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6228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1B27F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8BEBF5">
      <w:pPr>
        <w:numPr>
          <w:ilvl w:val="0"/>
          <w:numId w:val="1"/>
        </w:numPr>
        <w:spacing w:before="0" w:after="0" w:line="240" w:lineRule="auto"/>
        <w:ind w:firstLine="0"/>
        <w:jc w:val="center"/>
        <w:outlineLvl w:val="0"/>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 xml:space="preserve"> 部门所属单位预算</w:t>
      </w:r>
    </w:p>
    <w:p w14:paraId="68206A54"/>
    <w:p w14:paraId="7D9F2DE0">
      <w:pPr>
        <w:spacing w:before="0" w:after="0" w:line="240" w:lineRule="auto"/>
        <w:ind w:firstLine="0"/>
        <w:jc w:val="center"/>
        <w:outlineLvl w:val="9"/>
      </w:pPr>
      <w:r>
        <w:rPr>
          <w:rFonts w:ascii="黑体" w:hAnsi="黑体" w:eastAsia="黑体" w:cs="黑体"/>
          <w:b/>
          <w:color w:val="000000"/>
          <w:sz w:val="30"/>
        </w:rPr>
        <w:t>第二部分  部门所属单位预算</w:t>
      </w:r>
    </w:p>
    <w:p w14:paraId="606AE3A5">
      <w:pPr>
        <w:pStyle w:val="5"/>
        <w:tabs>
          <w:tab w:val="right" w:leader="dot" w:pos="14562"/>
        </w:tabs>
      </w:pPr>
      <w:bookmarkStart w:id="39" w:name="_GoBack"/>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一、隆尧县教育局本级收支预算</w:t>
      </w:r>
      <w:r>
        <w:tab/>
      </w:r>
      <w:r>
        <w:fldChar w:fldCharType="begin"/>
      </w:r>
      <w:r>
        <w:instrText xml:space="preserve">PAGEREF _Toc_4_4_0000000021 \h</w:instrText>
      </w:r>
      <w:r>
        <w:fldChar w:fldCharType="separate"/>
      </w:r>
      <w:r>
        <w:t>4</w:t>
      </w:r>
      <w:r>
        <w:fldChar w:fldCharType="end"/>
      </w:r>
      <w:r>
        <w:fldChar w:fldCharType="end"/>
      </w:r>
    </w:p>
    <w:p w14:paraId="0CDDFA50">
      <w:pPr>
        <w:pStyle w:val="5"/>
        <w:tabs>
          <w:tab w:val="right" w:leader="dot" w:pos="14562"/>
        </w:tabs>
      </w:pPr>
      <w:r>
        <w:fldChar w:fldCharType="begin"/>
      </w:r>
      <w:r>
        <w:instrText xml:space="preserve"> HYPERLINK \l "_Toc_4_4_0000000022" </w:instrText>
      </w:r>
      <w:r>
        <w:fldChar w:fldCharType="separate"/>
      </w:r>
      <w:r>
        <w:rPr>
          <w:b w:val="0"/>
        </w:rPr>
        <w:t>二、河北隆尧第一中学收支预算</w:t>
      </w:r>
      <w:r>
        <w:tab/>
      </w:r>
      <w:r>
        <w:fldChar w:fldCharType="begin"/>
      </w:r>
      <w:r>
        <w:instrText xml:space="preserve">PAGEREF _Toc_4_4_0000000022 \h</w:instrText>
      </w:r>
      <w:r>
        <w:fldChar w:fldCharType="separate"/>
      </w:r>
      <w:r>
        <w:t>257</w:t>
      </w:r>
      <w:r>
        <w:fldChar w:fldCharType="end"/>
      </w:r>
      <w:r>
        <w:fldChar w:fldCharType="end"/>
      </w:r>
    </w:p>
    <w:p w14:paraId="3BEFEAA4">
      <w:pPr>
        <w:pStyle w:val="5"/>
        <w:tabs>
          <w:tab w:val="right" w:leader="dot" w:pos="14562"/>
        </w:tabs>
      </w:pPr>
      <w:r>
        <w:fldChar w:fldCharType="begin"/>
      </w:r>
      <w:r>
        <w:instrText xml:space="preserve"> HYPERLINK \l "_Toc_4_4_0000000023" </w:instrText>
      </w:r>
      <w:r>
        <w:fldChar w:fldCharType="separate"/>
      </w:r>
      <w:r>
        <w:rPr>
          <w:b w:val="0"/>
        </w:rPr>
        <w:t>三、隆尧县尧山中学收支预算</w:t>
      </w:r>
      <w:r>
        <w:tab/>
      </w:r>
      <w:r>
        <w:fldChar w:fldCharType="begin"/>
      </w:r>
      <w:r>
        <w:instrText xml:space="preserve">PAGEREF _Toc_4_4_0000000023 \h</w:instrText>
      </w:r>
      <w:r>
        <w:fldChar w:fldCharType="separate"/>
      </w:r>
      <w:r>
        <w:t>292</w:t>
      </w:r>
      <w:r>
        <w:fldChar w:fldCharType="end"/>
      </w:r>
      <w:r>
        <w:fldChar w:fldCharType="end"/>
      </w:r>
    </w:p>
    <w:p w14:paraId="661E4979">
      <w:pPr>
        <w:pStyle w:val="3"/>
        <w:bidi w:val="0"/>
        <w:ind w:firstLine="560" w:firstLineChars="20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"_Toc_4_4_0000000024"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四、隆尧县尹村中学收支预算</w:t>
      </w:r>
      <w:r>
        <w:rPr>
          <w:rFonts w:hint="eastAsia" w:eastAsia="方正仿宋_GBK"/>
          <w:lang w:val="en-US" w:eastAsia="zh-CN"/>
        </w:rPr>
        <w:t>.............................................................................................................................................................................................................................</w:t>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_Toc_4_4_0000000024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318</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AD2F9D5">
      <w:pPr>
        <w:pStyle w:val="5"/>
        <w:tabs>
          <w:tab w:val="right" w:leader="dot" w:pos="14562"/>
        </w:tabs>
      </w:pPr>
      <w:r>
        <w:fldChar w:fldCharType="begin"/>
      </w:r>
      <w:r>
        <w:instrText xml:space="preserve"> HYPERLINK \l "_Toc_4_4_0000000025" </w:instrText>
      </w:r>
      <w:r>
        <w:fldChar w:fldCharType="separate"/>
      </w:r>
      <w:r>
        <w:rPr>
          <w:b w:val="0"/>
        </w:rPr>
        <w:t>五、隆尧县东良中学收支预算</w:t>
      </w:r>
      <w:r>
        <w:tab/>
      </w:r>
      <w:r>
        <w:fldChar w:fldCharType="begin"/>
      </w:r>
      <w:r>
        <w:instrText xml:space="preserve">PAGEREF _Toc_4_4_0000000025 \h</w:instrText>
      </w:r>
      <w:r>
        <w:fldChar w:fldCharType="separate"/>
      </w:r>
      <w:r>
        <w:t>341</w:t>
      </w:r>
      <w:r>
        <w:fldChar w:fldCharType="end"/>
      </w:r>
      <w:r>
        <w:fldChar w:fldCharType="end"/>
      </w:r>
    </w:p>
    <w:p w14:paraId="05B26E3D">
      <w:pPr>
        <w:pStyle w:val="5"/>
        <w:tabs>
          <w:tab w:val="right" w:leader="dot" w:pos="14562"/>
        </w:tabs>
      </w:pPr>
      <w:r>
        <w:fldChar w:fldCharType="begin"/>
      </w:r>
      <w:r>
        <w:instrText xml:space="preserve"> HYPERLINK \l "_Toc_4_4_0000000026" </w:instrText>
      </w:r>
      <w:r>
        <w:fldChar w:fldCharType="separate"/>
      </w:r>
      <w:r>
        <w:rPr>
          <w:b w:val="0"/>
        </w:rPr>
        <w:t>六、隆尧县魏家庄中学收支预算</w:t>
      </w:r>
      <w:r>
        <w:tab/>
      </w:r>
      <w:r>
        <w:fldChar w:fldCharType="begin"/>
      </w:r>
      <w:r>
        <w:instrText xml:space="preserve">PAGEREF _Toc_4_4_0000000026 \h</w:instrText>
      </w:r>
      <w:r>
        <w:fldChar w:fldCharType="separate"/>
      </w:r>
      <w:r>
        <w:t>363</w:t>
      </w:r>
      <w:r>
        <w:fldChar w:fldCharType="end"/>
      </w:r>
      <w:r>
        <w:fldChar w:fldCharType="end"/>
      </w:r>
    </w:p>
    <w:p w14:paraId="0038F472">
      <w:pPr>
        <w:pStyle w:val="5"/>
        <w:tabs>
          <w:tab w:val="right" w:leader="dot" w:pos="14562"/>
        </w:tabs>
      </w:pPr>
      <w:r>
        <w:fldChar w:fldCharType="begin"/>
      </w:r>
      <w:r>
        <w:instrText xml:space="preserve"> HYPERLINK \l "_Toc_4_4_0000000027" </w:instrText>
      </w:r>
      <w:r>
        <w:fldChar w:fldCharType="separate"/>
      </w:r>
      <w:r>
        <w:rPr>
          <w:b w:val="0"/>
        </w:rPr>
        <w:t>七、隆尧县牛家桥中学收支预算</w:t>
      </w:r>
      <w:r>
        <w:tab/>
      </w:r>
      <w:r>
        <w:fldChar w:fldCharType="begin"/>
      </w:r>
      <w:r>
        <w:instrText xml:space="preserve">PAGEREF _Toc_4_4_0000000027 \h</w:instrText>
      </w:r>
      <w:r>
        <w:fldChar w:fldCharType="separate"/>
      </w:r>
      <w:r>
        <w:t>388</w:t>
      </w:r>
      <w:r>
        <w:fldChar w:fldCharType="end"/>
      </w:r>
      <w:r>
        <w:fldChar w:fldCharType="end"/>
      </w:r>
    </w:p>
    <w:p w14:paraId="6F9D66CD">
      <w:pPr>
        <w:pStyle w:val="5"/>
        <w:tabs>
          <w:tab w:val="right" w:leader="dot" w:pos="14562"/>
        </w:tabs>
      </w:pPr>
      <w:r>
        <w:fldChar w:fldCharType="begin"/>
      </w:r>
      <w:r>
        <w:instrText xml:space="preserve"> HYPERLINK \l "_Toc_4_4_0000000028" </w:instrText>
      </w:r>
      <w:r>
        <w:fldChar w:fldCharType="separate"/>
      </w:r>
      <w:r>
        <w:rPr>
          <w:b w:val="0"/>
        </w:rPr>
        <w:t>八、河北省隆尧县滏阳中学收支预算</w:t>
      </w:r>
      <w:r>
        <w:tab/>
      </w:r>
      <w:r>
        <w:fldChar w:fldCharType="begin"/>
      </w:r>
      <w:r>
        <w:instrText xml:space="preserve">PAGEREF _Toc_4_4_0000000028 \h</w:instrText>
      </w:r>
      <w:r>
        <w:fldChar w:fldCharType="separate"/>
      </w:r>
      <w:r>
        <w:t>413</w:t>
      </w:r>
      <w:r>
        <w:fldChar w:fldCharType="end"/>
      </w:r>
      <w:r>
        <w:fldChar w:fldCharType="end"/>
      </w:r>
    </w:p>
    <w:p w14:paraId="6B16E7D3">
      <w:pPr>
        <w:pStyle w:val="5"/>
        <w:tabs>
          <w:tab w:val="right" w:leader="dot" w:pos="14562"/>
        </w:tabs>
      </w:pPr>
      <w:r>
        <w:fldChar w:fldCharType="begin"/>
      </w:r>
      <w:r>
        <w:instrText xml:space="preserve"> HYPERLINK \l "_Toc_4_4_0000000029" </w:instrText>
      </w:r>
      <w:r>
        <w:fldChar w:fldCharType="separate"/>
      </w:r>
      <w:r>
        <w:rPr>
          <w:b w:val="0"/>
        </w:rPr>
        <w:t>九、隆尧县固城中学收支预算</w:t>
      </w:r>
      <w:r>
        <w:tab/>
      </w:r>
      <w:r>
        <w:fldChar w:fldCharType="begin"/>
      </w:r>
      <w:r>
        <w:instrText xml:space="preserve">PAGEREF _Toc_4_4_0000000029 \h</w:instrText>
      </w:r>
      <w:r>
        <w:fldChar w:fldCharType="separate"/>
      </w:r>
      <w:r>
        <w:t>437</w:t>
      </w:r>
      <w:r>
        <w:fldChar w:fldCharType="end"/>
      </w:r>
      <w:r>
        <w:fldChar w:fldCharType="end"/>
      </w:r>
    </w:p>
    <w:p w14:paraId="39D4FD47">
      <w:pPr>
        <w:pStyle w:val="5"/>
        <w:tabs>
          <w:tab w:val="right" w:leader="dot" w:pos="14562"/>
        </w:tabs>
      </w:pPr>
      <w:r>
        <w:fldChar w:fldCharType="begin"/>
      </w:r>
      <w:r>
        <w:instrText xml:space="preserve"> HYPERLINK \l "_Toc_4_4_0000000030" </w:instrText>
      </w:r>
      <w:r>
        <w:fldChar w:fldCharType="separate"/>
      </w:r>
      <w:r>
        <w:rPr>
          <w:b w:val="0"/>
        </w:rPr>
        <w:t>十、河北省隆尧县实验中学收支预算</w:t>
      </w:r>
      <w:r>
        <w:tab/>
      </w:r>
      <w:r>
        <w:fldChar w:fldCharType="begin"/>
      </w:r>
      <w:r>
        <w:instrText xml:space="preserve">PAGEREF _Toc_4_4_0000000030 \h</w:instrText>
      </w:r>
      <w:r>
        <w:fldChar w:fldCharType="separate"/>
      </w:r>
      <w:r>
        <w:t>459</w:t>
      </w:r>
      <w:r>
        <w:fldChar w:fldCharType="end"/>
      </w:r>
      <w:r>
        <w:fldChar w:fldCharType="end"/>
      </w:r>
    </w:p>
    <w:p w14:paraId="2C5CCAC1">
      <w:pPr>
        <w:pStyle w:val="5"/>
        <w:tabs>
          <w:tab w:val="right" w:leader="dot" w:pos="14562"/>
        </w:tabs>
      </w:pPr>
      <w:r>
        <w:fldChar w:fldCharType="begin"/>
      </w:r>
      <w:r>
        <w:instrText xml:space="preserve"> HYPERLINK \l "_Toc_4_4_0000000031" </w:instrText>
      </w:r>
      <w:r>
        <w:fldChar w:fldCharType="separate"/>
      </w:r>
      <w:r>
        <w:rPr>
          <w:b w:val="0"/>
        </w:rPr>
        <w:t>十一、隆尧县特殊教育学校收支预算</w:t>
      </w:r>
      <w:r>
        <w:tab/>
      </w:r>
      <w:r>
        <w:fldChar w:fldCharType="begin"/>
      </w:r>
      <w:r>
        <w:instrText xml:space="preserve">PAGEREF _Toc_4_4_0000000031 \h</w:instrText>
      </w:r>
      <w:r>
        <w:fldChar w:fldCharType="separate"/>
      </w:r>
      <w:r>
        <w:t>485</w:t>
      </w:r>
      <w:r>
        <w:fldChar w:fldCharType="end"/>
      </w:r>
      <w:r>
        <w:fldChar w:fldCharType="end"/>
      </w:r>
    </w:p>
    <w:p w14:paraId="5F041FEC">
      <w:pPr>
        <w:pStyle w:val="5"/>
        <w:tabs>
          <w:tab w:val="right" w:leader="dot" w:pos="14562"/>
        </w:tabs>
      </w:pPr>
      <w:r>
        <w:fldChar w:fldCharType="begin"/>
      </w:r>
      <w:r>
        <w:instrText xml:space="preserve"> HYPERLINK \l "_Toc_4_4_0000000032" </w:instrText>
      </w:r>
      <w:r>
        <w:fldChar w:fldCharType="separate"/>
      </w:r>
      <w:r>
        <w:rPr>
          <w:b w:val="0"/>
        </w:rPr>
        <w:t>十二、隆尧县实验小学收支预算</w:t>
      </w:r>
      <w:r>
        <w:tab/>
      </w:r>
      <w:r>
        <w:fldChar w:fldCharType="begin"/>
      </w:r>
      <w:r>
        <w:instrText xml:space="preserve">PAGEREF _Toc_4_4_0000000032 \h</w:instrText>
      </w:r>
      <w:r>
        <w:fldChar w:fldCharType="separate"/>
      </w:r>
      <w:r>
        <w:t>507</w:t>
      </w:r>
      <w:r>
        <w:fldChar w:fldCharType="end"/>
      </w:r>
      <w:r>
        <w:fldChar w:fldCharType="end"/>
      </w:r>
    </w:p>
    <w:p w14:paraId="64EEA52D">
      <w:pPr>
        <w:pStyle w:val="5"/>
        <w:tabs>
          <w:tab w:val="right" w:leader="dot" w:pos="14562"/>
        </w:tabs>
      </w:pPr>
      <w:r>
        <w:fldChar w:fldCharType="begin"/>
      </w:r>
      <w:r>
        <w:instrText xml:space="preserve"> HYPERLINK \l "_Toc_4_4_0000000033" </w:instrText>
      </w:r>
      <w:r>
        <w:fldChar w:fldCharType="separate"/>
      </w:r>
      <w:r>
        <w:rPr>
          <w:b w:val="0"/>
        </w:rPr>
        <w:t>十三、隆尧县县直幼儿园收支预算</w:t>
      </w:r>
      <w:r>
        <w:tab/>
      </w:r>
      <w:r>
        <w:fldChar w:fldCharType="begin"/>
      </w:r>
      <w:r>
        <w:instrText xml:space="preserve">PAGEREF _Toc_4_4_0000000033 \h</w:instrText>
      </w:r>
      <w:r>
        <w:fldChar w:fldCharType="separate"/>
      </w:r>
      <w:r>
        <w:t>529</w:t>
      </w:r>
      <w:r>
        <w:fldChar w:fldCharType="end"/>
      </w:r>
      <w:r>
        <w:fldChar w:fldCharType="end"/>
      </w:r>
    </w:p>
    <w:p w14:paraId="73135676">
      <w:pPr>
        <w:pStyle w:val="5"/>
        <w:tabs>
          <w:tab w:val="right" w:leader="dot" w:pos="14562"/>
        </w:tabs>
      </w:pPr>
      <w:r>
        <w:fldChar w:fldCharType="begin"/>
      </w:r>
      <w:r>
        <w:instrText xml:space="preserve"> HYPERLINK \l "_Toc_4_4_0000000034" </w:instrText>
      </w:r>
      <w:r>
        <w:fldChar w:fldCharType="separate"/>
      </w:r>
      <w:r>
        <w:rPr>
          <w:b w:val="0"/>
        </w:rPr>
        <w:t>十四、隆尧县职业技术教育中心收支预算</w:t>
      </w:r>
      <w:r>
        <w:tab/>
      </w:r>
      <w:r>
        <w:fldChar w:fldCharType="begin"/>
      </w:r>
      <w:r>
        <w:instrText xml:space="preserve">PAGEREF _Toc_4_4_0000000034 \h</w:instrText>
      </w:r>
      <w:r>
        <w:fldChar w:fldCharType="separate"/>
      </w:r>
      <w:r>
        <w:t>553</w:t>
      </w:r>
      <w:r>
        <w:fldChar w:fldCharType="end"/>
      </w:r>
      <w:r>
        <w:fldChar w:fldCharType="end"/>
      </w:r>
    </w:p>
    <w:p w14:paraId="100F1529">
      <w:pPr>
        <w:pStyle w:val="5"/>
        <w:tabs>
          <w:tab w:val="right" w:leader="dot" w:pos="14562"/>
        </w:tabs>
      </w:pPr>
      <w:r>
        <w:fldChar w:fldCharType="begin"/>
      </w:r>
      <w:r>
        <w:instrText xml:space="preserve"> HYPERLINK \l "_Toc_4_4_0000000035" </w:instrText>
      </w:r>
      <w:r>
        <w:fldChar w:fldCharType="separate"/>
      </w:r>
      <w:r>
        <w:rPr>
          <w:b w:val="0"/>
        </w:rPr>
        <w:t>十五、隆尧县城关校区收支预算</w:t>
      </w:r>
      <w:r>
        <w:tab/>
      </w:r>
      <w:r>
        <w:fldChar w:fldCharType="begin"/>
      </w:r>
      <w:r>
        <w:instrText xml:space="preserve">PAGEREF _Toc_4_4_0000000035 \h</w:instrText>
      </w:r>
      <w:r>
        <w:fldChar w:fldCharType="separate"/>
      </w:r>
      <w:r>
        <w:t>596</w:t>
      </w:r>
      <w:r>
        <w:fldChar w:fldCharType="end"/>
      </w:r>
      <w:r>
        <w:fldChar w:fldCharType="end"/>
      </w:r>
    </w:p>
    <w:p w14:paraId="2060795F">
      <w:pPr>
        <w:pStyle w:val="5"/>
        <w:tabs>
          <w:tab w:val="right" w:leader="dot" w:pos="14562"/>
        </w:tabs>
      </w:pPr>
      <w:r>
        <w:fldChar w:fldCharType="begin"/>
      </w:r>
      <w:r>
        <w:instrText xml:space="preserve"> HYPERLINK \l "_Toc_4_4_0000000036" </w:instrText>
      </w:r>
      <w:r>
        <w:fldChar w:fldCharType="separate"/>
      </w:r>
      <w:r>
        <w:rPr>
          <w:b w:val="0"/>
        </w:rPr>
        <w:t>十六、隆尧县魏庄校区收支预算</w:t>
      </w:r>
      <w:r>
        <w:tab/>
      </w:r>
      <w:r>
        <w:fldChar w:fldCharType="begin"/>
      </w:r>
      <w:r>
        <w:instrText xml:space="preserve">PAGEREF _Toc_4_4_0000000036 \h</w:instrText>
      </w:r>
      <w:r>
        <w:fldChar w:fldCharType="separate"/>
      </w:r>
      <w:r>
        <w:t>639</w:t>
      </w:r>
      <w:r>
        <w:fldChar w:fldCharType="end"/>
      </w:r>
      <w:r>
        <w:fldChar w:fldCharType="end"/>
      </w:r>
    </w:p>
    <w:p w14:paraId="354D0FDE">
      <w:pPr>
        <w:pStyle w:val="5"/>
        <w:tabs>
          <w:tab w:val="right" w:leader="dot" w:pos="14562"/>
        </w:tabs>
      </w:pPr>
      <w:r>
        <w:fldChar w:fldCharType="begin"/>
      </w:r>
      <w:r>
        <w:instrText xml:space="preserve"> HYPERLINK \l "_Toc_4_4_0000000037" </w:instrText>
      </w:r>
      <w:r>
        <w:fldChar w:fldCharType="separate"/>
      </w:r>
      <w:r>
        <w:rPr>
          <w:b w:val="0"/>
        </w:rPr>
        <w:t>十七、隆尧县北楼校区收支预算</w:t>
      </w:r>
      <w:r>
        <w:tab/>
      </w:r>
      <w:r>
        <w:fldChar w:fldCharType="begin"/>
      </w:r>
      <w:r>
        <w:instrText xml:space="preserve">PAGEREF _Toc_4_4_0000000037 \h</w:instrText>
      </w:r>
      <w:r>
        <w:fldChar w:fldCharType="separate"/>
      </w:r>
      <w:r>
        <w:t>677</w:t>
      </w:r>
      <w:r>
        <w:fldChar w:fldCharType="end"/>
      </w:r>
      <w:r>
        <w:fldChar w:fldCharType="end"/>
      </w:r>
    </w:p>
    <w:p w14:paraId="3BA528B7">
      <w:pPr>
        <w:pStyle w:val="5"/>
        <w:tabs>
          <w:tab w:val="right" w:leader="dot" w:pos="14562"/>
        </w:tabs>
      </w:pPr>
      <w:r>
        <w:fldChar w:fldCharType="begin"/>
      </w:r>
      <w:r>
        <w:instrText xml:space="preserve"> HYPERLINK \l "_Toc_4_4_0000000038" </w:instrText>
      </w:r>
      <w:r>
        <w:fldChar w:fldCharType="separate"/>
      </w:r>
      <w:r>
        <w:rPr>
          <w:b w:val="0"/>
        </w:rPr>
        <w:t>十八、隆尧县东良校区收支预算</w:t>
      </w:r>
      <w:r>
        <w:tab/>
      </w:r>
      <w:r>
        <w:fldChar w:fldCharType="begin"/>
      </w:r>
      <w:r>
        <w:instrText xml:space="preserve">PAGEREF _Toc_4_4_0000000038 \h</w:instrText>
      </w:r>
      <w:r>
        <w:fldChar w:fldCharType="separate"/>
      </w:r>
      <w:r>
        <w:t>718</w:t>
      </w:r>
      <w:r>
        <w:fldChar w:fldCharType="end"/>
      </w:r>
      <w:r>
        <w:fldChar w:fldCharType="end"/>
      </w:r>
    </w:p>
    <w:p w14:paraId="6957EF43">
      <w:pPr>
        <w:pStyle w:val="5"/>
        <w:tabs>
          <w:tab w:val="right" w:leader="dot" w:pos="14562"/>
        </w:tabs>
      </w:pPr>
      <w:r>
        <w:fldChar w:fldCharType="begin"/>
      </w:r>
      <w:r>
        <w:instrText xml:space="preserve"> HYPERLINK \l "_Toc_4_4_0000000039" </w:instrText>
      </w:r>
      <w:r>
        <w:fldChar w:fldCharType="separate"/>
      </w:r>
      <w:r>
        <w:rPr>
          <w:b w:val="0"/>
        </w:rPr>
        <w:t>十九、隆尧县双碑校区收支预算</w:t>
      </w:r>
      <w:r>
        <w:tab/>
      </w:r>
      <w:r>
        <w:fldChar w:fldCharType="begin"/>
      </w:r>
      <w:r>
        <w:instrText xml:space="preserve">PAGEREF _Toc_4_4_0000000039 \h</w:instrText>
      </w:r>
      <w:r>
        <w:fldChar w:fldCharType="separate"/>
      </w:r>
      <w:r>
        <w:t>773</w:t>
      </w:r>
      <w:r>
        <w:fldChar w:fldCharType="end"/>
      </w:r>
      <w:r>
        <w:fldChar w:fldCharType="end"/>
      </w:r>
    </w:p>
    <w:p w14:paraId="1DD3E32F">
      <w:pPr>
        <w:pStyle w:val="5"/>
        <w:tabs>
          <w:tab w:val="right" w:leader="dot" w:pos="14562"/>
        </w:tabs>
      </w:pPr>
      <w:r>
        <w:fldChar w:fldCharType="begin"/>
      </w:r>
      <w:r>
        <w:instrText xml:space="preserve"> HYPERLINK \l "_Toc_4_4_0000000040" </w:instrText>
      </w:r>
      <w:r>
        <w:fldChar w:fldCharType="separate"/>
      </w:r>
      <w:r>
        <w:rPr>
          <w:b w:val="0"/>
        </w:rPr>
        <w:t>二十、隆尧县山口校区收支预算</w:t>
      </w:r>
      <w:r>
        <w:tab/>
      </w:r>
      <w:r>
        <w:fldChar w:fldCharType="begin"/>
      </w:r>
      <w:r>
        <w:instrText xml:space="preserve">PAGEREF _Toc_4_4_0000000040 \h</w:instrText>
      </w:r>
      <w:r>
        <w:fldChar w:fldCharType="separate"/>
      </w:r>
      <w:r>
        <w:t>821</w:t>
      </w:r>
      <w:r>
        <w:fldChar w:fldCharType="end"/>
      </w:r>
      <w:r>
        <w:fldChar w:fldCharType="end"/>
      </w:r>
    </w:p>
    <w:p w14:paraId="29A8306C">
      <w:pPr>
        <w:pStyle w:val="5"/>
        <w:tabs>
          <w:tab w:val="right" w:leader="dot" w:pos="14562"/>
        </w:tabs>
      </w:pPr>
      <w:r>
        <w:fldChar w:fldCharType="begin"/>
      </w:r>
      <w:r>
        <w:instrText xml:space="preserve"> HYPERLINK \l "_Toc_4_4_0000000041" </w:instrText>
      </w:r>
      <w:r>
        <w:fldChar w:fldCharType="separate"/>
      </w:r>
      <w:r>
        <w:rPr>
          <w:b w:val="0"/>
        </w:rPr>
        <w:t>二十一、隆尧县尹村校区收支预算</w:t>
      </w:r>
      <w:r>
        <w:tab/>
      </w:r>
      <w:r>
        <w:fldChar w:fldCharType="begin"/>
      </w:r>
      <w:r>
        <w:instrText xml:space="preserve">PAGEREF _Toc_4_4_0000000041 \h</w:instrText>
      </w:r>
      <w:r>
        <w:fldChar w:fldCharType="separate"/>
      </w:r>
      <w:r>
        <w:t>862</w:t>
      </w:r>
      <w:r>
        <w:fldChar w:fldCharType="end"/>
      </w:r>
      <w:r>
        <w:fldChar w:fldCharType="end"/>
      </w:r>
    </w:p>
    <w:p w14:paraId="659196DE">
      <w:pPr>
        <w:pStyle w:val="5"/>
        <w:tabs>
          <w:tab w:val="right" w:leader="dot" w:pos="14562"/>
        </w:tabs>
      </w:pPr>
      <w:r>
        <w:fldChar w:fldCharType="begin"/>
      </w:r>
      <w:r>
        <w:instrText xml:space="preserve"> HYPERLINK \l "_Toc_4_4_0000000042" </w:instrText>
      </w:r>
      <w:r>
        <w:fldChar w:fldCharType="separate"/>
      </w:r>
      <w:r>
        <w:rPr>
          <w:b w:val="0"/>
        </w:rPr>
        <w:t>二十二、隆尧县固城校区收支预算</w:t>
      </w:r>
      <w:r>
        <w:tab/>
      </w:r>
      <w:r>
        <w:fldChar w:fldCharType="begin"/>
      </w:r>
      <w:r>
        <w:instrText xml:space="preserve">PAGEREF _Toc_4_4_0000000042 \h</w:instrText>
      </w:r>
      <w:r>
        <w:fldChar w:fldCharType="separate"/>
      </w:r>
      <w:r>
        <w:t>922</w:t>
      </w:r>
      <w:r>
        <w:fldChar w:fldCharType="end"/>
      </w:r>
      <w:r>
        <w:fldChar w:fldCharType="end"/>
      </w:r>
    </w:p>
    <w:p w14:paraId="54575A16">
      <w:pPr>
        <w:pStyle w:val="5"/>
        <w:tabs>
          <w:tab w:val="right" w:leader="dot" w:pos="14562"/>
        </w:tabs>
      </w:pPr>
      <w:r>
        <w:fldChar w:fldCharType="begin"/>
      </w:r>
      <w:r>
        <w:instrText xml:space="preserve"> HYPERLINK \l "_Toc_4_4_0000000043" </w:instrText>
      </w:r>
      <w:r>
        <w:fldChar w:fldCharType="separate"/>
      </w:r>
      <w:r>
        <w:rPr>
          <w:b w:val="0"/>
        </w:rPr>
        <w:t>二十三、隆尧县大张家庄校区收支预算</w:t>
      </w:r>
      <w:r>
        <w:tab/>
      </w:r>
      <w:r>
        <w:fldChar w:fldCharType="begin"/>
      </w:r>
      <w:r>
        <w:instrText xml:space="preserve">PAGEREF _Toc_4_4_0000000043 \h</w:instrText>
      </w:r>
      <w:r>
        <w:fldChar w:fldCharType="separate"/>
      </w:r>
      <w:r>
        <w:t>969</w:t>
      </w:r>
      <w:r>
        <w:fldChar w:fldCharType="end"/>
      </w:r>
      <w:r>
        <w:fldChar w:fldCharType="end"/>
      </w:r>
    </w:p>
    <w:p w14:paraId="5A89EDE9">
      <w:pPr>
        <w:pStyle w:val="5"/>
        <w:tabs>
          <w:tab w:val="right" w:leader="dot" w:pos="14562"/>
        </w:tabs>
      </w:pPr>
      <w:r>
        <w:fldChar w:fldCharType="begin"/>
      </w:r>
      <w:r>
        <w:instrText xml:space="preserve"> HYPERLINK \l "_Toc_4_4_0000000044" </w:instrText>
      </w:r>
      <w:r>
        <w:fldChar w:fldCharType="separate"/>
      </w:r>
      <w:r>
        <w:rPr>
          <w:b w:val="0"/>
        </w:rPr>
        <w:t>二十四、隆尧县千户营校区收支预算</w:t>
      </w:r>
      <w:r>
        <w:tab/>
      </w:r>
      <w:r>
        <w:fldChar w:fldCharType="begin"/>
      </w:r>
      <w:r>
        <w:instrText xml:space="preserve">PAGEREF _Toc_4_4_0000000044 \h</w:instrText>
      </w:r>
      <w:r>
        <w:fldChar w:fldCharType="separate"/>
      </w:r>
      <w:r>
        <w:t>1012</w:t>
      </w:r>
      <w:r>
        <w:fldChar w:fldCharType="end"/>
      </w:r>
      <w:r>
        <w:fldChar w:fldCharType="end"/>
      </w:r>
    </w:p>
    <w:p w14:paraId="5E87B27C">
      <w:pPr>
        <w:pStyle w:val="5"/>
        <w:tabs>
          <w:tab w:val="right" w:leader="dot" w:pos="14562"/>
        </w:tabs>
      </w:pPr>
      <w:r>
        <w:fldChar w:fldCharType="begin"/>
      </w:r>
      <w:r>
        <w:instrText xml:space="preserve"> HYPERLINK \l "_Toc_4_4_0000000045" </w:instrText>
      </w:r>
      <w:r>
        <w:fldChar w:fldCharType="separate"/>
      </w:r>
      <w:r>
        <w:rPr>
          <w:b w:val="0"/>
        </w:rPr>
        <w:t>二十五、隆尧县牛家桥校区收支预算</w:t>
      </w:r>
      <w:r>
        <w:tab/>
      </w:r>
      <w:r>
        <w:fldChar w:fldCharType="begin"/>
      </w:r>
      <w:r>
        <w:instrText xml:space="preserve">PAGEREF _Toc_4_4_0000000045 \h</w:instrText>
      </w:r>
      <w:r>
        <w:fldChar w:fldCharType="separate"/>
      </w:r>
      <w:r>
        <w:t>1057</w:t>
      </w:r>
      <w:r>
        <w:fldChar w:fldCharType="end"/>
      </w:r>
      <w:r>
        <w:fldChar w:fldCharType="end"/>
      </w:r>
    </w:p>
    <w:p w14:paraId="0803B09F">
      <w:pPr>
        <w:pStyle w:val="5"/>
        <w:tabs>
          <w:tab w:val="right" w:leader="dot" w:pos="14562"/>
        </w:tabs>
      </w:pPr>
      <w:r>
        <w:fldChar w:fldCharType="begin"/>
      </w:r>
      <w:r>
        <w:instrText xml:space="preserve"> HYPERLINK \l "_Toc_4_4_0000000046" </w:instrText>
      </w:r>
      <w:r>
        <w:fldChar w:fldCharType="separate"/>
      </w:r>
      <w:r>
        <w:rPr>
          <w:b w:val="0"/>
        </w:rPr>
        <w:t>二十六、隆尧县莲子镇校区收支预算</w:t>
      </w:r>
      <w:r>
        <w:tab/>
      </w:r>
      <w:r>
        <w:fldChar w:fldCharType="begin"/>
      </w:r>
      <w:r>
        <w:instrText xml:space="preserve">PAGEREF _Toc_4_4_0000000046 \h</w:instrText>
      </w:r>
      <w:r>
        <w:fldChar w:fldCharType="separate"/>
      </w:r>
      <w:r>
        <w:t>1104</w:t>
      </w:r>
      <w:r>
        <w:fldChar w:fldCharType="end"/>
      </w:r>
      <w:r>
        <w:fldChar w:fldCharType="end"/>
      </w:r>
    </w:p>
    <w:p w14:paraId="6DFF72DB">
      <w:pPr>
        <w:pStyle w:val="5"/>
        <w:tabs>
          <w:tab w:val="right" w:leader="dot" w:pos="14562"/>
        </w:tabs>
      </w:pPr>
      <w:r>
        <w:fldChar w:fldCharType="begin"/>
      </w:r>
      <w:r>
        <w:instrText xml:space="preserve"> HYPERLINK \l "_Toc_4_4_0000000047" </w:instrText>
      </w:r>
      <w:r>
        <w:fldChar w:fldCharType="separate"/>
      </w:r>
      <w:r>
        <w:rPr>
          <w:b w:val="0"/>
        </w:rPr>
        <w:t>二十七、隆尧县教师发展中心收支预算</w:t>
      </w:r>
      <w:r>
        <w:tab/>
      </w:r>
      <w:r>
        <w:fldChar w:fldCharType="begin"/>
      </w:r>
      <w:r>
        <w:instrText xml:space="preserve">PAGEREF _Toc_4_4_0000000047 \h</w:instrText>
      </w:r>
      <w:r>
        <w:fldChar w:fldCharType="separate"/>
      </w:r>
      <w:r>
        <w:t>1149</w:t>
      </w:r>
      <w:r>
        <w:fldChar w:fldCharType="end"/>
      </w:r>
      <w:r>
        <w:fldChar w:fldCharType="end"/>
      </w:r>
    </w:p>
    <w:p w14:paraId="1AF8E512">
      <w:pPr>
        <w:pStyle w:val="5"/>
        <w:tabs>
          <w:tab w:val="right" w:leader="dot" w:pos="14562"/>
        </w:tabs>
      </w:pPr>
      <w:r>
        <w:fldChar w:fldCharType="begin"/>
      </w:r>
      <w:r>
        <w:instrText xml:space="preserve"> HYPERLINK \l "_Toc_4_4_0000000048" </w:instrText>
      </w:r>
      <w:r>
        <w:fldChar w:fldCharType="separate"/>
      </w:r>
      <w:r>
        <w:rPr>
          <w:b w:val="0"/>
        </w:rPr>
        <w:t>二十八、隆尧县实验幼儿园收支预算</w:t>
      </w:r>
      <w:r>
        <w:tab/>
      </w:r>
      <w:r>
        <w:fldChar w:fldCharType="begin"/>
      </w:r>
      <w:r>
        <w:instrText xml:space="preserve">PAGEREF _Toc_4_4_0000000048 \h</w:instrText>
      </w:r>
      <w:r>
        <w:fldChar w:fldCharType="separate"/>
      </w:r>
      <w:r>
        <w:t>1174</w:t>
      </w:r>
      <w:r>
        <w:fldChar w:fldCharType="end"/>
      </w:r>
      <w:r>
        <w:fldChar w:fldCharType="end"/>
      </w:r>
    </w:p>
    <w:p w14:paraId="51D5AD2C">
      <w:pPr>
        <w:pStyle w:val="5"/>
        <w:tabs>
          <w:tab w:val="right" w:leader="dot" w:pos="14562"/>
        </w:tabs>
      </w:pPr>
      <w:r>
        <w:fldChar w:fldCharType="begin"/>
      </w:r>
      <w:r>
        <w:instrText xml:space="preserve"> HYPERLINK \l "_Toc_4_4_0000000049" </w:instrText>
      </w:r>
      <w:r>
        <w:fldChar w:fldCharType="separate"/>
      </w:r>
      <w:r>
        <w:rPr>
          <w:b w:val="0"/>
        </w:rPr>
        <w:t>二十九、隆尧县第二实验小学收支预算</w:t>
      </w:r>
      <w:r>
        <w:tab/>
      </w:r>
      <w:r>
        <w:fldChar w:fldCharType="begin"/>
      </w:r>
      <w:r>
        <w:instrText xml:space="preserve">PAGEREF _Toc_4_4_0000000049 \h</w:instrText>
      </w:r>
      <w:r>
        <w:fldChar w:fldCharType="separate"/>
      </w:r>
      <w:r>
        <w:t>1191</w:t>
      </w:r>
      <w:r>
        <w:fldChar w:fldCharType="end"/>
      </w:r>
      <w:r>
        <w:fldChar w:fldCharType="end"/>
      </w:r>
    </w:p>
    <w:p w14:paraId="144437F1">
      <w:pPr>
        <w:pStyle w:val="5"/>
        <w:tabs>
          <w:tab w:val="right" w:leader="dot" w:pos="14562"/>
        </w:tabs>
      </w:pPr>
      <w:r>
        <w:fldChar w:fldCharType="begin"/>
      </w:r>
      <w:r>
        <w:instrText xml:space="preserve"> HYPERLINK \l "_Toc_4_4_0000000050" </w:instrText>
      </w:r>
      <w:r>
        <w:fldChar w:fldCharType="separate"/>
      </w:r>
      <w:r>
        <w:rPr>
          <w:b w:val="0"/>
        </w:rPr>
        <w:t>三十、隆尧县北楼中学收支预算</w:t>
      </w:r>
      <w:r>
        <w:tab/>
      </w:r>
      <w:r>
        <w:fldChar w:fldCharType="begin"/>
      </w:r>
      <w:r>
        <w:instrText xml:space="preserve">PAGEREF _Toc_4_4_0000000050 \h</w:instrText>
      </w:r>
      <w:r>
        <w:fldChar w:fldCharType="separate"/>
      </w:r>
      <w:r>
        <w:t>1221</w:t>
      </w:r>
      <w:r>
        <w:fldChar w:fldCharType="end"/>
      </w:r>
      <w:r>
        <w:fldChar w:fldCharType="end"/>
      </w:r>
    </w:p>
    <w:p w14:paraId="2CE4D967">
      <w:pPr>
        <w:pStyle w:val="5"/>
        <w:tabs>
          <w:tab w:val="right" w:leader="dot" w:pos="14562"/>
        </w:tabs>
      </w:pPr>
      <w:r>
        <w:fldChar w:fldCharType="begin"/>
      </w:r>
      <w:r>
        <w:instrText xml:space="preserve"> HYPERLINK \l "_Toc_4_4_0000000051" </w:instrText>
      </w:r>
      <w:r>
        <w:fldChar w:fldCharType="separate"/>
      </w:r>
      <w:r>
        <w:rPr>
          <w:b w:val="0"/>
        </w:rPr>
        <w:t>三十一、隆尧县双碑中学收支预算</w:t>
      </w:r>
      <w:r>
        <w:tab/>
      </w:r>
      <w:r>
        <w:fldChar w:fldCharType="begin"/>
      </w:r>
      <w:r>
        <w:instrText xml:space="preserve">PAGEREF _Toc_4_4_0000000051 \h</w:instrText>
      </w:r>
      <w:r>
        <w:fldChar w:fldCharType="separate"/>
      </w:r>
      <w:r>
        <w:t>1245</w:t>
      </w:r>
      <w:r>
        <w:fldChar w:fldCharType="end"/>
      </w:r>
      <w:r>
        <w:fldChar w:fldCharType="end"/>
      </w:r>
    </w:p>
    <w:p w14:paraId="0EFDB264">
      <w:pPr>
        <w:pStyle w:val="5"/>
        <w:tabs>
          <w:tab w:val="right" w:leader="dot" w:pos="14562"/>
        </w:tabs>
      </w:pPr>
      <w:r>
        <w:fldChar w:fldCharType="begin"/>
      </w:r>
      <w:r>
        <w:instrText xml:space="preserve"> HYPERLINK \l "_Toc_4_4_0000000052" </w:instrText>
      </w:r>
      <w:r>
        <w:fldChar w:fldCharType="separate"/>
      </w:r>
      <w:r>
        <w:rPr>
          <w:b w:val="0"/>
        </w:rPr>
        <w:t>三十二、隆尧县大张庄中学收支预算</w:t>
      </w:r>
      <w:r>
        <w:tab/>
      </w:r>
      <w:r>
        <w:fldChar w:fldCharType="begin"/>
      </w:r>
      <w:r>
        <w:instrText xml:space="preserve">PAGEREF _Toc_4_4_0000000052 \h</w:instrText>
      </w:r>
      <w:r>
        <w:fldChar w:fldCharType="separate"/>
      </w:r>
      <w:r>
        <w:t>1267</w:t>
      </w:r>
      <w:r>
        <w:fldChar w:fldCharType="end"/>
      </w:r>
      <w:r>
        <w:fldChar w:fldCharType="end"/>
      </w:r>
    </w:p>
    <w:p w14:paraId="1478FF54">
      <w:pPr>
        <w:pStyle w:val="5"/>
        <w:tabs>
          <w:tab w:val="right" w:leader="dot" w:pos="14562"/>
        </w:tabs>
      </w:pPr>
      <w:r>
        <w:fldChar w:fldCharType="begin"/>
      </w:r>
      <w:r>
        <w:instrText xml:space="preserve"> HYPERLINK \l "_Toc_4_4_0000000053" </w:instrText>
      </w:r>
      <w:r>
        <w:fldChar w:fldCharType="separate"/>
      </w:r>
      <w:r>
        <w:rPr>
          <w:b w:val="0"/>
        </w:rPr>
        <w:t>三十三、隆尧县莲子中学收支预算</w:t>
      </w:r>
      <w:r>
        <w:tab/>
      </w:r>
      <w:r>
        <w:fldChar w:fldCharType="begin"/>
      </w:r>
      <w:r>
        <w:instrText xml:space="preserve">PAGEREF _Toc_4_4_0000000053 \h</w:instrText>
      </w:r>
      <w:r>
        <w:fldChar w:fldCharType="separate"/>
      </w:r>
      <w:r>
        <w:t>1289</w:t>
      </w:r>
      <w:r>
        <w:fldChar w:fldCharType="end"/>
      </w:r>
      <w:r>
        <w:fldChar w:fldCharType="end"/>
      </w:r>
    </w:p>
    <w:p w14:paraId="07C19832">
      <w:pPr>
        <w:pStyle w:val="5"/>
        <w:tabs>
          <w:tab w:val="right" w:leader="dot" w:pos="14562"/>
        </w:tabs>
      </w:pPr>
      <w:r>
        <w:fldChar w:fldCharType="begin"/>
      </w:r>
      <w:r>
        <w:instrText xml:space="preserve"> HYPERLINK \l "_Toc_4_4_0000000054" </w:instrText>
      </w:r>
      <w:r>
        <w:fldChar w:fldCharType="separate"/>
      </w:r>
      <w:r>
        <w:rPr>
          <w:b w:val="0"/>
        </w:rPr>
        <w:t>三十四、隆尧县唐尧街幼儿园收支预算</w:t>
      </w:r>
      <w:r>
        <w:tab/>
      </w:r>
      <w:r>
        <w:fldChar w:fldCharType="begin"/>
      </w:r>
      <w:r>
        <w:instrText xml:space="preserve">PAGEREF _Toc_4_4_0000000054 \h</w:instrText>
      </w:r>
      <w:r>
        <w:fldChar w:fldCharType="separate"/>
      </w:r>
      <w:r>
        <w:t>1315</w:t>
      </w:r>
      <w:r>
        <w:fldChar w:fldCharType="end"/>
      </w:r>
      <w:r>
        <w:fldChar w:fldCharType="end"/>
      </w:r>
    </w:p>
    <w:p w14:paraId="66398540">
      <w:pPr>
        <w:pStyle w:val="5"/>
        <w:tabs>
          <w:tab w:val="right" w:leader="dot" w:pos="14562"/>
        </w:tabs>
      </w:pPr>
      <w:r>
        <w:fldChar w:fldCharType="begin"/>
      </w:r>
      <w:r>
        <w:instrText xml:space="preserve"> HYPERLINK \l "_Toc_4_4_0000000055" </w:instrText>
      </w:r>
      <w:r>
        <w:fldChar w:fldCharType="separate"/>
      </w:r>
      <w:r>
        <w:rPr>
          <w:b w:val="0"/>
        </w:rPr>
        <w:t>三十五、隆尧县青少年校外活动中心收支预算</w:t>
      </w:r>
      <w:r>
        <w:tab/>
      </w:r>
      <w:r>
        <w:fldChar w:fldCharType="begin"/>
      </w:r>
      <w:r>
        <w:instrText xml:space="preserve">PAGEREF _Toc_4_4_0000000055 \h</w:instrText>
      </w:r>
      <w:r>
        <w:fldChar w:fldCharType="separate"/>
      </w:r>
      <w:r>
        <w:t>1345</w:t>
      </w:r>
      <w:r>
        <w:fldChar w:fldCharType="end"/>
      </w:r>
      <w:r>
        <w:fldChar w:fldCharType="end"/>
      </w:r>
    </w:p>
    <w:p w14:paraId="5352AE52">
      <w:pPr>
        <w:pStyle w:val="5"/>
        <w:tabs>
          <w:tab w:val="right" w:leader="dot" w:pos="14562"/>
        </w:tabs>
      </w:pPr>
      <w:r>
        <w:fldChar w:fldCharType="begin"/>
      </w:r>
      <w:r>
        <w:instrText xml:space="preserve"> HYPERLINK \l "_Toc_4_4_0000000056" </w:instrText>
      </w:r>
      <w:r>
        <w:fldChar w:fldCharType="separate"/>
      </w:r>
      <w:r>
        <w:rPr>
          <w:b w:val="0"/>
        </w:rPr>
        <w:t>三十六、隆尧县第三实验小学收支预算</w:t>
      </w:r>
      <w:r>
        <w:tab/>
      </w:r>
      <w:r>
        <w:fldChar w:fldCharType="begin"/>
      </w:r>
      <w:r>
        <w:instrText xml:space="preserve">PAGEREF _Toc_4_4_0000000056 \h</w:instrText>
      </w:r>
      <w:r>
        <w:fldChar w:fldCharType="separate"/>
      </w:r>
      <w:r>
        <w:t>1363</w:t>
      </w:r>
      <w:r>
        <w:fldChar w:fldCharType="end"/>
      </w:r>
      <w:r>
        <w:fldChar w:fldCharType="end"/>
      </w:r>
    </w:p>
    <w:p w14:paraId="75DDBD43">
      <w:pPr>
        <w:pStyle w:val="5"/>
        <w:tabs>
          <w:tab w:val="right" w:leader="dot" w:pos="14562"/>
        </w:tabs>
      </w:pPr>
      <w:r>
        <w:fldChar w:fldCharType="begin"/>
      </w:r>
      <w:r>
        <w:instrText xml:space="preserve"> HYPERLINK \l "_Toc_4_4_0000000057" </w:instrText>
      </w:r>
      <w:r>
        <w:fldChar w:fldCharType="separate"/>
      </w:r>
      <w:r>
        <w:rPr>
          <w:b w:val="0"/>
        </w:rPr>
        <w:t>三十七、隆尧县第五实验小学收支预算</w:t>
      </w:r>
      <w:r>
        <w:tab/>
      </w:r>
      <w:r>
        <w:fldChar w:fldCharType="begin"/>
      </w:r>
      <w:r>
        <w:instrText xml:space="preserve">PAGEREF _Toc_4_4_0000000057 \h</w:instrText>
      </w:r>
      <w:r>
        <w:fldChar w:fldCharType="separate"/>
      </w:r>
      <w:r>
        <w:t>1386</w:t>
      </w:r>
      <w:r>
        <w:fldChar w:fldCharType="end"/>
      </w:r>
      <w:r>
        <w:fldChar w:fldCharType="end"/>
      </w:r>
    </w:p>
    <w:p w14:paraId="372AEF69">
      <w:pPr>
        <w:pStyle w:val="5"/>
        <w:tabs>
          <w:tab w:val="right" w:leader="dot" w:pos="14562"/>
        </w:tabs>
      </w:pPr>
      <w:r>
        <w:fldChar w:fldCharType="begin"/>
      </w:r>
      <w:r>
        <w:instrText xml:space="preserve"> HYPERLINK \l "_Toc_4_4_0000000058" </w:instrText>
      </w:r>
      <w:r>
        <w:fldChar w:fldCharType="separate"/>
      </w:r>
      <w:r>
        <w:rPr>
          <w:b w:val="0"/>
        </w:rPr>
        <w:t>三十八、隆尧县唐尧街小学收支预算</w:t>
      </w:r>
      <w:r>
        <w:tab/>
      </w:r>
      <w:r>
        <w:fldChar w:fldCharType="begin"/>
      </w:r>
      <w:r>
        <w:instrText xml:space="preserve">PAGEREF _Toc_4_4_0000000058 \h</w:instrText>
      </w:r>
      <w:r>
        <w:fldChar w:fldCharType="separate"/>
      </w:r>
      <w:r>
        <w:t>1412</w:t>
      </w:r>
      <w:r>
        <w:fldChar w:fldCharType="end"/>
      </w:r>
      <w:r>
        <w:fldChar w:fldCharType="end"/>
      </w:r>
    </w:p>
    <w:p w14:paraId="3F2B5B56">
      <w:pPr>
        <w:pStyle w:val="3"/>
        <w:numPr>
          <w:ilvl w:val="0"/>
          <w:numId w:val="1"/>
        </w:numPr>
        <w:sectPr>
          <w:footerReference r:id="rId3" w:type="default"/>
          <w:pgSz w:w="16840" w:h="11900" w:orient="landscape"/>
          <w:pgMar w:top="1361" w:right="1020" w:bottom="1134" w:left="1020" w:header="720" w:footer="720" w:gutter="0"/>
          <w:cols w:space="720" w:num="1"/>
        </w:sectPr>
      </w:pPr>
      <w:r>
        <w:fldChar w:fldCharType="end"/>
      </w:r>
    </w:p>
    <w:bookmarkEnd w:id="39"/>
    <w:p w14:paraId="43CDD645">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一、隆尧县教育局本级收支预算</w:t>
      </w:r>
      <w:bookmarkEnd w:id="0"/>
    </w:p>
    <w:p w14:paraId="63D66E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51F3F8C">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F59F46">
            <w:pPr>
              <w:pStyle w:val="8"/>
            </w:pPr>
            <w:r>
              <w:t>360001隆尧县教育局本级</w:t>
            </w:r>
          </w:p>
        </w:tc>
        <w:tc>
          <w:tcPr>
            <w:tcW w:w="2126" w:type="dxa"/>
            <w:tcBorders>
              <w:top w:val="single" w:color="FFFFFF" w:sz="6" w:space="0"/>
              <w:left w:val="single" w:color="FFFFFF" w:sz="6" w:space="0"/>
              <w:right w:val="single" w:color="FFFFFF" w:sz="6" w:space="0"/>
            </w:tcBorders>
            <w:vAlign w:val="center"/>
          </w:tcPr>
          <w:p w14:paraId="49ABEB3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39F3581">
            <w:pPr>
              <w:pStyle w:val="10"/>
            </w:pPr>
            <w:r>
              <w:t>单位：万元</w:t>
            </w:r>
          </w:p>
        </w:tc>
      </w:tr>
      <w:tr w14:paraId="3CEC1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C2DC81">
            <w:pPr>
              <w:pStyle w:val="11"/>
            </w:pPr>
            <w:r>
              <w:t>序号</w:t>
            </w:r>
          </w:p>
        </w:tc>
        <w:tc>
          <w:tcPr>
            <w:tcW w:w="6661" w:type="dxa"/>
            <w:gridSpan w:val="2"/>
            <w:vAlign w:val="center"/>
          </w:tcPr>
          <w:p w14:paraId="38870374">
            <w:pPr>
              <w:pStyle w:val="11"/>
            </w:pPr>
            <w:r>
              <w:t>收入</w:t>
            </w:r>
          </w:p>
        </w:tc>
        <w:tc>
          <w:tcPr>
            <w:tcW w:w="6661" w:type="dxa"/>
            <w:gridSpan w:val="2"/>
            <w:vAlign w:val="center"/>
          </w:tcPr>
          <w:p w14:paraId="0BEDED02">
            <w:pPr>
              <w:pStyle w:val="11"/>
            </w:pPr>
            <w:r>
              <w:t>支出</w:t>
            </w:r>
          </w:p>
        </w:tc>
      </w:tr>
      <w:tr w14:paraId="459C2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CE7A2C"/>
        </w:tc>
        <w:tc>
          <w:tcPr>
            <w:tcW w:w="4535" w:type="dxa"/>
            <w:vAlign w:val="center"/>
          </w:tcPr>
          <w:p w14:paraId="66BD3619">
            <w:pPr>
              <w:pStyle w:val="11"/>
            </w:pPr>
            <w:r>
              <w:t>项  目</w:t>
            </w:r>
          </w:p>
        </w:tc>
        <w:tc>
          <w:tcPr>
            <w:tcW w:w="2126" w:type="dxa"/>
            <w:vAlign w:val="center"/>
          </w:tcPr>
          <w:p w14:paraId="46817078">
            <w:pPr>
              <w:pStyle w:val="11"/>
            </w:pPr>
            <w:r>
              <w:t>预算数</w:t>
            </w:r>
          </w:p>
        </w:tc>
        <w:tc>
          <w:tcPr>
            <w:tcW w:w="4535" w:type="dxa"/>
            <w:vAlign w:val="center"/>
          </w:tcPr>
          <w:p w14:paraId="74767DC6">
            <w:pPr>
              <w:pStyle w:val="11"/>
            </w:pPr>
            <w:r>
              <w:t>项  目</w:t>
            </w:r>
          </w:p>
        </w:tc>
        <w:tc>
          <w:tcPr>
            <w:tcW w:w="2126" w:type="dxa"/>
            <w:vAlign w:val="center"/>
          </w:tcPr>
          <w:p w14:paraId="7E805F4D">
            <w:pPr>
              <w:pStyle w:val="11"/>
            </w:pPr>
            <w:r>
              <w:t>预算数</w:t>
            </w:r>
          </w:p>
        </w:tc>
      </w:tr>
      <w:tr w14:paraId="36583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F1A30">
            <w:pPr>
              <w:pStyle w:val="11"/>
            </w:pPr>
            <w:r>
              <w:t>栏次</w:t>
            </w:r>
          </w:p>
        </w:tc>
        <w:tc>
          <w:tcPr>
            <w:tcW w:w="4535" w:type="dxa"/>
            <w:vAlign w:val="center"/>
          </w:tcPr>
          <w:p w14:paraId="62D87708">
            <w:pPr>
              <w:pStyle w:val="11"/>
            </w:pPr>
            <w:r>
              <w:t>1</w:t>
            </w:r>
          </w:p>
        </w:tc>
        <w:tc>
          <w:tcPr>
            <w:tcW w:w="2126" w:type="dxa"/>
            <w:vAlign w:val="center"/>
          </w:tcPr>
          <w:p w14:paraId="343B4C6D">
            <w:pPr>
              <w:pStyle w:val="11"/>
            </w:pPr>
            <w:r>
              <w:t>2</w:t>
            </w:r>
          </w:p>
        </w:tc>
        <w:tc>
          <w:tcPr>
            <w:tcW w:w="4535" w:type="dxa"/>
            <w:vAlign w:val="center"/>
          </w:tcPr>
          <w:p w14:paraId="749544CD">
            <w:pPr>
              <w:pStyle w:val="11"/>
            </w:pPr>
            <w:r>
              <w:t>3</w:t>
            </w:r>
          </w:p>
        </w:tc>
        <w:tc>
          <w:tcPr>
            <w:tcW w:w="2126" w:type="dxa"/>
            <w:vAlign w:val="center"/>
          </w:tcPr>
          <w:p w14:paraId="2C42E7AA">
            <w:pPr>
              <w:pStyle w:val="11"/>
            </w:pPr>
            <w:r>
              <w:t>4</w:t>
            </w:r>
          </w:p>
        </w:tc>
      </w:tr>
      <w:tr w14:paraId="7F3D0651">
        <w:tblPrEx>
          <w:tblCellMar>
            <w:top w:w="0" w:type="dxa"/>
            <w:left w:w="108" w:type="dxa"/>
            <w:bottom w:w="0" w:type="dxa"/>
            <w:right w:w="108" w:type="dxa"/>
          </w:tblCellMar>
        </w:tblPrEx>
        <w:trPr>
          <w:trHeight w:val="369" w:hRule="atLeast"/>
          <w:jc w:val="center"/>
        </w:trPr>
        <w:tc>
          <w:tcPr>
            <w:tcW w:w="850" w:type="dxa"/>
            <w:vAlign w:val="center"/>
          </w:tcPr>
          <w:p w14:paraId="0A273791">
            <w:pPr>
              <w:pStyle w:val="12"/>
            </w:pPr>
            <w:r>
              <w:t>1</w:t>
            </w:r>
          </w:p>
        </w:tc>
        <w:tc>
          <w:tcPr>
            <w:tcW w:w="4535" w:type="dxa"/>
            <w:vAlign w:val="center"/>
          </w:tcPr>
          <w:p w14:paraId="07D1F6DF">
            <w:pPr>
              <w:pStyle w:val="13"/>
            </w:pPr>
            <w:r>
              <w:t>一、一般公共预算拨款收入</w:t>
            </w:r>
          </w:p>
        </w:tc>
        <w:tc>
          <w:tcPr>
            <w:tcW w:w="2126" w:type="dxa"/>
            <w:vAlign w:val="center"/>
          </w:tcPr>
          <w:p w14:paraId="52517808">
            <w:pPr>
              <w:pStyle w:val="14"/>
            </w:pPr>
            <w:r>
              <w:t>10499.51</w:t>
            </w:r>
          </w:p>
        </w:tc>
        <w:tc>
          <w:tcPr>
            <w:tcW w:w="4535" w:type="dxa"/>
            <w:vAlign w:val="center"/>
          </w:tcPr>
          <w:p w14:paraId="03D106C5">
            <w:pPr>
              <w:pStyle w:val="13"/>
            </w:pPr>
            <w:r>
              <w:t>一、一般公共服务支出</w:t>
            </w:r>
          </w:p>
        </w:tc>
        <w:tc>
          <w:tcPr>
            <w:tcW w:w="2126" w:type="dxa"/>
            <w:vAlign w:val="center"/>
          </w:tcPr>
          <w:p w14:paraId="641B726A">
            <w:pPr>
              <w:pStyle w:val="14"/>
            </w:pPr>
          </w:p>
        </w:tc>
      </w:tr>
      <w:tr w14:paraId="2A5D3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7FF7D">
            <w:pPr>
              <w:pStyle w:val="12"/>
            </w:pPr>
            <w:r>
              <w:t>2</w:t>
            </w:r>
          </w:p>
        </w:tc>
        <w:tc>
          <w:tcPr>
            <w:tcW w:w="4535" w:type="dxa"/>
            <w:vAlign w:val="center"/>
          </w:tcPr>
          <w:p w14:paraId="05717F90">
            <w:pPr>
              <w:pStyle w:val="13"/>
            </w:pPr>
            <w:r>
              <w:t>二、政府性基金预算拨款收入</w:t>
            </w:r>
          </w:p>
        </w:tc>
        <w:tc>
          <w:tcPr>
            <w:tcW w:w="2126" w:type="dxa"/>
            <w:vAlign w:val="center"/>
          </w:tcPr>
          <w:p w14:paraId="31A855C7">
            <w:pPr>
              <w:pStyle w:val="14"/>
            </w:pPr>
          </w:p>
        </w:tc>
        <w:tc>
          <w:tcPr>
            <w:tcW w:w="4535" w:type="dxa"/>
            <w:vAlign w:val="center"/>
          </w:tcPr>
          <w:p w14:paraId="53190F88">
            <w:pPr>
              <w:pStyle w:val="13"/>
            </w:pPr>
            <w:r>
              <w:t>二、外交支出</w:t>
            </w:r>
          </w:p>
        </w:tc>
        <w:tc>
          <w:tcPr>
            <w:tcW w:w="2126" w:type="dxa"/>
            <w:vAlign w:val="center"/>
          </w:tcPr>
          <w:p w14:paraId="3FB88911">
            <w:pPr>
              <w:pStyle w:val="14"/>
            </w:pPr>
          </w:p>
        </w:tc>
      </w:tr>
      <w:tr w14:paraId="179BC476">
        <w:tblPrEx>
          <w:tblCellMar>
            <w:top w:w="0" w:type="dxa"/>
            <w:left w:w="108" w:type="dxa"/>
            <w:bottom w:w="0" w:type="dxa"/>
            <w:right w:w="108" w:type="dxa"/>
          </w:tblCellMar>
        </w:tblPrEx>
        <w:trPr>
          <w:trHeight w:val="369" w:hRule="atLeast"/>
          <w:jc w:val="center"/>
        </w:trPr>
        <w:tc>
          <w:tcPr>
            <w:tcW w:w="850" w:type="dxa"/>
            <w:vAlign w:val="center"/>
          </w:tcPr>
          <w:p w14:paraId="44BFFF37">
            <w:pPr>
              <w:pStyle w:val="12"/>
            </w:pPr>
            <w:r>
              <w:t>3</w:t>
            </w:r>
          </w:p>
        </w:tc>
        <w:tc>
          <w:tcPr>
            <w:tcW w:w="4535" w:type="dxa"/>
            <w:vAlign w:val="center"/>
          </w:tcPr>
          <w:p w14:paraId="28AE443A">
            <w:pPr>
              <w:pStyle w:val="13"/>
            </w:pPr>
            <w:r>
              <w:t>三、国有资本经营预算拨款收入</w:t>
            </w:r>
          </w:p>
        </w:tc>
        <w:tc>
          <w:tcPr>
            <w:tcW w:w="2126" w:type="dxa"/>
            <w:vAlign w:val="center"/>
          </w:tcPr>
          <w:p w14:paraId="2B68F70E">
            <w:pPr>
              <w:pStyle w:val="14"/>
            </w:pPr>
          </w:p>
        </w:tc>
        <w:tc>
          <w:tcPr>
            <w:tcW w:w="4535" w:type="dxa"/>
            <w:vAlign w:val="center"/>
          </w:tcPr>
          <w:p w14:paraId="3D568A6D">
            <w:pPr>
              <w:pStyle w:val="13"/>
            </w:pPr>
            <w:r>
              <w:t>三、国防支出</w:t>
            </w:r>
          </w:p>
        </w:tc>
        <w:tc>
          <w:tcPr>
            <w:tcW w:w="2126" w:type="dxa"/>
            <w:vAlign w:val="center"/>
          </w:tcPr>
          <w:p w14:paraId="30C6F547">
            <w:pPr>
              <w:pStyle w:val="14"/>
            </w:pPr>
          </w:p>
        </w:tc>
      </w:tr>
      <w:tr w14:paraId="0187045E">
        <w:tblPrEx>
          <w:tblCellMar>
            <w:top w:w="0" w:type="dxa"/>
            <w:left w:w="108" w:type="dxa"/>
            <w:bottom w:w="0" w:type="dxa"/>
            <w:right w:w="108" w:type="dxa"/>
          </w:tblCellMar>
        </w:tblPrEx>
        <w:trPr>
          <w:trHeight w:val="369" w:hRule="atLeast"/>
          <w:jc w:val="center"/>
        </w:trPr>
        <w:tc>
          <w:tcPr>
            <w:tcW w:w="850" w:type="dxa"/>
            <w:vAlign w:val="center"/>
          </w:tcPr>
          <w:p w14:paraId="6A786385">
            <w:pPr>
              <w:pStyle w:val="12"/>
            </w:pPr>
            <w:r>
              <w:t>4</w:t>
            </w:r>
          </w:p>
        </w:tc>
        <w:tc>
          <w:tcPr>
            <w:tcW w:w="4535" w:type="dxa"/>
            <w:vAlign w:val="center"/>
          </w:tcPr>
          <w:p w14:paraId="71D385D2">
            <w:pPr>
              <w:pStyle w:val="13"/>
            </w:pPr>
            <w:r>
              <w:t>四、财政专户管理资金收入</w:t>
            </w:r>
          </w:p>
        </w:tc>
        <w:tc>
          <w:tcPr>
            <w:tcW w:w="2126" w:type="dxa"/>
            <w:vAlign w:val="center"/>
          </w:tcPr>
          <w:p w14:paraId="1CD932A0">
            <w:pPr>
              <w:pStyle w:val="14"/>
            </w:pPr>
            <w:r>
              <w:t>237.03</w:t>
            </w:r>
          </w:p>
        </w:tc>
        <w:tc>
          <w:tcPr>
            <w:tcW w:w="4535" w:type="dxa"/>
            <w:vAlign w:val="center"/>
          </w:tcPr>
          <w:p w14:paraId="0AAAC063">
            <w:pPr>
              <w:pStyle w:val="13"/>
            </w:pPr>
            <w:r>
              <w:t>四、公共安全支出</w:t>
            </w:r>
          </w:p>
        </w:tc>
        <w:tc>
          <w:tcPr>
            <w:tcW w:w="2126" w:type="dxa"/>
            <w:vAlign w:val="center"/>
          </w:tcPr>
          <w:p w14:paraId="13EDC823">
            <w:pPr>
              <w:pStyle w:val="14"/>
            </w:pPr>
          </w:p>
        </w:tc>
      </w:tr>
      <w:tr w14:paraId="1414BDBE">
        <w:tblPrEx>
          <w:tblCellMar>
            <w:top w:w="0" w:type="dxa"/>
            <w:left w:w="108" w:type="dxa"/>
            <w:bottom w:w="0" w:type="dxa"/>
            <w:right w:w="108" w:type="dxa"/>
          </w:tblCellMar>
        </w:tblPrEx>
        <w:trPr>
          <w:trHeight w:val="369" w:hRule="atLeast"/>
          <w:jc w:val="center"/>
        </w:trPr>
        <w:tc>
          <w:tcPr>
            <w:tcW w:w="850" w:type="dxa"/>
            <w:vAlign w:val="center"/>
          </w:tcPr>
          <w:p w14:paraId="2FAF50B2">
            <w:pPr>
              <w:pStyle w:val="12"/>
            </w:pPr>
            <w:r>
              <w:t>5</w:t>
            </w:r>
          </w:p>
        </w:tc>
        <w:tc>
          <w:tcPr>
            <w:tcW w:w="4535" w:type="dxa"/>
            <w:vAlign w:val="center"/>
          </w:tcPr>
          <w:p w14:paraId="5F919C44">
            <w:pPr>
              <w:pStyle w:val="13"/>
            </w:pPr>
            <w:r>
              <w:t>五、单位资金</w:t>
            </w:r>
          </w:p>
        </w:tc>
        <w:tc>
          <w:tcPr>
            <w:tcW w:w="2126" w:type="dxa"/>
            <w:vAlign w:val="center"/>
          </w:tcPr>
          <w:p w14:paraId="46D574E6">
            <w:pPr>
              <w:pStyle w:val="14"/>
            </w:pPr>
          </w:p>
        </w:tc>
        <w:tc>
          <w:tcPr>
            <w:tcW w:w="4535" w:type="dxa"/>
            <w:vAlign w:val="center"/>
          </w:tcPr>
          <w:p w14:paraId="30E02AE1">
            <w:pPr>
              <w:pStyle w:val="13"/>
            </w:pPr>
            <w:r>
              <w:t>五、教育支出</w:t>
            </w:r>
          </w:p>
        </w:tc>
        <w:tc>
          <w:tcPr>
            <w:tcW w:w="2126" w:type="dxa"/>
            <w:vAlign w:val="center"/>
          </w:tcPr>
          <w:p w14:paraId="48ECF8EB">
            <w:pPr>
              <w:pStyle w:val="14"/>
              <w:rPr>
                <w:rFonts w:hint="eastAsia" w:eastAsia="方正书宋_GBK"/>
                <w:lang w:val="en-US" w:eastAsia="zh-CN"/>
              </w:rPr>
            </w:pPr>
            <w:r>
              <w:t>9293.3</w:t>
            </w:r>
            <w:r>
              <w:rPr>
                <w:rFonts w:hint="eastAsia"/>
                <w:lang w:val="en-US" w:eastAsia="zh-CN"/>
              </w:rPr>
              <w:t>4</w:t>
            </w:r>
          </w:p>
        </w:tc>
      </w:tr>
      <w:tr w14:paraId="4BDE1E81">
        <w:tblPrEx>
          <w:tblCellMar>
            <w:top w:w="0" w:type="dxa"/>
            <w:left w:w="108" w:type="dxa"/>
            <w:bottom w:w="0" w:type="dxa"/>
            <w:right w:w="108" w:type="dxa"/>
          </w:tblCellMar>
        </w:tblPrEx>
        <w:trPr>
          <w:trHeight w:val="369" w:hRule="atLeast"/>
          <w:jc w:val="center"/>
        </w:trPr>
        <w:tc>
          <w:tcPr>
            <w:tcW w:w="850" w:type="dxa"/>
            <w:vAlign w:val="center"/>
          </w:tcPr>
          <w:p w14:paraId="646F709F">
            <w:pPr>
              <w:pStyle w:val="12"/>
            </w:pPr>
            <w:r>
              <w:t>6</w:t>
            </w:r>
          </w:p>
        </w:tc>
        <w:tc>
          <w:tcPr>
            <w:tcW w:w="4535" w:type="dxa"/>
            <w:vAlign w:val="center"/>
          </w:tcPr>
          <w:p w14:paraId="0C9CA132">
            <w:pPr>
              <w:pStyle w:val="13"/>
            </w:pPr>
          </w:p>
        </w:tc>
        <w:tc>
          <w:tcPr>
            <w:tcW w:w="2126" w:type="dxa"/>
            <w:vAlign w:val="center"/>
          </w:tcPr>
          <w:p w14:paraId="6CFA362B">
            <w:pPr>
              <w:pStyle w:val="14"/>
            </w:pPr>
          </w:p>
        </w:tc>
        <w:tc>
          <w:tcPr>
            <w:tcW w:w="4535" w:type="dxa"/>
            <w:vAlign w:val="center"/>
          </w:tcPr>
          <w:p w14:paraId="3B0D3883">
            <w:pPr>
              <w:pStyle w:val="13"/>
            </w:pPr>
            <w:r>
              <w:t>六、科学技术支出</w:t>
            </w:r>
          </w:p>
        </w:tc>
        <w:tc>
          <w:tcPr>
            <w:tcW w:w="2126" w:type="dxa"/>
            <w:vAlign w:val="center"/>
          </w:tcPr>
          <w:p w14:paraId="1F5CBA32">
            <w:pPr>
              <w:pStyle w:val="14"/>
            </w:pPr>
          </w:p>
        </w:tc>
      </w:tr>
      <w:tr w14:paraId="0DA89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4B979">
            <w:pPr>
              <w:pStyle w:val="12"/>
            </w:pPr>
            <w:r>
              <w:t>7</w:t>
            </w:r>
          </w:p>
        </w:tc>
        <w:tc>
          <w:tcPr>
            <w:tcW w:w="4535" w:type="dxa"/>
            <w:vAlign w:val="center"/>
          </w:tcPr>
          <w:p w14:paraId="4CFACC4D">
            <w:pPr>
              <w:pStyle w:val="13"/>
            </w:pPr>
          </w:p>
        </w:tc>
        <w:tc>
          <w:tcPr>
            <w:tcW w:w="2126" w:type="dxa"/>
            <w:vAlign w:val="center"/>
          </w:tcPr>
          <w:p w14:paraId="7E214889">
            <w:pPr>
              <w:pStyle w:val="14"/>
            </w:pPr>
          </w:p>
        </w:tc>
        <w:tc>
          <w:tcPr>
            <w:tcW w:w="4535" w:type="dxa"/>
            <w:vAlign w:val="center"/>
          </w:tcPr>
          <w:p w14:paraId="7698C6E1">
            <w:pPr>
              <w:pStyle w:val="13"/>
            </w:pPr>
            <w:r>
              <w:t>七、文化旅游体育与传媒支出</w:t>
            </w:r>
          </w:p>
        </w:tc>
        <w:tc>
          <w:tcPr>
            <w:tcW w:w="2126" w:type="dxa"/>
            <w:vAlign w:val="center"/>
          </w:tcPr>
          <w:p w14:paraId="4FDBFA14">
            <w:pPr>
              <w:pStyle w:val="14"/>
            </w:pPr>
          </w:p>
        </w:tc>
      </w:tr>
      <w:tr w14:paraId="01F94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E11D2">
            <w:pPr>
              <w:pStyle w:val="12"/>
            </w:pPr>
            <w:r>
              <w:t>8</w:t>
            </w:r>
          </w:p>
        </w:tc>
        <w:tc>
          <w:tcPr>
            <w:tcW w:w="4535" w:type="dxa"/>
            <w:vAlign w:val="center"/>
          </w:tcPr>
          <w:p w14:paraId="1EBCE044">
            <w:pPr>
              <w:pStyle w:val="13"/>
            </w:pPr>
          </w:p>
        </w:tc>
        <w:tc>
          <w:tcPr>
            <w:tcW w:w="2126" w:type="dxa"/>
            <w:vAlign w:val="center"/>
          </w:tcPr>
          <w:p w14:paraId="76299894">
            <w:pPr>
              <w:pStyle w:val="14"/>
            </w:pPr>
          </w:p>
        </w:tc>
        <w:tc>
          <w:tcPr>
            <w:tcW w:w="4535" w:type="dxa"/>
            <w:vAlign w:val="center"/>
          </w:tcPr>
          <w:p w14:paraId="5FA60255">
            <w:pPr>
              <w:pStyle w:val="13"/>
            </w:pPr>
            <w:r>
              <w:t>八、社会保障和就业支出</w:t>
            </w:r>
          </w:p>
        </w:tc>
        <w:tc>
          <w:tcPr>
            <w:tcW w:w="2126" w:type="dxa"/>
            <w:vAlign w:val="center"/>
          </w:tcPr>
          <w:p w14:paraId="2935ECD1">
            <w:pPr>
              <w:pStyle w:val="14"/>
            </w:pPr>
            <w:r>
              <w:t>959.60</w:t>
            </w:r>
          </w:p>
        </w:tc>
      </w:tr>
      <w:tr w14:paraId="50E4A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46836">
            <w:pPr>
              <w:pStyle w:val="12"/>
            </w:pPr>
            <w:r>
              <w:t>9</w:t>
            </w:r>
          </w:p>
        </w:tc>
        <w:tc>
          <w:tcPr>
            <w:tcW w:w="4535" w:type="dxa"/>
            <w:vAlign w:val="center"/>
          </w:tcPr>
          <w:p w14:paraId="58554D5A">
            <w:pPr>
              <w:pStyle w:val="13"/>
            </w:pPr>
          </w:p>
        </w:tc>
        <w:tc>
          <w:tcPr>
            <w:tcW w:w="2126" w:type="dxa"/>
            <w:vAlign w:val="center"/>
          </w:tcPr>
          <w:p w14:paraId="4B8E0FD7">
            <w:pPr>
              <w:pStyle w:val="14"/>
            </w:pPr>
          </w:p>
        </w:tc>
        <w:tc>
          <w:tcPr>
            <w:tcW w:w="4535" w:type="dxa"/>
            <w:vAlign w:val="center"/>
          </w:tcPr>
          <w:p w14:paraId="1F3D671B">
            <w:pPr>
              <w:pStyle w:val="13"/>
            </w:pPr>
            <w:r>
              <w:t>九、社会保险基金支出</w:t>
            </w:r>
          </w:p>
        </w:tc>
        <w:tc>
          <w:tcPr>
            <w:tcW w:w="2126" w:type="dxa"/>
            <w:vAlign w:val="center"/>
          </w:tcPr>
          <w:p w14:paraId="77145A1C">
            <w:pPr>
              <w:pStyle w:val="14"/>
            </w:pPr>
          </w:p>
        </w:tc>
      </w:tr>
      <w:tr w14:paraId="1066F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C344E">
            <w:pPr>
              <w:pStyle w:val="12"/>
            </w:pPr>
            <w:r>
              <w:t>10</w:t>
            </w:r>
          </w:p>
        </w:tc>
        <w:tc>
          <w:tcPr>
            <w:tcW w:w="4535" w:type="dxa"/>
            <w:vAlign w:val="center"/>
          </w:tcPr>
          <w:p w14:paraId="4B548947">
            <w:pPr>
              <w:pStyle w:val="13"/>
            </w:pPr>
          </w:p>
        </w:tc>
        <w:tc>
          <w:tcPr>
            <w:tcW w:w="2126" w:type="dxa"/>
            <w:vAlign w:val="center"/>
          </w:tcPr>
          <w:p w14:paraId="0826A216">
            <w:pPr>
              <w:pStyle w:val="14"/>
            </w:pPr>
          </w:p>
        </w:tc>
        <w:tc>
          <w:tcPr>
            <w:tcW w:w="4535" w:type="dxa"/>
            <w:vAlign w:val="center"/>
          </w:tcPr>
          <w:p w14:paraId="63E7F292">
            <w:pPr>
              <w:pStyle w:val="13"/>
            </w:pPr>
            <w:r>
              <w:t>十、卫生健康支出</w:t>
            </w:r>
          </w:p>
        </w:tc>
        <w:tc>
          <w:tcPr>
            <w:tcW w:w="2126" w:type="dxa"/>
            <w:vAlign w:val="center"/>
          </w:tcPr>
          <w:p w14:paraId="428EB3C2">
            <w:pPr>
              <w:pStyle w:val="14"/>
            </w:pPr>
            <w:r>
              <w:t>102.87</w:t>
            </w:r>
          </w:p>
        </w:tc>
      </w:tr>
      <w:tr w14:paraId="42193221">
        <w:tblPrEx>
          <w:tblCellMar>
            <w:top w:w="0" w:type="dxa"/>
            <w:left w:w="108" w:type="dxa"/>
            <w:bottom w:w="0" w:type="dxa"/>
            <w:right w:w="108" w:type="dxa"/>
          </w:tblCellMar>
        </w:tblPrEx>
        <w:trPr>
          <w:trHeight w:val="369" w:hRule="atLeast"/>
          <w:jc w:val="center"/>
        </w:trPr>
        <w:tc>
          <w:tcPr>
            <w:tcW w:w="850" w:type="dxa"/>
            <w:vAlign w:val="center"/>
          </w:tcPr>
          <w:p w14:paraId="4AD8AEE3">
            <w:pPr>
              <w:pStyle w:val="12"/>
            </w:pPr>
            <w:r>
              <w:t>11</w:t>
            </w:r>
          </w:p>
        </w:tc>
        <w:tc>
          <w:tcPr>
            <w:tcW w:w="4535" w:type="dxa"/>
            <w:vAlign w:val="center"/>
          </w:tcPr>
          <w:p w14:paraId="1FC9763B">
            <w:pPr>
              <w:pStyle w:val="13"/>
            </w:pPr>
          </w:p>
        </w:tc>
        <w:tc>
          <w:tcPr>
            <w:tcW w:w="2126" w:type="dxa"/>
            <w:vAlign w:val="center"/>
          </w:tcPr>
          <w:p w14:paraId="2945F8A5">
            <w:pPr>
              <w:pStyle w:val="14"/>
            </w:pPr>
          </w:p>
        </w:tc>
        <w:tc>
          <w:tcPr>
            <w:tcW w:w="4535" w:type="dxa"/>
            <w:vAlign w:val="center"/>
          </w:tcPr>
          <w:p w14:paraId="10119A3F">
            <w:pPr>
              <w:pStyle w:val="13"/>
            </w:pPr>
            <w:r>
              <w:t>十一、节能环保支出</w:t>
            </w:r>
          </w:p>
        </w:tc>
        <w:tc>
          <w:tcPr>
            <w:tcW w:w="2126" w:type="dxa"/>
            <w:vAlign w:val="center"/>
          </w:tcPr>
          <w:p w14:paraId="379E2B0B">
            <w:pPr>
              <w:pStyle w:val="14"/>
            </w:pPr>
          </w:p>
        </w:tc>
      </w:tr>
      <w:tr w14:paraId="7CFF3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37B03">
            <w:pPr>
              <w:pStyle w:val="12"/>
            </w:pPr>
            <w:r>
              <w:t>12</w:t>
            </w:r>
          </w:p>
        </w:tc>
        <w:tc>
          <w:tcPr>
            <w:tcW w:w="4535" w:type="dxa"/>
            <w:vAlign w:val="center"/>
          </w:tcPr>
          <w:p w14:paraId="31D4FA42">
            <w:pPr>
              <w:pStyle w:val="13"/>
            </w:pPr>
          </w:p>
        </w:tc>
        <w:tc>
          <w:tcPr>
            <w:tcW w:w="2126" w:type="dxa"/>
            <w:vAlign w:val="center"/>
          </w:tcPr>
          <w:p w14:paraId="034FBF9F">
            <w:pPr>
              <w:pStyle w:val="14"/>
            </w:pPr>
          </w:p>
        </w:tc>
        <w:tc>
          <w:tcPr>
            <w:tcW w:w="4535" w:type="dxa"/>
            <w:vAlign w:val="center"/>
          </w:tcPr>
          <w:p w14:paraId="2B6D2727">
            <w:pPr>
              <w:pStyle w:val="13"/>
            </w:pPr>
            <w:r>
              <w:t>十二、城乡社区支出</w:t>
            </w:r>
          </w:p>
        </w:tc>
        <w:tc>
          <w:tcPr>
            <w:tcW w:w="2126" w:type="dxa"/>
            <w:vAlign w:val="center"/>
          </w:tcPr>
          <w:p w14:paraId="6E36CF9B">
            <w:pPr>
              <w:pStyle w:val="14"/>
            </w:pPr>
          </w:p>
        </w:tc>
      </w:tr>
      <w:tr w14:paraId="51478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2811C">
            <w:pPr>
              <w:pStyle w:val="12"/>
            </w:pPr>
            <w:r>
              <w:t>13</w:t>
            </w:r>
          </w:p>
        </w:tc>
        <w:tc>
          <w:tcPr>
            <w:tcW w:w="4535" w:type="dxa"/>
            <w:vAlign w:val="center"/>
          </w:tcPr>
          <w:p w14:paraId="2D892798">
            <w:pPr>
              <w:pStyle w:val="13"/>
            </w:pPr>
          </w:p>
        </w:tc>
        <w:tc>
          <w:tcPr>
            <w:tcW w:w="2126" w:type="dxa"/>
            <w:vAlign w:val="center"/>
          </w:tcPr>
          <w:p w14:paraId="2DA263E7">
            <w:pPr>
              <w:pStyle w:val="14"/>
            </w:pPr>
          </w:p>
        </w:tc>
        <w:tc>
          <w:tcPr>
            <w:tcW w:w="4535" w:type="dxa"/>
            <w:vAlign w:val="center"/>
          </w:tcPr>
          <w:p w14:paraId="3B56B3ED">
            <w:pPr>
              <w:pStyle w:val="13"/>
            </w:pPr>
            <w:r>
              <w:t>十三、农林水支出</w:t>
            </w:r>
          </w:p>
        </w:tc>
        <w:tc>
          <w:tcPr>
            <w:tcW w:w="2126" w:type="dxa"/>
            <w:vAlign w:val="center"/>
          </w:tcPr>
          <w:p w14:paraId="4759F83D">
            <w:pPr>
              <w:pStyle w:val="14"/>
            </w:pPr>
          </w:p>
        </w:tc>
      </w:tr>
      <w:tr w14:paraId="61FA4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4BFBF">
            <w:pPr>
              <w:pStyle w:val="12"/>
            </w:pPr>
            <w:r>
              <w:t>14</w:t>
            </w:r>
          </w:p>
        </w:tc>
        <w:tc>
          <w:tcPr>
            <w:tcW w:w="4535" w:type="dxa"/>
            <w:vAlign w:val="center"/>
          </w:tcPr>
          <w:p w14:paraId="693D1EBE">
            <w:pPr>
              <w:pStyle w:val="13"/>
            </w:pPr>
          </w:p>
        </w:tc>
        <w:tc>
          <w:tcPr>
            <w:tcW w:w="2126" w:type="dxa"/>
            <w:vAlign w:val="center"/>
          </w:tcPr>
          <w:p w14:paraId="4EA045EB">
            <w:pPr>
              <w:pStyle w:val="14"/>
            </w:pPr>
          </w:p>
        </w:tc>
        <w:tc>
          <w:tcPr>
            <w:tcW w:w="4535" w:type="dxa"/>
            <w:vAlign w:val="center"/>
          </w:tcPr>
          <w:p w14:paraId="5551DF3D">
            <w:pPr>
              <w:pStyle w:val="13"/>
            </w:pPr>
            <w:r>
              <w:t>十四、交通运输支出</w:t>
            </w:r>
          </w:p>
        </w:tc>
        <w:tc>
          <w:tcPr>
            <w:tcW w:w="2126" w:type="dxa"/>
            <w:vAlign w:val="center"/>
          </w:tcPr>
          <w:p w14:paraId="53D53BF8">
            <w:pPr>
              <w:pStyle w:val="14"/>
            </w:pPr>
          </w:p>
        </w:tc>
      </w:tr>
      <w:tr w14:paraId="56A06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48838">
            <w:pPr>
              <w:pStyle w:val="12"/>
            </w:pPr>
            <w:r>
              <w:t>15</w:t>
            </w:r>
          </w:p>
        </w:tc>
        <w:tc>
          <w:tcPr>
            <w:tcW w:w="4535" w:type="dxa"/>
            <w:vAlign w:val="center"/>
          </w:tcPr>
          <w:p w14:paraId="67F79D87">
            <w:pPr>
              <w:pStyle w:val="13"/>
            </w:pPr>
          </w:p>
        </w:tc>
        <w:tc>
          <w:tcPr>
            <w:tcW w:w="2126" w:type="dxa"/>
            <w:vAlign w:val="center"/>
          </w:tcPr>
          <w:p w14:paraId="64DD3C3E">
            <w:pPr>
              <w:pStyle w:val="14"/>
            </w:pPr>
          </w:p>
        </w:tc>
        <w:tc>
          <w:tcPr>
            <w:tcW w:w="4535" w:type="dxa"/>
            <w:vAlign w:val="center"/>
          </w:tcPr>
          <w:p w14:paraId="095B45F3">
            <w:pPr>
              <w:pStyle w:val="13"/>
            </w:pPr>
            <w:r>
              <w:t>十五、资源勘探工业信息等支出</w:t>
            </w:r>
          </w:p>
        </w:tc>
        <w:tc>
          <w:tcPr>
            <w:tcW w:w="2126" w:type="dxa"/>
            <w:vAlign w:val="center"/>
          </w:tcPr>
          <w:p w14:paraId="6CB87791">
            <w:pPr>
              <w:pStyle w:val="14"/>
            </w:pPr>
          </w:p>
        </w:tc>
      </w:tr>
      <w:tr w14:paraId="4B333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E59A5">
            <w:pPr>
              <w:pStyle w:val="12"/>
            </w:pPr>
            <w:r>
              <w:t>16</w:t>
            </w:r>
          </w:p>
        </w:tc>
        <w:tc>
          <w:tcPr>
            <w:tcW w:w="4535" w:type="dxa"/>
            <w:vAlign w:val="center"/>
          </w:tcPr>
          <w:p w14:paraId="426B1CC3">
            <w:pPr>
              <w:pStyle w:val="13"/>
            </w:pPr>
          </w:p>
        </w:tc>
        <w:tc>
          <w:tcPr>
            <w:tcW w:w="2126" w:type="dxa"/>
            <w:vAlign w:val="center"/>
          </w:tcPr>
          <w:p w14:paraId="02EEC027">
            <w:pPr>
              <w:pStyle w:val="14"/>
            </w:pPr>
          </w:p>
        </w:tc>
        <w:tc>
          <w:tcPr>
            <w:tcW w:w="4535" w:type="dxa"/>
            <w:vAlign w:val="center"/>
          </w:tcPr>
          <w:p w14:paraId="59682D73">
            <w:pPr>
              <w:pStyle w:val="13"/>
            </w:pPr>
            <w:r>
              <w:t>十六、商业服务业等支出</w:t>
            </w:r>
          </w:p>
        </w:tc>
        <w:tc>
          <w:tcPr>
            <w:tcW w:w="2126" w:type="dxa"/>
            <w:vAlign w:val="center"/>
          </w:tcPr>
          <w:p w14:paraId="29BBEFD7">
            <w:pPr>
              <w:pStyle w:val="14"/>
            </w:pPr>
          </w:p>
        </w:tc>
      </w:tr>
      <w:tr w14:paraId="3B596C1C">
        <w:tblPrEx>
          <w:tblCellMar>
            <w:top w:w="0" w:type="dxa"/>
            <w:left w:w="108" w:type="dxa"/>
            <w:bottom w:w="0" w:type="dxa"/>
            <w:right w:w="108" w:type="dxa"/>
          </w:tblCellMar>
        </w:tblPrEx>
        <w:trPr>
          <w:trHeight w:val="369" w:hRule="atLeast"/>
          <w:jc w:val="center"/>
        </w:trPr>
        <w:tc>
          <w:tcPr>
            <w:tcW w:w="850" w:type="dxa"/>
            <w:vAlign w:val="center"/>
          </w:tcPr>
          <w:p w14:paraId="4BD782D6">
            <w:pPr>
              <w:pStyle w:val="12"/>
            </w:pPr>
            <w:r>
              <w:t>17</w:t>
            </w:r>
          </w:p>
        </w:tc>
        <w:tc>
          <w:tcPr>
            <w:tcW w:w="4535" w:type="dxa"/>
            <w:vAlign w:val="center"/>
          </w:tcPr>
          <w:p w14:paraId="21F4B100">
            <w:pPr>
              <w:pStyle w:val="13"/>
            </w:pPr>
          </w:p>
        </w:tc>
        <w:tc>
          <w:tcPr>
            <w:tcW w:w="2126" w:type="dxa"/>
            <w:vAlign w:val="center"/>
          </w:tcPr>
          <w:p w14:paraId="7B561D26">
            <w:pPr>
              <w:pStyle w:val="14"/>
            </w:pPr>
          </w:p>
        </w:tc>
        <w:tc>
          <w:tcPr>
            <w:tcW w:w="4535" w:type="dxa"/>
            <w:vAlign w:val="center"/>
          </w:tcPr>
          <w:p w14:paraId="7E228881">
            <w:pPr>
              <w:pStyle w:val="13"/>
            </w:pPr>
            <w:r>
              <w:t>十七、金融支出</w:t>
            </w:r>
          </w:p>
        </w:tc>
        <w:tc>
          <w:tcPr>
            <w:tcW w:w="2126" w:type="dxa"/>
            <w:vAlign w:val="center"/>
          </w:tcPr>
          <w:p w14:paraId="4B739844">
            <w:pPr>
              <w:pStyle w:val="14"/>
            </w:pPr>
          </w:p>
        </w:tc>
      </w:tr>
      <w:tr w14:paraId="67A66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A016C">
            <w:pPr>
              <w:pStyle w:val="12"/>
            </w:pPr>
            <w:r>
              <w:t>18</w:t>
            </w:r>
          </w:p>
        </w:tc>
        <w:tc>
          <w:tcPr>
            <w:tcW w:w="4535" w:type="dxa"/>
            <w:vAlign w:val="center"/>
          </w:tcPr>
          <w:p w14:paraId="5B36F002">
            <w:pPr>
              <w:pStyle w:val="13"/>
            </w:pPr>
          </w:p>
        </w:tc>
        <w:tc>
          <w:tcPr>
            <w:tcW w:w="2126" w:type="dxa"/>
            <w:vAlign w:val="center"/>
          </w:tcPr>
          <w:p w14:paraId="1D7598C9">
            <w:pPr>
              <w:pStyle w:val="14"/>
            </w:pPr>
          </w:p>
        </w:tc>
        <w:tc>
          <w:tcPr>
            <w:tcW w:w="4535" w:type="dxa"/>
            <w:vAlign w:val="center"/>
          </w:tcPr>
          <w:p w14:paraId="031D1F0C">
            <w:pPr>
              <w:pStyle w:val="13"/>
            </w:pPr>
            <w:r>
              <w:t>十八、援助其他地区支出</w:t>
            </w:r>
          </w:p>
        </w:tc>
        <w:tc>
          <w:tcPr>
            <w:tcW w:w="2126" w:type="dxa"/>
            <w:vAlign w:val="center"/>
          </w:tcPr>
          <w:p w14:paraId="713D6E4A">
            <w:pPr>
              <w:pStyle w:val="14"/>
            </w:pPr>
          </w:p>
        </w:tc>
      </w:tr>
      <w:tr w14:paraId="059A019E">
        <w:tblPrEx>
          <w:tblCellMar>
            <w:top w:w="0" w:type="dxa"/>
            <w:left w:w="108" w:type="dxa"/>
            <w:bottom w:w="0" w:type="dxa"/>
            <w:right w:w="108" w:type="dxa"/>
          </w:tblCellMar>
        </w:tblPrEx>
        <w:trPr>
          <w:trHeight w:val="369" w:hRule="atLeast"/>
          <w:jc w:val="center"/>
        </w:trPr>
        <w:tc>
          <w:tcPr>
            <w:tcW w:w="850" w:type="dxa"/>
            <w:vAlign w:val="center"/>
          </w:tcPr>
          <w:p w14:paraId="0C0E6C55">
            <w:pPr>
              <w:pStyle w:val="12"/>
            </w:pPr>
            <w:r>
              <w:t>19</w:t>
            </w:r>
          </w:p>
        </w:tc>
        <w:tc>
          <w:tcPr>
            <w:tcW w:w="4535" w:type="dxa"/>
            <w:vAlign w:val="center"/>
          </w:tcPr>
          <w:p w14:paraId="485A755C">
            <w:pPr>
              <w:pStyle w:val="13"/>
            </w:pPr>
          </w:p>
        </w:tc>
        <w:tc>
          <w:tcPr>
            <w:tcW w:w="2126" w:type="dxa"/>
            <w:vAlign w:val="center"/>
          </w:tcPr>
          <w:p w14:paraId="1AF6DE96">
            <w:pPr>
              <w:pStyle w:val="14"/>
            </w:pPr>
          </w:p>
        </w:tc>
        <w:tc>
          <w:tcPr>
            <w:tcW w:w="4535" w:type="dxa"/>
            <w:vAlign w:val="center"/>
          </w:tcPr>
          <w:p w14:paraId="45FF2ABB">
            <w:pPr>
              <w:pStyle w:val="13"/>
            </w:pPr>
            <w:r>
              <w:t>十九、自然资源海洋气象等支出</w:t>
            </w:r>
          </w:p>
        </w:tc>
        <w:tc>
          <w:tcPr>
            <w:tcW w:w="2126" w:type="dxa"/>
            <w:vAlign w:val="center"/>
          </w:tcPr>
          <w:p w14:paraId="07B0EF6B">
            <w:pPr>
              <w:pStyle w:val="14"/>
            </w:pPr>
          </w:p>
        </w:tc>
      </w:tr>
      <w:tr w14:paraId="36371236">
        <w:tblPrEx>
          <w:tblCellMar>
            <w:top w:w="0" w:type="dxa"/>
            <w:left w:w="108" w:type="dxa"/>
            <w:bottom w:w="0" w:type="dxa"/>
            <w:right w:w="108" w:type="dxa"/>
          </w:tblCellMar>
        </w:tblPrEx>
        <w:trPr>
          <w:trHeight w:val="369" w:hRule="atLeast"/>
          <w:jc w:val="center"/>
        </w:trPr>
        <w:tc>
          <w:tcPr>
            <w:tcW w:w="850" w:type="dxa"/>
            <w:vAlign w:val="center"/>
          </w:tcPr>
          <w:p w14:paraId="044B0F31">
            <w:pPr>
              <w:pStyle w:val="12"/>
            </w:pPr>
            <w:r>
              <w:t>20</w:t>
            </w:r>
          </w:p>
        </w:tc>
        <w:tc>
          <w:tcPr>
            <w:tcW w:w="4535" w:type="dxa"/>
            <w:vAlign w:val="center"/>
          </w:tcPr>
          <w:p w14:paraId="1468DAF5">
            <w:pPr>
              <w:pStyle w:val="13"/>
            </w:pPr>
          </w:p>
        </w:tc>
        <w:tc>
          <w:tcPr>
            <w:tcW w:w="2126" w:type="dxa"/>
            <w:vAlign w:val="center"/>
          </w:tcPr>
          <w:p w14:paraId="45E18D68">
            <w:pPr>
              <w:pStyle w:val="14"/>
            </w:pPr>
          </w:p>
        </w:tc>
        <w:tc>
          <w:tcPr>
            <w:tcW w:w="4535" w:type="dxa"/>
            <w:vAlign w:val="center"/>
          </w:tcPr>
          <w:p w14:paraId="2C499C35">
            <w:pPr>
              <w:pStyle w:val="13"/>
            </w:pPr>
            <w:r>
              <w:t>二十、住房保障支出</w:t>
            </w:r>
          </w:p>
        </w:tc>
        <w:tc>
          <w:tcPr>
            <w:tcW w:w="2126" w:type="dxa"/>
            <w:vAlign w:val="center"/>
          </w:tcPr>
          <w:p w14:paraId="52CCEF4B">
            <w:pPr>
              <w:pStyle w:val="14"/>
            </w:pPr>
            <w:r>
              <w:t>880.03</w:t>
            </w:r>
          </w:p>
        </w:tc>
      </w:tr>
      <w:tr w14:paraId="7FAEEA8D">
        <w:tblPrEx>
          <w:tblCellMar>
            <w:top w:w="0" w:type="dxa"/>
            <w:left w:w="108" w:type="dxa"/>
            <w:bottom w:w="0" w:type="dxa"/>
            <w:right w:w="108" w:type="dxa"/>
          </w:tblCellMar>
        </w:tblPrEx>
        <w:trPr>
          <w:trHeight w:val="369" w:hRule="atLeast"/>
          <w:jc w:val="center"/>
        </w:trPr>
        <w:tc>
          <w:tcPr>
            <w:tcW w:w="850" w:type="dxa"/>
            <w:vAlign w:val="center"/>
          </w:tcPr>
          <w:p w14:paraId="4DB00107">
            <w:pPr>
              <w:pStyle w:val="12"/>
            </w:pPr>
            <w:r>
              <w:t>21</w:t>
            </w:r>
          </w:p>
        </w:tc>
        <w:tc>
          <w:tcPr>
            <w:tcW w:w="4535" w:type="dxa"/>
            <w:vAlign w:val="center"/>
          </w:tcPr>
          <w:p w14:paraId="79327815">
            <w:pPr>
              <w:pStyle w:val="13"/>
            </w:pPr>
          </w:p>
        </w:tc>
        <w:tc>
          <w:tcPr>
            <w:tcW w:w="2126" w:type="dxa"/>
            <w:vAlign w:val="center"/>
          </w:tcPr>
          <w:p w14:paraId="56D3058C">
            <w:pPr>
              <w:pStyle w:val="14"/>
            </w:pPr>
          </w:p>
        </w:tc>
        <w:tc>
          <w:tcPr>
            <w:tcW w:w="4535" w:type="dxa"/>
            <w:vAlign w:val="center"/>
          </w:tcPr>
          <w:p w14:paraId="7A5BA20C">
            <w:pPr>
              <w:pStyle w:val="13"/>
            </w:pPr>
            <w:r>
              <w:t>二十一、粮油物资储备支出</w:t>
            </w:r>
          </w:p>
        </w:tc>
        <w:tc>
          <w:tcPr>
            <w:tcW w:w="2126" w:type="dxa"/>
            <w:vAlign w:val="center"/>
          </w:tcPr>
          <w:p w14:paraId="6E4CAF95">
            <w:pPr>
              <w:pStyle w:val="14"/>
            </w:pPr>
          </w:p>
        </w:tc>
      </w:tr>
      <w:tr w14:paraId="2632F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04431">
            <w:pPr>
              <w:pStyle w:val="12"/>
            </w:pPr>
            <w:r>
              <w:t>22</w:t>
            </w:r>
          </w:p>
        </w:tc>
        <w:tc>
          <w:tcPr>
            <w:tcW w:w="4535" w:type="dxa"/>
            <w:vAlign w:val="center"/>
          </w:tcPr>
          <w:p w14:paraId="7549BDB0">
            <w:pPr>
              <w:pStyle w:val="13"/>
            </w:pPr>
          </w:p>
        </w:tc>
        <w:tc>
          <w:tcPr>
            <w:tcW w:w="2126" w:type="dxa"/>
            <w:vAlign w:val="center"/>
          </w:tcPr>
          <w:p w14:paraId="5E780F64">
            <w:pPr>
              <w:pStyle w:val="14"/>
            </w:pPr>
          </w:p>
        </w:tc>
        <w:tc>
          <w:tcPr>
            <w:tcW w:w="4535" w:type="dxa"/>
            <w:vAlign w:val="center"/>
          </w:tcPr>
          <w:p w14:paraId="047DA6B1">
            <w:pPr>
              <w:pStyle w:val="13"/>
            </w:pPr>
            <w:r>
              <w:t>二十二、国有资本经营预算支出</w:t>
            </w:r>
          </w:p>
        </w:tc>
        <w:tc>
          <w:tcPr>
            <w:tcW w:w="2126" w:type="dxa"/>
            <w:vAlign w:val="center"/>
          </w:tcPr>
          <w:p w14:paraId="5F733458">
            <w:pPr>
              <w:pStyle w:val="14"/>
            </w:pPr>
          </w:p>
        </w:tc>
      </w:tr>
      <w:tr w14:paraId="6BDD2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6BC0D">
            <w:pPr>
              <w:pStyle w:val="12"/>
            </w:pPr>
            <w:r>
              <w:t>23</w:t>
            </w:r>
          </w:p>
        </w:tc>
        <w:tc>
          <w:tcPr>
            <w:tcW w:w="4535" w:type="dxa"/>
            <w:vAlign w:val="center"/>
          </w:tcPr>
          <w:p w14:paraId="067C8875">
            <w:pPr>
              <w:pStyle w:val="13"/>
            </w:pPr>
          </w:p>
        </w:tc>
        <w:tc>
          <w:tcPr>
            <w:tcW w:w="2126" w:type="dxa"/>
            <w:vAlign w:val="center"/>
          </w:tcPr>
          <w:p w14:paraId="1794D973">
            <w:pPr>
              <w:pStyle w:val="14"/>
            </w:pPr>
          </w:p>
        </w:tc>
        <w:tc>
          <w:tcPr>
            <w:tcW w:w="4535" w:type="dxa"/>
            <w:vAlign w:val="center"/>
          </w:tcPr>
          <w:p w14:paraId="61699AB5">
            <w:pPr>
              <w:pStyle w:val="13"/>
            </w:pPr>
            <w:r>
              <w:t>二十三、灾害防治及应急管理支出</w:t>
            </w:r>
          </w:p>
        </w:tc>
        <w:tc>
          <w:tcPr>
            <w:tcW w:w="2126" w:type="dxa"/>
            <w:vAlign w:val="center"/>
          </w:tcPr>
          <w:p w14:paraId="2E85FD64">
            <w:pPr>
              <w:pStyle w:val="14"/>
            </w:pPr>
          </w:p>
        </w:tc>
      </w:tr>
      <w:tr w14:paraId="51996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80950">
            <w:pPr>
              <w:pStyle w:val="12"/>
            </w:pPr>
            <w:r>
              <w:t>24</w:t>
            </w:r>
          </w:p>
        </w:tc>
        <w:tc>
          <w:tcPr>
            <w:tcW w:w="4535" w:type="dxa"/>
            <w:vAlign w:val="center"/>
          </w:tcPr>
          <w:p w14:paraId="56A11B7E">
            <w:pPr>
              <w:pStyle w:val="13"/>
            </w:pPr>
          </w:p>
        </w:tc>
        <w:tc>
          <w:tcPr>
            <w:tcW w:w="2126" w:type="dxa"/>
            <w:vAlign w:val="center"/>
          </w:tcPr>
          <w:p w14:paraId="65666AC0">
            <w:pPr>
              <w:pStyle w:val="14"/>
            </w:pPr>
          </w:p>
        </w:tc>
        <w:tc>
          <w:tcPr>
            <w:tcW w:w="4535" w:type="dxa"/>
            <w:vAlign w:val="center"/>
          </w:tcPr>
          <w:p w14:paraId="720136BF">
            <w:pPr>
              <w:pStyle w:val="13"/>
            </w:pPr>
            <w:r>
              <w:t>二十四、预备费</w:t>
            </w:r>
          </w:p>
        </w:tc>
        <w:tc>
          <w:tcPr>
            <w:tcW w:w="2126" w:type="dxa"/>
            <w:vAlign w:val="center"/>
          </w:tcPr>
          <w:p w14:paraId="5427CDAC">
            <w:pPr>
              <w:pStyle w:val="14"/>
            </w:pPr>
          </w:p>
        </w:tc>
      </w:tr>
      <w:tr w14:paraId="0B125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2AB2F">
            <w:pPr>
              <w:pStyle w:val="12"/>
            </w:pPr>
            <w:r>
              <w:t>25</w:t>
            </w:r>
          </w:p>
        </w:tc>
        <w:tc>
          <w:tcPr>
            <w:tcW w:w="4535" w:type="dxa"/>
            <w:vAlign w:val="center"/>
          </w:tcPr>
          <w:p w14:paraId="63E1F1B6">
            <w:pPr>
              <w:pStyle w:val="13"/>
            </w:pPr>
          </w:p>
        </w:tc>
        <w:tc>
          <w:tcPr>
            <w:tcW w:w="2126" w:type="dxa"/>
            <w:vAlign w:val="center"/>
          </w:tcPr>
          <w:p w14:paraId="451635D4">
            <w:pPr>
              <w:pStyle w:val="14"/>
            </w:pPr>
          </w:p>
        </w:tc>
        <w:tc>
          <w:tcPr>
            <w:tcW w:w="4535" w:type="dxa"/>
            <w:vAlign w:val="center"/>
          </w:tcPr>
          <w:p w14:paraId="6DC9C119">
            <w:pPr>
              <w:pStyle w:val="13"/>
            </w:pPr>
            <w:r>
              <w:t>二十五、其他支出</w:t>
            </w:r>
          </w:p>
        </w:tc>
        <w:tc>
          <w:tcPr>
            <w:tcW w:w="2126" w:type="dxa"/>
            <w:vAlign w:val="center"/>
          </w:tcPr>
          <w:p w14:paraId="32EC76BE">
            <w:pPr>
              <w:pStyle w:val="14"/>
            </w:pPr>
          </w:p>
        </w:tc>
      </w:tr>
      <w:tr w14:paraId="272D4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8B6C3">
            <w:pPr>
              <w:pStyle w:val="12"/>
            </w:pPr>
            <w:r>
              <w:t>26</w:t>
            </w:r>
          </w:p>
        </w:tc>
        <w:tc>
          <w:tcPr>
            <w:tcW w:w="4535" w:type="dxa"/>
            <w:vAlign w:val="center"/>
          </w:tcPr>
          <w:p w14:paraId="0D01B382">
            <w:pPr>
              <w:pStyle w:val="13"/>
            </w:pPr>
          </w:p>
        </w:tc>
        <w:tc>
          <w:tcPr>
            <w:tcW w:w="2126" w:type="dxa"/>
            <w:vAlign w:val="center"/>
          </w:tcPr>
          <w:p w14:paraId="35923D04">
            <w:pPr>
              <w:pStyle w:val="14"/>
            </w:pPr>
          </w:p>
        </w:tc>
        <w:tc>
          <w:tcPr>
            <w:tcW w:w="4535" w:type="dxa"/>
            <w:vAlign w:val="center"/>
          </w:tcPr>
          <w:p w14:paraId="548652C1">
            <w:pPr>
              <w:pStyle w:val="13"/>
            </w:pPr>
            <w:r>
              <w:t>二十六、转移性支出</w:t>
            </w:r>
          </w:p>
        </w:tc>
        <w:tc>
          <w:tcPr>
            <w:tcW w:w="2126" w:type="dxa"/>
            <w:vAlign w:val="center"/>
          </w:tcPr>
          <w:p w14:paraId="026934DE">
            <w:pPr>
              <w:pStyle w:val="14"/>
            </w:pPr>
          </w:p>
        </w:tc>
      </w:tr>
      <w:tr w14:paraId="04B9A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A0CB8">
            <w:pPr>
              <w:pStyle w:val="12"/>
            </w:pPr>
            <w:r>
              <w:t>27</w:t>
            </w:r>
          </w:p>
        </w:tc>
        <w:tc>
          <w:tcPr>
            <w:tcW w:w="4535" w:type="dxa"/>
            <w:vAlign w:val="center"/>
          </w:tcPr>
          <w:p w14:paraId="49C09EFF">
            <w:pPr>
              <w:pStyle w:val="13"/>
            </w:pPr>
          </w:p>
        </w:tc>
        <w:tc>
          <w:tcPr>
            <w:tcW w:w="2126" w:type="dxa"/>
            <w:vAlign w:val="center"/>
          </w:tcPr>
          <w:p w14:paraId="629347C2">
            <w:pPr>
              <w:pStyle w:val="14"/>
            </w:pPr>
          </w:p>
        </w:tc>
        <w:tc>
          <w:tcPr>
            <w:tcW w:w="4535" w:type="dxa"/>
            <w:vAlign w:val="center"/>
          </w:tcPr>
          <w:p w14:paraId="6968E857">
            <w:pPr>
              <w:pStyle w:val="13"/>
            </w:pPr>
            <w:r>
              <w:t>二十七、债务还本支出</w:t>
            </w:r>
          </w:p>
        </w:tc>
        <w:tc>
          <w:tcPr>
            <w:tcW w:w="2126" w:type="dxa"/>
            <w:vAlign w:val="center"/>
          </w:tcPr>
          <w:p w14:paraId="47C4DD87">
            <w:pPr>
              <w:pStyle w:val="14"/>
            </w:pPr>
          </w:p>
        </w:tc>
      </w:tr>
      <w:tr w14:paraId="2A3C8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C7690">
            <w:pPr>
              <w:pStyle w:val="12"/>
            </w:pPr>
            <w:r>
              <w:t>28</w:t>
            </w:r>
          </w:p>
        </w:tc>
        <w:tc>
          <w:tcPr>
            <w:tcW w:w="4535" w:type="dxa"/>
            <w:vAlign w:val="center"/>
          </w:tcPr>
          <w:p w14:paraId="0877A6BB">
            <w:pPr>
              <w:pStyle w:val="13"/>
            </w:pPr>
          </w:p>
        </w:tc>
        <w:tc>
          <w:tcPr>
            <w:tcW w:w="2126" w:type="dxa"/>
            <w:vAlign w:val="center"/>
          </w:tcPr>
          <w:p w14:paraId="231A481B">
            <w:pPr>
              <w:pStyle w:val="14"/>
            </w:pPr>
          </w:p>
        </w:tc>
        <w:tc>
          <w:tcPr>
            <w:tcW w:w="4535" w:type="dxa"/>
            <w:vAlign w:val="center"/>
          </w:tcPr>
          <w:p w14:paraId="5CB95BFF">
            <w:pPr>
              <w:pStyle w:val="13"/>
            </w:pPr>
            <w:r>
              <w:t>二十八、债务付息支出</w:t>
            </w:r>
          </w:p>
        </w:tc>
        <w:tc>
          <w:tcPr>
            <w:tcW w:w="2126" w:type="dxa"/>
            <w:vAlign w:val="center"/>
          </w:tcPr>
          <w:p w14:paraId="07875CF3">
            <w:pPr>
              <w:pStyle w:val="14"/>
            </w:pPr>
          </w:p>
        </w:tc>
      </w:tr>
      <w:tr w14:paraId="458C5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06617">
            <w:pPr>
              <w:pStyle w:val="12"/>
            </w:pPr>
            <w:r>
              <w:t>29</w:t>
            </w:r>
          </w:p>
        </w:tc>
        <w:tc>
          <w:tcPr>
            <w:tcW w:w="4535" w:type="dxa"/>
            <w:vAlign w:val="center"/>
          </w:tcPr>
          <w:p w14:paraId="1A5362DB">
            <w:pPr>
              <w:pStyle w:val="13"/>
            </w:pPr>
          </w:p>
        </w:tc>
        <w:tc>
          <w:tcPr>
            <w:tcW w:w="2126" w:type="dxa"/>
            <w:vAlign w:val="center"/>
          </w:tcPr>
          <w:p w14:paraId="6A7D1F6E">
            <w:pPr>
              <w:pStyle w:val="14"/>
            </w:pPr>
          </w:p>
        </w:tc>
        <w:tc>
          <w:tcPr>
            <w:tcW w:w="4535" w:type="dxa"/>
            <w:vAlign w:val="center"/>
          </w:tcPr>
          <w:p w14:paraId="735E8172">
            <w:pPr>
              <w:pStyle w:val="13"/>
            </w:pPr>
            <w:r>
              <w:t>二十九、债务发行费用支出</w:t>
            </w:r>
          </w:p>
        </w:tc>
        <w:tc>
          <w:tcPr>
            <w:tcW w:w="2126" w:type="dxa"/>
            <w:vAlign w:val="center"/>
          </w:tcPr>
          <w:p w14:paraId="6C1167B2">
            <w:pPr>
              <w:pStyle w:val="14"/>
            </w:pPr>
          </w:p>
        </w:tc>
      </w:tr>
      <w:tr w14:paraId="45E8E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CBD4D">
            <w:pPr>
              <w:pStyle w:val="12"/>
            </w:pPr>
            <w:r>
              <w:t>30</w:t>
            </w:r>
          </w:p>
        </w:tc>
        <w:tc>
          <w:tcPr>
            <w:tcW w:w="4535" w:type="dxa"/>
            <w:vAlign w:val="center"/>
          </w:tcPr>
          <w:p w14:paraId="6F09BCDC">
            <w:pPr>
              <w:pStyle w:val="13"/>
            </w:pPr>
          </w:p>
        </w:tc>
        <w:tc>
          <w:tcPr>
            <w:tcW w:w="2126" w:type="dxa"/>
            <w:vAlign w:val="center"/>
          </w:tcPr>
          <w:p w14:paraId="5E53AE91">
            <w:pPr>
              <w:pStyle w:val="14"/>
            </w:pPr>
          </w:p>
        </w:tc>
        <w:tc>
          <w:tcPr>
            <w:tcW w:w="4535" w:type="dxa"/>
            <w:vAlign w:val="center"/>
          </w:tcPr>
          <w:p w14:paraId="07352A6B">
            <w:pPr>
              <w:pStyle w:val="13"/>
            </w:pPr>
            <w:r>
              <w:t>三十、抗疫特别国债安排的支出</w:t>
            </w:r>
          </w:p>
        </w:tc>
        <w:tc>
          <w:tcPr>
            <w:tcW w:w="2126" w:type="dxa"/>
            <w:vAlign w:val="center"/>
          </w:tcPr>
          <w:p w14:paraId="6FEFA7AE">
            <w:pPr>
              <w:pStyle w:val="14"/>
            </w:pPr>
          </w:p>
        </w:tc>
      </w:tr>
      <w:tr w14:paraId="063C2E76">
        <w:tblPrEx>
          <w:tblCellMar>
            <w:top w:w="0" w:type="dxa"/>
            <w:left w:w="108" w:type="dxa"/>
            <w:bottom w:w="0" w:type="dxa"/>
            <w:right w:w="108" w:type="dxa"/>
          </w:tblCellMar>
        </w:tblPrEx>
        <w:trPr>
          <w:trHeight w:val="369" w:hRule="atLeast"/>
          <w:jc w:val="center"/>
        </w:trPr>
        <w:tc>
          <w:tcPr>
            <w:tcW w:w="850" w:type="dxa"/>
            <w:vAlign w:val="center"/>
          </w:tcPr>
          <w:p w14:paraId="76C93B84">
            <w:pPr>
              <w:pStyle w:val="12"/>
            </w:pPr>
            <w:r>
              <w:t>31</w:t>
            </w:r>
          </w:p>
        </w:tc>
        <w:tc>
          <w:tcPr>
            <w:tcW w:w="4535" w:type="dxa"/>
            <w:vAlign w:val="center"/>
          </w:tcPr>
          <w:p w14:paraId="180B7826">
            <w:pPr>
              <w:pStyle w:val="13"/>
            </w:pPr>
          </w:p>
        </w:tc>
        <w:tc>
          <w:tcPr>
            <w:tcW w:w="2126" w:type="dxa"/>
            <w:vAlign w:val="center"/>
          </w:tcPr>
          <w:p w14:paraId="2DF852E4">
            <w:pPr>
              <w:pStyle w:val="14"/>
            </w:pPr>
          </w:p>
        </w:tc>
        <w:tc>
          <w:tcPr>
            <w:tcW w:w="4535" w:type="dxa"/>
            <w:vAlign w:val="center"/>
          </w:tcPr>
          <w:p w14:paraId="79A02705">
            <w:pPr>
              <w:pStyle w:val="13"/>
            </w:pPr>
            <w:r>
              <w:t>三十一、人行科目</w:t>
            </w:r>
          </w:p>
        </w:tc>
        <w:tc>
          <w:tcPr>
            <w:tcW w:w="2126" w:type="dxa"/>
            <w:vAlign w:val="center"/>
          </w:tcPr>
          <w:p w14:paraId="49BEAF5B">
            <w:pPr>
              <w:pStyle w:val="14"/>
            </w:pPr>
          </w:p>
        </w:tc>
      </w:tr>
      <w:tr w14:paraId="73B59AC1">
        <w:tblPrEx>
          <w:tblCellMar>
            <w:top w:w="0" w:type="dxa"/>
            <w:left w:w="108" w:type="dxa"/>
            <w:bottom w:w="0" w:type="dxa"/>
            <w:right w:w="108" w:type="dxa"/>
          </w:tblCellMar>
        </w:tblPrEx>
        <w:trPr>
          <w:trHeight w:val="369" w:hRule="atLeast"/>
          <w:jc w:val="center"/>
        </w:trPr>
        <w:tc>
          <w:tcPr>
            <w:tcW w:w="850" w:type="dxa"/>
            <w:vAlign w:val="center"/>
          </w:tcPr>
          <w:p w14:paraId="14E2567F">
            <w:pPr>
              <w:pStyle w:val="12"/>
            </w:pPr>
            <w:r>
              <w:t>32</w:t>
            </w:r>
          </w:p>
        </w:tc>
        <w:tc>
          <w:tcPr>
            <w:tcW w:w="4535" w:type="dxa"/>
            <w:vAlign w:val="center"/>
          </w:tcPr>
          <w:p w14:paraId="41A2908C">
            <w:pPr>
              <w:pStyle w:val="15"/>
            </w:pPr>
            <w:r>
              <w:t>本年收入合计</w:t>
            </w:r>
          </w:p>
        </w:tc>
        <w:tc>
          <w:tcPr>
            <w:tcW w:w="2126" w:type="dxa"/>
            <w:vAlign w:val="center"/>
          </w:tcPr>
          <w:p w14:paraId="021840E9">
            <w:pPr>
              <w:pStyle w:val="16"/>
              <w:rPr>
                <w:rFonts w:hint="default" w:eastAsia="方正书宋_GBK"/>
                <w:lang w:val="en-US" w:eastAsia="zh-CN"/>
              </w:rPr>
            </w:pPr>
            <w:r>
              <w:t>10</w:t>
            </w:r>
            <w:r>
              <w:rPr>
                <w:rFonts w:hint="eastAsia"/>
                <w:lang w:val="en-US" w:eastAsia="zh-CN"/>
              </w:rPr>
              <w:t>736.54</w:t>
            </w:r>
          </w:p>
        </w:tc>
        <w:tc>
          <w:tcPr>
            <w:tcW w:w="4535" w:type="dxa"/>
            <w:vAlign w:val="center"/>
          </w:tcPr>
          <w:p w14:paraId="436CFA0E">
            <w:pPr>
              <w:pStyle w:val="15"/>
            </w:pPr>
            <w:r>
              <w:t>本年支出合计</w:t>
            </w:r>
          </w:p>
        </w:tc>
        <w:tc>
          <w:tcPr>
            <w:tcW w:w="2126" w:type="dxa"/>
            <w:vAlign w:val="center"/>
          </w:tcPr>
          <w:p w14:paraId="477FE3FF">
            <w:pPr>
              <w:pStyle w:val="16"/>
              <w:rPr>
                <w:rFonts w:hint="eastAsia" w:eastAsia="方正书宋_GBK"/>
                <w:lang w:val="en-US" w:eastAsia="zh-CN"/>
              </w:rPr>
            </w:pPr>
            <w:r>
              <w:t>11235.8</w:t>
            </w:r>
            <w:r>
              <w:rPr>
                <w:rFonts w:hint="eastAsia"/>
                <w:lang w:val="en-US" w:eastAsia="zh-CN"/>
              </w:rPr>
              <w:t>4</w:t>
            </w:r>
          </w:p>
        </w:tc>
      </w:tr>
      <w:tr w14:paraId="7EADF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D9822">
            <w:pPr>
              <w:pStyle w:val="12"/>
            </w:pPr>
            <w:r>
              <w:t>33</w:t>
            </w:r>
          </w:p>
        </w:tc>
        <w:tc>
          <w:tcPr>
            <w:tcW w:w="4535" w:type="dxa"/>
            <w:vAlign w:val="center"/>
          </w:tcPr>
          <w:p w14:paraId="354B42A3">
            <w:pPr>
              <w:pStyle w:val="13"/>
            </w:pPr>
            <w:r>
              <w:t>上年结转结余</w:t>
            </w:r>
          </w:p>
        </w:tc>
        <w:tc>
          <w:tcPr>
            <w:tcW w:w="2126" w:type="dxa"/>
            <w:vAlign w:val="center"/>
          </w:tcPr>
          <w:p w14:paraId="3B903ACD">
            <w:pPr>
              <w:pStyle w:val="14"/>
            </w:pPr>
            <w:r>
              <w:t>499.30</w:t>
            </w:r>
          </w:p>
        </w:tc>
        <w:tc>
          <w:tcPr>
            <w:tcW w:w="4535" w:type="dxa"/>
            <w:vAlign w:val="center"/>
          </w:tcPr>
          <w:p w14:paraId="5DC68F5F">
            <w:pPr>
              <w:pStyle w:val="13"/>
            </w:pPr>
            <w:r>
              <w:t>年终结转结余</w:t>
            </w:r>
          </w:p>
        </w:tc>
        <w:tc>
          <w:tcPr>
            <w:tcW w:w="2126" w:type="dxa"/>
            <w:vAlign w:val="center"/>
          </w:tcPr>
          <w:p w14:paraId="3E615925">
            <w:pPr>
              <w:pStyle w:val="14"/>
              <w:rPr>
                <w:rFonts w:hint="eastAsia" w:eastAsia="方正书宋_GBK"/>
                <w:lang w:eastAsia="zh-CN"/>
              </w:rPr>
            </w:pPr>
            <w:r>
              <w:rPr>
                <w:rFonts w:hint="eastAsia"/>
                <w:lang w:val="en-US" w:eastAsia="zh-CN"/>
              </w:rPr>
              <w:t>0</w:t>
            </w:r>
          </w:p>
        </w:tc>
      </w:tr>
      <w:tr w14:paraId="2AAAD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17BAB">
            <w:pPr>
              <w:pStyle w:val="12"/>
            </w:pPr>
            <w:r>
              <w:t>34</w:t>
            </w:r>
          </w:p>
        </w:tc>
        <w:tc>
          <w:tcPr>
            <w:tcW w:w="4535" w:type="dxa"/>
            <w:vAlign w:val="center"/>
          </w:tcPr>
          <w:p w14:paraId="2C6BF45A">
            <w:pPr>
              <w:pStyle w:val="15"/>
            </w:pPr>
            <w:r>
              <w:t>收入总计</w:t>
            </w:r>
          </w:p>
        </w:tc>
        <w:tc>
          <w:tcPr>
            <w:tcW w:w="2126" w:type="dxa"/>
            <w:vAlign w:val="center"/>
          </w:tcPr>
          <w:p w14:paraId="1B15A5E4">
            <w:pPr>
              <w:pStyle w:val="16"/>
              <w:rPr>
                <w:rFonts w:hint="default" w:eastAsia="方正书宋_GBK"/>
                <w:lang w:val="en-US" w:eastAsia="zh-CN"/>
              </w:rPr>
            </w:pPr>
            <w:r>
              <w:rPr>
                <w:rFonts w:hint="eastAsia"/>
                <w:color w:val="000000" w:themeColor="text1"/>
                <w:lang w:val="en-US" w:eastAsia="zh-CN"/>
                <w14:textFill>
                  <w14:solidFill>
                    <w14:schemeClr w14:val="tx1"/>
                  </w14:solidFill>
                </w14:textFill>
              </w:rPr>
              <w:t>11235.84</w:t>
            </w:r>
          </w:p>
        </w:tc>
        <w:tc>
          <w:tcPr>
            <w:tcW w:w="4535" w:type="dxa"/>
            <w:vAlign w:val="center"/>
          </w:tcPr>
          <w:p w14:paraId="43418275">
            <w:pPr>
              <w:pStyle w:val="15"/>
            </w:pPr>
            <w:r>
              <w:t>支出总计</w:t>
            </w:r>
          </w:p>
        </w:tc>
        <w:tc>
          <w:tcPr>
            <w:tcW w:w="2126" w:type="dxa"/>
            <w:vAlign w:val="center"/>
          </w:tcPr>
          <w:p w14:paraId="06D989A3">
            <w:pPr>
              <w:pStyle w:val="16"/>
              <w:rPr>
                <w:rFonts w:hint="eastAsia" w:eastAsia="方正书宋_GBK"/>
                <w:lang w:val="en-US" w:eastAsia="zh-CN"/>
              </w:rPr>
            </w:pPr>
            <w:r>
              <w:t>11235.8</w:t>
            </w:r>
            <w:r>
              <w:rPr>
                <w:rFonts w:hint="eastAsia"/>
                <w:lang w:val="en-US" w:eastAsia="zh-CN"/>
              </w:rPr>
              <w:t>4</w:t>
            </w:r>
          </w:p>
        </w:tc>
      </w:tr>
    </w:tbl>
    <w:p w14:paraId="6A13FCFF">
      <w:pPr>
        <w:sectPr>
          <w:pgSz w:w="16840" w:h="11900" w:orient="landscape"/>
          <w:pgMar w:top="1361" w:right="1020" w:bottom="1134" w:left="1020" w:header="720" w:footer="720" w:gutter="0"/>
          <w:cols w:space="720" w:num="1"/>
        </w:sectPr>
      </w:pPr>
    </w:p>
    <w:p w14:paraId="0DEEFD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180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EB4EC2">
            <w:pPr>
              <w:pStyle w:val="8"/>
            </w:pPr>
            <w:r>
              <w:t>360001隆尧县教育局本级</w:t>
            </w:r>
          </w:p>
        </w:tc>
        <w:tc>
          <w:tcPr>
            <w:tcW w:w="3402" w:type="dxa"/>
            <w:gridSpan w:val="3"/>
            <w:tcBorders>
              <w:top w:val="single" w:color="FFFFFF" w:sz="6" w:space="0"/>
              <w:left w:val="single" w:color="FFFFFF" w:sz="6" w:space="0"/>
              <w:right w:val="single" w:color="FFFFFF" w:sz="6" w:space="0"/>
            </w:tcBorders>
            <w:vAlign w:val="center"/>
          </w:tcPr>
          <w:p w14:paraId="28DE4C8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BEAA561">
            <w:pPr>
              <w:pStyle w:val="10"/>
            </w:pPr>
            <w:r>
              <w:t>单位：万元</w:t>
            </w:r>
          </w:p>
        </w:tc>
      </w:tr>
      <w:tr w14:paraId="694D2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C9233A">
            <w:pPr>
              <w:pStyle w:val="11"/>
            </w:pPr>
            <w:r>
              <w:t>序号</w:t>
            </w:r>
          </w:p>
        </w:tc>
        <w:tc>
          <w:tcPr>
            <w:tcW w:w="2551" w:type="dxa"/>
            <w:gridSpan w:val="2"/>
            <w:vAlign w:val="center"/>
          </w:tcPr>
          <w:p w14:paraId="04F64236">
            <w:pPr>
              <w:pStyle w:val="11"/>
            </w:pPr>
            <w:r>
              <w:t>功能分类科目</w:t>
            </w:r>
          </w:p>
        </w:tc>
        <w:tc>
          <w:tcPr>
            <w:tcW w:w="1134" w:type="dxa"/>
            <w:vMerge w:val="restart"/>
            <w:vAlign w:val="center"/>
          </w:tcPr>
          <w:p w14:paraId="2E5DFE10">
            <w:pPr>
              <w:pStyle w:val="11"/>
            </w:pPr>
            <w:r>
              <w:t>合计</w:t>
            </w:r>
          </w:p>
        </w:tc>
        <w:tc>
          <w:tcPr>
            <w:tcW w:w="9072" w:type="dxa"/>
            <w:gridSpan w:val="8"/>
            <w:vAlign w:val="center"/>
          </w:tcPr>
          <w:p w14:paraId="38C0CF23">
            <w:pPr>
              <w:pStyle w:val="11"/>
            </w:pPr>
            <w:r>
              <w:t>本年收入</w:t>
            </w:r>
          </w:p>
        </w:tc>
        <w:tc>
          <w:tcPr>
            <w:tcW w:w="1134" w:type="dxa"/>
            <w:vMerge w:val="restart"/>
            <w:vAlign w:val="center"/>
          </w:tcPr>
          <w:p w14:paraId="1A335493">
            <w:pPr>
              <w:pStyle w:val="11"/>
            </w:pPr>
            <w:r>
              <w:t>上年结转</w:t>
            </w:r>
          </w:p>
        </w:tc>
      </w:tr>
      <w:tr w14:paraId="4B57B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F8C9C7"/>
        </w:tc>
        <w:tc>
          <w:tcPr>
            <w:tcW w:w="992" w:type="dxa"/>
            <w:vAlign w:val="center"/>
          </w:tcPr>
          <w:p w14:paraId="567A59E2">
            <w:pPr>
              <w:pStyle w:val="11"/>
            </w:pPr>
            <w:r>
              <w:t>科目    编码</w:t>
            </w:r>
          </w:p>
        </w:tc>
        <w:tc>
          <w:tcPr>
            <w:tcW w:w="1559" w:type="dxa"/>
            <w:vAlign w:val="center"/>
          </w:tcPr>
          <w:p w14:paraId="1C8F76E8">
            <w:pPr>
              <w:pStyle w:val="11"/>
            </w:pPr>
            <w:r>
              <w:t>科目名称</w:t>
            </w:r>
          </w:p>
        </w:tc>
        <w:tc>
          <w:tcPr>
            <w:tcW w:w="1134" w:type="dxa"/>
            <w:vMerge w:val="continue"/>
          </w:tcPr>
          <w:p w14:paraId="462DEC81"/>
        </w:tc>
        <w:tc>
          <w:tcPr>
            <w:tcW w:w="1134" w:type="dxa"/>
            <w:vAlign w:val="center"/>
          </w:tcPr>
          <w:p w14:paraId="428B7B8D">
            <w:pPr>
              <w:pStyle w:val="11"/>
            </w:pPr>
            <w:r>
              <w:t>小计</w:t>
            </w:r>
          </w:p>
        </w:tc>
        <w:tc>
          <w:tcPr>
            <w:tcW w:w="1134" w:type="dxa"/>
            <w:vAlign w:val="center"/>
          </w:tcPr>
          <w:p w14:paraId="01A94304">
            <w:pPr>
              <w:pStyle w:val="11"/>
            </w:pPr>
            <w:r>
              <w:t>财政拨款 收入</w:t>
            </w:r>
          </w:p>
        </w:tc>
        <w:tc>
          <w:tcPr>
            <w:tcW w:w="1134" w:type="dxa"/>
            <w:vAlign w:val="center"/>
          </w:tcPr>
          <w:p w14:paraId="33CF175E">
            <w:pPr>
              <w:pStyle w:val="11"/>
            </w:pPr>
            <w:r>
              <w:t>财政专户 收入</w:t>
            </w:r>
          </w:p>
        </w:tc>
        <w:tc>
          <w:tcPr>
            <w:tcW w:w="1134" w:type="dxa"/>
            <w:vAlign w:val="center"/>
          </w:tcPr>
          <w:p w14:paraId="0AD3EF47">
            <w:pPr>
              <w:pStyle w:val="11"/>
            </w:pPr>
            <w:r>
              <w:t>事业收入</w:t>
            </w:r>
          </w:p>
        </w:tc>
        <w:tc>
          <w:tcPr>
            <w:tcW w:w="1134" w:type="dxa"/>
            <w:vAlign w:val="center"/>
          </w:tcPr>
          <w:p w14:paraId="6C61C62D">
            <w:pPr>
              <w:pStyle w:val="11"/>
            </w:pPr>
            <w:r>
              <w:t>经营收入</w:t>
            </w:r>
          </w:p>
        </w:tc>
        <w:tc>
          <w:tcPr>
            <w:tcW w:w="1134" w:type="dxa"/>
            <w:vAlign w:val="center"/>
          </w:tcPr>
          <w:p w14:paraId="52A44A2D">
            <w:pPr>
              <w:pStyle w:val="11"/>
            </w:pPr>
            <w:r>
              <w:t>上级补助收入</w:t>
            </w:r>
          </w:p>
        </w:tc>
        <w:tc>
          <w:tcPr>
            <w:tcW w:w="1134" w:type="dxa"/>
            <w:vAlign w:val="center"/>
          </w:tcPr>
          <w:p w14:paraId="5E1E912F">
            <w:pPr>
              <w:pStyle w:val="11"/>
            </w:pPr>
            <w:r>
              <w:t>附属单位上缴收入</w:t>
            </w:r>
          </w:p>
        </w:tc>
        <w:tc>
          <w:tcPr>
            <w:tcW w:w="1134" w:type="dxa"/>
            <w:vAlign w:val="center"/>
          </w:tcPr>
          <w:p w14:paraId="7E996DE2">
            <w:pPr>
              <w:pStyle w:val="11"/>
            </w:pPr>
            <w:r>
              <w:t>其他收入</w:t>
            </w:r>
          </w:p>
        </w:tc>
        <w:tc>
          <w:tcPr>
            <w:tcW w:w="1134" w:type="dxa"/>
            <w:vMerge w:val="continue"/>
          </w:tcPr>
          <w:p w14:paraId="32BF50A6"/>
        </w:tc>
      </w:tr>
      <w:tr w14:paraId="7DD0A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074C23">
            <w:pPr>
              <w:pStyle w:val="11"/>
            </w:pPr>
            <w:r>
              <w:t>栏次</w:t>
            </w:r>
          </w:p>
        </w:tc>
        <w:tc>
          <w:tcPr>
            <w:tcW w:w="992" w:type="dxa"/>
            <w:vAlign w:val="center"/>
          </w:tcPr>
          <w:p w14:paraId="0E9FA332">
            <w:pPr>
              <w:pStyle w:val="11"/>
            </w:pPr>
            <w:r>
              <w:t>1</w:t>
            </w:r>
          </w:p>
        </w:tc>
        <w:tc>
          <w:tcPr>
            <w:tcW w:w="1559" w:type="dxa"/>
            <w:vAlign w:val="center"/>
          </w:tcPr>
          <w:p w14:paraId="189E92CF">
            <w:pPr>
              <w:pStyle w:val="11"/>
            </w:pPr>
            <w:r>
              <w:t>2</w:t>
            </w:r>
          </w:p>
        </w:tc>
        <w:tc>
          <w:tcPr>
            <w:tcW w:w="1134" w:type="dxa"/>
            <w:vAlign w:val="center"/>
          </w:tcPr>
          <w:p w14:paraId="4E70A9EF">
            <w:pPr>
              <w:pStyle w:val="11"/>
            </w:pPr>
            <w:r>
              <w:t>3</w:t>
            </w:r>
          </w:p>
        </w:tc>
        <w:tc>
          <w:tcPr>
            <w:tcW w:w="1134" w:type="dxa"/>
            <w:vAlign w:val="center"/>
          </w:tcPr>
          <w:p w14:paraId="0BBB5159">
            <w:pPr>
              <w:pStyle w:val="11"/>
            </w:pPr>
            <w:r>
              <w:t>4</w:t>
            </w:r>
          </w:p>
        </w:tc>
        <w:tc>
          <w:tcPr>
            <w:tcW w:w="1134" w:type="dxa"/>
            <w:vAlign w:val="center"/>
          </w:tcPr>
          <w:p w14:paraId="6BD7106E">
            <w:pPr>
              <w:pStyle w:val="11"/>
            </w:pPr>
            <w:r>
              <w:t>5</w:t>
            </w:r>
          </w:p>
        </w:tc>
        <w:tc>
          <w:tcPr>
            <w:tcW w:w="1134" w:type="dxa"/>
            <w:vAlign w:val="center"/>
          </w:tcPr>
          <w:p w14:paraId="6A1BBA21">
            <w:pPr>
              <w:pStyle w:val="11"/>
            </w:pPr>
            <w:r>
              <w:t>6</w:t>
            </w:r>
          </w:p>
        </w:tc>
        <w:tc>
          <w:tcPr>
            <w:tcW w:w="1134" w:type="dxa"/>
            <w:vAlign w:val="center"/>
          </w:tcPr>
          <w:p w14:paraId="2B04211B">
            <w:pPr>
              <w:pStyle w:val="11"/>
            </w:pPr>
            <w:r>
              <w:t>7</w:t>
            </w:r>
          </w:p>
        </w:tc>
        <w:tc>
          <w:tcPr>
            <w:tcW w:w="1134" w:type="dxa"/>
            <w:vAlign w:val="center"/>
          </w:tcPr>
          <w:p w14:paraId="64E403F6">
            <w:pPr>
              <w:pStyle w:val="11"/>
            </w:pPr>
            <w:r>
              <w:t>8</w:t>
            </w:r>
          </w:p>
        </w:tc>
        <w:tc>
          <w:tcPr>
            <w:tcW w:w="1134" w:type="dxa"/>
            <w:vAlign w:val="center"/>
          </w:tcPr>
          <w:p w14:paraId="0A1AAE61">
            <w:pPr>
              <w:pStyle w:val="11"/>
            </w:pPr>
            <w:r>
              <w:t>9</w:t>
            </w:r>
          </w:p>
        </w:tc>
        <w:tc>
          <w:tcPr>
            <w:tcW w:w="1134" w:type="dxa"/>
            <w:vAlign w:val="center"/>
          </w:tcPr>
          <w:p w14:paraId="6618150C">
            <w:pPr>
              <w:pStyle w:val="11"/>
            </w:pPr>
            <w:r>
              <w:t>10</w:t>
            </w:r>
          </w:p>
        </w:tc>
        <w:tc>
          <w:tcPr>
            <w:tcW w:w="1134" w:type="dxa"/>
            <w:vAlign w:val="center"/>
          </w:tcPr>
          <w:p w14:paraId="0F1202B1">
            <w:pPr>
              <w:pStyle w:val="11"/>
            </w:pPr>
            <w:r>
              <w:t>11</w:t>
            </w:r>
          </w:p>
        </w:tc>
        <w:tc>
          <w:tcPr>
            <w:tcW w:w="1134" w:type="dxa"/>
            <w:vAlign w:val="center"/>
          </w:tcPr>
          <w:p w14:paraId="689569CE">
            <w:pPr>
              <w:pStyle w:val="11"/>
            </w:pPr>
            <w:r>
              <w:t>12</w:t>
            </w:r>
          </w:p>
        </w:tc>
      </w:tr>
      <w:tr w14:paraId="1F29F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A33251">
            <w:pPr>
              <w:pStyle w:val="12"/>
            </w:pPr>
            <w:r>
              <w:t>1</w:t>
            </w:r>
          </w:p>
        </w:tc>
        <w:tc>
          <w:tcPr>
            <w:tcW w:w="992" w:type="dxa"/>
            <w:vAlign w:val="center"/>
          </w:tcPr>
          <w:p w14:paraId="544F4226">
            <w:pPr>
              <w:pStyle w:val="17"/>
            </w:pPr>
          </w:p>
        </w:tc>
        <w:tc>
          <w:tcPr>
            <w:tcW w:w="1559" w:type="dxa"/>
            <w:vAlign w:val="center"/>
          </w:tcPr>
          <w:p w14:paraId="339AC10C">
            <w:pPr>
              <w:pStyle w:val="15"/>
            </w:pPr>
            <w:r>
              <w:t>合计</w:t>
            </w:r>
          </w:p>
        </w:tc>
        <w:tc>
          <w:tcPr>
            <w:tcW w:w="1134" w:type="dxa"/>
            <w:vAlign w:val="center"/>
          </w:tcPr>
          <w:p w14:paraId="75171927">
            <w:pPr>
              <w:pStyle w:val="16"/>
              <w:rPr>
                <w:rFonts w:hint="eastAsia" w:eastAsia="方正书宋_GBK"/>
                <w:lang w:eastAsia="zh-CN"/>
              </w:rPr>
            </w:pPr>
            <w:r>
              <w:t>11235.8</w:t>
            </w:r>
            <w:r>
              <w:rPr>
                <w:rFonts w:hint="eastAsia"/>
                <w:lang w:val="en-US" w:eastAsia="zh-CN"/>
              </w:rPr>
              <w:t>4</w:t>
            </w:r>
          </w:p>
        </w:tc>
        <w:tc>
          <w:tcPr>
            <w:tcW w:w="1134" w:type="dxa"/>
            <w:vAlign w:val="center"/>
          </w:tcPr>
          <w:p w14:paraId="6C56204D">
            <w:pPr>
              <w:pStyle w:val="16"/>
            </w:pPr>
            <w:r>
              <w:t>10736.54</w:t>
            </w:r>
          </w:p>
        </w:tc>
        <w:tc>
          <w:tcPr>
            <w:tcW w:w="1134" w:type="dxa"/>
            <w:vAlign w:val="center"/>
          </w:tcPr>
          <w:p w14:paraId="1B9CB71E">
            <w:pPr>
              <w:pStyle w:val="16"/>
            </w:pPr>
            <w:r>
              <w:t>10499.51</w:t>
            </w:r>
          </w:p>
        </w:tc>
        <w:tc>
          <w:tcPr>
            <w:tcW w:w="1134" w:type="dxa"/>
            <w:vAlign w:val="center"/>
          </w:tcPr>
          <w:p w14:paraId="4B098408">
            <w:pPr>
              <w:pStyle w:val="16"/>
            </w:pPr>
            <w:r>
              <w:t>237.03</w:t>
            </w:r>
          </w:p>
        </w:tc>
        <w:tc>
          <w:tcPr>
            <w:tcW w:w="1134" w:type="dxa"/>
            <w:vAlign w:val="center"/>
          </w:tcPr>
          <w:p w14:paraId="1DCE0BF3">
            <w:pPr>
              <w:pStyle w:val="16"/>
            </w:pPr>
          </w:p>
        </w:tc>
        <w:tc>
          <w:tcPr>
            <w:tcW w:w="1134" w:type="dxa"/>
            <w:vAlign w:val="center"/>
          </w:tcPr>
          <w:p w14:paraId="492F4E98">
            <w:pPr>
              <w:pStyle w:val="16"/>
            </w:pPr>
          </w:p>
        </w:tc>
        <w:tc>
          <w:tcPr>
            <w:tcW w:w="1134" w:type="dxa"/>
            <w:vAlign w:val="center"/>
          </w:tcPr>
          <w:p w14:paraId="7EFE04AF">
            <w:pPr>
              <w:pStyle w:val="16"/>
            </w:pPr>
          </w:p>
        </w:tc>
        <w:tc>
          <w:tcPr>
            <w:tcW w:w="1134" w:type="dxa"/>
            <w:vAlign w:val="center"/>
          </w:tcPr>
          <w:p w14:paraId="371EE1BA">
            <w:pPr>
              <w:pStyle w:val="16"/>
            </w:pPr>
          </w:p>
        </w:tc>
        <w:tc>
          <w:tcPr>
            <w:tcW w:w="1134" w:type="dxa"/>
            <w:vAlign w:val="center"/>
          </w:tcPr>
          <w:p w14:paraId="436B0CCF">
            <w:pPr>
              <w:pStyle w:val="16"/>
            </w:pPr>
          </w:p>
        </w:tc>
        <w:tc>
          <w:tcPr>
            <w:tcW w:w="1134" w:type="dxa"/>
            <w:vAlign w:val="center"/>
          </w:tcPr>
          <w:p w14:paraId="0A74CAF1">
            <w:pPr>
              <w:pStyle w:val="16"/>
            </w:pPr>
            <w:r>
              <w:t>499.30</w:t>
            </w:r>
          </w:p>
        </w:tc>
      </w:tr>
      <w:tr w14:paraId="38D77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54FF1E">
            <w:pPr>
              <w:pStyle w:val="12"/>
            </w:pPr>
            <w:r>
              <w:t>2</w:t>
            </w:r>
          </w:p>
        </w:tc>
        <w:tc>
          <w:tcPr>
            <w:tcW w:w="992" w:type="dxa"/>
            <w:vAlign w:val="center"/>
          </w:tcPr>
          <w:p w14:paraId="27BC55FD">
            <w:pPr>
              <w:pStyle w:val="13"/>
            </w:pPr>
            <w:r>
              <w:t>205</w:t>
            </w:r>
          </w:p>
        </w:tc>
        <w:tc>
          <w:tcPr>
            <w:tcW w:w="1559" w:type="dxa"/>
            <w:vAlign w:val="center"/>
          </w:tcPr>
          <w:p w14:paraId="407B7116">
            <w:pPr>
              <w:pStyle w:val="13"/>
            </w:pPr>
            <w:r>
              <w:t>教育支出</w:t>
            </w:r>
          </w:p>
        </w:tc>
        <w:tc>
          <w:tcPr>
            <w:tcW w:w="1134" w:type="dxa"/>
            <w:vAlign w:val="center"/>
          </w:tcPr>
          <w:p w14:paraId="4E53766A">
            <w:pPr>
              <w:pStyle w:val="14"/>
            </w:pPr>
            <w:r>
              <w:t>9293.33</w:t>
            </w:r>
          </w:p>
        </w:tc>
        <w:tc>
          <w:tcPr>
            <w:tcW w:w="1134" w:type="dxa"/>
            <w:vAlign w:val="center"/>
          </w:tcPr>
          <w:p w14:paraId="58CB68CA">
            <w:pPr>
              <w:pStyle w:val="14"/>
            </w:pPr>
            <w:r>
              <w:t>8794.04</w:t>
            </w:r>
          </w:p>
        </w:tc>
        <w:tc>
          <w:tcPr>
            <w:tcW w:w="1134" w:type="dxa"/>
            <w:vAlign w:val="center"/>
          </w:tcPr>
          <w:p w14:paraId="2A41E65F">
            <w:pPr>
              <w:pStyle w:val="14"/>
            </w:pPr>
            <w:r>
              <w:t>8557.01</w:t>
            </w:r>
          </w:p>
        </w:tc>
        <w:tc>
          <w:tcPr>
            <w:tcW w:w="1134" w:type="dxa"/>
            <w:vAlign w:val="center"/>
          </w:tcPr>
          <w:p w14:paraId="7C9F8ABF">
            <w:pPr>
              <w:pStyle w:val="14"/>
            </w:pPr>
            <w:r>
              <w:t>237.03</w:t>
            </w:r>
          </w:p>
        </w:tc>
        <w:tc>
          <w:tcPr>
            <w:tcW w:w="1134" w:type="dxa"/>
            <w:vAlign w:val="center"/>
          </w:tcPr>
          <w:p w14:paraId="5F957944">
            <w:pPr>
              <w:pStyle w:val="14"/>
            </w:pPr>
          </w:p>
        </w:tc>
        <w:tc>
          <w:tcPr>
            <w:tcW w:w="1134" w:type="dxa"/>
            <w:vAlign w:val="center"/>
          </w:tcPr>
          <w:p w14:paraId="59A7C51A">
            <w:pPr>
              <w:pStyle w:val="14"/>
            </w:pPr>
          </w:p>
        </w:tc>
        <w:tc>
          <w:tcPr>
            <w:tcW w:w="1134" w:type="dxa"/>
            <w:vAlign w:val="center"/>
          </w:tcPr>
          <w:p w14:paraId="191313FC">
            <w:pPr>
              <w:pStyle w:val="14"/>
            </w:pPr>
          </w:p>
        </w:tc>
        <w:tc>
          <w:tcPr>
            <w:tcW w:w="1134" w:type="dxa"/>
            <w:vAlign w:val="center"/>
          </w:tcPr>
          <w:p w14:paraId="635E7F17">
            <w:pPr>
              <w:pStyle w:val="14"/>
            </w:pPr>
          </w:p>
        </w:tc>
        <w:tc>
          <w:tcPr>
            <w:tcW w:w="1134" w:type="dxa"/>
            <w:vAlign w:val="center"/>
          </w:tcPr>
          <w:p w14:paraId="307EF8FC">
            <w:pPr>
              <w:pStyle w:val="14"/>
            </w:pPr>
          </w:p>
        </w:tc>
        <w:tc>
          <w:tcPr>
            <w:tcW w:w="1134" w:type="dxa"/>
            <w:vAlign w:val="center"/>
          </w:tcPr>
          <w:p w14:paraId="3D4D2250">
            <w:pPr>
              <w:pStyle w:val="14"/>
            </w:pPr>
            <w:r>
              <w:t>499.30</w:t>
            </w:r>
          </w:p>
        </w:tc>
      </w:tr>
      <w:tr w14:paraId="2D23C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26C0F1">
            <w:pPr>
              <w:pStyle w:val="12"/>
            </w:pPr>
            <w:r>
              <w:t>3</w:t>
            </w:r>
          </w:p>
        </w:tc>
        <w:tc>
          <w:tcPr>
            <w:tcW w:w="992" w:type="dxa"/>
            <w:vAlign w:val="center"/>
          </w:tcPr>
          <w:p w14:paraId="19E1FA0D">
            <w:pPr>
              <w:pStyle w:val="13"/>
            </w:pPr>
            <w:r>
              <w:t>20501</w:t>
            </w:r>
          </w:p>
        </w:tc>
        <w:tc>
          <w:tcPr>
            <w:tcW w:w="1559" w:type="dxa"/>
            <w:vAlign w:val="center"/>
          </w:tcPr>
          <w:p w14:paraId="591CD0A6">
            <w:pPr>
              <w:pStyle w:val="13"/>
            </w:pPr>
            <w:r>
              <w:t>教育管理事务</w:t>
            </w:r>
          </w:p>
        </w:tc>
        <w:tc>
          <w:tcPr>
            <w:tcW w:w="1134" w:type="dxa"/>
            <w:vAlign w:val="center"/>
          </w:tcPr>
          <w:p w14:paraId="11281238">
            <w:pPr>
              <w:pStyle w:val="14"/>
            </w:pPr>
            <w:r>
              <w:t>2157.86</w:t>
            </w:r>
          </w:p>
        </w:tc>
        <w:tc>
          <w:tcPr>
            <w:tcW w:w="1134" w:type="dxa"/>
            <w:vAlign w:val="center"/>
          </w:tcPr>
          <w:p w14:paraId="658EEA40">
            <w:pPr>
              <w:pStyle w:val="14"/>
            </w:pPr>
            <w:r>
              <w:t>2157.86</w:t>
            </w:r>
          </w:p>
        </w:tc>
        <w:tc>
          <w:tcPr>
            <w:tcW w:w="1134" w:type="dxa"/>
            <w:vAlign w:val="center"/>
          </w:tcPr>
          <w:p w14:paraId="24661A5E">
            <w:pPr>
              <w:pStyle w:val="14"/>
            </w:pPr>
            <w:r>
              <w:t>1920.83</w:t>
            </w:r>
          </w:p>
        </w:tc>
        <w:tc>
          <w:tcPr>
            <w:tcW w:w="1134" w:type="dxa"/>
            <w:vAlign w:val="center"/>
          </w:tcPr>
          <w:p w14:paraId="1D31F991">
            <w:pPr>
              <w:pStyle w:val="14"/>
            </w:pPr>
            <w:r>
              <w:t>237.03</w:t>
            </w:r>
          </w:p>
        </w:tc>
        <w:tc>
          <w:tcPr>
            <w:tcW w:w="1134" w:type="dxa"/>
            <w:vAlign w:val="center"/>
          </w:tcPr>
          <w:p w14:paraId="03E097F9">
            <w:pPr>
              <w:pStyle w:val="14"/>
            </w:pPr>
          </w:p>
        </w:tc>
        <w:tc>
          <w:tcPr>
            <w:tcW w:w="1134" w:type="dxa"/>
            <w:vAlign w:val="center"/>
          </w:tcPr>
          <w:p w14:paraId="4D142931">
            <w:pPr>
              <w:pStyle w:val="14"/>
            </w:pPr>
          </w:p>
        </w:tc>
        <w:tc>
          <w:tcPr>
            <w:tcW w:w="1134" w:type="dxa"/>
            <w:vAlign w:val="center"/>
          </w:tcPr>
          <w:p w14:paraId="1E03EA4C">
            <w:pPr>
              <w:pStyle w:val="14"/>
            </w:pPr>
          </w:p>
        </w:tc>
        <w:tc>
          <w:tcPr>
            <w:tcW w:w="1134" w:type="dxa"/>
            <w:vAlign w:val="center"/>
          </w:tcPr>
          <w:p w14:paraId="56AA22A6">
            <w:pPr>
              <w:pStyle w:val="14"/>
            </w:pPr>
          </w:p>
        </w:tc>
        <w:tc>
          <w:tcPr>
            <w:tcW w:w="1134" w:type="dxa"/>
            <w:vAlign w:val="center"/>
          </w:tcPr>
          <w:p w14:paraId="74F15679">
            <w:pPr>
              <w:pStyle w:val="14"/>
            </w:pPr>
          </w:p>
        </w:tc>
        <w:tc>
          <w:tcPr>
            <w:tcW w:w="1134" w:type="dxa"/>
            <w:vAlign w:val="center"/>
          </w:tcPr>
          <w:p w14:paraId="69DAD92B">
            <w:pPr>
              <w:pStyle w:val="14"/>
            </w:pPr>
          </w:p>
        </w:tc>
      </w:tr>
      <w:tr w14:paraId="0D3AC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806B8A">
            <w:pPr>
              <w:pStyle w:val="12"/>
            </w:pPr>
            <w:r>
              <w:t>4</w:t>
            </w:r>
          </w:p>
        </w:tc>
        <w:tc>
          <w:tcPr>
            <w:tcW w:w="992" w:type="dxa"/>
            <w:vAlign w:val="center"/>
          </w:tcPr>
          <w:p w14:paraId="783FF18A">
            <w:pPr>
              <w:pStyle w:val="13"/>
            </w:pPr>
            <w:r>
              <w:t>2050101</w:t>
            </w:r>
          </w:p>
        </w:tc>
        <w:tc>
          <w:tcPr>
            <w:tcW w:w="1559" w:type="dxa"/>
            <w:vAlign w:val="center"/>
          </w:tcPr>
          <w:p w14:paraId="30D55018">
            <w:pPr>
              <w:pStyle w:val="13"/>
            </w:pPr>
            <w:r>
              <w:t>行政运行</w:t>
            </w:r>
          </w:p>
        </w:tc>
        <w:tc>
          <w:tcPr>
            <w:tcW w:w="1134" w:type="dxa"/>
            <w:vAlign w:val="center"/>
          </w:tcPr>
          <w:p w14:paraId="0D538DA5">
            <w:pPr>
              <w:pStyle w:val="14"/>
            </w:pPr>
            <w:r>
              <w:t>2157.86</w:t>
            </w:r>
          </w:p>
        </w:tc>
        <w:tc>
          <w:tcPr>
            <w:tcW w:w="1134" w:type="dxa"/>
            <w:vAlign w:val="center"/>
          </w:tcPr>
          <w:p w14:paraId="097972E6">
            <w:pPr>
              <w:pStyle w:val="14"/>
            </w:pPr>
            <w:r>
              <w:t>2157.86</w:t>
            </w:r>
          </w:p>
        </w:tc>
        <w:tc>
          <w:tcPr>
            <w:tcW w:w="1134" w:type="dxa"/>
            <w:vAlign w:val="center"/>
          </w:tcPr>
          <w:p w14:paraId="2C0714FE">
            <w:pPr>
              <w:pStyle w:val="14"/>
            </w:pPr>
            <w:r>
              <w:t>1920.83</w:t>
            </w:r>
          </w:p>
        </w:tc>
        <w:tc>
          <w:tcPr>
            <w:tcW w:w="1134" w:type="dxa"/>
            <w:vAlign w:val="center"/>
          </w:tcPr>
          <w:p w14:paraId="166BCBBF">
            <w:pPr>
              <w:pStyle w:val="14"/>
            </w:pPr>
            <w:r>
              <w:t>237.03</w:t>
            </w:r>
          </w:p>
        </w:tc>
        <w:tc>
          <w:tcPr>
            <w:tcW w:w="1134" w:type="dxa"/>
            <w:vAlign w:val="center"/>
          </w:tcPr>
          <w:p w14:paraId="6984BC1D">
            <w:pPr>
              <w:pStyle w:val="14"/>
            </w:pPr>
          </w:p>
        </w:tc>
        <w:tc>
          <w:tcPr>
            <w:tcW w:w="1134" w:type="dxa"/>
            <w:vAlign w:val="center"/>
          </w:tcPr>
          <w:p w14:paraId="36A5677A">
            <w:pPr>
              <w:pStyle w:val="14"/>
            </w:pPr>
          </w:p>
        </w:tc>
        <w:tc>
          <w:tcPr>
            <w:tcW w:w="1134" w:type="dxa"/>
            <w:vAlign w:val="center"/>
          </w:tcPr>
          <w:p w14:paraId="1515C08A">
            <w:pPr>
              <w:pStyle w:val="14"/>
            </w:pPr>
          </w:p>
        </w:tc>
        <w:tc>
          <w:tcPr>
            <w:tcW w:w="1134" w:type="dxa"/>
            <w:vAlign w:val="center"/>
          </w:tcPr>
          <w:p w14:paraId="0CC5E5E5">
            <w:pPr>
              <w:pStyle w:val="14"/>
            </w:pPr>
          </w:p>
        </w:tc>
        <w:tc>
          <w:tcPr>
            <w:tcW w:w="1134" w:type="dxa"/>
            <w:vAlign w:val="center"/>
          </w:tcPr>
          <w:p w14:paraId="228C0A93">
            <w:pPr>
              <w:pStyle w:val="14"/>
            </w:pPr>
          </w:p>
        </w:tc>
        <w:tc>
          <w:tcPr>
            <w:tcW w:w="1134" w:type="dxa"/>
            <w:vAlign w:val="center"/>
          </w:tcPr>
          <w:p w14:paraId="0A70E4E4">
            <w:pPr>
              <w:pStyle w:val="14"/>
            </w:pPr>
          </w:p>
        </w:tc>
      </w:tr>
      <w:tr w14:paraId="73E82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D8EC12">
            <w:pPr>
              <w:pStyle w:val="12"/>
            </w:pPr>
            <w:r>
              <w:t>5</w:t>
            </w:r>
          </w:p>
        </w:tc>
        <w:tc>
          <w:tcPr>
            <w:tcW w:w="992" w:type="dxa"/>
            <w:vAlign w:val="center"/>
          </w:tcPr>
          <w:p w14:paraId="23BBDF23">
            <w:pPr>
              <w:pStyle w:val="13"/>
            </w:pPr>
            <w:r>
              <w:t>20502</w:t>
            </w:r>
          </w:p>
        </w:tc>
        <w:tc>
          <w:tcPr>
            <w:tcW w:w="1559" w:type="dxa"/>
            <w:vAlign w:val="center"/>
          </w:tcPr>
          <w:p w14:paraId="7606BB0A">
            <w:pPr>
              <w:pStyle w:val="13"/>
            </w:pPr>
            <w:r>
              <w:t>普通教育</w:t>
            </w:r>
          </w:p>
        </w:tc>
        <w:tc>
          <w:tcPr>
            <w:tcW w:w="1134" w:type="dxa"/>
            <w:vAlign w:val="center"/>
          </w:tcPr>
          <w:p w14:paraId="37ABE78D">
            <w:pPr>
              <w:pStyle w:val="14"/>
            </w:pPr>
            <w:r>
              <w:t>6556.46</w:t>
            </w:r>
          </w:p>
        </w:tc>
        <w:tc>
          <w:tcPr>
            <w:tcW w:w="1134" w:type="dxa"/>
            <w:vAlign w:val="center"/>
          </w:tcPr>
          <w:p w14:paraId="4729CA11">
            <w:pPr>
              <w:pStyle w:val="14"/>
            </w:pPr>
            <w:r>
              <w:t>6057.17</w:t>
            </w:r>
          </w:p>
        </w:tc>
        <w:tc>
          <w:tcPr>
            <w:tcW w:w="1134" w:type="dxa"/>
            <w:vAlign w:val="center"/>
          </w:tcPr>
          <w:p w14:paraId="12DA1247">
            <w:pPr>
              <w:pStyle w:val="14"/>
            </w:pPr>
            <w:r>
              <w:t>6057.17</w:t>
            </w:r>
          </w:p>
        </w:tc>
        <w:tc>
          <w:tcPr>
            <w:tcW w:w="1134" w:type="dxa"/>
            <w:vAlign w:val="center"/>
          </w:tcPr>
          <w:p w14:paraId="79D20CFA">
            <w:pPr>
              <w:pStyle w:val="14"/>
            </w:pPr>
          </w:p>
        </w:tc>
        <w:tc>
          <w:tcPr>
            <w:tcW w:w="1134" w:type="dxa"/>
            <w:vAlign w:val="center"/>
          </w:tcPr>
          <w:p w14:paraId="1B43B78A">
            <w:pPr>
              <w:pStyle w:val="14"/>
            </w:pPr>
          </w:p>
        </w:tc>
        <w:tc>
          <w:tcPr>
            <w:tcW w:w="1134" w:type="dxa"/>
            <w:vAlign w:val="center"/>
          </w:tcPr>
          <w:p w14:paraId="6830245A">
            <w:pPr>
              <w:pStyle w:val="14"/>
            </w:pPr>
          </w:p>
        </w:tc>
        <w:tc>
          <w:tcPr>
            <w:tcW w:w="1134" w:type="dxa"/>
            <w:vAlign w:val="center"/>
          </w:tcPr>
          <w:p w14:paraId="18B04F21">
            <w:pPr>
              <w:pStyle w:val="14"/>
            </w:pPr>
          </w:p>
        </w:tc>
        <w:tc>
          <w:tcPr>
            <w:tcW w:w="1134" w:type="dxa"/>
            <w:vAlign w:val="center"/>
          </w:tcPr>
          <w:p w14:paraId="0B3EEB52">
            <w:pPr>
              <w:pStyle w:val="14"/>
            </w:pPr>
          </w:p>
        </w:tc>
        <w:tc>
          <w:tcPr>
            <w:tcW w:w="1134" w:type="dxa"/>
            <w:vAlign w:val="center"/>
          </w:tcPr>
          <w:p w14:paraId="67696E6D">
            <w:pPr>
              <w:pStyle w:val="14"/>
            </w:pPr>
          </w:p>
        </w:tc>
        <w:tc>
          <w:tcPr>
            <w:tcW w:w="1134" w:type="dxa"/>
            <w:vAlign w:val="center"/>
          </w:tcPr>
          <w:p w14:paraId="72665E56">
            <w:pPr>
              <w:pStyle w:val="14"/>
            </w:pPr>
            <w:r>
              <w:t>499.30</w:t>
            </w:r>
          </w:p>
        </w:tc>
      </w:tr>
      <w:tr w14:paraId="5A38D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49E1FF">
            <w:pPr>
              <w:pStyle w:val="12"/>
            </w:pPr>
            <w:r>
              <w:t>6</w:t>
            </w:r>
          </w:p>
        </w:tc>
        <w:tc>
          <w:tcPr>
            <w:tcW w:w="992" w:type="dxa"/>
            <w:vAlign w:val="center"/>
          </w:tcPr>
          <w:p w14:paraId="629A065C">
            <w:pPr>
              <w:pStyle w:val="13"/>
            </w:pPr>
            <w:r>
              <w:t>2050201</w:t>
            </w:r>
          </w:p>
        </w:tc>
        <w:tc>
          <w:tcPr>
            <w:tcW w:w="1559" w:type="dxa"/>
            <w:vAlign w:val="center"/>
          </w:tcPr>
          <w:p w14:paraId="3CF21718">
            <w:pPr>
              <w:pStyle w:val="13"/>
            </w:pPr>
            <w:r>
              <w:t>学前教育</w:t>
            </w:r>
          </w:p>
        </w:tc>
        <w:tc>
          <w:tcPr>
            <w:tcW w:w="1134" w:type="dxa"/>
            <w:vAlign w:val="center"/>
          </w:tcPr>
          <w:p w14:paraId="20C6EC6A">
            <w:pPr>
              <w:pStyle w:val="14"/>
            </w:pPr>
            <w:r>
              <w:t>225.52</w:t>
            </w:r>
          </w:p>
        </w:tc>
        <w:tc>
          <w:tcPr>
            <w:tcW w:w="1134" w:type="dxa"/>
            <w:vAlign w:val="center"/>
          </w:tcPr>
          <w:p w14:paraId="7D202B47">
            <w:pPr>
              <w:pStyle w:val="14"/>
            </w:pPr>
            <w:r>
              <w:t>225.52</w:t>
            </w:r>
          </w:p>
        </w:tc>
        <w:tc>
          <w:tcPr>
            <w:tcW w:w="1134" w:type="dxa"/>
            <w:vAlign w:val="center"/>
          </w:tcPr>
          <w:p w14:paraId="51150F83">
            <w:pPr>
              <w:pStyle w:val="14"/>
            </w:pPr>
            <w:r>
              <w:t>225.52</w:t>
            </w:r>
          </w:p>
        </w:tc>
        <w:tc>
          <w:tcPr>
            <w:tcW w:w="1134" w:type="dxa"/>
            <w:vAlign w:val="center"/>
          </w:tcPr>
          <w:p w14:paraId="330AC7FC">
            <w:pPr>
              <w:pStyle w:val="14"/>
            </w:pPr>
          </w:p>
        </w:tc>
        <w:tc>
          <w:tcPr>
            <w:tcW w:w="1134" w:type="dxa"/>
            <w:vAlign w:val="center"/>
          </w:tcPr>
          <w:p w14:paraId="1C6CB7FB">
            <w:pPr>
              <w:pStyle w:val="14"/>
            </w:pPr>
          </w:p>
        </w:tc>
        <w:tc>
          <w:tcPr>
            <w:tcW w:w="1134" w:type="dxa"/>
            <w:vAlign w:val="center"/>
          </w:tcPr>
          <w:p w14:paraId="73E3F034">
            <w:pPr>
              <w:pStyle w:val="14"/>
            </w:pPr>
          </w:p>
        </w:tc>
        <w:tc>
          <w:tcPr>
            <w:tcW w:w="1134" w:type="dxa"/>
            <w:vAlign w:val="center"/>
          </w:tcPr>
          <w:p w14:paraId="4BAF0D53">
            <w:pPr>
              <w:pStyle w:val="14"/>
            </w:pPr>
          </w:p>
        </w:tc>
        <w:tc>
          <w:tcPr>
            <w:tcW w:w="1134" w:type="dxa"/>
            <w:vAlign w:val="center"/>
          </w:tcPr>
          <w:p w14:paraId="0850607A">
            <w:pPr>
              <w:pStyle w:val="14"/>
            </w:pPr>
          </w:p>
        </w:tc>
        <w:tc>
          <w:tcPr>
            <w:tcW w:w="1134" w:type="dxa"/>
            <w:vAlign w:val="center"/>
          </w:tcPr>
          <w:p w14:paraId="644F2F88">
            <w:pPr>
              <w:pStyle w:val="14"/>
            </w:pPr>
          </w:p>
        </w:tc>
        <w:tc>
          <w:tcPr>
            <w:tcW w:w="1134" w:type="dxa"/>
            <w:vAlign w:val="center"/>
          </w:tcPr>
          <w:p w14:paraId="2D794ECE">
            <w:pPr>
              <w:pStyle w:val="14"/>
            </w:pPr>
          </w:p>
        </w:tc>
      </w:tr>
      <w:tr w14:paraId="1E5FC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FE0C93">
            <w:pPr>
              <w:pStyle w:val="12"/>
            </w:pPr>
            <w:r>
              <w:t>7</w:t>
            </w:r>
          </w:p>
        </w:tc>
        <w:tc>
          <w:tcPr>
            <w:tcW w:w="992" w:type="dxa"/>
            <w:vAlign w:val="center"/>
          </w:tcPr>
          <w:p w14:paraId="669FBD0D">
            <w:pPr>
              <w:pStyle w:val="13"/>
            </w:pPr>
            <w:r>
              <w:t>2050202</w:t>
            </w:r>
          </w:p>
        </w:tc>
        <w:tc>
          <w:tcPr>
            <w:tcW w:w="1559" w:type="dxa"/>
            <w:vAlign w:val="center"/>
          </w:tcPr>
          <w:p w14:paraId="4E6F604D">
            <w:pPr>
              <w:pStyle w:val="13"/>
            </w:pPr>
            <w:r>
              <w:t>小学教育</w:t>
            </w:r>
          </w:p>
        </w:tc>
        <w:tc>
          <w:tcPr>
            <w:tcW w:w="1134" w:type="dxa"/>
            <w:vAlign w:val="center"/>
          </w:tcPr>
          <w:p w14:paraId="580671E4">
            <w:pPr>
              <w:pStyle w:val="14"/>
            </w:pPr>
            <w:r>
              <w:t>3266.99</w:t>
            </w:r>
          </w:p>
        </w:tc>
        <w:tc>
          <w:tcPr>
            <w:tcW w:w="1134" w:type="dxa"/>
            <w:vAlign w:val="center"/>
          </w:tcPr>
          <w:p w14:paraId="07416237">
            <w:pPr>
              <w:pStyle w:val="14"/>
            </w:pPr>
            <w:r>
              <w:t>2962.37</w:t>
            </w:r>
          </w:p>
        </w:tc>
        <w:tc>
          <w:tcPr>
            <w:tcW w:w="1134" w:type="dxa"/>
            <w:vAlign w:val="center"/>
          </w:tcPr>
          <w:p w14:paraId="4E0E8B5E">
            <w:pPr>
              <w:pStyle w:val="14"/>
            </w:pPr>
            <w:r>
              <w:t>2962.37</w:t>
            </w:r>
          </w:p>
        </w:tc>
        <w:tc>
          <w:tcPr>
            <w:tcW w:w="1134" w:type="dxa"/>
            <w:vAlign w:val="center"/>
          </w:tcPr>
          <w:p w14:paraId="75657EC6">
            <w:pPr>
              <w:pStyle w:val="14"/>
            </w:pPr>
          </w:p>
        </w:tc>
        <w:tc>
          <w:tcPr>
            <w:tcW w:w="1134" w:type="dxa"/>
            <w:vAlign w:val="center"/>
          </w:tcPr>
          <w:p w14:paraId="60E9777A">
            <w:pPr>
              <w:pStyle w:val="14"/>
            </w:pPr>
          </w:p>
        </w:tc>
        <w:tc>
          <w:tcPr>
            <w:tcW w:w="1134" w:type="dxa"/>
            <w:vAlign w:val="center"/>
          </w:tcPr>
          <w:p w14:paraId="0C098302">
            <w:pPr>
              <w:pStyle w:val="14"/>
            </w:pPr>
          </w:p>
        </w:tc>
        <w:tc>
          <w:tcPr>
            <w:tcW w:w="1134" w:type="dxa"/>
            <w:vAlign w:val="center"/>
          </w:tcPr>
          <w:p w14:paraId="7E4F0933">
            <w:pPr>
              <w:pStyle w:val="14"/>
            </w:pPr>
          </w:p>
        </w:tc>
        <w:tc>
          <w:tcPr>
            <w:tcW w:w="1134" w:type="dxa"/>
            <w:vAlign w:val="center"/>
          </w:tcPr>
          <w:p w14:paraId="1F655CFF">
            <w:pPr>
              <w:pStyle w:val="14"/>
            </w:pPr>
          </w:p>
        </w:tc>
        <w:tc>
          <w:tcPr>
            <w:tcW w:w="1134" w:type="dxa"/>
            <w:vAlign w:val="center"/>
          </w:tcPr>
          <w:p w14:paraId="62FA0498">
            <w:pPr>
              <w:pStyle w:val="14"/>
            </w:pPr>
          </w:p>
        </w:tc>
        <w:tc>
          <w:tcPr>
            <w:tcW w:w="1134" w:type="dxa"/>
            <w:vAlign w:val="center"/>
          </w:tcPr>
          <w:p w14:paraId="1564FE67">
            <w:pPr>
              <w:pStyle w:val="14"/>
            </w:pPr>
            <w:r>
              <w:t>304.61</w:t>
            </w:r>
          </w:p>
        </w:tc>
      </w:tr>
      <w:tr w14:paraId="6D9BF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F4B4B3">
            <w:pPr>
              <w:pStyle w:val="12"/>
            </w:pPr>
            <w:r>
              <w:t>8</w:t>
            </w:r>
          </w:p>
        </w:tc>
        <w:tc>
          <w:tcPr>
            <w:tcW w:w="992" w:type="dxa"/>
            <w:vAlign w:val="center"/>
          </w:tcPr>
          <w:p w14:paraId="39D1C32E">
            <w:pPr>
              <w:pStyle w:val="13"/>
            </w:pPr>
            <w:r>
              <w:t>2050203</w:t>
            </w:r>
          </w:p>
        </w:tc>
        <w:tc>
          <w:tcPr>
            <w:tcW w:w="1559" w:type="dxa"/>
            <w:vAlign w:val="center"/>
          </w:tcPr>
          <w:p w14:paraId="2515FFFC">
            <w:pPr>
              <w:pStyle w:val="13"/>
            </w:pPr>
            <w:r>
              <w:t>初中教育</w:t>
            </w:r>
          </w:p>
        </w:tc>
        <w:tc>
          <w:tcPr>
            <w:tcW w:w="1134" w:type="dxa"/>
            <w:vAlign w:val="center"/>
          </w:tcPr>
          <w:p w14:paraId="20CF3E41">
            <w:pPr>
              <w:pStyle w:val="14"/>
            </w:pPr>
            <w:r>
              <w:t>1203.43</w:t>
            </w:r>
          </w:p>
        </w:tc>
        <w:tc>
          <w:tcPr>
            <w:tcW w:w="1134" w:type="dxa"/>
            <w:vAlign w:val="center"/>
          </w:tcPr>
          <w:p w14:paraId="443D02E2">
            <w:pPr>
              <w:pStyle w:val="14"/>
            </w:pPr>
            <w:r>
              <w:t>1008.75</w:t>
            </w:r>
          </w:p>
        </w:tc>
        <w:tc>
          <w:tcPr>
            <w:tcW w:w="1134" w:type="dxa"/>
            <w:vAlign w:val="center"/>
          </w:tcPr>
          <w:p w14:paraId="085BB887">
            <w:pPr>
              <w:pStyle w:val="14"/>
            </w:pPr>
            <w:r>
              <w:t>1008.75</w:t>
            </w:r>
          </w:p>
        </w:tc>
        <w:tc>
          <w:tcPr>
            <w:tcW w:w="1134" w:type="dxa"/>
            <w:vAlign w:val="center"/>
          </w:tcPr>
          <w:p w14:paraId="61AEE38B">
            <w:pPr>
              <w:pStyle w:val="14"/>
            </w:pPr>
          </w:p>
        </w:tc>
        <w:tc>
          <w:tcPr>
            <w:tcW w:w="1134" w:type="dxa"/>
            <w:vAlign w:val="center"/>
          </w:tcPr>
          <w:p w14:paraId="170470E8">
            <w:pPr>
              <w:pStyle w:val="14"/>
            </w:pPr>
          </w:p>
        </w:tc>
        <w:tc>
          <w:tcPr>
            <w:tcW w:w="1134" w:type="dxa"/>
            <w:vAlign w:val="center"/>
          </w:tcPr>
          <w:p w14:paraId="266A4D9A">
            <w:pPr>
              <w:pStyle w:val="14"/>
            </w:pPr>
          </w:p>
        </w:tc>
        <w:tc>
          <w:tcPr>
            <w:tcW w:w="1134" w:type="dxa"/>
            <w:vAlign w:val="center"/>
          </w:tcPr>
          <w:p w14:paraId="33316971">
            <w:pPr>
              <w:pStyle w:val="14"/>
            </w:pPr>
          </w:p>
        </w:tc>
        <w:tc>
          <w:tcPr>
            <w:tcW w:w="1134" w:type="dxa"/>
            <w:vAlign w:val="center"/>
          </w:tcPr>
          <w:p w14:paraId="08C8A8A3">
            <w:pPr>
              <w:pStyle w:val="14"/>
            </w:pPr>
          </w:p>
        </w:tc>
        <w:tc>
          <w:tcPr>
            <w:tcW w:w="1134" w:type="dxa"/>
            <w:vAlign w:val="center"/>
          </w:tcPr>
          <w:p w14:paraId="3F9D24EA">
            <w:pPr>
              <w:pStyle w:val="14"/>
            </w:pPr>
          </w:p>
        </w:tc>
        <w:tc>
          <w:tcPr>
            <w:tcW w:w="1134" w:type="dxa"/>
            <w:vAlign w:val="center"/>
          </w:tcPr>
          <w:p w14:paraId="6BF25A1A">
            <w:pPr>
              <w:pStyle w:val="14"/>
            </w:pPr>
            <w:r>
              <w:t>194.68</w:t>
            </w:r>
          </w:p>
        </w:tc>
      </w:tr>
      <w:tr w14:paraId="42A7F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ADE4C3">
            <w:pPr>
              <w:pStyle w:val="12"/>
            </w:pPr>
            <w:r>
              <w:t>9</w:t>
            </w:r>
          </w:p>
        </w:tc>
        <w:tc>
          <w:tcPr>
            <w:tcW w:w="992" w:type="dxa"/>
            <w:vAlign w:val="center"/>
          </w:tcPr>
          <w:p w14:paraId="7854FEA0">
            <w:pPr>
              <w:pStyle w:val="13"/>
            </w:pPr>
            <w:r>
              <w:t>2050204</w:t>
            </w:r>
          </w:p>
        </w:tc>
        <w:tc>
          <w:tcPr>
            <w:tcW w:w="1559" w:type="dxa"/>
            <w:vAlign w:val="center"/>
          </w:tcPr>
          <w:p w14:paraId="3E6F9DFA">
            <w:pPr>
              <w:pStyle w:val="13"/>
            </w:pPr>
            <w:r>
              <w:t>高中教育</w:t>
            </w:r>
          </w:p>
        </w:tc>
        <w:tc>
          <w:tcPr>
            <w:tcW w:w="1134" w:type="dxa"/>
            <w:vAlign w:val="center"/>
          </w:tcPr>
          <w:p w14:paraId="2E32E7B8">
            <w:pPr>
              <w:pStyle w:val="14"/>
            </w:pPr>
            <w:r>
              <w:t>403.66</w:t>
            </w:r>
          </w:p>
        </w:tc>
        <w:tc>
          <w:tcPr>
            <w:tcW w:w="1134" w:type="dxa"/>
            <w:vAlign w:val="center"/>
          </w:tcPr>
          <w:p w14:paraId="262B1669">
            <w:pPr>
              <w:pStyle w:val="14"/>
            </w:pPr>
            <w:r>
              <w:t>403.66</w:t>
            </w:r>
          </w:p>
        </w:tc>
        <w:tc>
          <w:tcPr>
            <w:tcW w:w="1134" w:type="dxa"/>
            <w:vAlign w:val="center"/>
          </w:tcPr>
          <w:p w14:paraId="7A401B0B">
            <w:pPr>
              <w:pStyle w:val="14"/>
            </w:pPr>
            <w:r>
              <w:t>403.66</w:t>
            </w:r>
          </w:p>
        </w:tc>
        <w:tc>
          <w:tcPr>
            <w:tcW w:w="1134" w:type="dxa"/>
            <w:vAlign w:val="center"/>
          </w:tcPr>
          <w:p w14:paraId="22C55F52">
            <w:pPr>
              <w:pStyle w:val="14"/>
            </w:pPr>
          </w:p>
        </w:tc>
        <w:tc>
          <w:tcPr>
            <w:tcW w:w="1134" w:type="dxa"/>
            <w:vAlign w:val="center"/>
          </w:tcPr>
          <w:p w14:paraId="342F5A08">
            <w:pPr>
              <w:pStyle w:val="14"/>
            </w:pPr>
          </w:p>
        </w:tc>
        <w:tc>
          <w:tcPr>
            <w:tcW w:w="1134" w:type="dxa"/>
            <w:vAlign w:val="center"/>
          </w:tcPr>
          <w:p w14:paraId="3C38FEBE">
            <w:pPr>
              <w:pStyle w:val="14"/>
            </w:pPr>
          </w:p>
        </w:tc>
        <w:tc>
          <w:tcPr>
            <w:tcW w:w="1134" w:type="dxa"/>
            <w:vAlign w:val="center"/>
          </w:tcPr>
          <w:p w14:paraId="2DCE0755">
            <w:pPr>
              <w:pStyle w:val="14"/>
            </w:pPr>
          </w:p>
        </w:tc>
        <w:tc>
          <w:tcPr>
            <w:tcW w:w="1134" w:type="dxa"/>
            <w:vAlign w:val="center"/>
          </w:tcPr>
          <w:p w14:paraId="5D080AD5">
            <w:pPr>
              <w:pStyle w:val="14"/>
            </w:pPr>
          </w:p>
        </w:tc>
        <w:tc>
          <w:tcPr>
            <w:tcW w:w="1134" w:type="dxa"/>
            <w:vAlign w:val="center"/>
          </w:tcPr>
          <w:p w14:paraId="120F81DC">
            <w:pPr>
              <w:pStyle w:val="14"/>
            </w:pPr>
          </w:p>
        </w:tc>
        <w:tc>
          <w:tcPr>
            <w:tcW w:w="1134" w:type="dxa"/>
            <w:vAlign w:val="center"/>
          </w:tcPr>
          <w:p w14:paraId="43ACBC43">
            <w:pPr>
              <w:pStyle w:val="14"/>
            </w:pPr>
          </w:p>
        </w:tc>
      </w:tr>
      <w:tr w14:paraId="08EC1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A63D5E">
            <w:pPr>
              <w:pStyle w:val="12"/>
            </w:pPr>
            <w:r>
              <w:t>10</w:t>
            </w:r>
          </w:p>
        </w:tc>
        <w:tc>
          <w:tcPr>
            <w:tcW w:w="992" w:type="dxa"/>
            <w:vAlign w:val="center"/>
          </w:tcPr>
          <w:p w14:paraId="7C2958A0">
            <w:pPr>
              <w:pStyle w:val="13"/>
            </w:pPr>
            <w:r>
              <w:t>2050205</w:t>
            </w:r>
          </w:p>
        </w:tc>
        <w:tc>
          <w:tcPr>
            <w:tcW w:w="1559" w:type="dxa"/>
            <w:vAlign w:val="center"/>
          </w:tcPr>
          <w:p w14:paraId="62B551E0">
            <w:pPr>
              <w:pStyle w:val="13"/>
            </w:pPr>
            <w:r>
              <w:t>高等教育</w:t>
            </w:r>
          </w:p>
        </w:tc>
        <w:tc>
          <w:tcPr>
            <w:tcW w:w="1134" w:type="dxa"/>
            <w:vAlign w:val="center"/>
          </w:tcPr>
          <w:p w14:paraId="3C89F512">
            <w:pPr>
              <w:pStyle w:val="14"/>
            </w:pPr>
            <w:r>
              <w:t>4.00</w:t>
            </w:r>
          </w:p>
        </w:tc>
        <w:tc>
          <w:tcPr>
            <w:tcW w:w="1134" w:type="dxa"/>
            <w:vAlign w:val="center"/>
          </w:tcPr>
          <w:p w14:paraId="7CFC7BFF">
            <w:pPr>
              <w:pStyle w:val="14"/>
            </w:pPr>
            <w:r>
              <w:t>4.00</w:t>
            </w:r>
          </w:p>
        </w:tc>
        <w:tc>
          <w:tcPr>
            <w:tcW w:w="1134" w:type="dxa"/>
            <w:vAlign w:val="center"/>
          </w:tcPr>
          <w:p w14:paraId="474ABA30">
            <w:pPr>
              <w:pStyle w:val="14"/>
            </w:pPr>
            <w:r>
              <w:t>4.00</w:t>
            </w:r>
          </w:p>
        </w:tc>
        <w:tc>
          <w:tcPr>
            <w:tcW w:w="1134" w:type="dxa"/>
            <w:vAlign w:val="center"/>
          </w:tcPr>
          <w:p w14:paraId="4EACC376">
            <w:pPr>
              <w:pStyle w:val="14"/>
            </w:pPr>
          </w:p>
        </w:tc>
        <w:tc>
          <w:tcPr>
            <w:tcW w:w="1134" w:type="dxa"/>
            <w:vAlign w:val="center"/>
          </w:tcPr>
          <w:p w14:paraId="5B339C5C">
            <w:pPr>
              <w:pStyle w:val="14"/>
            </w:pPr>
          </w:p>
        </w:tc>
        <w:tc>
          <w:tcPr>
            <w:tcW w:w="1134" w:type="dxa"/>
            <w:vAlign w:val="center"/>
          </w:tcPr>
          <w:p w14:paraId="6F1EAE23">
            <w:pPr>
              <w:pStyle w:val="14"/>
            </w:pPr>
          </w:p>
        </w:tc>
        <w:tc>
          <w:tcPr>
            <w:tcW w:w="1134" w:type="dxa"/>
            <w:vAlign w:val="center"/>
          </w:tcPr>
          <w:p w14:paraId="2C43B707">
            <w:pPr>
              <w:pStyle w:val="14"/>
            </w:pPr>
          </w:p>
        </w:tc>
        <w:tc>
          <w:tcPr>
            <w:tcW w:w="1134" w:type="dxa"/>
            <w:vAlign w:val="center"/>
          </w:tcPr>
          <w:p w14:paraId="4D94CFA1">
            <w:pPr>
              <w:pStyle w:val="14"/>
            </w:pPr>
          </w:p>
        </w:tc>
        <w:tc>
          <w:tcPr>
            <w:tcW w:w="1134" w:type="dxa"/>
            <w:vAlign w:val="center"/>
          </w:tcPr>
          <w:p w14:paraId="23D386D7">
            <w:pPr>
              <w:pStyle w:val="14"/>
            </w:pPr>
          </w:p>
        </w:tc>
        <w:tc>
          <w:tcPr>
            <w:tcW w:w="1134" w:type="dxa"/>
            <w:vAlign w:val="center"/>
          </w:tcPr>
          <w:p w14:paraId="6C27CE02">
            <w:pPr>
              <w:pStyle w:val="14"/>
            </w:pPr>
          </w:p>
        </w:tc>
      </w:tr>
      <w:tr w14:paraId="74198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0F8832">
            <w:pPr>
              <w:pStyle w:val="12"/>
            </w:pPr>
            <w:r>
              <w:t>11</w:t>
            </w:r>
          </w:p>
        </w:tc>
        <w:tc>
          <w:tcPr>
            <w:tcW w:w="992" w:type="dxa"/>
            <w:vAlign w:val="center"/>
          </w:tcPr>
          <w:p w14:paraId="5A561C35">
            <w:pPr>
              <w:pStyle w:val="13"/>
            </w:pPr>
            <w:r>
              <w:t>2050299</w:t>
            </w:r>
          </w:p>
        </w:tc>
        <w:tc>
          <w:tcPr>
            <w:tcW w:w="1559" w:type="dxa"/>
            <w:vAlign w:val="center"/>
          </w:tcPr>
          <w:p w14:paraId="61CFF8AD">
            <w:pPr>
              <w:pStyle w:val="13"/>
            </w:pPr>
            <w:r>
              <w:t>其他普通教育支出</w:t>
            </w:r>
          </w:p>
        </w:tc>
        <w:tc>
          <w:tcPr>
            <w:tcW w:w="1134" w:type="dxa"/>
            <w:vAlign w:val="center"/>
          </w:tcPr>
          <w:p w14:paraId="402C4BAA">
            <w:pPr>
              <w:pStyle w:val="14"/>
            </w:pPr>
            <w:r>
              <w:t>1452.87</w:t>
            </w:r>
          </w:p>
        </w:tc>
        <w:tc>
          <w:tcPr>
            <w:tcW w:w="1134" w:type="dxa"/>
            <w:vAlign w:val="center"/>
          </w:tcPr>
          <w:p w14:paraId="7F002820">
            <w:pPr>
              <w:pStyle w:val="14"/>
            </w:pPr>
            <w:r>
              <w:t>1452.87</w:t>
            </w:r>
          </w:p>
        </w:tc>
        <w:tc>
          <w:tcPr>
            <w:tcW w:w="1134" w:type="dxa"/>
            <w:vAlign w:val="center"/>
          </w:tcPr>
          <w:p w14:paraId="3EBD39A0">
            <w:pPr>
              <w:pStyle w:val="14"/>
            </w:pPr>
            <w:r>
              <w:t>1452.87</w:t>
            </w:r>
          </w:p>
        </w:tc>
        <w:tc>
          <w:tcPr>
            <w:tcW w:w="1134" w:type="dxa"/>
            <w:vAlign w:val="center"/>
          </w:tcPr>
          <w:p w14:paraId="76418EE9">
            <w:pPr>
              <w:pStyle w:val="14"/>
            </w:pPr>
          </w:p>
        </w:tc>
        <w:tc>
          <w:tcPr>
            <w:tcW w:w="1134" w:type="dxa"/>
            <w:vAlign w:val="center"/>
          </w:tcPr>
          <w:p w14:paraId="727E4B1F">
            <w:pPr>
              <w:pStyle w:val="14"/>
            </w:pPr>
          </w:p>
        </w:tc>
        <w:tc>
          <w:tcPr>
            <w:tcW w:w="1134" w:type="dxa"/>
            <w:vAlign w:val="center"/>
          </w:tcPr>
          <w:p w14:paraId="1DF64B05">
            <w:pPr>
              <w:pStyle w:val="14"/>
            </w:pPr>
          </w:p>
        </w:tc>
        <w:tc>
          <w:tcPr>
            <w:tcW w:w="1134" w:type="dxa"/>
            <w:vAlign w:val="center"/>
          </w:tcPr>
          <w:p w14:paraId="5284A83A">
            <w:pPr>
              <w:pStyle w:val="14"/>
            </w:pPr>
          </w:p>
        </w:tc>
        <w:tc>
          <w:tcPr>
            <w:tcW w:w="1134" w:type="dxa"/>
            <w:vAlign w:val="center"/>
          </w:tcPr>
          <w:p w14:paraId="07CDAE6C">
            <w:pPr>
              <w:pStyle w:val="14"/>
            </w:pPr>
          </w:p>
        </w:tc>
        <w:tc>
          <w:tcPr>
            <w:tcW w:w="1134" w:type="dxa"/>
            <w:vAlign w:val="center"/>
          </w:tcPr>
          <w:p w14:paraId="65DC0B3F">
            <w:pPr>
              <w:pStyle w:val="14"/>
            </w:pPr>
          </w:p>
        </w:tc>
        <w:tc>
          <w:tcPr>
            <w:tcW w:w="1134" w:type="dxa"/>
            <w:vAlign w:val="center"/>
          </w:tcPr>
          <w:p w14:paraId="74798C57">
            <w:pPr>
              <w:pStyle w:val="14"/>
            </w:pPr>
          </w:p>
        </w:tc>
      </w:tr>
      <w:tr w14:paraId="62999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A571B7">
            <w:pPr>
              <w:pStyle w:val="12"/>
            </w:pPr>
            <w:r>
              <w:t>12</w:t>
            </w:r>
          </w:p>
        </w:tc>
        <w:tc>
          <w:tcPr>
            <w:tcW w:w="992" w:type="dxa"/>
            <w:vAlign w:val="center"/>
          </w:tcPr>
          <w:p w14:paraId="06B06C02">
            <w:pPr>
              <w:pStyle w:val="13"/>
            </w:pPr>
            <w:r>
              <w:t>20503</w:t>
            </w:r>
          </w:p>
        </w:tc>
        <w:tc>
          <w:tcPr>
            <w:tcW w:w="1559" w:type="dxa"/>
            <w:vAlign w:val="center"/>
          </w:tcPr>
          <w:p w14:paraId="1A310B45">
            <w:pPr>
              <w:pStyle w:val="13"/>
            </w:pPr>
            <w:r>
              <w:t>职业教育</w:t>
            </w:r>
          </w:p>
        </w:tc>
        <w:tc>
          <w:tcPr>
            <w:tcW w:w="1134" w:type="dxa"/>
            <w:vAlign w:val="center"/>
          </w:tcPr>
          <w:p w14:paraId="5306AF22">
            <w:pPr>
              <w:pStyle w:val="14"/>
            </w:pPr>
            <w:r>
              <w:t>76.45</w:t>
            </w:r>
          </w:p>
        </w:tc>
        <w:tc>
          <w:tcPr>
            <w:tcW w:w="1134" w:type="dxa"/>
            <w:vAlign w:val="center"/>
          </w:tcPr>
          <w:p w14:paraId="213C669B">
            <w:pPr>
              <w:pStyle w:val="14"/>
            </w:pPr>
            <w:r>
              <w:t>76.45</w:t>
            </w:r>
          </w:p>
        </w:tc>
        <w:tc>
          <w:tcPr>
            <w:tcW w:w="1134" w:type="dxa"/>
            <w:vAlign w:val="center"/>
          </w:tcPr>
          <w:p w14:paraId="1C74B3F2">
            <w:pPr>
              <w:pStyle w:val="14"/>
            </w:pPr>
            <w:r>
              <w:t>76.45</w:t>
            </w:r>
          </w:p>
        </w:tc>
        <w:tc>
          <w:tcPr>
            <w:tcW w:w="1134" w:type="dxa"/>
            <w:vAlign w:val="center"/>
          </w:tcPr>
          <w:p w14:paraId="71351BDF">
            <w:pPr>
              <w:pStyle w:val="14"/>
            </w:pPr>
          </w:p>
        </w:tc>
        <w:tc>
          <w:tcPr>
            <w:tcW w:w="1134" w:type="dxa"/>
            <w:vAlign w:val="center"/>
          </w:tcPr>
          <w:p w14:paraId="512A9176">
            <w:pPr>
              <w:pStyle w:val="14"/>
            </w:pPr>
          </w:p>
        </w:tc>
        <w:tc>
          <w:tcPr>
            <w:tcW w:w="1134" w:type="dxa"/>
            <w:vAlign w:val="center"/>
          </w:tcPr>
          <w:p w14:paraId="0EF020B2">
            <w:pPr>
              <w:pStyle w:val="14"/>
            </w:pPr>
          </w:p>
        </w:tc>
        <w:tc>
          <w:tcPr>
            <w:tcW w:w="1134" w:type="dxa"/>
            <w:vAlign w:val="center"/>
          </w:tcPr>
          <w:p w14:paraId="3B099A15">
            <w:pPr>
              <w:pStyle w:val="14"/>
            </w:pPr>
          </w:p>
        </w:tc>
        <w:tc>
          <w:tcPr>
            <w:tcW w:w="1134" w:type="dxa"/>
            <w:vAlign w:val="center"/>
          </w:tcPr>
          <w:p w14:paraId="2EB45678">
            <w:pPr>
              <w:pStyle w:val="14"/>
            </w:pPr>
          </w:p>
        </w:tc>
        <w:tc>
          <w:tcPr>
            <w:tcW w:w="1134" w:type="dxa"/>
            <w:vAlign w:val="center"/>
          </w:tcPr>
          <w:p w14:paraId="375148BD">
            <w:pPr>
              <w:pStyle w:val="14"/>
            </w:pPr>
          </w:p>
        </w:tc>
        <w:tc>
          <w:tcPr>
            <w:tcW w:w="1134" w:type="dxa"/>
            <w:vAlign w:val="center"/>
          </w:tcPr>
          <w:p w14:paraId="3B865C1E">
            <w:pPr>
              <w:pStyle w:val="14"/>
            </w:pPr>
          </w:p>
        </w:tc>
      </w:tr>
      <w:tr w14:paraId="1D00D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A4411E">
            <w:pPr>
              <w:pStyle w:val="12"/>
            </w:pPr>
            <w:r>
              <w:t>13</w:t>
            </w:r>
          </w:p>
        </w:tc>
        <w:tc>
          <w:tcPr>
            <w:tcW w:w="992" w:type="dxa"/>
            <w:vAlign w:val="center"/>
          </w:tcPr>
          <w:p w14:paraId="19BD2D58">
            <w:pPr>
              <w:pStyle w:val="13"/>
            </w:pPr>
            <w:r>
              <w:t>2050302</w:t>
            </w:r>
          </w:p>
        </w:tc>
        <w:tc>
          <w:tcPr>
            <w:tcW w:w="1559" w:type="dxa"/>
            <w:vAlign w:val="center"/>
          </w:tcPr>
          <w:p w14:paraId="535FA6C7">
            <w:pPr>
              <w:pStyle w:val="13"/>
            </w:pPr>
            <w:r>
              <w:t>中等职业教育</w:t>
            </w:r>
          </w:p>
        </w:tc>
        <w:tc>
          <w:tcPr>
            <w:tcW w:w="1134" w:type="dxa"/>
            <w:vAlign w:val="center"/>
          </w:tcPr>
          <w:p w14:paraId="6FAD9FC4">
            <w:pPr>
              <w:pStyle w:val="14"/>
            </w:pPr>
            <w:r>
              <w:t>76.45</w:t>
            </w:r>
          </w:p>
        </w:tc>
        <w:tc>
          <w:tcPr>
            <w:tcW w:w="1134" w:type="dxa"/>
            <w:vAlign w:val="center"/>
          </w:tcPr>
          <w:p w14:paraId="61B98EF5">
            <w:pPr>
              <w:pStyle w:val="14"/>
            </w:pPr>
            <w:r>
              <w:t>76.45</w:t>
            </w:r>
          </w:p>
        </w:tc>
        <w:tc>
          <w:tcPr>
            <w:tcW w:w="1134" w:type="dxa"/>
            <w:vAlign w:val="center"/>
          </w:tcPr>
          <w:p w14:paraId="0D3631FB">
            <w:pPr>
              <w:pStyle w:val="14"/>
            </w:pPr>
            <w:r>
              <w:t>76.45</w:t>
            </w:r>
          </w:p>
        </w:tc>
        <w:tc>
          <w:tcPr>
            <w:tcW w:w="1134" w:type="dxa"/>
            <w:vAlign w:val="center"/>
          </w:tcPr>
          <w:p w14:paraId="7DC733C9">
            <w:pPr>
              <w:pStyle w:val="14"/>
            </w:pPr>
          </w:p>
        </w:tc>
        <w:tc>
          <w:tcPr>
            <w:tcW w:w="1134" w:type="dxa"/>
            <w:vAlign w:val="center"/>
          </w:tcPr>
          <w:p w14:paraId="74551541">
            <w:pPr>
              <w:pStyle w:val="14"/>
            </w:pPr>
          </w:p>
        </w:tc>
        <w:tc>
          <w:tcPr>
            <w:tcW w:w="1134" w:type="dxa"/>
            <w:vAlign w:val="center"/>
          </w:tcPr>
          <w:p w14:paraId="67CF65C3">
            <w:pPr>
              <w:pStyle w:val="14"/>
            </w:pPr>
          </w:p>
        </w:tc>
        <w:tc>
          <w:tcPr>
            <w:tcW w:w="1134" w:type="dxa"/>
            <w:vAlign w:val="center"/>
          </w:tcPr>
          <w:p w14:paraId="3D6D5FB6">
            <w:pPr>
              <w:pStyle w:val="14"/>
            </w:pPr>
          </w:p>
        </w:tc>
        <w:tc>
          <w:tcPr>
            <w:tcW w:w="1134" w:type="dxa"/>
            <w:vAlign w:val="center"/>
          </w:tcPr>
          <w:p w14:paraId="423D3D30">
            <w:pPr>
              <w:pStyle w:val="14"/>
            </w:pPr>
          </w:p>
        </w:tc>
        <w:tc>
          <w:tcPr>
            <w:tcW w:w="1134" w:type="dxa"/>
            <w:vAlign w:val="center"/>
          </w:tcPr>
          <w:p w14:paraId="10F1B627">
            <w:pPr>
              <w:pStyle w:val="14"/>
            </w:pPr>
          </w:p>
        </w:tc>
        <w:tc>
          <w:tcPr>
            <w:tcW w:w="1134" w:type="dxa"/>
            <w:vAlign w:val="center"/>
          </w:tcPr>
          <w:p w14:paraId="5DEF80F4">
            <w:pPr>
              <w:pStyle w:val="14"/>
            </w:pPr>
          </w:p>
        </w:tc>
      </w:tr>
      <w:tr w14:paraId="7883C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6BBB3C">
            <w:pPr>
              <w:pStyle w:val="12"/>
            </w:pPr>
            <w:r>
              <w:t>14</w:t>
            </w:r>
          </w:p>
        </w:tc>
        <w:tc>
          <w:tcPr>
            <w:tcW w:w="992" w:type="dxa"/>
            <w:vAlign w:val="center"/>
          </w:tcPr>
          <w:p w14:paraId="25E53217">
            <w:pPr>
              <w:pStyle w:val="13"/>
            </w:pPr>
            <w:r>
              <w:t>20599</w:t>
            </w:r>
          </w:p>
        </w:tc>
        <w:tc>
          <w:tcPr>
            <w:tcW w:w="1559" w:type="dxa"/>
            <w:vAlign w:val="center"/>
          </w:tcPr>
          <w:p w14:paraId="377370DF">
            <w:pPr>
              <w:pStyle w:val="13"/>
            </w:pPr>
            <w:r>
              <w:t>其他教育支出</w:t>
            </w:r>
          </w:p>
        </w:tc>
        <w:tc>
          <w:tcPr>
            <w:tcW w:w="1134" w:type="dxa"/>
            <w:vAlign w:val="center"/>
          </w:tcPr>
          <w:p w14:paraId="245219E7">
            <w:pPr>
              <w:pStyle w:val="14"/>
            </w:pPr>
            <w:r>
              <w:t>502.56</w:t>
            </w:r>
          </w:p>
        </w:tc>
        <w:tc>
          <w:tcPr>
            <w:tcW w:w="1134" w:type="dxa"/>
            <w:vAlign w:val="center"/>
          </w:tcPr>
          <w:p w14:paraId="3AB572C8">
            <w:pPr>
              <w:pStyle w:val="14"/>
            </w:pPr>
            <w:r>
              <w:t>502.56</w:t>
            </w:r>
          </w:p>
        </w:tc>
        <w:tc>
          <w:tcPr>
            <w:tcW w:w="1134" w:type="dxa"/>
            <w:vAlign w:val="center"/>
          </w:tcPr>
          <w:p w14:paraId="7142C0A0">
            <w:pPr>
              <w:pStyle w:val="14"/>
            </w:pPr>
            <w:r>
              <w:t>502.56</w:t>
            </w:r>
          </w:p>
        </w:tc>
        <w:tc>
          <w:tcPr>
            <w:tcW w:w="1134" w:type="dxa"/>
            <w:vAlign w:val="center"/>
          </w:tcPr>
          <w:p w14:paraId="1FC6B3DC">
            <w:pPr>
              <w:pStyle w:val="14"/>
            </w:pPr>
          </w:p>
        </w:tc>
        <w:tc>
          <w:tcPr>
            <w:tcW w:w="1134" w:type="dxa"/>
            <w:vAlign w:val="center"/>
          </w:tcPr>
          <w:p w14:paraId="6DCE84F8">
            <w:pPr>
              <w:pStyle w:val="14"/>
            </w:pPr>
          </w:p>
        </w:tc>
        <w:tc>
          <w:tcPr>
            <w:tcW w:w="1134" w:type="dxa"/>
            <w:vAlign w:val="center"/>
          </w:tcPr>
          <w:p w14:paraId="2804198D">
            <w:pPr>
              <w:pStyle w:val="14"/>
            </w:pPr>
          </w:p>
        </w:tc>
        <w:tc>
          <w:tcPr>
            <w:tcW w:w="1134" w:type="dxa"/>
            <w:vAlign w:val="center"/>
          </w:tcPr>
          <w:p w14:paraId="409DFC79">
            <w:pPr>
              <w:pStyle w:val="14"/>
            </w:pPr>
          </w:p>
        </w:tc>
        <w:tc>
          <w:tcPr>
            <w:tcW w:w="1134" w:type="dxa"/>
            <w:vAlign w:val="center"/>
          </w:tcPr>
          <w:p w14:paraId="63C6174E">
            <w:pPr>
              <w:pStyle w:val="14"/>
            </w:pPr>
          </w:p>
        </w:tc>
        <w:tc>
          <w:tcPr>
            <w:tcW w:w="1134" w:type="dxa"/>
            <w:vAlign w:val="center"/>
          </w:tcPr>
          <w:p w14:paraId="49122FE5">
            <w:pPr>
              <w:pStyle w:val="14"/>
            </w:pPr>
          </w:p>
        </w:tc>
        <w:tc>
          <w:tcPr>
            <w:tcW w:w="1134" w:type="dxa"/>
            <w:vAlign w:val="center"/>
          </w:tcPr>
          <w:p w14:paraId="35E4BD4F">
            <w:pPr>
              <w:pStyle w:val="14"/>
            </w:pPr>
          </w:p>
        </w:tc>
      </w:tr>
      <w:tr w14:paraId="73427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EBADAF">
            <w:pPr>
              <w:pStyle w:val="12"/>
            </w:pPr>
            <w:r>
              <w:t>15</w:t>
            </w:r>
          </w:p>
        </w:tc>
        <w:tc>
          <w:tcPr>
            <w:tcW w:w="992" w:type="dxa"/>
            <w:vAlign w:val="center"/>
          </w:tcPr>
          <w:p w14:paraId="2785DE51">
            <w:pPr>
              <w:pStyle w:val="13"/>
            </w:pPr>
            <w:r>
              <w:t>2059999</w:t>
            </w:r>
          </w:p>
        </w:tc>
        <w:tc>
          <w:tcPr>
            <w:tcW w:w="1559" w:type="dxa"/>
            <w:vAlign w:val="center"/>
          </w:tcPr>
          <w:p w14:paraId="370048EB">
            <w:pPr>
              <w:pStyle w:val="13"/>
            </w:pPr>
            <w:r>
              <w:t>其他教育支出</w:t>
            </w:r>
          </w:p>
        </w:tc>
        <w:tc>
          <w:tcPr>
            <w:tcW w:w="1134" w:type="dxa"/>
            <w:vAlign w:val="center"/>
          </w:tcPr>
          <w:p w14:paraId="2587EE0F">
            <w:pPr>
              <w:pStyle w:val="14"/>
            </w:pPr>
            <w:r>
              <w:t>502.56</w:t>
            </w:r>
          </w:p>
        </w:tc>
        <w:tc>
          <w:tcPr>
            <w:tcW w:w="1134" w:type="dxa"/>
            <w:vAlign w:val="center"/>
          </w:tcPr>
          <w:p w14:paraId="147EDC9D">
            <w:pPr>
              <w:pStyle w:val="14"/>
            </w:pPr>
            <w:r>
              <w:t>502.56</w:t>
            </w:r>
          </w:p>
        </w:tc>
        <w:tc>
          <w:tcPr>
            <w:tcW w:w="1134" w:type="dxa"/>
            <w:vAlign w:val="center"/>
          </w:tcPr>
          <w:p w14:paraId="3DF13DC0">
            <w:pPr>
              <w:pStyle w:val="14"/>
            </w:pPr>
            <w:r>
              <w:t>502.56</w:t>
            </w:r>
          </w:p>
        </w:tc>
        <w:tc>
          <w:tcPr>
            <w:tcW w:w="1134" w:type="dxa"/>
            <w:vAlign w:val="center"/>
          </w:tcPr>
          <w:p w14:paraId="0389261C">
            <w:pPr>
              <w:pStyle w:val="14"/>
            </w:pPr>
          </w:p>
        </w:tc>
        <w:tc>
          <w:tcPr>
            <w:tcW w:w="1134" w:type="dxa"/>
            <w:vAlign w:val="center"/>
          </w:tcPr>
          <w:p w14:paraId="0AA9DB34">
            <w:pPr>
              <w:pStyle w:val="14"/>
            </w:pPr>
          </w:p>
        </w:tc>
        <w:tc>
          <w:tcPr>
            <w:tcW w:w="1134" w:type="dxa"/>
            <w:vAlign w:val="center"/>
          </w:tcPr>
          <w:p w14:paraId="36322445">
            <w:pPr>
              <w:pStyle w:val="14"/>
            </w:pPr>
          </w:p>
        </w:tc>
        <w:tc>
          <w:tcPr>
            <w:tcW w:w="1134" w:type="dxa"/>
            <w:vAlign w:val="center"/>
          </w:tcPr>
          <w:p w14:paraId="710DC17E">
            <w:pPr>
              <w:pStyle w:val="14"/>
            </w:pPr>
          </w:p>
        </w:tc>
        <w:tc>
          <w:tcPr>
            <w:tcW w:w="1134" w:type="dxa"/>
            <w:vAlign w:val="center"/>
          </w:tcPr>
          <w:p w14:paraId="3673FB5C">
            <w:pPr>
              <w:pStyle w:val="14"/>
            </w:pPr>
          </w:p>
        </w:tc>
        <w:tc>
          <w:tcPr>
            <w:tcW w:w="1134" w:type="dxa"/>
            <w:vAlign w:val="center"/>
          </w:tcPr>
          <w:p w14:paraId="264EED71">
            <w:pPr>
              <w:pStyle w:val="14"/>
            </w:pPr>
          </w:p>
        </w:tc>
        <w:tc>
          <w:tcPr>
            <w:tcW w:w="1134" w:type="dxa"/>
            <w:vAlign w:val="center"/>
          </w:tcPr>
          <w:p w14:paraId="1CEF27AC">
            <w:pPr>
              <w:pStyle w:val="14"/>
            </w:pPr>
          </w:p>
        </w:tc>
      </w:tr>
      <w:tr w14:paraId="5D921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A96F84">
            <w:pPr>
              <w:pStyle w:val="12"/>
            </w:pPr>
            <w:r>
              <w:t>16</w:t>
            </w:r>
          </w:p>
        </w:tc>
        <w:tc>
          <w:tcPr>
            <w:tcW w:w="992" w:type="dxa"/>
            <w:vAlign w:val="center"/>
          </w:tcPr>
          <w:p w14:paraId="1A34ECB4">
            <w:pPr>
              <w:pStyle w:val="13"/>
            </w:pPr>
            <w:r>
              <w:t>208</w:t>
            </w:r>
          </w:p>
        </w:tc>
        <w:tc>
          <w:tcPr>
            <w:tcW w:w="1559" w:type="dxa"/>
            <w:vAlign w:val="center"/>
          </w:tcPr>
          <w:p w14:paraId="646F3E6E">
            <w:pPr>
              <w:pStyle w:val="13"/>
            </w:pPr>
            <w:r>
              <w:t>社会保障和就业支出</w:t>
            </w:r>
          </w:p>
        </w:tc>
        <w:tc>
          <w:tcPr>
            <w:tcW w:w="1134" w:type="dxa"/>
            <w:vAlign w:val="center"/>
          </w:tcPr>
          <w:p w14:paraId="12503626">
            <w:pPr>
              <w:pStyle w:val="14"/>
            </w:pPr>
            <w:r>
              <w:t>959.60</w:t>
            </w:r>
          </w:p>
        </w:tc>
        <w:tc>
          <w:tcPr>
            <w:tcW w:w="1134" w:type="dxa"/>
            <w:vAlign w:val="center"/>
          </w:tcPr>
          <w:p w14:paraId="79C9CBFC">
            <w:pPr>
              <w:pStyle w:val="14"/>
            </w:pPr>
            <w:r>
              <w:t>959.60</w:t>
            </w:r>
          </w:p>
        </w:tc>
        <w:tc>
          <w:tcPr>
            <w:tcW w:w="1134" w:type="dxa"/>
            <w:vAlign w:val="center"/>
          </w:tcPr>
          <w:p w14:paraId="333E5B07">
            <w:pPr>
              <w:pStyle w:val="14"/>
            </w:pPr>
            <w:r>
              <w:t>959.60</w:t>
            </w:r>
          </w:p>
        </w:tc>
        <w:tc>
          <w:tcPr>
            <w:tcW w:w="1134" w:type="dxa"/>
            <w:vAlign w:val="center"/>
          </w:tcPr>
          <w:p w14:paraId="460093DA">
            <w:pPr>
              <w:pStyle w:val="14"/>
            </w:pPr>
          </w:p>
        </w:tc>
        <w:tc>
          <w:tcPr>
            <w:tcW w:w="1134" w:type="dxa"/>
            <w:vAlign w:val="center"/>
          </w:tcPr>
          <w:p w14:paraId="742509E7">
            <w:pPr>
              <w:pStyle w:val="14"/>
            </w:pPr>
          </w:p>
        </w:tc>
        <w:tc>
          <w:tcPr>
            <w:tcW w:w="1134" w:type="dxa"/>
            <w:vAlign w:val="center"/>
          </w:tcPr>
          <w:p w14:paraId="09AF6E5F">
            <w:pPr>
              <w:pStyle w:val="14"/>
            </w:pPr>
          </w:p>
        </w:tc>
        <w:tc>
          <w:tcPr>
            <w:tcW w:w="1134" w:type="dxa"/>
            <w:vAlign w:val="center"/>
          </w:tcPr>
          <w:p w14:paraId="5BCE5449">
            <w:pPr>
              <w:pStyle w:val="14"/>
            </w:pPr>
          </w:p>
        </w:tc>
        <w:tc>
          <w:tcPr>
            <w:tcW w:w="1134" w:type="dxa"/>
            <w:vAlign w:val="center"/>
          </w:tcPr>
          <w:p w14:paraId="263551FC">
            <w:pPr>
              <w:pStyle w:val="14"/>
            </w:pPr>
          </w:p>
        </w:tc>
        <w:tc>
          <w:tcPr>
            <w:tcW w:w="1134" w:type="dxa"/>
            <w:vAlign w:val="center"/>
          </w:tcPr>
          <w:p w14:paraId="6F0630B9">
            <w:pPr>
              <w:pStyle w:val="14"/>
            </w:pPr>
          </w:p>
        </w:tc>
        <w:tc>
          <w:tcPr>
            <w:tcW w:w="1134" w:type="dxa"/>
            <w:vAlign w:val="center"/>
          </w:tcPr>
          <w:p w14:paraId="06C2BCF4">
            <w:pPr>
              <w:pStyle w:val="14"/>
            </w:pPr>
          </w:p>
        </w:tc>
      </w:tr>
      <w:tr w14:paraId="171E4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77622B">
            <w:pPr>
              <w:pStyle w:val="12"/>
            </w:pPr>
            <w:r>
              <w:t>17</w:t>
            </w:r>
          </w:p>
        </w:tc>
        <w:tc>
          <w:tcPr>
            <w:tcW w:w="992" w:type="dxa"/>
            <w:vAlign w:val="center"/>
          </w:tcPr>
          <w:p w14:paraId="5C66322E">
            <w:pPr>
              <w:pStyle w:val="13"/>
            </w:pPr>
            <w:r>
              <w:t>20805</w:t>
            </w:r>
          </w:p>
        </w:tc>
        <w:tc>
          <w:tcPr>
            <w:tcW w:w="1559" w:type="dxa"/>
            <w:vAlign w:val="center"/>
          </w:tcPr>
          <w:p w14:paraId="7E9D4A28">
            <w:pPr>
              <w:pStyle w:val="13"/>
            </w:pPr>
            <w:r>
              <w:t>行政事业单位养老支出</w:t>
            </w:r>
          </w:p>
        </w:tc>
        <w:tc>
          <w:tcPr>
            <w:tcW w:w="1134" w:type="dxa"/>
            <w:vAlign w:val="center"/>
          </w:tcPr>
          <w:p w14:paraId="20673B26">
            <w:pPr>
              <w:pStyle w:val="14"/>
            </w:pPr>
            <w:r>
              <w:t>959.60</w:t>
            </w:r>
          </w:p>
        </w:tc>
        <w:tc>
          <w:tcPr>
            <w:tcW w:w="1134" w:type="dxa"/>
            <w:vAlign w:val="center"/>
          </w:tcPr>
          <w:p w14:paraId="7302C286">
            <w:pPr>
              <w:pStyle w:val="14"/>
            </w:pPr>
            <w:r>
              <w:t>959.60</w:t>
            </w:r>
          </w:p>
        </w:tc>
        <w:tc>
          <w:tcPr>
            <w:tcW w:w="1134" w:type="dxa"/>
            <w:vAlign w:val="center"/>
          </w:tcPr>
          <w:p w14:paraId="72C6BF8D">
            <w:pPr>
              <w:pStyle w:val="14"/>
            </w:pPr>
            <w:r>
              <w:t>959.60</w:t>
            </w:r>
          </w:p>
        </w:tc>
        <w:tc>
          <w:tcPr>
            <w:tcW w:w="1134" w:type="dxa"/>
            <w:vAlign w:val="center"/>
          </w:tcPr>
          <w:p w14:paraId="6952380D">
            <w:pPr>
              <w:pStyle w:val="14"/>
            </w:pPr>
          </w:p>
        </w:tc>
        <w:tc>
          <w:tcPr>
            <w:tcW w:w="1134" w:type="dxa"/>
            <w:vAlign w:val="center"/>
          </w:tcPr>
          <w:p w14:paraId="0CB78E20">
            <w:pPr>
              <w:pStyle w:val="14"/>
            </w:pPr>
          </w:p>
        </w:tc>
        <w:tc>
          <w:tcPr>
            <w:tcW w:w="1134" w:type="dxa"/>
            <w:vAlign w:val="center"/>
          </w:tcPr>
          <w:p w14:paraId="3991E31A">
            <w:pPr>
              <w:pStyle w:val="14"/>
            </w:pPr>
          </w:p>
        </w:tc>
        <w:tc>
          <w:tcPr>
            <w:tcW w:w="1134" w:type="dxa"/>
            <w:vAlign w:val="center"/>
          </w:tcPr>
          <w:p w14:paraId="3BEE3B3E">
            <w:pPr>
              <w:pStyle w:val="14"/>
            </w:pPr>
          </w:p>
        </w:tc>
        <w:tc>
          <w:tcPr>
            <w:tcW w:w="1134" w:type="dxa"/>
            <w:vAlign w:val="center"/>
          </w:tcPr>
          <w:p w14:paraId="6284C91F">
            <w:pPr>
              <w:pStyle w:val="14"/>
            </w:pPr>
          </w:p>
        </w:tc>
        <w:tc>
          <w:tcPr>
            <w:tcW w:w="1134" w:type="dxa"/>
            <w:vAlign w:val="center"/>
          </w:tcPr>
          <w:p w14:paraId="13968972">
            <w:pPr>
              <w:pStyle w:val="14"/>
            </w:pPr>
          </w:p>
        </w:tc>
        <w:tc>
          <w:tcPr>
            <w:tcW w:w="1134" w:type="dxa"/>
            <w:vAlign w:val="center"/>
          </w:tcPr>
          <w:p w14:paraId="202257F0">
            <w:pPr>
              <w:pStyle w:val="14"/>
            </w:pPr>
          </w:p>
        </w:tc>
      </w:tr>
      <w:tr w14:paraId="49DD0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7BF91A">
            <w:pPr>
              <w:pStyle w:val="12"/>
            </w:pPr>
            <w:r>
              <w:t>18</w:t>
            </w:r>
          </w:p>
        </w:tc>
        <w:tc>
          <w:tcPr>
            <w:tcW w:w="992" w:type="dxa"/>
            <w:vAlign w:val="center"/>
          </w:tcPr>
          <w:p w14:paraId="5D7C01BF">
            <w:pPr>
              <w:pStyle w:val="13"/>
            </w:pPr>
            <w:r>
              <w:t>2080505</w:t>
            </w:r>
          </w:p>
        </w:tc>
        <w:tc>
          <w:tcPr>
            <w:tcW w:w="1559" w:type="dxa"/>
            <w:vAlign w:val="center"/>
          </w:tcPr>
          <w:p w14:paraId="02442C98">
            <w:pPr>
              <w:pStyle w:val="13"/>
            </w:pPr>
            <w:r>
              <w:t>机关事业单位基本养老保险缴费支出</w:t>
            </w:r>
          </w:p>
        </w:tc>
        <w:tc>
          <w:tcPr>
            <w:tcW w:w="1134" w:type="dxa"/>
            <w:vAlign w:val="center"/>
          </w:tcPr>
          <w:p w14:paraId="7B3EFD3E">
            <w:pPr>
              <w:pStyle w:val="14"/>
            </w:pPr>
            <w:r>
              <w:t>959.60</w:t>
            </w:r>
          </w:p>
        </w:tc>
        <w:tc>
          <w:tcPr>
            <w:tcW w:w="1134" w:type="dxa"/>
            <w:vAlign w:val="center"/>
          </w:tcPr>
          <w:p w14:paraId="4E50D0F9">
            <w:pPr>
              <w:pStyle w:val="14"/>
            </w:pPr>
            <w:r>
              <w:t>959.60</w:t>
            </w:r>
          </w:p>
        </w:tc>
        <w:tc>
          <w:tcPr>
            <w:tcW w:w="1134" w:type="dxa"/>
            <w:vAlign w:val="center"/>
          </w:tcPr>
          <w:p w14:paraId="601DB73E">
            <w:pPr>
              <w:pStyle w:val="14"/>
            </w:pPr>
            <w:r>
              <w:t>959.60</w:t>
            </w:r>
          </w:p>
        </w:tc>
        <w:tc>
          <w:tcPr>
            <w:tcW w:w="1134" w:type="dxa"/>
            <w:vAlign w:val="center"/>
          </w:tcPr>
          <w:p w14:paraId="7ADFC13D">
            <w:pPr>
              <w:pStyle w:val="14"/>
            </w:pPr>
          </w:p>
        </w:tc>
        <w:tc>
          <w:tcPr>
            <w:tcW w:w="1134" w:type="dxa"/>
            <w:vAlign w:val="center"/>
          </w:tcPr>
          <w:p w14:paraId="1365CCEF">
            <w:pPr>
              <w:pStyle w:val="14"/>
            </w:pPr>
          </w:p>
        </w:tc>
        <w:tc>
          <w:tcPr>
            <w:tcW w:w="1134" w:type="dxa"/>
            <w:vAlign w:val="center"/>
          </w:tcPr>
          <w:p w14:paraId="101A68B3">
            <w:pPr>
              <w:pStyle w:val="14"/>
            </w:pPr>
          </w:p>
        </w:tc>
        <w:tc>
          <w:tcPr>
            <w:tcW w:w="1134" w:type="dxa"/>
            <w:vAlign w:val="center"/>
          </w:tcPr>
          <w:p w14:paraId="2E4DC6DF">
            <w:pPr>
              <w:pStyle w:val="14"/>
            </w:pPr>
          </w:p>
        </w:tc>
        <w:tc>
          <w:tcPr>
            <w:tcW w:w="1134" w:type="dxa"/>
            <w:vAlign w:val="center"/>
          </w:tcPr>
          <w:p w14:paraId="1031D9C9">
            <w:pPr>
              <w:pStyle w:val="14"/>
            </w:pPr>
          </w:p>
        </w:tc>
        <w:tc>
          <w:tcPr>
            <w:tcW w:w="1134" w:type="dxa"/>
            <w:vAlign w:val="center"/>
          </w:tcPr>
          <w:p w14:paraId="2C2C3C39">
            <w:pPr>
              <w:pStyle w:val="14"/>
            </w:pPr>
          </w:p>
        </w:tc>
        <w:tc>
          <w:tcPr>
            <w:tcW w:w="1134" w:type="dxa"/>
            <w:vAlign w:val="center"/>
          </w:tcPr>
          <w:p w14:paraId="4622353A">
            <w:pPr>
              <w:pStyle w:val="14"/>
            </w:pPr>
          </w:p>
        </w:tc>
      </w:tr>
      <w:tr w14:paraId="44C71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3A8A69">
            <w:pPr>
              <w:pStyle w:val="12"/>
            </w:pPr>
            <w:r>
              <w:t>19</w:t>
            </w:r>
          </w:p>
        </w:tc>
        <w:tc>
          <w:tcPr>
            <w:tcW w:w="992" w:type="dxa"/>
            <w:vAlign w:val="center"/>
          </w:tcPr>
          <w:p w14:paraId="1D04EC61">
            <w:pPr>
              <w:pStyle w:val="13"/>
            </w:pPr>
            <w:r>
              <w:t>210</w:t>
            </w:r>
          </w:p>
        </w:tc>
        <w:tc>
          <w:tcPr>
            <w:tcW w:w="1559" w:type="dxa"/>
            <w:vAlign w:val="center"/>
          </w:tcPr>
          <w:p w14:paraId="463CF378">
            <w:pPr>
              <w:pStyle w:val="13"/>
            </w:pPr>
            <w:r>
              <w:t>卫生健康支出</w:t>
            </w:r>
          </w:p>
        </w:tc>
        <w:tc>
          <w:tcPr>
            <w:tcW w:w="1134" w:type="dxa"/>
            <w:vAlign w:val="center"/>
          </w:tcPr>
          <w:p w14:paraId="5559AE48">
            <w:pPr>
              <w:pStyle w:val="14"/>
            </w:pPr>
            <w:r>
              <w:t>102.87</w:t>
            </w:r>
          </w:p>
        </w:tc>
        <w:tc>
          <w:tcPr>
            <w:tcW w:w="1134" w:type="dxa"/>
            <w:vAlign w:val="center"/>
          </w:tcPr>
          <w:p w14:paraId="5E87A794">
            <w:pPr>
              <w:pStyle w:val="14"/>
            </w:pPr>
            <w:r>
              <w:t>102.87</w:t>
            </w:r>
          </w:p>
        </w:tc>
        <w:tc>
          <w:tcPr>
            <w:tcW w:w="1134" w:type="dxa"/>
            <w:vAlign w:val="center"/>
          </w:tcPr>
          <w:p w14:paraId="5A130946">
            <w:pPr>
              <w:pStyle w:val="14"/>
            </w:pPr>
            <w:r>
              <w:t>102.87</w:t>
            </w:r>
          </w:p>
        </w:tc>
        <w:tc>
          <w:tcPr>
            <w:tcW w:w="1134" w:type="dxa"/>
            <w:vAlign w:val="center"/>
          </w:tcPr>
          <w:p w14:paraId="60418C4B">
            <w:pPr>
              <w:pStyle w:val="14"/>
            </w:pPr>
          </w:p>
        </w:tc>
        <w:tc>
          <w:tcPr>
            <w:tcW w:w="1134" w:type="dxa"/>
            <w:vAlign w:val="center"/>
          </w:tcPr>
          <w:p w14:paraId="0987C17F">
            <w:pPr>
              <w:pStyle w:val="14"/>
            </w:pPr>
          </w:p>
        </w:tc>
        <w:tc>
          <w:tcPr>
            <w:tcW w:w="1134" w:type="dxa"/>
            <w:vAlign w:val="center"/>
          </w:tcPr>
          <w:p w14:paraId="62303E30">
            <w:pPr>
              <w:pStyle w:val="14"/>
            </w:pPr>
          </w:p>
        </w:tc>
        <w:tc>
          <w:tcPr>
            <w:tcW w:w="1134" w:type="dxa"/>
            <w:vAlign w:val="center"/>
          </w:tcPr>
          <w:p w14:paraId="7DB0D3BF">
            <w:pPr>
              <w:pStyle w:val="14"/>
            </w:pPr>
          </w:p>
        </w:tc>
        <w:tc>
          <w:tcPr>
            <w:tcW w:w="1134" w:type="dxa"/>
            <w:vAlign w:val="center"/>
          </w:tcPr>
          <w:p w14:paraId="06DCE814">
            <w:pPr>
              <w:pStyle w:val="14"/>
            </w:pPr>
          </w:p>
        </w:tc>
        <w:tc>
          <w:tcPr>
            <w:tcW w:w="1134" w:type="dxa"/>
            <w:vAlign w:val="center"/>
          </w:tcPr>
          <w:p w14:paraId="3A041324">
            <w:pPr>
              <w:pStyle w:val="14"/>
            </w:pPr>
          </w:p>
        </w:tc>
        <w:tc>
          <w:tcPr>
            <w:tcW w:w="1134" w:type="dxa"/>
            <w:vAlign w:val="center"/>
          </w:tcPr>
          <w:p w14:paraId="4E639A07">
            <w:pPr>
              <w:pStyle w:val="14"/>
            </w:pPr>
          </w:p>
        </w:tc>
      </w:tr>
      <w:tr w14:paraId="71D54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5FA40D">
            <w:pPr>
              <w:pStyle w:val="12"/>
            </w:pPr>
            <w:r>
              <w:t>20</w:t>
            </w:r>
          </w:p>
        </w:tc>
        <w:tc>
          <w:tcPr>
            <w:tcW w:w="992" w:type="dxa"/>
            <w:vAlign w:val="center"/>
          </w:tcPr>
          <w:p w14:paraId="1A0ADBFF">
            <w:pPr>
              <w:pStyle w:val="13"/>
            </w:pPr>
            <w:r>
              <w:t>21011</w:t>
            </w:r>
          </w:p>
        </w:tc>
        <w:tc>
          <w:tcPr>
            <w:tcW w:w="1559" w:type="dxa"/>
            <w:vAlign w:val="center"/>
          </w:tcPr>
          <w:p w14:paraId="73813399">
            <w:pPr>
              <w:pStyle w:val="13"/>
            </w:pPr>
            <w:r>
              <w:t>行政事业单位医疗</w:t>
            </w:r>
          </w:p>
        </w:tc>
        <w:tc>
          <w:tcPr>
            <w:tcW w:w="1134" w:type="dxa"/>
            <w:vAlign w:val="center"/>
          </w:tcPr>
          <w:p w14:paraId="11D33252">
            <w:pPr>
              <w:pStyle w:val="14"/>
            </w:pPr>
            <w:r>
              <w:t>102.87</w:t>
            </w:r>
          </w:p>
        </w:tc>
        <w:tc>
          <w:tcPr>
            <w:tcW w:w="1134" w:type="dxa"/>
            <w:vAlign w:val="center"/>
          </w:tcPr>
          <w:p w14:paraId="315555BF">
            <w:pPr>
              <w:pStyle w:val="14"/>
            </w:pPr>
            <w:r>
              <w:t>102.87</w:t>
            </w:r>
          </w:p>
        </w:tc>
        <w:tc>
          <w:tcPr>
            <w:tcW w:w="1134" w:type="dxa"/>
            <w:vAlign w:val="center"/>
          </w:tcPr>
          <w:p w14:paraId="168870E2">
            <w:pPr>
              <w:pStyle w:val="14"/>
            </w:pPr>
            <w:r>
              <w:t>102.87</w:t>
            </w:r>
          </w:p>
        </w:tc>
        <w:tc>
          <w:tcPr>
            <w:tcW w:w="1134" w:type="dxa"/>
            <w:vAlign w:val="center"/>
          </w:tcPr>
          <w:p w14:paraId="5D73CCBE">
            <w:pPr>
              <w:pStyle w:val="14"/>
            </w:pPr>
          </w:p>
        </w:tc>
        <w:tc>
          <w:tcPr>
            <w:tcW w:w="1134" w:type="dxa"/>
            <w:vAlign w:val="center"/>
          </w:tcPr>
          <w:p w14:paraId="29B3673F">
            <w:pPr>
              <w:pStyle w:val="14"/>
            </w:pPr>
          </w:p>
        </w:tc>
        <w:tc>
          <w:tcPr>
            <w:tcW w:w="1134" w:type="dxa"/>
            <w:vAlign w:val="center"/>
          </w:tcPr>
          <w:p w14:paraId="62410CC6">
            <w:pPr>
              <w:pStyle w:val="14"/>
            </w:pPr>
          </w:p>
        </w:tc>
        <w:tc>
          <w:tcPr>
            <w:tcW w:w="1134" w:type="dxa"/>
            <w:vAlign w:val="center"/>
          </w:tcPr>
          <w:p w14:paraId="5CE5A182">
            <w:pPr>
              <w:pStyle w:val="14"/>
            </w:pPr>
          </w:p>
        </w:tc>
        <w:tc>
          <w:tcPr>
            <w:tcW w:w="1134" w:type="dxa"/>
            <w:vAlign w:val="center"/>
          </w:tcPr>
          <w:p w14:paraId="77FF96A9">
            <w:pPr>
              <w:pStyle w:val="14"/>
            </w:pPr>
          </w:p>
        </w:tc>
        <w:tc>
          <w:tcPr>
            <w:tcW w:w="1134" w:type="dxa"/>
            <w:vAlign w:val="center"/>
          </w:tcPr>
          <w:p w14:paraId="027C7FFB">
            <w:pPr>
              <w:pStyle w:val="14"/>
            </w:pPr>
          </w:p>
        </w:tc>
        <w:tc>
          <w:tcPr>
            <w:tcW w:w="1134" w:type="dxa"/>
            <w:vAlign w:val="center"/>
          </w:tcPr>
          <w:p w14:paraId="113A4B2B">
            <w:pPr>
              <w:pStyle w:val="14"/>
            </w:pPr>
          </w:p>
        </w:tc>
      </w:tr>
      <w:tr w14:paraId="04993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EF769B">
            <w:pPr>
              <w:pStyle w:val="12"/>
            </w:pPr>
            <w:r>
              <w:t>21</w:t>
            </w:r>
          </w:p>
        </w:tc>
        <w:tc>
          <w:tcPr>
            <w:tcW w:w="992" w:type="dxa"/>
            <w:vAlign w:val="center"/>
          </w:tcPr>
          <w:p w14:paraId="531BB65D">
            <w:pPr>
              <w:pStyle w:val="13"/>
            </w:pPr>
            <w:r>
              <w:t>2101101</w:t>
            </w:r>
          </w:p>
        </w:tc>
        <w:tc>
          <w:tcPr>
            <w:tcW w:w="1559" w:type="dxa"/>
            <w:vAlign w:val="center"/>
          </w:tcPr>
          <w:p w14:paraId="461D6283">
            <w:pPr>
              <w:pStyle w:val="13"/>
            </w:pPr>
            <w:r>
              <w:t>行政单位医疗</w:t>
            </w:r>
          </w:p>
        </w:tc>
        <w:tc>
          <w:tcPr>
            <w:tcW w:w="1134" w:type="dxa"/>
            <w:vAlign w:val="center"/>
          </w:tcPr>
          <w:p w14:paraId="01BF9490">
            <w:pPr>
              <w:pStyle w:val="14"/>
            </w:pPr>
            <w:r>
              <w:t>102.87</w:t>
            </w:r>
          </w:p>
        </w:tc>
        <w:tc>
          <w:tcPr>
            <w:tcW w:w="1134" w:type="dxa"/>
            <w:vAlign w:val="center"/>
          </w:tcPr>
          <w:p w14:paraId="7323CA17">
            <w:pPr>
              <w:pStyle w:val="14"/>
            </w:pPr>
            <w:r>
              <w:t>102.87</w:t>
            </w:r>
          </w:p>
        </w:tc>
        <w:tc>
          <w:tcPr>
            <w:tcW w:w="1134" w:type="dxa"/>
            <w:vAlign w:val="center"/>
          </w:tcPr>
          <w:p w14:paraId="1F0C97EB">
            <w:pPr>
              <w:pStyle w:val="14"/>
            </w:pPr>
            <w:r>
              <w:t>102.87</w:t>
            </w:r>
          </w:p>
        </w:tc>
        <w:tc>
          <w:tcPr>
            <w:tcW w:w="1134" w:type="dxa"/>
            <w:vAlign w:val="center"/>
          </w:tcPr>
          <w:p w14:paraId="53D55C41">
            <w:pPr>
              <w:pStyle w:val="14"/>
            </w:pPr>
          </w:p>
        </w:tc>
        <w:tc>
          <w:tcPr>
            <w:tcW w:w="1134" w:type="dxa"/>
            <w:vAlign w:val="center"/>
          </w:tcPr>
          <w:p w14:paraId="2A2A2255">
            <w:pPr>
              <w:pStyle w:val="14"/>
            </w:pPr>
          </w:p>
        </w:tc>
        <w:tc>
          <w:tcPr>
            <w:tcW w:w="1134" w:type="dxa"/>
            <w:vAlign w:val="center"/>
          </w:tcPr>
          <w:p w14:paraId="0D37500D">
            <w:pPr>
              <w:pStyle w:val="14"/>
            </w:pPr>
          </w:p>
        </w:tc>
        <w:tc>
          <w:tcPr>
            <w:tcW w:w="1134" w:type="dxa"/>
            <w:vAlign w:val="center"/>
          </w:tcPr>
          <w:p w14:paraId="6C78D627">
            <w:pPr>
              <w:pStyle w:val="14"/>
            </w:pPr>
          </w:p>
        </w:tc>
        <w:tc>
          <w:tcPr>
            <w:tcW w:w="1134" w:type="dxa"/>
            <w:vAlign w:val="center"/>
          </w:tcPr>
          <w:p w14:paraId="4931463B">
            <w:pPr>
              <w:pStyle w:val="14"/>
            </w:pPr>
          </w:p>
        </w:tc>
        <w:tc>
          <w:tcPr>
            <w:tcW w:w="1134" w:type="dxa"/>
            <w:vAlign w:val="center"/>
          </w:tcPr>
          <w:p w14:paraId="4B2C59FC">
            <w:pPr>
              <w:pStyle w:val="14"/>
            </w:pPr>
          </w:p>
        </w:tc>
        <w:tc>
          <w:tcPr>
            <w:tcW w:w="1134" w:type="dxa"/>
            <w:vAlign w:val="center"/>
          </w:tcPr>
          <w:p w14:paraId="768409E5">
            <w:pPr>
              <w:pStyle w:val="14"/>
            </w:pPr>
          </w:p>
        </w:tc>
      </w:tr>
      <w:tr w14:paraId="13EDF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0847F3">
            <w:pPr>
              <w:pStyle w:val="12"/>
            </w:pPr>
            <w:r>
              <w:t>22</w:t>
            </w:r>
          </w:p>
        </w:tc>
        <w:tc>
          <w:tcPr>
            <w:tcW w:w="992" w:type="dxa"/>
            <w:vAlign w:val="center"/>
          </w:tcPr>
          <w:p w14:paraId="7EC58B57">
            <w:pPr>
              <w:pStyle w:val="13"/>
            </w:pPr>
            <w:r>
              <w:t>221</w:t>
            </w:r>
          </w:p>
        </w:tc>
        <w:tc>
          <w:tcPr>
            <w:tcW w:w="1559" w:type="dxa"/>
            <w:vAlign w:val="center"/>
          </w:tcPr>
          <w:p w14:paraId="36ACFF7A">
            <w:pPr>
              <w:pStyle w:val="13"/>
            </w:pPr>
            <w:r>
              <w:t>住房保障支出</w:t>
            </w:r>
          </w:p>
        </w:tc>
        <w:tc>
          <w:tcPr>
            <w:tcW w:w="1134" w:type="dxa"/>
            <w:vAlign w:val="center"/>
          </w:tcPr>
          <w:p w14:paraId="7A94C83F">
            <w:pPr>
              <w:pStyle w:val="14"/>
            </w:pPr>
            <w:r>
              <w:t>880.03</w:t>
            </w:r>
          </w:p>
        </w:tc>
        <w:tc>
          <w:tcPr>
            <w:tcW w:w="1134" w:type="dxa"/>
            <w:vAlign w:val="center"/>
          </w:tcPr>
          <w:p w14:paraId="0F2295E7">
            <w:pPr>
              <w:pStyle w:val="14"/>
            </w:pPr>
            <w:r>
              <w:t>880.03</w:t>
            </w:r>
          </w:p>
        </w:tc>
        <w:tc>
          <w:tcPr>
            <w:tcW w:w="1134" w:type="dxa"/>
            <w:vAlign w:val="center"/>
          </w:tcPr>
          <w:p w14:paraId="2CC78763">
            <w:pPr>
              <w:pStyle w:val="14"/>
            </w:pPr>
            <w:r>
              <w:t>880.03</w:t>
            </w:r>
          </w:p>
        </w:tc>
        <w:tc>
          <w:tcPr>
            <w:tcW w:w="1134" w:type="dxa"/>
            <w:vAlign w:val="center"/>
          </w:tcPr>
          <w:p w14:paraId="11CC0462">
            <w:pPr>
              <w:pStyle w:val="14"/>
            </w:pPr>
          </w:p>
        </w:tc>
        <w:tc>
          <w:tcPr>
            <w:tcW w:w="1134" w:type="dxa"/>
            <w:vAlign w:val="center"/>
          </w:tcPr>
          <w:p w14:paraId="08FA0E95">
            <w:pPr>
              <w:pStyle w:val="14"/>
            </w:pPr>
          </w:p>
        </w:tc>
        <w:tc>
          <w:tcPr>
            <w:tcW w:w="1134" w:type="dxa"/>
            <w:vAlign w:val="center"/>
          </w:tcPr>
          <w:p w14:paraId="318076D1">
            <w:pPr>
              <w:pStyle w:val="14"/>
            </w:pPr>
          </w:p>
        </w:tc>
        <w:tc>
          <w:tcPr>
            <w:tcW w:w="1134" w:type="dxa"/>
            <w:vAlign w:val="center"/>
          </w:tcPr>
          <w:p w14:paraId="32900D8C">
            <w:pPr>
              <w:pStyle w:val="14"/>
            </w:pPr>
          </w:p>
        </w:tc>
        <w:tc>
          <w:tcPr>
            <w:tcW w:w="1134" w:type="dxa"/>
            <w:vAlign w:val="center"/>
          </w:tcPr>
          <w:p w14:paraId="79E9A5E0">
            <w:pPr>
              <w:pStyle w:val="14"/>
            </w:pPr>
          </w:p>
        </w:tc>
        <w:tc>
          <w:tcPr>
            <w:tcW w:w="1134" w:type="dxa"/>
            <w:vAlign w:val="center"/>
          </w:tcPr>
          <w:p w14:paraId="381F31F4">
            <w:pPr>
              <w:pStyle w:val="14"/>
            </w:pPr>
          </w:p>
        </w:tc>
        <w:tc>
          <w:tcPr>
            <w:tcW w:w="1134" w:type="dxa"/>
            <w:vAlign w:val="center"/>
          </w:tcPr>
          <w:p w14:paraId="5B70199E">
            <w:pPr>
              <w:pStyle w:val="14"/>
            </w:pPr>
          </w:p>
        </w:tc>
      </w:tr>
      <w:tr w14:paraId="5C6A9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F6A638">
            <w:pPr>
              <w:pStyle w:val="12"/>
            </w:pPr>
            <w:r>
              <w:t>23</w:t>
            </w:r>
          </w:p>
        </w:tc>
        <w:tc>
          <w:tcPr>
            <w:tcW w:w="992" w:type="dxa"/>
            <w:vAlign w:val="center"/>
          </w:tcPr>
          <w:p w14:paraId="0ACB2F04">
            <w:pPr>
              <w:pStyle w:val="13"/>
            </w:pPr>
            <w:r>
              <w:t>22102</w:t>
            </w:r>
          </w:p>
        </w:tc>
        <w:tc>
          <w:tcPr>
            <w:tcW w:w="1559" w:type="dxa"/>
            <w:vAlign w:val="center"/>
          </w:tcPr>
          <w:p w14:paraId="5461975A">
            <w:pPr>
              <w:pStyle w:val="13"/>
            </w:pPr>
            <w:r>
              <w:t>住房改革支出</w:t>
            </w:r>
          </w:p>
        </w:tc>
        <w:tc>
          <w:tcPr>
            <w:tcW w:w="1134" w:type="dxa"/>
            <w:vAlign w:val="center"/>
          </w:tcPr>
          <w:p w14:paraId="3B379633">
            <w:pPr>
              <w:pStyle w:val="14"/>
            </w:pPr>
            <w:r>
              <w:t>880.03</w:t>
            </w:r>
          </w:p>
        </w:tc>
        <w:tc>
          <w:tcPr>
            <w:tcW w:w="1134" w:type="dxa"/>
            <w:vAlign w:val="center"/>
          </w:tcPr>
          <w:p w14:paraId="03192D58">
            <w:pPr>
              <w:pStyle w:val="14"/>
            </w:pPr>
            <w:r>
              <w:t>880.03</w:t>
            </w:r>
          </w:p>
        </w:tc>
        <w:tc>
          <w:tcPr>
            <w:tcW w:w="1134" w:type="dxa"/>
            <w:vAlign w:val="center"/>
          </w:tcPr>
          <w:p w14:paraId="7B9F002D">
            <w:pPr>
              <w:pStyle w:val="14"/>
            </w:pPr>
            <w:r>
              <w:t>880.03</w:t>
            </w:r>
          </w:p>
        </w:tc>
        <w:tc>
          <w:tcPr>
            <w:tcW w:w="1134" w:type="dxa"/>
            <w:vAlign w:val="center"/>
          </w:tcPr>
          <w:p w14:paraId="6DEBB202">
            <w:pPr>
              <w:pStyle w:val="14"/>
            </w:pPr>
          </w:p>
        </w:tc>
        <w:tc>
          <w:tcPr>
            <w:tcW w:w="1134" w:type="dxa"/>
            <w:vAlign w:val="center"/>
          </w:tcPr>
          <w:p w14:paraId="3FEECF64">
            <w:pPr>
              <w:pStyle w:val="14"/>
            </w:pPr>
          </w:p>
        </w:tc>
        <w:tc>
          <w:tcPr>
            <w:tcW w:w="1134" w:type="dxa"/>
            <w:vAlign w:val="center"/>
          </w:tcPr>
          <w:p w14:paraId="029A6B74">
            <w:pPr>
              <w:pStyle w:val="14"/>
            </w:pPr>
          </w:p>
        </w:tc>
        <w:tc>
          <w:tcPr>
            <w:tcW w:w="1134" w:type="dxa"/>
            <w:vAlign w:val="center"/>
          </w:tcPr>
          <w:p w14:paraId="046AE774">
            <w:pPr>
              <w:pStyle w:val="14"/>
            </w:pPr>
          </w:p>
        </w:tc>
        <w:tc>
          <w:tcPr>
            <w:tcW w:w="1134" w:type="dxa"/>
            <w:vAlign w:val="center"/>
          </w:tcPr>
          <w:p w14:paraId="03E6EE77">
            <w:pPr>
              <w:pStyle w:val="14"/>
            </w:pPr>
          </w:p>
        </w:tc>
        <w:tc>
          <w:tcPr>
            <w:tcW w:w="1134" w:type="dxa"/>
            <w:vAlign w:val="center"/>
          </w:tcPr>
          <w:p w14:paraId="7A341CB5">
            <w:pPr>
              <w:pStyle w:val="14"/>
            </w:pPr>
          </w:p>
        </w:tc>
        <w:tc>
          <w:tcPr>
            <w:tcW w:w="1134" w:type="dxa"/>
            <w:vAlign w:val="center"/>
          </w:tcPr>
          <w:p w14:paraId="3801C7DB">
            <w:pPr>
              <w:pStyle w:val="14"/>
            </w:pPr>
          </w:p>
        </w:tc>
      </w:tr>
      <w:tr w14:paraId="569FC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35317F">
            <w:pPr>
              <w:pStyle w:val="12"/>
            </w:pPr>
            <w:r>
              <w:t>24</w:t>
            </w:r>
          </w:p>
        </w:tc>
        <w:tc>
          <w:tcPr>
            <w:tcW w:w="992" w:type="dxa"/>
            <w:vAlign w:val="center"/>
          </w:tcPr>
          <w:p w14:paraId="76364EC0">
            <w:pPr>
              <w:pStyle w:val="13"/>
            </w:pPr>
            <w:r>
              <w:t>2210201</w:t>
            </w:r>
          </w:p>
        </w:tc>
        <w:tc>
          <w:tcPr>
            <w:tcW w:w="1559" w:type="dxa"/>
            <w:vAlign w:val="center"/>
          </w:tcPr>
          <w:p w14:paraId="240C55CE">
            <w:pPr>
              <w:pStyle w:val="13"/>
            </w:pPr>
            <w:r>
              <w:t>住房公积金</w:t>
            </w:r>
          </w:p>
        </w:tc>
        <w:tc>
          <w:tcPr>
            <w:tcW w:w="1134" w:type="dxa"/>
            <w:vAlign w:val="center"/>
          </w:tcPr>
          <w:p w14:paraId="7C8F52D3">
            <w:pPr>
              <w:pStyle w:val="14"/>
            </w:pPr>
            <w:r>
              <w:t>880.03</w:t>
            </w:r>
          </w:p>
        </w:tc>
        <w:tc>
          <w:tcPr>
            <w:tcW w:w="1134" w:type="dxa"/>
            <w:vAlign w:val="center"/>
          </w:tcPr>
          <w:p w14:paraId="48C3771E">
            <w:pPr>
              <w:pStyle w:val="14"/>
            </w:pPr>
            <w:r>
              <w:t>880.03</w:t>
            </w:r>
          </w:p>
        </w:tc>
        <w:tc>
          <w:tcPr>
            <w:tcW w:w="1134" w:type="dxa"/>
            <w:vAlign w:val="center"/>
          </w:tcPr>
          <w:p w14:paraId="03366E1C">
            <w:pPr>
              <w:pStyle w:val="14"/>
            </w:pPr>
            <w:r>
              <w:t>880.03</w:t>
            </w:r>
          </w:p>
        </w:tc>
        <w:tc>
          <w:tcPr>
            <w:tcW w:w="1134" w:type="dxa"/>
            <w:vAlign w:val="center"/>
          </w:tcPr>
          <w:p w14:paraId="7B2AE2D9">
            <w:pPr>
              <w:pStyle w:val="14"/>
            </w:pPr>
          </w:p>
        </w:tc>
        <w:tc>
          <w:tcPr>
            <w:tcW w:w="1134" w:type="dxa"/>
            <w:vAlign w:val="center"/>
          </w:tcPr>
          <w:p w14:paraId="27988F62">
            <w:pPr>
              <w:pStyle w:val="14"/>
            </w:pPr>
          </w:p>
        </w:tc>
        <w:tc>
          <w:tcPr>
            <w:tcW w:w="1134" w:type="dxa"/>
            <w:vAlign w:val="center"/>
          </w:tcPr>
          <w:p w14:paraId="111AFE78">
            <w:pPr>
              <w:pStyle w:val="14"/>
            </w:pPr>
          </w:p>
        </w:tc>
        <w:tc>
          <w:tcPr>
            <w:tcW w:w="1134" w:type="dxa"/>
            <w:vAlign w:val="center"/>
          </w:tcPr>
          <w:p w14:paraId="5AD47B0F">
            <w:pPr>
              <w:pStyle w:val="14"/>
            </w:pPr>
          </w:p>
        </w:tc>
        <w:tc>
          <w:tcPr>
            <w:tcW w:w="1134" w:type="dxa"/>
            <w:vAlign w:val="center"/>
          </w:tcPr>
          <w:p w14:paraId="1AD50F7B">
            <w:pPr>
              <w:pStyle w:val="14"/>
            </w:pPr>
          </w:p>
        </w:tc>
        <w:tc>
          <w:tcPr>
            <w:tcW w:w="1134" w:type="dxa"/>
            <w:vAlign w:val="center"/>
          </w:tcPr>
          <w:p w14:paraId="431CB300">
            <w:pPr>
              <w:pStyle w:val="14"/>
            </w:pPr>
          </w:p>
        </w:tc>
        <w:tc>
          <w:tcPr>
            <w:tcW w:w="1134" w:type="dxa"/>
            <w:vAlign w:val="center"/>
          </w:tcPr>
          <w:p w14:paraId="73D23093">
            <w:pPr>
              <w:pStyle w:val="14"/>
            </w:pPr>
          </w:p>
        </w:tc>
      </w:tr>
    </w:tbl>
    <w:p w14:paraId="4FF27714">
      <w:pPr>
        <w:sectPr>
          <w:pgSz w:w="16840" w:h="11900" w:orient="landscape"/>
          <w:pgMar w:top="1361" w:right="1020" w:bottom="1134" w:left="1020" w:header="720" w:footer="720" w:gutter="0"/>
          <w:cols w:space="720" w:num="1"/>
        </w:sectPr>
      </w:pPr>
    </w:p>
    <w:p w14:paraId="0F3812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134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D35AFB">
            <w:pPr>
              <w:pStyle w:val="8"/>
            </w:pPr>
            <w:r>
              <w:t>360001隆尧县教育局本级</w:t>
            </w:r>
          </w:p>
        </w:tc>
        <w:tc>
          <w:tcPr>
            <w:tcW w:w="2722" w:type="dxa"/>
            <w:gridSpan w:val="2"/>
            <w:tcBorders>
              <w:top w:val="single" w:color="FFFFFF" w:sz="6" w:space="0"/>
              <w:left w:val="single" w:color="FFFFFF" w:sz="6" w:space="0"/>
              <w:right w:val="single" w:color="FFFFFF" w:sz="6" w:space="0"/>
            </w:tcBorders>
            <w:vAlign w:val="center"/>
          </w:tcPr>
          <w:p w14:paraId="224057F7">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4C40CFE">
            <w:pPr>
              <w:pStyle w:val="10"/>
            </w:pPr>
            <w:r>
              <w:t>单位：万元</w:t>
            </w:r>
          </w:p>
        </w:tc>
      </w:tr>
      <w:tr w14:paraId="33086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78689">
            <w:pPr>
              <w:pStyle w:val="11"/>
            </w:pPr>
            <w:r>
              <w:t>序号</w:t>
            </w:r>
          </w:p>
        </w:tc>
        <w:tc>
          <w:tcPr>
            <w:tcW w:w="5527" w:type="dxa"/>
            <w:gridSpan w:val="2"/>
            <w:vAlign w:val="center"/>
          </w:tcPr>
          <w:p w14:paraId="1790EA42">
            <w:pPr>
              <w:pStyle w:val="11"/>
            </w:pPr>
            <w:r>
              <w:t>功能分类科目</w:t>
            </w:r>
          </w:p>
        </w:tc>
        <w:tc>
          <w:tcPr>
            <w:tcW w:w="1361" w:type="dxa"/>
            <w:vMerge w:val="restart"/>
            <w:vAlign w:val="center"/>
          </w:tcPr>
          <w:p w14:paraId="4DEA69C0">
            <w:pPr>
              <w:pStyle w:val="11"/>
            </w:pPr>
            <w:r>
              <w:t>合计</w:t>
            </w:r>
          </w:p>
        </w:tc>
        <w:tc>
          <w:tcPr>
            <w:tcW w:w="1361" w:type="dxa"/>
            <w:vMerge w:val="restart"/>
            <w:vAlign w:val="center"/>
          </w:tcPr>
          <w:p w14:paraId="68AB843F">
            <w:pPr>
              <w:pStyle w:val="11"/>
            </w:pPr>
            <w:r>
              <w:t>基本支出</w:t>
            </w:r>
          </w:p>
        </w:tc>
        <w:tc>
          <w:tcPr>
            <w:tcW w:w="1361" w:type="dxa"/>
            <w:vMerge w:val="restart"/>
            <w:vAlign w:val="center"/>
          </w:tcPr>
          <w:p w14:paraId="2FF79186">
            <w:pPr>
              <w:pStyle w:val="11"/>
            </w:pPr>
            <w:r>
              <w:t>项目支出</w:t>
            </w:r>
          </w:p>
        </w:tc>
        <w:tc>
          <w:tcPr>
            <w:tcW w:w="1361" w:type="dxa"/>
            <w:vMerge w:val="restart"/>
            <w:vAlign w:val="center"/>
          </w:tcPr>
          <w:p w14:paraId="3A55E331">
            <w:pPr>
              <w:pStyle w:val="11"/>
            </w:pPr>
            <w:r>
              <w:t>经营支出</w:t>
            </w:r>
          </w:p>
        </w:tc>
        <w:tc>
          <w:tcPr>
            <w:tcW w:w="1361" w:type="dxa"/>
            <w:vMerge w:val="restart"/>
            <w:vAlign w:val="center"/>
          </w:tcPr>
          <w:p w14:paraId="54F5A8E2">
            <w:pPr>
              <w:pStyle w:val="11"/>
            </w:pPr>
            <w:r>
              <w:t>上解上级     支出</w:t>
            </w:r>
          </w:p>
        </w:tc>
        <w:tc>
          <w:tcPr>
            <w:tcW w:w="1361" w:type="dxa"/>
            <w:vMerge w:val="restart"/>
            <w:vAlign w:val="center"/>
          </w:tcPr>
          <w:p w14:paraId="27E3188E">
            <w:pPr>
              <w:pStyle w:val="11"/>
            </w:pPr>
            <w:r>
              <w:t>对附属单位补助支出</w:t>
            </w:r>
          </w:p>
        </w:tc>
      </w:tr>
      <w:tr w14:paraId="255DB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5FC0C6"/>
        </w:tc>
        <w:tc>
          <w:tcPr>
            <w:tcW w:w="992" w:type="dxa"/>
            <w:vAlign w:val="center"/>
          </w:tcPr>
          <w:p w14:paraId="20E8E5F2">
            <w:pPr>
              <w:pStyle w:val="11"/>
            </w:pPr>
            <w:r>
              <w:t>科目    编码</w:t>
            </w:r>
          </w:p>
        </w:tc>
        <w:tc>
          <w:tcPr>
            <w:tcW w:w="4535" w:type="dxa"/>
            <w:vAlign w:val="center"/>
          </w:tcPr>
          <w:p w14:paraId="1275FF42">
            <w:pPr>
              <w:pStyle w:val="11"/>
            </w:pPr>
            <w:r>
              <w:t>科目名称</w:t>
            </w:r>
          </w:p>
        </w:tc>
        <w:tc>
          <w:tcPr>
            <w:tcW w:w="1361" w:type="dxa"/>
            <w:vMerge w:val="continue"/>
          </w:tcPr>
          <w:p w14:paraId="018B4465"/>
        </w:tc>
        <w:tc>
          <w:tcPr>
            <w:tcW w:w="1361" w:type="dxa"/>
            <w:vMerge w:val="continue"/>
          </w:tcPr>
          <w:p w14:paraId="24E87937"/>
        </w:tc>
        <w:tc>
          <w:tcPr>
            <w:tcW w:w="1361" w:type="dxa"/>
            <w:vMerge w:val="continue"/>
          </w:tcPr>
          <w:p w14:paraId="53078C8E"/>
        </w:tc>
        <w:tc>
          <w:tcPr>
            <w:tcW w:w="1361" w:type="dxa"/>
            <w:vMerge w:val="continue"/>
          </w:tcPr>
          <w:p w14:paraId="4CE01685"/>
        </w:tc>
        <w:tc>
          <w:tcPr>
            <w:tcW w:w="1361" w:type="dxa"/>
            <w:vMerge w:val="continue"/>
          </w:tcPr>
          <w:p w14:paraId="4F46A2DD"/>
        </w:tc>
        <w:tc>
          <w:tcPr>
            <w:tcW w:w="1361" w:type="dxa"/>
            <w:vMerge w:val="continue"/>
          </w:tcPr>
          <w:p w14:paraId="35D692AA"/>
        </w:tc>
      </w:tr>
      <w:tr w14:paraId="6A7AD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973F92">
            <w:pPr>
              <w:pStyle w:val="11"/>
            </w:pPr>
            <w:r>
              <w:t>栏次</w:t>
            </w:r>
          </w:p>
        </w:tc>
        <w:tc>
          <w:tcPr>
            <w:tcW w:w="992" w:type="dxa"/>
            <w:vAlign w:val="center"/>
          </w:tcPr>
          <w:p w14:paraId="5756A9E6">
            <w:pPr>
              <w:pStyle w:val="11"/>
            </w:pPr>
            <w:r>
              <w:t>1</w:t>
            </w:r>
          </w:p>
        </w:tc>
        <w:tc>
          <w:tcPr>
            <w:tcW w:w="4535" w:type="dxa"/>
            <w:vAlign w:val="center"/>
          </w:tcPr>
          <w:p w14:paraId="049BFE48">
            <w:pPr>
              <w:pStyle w:val="11"/>
            </w:pPr>
            <w:r>
              <w:t>2</w:t>
            </w:r>
          </w:p>
        </w:tc>
        <w:tc>
          <w:tcPr>
            <w:tcW w:w="1361" w:type="dxa"/>
            <w:vAlign w:val="center"/>
          </w:tcPr>
          <w:p w14:paraId="0C28573B">
            <w:pPr>
              <w:pStyle w:val="11"/>
            </w:pPr>
            <w:r>
              <w:t>3</w:t>
            </w:r>
          </w:p>
        </w:tc>
        <w:tc>
          <w:tcPr>
            <w:tcW w:w="1361" w:type="dxa"/>
            <w:vAlign w:val="center"/>
          </w:tcPr>
          <w:p w14:paraId="0B096015">
            <w:pPr>
              <w:pStyle w:val="11"/>
            </w:pPr>
            <w:r>
              <w:t>4</w:t>
            </w:r>
          </w:p>
        </w:tc>
        <w:tc>
          <w:tcPr>
            <w:tcW w:w="1361" w:type="dxa"/>
            <w:vAlign w:val="center"/>
          </w:tcPr>
          <w:p w14:paraId="1179A965">
            <w:pPr>
              <w:pStyle w:val="11"/>
            </w:pPr>
            <w:r>
              <w:t>5</w:t>
            </w:r>
          </w:p>
        </w:tc>
        <w:tc>
          <w:tcPr>
            <w:tcW w:w="1361" w:type="dxa"/>
            <w:vAlign w:val="center"/>
          </w:tcPr>
          <w:p w14:paraId="683231D0">
            <w:pPr>
              <w:pStyle w:val="11"/>
            </w:pPr>
            <w:r>
              <w:t>6</w:t>
            </w:r>
          </w:p>
        </w:tc>
        <w:tc>
          <w:tcPr>
            <w:tcW w:w="1361" w:type="dxa"/>
            <w:vAlign w:val="center"/>
          </w:tcPr>
          <w:p w14:paraId="6EBA9146">
            <w:pPr>
              <w:pStyle w:val="11"/>
            </w:pPr>
            <w:r>
              <w:t>7</w:t>
            </w:r>
          </w:p>
        </w:tc>
        <w:tc>
          <w:tcPr>
            <w:tcW w:w="1361" w:type="dxa"/>
            <w:vAlign w:val="center"/>
          </w:tcPr>
          <w:p w14:paraId="3CB687B1">
            <w:pPr>
              <w:pStyle w:val="11"/>
            </w:pPr>
            <w:r>
              <w:t>8</w:t>
            </w:r>
          </w:p>
        </w:tc>
      </w:tr>
      <w:tr w14:paraId="31375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CC214">
            <w:pPr>
              <w:pStyle w:val="12"/>
            </w:pPr>
            <w:r>
              <w:t>1</w:t>
            </w:r>
          </w:p>
        </w:tc>
        <w:tc>
          <w:tcPr>
            <w:tcW w:w="992" w:type="dxa"/>
            <w:vAlign w:val="center"/>
          </w:tcPr>
          <w:p w14:paraId="6929D68E">
            <w:pPr>
              <w:pStyle w:val="17"/>
            </w:pPr>
          </w:p>
        </w:tc>
        <w:tc>
          <w:tcPr>
            <w:tcW w:w="4535" w:type="dxa"/>
            <w:vAlign w:val="center"/>
          </w:tcPr>
          <w:p w14:paraId="171AB4C4">
            <w:pPr>
              <w:pStyle w:val="15"/>
            </w:pPr>
            <w:r>
              <w:t>合计</w:t>
            </w:r>
          </w:p>
        </w:tc>
        <w:tc>
          <w:tcPr>
            <w:tcW w:w="1361" w:type="dxa"/>
            <w:vAlign w:val="center"/>
          </w:tcPr>
          <w:p w14:paraId="190D3FFE">
            <w:pPr>
              <w:pStyle w:val="16"/>
              <w:rPr>
                <w:rFonts w:hint="eastAsia" w:eastAsia="方正书宋_GBK"/>
                <w:lang w:eastAsia="zh-CN"/>
              </w:rPr>
            </w:pPr>
            <w:r>
              <w:t>11235.8</w:t>
            </w:r>
            <w:r>
              <w:rPr>
                <w:rFonts w:hint="eastAsia"/>
                <w:lang w:val="en-US" w:eastAsia="zh-CN"/>
              </w:rPr>
              <w:t>4</w:t>
            </w:r>
          </w:p>
        </w:tc>
        <w:tc>
          <w:tcPr>
            <w:tcW w:w="1361" w:type="dxa"/>
            <w:vAlign w:val="center"/>
          </w:tcPr>
          <w:p w14:paraId="1F30D54D">
            <w:pPr>
              <w:pStyle w:val="16"/>
            </w:pPr>
            <w:r>
              <w:t>3863.33</w:t>
            </w:r>
          </w:p>
        </w:tc>
        <w:tc>
          <w:tcPr>
            <w:tcW w:w="1361" w:type="dxa"/>
            <w:vAlign w:val="center"/>
          </w:tcPr>
          <w:p w14:paraId="26FA9BEE">
            <w:pPr>
              <w:pStyle w:val="16"/>
            </w:pPr>
            <w:r>
              <w:t>7372.51</w:t>
            </w:r>
          </w:p>
        </w:tc>
        <w:tc>
          <w:tcPr>
            <w:tcW w:w="1361" w:type="dxa"/>
            <w:vAlign w:val="center"/>
          </w:tcPr>
          <w:p w14:paraId="2CD21FAE">
            <w:pPr>
              <w:pStyle w:val="16"/>
            </w:pPr>
          </w:p>
        </w:tc>
        <w:tc>
          <w:tcPr>
            <w:tcW w:w="1361" w:type="dxa"/>
            <w:vAlign w:val="center"/>
          </w:tcPr>
          <w:p w14:paraId="70D83BE6">
            <w:pPr>
              <w:pStyle w:val="16"/>
            </w:pPr>
          </w:p>
        </w:tc>
        <w:tc>
          <w:tcPr>
            <w:tcW w:w="1361" w:type="dxa"/>
            <w:vAlign w:val="center"/>
          </w:tcPr>
          <w:p w14:paraId="164B3D35">
            <w:pPr>
              <w:pStyle w:val="16"/>
            </w:pPr>
          </w:p>
        </w:tc>
      </w:tr>
      <w:tr w14:paraId="3285F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9142A">
            <w:pPr>
              <w:pStyle w:val="12"/>
            </w:pPr>
            <w:r>
              <w:t>2</w:t>
            </w:r>
          </w:p>
        </w:tc>
        <w:tc>
          <w:tcPr>
            <w:tcW w:w="992" w:type="dxa"/>
            <w:vAlign w:val="center"/>
          </w:tcPr>
          <w:p w14:paraId="118E07A2">
            <w:pPr>
              <w:pStyle w:val="13"/>
            </w:pPr>
            <w:r>
              <w:t>205</w:t>
            </w:r>
          </w:p>
        </w:tc>
        <w:tc>
          <w:tcPr>
            <w:tcW w:w="4535" w:type="dxa"/>
            <w:vAlign w:val="center"/>
          </w:tcPr>
          <w:p w14:paraId="62AFB504">
            <w:pPr>
              <w:pStyle w:val="13"/>
            </w:pPr>
            <w:r>
              <w:t>教育支出</w:t>
            </w:r>
          </w:p>
        </w:tc>
        <w:tc>
          <w:tcPr>
            <w:tcW w:w="1361" w:type="dxa"/>
            <w:vAlign w:val="center"/>
          </w:tcPr>
          <w:p w14:paraId="475BE10F">
            <w:pPr>
              <w:pStyle w:val="14"/>
            </w:pPr>
            <w:r>
              <w:t>9293.33</w:t>
            </w:r>
          </w:p>
        </w:tc>
        <w:tc>
          <w:tcPr>
            <w:tcW w:w="1361" w:type="dxa"/>
            <w:vAlign w:val="center"/>
          </w:tcPr>
          <w:p w14:paraId="4229F122">
            <w:pPr>
              <w:pStyle w:val="14"/>
            </w:pPr>
            <w:r>
              <w:t>1920.83</w:t>
            </w:r>
          </w:p>
        </w:tc>
        <w:tc>
          <w:tcPr>
            <w:tcW w:w="1361" w:type="dxa"/>
            <w:vAlign w:val="center"/>
          </w:tcPr>
          <w:p w14:paraId="34A94409">
            <w:pPr>
              <w:pStyle w:val="14"/>
            </w:pPr>
            <w:r>
              <w:t>7372.51</w:t>
            </w:r>
          </w:p>
        </w:tc>
        <w:tc>
          <w:tcPr>
            <w:tcW w:w="1361" w:type="dxa"/>
            <w:vAlign w:val="center"/>
          </w:tcPr>
          <w:p w14:paraId="2F1DCEF0">
            <w:pPr>
              <w:pStyle w:val="14"/>
            </w:pPr>
          </w:p>
        </w:tc>
        <w:tc>
          <w:tcPr>
            <w:tcW w:w="1361" w:type="dxa"/>
            <w:vAlign w:val="center"/>
          </w:tcPr>
          <w:p w14:paraId="2B007F80">
            <w:pPr>
              <w:pStyle w:val="14"/>
            </w:pPr>
          </w:p>
        </w:tc>
        <w:tc>
          <w:tcPr>
            <w:tcW w:w="1361" w:type="dxa"/>
            <w:vAlign w:val="center"/>
          </w:tcPr>
          <w:p w14:paraId="25D92192">
            <w:pPr>
              <w:pStyle w:val="14"/>
            </w:pPr>
          </w:p>
        </w:tc>
      </w:tr>
      <w:tr w14:paraId="1111A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288F7">
            <w:pPr>
              <w:pStyle w:val="12"/>
            </w:pPr>
            <w:r>
              <w:t>3</w:t>
            </w:r>
          </w:p>
        </w:tc>
        <w:tc>
          <w:tcPr>
            <w:tcW w:w="992" w:type="dxa"/>
            <w:vAlign w:val="center"/>
          </w:tcPr>
          <w:p w14:paraId="6984DD83">
            <w:pPr>
              <w:pStyle w:val="13"/>
            </w:pPr>
            <w:r>
              <w:t>20501</w:t>
            </w:r>
          </w:p>
        </w:tc>
        <w:tc>
          <w:tcPr>
            <w:tcW w:w="4535" w:type="dxa"/>
            <w:vAlign w:val="center"/>
          </w:tcPr>
          <w:p w14:paraId="19CFD7B4">
            <w:pPr>
              <w:pStyle w:val="13"/>
            </w:pPr>
            <w:r>
              <w:t>教育管理事务</w:t>
            </w:r>
          </w:p>
        </w:tc>
        <w:tc>
          <w:tcPr>
            <w:tcW w:w="1361" w:type="dxa"/>
            <w:vAlign w:val="center"/>
          </w:tcPr>
          <w:p w14:paraId="2EA089C6">
            <w:pPr>
              <w:pStyle w:val="14"/>
            </w:pPr>
            <w:r>
              <w:t>2157.86</w:t>
            </w:r>
          </w:p>
        </w:tc>
        <w:tc>
          <w:tcPr>
            <w:tcW w:w="1361" w:type="dxa"/>
            <w:vAlign w:val="center"/>
          </w:tcPr>
          <w:p w14:paraId="7693594F">
            <w:pPr>
              <w:pStyle w:val="14"/>
            </w:pPr>
            <w:r>
              <w:t>1920.83</w:t>
            </w:r>
          </w:p>
        </w:tc>
        <w:tc>
          <w:tcPr>
            <w:tcW w:w="1361" w:type="dxa"/>
            <w:vAlign w:val="center"/>
          </w:tcPr>
          <w:p w14:paraId="2B753C7D">
            <w:pPr>
              <w:pStyle w:val="14"/>
            </w:pPr>
            <w:r>
              <w:t>237.03</w:t>
            </w:r>
          </w:p>
        </w:tc>
        <w:tc>
          <w:tcPr>
            <w:tcW w:w="1361" w:type="dxa"/>
            <w:vAlign w:val="center"/>
          </w:tcPr>
          <w:p w14:paraId="4BAE2FD9">
            <w:pPr>
              <w:pStyle w:val="14"/>
            </w:pPr>
          </w:p>
        </w:tc>
        <w:tc>
          <w:tcPr>
            <w:tcW w:w="1361" w:type="dxa"/>
            <w:vAlign w:val="center"/>
          </w:tcPr>
          <w:p w14:paraId="045BD466">
            <w:pPr>
              <w:pStyle w:val="14"/>
            </w:pPr>
          </w:p>
        </w:tc>
        <w:tc>
          <w:tcPr>
            <w:tcW w:w="1361" w:type="dxa"/>
            <w:vAlign w:val="center"/>
          </w:tcPr>
          <w:p w14:paraId="55ABD6E5">
            <w:pPr>
              <w:pStyle w:val="14"/>
            </w:pPr>
          </w:p>
        </w:tc>
      </w:tr>
      <w:tr w14:paraId="42340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08244">
            <w:pPr>
              <w:pStyle w:val="12"/>
            </w:pPr>
            <w:r>
              <w:t>4</w:t>
            </w:r>
          </w:p>
        </w:tc>
        <w:tc>
          <w:tcPr>
            <w:tcW w:w="992" w:type="dxa"/>
            <w:vAlign w:val="center"/>
          </w:tcPr>
          <w:p w14:paraId="1407665C">
            <w:pPr>
              <w:pStyle w:val="13"/>
            </w:pPr>
            <w:r>
              <w:t>2050101</w:t>
            </w:r>
          </w:p>
        </w:tc>
        <w:tc>
          <w:tcPr>
            <w:tcW w:w="4535" w:type="dxa"/>
            <w:vAlign w:val="center"/>
          </w:tcPr>
          <w:p w14:paraId="37525E7C">
            <w:pPr>
              <w:pStyle w:val="13"/>
            </w:pPr>
            <w:r>
              <w:t>行政运行</w:t>
            </w:r>
          </w:p>
        </w:tc>
        <w:tc>
          <w:tcPr>
            <w:tcW w:w="1361" w:type="dxa"/>
            <w:vAlign w:val="center"/>
          </w:tcPr>
          <w:p w14:paraId="34F7D6FB">
            <w:pPr>
              <w:pStyle w:val="14"/>
            </w:pPr>
            <w:r>
              <w:t>2157.86</w:t>
            </w:r>
          </w:p>
        </w:tc>
        <w:tc>
          <w:tcPr>
            <w:tcW w:w="1361" w:type="dxa"/>
            <w:vAlign w:val="center"/>
          </w:tcPr>
          <w:p w14:paraId="5CA37EB6">
            <w:pPr>
              <w:pStyle w:val="14"/>
            </w:pPr>
            <w:r>
              <w:t>1920.83</w:t>
            </w:r>
          </w:p>
        </w:tc>
        <w:tc>
          <w:tcPr>
            <w:tcW w:w="1361" w:type="dxa"/>
            <w:vAlign w:val="center"/>
          </w:tcPr>
          <w:p w14:paraId="41430AA7">
            <w:pPr>
              <w:pStyle w:val="14"/>
            </w:pPr>
            <w:r>
              <w:t>237.03</w:t>
            </w:r>
          </w:p>
        </w:tc>
        <w:tc>
          <w:tcPr>
            <w:tcW w:w="1361" w:type="dxa"/>
            <w:vAlign w:val="center"/>
          </w:tcPr>
          <w:p w14:paraId="7D10E678">
            <w:pPr>
              <w:pStyle w:val="14"/>
            </w:pPr>
          </w:p>
        </w:tc>
        <w:tc>
          <w:tcPr>
            <w:tcW w:w="1361" w:type="dxa"/>
            <w:vAlign w:val="center"/>
          </w:tcPr>
          <w:p w14:paraId="1903F279">
            <w:pPr>
              <w:pStyle w:val="14"/>
            </w:pPr>
          </w:p>
        </w:tc>
        <w:tc>
          <w:tcPr>
            <w:tcW w:w="1361" w:type="dxa"/>
            <w:vAlign w:val="center"/>
          </w:tcPr>
          <w:p w14:paraId="4905B3F5">
            <w:pPr>
              <w:pStyle w:val="14"/>
            </w:pPr>
          </w:p>
        </w:tc>
      </w:tr>
      <w:tr w14:paraId="4042C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B4562">
            <w:pPr>
              <w:pStyle w:val="12"/>
            </w:pPr>
            <w:r>
              <w:t>5</w:t>
            </w:r>
          </w:p>
        </w:tc>
        <w:tc>
          <w:tcPr>
            <w:tcW w:w="992" w:type="dxa"/>
            <w:vAlign w:val="center"/>
          </w:tcPr>
          <w:p w14:paraId="1033702B">
            <w:pPr>
              <w:pStyle w:val="13"/>
            </w:pPr>
            <w:r>
              <w:t>20502</w:t>
            </w:r>
          </w:p>
        </w:tc>
        <w:tc>
          <w:tcPr>
            <w:tcW w:w="4535" w:type="dxa"/>
            <w:vAlign w:val="center"/>
          </w:tcPr>
          <w:p w14:paraId="2D0615AF">
            <w:pPr>
              <w:pStyle w:val="13"/>
            </w:pPr>
            <w:r>
              <w:t>普通教育</w:t>
            </w:r>
          </w:p>
        </w:tc>
        <w:tc>
          <w:tcPr>
            <w:tcW w:w="1361" w:type="dxa"/>
            <w:vAlign w:val="center"/>
          </w:tcPr>
          <w:p w14:paraId="7241474D">
            <w:pPr>
              <w:pStyle w:val="14"/>
            </w:pPr>
            <w:r>
              <w:t>6556.46</w:t>
            </w:r>
          </w:p>
        </w:tc>
        <w:tc>
          <w:tcPr>
            <w:tcW w:w="1361" w:type="dxa"/>
            <w:vAlign w:val="center"/>
          </w:tcPr>
          <w:p w14:paraId="440CBC88">
            <w:pPr>
              <w:pStyle w:val="14"/>
            </w:pPr>
          </w:p>
        </w:tc>
        <w:tc>
          <w:tcPr>
            <w:tcW w:w="1361" w:type="dxa"/>
            <w:vAlign w:val="center"/>
          </w:tcPr>
          <w:p w14:paraId="6834BFDD">
            <w:pPr>
              <w:pStyle w:val="14"/>
            </w:pPr>
            <w:r>
              <w:t>6556.46</w:t>
            </w:r>
          </w:p>
        </w:tc>
        <w:tc>
          <w:tcPr>
            <w:tcW w:w="1361" w:type="dxa"/>
            <w:vAlign w:val="center"/>
          </w:tcPr>
          <w:p w14:paraId="7D478B90">
            <w:pPr>
              <w:pStyle w:val="14"/>
            </w:pPr>
          </w:p>
        </w:tc>
        <w:tc>
          <w:tcPr>
            <w:tcW w:w="1361" w:type="dxa"/>
            <w:vAlign w:val="center"/>
          </w:tcPr>
          <w:p w14:paraId="237628E3">
            <w:pPr>
              <w:pStyle w:val="14"/>
            </w:pPr>
          </w:p>
        </w:tc>
        <w:tc>
          <w:tcPr>
            <w:tcW w:w="1361" w:type="dxa"/>
            <w:vAlign w:val="center"/>
          </w:tcPr>
          <w:p w14:paraId="203AA75B">
            <w:pPr>
              <w:pStyle w:val="14"/>
            </w:pPr>
          </w:p>
        </w:tc>
      </w:tr>
      <w:tr w14:paraId="5847A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FA49B">
            <w:pPr>
              <w:pStyle w:val="12"/>
            </w:pPr>
            <w:r>
              <w:t>6</w:t>
            </w:r>
          </w:p>
        </w:tc>
        <w:tc>
          <w:tcPr>
            <w:tcW w:w="992" w:type="dxa"/>
            <w:vAlign w:val="center"/>
          </w:tcPr>
          <w:p w14:paraId="70BD2E10">
            <w:pPr>
              <w:pStyle w:val="13"/>
            </w:pPr>
            <w:r>
              <w:t>2050201</w:t>
            </w:r>
          </w:p>
        </w:tc>
        <w:tc>
          <w:tcPr>
            <w:tcW w:w="4535" w:type="dxa"/>
            <w:vAlign w:val="center"/>
          </w:tcPr>
          <w:p w14:paraId="3E4F3FA1">
            <w:pPr>
              <w:pStyle w:val="13"/>
            </w:pPr>
            <w:r>
              <w:t>学前教育</w:t>
            </w:r>
          </w:p>
        </w:tc>
        <w:tc>
          <w:tcPr>
            <w:tcW w:w="1361" w:type="dxa"/>
            <w:vAlign w:val="center"/>
          </w:tcPr>
          <w:p w14:paraId="739FD9B0">
            <w:pPr>
              <w:pStyle w:val="14"/>
            </w:pPr>
            <w:r>
              <w:t>225.52</w:t>
            </w:r>
          </w:p>
        </w:tc>
        <w:tc>
          <w:tcPr>
            <w:tcW w:w="1361" w:type="dxa"/>
            <w:vAlign w:val="center"/>
          </w:tcPr>
          <w:p w14:paraId="3F33989A">
            <w:pPr>
              <w:pStyle w:val="14"/>
            </w:pPr>
          </w:p>
        </w:tc>
        <w:tc>
          <w:tcPr>
            <w:tcW w:w="1361" w:type="dxa"/>
            <w:vAlign w:val="center"/>
          </w:tcPr>
          <w:p w14:paraId="7856FAD8">
            <w:pPr>
              <w:pStyle w:val="14"/>
            </w:pPr>
            <w:r>
              <w:t>225.52</w:t>
            </w:r>
          </w:p>
        </w:tc>
        <w:tc>
          <w:tcPr>
            <w:tcW w:w="1361" w:type="dxa"/>
            <w:vAlign w:val="center"/>
          </w:tcPr>
          <w:p w14:paraId="239907D3">
            <w:pPr>
              <w:pStyle w:val="14"/>
            </w:pPr>
          </w:p>
        </w:tc>
        <w:tc>
          <w:tcPr>
            <w:tcW w:w="1361" w:type="dxa"/>
            <w:vAlign w:val="center"/>
          </w:tcPr>
          <w:p w14:paraId="2BC719C8">
            <w:pPr>
              <w:pStyle w:val="14"/>
            </w:pPr>
          </w:p>
        </w:tc>
        <w:tc>
          <w:tcPr>
            <w:tcW w:w="1361" w:type="dxa"/>
            <w:vAlign w:val="center"/>
          </w:tcPr>
          <w:p w14:paraId="5A3A9E64">
            <w:pPr>
              <w:pStyle w:val="14"/>
            </w:pPr>
          </w:p>
        </w:tc>
      </w:tr>
      <w:tr w14:paraId="743D0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84BA5">
            <w:pPr>
              <w:pStyle w:val="12"/>
            </w:pPr>
            <w:r>
              <w:t>7</w:t>
            </w:r>
          </w:p>
        </w:tc>
        <w:tc>
          <w:tcPr>
            <w:tcW w:w="992" w:type="dxa"/>
            <w:vAlign w:val="center"/>
          </w:tcPr>
          <w:p w14:paraId="6FEECA3C">
            <w:pPr>
              <w:pStyle w:val="13"/>
            </w:pPr>
            <w:r>
              <w:t>2050202</w:t>
            </w:r>
          </w:p>
        </w:tc>
        <w:tc>
          <w:tcPr>
            <w:tcW w:w="4535" w:type="dxa"/>
            <w:vAlign w:val="center"/>
          </w:tcPr>
          <w:p w14:paraId="752C6F76">
            <w:pPr>
              <w:pStyle w:val="13"/>
            </w:pPr>
            <w:r>
              <w:t>小学教育</w:t>
            </w:r>
          </w:p>
        </w:tc>
        <w:tc>
          <w:tcPr>
            <w:tcW w:w="1361" w:type="dxa"/>
            <w:vAlign w:val="center"/>
          </w:tcPr>
          <w:p w14:paraId="38EF812A">
            <w:pPr>
              <w:pStyle w:val="14"/>
            </w:pPr>
            <w:r>
              <w:t>3266.99</w:t>
            </w:r>
          </w:p>
        </w:tc>
        <w:tc>
          <w:tcPr>
            <w:tcW w:w="1361" w:type="dxa"/>
            <w:vAlign w:val="center"/>
          </w:tcPr>
          <w:p w14:paraId="1261C0EF">
            <w:pPr>
              <w:pStyle w:val="14"/>
            </w:pPr>
          </w:p>
        </w:tc>
        <w:tc>
          <w:tcPr>
            <w:tcW w:w="1361" w:type="dxa"/>
            <w:vAlign w:val="center"/>
          </w:tcPr>
          <w:p w14:paraId="040A87AD">
            <w:pPr>
              <w:pStyle w:val="14"/>
            </w:pPr>
            <w:r>
              <w:t>3266.99</w:t>
            </w:r>
          </w:p>
        </w:tc>
        <w:tc>
          <w:tcPr>
            <w:tcW w:w="1361" w:type="dxa"/>
            <w:vAlign w:val="center"/>
          </w:tcPr>
          <w:p w14:paraId="5F34A774">
            <w:pPr>
              <w:pStyle w:val="14"/>
            </w:pPr>
          </w:p>
        </w:tc>
        <w:tc>
          <w:tcPr>
            <w:tcW w:w="1361" w:type="dxa"/>
            <w:vAlign w:val="center"/>
          </w:tcPr>
          <w:p w14:paraId="7540F56A">
            <w:pPr>
              <w:pStyle w:val="14"/>
            </w:pPr>
          </w:p>
        </w:tc>
        <w:tc>
          <w:tcPr>
            <w:tcW w:w="1361" w:type="dxa"/>
            <w:vAlign w:val="center"/>
          </w:tcPr>
          <w:p w14:paraId="2242951D">
            <w:pPr>
              <w:pStyle w:val="14"/>
            </w:pPr>
          </w:p>
        </w:tc>
      </w:tr>
      <w:tr w14:paraId="53ACF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51AAB">
            <w:pPr>
              <w:pStyle w:val="12"/>
            </w:pPr>
            <w:r>
              <w:t>8</w:t>
            </w:r>
          </w:p>
        </w:tc>
        <w:tc>
          <w:tcPr>
            <w:tcW w:w="992" w:type="dxa"/>
            <w:vAlign w:val="center"/>
          </w:tcPr>
          <w:p w14:paraId="74EC720B">
            <w:pPr>
              <w:pStyle w:val="13"/>
            </w:pPr>
            <w:r>
              <w:t>2050203</w:t>
            </w:r>
          </w:p>
        </w:tc>
        <w:tc>
          <w:tcPr>
            <w:tcW w:w="4535" w:type="dxa"/>
            <w:vAlign w:val="center"/>
          </w:tcPr>
          <w:p w14:paraId="2DFB32AE">
            <w:pPr>
              <w:pStyle w:val="13"/>
            </w:pPr>
            <w:r>
              <w:t>初中教育</w:t>
            </w:r>
          </w:p>
        </w:tc>
        <w:tc>
          <w:tcPr>
            <w:tcW w:w="1361" w:type="dxa"/>
            <w:vAlign w:val="center"/>
          </w:tcPr>
          <w:p w14:paraId="7EBB4558">
            <w:pPr>
              <w:pStyle w:val="14"/>
            </w:pPr>
            <w:r>
              <w:t>1203.43</w:t>
            </w:r>
          </w:p>
        </w:tc>
        <w:tc>
          <w:tcPr>
            <w:tcW w:w="1361" w:type="dxa"/>
            <w:vAlign w:val="center"/>
          </w:tcPr>
          <w:p w14:paraId="433002FE">
            <w:pPr>
              <w:pStyle w:val="14"/>
            </w:pPr>
          </w:p>
        </w:tc>
        <w:tc>
          <w:tcPr>
            <w:tcW w:w="1361" w:type="dxa"/>
            <w:vAlign w:val="center"/>
          </w:tcPr>
          <w:p w14:paraId="7DFB64B9">
            <w:pPr>
              <w:pStyle w:val="14"/>
            </w:pPr>
            <w:r>
              <w:t>1203.43</w:t>
            </w:r>
          </w:p>
        </w:tc>
        <w:tc>
          <w:tcPr>
            <w:tcW w:w="1361" w:type="dxa"/>
            <w:vAlign w:val="center"/>
          </w:tcPr>
          <w:p w14:paraId="1FD30050">
            <w:pPr>
              <w:pStyle w:val="14"/>
            </w:pPr>
          </w:p>
        </w:tc>
        <w:tc>
          <w:tcPr>
            <w:tcW w:w="1361" w:type="dxa"/>
            <w:vAlign w:val="center"/>
          </w:tcPr>
          <w:p w14:paraId="61601ADC">
            <w:pPr>
              <w:pStyle w:val="14"/>
            </w:pPr>
          </w:p>
        </w:tc>
        <w:tc>
          <w:tcPr>
            <w:tcW w:w="1361" w:type="dxa"/>
            <w:vAlign w:val="center"/>
          </w:tcPr>
          <w:p w14:paraId="41FC3699">
            <w:pPr>
              <w:pStyle w:val="14"/>
            </w:pPr>
          </w:p>
        </w:tc>
      </w:tr>
      <w:tr w14:paraId="55F42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0EB8E">
            <w:pPr>
              <w:pStyle w:val="12"/>
            </w:pPr>
            <w:r>
              <w:t>9</w:t>
            </w:r>
          </w:p>
        </w:tc>
        <w:tc>
          <w:tcPr>
            <w:tcW w:w="992" w:type="dxa"/>
            <w:vAlign w:val="center"/>
          </w:tcPr>
          <w:p w14:paraId="722A0CB1">
            <w:pPr>
              <w:pStyle w:val="13"/>
            </w:pPr>
            <w:r>
              <w:t>2050204</w:t>
            </w:r>
          </w:p>
        </w:tc>
        <w:tc>
          <w:tcPr>
            <w:tcW w:w="4535" w:type="dxa"/>
            <w:vAlign w:val="center"/>
          </w:tcPr>
          <w:p w14:paraId="5DA46D76">
            <w:pPr>
              <w:pStyle w:val="13"/>
            </w:pPr>
            <w:r>
              <w:t>高中教育</w:t>
            </w:r>
          </w:p>
        </w:tc>
        <w:tc>
          <w:tcPr>
            <w:tcW w:w="1361" w:type="dxa"/>
            <w:vAlign w:val="center"/>
          </w:tcPr>
          <w:p w14:paraId="4E8D0732">
            <w:pPr>
              <w:pStyle w:val="14"/>
            </w:pPr>
            <w:r>
              <w:t>403.66</w:t>
            </w:r>
          </w:p>
        </w:tc>
        <w:tc>
          <w:tcPr>
            <w:tcW w:w="1361" w:type="dxa"/>
            <w:vAlign w:val="center"/>
          </w:tcPr>
          <w:p w14:paraId="4431204C">
            <w:pPr>
              <w:pStyle w:val="14"/>
            </w:pPr>
          </w:p>
        </w:tc>
        <w:tc>
          <w:tcPr>
            <w:tcW w:w="1361" w:type="dxa"/>
            <w:vAlign w:val="center"/>
          </w:tcPr>
          <w:p w14:paraId="40D65EFB">
            <w:pPr>
              <w:pStyle w:val="14"/>
            </w:pPr>
            <w:r>
              <w:t>403.66</w:t>
            </w:r>
          </w:p>
        </w:tc>
        <w:tc>
          <w:tcPr>
            <w:tcW w:w="1361" w:type="dxa"/>
            <w:vAlign w:val="center"/>
          </w:tcPr>
          <w:p w14:paraId="1AAFE14D">
            <w:pPr>
              <w:pStyle w:val="14"/>
            </w:pPr>
          </w:p>
        </w:tc>
        <w:tc>
          <w:tcPr>
            <w:tcW w:w="1361" w:type="dxa"/>
            <w:vAlign w:val="center"/>
          </w:tcPr>
          <w:p w14:paraId="048DC1D6">
            <w:pPr>
              <w:pStyle w:val="14"/>
            </w:pPr>
          </w:p>
        </w:tc>
        <w:tc>
          <w:tcPr>
            <w:tcW w:w="1361" w:type="dxa"/>
            <w:vAlign w:val="center"/>
          </w:tcPr>
          <w:p w14:paraId="6C3B70FA">
            <w:pPr>
              <w:pStyle w:val="14"/>
            </w:pPr>
          </w:p>
        </w:tc>
      </w:tr>
      <w:tr w14:paraId="29922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75434">
            <w:pPr>
              <w:pStyle w:val="12"/>
            </w:pPr>
            <w:r>
              <w:t>10</w:t>
            </w:r>
          </w:p>
        </w:tc>
        <w:tc>
          <w:tcPr>
            <w:tcW w:w="992" w:type="dxa"/>
            <w:vAlign w:val="center"/>
          </w:tcPr>
          <w:p w14:paraId="551556B0">
            <w:pPr>
              <w:pStyle w:val="13"/>
            </w:pPr>
            <w:r>
              <w:t>2050205</w:t>
            </w:r>
          </w:p>
        </w:tc>
        <w:tc>
          <w:tcPr>
            <w:tcW w:w="4535" w:type="dxa"/>
            <w:vAlign w:val="center"/>
          </w:tcPr>
          <w:p w14:paraId="7AB7DE5D">
            <w:pPr>
              <w:pStyle w:val="13"/>
            </w:pPr>
            <w:r>
              <w:t>高等教育</w:t>
            </w:r>
          </w:p>
        </w:tc>
        <w:tc>
          <w:tcPr>
            <w:tcW w:w="1361" w:type="dxa"/>
            <w:vAlign w:val="center"/>
          </w:tcPr>
          <w:p w14:paraId="2E5D5D4B">
            <w:pPr>
              <w:pStyle w:val="14"/>
            </w:pPr>
            <w:r>
              <w:t>4.00</w:t>
            </w:r>
          </w:p>
        </w:tc>
        <w:tc>
          <w:tcPr>
            <w:tcW w:w="1361" w:type="dxa"/>
            <w:vAlign w:val="center"/>
          </w:tcPr>
          <w:p w14:paraId="5E15E326">
            <w:pPr>
              <w:pStyle w:val="14"/>
            </w:pPr>
          </w:p>
        </w:tc>
        <w:tc>
          <w:tcPr>
            <w:tcW w:w="1361" w:type="dxa"/>
            <w:vAlign w:val="center"/>
          </w:tcPr>
          <w:p w14:paraId="004609DD">
            <w:pPr>
              <w:pStyle w:val="14"/>
            </w:pPr>
            <w:r>
              <w:t>4.00</w:t>
            </w:r>
          </w:p>
        </w:tc>
        <w:tc>
          <w:tcPr>
            <w:tcW w:w="1361" w:type="dxa"/>
            <w:vAlign w:val="center"/>
          </w:tcPr>
          <w:p w14:paraId="41CF8DB9">
            <w:pPr>
              <w:pStyle w:val="14"/>
            </w:pPr>
          </w:p>
        </w:tc>
        <w:tc>
          <w:tcPr>
            <w:tcW w:w="1361" w:type="dxa"/>
            <w:vAlign w:val="center"/>
          </w:tcPr>
          <w:p w14:paraId="10F54483">
            <w:pPr>
              <w:pStyle w:val="14"/>
            </w:pPr>
          </w:p>
        </w:tc>
        <w:tc>
          <w:tcPr>
            <w:tcW w:w="1361" w:type="dxa"/>
            <w:vAlign w:val="center"/>
          </w:tcPr>
          <w:p w14:paraId="63A80457">
            <w:pPr>
              <w:pStyle w:val="14"/>
            </w:pPr>
          </w:p>
        </w:tc>
      </w:tr>
      <w:tr w14:paraId="6A7DD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54CC2">
            <w:pPr>
              <w:pStyle w:val="12"/>
            </w:pPr>
            <w:r>
              <w:t>11</w:t>
            </w:r>
          </w:p>
        </w:tc>
        <w:tc>
          <w:tcPr>
            <w:tcW w:w="992" w:type="dxa"/>
            <w:vAlign w:val="center"/>
          </w:tcPr>
          <w:p w14:paraId="268B8FF8">
            <w:pPr>
              <w:pStyle w:val="13"/>
            </w:pPr>
            <w:r>
              <w:t>2050299</w:t>
            </w:r>
          </w:p>
        </w:tc>
        <w:tc>
          <w:tcPr>
            <w:tcW w:w="4535" w:type="dxa"/>
            <w:vAlign w:val="center"/>
          </w:tcPr>
          <w:p w14:paraId="171C2C85">
            <w:pPr>
              <w:pStyle w:val="13"/>
            </w:pPr>
            <w:r>
              <w:t>其他普通教育支出</w:t>
            </w:r>
          </w:p>
        </w:tc>
        <w:tc>
          <w:tcPr>
            <w:tcW w:w="1361" w:type="dxa"/>
            <w:vAlign w:val="center"/>
          </w:tcPr>
          <w:p w14:paraId="3BAF9807">
            <w:pPr>
              <w:pStyle w:val="14"/>
            </w:pPr>
            <w:r>
              <w:t>1452.87</w:t>
            </w:r>
          </w:p>
        </w:tc>
        <w:tc>
          <w:tcPr>
            <w:tcW w:w="1361" w:type="dxa"/>
            <w:vAlign w:val="center"/>
          </w:tcPr>
          <w:p w14:paraId="1F9CE2F4">
            <w:pPr>
              <w:pStyle w:val="14"/>
            </w:pPr>
          </w:p>
        </w:tc>
        <w:tc>
          <w:tcPr>
            <w:tcW w:w="1361" w:type="dxa"/>
            <w:vAlign w:val="center"/>
          </w:tcPr>
          <w:p w14:paraId="5E031E8C">
            <w:pPr>
              <w:pStyle w:val="14"/>
            </w:pPr>
            <w:r>
              <w:t>1452.87</w:t>
            </w:r>
          </w:p>
        </w:tc>
        <w:tc>
          <w:tcPr>
            <w:tcW w:w="1361" w:type="dxa"/>
            <w:vAlign w:val="center"/>
          </w:tcPr>
          <w:p w14:paraId="1A5EFD97">
            <w:pPr>
              <w:pStyle w:val="14"/>
            </w:pPr>
          </w:p>
        </w:tc>
        <w:tc>
          <w:tcPr>
            <w:tcW w:w="1361" w:type="dxa"/>
            <w:vAlign w:val="center"/>
          </w:tcPr>
          <w:p w14:paraId="1F18C5FA">
            <w:pPr>
              <w:pStyle w:val="14"/>
            </w:pPr>
          </w:p>
        </w:tc>
        <w:tc>
          <w:tcPr>
            <w:tcW w:w="1361" w:type="dxa"/>
            <w:vAlign w:val="center"/>
          </w:tcPr>
          <w:p w14:paraId="3398DDD4">
            <w:pPr>
              <w:pStyle w:val="14"/>
            </w:pPr>
          </w:p>
        </w:tc>
      </w:tr>
      <w:tr w14:paraId="1242C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3A0AC">
            <w:pPr>
              <w:pStyle w:val="12"/>
            </w:pPr>
            <w:r>
              <w:t>12</w:t>
            </w:r>
          </w:p>
        </w:tc>
        <w:tc>
          <w:tcPr>
            <w:tcW w:w="992" w:type="dxa"/>
            <w:vAlign w:val="center"/>
          </w:tcPr>
          <w:p w14:paraId="05E76D95">
            <w:pPr>
              <w:pStyle w:val="13"/>
            </w:pPr>
            <w:r>
              <w:t>20503</w:t>
            </w:r>
          </w:p>
        </w:tc>
        <w:tc>
          <w:tcPr>
            <w:tcW w:w="4535" w:type="dxa"/>
            <w:vAlign w:val="center"/>
          </w:tcPr>
          <w:p w14:paraId="19CEB218">
            <w:pPr>
              <w:pStyle w:val="13"/>
            </w:pPr>
            <w:r>
              <w:t>职业教育</w:t>
            </w:r>
          </w:p>
        </w:tc>
        <w:tc>
          <w:tcPr>
            <w:tcW w:w="1361" w:type="dxa"/>
            <w:vAlign w:val="center"/>
          </w:tcPr>
          <w:p w14:paraId="5828D6F3">
            <w:pPr>
              <w:pStyle w:val="14"/>
            </w:pPr>
            <w:r>
              <w:t>76.45</w:t>
            </w:r>
          </w:p>
        </w:tc>
        <w:tc>
          <w:tcPr>
            <w:tcW w:w="1361" w:type="dxa"/>
            <w:vAlign w:val="center"/>
          </w:tcPr>
          <w:p w14:paraId="537D92F5">
            <w:pPr>
              <w:pStyle w:val="14"/>
            </w:pPr>
          </w:p>
        </w:tc>
        <w:tc>
          <w:tcPr>
            <w:tcW w:w="1361" w:type="dxa"/>
            <w:vAlign w:val="center"/>
          </w:tcPr>
          <w:p w14:paraId="07E2BB44">
            <w:pPr>
              <w:pStyle w:val="14"/>
            </w:pPr>
            <w:r>
              <w:t>76.45</w:t>
            </w:r>
          </w:p>
        </w:tc>
        <w:tc>
          <w:tcPr>
            <w:tcW w:w="1361" w:type="dxa"/>
            <w:vAlign w:val="center"/>
          </w:tcPr>
          <w:p w14:paraId="4DEE18B3">
            <w:pPr>
              <w:pStyle w:val="14"/>
            </w:pPr>
          </w:p>
        </w:tc>
        <w:tc>
          <w:tcPr>
            <w:tcW w:w="1361" w:type="dxa"/>
            <w:vAlign w:val="center"/>
          </w:tcPr>
          <w:p w14:paraId="32279868">
            <w:pPr>
              <w:pStyle w:val="14"/>
            </w:pPr>
          </w:p>
        </w:tc>
        <w:tc>
          <w:tcPr>
            <w:tcW w:w="1361" w:type="dxa"/>
            <w:vAlign w:val="center"/>
          </w:tcPr>
          <w:p w14:paraId="107F62BE">
            <w:pPr>
              <w:pStyle w:val="14"/>
            </w:pPr>
          </w:p>
        </w:tc>
      </w:tr>
      <w:tr w14:paraId="50939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C8D55">
            <w:pPr>
              <w:pStyle w:val="12"/>
            </w:pPr>
            <w:r>
              <w:t>13</w:t>
            </w:r>
          </w:p>
        </w:tc>
        <w:tc>
          <w:tcPr>
            <w:tcW w:w="992" w:type="dxa"/>
            <w:vAlign w:val="center"/>
          </w:tcPr>
          <w:p w14:paraId="28A6F16C">
            <w:pPr>
              <w:pStyle w:val="13"/>
            </w:pPr>
            <w:r>
              <w:t>2050302</w:t>
            </w:r>
          </w:p>
        </w:tc>
        <w:tc>
          <w:tcPr>
            <w:tcW w:w="4535" w:type="dxa"/>
            <w:vAlign w:val="center"/>
          </w:tcPr>
          <w:p w14:paraId="4A262DAA">
            <w:pPr>
              <w:pStyle w:val="13"/>
            </w:pPr>
            <w:r>
              <w:t>中等职业教育</w:t>
            </w:r>
          </w:p>
        </w:tc>
        <w:tc>
          <w:tcPr>
            <w:tcW w:w="1361" w:type="dxa"/>
            <w:vAlign w:val="center"/>
          </w:tcPr>
          <w:p w14:paraId="20F2D27F">
            <w:pPr>
              <w:pStyle w:val="14"/>
            </w:pPr>
            <w:r>
              <w:t>76.45</w:t>
            </w:r>
          </w:p>
        </w:tc>
        <w:tc>
          <w:tcPr>
            <w:tcW w:w="1361" w:type="dxa"/>
            <w:vAlign w:val="center"/>
          </w:tcPr>
          <w:p w14:paraId="5E6E5F6F">
            <w:pPr>
              <w:pStyle w:val="14"/>
            </w:pPr>
          </w:p>
        </w:tc>
        <w:tc>
          <w:tcPr>
            <w:tcW w:w="1361" w:type="dxa"/>
            <w:vAlign w:val="center"/>
          </w:tcPr>
          <w:p w14:paraId="1F72DFD2">
            <w:pPr>
              <w:pStyle w:val="14"/>
            </w:pPr>
            <w:r>
              <w:t>76.45</w:t>
            </w:r>
          </w:p>
        </w:tc>
        <w:tc>
          <w:tcPr>
            <w:tcW w:w="1361" w:type="dxa"/>
            <w:vAlign w:val="center"/>
          </w:tcPr>
          <w:p w14:paraId="70A716DA">
            <w:pPr>
              <w:pStyle w:val="14"/>
            </w:pPr>
          </w:p>
        </w:tc>
        <w:tc>
          <w:tcPr>
            <w:tcW w:w="1361" w:type="dxa"/>
            <w:vAlign w:val="center"/>
          </w:tcPr>
          <w:p w14:paraId="3FB69D79">
            <w:pPr>
              <w:pStyle w:val="14"/>
            </w:pPr>
          </w:p>
        </w:tc>
        <w:tc>
          <w:tcPr>
            <w:tcW w:w="1361" w:type="dxa"/>
            <w:vAlign w:val="center"/>
          </w:tcPr>
          <w:p w14:paraId="61606ADC">
            <w:pPr>
              <w:pStyle w:val="14"/>
            </w:pPr>
          </w:p>
        </w:tc>
      </w:tr>
      <w:tr w14:paraId="1DC59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3C8D4">
            <w:pPr>
              <w:pStyle w:val="12"/>
            </w:pPr>
            <w:r>
              <w:t>14</w:t>
            </w:r>
          </w:p>
        </w:tc>
        <w:tc>
          <w:tcPr>
            <w:tcW w:w="992" w:type="dxa"/>
            <w:vAlign w:val="center"/>
          </w:tcPr>
          <w:p w14:paraId="26932B51">
            <w:pPr>
              <w:pStyle w:val="13"/>
            </w:pPr>
            <w:r>
              <w:t>20599</w:t>
            </w:r>
          </w:p>
        </w:tc>
        <w:tc>
          <w:tcPr>
            <w:tcW w:w="4535" w:type="dxa"/>
            <w:vAlign w:val="center"/>
          </w:tcPr>
          <w:p w14:paraId="324DF933">
            <w:pPr>
              <w:pStyle w:val="13"/>
            </w:pPr>
            <w:r>
              <w:t>其他教育支出</w:t>
            </w:r>
          </w:p>
        </w:tc>
        <w:tc>
          <w:tcPr>
            <w:tcW w:w="1361" w:type="dxa"/>
            <w:vAlign w:val="center"/>
          </w:tcPr>
          <w:p w14:paraId="46D20CFE">
            <w:pPr>
              <w:pStyle w:val="14"/>
            </w:pPr>
            <w:r>
              <w:t>502.56</w:t>
            </w:r>
          </w:p>
        </w:tc>
        <w:tc>
          <w:tcPr>
            <w:tcW w:w="1361" w:type="dxa"/>
            <w:vAlign w:val="center"/>
          </w:tcPr>
          <w:p w14:paraId="364079F7">
            <w:pPr>
              <w:pStyle w:val="14"/>
            </w:pPr>
          </w:p>
        </w:tc>
        <w:tc>
          <w:tcPr>
            <w:tcW w:w="1361" w:type="dxa"/>
            <w:vAlign w:val="center"/>
          </w:tcPr>
          <w:p w14:paraId="04508799">
            <w:pPr>
              <w:pStyle w:val="14"/>
            </w:pPr>
            <w:r>
              <w:t>502.56</w:t>
            </w:r>
          </w:p>
        </w:tc>
        <w:tc>
          <w:tcPr>
            <w:tcW w:w="1361" w:type="dxa"/>
            <w:vAlign w:val="center"/>
          </w:tcPr>
          <w:p w14:paraId="6DD56FAF">
            <w:pPr>
              <w:pStyle w:val="14"/>
            </w:pPr>
          </w:p>
        </w:tc>
        <w:tc>
          <w:tcPr>
            <w:tcW w:w="1361" w:type="dxa"/>
            <w:vAlign w:val="center"/>
          </w:tcPr>
          <w:p w14:paraId="703DEBFD">
            <w:pPr>
              <w:pStyle w:val="14"/>
            </w:pPr>
          </w:p>
        </w:tc>
        <w:tc>
          <w:tcPr>
            <w:tcW w:w="1361" w:type="dxa"/>
            <w:vAlign w:val="center"/>
          </w:tcPr>
          <w:p w14:paraId="1F958748">
            <w:pPr>
              <w:pStyle w:val="14"/>
            </w:pPr>
          </w:p>
        </w:tc>
      </w:tr>
      <w:tr w14:paraId="16125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4C6D1">
            <w:pPr>
              <w:pStyle w:val="12"/>
            </w:pPr>
            <w:r>
              <w:t>15</w:t>
            </w:r>
          </w:p>
        </w:tc>
        <w:tc>
          <w:tcPr>
            <w:tcW w:w="992" w:type="dxa"/>
            <w:vAlign w:val="center"/>
          </w:tcPr>
          <w:p w14:paraId="0F9181BB">
            <w:pPr>
              <w:pStyle w:val="13"/>
            </w:pPr>
            <w:r>
              <w:t>2059999</w:t>
            </w:r>
          </w:p>
        </w:tc>
        <w:tc>
          <w:tcPr>
            <w:tcW w:w="4535" w:type="dxa"/>
            <w:vAlign w:val="center"/>
          </w:tcPr>
          <w:p w14:paraId="700A931A">
            <w:pPr>
              <w:pStyle w:val="13"/>
            </w:pPr>
            <w:r>
              <w:t>其他教育支出</w:t>
            </w:r>
          </w:p>
        </w:tc>
        <w:tc>
          <w:tcPr>
            <w:tcW w:w="1361" w:type="dxa"/>
            <w:vAlign w:val="center"/>
          </w:tcPr>
          <w:p w14:paraId="3763DF5A">
            <w:pPr>
              <w:pStyle w:val="14"/>
            </w:pPr>
            <w:r>
              <w:t>502.56</w:t>
            </w:r>
          </w:p>
        </w:tc>
        <w:tc>
          <w:tcPr>
            <w:tcW w:w="1361" w:type="dxa"/>
            <w:vAlign w:val="center"/>
          </w:tcPr>
          <w:p w14:paraId="7068AB62">
            <w:pPr>
              <w:pStyle w:val="14"/>
            </w:pPr>
          </w:p>
        </w:tc>
        <w:tc>
          <w:tcPr>
            <w:tcW w:w="1361" w:type="dxa"/>
            <w:vAlign w:val="center"/>
          </w:tcPr>
          <w:p w14:paraId="0B51779B">
            <w:pPr>
              <w:pStyle w:val="14"/>
            </w:pPr>
            <w:r>
              <w:t>502.56</w:t>
            </w:r>
          </w:p>
        </w:tc>
        <w:tc>
          <w:tcPr>
            <w:tcW w:w="1361" w:type="dxa"/>
            <w:vAlign w:val="center"/>
          </w:tcPr>
          <w:p w14:paraId="72E01C3F">
            <w:pPr>
              <w:pStyle w:val="14"/>
            </w:pPr>
          </w:p>
        </w:tc>
        <w:tc>
          <w:tcPr>
            <w:tcW w:w="1361" w:type="dxa"/>
            <w:vAlign w:val="center"/>
          </w:tcPr>
          <w:p w14:paraId="5BBB174E">
            <w:pPr>
              <w:pStyle w:val="14"/>
            </w:pPr>
          </w:p>
        </w:tc>
        <w:tc>
          <w:tcPr>
            <w:tcW w:w="1361" w:type="dxa"/>
            <w:vAlign w:val="center"/>
          </w:tcPr>
          <w:p w14:paraId="5CCA2D97">
            <w:pPr>
              <w:pStyle w:val="14"/>
            </w:pPr>
          </w:p>
        </w:tc>
      </w:tr>
      <w:tr w14:paraId="78AAC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E9626">
            <w:pPr>
              <w:pStyle w:val="12"/>
            </w:pPr>
            <w:r>
              <w:t>16</w:t>
            </w:r>
          </w:p>
        </w:tc>
        <w:tc>
          <w:tcPr>
            <w:tcW w:w="992" w:type="dxa"/>
            <w:vAlign w:val="center"/>
          </w:tcPr>
          <w:p w14:paraId="487D25E0">
            <w:pPr>
              <w:pStyle w:val="13"/>
            </w:pPr>
            <w:r>
              <w:t>208</w:t>
            </w:r>
          </w:p>
        </w:tc>
        <w:tc>
          <w:tcPr>
            <w:tcW w:w="4535" w:type="dxa"/>
            <w:vAlign w:val="center"/>
          </w:tcPr>
          <w:p w14:paraId="603CDA41">
            <w:pPr>
              <w:pStyle w:val="13"/>
            </w:pPr>
            <w:r>
              <w:t>社会保障和就业支出</w:t>
            </w:r>
          </w:p>
        </w:tc>
        <w:tc>
          <w:tcPr>
            <w:tcW w:w="1361" w:type="dxa"/>
            <w:vAlign w:val="center"/>
          </w:tcPr>
          <w:p w14:paraId="421DF890">
            <w:pPr>
              <w:pStyle w:val="14"/>
            </w:pPr>
            <w:r>
              <w:t>959.60</w:t>
            </w:r>
          </w:p>
        </w:tc>
        <w:tc>
          <w:tcPr>
            <w:tcW w:w="1361" w:type="dxa"/>
            <w:vAlign w:val="center"/>
          </w:tcPr>
          <w:p w14:paraId="3A8C98F9">
            <w:pPr>
              <w:pStyle w:val="14"/>
            </w:pPr>
            <w:r>
              <w:t>959.60</w:t>
            </w:r>
          </w:p>
        </w:tc>
        <w:tc>
          <w:tcPr>
            <w:tcW w:w="1361" w:type="dxa"/>
            <w:vAlign w:val="center"/>
          </w:tcPr>
          <w:p w14:paraId="56D37CCE">
            <w:pPr>
              <w:pStyle w:val="14"/>
            </w:pPr>
          </w:p>
        </w:tc>
        <w:tc>
          <w:tcPr>
            <w:tcW w:w="1361" w:type="dxa"/>
            <w:vAlign w:val="center"/>
          </w:tcPr>
          <w:p w14:paraId="0DC70ADF">
            <w:pPr>
              <w:pStyle w:val="14"/>
            </w:pPr>
          </w:p>
        </w:tc>
        <w:tc>
          <w:tcPr>
            <w:tcW w:w="1361" w:type="dxa"/>
            <w:vAlign w:val="center"/>
          </w:tcPr>
          <w:p w14:paraId="4FCECE02">
            <w:pPr>
              <w:pStyle w:val="14"/>
            </w:pPr>
          </w:p>
        </w:tc>
        <w:tc>
          <w:tcPr>
            <w:tcW w:w="1361" w:type="dxa"/>
            <w:vAlign w:val="center"/>
          </w:tcPr>
          <w:p w14:paraId="1A14A453">
            <w:pPr>
              <w:pStyle w:val="14"/>
            </w:pPr>
          </w:p>
        </w:tc>
      </w:tr>
      <w:tr w14:paraId="0567D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E199A">
            <w:pPr>
              <w:pStyle w:val="12"/>
            </w:pPr>
            <w:r>
              <w:t>17</w:t>
            </w:r>
          </w:p>
        </w:tc>
        <w:tc>
          <w:tcPr>
            <w:tcW w:w="992" w:type="dxa"/>
            <w:vAlign w:val="center"/>
          </w:tcPr>
          <w:p w14:paraId="5D8C825B">
            <w:pPr>
              <w:pStyle w:val="13"/>
            </w:pPr>
            <w:r>
              <w:t>20805</w:t>
            </w:r>
          </w:p>
        </w:tc>
        <w:tc>
          <w:tcPr>
            <w:tcW w:w="4535" w:type="dxa"/>
            <w:vAlign w:val="center"/>
          </w:tcPr>
          <w:p w14:paraId="00499C1E">
            <w:pPr>
              <w:pStyle w:val="13"/>
            </w:pPr>
            <w:r>
              <w:t>行政事业单位养老支出</w:t>
            </w:r>
          </w:p>
        </w:tc>
        <w:tc>
          <w:tcPr>
            <w:tcW w:w="1361" w:type="dxa"/>
            <w:vAlign w:val="center"/>
          </w:tcPr>
          <w:p w14:paraId="2522ECA4">
            <w:pPr>
              <w:pStyle w:val="14"/>
            </w:pPr>
            <w:r>
              <w:t>959.60</w:t>
            </w:r>
          </w:p>
        </w:tc>
        <w:tc>
          <w:tcPr>
            <w:tcW w:w="1361" w:type="dxa"/>
            <w:vAlign w:val="center"/>
          </w:tcPr>
          <w:p w14:paraId="72D1A159">
            <w:pPr>
              <w:pStyle w:val="14"/>
            </w:pPr>
            <w:r>
              <w:t>959.60</w:t>
            </w:r>
          </w:p>
        </w:tc>
        <w:tc>
          <w:tcPr>
            <w:tcW w:w="1361" w:type="dxa"/>
            <w:vAlign w:val="center"/>
          </w:tcPr>
          <w:p w14:paraId="1E9FF361">
            <w:pPr>
              <w:pStyle w:val="14"/>
            </w:pPr>
          </w:p>
        </w:tc>
        <w:tc>
          <w:tcPr>
            <w:tcW w:w="1361" w:type="dxa"/>
            <w:vAlign w:val="center"/>
          </w:tcPr>
          <w:p w14:paraId="0EDFDE45">
            <w:pPr>
              <w:pStyle w:val="14"/>
            </w:pPr>
          </w:p>
        </w:tc>
        <w:tc>
          <w:tcPr>
            <w:tcW w:w="1361" w:type="dxa"/>
            <w:vAlign w:val="center"/>
          </w:tcPr>
          <w:p w14:paraId="540E6B9D">
            <w:pPr>
              <w:pStyle w:val="14"/>
            </w:pPr>
          </w:p>
        </w:tc>
        <w:tc>
          <w:tcPr>
            <w:tcW w:w="1361" w:type="dxa"/>
            <w:vAlign w:val="center"/>
          </w:tcPr>
          <w:p w14:paraId="717305E8">
            <w:pPr>
              <w:pStyle w:val="14"/>
            </w:pPr>
          </w:p>
        </w:tc>
      </w:tr>
      <w:tr w14:paraId="293D3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AB577">
            <w:pPr>
              <w:pStyle w:val="12"/>
            </w:pPr>
            <w:r>
              <w:t>18</w:t>
            </w:r>
          </w:p>
        </w:tc>
        <w:tc>
          <w:tcPr>
            <w:tcW w:w="992" w:type="dxa"/>
            <w:vAlign w:val="center"/>
          </w:tcPr>
          <w:p w14:paraId="5CFFA12B">
            <w:pPr>
              <w:pStyle w:val="13"/>
            </w:pPr>
            <w:r>
              <w:t>2080505</w:t>
            </w:r>
          </w:p>
        </w:tc>
        <w:tc>
          <w:tcPr>
            <w:tcW w:w="4535" w:type="dxa"/>
            <w:vAlign w:val="center"/>
          </w:tcPr>
          <w:p w14:paraId="3924CC0F">
            <w:pPr>
              <w:pStyle w:val="13"/>
            </w:pPr>
            <w:r>
              <w:t>机关事业单位基本养老保险缴费支出</w:t>
            </w:r>
          </w:p>
        </w:tc>
        <w:tc>
          <w:tcPr>
            <w:tcW w:w="1361" w:type="dxa"/>
            <w:vAlign w:val="center"/>
          </w:tcPr>
          <w:p w14:paraId="4E0E1EE9">
            <w:pPr>
              <w:pStyle w:val="14"/>
            </w:pPr>
            <w:r>
              <w:t>959.60</w:t>
            </w:r>
          </w:p>
        </w:tc>
        <w:tc>
          <w:tcPr>
            <w:tcW w:w="1361" w:type="dxa"/>
            <w:vAlign w:val="center"/>
          </w:tcPr>
          <w:p w14:paraId="0E349F49">
            <w:pPr>
              <w:pStyle w:val="14"/>
            </w:pPr>
            <w:r>
              <w:t>959.60</w:t>
            </w:r>
          </w:p>
        </w:tc>
        <w:tc>
          <w:tcPr>
            <w:tcW w:w="1361" w:type="dxa"/>
            <w:vAlign w:val="center"/>
          </w:tcPr>
          <w:p w14:paraId="4100385B">
            <w:pPr>
              <w:pStyle w:val="14"/>
            </w:pPr>
          </w:p>
        </w:tc>
        <w:tc>
          <w:tcPr>
            <w:tcW w:w="1361" w:type="dxa"/>
            <w:vAlign w:val="center"/>
          </w:tcPr>
          <w:p w14:paraId="2F07F199">
            <w:pPr>
              <w:pStyle w:val="14"/>
            </w:pPr>
          </w:p>
        </w:tc>
        <w:tc>
          <w:tcPr>
            <w:tcW w:w="1361" w:type="dxa"/>
            <w:vAlign w:val="center"/>
          </w:tcPr>
          <w:p w14:paraId="354D7A73">
            <w:pPr>
              <w:pStyle w:val="14"/>
            </w:pPr>
          </w:p>
        </w:tc>
        <w:tc>
          <w:tcPr>
            <w:tcW w:w="1361" w:type="dxa"/>
            <w:vAlign w:val="center"/>
          </w:tcPr>
          <w:p w14:paraId="1891F893">
            <w:pPr>
              <w:pStyle w:val="14"/>
            </w:pPr>
          </w:p>
        </w:tc>
      </w:tr>
      <w:tr w14:paraId="7C84B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319F4">
            <w:pPr>
              <w:pStyle w:val="12"/>
            </w:pPr>
            <w:r>
              <w:t>19</w:t>
            </w:r>
          </w:p>
        </w:tc>
        <w:tc>
          <w:tcPr>
            <w:tcW w:w="992" w:type="dxa"/>
            <w:vAlign w:val="center"/>
          </w:tcPr>
          <w:p w14:paraId="12688347">
            <w:pPr>
              <w:pStyle w:val="13"/>
            </w:pPr>
            <w:r>
              <w:t>210</w:t>
            </w:r>
          </w:p>
        </w:tc>
        <w:tc>
          <w:tcPr>
            <w:tcW w:w="4535" w:type="dxa"/>
            <w:vAlign w:val="center"/>
          </w:tcPr>
          <w:p w14:paraId="087549F1">
            <w:pPr>
              <w:pStyle w:val="13"/>
            </w:pPr>
            <w:r>
              <w:t>卫生健康支出</w:t>
            </w:r>
          </w:p>
        </w:tc>
        <w:tc>
          <w:tcPr>
            <w:tcW w:w="1361" w:type="dxa"/>
            <w:vAlign w:val="center"/>
          </w:tcPr>
          <w:p w14:paraId="703988A3">
            <w:pPr>
              <w:pStyle w:val="14"/>
            </w:pPr>
            <w:r>
              <w:t>102.87</w:t>
            </w:r>
          </w:p>
        </w:tc>
        <w:tc>
          <w:tcPr>
            <w:tcW w:w="1361" w:type="dxa"/>
            <w:vAlign w:val="center"/>
          </w:tcPr>
          <w:p w14:paraId="55F3A273">
            <w:pPr>
              <w:pStyle w:val="14"/>
            </w:pPr>
            <w:r>
              <w:t>102.87</w:t>
            </w:r>
          </w:p>
        </w:tc>
        <w:tc>
          <w:tcPr>
            <w:tcW w:w="1361" w:type="dxa"/>
            <w:vAlign w:val="center"/>
          </w:tcPr>
          <w:p w14:paraId="10AEB960">
            <w:pPr>
              <w:pStyle w:val="14"/>
            </w:pPr>
          </w:p>
        </w:tc>
        <w:tc>
          <w:tcPr>
            <w:tcW w:w="1361" w:type="dxa"/>
            <w:vAlign w:val="center"/>
          </w:tcPr>
          <w:p w14:paraId="144FB936">
            <w:pPr>
              <w:pStyle w:val="14"/>
            </w:pPr>
          </w:p>
        </w:tc>
        <w:tc>
          <w:tcPr>
            <w:tcW w:w="1361" w:type="dxa"/>
            <w:vAlign w:val="center"/>
          </w:tcPr>
          <w:p w14:paraId="18A05FD1">
            <w:pPr>
              <w:pStyle w:val="14"/>
            </w:pPr>
          </w:p>
        </w:tc>
        <w:tc>
          <w:tcPr>
            <w:tcW w:w="1361" w:type="dxa"/>
            <w:vAlign w:val="center"/>
          </w:tcPr>
          <w:p w14:paraId="31FDD9AB">
            <w:pPr>
              <w:pStyle w:val="14"/>
            </w:pPr>
          </w:p>
        </w:tc>
      </w:tr>
      <w:tr w14:paraId="4E0F7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8866D">
            <w:pPr>
              <w:pStyle w:val="12"/>
            </w:pPr>
            <w:r>
              <w:t>20</w:t>
            </w:r>
          </w:p>
        </w:tc>
        <w:tc>
          <w:tcPr>
            <w:tcW w:w="992" w:type="dxa"/>
            <w:vAlign w:val="center"/>
          </w:tcPr>
          <w:p w14:paraId="7FE291ED">
            <w:pPr>
              <w:pStyle w:val="13"/>
            </w:pPr>
            <w:r>
              <w:t>21011</w:t>
            </w:r>
          </w:p>
        </w:tc>
        <w:tc>
          <w:tcPr>
            <w:tcW w:w="4535" w:type="dxa"/>
            <w:vAlign w:val="center"/>
          </w:tcPr>
          <w:p w14:paraId="6F2B3C98">
            <w:pPr>
              <w:pStyle w:val="13"/>
            </w:pPr>
            <w:r>
              <w:t>行政事业单位医疗</w:t>
            </w:r>
          </w:p>
        </w:tc>
        <w:tc>
          <w:tcPr>
            <w:tcW w:w="1361" w:type="dxa"/>
            <w:vAlign w:val="center"/>
          </w:tcPr>
          <w:p w14:paraId="22B26D4C">
            <w:pPr>
              <w:pStyle w:val="14"/>
            </w:pPr>
            <w:r>
              <w:t>102.87</w:t>
            </w:r>
          </w:p>
        </w:tc>
        <w:tc>
          <w:tcPr>
            <w:tcW w:w="1361" w:type="dxa"/>
            <w:vAlign w:val="center"/>
          </w:tcPr>
          <w:p w14:paraId="79742535">
            <w:pPr>
              <w:pStyle w:val="14"/>
            </w:pPr>
            <w:r>
              <w:t>102.87</w:t>
            </w:r>
          </w:p>
        </w:tc>
        <w:tc>
          <w:tcPr>
            <w:tcW w:w="1361" w:type="dxa"/>
            <w:vAlign w:val="center"/>
          </w:tcPr>
          <w:p w14:paraId="65D09E9F">
            <w:pPr>
              <w:pStyle w:val="14"/>
            </w:pPr>
          </w:p>
        </w:tc>
        <w:tc>
          <w:tcPr>
            <w:tcW w:w="1361" w:type="dxa"/>
            <w:vAlign w:val="center"/>
          </w:tcPr>
          <w:p w14:paraId="20E4C4E4">
            <w:pPr>
              <w:pStyle w:val="14"/>
            </w:pPr>
          </w:p>
        </w:tc>
        <w:tc>
          <w:tcPr>
            <w:tcW w:w="1361" w:type="dxa"/>
            <w:vAlign w:val="center"/>
          </w:tcPr>
          <w:p w14:paraId="1B39D603">
            <w:pPr>
              <w:pStyle w:val="14"/>
            </w:pPr>
          </w:p>
        </w:tc>
        <w:tc>
          <w:tcPr>
            <w:tcW w:w="1361" w:type="dxa"/>
            <w:vAlign w:val="center"/>
          </w:tcPr>
          <w:p w14:paraId="24CEDEE6">
            <w:pPr>
              <w:pStyle w:val="14"/>
            </w:pPr>
          </w:p>
        </w:tc>
      </w:tr>
      <w:tr w14:paraId="5481C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A7F5E">
            <w:pPr>
              <w:pStyle w:val="12"/>
            </w:pPr>
            <w:r>
              <w:t>21</w:t>
            </w:r>
          </w:p>
        </w:tc>
        <w:tc>
          <w:tcPr>
            <w:tcW w:w="992" w:type="dxa"/>
            <w:vAlign w:val="center"/>
          </w:tcPr>
          <w:p w14:paraId="3F51E6E2">
            <w:pPr>
              <w:pStyle w:val="13"/>
            </w:pPr>
            <w:r>
              <w:t>2101101</w:t>
            </w:r>
          </w:p>
        </w:tc>
        <w:tc>
          <w:tcPr>
            <w:tcW w:w="4535" w:type="dxa"/>
            <w:vAlign w:val="center"/>
          </w:tcPr>
          <w:p w14:paraId="2BF3CD29">
            <w:pPr>
              <w:pStyle w:val="13"/>
            </w:pPr>
            <w:r>
              <w:t>行政单位医疗</w:t>
            </w:r>
          </w:p>
        </w:tc>
        <w:tc>
          <w:tcPr>
            <w:tcW w:w="1361" w:type="dxa"/>
            <w:vAlign w:val="center"/>
          </w:tcPr>
          <w:p w14:paraId="52501BD6">
            <w:pPr>
              <w:pStyle w:val="14"/>
            </w:pPr>
            <w:r>
              <w:t>102.87</w:t>
            </w:r>
          </w:p>
        </w:tc>
        <w:tc>
          <w:tcPr>
            <w:tcW w:w="1361" w:type="dxa"/>
            <w:vAlign w:val="center"/>
          </w:tcPr>
          <w:p w14:paraId="66A36D33">
            <w:pPr>
              <w:pStyle w:val="14"/>
            </w:pPr>
            <w:r>
              <w:t>102.87</w:t>
            </w:r>
          </w:p>
        </w:tc>
        <w:tc>
          <w:tcPr>
            <w:tcW w:w="1361" w:type="dxa"/>
            <w:vAlign w:val="center"/>
          </w:tcPr>
          <w:p w14:paraId="06A8AB79">
            <w:pPr>
              <w:pStyle w:val="14"/>
            </w:pPr>
          </w:p>
        </w:tc>
        <w:tc>
          <w:tcPr>
            <w:tcW w:w="1361" w:type="dxa"/>
            <w:vAlign w:val="center"/>
          </w:tcPr>
          <w:p w14:paraId="02F48621">
            <w:pPr>
              <w:pStyle w:val="14"/>
            </w:pPr>
          </w:p>
        </w:tc>
        <w:tc>
          <w:tcPr>
            <w:tcW w:w="1361" w:type="dxa"/>
            <w:vAlign w:val="center"/>
          </w:tcPr>
          <w:p w14:paraId="66C9B51A">
            <w:pPr>
              <w:pStyle w:val="14"/>
            </w:pPr>
          </w:p>
        </w:tc>
        <w:tc>
          <w:tcPr>
            <w:tcW w:w="1361" w:type="dxa"/>
            <w:vAlign w:val="center"/>
          </w:tcPr>
          <w:p w14:paraId="10ADECED">
            <w:pPr>
              <w:pStyle w:val="14"/>
            </w:pPr>
          </w:p>
        </w:tc>
      </w:tr>
      <w:tr w14:paraId="4D099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87113">
            <w:pPr>
              <w:pStyle w:val="12"/>
            </w:pPr>
            <w:r>
              <w:t>22</w:t>
            </w:r>
          </w:p>
        </w:tc>
        <w:tc>
          <w:tcPr>
            <w:tcW w:w="992" w:type="dxa"/>
            <w:vAlign w:val="center"/>
          </w:tcPr>
          <w:p w14:paraId="6297228B">
            <w:pPr>
              <w:pStyle w:val="13"/>
            </w:pPr>
            <w:r>
              <w:t>221</w:t>
            </w:r>
          </w:p>
        </w:tc>
        <w:tc>
          <w:tcPr>
            <w:tcW w:w="4535" w:type="dxa"/>
            <w:vAlign w:val="center"/>
          </w:tcPr>
          <w:p w14:paraId="6AA759B0">
            <w:pPr>
              <w:pStyle w:val="13"/>
            </w:pPr>
            <w:r>
              <w:t>住房保障支出</w:t>
            </w:r>
          </w:p>
        </w:tc>
        <w:tc>
          <w:tcPr>
            <w:tcW w:w="1361" w:type="dxa"/>
            <w:vAlign w:val="center"/>
          </w:tcPr>
          <w:p w14:paraId="031F4BCF">
            <w:pPr>
              <w:pStyle w:val="14"/>
            </w:pPr>
            <w:r>
              <w:t>880.03</w:t>
            </w:r>
          </w:p>
        </w:tc>
        <w:tc>
          <w:tcPr>
            <w:tcW w:w="1361" w:type="dxa"/>
            <w:vAlign w:val="center"/>
          </w:tcPr>
          <w:p w14:paraId="55CD00C1">
            <w:pPr>
              <w:pStyle w:val="14"/>
            </w:pPr>
            <w:r>
              <w:t>880.03</w:t>
            </w:r>
          </w:p>
        </w:tc>
        <w:tc>
          <w:tcPr>
            <w:tcW w:w="1361" w:type="dxa"/>
            <w:vAlign w:val="center"/>
          </w:tcPr>
          <w:p w14:paraId="2DC6338C">
            <w:pPr>
              <w:pStyle w:val="14"/>
            </w:pPr>
          </w:p>
        </w:tc>
        <w:tc>
          <w:tcPr>
            <w:tcW w:w="1361" w:type="dxa"/>
            <w:vAlign w:val="center"/>
          </w:tcPr>
          <w:p w14:paraId="23786AD1">
            <w:pPr>
              <w:pStyle w:val="14"/>
            </w:pPr>
          </w:p>
        </w:tc>
        <w:tc>
          <w:tcPr>
            <w:tcW w:w="1361" w:type="dxa"/>
            <w:vAlign w:val="center"/>
          </w:tcPr>
          <w:p w14:paraId="45382B61">
            <w:pPr>
              <w:pStyle w:val="14"/>
            </w:pPr>
          </w:p>
        </w:tc>
        <w:tc>
          <w:tcPr>
            <w:tcW w:w="1361" w:type="dxa"/>
            <w:vAlign w:val="center"/>
          </w:tcPr>
          <w:p w14:paraId="045E3C68">
            <w:pPr>
              <w:pStyle w:val="14"/>
            </w:pPr>
          </w:p>
        </w:tc>
      </w:tr>
      <w:tr w14:paraId="37206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40540">
            <w:pPr>
              <w:pStyle w:val="12"/>
            </w:pPr>
            <w:r>
              <w:t>23</w:t>
            </w:r>
          </w:p>
        </w:tc>
        <w:tc>
          <w:tcPr>
            <w:tcW w:w="992" w:type="dxa"/>
            <w:vAlign w:val="center"/>
          </w:tcPr>
          <w:p w14:paraId="059DA5CB">
            <w:pPr>
              <w:pStyle w:val="13"/>
            </w:pPr>
            <w:r>
              <w:t>22102</w:t>
            </w:r>
          </w:p>
        </w:tc>
        <w:tc>
          <w:tcPr>
            <w:tcW w:w="4535" w:type="dxa"/>
            <w:vAlign w:val="center"/>
          </w:tcPr>
          <w:p w14:paraId="0CBA4921">
            <w:pPr>
              <w:pStyle w:val="13"/>
            </w:pPr>
            <w:r>
              <w:t>住房改革支出</w:t>
            </w:r>
          </w:p>
        </w:tc>
        <w:tc>
          <w:tcPr>
            <w:tcW w:w="1361" w:type="dxa"/>
            <w:vAlign w:val="center"/>
          </w:tcPr>
          <w:p w14:paraId="73EA3BBA">
            <w:pPr>
              <w:pStyle w:val="14"/>
            </w:pPr>
            <w:r>
              <w:t>880.03</w:t>
            </w:r>
          </w:p>
        </w:tc>
        <w:tc>
          <w:tcPr>
            <w:tcW w:w="1361" w:type="dxa"/>
            <w:vAlign w:val="center"/>
          </w:tcPr>
          <w:p w14:paraId="543ED326">
            <w:pPr>
              <w:pStyle w:val="14"/>
            </w:pPr>
            <w:r>
              <w:t>880.03</w:t>
            </w:r>
          </w:p>
        </w:tc>
        <w:tc>
          <w:tcPr>
            <w:tcW w:w="1361" w:type="dxa"/>
            <w:vAlign w:val="center"/>
          </w:tcPr>
          <w:p w14:paraId="66625C80">
            <w:pPr>
              <w:pStyle w:val="14"/>
            </w:pPr>
          </w:p>
        </w:tc>
        <w:tc>
          <w:tcPr>
            <w:tcW w:w="1361" w:type="dxa"/>
            <w:vAlign w:val="center"/>
          </w:tcPr>
          <w:p w14:paraId="7D189B29">
            <w:pPr>
              <w:pStyle w:val="14"/>
            </w:pPr>
          </w:p>
        </w:tc>
        <w:tc>
          <w:tcPr>
            <w:tcW w:w="1361" w:type="dxa"/>
            <w:vAlign w:val="center"/>
          </w:tcPr>
          <w:p w14:paraId="4E672071">
            <w:pPr>
              <w:pStyle w:val="14"/>
            </w:pPr>
          </w:p>
        </w:tc>
        <w:tc>
          <w:tcPr>
            <w:tcW w:w="1361" w:type="dxa"/>
            <w:vAlign w:val="center"/>
          </w:tcPr>
          <w:p w14:paraId="21600C8D">
            <w:pPr>
              <w:pStyle w:val="14"/>
            </w:pPr>
          </w:p>
        </w:tc>
      </w:tr>
      <w:tr w14:paraId="6CDFF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D3473">
            <w:pPr>
              <w:pStyle w:val="12"/>
            </w:pPr>
            <w:r>
              <w:t>24</w:t>
            </w:r>
          </w:p>
        </w:tc>
        <w:tc>
          <w:tcPr>
            <w:tcW w:w="992" w:type="dxa"/>
            <w:vAlign w:val="center"/>
          </w:tcPr>
          <w:p w14:paraId="5D9D6F92">
            <w:pPr>
              <w:pStyle w:val="13"/>
            </w:pPr>
            <w:r>
              <w:t>2210201</w:t>
            </w:r>
          </w:p>
        </w:tc>
        <w:tc>
          <w:tcPr>
            <w:tcW w:w="4535" w:type="dxa"/>
            <w:vAlign w:val="center"/>
          </w:tcPr>
          <w:p w14:paraId="5191C466">
            <w:pPr>
              <w:pStyle w:val="13"/>
            </w:pPr>
            <w:r>
              <w:t>住房公积金</w:t>
            </w:r>
          </w:p>
        </w:tc>
        <w:tc>
          <w:tcPr>
            <w:tcW w:w="1361" w:type="dxa"/>
            <w:vAlign w:val="center"/>
          </w:tcPr>
          <w:p w14:paraId="2A2EC3BF">
            <w:pPr>
              <w:pStyle w:val="14"/>
            </w:pPr>
            <w:r>
              <w:t>880.03</w:t>
            </w:r>
          </w:p>
        </w:tc>
        <w:tc>
          <w:tcPr>
            <w:tcW w:w="1361" w:type="dxa"/>
            <w:vAlign w:val="center"/>
          </w:tcPr>
          <w:p w14:paraId="27A96B45">
            <w:pPr>
              <w:pStyle w:val="14"/>
            </w:pPr>
            <w:r>
              <w:t>880.03</w:t>
            </w:r>
          </w:p>
        </w:tc>
        <w:tc>
          <w:tcPr>
            <w:tcW w:w="1361" w:type="dxa"/>
            <w:vAlign w:val="center"/>
          </w:tcPr>
          <w:p w14:paraId="5BC7BA4B">
            <w:pPr>
              <w:pStyle w:val="14"/>
            </w:pPr>
          </w:p>
        </w:tc>
        <w:tc>
          <w:tcPr>
            <w:tcW w:w="1361" w:type="dxa"/>
            <w:vAlign w:val="center"/>
          </w:tcPr>
          <w:p w14:paraId="477E1394">
            <w:pPr>
              <w:pStyle w:val="14"/>
            </w:pPr>
          </w:p>
        </w:tc>
        <w:tc>
          <w:tcPr>
            <w:tcW w:w="1361" w:type="dxa"/>
            <w:vAlign w:val="center"/>
          </w:tcPr>
          <w:p w14:paraId="27151B8A">
            <w:pPr>
              <w:pStyle w:val="14"/>
            </w:pPr>
          </w:p>
        </w:tc>
        <w:tc>
          <w:tcPr>
            <w:tcW w:w="1361" w:type="dxa"/>
            <w:vAlign w:val="center"/>
          </w:tcPr>
          <w:p w14:paraId="4DDBAA7C">
            <w:pPr>
              <w:pStyle w:val="14"/>
            </w:pPr>
          </w:p>
        </w:tc>
      </w:tr>
    </w:tbl>
    <w:p w14:paraId="3B472125">
      <w:pPr>
        <w:sectPr>
          <w:pgSz w:w="16840" w:h="11900" w:orient="landscape"/>
          <w:pgMar w:top="1361" w:right="1020" w:bottom="1134" w:left="1020" w:header="720" w:footer="720" w:gutter="0"/>
          <w:cols w:space="720" w:num="1"/>
        </w:sectPr>
      </w:pPr>
    </w:p>
    <w:p w14:paraId="2F1FE5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FD2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427E5B">
            <w:pPr>
              <w:pStyle w:val="8"/>
            </w:pPr>
            <w:r>
              <w:t>360001隆尧县教育局本级</w:t>
            </w:r>
          </w:p>
        </w:tc>
        <w:tc>
          <w:tcPr>
            <w:tcW w:w="3402" w:type="dxa"/>
            <w:tcBorders>
              <w:top w:val="single" w:color="FFFFFF" w:sz="6" w:space="0"/>
              <w:left w:val="single" w:color="FFFFFF" w:sz="6" w:space="0"/>
              <w:right w:val="single" w:color="FFFFFF" w:sz="6" w:space="0"/>
            </w:tcBorders>
            <w:vAlign w:val="center"/>
          </w:tcPr>
          <w:p w14:paraId="0F0871B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1908302">
            <w:pPr>
              <w:pStyle w:val="10"/>
            </w:pPr>
            <w:r>
              <w:t>单位：万元</w:t>
            </w:r>
          </w:p>
        </w:tc>
      </w:tr>
      <w:tr w14:paraId="2D3A7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240EA">
            <w:pPr>
              <w:pStyle w:val="11"/>
            </w:pPr>
            <w:r>
              <w:t>序号</w:t>
            </w:r>
          </w:p>
        </w:tc>
        <w:tc>
          <w:tcPr>
            <w:tcW w:w="4876" w:type="dxa"/>
            <w:gridSpan w:val="2"/>
            <w:vAlign w:val="center"/>
          </w:tcPr>
          <w:p w14:paraId="6829E39C">
            <w:pPr>
              <w:pStyle w:val="11"/>
            </w:pPr>
            <w:r>
              <w:t>收入</w:t>
            </w:r>
          </w:p>
        </w:tc>
        <w:tc>
          <w:tcPr>
            <w:tcW w:w="9298" w:type="dxa"/>
            <w:gridSpan w:val="5"/>
            <w:vAlign w:val="center"/>
          </w:tcPr>
          <w:p w14:paraId="1D74D6B1">
            <w:pPr>
              <w:pStyle w:val="11"/>
            </w:pPr>
            <w:r>
              <w:t>支出</w:t>
            </w:r>
          </w:p>
        </w:tc>
      </w:tr>
      <w:tr w14:paraId="4385B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A3EA95"/>
        </w:tc>
        <w:tc>
          <w:tcPr>
            <w:tcW w:w="3402" w:type="dxa"/>
            <w:vAlign w:val="center"/>
          </w:tcPr>
          <w:p w14:paraId="19F29081">
            <w:pPr>
              <w:pStyle w:val="11"/>
            </w:pPr>
            <w:r>
              <w:t>项  目</w:t>
            </w:r>
          </w:p>
        </w:tc>
        <w:tc>
          <w:tcPr>
            <w:tcW w:w="1474" w:type="dxa"/>
            <w:vAlign w:val="center"/>
          </w:tcPr>
          <w:p w14:paraId="7291F8B8">
            <w:pPr>
              <w:pStyle w:val="11"/>
            </w:pPr>
            <w:r>
              <w:t>金额</w:t>
            </w:r>
          </w:p>
        </w:tc>
        <w:tc>
          <w:tcPr>
            <w:tcW w:w="3402" w:type="dxa"/>
            <w:vAlign w:val="center"/>
          </w:tcPr>
          <w:p w14:paraId="59E885BB">
            <w:pPr>
              <w:pStyle w:val="11"/>
            </w:pPr>
            <w:r>
              <w:t>项  目</w:t>
            </w:r>
          </w:p>
        </w:tc>
        <w:tc>
          <w:tcPr>
            <w:tcW w:w="1474" w:type="dxa"/>
            <w:vAlign w:val="center"/>
          </w:tcPr>
          <w:p w14:paraId="3BE810FE">
            <w:pPr>
              <w:pStyle w:val="11"/>
            </w:pPr>
            <w:r>
              <w:t>合计</w:t>
            </w:r>
          </w:p>
        </w:tc>
        <w:tc>
          <w:tcPr>
            <w:tcW w:w="1474" w:type="dxa"/>
            <w:vAlign w:val="center"/>
          </w:tcPr>
          <w:p w14:paraId="1F1127E4">
            <w:pPr>
              <w:pStyle w:val="11"/>
            </w:pPr>
            <w:r>
              <w:t>一般公共预算财政拨款</w:t>
            </w:r>
          </w:p>
        </w:tc>
        <w:tc>
          <w:tcPr>
            <w:tcW w:w="1474" w:type="dxa"/>
            <w:vAlign w:val="center"/>
          </w:tcPr>
          <w:p w14:paraId="648BFA0B">
            <w:pPr>
              <w:pStyle w:val="11"/>
            </w:pPr>
            <w:r>
              <w:t>政府性基金预算财政    拨款</w:t>
            </w:r>
          </w:p>
        </w:tc>
        <w:tc>
          <w:tcPr>
            <w:tcW w:w="1474" w:type="dxa"/>
            <w:vAlign w:val="center"/>
          </w:tcPr>
          <w:p w14:paraId="1A383824">
            <w:pPr>
              <w:pStyle w:val="11"/>
            </w:pPr>
            <w:r>
              <w:t>国有资本经营预算财政拨款</w:t>
            </w:r>
          </w:p>
        </w:tc>
      </w:tr>
      <w:tr w14:paraId="0E06F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77C9B">
            <w:pPr>
              <w:pStyle w:val="11"/>
            </w:pPr>
            <w:r>
              <w:t>栏次</w:t>
            </w:r>
          </w:p>
        </w:tc>
        <w:tc>
          <w:tcPr>
            <w:tcW w:w="3402" w:type="dxa"/>
            <w:vAlign w:val="center"/>
          </w:tcPr>
          <w:p w14:paraId="5148E4A6">
            <w:pPr>
              <w:pStyle w:val="11"/>
            </w:pPr>
            <w:r>
              <w:t>1</w:t>
            </w:r>
          </w:p>
        </w:tc>
        <w:tc>
          <w:tcPr>
            <w:tcW w:w="1474" w:type="dxa"/>
            <w:vAlign w:val="center"/>
          </w:tcPr>
          <w:p w14:paraId="375B0996">
            <w:pPr>
              <w:pStyle w:val="11"/>
            </w:pPr>
            <w:r>
              <w:t>2</w:t>
            </w:r>
          </w:p>
        </w:tc>
        <w:tc>
          <w:tcPr>
            <w:tcW w:w="3402" w:type="dxa"/>
            <w:vAlign w:val="center"/>
          </w:tcPr>
          <w:p w14:paraId="68C045F5">
            <w:pPr>
              <w:pStyle w:val="11"/>
            </w:pPr>
            <w:r>
              <w:t>3</w:t>
            </w:r>
          </w:p>
        </w:tc>
        <w:tc>
          <w:tcPr>
            <w:tcW w:w="1474" w:type="dxa"/>
            <w:vAlign w:val="center"/>
          </w:tcPr>
          <w:p w14:paraId="24C91E5B">
            <w:pPr>
              <w:pStyle w:val="11"/>
            </w:pPr>
            <w:r>
              <w:t>4</w:t>
            </w:r>
          </w:p>
        </w:tc>
        <w:tc>
          <w:tcPr>
            <w:tcW w:w="1474" w:type="dxa"/>
            <w:vAlign w:val="center"/>
          </w:tcPr>
          <w:p w14:paraId="18DAB4AE">
            <w:pPr>
              <w:pStyle w:val="11"/>
            </w:pPr>
            <w:r>
              <w:t>5</w:t>
            </w:r>
          </w:p>
        </w:tc>
        <w:tc>
          <w:tcPr>
            <w:tcW w:w="1474" w:type="dxa"/>
            <w:vAlign w:val="center"/>
          </w:tcPr>
          <w:p w14:paraId="20CF1158">
            <w:pPr>
              <w:pStyle w:val="11"/>
            </w:pPr>
            <w:r>
              <w:t>6</w:t>
            </w:r>
          </w:p>
        </w:tc>
        <w:tc>
          <w:tcPr>
            <w:tcW w:w="1474" w:type="dxa"/>
            <w:vAlign w:val="center"/>
          </w:tcPr>
          <w:p w14:paraId="6E03EEA5">
            <w:pPr>
              <w:pStyle w:val="11"/>
            </w:pPr>
            <w:r>
              <w:t>7</w:t>
            </w:r>
          </w:p>
        </w:tc>
      </w:tr>
      <w:tr w14:paraId="3BE6D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E1F6D">
            <w:pPr>
              <w:pStyle w:val="12"/>
            </w:pPr>
            <w:r>
              <w:t>1</w:t>
            </w:r>
          </w:p>
        </w:tc>
        <w:tc>
          <w:tcPr>
            <w:tcW w:w="3402" w:type="dxa"/>
            <w:vAlign w:val="center"/>
          </w:tcPr>
          <w:p w14:paraId="4C9E385E">
            <w:pPr>
              <w:pStyle w:val="13"/>
            </w:pPr>
            <w:r>
              <w:t>一、一般公共预算拨款</w:t>
            </w:r>
          </w:p>
        </w:tc>
        <w:tc>
          <w:tcPr>
            <w:tcW w:w="1474" w:type="dxa"/>
            <w:vAlign w:val="center"/>
          </w:tcPr>
          <w:p w14:paraId="5B84E3A9">
            <w:pPr>
              <w:pStyle w:val="14"/>
            </w:pPr>
            <w:r>
              <w:t>10499.51</w:t>
            </w:r>
          </w:p>
        </w:tc>
        <w:tc>
          <w:tcPr>
            <w:tcW w:w="3402" w:type="dxa"/>
            <w:vAlign w:val="center"/>
          </w:tcPr>
          <w:p w14:paraId="7609E159">
            <w:pPr>
              <w:pStyle w:val="13"/>
            </w:pPr>
            <w:r>
              <w:t>一、一般公共服务支出</w:t>
            </w:r>
          </w:p>
        </w:tc>
        <w:tc>
          <w:tcPr>
            <w:tcW w:w="1474" w:type="dxa"/>
            <w:vAlign w:val="center"/>
          </w:tcPr>
          <w:p w14:paraId="351E59FF">
            <w:pPr>
              <w:pStyle w:val="14"/>
            </w:pPr>
          </w:p>
        </w:tc>
        <w:tc>
          <w:tcPr>
            <w:tcW w:w="1474" w:type="dxa"/>
            <w:vAlign w:val="center"/>
          </w:tcPr>
          <w:p w14:paraId="62475B26">
            <w:pPr>
              <w:pStyle w:val="14"/>
            </w:pPr>
          </w:p>
        </w:tc>
        <w:tc>
          <w:tcPr>
            <w:tcW w:w="1474" w:type="dxa"/>
            <w:vAlign w:val="center"/>
          </w:tcPr>
          <w:p w14:paraId="39308BA7">
            <w:pPr>
              <w:pStyle w:val="14"/>
            </w:pPr>
          </w:p>
        </w:tc>
        <w:tc>
          <w:tcPr>
            <w:tcW w:w="1474" w:type="dxa"/>
            <w:vAlign w:val="center"/>
          </w:tcPr>
          <w:p w14:paraId="08ED0CC0">
            <w:pPr>
              <w:pStyle w:val="14"/>
            </w:pPr>
          </w:p>
        </w:tc>
      </w:tr>
      <w:tr w14:paraId="51627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9F0C1">
            <w:pPr>
              <w:pStyle w:val="12"/>
            </w:pPr>
            <w:r>
              <w:t>2</w:t>
            </w:r>
          </w:p>
        </w:tc>
        <w:tc>
          <w:tcPr>
            <w:tcW w:w="3402" w:type="dxa"/>
            <w:vAlign w:val="center"/>
          </w:tcPr>
          <w:p w14:paraId="5788CED8">
            <w:pPr>
              <w:pStyle w:val="13"/>
            </w:pPr>
            <w:r>
              <w:t>二、政府性基金预算拨款</w:t>
            </w:r>
          </w:p>
        </w:tc>
        <w:tc>
          <w:tcPr>
            <w:tcW w:w="1474" w:type="dxa"/>
            <w:vAlign w:val="center"/>
          </w:tcPr>
          <w:p w14:paraId="60DA6464">
            <w:pPr>
              <w:pStyle w:val="14"/>
            </w:pPr>
          </w:p>
        </w:tc>
        <w:tc>
          <w:tcPr>
            <w:tcW w:w="3402" w:type="dxa"/>
            <w:vAlign w:val="center"/>
          </w:tcPr>
          <w:p w14:paraId="0872D760">
            <w:pPr>
              <w:pStyle w:val="13"/>
            </w:pPr>
            <w:r>
              <w:t>二、外交支出</w:t>
            </w:r>
          </w:p>
        </w:tc>
        <w:tc>
          <w:tcPr>
            <w:tcW w:w="1474" w:type="dxa"/>
            <w:vAlign w:val="center"/>
          </w:tcPr>
          <w:p w14:paraId="5D00FAAC">
            <w:pPr>
              <w:pStyle w:val="14"/>
            </w:pPr>
          </w:p>
        </w:tc>
        <w:tc>
          <w:tcPr>
            <w:tcW w:w="1474" w:type="dxa"/>
            <w:vAlign w:val="center"/>
          </w:tcPr>
          <w:p w14:paraId="68F2984E">
            <w:pPr>
              <w:pStyle w:val="14"/>
            </w:pPr>
          </w:p>
        </w:tc>
        <w:tc>
          <w:tcPr>
            <w:tcW w:w="1474" w:type="dxa"/>
            <w:vAlign w:val="center"/>
          </w:tcPr>
          <w:p w14:paraId="38C720F5">
            <w:pPr>
              <w:pStyle w:val="14"/>
            </w:pPr>
          </w:p>
        </w:tc>
        <w:tc>
          <w:tcPr>
            <w:tcW w:w="1474" w:type="dxa"/>
            <w:vAlign w:val="center"/>
          </w:tcPr>
          <w:p w14:paraId="1722ACEF">
            <w:pPr>
              <w:pStyle w:val="14"/>
            </w:pPr>
          </w:p>
        </w:tc>
      </w:tr>
      <w:tr w14:paraId="470B7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6729A">
            <w:pPr>
              <w:pStyle w:val="12"/>
            </w:pPr>
            <w:r>
              <w:t>3</w:t>
            </w:r>
          </w:p>
        </w:tc>
        <w:tc>
          <w:tcPr>
            <w:tcW w:w="3402" w:type="dxa"/>
            <w:vAlign w:val="center"/>
          </w:tcPr>
          <w:p w14:paraId="3987D3AA">
            <w:pPr>
              <w:pStyle w:val="13"/>
            </w:pPr>
            <w:r>
              <w:t>三、国有资本经营预算拨款</w:t>
            </w:r>
          </w:p>
        </w:tc>
        <w:tc>
          <w:tcPr>
            <w:tcW w:w="1474" w:type="dxa"/>
            <w:vAlign w:val="center"/>
          </w:tcPr>
          <w:p w14:paraId="565AB7EE">
            <w:pPr>
              <w:pStyle w:val="14"/>
            </w:pPr>
          </w:p>
        </w:tc>
        <w:tc>
          <w:tcPr>
            <w:tcW w:w="3402" w:type="dxa"/>
            <w:vAlign w:val="center"/>
          </w:tcPr>
          <w:p w14:paraId="32095CF0">
            <w:pPr>
              <w:pStyle w:val="13"/>
            </w:pPr>
            <w:r>
              <w:t>三、国防支出</w:t>
            </w:r>
          </w:p>
        </w:tc>
        <w:tc>
          <w:tcPr>
            <w:tcW w:w="1474" w:type="dxa"/>
            <w:vAlign w:val="center"/>
          </w:tcPr>
          <w:p w14:paraId="5FA14B15">
            <w:pPr>
              <w:pStyle w:val="14"/>
            </w:pPr>
          </w:p>
        </w:tc>
        <w:tc>
          <w:tcPr>
            <w:tcW w:w="1474" w:type="dxa"/>
            <w:vAlign w:val="center"/>
          </w:tcPr>
          <w:p w14:paraId="7911ECAE">
            <w:pPr>
              <w:pStyle w:val="14"/>
            </w:pPr>
          </w:p>
        </w:tc>
        <w:tc>
          <w:tcPr>
            <w:tcW w:w="1474" w:type="dxa"/>
            <w:vAlign w:val="center"/>
          </w:tcPr>
          <w:p w14:paraId="37B02316">
            <w:pPr>
              <w:pStyle w:val="14"/>
            </w:pPr>
          </w:p>
        </w:tc>
        <w:tc>
          <w:tcPr>
            <w:tcW w:w="1474" w:type="dxa"/>
            <w:vAlign w:val="center"/>
          </w:tcPr>
          <w:p w14:paraId="1B17EC85">
            <w:pPr>
              <w:pStyle w:val="14"/>
            </w:pPr>
          </w:p>
        </w:tc>
      </w:tr>
      <w:tr w14:paraId="5152E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D20BD">
            <w:pPr>
              <w:pStyle w:val="12"/>
            </w:pPr>
            <w:r>
              <w:t>4</w:t>
            </w:r>
          </w:p>
        </w:tc>
        <w:tc>
          <w:tcPr>
            <w:tcW w:w="3402" w:type="dxa"/>
            <w:vAlign w:val="center"/>
          </w:tcPr>
          <w:p w14:paraId="0AFAC242">
            <w:pPr>
              <w:pStyle w:val="13"/>
            </w:pPr>
          </w:p>
        </w:tc>
        <w:tc>
          <w:tcPr>
            <w:tcW w:w="1474" w:type="dxa"/>
            <w:vAlign w:val="center"/>
          </w:tcPr>
          <w:p w14:paraId="350AC346">
            <w:pPr>
              <w:pStyle w:val="14"/>
            </w:pPr>
          </w:p>
        </w:tc>
        <w:tc>
          <w:tcPr>
            <w:tcW w:w="3402" w:type="dxa"/>
            <w:vAlign w:val="center"/>
          </w:tcPr>
          <w:p w14:paraId="47E2780E">
            <w:pPr>
              <w:pStyle w:val="13"/>
            </w:pPr>
            <w:r>
              <w:t>四、公共安全支出</w:t>
            </w:r>
          </w:p>
        </w:tc>
        <w:tc>
          <w:tcPr>
            <w:tcW w:w="1474" w:type="dxa"/>
            <w:vAlign w:val="center"/>
          </w:tcPr>
          <w:p w14:paraId="1FA84A9E">
            <w:pPr>
              <w:pStyle w:val="14"/>
            </w:pPr>
          </w:p>
        </w:tc>
        <w:tc>
          <w:tcPr>
            <w:tcW w:w="1474" w:type="dxa"/>
            <w:vAlign w:val="center"/>
          </w:tcPr>
          <w:p w14:paraId="1DB1E719">
            <w:pPr>
              <w:pStyle w:val="14"/>
            </w:pPr>
          </w:p>
        </w:tc>
        <w:tc>
          <w:tcPr>
            <w:tcW w:w="1474" w:type="dxa"/>
            <w:vAlign w:val="center"/>
          </w:tcPr>
          <w:p w14:paraId="241D723D">
            <w:pPr>
              <w:pStyle w:val="14"/>
            </w:pPr>
          </w:p>
        </w:tc>
        <w:tc>
          <w:tcPr>
            <w:tcW w:w="1474" w:type="dxa"/>
            <w:vAlign w:val="center"/>
          </w:tcPr>
          <w:p w14:paraId="0BC1EB65">
            <w:pPr>
              <w:pStyle w:val="14"/>
            </w:pPr>
          </w:p>
        </w:tc>
      </w:tr>
      <w:tr w14:paraId="25689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D324F">
            <w:pPr>
              <w:pStyle w:val="12"/>
            </w:pPr>
            <w:r>
              <w:t>5</w:t>
            </w:r>
          </w:p>
        </w:tc>
        <w:tc>
          <w:tcPr>
            <w:tcW w:w="3402" w:type="dxa"/>
            <w:vAlign w:val="center"/>
          </w:tcPr>
          <w:p w14:paraId="2A80FF92">
            <w:pPr>
              <w:pStyle w:val="13"/>
            </w:pPr>
          </w:p>
        </w:tc>
        <w:tc>
          <w:tcPr>
            <w:tcW w:w="1474" w:type="dxa"/>
            <w:vAlign w:val="center"/>
          </w:tcPr>
          <w:p w14:paraId="3AF165CF">
            <w:pPr>
              <w:pStyle w:val="14"/>
            </w:pPr>
          </w:p>
        </w:tc>
        <w:tc>
          <w:tcPr>
            <w:tcW w:w="3402" w:type="dxa"/>
            <w:vAlign w:val="center"/>
          </w:tcPr>
          <w:p w14:paraId="3C59483B">
            <w:pPr>
              <w:pStyle w:val="13"/>
            </w:pPr>
            <w:r>
              <w:t>五、教育支出</w:t>
            </w:r>
          </w:p>
        </w:tc>
        <w:tc>
          <w:tcPr>
            <w:tcW w:w="1474" w:type="dxa"/>
            <w:vAlign w:val="center"/>
          </w:tcPr>
          <w:p w14:paraId="595F6DCC">
            <w:pPr>
              <w:pStyle w:val="14"/>
              <w:rPr>
                <w:rFonts w:hint="eastAsia" w:eastAsia="方正书宋_GBK"/>
                <w:lang w:eastAsia="zh-CN"/>
              </w:rPr>
            </w:pPr>
            <w:r>
              <w:t>9056.3</w:t>
            </w:r>
            <w:r>
              <w:rPr>
                <w:rFonts w:hint="eastAsia"/>
                <w:lang w:val="en-US" w:eastAsia="zh-CN"/>
              </w:rPr>
              <w:t>1</w:t>
            </w:r>
          </w:p>
        </w:tc>
        <w:tc>
          <w:tcPr>
            <w:tcW w:w="1474" w:type="dxa"/>
            <w:vAlign w:val="center"/>
          </w:tcPr>
          <w:p w14:paraId="0236ECB2">
            <w:pPr>
              <w:pStyle w:val="14"/>
              <w:rPr>
                <w:rFonts w:hint="eastAsia" w:eastAsia="方正书宋_GBK"/>
                <w:lang w:eastAsia="zh-CN"/>
              </w:rPr>
            </w:pPr>
            <w:r>
              <w:t>9056.3</w:t>
            </w:r>
            <w:r>
              <w:rPr>
                <w:rFonts w:hint="eastAsia"/>
                <w:lang w:val="en-US" w:eastAsia="zh-CN"/>
              </w:rPr>
              <w:t>1</w:t>
            </w:r>
          </w:p>
        </w:tc>
        <w:tc>
          <w:tcPr>
            <w:tcW w:w="1474" w:type="dxa"/>
            <w:vAlign w:val="center"/>
          </w:tcPr>
          <w:p w14:paraId="0BBE1887">
            <w:pPr>
              <w:pStyle w:val="14"/>
            </w:pPr>
          </w:p>
        </w:tc>
        <w:tc>
          <w:tcPr>
            <w:tcW w:w="1474" w:type="dxa"/>
            <w:vAlign w:val="center"/>
          </w:tcPr>
          <w:p w14:paraId="12E69A21">
            <w:pPr>
              <w:pStyle w:val="14"/>
            </w:pPr>
          </w:p>
        </w:tc>
      </w:tr>
      <w:tr w14:paraId="50B37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892EF">
            <w:pPr>
              <w:pStyle w:val="12"/>
            </w:pPr>
            <w:r>
              <w:t>6</w:t>
            </w:r>
          </w:p>
        </w:tc>
        <w:tc>
          <w:tcPr>
            <w:tcW w:w="3402" w:type="dxa"/>
            <w:vAlign w:val="center"/>
          </w:tcPr>
          <w:p w14:paraId="380EB389">
            <w:pPr>
              <w:pStyle w:val="13"/>
            </w:pPr>
          </w:p>
        </w:tc>
        <w:tc>
          <w:tcPr>
            <w:tcW w:w="1474" w:type="dxa"/>
            <w:vAlign w:val="center"/>
          </w:tcPr>
          <w:p w14:paraId="669393D3">
            <w:pPr>
              <w:pStyle w:val="14"/>
            </w:pPr>
          </w:p>
        </w:tc>
        <w:tc>
          <w:tcPr>
            <w:tcW w:w="3402" w:type="dxa"/>
            <w:vAlign w:val="center"/>
          </w:tcPr>
          <w:p w14:paraId="3F2DD37F">
            <w:pPr>
              <w:pStyle w:val="13"/>
            </w:pPr>
            <w:r>
              <w:t>六、科学技术支出</w:t>
            </w:r>
          </w:p>
        </w:tc>
        <w:tc>
          <w:tcPr>
            <w:tcW w:w="1474" w:type="dxa"/>
            <w:vAlign w:val="center"/>
          </w:tcPr>
          <w:p w14:paraId="38DE9801">
            <w:pPr>
              <w:pStyle w:val="14"/>
            </w:pPr>
          </w:p>
        </w:tc>
        <w:tc>
          <w:tcPr>
            <w:tcW w:w="1474" w:type="dxa"/>
            <w:vAlign w:val="center"/>
          </w:tcPr>
          <w:p w14:paraId="3C35C039">
            <w:pPr>
              <w:pStyle w:val="14"/>
            </w:pPr>
          </w:p>
        </w:tc>
        <w:tc>
          <w:tcPr>
            <w:tcW w:w="1474" w:type="dxa"/>
            <w:vAlign w:val="center"/>
          </w:tcPr>
          <w:p w14:paraId="24DC373D">
            <w:pPr>
              <w:pStyle w:val="14"/>
            </w:pPr>
          </w:p>
        </w:tc>
        <w:tc>
          <w:tcPr>
            <w:tcW w:w="1474" w:type="dxa"/>
            <w:vAlign w:val="center"/>
          </w:tcPr>
          <w:p w14:paraId="5E9A3069">
            <w:pPr>
              <w:pStyle w:val="14"/>
            </w:pPr>
          </w:p>
        </w:tc>
      </w:tr>
      <w:tr w14:paraId="520D2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A43A1">
            <w:pPr>
              <w:pStyle w:val="12"/>
            </w:pPr>
            <w:r>
              <w:t>7</w:t>
            </w:r>
          </w:p>
        </w:tc>
        <w:tc>
          <w:tcPr>
            <w:tcW w:w="3402" w:type="dxa"/>
            <w:vAlign w:val="center"/>
          </w:tcPr>
          <w:p w14:paraId="36D0FAE6">
            <w:pPr>
              <w:pStyle w:val="13"/>
            </w:pPr>
          </w:p>
        </w:tc>
        <w:tc>
          <w:tcPr>
            <w:tcW w:w="1474" w:type="dxa"/>
            <w:vAlign w:val="center"/>
          </w:tcPr>
          <w:p w14:paraId="01C7FBA2">
            <w:pPr>
              <w:pStyle w:val="14"/>
            </w:pPr>
          </w:p>
        </w:tc>
        <w:tc>
          <w:tcPr>
            <w:tcW w:w="3402" w:type="dxa"/>
            <w:vAlign w:val="center"/>
          </w:tcPr>
          <w:p w14:paraId="2090D1B0">
            <w:pPr>
              <w:pStyle w:val="13"/>
            </w:pPr>
            <w:r>
              <w:t>七、文化旅游体育与传媒支出</w:t>
            </w:r>
          </w:p>
        </w:tc>
        <w:tc>
          <w:tcPr>
            <w:tcW w:w="1474" w:type="dxa"/>
            <w:vAlign w:val="center"/>
          </w:tcPr>
          <w:p w14:paraId="7D070628">
            <w:pPr>
              <w:pStyle w:val="14"/>
            </w:pPr>
          </w:p>
        </w:tc>
        <w:tc>
          <w:tcPr>
            <w:tcW w:w="1474" w:type="dxa"/>
            <w:vAlign w:val="center"/>
          </w:tcPr>
          <w:p w14:paraId="7A87F7E3">
            <w:pPr>
              <w:pStyle w:val="14"/>
            </w:pPr>
          </w:p>
        </w:tc>
        <w:tc>
          <w:tcPr>
            <w:tcW w:w="1474" w:type="dxa"/>
            <w:vAlign w:val="center"/>
          </w:tcPr>
          <w:p w14:paraId="02925179">
            <w:pPr>
              <w:pStyle w:val="14"/>
            </w:pPr>
          </w:p>
        </w:tc>
        <w:tc>
          <w:tcPr>
            <w:tcW w:w="1474" w:type="dxa"/>
            <w:vAlign w:val="center"/>
          </w:tcPr>
          <w:p w14:paraId="02317BBA">
            <w:pPr>
              <w:pStyle w:val="14"/>
            </w:pPr>
          </w:p>
        </w:tc>
      </w:tr>
      <w:tr w14:paraId="6AC8B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2D6DD">
            <w:pPr>
              <w:pStyle w:val="12"/>
            </w:pPr>
            <w:r>
              <w:t>8</w:t>
            </w:r>
          </w:p>
        </w:tc>
        <w:tc>
          <w:tcPr>
            <w:tcW w:w="3402" w:type="dxa"/>
            <w:vAlign w:val="center"/>
          </w:tcPr>
          <w:p w14:paraId="40659A0B">
            <w:pPr>
              <w:pStyle w:val="13"/>
            </w:pPr>
          </w:p>
        </w:tc>
        <w:tc>
          <w:tcPr>
            <w:tcW w:w="1474" w:type="dxa"/>
            <w:vAlign w:val="center"/>
          </w:tcPr>
          <w:p w14:paraId="0BDE2A82">
            <w:pPr>
              <w:pStyle w:val="14"/>
            </w:pPr>
          </w:p>
        </w:tc>
        <w:tc>
          <w:tcPr>
            <w:tcW w:w="3402" w:type="dxa"/>
            <w:vAlign w:val="center"/>
          </w:tcPr>
          <w:p w14:paraId="4F1E7C24">
            <w:pPr>
              <w:pStyle w:val="13"/>
            </w:pPr>
            <w:r>
              <w:t>八、社会保障和就业支出</w:t>
            </w:r>
          </w:p>
        </w:tc>
        <w:tc>
          <w:tcPr>
            <w:tcW w:w="1474" w:type="dxa"/>
            <w:vAlign w:val="center"/>
          </w:tcPr>
          <w:p w14:paraId="5388A42C">
            <w:pPr>
              <w:pStyle w:val="14"/>
            </w:pPr>
            <w:r>
              <w:t>959.60</w:t>
            </w:r>
          </w:p>
        </w:tc>
        <w:tc>
          <w:tcPr>
            <w:tcW w:w="1474" w:type="dxa"/>
            <w:vAlign w:val="center"/>
          </w:tcPr>
          <w:p w14:paraId="6968039C">
            <w:pPr>
              <w:pStyle w:val="14"/>
            </w:pPr>
            <w:r>
              <w:t>959.60</w:t>
            </w:r>
          </w:p>
        </w:tc>
        <w:tc>
          <w:tcPr>
            <w:tcW w:w="1474" w:type="dxa"/>
            <w:vAlign w:val="center"/>
          </w:tcPr>
          <w:p w14:paraId="3F38E543">
            <w:pPr>
              <w:pStyle w:val="14"/>
            </w:pPr>
          </w:p>
        </w:tc>
        <w:tc>
          <w:tcPr>
            <w:tcW w:w="1474" w:type="dxa"/>
            <w:vAlign w:val="center"/>
          </w:tcPr>
          <w:p w14:paraId="69E4062F">
            <w:pPr>
              <w:pStyle w:val="14"/>
            </w:pPr>
          </w:p>
        </w:tc>
      </w:tr>
      <w:tr w14:paraId="6EA3A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191C4">
            <w:pPr>
              <w:pStyle w:val="12"/>
            </w:pPr>
            <w:r>
              <w:t>9</w:t>
            </w:r>
          </w:p>
        </w:tc>
        <w:tc>
          <w:tcPr>
            <w:tcW w:w="3402" w:type="dxa"/>
            <w:vAlign w:val="center"/>
          </w:tcPr>
          <w:p w14:paraId="446227E3">
            <w:pPr>
              <w:pStyle w:val="13"/>
            </w:pPr>
          </w:p>
        </w:tc>
        <w:tc>
          <w:tcPr>
            <w:tcW w:w="1474" w:type="dxa"/>
            <w:vAlign w:val="center"/>
          </w:tcPr>
          <w:p w14:paraId="77FAEA75">
            <w:pPr>
              <w:pStyle w:val="14"/>
            </w:pPr>
          </w:p>
        </w:tc>
        <w:tc>
          <w:tcPr>
            <w:tcW w:w="3402" w:type="dxa"/>
            <w:vAlign w:val="center"/>
          </w:tcPr>
          <w:p w14:paraId="52896603">
            <w:pPr>
              <w:pStyle w:val="13"/>
            </w:pPr>
            <w:r>
              <w:t>九、社会保险基金支出</w:t>
            </w:r>
          </w:p>
        </w:tc>
        <w:tc>
          <w:tcPr>
            <w:tcW w:w="1474" w:type="dxa"/>
            <w:vAlign w:val="center"/>
          </w:tcPr>
          <w:p w14:paraId="5CC29B95">
            <w:pPr>
              <w:pStyle w:val="14"/>
            </w:pPr>
          </w:p>
        </w:tc>
        <w:tc>
          <w:tcPr>
            <w:tcW w:w="1474" w:type="dxa"/>
            <w:vAlign w:val="center"/>
          </w:tcPr>
          <w:p w14:paraId="589F0CC9">
            <w:pPr>
              <w:pStyle w:val="14"/>
            </w:pPr>
          </w:p>
        </w:tc>
        <w:tc>
          <w:tcPr>
            <w:tcW w:w="1474" w:type="dxa"/>
            <w:vAlign w:val="center"/>
          </w:tcPr>
          <w:p w14:paraId="02188C9F">
            <w:pPr>
              <w:pStyle w:val="14"/>
            </w:pPr>
          </w:p>
        </w:tc>
        <w:tc>
          <w:tcPr>
            <w:tcW w:w="1474" w:type="dxa"/>
            <w:vAlign w:val="center"/>
          </w:tcPr>
          <w:p w14:paraId="2E395D59">
            <w:pPr>
              <w:pStyle w:val="14"/>
            </w:pPr>
          </w:p>
        </w:tc>
      </w:tr>
      <w:tr w14:paraId="622AE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451CF">
            <w:pPr>
              <w:pStyle w:val="12"/>
            </w:pPr>
            <w:r>
              <w:t>10</w:t>
            </w:r>
          </w:p>
        </w:tc>
        <w:tc>
          <w:tcPr>
            <w:tcW w:w="3402" w:type="dxa"/>
            <w:vAlign w:val="center"/>
          </w:tcPr>
          <w:p w14:paraId="79E4EC70">
            <w:pPr>
              <w:pStyle w:val="13"/>
            </w:pPr>
          </w:p>
        </w:tc>
        <w:tc>
          <w:tcPr>
            <w:tcW w:w="1474" w:type="dxa"/>
            <w:vAlign w:val="center"/>
          </w:tcPr>
          <w:p w14:paraId="17C81CAD">
            <w:pPr>
              <w:pStyle w:val="14"/>
            </w:pPr>
          </w:p>
        </w:tc>
        <w:tc>
          <w:tcPr>
            <w:tcW w:w="3402" w:type="dxa"/>
            <w:vAlign w:val="center"/>
          </w:tcPr>
          <w:p w14:paraId="629CF82F">
            <w:pPr>
              <w:pStyle w:val="13"/>
            </w:pPr>
            <w:r>
              <w:t>十、卫生健康支出</w:t>
            </w:r>
          </w:p>
        </w:tc>
        <w:tc>
          <w:tcPr>
            <w:tcW w:w="1474" w:type="dxa"/>
            <w:vAlign w:val="center"/>
          </w:tcPr>
          <w:p w14:paraId="7DE3721E">
            <w:pPr>
              <w:pStyle w:val="14"/>
            </w:pPr>
            <w:r>
              <w:t>102.87</w:t>
            </w:r>
          </w:p>
        </w:tc>
        <w:tc>
          <w:tcPr>
            <w:tcW w:w="1474" w:type="dxa"/>
            <w:vAlign w:val="center"/>
          </w:tcPr>
          <w:p w14:paraId="61EE9F75">
            <w:pPr>
              <w:pStyle w:val="14"/>
            </w:pPr>
            <w:r>
              <w:t>102.87</w:t>
            </w:r>
          </w:p>
        </w:tc>
        <w:tc>
          <w:tcPr>
            <w:tcW w:w="1474" w:type="dxa"/>
            <w:vAlign w:val="center"/>
          </w:tcPr>
          <w:p w14:paraId="111DBF49">
            <w:pPr>
              <w:pStyle w:val="14"/>
            </w:pPr>
          </w:p>
        </w:tc>
        <w:tc>
          <w:tcPr>
            <w:tcW w:w="1474" w:type="dxa"/>
            <w:vAlign w:val="center"/>
          </w:tcPr>
          <w:p w14:paraId="2CC55C2D">
            <w:pPr>
              <w:pStyle w:val="14"/>
            </w:pPr>
          </w:p>
        </w:tc>
      </w:tr>
      <w:tr w14:paraId="54E10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3B64C">
            <w:pPr>
              <w:pStyle w:val="12"/>
            </w:pPr>
            <w:r>
              <w:t>11</w:t>
            </w:r>
          </w:p>
        </w:tc>
        <w:tc>
          <w:tcPr>
            <w:tcW w:w="3402" w:type="dxa"/>
            <w:vAlign w:val="center"/>
          </w:tcPr>
          <w:p w14:paraId="52F1EE4C">
            <w:pPr>
              <w:pStyle w:val="13"/>
            </w:pPr>
          </w:p>
        </w:tc>
        <w:tc>
          <w:tcPr>
            <w:tcW w:w="1474" w:type="dxa"/>
            <w:vAlign w:val="center"/>
          </w:tcPr>
          <w:p w14:paraId="50202024">
            <w:pPr>
              <w:pStyle w:val="14"/>
            </w:pPr>
          </w:p>
        </w:tc>
        <w:tc>
          <w:tcPr>
            <w:tcW w:w="3402" w:type="dxa"/>
            <w:vAlign w:val="center"/>
          </w:tcPr>
          <w:p w14:paraId="7CCF7B98">
            <w:pPr>
              <w:pStyle w:val="13"/>
            </w:pPr>
            <w:r>
              <w:t>十一、节能环保支出</w:t>
            </w:r>
          </w:p>
        </w:tc>
        <w:tc>
          <w:tcPr>
            <w:tcW w:w="1474" w:type="dxa"/>
            <w:vAlign w:val="center"/>
          </w:tcPr>
          <w:p w14:paraId="6DB36BAE">
            <w:pPr>
              <w:pStyle w:val="14"/>
            </w:pPr>
          </w:p>
        </w:tc>
        <w:tc>
          <w:tcPr>
            <w:tcW w:w="1474" w:type="dxa"/>
            <w:vAlign w:val="center"/>
          </w:tcPr>
          <w:p w14:paraId="5471A654">
            <w:pPr>
              <w:pStyle w:val="14"/>
            </w:pPr>
          </w:p>
        </w:tc>
        <w:tc>
          <w:tcPr>
            <w:tcW w:w="1474" w:type="dxa"/>
            <w:vAlign w:val="center"/>
          </w:tcPr>
          <w:p w14:paraId="2CA89C8C">
            <w:pPr>
              <w:pStyle w:val="14"/>
            </w:pPr>
          </w:p>
        </w:tc>
        <w:tc>
          <w:tcPr>
            <w:tcW w:w="1474" w:type="dxa"/>
            <w:vAlign w:val="center"/>
          </w:tcPr>
          <w:p w14:paraId="16F23767">
            <w:pPr>
              <w:pStyle w:val="14"/>
            </w:pPr>
          </w:p>
        </w:tc>
      </w:tr>
      <w:tr w14:paraId="5A741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8FD77">
            <w:pPr>
              <w:pStyle w:val="12"/>
            </w:pPr>
            <w:r>
              <w:t>12</w:t>
            </w:r>
          </w:p>
        </w:tc>
        <w:tc>
          <w:tcPr>
            <w:tcW w:w="3402" w:type="dxa"/>
            <w:vAlign w:val="center"/>
          </w:tcPr>
          <w:p w14:paraId="1453E510">
            <w:pPr>
              <w:pStyle w:val="13"/>
            </w:pPr>
          </w:p>
        </w:tc>
        <w:tc>
          <w:tcPr>
            <w:tcW w:w="1474" w:type="dxa"/>
            <w:vAlign w:val="center"/>
          </w:tcPr>
          <w:p w14:paraId="21361E03">
            <w:pPr>
              <w:pStyle w:val="14"/>
            </w:pPr>
          </w:p>
        </w:tc>
        <w:tc>
          <w:tcPr>
            <w:tcW w:w="3402" w:type="dxa"/>
            <w:vAlign w:val="center"/>
          </w:tcPr>
          <w:p w14:paraId="7F520CC1">
            <w:pPr>
              <w:pStyle w:val="13"/>
            </w:pPr>
            <w:r>
              <w:t>十二、城乡社区支出</w:t>
            </w:r>
          </w:p>
        </w:tc>
        <w:tc>
          <w:tcPr>
            <w:tcW w:w="1474" w:type="dxa"/>
            <w:vAlign w:val="center"/>
          </w:tcPr>
          <w:p w14:paraId="63AE5B6C">
            <w:pPr>
              <w:pStyle w:val="14"/>
            </w:pPr>
          </w:p>
        </w:tc>
        <w:tc>
          <w:tcPr>
            <w:tcW w:w="1474" w:type="dxa"/>
            <w:vAlign w:val="center"/>
          </w:tcPr>
          <w:p w14:paraId="5432958B">
            <w:pPr>
              <w:pStyle w:val="14"/>
            </w:pPr>
          </w:p>
        </w:tc>
        <w:tc>
          <w:tcPr>
            <w:tcW w:w="1474" w:type="dxa"/>
            <w:vAlign w:val="center"/>
          </w:tcPr>
          <w:p w14:paraId="74BB4C8F">
            <w:pPr>
              <w:pStyle w:val="14"/>
            </w:pPr>
          </w:p>
        </w:tc>
        <w:tc>
          <w:tcPr>
            <w:tcW w:w="1474" w:type="dxa"/>
            <w:vAlign w:val="center"/>
          </w:tcPr>
          <w:p w14:paraId="6EFAEAD9">
            <w:pPr>
              <w:pStyle w:val="14"/>
            </w:pPr>
          </w:p>
        </w:tc>
      </w:tr>
      <w:tr w14:paraId="3574B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24C97">
            <w:pPr>
              <w:pStyle w:val="12"/>
            </w:pPr>
            <w:r>
              <w:t>13</w:t>
            </w:r>
          </w:p>
        </w:tc>
        <w:tc>
          <w:tcPr>
            <w:tcW w:w="3402" w:type="dxa"/>
            <w:vAlign w:val="center"/>
          </w:tcPr>
          <w:p w14:paraId="23729EE1">
            <w:pPr>
              <w:pStyle w:val="13"/>
            </w:pPr>
          </w:p>
        </w:tc>
        <w:tc>
          <w:tcPr>
            <w:tcW w:w="1474" w:type="dxa"/>
            <w:vAlign w:val="center"/>
          </w:tcPr>
          <w:p w14:paraId="70E1B54E">
            <w:pPr>
              <w:pStyle w:val="14"/>
            </w:pPr>
          </w:p>
        </w:tc>
        <w:tc>
          <w:tcPr>
            <w:tcW w:w="3402" w:type="dxa"/>
            <w:vAlign w:val="center"/>
          </w:tcPr>
          <w:p w14:paraId="5653B7B1">
            <w:pPr>
              <w:pStyle w:val="13"/>
            </w:pPr>
            <w:r>
              <w:t>十三、农林水支出</w:t>
            </w:r>
          </w:p>
        </w:tc>
        <w:tc>
          <w:tcPr>
            <w:tcW w:w="1474" w:type="dxa"/>
            <w:vAlign w:val="center"/>
          </w:tcPr>
          <w:p w14:paraId="7941C4C5">
            <w:pPr>
              <w:pStyle w:val="14"/>
            </w:pPr>
          </w:p>
        </w:tc>
        <w:tc>
          <w:tcPr>
            <w:tcW w:w="1474" w:type="dxa"/>
            <w:vAlign w:val="center"/>
          </w:tcPr>
          <w:p w14:paraId="61901F71">
            <w:pPr>
              <w:pStyle w:val="14"/>
            </w:pPr>
          </w:p>
        </w:tc>
        <w:tc>
          <w:tcPr>
            <w:tcW w:w="1474" w:type="dxa"/>
            <w:vAlign w:val="center"/>
          </w:tcPr>
          <w:p w14:paraId="131A0EBC">
            <w:pPr>
              <w:pStyle w:val="14"/>
            </w:pPr>
          </w:p>
        </w:tc>
        <w:tc>
          <w:tcPr>
            <w:tcW w:w="1474" w:type="dxa"/>
            <w:vAlign w:val="center"/>
          </w:tcPr>
          <w:p w14:paraId="18C679E8">
            <w:pPr>
              <w:pStyle w:val="14"/>
            </w:pPr>
          </w:p>
        </w:tc>
      </w:tr>
      <w:tr w14:paraId="3968D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A961A">
            <w:pPr>
              <w:pStyle w:val="12"/>
            </w:pPr>
            <w:r>
              <w:t>14</w:t>
            </w:r>
          </w:p>
        </w:tc>
        <w:tc>
          <w:tcPr>
            <w:tcW w:w="3402" w:type="dxa"/>
            <w:vAlign w:val="center"/>
          </w:tcPr>
          <w:p w14:paraId="7FC23FE8">
            <w:pPr>
              <w:pStyle w:val="13"/>
            </w:pPr>
          </w:p>
        </w:tc>
        <w:tc>
          <w:tcPr>
            <w:tcW w:w="1474" w:type="dxa"/>
            <w:vAlign w:val="center"/>
          </w:tcPr>
          <w:p w14:paraId="6F2CCEA8">
            <w:pPr>
              <w:pStyle w:val="14"/>
            </w:pPr>
          </w:p>
        </w:tc>
        <w:tc>
          <w:tcPr>
            <w:tcW w:w="3402" w:type="dxa"/>
            <w:vAlign w:val="center"/>
          </w:tcPr>
          <w:p w14:paraId="3C30009D">
            <w:pPr>
              <w:pStyle w:val="13"/>
            </w:pPr>
            <w:r>
              <w:t>十四、交通运输支出</w:t>
            </w:r>
          </w:p>
        </w:tc>
        <w:tc>
          <w:tcPr>
            <w:tcW w:w="1474" w:type="dxa"/>
            <w:vAlign w:val="center"/>
          </w:tcPr>
          <w:p w14:paraId="37810F0B">
            <w:pPr>
              <w:pStyle w:val="14"/>
            </w:pPr>
          </w:p>
        </w:tc>
        <w:tc>
          <w:tcPr>
            <w:tcW w:w="1474" w:type="dxa"/>
            <w:vAlign w:val="center"/>
          </w:tcPr>
          <w:p w14:paraId="0948E886">
            <w:pPr>
              <w:pStyle w:val="14"/>
            </w:pPr>
          </w:p>
        </w:tc>
        <w:tc>
          <w:tcPr>
            <w:tcW w:w="1474" w:type="dxa"/>
            <w:vAlign w:val="center"/>
          </w:tcPr>
          <w:p w14:paraId="5ADC1946">
            <w:pPr>
              <w:pStyle w:val="14"/>
            </w:pPr>
          </w:p>
        </w:tc>
        <w:tc>
          <w:tcPr>
            <w:tcW w:w="1474" w:type="dxa"/>
            <w:vAlign w:val="center"/>
          </w:tcPr>
          <w:p w14:paraId="7C09FA53">
            <w:pPr>
              <w:pStyle w:val="14"/>
            </w:pPr>
          </w:p>
        </w:tc>
      </w:tr>
      <w:tr w14:paraId="7E674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FE9C9">
            <w:pPr>
              <w:pStyle w:val="12"/>
            </w:pPr>
            <w:r>
              <w:t>15</w:t>
            </w:r>
          </w:p>
        </w:tc>
        <w:tc>
          <w:tcPr>
            <w:tcW w:w="3402" w:type="dxa"/>
            <w:vAlign w:val="center"/>
          </w:tcPr>
          <w:p w14:paraId="77885162">
            <w:pPr>
              <w:pStyle w:val="13"/>
            </w:pPr>
          </w:p>
        </w:tc>
        <w:tc>
          <w:tcPr>
            <w:tcW w:w="1474" w:type="dxa"/>
            <w:vAlign w:val="center"/>
          </w:tcPr>
          <w:p w14:paraId="69B4B310">
            <w:pPr>
              <w:pStyle w:val="14"/>
            </w:pPr>
          </w:p>
        </w:tc>
        <w:tc>
          <w:tcPr>
            <w:tcW w:w="3402" w:type="dxa"/>
            <w:vAlign w:val="center"/>
          </w:tcPr>
          <w:p w14:paraId="3E41DD8A">
            <w:pPr>
              <w:pStyle w:val="13"/>
            </w:pPr>
            <w:r>
              <w:t>十五、资源勘探工业信息等支出</w:t>
            </w:r>
          </w:p>
        </w:tc>
        <w:tc>
          <w:tcPr>
            <w:tcW w:w="1474" w:type="dxa"/>
            <w:vAlign w:val="center"/>
          </w:tcPr>
          <w:p w14:paraId="78B8FA1F">
            <w:pPr>
              <w:pStyle w:val="14"/>
            </w:pPr>
          </w:p>
        </w:tc>
        <w:tc>
          <w:tcPr>
            <w:tcW w:w="1474" w:type="dxa"/>
            <w:vAlign w:val="center"/>
          </w:tcPr>
          <w:p w14:paraId="7E8E7D45">
            <w:pPr>
              <w:pStyle w:val="14"/>
            </w:pPr>
          </w:p>
        </w:tc>
        <w:tc>
          <w:tcPr>
            <w:tcW w:w="1474" w:type="dxa"/>
            <w:vAlign w:val="center"/>
          </w:tcPr>
          <w:p w14:paraId="76781DAC">
            <w:pPr>
              <w:pStyle w:val="14"/>
            </w:pPr>
          </w:p>
        </w:tc>
        <w:tc>
          <w:tcPr>
            <w:tcW w:w="1474" w:type="dxa"/>
            <w:vAlign w:val="center"/>
          </w:tcPr>
          <w:p w14:paraId="682D70D3">
            <w:pPr>
              <w:pStyle w:val="14"/>
            </w:pPr>
          </w:p>
        </w:tc>
      </w:tr>
      <w:tr w14:paraId="16529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DFBE6">
            <w:pPr>
              <w:pStyle w:val="12"/>
            </w:pPr>
            <w:r>
              <w:t>16</w:t>
            </w:r>
          </w:p>
        </w:tc>
        <w:tc>
          <w:tcPr>
            <w:tcW w:w="3402" w:type="dxa"/>
            <w:vAlign w:val="center"/>
          </w:tcPr>
          <w:p w14:paraId="094D179B">
            <w:pPr>
              <w:pStyle w:val="13"/>
            </w:pPr>
          </w:p>
        </w:tc>
        <w:tc>
          <w:tcPr>
            <w:tcW w:w="1474" w:type="dxa"/>
            <w:vAlign w:val="center"/>
          </w:tcPr>
          <w:p w14:paraId="1D6A8B49">
            <w:pPr>
              <w:pStyle w:val="14"/>
            </w:pPr>
          </w:p>
        </w:tc>
        <w:tc>
          <w:tcPr>
            <w:tcW w:w="3402" w:type="dxa"/>
            <w:vAlign w:val="center"/>
          </w:tcPr>
          <w:p w14:paraId="7F1ECA71">
            <w:pPr>
              <w:pStyle w:val="13"/>
            </w:pPr>
            <w:r>
              <w:t>十六、商业服务业等支出</w:t>
            </w:r>
          </w:p>
        </w:tc>
        <w:tc>
          <w:tcPr>
            <w:tcW w:w="1474" w:type="dxa"/>
            <w:vAlign w:val="center"/>
          </w:tcPr>
          <w:p w14:paraId="0EFEA6DC">
            <w:pPr>
              <w:pStyle w:val="14"/>
            </w:pPr>
          </w:p>
        </w:tc>
        <w:tc>
          <w:tcPr>
            <w:tcW w:w="1474" w:type="dxa"/>
            <w:vAlign w:val="center"/>
          </w:tcPr>
          <w:p w14:paraId="460A1349">
            <w:pPr>
              <w:pStyle w:val="14"/>
            </w:pPr>
          </w:p>
        </w:tc>
        <w:tc>
          <w:tcPr>
            <w:tcW w:w="1474" w:type="dxa"/>
            <w:vAlign w:val="center"/>
          </w:tcPr>
          <w:p w14:paraId="06073129">
            <w:pPr>
              <w:pStyle w:val="14"/>
            </w:pPr>
          </w:p>
        </w:tc>
        <w:tc>
          <w:tcPr>
            <w:tcW w:w="1474" w:type="dxa"/>
            <w:vAlign w:val="center"/>
          </w:tcPr>
          <w:p w14:paraId="7A8F5BE9">
            <w:pPr>
              <w:pStyle w:val="14"/>
            </w:pPr>
          </w:p>
        </w:tc>
      </w:tr>
      <w:tr w14:paraId="59E27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586EB">
            <w:pPr>
              <w:pStyle w:val="12"/>
            </w:pPr>
            <w:r>
              <w:t>17</w:t>
            </w:r>
          </w:p>
        </w:tc>
        <w:tc>
          <w:tcPr>
            <w:tcW w:w="3402" w:type="dxa"/>
            <w:vAlign w:val="center"/>
          </w:tcPr>
          <w:p w14:paraId="43592250">
            <w:pPr>
              <w:pStyle w:val="13"/>
            </w:pPr>
          </w:p>
        </w:tc>
        <w:tc>
          <w:tcPr>
            <w:tcW w:w="1474" w:type="dxa"/>
            <w:vAlign w:val="center"/>
          </w:tcPr>
          <w:p w14:paraId="00FB628F">
            <w:pPr>
              <w:pStyle w:val="14"/>
            </w:pPr>
          </w:p>
        </w:tc>
        <w:tc>
          <w:tcPr>
            <w:tcW w:w="3402" w:type="dxa"/>
            <w:vAlign w:val="center"/>
          </w:tcPr>
          <w:p w14:paraId="3ACE615F">
            <w:pPr>
              <w:pStyle w:val="13"/>
            </w:pPr>
            <w:r>
              <w:t>十七、金融支出</w:t>
            </w:r>
          </w:p>
        </w:tc>
        <w:tc>
          <w:tcPr>
            <w:tcW w:w="1474" w:type="dxa"/>
            <w:vAlign w:val="center"/>
          </w:tcPr>
          <w:p w14:paraId="09EDBEB7">
            <w:pPr>
              <w:pStyle w:val="14"/>
            </w:pPr>
          </w:p>
        </w:tc>
        <w:tc>
          <w:tcPr>
            <w:tcW w:w="1474" w:type="dxa"/>
            <w:vAlign w:val="center"/>
          </w:tcPr>
          <w:p w14:paraId="7DFB253F">
            <w:pPr>
              <w:pStyle w:val="14"/>
            </w:pPr>
          </w:p>
        </w:tc>
        <w:tc>
          <w:tcPr>
            <w:tcW w:w="1474" w:type="dxa"/>
            <w:vAlign w:val="center"/>
          </w:tcPr>
          <w:p w14:paraId="26340901">
            <w:pPr>
              <w:pStyle w:val="14"/>
            </w:pPr>
          </w:p>
        </w:tc>
        <w:tc>
          <w:tcPr>
            <w:tcW w:w="1474" w:type="dxa"/>
            <w:vAlign w:val="center"/>
          </w:tcPr>
          <w:p w14:paraId="14B44FE7">
            <w:pPr>
              <w:pStyle w:val="14"/>
            </w:pPr>
          </w:p>
        </w:tc>
      </w:tr>
      <w:tr w14:paraId="5321D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64C33">
            <w:pPr>
              <w:pStyle w:val="12"/>
            </w:pPr>
            <w:r>
              <w:t>18</w:t>
            </w:r>
          </w:p>
        </w:tc>
        <w:tc>
          <w:tcPr>
            <w:tcW w:w="3402" w:type="dxa"/>
            <w:vAlign w:val="center"/>
          </w:tcPr>
          <w:p w14:paraId="52180052">
            <w:pPr>
              <w:pStyle w:val="13"/>
            </w:pPr>
          </w:p>
        </w:tc>
        <w:tc>
          <w:tcPr>
            <w:tcW w:w="1474" w:type="dxa"/>
            <w:vAlign w:val="center"/>
          </w:tcPr>
          <w:p w14:paraId="4DDF56B0">
            <w:pPr>
              <w:pStyle w:val="14"/>
            </w:pPr>
          </w:p>
        </w:tc>
        <w:tc>
          <w:tcPr>
            <w:tcW w:w="3402" w:type="dxa"/>
            <w:vAlign w:val="center"/>
          </w:tcPr>
          <w:p w14:paraId="1CAB2831">
            <w:pPr>
              <w:pStyle w:val="13"/>
            </w:pPr>
            <w:r>
              <w:t>十八、援助其他地区支出</w:t>
            </w:r>
          </w:p>
        </w:tc>
        <w:tc>
          <w:tcPr>
            <w:tcW w:w="1474" w:type="dxa"/>
            <w:vAlign w:val="center"/>
          </w:tcPr>
          <w:p w14:paraId="69E8CE8A">
            <w:pPr>
              <w:pStyle w:val="14"/>
            </w:pPr>
          </w:p>
        </w:tc>
        <w:tc>
          <w:tcPr>
            <w:tcW w:w="1474" w:type="dxa"/>
            <w:vAlign w:val="center"/>
          </w:tcPr>
          <w:p w14:paraId="6A030E7F">
            <w:pPr>
              <w:pStyle w:val="14"/>
            </w:pPr>
          </w:p>
        </w:tc>
        <w:tc>
          <w:tcPr>
            <w:tcW w:w="1474" w:type="dxa"/>
            <w:vAlign w:val="center"/>
          </w:tcPr>
          <w:p w14:paraId="1838744A">
            <w:pPr>
              <w:pStyle w:val="14"/>
            </w:pPr>
          </w:p>
        </w:tc>
        <w:tc>
          <w:tcPr>
            <w:tcW w:w="1474" w:type="dxa"/>
            <w:vAlign w:val="center"/>
          </w:tcPr>
          <w:p w14:paraId="5D01B294">
            <w:pPr>
              <w:pStyle w:val="14"/>
            </w:pPr>
          </w:p>
        </w:tc>
      </w:tr>
      <w:tr w14:paraId="4F84D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C957D">
            <w:pPr>
              <w:pStyle w:val="12"/>
            </w:pPr>
            <w:r>
              <w:t>19</w:t>
            </w:r>
          </w:p>
        </w:tc>
        <w:tc>
          <w:tcPr>
            <w:tcW w:w="3402" w:type="dxa"/>
            <w:vAlign w:val="center"/>
          </w:tcPr>
          <w:p w14:paraId="105400A3">
            <w:pPr>
              <w:pStyle w:val="13"/>
            </w:pPr>
          </w:p>
        </w:tc>
        <w:tc>
          <w:tcPr>
            <w:tcW w:w="1474" w:type="dxa"/>
            <w:vAlign w:val="center"/>
          </w:tcPr>
          <w:p w14:paraId="5ABB24EF">
            <w:pPr>
              <w:pStyle w:val="14"/>
            </w:pPr>
          </w:p>
        </w:tc>
        <w:tc>
          <w:tcPr>
            <w:tcW w:w="3402" w:type="dxa"/>
            <w:vAlign w:val="center"/>
          </w:tcPr>
          <w:p w14:paraId="086097B9">
            <w:pPr>
              <w:pStyle w:val="13"/>
            </w:pPr>
            <w:r>
              <w:t>十九、自然资源海洋气象等支出</w:t>
            </w:r>
          </w:p>
        </w:tc>
        <w:tc>
          <w:tcPr>
            <w:tcW w:w="1474" w:type="dxa"/>
            <w:vAlign w:val="center"/>
          </w:tcPr>
          <w:p w14:paraId="1D9CF31E">
            <w:pPr>
              <w:pStyle w:val="14"/>
            </w:pPr>
          </w:p>
        </w:tc>
        <w:tc>
          <w:tcPr>
            <w:tcW w:w="1474" w:type="dxa"/>
            <w:vAlign w:val="center"/>
          </w:tcPr>
          <w:p w14:paraId="4A67214A">
            <w:pPr>
              <w:pStyle w:val="14"/>
            </w:pPr>
          </w:p>
        </w:tc>
        <w:tc>
          <w:tcPr>
            <w:tcW w:w="1474" w:type="dxa"/>
            <w:vAlign w:val="center"/>
          </w:tcPr>
          <w:p w14:paraId="1299D164">
            <w:pPr>
              <w:pStyle w:val="14"/>
            </w:pPr>
          </w:p>
        </w:tc>
        <w:tc>
          <w:tcPr>
            <w:tcW w:w="1474" w:type="dxa"/>
            <w:vAlign w:val="center"/>
          </w:tcPr>
          <w:p w14:paraId="0FE6CFE9">
            <w:pPr>
              <w:pStyle w:val="14"/>
            </w:pPr>
          </w:p>
        </w:tc>
      </w:tr>
      <w:tr w14:paraId="34A0E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3B703">
            <w:pPr>
              <w:pStyle w:val="12"/>
            </w:pPr>
            <w:r>
              <w:t>20</w:t>
            </w:r>
          </w:p>
        </w:tc>
        <w:tc>
          <w:tcPr>
            <w:tcW w:w="3402" w:type="dxa"/>
            <w:vAlign w:val="center"/>
          </w:tcPr>
          <w:p w14:paraId="013882FA">
            <w:pPr>
              <w:pStyle w:val="13"/>
            </w:pPr>
          </w:p>
        </w:tc>
        <w:tc>
          <w:tcPr>
            <w:tcW w:w="1474" w:type="dxa"/>
            <w:vAlign w:val="center"/>
          </w:tcPr>
          <w:p w14:paraId="720003BE">
            <w:pPr>
              <w:pStyle w:val="14"/>
            </w:pPr>
          </w:p>
        </w:tc>
        <w:tc>
          <w:tcPr>
            <w:tcW w:w="3402" w:type="dxa"/>
            <w:vAlign w:val="center"/>
          </w:tcPr>
          <w:p w14:paraId="1B47F06F">
            <w:pPr>
              <w:pStyle w:val="13"/>
            </w:pPr>
            <w:r>
              <w:t>二十、住房保障支出</w:t>
            </w:r>
          </w:p>
        </w:tc>
        <w:tc>
          <w:tcPr>
            <w:tcW w:w="1474" w:type="dxa"/>
            <w:vAlign w:val="center"/>
          </w:tcPr>
          <w:p w14:paraId="37462932">
            <w:pPr>
              <w:pStyle w:val="14"/>
            </w:pPr>
            <w:r>
              <w:t>880.03</w:t>
            </w:r>
          </w:p>
        </w:tc>
        <w:tc>
          <w:tcPr>
            <w:tcW w:w="1474" w:type="dxa"/>
            <w:vAlign w:val="center"/>
          </w:tcPr>
          <w:p w14:paraId="2015145D">
            <w:pPr>
              <w:pStyle w:val="14"/>
            </w:pPr>
            <w:r>
              <w:t>880.03</w:t>
            </w:r>
          </w:p>
        </w:tc>
        <w:tc>
          <w:tcPr>
            <w:tcW w:w="1474" w:type="dxa"/>
            <w:vAlign w:val="center"/>
          </w:tcPr>
          <w:p w14:paraId="6B5D2306">
            <w:pPr>
              <w:pStyle w:val="14"/>
            </w:pPr>
          </w:p>
        </w:tc>
        <w:tc>
          <w:tcPr>
            <w:tcW w:w="1474" w:type="dxa"/>
            <w:vAlign w:val="center"/>
          </w:tcPr>
          <w:p w14:paraId="43BB4212">
            <w:pPr>
              <w:pStyle w:val="14"/>
            </w:pPr>
          </w:p>
        </w:tc>
      </w:tr>
      <w:tr w14:paraId="30417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AFD04">
            <w:pPr>
              <w:pStyle w:val="12"/>
            </w:pPr>
            <w:r>
              <w:t>21</w:t>
            </w:r>
          </w:p>
        </w:tc>
        <w:tc>
          <w:tcPr>
            <w:tcW w:w="3402" w:type="dxa"/>
            <w:vAlign w:val="center"/>
          </w:tcPr>
          <w:p w14:paraId="71CCAB3D">
            <w:pPr>
              <w:pStyle w:val="13"/>
            </w:pPr>
          </w:p>
        </w:tc>
        <w:tc>
          <w:tcPr>
            <w:tcW w:w="1474" w:type="dxa"/>
            <w:vAlign w:val="center"/>
          </w:tcPr>
          <w:p w14:paraId="7C1482D7">
            <w:pPr>
              <w:pStyle w:val="14"/>
            </w:pPr>
          </w:p>
        </w:tc>
        <w:tc>
          <w:tcPr>
            <w:tcW w:w="3402" w:type="dxa"/>
            <w:vAlign w:val="center"/>
          </w:tcPr>
          <w:p w14:paraId="1230BFD3">
            <w:pPr>
              <w:pStyle w:val="13"/>
            </w:pPr>
            <w:r>
              <w:t>二十一、粮油物资储备支出</w:t>
            </w:r>
          </w:p>
        </w:tc>
        <w:tc>
          <w:tcPr>
            <w:tcW w:w="1474" w:type="dxa"/>
            <w:vAlign w:val="center"/>
          </w:tcPr>
          <w:p w14:paraId="01ECB6B7">
            <w:pPr>
              <w:pStyle w:val="14"/>
            </w:pPr>
          </w:p>
        </w:tc>
        <w:tc>
          <w:tcPr>
            <w:tcW w:w="1474" w:type="dxa"/>
            <w:vAlign w:val="center"/>
          </w:tcPr>
          <w:p w14:paraId="01693718">
            <w:pPr>
              <w:pStyle w:val="14"/>
            </w:pPr>
          </w:p>
        </w:tc>
        <w:tc>
          <w:tcPr>
            <w:tcW w:w="1474" w:type="dxa"/>
            <w:vAlign w:val="center"/>
          </w:tcPr>
          <w:p w14:paraId="1341C184">
            <w:pPr>
              <w:pStyle w:val="14"/>
            </w:pPr>
          </w:p>
        </w:tc>
        <w:tc>
          <w:tcPr>
            <w:tcW w:w="1474" w:type="dxa"/>
            <w:vAlign w:val="center"/>
          </w:tcPr>
          <w:p w14:paraId="7BFC833F">
            <w:pPr>
              <w:pStyle w:val="14"/>
            </w:pPr>
          </w:p>
        </w:tc>
      </w:tr>
      <w:tr w14:paraId="6D13B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F1684">
            <w:pPr>
              <w:pStyle w:val="12"/>
            </w:pPr>
            <w:r>
              <w:t>22</w:t>
            </w:r>
          </w:p>
        </w:tc>
        <w:tc>
          <w:tcPr>
            <w:tcW w:w="3402" w:type="dxa"/>
            <w:vAlign w:val="center"/>
          </w:tcPr>
          <w:p w14:paraId="7BDAF3D6">
            <w:pPr>
              <w:pStyle w:val="13"/>
            </w:pPr>
          </w:p>
        </w:tc>
        <w:tc>
          <w:tcPr>
            <w:tcW w:w="1474" w:type="dxa"/>
            <w:vAlign w:val="center"/>
          </w:tcPr>
          <w:p w14:paraId="19F4DB9D">
            <w:pPr>
              <w:pStyle w:val="14"/>
            </w:pPr>
          </w:p>
        </w:tc>
        <w:tc>
          <w:tcPr>
            <w:tcW w:w="3402" w:type="dxa"/>
            <w:vAlign w:val="center"/>
          </w:tcPr>
          <w:p w14:paraId="5FD3C462">
            <w:pPr>
              <w:pStyle w:val="13"/>
            </w:pPr>
            <w:r>
              <w:t>二十二、国有资本经营预算支出</w:t>
            </w:r>
          </w:p>
        </w:tc>
        <w:tc>
          <w:tcPr>
            <w:tcW w:w="1474" w:type="dxa"/>
            <w:vAlign w:val="center"/>
          </w:tcPr>
          <w:p w14:paraId="2A317FCB">
            <w:pPr>
              <w:pStyle w:val="14"/>
            </w:pPr>
          </w:p>
        </w:tc>
        <w:tc>
          <w:tcPr>
            <w:tcW w:w="1474" w:type="dxa"/>
            <w:vAlign w:val="center"/>
          </w:tcPr>
          <w:p w14:paraId="3536BA9F">
            <w:pPr>
              <w:pStyle w:val="14"/>
            </w:pPr>
          </w:p>
        </w:tc>
        <w:tc>
          <w:tcPr>
            <w:tcW w:w="1474" w:type="dxa"/>
            <w:vAlign w:val="center"/>
          </w:tcPr>
          <w:p w14:paraId="660CEA6D">
            <w:pPr>
              <w:pStyle w:val="14"/>
            </w:pPr>
          </w:p>
        </w:tc>
        <w:tc>
          <w:tcPr>
            <w:tcW w:w="1474" w:type="dxa"/>
            <w:vAlign w:val="center"/>
          </w:tcPr>
          <w:p w14:paraId="71E7BEF9">
            <w:pPr>
              <w:pStyle w:val="14"/>
            </w:pPr>
          </w:p>
        </w:tc>
      </w:tr>
      <w:tr w14:paraId="61F53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B39FA">
            <w:pPr>
              <w:pStyle w:val="12"/>
            </w:pPr>
            <w:r>
              <w:t>23</w:t>
            </w:r>
          </w:p>
        </w:tc>
        <w:tc>
          <w:tcPr>
            <w:tcW w:w="3402" w:type="dxa"/>
            <w:vAlign w:val="center"/>
          </w:tcPr>
          <w:p w14:paraId="4B86CEFA">
            <w:pPr>
              <w:pStyle w:val="13"/>
            </w:pPr>
          </w:p>
        </w:tc>
        <w:tc>
          <w:tcPr>
            <w:tcW w:w="1474" w:type="dxa"/>
            <w:vAlign w:val="center"/>
          </w:tcPr>
          <w:p w14:paraId="3CF8BE04">
            <w:pPr>
              <w:pStyle w:val="14"/>
            </w:pPr>
          </w:p>
        </w:tc>
        <w:tc>
          <w:tcPr>
            <w:tcW w:w="3402" w:type="dxa"/>
            <w:vAlign w:val="center"/>
          </w:tcPr>
          <w:p w14:paraId="684BFF80">
            <w:pPr>
              <w:pStyle w:val="13"/>
            </w:pPr>
            <w:r>
              <w:t>二十三、灾害防治及应急管理支出</w:t>
            </w:r>
          </w:p>
        </w:tc>
        <w:tc>
          <w:tcPr>
            <w:tcW w:w="1474" w:type="dxa"/>
            <w:vAlign w:val="center"/>
          </w:tcPr>
          <w:p w14:paraId="6760D972">
            <w:pPr>
              <w:pStyle w:val="14"/>
            </w:pPr>
          </w:p>
        </w:tc>
        <w:tc>
          <w:tcPr>
            <w:tcW w:w="1474" w:type="dxa"/>
            <w:vAlign w:val="center"/>
          </w:tcPr>
          <w:p w14:paraId="0484BBDD">
            <w:pPr>
              <w:pStyle w:val="14"/>
            </w:pPr>
          </w:p>
        </w:tc>
        <w:tc>
          <w:tcPr>
            <w:tcW w:w="1474" w:type="dxa"/>
            <w:vAlign w:val="center"/>
          </w:tcPr>
          <w:p w14:paraId="1DE80349">
            <w:pPr>
              <w:pStyle w:val="14"/>
            </w:pPr>
          </w:p>
        </w:tc>
        <w:tc>
          <w:tcPr>
            <w:tcW w:w="1474" w:type="dxa"/>
            <w:vAlign w:val="center"/>
          </w:tcPr>
          <w:p w14:paraId="491DE39D">
            <w:pPr>
              <w:pStyle w:val="14"/>
            </w:pPr>
          </w:p>
        </w:tc>
      </w:tr>
      <w:tr w14:paraId="1BF77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EE38E">
            <w:pPr>
              <w:pStyle w:val="12"/>
            </w:pPr>
            <w:r>
              <w:t>24</w:t>
            </w:r>
          </w:p>
        </w:tc>
        <w:tc>
          <w:tcPr>
            <w:tcW w:w="3402" w:type="dxa"/>
            <w:vAlign w:val="center"/>
          </w:tcPr>
          <w:p w14:paraId="4BA72780">
            <w:pPr>
              <w:pStyle w:val="13"/>
            </w:pPr>
          </w:p>
        </w:tc>
        <w:tc>
          <w:tcPr>
            <w:tcW w:w="1474" w:type="dxa"/>
            <w:vAlign w:val="center"/>
          </w:tcPr>
          <w:p w14:paraId="54C70903">
            <w:pPr>
              <w:pStyle w:val="14"/>
            </w:pPr>
          </w:p>
        </w:tc>
        <w:tc>
          <w:tcPr>
            <w:tcW w:w="3402" w:type="dxa"/>
            <w:vAlign w:val="center"/>
          </w:tcPr>
          <w:p w14:paraId="79F734A1">
            <w:pPr>
              <w:pStyle w:val="13"/>
            </w:pPr>
            <w:r>
              <w:t>二十四、预备费</w:t>
            </w:r>
          </w:p>
        </w:tc>
        <w:tc>
          <w:tcPr>
            <w:tcW w:w="1474" w:type="dxa"/>
            <w:vAlign w:val="center"/>
          </w:tcPr>
          <w:p w14:paraId="1FA25036">
            <w:pPr>
              <w:pStyle w:val="14"/>
            </w:pPr>
          </w:p>
        </w:tc>
        <w:tc>
          <w:tcPr>
            <w:tcW w:w="1474" w:type="dxa"/>
            <w:vAlign w:val="center"/>
          </w:tcPr>
          <w:p w14:paraId="11023914">
            <w:pPr>
              <w:pStyle w:val="14"/>
            </w:pPr>
          </w:p>
        </w:tc>
        <w:tc>
          <w:tcPr>
            <w:tcW w:w="1474" w:type="dxa"/>
            <w:vAlign w:val="center"/>
          </w:tcPr>
          <w:p w14:paraId="5FD41432">
            <w:pPr>
              <w:pStyle w:val="14"/>
            </w:pPr>
          </w:p>
        </w:tc>
        <w:tc>
          <w:tcPr>
            <w:tcW w:w="1474" w:type="dxa"/>
            <w:vAlign w:val="center"/>
          </w:tcPr>
          <w:p w14:paraId="0D201049">
            <w:pPr>
              <w:pStyle w:val="14"/>
            </w:pPr>
          </w:p>
        </w:tc>
      </w:tr>
      <w:tr w14:paraId="21008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B11D9">
            <w:pPr>
              <w:pStyle w:val="12"/>
            </w:pPr>
            <w:r>
              <w:t>25</w:t>
            </w:r>
          </w:p>
        </w:tc>
        <w:tc>
          <w:tcPr>
            <w:tcW w:w="3402" w:type="dxa"/>
            <w:vAlign w:val="center"/>
          </w:tcPr>
          <w:p w14:paraId="5E449863">
            <w:pPr>
              <w:pStyle w:val="13"/>
            </w:pPr>
          </w:p>
        </w:tc>
        <w:tc>
          <w:tcPr>
            <w:tcW w:w="1474" w:type="dxa"/>
            <w:vAlign w:val="center"/>
          </w:tcPr>
          <w:p w14:paraId="30CE5D5D">
            <w:pPr>
              <w:pStyle w:val="14"/>
            </w:pPr>
          </w:p>
        </w:tc>
        <w:tc>
          <w:tcPr>
            <w:tcW w:w="3402" w:type="dxa"/>
            <w:vAlign w:val="center"/>
          </w:tcPr>
          <w:p w14:paraId="5D66D75A">
            <w:pPr>
              <w:pStyle w:val="13"/>
            </w:pPr>
            <w:r>
              <w:t>二十五、其他支出</w:t>
            </w:r>
          </w:p>
        </w:tc>
        <w:tc>
          <w:tcPr>
            <w:tcW w:w="1474" w:type="dxa"/>
            <w:vAlign w:val="center"/>
          </w:tcPr>
          <w:p w14:paraId="17F38657">
            <w:pPr>
              <w:pStyle w:val="14"/>
            </w:pPr>
          </w:p>
        </w:tc>
        <w:tc>
          <w:tcPr>
            <w:tcW w:w="1474" w:type="dxa"/>
            <w:vAlign w:val="center"/>
          </w:tcPr>
          <w:p w14:paraId="7099937C">
            <w:pPr>
              <w:pStyle w:val="14"/>
            </w:pPr>
          </w:p>
        </w:tc>
        <w:tc>
          <w:tcPr>
            <w:tcW w:w="1474" w:type="dxa"/>
            <w:vAlign w:val="center"/>
          </w:tcPr>
          <w:p w14:paraId="42BC6023">
            <w:pPr>
              <w:pStyle w:val="14"/>
            </w:pPr>
          </w:p>
        </w:tc>
        <w:tc>
          <w:tcPr>
            <w:tcW w:w="1474" w:type="dxa"/>
            <w:vAlign w:val="center"/>
          </w:tcPr>
          <w:p w14:paraId="7E2DA14A">
            <w:pPr>
              <w:pStyle w:val="14"/>
            </w:pPr>
          </w:p>
        </w:tc>
      </w:tr>
      <w:tr w14:paraId="4CE67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71C27">
            <w:pPr>
              <w:pStyle w:val="12"/>
            </w:pPr>
            <w:r>
              <w:t>26</w:t>
            </w:r>
          </w:p>
        </w:tc>
        <w:tc>
          <w:tcPr>
            <w:tcW w:w="3402" w:type="dxa"/>
            <w:vAlign w:val="center"/>
          </w:tcPr>
          <w:p w14:paraId="42888253">
            <w:pPr>
              <w:pStyle w:val="13"/>
            </w:pPr>
          </w:p>
        </w:tc>
        <w:tc>
          <w:tcPr>
            <w:tcW w:w="1474" w:type="dxa"/>
            <w:vAlign w:val="center"/>
          </w:tcPr>
          <w:p w14:paraId="5875D285">
            <w:pPr>
              <w:pStyle w:val="14"/>
            </w:pPr>
          </w:p>
        </w:tc>
        <w:tc>
          <w:tcPr>
            <w:tcW w:w="3402" w:type="dxa"/>
            <w:vAlign w:val="center"/>
          </w:tcPr>
          <w:p w14:paraId="1766EDFD">
            <w:pPr>
              <w:pStyle w:val="13"/>
            </w:pPr>
            <w:r>
              <w:t>二十六、转移性支出</w:t>
            </w:r>
          </w:p>
        </w:tc>
        <w:tc>
          <w:tcPr>
            <w:tcW w:w="1474" w:type="dxa"/>
            <w:vAlign w:val="center"/>
          </w:tcPr>
          <w:p w14:paraId="4AEC84A3">
            <w:pPr>
              <w:pStyle w:val="14"/>
            </w:pPr>
          </w:p>
        </w:tc>
        <w:tc>
          <w:tcPr>
            <w:tcW w:w="1474" w:type="dxa"/>
            <w:vAlign w:val="center"/>
          </w:tcPr>
          <w:p w14:paraId="3BE1482B">
            <w:pPr>
              <w:pStyle w:val="14"/>
            </w:pPr>
          </w:p>
        </w:tc>
        <w:tc>
          <w:tcPr>
            <w:tcW w:w="1474" w:type="dxa"/>
            <w:vAlign w:val="center"/>
          </w:tcPr>
          <w:p w14:paraId="6CA11A69">
            <w:pPr>
              <w:pStyle w:val="14"/>
            </w:pPr>
          </w:p>
        </w:tc>
        <w:tc>
          <w:tcPr>
            <w:tcW w:w="1474" w:type="dxa"/>
            <w:vAlign w:val="center"/>
          </w:tcPr>
          <w:p w14:paraId="101F4C1D">
            <w:pPr>
              <w:pStyle w:val="14"/>
            </w:pPr>
          </w:p>
        </w:tc>
      </w:tr>
      <w:tr w14:paraId="7B3E6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0D62C">
            <w:pPr>
              <w:pStyle w:val="12"/>
            </w:pPr>
            <w:r>
              <w:t>27</w:t>
            </w:r>
          </w:p>
        </w:tc>
        <w:tc>
          <w:tcPr>
            <w:tcW w:w="3402" w:type="dxa"/>
            <w:vAlign w:val="center"/>
          </w:tcPr>
          <w:p w14:paraId="26205A8C">
            <w:pPr>
              <w:pStyle w:val="13"/>
            </w:pPr>
          </w:p>
        </w:tc>
        <w:tc>
          <w:tcPr>
            <w:tcW w:w="1474" w:type="dxa"/>
            <w:vAlign w:val="center"/>
          </w:tcPr>
          <w:p w14:paraId="65F0F35E">
            <w:pPr>
              <w:pStyle w:val="14"/>
            </w:pPr>
          </w:p>
        </w:tc>
        <w:tc>
          <w:tcPr>
            <w:tcW w:w="3402" w:type="dxa"/>
            <w:vAlign w:val="center"/>
          </w:tcPr>
          <w:p w14:paraId="5567D53F">
            <w:pPr>
              <w:pStyle w:val="13"/>
            </w:pPr>
            <w:r>
              <w:t>二十七、债务还本支出</w:t>
            </w:r>
          </w:p>
        </w:tc>
        <w:tc>
          <w:tcPr>
            <w:tcW w:w="1474" w:type="dxa"/>
            <w:vAlign w:val="center"/>
          </w:tcPr>
          <w:p w14:paraId="2C663A33">
            <w:pPr>
              <w:pStyle w:val="14"/>
            </w:pPr>
          </w:p>
        </w:tc>
        <w:tc>
          <w:tcPr>
            <w:tcW w:w="1474" w:type="dxa"/>
            <w:vAlign w:val="center"/>
          </w:tcPr>
          <w:p w14:paraId="0F1CCD34">
            <w:pPr>
              <w:pStyle w:val="14"/>
            </w:pPr>
          </w:p>
        </w:tc>
        <w:tc>
          <w:tcPr>
            <w:tcW w:w="1474" w:type="dxa"/>
            <w:vAlign w:val="center"/>
          </w:tcPr>
          <w:p w14:paraId="13EE215E">
            <w:pPr>
              <w:pStyle w:val="14"/>
            </w:pPr>
          </w:p>
        </w:tc>
        <w:tc>
          <w:tcPr>
            <w:tcW w:w="1474" w:type="dxa"/>
            <w:vAlign w:val="center"/>
          </w:tcPr>
          <w:p w14:paraId="4DFB2368">
            <w:pPr>
              <w:pStyle w:val="14"/>
            </w:pPr>
          </w:p>
        </w:tc>
      </w:tr>
      <w:tr w14:paraId="34B17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2073C">
            <w:pPr>
              <w:pStyle w:val="12"/>
            </w:pPr>
            <w:r>
              <w:t>28</w:t>
            </w:r>
          </w:p>
        </w:tc>
        <w:tc>
          <w:tcPr>
            <w:tcW w:w="3402" w:type="dxa"/>
            <w:vAlign w:val="center"/>
          </w:tcPr>
          <w:p w14:paraId="2872E3DD">
            <w:pPr>
              <w:pStyle w:val="13"/>
            </w:pPr>
          </w:p>
        </w:tc>
        <w:tc>
          <w:tcPr>
            <w:tcW w:w="1474" w:type="dxa"/>
            <w:vAlign w:val="center"/>
          </w:tcPr>
          <w:p w14:paraId="5775FBB3">
            <w:pPr>
              <w:pStyle w:val="14"/>
            </w:pPr>
          </w:p>
        </w:tc>
        <w:tc>
          <w:tcPr>
            <w:tcW w:w="3402" w:type="dxa"/>
            <w:vAlign w:val="center"/>
          </w:tcPr>
          <w:p w14:paraId="0A8A8A02">
            <w:pPr>
              <w:pStyle w:val="13"/>
            </w:pPr>
            <w:r>
              <w:t>二十八、债务付息支出</w:t>
            </w:r>
          </w:p>
        </w:tc>
        <w:tc>
          <w:tcPr>
            <w:tcW w:w="1474" w:type="dxa"/>
            <w:vAlign w:val="center"/>
          </w:tcPr>
          <w:p w14:paraId="5A35F3E9">
            <w:pPr>
              <w:pStyle w:val="14"/>
            </w:pPr>
          </w:p>
        </w:tc>
        <w:tc>
          <w:tcPr>
            <w:tcW w:w="1474" w:type="dxa"/>
            <w:vAlign w:val="center"/>
          </w:tcPr>
          <w:p w14:paraId="27C2ED5F">
            <w:pPr>
              <w:pStyle w:val="14"/>
            </w:pPr>
          </w:p>
        </w:tc>
        <w:tc>
          <w:tcPr>
            <w:tcW w:w="1474" w:type="dxa"/>
            <w:vAlign w:val="center"/>
          </w:tcPr>
          <w:p w14:paraId="440018E6">
            <w:pPr>
              <w:pStyle w:val="14"/>
            </w:pPr>
          </w:p>
        </w:tc>
        <w:tc>
          <w:tcPr>
            <w:tcW w:w="1474" w:type="dxa"/>
            <w:vAlign w:val="center"/>
          </w:tcPr>
          <w:p w14:paraId="27D38867">
            <w:pPr>
              <w:pStyle w:val="14"/>
            </w:pPr>
          </w:p>
        </w:tc>
      </w:tr>
      <w:tr w14:paraId="17698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9849C">
            <w:pPr>
              <w:pStyle w:val="12"/>
            </w:pPr>
            <w:r>
              <w:t>29</w:t>
            </w:r>
          </w:p>
        </w:tc>
        <w:tc>
          <w:tcPr>
            <w:tcW w:w="3402" w:type="dxa"/>
            <w:vAlign w:val="center"/>
          </w:tcPr>
          <w:p w14:paraId="5DA5EDB3">
            <w:pPr>
              <w:pStyle w:val="13"/>
            </w:pPr>
          </w:p>
        </w:tc>
        <w:tc>
          <w:tcPr>
            <w:tcW w:w="1474" w:type="dxa"/>
            <w:vAlign w:val="center"/>
          </w:tcPr>
          <w:p w14:paraId="751DDAD4">
            <w:pPr>
              <w:pStyle w:val="14"/>
            </w:pPr>
          </w:p>
        </w:tc>
        <w:tc>
          <w:tcPr>
            <w:tcW w:w="3402" w:type="dxa"/>
            <w:vAlign w:val="center"/>
          </w:tcPr>
          <w:p w14:paraId="29D5DC73">
            <w:pPr>
              <w:pStyle w:val="13"/>
            </w:pPr>
            <w:r>
              <w:t>二十九、债务发行费用支出</w:t>
            </w:r>
          </w:p>
        </w:tc>
        <w:tc>
          <w:tcPr>
            <w:tcW w:w="1474" w:type="dxa"/>
            <w:vAlign w:val="center"/>
          </w:tcPr>
          <w:p w14:paraId="305BA321">
            <w:pPr>
              <w:pStyle w:val="14"/>
            </w:pPr>
          </w:p>
        </w:tc>
        <w:tc>
          <w:tcPr>
            <w:tcW w:w="1474" w:type="dxa"/>
            <w:vAlign w:val="center"/>
          </w:tcPr>
          <w:p w14:paraId="645C62DB">
            <w:pPr>
              <w:pStyle w:val="14"/>
            </w:pPr>
          </w:p>
        </w:tc>
        <w:tc>
          <w:tcPr>
            <w:tcW w:w="1474" w:type="dxa"/>
            <w:vAlign w:val="center"/>
          </w:tcPr>
          <w:p w14:paraId="6AF5FD50">
            <w:pPr>
              <w:pStyle w:val="14"/>
            </w:pPr>
          </w:p>
        </w:tc>
        <w:tc>
          <w:tcPr>
            <w:tcW w:w="1474" w:type="dxa"/>
            <w:vAlign w:val="center"/>
          </w:tcPr>
          <w:p w14:paraId="76695B96">
            <w:pPr>
              <w:pStyle w:val="14"/>
            </w:pPr>
          </w:p>
        </w:tc>
      </w:tr>
      <w:tr w14:paraId="7B6E6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81B01">
            <w:pPr>
              <w:pStyle w:val="12"/>
            </w:pPr>
            <w:r>
              <w:t>30</w:t>
            </w:r>
          </w:p>
        </w:tc>
        <w:tc>
          <w:tcPr>
            <w:tcW w:w="3402" w:type="dxa"/>
            <w:vAlign w:val="center"/>
          </w:tcPr>
          <w:p w14:paraId="5BC8DF25">
            <w:pPr>
              <w:pStyle w:val="13"/>
            </w:pPr>
          </w:p>
        </w:tc>
        <w:tc>
          <w:tcPr>
            <w:tcW w:w="1474" w:type="dxa"/>
            <w:vAlign w:val="center"/>
          </w:tcPr>
          <w:p w14:paraId="24F54338">
            <w:pPr>
              <w:pStyle w:val="14"/>
            </w:pPr>
          </w:p>
        </w:tc>
        <w:tc>
          <w:tcPr>
            <w:tcW w:w="3402" w:type="dxa"/>
            <w:vAlign w:val="center"/>
          </w:tcPr>
          <w:p w14:paraId="20A94706">
            <w:pPr>
              <w:pStyle w:val="13"/>
            </w:pPr>
            <w:r>
              <w:t>三十、抗疫特别国债安排的支出</w:t>
            </w:r>
          </w:p>
        </w:tc>
        <w:tc>
          <w:tcPr>
            <w:tcW w:w="1474" w:type="dxa"/>
            <w:vAlign w:val="center"/>
          </w:tcPr>
          <w:p w14:paraId="538CF5A6">
            <w:pPr>
              <w:pStyle w:val="14"/>
            </w:pPr>
          </w:p>
        </w:tc>
        <w:tc>
          <w:tcPr>
            <w:tcW w:w="1474" w:type="dxa"/>
            <w:vAlign w:val="center"/>
          </w:tcPr>
          <w:p w14:paraId="26371F71">
            <w:pPr>
              <w:pStyle w:val="14"/>
            </w:pPr>
          </w:p>
        </w:tc>
        <w:tc>
          <w:tcPr>
            <w:tcW w:w="1474" w:type="dxa"/>
            <w:vAlign w:val="center"/>
          </w:tcPr>
          <w:p w14:paraId="713AA21C">
            <w:pPr>
              <w:pStyle w:val="14"/>
            </w:pPr>
          </w:p>
        </w:tc>
        <w:tc>
          <w:tcPr>
            <w:tcW w:w="1474" w:type="dxa"/>
            <w:vAlign w:val="center"/>
          </w:tcPr>
          <w:p w14:paraId="0E55DD08">
            <w:pPr>
              <w:pStyle w:val="14"/>
            </w:pPr>
          </w:p>
        </w:tc>
      </w:tr>
      <w:tr w14:paraId="0DAEE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94B6B">
            <w:pPr>
              <w:pStyle w:val="12"/>
            </w:pPr>
            <w:r>
              <w:t>31</w:t>
            </w:r>
          </w:p>
        </w:tc>
        <w:tc>
          <w:tcPr>
            <w:tcW w:w="3402" w:type="dxa"/>
            <w:vAlign w:val="center"/>
          </w:tcPr>
          <w:p w14:paraId="1FEB837B">
            <w:pPr>
              <w:pStyle w:val="13"/>
            </w:pPr>
          </w:p>
        </w:tc>
        <w:tc>
          <w:tcPr>
            <w:tcW w:w="1474" w:type="dxa"/>
            <w:vAlign w:val="center"/>
          </w:tcPr>
          <w:p w14:paraId="0ED66955">
            <w:pPr>
              <w:pStyle w:val="14"/>
            </w:pPr>
          </w:p>
        </w:tc>
        <w:tc>
          <w:tcPr>
            <w:tcW w:w="3402" w:type="dxa"/>
            <w:vAlign w:val="center"/>
          </w:tcPr>
          <w:p w14:paraId="1CCA72A3">
            <w:pPr>
              <w:pStyle w:val="13"/>
            </w:pPr>
            <w:r>
              <w:t>三十一、人行科目</w:t>
            </w:r>
          </w:p>
        </w:tc>
        <w:tc>
          <w:tcPr>
            <w:tcW w:w="1474" w:type="dxa"/>
            <w:vAlign w:val="center"/>
          </w:tcPr>
          <w:p w14:paraId="107DE761">
            <w:pPr>
              <w:pStyle w:val="14"/>
            </w:pPr>
          </w:p>
        </w:tc>
        <w:tc>
          <w:tcPr>
            <w:tcW w:w="1474" w:type="dxa"/>
            <w:vAlign w:val="center"/>
          </w:tcPr>
          <w:p w14:paraId="236867FB">
            <w:pPr>
              <w:pStyle w:val="14"/>
            </w:pPr>
          </w:p>
        </w:tc>
        <w:tc>
          <w:tcPr>
            <w:tcW w:w="1474" w:type="dxa"/>
            <w:vAlign w:val="center"/>
          </w:tcPr>
          <w:p w14:paraId="282A2BF1">
            <w:pPr>
              <w:pStyle w:val="14"/>
            </w:pPr>
          </w:p>
        </w:tc>
        <w:tc>
          <w:tcPr>
            <w:tcW w:w="1474" w:type="dxa"/>
            <w:vAlign w:val="center"/>
          </w:tcPr>
          <w:p w14:paraId="478122EF">
            <w:pPr>
              <w:pStyle w:val="14"/>
            </w:pPr>
          </w:p>
        </w:tc>
      </w:tr>
      <w:tr w14:paraId="00A42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BDFE7">
            <w:pPr>
              <w:pStyle w:val="12"/>
            </w:pPr>
            <w:r>
              <w:t>32</w:t>
            </w:r>
          </w:p>
        </w:tc>
        <w:tc>
          <w:tcPr>
            <w:tcW w:w="3402" w:type="dxa"/>
            <w:vAlign w:val="center"/>
          </w:tcPr>
          <w:p w14:paraId="7BBAB67B">
            <w:pPr>
              <w:pStyle w:val="15"/>
            </w:pPr>
            <w:r>
              <w:t>本年收入合计</w:t>
            </w:r>
          </w:p>
        </w:tc>
        <w:tc>
          <w:tcPr>
            <w:tcW w:w="1474" w:type="dxa"/>
            <w:vAlign w:val="center"/>
          </w:tcPr>
          <w:p w14:paraId="45436A97">
            <w:pPr>
              <w:pStyle w:val="16"/>
            </w:pPr>
            <w:r>
              <w:t>10499.51</w:t>
            </w:r>
          </w:p>
        </w:tc>
        <w:tc>
          <w:tcPr>
            <w:tcW w:w="3402" w:type="dxa"/>
            <w:vAlign w:val="center"/>
          </w:tcPr>
          <w:p w14:paraId="2C2C3FD5">
            <w:pPr>
              <w:pStyle w:val="15"/>
            </w:pPr>
            <w:r>
              <w:t>本年支出合计</w:t>
            </w:r>
          </w:p>
        </w:tc>
        <w:tc>
          <w:tcPr>
            <w:tcW w:w="1474" w:type="dxa"/>
            <w:vAlign w:val="center"/>
          </w:tcPr>
          <w:p w14:paraId="1BAFCE8C">
            <w:pPr>
              <w:pStyle w:val="16"/>
              <w:rPr>
                <w:rFonts w:hint="eastAsia" w:eastAsia="方正书宋_GBK"/>
                <w:lang w:eastAsia="zh-CN"/>
              </w:rPr>
            </w:pPr>
            <w:r>
              <w:t>10998.8</w:t>
            </w:r>
            <w:r>
              <w:rPr>
                <w:rFonts w:hint="eastAsia"/>
                <w:lang w:val="en-US" w:eastAsia="zh-CN"/>
              </w:rPr>
              <w:t>1</w:t>
            </w:r>
          </w:p>
        </w:tc>
        <w:tc>
          <w:tcPr>
            <w:tcW w:w="1474" w:type="dxa"/>
            <w:vAlign w:val="center"/>
          </w:tcPr>
          <w:p w14:paraId="0B1BB2CF">
            <w:pPr>
              <w:pStyle w:val="16"/>
              <w:rPr>
                <w:rFonts w:hint="eastAsia" w:eastAsia="方正书宋_GBK"/>
                <w:lang w:eastAsia="zh-CN"/>
              </w:rPr>
            </w:pPr>
            <w:r>
              <w:t>10998.8</w:t>
            </w:r>
            <w:r>
              <w:rPr>
                <w:rFonts w:hint="eastAsia"/>
                <w:lang w:val="en-US" w:eastAsia="zh-CN"/>
              </w:rPr>
              <w:t>1</w:t>
            </w:r>
          </w:p>
        </w:tc>
        <w:tc>
          <w:tcPr>
            <w:tcW w:w="1474" w:type="dxa"/>
            <w:vAlign w:val="center"/>
          </w:tcPr>
          <w:p w14:paraId="5F840DC2">
            <w:pPr>
              <w:pStyle w:val="16"/>
            </w:pPr>
          </w:p>
        </w:tc>
        <w:tc>
          <w:tcPr>
            <w:tcW w:w="1474" w:type="dxa"/>
            <w:vAlign w:val="center"/>
          </w:tcPr>
          <w:p w14:paraId="65FBCFA1">
            <w:pPr>
              <w:pStyle w:val="16"/>
            </w:pPr>
          </w:p>
        </w:tc>
      </w:tr>
      <w:tr w14:paraId="541E9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B82CF">
            <w:pPr>
              <w:pStyle w:val="12"/>
            </w:pPr>
            <w:r>
              <w:t>33</w:t>
            </w:r>
          </w:p>
        </w:tc>
        <w:tc>
          <w:tcPr>
            <w:tcW w:w="3402" w:type="dxa"/>
            <w:vAlign w:val="center"/>
          </w:tcPr>
          <w:p w14:paraId="50B686B6">
            <w:pPr>
              <w:pStyle w:val="13"/>
            </w:pPr>
            <w:r>
              <w:t>年初财政拨款结转和结余</w:t>
            </w:r>
          </w:p>
        </w:tc>
        <w:tc>
          <w:tcPr>
            <w:tcW w:w="1474" w:type="dxa"/>
            <w:vAlign w:val="center"/>
          </w:tcPr>
          <w:p w14:paraId="1ECA6898">
            <w:pPr>
              <w:pStyle w:val="14"/>
            </w:pPr>
            <w:r>
              <w:t>499.30</w:t>
            </w:r>
          </w:p>
        </w:tc>
        <w:tc>
          <w:tcPr>
            <w:tcW w:w="3402" w:type="dxa"/>
            <w:vAlign w:val="center"/>
          </w:tcPr>
          <w:p w14:paraId="73F8D879">
            <w:pPr>
              <w:pStyle w:val="13"/>
            </w:pPr>
            <w:r>
              <w:t>年末财政拨款结转和结余</w:t>
            </w:r>
          </w:p>
        </w:tc>
        <w:tc>
          <w:tcPr>
            <w:tcW w:w="1474" w:type="dxa"/>
            <w:vAlign w:val="center"/>
          </w:tcPr>
          <w:p w14:paraId="3C0CCF87">
            <w:pPr>
              <w:pStyle w:val="14"/>
            </w:pPr>
          </w:p>
        </w:tc>
        <w:tc>
          <w:tcPr>
            <w:tcW w:w="1474" w:type="dxa"/>
            <w:vAlign w:val="center"/>
          </w:tcPr>
          <w:p w14:paraId="600A3716">
            <w:pPr>
              <w:pStyle w:val="14"/>
            </w:pPr>
          </w:p>
        </w:tc>
        <w:tc>
          <w:tcPr>
            <w:tcW w:w="1474" w:type="dxa"/>
            <w:vAlign w:val="center"/>
          </w:tcPr>
          <w:p w14:paraId="78B66336">
            <w:pPr>
              <w:pStyle w:val="14"/>
            </w:pPr>
          </w:p>
        </w:tc>
        <w:tc>
          <w:tcPr>
            <w:tcW w:w="1474" w:type="dxa"/>
            <w:vAlign w:val="center"/>
          </w:tcPr>
          <w:p w14:paraId="05CC2DE2">
            <w:pPr>
              <w:pStyle w:val="14"/>
            </w:pPr>
          </w:p>
        </w:tc>
      </w:tr>
      <w:tr w14:paraId="39C2A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94765">
            <w:pPr>
              <w:pStyle w:val="12"/>
            </w:pPr>
            <w:r>
              <w:t>34</w:t>
            </w:r>
          </w:p>
        </w:tc>
        <w:tc>
          <w:tcPr>
            <w:tcW w:w="3402" w:type="dxa"/>
            <w:vAlign w:val="center"/>
          </w:tcPr>
          <w:p w14:paraId="7F270261">
            <w:pPr>
              <w:pStyle w:val="13"/>
            </w:pPr>
            <w:r>
              <w:t>一、一般公共预算拨款</w:t>
            </w:r>
          </w:p>
        </w:tc>
        <w:tc>
          <w:tcPr>
            <w:tcW w:w="1474" w:type="dxa"/>
            <w:vAlign w:val="center"/>
          </w:tcPr>
          <w:p w14:paraId="276A387C">
            <w:pPr>
              <w:pStyle w:val="14"/>
            </w:pPr>
            <w:r>
              <w:t>499.30</w:t>
            </w:r>
          </w:p>
        </w:tc>
        <w:tc>
          <w:tcPr>
            <w:tcW w:w="3402" w:type="dxa"/>
            <w:vAlign w:val="center"/>
          </w:tcPr>
          <w:p w14:paraId="273791EA">
            <w:pPr>
              <w:pStyle w:val="13"/>
            </w:pPr>
          </w:p>
        </w:tc>
        <w:tc>
          <w:tcPr>
            <w:tcW w:w="1474" w:type="dxa"/>
            <w:vAlign w:val="center"/>
          </w:tcPr>
          <w:p w14:paraId="0D9BAC3F">
            <w:pPr>
              <w:pStyle w:val="14"/>
            </w:pPr>
          </w:p>
        </w:tc>
        <w:tc>
          <w:tcPr>
            <w:tcW w:w="1474" w:type="dxa"/>
            <w:vAlign w:val="center"/>
          </w:tcPr>
          <w:p w14:paraId="1F148D7C">
            <w:pPr>
              <w:pStyle w:val="14"/>
            </w:pPr>
          </w:p>
        </w:tc>
        <w:tc>
          <w:tcPr>
            <w:tcW w:w="1474" w:type="dxa"/>
            <w:vAlign w:val="center"/>
          </w:tcPr>
          <w:p w14:paraId="097B59A4">
            <w:pPr>
              <w:pStyle w:val="14"/>
            </w:pPr>
          </w:p>
        </w:tc>
        <w:tc>
          <w:tcPr>
            <w:tcW w:w="1474" w:type="dxa"/>
            <w:vAlign w:val="center"/>
          </w:tcPr>
          <w:p w14:paraId="0916D7F2">
            <w:pPr>
              <w:pStyle w:val="14"/>
            </w:pPr>
          </w:p>
        </w:tc>
      </w:tr>
      <w:tr w14:paraId="153EC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B7FDF">
            <w:pPr>
              <w:pStyle w:val="12"/>
            </w:pPr>
            <w:r>
              <w:t>35</w:t>
            </w:r>
          </w:p>
        </w:tc>
        <w:tc>
          <w:tcPr>
            <w:tcW w:w="3402" w:type="dxa"/>
            <w:vAlign w:val="center"/>
          </w:tcPr>
          <w:p w14:paraId="053AB1D8">
            <w:pPr>
              <w:pStyle w:val="13"/>
            </w:pPr>
            <w:r>
              <w:t>二、政府性基金预算拨款</w:t>
            </w:r>
          </w:p>
        </w:tc>
        <w:tc>
          <w:tcPr>
            <w:tcW w:w="1474" w:type="dxa"/>
            <w:vAlign w:val="center"/>
          </w:tcPr>
          <w:p w14:paraId="36AA423F">
            <w:pPr>
              <w:pStyle w:val="14"/>
            </w:pPr>
          </w:p>
        </w:tc>
        <w:tc>
          <w:tcPr>
            <w:tcW w:w="3402" w:type="dxa"/>
            <w:vAlign w:val="center"/>
          </w:tcPr>
          <w:p w14:paraId="22BA37E3">
            <w:pPr>
              <w:pStyle w:val="13"/>
            </w:pPr>
          </w:p>
        </w:tc>
        <w:tc>
          <w:tcPr>
            <w:tcW w:w="1474" w:type="dxa"/>
            <w:vAlign w:val="center"/>
          </w:tcPr>
          <w:p w14:paraId="13E6DC30">
            <w:pPr>
              <w:pStyle w:val="14"/>
            </w:pPr>
          </w:p>
        </w:tc>
        <w:tc>
          <w:tcPr>
            <w:tcW w:w="1474" w:type="dxa"/>
            <w:vAlign w:val="center"/>
          </w:tcPr>
          <w:p w14:paraId="3B19C828">
            <w:pPr>
              <w:pStyle w:val="14"/>
            </w:pPr>
          </w:p>
        </w:tc>
        <w:tc>
          <w:tcPr>
            <w:tcW w:w="1474" w:type="dxa"/>
            <w:vAlign w:val="center"/>
          </w:tcPr>
          <w:p w14:paraId="5E432A1F">
            <w:pPr>
              <w:pStyle w:val="14"/>
            </w:pPr>
          </w:p>
        </w:tc>
        <w:tc>
          <w:tcPr>
            <w:tcW w:w="1474" w:type="dxa"/>
            <w:vAlign w:val="center"/>
          </w:tcPr>
          <w:p w14:paraId="60BD0BD8">
            <w:pPr>
              <w:pStyle w:val="14"/>
            </w:pPr>
          </w:p>
        </w:tc>
      </w:tr>
      <w:tr w14:paraId="16626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2920F">
            <w:pPr>
              <w:pStyle w:val="12"/>
            </w:pPr>
            <w:r>
              <w:t>36</w:t>
            </w:r>
          </w:p>
        </w:tc>
        <w:tc>
          <w:tcPr>
            <w:tcW w:w="3402" w:type="dxa"/>
            <w:vAlign w:val="center"/>
          </w:tcPr>
          <w:p w14:paraId="4E37DFAD">
            <w:pPr>
              <w:pStyle w:val="13"/>
            </w:pPr>
            <w:r>
              <w:t>三、国有资本经营预算拨款</w:t>
            </w:r>
          </w:p>
        </w:tc>
        <w:tc>
          <w:tcPr>
            <w:tcW w:w="1474" w:type="dxa"/>
            <w:vAlign w:val="center"/>
          </w:tcPr>
          <w:p w14:paraId="74A4A66A">
            <w:pPr>
              <w:pStyle w:val="14"/>
            </w:pPr>
          </w:p>
        </w:tc>
        <w:tc>
          <w:tcPr>
            <w:tcW w:w="3402" w:type="dxa"/>
            <w:vAlign w:val="center"/>
          </w:tcPr>
          <w:p w14:paraId="0023704E">
            <w:pPr>
              <w:pStyle w:val="13"/>
            </w:pPr>
          </w:p>
        </w:tc>
        <w:tc>
          <w:tcPr>
            <w:tcW w:w="1474" w:type="dxa"/>
            <w:vAlign w:val="center"/>
          </w:tcPr>
          <w:p w14:paraId="722BE196">
            <w:pPr>
              <w:pStyle w:val="14"/>
            </w:pPr>
          </w:p>
        </w:tc>
        <w:tc>
          <w:tcPr>
            <w:tcW w:w="1474" w:type="dxa"/>
            <w:vAlign w:val="center"/>
          </w:tcPr>
          <w:p w14:paraId="1B3047D9">
            <w:pPr>
              <w:pStyle w:val="14"/>
            </w:pPr>
          </w:p>
        </w:tc>
        <w:tc>
          <w:tcPr>
            <w:tcW w:w="1474" w:type="dxa"/>
            <w:vAlign w:val="center"/>
          </w:tcPr>
          <w:p w14:paraId="01D4C5FC">
            <w:pPr>
              <w:pStyle w:val="14"/>
            </w:pPr>
          </w:p>
        </w:tc>
        <w:tc>
          <w:tcPr>
            <w:tcW w:w="1474" w:type="dxa"/>
            <w:vAlign w:val="center"/>
          </w:tcPr>
          <w:p w14:paraId="494C42B7">
            <w:pPr>
              <w:pStyle w:val="14"/>
            </w:pPr>
          </w:p>
        </w:tc>
      </w:tr>
      <w:tr w14:paraId="74549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30186">
            <w:pPr>
              <w:pStyle w:val="12"/>
            </w:pPr>
            <w:r>
              <w:t>37</w:t>
            </w:r>
          </w:p>
        </w:tc>
        <w:tc>
          <w:tcPr>
            <w:tcW w:w="3402" w:type="dxa"/>
            <w:vAlign w:val="center"/>
          </w:tcPr>
          <w:p w14:paraId="236F8C66">
            <w:pPr>
              <w:pStyle w:val="15"/>
            </w:pPr>
            <w:r>
              <w:t>收入总计</w:t>
            </w:r>
          </w:p>
        </w:tc>
        <w:tc>
          <w:tcPr>
            <w:tcW w:w="1474" w:type="dxa"/>
            <w:vAlign w:val="center"/>
          </w:tcPr>
          <w:p w14:paraId="2BAADE7A">
            <w:pPr>
              <w:pStyle w:val="16"/>
              <w:rPr>
                <w:rFonts w:hint="eastAsia" w:eastAsia="方正书宋_GBK"/>
                <w:lang w:eastAsia="zh-CN"/>
              </w:rPr>
            </w:pPr>
            <w:r>
              <w:t>10998.8</w:t>
            </w:r>
            <w:r>
              <w:rPr>
                <w:rFonts w:hint="eastAsia"/>
                <w:lang w:val="en-US" w:eastAsia="zh-CN"/>
              </w:rPr>
              <w:t>1</w:t>
            </w:r>
          </w:p>
        </w:tc>
        <w:tc>
          <w:tcPr>
            <w:tcW w:w="3402" w:type="dxa"/>
            <w:vAlign w:val="center"/>
          </w:tcPr>
          <w:p w14:paraId="6ED88360">
            <w:pPr>
              <w:pStyle w:val="15"/>
            </w:pPr>
            <w:r>
              <w:t>支出总计</w:t>
            </w:r>
          </w:p>
        </w:tc>
        <w:tc>
          <w:tcPr>
            <w:tcW w:w="1474" w:type="dxa"/>
            <w:vAlign w:val="center"/>
          </w:tcPr>
          <w:p w14:paraId="2B50E615">
            <w:pPr>
              <w:pStyle w:val="16"/>
              <w:rPr>
                <w:rFonts w:hint="eastAsia" w:eastAsia="方正书宋_GBK"/>
                <w:lang w:eastAsia="zh-CN"/>
              </w:rPr>
            </w:pPr>
            <w:r>
              <w:t>10998.8</w:t>
            </w:r>
            <w:r>
              <w:rPr>
                <w:rFonts w:hint="eastAsia"/>
                <w:lang w:val="en-US" w:eastAsia="zh-CN"/>
              </w:rPr>
              <w:t>1</w:t>
            </w:r>
          </w:p>
        </w:tc>
        <w:tc>
          <w:tcPr>
            <w:tcW w:w="1474" w:type="dxa"/>
            <w:vAlign w:val="center"/>
          </w:tcPr>
          <w:p w14:paraId="37C381D7">
            <w:pPr>
              <w:pStyle w:val="16"/>
              <w:rPr>
                <w:rFonts w:hint="eastAsia" w:eastAsia="方正书宋_GBK"/>
                <w:lang w:eastAsia="zh-CN"/>
              </w:rPr>
            </w:pPr>
            <w:r>
              <w:t>10998.8</w:t>
            </w:r>
            <w:r>
              <w:rPr>
                <w:rFonts w:hint="eastAsia"/>
                <w:lang w:val="en-US" w:eastAsia="zh-CN"/>
              </w:rPr>
              <w:t>1</w:t>
            </w:r>
          </w:p>
        </w:tc>
        <w:tc>
          <w:tcPr>
            <w:tcW w:w="1474" w:type="dxa"/>
            <w:vAlign w:val="center"/>
          </w:tcPr>
          <w:p w14:paraId="4D229267">
            <w:pPr>
              <w:pStyle w:val="16"/>
            </w:pPr>
          </w:p>
        </w:tc>
        <w:tc>
          <w:tcPr>
            <w:tcW w:w="1474" w:type="dxa"/>
            <w:vAlign w:val="center"/>
          </w:tcPr>
          <w:p w14:paraId="48E0C264">
            <w:pPr>
              <w:pStyle w:val="16"/>
            </w:pPr>
          </w:p>
        </w:tc>
      </w:tr>
    </w:tbl>
    <w:p w14:paraId="4A31BFEA">
      <w:pPr>
        <w:sectPr>
          <w:pgSz w:w="16840" w:h="11900" w:orient="landscape"/>
          <w:pgMar w:top="1361" w:right="1020" w:bottom="1134" w:left="1020" w:header="720" w:footer="720" w:gutter="0"/>
          <w:cols w:space="720" w:num="1"/>
        </w:sectPr>
      </w:pPr>
    </w:p>
    <w:p w14:paraId="6A1CE7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000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A598B8">
            <w:pPr>
              <w:pStyle w:val="8"/>
            </w:pPr>
            <w:r>
              <w:t>360001隆尧县教育局本级</w:t>
            </w:r>
          </w:p>
        </w:tc>
        <w:tc>
          <w:tcPr>
            <w:tcW w:w="2551" w:type="dxa"/>
            <w:tcBorders>
              <w:top w:val="single" w:color="FFFFFF" w:sz="6" w:space="0"/>
              <w:left w:val="single" w:color="FFFFFF" w:sz="6" w:space="0"/>
              <w:right w:val="single" w:color="FFFFFF" w:sz="6" w:space="0"/>
            </w:tcBorders>
            <w:vAlign w:val="center"/>
          </w:tcPr>
          <w:p w14:paraId="355698D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26F3642">
            <w:pPr>
              <w:pStyle w:val="10"/>
            </w:pPr>
            <w:r>
              <w:t>单位：万元</w:t>
            </w:r>
          </w:p>
        </w:tc>
      </w:tr>
      <w:tr w14:paraId="50E7B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B71C0D">
            <w:pPr>
              <w:pStyle w:val="11"/>
            </w:pPr>
            <w:r>
              <w:t>序号</w:t>
            </w:r>
          </w:p>
        </w:tc>
        <w:tc>
          <w:tcPr>
            <w:tcW w:w="5726" w:type="dxa"/>
            <w:gridSpan w:val="2"/>
            <w:vAlign w:val="center"/>
          </w:tcPr>
          <w:p w14:paraId="47BF9F9E">
            <w:pPr>
              <w:pStyle w:val="11"/>
            </w:pPr>
            <w:r>
              <w:t>功能分类科目</w:t>
            </w:r>
          </w:p>
        </w:tc>
        <w:tc>
          <w:tcPr>
            <w:tcW w:w="2551" w:type="dxa"/>
            <w:vMerge w:val="restart"/>
            <w:vAlign w:val="center"/>
          </w:tcPr>
          <w:p w14:paraId="6BF66A14">
            <w:pPr>
              <w:pStyle w:val="11"/>
            </w:pPr>
            <w:r>
              <w:t>合计</w:t>
            </w:r>
          </w:p>
        </w:tc>
        <w:tc>
          <w:tcPr>
            <w:tcW w:w="2551" w:type="dxa"/>
            <w:vMerge w:val="restart"/>
            <w:vAlign w:val="center"/>
          </w:tcPr>
          <w:p w14:paraId="302D022C">
            <w:pPr>
              <w:pStyle w:val="11"/>
            </w:pPr>
            <w:r>
              <w:t>基本支出</w:t>
            </w:r>
          </w:p>
        </w:tc>
        <w:tc>
          <w:tcPr>
            <w:tcW w:w="2551" w:type="dxa"/>
            <w:vMerge w:val="restart"/>
            <w:vAlign w:val="center"/>
          </w:tcPr>
          <w:p w14:paraId="1D72F40D">
            <w:pPr>
              <w:pStyle w:val="11"/>
            </w:pPr>
            <w:r>
              <w:t>项目支出</w:t>
            </w:r>
          </w:p>
        </w:tc>
      </w:tr>
      <w:tr w14:paraId="0109B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C2EBB8"/>
        </w:tc>
        <w:tc>
          <w:tcPr>
            <w:tcW w:w="1191" w:type="dxa"/>
            <w:vAlign w:val="center"/>
          </w:tcPr>
          <w:p w14:paraId="7F11441E">
            <w:pPr>
              <w:pStyle w:val="11"/>
            </w:pPr>
            <w:r>
              <w:t>科目编码</w:t>
            </w:r>
          </w:p>
        </w:tc>
        <w:tc>
          <w:tcPr>
            <w:tcW w:w="4535" w:type="dxa"/>
            <w:vAlign w:val="center"/>
          </w:tcPr>
          <w:p w14:paraId="431A2B4A">
            <w:pPr>
              <w:pStyle w:val="11"/>
            </w:pPr>
            <w:r>
              <w:t>科目名称</w:t>
            </w:r>
          </w:p>
        </w:tc>
        <w:tc>
          <w:tcPr>
            <w:tcW w:w="2551" w:type="dxa"/>
            <w:vMerge w:val="continue"/>
          </w:tcPr>
          <w:p w14:paraId="4FC5291E"/>
        </w:tc>
        <w:tc>
          <w:tcPr>
            <w:tcW w:w="2551" w:type="dxa"/>
            <w:vMerge w:val="continue"/>
          </w:tcPr>
          <w:p w14:paraId="76E21E71"/>
        </w:tc>
        <w:tc>
          <w:tcPr>
            <w:tcW w:w="2551" w:type="dxa"/>
            <w:vMerge w:val="continue"/>
          </w:tcPr>
          <w:p w14:paraId="2919DCC2"/>
        </w:tc>
      </w:tr>
      <w:tr w14:paraId="13F01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6B9E67">
            <w:pPr>
              <w:pStyle w:val="11"/>
            </w:pPr>
            <w:r>
              <w:t>栏次</w:t>
            </w:r>
          </w:p>
        </w:tc>
        <w:tc>
          <w:tcPr>
            <w:tcW w:w="1191" w:type="dxa"/>
            <w:vAlign w:val="center"/>
          </w:tcPr>
          <w:p w14:paraId="1789F5D3">
            <w:pPr>
              <w:pStyle w:val="11"/>
            </w:pPr>
            <w:r>
              <w:t>1</w:t>
            </w:r>
          </w:p>
        </w:tc>
        <w:tc>
          <w:tcPr>
            <w:tcW w:w="4535" w:type="dxa"/>
            <w:vAlign w:val="center"/>
          </w:tcPr>
          <w:p w14:paraId="7F5494C0">
            <w:pPr>
              <w:pStyle w:val="11"/>
            </w:pPr>
            <w:r>
              <w:t>2</w:t>
            </w:r>
          </w:p>
        </w:tc>
        <w:tc>
          <w:tcPr>
            <w:tcW w:w="2551" w:type="dxa"/>
            <w:vAlign w:val="center"/>
          </w:tcPr>
          <w:p w14:paraId="61B0B17B">
            <w:pPr>
              <w:pStyle w:val="11"/>
            </w:pPr>
            <w:r>
              <w:t>3</w:t>
            </w:r>
          </w:p>
        </w:tc>
        <w:tc>
          <w:tcPr>
            <w:tcW w:w="2551" w:type="dxa"/>
            <w:vAlign w:val="center"/>
          </w:tcPr>
          <w:p w14:paraId="002F41CD">
            <w:pPr>
              <w:pStyle w:val="11"/>
            </w:pPr>
            <w:r>
              <w:t>4</w:t>
            </w:r>
          </w:p>
        </w:tc>
        <w:tc>
          <w:tcPr>
            <w:tcW w:w="2551" w:type="dxa"/>
            <w:vAlign w:val="center"/>
          </w:tcPr>
          <w:p w14:paraId="173D19F1">
            <w:pPr>
              <w:pStyle w:val="11"/>
            </w:pPr>
            <w:r>
              <w:t>5</w:t>
            </w:r>
          </w:p>
        </w:tc>
      </w:tr>
      <w:tr w14:paraId="434F3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DC11C">
            <w:pPr>
              <w:pStyle w:val="12"/>
            </w:pPr>
            <w:r>
              <w:t>1</w:t>
            </w:r>
          </w:p>
        </w:tc>
        <w:tc>
          <w:tcPr>
            <w:tcW w:w="1191" w:type="dxa"/>
            <w:vAlign w:val="center"/>
          </w:tcPr>
          <w:p w14:paraId="72F88D4D">
            <w:pPr>
              <w:pStyle w:val="17"/>
            </w:pPr>
          </w:p>
        </w:tc>
        <w:tc>
          <w:tcPr>
            <w:tcW w:w="4535" w:type="dxa"/>
            <w:vAlign w:val="center"/>
          </w:tcPr>
          <w:p w14:paraId="7704468B">
            <w:pPr>
              <w:pStyle w:val="15"/>
            </w:pPr>
            <w:r>
              <w:t>合计</w:t>
            </w:r>
          </w:p>
        </w:tc>
        <w:tc>
          <w:tcPr>
            <w:tcW w:w="2551" w:type="dxa"/>
            <w:vAlign w:val="center"/>
          </w:tcPr>
          <w:p w14:paraId="2413A562">
            <w:pPr>
              <w:pStyle w:val="16"/>
              <w:rPr>
                <w:rFonts w:hint="eastAsia" w:eastAsia="方正书宋_GBK"/>
                <w:lang w:eastAsia="zh-CN"/>
              </w:rPr>
            </w:pPr>
            <w:r>
              <w:t>10998.8</w:t>
            </w:r>
            <w:r>
              <w:rPr>
                <w:rFonts w:hint="eastAsia"/>
                <w:lang w:val="en-US" w:eastAsia="zh-CN"/>
              </w:rPr>
              <w:t>1</w:t>
            </w:r>
          </w:p>
        </w:tc>
        <w:tc>
          <w:tcPr>
            <w:tcW w:w="2551" w:type="dxa"/>
            <w:vAlign w:val="center"/>
          </w:tcPr>
          <w:p w14:paraId="54102A4E">
            <w:pPr>
              <w:pStyle w:val="16"/>
            </w:pPr>
            <w:r>
              <w:t>3863.33</w:t>
            </w:r>
          </w:p>
        </w:tc>
        <w:tc>
          <w:tcPr>
            <w:tcW w:w="2551" w:type="dxa"/>
            <w:vAlign w:val="center"/>
          </w:tcPr>
          <w:p w14:paraId="5B7B0EEC">
            <w:pPr>
              <w:pStyle w:val="16"/>
            </w:pPr>
            <w:r>
              <w:t>7135.48</w:t>
            </w:r>
          </w:p>
        </w:tc>
      </w:tr>
      <w:tr w14:paraId="46936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51120">
            <w:pPr>
              <w:pStyle w:val="12"/>
            </w:pPr>
            <w:r>
              <w:t>2</w:t>
            </w:r>
          </w:p>
        </w:tc>
        <w:tc>
          <w:tcPr>
            <w:tcW w:w="1191" w:type="dxa"/>
            <w:vAlign w:val="center"/>
          </w:tcPr>
          <w:p w14:paraId="56EF821F">
            <w:pPr>
              <w:pStyle w:val="13"/>
            </w:pPr>
            <w:r>
              <w:t>205</w:t>
            </w:r>
          </w:p>
        </w:tc>
        <w:tc>
          <w:tcPr>
            <w:tcW w:w="4535" w:type="dxa"/>
            <w:vAlign w:val="center"/>
          </w:tcPr>
          <w:p w14:paraId="61717281">
            <w:pPr>
              <w:pStyle w:val="13"/>
            </w:pPr>
            <w:r>
              <w:t>教育支出</w:t>
            </w:r>
          </w:p>
        </w:tc>
        <w:tc>
          <w:tcPr>
            <w:tcW w:w="2551" w:type="dxa"/>
            <w:vAlign w:val="center"/>
          </w:tcPr>
          <w:p w14:paraId="068A45FA">
            <w:pPr>
              <w:pStyle w:val="14"/>
            </w:pPr>
            <w:r>
              <w:t>9056.30</w:t>
            </w:r>
          </w:p>
        </w:tc>
        <w:tc>
          <w:tcPr>
            <w:tcW w:w="2551" w:type="dxa"/>
            <w:vAlign w:val="center"/>
          </w:tcPr>
          <w:p w14:paraId="7A8F439E">
            <w:pPr>
              <w:pStyle w:val="14"/>
            </w:pPr>
            <w:r>
              <w:t>1920.83</w:t>
            </w:r>
          </w:p>
        </w:tc>
        <w:tc>
          <w:tcPr>
            <w:tcW w:w="2551" w:type="dxa"/>
            <w:vAlign w:val="center"/>
          </w:tcPr>
          <w:p w14:paraId="2909547A">
            <w:pPr>
              <w:pStyle w:val="14"/>
            </w:pPr>
            <w:r>
              <w:t>7135.48</w:t>
            </w:r>
          </w:p>
        </w:tc>
      </w:tr>
      <w:tr w14:paraId="2E6D3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E1F3B">
            <w:pPr>
              <w:pStyle w:val="12"/>
            </w:pPr>
            <w:r>
              <w:t>3</w:t>
            </w:r>
          </w:p>
        </w:tc>
        <w:tc>
          <w:tcPr>
            <w:tcW w:w="1191" w:type="dxa"/>
            <w:vAlign w:val="center"/>
          </w:tcPr>
          <w:p w14:paraId="5531F31A">
            <w:pPr>
              <w:pStyle w:val="13"/>
            </w:pPr>
            <w:r>
              <w:t>20501</w:t>
            </w:r>
          </w:p>
        </w:tc>
        <w:tc>
          <w:tcPr>
            <w:tcW w:w="4535" w:type="dxa"/>
            <w:vAlign w:val="center"/>
          </w:tcPr>
          <w:p w14:paraId="4E5EA321">
            <w:pPr>
              <w:pStyle w:val="13"/>
            </w:pPr>
            <w:r>
              <w:t>教育管理事务</w:t>
            </w:r>
          </w:p>
        </w:tc>
        <w:tc>
          <w:tcPr>
            <w:tcW w:w="2551" w:type="dxa"/>
            <w:vAlign w:val="center"/>
          </w:tcPr>
          <w:p w14:paraId="0A8D4C15">
            <w:pPr>
              <w:pStyle w:val="14"/>
            </w:pPr>
            <w:r>
              <w:t>1920.83</w:t>
            </w:r>
          </w:p>
        </w:tc>
        <w:tc>
          <w:tcPr>
            <w:tcW w:w="2551" w:type="dxa"/>
            <w:vAlign w:val="center"/>
          </w:tcPr>
          <w:p w14:paraId="23F82C0C">
            <w:pPr>
              <w:pStyle w:val="14"/>
            </w:pPr>
            <w:r>
              <w:t>1920.83</w:t>
            </w:r>
          </w:p>
        </w:tc>
        <w:tc>
          <w:tcPr>
            <w:tcW w:w="2551" w:type="dxa"/>
            <w:vAlign w:val="center"/>
          </w:tcPr>
          <w:p w14:paraId="2FF1CB71">
            <w:pPr>
              <w:pStyle w:val="14"/>
            </w:pPr>
          </w:p>
        </w:tc>
      </w:tr>
      <w:tr w14:paraId="399CC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11EFB">
            <w:pPr>
              <w:pStyle w:val="12"/>
            </w:pPr>
            <w:r>
              <w:t>4</w:t>
            </w:r>
          </w:p>
        </w:tc>
        <w:tc>
          <w:tcPr>
            <w:tcW w:w="1191" w:type="dxa"/>
            <w:vAlign w:val="center"/>
          </w:tcPr>
          <w:p w14:paraId="60B2ACD3">
            <w:pPr>
              <w:pStyle w:val="13"/>
            </w:pPr>
            <w:r>
              <w:t>2050101</w:t>
            </w:r>
          </w:p>
        </w:tc>
        <w:tc>
          <w:tcPr>
            <w:tcW w:w="4535" w:type="dxa"/>
            <w:vAlign w:val="center"/>
          </w:tcPr>
          <w:p w14:paraId="6FF2480C">
            <w:pPr>
              <w:pStyle w:val="13"/>
            </w:pPr>
            <w:r>
              <w:t>行政运行</w:t>
            </w:r>
          </w:p>
        </w:tc>
        <w:tc>
          <w:tcPr>
            <w:tcW w:w="2551" w:type="dxa"/>
            <w:vAlign w:val="center"/>
          </w:tcPr>
          <w:p w14:paraId="20284AF1">
            <w:pPr>
              <w:pStyle w:val="14"/>
            </w:pPr>
            <w:r>
              <w:t>1920.83</w:t>
            </w:r>
          </w:p>
        </w:tc>
        <w:tc>
          <w:tcPr>
            <w:tcW w:w="2551" w:type="dxa"/>
            <w:vAlign w:val="center"/>
          </w:tcPr>
          <w:p w14:paraId="6CF284DF">
            <w:pPr>
              <w:pStyle w:val="14"/>
            </w:pPr>
            <w:r>
              <w:t>1920.83</w:t>
            </w:r>
          </w:p>
        </w:tc>
        <w:tc>
          <w:tcPr>
            <w:tcW w:w="2551" w:type="dxa"/>
            <w:vAlign w:val="center"/>
          </w:tcPr>
          <w:p w14:paraId="5741A4D1">
            <w:pPr>
              <w:pStyle w:val="14"/>
            </w:pPr>
          </w:p>
        </w:tc>
      </w:tr>
      <w:tr w14:paraId="1B72E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69B7A">
            <w:pPr>
              <w:pStyle w:val="12"/>
            </w:pPr>
            <w:r>
              <w:t>5</w:t>
            </w:r>
          </w:p>
        </w:tc>
        <w:tc>
          <w:tcPr>
            <w:tcW w:w="1191" w:type="dxa"/>
            <w:vAlign w:val="center"/>
          </w:tcPr>
          <w:p w14:paraId="1684CA43">
            <w:pPr>
              <w:pStyle w:val="13"/>
            </w:pPr>
            <w:r>
              <w:t>20502</w:t>
            </w:r>
          </w:p>
        </w:tc>
        <w:tc>
          <w:tcPr>
            <w:tcW w:w="4535" w:type="dxa"/>
            <w:vAlign w:val="center"/>
          </w:tcPr>
          <w:p w14:paraId="0BAE60CE">
            <w:pPr>
              <w:pStyle w:val="13"/>
            </w:pPr>
            <w:r>
              <w:t>普通教育</w:t>
            </w:r>
          </w:p>
        </w:tc>
        <w:tc>
          <w:tcPr>
            <w:tcW w:w="2551" w:type="dxa"/>
            <w:vAlign w:val="center"/>
          </w:tcPr>
          <w:p w14:paraId="22E40788">
            <w:pPr>
              <w:pStyle w:val="14"/>
            </w:pPr>
            <w:r>
              <w:t>6556.46</w:t>
            </w:r>
          </w:p>
        </w:tc>
        <w:tc>
          <w:tcPr>
            <w:tcW w:w="2551" w:type="dxa"/>
            <w:vAlign w:val="center"/>
          </w:tcPr>
          <w:p w14:paraId="70DBB531">
            <w:pPr>
              <w:pStyle w:val="14"/>
            </w:pPr>
          </w:p>
        </w:tc>
        <w:tc>
          <w:tcPr>
            <w:tcW w:w="2551" w:type="dxa"/>
            <w:vAlign w:val="center"/>
          </w:tcPr>
          <w:p w14:paraId="257CF356">
            <w:pPr>
              <w:pStyle w:val="14"/>
            </w:pPr>
            <w:r>
              <w:t>6556.46</w:t>
            </w:r>
          </w:p>
        </w:tc>
      </w:tr>
      <w:tr w14:paraId="50D16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8434E">
            <w:pPr>
              <w:pStyle w:val="12"/>
            </w:pPr>
            <w:r>
              <w:t>6</w:t>
            </w:r>
          </w:p>
        </w:tc>
        <w:tc>
          <w:tcPr>
            <w:tcW w:w="1191" w:type="dxa"/>
            <w:vAlign w:val="center"/>
          </w:tcPr>
          <w:p w14:paraId="3FE5F95A">
            <w:pPr>
              <w:pStyle w:val="13"/>
            </w:pPr>
            <w:r>
              <w:t>2050201</w:t>
            </w:r>
          </w:p>
        </w:tc>
        <w:tc>
          <w:tcPr>
            <w:tcW w:w="4535" w:type="dxa"/>
            <w:vAlign w:val="center"/>
          </w:tcPr>
          <w:p w14:paraId="361B3F88">
            <w:pPr>
              <w:pStyle w:val="13"/>
            </w:pPr>
            <w:r>
              <w:t>学前教育</w:t>
            </w:r>
          </w:p>
        </w:tc>
        <w:tc>
          <w:tcPr>
            <w:tcW w:w="2551" w:type="dxa"/>
            <w:vAlign w:val="center"/>
          </w:tcPr>
          <w:p w14:paraId="20F4F8DE">
            <w:pPr>
              <w:pStyle w:val="14"/>
            </w:pPr>
            <w:r>
              <w:t>225.52</w:t>
            </w:r>
          </w:p>
        </w:tc>
        <w:tc>
          <w:tcPr>
            <w:tcW w:w="2551" w:type="dxa"/>
            <w:vAlign w:val="center"/>
          </w:tcPr>
          <w:p w14:paraId="1DA4B12A">
            <w:pPr>
              <w:pStyle w:val="14"/>
            </w:pPr>
          </w:p>
        </w:tc>
        <w:tc>
          <w:tcPr>
            <w:tcW w:w="2551" w:type="dxa"/>
            <w:vAlign w:val="center"/>
          </w:tcPr>
          <w:p w14:paraId="38EEFD15">
            <w:pPr>
              <w:pStyle w:val="14"/>
            </w:pPr>
            <w:r>
              <w:t>225.52</w:t>
            </w:r>
          </w:p>
        </w:tc>
      </w:tr>
      <w:tr w14:paraId="6DD37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CC61D">
            <w:pPr>
              <w:pStyle w:val="12"/>
            </w:pPr>
            <w:r>
              <w:t>7</w:t>
            </w:r>
          </w:p>
        </w:tc>
        <w:tc>
          <w:tcPr>
            <w:tcW w:w="1191" w:type="dxa"/>
            <w:vAlign w:val="center"/>
          </w:tcPr>
          <w:p w14:paraId="5602911E">
            <w:pPr>
              <w:pStyle w:val="13"/>
            </w:pPr>
            <w:r>
              <w:t>2050202</w:t>
            </w:r>
          </w:p>
        </w:tc>
        <w:tc>
          <w:tcPr>
            <w:tcW w:w="4535" w:type="dxa"/>
            <w:vAlign w:val="center"/>
          </w:tcPr>
          <w:p w14:paraId="4423B018">
            <w:pPr>
              <w:pStyle w:val="13"/>
            </w:pPr>
            <w:r>
              <w:t>小学教育</w:t>
            </w:r>
          </w:p>
        </w:tc>
        <w:tc>
          <w:tcPr>
            <w:tcW w:w="2551" w:type="dxa"/>
            <w:vAlign w:val="center"/>
          </w:tcPr>
          <w:p w14:paraId="14B5169F">
            <w:pPr>
              <w:pStyle w:val="14"/>
            </w:pPr>
            <w:r>
              <w:t>3266.99</w:t>
            </w:r>
          </w:p>
        </w:tc>
        <w:tc>
          <w:tcPr>
            <w:tcW w:w="2551" w:type="dxa"/>
            <w:vAlign w:val="center"/>
          </w:tcPr>
          <w:p w14:paraId="25C492BB">
            <w:pPr>
              <w:pStyle w:val="14"/>
            </w:pPr>
          </w:p>
        </w:tc>
        <w:tc>
          <w:tcPr>
            <w:tcW w:w="2551" w:type="dxa"/>
            <w:vAlign w:val="center"/>
          </w:tcPr>
          <w:p w14:paraId="3144A5B3">
            <w:pPr>
              <w:pStyle w:val="14"/>
            </w:pPr>
            <w:r>
              <w:t>3266.99</w:t>
            </w:r>
          </w:p>
        </w:tc>
      </w:tr>
      <w:tr w14:paraId="3F12E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6B441">
            <w:pPr>
              <w:pStyle w:val="12"/>
            </w:pPr>
            <w:r>
              <w:t>8</w:t>
            </w:r>
          </w:p>
        </w:tc>
        <w:tc>
          <w:tcPr>
            <w:tcW w:w="1191" w:type="dxa"/>
            <w:vAlign w:val="center"/>
          </w:tcPr>
          <w:p w14:paraId="118BA0C1">
            <w:pPr>
              <w:pStyle w:val="13"/>
            </w:pPr>
            <w:r>
              <w:t>2050203</w:t>
            </w:r>
          </w:p>
        </w:tc>
        <w:tc>
          <w:tcPr>
            <w:tcW w:w="4535" w:type="dxa"/>
            <w:vAlign w:val="center"/>
          </w:tcPr>
          <w:p w14:paraId="01E209AB">
            <w:pPr>
              <w:pStyle w:val="13"/>
            </w:pPr>
            <w:r>
              <w:t>初中教育</w:t>
            </w:r>
          </w:p>
        </w:tc>
        <w:tc>
          <w:tcPr>
            <w:tcW w:w="2551" w:type="dxa"/>
            <w:vAlign w:val="center"/>
          </w:tcPr>
          <w:p w14:paraId="7E179602">
            <w:pPr>
              <w:pStyle w:val="14"/>
            </w:pPr>
            <w:r>
              <w:t>1203.43</w:t>
            </w:r>
          </w:p>
        </w:tc>
        <w:tc>
          <w:tcPr>
            <w:tcW w:w="2551" w:type="dxa"/>
            <w:vAlign w:val="center"/>
          </w:tcPr>
          <w:p w14:paraId="1BA63F2C">
            <w:pPr>
              <w:pStyle w:val="14"/>
            </w:pPr>
          </w:p>
        </w:tc>
        <w:tc>
          <w:tcPr>
            <w:tcW w:w="2551" w:type="dxa"/>
            <w:vAlign w:val="center"/>
          </w:tcPr>
          <w:p w14:paraId="137269E8">
            <w:pPr>
              <w:pStyle w:val="14"/>
            </w:pPr>
            <w:r>
              <w:t>1203.43</w:t>
            </w:r>
          </w:p>
        </w:tc>
      </w:tr>
      <w:tr w14:paraId="3A243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86231">
            <w:pPr>
              <w:pStyle w:val="12"/>
            </w:pPr>
            <w:r>
              <w:t>9</w:t>
            </w:r>
          </w:p>
        </w:tc>
        <w:tc>
          <w:tcPr>
            <w:tcW w:w="1191" w:type="dxa"/>
            <w:vAlign w:val="center"/>
          </w:tcPr>
          <w:p w14:paraId="0529DB56">
            <w:pPr>
              <w:pStyle w:val="13"/>
            </w:pPr>
            <w:r>
              <w:t>2050204</w:t>
            </w:r>
          </w:p>
        </w:tc>
        <w:tc>
          <w:tcPr>
            <w:tcW w:w="4535" w:type="dxa"/>
            <w:vAlign w:val="center"/>
          </w:tcPr>
          <w:p w14:paraId="4D10929A">
            <w:pPr>
              <w:pStyle w:val="13"/>
            </w:pPr>
            <w:r>
              <w:t>高中教育</w:t>
            </w:r>
          </w:p>
        </w:tc>
        <w:tc>
          <w:tcPr>
            <w:tcW w:w="2551" w:type="dxa"/>
            <w:vAlign w:val="center"/>
          </w:tcPr>
          <w:p w14:paraId="0D209FF8">
            <w:pPr>
              <w:pStyle w:val="14"/>
            </w:pPr>
            <w:r>
              <w:t>403.66</w:t>
            </w:r>
          </w:p>
        </w:tc>
        <w:tc>
          <w:tcPr>
            <w:tcW w:w="2551" w:type="dxa"/>
            <w:vAlign w:val="center"/>
          </w:tcPr>
          <w:p w14:paraId="16AB4C24">
            <w:pPr>
              <w:pStyle w:val="14"/>
            </w:pPr>
          </w:p>
        </w:tc>
        <w:tc>
          <w:tcPr>
            <w:tcW w:w="2551" w:type="dxa"/>
            <w:vAlign w:val="center"/>
          </w:tcPr>
          <w:p w14:paraId="3944EB9F">
            <w:pPr>
              <w:pStyle w:val="14"/>
            </w:pPr>
            <w:r>
              <w:t>403.66</w:t>
            </w:r>
          </w:p>
        </w:tc>
      </w:tr>
      <w:tr w14:paraId="3C7B2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A4D8E">
            <w:pPr>
              <w:pStyle w:val="12"/>
            </w:pPr>
            <w:r>
              <w:t>10</w:t>
            </w:r>
          </w:p>
        </w:tc>
        <w:tc>
          <w:tcPr>
            <w:tcW w:w="1191" w:type="dxa"/>
            <w:vAlign w:val="center"/>
          </w:tcPr>
          <w:p w14:paraId="195DAB84">
            <w:pPr>
              <w:pStyle w:val="13"/>
            </w:pPr>
            <w:r>
              <w:t>2050205</w:t>
            </w:r>
          </w:p>
        </w:tc>
        <w:tc>
          <w:tcPr>
            <w:tcW w:w="4535" w:type="dxa"/>
            <w:vAlign w:val="center"/>
          </w:tcPr>
          <w:p w14:paraId="6C70A9B9">
            <w:pPr>
              <w:pStyle w:val="13"/>
            </w:pPr>
            <w:r>
              <w:t>高等教育</w:t>
            </w:r>
          </w:p>
        </w:tc>
        <w:tc>
          <w:tcPr>
            <w:tcW w:w="2551" w:type="dxa"/>
            <w:vAlign w:val="center"/>
          </w:tcPr>
          <w:p w14:paraId="1DF2D260">
            <w:pPr>
              <w:pStyle w:val="14"/>
            </w:pPr>
            <w:r>
              <w:t>4.00</w:t>
            </w:r>
          </w:p>
        </w:tc>
        <w:tc>
          <w:tcPr>
            <w:tcW w:w="2551" w:type="dxa"/>
            <w:vAlign w:val="center"/>
          </w:tcPr>
          <w:p w14:paraId="4F15FDF9">
            <w:pPr>
              <w:pStyle w:val="14"/>
            </w:pPr>
          </w:p>
        </w:tc>
        <w:tc>
          <w:tcPr>
            <w:tcW w:w="2551" w:type="dxa"/>
            <w:vAlign w:val="center"/>
          </w:tcPr>
          <w:p w14:paraId="16B08B57">
            <w:pPr>
              <w:pStyle w:val="14"/>
            </w:pPr>
            <w:r>
              <w:t>4.00</w:t>
            </w:r>
          </w:p>
        </w:tc>
      </w:tr>
      <w:tr w14:paraId="068D8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8E63B">
            <w:pPr>
              <w:pStyle w:val="12"/>
            </w:pPr>
            <w:r>
              <w:t>11</w:t>
            </w:r>
          </w:p>
        </w:tc>
        <w:tc>
          <w:tcPr>
            <w:tcW w:w="1191" w:type="dxa"/>
            <w:vAlign w:val="center"/>
          </w:tcPr>
          <w:p w14:paraId="2017F710">
            <w:pPr>
              <w:pStyle w:val="13"/>
            </w:pPr>
            <w:r>
              <w:t>2050299</w:t>
            </w:r>
          </w:p>
        </w:tc>
        <w:tc>
          <w:tcPr>
            <w:tcW w:w="4535" w:type="dxa"/>
            <w:vAlign w:val="center"/>
          </w:tcPr>
          <w:p w14:paraId="4010533C">
            <w:pPr>
              <w:pStyle w:val="13"/>
            </w:pPr>
            <w:r>
              <w:t>其他普通教育支出</w:t>
            </w:r>
          </w:p>
        </w:tc>
        <w:tc>
          <w:tcPr>
            <w:tcW w:w="2551" w:type="dxa"/>
            <w:vAlign w:val="center"/>
          </w:tcPr>
          <w:p w14:paraId="2A84DB94">
            <w:pPr>
              <w:pStyle w:val="14"/>
            </w:pPr>
            <w:r>
              <w:t>1452.87</w:t>
            </w:r>
          </w:p>
        </w:tc>
        <w:tc>
          <w:tcPr>
            <w:tcW w:w="2551" w:type="dxa"/>
            <w:vAlign w:val="center"/>
          </w:tcPr>
          <w:p w14:paraId="1E4B2415">
            <w:pPr>
              <w:pStyle w:val="14"/>
            </w:pPr>
          </w:p>
        </w:tc>
        <w:tc>
          <w:tcPr>
            <w:tcW w:w="2551" w:type="dxa"/>
            <w:vAlign w:val="center"/>
          </w:tcPr>
          <w:p w14:paraId="57C6D7C1">
            <w:pPr>
              <w:pStyle w:val="14"/>
            </w:pPr>
            <w:r>
              <w:t>1452.87</w:t>
            </w:r>
          </w:p>
        </w:tc>
      </w:tr>
      <w:tr w14:paraId="59C82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E3A85">
            <w:pPr>
              <w:pStyle w:val="12"/>
            </w:pPr>
            <w:r>
              <w:t>12</w:t>
            </w:r>
          </w:p>
        </w:tc>
        <w:tc>
          <w:tcPr>
            <w:tcW w:w="1191" w:type="dxa"/>
            <w:vAlign w:val="center"/>
          </w:tcPr>
          <w:p w14:paraId="5240A2D3">
            <w:pPr>
              <w:pStyle w:val="13"/>
            </w:pPr>
            <w:r>
              <w:t>20503</w:t>
            </w:r>
          </w:p>
        </w:tc>
        <w:tc>
          <w:tcPr>
            <w:tcW w:w="4535" w:type="dxa"/>
            <w:vAlign w:val="center"/>
          </w:tcPr>
          <w:p w14:paraId="6D92AFC5">
            <w:pPr>
              <w:pStyle w:val="13"/>
            </w:pPr>
            <w:r>
              <w:t>职业教育</w:t>
            </w:r>
          </w:p>
        </w:tc>
        <w:tc>
          <w:tcPr>
            <w:tcW w:w="2551" w:type="dxa"/>
            <w:vAlign w:val="center"/>
          </w:tcPr>
          <w:p w14:paraId="11D99A05">
            <w:pPr>
              <w:pStyle w:val="14"/>
            </w:pPr>
            <w:r>
              <w:t>76.45</w:t>
            </w:r>
          </w:p>
        </w:tc>
        <w:tc>
          <w:tcPr>
            <w:tcW w:w="2551" w:type="dxa"/>
            <w:vAlign w:val="center"/>
          </w:tcPr>
          <w:p w14:paraId="74DAF91F">
            <w:pPr>
              <w:pStyle w:val="14"/>
            </w:pPr>
          </w:p>
        </w:tc>
        <w:tc>
          <w:tcPr>
            <w:tcW w:w="2551" w:type="dxa"/>
            <w:vAlign w:val="center"/>
          </w:tcPr>
          <w:p w14:paraId="02D77891">
            <w:pPr>
              <w:pStyle w:val="14"/>
            </w:pPr>
            <w:r>
              <w:t>76.45</w:t>
            </w:r>
          </w:p>
        </w:tc>
      </w:tr>
      <w:tr w14:paraId="6F120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DA8D7">
            <w:pPr>
              <w:pStyle w:val="12"/>
            </w:pPr>
            <w:r>
              <w:t>13</w:t>
            </w:r>
          </w:p>
        </w:tc>
        <w:tc>
          <w:tcPr>
            <w:tcW w:w="1191" w:type="dxa"/>
            <w:vAlign w:val="center"/>
          </w:tcPr>
          <w:p w14:paraId="6912071B">
            <w:pPr>
              <w:pStyle w:val="13"/>
            </w:pPr>
            <w:r>
              <w:t>2050302</w:t>
            </w:r>
          </w:p>
        </w:tc>
        <w:tc>
          <w:tcPr>
            <w:tcW w:w="4535" w:type="dxa"/>
            <w:vAlign w:val="center"/>
          </w:tcPr>
          <w:p w14:paraId="60DCFC6E">
            <w:pPr>
              <w:pStyle w:val="13"/>
            </w:pPr>
            <w:r>
              <w:t>中等职业教育</w:t>
            </w:r>
          </w:p>
        </w:tc>
        <w:tc>
          <w:tcPr>
            <w:tcW w:w="2551" w:type="dxa"/>
            <w:vAlign w:val="center"/>
          </w:tcPr>
          <w:p w14:paraId="30CC46D2">
            <w:pPr>
              <w:pStyle w:val="14"/>
            </w:pPr>
            <w:r>
              <w:t>76.45</w:t>
            </w:r>
          </w:p>
        </w:tc>
        <w:tc>
          <w:tcPr>
            <w:tcW w:w="2551" w:type="dxa"/>
            <w:vAlign w:val="center"/>
          </w:tcPr>
          <w:p w14:paraId="49959691">
            <w:pPr>
              <w:pStyle w:val="14"/>
            </w:pPr>
          </w:p>
        </w:tc>
        <w:tc>
          <w:tcPr>
            <w:tcW w:w="2551" w:type="dxa"/>
            <w:vAlign w:val="center"/>
          </w:tcPr>
          <w:p w14:paraId="72F028B1">
            <w:pPr>
              <w:pStyle w:val="14"/>
            </w:pPr>
            <w:r>
              <w:t>76.45</w:t>
            </w:r>
          </w:p>
        </w:tc>
      </w:tr>
      <w:tr w14:paraId="6E0B5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A901B">
            <w:pPr>
              <w:pStyle w:val="12"/>
            </w:pPr>
            <w:r>
              <w:t>14</w:t>
            </w:r>
          </w:p>
        </w:tc>
        <w:tc>
          <w:tcPr>
            <w:tcW w:w="1191" w:type="dxa"/>
            <w:vAlign w:val="center"/>
          </w:tcPr>
          <w:p w14:paraId="35A79F31">
            <w:pPr>
              <w:pStyle w:val="13"/>
            </w:pPr>
            <w:r>
              <w:t>20599</w:t>
            </w:r>
          </w:p>
        </w:tc>
        <w:tc>
          <w:tcPr>
            <w:tcW w:w="4535" w:type="dxa"/>
            <w:vAlign w:val="center"/>
          </w:tcPr>
          <w:p w14:paraId="1A31DE6A">
            <w:pPr>
              <w:pStyle w:val="13"/>
            </w:pPr>
            <w:r>
              <w:t>其他教育支出</w:t>
            </w:r>
          </w:p>
        </w:tc>
        <w:tc>
          <w:tcPr>
            <w:tcW w:w="2551" w:type="dxa"/>
            <w:vAlign w:val="center"/>
          </w:tcPr>
          <w:p w14:paraId="47D70576">
            <w:pPr>
              <w:pStyle w:val="14"/>
            </w:pPr>
            <w:r>
              <w:t>502.56</w:t>
            </w:r>
          </w:p>
        </w:tc>
        <w:tc>
          <w:tcPr>
            <w:tcW w:w="2551" w:type="dxa"/>
            <w:vAlign w:val="center"/>
          </w:tcPr>
          <w:p w14:paraId="021455BA">
            <w:pPr>
              <w:pStyle w:val="14"/>
            </w:pPr>
          </w:p>
        </w:tc>
        <w:tc>
          <w:tcPr>
            <w:tcW w:w="2551" w:type="dxa"/>
            <w:vAlign w:val="center"/>
          </w:tcPr>
          <w:p w14:paraId="7BB031F5">
            <w:pPr>
              <w:pStyle w:val="14"/>
            </w:pPr>
            <w:r>
              <w:t>502.56</w:t>
            </w:r>
          </w:p>
        </w:tc>
      </w:tr>
      <w:tr w14:paraId="5258B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4B1D2">
            <w:pPr>
              <w:pStyle w:val="12"/>
            </w:pPr>
            <w:r>
              <w:t>15</w:t>
            </w:r>
          </w:p>
        </w:tc>
        <w:tc>
          <w:tcPr>
            <w:tcW w:w="1191" w:type="dxa"/>
            <w:vAlign w:val="center"/>
          </w:tcPr>
          <w:p w14:paraId="0C134EBC">
            <w:pPr>
              <w:pStyle w:val="13"/>
            </w:pPr>
            <w:r>
              <w:t>2059999</w:t>
            </w:r>
          </w:p>
        </w:tc>
        <w:tc>
          <w:tcPr>
            <w:tcW w:w="4535" w:type="dxa"/>
            <w:vAlign w:val="center"/>
          </w:tcPr>
          <w:p w14:paraId="6390E9BC">
            <w:pPr>
              <w:pStyle w:val="13"/>
            </w:pPr>
            <w:r>
              <w:t>其他教育支出</w:t>
            </w:r>
          </w:p>
        </w:tc>
        <w:tc>
          <w:tcPr>
            <w:tcW w:w="2551" w:type="dxa"/>
            <w:vAlign w:val="center"/>
          </w:tcPr>
          <w:p w14:paraId="676BA65D">
            <w:pPr>
              <w:pStyle w:val="14"/>
            </w:pPr>
            <w:r>
              <w:t>502.56</w:t>
            </w:r>
          </w:p>
        </w:tc>
        <w:tc>
          <w:tcPr>
            <w:tcW w:w="2551" w:type="dxa"/>
            <w:vAlign w:val="center"/>
          </w:tcPr>
          <w:p w14:paraId="33384E92">
            <w:pPr>
              <w:pStyle w:val="14"/>
            </w:pPr>
          </w:p>
        </w:tc>
        <w:tc>
          <w:tcPr>
            <w:tcW w:w="2551" w:type="dxa"/>
            <w:vAlign w:val="center"/>
          </w:tcPr>
          <w:p w14:paraId="5168F885">
            <w:pPr>
              <w:pStyle w:val="14"/>
            </w:pPr>
            <w:r>
              <w:t>502.56</w:t>
            </w:r>
          </w:p>
        </w:tc>
      </w:tr>
      <w:tr w14:paraId="287E0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93150">
            <w:pPr>
              <w:pStyle w:val="12"/>
            </w:pPr>
            <w:r>
              <w:t>16</w:t>
            </w:r>
          </w:p>
        </w:tc>
        <w:tc>
          <w:tcPr>
            <w:tcW w:w="1191" w:type="dxa"/>
            <w:vAlign w:val="center"/>
          </w:tcPr>
          <w:p w14:paraId="28F04AB5">
            <w:pPr>
              <w:pStyle w:val="13"/>
            </w:pPr>
            <w:r>
              <w:t>208</w:t>
            </w:r>
          </w:p>
        </w:tc>
        <w:tc>
          <w:tcPr>
            <w:tcW w:w="4535" w:type="dxa"/>
            <w:vAlign w:val="center"/>
          </w:tcPr>
          <w:p w14:paraId="027056CE">
            <w:pPr>
              <w:pStyle w:val="13"/>
            </w:pPr>
            <w:r>
              <w:t>社会保障和就业支出</w:t>
            </w:r>
          </w:p>
        </w:tc>
        <w:tc>
          <w:tcPr>
            <w:tcW w:w="2551" w:type="dxa"/>
            <w:vAlign w:val="center"/>
          </w:tcPr>
          <w:p w14:paraId="5D5CB9EF">
            <w:pPr>
              <w:pStyle w:val="14"/>
            </w:pPr>
            <w:r>
              <w:t>959.60</w:t>
            </w:r>
          </w:p>
        </w:tc>
        <w:tc>
          <w:tcPr>
            <w:tcW w:w="2551" w:type="dxa"/>
            <w:vAlign w:val="center"/>
          </w:tcPr>
          <w:p w14:paraId="2C2D81E0">
            <w:pPr>
              <w:pStyle w:val="14"/>
            </w:pPr>
            <w:r>
              <w:t>959.60</w:t>
            </w:r>
          </w:p>
        </w:tc>
        <w:tc>
          <w:tcPr>
            <w:tcW w:w="2551" w:type="dxa"/>
            <w:vAlign w:val="center"/>
          </w:tcPr>
          <w:p w14:paraId="68E56511">
            <w:pPr>
              <w:pStyle w:val="14"/>
            </w:pPr>
          </w:p>
        </w:tc>
      </w:tr>
      <w:tr w14:paraId="2ABAB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6EEFC">
            <w:pPr>
              <w:pStyle w:val="12"/>
            </w:pPr>
            <w:r>
              <w:t>17</w:t>
            </w:r>
          </w:p>
        </w:tc>
        <w:tc>
          <w:tcPr>
            <w:tcW w:w="1191" w:type="dxa"/>
            <w:vAlign w:val="center"/>
          </w:tcPr>
          <w:p w14:paraId="45F79908">
            <w:pPr>
              <w:pStyle w:val="13"/>
            </w:pPr>
            <w:r>
              <w:t>20805</w:t>
            </w:r>
          </w:p>
        </w:tc>
        <w:tc>
          <w:tcPr>
            <w:tcW w:w="4535" w:type="dxa"/>
            <w:vAlign w:val="center"/>
          </w:tcPr>
          <w:p w14:paraId="554AF7FF">
            <w:pPr>
              <w:pStyle w:val="13"/>
            </w:pPr>
            <w:r>
              <w:t>行政事业单位养老支出</w:t>
            </w:r>
          </w:p>
        </w:tc>
        <w:tc>
          <w:tcPr>
            <w:tcW w:w="2551" w:type="dxa"/>
            <w:vAlign w:val="center"/>
          </w:tcPr>
          <w:p w14:paraId="09B263F0">
            <w:pPr>
              <w:pStyle w:val="14"/>
            </w:pPr>
            <w:r>
              <w:t>959.60</w:t>
            </w:r>
          </w:p>
        </w:tc>
        <w:tc>
          <w:tcPr>
            <w:tcW w:w="2551" w:type="dxa"/>
            <w:vAlign w:val="center"/>
          </w:tcPr>
          <w:p w14:paraId="0A227C23">
            <w:pPr>
              <w:pStyle w:val="14"/>
            </w:pPr>
            <w:r>
              <w:t>959.60</w:t>
            </w:r>
          </w:p>
        </w:tc>
        <w:tc>
          <w:tcPr>
            <w:tcW w:w="2551" w:type="dxa"/>
            <w:vAlign w:val="center"/>
          </w:tcPr>
          <w:p w14:paraId="4986D516">
            <w:pPr>
              <w:pStyle w:val="14"/>
            </w:pPr>
          </w:p>
        </w:tc>
      </w:tr>
      <w:tr w14:paraId="0DD41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C366B">
            <w:pPr>
              <w:pStyle w:val="12"/>
            </w:pPr>
            <w:r>
              <w:t>18</w:t>
            </w:r>
          </w:p>
        </w:tc>
        <w:tc>
          <w:tcPr>
            <w:tcW w:w="1191" w:type="dxa"/>
            <w:vAlign w:val="center"/>
          </w:tcPr>
          <w:p w14:paraId="7D7BA612">
            <w:pPr>
              <w:pStyle w:val="13"/>
            </w:pPr>
            <w:r>
              <w:t>2080505</w:t>
            </w:r>
          </w:p>
        </w:tc>
        <w:tc>
          <w:tcPr>
            <w:tcW w:w="4535" w:type="dxa"/>
            <w:vAlign w:val="center"/>
          </w:tcPr>
          <w:p w14:paraId="2FDD1D43">
            <w:pPr>
              <w:pStyle w:val="13"/>
            </w:pPr>
            <w:r>
              <w:t>机关事业单位基本养老保险缴费支出</w:t>
            </w:r>
          </w:p>
        </w:tc>
        <w:tc>
          <w:tcPr>
            <w:tcW w:w="2551" w:type="dxa"/>
            <w:vAlign w:val="center"/>
          </w:tcPr>
          <w:p w14:paraId="14AC0C61">
            <w:pPr>
              <w:pStyle w:val="14"/>
            </w:pPr>
            <w:r>
              <w:t>959.60</w:t>
            </w:r>
          </w:p>
        </w:tc>
        <w:tc>
          <w:tcPr>
            <w:tcW w:w="2551" w:type="dxa"/>
            <w:vAlign w:val="center"/>
          </w:tcPr>
          <w:p w14:paraId="379AA5CC">
            <w:pPr>
              <w:pStyle w:val="14"/>
            </w:pPr>
            <w:r>
              <w:t>959.60</w:t>
            </w:r>
          </w:p>
        </w:tc>
        <w:tc>
          <w:tcPr>
            <w:tcW w:w="2551" w:type="dxa"/>
            <w:vAlign w:val="center"/>
          </w:tcPr>
          <w:p w14:paraId="3EFBE085">
            <w:pPr>
              <w:pStyle w:val="14"/>
            </w:pPr>
          </w:p>
        </w:tc>
      </w:tr>
      <w:tr w14:paraId="6BC23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23463">
            <w:pPr>
              <w:pStyle w:val="12"/>
            </w:pPr>
            <w:r>
              <w:t>19</w:t>
            </w:r>
          </w:p>
        </w:tc>
        <w:tc>
          <w:tcPr>
            <w:tcW w:w="1191" w:type="dxa"/>
            <w:vAlign w:val="center"/>
          </w:tcPr>
          <w:p w14:paraId="08C3285F">
            <w:pPr>
              <w:pStyle w:val="13"/>
            </w:pPr>
            <w:r>
              <w:t>210</w:t>
            </w:r>
          </w:p>
        </w:tc>
        <w:tc>
          <w:tcPr>
            <w:tcW w:w="4535" w:type="dxa"/>
            <w:vAlign w:val="center"/>
          </w:tcPr>
          <w:p w14:paraId="0BEFA983">
            <w:pPr>
              <w:pStyle w:val="13"/>
            </w:pPr>
            <w:r>
              <w:t>卫生健康支出</w:t>
            </w:r>
          </w:p>
        </w:tc>
        <w:tc>
          <w:tcPr>
            <w:tcW w:w="2551" w:type="dxa"/>
            <w:vAlign w:val="center"/>
          </w:tcPr>
          <w:p w14:paraId="07923B34">
            <w:pPr>
              <w:pStyle w:val="14"/>
            </w:pPr>
            <w:r>
              <w:t>102.87</w:t>
            </w:r>
          </w:p>
        </w:tc>
        <w:tc>
          <w:tcPr>
            <w:tcW w:w="2551" w:type="dxa"/>
            <w:vAlign w:val="center"/>
          </w:tcPr>
          <w:p w14:paraId="1A423101">
            <w:pPr>
              <w:pStyle w:val="14"/>
            </w:pPr>
            <w:r>
              <w:t>102.87</w:t>
            </w:r>
          </w:p>
        </w:tc>
        <w:tc>
          <w:tcPr>
            <w:tcW w:w="2551" w:type="dxa"/>
            <w:vAlign w:val="center"/>
          </w:tcPr>
          <w:p w14:paraId="5CD1C1F4">
            <w:pPr>
              <w:pStyle w:val="14"/>
            </w:pPr>
          </w:p>
        </w:tc>
      </w:tr>
      <w:tr w14:paraId="79687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F4992">
            <w:pPr>
              <w:pStyle w:val="12"/>
            </w:pPr>
            <w:r>
              <w:t>20</w:t>
            </w:r>
          </w:p>
        </w:tc>
        <w:tc>
          <w:tcPr>
            <w:tcW w:w="1191" w:type="dxa"/>
            <w:vAlign w:val="center"/>
          </w:tcPr>
          <w:p w14:paraId="35228C31">
            <w:pPr>
              <w:pStyle w:val="13"/>
            </w:pPr>
            <w:r>
              <w:t>21011</w:t>
            </w:r>
          </w:p>
        </w:tc>
        <w:tc>
          <w:tcPr>
            <w:tcW w:w="4535" w:type="dxa"/>
            <w:vAlign w:val="center"/>
          </w:tcPr>
          <w:p w14:paraId="5AF0F132">
            <w:pPr>
              <w:pStyle w:val="13"/>
            </w:pPr>
            <w:r>
              <w:t>行政事业单位医疗</w:t>
            </w:r>
          </w:p>
        </w:tc>
        <w:tc>
          <w:tcPr>
            <w:tcW w:w="2551" w:type="dxa"/>
            <w:vAlign w:val="center"/>
          </w:tcPr>
          <w:p w14:paraId="1EADC4D6">
            <w:pPr>
              <w:pStyle w:val="14"/>
            </w:pPr>
            <w:r>
              <w:t>102.87</w:t>
            </w:r>
          </w:p>
        </w:tc>
        <w:tc>
          <w:tcPr>
            <w:tcW w:w="2551" w:type="dxa"/>
            <w:vAlign w:val="center"/>
          </w:tcPr>
          <w:p w14:paraId="1993ACE6">
            <w:pPr>
              <w:pStyle w:val="14"/>
            </w:pPr>
            <w:r>
              <w:t>102.87</w:t>
            </w:r>
          </w:p>
        </w:tc>
        <w:tc>
          <w:tcPr>
            <w:tcW w:w="2551" w:type="dxa"/>
            <w:vAlign w:val="center"/>
          </w:tcPr>
          <w:p w14:paraId="408025DC">
            <w:pPr>
              <w:pStyle w:val="14"/>
            </w:pPr>
          </w:p>
        </w:tc>
      </w:tr>
      <w:tr w14:paraId="5F40E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19055">
            <w:pPr>
              <w:pStyle w:val="12"/>
            </w:pPr>
            <w:r>
              <w:t>21</w:t>
            </w:r>
          </w:p>
        </w:tc>
        <w:tc>
          <w:tcPr>
            <w:tcW w:w="1191" w:type="dxa"/>
            <w:vAlign w:val="center"/>
          </w:tcPr>
          <w:p w14:paraId="3F5A65DD">
            <w:pPr>
              <w:pStyle w:val="13"/>
            </w:pPr>
            <w:r>
              <w:t>2101101</w:t>
            </w:r>
          </w:p>
        </w:tc>
        <w:tc>
          <w:tcPr>
            <w:tcW w:w="4535" w:type="dxa"/>
            <w:vAlign w:val="center"/>
          </w:tcPr>
          <w:p w14:paraId="2A3F9F51">
            <w:pPr>
              <w:pStyle w:val="13"/>
            </w:pPr>
            <w:r>
              <w:t>行政单位医疗</w:t>
            </w:r>
          </w:p>
        </w:tc>
        <w:tc>
          <w:tcPr>
            <w:tcW w:w="2551" w:type="dxa"/>
            <w:vAlign w:val="center"/>
          </w:tcPr>
          <w:p w14:paraId="2179411D">
            <w:pPr>
              <w:pStyle w:val="14"/>
            </w:pPr>
            <w:r>
              <w:t>102.87</w:t>
            </w:r>
          </w:p>
        </w:tc>
        <w:tc>
          <w:tcPr>
            <w:tcW w:w="2551" w:type="dxa"/>
            <w:vAlign w:val="center"/>
          </w:tcPr>
          <w:p w14:paraId="20E08552">
            <w:pPr>
              <w:pStyle w:val="14"/>
            </w:pPr>
            <w:r>
              <w:t>102.87</w:t>
            </w:r>
          </w:p>
        </w:tc>
        <w:tc>
          <w:tcPr>
            <w:tcW w:w="2551" w:type="dxa"/>
            <w:vAlign w:val="center"/>
          </w:tcPr>
          <w:p w14:paraId="51A89ECB">
            <w:pPr>
              <w:pStyle w:val="14"/>
            </w:pPr>
          </w:p>
        </w:tc>
      </w:tr>
      <w:tr w14:paraId="364EF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7D266">
            <w:pPr>
              <w:pStyle w:val="12"/>
            </w:pPr>
            <w:r>
              <w:t>22</w:t>
            </w:r>
          </w:p>
        </w:tc>
        <w:tc>
          <w:tcPr>
            <w:tcW w:w="1191" w:type="dxa"/>
            <w:vAlign w:val="center"/>
          </w:tcPr>
          <w:p w14:paraId="2040807C">
            <w:pPr>
              <w:pStyle w:val="13"/>
            </w:pPr>
            <w:r>
              <w:t>221</w:t>
            </w:r>
          </w:p>
        </w:tc>
        <w:tc>
          <w:tcPr>
            <w:tcW w:w="4535" w:type="dxa"/>
            <w:vAlign w:val="center"/>
          </w:tcPr>
          <w:p w14:paraId="6F73D195">
            <w:pPr>
              <w:pStyle w:val="13"/>
            </w:pPr>
            <w:r>
              <w:t>住房保障支出</w:t>
            </w:r>
          </w:p>
        </w:tc>
        <w:tc>
          <w:tcPr>
            <w:tcW w:w="2551" w:type="dxa"/>
            <w:vAlign w:val="center"/>
          </w:tcPr>
          <w:p w14:paraId="62623937">
            <w:pPr>
              <w:pStyle w:val="14"/>
            </w:pPr>
            <w:r>
              <w:t>880.03</w:t>
            </w:r>
          </w:p>
        </w:tc>
        <w:tc>
          <w:tcPr>
            <w:tcW w:w="2551" w:type="dxa"/>
            <w:vAlign w:val="center"/>
          </w:tcPr>
          <w:p w14:paraId="4106A236">
            <w:pPr>
              <w:pStyle w:val="14"/>
            </w:pPr>
            <w:r>
              <w:t>880.03</w:t>
            </w:r>
          </w:p>
        </w:tc>
        <w:tc>
          <w:tcPr>
            <w:tcW w:w="2551" w:type="dxa"/>
            <w:vAlign w:val="center"/>
          </w:tcPr>
          <w:p w14:paraId="6C1EAFC4">
            <w:pPr>
              <w:pStyle w:val="14"/>
            </w:pPr>
          </w:p>
        </w:tc>
      </w:tr>
      <w:tr w14:paraId="3E2AD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40AE0">
            <w:pPr>
              <w:pStyle w:val="12"/>
            </w:pPr>
            <w:r>
              <w:t>23</w:t>
            </w:r>
          </w:p>
        </w:tc>
        <w:tc>
          <w:tcPr>
            <w:tcW w:w="1191" w:type="dxa"/>
            <w:vAlign w:val="center"/>
          </w:tcPr>
          <w:p w14:paraId="2F4C0B3E">
            <w:pPr>
              <w:pStyle w:val="13"/>
            </w:pPr>
            <w:r>
              <w:t>22102</w:t>
            </w:r>
          </w:p>
        </w:tc>
        <w:tc>
          <w:tcPr>
            <w:tcW w:w="4535" w:type="dxa"/>
            <w:vAlign w:val="center"/>
          </w:tcPr>
          <w:p w14:paraId="33976F0D">
            <w:pPr>
              <w:pStyle w:val="13"/>
            </w:pPr>
            <w:r>
              <w:t>住房改革支出</w:t>
            </w:r>
          </w:p>
        </w:tc>
        <w:tc>
          <w:tcPr>
            <w:tcW w:w="2551" w:type="dxa"/>
            <w:vAlign w:val="center"/>
          </w:tcPr>
          <w:p w14:paraId="4293EA78">
            <w:pPr>
              <w:pStyle w:val="14"/>
            </w:pPr>
            <w:r>
              <w:t>880.03</w:t>
            </w:r>
          </w:p>
        </w:tc>
        <w:tc>
          <w:tcPr>
            <w:tcW w:w="2551" w:type="dxa"/>
            <w:vAlign w:val="center"/>
          </w:tcPr>
          <w:p w14:paraId="6454C6FB">
            <w:pPr>
              <w:pStyle w:val="14"/>
            </w:pPr>
            <w:r>
              <w:t>880.03</w:t>
            </w:r>
          </w:p>
        </w:tc>
        <w:tc>
          <w:tcPr>
            <w:tcW w:w="2551" w:type="dxa"/>
            <w:vAlign w:val="center"/>
          </w:tcPr>
          <w:p w14:paraId="07D3F156">
            <w:pPr>
              <w:pStyle w:val="14"/>
            </w:pPr>
          </w:p>
        </w:tc>
      </w:tr>
      <w:tr w14:paraId="4D055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C9ED1">
            <w:pPr>
              <w:pStyle w:val="12"/>
            </w:pPr>
            <w:r>
              <w:t>24</w:t>
            </w:r>
          </w:p>
        </w:tc>
        <w:tc>
          <w:tcPr>
            <w:tcW w:w="1191" w:type="dxa"/>
            <w:vAlign w:val="center"/>
          </w:tcPr>
          <w:p w14:paraId="13E129F7">
            <w:pPr>
              <w:pStyle w:val="13"/>
            </w:pPr>
            <w:r>
              <w:t>2210201</w:t>
            </w:r>
          </w:p>
        </w:tc>
        <w:tc>
          <w:tcPr>
            <w:tcW w:w="4535" w:type="dxa"/>
            <w:vAlign w:val="center"/>
          </w:tcPr>
          <w:p w14:paraId="55C4AF4E">
            <w:pPr>
              <w:pStyle w:val="13"/>
            </w:pPr>
            <w:r>
              <w:t>住房公积金</w:t>
            </w:r>
          </w:p>
        </w:tc>
        <w:tc>
          <w:tcPr>
            <w:tcW w:w="2551" w:type="dxa"/>
            <w:vAlign w:val="center"/>
          </w:tcPr>
          <w:p w14:paraId="53FD5045">
            <w:pPr>
              <w:pStyle w:val="14"/>
            </w:pPr>
            <w:r>
              <w:t>880.03</w:t>
            </w:r>
          </w:p>
        </w:tc>
        <w:tc>
          <w:tcPr>
            <w:tcW w:w="2551" w:type="dxa"/>
            <w:vAlign w:val="center"/>
          </w:tcPr>
          <w:p w14:paraId="7F4DBE2A">
            <w:pPr>
              <w:pStyle w:val="14"/>
            </w:pPr>
            <w:r>
              <w:t>880.03</w:t>
            </w:r>
          </w:p>
        </w:tc>
        <w:tc>
          <w:tcPr>
            <w:tcW w:w="2551" w:type="dxa"/>
            <w:vAlign w:val="center"/>
          </w:tcPr>
          <w:p w14:paraId="7053FC59">
            <w:pPr>
              <w:pStyle w:val="14"/>
            </w:pPr>
          </w:p>
        </w:tc>
      </w:tr>
    </w:tbl>
    <w:p w14:paraId="1448B43A">
      <w:pPr>
        <w:sectPr>
          <w:pgSz w:w="16840" w:h="11900" w:orient="landscape"/>
          <w:pgMar w:top="1361" w:right="1020" w:bottom="1134" w:left="1020" w:header="720" w:footer="720" w:gutter="0"/>
          <w:cols w:space="720" w:num="1"/>
        </w:sectPr>
      </w:pPr>
    </w:p>
    <w:p w14:paraId="69A235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303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2EB22F">
            <w:pPr>
              <w:pStyle w:val="8"/>
            </w:pPr>
            <w:r>
              <w:t>360001隆尧县教育局本级</w:t>
            </w:r>
          </w:p>
        </w:tc>
        <w:tc>
          <w:tcPr>
            <w:tcW w:w="2551" w:type="dxa"/>
            <w:tcBorders>
              <w:top w:val="single" w:color="FFFFFF" w:sz="6" w:space="0"/>
              <w:left w:val="single" w:color="FFFFFF" w:sz="6" w:space="0"/>
              <w:right w:val="single" w:color="FFFFFF" w:sz="6" w:space="0"/>
            </w:tcBorders>
            <w:vAlign w:val="center"/>
          </w:tcPr>
          <w:p w14:paraId="7CD55FB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FB85B5B">
            <w:pPr>
              <w:pStyle w:val="10"/>
            </w:pPr>
            <w:r>
              <w:t>单位：万元</w:t>
            </w:r>
          </w:p>
        </w:tc>
      </w:tr>
      <w:tr w14:paraId="018A2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A016DB">
            <w:pPr>
              <w:pStyle w:val="11"/>
            </w:pPr>
            <w:r>
              <w:t>序号</w:t>
            </w:r>
          </w:p>
        </w:tc>
        <w:tc>
          <w:tcPr>
            <w:tcW w:w="5726" w:type="dxa"/>
            <w:gridSpan w:val="2"/>
            <w:vAlign w:val="center"/>
          </w:tcPr>
          <w:p w14:paraId="4F49AF7B">
            <w:pPr>
              <w:pStyle w:val="11"/>
            </w:pPr>
            <w:r>
              <w:t>支出部门经济分类科目</w:t>
            </w:r>
          </w:p>
        </w:tc>
        <w:tc>
          <w:tcPr>
            <w:tcW w:w="7653" w:type="dxa"/>
            <w:gridSpan w:val="3"/>
            <w:vAlign w:val="center"/>
          </w:tcPr>
          <w:p w14:paraId="5861C503">
            <w:pPr>
              <w:pStyle w:val="11"/>
            </w:pPr>
            <w:r>
              <w:t>一般公共预算基本支出</w:t>
            </w:r>
          </w:p>
        </w:tc>
      </w:tr>
      <w:tr w14:paraId="5124E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A7BC8"/>
        </w:tc>
        <w:tc>
          <w:tcPr>
            <w:tcW w:w="1191" w:type="dxa"/>
            <w:vAlign w:val="center"/>
          </w:tcPr>
          <w:p w14:paraId="24136754">
            <w:pPr>
              <w:pStyle w:val="11"/>
            </w:pPr>
            <w:r>
              <w:t>科目编码</w:t>
            </w:r>
          </w:p>
        </w:tc>
        <w:tc>
          <w:tcPr>
            <w:tcW w:w="4535" w:type="dxa"/>
            <w:vAlign w:val="center"/>
          </w:tcPr>
          <w:p w14:paraId="1EB1510F">
            <w:pPr>
              <w:pStyle w:val="11"/>
            </w:pPr>
            <w:r>
              <w:t>科目名称</w:t>
            </w:r>
          </w:p>
        </w:tc>
        <w:tc>
          <w:tcPr>
            <w:tcW w:w="2551" w:type="dxa"/>
            <w:vAlign w:val="center"/>
          </w:tcPr>
          <w:p w14:paraId="3F99256D">
            <w:pPr>
              <w:pStyle w:val="11"/>
            </w:pPr>
            <w:r>
              <w:t>合计</w:t>
            </w:r>
          </w:p>
        </w:tc>
        <w:tc>
          <w:tcPr>
            <w:tcW w:w="2551" w:type="dxa"/>
            <w:vAlign w:val="center"/>
          </w:tcPr>
          <w:p w14:paraId="261DB4B8">
            <w:pPr>
              <w:pStyle w:val="11"/>
            </w:pPr>
            <w:r>
              <w:t>人员经费</w:t>
            </w:r>
          </w:p>
        </w:tc>
        <w:tc>
          <w:tcPr>
            <w:tcW w:w="2551" w:type="dxa"/>
            <w:vAlign w:val="center"/>
          </w:tcPr>
          <w:p w14:paraId="01915D08">
            <w:pPr>
              <w:pStyle w:val="11"/>
            </w:pPr>
            <w:r>
              <w:t>公用经费</w:t>
            </w:r>
          </w:p>
        </w:tc>
      </w:tr>
      <w:tr w14:paraId="4C3F3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9BD911">
            <w:pPr>
              <w:pStyle w:val="11"/>
            </w:pPr>
            <w:r>
              <w:t>栏次</w:t>
            </w:r>
          </w:p>
        </w:tc>
        <w:tc>
          <w:tcPr>
            <w:tcW w:w="1191" w:type="dxa"/>
            <w:vAlign w:val="center"/>
          </w:tcPr>
          <w:p w14:paraId="151BE6A5">
            <w:pPr>
              <w:pStyle w:val="11"/>
            </w:pPr>
            <w:r>
              <w:t>1</w:t>
            </w:r>
          </w:p>
        </w:tc>
        <w:tc>
          <w:tcPr>
            <w:tcW w:w="4535" w:type="dxa"/>
            <w:vAlign w:val="center"/>
          </w:tcPr>
          <w:p w14:paraId="57D5BCFF">
            <w:pPr>
              <w:pStyle w:val="11"/>
            </w:pPr>
            <w:r>
              <w:t>2</w:t>
            </w:r>
          </w:p>
        </w:tc>
        <w:tc>
          <w:tcPr>
            <w:tcW w:w="2551" w:type="dxa"/>
            <w:vAlign w:val="center"/>
          </w:tcPr>
          <w:p w14:paraId="24ABC4AF">
            <w:pPr>
              <w:pStyle w:val="11"/>
            </w:pPr>
            <w:r>
              <w:t>3</w:t>
            </w:r>
          </w:p>
        </w:tc>
        <w:tc>
          <w:tcPr>
            <w:tcW w:w="2551" w:type="dxa"/>
            <w:vAlign w:val="center"/>
          </w:tcPr>
          <w:p w14:paraId="5547A260">
            <w:pPr>
              <w:pStyle w:val="11"/>
            </w:pPr>
            <w:r>
              <w:t>4</w:t>
            </w:r>
          </w:p>
        </w:tc>
        <w:tc>
          <w:tcPr>
            <w:tcW w:w="2551" w:type="dxa"/>
            <w:vAlign w:val="center"/>
          </w:tcPr>
          <w:p w14:paraId="4007B74A">
            <w:pPr>
              <w:pStyle w:val="11"/>
            </w:pPr>
            <w:r>
              <w:t>5</w:t>
            </w:r>
          </w:p>
        </w:tc>
      </w:tr>
      <w:tr w14:paraId="4A5CA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044A2">
            <w:pPr>
              <w:pStyle w:val="12"/>
            </w:pPr>
            <w:r>
              <w:t>1</w:t>
            </w:r>
          </w:p>
        </w:tc>
        <w:tc>
          <w:tcPr>
            <w:tcW w:w="1191" w:type="dxa"/>
            <w:vAlign w:val="center"/>
          </w:tcPr>
          <w:p w14:paraId="7337793C">
            <w:pPr>
              <w:pStyle w:val="17"/>
            </w:pPr>
          </w:p>
        </w:tc>
        <w:tc>
          <w:tcPr>
            <w:tcW w:w="4535" w:type="dxa"/>
            <w:vAlign w:val="center"/>
          </w:tcPr>
          <w:p w14:paraId="4DD7E647">
            <w:pPr>
              <w:pStyle w:val="15"/>
            </w:pPr>
            <w:r>
              <w:t>合计</w:t>
            </w:r>
          </w:p>
        </w:tc>
        <w:tc>
          <w:tcPr>
            <w:tcW w:w="2551" w:type="dxa"/>
            <w:vAlign w:val="center"/>
          </w:tcPr>
          <w:p w14:paraId="59297F64">
            <w:pPr>
              <w:pStyle w:val="16"/>
            </w:pPr>
            <w:r>
              <w:t>3863.33</w:t>
            </w:r>
          </w:p>
        </w:tc>
        <w:tc>
          <w:tcPr>
            <w:tcW w:w="2551" w:type="dxa"/>
            <w:vAlign w:val="center"/>
          </w:tcPr>
          <w:p w14:paraId="2602CEE9">
            <w:pPr>
              <w:pStyle w:val="16"/>
            </w:pPr>
            <w:r>
              <w:t>3803.01</w:t>
            </w:r>
          </w:p>
        </w:tc>
        <w:tc>
          <w:tcPr>
            <w:tcW w:w="2551" w:type="dxa"/>
            <w:vAlign w:val="center"/>
          </w:tcPr>
          <w:p w14:paraId="407C6025">
            <w:pPr>
              <w:pStyle w:val="16"/>
            </w:pPr>
            <w:r>
              <w:t>60.32</w:t>
            </w:r>
          </w:p>
        </w:tc>
      </w:tr>
      <w:tr w14:paraId="20677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93F8B">
            <w:pPr>
              <w:pStyle w:val="12"/>
            </w:pPr>
            <w:r>
              <w:t>2</w:t>
            </w:r>
          </w:p>
        </w:tc>
        <w:tc>
          <w:tcPr>
            <w:tcW w:w="1191" w:type="dxa"/>
            <w:vAlign w:val="center"/>
          </w:tcPr>
          <w:p w14:paraId="5FDA7BCE">
            <w:pPr>
              <w:pStyle w:val="13"/>
            </w:pPr>
            <w:r>
              <w:t>301</w:t>
            </w:r>
          </w:p>
        </w:tc>
        <w:tc>
          <w:tcPr>
            <w:tcW w:w="4535" w:type="dxa"/>
            <w:vAlign w:val="center"/>
          </w:tcPr>
          <w:p w14:paraId="7E620DA2">
            <w:pPr>
              <w:pStyle w:val="13"/>
            </w:pPr>
            <w:r>
              <w:t>工资福利支出</w:t>
            </w:r>
          </w:p>
        </w:tc>
        <w:tc>
          <w:tcPr>
            <w:tcW w:w="2551" w:type="dxa"/>
            <w:vAlign w:val="center"/>
          </w:tcPr>
          <w:p w14:paraId="08D6E9C2">
            <w:pPr>
              <w:pStyle w:val="14"/>
            </w:pPr>
            <w:r>
              <w:t>3775.01</w:t>
            </w:r>
          </w:p>
        </w:tc>
        <w:tc>
          <w:tcPr>
            <w:tcW w:w="2551" w:type="dxa"/>
            <w:vAlign w:val="center"/>
          </w:tcPr>
          <w:p w14:paraId="69D0B6C4">
            <w:pPr>
              <w:pStyle w:val="14"/>
            </w:pPr>
            <w:r>
              <w:t>3775.01</w:t>
            </w:r>
          </w:p>
        </w:tc>
        <w:tc>
          <w:tcPr>
            <w:tcW w:w="2551" w:type="dxa"/>
            <w:vAlign w:val="center"/>
          </w:tcPr>
          <w:p w14:paraId="700C445E">
            <w:pPr>
              <w:pStyle w:val="14"/>
            </w:pPr>
          </w:p>
        </w:tc>
      </w:tr>
      <w:tr w14:paraId="674DE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F111A">
            <w:pPr>
              <w:pStyle w:val="12"/>
            </w:pPr>
            <w:r>
              <w:t>3</w:t>
            </w:r>
          </w:p>
        </w:tc>
        <w:tc>
          <w:tcPr>
            <w:tcW w:w="1191" w:type="dxa"/>
            <w:vAlign w:val="center"/>
          </w:tcPr>
          <w:p w14:paraId="19CA27AA">
            <w:pPr>
              <w:pStyle w:val="13"/>
            </w:pPr>
            <w:r>
              <w:t>30101</w:t>
            </w:r>
          </w:p>
        </w:tc>
        <w:tc>
          <w:tcPr>
            <w:tcW w:w="4535" w:type="dxa"/>
            <w:vAlign w:val="center"/>
          </w:tcPr>
          <w:p w14:paraId="11C4E0A4">
            <w:pPr>
              <w:pStyle w:val="13"/>
            </w:pPr>
            <w:r>
              <w:t>基本工资</w:t>
            </w:r>
          </w:p>
        </w:tc>
        <w:tc>
          <w:tcPr>
            <w:tcW w:w="2551" w:type="dxa"/>
            <w:vAlign w:val="center"/>
          </w:tcPr>
          <w:p w14:paraId="2D90CBC0">
            <w:pPr>
              <w:pStyle w:val="14"/>
            </w:pPr>
            <w:r>
              <w:t>626.36</w:t>
            </w:r>
          </w:p>
        </w:tc>
        <w:tc>
          <w:tcPr>
            <w:tcW w:w="2551" w:type="dxa"/>
            <w:vAlign w:val="center"/>
          </w:tcPr>
          <w:p w14:paraId="41249578">
            <w:pPr>
              <w:pStyle w:val="14"/>
            </w:pPr>
            <w:r>
              <w:t>626.36</w:t>
            </w:r>
          </w:p>
        </w:tc>
        <w:tc>
          <w:tcPr>
            <w:tcW w:w="2551" w:type="dxa"/>
            <w:vAlign w:val="center"/>
          </w:tcPr>
          <w:p w14:paraId="765FBAAA">
            <w:pPr>
              <w:pStyle w:val="14"/>
            </w:pPr>
          </w:p>
        </w:tc>
      </w:tr>
      <w:tr w14:paraId="68870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6224D">
            <w:pPr>
              <w:pStyle w:val="12"/>
            </w:pPr>
            <w:r>
              <w:t>4</w:t>
            </w:r>
          </w:p>
        </w:tc>
        <w:tc>
          <w:tcPr>
            <w:tcW w:w="1191" w:type="dxa"/>
            <w:vAlign w:val="center"/>
          </w:tcPr>
          <w:p w14:paraId="1F2AF55D">
            <w:pPr>
              <w:pStyle w:val="13"/>
            </w:pPr>
            <w:r>
              <w:t>30102</w:t>
            </w:r>
          </w:p>
        </w:tc>
        <w:tc>
          <w:tcPr>
            <w:tcW w:w="4535" w:type="dxa"/>
            <w:vAlign w:val="center"/>
          </w:tcPr>
          <w:p w14:paraId="06EC2CED">
            <w:pPr>
              <w:pStyle w:val="13"/>
            </w:pPr>
            <w:r>
              <w:t>津贴补贴</w:t>
            </w:r>
          </w:p>
        </w:tc>
        <w:tc>
          <w:tcPr>
            <w:tcW w:w="2551" w:type="dxa"/>
            <w:vAlign w:val="center"/>
          </w:tcPr>
          <w:p w14:paraId="3DB90E05">
            <w:pPr>
              <w:pStyle w:val="14"/>
            </w:pPr>
            <w:r>
              <w:t>1041.23</w:t>
            </w:r>
          </w:p>
        </w:tc>
        <w:tc>
          <w:tcPr>
            <w:tcW w:w="2551" w:type="dxa"/>
            <w:vAlign w:val="center"/>
          </w:tcPr>
          <w:p w14:paraId="01212428">
            <w:pPr>
              <w:pStyle w:val="14"/>
            </w:pPr>
            <w:r>
              <w:t>1041.23</w:t>
            </w:r>
          </w:p>
        </w:tc>
        <w:tc>
          <w:tcPr>
            <w:tcW w:w="2551" w:type="dxa"/>
            <w:vAlign w:val="center"/>
          </w:tcPr>
          <w:p w14:paraId="0648FEC9">
            <w:pPr>
              <w:pStyle w:val="14"/>
            </w:pPr>
          </w:p>
        </w:tc>
      </w:tr>
      <w:tr w14:paraId="161EC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9925A">
            <w:pPr>
              <w:pStyle w:val="12"/>
            </w:pPr>
            <w:r>
              <w:t>5</w:t>
            </w:r>
          </w:p>
        </w:tc>
        <w:tc>
          <w:tcPr>
            <w:tcW w:w="1191" w:type="dxa"/>
            <w:vAlign w:val="center"/>
          </w:tcPr>
          <w:p w14:paraId="04E36A00">
            <w:pPr>
              <w:pStyle w:val="13"/>
            </w:pPr>
            <w:r>
              <w:t>30103</w:t>
            </w:r>
          </w:p>
        </w:tc>
        <w:tc>
          <w:tcPr>
            <w:tcW w:w="4535" w:type="dxa"/>
            <w:vAlign w:val="center"/>
          </w:tcPr>
          <w:p w14:paraId="29D036E2">
            <w:pPr>
              <w:pStyle w:val="13"/>
            </w:pPr>
            <w:r>
              <w:t>奖金</w:t>
            </w:r>
          </w:p>
        </w:tc>
        <w:tc>
          <w:tcPr>
            <w:tcW w:w="2551" w:type="dxa"/>
            <w:vAlign w:val="center"/>
          </w:tcPr>
          <w:p w14:paraId="420A7F15">
            <w:pPr>
              <w:pStyle w:val="14"/>
            </w:pPr>
            <w:r>
              <w:t>19.99</w:t>
            </w:r>
          </w:p>
        </w:tc>
        <w:tc>
          <w:tcPr>
            <w:tcW w:w="2551" w:type="dxa"/>
            <w:vAlign w:val="center"/>
          </w:tcPr>
          <w:p w14:paraId="00DF38F6">
            <w:pPr>
              <w:pStyle w:val="14"/>
            </w:pPr>
            <w:r>
              <w:t>19.99</w:t>
            </w:r>
          </w:p>
        </w:tc>
        <w:tc>
          <w:tcPr>
            <w:tcW w:w="2551" w:type="dxa"/>
            <w:vAlign w:val="center"/>
          </w:tcPr>
          <w:p w14:paraId="38390160">
            <w:pPr>
              <w:pStyle w:val="14"/>
            </w:pPr>
          </w:p>
        </w:tc>
      </w:tr>
      <w:tr w14:paraId="1BF98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FF41D">
            <w:pPr>
              <w:pStyle w:val="12"/>
            </w:pPr>
            <w:r>
              <w:t>6</w:t>
            </w:r>
          </w:p>
        </w:tc>
        <w:tc>
          <w:tcPr>
            <w:tcW w:w="1191" w:type="dxa"/>
            <w:vAlign w:val="center"/>
          </w:tcPr>
          <w:p w14:paraId="5F13ADEB">
            <w:pPr>
              <w:pStyle w:val="13"/>
            </w:pPr>
            <w:r>
              <w:t>30107</w:t>
            </w:r>
          </w:p>
        </w:tc>
        <w:tc>
          <w:tcPr>
            <w:tcW w:w="4535" w:type="dxa"/>
            <w:vAlign w:val="center"/>
          </w:tcPr>
          <w:p w14:paraId="342F50A1">
            <w:pPr>
              <w:pStyle w:val="13"/>
            </w:pPr>
            <w:r>
              <w:t>绩效工资</w:t>
            </w:r>
          </w:p>
        </w:tc>
        <w:tc>
          <w:tcPr>
            <w:tcW w:w="2551" w:type="dxa"/>
            <w:vAlign w:val="center"/>
          </w:tcPr>
          <w:p w14:paraId="783A91AF">
            <w:pPr>
              <w:pStyle w:val="14"/>
            </w:pPr>
            <w:r>
              <w:t>31.99</w:t>
            </w:r>
          </w:p>
        </w:tc>
        <w:tc>
          <w:tcPr>
            <w:tcW w:w="2551" w:type="dxa"/>
            <w:vAlign w:val="center"/>
          </w:tcPr>
          <w:p w14:paraId="05C74149">
            <w:pPr>
              <w:pStyle w:val="14"/>
            </w:pPr>
            <w:r>
              <w:t>31.99</w:t>
            </w:r>
          </w:p>
        </w:tc>
        <w:tc>
          <w:tcPr>
            <w:tcW w:w="2551" w:type="dxa"/>
            <w:vAlign w:val="center"/>
          </w:tcPr>
          <w:p w14:paraId="79CBCA5B">
            <w:pPr>
              <w:pStyle w:val="14"/>
            </w:pPr>
          </w:p>
        </w:tc>
      </w:tr>
      <w:tr w14:paraId="5A8DF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4046A3E">
            <w:pPr>
              <w:pStyle w:val="12"/>
            </w:pPr>
            <w:r>
              <w:t>7</w:t>
            </w:r>
          </w:p>
        </w:tc>
        <w:tc>
          <w:tcPr>
            <w:tcW w:w="1191" w:type="dxa"/>
            <w:vAlign w:val="center"/>
          </w:tcPr>
          <w:p w14:paraId="0E86AE9B">
            <w:pPr>
              <w:pStyle w:val="13"/>
            </w:pPr>
            <w:r>
              <w:t>30108</w:t>
            </w:r>
          </w:p>
        </w:tc>
        <w:tc>
          <w:tcPr>
            <w:tcW w:w="4535" w:type="dxa"/>
            <w:vAlign w:val="center"/>
          </w:tcPr>
          <w:p w14:paraId="64AD7E1D">
            <w:pPr>
              <w:pStyle w:val="13"/>
            </w:pPr>
            <w:r>
              <w:t>机关事业单位基本养老保险缴费</w:t>
            </w:r>
          </w:p>
        </w:tc>
        <w:tc>
          <w:tcPr>
            <w:tcW w:w="2551" w:type="dxa"/>
            <w:vAlign w:val="center"/>
          </w:tcPr>
          <w:p w14:paraId="5D009B75">
            <w:pPr>
              <w:pStyle w:val="14"/>
            </w:pPr>
            <w:r>
              <w:t>959.60</w:t>
            </w:r>
          </w:p>
        </w:tc>
        <w:tc>
          <w:tcPr>
            <w:tcW w:w="2551" w:type="dxa"/>
            <w:vAlign w:val="center"/>
          </w:tcPr>
          <w:p w14:paraId="0AD778B5">
            <w:pPr>
              <w:pStyle w:val="14"/>
            </w:pPr>
            <w:r>
              <w:t>959.60</w:t>
            </w:r>
          </w:p>
        </w:tc>
        <w:tc>
          <w:tcPr>
            <w:tcW w:w="2551" w:type="dxa"/>
            <w:vAlign w:val="center"/>
          </w:tcPr>
          <w:p w14:paraId="12566CC9">
            <w:pPr>
              <w:pStyle w:val="14"/>
            </w:pPr>
          </w:p>
        </w:tc>
      </w:tr>
      <w:tr w14:paraId="58AEF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2F695">
            <w:pPr>
              <w:pStyle w:val="12"/>
            </w:pPr>
            <w:r>
              <w:t>8</w:t>
            </w:r>
          </w:p>
        </w:tc>
        <w:tc>
          <w:tcPr>
            <w:tcW w:w="1191" w:type="dxa"/>
            <w:vAlign w:val="center"/>
          </w:tcPr>
          <w:p w14:paraId="265C1E7F">
            <w:pPr>
              <w:pStyle w:val="13"/>
            </w:pPr>
            <w:r>
              <w:t>30110</w:t>
            </w:r>
          </w:p>
        </w:tc>
        <w:tc>
          <w:tcPr>
            <w:tcW w:w="4535" w:type="dxa"/>
            <w:vAlign w:val="center"/>
          </w:tcPr>
          <w:p w14:paraId="5615B110">
            <w:pPr>
              <w:pStyle w:val="13"/>
            </w:pPr>
            <w:r>
              <w:t>职工基本医疗保险缴费</w:t>
            </w:r>
          </w:p>
        </w:tc>
        <w:tc>
          <w:tcPr>
            <w:tcW w:w="2551" w:type="dxa"/>
            <w:vAlign w:val="center"/>
          </w:tcPr>
          <w:p w14:paraId="29BA844A">
            <w:pPr>
              <w:pStyle w:val="14"/>
            </w:pPr>
            <w:r>
              <w:t>102.87</w:t>
            </w:r>
          </w:p>
        </w:tc>
        <w:tc>
          <w:tcPr>
            <w:tcW w:w="2551" w:type="dxa"/>
            <w:vAlign w:val="center"/>
          </w:tcPr>
          <w:p w14:paraId="4342DC4F">
            <w:pPr>
              <w:pStyle w:val="14"/>
            </w:pPr>
            <w:r>
              <w:t>102.87</w:t>
            </w:r>
          </w:p>
        </w:tc>
        <w:tc>
          <w:tcPr>
            <w:tcW w:w="2551" w:type="dxa"/>
            <w:vAlign w:val="center"/>
          </w:tcPr>
          <w:p w14:paraId="2673EF88">
            <w:pPr>
              <w:pStyle w:val="14"/>
            </w:pPr>
          </w:p>
        </w:tc>
      </w:tr>
      <w:tr w14:paraId="25DBE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EE65A">
            <w:pPr>
              <w:pStyle w:val="12"/>
            </w:pPr>
            <w:r>
              <w:t>9</w:t>
            </w:r>
          </w:p>
        </w:tc>
        <w:tc>
          <w:tcPr>
            <w:tcW w:w="1191" w:type="dxa"/>
            <w:vAlign w:val="center"/>
          </w:tcPr>
          <w:p w14:paraId="08DBEEDF">
            <w:pPr>
              <w:pStyle w:val="13"/>
            </w:pPr>
            <w:r>
              <w:t>30112</w:t>
            </w:r>
          </w:p>
        </w:tc>
        <w:tc>
          <w:tcPr>
            <w:tcW w:w="4535" w:type="dxa"/>
            <w:vAlign w:val="center"/>
          </w:tcPr>
          <w:p w14:paraId="42EAD338">
            <w:pPr>
              <w:pStyle w:val="13"/>
            </w:pPr>
            <w:r>
              <w:t>其他社会保障缴费</w:t>
            </w:r>
          </w:p>
        </w:tc>
        <w:tc>
          <w:tcPr>
            <w:tcW w:w="2551" w:type="dxa"/>
            <w:vAlign w:val="center"/>
          </w:tcPr>
          <w:p w14:paraId="5BB40389">
            <w:pPr>
              <w:pStyle w:val="14"/>
            </w:pPr>
            <w:r>
              <w:t>112.93</w:t>
            </w:r>
          </w:p>
        </w:tc>
        <w:tc>
          <w:tcPr>
            <w:tcW w:w="2551" w:type="dxa"/>
            <w:vAlign w:val="center"/>
          </w:tcPr>
          <w:p w14:paraId="55B71332">
            <w:pPr>
              <w:pStyle w:val="14"/>
            </w:pPr>
            <w:r>
              <w:t>112.93</w:t>
            </w:r>
          </w:p>
        </w:tc>
        <w:tc>
          <w:tcPr>
            <w:tcW w:w="2551" w:type="dxa"/>
            <w:vAlign w:val="center"/>
          </w:tcPr>
          <w:p w14:paraId="0C250D20">
            <w:pPr>
              <w:pStyle w:val="14"/>
            </w:pPr>
          </w:p>
        </w:tc>
      </w:tr>
      <w:tr w14:paraId="03B76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E7D62">
            <w:pPr>
              <w:pStyle w:val="12"/>
            </w:pPr>
            <w:r>
              <w:t>10</w:t>
            </w:r>
          </w:p>
        </w:tc>
        <w:tc>
          <w:tcPr>
            <w:tcW w:w="1191" w:type="dxa"/>
            <w:vAlign w:val="center"/>
          </w:tcPr>
          <w:p w14:paraId="62ACC7AB">
            <w:pPr>
              <w:pStyle w:val="13"/>
            </w:pPr>
            <w:r>
              <w:t>30113</w:t>
            </w:r>
          </w:p>
        </w:tc>
        <w:tc>
          <w:tcPr>
            <w:tcW w:w="4535" w:type="dxa"/>
            <w:vAlign w:val="center"/>
          </w:tcPr>
          <w:p w14:paraId="12F13265">
            <w:pPr>
              <w:pStyle w:val="13"/>
            </w:pPr>
            <w:r>
              <w:t>住房公积金</w:t>
            </w:r>
          </w:p>
        </w:tc>
        <w:tc>
          <w:tcPr>
            <w:tcW w:w="2551" w:type="dxa"/>
            <w:vAlign w:val="center"/>
          </w:tcPr>
          <w:p w14:paraId="6FAB1EEC">
            <w:pPr>
              <w:pStyle w:val="14"/>
            </w:pPr>
            <w:r>
              <w:t>880.03</w:t>
            </w:r>
          </w:p>
        </w:tc>
        <w:tc>
          <w:tcPr>
            <w:tcW w:w="2551" w:type="dxa"/>
            <w:vAlign w:val="center"/>
          </w:tcPr>
          <w:p w14:paraId="2AEC33C5">
            <w:pPr>
              <w:pStyle w:val="14"/>
            </w:pPr>
            <w:r>
              <w:t>880.03</w:t>
            </w:r>
          </w:p>
        </w:tc>
        <w:tc>
          <w:tcPr>
            <w:tcW w:w="2551" w:type="dxa"/>
            <w:vAlign w:val="center"/>
          </w:tcPr>
          <w:p w14:paraId="64311509">
            <w:pPr>
              <w:pStyle w:val="14"/>
            </w:pPr>
          </w:p>
        </w:tc>
      </w:tr>
      <w:tr w14:paraId="17C8C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4C413">
            <w:pPr>
              <w:pStyle w:val="12"/>
            </w:pPr>
            <w:r>
              <w:t>11</w:t>
            </w:r>
          </w:p>
        </w:tc>
        <w:tc>
          <w:tcPr>
            <w:tcW w:w="1191" w:type="dxa"/>
            <w:vAlign w:val="center"/>
          </w:tcPr>
          <w:p w14:paraId="6DB3E8E2">
            <w:pPr>
              <w:pStyle w:val="13"/>
            </w:pPr>
            <w:r>
              <w:t>302</w:t>
            </w:r>
          </w:p>
        </w:tc>
        <w:tc>
          <w:tcPr>
            <w:tcW w:w="4535" w:type="dxa"/>
            <w:vAlign w:val="center"/>
          </w:tcPr>
          <w:p w14:paraId="593CD22F">
            <w:pPr>
              <w:pStyle w:val="13"/>
            </w:pPr>
            <w:r>
              <w:t>商品和服务支出</w:t>
            </w:r>
          </w:p>
        </w:tc>
        <w:tc>
          <w:tcPr>
            <w:tcW w:w="2551" w:type="dxa"/>
            <w:vAlign w:val="center"/>
          </w:tcPr>
          <w:p w14:paraId="26B1043F">
            <w:pPr>
              <w:pStyle w:val="14"/>
            </w:pPr>
            <w:r>
              <w:t>55.32</w:t>
            </w:r>
          </w:p>
        </w:tc>
        <w:tc>
          <w:tcPr>
            <w:tcW w:w="2551" w:type="dxa"/>
            <w:vAlign w:val="center"/>
          </w:tcPr>
          <w:p w14:paraId="63AAAC64">
            <w:pPr>
              <w:pStyle w:val="14"/>
            </w:pPr>
          </w:p>
        </w:tc>
        <w:tc>
          <w:tcPr>
            <w:tcW w:w="2551" w:type="dxa"/>
            <w:vAlign w:val="center"/>
          </w:tcPr>
          <w:p w14:paraId="2A853359">
            <w:pPr>
              <w:pStyle w:val="14"/>
            </w:pPr>
            <w:r>
              <w:t>55.32</w:t>
            </w:r>
          </w:p>
        </w:tc>
      </w:tr>
      <w:tr w14:paraId="26D68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35CB2">
            <w:pPr>
              <w:pStyle w:val="12"/>
            </w:pPr>
            <w:r>
              <w:t>12</w:t>
            </w:r>
          </w:p>
        </w:tc>
        <w:tc>
          <w:tcPr>
            <w:tcW w:w="1191" w:type="dxa"/>
            <w:vAlign w:val="center"/>
          </w:tcPr>
          <w:p w14:paraId="7388EF12">
            <w:pPr>
              <w:pStyle w:val="13"/>
            </w:pPr>
            <w:r>
              <w:t>30201</w:t>
            </w:r>
          </w:p>
        </w:tc>
        <w:tc>
          <w:tcPr>
            <w:tcW w:w="4535" w:type="dxa"/>
            <w:vAlign w:val="center"/>
          </w:tcPr>
          <w:p w14:paraId="5D8802E3">
            <w:pPr>
              <w:pStyle w:val="13"/>
            </w:pPr>
            <w:r>
              <w:t>办公费</w:t>
            </w:r>
          </w:p>
        </w:tc>
        <w:tc>
          <w:tcPr>
            <w:tcW w:w="2551" w:type="dxa"/>
            <w:vAlign w:val="center"/>
          </w:tcPr>
          <w:p w14:paraId="160CD571">
            <w:pPr>
              <w:pStyle w:val="14"/>
            </w:pPr>
            <w:r>
              <w:t>12.40</w:t>
            </w:r>
          </w:p>
        </w:tc>
        <w:tc>
          <w:tcPr>
            <w:tcW w:w="2551" w:type="dxa"/>
            <w:vAlign w:val="center"/>
          </w:tcPr>
          <w:p w14:paraId="3CB7D53B">
            <w:pPr>
              <w:pStyle w:val="14"/>
            </w:pPr>
          </w:p>
        </w:tc>
        <w:tc>
          <w:tcPr>
            <w:tcW w:w="2551" w:type="dxa"/>
            <w:vAlign w:val="center"/>
          </w:tcPr>
          <w:p w14:paraId="1547A97B">
            <w:pPr>
              <w:pStyle w:val="14"/>
            </w:pPr>
            <w:r>
              <w:t>12.40</w:t>
            </w:r>
          </w:p>
        </w:tc>
      </w:tr>
      <w:tr w14:paraId="6CD47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AFEE2">
            <w:pPr>
              <w:pStyle w:val="12"/>
            </w:pPr>
            <w:r>
              <w:t>13</w:t>
            </w:r>
          </w:p>
        </w:tc>
        <w:tc>
          <w:tcPr>
            <w:tcW w:w="1191" w:type="dxa"/>
            <w:vAlign w:val="center"/>
          </w:tcPr>
          <w:p w14:paraId="2940CD48">
            <w:pPr>
              <w:pStyle w:val="13"/>
            </w:pPr>
            <w:r>
              <w:t>30202</w:t>
            </w:r>
          </w:p>
        </w:tc>
        <w:tc>
          <w:tcPr>
            <w:tcW w:w="4535" w:type="dxa"/>
            <w:vAlign w:val="center"/>
          </w:tcPr>
          <w:p w14:paraId="63B5D28A">
            <w:pPr>
              <w:pStyle w:val="13"/>
            </w:pPr>
            <w:r>
              <w:t>印刷费</w:t>
            </w:r>
          </w:p>
        </w:tc>
        <w:tc>
          <w:tcPr>
            <w:tcW w:w="2551" w:type="dxa"/>
            <w:vAlign w:val="center"/>
          </w:tcPr>
          <w:p w14:paraId="15B8179C">
            <w:pPr>
              <w:pStyle w:val="14"/>
            </w:pPr>
            <w:r>
              <w:t>5.20</w:t>
            </w:r>
          </w:p>
        </w:tc>
        <w:tc>
          <w:tcPr>
            <w:tcW w:w="2551" w:type="dxa"/>
            <w:vAlign w:val="center"/>
          </w:tcPr>
          <w:p w14:paraId="7AA37D7C">
            <w:pPr>
              <w:pStyle w:val="14"/>
            </w:pPr>
          </w:p>
        </w:tc>
        <w:tc>
          <w:tcPr>
            <w:tcW w:w="2551" w:type="dxa"/>
            <w:vAlign w:val="center"/>
          </w:tcPr>
          <w:p w14:paraId="26306982">
            <w:pPr>
              <w:pStyle w:val="14"/>
            </w:pPr>
            <w:r>
              <w:t>5.20</w:t>
            </w:r>
          </w:p>
        </w:tc>
      </w:tr>
      <w:tr w14:paraId="3CA07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54F69">
            <w:pPr>
              <w:pStyle w:val="12"/>
            </w:pPr>
            <w:r>
              <w:t>14</w:t>
            </w:r>
          </w:p>
        </w:tc>
        <w:tc>
          <w:tcPr>
            <w:tcW w:w="1191" w:type="dxa"/>
            <w:vAlign w:val="center"/>
          </w:tcPr>
          <w:p w14:paraId="1FE4D4A4">
            <w:pPr>
              <w:pStyle w:val="13"/>
            </w:pPr>
            <w:r>
              <w:t>30209</w:t>
            </w:r>
          </w:p>
        </w:tc>
        <w:tc>
          <w:tcPr>
            <w:tcW w:w="4535" w:type="dxa"/>
            <w:vAlign w:val="center"/>
          </w:tcPr>
          <w:p w14:paraId="3ABD2E81">
            <w:pPr>
              <w:pStyle w:val="13"/>
            </w:pPr>
            <w:r>
              <w:t>物业管理费</w:t>
            </w:r>
          </w:p>
        </w:tc>
        <w:tc>
          <w:tcPr>
            <w:tcW w:w="2551" w:type="dxa"/>
            <w:vAlign w:val="center"/>
          </w:tcPr>
          <w:p w14:paraId="30D802EC">
            <w:pPr>
              <w:pStyle w:val="14"/>
            </w:pPr>
            <w:r>
              <w:t>9.00</w:t>
            </w:r>
          </w:p>
        </w:tc>
        <w:tc>
          <w:tcPr>
            <w:tcW w:w="2551" w:type="dxa"/>
            <w:vAlign w:val="center"/>
          </w:tcPr>
          <w:p w14:paraId="67911716">
            <w:pPr>
              <w:pStyle w:val="14"/>
            </w:pPr>
          </w:p>
        </w:tc>
        <w:tc>
          <w:tcPr>
            <w:tcW w:w="2551" w:type="dxa"/>
            <w:vAlign w:val="center"/>
          </w:tcPr>
          <w:p w14:paraId="742A8686">
            <w:pPr>
              <w:pStyle w:val="14"/>
            </w:pPr>
            <w:r>
              <w:t>9.00</w:t>
            </w:r>
          </w:p>
        </w:tc>
      </w:tr>
      <w:tr w14:paraId="23D3C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04362">
            <w:pPr>
              <w:pStyle w:val="12"/>
            </w:pPr>
            <w:r>
              <w:t>15</w:t>
            </w:r>
          </w:p>
        </w:tc>
        <w:tc>
          <w:tcPr>
            <w:tcW w:w="1191" w:type="dxa"/>
            <w:vAlign w:val="center"/>
          </w:tcPr>
          <w:p w14:paraId="1B5E3D35">
            <w:pPr>
              <w:pStyle w:val="13"/>
            </w:pPr>
            <w:r>
              <w:t>30211</w:t>
            </w:r>
          </w:p>
        </w:tc>
        <w:tc>
          <w:tcPr>
            <w:tcW w:w="4535" w:type="dxa"/>
            <w:vAlign w:val="center"/>
          </w:tcPr>
          <w:p w14:paraId="60588927">
            <w:pPr>
              <w:pStyle w:val="13"/>
            </w:pPr>
            <w:r>
              <w:t>差旅费</w:t>
            </w:r>
          </w:p>
        </w:tc>
        <w:tc>
          <w:tcPr>
            <w:tcW w:w="2551" w:type="dxa"/>
            <w:vAlign w:val="center"/>
          </w:tcPr>
          <w:p w14:paraId="3CDFE8F2">
            <w:pPr>
              <w:pStyle w:val="14"/>
            </w:pPr>
            <w:r>
              <w:t>4.80</w:t>
            </w:r>
          </w:p>
        </w:tc>
        <w:tc>
          <w:tcPr>
            <w:tcW w:w="2551" w:type="dxa"/>
            <w:vAlign w:val="center"/>
          </w:tcPr>
          <w:p w14:paraId="6EBB247E">
            <w:pPr>
              <w:pStyle w:val="14"/>
            </w:pPr>
          </w:p>
        </w:tc>
        <w:tc>
          <w:tcPr>
            <w:tcW w:w="2551" w:type="dxa"/>
            <w:vAlign w:val="center"/>
          </w:tcPr>
          <w:p w14:paraId="078B4DD1">
            <w:pPr>
              <w:pStyle w:val="14"/>
            </w:pPr>
            <w:r>
              <w:t>4.80</w:t>
            </w:r>
          </w:p>
        </w:tc>
      </w:tr>
      <w:tr w14:paraId="14F39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02518">
            <w:pPr>
              <w:pStyle w:val="12"/>
            </w:pPr>
            <w:r>
              <w:t>16</w:t>
            </w:r>
          </w:p>
        </w:tc>
        <w:tc>
          <w:tcPr>
            <w:tcW w:w="1191" w:type="dxa"/>
            <w:vAlign w:val="center"/>
          </w:tcPr>
          <w:p w14:paraId="06AFEF32">
            <w:pPr>
              <w:pStyle w:val="13"/>
            </w:pPr>
            <w:r>
              <w:t>30213</w:t>
            </w:r>
          </w:p>
        </w:tc>
        <w:tc>
          <w:tcPr>
            <w:tcW w:w="4535" w:type="dxa"/>
            <w:vAlign w:val="center"/>
          </w:tcPr>
          <w:p w14:paraId="0B85CB81">
            <w:pPr>
              <w:pStyle w:val="13"/>
            </w:pPr>
            <w:r>
              <w:t>维修(护)费</w:t>
            </w:r>
          </w:p>
        </w:tc>
        <w:tc>
          <w:tcPr>
            <w:tcW w:w="2551" w:type="dxa"/>
            <w:vAlign w:val="center"/>
          </w:tcPr>
          <w:p w14:paraId="5F887846">
            <w:pPr>
              <w:pStyle w:val="14"/>
            </w:pPr>
            <w:r>
              <w:t>5.50</w:t>
            </w:r>
          </w:p>
        </w:tc>
        <w:tc>
          <w:tcPr>
            <w:tcW w:w="2551" w:type="dxa"/>
            <w:vAlign w:val="center"/>
          </w:tcPr>
          <w:p w14:paraId="7DA15AA7">
            <w:pPr>
              <w:pStyle w:val="14"/>
            </w:pPr>
          </w:p>
        </w:tc>
        <w:tc>
          <w:tcPr>
            <w:tcW w:w="2551" w:type="dxa"/>
            <w:vAlign w:val="center"/>
          </w:tcPr>
          <w:p w14:paraId="4B8D5BE8">
            <w:pPr>
              <w:pStyle w:val="14"/>
            </w:pPr>
            <w:r>
              <w:t>5.50</w:t>
            </w:r>
          </w:p>
        </w:tc>
      </w:tr>
      <w:tr w14:paraId="6F063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C75D0">
            <w:pPr>
              <w:pStyle w:val="12"/>
            </w:pPr>
            <w:r>
              <w:t>17</w:t>
            </w:r>
          </w:p>
        </w:tc>
        <w:tc>
          <w:tcPr>
            <w:tcW w:w="1191" w:type="dxa"/>
            <w:vAlign w:val="center"/>
          </w:tcPr>
          <w:p w14:paraId="6E8A3BC1">
            <w:pPr>
              <w:pStyle w:val="13"/>
            </w:pPr>
            <w:r>
              <w:t>30215</w:t>
            </w:r>
          </w:p>
        </w:tc>
        <w:tc>
          <w:tcPr>
            <w:tcW w:w="4535" w:type="dxa"/>
            <w:vAlign w:val="center"/>
          </w:tcPr>
          <w:p w14:paraId="1E56F042">
            <w:pPr>
              <w:pStyle w:val="13"/>
            </w:pPr>
            <w:r>
              <w:t>会议费</w:t>
            </w:r>
          </w:p>
        </w:tc>
        <w:tc>
          <w:tcPr>
            <w:tcW w:w="2551" w:type="dxa"/>
            <w:vAlign w:val="center"/>
          </w:tcPr>
          <w:p w14:paraId="6E744ACB">
            <w:pPr>
              <w:pStyle w:val="14"/>
            </w:pPr>
            <w:r>
              <w:t>1.00</w:t>
            </w:r>
          </w:p>
        </w:tc>
        <w:tc>
          <w:tcPr>
            <w:tcW w:w="2551" w:type="dxa"/>
            <w:vAlign w:val="center"/>
          </w:tcPr>
          <w:p w14:paraId="3A4C39EF">
            <w:pPr>
              <w:pStyle w:val="14"/>
            </w:pPr>
          </w:p>
        </w:tc>
        <w:tc>
          <w:tcPr>
            <w:tcW w:w="2551" w:type="dxa"/>
            <w:vAlign w:val="center"/>
          </w:tcPr>
          <w:p w14:paraId="55B19841">
            <w:pPr>
              <w:pStyle w:val="14"/>
            </w:pPr>
            <w:r>
              <w:t>1.00</w:t>
            </w:r>
          </w:p>
        </w:tc>
      </w:tr>
      <w:tr w14:paraId="0DF6F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1885A">
            <w:pPr>
              <w:pStyle w:val="12"/>
            </w:pPr>
            <w:r>
              <w:t>18</w:t>
            </w:r>
          </w:p>
        </w:tc>
        <w:tc>
          <w:tcPr>
            <w:tcW w:w="1191" w:type="dxa"/>
            <w:vAlign w:val="center"/>
          </w:tcPr>
          <w:p w14:paraId="2AA33E36">
            <w:pPr>
              <w:pStyle w:val="13"/>
            </w:pPr>
            <w:r>
              <w:t>30216</w:t>
            </w:r>
          </w:p>
        </w:tc>
        <w:tc>
          <w:tcPr>
            <w:tcW w:w="4535" w:type="dxa"/>
            <w:vAlign w:val="center"/>
          </w:tcPr>
          <w:p w14:paraId="49855998">
            <w:pPr>
              <w:pStyle w:val="13"/>
            </w:pPr>
            <w:r>
              <w:t>培训费</w:t>
            </w:r>
          </w:p>
        </w:tc>
        <w:tc>
          <w:tcPr>
            <w:tcW w:w="2551" w:type="dxa"/>
            <w:vAlign w:val="center"/>
          </w:tcPr>
          <w:p w14:paraId="6CA02E3A">
            <w:pPr>
              <w:pStyle w:val="14"/>
            </w:pPr>
            <w:r>
              <w:t>0.50</w:t>
            </w:r>
          </w:p>
        </w:tc>
        <w:tc>
          <w:tcPr>
            <w:tcW w:w="2551" w:type="dxa"/>
            <w:vAlign w:val="center"/>
          </w:tcPr>
          <w:p w14:paraId="274D18C9">
            <w:pPr>
              <w:pStyle w:val="14"/>
            </w:pPr>
          </w:p>
        </w:tc>
        <w:tc>
          <w:tcPr>
            <w:tcW w:w="2551" w:type="dxa"/>
            <w:vAlign w:val="center"/>
          </w:tcPr>
          <w:p w14:paraId="1888C677">
            <w:pPr>
              <w:pStyle w:val="14"/>
            </w:pPr>
            <w:r>
              <w:t>0.50</w:t>
            </w:r>
          </w:p>
        </w:tc>
      </w:tr>
      <w:tr w14:paraId="688D9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B0E10">
            <w:pPr>
              <w:pStyle w:val="12"/>
            </w:pPr>
            <w:r>
              <w:t>19</w:t>
            </w:r>
          </w:p>
        </w:tc>
        <w:tc>
          <w:tcPr>
            <w:tcW w:w="1191" w:type="dxa"/>
            <w:vAlign w:val="center"/>
          </w:tcPr>
          <w:p w14:paraId="19C3DD01">
            <w:pPr>
              <w:pStyle w:val="13"/>
            </w:pPr>
            <w:r>
              <w:t>30217</w:t>
            </w:r>
          </w:p>
        </w:tc>
        <w:tc>
          <w:tcPr>
            <w:tcW w:w="4535" w:type="dxa"/>
            <w:vAlign w:val="center"/>
          </w:tcPr>
          <w:p w14:paraId="578F2319">
            <w:pPr>
              <w:pStyle w:val="13"/>
            </w:pPr>
            <w:r>
              <w:t>公务接待费</w:t>
            </w:r>
          </w:p>
        </w:tc>
        <w:tc>
          <w:tcPr>
            <w:tcW w:w="2551" w:type="dxa"/>
            <w:vAlign w:val="center"/>
          </w:tcPr>
          <w:p w14:paraId="24A224CA">
            <w:pPr>
              <w:pStyle w:val="14"/>
            </w:pPr>
            <w:r>
              <w:t>0.50</w:t>
            </w:r>
          </w:p>
        </w:tc>
        <w:tc>
          <w:tcPr>
            <w:tcW w:w="2551" w:type="dxa"/>
            <w:vAlign w:val="center"/>
          </w:tcPr>
          <w:p w14:paraId="3E443287">
            <w:pPr>
              <w:pStyle w:val="14"/>
            </w:pPr>
          </w:p>
        </w:tc>
        <w:tc>
          <w:tcPr>
            <w:tcW w:w="2551" w:type="dxa"/>
            <w:vAlign w:val="center"/>
          </w:tcPr>
          <w:p w14:paraId="14D6295E">
            <w:pPr>
              <w:pStyle w:val="14"/>
            </w:pPr>
            <w:r>
              <w:t>0.50</w:t>
            </w:r>
          </w:p>
        </w:tc>
      </w:tr>
      <w:tr w14:paraId="0AC81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BD62E">
            <w:pPr>
              <w:pStyle w:val="12"/>
            </w:pPr>
            <w:r>
              <w:t>20</w:t>
            </w:r>
          </w:p>
        </w:tc>
        <w:tc>
          <w:tcPr>
            <w:tcW w:w="1191" w:type="dxa"/>
            <w:vAlign w:val="center"/>
          </w:tcPr>
          <w:p w14:paraId="1B1DDD42">
            <w:pPr>
              <w:pStyle w:val="13"/>
            </w:pPr>
            <w:r>
              <w:t>30228</w:t>
            </w:r>
          </w:p>
        </w:tc>
        <w:tc>
          <w:tcPr>
            <w:tcW w:w="4535" w:type="dxa"/>
            <w:vAlign w:val="center"/>
          </w:tcPr>
          <w:p w14:paraId="730F0DDB">
            <w:pPr>
              <w:pStyle w:val="13"/>
            </w:pPr>
            <w:r>
              <w:t>工会经费</w:t>
            </w:r>
          </w:p>
        </w:tc>
        <w:tc>
          <w:tcPr>
            <w:tcW w:w="2551" w:type="dxa"/>
            <w:vAlign w:val="center"/>
          </w:tcPr>
          <w:p w14:paraId="25A5B0CB">
            <w:pPr>
              <w:pStyle w:val="14"/>
            </w:pPr>
            <w:r>
              <w:t>0.30</w:t>
            </w:r>
          </w:p>
        </w:tc>
        <w:tc>
          <w:tcPr>
            <w:tcW w:w="2551" w:type="dxa"/>
            <w:vAlign w:val="center"/>
          </w:tcPr>
          <w:p w14:paraId="2761629E">
            <w:pPr>
              <w:pStyle w:val="14"/>
            </w:pPr>
          </w:p>
        </w:tc>
        <w:tc>
          <w:tcPr>
            <w:tcW w:w="2551" w:type="dxa"/>
            <w:vAlign w:val="center"/>
          </w:tcPr>
          <w:p w14:paraId="75C54362">
            <w:pPr>
              <w:pStyle w:val="14"/>
            </w:pPr>
            <w:r>
              <w:t>0.30</w:t>
            </w:r>
          </w:p>
        </w:tc>
      </w:tr>
      <w:tr w14:paraId="3DEFD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50312">
            <w:pPr>
              <w:pStyle w:val="12"/>
            </w:pPr>
            <w:r>
              <w:t>21</w:t>
            </w:r>
          </w:p>
        </w:tc>
        <w:tc>
          <w:tcPr>
            <w:tcW w:w="1191" w:type="dxa"/>
            <w:vAlign w:val="center"/>
          </w:tcPr>
          <w:p w14:paraId="40AA4F00">
            <w:pPr>
              <w:pStyle w:val="13"/>
            </w:pPr>
            <w:r>
              <w:t>30229</w:t>
            </w:r>
          </w:p>
        </w:tc>
        <w:tc>
          <w:tcPr>
            <w:tcW w:w="4535" w:type="dxa"/>
            <w:vAlign w:val="center"/>
          </w:tcPr>
          <w:p w14:paraId="3F8666E7">
            <w:pPr>
              <w:pStyle w:val="13"/>
            </w:pPr>
            <w:r>
              <w:t>福利费</w:t>
            </w:r>
          </w:p>
        </w:tc>
        <w:tc>
          <w:tcPr>
            <w:tcW w:w="2551" w:type="dxa"/>
            <w:vAlign w:val="center"/>
          </w:tcPr>
          <w:p w14:paraId="4C92C1FE">
            <w:pPr>
              <w:pStyle w:val="14"/>
            </w:pPr>
            <w:r>
              <w:t>4.80</w:t>
            </w:r>
          </w:p>
        </w:tc>
        <w:tc>
          <w:tcPr>
            <w:tcW w:w="2551" w:type="dxa"/>
            <w:vAlign w:val="center"/>
          </w:tcPr>
          <w:p w14:paraId="5F9A2FAE">
            <w:pPr>
              <w:pStyle w:val="14"/>
            </w:pPr>
          </w:p>
        </w:tc>
        <w:tc>
          <w:tcPr>
            <w:tcW w:w="2551" w:type="dxa"/>
            <w:vAlign w:val="center"/>
          </w:tcPr>
          <w:p w14:paraId="70F4DACC">
            <w:pPr>
              <w:pStyle w:val="14"/>
            </w:pPr>
            <w:r>
              <w:t>4.80</w:t>
            </w:r>
          </w:p>
        </w:tc>
      </w:tr>
      <w:tr w14:paraId="6D4FB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949C0">
            <w:pPr>
              <w:pStyle w:val="12"/>
            </w:pPr>
            <w:r>
              <w:t>22</w:t>
            </w:r>
          </w:p>
        </w:tc>
        <w:tc>
          <w:tcPr>
            <w:tcW w:w="1191" w:type="dxa"/>
            <w:vAlign w:val="center"/>
          </w:tcPr>
          <w:p w14:paraId="2B949549">
            <w:pPr>
              <w:pStyle w:val="13"/>
            </w:pPr>
            <w:r>
              <w:t>30239</w:t>
            </w:r>
          </w:p>
        </w:tc>
        <w:tc>
          <w:tcPr>
            <w:tcW w:w="4535" w:type="dxa"/>
            <w:vAlign w:val="center"/>
          </w:tcPr>
          <w:p w14:paraId="5B430109">
            <w:pPr>
              <w:pStyle w:val="13"/>
            </w:pPr>
            <w:r>
              <w:t>其他交通费用</w:t>
            </w:r>
          </w:p>
        </w:tc>
        <w:tc>
          <w:tcPr>
            <w:tcW w:w="2551" w:type="dxa"/>
            <w:vAlign w:val="center"/>
          </w:tcPr>
          <w:p w14:paraId="51967FE2">
            <w:pPr>
              <w:pStyle w:val="14"/>
            </w:pPr>
            <w:r>
              <w:t>10.32</w:t>
            </w:r>
          </w:p>
        </w:tc>
        <w:tc>
          <w:tcPr>
            <w:tcW w:w="2551" w:type="dxa"/>
            <w:vAlign w:val="center"/>
          </w:tcPr>
          <w:p w14:paraId="39FC1556">
            <w:pPr>
              <w:pStyle w:val="14"/>
            </w:pPr>
          </w:p>
        </w:tc>
        <w:tc>
          <w:tcPr>
            <w:tcW w:w="2551" w:type="dxa"/>
            <w:vAlign w:val="center"/>
          </w:tcPr>
          <w:p w14:paraId="595CCA5F">
            <w:pPr>
              <w:pStyle w:val="14"/>
            </w:pPr>
            <w:r>
              <w:t>10.32</w:t>
            </w:r>
          </w:p>
        </w:tc>
      </w:tr>
      <w:tr w14:paraId="6C174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49087">
            <w:pPr>
              <w:pStyle w:val="12"/>
            </w:pPr>
            <w:r>
              <w:t>23</w:t>
            </w:r>
          </w:p>
        </w:tc>
        <w:tc>
          <w:tcPr>
            <w:tcW w:w="1191" w:type="dxa"/>
            <w:vAlign w:val="center"/>
          </w:tcPr>
          <w:p w14:paraId="6A95FEDF">
            <w:pPr>
              <w:pStyle w:val="13"/>
            </w:pPr>
            <w:r>
              <w:t>30299</w:t>
            </w:r>
          </w:p>
        </w:tc>
        <w:tc>
          <w:tcPr>
            <w:tcW w:w="4535" w:type="dxa"/>
            <w:vAlign w:val="center"/>
          </w:tcPr>
          <w:p w14:paraId="4CE5211E">
            <w:pPr>
              <w:pStyle w:val="13"/>
            </w:pPr>
            <w:r>
              <w:t>其他商品和服务支出</w:t>
            </w:r>
          </w:p>
        </w:tc>
        <w:tc>
          <w:tcPr>
            <w:tcW w:w="2551" w:type="dxa"/>
            <w:vAlign w:val="center"/>
          </w:tcPr>
          <w:p w14:paraId="76B48CA4">
            <w:pPr>
              <w:pStyle w:val="14"/>
            </w:pPr>
            <w:r>
              <w:t>1.00</w:t>
            </w:r>
          </w:p>
        </w:tc>
        <w:tc>
          <w:tcPr>
            <w:tcW w:w="2551" w:type="dxa"/>
            <w:vAlign w:val="center"/>
          </w:tcPr>
          <w:p w14:paraId="71CEDBCF">
            <w:pPr>
              <w:pStyle w:val="14"/>
            </w:pPr>
          </w:p>
        </w:tc>
        <w:tc>
          <w:tcPr>
            <w:tcW w:w="2551" w:type="dxa"/>
            <w:vAlign w:val="center"/>
          </w:tcPr>
          <w:p w14:paraId="4E0EBA0D">
            <w:pPr>
              <w:pStyle w:val="14"/>
            </w:pPr>
            <w:r>
              <w:t>1.00</w:t>
            </w:r>
          </w:p>
        </w:tc>
      </w:tr>
      <w:tr w14:paraId="24CFD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39FE6">
            <w:pPr>
              <w:pStyle w:val="12"/>
            </w:pPr>
            <w:r>
              <w:t>24</w:t>
            </w:r>
          </w:p>
        </w:tc>
        <w:tc>
          <w:tcPr>
            <w:tcW w:w="1191" w:type="dxa"/>
            <w:vAlign w:val="center"/>
          </w:tcPr>
          <w:p w14:paraId="417507FC">
            <w:pPr>
              <w:pStyle w:val="13"/>
            </w:pPr>
            <w:r>
              <w:t>303</w:t>
            </w:r>
          </w:p>
        </w:tc>
        <w:tc>
          <w:tcPr>
            <w:tcW w:w="4535" w:type="dxa"/>
            <w:vAlign w:val="center"/>
          </w:tcPr>
          <w:p w14:paraId="26E9E129">
            <w:pPr>
              <w:pStyle w:val="13"/>
            </w:pPr>
            <w:r>
              <w:t>对个人和家庭的补助</w:t>
            </w:r>
          </w:p>
        </w:tc>
        <w:tc>
          <w:tcPr>
            <w:tcW w:w="2551" w:type="dxa"/>
            <w:vAlign w:val="center"/>
          </w:tcPr>
          <w:p w14:paraId="4A1C2885">
            <w:pPr>
              <w:pStyle w:val="14"/>
            </w:pPr>
            <w:r>
              <w:t>28.00</w:t>
            </w:r>
          </w:p>
        </w:tc>
        <w:tc>
          <w:tcPr>
            <w:tcW w:w="2551" w:type="dxa"/>
            <w:vAlign w:val="center"/>
          </w:tcPr>
          <w:p w14:paraId="446AEDE6">
            <w:pPr>
              <w:pStyle w:val="14"/>
            </w:pPr>
            <w:r>
              <w:t>28.00</w:t>
            </w:r>
          </w:p>
        </w:tc>
        <w:tc>
          <w:tcPr>
            <w:tcW w:w="2551" w:type="dxa"/>
            <w:vAlign w:val="center"/>
          </w:tcPr>
          <w:p w14:paraId="583F7D15">
            <w:pPr>
              <w:pStyle w:val="14"/>
            </w:pPr>
          </w:p>
        </w:tc>
      </w:tr>
      <w:tr w14:paraId="653DE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EDA65">
            <w:pPr>
              <w:pStyle w:val="12"/>
            </w:pPr>
            <w:r>
              <w:t>25</w:t>
            </w:r>
          </w:p>
        </w:tc>
        <w:tc>
          <w:tcPr>
            <w:tcW w:w="1191" w:type="dxa"/>
            <w:vAlign w:val="center"/>
          </w:tcPr>
          <w:p w14:paraId="0E8BE174">
            <w:pPr>
              <w:pStyle w:val="13"/>
            </w:pPr>
            <w:r>
              <w:t>30302</w:t>
            </w:r>
          </w:p>
        </w:tc>
        <w:tc>
          <w:tcPr>
            <w:tcW w:w="4535" w:type="dxa"/>
            <w:vAlign w:val="center"/>
          </w:tcPr>
          <w:p w14:paraId="41E8E359">
            <w:pPr>
              <w:pStyle w:val="13"/>
            </w:pPr>
            <w:r>
              <w:t>退休费</w:t>
            </w:r>
          </w:p>
        </w:tc>
        <w:tc>
          <w:tcPr>
            <w:tcW w:w="2551" w:type="dxa"/>
            <w:vAlign w:val="center"/>
          </w:tcPr>
          <w:p w14:paraId="640129B9">
            <w:pPr>
              <w:pStyle w:val="14"/>
            </w:pPr>
            <w:r>
              <w:t>26.13</w:t>
            </w:r>
          </w:p>
        </w:tc>
        <w:tc>
          <w:tcPr>
            <w:tcW w:w="2551" w:type="dxa"/>
            <w:vAlign w:val="center"/>
          </w:tcPr>
          <w:p w14:paraId="296880F1">
            <w:pPr>
              <w:pStyle w:val="14"/>
            </w:pPr>
            <w:r>
              <w:t>26.13</w:t>
            </w:r>
          </w:p>
        </w:tc>
        <w:tc>
          <w:tcPr>
            <w:tcW w:w="2551" w:type="dxa"/>
            <w:vAlign w:val="center"/>
          </w:tcPr>
          <w:p w14:paraId="30A0EA52">
            <w:pPr>
              <w:pStyle w:val="14"/>
            </w:pPr>
          </w:p>
        </w:tc>
      </w:tr>
      <w:tr w14:paraId="4EA84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B24E9">
            <w:pPr>
              <w:pStyle w:val="12"/>
            </w:pPr>
            <w:r>
              <w:t>26</w:t>
            </w:r>
          </w:p>
        </w:tc>
        <w:tc>
          <w:tcPr>
            <w:tcW w:w="1191" w:type="dxa"/>
            <w:vAlign w:val="center"/>
          </w:tcPr>
          <w:p w14:paraId="4266CAF9">
            <w:pPr>
              <w:pStyle w:val="13"/>
            </w:pPr>
            <w:r>
              <w:t>30305</w:t>
            </w:r>
          </w:p>
        </w:tc>
        <w:tc>
          <w:tcPr>
            <w:tcW w:w="4535" w:type="dxa"/>
            <w:vAlign w:val="center"/>
          </w:tcPr>
          <w:p w14:paraId="4117B2B3">
            <w:pPr>
              <w:pStyle w:val="13"/>
            </w:pPr>
            <w:r>
              <w:t>生活补助</w:t>
            </w:r>
          </w:p>
        </w:tc>
        <w:tc>
          <w:tcPr>
            <w:tcW w:w="2551" w:type="dxa"/>
            <w:vAlign w:val="center"/>
          </w:tcPr>
          <w:p w14:paraId="1998E7FB">
            <w:pPr>
              <w:pStyle w:val="14"/>
            </w:pPr>
            <w:r>
              <w:t>1.87</w:t>
            </w:r>
          </w:p>
        </w:tc>
        <w:tc>
          <w:tcPr>
            <w:tcW w:w="2551" w:type="dxa"/>
            <w:vAlign w:val="center"/>
          </w:tcPr>
          <w:p w14:paraId="002D227D">
            <w:pPr>
              <w:pStyle w:val="14"/>
            </w:pPr>
            <w:r>
              <w:t>1.87</w:t>
            </w:r>
          </w:p>
        </w:tc>
        <w:tc>
          <w:tcPr>
            <w:tcW w:w="2551" w:type="dxa"/>
            <w:vAlign w:val="center"/>
          </w:tcPr>
          <w:p w14:paraId="03BC6AF6">
            <w:pPr>
              <w:pStyle w:val="14"/>
            </w:pPr>
          </w:p>
        </w:tc>
      </w:tr>
      <w:tr w14:paraId="0BB75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6F681">
            <w:pPr>
              <w:pStyle w:val="12"/>
            </w:pPr>
            <w:r>
              <w:t>27</w:t>
            </w:r>
          </w:p>
        </w:tc>
        <w:tc>
          <w:tcPr>
            <w:tcW w:w="1191" w:type="dxa"/>
            <w:vAlign w:val="center"/>
          </w:tcPr>
          <w:p w14:paraId="0CC8C9A1">
            <w:pPr>
              <w:pStyle w:val="13"/>
            </w:pPr>
            <w:r>
              <w:t>310</w:t>
            </w:r>
          </w:p>
        </w:tc>
        <w:tc>
          <w:tcPr>
            <w:tcW w:w="4535" w:type="dxa"/>
            <w:vAlign w:val="center"/>
          </w:tcPr>
          <w:p w14:paraId="22C62E02">
            <w:pPr>
              <w:pStyle w:val="13"/>
            </w:pPr>
            <w:r>
              <w:t>资本性支出</w:t>
            </w:r>
          </w:p>
        </w:tc>
        <w:tc>
          <w:tcPr>
            <w:tcW w:w="2551" w:type="dxa"/>
            <w:vAlign w:val="center"/>
          </w:tcPr>
          <w:p w14:paraId="0AA6B229">
            <w:pPr>
              <w:pStyle w:val="14"/>
            </w:pPr>
            <w:r>
              <w:t>5.00</w:t>
            </w:r>
          </w:p>
        </w:tc>
        <w:tc>
          <w:tcPr>
            <w:tcW w:w="2551" w:type="dxa"/>
            <w:vAlign w:val="center"/>
          </w:tcPr>
          <w:p w14:paraId="79D09FB4">
            <w:pPr>
              <w:pStyle w:val="14"/>
            </w:pPr>
          </w:p>
        </w:tc>
        <w:tc>
          <w:tcPr>
            <w:tcW w:w="2551" w:type="dxa"/>
            <w:vAlign w:val="center"/>
          </w:tcPr>
          <w:p w14:paraId="6B594699">
            <w:pPr>
              <w:pStyle w:val="14"/>
            </w:pPr>
            <w:r>
              <w:t>5.00</w:t>
            </w:r>
          </w:p>
        </w:tc>
      </w:tr>
      <w:tr w14:paraId="6329A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35D51">
            <w:pPr>
              <w:pStyle w:val="12"/>
            </w:pPr>
            <w:r>
              <w:t>28</w:t>
            </w:r>
          </w:p>
        </w:tc>
        <w:tc>
          <w:tcPr>
            <w:tcW w:w="1191" w:type="dxa"/>
            <w:vAlign w:val="center"/>
          </w:tcPr>
          <w:p w14:paraId="4E510DE1">
            <w:pPr>
              <w:pStyle w:val="13"/>
            </w:pPr>
            <w:r>
              <w:t>31002</w:t>
            </w:r>
          </w:p>
        </w:tc>
        <w:tc>
          <w:tcPr>
            <w:tcW w:w="4535" w:type="dxa"/>
            <w:vAlign w:val="center"/>
          </w:tcPr>
          <w:p w14:paraId="56FAAC11">
            <w:pPr>
              <w:pStyle w:val="13"/>
            </w:pPr>
            <w:r>
              <w:t>办公设备购置</w:t>
            </w:r>
          </w:p>
        </w:tc>
        <w:tc>
          <w:tcPr>
            <w:tcW w:w="2551" w:type="dxa"/>
            <w:vAlign w:val="center"/>
          </w:tcPr>
          <w:p w14:paraId="62AA2BE5">
            <w:pPr>
              <w:pStyle w:val="14"/>
            </w:pPr>
            <w:r>
              <w:t>5.00</w:t>
            </w:r>
          </w:p>
        </w:tc>
        <w:tc>
          <w:tcPr>
            <w:tcW w:w="2551" w:type="dxa"/>
            <w:vAlign w:val="center"/>
          </w:tcPr>
          <w:p w14:paraId="2FFD86FB">
            <w:pPr>
              <w:pStyle w:val="14"/>
            </w:pPr>
          </w:p>
        </w:tc>
        <w:tc>
          <w:tcPr>
            <w:tcW w:w="2551" w:type="dxa"/>
            <w:vAlign w:val="center"/>
          </w:tcPr>
          <w:p w14:paraId="586ED34C">
            <w:pPr>
              <w:pStyle w:val="14"/>
            </w:pPr>
            <w:r>
              <w:t>5.00</w:t>
            </w:r>
          </w:p>
        </w:tc>
      </w:tr>
    </w:tbl>
    <w:p w14:paraId="7D8436CA">
      <w:pPr>
        <w:sectPr>
          <w:pgSz w:w="16840" w:h="11900" w:orient="landscape"/>
          <w:pgMar w:top="1361" w:right="1020" w:bottom="1134" w:left="1020" w:header="720" w:footer="720" w:gutter="0"/>
          <w:cols w:space="720" w:num="1"/>
        </w:sectPr>
      </w:pPr>
    </w:p>
    <w:p w14:paraId="753642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6BF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F6C0C8">
            <w:pPr>
              <w:pStyle w:val="8"/>
            </w:pPr>
            <w:r>
              <w:t>360001隆尧县教育局本级</w:t>
            </w:r>
          </w:p>
        </w:tc>
        <w:tc>
          <w:tcPr>
            <w:tcW w:w="2551" w:type="dxa"/>
            <w:tcBorders>
              <w:top w:val="single" w:color="FFFFFF" w:sz="6" w:space="0"/>
              <w:left w:val="single" w:color="FFFFFF" w:sz="6" w:space="0"/>
              <w:right w:val="single" w:color="FFFFFF" w:sz="6" w:space="0"/>
            </w:tcBorders>
            <w:vAlign w:val="center"/>
          </w:tcPr>
          <w:p w14:paraId="5001465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E86DA6B">
            <w:pPr>
              <w:pStyle w:val="10"/>
            </w:pPr>
            <w:r>
              <w:t>单位：万元</w:t>
            </w:r>
          </w:p>
        </w:tc>
      </w:tr>
      <w:tr w14:paraId="50635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B1A541">
            <w:pPr>
              <w:pStyle w:val="11"/>
            </w:pPr>
            <w:r>
              <w:t>序号</w:t>
            </w:r>
          </w:p>
        </w:tc>
        <w:tc>
          <w:tcPr>
            <w:tcW w:w="5726" w:type="dxa"/>
            <w:gridSpan w:val="2"/>
            <w:vAlign w:val="center"/>
          </w:tcPr>
          <w:p w14:paraId="72074C45">
            <w:pPr>
              <w:pStyle w:val="11"/>
            </w:pPr>
            <w:r>
              <w:t>功能分类科目</w:t>
            </w:r>
          </w:p>
        </w:tc>
        <w:tc>
          <w:tcPr>
            <w:tcW w:w="2551" w:type="dxa"/>
            <w:vMerge w:val="restart"/>
            <w:vAlign w:val="center"/>
          </w:tcPr>
          <w:p w14:paraId="401FDC45">
            <w:pPr>
              <w:pStyle w:val="11"/>
            </w:pPr>
            <w:r>
              <w:t>合计</w:t>
            </w:r>
          </w:p>
        </w:tc>
        <w:tc>
          <w:tcPr>
            <w:tcW w:w="2551" w:type="dxa"/>
            <w:vMerge w:val="restart"/>
            <w:vAlign w:val="center"/>
          </w:tcPr>
          <w:p w14:paraId="18942D98">
            <w:pPr>
              <w:pStyle w:val="11"/>
            </w:pPr>
            <w:r>
              <w:t>基本支出</w:t>
            </w:r>
          </w:p>
        </w:tc>
        <w:tc>
          <w:tcPr>
            <w:tcW w:w="2551" w:type="dxa"/>
            <w:vMerge w:val="restart"/>
            <w:vAlign w:val="center"/>
          </w:tcPr>
          <w:p w14:paraId="1C22B0CD">
            <w:pPr>
              <w:pStyle w:val="11"/>
            </w:pPr>
            <w:r>
              <w:t>项目支出</w:t>
            </w:r>
          </w:p>
        </w:tc>
      </w:tr>
      <w:tr w14:paraId="66E3A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45770"/>
        </w:tc>
        <w:tc>
          <w:tcPr>
            <w:tcW w:w="1191" w:type="dxa"/>
            <w:vAlign w:val="center"/>
          </w:tcPr>
          <w:p w14:paraId="069B6FA6">
            <w:pPr>
              <w:pStyle w:val="11"/>
            </w:pPr>
            <w:r>
              <w:t>科目编码</w:t>
            </w:r>
          </w:p>
        </w:tc>
        <w:tc>
          <w:tcPr>
            <w:tcW w:w="4535" w:type="dxa"/>
            <w:vAlign w:val="center"/>
          </w:tcPr>
          <w:p w14:paraId="514E4310">
            <w:pPr>
              <w:pStyle w:val="11"/>
            </w:pPr>
            <w:r>
              <w:t>科目名称</w:t>
            </w:r>
          </w:p>
        </w:tc>
        <w:tc>
          <w:tcPr>
            <w:tcW w:w="2551" w:type="dxa"/>
            <w:vMerge w:val="continue"/>
          </w:tcPr>
          <w:p w14:paraId="7C065261"/>
        </w:tc>
        <w:tc>
          <w:tcPr>
            <w:tcW w:w="2551" w:type="dxa"/>
            <w:vMerge w:val="continue"/>
          </w:tcPr>
          <w:p w14:paraId="42CBB387"/>
        </w:tc>
        <w:tc>
          <w:tcPr>
            <w:tcW w:w="2551" w:type="dxa"/>
            <w:vMerge w:val="continue"/>
          </w:tcPr>
          <w:p w14:paraId="74533D5C"/>
        </w:tc>
      </w:tr>
      <w:tr w14:paraId="16D7D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25E892">
            <w:pPr>
              <w:pStyle w:val="11"/>
            </w:pPr>
            <w:r>
              <w:t>栏次</w:t>
            </w:r>
          </w:p>
        </w:tc>
        <w:tc>
          <w:tcPr>
            <w:tcW w:w="1191" w:type="dxa"/>
            <w:vAlign w:val="center"/>
          </w:tcPr>
          <w:p w14:paraId="08890797">
            <w:pPr>
              <w:pStyle w:val="11"/>
            </w:pPr>
            <w:r>
              <w:t>1</w:t>
            </w:r>
          </w:p>
        </w:tc>
        <w:tc>
          <w:tcPr>
            <w:tcW w:w="4535" w:type="dxa"/>
            <w:vAlign w:val="center"/>
          </w:tcPr>
          <w:p w14:paraId="0EAC1400">
            <w:pPr>
              <w:pStyle w:val="11"/>
            </w:pPr>
            <w:r>
              <w:t>2</w:t>
            </w:r>
          </w:p>
        </w:tc>
        <w:tc>
          <w:tcPr>
            <w:tcW w:w="2551" w:type="dxa"/>
            <w:vAlign w:val="center"/>
          </w:tcPr>
          <w:p w14:paraId="5B0EBB01">
            <w:pPr>
              <w:pStyle w:val="11"/>
            </w:pPr>
            <w:r>
              <w:t>3</w:t>
            </w:r>
          </w:p>
        </w:tc>
        <w:tc>
          <w:tcPr>
            <w:tcW w:w="2551" w:type="dxa"/>
            <w:vAlign w:val="center"/>
          </w:tcPr>
          <w:p w14:paraId="3F764447">
            <w:pPr>
              <w:pStyle w:val="11"/>
            </w:pPr>
            <w:r>
              <w:t>4</w:t>
            </w:r>
          </w:p>
        </w:tc>
        <w:tc>
          <w:tcPr>
            <w:tcW w:w="2551" w:type="dxa"/>
            <w:vAlign w:val="center"/>
          </w:tcPr>
          <w:p w14:paraId="7FA734B5">
            <w:pPr>
              <w:pStyle w:val="11"/>
            </w:pPr>
            <w:r>
              <w:t>5</w:t>
            </w:r>
          </w:p>
        </w:tc>
      </w:tr>
      <w:tr w14:paraId="25DEE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6F10C">
            <w:pPr>
              <w:pStyle w:val="12"/>
            </w:pPr>
          </w:p>
        </w:tc>
        <w:tc>
          <w:tcPr>
            <w:tcW w:w="1191" w:type="dxa"/>
            <w:vAlign w:val="center"/>
          </w:tcPr>
          <w:p w14:paraId="37AE00AA">
            <w:pPr>
              <w:pStyle w:val="13"/>
            </w:pPr>
          </w:p>
        </w:tc>
        <w:tc>
          <w:tcPr>
            <w:tcW w:w="4535" w:type="dxa"/>
            <w:vAlign w:val="center"/>
          </w:tcPr>
          <w:p w14:paraId="41040894">
            <w:pPr>
              <w:pStyle w:val="13"/>
            </w:pPr>
          </w:p>
        </w:tc>
        <w:tc>
          <w:tcPr>
            <w:tcW w:w="2551" w:type="dxa"/>
            <w:vAlign w:val="center"/>
          </w:tcPr>
          <w:p w14:paraId="2A952DD1">
            <w:pPr>
              <w:pStyle w:val="14"/>
            </w:pPr>
          </w:p>
        </w:tc>
        <w:tc>
          <w:tcPr>
            <w:tcW w:w="2551" w:type="dxa"/>
            <w:vAlign w:val="center"/>
          </w:tcPr>
          <w:p w14:paraId="46BF1813">
            <w:pPr>
              <w:pStyle w:val="14"/>
            </w:pPr>
          </w:p>
        </w:tc>
        <w:tc>
          <w:tcPr>
            <w:tcW w:w="2551" w:type="dxa"/>
            <w:vAlign w:val="center"/>
          </w:tcPr>
          <w:p w14:paraId="2EA1A41F">
            <w:pPr>
              <w:pStyle w:val="14"/>
            </w:pPr>
          </w:p>
        </w:tc>
      </w:tr>
    </w:tbl>
    <w:p w14:paraId="678A1C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808F8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58F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4D4230">
            <w:pPr>
              <w:pStyle w:val="8"/>
            </w:pPr>
            <w:r>
              <w:t>360001隆尧县教育局本级</w:t>
            </w:r>
          </w:p>
        </w:tc>
        <w:tc>
          <w:tcPr>
            <w:tcW w:w="2551" w:type="dxa"/>
            <w:tcBorders>
              <w:top w:val="single" w:color="FFFFFF" w:sz="6" w:space="0"/>
              <w:left w:val="single" w:color="FFFFFF" w:sz="6" w:space="0"/>
              <w:right w:val="single" w:color="FFFFFF" w:sz="6" w:space="0"/>
            </w:tcBorders>
            <w:vAlign w:val="center"/>
          </w:tcPr>
          <w:p w14:paraId="729E745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FE611BD">
            <w:pPr>
              <w:pStyle w:val="10"/>
            </w:pPr>
            <w:r>
              <w:t>单位：万元</w:t>
            </w:r>
          </w:p>
        </w:tc>
      </w:tr>
      <w:tr w14:paraId="49266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4A7257">
            <w:pPr>
              <w:pStyle w:val="11"/>
            </w:pPr>
            <w:r>
              <w:t>序号</w:t>
            </w:r>
          </w:p>
        </w:tc>
        <w:tc>
          <w:tcPr>
            <w:tcW w:w="5726" w:type="dxa"/>
            <w:gridSpan w:val="2"/>
            <w:vAlign w:val="center"/>
          </w:tcPr>
          <w:p w14:paraId="0717F1A0">
            <w:pPr>
              <w:pStyle w:val="11"/>
            </w:pPr>
            <w:r>
              <w:t>功能分类科目</w:t>
            </w:r>
          </w:p>
        </w:tc>
        <w:tc>
          <w:tcPr>
            <w:tcW w:w="2551" w:type="dxa"/>
            <w:vMerge w:val="restart"/>
            <w:vAlign w:val="center"/>
          </w:tcPr>
          <w:p w14:paraId="6408DE6C">
            <w:pPr>
              <w:pStyle w:val="11"/>
            </w:pPr>
            <w:r>
              <w:t>合计</w:t>
            </w:r>
          </w:p>
        </w:tc>
        <w:tc>
          <w:tcPr>
            <w:tcW w:w="2551" w:type="dxa"/>
            <w:vMerge w:val="restart"/>
            <w:vAlign w:val="center"/>
          </w:tcPr>
          <w:p w14:paraId="2BD492A3">
            <w:pPr>
              <w:pStyle w:val="11"/>
            </w:pPr>
            <w:r>
              <w:t>基本支出</w:t>
            </w:r>
          </w:p>
        </w:tc>
        <w:tc>
          <w:tcPr>
            <w:tcW w:w="2551" w:type="dxa"/>
            <w:vMerge w:val="restart"/>
            <w:vAlign w:val="center"/>
          </w:tcPr>
          <w:p w14:paraId="2C075F5A">
            <w:pPr>
              <w:pStyle w:val="11"/>
            </w:pPr>
            <w:r>
              <w:t>项目支出</w:t>
            </w:r>
          </w:p>
        </w:tc>
      </w:tr>
      <w:tr w14:paraId="4C117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A721B2"/>
        </w:tc>
        <w:tc>
          <w:tcPr>
            <w:tcW w:w="1191" w:type="dxa"/>
            <w:vAlign w:val="center"/>
          </w:tcPr>
          <w:p w14:paraId="1867D537">
            <w:pPr>
              <w:pStyle w:val="11"/>
            </w:pPr>
            <w:r>
              <w:t>科目编码</w:t>
            </w:r>
          </w:p>
        </w:tc>
        <w:tc>
          <w:tcPr>
            <w:tcW w:w="4535" w:type="dxa"/>
            <w:vAlign w:val="center"/>
          </w:tcPr>
          <w:p w14:paraId="21887062">
            <w:pPr>
              <w:pStyle w:val="11"/>
            </w:pPr>
            <w:r>
              <w:t>科目名称</w:t>
            </w:r>
          </w:p>
        </w:tc>
        <w:tc>
          <w:tcPr>
            <w:tcW w:w="2551" w:type="dxa"/>
            <w:vMerge w:val="continue"/>
          </w:tcPr>
          <w:p w14:paraId="3B23518C"/>
        </w:tc>
        <w:tc>
          <w:tcPr>
            <w:tcW w:w="2551" w:type="dxa"/>
            <w:vMerge w:val="continue"/>
          </w:tcPr>
          <w:p w14:paraId="688D876A"/>
        </w:tc>
        <w:tc>
          <w:tcPr>
            <w:tcW w:w="2551" w:type="dxa"/>
            <w:vMerge w:val="continue"/>
          </w:tcPr>
          <w:p w14:paraId="43980E0B"/>
        </w:tc>
      </w:tr>
      <w:tr w14:paraId="1C84B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C497F4">
            <w:pPr>
              <w:pStyle w:val="11"/>
            </w:pPr>
            <w:r>
              <w:t>栏次</w:t>
            </w:r>
          </w:p>
        </w:tc>
        <w:tc>
          <w:tcPr>
            <w:tcW w:w="1191" w:type="dxa"/>
            <w:vAlign w:val="center"/>
          </w:tcPr>
          <w:p w14:paraId="29AC76A5">
            <w:pPr>
              <w:pStyle w:val="11"/>
            </w:pPr>
            <w:r>
              <w:t>1</w:t>
            </w:r>
          </w:p>
        </w:tc>
        <w:tc>
          <w:tcPr>
            <w:tcW w:w="4535" w:type="dxa"/>
            <w:vAlign w:val="center"/>
          </w:tcPr>
          <w:p w14:paraId="272FCCF4">
            <w:pPr>
              <w:pStyle w:val="11"/>
            </w:pPr>
            <w:r>
              <w:t>2</w:t>
            </w:r>
          </w:p>
        </w:tc>
        <w:tc>
          <w:tcPr>
            <w:tcW w:w="2551" w:type="dxa"/>
            <w:vAlign w:val="center"/>
          </w:tcPr>
          <w:p w14:paraId="190FBE78">
            <w:pPr>
              <w:pStyle w:val="11"/>
            </w:pPr>
            <w:r>
              <w:t>3</w:t>
            </w:r>
          </w:p>
        </w:tc>
        <w:tc>
          <w:tcPr>
            <w:tcW w:w="2551" w:type="dxa"/>
            <w:vAlign w:val="center"/>
          </w:tcPr>
          <w:p w14:paraId="0C775D0A">
            <w:pPr>
              <w:pStyle w:val="11"/>
            </w:pPr>
            <w:r>
              <w:t>4</w:t>
            </w:r>
          </w:p>
        </w:tc>
        <w:tc>
          <w:tcPr>
            <w:tcW w:w="2551" w:type="dxa"/>
            <w:vAlign w:val="center"/>
          </w:tcPr>
          <w:p w14:paraId="48F5BB08">
            <w:pPr>
              <w:pStyle w:val="11"/>
            </w:pPr>
            <w:r>
              <w:t>5</w:t>
            </w:r>
          </w:p>
        </w:tc>
      </w:tr>
      <w:tr w14:paraId="76040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152A6">
            <w:pPr>
              <w:pStyle w:val="12"/>
            </w:pPr>
          </w:p>
        </w:tc>
        <w:tc>
          <w:tcPr>
            <w:tcW w:w="1191" w:type="dxa"/>
            <w:vAlign w:val="center"/>
          </w:tcPr>
          <w:p w14:paraId="26B0075A">
            <w:pPr>
              <w:pStyle w:val="13"/>
            </w:pPr>
          </w:p>
        </w:tc>
        <w:tc>
          <w:tcPr>
            <w:tcW w:w="4535" w:type="dxa"/>
            <w:vAlign w:val="center"/>
          </w:tcPr>
          <w:p w14:paraId="4139F588">
            <w:pPr>
              <w:pStyle w:val="13"/>
            </w:pPr>
          </w:p>
        </w:tc>
        <w:tc>
          <w:tcPr>
            <w:tcW w:w="2551" w:type="dxa"/>
            <w:vAlign w:val="center"/>
          </w:tcPr>
          <w:p w14:paraId="5DB3E67F">
            <w:pPr>
              <w:pStyle w:val="14"/>
            </w:pPr>
          </w:p>
        </w:tc>
        <w:tc>
          <w:tcPr>
            <w:tcW w:w="2551" w:type="dxa"/>
            <w:vAlign w:val="center"/>
          </w:tcPr>
          <w:p w14:paraId="6011AC55">
            <w:pPr>
              <w:pStyle w:val="14"/>
            </w:pPr>
          </w:p>
        </w:tc>
        <w:tc>
          <w:tcPr>
            <w:tcW w:w="2551" w:type="dxa"/>
            <w:vAlign w:val="center"/>
          </w:tcPr>
          <w:p w14:paraId="1B228725">
            <w:pPr>
              <w:pStyle w:val="14"/>
            </w:pPr>
          </w:p>
        </w:tc>
      </w:tr>
    </w:tbl>
    <w:p w14:paraId="137649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40FB87">
      <w:pPr>
        <w:spacing w:before="0" w:after="0" w:line="240" w:lineRule="auto"/>
        <w:ind w:firstLine="0"/>
        <w:jc w:val="center"/>
        <w:outlineLvl w:val="1"/>
      </w:pPr>
      <w:bookmarkStart w:id="1" w:name="_Toc_2_2_0000000009"/>
      <w:r>
        <w:rPr>
          <w:rFonts w:ascii="方正小标宋_GBK" w:hAnsi="方正小标宋_GBK" w:eastAsia="方正小标宋_GBK" w:cs="方正小标宋_GBK"/>
          <w:color w:val="000000"/>
          <w:sz w:val="36"/>
        </w:rPr>
        <w:t>部门预算财政拨款“三公”经费支出表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3996"/>
        <w:gridCol w:w="638"/>
        <w:gridCol w:w="2325"/>
        <w:gridCol w:w="2114"/>
        <w:gridCol w:w="2746"/>
      </w:tblGrid>
      <w:tr w14:paraId="577D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noWrap w:val="0"/>
            <w:vAlign w:val="center"/>
          </w:tcPr>
          <w:p w14:paraId="3B305E65">
            <w:pPr>
              <w:pStyle w:val="8"/>
            </w:pPr>
            <w:r>
              <w:t>360隆尧县教育局</w:t>
            </w:r>
          </w:p>
        </w:tc>
        <w:tc>
          <w:tcPr>
            <w:tcW w:w="0" w:type="auto"/>
            <w:tcBorders>
              <w:top w:val="single" w:color="FFFFFF" w:sz="6" w:space="0"/>
              <w:left w:val="single" w:color="FFFFFF" w:sz="6" w:space="0"/>
              <w:right w:val="single" w:color="FFFFFF" w:sz="6" w:space="0"/>
            </w:tcBorders>
            <w:noWrap w:val="0"/>
            <w:vAlign w:val="center"/>
          </w:tcPr>
          <w:p w14:paraId="757115A1">
            <w:pPr>
              <w:pStyle w:val="9"/>
              <w:rPr>
                <w:rFonts w:hint="eastAsia" w:eastAsia="方正小标宋_GBK"/>
                <w:lang w:eastAsia="zh-CN"/>
              </w:rPr>
            </w:pPr>
            <w:r>
              <w:t>预算年度：202</w:t>
            </w:r>
            <w:r>
              <w:rPr>
                <w:rFonts w:hint="eastAsia"/>
                <w:lang w:val="en-US" w:eastAsia="zh-CN"/>
              </w:rPr>
              <w:t>5</w:t>
            </w:r>
          </w:p>
        </w:tc>
        <w:tc>
          <w:tcPr>
            <w:tcW w:w="0" w:type="auto"/>
            <w:gridSpan w:val="2"/>
            <w:tcBorders>
              <w:top w:val="single" w:color="FFFFFF" w:sz="6" w:space="0"/>
              <w:left w:val="single" w:color="FFFFFF" w:sz="6" w:space="0"/>
              <w:right w:val="single" w:color="FFFFFF" w:sz="6" w:space="0"/>
            </w:tcBorders>
            <w:noWrap w:val="0"/>
            <w:vAlign w:val="center"/>
          </w:tcPr>
          <w:p w14:paraId="39F67E53">
            <w:pPr>
              <w:pStyle w:val="10"/>
            </w:pPr>
            <w:r>
              <w:t>单位：万元</w:t>
            </w:r>
          </w:p>
        </w:tc>
      </w:tr>
      <w:tr w14:paraId="2F3D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 w:type="dxa"/>
            <w:vMerge w:val="restart"/>
            <w:noWrap w:val="0"/>
            <w:vAlign w:val="center"/>
          </w:tcPr>
          <w:p w14:paraId="2C2D0D2E">
            <w:pPr>
              <w:pStyle w:val="11"/>
            </w:pPr>
            <w:r>
              <w:t>序号</w:t>
            </w:r>
          </w:p>
        </w:tc>
        <w:tc>
          <w:tcPr>
            <w:tcW w:w="3996" w:type="dxa"/>
            <w:vMerge w:val="restart"/>
            <w:noWrap w:val="0"/>
            <w:vAlign w:val="center"/>
          </w:tcPr>
          <w:p w14:paraId="2A2DF318">
            <w:pPr>
              <w:pStyle w:val="11"/>
            </w:pPr>
            <w:r>
              <w:t>项  目</w:t>
            </w:r>
          </w:p>
        </w:tc>
        <w:tc>
          <w:tcPr>
            <w:tcW w:w="0" w:type="auto"/>
            <w:gridSpan w:val="4"/>
            <w:noWrap w:val="0"/>
            <w:vAlign w:val="center"/>
          </w:tcPr>
          <w:p w14:paraId="5CD20970">
            <w:pPr>
              <w:pStyle w:val="11"/>
            </w:pPr>
            <w:r>
              <w:t>资 金 性 质</w:t>
            </w:r>
          </w:p>
        </w:tc>
      </w:tr>
      <w:tr w14:paraId="2A6A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8" w:type="dxa"/>
            <w:vMerge w:val="continue"/>
            <w:noWrap w:val="0"/>
            <w:vAlign w:val="top"/>
          </w:tcPr>
          <w:p w14:paraId="28AB7B6B"/>
        </w:tc>
        <w:tc>
          <w:tcPr>
            <w:tcW w:w="3996" w:type="dxa"/>
            <w:vMerge w:val="continue"/>
            <w:noWrap w:val="0"/>
            <w:vAlign w:val="top"/>
          </w:tcPr>
          <w:p w14:paraId="0999BD1F"/>
        </w:tc>
        <w:tc>
          <w:tcPr>
            <w:tcW w:w="0" w:type="auto"/>
            <w:noWrap w:val="0"/>
            <w:vAlign w:val="center"/>
          </w:tcPr>
          <w:p w14:paraId="581114B2">
            <w:pPr>
              <w:pStyle w:val="11"/>
            </w:pPr>
            <w:r>
              <w:t>合计</w:t>
            </w:r>
          </w:p>
        </w:tc>
        <w:tc>
          <w:tcPr>
            <w:tcW w:w="0" w:type="auto"/>
            <w:noWrap w:val="0"/>
            <w:vAlign w:val="center"/>
          </w:tcPr>
          <w:p w14:paraId="65786572">
            <w:pPr>
              <w:pStyle w:val="11"/>
            </w:pPr>
            <w:r>
              <w:t>一般公共预算财政拨款</w:t>
            </w:r>
          </w:p>
        </w:tc>
        <w:tc>
          <w:tcPr>
            <w:tcW w:w="0" w:type="auto"/>
            <w:noWrap w:val="0"/>
            <w:vAlign w:val="center"/>
          </w:tcPr>
          <w:p w14:paraId="51DCF413">
            <w:pPr>
              <w:pStyle w:val="11"/>
            </w:pPr>
            <w:r>
              <w:t>政府性基金预算拨款</w:t>
            </w:r>
          </w:p>
        </w:tc>
        <w:tc>
          <w:tcPr>
            <w:tcW w:w="0" w:type="auto"/>
            <w:noWrap w:val="0"/>
            <w:vAlign w:val="center"/>
          </w:tcPr>
          <w:p w14:paraId="144CC73A">
            <w:pPr>
              <w:pStyle w:val="11"/>
            </w:pPr>
            <w:r>
              <w:t>国有资本经营预算财政拨款</w:t>
            </w:r>
          </w:p>
        </w:tc>
      </w:tr>
      <w:tr w14:paraId="2F85E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tblHeader/>
          <w:jc w:val="center"/>
        </w:trPr>
        <w:tc>
          <w:tcPr>
            <w:tcW w:w="638" w:type="dxa"/>
            <w:noWrap w:val="0"/>
            <w:vAlign w:val="center"/>
          </w:tcPr>
          <w:p w14:paraId="65CFFDE4">
            <w:pPr>
              <w:pStyle w:val="11"/>
            </w:pPr>
            <w:r>
              <w:t>栏次</w:t>
            </w:r>
          </w:p>
        </w:tc>
        <w:tc>
          <w:tcPr>
            <w:tcW w:w="3996" w:type="dxa"/>
            <w:noWrap w:val="0"/>
            <w:vAlign w:val="center"/>
          </w:tcPr>
          <w:p w14:paraId="79FA9507">
            <w:pPr>
              <w:pStyle w:val="11"/>
            </w:pPr>
            <w:r>
              <w:t>1</w:t>
            </w:r>
          </w:p>
        </w:tc>
        <w:tc>
          <w:tcPr>
            <w:tcW w:w="0" w:type="auto"/>
            <w:noWrap w:val="0"/>
            <w:vAlign w:val="center"/>
          </w:tcPr>
          <w:p w14:paraId="4B13CBB5">
            <w:pPr>
              <w:pStyle w:val="11"/>
            </w:pPr>
            <w:r>
              <w:t>2</w:t>
            </w:r>
          </w:p>
        </w:tc>
        <w:tc>
          <w:tcPr>
            <w:tcW w:w="0" w:type="auto"/>
            <w:noWrap w:val="0"/>
            <w:vAlign w:val="center"/>
          </w:tcPr>
          <w:p w14:paraId="05D1CF62">
            <w:pPr>
              <w:pStyle w:val="11"/>
            </w:pPr>
            <w:r>
              <w:t>3</w:t>
            </w:r>
          </w:p>
        </w:tc>
        <w:tc>
          <w:tcPr>
            <w:tcW w:w="0" w:type="auto"/>
            <w:noWrap w:val="0"/>
            <w:vAlign w:val="center"/>
          </w:tcPr>
          <w:p w14:paraId="3CA30959">
            <w:pPr>
              <w:pStyle w:val="11"/>
            </w:pPr>
            <w:r>
              <w:t>4</w:t>
            </w:r>
          </w:p>
        </w:tc>
        <w:tc>
          <w:tcPr>
            <w:tcW w:w="0" w:type="auto"/>
            <w:noWrap w:val="0"/>
            <w:vAlign w:val="center"/>
          </w:tcPr>
          <w:p w14:paraId="6FD575CB">
            <w:pPr>
              <w:pStyle w:val="11"/>
            </w:pPr>
            <w:r>
              <w:t>5</w:t>
            </w:r>
          </w:p>
        </w:tc>
      </w:tr>
      <w:tr w14:paraId="2619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638" w:type="dxa"/>
            <w:noWrap w:val="0"/>
            <w:vAlign w:val="center"/>
          </w:tcPr>
          <w:p w14:paraId="094FE0E9">
            <w:pPr>
              <w:pStyle w:val="12"/>
            </w:pPr>
            <w:r>
              <w:t>1</w:t>
            </w:r>
          </w:p>
        </w:tc>
        <w:tc>
          <w:tcPr>
            <w:tcW w:w="3996" w:type="dxa"/>
            <w:noWrap w:val="0"/>
            <w:vAlign w:val="center"/>
          </w:tcPr>
          <w:p w14:paraId="2DBB7E65">
            <w:pPr>
              <w:pStyle w:val="15"/>
            </w:pPr>
            <w:r>
              <w:t>合计</w:t>
            </w:r>
          </w:p>
        </w:tc>
        <w:tc>
          <w:tcPr>
            <w:tcW w:w="0" w:type="auto"/>
            <w:noWrap w:val="0"/>
            <w:vAlign w:val="center"/>
          </w:tcPr>
          <w:p w14:paraId="57A51499">
            <w:pPr>
              <w:pStyle w:val="16"/>
              <w:rPr>
                <w:rFonts w:hint="default" w:eastAsia="方正书宋_GBK"/>
                <w:lang w:val="en-US" w:eastAsia="zh-CN"/>
              </w:rPr>
            </w:pPr>
            <w:r>
              <w:rPr>
                <w:rFonts w:hint="eastAsia"/>
                <w:lang w:val="en-US" w:eastAsia="zh-CN"/>
              </w:rPr>
              <w:t>1.5</w:t>
            </w:r>
          </w:p>
        </w:tc>
        <w:tc>
          <w:tcPr>
            <w:tcW w:w="0" w:type="auto"/>
            <w:noWrap w:val="0"/>
            <w:vAlign w:val="center"/>
          </w:tcPr>
          <w:p w14:paraId="51547660">
            <w:pPr>
              <w:pStyle w:val="16"/>
              <w:rPr>
                <w:rFonts w:hint="default" w:eastAsia="方正书宋_GBK"/>
                <w:lang w:val="en-US" w:eastAsia="zh-CN"/>
              </w:rPr>
            </w:pPr>
            <w:r>
              <w:rPr>
                <w:rFonts w:hint="eastAsia"/>
                <w:lang w:val="en-US" w:eastAsia="zh-CN"/>
              </w:rPr>
              <w:t>1.5</w:t>
            </w:r>
          </w:p>
        </w:tc>
        <w:tc>
          <w:tcPr>
            <w:tcW w:w="0" w:type="auto"/>
            <w:noWrap w:val="0"/>
            <w:vAlign w:val="center"/>
          </w:tcPr>
          <w:p w14:paraId="2539DF14">
            <w:pPr>
              <w:pStyle w:val="16"/>
            </w:pPr>
          </w:p>
        </w:tc>
        <w:tc>
          <w:tcPr>
            <w:tcW w:w="0" w:type="auto"/>
            <w:noWrap w:val="0"/>
            <w:vAlign w:val="center"/>
          </w:tcPr>
          <w:p w14:paraId="60ED0A47">
            <w:pPr>
              <w:pStyle w:val="16"/>
            </w:pPr>
          </w:p>
        </w:tc>
      </w:tr>
      <w:tr w14:paraId="3DDE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638" w:type="dxa"/>
            <w:noWrap w:val="0"/>
            <w:vAlign w:val="center"/>
          </w:tcPr>
          <w:p w14:paraId="24D014AA">
            <w:pPr>
              <w:pStyle w:val="12"/>
            </w:pPr>
            <w:r>
              <w:t>2</w:t>
            </w:r>
          </w:p>
        </w:tc>
        <w:tc>
          <w:tcPr>
            <w:tcW w:w="3996" w:type="dxa"/>
            <w:noWrap w:val="0"/>
            <w:vAlign w:val="center"/>
          </w:tcPr>
          <w:p w14:paraId="5DEA4F41">
            <w:pPr>
              <w:pStyle w:val="13"/>
            </w:pPr>
            <w:r>
              <w:t>“三公”经费小计</w:t>
            </w:r>
          </w:p>
        </w:tc>
        <w:tc>
          <w:tcPr>
            <w:tcW w:w="0" w:type="auto"/>
            <w:noWrap w:val="0"/>
            <w:vAlign w:val="center"/>
          </w:tcPr>
          <w:p w14:paraId="01E0E2F2">
            <w:pPr>
              <w:pStyle w:val="14"/>
            </w:pPr>
            <w:r>
              <w:t>0.50</w:t>
            </w:r>
          </w:p>
        </w:tc>
        <w:tc>
          <w:tcPr>
            <w:tcW w:w="0" w:type="auto"/>
            <w:noWrap w:val="0"/>
            <w:vAlign w:val="center"/>
          </w:tcPr>
          <w:p w14:paraId="768A25B4">
            <w:pPr>
              <w:pStyle w:val="14"/>
            </w:pPr>
            <w:r>
              <w:t>0.50</w:t>
            </w:r>
          </w:p>
        </w:tc>
        <w:tc>
          <w:tcPr>
            <w:tcW w:w="0" w:type="auto"/>
            <w:noWrap w:val="0"/>
            <w:vAlign w:val="center"/>
          </w:tcPr>
          <w:p w14:paraId="3588E8D2">
            <w:pPr>
              <w:pStyle w:val="14"/>
            </w:pPr>
          </w:p>
        </w:tc>
        <w:tc>
          <w:tcPr>
            <w:tcW w:w="0" w:type="auto"/>
            <w:noWrap w:val="0"/>
            <w:vAlign w:val="center"/>
          </w:tcPr>
          <w:p w14:paraId="24149312">
            <w:pPr>
              <w:pStyle w:val="14"/>
            </w:pPr>
          </w:p>
        </w:tc>
      </w:tr>
      <w:tr w14:paraId="394E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638" w:type="dxa"/>
            <w:noWrap w:val="0"/>
            <w:vAlign w:val="center"/>
          </w:tcPr>
          <w:p w14:paraId="2C084023">
            <w:pPr>
              <w:pStyle w:val="12"/>
            </w:pPr>
            <w:r>
              <w:t>3</w:t>
            </w:r>
          </w:p>
        </w:tc>
        <w:tc>
          <w:tcPr>
            <w:tcW w:w="3996" w:type="dxa"/>
            <w:noWrap w:val="0"/>
            <w:vAlign w:val="center"/>
          </w:tcPr>
          <w:p w14:paraId="22D6ADD4">
            <w:pPr>
              <w:pStyle w:val="13"/>
            </w:pPr>
            <w:r>
              <w:t>一、因公出国（境）费</w:t>
            </w:r>
          </w:p>
        </w:tc>
        <w:tc>
          <w:tcPr>
            <w:tcW w:w="0" w:type="auto"/>
            <w:noWrap w:val="0"/>
            <w:vAlign w:val="center"/>
          </w:tcPr>
          <w:p w14:paraId="3F42A1B1">
            <w:pPr>
              <w:pStyle w:val="14"/>
            </w:pPr>
          </w:p>
        </w:tc>
        <w:tc>
          <w:tcPr>
            <w:tcW w:w="0" w:type="auto"/>
            <w:noWrap w:val="0"/>
            <w:vAlign w:val="center"/>
          </w:tcPr>
          <w:p w14:paraId="48073534">
            <w:pPr>
              <w:pStyle w:val="14"/>
            </w:pPr>
          </w:p>
        </w:tc>
        <w:tc>
          <w:tcPr>
            <w:tcW w:w="0" w:type="auto"/>
            <w:noWrap w:val="0"/>
            <w:vAlign w:val="center"/>
          </w:tcPr>
          <w:p w14:paraId="0902E0B0">
            <w:pPr>
              <w:pStyle w:val="14"/>
            </w:pPr>
          </w:p>
        </w:tc>
        <w:tc>
          <w:tcPr>
            <w:tcW w:w="0" w:type="auto"/>
            <w:noWrap w:val="0"/>
            <w:vAlign w:val="center"/>
          </w:tcPr>
          <w:p w14:paraId="6B0A5432">
            <w:pPr>
              <w:pStyle w:val="14"/>
            </w:pPr>
          </w:p>
        </w:tc>
      </w:tr>
      <w:tr w14:paraId="03D7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638" w:type="dxa"/>
            <w:noWrap w:val="0"/>
            <w:vAlign w:val="center"/>
          </w:tcPr>
          <w:p w14:paraId="7DEB454B">
            <w:pPr>
              <w:pStyle w:val="12"/>
            </w:pPr>
            <w:r>
              <w:t>4</w:t>
            </w:r>
          </w:p>
        </w:tc>
        <w:tc>
          <w:tcPr>
            <w:tcW w:w="3996" w:type="dxa"/>
            <w:noWrap w:val="0"/>
            <w:vAlign w:val="center"/>
          </w:tcPr>
          <w:p w14:paraId="3AE83B74">
            <w:pPr>
              <w:pStyle w:val="13"/>
            </w:pPr>
            <w:r>
              <w:t xml:space="preserve">    其中：教学科研人员因公出国（境）费</w:t>
            </w:r>
          </w:p>
        </w:tc>
        <w:tc>
          <w:tcPr>
            <w:tcW w:w="0" w:type="auto"/>
            <w:noWrap w:val="0"/>
            <w:vAlign w:val="center"/>
          </w:tcPr>
          <w:p w14:paraId="093A7027">
            <w:pPr>
              <w:pStyle w:val="14"/>
            </w:pPr>
          </w:p>
        </w:tc>
        <w:tc>
          <w:tcPr>
            <w:tcW w:w="0" w:type="auto"/>
            <w:noWrap w:val="0"/>
            <w:vAlign w:val="center"/>
          </w:tcPr>
          <w:p w14:paraId="0AEB25B5">
            <w:pPr>
              <w:pStyle w:val="14"/>
            </w:pPr>
          </w:p>
        </w:tc>
        <w:tc>
          <w:tcPr>
            <w:tcW w:w="0" w:type="auto"/>
            <w:noWrap w:val="0"/>
            <w:vAlign w:val="center"/>
          </w:tcPr>
          <w:p w14:paraId="34D8D2BA">
            <w:pPr>
              <w:pStyle w:val="14"/>
            </w:pPr>
          </w:p>
        </w:tc>
        <w:tc>
          <w:tcPr>
            <w:tcW w:w="0" w:type="auto"/>
            <w:noWrap w:val="0"/>
            <w:vAlign w:val="center"/>
          </w:tcPr>
          <w:p w14:paraId="5CD749E6">
            <w:pPr>
              <w:pStyle w:val="14"/>
            </w:pPr>
          </w:p>
        </w:tc>
      </w:tr>
      <w:tr w14:paraId="09042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638" w:type="dxa"/>
            <w:noWrap w:val="0"/>
            <w:vAlign w:val="center"/>
          </w:tcPr>
          <w:p w14:paraId="322EFCFB">
            <w:pPr>
              <w:pStyle w:val="12"/>
            </w:pPr>
            <w:r>
              <w:t>5</w:t>
            </w:r>
          </w:p>
        </w:tc>
        <w:tc>
          <w:tcPr>
            <w:tcW w:w="3996" w:type="dxa"/>
            <w:noWrap w:val="0"/>
            <w:vAlign w:val="center"/>
          </w:tcPr>
          <w:p w14:paraId="5BCC2382">
            <w:pPr>
              <w:pStyle w:val="13"/>
            </w:pPr>
            <w:r>
              <w:t xml:space="preserve">          其他因公出国（境）费</w:t>
            </w:r>
          </w:p>
        </w:tc>
        <w:tc>
          <w:tcPr>
            <w:tcW w:w="0" w:type="auto"/>
            <w:noWrap w:val="0"/>
            <w:vAlign w:val="center"/>
          </w:tcPr>
          <w:p w14:paraId="16F24CD5">
            <w:pPr>
              <w:pStyle w:val="14"/>
            </w:pPr>
          </w:p>
        </w:tc>
        <w:tc>
          <w:tcPr>
            <w:tcW w:w="0" w:type="auto"/>
            <w:noWrap w:val="0"/>
            <w:vAlign w:val="center"/>
          </w:tcPr>
          <w:p w14:paraId="1A7A618D">
            <w:pPr>
              <w:pStyle w:val="14"/>
            </w:pPr>
          </w:p>
        </w:tc>
        <w:tc>
          <w:tcPr>
            <w:tcW w:w="0" w:type="auto"/>
            <w:noWrap w:val="0"/>
            <w:vAlign w:val="center"/>
          </w:tcPr>
          <w:p w14:paraId="59EB6B5C">
            <w:pPr>
              <w:pStyle w:val="14"/>
            </w:pPr>
          </w:p>
        </w:tc>
        <w:tc>
          <w:tcPr>
            <w:tcW w:w="0" w:type="auto"/>
            <w:noWrap w:val="0"/>
            <w:vAlign w:val="center"/>
          </w:tcPr>
          <w:p w14:paraId="577899EC">
            <w:pPr>
              <w:pStyle w:val="14"/>
            </w:pPr>
          </w:p>
        </w:tc>
      </w:tr>
      <w:tr w14:paraId="4660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638" w:type="dxa"/>
            <w:noWrap w:val="0"/>
            <w:vAlign w:val="center"/>
          </w:tcPr>
          <w:p w14:paraId="76CC7479">
            <w:pPr>
              <w:pStyle w:val="12"/>
            </w:pPr>
            <w:r>
              <w:t>6</w:t>
            </w:r>
          </w:p>
        </w:tc>
        <w:tc>
          <w:tcPr>
            <w:tcW w:w="3996" w:type="dxa"/>
            <w:noWrap w:val="0"/>
            <w:vAlign w:val="center"/>
          </w:tcPr>
          <w:p w14:paraId="54AB15D2">
            <w:pPr>
              <w:pStyle w:val="13"/>
            </w:pPr>
            <w:r>
              <w:t>二、公务用车购置及运维费</w:t>
            </w:r>
          </w:p>
        </w:tc>
        <w:tc>
          <w:tcPr>
            <w:tcW w:w="0" w:type="auto"/>
            <w:noWrap w:val="0"/>
            <w:vAlign w:val="center"/>
          </w:tcPr>
          <w:p w14:paraId="2F2314F7">
            <w:pPr>
              <w:pStyle w:val="14"/>
            </w:pPr>
          </w:p>
        </w:tc>
        <w:tc>
          <w:tcPr>
            <w:tcW w:w="0" w:type="auto"/>
            <w:noWrap w:val="0"/>
            <w:vAlign w:val="center"/>
          </w:tcPr>
          <w:p w14:paraId="35288AFF">
            <w:pPr>
              <w:pStyle w:val="14"/>
            </w:pPr>
          </w:p>
        </w:tc>
        <w:tc>
          <w:tcPr>
            <w:tcW w:w="0" w:type="auto"/>
            <w:noWrap w:val="0"/>
            <w:vAlign w:val="center"/>
          </w:tcPr>
          <w:p w14:paraId="3A9EB31A">
            <w:pPr>
              <w:pStyle w:val="14"/>
            </w:pPr>
          </w:p>
        </w:tc>
        <w:tc>
          <w:tcPr>
            <w:tcW w:w="0" w:type="auto"/>
            <w:noWrap w:val="0"/>
            <w:vAlign w:val="center"/>
          </w:tcPr>
          <w:p w14:paraId="4F8C80B7">
            <w:pPr>
              <w:pStyle w:val="14"/>
            </w:pPr>
          </w:p>
        </w:tc>
      </w:tr>
      <w:tr w14:paraId="7D31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638" w:type="dxa"/>
            <w:noWrap w:val="0"/>
            <w:vAlign w:val="center"/>
          </w:tcPr>
          <w:p w14:paraId="5CC57A4E">
            <w:pPr>
              <w:pStyle w:val="12"/>
            </w:pPr>
            <w:r>
              <w:t>7</w:t>
            </w:r>
          </w:p>
        </w:tc>
        <w:tc>
          <w:tcPr>
            <w:tcW w:w="3996" w:type="dxa"/>
            <w:noWrap w:val="0"/>
            <w:vAlign w:val="center"/>
          </w:tcPr>
          <w:p w14:paraId="4A34C8D8">
            <w:pPr>
              <w:pStyle w:val="13"/>
            </w:pPr>
            <w:r>
              <w:t xml:space="preserve">    其中：公务用车购置费</w:t>
            </w:r>
          </w:p>
        </w:tc>
        <w:tc>
          <w:tcPr>
            <w:tcW w:w="0" w:type="auto"/>
            <w:noWrap w:val="0"/>
            <w:vAlign w:val="center"/>
          </w:tcPr>
          <w:p w14:paraId="114BAE8D">
            <w:pPr>
              <w:pStyle w:val="14"/>
            </w:pPr>
          </w:p>
        </w:tc>
        <w:tc>
          <w:tcPr>
            <w:tcW w:w="0" w:type="auto"/>
            <w:noWrap w:val="0"/>
            <w:vAlign w:val="center"/>
          </w:tcPr>
          <w:p w14:paraId="4E322ABB">
            <w:pPr>
              <w:pStyle w:val="14"/>
            </w:pPr>
          </w:p>
        </w:tc>
        <w:tc>
          <w:tcPr>
            <w:tcW w:w="0" w:type="auto"/>
            <w:noWrap w:val="0"/>
            <w:vAlign w:val="center"/>
          </w:tcPr>
          <w:p w14:paraId="1150BE91">
            <w:pPr>
              <w:pStyle w:val="14"/>
            </w:pPr>
          </w:p>
        </w:tc>
        <w:tc>
          <w:tcPr>
            <w:tcW w:w="0" w:type="auto"/>
            <w:noWrap w:val="0"/>
            <w:vAlign w:val="center"/>
          </w:tcPr>
          <w:p w14:paraId="27A12FD4">
            <w:pPr>
              <w:pStyle w:val="14"/>
            </w:pPr>
          </w:p>
        </w:tc>
      </w:tr>
      <w:tr w14:paraId="1E0F8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638" w:type="dxa"/>
            <w:noWrap w:val="0"/>
            <w:vAlign w:val="center"/>
          </w:tcPr>
          <w:p w14:paraId="03210D05">
            <w:pPr>
              <w:pStyle w:val="12"/>
            </w:pPr>
            <w:r>
              <w:t>8</w:t>
            </w:r>
          </w:p>
        </w:tc>
        <w:tc>
          <w:tcPr>
            <w:tcW w:w="3996" w:type="dxa"/>
            <w:noWrap w:val="0"/>
            <w:vAlign w:val="center"/>
          </w:tcPr>
          <w:p w14:paraId="2F484EF0">
            <w:pPr>
              <w:pStyle w:val="13"/>
            </w:pPr>
            <w:r>
              <w:t xml:space="preserve">          公务用车运行维护费</w:t>
            </w:r>
          </w:p>
        </w:tc>
        <w:tc>
          <w:tcPr>
            <w:tcW w:w="0" w:type="auto"/>
            <w:noWrap w:val="0"/>
            <w:vAlign w:val="center"/>
          </w:tcPr>
          <w:p w14:paraId="463A7B70">
            <w:pPr>
              <w:pStyle w:val="14"/>
            </w:pPr>
          </w:p>
        </w:tc>
        <w:tc>
          <w:tcPr>
            <w:tcW w:w="0" w:type="auto"/>
            <w:noWrap w:val="0"/>
            <w:vAlign w:val="center"/>
          </w:tcPr>
          <w:p w14:paraId="16050429">
            <w:pPr>
              <w:pStyle w:val="14"/>
            </w:pPr>
          </w:p>
        </w:tc>
        <w:tc>
          <w:tcPr>
            <w:tcW w:w="0" w:type="auto"/>
            <w:noWrap w:val="0"/>
            <w:vAlign w:val="center"/>
          </w:tcPr>
          <w:p w14:paraId="3F65B682">
            <w:pPr>
              <w:pStyle w:val="14"/>
            </w:pPr>
          </w:p>
        </w:tc>
        <w:tc>
          <w:tcPr>
            <w:tcW w:w="0" w:type="auto"/>
            <w:noWrap w:val="0"/>
            <w:vAlign w:val="center"/>
          </w:tcPr>
          <w:p w14:paraId="36170242">
            <w:pPr>
              <w:pStyle w:val="14"/>
            </w:pPr>
          </w:p>
        </w:tc>
      </w:tr>
      <w:tr w14:paraId="632B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638" w:type="dxa"/>
            <w:noWrap w:val="0"/>
            <w:vAlign w:val="center"/>
          </w:tcPr>
          <w:p w14:paraId="5B4CD0EF">
            <w:pPr>
              <w:pStyle w:val="12"/>
            </w:pPr>
            <w:r>
              <w:t>9</w:t>
            </w:r>
          </w:p>
        </w:tc>
        <w:tc>
          <w:tcPr>
            <w:tcW w:w="3996" w:type="dxa"/>
            <w:noWrap w:val="0"/>
            <w:vAlign w:val="center"/>
          </w:tcPr>
          <w:p w14:paraId="4021F2B1">
            <w:pPr>
              <w:pStyle w:val="13"/>
            </w:pPr>
            <w:r>
              <w:t>三、公务接待费</w:t>
            </w:r>
          </w:p>
        </w:tc>
        <w:tc>
          <w:tcPr>
            <w:tcW w:w="0" w:type="auto"/>
            <w:noWrap w:val="0"/>
            <w:vAlign w:val="center"/>
          </w:tcPr>
          <w:p w14:paraId="447B74A7">
            <w:pPr>
              <w:pStyle w:val="14"/>
            </w:pPr>
            <w:r>
              <w:t>0.50</w:t>
            </w:r>
          </w:p>
        </w:tc>
        <w:tc>
          <w:tcPr>
            <w:tcW w:w="0" w:type="auto"/>
            <w:noWrap w:val="0"/>
            <w:vAlign w:val="center"/>
          </w:tcPr>
          <w:p w14:paraId="3A03252F">
            <w:pPr>
              <w:pStyle w:val="14"/>
            </w:pPr>
            <w:r>
              <w:t>0.50</w:t>
            </w:r>
          </w:p>
        </w:tc>
        <w:tc>
          <w:tcPr>
            <w:tcW w:w="0" w:type="auto"/>
            <w:noWrap w:val="0"/>
            <w:vAlign w:val="center"/>
          </w:tcPr>
          <w:p w14:paraId="32FD82F3">
            <w:pPr>
              <w:pStyle w:val="14"/>
            </w:pPr>
          </w:p>
        </w:tc>
        <w:tc>
          <w:tcPr>
            <w:tcW w:w="0" w:type="auto"/>
            <w:noWrap w:val="0"/>
            <w:vAlign w:val="center"/>
          </w:tcPr>
          <w:p w14:paraId="3D47D07D">
            <w:pPr>
              <w:pStyle w:val="14"/>
            </w:pPr>
          </w:p>
        </w:tc>
      </w:tr>
      <w:tr w14:paraId="081B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0" w:type="auto"/>
            <w:noWrap w:val="0"/>
            <w:vAlign w:val="center"/>
          </w:tcPr>
          <w:p w14:paraId="43A78C0D">
            <w:pPr>
              <w:pStyle w:val="12"/>
            </w:pPr>
            <w:r>
              <w:t>10</w:t>
            </w:r>
          </w:p>
        </w:tc>
        <w:tc>
          <w:tcPr>
            <w:tcW w:w="0" w:type="auto"/>
            <w:noWrap w:val="0"/>
            <w:vAlign w:val="center"/>
          </w:tcPr>
          <w:p w14:paraId="094B4B33">
            <w:pPr>
              <w:pStyle w:val="13"/>
            </w:pPr>
            <w:r>
              <w:t>四、会议费</w:t>
            </w:r>
          </w:p>
        </w:tc>
        <w:tc>
          <w:tcPr>
            <w:tcW w:w="0" w:type="auto"/>
            <w:noWrap w:val="0"/>
            <w:vAlign w:val="center"/>
          </w:tcPr>
          <w:p w14:paraId="5662EF53">
            <w:pPr>
              <w:pStyle w:val="14"/>
              <w:rPr>
                <w:rFonts w:hint="eastAsia" w:eastAsia="方正书宋_GBK"/>
                <w:lang w:val="en-US" w:eastAsia="zh-CN"/>
              </w:rPr>
            </w:pPr>
            <w:r>
              <w:rPr>
                <w:rFonts w:hint="eastAsia"/>
                <w:lang w:val="en-US" w:eastAsia="zh-CN"/>
              </w:rPr>
              <w:t>1</w:t>
            </w:r>
          </w:p>
        </w:tc>
        <w:tc>
          <w:tcPr>
            <w:tcW w:w="0" w:type="auto"/>
            <w:noWrap w:val="0"/>
            <w:vAlign w:val="center"/>
          </w:tcPr>
          <w:p w14:paraId="15AA97ED">
            <w:pPr>
              <w:pStyle w:val="14"/>
              <w:rPr>
                <w:rFonts w:hint="eastAsia" w:eastAsia="方正书宋_GBK"/>
                <w:lang w:val="en-US" w:eastAsia="zh-CN"/>
              </w:rPr>
            </w:pPr>
            <w:r>
              <w:rPr>
                <w:rFonts w:hint="eastAsia"/>
                <w:lang w:val="en-US" w:eastAsia="zh-CN"/>
              </w:rPr>
              <w:t>1</w:t>
            </w:r>
          </w:p>
        </w:tc>
        <w:tc>
          <w:tcPr>
            <w:tcW w:w="0" w:type="auto"/>
            <w:noWrap w:val="0"/>
            <w:vAlign w:val="center"/>
          </w:tcPr>
          <w:p w14:paraId="3C945595">
            <w:pPr>
              <w:pStyle w:val="14"/>
            </w:pPr>
          </w:p>
        </w:tc>
        <w:tc>
          <w:tcPr>
            <w:tcW w:w="0" w:type="auto"/>
            <w:noWrap w:val="0"/>
            <w:vAlign w:val="center"/>
          </w:tcPr>
          <w:p w14:paraId="23231430">
            <w:pPr>
              <w:pStyle w:val="14"/>
            </w:pPr>
          </w:p>
        </w:tc>
      </w:tr>
      <w:tr w14:paraId="1F2DF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0" w:type="auto"/>
            <w:noWrap w:val="0"/>
            <w:vAlign w:val="center"/>
          </w:tcPr>
          <w:p w14:paraId="031BC2BA">
            <w:pPr>
              <w:pStyle w:val="12"/>
            </w:pPr>
            <w:r>
              <w:t>11</w:t>
            </w:r>
          </w:p>
        </w:tc>
        <w:tc>
          <w:tcPr>
            <w:tcW w:w="0" w:type="auto"/>
            <w:noWrap w:val="0"/>
            <w:vAlign w:val="center"/>
          </w:tcPr>
          <w:p w14:paraId="347F0AE4">
            <w:pPr>
              <w:pStyle w:val="13"/>
            </w:pPr>
            <w:r>
              <w:t xml:space="preserve">    其中：省属高校业务性会议费</w:t>
            </w:r>
          </w:p>
        </w:tc>
        <w:tc>
          <w:tcPr>
            <w:tcW w:w="0" w:type="auto"/>
            <w:noWrap w:val="0"/>
            <w:vAlign w:val="center"/>
          </w:tcPr>
          <w:p w14:paraId="77E9634A">
            <w:pPr>
              <w:pStyle w:val="14"/>
              <w:rPr>
                <w:rFonts w:hint="eastAsia" w:eastAsia="方正书宋_GBK"/>
                <w:lang w:val="en-US" w:eastAsia="zh-CN"/>
              </w:rPr>
            </w:pPr>
            <w:r>
              <w:rPr>
                <w:rFonts w:hint="eastAsia"/>
                <w:lang w:val="en-US" w:eastAsia="zh-CN"/>
              </w:rPr>
              <w:t>0</w:t>
            </w:r>
          </w:p>
        </w:tc>
        <w:tc>
          <w:tcPr>
            <w:tcW w:w="0" w:type="auto"/>
            <w:noWrap w:val="0"/>
            <w:vAlign w:val="center"/>
          </w:tcPr>
          <w:p w14:paraId="7479DF82">
            <w:pPr>
              <w:pStyle w:val="14"/>
              <w:rPr>
                <w:rFonts w:hint="default"/>
                <w:lang w:val="en-US"/>
              </w:rPr>
            </w:pPr>
          </w:p>
        </w:tc>
        <w:tc>
          <w:tcPr>
            <w:tcW w:w="0" w:type="auto"/>
            <w:noWrap w:val="0"/>
            <w:vAlign w:val="center"/>
          </w:tcPr>
          <w:p w14:paraId="2F3B6F28">
            <w:pPr>
              <w:pStyle w:val="14"/>
            </w:pPr>
          </w:p>
        </w:tc>
        <w:tc>
          <w:tcPr>
            <w:tcW w:w="0" w:type="auto"/>
            <w:noWrap w:val="0"/>
            <w:vAlign w:val="center"/>
          </w:tcPr>
          <w:p w14:paraId="40A979E8">
            <w:pPr>
              <w:pStyle w:val="14"/>
            </w:pPr>
          </w:p>
        </w:tc>
      </w:tr>
      <w:tr w14:paraId="5474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0" w:type="auto"/>
            <w:noWrap w:val="0"/>
            <w:vAlign w:val="center"/>
          </w:tcPr>
          <w:p w14:paraId="2EBCC9CA">
            <w:pPr>
              <w:pStyle w:val="12"/>
            </w:pPr>
            <w:r>
              <w:t>12</w:t>
            </w:r>
          </w:p>
        </w:tc>
        <w:tc>
          <w:tcPr>
            <w:tcW w:w="0" w:type="auto"/>
            <w:noWrap w:val="0"/>
            <w:vAlign w:val="center"/>
          </w:tcPr>
          <w:p w14:paraId="0F8CB88F">
            <w:pPr>
              <w:pStyle w:val="13"/>
            </w:pPr>
            <w:r>
              <w:t xml:space="preserve">          其他会议费</w:t>
            </w:r>
          </w:p>
        </w:tc>
        <w:tc>
          <w:tcPr>
            <w:tcW w:w="0" w:type="auto"/>
            <w:noWrap w:val="0"/>
            <w:vAlign w:val="center"/>
          </w:tcPr>
          <w:p w14:paraId="38A411A1">
            <w:pPr>
              <w:pStyle w:val="14"/>
              <w:rPr>
                <w:rFonts w:hint="eastAsia" w:eastAsia="方正书宋_GBK"/>
                <w:lang w:val="en-US" w:eastAsia="zh-CN"/>
              </w:rPr>
            </w:pPr>
            <w:r>
              <w:rPr>
                <w:rFonts w:hint="eastAsia"/>
                <w:lang w:val="en-US" w:eastAsia="zh-CN"/>
              </w:rPr>
              <w:t>0</w:t>
            </w:r>
          </w:p>
        </w:tc>
        <w:tc>
          <w:tcPr>
            <w:tcW w:w="0" w:type="auto"/>
            <w:noWrap w:val="0"/>
            <w:vAlign w:val="center"/>
          </w:tcPr>
          <w:p w14:paraId="5A60FD33">
            <w:pPr>
              <w:pStyle w:val="14"/>
              <w:rPr>
                <w:rFonts w:hint="default"/>
                <w:lang w:val="en-US"/>
              </w:rPr>
            </w:pPr>
          </w:p>
        </w:tc>
        <w:tc>
          <w:tcPr>
            <w:tcW w:w="0" w:type="auto"/>
            <w:noWrap w:val="0"/>
            <w:vAlign w:val="center"/>
          </w:tcPr>
          <w:p w14:paraId="280448E9">
            <w:pPr>
              <w:pStyle w:val="14"/>
            </w:pPr>
          </w:p>
        </w:tc>
        <w:tc>
          <w:tcPr>
            <w:tcW w:w="0" w:type="auto"/>
            <w:noWrap w:val="0"/>
            <w:vAlign w:val="center"/>
          </w:tcPr>
          <w:p w14:paraId="631E18B2">
            <w:pPr>
              <w:pStyle w:val="14"/>
            </w:pPr>
          </w:p>
        </w:tc>
      </w:tr>
      <w:tr w14:paraId="757C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0" w:type="auto"/>
            <w:noWrap w:val="0"/>
            <w:vAlign w:val="center"/>
          </w:tcPr>
          <w:p w14:paraId="448F6452">
            <w:pPr>
              <w:pStyle w:val="12"/>
            </w:pPr>
            <w:r>
              <w:t>13</w:t>
            </w:r>
          </w:p>
        </w:tc>
        <w:tc>
          <w:tcPr>
            <w:tcW w:w="0" w:type="auto"/>
            <w:noWrap w:val="0"/>
            <w:vAlign w:val="center"/>
          </w:tcPr>
          <w:p w14:paraId="3DD7FA71">
            <w:pPr>
              <w:pStyle w:val="13"/>
            </w:pPr>
            <w:r>
              <w:t>五、培训费</w:t>
            </w:r>
          </w:p>
        </w:tc>
        <w:tc>
          <w:tcPr>
            <w:tcW w:w="0" w:type="auto"/>
            <w:noWrap w:val="0"/>
            <w:vAlign w:val="center"/>
          </w:tcPr>
          <w:p w14:paraId="36EC5389">
            <w:pPr>
              <w:pStyle w:val="14"/>
              <w:rPr>
                <w:rFonts w:hint="default" w:eastAsia="方正书宋_GBK"/>
                <w:lang w:val="en-US" w:eastAsia="zh-CN"/>
              </w:rPr>
            </w:pPr>
            <w:r>
              <w:rPr>
                <w:rFonts w:hint="eastAsia"/>
                <w:lang w:val="en-US" w:eastAsia="zh-CN"/>
              </w:rPr>
              <w:t>0</w:t>
            </w:r>
          </w:p>
        </w:tc>
        <w:tc>
          <w:tcPr>
            <w:tcW w:w="0" w:type="auto"/>
            <w:noWrap w:val="0"/>
            <w:vAlign w:val="center"/>
          </w:tcPr>
          <w:p w14:paraId="3AB3CE5B">
            <w:pPr>
              <w:pStyle w:val="14"/>
              <w:rPr>
                <w:rFonts w:hint="default" w:eastAsia="方正书宋_GBK"/>
                <w:lang w:val="en-US" w:eastAsia="zh-CN"/>
              </w:rPr>
            </w:pPr>
          </w:p>
        </w:tc>
        <w:tc>
          <w:tcPr>
            <w:tcW w:w="0" w:type="auto"/>
            <w:noWrap w:val="0"/>
            <w:vAlign w:val="center"/>
          </w:tcPr>
          <w:p w14:paraId="21C2A5B1">
            <w:pPr>
              <w:pStyle w:val="14"/>
            </w:pPr>
          </w:p>
        </w:tc>
        <w:tc>
          <w:tcPr>
            <w:tcW w:w="0" w:type="auto"/>
            <w:noWrap w:val="0"/>
            <w:vAlign w:val="center"/>
          </w:tcPr>
          <w:p w14:paraId="15D4FCC3">
            <w:pPr>
              <w:pStyle w:val="14"/>
            </w:pPr>
          </w:p>
        </w:tc>
      </w:tr>
    </w:tbl>
    <w:p w14:paraId="0DDDCC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val="en-US" w:eastAsia="zh-CN"/>
        </w:rPr>
        <w:t>无财政拨款“三公”经费支出预算</w:t>
      </w:r>
      <w:r>
        <w:rPr>
          <w:rFonts w:ascii="方正书宋_GBK" w:hAnsi="方正书宋_GBK" w:eastAsia="方正书宋_GBK" w:cs="方正书宋_GBK"/>
          <w:color w:val="000000"/>
          <w:sz w:val="21"/>
        </w:rPr>
        <w:t>，空表列示。</w:t>
      </w:r>
    </w:p>
    <w:p w14:paraId="71C63C5E">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隆尧县教育局本级2025年单位预算信息公开情况说明</w:t>
      </w:r>
    </w:p>
    <w:p w14:paraId="6C5C76B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按照《中华人民共和国预算法》、《地方预决算公开操作规程》和《关于进一步推进预算公开工作的实施意见》规定，现将隆尧县教育局本级2025年单位预算公开如下：</w:t>
      </w:r>
    </w:p>
    <w:p w14:paraId="67E4A62A">
      <w:pPr>
        <w:spacing w:before="10" w:after="10" w:line="240" w:lineRule="auto"/>
        <w:ind w:firstLine="640"/>
        <w:jc w:val="left"/>
        <w:outlineLvl w:val="5"/>
      </w:pPr>
      <w:r>
        <w:rPr>
          <w:rFonts w:ascii="黑体" w:hAnsi="黑体" w:eastAsia="黑体" w:cs="黑体"/>
          <w:color w:val="000000"/>
          <w:sz w:val="32"/>
        </w:rPr>
        <w:t>一、单位职责及机构设置情况</w:t>
      </w:r>
    </w:p>
    <w:p w14:paraId="632BDED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00ED50">
      <w:pPr>
        <w:pStyle w:val="18"/>
      </w:pPr>
      <w:r>
        <w:t>1.负责教育系统党的政治建设、思想建设、组织建设、作风建设、纪律建设和制度建设。</w:t>
      </w:r>
    </w:p>
    <w:p w14:paraId="6E3B62D9">
      <w:pPr>
        <w:pStyle w:val="18"/>
      </w:pPr>
      <w:r>
        <w:t>2.承担所属学校基层党组织和党员队伍建设工作。</w:t>
      </w:r>
    </w:p>
    <w:p w14:paraId="16039DC5">
      <w:pPr>
        <w:pStyle w:val="18"/>
      </w:pPr>
      <w:r>
        <w:t>3.指导全县各级各类学习意识形态和党的宣传教育工作，指导和督促党的统一战线方针政策在各级各类学校的贯彻落实。</w:t>
      </w:r>
    </w:p>
    <w:p w14:paraId="1693FD5C">
      <w:pPr>
        <w:pStyle w:val="18"/>
      </w:pPr>
      <w:r>
        <w:t>4.按照干部管理权限，负责县教育局所属单位领导班子建设、干部队伍建设、干部选任和日常教育管理工作。</w:t>
      </w:r>
    </w:p>
    <w:p w14:paraId="0C4F03E1">
      <w:pPr>
        <w:pStyle w:val="18"/>
      </w:pPr>
      <w:r>
        <w:t>5.负责全县教师工作。贯彻落实各级各类教师资格标准，负责中小学幼儿园和中等职业学校教师资格认定实施工作，组织实施各级各类教师资格证制度。负责全县教师教育工作，负责教学成果奖评审奖励工作。会同有关单位组织实施教育系统职称评聘、表彰奖励等工作。</w:t>
      </w:r>
    </w:p>
    <w:p w14:paraId="03D6483F">
      <w:pPr>
        <w:pStyle w:val="18"/>
      </w:pPr>
      <w:r>
        <w:t>6.统筹管理教育系统人次工作。</w:t>
      </w:r>
    </w:p>
    <w:p w14:paraId="2FEFC19F">
      <w:pPr>
        <w:pStyle w:val="18"/>
      </w:pPr>
      <w:r>
        <w:t>7.参与拟订中专院校毕业生就业政策，指导职业院校开展学生就业创业工作。</w:t>
      </w:r>
    </w:p>
    <w:p w14:paraId="74DF760B">
      <w:pPr>
        <w:pStyle w:val="18"/>
      </w:pPr>
      <w:r>
        <w:t>8.负责本系统教育经费的统筹管理和内部审计，参与拟订教育经费筹措、教育拨款、教育基建投资等政策，负责统计全县教育经费投入情况。</w:t>
      </w:r>
    </w:p>
    <w:p w14:paraId="08CEA39A">
      <w:pPr>
        <w:pStyle w:val="18"/>
      </w:pPr>
      <w:r>
        <w:t>9.拟订全县教育改革与发展的政策和规划并组织实施。</w:t>
      </w:r>
    </w:p>
    <w:p w14:paraId="15AB4792">
      <w:pPr>
        <w:pStyle w:val="18"/>
      </w:pPr>
      <w:r>
        <w:t>10.负责全县各级各类教育的统筹规划和协调管理，会同有关单位组织实施各级各类学校的设置标准，负责教育基本信息的统计、分析和发布。</w:t>
      </w:r>
    </w:p>
    <w:p w14:paraId="53E3B5E2">
      <w:pPr>
        <w:pStyle w:val="18"/>
      </w:pPr>
      <w:r>
        <w:t>11.规划、组织并指导全县教育、教学科学研究工作。指导教育信息化工作。</w:t>
      </w:r>
    </w:p>
    <w:p w14:paraId="09B51853">
      <w:pPr>
        <w:pStyle w:val="18"/>
      </w:pPr>
      <w:r>
        <w:t>12. 负责基础教育管理工作。负责义务教育的协调指导推进义务教育均衡发展和促进教育公平。指呈普通高中教育、幼儿教育、特殊教育。研究制定基础教育教学政策，推进素质教育。</w:t>
      </w:r>
    </w:p>
    <w:p w14:paraId="13D16B34">
      <w:pPr>
        <w:pStyle w:val="18"/>
      </w:pPr>
      <w:r>
        <w:t>13.负责各级各类学校学生和教师的思想政治工作，指导全县学校思想政治工作队伍建设，指导中小学德育课程教育教学。</w:t>
      </w:r>
    </w:p>
    <w:p w14:paraId="68E36395">
      <w:pPr>
        <w:pStyle w:val="18"/>
      </w:pPr>
      <w:r>
        <w:t>14.指导各级各类学校的德育、体育、卫生、艺术、劳动、国防教育和心理健康教育工作。</w:t>
      </w:r>
    </w:p>
    <w:p w14:paraId="568D37ED">
      <w:pPr>
        <w:pStyle w:val="18"/>
      </w:pPr>
      <w:r>
        <w:t>15.会同有关单位指导职业教育的发展与改革，拟订中等职业教育教学指导政策和教学评估标准，负责中等职业教育的地方教材建设和职业指导工作。负责成人教育和社区教育的指导工作。</w:t>
      </w:r>
    </w:p>
    <w:p w14:paraId="148FF561">
      <w:pPr>
        <w:pStyle w:val="18"/>
      </w:pPr>
      <w:r>
        <w:t>16.指导各级各类学校抓好家校共建工作。</w:t>
      </w:r>
    </w:p>
    <w:p w14:paraId="417A3227">
      <w:pPr>
        <w:pStyle w:val="18"/>
      </w:pPr>
      <w:r>
        <w:t>17.负责民办教育的统筹规划、综合协调和指导管理完善政策措施，规范办学秩序，促进民办教育事业健康发展。</w:t>
      </w:r>
    </w:p>
    <w:p w14:paraId="3D983D07">
      <w:pPr>
        <w:pStyle w:val="18"/>
      </w:pPr>
      <w:r>
        <w:t>18.统筹指导少数民族教育工作，协调对少数民族和少数民族学校的教育援助</w:t>
      </w:r>
    </w:p>
    <w:p w14:paraId="4D3EAB92">
      <w:pPr>
        <w:pStyle w:val="18"/>
      </w:pPr>
      <w:r>
        <w:t>19.负责全县老年教育工作。</w:t>
      </w:r>
    </w:p>
    <w:p w14:paraId="3668194B">
      <w:pPr>
        <w:pStyle w:val="18"/>
      </w:pPr>
      <w:r>
        <w:t>20.负责中高等学历教育招生考试。</w:t>
      </w:r>
    </w:p>
    <w:p w14:paraId="0D299B1E">
      <w:pPr>
        <w:pStyle w:val="18"/>
      </w:pPr>
      <w:r>
        <w:t>21.负责教育系统安全稳定和校园及周边综合治理工作。</w:t>
      </w:r>
    </w:p>
    <w:p w14:paraId="1C864D70">
      <w:pPr>
        <w:pStyle w:val="18"/>
      </w:pPr>
      <w:r>
        <w:t>22.负责全县教育督导工作，组织实施对乡镇政府履行教育职责评价，组织开展全县各级各类教育的督导评估、检查验收、质量监测等工作，承担县人民政府教育督导委员会交办的其他事项。</w:t>
      </w:r>
    </w:p>
    <w:p w14:paraId="13831064">
      <w:pPr>
        <w:pStyle w:val="18"/>
      </w:pPr>
      <w:r>
        <w:t>23.负责全县语言文字工作，组织协调并监督检查汉语文字规范及标准的实施，推广和普及普通话。</w:t>
      </w:r>
    </w:p>
    <w:p w14:paraId="1E9A4E52">
      <w:pPr>
        <w:pStyle w:val="18"/>
      </w:pPr>
      <w:r>
        <w:t xml:space="preserve">24.承办县委、县政府交办的其它事项。 </w:t>
      </w:r>
    </w:p>
    <w:p w14:paraId="31922905">
      <w:pPr>
        <w:pStyle w:val="18"/>
      </w:pPr>
    </w:p>
    <w:p w14:paraId="4F33037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DAA2C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8304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5AE818">
            <w:pPr>
              <w:pStyle w:val="11"/>
            </w:pPr>
            <w:r>
              <w:t>单位名称</w:t>
            </w:r>
          </w:p>
        </w:tc>
        <w:tc>
          <w:tcPr>
            <w:tcW w:w="1843" w:type="dxa"/>
            <w:vAlign w:val="center"/>
          </w:tcPr>
          <w:p w14:paraId="3ED66D54">
            <w:pPr>
              <w:pStyle w:val="11"/>
            </w:pPr>
            <w:r>
              <w:t>单位性质</w:t>
            </w:r>
          </w:p>
        </w:tc>
        <w:tc>
          <w:tcPr>
            <w:tcW w:w="2126" w:type="dxa"/>
            <w:vAlign w:val="center"/>
          </w:tcPr>
          <w:p w14:paraId="106BBE90">
            <w:pPr>
              <w:pStyle w:val="11"/>
            </w:pPr>
            <w:r>
              <w:t>单位规格</w:t>
            </w:r>
          </w:p>
        </w:tc>
        <w:tc>
          <w:tcPr>
            <w:tcW w:w="3827" w:type="dxa"/>
            <w:vAlign w:val="center"/>
          </w:tcPr>
          <w:p w14:paraId="2EE4CD49">
            <w:pPr>
              <w:pStyle w:val="11"/>
            </w:pPr>
            <w:r>
              <w:t>经费保障形式</w:t>
            </w:r>
          </w:p>
        </w:tc>
      </w:tr>
      <w:tr w14:paraId="772D8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123D465">
            <w:pPr>
              <w:pStyle w:val="13"/>
            </w:pPr>
            <w:r>
              <w:t>隆尧县教育局本级</w:t>
            </w:r>
          </w:p>
        </w:tc>
        <w:tc>
          <w:tcPr>
            <w:tcW w:w="1843" w:type="dxa"/>
            <w:vAlign w:val="center"/>
          </w:tcPr>
          <w:p w14:paraId="4D88FB60">
            <w:pPr>
              <w:pStyle w:val="12"/>
            </w:pPr>
            <w:r>
              <w:t>行政</w:t>
            </w:r>
          </w:p>
        </w:tc>
        <w:tc>
          <w:tcPr>
            <w:tcW w:w="2126" w:type="dxa"/>
            <w:vAlign w:val="center"/>
          </w:tcPr>
          <w:p w14:paraId="4B0C7BE5">
            <w:pPr>
              <w:pStyle w:val="12"/>
            </w:pPr>
            <w:r>
              <w:t>正科级</w:t>
            </w:r>
          </w:p>
        </w:tc>
        <w:tc>
          <w:tcPr>
            <w:tcW w:w="3827" w:type="dxa"/>
            <w:vAlign w:val="center"/>
          </w:tcPr>
          <w:p w14:paraId="05F9AD1A">
            <w:pPr>
              <w:pStyle w:val="12"/>
            </w:pPr>
            <w:r>
              <w:t>财政拨款</w:t>
            </w:r>
          </w:p>
        </w:tc>
      </w:tr>
    </w:tbl>
    <w:p w14:paraId="3E741BBE">
      <w:pPr>
        <w:spacing w:before="10" w:after="10" w:line="240" w:lineRule="auto"/>
        <w:ind w:firstLine="640"/>
        <w:jc w:val="left"/>
        <w:outlineLvl w:val="5"/>
      </w:pPr>
      <w:r>
        <w:rPr>
          <w:rFonts w:ascii="黑体" w:hAnsi="黑体" w:eastAsia="黑体" w:cs="黑体"/>
          <w:color w:val="000000"/>
          <w:sz w:val="32"/>
        </w:rPr>
        <w:t>二、单位预算安排的总体情况</w:t>
      </w:r>
    </w:p>
    <w:p w14:paraId="080D0FAE">
      <w:pPr>
        <w:pStyle w:val="19"/>
      </w:pPr>
      <w:r>
        <w:t>按照预算管理有关规定，目前我县部门预算的编制实行综合预算管理，即全部收入和支出都反映在预算中。隆尧县教育局及所属事业单位的收支包含在部门预算中。</w:t>
      </w:r>
    </w:p>
    <w:p w14:paraId="09446052">
      <w:pPr>
        <w:pStyle w:val="19"/>
      </w:pPr>
      <w:r>
        <w:t>1、收入说明</w:t>
      </w:r>
    </w:p>
    <w:p w14:paraId="212F400B">
      <w:pPr>
        <w:pStyle w:val="19"/>
      </w:pPr>
      <w:r>
        <w:t>反映本部门当年全部收入。2025年预算收11235.8</w:t>
      </w:r>
      <w:r>
        <w:rPr>
          <w:rFonts w:hint="eastAsia"/>
          <w:lang w:val="en-US" w:eastAsia="zh-CN"/>
        </w:rPr>
        <w:t>4</w:t>
      </w:r>
      <w:r>
        <w:t>万元，其中：一般公共预算收入10499.51万元，基金预算收入0万元，国有资本经营预算收入0万元，财政专户核拨收入237.0</w:t>
      </w:r>
      <w:r>
        <w:rPr>
          <w:rFonts w:hint="eastAsia"/>
          <w:lang w:val="en-US" w:eastAsia="zh-CN"/>
        </w:rPr>
        <w:t>3</w:t>
      </w:r>
      <w:r>
        <w:t>万元，单位资金收入0万元，上年结转结余499.3万元。</w:t>
      </w:r>
    </w:p>
    <w:p w14:paraId="7AA01AB0">
      <w:pPr>
        <w:pStyle w:val="19"/>
      </w:pPr>
      <w:r>
        <w:t>2、支出说明</w:t>
      </w:r>
    </w:p>
    <w:p w14:paraId="42D43A26">
      <w:pPr>
        <w:pStyle w:val="19"/>
      </w:pPr>
      <w:r>
        <w:t>收支预算总表支出栏、基本支出表、项目支出表按经济分类和支出功能分类科目编制，反映隆尧县教育局年度部门预算中支出预算的总体情况。2025年支出预算11235.8</w:t>
      </w:r>
      <w:r>
        <w:rPr>
          <w:rFonts w:hint="eastAsia"/>
          <w:lang w:val="en-US" w:eastAsia="zh-CN"/>
        </w:rPr>
        <w:t>4</w:t>
      </w:r>
      <w:r>
        <w:t>万元，其中基本支出3863.33万元，包括人员经费3803.01万元和日常公用经费60.32万元；项目支出7372.51万元，主要为教育购置和修缮、建设。</w:t>
      </w:r>
    </w:p>
    <w:p w14:paraId="5CCFEE69">
      <w:pPr>
        <w:pStyle w:val="19"/>
      </w:pPr>
      <w:r>
        <w:t>3、比上年增减情况</w:t>
      </w:r>
    </w:p>
    <w:p w14:paraId="18BDCE91">
      <w:pPr>
        <w:pStyle w:val="23"/>
      </w:pPr>
      <w:r>
        <w:t>2025年预算收支安排</w:t>
      </w:r>
      <w:r>
        <w:rPr>
          <w:rFonts w:hint="eastAsia"/>
          <w:lang w:val="en-US" w:eastAsia="zh-CN"/>
        </w:rPr>
        <w:t>11235.84</w:t>
      </w:r>
      <w:r>
        <w:t>万元，较</w:t>
      </w:r>
      <w:r>
        <w:rPr>
          <w:rFonts w:hint="eastAsia"/>
          <w:lang w:val="en-US" w:eastAsia="zh-CN"/>
        </w:rPr>
        <w:t>2024</w:t>
      </w:r>
      <w:r>
        <w:t>年预算</w:t>
      </w:r>
      <w:r>
        <w:rPr>
          <w:rFonts w:hint="eastAsia"/>
          <w:lang w:val="en-US" w:eastAsia="zh-CN"/>
        </w:rPr>
        <w:t>收支安排数减少3307.45万元，减幅22.74%；</w:t>
      </w:r>
      <w:r>
        <w:t>较</w:t>
      </w:r>
      <w:r>
        <w:rPr>
          <w:rFonts w:hint="eastAsia"/>
          <w:lang w:val="en-US" w:eastAsia="zh-CN"/>
        </w:rPr>
        <w:t>2024</w:t>
      </w:r>
      <w:r>
        <w:t>年预算基本支出</w:t>
      </w:r>
      <w:r>
        <w:rPr>
          <w:rFonts w:hint="eastAsia"/>
          <w:lang w:val="en-US" w:eastAsia="zh-CN"/>
        </w:rPr>
        <w:t>增加1622.92</w:t>
      </w:r>
      <w:r>
        <w:t>万元，</w:t>
      </w:r>
      <w:r>
        <w:rPr>
          <w:rFonts w:hint="eastAsia"/>
          <w:lang w:val="en-US" w:eastAsia="zh-CN"/>
        </w:rPr>
        <w:t>增</w:t>
      </w:r>
      <w:r>
        <w:t>幅</w:t>
      </w:r>
      <w:r>
        <w:rPr>
          <w:rFonts w:hint="eastAsia"/>
          <w:lang w:val="en-US" w:eastAsia="zh-CN"/>
        </w:rPr>
        <w:t>72.43</w:t>
      </w:r>
      <w:r>
        <w:t xml:space="preserve"> %。202</w:t>
      </w:r>
      <w:r>
        <w:rPr>
          <w:rFonts w:hint="eastAsia"/>
          <w:lang w:val="en-US" w:eastAsia="zh-CN"/>
        </w:rPr>
        <w:t>5</w:t>
      </w:r>
      <w:r>
        <w:t>年部门预算项目支出</w:t>
      </w:r>
      <w:r>
        <w:rPr>
          <w:rFonts w:hint="eastAsia"/>
          <w:lang w:val="en-US" w:eastAsia="zh-CN"/>
        </w:rPr>
        <w:t>26058.6</w:t>
      </w:r>
      <w:r>
        <w:t>万元，与上年部门预算项目支出</w:t>
      </w:r>
      <w:r>
        <w:rPr>
          <w:rFonts w:hint="eastAsia"/>
          <w:lang w:val="en-US" w:eastAsia="zh-CN"/>
        </w:rPr>
        <w:t>减少7541.39</w:t>
      </w:r>
      <w:r>
        <w:t xml:space="preserve"> 万元， </w:t>
      </w:r>
      <w:r>
        <w:rPr>
          <w:rFonts w:hint="eastAsia"/>
          <w:lang w:val="en-US" w:eastAsia="zh-CN"/>
        </w:rPr>
        <w:t>减</w:t>
      </w:r>
      <w:r>
        <w:t>幅主要原因</w:t>
      </w:r>
      <w:r>
        <w:rPr>
          <w:rFonts w:hint="eastAsia"/>
          <w:lang w:val="en-US" w:eastAsia="zh-CN"/>
        </w:rPr>
        <w:t>根据实际工作安排，本年建设项目支出预算较去年有所减少。</w:t>
      </w:r>
    </w:p>
    <w:p w14:paraId="689B3C76">
      <w:pPr>
        <w:spacing w:before="10" w:after="10" w:line="240" w:lineRule="auto"/>
        <w:ind w:firstLine="640"/>
        <w:jc w:val="left"/>
        <w:outlineLvl w:val="5"/>
      </w:pPr>
      <w:r>
        <w:rPr>
          <w:rFonts w:ascii="黑体" w:hAnsi="黑体" w:eastAsia="黑体" w:cs="黑体"/>
          <w:color w:val="000000"/>
          <w:sz w:val="32"/>
        </w:rPr>
        <w:t>三、机关运行经费安排情况</w:t>
      </w:r>
    </w:p>
    <w:p w14:paraId="3EC20CA3">
      <w:pPr>
        <w:pStyle w:val="20"/>
      </w:pPr>
      <w:r>
        <w:t>2025年，我部门运行经费共计安排60.32万元，主要用于日常维修、办公用房水电费、办公用房取暖费、办公用房物业管理费等日常运行支出。</w:t>
      </w:r>
    </w:p>
    <w:p w14:paraId="26F953C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FDE6069">
      <w:pPr>
        <w:pStyle w:val="24"/>
      </w:pPr>
      <w:r>
        <w:t>202</w:t>
      </w:r>
      <w:r>
        <w:rPr>
          <w:rFonts w:hint="eastAsia"/>
          <w:lang w:val="en-US" w:eastAsia="zh-CN"/>
        </w:rPr>
        <w:t>5</w:t>
      </w:r>
      <w:r>
        <w:t>年，我</w:t>
      </w:r>
      <w:r>
        <w:rPr>
          <w:rFonts w:hint="eastAsia"/>
          <w:lang w:val="en-US" w:eastAsia="zh-CN"/>
        </w:rPr>
        <w:t>单位</w:t>
      </w:r>
      <w:r>
        <w:t>财政拨款“三公”经费预算安排0.5万元，其中因公出国（境）费0万元；公务用车购置及运维费0万元（其中：公务用车购置费为0万元，公务用车运行维护费0万元)；公务接待费0.5万元。与202</w:t>
      </w:r>
      <w:r>
        <w:rPr>
          <w:rFonts w:hint="eastAsia"/>
          <w:lang w:val="en-US" w:eastAsia="zh-CN"/>
        </w:rPr>
        <w:t>4</w:t>
      </w:r>
      <w:r>
        <w:t>年相比无变化。</w:t>
      </w:r>
    </w:p>
    <w:p w14:paraId="51C323F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94FC61D">
      <w:pPr>
        <w:spacing w:before="0" w:after="0"/>
        <w:ind w:firstLine="560"/>
        <w:jc w:val="left"/>
        <w:outlineLvl w:val="9"/>
      </w:pPr>
      <w:r>
        <w:rPr>
          <w:rFonts w:ascii="方正仿宋_GBK" w:hAnsi="方正仿宋_GBK" w:eastAsia="方正仿宋_GBK" w:cs="方正仿宋_GBK"/>
          <w:b/>
          <w:color w:val="000000"/>
          <w:sz w:val="28"/>
        </w:rPr>
        <w:t>1、购买民办学校学位绩效目标表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AE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8D327">
            <w:pPr>
              <w:pStyle w:val="14"/>
            </w:pPr>
            <w:r>
              <w:t>单位：万元</w:t>
            </w:r>
          </w:p>
        </w:tc>
      </w:tr>
      <w:tr w14:paraId="64023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CB6717">
            <w:pPr>
              <w:pStyle w:val="11"/>
            </w:pPr>
            <w:r>
              <w:t>项目编码</w:t>
            </w:r>
          </w:p>
        </w:tc>
        <w:tc>
          <w:tcPr>
            <w:tcW w:w="5103" w:type="dxa"/>
            <w:gridSpan w:val="2"/>
            <w:vAlign w:val="center"/>
          </w:tcPr>
          <w:p w14:paraId="681FEDC0">
            <w:pPr>
              <w:pStyle w:val="13"/>
            </w:pPr>
            <w:r>
              <w:t>13052524P00875610010P</w:t>
            </w:r>
          </w:p>
        </w:tc>
        <w:tc>
          <w:tcPr>
            <w:tcW w:w="2835" w:type="dxa"/>
            <w:vAlign w:val="center"/>
          </w:tcPr>
          <w:p w14:paraId="4677BC15">
            <w:pPr>
              <w:pStyle w:val="11"/>
            </w:pPr>
            <w:r>
              <w:t>项目名称</w:t>
            </w:r>
          </w:p>
        </w:tc>
        <w:tc>
          <w:tcPr>
            <w:tcW w:w="6095" w:type="dxa"/>
            <w:gridSpan w:val="3"/>
            <w:vAlign w:val="center"/>
          </w:tcPr>
          <w:p w14:paraId="309D0F9E">
            <w:pPr>
              <w:pStyle w:val="13"/>
            </w:pPr>
            <w:r>
              <w:t>购买民办学校学位</w:t>
            </w:r>
          </w:p>
        </w:tc>
      </w:tr>
      <w:tr w14:paraId="4B77D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3D031">
            <w:pPr>
              <w:pStyle w:val="11"/>
            </w:pPr>
            <w:r>
              <w:t>预算规模及资金用途</w:t>
            </w:r>
          </w:p>
        </w:tc>
        <w:tc>
          <w:tcPr>
            <w:tcW w:w="2268" w:type="dxa"/>
            <w:vAlign w:val="center"/>
          </w:tcPr>
          <w:p w14:paraId="469246B0">
            <w:pPr>
              <w:pStyle w:val="11"/>
            </w:pPr>
            <w:r>
              <w:t>预算数</w:t>
            </w:r>
          </w:p>
        </w:tc>
        <w:tc>
          <w:tcPr>
            <w:tcW w:w="2835" w:type="dxa"/>
            <w:vAlign w:val="center"/>
          </w:tcPr>
          <w:p w14:paraId="35FB6A17">
            <w:pPr>
              <w:pStyle w:val="13"/>
            </w:pPr>
            <w:r>
              <w:t>898.36</w:t>
            </w:r>
          </w:p>
        </w:tc>
        <w:tc>
          <w:tcPr>
            <w:tcW w:w="2835" w:type="dxa"/>
            <w:vAlign w:val="center"/>
          </w:tcPr>
          <w:p w14:paraId="4AF93EF2">
            <w:pPr>
              <w:pStyle w:val="11"/>
            </w:pPr>
            <w:r>
              <w:t>其中：财政    资金</w:t>
            </w:r>
          </w:p>
        </w:tc>
        <w:tc>
          <w:tcPr>
            <w:tcW w:w="2551" w:type="dxa"/>
            <w:vAlign w:val="center"/>
          </w:tcPr>
          <w:p w14:paraId="05D9DC9C">
            <w:pPr>
              <w:pStyle w:val="13"/>
            </w:pPr>
            <w:r>
              <w:t>898.36</w:t>
            </w:r>
          </w:p>
        </w:tc>
        <w:tc>
          <w:tcPr>
            <w:tcW w:w="2268" w:type="dxa"/>
            <w:vAlign w:val="center"/>
          </w:tcPr>
          <w:p w14:paraId="789236A7">
            <w:pPr>
              <w:pStyle w:val="11"/>
            </w:pPr>
            <w:r>
              <w:t>其他资金</w:t>
            </w:r>
          </w:p>
        </w:tc>
        <w:tc>
          <w:tcPr>
            <w:tcW w:w="1276" w:type="dxa"/>
            <w:vAlign w:val="center"/>
          </w:tcPr>
          <w:p w14:paraId="5F106FCB">
            <w:pPr>
              <w:pStyle w:val="13"/>
            </w:pPr>
            <w:r>
              <w:t xml:space="preserve"> </w:t>
            </w:r>
          </w:p>
        </w:tc>
      </w:tr>
      <w:tr w14:paraId="6D5B3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9BCBF"/>
        </w:tc>
        <w:tc>
          <w:tcPr>
            <w:tcW w:w="14033" w:type="dxa"/>
            <w:gridSpan w:val="6"/>
            <w:vAlign w:val="center"/>
          </w:tcPr>
          <w:p w14:paraId="4EC14491">
            <w:pPr>
              <w:pStyle w:val="13"/>
            </w:pPr>
            <w:r>
              <w:t>用于落实规范民办义务教育相关工作。</w:t>
            </w:r>
          </w:p>
        </w:tc>
      </w:tr>
      <w:tr w14:paraId="7E05E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88006">
            <w:pPr>
              <w:pStyle w:val="11"/>
            </w:pPr>
            <w:r>
              <w:t>资金支出计划（%）</w:t>
            </w:r>
          </w:p>
        </w:tc>
        <w:tc>
          <w:tcPr>
            <w:tcW w:w="5103" w:type="dxa"/>
            <w:gridSpan w:val="2"/>
            <w:vAlign w:val="center"/>
          </w:tcPr>
          <w:p w14:paraId="3A6AE5BE">
            <w:pPr>
              <w:pStyle w:val="11"/>
            </w:pPr>
            <w:r>
              <w:t>3月底</w:t>
            </w:r>
          </w:p>
        </w:tc>
        <w:tc>
          <w:tcPr>
            <w:tcW w:w="2835" w:type="dxa"/>
            <w:vAlign w:val="center"/>
          </w:tcPr>
          <w:p w14:paraId="16CE0C8E">
            <w:pPr>
              <w:pStyle w:val="11"/>
            </w:pPr>
            <w:r>
              <w:t>6月底</w:t>
            </w:r>
          </w:p>
        </w:tc>
        <w:tc>
          <w:tcPr>
            <w:tcW w:w="2551" w:type="dxa"/>
            <w:vAlign w:val="center"/>
          </w:tcPr>
          <w:p w14:paraId="3DF0DEDD">
            <w:pPr>
              <w:pStyle w:val="11"/>
            </w:pPr>
            <w:r>
              <w:t>10月底</w:t>
            </w:r>
          </w:p>
        </w:tc>
        <w:tc>
          <w:tcPr>
            <w:tcW w:w="3544" w:type="dxa"/>
            <w:gridSpan w:val="2"/>
            <w:vAlign w:val="center"/>
          </w:tcPr>
          <w:p w14:paraId="4908E8D0">
            <w:pPr>
              <w:pStyle w:val="11"/>
            </w:pPr>
            <w:r>
              <w:t>12月底</w:t>
            </w:r>
          </w:p>
        </w:tc>
      </w:tr>
      <w:tr w14:paraId="0C006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A85A7"/>
        </w:tc>
        <w:tc>
          <w:tcPr>
            <w:tcW w:w="5103" w:type="dxa"/>
            <w:gridSpan w:val="2"/>
            <w:vAlign w:val="center"/>
          </w:tcPr>
          <w:p w14:paraId="4FAFB91B">
            <w:pPr>
              <w:pStyle w:val="12"/>
            </w:pPr>
            <w:r>
              <w:t>25%</w:t>
            </w:r>
          </w:p>
        </w:tc>
        <w:tc>
          <w:tcPr>
            <w:tcW w:w="2835" w:type="dxa"/>
            <w:vAlign w:val="center"/>
          </w:tcPr>
          <w:p w14:paraId="179550F2">
            <w:pPr>
              <w:pStyle w:val="12"/>
            </w:pPr>
            <w:r>
              <w:t>50%</w:t>
            </w:r>
          </w:p>
        </w:tc>
        <w:tc>
          <w:tcPr>
            <w:tcW w:w="2551" w:type="dxa"/>
            <w:vAlign w:val="center"/>
          </w:tcPr>
          <w:p w14:paraId="694D83CC">
            <w:pPr>
              <w:pStyle w:val="12"/>
            </w:pPr>
            <w:r>
              <w:t>75%</w:t>
            </w:r>
          </w:p>
        </w:tc>
        <w:tc>
          <w:tcPr>
            <w:tcW w:w="3544" w:type="dxa"/>
            <w:gridSpan w:val="2"/>
            <w:vAlign w:val="center"/>
          </w:tcPr>
          <w:p w14:paraId="4B1D64B4">
            <w:pPr>
              <w:pStyle w:val="12"/>
            </w:pPr>
            <w:r>
              <w:t>100%</w:t>
            </w:r>
          </w:p>
        </w:tc>
      </w:tr>
      <w:tr w14:paraId="14B3A3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E72DAD">
            <w:pPr>
              <w:pStyle w:val="11"/>
            </w:pPr>
            <w:r>
              <w:t>绩效目标</w:t>
            </w:r>
          </w:p>
        </w:tc>
        <w:tc>
          <w:tcPr>
            <w:tcW w:w="14033" w:type="dxa"/>
            <w:gridSpan w:val="6"/>
            <w:vAlign w:val="center"/>
          </w:tcPr>
          <w:p w14:paraId="27493472">
            <w:pPr>
              <w:pStyle w:val="13"/>
            </w:pPr>
            <w:r>
              <w:t>1.专项资金用于落实规范民办义务教育相关工作。</w:t>
            </w:r>
          </w:p>
        </w:tc>
      </w:tr>
    </w:tbl>
    <w:p w14:paraId="0173C7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CB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EB64A">
            <w:pPr>
              <w:pStyle w:val="11"/>
            </w:pPr>
            <w:r>
              <w:t>一级指标</w:t>
            </w:r>
          </w:p>
        </w:tc>
        <w:tc>
          <w:tcPr>
            <w:tcW w:w="2268" w:type="dxa"/>
            <w:vAlign w:val="center"/>
          </w:tcPr>
          <w:p w14:paraId="7D0F9CC4">
            <w:pPr>
              <w:pStyle w:val="11"/>
            </w:pPr>
            <w:r>
              <w:t>二级指标</w:t>
            </w:r>
          </w:p>
        </w:tc>
        <w:tc>
          <w:tcPr>
            <w:tcW w:w="2835" w:type="dxa"/>
            <w:vAlign w:val="center"/>
          </w:tcPr>
          <w:p w14:paraId="641BAF00">
            <w:pPr>
              <w:pStyle w:val="11"/>
            </w:pPr>
            <w:r>
              <w:t>三级指标</w:t>
            </w:r>
          </w:p>
        </w:tc>
        <w:tc>
          <w:tcPr>
            <w:tcW w:w="5386" w:type="dxa"/>
            <w:vAlign w:val="center"/>
          </w:tcPr>
          <w:p w14:paraId="1C1CF6EF">
            <w:pPr>
              <w:pStyle w:val="11"/>
            </w:pPr>
            <w:r>
              <w:t>绩效指标描述</w:t>
            </w:r>
          </w:p>
        </w:tc>
        <w:tc>
          <w:tcPr>
            <w:tcW w:w="2268" w:type="dxa"/>
            <w:vAlign w:val="center"/>
          </w:tcPr>
          <w:p w14:paraId="1F36D067">
            <w:pPr>
              <w:pStyle w:val="11"/>
            </w:pPr>
            <w:r>
              <w:t>指标值</w:t>
            </w:r>
          </w:p>
        </w:tc>
        <w:tc>
          <w:tcPr>
            <w:tcW w:w="1276" w:type="dxa"/>
            <w:vAlign w:val="center"/>
          </w:tcPr>
          <w:p w14:paraId="6A48BAFC">
            <w:pPr>
              <w:pStyle w:val="11"/>
            </w:pPr>
            <w:r>
              <w:t>指标值确定依据</w:t>
            </w:r>
          </w:p>
        </w:tc>
      </w:tr>
      <w:tr w14:paraId="11897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F1DBA">
            <w:pPr>
              <w:pStyle w:val="12"/>
            </w:pPr>
            <w:r>
              <w:t>产出指标</w:t>
            </w:r>
          </w:p>
        </w:tc>
        <w:tc>
          <w:tcPr>
            <w:tcW w:w="2268" w:type="dxa"/>
            <w:vAlign w:val="center"/>
          </w:tcPr>
          <w:p w14:paraId="19066822">
            <w:pPr>
              <w:pStyle w:val="13"/>
            </w:pPr>
            <w:r>
              <w:t>成本指标</w:t>
            </w:r>
          </w:p>
        </w:tc>
        <w:tc>
          <w:tcPr>
            <w:tcW w:w="2835" w:type="dxa"/>
            <w:vAlign w:val="center"/>
          </w:tcPr>
          <w:p w14:paraId="7F9CFB21">
            <w:pPr>
              <w:pStyle w:val="13"/>
            </w:pPr>
            <w:r>
              <w:t>生均拨款标准</w:t>
            </w:r>
          </w:p>
        </w:tc>
        <w:tc>
          <w:tcPr>
            <w:tcW w:w="5386" w:type="dxa"/>
            <w:vAlign w:val="center"/>
          </w:tcPr>
          <w:p w14:paraId="0B72DD3C">
            <w:pPr>
              <w:pStyle w:val="13"/>
            </w:pPr>
            <w:r>
              <w:t>小学800元/学期</w:t>
            </w:r>
          </w:p>
        </w:tc>
        <w:tc>
          <w:tcPr>
            <w:tcW w:w="2268" w:type="dxa"/>
            <w:vAlign w:val="center"/>
          </w:tcPr>
          <w:p w14:paraId="4ED2EAFC">
            <w:pPr>
              <w:pStyle w:val="13"/>
            </w:pPr>
            <w:r>
              <w:t>800元/学期</w:t>
            </w:r>
          </w:p>
        </w:tc>
        <w:tc>
          <w:tcPr>
            <w:tcW w:w="1276" w:type="dxa"/>
            <w:vAlign w:val="center"/>
          </w:tcPr>
          <w:p w14:paraId="2BEDBF02">
            <w:pPr>
              <w:pStyle w:val="13"/>
            </w:pPr>
            <w:r>
              <w:t>规范民办义务教育政策</w:t>
            </w:r>
          </w:p>
        </w:tc>
      </w:tr>
      <w:tr w14:paraId="53ACD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8B124"/>
        </w:tc>
        <w:tc>
          <w:tcPr>
            <w:tcW w:w="2268" w:type="dxa"/>
            <w:vAlign w:val="center"/>
          </w:tcPr>
          <w:p w14:paraId="5F1AD490">
            <w:pPr>
              <w:pStyle w:val="13"/>
            </w:pPr>
            <w:r>
              <w:t>成本指标</w:t>
            </w:r>
          </w:p>
        </w:tc>
        <w:tc>
          <w:tcPr>
            <w:tcW w:w="2835" w:type="dxa"/>
            <w:vAlign w:val="center"/>
          </w:tcPr>
          <w:p w14:paraId="3D334D5F">
            <w:pPr>
              <w:pStyle w:val="13"/>
            </w:pPr>
            <w:r>
              <w:t>生均拨款标准</w:t>
            </w:r>
          </w:p>
        </w:tc>
        <w:tc>
          <w:tcPr>
            <w:tcW w:w="5386" w:type="dxa"/>
            <w:vAlign w:val="center"/>
          </w:tcPr>
          <w:p w14:paraId="47F28DB5">
            <w:pPr>
              <w:pStyle w:val="13"/>
            </w:pPr>
            <w:r>
              <w:t>初中1500元/学期</w:t>
            </w:r>
          </w:p>
        </w:tc>
        <w:tc>
          <w:tcPr>
            <w:tcW w:w="2268" w:type="dxa"/>
            <w:vAlign w:val="center"/>
          </w:tcPr>
          <w:p w14:paraId="76391AF7">
            <w:pPr>
              <w:pStyle w:val="13"/>
            </w:pPr>
            <w:r>
              <w:t>1500元/学期</w:t>
            </w:r>
          </w:p>
        </w:tc>
        <w:tc>
          <w:tcPr>
            <w:tcW w:w="1276" w:type="dxa"/>
            <w:vAlign w:val="center"/>
          </w:tcPr>
          <w:p w14:paraId="23ED0152">
            <w:pPr>
              <w:pStyle w:val="13"/>
            </w:pPr>
            <w:r>
              <w:t>规范民办义务教育政策</w:t>
            </w:r>
          </w:p>
        </w:tc>
      </w:tr>
      <w:tr w14:paraId="07C6A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4C909"/>
        </w:tc>
        <w:tc>
          <w:tcPr>
            <w:tcW w:w="2268" w:type="dxa"/>
            <w:vAlign w:val="center"/>
          </w:tcPr>
          <w:p w14:paraId="273C48F4">
            <w:pPr>
              <w:pStyle w:val="13"/>
            </w:pPr>
            <w:r>
              <w:t>质量指标</w:t>
            </w:r>
          </w:p>
        </w:tc>
        <w:tc>
          <w:tcPr>
            <w:tcW w:w="2835" w:type="dxa"/>
            <w:vAlign w:val="center"/>
          </w:tcPr>
          <w:p w14:paraId="25006C2A">
            <w:pPr>
              <w:pStyle w:val="13"/>
            </w:pPr>
            <w:r>
              <w:t>购买学位数</w:t>
            </w:r>
          </w:p>
        </w:tc>
        <w:tc>
          <w:tcPr>
            <w:tcW w:w="5386" w:type="dxa"/>
            <w:vAlign w:val="center"/>
          </w:tcPr>
          <w:p w14:paraId="78F71441">
            <w:pPr>
              <w:pStyle w:val="13"/>
            </w:pPr>
            <w:r>
              <w:t>辐射区域内民办学校适龄学生人数</w:t>
            </w:r>
          </w:p>
        </w:tc>
        <w:tc>
          <w:tcPr>
            <w:tcW w:w="2268" w:type="dxa"/>
            <w:vAlign w:val="center"/>
          </w:tcPr>
          <w:p w14:paraId="4C81CF7D">
            <w:pPr>
              <w:pStyle w:val="13"/>
            </w:pPr>
            <w:r>
              <w:t>8034人</w:t>
            </w:r>
          </w:p>
        </w:tc>
        <w:tc>
          <w:tcPr>
            <w:tcW w:w="1276" w:type="dxa"/>
            <w:vAlign w:val="center"/>
          </w:tcPr>
          <w:p w14:paraId="396E60FD">
            <w:pPr>
              <w:pStyle w:val="13"/>
            </w:pPr>
            <w:r>
              <w:t>规范民办义务教育政策</w:t>
            </w:r>
          </w:p>
        </w:tc>
      </w:tr>
      <w:tr w14:paraId="6B761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58D59"/>
        </w:tc>
        <w:tc>
          <w:tcPr>
            <w:tcW w:w="2268" w:type="dxa"/>
            <w:vAlign w:val="center"/>
          </w:tcPr>
          <w:p w14:paraId="597B2346">
            <w:pPr>
              <w:pStyle w:val="13"/>
            </w:pPr>
            <w:r>
              <w:t>数量指标</w:t>
            </w:r>
          </w:p>
        </w:tc>
        <w:tc>
          <w:tcPr>
            <w:tcW w:w="2835" w:type="dxa"/>
            <w:vAlign w:val="center"/>
          </w:tcPr>
          <w:p w14:paraId="20A1281D">
            <w:pPr>
              <w:pStyle w:val="13"/>
            </w:pPr>
            <w:r>
              <w:t>购买学位学校数量</w:t>
            </w:r>
          </w:p>
        </w:tc>
        <w:tc>
          <w:tcPr>
            <w:tcW w:w="5386" w:type="dxa"/>
            <w:vAlign w:val="center"/>
          </w:tcPr>
          <w:p w14:paraId="3B3A19F9">
            <w:pPr>
              <w:pStyle w:val="13"/>
            </w:pPr>
            <w:r>
              <w:t>购买学位学校数量</w:t>
            </w:r>
          </w:p>
        </w:tc>
        <w:tc>
          <w:tcPr>
            <w:tcW w:w="2268" w:type="dxa"/>
            <w:vAlign w:val="center"/>
          </w:tcPr>
          <w:p w14:paraId="62ECE981">
            <w:pPr>
              <w:pStyle w:val="13"/>
            </w:pPr>
            <w:r>
              <w:t>23所</w:t>
            </w:r>
          </w:p>
        </w:tc>
        <w:tc>
          <w:tcPr>
            <w:tcW w:w="1276" w:type="dxa"/>
            <w:vAlign w:val="center"/>
          </w:tcPr>
          <w:p w14:paraId="78365D27">
            <w:pPr>
              <w:pStyle w:val="13"/>
            </w:pPr>
            <w:r>
              <w:t>规范民办义务教育政策</w:t>
            </w:r>
          </w:p>
        </w:tc>
      </w:tr>
      <w:tr w14:paraId="5F0F0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D032F"/>
        </w:tc>
        <w:tc>
          <w:tcPr>
            <w:tcW w:w="2268" w:type="dxa"/>
            <w:vAlign w:val="center"/>
          </w:tcPr>
          <w:p w14:paraId="19E29245">
            <w:pPr>
              <w:pStyle w:val="13"/>
            </w:pPr>
            <w:r>
              <w:t>时效指标</w:t>
            </w:r>
          </w:p>
        </w:tc>
        <w:tc>
          <w:tcPr>
            <w:tcW w:w="2835" w:type="dxa"/>
            <w:vAlign w:val="center"/>
          </w:tcPr>
          <w:p w14:paraId="55182579">
            <w:pPr>
              <w:pStyle w:val="13"/>
            </w:pPr>
            <w:r>
              <w:t>预算执行率</w:t>
            </w:r>
          </w:p>
        </w:tc>
        <w:tc>
          <w:tcPr>
            <w:tcW w:w="5386" w:type="dxa"/>
            <w:vAlign w:val="center"/>
          </w:tcPr>
          <w:p w14:paraId="549469EC">
            <w:pPr>
              <w:pStyle w:val="13"/>
            </w:pPr>
            <w:r>
              <w:t>购买学位资金预算拨付执行率</w:t>
            </w:r>
          </w:p>
        </w:tc>
        <w:tc>
          <w:tcPr>
            <w:tcW w:w="2268" w:type="dxa"/>
            <w:vAlign w:val="center"/>
          </w:tcPr>
          <w:p w14:paraId="6242F281">
            <w:pPr>
              <w:pStyle w:val="13"/>
            </w:pPr>
            <w:r>
              <w:t>≥95%</w:t>
            </w:r>
          </w:p>
        </w:tc>
        <w:tc>
          <w:tcPr>
            <w:tcW w:w="1276" w:type="dxa"/>
            <w:vAlign w:val="center"/>
          </w:tcPr>
          <w:p w14:paraId="04C1379D">
            <w:pPr>
              <w:pStyle w:val="13"/>
            </w:pPr>
            <w:r>
              <w:t>规范民办义务教育政策</w:t>
            </w:r>
          </w:p>
        </w:tc>
      </w:tr>
      <w:tr w14:paraId="4BA7B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BB410E">
            <w:pPr>
              <w:pStyle w:val="12"/>
            </w:pPr>
            <w:r>
              <w:t>效益指标</w:t>
            </w:r>
          </w:p>
        </w:tc>
        <w:tc>
          <w:tcPr>
            <w:tcW w:w="2268" w:type="dxa"/>
            <w:vAlign w:val="center"/>
          </w:tcPr>
          <w:p w14:paraId="456176CA">
            <w:pPr>
              <w:pStyle w:val="13"/>
            </w:pPr>
            <w:r>
              <w:t>社会效益指标</w:t>
            </w:r>
          </w:p>
        </w:tc>
        <w:tc>
          <w:tcPr>
            <w:tcW w:w="2835" w:type="dxa"/>
            <w:vAlign w:val="center"/>
          </w:tcPr>
          <w:p w14:paraId="488DEA3D">
            <w:pPr>
              <w:pStyle w:val="13"/>
            </w:pPr>
            <w:r>
              <w:t>落实规范民办义务教育</w:t>
            </w:r>
          </w:p>
        </w:tc>
        <w:tc>
          <w:tcPr>
            <w:tcW w:w="5386" w:type="dxa"/>
            <w:vAlign w:val="center"/>
          </w:tcPr>
          <w:p w14:paraId="152026BA">
            <w:pPr>
              <w:pStyle w:val="13"/>
            </w:pPr>
            <w:r>
              <w:t>落实规范民办义务教育</w:t>
            </w:r>
          </w:p>
        </w:tc>
        <w:tc>
          <w:tcPr>
            <w:tcW w:w="2268" w:type="dxa"/>
            <w:vAlign w:val="center"/>
          </w:tcPr>
          <w:p w14:paraId="3518FD03">
            <w:pPr>
              <w:pStyle w:val="13"/>
            </w:pPr>
            <w:r>
              <w:t>9年</w:t>
            </w:r>
          </w:p>
        </w:tc>
        <w:tc>
          <w:tcPr>
            <w:tcW w:w="1276" w:type="dxa"/>
            <w:vAlign w:val="center"/>
          </w:tcPr>
          <w:p w14:paraId="17114DD4">
            <w:pPr>
              <w:pStyle w:val="13"/>
            </w:pPr>
            <w:r>
              <w:t>规范民办义务教育政策</w:t>
            </w:r>
          </w:p>
        </w:tc>
      </w:tr>
      <w:tr w14:paraId="74542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DF3AE9">
            <w:pPr>
              <w:pStyle w:val="12"/>
            </w:pPr>
            <w:r>
              <w:t>满意度指标</w:t>
            </w:r>
          </w:p>
        </w:tc>
        <w:tc>
          <w:tcPr>
            <w:tcW w:w="2268" w:type="dxa"/>
            <w:vAlign w:val="center"/>
          </w:tcPr>
          <w:p w14:paraId="3DC3D701">
            <w:pPr>
              <w:pStyle w:val="13"/>
            </w:pPr>
            <w:r>
              <w:t>服务对象满意度指标</w:t>
            </w:r>
          </w:p>
        </w:tc>
        <w:tc>
          <w:tcPr>
            <w:tcW w:w="2835" w:type="dxa"/>
            <w:vAlign w:val="center"/>
          </w:tcPr>
          <w:p w14:paraId="4619F5C0">
            <w:pPr>
              <w:pStyle w:val="13"/>
            </w:pPr>
            <w:r>
              <w:t>服务对象满意度</w:t>
            </w:r>
          </w:p>
        </w:tc>
        <w:tc>
          <w:tcPr>
            <w:tcW w:w="5386" w:type="dxa"/>
            <w:vAlign w:val="center"/>
          </w:tcPr>
          <w:p w14:paraId="6B8337FA">
            <w:pPr>
              <w:pStyle w:val="13"/>
            </w:pPr>
            <w:r>
              <w:t>学校老师和学生满意度</w:t>
            </w:r>
          </w:p>
        </w:tc>
        <w:tc>
          <w:tcPr>
            <w:tcW w:w="2268" w:type="dxa"/>
            <w:vAlign w:val="center"/>
          </w:tcPr>
          <w:p w14:paraId="3DD4496E">
            <w:pPr>
              <w:pStyle w:val="13"/>
            </w:pPr>
            <w:r>
              <w:t>≥95%</w:t>
            </w:r>
          </w:p>
        </w:tc>
        <w:tc>
          <w:tcPr>
            <w:tcW w:w="1276" w:type="dxa"/>
            <w:vAlign w:val="center"/>
          </w:tcPr>
          <w:p w14:paraId="78CE71B8">
            <w:pPr>
              <w:pStyle w:val="13"/>
            </w:pPr>
            <w:r>
              <w:t>规范民办义务教育政策</w:t>
            </w:r>
          </w:p>
        </w:tc>
      </w:tr>
    </w:tbl>
    <w:p w14:paraId="1726C39B">
      <w:pPr>
        <w:sectPr>
          <w:pgSz w:w="16840" w:h="11900" w:orient="landscape"/>
          <w:pgMar w:top="1361" w:right="1020" w:bottom="1134" w:left="1020" w:header="720" w:footer="720" w:gutter="0"/>
          <w:cols w:space="720" w:num="1"/>
        </w:sectPr>
      </w:pPr>
    </w:p>
    <w:p w14:paraId="25A73B06">
      <w:pPr>
        <w:spacing w:before="0" w:after="0"/>
        <w:ind w:firstLine="560"/>
        <w:jc w:val="left"/>
        <w:outlineLvl w:val="9"/>
      </w:pPr>
      <w:r>
        <w:rPr>
          <w:rFonts w:ascii="方正仿宋_GBK" w:hAnsi="方正仿宋_GBK" w:eastAsia="方正仿宋_GBK" w:cs="方正仿宋_GBK"/>
          <w:b/>
          <w:color w:val="000000"/>
          <w:sz w:val="28"/>
        </w:rPr>
        <w:t>2、冀财教[2023]163号/省级/2024年义教补助资金/表方中学（小学）公用经费绩效目标表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4F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673E6">
            <w:pPr>
              <w:pStyle w:val="14"/>
            </w:pPr>
            <w:r>
              <w:t>单位：万元</w:t>
            </w:r>
          </w:p>
        </w:tc>
      </w:tr>
      <w:tr w14:paraId="0A8FB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78544C">
            <w:pPr>
              <w:pStyle w:val="11"/>
            </w:pPr>
            <w:r>
              <w:t>项目编码</w:t>
            </w:r>
          </w:p>
        </w:tc>
        <w:tc>
          <w:tcPr>
            <w:tcW w:w="5103" w:type="dxa"/>
            <w:gridSpan w:val="2"/>
            <w:vAlign w:val="center"/>
          </w:tcPr>
          <w:p w14:paraId="1FB227C5">
            <w:pPr>
              <w:pStyle w:val="13"/>
            </w:pPr>
            <w:r>
              <w:t>13052524P00000611192B</w:t>
            </w:r>
          </w:p>
        </w:tc>
        <w:tc>
          <w:tcPr>
            <w:tcW w:w="2835" w:type="dxa"/>
            <w:vAlign w:val="center"/>
          </w:tcPr>
          <w:p w14:paraId="014B03F9">
            <w:pPr>
              <w:pStyle w:val="11"/>
            </w:pPr>
            <w:r>
              <w:t>项目名称</w:t>
            </w:r>
          </w:p>
        </w:tc>
        <w:tc>
          <w:tcPr>
            <w:tcW w:w="6095" w:type="dxa"/>
            <w:gridSpan w:val="3"/>
            <w:vAlign w:val="center"/>
          </w:tcPr>
          <w:p w14:paraId="26BA90C9">
            <w:pPr>
              <w:pStyle w:val="13"/>
            </w:pPr>
            <w:r>
              <w:t>冀财教[2023]163号/省级/2024年义教补助资金/表方中学（小学）公用经费</w:t>
            </w:r>
          </w:p>
        </w:tc>
      </w:tr>
      <w:tr w14:paraId="238AC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8F461">
            <w:pPr>
              <w:pStyle w:val="11"/>
            </w:pPr>
            <w:r>
              <w:t>预算规模及资金用途</w:t>
            </w:r>
          </w:p>
        </w:tc>
        <w:tc>
          <w:tcPr>
            <w:tcW w:w="2268" w:type="dxa"/>
            <w:vAlign w:val="center"/>
          </w:tcPr>
          <w:p w14:paraId="30DDEB30">
            <w:pPr>
              <w:pStyle w:val="11"/>
            </w:pPr>
            <w:r>
              <w:t>预算数</w:t>
            </w:r>
          </w:p>
        </w:tc>
        <w:tc>
          <w:tcPr>
            <w:tcW w:w="2835" w:type="dxa"/>
            <w:vAlign w:val="center"/>
          </w:tcPr>
          <w:p w14:paraId="6217FB50">
            <w:pPr>
              <w:pStyle w:val="13"/>
            </w:pPr>
            <w:r>
              <w:t>4.71</w:t>
            </w:r>
          </w:p>
        </w:tc>
        <w:tc>
          <w:tcPr>
            <w:tcW w:w="2835" w:type="dxa"/>
            <w:vAlign w:val="center"/>
          </w:tcPr>
          <w:p w14:paraId="77B36A14">
            <w:pPr>
              <w:pStyle w:val="11"/>
            </w:pPr>
            <w:r>
              <w:t>其中：财政    资金</w:t>
            </w:r>
          </w:p>
        </w:tc>
        <w:tc>
          <w:tcPr>
            <w:tcW w:w="2551" w:type="dxa"/>
            <w:vAlign w:val="center"/>
          </w:tcPr>
          <w:p w14:paraId="188E1448">
            <w:pPr>
              <w:pStyle w:val="13"/>
            </w:pPr>
            <w:r>
              <w:t>4.71</w:t>
            </w:r>
          </w:p>
        </w:tc>
        <w:tc>
          <w:tcPr>
            <w:tcW w:w="2268" w:type="dxa"/>
            <w:vAlign w:val="center"/>
          </w:tcPr>
          <w:p w14:paraId="19AD8445">
            <w:pPr>
              <w:pStyle w:val="11"/>
            </w:pPr>
            <w:r>
              <w:t>其他资金</w:t>
            </w:r>
          </w:p>
        </w:tc>
        <w:tc>
          <w:tcPr>
            <w:tcW w:w="1276" w:type="dxa"/>
            <w:vAlign w:val="center"/>
          </w:tcPr>
          <w:p w14:paraId="6280FC92">
            <w:pPr>
              <w:pStyle w:val="13"/>
            </w:pPr>
            <w:r>
              <w:t xml:space="preserve"> </w:t>
            </w:r>
          </w:p>
        </w:tc>
      </w:tr>
      <w:tr w14:paraId="65C8A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DD40F1"/>
        </w:tc>
        <w:tc>
          <w:tcPr>
            <w:tcW w:w="14033" w:type="dxa"/>
            <w:gridSpan w:val="6"/>
            <w:vAlign w:val="center"/>
          </w:tcPr>
          <w:p w14:paraId="1F02075E">
            <w:pPr>
              <w:pStyle w:val="13"/>
            </w:pPr>
            <w:r>
              <w:t xml:space="preserve">保障义务教育学校正常运转，完成教育教学活动和其他日常工作任务等方面的费用支出。     </w:t>
            </w:r>
          </w:p>
        </w:tc>
      </w:tr>
      <w:tr w14:paraId="2807EB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ACC27">
            <w:pPr>
              <w:pStyle w:val="11"/>
            </w:pPr>
            <w:r>
              <w:t>资金支出计划（%）</w:t>
            </w:r>
          </w:p>
        </w:tc>
        <w:tc>
          <w:tcPr>
            <w:tcW w:w="5103" w:type="dxa"/>
            <w:gridSpan w:val="2"/>
            <w:vAlign w:val="center"/>
          </w:tcPr>
          <w:p w14:paraId="35DED3D9">
            <w:pPr>
              <w:pStyle w:val="11"/>
            </w:pPr>
            <w:r>
              <w:t>3月底</w:t>
            </w:r>
          </w:p>
        </w:tc>
        <w:tc>
          <w:tcPr>
            <w:tcW w:w="2835" w:type="dxa"/>
            <w:vAlign w:val="center"/>
          </w:tcPr>
          <w:p w14:paraId="47CCF3E5">
            <w:pPr>
              <w:pStyle w:val="11"/>
            </w:pPr>
            <w:r>
              <w:t>6月底</w:t>
            </w:r>
          </w:p>
        </w:tc>
        <w:tc>
          <w:tcPr>
            <w:tcW w:w="2551" w:type="dxa"/>
            <w:vAlign w:val="center"/>
          </w:tcPr>
          <w:p w14:paraId="37793507">
            <w:pPr>
              <w:pStyle w:val="11"/>
            </w:pPr>
            <w:r>
              <w:t>10月底</w:t>
            </w:r>
          </w:p>
        </w:tc>
        <w:tc>
          <w:tcPr>
            <w:tcW w:w="3544" w:type="dxa"/>
            <w:gridSpan w:val="2"/>
            <w:vAlign w:val="center"/>
          </w:tcPr>
          <w:p w14:paraId="1793422D">
            <w:pPr>
              <w:pStyle w:val="11"/>
            </w:pPr>
            <w:r>
              <w:t>12月底</w:t>
            </w:r>
          </w:p>
        </w:tc>
      </w:tr>
      <w:tr w14:paraId="1394F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36E2F"/>
        </w:tc>
        <w:tc>
          <w:tcPr>
            <w:tcW w:w="5103" w:type="dxa"/>
            <w:gridSpan w:val="2"/>
            <w:vAlign w:val="center"/>
          </w:tcPr>
          <w:p w14:paraId="79E56C43">
            <w:pPr>
              <w:pStyle w:val="12"/>
            </w:pPr>
            <w:r>
              <w:t xml:space="preserve"> </w:t>
            </w:r>
          </w:p>
        </w:tc>
        <w:tc>
          <w:tcPr>
            <w:tcW w:w="2835" w:type="dxa"/>
            <w:vAlign w:val="center"/>
          </w:tcPr>
          <w:p w14:paraId="38FF2DDA">
            <w:pPr>
              <w:pStyle w:val="12"/>
            </w:pPr>
            <w:r>
              <w:t>100%</w:t>
            </w:r>
          </w:p>
        </w:tc>
        <w:tc>
          <w:tcPr>
            <w:tcW w:w="2551" w:type="dxa"/>
            <w:vAlign w:val="center"/>
          </w:tcPr>
          <w:p w14:paraId="10459975">
            <w:pPr>
              <w:pStyle w:val="12"/>
            </w:pPr>
            <w:r>
              <w:t>100%</w:t>
            </w:r>
          </w:p>
        </w:tc>
        <w:tc>
          <w:tcPr>
            <w:tcW w:w="3544" w:type="dxa"/>
            <w:gridSpan w:val="2"/>
            <w:vAlign w:val="center"/>
          </w:tcPr>
          <w:p w14:paraId="39D7BEDE">
            <w:pPr>
              <w:pStyle w:val="12"/>
            </w:pPr>
            <w:r>
              <w:t>100%</w:t>
            </w:r>
          </w:p>
        </w:tc>
      </w:tr>
      <w:tr w14:paraId="2D0ED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B5A65">
            <w:pPr>
              <w:pStyle w:val="11"/>
            </w:pPr>
            <w:r>
              <w:t>绩效目标</w:t>
            </w:r>
          </w:p>
        </w:tc>
        <w:tc>
          <w:tcPr>
            <w:tcW w:w="14033" w:type="dxa"/>
            <w:gridSpan w:val="6"/>
            <w:vAlign w:val="center"/>
          </w:tcPr>
          <w:p w14:paraId="6200754E">
            <w:pPr>
              <w:pStyle w:val="13"/>
            </w:pPr>
            <w:r>
              <w:t xml:space="preserve">1.保障义务教育学校正常运转，完成教育教学活动和其他日常工作任务等方面的费用支出。     </w:t>
            </w:r>
          </w:p>
        </w:tc>
      </w:tr>
    </w:tbl>
    <w:p w14:paraId="68A5F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C9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B8647">
            <w:pPr>
              <w:pStyle w:val="11"/>
            </w:pPr>
            <w:r>
              <w:t>一级指标</w:t>
            </w:r>
          </w:p>
        </w:tc>
        <w:tc>
          <w:tcPr>
            <w:tcW w:w="2268" w:type="dxa"/>
            <w:vAlign w:val="center"/>
          </w:tcPr>
          <w:p w14:paraId="2D41EF58">
            <w:pPr>
              <w:pStyle w:val="11"/>
            </w:pPr>
            <w:r>
              <w:t>二级指标</w:t>
            </w:r>
          </w:p>
        </w:tc>
        <w:tc>
          <w:tcPr>
            <w:tcW w:w="2835" w:type="dxa"/>
            <w:vAlign w:val="center"/>
          </w:tcPr>
          <w:p w14:paraId="48763DD2">
            <w:pPr>
              <w:pStyle w:val="11"/>
            </w:pPr>
            <w:r>
              <w:t>三级指标</w:t>
            </w:r>
          </w:p>
        </w:tc>
        <w:tc>
          <w:tcPr>
            <w:tcW w:w="5386" w:type="dxa"/>
            <w:vAlign w:val="center"/>
          </w:tcPr>
          <w:p w14:paraId="239EAFA8">
            <w:pPr>
              <w:pStyle w:val="11"/>
            </w:pPr>
            <w:r>
              <w:t>绩效指标描述</w:t>
            </w:r>
          </w:p>
        </w:tc>
        <w:tc>
          <w:tcPr>
            <w:tcW w:w="2268" w:type="dxa"/>
            <w:vAlign w:val="center"/>
          </w:tcPr>
          <w:p w14:paraId="398080B4">
            <w:pPr>
              <w:pStyle w:val="11"/>
            </w:pPr>
            <w:r>
              <w:t>指标值</w:t>
            </w:r>
          </w:p>
        </w:tc>
        <w:tc>
          <w:tcPr>
            <w:tcW w:w="1276" w:type="dxa"/>
            <w:vAlign w:val="center"/>
          </w:tcPr>
          <w:p w14:paraId="6BBA706C">
            <w:pPr>
              <w:pStyle w:val="11"/>
            </w:pPr>
            <w:r>
              <w:t>指标值确定依据</w:t>
            </w:r>
          </w:p>
        </w:tc>
      </w:tr>
      <w:tr w14:paraId="040FD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39C59232">
            <w:pPr>
              <w:pStyle w:val="12"/>
            </w:pPr>
            <w:r>
              <w:t>产出指标</w:t>
            </w:r>
          </w:p>
        </w:tc>
        <w:tc>
          <w:tcPr>
            <w:tcW w:w="2268" w:type="dxa"/>
            <w:vAlign w:val="center"/>
          </w:tcPr>
          <w:p w14:paraId="1FBE0FCB">
            <w:pPr>
              <w:pStyle w:val="13"/>
            </w:pPr>
            <w:r>
              <w:t>数量指标</w:t>
            </w:r>
          </w:p>
        </w:tc>
        <w:tc>
          <w:tcPr>
            <w:tcW w:w="2835" w:type="dxa"/>
            <w:vAlign w:val="center"/>
          </w:tcPr>
          <w:p w14:paraId="3B697B25">
            <w:pPr>
              <w:pStyle w:val="13"/>
            </w:pPr>
            <w:r>
              <w:t>适龄在校生</w:t>
            </w:r>
          </w:p>
        </w:tc>
        <w:tc>
          <w:tcPr>
            <w:tcW w:w="5386" w:type="dxa"/>
            <w:vAlign w:val="center"/>
          </w:tcPr>
          <w:p w14:paraId="7CB4D99F">
            <w:pPr>
              <w:pStyle w:val="13"/>
            </w:pPr>
            <w:r>
              <w:t>适龄在校就读学生人数</w:t>
            </w:r>
          </w:p>
        </w:tc>
        <w:tc>
          <w:tcPr>
            <w:tcW w:w="2268" w:type="dxa"/>
            <w:vAlign w:val="center"/>
          </w:tcPr>
          <w:p w14:paraId="282AC87B">
            <w:pPr>
              <w:pStyle w:val="13"/>
            </w:pPr>
            <w:r>
              <w:t>118人</w:t>
            </w:r>
          </w:p>
        </w:tc>
        <w:tc>
          <w:tcPr>
            <w:tcW w:w="1276" w:type="dxa"/>
            <w:vAlign w:val="center"/>
          </w:tcPr>
          <w:p w14:paraId="21F0AD25">
            <w:pPr>
              <w:pStyle w:val="13"/>
            </w:pPr>
            <w:r>
              <w:t>城乡义务教育公用经费管理办法</w:t>
            </w:r>
          </w:p>
        </w:tc>
      </w:tr>
      <w:tr w14:paraId="423C1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EF075"/>
        </w:tc>
        <w:tc>
          <w:tcPr>
            <w:tcW w:w="2268" w:type="dxa"/>
            <w:vAlign w:val="center"/>
          </w:tcPr>
          <w:p w14:paraId="3DD65FFC">
            <w:pPr>
              <w:pStyle w:val="13"/>
            </w:pPr>
            <w:r>
              <w:t>质量指标</w:t>
            </w:r>
          </w:p>
        </w:tc>
        <w:tc>
          <w:tcPr>
            <w:tcW w:w="2835" w:type="dxa"/>
            <w:vAlign w:val="center"/>
          </w:tcPr>
          <w:p w14:paraId="494A7B67">
            <w:pPr>
              <w:pStyle w:val="13"/>
            </w:pPr>
            <w:r>
              <w:t>预算控制率</w:t>
            </w:r>
          </w:p>
        </w:tc>
        <w:tc>
          <w:tcPr>
            <w:tcW w:w="5386" w:type="dxa"/>
            <w:vAlign w:val="center"/>
          </w:tcPr>
          <w:p w14:paraId="0156A68B">
            <w:pPr>
              <w:pStyle w:val="13"/>
            </w:pPr>
            <w:r>
              <w:t>预算执行</w:t>
            </w:r>
          </w:p>
        </w:tc>
        <w:tc>
          <w:tcPr>
            <w:tcW w:w="2268" w:type="dxa"/>
            <w:vAlign w:val="center"/>
          </w:tcPr>
          <w:p w14:paraId="62A5970B">
            <w:pPr>
              <w:pStyle w:val="13"/>
            </w:pPr>
            <w:r>
              <w:t>≥95%</w:t>
            </w:r>
          </w:p>
        </w:tc>
        <w:tc>
          <w:tcPr>
            <w:tcW w:w="1276" w:type="dxa"/>
            <w:vAlign w:val="center"/>
          </w:tcPr>
          <w:p w14:paraId="1AC7E8E2">
            <w:pPr>
              <w:pStyle w:val="13"/>
            </w:pPr>
            <w:r>
              <w:t>城乡义务教育公用经费管理办法</w:t>
            </w:r>
          </w:p>
        </w:tc>
      </w:tr>
      <w:tr w14:paraId="743FA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3698D"/>
        </w:tc>
        <w:tc>
          <w:tcPr>
            <w:tcW w:w="2268" w:type="dxa"/>
            <w:vAlign w:val="center"/>
          </w:tcPr>
          <w:p w14:paraId="0201FD74">
            <w:pPr>
              <w:pStyle w:val="13"/>
            </w:pPr>
            <w:r>
              <w:t>时效指标</w:t>
            </w:r>
          </w:p>
        </w:tc>
        <w:tc>
          <w:tcPr>
            <w:tcW w:w="2835" w:type="dxa"/>
            <w:vAlign w:val="center"/>
          </w:tcPr>
          <w:p w14:paraId="62F450F0">
            <w:pPr>
              <w:pStyle w:val="13"/>
            </w:pPr>
            <w:r>
              <w:t>资金支付率</w:t>
            </w:r>
          </w:p>
        </w:tc>
        <w:tc>
          <w:tcPr>
            <w:tcW w:w="5386" w:type="dxa"/>
            <w:vAlign w:val="center"/>
          </w:tcPr>
          <w:p w14:paraId="091D8958">
            <w:pPr>
              <w:pStyle w:val="13"/>
            </w:pPr>
            <w:r>
              <w:t>按照序时进度完成资金支付</w:t>
            </w:r>
          </w:p>
        </w:tc>
        <w:tc>
          <w:tcPr>
            <w:tcW w:w="2268" w:type="dxa"/>
            <w:vAlign w:val="center"/>
          </w:tcPr>
          <w:p w14:paraId="688E13A0">
            <w:pPr>
              <w:pStyle w:val="13"/>
            </w:pPr>
            <w:r>
              <w:t>≥100%</w:t>
            </w:r>
          </w:p>
        </w:tc>
        <w:tc>
          <w:tcPr>
            <w:tcW w:w="1276" w:type="dxa"/>
            <w:vAlign w:val="center"/>
          </w:tcPr>
          <w:p w14:paraId="0901ED6C">
            <w:pPr>
              <w:pStyle w:val="13"/>
            </w:pPr>
            <w:r>
              <w:t>城乡义务教育公用经费管理办法</w:t>
            </w:r>
          </w:p>
        </w:tc>
      </w:tr>
      <w:tr w14:paraId="24C3C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3AF36DC5"/>
        </w:tc>
        <w:tc>
          <w:tcPr>
            <w:tcW w:w="2268" w:type="dxa"/>
            <w:vAlign w:val="center"/>
          </w:tcPr>
          <w:p w14:paraId="7C49DB95">
            <w:pPr>
              <w:pStyle w:val="13"/>
            </w:pPr>
            <w:r>
              <w:t>成本指标</w:t>
            </w:r>
          </w:p>
        </w:tc>
        <w:tc>
          <w:tcPr>
            <w:tcW w:w="2835" w:type="dxa"/>
            <w:vAlign w:val="center"/>
          </w:tcPr>
          <w:p w14:paraId="02B8F287">
            <w:pPr>
              <w:pStyle w:val="13"/>
            </w:pPr>
            <w:r>
              <w:t>生均拨款标准</w:t>
            </w:r>
          </w:p>
        </w:tc>
        <w:tc>
          <w:tcPr>
            <w:tcW w:w="5386" w:type="dxa"/>
            <w:vAlign w:val="center"/>
          </w:tcPr>
          <w:p w14:paraId="38456766">
            <w:pPr>
              <w:pStyle w:val="13"/>
            </w:pPr>
            <w:r>
              <w:t>小学：（基本标准720元、寄宿生300元、取暖120元）/生/学年；随班就读学生：标准6000元/生/学年。</w:t>
            </w:r>
          </w:p>
        </w:tc>
        <w:tc>
          <w:tcPr>
            <w:tcW w:w="2268" w:type="dxa"/>
            <w:vAlign w:val="center"/>
          </w:tcPr>
          <w:p w14:paraId="61A4C9B9">
            <w:pPr>
              <w:pStyle w:val="13"/>
            </w:pPr>
            <w:r>
              <w:t>840元</w:t>
            </w:r>
          </w:p>
        </w:tc>
        <w:tc>
          <w:tcPr>
            <w:tcW w:w="1276" w:type="dxa"/>
            <w:vAlign w:val="center"/>
          </w:tcPr>
          <w:p w14:paraId="4E5D63D9">
            <w:pPr>
              <w:pStyle w:val="13"/>
            </w:pPr>
            <w:r>
              <w:t>城乡义务教育公用经费管理办法</w:t>
            </w:r>
          </w:p>
        </w:tc>
      </w:tr>
      <w:tr w14:paraId="287DC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BAC737">
            <w:pPr>
              <w:pStyle w:val="12"/>
            </w:pPr>
            <w:r>
              <w:t>效益指标</w:t>
            </w:r>
          </w:p>
        </w:tc>
        <w:tc>
          <w:tcPr>
            <w:tcW w:w="2268" w:type="dxa"/>
            <w:vAlign w:val="center"/>
          </w:tcPr>
          <w:p w14:paraId="7279C128">
            <w:pPr>
              <w:pStyle w:val="13"/>
            </w:pPr>
            <w:r>
              <w:t>可持续影响指标</w:t>
            </w:r>
          </w:p>
        </w:tc>
        <w:tc>
          <w:tcPr>
            <w:tcW w:w="2835" w:type="dxa"/>
            <w:vAlign w:val="center"/>
          </w:tcPr>
          <w:p w14:paraId="3936AE07">
            <w:pPr>
              <w:pStyle w:val="13"/>
            </w:pPr>
            <w:r>
              <w:t>教育发展水平明显好转</w:t>
            </w:r>
          </w:p>
        </w:tc>
        <w:tc>
          <w:tcPr>
            <w:tcW w:w="5386" w:type="dxa"/>
            <w:vAlign w:val="center"/>
          </w:tcPr>
          <w:p w14:paraId="15B4F2EC">
            <w:pPr>
              <w:pStyle w:val="13"/>
            </w:pPr>
            <w:r>
              <w:t>学生受教育年限</w:t>
            </w:r>
          </w:p>
        </w:tc>
        <w:tc>
          <w:tcPr>
            <w:tcW w:w="2268" w:type="dxa"/>
            <w:vAlign w:val="center"/>
          </w:tcPr>
          <w:p w14:paraId="1AF92EAA">
            <w:pPr>
              <w:pStyle w:val="13"/>
            </w:pPr>
            <w:r>
              <w:t>6年</w:t>
            </w:r>
          </w:p>
        </w:tc>
        <w:tc>
          <w:tcPr>
            <w:tcW w:w="1276" w:type="dxa"/>
            <w:vAlign w:val="center"/>
          </w:tcPr>
          <w:p w14:paraId="321C8DF8">
            <w:pPr>
              <w:pStyle w:val="13"/>
            </w:pPr>
            <w:r>
              <w:t>城乡义务教育公用经费管理办法</w:t>
            </w:r>
          </w:p>
        </w:tc>
      </w:tr>
      <w:tr w14:paraId="3882A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15A40630">
            <w:pPr>
              <w:pStyle w:val="12"/>
            </w:pPr>
            <w:r>
              <w:t>满意度指标</w:t>
            </w:r>
          </w:p>
        </w:tc>
        <w:tc>
          <w:tcPr>
            <w:tcW w:w="2268" w:type="dxa"/>
            <w:vAlign w:val="center"/>
          </w:tcPr>
          <w:p w14:paraId="7057C1BB">
            <w:pPr>
              <w:pStyle w:val="13"/>
            </w:pPr>
            <w:r>
              <w:t>服务对象满意度指标</w:t>
            </w:r>
          </w:p>
        </w:tc>
        <w:tc>
          <w:tcPr>
            <w:tcW w:w="2835" w:type="dxa"/>
            <w:vAlign w:val="center"/>
          </w:tcPr>
          <w:p w14:paraId="4E6A51B2">
            <w:pPr>
              <w:pStyle w:val="13"/>
            </w:pPr>
            <w:r>
              <w:t>受益学生家长及调查满意度</w:t>
            </w:r>
          </w:p>
        </w:tc>
        <w:tc>
          <w:tcPr>
            <w:tcW w:w="5386" w:type="dxa"/>
            <w:vAlign w:val="center"/>
          </w:tcPr>
          <w:p w14:paraId="2294D6FB">
            <w:pPr>
              <w:pStyle w:val="13"/>
            </w:pPr>
            <w:r>
              <w:t>学生、教师及家长对学校教育教学工作满意度情况</w:t>
            </w:r>
          </w:p>
        </w:tc>
        <w:tc>
          <w:tcPr>
            <w:tcW w:w="2268" w:type="dxa"/>
            <w:vAlign w:val="center"/>
          </w:tcPr>
          <w:p w14:paraId="7EE7AE41">
            <w:pPr>
              <w:pStyle w:val="13"/>
            </w:pPr>
            <w:r>
              <w:t>≥95%</w:t>
            </w:r>
          </w:p>
        </w:tc>
        <w:tc>
          <w:tcPr>
            <w:tcW w:w="1276" w:type="dxa"/>
            <w:vAlign w:val="center"/>
          </w:tcPr>
          <w:p w14:paraId="23B9C6DA">
            <w:pPr>
              <w:pStyle w:val="13"/>
            </w:pPr>
            <w:r>
              <w:t>调查问卷</w:t>
            </w:r>
          </w:p>
        </w:tc>
      </w:tr>
    </w:tbl>
    <w:p w14:paraId="2ACA3964">
      <w:pPr>
        <w:sectPr>
          <w:pgSz w:w="16840" w:h="11900" w:orient="landscape"/>
          <w:pgMar w:top="1361" w:right="1020" w:bottom="1134" w:left="1020" w:header="720" w:footer="720" w:gutter="0"/>
          <w:cols w:space="720" w:num="1"/>
        </w:sectPr>
      </w:pPr>
    </w:p>
    <w:p w14:paraId="051A65DF">
      <w:pPr>
        <w:spacing w:before="0" w:after="0"/>
        <w:ind w:firstLine="560"/>
        <w:jc w:val="left"/>
        <w:outlineLvl w:val="9"/>
      </w:pPr>
      <w:r>
        <w:rPr>
          <w:rFonts w:ascii="方正仿宋_GBK" w:hAnsi="方正仿宋_GBK" w:eastAsia="方正仿宋_GBK" w:cs="方正仿宋_GBK"/>
          <w:b/>
          <w:color w:val="000000"/>
          <w:sz w:val="28"/>
        </w:rPr>
        <w:t>3、冀财教[2023]163号/省级/2024年义教补助资金/成龙六一实验小学公用经费绩效目标表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EC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F7F08">
            <w:pPr>
              <w:pStyle w:val="14"/>
            </w:pPr>
            <w:r>
              <w:t>单位：万元</w:t>
            </w:r>
          </w:p>
        </w:tc>
      </w:tr>
      <w:tr w14:paraId="47EA5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37EFF3">
            <w:pPr>
              <w:pStyle w:val="11"/>
            </w:pPr>
            <w:r>
              <w:t>项目编码</w:t>
            </w:r>
          </w:p>
        </w:tc>
        <w:tc>
          <w:tcPr>
            <w:tcW w:w="5103" w:type="dxa"/>
            <w:gridSpan w:val="2"/>
            <w:vAlign w:val="center"/>
          </w:tcPr>
          <w:p w14:paraId="479209ED">
            <w:pPr>
              <w:pStyle w:val="13"/>
            </w:pPr>
            <w:r>
              <w:t>13052524P000006111904</w:t>
            </w:r>
          </w:p>
        </w:tc>
        <w:tc>
          <w:tcPr>
            <w:tcW w:w="2835" w:type="dxa"/>
            <w:vAlign w:val="center"/>
          </w:tcPr>
          <w:p w14:paraId="1BE7DD40">
            <w:pPr>
              <w:pStyle w:val="11"/>
            </w:pPr>
            <w:r>
              <w:t>项目名称</w:t>
            </w:r>
          </w:p>
        </w:tc>
        <w:tc>
          <w:tcPr>
            <w:tcW w:w="6095" w:type="dxa"/>
            <w:gridSpan w:val="3"/>
            <w:vAlign w:val="center"/>
          </w:tcPr>
          <w:p w14:paraId="1411B1C8">
            <w:pPr>
              <w:pStyle w:val="13"/>
            </w:pPr>
            <w:r>
              <w:t>冀财教[2023]163号/省级/2024年义教补助资金/成龙六一实验小学公用经费</w:t>
            </w:r>
          </w:p>
        </w:tc>
      </w:tr>
      <w:tr w14:paraId="4B474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51213">
            <w:pPr>
              <w:pStyle w:val="11"/>
            </w:pPr>
            <w:r>
              <w:t>预算规模及资金用途</w:t>
            </w:r>
          </w:p>
        </w:tc>
        <w:tc>
          <w:tcPr>
            <w:tcW w:w="2268" w:type="dxa"/>
            <w:vAlign w:val="center"/>
          </w:tcPr>
          <w:p w14:paraId="1D6F801B">
            <w:pPr>
              <w:pStyle w:val="11"/>
            </w:pPr>
            <w:r>
              <w:t>预算数</w:t>
            </w:r>
          </w:p>
        </w:tc>
        <w:tc>
          <w:tcPr>
            <w:tcW w:w="2835" w:type="dxa"/>
            <w:vAlign w:val="center"/>
          </w:tcPr>
          <w:p w14:paraId="7C651F18">
            <w:pPr>
              <w:pStyle w:val="13"/>
            </w:pPr>
            <w:r>
              <w:t>7.30</w:t>
            </w:r>
          </w:p>
        </w:tc>
        <w:tc>
          <w:tcPr>
            <w:tcW w:w="2835" w:type="dxa"/>
            <w:vAlign w:val="center"/>
          </w:tcPr>
          <w:p w14:paraId="2C4657A7">
            <w:pPr>
              <w:pStyle w:val="11"/>
            </w:pPr>
            <w:r>
              <w:t>其中：财政    资金</w:t>
            </w:r>
          </w:p>
        </w:tc>
        <w:tc>
          <w:tcPr>
            <w:tcW w:w="2551" w:type="dxa"/>
            <w:vAlign w:val="center"/>
          </w:tcPr>
          <w:p w14:paraId="757ABCB3">
            <w:pPr>
              <w:pStyle w:val="13"/>
            </w:pPr>
            <w:r>
              <w:t>7.30</w:t>
            </w:r>
          </w:p>
        </w:tc>
        <w:tc>
          <w:tcPr>
            <w:tcW w:w="2268" w:type="dxa"/>
            <w:vAlign w:val="center"/>
          </w:tcPr>
          <w:p w14:paraId="20D9F695">
            <w:pPr>
              <w:pStyle w:val="11"/>
            </w:pPr>
            <w:r>
              <w:t>其他资金</w:t>
            </w:r>
          </w:p>
        </w:tc>
        <w:tc>
          <w:tcPr>
            <w:tcW w:w="1276" w:type="dxa"/>
            <w:vAlign w:val="center"/>
          </w:tcPr>
          <w:p w14:paraId="4E17FAB8">
            <w:pPr>
              <w:pStyle w:val="13"/>
            </w:pPr>
            <w:r>
              <w:t xml:space="preserve"> </w:t>
            </w:r>
          </w:p>
        </w:tc>
      </w:tr>
      <w:tr w14:paraId="5BE97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BC226C"/>
        </w:tc>
        <w:tc>
          <w:tcPr>
            <w:tcW w:w="14033" w:type="dxa"/>
            <w:gridSpan w:val="6"/>
            <w:vAlign w:val="center"/>
          </w:tcPr>
          <w:p w14:paraId="651103B8">
            <w:pPr>
              <w:pStyle w:val="13"/>
            </w:pPr>
            <w:r>
              <w:t xml:space="preserve">保障义务教育学校正常运转，完成教育教学活动和其他日常工作任务等方面的费用支出。     </w:t>
            </w:r>
          </w:p>
        </w:tc>
      </w:tr>
      <w:tr w14:paraId="3610B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6D119">
            <w:pPr>
              <w:pStyle w:val="11"/>
            </w:pPr>
            <w:r>
              <w:t>资金支出计划（%）</w:t>
            </w:r>
          </w:p>
        </w:tc>
        <w:tc>
          <w:tcPr>
            <w:tcW w:w="5103" w:type="dxa"/>
            <w:gridSpan w:val="2"/>
            <w:vAlign w:val="center"/>
          </w:tcPr>
          <w:p w14:paraId="111BA29D">
            <w:pPr>
              <w:pStyle w:val="11"/>
            </w:pPr>
            <w:r>
              <w:t>3月底</w:t>
            </w:r>
          </w:p>
        </w:tc>
        <w:tc>
          <w:tcPr>
            <w:tcW w:w="2835" w:type="dxa"/>
            <w:vAlign w:val="center"/>
          </w:tcPr>
          <w:p w14:paraId="21AADA42">
            <w:pPr>
              <w:pStyle w:val="11"/>
            </w:pPr>
            <w:r>
              <w:t>6月底</w:t>
            </w:r>
          </w:p>
        </w:tc>
        <w:tc>
          <w:tcPr>
            <w:tcW w:w="2551" w:type="dxa"/>
            <w:vAlign w:val="center"/>
          </w:tcPr>
          <w:p w14:paraId="4C960358">
            <w:pPr>
              <w:pStyle w:val="11"/>
            </w:pPr>
            <w:r>
              <w:t>10月底</w:t>
            </w:r>
          </w:p>
        </w:tc>
        <w:tc>
          <w:tcPr>
            <w:tcW w:w="3544" w:type="dxa"/>
            <w:gridSpan w:val="2"/>
            <w:vAlign w:val="center"/>
          </w:tcPr>
          <w:p w14:paraId="24E586C9">
            <w:pPr>
              <w:pStyle w:val="11"/>
            </w:pPr>
            <w:r>
              <w:t>12月底</w:t>
            </w:r>
          </w:p>
        </w:tc>
      </w:tr>
      <w:tr w14:paraId="1B08F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5FBFB"/>
        </w:tc>
        <w:tc>
          <w:tcPr>
            <w:tcW w:w="5103" w:type="dxa"/>
            <w:gridSpan w:val="2"/>
            <w:vAlign w:val="center"/>
          </w:tcPr>
          <w:p w14:paraId="263DA6C2">
            <w:pPr>
              <w:pStyle w:val="12"/>
            </w:pPr>
            <w:r>
              <w:t xml:space="preserve"> </w:t>
            </w:r>
          </w:p>
        </w:tc>
        <w:tc>
          <w:tcPr>
            <w:tcW w:w="2835" w:type="dxa"/>
            <w:vAlign w:val="center"/>
          </w:tcPr>
          <w:p w14:paraId="2C350DB0">
            <w:pPr>
              <w:pStyle w:val="12"/>
            </w:pPr>
            <w:r>
              <w:t>100%</w:t>
            </w:r>
          </w:p>
        </w:tc>
        <w:tc>
          <w:tcPr>
            <w:tcW w:w="2551" w:type="dxa"/>
            <w:vAlign w:val="center"/>
          </w:tcPr>
          <w:p w14:paraId="5CA6C889">
            <w:pPr>
              <w:pStyle w:val="12"/>
            </w:pPr>
            <w:r>
              <w:t>100%</w:t>
            </w:r>
          </w:p>
        </w:tc>
        <w:tc>
          <w:tcPr>
            <w:tcW w:w="3544" w:type="dxa"/>
            <w:gridSpan w:val="2"/>
            <w:vAlign w:val="center"/>
          </w:tcPr>
          <w:p w14:paraId="1161D296">
            <w:pPr>
              <w:pStyle w:val="12"/>
            </w:pPr>
            <w:r>
              <w:t>100%</w:t>
            </w:r>
          </w:p>
        </w:tc>
      </w:tr>
      <w:tr w14:paraId="59238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40775">
            <w:pPr>
              <w:pStyle w:val="11"/>
            </w:pPr>
            <w:r>
              <w:t>绩效目标</w:t>
            </w:r>
          </w:p>
        </w:tc>
        <w:tc>
          <w:tcPr>
            <w:tcW w:w="14033" w:type="dxa"/>
            <w:gridSpan w:val="6"/>
            <w:vAlign w:val="center"/>
          </w:tcPr>
          <w:p w14:paraId="562A6710">
            <w:pPr>
              <w:pStyle w:val="13"/>
            </w:pPr>
            <w:r>
              <w:t xml:space="preserve">1.保障义务教育学校正常运转，完成教育教学活动和其他日常工作任务等方面的费用支出。     </w:t>
            </w:r>
          </w:p>
        </w:tc>
      </w:tr>
    </w:tbl>
    <w:p w14:paraId="6122A5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97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E317F">
            <w:pPr>
              <w:pStyle w:val="11"/>
            </w:pPr>
            <w:r>
              <w:t>一级指标</w:t>
            </w:r>
          </w:p>
        </w:tc>
        <w:tc>
          <w:tcPr>
            <w:tcW w:w="2268" w:type="dxa"/>
            <w:vAlign w:val="center"/>
          </w:tcPr>
          <w:p w14:paraId="492BA379">
            <w:pPr>
              <w:pStyle w:val="11"/>
            </w:pPr>
            <w:r>
              <w:t>二级指标</w:t>
            </w:r>
          </w:p>
        </w:tc>
        <w:tc>
          <w:tcPr>
            <w:tcW w:w="2835" w:type="dxa"/>
            <w:vAlign w:val="center"/>
          </w:tcPr>
          <w:p w14:paraId="63FCA64F">
            <w:pPr>
              <w:pStyle w:val="11"/>
            </w:pPr>
            <w:r>
              <w:t>三级指标</w:t>
            </w:r>
          </w:p>
        </w:tc>
        <w:tc>
          <w:tcPr>
            <w:tcW w:w="5386" w:type="dxa"/>
            <w:vAlign w:val="center"/>
          </w:tcPr>
          <w:p w14:paraId="428F8F3C">
            <w:pPr>
              <w:pStyle w:val="11"/>
            </w:pPr>
            <w:r>
              <w:t>绩效指标描述</w:t>
            </w:r>
          </w:p>
        </w:tc>
        <w:tc>
          <w:tcPr>
            <w:tcW w:w="2268" w:type="dxa"/>
            <w:vAlign w:val="center"/>
          </w:tcPr>
          <w:p w14:paraId="0B82516F">
            <w:pPr>
              <w:pStyle w:val="11"/>
            </w:pPr>
            <w:r>
              <w:t>指标值</w:t>
            </w:r>
          </w:p>
        </w:tc>
        <w:tc>
          <w:tcPr>
            <w:tcW w:w="1276" w:type="dxa"/>
            <w:vAlign w:val="center"/>
          </w:tcPr>
          <w:p w14:paraId="79E5F2F6">
            <w:pPr>
              <w:pStyle w:val="11"/>
            </w:pPr>
            <w:r>
              <w:t>指标值确定依据</w:t>
            </w:r>
          </w:p>
        </w:tc>
      </w:tr>
      <w:tr w14:paraId="73AFC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C5187">
            <w:pPr>
              <w:pStyle w:val="12"/>
            </w:pPr>
            <w:r>
              <w:t>产出指标</w:t>
            </w:r>
          </w:p>
        </w:tc>
        <w:tc>
          <w:tcPr>
            <w:tcW w:w="2268" w:type="dxa"/>
            <w:vAlign w:val="center"/>
          </w:tcPr>
          <w:p w14:paraId="688A3602">
            <w:pPr>
              <w:pStyle w:val="13"/>
            </w:pPr>
            <w:r>
              <w:t>数量指标</w:t>
            </w:r>
          </w:p>
        </w:tc>
        <w:tc>
          <w:tcPr>
            <w:tcW w:w="2835" w:type="dxa"/>
            <w:vAlign w:val="center"/>
          </w:tcPr>
          <w:p w14:paraId="73AD11BC">
            <w:pPr>
              <w:pStyle w:val="13"/>
            </w:pPr>
            <w:r>
              <w:t>适龄在校生</w:t>
            </w:r>
          </w:p>
        </w:tc>
        <w:tc>
          <w:tcPr>
            <w:tcW w:w="5386" w:type="dxa"/>
            <w:vAlign w:val="center"/>
          </w:tcPr>
          <w:p w14:paraId="6519DB1B">
            <w:pPr>
              <w:pStyle w:val="13"/>
            </w:pPr>
            <w:r>
              <w:t>适龄在校就读学生人数</w:t>
            </w:r>
          </w:p>
        </w:tc>
        <w:tc>
          <w:tcPr>
            <w:tcW w:w="2268" w:type="dxa"/>
            <w:vAlign w:val="center"/>
          </w:tcPr>
          <w:p w14:paraId="09A3C5FA">
            <w:pPr>
              <w:pStyle w:val="13"/>
            </w:pPr>
            <w:r>
              <w:t>185人</w:t>
            </w:r>
          </w:p>
        </w:tc>
        <w:tc>
          <w:tcPr>
            <w:tcW w:w="1276" w:type="dxa"/>
            <w:vAlign w:val="center"/>
          </w:tcPr>
          <w:p w14:paraId="0B87E68E">
            <w:pPr>
              <w:pStyle w:val="13"/>
            </w:pPr>
            <w:r>
              <w:t>城乡义务教育公用经费管理办法</w:t>
            </w:r>
          </w:p>
        </w:tc>
      </w:tr>
      <w:tr w14:paraId="63BF7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22F56"/>
        </w:tc>
        <w:tc>
          <w:tcPr>
            <w:tcW w:w="2268" w:type="dxa"/>
            <w:vAlign w:val="center"/>
          </w:tcPr>
          <w:p w14:paraId="48FC23CF">
            <w:pPr>
              <w:pStyle w:val="13"/>
            </w:pPr>
            <w:r>
              <w:t>质量指标</w:t>
            </w:r>
          </w:p>
        </w:tc>
        <w:tc>
          <w:tcPr>
            <w:tcW w:w="2835" w:type="dxa"/>
            <w:vAlign w:val="center"/>
          </w:tcPr>
          <w:p w14:paraId="6072AE7A">
            <w:pPr>
              <w:pStyle w:val="13"/>
            </w:pPr>
            <w:r>
              <w:t>预算控制率</w:t>
            </w:r>
          </w:p>
        </w:tc>
        <w:tc>
          <w:tcPr>
            <w:tcW w:w="5386" w:type="dxa"/>
            <w:vAlign w:val="center"/>
          </w:tcPr>
          <w:p w14:paraId="1B4C64F3">
            <w:pPr>
              <w:pStyle w:val="13"/>
            </w:pPr>
            <w:r>
              <w:t>预算执行</w:t>
            </w:r>
          </w:p>
        </w:tc>
        <w:tc>
          <w:tcPr>
            <w:tcW w:w="2268" w:type="dxa"/>
            <w:vAlign w:val="center"/>
          </w:tcPr>
          <w:p w14:paraId="2BB1598C">
            <w:pPr>
              <w:pStyle w:val="13"/>
            </w:pPr>
            <w:r>
              <w:t>≥95%</w:t>
            </w:r>
          </w:p>
        </w:tc>
        <w:tc>
          <w:tcPr>
            <w:tcW w:w="1276" w:type="dxa"/>
            <w:vAlign w:val="center"/>
          </w:tcPr>
          <w:p w14:paraId="47DBDF6C">
            <w:pPr>
              <w:pStyle w:val="13"/>
            </w:pPr>
            <w:r>
              <w:t>城乡义务教育公用经费管理办法</w:t>
            </w:r>
          </w:p>
        </w:tc>
      </w:tr>
      <w:tr w14:paraId="168F0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91BB8"/>
        </w:tc>
        <w:tc>
          <w:tcPr>
            <w:tcW w:w="2268" w:type="dxa"/>
            <w:vAlign w:val="center"/>
          </w:tcPr>
          <w:p w14:paraId="3164D783">
            <w:pPr>
              <w:pStyle w:val="13"/>
            </w:pPr>
            <w:r>
              <w:t>时效指标</w:t>
            </w:r>
          </w:p>
        </w:tc>
        <w:tc>
          <w:tcPr>
            <w:tcW w:w="2835" w:type="dxa"/>
            <w:vAlign w:val="center"/>
          </w:tcPr>
          <w:p w14:paraId="320D48F3">
            <w:pPr>
              <w:pStyle w:val="13"/>
            </w:pPr>
            <w:r>
              <w:t>资金支付率</w:t>
            </w:r>
          </w:p>
        </w:tc>
        <w:tc>
          <w:tcPr>
            <w:tcW w:w="5386" w:type="dxa"/>
            <w:vAlign w:val="center"/>
          </w:tcPr>
          <w:p w14:paraId="7371A851">
            <w:pPr>
              <w:pStyle w:val="13"/>
            </w:pPr>
            <w:r>
              <w:t>按照序时进度完成资金支付</w:t>
            </w:r>
          </w:p>
        </w:tc>
        <w:tc>
          <w:tcPr>
            <w:tcW w:w="2268" w:type="dxa"/>
            <w:vAlign w:val="center"/>
          </w:tcPr>
          <w:p w14:paraId="08A83A4E">
            <w:pPr>
              <w:pStyle w:val="13"/>
            </w:pPr>
            <w:r>
              <w:t>≥100%</w:t>
            </w:r>
          </w:p>
        </w:tc>
        <w:tc>
          <w:tcPr>
            <w:tcW w:w="1276" w:type="dxa"/>
            <w:vAlign w:val="center"/>
          </w:tcPr>
          <w:p w14:paraId="6DAC6549">
            <w:pPr>
              <w:pStyle w:val="13"/>
            </w:pPr>
            <w:r>
              <w:t>城乡义务教育公用经费管理办法</w:t>
            </w:r>
          </w:p>
        </w:tc>
      </w:tr>
      <w:tr w14:paraId="4CCA2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D3F61"/>
        </w:tc>
        <w:tc>
          <w:tcPr>
            <w:tcW w:w="2268" w:type="dxa"/>
            <w:vAlign w:val="center"/>
          </w:tcPr>
          <w:p w14:paraId="67D93D54">
            <w:pPr>
              <w:pStyle w:val="13"/>
            </w:pPr>
            <w:r>
              <w:t>成本指标</w:t>
            </w:r>
          </w:p>
        </w:tc>
        <w:tc>
          <w:tcPr>
            <w:tcW w:w="2835" w:type="dxa"/>
            <w:vAlign w:val="center"/>
          </w:tcPr>
          <w:p w14:paraId="10051F6E">
            <w:pPr>
              <w:pStyle w:val="13"/>
            </w:pPr>
            <w:r>
              <w:t>生均拨款标准</w:t>
            </w:r>
          </w:p>
        </w:tc>
        <w:tc>
          <w:tcPr>
            <w:tcW w:w="5386" w:type="dxa"/>
            <w:vAlign w:val="center"/>
          </w:tcPr>
          <w:p w14:paraId="76F15FF2">
            <w:pPr>
              <w:pStyle w:val="13"/>
            </w:pPr>
            <w:r>
              <w:t>小学：（基本标准720元、寄宿生300元、取暖120元）/生/学年；随班就读学生：标准6000元/生/学年。</w:t>
            </w:r>
          </w:p>
        </w:tc>
        <w:tc>
          <w:tcPr>
            <w:tcW w:w="2268" w:type="dxa"/>
            <w:vAlign w:val="center"/>
          </w:tcPr>
          <w:p w14:paraId="43948389">
            <w:pPr>
              <w:pStyle w:val="13"/>
            </w:pPr>
            <w:r>
              <w:t>840元</w:t>
            </w:r>
          </w:p>
        </w:tc>
        <w:tc>
          <w:tcPr>
            <w:tcW w:w="1276" w:type="dxa"/>
            <w:vAlign w:val="center"/>
          </w:tcPr>
          <w:p w14:paraId="2474659E">
            <w:pPr>
              <w:pStyle w:val="13"/>
            </w:pPr>
            <w:r>
              <w:t>城乡义务教育公用经费管理办法</w:t>
            </w:r>
          </w:p>
        </w:tc>
      </w:tr>
      <w:tr w14:paraId="4322A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F7A10C">
            <w:pPr>
              <w:pStyle w:val="12"/>
            </w:pPr>
            <w:r>
              <w:t>效益指标</w:t>
            </w:r>
          </w:p>
        </w:tc>
        <w:tc>
          <w:tcPr>
            <w:tcW w:w="2268" w:type="dxa"/>
            <w:vAlign w:val="center"/>
          </w:tcPr>
          <w:p w14:paraId="412967C9">
            <w:pPr>
              <w:pStyle w:val="13"/>
            </w:pPr>
            <w:r>
              <w:t>可持续影响指标</w:t>
            </w:r>
          </w:p>
        </w:tc>
        <w:tc>
          <w:tcPr>
            <w:tcW w:w="2835" w:type="dxa"/>
            <w:vAlign w:val="center"/>
          </w:tcPr>
          <w:p w14:paraId="1F724C4B">
            <w:pPr>
              <w:pStyle w:val="13"/>
            </w:pPr>
            <w:r>
              <w:t>教育发展水平明显好转</w:t>
            </w:r>
          </w:p>
        </w:tc>
        <w:tc>
          <w:tcPr>
            <w:tcW w:w="5386" w:type="dxa"/>
            <w:vAlign w:val="center"/>
          </w:tcPr>
          <w:p w14:paraId="7F23D69F">
            <w:pPr>
              <w:pStyle w:val="13"/>
            </w:pPr>
            <w:r>
              <w:t>学生受教育年限</w:t>
            </w:r>
          </w:p>
        </w:tc>
        <w:tc>
          <w:tcPr>
            <w:tcW w:w="2268" w:type="dxa"/>
            <w:vAlign w:val="center"/>
          </w:tcPr>
          <w:p w14:paraId="087F92FF">
            <w:pPr>
              <w:pStyle w:val="13"/>
            </w:pPr>
            <w:r>
              <w:t>6年</w:t>
            </w:r>
          </w:p>
        </w:tc>
        <w:tc>
          <w:tcPr>
            <w:tcW w:w="1276" w:type="dxa"/>
            <w:vAlign w:val="center"/>
          </w:tcPr>
          <w:p w14:paraId="65EF4D22">
            <w:pPr>
              <w:pStyle w:val="13"/>
            </w:pPr>
            <w:r>
              <w:t>城乡义务教育公用经费管理办法</w:t>
            </w:r>
          </w:p>
        </w:tc>
      </w:tr>
      <w:tr w14:paraId="65F59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1D112">
            <w:pPr>
              <w:pStyle w:val="12"/>
            </w:pPr>
            <w:r>
              <w:t>满意度指标</w:t>
            </w:r>
          </w:p>
        </w:tc>
        <w:tc>
          <w:tcPr>
            <w:tcW w:w="2268" w:type="dxa"/>
            <w:vAlign w:val="center"/>
          </w:tcPr>
          <w:p w14:paraId="4C32EFF8">
            <w:pPr>
              <w:pStyle w:val="13"/>
            </w:pPr>
            <w:r>
              <w:t>服务对象满意度指标</w:t>
            </w:r>
          </w:p>
        </w:tc>
        <w:tc>
          <w:tcPr>
            <w:tcW w:w="2835" w:type="dxa"/>
            <w:vAlign w:val="center"/>
          </w:tcPr>
          <w:p w14:paraId="0CAD1651">
            <w:pPr>
              <w:pStyle w:val="13"/>
            </w:pPr>
            <w:r>
              <w:t>受益学生家长及调查满意度</w:t>
            </w:r>
          </w:p>
        </w:tc>
        <w:tc>
          <w:tcPr>
            <w:tcW w:w="5386" w:type="dxa"/>
            <w:vAlign w:val="center"/>
          </w:tcPr>
          <w:p w14:paraId="445BAD66">
            <w:pPr>
              <w:pStyle w:val="13"/>
            </w:pPr>
            <w:r>
              <w:t>学生、教师及家长对学校教育教学工作满意度情况</w:t>
            </w:r>
          </w:p>
        </w:tc>
        <w:tc>
          <w:tcPr>
            <w:tcW w:w="2268" w:type="dxa"/>
            <w:vAlign w:val="center"/>
          </w:tcPr>
          <w:p w14:paraId="3D7B5C39">
            <w:pPr>
              <w:pStyle w:val="13"/>
            </w:pPr>
            <w:r>
              <w:t>≥95%</w:t>
            </w:r>
          </w:p>
        </w:tc>
        <w:tc>
          <w:tcPr>
            <w:tcW w:w="1276" w:type="dxa"/>
            <w:vAlign w:val="center"/>
          </w:tcPr>
          <w:p w14:paraId="77E24190">
            <w:pPr>
              <w:pStyle w:val="13"/>
            </w:pPr>
            <w:r>
              <w:t>调查问卷</w:t>
            </w:r>
          </w:p>
        </w:tc>
      </w:tr>
    </w:tbl>
    <w:p w14:paraId="7CAFABA9">
      <w:pPr>
        <w:sectPr>
          <w:pgSz w:w="16840" w:h="11900" w:orient="landscape"/>
          <w:pgMar w:top="1361" w:right="1020" w:bottom="1134" w:left="1020" w:header="720" w:footer="720" w:gutter="0"/>
          <w:cols w:space="720" w:num="1"/>
        </w:sectPr>
      </w:pPr>
    </w:p>
    <w:p w14:paraId="030E0367">
      <w:pPr>
        <w:spacing w:before="0" w:after="0"/>
        <w:ind w:firstLine="560"/>
        <w:jc w:val="left"/>
        <w:outlineLvl w:val="9"/>
      </w:pPr>
      <w:r>
        <w:rPr>
          <w:rFonts w:ascii="方正仿宋_GBK" w:hAnsi="方正仿宋_GBK" w:eastAsia="方正仿宋_GBK" w:cs="方正仿宋_GBK"/>
          <w:b/>
          <w:color w:val="000000"/>
          <w:sz w:val="28"/>
        </w:rPr>
        <w:t>4、冀财教[2023]163号/省级/2024年义教补助资金/成龙易衡实验学校（初中）公用经费绩效目标表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0C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35B60">
            <w:pPr>
              <w:pStyle w:val="14"/>
            </w:pPr>
            <w:r>
              <w:t>单位：万元</w:t>
            </w:r>
          </w:p>
        </w:tc>
      </w:tr>
      <w:tr w14:paraId="6AD88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AADBA">
            <w:pPr>
              <w:pStyle w:val="11"/>
            </w:pPr>
            <w:r>
              <w:t>项目编码</w:t>
            </w:r>
          </w:p>
        </w:tc>
        <w:tc>
          <w:tcPr>
            <w:tcW w:w="5103" w:type="dxa"/>
            <w:gridSpan w:val="2"/>
            <w:vAlign w:val="center"/>
          </w:tcPr>
          <w:p w14:paraId="4757BBD8">
            <w:pPr>
              <w:pStyle w:val="13"/>
            </w:pPr>
            <w:r>
              <w:t>13052524P00000611197D</w:t>
            </w:r>
          </w:p>
        </w:tc>
        <w:tc>
          <w:tcPr>
            <w:tcW w:w="2835" w:type="dxa"/>
            <w:vAlign w:val="center"/>
          </w:tcPr>
          <w:p w14:paraId="57B1BCE3">
            <w:pPr>
              <w:pStyle w:val="11"/>
            </w:pPr>
            <w:r>
              <w:t>项目名称</w:t>
            </w:r>
          </w:p>
        </w:tc>
        <w:tc>
          <w:tcPr>
            <w:tcW w:w="6095" w:type="dxa"/>
            <w:gridSpan w:val="3"/>
            <w:vAlign w:val="center"/>
          </w:tcPr>
          <w:p w14:paraId="02F63BBB">
            <w:pPr>
              <w:pStyle w:val="13"/>
            </w:pPr>
            <w:r>
              <w:t>冀财教[2023]163号/省级/2024年义教补助资金/成龙易衡实验学校（初中）公用经费</w:t>
            </w:r>
          </w:p>
        </w:tc>
      </w:tr>
      <w:tr w14:paraId="1173C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4EA8A">
            <w:pPr>
              <w:pStyle w:val="11"/>
            </w:pPr>
            <w:r>
              <w:t>预算规模及资金用途</w:t>
            </w:r>
          </w:p>
        </w:tc>
        <w:tc>
          <w:tcPr>
            <w:tcW w:w="2268" w:type="dxa"/>
            <w:vAlign w:val="center"/>
          </w:tcPr>
          <w:p w14:paraId="14672850">
            <w:pPr>
              <w:pStyle w:val="11"/>
            </w:pPr>
            <w:r>
              <w:t>预算数</w:t>
            </w:r>
          </w:p>
        </w:tc>
        <w:tc>
          <w:tcPr>
            <w:tcW w:w="2835" w:type="dxa"/>
            <w:vAlign w:val="center"/>
          </w:tcPr>
          <w:p w14:paraId="2945D95E">
            <w:pPr>
              <w:pStyle w:val="13"/>
            </w:pPr>
            <w:r>
              <w:t>60.86</w:t>
            </w:r>
          </w:p>
        </w:tc>
        <w:tc>
          <w:tcPr>
            <w:tcW w:w="2835" w:type="dxa"/>
            <w:vAlign w:val="center"/>
          </w:tcPr>
          <w:p w14:paraId="7758AD85">
            <w:pPr>
              <w:pStyle w:val="11"/>
            </w:pPr>
            <w:r>
              <w:t>其中：财政    资金</w:t>
            </w:r>
          </w:p>
        </w:tc>
        <w:tc>
          <w:tcPr>
            <w:tcW w:w="2551" w:type="dxa"/>
            <w:vAlign w:val="center"/>
          </w:tcPr>
          <w:p w14:paraId="57CB538F">
            <w:pPr>
              <w:pStyle w:val="13"/>
            </w:pPr>
            <w:r>
              <w:t>60.86</w:t>
            </w:r>
          </w:p>
        </w:tc>
        <w:tc>
          <w:tcPr>
            <w:tcW w:w="2268" w:type="dxa"/>
            <w:vAlign w:val="center"/>
          </w:tcPr>
          <w:p w14:paraId="051D82DD">
            <w:pPr>
              <w:pStyle w:val="11"/>
            </w:pPr>
            <w:r>
              <w:t>其他资金</w:t>
            </w:r>
          </w:p>
        </w:tc>
        <w:tc>
          <w:tcPr>
            <w:tcW w:w="1276" w:type="dxa"/>
            <w:vAlign w:val="center"/>
          </w:tcPr>
          <w:p w14:paraId="2DE0149B">
            <w:pPr>
              <w:pStyle w:val="13"/>
            </w:pPr>
            <w:r>
              <w:t xml:space="preserve"> </w:t>
            </w:r>
          </w:p>
        </w:tc>
      </w:tr>
      <w:tr w14:paraId="3AB27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EA8DB7"/>
        </w:tc>
        <w:tc>
          <w:tcPr>
            <w:tcW w:w="14033" w:type="dxa"/>
            <w:gridSpan w:val="6"/>
            <w:vAlign w:val="center"/>
          </w:tcPr>
          <w:p w14:paraId="48C95E3E">
            <w:pPr>
              <w:pStyle w:val="13"/>
            </w:pPr>
            <w:r>
              <w:t xml:space="preserve">保障义务教育学校正常运转，完成教育教学活动和其他日常工作任务等方面的费用支出。     </w:t>
            </w:r>
          </w:p>
        </w:tc>
      </w:tr>
      <w:tr w14:paraId="11A5F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DE590">
            <w:pPr>
              <w:pStyle w:val="11"/>
            </w:pPr>
            <w:r>
              <w:t>资金支出计划（%）</w:t>
            </w:r>
          </w:p>
        </w:tc>
        <w:tc>
          <w:tcPr>
            <w:tcW w:w="5103" w:type="dxa"/>
            <w:gridSpan w:val="2"/>
            <w:vAlign w:val="center"/>
          </w:tcPr>
          <w:p w14:paraId="0CA4378D">
            <w:pPr>
              <w:pStyle w:val="11"/>
            </w:pPr>
            <w:r>
              <w:t>3月底</w:t>
            </w:r>
          </w:p>
        </w:tc>
        <w:tc>
          <w:tcPr>
            <w:tcW w:w="2835" w:type="dxa"/>
            <w:vAlign w:val="center"/>
          </w:tcPr>
          <w:p w14:paraId="00FE9A4C">
            <w:pPr>
              <w:pStyle w:val="11"/>
            </w:pPr>
            <w:r>
              <w:t>6月底</w:t>
            </w:r>
          </w:p>
        </w:tc>
        <w:tc>
          <w:tcPr>
            <w:tcW w:w="2551" w:type="dxa"/>
            <w:vAlign w:val="center"/>
          </w:tcPr>
          <w:p w14:paraId="2D8664D1">
            <w:pPr>
              <w:pStyle w:val="11"/>
            </w:pPr>
            <w:r>
              <w:t>10月底</w:t>
            </w:r>
          </w:p>
        </w:tc>
        <w:tc>
          <w:tcPr>
            <w:tcW w:w="3544" w:type="dxa"/>
            <w:gridSpan w:val="2"/>
            <w:vAlign w:val="center"/>
          </w:tcPr>
          <w:p w14:paraId="231C39EF">
            <w:pPr>
              <w:pStyle w:val="11"/>
            </w:pPr>
            <w:r>
              <w:t>12月底</w:t>
            </w:r>
          </w:p>
        </w:tc>
      </w:tr>
      <w:tr w14:paraId="34D414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64A189"/>
        </w:tc>
        <w:tc>
          <w:tcPr>
            <w:tcW w:w="5103" w:type="dxa"/>
            <w:gridSpan w:val="2"/>
            <w:vAlign w:val="center"/>
          </w:tcPr>
          <w:p w14:paraId="53CCF565">
            <w:pPr>
              <w:pStyle w:val="12"/>
            </w:pPr>
            <w:r>
              <w:t xml:space="preserve"> </w:t>
            </w:r>
          </w:p>
        </w:tc>
        <w:tc>
          <w:tcPr>
            <w:tcW w:w="2835" w:type="dxa"/>
            <w:vAlign w:val="center"/>
          </w:tcPr>
          <w:p w14:paraId="2C837840">
            <w:pPr>
              <w:pStyle w:val="12"/>
            </w:pPr>
            <w:r>
              <w:t>100%</w:t>
            </w:r>
          </w:p>
        </w:tc>
        <w:tc>
          <w:tcPr>
            <w:tcW w:w="2551" w:type="dxa"/>
            <w:vAlign w:val="center"/>
          </w:tcPr>
          <w:p w14:paraId="70ABA06F">
            <w:pPr>
              <w:pStyle w:val="12"/>
            </w:pPr>
            <w:r>
              <w:t>100%</w:t>
            </w:r>
          </w:p>
        </w:tc>
        <w:tc>
          <w:tcPr>
            <w:tcW w:w="3544" w:type="dxa"/>
            <w:gridSpan w:val="2"/>
            <w:vAlign w:val="center"/>
          </w:tcPr>
          <w:p w14:paraId="5C64EE5F">
            <w:pPr>
              <w:pStyle w:val="12"/>
            </w:pPr>
            <w:r>
              <w:t>100%</w:t>
            </w:r>
          </w:p>
        </w:tc>
      </w:tr>
      <w:tr w14:paraId="042B1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761407">
            <w:pPr>
              <w:pStyle w:val="11"/>
            </w:pPr>
            <w:r>
              <w:t>绩效目标</w:t>
            </w:r>
          </w:p>
        </w:tc>
        <w:tc>
          <w:tcPr>
            <w:tcW w:w="14033" w:type="dxa"/>
            <w:gridSpan w:val="6"/>
            <w:vAlign w:val="center"/>
          </w:tcPr>
          <w:p w14:paraId="0BAF5A76">
            <w:pPr>
              <w:pStyle w:val="13"/>
            </w:pPr>
            <w:r>
              <w:t xml:space="preserve">1.保障义务教育学校正常运转，完成教育教学活动和其他日常工作任务等方面的费用支出。     </w:t>
            </w:r>
          </w:p>
        </w:tc>
      </w:tr>
    </w:tbl>
    <w:p w14:paraId="2D6793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ED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7174A">
            <w:pPr>
              <w:pStyle w:val="11"/>
            </w:pPr>
            <w:r>
              <w:t>一级指标</w:t>
            </w:r>
          </w:p>
        </w:tc>
        <w:tc>
          <w:tcPr>
            <w:tcW w:w="2268" w:type="dxa"/>
            <w:vAlign w:val="center"/>
          </w:tcPr>
          <w:p w14:paraId="7B6ED979">
            <w:pPr>
              <w:pStyle w:val="11"/>
            </w:pPr>
            <w:r>
              <w:t>二级指标</w:t>
            </w:r>
          </w:p>
        </w:tc>
        <w:tc>
          <w:tcPr>
            <w:tcW w:w="2835" w:type="dxa"/>
            <w:vAlign w:val="center"/>
          </w:tcPr>
          <w:p w14:paraId="1D6200A0">
            <w:pPr>
              <w:pStyle w:val="11"/>
            </w:pPr>
            <w:r>
              <w:t>三级指标</w:t>
            </w:r>
          </w:p>
        </w:tc>
        <w:tc>
          <w:tcPr>
            <w:tcW w:w="5386" w:type="dxa"/>
            <w:vAlign w:val="center"/>
          </w:tcPr>
          <w:p w14:paraId="200A25CD">
            <w:pPr>
              <w:pStyle w:val="11"/>
            </w:pPr>
            <w:r>
              <w:t>绩效指标描述</w:t>
            </w:r>
          </w:p>
        </w:tc>
        <w:tc>
          <w:tcPr>
            <w:tcW w:w="2268" w:type="dxa"/>
            <w:vAlign w:val="center"/>
          </w:tcPr>
          <w:p w14:paraId="1256F853">
            <w:pPr>
              <w:pStyle w:val="11"/>
            </w:pPr>
            <w:r>
              <w:t>指标值</w:t>
            </w:r>
          </w:p>
        </w:tc>
        <w:tc>
          <w:tcPr>
            <w:tcW w:w="1276" w:type="dxa"/>
            <w:vAlign w:val="center"/>
          </w:tcPr>
          <w:p w14:paraId="5D89BB14">
            <w:pPr>
              <w:pStyle w:val="11"/>
            </w:pPr>
            <w:r>
              <w:t>指标值确定依据</w:t>
            </w:r>
          </w:p>
        </w:tc>
      </w:tr>
      <w:tr w14:paraId="638FA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7BE38">
            <w:pPr>
              <w:pStyle w:val="12"/>
            </w:pPr>
            <w:r>
              <w:t>产出指标</w:t>
            </w:r>
          </w:p>
        </w:tc>
        <w:tc>
          <w:tcPr>
            <w:tcW w:w="2268" w:type="dxa"/>
            <w:vAlign w:val="center"/>
          </w:tcPr>
          <w:p w14:paraId="0B8FB1A4">
            <w:pPr>
              <w:pStyle w:val="13"/>
            </w:pPr>
            <w:r>
              <w:t>数量指标</w:t>
            </w:r>
          </w:p>
        </w:tc>
        <w:tc>
          <w:tcPr>
            <w:tcW w:w="2835" w:type="dxa"/>
            <w:vAlign w:val="center"/>
          </w:tcPr>
          <w:p w14:paraId="703E58FD">
            <w:pPr>
              <w:pStyle w:val="13"/>
            </w:pPr>
            <w:r>
              <w:t>适龄在校生</w:t>
            </w:r>
          </w:p>
        </w:tc>
        <w:tc>
          <w:tcPr>
            <w:tcW w:w="5386" w:type="dxa"/>
            <w:vAlign w:val="center"/>
          </w:tcPr>
          <w:p w14:paraId="6D047C1E">
            <w:pPr>
              <w:pStyle w:val="13"/>
            </w:pPr>
            <w:r>
              <w:t>适龄在校就读学生人数</w:t>
            </w:r>
          </w:p>
        </w:tc>
        <w:tc>
          <w:tcPr>
            <w:tcW w:w="2268" w:type="dxa"/>
            <w:vAlign w:val="center"/>
          </w:tcPr>
          <w:p w14:paraId="6060C992">
            <w:pPr>
              <w:pStyle w:val="13"/>
            </w:pPr>
            <w:r>
              <w:t>≥1244人</w:t>
            </w:r>
          </w:p>
        </w:tc>
        <w:tc>
          <w:tcPr>
            <w:tcW w:w="1276" w:type="dxa"/>
            <w:vAlign w:val="center"/>
          </w:tcPr>
          <w:p w14:paraId="5F02052D">
            <w:pPr>
              <w:pStyle w:val="13"/>
            </w:pPr>
            <w:r>
              <w:t>城乡义务教育公用经费管理办法</w:t>
            </w:r>
          </w:p>
        </w:tc>
      </w:tr>
      <w:tr w14:paraId="285AD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9BA82"/>
        </w:tc>
        <w:tc>
          <w:tcPr>
            <w:tcW w:w="2268" w:type="dxa"/>
            <w:vAlign w:val="center"/>
          </w:tcPr>
          <w:p w14:paraId="668304AB">
            <w:pPr>
              <w:pStyle w:val="13"/>
            </w:pPr>
            <w:r>
              <w:t>质量指标</w:t>
            </w:r>
          </w:p>
        </w:tc>
        <w:tc>
          <w:tcPr>
            <w:tcW w:w="2835" w:type="dxa"/>
            <w:vAlign w:val="center"/>
          </w:tcPr>
          <w:p w14:paraId="63FBE00E">
            <w:pPr>
              <w:pStyle w:val="13"/>
            </w:pPr>
            <w:r>
              <w:t>预算控制率</w:t>
            </w:r>
          </w:p>
        </w:tc>
        <w:tc>
          <w:tcPr>
            <w:tcW w:w="5386" w:type="dxa"/>
            <w:vAlign w:val="center"/>
          </w:tcPr>
          <w:p w14:paraId="6F95ECC5">
            <w:pPr>
              <w:pStyle w:val="13"/>
            </w:pPr>
            <w:r>
              <w:t>预算执行</w:t>
            </w:r>
          </w:p>
        </w:tc>
        <w:tc>
          <w:tcPr>
            <w:tcW w:w="2268" w:type="dxa"/>
            <w:vAlign w:val="center"/>
          </w:tcPr>
          <w:p w14:paraId="692C7BD7">
            <w:pPr>
              <w:pStyle w:val="13"/>
            </w:pPr>
            <w:r>
              <w:t>≥95%</w:t>
            </w:r>
          </w:p>
        </w:tc>
        <w:tc>
          <w:tcPr>
            <w:tcW w:w="1276" w:type="dxa"/>
            <w:vAlign w:val="center"/>
          </w:tcPr>
          <w:p w14:paraId="4B7D829C">
            <w:pPr>
              <w:pStyle w:val="13"/>
            </w:pPr>
            <w:r>
              <w:t>城乡义务教育公用经费管理办法</w:t>
            </w:r>
          </w:p>
        </w:tc>
      </w:tr>
      <w:tr w14:paraId="73046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7700E"/>
        </w:tc>
        <w:tc>
          <w:tcPr>
            <w:tcW w:w="2268" w:type="dxa"/>
            <w:vAlign w:val="center"/>
          </w:tcPr>
          <w:p w14:paraId="13D20D00">
            <w:pPr>
              <w:pStyle w:val="13"/>
            </w:pPr>
            <w:r>
              <w:t>时效指标</w:t>
            </w:r>
          </w:p>
        </w:tc>
        <w:tc>
          <w:tcPr>
            <w:tcW w:w="2835" w:type="dxa"/>
            <w:vAlign w:val="center"/>
          </w:tcPr>
          <w:p w14:paraId="6D27A734">
            <w:pPr>
              <w:pStyle w:val="13"/>
            </w:pPr>
            <w:r>
              <w:t>资金支付率</w:t>
            </w:r>
          </w:p>
        </w:tc>
        <w:tc>
          <w:tcPr>
            <w:tcW w:w="5386" w:type="dxa"/>
            <w:vAlign w:val="center"/>
          </w:tcPr>
          <w:p w14:paraId="00529742">
            <w:pPr>
              <w:pStyle w:val="13"/>
            </w:pPr>
            <w:r>
              <w:t>按照序时进度完成资金支付</w:t>
            </w:r>
          </w:p>
        </w:tc>
        <w:tc>
          <w:tcPr>
            <w:tcW w:w="2268" w:type="dxa"/>
            <w:vAlign w:val="center"/>
          </w:tcPr>
          <w:p w14:paraId="4D37D534">
            <w:pPr>
              <w:pStyle w:val="13"/>
            </w:pPr>
            <w:r>
              <w:t>≥100%</w:t>
            </w:r>
          </w:p>
        </w:tc>
        <w:tc>
          <w:tcPr>
            <w:tcW w:w="1276" w:type="dxa"/>
            <w:vAlign w:val="center"/>
          </w:tcPr>
          <w:p w14:paraId="651C7C57">
            <w:pPr>
              <w:pStyle w:val="13"/>
            </w:pPr>
            <w:r>
              <w:t>城乡义务教育公用经费管理办法</w:t>
            </w:r>
          </w:p>
        </w:tc>
      </w:tr>
      <w:tr w14:paraId="1A273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A50B6"/>
        </w:tc>
        <w:tc>
          <w:tcPr>
            <w:tcW w:w="2268" w:type="dxa"/>
            <w:vAlign w:val="center"/>
          </w:tcPr>
          <w:p w14:paraId="3108F457">
            <w:pPr>
              <w:pStyle w:val="13"/>
            </w:pPr>
            <w:r>
              <w:t>成本指标</w:t>
            </w:r>
          </w:p>
        </w:tc>
        <w:tc>
          <w:tcPr>
            <w:tcW w:w="2835" w:type="dxa"/>
            <w:vAlign w:val="center"/>
          </w:tcPr>
          <w:p w14:paraId="4899B0A0">
            <w:pPr>
              <w:pStyle w:val="13"/>
            </w:pPr>
            <w:r>
              <w:t>生均拨款标准</w:t>
            </w:r>
          </w:p>
        </w:tc>
        <w:tc>
          <w:tcPr>
            <w:tcW w:w="5386" w:type="dxa"/>
            <w:vAlign w:val="center"/>
          </w:tcPr>
          <w:p w14:paraId="492D6939">
            <w:pPr>
              <w:pStyle w:val="13"/>
            </w:pPr>
            <w:r>
              <w:t>初中：（基本标准940元、寄宿生300元、取暖120元）/生/学年；随班就读学生：标准6000元/生/学年。。</w:t>
            </w:r>
          </w:p>
        </w:tc>
        <w:tc>
          <w:tcPr>
            <w:tcW w:w="2268" w:type="dxa"/>
            <w:vAlign w:val="center"/>
          </w:tcPr>
          <w:p w14:paraId="1E992E00">
            <w:pPr>
              <w:pStyle w:val="13"/>
            </w:pPr>
            <w:r>
              <w:t>1360元</w:t>
            </w:r>
          </w:p>
        </w:tc>
        <w:tc>
          <w:tcPr>
            <w:tcW w:w="1276" w:type="dxa"/>
            <w:vAlign w:val="center"/>
          </w:tcPr>
          <w:p w14:paraId="15A573EE">
            <w:pPr>
              <w:pStyle w:val="13"/>
            </w:pPr>
            <w:r>
              <w:t>城乡义务教育公用经费管理办法</w:t>
            </w:r>
          </w:p>
        </w:tc>
      </w:tr>
      <w:tr w14:paraId="1D572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77A553">
            <w:pPr>
              <w:pStyle w:val="12"/>
            </w:pPr>
            <w:r>
              <w:t>效益指标</w:t>
            </w:r>
          </w:p>
        </w:tc>
        <w:tc>
          <w:tcPr>
            <w:tcW w:w="2268" w:type="dxa"/>
            <w:vAlign w:val="center"/>
          </w:tcPr>
          <w:p w14:paraId="32FB02E0">
            <w:pPr>
              <w:pStyle w:val="13"/>
            </w:pPr>
            <w:r>
              <w:t>可持续影响指标</w:t>
            </w:r>
          </w:p>
        </w:tc>
        <w:tc>
          <w:tcPr>
            <w:tcW w:w="2835" w:type="dxa"/>
            <w:vAlign w:val="center"/>
          </w:tcPr>
          <w:p w14:paraId="1C135981">
            <w:pPr>
              <w:pStyle w:val="13"/>
            </w:pPr>
            <w:r>
              <w:t>教育发展水平明显好转</w:t>
            </w:r>
          </w:p>
        </w:tc>
        <w:tc>
          <w:tcPr>
            <w:tcW w:w="5386" w:type="dxa"/>
            <w:vAlign w:val="center"/>
          </w:tcPr>
          <w:p w14:paraId="4E0848CA">
            <w:pPr>
              <w:pStyle w:val="13"/>
            </w:pPr>
            <w:r>
              <w:t>学生受教育年限</w:t>
            </w:r>
          </w:p>
        </w:tc>
        <w:tc>
          <w:tcPr>
            <w:tcW w:w="2268" w:type="dxa"/>
            <w:vAlign w:val="center"/>
          </w:tcPr>
          <w:p w14:paraId="3F713E31">
            <w:pPr>
              <w:pStyle w:val="13"/>
            </w:pPr>
            <w:r>
              <w:t>3年</w:t>
            </w:r>
          </w:p>
        </w:tc>
        <w:tc>
          <w:tcPr>
            <w:tcW w:w="1276" w:type="dxa"/>
            <w:vAlign w:val="center"/>
          </w:tcPr>
          <w:p w14:paraId="6912B397">
            <w:pPr>
              <w:pStyle w:val="13"/>
            </w:pPr>
            <w:r>
              <w:t>城乡义务教育公用经费管理办法</w:t>
            </w:r>
          </w:p>
        </w:tc>
      </w:tr>
      <w:tr w14:paraId="31F3D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B6EDE3">
            <w:pPr>
              <w:pStyle w:val="12"/>
            </w:pPr>
            <w:r>
              <w:t>满意度指标</w:t>
            </w:r>
          </w:p>
        </w:tc>
        <w:tc>
          <w:tcPr>
            <w:tcW w:w="2268" w:type="dxa"/>
            <w:vAlign w:val="center"/>
          </w:tcPr>
          <w:p w14:paraId="0EBCCD17">
            <w:pPr>
              <w:pStyle w:val="13"/>
            </w:pPr>
            <w:r>
              <w:t>服务对象满意度指标</w:t>
            </w:r>
          </w:p>
        </w:tc>
        <w:tc>
          <w:tcPr>
            <w:tcW w:w="2835" w:type="dxa"/>
            <w:vAlign w:val="center"/>
          </w:tcPr>
          <w:p w14:paraId="366D7843">
            <w:pPr>
              <w:pStyle w:val="13"/>
            </w:pPr>
            <w:r>
              <w:t>受益学生家长及调查满意度</w:t>
            </w:r>
          </w:p>
        </w:tc>
        <w:tc>
          <w:tcPr>
            <w:tcW w:w="5386" w:type="dxa"/>
            <w:vAlign w:val="center"/>
          </w:tcPr>
          <w:p w14:paraId="3C98523B">
            <w:pPr>
              <w:pStyle w:val="13"/>
            </w:pPr>
            <w:r>
              <w:t>学生、教师及家长对学校教育教学工作满意度情况</w:t>
            </w:r>
          </w:p>
        </w:tc>
        <w:tc>
          <w:tcPr>
            <w:tcW w:w="2268" w:type="dxa"/>
            <w:vAlign w:val="center"/>
          </w:tcPr>
          <w:p w14:paraId="0BCBC7B5">
            <w:pPr>
              <w:pStyle w:val="13"/>
            </w:pPr>
            <w:r>
              <w:t>≥95%</w:t>
            </w:r>
          </w:p>
        </w:tc>
        <w:tc>
          <w:tcPr>
            <w:tcW w:w="1276" w:type="dxa"/>
            <w:vAlign w:val="center"/>
          </w:tcPr>
          <w:p w14:paraId="2FBC63E0">
            <w:pPr>
              <w:pStyle w:val="13"/>
            </w:pPr>
            <w:r>
              <w:t>调查问卷</w:t>
            </w:r>
          </w:p>
        </w:tc>
      </w:tr>
    </w:tbl>
    <w:p w14:paraId="410E2DCB">
      <w:pPr>
        <w:sectPr>
          <w:pgSz w:w="16840" w:h="11900" w:orient="landscape"/>
          <w:pgMar w:top="1361" w:right="1020" w:bottom="1134" w:left="1020" w:header="720" w:footer="720" w:gutter="0"/>
          <w:cols w:space="720" w:num="1"/>
        </w:sectPr>
      </w:pPr>
    </w:p>
    <w:p w14:paraId="340C2BBC">
      <w:pPr>
        <w:spacing w:before="0" w:after="0"/>
        <w:ind w:firstLine="560"/>
        <w:jc w:val="left"/>
        <w:outlineLvl w:val="9"/>
      </w:pPr>
      <w:r>
        <w:rPr>
          <w:rFonts w:ascii="方正仿宋_GBK" w:hAnsi="方正仿宋_GBK" w:eastAsia="方正仿宋_GBK" w:cs="方正仿宋_GBK"/>
          <w:b/>
          <w:color w:val="000000"/>
          <w:sz w:val="28"/>
        </w:rPr>
        <w:t>5、冀财教[2023]163号/省级/2024年义教补助资金/东良第一私立学校公用经费绩效目标表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2A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FD1EE">
            <w:pPr>
              <w:pStyle w:val="14"/>
            </w:pPr>
            <w:r>
              <w:t>单位：万元</w:t>
            </w:r>
          </w:p>
        </w:tc>
      </w:tr>
      <w:tr w14:paraId="65329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D25556">
            <w:pPr>
              <w:pStyle w:val="11"/>
            </w:pPr>
            <w:r>
              <w:t>项目编码</w:t>
            </w:r>
          </w:p>
        </w:tc>
        <w:tc>
          <w:tcPr>
            <w:tcW w:w="5103" w:type="dxa"/>
            <w:gridSpan w:val="2"/>
            <w:vAlign w:val="center"/>
          </w:tcPr>
          <w:p w14:paraId="75B03B42">
            <w:pPr>
              <w:pStyle w:val="13"/>
            </w:pPr>
            <w:r>
              <w:t>13052524P000006106481</w:t>
            </w:r>
          </w:p>
        </w:tc>
        <w:tc>
          <w:tcPr>
            <w:tcW w:w="2835" w:type="dxa"/>
            <w:vAlign w:val="center"/>
          </w:tcPr>
          <w:p w14:paraId="6452CBB8">
            <w:pPr>
              <w:pStyle w:val="11"/>
            </w:pPr>
            <w:r>
              <w:t>项目名称</w:t>
            </w:r>
          </w:p>
        </w:tc>
        <w:tc>
          <w:tcPr>
            <w:tcW w:w="6095" w:type="dxa"/>
            <w:gridSpan w:val="3"/>
            <w:vAlign w:val="center"/>
          </w:tcPr>
          <w:p w14:paraId="0425489E">
            <w:pPr>
              <w:pStyle w:val="13"/>
            </w:pPr>
            <w:r>
              <w:t>冀财教[2023]163号/省级/2024年义教补助资金/东良第一私立学校公用经费</w:t>
            </w:r>
            <w:r>
              <w:tab/>
            </w:r>
            <w:r>
              <w:tab/>
            </w:r>
            <w:r>
              <w:tab/>
            </w:r>
          </w:p>
        </w:tc>
      </w:tr>
      <w:tr w14:paraId="1FC7D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035CF">
            <w:pPr>
              <w:pStyle w:val="11"/>
            </w:pPr>
            <w:r>
              <w:t>预算规模及资金用途</w:t>
            </w:r>
          </w:p>
        </w:tc>
        <w:tc>
          <w:tcPr>
            <w:tcW w:w="2268" w:type="dxa"/>
            <w:vAlign w:val="center"/>
          </w:tcPr>
          <w:p w14:paraId="39A05C4A">
            <w:pPr>
              <w:pStyle w:val="11"/>
            </w:pPr>
            <w:r>
              <w:t>预算数</w:t>
            </w:r>
          </w:p>
        </w:tc>
        <w:tc>
          <w:tcPr>
            <w:tcW w:w="2835" w:type="dxa"/>
            <w:vAlign w:val="center"/>
          </w:tcPr>
          <w:p w14:paraId="69EBD8EB">
            <w:pPr>
              <w:pStyle w:val="13"/>
            </w:pPr>
            <w:r>
              <w:t>22.52</w:t>
            </w:r>
          </w:p>
        </w:tc>
        <w:tc>
          <w:tcPr>
            <w:tcW w:w="2835" w:type="dxa"/>
            <w:vAlign w:val="center"/>
          </w:tcPr>
          <w:p w14:paraId="269F04B1">
            <w:pPr>
              <w:pStyle w:val="11"/>
            </w:pPr>
            <w:r>
              <w:t>其中：财政    资金</w:t>
            </w:r>
          </w:p>
        </w:tc>
        <w:tc>
          <w:tcPr>
            <w:tcW w:w="2551" w:type="dxa"/>
            <w:vAlign w:val="center"/>
          </w:tcPr>
          <w:p w14:paraId="557A2E33">
            <w:pPr>
              <w:pStyle w:val="13"/>
            </w:pPr>
            <w:r>
              <w:t>22.52</w:t>
            </w:r>
          </w:p>
        </w:tc>
        <w:tc>
          <w:tcPr>
            <w:tcW w:w="2268" w:type="dxa"/>
            <w:vAlign w:val="center"/>
          </w:tcPr>
          <w:p w14:paraId="5078F5AD">
            <w:pPr>
              <w:pStyle w:val="11"/>
            </w:pPr>
            <w:r>
              <w:t>其他资金</w:t>
            </w:r>
          </w:p>
        </w:tc>
        <w:tc>
          <w:tcPr>
            <w:tcW w:w="1276" w:type="dxa"/>
            <w:vAlign w:val="center"/>
          </w:tcPr>
          <w:p w14:paraId="2291B462">
            <w:pPr>
              <w:pStyle w:val="13"/>
            </w:pPr>
            <w:r>
              <w:t xml:space="preserve"> </w:t>
            </w:r>
          </w:p>
        </w:tc>
      </w:tr>
      <w:tr w14:paraId="0F316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459F24"/>
        </w:tc>
        <w:tc>
          <w:tcPr>
            <w:tcW w:w="14033" w:type="dxa"/>
            <w:gridSpan w:val="6"/>
            <w:vAlign w:val="center"/>
          </w:tcPr>
          <w:p w14:paraId="535500DC">
            <w:pPr>
              <w:pStyle w:val="13"/>
            </w:pPr>
            <w:r>
              <w:t>"保障义务教育学校正常运转，完成教育教学活动和其他日常工作任务等方面的费用支出。</w:t>
            </w:r>
            <w:r>
              <w:tab/>
            </w:r>
          </w:p>
          <w:p w14:paraId="0F91BB96">
            <w:pPr>
              <w:pStyle w:val="13"/>
            </w:pPr>
            <w:r>
              <w:t>"</w:t>
            </w:r>
            <w:r>
              <w:tab/>
            </w:r>
            <w:r>
              <w:tab/>
            </w:r>
            <w:r>
              <w:tab/>
            </w:r>
            <w:r>
              <w:tab/>
            </w:r>
            <w:r>
              <w:tab/>
            </w:r>
            <w:r>
              <w:tab/>
            </w:r>
          </w:p>
          <w:p w14:paraId="1104762B">
            <w:pPr>
              <w:pStyle w:val="13"/>
            </w:pPr>
          </w:p>
        </w:tc>
      </w:tr>
      <w:tr w14:paraId="02D84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21C0C">
            <w:pPr>
              <w:pStyle w:val="11"/>
            </w:pPr>
            <w:r>
              <w:t>资金支出计划（%）</w:t>
            </w:r>
          </w:p>
        </w:tc>
        <w:tc>
          <w:tcPr>
            <w:tcW w:w="5103" w:type="dxa"/>
            <w:gridSpan w:val="2"/>
            <w:vAlign w:val="center"/>
          </w:tcPr>
          <w:p w14:paraId="306C9033">
            <w:pPr>
              <w:pStyle w:val="11"/>
            </w:pPr>
            <w:r>
              <w:t>3月底</w:t>
            </w:r>
          </w:p>
        </w:tc>
        <w:tc>
          <w:tcPr>
            <w:tcW w:w="2835" w:type="dxa"/>
            <w:vAlign w:val="center"/>
          </w:tcPr>
          <w:p w14:paraId="6942CEB9">
            <w:pPr>
              <w:pStyle w:val="11"/>
            </w:pPr>
            <w:r>
              <w:t>6月底</w:t>
            </w:r>
          </w:p>
        </w:tc>
        <w:tc>
          <w:tcPr>
            <w:tcW w:w="2551" w:type="dxa"/>
            <w:vAlign w:val="center"/>
          </w:tcPr>
          <w:p w14:paraId="4AAF2FA3">
            <w:pPr>
              <w:pStyle w:val="11"/>
            </w:pPr>
            <w:r>
              <w:t>10月底</w:t>
            </w:r>
          </w:p>
        </w:tc>
        <w:tc>
          <w:tcPr>
            <w:tcW w:w="3544" w:type="dxa"/>
            <w:gridSpan w:val="2"/>
            <w:vAlign w:val="center"/>
          </w:tcPr>
          <w:p w14:paraId="12E82B2E">
            <w:pPr>
              <w:pStyle w:val="11"/>
            </w:pPr>
            <w:r>
              <w:t>12月底</w:t>
            </w:r>
          </w:p>
        </w:tc>
      </w:tr>
      <w:tr w14:paraId="4B725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63CAD8"/>
        </w:tc>
        <w:tc>
          <w:tcPr>
            <w:tcW w:w="5103" w:type="dxa"/>
            <w:gridSpan w:val="2"/>
            <w:vAlign w:val="center"/>
          </w:tcPr>
          <w:p w14:paraId="69FB6572">
            <w:pPr>
              <w:pStyle w:val="12"/>
            </w:pPr>
            <w:r>
              <w:t xml:space="preserve"> </w:t>
            </w:r>
          </w:p>
        </w:tc>
        <w:tc>
          <w:tcPr>
            <w:tcW w:w="2835" w:type="dxa"/>
            <w:vAlign w:val="center"/>
          </w:tcPr>
          <w:p w14:paraId="22881A97">
            <w:pPr>
              <w:pStyle w:val="12"/>
            </w:pPr>
            <w:r>
              <w:t xml:space="preserve"> </w:t>
            </w:r>
          </w:p>
        </w:tc>
        <w:tc>
          <w:tcPr>
            <w:tcW w:w="2551" w:type="dxa"/>
            <w:vAlign w:val="center"/>
          </w:tcPr>
          <w:p w14:paraId="1C88B26D">
            <w:pPr>
              <w:pStyle w:val="12"/>
            </w:pPr>
            <w:r>
              <w:t>22520000%</w:t>
            </w:r>
          </w:p>
        </w:tc>
        <w:tc>
          <w:tcPr>
            <w:tcW w:w="3544" w:type="dxa"/>
            <w:gridSpan w:val="2"/>
            <w:vAlign w:val="center"/>
          </w:tcPr>
          <w:p w14:paraId="2DD29C32">
            <w:pPr>
              <w:pStyle w:val="12"/>
            </w:pPr>
            <w:r>
              <w:t>22520000%</w:t>
            </w:r>
          </w:p>
        </w:tc>
      </w:tr>
      <w:tr w14:paraId="4F439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36B59">
            <w:pPr>
              <w:pStyle w:val="11"/>
            </w:pPr>
            <w:r>
              <w:t>绩效目标</w:t>
            </w:r>
          </w:p>
        </w:tc>
        <w:tc>
          <w:tcPr>
            <w:tcW w:w="14033" w:type="dxa"/>
            <w:gridSpan w:val="6"/>
            <w:vAlign w:val="center"/>
          </w:tcPr>
          <w:p w14:paraId="642D323B">
            <w:pPr>
              <w:pStyle w:val="13"/>
            </w:pPr>
            <w:r>
              <w:t>1.保障义务教育学校正常运转，完成教育教学活动和其他日常工作任务等方面的费用支出。</w:t>
            </w:r>
            <w:r>
              <w:tab/>
            </w:r>
          </w:p>
          <w:p w14:paraId="1910A588">
            <w:pPr>
              <w:pStyle w:val="13"/>
            </w:pPr>
          </w:p>
        </w:tc>
      </w:tr>
    </w:tbl>
    <w:p w14:paraId="40E5F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1113"/>
        <w:gridCol w:w="1799"/>
        <w:gridCol w:w="1799"/>
        <w:gridCol w:w="6732"/>
        <w:gridCol w:w="916"/>
        <w:gridCol w:w="2657"/>
      </w:tblGrid>
      <w:tr w14:paraId="003F3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0" w:type="auto"/>
            <w:vAlign w:val="center"/>
          </w:tcPr>
          <w:p w14:paraId="0520413F">
            <w:pPr>
              <w:pStyle w:val="11"/>
            </w:pPr>
            <w:r>
              <w:t>一级指标</w:t>
            </w:r>
          </w:p>
        </w:tc>
        <w:tc>
          <w:tcPr>
            <w:tcW w:w="0" w:type="auto"/>
            <w:vAlign w:val="center"/>
          </w:tcPr>
          <w:p w14:paraId="460B5679">
            <w:pPr>
              <w:pStyle w:val="11"/>
            </w:pPr>
            <w:r>
              <w:t>二级指标</w:t>
            </w:r>
          </w:p>
        </w:tc>
        <w:tc>
          <w:tcPr>
            <w:tcW w:w="0" w:type="auto"/>
            <w:vAlign w:val="center"/>
          </w:tcPr>
          <w:p w14:paraId="34728F2B">
            <w:pPr>
              <w:pStyle w:val="11"/>
            </w:pPr>
            <w:r>
              <w:t>三级指标</w:t>
            </w:r>
          </w:p>
        </w:tc>
        <w:tc>
          <w:tcPr>
            <w:tcW w:w="0" w:type="auto"/>
            <w:vAlign w:val="center"/>
          </w:tcPr>
          <w:p w14:paraId="717507B4">
            <w:pPr>
              <w:pStyle w:val="11"/>
            </w:pPr>
            <w:r>
              <w:t>绩效指标描述</w:t>
            </w:r>
          </w:p>
        </w:tc>
        <w:tc>
          <w:tcPr>
            <w:tcW w:w="0" w:type="auto"/>
            <w:vAlign w:val="center"/>
          </w:tcPr>
          <w:p w14:paraId="029FF879">
            <w:pPr>
              <w:pStyle w:val="11"/>
            </w:pPr>
            <w:r>
              <w:t>指标值</w:t>
            </w:r>
          </w:p>
        </w:tc>
        <w:tc>
          <w:tcPr>
            <w:tcW w:w="0" w:type="auto"/>
            <w:vAlign w:val="center"/>
          </w:tcPr>
          <w:p w14:paraId="6F84FC5D">
            <w:pPr>
              <w:pStyle w:val="11"/>
            </w:pPr>
            <w:r>
              <w:t>指标值确定依据</w:t>
            </w:r>
          </w:p>
        </w:tc>
      </w:tr>
      <w:tr w14:paraId="2CA5F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vMerge w:val="restart"/>
            <w:vAlign w:val="center"/>
          </w:tcPr>
          <w:p w14:paraId="5FC01E04">
            <w:pPr>
              <w:pStyle w:val="12"/>
            </w:pPr>
            <w:r>
              <w:t>产出指标</w:t>
            </w:r>
          </w:p>
        </w:tc>
        <w:tc>
          <w:tcPr>
            <w:tcW w:w="0" w:type="auto"/>
            <w:vAlign w:val="center"/>
          </w:tcPr>
          <w:p w14:paraId="5AAD59FC">
            <w:pPr>
              <w:pStyle w:val="13"/>
            </w:pPr>
            <w:r>
              <w:t>数量指标</w:t>
            </w:r>
          </w:p>
        </w:tc>
        <w:tc>
          <w:tcPr>
            <w:tcW w:w="0" w:type="auto"/>
            <w:vAlign w:val="center"/>
          </w:tcPr>
          <w:p w14:paraId="2E4F842B">
            <w:pPr>
              <w:pStyle w:val="13"/>
            </w:pPr>
            <w:r>
              <w:t>生均拨款标准</w:t>
            </w:r>
          </w:p>
        </w:tc>
        <w:tc>
          <w:tcPr>
            <w:tcW w:w="0" w:type="auto"/>
            <w:vAlign w:val="center"/>
          </w:tcPr>
          <w:p w14:paraId="40395BA6">
            <w:pPr>
              <w:pStyle w:val="13"/>
            </w:pPr>
            <w:r>
              <w:t>小学生公用经费生均小学720元。取暖费120元/生/年，随班就读学生补助6000元/生</w:t>
            </w:r>
          </w:p>
        </w:tc>
        <w:tc>
          <w:tcPr>
            <w:tcW w:w="0" w:type="auto"/>
            <w:vAlign w:val="center"/>
          </w:tcPr>
          <w:p w14:paraId="70D418AB">
            <w:pPr>
              <w:pStyle w:val="13"/>
            </w:pPr>
            <w:r>
              <w:t>840元</w:t>
            </w:r>
          </w:p>
        </w:tc>
        <w:tc>
          <w:tcPr>
            <w:tcW w:w="0" w:type="auto"/>
            <w:vAlign w:val="center"/>
          </w:tcPr>
          <w:p w14:paraId="4347081C">
            <w:pPr>
              <w:pStyle w:val="13"/>
            </w:pPr>
            <w:r>
              <w:t>城乡义务教育公用经费管理办法</w:t>
            </w:r>
          </w:p>
        </w:tc>
      </w:tr>
      <w:tr w14:paraId="5AD7A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vMerge w:val="continue"/>
            <w:vAlign w:val="center"/>
          </w:tcPr>
          <w:p w14:paraId="0734C5F9"/>
        </w:tc>
        <w:tc>
          <w:tcPr>
            <w:tcW w:w="0" w:type="auto"/>
            <w:vAlign w:val="center"/>
          </w:tcPr>
          <w:p w14:paraId="29508C7E">
            <w:pPr>
              <w:pStyle w:val="13"/>
            </w:pPr>
            <w:r>
              <w:t>质量指标</w:t>
            </w:r>
          </w:p>
        </w:tc>
        <w:tc>
          <w:tcPr>
            <w:tcW w:w="0" w:type="auto"/>
            <w:vAlign w:val="center"/>
          </w:tcPr>
          <w:p w14:paraId="1CD49593">
            <w:pPr>
              <w:pStyle w:val="13"/>
            </w:pPr>
            <w:r>
              <w:t>就读学生数</w:t>
            </w:r>
          </w:p>
        </w:tc>
        <w:tc>
          <w:tcPr>
            <w:tcW w:w="0" w:type="auto"/>
            <w:vAlign w:val="center"/>
          </w:tcPr>
          <w:p w14:paraId="62885293">
            <w:pPr>
              <w:pStyle w:val="13"/>
            </w:pPr>
            <w:r>
              <w:t>辐射区域内适龄学生人数</w:t>
            </w:r>
          </w:p>
        </w:tc>
        <w:tc>
          <w:tcPr>
            <w:tcW w:w="0" w:type="auto"/>
            <w:vAlign w:val="center"/>
          </w:tcPr>
          <w:p w14:paraId="565CC19B">
            <w:pPr>
              <w:pStyle w:val="13"/>
            </w:pPr>
            <w:r>
              <w:t>587人</w:t>
            </w:r>
          </w:p>
        </w:tc>
        <w:tc>
          <w:tcPr>
            <w:tcW w:w="0" w:type="auto"/>
            <w:vAlign w:val="center"/>
          </w:tcPr>
          <w:p w14:paraId="11DCD58A">
            <w:pPr>
              <w:pStyle w:val="13"/>
            </w:pPr>
            <w:r>
              <w:t>城乡义务教育公用经费管理办法</w:t>
            </w:r>
          </w:p>
        </w:tc>
      </w:tr>
      <w:tr w14:paraId="6D334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vMerge w:val="continue"/>
            <w:vAlign w:val="center"/>
          </w:tcPr>
          <w:p w14:paraId="5FB436CF"/>
        </w:tc>
        <w:tc>
          <w:tcPr>
            <w:tcW w:w="0" w:type="auto"/>
            <w:vAlign w:val="center"/>
          </w:tcPr>
          <w:p w14:paraId="725A72A3">
            <w:pPr>
              <w:pStyle w:val="13"/>
            </w:pPr>
            <w:r>
              <w:t>时效指标</w:t>
            </w:r>
          </w:p>
        </w:tc>
        <w:tc>
          <w:tcPr>
            <w:tcW w:w="0" w:type="auto"/>
            <w:vAlign w:val="center"/>
          </w:tcPr>
          <w:p w14:paraId="1744FDCA">
            <w:pPr>
              <w:pStyle w:val="13"/>
            </w:pPr>
            <w:r>
              <w:t>预算执行率</w:t>
            </w:r>
          </w:p>
        </w:tc>
        <w:tc>
          <w:tcPr>
            <w:tcW w:w="0" w:type="auto"/>
            <w:vAlign w:val="center"/>
          </w:tcPr>
          <w:p w14:paraId="2D5689F4">
            <w:pPr>
              <w:pStyle w:val="13"/>
            </w:pPr>
            <w:r>
              <w:t>预算执行率≥98%</w:t>
            </w:r>
          </w:p>
        </w:tc>
        <w:tc>
          <w:tcPr>
            <w:tcW w:w="0" w:type="auto"/>
            <w:vAlign w:val="center"/>
          </w:tcPr>
          <w:p w14:paraId="2CBF133B">
            <w:pPr>
              <w:pStyle w:val="13"/>
            </w:pPr>
            <w:r>
              <w:t>≥98%</w:t>
            </w:r>
          </w:p>
        </w:tc>
        <w:tc>
          <w:tcPr>
            <w:tcW w:w="0" w:type="auto"/>
            <w:vAlign w:val="center"/>
          </w:tcPr>
          <w:p w14:paraId="7C57D14F">
            <w:pPr>
              <w:pStyle w:val="13"/>
            </w:pPr>
            <w:r>
              <w:t>城乡义务教育公用经费管理办法</w:t>
            </w:r>
          </w:p>
        </w:tc>
      </w:tr>
      <w:tr w14:paraId="358DA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vMerge w:val="continue"/>
            <w:vAlign w:val="center"/>
          </w:tcPr>
          <w:p w14:paraId="6AF0A621"/>
        </w:tc>
        <w:tc>
          <w:tcPr>
            <w:tcW w:w="0" w:type="auto"/>
            <w:vAlign w:val="center"/>
          </w:tcPr>
          <w:p w14:paraId="6D91C2C1">
            <w:pPr>
              <w:pStyle w:val="13"/>
            </w:pPr>
            <w:r>
              <w:t>成本指标</w:t>
            </w:r>
          </w:p>
        </w:tc>
        <w:tc>
          <w:tcPr>
            <w:tcW w:w="0" w:type="auto"/>
            <w:vAlign w:val="center"/>
          </w:tcPr>
          <w:p w14:paraId="268C51F6">
            <w:pPr>
              <w:pStyle w:val="13"/>
            </w:pPr>
            <w:r>
              <w:t>义教经费支付完成率</w:t>
            </w:r>
          </w:p>
        </w:tc>
        <w:tc>
          <w:tcPr>
            <w:tcW w:w="0" w:type="auto"/>
            <w:vAlign w:val="center"/>
          </w:tcPr>
          <w:p w14:paraId="73713E3E">
            <w:pPr>
              <w:pStyle w:val="13"/>
            </w:pPr>
            <w:r>
              <w:t>按照序时进度完成资金支付</w:t>
            </w:r>
          </w:p>
        </w:tc>
        <w:tc>
          <w:tcPr>
            <w:tcW w:w="0" w:type="auto"/>
            <w:vAlign w:val="center"/>
          </w:tcPr>
          <w:p w14:paraId="459D0BCC">
            <w:pPr>
              <w:pStyle w:val="13"/>
            </w:pPr>
            <w:r>
              <w:t>≥100%</w:t>
            </w:r>
          </w:p>
        </w:tc>
        <w:tc>
          <w:tcPr>
            <w:tcW w:w="0" w:type="auto"/>
            <w:vAlign w:val="center"/>
          </w:tcPr>
          <w:p w14:paraId="510200B0">
            <w:pPr>
              <w:pStyle w:val="13"/>
            </w:pPr>
            <w:r>
              <w:t>城乡义务教育公用经费管理办法</w:t>
            </w:r>
          </w:p>
        </w:tc>
      </w:tr>
      <w:tr w14:paraId="62CF8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vAlign w:val="center"/>
          </w:tcPr>
          <w:p w14:paraId="1A16757E">
            <w:pPr>
              <w:pStyle w:val="12"/>
            </w:pPr>
            <w:r>
              <w:t>效益指标</w:t>
            </w:r>
          </w:p>
        </w:tc>
        <w:tc>
          <w:tcPr>
            <w:tcW w:w="0" w:type="auto"/>
            <w:vAlign w:val="center"/>
          </w:tcPr>
          <w:p w14:paraId="0DED1F71">
            <w:pPr>
              <w:pStyle w:val="13"/>
            </w:pPr>
            <w:r>
              <w:t>可持续影响指标</w:t>
            </w:r>
          </w:p>
        </w:tc>
        <w:tc>
          <w:tcPr>
            <w:tcW w:w="0" w:type="auto"/>
            <w:vAlign w:val="center"/>
          </w:tcPr>
          <w:p w14:paraId="08BF3C02">
            <w:pPr>
              <w:pStyle w:val="13"/>
            </w:pPr>
            <w:r>
              <w:t>学校运转得到提高</w:t>
            </w:r>
          </w:p>
        </w:tc>
        <w:tc>
          <w:tcPr>
            <w:tcW w:w="0" w:type="auto"/>
            <w:vAlign w:val="center"/>
          </w:tcPr>
          <w:p w14:paraId="5C51B7A9">
            <w:pPr>
              <w:pStyle w:val="13"/>
            </w:pPr>
            <w:r>
              <w:t>学生受教育年限</w:t>
            </w:r>
          </w:p>
        </w:tc>
        <w:tc>
          <w:tcPr>
            <w:tcW w:w="0" w:type="auto"/>
            <w:vAlign w:val="center"/>
          </w:tcPr>
          <w:p w14:paraId="08B80C8E">
            <w:pPr>
              <w:pStyle w:val="13"/>
            </w:pPr>
            <w:r>
              <w:t>6年</w:t>
            </w:r>
          </w:p>
        </w:tc>
        <w:tc>
          <w:tcPr>
            <w:tcW w:w="0" w:type="auto"/>
            <w:vAlign w:val="center"/>
          </w:tcPr>
          <w:p w14:paraId="07A49877">
            <w:pPr>
              <w:pStyle w:val="13"/>
            </w:pPr>
            <w:r>
              <w:t>城乡义务教育公用经费管理办法</w:t>
            </w:r>
          </w:p>
        </w:tc>
      </w:tr>
      <w:tr w14:paraId="0DC6F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vAlign w:val="center"/>
          </w:tcPr>
          <w:p w14:paraId="50D2756B">
            <w:pPr>
              <w:pStyle w:val="12"/>
            </w:pPr>
            <w:r>
              <w:t>满意度指标</w:t>
            </w:r>
          </w:p>
        </w:tc>
        <w:tc>
          <w:tcPr>
            <w:tcW w:w="0" w:type="auto"/>
            <w:vAlign w:val="center"/>
          </w:tcPr>
          <w:p w14:paraId="0173E366">
            <w:pPr>
              <w:pStyle w:val="13"/>
            </w:pPr>
            <w:r>
              <w:t>服务对象满意度指标</w:t>
            </w:r>
          </w:p>
        </w:tc>
        <w:tc>
          <w:tcPr>
            <w:tcW w:w="0" w:type="auto"/>
            <w:vAlign w:val="center"/>
          </w:tcPr>
          <w:p w14:paraId="28F3D868">
            <w:pPr>
              <w:pStyle w:val="13"/>
            </w:pPr>
            <w:r>
              <w:t>服务对象满意度</w:t>
            </w:r>
          </w:p>
        </w:tc>
        <w:tc>
          <w:tcPr>
            <w:tcW w:w="0" w:type="auto"/>
            <w:vAlign w:val="center"/>
          </w:tcPr>
          <w:p w14:paraId="2A9F3BDF">
            <w:pPr>
              <w:pStyle w:val="13"/>
            </w:pPr>
            <w:r>
              <w:t>学校老师和学生满意度</w:t>
            </w:r>
          </w:p>
        </w:tc>
        <w:tc>
          <w:tcPr>
            <w:tcW w:w="0" w:type="auto"/>
            <w:vAlign w:val="center"/>
          </w:tcPr>
          <w:p w14:paraId="1CAAFD1A">
            <w:pPr>
              <w:pStyle w:val="13"/>
            </w:pPr>
            <w:r>
              <w:t>≥95%</w:t>
            </w:r>
          </w:p>
        </w:tc>
        <w:tc>
          <w:tcPr>
            <w:tcW w:w="0" w:type="auto"/>
            <w:vAlign w:val="center"/>
          </w:tcPr>
          <w:p w14:paraId="299D58AE">
            <w:pPr>
              <w:pStyle w:val="13"/>
            </w:pPr>
            <w:r>
              <w:t>城乡义务教育公用经费管理办法</w:t>
            </w:r>
          </w:p>
        </w:tc>
      </w:tr>
    </w:tbl>
    <w:p w14:paraId="6DA318DA">
      <w:pPr>
        <w:sectPr>
          <w:pgSz w:w="16840" w:h="11900" w:orient="landscape"/>
          <w:pgMar w:top="1361" w:right="1020" w:bottom="1134" w:left="1020" w:header="720" w:footer="720" w:gutter="0"/>
          <w:cols w:space="720" w:num="1"/>
        </w:sectPr>
      </w:pPr>
    </w:p>
    <w:p w14:paraId="5D88F83D">
      <w:pPr>
        <w:spacing w:before="0" w:after="0"/>
        <w:ind w:firstLine="560"/>
        <w:jc w:val="left"/>
        <w:outlineLvl w:val="9"/>
      </w:pPr>
      <w:r>
        <w:rPr>
          <w:rFonts w:ascii="方正仿宋_GBK" w:hAnsi="方正仿宋_GBK" w:eastAsia="方正仿宋_GBK" w:cs="方正仿宋_GBK"/>
          <w:b/>
          <w:color w:val="000000"/>
          <w:sz w:val="28"/>
        </w:rPr>
        <w:t>6、冀财教[2023]163号/省级/2024年义教补助资金/华开学校公用经费绩效目标表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60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FDA6E">
            <w:pPr>
              <w:pStyle w:val="14"/>
            </w:pPr>
            <w:r>
              <w:t>单位：万元</w:t>
            </w:r>
          </w:p>
        </w:tc>
      </w:tr>
      <w:tr w14:paraId="007B7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F22F23">
            <w:pPr>
              <w:pStyle w:val="11"/>
            </w:pPr>
            <w:r>
              <w:t>项目编码</w:t>
            </w:r>
          </w:p>
        </w:tc>
        <w:tc>
          <w:tcPr>
            <w:tcW w:w="5103" w:type="dxa"/>
            <w:gridSpan w:val="2"/>
            <w:vAlign w:val="center"/>
          </w:tcPr>
          <w:p w14:paraId="6DCA8318">
            <w:pPr>
              <w:pStyle w:val="13"/>
            </w:pPr>
            <w:r>
              <w:t>13052524P00000610647D</w:t>
            </w:r>
          </w:p>
        </w:tc>
        <w:tc>
          <w:tcPr>
            <w:tcW w:w="2835" w:type="dxa"/>
            <w:vAlign w:val="center"/>
          </w:tcPr>
          <w:p w14:paraId="7684422F">
            <w:pPr>
              <w:pStyle w:val="11"/>
            </w:pPr>
            <w:r>
              <w:t>项目名称</w:t>
            </w:r>
          </w:p>
        </w:tc>
        <w:tc>
          <w:tcPr>
            <w:tcW w:w="6095" w:type="dxa"/>
            <w:gridSpan w:val="3"/>
            <w:vAlign w:val="center"/>
          </w:tcPr>
          <w:p w14:paraId="45A9D9BD">
            <w:pPr>
              <w:pStyle w:val="13"/>
            </w:pPr>
            <w:r>
              <w:t>冀财教[2023]163号/省级/2024年义教补助资金/华开学校公用经费</w:t>
            </w:r>
            <w:r>
              <w:tab/>
            </w:r>
            <w:r>
              <w:tab/>
            </w:r>
            <w:r>
              <w:tab/>
            </w:r>
          </w:p>
        </w:tc>
      </w:tr>
      <w:tr w14:paraId="18865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5D757">
            <w:pPr>
              <w:pStyle w:val="11"/>
            </w:pPr>
            <w:r>
              <w:t>预算规模及资金用途</w:t>
            </w:r>
          </w:p>
        </w:tc>
        <w:tc>
          <w:tcPr>
            <w:tcW w:w="2268" w:type="dxa"/>
            <w:vAlign w:val="center"/>
          </w:tcPr>
          <w:p w14:paraId="3354C59E">
            <w:pPr>
              <w:pStyle w:val="11"/>
            </w:pPr>
            <w:r>
              <w:t>预算数</w:t>
            </w:r>
          </w:p>
        </w:tc>
        <w:tc>
          <w:tcPr>
            <w:tcW w:w="2835" w:type="dxa"/>
            <w:vAlign w:val="center"/>
          </w:tcPr>
          <w:p w14:paraId="58F706C6">
            <w:pPr>
              <w:pStyle w:val="13"/>
            </w:pPr>
            <w:r>
              <w:t>15.91</w:t>
            </w:r>
          </w:p>
        </w:tc>
        <w:tc>
          <w:tcPr>
            <w:tcW w:w="2835" w:type="dxa"/>
            <w:vAlign w:val="center"/>
          </w:tcPr>
          <w:p w14:paraId="433FC1E5">
            <w:pPr>
              <w:pStyle w:val="11"/>
            </w:pPr>
            <w:r>
              <w:t>其中：财政    资金</w:t>
            </w:r>
          </w:p>
        </w:tc>
        <w:tc>
          <w:tcPr>
            <w:tcW w:w="2551" w:type="dxa"/>
            <w:vAlign w:val="center"/>
          </w:tcPr>
          <w:p w14:paraId="7C0B1135">
            <w:pPr>
              <w:pStyle w:val="13"/>
            </w:pPr>
            <w:r>
              <w:t>15.91</w:t>
            </w:r>
          </w:p>
        </w:tc>
        <w:tc>
          <w:tcPr>
            <w:tcW w:w="2268" w:type="dxa"/>
            <w:vAlign w:val="center"/>
          </w:tcPr>
          <w:p w14:paraId="7E4B4A12">
            <w:pPr>
              <w:pStyle w:val="11"/>
            </w:pPr>
            <w:r>
              <w:t>其他资金</w:t>
            </w:r>
          </w:p>
        </w:tc>
        <w:tc>
          <w:tcPr>
            <w:tcW w:w="1276" w:type="dxa"/>
            <w:vAlign w:val="center"/>
          </w:tcPr>
          <w:p w14:paraId="3AFDA53D">
            <w:pPr>
              <w:pStyle w:val="13"/>
            </w:pPr>
            <w:r>
              <w:t xml:space="preserve"> </w:t>
            </w:r>
          </w:p>
        </w:tc>
      </w:tr>
      <w:tr w14:paraId="2CA7F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2A1A3A"/>
        </w:tc>
        <w:tc>
          <w:tcPr>
            <w:tcW w:w="14033" w:type="dxa"/>
            <w:gridSpan w:val="6"/>
            <w:vAlign w:val="center"/>
          </w:tcPr>
          <w:p w14:paraId="5063A0AE">
            <w:pPr>
              <w:pStyle w:val="13"/>
            </w:pPr>
            <w:r>
              <w:t xml:space="preserve">保障义务教育学校正常运转，完成教育教学活动和其他日常工作任务等方面的费用支出。     </w:t>
            </w:r>
          </w:p>
        </w:tc>
      </w:tr>
      <w:tr w14:paraId="318B2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B38DF">
            <w:pPr>
              <w:pStyle w:val="11"/>
            </w:pPr>
            <w:r>
              <w:t>资金支出计划（%）</w:t>
            </w:r>
          </w:p>
        </w:tc>
        <w:tc>
          <w:tcPr>
            <w:tcW w:w="5103" w:type="dxa"/>
            <w:gridSpan w:val="2"/>
            <w:vAlign w:val="center"/>
          </w:tcPr>
          <w:p w14:paraId="5DB6874B">
            <w:pPr>
              <w:pStyle w:val="11"/>
            </w:pPr>
            <w:r>
              <w:t>3月底</w:t>
            </w:r>
          </w:p>
        </w:tc>
        <w:tc>
          <w:tcPr>
            <w:tcW w:w="2835" w:type="dxa"/>
            <w:vAlign w:val="center"/>
          </w:tcPr>
          <w:p w14:paraId="671C2A91">
            <w:pPr>
              <w:pStyle w:val="11"/>
            </w:pPr>
            <w:r>
              <w:t>6月底</w:t>
            </w:r>
          </w:p>
        </w:tc>
        <w:tc>
          <w:tcPr>
            <w:tcW w:w="2551" w:type="dxa"/>
            <w:vAlign w:val="center"/>
          </w:tcPr>
          <w:p w14:paraId="04AF2E50">
            <w:pPr>
              <w:pStyle w:val="11"/>
            </w:pPr>
            <w:r>
              <w:t>10月底</w:t>
            </w:r>
          </w:p>
        </w:tc>
        <w:tc>
          <w:tcPr>
            <w:tcW w:w="3544" w:type="dxa"/>
            <w:gridSpan w:val="2"/>
            <w:vAlign w:val="center"/>
          </w:tcPr>
          <w:p w14:paraId="43FAE165">
            <w:pPr>
              <w:pStyle w:val="11"/>
            </w:pPr>
            <w:r>
              <w:t>12月底</w:t>
            </w:r>
          </w:p>
        </w:tc>
      </w:tr>
      <w:tr w14:paraId="47F6C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F8699"/>
        </w:tc>
        <w:tc>
          <w:tcPr>
            <w:tcW w:w="5103" w:type="dxa"/>
            <w:gridSpan w:val="2"/>
            <w:vAlign w:val="center"/>
          </w:tcPr>
          <w:p w14:paraId="7D4FD48B">
            <w:pPr>
              <w:pStyle w:val="12"/>
            </w:pPr>
            <w:r>
              <w:t xml:space="preserve"> </w:t>
            </w:r>
          </w:p>
        </w:tc>
        <w:tc>
          <w:tcPr>
            <w:tcW w:w="2835" w:type="dxa"/>
            <w:vAlign w:val="center"/>
          </w:tcPr>
          <w:p w14:paraId="58503719">
            <w:pPr>
              <w:pStyle w:val="12"/>
            </w:pPr>
            <w:r>
              <w:t>100%</w:t>
            </w:r>
          </w:p>
        </w:tc>
        <w:tc>
          <w:tcPr>
            <w:tcW w:w="2551" w:type="dxa"/>
            <w:vAlign w:val="center"/>
          </w:tcPr>
          <w:p w14:paraId="2BC3764B">
            <w:pPr>
              <w:pStyle w:val="12"/>
            </w:pPr>
            <w:r>
              <w:t>100%</w:t>
            </w:r>
          </w:p>
        </w:tc>
        <w:tc>
          <w:tcPr>
            <w:tcW w:w="3544" w:type="dxa"/>
            <w:gridSpan w:val="2"/>
            <w:vAlign w:val="center"/>
          </w:tcPr>
          <w:p w14:paraId="7701E5E3">
            <w:pPr>
              <w:pStyle w:val="12"/>
            </w:pPr>
            <w:r>
              <w:t>100%</w:t>
            </w:r>
          </w:p>
        </w:tc>
      </w:tr>
      <w:tr w14:paraId="032DB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281AA4">
            <w:pPr>
              <w:pStyle w:val="11"/>
            </w:pPr>
            <w:r>
              <w:t>绩效目标</w:t>
            </w:r>
          </w:p>
        </w:tc>
        <w:tc>
          <w:tcPr>
            <w:tcW w:w="14033" w:type="dxa"/>
            <w:gridSpan w:val="6"/>
            <w:vAlign w:val="center"/>
          </w:tcPr>
          <w:p w14:paraId="07353D55">
            <w:pPr>
              <w:pStyle w:val="13"/>
            </w:pPr>
            <w:r>
              <w:t xml:space="preserve">1.保障义务教育学校正常运转，完成教育教学活动和其他日常工作任务等方面的费用支出。     </w:t>
            </w:r>
          </w:p>
        </w:tc>
      </w:tr>
    </w:tbl>
    <w:p w14:paraId="1F6E3D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58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A04A2">
            <w:pPr>
              <w:pStyle w:val="11"/>
            </w:pPr>
            <w:r>
              <w:t>一级指标</w:t>
            </w:r>
          </w:p>
        </w:tc>
        <w:tc>
          <w:tcPr>
            <w:tcW w:w="2268" w:type="dxa"/>
            <w:vAlign w:val="center"/>
          </w:tcPr>
          <w:p w14:paraId="1B152803">
            <w:pPr>
              <w:pStyle w:val="11"/>
            </w:pPr>
            <w:r>
              <w:t>二级指标</w:t>
            </w:r>
          </w:p>
        </w:tc>
        <w:tc>
          <w:tcPr>
            <w:tcW w:w="2835" w:type="dxa"/>
            <w:vAlign w:val="center"/>
          </w:tcPr>
          <w:p w14:paraId="1289850D">
            <w:pPr>
              <w:pStyle w:val="11"/>
            </w:pPr>
            <w:r>
              <w:t>三级指标</w:t>
            </w:r>
          </w:p>
        </w:tc>
        <w:tc>
          <w:tcPr>
            <w:tcW w:w="5386" w:type="dxa"/>
            <w:vAlign w:val="center"/>
          </w:tcPr>
          <w:p w14:paraId="0607543B">
            <w:pPr>
              <w:pStyle w:val="11"/>
            </w:pPr>
            <w:r>
              <w:t>绩效指标描述</w:t>
            </w:r>
          </w:p>
        </w:tc>
        <w:tc>
          <w:tcPr>
            <w:tcW w:w="2268" w:type="dxa"/>
            <w:vAlign w:val="center"/>
          </w:tcPr>
          <w:p w14:paraId="378D4B9D">
            <w:pPr>
              <w:pStyle w:val="11"/>
            </w:pPr>
            <w:r>
              <w:t>指标值</w:t>
            </w:r>
          </w:p>
        </w:tc>
        <w:tc>
          <w:tcPr>
            <w:tcW w:w="1276" w:type="dxa"/>
            <w:vAlign w:val="center"/>
          </w:tcPr>
          <w:p w14:paraId="70143AB2">
            <w:pPr>
              <w:pStyle w:val="11"/>
            </w:pPr>
            <w:r>
              <w:t>指标值确定依据</w:t>
            </w:r>
          </w:p>
        </w:tc>
      </w:tr>
      <w:tr w14:paraId="711CB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FEBAC">
            <w:pPr>
              <w:pStyle w:val="12"/>
            </w:pPr>
            <w:r>
              <w:t>产出指标</w:t>
            </w:r>
          </w:p>
        </w:tc>
        <w:tc>
          <w:tcPr>
            <w:tcW w:w="2268" w:type="dxa"/>
            <w:vAlign w:val="center"/>
          </w:tcPr>
          <w:p w14:paraId="559E3656">
            <w:pPr>
              <w:pStyle w:val="13"/>
            </w:pPr>
            <w:r>
              <w:t>数量指标</w:t>
            </w:r>
          </w:p>
        </w:tc>
        <w:tc>
          <w:tcPr>
            <w:tcW w:w="2835" w:type="dxa"/>
            <w:vAlign w:val="center"/>
          </w:tcPr>
          <w:p w14:paraId="145CEF30">
            <w:pPr>
              <w:pStyle w:val="13"/>
            </w:pPr>
            <w:r>
              <w:t>适龄在校生</w:t>
            </w:r>
          </w:p>
        </w:tc>
        <w:tc>
          <w:tcPr>
            <w:tcW w:w="5386" w:type="dxa"/>
            <w:vAlign w:val="center"/>
          </w:tcPr>
          <w:p w14:paraId="1AECF98D">
            <w:pPr>
              <w:pStyle w:val="13"/>
            </w:pPr>
            <w:r>
              <w:t>适龄在校就读学生人数</w:t>
            </w:r>
          </w:p>
        </w:tc>
        <w:tc>
          <w:tcPr>
            <w:tcW w:w="2268" w:type="dxa"/>
            <w:vAlign w:val="center"/>
          </w:tcPr>
          <w:p w14:paraId="31783101">
            <w:pPr>
              <w:pStyle w:val="13"/>
            </w:pPr>
            <w:r>
              <w:t>403人</w:t>
            </w:r>
          </w:p>
        </w:tc>
        <w:tc>
          <w:tcPr>
            <w:tcW w:w="1276" w:type="dxa"/>
            <w:vAlign w:val="center"/>
          </w:tcPr>
          <w:p w14:paraId="2005FBF0">
            <w:pPr>
              <w:pStyle w:val="13"/>
            </w:pPr>
            <w:r>
              <w:t>城乡义务教育公用经费管理办法</w:t>
            </w:r>
          </w:p>
        </w:tc>
      </w:tr>
      <w:tr w14:paraId="2FEC3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07125"/>
        </w:tc>
        <w:tc>
          <w:tcPr>
            <w:tcW w:w="2268" w:type="dxa"/>
            <w:vAlign w:val="center"/>
          </w:tcPr>
          <w:p w14:paraId="040316A3">
            <w:pPr>
              <w:pStyle w:val="13"/>
            </w:pPr>
            <w:r>
              <w:t>质量指标</w:t>
            </w:r>
          </w:p>
        </w:tc>
        <w:tc>
          <w:tcPr>
            <w:tcW w:w="2835" w:type="dxa"/>
            <w:vAlign w:val="center"/>
          </w:tcPr>
          <w:p w14:paraId="7318F58A">
            <w:pPr>
              <w:pStyle w:val="13"/>
            </w:pPr>
            <w:r>
              <w:t>预算控制率</w:t>
            </w:r>
          </w:p>
        </w:tc>
        <w:tc>
          <w:tcPr>
            <w:tcW w:w="5386" w:type="dxa"/>
            <w:vAlign w:val="center"/>
          </w:tcPr>
          <w:p w14:paraId="246D22A0">
            <w:pPr>
              <w:pStyle w:val="13"/>
            </w:pPr>
            <w:r>
              <w:t>预算执行</w:t>
            </w:r>
          </w:p>
        </w:tc>
        <w:tc>
          <w:tcPr>
            <w:tcW w:w="2268" w:type="dxa"/>
            <w:vAlign w:val="center"/>
          </w:tcPr>
          <w:p w14:paraId="6AB26CBE">
            <w:pPr>
              <w:pStyle w:val="13"/>
            </w:pPr>
            <w:r>
              <w:t>≥95%</w:t>
            </w:r>
          </w:p>
        </w:tc>
        <w:tc>
          <w:tcPr>
            <w:tcW w:w="1276" w:type="dxa"/>
            <w:vAlign w:val="center"/>
          </w:tcPr>
          <w:p w14:paraId="2BDDA77D">
            <w:pPr>
              <w:pStyle w:val="13"/>
            </w:pPr>
            <w:r>
              <w:t>城乡义务教育公用经费管理办法</w:t>
            </w:r>
          </w:p>
        </w:tc>
      </w:tr>
      <w:tr w14:paraId="68057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5ED5C"/>
        </w:tc>
        <w:tc>
          <w:tcPr>
            <w:tcW w:w="2268" w:type="dxa"/>
            <w:vAlign w:val="center"/>
          </w:tcPr>
          <w:p w14:paraId="3A09ADA8">
            <w:pPr>
              <w:pStyle w:val="13"/>
            </w:pPr>
            <w:r>
              <w:t>时效指标</w:t>
            </w:r>
          </w:p>
        </w:tc>
        <w:tc>
          <w:tcPr>
            <w:tcW w:w="2835" w:type="dxa"/>
            <w:vAlign w:val="center"/>
          </w:tcPr>
          <w:p w14:paraId="626C5A72">
            <w:pPr>
              <w:pStyle w:val="13"/>
            </w:pPr>
            <w:r>
              <w:t>资金支付率</w:t>
            </w:r>
          </w:p>
        </w:tc>
        <w:tc>
          <w:tcPr>
            <w:tcW w:w="5386" w:type="dxa"/>
            <w:vAlign w:val="center"/>
          </w:tcPr>
          <w:p w14:paraId="0C02DDE0">
            <w:pPr>
              <w:pStyle w:val="13"/>
            </w:pPr>
            <w:r>
              <w:t>按照序时进度完成资金支付</w:t>
            </w:r>
          </w:p>
        </w:tc>
        <w:tc>
          <w:tcPr>
            <w:tcW w:w="2268" w:type="dxa"/>
            <w:vAlign w:val="center"/>
          </w:tcPr>
          <w:p w14:paraId="73AD9B42">
            <w:pPr>
              <w:pStyle w:val="13"/>
            </w:pPr>
            <w:r>
              <w:t>≥100%</w:t>
            </w:r>
          </w:p>
        </w:tc>
        <w:tc>
          <w:tcPr>
            <w:tcW w:w="1276" w:type="dxa"/>
            <w:vAlign w:val="center"/>
          </w:tcPr>
          <w:p w14:paraId="6300CC7C">
            <w:pPr>
              <w:pStyle w:val="13"/>
            </w:pPr>
            <w:r>
              <w:t>城乡义务教育公用经费管理办法</w:t>
            </w:r>
          </w:p>
        </w:tc>
      </w:tr>
      <w:tr w14:paraId="4523A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0912DC97"/>
        </w:tc>
        <w:tc>
          <w:tcPr>
            <w:tcW w:w="2268" w:type="dxa"/>
            <w:vAlign w:val="center"/>
          </w:tcPr>
          <w:p w14:paraId="394F5F85">
            <w:pPr>
              <w:pStyle w:val="13"/>
            </w:pPr>
            <w:r>
              <w:t>成本指标</w:t>
            </w:r>
          </w:p>
        </w:tc>
        <w:tc>
          <w:tcPr>
            <w:tcW w:w="2835" w:type="dxa"/>
            <w:vAlign w:val="center"/>
          </w:tcPr>
          <w:p w14:paraId="55579575">
            <w:pPr>
              <w:pStyle w:val="13"/>
            </w:pPr>
            <w:r>
              <w:t>生均拨款标准</w:t>
            </w:r>
          </w:p>
        </w:tc>
        <w:tc>
          <w:tcPr>
            <w:tcW w:w="5386" w:type="dxa"/>
            <w:vAlign w:val="center"/>
          </w:tcPr>
          <w:p w14:paraId="1D34330A">
            <w:pPr>
              <w:pStyle w:val="13"/>
            </w:pPr>
            <w:r>
              <w:t>小学：（基本标准720元、寄宿生300元、取暖120元）/生/学年；随班就读学生：标准6000元/生/学年。</w:t>
            </w:r>
          </w:p>
        </w:tc>
        <w:tc>
          <w:tcPr>
            <w:tcW w:w="2268" w:type="dxa"/>
            <w:vAlign w:val="center"/>
          </w:tcPr>
          <w:p w14:paraId="28DCBFB4">
            <w:pPr>
              <w:pStyle w:val="13"/>
            </w:pPr>
            <w:r>
              <w:t>840元</w:t>
            </w:r>
          </w:p>
        </w:tc>
        <w:tc>
          <w:tcPr>
            <w:tcW w:w="1276" w:type="dxa"/>
            <w:vAlign w:val="center"/>
          </w:tcPr>
          <w:p w14:paraId="263CEC78">
            <w:pPr>
              <w:pStyle w:val="13"/>
            </w:pPr>
            <w:r>
              <w:t>城乡义务教育公用经费管理办法</w:t>
            </w:r>
          </w:p>
        </w:tc>
      </w:tr>
      <w:tr w14:paraId="2056C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4EB92F51">
            <w:pPr>
              <w:pStyle w:val="12"/>
            </w:pPr>
            <w:r>
              <w:t>效益指标</w:t>
            </w:r>
          </w:p>
        </w:tc>
        <w:tc>
          <w:tcPr>
            <w:tcW w:w="2268" w:type="dxa"/>
            <w:vAlign w:val="center"/>
          </w:tcPr>
          <w:p w14:paraId="4D97DCA1">
            <w:pPr>
              <w:pStyle w:val="13"/>
            </w:pPr>
            <w:r>
              <w:t>可持续影响指标</w:t>
            </w:r>
          </w:p>
        </w:tc>
        <w:tc>
          <w:tcPr>
            <w:tcW w:w="2835" w:type="dxa"/>
            <w:vAlign w:val="center"/>
          </w:tcPr>
          <w:p w14:paraId="02345ABC">
            <w:pPr>
              <w:pStyle w:val="13"/>
            </w:pPr>
            <w:r>
              <w:t>教育发展水平明显好转</w:t>
            </w:r>
          </w:p>
        </w:tc>
        <w:tc>
          <w:tcPr>
            <w:tcW w:w="5386" w:type="dxa"/>
            <w:vAlign w:val="center"/>
          </w:tcPr>
          <w:p w14:paraId="278D342A">
            <w:pPr>
              <w:pStyle w:val="13"/>
            </w:pPr>
            <w:r>
              <w:t>学生受教育年限</w:t>
            </w:r>
          </w:p>
        </w:tc>
        <w:tc>
          <w:tcPr>
            <w:tcW w:w="2268" w:type="dxa"/>
            <w:vAlign w:val="center"/>
          </w:tcPr>
          <w:p w14:paraId="3DCFDDBA">
            <w:pPr>
              <w:pStyle w:val="13"/>
            </w:pPr>
            <w:r>
              <w:t>6年</w:t>
            </w:r>
          </w:p>
        </w:tc>
        <w:tc>
          <w:tcPr>
            <w:tcW w:w="1276" w:type="dxa"/>
            <w:vAlign w:val="center"/>
          </w:tcPr>
          <w:p w14:paraId="0B9C6970">
            <w:pPr>
              <w:pStyle w:val="13"/>
            </w:pPr>
            <w:r>
              <w:t>城乡义务教育公用经费管理办法</w:t>
            </w:r>
          </w:p>
        </w:tc>
      </w:tr>
      <w:tr w14:paraId="098FF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0B7055">
            <w:pPr>
              <w:pStyle w:val="12"/>
            </w:pPr>
            <w:r>
              <w:t>满意度指标</w:t>
            </w:r>
          </w:p>
        </w:tc>
        <w:tc>
          <w:tcPr>
            <w:tcW w:w="2268" w:type="dxa"/>
            <w:vAlign w:val="center"/>
          </w:tcPr>
          <w:p w14:paraId="6916E6F5">
            <w:pPr>
              <w:pStyle w:val="13"/>
            </w:pPr>
            <w:r>
              <w:t>服务对象满意度指标</w:t>
            </w:r>
          </w:p>
        </w:tc>
        <w:tc>
          <w:tcPr>
            <w:tcW w:w="2835" w:type="dxa"/>
            <w:vAlign w:val="center"/>
          </w:tcPr>
          <w:p w14:paraId="32B1F4D7">
            <w:pPr>
              <w:pStyle w:val="13"/>
            </w:pPr>
            <w:r>
              <w:t>受益学生家长及调查满意度</w:t>
            </w:r>
          </w:p>
        </w:tc>
        <w:tc>
          <w:tcPr>
            <w:tcW w:w="5386" w:type="dxa"/>
            <w:vAlign w:val="center"/>
          </w:tcPr>
          <w:p w14:paraId="6536E3B5">
            <w:pPr>
              <w:pStyle w:val="13"/>
            </w:pPr>
            <w:r>
              <w:t>学生、教师及家长对学校教育教学工作满意度情况</w:t>
            </w:r>
          </w:p>
        </w:tc>
        <w:tc>
          <w:tcPr>
            <w:tcW w:w="2268" w:type="dxa"/>
            <w:vAlign w:val="center"/>
          </w:tcPr>
          <w:p w14:paraId="0626FCE8">
            <w:pPr>
              <w:pStyle w:val="13"/>
            </w:pPr>
            <w:r>
              <w:t>≥95%</w:t>
            </w:r>
          </w:p>
        </w:tc>
        <w:tc>
          <w:tcPr>
            <w:tcW w:w="1276" w:type="dxa"/>
            <w:vAlign w:val="center"/>
          </w:tcPr>
          <w:p w14:paraId="116D17F8">
            <w:pPr>
              <w:pStyle w:val="13"/>
            </w:pPr>
            <w:r>
              <w:t>调查问卷</w:t>
            </w:r>
          </w:p>
        </w:tc>
      </w:tr>
    </w:tbl>
    <w:p w14:paraId="38B27234">
      <w:pPr>
        <w:sectPr>
          <w:pgSz w:w="16840" w:h="11900" w:orient="landscape"/>
          <w:pgMar w:top="1361" w:right="1020" w:bottom="1134" w:left="1020" w:header="720" w:footer="720" w:gutter="0"/>
          <w:cols w:space="720" w:num="1"/>
        </w:sectPr>
      </w:pPr>
    </w:p>
    <w:p w14:paraId="6F4AF491">
      <w:pPr>
        <w:spacing w:before="0" w:after="0"/>
        <w:ind w:firstLine="560"/>
        <w:jc w:val="left"/>
        <w:outlineLvl w:val="9"/>
      </w:pPr>
      <w:r>
        <w:rPr>
          <w:rFonts w:ascii="方正仿宋_GBK" w:hAnsi="方正仿宋_GBK" w:eastAsia="方正仿宋_GBK" w:cs="方正仿宋_GBK"/>
          <w:b/>
          <w:color w:val="000000"/>
          <w:sz w:val="28"/>
        </w:rPr>
        <w:t>7、冀财教[2023]163号/省级/2024年义教补助资金/华星学校公用经费绩效目标表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7E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92B386">
            <w:pPr>
              <w:pStyle w:val="14"/>
            </w:pPr>
            <w:r>
              <w:t>单位：万元</w:t>
            </w:r>
          </w:p>
        </w:tc>
      </w:tr>
      <w:tr w14:paraId="2A084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F409D">
            <w:pPr>
              <w:pStyle w:val="11"/>
            </w:pPr>
            <w:r>
              <w:t>项目编码</w:t>
            </w:r>
          </w:p>
        </w:tc>
        <w:tc>
          <w:tcPr>
            <w:tcW w:w="5103" w:type="dxa"/>
            <w:gridSpan w:val="2"/>
            <w:vAlign w:val="center"/>
          </w:tcPr>
          <w:p w14:paraId="6EA3CF6D">
            <w:pPr>
              <w:pStyle w:val="13"/>
            </w:pPr>
            <w:r>
              <w:t>13052524P00000611194J</w:t>
            </w:r>
          </w:p>
        </w:tc>
        <w:tc>
          <w:tcPr>
            <w:tcW w:w="2835" w:type="dxa"/>
            <w:vAlign w:val="center"/>
          </w:tcPr>
          <w:p w14:paraId="67DA6508">
            <w:pPr>
              <w:pStyle w:val="11"/>
            </w:pPr>
            <w:r>
              <w:t>项目名称</w:t>
            </w:r>
          </w:p>
        </w:tc>
        <w:tc>
          <w:tcPr>
            <w:tcW w:w="6095" w:type="dxa"/>
            <w:gridSpan w:val="3"/>
            <w:vAlign w:val="center"/>
          </w:tcPr>
          <w:p w14:paraId="1080D220">
            <w:pPr>
              <w:pStyle w:val="13"/>
            </w:pPr>
            <w:r>
              <w:t>冀财教[2023]163号/省级/2024年义教补助资金/华星学校公用经费</w:t>
            </w:r>
          </w:p>
        </w:tc>
      </w:tr>
      <w:tr w14:paraId="268CD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EB2D6">
            <w:pPr>
              <w:pStyle w:val="11"/>
            </w:pPr>
            <w:r>
              <w:t>预算规模及资金用途</w:t>
            </w:r>
          </w:p>
        </w:tc>
        <w:tc>
          <w:tcPr>
            <w:tcW w:w="2268" w:type="dxa"/>
            <w:vAlign w:val="center"/>
          </w:tcPr>
          <w:p w14:paraId="2DAB3755">
            <w:pPr>
              <w:pStyle w:val="11"/>
            </w:pPr>
            <w:r>
              <w:t>预算数</w:t>
            </w:r>
          </w:p>
        </w:tc>
        <w:tc>
          <w:tcPr>
            <w:tcW w:w="2835" w:type="dxa"/>
            <w:vAlign w:val="center"/>
          </w:tcPr>
          <w:p w14:paraId="541498BE">
            <w:pPr>
              <w:pStyle w:val="13"/>
            </w:pPr>
            <w:r>
              <w:t>7.54</w:t>
            </w:r>
          </w:p>
        </w:tc>
        <w:tc>
          <w:tcPr>
            <w:tcW w:w="2835" w:type="dxa"/>
            <w:vAlign w:val="center"/>
          </w:tcPr>
          <w:p w14:paraId="1D14B5B0">
            <w:pPr>
              <w:pStyle w:val="11"/>
            </w:pPr>
            <w:r>
              <w:t>其中：财政    资金</w:t>
            </w:r>
          </w:p>
        </w:tc>
        <w:tc>
          <w:tcPr>
            <w:tcW w:w="2551" w:type="dxa"/>
            <w:vAlign w:val="center"/>
          </w:tcPr>
          <w:p w14:paraId="483563D9">
            <w:pPr>
              <w:pStyle w:val="13"/>
            </w:pPr>
            <w:r>
              <w:t>7.54</w:t>
            </w:r>
          </w:p>
        </w:tc>
        <w:tc>
          <w:tcPr>
            <w:tcW w:w="2268" w:type="dxa"/>
            <w:vAlign w:val="center"/>
          </w:tcPr>
          <w:p w14:paraId="19C69508">
            <w:pPr>
              <w:pStyle w:val="11"/>
            </w:pPr>
            <w:r>
              <w:t>其他资金</w:t>
            </w:r>
          </w:p>
        </w:tc>
        <w:tc>
          <w:tcPr>
            <w:tcW w:w="1276" w:type="dxa"/>
            <w:vAlign w:val="center"/>
          </w:tcPr>
          <w:p w14:paraId="3EB313C3">
            <w:pPr>
              <w:pStyle w:val="13"/>
            </w:pPr>
            <w:r>
              <w:t xml:space="preserve"> </w:t>
            </w:r>
          </w:p>
        </w:tc>
      </w:tr>
      <w:tr w14:paraId="25881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AB3359"/>
        </w:tc>
        <w:tc>
          <w:tcPr>
            <w:tcW w:w="14033" w:type="dxa"/>
            <w:gridSpan w:val="6"/>
            <w:vAlign w:val="center"/>
          </w:tcPr>
          <w:p w14:paraId="57A7DEFF">
            <w:pPr>
              <w:pStyle w:val="13"/>
            </w:pPr>
            <w:r>
              <w:t xml:space="preserve">保障义务教育学校正常运转，完成教育教学活动和其他日常工作任务等方面的费用支出。     </w:t>
            </w:r>
          </w:p>
        </w:tc>
      </w:tr>
      <w:tr w14:paraId="0954E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6BA5C">
            <w:pPr>
              <w:pStyle w:val="11"/>
            </w:pPr>
            <w:r>
              <w:t>资金支出计划（%）</w:t>
            </w:r>
          </w:p>
        </w:tc>
        <w:tc>
          <w:tcPr>
            <w:tcW w:w="5103" w:type="dxa"/>
            <w:gridSpan w:val="2"/>
            <w:vAlign w:val="center"/>
          </w:tcPr>
          <w:p w14:paraId="56B27BCA">
            <w:pPr>
              <w:pStyle w:val="11"/>
            </w:pPr>
            <w:r>
              <w:t>3月底</w:t>
            </w:r>
          </w:p>
        </w:tc>
        <w:tc>
          <w:tcPr>
            <w:tcW w:w="2835" w:type="dxa"/>
            <w:vAlign w:val="center"/>
          </w:tcPr>
          <w:p w14:paraId="7E4D0841">
            <w:pPr>
              <w:pStyle w:val="11"/>
            </w:pPr>
            <w:r>
              <w:t>6月底</w:t>
            </w:r>
          </w:p>
        </w:tc>
        <w:tc>
          <w:tcPr>
            <w:tcW w:w="2551" w:type="dxa"/>
            <w:vAlign w:val="center"/>
          </w:tcPr>
          <w:p w14:paraId="18F379F3">
            <w:pPr>
              <w:pStyle w:val="11"/>
            </w:pPr>
            <w:r>
              <w:t>10月底</w:t>
            </w:r>
          </w:p>
        </w:tc>
        <w:tc>
          <w:tcPr>
            <w:tcW w:w="3544" w:type="dxa"/>
            <w:gridSpan w:val="2"/>
            <w:vAlign w:val="center"/>
          </w:tcPr>
          <w:p w14:paraId="439B893D">
            <w:pPr>
              <w:pStyle w:val="11"/>
            </w:pPr>
            <w:r>
              <w:t>12月底</w:t>
            </w:r>
          </w:p>
        </w:tc>
      </w:tr>
      <w:tr w14:paraId="6E46D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FBCFB1"/>
        </w:tc>
        <w:tc>
          <w:tcPr>
            <w:tcW w:w="5103" w:type="dxa"/>
            <w:gridSpan w:val="2"/>
            <w:vAlign w:val="center"/>
          </w:tcPr>
          <w:p w14:paraId="104ACD7B">
            <w:pPr>
              <w:pStyle w:val="12"/>
            </w:pPr>
            <w:r>
              <w:t xml:space="preserve"> </w:t>
            </w:r>
          </w:p>
        </w:tc>
        <w:tc>
          <w:tcPr>
            <w:tcW w:w="2835" w:type="dxa"/>
            <w:vAlign w:val="center"/>
          </w:tcPr>
          <w:p w14:paraId="0F103A48">
            <w:pPr>
              <w:pStyle w:val="12"/>
            </w:pPr>
            <w:r>
              <w:t>100%</w:t>
            </w:r>
          </w:p>
        </w:tc>
        <w:tc>
          <w:tcPr>
            <w:tcW w:w="2551" w:type="dxa"/>
            <w:vAlign w:val="center"/>
          </w:tcPr>
          <w:p w14:paraId="37FBBC80">
            <w:pPr>
              <w:pStyle w:val="12"/>
            </w:pPr>
            <w:r>
              <w:t>100%</w:t>
            </w:r>
          </w:p>
        </w:tc>
        <w:tc>
          <w:tcPr>
            <w:tcW w:w="3544" w:type="dxa"/>
            <w:gridSpan w:val="2"/>
            <w:vAlign w:val="center"/>
          </w:tcPr>
          <w:p w14:paraId="0204AF3B">
            <w:pPr>
              <w:pStyle w:val="12"/>
            </w:pPr>
            <w:r>
              <w:t>100%</w:t>
            </w:r>
          </w:p>
        </w:tc>
      </w:tr>
      <w:tr w14:paraId="31D50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0409C0">
            <w:pPr>
              <w:pStyle w:val="11"/>
            </w:pPr>
            <w:r>
              <w:t>绩效目标</w:t>
            </w:r>
          </w:p>
        </w:tc>
        <w:tc>
          <w:tcPr>
            <w:tcW w:w="14033" w:type="dxa"/>
            <w:gridSpan w:val="6"/>
            <w:vAlign w:val="center"/>
          </w:tcPr>
          <w:p w14:paraId="10728A90">
            <w:pPr>
              <w:pStyle w:val="13"/>
            </w:pPr>
            <w:r>
              <w:t xml:space="preserve">1.保障义务教育学校正常运转，完成教育教学活动和其他日常工作任务等方面的费用支出。     </w:t>
            </w:r>
          </w:p>
        </w:tc>
      </w:tr>
    </w:tbl>
    <w:p w14:paraId="4C3238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7A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3FF8E">
            <w:pPr>
              <w:pStyle w:val="11"/>
            </w:pPr>
            <w:r>
              <w:t>一级指标</w:t>
            </w:r>
          </w:p>
        </w:tc>
        <w:tc>
          <w:tcPr>
            <w:tcW w:w="2268" w:type="dxa"/>
            <w:vAlign w:val="center"/>
          </w:tcPr>
          <w:p w14:paraId="17FC601D">
            <w:pPr>
              <w:pStyle w:val="11"/>
            </w:pPr>
            <w:r>
              <w:t>二级指标</w:t>
            </w:r>
          </w:p>
        </w:tc>
        <w:tc>
          <w:tcPr>
            <w:tcW w:w="2835" w:type="dxa"/>
            <w:vAlign w:val="center"/>
          </w:tcPr>
          <w:p w14:paraId="0088B7F6">
            <w:pPr>
              <w:pStyle w:val="11"/>
            </w:pPr>
            <w:r>
              <w:t>三级指标</w:t>
            </w:r>
          </w:p>
        </w:tc>
        <w:tc>
          <w:tcPr>
            <w:tcW w:w="5386" w:type="dxa"/>
            <w:vAlign w:val="center"/>
          </w:tcPr>
          <w:p w14:paraId="747DD4FF">
            <w:pPr>
              <w:pStyle w:val="11"/>
            </w:pPr>
            <w:r>
              <w:t>绩效指标描述</w:t>
            </w:r>
          </w:p>
        </w:tc>
        <w:tc>
          <w:tcPr>
            <w:tcW w:w="2268" w:type="dxa"/>
            <w:vAlign w:val="center"/>
          </w:tcPr>
          <w:p w14:paraId="10B6C5F2">
            <w:pPr>
              <w:pStyle w:val="11"/>
            </w:pPr>
            <w:r>
              <w:t>指标值</w:t>
            </w:r>
          </w:p>
        </w:tc>
        <w:tc>
          <w:tcPr>
            <w:tcW w:w="1276" w:type="dxa"/>
            <w:vAlign w:val="center"/>
          </w:tcPr>
          <w:p w14:paraId="4F0739CB">
            <w:pPr>
              <w:pStyle w:val="11"/>
            </w:pPr>
            <w:r>
              <w:t>指标值确定依据</w:t>
            </w:r>
          </w:p>
        </w:tc>
      </w:tr>
      <w:tr w14:paraId="10A28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CAA58">
            <w:pPr>
              <w:pStyle w:val="12"/>
            </w:pPr>
            <w:r>
              <w:t>产出指标</w:t>
            </w:r>
          </w:p>
        </w:tc>
        <w:tc>
          <w:tcPr>
            <w:tcW w:w="2268" w:type="dxa"/>
            <w:vAlign w:val="center"/>
          </w:tcPr>
          <w:p w14:paraId="21834B4B">
            <w:pPr>
              <w:pStyle w:val="13"/>
            </w:pPr>
            <w:r>
              <w:t>数量指标</w:t>
            </w:r>
          </w:p>
        </w:tc>
        <w:tc>
          <w:tcPr>
            <w:tcW w:w="2835" w:type="dxa"/>
            <w:vAlign w:val="center"/>
          </w:tcPr>
          <w:p w14:paraId="00DF3DC5">
            <w:pPr>
              <w:pStyle w:val="13"/>
            </w:pPr>
            <w:r>
              <w:t>适龄在校生</w:t>
            </w:r>
          </w:p>
        </w:tc>
        <w:tc>
          <w:tcPr>
            <w:tcW w:w="5386" w:type="dxa"/>
            <w:vAlign w:val="center"/>
          </w:tcPr>
          <w:p w14:paraId="331DE9C3">
            <w:pPr>
              <w:pStyle w:val="13"/>
            </w:pPr>
            <w:r>
              <w:t>适龄在校就读学生人数</w:t>
            </w:r>
          </w:p>
        </w:tc>
        <w:tc>
          <w:tcPr>
            <w:tcW w:w="2268" w:type="dxa"/>
            <w:vAlign w:val="center"/>
          </w:tcPr>
          <w:p w14:paraId="311A3C37">
            <w:pPr>
              <w:pStyle w:val="13"/>
            </w:pPr>
            <w:r>
              <w:t>189人</w:t>
            </w:r>
          </w:p>
        </w:tc>
        <w:tc>
          <w:tcPr>
            <w:tcW w:w="1276" w:type="dxa"/>
            <w:vAlign w:val="center"/>
          </w:tcPr>
          <w:p w14:paraId="61DC6D22">
            <w:pPr>
              <w:pStyle w:val="13"/>
            </w:pPr>
            <w:r>
              <w:t>城乡义务教育公用经费管理办法</w:t>
            </w:r>
          </w:p>
        </w:tc>
      </w:tr>
      <w:tr w14:paraId="61BC1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41580"/>
        </w:tc>
        <w:tc>
          <w:tcPr>
            <w:tcW w:w="2268" w:type="dxa"/>
            <w:vAlign w:val="center"/>
          </w:tcPr>
          <w:p w14:paraId="5D51CF9C">
            <w:pPr>
              <w:pStyle w:val="13"/>
            </w:pPr>
            <w:r>
              <w:t>质量指标</w:t>
            </w:r>
          </w:p>
        </w:tc>
        <w:tc>
          <w:tcPr>
            <w:tcW w:w="2835" w:type="dxa"/>
            <w:vAlign w:val="center"/>
          </w:tcPr>
          <w:p w14:paraId="2210DCBF">
            <w:pPr>
              <w:pStyle w:val="13"/>
            </w:pPr>
            <w:r>
              <w:t>预算控制率</w:t>
            </w:r>
          </w:p>
        </w:tc>
        <w:tc>
          <w:tcPr>
            <w:tcW w:w="5386" w:type="dxa"/>
            <w:vAlign w:val="center"/>
          </w:tcPr>
          <w:p w14:paraId="46B40237">
            <w:pPr>
              <w:pStyle w:val="13"/>
            </w:pPr>
            <w:r>
              <w:t>预算执行</w:t>
            </w:r>
          </w:p>
        </w:tc>
        <w:tc>
          <w:tcPr>
            <w:tcW w:w="2268" w:type="dxa"/>
            <w:vAlign w:val="center"/>
          </w:tcPr>
          <w:p w14:paraId="204B62FD">
            <w:pPr>
              <w:pStyle w:val="13"/>
            </w:pPr>
            <w:r>
              <w:t>≥95%</w:t>
            </w:r>
          </w:p>
        </w:tc>
        <w:tc>
          <w:tcPr>
            <w:tcW w:w="1276" w:type="dxa"/>
            <w:vAlign w:val="center"/>
          </w:tcPr>
          <w:p w14:paraId="67495084">
            <w:pPr>
              <w:pStyle w:val="13"/>
            </w:pPr>
            <w:r>
              <w:t>城乡义务教育公用经费管理办法</w:t>
            </w:r>
          </w:p>
        </w:tc>
      </w:tr>
      <w:tr w14:paraId="7FFCF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24360"/>
        </w:tc>
        <w:tc>
          <w:tcPr>
            <w:tcW w:w="2268" w:type="dxa"/>
            <w:vAlign w:val="center"/>
          </w:tcPr>
          <w:p w14:paraId="76351393">
            <w:pPr>
              <w:pStyle w:val="13"/>
            </w:pPr>
            <w:r>
              <w:t>时效指标</w:t>
            </w:r>
          </w:p>
        </w:tc>
        <w:tc>
          <w:tcPr>
            <w:tcW w:w="2835" w:type="dxa"/>
            <w:vAlign w:val="center"/>
          </w:tcPr>
          <w:p w14:paraId="16BD7F6E">
            <w:pPr>
              <w:pStyle w:val="13"/>
            </w:pPr>
            <w:r>
              <w:t>资金支付率</w:t>
            </w:r>
          </w:p>
        </w:tc>
        <w:tc>
          <w:tcPr>
            <w:tcW w:w="5386" w:type="dxa"/>
            <w:vAlign w:val="center"/>
          </w:tcPr>
          <w:p w14:paraId="4C84E039">
            <w:pPr>
              <w:pStyle w:val="13"/>
            </w:pPr>
            <w:r>
              <w:t>按照序时进度完成资金支付</w:t>
            </w:r>
          </w:p>
        </w:tc>
        <w:tc>
          <w:tcPr>
            <w:tcW w:w="2268" w:type="dxa"/>
            <w:vAlign w:val="center"/>
          </w:tcPr>
          <w:p w14:paraId="729610B8">
            <w:pPr>
              <w:pStyle w:val="13"/>
            </w:pPr>
            <w:r>
              <w:t>≥100%</w:t>
            </w:r>
          </w:p>
        </w:tc>
        <w:tc>
          <w:tcPr>
            <w:tcW w:w="1276" w:type="dxa"/>
            <w:vAlign w:val="center"/>
          </w:tcPr>
          <w:p w14:paraId="026B3A50">
            <w:pPr>
              <w:pStyle w:val="13"/>
            </w:pPr>
            <w:r>
              <w:t>城乡义务教育公用经费管理办法</w:t>
            </w:r>
          </w:p>
        </w:tc>
      </w:tr>
      <w:tr w14:paraId="4291B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80A81"/>
        </w:tc>
        <w:tc>
          <w:tcPr>
            <w:tcW w:w="2268" w:type="dxa"/>
            <w:vAlign w:val="center"/>
          </w:tcPr>
          <w:p w14:paraId="7A5815B5">
            <w:pPr>
              <w:pStyle w:val="13"/>
            </w:pPr>
            <w:r>
              <w:t>成本指标</w:t>
            </w:r>
          </w:p>
        </w:tc>
        <w:tc>
          <w:tcPr>
            <w:tcW w:w="2835" w:type="dxa"/>
            <w:vAlign w:val="center"/>
          </w:tcPr>
          <w:p w14:paraId="1AD27209">
            <w:pPr>
              <w:pStyle w:val="13"/>
            </w:pPr>
            <w:r>
              <w:t>生均拨款标准</w:t>
            </w:r>
          </w:p>
        </w:tc>
        <w:tc>
          <w:tcPr>
            <w:tcW w:w="5386" w:type="dxa"/>
            <w:vAlign w:val="center"/>
          </w:tcPr>
          <w:p w14:paraId="0D997CB8">
            <w:pPr>
              <w:pStyle w:val="13"/>
            </w:pPr>
            <w:r>
              <w:t>小学：（基本标准720元、寄宿生300元、取暖120元）/生/学年；随班就读学生：标准6000元/生/学年。</w:t>
            </w:r>
          </w:p>
        </w:tc>
        <w:tc>
          <w:tcPr>
            <w:tcW w:w="2268" w:type="dxa"/>
            <w:vAlign w:val="center"/>
          </w:tcPr>
          <w:p w14:paraId="51CD96BA">
            <w:pPr>
              <w:pStyle w:val="13"/>
            </w:pPr>
            <w:r>
              <w:t>840元</w:t>
            </w:r>
          </w:p>
        </w:tc>
        <w:tc>
          <w:tcPr>
            <w:tcW w:w="1276" w:type="dxa"/>
            <w:vAlign w:val="center"/>
          </w:tcPr>
          <w:p w14:paraId="734F5F81">
            <w:pPr>
              <w:pStyle w:val="13"/>
            </w:pPr>
            <w:r>
              <w:t>城乡义务教育公用经费管理办法</w:t>
            </w:r>
          </w:p>
        </w:tc>
      </w:tr>
      <w:tr w14:paraId="0C687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87587">
            <w:pPr>
              <w:pStyle w:val="12"/>
            </w:pPr>
            <w:r>
              <w:t>效益指标</w:t>
            </w:r>
          </w:p>
        </w:tc>
        <w:tc>
          <w:tcPr>
            <w:tcW w:w="2268" w:type="dxa"/>
            <w:vAlign w:val="center"/>
          </w:tcPr>
          <w:p w14:paraId="4B1F6E99">
            <w:pPr>
              <w:pStyle w:val="13"/>
            </w:pPr>
            <w:r>
              <w:t>可持续影响指标</w:t>
            </w:r>
          </w:p>
        </w:tc>
        <w:tc>
          <w:tcPr>
            <w:tcW w:w="2835" w:type="dxa"/>
            <w:vAlign w:val="center"/>
          </w:tcPr>
          <w:p w14:paraId="46A3836E">
            <w:pPr>
              <w:pStyle w:val="13"/>
            </w:pPr>
            <w:r>
              <w:t>教育发展水平明显好转</w:t>
            </w:r>
          </w:p>
        </w:tc>
        <w:tc>
          <w:tcPr>
            <w:tcW w:w="5386" w:type="dxa"/>
            <w:vAlign w:val="center"/>
          </w:tcPr>
          <w:p w14:paraId="1E6414A5">
            <w:pPr>
              <w:pStyle w:val="13"/>
            </w:pPr>
            <w:r>
              <w:t>学生受教育年限</w:t>
            </w:r>
          </w:p>
        </w:tc>
        <w:tc>
          <w:tcPr>
            <w:tcW w:w="2268" w:type="dxa"/>
            <w:vAlign w:val="center"/>
          </w:tcPr>
          <w:p w14:paraId="6822F7E3">
            <w:pPr>
              <w:pStyle w:val="13"/>
            </w:pPr>
            <w:r>
              <w:t>6年</w:t>
            </w:r>
          </w:p>
        </w:tc>
        <w:tc>
          <w:tcPr>
            <w:tcW w:w="1276" w:type="dxa"/>
            <w:vAlign w:val="center"/>
          </w:tcPr>
          <w:p w14:paraId="489144C3">
            <w:pPr>
              <w:pStyle w:val="13"/>
            </w:pPr>
            <w:r>
              <w:t>城乡义务教育公用经费管理办法</w:t>
            </w:r>
          </w:p>
        </w:tc>
      </w:tr>
      <w:tr w14:paraId="6B20E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9E84FE">
            <w:pPr>
              <w:pStyle w:val="12"/>
            </w:pPr>
            <w:r>
              <w:t>满意度指标</w:t>
            </w:r>
          </w:p>
        </w:tc>
        <w:tc>
          <w:tcPr>
            <w:tcW w:w="2268" w:type="dxa"/>
            <w:vAlign w:val="center"/>
          </w:tcPr>
          <w:p w14:paraId="67E0B3B8">
            <w:pPr>
              <w:pStyle w:val="13"/>
            </w:pPr>
            <w:r>
              <w:t>服务对象满意度指标</w:t>
            </w:r>
          </w:p>
        </w:tc>
        <w:tc>
          <w:tcPr>
            <w:tcW w:w="2835" w:type="dxa"/>
            <w:vAlign w:val="center"/>
          </w:tcPr>
          <w:p w14:paraId="35B22120">
            <w:pPr>
              <w:pStyle w:val="13"/>
            </w:pPr>
            <w:r>
              <w:t>受益学生家长及调查满意度</w:t>
            </w:r>
          </w:p>
        </w:tc>
        <w:tc>
          <w:tcPr>
            <w:tcW w:w="5386" w:type="dxa"/>
            <w:vAlign w:val="center"/>
          </w:tcPr>
          <w:p w14:paraId="4969C9A8">
            <w:pPr>
              <w:pStyle w:val="13"/>
            </w:pPr>
            <w:r>
              <w:t>学生、教师及家长对学校教育教学工作满意度情况</w:t>
            </w:r>
          </w:p>
        </w:tc>
        <w:tc>
          <w:tcPr>
            <w:tcW w:w="2268" w:type="dxa"/>
            <w:vAlign w:val="center"/>
          </w:tcPr>
          <w:p w14:paraId="77324F62">
            <w:pPr>
              <w:pStyle w:val="13"/>
            </w:pPr>
            <w:r>
              <w:t>≥95%</w:t>
            </w:r>
          </w:p>
        </w:tc>
        <w:tc>
          <w:tcPr>
            <w:tcW w:w="1276" w:type="dxa"/>
            <w:vAlign w:val="center"/>
          </w:tcPr>
          <w:p w14:paraId="60185B57">
            <w:pPr>
              <w:pStyle w:val="13"/>
            </w:pPr>
            <w:r>
              <w:t>调查问卷</w:t>
            </w:r>
          </w:p>
        </w:tc>
      </w:tr>
    </w:tbl>
    <w:p w14:paraId="0099EF95">
      <w:pPr>
        <w:sectPr>
          <w:pgSz w:w="16840" w:h="11900" w:orient="landscape"/>
          <w:pgMar w:top="1361" w:right="1020" w:bottom="1134" w:left="1020" w:header="720" w:footer="720" w:gutter="0"/>
          <w:cols w:space="720" w:num="1"/>
        </w:sectPr>
      </w:pPr>
    </w:p>
    <w:p w14:paraId="494944AD">
      <w:pPr>
        <w:spacing w:before="0" w:after="0"/>
        <w:ind w:firstLine="560"/>
        <w:jc w:val="left"/>
        <w:outlineLvl w:val="9"/>
      </w:pPr>
      <w:r>
        <w:rPr>
          <w:rFonts w:ascii="方正仿宋_GBK" w:hAnsi="方正仿宋_GBK" w:eastAsia="方正仿宋_GBK" w:cs="方正仿宋_GBK"/>
          <w:b/>
          <w:color w:val="000000"/>
          <w:sz w:val="28"/>
        </w:rPr>
        <w:t>8、冀财教[2023]163号/省级/2024年义教补助资金/启明学校公用经费绩效目标表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CE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042EA0">
            <w:pPr>
              <w:pStyle w:val="14"/>
            </w:pPr>
            <w:r>
              <w:t>单位：万元</w:t>
            </w:r>
          </w:p>
        </w:tc>
      </w:tr>
      <w:tr w14:paraId="3186BF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50AE8">
            <w:pPr>
              <w:pStyle w:val="11"/>
            </w:pPr>
            <w:r>
              <w:t>项目编码</w:t>
            </w:r>
          </w:p>
        </w:tc>
        <w:tc>
          <w:tcPr>
            <w:tcW w:w="5103" w:type="dxa"/>
            <w:gridSpan w:val="2"/>
            <w:vAlign w:val="center"/>
          </w:tcPr>
          <w:p w14:paraId="09BD34F2">
            <w:pPr>
              <w:pStyle w:val="13"/>
            </w:pPr>
            <w:r>
              <w:t>13052524P00000610646R</w:t>
            </w:r>
          </w:p>
        </w:tc>
        <w:tc>
          <w:tcPr>
            <w:tcW w:w="2835" w:type="dxa"/>
            <w:vAlign w:val="center"/>
          </w:tcPr>
          <w:p w14:paraId="4C3649EF">
            <w:pPr>
              <w:pStyle w:val="11"/>
            </w:pPr>
            <w:r>
              <w:t>项目名称</w:t>
            </w:r>
          </w:p>
        </w:tc>
        <w:tc>
          <w:tcPr>
            <w:tcW w:w="6095" w:type="dxa"/>
            <w:gridSpan w:val="3"/>
            <w:vAlign w:val="center"/>
          </w:tcPr>
          <w:p w14:paraId="3E191DC4">
            <w:pPr>
              <w:pStyle w:val="13"/>
            </w:pPr>
            <w:r>
              <w:t>冀财教[2023]163号/省级/2024年义教补助资金/启明学校公用经费</w:t>
            </w:r>
            <w:r>
              <w:tab/>
            </w:r>
            <w:r>
              <w:tab/>
            </w:r>
            <w:r>
              <w:tab/>
            </w:r>
          </w:p>
        </w:tc>
      </w:tr>
      <w:tr w14:paraId="1AC07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AEBA5">
            <w:pPr>
              <w:pStyle w:val="11"/>
            </w:pPr>
            <w:r>
              <w:t>预算规模及资金用途</w:t>
            </w:r>
          </w:p>
        </w:tc>
        <w:tc>
          <w:tcPr>
            <w:tcW w:w="2268" w:type="dxa"/>
            <w:vAlign w:val="center"/>
          </w:tcPr>
          <w:p w14:paraId="35E24190">
            <w:pPr>
              <w:pStyle w:val="11"/>
            </w:pPr>
            <w:r>
              <w:t>预算数</w:t>
            </w:r>
          </w:p>
        </w:tc>
        <w:tc>
          <w:tcPr>
            <w:tcW w:w="2835" w:type="dxa"/>
            <w:vAlign w:val="center"/>
          </w:tcPr>
          <w:p w14:paraId="2678EF70">
            <w:pPr>
              <w:pStyle w:val="13"/>
            </w:pPr>
            <w:r>
              <w:t>7.38</w:t>
            </w:r>
          </w:p>
        </w:tc>
        <w:tc>
          <w:tcPr>
            <w:tcW w:w="2835" w:type="dxa"/>
            <w:vAlign w:val="center"/>
          </w:tcPr>
          <w:p w14:paraId="0D8DF6E9">
            <w:pPr>
              <w:pStyle w:val="11"/>
            </w:pPr>
            <w:r>
              <w:t>其中：财政    资金</w:t>
            </w:r>
          </w:p>
        </w:tc>
        <w:tc>
          <w:tcPr>
            <w:tcW w:w="2551" w:type="dxa"/>
            <w:vAlign w:val="center"/>
          </w:tcPr>
          <w:p w14:paraId="53A169DA">
            <w:pPr>
              <w:pStyle w:val="13"/>
            </w:pPr>
            <w:r>
              <w:t>7.38</w:t>
            </w:r>
          </w:p>
        </w:tc>
        <w:tc>
          <w:tcPr>
            <w:tcW w:w="2268" w:type="dxa"/>
            <w:vAlign w:val="center"/>
          </w:tcPr>
          <w:p w14:paraId="56C656AC">
            <w:pPr>
              <w:pStyle w:val="11"/>
            </w:pPr>
            <w:r>
              <w:t>其他资金</w:t>
            </w:r>
          </w:p>
        </w:tc>
        <w:tc>
          <w:tcPr>
            <w:tcW w:w="1276" w:type="dxa"/>
            <w:vAlign w:val="center"/>
          </w:tcPr>
          <w:p w14:paraId="530B6066">
            <w:pPr>
              <w:pStyle w:val="13"/>
            </w:pPr>
            <w:r>
              <w:t xml:space="preserve"> </w:t>
            </w:r>
          </w:p>
        </w:tc>
      </w:tr>
      <w:tr w14:paraId="46EDB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8B7C5"/>
        </w:tc>
        <w:tc>
          <w:tcPr>
            <w:tcW w:w="14033" w:type="dxa"/>
            <w:gridSpan w:val="6"/>
            <w:vAlign w:val="center"/>
          </w:tcPr>
          <w:p w14:paraId="413825A2">
            <w:pPr>
              <w:pStyle w:val="13"/>
            </w:pPr>
            <w:r>
              <w:t xml:space="preserve">保障义务教育学校正常运转，完成教育教学活动和其他日常工作任务等方面的费用支出。   </w:t>
            </w:r>
          </w:p>
        </w:tc>
      </w:tr>
      <w:tr w14:paraId="3A508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6147A448">
            <w:pPr>
              <w:pStyle w:val="11"/>
            </w:pPr>
            <w:r>
              <w:t>资金支出计划（%）</w:t>
            </w:r>
          </w:p>
        </w:tc>
        <w:tc>
          <w:tcPr>
            <w:tcW w:w="5103" w:type="dxa"/>
            <w:gridSpan w:val="2"/>
            <w:vAlign w:val="center"/>
          </w:tcPr>
          <w:p w14:paraId="61A23491">
            <w:pPr>
              <w:pStyle w:val="11"/>
            </w:pPr>
            <w:r>
              <w:t>3月底</w:t>
            </w:r>
          </w:p>
        </w:tc>
        <w:tc>
          <w:tcPr>
            <w:tcW w:w="2835" w:type="dxa"/>
            <w:vAlign w:val="center"/>
          </w:tcPr>
          <w:p w14:paraId="5566C568">
            <w:pPr>
              <w:pStyle w:val="11"/>
            </w:pPr>
            <w:r>
              <w:t>6月底</w:t>
            </w:r>
          </w:p>
        </w:tc>
        <w:tc>
          <w:tcPr>
            <w:tcW w:w="2551" w:type="dxa"/>
            <w:vAlign w:val="center"/>
          </w:tcPr>
          <w:p w14:paraId="3D981C8C">
            <w:pPr>
              <w:pStyle w:val="11"/>
            </w:pPr>
            <w:r>
              <w:t>10月底</w:t>
            </w:r>
          </w:p>
        </w:tc>
        <w:tc>
          <w:tcPr>
            <w:tcW w:w="3544" w:type="dxa"/>
            <w:gridSpan w:val="2"/>
            <w:vAlign w:val="center"/>
          </w:tcPr>
          <w:p w14:paraId="499C6F2B">
            <w:pPr>
              <w:pStyle w:val="11"/>
            </w:pPr>
            <w:r>
              <w:t>12月底</w:t>
            </w:r>
          </w:p>
        </w:tc>
      </w:tr>
      <w:tr w14:paraId="6B3F8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20777"/>
        </w:tc>
        <w:tc>
          <w:tcPr>
            <w:tcW w:w="5103" w:type="dxa"/>
            <w:gridSpan w:val="2"/>
            <w:vAlign w:val="center"/>
          </w:tcPr>
          <w:p w14:paraId="0AB542AF">
            <w:pPr>
              <w:pStyle w:val="12"/>
            </w:pPr>
            <w:r>
              <w:t xml:space="preserve"> </w:t>
            </w:r>
          </w:p>
        </w:tc>
        <w:tc>
          <w:tcPr>
            <w:tcW w:w="2835" w:type="dxa"/>
            <w:vAlign w:val="center"/>
          </w:tcPr>
          <w:p w14:paraId="208A4A46">
            <w:pPr>
              <w:pStyle w:val="12"/>
            </w:pPr>
            <w:r>
              <w:t>100%</w:t>
            </w:r>
          </w:p>
        </w:tc>
        <w:tc>
          <w:tcPr>
            <w:tcW w:w="2551" w:type="dxa"/>
            <w:vAlign w:val="center"/>
          </w:tcPr>
          <w:p w14:paraId="36C9CB9E">
            <w:pPr>
              <w:pStyle w:val="12"/>
            </w:pPr>
            <w:r>
              <w:t>100%</w:t>
            </w:r>
          </w:p>
        </w:tc>
        <w:tc>
          <w:tcPr>
            <w:tcW w:w="3544" w:type="dxa"/>
            <w:gridSpan w:val="2"/>
            <w:vAlign w:val="center"/>
          </w:tcPr>
          <w:p w14:paraId="7AB1C9E1">
            <w:pPr>
              <w:pStyle w:val="12"/>
            </w:pPr>
            <w:r>
              <w:t>100%</w:t>
            </w:r>
          </w:p>
        </w:tc>
      </w:tr>
      <w:tr w14:paraId="3795F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E8A09">
            <w:pPr>
              <w:pStyle w:val="11"/>
            </w:pPr>
            <w:r>
              <w:t>绩效目标</w:t>
            </w:r>
          </w:p>
        </w:tc>
        <w:tc>
          <w:tcPr>
            <w:tcW w:w="14033" w:type="dxa"/>
            <w:gridSpan w:val="6"/>
            <w:vAlign w:val="center"/>
          </w:tcPr>
          <w:p w14:paraId="26A84302">
            <w:pPr>
              <w:pStyle w:val="13"/>
            </w:pPr>
            <w:r>
              <w:t xml:space="preserve">1.保障义务教育学校正常运转，完成教育教学活动和其他日常工作任务等方面的费用支出。   </w:t>
            </w:r>
          </w:p>
        </w:tc>
      </w:tr>
    </w:tbl>
    <w:p w14:paraId="0F0A98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26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0DB6B">
            <w:pPr>
              <w:pStyle w:val="11"/>
            </w:pPr>
            <w:r>
              <w:t>一级指标</w:t>
            </w:r>
          </w:p>
        </w:tc>
        <w:tc>
          <w:tcPr>
            <w:tcW w:w="2268" w:type="dxa"/>
            <w:vAlign w:val="center"/>
          </w:tcPr>
          <w:p w14:paraId="461499FD">
            <w:pPr>
              <w:pStyle w:val="11"/>
            </w:pPr>
            <w:r>
              <w:t>二级指标</w:t>
            </w:r>
          </w:p>
        </w:tc>
        <w:tc>
          <w:tcPr>
            <w:tcW w:w="2835" w:type="dxa"/>
            <w:vAlign w:val="center"/>
          </w:tcPr>
          <w:p w14:paraId="42C5C7D6">
            <w:pPr>
              <w:pStyle w:val="11"/>
            </w:pPr>
            <w:r>
              <w:t>三级指标</w:t>
            </w:r>
          </w:p>
        </w:tc>
        <w:tc>
          <w:tcPr>
            <w:tcW w:w="5386" w:type="dxa"/>
            <w:vAlign w:val="center"/>
          </w:tcPr>
          <w:p w14:paraId="70B96386">
            <w:pPr>
              <w:pStyle w:val="11"/>
            </w:pPr>
            <w:r>
              <w:t>绩效指标描述</w:t>
            </w:r>
          </w:p>
        </w:tc>
        <w:tc>
          <w:tcPr>
            <w:tcW w:w="2268" w:type="dxa"/>
            <w:vAlign w:val="center"/>
          </w:tcPr>
          <w:p w14:paraId="60C8B456">
            <w:pPr>
              <w:pStyle w:val="11"/>
            </w:pPr>
            <w:r>
              <w:t>指标值</w:t>
            </w:r>
          </w:p>
        </w:tc>
        <w:tc>
          <w:tcPr>
            <w:tcW w:w="1276" w:type="dxa"/>
            <w:vAlign w:val="center"/>
          </w:tcPr>
          <w:p w14:paraId="1268E024">
            <w:pPr>
              <w:pStyle w:val="11"/>
            </w:pPr>
            <w:r>
              <w:t>指标值确定依据</w:t>
            </w:r>
          </w:p>
        </w:tc>
      </w:tr>
      <w:tr w14:paraId="72C47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1537F">
            <w:pPr>
              <w:pStyle w:val="12"/>
            </w:pPr>
            <w:r>
              <w:t>产出指标</w:t>
            </w:r>
          </w:p>
        </w:tc>
        <w:tc>
          <w:tcPr>
            <w:tcW w:w="2268" w:type="dxa"/>
            <w:vAlign w:val="center"/>
          </w:tcPr>
          <w:p w14:paraId="17ABDCDD">
            <w:pPr>
              <w:pStyle w:val="13"/>
            </w:pPr>
            <w:r>
              <w:t>数量指标</w:t>
            </w:r>
          </w:p>
        </w:tc>
        <w:tc>
          <w:tcPr>
            <w:tcW w:w="2835" w:type="dxa"/>
            <w:vAlign w:val="center"/>
          </w:tcPr>
          <w:p w14:paraId="556EA8FD">
            <w:pPr>
              <w:pStyle w:val="13"/>
            </w:pPr>
            <w:r>
              <w:t>适龄在校生</w:t>
            </w:r>
          </w:p>
        </w:tc>
        <w:tc>
          <w:tcPr>
            <w:tcW w:w="5386" w:type="dxa"/>
            <w:vAlign w:val="center"/>
          </w:tcPr>
          <w:p w14:paraId="3A9AAC90">
            <w:pPr>
              <w:pStyle w:val="13"/>
            </w:pPr>
            <w:r>
              <w:t>适龄在校就读学生人数</w:t>
            </w:r>
          </w:p>
        </w:tc>
        <w:tc>
          <w:tcPr>
            <w:tcW w:w="2268" w:type="dxa"/>
            <w:vAlign w:val="center"/>
          </w:tcPr>
          <w:p w14:paraId="2C275B63">
            <w:pPr>
              <w:pStyle w:val="13"/>
            </w:pPr>
            <w:r>
              <w:t>185人</w:t>
            </w:r>
          </w:p>
        </w:tc>
        <w:tc>
          <w:tcPr>
            <w:tcW w:w="1276" w:type="dxa"/>
            <w:vAlign w:val="center"/>
          </w:tcPr>
          <w:p w14:paraId="112A12A3">
            <w:pPr>
              <w:pStyle w:val="13"/>
            </w:pPr>
            <w:r>
              <w:t>城乡义务教育公用经费管理办法</w:t>
            </w:r>
          </w:p>
        </w:tc>
      </w:tr>
      <w:tr w14:paraId="5DB83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0C0E2"/>
        </w:tc>
        <w:tc>
          <w:tcPr>
            <w:tcW w:w="2268" w:type="dxa"/>
            <w:vAlign w:val="center"/>
          </w:tcPr>
          <w:p w14:paraId="7E1AB8F7">
            <w:pPr>
              <w:pStyle w:val="13"/>
            </w:pPr>
            <w:r>
              <w:t>质量指标</w:t>
            </w:r>
          </w:p>
        </w:tc>
        <w:tc>
          <w:tcPr>
            <w:tcW w:w="2835" w:type="dxa"/>
            <w:vAlign w:val="center"/>
          </w:tcPr>
          <w:p w14:paraId="636253FC">
            <w:pPr>
              <w:pStyle w:val="13"/>
            </w:pPr>
            <w:r>
              <w:t>预算控制率</w:t>
            </w:r>
          </w:p>
        </w:tc>
        <w:tc>
          <w:tcPr>
            <w:tcW w:w="5386" w:type="dxa"/>
            <w:vAlign w:val="center"/>
          </w:tcPr>
          <w:p w14:paraId="5F059253">
            <w:pPr>
              <w:pStyle w:val="13"/>
            </w:pPr>
            <w:r>
              <w:t>预算执行</w:t>
            </w:r>
          </w:p>
        </w:tc>
        <w:tc>
          <w:tcPr>
            <w:tcW w:w="2268" w:type="dxa"/>
            <w:vAlign w:val="center"/>
          </w:tcPr>
          <w:p w14:paraId="292CA7D3">
            <w:pPr>
              <w:pStyle w:val="13"/>
            </w:pPr>
            <w:r>
              <w:t>≥95%</w:t>
            </w:r>
          </w:p>
        </w:tc>
        <w:tc>
          <w:tcPr>
            <w:tcW w:w="1276" w:type="dxa"/>
            <w:vAlign w:val="center"/>
          </w:tcPr>
          <w:p w14:paraId="678750FF">
            <w:pPr>
              <w:pStyle w:val="13"/>
            </w:pPr>
            <w:r>
              <w:t>城乡义务教育公用经费管理办法</w:t>
            </w:r>
          </w:p>
        </w:tc>
      </w:tr>
      <w:tr w14:paraId="50E4D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A7EB0"/>
        </w:tc>
        <w:tc>
          <w:tcPr>
            <w:tcW w:w="2268" w:type="dxa"/>
            <w:vAlign w:val="center"/>
          </w:tcPr>
          <w:p w14:paraId="1BD5C9B0">
            <w:pPr>
              <w:pStyle w:val="13"/>
            </w:pPr>
            <w:r>
              <w:t>时效指标</w:t>
            </w:r>
          </w:p>
        </w:tc>
        <w:tc>
          <w:tcPr>
            <w:tcW w:w="2835" w:type="dxa"/>
            <w:vAlign w:val="center"/>
          </w:tcPr>
          <w:p w14:paraId="313A4D69">
            <w:pPr>
              <w:pStyle w:val="13"/>
            </w:pPr>
            <w:r>
              <w:t>资金支付率</w:t>
            </w:r>
          </w:p>
        </w:tc>
        <w:tc>
          <w:tcPr>
            <w:tcW w:w="5386" w:type="dxa"/>
            <w:vAlign w:val="center"/>
          </w:tcPr>
          <w:p w14:paraId="34741048">
            <w:pPr>
              <w:pStyle w:val="13"/>
            </w:pPr>
            <w:r>
              <w:t>按照序时进度完成资金支付</w:t>
            </w:r>
          </w:p>
        </w:tc>
        <w:tc>
          <w:tcPr>
            <w:tcW w:w="2268" w:type="dxa"/>
            <w:vAlign w:val="center"/>
          </w:tcPr>
          <w:p w14:paraId="2C36D916">
            <w:pPr>
              <w:pStyle w:val="13"/>
            </w:pPr>
            <w:r>
              <w:t>≥100%</w:t>
            </w:r>
          </w:p>
        </w:tc>
        <w:tc>
          <w:tcPr>
            <w:tcW w:w="1276" w:type="dxa"/>
            <w:vAlign w:val="center"/>
          </w:tcPr>
          <w:p w14:paraId="6F69D26F">
            <w:pPr>
              <w:pStyle w:val="13"/>
            </w:pPr>
            <w:r>
              <w:t>城乡义务教育公用经费管理办法</w:t>
            </w:r>
          </w:p>
        </w:tc>
      </w:tr>
      <w:tr w14:paraId="397C8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C1264"/>
        </w:tc>
        <w:tc>
          <w:tcPr>
            <w:tcW w:w="2268" w:type="dxa"/>
            <w:vAlign w:val="center"/>
          </w:tcPr>
          <w:p w14:paraId="4FC89B43">
            <w:pPr>
              <w:pStyle w:val="13"/>
            </w:pPr>
            <w:r>
              <w:t>成本指标</w:t>
            </w:r>
          </w:p>
        </w:tc>
        <w:tc>
          <w:tcPr>
            <w:tcW w:w="2835" w:type="dxa"/>
            <w:vAlign w:val="center"/>
          </w:tcPr>
          <w:p w14:paraId="671B48EE">
            <w:pPr>
              <w:pStyle w:val="13"/>
            </w:pPr>
            <w:r>
              <w:t>生均拨款标准</w:t>
            </w:r>
          </w:p>
        </w:tc>
        <w:tc>
          <w:tcPr>
            <w:tcW w:w="5386" w:type="dxa"/>
            <w:vAlign w:val="center"/>
          </w:tcPr>
          <w:p w14:paraId="2D881DB0">
            <w:pPr>
              <w:pStyle w:val="13"/>
            </w:pPr>
            <w:r>
              <w:t>小学：（基本标准720元、寄宿生300元、取暖120元）/生/学年；随班就读学生：标准6000元/生/学年。</w:t>
            </w:r>
          </w:p>
        </w:tc>
        <w:tc>
          <w:tcPr>
            <w:tcW w:w="2268" w:type="dxa"/>
            <w:vAlign w:val="center"/>
          </w:tcPr>
          <w:p w14:paraId="442909B3">
            <w:pPr>
              <w:pStyle w:val="13"/>
            </w:pPr>
            <w:r>
              <w:t>840元</w:t>
            </w:r>
          </w:p>
        </w:tc>
        <w:tc>
          <w:tcPr>
            <w:tcW w:w="1276" w:type="dxa"/>
            <w:vAlign w:val="center"/>
          </w:tcPr>
          <w:p w14:paraId="588FB3DF">
            <w:pPr>
              <w:pStyle w:val="13"/>
            </w:pPr>
            <w:r>
              <w:t>城乡义务教育公用经费管理办法</w:t>
            </w:r>
          </w:p>
        </w:tc>
      </w:tr>
      <w:tr w14:paraId="36EC5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BBCF65">
            <w:pPr>
              <w:pStyle w:val="12"/>
            </w:pPr>
            <w:r>
              <w:t>效益指标</w:t>
            </w:r>
          </w:p>
        </w:tc>
        <w:tc>
          <w:tcPr>
            <w:tcW w:w="2268" w:type="dxa"/>
            <w:vAlign w:val="center"/>
          </w:tcPr>
          <w:p w14:paraId="6393C768">
            <w:pPr>
              <w:pStyle w:val="13"/>
            </w:pPr>
            <w:r>
              <w:t>可持续影响指标</w:t>
            </w:r>
          </w:p>
        </w:tc>
        <w:tc>
          <w:tcPr>
            <w:tcW w:w="2835" w:type="dxa"/>
            <w:vAlign w:val="center"/>
          </w:tcPr>
          <w:p w14:paraId="4062CC18">
            <w:pPr>
              <w:pStyle w:val="13"/>
            </w:pPr>
            <w:r>
              <w:t>教育发展水平明显好转</w:t>
            </w:r>
          </w:p>
        </w:tc>
        <w:tc>
          <w:tcPr>
            <w:tcW w:w="5386" w:type="dxa"/>
            <w:vAlign w:val="center"/>
          </w:tcPr>
          <w:p w14:paraId="2C910439">
            <w:pPr>
              <w:pStyle w:val="13"/>
            </w:pPr>
            <w:r>
              <w:t>学生受教育年限</w:t>
            </w:r>
          </w:p>
        </w:tc>
        <w:tc>
          <w:tcPr>
            <w:tcW w:w="2268" w:type="dxa"/>
            <w:vAlign w:val="center"/>
          </w:tcPr>
          <w:p w14:paraId="13E61291">
            <w:pPr>
              <w:pStyle w:val="13"/>
            </w:pPr>
            <w:r>
              <w:t>6年</w:t>
            </w:r>
          </w:p>
        </w:tc>
        <w:tc>
          <w:tcPr>
            <w:tcW w:w="1276" w:type="dxa"/>
            <w:vAlign w:val="center"/>
          </w:tcPr>
          <w:p w14:paraId="4727D28F">
            <w:pPr>
              <w:pStyle w:val="13"/>
            </w:pPr>
            <w:r>
              <w:t>城乡义务教育公用经费管理办法</w:t>
            </w:r>
          </w:p>
        </w:tc>
      </w:tr>
      <w:tr w14:paraId="77269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24E80">
            <w:pPr>
              <w:pStyle w:val="12"/>
            </w:pPr>
            <w:r>
              <w:t>满意度指标</w:t>
            </w:r>
          </w:p>
        </w:tc>
        <w:tc>
          <w:tcPr>
            <w:tcW w:w="2268" w:type="dxa"/>
            <w:vAlign w:val="center"/>
          </w:tcPr>
          <w:p w14:paraId="6AC360E0">
            <w:pPr>
              <w:pStyle w:val="13"/>
            </w:pPr>
            <w:r>
              <w:t>服务对象满意度指标</w:t>
            </w:r>
          </w:p>
        </w:tc>
        <w:tc>
          <w:tcPr>
            <w:tcW w:w="2835" w:type="dxa"/>
            <w:vAlign w:val="center"/>
          </w:tcPr>
          <w:p w14:paraId="0491187C">
            <w:pPr>
              <w:pStyle w:val="13"/>
            </w:pPr>
            <w:r>
              <w:t>受益学生家长及调查满意度</w:t>
            </w:r>
          </w:p>
        </w:tc>
        <w:tc>
          <w:tcPr>
            <w:tcW w:w="5386" w:type="dxa"/>
            <w:vAlign w:val="center"/>
          </w:tcPr>
          <w:p w14:paraId="53E42C13">
            <w:pPr>
              <w:pStyle w:val="13"/>
            </w:pPr>
            <w:r>
              <w:t>学生、教师及家长对学校教育教学工作满意度情况</w:t>
            </w:r>
          </w:p>
        </w:tc>
        <w:tc>
          <w:tcPr>
            <w:tcW w:w="2268" w:type="dxa"/>
            <w:vAlign w:val="center"/>
          </w:tcPr>
          <w:p w14:paraId="0F72DCC7">
            <w:pPr>
              <w:pStyle w:val="13"/>
            </w:pPr>
            <w:r>
              <w:t>≥95%</w:t>
            </w:r>
          </w:p>
        </w:tc>
        <w:tc>
          <w:tcPr>
            <w:tcW w:w="1276" w:type="dxa"/>
            <w:vAlign w:val="center"/>
          </w:tcPr>
          <w:p w14:paraId="70AC458F">
            <w:pPr>
              <w:pStyle w:val="13"/>
            </w:pPr>
            <w:r>
              <w:t>调查问卷</w:t>
            </w:r>
          </w:p>
        </w:tc>
      </w:tr>
    </w:tbl>
    <w:p w14:paraId="4985A136">
      <w:pPr>
        <w:sectPr>
          <w:pgSz w:w="16840" w:h="11900" w:orient="landscape"/>
          <w:pgMar w:top="1361" w:right="1020" w:bottom="1134" w:left="1020" w:header="720" w:footer="720" w:gutter="0"/>
          <w:cols w:space="720" w:num="1"/>
        </w:sectPr>
      </w:pPr>
    </w:p>
    <w:p w14:paraId="59BF283B">
      <w:pPr>
        <w:spacing w:before="0" w:after="0"/>
        <w:ind w:firstLine="560"/>
        <w:jc w:val="left"/>
        <w:outlineLvl w:val="9"/>
      </w:pPr>
      <w:r>
        <w:rPr>
          <w:rFonts w:ascii="方正仿宋_GBK" w:hAnsi="方正仿宋_GBK" w:eastAsia="方正仿宋_GBK" w:cs="方正仿宋_GBK"/>
          <w:b/>
          <w:color w:val="000000"/>
          <w:sz w:val="28"/>
        </w:rPr>
        <w:t>9、冀财教[2023]163号/省级/2024年义教补助资金/树人实验小学公用经费绩效目标表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80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C27B7">
            <w:pPr>
              <w:pStyle w:val="14"/>
            </w:pPr>
            <w:r>
              <w:t>单位：万元</w:t>
            </w:r>
          </w:p>
        </w:tc>
      </w:tr>
      <w:tr w14:paraId="1222A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52BDA5">
            <w:pPr>
              <w:pStyle w:val="11"/>
            </w:pPr>
            <w:r>
              <w:t>项目编码</w:t>
            </w:r>
          </w:p>
        </w:tc>
        <w:tc>
          <w:tcPr>
            <w:tcW w:w="5103" w:type="dxa"/>
            <w:gridSpan w:val="2"/>
            <w:vAlign w:val="center"/>
          </w:tcPr>
          <w:p w14:paraId="4B1AFD78">
            <w:pPr>
              <w:pStyle w:val="13"/>
            </w:pPr>
            <w:r>
              <w:t>13052524P000006106456</w:t>
            </w:r>
          </w:p>
        </w:tc>
        <w:tc>
          <w:tcPr>
            <w:tcW w:w="2835" w:type="dxa"/>
            <w:vAlign w:val="center"/>
          </w:tcPr>
          <w:p w14:paraId="7C662767">
            <w:pPr>
              <w:pStyle w:val="11"/>
            </w:pPr>
            <w:r>
              <w:t>项目名称</w:t>
            </w:r>
          </w:p>
        </w:tc>
        <w:tc>
          <w:tcPr>
            <w:tcW w:w="6095" w:type="dxa"/>
            <w:gridSpan w:val="3"/>
            <w:vAlign w:val="center"/>
          </w:tcPr>
          <w:p w14:paraId="2A7DD791">
            <w:pPr>
              <w:pStyle w:val="13"/>
            </w:pPr>
            <w:r>
              <w:t>冀财教[2023]163号/省级/2024年义教补助资金/树人实验小学公用经费</w:t>
            </w:r>
            <w:r>
              <w:tab/>
            </w:r>
            <w:r>
              <w:tab/>
            </w:r>
            <w:r>
              <w:tab/>
            </w:r>
          </w:p>
        </w:tc>
      </w:tr>
      <w:tr w14:paraId="6A450C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AE4F0">
            <w:pPr>
              <w:pStyle w:val="11"/>
            </w:pPr>
            <w:r>
              <w:t>预算规模及资金用途</w:t>
            </w:r>
          </w:p>
        </w:tc>
        <w:tc>
          <w:tcPr>
            <w:tcW w:w="2268" w:type="dxa"/>
            <w:vAlign w:val="center"/>
          </w:tcPr>
          <w:p w14:paraId="4B8347B2">
            <w:pPr>
              <w:pStyle w:val="11"/>
            </w:pPr>
            <w:r>
              <w:t>预算数</w:t>
            </w:r>
          </w:p>
        </w:tc>
        <w:tc>
          <w:tcPr>
            <w:tcW w:w="2835" w:type="dxa"/>
            <w:vAlign w:val="center"/>
          </w:tcPr>
          <w:p w14:paraId="680FE755">
            <w:pPr>
              <w:pStyle w:val="13"/>
            </w:pPr>
            <w:r>
              <w:t>44.98</w:t>
            </w:r>
          </w:p>
        </w:tc>
        <w:tc>
          <w:tcPr>
            <w:tcW w:w="2835" w:type="dxa"/>
            <w:vAlign w:val="center"/>
          </w:tcPr>
          <w:p w14:paraId="4BE361B0">
            <w:pPr>
              <w:pStyle w:val="11"/>
            </w:pPr>
            <w:r>
              <w:t>其中：财政    资金</w:t>
            </w:r>
          </w:p>
        </w:tc>
        <w:tc>
          <w:tcPr>
            <w:tcW w:w="2551" w:type="dxa"/>
            <w:vAlign w:val="center"/>
          </w:tcPr>
          <w:p w14:paraId="48541FFD">
            <w:pPr>
              <w:pStyle w:val="13"/>
            </w:pPr>
            <w:r>
              <w:t>44.98</w:t>
            </w:r>
          </w:p>
        </w:tc>
        <w:tc>
          <w:tcPr>
            <w:tcW w:w="2268" w:type="dxa"/>
            <w:vAlign w:val="center"/>
          </w:tcPr>
          <w:p w14:paraId="685D8DD1">
            <w:pPr>
              <w:pStyle w:val="11"/>
            </w:pPr>
            <w:r>
              <w:t>其他资金</w:t>
            </w:r>
          </w:p>
        </w:tc>
        <w:tc>
          <w:tcPr>
            <w:tcW w:w="1276" w:type="dxa"/>
            <w:vAlign w:val="center"/>
          </w:tcPr>
          <w:p w14:paraId="057740EF">
            <w:pPr>
              <w:pStyle w:val="13"/>
            </w:pPr>
            <w:r>
              <w:t xml:space="preserve"> </w:t>
            </w:r>
          </w:p>
        </w:tc>
      </w:tr>
      <w:tr w14:paraId="46CBD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2E7F97"/>
        </w:tc>
        <w:tc>
          <w:tcPr>
            <w:tcW w:w="14033" w:type="dxa"/>
            <w:gridSpan w:val="6"/>
            <w:vAlign w:val="center"/>
          </w:tcPr>
          <w:p w14:paraId="14255A79">
            <w:pPr>
              <w:pStyle w:val="13"/>
            </w:pPr>
            <w:r>
              <w:t xml:space="preserve">保障义务教育学校正常运转，完成教育教学活动和其他日常工作任务等方面的费用支出。     </w:t>
            </w:r>
          </w:p>
        </w:tc>
      </w:tr>
      <w:tr w14:paraId="0C8AE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B62E1">
            <w:pPr>
              <w:pStyle w:val="11"/>
            </w:pPr>
            <w:r>
              <w:t>资金支出计划（%）</w:t>
            </w:r>
          </w:p>
        </w:tc>
        <w:tc>
          <w:tcPr>
            <w:tcW w:w="5103" w:type="dxa"/>
            <w:gridSpan w:val="2"/>
            <w:vAlign w:val="center"/>
          </w:tcPr>
          <w:p w14:paraId="212DBF7A">
            <w:pPr>
              <w:pStyle w:val="11"/>
            </w:pPr>
            <w:r>
              <w:t>3月底</w:t>
            </w:r>
          </w:p>
        </w:tc>
        <w:tc>
          <w:tcPr>
            <w:tcW w:w="2835" w:type="dxa"/>
            <w:vAlign w:val="center"/>
          </w:tcPr>
          <w:p w14:paraId="57E90B48">
            <w:pPr>
              <w:pStyle w:val="11"/>
            </w:pPr>
            <w:r>
              <w:t>6月底</w:t>
            </w:r>
          </w:p>
        </w:tc>
        <w:tc>
          <w:tcPr>
            <w:tcW w:w="2551" w:type="dxa"/>
            <w:vAlign w:val="center"/>
          </w:tcPr>
          <w:p w14:paraId="6AFC10C7">
            <w:pPr>
              <w:pStyle w:val="11"/>
            </w:pPr>
            <w:r>
              <w:t>10月底</w:t>
            </w:r>
          </w:p>
        </w:tc>
        <w:tc>
          <w:tcPr>
            <w:tcW w:w="3544" w:type="dxa"/>
            <w:gridSpan w:val="2"/>
            <w:vAlign w:val="center"/>
          </w:tcPr>
          <w:p w14:paraId="682CECE5">
            <w:pPr>
              <w:pStyle w:val="11"/>
            </w:pPr>
            <w:r>
              <w:t>12月底</w:t>
            </w:r>
          </w:p>
        </w:tc>
      </w:tr>
      <w:tr w14:paraId="11646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25EF2"/>
        </w:tc>
        <w:tc>
          <w:tcPr>
            <w:tcW w:w="5103" w:type="dxa"/>
            <w:gridSpan w:val="2"/>
            <w:vAlign w:val="center"/>
          </w:tcPr>
          <w:p w14:paraId="30F86710">
            <w:pPr>
              <w:pStyle w:val="12"/>
            </w:pPr>
            <w:r>
              <w:t xml:space="preserve"> </w:t>
            </w:r>
          </w:p>
        </w:tc>
        <w:tc>
          <w:tcPr>
            <w:tcW w:w="2835" w:type="dxa"/>
            <w:vAlign w:val="center"/>
          </w:tcPr>
          <w:p w14:paraId="3A35FE31">
            <w:pPr>
              <w:pStyle w:val="12"/>
            </w:pPr>
            <w:r>
              <w:t>100%</w:t>
            </w:r>
          </w:p>
        </w:tc>
        <w:tc>
          <w:tcPr>
            <w:tcW w:w="2551" w:type="dxa"/>
            <w:vAlign w:val="center"/>
          </w:tcPr>
          <w:p w14:paraId="7AB3ACB9">
            <w:pPr>
              <w:pStyle w:val="12"/>
            </w:pPr>
            <w:r>
              <w:t>100%</w:t>
            </w:r>
          </w:p>
        </w:tc>
        <w:tc>
          <w:tcPr>
            <w:tcW w:w="3544" w:type="dxa"/>
            <w:gridSpan w:val="2"/>
            <w:vAlign w:val="center"/>
          </w:tcPr>
          <w:p w14:paraId="56ACF42A">
            <w:pPr>
              <w:pStyle w:val="12"/>
            </w:pPr>
            <w:r>
              <w:t>100%</w:t>
            </w:r>
          </w:p>
        </w:tc>
      </w:tr>
      <w:tr w14:paraId="24663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6FF890">
            <w:pPr>
              <w:pStyle w:val="11"/>
            </w:pPr>
            <w:r>
              <w:t>绩效目标</w:t>
            </w:r>
          </w:p>
        </w:tc>
        <w:tc>
          <w:tcPr>
            <w:tcW w:w="14033" w:type="dxa"/>
            <w:gridSpan w:val="6"/>
            <w:vAlign w:val="center"/>
          </w:tcPr>
          <w:p w14:paraId="467DE932">
            <w:pPr>
              <w:pStyle w:val="13"/>
            </w:pPr>
            <w:r>
              <w:t xml:space="preserve">1.保障义务教育学校正常运转，完成教育教学活动和其他日常工作任务等方面的费用支出。     </w:t>
            </w:r>
          </w:p>
        </w:tc>
      </w:tr>
    </w:tbl>
    <w:p w14:paraId="4820E0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355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4A609">
            <w:pPr>
              <w:pStyle w:val="11"/>
            </w:pPr>
            <w:r>
              <w:t>一级指标</w:t>
            </w:r>
          </w:p>
        </w:tc>
        <w:tc>
          <w:tcPr>
            <w:tcW w:w="2268" w:type="dxa"/>
            <w:vAlign w:val="center"/>
          </w:tcPr>
          <w:p w14:paraId="30FEA8C7">
            <w:pPr>
              <w:pStyle w:val="11"/>
            </w:pPr>
            <w:r>
              <w:t>二级指标</w:t>
            </w:r>
          </w:p>
        </w:tc>
        <w:tc>
          <w:tcPr>
            <w:tcW w:w="2835" w:type="dxa"/>
            <w:vAlign w:val="center"/>
          </w:tcPr>
          <w:p w14:paraId="708B5109">
            <w:pPr>
              <w:pStyle w:val="11"/>
            </w:pPr>
            <w:r>
              <w:t>三级指标</w:t>
            </w:r>
          </w:p>
        </w:tc>
        <w:tc>
          <w:tcPr>
            <w:tcW w:w="5386" w:type="dxa"/>
            <w:vAlign w:val="center"/>
          </w:tcPr>
          <w:p w14:paraId="28B21900">
            <w:pPr>
              <w:pStyle w:val="11"/>
            </w:pPr>
            <w:r>
              <w:t>绩效指标描述</w:t>
            </w:r>
          </w:p>
        </w:tc>
        <w:tc>
          <w:tcPr>
            <w:tcW w:w="2268" w:type="dxa"/>
            <w:vAlign w:val="center"/>
          </w:tcPr>
          <w:p w14:paraId="7578FA84">
            <w:pPr>
              <w:pStyle w:val="11"/>
            </w:pPr>
            <w:r>
              <w:t>指标值</w:t>
            </w:r>
          </w:p>
        </w:tc>
        <w:tc>
          <w:tcPr>
            <w:tcW w:w="1276" w:type="dxa"/>
            <w:vAlign w:val="center"/>
          </w:tcPr>
          <w:p w14:paraId="6B8355DB">
            <w:pPr>
              <w:pStyle w:val="11"/>
            </w:pPr>
            <w:r>
              <w:t>指标值确定依据</w:t>
            </w:r>
          </w:p>
        </w:tc>
      </w:tr>
      <w:tr w14:paraId="31F50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4DD91">
            <w:pPr>
              <w:pStyle w:val="12"/>
            </w:pPr>
            <w:r>
              <w:t>产出指标</w:t>
            </w:r>
          </w:p>
        </w:tc>
        <w:tc>
          <w:tcPr>
            <w:tcW w:w="2268" w:type="dxa"/>
            <w:vAlign w:val="center"/>
          </w:tcPr>
          <w:p w14:paraId="0D185CCF">
            <w:pPr>
              <w:pStyle w:val="13"/>
            </w:pPr>
            <w:r>
              <w:t>数量指标</w:t>
            </w:r>
          </w:p>
        </w:tc>
        <w:tc>
          <w:tcPr>
            <w:tcW w:w="2835" w:type="dxa"/>
            <w:vAlign w:val="center"/>
          </w:tcPr>
          <w:p w14:paraId="439DA855">
            <w:pPr>
              <w:pStyle w:val="13"/>
            </w:pPr>
            <w:r>
              <w:t>适龄在校生</w:t>
            </w:r>
          </w:p>
        </w:tc>
        <w:tc>
          <w:tcPr>
            <w:tcW w:w="5386" w:type="dxa"/>
            <w:vAlign w:val="center"/>
          </w:tcPr>
          <w:p w14:paraId="5D0EB46C">
            <w:pPr>
              <w:pStyle w:val="13"/>
            </w:pPr>
            <w:r>
              <w:t>适龄在校就读学生人数</w:t>
            </w:r>
          </w:p>
        </w:tc>
        <w:tc>
          <w:tcPr>
            <w:tcW w:w="2268" w:type="dxa"/>
            <w:vAlign w:val="center"/>
          </w:tcPr>
          <w:p w14:paraId="648C621B">
            <w:pPr>
              <w:pStyle w:val="13"/>
            </w:pPr>
            <w:r>
              <w:t>1102人</w:t>
            </w:r>
          </w:p>
        </w:tc>
        <w:tc>
          <w:tcPr>
            <w:tcW w:w="1276" w:type="dxa"/>
            <w:vAlign w:val="center"/>
          </w:tcPr>
          <w:p w14:paraId="2D8CB3ED">
            <w:pPr>
              <w:pStyle w:val="13"/>
            </w:pPr>
            <w:r>
              <w:t>城乡义务教育公用经费管理办法</w:t>
            </w:r>
          </w:p>
        </w:tc>
      </w:tr>
      <w:tr w14:paraId="5755C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BEEB5"/>
        </w:tc>
        <w:tc>
          <w:tcPr>
            <w:tcW w:w="2268" w:type="dxa"/>
            <w:vAlign w:val="center"/>
          </w:tcPr>
          <w:p w14:paraId="14E51789">
            <w:pPr>
              <w:pStyle w:val="13"/>
            </w:pPr>
            <w:r>
              <w:t>质量指标</w:t>
            </w:r>
          </w:p>
        </w:tc>
        <w:tc>
          <w:tcPr>
            <w:tcW w:w="2835" w:type="dxa"/>
            <w:vAlign w:val="center"/>
          </w:tcPr>
          <w:p w14:paraId="53F184C7">
            <w:pPr>
              <w:pStyle w:val="13"/>
            </w:pPr>
            <w:r>
              <w:t>预算控制率</w:t>
            </w:r>
          </w:p>
        </w:tc>
        <w:tc>
          <w:tcPr>
            <w:tcW w:w="5386" w:type="dxa"/>
            <w:vAlign w:val="center"/>
          </w:tcPr>
          <w:p w14:paraId="390ED0F3">
            <w:pPr>
              <w:pStyle w:val="13"/>
            </w:pPr>
            <w:r>
              <w:t>预算执行</w:t>
            </w:r>
          </w:p>
        </w:tc>
        <w:tc>
          <w:tcPr>
            <w:tcW w:w="2268" w:type="dxa"/>
            <w:vAlign w:val="center"/>
          </w:tcPr>
          <w:p w14:paraId="2190B12E">
            <w:pPr>
              <w:pStyle w:val="13"/>
            </w:pPr>
            <w:r>
              <w:t>≥95%</w:t>
            </w:r>
          </w:p>
        </w:tc>
        <w:tc>
          <w:tcPr>
            <w:tcW w:w="1276" w:type="dxa"/>
            <w:vAlign w:val="center"/>
          </w:tcPr>
          <w:p w14:paraId="30EDC896">
            <w:pPr>
              <w:pStyle w:val="13"/>
            </w:pPr>
            <w:r>
              <w:t>城乡义务教育公用经费管理办法</w:t>
            </w:r>
          </w:p>
        </w:tc>
      </w:tr>
      <w:tr w14:paraId="1B616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A5D9A"/>
        </w:tc>
        <w:tc>
          <w:tcPr>
            <w:tcW w:w="2268" w:type="dxa"/>
            <w:vAlign w:val="center"/>
          </w:tcPr>
          <w:p w14:paraId="467E57A6">
            <w:pPr>
              <w:pStyle w:val="13"/>
            </w:pPr>
            <w:r>
              <w:t>时效指标</w:t>
            </w:r>
          </w:p>
        </w:tc>
        <w:tc>
          <w:tcPr>
            <w:tcW w:w="2835" w:type="dxa"/>
            <w:vAlign w:val="center"/>
          </w:tcPr>
          <w:p w14:paraId="4182C5C1">
            <w:pPr>
              <w:pStyle w:val="13"/>
            </w:pPr>
            <w:r>
              <w:t>资金支付率</w:t>
            </w:r>
          </w:p>
        </w:tc>
        <w:tc>
          <w:tcPr>
            <w:tcW w:w="5386" w:type="dxa"/>
            <w:vAlign w:val="center"/>
          </w:tcPr>
          <w:p w14:paraId="64B85094">
            <w:pPr>
              <w:pStyle w:val="13"/>
            </w:pPr>
            <w:r>
              <w:t>按照序时进度完成资金支付</w:t>
            </w:r>
          </w:p>
        </w:tc>
        <w:tc>
          <w:tcPr>
            <w:tcW w:w="2268" w:type="dxa"/>
            <w:vAlign w:val="center"/>
          </w:tcPr>
          <w:p w14:paraId="3D63FE8E">
            <w:pPr>
              <w:pStyle w:val="13"/>
            </w:pPr>
            <w:r>
              <w:t>≥100%</w:t>
            </w:r>
          </w:p>
        </w:tc>
        <w:tc>
          <w:tcPr>
            <w:tcW w:w="1276" w:type="dxa"/>
            <w:vAlign w:val="center"/>
          </w:tcPr>
          <w:p w14:paraId="6E6C8258">
            <w:pPr>
              <w:pStyle w:val="13"/>
            </w:pPr>
            <w:r>
              <w:t>城乡义务教育公用经费管理办法</w:t>
            </w:r>
          </w:p>
        </w:tc>
      </w:tr>
      <w:tr w14:paraId="20688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E9467"/>
        </w:tc>
        <w:tc>
          <w:tcPr>
            <w:tcW w:w="2268" w:type="dxa"/>
            <w:vAlign w:val="center"/>
          </w:tcPr>
          <w:p w14:paraId="19E1D2AE">
            <w:pPr>
              <w:pStyle w:val="13"/>
            </w:pPr>
            <w:r>
              <w:t>成本指标</w:t>
            </w:r>
          </w:p>
        </w:tc>
        <w:tc>
          <w:tcPr>
            <w:tcW w:w="2835" w:type="dxa"/>
            <w:vAlign w:val="center"/>
          </w:tcPr>
          <w:p w14:paraId="03576364">
            <w:pPr>
              <w:pStyle w:val="13"/>
            </w:pPr>
            <w:r>
              <w:t>生均拨款标准</w:t>
            </w:r>
          </w:p>
        </w:tc>
        <w:tc>
          <w:tcPr>
            <w:tcW w:w="5386" w:type="dxa"/>
            <w:vAlign w:val="center"/>
          </w:tcPr>
          <w:p w14:paraId="555C3834">
            <w:pPr>
              <w:pStyle w:val="13"/>
            </w:pPr>
            <w:r>
              <w:t>小学：（基本标准720元、寄宿生300元、取暖120元）/生/学年；随班就读学生：标准6000元/生/学年。</w:t>
            </w:r>
          </w:p>
        </w:tc>
        <w:tc>
          <w:tcPr>
            <w:tcW w:w="2268" w:type="dxa"/>
            <w:vAlign w:val="center"/>
          </w:tcPr>
          <w:p w14:paraId="54A31A43">
            <w:pPr>
              <w:pStyle w:val="13"/>
            </w:pPr>
            <w:r>
              <w:t>840元</w:t>
            </w:r>
          </w:p>
        </w:tc>
        <w:tc>
          <w:tcPr>
            <w:tcW w:w="1276" w:type="dxa"/>
            <w:vAlign w:val="center"/>
          </w:tcPr>
          <w:p w14:paraId="1B62D2B2">
            <w:pPr>
              <w:pStyle w:val="13"/>
            </w:pPr>
            <w:r>
              <w:t>城乡义务教育公用经费管理办法</w:t>
            </w:r>
          </w:p>
        </w:tc>
      </w:tr>
      <w:tr w14:paraId="04BDD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32505">
            <w:pPr>
              <w:pStyle w:val="12"/>
            </w:pPr>
            <w:r>
              <w:t>效益指标</w:t>
            </w:r>
          </w:p>
        </w:tc>
        <w:tc>
          <w:tcPr>
            <w:tcW w:w="2268" w:type="dxa"/>
            <w:vAlign w:val="center"/>
          </w:tcPr>
          <w:p w14:paraId="18F63969">
            <w:pPr>
              <w:pStyle w:val="13"/>
            </w:pPr>
            <w:r>
              <w:t>可持续影响指标</w:t>
            </w:r>
          </w:p>
        </w:tc>
        <w:tc>
          <w:tcPr>
            <w:tcW w:w="2835" w:type="dxa"/>
            <w:vAlign w:val="center"/>
          </w:tcPr>
          <w:p w14:paraId="24F2C0AF">
            <w:pPr>
              <w:pStyle w:val="13"/>
            </w:pPr>
            <w:r>
              <w:t>教育发展水平明显好转</w:t>
            </w:r>
          </w:p>
        </w:tc>
        <w:tc>
          <w:tcPr>
            <w:tcW w:w="5386" w:type="dxa"/>
            <w:vAlign w:val="center"/>
          </w:tcPr>
          <w:p w14:paraId="4E7CB68C">
            <w:pPr>
              <w:pStyle w:val="13"/>
            </w:pPr>
            <w:r>
              <w:t>学生受教育年限</w:t>
            </w:r>
          </w:p>
        </w:tc>
        <w:tc>
          <w:tcPr>
            <w:tcW w:w="2268" w:type="dxa"/>
            <w:vAlign w:val="center"/>
          </w:tcPr>
          <w:p w14:paraId="5C929664">
            <w:pPr>
              <w:pStyle w:val="13"/>
            </w:pPr>
            <w:r>
              <w:t>6年</w:t>
            </w:r>
          </w:p>
        </w:tc>
        <w:tc>
          <w:tcPr>
            <w:tcW w:w="1276" w:type="dxa"/>
            <w:vAlign w:val="center"/>
          </w:tcPr>
          <w:p w14:paraId="33DA5943">
            <w:pPr>
              <w:pStyle w:val="13"/>
            </w:pPr>
            <w:r>
              <w:t>城乡义务教育公用经费管理办法</w:t>
            </w:r>
          </w:p>
        </w:tc>
      </w:tr>
      <w:tr w14:paraId="0A8F3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06BC85">
            <w:pPr>
              <w:pStyle w:val="12"/>
            </w:pPr>
            <w:r>
              <w:t>满意度指标</w:t>
            </w:r>
          </w:p>
        </w:tc>
        <w:tc>
          <w:tcPr>
            <w:tcW w:w="2268" w:type="dxa"/>
            <w:vAlign w:val="center"/>
          </w:tcPr>
          <w:p w14:paraId="1076007A">
            <w:pPr>
              <w:pStyle w:val="13"/>
            </w:pPr>
            <w:r>
              <w:t>服务对象满意度指标</w:t>
            </w:r>
          </w:p>
        </w:tc>
        <w:tc>
          <w:tcPr>
            <w:tcW w:w="2835" w:type="dxa"/>
            <w:vAlign w:val="center"/>
          </w:tcPr>
          <w:p w14:paraId="0E4C7FB7">
            <w:pPr>
              <w:pStyle w:val="13"/>
            </w:pPr>
            <w:r>
              <w:t>受益学生家长及调查满意度</w:t>
            </w:r>
          </w:p>
        </w:tc>
        <w:tc>
          <w:tcPr>
            <w:tcW w:w="5386" w:type="dxa"/>
            <w:vAlign w:val="center"/>
          </w:tcPr>
          <w:p w14:paraId="7735C8FA">
            <w:pPr>
              <w:pStyle w:val="13"/>
            </w:pPr>
            <w:r>
              <w:t>学生、教师及家长对学校教育教学工作满意度情况</w:t>
            </w:r>
          </w:p>
        </w:tc>
        <w:tc>
          <w:tcPr>
            <w:tcW w:w="2268" w:type="dxa"/>
            <w:vAlign w:val="center"/>
          </w:tcPr>
          <w:p w14:paraId="33814B23">
            <w:pPr>
              <w:pStyle w:val="13"/>
            </w:pPr>
            <w:r>
              <w:t>≥95%</w:t>
            </w:r>
          </w:p>
        </w:tc>
        <w:tc>
          <w:tcPr>
            <w:tcW w:w="1276" w:type="dxa"/>
            <w:vAlign w:val="center"/>
          </w:tcPr>
          <w:p w14:paraId="5485052B">
            <w:pPr>
              <w:pStyle w:val="13"/>
            </w:pPr>
            <w:r>
              <w:t>调查问卷</w:t>
            </w:r>
          </w:p>
        </w:tc>
      </w:tr>
    </w:tbl>
    <w:p w14:paraId="7D99C9E9">
      <w:pPr>
        <w:sectPr>
          <w:pgSz w:w="16840" w:h="11900" w:orient="landscape"/>
          <w:pgMar w:top="1361" w:right="1020" w:bottom="1134" w:left="1020" w:header="720" w:footer="720" w:gutter="0"/>
          <w:cols w:space="720" w:num="1"/>
        </w:sectPr>
      </w:pPr>
    </w:p>
    <w:p w14:paraId="2C3647CC">
      <w:pPr>
        <w:spacing w:before="0" w:after="0"/>
        <w:ind w:firstLine="560"/>
        <w:jc w:val="left"/>
        <w:outlineLvl w:val="9"/>
      </w:pPr>
      <w:r>
        <w:rPr>
          <w:rFonts w:ascii="方正仿宋_GBK" w:hAnsi="方正仿宋_GBK" w:eastAsia="方正仿宋_GBK" w:cs="方正仿宋_GBK"/>
          <w:b/>
          <w:color w:val="000000"/>
          <w:sz w:val="28"/>
        </w:rPr>
        <w:t>10、冀财教[2023]163号/省级/2024年义教补助资金/私立成才小学公用经费绩效目标表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74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10AD6">
            <w:pPr>
              <w:pStyle w:val="14"/>
            </w:pPr>
            <w:r>
              <w:t>单位：万元</w:t>
            </w:r>
          </w:p>
        </w:tc>
      </w:tr>
      <w:tr w14:paraId="07523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93AC70A">
            <w:pPr>
              <w:pStyle w:val="11"/>
            </w:pPr>
            <w:r>
              <w:t>项目编码</w:t>
            </w:r>
          </w:p>
        </w:tc>
        <w:tc>
          <w:tcPr>
            <w:tcW w:w="5103" w:type="dxa"/>
            <w:gridSpan w:val="2"/>
            <w:vAlign w:val="center"/>
          </w:tcPr>
          <w:p w14:paraId="21E985F7">
            <w:pPr>
              <w:pStyle w:val="13"/>
            </w:pPr>
            <w:r>
              <w:t>13052524P00000610644J</w:t>
            </w:r>
          </w:p>
        </w:tc>
        <w:tc>
          <w:tcPr>
            <w:tcW w:w="2835" w:type="dxa"/>
            <w:vAlign w:val="center"/>
          </w:tcPr>
          <w:p w14:paraId="5B979173">
            <w:pPr>
              <w:pStyle w:val="11"/>
            </w:pPr>
            <w:r>
              <w:t>项目名称</w:t>
            </w:r>
          </w:p>
        </w:tc>
        <w:tc>
          <w:tcPr>
            <w:tcW w:w="6095" w:type="dxa"/>
            <w:gridSpan w:val="3"/>
            <w:vAlign w:val="center"/>
          </w:tcPr>
          <w:p w14:paraId="7477E911">
            <w:pPr>
              <w:pStyle w:val="13"/>
            </w:pPr>
            <w:r>
              <w:t>冀财教[2023]163号/省级/2024年义教补助资金/私立成才小学公用经费</w:t>
            </w:r>
            <w:r>
              <w:tab/>
            </w:r>
            <w:r>
              <w:tab/>
            </w:r>
            <w:r>
              <w:tab/>
            </w:r>
          </w:p>
        </w:tc>
      </w:tr>
      <w:tr w14:paraId="7EB80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349E9">
            <w:pPr>
              <w:pStyle w:val="11"/>
            </w:pPr>
            <w:r>
              <w:t>预算规模及资金用途</w:t>
            </w:r>
          </w:p>
        </w:tc>
        <w:tc>
          <w:tcPr>
            <w:tcW w:w="2268" w:type="dxa"/>
            <w:vAlign w:val="center"/>
          </w:tcPr>
          <w:p w14:paraId="4BAA6C07">
            <w:pPr>
              <w:pStyle w:val="11"/>
            </w:pPr>
            <w:r>
              <w:t>预算数</w:t>
            </w:r>
          </w:p>
        </w:tc>
        <w:tc>
          <w:tcPr>
            <w:tcW w:w="2835" w:type="dxa"/>
            <w:vAlign w:val="center"/>
          </w:tcPr>
          <w:p w14:paraId="33E58A59">
            <w:pPr>
              <w:pStyle w:val="13"/>
            </w:pPr>
            <w:r>
              <w:t>17.55</w:t>
            </w:r>
          </w:p>
        </w:tc>
        <w:tc>
          <w:tcPr>
            <w:tcW w:w="2835" w:type="dxa"/>
            <w:vAlign w:val="center"/>
          </w:tcPr>
          <w:p w14:paraId="7DFF5A44">
            <w:pPr>
              <w:pStyle w:val="11"/>
            </w:pPr>
            <w:r>
              <w:t>其中：财政    资金</w:t>
            </w:r>
          </w:p>
        </w:tc>
        <w:tc>
          <w:tcPr>
            <w:tcW w:w="2551" w:type="dxa"/>
            <w:vAlign w:val="center"/>
          </w:tcPr>
          <w:p w14:paraId="31671199">
            <w:pPr>
              <w:pStyle w:val="13"/>
            </w:pPr>
            <w:r>
              <w:t>17.55</w:t>
            </w:r>
          </w:p>
        </w:tc>
        <w:tc>
          <w:tcPr>
            <w:tcW w:w="2268" w:type="dxa"/>
            <w:vAlign w:val="center"/>
          </w:tcPr>
          <w:p w14:paraId="570124D2">
            <w:pPr>
              <w:pStyle w:val="11"/>
            </w:pPr>
            <w:r>
              <w:t>其他资金</w:t>
            </w:r>
          </w:p>
        </w:tc>
        <w:tc>
          <w:tcPr>
            <w:tcW w:w="1276" w:type="dxa"/>
            <w:vAlign w:val="center"/>
          </w:tcPr>
          <w:p w14:paraId="21E9FEB8">
            <w:pPr>
              <w:pStyle w:val="13"/>
            </w:pPr>
            <w:r>
              <w:t xml:space="preserve"> </w:t>
            </w:r>
          </w:p>
        </w:tc>
      </w:tr>
      <w:tr w14:paraId="1FFE9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2219E"/>
        </w:tc>
        <w:tc>
          <w:tcPr>
            <w:tcW w:w="14033" w:type="dxa"/>
            <w:gridSpan w:val="6"/>
            <w:vAlign w:val="center"/>
          </w:tcPr>
          <w:p w14:paraId="6B637E13">
            <w:pPr>
              <w:pStyle w:val="13"/>
            </w:pPr>
            <w:r>
              <w:t>保障义务教育学校正常运转，完成教育教学活动和其他日常工作任务等方面的费用支出。</w:t>
            </w:r>
          </w:p>
        </w:tc>
      </w:tr>
      <w:tr w14:paraId="50137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8FED2">
            <w:pPr>
              <w:pStyle w:val="11"/>
            </w:pPr>
            <w:r>
              <w:t>资金支出计划（%）</w:t>
            </w:r>
          </w:p>
        </w:tc>
        <w:tc>
          <w:tcPr>
            <w:tcW w:w="5103" w:type="dxa"/>
            <w:gridSpan w:val="2"/>
            <w:vAlign w:val="center"/>
          </w:tcPr>
          <w:p w14:paraId="50A41A0D">
            <w:pPr>
              <w:pStyle w:val="11"/>
            </w:pPr>
            <w:r>
              <w:t>3月底</w:t>
            </w:r>
          </w:p>
        </w:tc>
        <w:tc>
          <w:tcPr>
            <w:tcW w:w="2835" w:type="dxa"/>
            <w:vAlign w:val="center"/>
          </w:tcPr>
          <w:p w14:paraId="694AA730">
            <w:pPr>
              <w:pStyle w:val="11"/>
            </w:pPr>
            <w:r>
              <w:t>6月底</w:t>
            </w:r>
          </w:p>
        </w:tc>
        <w:tc>
          <w:tcPr>
            <w:tcW w:w="2551" w:type="dxa"/>
            <w:vAlign w:val="center"/>
          </w:tcPr>
          <w:p w14:paraId="3D50DFA2">
            <w:pPr>
              <w:pStyle w:val="11"/>
            </w:pPr>
            <w:r>
              <w:t>10月底</w:t>
            </w:r>
          </w:p>
        </w:tc>
        <w:tc>
          <w:tcPr>
            <w:tcW w:w="3544" w:type="dxa"/>
            <w:gridSpan w:val="2"/>
            <w:vAlign w:val="center"/>
          </w:tcPr>
          <w:p w14:paraId="2AF7A42D">
            <w:pPr>
              <w:pStyle w:val="11"/>
            </w:pPr>
            <w:r>
              <w:t>12月底</w:t>
            </w:r>
          </w:p>
        </w:tc>
      </w:tr>
      <w:tr w14:paraId="20CF1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6071B"/>
        </w:tc>
        <w:tc>
          <w:tcPr>
            <w:tcW w:w="5103" w:type="dxa"/>
            <w:gridSpan w:val="2"/>
            <w:vAlign w:val="center"/>
          </w:tcPr>
          <w:p w14:paraId="4EAFAD63">
            <w:pPr>
              <w:pStyle w:val="12"/>
            </w:pPr>
            <w:r>
              <w:t xml:space="preserve"> </w:t>
            </w:r>
          </w:p>
        </w:tc>
        <w:tc>
          <w:tcPr>
            <w:tcW w:w="2835" w:type="dxa"/>
            <w:vAlign w:val="center"/>
          </w:tcPr>
          <w:p w14:paraId="5EFBD68B">
            <w:pPr>
              <w:pStyle w:val="12"/>
            </w:pPr>
            <w:r>
              <w:t>100%</w:t>
            </w:r>
          </w:p>
        </w:tc>
        <w:tc>
          <w:tcPr>
            <w:tcW w:w="2551" w:type="dxa"/>
            <w:vAlign w:val="center"/>
          </w:tcPr>
          <w:p w14:paraId="4F52F58A">
            <w:pPr>
              <w:pStyle w:val="12"/>
            </w:pPr>
            <w:r>
              <w:t>100%</w:t>
            </w:r>
          </w:p>
        </w:tc>
        <w:tc>
          <w:tcPr>
            <w:tcW w:w="3544" w:type="dxa"/>
            <w:gridSpan w:val="2"/>
            <w:vAlign w:val="center"/>
          </w:tcPr>
          <w:p w14:paraId="543A4DD2">
            <w:pPr>
              <w:pStyle w:val="12"/>
            </w:pPr>
            <w:r>
              <w:t>100%</w:t>
            </w:r>
          </w:p>
        </w:tc>
      </w:tr>
      <w:tr w14:paraId="055AA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C544C">
            <w:pPr>
              <w:pStyle w:val="11"/>
            </w:pPr>
            <w:r>
              <w:t>绩效目标</w:t>
            </w:r>
          </w:p>
        </w:tc>
        <w:tc>
          <w:tcPr>
            <w:tcW w:w="14033" w:type="dxa"/>
            <w:gridSpan w:val="6"/>
            <w:vAlign w:val="center"/>
          </w:tcPr>
          <w:p w14:paraId="6DB904B8">
            <w:pPr>
              <w:pStyle w:val="13"/>
            </w:pPr>
            <w:r>
              <w:t>1.保障义务教育学校正常运转，完成教育教学活动和其他日常工作任务等方面的费用支出。</w:t>
            </w:r>
            <w:r>
              <w:tab/>
            </w:r>
            <w:r>
              <w:tab/>
            </w:r>
            <w:r>
              <w:tab/>
            </w:r>
            <w:r>
              <w:tab/>
            </w:r>
            <w:r>
              <w:tab/>
            </w:r>
            <w:r>
              <w:tab/>
            </w:r>
          </w:p>
          <w:p w14:paraId="7C46EE85">
            <w:pPr>
              <w:pStyle w:val="13"/>
            </w:pPr>
          </w:p>
        </w:tc>
      </w:tr>
    </w:tbl>
    <w:p w14:paraId="295A2B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08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F3940">
            <w:pPr>
              <w:pStyle w:val="11"/>
            </w:pPr>
            <w:r>
              <w:t>一级指标</w:t>
            </w:r>
          </w:p>
        </w:tc>
        <w:tc>
          <w:tcPr>
            <w:tcW w:w="2268" w:type="dxa"/>
            <w:vAlign w:val="center"/>
          </w:tcPr>
          <w:p w14:paraId="2F1731B1">
            <w:pPr>
              <w:pStyle w:val="11"/>
            </w:pPr>
            <w:r>
              <w:t>二级指标</w:t>
            </w:r>
          </w:p>
        </w:tc>
        <w:tc>
          <w:tcPr>
            <w:tcW w:w="2835" w:type="dxa"/>
            <w:vAlign w:val="center"/>
          </w:tcPr>
          <w:p w14:paraId="4AE114E9">
            <w:pPr>
              <w:pStyle w:val="11"/>
            </w:pPr>
            <w:r>
              <w:t>三级指标</w:t>
            </w:r>
          </w:p>
        </w:tc>
        <w:tc>
          <w:tcPr>
            <w:tcW w:w="5386" w:type="dxa"/>
            <w:vAlign w:val="center"/>
          </w:tcPr>
          <w:p w14:paraId="04126D57">
            <w:pPr>
              <w:pStyle w:val="11"/>
            </w:pPr>
            <w:r>
              <w:t>绩效指标描述</w:t>
            </w:r>
          </w:p>
        </w:tc>
        <w:tc>
          <w:tcPr>
            <w:tcW w:w="2268" w:type="dxa"/>
            <w:vAlign w:val="center"/>
          </w:tcPr>
          <w:p w14:paraId="485CF70B">
            <w:pPr>
              <w:pStyle w:val="11"/>
            </w:pPr>
            <w:r>
              <w:t>指标值</w:t>
            </w:r>
          </w:p>
        </w:tc>
        <w:tc>
          <w:tcPr>
            <w:tcW w:w="1276" w:type="dxa"/>
            <w:vAlign w:val="center"/>
          </w:tcPr>
          <w:p w14:paraId="1B601C15">
            <w:pPr>
              <w:pStyle w:val="11"/>
            </w:pPr>
            <w:r>
              <w:t>指标值确定依据</w:t>
            </w:r>
          </w:p>
        </w:tc>
      </w:tr>
      <w:tr w14:paraId="3F490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1172D">
            <w:pPr>
              <w:pStyle w:val="12"/>
            </w:pPr>
            <w:r>
              <w:t>产出指标</w:t>
            </w:r>
          </w:p>
        </w:tc>
        <w:tc>
          <w:tcPr>
            <w:tcW w:w="2268" w:type="dxa"/>
            <w:vAlign w:val="center"/>
          </w:tcPr>
          <w:p w14:paraId="23FCFFA1">
            <w:pPr>
              <w:pStyle w:val="13"/>
            </w:pPr>
            <w:r>
              <w:t>数量指标</w:t>
            </w:r>
          </w:p>
        </w:tc>
        <w:tc>
          <w:tcPr>
            <w:tcW w:w="2835" w:type="dxa"/>
            <w:vAlign w:val="center"/>
          </w:tcPr>
          <w:p w14:paraId="14822F72">
            <w:pPr>
              <w:pStyle w:val="13"/>
            </w:pPr>
            <w:r>
              <w:t>适龄在校生</w:t>
            </w:r>
          </w:p>
        </w:tc>
        <w:tc>
          <w:tcPr>
            <w:tcW w:w="5386" w:type="dxa"/>
            <w:vAlign w:val="center"/>
          </w:tcPr>
          <w:p w14:paraId="46FD0B09">
            <w:pPr>
              <w:pStyle w:val="13"/>
            </w:pPr>
            <w:r>
              <w:t>适龄在校就读学生人数</w:t>
            </w:r>
          </w:p>
        </w:tc>
        <w:tc>
          <w:tcPr>
            <w:tcW w:w="2268" w:type="dxa"/>
            <w:vAlign w:val="center"/>
          </w:tcPr>
          <w:p w14:paraId="0A74E711">
            <w:pPr>
              <w:pStyle w:val="13"/>
            </w:pPr>
            <w:r>
              <w:t>459人</w:t>
            </w:r>
          </w:p>
        </w:tc>
        <w:tc>
          <w:tcPr>
            <w:tcW w:w="1276" w:type="dxa"/>
            <w:vAlign w:val="center"/>
          </w:tcPr>
          <w:p w14:paraId="7FE23045">
            <w:pPr>
              <w:pStyle w:val="13"/>
            </w:pPr>
            <w:r>
              <w:t>城乡义务教育公用经费管理办法</w:t>
            </w:r>
          </w:p>
        </w:tc>
      </w:tr>
      <w:tr w14:paraId="30A4C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5AD84"/>
        </w:tc>
        <w:tc>
          <w:tcPr>
            <w:tcW w:w="2268" w:type="dxa"/>
            <w:vAlign w:val="center"/>
          </w:tcPr>
          <w:p w14:paraId="50D183C8">
            <w:pPr>
              <w:pStyle w:val="13"/>
            </w:pPr>
            <w:r>
              <w:t>质量指标</w:t>
            </w:r>
          </w:p>
        </w:tc>
        <w:tc>
          <w:tcPr>
            <w:tcW w:w="2835" w:type="dxa"/>
            <w:vAlign w:val="center"/>
          </w:tcPr>
          <w:p w14:paraId="50A782A6">
            <w:pPr>
              <w:pStyle w:val="13"/>
            </w:pPr>
            <w:r>
              <w:t>预算控制率</w:t>
            </w:r>
          </w:p>
        </w:tc>
        <w:tc>
          <w:tcPr>
            <w:tcW w:w="5386" w:type="dxa"/>
            <w:vAlign w:val="center"/>
          </w:tcPr>
          <w:p w14:paraId="16BF9BCD">
            <w:pPr>
              <w:pStyle w:val="13"/>
            </w:pPr>
            <w:r>
              <w:t>预算执行</w:t>
            </w:r>
          </w:p>
        </w:tc>
        <w:tc>
          <w:tcPr>
            <w:tcW w:w="2268" w:type="dxa"/>
            <w:vAlign w:val="center"/>
          </w:tcPr>
          <w:p w14:paraId="532DFFAB">
            <w:pPr>
              <w:pStyle w:val="13"/>
            </w:pPr>
            <w:r>
              <w:t>≥95%</w:t>
            </w:r>
          </w:p>
        </w:tc>
        <w:tc>
          <w:tcPr>
            <w:tcW w:w="1276" w:type="dxa"/>
            <w:vAlign w:val="center"/>
          </w:tcPr>
          <w:p w14:paraId="64A995B3">
            <w:pPr>
              <w:pStyle w:val="13"/>
            </w:pPr>
            <w:r>
              <w:t>城乡义务教育公用经费管理办法</w:t>
            </w:r>
          </w:p>
        </w:tc>
      </w:tr>
      <w:tr w14:paraId="2663D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0C3C4"/>
        </w:tc>
        <w:tc>
          <w:tcPr>
            <w:tcW w:w="2268" w:type="dxa"/>
            <w:vAlign w:val="center"/>
          </w:tcPr>
          <w:p w14:paraId="7B811A41">
            <w:pPr>
              <w:pStyle w:val="13"/>
            </w:pPr>
            <w:r>
              <w:t>时效指标</w:t>
            </w:r>
          </w:p>
        </w:tc>
        <w:tc>
          <w:tcPr>
            <w:tcW w:w="2835" w:type="dxa"/>
            <w:vAlign w:val="center"/>
          </w:tcPr>
          <w:p w14:paraId="3FFB3688">
            <w:pPr>
              <w:pStyle w:val="13"/>
            </w:pPr>
            <w:r>
              <w:t>资金支付率</w:t>
            </w:r>
          </w:p>
        </w:tc>
        <w:tc>
          <w:tcPr>
            <w:tcW w:w="5386" w:type="dxa"/>
            <w:vAlign w:val="center"/>
          </w:tcPr>
          <w:p w14:paraId="0E02955C">
            <w:pPr>
              <w:pStyle w:val="13"/>
            </w:pPr>
            <w:r>
              <w:t>按照序时进度完成资金支付</w:t>
            </w:r>
          </w:p>
        </w:tc>
        <w:tc>
          <w:tcPr>
            <w:tcW w:w="2268" w:type="dxa"/>
            <w:vAlign w:val="center"/>
          </w:tcPr>
          <w:p w14:paraId="38A51B12">
            <w:pPr>
              <w:pStyle w:val="13"/>
            </w:pPr>
            <w:r>
              <w:t>≥100%</w:t>
            </w:r>
          </w:p>
        </w:tc>
        <w:tc>
          <w:tcPr>
            <w:tcW w:w="1276" w:type="dxa"/>
            <w:vAlign w:val="center"/>
          </w:tcPr>
          <w:p w14:paraId="2D15A821">
            <w:pPr>
              <w:pStyle w:val="13"/>
            </w:pPr>
            <w:r>
              <w:t>城乡义务教育公用经费管理办法</w:t>
            </w:r>
          </w:p>
        </w:tc>
      </w:tr>
      <w:tr w14:paraId="6B991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C471C"/>
        </w:tc>
        <w:tc>
          <w:tcPr>
            <w:tcW w:w="2268" w:type="dxa"/>
            <w:vAlign w:val="center"/>
          </w:tcPr>
          <w:p w14:paraId="029476DF">
            <w:pPr>
              <w:pStyle w:val="13"/>
            </w:pPr>
            <w:r>
              <w:t>成本指标</w:t>
            </w:r>
          </w:p>
        </w:tc>
        <w:tc>
          <w:tcPr>
            <w:tcW w:w="2835" w:type="dxa"/>
            <w:vAlign w:val="center"/>
          </w:tcPr>
          <w:p w14:paraId="0C044256">
            <w:pPr>
              <w:pStyle w:val="13"/>
            </w:pPr>
            <w:r>
              <w:t>生均拨款标准</w:t>
            </w:r>
          </w:p>
        </w:tc>
        <w:tc>
          <w:tcPr>
            <w:tcW w:w="5386" w:type="dxa"/>
            <w:vAlign w:val="center"/>
          </w:tcPr>
          <w:p w14:paraId="72B9F9B1">
            <w:pPr>
              <w:pStyle w:val="13"/>
            </w:pPr>
            <w:r>
              <w:t>小学：（基本标准720元、寄宿生300元、取暖120元）/生/学年；随班就读学生：标准6000元/生/学年。</w:t>
            </w:r>
          </w:p>
        </w:tc>
        <w:tc>
          <w:tcPr>
            <w:tcW w:w="2268" w:type="dxa"/>
            <w:vAlign w:val="center"/>
          </w:tcPr>
          <w:p w14:paraId="51ECFA4F">
            <w:pPr>
              <w:pStyle w:val="13"/>
            </w:pPr>
            <w:r>
              <w:t>840元</w:t>
            </w:r>
          </w:p>
        </w:tc>
        <w:tc>
          <w:tcPr>
            <w:tcW w:w="1276" w:type="dxa"/>
            <w:vAlign w:val="center"/>
          </w:tcPr>
          <w:p w14:paraId="41B4EA95">
            <w:pPr>
              <w:pStyle w:val="13"/>
            </w:pPr>
            <w:r>
              <w:t>城乡义务教育公用经费管理办法</w:t>
            </w:r>
          </w:p>
        </w:tc>
      </w:tr>
      <w:tr w14:paraId="2C5C7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62DB0">
            <w:pPr>
              <w:pStyle w:val="12"/>
            </w:pPr>
            <w:r>
              <w:t>效益指标</w:t>
            </w:r>
          </w:p>
        </w:tc>
        <w:tc>
          <w:tcPr>
            <w:tcW w:w="2268" w:type="dxa"/>
            <w:vAlign w:val="center"/>
          </w:tcPr>
          <w:p w14:paraId="608D3571">
            <w:pPr>
              <w:pStyle w:val="13"/>
            </w:pPr>
            <w:r>
              <w:t>可持续影响指标</w:t>
            </w:r>
          </w:p>
        </w:tc>
        <w:tc>
          <w:tcPr>
            <w:tcW w:w="2835" w:type="dxa"/>
            <w:vAlign w:val="center"/>
          </w:tcPr>
          <w:p w14:paraId="408F696D">
            <w:pPr>
              <w:pStyle w:val="13"/>
            </w:pPr>
            <w:r>
              <w:t>教育发展水平明显好转</w:t>
            </w:r>
          </w:p>
        </w:tc>
        <w:tc>
          <w:tcPr>
            <w:tcW w:w="5386" w:type="dxa"/>
            <w:vAlign w:val="center"/>
          </w:tcPr>
          <w:p w14:paraId="6749AFA3">
            <w:pPr>
              <w:pStyle w:val="13"/>
            </w:pPr>
            <w:r>
              <w:t>学生受教育年限</w:t>
            </w:r>
          </w:p>
        </w:tc>
        <w:tc>
          <w:tcPr>
            <w:tcW w:w="2268" w:type="dxa"/>
            <w:vAlign w:val="center"/>
          </w:tcPr>
          <w:p w14:paraId="2552BB73">
            <w:pPr>
              <w:pStyle w:val="13"/>
            </w:pPr>
            <w:r>
              <w:t>6年</w:t>
            </w:r>
          </w:p>
        </w:tc>
        <w:tc>
          <w:tcPr>
            <w:tcW w:w="1276" w:type="dxa"/>
            <w:vAlign w:val="center"/>
          </w:tcPr>
          <w:p w14:paraId="2D5301F0">
            <w:pPr>
              <w:pStyle w:val="13"/>
            </w:pPr>
            <w:r>
              <w:t>城乡义务教育公用经费管理办法</w:t>
            </w:r>
          </w:p>
        </w:tc>
      </w:tr>
      <w:tr w14:paraId="233A2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D1E18C">
            <w:pPr>
              <w:pStyle w:val="12"/>
            </w:pPr>
            <w:r>
              <w:t>满意度指标</w:t>
            </w:r>
          </w:p>
        </w:tc>
        <w:tc>
          <w:tcPr>
            <w:tcW w:w="2268" w:type="dxa"/>
            <w:vAlign w:val="center"/>
          </w:tcPr>
          <w:p w14:paraId="7D65AC8D">
            <w:pPr>
              <w:pStyle w:val="13"/>
            </w:pPr>
            <w:r>
              <w:t>服务对象满意度指标</w:t>
            </w:r>
          </w:p>
        </w:tc>
        <w:tc>
          <w:tcPr>
            <w:tcW w:w="2835" w:type="dxa"/>
            <w:vAlign w:val="center"/>
          </w:tcPr>
          <w:p w14:paraId="52759E88">
            <w:pPr>
              <w:pStyle w:val="13"/>
            </w:pPr>
            <w:r>
              <w:t>受益学生家长及调查满意度</w:t>
            </w:r>
          </w:p>
        </w:tc>
        <w:tc>
          <w:tcPr>
            <w:tcW w:w="5386" w:type="dxa"/>
            <w:vAlign w:val="center"/>
          </w:tcPr>
          <w:p w14:paraId="0BD42EB3">
            <w:pPr>
              <w:pStyle w:val="13"/>
            </w:pPr>
            <w:r>
              <w:t>学生、教师及家长对学校教育教学工作满意度情况</w:t>
            </w:r>
          </w:p>
        </w:tc>
        <w:tc>
          <w:tcPr>
            <w:tcW w:w="2268" w:type="dxa"/>
            <w:vAlign w:val="center"/>
          </w:tcPr>
          <w:p w14:paraId="50C64578">
            <w:pPr>
              <w:pStyle w:val="13"/>
            </w:pPr>
            <w:r>
              <w:t>≥95%</w:t>
            </w:r>
          </w:p>
        </w:tc>
        <w:tc>
          <w:tcPr>
            <w:tcW w:w="1276" w:type="dxa"/>
            <w:vAlign w:val="center"/>
          </w:tcPr>
          <w:p w14:paraId="7EA25720">
            <w:pPr>
              <w:pStyle w:val="13"/>
            </w:pPr>
            <w:r>
              <w:t>调查问卷</w:t>
            </w:r>
          </w:p>
        </w:tc>
      </w:tr>
    </w:tbl>
    <w:p w14:paraId="3B03F567">
      <w:pPr>
        <w:sectPr>
          <w:pgSz w:w="16840" w:h="11900" w:orient="landscape"/>
          <w:pgMar w:top="1361" w:right="1020" w:bottom="1134" w:left="1020" w:header="720" w:footer="720" w:gutter="0"/>
          <w:cols w:space="720" w:num="1"/>
        </w:sectPr>
      </w:pPr>
    </w:p>
    <w:p w14:paraId="48454CE9">
      <w:pPr>
        <w:spacing w:before="0" w:after="0"/>
        <w:ind w:firstLine="560"/>
        <w:jc w:val="left"/>
        <w:outlineLvl w:val="9"/>
      </w:pPr>
      <w:r>
        <w:rPr>
          <w:rFonts w:ascii="方正仿宋_GBK" w:hAnsi="方正仿宋_GBK" w:eastAsia="方正仿宋_GBK" w:cs="方正仿宋_GBK"/>
          <w:b/>
          <w:color w:val="000000"/>
          <w:sz w:val="28"/>
        </w:rPr>
        <w:t>11、冀财教[2023]163号/省级/2024年义教补助资金/私立东苑中学（初中）公用经费绩效目标表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C0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5CE32">
            <w:pPr>
              <w:pStyle w:val="14"/>
            </w:pPr>
            <w:r>
              <w:t>单位：万元</w:t>
            </w:r>
          </w:p>
        </w:tc>
      </w:tr>
      <w:tr w14:paraId="186E4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22A43B33">
            <w:pPr>
              <w:pStyle w:val="11"/>
            </w:pPr>
            <w:r>
              <w:t>项目编码</w:t>
            </w:r>
          </w:p>
        </w:tc>
        <w:tc>
          <w:tcPr>
            <w:tcW w:w="5103" w:type="dxa"/>
            <w:gridSpan w:val="2"/>
            <w:vAlign w:val="center"/>
          </w:tcPr>
          <w:p w14:paraId="2883FB8A">
            <w:pPr>
              <w:pStyle w:val="13"/>
            </w:pPr>
            <w:r>
              <w:t>13052524P000006111956</w:t>
            </w:r>
          </w:p>
        </w:tc>
        <w:tc>
          <w:tcPr>
            <w:tcW w:w="2835" w:type="dxa"/>
            <w:vAlign w:val="center"/>
          </w:tcPr>
          <w:p w14:paraId="22BDF5D0">
            <w:pPr>
              <w:pStyle w:val="11"/>
            </w:pPr>
            <w:r>
              <w:t>项目名称</w:t>
            </w:r>
          </w:p>
        </w:tc>
        <w:tc>
          <w:tcPr>
            <w:tcW w:w="6095" w:type="dxa"/>
            <w:gridSpan w:val="3"/>
            <w:vAlign w:val="center"/>
          </w:tcPr>
          <w:p w14:paraId="1149C22F">
            <w:pPr>
              <w:pStyle w:val="13"/>
            </w:pPr>
            <w:r>
              <w:t>冀财教[2023]163号/省级/2024年义教补助资金/私立东苑中学（初中）公用经费</w:t>
            </w:r>
          </w:p>
        </w:tc>
      </w:tr>
      <w:tr w14:paraId="134EE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084E9">
            <w:pPr>
              <w:pStyle w:val="11"/>
            </w:pPr>
            <w:r>
              <w:t>预算规模及资金用途</w:t>
            </w:r>
          </w:p>
        </w:tc>
        <w:tc>
          <w:tcPr>
            <w:tcW w:w="2268" w:type="dxa"/>
            <w:vAlign w:val="center"/>
          </w:tcPr>
          <w:p w14:paraId="70D10A57">
            <w:pPr>
              <w:pStyle w:val="11"/>
            </w:pPr>
            <w:r>
              <w:t>预算数</w:t>
            </w:r>
          </w:p>
        </w:tc>
        <w:tc>
          <w:tcPr>
            <w:tcW w:w="2835" w:type="dxa"/>
            <w:vAlign w:val="center"/>
          </w:tcPr>
          <w:p w14:paraId="32E298C5">
            <w:pPr>
              <w:pStyle w:val="13"/>
            </w:pPr>
            <w:r>
              <w:t>42.60</w:t>
            </w:r>
          </w:p>
        </w:tc>
        <w:tc>
          <w:tcPr>
            <w:tcW w:w="2835" w:type="dxa"/>
            <w:vAlign w:val="center"/>
          </w:tcPr>
          <w:p w14:paraId="3E0D1FE8">
            <w:pPr>
              <w:pStyle w:val="11"/>
            </w:pPr>
            <w:r>
              <w:t>其中：财政    资金</w:t>
            </w:r>
          </w:p>
        </w:tc>
        <w:tc>
          <w:tcPr>
            <w:tcW w:w="2551" w:type="dxa"/>
            <w:vAlign w:val="center"/>
          </w:tcPr>
          <w:p w14:paraId="4E5191FC">
            <w:pPr>
              <w:pStyle w:val="13"/>
            </w:pPr>
            <w:r>
              <w:t>42.60</w:t>
            </w:r>
          </w:p>
        </w:tc>
        <w:tc>
          <w:tcPr>
            <w:tcW w:w="2268" w:type="dxa"/>
            <w:vAlign w:val="center"/>
          </w:tcPr>
          <w:p w14:paraId="5209B2B0">
            <w:pPr>
              <w:pStyle w:val="11"/>
            </w:pPr>
            <w:r>
              <w:t>其他资金</w:t>
            </w:r>
          </w:p>
        </w:tc>
        <w:tc>
          <w:tcPr>
            <w:tcW w:w="1276" w:type="dxa"/>
            <w:vAlign w:val="center"/>
          </w:tcPr>
          <w:p w14:paraId="1A30A182">
            <w:pPr>
              <w:pStyle w:val="13"/>
            </w:pPr>
            <w:r>
              <w:t xml:space="preserve"> </w:t>
            </w:r>
          </w:p>
        </w:tc>
      </w:tr>
      <w:tr w14:paraId="4D22E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721417"/>
        </w:tc>
        <w:tc>
          <w:tcPr>
            <w:tcW w:w="14033" w:type="dxa"/>
            <w:gridSpan w:val="6"/>
            <w:vAlign w:val="center"/>
          </w:tcPr>
          <w:p w14:paraId="08BCECBB">
            <w:pPr>
              <w:pStyle w:val="13"/>
            </w:pPr>
            <w:r>
              <w:t xml:space="preserve">保障义务教育学校正常运转，完成教育教学活动和其他日常工作任务等方面的费用支出。     </w:t>
            </w:r>
          </w:p>
        </w:tc>
      </w:tr>
      <w:tr w14:paraId="5B30E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EAEC0">
            <w:pPr>
              <w:pStyle w:val="11"/>
            </w:pPr>
            <w:r>
              <w:t>资金支出计划（%）</w:t>
            </w:r>
          </w:p>
        </w:tc>
        <w:tc>
          <w:tcPr>
            <w:tcW w:w="5103" w:type="dxa"/>
            <w:gridSpan w:val="2"/>
            <w:vAlign w:val="center"/>
          </w:tcPr>
          <w:p w14:paraId="4B132035">
            <w:pPr>
              <w:pStyle w:val="11"/>
            </w:pPr>
            <w:r>
              <w:t>3月底</w:t>
            </w:r>
          </w:p>
        </w:tc>
        <w:tc>
          <w:tcPr>
            <w:tcW w:w="2835" w:type="dxa"/>
            <w:vAlign w:val="center"/>
          </w:tcPr>
          <w:p w14:paraId="6A11B52D">
            <w:pPr>
              <w:pStyle w:val="11"/>
            </w:pPr>
            <w:r>
              <w:t>6月底</w:t>
            </w:r>
          </w:p>
        </w:tc>
        <w:tc>
          <w:tcPr>
            <w:tcW w:w="2551" w:type="dxa"/>
            <w:vAlign w:val="center"/>
          </w:tcPr>
          <w:p w14:paraId="641D9BC1">
            <w:pPr>
              <w:pStyle w:val="11"/>
            </w:pPr>
            <w:r>
              <w:t>10月底</w:t>
            </w:r>
          </w:p>
        </w:tc>
        <w:tc>
          <w:tcPr>
            <w:tcW w:w="3544" w:type="dxa"/>
            <w:gridSpan w:val="2"/>
            <w:vAlign w:val="center"/>
          </w:tcPr>
          <w:p w14:paraId="5FB25D7A">
            <w:pPr>
              <w:pStyle w:val="11"/>
            </w:pPr>
            <w:r>
              <w:t>12月底</w:t>
            </w:r>
          </w:p>
        </w:tc>
      </w:tr>
      <w:tr w14:paraId="1D692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B51B46"/>
        </w:tc>
        <w:tc>
          <w:tcPr>
            <w:tcW w:w="5103" w:type="dxa"/>
            <w:gridSpan w:val="2"/>
            <w:vAlign w:val="center"/>
          </w:tcPr>
          <w:p w14:paraId="5D09706D">
            <w:pPr>
              <w:pStyle w:val="12"/>
            </w:pPr>
            <w:r>
              <w:t xml:space="preserve"> </w:t>
            </w:r>
          </w:p>
        </w:tc>
        <w:tc>
          <w:tcPr>
            <w:tcW w:w="2835" w:type="dxa"/>
            <w:vAlign w:val="center"/>
          </w:tcPr>
          <w:p w14:paraId="4B41CF1B">
            <w:pPr>
              <w:pStyle w:val="12"/>
            </w:pPr>
            <w:r>
              <w:t>100%</w:t>
            </w:r>
          </w:p>
        </w:tc>
        <w:tc>
          <w:tcPr>
            <w:tcW w:w="2551" w:type="dxa"/>
            <w:vAlign w:val="center"/>
          </w:tcPr>
          <w:p w14:paraId="64BC9E1F">
            <w:pPr>
              <w:pStyle w:val="12"/>
            </w:pPr>
            <w:r>
              <w:t>100%</w:t>
            </w:r>
          </w:p>
        </w:tc>
        <w:tc>
          <w:tcPr>
            <w:tcW w:w="3544" w:type="dxa"/>
            <w:gridSpan w:val="2"/>
            <w:vAlign w:val="center"/>
          </w:tcPr>
          <w:p w14:paraId="516E79C7">
            <w:pPr>
              <w:pStyle w:val="12"/>
            </w:pPr>
            <w:r>
              <w:t>100%</w:t>
            </w:r>
          </w:p>
        </w:tc>
      </w:tr>
      <w:tr w14:paraId="30C69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9DB7B9">
            <w:pPr>
              <w:pStyle w:val="11"/>
            </w:pPr>
            <w:r>
              <w:t>绩效目标</w:t>
            </w:r>
          </w:p>
        </w:tc>
        <w:tc>
          <w:tcPr>
            <w:tcW w:w="14033" w:type="dxa"/>
            <w:gridSpan w:val="6"/>
            <w:vAlign w:val="center"/>
          </w:tcPr>
          <w:p w14:paraId="36FA8291">
            <w:pPr>
              <w:pStyle w:val="13"/>
            </w:pPr>
            <w:r>
              <w:t xml:space="preserve">1.保障义务教育学校正常运转，完成教育教学活动和其他日常工作任务等方面的费用支出。     </w:t>
            </w:r>
          </w:p>
        </w:tc>
      </w:tr>
    </w:tbl>
    <w:p w14:paraId="40B84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C4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D6CF4">
            <w:pPr>
              <w:pStyle w:val="11"/>
            </w:pPr>
            <w:r>
              <w:t>一级指标</w:t>
            </w:r>
          </w:p>
        </w:tc>
        <w:tc>
          <w:tcPr>
            <w:tcW w:w="2268" w:type="dxa"/>
            <w:vAlign w:val="center"/>
          </w:tcPr>
          <w:p w14:paraId="55190B9E">
            <w:pPr>
              <w:pStyle w:val="11"/>
            </w:pPr>
            <w:r>
              <w:t>二级指标</w:t>
            </w:r>
          </w:p>
        </w:tc>
        <w:tc>
          <w:tcPr>
            <w:tcW w:w="2835" w:type="dxa"/>
            <w:vAlign w:val="center"/>
          </w:tcPr>
          <w:p w14:paraId="5C774C30">
            <w:pPr>
              <w:pStyle w:val="11"/>
            </w:pPr>
            <w:r>
              <w:t>三级指标</w:t>
            </w:r>
          </w:p>
        </w:tc>
        <w:tc>
          <w:tcPr>
            <w:tcW w:w="5386" w:type="dxa"/>
            <w:vAlign w:val="center"/>
          </w:tcPr>
          <w:p w14:paraId="309B0131">
            <w:pPr>
              <w:pStyle w:val="11"/>
            </w:pPr>
            <w:r>
              <w:t>绩效指标描述</w:t>
            </w:r>
          </w:p>
        </w:tc>
        <w:tc>
          <w:tcPr>
            <w:tcW w:w="2268" w:type="dxa"/>
            <w:vAlign w:val="center"/>
          </w:tcPr>
          <w:p w14:paraId="62B3A80A">
            <w:pPr>
              <w:pStyle w:val="11"/>
            </w:pPr>
            <w:r>
              <w:t>指标值</w:t>
            </w:r>
          </w:p>
        </w:tc>
        <w:tc>
          <w:tcPr>
            <w:tcW w:w="1276" w:type="dxa"/>
            <w:vAlign w:val="center"/>
          </w:tcPr>
          <w:p w14:paraId="08BDA109">
            <w:pPr>
              <w:pStyle w:val="11"/>
            </w:pPr>
            <w:r>
              <w:t>指标值确定依据</w:t>
            </w:r>
          </w:p>
        </w:tc>
      </w:tr>
      <w:tr w14:paraId="0834F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B77C4">
            <w:pPr>
              <w:pStyle w:val="12"/>
            </w:pPr>
            <w:r>
              <w:t>产出指标</w:t>
            </w:r>
          </w:p>
        </w:tc>
        <w:tc>
          <w:tcPr>
            <w:tcW w:w="2268" w:type="dxa"/>
            <w:vAlign w:val="center"/>
          </w:tcPr>
          <w:p w14:paraId="2EFF7B1A">
            <w:pPr>
              <w:pStyle w:val="13"/>
            </w:pPr>
            <w:r>
              <w:t>数量指标</w:t>
            </w:r>
          </w:p>
        </w:tc>
        <w:tc>
          <w:tcPr>
            <w:tcW w:w="2835" w:type="dxa"/>
            <w:vAlign w:val="center"/>
          </w:tcPr>
          <w:p w14:paraId="7176DD0D">
            <w:pPr>
              <w:pStyle w:val="13"/>
            </w:pPr>
            <w:r>
              <w:t>适龄在校生</w:t>
            </w:r>
          </w:p>
        </w:tc>
        <w:tc>
          <w:tcPr>
            <w:tcW w:w="5386" w:type="dxa"/>
            <w:vAlign w:val="center"/>
          </w:tcPr>
          <w:p w14:paraId="658A0633">
            <w:pPr>
              <w:pStyle w:val="13"/>
            </w:pPr>
            <w:r>
              <w:t>适龄在校就读学生人数</w:t>
            </w:r>
          </w:p>
        </w:tc>
        <w:tc>
          <w:tcPr>
            <w:tcW w:w="2268" w:type="dxa"/>
            <w:vAlign w:val="center"/>
          </w:tcPr>
          <w:p w14:paraId="1ACDE62B">
            <w:pPr>
              <w:pStyle w:val="13"/>
            </w:pPr>
            <w:r>
              <w:t>895人</w:t>
            </w:r>
          </w:p>
        </w:tc>
        <w:tc>
          <w:tcPr>
            <w:tcW w:w="1276" w:type="dxa"/>
            <w:vAlign w:val="center"/>
          </w:tcPr>
          <w:p w14:paraId="2E920D98">
            <w:pPr>
              <w:pStyle w:val="13"/>
            </w:pPr>
            <w:r>
              <w:t>城乡义务教育公用经费管理办法</w:t>
            </w:r>
          </w:p>
        </w:tc>
      </w:tr>
      <w:tr w14:paraId="01146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0AC77"/>
        </w:tc>
        <w:tc>
          <w:tcPr>
            <w:tcW w:w="2268" w:type="dxa"/>
            <w:vAlign w:val="center"/>
          </w:tcPr>
          <w:p w14:paraId="176C1656">
            <w:pPr>
              <w:pStyle w:val="13"/>
            </w:pPr>
            <w:r>
              <w:t>质量指标</w:t>
            </w:r>
          </w:p>
        </w:tc>
        <w:tc>
          <w:tcPr>
            <w:tcW w:w="2835" w:type="dxa"/>
            <w:vAlign w:val="center"/>
          </w:tcPr>
          <w:p w14:paraId="763BDB6F">
            <w:pPr>
              <w:pStyle w:val="13"/>
            </w:pPr>
            <w:r>
              <w:t>预算控制率</w:t>
            </w:r>
          </w:p>
        </w:tc>
        <w:tc>
          <w:tcPr>
            <w:tcW w:w="5386" w:type="dxa"/>
            <w:vAlign w:val="center"/>
          </w:tcPr>
          <w:p w14:paraId="0EB679CE">
            <w:pPr>
              <w:pStyle w:val="13"/>
            </w:pPr>
            <w:r>
              <w:t>预算执行</w:t>
            </w:r>
          </w:p>
        </w:tc>
        <w:tc>
          <w:tcPr>
            <w:tcW w:w="2268" w:type="dxa"/>
            <w:vAlign w:val="center"/>
          </w:tcPr>
          <w:p w14:paraId="176BAA49">
            <w:pPr>
              <w:pStyle w:val="13"/>
            </w:pPr>
            <w:r>
              <w:t>≥95%</w:t>
            </w:r>
          </w:p>
        </w:tc>
        <w:tc>
          <w:tcPr>
            <w:tcW w:w="1276" w:type="dxa"/>
            <w:vAlign w:val="center"/>
          </w:tcPr>
          <w:p w14:paraId="566D23C1">
            <w:pPr>
              <w:pStyle w:val="13"/>
            </w:pPr>
            <w:r>
              <w:t>城乡义务教育公用经费管理办法</w:t>
            </w:r>
          </w:p>
        </w:tc>
      </w:tr>
      <w:tr w14:paraId="54780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3E28E"/>
        </w:tc>
        <w:tc>
          <w:tcPr>
            <w:tcW w:w="2268" w:type="dxa"/>
            <w:vAlign w:val="center"/>
          </w:tcPr>
          <w:p w14:paraId="06388242">
            <w:pPr>
              <w:pStyle w:val="13"/>
            </w:pPr>
            <w:r>
              <w:t>时效指标</w:t>
            </w:r>
          </w:p>
        </w:tc>
        <w:tc>
          <w:tcPr>
            <w:tcW w:w="2835" w:type="dxa"/>
            <w:vAlign w:val="center"/>
          </w:tcPr>
          <w:p w14:paraId="2D21E50A">
            <w:pPr>
              <w:pStyle w:val="13"/>
            </w:pPr>
            <w:r>
              <w:t>资金支付率</w:t>
            </w:r>
          </w:p>
        </w:tc>
        <w:tc>
          <w:tcPr>
            <w:tcW w:w="5386" w:type="dxa"/>
            <w:vAlign w:val="center"/>
          </w:tcPr>
          <w:p w14:paraId="77A48237">
            <w:pPr>
              <w:pStyle w:val="13"/>
            </w:pPr>
            <w:r>
              <w:t>按照序时进度完成资金支付</w:t>
            </w:r>
          </w:p>
        </w:tc>
        <w:tc>
          <w:tcPr>
            <w:tcW w:w="2268" w:type="dxa"/>
            <w:vAlign w:val="center"/>
          </w:tcPr>
          <w:p w14:paraId="19828150">
            <w:pPr>
              <w:pStyle w:val="13"/>
            </w:pPr>
            <w:r>
              <w:t>≥100%</w:t>
            </w:r>
          </w:p>
        </w:tc>
        <w:tc>
          <w:tcPr>
            <w:tcW w:w="1276" w:type="dxa"/>
            <w:vAlign w:val="center"/>
          </w:tcPr>
          <w:p w14:paraId="266279AB">
            <w:pPr>
              <w:pStyle w:val="13"/>
            </w:pPr>
            <w:r>
              <w:t>城乡义务教育公用经费管理办法</w:t>
            </w:r>
          </w:p>
        </w:tc>
      </w:tr>
      <w:tr w14:paraId="03C38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DBC3A"/>
        </w:tc>
        <w:tc>
          <w:tcPr>
            <w:tcW w:w="2268" w:type="dxa"/>
            <w:vAlign w:val="center"/>
          </w:tcPr>
          <w:p w14:paraId="34A59354">
            <w:pPr>
              <w:pStyle w:val="13"/>
            </w:pPr>
            <w:r>
              <w:t>成本指标</w:t>
            </w:r>
          </w:p>
        </w:tc>
        <w:tc>
          <w:tcPr>
            <w:tcW w:w="2835" w:type="dxa"/>
            <w:vAlign w:val="center"/>
          </w:tcPr>
          <w:p w14:paraId="27C6F4A6">
            <w:pPr>
              <w:pStyle w:val="13"/>
            </w:pPr>
            <w:r>
              <w:t>生均拨款标准</w:t>
            </w:r>
          </w:p>
        </w:tc>
        <w:tc>
          <w:tcPr>
            <w:tcW w:w="5386" w:type="dxa"/>
            <w:vAlign w:val="center"/>
          </w:tcPr>
          <w:p w14:paraId="6E5BF3E0">
            <w:pPr>
              <w:pStyle w:val="13"/>
            </w:pPr>
            <w:r>
              <w:t>初中：（基本标准940元、寄宿生300元、取暖120元）/生/学年；随班就读学生：标准6000元/生/学年。。</w:t>
            </w:r>
          </w:p>
        </w:tc>
        <w:tc>
          <w:tcPr>
            <w:tcW w:w="2268" w:type="dxa"/>
            <w:vAlign w:val="center"/>
          </w:tcPr>
          <w:p w14:paraId="3D11B12C">
            <w:pPr>
              <w:pStyle w:val="13"/>
            </w:pPr>
            <w:r>
              <w:t>1360元</w:t>
            </w:r>
          </w:p>
        </w:tc>
        <w:tc>
          <w:tcPr>
            <w:tcW w:w="1276" w:type="dxa"/>
            <w:vAlign w:val="center"/>
          </w:tcPr>
          <w:p w14:paraId="40DD2A27">
            <w:pPr>
              <w:pStyle w:val="13"/>
            </w:pPr>
            <w:r>
              <w:t>城乡义务教育公用经费管理办法</w:t>
            </w:r>
          </w:p>
        </w:tc>
      </w:tr>
      <w:tr w14:paraId="2C466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C69428">
            <w:pPr>
              <w:pStyle w:val="12"/>
            </w:pPr>
            <w:r>
              <w:t>效益指标</w:t>
            </w:r>
          </w:p>
        </w:tc>
        <w:tc>
          <w:tcPr>
            <w:tcW w:w="2268" w:type="dxa"/>
            <w:vAlign w:val="center"/>
          </w:tcPr>
          <w:p w14:paraId="26F9A7A3">
            <w:pPr>
              <w:pStyle w:val="13"/>
            </w:pPr>
            <w:r>
              <w:t>可持续影响指标</w:t>
            </w:r>
          </w:p>
        </w:tc>
        <w:tc>
          <w:tcPr>
            <w:tcW w:w="2835" w:type="dxa"/>
            <w:vAlign w:val="center"/>
          </w:tcPr>
          <w:p w14:paraId="71079906">
            <w:pPr>
              <w:pStyle w:val="13"/>
            </w:pPr>
            <w:r>
              <w:t>教育发展水平明显好转</w:t>
            </w:r>
          </w:p>
        </w:tc>
        <w:tc>
          <w:tcPr>
            <w:tcW w:w="5386" w:type="dxa"/>
            <w:vAlign w:val="center"/>
          </w:tcPr>
          <w:p w14:paraId="0A97AAE5">
            <w:pPr>
              <w:pStyle w:val="13"/>
            </w:pPr>
            <w:r>
              <w:t>学生受教育年限</w:t>
            </w:r>
          </w:p>
        </w:tc>
        <w:tc>
          <w:tcPr>
            <w:tcW w:w="2268" w:type="dxa"/>
            <w:vAlign w:val="center"/>
          </w:tcPr>
          <w:p w14:paraId="6EA41132">
            <w:pPr>
              <w:pStyle w:val="13"/>
            </w:pPr>
            <w:r>
              <w:t>3年</w:t>
            </w:r>
          </w:p>
        </w:tc>
        <w:tc>
          <w:tcPr>
            <w:tcW w:w="1276" w:type="dxa"/>
            <w:vAlign w:val="center"/>
          </w:tcPr>
          <w:p w14:paraId="0DCB1996">
            <w:pPr>
              <w:pStyle w:val="13"/>
            </w:pPr>
            <w:r>
              <w:t>城乡义务教育公用经费管理办法</w:t>
            </w:r>
          </w:p>
        </w:tc>
      </w:tr>
      <w:tr w14:paraId="0971E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01007A">
            <w:pPr>
              <w:pStyle w:val="12"/>
            </w:pPr>
            <w:r>
              <w:t>满意度指标</w:t>
            </w:r>
          </w:p>
        </w:tc>
        <w:tc>
          <w:tcPr>
            <w:tcW w:w="2268" w:type="dxa"/>
            <w:vAlign w:val="center"/>
          </w:tcPr>
          <w:p w14:paraId="757AAEAE">
            <w:pPr>
              <w:pStyle w:val="13"/>
            </w:pPr>
            <w:r>
              <w:t>服务对象满意度指标</w:t>
            </w:r>
          </w:p>
        </w:tc>
        <w:tc>
          <w:tcPr>
            <w:tcW w:w="2835" w:type="dxa"/>
            <w:vAlign w:val="center"/>
          </w:tcPr>
          <w:p w14:paraId="2DD7E2FD">
            <w:pPr>
              <w:pStyle w:val="13"/>
            </w:pPr>
            <w:r>
              <w:t>受益学生家长及调查满意度</w:t>
            </w:r>
          </w:p>
        </w:tc>
        <w:tc>
          <w:tcPr>
            <w:tcW w:w="5386" w:type="dxa"/>
            <w:vAlign w:val="center"/>
          </w:tcPr>
          <w:p w14:paraId="13D299B2">
            <w:pPr>
              <w:pStyle w:val="13"/>
            </w:pPr>
            <w:r>
              <w:t>学生、教师及家长对学校教育教学工作满意度情况</w:t>
            </w:r>
          </w:p>
        </w:tc>
        <w:tc>
          <w:tcPr>
            <w:tcW w:w="2268" w:type="dxa"/>
            <w:vAlign w:val="center"/>
          </w:tcPr>
          <w:p w14:paraId="77830DBE">
            <w:pPr>
              <w:pStyle w:val="13"/>
            </w:pPr>
            <w:r>
              <w:t>≥95%</w:t>
            </w:r>
          </w:p>
        </w:tc>
        <w:tc>
          <w:tcPr>
            <w:tcW w:w="1276" w:type="dxa"/>
            <w:vAlign w:val="center"/>
          </w:tcPr>
          <w:p w14:paraId="4E80D003">
            <w:pPr>
              <w:pStyle w:val="13"/>
            </w:pPr>
            <w:r>
              <w:t>调查问卷</w:t>
            </w:r>
          </w:p>
        </w:tc>
      </w:tr>
    </w:tbl>
    <w:p w14:paraId="6DADC68F">
      <w:pPr>
        <w:sectPr>
          <w:pgSz w:w="16840" w:h="11900" w:orient="landscape"/>
          <w:pgMar w:top="1361" w:right="1020" w:bottom="1134" w:left="1020" w:header="720" w:footer="720" w:gutter="0"/>
          <w:cols w:space="720" w:num="1"/>
        </w:sectPr>
      </w:pPr>
    </w:p>
    <w:p w14:paraId="47357CDB">
      <w:pPr>
        <w:spacing w:before="0" w:after="0"/>
        <w:ind w:firstLine="560"/>
        <w:jc w:val="left"/>
        <w:outlineLvl w:val="9"/>
      </w:pPr>
      <w:r>
        <w:rPr>
          <w:rFonts w:ascii="方正仿宋_GBK" w:hAnsi="方正仿宋_GBK" w:eastAsia="方正仿宋_GBK" w:cs="方正仿宋_GBK"/>
          <w:b/>
          <w:color w:val="000000"/>
          <w:sz w:val="28"/>
        </w:rPr>
        <w:t>12、冀财教[2023]163号/省级/2024年义教补助资金/私立东苑中学（小学）公用经费绩效目标表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48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D46A7">
            <w:pPr>
              <w:pStyle w:val="14"/>
            </w:pPr>
            <w:r>
              <w:t>单位：万元</w:t>
            </w:r>
          </w:p>
        </w:tc>
      </w:tr>
      <w:tr w14:paraId="2355B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07F61F">
            <w:pPr>
              <w:pStyle w:val="11"/>
            </w:pPr>
            <w:r>
              <w:t>项目编码</w:t>
            </w:r>
          </w:p>
        </w:tc>
        <w:tc>
          <w:tcPr>
            <w:tcW w:w="5103" w:type="dxa"/>
            <w:gridSpan w:val="2"/>
            <w:vAlign w:val="center"/>
          </w:tcPr>
          <w:p w14:paraId="243DF13B">
            <w:pPr>
              <w:pStyle w:val="13"/>
            </w:pPr>
            <w:r>
              <w:t>13052524P00000611191P</w:t>
            </w:r>
          </w:p>
        </w:tc>
        <w:tc>
          <w:tcPr>
            <w:tcW w:w="2835" w:type="dxa"/>
            <w:vAlign w:val="center"/>
          </w:tcPr>
          <w:p w14:paraId="6CEE899B">
            <w:pPr>
              <w:pStyle w:val="11"/>
            </w:pPr>
            <w:r>
              <w:t>项目名称</w:t>
            </w:r>
          </w:p>
        </w:tc>
        <w:tc>
          <w:tcPr>
            <w:tcW w:w="6095" w:type="dxa"/>
            <w:gridSpan w:val="3"/>
            <w:vAlign w:val="center"/>
          </w:tcPr>
          <w:p w14:paraId="62BC4221">
            <w:pPr>
              <w:pStyle w:val="13"/>
            </w:pPr>
            <w:r>
              <w:t>冀财教[2023]163号/省级/2024年义教补助资金/私立东苑中学（小学）公用经费</w:t>
            </w:r>
          </w:p>
        </w:tc>
      </w:tr>
      <w:tr w14:paraId="065CF8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00247">
            <w:pPr>
              <w:pStyle w:val="11"/>
            </w:pPr>
            <w:r>
              <w:t>预算规模及资金用途</w:t>
            </w:r>
          </w:p>
        </w:tc>
        <w:tc>
          <w:tcPr>
            <w:tcW w:w="2268" w:type="dxa"/>
            <w:vAlign w:val="center"/>
          </w:tcPr>
          <w:p w14:paraId="44568080">
            <w:pPr>
              <w:pStyle w:val="11"/>
            </w:pPr>
            <w:r>
              <w:t>预算数</w:t>
            </w:r>
          </w:p>
        </w:tc>
        <w:tc>
          <w:tcPr>
            <w:tcW w:w="2835" w:type="dxa"/>
            <w:vAlign w:val="center"/>
          </w:tcPr>
          <w:p w14:paraId="6107E609">
            <w:pPr>
              <w:pStyle w:val="13"/>
            </w:pPr>
            <w:r>
              <w:t>3.91</w:t>
            </w:r>
          </w:p>
        </w:tc>
        <w:tc>
          <w:tcPr>
            <w:tcW w:w="2835" w:type="dxa"/>
            <w:vAlign w:val="center"/>
          </w:tcPr>
          <w:p w14:paraId="7B3CE955">
            <w:pPr>
              <w:pStyle w:val="11"/>
            </w:pPr>
            <w:r>
              <w:t>其中：财政    资金</w:t>
            </w:r>
          </w:p>
        </w:tc>
        <w:tc>
          <w:tcPr>
            <w:tcW w:w="2551" w:type="dxa"/>
            <w:vAlign w:val="center"/>
          </w:tcPr>
          <w:p w14:paraId="39166BA6">
            <w:pPr>
              <w:pStyle w:val="13"/>
            </w:pPr>
            <w:r>
              <w:t>3.91</w:t>
            </w:r>
          </w:p>
        </w:tc>
        <w:tc>
          <w:tcPr>
            <w:tcW w:w="2268" w:type="dxa"/>
            <w:vAlign w:val="center"/>
          </w:tcPr>
          <w:p w14:paraId="3F3E4AEA">
            <w:pPr>
              <w:pStyle w:val="11"/>
            </w:pPr>
            <w:r>
              <w:t>其他资金</w:t>
            </w:r>
          </w:p>
        </w:tc>
        <w:tc>
          <w:tcPr>
            <w:tcW w:w="1276" w:type="dxa"/>
            <w:vAlign w:val="center"/>
          </w:tcPr>
          <w:p w14:paraId="07AE99B4">
            <w:pPr>
              <w:pStyle w:val="13"/>
            </w:pPr>
            <w:r>
              <w:t xml:space="preserve"> </w:t>
            </w:r>
          </w:p>
        </w:tc>
      </w:tr>
      <w:tr w14:paraId="1989A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9C18BE"/>
        </w:tc>
        <w:tc>
          <w:tcPr>
            <w:tcW w:w="14033" w:type="dxa"/>
            <w:gridSpan w:val="6"/>
            <w:vAlign w:val="center"/>
          </w:tcPr>
          <w:p w14:paraId="5B680AFD">
            <w:pPr>
              <w:pStyle w:val="13"/>
            </w:pPr>
            <w:r>
              <w:t xml:space="preserve">保障义务教育学校正常运转，完成教育教学活动和其他日常工作任务等方面的费用支出。     </w:t>
            </w:r>
          </w:p>
        </w:tc>
      </w:tr>
      <w:tr w14:paraId="3FF72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32372">
            <w:pPr>
              <w:pStyle w:val="11"/>
            </w:pPr>
            <w:r>
              <w:t>资金支出计划（%）</w:t>
            </w:r>
          </w:p>
        </w:tc>
        <w:tc>
          <w:tcPr>
            <w:tcW w:w="5103" w:type="dxa"/>
            <w:gridSpan w:val="2"/>
            <w:vAlign w:val="center"/>
          </w:tcPr>
          <w:p w14:paraId="1D824023">
            <w:pPr>
              <w:pStyle w:val="11"/>
            </w:pPr>
            <w:r>
              <w:t>3月底</w:t>
            </w:r>
          </w:p>
        </w:tc>
        <w:tc>
          <w:tcPr>
            <w:tcW w:w="2835" w:type="dxa"/>
            <w:vAlign w:val="center"/>
          </w:tcPr>
          <w:p w14:paraId="611AC3DE">
            <w:pPr>
              <w:pStyle w:val="11"/>
            </w:pPr>
            <w:r>
              <w:t>6月底</w:t>
            </w:r>
          </w:p>
        </w:tc>
        <w:tc>
          <w:tcPr>
            <w:tcW w:w="2551" w:type="dxa"/>
            <w:vAlign w:val="center"/>
          </w:tcPr>
          <w:p w14:paraId="618C7382">
            <w:pPr>
              <w:pStyle w:val="11"/>
            </w:pPr>
            <w:r>
              <w:t>10月底</w:t>
            </w:r>
          </w:p>
        </w:tc>
        <w:tc>
          <w:tcPr>
            <w:tcW w:w="3544" w:type="dxa"/>
            <w:gridSpan w:val="2"/>
            <w:vAlign w:val="center"/>
          </w:tcPr>
          <w:p w14:paraId="04DA4EC1">
            <w:pPr>
              <w:pStyle w:val="11"/>
            </w:pPr>
            <w:r>
              <w:t>12月底</w:t>
            </w:r>
          </w:p>
        </w:tc>
      </w:tr>
      <w:tr w14:paraId="17D6B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FA792"/>
        </w:tc>
        <w:tc>
          <w:tcPr>
            <w:tcW w:w="5103" w:type="dxa"/>
            <w:gridSpan w:val="2"/>
            <w:vAlign w:val="center"/>
          </w:tcPr>
          <w:p w14:paraId="168D0330">
            <w:pPr>
              <w:pStyle w:val="12"/>
            </w:pPr>
            <w:r>
              <w:t xml:space="preserve"> </w:t>
            </w:r>
          </w:p>
        </w:tc>
        <w:tc>
          <w:tcPr>
            <w:tcW w:w="2835" w:type="dxa"/>
            <w:vAlign w:val="center"/>
          </w:tcPr>
          <w:p w14:paraId="5DB3C782">
            <w:pPr>
              <w:pStyle w:val="12"/>
            </w:pPr>
            <w:r>
              <w:t>100%</w:t>
            </w:r>
          </w:p>
        </w:tc>
        <w:tc>
          <w:tcPr>
            <w:tcW w:w="2551" w:type="dxa"/>
            <w:vAlign w:val="center"/>
          </w:tcPr>
          <w:p w14:paraId="310B9D05">
            <w:pPr>
              <w:pStyle w:val="12"/>
            </w:pPr>
            <w:r>
              <w:t>100%</w:t>
            </w:r>
          </w:p>
        </w:tc>
        <w:tc>
          <w:tcPr>
            <w:tcW w:w="3544" w:type="dxa"/>
            <w:gridSpan w:val="2"/>
            <w:vAlign w:val="center"/>
          </w:tcPr>
          <w:p w14:paraId="43A7E892">
            <w:pPr>
              <w:pStyle w:val="12"/>
            </w:pPr>
            <w:r>
              <w:t>100%</w:t>
            </w:r>
          </w:p>
        </w:tc>
      </w:tr>
      <w:tr w14:paraId="5857E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0358A">
            <w:pPr>
              <w:pStyle w:val="11"/>
            </w:pPr>
            <w:r>
              <w:t>绩效目标</w:t>
            </w:r>
          </w:p>
        </w:tc>
        <w:tc>
          <w:tcPr>
            <w:tcW w:w="14033" w:type="dxa"/>
            <w:gridSpan w:val="6"/>
            <w:vAlign w:val="center"/>
          </w:tcPr>
          <w:p w14:paraId="4AFB61E1">
            <w:pPr>
              <w:pStyle w:val="13"/>
            </w:pPr>
            <w:r>
              <w:t xml:space="preserve">1.保障义务教育学校正常运转，完成教育教学活动和其他日常工作任务等方面的费用支出。     </w:t>
            </w:r>
          </w:p>
        </w:tc>
      </w:tr>
    </w:tbl>
    <w:p w14:paraId="6AF3F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28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CCDB7">
            <w:pPr>
              <w:pStyle w:val="11"/>
            </w:pPr>
            <w:r>
              <w:t>一级指标</w:t>
            </w:r>
          </w:p>
        </w:tc>
        <w:tc>
          <w:tcPr>
            <w:tcW w:w="2268" w:type="dxa"/>
            <w:vAlign w:val="center"/>
          </w:tcPr>
          <w:p w14:paraId="2297D76E">
            <w:pPr>
              <w:pStyle w:val="11"/>
            </w:pPr>
            <w:r>
              <w:t>二级指标</w:t>
            </w:r>
          </w:p>
        </w:tc>
        <w:tc>
          <w:tcPr>
            <w:tcW w:w="2835" w:type="dxa"/>
            <w:vAlign w:val="center"/>
          </w:tcPr>
          <w:p w14:paraId="7913B83E">
            <w:pPr>
              <w:pStyle w:val="11"/>
            </w:pPr>
            <w:r>
              <w:t>三级指标</w:t>
            </w:r>
          </w:p>
        </w:tc>
        <w:tc>
          <w:tcPr>
            <w:tcW w:w="5386" w:type="dxa"/>
            <w:vAlign w:val="center"/>
          </w:tcPr>
          <w:p w14:paraId="0756DEF2">
            <w:pPr>
              <w:pStyle w:val="11"/>
            </w:pPr>
            <w:r>
              <w:t>绩效指标描述</w:t>
            </w:r>
          </w:p>
        </w:tc>
        <w:tc>
          <w:tcPr>
            <w:tcW w:w="2268" w:type="dxa"/>
            <w:vAlign w:val="center"/>
          </w:tcPr>
          <w:p w14:paraId="6F73F147">
            <w:pPr>
              <w:pStyle w:val="11"/>
            </w:pPr>
            <w:r>
              <w:t>指标值</w:t>
            </w:r>
          </w:p>
        </w:tc>
        <w:tc>
          <w:tcPr>
            <w:tcW w:w="1276" w:type="dxa"/>
            <w:vAlign w:val="center"/>
          </w:tcPr>
          <w:p w14:paraId="0171DADC">
            <w:pPr>
              <w:pStyle w:val="11"/>
            </w:pPr>
            <w:r>
              <w:t>指标值确定依据</w:t>
            </w:r>
          </w:p>
        </w:tc>
      </w:tr>
      <w:tr w14:paraId="28A2D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EAFCD">
            <w:pPr>
              <w:pStyle w:val="12"/>
            </w:pPr>
            <w:r>
              <w:t>产出指标</w:t>
            </w:r>
          </w:p>
        </w:tc>
        <w:tc>
          <w:tcPr>
            <w:tcW w:w="2268" w:type="dxa"/>
            <w:vAlign w:val="center"/>
          </w:tcPr>
          <w:p w14:paraId="0D596D6C">
            <w:pPr>
              <w:pStyle w:val="13"/>
            </w:pPr>
            <w:r>
              <w:t>数量指标</w:t>
            </w:r>
          </w:p>
        </w:tc>
        <w:tc>
          <w:tcPr>
            <w:tcW w:w="2835" w:type="dxa"/>
            <w:vAlign w:val="center"/>
          </w:tcPr>
          <w:p w14:paraId="09D294D4">
            <w:pPr>
              <w:pStyle w:val="13"/>
            </w:pPr>
            <w:r>
              <w:t>适龄在校生</w:t>
            </w:r>
          </w:p>
        </w:tc>
        <w:tc>
          <w:tcPr>
            <w:tcW w:w="5386" w:type="dxa"/>
            <w:vAlign w:val="center"/>
          </w:tcPr>
          <w:p w14:paraId="5A436CA7">
            <w:pPr>
              <w:pStyle w:val="13"/>
            </w:pPr>
            <w:r>
              <w:t>适龄在校就读学生人数</w:t>
            </w:r>
          </w:p>
        </w:tc>
        <w:tc>
          <w:tcPr>
            <w:tcW w:w="2268" w:type="dxa"/>
            <w:vAlign w:val="center"/>
          </w:tcPr>
          <w:p w14:paraId="329792E3">
            <w:pPr>
              <w:pStyle w:val="13"/>
            </w:pPr>
            <w:r>
              <w:t>138人</w:t>
            </w:r>
          </w:p>
        </w:tc>
        <w:tc>
          <w:tcPr>
            <w:tcW w:w="1276" w:type="dxa"/>
            <w:vAlign w:val="center"/>
          </w:tcPr>
          <w:p w14:paraId="1E04BC6B">
            <w:pPr>
              <w:pStyle w:val="13"/>
            </w:pPr>
            <w:r>
              <w:t>城乡义务教育公用经费管理办法</w:t>
            </w:r>
          </w:p>
        </w:tc>
      </w:tr>
      <w:tr w14:paraId="24DAC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2821C"/>
        </w:tc>
        <w:tc>
          <w:tcPr>
            <w:tcW w:w="2268" w:type="dxa"/>
            <w:vAlign w:val="center"/>
          </w:tcPr>
          <w:p w14:paraId="27B2385E">
            <w:pPr>
              <w:pStyle w:val="13"/>
            </w:pPr>
            <w:r>
              <w:t>质量指标</w:t>
            </w:r>
          </w:p>
        </w:tc>
        <w:tc>
          <w:tcPr>
            <w:tcW w:w="2835" w:type="dxa"/>
            <w:vAlign w:val="center"/>
          </w:tcPr>
          <w:p w14:paraId="1133FBEA">
            <w:pPr>
              <w:pStyle w:val="13"/>
            </w:pPr>
            <w:r>
              <w:t>预算控制率</w:t>
            </w:r>
          </w:p>
        </w:tc>
        <w:tc>
          <w:tcPr>
            <w:tcW w:w="5386" w:type="dxa"/>
            <w:vAlign w:val="center"/>
          </w:tcPr>
          <w:p w14:paraId="3F26C8E4">
            <w:pPr>
              <w:pStyle w:val="13"/>
            </w:pPr>
            <w:r>
              <w:t>预算执行</w:t>
            </w:r>
          </w:p>
        </w:tc>
        <w:tc>
          <w:tcPr>
            <w:tcW w:w="2268" w:type="dxa"/>
            <w:vAlign w:val="center"/>
          </w:tcPr>
          <w:p w14:paraId="0C3DFEAB">
            <w:pPr>
              <w:pStyle w:val="13"/>
            </w:pPr>
            <w:r>
              <w:t>≥95%</w:t>
            </w:r>
          </w:p>
        </w:tc>
        <w:tc>
          <w:tcPr>
            <w:tcW w:w="1276" w:type="dxa"/>
            <w:vAlign w:val="center"/>
          </w:tcPr>
          <w:p w14:paraId="5176FDCF">
            <w:pPr>
              <w:pStyle w:val="13"/>
            </w:pPr>
            <w:r>
              <w:t>城乡义务教育公用经费管理办法</w:t>
            </w:r>
          </w:p>
        </w:tc>
      </w:tr>
      <w:tr w14:paraId="2121E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7A163"/>
        </w:tc>
        <w:tc>
          <w:tcPr>
            <w:tcW w:w="2268" w:type="dxa"/>
            <w:vAlign w:val="center"/>
          </w:tcPr>
          <w:p w14:paraId="1157F890">
            <w:pPr>
              <w:pStyle w:val="13"/>
            </w:pPr>
            <w:r>
              <w:t>时效指标</w:t>
            </w:r>
          </w:p>
        </w:tc>
        <w:tc>
          <w:tcPr>
            <w:tcW w:w="2835" w:type="dxa"/>
            <w:vAlign w:val="center"/>
          </w:tcPr>
          <w:p w14:paraId="2A503897">
            <w:pPr>
              <w:pStyle w:val="13"/>
            </w:pPr>
            <w:r>
              <w:t>资金支付率</w:t>
            </w:r>
          </w:p>
        </w:tc>
        <w:tc>
          <w:tcPr>
            <w:tcW w:w="5386" w:type="dxa"/>
            <w:vAlign w:val="center"/>
          </w:tcPr>
          <w:p w14:paraId="51653871">
            <w:pPr>
              <w:pStyle w:val="13"/>
            </w:pPr>
            <w:r>
              <w:t>按照序时进度完成资金支付</w:t>
            </w:r>
          </w:p>
        </w:tc>
        <w:tc>
          <w:tcPr>
            <w:tcW w:w="2268" w:type="dxa"/>
            <w:vAlign w:val="center"/>
          </w:tcPr>
          <w:p w14:paraId="2A192D88">
            <w:pPr>
              <w:pStyle w:val="13"/>
            </w:pPr>
            <w:r>
              <w:t>≥100%</w:t>
            </w:r>
          </w:p>
        </w:tc>
        <w:tc>
          <w:tcPr>
            <w:tcW w:w="1276" w:type="dxa"/>
            <w:vAlign w:val="center"/>
          </w:tcPr>
          <w:p w14:paraId="4D31527B">
            <w:pPr>
              <w:pStyle w:val="13"/>
            </w:pPr>
            <w:r>
              <w:t>城乡义务教育公用经费管理办法</w:t>
            </w:r>
          </w:p>
        </w:tc>
      </w:tr>
      <w:tr w14:paraId="3F67A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6EDC8"/>
        </w:tc>
        <w:tc>
          <w:tcPr>
            <w:tcW w:w="2268" w:type="dxa"/>
            <w:vAlign w:val="center"/>
          </w:tcPr>
          <w:p w14:paraId="6213334A">
            <w:pPr>
              <w:pStyle w:val="13"/>
            </w:pPr>
            <w:r>
              <w:t>成本指标</w:t>
            </w:r>
          </w:p>
        </w:tc>
        <w:tc>
          <w:tcPr>
            <w:tcW w:w="2835" w:type="dxa"/>
            <w:vAlign w:val="center"/>
          </w:tcPr>
          <w:p w14:paraId="7DF0A492">
            <w:pPr>
              <w:pStyle w:val="13"/>
            </w:pPr>
            <w:r>
              <w:t>生均拨款标准</w:t>
            </w:r>
          </w:p>
        </w:tc>
        <w:tc>
          <w:tcPr>
            <w:tcW w:w="5386" w:type="dxa"/>
            <w:vAlign w:val="center"/>
          </w:tcPr>
          <w:p w14:paraId="500FEFDB">
            <w:pPr>
              <w:pStyle w:val="13"/>
            </w:pPr>
            <w:r>
              <w:t>小学：（基本标准720元、寄宿生300元、取暖120元）/生/学年；随班就读学生：标准6000元/生/学年。</w:t>
            </w:r>
          </w:p>
        </w:tc>
        <w:tc>
          <w:tcPr>
            <w:tcW w:w="2268" w:type="dxa"/>
            <w:vAlign w:val="center"/>
          </w:tcPr>
          <w:p w14:paraId="5200A1A5">
            <w:pPr>
              <w:pStyle w:val="13"/>
            </w:pPr>
            <w:r>
              <w:t>840元</w:t>
            </w:r>
          </w:p>
        </w:tc>
        <w:tc>
          <w:tcPr>
            <w:tcW w:w="1276" w:type="dxa"/>
            <w:vAlign w:val="center"/>
          </w:tcPr>
          <w:p w14:paraId="60581604">
            <w:pPr>
              <w:pStyle w:val="13"/>
            </w:pPr>
            <w:r>
              <w:t>城乡义务教育公用经费管理办法</w:t>
            </w:r>
          </w:p>
        </w:tc>
      </w:tr>
      <w:tr w14:paraId="3264D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28494A">
            <w:pPr>
              <w:pStyle w:val="12"/>
            </w:pPr>
            <w:r>
              <w:t>效益指标</w:t>
            </w:r>
          </w:p>
        </w:tc>
        <w:tc>
          <w:tcPr>
            <w:tcW w:w="2268" w:type="dxa"/>
            <w:vAlign w:val="center"/>
          </w:tcPr>
          <w:p w14:paraId="35A6DCFC">
            <w:pPr>
              <w:pStyle w:val="13"/>
            </w:pPr>
            <w:r>
              <w:t>可持续影响指标</w:t>
            </w:r>
          </w:p>
        </w:tc>
        <w:tc>
          <w:tcPr>
            <w:tcW w:w="2835" w:type="dxa"/>
            <w:vAlign w:val="center"/>
          </w:tcPr>
          <w:p w14:paraId="4A6968C8">
            <w:pPr>
              <w:pStyle w:val="13"/>
            </w:pPr>
            <w:r>
              <w:t>教育发展水平明显好转</w:t>
            </w:r>
          </w:p>
        </w:tc>
        <w:tc>
          <w:tcPr>
            <w:tcW w:w="5386" w:type="dxa"/>
            <w:vAlign w:val="center"/>
          </w:tcPr>
          <w:p w14:paraId="1D91F409">
            <w:pPr>
              <w:pStyle w:val="13"/>
            </w:pPr>
            <w:r>
              <w:t>学生受教育年限</w:t>
            </w:r>
          </w:p>
        </w:tc>
        <w:tc>
          <w:tcPr>
            <w:tcW w:w="2268" w:type="dxa"/>
            <w:vAlign w:val="center"/>
          </w:tcPr>
          <w:p w14:paraId="0D065E51">
            <w:pPr>
              <w:pStyle w:val="13"/>
            </w:pPr>
            <w:r>
              <w:t>6年</w:t>
            </w:r>
          </w:p>
        </w:tc>
        <w:tc>
          <w:tcPr>
            <w:tcW w:w="1276" w:type="dxa"/>
            <w:vAlign w:val="center"/>
          </w:tcPr>
          <w:p w14:paraId="6112D574">
            <w:pPr>
              <w:pStyle w:val="13"/>
            </w:pPr>
            <w:r>
              <w:t>城乡义务教育公用经费管理办法</w:t>
            </w:r>
          </w:p>
        </w:tc>
      </w:tr>
      <w:tr w14:paraId="3FAED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0CCA33">
            <w:pPr>
              <w:pStyle w:val="12"/>
            </w:pPr>
            <w:r>
              <w:t>满意度指标</w:t>
            </w:r>
          </w:p>
        </w:tc>
        <w:tc>
          <w:tcPr>
            <w:tcW w:w="2268" w:type="dxa"/>
            <w:vAlign w:val="center"/>
          </w:tcPr>
          <w:p w14:paraId="4D49BA24">
            <w:pPr>
              <w:pStyle w:val="13"/>
            </w:pPr>
            <w:r>
              <w:t>服务对象满意度指标</w:t>
            </w:r>
          </w:p>
        </w:tc>
        <w:tc>
          <w:tcPr>
            <w:tcW w:w="2835" w:type="dxa"/>
            <w:vAlign w:val="center"/>
          </w:tcPr>
          <w:p w14:paraId="5551DC0B">
            <w:pPr>
              <w:pStyle w:val="13"/>
            </w:pPr>
            <w:r>
              <w:t>受益学生家长及调查满意度</w:t>
            </w:r>
          </w:p>
        </w:tc>
        <w:tc>
          <w:tcPr>
            <w:tcW w:w="5386" w:type="dxa"/>
            <w:vAlign w:val="center"/>
          </w:tcPr>
          <w:p w14:paraId="34404983">
            <w:pPr>
              <w:pStyle w:val="13"/>
            </w:pPr>
            <w:r>
              <w:t>学生、教师及家长对学校教育教学工作满意度情况</w:t>
            </w:r>
          </w:p>
        </w:tc>
        <w:tc>
          <w:tcPr>
            <w:tcW w:w="2268" w:type="dxa"/>
            <w:vAlign w:val="center"/>
          </w:tcPr>
          <w:p w14:paraId="1B714E11">
            <w:pPr>
              <w:pStyle w:val="13"/>
            </w:pPr>
            <w:r>
              <w:t>≥95%</w:t>
            </w:r>
          </w:p>
        </w:tc>
        <w:tc>
          <w:tcPr>
            <w:tcW w:w="1276" w:type="dxa"/>
            <w:vAlign w:val="center"/>
          </w:tcPr>
          <w:p w14:paraId="689FC0C6">
            <w:pPr>
              <w:pStyle w:val="13"/>
            </w:pPr>
            <w:r>
              <w:t>调查问卷</w:t>
            </w:r>
          </w:p>
        </w:tc>
      </w:tr>
    </w:tbl>
    <w:p w14:paraId="73190F93">
      <w:pPr>
        <w:sectPr>
          <w:pgSz w:w="16840" w:h="11900" w:orient="landscape"/>
          <w:pgMar w:top="1361" w:right="1020" w:bottom="1134" w:left="1020" w:header="720" w:footer="720" w:gutter="0"/>
          <w:cols w:space="720" w:num="1"/>
        </w:sectPr>
      </w:pPr>
    </w:p>
    <w:p w14:paraId="6165645B">
      <w:pPr>
        <w:spacing w:before="0" w:after="0"/>
        <w:ind w:firstLine="560"/>
        <w:jc w:val="left"/>
        <w:outlineLvl w:val="9"/>
      </w:pPr>
      <w:r>
        <w:rPr>
          <w:rFonts w:ascii="方正仿宋_GBK" w:hAnsi="方正仿宋_GBK" w:eastAsia="方正仿宋_GBK" w:cs="方正仿宋_GBK"/>
          <w:b/>
          <w:color w:val="000000"/>
          <w:sz w:val="28"/>
        </w:rPr>
        <w:t>13、冀财教[2023]163号/省级/2024年义教补助资金/私立文星学校公用经费绩效目标表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31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0B0A6">
            <w:pPr>
              <w:pStyle w:val="14"/>
            </w:pPr>
            <w:r>
              <w:t>单位：万元</w:t>
            </w:r>
          </w:p>
        </w:tc>
      </w:tr>
      <w:tr w14:paraId="2A24D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6D5EA">
            <w:pPr>
              <w:pStyle w:val="11"/>
            </w:pPr>
            <w:r>
              <w:t>项目编码</w:t>
            </w:r>
          </w:p>
        </w:tc>
        <w:tc>
          <w:tcPr>
            <w:tcW w:w="5103" w:type="dxa"/>
            <w:gridSpan w:val="2"/>
            <w:vAlign w:val="center"/>
          </w:tcPr>
          <w:p w14:paraId="7678850A">
            <w:pPr>
              <w:pStyle w:val="13"/>
            </w:pPr>
            <w:r>
              <w:t>13052524P00000610643Y</w:t>
            </w:r>
          </w:p>
        </w:tc>
        <w:tc>
          <w:tcPr>
            <w:tcW w:w="2835" w:type="dxa"/>
            <w:vAlign w:val="center"/>
          </w:tcPr>
          <w:p w14:paraId="4DFC7356">
            <w:pPr>
              <w:pStyle w:val="11"/>
            </w:pPr>
            <w:r>
              <w:t>项目名称</w:t>
            </w:r>
          </w:p>
        </w:tc>
        <w:tc>
          <w:tcPr>
            <w:tcW w:w="6095" w:type="dxa"/>
            <w:gridSpan w:val="3"/>
            <w:vAlign w:val="center"/>
          </w:tcPr>
          <w:p w14:paraId="751941D3">
            <w:pPr>
              <w:pStyle w:val="13"/>
            </w:pPr>
            <w:r>
              <w:t>冀财教[2023]163号/省级/2024年义教补助资金/私立文星学校公用经费</w:t>
            </w:r>
            <w:r>
              <w:tab/>
            </w:r>
            <w:r>
              <w:tab/>
            </w:r>
            <w:r>
              <w:tab/>
            </w:r>
          </w:p>
        </w:tc>
      </w:tr>
      <w:tr w14:paraId="57C8A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2982A">
            <w:pPr>
              <w:pStyle w:val="11"/>
            </w:pPr>
            <w:r>
              <w:t>预算规模及资金用途</w:t>
            </w:r>
          </w:p>
        </w:tc>
        <w:tc>
          <w:tcPr>
            <w:tcW w:w="2268" w:type="dxa"/>
            <w:vAlign w:val="center"/>
          </w:tcPr>
          <w:p w14:paraId="7D67D243">
            <w:pPr>
              <w:pStyle w:val="11"/>
            </w:pPr>
            <w:r>
              <w:t>预算数</w:t>
            </w:r>
          </w:p>
        </w:tc>
        <w:tc>
          <w:tcPr>
            <w:tcW w:w="2835" w:type="dxa"/>
            <w:vAlign w:val="center"/>
          </w:tcPr>
          <w:p w14:paraId="3275E839">
            <w:pPr>
              <w:pStyle w:val="13"/>
            </w:pPr>
            <w:r>
              <w:t>10.35</w:t>
            </w:r>
          </w:p>
        </w:tc>
        <w:tc>
          <w:tcPr>
            <w:tcW w:w="2835" w:type="dxa"/>
            <w:vAlign w:val="center"/>
          </w:tcPr>
          <w:p w14:paraId="373392A5">
            <w:pPr>
              <w:pStyle w:val="11"/>
            </w:pPr>
            <w:r>
              <w:t>其中：财政    资金</w:t>
            </w:r>
          </w:p>
        </w:tc>
        <w:tc>
          <w:tcPr>
            <w:tcW w:w="2551" w:type="dxa"/>
            <w:vAlign w:val="center"/>
          </w:tcPr>
          <w:p w14:paraId="438F4DD1">
            <w:pPr>
              <w:pStyle w:val="13"/>
            </w:pPr>
            <w:r>
              <w:t>10.35</w:t>
            </w:r>
          </w:p>
        </w:tc>
        <w:tc>
          <w:tcPr>
            <w:tcW w:w="2268" w:type="dxa"/>
            <w:vAlign w:val="center"/>
          </w:tcPr>
          <w:p w14:paraId="77B1D3D5">
            <w:pPr>
              <w:pStyle w:val="11"/>
            </w:pPr>
            <w:r>
              <w:t>其他资金</w:t>
            </w:r>
          </w:p>
        </w:tc>
        <w:tc>
          <w:tcPr>
            <w:tcW w:w="1276" w:type="dxa"/>
            <w:vAlign w:val="center"/>
          </w:tcPr>
          <w:p w14:paraId="658D3820">
            <w:pPr>
              <w:pStyle w:val="13"/>
            </w:pPr>
            <w:r>
              <w:t xml:space="preserve"> </w:t>
            </w:r>
          </w:p>
        </w:tc>
      </w:tr>
      <w:tr w14:paraId="0995A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85CD9"/>
        </w:tc>
        <w:tc>
          <w:tcPr>
            <w:tcW w:w="14033" w:type="dxa"/>
            <w:gridSpan w:val="6"/>
            <w:vAlign w:val="center"/>
          </w:tcPr>
          <w:p w14:paraId="1547A20A">
            <w:pPr>
              <w:pStyle w:val="13"/>
            </w:pPr>
            <w:r>
              <w:t xml:space="preserve">保障义务教育学校正常运转，完成教育教学活动和其他日常工作任务等方面的费用支出。     </w:t>
            </w:r>
          </w:p>
        </w:tc>
      </w:tr>
      <w:tr w14:paraId="303B6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661DA">
            <w:pPr>
              <w:pStyle w:val="11"/>
            </w:pPr>
            <w:r>
              <w:t>资金支出计划（%）</w:t>
            </w:r>
          </w:p>
        </w:tc>
        <w:tc>
          <w:tcPr>
            <w:tcW w:w="5103" w:type="dxa"/>
            <w:gridSpan w:val="2"/>
            <w:vAlign w:val="center"/>
          </w:tcPr>
          <w:p w14:paraId="482A8330">
            <w:pPr>
              <w:pStyle w:val="11"/>
            </w:pPr>
            <w:r>
              <w:t>3月底</w:t>
            </w:r>
          </w:p>
        </w:tc>
        <w:tc>
          <w:tcPr>
            <w:tcW w:w="2835" w:type="dxa"/>
            <w:vAlign w:val="center"/>
          </w:tcPr>
          <w:p w14:paraId="1534A64F">
            <w:pPr>
              <w:pStyle w:val="11"/>
            </w:pPr>
            <w:r>
              <w:t>6月底</w:t>
            </w:r>
          </w:p>
        </w:tc>
        <w:tc>
          <w:tcPr>
            <w:tcW w:w="2551" w:type="dxa"/>
            <w:vAlign w:val="center"/>
          </w:tcPr>
          <w:p w14:paraId="23830E30">
            <w:pPr>
              <w:pStyle w:val="11"/>
            </w:pPr>
            <w:r>
              <w:t>10月底</w:t>
            </w:r>
          </w:p>
        </w:tc>
        <w:tc>
          <w:tcPr>
            <w:tcW w:w="3544" w:type="dxa"/>
            <w:gridSpan w:val="2"/>
            <w:vAlign w:val="center"/>
          </w:tcPr>
          <w:p w14:paraId="1C7E7DFF">
            <w:pPr>
              <w:pStyle w:val="11"/>
            </w:pPr>
            <w:r>
              <w:t>12月底</w:t>
            </w:r>
          </w:p>
        </w:tc>
      </w:tr>
      <w:tr w14:paraId="36359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6A6F3"/>
        </w:tc>
        <w:tc>
          <w:tcPr>
            <w:tcW w:w="5103" w:type="dxa"/>
            <w:gridSpan w:val="2"/>
            <w:vAlign w:val="center"/>
          </w:tcPr>
          <w:p w14:paraId="22EFD6E5">
            <w:pPr>
              <w:pStyle w:val="12"/>
            </w:pPr>
            <w:r>
              <w:t xml:space="preserve"> </w:t>
            </w:r>
          </w:p>
        </w:tc>
        <w:tc>
          <w:tcPr>
            <w:tcW w:w="2835" w:type="dxa"/>
            <w:vAlign w:val="center"/>
          </w:tcPr>
          <w:p w14:paraId="1FA1631F">
            <w:pPr>
              <w:pStyle w:val="12"/>
            </w:pPr>
            <w:r>
              <w:t>100%</w:t>
            </w:r>
          </w:p>
        </w:tc>
        <w:tc>
          <w:tcPr>
            <w:tcW w:w="2551" w:type="dxa"/>
            <w:vAlign w:val="center"/>
          </w:tcPr>
          <w:p w14:paraId="03DC6968">
            <w:pPr>
              <w:pStyle w:val="12"/>
            </w:pPr>
            <w:r>
              <w:t>100%</w:t>
            </w:r>
          </w:p>
        </w:tc>
        <w:tc>
          <w:tcPr>
            <w:tcW w:w="3544" w:type="dxa"/>
            <w:gridSpan w:val="2"/>
            <w:vAlign w:val="center"/>
          </w:tcPr>
          <w:p w14:paraId="5E28D595">
            <w:pPr>
              <w:pStyle w:val="12"/>
            </w:pPr>
            <w:r>
              <w:t>100%</w:t>
            </w:r>
          </w:p>
        </w:tc>
      </w:tr>
      <w:tr w14:paraId="0CF71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715CA">
            <w:pPr>
              <w:pStyle w:val="11"/>
            </w:pPr>
            <w:r>
              <w:t>绩效目标</w:t>
            </w:r>
          </w:p>
        </w:tc>
        <w:tc>
          <w:tcPr>
            <w:tcW w:w="14033" w:type="dxa"/>
            <w:gridSpan w:val="6"/>
            <w:vAlign w:val="center"/>
          </w:tcPr>
          <w:p w14:paraId="4195BF60">
            <w:pPr>
              <w:pStyle w:val="13"/>
            </w:pPr>
            <w:r>
              <w:t xml:space="preserve">1.保障义务教育学校正常运转，完成教育教学活动和其他日常工作任务等方面的费用支出。     </w:t>
            </w:r>
          </w:p>
        </w:tc>
      </w:tr>
    </w:tbl>
    <w:p w14:paraId="3B08C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A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2EAEF">
            <w:pPr>
              <w:pStyle w:val="11"/>
            </w:pPr>
            <w:r>
              <w:t>一级指标</w:t>
            </w:r>
          </w:p>
        </w:tc>
        <w:tc>
          <w:tcPr>
            <w:tcW w:w="2268" w:type="dxa"/>
            <w:vAlign w:val="center"/>
          </w:tcPr>
          <w:p w14:paraId="1A7815EB">
            <w:pPr>
              <w:pStyle w:val="11"/>
            </w:pPr>
            <w:r>
              <w:t>二级指标</w:t>
            </w:r>
          </w:p>
        </w:tc>
        <w:tc>
          <w:tcPr>
            <w:tcW w:w="2835" w:type="dxa"/>
            <w:vAlign w:val="center"/>
          </w:tcPr>
          <w:p w14:paraId="39B18696">
            <w:pPr>
              <w:pStyle w:val="11"/>
            </w:pPr>
            <w:r>
              <w:t>三级指标</w:t>
            </w:r>
          </w:p>
        </w:tc>
        <w:tc>
          <w:tcPr>
            <w:tcW w:w="5386" w:type="dxa"/>
            <w:vAlign w:val="center"/>
          </w:tcPr>
          <w:p w14:paraId="50005C21">
            <w:pPr>
              <w:pStyle w:val="11"/>
            </w:pPr>
            <w:r>
              <w:t>绩效指标描述</w:t>
            </w:r>
          </w:p>
        </w:tc>
        <w:tc>
          <w:tcPr>
            <w:tcW w:w="2268" w:type="dxa"/>
            <w:vAlign w:val="center"/>
          </w:tcPr>
          <w:p w14:paraId="5DB18322">
            <w:pPr>
              <w:pStyle w:val="11"/>
            </w:pPr>
            <w:r>
              <w:t>指标值</w:t>
            </w:r>
          </w:p>
        </w:tc>
        <w:tc>
          <w:tcPr>
            <w:tcW w:w="1276" w:type="dxa"/>
            <w:vAlign w:val="center"/>
          </w:tcPr>
          <w:p w14:paraId="2AE50FC5">
            <w:pPr>
              <w:pStyle w:val="11"/>
            </w:pPr>
            <w:r>
              <w:t>指标值确定依据</w:t>
            </w:r>
          </w:p>
        </w:tc>
      </w:tr>
      <w:tr w14:paraId="34A4B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E84F1">
            <w:pPr>
              <w:pStyle w:val="12"/>
            </w:pPr>
            <w:r>
              <w:t>产出指标</w:t>
            </w:r>
          </w:p>
        </w:tc>
        <w:tc>
          <w:tcPr>
            <w:tcW w:w="2268" w:type="dxa"/>
            <w:vAlign w:val="center"/>
          </w:tcPr>
          <w:p w14:paraId="214F8ACD">
            <w:pPr>
              <w:pStyle w:val="13"/>
            </w:pPr>
            <w:r>
              <w:t>数量指标</w:t>
            </w:r>
          </w:p>
        </w:tc>
        <w:tc>
          <w:tcPr>
            <w:tcW w:w="2835" w:type="dxa"/>
            <w:vAlign w:val="center"/>
          </w:tcPr>
          <w:p w14:paraId="32F78B76">
            <w:pPr>
              <w:pStyle w:val="13"/>
            </w:pPr>
            <w:r>
              <w:t>适龄在校生</w:t>
            </w:r>
          </w:p>
        </w:tc>
        <w:tc>
          <w:tcPr>
            <w:tcW w:w="5386" w:type="dxa"/>
            <w:vAlign w:val="center"/>
          </w:tcPr>
          <w:p w14:paraId="7FF4A29F">
            <w:pPr>
              <w:pStyle w:val="13"/>
            </w:pPr>
            <w:r>
              <w:t>适龄在校就读学生人数</w:t>
            </w:r>
          </w:p>
        </w:tc>
        <w:tc>
          <w:tcPr>
            <w:tcW w:w="2268" w:type="dxa"/>
            <w:vAlign w:val="center"/>
          </w:tcPr>
          <w:p w14:paraId="27C95A78">
            <w:pPr>
              <w:pStyle w:val="13"/>
            </w:pPr>
            <w:r>
              <w:t>273人</w:t>
            </w:r>
          </w:p>
        </w:tc>
        <w:tc>
          <w:tcPr>
            <w:tcW w:w="1276" w:type="dxa"/>
            <w:vAlign w:val="center"/>
          </w:tcPr>
          <w:p w14:paraId="5C8FE517">
            <w:pPr>
              <w:pStyle w:val="13"/>
            </w:pPr>
            <w:r>
              <w:t>城乡义务教育公用经费管理办法</w:t>
            </w:r>
          </w:p>
        </w:tc>
      </w:tr>
      <w:tr w14:paraId="17277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6F18C"/>
        </w:tc>
        <w:tc>
          <w:tcPr>
            <w:tcW w:w="2268" w:type="dxa"/>
            <w:vAlign w:val="center"/>
          </w:tcPr>
          <w:p w14:paraId="3A82A893">
            <w:pPr>
              <w:pStyle w:val="13"/>
            </w:pPr>
            <w:r>
              <w:t>质量指标</w:t>
            </w:r>
          </w:p>
        </w:tc>
        <w:tc>
          <w:tcPr>
            <w:tcW w:w="2835" w:type="dxa"/>
            <w:vAlign w:val="center"/>
          </w:tcPr>
          <w:p w14:paraId="25ADF6D4">
            <w:pPr>
              <w:pStyle w:val="13"/>
            </w:pPr>
            <w:r>
              <w:t>预算控制率</w:t>
            </w:r>
          </w:p>
        </w:tc>
        <w:tc>
          <w:tcPr>
            <w:tcW w:w="5386" w:type="dxa"/>
            <w:vAlign w:val="center"/>
          </w:tcPr>
          <w:p w14:paraId="77860A4D">
            <w:pPr>
              <w:pStyle w:val="13"/>
            </w:pPr>
            <w:r>
              <w:t>预算执行</w:t>
            </w:r>
          </w:p>
        </w:tc>
        <w:tc>
          <w:tcPr>
            <w:tcW w:w="2268" w:type="dxa"/>
            <w:vAlign w:val="center"/>
          </w:tcPr>
          <w:p w14:paraId="02FA4F12">
            <w:pPr>
              <w:pStyle w:val="13"/>
            </w:pPr>
            <w:r>
              <w:t>≥95%</w:t>
            </w:r>
          </w:p>
        </w:tc>
        <w:tc>
          <w:tcPr>
            <w:tcW w:w="1276" w:type="dxa"/>
            <w:vAlign w:val="center"/>
          </w:tcPr>
          <w:p w14:paraId="3C63FB9F">
            <w:pPr>
              <w:pStyle w:val="13"/>
            </w:pPr>
            <w:r>
              <w:t>城乡义务教育公用经费管理办法</w:t>
            </w:r>
          </w:p>
        </w:tc>
      </w:tr>
      <w:tr w14:paraId="4DF13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6B818"/>
        </w:tc>
        <w:tc>
          <w:tcPr>
            <w:tcW w:w="2268" w:type="dxa"/>
            <w:vAlign w:val="center"/>
          </w:tcPr>
          <w:p w14:paraId="2646278F">
            <w:pPr>
              <w:pStyle w:val="13"/>
            </w:pPr>
            <w:r>
              <w:t>时效指标</w:t>
            </w:r>
          </w:p>
        </w:tc>
        <w:tc>
          <w:tcPr>
            <w:tcW w:w="2835" w:type="dxa"/>
            <w:vAlign w:val="center"/>
          </w:tcPr>
          <w:p w14:paraId="0755D3A2">
            <w:pPr>
              <w:pStyle w:val="13"/>
            </w:pPr>
            <w:r>
              <w:t>资金支付率</w:t>
            </w:r>
          </w:p>
        </w:tc>
        <w:tc>
          <w:tcPr>
            <w:tcW w:w="5386" w:type="dxa"/>
            <w:vAlign w:val="center"/>
          </w:tcPr>
          <w:p w14:paraId="2E60F74B">
            <w:pPr>
              <w:pStyle w:val="13"/>
            </w:pPr>
            <w:r>
              <w:t>按照序时进度完成资金支付</w:t>
            </w:r>
          </w:p>
        </w:tc>
        <w:tc>
          <w:tcPr>
            <w:tcW w:w="2268" w:type="dxa"/>
            <w:vAlign w:val="center"/>
          </w:tcPr>
          <w:p w14:paraId="184A8864">
            <w:pPr>
              <w:pStyle w:val="13"/>
            </w:pPr>
            <w:r>
              <w:t>≥100%</w:t>
            </w:r>
          </w:p>
        </w:tc>
        <w:tc>
          <w:tcPr>
            <w:tcW w:w="1276" w:type="dxa"/>
            <w:vAlign w:val="center"/>
          </w:tcPr>
          <w:p w14:paraId="6313E01B">
            <w:pPr>
              <w:pStyle w:val="13"/>
            </w:pPr>
            <w:r>
              <w:t>城乡义务教育公用经费管理办法</w:t>
            </w:r>
          </w:p>
        </w:tc>
      </w:tr>
      <w:tr w14:paraId="4BC8C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EF859"/>
        </w:tc>
        <w:tc>
          <w:tcPr>
            <w:tcW w:w="2268" w:type="dxa"/>
            <w:vAlign w:val="center"/>
          </w:tcPr>
          <w:p w14:paraId="5EA11C43">
            <w:pPr>
              <w:pStyle w:val="13"/>
            </w:pPr>
            <w:r>
              <w:t>成本指标</w:t>
            </w:r>
          </w:p>
        </w:tc>
        <w:tc>
          <w:tcPr>
            <w:tcW w:w="2835" w:type="dxa"/>
            <w:vAlign w:val="center"/>
          </w:tcPr>
          <w:p w14:paraId="3AD386D7">
            <w:pPr>
              <w:pStyle w:val="13"/>
            </w:pPr>
            <w:r>
              <w:t>生均拨款标准</w:t>
            </w:r>
          </w:p>
        </w:tc>
        <w:tc>
          <w:tcPr>
            <w:tcW w:w="5386" w:type="dxa"/>
            <w:vAlign w:val="center"/>
          </w:tcPr>
          <w:p w14:paraId="0225CAEB">
            <w:pPr>
              <w:pStyle w:val="13"/>
            </w:pPr>
            <w:r>
              <w:t>小学：（基本标准720元、寄宿生300元、取暖120元）/生/学年；随班就读学生：标准6000元/生/学年。</w:t>
            </w:r>
          </w:p>
        </w:tc>
        <w:tc>
          <w:tcPr>
            <w:tcW w:w="2268" w:type="dxa"/>
            <w:vAlign w:val="center"/>
          </w:tcPr>
          <w:p w14:paraId="158CE312">
            <w:pPr>
              <w:pStyle w:val="13"/>
            </w:pPr>
            <w:r>
              <w:t>840元</w:t>
            </w:r>
          </w:p>
        </w:tc>
        <w:tc>
          <w:tcPr>
            <w:tcW w:w="1276" w:type="dxa"/>
            <w:vAlign w:val="center"/>
          </w:tcPr>
          <w:p w14:paraId="23AB552B">
            <w:pPr>
              <w:pStyle w:val="13"/>
            </w:pPr>
            <w:r>
              <w:t>城乡义务教育公用经费管理办法</w:t>
            </w:r>
          </w:p>
        </w:tc>
      </w:tr>
      <w:tr w14:paraId="6E55D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1644C8">
            <w:pPr>
              <w:pStyle w:val="12"/>
            </w:pPr>
            <w:r>
              <w:t>效益指标</w:t>
            </w:r>
          </w:p>
        </w:tc>
        <w:tc>
          <w:tcPr>
            <w:tcW w:w="2268" w:type="dxa"/>
            <w:vAlign w:val="center"/>
          </w:tcPr>
          <w:p w14:paraId="554DEC2F">
            <w:pPr>
              <w:pStyle w:val="13"/>
            </w:pPr>
            <w:r>
              <w:t>可持续影响指标</w:t>
            </w:r>
          </w:p>
        </w:tc>
        <w:tc>
          <w:tcPr>
            <w:tcW w:w="2835" w:type="dxa"/>
            <w:vAlign w:val="center"/>
          </w:tcPr>
          <w:p w14:paraId="2385A7DA">
            <w:pPr>
              <w:pStyle w:val="13"/>
            </w:pPr>
            <w:r>
              <w:t>教育发展水平明显好转</w:t>
            </w:r>
          </w:p>
        </w:tc>
        <w:tc>
          <w:tcPr>
            <w:tcW w:w="5386" w:type="dxa"/>
            <w:vAlign w:val="center"/>
          </w:tcPr>
          <w:p w14:paraId="68D5C82E">
            <w:pPr>
              <w:pStyle w:val="13"/>
            </w:pPr>
            <w:r>
              <w:t>学生受教育年限</w:t>
            </w:r>
          </w:p>
        </w:tc>
        <w:tc>
          <w:tcPr>
            <w:tcW w:w="2268" w:type="dxa"/>
            <w:vAlign w:val="center"/>
          </w:tcPr>
          <w:p w14:paraId="5DA60606">
            <w:pPr>
              <w:pStyle w:val="13"/>
            </w:pPr>
            <w:r>
              <w:t>6年</w:t>
            </w:r>
          </w:p>
        </w:tc>
        <w:tc>
          <w:tcPr>
            <w:tcW w:w="1276" w:type="dxa"/>
            <w:vAlign w:val="center"/>
          </w:tcPr>
          <w:p w14:paraId="254C512F">
            <w:pPr>
              <w:pStyle w:val="13"/>
            </w:pPr>
            <w:r>
              <w:t>城乡义务教育公用经费管理办法</w:t>
            </w:r>
          </w:p>
        </w:tc>
      </w:tr>
      <w:tr w14:paraId="0A178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866139">
            <w:pPr>
              <w:pStyle w:val="12"/>
            </w:pPr>
            <w:r>
              <w:t>满意度指标</w:t>
            </w:r>
          </w:p>
        </w:tc>
        <w:tc>
          <w:tcPr>
            <w:tcW w:w="2268" w:type="dxa"/>
            <w:vAlign w:val="center"/>
          </w:tcPr>
          <w:p w14:paraId="56108E53">
            <w:pPr>
              <w:pStyle w:val="13"/>
            </w:pPr>
            <w:r>
              <w:t>服务对象满意度指标</w:t>
            </w:r>
          </w:p>
        </w:tc>
        <w:tc>
          <w:tcPr>
            <w:tcW w:w="2835" w:type="dxa"/>
            <w:vAlign w:val="center"/>
          </w:tcPr>
          <w:p w14:paraId="708FC2C0">
            <w:pPr>
              <w:pStyle w:val="13"/>
            </w:pPr>
            <w:r>
              <w:t>受益学生家长及调查满意度</w:t>
            </w:r>
          </w:p>
        </w:tc>
        <w:tc>
          <w:tcPr>
            <w:tcW w:w="5386" w:type="dxa"/>
            <w:vAlign w:val="center"/>
          </w:tcPr>
          <w:p w14:paraId="399CD272">
            <w:pPr>
              <w:pStyle w:val="13"/>
            </w:pPr>
            <w:r>
              <w:t>学生、教师及家长对学校教育教学工作满意度情况</w:t>
            </w:r>
          </w:p>
        </w:tc>
        <w:tc>
          <w:tcPr>
            <w:tcW w:w="2268" w:type="dxa"/>
            <w:vAlign w:val="center"/>
          </w:tcPr>
          <w:p w14:paraId="1696427A">
            <w:pPr>
              <w:pStyle w:val="13"/>
            </w:pPr>
            <w:r>
              <w:t>≥95%</w:t>
            </w:r>
          </w:p>
        </w:tc>
        <w:tc>
          <w:tcPr>
            <w:tcW w:w="1276" w:type="dxa"/>
            <w:vAlign w:val="center"/>
          </w:tcPr>
          <w:p w14:paraId="1A187B40">
            <w:pPr>
              <w:pStyle w:val="13"/>
            </w:pPr>
            <w:r>
              <w:t>调查问卷</w:t>
            </w:r>
          </w:p>
        </w:tc>
      </w:tr>
    </w:tbl>
    <w:p w14:paraId="421DE1EE">
      <w:pPr>
        <w:sectPr>
          <w:pgSz w:w="16840" w:h="11900" w:orient="landscape"/>
          <w:pgMar w:top="1361" w:right="1020" w:bottom="1134" w:left="1020" w:header="720" w:footer="720" w:gutter="0"/>
          <w:cols w:space="720" w:num="1"/>
        </w:sectPr>
      </w:pPr>
    </w:p>
    <w:p w14:paraId="01AEEAD6">
      <w:pPr>
        <w:spacing w:before="0" w:after="0"/>
        <w:ind w:firstLine="560"/>
        <w:jc w:val="left"/>
        <w:outlineLvl w:val="9"/>
      </w:pPr>
      <w:r>
        <w:rPr>
          <w:rFonts w:ascii="方正仿宋_GBK" w:hAnsi="方正仿宋_GBK" w:eastAsia="方正仿宋_GBK" w:cs="方正仿宋_GBK"/>
          <w:b/>
          <w:color w:val="000000"/>
          <w:sz w:val="28"/>
        </w:rPr>
        <w:t>14、冀财教[2023]163号/省级/2024年义教补助资金/私立希望小学公用经费绩效目标表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3D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D32B3">
            <w:pPr>
              <w:pStyle w:val="14"/>
            </w:pPr>
            <w:r>
              <w:t>单位：万元</w:t>
            </w:r>
          </w:p>
        </w:tc>
      </w:tr>
      <w:tr w14:paraId="5E6BA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044451">
            <w:pPr>
              <w:pStyle w:val="11"/>
            </w:pPr>
            <w:r>
              <w:t>项目编码</w:t>
            </w:r>
          </w:p>
        </w:tc>
        <w:tc>
          <w:tcPr>
            <w:tcW w:w="5103" w:type="dxa"/>
            <w:gridSpan w:val="2"/>
            <w:vAlign w:val="center"/>
          </w:tcPr>
          <w:p w14:paraId="68A02790">
            <w:pPr>
              <w:pStyle w:val="13"/>
            </w:pPr>
            <w:r>
              <w:t>13052524P00000610642B</w:t>
            </w:r>
          </w:p>
        </w:tc>
        <w:tc>
          <w:tcPr>
            <w:tcW w:w="2835" w:type="dxa"/>
            <w:vAlign w:val="center"/>
          </w:tcPr>
          <w:p w14:paraId="408E29FE">
            <w:pPr>
              <w:pStyle w:val="11"/>
            </w:pPr>
            <w:r>
              <w:t>项目名称</w:t>
            </w:r>
          </w:p>
        </w:tc>
        <w:tc>
          <w:tcPr>
            <w:tcW w:w="6095" w:type="dxa"/>
            <w:gridSpan w:val="3"/>
            <w:vAlign w:val="center"/>
          </w:tcPr>
          <w:p w14:paraId="36A5334B">
            <w:pPr>
              <w:pStyle w:val="13"/>
            </w:pPr>
            <w:r>
              <w:t>冀财教[2023]163号/省级/2024年义教补助资金/私立希望小学公用经费</w:t>
            </w:r>
            <w:r>
              <w:tab/>
            </w:r>
            <w:r>
              <w:tab/>
            </w:r>
            <w:r>
              <w:tab/>
            </w:r>
          </w:p>
        </w:tc>
      </w:tr>
      <w:tr w14:paraId="5383A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E2E8D">
            <w:pPr>
              <w:pStyle w:val="11"/>
            </w:pPr>
            <w:r>
              <w:t>预算规模及资金用途</w:t>
            </w:r>
          </w:p>
        </w:tc>
        <w:tc>
          <w:tcPr>
            <w:tcW w:w="2268" w:type="dxa"/>
            <w:vAlign w:val="center"/>
          </w:tcPr>
          <w:p w14:paraId="68C394EA">
            <w:pPr>
              <w:pStyle w:val="11"/>
            </w:pPr>
            <w:r>
              <w:t>预算数</w:t>
            </w:r>
          </w:p>
        </w:tc>
        <w:tc>
          <w:tcPr>
            <w:tcW w:w="2835" w:type="dxa"/>
            <w:vAlign w:val="center"/>
          </w:tcPr>
          <w:p w14:paraId="23290E94">
            <w:pPr>
              <w:pStyle w:val="13"/>
            </w:pPr>
            <w:r>
              <w:t>8.02</w:t>
            </w:r>
          </w:p>
        </w:tc>
        <w:tc>
          <w:tcPr>
            <w:tcW w:w="2835" w:type="dxa"/>
            <w:vAlign w:val="center"/>
          </w:tcPr>
          <w:p w14:paraId="5C0A39A8">
            <w:pPr>
              <w:pStyle w:val="11"/>
            </w:pPr>
            <w:r>
              <w:t>其中：财政    资金</w:t>
            </w:r>
          </w:p>
        </w:tc>
        <w:tc>
          <w:tcPr>
            <w:tcW w:w="2551" w:type="dxa"/>
            <w:vAlign w:val="center"/>
          </w:tcPr>
          <w:p w14:paraId="73E73B63">
            <w:pPr>
              <w:pStyle w:val="13"/>
            </w:pPr>
            <w:r>
              <w:t>8.02</w:t>
            </w:r>
          </w:p>
        </w:tc>
        <w:tc>
          <w:tcPr>
            <w:tcW w:w="2268" w:type="dxa"/>
            <w:vAlign w:val="center"/>
          </w:tcPr>
          <w:p w14:paraId="25EBE372">
            <w:pPr>
              <w:pStyle w:val="11"/>
            </w:pPr>
            <w:r>
              <w:t>其他资金</w:t>
            </w:r>
          </w:p>
        </w:tc>
        <w:tc>
          <w:tcPr>
            <w:tcW w:w="1276" w:type="dxa"/>
            <w:vAlign w:val="center"/>
          </w:tcPr>
          <w:p w14:paraId="4CB464B0">
            <w:pPr>
              <w:pStyle w:val="13"/>
            </w:pPr>
            <w:r>
              <w:t xml:space="preserve"> </w:t>
            </w:r>
          </w:p>
        </w:tc>
      </w:tr>
      <w:tr w14:paraId="3815F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DF8A5"/>
        </w:tc>
        <w:tc>
          <w:tcPr>
            <w:tcW w:w="14033" w:type="dxa"/>
            <w:gridSpan w:val="6"/>
            <w:vAlign w:val="center"/>
          </w:tcPr>
          <w:p w14:paraId="4C484337">
            <w:pPr>
              <w:pStyle w:val="13"/>
            </w:pPr>
            <w:r>
              <w:t>保障义务教育学校正常运转，完成教育教学活动和其他日常工作任务等方面的费用支出。</w:t>
            </w:r>
          </w:p>
        </w:tc>
      </w:tr>
      <w:tr w14:paraId="1AB70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62329">
            <w:pPr>
              <w:pStyle w:val="11"/>
            </w:pPr>
            <w:r>
              <w:t>资金支出计划（%）</w:t>
            </w:r>
          </w:p>
        </w:tc>
        <w:tc>
          <w:tcPr>
            <w:tcW w:w="5103" w:type="dxa"/>
            <w:gridSpan w:val="2"/>
            <w:vAlign w:val="center"/>
          </w:tcPr>
          <w:p w14:paraId="2A9DFC26">
            <w:pPr>
              <w:pStyle w:val="11"/>
            </w:pPr>
            <w:r>
              <w:t>3月底</w:t>
            </w:r>
          </w:p>
        </w:tc>
        <w:tc>
          <w:tcPr>
            <w:tcW w:w="2835" w:type="dxa"/>
            <w:vAlign w:val="center"/>
          </w:tcPr>
          <w:p w14:paraId="171A9CD6">
            <w:pPr>
              <w:pStyle w:val="11"/>
            </w:pPr>
            <w:r>
              <w:t>6月底</w:t>
            </w:r>
          </w:p>
        </w:tc>
        <w:tc>
          <w:tcPr>
            <w:tcW w:w="2551" w:type="dxa"/>
            <w:vAlign w:val="center"/>
          </w:tcPr>
          <w:p w14:paraId="063E63F9">
            <w:pPr>
              <w:pStyle w:val="11"/>
            </w:pPr>
            <w:r>
              <w:t>10月底</w:t>
            </w:r>
          </w:p>
        </w:tc>
        <w:tc>
          <w:tcPr>
            <w:tcW w:w="3544" w:type="dxa"/>
            <w:gridSpan w:val="2"/>
            <w:vAlign w:val="center"/>
          </w:tcPr>
          <w:p w14:paraId="2A46F362">
            <w:pPr>
              <w:pStyle w:val="11"/>
            </w:pPr>
            <w:r>
              <w:t>12月底</w:t>
            </w:r>
          </w:p>
        </w:tc>
      </w:tr>
      <w:tr w14:paraId="4CAD9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0D220B"/>
        </w:tc>
        <w:tc>
          <w:tcPr>
            <w:tcW w:w="5103" w:type="dxa"/>
            <w:gridSpan w:val="2"/>
            <w:vAlign w:val="center"/>
          </w:tcPr>
          <w:p w14:paraId="76990BDA">
            <w:pPr>
              <w:pStyle w:val="12"/>
            </w:pPr>
            <w:r>
              <w:t xml:space="preserve"> </w:t>
            </w:r>
          </w:p>
        </w:tc>
        <w:tc>
          <w:tcPr>
            <w:tcW w:w="2835" w:type="dxa"/>
            <w:vAlign w:val="center"/>
          </w:tcPr>
          <w:p w14:paraId="21083DE0">
            <w:pPr>
              <w:pStyle w:val="12"/>
            </w:pPr>
            <w:r>
              <w:t>100%</w:t>
            </w:r>
          </w:p>
        </w:tc>
        <w:tc>
          <w:tcPr>
            <w:tcW w:w="2551" w:type="dxa"/>
            <w:vAlign w:val="center"/>
          </w:tcPr>
          <w:p w14:paraId="26F21272">
            <w:pPr>
              <w:pStyle w:val="12"/>
            </w:pPr>
            <w:r>
              <w:t>100%</w:t>
            </w:r>
          </w:p>
        </w:tc>
        <w:tc>
          <w:tcPr>
            <w:tcW w:w="3544" w:type="dxa"/>
            <w:gridSpan w:val="2"/>
            <w:vAlign w:val="center"/>
          </w:tcPr>
          <w:p w14:paraId="164102AA">
            <w:pPr>
              <w:pStyle w:val="12"/>
            </w:pPr>
            <w:r>
              <w:t>100%</w:t>
            </w:r>
          </w:p>
        </w:tc>
      </w:tr>
      <w:tr w14:paraId="0268D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482AB">
            <w:pPr>
              <w:pStyle w:val="11"/>
            </w:pPr>
            <w:r>
              <w:t>绩效目标</w:t>
            </w:r>
          </w:p>
        </w:tc>
        <w:tc>
          <w:tcPr>
            <w:tcW w:w="14033" w:type="dxa"/>
            <w:gridSpan w:val="6"/>
            <w:vAlign w:val="center"/>
          </w:tcPr>
          <w:p w14:paraId="1C8D427F">
            <w:pPr>
              <w:pStyle w:val="13"/>
            </w:pPr>
            <w:r>
              <w:t>1.保障义务教育学校正常运转，完成教育教学活动和其他日常工作任务等方面的费用支出。</w:t>
            </w:r>
          </w:p>
        </w:tc>
      </w:tr>
    </w:tbl>
    <w:p w14:paraId="3B3235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92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05B24">
            <w:pPr>
              <w:pStyle w:val="11"/>
            </w:pPr>
            <w:r>
              <w:t>一级指标</w:t>
            </w:r>
          </w:p>
        </w:tc>
        <w:tc>
          <w:tcPr>
            <w:tcW w:w="2268" w:type="dxa"/>
            <w:vAlign w:val="center"/>
          </w:tcPr>
          <w:p w14:paraId="6747B088">
            <w:pPr>
              <w:pStyle w:val="11"/>
            </w:pPr>
            <w:r>
              <w:t>二级指标</w:t>
            </w:r>
          </w:p>
        </w:tc>
        <w:tc>
          <w:tcPr>
            <w:tcW w:w="2835" w:type="dxa"/>
            <w:vAlign w:val="center"/>
          </w:tcPr>
          <w:p w14:paraId="20E1FE90">
            <w:pPr>
              <w:pStyle w:val="11"/>
            </w:pPr>
            <w:r>
              <w:t>三级指标</w:t>
            </w:r>
          </w:p>
        </w:tc>
        <w:tc>
          <w:tcPr>
            <w:tcW w:w="5386" w:type="dxa"/>
            <w:vAlign w:val="center"/>
          </w:tcPr>
          <w:p w14:paraId="5E3BBE54">
            <w:pPr>
              <w:pStyle w:val="11"/>
            </w:pPr>
            <w:r>
              <w:t>绩效指标描述</w:t>
            </w:r>
          </w:p>
        </w:tc>
        <w:tc>
          <w:tcPr>
            <w:tcW w:w="2268" w:type="dxa"/>
            <w:vAlign w:val="center"/>
          </w:tcPr>
          <w:p w14:paraId="4AA47114">
            <w:pPr>
              <w:pStyle w:val="11"/>
            </w:pPr>
            <w:r>
              <w:t>指标值</w:t>
            </w:r>
          </w:p>
        </w:tc>
        <w:tc>
          <w:tcPr>
            <w:tcW w:w="1276" w:type="dxa"/>
            <w:vAlign w:val="center"/>
          </w:tcPr>
          <w:p w14:paraId="3D3E69B8">
            <w:pPr>
              <w:pStyle w:val="11"/>
            </w:pPr>
            <w:r>
              <w:t>指标值确定依据</w:t>
            </w:r>
          </w:p>
        </w:tc>
      </w:tr>
      <w:tr w14:paraId="7A157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458EC">
            <w:pPr>
              <w:pStyle w:val="12"/>
            </w:pPr>
            <w:r>
              <w:t>产出指标</w:t>
            </w:r>
          </w:p>
        </w:tc>
        <w:tc>
          <w:tcPr>
            <w:tcW w:w="2268" w:type="dxa"/>
            <w:vAlign w:val="center"/>
          </w:tcPr>
          <w:p w14:paraId="51C20D1D">
            <w:pPr>
              <w:pStyle w:val="13"/>
            </w:pPr>
            <w:r>
              <w:t>数量指标</w:t>
            </w:r>
          </w:p>
        </w:tc>
        <w:tc>
          <w:tcPr>
            <w:tcW w:w="2835" w:type="dxa"/>
            <w:vAlign w:val="center"/>
          </w:tcPr>
          <w:p w14:paraId="252B746C">
            <w:pPr>
              <w:pStyle w:val="13"/>
            </w:pPr>
            <w:r>
              <w:t>适龄在校生</w:t>
            </w:r>
          </w:p>
        </w:tc>
        <w:tc>
          <w:tcPr>
            <w:tcW w:w="5386" w:type="dxa"/>
            <w:vAlign w:val="center"/>
          </w:tcPr>
          <w:p w14:paraId="3F3288D7">
            <w:pPr>
              <w:pStyle w:val="13"/>
            </w:pPr>
            <w:r>
              <w:t>适龄在校就读学生人数</w:t>
            </w:r>
          </w:p>
        </w:tc>
        <w:tc>
          <w:tcPr>
            <w:tcW w:w="2268" w:type="dxa"/>
            <w:vAlign w:val="center"/>
          </w:tcPr>
          <w:p w14:paraId="615DD3B0">
            <w:pPr>
              <w:pStyle w:val="13"/>
            </w:pPr>
            <w:r>
              <w:t>201人</w:t>
            </w:r>
          </w:p>
        </w:tc>
        <w:tc>
          <w:tcPr>
            <w:tcW w:w="1276" w:type="dxa"/>
            <w:vAlign w:val="center"/>
          </w:tcPr>
          <w:p w14:paraId="088FED25">
            <w:pPr>
              <w:pStyle w:val="13"/>
            </w:pPr>
            <w:r>
              <w:t>城乡义务教育公用经费管理办法</w:t>
            </w:r>
          </w:p>
        </w:tc>
      </w:tr>
      <w:tr w14:paraId="0F6A6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B058A"/>
        </w:tc>
        <w:tc>
          <w:tcPr>
            <w:tcW w:w="2268" w:type="dxa"/>
            <w:vAlign w:val="center"/>
          </w:tcPr>
          <w:p w14:paraId="2D4F4D40">
            <w:pPr>
              <w:pStyle w:val="13"/>
            </w:pPr>
            <w:r>
              <w:t>质量指标</w:t>
            </w:r>
          </w:p>
        </w:tc>
        <w:tc>
          <w:tcPr>
            <w:tcW w:w="2835" w:type="dxa"/>
            <w:vAlign w:val="center"/>
          </w:tcPr>
          <w:p w14:paraId="04B35C8A">
            <w:pPr>
              <w:pStyle w:val="13"/>
            </w:pPr>
            <w:r>
              <w:t>预算控制率</w:t>
            </w:r>
          </w:p>
        </w:tc>
        <w:tc>
          <w:tcPr>
            <w:tcW w:w="5386" w:type="dxa"/>
            <w:vAlign w:val="center"/>
          </w:tcPr>
          <w:p w14:paraId="6EA18514">
            <w:pPr>
              <w:pStyle w:val="13"/>
            </w:pPr>
            <w:r>
              <w:t>预算执行</w:t>
            </w:r>
          </w:p>
        </w:tc>
        <w:tc>
          <w:tcPr>
            <w:tcW w:w="2268" w:type="dxa"/>
            <w:vAlign w:val="center"/>
          </w:tcPr>
          <w:p w14:paraId="6A2C71BF">
            <w:pPr>
              <w:pStyle w:val="13"/>
            </w:pPr>
            <w:r>
              <w:t>≥95%</w:t>
            </w:r>
          </w:p>
        </w:tc>
        <w:tc>
          <w:tcPr>
            <w:tcW w:w="1276" w:type="dxa"/>
            <w:vAlign w:val="center"/>
          </w:tcPr>
          <w:p w14:paraId="610AE30A">
            <w:pPr>
              <w:pStyle w:val="13"/>
            </w:pPr>
            <w:r>
              <w:t>城乡义务教育公用经费管理办法</w:t>
            </w:r>
          </w:p>
        </w:tc>
      </w:tr>
      <w:tr w14:paraId="4D763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D2AE1"/>
        </w:tc>
        <w:tc>
          <w:tcPr>
            <w:tcW w:w="2268" w:type="dxa"/>
            <w:vAlign w:val="center"/>
          </w:tcPr>
          <w:p w14:paraId="08620481">
            <w:pPr>
              <w:pStyle w:val="13"/>
            </w:pPr>
            <w:r>
              <w:t>时效指标</w:t>
            </w:r>
          </w:p>
        </w:tc>
        <w:tc>
          <w:tcPr>
            <w:tcW w:w="2835" w:type="dxa"/>
            <w:vAlign w:val="center"/>
          </w:tcPr>
          <w:p w14:paraId="3FF79670">
            <w:pPr>
              <w:pStyle w:val="13"/>
            </w:pPr>
            <w:r>
              <w:t>资金支付率</w:t>
            </w:r>
          </w:p>
        </w:tc>
        <w:tc>
          <w:tcPr>
            <w:tcW w:w="5386" w:type="dxa"/>
            <w:vAlign w:val="center"/>
          </w:tcPr>
          <w:p w14:paraId="142E883C">
            <w:pPr>
              <w:pStyle w:val="13"/>
            </w:pPr>
            <w:r>
              <w:t>按照序时进度完成资金支付</w:t>
            </w:r>
          </w:p>
        </w:tc>
        <w:tc>
          <w:tcPr>
            <w:tcW w:w="2268" w:type="dxa"/>
            <w:vAlign w:val="center"/>
          </w:tcPr>
          <w:p w14:paraId="22CD52F9">
            <w:pPr>
              <w:pStyle w:val="13"/>
            </w:pPr>
            <w:r>
              <w:t>≥100%</w:t>
            </w:r>
          </w:p>
        </w:tc>
        <w:tc>
          <w:tcPr>
            <w:tcW w:w="1276" w:type="dxa"/>
            <w:vAlign w:val="center"/>
          </w:tcPr>
          <w:p w14:paraId="707C5490">
            <w:pPr>
              <w:pStyle w:val="13"/>
            </w:pPr>
            <w:r>
              <w:t>城乡义务教育公用经费管理办法</w:t>
            </w:r>
          </w:p>
        </w:tc>
      </w:tr>
      <w:tr w14:paraId="2747B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5B590"/>
        </w:tc>
        <w:tc>
          <w:tcPr>
            <w:tcW w:w="2268" w:type="dxa"/>
            <w:vAlign w:val="center"/>
          </w:tcPr>
          <w:p w14:paraId="69B4DD18">
            <w:pPr>
              <w:pStyle w:val="13"/>
            </w:pPr>
            <w:r>
              <w:t>成本指标</w:t>
            </w:r>
          </w:p>
        </w:tc>
        <w:tc>
          <w:tcPr>
            <w:tcW w:w="2835" w:type="dxa"/>
            <w:vAlign w:val="center"/>
          </w:tcPr>
          <w:p w14:paraId="5E5CFDE6">
            <w:pPr>
              <w:pStyle w:val="13"/>
            </w:pPr>
            <w:r>
              <w:t>生均拨款标准</w:t>
            </w:r>
          </w:p>
        </w:tc>
        <w:tc>
          <w:tcPr>
            <w:tcW w:w="5386" w:type="dxa"/>
            <w:vAlign w:val="center"/>
          </w:tcPr>
          <w:p w14:paraId="39F79C3E">
            <w:pPr>
              <w:pStyle w:val="13"/>
            </w:pPr>
            <w:r>
              <w:t>小学：（基本标准720元、寄宿生300元、取暖120元）/生/学年；随班就读学生：标准6000元/生/学年。</w:t>
            </w:r>
          </w:p>
        </w:tc>
        <w:tc>
          <w:tcPr>
            <w:tcW w:w="2268" w:type="dxa"/>
            <w:vAlign w:val="center"/>
          </w:tcPr>
          <w:p w14:paraId="4BA5C0BE">
            <w:pPr>
              <w:pStyle w:val="13"/>
            </w:pPr>
            <w:r>
              <w:t>840元</w:t>
            </w:r>
          </w:p>
        </w:tc>
        <w:tc>
          <w:tcPr>
            <w:tcW w:w="1276" w:type="dxa"/>
            <w:vAlign w:val="center"/>
          </w:tcPr>
          <w:p w14:paraId="4F278FF7">
            <w:pPr>
              <w:pStyle w:val="13"/>
            </w:pPr>
            <w:r>
              <w:t>城乡义务教育公用经费管理办法</w:t>
            </w:r>
          </w:p>
        </w:tc>
      </w:tr>
      <w:tr w14:paraId="72007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1C27F5">
            <w:pPr>
              <w:pStyle w:val="12"/>
            </w:pPr>
            <w:r>
              <w:t>效益指标</w:t>
            </w:r>
          </w:p>
        </w:tc>
        <w:tc>
          <w:tcPr>
            <w:tcW w:w="2268" w:type="dxa"/>
            <w:vAlign w:val="center"/>
          </w:tcPr>
          <w:p w14:paraId="271F3EA6">
            <w:pPr>
              <w:pStyle w:val="13"/>
            </w:pPr>
            <w:r>
              <w:t>可持续影响指标</w:t>
            </w:r>
          </w:p>
        </w:tc>
        <w:tc>
          <w:tcPr>
            <w:tcW w:w="2835" w:type="dxa"/>
            <w:vAlign w:val="center"/>
          </w:tcPr>
          <w:p w14:paraId="556945E5">
            <w:pPr>
              <w:pStyle w:val="13"/>
            </w:pPr>
            <w:r>
              <w:t>教育发展水平明显好转</w:t>
            </w:r>
          </w:p>
        </w:tc>
        <w:tc>
          <w:tcPr>
            <w:tcW w:w="5386" w:type="dxa"/>
            <w:vAlign w:val="center"/>
          </w:tcPr>
          <w:p w14:paraId="323A9454">
            <w:pPr>
              <w:pStyle w:val="13"/>
            </w:pPr>
            <w:r>
              <w:t>学生受教育年限</w:t>
            </w:r>
          </w:p>
        </w:tc>
        <w:tc>
          <w:tcPr>
            <w:tcW w:w="2268" w:type="dxa"/>
            <w:vAlign w:val="center"/>
          </w:tcPr>
          <w:p w14:paraId="54A8BF94">
            <w:pPr>
              <w:pStyle w:val="13"/>
            </w:pPr>
            <w:r>
              <w:t>6年</w:t>
            </w:r>
          </w:p>
        </w:tc>
        <w:tc>
          <w:tcPr>
            <w:tcW w:w="1276" w:type="dxa"/>
            <w:vAlign w:val="center"/>
          </w:tcPr>
          <w:p w14:paraId="1A2A7011">
            <w:pPr>
              <w:pStyle w:val="13"/>
            </w:pPr>
            <w:r>
              <w:t>城乡义务教育公用经费管理办法</w:t>
            </w:r>
          </w:p>
        </w:tc>
      </w:tr>
      <w:tr w14:paraId="19005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33F5E2">
            <w:pPr>
              <w:pStyle w:val="12"/>
            </w:pPr>
            <w:r>
              <w:t>满意度指标</w:t>
            </w:r>
          </w:p>
        </w:tc>
        <w:tc>
          <w:tcPr>
            <w:tcW w:w="2268" w:type="dxa"/>
            <w:vAlign w:val="center"/>
          </w:tcPr>
          <w:p w14:paraId="0B85C7B1">
            <w:pPr>
              <w:pStyle w:val="13"/>
            </w:pPr>
            <w:r>
              <w:t>服务对象满意度指标</w:t>
            </w:r>
          </w:p>
        </w:tc>
        <w:tc>
          <w:tcPr>
            <w:tcW w:w="2835" w:type="dxa"/>
            <w:vAlign w:val="center"/>
          </w:tcPr>
          <w:p w14:paraId="00EF660F">
            <w:pPr>
              <w:pStyle w:val="13"/>
            </w:pPr>
            <w:r>
              <w:t>受益学生家长及调查满意度</w:t>
            </w:r>
          </w:p>
        </w:tc>
        <w:tc>
          <w:tcPr>
            <w:tcW w:w="5386" w:type="dxa"/>
            <w:vAlign w:val="center"/>
          </w:tcPr>
          <w:p w14:paraId="1DC7B0A9">
            <w:pPr>
              <w:pStyle w:val="13"/>
            </w:pPr>
            <w:r>
              <w:t>学生、教师及家长对学校教育教学工作满意度情况</w:t>
            </w:r>
          </w:p>
        </w:tc>
        <w:tc>
          <w:tcPr>
            <w:tcW w:w="2268" w:type="dxa"/>
            <w:vAlign w:val="center"/>
          </w:tcPr>
          <w:p w14:paraId="08306980">
            <w:pPr>
              <w:pStyle w:val="13"/>
            </w:pPr>
            <w:r>
              <w:t>≥95%</w:t>
            </w:r>
          </w:p>
        </w:tc>
        <w:tc>
          <w:tcPr>
            <w:tcW w:w="1276" w:type="dxa"/>
            <w:vAlign w:val="center"/>
          </w:tcPr>
          <w:p w14:paraId="20548FBC">
            <w:pPr>
              <w:pStyle w:val="13"/>
            </w:pPr>
            <w:r>
              <w:t>调查问卷</w:t>
            </w:r>
          </w:p>
        </w:tc>
      </w:tr>
    </w:tbl>
    <w:p w14:paraId="3EAC5149">
      <w:pPr>
        <w:sectPr>
          <w:pgSz w:w="16840" w:h="11900" w:orient="landscape"/>
          <w:pgMar w:top="1361" w:right="1020" w:bottom="1134" w:left="1020" w:header="720" w:footer="720" w:gutter="0"/>
          <w:cols w:space="720" w:num="1"/>
        </w:sectPr>
      </w:pPr>
    </w:p>
    <w:p w14:paraId="566E04EB">
      <w:pPr>
        <w:spacing w:before="0" w:after="0"/>
        <w:ind w:firstLine="560"/>
        <w:jc w:val="left"/>
        <w:outlineLvl w:val="9"/>
      </w:pPr>
      <w:r>
        <w:rPr>
          <w:rFonts w:ascii="方正仿宋_GBK" w:hAnsi="方正仿宋_GBK" w:eastAsia="方正仿宋_GBK" w:cs="方正仿宋_GBK"/>
          <w:b/>
          <w:color w:val="000000"/>
          <w:sz w:val="28"/>
        </w:rPr>
        <w:t>15、冀财教[2023]163号/省级/2024年义教补助资金/私立育德小学公用经费绩效目标表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4F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36AFB">
            <w:pPr>
              <w:pStyle w:val="14"/>
            </w:pPr>
            <w:r>
              <w:t>单位：万元</w:t>
            </w:r>
          </w:p>
        </w:tc>
      </w:tr>
      <w:tr w14:paraId="19A7C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E5ECE">
            <w:pPr>
              <w:pStyle w:val="11"/>
            </w:pPr>
            <w:r>
              <w:t>项目编码</w:t>
            </w:r>
          </w:p>
        </w:tc>
        <w:tc>
          <w:tcPr>
            <w:tcW w:w="5103" w:type="dxa"/>
            <w:gridSpan w:val="2"/>
            <w:vAlign w:val="center"/>
          </w:tcPr>
          <w:p w14:paraId="789CEDE4">
            <w:pPr>
              <w:pStyle w:val="13"/>
            </w:pPr>
            <w:r>
              <w:t>13052524P00000610641P</w:t>
            </w:r>
          </w:p>
        </w:tc>
        <w:tc>
          <w:tcPr>
            <w:tcW w:w="2835" w:type="dxa"/>
            <w:vAlign w:val="center"/>
          </w:tcPr>
          <w:p w14:paraId="5EB9EF98">
            <w:pPr>
              <w:pStyle w:val="11"/>
            </w:pPr>
            <w:r>
              <w:t>项目名称</w:t>
            </w:r>
          </w:p>
        </w:tc>
        <w:tc>
          <w:tcPr>
            <w:tcW w:w="6095" w:type="dxa"/>
            <w:gridSpan w:val="3"/>
            <w:vAlign w:val="center"/>
          </w:tcPr>
          <w:p w14:paraId="09F5B5CB">
            <w:pPr>
              <w:pStyle w:val="13"/>
            </w:pPr>
            <w:r>
              <w:t>冀财教[2023]163号/省级/2024年义教补助资金/私立育德小学公用经费</w:t>
            </w:r>
            <w:r>
              <w:tab/>
            </w:r>
            <w:r>
              <w:tab/>
            </w:r>
            <w:r>
              <w:tab/>
            </w:r>
          </w:p>
        </w:tc>
      </w:tr>
      <w:tr w14:paraId="4F1ED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44218">
            <w:pPr>
              <w:pStyle w:val="11"/>
            </w:pPr>
            <w:r>
              <w:t>预算规模及资金用途</w:t>
            </w:r>
          </w:p>
        </w:tc>
        <w:tc>
          <w:tcPr>
            <w:tcW w:w="2268" w:type="dxa"/>
            <w:vAlign w:val="center"/>
          </w:tcPr>
          <w:p w14:paraId="4DE2EC50">
            <w:pPr>
              <w:pStyle w:val="11"/>
            </w:pPr>
            <w:r>
              <w:t>预算数</w:t>
            </w:r>
          </w:p>
        </w:tc>
        <w:tc>
          <w:tcPr>
            <w:tcW w:w="2835" w:type="dxa"/>
            <w:vAlign w:val="center"/>
          </w:tcPr>
          <w:p w14:paraId="2E460B74">
            <w:pPr>
              <w:pStyle w:val="13"/>
            </w:pPr>
            <w:r>
              <w:t>15.18</w:t>
            </w:r>
          </w:p>
        </w:tc>
        <w:tc>
          <w:tcPr>
            <w:tcW w:w="2835" w:type="dxa"/>
            <w:vAlign w:val="center"/>
          </w:tcPr>
          <w:p w14:paraId="1FE1568C">
            <w:pPr>
              <w:pStyle w:val="11"/>
            </w:pPr>
            <w:r>
              <w:t>其中：财政    资金</w:t>
            </w:r>
          </w:p>
        </w:tc>
        <w:tc>
          <w:tcPr>
            <w:tcW w:w="2551" w:type="dxa"/>
            <w:vAlign w:val="center"/>
          </w:tcPr>
          <w:p w14:paraId="612BF12B">
            <w:pPr>
              <w:pStyle w:val="13"/>
            </w:pPr>
            <w:r>
              <w:t>15.18</w:t>
            </w:r>
          </w:p>
        </w:tc>
        <w:tc>
          <w:tcPr>
            <w:tcW w:w="2268" w:type="dxa"/>
            <w:vAlign w:val="center"/>
          </w:tcPr>
          <w:p w14:paraId="1798F760">
            <w:pPr>
              <w:pStyle w:val="11"/>
            </w:pPr>
            <w:r>
              <w:t>其他资金</w:t>
            </w:r>
          </w:p>
        </w:tc>
        <w:tc>
          <w:tcPr>
            <w:tcW w:w="1276" w:type="dxa"/>
            <w:vAlign w:val="center"/>
          </w:tcPr>
          <w:p w14:paraId="13EA6AFA">
            <w:pPr>
              <w:pStyle w:val="13"/>
            </w:pPr>
            <w:r>
              <w:t xml:space="preserve"> </w:t>
            </w:r>
          </w:p>
        </w:tc>
      </w:tr>
      <w:tr w14:paraId="59146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4D8839"/>
        </w:tc>
        <w:tc>
          <w:tcPr>
            <w:tcW w:w="14033" w:type="dxa"/>
            <w:gridSpan w:val="6"/>
            <w:vAlign w:val="center"/>
          </w:tcPr>
          <w:p w14:paraId="3FA3C1FF">
            <w:pPr>
              <w:pStyle w:val="13"/>
            </w:pPr>
            <w:r>
              <w:t xml:space="preserve">保障义务教育学校正常运转，完成教育教学活动和其他日常工作任务等方面的费用支出。     </w:t>
            </w:r>
          </w:p>
        </w:tc>
      </w:tr>
      <w:tr w14:paraId="1D0EE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68093">
            <w:pPr>
              <w:pStyle w:val="11"/>
            </w:pPr>
            <w:r>
              <w:t>资金支出计划（%）</w:t>
            </w:r>
          </w:p>
        </w:tc>
        <w:tc>
          <w:tcPr>
            <w:tcW w:w="5103" w:type="dxa"/>
            <w:gridSpan w:val="2"/>
            <w:vAlign w:val="center"/>
          </w:tcPr>
          <w:p w14:paraId="3FEB96C3">
            <w:pPr>
              <w:pStyle w:val="11"/>
            </w:pPr>
            <w:r>
              <w:t>3月底</w:t>
            </w:r>
          </w:p>
        </w:tc>
        <w:tc>
          <w:tcPr>
            <w:tcW w:w="2835" w:type="dxa"/>
            <w:vAlign w:val="center"/>
          </w:tcPr>
          <w:p w14:paraId="281A4615">
            <w:pPr>
              <w:pStyle w:val="11"/>
            </w:pPr>
            <w:r>
              <w:t>6月底</w:t>
            </w:r>
          </w:p>
        </w:tc>
        <w:tc>
          <w:tcPr>
            <w:tcW w:w="2551" w:type="dxa"/>
            <w:vAlign w:val="center"/>
          </w:tcPr>
          <w:p w14:paraId="219410F6">
            <w:pPr>
              <w:pStyle w:val="11"/>
            </w:pPr>
            <w:r>
              <w:t>10月底</w:t>
            </w:r>
          </w:p>
        </w:tc>
        <w:tc>
          <w:tcPr>
            <w:tcW w:w="3544" w:type="dxa"/>
            <w:gridSpan w:val="2"/>
            <w:vAlign w:val="center"/>
          </w:tcPr>
          <w:p w14:paraId="1188175C">
            <w:pPr>
              <w:pStyle w:val="11"/>
            </w:pPr>
            <w:r>
              <w:t>12月底</w:t>
            </w:r>
          </w:p>
        </w:tc>
      </w:tr>
      <w:tr w14:paraId="361A3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ACA248"/>
        </w:tc>
        <w:tc>
          <w:tcPr>
            <w:tcW w:w="5103" w:type="dxa"/>
            <w:gridSpan w:val="2"/>
            <w:vAlign w:val="center"/>
          </w:tcPr>
          <w:p w14:paraId="22D232E9">
            <w:pPr>
              <w:pStyle w:val="12"/>
            </w:pPr>
            <w:r>
              <w:t xml:space="preserve"> </w:t>
            </w:r>
          </w:p>
        </w:tc>
        <w:tc>
          <w:tcPr>
            <w:tcW w:w="2835" w:type="dxa"/>
            <w:vAlign w:val="center"/>
          </w:tcPr>
          <w:p w14:paraId="38588D89">
            <w:pPr>
              <w:pStyle w:val="12"/>
            </w:pPr>
            <w:r>
              <w:t>100%</w:t>
            </w:r>
          </w:p>
        </w:tc>
        <w:tc>
          <w:tcPr>
            <w:tcW w:w="2551" w:type="dxa"/>
            <w:vAlign w:val="center"/>
          </w:tcPr>
          <w:p w14:paraId="1A7ED369">
            <w:pPr>
              <w:pStyle w:val="12"/>
            </w:pPr>
            <w:r>
              <w:t>100%</w:t>
            </w:r>
          </w:p>
        </w:tc>
        <w:tc>
          <w:tcPr>
            <w:tcW w:w="3544" w:type="dxa"/>
            <w:gridSpan w:val="2"/>
            <w:vAlign w:val="center"/>
          </w:tcPr>
          <w:p w14:paraId="3A6F71AF">
            <w:pPr>
              <w:pStyle w:val="12"/>
            </w:pPr>
            <w:r>
              <w:t>100%</w:t>
            </w:r>
          </w:p>
        </w:tc>
      </w:tr>
      <w:tr w14:paraId="4F603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B19DA9">
            <w:pPr>
              <w:pStyle w:val="11"/>
            </w:pPr>
            <w:r>
              <w:t>绩效目标</w:t>
            </w:r>
          </w:p>
        </w:tc>
        <w:tc>
          <w:tcPr>
            <w:tcW w:w="14033" w:type="dxa"/>
            <w:gridSpan w:val="6"/>
            <w:vAlign w:val="center"/>
          </w:tcPr>
          <w:p w14:paraId="73AC24FB">
            <w:pPr>
              <w:pStyle w:val="13"/>
            </w:pPr>
            <w:r>
              <w:t xml:space="preserve">1.保障义务教育学校正常运转，完成教育教学活动和其他日常工作任务等方面的费用支出。     </w:t>
            </w:r>
          </w:p>
        </w:tc>
      </w:tr>
    </w:tbl>
    <w:p w14:paraId="77C47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F5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DFC95">
            <w:pPr>
              <w:pStyle w:val="11"/>
            </w:pPr>
            <w:r>
              <w:t>一级指标</w:t>
            </w:r>
          </w:p>
        </w:tc>
        <w:tc>
          <w:tcPr>
            <w:tcW w:w="2268" w:type="dxa"/>
            <w:vAlign w:val="center"/>
          </w:tcPr>
          <w:p w14:paraId="2E41D661">
            <w:pPr>
              <w:pStyle w:val="11"/>
            </w:pPr>
            <w:r>
              <w:t>二级指标</w:t>
            </w:r>
          </w:p>
        </w:tc>
        <w:tc>
          <w:tcPr>
            <w:tcW w:w="2835" w:type="dxa"/>
            <w:vAlign w:val="center"/>
          </w:tcPr>
          <w:p w14:paraId="4B4CB6C7">
            <w:pPr>
              <w:pStyle w:val="11"/>
            </w:pPr>
            <w:r>
              <w:t>三级指标</w:t>
            </w:r>
          </w:p>
        </w:tc>
        <w:tc>
          <w:tcPr>
            <w:tcW w:w="5386" w:type="dxa"/>
            <w:vAlign w:val="center"/>
          </w:tcPr>
          <w:p w14:paraId="2456FAF1">
            <w:pPr>
              <w:pStyle w:val="11"/>
            </w:pPr>
            <w:r>
              <w:t>绩效指标描述</w:t>
            </w:r>
          </w:p>
        </w:tc>
        <w:tc>
          <w:tcPr>
            <w:tcW w:w="2268" w:type="dxa"/>
            <w:vAlign w:val="center"/>
          </w:tcPr>
          <w:p w14:paraId="54656D0D">
            <w:pPr>
              <w:pStyle w:val="11"/>
            </w:pPr>
            <w:r>
              <w:t>指标值</w:t>
            </w:r>
          </w:p>
        </w:tc>
        <w:tc>
          <w:tcPr>
            <w:tcW w:w="1276" w:type="dxa"/>
            <w:vAlign w:val="center"/>
          </w:tcPr>
          <w:p w14:paraId="207C62F1">
            <w:pPr>
              <w:pStyle w:val="11"/>
            </w:pPr>
            <w:r>
              <w:t>指标值确定依据</w:t>
            </w:r>
          </w:p>
        </w:tc>
      </w:tr>
      <w:tr w14:paraId="6277C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9834C">
            <w:pPr>
              <w:pStyle w:val="12"/>
            </w:pPr>
            <w:r>
              <w:t>产出指标</w:t>
            </w:r>
          </w:p>
        </w:tc>
        <w:tc>
          <w:tcPr>
            <w:tcW w:w="2268" w:type="dxa"/>
            <w:vAlign w:val="center"/>
          </w:tcPr>
          <w:p w14:paraId="63388B9B">
            <w:pPr>
              <w:pStyle w:val="13"/>
            </w:pPr>
            <w:r>
              <w:t>数量指标</w:t>
            </w:r>
          </w:p>
        </w:tc>
        <w:tc>
          <w:tcPr>
            <w:tcW w:w="2835" w:type="dxa"/>
            <w:vAlign w:val="center"/>
          </w:tcPr>
          <w:p w14:paraId="7D6F2516">
            <w:pPr>
              <w:pStyle w:val="13"/>
            </w:pPr>
            <w:r>
              <w:t>适龄在校生</w:t>
            </w:r>
          </w:p>
        </w:tc>
        <w:tc>
          <w:tcPr>
            <w:tcW w:w="5386" w:type="dxa"/>
            <w:vAlign w:val="center"/>
          </w:tcPr>
          <w:p w14:paraId="11DDD5E5">
            <w:pPr>
              <w:pStyle w:val="13"/>
            </w:pPr>
            <w:r>
              <w:t>适龄在校就读学生人数</w:t>
            </w:r>
          </w:p>
        </w:tc>
        <w:tc>
          <w:tcPr>
            <w:tcW w:w="2268" w:type="dxa"/>
            <w:vAlign w:val="center"/>
          </w:tcPr>
          <w:p w14:paraId="1965890A">
            <w:pPr>
              <w:pStyle w:val="13"/>
            </w:pPr>
            <w:r>
              <w:t>384人</w:t>
            </w:r>
          </w:p>
        </w:tc>
        <w:tc>
          <w:tcPr>
            <w:tcW w:w="1276" w:type="dxa"/>
            <w:vAlign w:val="center"/>
          </w:tcPr>
          <w:p w14:paraId="054BAEDF">
            <w:pPr>
              <w:pStyle w:val="13"/>
            </w:pPr>
            <w:r>
              <w:t>城乡义务教育公用经费管理办法</w:t>
            </w:r>
          </w:p>
        </w:tc>
      </w:tr>
      <w:tr w14:paraId="1F011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61FF1"/>
        </w:tc>
        <w:tc>
          <w:tcPr>
            <w:tcW w:w="2268" w:type="dxa"/>
            <w:vAlign w:val="center"/>
          </w:tcPr>
          <w:p w14:paraId="28EB6087">
            <w:pPr>
              <w:pStyle w:val="13"/>
            </w:pPr>
            <w:r>
              <w:t>质量指标</w:t>
            </w:r>
          </w:p>
        </w:tc>
        <w:tc>
          <w:tcPr>
            <w:tcW w:w="2835" w:type="dxa"/>
            <w:vAlign w:val="center"/>
          </w:tcPr>
          <w:p w14:paraId="2CFC5263">
            <w:pPr>
              <w:pStyle w:val="13"/>
            </w:pPr>
            <w:r>
              <w:t>预算控制率</w:t>
            </w:r>
          </w:p>
        </w:tc>
        <w:tc>
          <w:tcPr>
            <w:tcW w:w="5386" w:type="dxa"/>
            <w:vAlign w:val="center"/>
          </w:tcPr>
          <w:p w14:paraId="083B46EC">
            <w:pPr>
              <w:pStyle w:val="13"/>
            </w:pPr>
            <w:r>
              <w:t>预算执行</w:t>
            </w:r>
          </w:p>
        </w:tc>
        <w:tc>
          <w:tcPr>
            <w:tcW w:w="2268" w:type="dxa"/>
            <w:vAlign w:val="center"/>
          </w:tcPr>
          <w:p w14:paraId="5D9658DD">
            <w:pPr>
              <w:pStyle w:val="13"/>
            </w:pPr>
            <w:r>
              <w:t>≥95%</w:t>
            </w:r>
          </w:p>
        </w:tc>
        <w:tc>
          <w:tcPr>
            <w:tcW w:w="1276" w:type="dxa"/>
            <w:vAlign w:val="center"/>
          </w:tcPr>
          <w:p w14:paraId="7E89E7D2">
            <w:pPr>
              <w:pStyle w:val="13"/>
            </w:pPr>
            <w:r>
              <w:t>城乡义务教育公用经费管理办法</w:t>
            </w:r>
          </w:p>
        </w:tc>
      </w:tr>
      <w:tr w14:paraId="6C5E6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7638D"/>
        </w:tc>
        <w:tc>
          <w:tcPr>
            <w:tcW w:w="2268" w:type="dxa"/>
            <w:vAlign w:val="center"/>
          </w:tcPr>
          <w:p w14:paraId="70ECDA82">
            <w:pPr>
              <w:pStyle w:val="13"/>
            </w:pPr>
            <w:r>
              <w:t>时效指标</w:t>
            </w:r>
          </w:p>
        </w:tc>
        <w:tc>
          <w:tcPr>
            <w:tcW w:w="2835" w:type="dxa"/>
            <w:vAlign w:val="center"/>
          </w:tcPr>
          <w:p w14:paraId="25CEDBFE">
            <w:pPr>
              <w:pStyle w:val="13"/>
            </w:pPr>
            <w:r>
              <w:t>资金支付率</w:t>
            </w:r>
          </w:p>
        </w:tc>
        <w:tc>
          <w:tcPr>
            <w:tcW w:w="5386" w:type="dxa"/>
            <w:vAlign w:val="center"/>
          </w:tcPr>
          <w:p w14:paraId="2803CDF7">
            <w:pPr>
              <w:pStyle w:val="13"/>
            </w:pPr>
            <w:r>
              <w:t>按照序时进度完成资金支付</w:t>
            </w:r>
          </w:p>
        </w:tc>
        <w:tc>
          <w:tcPr>
            <w:tcW w:w="2268" w:type="dxa"/>
            <w:vAlign w:val="center"/>
          </w:tcPr>
          <w:p w14:paraId="4D9CC3BD">
            <w:pPr>
              <w:pStyle w:val="13"/>
            </w:pPr>
            <w:r>
              <w:t>≥100%</w:t>
            </w:r>
          </w:p>
        </w:tc>
        <w:tc>
          <w:tcPr>
            <w:tcW w:w="1276" w:type="dxa"/>
            <w:vAlign w:val="center"/>
          </w:tcPr>
          <w:p w14:paraId="5000460A">
            <w:pPr>
              <w:pStyle w:val="13"/>
            </w:pPr>
            <w:r>
              <w:t>城乡义务教育公用经费管理办法</w:t>
            </w:r>
          </w:p>
        </w:tc>
      </w:tr>
      <w:tr w14:paraId="5348C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B19D9"/>
        </w:tc>
        <w:tc>
          <w:tcPr>
            <w:tcW w:w="2268" w:type="dxa"/>
            <w:vAlign w:val="center"/>
          </w:tcPr>
          <w:p w14:paraId="33B0001B">
            <w:pPr>
              <w:pStyle w:val="13"/>
            </w:pPr>
            <w:r>
              <w:t>成本指标</w:t>
            </w:r>
          </w:p>
        </w:tc>
        <w:tc>
          <w:tcPr>
            <w:tcW w:w="2835" w:type="dxa"/>
            <w:vAlign w:val="center"/>
          </w:tcPr>
          <w:p w14:paraId="246E6530">
            <w:pPr>
              <w:pStyle w:val="13"/>
            </w:pPr>
            <w:r>
              <w:t>生均拨款标准</w:t>
            </w:r>
          </w:p>
        </w:tc>
        <w:tc>
          <w:tcPr>
            <w:tcW w:w="5386" w:type="dxa"/>
            <w:vAlign w:val="center"/>
          </w:tcPr>
          <w:p w14:paraId="40D7A24F">
            <w:pPr>
              <w:pStyle w:val="13"/>
            </w:pPr>
            <w:r>
              <w:t>初中：（基本标准940元、寄宿生300元、取暖120元）/生/学年；随班就读学生：标准6000元/生/学年。。</w:t>
            </w:r>
          </w:p>
        </w:tc>
        <w:tc>
          <w:tcPr>
            <w:tcW w:w="2268" w:type="dxa"/>
            <w:vAlign w:val="center"/>
          </w:tcPr>
          <w:p w14:paraId="6353F5E9">
            <w:pPr>
              <w:pStyle w:val="13"/>
            </w:pPr>
            <w:r>
              <w:t>1360元</w:t>
            </w:r>
          </w:p>
        </w:tc>
        <w:tc>
          <w:tcPr>
            <w:tcW w:w="1276" w:type="dxa"/>
            <w:vAlign w:val="center"/>
          </w:tcPr>
          <w:p w14:paraId="5B138F24">
            <w:pPr>
              <w:pStyle w:val="13"/>
            </w:pPr>
            <w:r>
              <w:t>城乡义务教育公用经费管理办法</w:t>
            </w:r>
          </w:p>
        </w:tc>
      </w:tr>
      <w:tr w14:paraId="63AE1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ACFE00">
            <w:pPr>
              <w:pStyle w:val="12"/>
            </w:pPr>
            <w:r>
              <w:t>效益指标</w:t>
            </w:r>
          </w:p>
        </w:tc>
        <w:tc>
          <w:tcPr>
            <w:tcW w:w="2268" w:type="dxa"/>
            <w:vAlign w:val="center"/>
          </w:tcPr>
          <w:p w14:paraId="02DAEFEE">
            <w:pPr>
              <w:pStyle w:val="13"/>
            </w:pPr>
            <w:r>
              <w:t>可持续影响指标</w:t>
            </w:r>
          </w:p>
        </w:tc>
        <w:tc>
          <w:tcPr>
            <w:tcW w:w="2835" w:type="dxa"/>
            <w:vAlign w:val="center"/>
          </w:tcPr>
          <w:p w14:paraId="37A1B483">
            <w:pPr>
              <w:pStyle w:val="13"/>
            </w:pPr>
            <w:r>
              <w:t>教育发展水平明显好转</w:t>
            </w:r>
          </w:p>
        </w:tc>
        <w:tc>
          <w:tcPr>
            <w:tcW w:w="5386" w:type="dxa"/>
            <w:vAlign w:val="center"/>
          </w:tcPr>
          <w:p w14:paraId="74CAB364">
            <w:pPr>
              <w:pStyle w:val="13"/>
            </w:pPr>
            <w:r>
              <w:t>学生受教育年限</w:t>
            </w:r>
          </w:p>
        </w:tc>
        <w:tc>
          <w:tcPr>
            <w:tcW w:w="2268" w:type="dxa"/>
            <w:vAlign w:val="center"/>
          </w:tcPr>
          <w:p w14:paraId="43E2BFC6">
            <w:pPr>
              <w:pStyle w:val="13"/>
            </w:pPr>
            <w:r>
              <w:t>3年</w:t>
            </w:r>
          </w:p>
        </w:tc>
        <w:tc>
          <w:tcPr>
            <w:tcW w:w="1276" w:type="dxa"/>
            <w:vAlign w:val="center"/>
          </w:tcPr>
          <w:p w14:paraId="62F36E87">
            <w:pPr>
              <w:pStyle w:val="13"/>
            </w:pPr>
            <w:r>
              <w:t>城乡义务教育公用经费管理办法</w:t>
            </w:r>
          </w:p>
        </w:tc>
      </w:tr>
      <w:tr w14:paraId="7BA5F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C962F3">
            <w:pPr>
              <w:pStyle w:val="12"/>
            </w:pPr>
            <w:r>
              <w:t>满意度指标</w:t>
            </w:r>
          </w:p>
        </w:tc>
        <w:tc>
          <w:tcPr>
            <w:tcW w:w="2268" w:type="dxa"/>
            <w:vAlign w:val="center"/>
          </w:tcPr>
          <w:p w14:paraId="09CF43B2">
            <w:pPr>
              <w:pStyle w:val="13"/>
            </w:pPr>
            <w:r>
              <w:t>服务对象满意度指标</w:t>
            </w:r>
          </w:p>
        </w:tc>
        <w:tc>
          <w:tcPr>
            <w:tcW w:w="2835" w:type="dxa"/>
            <w:vAlign w:val="center"/>
          </w:tcPr>
          <w:p w14:paraId="6785FC90">
            <w:pPr>
              <w:pStyle w:val="13"/>
            </w:pPr>
            <w:r>
              <w:t>受益学生家长及调查满意度</w:t>
            </w:r>
          </w:p>
        </w:tc>
        <w:tc>
          <w:tcPr>
            <w:tcW w:w="5386" w:type="dxa"/>
            <w:vAlign w:val="center"/>
          </w:tcPr>
          <w:p w14:paraId="0F9EC4C8">
            <w:pPr>
              <w:pStyle w:val="13"/>
            </w:pPr>
            <w:r>
              <w:t>学生、教师及家长对学校教育教学工作满意度情况</w:t>
            </w:r>
          </w:p>
        </w:tc>
        <w:tc>
          <w:tcPr>
            <w:tcW w:w="2268" w:type="dxa"/>
            <w:vAlign w:val="center"/>
          </w:tcPr>
          <w:p w14:paraId="5D2D74AA">
            <w:pPr>
              <w:pStyle w:val="13"/>
            </w:pPr>
            <w:r>
              <w:t>≥95%</w:t>
            </w:r>
          </w:p>
        </w:tc>
        <w:tc>
          <w:tcPr>
            <w:tcW w:w="1276" w:type="dxa"/>
            <w:vAlign w:val="center"/>
          </w:tcPr>
          <w:p w14:paraId="6B39A546">
            <w:pPr>
              <w:pStyle w:val="13"/>
            </w:pPr>
            <w:r>
              <w:t>调查问卷</w:t>
            </w:r>
          </w:p>
        </w:tc>
      </w:tr>
    </w:tbl>
    <w:p w14:paraId="2BF00ED0">
      <w:pPr>
        <w:sectPr>
          <w:pgSz w:w="16840" w:h="11900" w:orient="landscape"/>
          <w:pgMar w:top="1361" w:right="1020" w:bottom="1134" w:left="1020" w:header="720" w:footer="720" w:gutter="0"/>
          <w:cols w:space="720" w:num="1"/>
        </w:sectPr>
      </w:pPr>
    </w:p>
    <w:p w14:paraId="5DF8278F">
      <w:pPr>
        <w:spacing w:before="0" w:after="0"/>
        <w:ind w:firstLine="560"/>
        <w:jc w:val="left"/>
        <w:outlineLvl w:val="9"/>
      </w:pPr>
      <w:r>
        <w:rPr>
          <w:rFonts w:ascii="方正仿宋_GBK" w:hAnsi="方正仿宋_GBK" w:eastAsia="方正仿宋_GBK" w:cs="方正仿宋_GBK"/>
          <w:b/>
          <w:color w:val="000000"/>
          <w:sz w:val="28"/>
        </w:rPr>
        <w:t>16、冀财教[2023]163号/省级/2024年义教补助资金/私立育蕾学校公用经费绩效目标表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8C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EC31B">
            <w:pPr>
              <w:pStyle w:val="14"/>
            </w:pPr>
            <w:r>
              <w:t>单位：万元</w:t>
            </w:r>
          </w:p>
        </w:tc>
      </w:tr>
      <w:tr w14:paraId="2FB4C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ACDE7">
            <w:pPr>
              <w:pStyle w:val="11"/>
            </w:pPr>
            <w:r>
              <w:t>项目编码</w:t>
            </w:r>
          </w:p>
        </w:tc>
        <w:tc>
          <w:tcPr>
            <w:tcW w:w="5103" w:type="dxa"/>
            <w:gridSpan w:val="2"/>
            <w:vAlign w:val="center"/>
          </w:tcPr>
          <w:p w14:paraId="7BA9FE9E">
            <w:pPr>
              <w:pStyle w:val="13"/>
            </w:pPr>
            <w:r>
              <w:t>13052524P000006106404</w:t>
            </w:r>
          </w:p>
        </w:tc>
        <w:tc>
          <w:tcPr>
            <w:tcW w:w="2835" w:type="dxa"/>
            <w:vAlign w:val="center"/>
          </w:tcPr>
          <w:p w14:paraId="1058E225">
            <w:pPr>
              <w:pStyle w:val="11"/>
            </w:pPr>
            <w:r>
              <w:t>项目名称</w:t>
            </w:r>
          </w:p>
        </w:tc>
        <w:tc>
          <w:tcPr>
            <w:tcW w:w="6095" w:type="dxa"/>
            <w:gridSpan w:val="3"/>
            <w:vAlign w:val="center"/>
          </w:tcPr>
          <w:p w14:paraId="2CCD9E45">
            <w:pPr>
              <w:pStyle w:val="13"/>
            </w:pPr>
            <w:r>
              <w:t>冀财教[2023]163号/省级/2024年义教补助资金/私立育蕾学校公用经费</w:t>
            </w:r>
            <w:r>
              <w:tab/>
            </w:r>
            <w:r>
              <w:tab/>
            </w:r>
            <w:r>
              <w:tab/>
            </w:r>
          </w:p>
        </w:tc>
      </w:tr>
      <w:tr w14:paraId="7154D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50B0D">
            <w:pPr>
              <w:pStyle w:val="11"/>
            </w:pPr>
            <w:r>
              <w:t>预算规模及资金用途</w:t>
            </w:r>
          </w:p>
        </w:tc>
        <w:tc>
          <w:tcPr>
            <w:tcW w:w="2268" w:type="dxa"/>
            <w:vAlign w:val="center"/>
          </w:tcPr>
          <w:p w14:paraId="359DC42F">
            <w:pPr>
              <w:pStyle w:val="11"/>
            </w:pPr>
            <w:r>
              <w:t>预算数</w:t>
            </w:r>
          </w:p>
        </w:tc>
        <w:tc>
          <w:tcPr>
            <w:tcW w:w="2835" w:type="dxa"/>
            <w:vAlign w:val="center"/>
          </w:tcPr>
          <w:p w14:paraId="60ADE4A0">
            <w:pPr>
              <w:pStyle w:val="13"/>
            </w:pPr>
            <w:r>
              <w:t>21.98</w:t>
            </w:r>
          </w:p>
        </w:tc>
        <w:tc>
          <w:tcPr>
            <w:tcW w:w="2835" w:type="dxa"/>
            <w:vAlign w:val="center"/>
          </w:tcPr>
          <w:p w14:paraId="76EF662A">
            <w:pPr>
              <w:pStyle w:val="11"/>
            </w:pPr>
            <w:r>
              <w:t>其中：财政    资金</w:t>
            </w:r>
          </w:p>
        </w:tc>
        <w:tc>
          <w:tcPr>
            <w:tcW w:w="2551" w:type="dxa"/>
            <w:vAlign w:val="center"/>
          </w:tcPr>
          <w:p w14:paraId="449E3CB4">
            <w:pPr>
              <w:pStyle w:val="13"/>
            </w:pPr>
            <w:r>
              <w:t>21.98</w:t>
            </w:r>
          </w:p>
        </w:tc>
        <w:tc>
          <w:tcPr>
            <w:tcW w:w="2268" w:type="dxa"/>
            <w:vAlign w:val="center"/>
          </w:tcPr>
          <w:p w14:paraId="5044748C">
            <w:pPr>
              <w:pStyle w:val="11"/>
            </w:pPr>
            <w:r>
              <w:t>其他资金</w:t>
            </w:r>
          </w:p>
        </w:tc>
        <w:tc>
          <w:tcPr>
            <w:tcW w:w="1276" w:type="dxa"/>
            <w:vAlign w:val="center"/>
          </w:tcPr>
          <w:p w14:paraId="3CC475FD">
            <w:pPr>
              <w:pStyle w:val="13"/>
            </w:pPr>
            <w:r>
              <w:t xml:space="preserve"> </w:t>
            </w:r>
          </w:p>
        </w:tc>
      </w:tr>
      <w:tr w14:paraId="29E3D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23E4B"/>
        </w:tc>
        <w:tc>
          <w:tcPr>
            <w:tcW w:w="14033" w:type="dxa"/>
            <w:gridSpan w:val="6"/>
            <w:vAlign w:val="center"/>
          </w:tcPr>
          <w:p w14:paraId="4D02C80B">
            <w:pPr>
              <w:pStyle w:val="13"/>
            </w:pPr>
            <w:r>
              <w:t xml:space="preserve">保障义务教育学校正常运转，完成教育教学活动和其他日常工作任务等方面的费用支出。     </w:t>
            </w:r>
          </w:p>
        </w:tc>
      </w:tr>
      <w:tr w14:paraId="6C795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EB733">
            <w:pPr>
              <w:pStyle w:val="11"/>
            </w:pPr>
            <w:r>
              <w:t>资金支出计划（%）</w:t>
            </w:r>
          </w:p>
        </w:tc>
        <w:tc>
          <w:tcPr>
            <w:tcW w:w="5103" w:type="dxa"/>
            <w:gridSpan w:val="2"/>
            <w:vAlign w:val="center"/>
          </w:tcPr>
          <w:p w14:paraId="4E1B11B3">
            <w:pPr>
              <w:pStyle w:val="11"/>
            </w:pPr>
            <w:r>
              <w:t>3月底</w:t>
            </w:r>
          </w:p>
        </w:tc>
        <w:tc>
          <w:tcPr>
            <w:tcW w:w="2835" w:type="dxa"/>
            <w:vAlign w:val="center"/>
          </w:tcPr>
          <w:p w14:paraId="3A2F4340">
            <w:pPr>
              <w:pStyle w:val="11"/>
            </w:pPr>
            <w:r>
              <w:t>6月底</w:t>
            </w:r>
          </w:p>
        </w:tc>
        <w:tc>
          <w:tcPr>
            <w:tcW w:w="2551" w:type="dxa"/>
            <w:vAlign w:val="center"/>
          </w:tcPr>
          <w:p w14:paraId="2FAB2B3B">
            <w:pPr>
              <w:pStyle w:val="11"/>
            </w:pPr>
            <w:r>
              <w:t>10月底</w:t>
            </w:r>
          </w:p>
        </w:tc>
        <w:tc>
          <w:tcPr>
            <w:tcW w:w="3544" w:type="dxa"/>
            <w:gridSpan w:val="2"/>
            <w:vAlign w:val="center"/>
          </w:tcPr>
          <w:p w14:paraId="1E59AFC1">
            <w:pPr>
              <w:pStyle w:val="11"/>
            </w:pPr>
            <w:r>
              <w:t>12月底</w:t>
            </w:r>
          </w:p>
        </w:tc>
      </w:tr>
      <w:tr w14:paraId="0BBE5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FB406C"/>
        </w:tc>
        <w:tc>
          <w:tcPr>
            <w:tcW w:w="5103" w:type="dxa"/>
            <w:gridSpan w:val="2"/>
            <w:vAlign w:val="center"/>
          </w:tcPr>
          <w:p w14:paraId="59A44904">
            <w:pPr>
              <w:pStyle w:val="12"/>
            </w:pPr>
            <w:r>
              <w:t xml:space="preserve"> </w:t>
            </w:r>
          </w:p>
        </w:tc>
        <w:tc>
          <w:tcPr>
            <w:tcW w:w="2835" w:type="dxa"/>
            <w:vAlign w:val="center"/>
          </w:tcPr>
          <w:p w14:paraId="017B2D0F">
            <w:pPr>
              <w:pStyle w:val="12"/>
            </w:pPr>
            <w:r>
              <w:t>100%</w:t>
            </w:r>
          </w:p>
        </w:tc>
        <w:tc>
          <w:tcPr>
            <w:tcW w:w="2551" w:type="dxa"/>
            <w:vAlign w:val="center"/>
          </w:tcPr>
          <w:p w14:paraId="413711FF">
            <w:pPr>
              <w:pStyle w:val="12"/>
            </w:pPr>
            <w:r>
              <w:t>100%</w:t>
            </w:r>
          </w:p>
        </w:tc>
        <w:tc>
          <w:tcPr>
            <w:tcW w:w="3544" w:type="dxa"/>
            <w:gridSpan w:val="2"/>
            <w:vAlign w:val="center"/>
          </w:tcPr>
          <w:p w14:paraId="5D8F133D">
            <w:pPr>
              <w:pStyle w:val="12"/>
            </w:pPr>
            <w:r>
              <w:t>100%</w:t>
            </w:r>
          </w:p>
        </w:tc>
      </w:tr>
      <w:tr w14:paraId="024CD0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C27395">
            <w:pPr>
              <w:pStyle w:val="11"/>
            </w:pPr>
            <w:r>
              <w:t>绩效目标</w:t>
            </w:r>
          </w:p>
        </w:tc>
        <w:tc>
          <w:tcPr>
            <w:tcW w:w="14033" w:type="dxa"/>
            <w:gridSpan w:val="6"/>
            <w:vAlign w:val="center"/>
          </w:tcPr>
          <w:p w14:paraId="5000F90F">
            <w:pPr>
              <w:pStyle w:val="13"/>
            </w:pPr>
            <w:r>
              <w:t xml:space="preserve">1.保障义务教育学校正常运转，完成教育教学活动和其他日常工作任务等方面的费用支出。     </w:t>
            </w:r>
          </w:p>
        </w:tc>
      </w:tr>
    </w:tbl>
    <w:p w14:paraId="09D6FD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5B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88917">
            <w:pPr>
              <w:pStyle w:val="11"/>
            </w:pPr>
            <w:r>
              <w:t>一级指标</w:t>
            </w:r>
          </w:p>
        </w:tc>
        <w:tc>
          <w:tcPr>
            <w:tcW w:w="2268" w:type="dxa"/>
            <w:vAlign w:val="center"/>
          </w:tcPr>
          <w:p w14:paraId="14FE62F6">
            <w:pPr>
              <w:pStyle w:val="11"/>
            </w:pPr>
            <w:r>
              <w:t>二级指标</w:t>
            </w:r>
          </w:p>
        </w:tc>
        <w:tc>
          <w:tcPr>
            <w:tcW w:w="2835" w:type="dxa"/>
            <w:vAlign w:val="center"/>
          </w:tcPr>
          <w:p w14:paraId="47281491">
            <w:pPr>
              <w:pStyle w:val="11"/>
            </w:pPr>
            <w:r>
              <w:t>三级指标</w:t>
            </w:r>
          </w:p>
        </w:tc>
        <w:tc>
          <w:tcPr>
            <w:tcW w:w="5386" w:type="dxa"/>
            <w:vAlign w:val="center"/>
          </w:tcPr>
          <w:p w14:paraId="4E9F54FF">
            <w:pPr>
              <w:pStyle w:val="11"/>
            </w:pPr>
            <w:r>
              <w:t>绩效指标描述</w:t>
            </w:r>
          </w:p>
        </w:tc>
        <w:tc>
          <w:tcPr>
            <w:tcW w:w="2268" w:type="dxa"/>
            <w:vAlign w:val="center"/>
          </w:tcPr>
          <w:p w14:paraId="39986D3B">
            <w:pPr>
              <w:pStyle w:val="11"/>
            </w:pPr>
            <w:r>
              <w:t>指标值</w:t>
            </w:r>
          </w:p>
        </w:tc>
        <w:tc>
          <w:tcPr>
            <w:tcW w:w="1276" w:type="dxa"/>
            <w:vAlign w:val="center"/>
          </w:tcPr>
          <w:p w14:paraId="103286DE">
            <w:pPr>
              <w:pStyle w:val="11"/>
            </w:pPr>
            <w:r>
              <w:t>指标值确定依据</w:t>
            </w:r>
          </w:p>
        </w:tc>
      </w:tr>
      <w:tr w14:paraId="423D4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A3925">
            <w:pPr>
              <w:pStyle w:val="12"/>
            </w:pPr>
            <w:r>
              <w:t>产出指标</w:t>
            </w:r>
          </w:p>
        </w:tc>
        <w:tc>
          <w:tcPr>
            <w:tcW w:w="2268" w:type="dxa"/>
            <w:vAlign w:val="center"/>
          </w:tcPr>
          <w:p w14:paraId="00FC8506">
            <w:pPr>
              <w:pStyle w:val="13"/>
            </w:pPr>
            <w:r>
              <w:t>数量指标</w:t>
            </w:r>
          </w:p>
        </w:tc>
        <w:tc>
          <w:tcPr>
            <w:tcW w:w="2835" w:type="dxa"/>
            <w:vAlign w:val="center"/>
          </w:tcPr>
          <w:p w14:paraId="1F183A5B">
            <w:pPr>
              <w:pStyle w:val="13"/>
            </w:pPr>
            <w:r>
              <w:t>适龄在校生</w:t>
            </w:r>
          </w:p>
        </w:tc>
        <w:tc>
          <w:tcPr>
            <w:tcW w:w="5386" w:type="dxa"/>
            <w:vAlign w:val="center"/>
          </w:tcPr>
          <w:p w14:paraId="1A44DE29">
            <w:pPr>
              <w:pStyle w:val="13"/>
            </w:pPr>
            <w:r>
              <w:t>适龄在校就读学生人数</w:t>
            </w:r>
          </w:p>
        </w:tc>
        <w:tc>
          <w:tcPr>
            <w:tcW w:w="2268" w:type="dxa"/>
            <w:vAlign w:val="center"/>
          </w:tcPr>
          <w:p w14:paraId="305349AE">
            <w:pPr>
              <w:pStyle w:val="13"/>
            </w:pPr>
            <w:r>
              <w:t>551人</w:t>
            </w:r>
          </w:p>
        </w:tc>
        <w:tc>
          <w:tcPr>
            <w:tcW w:w="1276" w:type="dxa"/>
            <w:vAlign w:val="center"/>
          </w:tcPr>
          <w:p w14:paraId="1B1FAD7B">
            <w:pPr>
              <w:pStyle w:val="13"/>
            </w:pPr>
            <w:r>
              <w:t>城乡义务教育公用经费管理办法</w:t>
            </w:r>
          </w:p>
        </w:tc>
      </w:tr>
      <w:tr w14:paraId="4707B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526E3"/>
        </w:tc>
        <w:tc>
          <w:tcPr>
            <w:tcW w:w="2268" w:type="dxa"/>
            <w:vAlign w:val="center"/>
          </w:tcPr>
          <w:p w14:paraId="7D07DD3E">
            <w:pPr>
              <w:pStyle w:val="13"/>
            </w:pPr>
            <w:r>
              <w:t>质量指标</w:t>
            </w:r>
          </w:p>
        </w:tc>
        <w:tc>
          <w:tcPr>
            <w:tcW w:w="2835" w:type="dxa"/>
            <w:vAlign w:val="center"/>
          </w:tcPr>
          <w:p w14:paraId="61BD5272">
            <w:pPr>
              <w:pStyle w:val="13"/>
            </w:pPr>
            <w:r>
              <w:t>预算控制率</w:t>
            </w:r>
          </w:p>
        </w:tc>
        <w:tc>
          <w:tcPr>
            <w:tcW w:w="5386" w:type="dxa"/>
            <w:vAlign w:val="center"/>
          </w:tcPr>
          <w:p w14:paraId="6E5A8A1C">
            <w:pPr>
              <w:pStyle w:val="13"/>
            </w:pPr>
            <w:r>
              <w:t>预算执行</w:t>
            </w:r>
          </w:p>
        </w:tc>
        <w:tc>
          <w:tcPr>
            <w:tcW w:w="2268" w:type="dxa"/>
            <w:vAlign w:val="center"/>
          </w:tcPr>
          <w:p w14:paraId="0F0EF3E3">
            <w:pPr>
              <w:pStyle w:val="13"/>
            </w:pPr>
            <w:r>
              <w:t>≥95%</w:t>
            </w:r>
          </w:p>
        </w:tc>
        <w:tc>
          <w:tcPr>
            <w:tcW w:w="1276" w:type="dxa"/>
            <w:vAlign w:val="center"/>
          </w:tcPr>
          <w:p w14:paraId="792D4DEE">
            <w:pPr>
              <w:pStyle w:val="13"/>
            </w:pPr>
            <w:r>
              <w:t>城乡义务教育公用经费管理办法</w:t>
            </w:r>
          </w:p>
        </w:tc>
      </w:tr>
      <w:tr w14:paraId="4A634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B21D7"/>
        </w:tc>
        <w:tc>
          <w:tcPr>
            <w:tcW w:w="2268" w:type="dxa"/>
            <w:vAlign w:val="center"/>
          </w:tcPr>
          <w:p w14:paraId="7236E947">
            <w:pPr>
              <w:pStyle w:val="13"/>
            </w:pPr>
            <w:r>
              <w:t>时效指标</w:t>
            </w:r>
          </w:p>
        </w:tc>
        <w:tc>
          <w:tcPr>
            <w:tcW w:w="2835" w:type="dxa"/>
            <w:vAlign w:val="center"/>
          </w:tcPr>
          <w:p w14:paraId="0A18A610">
            <w:pPr>
              <w:pStyle w:val="13"/>
            </w:pPr>
            <w:r>
              <w:t>资金支付率</w:t>
            </w:r>
          </w:p>
        </w:tc>
        <w:tc>
          <w:tcPr>
            <w:tcW w:w="5386" w:type="dxa"/>
            <w:vAlign w:val="center"/>
          </w:tcPr>
          <w:p w14:paraId="2C43AF6E">
            <w:pPr>
              <w:pStyle w:val="13"/>
            </w:pPr>
            <w:r>
              <w:t>按照序时进度完成资金支付</w:t>
            </w:r>
          </w:p>
        </w:tc>
        <w:tc>
          <w:tcPr>
            <w:tcW w:w="2268" w:type="dxa"/>
            <w:vAlign w:val="center"/>
          </w:tcPr>
          <w:p w14:paraId="476F68D7">
            <w:pPr>
              <w:pStyle w:val="13"/>
            </w:pPr>
            <w:r>
              <w:t>≥100%</w:t>
            </w:r>
          </w:p>
        </w:tc>
        <w:tc>
          <w:tcPr>
            <w:tcW w:w="1276" w:type="dxa"/>
            <w:vAlign w:val="center"/>
          </w:tcPr>
          <w:p w14:paraId="7B61956C">
            <w:pPr>
              <w:pStyle w:val="13"/>
            </w:pPr>
            <w:r>
              <w:t>城乡义务教育公用经费管理办法</w:t>
            </w:r>
          </w:p>
        </w:tc>
      </w:tr>
      <w:tr w14:paraId="25837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48F77"/>
        </w:tc>
        <w:tc>
          <w:tcPr>
            <w:tcW w:w="2268" w:type="dxa"/>
            <w:vAlign w:val="center"/>
          </w:tcPr>
          <w:p w14:paraId="3DDD74DA">
            <w:pPr>
              <w:pStyle w:val="13"/>
            </w:pPr>
            <w:r>
              <w:t>成本指标</w:t>
            </w:r>
          </w:p>
        </w:tc>
        <w:tc>
          <w:tcPr>
            <w:tcW w:w="2835" w:type="dxa"/>
            <w:vAlign w:val="center"/>
          </w:tcPr>
          <w:p w14:paraId="7649C6C3">
            <w:pPr>
              <w:pStyle w:val="13"/>
            </w:pPr>
            <w:r>
              <w:t>生均拨款标准</w:t>
            </w:r>
          </w:p>
        </w:tc>
        <w:tc>
          <w:tcPr>
            <w:tcW w:w="5386" w:type="dxa"/>
            <w:vAlign w:val="center"/>
          </w:tcPr>
          <w:p w14:paraId="78B12A3E">
            <w:pPr>
              <w:pStyle w:val="13"/>
            </w:pPr>
            <w:r>
              <w:t>小学：（基本标准720元、寄宿生300元、取暖120元）/生/学年；随班就读学生：标准6000元/生/学年。</w:t>
            </w:r>
          </w:p>
        </w:tc>
        <w:tc>
          <w:tcPr>
            <w:tcW w:w="2268" w:type="dxa"/>
            <w:vAlign w:val="center"/>
          </w:tcPr>
          <w:p w14:paraId="7FF258CC">
            <w:pPr>
              <w:pStyle w:val="13"/>
            </w:pPr>
            <w:r>
              <w:t>840元</w:t>
            </w:r>
          </w:p>
        </w:tc>
        <w:tc>
          <w:tcPr>
            <w:tcW w:w="1276" w:type="dxa"/>
            <w:vAlign w:val="center"/>
          </w:tcPr>
          <w:p w14:paraId="1FD19281">
            <w:pPr>
              <w:pStyle w:val="13"/>
            </w:pPr>
            <w:r>
              <w:t>城乡义务教育公用经费管理办法</w:t>
            </w:r>
          </w:p>
        </w:tc>
      </w:tr>
      <w:tr w14:paraId="697F0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06B7D9">
            <w:pPr>
              <w:pStyle w:val="12"/>
            </w:pPr>
            <w:r>
              <w:t>效益指标</w:t>
            </w:r>
          </w:p>
        </w:tc>
        <w:tc>
          <w:tcPr>
            <w:tcW w:w="2268" w:type="dxa"/>
            <w:vAlign w:val="center"/>
          </w:tcPr>
          <w:p w14:paraId="19FEBE81">
            <w:pPr>
              <w:pStyle w:val="13"/>
            </w:pPr>
            <w:r>
              <w:t>可持续影响指标</w:t>
            </w:r>
          </w:p>
        </w:tc>
        <w:tc>
          <w:tcPr>
            <w:tcW w:w="2835" w:type="dxa"/>
            <w:vAlign w:val="center"/>
          </w:tcPr>
          <w:p w14:paraId="7D00DF5C">
            <w:pPr>
              <w:pStyle w:val="13"/>
            </w:pPr>
            <w:r>
              <w:t>教育发展水平明显好转</w:t>
            </w:r>
          </w:p>
        </w:tc>
        <w:tc>
          <w:tcPr>
            <w:tcW w:w="5386" w:type="dxa"/>
            <w:vAlign w:val="center"/>
          </w:tcPr>
          <w:p w14:paraId="1D9941FE">
            <w:pPr>
              <w:pStyle w:val="13"/>
            </w:pPr>
            <w:r>
              <w:t>学生受教育年限</w:t>
            </w:r>
          </w:p>
        </w:tc>
        <w:tc>
          <w:tcPr>
            <w:tcW w:w="2268" w:type="dxa"/>
            <w:vAlign w:val="center"/>
          </w:tcPr>
          <w:p w14:paraId="217C16A3">
            <w:pPr>
              <w:pStyle w:val="13"/>
            </w:pPr>
            <w:r>
              <w:t>6年</w:t>
            </w:r>
          </w:p>
        </w:tc>
        <w:tc>
          <w:tcPr>
            <w:tcW w:w="1276" w:type="dxa"/>
            <w:vAlign w:val="center"/>
          </w:tcPr>
          <w:p w14:paraId="24074858">
            <w:pPr>
              <w:pStyle w:val="13"/>
            </w:pPr>
            <w:r>
              <w:t>城乡义务教育公用经费管理办法</w:t>
            </w:r>
          </w:p>
        </w:tc>
      </w:tr>
      <w:tr w14:paraId="3FD79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716D32">
            <w:pPr>
              <w:pStyle w:val="12"/>
            </w:pPr>
            <w:r>
              <w:t>满意度指标</w:t>
            </w:r>
          </w:p>
        </w:tc>
        <w:tc>
          <w:tcPr>
            <w:tcW w:w="2268" w:type="dxa"/>
            <w:vAlign w:val="center"/>
          </w:tcPr>
          <w:p w14:paraId="07FDAFC3">
            <w:pPr>
              <w:pStyle w:val="13"/>
            </w:pPr>
            <w:r>
              <w:t>服务对象满意度指标</w:t>
            </w:r>
          </w:p>
        </w:tc>
        <w:tc>
          <w:tcPr>
            <w:tcW w:w="2835" w:type="dxa"/>
            <w:vAlign w:val="center"/>
          </w:tcPr>
          <w:p w14:paraId="0853C55C">
            <w:pPr>
              <w:pStyle w:val="13"/>
            </w:pPr>
            <w:r>
              <w:t>受益学生家长及调查满意度</w:t>
            </w:r>
          </w:p>
        </w:tc>
        <w:tc>
          <w:tcPr>
            <w:tcW w:w="5386" w:type="dxa"/>
            <w:vAlign w:val="center"/>
          </w:tcPr>
          <w:p w14:paraId="445D5F47">
            <w:pPr>
              <w:pStyle w:val="13"/>
            </w:pPr>
            <w:r>
              <w:t>学生、教师及家长对学校教育教学工作满意度情况</w:t>
            </w:r>
          </w:p>
        </w:tc>
        <w:tc>
          <w:tcPr>
            <w:tcW w:w="2268" w:type="dxa"/>
            <w:vAlign w:val="center"/>
          </w:tcPr>
          <w:p w14:paraId="1F5C68E7">
            <w:pPr>
              <w:pStyle w:val="13"/>
            </w:pPr>
            <w:r>
              <w:t>≥95%</w:t>
            </w:r>
          </w:p>
        </w:tc>
        <w:tc>
          <w:tcPr>
            <w:tcW w:w="1276" w:type="dxa"/>
            <w:vAlign w:val="center"/>
          </w:tcPr>
          <w:p w14:paraId="41B6B5A6">
            <w:pPr>
              <w:pStyle w:val="13"/>
            </w:pPr>
            <w:r>
              <w:t>调查问卷</w:t>
            </w:r>
          </w:p>
        </w:tc>
      </w:tr>
    </w:tbl>
    <w:p w14:paraId="2D8BC4FE">
      <w:pPr>
        <w:sectPr>
          <w:pgSz w:w="16840" w:h="11900" w:orient="landscape"/>
          <w:pgMar w:top="1361" w:right="1020" w:bottom="1134" w:left="1020" w:header="720" w:footer="720" w:gutter="0"/>
          <w:cols w:space="720" w:num="1"/>
        </w:sectPr>
      </w:pPr>
    </w:p>
    <w:p w14:paraId="09818395">
      <w:pPr>
        <w:spacing w:before="0" w:after="0"/>
        <w:ind w:firstLine="560"/>
        <w:jc w:val="left"/>
        <w:outlineLvl w:val="9"/>
      </w:pPr>
      <w:r>
        <w:rPr>
          <w:rFonts w:ascii="方正仿宋_GBK" w:hAnsi="方正仿宋_GBK" w:eastAsia="方正仿宋_GBK" w:cs="方正仿宋_GBK"/>
          <w:b/>
          <w:color w:val="000000"/>
          <w:sz w:val="28"/>
        </w:rPr>
        <w:t>17、冀财教[2023]163号/省级/2024年义教补助资金/私立育人学校公用经费绩效目标表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BC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FFDE6">
            <w:pPr>
              <w:pStyle w:val="14"/>
            </w:pPr>
            <w:r>
              <w:t>单位：万元</w:t>
            </w:r>
          </w:p>
        </w:tc>
      </w:tr>
      <w:tr w14:paraId="3D44E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751F1C">
            <w:pPr>
              <w:pStyle w:val="11"/>
            </w:pPr>
            <w:r>
              <w:t>项目编码</w:t>
            </w:r>
          </w:p>
        </w:tc>
        <w:tc>
          <w:tcPr>
            <w:tcW w:w="5103" w:type="dxa"/>
            <w:gridSpan w:val="2"/>
            <w:vAlign w:val="center"/>
          </w:tcPr>
          <w:p w14:paraId="4F8CD642">
            <w:pPr>
              <w:pStyle w:val="13"/>
            </w:pPr>
            <w:r>
              <w:t>13052524P00000610639Q</w:t>
            </w:r>
          </w:p>
        </w:tc>
        <w:tc>
          <w:tcPr>
            <w:tcW w:w="2835" w:type="dxa"/>
            <w:vAlign w:val="center"/>
          </w:tcPr>
          <w:p w14:paraId="4E3B6C03">
            <w:pPr>
              <w:pStyle w:val="11"/>
            </w:pPr>
            <w:r>
              <w:t>项目名称</w:t>
            </w:r>
          </w:p>
        </w:tc>
        <w:tc>
          <w:tcPr>
            <w:tcW w:w="6095" w:type="dxa"/>
            <w:gridSpan w:val="3"/>
            <w:vAlign w:val="center"/>
          </w:tcPr>
          <w:p w14:paraId="63413494">
            <w:pPr>
              <w:pStyle w:val="13"/>
            </w:pPr>
            <w:r>
              <w:t>冀财教[2023]163号/省级/2024年义教补助资金/私立育人学校公用经费</w:t>
            </w:r>
            <w:r>
              <w:tab/>
            </w:r>
            <w:r>
              <w:tab/>
            </w:r>
            <w:r>
              <w:tab/>
            </w:r>
          </w:p>
        </w:tc>
      </w:tr>
      <w:tr w14:paraId="48737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965E0">
            <w:pPr>
              <w:pStyle w:val="11"/>
            </w:pPr>
            <w:r>
              <w:t>预算规模及资金用途</w:t>
            </w:r>
          </w:p>
        </w:tc>
        <w:tc>
          <w:tcPr>
            <w:tcW w:w="2268" w:type="dxa"/>
            <w:vAlign w:val="center"/>
          </w:tcPr>
          <w:p w14:paraId="368E88E4">
            <w:pPr>
              <w:pStyle w:val="11"/>
            </w:pPr>
            <w:r>
              <w:t>预算数</w:t>
            </w:r>
          </w:p>
        </w:tc>
        <w:tc>
          <w:tcPr>
            <w:tcW w:w="2835" w:type="dxa"/>
            <w:vAlign w:val="center"/>
          </w:tcPr>
          <w:p w14:paraId="33FE2915">
            <w:pPr>
              <w:pStyle w:val="13"/>
            </w:pPr>
            <w:r>
              <w:t>30.40</w:t>
            </w:r>
          </w:p>
        </w:tc>
        <w:tc>
          <w:tcPr>
            <w:tcW w:w="2835" w:type="dxa"/>
            <w:vAlign w:val="center"/>
          </w:tcPr>
          <w:p w14:paraId="1A3CAAD3">
            <w:pPr>
              <w:pStyle w:val="11"/>
            </w:pPr>
            <w:r>
              <w:t>其中：财政    资金</w:t>
            </w:r>
          </w:p>
        </w:tc>
        <w:tc>
          <w:tcPr>
            <w:tcW w:w="2551" w:type="dxa"/>
            <w:vAlign w:val="center"/>
          </w:tcPr>
          <w:p w14:paraId="10517D94">
            <w:pPr>
              <w:pStyle w:val="13"/>
            </w:pPr>
            <w:r>
              <w:t>30.40</w:t>
            </w:r>
          </w:p>
        </w:tc>
        <w:tc>
          <w:tcPr>
            <w:tcW w:w="2268" w:type="dxa"/>
            <w:vAlign w:val="center"/>
          </w:tcPr>
          <w:p w14:paraId="45F0253B">
            <w:pPr>
              <w:pStyle w:val="11"/>
            </w:pPr>
            <w:r>
              <w:t>其他资金</w:t>
            </w:r>
          </w:p>
        </w:tc>
        <w:tc>
          <w:tcPr>
            <w:tcW w:w="1276" w:type="dxa"/>
            <w:vAlign w:val="center"/>
          </w:tcPr>
          <w:p w14:paraId="4BE02584">
            <w:pPr>
              <w:pStyle w:val="13"/>
            </w:pPr>
            <w:r>
              <w:t xml:space="preserve"> </w:t>
            </w:r>
          </w:p>
        </w:tc>
      </w:tr>
      <w:tr w14:paraId="274CE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C54139"/>
        </w:tc>
        <w:tc>
          <w:tcPr>
            <w:tcW w:w="14033" w:type="dxa"/>
            <w:gridSpan w:val="6"/>
            <w:vAlign w:val="center"/>
          </w:tcPr>
          <w:p w14:paraId="6A7F4C41">
            <w:pPr>
              <w:pStyle w:val="13"/>
            </w:pPr>
            <w:r>
              <w:t xml:space="preserve">保障义务教育学校正常运转，完成教育教学活动和其他日常工作任务等方面的费用支出。     </w:t>
            </w:r>
          </w:p>
        </w:tc>
      </w:tr>
      <w:tr w14:paraId="3E424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4398B">
            <w:pPr>
              <w:pStyle w:val="11"/>
            </w:pPr>
            <w:r>
              <w:t>资金支出计划（%）</w:t>
            </w:r>
          </w:p>
        </w:tc>
        <w:tc>
          <w:tcPr>
            <w:tcW w:w="5103" w:type="dxa"/>
            <w:gridSpan w:val="2"/>
            <w:vAlign w:val="center"/>
          </w:tcPr>
          <w:p w14:paraId="4B5905CC">
            <w:pPr>
              <w:pStyle w:val="11"/>
            </w:pPr>
            <w:r>
              <w:t>3月底</w:t>
            </w:r>
          </w:p>
        </w:tc>
        <w:tc>
          <w:tcPr>
            <w:tcW w:w="2835" w:type="dxa"/>
            <w:vAlign w:val="center"/>
          </w:tcPr>
          <w:p w14:paraId="06008CC3">
            <w:pPr>
              <w:pStyle w:val="11"/>
            </w:pPr>
            <w:r>
              <w:t>6月底</w:t>
            </w:r>
          </w:p>
        </w:tc>
        <w:tc>
          <w:tcPr>
            <w:tcW w:w="2551" w:type="dxa"/>
            <w:vAlign w:val="center"/>
          </w:tcPr>
          <w:p w14:paraId="432C5EBC">
            <w:pPr>
              <w:pStyle w:val="11"/>
            </w:pPr>
            <w:r>
              <w:t>10月底</w:t>
            </w:r>
          </w:p>
        </w:tc>
        <w:tc>
          <w:tcPr>
            <w:tcW w:w="3544" w:type="dxa"/>
            <w:gridSpan w:val="2"/>
            <w:vAlign w:val="center"/>
          </w:tcPr>
          <w:p w14:paraId="5358EB53">
            <w:pPr>
              <w:pStyle w:val="11"/>
            </w:pPr>
            <w:r>
              <w:t>12月底</w:t>
            </w:r>
          </w:p>
        </w:tc>
      </w:tr>
      <w:tr w14:paraId="4DB3E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C6DA2"/>
        </w:tc>
        <w:tc>
          <w:tcPr>
            <w:tcW w:w="5103" w:type="dxa"/>
            <w:gridSpan w:val="2"/>
            <w:vAlign w:val="center"/>
          </w:tcPr>
          <w:p w14:paraId="3B02C17D">
            <w:pPr>
              <w:pStyle w:val="12"/>
            </w:pPr>
            <w:r>
              <w:t xml:space="preserve"> </w:t>
            </w:r>
          </w:p>
        </w:tc>
        <w:tc>
          <w:tcPr>
            <w:tcW w:w="2835" w:type="dxa"/>
            <w:vAlign w:val="center"/>
          </w:tcPr>
          <w:p w14:paraId="622EED6D">
            <w:pPr>
              <w:pStyle w:val="12"/>
            </w:pPr>
            <w:r>
              <w:t>100%</w:t>
            </w:r>
          </w:p>
        </w:tc>
        <w:tc>
          <w:tcPr>
            <w:tcW w:w="2551" w:type="dxa"/>
            <w:vAlign w:val="center"/>
          </w:tcPr>
          <w:p w14:paraId="4CD8D7E4">
            <w:pPr>
              <w:pStyle w:val="12"/>
            </w:pPr>
            <w:r>
              <w:t>100%</w:t>
            </w:r>
          </w:p>
        </w:tc>
        <w:tc>
          <w:tcPr>
            <w:tcW w:w="3544" w:type="dxa"/>
            <w:gridSpan w:val="2"/>
            <w:vAlign w:val="center"/>
          </w:tcPr>
          <w:p w14:paraId="11D0CDE0">
            <w:pPr>
              <w:pStyle w:val="12"/>
            </w:pPr>
            <w:r>
              <w:t>100%</w:t>
            </w:r>
          </w:p>
        </w:tc>
      </w:tr>
      <w:tr w14:paraId="37422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EB9E92">
            <w:pPr>
              <w:pStyle w:val="11"/>
            </w:pPr>
            <w:r>
              <w:t>绩效目标</w:t>
            </w:r>
          </w:p>
        </w:tc>
        <w:tc>
          <w:tcPr>
            <w:tcW w:w="14033" w:type="dxa"/>
            <w:gridSpan w:val="6"/>
            <w:vAlign w:val="center"/>
          </w:tcPr>
          <w:p w14:paraId="1E675A5C">
            <w:pPr>
              <w:pStyle w:val="13"/>
            </w:pPr>
            <w:r>
              <w:t xml:space="preserve">1.保障义务教育学校正常运转，完成教育教学活动和其他日常工作任务等方面的费用支出。     </w:t>
            </w:r>
          </w:p>
        </w:tc>
      </w:tr>
    </w:tbl>
    <w:p w14:paraId="6D097A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FE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16025">
            <w:pPr>
              <w:pStyle w:val="11"/>
            </w:pPr>
            <w:r>
              <w:t>一级指标</w:t>
            </w:r>
          </w:p>
        </w:tc>
        <w:tc>
          <w:tcPr>
            <w:tcW w:w="2268" w:type="dxa"/>
            <w:vAlign w:val="center"/>
          </w:tcPr>
          <w:p w14:paraId="02ECBE63">
            <w:pPr>
              <w:pStyle w:val="11"/>
            </w:pPr>
            <w:r>
              <w:t>二级指标</w:t>
            </w:r>
          </w:p>
        </w:tc>
        <w:tc>
          <w:tcPr>
            <w:tcW w:w="2835" w:type="dxa"/>
            <w:vAlign w:val="center"/>
          </w:tcPr>
          <w:p w14:paraId="0F901CBC">
            <w:pPr>
              <w:pStyle w:val="11"/>
            </w:pPr>
            <w:r>
              <w:t>三级指标</w:t>
            </w:r>
          </w:p>
        </w:tc>
        <w:tc>
          <w:tcPr>
            <w:tcW w:w="5386" w:type="dxa"/>
            <w:vAlign w:val="center"/>
          </w:tcPr>
          <w:p w14:paraId="1C4602CB">
            <w:pPr>
              <w:pStyle w:val="11"/>
            </w:pPr>
            <w:r>
              <w:t>绩效指标描述</w:t>
            </w:r>
          </w:p>
        </w:tc>
        <w:tc>
          <w:tcPr>
            <w:tcW w:w="2268" w:type="dxa"/>
            <w:vAlign w:val="center"/>
          </w:tcPr>
          <w:p w14:paraId="4B14FAC7">
            <w:pPr>
              <w:pStyle w:val="11"/>
            </w:pPr>
            <w:r>
              <w:t>指标值</w:t>
            </w:r>
          </w:p>
        </w:tc>
        <w:tc>
          <w:tcPr>
            <w:tcW w:w="1276" w:type="dxa"/>
            <w:vAlign w:val="center"/>
          </w:tcPr>
          <w:p w14:paraId="198C50D6">
            <w:pPr>
              <w:pStyle w:val="11"/>
            </w:pPr>
            <w:r>
              <w:t>指标值确定依据</w:t>
            </w:r>
          </w:p>
        </w:tc>
      </w:tr>
      <w:tr w14:paraId="1DD3E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30891">
            <w:pPr>
              <w:pStyle w:val="12"/>
            </w:pPr>
            <w:r>
              <w:t>产出指标</w:t>
            </w:r>
          </w:p>
        </w:tc>
        <w:tc>
          <w:tcPr>
            <w:tcW w:w="2268" w:type="dxa"/>
            <w:vAlign w:val="center"/>
          </w:tcPr>
          <w:p w14:paraId="479977C2">
            <w:pPr>
              <w:pStyle w:val="13"/>
            </w:pPr>
            <w:r>
              <w:t>数量指标</w:t>
            </w:r>
          </w:p>
        </w:tc>
        <w:tc>
          <w:tcPr>
            <w:tcW w:w="2835" w:type="dxa"/>
            <w:vAlign w:val="center"/>
          </w:tcPr>
          <w:p w14:paraId="6583AA92">
            <w:pPr>
              <w:pStyle w:val="13"/>
            </w:pPr>
            <w:r>
              <w:t>适龄在校生</w:t>
            </w:r>
          </w:p>
        </w:tc>
        <w:tc>
          <w:tcPr>
            <w:tcW w:w="5386" w:type="dxa"/>
            <w:vAlign w:val="center"/>
          </w:tcPr>
          <w:p w14:paraId="3D1AEFE0">
            <w:pPr>
              <w:pStyle w:val="13"/>
            </w:pPr>
            <w:r>
              <w:t>适龄在校就读学生人数</w:t>
            </w:r>
          </w:p>
        </w:tc>
        <w:tc>
          <w:tcPr>
            <w:tcW w:w="2268" w:type="dxa"/>
            <w:vAlign w:val="center"/>
          </w:tcPr>
          <w:p w14:paraId="63F6389C">
            <w:pPr>
              <w:pStyle w:val="13"/>
            </w:pPr>
            <w:r>
              <w:t>762人</w:t>
            </w:r>
          </w:p>
        </w:tc>
        <w:tc>
          <w:tcPr>
            <w:tcW w:w="1276" w:type="dxa"/>
            <w:vAlign w:val="center"/>
          </w:tcPr>
          <w:p w14:paraId="65D7722C">
            <w:pPr>
              <w:pStyle w:val="13"/>
            </w:pPr>
            <w:r>
              <w:t>城乡义务教育公用经费管理办法</w:t>
            </w:r>
          </w:p>
        </w:tc>
      </w:tr>
      <w:tr w14:paraId="7E389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C3574"/>
        </w:tc>
        <w:tc>
          <w:tcPr>
            <w:tcW w:w="2268" w:type="dxa"/>
            <w:vAlign w:val="center"/>
          </w:tcPr>
          <w:p w14:paraId="2963B465">
            <w:pPr>
              <w:pStyle w:val="13"/>
            </w:pPr>
            <w:r>
              <w:t>质量指标</w:t>
            </w:r>
          </w:p>
        </w:tc>
        <w:tc>
          <w:tcPr>
            <w:tcW w:w="2835" w:type="dxa"/>
            <w:vAlign w:val="center"/>
          </w:tcPr>
          <w:p w14:paraId="5BB09009">
            <w:pPr>
              <w:pStyle w:val="13"/>
            </w:pPr>
            <w:r>
              <w:t>预算控制率</w:t>
            </w:r>
          </w:p>
        </w:tc>
        <w:tc>
          <w:tcPr>
            <w:tcW w:w="5386" w:type="dxa"/>
            <w:vAlign w:val="center"/>
          </w:tcPr>
          <w:p w14:paraId="0E7C968F">
            <w:pPr>
              <w:pStyle w:val="13"/>
            </w:pPr>
            <w:r>
              <w:t>预算执行</w:t>
            </w:r>
          </w:p>
        </w:tc>
        <w:tc>
          <w:tcPr>
            <w:tcW w:w="2268" w:type="dxa"/>
            <w:vAlign w:val="center"/>
          </w:tcPr>
          <w:p w14:paraId="14F2DFBF">
            <w:pPr>
              <w:pStyle w:val="13"/>
            </w:pPr>
            <w:r>
              <w:t>≥95%</w:t>
            </w:r>
          </w:p>
        </w:tc>
        <w:tc>
          <w:tcPr>
            <w:tcW w:w="1276" w:type="dxa"/>
            <w:vAlign w:val="center"/>
          </w:tcPr>
          <w:p w14:paraId="2BF04897">
            <w:pPr>
              <w:pStyle w:val="13"/>
            </w:pPr>
            <w:r>
              <w:t>城乡义务教育公用经费管理办法</w:t>
            </w:r>
          </w:p>
        </w:tc>
      </w:tr>
      <w:tr w14:paraId="61ED8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14609"/>
        </w:tc>
        <w:tc>
          <w:tcPr>
            <w:tcW w:w="2268" w:type="dxa"/>
            <w:vAlign w:val="center"/>
          </w:tcPr>
          <w:p w14:paraId="01B262B7">
            <w:pPr>
              <w:pStyle w:val="13"/>
            </w:pPr>
            <w:r>
              <w:t>时效指标</w:t>
            </w:r>
          </w:p>
        </w:tc>
        <w:tc>
          <w:tcPr>
            <w:tcW w:w="2835" w:type="dxa"/>
            <w:vAlign w:val="center"/>
          </w:tcPr>
          <w:p w14:paraId="4E733D47">
            <w:pPr>
              <w:pStyle w:val="13"/>
            </w:pPr>
            <w:r>
              <w:t>资金支付率</w:t>
            </w:r>
          </w:p>
        </w:tc>
        <w:tc>
          <w:tcPr>
            <w:tcW w:w="5386" w:type="dxa"/>
            <w:vAlign w:val="center"/>
          </w:tcPr>
          <w:p w14:paraId="767FA9D9">
            <w:pPr>
              <w:pStyle w:val="13"/>
            </w:pPr>
            <w:r>
              <w:t>按照序时进度完成资金支付</w:t>
            </w:r>
          </w:p>
        </w:tc>
        <w:tc>
          <w:tcPr>
            <w:tcW w:w="2268" w:type="dxa"/>
            <w:vAlign w:val="center"/>
          </w:tcPr>
          <w:p w14:paraId="734C724F">
            <w:pPr>
              <w:pStyle w:val="13"/>
            </w:pPr>
            <w:r>
              <w:t>≥100%</w:t>
            </w:r>
          </w:p>
        </w:tc>
        <w:tc>
          <w:tcPr>
            <w:tcW w:w="1276" w:type="dxa"/>
            <w:vAlign w:val="center"/>
          </w:tcPr>
          <w:p w14:paraId="29F3BB27">
            <w:pPr>
              <w:pStyle w:val="13"/>
            </w:pPr>
            <w:r>
              <w:t>城乡义务教育公用经费管理办法</w:t>
            </w:r>
          </w:p>
        </w:tc>
      </w:tr>
      <w:tr w14:paraId="395CB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03341"/>
        </w:tc>
        <w:tc>
          <w:tcPr>
            <w:tcW w:w="2268" w:type="dxa"/>
            <w:vAlign w:val="center"/>
          </w:tcPr>
          <w:p w14:paraId="2ABB3F99">
            <w:pPr>
              <w:pStyle w:val="13"/>
            </w:pPr>
            <w:r>
              <w:t>成本指标</w:t>
            </w:r>
          </w:p>
        </w:tc>
        <w:tc>
          <w:tcPr>
            <w:tcW w:w="2835" w:type="dxa"/>
            <w:vAlign w:val="center"/>
          </w:tcPr>
          <w:p w14:paraId="459DFF9F">
            <w:pPr>
              <w:pStyle w:val="13"/>
            </w:pPr>
            <w:r>
              <w:t>生均拨款标准</w:t>
            </w:r>
          </w:p>
        </w:tc>
        <w:tc>
          <w:tcPr>
            <w:tcW w:w="5386" w:type="dxa"/>
            <w:vAlign w:val="center"/>
          </w:tcPr>
          <w:p w14:paraId="5832D6A5">
            <w:pPr>
              <w:pStyle w:val="13"/>
            </w:pPr>
            <w:r>
              <w:t>小学：（基本标准720元、寄宿生300元、取暖120元）/生/学年；随班就读学生：标准6000元/生/学年。</w:t>
            </w:r>
          </w:p>
        </w:tc>
        <w:tc>
          <w:tcPr>
            <w:tcW w:w="2268" w:type="dxa"/>
            <w:vAlign w:val="center"/>
          </w:tcPr>
          <w:p w14:paraId="7C51FD5F">
            <w:pPr>
              <w:pStyle w:val="13"/>
            </w:pPr>
            <w:r>
              <w:t>840元</w:t>
            </w:r>
          </w:p>
        </w:tc>
        <w:tc>
          <w:tcPr>
            <w:tcW w:w="1276" w:type="dxa"/>
            <w:vAlign w:val="center"/>
          </w:tcPr>
          <w:p w14:paraId="78E0F9F2">
            <w:pPr>
              <w:pStyle w:val="13"/>
            </w:pPr>
            <w:r>
              <w:t>城乡义务教育公用经费管理办法</w:t>
            </w:r>
          </w:p>
        </w:tc>
      </w:tr>
      <w:tr w14:paraId="1B63D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83492E">
            <w:pPr>
              <w:pStyle w:val="12"/>
            </w:pPr>
            <w:r>
              <w:t>效益指标</w:t>
            </w:r>
          </w:p>
        </w:tc>
        <w:tc>
          <w:tcPr>
            <w:tcW w:w="2268" w:type="dxa"/>
            <w:vAlign w:val="center"/>
          </w:tcPr>
          <w:p w14:paraId="247E2300">
            <w:pPr>
              <w:pStyle w:val="13"/>
            </w:pPr>
            <w:r>
              <w:t>可持续影响指标</w:t>
            </w:r>
          </w:p>
        </w:tc>
        <w:tc>
          <w:tcPr>
            <w:tcW w:w="2835" w:type="dxa"/>
            <w:vAlign w:val="center"/>
          </w:tcPr>
          <w:p w14:paraId="79462375">
            <w:pPr>
              <w:pStyle w:val="13"/>
            </w:pPr>
            <w:r>
              <w:t>教育发展水平明显好转</w:t>
            </w:r>
          </w:p>
        </w:tc>
        <w:tc>
          <w:tcPr>
            <w:tcW w:w="5386" w:type="dxa"/>
            <w:vAlign w:val="center"/>
          </w:tcPr>
          <w:p w14:paraId="47940D26">
            <w:pPr>
              <w:pStyle w:val="13"/>
            </w:pPr>
            <w:r>
              <w:t>学生受教育年限</w:t>
            </w:r>
          </w:p>
        </w:tc>
        <w:tc>
          <w:tcPr>
            <w:tcW w:w="2268" w:type="dxa"/>
            <w:vAlign w:val="center"/>
          </w:tcPr>
          <w:p w14:paraId="0BA469FC">
            <w:pPr>
              <w:pStyle w:val="13"/>
            </w:pPr>
            <w:r>
              <w:t>6年</w:t>
            </w:r>
          </w:p>
        </w:tc>
        <w:tc>
          <w:tcPr>
            <w:tcW w:w="1276" w:type="dxa"/>
            <w:vAlign w:val="center"/>
          </w:tcPr>
          <w:p w14:paraId="2E3ED5EC">
            <w:pPr>
              <w:pStyle w:val="13"/>
            </w:pPr>
            <w:r>
              <w:t>城乡义务教育公用经费管理办法</w:t>
            </w:r>
          </w:p>
        </w:tc>
      </w:tr>
      <w:tr w14:paraId="278A8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6AF6A5">
            <w:pPr>
              <w:pStyle w:val="12"/>
            </w:pPr>
            <w:r>
              <w:t>满意度指标</w:t>
            </w:r>
          </w:p>
        </w:tc>
        <w:tc>
          <w:tcPr>
            <w:tcW w:w="2268" w:type="dxa"/>
            <w:vAlign w:val="center"/>
          </w:tcPr>
          <w:p w14:paraId="768DF523">
            <w:pPr>
              <w:pStyle w:val="13"/>
            </w:pPr>
            <w:r>
              <w:t>服务对象满意度指标</w:t>
            </w:r>
          </w:p>
        </w:tc>
        <w:tc>
          <w:tcPr>
            <w:tcW w:w="2835" w:type="dxa"/>
            <w:vAlign w:val="center"/>
          </w:tcPr>
          <w:p w14:paraId="335522A3">
            <w:pPr>
              <w:pStyle w:val="13"/>
            </w:pPr>
            <w:r>
              <w:t>受益学生家长及调查满意度</w:t>
            </w:r>
          </w:p>
        </w:tc>
        <w:tc>
          <w:tcPr>
            <w:tcW w:w="5386" w:type="dxa"/>
            <w:vAlign w:val="center"/>
          </w:tcPr>
          <w:p w14:paraId="18AC4568">
            <w:pPr>
              <w:pStyle w:val="13"/>
            </w:pPr>
            <w:r>
              <w:t>学生、教师及家长对学校教育教学工作满意度情况</w:t>
            </w:r>
          </w:p>
        </w:tc>
        <w:tc>
          <w:tcPr>
            <w:tcW w:w="2268" w:type="dxa"/>
            <w:vAlign w:val="center"/>
          </w:tcPr>
          <w:p w14:paraId="2C1F45E1">
            <w:pPr>
              <w:pStyle w:val="13"/>
            </w:pPr>
            <w:r>
              <w:t>≥95%</w:t>
            </w:r>
          </w:p>
        </w:tc>
        <w:tc>
          <w:tcPr>
            <w:tcW w:w="1276" w:type="dxa"/>
            <w:vAlign w:val="center"/>
          </w:tcPr>
          <w:p w14:paraId="05D84E02">
            <w:pPr>
              <w:pStyle w:val="13"/>
            </w:pPr>
            <w:r>
              <w:t>调查问卷</w:t>
            </w:r>
          </w:p>
        </w:tc>
      </w:tr>
    </w:tbl>
    <w:p w14:paraId="460D35E6">
      <w:pPr>
        <w:sectPr>
          <w:pgSz w:w="16840" w:h="11900" w:orient="landscape"/>
          <w:pgMar w:top="1361" w:right="1020" w:bottom="1134" w:left="1020" w:header="720" w:footer="720" w:gutter="0"/>
          <w:cols w:space="720" w:num="1"/>
        </w:sectPr>
      </w:pPr>
    </w:p>
    <w:p w14:paraId="53CE3666">
      <w:pPr>
        <w:spacing w:before="0" w:after="0"/>
        <w:ind w:firstLine="560"/>
        <w:jc w:val="left"/>
        <w:outlineLvl w:val="9"/>
      </w:pPr>
      <w:r>
        <w:rPr>
          <w:rFonts w:ascii="方正仿宋_GBK" w:hAnsi="方正仿宋_GBK" w:eastAsia="方正仿宋_GBK" w:cs="方正仿宋_GBK"/>
          <w:b/>
          <w:color w:val="000000"/>
          <w:sz w:val="28"/>
        </w:rPr>
        <w:t>18、冀财教[2023]163号/省级/2024年义教补助资金/唐尧中学附属小学公用经费绩效目标表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6D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85947">
            <w:pPr>
              <w:pStyle w:val="14"/>
            </w:pPr>
            <w:r>
              <w:t>单位：万元</w:t>
            </w:r>
          </w:p>
        </w:tc>
      </w:tr>
      <w:tr w14:paraId="3137D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3CFFD">
            <w:pPr>
              <w:pStyle w:val="11"/>
            </w:pPr>
            <w:r>
              <w:t>项目编码</w:t>
            </w:r>
          </w:p>
        </w:tc>
        <w:tc>
          <w:tcPr>
            <w:tcW w:w="5103" w:type="dxa"/>
            <w:gridSpan w:val="2"/>
            <w:vAlign w:val="center"/>
          </w:tcPr>
          <w:p w14:paraId="7CDEE1F4">
            <w:pPr>
              <w:pStyle w:val="13"/>
            </w:pPr>
            <w:r>
              <w:t>13052524P000006106385</w:t>
            </w:r>
          </w:p>
        </w:tc>
        <w:tc>
          <w:tcPr>
            <w:tcW w:w="2835" w:type="dxa"/>
            <w:vAlign w:val="center"/>
          </w:tcPr>
          <w:p w14:paraId="7C5D3EC0">
            <w:pPr>
              <w:pStyle w:val="11"/>
            </w:pPr>
            <w:r>
              <w:t>项目名称</w:t>
            </w:r>
          </w:p>
        </w:tc>
        <w:tc>
          <w:tcPr>
            <w:tcW w:w="6095" w:type="dxa"/>
            <w:gridSpan w:val="3"/>
            <w:vAlign w:val="center"/>
          </w:tcPr>
          <w:p w14:paraId="2633E4E0">
            <w:pPr>
              <w:pStyle w:val="13"/>
            </w:pPr>
            <w:r>
              <w:t>冀财教[2023]163号/省级/2024年义教补助资金/唐尧中学附属小学公用经费</w:t>
            </w:r>
            <w:r>
              <w:tab/>
            </w:r>
            <w:r>
              <w:tab/>
            </w:r>
            <w:r>
              <w:tab/>
            </w:r>
          </w:p>
        </w:tc>
      </w:tr>
      <w:tr w14:paraId="41B60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24FF4">
            <w:pPr>
              <w:pStyle w:val="11"/>
            </w:pPr>
            <w:r>
              <w:t>预算规模及资金用途</w:t>
            </w:r>
          </w:p>
        </w:tc>
        <w:tc>
          <w:tcPr>
            <w:tcW w:w="2268" w:type="dxa"/>
            <w:vAlign w:val="center"/>
          </w:tcPr>
          <w:p w14:paraId="362320A2">
            <w:pPr>
              <w:pStyle w:val="11"/>
            </w:pPr>
            <w:r>
              <w:t>预算数</w:t>
            </w:r>
          </w:p>
        </w:tc>
        <w:tc>
          <w:tcPr>
            <w:tcW w:w="2835" w:type="dxa"/>
            <w:vAlign w:val="center"/>
          </w:tcPr>
          <w:p w14:paraId="7E19B50F">
            <w:pPr>
              <w:pStyle w:val="13"/>
            </w:pPr>
            <w:r>
              <w:t>13.80</w:t>
            </w:r>
          </w:p>
        </w:tc>
        <w:tc>
          <w:tcPr>
            <w:tcW w:w="2835" w:type="dxa"/>
            <w:vAlign w:val="center"/>
          </w:tcPr>
          <w:p w14:paraId="3D3EC2A1">
            <w:pPr>
              <w:pStyle w:val="11"/>
            </w:pPr>
            <w:r>
              <w:t>其中：财政    资金</w:t>
            </w:r>
          </w:p>
        </w:tc>
        <w:tc>
          <w:tcPr>
            <w:tcW w:w="2551" w:type="dxa"/>
            <w:vAlign w:val="center"/>
          </w:tcPr>
          <w:p w14:paraId="200E0358">
            <w:pPr>
              <w:pStyle w:val="13"/>
            </w:pPr>
            <w:r>
              <w:t>13.80</w:t>
            </w:r>
          </w:p>
        </w:tc>
        <w:tc>
          <w:tcPr>
            <w:tcW w:w="2268" w:type="dxa"/>
            <w:vAlign w:val="center"/>
          </w:tcPr>
          <w:p w14:paraId="4DA4A4A9">
            <w:pPr>
              <w:pStyle w:val="11"/>
            </w:pPr>
            <w:r>
              <w:t>其他资金</w:t>
            </w:r>
          </w:p>
        </w:tc>
        <w:tc>
          <w:tcPr>
            <w:tcW w:w="1276" w:type="dxa"/>
            <w:vAlign w:val="center"/>
          </w:tcPr>
          <w:p w14:paraId="431B70E5">
            <w:pPr>
              <w:pStyle w:val="13"/>
            </w:pPr>
            <w:r>
              <w:t xml:space="preserve"> </w:t>
            </w:r>
          </w:p>
        </w:tc>
      </w:tr>
      <w:tr w14:paraId="2BBCB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A294A6"/>
        </w:tc>
        <w:tc>
          <w:tcPr>
            <w:tcW w:w="14033" w:type="dxa"/>
            <w:gridSpan w:val="6"/>
            <w:vAlign w:val="center"/>
          </w:tcPr>
          <w:p w14:paraId="6FF176CC">
            <w:pPr>
              <w:pStyle w:val="13"/>
            </w:pPr>
            <w:r>
              <w:t>按季度分批次拨付安排公用经费资金，学校按照预算安排进行资金使用，保证资金正常支出。</w:t>
            </w:r>
          </w:p>
        </w:tc>
      </w:tr>
      <w:tr w14:paraId="2AEC5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92259">
            <w:pPr>
              <w:pStyle w:val="11"/>
            </w:pPr>
            <w:r>
              <w:t>资金支出计划（%）</w:t>
            </w:r>
          </w:p>
        </w:tc>
        <w:tc>
          <w:tcPr>
            <w:tcW w:w="5103" w:type="dxa"/>
            <w:gridSpan w:val="2"/>
            <w:vAlign w:val="center"/>
          </w:tcPr>
          <w:p w14:paraId="688E374A">
            <w:pPr>
              <w:pStyle w:val="11"/>
            </w:pPr>
            <w:r>
              <w:t>3月底</w:t>
            </w:r>
          </w:p>
        </w:tc>
        <w:tc>
          <w:tcPr>
            <w:tcW w:w="2835" w:type="dxa"/>
            <w:vAlign w:val="center"/>
          </w:tcPr>
          <w:p w14:paraId="3FB98281">
            <w:pPr>
              <w:pStyle w:val="11"/>
            </w:pPr>
            <w:r>
              <w:t>6月底</w:t>
            </w:r>
          </w:p>
        </w:tc>
        <w:tc>
          <w:tcPr>
            <w:tcW w:w="2551" w:type="dxa"/>
            <w:vAlign w:val="center"/>
          </w:tcPr>
          <w:p w14:paraId="47F209B2">
            <w:pPr>
              <w:pStyle w:val="11"/>
            </w:pPr>
            <w:r>
              <w:t>10月底</w:t>
            </w:r>
          </w:p>
        </w:tc>
        <w:tc>
          <w:tcPr>
            <w:tcW w:w="3544" w:type="dxa"/>
            <w:gridSpan w:val="2"/>
            <w:vAlign w:val="center"/>
          </w:tcPr>
          <w:p w14:paraId="23A9756D">
            <w:pPr>
              <w:pStyle w:val="11"/>
            </w:pPr>
            <w:r>
              <w:t>12月底</w:t>
            </w:r>
          </w:p>
        </w:tc>
      </w:tr>
      <w:tr w14:paraId="60C4A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8390E0"/>
        </w:tc>
        <w:tc>
          <w:tcPr>
            <w:tcW w:w="5103" w:type="dxa"/>
            <w:gridSpan w:val="2"/>
            <w:vAlign w:val="center"/>
          </w:tcPr>
          <w:p w14:paraId="2E9FF285">
            <w:pPr>
              <w:pStyle w:val="12"/>
            </w:pPr>
            <w:r>
              <w:t xml:space="preserve"> </w:t>
            </w:r>
          </w:p>
        </w:tc>
        <w:tc>
          <w:tcPr>
            <w:tcW w:w="2835" w:type="dxa"/>
            <w:vAlign w:val="center"/>
          </w:tcPr>
          <w:p w14:paraId="3F7A5D31">
            <w:pPr>
              <w:pStyle w:val="12"/>
            </w:pPr>
            <w:r>
              <w:t>100%</w:t>
            </w:r>
          </w:p>
        </w:tc>
        <w:tc>
          <w:tcPr>
            <w:tcW w:w="2551" w:type="dxa"/>
            <w:vAlign w:val="center"/>
          </w:tcPr>
          <w:p w14:paraId="41600A00">
            <w:pPr>
              <w:pStyle w:val="12"/>
            </w:pPr>
            <w:r>
              <w:t>100%</w:t>
            </w:r>
          </w:p>
        </w:tc>
        <w:tc>
          <w:tcPr>
            <w:tcW w:w="3544" w:type="dxa"/>
            <w:gridSpan w:val="2"/>
            <w:vAlign w:val="center"/>
          </w:tcPr>
          <w:p w14:paraId="63CC9716">
            <w:pPr>
              <w:pStyle w:val="12"/>
            </w:pPr>
            <w:r>
              <w:t>100%</w:t>
            </w:r>
          </w:p>
        </w:tc>
      </w:tr>
      <w:tr w14:paraId="1428A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2F12D">
            <w:pPr>
              <w:pStyle w:val="11"/>
            </w:pPr>
            <w:r>
              <w:t>绩效目标</w:t>
            </w:r>
          </w:p>
        </w:tc>
        <w:tc>
          <w:tcPr>
            <w:tcW w:w="14033" w:type="dxa"/>
            <w:gridSpan w:val="6"/>
            <w:vAlign w:val="center"/>
          </w:tcPr>
          <w:p w14:paraId="4C260C15">
            <w:pPr>
              <w:pStyle w:val="13"/>
            </w:pPr>
            <w:r>
              <w:t>1.按季度分批次拨付安排公用经费资金，学校按照预算安排进行资金使用，保证资金正常支出。</w:t>
            </w:r>
          </w:p>
        </w:tc>
      </w:tr>
    </w:tbl>
    <w:p w14:paraId="49242A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87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516A4">
            <w:pPr>
              <w:pStyle w:val="11"/>
            </w:pPr>
            <w:r>
              <w:t>一级指标</w:t>
            </w:r>
          </w:p>
        </w:tc>
        <w:tc>
          <w:tcPr>
            <w:tcW w:w="2268" w:type="dxa"/>
            <w:vAlign w:val="center"/>
          </w:tcPr>
          <w:p w14:paraId="536BAA62">
            <w:pPr>
              <w:pStyle w:val="11"/>
            </w:pPr>
            <w:r>
              <w:t>二级指标</w:t>
            </w:r>
          </w:p>
        </w:tc>
        <w:tc>
          <w:tcPr>
            <w:tcW w:w="2835" w:type="dxa"/>
            <w:vAlign w:val="center"/>
          </w:tcPr>
          <w:p w14:paraId="487066A1">
            <w:pPr>
              <w:pStyle w:val="11"/>
            </w:pPr>
            <w:r>
              <w:t>三级指标</w:t>
            </w:r>
          </w:p>
        </w:tc>
        <w:tc>
          <w:tcPr>
            <w:tcW w:w="5386" w:type="dxa"/>
            <w:vAlign w:val="center"/>
          </w:tcPr>
          <w:p w14:paraId="64BD9D67">
            <w:pPr>
              <w:pStyle w:val="11"/>
            </w:pPr>
            <w:r>
              <w:t>绩效指标描述</w:t>
            </w:r>
          </w:p>
        </w:tc>
        <w:tc>
          <w:tcPr>
            <w:tcW w:w="2268" w:type="dxa"/>
            <w:vAlign w:val="center"/>
          </w:tcPr>
          <w:p w14:paraId="7C829352">
            <w:pPr>
              <w:pStyle w:val="11"/>
            </w:pPr>
            <w:r>
              <w:t>指标值</w:t>
            </w:r>
          </w:p>
        </w:tc>
        <w:tc>
          <w:tcPr>
            <w:tcW w:w="1276" w:type="dxa"/>
            <w:vAlign w:val="center"/>
          </w:tcPr>
          <w:p w14:paraId="4092736B">
            <w:pPr>
              <w:pStyle w:val="11"/>
            </w:pPr>
            <w:r>
              <w:t>指标值确定依据</w:t>
            </w:r>
          </w:p>
        </w:tc>
      </w:tr>
      <w:tr w14:paraId="42F7C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67460CD9">
            <w:pPr>
              <w:pStyle w:val="12"/>
            </w:pPr>
            <w:r>
              <w:t>产出指标</w:t>
            </w:r>
          </w:p>
        </w:tc>
        <w:tc>
          <w:tcPr>
            <w:tcW w:w="2268" w:type="dxa"/>
            <w:vAlign w:val="center"/>
          </w:tcPr>
          <w:p w14:paraId="5DE58131">
            <w:pPr>
              <w:pStyle w:val="13"/>
            </w:pPr>
            <w:r>
              <w:t>数量指标</w:t>
            </w:r>
          </w:p>
        </w:tc>
        <w:tc>
          <w:tcPr>
            <w:tcW w:w="2835" w:type="dxa"/>
            <w:vAlign w:val="center"/>
          </w:tcPr>
          <w:p w14:paraId="4F096557">
            <w:pPr>
              <w:pStyle w:val="13"/>
            </w:pPr>
            <w:r>
              <w:t>适龄在校生</w:t>
            </w:r>
          </w:p>
        </w:tc>
        <w:tc>
          <w:tcPr>
            <w:tcW w:w="5386" w:type="dxa"/>
            <w:vAlign w:val="center"/>
          </w:tcPr>
          <w:p w14:paraId="2B27C162">
            <w:pPr>
              <w:pStyle w:val="13"/>
            </w:pPr>
            <w:r>
              <w:t>适龄在校就读学生人数</w:t>
            </w:r>
          </w:p>
        </w:tc>
        <w:tc>
          <w:tcPr>
            <w:tcW w:w="2268" w:type="dxa"/>
            <w:vAlign w:val="center"/>
          </w:tcPr>
          <w:p w14:paraId="215036B0">
            <w:pPr>
              <w:pStyle w:val="13"/>
            </w:pPr>
            <w:r>
              <w:t>346人</w:t>
            </w:r>
          </w:p>
        </w:tc>
        <w:tc>
          <w:tcPr>
            <w:tcW w:w="1276" w:type="dxa"/>
            <w:vAlign w:val="center"/>
          </w:tcPr>
          <w:p w14:paraId="10250098">
            <w:pPr>
              <w:pStyle w:val="13"/>
            </w:pPr>
            <w:r>
              <w:t>城乡义务教育公用经费管理办法</w:t>
            </w:r>
          </w:p>
        </w:tc>
      </w:tr>
      <w:tr w14:paraId="779E4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92F4B"/>
        </w:tc>
        <w:tc>
          <w:tcPr>
            <w:tcW w:w="2268" w:type="dxa"/>
            <w:vAlign w:val="center"/>
          </w:tcPr>
          <w:p w14:paraId="1C17691F">
            <w:pPr>
              <w:pStyle w:val="13"/>
            </w:pPr>
            <w:r>
              <w:t>质量指标</w:t>
            </w:r>
          </w:p>
        </w:tc>
        <w:tc>
          <w:tcPr>
            <w:tcW w:w="2835" w:type="dxa"/>
            <w:vAlign w:val="center"/>
          </w:tcPr>
          <w:p w14:paraId="1260E153">
            <w:pPr>
              <w:pStyle w:val="13"/>
            </w:pPr>
            <w:r>
              <w:t>预算控制率</w:t>
            </w:r>
          </w:p>
        </w:tc>
        <w:tc>
          <w:tcPr>
            <w:tcW w:w="5386" w:type="dxa"/>
            <w:vAlign w:val="center"/>
          </w:tcPr>
          <w:p w14:paraId="4FCBDEBF">
            <w:pPr>
              <w:pStyle w:val="13"/>
            </w:pPr>
            <w:r>
              <w:t>预算执行</w:t>
            </w:r>
          </w:p>
        </w:tc>
        <w:tc>
          <w:tcPr>
            <w:tcW w:w="2268" w:type="dxa"/>
            <w:vAlign w:val="center"/>
          </w:tcPr>
          <w:p w14:paraId="64CBFEED">
            <w:pPr>
              <w:pStyle w:val="13"/>
            </w:pPr>
            <w:r>
              <w:t>≥95%</w:t>
            </w:r>
          </w:p>
        </w:tc>
        <w:tc>
          <w:tcPr>
            <w:tcW w:w="1276" w:type="dxa"/>
            <w:vAlign w:val="center"/>
          </w:tcPr>
          <w:p w14:paraId="2CBA1CCE">
            <w:pPr>
              <w:pStyle w:val="13"/>
            </w:pPr>
            <w:r>
              <w:t>城乡义务教育公用经费管理办法</w:t>
            </w:r>
          </w:p>
        </w:tc>
      </w:tr>
      <w:tr w14:paraId="3F470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13B2B"/>
        </w:tc>
        <w:tc>
          <w:tcPr>
            <w:tcW w:w="2268" w:type="dxa"/>
            <w:vAlign w:val="center"/>
          </w:tcPr>
          <w:p w14:paraId="3B313789">
            <w:pPr>
              <w:pStyle w:val="13"/>
            </w:pPr>
            <w:r>
              <w:t>时效指标</w:t>
            </w:r>
          </w:p>
        </w:tc>
        <w:tc>
          <w:tcPr>
            <w:tcW w:w="2835" w:type="dxa"/>
            <w:vAlign w:val="center"/>
          </w:tcPr>
          <w:p w14:paraId="27A1A6B0">
            <w:pPr>
              <w:pStyle w:val="13"/>
            </w:pPr>
            <w:r>
              <w:t>资金支付率</w:t>
            </w:r>
          </w:p>
        </w:tc>
        <w:tc>
          <w:tcPr>
            <w:tcW w:w="5386" w:type="dxa"/>
            <w:vAlign w:val="center"/>
          </w:tcPr>
          <w:p w14:paraId="730A802D">
            <w:pPr>
              <w:pStyle w:val="13"/>
            </w:pPr>
            <w:r>
              <w:t>按照序时进度完成资金支付</w:t>
            </w:r>
          </w:p>
        </w:tc>
        <w:tc>
          <w:tcPr>
            <w:tcW w:w="2268" w:type="dxa"/>
            <w:vAlign w:val="center"/>
          </w:tcPr>
          <w:p w14:paraId="733B0806">
            <w:pPr>
              <w:pStyle w:val="13"/>
            </w:pPr>
            <w:r>
              <w:t>≥100%</w:t>
            </w:r>
          </w:p>
        </w:tc>
        <w:tc>
          <w:tcPr>
            <w:tcW w:w="1276" w:type="dxa"/>
            <w:vAlign w:val="center"/>
          </w:tcPr>
          <w:p w14:paraId="0F5FD277">
            <w:pPr>
              <w:pStyle w:val="13"/>
            </w:pPr>
            <w:r>
              <w:t>城乡义务教育公用经费管理办法</w:t>
            </w:r>
          </w:p>
        </w:tc>
      </w:tr>
      <w:tr w14:paraId="68F2C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FE879"/>
        </w:tc>
        <w:tc>
          <w:tcPr>
            <w:tcW w:w="2268" w:type="dxa"/>
            <w:vAlign w:val="center"/>
          </w:tcPr>
          <w:p w14:paraId="42D7B98F">
            <w:pPr>
              <w:pStyle w:val="13"/>
            </w:pPr>
            <w:r>
              <w:t>成本指标</w:t>
            </w:r>
          </w:p>
        </w:tc>
        <w:tc>
          <w:tcPr>
            <w:tcW w:w="2835" w:type="dxa"/>
            <w:vAlign w:val="center"/>
          </w:tcPr>
          <w:p w14:paraId="15546156">
            <w:pPr>
              <w:pStyle w:val="13"/>
            </w:pPr>
            <w:r>
              <w:t>生均拨款标准</w:t>
            </w:r>
          </w:p>
        </w:tc>
        <w:tc>
          <w:tcPr>
            <w:tcW w:w="5386" w:type="dxa"/>
            <w:vAlign w:val="center"/>
          </w:tcPr>
          <w:p w14:paraId="739C678D">
            <w:pPr>
              <w:pStyle w:val="13"/>
            </w:pPr>
            <w:r>
              <w:t>小学：（基本标准720元、寄宿生300元、取暖120元）/生/学年；随班就读学生：标准6000元/生/学年。</w:t>
            </w:r>
          </w:p>
        </w:tc>
        <w:tc>
          <w:tcPr>
            <w:tcW w:w="2268" w:type="dxa"/>
            <w:vAlign w:val="center"/>
          </w:tcPr>
          <w:p w14:paraId="6CA41971">
            <w:pPr>
              <w:pStyle w:val="13"/>
            </w:pPr>
            <w:r>
              <w:t>840元</w:t>
            </w:r>
          </w:p>
        </w:tc>
        <w:tc>
          <w:tcPr>
            <w:tcW w:w="1276" w:type="dxa"/>
            <w:vAlign w:val="center"/>
          </w:tcPr>
          <w:p w14:paraId="21C49E54">
            <w:pPr>
              <w:pStyle w:val="13"/>
            </w:pPr>
            <w:r>
              <w:t>城乡义务教育公用经费管理办法</w:t>
            </w:r>
          </w:p>
        </w:tc>
      </w:tr>
      <w:tr w14:paraId="7A442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A6DDD9">
            <w:pPr>
              <w:pStyle w:val="12"/>
            </w:pPr>
            <w:r>
              <w:t>效益指标</w:t>
            </w:r>
          </w:p>
        </w:tc>
        <w:tc>
          <w:tcPr>
            <w:tcW w:w="2268" w:type="dxa"/>
            <w:vAlign w:val="center"/>
          </w:tcPr>
          <w:p w14:paraId="046C5A4A">
            <w:pPr>
              <w:pStyle w:val="13"/>
            </w:pPr>
            <w:r>
              <w:t>可持续影响指标</w:t>
            </w:r>
          </w:p>
        </w:tc>
        <w:tc>
          <w:tcPr>
            <w:tcW w:w="2835" w:type="dxa"/>
            <w:vAlign w:val="center"/>
          </w:tcPr>
          <w:p w14:paraId="13BD7350">
            <w:pPr>
              <w:pStyle w:val="13"/>
            </w:pPr>
            <w:r>
              <w:t>教育发展水平明显好转</w:t>
            </w:r>
          </w:p>
        </w:tc>
        <w:tc>
          <w:tcPr>
            <w:tcW w:w="5386" w:type="dxa"/>
            <w:vAlign w:val="center"/>
          </w:tcPr>
          <w:p w14:paraId="3339027F">
            <w:pPr>
              <w:pStyle w:val="13"/>
            </w:pPr>
            <w:r>
              <w:t>学生受教育年限</w:t>
            </w:r>
          </w:p>
        </w:tc>
        <w:tc>
          <w:tcPr>
            <w:tcW w:w="2268" w:type="dxa"/>
            <w:vAlign w:val="center"/>
          </w:tcPr>
          <w:p w14:paraId="006637EB">
            <w:pPr>
              <w:pStyle w:val="13"/>
            </w:pPr>
            <w:r>
              <w:t>6年</w:t>
            </w:r>
          </w:p>
        </w:tc>
        <w:tc>
          <w:tcPr>
            <w:tcW w:w="1276" w:type="dxa"/>
            <w:vAlign w:val="center"/>
          </w:tcPr>
          <w:p w14:paraId="20B02E46">
            <w:pPr>
              <w:pStyle w:val="13"/>
            </w:pPr>
            <w:r>
              <w:t>城乡义务教育公用经费管理办法</w:t>
            </w:r>
          </w:p>
        </w:tc>
      </w:tr>
      <w:tr w14:paraId="49A0C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F79C23">
            <w:pPr>
              <w:pStyle w:val="12"/>
            </w:pPr>
            <w:r>
              <w:t>满意度指标</w:t>
            </w:r>
          </w:p>
        </w:tc>
        <w:tc>
          <w:tcPr>
            <w:tcW w:w="2268" w:type="dxa"/>
            <w:vAlign w:val="center"/>
          </w:tcPr>
          <w:p w14:paraId="1D1D242B">
            <w:pPr>
              <w:pStyle w:val="13"/>
            </w:pPr>
            <w:r>
              <w:t>服务对象满意度指标</w:t>
            </w:r>
          </w:p>
        </w:tc>
        <w:tc>
          <w:tcPr>
            <w:tcW w:w="2835" w:type="dxa"/>
            <w:vAlign w:val="center"/>
          </w:tcPr>
          <w:p w14:paraId="69E1254E">
            <w:pPr>
              <w:pStyle w:val="13"/>
            </w:pPr>
            <w:r>
              <w:t>受益学生家长及调查满意度</w:t>
            </w:r>
          </w:p>
        </w:tc>
        <w:tc>
          <w:tcPr>
            <w:tcW w:w="5386" w:type="dxa"/>
            <w:vAlign w:val="center"/>
          </w:tcPr>
          <w:p w14:paraId="277B98BD">
            <w:pPr>
              <w:pStyle w:val="13"/>
            </w:pPr>
            <w:r>
              <w:t>学生、教师及家长对学校教育教学工作满意度情况</w:t>
            </w:r>
          </w:p>
        </w:tc>
        <w:tc>
          <w:tcPr>
            <w:tcW w:w="2268" w:type="dxa"/>
            <w:vAlign w:val="center"/>
          </w:tcPr>
          <w:p w14:paraId="57ACEC79">
            <w:pPr>
              <w:pStyle w:val="13"/>
            </w:pPr>
            <w:r>
              <w:t>≥95%</w:t>
            </w:r>
          </w:p>
        </w:tc>
        <w:tc>
          <w:tcPr>
            <w:tcW w:w="1276" w:type="dxa"/>
            <w:vAlign w:val="center"/>
          </w:tcPr>
          <w:p w14:paraId="4CF83F87">
            <w:pPr>
              <w:pStyle w:val="13"/>
            </w:pPr>
            <w:r>
              <w:t>调查问卷</w:t>
            </w:r>
          </w:p>
        </w:tc>
      </w:tr>
    </w:tbl>
    <w:p w14:paraId="2F2E0E60">
      <w:pPr>
        <w:sectPr>
          <w:pgSz w:w="16840" w:h="11900" w:orient="landscape"/>
          <w:pgMar w:top="1361" w:right="1020" w:bottom="1134" w:left="1020" w:header="720" w:footer="720" w:gutter="0"/>
          <w:cols w:space="720" w:num="1"/>
        </w:sectPr>
      </w:pPr>
    </w:p>
    <w:p w14:paraId="2DA6E9A4">
      <w:pPr>
        <w:spacing w:before="0" w:after="0"/>
        <w:ind w:firstLine="560"/>
        <w:jc w:val="left"/>
        <w:outlineLvl w:val="9"/>
      </w:pPr>
      <w:r>
        <w:rPr>
          <w:rFonts w:ascii="方正仿宋_GBK" w:hAnsi="方正仿宋_GBK" w:eastAsia="方正仿宋_GBK" w:cs="方正仿宋_GBK"/>
          <w:b/>
          <w:color w:val="000000"/>
          <w:sz w:val="28"/>
        </w:rPr>
        <w:t>19、冀财教[2023]163号/省级/2024年义教补助资金/文茂中学公用经费绩效目标表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EC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D3D50">
            <w:pPr>
              <w:pStyle w:val="14"/>
            </w:pPr>
            <w:r>
              <w:t>单位：万元</w:t>
            </w:r>
          </w:p>
        </w:tc>
      </w:tr>
      <w:tr w14:paraId="50031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AE88BE">
            <w:pPr>
              <w:pStyle w:val="11"/>
            </w:pPr>
            <w:r>
              <w:t>项目编码</w:t>
            </w:r>
          </w:p>
        </w:tc>
        <w:tc>
          <w:tcPr>
            <w:tcW w:w="5103" w:type="dxa"/>
            <w:gridSpan w:val="2"/>
            <w:vAlign w:val="center"/>
          </w:tcPr>
          <w:p w14:paraId="2708FE46">
            <w:pPr>
              <w:pStyle w:val="13"/>
            </w:pPr>
            <w:r>
              <w:t>13052524P00000611193Y</w:t>
            </w:r>
          </w:p>
        </w:tc>
        <w:tc>
          <w:tcPr>
            <w:tcW w:w="2835" w:type="dxa"/>
            <w:vAlign w:val="center"/>
          </w:tcPr>
          <w:p w14:paraId="764BFD4E">
            <w:pPr>
              <w:pStyle w:val="11"/>
            </w:pPr>
            <w:r>
              <w:t>项目名称</w:t>
            </w:r>
          </w:p>
        </w:tc>
        <w:tc>
          <w:tcPr>
            <w:tcW w:w="6095" w:type="dxa"/>
            <w:gridSpan w:val="3"/>
            <w:vAlign w:val="center"/>
          </w:tcPr>
          <w:p w14:paraId="79025E19">
            <w:pPr>
              <w:pStyle w:val="13"/>
            </w:pPr>
            <w:r>
              <w:t>冀财教[2023]163号/省级/2024年义教补助资金/文茂中学公用经费</w:t>
            </w:r>
          </w:p>
        </w:tc>
      </w:tr>
      <w:tr w14:paraId="4A3C2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2B936">
            <w:pPr>
              <w:pStyle w:val="11"/>
            </w:pPr>
            <w:r>
              <w:t>预算规模及资金用途</w:t>
            </w:r>
          </w:p>
        </w:tc>
        <w:tc>
          <w:tcPr>
            <w:tcW w:w="2268" w:type="dxa"/>
            <w:vAlign w:val="center"/>
          </w:tcPr>
          <w:p w14:paraId="02DA4014">
            <w:pPr>
              <w:pStyle w:val="11"/>
            </w:pPr>
            <w:r>
              <w:t>预算数</w:t>
            </w:r>
          </w:p>
        </w:tc>
        <w:tc>
          <w:tcPr>
            <w:tcW w:w="2835" w:type="dxa"/>
            <w:vAlign w:val="center"/>
          </w:tcPr>
          <w:p w14:paraId="5B1D9AAC">
            <w:pPr>
              <w:pStyle w:val="13"/>
            </w:pPr>
            <w:r>
              <w:t>87.63</w:t>
            </w:r>
          </w:p>
        </w:tc>
        <w:tc>
          <w:tcPr>
            <w:tcW w:w="2835" w:type="dxa"/>
            <w:vAlign w:val="center"/>
          </w:tcPr>
          <w:p w14:paraId="71EDAA8E">
            <w:pPr>
              <w:pStyle w:val="11"/>
            </w:pPr>
            <w:r>
              <w:t>其中：财政    资金</w:t>
            </w:r>
          </w:p>
        </w:tc>
        <w:tc>
          <w:tcPr>
            <w:tcW w:w="2551" w:type="dxa"/>
            <w:vAlign w:val="center"/>
          </w:tcPr>
          <w:p w14:paraId="07A062B4">
            <w:pPr>
              <w:pStyle w:val="13"/>
            </w:pPr>
            <w:r>
              <w:t>87.63</w:t>
            </w:r>
          </w:p>
        </w:tc>
        <w:tc>
          <w:tcPr>
            <w:tcW w:w="2268" w:type="dxa"/>
            <w:vAlign w:val="center"/>
          </w:tcPr>
          <w:p w14:paraId="5E6DCA73">
            <w:pPr>
              <w:pStyle w:val="11"/>
            </w:pPr>
            <w:r>
              <w:t>其他资金</w:t>
            </w:r>
          </w:p>
        </w:tc>
        <w:tc>
          <w:tcPr>
            <w:tcW w:w="1276" w:type="dxa"/>
            <w:vAlign w:val="center"/>
          </w:tcPr>
          <w:p w14:paraId="359E2A33">
            <w:pPr>
              <w:pStyle w:val="13"/>
            </w:pPr>
            <w:r>
              <w:t xml:space="preserve"> </w:t>
            </w:r>
          </w:p>
        </w:tc>
      </w:tr>
      <w:tr w14:paraId="7472B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EE1D7"/>
        </w:tc>
        <w:tc>
          <w:tcPr>
            <w:tcW w:w="14033" w:type="dxa"/>
            <w:gridSpan w:val="6"/>
            <w:vAlign w:val="center"/>
          </w:tcPr>
          <w:p w14:paraId="6B935318">
            <w:pPr>
              <w:pStyle w:val="13"/>
            </w:pPr>
            <w:r>
              <w:t>保障义务教育学校正常运转，完成教育教学活动和其他日常工作任务等方面的费用支出。</w:t>
            </w:r>
          </w:p>
        </w:tc>
      </w:tr>
      <w:tr w14:paraId="3E94F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3365D">
            <w:pPr>
              <w:pStyle w:val="11"/>
            </w:pPr>
            <w:r>
              <w:t>资金支出计划（%）</w:t>
            </w:r>
          </w:p>
        </w:tc>
        <w:tc>
          <w:tcPr>
            <w:tcW w:w="5103" w:type="dxa"/>
            <w:gridSpan w:val="2"/>
            <w:vAlign w:val="center"/>
          </w:tcPr>
          <w:p w14:paraId="0EA59F17">
            <w:pPr>
              <w:pStyle w:val="11"/>
            </w:pPr>
            <w:r>
              <w:t>3月底</w:t>
            </w:r>
          </w:p>
        </w:tc>
        <w:tc>
          <w:tcPr>
            <w:tcW w:w="2835" w:type="dxa"/>
            <w:vAlign w:val="center"/>
          </w:tcPr>
          <w:p w14:paraId="66C98452">
            <w:pPr>
              <w:pStyle w:val="11"/>
            </w:pPr>
            <w:r>
              <w:t>6月底</w:t>
            </w:r>
          </w:p>
        </w:tc>
        <w:tc>
          <w:tcPr>
            <w:tcW w:w="2551" w:type="dxa"/>
            <w:vAlign w:val="center"/>
          </w:tcPr>
          <w:p w14:paraId="24687054">
            <w:pPr>
              <w:pStyle w:val="11"/>
            </w:pPr>
            <w:r>
              <w:t>10月底</w:t>
            </w:r>
          </w:p>
        </w:tc>
        <w:tc>
          <w:tcPr>
            <w:tcW w:w="3544" w:type="dxa"/>
            <w:gridSpan w:val="2"/>
            <w:vAlign w:val="center"/>
          </w:tcPr>
          <w:p w14:paraId="2CE2EC47">
            <w:pPr>
              <w:pStyle w:val="11"/>
            </w:pPr>
            <w:r>
              <w:t>12月底</w:t>
            </w:r>
          </w:p>
        </w:tc>
      </w:tr>
      <w:tr w14:paraId="220F3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758CE85C"/>
        </w:tc>
        <w:tc>
          <w:tcPr>
            <w:tcW w:w="5103" w:type="dxa"/>
            <w:gridSpan w:val="2"/>
            <w:vAlign w:val="center"/>
          </w:tcPr>
          <w:p w14:paraId="2E141EA7">
            <w:pPr>
              <w:pStyle w:val="12"/>
            </w:pPr>
            <w:r>
              <w:t xml:space="preserve"> </w:t>
            </w:r>
          </w:p>
        </w:tc>
        <w:tc>
          <w:tcPr>
            <w:tcW w:w="2835" w:type="dxa"/>
            <w:vAlign w:val="center"/>
          </w:tcPr>
          <w:p w14:paraId="77B9C957">
            <w:pPr>
              <w:pStyle w:val="12"/>
            </w:pPr>
            <w:r>
              <w:t>87630000%</w:t>
            </w:r>
          </w:p>
        </w:tc>
        <w:tc>
          <w:tcPr>
            <w:tcW w:w="2551" w:type="dxa"/>
            <w:vAlign w:val="center"/>
          </w:tcPr>
          <w:p w14:paraId="12D08033">
            <w:pPr>
              <w:pStyle w:val="12"/>
            </w:pPr>
            <w:r>
              <w:t>87630000%</w:t>
            </w:r>
          </w:p>
        </w:tc>
        <w:tc>
          <w:tcPr>
            <w:tcW w:w="3544" w:type="dxa"/>
            <w:gridSpan w:val="2"/>
            <w:vAlign w:val="center"/>
          </w:tcPr>
          <w:p w14:paraId="0496DCEA">
            <w:pPr>
              <w:pStyle w:val="12"/>
            </w:pPr>
            <w:r>
              <w:t>87630000%</w:t>
            </w:r>
          </w:p>
        </w:tc>
      </w:tr>
      <w:tr w14:paraId="2F5EF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F483B8">
            <w:pPr>
              <w:pStyle w:val="11"/>
            </w:pPr>
            <w:r>
              <w:t>绩效目标</w:t>
            </w:r>
          </w:p>
        </w:tc>
        <w:tc>
          <w:tcPr>
            <w:tcW w:w="14033" w:type="dxa"/>
            <w:gridSpan w:val="6"/>
            <w:vAlign w:val="center"/>
          </w:tcPr>
          <w:p w14:paraId="2330D034">
            <w:pPr>
              <w:pStyle w:val="13"/>
            </w:pPr>
            <w:r>
              <w:t>1.保障义务教育学校正常运转，完成教育教学活动和其他日常工作任务等方面的费用支出。</w:t>
            </w:r>
          </w:p>
        </w:tc>
      </w:tr>
    </w:tbl>
    <w:p w14:paraId="016A45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2D2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85E11">
            <w:pPr>
              <w:pStyle w:val="11"/>
            </w:pPr>
            <w:r>
              <w:t>一级指标</w:t>
            </w:r>
          </w:p>
        </w:tc>
        <w:tc>
          <w:tcPr>
            <w:tcW w:w="2268" w:type="dxa"/>
            <w:vAlign w:val="center"/>
          </w:tcPr>
          <w:p w14:paraId="3CC3362F">
            <w:pPr>
              <w:pStyle w:val="11"/>
            </w:pPr>
            <w:r>
              <w:t>二级指标</w:t>
            </w:r>
          </w:p>
        </w:tc>
        <w:tc>
          <w:tcPr>
            <w:tcW w:w="2835" w:type="dxa"/>
            <w:vAlign w:val="center"/>
          </w:tcPr>
          <w:p w14:paraId="6462D9B5">
            <w:pPr>
              <w:pStyle w:val="11"/>
            </w:pPr>
            <w:r>
              <w:t>三级指标</w:t>
            </w:r>
          </w:p>
        </w:tc>
        <w:tc>
          <w:tcPr>
            <w:tcW w:w="5386" w:type="dxa"/>
            <w:vAlign w:val="center"/>
          </w:tcPr>
          <w:p w14:paraId="74DFE299">
            <w:pPr>
              <w:pStyle w:val="11"/>
            </w:pPr>
            <w:r>
              <w:t>绩效指标描述</w:t>
            </w:r>
          </w:p>
        </w:tc>
        <w:tc>
          <w:tcPr>
            <w:tcW w:w="2268" w:type="dxa"/>
            <w:vAlign w:val="center"/>
          </w:tcPr>
          <w:p w14:paraId="0F599C87">
            <w:pPr>
              <w:pStyle w:val="11"/>
            </w:pPr>
            <w:r>
              <w:t>指标值</w:t>
            </w:r>
          </w:p>
        </w:tc>
        <w:tc>
          <w:tcPr>
            <w:tcW w:w="1276" w:type="dxa"/>
            <w:vAlign w:val="center"/>
          </w:tcPr>
          <w:p w14:paraId="2454D48A">
            <w:pPr>
              <w:pStyle w:val="11"/>
            </w:pPr>
            <w:r>
              <w:t>指标值确定依据</w:t>
            </w:r>
          </w:p>
        </w:tc>
      </w:tr>
      <w:tr w14:paraId="76E01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E5040">
            <w:pPr>
              <w:pStyle w:val="12"/>
            </w:pPr>
            <w:r>
              <w:t>产出指标</w:t>
            </w:r>
          </w:p>
        </w:tc>
        <w:tc>
          <w:tcPr>
            <w:tcW w:w="2268" w:type="dxa"/>
            <w:vAlign w:val="center"/>
          </w:tcPr>
          <w:p w14:paraId="59F145F2">
            <w:pPr>
              <w:pStyle w:val="13"/>
            </w:pPr>
            <w:r>
              <w:t>数量指标</w:t>
            </w:r>
          </w:p>
        </w:tc>
        <w:tc>
          <w:tcPr>
            <w:tcW w:w="2835" w:type="dxa"/>
            <w:vAlign w:val="center"/>
          </w:tcPr>
          <w:p w14:paraId="5B52284C">
            <w:pPr>
              <w:pStyle w:val="13"/>
            </w:pPr>
            <w:r>
              <w:t>适龄在校生</w:t>
            </w:r>
          </w:p>
        </w:tc>
        <w:tc>
          <w:tcPr>
            <w:tcW w:w="5386" w:type="dxa"/>
            <w:vAlign w:val="center"/>
          </w:tcPr>
          <w:p w14:paraId="16E977BF">
            <w:pPr>
              <w:pStyle w:val="13"/>
            </w:pPr>
            <w:r>
              <w:t>适龄在校就读学生人数</w:t>
            </w:r>
          </w:p>
        </w:tc>
        <w:tc>
          <w:tcPr>
            <w:tcW w:w="2268" w:type="dxa"/>
            <w:vAlign w:val="center"/>
          </w:tcPr>
          <w:p w14:paraId="2F4843C7">
            <w:pPr>
              <w:pStyle w:val="13"/>
            </w:pPr>
            <w:r>
              <w:t>1841人</w:t>
            </w:r>
          </w:p>
        </w:tc>
        <w:tc>
          <w:tcPr>
            <w:tcW w:w="1276" w:type="dxa"/>
            <w:vAlign w:val="center"/>
          </w:tcPr>
          <w:p w14:paraId="0853BBA0">
            <w:pPr>
              <w:pStyle w:val="13"/>
            </w:pPr>
            <w:r>
              <w:t>城乡义务教育公用经费管理办法</w:t>
            </w:r>
          </w:p>
        </w:tc>
      </w:tr>
      <w:tr w14:paraId="27E57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FF8F6"/>
        </w:tc>
        <w:tc>
          <w:tcPr>
            <w:tcW w:w="2268" w:type="dxa"/>
            <w:vAlign w:val="center"/>
          </w:tcPr>
          <w:p w14:paraId="1BE33939">
            <w:pPr>
              <w:pStyle w:val="13"/>
            </w:pPr>
            <w:r>
              <w:t>质量指标</w:t>
            </w:r>
          </w:p>
        </w:tc>
        <w:tc>
          <w:tcPr>
            <w:tcW w:w="2835" w:type="dxa"/>
            <w:vAlign w:val="center"/>
          </w:tcPr>
          <w:p w14:paraId="1074DD01">
            <w:pPr>
              <w:pStyle w:val="13"/>
            </w:pPr>
            <w:r>
              <w:t>预算控制率</w:t>
            </w:r>
          </w:p>
        </w:tc>
        <w:tc>
          <w:tcPr>
            <w:tcW w:w="5386" w:type="dxa"/>
            <w:vAlign w:val="center"/>
          </w:tcPr>
          <w:p w14:paraId="57E35E7A">
            <w:pPr>
              <w:pStyle w:val="13"/>
            </w:pPr>
            <w:r>
              <w:t>预算执行</w:t>
            </w:r>
          </w:p>
        </w:tc>
        <w:tc>
          <w:tcPr>
            <w:tcW w:w="2268" w:type="dxa"/>
            <w:vAlign w:val="center"/>
          </w:tcPr>
          <w:p w14:paraId="1DB47737">
            <w:pPr>
              <w:pStyle w:val="13"/>
            </w:pPr>
            <w:r>
              <w:t>≥95%</w:t>
            </w:r>
          </w:p>
        </w:tc>
        <w:tc>
          <w:tcPr>
            <w:tcW w:w="1276" w:type="dxa"/>
            <w:vAlign w:val="center"/>
          </w:tcPr>
          <w:p w14:paraId="481AA641">
            <w:pPr>
              <w:pStyle w:val="13"/>
            </w:pPr>
            <w:r>
              <w:t>城乡义务教育公用经费管理办法</w:t>
            </w:r>
          </w:p>
        </w:tc>
      </w:tr>
      <w:tr w14:paraId="56E01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DD581"/>
        </w:tc>
        <w:tc>
          <w:tcPr>
            <w:tcW w:w="2268" w:type="dxa"/>
            <w:vAlign w:val="center"/>
          </w:tcPr>
          <w:p w14:paraId="76451D71">
            <w:pPr>
              <w:pStyle w:val="13"/>
            </w:pPr>
            <w:r>
              <w:t>时效指标</w:t>
            </w:r>
          </w:p>
        </w:tc>
        <w:tc>
          <w:tcPr>
            <w:tcW w:w="2835" w:type="dxa"/>
            <w:vAlign w:val="center"/>
          </w:tcPr>
          <w:p w14:paraId="597F090D">
            <w:pPr>
              <w:pStyle w:val="13"/>
            </w:pPr>
            <w:r>
              <w:t>资金支付率</w:t>
            </w:r>
          </w:p>
        </w:tc>
        <w:tc>
          <w:tcPr>
            <w:tcW w:w="5386" w:type="dxa"/>
            <w:vAlign w:val="center"/>
          </w:tcPr>
          <w:p w14:paraId="67401C67">
            <w:pPr>
              <w:pStyle w:val="13"/>
            </w:pPr>
            <w:r>
              <w:t>按照序时进度完成资金支付</w:t>
            </w:r>
          </w:p>
        </w:tc>
        <w:tc>
          <w:tcPr>
            <w:tcW w:w="2268" w:type="dxa"/>
            <w:vAlign w:val="center"/>
          </w:tcPr>
          <w:p w14:paraId="1E19AC59">
            <w:pPr>
              <w:pStyle w:val="13"/>
            </w:pPr>
            <w:r>
              <w:t>≥100%</w:t>
            </w:r>
          </w:p>
        </w:tc>
        <w:tc>
          <w:tcPr>
            <w:tcW w:w="1276" w:type="dxa"/>
            <w:vAlign w:val="center"/>
          </w:tcPr>
          <w:p w14:paraId="76444720">
            <w:pPr>
              <w:pStyle w:val="13"/>
            </w:pPr>
            <w:r>
              <w:t>城乡义务教育公用经费管理办法</w:t>
            </w:r>
          </w:p>
        </w:tc>
      </w:tr>
      <w:tr w14:paraId="677B2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C69C8"/>
        </w:tc>
        <w:tc>
          <w:tcPr>
            <w:tcW w:w="2268" w:type="dxa"/>
            <w:vAlign w:val="center"/>
          </w:tcPr>
          <w:p w14:paraId="3E44100A">
            <w:pPr>
              <w:pStyle w:val="13"/>
            </w:pPr>
            <w:r>
              <w:t>成本指标</w:t>
            </w:r>
          </w:p>
        </w:tc>
        <w:tc>
          <w:tcPr>
            <w:tcW w:w="2835" w:type="dxa"/>
            <w:vAlign w:val="center"/>
          </w:tcPr>
          <w:p w14:paraId="2861BB8A">
            <w:pPr>
              <w:pStyle w:val="13"/>
            </w:pPr>
            <w:r>
              <w:t>生均拨款标准</w:t>
            </w:r>
          </w:p>
        </w:tc>
        <w:tc>
          <w:tcPr>
            <w:tcW w:w="5386" w:type="dxa"/>
            <w:vAlign w:val="center"/>
          </w:tcPr>
          <w:p w14:paraId="12338F07">
            <w:pPr>
              <w:pStyle w:val="13"/>
            </w:pPr>
            <w:r>
              <w:t>初中：（基本标准940元、寄宿生300元、取暖120元）/生/学年；随班就读学生：标准6000元/生/学年。。</w:t>
            </w:r>
          </w:p>
        </w:tc>
        <w:tc>
          <w:tcPr>
            <w:tcW w:w="2268" w:type="dxa"/>
            <w:vAlign w:val="center"/>
          </w:tcPr>
          <w:p w14:paraId="74D8D48E">
            <w:pPr>
              <w:pStyle w:val="13"/>
            </w:pPr>
            <w:r>
              <w:t>1360元</w:t>
            </w:r>
          </w:p>
        </w:tc>
        <w:tc>
          <w:tcPr>
            <w:tcW w:w="1276" w:type="dxa"/>
            <w:vAlign w:val="center"/>
          </w:tcPr>
          <w:p w14:paraId="115D9BE2">
            <w:pPr>
              <w:pStyle w:val="13"/>
            </w:pPr>
            <w:r>
              <w:t>城乡义务教育公用经费管理办法</w:t>
            </w:r>
          </w:p>
        </w:tc>
      </w:tr>
      <w:tr w14:paraId="0F0C4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F314EB">
            <w:pPr>
              <w:pStyle w:val="12"/>
            </w:pPr>
            <w:r>
              <w:t>效益指标</w:t>
            </w:r>
          </w:p>
        </w:tc>
        <w:tc>
          <w:tcPr>
            <w:tcW w:w="2268" w:type="dxa"/>
            <w:vAlign w:val="center"/>
          </w:tcPr>
          <w:p w14:paraId="347CC378">
            <w:pPr>
              <w:pStyle w:val="13"/>
            </w:pPr>
            <w:r>
              <w:t>可持续影响指标</w:t>
            </w:r>
          </w:p>
        </w:tc>
        <w:tc>
          <w:tcPr>
            <w:tcW w:w="2835" w:type="dxa"/>
            <w:vAlign w:val="center"/>
          </w:tcPr>
          <w:p w14:paraId="64614152">
            <w:pPr>
              <w:pStyle w:val="13"/>
            </w:pPr>
            <w:r>
              <w:t>教育发展水平明显好转</w:t>
            </w:r>
          </w:p>
        </w:tc>
        <w:tc>
          <w:tcPr>
            <w:tcW w:w="5386" w:type="dxa"/>
            <w:vAlign w:val="center"/>
          </w:tcPr>
          <w:p w14:paraId="202F614C">
            <w:pPr>
              <w:pStyle w:val="13"/>
            </w:pPr>
            <w:r>
              <w:t>学生受教育年限</w:t>
            </w:r>
          </w:p>
        </w:tc>
        <w:tc>
          <w:tcPr>
            <w:tcW w:w="2268" w:type="dxa"/>
            <w:vAlign w:val="center"/>
          </w:tcPr>
          <w:p w14:paraId="75C1AE66">
            <w:pPr>
              <w:pStyle w:val="13"/>
            </w:pPr>
            <w:r>
              <w:t>3年</w:t>
            </w:r>
          </w:p>
        </w:tc>
        <w:tc>
          <w:tcPr>
            <w:tcW w:w="1276" w:type="dxa"/>
            <w:vAlign w:val="center"/>
          </w:tcPr>
          <w:p w14:paraId="44C838ED">
            <w:pPr>
              <w:pStyle w:val="13"/>
            </w:pPr>
            <w:r>
              <w:t>城乡义务教育公用经费管理办法</w:t>
            </w:r>
          </w:p>
        </w:tc>
      </w:tr>
      <w:tr w14:paraId="3A955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70BA83">
            <w:pPr>
              <w:pStyle w:val="12"/>
            </w:pPr>
            <w:r>
              <w:t>满意度指标</w:t>
            </w:r>
          </w:p>
        </w:tc>
        <w:tc>
          <w:tcPr>
            <w:tcW w:w="2268" w:type="dxa"/>
            <w:vAlign w:val="center"/>
          </w:tcPr>
          <w:p w14:paraId="52C38A9C">
            <w:pPr>
              <w:pStyle w:val="13"/>
            </w:pPr>
            <w:r>
              <w:t>服务对象满意度指标</w:t>
            </w:r>
          </w:p>
        </w:tc>
        <w:tc>
          <w:tcPr>
            <w:tcW w:w="2835" w:type="dxa"/>
            <w:vAlign w:val="center"/>
          </w:tcPr>
          <w:p w14:paraId="58EB2E38">
            <w:pPr>
              <w:pStyle w:val="13"/>
            </w:pPr>
            <w:r>
              <w:t>受益学生家长及调查满意度</w:t>
            </w:r>
          </w:p>
        </w:tc>
        <w:tc>
          <w:tcPr>
            <w:tcW w:w="5386" w:type="dxa"/>
            <w:vAlign w:val="center"/>
          </w:tcPr>
          <w:p w14:paraId="33F9D93D">
            <w:pPr>
              <w:pStyle w:val="13"/>
            </w:pPr>
            <w:r>
              <w:t>学生、教师及家长对学校教育教学工作满意度情况</w:t>
            </w:r>
          </w:p>
        </w:tc>
        <w:tc>
          <w:tcPr>
            <w:tcW w:w="2268" w:type="dxa"/>
            <w:vAlign w:val="center"/>
          </w:tcPr>
          <w:p w14:paraId="2AC10940">
            <w:pPr>
              <w:pStyle w:val="13"/>
            </w:pPr>
            <w:r>
              <w:t>≥95%</w:t>
            </w:r>
          </w:p>
        </w:tc>
        <w:tc>
          <w:tcPr>
            <w:tcW w:w="1276" w:type="dxa"/>
            <w:vAlign w:val="center"/>
          </w:tcPr>
          <w:p w14:paraId="396F337D">
            <w:pPr>
              <w:pStyle w:val="13"/>
            </w:pPr>
            <w:r>
              <w:t>调查问卷</w:t>
            </w:r>
          </w:p>
        </w:tc>
      </w:tr>
    </w:tbl>
    <w:p w14:paraId="345A82F3">
      <w:pPr>
        <w:sectPr>
          <w:pgSz w:w="16840" w:h="11900" w:orient="landscape"/>
          <w:pgMar w:top="1361" w:right="1020" w:bottom="1134" w:left="1020" w:header="720" w:footer="720" w:gutter="0"/>
          <w:cols w:space="720" w:num="1"/>
        </w:sectPr>
      </w:pPr>
    </w:p>
    <w:p w14:paraId="6FCAF41D">
      <w:pPr>
        <w:spacing w:before="0" w:after="0"/>
        <w:ind w:firstLine="560"/>
        <w:jc w:val="left"/>
        <w:outlineLvl w:val="9"/>
      </w:pPr>
      <w:r>
        <w:rPr>
          <w:rFonts w:ascii="方正仿宋_GBK" w:hAnsi="方正仿宋_GBK" w:eastAsia="方正仿宋_GBK" w:cs="方正仿宋_GBK"/>
          <w:b/>
          <w:color w:val="000000"/>
          <w:sz w:val="28"/>
        </w:rPr>
        <w:t>20、冀财教[2023]163号/省级/2024年义教补助资金/新星学校公用经费绩效目标表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FF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9D2FC">
            <w:pPr>
              <w:pStyle w:val="14"/>
            </w:pPr>
            <w:r>
              <w:t>单位：万元</w:t>
            </w:r>
          </w:p>
        </w:tc>
      </w:tr>
      <w:tr w14:paraId="072640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3DA6E">
            <w:pPr>
              <w:pStyle w:val="11"/>
            </w:pPr>
            <w:r>
              <w:t>项目编码</w:t>
            </w:r>
          </w:p>
        </w:tc>
        <w:tc>
          <w:tcPr>
            <w:tcW w:w="5103" w:type="dxa"/>
            <w:gridSpan w:val="2"/>
            <w:vAlign w:val="center"/>
          </w:tcPr>
          <w:p w14:paraId="5A6F4FA6">
            <w:pPr>
              <w:pStyle w:val="13"/>
            </w:pPr>
            <w:r>
              <w:t>13052524P00000610636X</w:t>
            </w:r>
          </w:p>
        </w:tc>
        <w:tc>
          <w:tcPr>
            <w:tcW w:w="2835" w:type="dxa"/>
            <w:vAlign w:val="center"/>
          </w:tcPr>
          <w:p w14:paraId="5C09F920">
            <w:pPr>
              <w:pStyle w:val="11"/>
            </w:pPr>
            <w:r>
              <w:t>项目名称</w:t>
            </w:r>
          </w:p>
        </w:tc>
        <w:tc>
          <w:tcPr>
            <w:tcW w:w="6095" w:type="dxa"/>
            <w:gridSpan w:val="3"/>
            <w:vAlign w:val="center"/>
          </w:tcPr>
          <w:p w14:paraId="19E31058">
            <w:pPr>
              <w:pStyle w:val="13"/>
            </w:pPr>
            <w:r>
              <w:t>冀财教[2023]163号/省级/2024年义教补助资金/新星学校公用经费</w:t>
            </w:r>
            <w:r>
              <w:tab/>
            </w:r>
            <w:r>
              <w:tab/>
            </w:r>
            <w:r>
              <w:tab/>
            </w:r>
          </w:p>
        </w:tc>
      </w:tr>
      <w:tr w14:paraId="688FB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EDEEB">
            <w:pPr>
              <w:pStyle w:val="11"/>
            </w:pPr>
            <w:r>
              <w:t>预算规模及资金用途</w:t>
            </w:r>
          </w:p>
        </w:tc>
        <w:tc>
          <w:tcPr>
            <w:tcW w:w="2268" w:type="dxa"/>
            <w:vAlign w:val="center"/>
          </w:tcPr>
          <w:p w14:paraId="6F475CB7">
            <w:pPr>
              <w:pStyle w:val="11"/>
            </w:pPr>
            <w:r>
              <w:t>预算数</w:t>
            </w:r>
          </w:p>
        </w:tc>
        <w:tc>
          <w:tcPr>
            <w:tcW w:w="2835" w:type="dxa"/>
            <w:vAlign w:val="center"/>
          </w:tcPr>
          <w:p w14:paraId="6B608653">
            <w:pPr>
              <w:pStyle w:val="13"/>
            </w:pPr>
            <w:r>
              <w:t>18.95</w:t>
            </w:r>
          </w:p>
        </w:tc>
        <w:tc>
          <w:tcPr>
            <w:tcW w:w="2835" w:type="dxa"/>
            <w:vAlign w:val="center"/>
          </w:tcPr>
          <w:p w14:paraId="57601C20">
            <w:pPr>
              <w:pStyle w:val="11"/>
            </w:pPr>
            <w:r>
              <w:t>其中：财政    资金</w:t>
            </w:r>
          </w:p>
        </w:tc>
        <w:tc>
          <w:tcPr>
            <w:tcW w:w="2551" w:type="dxa"/>
            <w:vAlign w:val="center"/>
          </w:tcPr>
          <w:p w14:paraId="28F0C604">
            <w:pPr>
              <w:pStyle w:val="13"/>
            </w:pPr>
            <w:r>
              <w:t>18.95</w:t>
            </w:r>
          </w:p>
        </w:tc>
        <w:tc>
          <w:tcPr>
            <w:tcW w:w="2268" w:type="dxa"/>
            <w:vAlign w:val="center"/>
          </w:tcPr>
          <w:p w14:paraId="44761699">
            <w:pPr>
              <w:pStyle w:val="11"/>
            </w:pPr>
            <w:r>
              <w:t>其他资金</w:t>
            </w:r>
          </w:p>
        </w:tc>
        <w:tc>
          <w:tcPr>
            <w:tcW w:w="1276" w:type="dxa"/>
            <w:vAlign w:val="center"/>
          </w:tcPr>
          <w:p w14:paraId="71F4B80E">
            <w:pPr>
              <w:pStyle w:val="13"/>
            </w:pPr>
            <w:r>
              <w:t xml:space="preserve"> </w:t>
            </w:r>
          </w:p>
        </w:tc>
      </w:tr>
      <w:tr w14:paraId="52568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BA736A"/>
        </w:tc>
        <w:tc>
          <w:tcPr>
            <w:tcW w:w="14033" w:type="dxa"/>
            <w:gridSpan w:val="6"/>
            <w:vAlign w:val="center"/>
          </w:tcPr>
          <w:p w14:paraId="4F0B760F">
            <w:pPr>
              <w:pStyle w:val="13"/>
            </w:pPr>
            <w:r>
              <w:t>保障义务教育学校正常运转，完成教育教学活动和其他日常工作任务等方面的费用支出。</w:t>
            </w:r>
          </w:p>
        </w:tc>
      </w:tr>
      <w:tr w14:paraId="71832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550B0">
            <w:pPr>
              <w:pStyle w:val="11"/>
            </w:pPr>
            <w:r>
              <w:t>资金支出计划（%）</w:t>
            </w:r>
          </w:p>
        </w:tc>
        <w:tc>
          <w:tcPr>
            <w:tcW w:w="5103" w:type="dxa"/>
            <w:gridSpan w:val="2"/>
            <w:vAlign w:val="center"/>
          </w:tcPr>
          <w:p w14:paraId="02DE08E8">
            <w:pPr>
              <w:pStyle w:val="11"/>
            </w:pPr>
            <w:r>
              <w:t>3月底</w:t>
            </w:r>
          </w:p>
        </w:tc>
        <w:tc>
          <w:tcPr>
            <w:tcW w:w="2835" w:type="dxa"/>
            <w:vAlign w:val="center"/>
          </w:tcPr>
          <w:p w14:paraId="2824CF38">
            <w:pPr>
              <w:pStyle w:val="11"/>
            </w:pPr>
            <w:r>
              <w:t>6月底</w:t>
            </w:r>
          </w:p>
        </w:tc>
        <w:tc>
          <w:tcPr>
            <w:tcW w:w="2551" w:type="dxa"/>
            <w:vAlign w:val="center"/>
          </w:tcPr>
          <w:p w14:paraId="68108FAD">
            <w:pPr>
              <w:pStyle w:val="11"/>
            </w:pPr>
            <w:r>
              <w:t>10月底</w:t>
            </w:r>
          </w:p>
        </w:tc>
        <w:tc>
          <w:tcPr>
            <w:tcW w:w="3544" w:type="dxa"/>
            <w:gridSpan w:val="2"/>
            <w:vAlign w:val="center"/>
          </w:tcPr>
          <w:p w14:paraId="5658D447">
            <w:pPr>
              <w:pStyle w:val="11"/>
            </w:pPr>
            <w:r>
              <w:t>12月底</w:t>
            </w:r>
          </w:p>
        </w:tc>
      </w:tr>
      <w:tr w14:paraId="02684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425D2B"/>
        </w:tc>
        <w:tc>
          <w:tcPr>
            <w:tcW w:w="5103" w:type="dxa"/>
            <w:gridSpan w:val="2"/>
            <w:vAlign w:val="center"/>
          </w:tcPr>
          <w:p w14:paraId="5CBCCDDA">
            <w:pPr>
              <w:pStyle w:val="12"/>
            </w:pPr>
            <w:r>
              <w:t xml:space="preserve"> </w:t>
            </w:r>
          </w:p>
        </w:tc>
        <w:tc>
          <w:tcPr>
            <w:tcW w:w="2835" w:type="dxa"/>
            <w:vAlign w:val="center"/>
          </w:tcPr>
          <w:p w14:paraId="1B48833E">
            <w:pPr>
              <w:pStyle w:val="12"/>
            </w:pPr>
            <w:r>
              <w:t>100%</w:t>
            </w:r>
          </w:p>
        </w:tc>
        <w:tc>
          <w:tcPr>
            <w:tcW w:w="2551" w:type="dxa"/>
            <w:vAlign w:val="center"/>
          </w:tcPr>
          <w:p w14:paraId="69F2BCE8">
            <w:pPr>
              <w:pStyle w:val="12"/>
            </w:pPr>
            <w:r>
              <w:t>100%</w:t>
            </w:r>
          </w:p>
        </w:tc>
        <w:tc>
          <w:tcPr>
            <w:tcW w:w="3544" w:type="dxa"/>
            <w:gridSpan w:val="2"/>
            <w:vAlign w:val="center"/>
          </w:tcPr>
          <w:p w14:paraId="20F03C59">
            <w:pPr>
              <w:pStyle w:val="12"/>
            </w:pPr>
            <w:r>
              <w:t>100%</w:t>
            </w:r>
          </w:p>
        </w:tc>
      </w:tr>
      <w:tr w14:paraId="37354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CE30DA">
            <w:pPr>
              <w:pStyle w:val="11"/>
            </w:pPr>
            <w:r>
              <w:t>绩效目标</w:t>
            </w:r>
          </w:p>
        </w:tc>
        <w:tc>
          <w:tcPr>
            <w:tcW w:w="14033" w:type="dxa"/>
            <w:gridSpan w:val="6"/>
            <w:vAlign w:val="center"/>
          </w:tcPr>
          <w:p w14:paraId="60739D32">
            <w:pPr>
              <w:pStyle w:val="13"/>
            </w:pPr>
            <w:r>
              <w:t>1.保障义务教育学校正常运转，完成教育教学活动和其他日常工作任务等方面的费用支出。</w:t>
            </w:r>
          </w:p>
        </w:tc>
      </w:tr>
    </w:tbl>
    <w:p w14:paraId="5895D0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73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CA133">
            <w:pPr>
              <w:pStyle w:val="11"/>
            </w:pPr>
            <w:r>
              <w:t>一级指标</w:t>
            </w:r>
          </w:p>
        </w:tc>
        <w:tc>
          <w:tcPr>
            <w:tcW w:w="2268" w:type="dxa"/>
            <w:vAlign w:val="center"/>
          </w:tcPr>
          <w:p w14:paraId="12E7682D">
            <w:pPr>
              <w:pStyle w:val="11"/>
            </w:pPr>
            <w:r>
              <w:t>二级指标</w:t>
            </w:r>
          </w:p>
        </w:tc>
        <w:tc>
          <w:tcPr>
            <w:tcW w:w="2835" w:type="dxa"/>
            <w:vAlign w:val="center"/>
          </w:tcPr>
          <w:p w14:paraId="52F6666E">
            <w:pPr>
              <w:pStyle w:val="11"/>
            </w:pPr>
            <w:r>
              <w:t>三级指标</w:t>
            </w:r>
          </w:p>
        </w:tc>
        <w:tc>
          <w:tcPr>
            <w:tcW w:w="5386" w:type="dxa"/>
            <w:vAlign w:val="center"/>
          </w:tcPr>
          <w:p w14:paraId="59F1D5B1">
            <w:pPr>
              <w:pStyle w:val="11"/>
            </w:pPr>
            <w:r>
              <w:t>绩效指标描述</w:t>
            </w:r>
          </w:p>
        </w:tc>
        <w:tc>
          <w:tcPr>
            <w:tcW w:w="2268" w:type="dxa"/>
            <w:vAlign w:val="center"/>
          </w:tcPr>
          <w:p w14:paraId="0339AB25">
            <w:pPr>
              <w:pStyle w:val="11"/>
            </w:pPr>
            <w:r>
              <w:t>指标值</w:t>
            </w:r>
          </w:p>
        </w:tc>
        <w:tc>
          <w:tcPr>
            <w:tcW w:w="1276" w:type="dxa"/>
            <w:vAlign w:val="center"/>
          </w:tcPr>
          <w:p w14:paraId="4EF86BFA">
            <w:pPr>
              <w:pStyle w:val="11"/>
            </w:pPr>
            <w:r>
              <w:t>指标值确定依据</w:t>
            </w:r>
          </w:p>
        </w:tc>
      </w:tr>
      <w:tr w14:paraId="76CAE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3951A">
            <w:pPr>
              <w:pStyle w:val="12"/>
            </w:pPr>
            <w:r>
              <w:t>产出指标</w:t>
            </w:r>
          </w:p>
        </w:tc>
        <w:tc>
          <w:tcPr>
            <w:tcW w:w="2268" w:type="dxa"/>
            <w:vAlign w:val="center"/>
          </w:tcPr>
          <w:p w14:paraId="487A7F00">
            <w:pPr>
              <w:pStyle w:val="13"/>
            </w:pPr>
            <w:r>
              <w:t>数量指标</w:t>
            </w:r>
          </w:p>
        </w:tc>
        <w:tc>
          <w:tcPr>
            <w:tcW w:w="2835" w:type="dxa"/>
            <w:vAlign w:val="center"/>
          </w:tcPr>
          <w:p w14:paraId="477B3574">
            <w:pPr>
              <w:pStyle w:val="13"/>
            </w:pPr>
            <w:r>
              <w:t>适龄在校生</w:t>
            </w:r>
          </w:p>
        </w:tc>
        <w:tc>
          <w:tcPr>
            <w:tcW w:w="5386" w:type="dxa"/>
            <w:vAlign w:val="center"/>
          </w:tcPr>
          <w:p w14:paraId="5DBC0E84">
            <w:pPr>
              <w:pStyle w:val="13"/>
            </w:pPr>
            <w:r>
              <w:t>适龄在校就读学生人数</w:t>
            </w:r>
          </w:p>
        </w:tc>
        <w:tc>
          <w:tcPr>
            <w:tcW w:w="2268" w:type="dxa"/>
            <w:vAlign w:val="center"/>
          </w:tcPr>
          <w:p w14:paraId="2B9FACD0">
            <w:pPr>
              <w:pStyle w:val="13"/>
            </w:pPr>
            <w:r>
              <w:t>475人</w:t>
            </w:r>
          </w:p>
        </w:tc>
        <w:tc>
          <w:tcPr>
            <w:tcW w:w="1276" w:type="dxa"/>
            <w:vAlign w:val="center"/>
          </w:tcPr>
          <w:p w14:paraId="37EE46A2">
            <w:pPr>
              <w:pStyle w:val="13"/>
            </w:pPr>
            <w:r>
              <w:t>城乡义务教育公用经费管理办法</w:t>
            </w:r>
          </w:p>
        </w:tc>
      </w:tr>
      <w:tr w14:paraId="3EDD2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FEF60"/>
        </w:tc>
        <w:tc>
          <w:tcPr>
            <w:tcW w:w="2268" w:type="dxa"/>
            <w:vAlign w:val="center"/>
          </w:tcPr>
          <w:p w14:paraId="4BA4084A">
            <w:pPr>
              <w:pStyle w:val="13"/>
            </w:pPr>
            <w:r>
              <w:t>质量指标</w:t>
            </w:r>
          </w:p>
        </w:tc>
        <w:tc>
          <w:tcPr>
            <w:tcW w:w="2835" w:type="dxa"/>
            <w:vAlign w:val="center"/>
          </w:tcPr>
          <w:p w14:paraId="0068343A">
            <w:pPr>
              <w:pStyle w:val="13"/>
            </w:pPr>
            <w:r>
              <w:t>预算控制率</w:t>
            </w:r>
          </w:p>
        </w:tc>
        <w:tc>
          <w:tcPr>
            <w:tcW w:w="5386" w:type="dxa"/>
            <w:vAlign w:val="center"/>
          </w:tcPr>
          <w:p w14:paraId="2102112D">
            <w:pPr>
              <w:pStyle w:val="13"/>
            </w:pPr>
            <w:r>
              <w:t>预算执行</w:t>
            </w:r>
          </w:p>
        </w:tc>
        <w:tc>
          <w:tcPr>
            <w:tcW w:w="2268" w:type="dxa"/>
            <w:vAlign w:val="center"/>
          </w:tcPr>
          <w:p w14:paraId="2343B5CA">
            <w:pPr>
              <w:pStyle w:val="13"/>
            </w:pPr>
            <w:r>
              <w:t>≥95%</w:t>
            </w:r>
          </w:p>
        </w:tc>
        <w:tc>
          <w:tcPr>
            <w:tcW w:w="1276" w:type="dxa"/>
            <w:vAlign w:val="center"/>
          </w:tcPr>
          <w:p w14:paraId="6F38BD97">
            <w:pPr>
              <w:pStyle w:val="13"/>
            </w:pPr>
            <w:r>
              <w:t>城乡义务教育公用经费管理办法</w:t>
            </w:r>
          </w:p>
        </w:tc>
      </w:tr>
      <w:tr w14:paraId="7CAA7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66194"/>
        </w:tc>
        <w:tc>
          <w:tcPr>
            <w:tcW w:w="2268" w:type="dxa"/>
            <w:vAlign w:val="center"/>
          </w:tcPr>
          <w:p w14:paraId="1271FA93">
            <w:pPr>
              <w:pStyle w:val="13"/>
            </w:pPr>
            <w:r>
              <w:t>时效指标</w:t>
            </w:r>
          </w:p>
        </w:tc>
        <w:tc>
          <w:tcPr>
            <w:tcW w:w="2835" w:type="dxa"/>
            <w:vAlign w:val="center"/>
          </w:tcPr>
          <w:p w14:paraId="4CFCCAF9">
            <w:pPr>
              <w:pStyle w:val="13"/>
            </w:pPr>
            <w:r>
              <w:t>资金支付率</w:t>
            </w:r>
          </w:p>
        </w:tc>
        <w:tc>
          <w:tcPr>
            <w:tcW w:w="5386" w:type="dxa"/>
            <w:vAlign w:val="center"/>
          </w:tcPr>
          <w:p w14:paraId="0EBF52E7">
            <w:pPr>
              <w:pStyle w:val="13"/>
            </w:pPr>
            <w:r>
              <w:t>按照序时进度完成资金支付</w:t>
            </w:r>
          </w:p>
        </w:tc>
        <w:tc>
          <w:tcPr>
            <w:tcW w:w="2268" w:type="dxa"/>
            <w:vAlign w:val="center"/>
          </w:tcPr>
          <w:p w14:paraId="528C5F5B">
            <w:pPr>
              <w:pStyle w:val="13"/>
            </w:pPr>
            <w:r>
              <w:t>≥100%</w:t>
            </w:r>
          </w:p>
        </w:tc>
        <w:tc>
          <w:tcPr>
            <w:tcW w:w="1276" w:type="dxa"/>
            <w:vAlign w:val="center"/>
          </w:tcPr>
          <w:p w14:paraId="6A327581">
            <w:pPr>
              <w:pStyle w:val="13"/>
            </w:pPr>
            <w:r>
              <w:t>城乡义务教育公用经费管理办法</w:t>
            </w:r>
          </w:p>
        </w:tc>
      </w:tr>
      <w:tr w14:paraId="042DE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C084F"/>
        </w:tc>
        <w:tc>
          <w:tcPr>
            <w:tcW w:w="2268" w:type="dxa"/>
            <w:vAlign w:val="center"/>
          </w:tcPr>
          <w:p w14:paraId="13AF3D3C">
            <w:pPr>
              <w:pStyle w:val="13"/>
            </w:pPr>
            <w:r>
              <w:t>成本指标</w:t>
            </w:r>
          </w:p>
        </w:tc>
        <w:tc>
          <w:tcPr>
            <w:tcW w:w="2835" w:type="dxa"/>
            <w:vAlign w:val="center"/>
          </w:tcPr>
          <w:p w14:paraId="0A0053C7">
            <w:pPr>
              <w:pStyle w:val="13"/>
            </w:pPr>
            <w:r>
              <w:t>生均拨款标准</w:t>
            </w:r>
          </w:p>
        </w:tc>
        <w:tc>
          <w:tcPr>
            <w:tcW w:w="5386" w:type="dxa"/>
            <w:vAlign w:val="center"/>
          </w:tcPr>
          <w:p w14:paraId="2C8B2DD5">
            <w:pPr>
              <w:pStyle w:val="13"/>
            </w:pPr>
            <w:r>
              <w:t>小学：（基本标准720元、寄宿生300元、取暖120元）/生/学年；随班就读学生：标准6000元/生/学年。</w:t>
            </w:r>
          </w:p>
        </w:tc>
        <w:tc>
          <w:tcPr>
            <w:tcW w:w="2268" w:type="dxa"/>
            <w:vAlign w:val="center"/>
          </w:tcPr>
          <w:p w14:paraId="58EB5681">
            <w:pPr>
              <w:pStyle w:val="13"/>
            </w:pPr>
            <w:r>
              <w:t>840元</w:t>
            </w:r>
          </w:p>
        </w:tc>
        <w:tc>
          <w:tcPr>
            <w:tcW w:w="1276" w:type="dxa"/>
            <w:vAlign w:val="center"/>
          </w:tcPr>
          <w:p w14:paraId="126C94E7">
            <w:pPr>
              <w:pStyle w:val="13"/>
            </w:pPr>
            <w:r>
              <w:t>城乡义务教育公用经费管理办法</w:t>
            </w:r>
          </w:p>
        </w:tc>
      </w:tr>
      <w:tr w14:paraId="6BECE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4853D2">
            <w:pPr>
              <w:pStyle w:val="12"/>
            </w:pPr>
            <w:r>
              <w:t>效益指标</w:t>
            </w:r>
          </w:p>
        </w:tc>
        <w:tc>
          <w:tcPr>
            <w:tcW w:w="2268" w:type="dxa"/>
            <w:vAlign w:val="center"/>
          </w:tcPr>
          <w:p w14:paraId="3797F2E9">
            <w:pPr>
              <w:pStyle w:val="13"/>
            </w:pPr>
            <w:r>
              <w:t>可持续影响指标</w:t>
            </w:r>
          </w:p>
        </w:tc>
        <w:tc>
          <w:tcPr>
            <w:tcW w:w="2835" w:type="dxa"/>
            <w:vAlign w:val="center"/>
          </w:tcPr>
          <w:p w14:paraId="4D07525F">
            <w:pPr>
              <w:pStyle w:val="13"/>
            </w:pPr>
            <w:r>
              <w:t>教育发展水平明显好转</w:t>
            </w:r>
          </w:p>
        </w:tc>
        <w:tc>
          <w:tcPr>
            <w:tcW w:w="5386" w:type="dxa"/>
            <w:vAlign w:val="center"/>
          </w:tcPr>
          <w:p w14:paraId="03632F75">
            <w:pPr>
              <w:pStyle w:val="13"/>
            </w:pPr>
            <w:r>
              <w:t>学生受教育年限</w:t>
            </w:r>
          </w:p>
        </w:tc>
        <w:tc>
          <w:tcPr>
            <w:tcW w:w="2268" w:type="dxa"/>
            <w:vAlign w:val="center"/>
          </w:tcPr>
          <w:p w14:paraId="22F710DC">
            <w:pPr>
              <w:pStyle w:val="13"/>
            </w:pPr>
            <w:r>
              <w:t>6年</w:t>
            </w:r>
          </w:p>
        </w:tc>
        <w:tc>
          <w:tcPr>
            <w:tcW w:w="1276" w:type="dxa"/>
            <w:vAlign w:val="center"/>
          </w:tcPr>
          <w:p w14:paraId="5441BE45">
            <w:pPr>
              <w:pStyle w:val="13"/>
            </w:pPr>
            <w:r>
              <w:t>城乡义务教育公用经费管理办法</w:t>
            </w:r>
          </w:p>
        </w:tc>
      </w:tr>
      <w:tr w14:paraId="4C56E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6F629C">
            <w:pPr>
              <w:pStyle w:val="12"/>
            </w:pPr>
            <w:r>
              <w:t>满意度指标</w:t>
            </w:r>
          </w:p>
        </w:tc>
        <w:tc>
          <w:tcPr>
            <w:tcW w:w="2268" w:type="dxa"/>
            <w:vAlign w:val="center"/>
          </w:tcPr>
          <w:p w14:paraId="454BE7AA">
            <w:pPr>
              <w:pStyle w:val="13"/>
            </w:pPr>
            <w:r>
              <w:t>服务对象满意度指标</w:t>
            </w:r>
          </w:p>
        </w:tc>
        <w:tc>
          <w:tcPr>
            <w:tcW w:w="2835" w:type="dxa"/>
            <w:vAlign w:val="center"/>
          </w:tcPr>
          <w:p w14:paraId="5212732E">
            <w:pPr>
              <w:pStyle w:val="13"/>
            </w:pPr>
            <w:r>
              <w:t>受益学生家长及调查满意度</w:t>
            </w:r>
          </w:p>
        </w:tc>
        <w:tc>
          <w:tcPr>
            <w:tcW w:w="5386" w:type="dxa"/>
            <w:vAlign w:val="center"/>
          </w:tcPr>
          <w:p w14:paraId="16973124">
            <w:pPr>
              <w:pStyle w:val="13"/>
            </w:pPr>
            <w:r>
              <w:t>学生、教师及家长对学校教育教学工作满意度情况</w:t>
            </w:r>
          </w:p>
        </w:tc>
        <w:tc>
          <w:tcPr>
            <w:tcW w:w="2268" w:type="dxa"/>
            <w:vAlign w:val="center"/>
          </w:tcPr>
          <w:p w14:paraId="5F03BE87">
            <w:pPr>
              <w:pStyle w:val="13"/>
            </w:pPr>
            <w:r>
              <w:t>≥95%</w:t>
            </w:r>
          </w:p>
        </w:tc>
        <w:tc>
          <w:tcPr>
            <w:tcW w:w="1276" w:type="dxa"/>
            <w:vAlign w:val="center"/>
          </w:tcPr>
          <w:p w14:paraId="5EF604C1">
            <w:pPr>
              <w:pStyle w:val="13"/>
            </w:pPr>
            <w:r>
              <w:t>调查问卷</w:t>
            </w:r>
          </w:p>
        </w:tc>
      </w:tr>
    </w:tbl>
    <w:p w14:paraId="326CEFB0">
      <w:pPr>
        <w:sectPr>
          <w:pgSz w:w="16840" w:h="11900" w:orient="landscape"/>
          <w:pgMar w:top="1361" w:right="1020" w:bottom="1134" w:left="1020" w:header="720" w:footer="720" w:gutter="0"/>
          <w:cols w:space="720" w:num="1"/>
        </w:sectPr>
      </w:pPr>
    </w:p>
    <w:p w14:paraId="005C6FC3">
      <w:pPr>
        <w:spacing w:before="0" w:after="0"/>
        <w:ind w:firstLine="560"/>
        <w:jc w:val="left"/>
        <w:outlineLvl w:val="9"/>
      </w:pPr>
      <w:r>
        <w:rPr>
          <w:rFonts w:ascii="方正仿宋_GBK" w:hAnsi="方正仿宋_GBK" w:eastAsia="方正仿宋_GBK" w:cs="方正仿宋_GBK"/>
          <w:b/>
          <w:color w:val="000000"/>
          <w:sz w:val="28"/>
        </w:rPr>
        <w:t>21、冀财教[2023]163号/省级/2024年义教补助资金/杨村东方小学公用经费绩效目标表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7E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2980D">
            <w:pPr>
              <w:pStyle w:val="14"/>
            </w:pPr>
            <w:r>
              <w:t>单位：万元</w:t>
            </w:r>
          </w:p>
        </w:tc>
      </w:tr>
      <w:tr w14:paraId="0B4F1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8F8C2">
            <w:pPr>
              <w:pStyle w:val="11"/>
            </w:pPr>
            <w:r>
              <w:t>项目编码</w:t>
            </w:r>
          </w:p>
        </w:tc>
        <w:tc>
          <w:tcPr>
            <w:tcW w:w="5103" w:type="dxa"/>
            <w:gridSpan w:val="2"/>
            <w:vAlign w:val="center"/>
          </w:tcPr>
          <w:p w14:paraId="40A939AD">
            <w:pPr>
              <w:pStyle w:val="13"/>
            </w:pPr>
            <w:r>
              <w:t>13052524P00000610635A</w:t>
            </w:r>
          </w:p>
        </w:tc>
        <w:tc>
          <w:tcPr>
            <w:tcW w:w="2835" w:type="dxa"/>
            <w:vAlign w:val="center"/>
          </w:tcPr>
          <w:p w14:paraId="10863450">
            <w:pPr>
              <w:pStyle w:val="11"/>
            </w:pPr>
            <w:r>
              <w:t>项目名称</w:t>
            </w:r>
          </w:p>
        </w:tc>
        <w:tc>
          <w:tcPr>
            <w:tcW w:w="6095" w:type="dxa"/>
            <w:gridSpan w:val="3"/>
            <w:vAlign w:val="center"/>
          </w:tcPr>
          <w:p w14:paraId="6F4BE4CA">
            <w:pPr>
              <w:pStyle w:val="13"/>
            </w:pPr>
            <w:r>
              <w:t>冀财教[2023]163号/省级/2024年义教补助资金/杨村东方小学公用经费</w:t>
            </w:r>
            <w:r>
              <w:tab/>
            </w:r>
            <w:r>
              <w:tab/>
            </w:r>
            <w:r>
              <w:tab/>
            </w:r>
          </w:p>
        </w:tc>
      </w:tr>
      <w:tr w14:paraId="06823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E9D38">
            <w:pPr>
              <w:pStyle w:val="11"/>
            </w:pPr>
            <w:r>
              <w:t>预算规模及资金用途</w:t>
            </w:r>
          </w:p>
        </w:tc>
        <w:tc>
          <w:tcPr>
            <w:tcW w:w="2268" w:type="dxa"/>
            <w:vAlign w:val="center"/>
          </w:tcPr>
          <w:p w14:paraId="560B8129">
            <w:pPr>
              <w:pStyle w:val="11"/>
            </w:pPr>
            <w:r>
              <w:t>预算数</w:t>
            </w:r>
          </w:p>
        </w:tc>
        <w:tc>
          <w:tcPr>
            <w:tcW w:w="2835" w:type="dxa"/>
            <w:vAlign w:val="center"/>
          </w:tcPr>
          <w:p w14:paraId="2C771169">
            <w:pPr>
              <w:pStyle w:val="13"/>
            </w:pPr>
            <w:r>
              <w:t>8.70</w:t>
            </w:r>
          </w:p>
        </w:tc>
        <w:tc>
          <w:tcPr>
            <w:tcW w:w="2835" w:type="dxa"/>
            <w:vAlign w:val="center"/>
          </w:tcPr>
          <w:p w14:paraId="01CE2683">
            <w:pPr>
              <w:pStyle w:val="11"/>
            </w:pPr>
            <w:r>
              <w:t>其中：财政    资金</w:t>
            </w:r>
          </w:p>
        </w:tc>
        <w:tc>
          <w:tcPr>
            <w:tcW w:w="2551" w:type="dxa"/>
            <w:vAlign w:val="center"/>
          </w:tcPr>
          <w:p w14:paraId="0FF6A22F">
            <w:pPr>
              <w:pStyle w:val="13"/>
            </w:pPr>
            <w:r>
              <w:t>8.70</w:t>
            </w:r>
          </w:p>
        </w:tc>
        <w:tc>
          <w:tcPr>
            <w:tcW w:w="2268" w:type="dxa"/>
            <w:vAlign w:val="center"/>
          </w:tcPr>
          <w:p w14:paraId="450DCCBA">
            <w:pPr>
              <w:pStyle w:val="11"/>
            </w:pPr>
            <w:r>
              <w:t>其他资金</w:t>
            </w:r>
          </w:p>
        </w:tc>
        <w:tc>
          <w:tcPr>
            <w:tcW w:w="1276" w:type="dxa"/>
            <w:vAlign w:val="center"/>
          </w:tcPr>
          <w:p w14:paraId="659D8910">
            <w:pPr>
              <w:pStyle w:val="13"/>
            </w:pPr>
            <w:r>
              <w:t xml:space="preserve"> </w:t>
            </w:r>
          </w:p>
        </w:tc>
      </w:tr>
      <w:tr w14:paraId="7FF2D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AD440C"/>
        </w:tc>
        <w:tc>
          <w:tcPr>
            <w:tcW w:w="14033" w:type="dxa"/>
            <w:gridSpan w:val="6"/>
            <w:vAlign w:val="center"/>
          </w:tcPr>
          <w:p w14:paraId="6BECB46E">
            <w:pPr>
              <w:pStyle w:val="13"/>
            </w:pPr>
            <w:r>
              <w:t>保障义务教育学校正常运转，完成教育教学活动和其他日常工作任务等方面的费用支出。</w:t>
            </w:r>
          </w:p>
        </w:tc>
      </w:tr>
      <w:tr w14:paraId="2D5C1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E6418">
            <w:pPr>
              <w:pStyle w:val="11"/>
            </w:pPr>
            <w:r>
              <w:t>资金支出计划（%）</w:t>
            </w:r>
          </w:p>
        </w:tc>
        <w:tc>
          <w:tcPr>
            <w:tcW w:w="5103" w:type="dxa"/>
            <w:gridSpan w:val="2"/>
            <w:vAlign w:val="center"/>
          </w:tcPr>
          <w:p w14:paraId="3A40358D">
            <w:pPr>
              <w:pStyle w:val="11"/>
            </w:pPr>
            <w:r>
              <w:t>3月底</w:t>
            </w:r>
          </w:p>
        </w:tc>
        <w:tc>
          <w:tcPr>
            <w:tcW w:w="2835" w:type="dxa"/>
            <w:vAlign w:val="center"/>
          </w:tcPr>
          <w:p w14:paraId="19D9F23B">
            <w:pPr>
              <w:pStyle w:val="11"/>
            </w:pPr>
            <w:r>
              <w:t>6月底</w:t>
            </w:r>
          </w:p>
        </w:tc>
        <w:tc>
          <w:tcPr>
            <w:tcW w:w="2551" w:type="dxa"/>
            <w:vAlign w:val="center"/>
          </w:tcPr>
          <w:p w14:paraId="19A31282">
            <w:pPr>
              <w:pStyle w:val="11"/>
            </w:pPr>
            <w:r>
              <w:t>10月底</w:t>
            </w:r>
          </w:p>
        </w:tc>
        <w:tc>
          <w:tcPr>
            <w:tcW w:w="3544" w:type="dxa"/>
            <w:gridSpan w:val="2"/>
            <w:vAlign w:val="center"/>
          </w:tcPr>
          <w:p w14:paraId="25A1779A">
            <w:pPr>
              <w:pStyle w:val="11"/>
            </w:pPr>
            <w:r>
              <w:t>12月底</w:t>
            </w:r>
          </w:p>
        </w:tc>
      </w:tr>
      <w:tr w14:paraId="34C1F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49F957"/>
        </w:tc>
        <w:tc>
          <w:tcPr>
            <w:tcW w:w="5103" w:type="dxa"/>
            <w:gridSpan w:val="2"/>
            <w:vAlign w:val="center"/>
          </w:tcPr>
          <w:p w14:paraId="540744E8">
            <w:pPr>
              <w:pStyle w:val="12"/>
            </w:pPr>
            <w:r>
              <w:t xml:space="preserve"> </w:t>
            </w:r>
          </w:p>
        </w:tc>
        <w:tc>
          <w:tcPr>
            <w:tcW w:w="2835" w:type="dxa"/>
            <w:vAlign w:val="center"/>
          </w:tcPr>
          <w:p w14:paraId="611543BB">
            <w:pPr>
              <w:pStyle w:val="12"/>
            </w:pPr>
            <w:r>
              <w:t>100%</w:t>
            </w:r>
          </w:p>
        </w:tc>
        <w:tc>
          <w:tcPr>
            <w:tcW w:w="2551" w:type="dxa"/>
            <w:vAlign w:val="center"/>
          </w:tcPr>
          <w:p w14:paraId="366E9E36">
            <w:pPr>
              <w:pStyle w:val="12"/>
            </w:pPr>
            <w:r>
              <w:t>100%</w:t>
            </w:r>
          </w:p>
        </w:tc>
        <w:tc>
          <w:tcPr>
            <w:tcW w:w="3544" w:type="dxa"/>
            <w:gridSpan w:val="2"/>
            <w:vAlign w:val="center"/>
          </w:tcPr>
          <w:p w14:paraId="187F5FB1">
            <w:pPr>
              <w:pStyle w:val="12"/>
            </w:pPr>
            <w:r>
              <w:t>100%</w:t>
            </w:r>
          </w:p>
        </w:tc>
      </w:tr>
      <w:tr w14:paraId="2DB98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6DC71">
            <w:pPr>
              <w:pStyle w:val="11"/>
            </w:pPr>
            <w:r>
              <w:t>绩效目标</w:t>
            </w:r>
          </w:p>
        </w:tc>
        <w:tc>
          <w:tcPr>
            <w:tcW w:w="14033" w:type="dxa"/>
            <w:gridSpan w:val="6"/>
            <w:vAlign w:val="center"/>
          </w:tcPr>
          <w:p w14:paraId="3464AB57">
            <w:pPr>
              <w:pStyle w:val="13"/>
            </w:pPr>
            <w:r>
              <w:t>1.保障义务教育学校正常运转，完成教育教学活动和其他日常工作任务等方面的费用支出。</w:t>
            </w:r>
          </w:p>
        </w:tc>
      </w:tr>
    </w:tbl>
    <w:p w14:paraId="1C7953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A8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56CD1">
            <w:pPr>
              <w:pStyle w:val="11"/>
            </w:pPr>
            <w:r>
              <w:t>一级指标</w:t>
            </w:r>
          </w:p>
        </w:tc>
        <w:tc>
          <w:tcPr>
            <w:tcW w:w="2268" w:type="dxa"/>
            <w:vAlign w:val="center"/>
          </w:tcPr>
          <w:p w14:paraId="5D94F4CF">
            <w:pPr>
              <w:pStyle w:val="11"/>
            </w:pPr>
            <w:r>
              <w:t>二级指标</w:t>
            </w:r>
          </w:p>
        </w:tc>
        <w:tc>
          <w:tcPr>
            <w:tcW w:w="2835" w:type="dxa"/>
            <w:vAlign w:val="center"/>
          </w:tcPr>
          <w:p w14:paraId="58FD09B7">
            <w:pPr>
              <w:pStyle w:val="11"/>
            </w:pPr>
            <w:r>
              <w:t>三级指标</w:t>
            </w:r>
          </w:p>
        </w:tc>
        <w:tc>
          <w:tcPr>
            <w:tcW w:w="5386" w:type="dxa"/>
            <w:vAlign w:val="center"/>
          </w:tcPr>
          <w:p w14:paraId="235B136A">
            <w:pPr>
              <w:pStyle w:val="11"/>
            </w:pPr>
            <w:r>
              <w:t>绩效指标描述</w:t>
            </w:r>
          </w:p>
        </w:tc>
        <w:tc>
          <w:tcPr>
            <w:tcW w:w="2268" w:type="dxa"/>
            <w:vAlign w:val="center"/>
          </w:tcPr>
          <w:p w14:paraId="60588665">
            <w:pPr>
              <w:pStyle w:val="11"/>
            </w:pPr>
            <w:r>
              <w:t>指标值</w:t>
            </w:r>
          </w:p>
        </w:tc>
        <w:tc>
          <w:tcPr>
            <w:tcW w:w="1276" w:type="dxa"/>
            <w:vAlign w:val="center"/>
          </w:tcPr>
          <w:p w14:paraId="7F16453F">
            <w:pPr>
              <w:pStyle w:val="11"/>
            </w:pPr>
            <w:r>
              <w:t>指标值确定依据</w:t>
            </w:r>
          </w:p>
        </w:tc>
      </w:tr>
      <w:tr w14:paraId="12E96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AF015">
            <w:pPr>
              <w:pStyle w:val="12"/>
            </w:pPr>
            <w:r>
              <w:t>产出指标</w:t>
            </w:r>
          </w:p>
        </w:tc>
        <w:tc>
          <w:tcPr>
            <w:tcW w:w="2268" w:type="dxa"/>
            <w:vAlign w:val="center"/>
          </w:tcPr>
          <w:p w14:paraId="7D97CC5B">
            <w:pPr>
              <w:pStyle w:val="13"/>
            </w:pPr>
            <w:r>
              <w:t>数量指标</w:t>
            </w:r>
          </w:p>
        </w:tc>
        <w:tc>
          <w:tcPr>
            <w:tcW w:w="2835" w:type="dxa"/>
            <w:vAlign w:val="center"/>
          </w:tcPr>
          <w:p w14:paraId="74AE480F">
            <w:pPr>
              <w:pStyle w:val="13"/>
            </w:pPr>
            <w:r>
              <w:t>适龄在校生</w:t>
            </w:r>
          </w:p>
        </w:tc>
        <w:tc>
          <w:tcPr>
            <w:tcW w:w="5386" w:type="dxa"/>
            <w:vAlign w:val="center"/>
          </w:tcPr>
          <w:p w14:paraId="1356CEA1">
            <w:pPr>
              <w:pStyle w:val="13"/>
            </w:pPr>
            <w:r>
              <w:t>适龄在校就读学生人数</w:t>
            </w:r>
          </w:p>
        </w:tc>
        <w:tc>
          <w:tcPr>
            <w:tcW w:w="2268" w:type="dxa"/>
            <w:vAlign w:val="center"/>
          </w:tcPr>
          <w:p w14:paraId="50A1A70B">
            <w:pPr>
              <w:pStyle w:val="13"/>
            </w:pPr>
            <w:r>
              <w:t>218人</w:t>
            </w:r>
          </w:p>
        </w:tc>
        <w:tc>
          <w:tcPr>
            <w:tcW w:w="1276" w:type="dxa"/>
            <w:vAlign w:val="center"/>
          </w:tcPr>
          <w:p w14:paraId="0C0B287C">
            <w:pPr>
              <w:pStyle w:val="13"/>
            </w:pPr>
            <w:r>
              <w:t>城乡义务教育公用经费管理办法</w:t>
            </w:r>
          </w:p>
        </w:tc>
      </w:tr>
      <w:tr w14:paraId="11336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C9E44"/>
        </w:tc>
        <w:tc>
          <w:tcPr>
            <w:tcW w:w="2268" w:type="dxa"/>
            <w:vAlign w:val="center"/>
          </w:tcPr>
          <w:p w14:paraId="7E94F684">
            <w:pPr>
              <w:pStyle w:val="13"/>
            </w:pPr>
            <w:r>
              <w:t>质量指标</w:t>
            </w:r>
          </w:p>
        </w:tc>
        <w:tc>
          <w:tcPr>
            <w:tcW w:w="2835" w:type="dxa"/>
            <w:vAlign w:val="center"/>
          </w:tcPr>
          <w:p w14:paraId="7F35960D">
            <w:pPr>
              <w:pStyle w:val="13"/>
            </w:pPr>
            <w:r>
              <w:t>预算控制率</w:t>
            </w:r>
          </w:p>
        </w:tc>
        <w:tc>
          <w:tcPr>
            <w:tcW w:w="5386" w:type="dxa"/>
            <w:vAlign w:val="center"/>
          </w:tcPr>
          <w:p w14:paraId="1E326843">
            <w:pPr>
              <w:pStyle w:val="13"/>
            </w:pPr>
            <w:r>
              <w:t>预算执行</w:t>
            </w:r>
          </w:p>
        </w:tc>
        <w:tc>
          <w:tcPr>
            <w:tcW w:w="2268" w:type="dxa"/>
            <w:vAlign w:val="center"/>
          </w:tcPr>
          <w:p w14:paraId="4A5CD3A2">
            <w:pPr>
              <w:pStyle w:val="13"/>
            </w:pPr>
            <w:r>
              <w:t>≥95%</w:t>
            </w:r>
          </w:p>
        </w:tc>
        <w:tc>
          <w:tcPr>
            <w:tcW w:w="1276" w:type="dxa"/>
            <w:vAlign w:val="center"/>
          </w:tcPr>
          <w:p w14:paraId="10A21431">
            <w:pPr>
              <w:pStyle w:val="13"/>
            </w:pPr>
            <w:r>
              <w:t>城乡义务教育公用经费管理办法</w:t>
            </w:r>
          </w:p>
        </w:tc>
      </w:tr>
      <w:tr w14:paraId="4F4B6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4F7CB"/>
        </w:tc>
        <w:tc>
          <w:tcPr>
            <w:tcW w:w="2268" w:type="dxa"/>
            <w:vAlign w:val="center"/>
          </w:tcPr>
          <w:p w14:paraId="6F7D8D8D">
            <w:pPr>
              <w:pStyle w:val="13"/>
            </w:pPr>
            <w:r>
              <w:t>时效指标</w:t>
            </w:r>
          </w:p>
        </w:tc>
        <w:tc>
          <w:tcPr>
            <w:tcW w:w="2835" w:type="dxa"/>
            <w:vAlign w:val="center"/>
          </w:tcPr>
          <w:p w14:paraId="68FED11E">
            <w:pPr>
              <w:pStyle w:val="13"/>
            </w:pPr>
            <w:r>
              <w:t>资金支付率</w:t>
            </w:r>
          </w:p>
        </w:tc>
        <w:tc>
          <w:tcPr>
            <w:tcW w:w="5386" w:type="dxa"/>
            <w:vAlign w:val="center"/>
          </w:tcPr>
          <w:p w14:paraId="4D96F783">
            <w:pPr>
              <w:pStyle w:val="13"/>
            </w:pPr>
            <w:r>
              <w:t>按照序时进度完成资金支付</w:t>
            </w:r>
          </w:p>
        </w:tc>
        <w:tc>
          <w:tcPr>
            <w:tcW w:w="2268" w:type="dxa"/>
            <w:vAlign w:val="center"/>
          </w:tcPr>
          <w:p w14:paraId="445713E9">
            <w:pPr>
              <w:pStyle w:val="13"/>
            </w:pPr>
            <w:r>
              <w:t>≥100%</w:t>
            </w:r>
          </w:p>
        </w:tc>
        <w:tc>
          <w:tcPr>
            <w:tcW w:w="1276" w:type="dxa"/>
            <w:vAlign w:val="center"/>
          </w:tcPr>
          <w:p w14:paraId="3411A388">
            <w:pPr>
              <w:pStyle w:val="13"/>
            </w:pPr>
            <w:r>
              <w:t>城乡义务教育公用经费管理办法</w:t>
            </w:r>
          </w:p>
        </w:tc>
      </w:tr>
      <w:tr w14:paraId="5912E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D2531"/>
        </w:tc>
        <w:tc>
          <w:tcPr>
            <w:tcW w:w="2268" w:type="dxa"/>
            <w:vAlign w:val="center"/>
          </w:tcPr>
          <w:p w14:paraId="7B877FEF">
            <w:pPr>
              <w:pStyle w:val="13"/>
            </w:pPr>
            <w:r>
              <w:t>成本指标</w:t>
            </w:r>
          </w:p>
        </w:tc>
        <w:tc>
          <w:tcPr>
            <w:tcW w:w="2835" w:type="dxa"/>
            <w:vAlign w:val="center"/>
          </w:tcPr>
          <w:p w14:paraId="1E6DC511">
            <w:pPr>
              <w:pStyle w:val="13"/>
            </w:pPr>
            <w:r>
              <w:t>生均拨款标准</w:t>
            </w:r>
          </w:p>
        </w:tc>
        <w:tc>
          <w:tcPr>
            <w:tcW w:w="5386" w:type="dxa"/>
            <w:vAlign w:val="center"/>
          </w:tcPr>
          <w:p w14:paraId="2A3A7E73">
            <w:pPr>
              <w:pStyle w:val="13"/>
            </w:pPr>
            <w:r>
              <w:t>小学：（基本标准720元、寄宿生300元、取暖120元）/生/学年；随班就读学生：标准6000元/生/学年。</w:t>
            </w:r>
          </w:p>
        </w:tc>
        <w:tc>
          <w:tcPr>
            <w:tcW w:w="2268" w:type="dxa"/>
            <w:vAlign w:val="center"/>
          </w:tcPr>
          <w:p w14:paraId="105BA1D3">
            <w:pPr>
              <w:pStyle w:val="13"/>
            </w:pPr>
            <w:r>
              <w:t>840元</w:t>
            </w:r>
          </w:p>
        </w:tc>
        <w:tc>
          <w:tcPr>
            <w:tcW w:w="1276" w:type="dxa"/>
            <w:vAlign w:val="center"/>
          </w:tcPr>
          <w:p w14:paraId="2BB6C8CF">
            <w:pPr>
              <w:pStyle w:val="13"/>
            </w:pPr>
            <w:r>
              <w:t>城乡义务教育公用经费管理办法</w:t>
            </w:r>
          </w:p>
        </w:tc>
      </w:tr>
      <w:tr w14:paraId="3D07D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E57141">
            <w:pPr>
              <w:pStyle w:val="12"/>
            </w:pPr>
            <w:r>
              <w:t>效益指标</w:t>
            </w:r>
          </w:p>
        </w:tc>
        <w:tc>
          <w:tcPr>
            <w:tcW w:w="2268" w:type="dxa"/>
            <w:vAlign w:val="center"/>
          </w:tcPr>
          <w:p w14:paraId="1DE9EF37">
            <w:pPr>
              <w:pStyle w:val="13"/>
            </w:pPr>
            <w:r>
              <w:t>可持续影响指标</w:t>
            </w:r>
          </w:p>
        </w:tc>
        <w:tc>
          <w:tcPr>
            <w:tcW w:w="2835" w:type="dxa"/>
            <w:vAlign w:val="center"/>
          </w:tcPr>
          <w:p w14:paraId="0054B5D7">
            <w:pPr>
              <w:pStyle w:val="13"/>
            </w:pPr>
            <w:r>
              <w:t>教育发展水平明显好转</w:t>
            </w:r>
          </w:p>
        </w:tc>
        <w:tc>
          <w:tcPr>
            <w:tcW w:w="5386" w:type="dxa"/>
            <w:vAlign w:val="center"/>
          </w:tcPr>
          <w:p w14:paraId="65D1A01D">
            <w:pPr>
              <w:pStyle w:val="13"/>
            </w:pPr>
            <w:r>
              <w:t>学生受教育年限</w:t>
            </w:r>
          </w:p>
        </w:tc>
        <w:tc>
          <w:tcPr>
            <w:tcW w:w="2268" w:type="dxa"/>
            <w:vAlign w:val="center"/>
          </w:tcPr>
          <w:p w14:paraId="7D1C47A1">
            <w:pPr>
              <w:pStyle w:val="13"/>
            </w:pPr>
            <w:r>
              <w:t>6年</w:t>
            </w:r>
          </w:p>
        </w:tc>
        <w:tc>
          <w:tcPr>
            <w:tcW w:w="1276" w:type="dxa"/>
            <w:vAlign w:val="center"/>
          </w:tcPr>
          <w:p w14:paraId="55D4FA33">
            <w:pPr>
              <w:pStyle w:val="13"/>
            </w:pPr>
            <w:r>
              <w:t>城乡义务教育公用经费管理办法</w:t>
            </w:r>
          </w:p>
        </w:tc>
      </w:tr>
      <w:tr w14:paraId="4DF84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4FBAA8">
            <w:pPr>
              <w:pStyle w:val="12"/>
            </w:pPr>
            <w:r>
              <w:t>满意度指标</w:t>
            </w:r>
          </w:p>
        </w:tc>
        <w:tc>
          <w:tcPr>
            <w:tcW w:w="2268" w:type="dxa"/>
            <w:vAlign w:val="center"/>
          </w:tcPr>
          <w:p w14:paraId="78FB0AF2">
            <w:pPr>
              <w:pStyle w:val="13"/>
            </w:pPr>
            <w:r>
              <w:t>服务对象满意度指标</w:t>
            </w:r>
          </w:p>
        </w:tc>
        <w:tc>
          <w:tcPr>
            <w:tcW w:w="2835" w:type="dxa"/>
            <w:vAlign w:val="center"/>
          </w:tcPr>
          <w:p w14:paraId="22AB6158">
            <w:pPr>
              <w:pStyle w:val="13"/>
            </w:pPr>
            <w:r>
              <w:t>受益学生家长及调查满意度</w:t>
            </w:r>
          </w:p>
        </w:tc>
        <w:tc>
          <w:tcPr>
            <w:tcW w:w="5386" w:type="dxa"/>
            <w:vAlign w:val="center"/>
          </w:tcPr>
          <w:p w14:paraId="6164C396">
            <w:pPr>
              <w:pStyle w:val="13"/>
            </w:pPr>
            <w:r>
              <w:t>学生、教师及家长对学校教育教学工作满意度情况</w:t>
            </w:r>
          </w:p>
        </w:tc>
        <w:tc>
          <w:tcPr>
            <w:tcW w:w="2268" w:type="dxa"/>
            <w:vAlign w:val="center"/>
          </w:tcPr>
          <w:p w14:paraId="38F04A6E">
            <w:pPr>
              <w:pStyle w:val="13"/>
            </w:pPr>
            <w:r>
              <w:t>≥95%</w:t>
            </w:r>
          </w:p>
        </w:tc>
        <w:tc>
          <w:tcPr>
            <w:tcW w:w="1276" w:type="dxa"/>
            <w:vAlign w:val="center"/>
          </w:tcPr>
          <w:p w14:paraId="22C89426">
            <w:pPr>
              <w:pStyle w:val="13"/>
            </w:pPr>
            <w:r>
              <w:t>调查问卷</w:t>
            </w:r>
          </w:p>
        </w:tc>
      </w:tr>
    </w:tbl>
    <w:p w14:paraId="62E5F873">
      <w:pPr>
        <w:sectPr>
          <w:pgSz w:w="16840" w:h="11900" w:orient="landscape"/>
          <w:pgMar w:top="1361" w:right="1020" w:bottom="1134" w:left="1020" w:header="720" w:footer="720" w:gutter="0"/>
          <w:cols w:space="720" w:num="1"/>
        </w:sectPr>
      </w:pPr>
    </w:p>
    <w:p w14:paraId="681A243E">
      <w:pPr>
        <w:spacing w:before="0" w:after="0"/>
        <w:ind w:firstLine="560"/>
        <w:jc w:val="left"/>
        <w:outlineLvl w:val="9"/>
      </w:pPr>
      <w:r>
        <w:rPr>
          <w:rFonts w:ascii="方正仿宋_GBK" w:hAnsi="方正仿宋_GBK" w:eastAsia="方正仿宋_GBK" w:cs="方正仿宋_GBK"/>
          <w:b/>
          <w:color w:val="000000"/>
          <w:sz w:val="28"/>
        </w:rPr>
        <w:t>22、冀财教[2023]163号/省级/2024年义教补助资金/智信小学公用经费绩效目标表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08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31448">
            <w:pPr>
              <w:pStyle w:val="14"/>
            </w:pPr>
            <w:r>
              <w:t>单位：万元</w:t>
            </w:r>
          </w:p>
        </w:tc>
      </w:tr>
      <w:tr w14:paraId="38293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07FB68">
            <w:pPr>
              <w:pStyle w:val="11"/>
            </w:pPr>
            <w:r>
              <w:t>项目编码</w:t>
            </w:r>
          </w:p>
        </w:tc>
        <w:tc>
          <w:tcPr>
            <w:tcW w:w="5103" w:type="dxa"/>
            <w:gridSpan w:val="2"/>
            <w:vAlign w:val="center"/>
          </w:tcPr>
          <w:p w14:paraId="1F488A25">
            <w:pPr>
              <w:pStyle w:val="13"/>
            </w:pPr>
            <w:r>
              <w:t>13052524P00000610634N</w:t>
            </w:r>
          </w:p>
        </w:tc>
        <w:tc>
          <w:tcPr>
            <w:tcW w:w="2835" w:type="dxa"/>
            <w:vAlign w:val="center"/>
          </w:tcPr>
          <w:p w14:paraId="3598D541">
            <w:pPr>
              <w:pStyle w:val="11"/>
            </w:pPr>
            <w:r>
              <w:t>项目名称</w:t>
            </w:r>
          </w:p>
        </w:tc>
        <w:tc>
          <w:tcPr>
            <w:tcW w:w="6095" w:type="dxa"/>
            <w:gridSpan w:val="3"/>
            <w:vAlign w:val="center"/>
          </w:tcPr>
          <w:p w14:paraId="757DE2C9">
            <w:pPr>
              <w:pStyle w:val="13"/>
            </w:pPr>
            <w:r>
              <w:t>冀财教[2023]163号/省级/2024年义教补助资金/智信小学公用经费</w:t>
            </w:r>
            <w:r>
              <w:tab/>
            </w:r>
            <w:r>
              <w:tab/>
            </w:r>
            <w:r>
              <w:tab/>
            </w:r>
          </w:p>
        </w:tc>
      </w:tr>
      <w:tr w14:paraId="3C9FC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ED11E">
            <w:pPr>
              <w:pStyle w:val="11"/>
            </w:pPr>
            <w:r>
              <w:t>预算规模及资金用途</w:t>
            </w:r>
          </w:p>
        </w:tc>
        <w:tc>
          <w:tcPr>
            <w:tcW w:w="2268" w:type="dxa"/>
            <w:vAlign w:val="center"/>
          </w:tcPr>
          <w:p w14:paraId="2C043583">
            <w:pPr>
              <w:pStyle w:val="11"/>
            </w:pPr>
            <w:r>
              <w:t>预算数</w:t>
            </w:r>
          </w:p>
        </w:tc>
        <w:tc>
          <w:tcPr>
            <w:tcW w:w="2835" w:type="dxa"/>
            <w:vAlign w:val="center"/>
          </w:tcPr>
          <w:p w14:paraId="009B70B3">
            <w:pPr>
              <w:pStyle w:val="13"/>
            </w:pPr>
            <w:r>
              <w:t>12.53</w:t>
            </w:r>
          </w:p>
        </w:tc>
        <w:tc>
          <w:tcPr>
            <w:tcW w:w="2835" w:type="dxa"/>
            <w:vAlign w:val="center"/>
          </w:tcPr>
          <w:p w14:paraId="3BBD8086">
            <w:pPr>
              <w:pStyle w:val="11"/>
            </w:pPr>
            <w:r>
              <w:t>其中：财政    资金</w:t>
            </w:r>
          </w:p>
        </w:tc>
        <w:tc>
          <w:tcPr>
            <w:tcW w:w="2551" w:type="dxa"/>
            <w:vAlign w:val="center"/>
          </w:tcPr>
          <w:p w14:paraId="37FBBCBB">
            <w:pPr>
              <w:pStyle w:val="13"/>
            </w:pPr>
            <w:r>
              <w:t>12.53</w:t>
            </w:r>
          </w:p>
        </w:tc>
        <w:tc>
          <w:tcPr>
            <w:tcW w:w="2268" w:type="dxa"/>
            <w:vAlign w:val="center"/>
          </w:tcPr>
          <w:p w14:paraId="388914B4">
            <w:pPr>
              <w:pStyle w:val="11"/>
            </w:pPr>
            <w:r>
              <w:t>其他资金</w:t>
            </w:r>
          </w:p>
        </w:tc>
        <w:tc>
          <w:tcPr>
            <w:tcW w:w="1276" w:type="dxa"/>
            <w:vAlign w:val="center"/>
          </w:tcPr>
          <w:p w14:paraId="3A0F9E5C">
            <w:pPr>
              <w:pStyle w:val="13"/>
            </w:pPr>
            <w:r>
              <w:t xml:space="preserve"> </w:t>
            </w:r>
          </w:p>
        </w:tc>
      </w:tr>
      <w:tr w14:paraId="74196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29BA1188"/>
        </w:tc>
        <w:tc>
          <w:tcPr>
            <w:tcW w:w="14033" w:type="dxa"/>
            <w:gridSpan w:val="6"/>
            <w:vAlign w:val="center"/>
          </w:tcPr>
          <w:p w14:paraId="08695DD4">
            <w:pPr>
              <w:pStyle w:val="13"/>
            </w:pPr>
            <w:r>
              <w:t xml:space="preserve">保障义务教育学校正常运转，完成教育教学活动和其他日常工作任务等方面的费用支出。  </w:t>
            </w:r>
          </w:p>
        </w:tc>
      </w:tr>
      <w:tr w14:paraId="7FDBA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9F25F">
            <w:pPr>
              <w:pStyle w:val="11"/>
            </w:pPr>
            <w:r>
              <w:t>资金支出计划（%）</w:t>
            </w:r>
          </w:p>
        </w:tc>
        <w:tc>
          <w:tcPr>
            <w:tcW w:w="5103" w:type="dxa"/>
            <w:gridSpan w:val="2"/>
            <w:vAlign w:val="center"/>
          </w:tcPr>
          <w:p w14:paraId="3C9582C1">
            <w:pPr>
              <w:pStyle w:val="11"/>
            </w:pPr>
            <w:r>
              <w:t>3月底</w:t>
            </w:r>
          </w:p>
        </w:tc>
        <w:tc>
          <w:tcPr>
            <w:tcW w:w="2835" w:type="dxa"/>
            <w:vAlign w:val="center"/>
          </w:tcPr>
          <w:p w14:paraId="7CCE2407">
            <w:pPr>
              <w:pStyle w:val="11"/>
            </w:pPr>
            <w:r>
              <w:t>6月底</w:t>
            </w:r>
          </w:p>
        </w:tc>
        <w:tc>
          <w:tcPr>
            <w:tcW w:w="2551" w:type="dxa"/>
            <w:vAlign w:val="center"/>
          </w:tcPr>
          <w:p w14:paraId="333AA498">
            <w:pPr>
              <w:pStyle w:val="11"/>
            </w:pPr>
            <w:r>
              <w:t>10月底</w:t>
            </w:r>
          </w:p>
        </w:tc>
        <w:tc>
          <w:tcPr>
            <w:tcW w:w="3544" w:type="dxa"/>
            <w:gridSpan w:val="2"/>
            <w:vAlign w:val="center"/>
          </w:tcPr>
          <w:p w14:paraId="412D75C0">
            <w:pPr>
              <w:pStyle w:val="11"/>
            </w:pPr>
            <w:r>
              <w:t>12月底</w:t>
            </w:r>
          </w:p>
        </w:tc>
      </w:tr>
      <w:tr w14:paraId="1EB31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43A365"/>
        </w:tc>
        <w:tc>
          <w:tcPr>
            <w:tcW w:w="5103" w:type="dxa"/>
            <w:gridSpan w:val="2"/>
            <w:vAlign w:val="center"/>
          </w:tcPr>
          <w:p w14:paraId="4C02EF76">
            <w:pPr>
              <w:pStyle w:val="12"/>
            </w:pPr>
            <w:r>
              <w:t xml:space="preserve"> </w:t>
            </w:r>
          </w:p>
        </w:tc>
        <w:tc>
          <w:tcPr>
            <w:tcW w:w="2835" w:type="dxa"/>
            <w:vAlign w:val="center"/>
          </w:tcPr>
          <w:p w14:paraId="785BE83E">
            <w:pPr>
              <w:pStyle w:val="12"/>
            </w:pPr>
            <w:r>
              <w:t>100%</w:t>
            </w:r>
          </w:p>
        </w:tc>
        <w:tc>
          <w:tcPr>
            <w:tcW w:w="2551" w:type="dxa"/>
            <w:vAlign w:val="center"/>
          </w:tcPr>
          <w:p w14:paraId="550B6321">
            <w:pPr>
              <w:pStyle w:val="12"/>
            </w:pPr>
            <w:r>
              <w:t>100%</w:t>
            </w:r>
          </w:p>
        </w:tc>
        <w:tc>
          <w:tcPr>
            <w:tcW w:w="3544" w:type="dxa"/>
            <w:gridSpan w:val="2"/>
            <w:vAlign w:val="center"/>
          </w:tcPr>
          <w:p w14:paraId="57AFFB27">
            <w:pPr>
              <w:pStyle w:val="12"/>
            </w:pPr>
            <w:r>
              <w:t>100%</w:t>
            </w:r>
          </w:p>
        </w:tc>
      </w:tr>
      <w:tr w14:paraId="7E803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7E122">
            <w:pPr>
              <w:pStyle w:val="11"/>
            </w:pPr>
            <w:r>
              <w:t>绩效目标</w:t>
            </w:r>
          </w:p>
        </w:tc>
        <w:tc>
          <w:tcPr>
            <w:tcW w:w="14033" w:type="dxa"/>
            <w:gridSpan w:val="6"/>
            <w:vAlign w:val="center"/>
          </w:tcPr>
          <w:p w14:paraId="56752D33">
            <w:pPr>
              <w:pStyle w:val="13"/>
            </w:pPr>
            <w:r>
              <w:t xml:space="preserve">1.保障义务教育学校正常运转，完成教育教学活动和其他日常工作任务等方面的费用支出。  </w:t>
            </w:r>
          </w:p>
        </w:tc>
      </w:tr>
    </w:tbl>
    <w:p w14:paraId="3E1C1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8F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F189C">
            <w:pPr>
              <w:pStyle w:val="11"/>
            </w:pPr>
            <w:r>
              <w:t>一级指标</w:t>
            </w:r>
          </w:p>
        </w:tc>
        <w:tc>
          <w:tcPr>
            <w:tcW w:w="2268" w:type="dxa"/>
            <w:vAlign w:val="center"/>
          </w:tcPr>
          <w:p w14:paraId="54C35449">
            <w:pPr>
              <w:pStyle w:val="11"/>
            </w:pPr>
            <w:r>
              <w:t>二级指标</w:t>
            </w:r>
          </w:p>
        </w:tc>
        <w:tc>
          <w:tcPr>
            <w:tcW w:w="2835" w:type="dxa"/>
            <w:vAlign w:val="center"/>
          </w:tcPr>
          <w:p w14:paraId="3D271152">
            <w:pPr>
              <w:pStyle w:val="11"/>
            </w:pPr>
            <w:r>
              <w:t>三级指标</w:t>
            </w:r>
          </w:p>
        </w:tc>
        <w:tc>
          <w:tcPr>
            <w:tcW w:w="5386" w:type="dxa"/>
            <w:vAlign w:val="center"/>
          </w:tcPr>
          <w:p w14:paraId="07CB488A">
            <w:pPr>
              <w:pStyle w:val="11"/>
            </w:pPr>
            <w:r>
              <w:t>绩效指标描述</w:t>
            </w:r>
          </w:p>
        </w:tc>
        <w:tc>
          <w:tcPr>
            <w:tcW w:w="2268" w:type="dxa"/>
            <w:vAlign w:val="center"/>
          </w:tcPr>
          <w:p w14:paraId="0AB1BBB1">
            <w:pPr>
              <w:pStyle w:val="11"/>
            </w:pPr>
            <w:r>
              <w:t>指标值</w:t>
            </w:r>
          </w:p>
        </w:tc>
        <w:tc>
          <w:tcPr>
            <w:tcW w:w="1276" w:type="dxa"/>
            <w:vAlign w:val="center"/>
          </w:tcPr>
          <w:p w14:paraId="0AE6DACD">
            <w:pPr>
              <w:pStyle w:val="11"/>
            </w:pPr>
            <w:r>
              <w:t>指标值确定依据</w:t>
            </w:r>
          </w:p>
        </w:tc>
      </w:tr>
      <w:tr w14:paraId="29318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45EAF">
            <w:pPr>
              <w:pStyle w:val="12"/>
            </w:pPr>
            <w:r>
              <w:t>产出指标</w:t>
            </w:r>
          </w:p>
        </w:tc>
        <w:tc>
          <w:tcPr>
            <w:tcW w:w="2268" w:type="dxa"/>
            <w:vAlign w:val="center"/>
          </w:tcPr>
          <w:p w14:paraId="75128471">
            <w:pPr>
              <w:pStyle w:val="13"/>
            </w:pPr>
            <w:r>
              <w:t>数量指标</w:t>
            </w:r>
          </w:p>
        </w:tc>
        <w:tc>
          <w:tcPr>
            <w:tcW w:w="2835" w:type="dxa"/>
            <w:vAlign w:val="center"/>
          </w:tcPr>
          <w:p w14:paraId="071CF01E">
            <w:pPr>
              <w:pStyle w:val="13"/>
            </w:pPr>
            <w:r>
              <w:t>适龄在校生</w:t>
            </w:r>
          </w:p>
        </w:tc>
        <w:tc>
          <w:tcPr>
            <w:tcW w:w="5386" w:type="dxa"/>
            <w:vAlign w:val="center"/>
          </w:tcPr>
          <w:p w14:paraId="1511FCC7">
            <w:pPr>
              <w:pStyle w:val="13"/>
            </w:pPr>
            <w:r>
              <w:t>适龄在校就读学生人数</w:t>
            </w:r>
          </w:p>
        </w:tc>
        <w:tc>
          <w:tcPr>
            <w:tcW w:w="2268" w:type="dxa"/>
            <w:vAlign w:val="center"/>
          </w:tcPr>
          <w:p w14:paraId="1FF0043C">
            <w:pPr>
              <w:pStyle w:val="13"/>
            </w:pPr>
            <w:r>
              <w:t>314人</w:t>
            </w:r>
          </w:p>
        </w:tc>
        <w:tc>
          <w:tcPr>
            <w:tcW w:w="1276" w:type="dxa"/>
            <w:vAlign w:val="center"/>
          </w:tcPr>
          <w:p w14:paraId="199AC515">
            <w:pPr>
              <w:pStyle w:val="13"/>
            </w:pPr>
            <w:r>
              <w:t>城乡义务教育公用经费管理办法</w:t>
            </w:r>
          </w:p>
        </w:tc>
      </w:tr>
      <w:tr w14:paraId="23134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1DDC4"/>
        </w:tc>
        <w:tc>
          <w:tcPr>
            <w:tcW w:w="2268" w:type="dxa"/>
            <w:vAlign w:val="center"/>
          </w:tcPr>
          <w:p w14:paraId="1B4DCFE2">
            <w:pPr>
              <w:pStyle w:val="13"/>
            </w:pPr>
            <w:r>
              <w:t>质量指标</w:t>
            </w:r>
          </w:p>
        </w:tc>
        <w:tc>
          <w:tcPr>
            <w:tcW w:w="2835" w:type="dxa"/>
            <w:vAlign w:val="center"/>
          </w:tcPr>
          <w:p w14:paraId="209F3633">
            <w:pPr>
              <w:pStyle w:val="13"/>
            </w:pPr>
            <w:r>
              <w:t>预算控制率</w:t>
            </w:r>
          </w:p>
        </w:tc>
        <w:tc>
          <w:tcPr>
            <w:tcW w:w="5386" w:type="dxa"/>
            <w:vAlign w:val="center"/>
          </w:tcPr>
          <w:p w14:paraId="0E2BE034">
            <w:pPr>
              <w:pStyle w:val="13"/>
            </w:pPr>
            <w:r>
              <w:t>预算执行</w:t>
            </w:r>
          </w:p>
        </w:tc>
        <w:tc>
          <w:tcPr>
            <w:tcW w:w="2268" w:type="dxa"/>
            <w:vAlign w:val="center"/>
          </w:tcPr>
          <w:p w14:paraId="552306DF">
            <w:pPr>
              <w:pStyle w:val="13"/>
            </w:pPr>
            <w:r>
              <w:t>≥95%</w:t>
            </w:r>
          </w:p>
        </w:tc>
        <w:tc>
          <w:tcPr>
            <w:tcW w:w="1276" w:type="dxa"/>
            <w:vAlign w:val="center"/>
          </w:tcPr>
          <w:p w14:paraId="77AC295D">
            <w:pPr>
              <w:pStyle w:val="13"/>
            </w:pPr>
            <w:r>
              <w:t>城乡义务教育公用经费管理办法</w:t>
            </w:r>
          </w:p>
        </w:tc>
      </w:tr>
      <w:tr w14:paraId="746F5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AF77"/>
        </w:tc>
        <w:tc>
          <w:tcPr>
            <w:tcW w:w="2268" w:type="dxa"/>
            <w:vAlign w:val="center"/>
          </w:tcPr>
          <w:p w14:paraId="40407360">
            <w:pPr>
              <w:pStyle w:val="13"/>
            </w:pPr>
            <w:r>
              <w:t>时效指标</w:t>
            </w:r>
          </w:p>
        </w:tc>
        <w:tc>
          <w:tcPr>
            <w:tcW w:w="2835" w:type="dxa"/>
            <w:vAlign w:val="center"/>
          </w:tcPr>
          <w:p w14:paraId="0190000B">
            <w:pPr>
              <w:pStyle w:val="13"/>
            </w:pPr>
            <w:r>
              <w:t>资金支付率</w:t>
            </w:r>
          </w:p>
        </w:tc>
        <w:tc>
          <w:tcPr>
            <w:tcW w:w="5386" w:type="dxa"/>
            <w:vAlign w:val="center"/>
          </w:tcPr>
          <w:p w14:paraId="328944B6">
            <w:pPr>
              <w:pStyle w:val="13"/>
            </w:pPr>
            <w:r>
              <w:t>按照序时进度完成资金支付</w:t>
            </w:r>
          </w:p>
        </w:tc>
        <w:tc>
          <w:tcPr>
            <w:tcW w:w="2268" w:type="dxa"/>
            <w:vAlign w:val="center"/>
          </w:tcPr>
          <w:p w14:paraId="6B9CBA49">
            <w:pPr>
              <w:pStyle w:val="13"/>
            </w:pPr>
            <w:r>
              <w:t>≥100%</w:t>
            </w:r>
          </w:p>
        </w:tc>
        <w:tc>
          <w:tcPr>
            <w:tcW w:w="1276" w:type="dxa"/>
            <w:vAlign w:val="center"/>
          </w:tcPr>
          <w:p w14:paraId="41015432">
            <w:pPr>
              <w:pStyle w:val="13"/>
            </w:pPr>
            <w:r>
              <w:t>城乡义务教育公用经费管理办法</w:t>
            </w:r>
          </w:p>
        </w:tc>
      </w:tr>
      <w:tr w14:paraId="2799C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01958"/>
        </w:tc>
        <w:tc>
          <w:tcPr>
            <w:tcW w:w="2268" w:type="dxa"/>
            <w:vAlign w:val="center"/>
          </w:tcPr>
          <w:p w14:paraId="2FD50551">
            <w:pPr>
              <w:pStyle w:val="13"/>
            </w:pPr>
            <w:r>
              <w:t>成本指标</w:t>
            </w:r>
          </w:p>
        </w:tc>
        <w:tc>
          <w:tcPr>
            <w:tcW w:w="2835" w:type="dxa"/>
            <w:vAlign w:val="center"/>
          </w:tcPr>
          <w:p w14:paraId="6C04B211">
            <w:pPr>
              <w:pStyle w:val="13"/>
            </w:pPr>
            <w:r>
              <w:t>生均拨款标准</w:t>
            </w:r>
          </w:p>
        </w:tc>
        <w:tc>
          <w:tcPr>
            <w:tcW w:w="5386" w:type="dxa"/>
            <w:vAlign w:val="center"/>
          </w:tcPr>
          <w:p w14:paraId="1FD6BA2E">
            <w:pPr>
              <w:pStyle w:val="13"/>
            </w:pPr>
            <w:r>
              <w:t>小学：（基本标准720元、寄宿生300元、取暖120元）/生/学年；随班就读学生：标准6000元/生/学年。</w:t>
            </w:r>
          </w:p>
        </w:tc>
        <w:tc>
          <w:tcPr>
            <w:tcW w:w="2268" w:type="dxa"/>
            <w:vAlign w:val="center"/>
          </w:tcPr>
          <w:p w14:paraId="6E2BE8CB">
            <w:pPr>
              <w:pStyle w:val="13"/>
            </w:pPr>
            <w:r>
              <w:t>840元</w:t>
            </w:r>
          </w:p>
        </w:tc>
        <w:tc>
          <w:tcPr>
            <w:tcW w:w="1276" w:type="dxa"/>
            <w:vAlign w:val="center"/>
          </w:tcPr>
          <w:p w14:paraId="18A3A9D3">
            <w:pPr>
              <w:pStyle w:val="13"/>
            </w:pPr>
            <w:r>
              <w:t>城乡义务教育公用经费管理办法</w:t>
            </w:r>
          </w:p>
        </w:tc>
      </w:tr>
      <w:tr w14:paraId="537AA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06723A">
            <w:pPr>
              <w:pStyle w:val="12"/>
            </w:pPr>
            <w:r>
              <w:t>效益指标</w:t>
            </w:r>
          </w:p>
        </w:tc>
        <w:tc>
          <w:tcPr>
            <w:tcW w:w="2268" w:type="dxa"/>
            <w:vAlign w:val="center"/>
          </w:tcPr>
          <w:p w14:paraId="58D7FDC1">
            <w:pPr>
              <w:pStyle w:val="13"/>
            </w:pPr>
            <w:r>
              <w:t>可持续影响指标</w:t>
            </w:r>
          </w:p>
        </w:tc>
        <w:tc>
          <w:tcPr>
            <w:tcW w:w="2835" w:type="dxa"/>
            <w:vAlign w:val="center"/>
          </w:tcPr>
          <w:p w14:paraId="33F11DCF">
            <w:pPr>
              <w:pStyle w:val="13"/>
            </w:pPr>
            <w:r>
              <w:t>教育发展水平明显好转</w:t>
            </w:r>
          </w:p>
        </w:tc>
        <w:tc>
          <w:tcPr>
            <w:tcW w:w="5386" w:type="dxa"/>
            <w:vAlign w:val="center"/>
          </w:tcPr>
          <w:p w14:paraId="57B37603">
            <w:pPr>
              <w:pStyle w:val="13"/>
            </w:pPr>
            <w:r>
              <w:t>学生受教育年限</w:t>
            </w:r>
          </w:p>
        </w:tc>
        <w:tc>
          <w:tcPr>
            <w:tcW w:w="2268" w:type="dxa"/>
            <w:vAlign w:val="center"/>
          </w:tcPr>
          <w:p w14:paraId="14591209">
            <w:pPr>
              <w:pStyle w:val="13"/>
            </w:pPr>
            <w:r>
              <w:t>6年</w:t>
            </w:r>
          </w:p>
        </w:tc>
        <w:tc>
          <w:tcPr>
            <w:tcW w:w="1276" w:type="dxa"/>
            <w:vAlign w:val="center"/>
          </w:tcPr>
          <w:p w14:paraId="258005BD">
            <w:pPr>
              <w:pStyle w:val="13"/>
            </w:pPr>
            <w:r>
              <w:t>城乡义务教育公用经费管理办法</w:t>
            </w:r>
          </w:p>
        </w:tc>
      </w:tr>
      <w:tr w14:paraId="5EC3F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3F79E">
            <w:pPr>
              <w:pStyle w:val="12"/>
            </w:pPr>
            <w:r>
              <w:t>满意度指标</w:t>
            </w:r>
          </w:p>
        </w:tc>
        <w:tc>
          <w:tcPr>
            <w:tcW w:w="2268" w:type="dxa"/>
            <w:vAlign w:val="center"/>
          </w:tcPr>
          <w:p w14:paraId="640F684E">
            <w:pPr>
              <w:pStyle w:val="13"/>
            </w:pPr>
            <w:r>
              <w:t>服务对象满意度指标</w:t>
            </w:r>
          </w:p>
        </w:tc>
        <w:tc>
          <w:tcPr>
            <w:tcW w:w="2835" w:type="dxa"/>
            <w:vAlign w:val="center"/>
          </w:tcPr>
          <w:p w14:paraId="444478C9">
            <w:pPr>
              <w:pStyle w:val="13"/>
            </w:pPr>
            <w:r>
              <w:t>受益学生家长及调查满意度</w:t>
            </w:r>
          </w:p>
        </w:tc>
        <w:tc>
          <w:tcPr>
            <w:tcW w:w="5386" w:type="dxa"/>
            <w:vAlign w:val="center"/>
          </w:tcPr>
          <w:p w14:paraId="214CBF65">
            <w:pPr>
              <w:pStyle w:val="13"/>
            </w:pPr>
            <w:r>
              <w:t>学生、教师及家长对学校教育教学工作满意度情况</w:t>
            </w:r>
          </w:p>
        </w:tc>
        <w:tc>
          <w:tcPr>
            <w:tcW w:w="2268" w:type="dxa"/>
            <w:vAlign w:val="center"/>
          </w:tcPr>
          <w:p w14:paraId="26E09C26">
            <w:pPr>
              <w:pStyle w:val="13"/>
            </w:pPr>
            <w:r>
              <w:t>≥95%</w:t>
            </w:r>
          </w:p>
        </w:tc>
        <w:tc>
          <w:tcPr>
            <w:tcW w:w="1276" w:type="dxa"/>
            <w:vAlign w:val="center"/>
          </w:tcPr>
          <w:p w14:paraId="79CF126E">
            <w:pPr>
              <w:pStyle w:val="13"/>
            </w:pPr>
            <w:r>
              <w:t>调查问卷</w:t>
            </w:r>
          </w:p>
        </w:tc>
      </w:tr>
    </w:tbl>
    <w:p w14:paraId="0C0D93CA">
      <w:pPr>
        <w:sectPr>
          <w:pgSz w:w="16840" w:h="11900" w:orient="landscape"/>
          <w:pgMar w:top="1361" w:right="1020" w:bottom="1134" w:left="1020" w:header="720" w:footer="720" w:gutter="0"/>
          <w:cols w:space="720" w:num="1"/>
        </w:sectPr>
      </w:pPr>
    </w:p>
    <w:p w14:paraId="664568D7">
      <w:pPr>
        <w:spacing w:before="0" w:after="0"/>
        <w:ind w:firstLine="560"/>
        <w:jc w:val="left"/>
        <w:outlineLvl w:val="9"/>
      </w:pPr>
      <w:r>
        <w:rPr>
          <w:rFonts w:ascii="方正仿宋_GBK" w:hAnsi="方正仿宋_GBK" w:eastAsia="方正仿宋_GBK" w:cs="方正仿宋_GBK"/>
          <w:b/>
          <w:color w:val="000000"/>
          <w:sz w:val="28"/>
        </w:rPr>
        <w:t>23、冀财教[2023]163号/省级/2024年义教补助资金/滏阳小学公用经费绩效目标表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A3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497A5">
            <w:pPr>
              <w:pStyle w:val="14"/>
            </w:pPr>
            <w:r>
              <w:t>单位：万元</w:t>
            </w:r>
          </w:p>
        </w:tc>
      </w:tr>
      <w:tr w14:paraId="1123B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08CBA3">
            <w:pPr>
              <w:pStyle w:val="11"/>
            </w:pPr>
            <w:r>
              <w:t>项目编码</w:t>
            </w:r>
          </w:p>
        </w:tc>
        <w:tc>
          <w:tcPr>
            <w:tcW w:w="5103" w:type="dxa"/>
            <w:gridSpan w:val="2"/>
            <w:vAlign w:val="center"/>
          </w:tcPr>
          <w:p w14:paraId="301E689F">
            <w:pPr>
              <w:pStyle w:val="13"/>
            </w:pPr>
            <w:r>
              <w:t>13052524P000006106333</w:t>
            </w:r>
          </w:p>
        </w:tc>
        <w:tc>
          <w:tcPr>
            <w:tcW w:w="2835" w:type="dxa"/>
            <w:vAlign w:val="center"/>
          </w:tcPr>
          <w:p w14:paraId="28D594C1">
            <w:pPr>
              <w:pStyle w:val="11"/>
            </w:pPr>
            <w:r>
              <w:t>项目名称</w:t>
            </w:r>
          </w:p>
        </w:tc>
        <w:tc>
          <w:tcPr>
            <w:tcW w:w="6095" w:type="dxa"/>
            <w:gridSpan w:val="3"/>
            <w:vAlign w:val="center"/>
          </w:tcPr>
          <w:p w14:paraId="67192E8A">
            <w:pPr>
              <w:pStyle w:val="13"/>
            </w:pPr>
            <w:r>
              <w:t>冀财教[2023]163号/省级/2024年义教补助资金/滏阳小学公用经费</w:t>
            </w:r>
            <w:r>
              <w:tab/>
            </w:r>
            <w:r>
              <w:tab/>
            </w:r>
          </w:p>
        </w:tc>
      </w:tr>
      <w:tr w14:paraId="41326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CD08D">
            <w:pPr>
              <w:pStyle w:val="11"/>
            </w:pPr>
            <w:r>
              <w:t>预算规模及资金用途</w:t>
            </w:r>
          </w:p>
        </w:tc>
        <w:tc>
          <w:tcPr>
            <w:tcW w:w="2268" w:type="dxa"/>
            <w:vAlign w:val="center"/>
          </w:tcPr>
          <w:p w14:paraId="3D0511D4">
            <w:pPr>
              <w:pStyle w:val="11"/>
            </w:pPr>
            <w:r>
              <w:t>预算数</w:t>
            </w:r>
          </w:p>
        </w:tc>
        <w:tc>
          <w:tcPr>
            <w:tcW w:w="2835" w:type="dxa"/>
            <w:vAlign w:val="center"/>
          </w:tcPr>
          <w:p w14:paraId="47816C36">
            <w:pPr>
              <w:pStyle w:val="13"/>
            </w:pPr>
            <w:r>
              <w:t>27.05</w:t>
            </w:r>
          </w:p>
        </w:tc>
        <w:tc>
          <w:tcPr>
            <w:tcW w:w="2835" w:type="dxa"/>
            <w:vAlign w:val="center"/>
          </w:tcPr>
          <w:p w14:paraId="773D08F7">
            <w:pPr>
              <w:pStyle w:val="11"/>
            </w:pPr>
            <w:r>
              <w:t>其中：财政    资金</w:t>
            </w:r>
          </w:p>
        </w:tc>
        <w:tc>
          <w:tcPr>
            <w:tcW w:w="2551" w:type="dxa"/>
            <w:vAlign w:val="center"/>
          </w:tcPr>
          <w:p w14:paraId="4CA9A4D3">
            <w:pPr>
              <w:pStyle w:val="13"/>
            </w:pPr>
            <w:r>
              <w:t>27.05</w:t>
            </w:r>
          </w:p>
        </w:tc>
        <w:tc>
          <w:tcPr>
            <w:tcW w:w="2268" w:type="dxa"/>
            <w:vAlign w:val="center"/>
          </w:tcPr>
          <w:p w14:paraId="216083F6">
            <w:pPr>
              <w:pStyle w:val="11"/>
            </w:pPr>
            <w:r>
              <w:t>其他资金</w:t>
            </w:r>
          </w:p>
        </w:tc>
        <w:tc>
          <w:tcPr>
            <w:tcW w:w="1276" w:type="dxa"/>
            <w:vAlign w:val="center"/>
          </w:tcPr>
          <w:p w14:paraId="77315A1D">
            <w:pPr>
              <w:pStyle w:val="13"/>
            </w:pPr>
            <w:r>
              <w:t xml:space="preserve"> </w:t>
            </w:r>
          </w:p>
        </w:tc>
      </w:tr>
      <w:tr w14:paraId="1A37B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56389E"/>
        </w:tc>
        <w:tc>
          <w:tcPr>
            <w:tcW w:w="14033" w:type="dxa"/>
            <w:gridSpan w:val="6"/>
            <w:vAlign w:val="center"/>
          </w:tcPr>
          <w:p w14:paraId="31EF140D">
            <w:pPr>
              <w:pStyle w:val="13"/>
            </w:pPr>
            <w:r>
              <w:t>保障义务教育学校正常运转，完成教育教学活动和其他日常工作任务等方面的费用支出。</w:t>
            </w:r>
          </w:p>
        </w:tc>
      </w:tr>
      <w:tr w14:paraId="086E0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5048C">
            <w:pPr>
              <w:pStyle w:val="11"/>
            </w:pPr>
            <w:r>
              <w:t>资金支出计划（%）</w:t>
            </w:r>
          </w:p>
        </w:tc>
        <w:tc>
          <w:tcPr>
            <w:tcW w:w="5103" w:type="dxa"/>
            <w:gridSpan w:val="2"/>
            <w:vAlign w:val="center"/>
          </w:tcPr>
          <w:p w14:paraId="3F94DE67">
            <w:pPr>
              <w:pStyle w:val="11"/>
            </w:pPr>
            <w:r>
              <w:t>3月底</w:t>
            </w:r>
          </w:p>
        </w:tc>
        <w:tc>
          <w:tcPr>
            <w:tcW w:w="2835" w:type="dxa"/>
            <w:vAlign w:val="center"/>
          </w:tcPr>
          <w:p w14:paraId="375EDC29">
            <w:pPr>
              <w:pStyle w:val="11"/>
            </w:pPr>
            <w:r>
              <w:t>6月底</w:t>
            </w:r>
          </w:p>
        </w:tc>
        <w:tc>
          <w:tcPr>
            <w:tcW w:w="2551" w:type="dxa"/>
            <w:vAlign w:val="center"/>
          </w:tcPr>
          <w:p w14:paraId="1D449AF1">
            <w:pPr>
              <w:pStyle w:val="11"/>
            </w:pPr>
            <w:r>
              <w:t>10月底</w:t>
            </w:r>
          </w:p>
        </w:tc>
        <w:tc>
          <w:tcPr>
            <w:tcW w:w="3544" w:type="dxa"/>
            <w:gridSpan w:val="2"/>
            <w:vAlign w:val="center"/>
          </w:tcPr>
          <w:p w14:paraId="79B9E8A4">
            <w:pPr>
              <w:pStyle w:val="11"/>
            </w:pPr>
            <w:r>
              <w:t>12月底</w:t>
            </w:r>
          </w:p>
        </w:tc>
      </w:tr>
      <w:tr w14:paraId="04909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87F0F3"/>
        </w:tc>
        <w:tc>
          <w:tcPr>
            <w:tcW w:w="5103" w:type="dxa"/>
            <w:gridSpan w:val="2"/>
            <w:vAlign w:val="center"/>
          </w:tcPr>
          <w:p w14:paraId="598ED44F">
            <w:pPr>
              <w:pStyle w:val="12"/>
            </w:pPr>
            <w:r>
              <w:t xml:space="preserve"> </w:t>
            </w:r>
          </w:p>
        </w:tc>
        <w:tc>
          <w:tcPr>
            <w:tcW w:w="2835" w:type="dxa"/>
            <w:vAlign w:val="center"/>
          </w:tcPr>
          <w:p w14:paraId="203CF950">
            <w:pPr>
              <w:pStyle w:val="12"/>
            </w:pPr>
            <w:r>
              <w:t>100%</w:t>
            </w:r>
          </w:p>
        </w:tc>
        <w:tc>
          <w:tcPr>
            <w:tcW w:w="2551" w:type="dxa"/>
            <w:vAlign w:val="center"/>
          </w:tcPr>
          <w:p w14:paraId="4D207D30">
            <w:pPr>
              <w:pStyle w:val="12"/>
            </w:pPr>
            <w:r>
              <w:t>100%</w:t>
            </w:r>
          </w:p>
        </w:tc>
        <w:tc>
          <w:tcPr>
            <w:tcW w:w="3544" w:type="dxa"/>
            <w:gridSpan w:val="2"/>
            <w:vAlign w:val="center"/>
          </w:tcPr>
          <w:p w14:paraId="049FC0DD">
            <w:pPr>
              <w:pStyle w:val="12"/>
            </w:pPr>
            <w:r>
              <w:t>100%</w:t>
            </w:r>
          </w:p>
        </w:tc>
      </w:tr>
      <w:tr w14:paraId="3D80F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D66667">
            <w:pPr>
              <w:pStyle w:val="11"/>
            </w:pPr>
            <w:r>
              <w:t>绩效目标</w:t>
            </w:r>
          </w:p>
        </w:tc>
        <w:tc>
          <w:tcPr>
            <w:tcW w:w="14033" w:type="dxa"/>
            <w:gridSpan w:val="6"/>
            <w:vAlign w:val="center"/>
          </w:tcPr>
          <w:p w14:paraId="2AC87EE3">
            <w:pPr>
              <w:pStyle w:val="13"/>
            </w:pPr>
            <w:r>
              <w:t>1.保障义务教育学校正常运转，完成教育教学活动和其他日常工作任务等方面的费用支出。</w:t>
            </w:r>
          </w:p>
        </w:tc>
      </w:tr>
    </w:tbl>
    <w:p w14:paraId="21B8FC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72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896F1">
            <w:pPr>
              <w:pStyle w:val="11"/>
            </w:pPr>
            <w:r>
              <w:t>一级指标</w:t>
            </w:r>
          </w:p>
        </w:tc>
        <w:tc>
          <w:tcPr>
            <w:tcW w:w="2268" w:type="dxa"/>
            <w:vAlign w:val="center"/>
          </w:tcPr>
          <w:p w14:paraId="30194206">
            <w:pPr>
              <w:pStyle w:val="11"/>
            </w:pPr>
            <w:r>
              <w:t>二级指标</w:t>
            </w:r>
          </w:p>
        </w:tc>
        <w:tc>
          <w:tcPr>
            <w:tcW w:w="2835" w:type="dxa"/>
            <w:vAlign w:val="center"/>
          </w:tcPr>
          <w:p w14:paraId="0A37479D">
            <w:pPr>
              <w:pStyle w:val="11"/>
            </w:pPr>
            <w:r>
              <w:t>三级指标</w:t>
            </w:r>
          </w:p>
        </w:tc>
        <w:tc>
          <w:tcPr>
            <w:tcW w:w="5386" w:type="dxa"/>
            <w:vAlign w:val="center"/>
          </w:tcPr>
          <w:p w14:paraId="7D4A88F9">
            <w:pPr>
              <w:pStyle w:val="11"/>
            </w:pPr>
            <w:r>
              <w:t>绩效指标描述</w:t>
            </w:r>
          </w:p>
        </w:tc>
        <w:tc>
          <w:tcPr>
            <w:tcW w:w="2268" w:type="dxa"/>
            <w:vAlign w:val="center"/>
          </w:tcPr>
          <w:p w14:paraId="5C305F53">
            <w:pPr>
              <w:pStyle w:val="11"/>
            </w:pPr>
            <w:r>
              <w:t>指标值</w:t>
            </w:r>
          </w:p>
        </w:tc>
        <w:tc>
          <w:tcPr>
            <w:tcW w:w="1276" w:type="dxa"/>
            <w:vAlign w:val="center"/>
          </w:tcPr>
          <w:p w14:paraId="4FD87A96">
            <w:pPr>
              <w:pStyle w:val="11"/>
            </w:pPr>
            <w:r>
              <w:t>指标值确定依据</w:t>
            </w:r>
          </w:p>
        </w:tc>
      </w:tr>
      <w:tr w14:paraId="61377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BEC99">
            <w:pPr>
              <w:pStyle w:val="12"/>
            </w:pPr>
            <w:r>
              <w:t>产出指标</w:t>
            </w:r>
          </w:p>
        </w:tc>
        <w:tc>
          <w:tcPr>
            <w:tcW w:w="2268" w:type="dxa"/>
            <w:vAlign w:val="center"/>
          </w:tcPr>
          <w:p w14:paraId="52D88A6C">
            <w:pPr>
              <w:pStyle w:val="13"/>
            </w:pPr>
            <w:r>
              <w:t>数量指标</w:t>
            </w:r>
          </w:p>
        </w:tc>
        <w:tc>
          <w:tcPr>
            <w:tcW w:w="2835" w:type="dxa"/>
            <w:vAlign w:val="center"/>
          </w:tcPr>
          <w:p w14:paraId="45980F72">
            <w:pPr>
              <w:pStyle w:val="13"/>
            </w:pPr>
            <w:r>
              <w:t>适龄在校生</w:t>
            </w:r>
          </w:p>
        </w:tc>
        <w:tc>
          <w:tcPr>
            <w:tcW w:w="5386" w:type="dxa"/>
            <w:vAlign w:val="center"/>
          </w:tcPr>
          <w:p w14:paraId="339B2D24">
            <w:pPr>
              <w:pStyle w:val="13"/>
            </w:pPr>
            <w:r>
              <w:t>适龄在校就读学生人数</w:t>
            </w:r>
          </w:p>
        </w:tc>
        <w:tc>
          <w:tcPr>
            <w:tcW w:w="2268" w:type="dxa"/>
            <w:vAlign w:val="center"/>
          </w:tcPr>
          <w:p w14:paraId="5460E01D">
            <w:pPr>
              <w:pStyle w:val="13"/>
            </w:pPr>
            <w:r>
              <w:t>678人</w:t>
            </w:r>
          </w:p>
        </w:tc>
        <w:tc>
          <w:tcPr>
            <w:tcW w:w="1276" w:type="dxa"/>
            <w:vAlign w:val="center"/>
          </w:tcPr>
          <w:p w14:paraId="761D1779">
            <w:pPr>
              <w:pStyle w:val="13"/>
            </w:pPr>
            <w:r>
              <w:t>城乡义务教育公用经费管理办法</w:t>
            </w:r>
          </w:p>
        </w:tc>
      </w:tr>
      <w:tr w14:paraId="1D892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D75F3"/>
        </w:tc>
        <w:tc>
          <w:tcPr>
            <w:tcW w:w="2268" w:type="dxa"/>
            <w:vAlign w:val="center"/>
          </w:tcPr>
          <w:p w14:paraId="145ADB7D">
            <w:pPr>
              <w:pStyle w:val="13"/>
            </w:pPr>
            <w:r>
              <w:t>质量指标</w:t>
            </w:r>
          </w:p>
        </w:tc>
        <w:tc>
          <w:tcPr>
            <w:tcW w:w="2835" w:type="dxa"/>
            <w:vAlign w:val="center"/>
          </w:tcPr>
          <w:p w14:paraId="67AE99BB">
            <w:pPr>
              <w:pStyle w:val="13"/>
            </w:pPr>
            <w:r>
              <w:t>预算控制率</w:t>
            </w:r>
          </w:p>
        </w:tc>
        <w:tc>
          <w:tcPr>
            <w:tcW w:w="5386" w:type="dxa"/>
            <w:vAlign w:val="center"/>
          </w:tcPr>
          <w:p w14:paraId="57B706F7">
            <w:pPr>
              <w:pStyle w:val="13"/>
            </w:pPr>
            <w:r>
              <w:t>预算执行</w:t>
            </w:r>
          </w:p>
        </w:tc>
        <w:tc>
          <w:tcPr>
            <w:tcW w:w="2268" w:type="dxa"/>
            <w:vAlign w:val="center"/>
          </w:tcPr>
          <w:p w14:paraId="6B204DBA">
            <w:pPr>
              <w:pStyle w:val="13"/>
            </w:pPr>
            <w:r>
              <w:t>≥95%</w:t>
            </w:r>
          </w:p>
        </w:tc>
        <w:tc>
          <w:tcPr>
            <w:tcW w:w="1276" w:type="dxa"/>
            <w:vAlign w:val="center"/>
          </w:tcPr>
          <w:p w14:paraId="1C77B787">
            <w:pPr>
              <w:pStyle w:val="13"/>
            </w:pPr>
            <w:r>
              <w:t>城乡义务教育公用经费管理办法</w:t>
            </w:r>
          </w:p>
        </w:tc>
      </w:tr>
      <w:tr w14:paraId="72F96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4BF1B"/>
        </w:tc>
        <w:tc>
          <w:tcPr>
            <w:tcW w:w="2268" w:type="dxa"/>
            <w:vAlign w:val="center"/>
          </w:tcPr>
          <w:p w14:paraId="6EC29572">
            <w:pPr>
              <w:pStyle w:val="13"/>
            </w:pPr>
            <w:r>
              <w:t>时效指标</w:t>
            </w:r>
          </w:p>
        </w:tc>
        <w:tc>
          <w:tcPr>
            <w:tcW w:w="2835" w:type="dxa"/>
            <w:vAlign w:val="center"/>
          </w:tcPr>
          <w:p w14:paraId="68321EFE">
            <w:pPr>
              <w:pStyle w:val="13"/>
            </w:pPr>
            <w:r>
              <w:t>资金支付率</w:t>
            </w:r>
          </w:p>
        </w:tc>
        <w:tc>
          <w:tcPr>
            <w:tcW w:w="5386" w:type="dxa"/>
            <w:vAlign w:val="center"/>
          </w:tcPr>
          <w:p w14:paraId="093F843E">
            <w:pPr>
              <w:pStyle w:val="13"/>
            </w:pPr>
            <w:r>
              <w:t>按照序时进度完成资金支付</w:t>
            </w:r>
          </w:p>
        </w:tc>
        <w:tc>
          <w:tcPr>
            <w:tcW w:w="2268" w:type="dxa"/>
            <w:vAlign w:val="center"/>
          </w:tcPr>
          <w:p w14:paraId="64E61C64">
            <w:pPr>
              <w:pStyle w:val="13"/>
            </w:pPr>
            <w:r>
              <w:t>≥100%</w:t>
            </w:r>
          </w:p>
        </w:tc>
        <w:tc>
          <w:tcPr>
            <w:tcW w:w="1276" w:type="dxa"/>
            <w:vAlign w:val="center"/>
          </w:tcPr>
          <w:p w14:paraId="569D71A5">
            <w:pPr>
              <w:pStyle w:val="13"/>
            </w:pPr>
            <w:r>
              <w:t>城乡义务教育公用经费管理办法</w:t>
            </w:r>
          </w:p>
        </w:tc>
      </w:tr>
      <w:tr w14:paraId="1849E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84CB6"/>
        </w:tc>
        <w:tc>
          <w:tcPr>
            <w:tcW w:w="2268" w:type="dxa"/>
            <w:vAlign w:val="center"/>
          </w:tcPr>
          <w:p w14:paraId="1D5C97CF">
            <w:pPr>
              <w:pStyle w:val="13"/>
            </w:pPr>
            <w:r>
              <w:t>成本指标</w:t>
            </w:r>
          </w:p>
        </w:tc>
        <w:tc>
          <w:tcPr>
            <w:tcW w:w="2835" w:type="dxa"/>
            <w:vAlign w:val="center"/>
          </w:tcPr>
          <w:p w14:paraId="341F9163">
            <w:pPr>
              <w:pStyle w:val="13"/>
            </w:pPr>
            <w:r>
              <w:t>生均拨款标准</w:t>
            </w:r>
          </w:p>
        </w:tc>
        <w:tc>
          <w:tcPr>
            <w:tcW w:w="5386" w:type="dxa"/>
            <w:vAlign w:val="center"/>
          </w:tcPr>
          <w:p w14:paraId="4468893E">
            <w:pPr>
              <w:pStyle w:val="13"/>
            </w:pPr>
            <w:r>
              <w:t>初中：（基本标准940元、寄宿生300元、取暖120元）/生/学年；随班就读学生：标准6000元/生/学年。。</w:t>
            </w:r>
          </w:p>
        </w:tc>
        <w:tc>
          <w:tcPr>
            <w:tcW w:w="2268" w:type="dxa"/>
            <w:vAlign w:val="center"/>
          </w:tcPr>
          <w:p w14:paraId="7282D2B5">
            <w:pPr>
              <w:pStyle w:val="13"/>
            </w:pPr>
            <w:r>
              <w:t>1360元</w:t>
            </w:r>
          </w:p>
        </w:tc>
        <w:tc>
          <w:tcPr>
            <w:tcW w:w="1276" w:type="dxa"/>
            <w:vAlign w:val="center"/>
          </w:tcPr>
          <w:p w14:paraId="4C401FB6">
            <w:pPr>
              <w:pStyle w:val="13"/>
            </w:pPr>
            <w:r>
              <w:t>城乡义务教育公用经费管理办法</w:t>
            </w:r>
          </w:p>
        </w:tc>
      </w:tr>
      <w:tr w14:paraId="4F77C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993413">
            <w:pPr>
              <w:pStyle w:val="12"/>
            </w:pPr>
            <w:r>
              <w:t>效益指标</w:t>
            </w:r>
          </w:p>
        </w:tc>
        <w:tc>
          <w:tcPr>
            <w:tcW w:w="2268" w:type="dxa"/>
            <w:vAlign w:val="center"/>
          </w:tcPr>
          <w:p w14:paraId="45C7C98A">
            <w:pPr>
              <w:pStyle w:val="13"/>
            </w:pPr>
            <w:r>
              <w:t>可持续影响指标</w:t>
            </w:r>
          </w:p>
        </w:tc>
        <w:tc>
          <w:tcPr>
            <w:tcW w:w="2835" w:type="dxa"/>
            <w:vAlign w:val="center"/>
          </w:tcPr>
          <w:p w14:paraId="64FE03BA">
            <w:pPr>
              <w:pStyle w:val="13"/>
            </w:pPr>
            <w:r>
              <w:t>教育发展水平明显好转</w:t>
            </w:r>
          </w:p>
        </w:tc>
        <w:tc>
          <w:tcPr>
            <w:tcW w:w="5386" w:type="dxa"/>
            <w:vAlign w:val="center"/>
          </w:tcPr>
          <w:p w14:paraId="0F2419D9">
            <w:pPr>
              <w:pStyle w:val="13"/>
            </w:pPr>
            <w:r>
              <w:t>学生受教育年限</w:t>
            </w:r>
          </w:p>
        </w:tc>
        <w:tc>
          <w:tcPr>
            <w:tcW w:w="2268" w:type="dxa"/>
            <w:vAlign w:val="center"/>
          </w:tcPr>
          <w:p w14:paraId="26263497">
            <w:pPr>
              <w:pStyle w:val="13"/>
            </w:pPr>
            <w:r>
              <w:t>3年</w:t>
            </w:r>
          </w:p>
        </w:tc>
        <w:tc>
          <w:tcPr>
            <w:tcW w:w="1276" w:type="dxa"/>
            <w:vAlign w:val="center"/>
          </w:tcPr>
          <w:p w14:paraId="69EA0B3D">
            <w:pPr>
              <w:pStyle w:val="13"/>
            </w:pPr>
            <w:r>
              <w:t>城乡义务教育公用经费管理办法</w:t>
            </w:r>
          </w:p>
        </w:tc>
      </w:tr>
      <w:tr w14:paraId="07567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022DDE">
            <w:pPr>
              <w:pStyle w:val="12"/>
            </w:pPr>
            <w:r>
              <w:t>满意度指标</w:t>
            </w:r>
          </w:p>
        </w:tc>
        <w:tc>
          <w:tcPr>
            <w:tcW w:w="2268" w:type="dxa"/>
            <w:vAlign w:val="center"/>
          </w:tcPr>
          <w:p w14:paraId="474B7580">
            <w:pPr>
              <w:pStyle w:val="13"/>
            </w:pPr>
            <w:r>
              <w:t>服务对象满意度指标</w:t>
            </w:r>
          </w:p>
        </w:tc>
        <w:tc>
          <w:tcPr>
            <w:tcW w:w="2835" w:type="dxa"/>
            <w:vAlign w:val="center"/>
          </w:tcPr>
          <w:p w14:paraId="63E177EC">
            <w:pPr>
              <w:pStyle w:val="13"/>
            </w:pPr>
            <w:r>
              <w:t>受益学生家长及调查满意度</w:t>
            </w:r>
          </w:p>
        </w:tc>
        <w:tc>
          <w:tcPr>
            <w:tcW w:w="5386" w:type="dxa"/>
            <w:vAlign w:val="center"/>
          </w:tcPr>
          <w:p w14:paraId="445FACA0">
            <w:pPr>
              <w:pStyle w:val="13"/>
            </w:pPr>
            <w:r>
              <w:t>学生、教师及家长对学校教育教学工作满意度情况</w:t>
            </w:r>
          </w:p>
        </w:tc>
        <w:tc>
          <w:tcPr>
            <w:tcW w:w="2268" w:type="dxa"/>
            <w:vAlign w:val="center"/>
          </w:tcPr>
          <w:p w14:paraId="5CA84E2E">
            <w:pPr>
              <w:pStyle w:val="13"/>
            </w:pPr>
            <w:r>
              <w:t>≥95%</w:t>
            </w:r>
          </w:p>
        </w:tc>
        <w:tc>
          <w:tcPr>
            <w:tcW w:w="1276" w:type="dxa"/>
            <w:vAlign w:val="center"/>
          </w:tcPr>
          <w:p w14:paraId="4CDC2DA7">
            <w:pPr>
              <w:pStyle w:val="13"/>
            </w:pPr>
            <w:r>
              <w:t>调查问卷</w:t>
            </w:r>
          </w:p>
        </w:tc>
      </w:tr>
    </w:tbl>
    <w:p w14:paraId="719306C5">
      <w:pPr>
        <w:sectPr>
          <w:pgSz w:w="16840" w:h="11900" w:orient="landscape"/>
          <w:pgMar w:top="1361" w:right="1020" w:bottom="1134" w:left="1020" w:header="720" w:footer="720" w:gutter="0"/>
          <w:cols w:space="720" w:num="1"/>
        </w:sectPr>
      </w:pPr>
    </w:p>
    <w:p w14:paraId="728178D5">
      <w:pPr>
        <w:spacing w:before="0" w:after="0"/>
        <w:ind w:firstLine="560"/>
        <w:jc w:val="left"/>
        <w:outlineLvl w:val="9"/>
      </w:pPr>
      <w:r>
        <w:rPr>
          <w:rFonts w:ascii="方正仿宋_GBK" w:hAnsi="方正仿宋_GBK" w:eastAsia="方正仿宋_GBK" w:cs="方正仿宋_GBK"/>
          <w:b/>
          <w:color w:val="000000"/>
          <w:sz w:val="28"/>
        </w:rPr>
        <w:t>24、冀财教[2024]121号/中央/2025年学前发展资金/民办普惠园学前教育幼儿资助绩效目标表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C4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7CB83">
            <w:pPr>
              <w:pStyle w:val="14"/>
            </w:pPr>
            <w:r>
              <w:t>单位：万元</w:t>
            </w:r>
          </w:p>
        </w:tc>
      </w:tr>
      <w:tr w14:paraId="5CE78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0B5CE">
            <w:pPr>
              <w:pStyle w:val="11"/>
            </w:pPr>
            <w:r>
              <w:t>项目编码</w:t>
            </w:r>
          </w:p>
        </w:tc>
        <w:tc>
          <w:tcPr>
            <w:tcW w:w="5103" w:type="dxa"/>
            <w:gridSpan w:val="2"/>
            <w:vAlign w:val="center"/>
          </w:tcPr>
          <w:p w14:paraId="7D2FFF1F">
            <w:pPr>
              <w:pStyle w:val="13"/>
            </w:pPr>
            <w:r>
              <w:t>13052525P000002100481</w:t>
            </w:r>
          </w:p>
        </w:tc>
        <w:tc>
          <w:tcPr>
            <w:tcW w:w="2835" w:type="dxa"/>
            <w:vAlign w:val="center"/>
          </w:tcPr>
          <w:p w14:paraId="6EDF1598">
            <w:pPr>
              <w:pStyle w:val="11"/>
            </w:pPr>
            <w:r>
              <w:t>项目名称</w:t>
            </w:r>
          </w:p>
        </w:tc>
        <w:tc>
          <w:tcPr>
            <w:tcW w:w="6095" w:type="dxa"/>
            <w:gridSpan w:val="3"/>
            <w:vAlign w:val="center"/>
          </w:tcPr>
          <w:p w14:paraId="458D2810">
            <w:pPr>
              <w:pStyle w:val="13"/>
            </w:pPr>
            <w:r>
              <w:t>冀财教[2024]121号/中央/2025年学前发展资金/民办普惠园学前教育幼儿资助</w:t>
            </w:r>
          </w:p>
        </w:tc>
      </w:tr>
      <w:tr w14:paraId="4E614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6E51806E">
            <w:pPr>
              <w:pStyle w:val="11"/>
            </w:pPr>
            <w:r>
              <w:t>预算规模及资金用途</w:t>
            </w:r>
          </w:p>
        </w:tc>
        <w:tc>
          <w:tcPr>
            <w:tcW w:w="2268" w:type="dxa"/>
            <w:vAlign w:val="center"/>
          </w:tcPr>
          <w:p w14:paraId="3E42BC37">
            <w:pPr>
              <w:pStyle w:val="11"/>
            </w:pPr>
            <w:r>
              <w:t>预算数</w:t>
            </w:r>
          </w:p>
        </w:tc>
        <w:tc>
          <w:tcPr>
            <w:tcW w:w="2835" w:type="dxa"/>
            <w:vAlign w:val="center"/>
          </w:tcPr>
          <w:p w14:paraId="1A6F9A30">
            <w:pPr>
              <w:pStyle w:val="13"/>
            </w:pPr>
            <w:r>
              <w:t>15.90</w:t>
            </w:r>
          </w:p>
        </w:tc>
        <w:tc>
          <w:tcPr>
            <w:tcW w:w="2835" w:type="dxa"/>
            <w:vAlign w:val="center"/>
          </w:tcPr>
          <w:p w14:paraId="03B93A00">
            <w:pPr>
              <w:pStyle w:val="11"/>
            </w:pPr>
            <w:r>
              <w:t>其中：财政    资金</w:t>
            </w:r>
          </w:p>
        </w:tc>
        <w:tc>
          <w:tcPr>
            <w:tcW w:w="2551" w:type="dxa"/>
            <w:vAlign w:val="center"/>
          </w:tcPr>
          <w:p w14:paraId="4D408E66">
            <w:pPr>
              <w:pStyle w:val="13"/>
            </w:pPr>
            <w:r>
              <w:t>15.90</w:t>
            </w:r>
          </w:p>
        </w:tc>
        <w:tc>
          <w:tcPr>
            <w:tcW w:w="2268" w:type="dxa"/>
            <w:vAlign w:val="center"/>
          </w:tcPr>
          <w:p w14:paraId="22A047CF">
            <w:pPr>
              <w:pStyle w:val="11"/>
            </w:pPr>
            <w:r>
              <w:t>其他资金</w:t>
            </w:r>
          </w:p>
        </w:tc>
        <w:tc>
          <w:tcPr>
            <w:tcW w:w="1276" w:type="dxa"/>
            <w:vAlign w:val="center"/>
          </w:tcPr>
          <w:p w14:paraId="66979F24">
            <w:pPr>
              <w:pStyle w:val="13"/>
            </w:pPr>
            <w:r>
              <w:t xml:space="preserve"> </w:t>
            </w:r>
          </w:p>
        </w:tc>
      </w:tr>
      <w:tr w14:paraId="487D0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AB473"/>
        </w:tc>
        <w:tc>
          <w:tcPr>
            <w:tcW w:w="14033" w:type="dxa"/>
            <w:gridSpan w:val="6"/>
            <w:vAlign w:val="center"/>
          </w:tcPr>
          <w:p w14:paraId="18965D24">
            <w:pPr>
              <w:pStyle w:val="13"/>
            </w:pPr>
            <w:r>
              <w:t>保障落实建档立卡及家庭经济困难儿童资助所需资金，确保建档立卡等家庭经济困难幼儿优先获得资助</w:t>
            </w:r>
          </w:p>
        </w:tc>
      </w:tr>
      <w:tr w14:paraId="3455A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C2D10">
            <w:pPr>
              <w:pStyle w:val="11"/>
            </w:pPr>
            <w:r>
              <w:t>资金支出计划（%）</w:t>
            </w:r>
          </w:p>
        </w:tc>
        <w:tc>
          <w:tcPr>
            <w:tcW w:w="5103" w:type="dxa"/>
            <w:gridSpan w:val="2"/>
            <w:vAlign w:val="center"/>
          </w:tcPr>
          <w:p w14:paraId="1C0A7566">
            <w:pPr>
              <w:pStyle w:val="11"/>
            </w:pPr>
            <w:r>
              <w:t>3月底</w:t>
            </w:r>
          </w:p>
        </w:tc>
        <w:tc>
          <w:tcPr>
            <w:tcW w:w="2835" w:type="dxa"/>
            <w:vAlign w:val="center"/>
          </w:tcPr>
          <w:p w14:paraId="023836C2">
            <w:pPr>
              <w:pStyle w:val="11"/>
            </w:pPr>
            <w:r>
              <w:t>6月底</w:t>
            </w:r>
          </w:p>
        </w:tc>
        <w:tc>
          <w:tcPr>
            <w:tcW w:w="2551" w:type="dxa"/>
            <w:vAlign w:val="center"/>
          </w:tcPr>
          <w:p w14:paraId="7773207E">
            <w:pPr>
              <w:pStyle w:val="11"/>
            </w:pPr>
            <w:r>
              <w:t>10月底</w:t>
            </w:r>
          </w:p>
        </w:tc>
        <w:tc>
          <w:tcPr>
            <w:tcW w:w="3544" w:type="dxa"/>
            <w:gridSpan w:val="2"/>
            <w:vAlign w:val="center"/>
          </w:tcPr>
          <w:p w14:paraId="4B3DE7A8">
            <w:pPr>
              <w:pStyle w:val="11"/>
            </w:pPr>
            <w:r>
              <w:t>12月底</w:t>
            </w:r>
          </w:p>
        </w:tc>
      </w:tr>
      <w:tr w14:paraId="12B90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22D695"/>
        </w:tc>
        <w:tc>
          <w:tcPr>
            <w:tcW w:w="5103" w:type="dxa"/>
            <w:gridSpan w:val="2"/>
            <w:vAlign w:val="center"/>
          </w:tcPr>
          <w:p w14:paraId="1A416DD3">
            <w:pPr>
              <w:pStyle w:val="12"/>
            </w:pPr>
            <w:r>
              <w:t xml:space="preserve"> </w:t>
            </w:r>
          </w:p>
        </w:tc>
        <w:tc>
          <w:tcPr>
            <w:tcW w:w="2835" w:type="dxa"/>
            <w:vAlign w:val="center"/>
          </w:tcPr>
          <w:p w14:paraId="59F7B30B">
            <w:pPr>
              <w:pStyle w:val="12"/>
            </w:pPr>
            <w:r>
              <w:t>50%</w:t>
            </w:r>
          </w:p>
        </w:tc>
        <w:tc>
          <w:tcPr>
            <w:tcW w:w="2551" w:type="dxa"/>
            <w:vAlign w:val="center"/>
          </w:tcPr>
          <w:p w14:paraId="6D2C0628">
            <w:pPr>
              <w:pStyle w:val="12"/>
            </w:pPr>
            <w:r>
              <w:t>75%</w:t>
            </w:r>
          </w:p>
        </w:tc>
        <w:tc>
          <w:tcPr>
            <w:tcW w:w="3544" w:type="dxa"/>
            <w:gridSpan w:val="2"/>
            <w:vAlign w:val="center"/>
          </w:tcPr>
          <w:p w14:paraId="11EA0231">
            <w:pPr>
              <w:pStyle w:val="12"/>
            </w:pPr>
            <w:r>
              <w:t>100%</w:t>
            </w:r>
          </w:p>
        </w:tc>
      </w:tr>
      <w:tr w14:paraId="1D3BC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084BB">
            <w:pPr>
              <w:pStyle w:val="11"/>
            </w:pPr>
            <w:r>
              <w:t>绩效目标</w:t>
            </w:r>
          </w:p>
        </w:tc>
        <w:tc>
          <w:tcPr>
            <w:tcW w:w="14033" w:type="dxa"/>
            <w:gridSpan w:val="6"/>
            <w:vAlign w:val="center"/>
          </w:tcPr>
          <w:p w14:paraId="106248E1">
            <w:pPr>
              <w:pStyle w:val="13"/>
            </w:pPr>
            <w:r>
              <w:t>1.保障落实建档立卡及家庭经济困难儿童资助所需资金，确保建档立卡等家庭经济困难幼儿优先获得资助</w:t>
            </w:r>
          </w:p>
        </w:tc>
      </w:tr>
    </w:tbl>
    <w:p w14:paraId="4612E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9D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34606">
            <w:pPr>
              <w:pStyle w:val="11"/>
            </w:pPr>
            <w:r>
              <w:t>一级指标</w:t>
            </w:r>
          </w:p>
        </w:tc>
        <w:tc>
          <w:tcPr>
            <w:tcW w:w="2268" w:type="dxa"/>
            <w:vAlign w:val="center"/>
          </w:tcPr>
          <w:p w14:paraId="3A9DD47C">
            <w:pPr>
              <w:pStyle w:val="11"/>
            </w:pPr>
            <w:r>
              <w:t>二级指标</w:t>
            </w:r>
          </w:p>
        </w:tc>
        <w:tc>
          <w:tcPr>
            <w:tcW w:w="2835" w:type="dxa"/>
            <w:vAlign w:val="center"/>
          </w:tcPr>
          <w:p w14:paraId="7B6EC8E6">
            <w:pPr>
              <w:pStyle w:val="11"/>
            </w:pPr>
            <w:r>
              <w:t>三级指标</w:t>
            </w:r>
          </w:p>
        </w:tc>
        <w:tc>
          <w:tcPr>
            <w:tcW w:w="5386" w:type="dxa"/>
            <w:vAlign w:val="center"/>
          </w:tcPr>
          <w:p w14:paraId="263786BE">
            <w:pPr>
              <w:pStyle w:val="11"/>
            </w:pPr>
            <w:r>
              <w:t>绩效指标描述</w:t>
            </w:r>
          </w:p>
        </w:tc>
        <w:tc>
          <w:tcPr>
            <w:tcW w:w="2268" w:type="dxa"/>
            <w:vAlign w:val="center"/>
          </w:tcPr>
          <w:p w14:paraId="28E73B5C">
            <w:pPr>
              <w:pStyle w:val="11"/>
            </w:pPr>
            <w:r>
              <w:t>指标值</w:t>
            </w:r>
          </w:p>
        </w:tc>
        <w:tc>
          <w:tcPr>
            <w:tcW w:w="1276" w:type="dxa"/>
            <w:vAlign w:val="center"/>
          </w:tcPr>
          <w:p w14:paraId="09A3C2B1">
            <w:pPr>
              <w:pStyle w:val="11"/>
            </w:pPr>
            <w:r>
              <w:t>指标值确定依据</w:t>
            </w:r>
          </w:p>
        </w:tc>
      </w:tr>
      <w:tr w14:paraId="09EDF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7D93F">
            <w:pPr>
              <w:pStyle w:val="12"/>
            </w:pPr>
            <w:r>
              <w:t>产出指标</w:t>
            </w:r>
          </w:p>
        </w:tc>
        <w:tc>
          <w:tcPr>
            <w:tcW w:w="2268" w:type="dxa"/>
            <w:vAlign w:val="center"/>
          </w:tcPr>
          <w:p w14:paraId="7E548E2C">
            <w:pPr>
              <w:pStyle w:val="13"/>
            </w:pPr>
            <w:r>
              <w:t>数量指标</w:t>
            </w:r>
          </w:p>
        </w:tc>
        <w:tc>
          <w:tcPr>
            <w:tcW w:w="2835" w:type="dxa"/>
            <w:vAlign w:val="center"/>
          </w:tcPr>
          <w:p w14:paraId="53868083">
            <w:pPr>
              <w:pStyle w:val="13"/>
            </w:pPr>
            <w:r>
              <w:t>普惠园幼儿资助资金</w:t>
            </w:r>
          </w:p>
        </w:tc>
        <w:tc>
          <w:tcPr>
            <w:tcW w:w="5386" w:type="dxa"/>
            <w:vAlign w:val="center"/>
          </w:tcPr>
          <w:p w14:paraId="0F1EEB7B">
            <w:pPr>
              <w:pStyle w:val="13"/>
            </w:pPr>
            <w:r>
              <w:t>按学前适龄在园儿童10%测算</w:t>
            </w:r>
          </w:p>
        </w:tc>
        <w:tc>
          <w:tcPr>
            <w:tcW w:w="2268" w:type="dxa"/>
            <w:vAlign w:val="center"/>
          </w:tcPr>
          <w:p w14:paraId="40FEBEDC">
            <w:pPr>
              <w:pStyle w:val="13"/>
            </w:pPr>
            <w:r>
              <w:t>159000元</w:t>
            </w:r>
          </w:p>
        </w:tc>
        <w:tc>
          <w:tcPr>
            <w:tcW w:w="1276" w:type="dxa"/>
            <w:vAlign w:val="center"/>
          </w:tcPr>
          <w:p w14:paraId="5E0E0E33">
            <w:pPr>
              <w:pStyle w:val="13"/>
            </w:pPr>
            <w:r>
              <w:t>幼儿资助经费管理办法</w:t>
            </w:r>
          </w:p>
        </w:tc>
      </w:tr>
      <w:tr w14:paraId="25FA3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388109F8"/>
        </w:tc>
        <w:tc>
          <w:tcPr>
            <w:tcW w:w="2268" w:type="dxa"/>
            <w:vAlign w:val="center"/>
          </w:tcPr>
          <w:p w14:paraId="472A2C2C">
            <w:pPr>
              <w:pStyle w:val="13"/>
            </w:pPr>
            <w:r>
              <w:t>质量指标</w:t>
            </w:r>
          </w:p>
        </w:tc>
        <w:tc>
          <w:tcPr>
            <w:tcW w:w="2835" w:type="dxa"/>
            <w:vAlign w:val="center"/>
          </w:tcPr>
          <w:p w14:paraId="0466AF10">
            <w:pPr>
              <w:pStyle w:val="13"/>
            </w:pPr>
            <w:r>
              <w:t>学前教育资助制度落实情况</w:t>
            </w:r>
          </w:p>
        </w:tc>
        <w:tc>
          <w:tcPr>
            <w:tcW w:w="5386" w:type="dxa"/>
            <w:vAlign w:val="center"/>
          </w:tcPr>
          <w:p w14:paraId="5CA51E5D">
            <w:pPr>
              <w:pStyle w:val="13"/>
            </w:pPr>
            <w:r>
              <w:t>符合享受资助条件的学生应助尽助</w:t>
            </w:r>
          </w:p>
        </w:tc>
        <w:tc>
          <w:tcPr>
            <w:tcW w:w="2268" w:type="dxa"/>
            <w:vAlign w:val="center"/>
          </w:tcPr>
          <w:p w14:paraId="1523C9CE">
            <w:pPr>
              <w:pStyle w:val="13"/>
            </w:pPr>
            <w:r>
              <w:t>265人</w:t>
            </w:r>
          </w:p>
        </w:tc>
        <w:tc>
          <w:tcPr>
            <w:tcW w:w="1276" w:type="dxa"/>
            <w:vAlign w:val="center"/>
          </w:tcPr>
          <w:p w14:paraId="2DECEDBA">
            <w:pPr>
              <w:pStyle w:val="13"/>
            </w:pPr>
            <w:r>
              <w:t>幼儿资助经费管理办法</w:t>
            </w:r>
          </w:p>
        </w:tc>
      </w:tr>
      <w:tr w14:paraId="6E512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1B3FC"/>
        </w:tc>
        <w:tc>
          <w:tcPr>
            <w:tcW w:w="2268" w:type="dxa"/>
            <w:vAlign w:val="center"/>
          </w:tcPr>
          <w:p w14:paraId="67B28636">
            <w:pPr>
              <w:pStyle w:val="13"/>
            </w:pPr>
            <w:r>
              <w:t>时效指标</w:t>
            </w:r>
          </w:p>
        </w:tc>
        <w:tc>
          <w:tcPr>
            <w:tcW w:w="2835" w:type="dxa"/>
            <w:vAlign w:val="center"/>
          </w:tcPr>
          <w:p w14:paraId="6EE19293">
            <w:pPr>
              <w:pStyle w:val="13"/>
            </w:pPr>
            <w:r>
              <w:t>资金拨付率</w:t>
            </w:r>
          </w:p>
        </w:tc>
        <w:tc>
          <w:tcPr>
            <w:tcW w:w="5386" w:type="dxa"/>
            <w:vAlign w:val="center"/>
          </w:tcPr>
          <w:p w14:paraId="5F60B38F">
            <w:pPr>
              <w:pStyle w:val="13"/>
            </w:pPr>
            <w:r>
              <w:t>所有项目资金支付进度</w:t>
            </w:r>
          </w:p>
        </w:tc>
        <w:tc>
          <w:tcPr>
            <w:tcW w:w="2268" w:type="dxa"/>
            <w:vAlign w:val="center"/>
          </w:tcPr>
          <w:p w14:paraId="2A45DE32">
            <w:pPr>
              <w:pStyle w:val="13"/>
            </w:pPr>
            <w:r>
              <w:t>≥100%</w:t>
            </w:r>
          </w:p>
        </w:tc>
        <w:tc>
          <w:tcPr>
            <w:tcW w:w="1276" w:type="dxa"/>
            <w:vAlign w:val="center"/>
          </w:tcPr>
          <w:p w14:paraId="747E511A">
            <w:pPr>
              <w:pStyle w:val="13"/>
            </w:pPr>
            <w:r>
              <w:t>幼儿资助经费管理办法</w:t>
            </w:r>
          </w:p>
        </w:tc>
      </w:tr>
      <w:tr w14:paraId="56E05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A4600"/>
        </w:tc>
        <w:tc>
          <w:tcPr>
            <w:tcW w:w="2268" w:type="dxa"/>
            <w:vAlign w:val="center"/>
          </w:tcPr>
          <w:p w14:paraId="0033003F">
            <w:pPr>
              <w:pStyle w:val="13"/>
            </w:pPr>
            <w:r>
              <w:t>成本指标</w:t>
            </w:r>
          </w:p>
        </w:tc>
        <w:tc>
          <w:tcPr>
            <w:tcW w:w="2835" w:type="dxa"/>
            <w:vAlign w:val="center"/>
          </w:tcPr>
          <w:p w14:paraId="55CCA12D">
            <w:pPr>
              <w:pStyle w:val="13"/>
            </w:pPr>
            <w:r>
              <w:t>幼儿园资助标准</w:t>
            </w:r>
          </w:p>
        </w:tc>
        <w:tc>
          <w:tcPr>
            <w:tcW w:w="5386" w:type="dxa"/>
            <w:vAlign w:val="center"/>
          </w:tcPr>
          <w:p w14:paraId="2384B5A3">
            <w:pPr>
              <w:pStyle w:val="13"/>
            </w:pPr>
            <w:r>
              <w:t>按照幼儿园资助标准1000元/生/年</w:t>
            </w:r>
          </w:p>
          <w:p w14:paraId="653E6D20">
            <w:pPr>
              <w:pStyle w:val="13"/>
            </w:pPr>
          </w:p>
        </w:tc>
        <w:tc>
          <w:tcPr>
            <w:tcW w:w="2268" w:type="dxa"/>
            <w:vAlign w:val="center"/>
          </w:tcPr>
          <w:p w14:paraId="431717A4">
            <w:pPr>
              <w:pStyle w:val="13"/>
            </w:pPr>
            <w:r>
              <w:t>1000元/生/年</w:t>
            </w:r>
          </w:p>
        </w:tc>
        <w:tc>
          <w:tcPr>
            <w:tcW w:w="1276" w:type="dxa"/>
            <w:vAlign w:val="center"/>
          </w:tcPr>
          <w:p w14:paraId="43CFD489">
            <w:pPr>
              <w:pStyle w:val="13"/>
            </w:pPr>
            <w:r>
              <w:t>幼儿资助经费管理办法</w:t>
            </w:r>
          </w:p>
        </w:tc>
      </w:tr>
      <w:tr w14:paraId="2931D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59CBEA">
            <w:pPr>
              <w:pStyle w:val="12"/>
            </w:pPr>
            <w:r>
              <w:t>效益指标</w:t>
            </w:r>
          </w:p>
        </w:tc>
        <w:tc>
          <w:tcPr>
            <w:tcW w:w="2268" w:type="dxa"/>
            <w:vAlign w:val="center"/>
          </w:tcPr>
          <w:p w14:paraId="34BA3009">
            <w:pPr>
              <w:pStyle w:val="13"/>
            </w:pPr>
            <w:r>
              <w:t>可持续影响指标</w:t>
            </w:r>
          </w:p>
        </w:tc>
        <w:tc>
          <w:tcPr>
            <w:tcW w:w="2835" w:type="dxa"/>
            <w:vAlign w:val="center"/>
          </w:tcPr>
          <w:p w14:paraId="6DCBA1B3">
            <w:pPr>
              <w:pStyle w:val="13"/>
            </w:pPr>
            <w:r>
              <w:t>幼儿园运转</w:t>
            </w:r>
          </w:p>
        </w:tc>
        <w:tc>
          <w:tcPr>
            <w:tcW w:w="5386" w:type="dxa"/>
            <w:vAlign w:val="center"/>
          </w:tcPr>
          <w:p w14:paraId="152021C9">
            <w:pPr>
              <w:pStyle w:val="13"/>
            </w:pPr>
            <w:r>
              <w:t>幼儿受教育年限</w:t>
            </w:r>
          </w:p>
        </w:tc>
        <w:tc>
          <w:tcPr>
            <w:tcW w:w="2268" w:type="dxa"/>
            <w:vAlign w:val="center"/>
          </w:tcPr>
          <w:p w14:paraId="02DDD7AB">
            <w:pPr>
              <w:pStyle w:val="13"/>
            </w:pPr>
            <w:r>
              <w:t>3年</w:t>
            </w:r>
          </w:p>
        </w:tc>
        <w:tc>
          <w:tcPr>
            <w:tcW w:w="1276" w:type="dxa"/>
            <w:vAlign w:val="center"/>
          </w:tcPr>
          <w:p w14:paraId="738303B1">
            <w:pPr>
              <w:pStyle w:val="13"/>
            </w:pPr>
            <w:r>
              <w:t>幼儿资助经费管理办法</w:t>
            </w:r>
          </w:p>
        </w:tc>
      </w:tr>
      <w:tr w14:paraId="3C524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254108">
            <w:pPr>
              <w:pStyle w:val="12"/>
            </w:pPr>
            <w:r>
              <w:t>满意度指标</w:t>
            </w:r>
          </w:p>
        </w:tc>
        <w:tc>
          <w:tcPr>
            <w:tcW w:w="2268" w:type="dxa"/>
            <w:vAlign w:val="center"/>
          </w:tcPr>
          <w:p w14:paraId="32282C52">
            <w:pPr>
              <w:pStyle w:val="13"/>
            </w:pPr>
            <w:r>
              <w:t>服务对象满意度指标</w:t>
            </w:r>
          </w:p>
        </w:tc>
        <w:tc>
          <w:tcPr>
            <w:tcW w:w="2835" w:type="dxa"/>
            <w:vAlign w:val="center"/>
          </w:tcPr>
          <w:p w14:paraId="3BC74095">
            <w:pPr>
              <w:pStyle w:val="13"/>
            </w:pPr>
            <w:r>
              <w:t>受益幼儿家长及调查满意度</w:t>
            </w:r>
          </w:p>
        </w:tc>
        <w:tc>
          <w:tcPr>
            <w:tcW w:w="5386" w:type="dxa"/>
            <w:vAlign w:val="center"/>
          </w:tcPr>
          <w:p w14:paraId="52E0F66E">
            <w:pPr>
              <w:pStyle w:val="13"/>
            </w:pPr>
            <w:r>
              <w:t>学生、教师及家长对学校保教保育工作满意度情况</w:t>
            </w:r>
          </w:p>
        </w:tc>
        <w:tc>
          <w:tcPr>
            <w:tcW w:w="2268" w:type="dxa"/>
            <w:vAlign w:val="center"/>
          </w:tcPr>
          <w:p w14:paraId="51458EFB">
            <w:pPr>
              <w:pStyle w:val="13"/>
            </w:pPr>
            <w:r>
              <w:t>≥95%</w:t>
            </w:r>
          </w:p>
        </w:tc>
        <w:tc>
          <w:tcPr>
            <w:tcW w:w="1276" w:type="dxa"/>
            <w:vAlign w:val="center"/>
          </w:tcPr>
          <w:p w14:paraId="003180C5">
            <w:pPr>
              <w:pStyle w:val="13"/>
            </w:pPr>
            <w:r>
              <w:t>调查问卷</w:t>
            </w:r>
          </w:p>
        </w:tc>
      </w:tr>
    </w:tbl>
    <w:p w14:paraId="28E56272">
      <w:pPr>
        <w:sectPr>
          <w:pgSz w:w="16840" w:h="11900" w:orient="landscape"/>
          <w:pgMar w:top="1361" w:right="1020" w:bottom="1134" w:left="1020" w:header="720" w:footer="720" w:gutter="0"/>
          <w:cols w:space="720" w:num="1"/>
        </w:sectPr>
      </w:pPr>
    </w:p>
    <w:p w14:paraId="3EEE5DB5">
      <w:pPr>
        <w:spacing w:before="0" w:after="0"/>
        <w:ind w:firstLine="560"/>
        <w:jc w:val="left"/>
        <w:outlineLvl w:val="9"/>
      </w:pPr>
      <w:r>
        <w:rPr>
          <w:rFonts w:ascii="方正仿宋_GBK" w:hAnsi="方正仿宋_GBK" w:eastAsia="方正仿宋_GBK" w:cs="方正仿宋_GBK"/>
          <w:b/>
          <w:color w:val="000000"/>
          <w:sz w:val="28"/>
        </w:rPr>
        <w:t>25、冀财教[2024]123号/中央/2025年义教补助经费/家庭经济困难学生生活补助（初中）</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38177C5B">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BD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BCD69">
            <w:pPr>
              <w:pStyle w:val="14"/>
            </w:pPr>
            <w:r>
              <w:t>单位：万元</w:t>
            </w:r>
          </w:p>
        </w:tc>
      </w:tr>
      <w:tr w14:paraId="3DFB0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705481">
            <w:pPr>
              <w:pStyle w:val="11"/>
            </w:pPr>
            <w:r>
              <w:t>项目编码</w:t>
            </w:r>
          </w:p>
        </w:tc>
        <w:tc>
          <w:tcPr>
            <w:tcW w:w="5103" w:type="dxa"/>
            <w:gridSpan w:val="2"/>
            <w:vAlign w:val="center"/>
          </w:tcPr>
          <w:p w14:paraId="0E2163C3">
            <w:pPr>
              <w:pStyle w:val="13"/>
            </w:pPr>
            <w:r>
              <w:t>13052525P000010100110</w:t>
            </w:r>
          </w:p>
        </w:tc>
        <w:tc>
          <w:tcPr>
            <w:tcW w:w="2835" w:type="dxa"/>
            <w:vAlign w:val="center"/>
          </w:tcPr>
          <w:p w14:paraId="4A634ED0">
            <w:pPr>
              <w:pStyle w:val="11"/>
            </w:pPr>
            <w:r>
              <w:t>项目名称</w:t>
            </w:r>
          </w:p>
        </w:tc>
        <w:tc>
          <w:tcPr>
            <w:tcW w:w="6095" w:type="dxa"/>
            <w:gridSpan w:val="3"/>
            <w:vAlign w:val="center"/>
          </w:tcPr>
          <w:p w14:paraId="67A707F9">
            <w:pPr>
              <w:pStyle w:val="13"/>
            </w:pPr>
            <w:r>
              <w:t>冀财教[2024]123号/中央/2025年义教补助经费/家庭经济困难学生生活补助（初中）</w:t>
            </w:r>
            <w:r>
              <w:tab/>
            </w:r>
            <w:r>
              <w:tab/>
            </w:r>
          </w:p>
          <w:p w14:paraId="13BC67A0">
            <w:pPr>
              <w:pStyle w:val="13"/>
            </w:pPr>
          </w:p>
        </w:tc>
      </w:tr>
      <w:tr w14:paraId="21633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1B95D">
            <w:pPr>
              <w:pStyle w:val="11"/>
            </w:pPr>
            <w:r>
              <w:t>预算规模及资金用途</w:t>
            </w:r>
          </w:p>
        </w:tc>
        <w:tc>
          <w:tcPr>
            <w:tcW w:w="2268" w:type="dxa"/>
            <w:vAlign w:val="center"/>
          </w:tcPr>
          <w:p w14:paraId="152E9F48">
            <w:pPr>
              <w:pStyle w:val="11"/>
            </w:pPr>
            <w:r>
              <w:t>预算数</w:t>
            </w:r>
          </w:p>
        </w:tc>
        <w:tc>
          <w:tcPr>
            <w:tcW w:w="2835" w:type="dxa"/>
            <w:vAlign w:val="center"/>
          </w:tcPr>
          <w:p w14:paraId="71CD9B47">
            <w:pPr>
              <w:pStyle w:val="13"/>
            </w:pPr>
            <w:r>
              <w:t>227.00</w:t>
            </w:r>
          </w:p>
        </w:tc>
        <w:tc>
          <w:tcPr>
            <w:tcW w:w="2835" w:type="dxa"/>
            <w:vAlign w:val="center"/>
          </w:tcPr>
          <w:p w14:paraId="53503A04">
            <w:pPr>
              <w:pStyle w:val="11"/>
            </w:pPr>
            <w:r>
              <w:t>其中：财政    资金</w:t>
            </w:r>
          </w:p>
        </w:tc>
        <w:tc>
          <w:tcPr>
            <w:tcW w:w="2551" w:type="dxa"/>
            <w:vAlign w:val="center"/>
          </w:tcPr>
          <w:p w14:paraId="1A7AD112">
            <w:pPr>
              <w:pStyle w:val="13"/>
            </w:pPr>
            <w:r>
              <w:t>227.00</w:t>
            </w:r>
          </w:p>
        </w:tc>
        <w:tc>
          <w:tcPr>
            <w:tcW w:w="2268" w:type="dxa"/>
            <w:vAlign w:val="center"/>
          </w:tcPr>
          <w:p w14:paraId="14EF6D9D">
            <w:pPr>
              <w:pStyle w:val="11"/>
            </w:pPr>
            <w:r>
              <w:t>其他资金</w:t>
            </w:r>
          </w:p>
        </w:tc>
        <w:tc>
          <w:tcPr>
            <w:tcW w:w="1276" w:type="dxa"/>
            <w:vAlign w:val="center"/>
          </w:tcPr>
          <w:p w14:paraId="00E2FA6B">
            <w:pPr>
              <w:pStyle w:val="13"/>
            </w:pPr>
            <w:r>
              <w:t xml:space="preserve"> </w:t>
            </w:r>
          </w:p>
        </w:tc>
      </w:tr>
      <w:tr w14:paraId="052F2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73F8D06"/>
        </w:tc>
        <w:tc>
          <w:tcPr>
            <w:tcW w:w="14033" w:type="dxa"/>
            <w:gridSpan w:val="6"/>
            <w:vAlign w:val="center"/>
          </w:tcPr>
          <w:p w14:paraId="150BC873">
            <w:pPr>
              <w:pStyle w:val="13"/>
            </w:pPr>
            <w:r>
              <w:t>保障落实建档立卡及家庭经济困难学生资助所需资金，确保建档立卡等家庭经济困难学生优先获得资助</w:t>
            </w:r>
            <w:r>
              <w:tab/>
            </w:r>
            <w:r>
              <w:tab/>
            </w:r>
            <w:r>
              <w:tab/>
            </w:r>
            <w:r>
              <w:tab/>
            </w:r>
            <w:r>
              <w:tab/>
            </w:r>
            <w:r>
              <w:tab/>
            </w:r>
          </w:p>
          <w:p w14:paraId="4FA7E1FC">
            <w:pPr>
              <w:pStyle w:val="13"/>
            </w:pPr>
          </w:p>
        </w:tc>
      </w:tr>
      <w:tr w14:paraId="03022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B8A6A">
            <w:pPr>
              <w:pStyle w:val="11"/>
            </w:pPr>
            <w:r>
              <w:t>资金支出计划（%）</w:t>
            </w:r>
          </w:p>
        </w:tc>
        <w:tc>
          <w:tcPr>
            <w:tcW w:w="5103" w:type="dxa"/>
            <w:gridSpan w:val="2"/>
            <w:vAlign w:val="center"/>
          </w:tcPr>
          <w:p w14:paraId="589A7B83">
            <w:pPr>
              <w:pStyle w:val="11"/>
            </w:pPr>
            <w:r>
              <w:t>3月底</w:t>
            </w:r>
          </w:p>
        </w:tc>
        <w:tc>
          <w:tcPr>
            <w:tcW w:w="2835" w:type="dxa"/>
            <w:vAlign w:val="center"/>
          </w:tcPr>
          <w:p w14:paraId="5C5DCCF4">
            <w:pPr>
              <w:pStyle w:val="11"/>
            </w:pPr>
            <w:r>
              <w:t>6月底</w:t>
            </w:r>
          </w:p>
        </w:tc>
        <w:tc>
          <w:tcPr>
            <w:tcW w:w="2551" w:type="dxa"/>
            <w:vAlign w:val="center"/>
          </w:tcPr>
          <w:p w14:paraId="38500DBC">
            <w:pPr>
              <w:pStyle w:val="11"/>
            </w:pPr>
            <w:r>
              <w:t>10月底</w:t>
            </w:r>
          </w:p>
        </w:tc>
        <w:tc>
          <w:tcPr>
            <w:tcW w:w="3544" w:type="dxa"/>
            <w:gridSpan w:val="2"/>
            <w:vAlign w:val="center"/>
          </w:tcPr>
          <w:p w14:paraId="203C2176">
            <w:pPr>
              <w:pStyle w:val="11"/>
            </w:pPr>
            <w:r>
              <w:t>12月底</w:t>
            </w:r>
          </w:p>
        </w:tc>
      </w:tr>
      <w:tr w14:paraId="63C7A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0E77BD9"/>
        </w:tc>
        <w:tc>
          <w:tcPr>
            <w:tcW w:w="5103" w:type="dxa"/>
            <w:gridSpan w:val="2"/>
            <w:vAlign w:val="center"/>
          </w:tcPr>
          <w:p w14:paraId="213D6716">
            <w:pPr>
              <w:pStyle w:val="12"/>
            </w:pPr>
            <w:r>
              <w:t xml:space="preserve"> </w:t>
            </w:r>
          </w:p>
        </w:tc>
        <w:tc>
          <w:tcPr>
            <w:tcW w:w="2835" w:type="dxa"/>
            <w:vAlign w:val="center"/>
          </w:tcPr>
          <w:p w14:paraId="0384D38D">
            <w:pPr>
              <w:pStyle w:val="12"/>
            </w:pPr>
            <w:r>
              <w:t>50%</w:t>
            </w:r>
          </w:p>
        </w:tc>
        <w:tc>
          <w:tcPr>
            <w:tcW w:w="2551" w:type="dxa"/>
            <w:vAlign w:val="center"/>
          </w:tcPr>
          <w:p w14:paraId="036C19EE">
            <w:pPr>
              <w:pStyle w:val="12"/>
            </w:pPr>
            <w:r>
              <w:t>75%</w:t>
            </w:r>
          </w:p>
        </w:tc>
        <w:tc>
          <w:tcPr>
            <w:tcW w:w="3544" w:type="dxa"/>
            <w:gridSpan w:val="2"/>
            <w:vAlign w:val="center"/>
          </w:tcPr>
          <w:p w14:paraId="64E2CD7B">
            <w:pPr>
              <w:pStyle w:val="12"/>
            </w:pPr>
            <w:r>
              <w:t>100%</w:t>
            </w:r>
          </w:p>
        </w:tc>
      </w:tr>
      <w:tr w14:paraId="0DE3E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5C10D7">
            <w:pPr>
              <w:pStyle w:val="11"/>
            </w:pPr>
            <w:r>
              <w:t>绩效目标</w:t>
            </w:r>
          </w:p>
        </w:tc>
        <w:tc>
          <w:tcPr>
            <w:tcW w:w="14033" w:type="dxa"/>
            <w:gridSpan w:val="6"/>
            <w:vAlign w:val="center"/>
          </w:tcPr>
          <w:p w14:paraId="6F4CBA83">
            <w:pPr>
              <w:pStyle w:val="13"/>
            </w:pPr>
            <w:r>
              <w:t>1.保障落实建档立卡及家庭经济困难学生资助所需资金，确保建档立卡等家庭经济困难学生优先获得资助</w:t>
            </w:r>
          </w:p>
        </w:tc>
      </w:tr>
    </w:tbl>
    <w:p w14:paraId="0F9E2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CD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DB25F">
            <w:pPr>
              <w:pStyle w:val="11"/>
            </w:pPr>
            <w:r>
              <w:t>一级指标</w:t>
            </w:r>
          </w:p>
        </w:tc>
        <w:tc>
          <w:tcPr>
            <w:tcW w:w="2268" w:type="dxa"/>
            <w:vAlign w:val="center"/>
          </w:tcPr>
          <w:p w14:paraId="4BEE22C3">
            <w:pPr>
              <w:pStyle w:val="11"/>
            </w:pPr>
            <w:r>
              <w:t>二级指标</w:t>
            </w:r>
          </w:p>
        </w:tc>
        <w:tc>
          <w:tcPr>
            <w:tcW w:w="2835" w:type="dxa"/>
            <w:vAlign w:val="center"/>
          </w:tcPr>
          <w:p w14:paraId="3AB37824">
            <w:pPr>
              <w:pStyle w:val="11"/>
            </w:pPr>
            <w:r>
              <w:t>三级指标</w:t>
            </w:r>
          </w:p>
        </w:tc>
        <w:tc>
          <w:tcPr>
            <w:tcW w:w="5386" w:type="dxa"/>
            <w:vAlign w:val="center"/>
          </w:tcPr>
          <w:p w14:paraId="6F55A33B">
            <w:pPr>
              <w:pStyle w:val="11"/>
            </w:pPr>
            <w:r>
              <w:t>绩效指标描述</w:t>
            </w:r>
          </w:p>
        </w:tc>
        <w:tc>
          <w:tcPr>
            <w:tcW w:w="2268" w:type="dxa"/>
            <w:vAlign w:val="center"/>
          </w:tcPr>
          <w:p w14:paraId="4835B266">
            <w:pPr>
              <w:pStyle w:val="11"/>
            </w:pPr>
            <w:r>
              <w:t>指标值</w:t>
            </w:r>
          </w:p>
        </w:tc>
        <w:tc>
          <w:tcPr>
            <w:tcW w:w="1276" w:type="dxa"/>
            <w:vAlign w:val="center"/>
          </w:tcPr>
          <w:p w14:paraId="26AEF592">
            <w:pPr>
              <w:pStyle w:val="11"/>
            </w:pPr>
            <w:r>
              <w:t>指标值确定依据</w:t>
            </w:r>
          </w:p>
        </w:tc>
      </w:tr>
      <w:tr w14:paraId="43EF6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4E22B">
            <w:pPr>
              <w:pStyle w:val="12"/>
            </w:pPr>
            <w:r>
              <w:t>产出指标</w:t>
            </w:r>
          </w:p>
        </w:tc>
        <w:tc>
          <w:tcPr>
            <w:tcW w:w="2268" w:type="dxa"/>
            <w:vAlign w:val="center"/>
          </w:tcPr>
          <w:p w14:paraId="40A51818">
            <w:pPr>
              <w:pStyle w:val="13"/>
            </w:pPr>
            <w:r>
              <w:t>数量指标</w:t>
            </w:r>
          </w:p>
        </w:tc>
        <w:tc>
          <w:tcPr>
            <w:tcW w:w="2835" w:type="dxa"/>
            <w:vAlign w:val="center"/>
          </w:tcPr>
          <w:p w14:paraId="2BE3A576">
            <w:pPr>
              <w:pStyle w:val="13"/>
            </w:pPr>
            <w:r>
              <w:t>家庭经济困难资助比例</w:t>
            </w:r>
          </w:p>
        </w:tc>
        <w:tc>
          <w:tcPr>
            <w:tcW w:w="5386" w:type="dxa"/>
            <w:vAlign w:val="center"/>
          </w:tcPr>
          <w:p w14:paraId="66C0FBD2">
            <w:pPr>
              <w:pStyle w:val="13"/>
            </w:pPr>
            <w:r>
              <w:t>寄宿生按义教在校生15%测算，非寄宿生按义教在校生5%测算</w:t>
            </w:r>
          </w:p>
        </w:tc>
        <w:tc>
          <w:tcPr>
            <w:tcW w:w="2268" w:type="dxa"/>
            <w:vAlign w:val="center"/>
          </w:tcPr>
          <w:p w14:paraId="59ECD6A7">
            <w:pPr>
              <w:pStyle w:val="13"/>
            </w:pPr>
            <w:r>
              <w:t>2690人</w:t>
            </w:r>
          </w:p>
        </w:tc>
        <w:tc>
          <w:tcPr>
            <w:tcW w:w="1276" w:type="dxa"/>
            <w:vAlign w:val="center"/>
          </w:tcPr>
          <w:p w14:paraId="07B3354C">
            <w:pPr>
              <w:pStyle w:val="13"/>
            </w:pPr>
            <w:r>
              <w:t>城乡义务教育“两免一补”资助实施细则</w:t>
            </w:r>
          </w:p>
        </w:tc>
      </w:tr>
      <w:tr w14:paraId="51C41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EC59B"/>
        </w:tc>
        <w:tc>
          <w:tcPr>
            <w:tcW w:w="2268" w:type="dxa"/>
            <w:vAlign w:val="center"/>
          </w:tcPr>
          <w:p w14:paraId="5325E0C6">
            <w:pPr>
              <w:pStyle w:val="13"/>
            </w:pPr>
            <w:r>
              <w:t>质量指标</w:t>
            </w:r>
          </w:p>
        </w:tc>
        <w:tc>
          <w:tcPr>
            <w:tcW w:w="2835" w:type="dxa"/>
            <w:vAlign w:val="center"/>
          </w:tcPr>
          <w:p w14:paraId="74FA62B6">
            <w:pPr>
              <w:pStyle w:val="13"/>
            </w:pPr>
            <w:r>
              <w:t>义务教育资助制度落实情况</w:t>
            </w:r>
          </w:p>
        </w:tc>
        <w:tc>
          <w:tcPr>
            <w:tcW w:w="5386" w:type="dxa"/>
            <w:vAlign w:val="center"/>
          </w:tcPr>
          <w:p w14:paraId="7602E2BE">
            <w:pPr>
              <w:pStyle w:val="13"/>
            </w:pPr>
            <w:r>
              <w:t>符合享受资助条件的学生应助尽助</w:t>
            </w:r>
          </w:p>
        </w:tc>
        <w:tc>
          <w:tcPr>
            <w:tcW w:w="2268" w:type="dxa"/>
            <w:vAlign w:val="center"/>
          </w:tcPr>
          <w:p w14:paraId="736F2A61">
            <w:pPr>
              <w:pStyle w:val="13"/>
            </w:pPr>
            <w:r>
              <w:t>100%</w:t>
            </w:r>
          </w:p>
        </w:tc>
        <w:tc>
          <w:tcPr>
            <w:tcW w:w="1276" w:type="dxa"/>
            <w:vAlign w:val="center"/>
          </w:tcPr>
          <w:p w14:paraId="452A5029">
            <w:pPr>
              <w:pStyle w:val="13"/>
            </w:pPr>
            <w:r>
              <w:t>城乡义务教育“两免一补”资助实施细则</w:t>
            </w:r>
          </w:p>
        </w:tc>
      </w:tr>
      <w:tr w14:paraId="2C1CA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3A57D"/>
        </w:tc>
        <w:tc>
          <w:tcPr>
            <w:tcW w:w="2268" w:type="dxa"/>
            <w:vAlign w:val="center"/>
          </w:tcPr>
          <w:p w14:paraId="7A098343">
            <w:pPr>
              <w:pStyle w:val="13"/>
            </w:pPr>
            <w:r>
              <w:t>时效指标</w:t>
            </w:r>
          </w:p>
        </w:tc>
        <w:tc>
          <w:tcPr>
            <w:tcW w:w="2835" w:type="dxa"/>
            <w:vAlign w:val="center"/>
          </w:tcPr>
          <w:p w14:paraId="72DC8E30">
            <w:pPr>
              <w:pStyle w:val="13"/>
            </w:pPr>
            <w:r>
              <w:t>资金拨付率</w:t>
            </w:r>
          </w:p>
        </w:tc>
        <w:tc>
          <w:tcPr>
            <w:tcW w:w="5386" w:type="dxa"/>
            <w:vAlign w:val="center"/>
          </w:tcPr>
          <w:p w14:paraId="1076C8A7">
            <w:pPr>
              <w:pStyle w:val="13"/>
            </w:pPr>
            <w:r>
              <w:t>所有项目资金支付进度</w:t>
            </w:r>
          </w:p>
        </w:tc>
        <w:tc>
          <w:tcPr>
            <w:tcW w:w="2268" w:type="dxa"/>
            <w:vAlign w:val="center"/>
          </w:tcPr>
          <w:p w14:paraId="59949B89">
            <w:pPr>
              <w:pStyle w:val="13"/>
            </w:pPr>
            <w:r>
              <w:t>100%</w:t>
            </w:r>
          </w:p>
        </w:tc>
        <w:tc>
          <w:tcPr>
            <w:tcW w:w="1276" w:type="dxa"/>
            <w:vAlign w:val="center"/>
          </w:tcPr>
          <w:p w14:paraId="1CFCEE1B">
            <w:pPr>
              <w:pStyle w:val="13"/>
            </w:pPr>
            <w:r>
              <w:t>城乡义务教育“两免一补”资助实施细则</w:t>
            </w:r>
          </w:p>
        </w:tc>
      </w:tr>
      <w:tr w14:paraId="11981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60F36"/>
        </w:tc>
        <w:tc>
          <w:tcPr>
            <w:tcW w:w="2268" w:type="dxa"/>
            <w:vAlign w:val="center"/>
          </w:tcPr>
          <w:p w14:paraId="2B1C0D95">
            <w:pPr>
              <w:pStyle w:val="13"/>
            </w:pPr>
            <w:r>
              <w:t>成本指标</w:t>
            </w:r>
          </w:p>
        </w:tc>
        <w:tc>
          <w:tcPr>
            <w:tcW w:w="2835" w:type="dxa"/>
            <w:vAlign w:val="center"/>
          </w:tcPr>
          <w:p w14:paraId="774BDC64">
            <w:pPr>
              <w:pStyle w:val="13"/>
            </w:pPr>
            <w:r>
              <w:t>家庭经济困难寄宿及非寄四类学生补助标准</w:t>
            </w:r>
          </w:p>
        </w:tc>
        <w:tc>
          <w:tcPr>
            <w:tcW w:w="5386" w:type="dxa"/>
            <w:vAlign w:val="center"/>
          </w:tcPr>
          <w:p w14:paraId="7277FD5F">
            <w:pPr>
              <w:pStyle w:val="13"/>
            </w:pPr>
            <w:r>
              <w:t>初中寄宿：标准1250元/生/学年，初中非寄宿：标准625元/生/学年，小学寄宿：标准1000元/生/学年，小学寄宿：标准500元/生/学年，特教学生：标准1500元/生/学年。</w:t>
            </w:r>
          </w:p>
        </w:tc>
        <w:tc>
          <w:tcPr>
            <w:tcW w:w="2268" w:type="dxa"/>
            <w:vAlign w:val="center"/>
          </w:tcPr>
          <w:p w14:paraId="13580D35">
            <w:pPr>
              <w:pStyle w:val="13"/>
            </w:pPr>
            <w:r>
              <w:t>1500元</w:t>
            </w:r>
          </w:p>
        </w:tc>
        <w:tc>
          <w:tcPr>
            <w:tcW w:w="1276" w:type="dxa"/>
            <w:vAlign w:val="center"/>
          </w:tcPr>
          <w:p w14:paraId="2043FE45">
            <w:pPr>
              <w:pStyle w:val="13"/>
            </w:pPr>
            <w:r>
              <w:t>城乡义务教育“两免一补”资助实施细则</w:t>
            </w:r>
          </w:p>
        </w:tc>
      </w:tr>
      <w:tr w14:paraId="34D96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D39051">
            <w:pPr>
              <w:pStyle w:val="12"/>
            </w:pPr>
            <w:r>
              <w:t>效益指标</w:t>
            </w:r>
          </w:p>
        </w:tc>
        <w:tc>
          <w:tcPr>
            <w:tcW w:w="2268" w:type="dxa"/>
            <w:vAlign w:val="center"/>
          </w:tcPr>
          <w:p w14:paraId="7F423F9F">
            <w:pPr>
              <w:pStyle w:val="13"/>
            </w:pPr>
            <w:r>
              <w:t>社会效益指标</w:t>
            </w:r>
          </w:p>
        </w:tc>
        <w:tc>
          <w:tcPr>
            <w:tcW w:w="2835" w:type="dxa"/>
            <w:vAlign w:val="center"/>
          </w:tcPr>
          <w:p w14:paraId="35AF6143">
            <w:pPr>
              <w:pStyle w:val="13"/>
            </w:pPr>
            <w:r>
              <w:t>项目实施成果</w:t>
            </w:r>
          </w:p>
        </w:tc>
        <w:tc>
          <w:tcPr>
            <w:tcW w:w="5386" w:type="dxa"/>
            <w:vAlign w:val="center"/>
          </w:tcPr>
          <w:p w14:paraId="6D0323E2">
            <w:pPr>
              <w:pStyle w:val="13"/>
            </w:pPr>
            <w:r>
              <w:t>家庭经济困难补助实施年限</w:t>
            </w:r>
          </w:p>
        </w:tc>
        <w:tc>
          <w:tcPr>
            <w:tcW w:w="2268" w:type="dxa"/>
            <w:vAlign w:val="center"/>
          </w:tcPr>
          <w:p w14:paraId="27D7FA42">
            <w:pPr>
              <w:pStyle w:val="13"/>
            </w:pPr>
            <w:r>
              <w:t>3年</w:t>
            </w:r>
          </w:p>
        </w:tc>
        <w:tc>
          <w:tcPr>
            <w:tcW w:w="1276" w:type="dxa"/>
            <w:vAlign w:val="center"/>
          </w:tcPr>
          <w:p w14:paraId="51542683">
            <w:pPr>
              <w:pStyle w:val="13"/>
            </w:pPr>
            <w:r>
              <w:t>城乡义务教育“两免一补”资助实施细则</w:t>
            </w:r>
          </w:p>
        </w:tc>
      </w:tr>
      <w:tr w14:paraId="692FA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572011">
            <w:pPr>
              <w:pStyle w:val="12"/>
            </w:pPr>
            <w:r>
              <w:t>满意度指标</w:t>
            </w:r>
          </w:p>
        </w:tc>
        <w:tc>
          <w:tcPr>
            <w:tcW w:w="2268" w:type="dxa"/>
            <w:vAlign w:val="center"/>
          </w:tcPr>
          <w:p w14:paraId="0E9E0A71">
            <w:pPr>
              <w:pStyle w:val="13"/>
            </w:pPr>
            <w:r>
              <w:t>服务对象满意度指标</w:t>
            </w:r>
          </w:p>
        </w:tc>
        <w:tc>
          <w:tcPr>
            <w:tcW w:w="2835" w:type="dxa"/>
            <w:vAlign w:val="center"/>
          </w:tcPr>
          <w:p w14:paraId="113A74A4">
            <w:pPr>
              <w:pStyle w:val="13"/>
            </w:pPr>
            <w:r>
              <w:t>受益学生家长及调查满意度</w:t>
            </w:r>
          </w:p>
        </w:tc>
        <w:tc>
          <w:tcPr>
            <w:tcW w:w="5386" w:type="dxa"/>
            <w:vAlign w:val="center"/>
          </w:tcPr>
          <w:p w14:paraId="69AE34B7">
            <w:pPr>
              <w:pStyle w:val="13"/>
            </w:pPr>
            <w:r>
              <w:t>学生、教师及家长对学校保教保育工作满意度情况</w:t>
            </w:r>
          </w:p>
        </w:tc>
        <w:tc>
          <w:tcPr>
            <w:tcW w:w="2268" w:type="dxa"/>
            <w:vAlign w:val="center"/>
          </w:tcPr>
          <w:p w14:paraId="3C3DCF7E">
            <w:pPr>
              <w:pStyle w:val="13"/>
            </w:pPr>
            <w:r>
              <w:t>≥95%</w:t>
            </w:r>
          </w:p>
        </w:tc>
        <w:tc>
          <w:tcPr>
            <w:tcW w:w="1276" w:type="dxa"/>
            <w:vAlign w:val="center"/>
          </w:tcPr>
          <w:p w14:paraId="7E820EEC">
            <w:pPr>
              <w:pStyle w:val="13"/>
            </w:pPr>
            <w:r>
              <w:t>调查问卷</w:t>
            </w:r>
          </w:p>
        </w:tc>
      </w:tr>
    </w:tbl>
    <w:p w14:paraId="0F46D033">
      <w:pPr>
        <w:sectPr>
          <w:pgSz w:w="16840" w:h="11900" w:orient="landscape"/>
          <w:pgMar w:top="1361" w:right="1020" w:bottom="1134" w:left="1020" w:header="720" w:footer="720" w:gutter="0"/>
          <w:cols w:space="720" w:num="1"/>
        </w:sectPr>
      </w:pPr>
    </w:p>
    <w:p w14:paraId="79ABB6BA">
      <w:pPr>
        <w:spacing w:before="0" w:after="0"/>
        <w:ind w:firstLine="560"/>
        <w:jc w:val="left"/>
        <w:outlineLvl w:val="9"/>
      </w:pPr>
      <w:r>
        <w:rPr>
          <w:rFonts w:ascii="方正仿宋_GBK" w:hAnsi="方正仿宋_GBK" w:eastAsia="方正仿宋_GBK" w:cs="方正仿宋_GBK"/>
          <w:b/>
          <w:color w:val="000000"/>
          <w:sz w:val="28"/>
        </w:rPr>
        <w:t>26、冀财教[2024]123号/中央/2025年义教补助经费/家庭经济困难学生生活补助（小学）绩效目标表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3DF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FAF0D">
            <w:pPr>
              <w:pStyle w:val="14"/>
            </w:pPr>
            <w:r>
              <w:t>单位：万元</w:t>
            </w:r>
          </w:p>
        </w:tc>
      </w:tr>
      <w:tr w14:paraId="719B4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BE2566">
            <w:pPr>
              <w:pStyle w:val="11"/>
            </w:pPr>
            <w:r>
              <w:t>项目编码</w:t>
            </w:r>
          </w:p>
        </w:tc>
        <w:tc>
          <w:tcPr>
            <w:tcW w:w="5103" w:type="dxa"/>
            <w:gridSpan w:val="2"/>
            <w:vAlign w:val="center"/>
          </w:tcPr>
          <w:p w14:paraId="296E8B8A">
            <w:pPr>
              <w:pStyle w:val="13"/>
            </w:pPr>
            <w:r>
              <w:t>13052525P00001010010C</w:t>
            </w:r>
          </w:p>
        </w:tc>
        <w:tc>
          <w:tcPr>
            <w:tcW w:w="2835" w:type="dxa"/>
            <w:vAlign w:val="center"/>
          </w:tcPr>
          <w:p w14:paraId="78B57111">
            <w:pPr>
              <w:pStyle w:val="11"/>
            </w:pPr>
            <w:r>
              <w:t>项目名称</w:t>
            </w:r>
          </w:p>
        </w:tc>
        <w:tc>
          <w:tcPr>
            <w:tcW w:w="6095" w:type="dxa"/>
            <w:gridSpan w:val="3"/>
            <w:vAlign w:val="center"/>
          </w:tcPr>
          <w:p w14:paraId="2E71268F">
            <w:pPr>
              <w:pStyle w:val="13"/>
            </w:pPr>
            <w:r>
              <w:t>冀财教[2024]123号/中央/2025年义教补助经费/家庭经济困难学生生活补助（小学）</w:t>
            </w:r>
          </w:p>
        </w:tc>
      </w:tr>
      <w:tr w14:paraId="79FD2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67609">
            <w:pPr>
              <w:pStyle w:val="11"/>
            </w:pPr>
            <w:r>
              <w:t>预算规模及资金用途</w:t>
            </w:r>
          </w:p>
        </w:tc>
        <w:tc>
          <w:tcPr>
            <w:tcW w:w="2268" w:type="dxa"/>
            <w:vAlign w:val="center"/>
          </w:tcPr>
          <w:p w14:paraId="6F64B6F7">
            <w:pPr>
              <w:pStyle w:val="11"/>
            </w:pPr>
            <w:r>
              <w:t>预算数</w:t>
            </w:r>
          </w:p>
        </w:tc>
        <w:tc>
          <w:tcPr>
            <w:tcW w:w="2835" w:type="dxa"/>
            <w:vAlign w:val="center"/>
          </w:tcPr>
          <w:p w14:paraId="78FB682C">
            <w:pPr>
              <w:pStyle w:val="13"/>
            </w:pPr>
            <w:r>
              <w:t>174.00</w:t>
            </w:r>
          </w:p>
        </w:tc>
        <w:tc>
          <w:tcPr>
            <w:tcW w:w="2835" w:type="dxa"/>
            <w:vAlign w:val="center"/>
          </w:tcPr>
          <w:p w14:paraId="034B9670">
            <w:pPr>
              <w:pStyle w:val="11"/>
            </w:pPr>
            <w:r>
              <w:t>其中：财政    资金</w:t>
            </w:r>
          </w:p>
        </w:tc>
        <w:tc>
          <w:tcPr>
            <w:tcW w:w="2551" w:type="dxa"/>
            <w:vAlign w:val="center"/>
          </w:tcPr>
          <w:p w14:paraId="2970066C">
            <w:pPr>
              <w:pStyle w:val="13"/>
            </w:pPr>
            <w:r>
              <w:t>174.00</w:t>
            </w:r>
          </w:p>
        </w:tc>
        <w:tc>
          <w:tcPr>
            <w:tcW w:w="2268" w:type="dxa"/>
            <w:vAlign w:val="center"/>
          </w:tcPr>
          <w:p w14:paraId="556CC5CB">
            <w:pPr>
              <w:pStyle w:val="11"/>
            </w:pPr>
            <w:r>
              <w:t>其他资金</w:t>
            </w:r>
          </w:p>
        </w:tc>
        <w:tc>
          <w:tcPr>
            <w:tcW w:w="1276" w:type="dxa"/>
            <w:vAlign w:val="center"/>
          </w:tcPr>
          <w:p w14:paraId="30B699B5">
            <w:pPr>
              <w:pStyle w:val="13"/>
            </w:pPr>
            <w:r>
              <w:t xml:space="preserve"> </w:t>
            </w:r>
          </w:p>
        </w:tc>
      </w:tr>
      <w:tr w14:paraId="749A9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F989B"/>
        </w:tc>
        <w:tc>
          <w:tcPr>
            <w:tcW w:w="14033" w:type="dxa"/>
            <w:gridSpan w:val="6"/>
            <w:vAlign w:val="center"/>
          </w:tcPr>
          <w:p w14:paraId="164674B8">
            <w:pPr>
              <w:pStyle w:val="13"/>
            </w:pPr>
            <w:r>
              <w:t>保障落实建档立卡及家庭经济困难学生资助所需资金，确保建档立卡等家庭经济困难学生优先获得资助</w:t>
            </w:r>
          </w:p>
        </w:tc>
      </w:tr>
      <w:tr w14:paraId="0E036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502D9">
            <w:pPr>
              <w:pStyle w:val="11"/>
            </w:pPr>
            <w:r>
              <w:t>资金支出计划（%）</w:t>
            </w:r>
          </w:p>
        </w:tc>
        <w:tc>
          <w:tcPr>
            <w:tcW w:w="5103" w:type="dxa"/>
            <w:gridSpan w:val="2"/>
            <w:vAlign w:val="center"/>
          </w:tcPr>
          <w:p w14:paraId="1858A77C">
            <w:pPr>
              <w:pStyle w:val="11"/>
            </w:pPr>
            <w:r>
              <w:t>3月底</w:t>
            </w:r>
          </w:p>
        </w:tc>
        <w:tc>
          <w:tcPr>
            <w:tcW w:w="2835" w:type="dxa"/>
            <w:vAlign w:val="center"/>
          </w:tcPr>
          <w:p w14:paraId="2217125C">
            <w:pPr>
              <w:pStyle w:val="11"/>
            </w:pPr>
            <w:r>
              <w:t>6月底</w:t>
            </w:r>
          </w:p>
        </w:tc>
        <w:tc>
          <w:tcPr>
            <w:tcW w:w="2551" w:type="dxa"/>
            <w:vAlign w:val="center"/>
          </w:tcPr>
          <w:p w14:paraId="0722ABF8">
            <w:pPr>
              <w:pStyle w:val="11"/>
            </w:pPr>
            <w:r>
              <w:t>10月底</w:t>
            </w:r>
          </w:p>
        </w:tc>
        <w:tc>
          <w:tcPr>
            <w:tcW w:w="3544" w:type="dxa"/>
            <w:gridSpan w:val="2"/>
            <w:vAlign w:val="center"/>
          </w:tcPr>
          <w:p w14:paraId="5F474A91">
            <w:pPr>
              <w:pStyle w:val="11"/>
            </w:pPr>
            <w:r>
              <w:t>12月底</w:t>
            </w:r>
          </w:p>
        </w:tc>
      </w:tr>
      <w:tr w14:paraId="42861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F4F740"/>
        </w:tc>
        <w:tc>
          <w:tcPr>
            <w:tcW w:w="5103" w:type="dxa"/>
            <w:gridSpan w:val="2"/>
            <w:vAlign w:val="center"/>
          </w:tcPr>
          <w:p w14:paraId="05032024">
            <w:pPr>
              <w:pStyle w:val="12"/>
            </w:pPr>
            <w:r>
              <w:t xml:space="preserve"> </w:t>
            </w:r>
          </w:p>
        </w:tc>
        <w:tc>
          <w:tcPr>
            <w:tcW w:w="2835" w:type="dxa"/>
            <w:vAlign w:val="center"/>
          </w:tcPr>
          <w:p w14:paraId="3D502D1C">
            <w:pPr>
              <w:pStyle w:val="12"/>
            </w:pPr>
            <w:r>
              <w:t>50%</w:t>
            </w:r>
          </w:p>
        </w:tc>
        <w:tc>
          <w:tcPr>
            <w:tcW w:w="2551" w:type="dxa"/>
            <w:vAlign w:val="center"/>
          </w:tcPr>
          <w:p w14:paraId="279372AC">
            <w:pPr>
              <w:pStyle w:val="12"/>
            </w:pPr>
            <w:r>
              <w:t>75%</w:t>
            </w:r>
          </w:p>
        </w:tc>
        <w:tc>
          <w:tcPr>
            <w:tcW w:w="3544" w:type="dxa"/>
            <w:gridSpan w:val="2"/>
            <w:vAlign w:val="center"/>
          </w:tcPr>
          <w:p w14:paraId="04C68C66">
            <w:pPr>
              <w:pStyle w:val="12"/>
            </w:pPr>
            <w:r>
              <w:t>100%</w:t>
            </w:r>
          </w:p>
        </w:tc>
      </w:tr>
      <w:tr w14:paraId="04030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C9328D">
            <w:pPr>
              <w:pStyle w:val="11"/>
            </w:pPr>
            <w:r>
              <w:t>绩效目标</w:t>
            </w:r>
          </w:p>
        </w:tc>
        <w:tc>
          <w:tcPr>
            <w:tcW w:w="14033" w:type="dxa"/>
            <w:gridSpan w:val="6"/>
            <w:vAlign w:val="center"/>
          </w:tcPr>
          <w:p w14:paraId="278FAFAC">
            <w:pPr>
              <w:pStyle w:val="13"/>
            </w:pPr>
            <w:r>
              <w:t>1.保障落实建档立卡及家庭经济困难学生资助所需资金，确保建档立卡等家庭经济困难学生优先获得资助</w:t>
            </w:r>
          </w:p>
        </w:tc>
      </w:tr>
    </w:tbl>
    <w:p w14:paraId="77D92A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29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07F23BB">
            <w:pPr>
              <w:pStyle w:val="11"/>
            </w:pPr>
            <w:r>
              <w:t>一级指标</w:t>
            </w:r>
          </w:p>
        </w:tc>
        <w:tc>
          <w:tcPr>
            <w:tcW w:w="2268" w:type="dxa"/>
            <w:vAlign w:val="center"/>
          </w:tcPr>
          <w:p w14:paraId="061BDB11">
            <w:pPr>
              <w:pStyle w:val="11"/>
            </w:pPr>
            <w:r>
              <w:t>二级指标</w:t>
            </w:r>
          </w:p>
        </w:tc>
        <w:tc>
          <w:tcPr>
            <w:tcW w:w="2835" w:type="dxa"/>
            <w:vAlign w:val="center"/>
          </w:tcPr>
          <w:p w14:paraId="65606BAA">
            <w:pPr>
              <w:pStyle w:val="11"/>
            </w:pPr>
            <w:r>
              <w:t>三级指标</w:t>
            </w:r>
          </w:p>
        </w:tc>
        <w:tc>
          <w:tcPr>
            <w:tcW w:w="5386" w:type="dxa"/>
            <w:vAlign w:val="center"/>
          </w:tcPr>
          <w:p w14:paraId="084F292D">
            <w:pPr>
              <w:pStyle w:val="11"/>
            </w:pPr>
            <w:r>
              <w:t>绩效指标描述</w:t>
            </w:r>
          </w:p>
        </w:tc>
        <w:tc>
          <w:tcPr>
            <w:tcW w:w="2268" w:type="dxa"/>
            <w:vAlign w:val="center"/>
          </w:tcPr>
          <w:p w14:paraId="5BEFF07B">
            <w:pPr>
              <w:pStyle w:val="11"/>
            </w:pPr>
            <w:r>
              <w:t>指标值</w:t>
            </w:r>
          </w:p>
        </w:tc>
        <w:tc>
          <w:tcPr>
            <w:tcW w:w="1276" w:type="dxa"/>
            <w:vAlign w:val="center"/>
          </w:tcPr>
          <w:p w14:paraId="0BCDEFAB">
            <w:pPr>
              <w:pStyle w:val="11"/>
            </w:pPr>
            <w:r>
              <w:t>指标值确定依据</w:t>
            </w:r>
          </w:p>
        </w:tc>
      </w:tr>
      <w:tr w14:paraId="12A4F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8A0E0">
            <w:pPr>
              <w:pStyle w:val="12"/>
            </w:pPr>
            <w:r>
              <w:t>产出指标</w:t>
            </w:r>
          </w:p>
        </w:tc>
        <w:tc>
          <w:tcPr>
            <w:tcW w:w="2268" w:type="dxa"/>
            <w:vAlign w:val="center"/>
          </w:tcPr>
          <w:p w14:paraId="44C7C102">
            <w:pPr>
              <w:pStyle w:val="13"/>
            </w:pPr>
            <w:r>
              <w:t>数量指标</w:t>
            </w:r>
          </w:p>
        </w:tc>
        <w:tc>
          <w:tcPr>
            <w:tcW w:w="2835" w:type="dxa"/>
            <w:vAlign w:val="center"/>
          </w:tcPr>
          <w:p w14:paraId="15B9B9C7">
            <w:pPr>
              <w:pStyle w:val="13"/>
            </w:pPr>
            <w:r>
              <w:t>家庭经济困难资助比例</w:t>
            </w:r>
          </w:p>
        </w:tc>
        <w:tc>
          <w:tcPr>
            <w:tcW w:w="5386" w:type="dxa"/>
            <w:vAlign w:val="center"/>
          </w:tcPr>
          <w:p w14:paraId="32D48576">
            <w:pPr>
              <w:pStyle w:val="13"/>
            </w:pPr>
            <w:r>
              <w:t>寄宿生按义教在校生15%测算，非寄宿生按义教在校生5%测算</w:t>
            </w:r>
          </w:p>
        </w:tc>
        <w:tc>
          <w:tcPr>
            <w:tcW w:w="2268" w:type="dxa"/>
            <w:vAlign w:val="center"/>
          </w:tcPr>
          <w:p w14:paraId="70C2CB99">
            <w:pPr>
              <w:pStyle w:val="13"/>
            </w:pPr>
            <w:r>
              <w:t>3036人</w:t>
            </w:r>
          </w:p>
        </w:tc>
        <w:tc>
          <w:tcPr>
            <w:tcW w:w="1276" w:type="dxa"/>
            <w:vAlign w:val="center"/>
          </w:tcPr>
          <w:p w14:paraId="31C2A961">
            <w:pPr>
              <w:pStyle w:val="13"/>
            </w:pPr>
            <w:r>
              <w:t>城乡义务教育“两免一补”资助实施细则</w:t>
            </w:r>
          </w:p>
        </w:tc>
      </w:tr>
      <w:tr w14:paraId="770F4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FF6DB"/>
        </w:tc>
        <w:tc>
          <w:tcPr>
            <w:tcW w:w="2268" w:type="dxa"/>
            <w:vAlign w:val="center"/>
          </w:tcPr>
          <w:p w14:paraId="63FA04E4">
            <w:pPr>
              <w:pStyle w:val="13"/>
            </w:pPr>
            <w:r>
              <w:t>质量指标</w:t>
            </w:r>
          </w:p>
        </w:tc>
        <w:tc>
          <w:tcPr>
            <w:tcW w:w="2835" w:type="dxa"/>
            <w:vAlign w:val="center"/>
          </w:tcPr>
          <w:p w14:paraId="6AED9B0F">
            <w:pPr>
              <w:pStyle w:val="13"/>
            </w:pPr>
            <w:r>
              <w:t>义务教育资助制度落实情况</w:t>
            </w:r>
          </w:p>
        </w:tc>
        <w:tc>
          <w:tcPr>
            <w:tcW w:w="5386" w:type="dxa"/>
            <w:vAlign w:val="center"/>
          </w:tcPr>
          <w:p w14:paraId="56BD9D07">
            <w:pPr>
              <w:pStyle w:val="13"/>
            </w:pPr>
            <w:r>
              <w:t>符合享受资助条件的学生应助尽助</w:t>
            </w:r>
          </w:p>
        </w:tc>
        <w:tc>
          <w:tcPr>
            <w:tcW w:w="2268" w:type="dxa"/>
            <w:vAlign w:val="center"/>
          </w:tcPr>
          <w:p w14:paraId="16766934">
            <w:pPr>
              <w:pStyle w:val="13"/>
            </w:pPr>
            <w:r>
              <w:t>100%</w:t>
            </w:r>
          </w:p>
        </w:tc>
        <w:tc>
          <w:tcPr>
            <w:tcW w:w="1276" w:type="dxa"/>
            <w:vAlign w:val="center"/>
          </w:tcPr>
          <w:p w14:paraId="29FAB70A">
            <w:pPr>
              <w:pStyle w:val="13"/>
            </w:pPr>
            <w:r>
              <w:t>城乡义务教育“两免一补”资助实施细则</w:t>
            </w:r>
          </w:p>
        </w:tc>
      </w:tr>
      <w:tr w14:paraId="72FE8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4EFCE"/>
        </w:tc>
        <w:tc>
          <w:tcPr>
            <w:tcW w:w="2268" w:type="dxa"/>
            <w:vAlign w:val="center"/>
          </w:tcPr>
          <w:p w14:paraId="317C886E">
            <w:pPr>
              <w:pStyle w:val="13"/>
            </w:pPr>
            <w:r>
              <w:t>时效指标</w:t>
            </w:r>
          </w:p>
        </w:tc>
        <w:tc>
          <w:tcPr>
            <w:tcW w:w="2835" w:type="dxa"/>
            <w:vAlign w:val="center"/>
          </w:tcPr>
          <w:p w14:paraId="5DA45976">
            <w:pPr>
              <w:pStyle w:val="13"/>
            </w:pPr>
            <w:r>
              <w:t>资金拨付率</w:t>
            </w:r>
          </w:p>
        </w:tc>
        <w:tc>
          <w:tcPr>
            <w:tcW w:w="5386" w:type="dxa"/>
            <w:vAlign w:val="center"/>
          </w:tcPr>
          <w:p w14:paraId="31E3F411">
            <w:pPr>
              <w:pStyle w:val="13"/>
            </w:pPr>
            <w:r>
              <w:t>所有项目资金支付进度</w:t>
            </w:r>
          </w:p>
        </w:tc>
        <w:tc>
          <w:tcPr>
            <w:tcW w:w="2268" w:type="dxa"/>
            <w:vAlign w:val="center"/>
          </w:tcPr>
          <w:p w14:paraId="16F6243A">
            <w:pPr>
              <w:pStyle w:val="13"/>
            </w:pPr>
            <w:r>
              <w:t>100%</w:t>
            </w:r>
          </w:p>
        </w:tc>
        <w:tc>
          <w:tcPr>
            <w:tcW w:w="1276" w:type="dxa"/>
            <w:vAlign w:val="center"/>
          </w:tcPr>
          <w:p w14:paraId="1D1FF2C4">
            <w:pPr>
              <w:pStyle w:val="13"/>
            </w:pPr>
            <w:r>
              <w:t>城乡义务教育“两免一补”资助实施细则</w:t>
            </w:r>
          </w:p>
        </w:tc>
      </w:tr>
      <w:tr w14:paraId="4FE0C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B0D98"/>
        </w:tc>
        <w:tc>
          <w:tcPr>
            <w:tcW w:w="2268" w:type="dxa"/>
            <w:vAlign w:val="center"/>
          </w:tcPr>
          <w:p w14:paraId="37451BCE">
            <w:pPr>
              <w:pStyle w:val="13"/>
            </w:pPr>
            <w:r>
              <w:t>成本指标</w:t>
            </w:r>
          </w:p>
        </w:tc>
        <w:tc>
          <w:tcPr>
            <w:tcW w:w="2835" w:type="dxa"/>
            <w:vAlign w:val="center"/>
          </w:tcPr>
          <w:p w14:paraId="60BF4AF8">
            <w:pPr>
              <w:pStyle w:val="13"/>
            </w:pPr>
            <w:r>
              <w:t>家庭经济困难寄宿及非寄四类学生补助标准</w:t>
            </w:r>
          </w:p>
        </w:tc>
        <w:tc>
          <w:tcPr>
            <w:tcW w:w="5386" w:type="dxa"/>
            <w:vAlign w:val="center"/>
          </w:tcPr>
          <w:p w14:paraId="6A9D933A">
            <w:pPr>
              <w:pStyle w:val="13"/>
            </w:pPr>
            <w:r>
              <w:t>小学寄宿：标准1250元/生/学年</w:t>
            </w:r>
          </w:p>
          <w:p w14:paraId="17608087">
            <w:pPr>
              <w:pStyle w:val="13"/>
            </w:pPr>
          </w:p>
        </w:tc>
        <w:tc>
          <w:tcPr>
            <w:tcW w:w="2268" w:type="dxa"/>
            <w:vAlign w:val="center"/>
          </w:tcPr>
          <w:p w14:paraId="07AB9BA1">
            <w:pPr>
              <w:pStyle w:val="13"/>
            </w:pPr>
            <w:r>
              <w:t>1250元</w:t>
            </w:r>
          </w:p>
        </w:tc>
        <w:tc>
          <w:tcPr>
            <w:tcW w:w="1276" w:type="dxa"/>
            <w:vAlign w:val="center"/>
          </w:tcPr>
          <w:p w14:paraId="2FE621F4">
            <w:pPr>
              <w:pStyle w:val="13"/>
            </w:pPr>
            <w:r>
              <w:t>城乡义务教育“两免一补”资助实施细则</w:t>
            </w:r>
          </w:p>
        </w:tc>
      </w:tr>
      <w:tr w14:paraId="45005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C5557D">
            <w:pPr>
              <w:pStyle w:val="12"/>
            </w:pPr>
            <w:r>
              <w:t>效益指标</w:t>
            </w:r>
          </w:p>
        </w:tc>
        <w:tc>
          <w:tcPr>
            <w:tcW w:w="2268" w:type="dxa"/>
            <w:vAlign w:val="center"/>
          </w:tcPr>
          <w:p w14:paraId="15C72FF8">
            <w:pPr>
              <w:pStyle w:val="13"/>
            </w:pPr>
            <w:r>
              <w:t>社会效益指标</w:t>
            </w:r>
          </w:p>
        </w:tc>
        <w:tc>
          <w:tcPr>
            <w:tcW w:w="2835" w:type="dxa"/>
            <w:vAlign w:val="center"/>
          </w:tcPr>
          <w:p w14:paraId="32BC0A33">
            <w:pPr>
              <w:pStyle w:val="13"/>
            </w:pPr>
            <w:r>
              <w:t>项目实施成果</w:t>
            </w:r>
          </w:p>
        </w:tc>
        <w:tc>
          <w:tcPr>
            <w:tcW w:w="5386" w:type="dxa"/>
            <w:vAlign w:val="center"/>
          </w:tcPr>
          <w:p w14:paraId="7F038F8E">
            <w:pPr>
              <w:pStyle w:val="13"/>
            </w:pPr>
            <w:r>
              <w:t>家庭经济困难补助实施年限</w:t>
            </w:r>
          </w:p>
        </w:tc>
        <w:tc>
          <w:tcPr>
            <w:tcW w:w="2268" w:type="dxa"/>
            <w:vAlign w:val="center"/>
          </w:tcPr>
          <w:p w14:paraId="38948778">
            <w:pPr>
              <w:pStyle w:val="13"/>
            </w:pPr>
            <w:r>
              <w:t>3年</w:t>
            </w:r>
          </w:p>
        </w:tc>
        <w:tc>
          <w:tcPr>
            <w:tcW w:w="1276" w:type="dxa"/>
            <w:vAlign w:val="center"/>
          </w:tcPr>
          <w:p w14:paraId="742C29EA">
            <w:pPr>
              <w:pStyle w:val="13"/>
            </w:pPr>
            <w:r>
              <w:t>城乡义务教育“两免一补”资助实施细则</w:t>
            </w:r>
          </w:p>
        </w:tc>
      </w:tr>
      <w:tr w14:paraId="64057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515A38">
            <w:pPr>
              <w:pStyle w:val="12"/>
            </w:pPr>
            <w:r>
              <w:t>满意度指标</w:t>
            </w:r>
          </w:p>
        </w:tc>
        <w:tc>
          <w:tcPr>
            <w:tcW w:w="2268" w:type="dxa"/>
            <w:vAlign w:val="center"/>
          </w:tcPr>
          <w:p w14:paraId="12E5AE19">
            <w:pPr>
              <w:pStyle w:val="13"/>
            </w:pPr>
            <w:r>
              <w:t>服务对象满意度指标</w:t>
            </w:r>
          </w:p>
        </w:tc>
        <w:tc>
          <w:tcPr>
            <w:tcW w:w="2835" w:type="dxa"/>
            <w:vAlign w:val="center"/>
          </w:tcPr>
          <w:p w14:paraId="412D7648">
            <w:pPr>
              <w:pStyle w:val="13"/>
            </w:pPr>
            <w:r>
              <w:t>受益学生家长及调查满意度</w:t>
            </w:r>
          </w:p>
        </w:tc>
        <w:tc>
          <w:tcPr>
            <w:tcW w:w="5386" w:type="dxa"/>
            <w:vAlign w:val="center"/>
          </w:tcPr>
          <w:p w14:paraId="0BD3415B">
            <w:pPr>
              <w:pStyle w:val="13"/>
            </w:pPr>
            <w:r>
              <w:t>学生、教师及家长对学校保教保育工作满意度情况</w:t>
            </w:r>
          </w:p>
        </w:tc>
        <w:tc>
          <w:tcPr>
            <w:tcW w:w="2268" w:type="dxa"/>
            <w:vAlign w:val="center"/>
          </w:tcPr>
          <w:p w14:paraId="3FC57CF5">
            <w:pPr>
              <w:pStyle w:val="13"/>
            </w:pPr>
            <w:r>
              <w:t>≥95%</w:t>
            </w:r>
          </w:p>
        </w:tc>
        <w:tc>
          <w:tcPr>
            <w:tcW w:w="1276" w:type="dxa"/>
            <w:vAlign w:val="center"/>
          </w:tcPr>
          <w:p w14:paraId="380FC6D5">
            <w:pPr>
              <w:pStyle w:val="13"/>
            </w:pPr>
            <w:r>
              <w:t>调查问卷</w:t>
            </w:r>
          </w:p>
        </w:tc>
      </w:tr>
    </w:tbl>
    <w:p w14:paraId="257CA09E">
      <w:pPr>
        <w:sectPr>
          <w:pgSz w:w="16840" w:h="11900" w:orient="landscape"/>
          <w:pgMar w:top="1361" w:right="1020" w:bottom="1134" w:left="1020" w:header="720" w:footer="720" w:gutter="0"/>
          <w:cols w:space="720" w:num="1"/>
        </w:sectPr>
      </w:pPr>
    </w:p>
    <w:p w14:paraId="02EE16CC">
      <w:pPr>
        <w:spacing w:before="0" w:after="0"/>
        <w:ind w:firstLine="560"/>
        <w:jc w:val="left"/>
        <w:outlineLvl w:val="9"/>
      </w:pPr>
      <w:r>
        <w:rPr>
          <w:rFonts w:ascii="方正仿宋_GBK" w:hAnsi="方正仿宋_GBK" w:eastAsia="方正仿宋_GBK" w:cs="方正仿宋_GBK"/>
          <w:b/>
          <w:color w:val="000000"/>
          <w:sz w:val="28"/>
        </w:rPr>
        <w:t>27、冀财教[2024]125号/中央/2025年学生资助/普通高中三免（唐尧中学）建档立卡绩效目标表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8D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4100C">
            <w:pPr>
              <w:pStyle w:val="14"/>
            </w:pPr>
            <w:r>
              <w:t>单位：万元</w:t>
            </w:r>
          </w:p>
        </w:tc>
      </w:tr>
      <w:tr w14:paraId="0D1DF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3326A2">
            <w:pPr>
              <w:pStyle w:val="11"/>
            </w:pPr>
            <w:r>
              <w:t>项目编码</w:t>
            </w:r>
          </w:p>
        </w:tc>
        <w:tc>
          <w:tcPr>
            <w:tcW w:w="5103" w:type="dxa"/>
            <w:gridSpan w:val="2"/>
            <w:vAlign w:val="center"/>
          </w:tcPr>
          <w:p w14:paraId="7D5CB7D6">
            <w:pPr>
              <w:pStyle w:val="13"/>
            </w:pPr>
            <w:r>
              <w:t>13052525P00001210033A</w:t>
            </w:r>
          </w:p>
        </w:tc>
        <w:tc>
          <w:tcPr>
            <w:tcW w:w="2835" w:type="dxa"/>
            <w:vAlign w:val="center"/>
          </w:tcPr>
          <w:p w14:paraId="3B1B2E83">
            <w:pPr>
              <w:pStyle w:val="11"/>
            </w:pPr>
            <w:r>
              <w:t>项目名称</w:t>
            </w:r>
          </w:p>
        </w:tc>
        <w:tc>
          <w:tcPr>
            <w:tcW w:w="6095" w:type="dxa"/>
            <w:gridSpan w:val="3"/>
            <w:vAlign w:val="center"/>
          </w:tcPr>
          <w:p w14:paraId="61B051BF">
            <w:pPr>
              <w:pStyle w:val="13"/>
            </w:pPr>
            <w:r>
              <w:t>冀财教[2024]125号/中央/2025年学生资助/普通高中三免（唐尧中学）建档立卡</w:t>
            </w:r>
          </w:p>
        </w:tc>
      </w:tr>
      <w:tr w14:paraId="74027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35563">
            <w:pPr>
              <w:pStyle w:val="11"/>
            </w:pPr>
            <w:r>
              <w:t>预算规模及资金用途</w:t>
            </w:r>
          </w:p>
        </w:tc>
        <w:tc>
          <w:tcPr>
            <w:tcW w:w="2268" w:type="dxa"/>
            <w:vAlign w:val="center"/>
          </w:tcPr>
          <w:p w14:paraId="7DA54A5B">
            <w:pPr>
              <w:pStyle w:val="11"/>
            </w:pPr>
            <w:r>
              <w:t>预算数</w:t>
            </w:r>
          </w:p>
        </w:tc>
        <w:tc>
          <w:tcPr>
            <w:tcW w:w="2835" w:type="dxa"/>
            <w:vAlign w:val="center"/>
          </w:tcPr>
          <w:p w14:paraId="701C80C7">
            <w:pPr>
              <w:pStyle w:val="13"/>
            </w:pPr>
            <w:r>
              <w:t>3.00</w:t>
            </w:r>
          </w:p>
        </w:tc>
        <w:tc>
          <w:tcPr>
            <w:tcW w:w="2835" w:type="dxa"/>
            <w:vAlign w:val="center"/>
          </w:tcPr>
          <w:p w14:paraId="6F1A853C">
            <w:pPr>
              <w:pStyle w:val="11"/>
            </w:pPr>
            <w:r>
              <w:t>其中：财政    资金</w:t>
            </w:r>
          </w:p>
        </w:tc>
        <w:tc>
          <w:tcPr>
            <w:tcW w:w="2551" w:type="dxa"/>
            <w:vAlign w:val="center"/>
          </w:tcPr>
          <w:p w14:paraId="4BA5D3F8">
            <w:pPr>
              <w:pStyle w:val="13"/>
            </w:pPr>
            <w:r>
              <w:t>3.00</w:t>
            </w:r>
          </w:p>
        </w:tc>
        <w:tc>
          <w:tcPr>
            <w:tcW w:w="2268" w:type="dxa"/>
            <w:vAlign w:val="center"/>
          </w:tcPr>
          <w:p w14:paraId="0479FC1D">
            <w:pPr>
              <w:pStyle w:val="11"/>
            </w:pPr>
            <w:r>
              <w:t>其他资金</w:t>
            </w:r>
          </w:p>
        </w:tc>
        <w:tc>
          <w:tcPr>
            <w:tcW w:w="1276" w:type="dxa"/>
            <w:vAlign w:val="center"/>
          </w:tcPr>
          <w:p w14:paraId="38A3B6A8">
            <w:pPr>
              <w:pStyle w:val="13"/>
            </w:pPr>
            <w:r>
              <w:t xml:space="preserve"> </w:t>
            </w:r>
          </w:p>
        </w:tc>
      </w:tr>
      <w:tr w14:paraId="5453C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A9484"/>
        </w:tc>
        <w:tc>
          <w:tcPr>
            <w:tcW w:w="14033" w:type="dxa"/>
            <w:gridSpan w:val="6"/>
            <w:vAlign w:val="center"/>
          </w:tcPr>
          <w:p w14:paraId="1796EAD5">
            <w:pPr>
              <w:pStyle w:val="13"/>
            </w:pPr>
            <w:r>
              <w:t>深入宣传学生免学费政策，落实普通高中建档立卡家庭困难学生免除学杂费政策</w:t>
            </w:r>
            <w:r>
              <w:tab/>
            </w:r>
            <w:r>
              <w:tab/>
            </w:r>
            <w:r>
              <w:tab/>
            </w:r>
            <w:r>
              <w:tab/>
            </w:r>
            <w:r>
              <w:tab/>
            </w:r>
            <w:r>
              <w:tab/>
            </w:r>
          </w:p>
          <w:p w14:paraId="5C861B68">
            <w:pPr>
              <w:pStyle w:val="13"/>
            </w:pPr>
          </w:p>
        </w:tc>
      </w:tr>
      <w:tr w14:paraId="033D6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2EDCE">
            <w:pPr>
              <w:pStyle w:val="11"/>
            </w:pPr>
            <w:r>
              <w:t>资金支出计划（%）</w:t>
            </w:r>
          </w:p>
        </w:tc>
        <w:tc>
          <w:tcPr>
            <w:tcW w:w="5103" w:type="dxa"/>
            <w:gridSpan w:val="2"/>
            <w:vAlign w:val="center"/>
          </w:tcPr>
          <w:p w14:paraId="2B2D75F1">
            <w:pPr>
              <w:pStyle w:val="11"/>
            </w:pPr>
            <w:r>
              <w:t>3月底</w:t>
            </w:r>
          </w:p>
        </w:tc>
        <w:tc>
          <w:tcPr>
            <w:tcW w:w="2835" w:type="dxa"/>
            <w:vAlign w:val="center"/>
          </w:tcPr>
          <w:p w14:paraId="6987C994">
            <w:pPr>
              <w:pStyle w:val="11"/>
            </w:pPr>
            <w:r>
              <w:t>6月底</w:t>
            </w:r>
          </w:p>
        </w:tc>
        <w:tc>
          <w:tcPr>
            <w:tcW w:w="2551" w:type="dxa"/>
            <w:vAlign w:val="center"/>
          </w:tcPr>
          <w:p w14:paraId="3DCD44CA">
            <w:pPr>
              <w:pStyle w:val="11"/>
            </w:pPr>
            <w:r>
              <w:t>10月底</w:t>
            </w:r>
          </w:p>
        </w:tc>
        <w:tc>
          <w:tcPr>
            <w:tcW w:w="3544" w:type="dxa"/>
            <w:gridSpan w:val="2"/>
            <w:vAlign w:val="center"/>
          </w:tcPr>
          <w:p w14:paraId="31B199E0">
            <w:pPr>
              <w:pStyle w:val="11"/>
            </w:pPr>
            <w:r>
              <w:t>12月底</w:t>
            </w:r>
          </w:p>
        </w:tc>
      </w:tr>
      <w:tr w14:paraId="04DC9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C4E43B"/>
        </w:tc>
        <w:tc>
          <w:tcPr>
            <w:tcW w:w="5103" w:type="dxa"/>
            <w:gridSpan w:val="2"/>
            <w:vAlign w:val="center"/>
          </w:tcPr>
          <w:p w14:paraId="75DEF65E">
            <w:pPr>
              <w:pStyle w:val="12"/>
            </w:pPr>
            <w:r>
              <w:t xml:space="preserve"> </w:t>
            </w:r>
          </w:p>
        </w:tc>
        <w:tc>
          <w:tcPr>
            <w:tcW w:w="2835" w:type="dxa"/>
            <w:vAlign w:val="center"/>
          </w:tcPr>
          <w:p w14:paraId="363642DE">
            <w:pPr>
              <w:pStyle w:val="12"/>
            </w:pPr>
            <w:r>
              <w:t>50%</w:t>
            </w:r>
          </w:p>
        </w:tc>
        <w:tc>
          <w:tcPr>
            <w:tcW w:w="2551" w:type="dxa"/>
            <w:vAlign w:val="center"/>
          </w:tcPr>
          <w:p w14:paraId="77AF12CA">
            <w:pPr>
              <w:pStyle w:val="12"/>
            </w:pPr>
            <w:r>
              <w:t>75%</w:t>
            </w:r>
          </w:p>
        </w:tc>
        <w:tc>
          <w:tcPr>
            <w:tcW w:w="3544" w:type="dxa"/>
            <w:gridSpan w:val="2"/>
            <w:vAlign w:val="center"/>
          </w:tcPr>
          <w:p w14:paraId="2233C119">
            <w:pPr>
              <w:pStyle w:val="12"/>
            </w:pPr>
            <w:r>
              <w:t>100%</w:t>
            </w:r>
          </w:p>
        </w:tc>
      </w:tr>
      <w:tr w14:paraId="15B2F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3AE45B">
            <w:pPr>
              <w:pStyle w:val="11"/>
            </w:pPr>
            <w:r>
              <w:t>绩效目标</w:t>
            </w:r>
          </w:p>
        </w:tc>
        <w:tc>
          <w:tcPr>
            <w:tcW w:w="14033" w:type="dxa"/>
            <w:gridSpan w:val="6"/>
            <w:vAlign w:val="center"/>
          </w:tcPr>
          <w:p w14:paraId="3897878F">
            <w:pPr>
              <w:pStyle w:val="13"/>
            </w:pPr>
            <w:r>
              <w:t>1.深入宣传学生免学费政策，落实普通高中建档立卡家庭困难学生免除学杂费政策</w:t>
            </w:r>
          </w:p>
        </w:tc>
      </w:tr>
    </w:tbl>
    <w:p w14:paraId="6EA57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68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3B7F0">
            <w:pPr>
              <w:pStyle w:val="11"/>
            </w:pPr>
            <w:r>
              <w:t>一级指标</w:t>
            </w:r>
          </w:p>
        </w:tc>
        <w:tc>
          <w:tcPr>
            <w:tcW w:w="2268" w:type="dxa"/>
            <w:vAlign w:val="center"/>
          </w:tcPr>
          <w:p w14:paraId="170124C5">
            <w:pPr>
              <w:pStyle w:val="11"/>
            </w:pPr>
            <w:r>
              <w:t>二级指标</w:t>
            </w:r>
          </w:p>
        </w:tc>
        <w:tc>
          <w:tcPr>
            <w:tcW w:w="2835" w:type="dxa"/>
            <w:vAlign w:val="center"/>
          </w:tcPr>
          <w:p w14:paraId="0713CE43">
            <w:pPr>
              <w:pStyle w:val="11"/>
            </w:pPr>
            <w:r>
              <w:t>三级指标</w:t>
            </w:r>
          </w:p>
        </w:tc>
        <w:tc>
          <w:tcPr>
            <w:tcW w:w="5386" w:type="dxa"/>
            <w:vAlign w:val="center"/>
          </w:tcPr>
          <w:p w14:paraId="3B512AC5">
            <w:pPr>
              <w:pStyle w:val="11"/>
            </w:pPr>
            <w:r>
              <w:t>绩效指标描述</w:t>
            </w:r>
          </w:p>
        </w:tc>
        <w:tc>
          <w:tcPr>
            <w:tcW w:w="2268" w:type="dxa"/>
            <w:vAlign w:val="center"/>
          </w:tcPr>
          <w:p w14:paraId="3774EE76">
            <w:pPr>
              <w:pStyle w:val="11"/>
            </w:pPr>
            <w:r>
              <w:t>指标值</w:t>
            </w:r>
          </w:p>
        </w:tc>
        <w:tc>
          <w:tcPr>
            <w:tcW w:w="1276" w:type="dxa"/>
            <w:vAlign w:val="center"/>
          </w:tcPr>
          <w:p w14:paraId="0FA15673">
            <w:pPr>
              <w:pStyle w:val="11"/>
            </w:pPr>
            <w:r>
              <w:t>指标值确定依据</w:t>
            </w:r>
          </w:p>
        </w:tc>
      </w:tr>
      <w:tr w14:paraId="0A3FF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2900C">
            <w:pPr>
              <w:pStyle w:val="12"/>
            </w:pPr>
            <w:r>
              <w:t>产出指标</w:t>
            </w:r>
          </w:p>
        </w:tc>
        <w:tc>
          <w:tcPr>
            <w:tcW w:w="2268" w:type="dxa"/>
            <w:vAlign w:val="center"/>
          </w:tcPr>
          <w:p w14:paraId="1ED000D7">
            <w:pPr>
              <w:pStyle w:val="13"/>
            </w:pPr>
            <w:r>
              <w:t>数量指标</w:t>
            </w:r>
          </w:p>
        </w:tc>
        <w:tc>
          <w:tcPr>
            <w:tcW w:w="2835" w:type="dxa"/>
            <w:vAlign w:val="center"/>
          </w:tcPr>
          <w:p w14:paraId="5B62A5C5">
            <w:pPr>
              <w:pStyle w:val="13"/>
            </w:pPr>
            <w:r>
              <w:t>普通高中资助人数</w:t>
            </w:r>
          </w:p>
        </w:tc>
        <w:tc>
          <w:tcPr>
            <w:tcW w:w="5386" w:type="dxa"/>
            <w:vAlign w:val="center"/>
          </w:tcPr>
          <w:p w14:paraId="2DE92B66">
            <w:pPr>
              <w:pStyle w:val="13"/>
            </w:pPr>
            <w:r>
              <w:t>在我校就读具有正式注册学籍的建档立卡家庭学生</w:t>
            </w:r>
          </w:p>
        </w:tc>
        <w:tc>
          <w:tcPr>
            <w:tcW w:w="2268" w:type="dxa"/>
            <w:vAlign w:val="center"/>
          </w:tcPr>
          <w:p w14:paraId="5A50888E">
            <w:pPr>
              <w:pStyle w:val="13"/>
            </w:pPr>
            <w:r>
              <w:t>85人</w:t>
            </w:r>
          </w:p>
        </w:tc>
        <w:tc>
          <w:tcPr>
            <w:tcW w:w="1276" w:type="dxa"/>
            <w:vAlign w:val="center"/>
          </w:tcPr>
          <w:p w14:paraId="1BE93CBE">
            <w:pPr>
              <w:pStyle w:val="13"/>
            </w:pPr>
            <w:r>
              <w:t>河北省建档立卡家庭经济困难学生资助管理暂行办法</w:t>
            </w:r>
          </w:p>
        </w:tc>
      </w:tr>
      <w:tr w14:paraId="595E1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BE42"/>
        </w:tc>
        <w:tc>
          <w:tcPr>
            <w:tcW w:w="2268" w:type="dxa"/>
            <w:vAlign w:val="center"/>
          </w:tcPr>
          <w:p w14:paraId="07BE55F7">
            <w:pPr>
              <w:pStyle w:val="13"/>
            </w:pPr>
            <w:r>
              <w:t>质量指标</w:t>
            </w:r>
          </w:p>
        </w:tc>
        <w:tc>
          <w:tcPr>
            <w:tcW w:w="2835" w:type="dxa"/>
            <w:vAlign w:val="center"/>
          </w:tcPr>
          <w:p w14:paraId="40F64227">
            <w:pPr>
              <w:pStyle w:val="13"/>
            </w:pPr>
            <w:r>
              <w:t>完成普高三免资金发放</w:t>
            </w:r>
          </w:p>
        </w:tc>
        <w:tc>
          <w:tcPr>
            <w:tcW w:w="5386" w:type="dxa"/>
            <w:vAlign w:val="center"/>
          </w:tcPr>
          <w:p w14:paraId="58BA92DD">
            <w:pPr>
              <w:pStyle w:val="13"/>
            </w:pPr>
            <w:r>
              <w:t>普高三免为建档立卡学生</w:t>
            </w:r>
          </w:p>
        </w:tc>
        <w:tc>
          <w:tcPr>
            <w:tcW w:w="2268" w:type="dxa"/>
            <w:vAlign w:val="center"/>
          </w:tcPr>
          <w:p w14:paraId="6A047F22">
            <w:pPr>
              <w:pStyle w:val="13"/>
            </w:pPr>
            <w:r>
              <w:t>100%</w:t>
            </w:r>
          </w:p>
        </w:tc>
        <w:tc>
          <w:tcPr>
            <w:tcW w:w="1276" w:type="dxa"/>
            <w:vAlign w:val="center"/>
          </w:tcPr>
          <w:p w14:paraId="5CDC6962">
            <w:pPr>
              <w:pStyle w:val="13"/>
            </w:pPr>
            <w:r>
              <w:t>河北省建档立卡家庭经济困难学生资助管理暂行办法</w:t>
            </w:r>
          </w:p>
        </w:tc>
      </w:tr>
      <w:tr w14:paraId="34809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529A2"/>
        </w:tc>
        <w:tc>
          <w:tcPr>
            <w:tcW w:w="2268" w:type="dxa"/>
            <w:vAlign w:val="center"/>
          </w:tcPr>
          <w:p w14:paraId="7472661B">
            <w:pPr>
              <w:pStyle w:val="13"/>
            </w:pPr>
            <w:r>
              <w:t>时效指标</w:t>
            </w:r>
          </w:p>
        </w:tc>
        <w:tc>
          <w:tcPr>
            <w:tcW w:w="2835" w:type="dxa"/>
            <w:vAlign w:val="center"/>
          </w:tcPr>
          <w:p w14:paraId="3C5137DC">
            <w:pPr>
              <w:pStyle w:val="13"/>
            </w:pPr>
            <w:r>
              <w:t>补助资金到位</w:t>
            </w:r>
          </w:p>
        </w:tc>
        <w:tc>
          <w:tcPr>
            <w:tcW w:w="5386" w:type="dxa"/>
            <w:vAlign w:val="center"/>
          </w:tcPr>
          <w:p w14:paraId="710083FF">
            <w:pPr>
              <w:pStyle w:val="13"/>
            </w:pPr>
            <w:r>
              <w:t>补助资金到位及时率</w:t>
            </w:r>
          </w:p>
        </w:tc>
        <w:tc>
          <w:tcPr>
            <w:tcW w:w="2268" w:type="dxa"/>
            <w:vAlign w:val="center"/>
          </w:tcPr>
          <w:p w14:paraId="5801A7EB">
            <w:pPr>
              <w:pStyle w:val="13"/>
            </w:pPr>
            <w:r>
              <w:t>≥100%</w:t>
            </w:r>
          </w:p>
        </w:tc>
        <w:tc>
          <w:tcPr>
            <w:tcW w:w="1276" w:type="dxa"/>
            <w:vAlign w:val="center"/>
          </w:tcPr>
          <w:p w14:paraId="05979081">
            <w:pPr>
              <w:pStyle w:val="13"/>
            </w:pPr>
            <w:r>
              <w:t>河北省建档立卡家庭经济困难学生资助管理暂行办法</w:t>
            </w:r>
          </w:p>
        </w:tc>
      </w:tr>
      <w:tr w14:paraId="1AF41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DCA32"/>
        </w:tc>
        <w:tc>
          <w:tcPr>
            <w:tcW w:w="2268" w:type="dxa"/>
            <w:vAlign w:val="center"/>
          </w:tcPr>
          <w:p w14:paraId="1486771A">
            <w:pPr>
              <w:pStyle w:val="13"/>
            </w:pPr>
            <w:r>
              <w:t>成本指标</w:t>
            </w:r>
          </w:p>
        </w:tc>
        <w:tc>
          <w:tcPr>
            <w:tcW w:w="2835" w:type="dxa"/>
            <w:vAlign w:val="center"/>
          </w:tcPr>
          <w:p w14:paraId="76316D77">
            <w:pPr>
              <w:pStyle w:val="13"/>
            </w:pPr>
            <w:r>
              <w:t>普通高中建档立卡学生减免标准</w:t>
            </w:r>
          </w:p>
        </w:tc>
        <w:tc>
          <w:tcPr>
            <w:tcW w:w="5386" w:type="dxa"/>
            <w:vAlign w:val="center"/>
          </w:tcPr>
          <w:p w14:paraId="3A9153FC">
            <w:pPr>
              <w:pStyle w:val="13"/>
            </w:pPr>
            <w:r>
              <w:t>学费1600元/生/年；住宿费500元/生/年；书费300元/生/年</w:t>
            </w:r>
          </w:p>
        </w:tc>
        <w:tc>
          <w:tcPr>
            <w:tcW w:w="2268" w:type="dxa"/>
            <w:vAlign w:val="center"/>
          </w:tcPr>
          <w:p w14:paraId="6FF646D1">
            <w:pPr>
              <w:pStyle w:val="13"/>
            </w:pPr>
            <w:r>
              <w:t>2800元</w:t>
            </w:r>
          </w:p>
        </w:tc>
        <w:tc>
          <w:tcPr>
            <w:tcW w:w="1276" w:type="dxa"/>
            <w:vAlign w:val="center"/>
          </w:tcPr>
          <w:p w14:paraId="411D4622">
            <w:pPr>
              <w:pStyle w:val="13"/>
            </w:pPr>
            <w:r>
              <w:t>河北省建档立卡家庭经济困难学生资助管理暂行办法</w:t>
            </w:r>
          </w:p>
        </w:tc>
      </w:tr>
      <w:tr w14:paraId="15283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4980A8">
            <w:pPr>
              <w:pStyle w:val="12"/>
            </w:pPr>
            <w:r>
              <w:t>效益指标</w:t>
            </w:r>
          </w:p>
        </w:tc>
        <w:tc>
          <w:tcPr>
            <w:tcW w:w="2268" w:type="dxa"/>
            <w:vAlign w:val="center"/>
          </w:tcPr>
          <w:p w14:paraId="13F3F8C5">
            <w:pPr>
              <w:pStyle w:val="13"/>
            </w:pPr>
            <w:r>
              <w:t>可持续影响指标</w:t>
            </w:r>
          </w:p>
        </w:tc>
        <w:tc>
          <w:tcPr>
            <w:tcW w:w="2835" w:type="dxa"/>
            <w:vAlign w:val="center"/>
          </w:tcPr>
          <w:p w14:paraId="3FC5AC3F">
            <w:pPr>
              <w:pStyle w:val="13"/>
            </w:pPr>
            <w:r>
              <w:t>高中运转</w:t>
            </w:r>
          </w:p>
        </w:tc>
        <w:tc>
          <w:tcPr>
            <w:tcW w:w="5386" w:type="dxa"/>
            <w:vAlign w:val="center"/>
          </w:tcPr>
          <w:p w14:paraId="18496AB8">
            <w:pPr>
              <w:pStyle w:val="13"/>
            </w:pPr>
            <w:r>
              <w:t>高中生受教育年限</w:t>
            </w:r>
          </w:p>
        </w:tc>
        <w:tc>
          <w:tcPr>
            <w:tcW w:w="2268" w:type="dxa"/>
            <w:vAlign w:val="center"/>
          </w:tcPr>
          <w:p w14:paraId="3992DB5B">
            <w:pPr>
              <w:pStyle w:val="13"/>
            </w:pPr>
            <w:r>
              <w:t>3年</w:t>
            </w:r>
          </w:p>
        </w:tc>
        <w:tc>
          <w:tcPr>
            <w:tcW w:w="1276" w:type="dxa"/>
            <w:vAlign w:val="center"/>
          </w:tcPr>
          <w:p w14:paraId="60E2382A">
            <w:pPr>
              <w:pStyle w:val="13"/>
            </w:pPr>
            <w:r>
              <w:t>河北省建档立卡家庭经济困难学生资助管理暂行办法</w:t>
            </w:r>
          </w:p>
        </w:tc>
      </w:tr>
      <w:tr w14:paraId="1EC7E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51DA67">
            <w:pPr>
              <w:pStyle w:val="12"/>
            </w:pPr>
            <w:r>
              <w:t>满意度指标</w:t>
            </w:r>
          </w:p>
        </w:tc>
        <w:tc>
          <w:tcPr>
            <w:tcW w:w="2268" w:type="dxa"/>
            <w:vAlign w:val="center"/>
          </w:tcPr>
          <w:p w14:paraId="649D1D79">
            <w:pPr>
              <w:pStyle w:val="13"/>
            </w:pPr>
            <w:r>
              <w:t>服务对象满意度指标</w:t>
            </w:r>
          </w:p>
        </w:tc>
        <w:tc>
          <w:tcPr>
            <w:tcW w:w="2835" w:type="dxa"/>
            <w:vAlign w:val="center"/>
          </w:tcPr>
          <w:p w14:paraId="75CFFD7B">
            <w:pPr>
              <w:pStyle w:val="13"/>
            </w:pPr>
            <w:r>
              <w:t>提升幸福指数</w:t>
            </w:r>
          </w:p>
        </w:tc>
        <w:tc>
          <w:tcPr>
            <w:tcW w:w="5386" w:type="dxa"/>
            <w:vAlign w:val="center"/>
          </w:tcPr>
          <w:p w14:paraId="60666EE0">
            <w:pPr>
              <w:pStyle w:val="13"/>
            </w:pPr>
            <w:r>
              <w:t>提升建档立卡贫困家庭学生幸福指数</w:t>
            </w:r>
          </w:p>
          <w:p w14:paraId="347C8949">
            <w:pPr>
              <w:pStyle w:val="13"/>
            </w:pPr>
            <w:r>
              <w:t>家长学生满意</w:t>
            </w:r>
          </w:p>
        </w:tc>
        <w:tc>
          <w:tcPr>
            <w:tcW w:w="2268" w:type="dxa"/>
            <w:vAlign w:val="center"/>
          </w:tcPr>
          <w:p w14:paraId="48BE261E">
            <w:pPr>
              <w:pStyle w:val="13"/>
            </w:pPr>
            <w:r>
              <w:t>≥98%</w:t>
            </w:r>
          </w:p>
        </w:tc>
        <w:tc>
          <w:tcPr>
            <w:tcW w:w="1276" w:type="dxa"/>
            <w:vAlign w:val="center"/>
          </w:tcPr>
          <w:p w14:paraId="64535836">
            <w:pPr>
              <w:pStyle w:val="13"/>
            </w:pPr>
            <w:r>
              <w:t>河北省建档立卡家庭经济困难学生资助管理暂行办法</w:t>
            </w:r>
          </w:p>
        </w:tc>
      </w:tr>
    </w:tbl>
    <w:p w14:paraId="1AC30C7E">
      <w:pPr>
        <w:sectPr>
          <w:pgSz w:w="16840" w:h="11900" w:orient="landscape"/>
          <w:pgMar w:top="1361" w:right="1020" w:bottom="1134" w:left="1020" w:header="720" w:footer="720" w:gutter="0"/>
          <w:cols w:space="720" w:num="1"/>
        </w:sectPr>
      </w:pPr>
    </w:p>
    <w:p w14:paraId="4537B222">
      <w:pPr>
        <w:spacing w:before="0" w:after="0"/>
        <w:ind w:firstLine="560"/>
        <w:jc w:val="left"/>
        <w:outlineLvl w:val="9"/>
      </w:pPr>
      <w:r>
        <w:rPr>
          <w:rFonts w:ascii="方正仿宋_GBK" w:hAnsi="方正仿宋_GBK" w:eastAsia="方正仿宋_GBK" w:cs="方正仿宋_GBK"/>
          <w:b/>
          <w:color w:val="000000"/>
          <w:sz w:val="28"/>
        </w:rPr>
        <w:t>28、冀财教[2024]125号/中央/2025年学生资助/普通高中三免（文茂中学）建档立卡绩效目标表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42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08E07">
            <w:pPr>
              <w:pStyle w:val="14"/>
            </w:pPr>
            <w:r>
              <w:t>单位：万元</w:t>
            </w:r>
          </w:p>
        </w:tc>
      </w:tr>
      <w:tr w14:paraId="36B2A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A99CC">
            <w:pPr>
              <w:pStyle w:val="11"/>
            </w:pPr>
            <w:r>
              <w:t>项目编码</w:t>
            </w:r>
          </w:p>
        </w:tc>
        <w:tc>
          <w:tcPr>
            <w:tcW w:w="5103" w:type="dxa"/>
            <w:gridSpan w:val="2"/>
            <w:vAlign w:val="center"/>
          </w:tcPr>
          <w:p w14:paraId="0696C7AA">
            <w:pPr>
              <w:pStyle w:val="13"/>
            </w:pPr>
            <w:r>
              <w:t>13052525P00001210032N</w:t>
            </w:r>
          </w:p>
        </w:tc>
        <w:tc>
          <w:tcPr>
            <w:tcW w:w="2835" w:type="dxa"/>
            <w:vAlign w:val="center"/>
          </w:tcPr>
          <w:p w14:paraId="20523402">
            <w:pPr>
              <w:pStyle w:val="11"/>
            </w:pPr>
            <w:r>
              <w:t>项目名称</w:t>
            </w:r>
          </w:p>
        </w:tc>
        <w:tc>
          <w:tcPr>
            <w:tcW w:w="6095" w:type="dxa"/>
            <w:gridSpan w:val="3"/>
            <w:vAlign w:val="center"/>
          </w:tcPr>
          <w:p w14:paraId="5044EC5F">
            <w:pPr>
              <w:pStyle w:val="13"/>
            </w:pPr>
            <w:r>
              <w:t>冀财教[2024]125号/中央/2025年学生资助/普通高中三免（文茂中学）建档立卡</w:t>
            </w:r>
          </w:p>
        </w:tc>
      </w:tr>
      <w:tr w14:paraId="7CF9A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5F955">
            <w:pPr>
              <w:pStyle w:val="11"/>
            </w:pPr>
            <w:r>
              <w:t>预算规模及资金用途</w:t>
            </w:r>
          </w:p>
        </w:tc>
        <w:tc>
          <w:tcPr>
            <w:tcW w:w="2268" w:type="dxa"/>
            <w:vAlign w:val="center"/>
          </w:tcPr>
          <w:p w14:paraId="3DEA01C6">
            <w:pPr>
              <w:pStyle w:val="11"/>
            </w:pPr>
            <w:r>
              <w:t>预算数</w:t>
            </w:r>
          </w:p>
        </w:tc>
        <w:tc>
          <w:tcPr>
            <w:tcW w:w="2835" w:type="dxa"/>
            <w:vAlign w:val="center"/>
          </w:tcPr>
          <w:p w14:paraId="26DFD420">
            <w:pPr>
              <w:pStyle w:val="13"/>
            </w:pPr>
            <w:r>
              <w:t>1.00</w:t>
            </w:r>
          </w:p>
        </w:tc>
        <w:tc>
          <w:tcPr>
            <w:tcW w:w="2835" w:type="dxa"/>
            <w:vAlign w:val="center"/>
          </w:tcPr>
          <w:p w14:paraId="0A0D1146">
            <w:pPr>
              <w:pStyle w:val="11"/>
            </w:pPr>
            <w:r>
              <w:t>其中：财政    资金</w:t>
            </w:r>
          </w:p>
        </w:tc>
        <w:tc>
          <w:tcPr>
            <w:tcW w:w="2551" w:type="dxa"/>
            <w:vAlign w:val="center"/>
          </w:tcPr>
          <w:p w14:paraId="7BAF8706">
            <w:pPr>
              <w:pStyle w:val="13"/>
            </w:pPr>
            <w:r>
              <w:t>1.00</w:t>
            </w:r>
          </w:p>
        </w:tc>
        <w:tc>
          <w:tcPr>
            <w:tcW w:w="2268" w:type="dxa"/>
            <w:vAlign w:val="center"/>
          </w:tcPr>
          <w:p w14:paraId="78F1F0EA">
            <w:pPr>
              <w:pStyle w:val="11"/>
            </w:pPr>
            <w:r>
              <w:t>其他资金</w:t>
            </w:r>
          </w:p>
        </w:tc>
        <w:tc>
          <w:tcPr>
            <w:tcW w:w="1276" w:type="dxa"/>
            <w:vAlign w:val="center"/>
          </w:tcPr>
          <w:p w14:paraId="620970EB">
            <w:pPr>
              <w:pStyle w:val="13"/>
            </w:pPr>
            <w:r>
              <w:t xml:space="preserve"> </w:t>
            </w:r>
          </w:p>
        </w:tc>
      </w:tr>
      <w:tr w14:paraId="769EE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EBCA51"/>
        </w:tc>
        <w:tc>
          <w:tcPr>
            <w:tcW w:w="14033" w:type="dxa"/>
            <w:gridSpan w:val="6"/>
            <w:vAlign w:val="center"/>
          </w:tcPr>
          <w:p w14:paraId="5CE800F6">
            <w:pPr>
              <w:pStyle w:val="13"/>
            </w:pPr>
            <w:r>
              <w:t>深入宣传学生免学费政策，落实普通高中建档立卡家庭困难学生免除学杂费政策</w:t>
            </w:r>
            <w:r>
              <w:tab/>
            </w:r>
            <w:r>
              <w:tab/>
            </w:r>
            <w:r>
              <w:tab/>
            </w:r>
            <w:r>
              <w:tab/>
            </w:r>
            <w:r>
              <w:tab/>
            </w:r>
            <w:r>
              <w:tab/>
            </w:r>
          </w:p>
          <w:p w14:paraId="5DDF8AFB">
            <w:pPr>
              <w:pStyle w:val="13"/>
            </w:pPr>
          </w:p>
        </w:tc>
      </w:tr>
      <w:tr w14:paraId="33C1F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CFCEE">
            <w:pPr>
              <w:pStyle w:val="11"/>
            </w:pPr>
            <w:r>
              <w:t>资金支出计划（%）</w:t>
            </w:r>
          </w:p>
        </w:tc>
        <w:tc>
          <w:tcPr>
            <w:tcW w:w="5103" w:type="dxa"/>
            <w:gridSpan w:val="2"/>
            <w:vAlign w:val="center"/>
          </w:tcPr>
          <w:p w14:paraId="6468BE0E">
            <w:pPr>
              <w:pStyle w:val="11"/>
            </w:pPr>
            <w:r>
              <w:t>3月底</w:t>
            </w:r>
          </w:p>
        </w:tc>
        <w:tc>
          <w:tcPr>
            <w:tcW w:w="2835" w:type="dxa"/>
            <w:vAlign w:val="center"/>
          </w:tcPr>
          <w:p w14:paraId="36DB891A">
            <w:pPr>
              <w:pStyle w:val="11"/>
            </w:pPr>
            <w:r>
              <w:t>6月底</w:t>
            </w:r>
          </w:p>
        </w:tc>
        <w:tc>
          <w:tcPr>
            <w:tcW w:w="2551" w:type="dxa"/>
            <w:vAlign w:val="center"/>
          </w:tcPr>
          <w:p w14:paraId="02FE42CF">
            <w:pPr>
              <w:pStyle w:val="11"/>
            </w:pPr>
            <w:r>
              <w:t>10月底</w:t>
            </w:r>
          </w:p>
        </w:tc>
        <w:tc>
          <w:tcPr>
            <w:tcW w:w="3544" w:type="dxa"/>
            <w:gridSpan w:val="2"/>
            <w:vAlign w:val="center"/>
          </w:tcPr>
          <w:p w14:paraId="3D174468">
            <w:pPr>
              <w:pStyle w:val="11"/>
            </w:pPr>
            <w:r>
              <w:t>12月底</w:t>
            </w:r>
          </w:p>
        </w:tc>
      </w:tr>
      <w:tr w14:paraId="0FC4B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FEE16"/>
        </w:tc>
        <w:tc>
          <w:tcPr>
            <w:tcW w:w="5103" w:type="dxa"/>
            <w:gridSpan w:val="2"/>
            <w:vAlign w:val="center"/>
          </w:tcPr>
          <w:p w14:paraId="724389B7">
            <w:pPr>
              <w:pStyle w:val="12"/>
            </w:pPr>
            <w:r>
              <w:t xml:space="preserve"> </w:t>
            </w:r>
          </w:p>
        </w:tc>
        <w:tc>
          <w:tcPr>
            <w:tcW w:w="2835" w:type="dxa"/>
            <w:vAlign w:val="center"/>
          </w:tcPr>
          <w:p w14:paraId="2D58A226">
            <w:pPr>
              <w:pStyle w:val="12"/>
            </w:pPr>
            <w:r>
              <w:t>50%</w:t>
            </w:r>
          </w:p>
        </w:tc>
        <w:tc>
          <w:tcPr>
            <w:tcW w:w="2551" w:type="dxa"/>
            <w:vAlign w:val="center"/>
          </w:tcPr>
          <w:p w14:paraId="276F5185">
            <w:pPr>
              <w:pStyle w:val="12"/>
            </w:pPr>
            <w:r>
              <w:t>75%</w:t>
            </w:r>
          </w:p>
        </w:tc>
        <w:tc>
          <w:tcPr>
            <w:tcW w:w="3544" w:type="dxa"/>
            <w:gridSpan w:val="2"/>
            <w:vAlign w:val="center"/>
          </w:tcPr>
          <w:p w14:paraId="50095DFE">
            <w:pPr>
              <w:pStyle w:val="12"/>
            </w:pPr>
            <w:r>
              <w:t>100%</w:t>
            </w:r>
          </w:p>
        </w:tc>
      </w:tr>
      <w:tr w14:paraId="551B5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97A8D">
            <w:pPr>
              <w:pStyle w:val="11"/>
            </w:pPr>
            <w:r>
              <w:t>绩效目标</w:t>
            </w:r>
          </w:p>
        </w:tc>
        <w:tc>
          <w:tcPr>
            <w:tcW w:w="14033" w:type="dxa"/>
            <w:gridSpan w:val="6"/>
            <w:vAlign w:val="center"/>
          </w:tcPr>
          <w:p w14:paraId="31FD3634">
            <w:pPr>
              <w:pStyle w:val="13"/>
            </w:pPr>
            <w:r>
              <w:t>1.深入宣传学生免学费政策，落实普通高中建档立卡家庭困难学生免除学杂费政策</w:t>
            </w:r>
          </w:p>
        </w:tc>
      </w:tr>
    </w:tbl>
    <w:p w14:paraId="7526A4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E2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0A944">
            <w:pPr>
              <w:pStyle w:val="11"/>
            </w:pPr>
            <w:r>
              <w:t>一级指标</w:t>
            </w:r>
          </w:p>
        </w:tc>
        <w:tc>
          <w:tcPr>
            <w:tcW w:w="2268" w:type="dxa"/>
            <w:vAlign w:val="center"/>
          </w:tcPr>
          <w:p w14:paraId="2C8EB541">
            <w:pPr>
              <w:pStyle w:val="11"/>
            </w:pPr>
            <w:r>
              <w:t>二级指标</w:t>
            </w:r>
          </w:p>
        </w:tc>
        <w:tc>
          <w:tcPr>
            <w:tcW w:w="2835" w:type="dxa"/>
            <w:vAlign w:val="center"/>
          </w:tcPr>
          <w:p w14:paraId="582CF495">
            <w:pPr>
              <w:pStyle w:val="11"/>
            </w:pPr>
            <w:r>
              <w:t>三级指标</w:t>
            </w:r>
          </w:p>
        </w:tc>
        <w:tc>
          <w:tcPr>
            <w:tcW w:w="5386" w:type="dxa"/>
            <w:vAlign w:val="center"/>
          </w:tcPr>
          <w:p w14:paraId="2E682E2A">
            <w:pPr>
              <w:pStyle w:val="11"/>
            </w:pPr>
            <w:r>
              <w:t>绩效指标描述</w:t>
            </w:r>
          </w:p>
        </w:tc>
        <w:tc>
          <w:tcPr>
            <w:tcW w:w="2268" w:type="dxa"/>
            <w:vAlign w:val="center"/>
          </w:tcPr>
          <w:p w14:paraId="06F9B0A2">
            <w:pPr>
              <w:pStyle w:val="11"/>
            </w:pPr>
            <w:r>
              <w:t>指标值</w:t>
            </w:r>
          </w:p>
        </w:tc>
        <w:tc>
          <w:tcPr>
            <w:tcW w:w="1276" w:type="dxa"/>
            <w:vAlign w:val="center"/>
          </w:tcPr>
          <w:p w14:paraId="203FFF93">
            <w:pPr>
              <w:pStyle w:val="11"/>
            </w:pPr>
            <w:r>
              <w:t>指标值确定依据</w:t>
            </w:r>
          </w:p>
        </w:tc>
      </w:tr>
      <w:tr w14:paraId="4F974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E295B">
            <w:pPr>
              <w:pStyle w:val="12"/>
            </w:pPr>
            <w:r>
              <w:t>产出指标</w:t>
            </w:r>
          </w:p>
        </w:tc>
        <w:tc>
          <w:tcPr>
            <w:tcW w:w="2268" w:type="dxa"/>
            <w:vAlign w:val="center"/>
          </w:tcPr>
          <w:p w14:paraId="31CD111A">
            <w:pPr>
              <w:pStyle w:val="13"/>
            </w:pPr>
            <w:r>
              <w:t>数量指标</w:t>
            </w:r>
          </w:p>
        </w:tc>
        <w:tc>
          <w:tcPr>
            <w:tcW w:w="2835" w:type="dxa"/>
            <w:vAlign w:val="center"/>
          </w:tcPr>
          <w:p w14:paraId="15B8C34B">
            <w:pPr>
              <w:pStyle w:val="13"/>
            </w:pPr>
            <w:r>
              <w:t>普通高中资助人数</w:t>
            </w:r>
          </w:p>
        </w:tc>
        <w:tc>
          <w:tcPr>
            <w:tcW w:w="5386" w:type="dxa"/>
            <w:vAlign w:val="center"/>
          </w:tcPr>
          <w:p w14:paraId="5B1A04CC">
            <w:pPr>
              <w:pStyle w:val="13"/>
            </w:pPr>
            <w:r>
              <w:t>在我校就读具有正式注册学籍的建档立卡家庭学生</w:t>
            </w:r>
          </w:p>
        </w:tc>
        <w:tc>
          <w:tcPr>
            <w:tcW w:w="2268" w:type="dxa"/>
            <w:vAlign w:val="center"/>
          </w:tcPr>
          <w:p w14:paraId="64F5DCF8">
            <w:pPr>
              <w:pStyle w:val="13"/>
            </w:pPr>
            <w:r>
              <w:t>53人</w:t>
            </w:r>
          </w:p>
        </w:tc>
        <w:tc>
          <w:tcPr>
            <w:tcW w:w="1276" w:type="dxa"/>
            <w:vAlign w:val="center"/>
          </w:tcPr>
          <w:p w14:paraId="46B317D4">
            <w:pPr>
              <w:pStyle w:val="13"/>
            </w:pPr>
            <w:r>
              <w:t>河北省建档立卡家庭经济困难学生资助管理暂行办法</w:t>
            </w:r>
          </w:p>
        </w:tc>
      </w:tr>
      <w:tr w14:paraId="24217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5272A"/>
        </w:tc>
        <w:tc>
          <w:tcPr>
            <w:tcW w:w="2268" w:type="dxa"/>
            <w:vAlign w:val="center"/>
          </w:tcPr>
          <w:p w14:paraId="1F074ED3">
            <w:pPr>
              <w:pStyle w:val="13"/>
            </w:pPr>
            <w:r>
              <w:t>质量指标</w:t>
            </w:r>
          </w:p>
        </w:tc>
        <w:tc>
          <w:tcPr>
            <w:tcW w:w="2835" w:type="dxa"/>
            <w:vAlign w:val="center"/>
          </w:tcPr>
          <w:p w14:paraId="19FA9AF3">
            <w:pPr>
              <w:pStyle w:val="13"/>
            </w:pPr>
            <w:r>
              <w:t>完成普高三免资金发放</w:t>
            </w:r>
          </w:p>
        </w:tc>
        <w:tc>
          <w:tcPr>
            <w:tcW w:w="5386" w:type="dxa"/>
            <w:vAlign w:val="center"/>
          </w:tcPr>
          <w:p w14:paraId="74A5CB96">
            <w:pPr>
              <w:pStyle w:val="13"/>
            </w:pPr>
            <w:r>
              <w:t>普高三免为建档立卡学生</w:t>
            </w:r>
          </w:p>
        </w:tc>
        <w:tc>
          <w:tcPr>
            <w:tcW w:w="2268" w:type="dxa"/>
            <w:vAlign w:val="center"/>
          </w:tcPr>
          <w:p w14:paraId="0F71E0DC">
            <w:pPr>
              <w:pStyle w:val="13"/>
            </w:pPr>
            <w:r>
              <w:t>≥100%</w:t>
            </w:r>
          </w:p>
        </w:tc>
        <w:tc>
          <w:tcPr>
            <w:tcW w:w="1276" w:type="dxa"/>
            <w:vAlign w:val="center"/>
          </w:tcPr>
          <w:p w14:paraId="683C1A8B">
            <w:pPr>
              <w:pStyle w:val="13"/>
            </w:pPr>
            <w:r>
              <w:t>河北省建档立卡家庭经济困难学生资助管理暂行办法</w:t>
            </w:r>
          </w:p>
        </w:tc>
      </w:tr>
      <w:tr w14:paraId="57C02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E459"/>
        </w:tc>
        <w:tc>
          <w:tcPr>
            <w:tcW w:w="2268" w:type="dxa"/>
            <w:vAlign w:val="center"/>
          </w:tcPr>
          <w:p w14:paraId="2B409546">
            <w:pPr>
              <w:pStyle w:val="13"/>
            </w:pPr>
            <w:r>
              <w:t>时效指标</w:t>
            </w:r>
          </w:p>
        </w:tc>
        <w:tc>
          <w:tcPr>
            <w:tcW w:w="2835" w:type="dxa"/>
            <w:vAlign w:val="center"/>
          </w:tcPr>
          <w:p w14:paraId="1FFE230F">
            <w:pPr>
              <w:pStyle w:val="13"/>
            </w:pPr>
            <w:r>
              <w:t>补助资金到位</w:t>
            </w:r>
          </w:p>
        </w:tc>
        <w:tc>
          <w:tcPr>
            <w:tcW w:w="5386" w:type="dxa"/>
            <w:vAlign w:val="center"/>
          </w:tcPr>
          <w:p w14:paraId="74954874">
            <w:pPr>
              <w:pStyle w:val="13"/>
            </w:pPr>
            <w:r>
              <w:t>补助资金到位及时率</w:t>
            </w:r>
          </w:p>
        </w:tc>
        <w:tc>
          <w:tcPr>
            <w:tcW w:w="2268" w:type="dxa"/>
            <w:vAlign w:val="center"/>
          </w:tcPr>
          <w:p w14:paraId="65E61274">
            <w:pPr>
              <w:pStyle w:val="13"/>
            </w:pPr>
            <w:r>
              <w:t>≥100%</w:t>
            </w:r>
          </w:p>
        </w:tc>
        <w:tc>
          <w:tcPr>
            <w:tcW w:w="1276" w:type="dxa"/>
            <w:vAlign w:val="center"/>
          </w:tcPr>
          <w:p w14:paraId="0CC073D8">
            <w:pPr>
              <w:pStyle w:val="13"/>
            </w:pPr>
            <w:r>
              <w:t>河北省建档立卡家庭经济困难学生资助管理暂行办法</w:t>
            </w:r>
          </w:p>
        </w:tc>
      </w:tr>
      <w:tr w14:paraId="70F59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7D3F0"/>
        </w:tc>
        <w:tc>
          <w:tcPr>
            <w:tcW w:w="2268" w:type="dxa"/>
            <w:vAlign w:val="center"/>
          </w:tcPr>
          <w:p w14:paraId="48377749">
            <w:pPr>
              <w:pStyle w:val="13"/>
            </w:pPr>
            <w:r>
              <w:t>成本指标</w:t>
            </w:r>
          </w:p>
        </w:tc>
        <w:tc>
          <w:tcPr>
            <w:tcW w:w="2835" w:type="dxa"/>
            <w:vAlign w:val="center"/>
          </w:tcPr>
          <w:p w14:paraId="79292A7C">
            <w:pPr>
              <w:pStyle w:val="13"/>
            </w:pPr>
            <w:r>
              <w:t>普通高中建档立卡学生减免标准</w:t>
            </w:r>
          </w:p>
        </w:tc>
        <w:tc>
          <w:tcPr>
            <w:tcW w:w="5386" w:type="dxa"/>
            <w:vAlign w:val="center"/>
          </w:tcPr>
          <w:p w14:paraId="20AE7901">
            <w:pPr>
              <w:pStyle w:val="13"/>
            </w:pPr>
            <w:r>
              <w:t>学费1600元/生/年；住宿费500元/生/年；书费300元/生/年</w:t>
            </w:r>
          </w:p>
        </w:tc>
        <w:tc>
          <w:tcPr>
            <w:tcW w:w="2268" w:type="dxa"/>
            <w:vAlign w:val="center"/>
          </w:tcPr>
          <w:p w14:paraId="3B2CBDEF">
            <w:pPr>
              <w:pStyle w:val="13"/>
            </w:pPr>
            <w:r>
              <w:t>2800元</w:t>
            </w:r>
          </w:p>
        </w:tc>
        <w:tc>
          <w:tcPr>
            <w:tcW w:w="1276" w:type="dxa"/>
            <w:vAlign w:val="center"/>
          </w:tcPr>
          <w:p w14:paraId="26BDF7A7">
            <w:pPr>
              <w:pStyle w:val="13"/>
            </w:pPr>
            <w:r>
              <w:t>河北省建档立卡家庭经济困难学生资助管理暂行办法</w:t>
            </w:r>
          </w:p>
        </w:tc>
      </w:tr>
      <w:tr w14:paraId="262CD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4092C2">
            <w:pPr>
              <w:pStyle w:val="12"/>
            </w:pPr>
            <w:r>
              <w:t>效益指标</w:t>
            </w:r>
          </w:p>
        </w:tc>
        <w:tc>
          <w:tcPr>
            <w:tcW w:w="2268" w:type="dxa"/>
            <w:vAlign w:val="center"/>
          </w:tcPr>
          <w:p w14:paraId="0E852288">
            <w:pPr>
              <w:pStyle w:val="13"/>
            </w:pPr>
            <w:r>
              <w:t>可持续影响指标</w:t>
            </w:r>
          </w:p>
        </w:tc>
        <w:tc>
          <w:tcPr>
            <w:tcW w:w="2835" w:type="dxa"/>
            <w:vAlign w:val="center"/>
          </w:tcPr>
          <w:p w14:paraId="050EE6CC">
            <w:pPr>
              <w:pStyle w:val="13"/>
            </w:pPr>
            <w:r>
              <w:t>高中运转</w:t>
            </w:r>
          </w:p>
        </w:tc>
        <w:tc>
          <w:tcPr>
            <w:tcW w:w="5386" w:type="dxa"/>
            <w:vAlign w:val="center"/>
          </w:tcPr>
          <w:p w14:paraId="727A165B">
            <w:pPr>
              <w:pStyle w:val="13"/>
            </w:pPr>
            <w:r>
              <w:t>高中生受教育年限</w:t>
            </w:r>
          </w:p>
        </w:tc>
        <w:tc>
          <w:tcPr>
            <w:tcW w:w="2268" w:type="dxa"/>
            <w:vAlign w:val="center"/>
          </w:tcPr>
          <w:p w14:paraId="0F21067E">
            <w:pPr>
              <w:pStyle w:val="13"/>
            </w:pPr>
            <w:r>
              <w:t>3年</w:t>
            </w:r>
          </w:p>
        </w:tc>
        <w:tc>
          <w:tcPr>
            <w:tcW w:w="1276" w:type="dxa"/>
            <w:vAlign w:val="center"/>
          </w:tcPr>
          <w:p w14:paraId="17398D97">
            <w:pPr>
              <w:pStyle w:val="13"/>
            </w:pPr>
            <w:r>
              <w:t>河北省建档立卡家庭经济困难学生资助管理暂行办法</w:t>
            </w:r>
          </w:p>
        </w:tc>
      </w:tr>
      <w:tr w14:paraId="1C5C3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CCC151">
            <w:pPr>
              <w:pStyle w:val="12"/>
            </w:pPr>
            <w:r>
              <w:t>满意度指标</w:t>
            </w:r>
          </w:p>
        </w:tc>
        <w:tc>
          <w:tcPr>
            <w:tcW w:w="2268" w:type="dxa"/>
            <w:vAlign w:val="center"/>
          </w:tcPr>
          <w:p w14:paraId="52152420">
            <w:pPr>
              <w:pStyle w:val="13"/>
            </w:pPr>
            <w:r>
              <w:t>服务对象满意度指标</w:t>
            </w:r>
          </w:p>
        </w:tc>
        <w:tc>
          <w:tcPr>
            <w:tcW w:w="2835" w:type="dxa"/>
            <w:vAlign w:val="center"/>
          </w:tcPr>
          <w:p w14:paraId="3843FED5">
            <w:pPr>
              <w:pStyle w:val="13"/>
            </w:pPr>
            <w:r>
              <w:t>提升幸福指数</w:t>
            </w:r>
          </w:p>
        </w:tc>
        <w:tc>
          <w:tcPr>
            <w:tcW w:w="5386" w:type="dxa"/>
            <w:vAlign w:val="center"/>
          </w:tcPr>
          <w:p w14:paraId="13DC2A75">
            <w:pPr>
              <w:pStyle w:val="13"/>
            </w:pPr>
            <w:r>
              <w:t>提升建档立卡贫困家庭学生幸福指数</w:t>
            </w:r>
          </w:p>
          <w:p w14:paraId="4A944594">
            <w:pPr>
              <w:pStyle w:val="13"/>
            </w:pPr>
            <w:r>
              <w:t>家长学生满意</w:t>
            </w:r>
          </w:p>
        </w:tc>
        <w:tc>
          <w:tcPr>
            <w:tcW w:w="2268" w:type="dxa"/>
            <w:vAlign w:val="center"/>
          </w:tcPr>
          <w:p w14:paraId="0D45775D">
            <w:pPr>
              <w:pStyle w:val="13"/>
            </w:pPr>
            <w:r>
              <w:t>≥98%</w:t>
            </w:r>
          </w:p>
        </w:tc>
        <w:tc>
          <w:tcPr>
            <w:tcW w:w="1276" w:type="dxa"/>
            <w:vAlign w:val="center"/>
          </w:tcPr>
          <w:p w14:paraId="2EFE39E0">
            <w:pPr>
              <w:pStyle w:val="13"/>
            </w:pPr>
            <w:r>
              <w:t>河北省建档立卡家庭经济困难学生资助管理暂行办法</w:t>
            </w:r>
          </w:p>
        </w:tc>
      </w:tr>
    </w:tbl>
    <w:p w14:paraId="3DC03548">
      <w:pPr>
        <w:sectPr>
          <w:pgSz w:w="16840" w:h="11900" w:orient="landscape"/>
          <w:pgMar w:top="1361" w:right="1020" w:bottom="1134" w:left="1020" w:header="720" w:footer="720" w:gutter="0"/>
          <w:cols w:space="720" w:num="1"/>
        </w:sectPr>
      </w:pPr>
    </w:p>
    <w:p w14:paraId="03440DF1">
      <w:pPr>
        <w:spacing w:before="0" w:after="0"/>
        <w:ind w:firstLine="560"/>
        <w:jc w:val="left"/>
        <w:outlineLvl w:val="9"/>
      </w:pPr>
      <w:r>
        <w:rPr>
          <w:rFonts w:ascii="方正仿宋_GBK" w:hAnsi="方正仿宋_GBK" w:eastAsia="方正仿宋_GBK" w:cs="方正仿宋_GBK"/>
          <w:b/>
          <w:color w:val="000000"/>
          <w:sz w:val="28"/>
        </w:rPr>
        <w:t>29、冀财教[2024]125号/中央/2025年学生资助/普通高中助学金（唐尧中学）绩效目标表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03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3EB9A">
            <w:pPr>
              <w:pStyle w:val="14"/>
            </w:pPr>
            <w:r>
              <w:t>单位：万元</w:t>
            </w:r>
          </w:p>
        </w:tc>
      </w:tr>
      <w:tr w14:paraId="36F8A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8E01D">
            <w:pPr>
              <w:pStyle w:val="11"/>
            </w:pPr>
            <w:r>
              <w:t>项目编码</w:t>
            </w:r>
          </w:p>
        </w:tc>
        <w:tc>
          <w:tcPr>
            <w:tcW w:w="5103" w:type="dxa"/>
            <w:gridSpan w:val="2"/>
            <w:vAlign w:val="center"/>
          </w:tcPr>
          <w:p w14:paraId="057837A0">
            <w:pPr>
              <w:pStyle w:val="13"/>
            </w:pPr>
            <w:r>
              <w:t>13052525P00001210037Q</w:t>
            </w:r>
          </w:p>
        </w:tc>
        <w:tc>
          <w:tcPr>
            <w:tcW w:w="2835" w:type="dxa"/>
            <w:vAlign w:val="center"/>
          </w:tcPr>
          <w:p w14:paraId="7C4BCDDC">
            <w:pPr>
              <w:pStyle w:val="11"/>
            </w:pPr>
            <w:r>
              <w:t>项目名称</w:t>
            </w:r>
          </w:p>
        </w:tc>
        <w:tc>
          <w:tcPr>
            <w:tcW w:w="6095" w:type="dxa"/>
            <w:gridSpan w:val="3"/>
            <w:vAlign w:val="center"/>
          </w:tcPr>
          <w:p w14:paraId="359B881A">
            <w:pPr>
              <w:pStyle w:val="13"/>
            </w:pPr>
            <w:r>
              <w:t>冀财教[2024]125号/中央/2025年学生资助/普通高中助学金（唐尧中学）</w:t>
            </w:r>
          </w:p>
        </w:tc>
      </w:tr>
      <w:tr w14:paraId="198D3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30599">
            <w:pPr>
              <w:pStyle w:val="11"/>
            </w:pPr>
            <w:r>
              <w:t>预算规模及资金用途</w:t>
            </w:r>
          </w:p>
        </w:tc>
        <w:tc>
          <w:tcPr>
            <w:tcW w:w="2268" w:type="dxa"/>
            <w:vAlign w:val="center"/>
          </w:tcPr>
          <w:p w14:paraId="2C37CF87">
            <w:pPr>
              <w:pStyle w:val="11"/>
            </w:pPr>
            <w:r>
              <w:t>预算数</w:t>
            </w:r>
          </w:p>
        </w:tc>
        <w:tc>
          <w:tcPr>
            <w:tcW w:w="2835" w:type="dxa"/>
            <w:vAlign w:val="center"/>
          </w:tcPr>
          <w:p w14:paraId="3C98FA8D">
            <w:pPr>
              <w:pStyle w:val="13"/>
            </w:pPr>
            <w:r>
              <w:t>31.00</w:t>
            </w:r>
          </w:p>
        </w:tc>
        <w:tc>
          <w:tcPr>
            <w:tcW w:w="2835" w:type="dxa"/>
            <w:vAlign w:val="center"/>
          </w:tcPr>
          <w:p w14:paraId="37DB13B7">
            <w:pPr>
              <w:pStyle w:val="11"/>
            </w:pPr>
            <w:r>
              <w:t>其中：财政    资金</w:t>
            </w:r>
          </w:p>
        </w:tc>
        <w:tc>
          <w:tcPr>
            <w:tcW w:w="2551" w:type="dxa"/>
            <w:vAlign w:val="center"/>
          </w:tcPr>
          <w:p w14:paraId="712791B0">
            <w:pPr>
              <w:pStyle w:val="13"/>
            </w:pPr>
            <w:r>
              <w:t>31.00</w:t>
            </w:r>
          </w:p>
        </w:tc>
        <w:tc>
          <w:tcPr>
            <w:tcW w:w="2268" w:type="dxa"/>
            <w:vAlign w:val="center"/>
          </w:tcPr>
          <w:p w14:paraId="16A5138C">
            <w:pPr>
              <w:pStyle w:val="11"/>
            </w:pPr>
            <w:r>
              <w:t>其他资金</w:t>
            </w:r>
          </w:p>
        </w:tc>
        <w:tc>
          <w:tcPr>
            <w:tcW w:w="1276" w:type="dxa"/>
            <w:vAlign w:val="center"/>
          </w:tcPr>
          <w:p w14:paraId="501041F7">
            <w:pPr>
              <w:pStyle w:val="13"/>
            </w:pPr>
            <w:r>
              <w:t xml:space="preserve"> </w:t>
            </w:r>
          </w:p>
        </w:tc>
      </w:tr>
      <w:tr w14:paraId="15D24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1A85A"/>
        </w:tc>
        <w:tc>
          <w:tcPr>
            <w:tcW w:w="14033" w:type="dxa"/>
            <w:gridSpan w:val="6"/>
            <w:vAlign w:val="center"/>
          </w:tcPr>
          <w:p w14:paraId="6F8D68C4">
            <w:pPr>
              <w:pStyle w:val="13"/>
            </w:pPr>
            <w:r>
              <w:t>深入宣传学生资助政策，落实河北省普通高中国家助学金管理办法</w:t>
            </w:r>
          </w:p>
        </w:tc>
      </w:tr>
      <w:tr w14:paraId="2C534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EB354">
            <w:pPr>
              <w:pStyle w:val="11"/>
            </w:pPr>
            <w:r>
              <w:t>资金支出计划（%）</w:t>
            </w:r>
          </w:p>
        </w:tc>
        <w:tc>
          <w:tcPr>
            <w:tcW w:w="5103" w:type="dxa"/>
            <w:gridSpan w:val="2"/>
            <w:vAlign w:val="center"/>
          </w:tcPr>
          <w:p w14:paraId="644E4092">
            <w:pPr>
              <w:pStyle w:val="11"/>
            </w:pPr>
            <w:r>
              <w:t>3月底</w:t>
            </w:r>
          </w:p>
        </w:tc>
        <w:tc>
          <w:tcPr>
            <w:tcW w:w="2835" w:type="dxa"/>
            <w:vAlign w:val="center"/>
          </w:tcPr>
          <w:p w14:paraId="24B09323">
            <w:pPr>
              <w:pStyle w:val="11"/>
            </w:pPr>
            <w:r>
              <w:t>6月底</w:t>
            </w:r>
          </w:p>
        </w:tc>
        <w:tc>
          <w:tcPr>
            <w:tcW w:w="2551" w:type="dxa"/>
            <w:vAlign w:val="center"/>
          </w:tcPr>
          <w:p w14:paraId="6B97049A">
            <w:pPr>
              <w:pStyle w:val="11"/>
            </w:pPr>
            <w:r>
              <w:t>10月底</w:t>
            </w:r>
          </w:p>
        </w:tc>
        <w:tc>
          <w:tcPr>
            <w:tcW w:w="3544" w:type="dxa"/>
            <w:gridSpan w:val="2"/>
            <w:vAlign w:val="center"/>
          </w:tcPr>
          <w:p w14:paraId="43326B2D">
            <w:pPr>
              <w:pStyle w:val="11"/>
            </w:pPr>
            <w:r>
              <w:t>12月底</w:t>
            </w:r>
          </w:p>
        </w:tc>
      </w:tr>
      <w:tr w14:paraId="38B09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BBD2B"/>
        </w:tc>
        <w:tc>
          <w:tcPr>
            <w:tcW w:w="5103" w:type="dxa"/>
            <w:gridSpan w:val="2"/>
            <w:vAlign w:val="center"/>
          </w:tcPr>
          <w:p w14:paraId="6A3EEAA3">
            <w:pPr>
              <w:pStyle w:val="12"/>
            </w:pPr>
            <w:r>
              <w:t xml:space="preserve"> </w:t>
            </w:r>
          </w:p>
        </w:tc>
        <w:tc>
          <w:tcPr>
            <w:tcW w:w="2835" w:type="dxa"/>
            <w:vAlign w:val="center"/>
          </w:tcPr>
          <w:p w14:paraId="18B771EC">
            <w:pPr>
              <w:pStyle w:val="12"/>
            </w:pPr>
            <w:r>
              <w:t>50%</w:t>
            </w:r>
          </w:p>
        </w:tc>
        <w:tc>
          <w:tcPr>
            <w:tcW w:w="2551" w:type="dxa"/>
            <w:vAlign w:val="center"/>
          </w:tcPr>
          <w:p w14:paraId="4131C4D3">
            <w:pPr>
              <w:pStyle w:val="12"/>
            </w:pPr>
            <w:r>
              <w:t>75%</w:t>
            </w:r>
          </w:p>
        </w:tc>
        <w:tc>
          <w:tcPr>
            <w:tcW w:w="3544" w:type="dxa"/>
            <w:gridSpan w:val="2"/>
            <w:vAlign w:val="center"/>
          </w:tcPr>
          <w:p w14:paraId="3158EFF9">
            <w:pPr>
              <w:pStyle w:val="12"/>
            </w:pPr>
            <w:r>
              <w:t>100%</w:t>
            </w:r>
          </w:p>
        </w:tc>
      </w:tr>
      <w:tr w14:paraId="155AA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228AF7">
            <w:pPr>
              <w:pStyle w:val="11"/>
            </w:pPr>
            <w:r>
              <w:t>绩效目标</w:t>
            </w:r>
          </w:p>
        </w:tc>
        <w:tc>
          <w:tcPr>
            <w:tcW w:w="14033" w:type="dxa"/>
            <w:gridSpan w:val="6"/>
            <w:vAlign w:val="center"/>
          </w:tcPr>
          <w:p w14:paraId="616E8920">
            <w:pPr>
              <w:pStyle w:val="13"/>
            </w:pPr>
            <w:r>
              <w:t>1.深入宣传学生资助政策，落实河北省普通高中国家助学金管理办法</w:t>
            </w:r>
            <w:r>
              <w:tab/>
            </w:r>
            <w:r>
              <w:tab/>
            </w:r>
            <w:r>
              <w:tab/>
            </w:r>
          </w:p>
        </w:tc>
      </w:tr>
    </w:tbl>
    <w:p w14:paraId="53AF1E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4F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2988B">
            <w:pPr>
              <w:pStyle w:val="11"/>
            </w:pPr>
            <w:r>
              <w:t>一级指标</w:t>
            </w:r>
          </w:p>
        </w:tc>
        <w:tc>
          <w:tcPr>
            <w:tcW w:w="2268" w:type="dxa"/>
            <w:vAlign w:val="center"/>
          </w:tcPr>
          <w:p w14:paraId="44C3B3E1">
            <w:pPr>
              <w:pStyle w:val="11"/>
            </w:pPr>
            <w:r>
              <w:t>二级指标</w:t>
            </w:r>
          </w:p>
        </w:tc>
        <w:tc>
          <w:tcPr>
            <w:tcW w:w="2835" w:type="dxa"/>
            <w:vAlign w:val="center"/>
          </w:tcPr>
          <w:p w14:paraId="5EE743D5">
            <w:pPr>
              <w:pStyle w:val="11"/>
            </w:pPr>
            <w:r>
              <w:t>三级指标</w:t>
            </w:r>
          </w:p>
        </w:tc>
        <w:tc>
          <w:tcPr>
            <w:tcW w:w="5386" w:type="dxa"/>
            <w:vAlign w:val="center"/>
          </w:tcPr>
          <w:p w14:paraId="339049E9">
            <w:pPr>
              <w:pStyle w:val="11"/>
            </w:pPr>
            <w:r>
              <w:t>绩效指标描述</w:t>
            </w:r>
          </w:p>
        </w:tc>
        <w:tc>
          <w:tcPr>
            <w:tcW w:w="2268" w:type="dxa"/>
            <w:vAlign w:val="center"/>
          </w:tcPr>
          <w:p w14:paraId="76F7C6C5">
            <w:pPr>
              <w:pStyle w:val="11"/>
            </w:pPr>
            <w:r>
              <w:t>指标值</w:t>
            </w:r>
          </w:p>
        </w:tc>
        <w:tc>
          <w:tcPr>
            <w:tcW w:w="1276" w:type="dxa"/>
            <w:vAlign w:val="center"/>
          </w:tcPr>
          <w:p w14:paraId="15D279DE">
            <w:pPr>
              <w:pStyle w:val="11"/>
            </w:pPr>
            <w:r>
              <w:t>指标值确定依据</w:t>
            </w:r>
          </w:p>
        </w:tc>
      </w:tr>
      <w:tr w14:paraId="0BDAC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13516">
            <w:pPr>
              <w:pStyle w:val="12"/>
            </w:pPr>
            <w:r>
              <w:t>产出指标</w:t>
            </w:r>
          </w:p>
        </w:tc>
        <w:tc>
          <w:tcPr>
            <w:tcW w:w="2268" w:type="dxa"/>
            <w:vAlign w:val="center"/>
          </w:tcPr>
          <w:p w14:paraId="2F90EC07">
            <w:pPr>
              <w:pStyle w:val="13"/>
            </w:pPr>
            <w:r>
              <w:t>数量指标</w:t>
            </w:r>
          </w:p>
        </w:tc>
        <w:tc>
          <w:tcPr>
            <w:tcW w:w="2835" w:type="dxa"/>
            <w:vAlign w:val="center"/>
          </w:tcPr>
          <w:p w14:paraId="28D47D5E">
            <w:pPr>
              <w:pStyle w:val="13"/>
            </w:pPr>
            <w:r>
              <w:t>高中经济困难资助比例</w:t>
            </w:r>
          </w:p>
        </w:tc>
        <w:tc>
          <w:tcPr>
            <w:tcW w:w="5386" w:type="dxa"/>
            <w:vAlign w:val="center"/>
          </w:tcPr>
          <w:p w14:paraId="159A0511">
            <w:pPr>
              <w:pStyle w:val="13"/>
            </w:pPr>
            <w:r>
              <w:t>按在校生18%测算</w:t>
            </w:r>
          </w:p>
        </w:tc>
        <w:tc>
          <w:tcPr>
            <w:tcW w:w="2268" w:type="dxa"/>
            <w:vAlign w:val="center"/>
          </w:tcPr>
          <w:p w14:paraId="0F317B12">
            <w:pPr>
              <w:pStyle w:val="13"/>
            </w:pPr>
            <w:r>
              <w:t>300人</w:t>
            </w:r>
          </w:p>
        </w:tc>
        <w:tc>
          <w:tcPr>
            <w:tcW w:w="1276" w:type="dxa"/>
            <w:vAlign w:val="center"/>
          </w:tcPr>
          <w:p w14:paraId="089D2448">
            <w:pPr>
              <w:pStyle w:val="13"/>
            </w:pPr>
            <w:r>
              <w:t>普通高中国家助学金管理办法</w:t>
            </w:r>
          </w:p>
        </w:tc>
      </w:tr>
      <w:tr w14:paraId="56885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86737"/>
        </w:tc>
        <w:tc>
          <w:tcPr>
            <w:tcW w:w="2268" w:type="dxa"/>
            <w:vAlign w:val="center"/>
          </w:tcPr>
          <w:p w14:paraId="661F6237">
            <w:pPr>
              <w:pStyle w:val="13"/>
            </w:pPr>
            <w:r>
              <w:t>质量指标</w:t>
            </w:r>
          </w:p>
        </w:tc>
        <w:tc>
          <w:tcPr>
            <w:tcW w:w="2835" w:type="dxa"/>
            <w:vAlign w:val="center"/>
          </w:tcPr>
          <w:p w14:paraId="6E31E224">
            <w:pPr>
              <w:pStyle w:val="13"/>
            </w:pPr>
            <w:r>
              <w:t>高中助学金资助制度落实情况</w:t>
            </w:r>
          </w:p>
        </w:tc>
        <w:tc>
          <w:tcPr>
            <w:tcW w:w="5386" w:type="dxa"/>
            <w:vAlign w:val="center"/>
          </w:tcPr>
          <w:p w14:paraId="0CC6C8E5">
            <w:pPr>
              <w:pStyle w:val="13"/>
            </w:pPr>
            <w:r>
              <w:t>符合享受资助条件的学生应助尽助</w:t>
            </w:r>
          </w:p>
        </w:tc>
        <w:tc>
          <w:tcPr>
            <w:tcW w:w="2268" w:type="dxa"/>
            <w:vAlign w:val="center"/>
          </w:tcPr>
          <w:p w14:paraId="3649CA61">
            <w:pPr>
              <w:pStyle w:val="13"/>
            </w:pPr>
            <w:r>
              <w:t>≥100%</w:t>
            </w:r>
          </w:p>
        </w:tc>
        <w:tc>
          <w:tcPr>
            <w:tcW w:w="1276" w:type="dxa"/>
            <w:vAlign w:val="center"/>
          </w:tcPr>
          <w:p w14:paraId="44028962">
            <w:pPr>
              <w:pStyle w:val="13"/>
            </w:pPr>
            <w:r>
              <w:t>普通高中国家助学金管理办法</w:t>
            </w:r>
          </w:p>
        </w:tc>
      </w:tr>
      <w:tr w14:paraId="6CE96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47292"/>
        </w:tc>
        <w:tc>
          <w:tcPr>
            <w:tcW w:w="2268" w:type="dxa"/>
            <w:vAlign w:val="center"/>
          </w:tcPr>
          <w:p w14:paraId="78316EC6">
            <w:pPr>
              <w:pStyle w:val="13"/>
            </w:pPr>
            <w:r>
              <w:t>时效指标</w:t>
            </w:r>
          </w:p>
        </w:tc>
        <w:tc>
          <w:tcPr>
            <w:tcW w:w="2835" w:type="dxa"/>
            <w:vAlign w:val="center"/>
          </w:tcPr>
          <w:p w14:paraId="4334D5AC">
            <w:pPr>
              <w:pStyle w:val="13"/>
            </w:pPr>
            <w:r>
              <w:t>资金拨付率</w:t>
            </w:r>
          </w:p>
        </w:tc>
        <w:tc>
          <w:tcPr>
            <w:tcW w:w="5386" w:type="dxa"/>
            <w:vAlign w:val="center"/>
          </w:tcPr>
          <w:p w14:paraId="58C39E89">
            <w:pPr>
              <w:pStyle w:val="13"/>
            </w:pPr>
            <w:r>
              <w:t>资助资金支付进度</w:t>
            </w:r>
          </w:p>
        </w:tc>
        <w:tc>
          <w:tcPr>
            <w:tcW w:w="2268" w:type="dxa"/>
            <w:vAlign w:val="center"/>
          </w:tcPr>
          <w:p w14:paraId="760F7385">
            <w:pPr>
              <w:pStyle w:val="13"/>
            </w:pPr>
            <w:r>
              <w:t>≥100%</w:t>
            </w:r>
          </w:p>
        </w:tc>
        <w:tc>
          <w:tcPr>
            <w:tcW w:w="1276" w:type="dxa"/>
            <w:vAlign w:val="center"/>
          </w:tcPr>
          <w:p w14:paraId="0B50705D">
            <w:pPr>
              <w:pStyle w:val="13"/>
            </w:pPr>
            <w:r>
              <w:t>普通高中国家助学金管理办法</w:t>
            </w:r>
          </w:p>
        </w:tc>
      </w:tr>
      <w:tr w14:paraId="3117C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03EBB"/>
        </w:tc>
        <w:tc>
          <w:tcPr>
            <w:tcW w:w="2268" w:type="dxa"/>
            <w:vAlign w:val="center"/>
          </w:tcPr>
          <w:p w14:paraId="2A56D319">
            <w:pPr>
              <w:pStyle w:val="13"/>
            </w:pPr>
            <w:r>
              <w:t>成本指标</w:t>
            </w:r>
          </w:p>
        </w:tc>
        <w:tc>
          <w:tcPr>
            <w:tcW w:w="2835" w:type="dxa"/>
            <w:vAlign w:val="center"/>
          </w:tcPr>
          <w:p w14:paraId="5C95F626">
            <w:pPr>
              <w:pStyle w:val="13"/>
            </w:pPr>
            <w:r>
              <w:t>高中家庭经济困难学生补助标准</w:t>
            </w:r>
          </w:p>
        </w:tc>
        <w:tc>
          <w:tcPr>
            <w:tcW w:w="5386" w:type="dxa"/>
            <w:vAlign w:val="center"/>
          </w:tcPr>
          <w:p w14:paraId="55CDF61B">
            <w:pPr>
              <w:pStyle w:val="13"/>
            </w:pPr>
            <w:r>
              <w:t>标准2300元/生/学年。</w:t>
            </w:r>
          </w:p>
        </w:tc>
        <w:tc>
          <w:tcPr>
            <w:tcW w:w="2268" w:type="dxa"/>
            <w:vAlign w:val="center"/>
          </w:tcPr>
          <w:p w14:paraId="296C8A41">
            <w:pPr>
              <w:pStyle w:val="13"/>
            </w:pPr>
            <w:r>
              <w:t>2300元</w:t>
            </w:r>
          </w:p>
        </w:tc>
        <w:tc>
          <w:tcPr>
            <w:tcW w:w="1276" w:type="dxa"/>
            <w:vAlign w:val="center"/>
          </w:tcPr>
          <w:p w14:paraId="2B9F532D">
            <w:pPr>
              <w:pStyle w:val="13"/>
            </w:pPr>
            <w:r>
              <w:t>普通高中国家助学金管理办法</w:t>
            </w:r>
          </w:p>
        </w:tc>
      </w:tr>
      <w:tr w14:paraId="600D6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CDB4F4">
            <w:pPr>
              <w:pStyle w:val="12"/>
            </w:pPr>
            <w:r>
              <w:t>效益指标</w:t>
            </w:r>
          </w:p>
        </w:tc>
        <w:tc>
          <w:tcPr>
            <w:tcW w:w="2268" w:type="dxa"/>
            <w:vAlign w:val="center"/>
          </w:tcPr>
          <w:p w14:paraId="08C617D7">
            <w:pPr>
              <w:pStyle w:val="13"/>
            </w:pPr>
            <w:r>
              <w:t>可持续影响指标</w:t>
            </w:r>
          </w:p>
        </w:tc>
        <w:tc>
          <w:tcPr>
            <w:tcW w:w="2835" w:type="dxa"/>
            <w:vAlign w:val="center"/>
          </w:tcPr>
          <w:p w14:paraId="361CD082">
            <w:pPr>
              <w:pStyle w:val="13"/>
            </w:pPr>
            <w:r>
              <w:t>学校办学能力提升</w:t>
            </w:r>
          </w:p>
        </w:tc>
        <w:tc>
          <w:tcPr>
            <w:tcW w:w="5386" w:type="dxa"/>
            <w:vAlign w:val="center"/>
          </w:tcPr>
          <w:p w14:paraId="0DE32A99">
            <w:pPr>
              <w:pStyle w:val="13"/>
            </w:pPr>
            <w:r>
              <w:t>学校办学能力、提升入学率</w:t>
            </w:r>
          </w:p>
        </w:tc>
        <w:tc>
          <w:tcPr>
            <w:tcW w:w="2268" w:type="dxa"/>
            <w:vAlign w:val="center"/>
          </w:tcPr>
          <w:p w14:paraId="3BF5CBBA">
            <w:pPr>
              <w:pStyle w:val="13"/>
            </w:pPr>
            <w:r>
              <w:t>100%</w:t>
            </w:r>
          </w:p>
        </w:tc>
        <w:tc>
          <w:tcPr>
            <w:tcW w:w="1276" w:type="dxa"/>
            <w:vAlign w:val="center"/>
          </w:tcPr>
          <w:p w14:paraId="1FAF5FEF">
            <w:pPr>
              <w:pStyle w:val="13"/>
            </w:pPr>
            <w:r>
              <w:t>普通高中国家助学金管理办法</w:t>
            </w:r>
          </w:p>
        </w:tc>
      </w:tr>
      <w:tr w14:paraId="79B03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74C87902">
            <w:pPr>
              <w:pStyle w:val="12"/>
            </w:pPr>
            <w:r>
              <w:t>满意度指标</w:t>
            </w:r>
          </w:p>
        </w:tc>
        <w:tc>
          <w:tcPr>
            <w:tcW w:w="2268" w:type="dxa"/>
            <w:vAlign w:val="center"/>
          </w:tcPr>
          <w:p w14:paraId="64343ACE">
            <w:pPr>
              <w:pStyle w:val="13"/>
            </w:pPr>
            <w:r>
              <w:t>服务对象满意度指标</w:t>
            </w:r>
          </w:p>
        </w:tc>
        <w:tc>
          <w:tcPr>
            <w:tcW w:w="2835" w:type="dxa"/>
            <w:vAlign w:val="center"/>
          </w:tcPr>
          <w:p w14:paraId="08313139">
            <w:pPr>
              <w:pStyle w:val="13"/>
            </w:pPr>
            <w:r>
              <w:t>受益学生家长及调查满意度</w:t>
            </w:r>
          </w:p>
        </w:tc>
        <w:tc>
          <w:tcPr>
            <w:tcW w:w="5386" w:type="dxa"/>
            <w:vAlign w:val="center"/>
          </w:tcPr>
          <w:p w14:paraId="6105F32F">
            <w:pPr>
              <w:pStyle w:val="13"/>
            </w:pPr>
            <w:r>
              <w:t>学生、教师及家长对学校保教保育工作满意度情况</w:t>
            </w:r>
          </w:p>
        </w:tc>
        <w:tc>
          <w:tcPr>
            <w:tcW w:w="2268" w:type="dxa"/>
            <w:vAlign w:val="center"/>
          </w:tcPr>
          <w:p w14:paraId="3971598C">
            <w:pPr>
              <w:pStyle w:val="13"/>
            </w:pPr>
            <w:r>
              <w:t>≥95%</w:t>
            </w:r>
          </w:p>
        </w:tc>
        <w:tc>
          <w:tcPr>
            <w:tcW w:w="1276" w:type="dxa"/>
            <w:vAlign w:val="center"/>
          </w:tcPr>
          <w:p w14:paraId="04B94D6D">
            <w:pPr>
              <w:pStyle w:val="13"/>
            </w:pPr>
            <w:r>
              <w:t>调查问卷</w:t>
            </w:r>
          </w:p>
        </w:tc>
      </w:tr>
    </w:tbl>
    <w:p w14:paraId="50F59368">
      <w:pPr>
        <w:sectPr>
          <w:pgSz w:w="16840" w:h="11900" w:orient="landscape"/>
          <w:pgMar w:top="1361" w:right="1020" w:bottom="1134" w:left="1020" w:header="720" w:footer="720" w:gutter="0"/>
          <w:cols w:space="720" w:num="1"/>
        </w:sectPr>
      </w:pPr>
    </w:p>
    <w:p w14:paraId="3886E2C9">
      <w:pPr>
        <w:spacing w:before="0" w:after="0"/>
        <w:ind w:firstLine="560"/>
        <w:jc w:val="left"/>
        <w:outlineLvl w:val="9"/>
      </w:pPr>
      <w:r>
        <w:rPr>
          <w:rFonts w:ascii="方正仿宋_GBK" w:hAnsi="方正仿宋_GBK" w:eastAsia="方正仿宋_GBK" w:cs="方正仿宋_GBK"/>
          <w:b/>
          <w:color w:val="000000"/>
          <w:sz w:val="28"/>
        </w:rPr>
        <w:t>30、冀财教[2024]125号/中央/2025年学生资助/普通高中助学金（文茂中学）绩效目标表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0F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F3950">
            <w:pPr>
              <w:pStyle w:val="14"/>
            </w:pPr>
            <w:r>
              <w:t>单位：万元</w:t>
            </w:r>
          </w:p>
        </w:tc>
      </w:tr>
      <w:tr w14:paraId="4FC66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86A79">
            <w:pPr>
              <w:pStyle w:val="11"/>
            </w:pPr>
            <w:r>
              <w:t>项目编码</w:t>
            </w:r>
          </w:p>
        </w:tc>
        <w:tc>
          <w:tcPr>
            <w:tcW w:w="5103" w:type="dxa"/>
            <w:gridSpan w:val="2"/>
            <w:vAlign w:val="center"/>
          </w:tcPr>
          <w:p w14:paraId="5FEE23DE">
            <w:pPr>
              <w:pStyle w:val="13"/>
            </w:pPr>
            <w:r>
              <w:t>13052525P00001210034X</w:t>
            </w:r>
          </w:p>
        </w:tc>
        <w:tc>
          <w:tcPr>
            <w:tcW w:w="2835" w:type="dxa"/>
            <w:vAlign w:val="center"/>
          </w:tcPr>
          <w:p w14:paraId="16F21136">
            <w:pPr>
              <w:pStyle w:val="11"/>
            </w:pPr>
            <w:r>
              <w:t>项目名称</w:t>
            </w:r>
          </w:p>
        </w:tc>
        <w:tc>
          <w:tcPr>
            <w:tcW w:w="6095" w:type="dxa"/>
            <w:gridSpan w:val="3"/>
            <w:vAlign w:val="center"/>
          </w:tcPr>
          <w:p w14:paraId="2045AEC2">
            <w:pPr>
              <w:pStyle w:val="13"/>
            </w:pPr>
            <w:r>
              <w:t>冀财教[2024]125号/中央/2025年学生资助/普通高中助学金（文茂中学）</w:t>
            </w:r>
            <w:r>
              <w:tab/>
            </w:r>
          </w:p>
        </w:tc>
      </w:tr>
      <w:tr w14:paraId="22200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5A434">
            <w:pPr>
              <w:pStyle w:val="11"/>
            </w:pPr>
            <w:r>
              <w:t>预算规模及资金用途</w:t>
            </w:r>
          </w:p>
        </w:tc>
        <w:tc>
          <w:tcPr>
            <w:tcW w:w="2268" w:type="dxa"/>
            <w:vAlign w:val="center"/>
          </w:tcPr>
          <w:p w14:paraId="2B557395">
            <w:pPr>
              <w:pStyle w:val="11"/>
            </w:pPr>
            <w:r>
              <w:t>预算数</w:t>
            </w:r>
          </w:p>
        </w:tc>
        <w:tc>
          <w:tcPr>
            <w:tcW w:w="2835" w:type="dxa"/>
            <w:vAlign w:val="center"/>
          </w:tcPr>
          <w:p w14:paraId="3CBF268D">
            <w:pPr>
              <w:pStyle w:val="13"/>
            </w:pPr>
            <w:r>
              <w:t>38.00</w:t>
            </w:r>
          </w:p>
        </w:tc>
        <w:tc>
          <w:tcPr>
            <w:tcW w:w="2835" w:type="dxa"/>
            <w:vAlign w:val="center"/>
          </w:tcPr>
          <w:p w14:paraId="4C9123B2">
            <w:pPr>
              <w:pStyle w:val="11"/>
            </w:pPr>
            <w:r>
              <w:t>其中：财政    资金</w:t>
            </w:r>
          </w:p>
        </w:tc>
        <w:tc>
          <w:tcPr>
            <w:tcW w:w="2551" w:type="dxa"/>
            <w:vAlign w:val="center"/>
          </w:tcPr>
          <w:p w14:paraId="35A14EDF">
            <w:pPr>
              <w:pStyle w:val="13"/>
            </w:pPr>
            <w:r>
              <w:t>38.00</w:t>
            </w:r>
          </w:p>
        </w:tc>
        <w:tc>
          <w:tcPr>
            <w:tcW w:w="2268" w:type="dxa"/>
            <w:vAlign w:val="center"/>
          </w:tcPr>
          <w:p w14:paraId="3BE1833F">
            <w:pPr>
              <w:pStyle w:val="11"/>
            </w:pPr>
            <w:r>
              <w:t>其他资金</w:t>
            </w:r>
          </w:p>
        </w:tc>
        <w:tc>
          <w:tcPr>
            <w:tcW w:w="1276" w:type="dxa"/>
            <w:vAlign w:val="center"/>
          </w:tcPr>
          <w:p w14:paraId="4D9C4AAB">
            <w:pPr>
              <w:pStyle w:val="13"/>
            </w:pPr>
            <w:r>
              <w:t xml:space="preserve"> </w:t>
            </w:r>
          </w:p>
        </w:tc>
      </w:tr>
      <w:tr w14:paraId="04F08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C622C"/>
        </w:tc>
        <w:tc>
          <w:tcPr>
            <w:tcW w:w="14033" w:type="dxa"/>
            <w:gridSpan w:val="6"/>
            <w:vAlign w:val="center"/>
          </w:tcPr>
          <w:p w14:paraId="14938434">
            <w:pPr>
              <w:pStyle w:val="13"/>
            </w:pPr>
            <w:r>
              <w:t>深入宣传学生资助政策，落实河北省普通高中国家助学金管理办法</w:t>
            </w:r>
          </w:p>
        </w:tc>
      </w:tr>
      <w:tr w14:paraId="4B4F9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C5923">
            <w:pPr>
              <w:pStyle w:val="11"/>
            </w:pPr>
            <w:r>
              <w:t>资金支出计划（%）</w:t>
            </w:r>
          </w:p>
        </w:tc>
        <w:tc>
          <w:tcPr>
            <w:tcW w:w="5103" w:type="dxa"/>
            <w:gridSpan w:val="2"/>
            <w:vAlign w:val="center"/>
          </w:tcPr>
          <w:p w14:paraId="39C27135">
            <w:pPr>
              <w:pStyle w:val="11"/>
            </w:pPr>
            <w:r>
              <w:t>3月底</w:t>
            </w:r>
          </w:p>
        </w:tc>
        <w:tc>
          <w:tcPr>
            <w:tcW w:w="2835" w:type="dxa"/>
            <w:vAlign w:val="center"/>
          </w:tcPr>
          <w:p w14:paraId="7BC27C99">
            <w:pPr>
              <w:pStyle w:val="11"/>
            </w:pPr>
            <w:r>
              <w:t>6月底</w:t>
            </w:r>
          </w:p>
        </w:tc>
        <w:tc>
          <w:tcPr>
            <w:tcW w:w="2551" w:type="dxa"/>
            <w:vAlign w:val="center"/>
          </w:tcPr>
          <w:p w14:paraId="2E4CBDE8">
            <w:pPr>
              <w:pStyle w:val="11"/>
            </w:pPr>
            <w:r>
              <w:t>10月底</w:t>
            </w:r>
          </w:p>
        </w:tc>
        <w:tc>
          <w:tcPr>
            <w:tcW w:w="3544" w:type="dxa"/>
            <w:gridSpan w:val="2"/>
            <w:vAlign w:val="center"/>
          </w:tcPr>
          <w:p w14:paraId="19D72C15">
            <w:pPr>
              <w:pStyle w:val="11"/>
            </w:pPr>
            <w:r>
              <w:t>12月底</w:t>
            </w:r>
          </w:p>
        </w:tc>
      </w:tr>
      <w:tr w14:paraId="3CBC8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3D355"/>
        </w:tc>
        <w:tc>
          <w:tcPr>
            <w:tcW w:w="5103" w:type="dxa"/>
            <w:gridSpan w:val="2"/>
            <w:vAlign w:val="center"/>
          </w:tcPr>
          <w:p w14:paraId="6B3E56AC">
            <w:pPr>
              <w:pStyle w:val="12"/>
            </w:pPr>
            <w:r>
              <w:t xml:space="preserve"> </w:t>
            </w:r>
          </w:p>
        </w:tc>
        <w:tc>
          <w:tcPr>
            <w:tcW w:w="2835" w:type="dxa"/>
            <w:vAlign w:val="center"/>
          </w:tcPr>
          <w:p w14:paraId="04BEE87E">
            <w:pPr>
              <w:pStyle w:val="12"/>
            </w:pPr>
            <w:r>
              <w:t>50%</w:t>
            </w:r>
          </w:p>
        </w:tc>
        <w:tc>
          <w:tcPr>
            <w:tcW w:w="2551" w:type="dxa"/>
            <w:vAlign w:val="center"/>
          </w:tcPr>
          <w:p w14:paraId="6110B021">
            <w:pPr>
              <w:pStyle w:val="12"/>
            </w:pPr>
            <w:r>
              <w:t>75%</w:t>
            </w:r>
          </w:p>
        </w:tc>
        <w:tc>
          <w:tcPr>
            <w:tcW w:w="3544" w:type="dxa"/>
            <w:gridSpan w:val="2"/>
            <w:vAlign w:val="center"/>
          </w:tcPr>
          <w:p w14:paraId="517D9FB0">
            <w:pPr>
              <w:pStyle w:val="12"/>
            </w:pPr>
            <w:r>
              <w:t>100%</w:t>
            </w:r>
          </w:p>
        </w:tc>
      </w:tr>
      <w:tr w14:paraId="435D0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57045">
            <w:pPr>
              <w:pStyle w:val="11"/>
            </w:pPr>
            <w:r>
              <w:t>绩效目标</w:t>
            </w:r>
          </w:p>
        </w:tc>
        <w:tc>
          <w:tcPr>
            <w:tcW w:w="14033" w:type="dxa"/>
            <w:gridSpan w:val="6"/>
            <w:vAlign w:val="center"/>
          </w:tcPr>
          <w:p w14:paraId="0188E2BE">
            <w:pPr>
              <w:pStyle w:val="13"/>
            </w:pPr>
            <w:r>
              <w:t>1.深入宣传学生资助政策，落实河北省普通高中国家助学金管理办法</w:t>
            </w:r>
          </w:p>
        </w:tc>
      </w:tr>
    </w:tbl>
    <w:p w14:paraId="6AADDB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63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F9D00">
            <w:pPr>
              <w:pStyle w:val="11"/>
            </w:pPr>
            <w:r>
              <w:t>一级指标</w:t>
            </w:r>
          </w:p>
        </w:tc>
        <w:tc>
          <w:tcPr>
            <w:tcW w:w="2268" w:type="dxa"/>
            <w:vAlign w:val="center"/>
          </w:tcPr>
          <w:p w14:paraId="2C0A62C3">
            <w:pPr>
              <w:pStyle w:val="11"/>
            </w:pPr>
            <w:r>
              <w:t>二级指标</w:t>
            </w:r>
          </w:p>
        </w:tc>
        <w:tc>
          <w:tcPr>
            <w:tcW w:w="2835" w:type="dxa"/>
            <w:vAlign w:val="center"/>
          </w:tcPr>
          <w:p w14:paraId="3983FCB7">
            <w:pPr>
              <w:pStyle w:val="11"/>
            </w:pPr>
            <w:r>
              <w:t>三级指标</w:t>
            </w:r>
          </w:p>
        </w:tc>
        <w:tc>
          <w:tcPr>
            <w:tcW w:w="5386" w:type="dxa"/>
            <w:vAlign w:val="center"/>
          </w:tcPr>
          <w:p w14:paraId="3A8B622B">
            <w:pPr>
              <w:pStyle w:val="11"/>
            </w:pPr>
            <w:r>
              <w:t>绩效指标描述</w:t>
            </w:r>
          </w:p>
        </w:tc>
        <w:tc>
          <w:tcPr>
            <w:tcW w:w="2268" w:type="dxa"/>
            <w:vAlign w:val="center"/>
          </w:tcPr>
          <w:p w14:paraId="0BA57117">
            <w:pPr>
              <w:pStyle w:val="11"/>
            </w:pPr>
            <w:r>
              <w:t>指标值</w:t>
            </w:r>
          </w:p>
        </w:tc>
        <w:tc>
          <w:tcPr>
            <w:tcW w:w="1276" w:type="dxa"/>
            <w:vAlign w:val="center"/>
          </w:tcPr>
          <w:p w14:paraId="5F88DD1B">
            <w:pPr>
              <w:pStyle w:val="11"/>
            </w:pPr>
            <w:r>
              <w:t>指标值确定依据</w:t>
            </w:r>
          </w:p>
        </w:tc>
      </w:tr>
      <w:tr w14:paraId="60DDD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BC190">
            <w:pPr>
              <w:pStyle w:val="12"/>
            </w:pPr>
            <w:r>
              <w:t>产出指标</w:t>
            </w:r>
          </w:p>
        </w:tc>
        <w:tc>
          <w:tcPr>
            <w:tcW w:w="2268" w:type="dxa"/>
            <w:vAlign w:val="center"/>
          </w:tcPr>
          <w:p w14:paraId="5A9577D9">
            <w:pPr>
              <w:pStyle w:val="13"/>
            </w:pPr>
            <w:r>
              <w:t>数量指标</w:t>
            </w:r>
          </w:p>
        </w:tc>
        <w:tc>
          <w:tcPr>
            <w:tcW w:w="2835" w:type="dxa"/>
            <w:vAlign w:val="center"/>
          </w:tcPr>
          <w:p w14:paraId="489AB17F">
            <w:pPr>
              <w:pStyle w:val="13"/>
            </w:pPr>
            <w:r>
              <w:t>普通高中资助人数</w:t>
            </w:r>
          </w:p>
        </w:tc>
        <w:tc>
          <w:tcPr>
            <w:tcW w:w="5386" w:type="dxa"/>
            <w:vAlign w:val="center"/>
          </w:tcPr>
          <w:p w14:paraId="580FFFA0">
            <w:pPr>
              <w:pStyle w:val="13"/>
            </w:pPr>
            <w:r>
              <w:t>普通高中助学受资助人数约占普通高中在校生总数的18%</w:t>
            </w:r>
          </w:p>
        </w:tc>
        <w:tc>
          <w:tcPr>
            <w:tcW w:w="2268" w:type="dxa"/>
            <w:vAlign w:val="center"/>
          </w:tcPr>
          <w:p w14:paraId="1925C41D">
            <w:pPr>
              <w:pStyle w:val="13"/>
            </w:pPr>
            <w:r>
              <w:t>372人</w:t>
            </w:r>
          </w:p>
        </w:tc>
        <w:tc>
          <w:tcPr>
            <w:tcW w:w="1276" w:type="dxa"/>
            <w:vAlign w:val="center"/>
          </w:tcPr>
          <w:p w14:paraId="4456710E">
            <w:pPr>
              <w:pStyle w:val="13"/>
            </w:pPr>
            <w:r>
              <w:t>年度预算</w:t>
            </w:r>
          </w:p>
        </w:tc>
      </w:tr>
      <w:tr w14:paraId="15F29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3D225"/>
        </w:tc>
        <w:tc>
          <w:tcPr>
            <w:tcW w:w="2268" w:type="dxa"/>
            <w:vAlign w:val="center"/>
          </w:tcPr>
          <w:p w14:paraId="2B617C61">
            <w:pPr>
              <w:pStyle w:val="13"/>
            </w:pPr>
            <w:r>
              <w:t>质量指标</w:t>
            </w:r>
          </w:p>
        </w:tc>
        <w:tc>
          <w:tcPr>
            <w:tcW w:w="2835" w:type="dxa"/>
            <w:vAlign w:val="center"/>
          </w:tcPr>
          <w:p w14:paraId="38DF59D4">
            <w:pPr>
              <w:pStyle w:val="13"/>
            </w:pPr>
            <w:r>
              <w:t>高中助学金资助制度落实情况</w:t>
            </w:r>
          </w:p>
        </w:tc>
        <w:tc>
          <w:tcPr>
            <w:tcW w:w="5386" w:type="dxa"/>
            <w:vAlign w:val="center"/>
          </w:tcPr>
          <w:p w14:paraId="0621C8C3">
            <w:pPr>
              <w:pStyle w:val="13"/>
            </w:pPr>
            <w:r>
              <w:t>符合享受资助条件的学生应助尽助</w:t>
            </w:r>
          </w:p>
        </w:tc>
        <w:tc>
          <w:tcPr>
            <w:tcW w:w="2268" w:type="dxa"/>
            <w:vAlign w:val="center"/>
          </w:tcPr>
          <w:p w14:paraId="44F49A56">
            <w:pPr>
              <w:pStyle w:val="13"/>
            </w:pPr>
            <w:r>
              <w:t>≥100%</w:t>
            </w:r>
          </w:p>
        </w:tc>
        <w:tc>
          <w:tcPr>
            <w:tcW w:w="1276" w:type="dxa"/>
            <w:vAlign w:val="center"/>
          </w:tcPr>
          <w:p w14:paraId="74B09DF7">
            <w:pPr>
              <w:pStyle w:val="13"/>
            </w:pPr>
            <w:r>
              <w:t>【隆尧县中等职业学校国家助学金管理办法的通知】隆财【2018】105号，</w:t>
            </w:r>
          </w:p>
        </w:tc>
      </w:tr>
      <w:tr w14:paraId="15CF3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8D243"/>
        </w:tc>
        <w:tc>
          <w:tcPr>
            <w:tcW w:w="2268" w:type="dxa"/>
            <w:vAlign w:val="center"/>
          </w:tcPr>
          <w:p w14:paraId="0AFCC9F6">
            <w:pPr>
              <w:pStyle w:val="13"/>
            </w:pPr>
            <w:r>
              <w:t>时效指标</w:t>
            </w:r>
          </w:p>
        </w:tc>
        <w:tc>
          <w:tcPr>
            <w:tcW w:w="2835" w:type="dxa"/>
            <w:vAlign w:val="center"/>
          </w:tcPr>
          <w:p w14:paraId="02555D81">
            <w:pPr>
              <w:pStyle w:val="13"/>
            </w:pPr>
            <w:r>
              <w:t>资金拨付率</w:t>
            </w:r>
          </w:p>
        </w:tc>
        <w:tc>
          <w:tcPr>
            <w:tcW w:w="5386" w:type="dxa"/>
            <w:vAlign w:val="center"/>
          </w:tcPr>
          <w:p w14:paraId="74625A0A">
            <w:pPr>
              <w:pStyle w:val="13"/>
            </w:pPr>
            <w:r>
              <w:t>资助资金支付进度</w:t>
            </w:r>
          </w:p>
        </w:tc>
        <w:tc>
          <w:tcPr>
            <w:tcW w:w="2268" w:type="dxa"/>
            <w:vAlign w:val="center"/>
          </w:tcPr>
          <w:p w14:paraId="76DE1C30">
            <w:pPr>
              <w:pStyle w:val="13"/>
            </w:pPr>
            <w:r>
              <w:t>≥100%</w:t>
            </w:r>
          </w:p>
        </w:tc>
        <w:tc>
          <w:tcPr>
            <w:tcW w:w="1276" w:type="dxa"/>
            <w:vAlign w:val="center"/>
          </w:tcPr>
          <w:p w14:paraId="5A47C7A8">
            <w:pPr>
              <w:pStyle w:val="13"/>
            </w:pPr>
            <w:r>
              <w:t>隆尧县普通高中国家助学金管理办法</w:t>
            </w:r>
          </w:p>
        </w:tc>
      </w:tr>
      <w:tr w14:paraId="211E9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AF655"/>
        </w:tc>
        <w:tc>
          <w:tcPr>
            <w:tcW w:w="2268" w:type="dxa"/>
            <w:vAlign w:val="center"/>
          </w:tcPr>
          <w:p w14:paraId="2C3ADC76">
            <w:pPr>
              <w:pStyle w:val="13"/>
            </w:pPr>
            <w:r>
              <w:t>成本指标</w:t>
            </w:r>
          </w:p>
        </w:tc>
        <w:tc>
          <w:tcPr>
            <w:tcW w:w="2835" w:type="dxa"/>
            <w:vAlign w:val="center"/>
          </w:tcPr>
          <w:p w14:paraId="7EC5B77D">
            <w:pPr>
              <w:pStyle w:val="13"/>
            </w:pPr>
            <w:r>
              <w:t>普高国家助学金标准</w:t>
            </w:r>
          </w:p>
        </w:tc>
        <w:tc>
          <w:tcPr>
            <w:tcW w:w="5386" w:type="dxa"/>
            <w:vAlign w:val="center"/>
          </w:tcPr>
          <w:p w14:paraId="33A8D4BE">
            <w:pPr>
              <w:pStyle w:val="13"/>
            </w:pPr>
            <w:r>
              <w:t>普高国家助学金资助标准2300元/生/年</w:t>
            </w:r>
          </w:p>
        </w:tc>
        <w:tc>
          <w:tcPr>
            <w:tcW w:w="2268" w:type="dxa"/>
            <w:vAlign w:val="center"/>
          </w:tcPr>
          <w:p w14:paraId="72F6F177">
            <w:pPr>
              <w:pStyle w:val="13"/>
            </w:pPr>
            <w:r>
              <w:t>2300元</w:t>
            </w:r>
          </w:p>
        </w:tc>
        <w:tc>
          <w:tcPr>
            <w:tcW w:w="1276" w:type="dxa"/>
            <w:vAlign w:val="center"/>
          </w:tcPr>
          <w:p w14:paraId="6A975CFE">
            <w:pPr>
              <w:pStyle w:val="13"/>
            </w:pPr>
            <w:r>
              <w:t>隆尧县普通高中国家助学金管理办法</w:t>
            </w:r>
          </w:p>
        </w:tc>
      </w:tr>
      <w:tr w14:paraId="7A640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3E007">
            <w:pPr>
              <w:pStyle w:val="12"/>
            </w:pPr>
            <w:r>
              <w:t>效益指标</w:t>
            </w:r>
          </w:p>
        </w:tc>
        <w:tc>
          <w:tcPr>
            <w:tcW w:w="2268" w:type="dxa"/>
            <w:vAlign w:val="center"/>
          </w:tcPr>
          <w:p w14:paraId="7C7A94CF">
            <w:pPr>
              <w:pStyle w:val="13"/>
            </w:pPr>
            <w:r>
              <w:t>可持续影响指标</w:t>
            </w:r>
          </w:p>
        </w:tc>
        <w:tc>
          <w:tcPr>
            <w:tcW w:w="2835" w:type="dxa"/>
            <w:vAlign w:val="center"/>
          </w:tcPr>
          <w:p w14:paraId="23288800">
            <w:pPr>
              <w:pStyle w:val="13"/>
            </w:pPr>
            <w:r>
              <w:t>高中运转</w:t>
            </w:r>
          </w:p>
        </w:tc>
        <w:tc>
          <w:tcPr>
            <w:tcW w:w="5386" w:type="dxa"/>
            <w:vAlign w:val="center"/>
          </w:tcPr>
          <w:p w14:paraId="437625E5">
            <w:pPr>
              <w:pStyle w:val="13"/>
            </w:pPr>
            <w:r>
              <w:t>高中生受教育年限</w:t>
            </w:r>
          </w:p>
        </w:tc>
        <w:tc>
          <w:tcPr>
            <w:tcW w:w="2268" w:type="dxa"/>
            <w:vAlign w:val="center"/>
          </w:tcPr>
          <w:p w14:paraId="6722451B">
            <w:pPr>
              <w:pStyle w:val="13"/>
            </w:pPr>
            <w:r>
              <w:t>3年</w:t>
            </w:r>
          </w:p>
        </w:tc>
        <w:tc>
          <w:tcPr>
            <w:tcW w:w="1276" w:type="dxa"/>
            <w:vAlign w:val="center"/>
          </w:tcPr>
          <w:p w14:paraId="50E0103A">
            <w:pPr>
              <w:pStyle w:val="13"/>
            </w:pPr>
            <w:r>
              <w:t>隆尧县普通高中国家助学金管理办法</w:t>
            </w:r>
          </w:p>
        </w:tc>
      </w:tr>
      <w:tr w14:paraId="42371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70A22">
            <w:pPr>
              <w:pStyle w:val="12"/>
            </w:pPr>
            <w:r>
              <w:t>满意度指标</w:t>
            </w:r>
          </w:p>
        </w:tc>
        <w:tc>
          <w:tcPr>
            <w:tcW w:w="2268" w:type="dxa"/>
            <w:vAlign w:val="center"/>
          </w:tcPr>
          <w:p w14:paraId="346B1D55">
            <w:pPr>
              <w:pStyle w:val="13"/>
            </w:pPr>
            <w:r>
              <w:t>服务对象满意度指标</w:t>
            </w:r>
          </w:p>
        </w:tc>
        <w:tc>
          <w:tcPr>
            <w:tcW w:w="2835" w:type="dxa"/>
            <w:vAlign w:val="center"/>
          </w:tcPr>
          <w:p w14:paraId="1B5D9C0A">
            <w:pPr>
              <w:pStyle w:val="13"/>
            </w:pPr>
            <w:r>
              <w:t>受益学生家长及调查满意度</w:t>
            </w:r>
          </w:p>
        </w:tc>
        <w:tc>
          <w:tcPr>
            <w:tcW w:w="5386" w:type="dxa"/>
            <w:vAlign w:val="center"/>
          </w:tcPr>
          <w:p w14:paraId="634EA10D">
            <w:pPr>
              <w:pStyle w:val="13"/>
            </w:pPr>
            <w:r>
              <w:t>学生、教师及家长对学校保教保育工作满意度情况</w:t>
            </w:r>
          </w:p>
        </w:tc>
        <w:tc>
          <w:tcPr>
            <w:tcW w:w="2268" w:type="dxa"/>
            <w:vAlign w:val="center"/>
          </w:tcPr>
          <w:p w14:paraId="29E7DBD7">
            <w:pPr>
              <w:pStyle w:val="13"/>
            </w:pPr>
            <w:r>
              <w:t>≥95%</w:t>
            </w:r>
          </w:p>
        </w:tc>
        <w:tc>
          <w:tcPr>
            <w:tcW w:w="1276" w:type="dxa"/>
            <w:vAlign w:val="center"/>
          </w:tcPr>
          <w:p w14:paraId="313B5C05">
            <w:pPr>
              <w:pStyle w:val="13"/>
            </w:pPr>
            <w:r>
              <w:t>调查问卷</w:t>
            </w:r>
          </w:p>
        </w:tc>
      </w:tr>
    </w:tbl>
    <w:p w14:paraId="0E5CDEB4">
      <w:pPr>
        <w:sectPr>
          <w:pgSz w:w="16840" w:h="11900" w:orient="landscape"/>
          <w:pgMar w:top="1361" w:right="1020" w:bottom="1134" w:left="1020" w:header="720" w:footer="720" w:gutter="0"/>
          <w:cols w:space="720" w:num="1"/>
        </w:sectPr>
      </w:pPr>
    </w:p>
    <w:p w14:paraId="2DA251C7">
      <w:pPr>
        <w:spacing w:before="0" w:after="0"/>
        <w:ind w:firstLine="560"/>
        <w:jc w:val="left"/>
        <w:outlineLvl w:val="9"/>
      </w:pPr>
      <w:r>
        <w:rPr>
          <w:rFonts w:ascii="方正仿宋_GBK" w:hAnsi="方正仿宋_GBK" w:eastAsia="方正仿宋_GBK" w:cs="方正仿宋_GBK"/>
          <w:b/>
          <w:color w:val="000000"/>
          <w:sz w:val="28"/>
        </w:rPr>
        <w:t>31、冀财教[2024]125号/中央/2025年学生资助/中职免学费（东方中职）绩效目标表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2F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0C322">
            <w:pPr>
              <w:pStyle w:val="14"/>
            </w:pPr>
            <w:r>
              <w:t>单位：万元</w:t>
            </w:r>
          </w:p>
        </w:tc>
      </w:tr>
      <w:tr w14:paraId="1F9965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BFD0F">
            <w:pPr>
              <w:pStyle w:val="11"/>
            </w:pPr>
            <w:r>
              <w:t>项目编码</w:t>
            </w:r>
          </w:p>
        </w:tc>
        <w:tc>
          <w:tcPr>
            <w:tcW w:w="5103" w:type="dxa"/>
            <w:gridSpan w:val="2"/>
            <w:vAlign w:val="center"/>
          </w:tcPr>
          <w:p w14:paraId="4B16A182">
            <w:pPr>
              <w:pStyle w:val="13"/>
            </w:pPr>
            <w:r>
              <w:t>13052525P00001410019K</w:t>
            </w:r>
          </w:p>
        </w:tc>
        <w:tc>
          <w:tcPr>
            <w:tcW w:w="2835" w:type="dxa"/>
            <w:vAlign w:val="center"/>
          </w:tcPr>
          <w:p w14:paraId="1C0B61AA">
            <w:pPr>
              <w:pStyle w:val="11"/>
            </w:pPr>
            <w:r>
              <w:t>项目名称</w:t>
            </w:r>
          </w:p>
        </w:tc>
        <w:tc>
          <w:tcPr>
            <w:tcW w:w="6095" w:type="dxa"/>
            <w:gridSpan w:val="3"/>
            <w:vAlign w:val="center"/>
          </w:tcPr>
          <w:p w14:paraId="6DED18EC">
            <w:pPr>
              <w:pStyle w:val="13"/>
            </w:pPr>
            <w:r>
              <w:t>冀财教[2024]125号/中央/2025年学生资助/中职免学费（东方中职）</w:t>
            </w:r>
          </w:p>
        </w:tc>
      </w:tr>
      <w:tr w14:paraId="1CFC8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4287B">
            <w:pPr>
              <w:pStyle w:val="11"/>
            </w:pPr>
            <w:r>
              <w:t>预算规模及资金用途</w:t>
            </w:r>
          </w:p>
        </w:tc>
        <w:tc>
          <w:tcPr>
            <w:tcW w:w="2268" w:type="dxa"/>
            <w:vAlign w:val="center"/>
          </w:tcPr>
          <w:p w14:paraId="666F021A">
            <w:pPr>
              <w:pStyle w:val="11"/>
            </w:pPr>
            <w:r>
              <w:t>预算数</w:t>
            </w:r>
          </w:p>
        </w:tc>
        <w:tc>
          <w:tcPr>
            <w:tcW w:w="2835" w:type="dxa"/>
            <w:vAlign w:val="center"/>
          </w:tcPr>
          <w:p w14:paraId="216CE633">
            <w:pPr>
              <w:pStyle w:val="13"/>
            </w:pPr>
            <w:r>
              <w:t>8.00</w:t>
            </w:r>
          </w:p>
        </w:tc>
        <w:tc>
          <w:tcPr>
            <w:tcW w:w="2835" w:type="dxa"/>
            <w:vAlign w:val="center"/>
          </w:tcPr>
          <w:p w14:paraId="618A7CC5">
            <w:pPr>
              <w:pStyle w:val="11"/>
            </w:pPr>
            <w:r>
              <w:t>其中：财政    资金</w:t>
            </w:r>
          </w:p>
        </w:tc>
        <w:tc>
          <w:tcPr>
            <w:tcW w:w="2551" w:type="dxa"/>
            <w:vAlign w:val="center"/>
          </w:tcPr>
          <w:p w14:paraId="16FF58C1">
            <w:pPr>
              <w:pStyle w:val="13"/>
            </w:pPr>
            <w:r>
              <w:t>8.00</w:t>
            </w:r>
          </w:p>
        </w:tc>
        <w:tc>
          <w:tcPr>
            <w:tcW w:w="2268" w:type="dxa"/>
            <w:vAlign w:val="center"/>
          </w:tcPr>
          <w:p w14:paraId="7BF14289">
            <w:pPr>
              <w:pStyle w:val="11"/>
            </w:pPr>
            <w:r>
              <w:t>其他资金</w:t>
            </w:r>
          </w:p>
        </w:tc>
        <w:tc>
          <w:tcPr>
            <w:tcW w:w="1276" w:type="dxa"/>
            <w:vAlign w:val="center"/>
          </w:tcPr>
          <w:p w14:paraId="78DB4D20">
            <w:pPr>
              <w:pStyle w:val="13"/>
            </w:pPr>
            <w:r>
              <w:t xml:space="preserve"> </w:t>
            </w:r>
          </w:p>
        </w:tc>
      </w:tr>
      <w:tr w14:paraId="57461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608B07"/>
        </w:tc>
        <w:tc>
          <w:tcPr>
            <w:tcW w:w="14033" w:type="dxa"/>
            <w:gridSpan w:val="6"/>
            <w:vAlign w:val="center"/>
          </w:tcPr>
          <w:p w14:paraId="1332EE58">
            <w:pPr>
              <w:pStyle w:val="13"/>
            </w:pPr>
            <w:r>
              <w:t>中央安排中职免学费8万元，用于弥补中职涉农及其他专业贫困生免除学费后的经费不足。</w:t>
            </w:r>
            <w:r>
              <w:tab/>
            </w:r>
          </w:p>
        </w:tc>
      </w:tr>
      <w:tr w14:paraId="31F6A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20BD9">
            <w:pPr>
              <w:pStyle w:val="11"/>
            </w:pPr>
            <w:r>
              <w:t>资金支出计划（%）</w:t>
            </w:r>
          </w:p>
        </w:tc>
        <w:tc>
          <w:tcPr>
            <w:tcW w:w="5103" w:type="dxa"/>
            <w:gridSpan w:val="2"/>
            <w:vAlign w:val="center"/>
          </w:tcPr>
          <w:p w14:paraId="007AAA4C">
            <w:pPr>
              <w:pStyle w:val="11"/>
            </w:pPr>
            <w:r>
              <w:t>3月底</w:t>
            </w:r>
          </w:p>
        </w:tc>
        <w:tc>
          <w:tcPr>
            <w:tcW w:w="2835" w:type="dxa"/>
            <w:vAlign w:val="center"/>
          </w:tcPr>
          <w:p w14:paraId="1F85EEFD">
            <w:pPr>
              <w:pStyle w:val="11"/>
            </w:pPr>
            <w:r>
              <w:t>6月底</w:t>
            </w:r>
          </w:p>
        </w:tc>
        <w:tc>
          <w:tcPr>
            <w:tcW w:w="2551" w:type="dxa"/>
            <w:vAlign w:val="center"/>
          </w:tcPr>
          <w:p w14:paraId="572C1D75">
            <w:pPr>
              <w:pStyle w:val="11"/>
            </w:pPr>
            <w:r>
              <w:t>10月底</w:t>
            </w:r>
          </w:p>
        </w:tc>
        <w:tc>
          <w:tcPr>
            <w:tcW w:w="3544" w:type="dxa"/>
            <w:gridSpan w:val="2"/>
            <w:vAlign w:val="center"/>
          </w:tcPr>
          <w:p w14:paraId="34281971">
            <w:pPr>
              <w:pStyle w:val="11"/>
            </w:pPr>
            <w:r>
              <w:t>12月底</w:t>
            </w:r>
          </w:p>
        </w:tc>
      </w:tr>
      <w:tr w14:paraId="53383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07DD3"/>
        </w:tc>
        <w:tc>
          <w:tcPr>
            <w:tcW w:w="5103" w:type="dxa"/>
            <w:gridSpan w:val="2"/>
            <w:vAlign w:val="center"/>
          </w:tcPr>
          <w:p w14:paraId="7CE5570B">
            <w:pPr>
              <w:pStyle w:val="12"/>
            </w:pPr>
            <w:r>
              <w:t xml:space="preserve"> </w:t>
            </w:r>
          </w:p>
        </w:tc>
        <w:tc>
          <w:tcPr>
            <w:tcW w:w="2835" w:type="dxa"/>
            <w:vAlign w:val="center"/>
          </w:tcPr>
          <w:p w14:paraId="39ED37F9">
            <w:pPr>
              <w:pStyle w:val="12"/>
            </w:pPr>
            <w:r>
              <w:t>50%</w:t>
            </w:r>
          </w:p>
        </w:tc>
        <w:tc>
          <w:tcPr>
            <w:tcW w:w="2551" w:type="dxa"/>
            <w:vAlign w:val="center"/>
          </w:tcPr>
          <w:p w14:paraId="6F285031">
            <w:pPr>
              <w:pStyle w:val="12"/>
            </w:pPr>
            <w:r>
              <w:t>75%</w:t>
            </w:r>
          </w:p>
        </w:tc>
        <w:tc>
          <w:tcPr>
            <w:tcW w:w="3544" w:type="dxa"/>
            <w:gridSpan w:val="2"/>
            <w:vAlign w:val="center"/>
          </w:tcPr>
          <w:p w14:paraId="2870C02C">
            <w:pPr>
              <w:pStyle w:val="12"/>
            </w:pPr>
            <w:r>
              <w:t>100%</w:t>
            </w:r>
          </w:p>
        </w:tc>
      </w:tr>
      <w:tr w14:paraId="4809B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5CF92C">
            <w:pPr>
              <w:pStyle w:val="11"/>
            </w:pPr>
            <w:r>
              <w:t>绩效目标</w:t>
            </w:r>
          </w:p>
        </w:tc>
        <w:tc>
          <w:tcPr>
            <w:tcW w:w="14033" w:type="dxa"/>
            <w:gridSpan w:val="6"/>
            <w:vAlign w:val="center"/>
          </w:tcPr>
          <w:p w14:paraId="476CA437">
            <w:pPr>
              <w:pStyle w:val="13"/>
            </w:pPr>
            <w:r>
              <w:t>1.中央安排中职免学费8万元，用于弥补中职涉农及其他专业贫困生免除学费后的经费不足。</w:t>
            </w:r>
          </w:p>
        </w:tc>
      </w:tr>
    </w:tbl>
    <w:p w14:paraId="34CCE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01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A293B">
            <w:pPr>
              <w:pStyle w:val="11"/>
            </w:pPr>
            <w:r>
              <w:t>一级指标</w:t>
            </w:r>
          </w:p>
        </w:tc>
        <w:tc>
          <w:tcPr>
            <w:tcW w:w="2268" w:type="dxa"/>
            <w:vAlign w:val="center"/>
          </w:tcPr>
          <w:p w14:paraId="2505D31F">
            <w:pPr>
              <w:pStyle w:val="11"/>
            </w:pPr>
            <w:r>
              <w:t>二级指标</w:t>
            </w:r>
          </w:p>
        </w:tc>
        <w:tc>
          <w:tcPr>
            <w:tcW w:w="2835" w:type="dxa"/>
            <w:vAlign w:val="center"/>
          </w:tcPr>
          <w:p w14:paraId="10E8CC4F">
            <w:pPr>
              <w:pStyle w:val="11"/>
            </w:pPr>
            <w:r>
              <w:t>三级指标</w:t>
            </w:r>
          </w:p>
        </w:tc>
        <w:tc>
          <w:tcPr>
            <w:tcW w:w="5386" w:type="dxa"/>
            <w:vAlign w:val="center"/>
          </w:tcPr>
          <w:p w14:paraId="791DF414">
            <w:pPr>
              <w:pStyle w:val="11"/>
            </w:pPr>
            <w:r>
              <w:t>绩效指标描述</w:t>
            </w:r>
          </w:p>
        </w:tc>
        <w:tc>
          <w:tcPr>
            <w:tcW w:w="2268" w:type="dxa"/>
            <w:vAlign w:val="center"/>
          </w:tcPr>
          <w:p w14:paraId="1E991412">
            <w:pPr>
              <w:pStyle w:val="11"/>
            </w:pPr>
            <w:r>
              <w:t>指标值</w:t>
            </w:r>
          </w:p>
        </w:tc>
        <w:tc>
          <w:tcPr>
            <w:tcW w:w="1276" w:type="dxa"/>
            <w:vAlign w:val="center"/>
          </w:tcPr>
          <w:p w14:paraId="5F4F8BF5">
            <w:pPr>
              <w:pStyle w:val="11"/>
            </w:pPr>
            <w:r>
              <w:t>指标值确定依据</w:t>
            </w:r>
          </w:p>
        </w:tc>
      </w:tr>
      <w:tr w14:paraId="771D5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F5FA5">
            <w:pPr>
              <w:pStyle w:val="12"/>
            </w:pPr>
            <w:r>
              <w:t>产出指标</w:t>
            </w:r>
          </w:p>
        </w:tc>
        <w:tc>
          <w:tcPr>
            <w:tcW w:w="2268" w:type="dxa"/>
            <w:vAlign w:val="center"/>
          </w:tcPr>
          <w:p w14:paraId="20665333">
            <w:pPr>
              <w:pStyle w:val="13"/>
            </w:pPr>
            <w:r>
              <w:t>数量指标</w:t>
            </w:r>
          </w:p>
        </w:tc>
        <w:tc>
          <w:tcPr>
            <w:tcW w:w="2835" w:type="dxa"/>
            <w:vAlign w:val="center"/>
          </w:tcPr>
          <w:p w14:paraId="477AF2BB">
            <w:pPr>
              <w:pStyle w:val="13"/>
            </w:pPr>
            <w:r>
              <w:t>免学费补助人数</w:t>
            </w:r>
          </w:p>
        </w:tc>
        <w:tc>
          <w:tcPr>
            <w:tcW w:w="5386" w:type="dxa"/>
            <w:vAlign w:val="center"/>
          </w:tcPr>
          <w:p w14:paraId="37F6F75A">
            <w:pPr>
              <w:pStyle w:val="13"/>
            </w:pPr>
            <w:r>
              <w:t>免学费补助人数</w:t>
            </w:r>
          </w:p>
        </w:tc>
        <w:tc>
          <w:tcPr>
            <w:tcW w:w="2268" w:type="dxa"/>
            <w:vAlign w:val="center"/>
          </w:tcPr>
          <w:p w14:paraId="2AE5F128">
            <w:pPr>
              <w:pStyle w:val="13"/>
            </w:pPr>
            <w:r>
              <w:t>76人</w:t>
            </w:r>
          </w:p>
        </w:tc>
        <w:tc>
          <w:tcPr>
            <w:tcW w:w="1276" w:type="dxa"/>
            <w:vAlign w:val="center"/>
          </w:tcPr>
          <w:p w14:paraId="585EFE45">
            <w:pPr>
              <w:pStyle w:val="13"/>
            </w:pPr>
            <w:r>
              <w:t>2025年度预算</w:t>
            </w:r>
          </w:p>
        </w:tc>
      </w:tr>
      <w:tr w14:paraId="74E6A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8B104"/>
        </w:tc>
        <w:tc>
          <w:tcPr>
            <w:tcW w:w="2268" w:type="dxa"/>
            <w:vAlign w:val="center"/>
          </w:tcPr>
          <w:p w14:paraId="6AF9CF18">
            <w:pPr>
              <w:pStyle w:val="13"/>
            </w:pPr>
            <w:r>
              <w:t>质量指标</w:t>
            </w:r>
          </w:p>
        </w:tc>
        <w:tc>
          <w:tcPr>
            <w:tcW w:w="2835" w:type="dxa"/>
            <w:vAlign w:val="center"/>
          </w:tcPr>
          <w:p w14:paraId="1393A0FF">
            <w:pPr>
              <w:pStyle w:val="13"/>
            </w:pPr>
            <w:r>
              <w:t>免学费全覆盖</w:t>
            </w:r>
          </w:p>
        </w:tc>
        <w:tc>
          <w:tcPr>
            <w:tcW w:w="5386" w:type="dxa"/>
            <w:vAlign w:val="center"/>
          </w:tcPr>
          <w:p w14:paraId="0DFFA0F5">
            <w:pPr>
              <w:pStyle w:val="13"/>
            </w:pPr>
            <w:r>
              <w:t>免学费一、二、三年级中职生</w:t>
            </w:r>
          </w:p>
        </w:tc>
        <w:tc>
          <w:tcPr>
            <w:tcW w:w="2268" w:type="dxa"/>
            <w:vAlign w:val="center"/>
          </w:tcPr>
          <w:p w14:paraId="44FB6AF5">
            <w:pPr>
              <w:pStyle w:val="13"/>
            </w:pPr>
            <w:r>
              <w:t>≥100%</w:t>
            </w:r>
          </w:p>
        </w:tc>
        <w:tc>
          <w:tcPr>
            <w:tcW w:w="1276" w:type="dxa"/>
            <w:vAlign w:val="center"/>
          </w:tcPr>
          <w:p w14:paraId="56753955">
            <w:pPr>
              <w:pStyle w:val="13"/>
            </w:pPr>
            <w:r>
              <w:t>隆尧县中职免学费管理办法</w:t>
            </w:r>
          </w:p>
        </w:tc>
      </w:tr>
      <w:tr w14:paraId="3E085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2D749"/>
        </w:tc>
        <w:tc>
          <w:tcPr>
            <w:tcW w:w="2268" w:type="dxa"/>
            <w:vAlign w:val="center"/>
          </w:tcPr>
          <w:p w14:paraId="23D2BACF">
            <w:pPr>
              <w:pStyle w:val="13"/>
            </w:pPr>
            <w:r>
              <w:t>时效指标</w:t>
            </w:r>
          </w:p>
        </w:tc>
        <w:tc>
          <w:tcPr>
            <w:tcW w:w="2835" w:type="dxa"/>
            <w:vAlign w:val="center"/>
          </w:tcPr>
          <w:p w14:paraId="1D74EE45">
            <w:pPr>
              <w:pStyle w:val="13"/>
            </w:pPr>
            <w:r>
              <w:t>免学费经费拨付率</w:t>
            </w:r>
          </w:p>
        </w:tc>
        <w:tc>
          <w:tcPr>
            <w:tcW w:w="5386" w:type="dxa"/>
            <w:vAlign w:val="center"/>
          </w:tcPr>
          <w:p w14:paraId="7E288CDD">
            <w:pPr>
              <w:pStyle w:val="13"/>
            </w:pPr>
            <w:r>
              <w:t>免学费经费及时拨付到位率</w:t>
            </w:r>
          </w:p>
        </w:tc>
        <w:tc>
          <w:tcPr>
            <w:tcW w:w="2268" w:type="dxa"/>
            <w:vAlign w:val="center"/>
          </w:tcPr>
          <w:p w14:paraId="1B9C2707">
            <w:pPr>
              <w:pStyle w:val="13"/>
            </w:pPr>
            <w:r>
              <w:t>≥100%</w:t>
            </w:r>
          </w:p>
        </w:tc>
        <w:tc>
          <w:tcPr>
            <w:tcW w:w="1276" w:type="dxa"/>
            <w:vAlign w:val="center"/>
          </w:tcPr>
          <w:p w14:paraId="28E63536">
            <w:pPr>
              <w:pStyle w:val="13"/>
            </w:pPr>
            <w:r>
              <w:t>隆尧县中职免学费管理办法</w:t>
            </w:r>
          </w:p>
        </w:tc>
      </w:tr>
      <w:tr w14:paraId="39BEE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16441"/>
        </w:tc>
        <w:tc>
          <w:tcPr>
            <w:tcW w:w="2268" w:type="dxa"/>
            <w:vAlign w:val="center"/>
          </w:tcPr>
          <w:p w14:paraId="2B4EC14E">
            <w:pPr>
              <w:pStyle w:val="13"/>
            </w:pPr>
            <w:r>
              <w:t>成本指标</w:t>
            </w:r>
          </w:p>
        </w:tc>
        <w:tc>
          <w:tcPr>
            <w:tcW w:w="2835" w:type="dxa"/>
            <w:vAlign w:val="center"/>
          </w:tcPr>
          <w:p w14:paraId="1CFB2483">
            <w:pPr>
              <w:pStyle w:val="13"/>
            </w:pPr>
            <w:r>
              <w:t>中职学校免学费补助标准</w:t>
            </w:r>
          </w:p>
        </w:tc>
        <w:tc>
          <w:tcPr>
            <w:tcW w:w="5386" w:type="dxa"/>
            <w:vAlign w:val="center"/>
          </w:tcPr>
          <w:p w14:paraId="626955A7">
            <w:pPr>
              <w:pStyle w:val="13"/>
            </w:pPr>
            <w:r>
              <w:t>中职学校免学费补助标准</w:t>
            </w:r>
          </w:p>
        </w:tc>
        <w:tc>
          <w:tcPr>
            <w:tcW w:w="2268" w:type="dxa"/>
            <w:vAlign w:val="center"/>
          </w:tcPr>
          <w:p w14:paraId="6EEE07FD">
            <w:pPr>
              <w:pStyle w:val="13"/>
            </w:pPr>
            <w:r>
              <w:t>2000元/生/年</w:t>
            </w:r>
          </w:p>
        </w:tc>
        <w:tc>
          <w:tcPr>
            <w:tcW w:w="1276" w:type="dxa"/>
            <w:vAlign w:val="center"/>
          </w:tcPr>
          <w:p w14:paraId="2790A9FA">
            <w:pPr>
              <w:pStyle w:val="13"/>
            </w:pPr>
            <w:r>
              <w:t>隆尧县中职免学费管理办法</w:t>
            </w:r>
          </w:p>
        </w:tc>
      </w:tr>
      <w:tr w14:paraId="197FA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3D1E61">
            <w:pPr>
              <w:pStyle w:val="12"/>
            </w:pPr>
            <w:r>
              <w:t>效益指标</w:t>
            </w:r>
          </w:p>
        </w:tc>
        <w:tc>
          <w:tcPr>
            <w:tcW w:w="2268" w:type="dxa"/>
            <w:vAlign w:val="center"/>
          </w:tcPr>
          <w:p w14:paraId="3A361F3D">
            <w:pPr>
              <w:pStyle w:val="13"/>
            </w:pPr>
            <w:r>
              <w:t>可持续影响指标</w:t>
            </w:r>
          </w:p>
        </w:tc>
        <w:tc>
          <w:tcPr>
            <w:tcW w:w="2835" w:type="dxa"/>
            <w:vAlign w:val="center"/>
          </w:tcPr>
          <w:p w14:paraId="64A3B585">
            <w:pPr>
              <w:pStyle w:val="13"/>
            </w:pPr>
            <w:r>
              <w:t>中职运转</w:t>
            </w:r>
          </w:p>
        </w:tc>
        <w:tc>
          <w:tcPr>
            <w:tcW w:w="5386" w:type="dxa"/>
            <w:vAlign w:val="center"/>
          </w:tcPr>
          <w:p w14:paraId="61E0FF2E">
            <w:pPr>
              <w:pStyle w:val="13"/>
            </w:pPr>
            <w:r>
              <w:t>高中受教育年限</w:t>
            </w:r>
          </w:p>
        </w:tc>
        <w:tc>
          <w:tcPr>
            <w:tcW w:w="2268" w:type="dxa"/>
            <w:vAlign w:val="center"/>
          </w:tcPr>
          <w:p w14:paraId="2106B47D">
            <w:pPr>
              <w:pStyle w:val="13"/>
            </w:pPr>
            <w:r>
              <w:t>3年</w:t>
            </w:r>
          </w:p>
        </w:tc>
        <w:tc>
          <w:tcPr>
            <w:tcW w:w="1276" w:type="dxa"/>
            <w:vAlign w:val="center"/>
          </w:tcPr>
          <w:p w14:paraId="16710F33">
            <w:pPr>
              <w:pStyle w:val="13"/>
            </w:pPr>
            <w:r>
              <w:t>隆尧县中职免学费管理办法</w:t>
            </w:r>
          </w:p>
        </w:tc>
      </w:tr>
      <w:tr w14:paraId="2728D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D93E77">
            <w:pPr>
              <w:pStyle w:val="12"/>
            </w:pPr>
            <w:r>
              <w:t>满意度指标</w:t>
            </w:r>
          </w:p>
        </w:tc>
        <w:tc>
          <w:tcPr>
            <w:tcW w:w="2268" w:type="dxa"/>
            <w:vAlign w:val="center"/>
          </w:tcPr>
          <w:p w14:paraId="6DC4308B">
            <w:pPr>
              <w:pStyle w:val="13"/>
            </w:pPr>
            <w:r>
              <w:t>服务对象满意度指标</w:t>
            </w:r>
          </w:p>
        </w:tc>
        <w:tc>
          <w:tcPr>
            <w:tcW w:w="2835" w:type="dxa"/>
            <w:vAlign w:val="center"/>
          </w:tcPr>
          <w:p w14:paraId="71A6DEFC">
            <w:pPr>
              <w:pStyle w:val="13"/>
            </w:pPr>
            <w:r>
              <w:t>提升幸福指数</w:t>
            </w:r>
          </w:p>
        </w:tc>
        <w:tc>
          <w:tcPr>
            <w:tcW w:w="5386" w:type="dxa"/>
            <w:vAlign w:val="center"/>
          </w:tcPr>
          <w:p w14:paraId="6CA5FE24">
            <w:pPr>
              <w:pStyle w:val="13"/>
            </w:pPr>
            <w:r>
              <w:t>提升贫困家庭学生的幸福指数学生家长满意</w:t>
            </w:r>
          </w:p>
        </w:tc>
        <w:tc>
          <w:tcPr>
            <w:tcW w:w="2268" w:type="dxa"/>
            <w:vAlign w:val="center"/>
          </w:tcPr>
          <w:p w14:paraId="4ED25365">
            <w:pPr>
              <w:pStyle w:val="13"/>
            </w:pPr>
            <w:r>
              <w:t>≥95%</w:t>
            </w:r>
          </w:p>
        </w:tc>
        <w:tc>
          <w:tcPr>
            <w:tcW w:w="1276" w:type="dxa"/>
            <w:vAlign w:val="center"/>
          </w:tcPr>
          <w:p w14:paraId="662D0710">
            <w:pPr>
              <w:pStyle w:val="13"/>
            </w:pPr>
            <w:r>
              <w:t>隆尧县中职免学费管理办法</w:t>
            </w:r>
          </w:p>
        </w:tc>
      </w:tr>
    </w:tbl>
    <w:p w14:paraId="586049AB">
      <w:pPr>
        <w:sectPr>
          <w:pgSz w:w="16840" w:h="11900" w:orient="landscape"/>
          <w:pgMar w:top="1361" w:right="1020" w:bottom="1134" w:left="1020" w:header="720" w:footer="720" w:gutter="0"/>
          <w:cols w:space="720" w:num="1"/>
        </w:sectPr>
      </w:pPr>
    </w:p>
    <w:p w14:paraId="6A070113">
      <w:pPr>
        <w:spacing w:before="0" w:after="0"/>
        <w:ind w:firstLine="560"/>
        <w:jc w:val="left"/>
        <w:outlineLvl w:val="9"/>
      </w:pPr>
      <w:r>
        <w:rPr>
          <w:rFonts w:ascii="方正仿宋_GBK" w:hAnsi="方正仿宋_GBK" w:eastAsia="方正仿宋_GBK" w:cs="方正仿宋_GBK"/>
          <w:b/>
          <w:color w:val="000000"/>
          <w:sz w:val="28"/>
        </w:rPr>
        <w:t>32、冀财教[2024]125号/中央/2025年学生资助/中职免学费（文茂中学）绩效目标表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D4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FA830">
            <w:pPr>
              <w:pStyle w:val="14"/>
            </w:pPr>
            <w:r>
              <w:t>单位：万元</w:t>
            </w:r>
          </w:p>
        </w:tc>
      </w:tr>
      <w:tr w14:paraId="46A93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EABB4">
            <w:pPr>
              <w:pStyle w:val="11"/>
            </w:pPr>
            <w:r>
              <w:t>项目编码</w:t>
            </w:r>
          </w:p>
        </w:tc>
        <w:tc>
          <w:tcPr>
            <w:tcW w:w="5103" w:type="dxa"/>
            <w:gridSpan w:val="2"/>
            <w:vAlign w:val="center"/>
          </w:tcPr>
          <w:p w14:paraId="04C2575C">
            <w:pPr>
              <w:pStyle w:val="13"/>
            </w:pPr>
            <w:r>
              <w:t>13052525P00001410020Y</w:t>
            </w:r>
          </w:p>
        </w:tc>
        <w:tc>
          <w:tcPr>
            <w:tcW w:w="2835" w:type="dxa"/>
            <w:vAlign w:val="center"/>
          </w:tcPr>
          <w:p w14:paraId="45D968F1">
            <w:pPr>
              <w:pStyle w:val="11"/>
            </w:pPr>
            <w:r>
              <w:t>项目名称</w:t>
            </w:r>
          </w:p>
        </w:tc>
        <w:tc>
          <w:tcPr>
            <w:tcW w:w="6095" w:type="dxa"/>
            <w:gridSpan w:val="3"/>
            <w:vAlign w:val="center"/>
          </w:tcPr>
          <w:p w14:paraId="073A76C1">
            <w:pPr>
              <w:pStyle w:val="13"/>
            </w:pPr>
            <w:r>
              <w:t>冀财教[2024]125号/中央/2025年学生资助/中职免学费（文茂中学）</w:t>
            </w:r>
          </w:p>
        </w:tc>
      </w:tr>
      <w:tr w14:paraId="58D5F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36AEE">
            <w:pPr>
              <w:pStyle w:val="11"/>
            </w:pPr>
            <w:r>
              <w:t>预算规模及资金用途</w:t>
            </w:r>
          </w:p>
        </w:tc>
        <w:tc>
          <w:tcPr>
            <w:tcW w:w="2268" w:type="dxa"/>
            <w:vAlign w:val="center"/>
          </w:tcPr>
          <w:p w14:paraId="16B0C398">
            <w:pPr>
              <w:pStyle w:val="11"/>
            </w:pPr>
            <w:r>
              <w:t>预算数</w:t>
            </w:r>
          </w:p>
        </w:tc>
        <w:tc>
          <w:tcPr>
            <w:tcW w:w="2835" w:type="dxa"/>
            <w:vAlign w:val="center"/>
          </w:tcPr>
          <w:p w14:paraId="6ED2026B">
            <w:pPr>
              <w:pStyle w:val="13"/>
            </w:pPr>
            <w:r>
              <w:t>25.00</w:t>
            </w:r>
          </w:p>
        </w:tc>
        <w:tc>
          <w:tcPr>
            <w:tcW w:w="2835" w:type="dxa"/>
            <w:vAlign w:val="center"/>
          </w:tcPr>
          <w:p w14:paraId="6E2268C0">
            <w:pPr>
              <w:pStyle w:val="11"/>
            </w:pPr>
            <w:r>
              <w:t>其中：财政    资金</w:t>
            </w:r>
          </w:p>
        </w:tc>
        <w:tc>
          <w:tcPr>
            <w:tcW w:w="2551" w:type="dxa"/>
            <w:vAlign w:val="center"/>
          </w:tcPr>
          <w:p w14:paraId="3DD33C71">
            <w:pPr>
              <w:pStyle w:val="13"/>
            </w:pPr>
            <w:r>
              <w:t>25.00</w:t>
            </w:r>
          </w:p>
        </w:tc>
        <w:tc>
          <w:tcPr>
            <w:tcW w:w="2268" w:type="dxa"/>
            <w:vAlign w:val="center"/>
          </w:tcPr>
          <w:p w14:paraId="2B63B0AF">
            <w:pPr>
              <w:pStyle w:val="11"/>
            </w:pPr>
            <w:r>
              <w:t>其他资金</w:t>
            </w:r>
          </w:p>
        </w:tc>
        <w:tc>
          <w:tcPr>
            <w:tcW w:w="1276" w:type="dxa"/>
            <w:vAlign w:val="center"/>
          </w:tcPr>
          <w:p w14:paraId="6E383E7F">
            <w:pPr>
              <w:pStyle w:val="13"/>
            </w:pPr>
            <w:r>
              <w:t xml:space="preserve"> </w:t>
            </w:r>
          </w:p>
        </w:tc>
      </w:tr>
      <w:tr w14:paraId="139F1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34544F"/>
        </w:tc>
        <w:tc>
          <w:tcPr>
            <w:tcW w:w="14033" w:type="dxa"/>
            <w:gridSpan w:val="6"/>
            <w:vAlign w:val="center"/>
          </w:tcPr>
          <w:p w14:paraId="194734F4">
            <w:pPr>
              <w:pStyle w:val="13"/>
            </w:pPr>
            <w:r>
              <w:t>中央安排中职免学费25万元，用于弥补中职涉农及其他专业贫困生免除学费后的经费不足。</w:t>
            </w:r>
            <w:r>
              <w:tab/>
            </w:r>
            <w:r>
              <w:tab/>
            </w:r>
            <w:r>
              <w:tab/>
            </w:r>
            <w:r>
              <w:tab/>
            </w:r>
            <w:r>
              <w:tab/>
            </w:r>
            <w:r>
              <w:tab/>
            </w:r>
          </w:p>
          <w:p w14:paraId="240D8D10">
            <w:pPr>
              <w:pStyle w:val="13"/>
            </w:pPr>
          </w:p>
        </w:tc>
      </w:tr>
      <w:tr w14:paraId="56D2F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0FFAF">
            <w:pPr>
              <w:pStyle w:val="11"/>
            </w:pPr>
            <w:r>
              <w:t>资金支出计划（%）</w:t>
            </w:r>
          </w:p>
        </w:tc>
        <w:tc>
          <w:tcPr>
            <w:tcW w:w="5103" w:type="dxa"/>
            <w:gridSpan w:val="2"/>
            <w:vAlign w:val="center"/>
          </w:tcPr>
          <w:p w14:paraId="619631C2">
            <w:pPr>
              <w:pStyle w:val="11"/>
            </w:pPr>
            <w:r>
              <w:t>3月底</w:t>
            </w:r>
          </w:p>
        </w:tc>
        <w:tc>
          <w:tcPr>
            <w:tcW w:w="2835" w:type="dxa"/>
            <w:vAlign w:val="center"/>
          </w:tcPr>
          <w:p w14:paraId="0F4C8F1D">
            <w:pPr>
              <w:pStyle w:val="11"/>
            </w:pPr>
            <w:r>
              <w:t>6月底</w:t>
            </w:r>
          </w:p>
        </w:tc>
        <w:tc>
          <w:tcPr>
            <w:tcW w:w="2551" w:type="dxa"/>
            <w:vAlign w:val="center"/>
          </w:tcPr>
          <w:p w14:paraId="7B4E5C5A">
            <w:pPr>
              <w:pStyle w:val="11"/>
            </w:pPr>
            <w:r>
              <w:t>10月底</w:t>
            </w:r>
          </w:p>
        </w:tc>
        <w:tc>
          <w:tcPr>
            <w:tcW w:w="3544" w:type="dxa"/>
            <w:gridSpan w:val="2"/>
            <w:vAlign w:val="center"/>
          </w:tcPr>
          <w:p w14:paraId="627C040E">
            <w:pPr>
              <w:pStyle w:val="11"/>
            </w:pPr>
            <w:r>
              <w:t>12月底</w:t>
            </w:r>
          </w:p>
        </w:tc>
      </w:tr>
      <w:tr w14:paraId="42BA1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A82EB"/>
        </w:tc>
        <w:tc>
          <w:tcPr>
            <w:tcW w:w="5103" w:type="dxa"/>
            <w:gridSpan w:val="2"/>
            <w:vAlign w:val="center"/>
          </w:tcPr>
          <w:p w14:paraId="47B9782D">
            <w:pPr>
              <w:pStyle w:val="12"/>
            </w:pPr>
            <w:r>
              <w:t xml:space="preserve"> </w:t>
            </w:r>
          </w:p>
        </w:tc>
        <w:tc>
          <w:tcPr>
            <w:tcW w:w="2835" w:type="dxa"/>
            <w:vAlign w:val="center"/>
          </w:tcPr>
          <w:p w14:paraId="58C0D4AF">
            <w:pPr>
              <w:pStyle w:val="12"/>
            </w:pPr>
            <w:r>
              <w:t>50%</w:t>
            </w:r>
          </w:p>
        </w:tc>
        <w:tc>
          <w:tcPr>
            <w:tcW w:w="2551" w:type="dxa"/>
            <w:vAlign w:val="center"/>
          </w:tcPr>
          <w:p w14:paraId="1A9C9739">
            <w:pPr>
              <w:pStyle w:val="12"/>
            </w:pPr>
            <w:r>
              <w:t>75%</w:t>
            </w:r>
          </w:p>
        </w:tc>
        <w:tc>
          <w:tcPr>
            <w:tcW w:w="3544" w:type="dxa"/>
            <w:gridSpan w:val="2"/>
            <w:vAlign w:val="center"/>
          </w:tcPr>
          <w:p w14:paraId="6BA8DE43">
            <w:pPr>
              <w:pStyle w:val="12"/>
            </w:pPr>
            <w:r>
              <w:t>100%</w:t>
            </w:r>
          </w:p>
        </w:tc>
      </w:tr>
      <w:tr w14:paraId="4132E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E4F741">
            <w:pPr>
              <w:pStyle w:val="11"/>
            </w:pPr>
            <w:r>
              <w:t>绩效目标</w:t>
            </w:r>
          </w:p>
        </w:tc>
        <w:tc>
          <w:tcPr>
            <w:tcW w:w="14033" w:type="dxa"/>
            <w:gridSpan w:val="6"/>
            <w:vAlign w:val="center"/>
          </w:tcPr>
          <w:p w14:paraId="4B4AB2AD">
            <w:pPr>
              <w:pStyle w:val="13"/>
            </w:pPr>
            <w:r>
              <w:t>1.中央安排中职免学费25万元，用于弥补中职涉农及其他专业贫困生免除学费后的经费不足。</w:t>
            </w:r>
          </w:p>
        </w:tc>
      </w:tr>
    </w:tbl>
    <w:p w14:paraId="61174A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EA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D49C6">
            <w:pPr>
              <w:pStyle w:val="11"/>
            </w:pPr>
            <w:r>
              <w:t>一级指标</w:t>
            </w:r>
          </w:p>
        </w:tc>
        <w:tc>
          <w:tcPr>
            <w:tcW w:w="2268" w:type="dxa"/>
            <w:vAlign w:val="center"/>
          </w:tcPr>
          <w:p w14:paraId="1CBEA6AD">
            <w:pPr>
              <w:pStyle w:val="11"/>
            </w:pPr>
            <w:r>
              <w:t>二级指标</w:t>
            </w:r>
          </w:p>
        </w:tc>
        <w:tc>
          <w:tcPr>
            <w:tcW w:w="2835" w:type="dxa"/>
            <w:vAlign w:val="center"/>
          </w:tcPr>
          <w:p w14:paraId="21281307">
            <w:pPr>
              <w:pStyle w:val="11"/>
            </w:pPr>
            <w:r>
              <w:t>三级指标</w:t>
            </w:r>
          </w:p>
        </w:tc>
        <w:tc>
          <w:tcPr>
            <w:tcW w:w="5386" w:type="dxa"/>
            <w:vAlign w:val="center"/>
          </w:tcPr>
          <w:p w14:paraId="6B65CB85">
            <w:pPr>
              <w:pStyle w:val="11"/>
            </w:pPr>
            <w:r>
              <w:t>绩效指标描述</w:t>
            </w:r>
          </w:p>
        </w:tc>
        <w:tc>
          <w:tcPr>
            <w:tcW w:w="2268" w:type="dxa"/>
            <w:vAlign w:val="center"/>
          </w:tcPr>
          <w:p w14:paraId="0BDC6289">
            <w:pPr>
              <w:pStyle w:val="11"/>
            </w:pPr>
            <w:r>
              <w:t>指标值</w:t>
            </w:r>
          </w:p>
        </w:tc>
        <w:tc>
          <w:tcPr>
            <w:tcW w:w="1276" w:type="dxa"/>
            <w:vAlign w:val="center"/>
          </w:tcPr>
          <w:p w14:paraId="52BE42FD">
            <w:pPr>
              <w:pStyle w:val="11"/>
            </w:pPr>
            <w:r>
              <w:t>指标值确定依据</w:t>
            </w:r>
          </w:p>
        </w:tc>
      </w:tr>
      <w:tr w14:paraId="1BB04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6E40D">
            <w:pPr>
              <w:pStyle w:val="12"/>
            </w:pPr>
            <w:r>
              <w:t>产出指标</w:t>
            </w:r>
          </w:p>
        </w:tc>
        <w:tc>
          <w:tcPr>
            <w:tcW w:w="2268" w:type="dxa"/>
            <w:vAlign w:val="center"/>
          </w:tcPr>
          <w:p w14:paraId="7F2EE3FB">
            <w:pPr>
              <w:pStyle w:val="13"/>
            </w:pPr>
            <w:r>
              <w:t>数量指标</w:t>
            </w:r>
          </w:p>
        </w:tc>
        <w:tc>
          <w:tcPr>
            <w:tcW w:w="2835" w:type="dxa"/>
            <w:vAlign w:val="center"/>
          </w:tcPr>
          <w:p w14:paraId="6B79503F">
            <w:pPr>
              <w:pStyle w:val="13"/>
            </w:pPr>
            <w:r>
              <w:t>中职享受助学金人数</w:t>
            </w:r>
          </w:p>
        </w:tc>
        <w:tc>
          <w:tcPr>
            <w:tcW w:w="5386" w:type="dxa"/>
            <w:vAlign w:val="center"/>
          </w:tcPr>
          <w:p w14:paraId="12BEC36C">
            <w:pPr>
              <w:pStyle w:val="13"/>
            </w:pPr>
            <w:r>
              <w:t>中职享受助学金人数</w:t>
            </w:r>
          </w:p>
        </w:tc>
        <w:tc>
          <w:tcPr>
            <w:tcW w:w="2268" w:type="dxa"/>
            <w:vAlign w:val="center"/>
          </w:tcPr>
          <w:p w14:paraId="78A79635">
            <w:pPr>
              <w:pStyle w:val="13"/>
            </w:pPr>
            <w:r>
              <w:t>57人</w:t>
            </w:r>
          </w:p>
        </w:tc>
        <w:tc>
          <w:tcPr>
            <w:tcW w:w="1276" w:type="dxa"/>
            <w:vAlign w:val="center"/>
          </w:tcPr>
          <w:p w14:paraId="6A51EBB8">
            <w:pPr>
              <w:pStyle w:val="13"/>
            </w:pPr>
            <w:r>
              <w:t>年度招生计划</w:t>
            </w:r>
          </w:p>
        </w:tc>
      </w:tr>
      <w:tr w14:paraId="42417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1C7D1"/>
        </w:tc>
        <w:tc>
          <w:tcPr>
            <w:tcW w:w="2268" w:type="dxa"/>
            <w:vAlign w:val="center"/>
          </w:tcPr>
          <w:p w14:paraId="1034141A">
            <w:pPr>
              <w:pStyle w:val="13"/>
            </w:pPr>
            <w:r>
              <w:t>质量指标</w:t>
            </w:r>
          </w:p>
        </w:tc>
        <w:tc>
          <w:tcPr>
            <w:tcW w:w="2835" w:type="dxa"/>
            <w:vAlign w:val="center"/>
          </w:tcPr>
          <w:p w14:paraId="3746AEE8">
            <w:pPr>
              <w:pStyle w:val="13"/>
            </w:pPr>
            <w:r>
              <w:t>完成助学金发放工作</w:t>
            </w:r>
          </w:p>
        </w:tc>
        <w:tc>
          <w:tcPr>
            <w:tcW w:w="5386" w:type="dxa"/>
            <w:vAlign w:val="center"/>
          </w:tcPr>
          <w:p w14:paraId="7CF929E8">
            <w:pPr>
              <w:pStyle w:val="13"/>
            </w:pPr>
            <w:r>
              <w:t>涉农专业学生及其他专业贫困生</w:t>
            </w:r>
          </w:p>
        </w:tc>
        <w:tc>
          <w:tcPr>
            <w:tcW w:w="2268" w:type="dxa"/>
            <w:vAlign w:val="center"/>
          </w:tcPr>
          <w:p w14:paraId="4A9AF9A0">
            <w:pPr>
              <w:pStyle w:val="13"/>
            </w:pPr>
            <w:r>
              <w:t>≥100%</w:t>
            </w:r>
          </w:p>
        </w:tc>
        <w:tc>
          <w:tcPr>
            <w:tcW w:w="1276" w:type="dxa"/>
            <w:vAlign w:val="center"/>
          </w:tcPr>
          <w:p w14:paraId="06C4C1A5">
            <w:pPr>
              <w:pStyle w:val="13"/>
            </w:pPr>
            <w:r>
              <w:t>冀财教【2024】103号</w:t>
            </w:r>
          </w:p>
        </w:tc>
      </w:tr>
      <w:tr w14:paraId="3BF8A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6329A"/>
        </w:tc>
        <w:tc>
          <w:tcPr>
            <w:tcW w:w="2268" w:type="dxa"/>
            <w:vAlign w:val="center"/>
          </w:tcPr>
          <w:p w14:paraId="1567CFFB">
            <w:pPr>
              <w:pStyle w:val="13"/>
            </w:pPr>
            <w:r>
              <w:t>时效指标</w:t>
            </w:r>
          </w:p>
        </w:tc>
        <w:tc>
          <w:tcPr>
            <w:tcW w:w="2835" w:type="dxa"/>
            <w:vAlign w:val="center"/>
          </w:tcPr>
          <w:p w14:paraId="1490E04F">
            <w:pPr>
              <w:pStyle w:val="13"/>
            </w:pPr>
            <w:r>
              <w:t>助学金及时足额发放</w:t>
            </w:r>
          </w:p>
        </w:tc>
        <w:tc>
          <w:tcPr>
            <w:tcW w:w="5386" w:type="dxa"/>
            <w:vAlign w:val="center"/>
          </w:tcPr>
          <w:p w14:paraId="5936827B">
            <w:pPr>
              <w:pStyle w:val="13"/>
            </w:pPr>
            <w:r>
              <w:t>助学金及时足额发放率</w:t>
            </w:r>
          </w:p>
        </w:tc>
        <w:tc>
          <w:tcPr>
            <w:tcW w:w="2268" w:type="dxa"/>
            <w:vAlign w:val="center"/>
          </w:tcPr>
          <w:p w14:paraId="2F702B6D">
            <w:pPr>
              <w:pStyle w:val="13"/>
            </w:pPr>
            <w:r>
              <w:t>≥100%</w:t>
            </w:r>
          </w:p>
        </w:tc>
        <w:tc>
          <w:tcPr>
            <w:tcW w:w="1276" w:type="dxa"/>
            <w:vAlign w:val="center"/>
          </w:tcPr>
          <w:p w14:paraId="3241D3C7">
            <w:pPr>
              <w:pStyle w:val="13"/>
            </w:pPr>
            <w:r>
              <w:t>冀财教【2024】103号</w:t>
            </w:r>
          </w:p>
        </w:tc>
      </w:tr>
      <w:tr w14:paraId="1796B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D15D0"/>
        </w:tc>
        <w:tc>
          <w:tcPr>
            <w:tcW w:w="2268" w:type="dxa"/>
            <w:vAlign w:val="center"/>
          </w:tcPr>
          <w:p w14:paraId="7F031DA7">
            <w:pPr>
              <w:pStyle w:val="13"/>
            </w:pPr>
            <w:r>
              <w:t>成本指标</w:t>
            </w:r>
          </w:p>
        </w:tc>
        <w:tc>
          <w:tcPr>
            <w:tcW w:w="2835" w:type="dxa"/>
            <w:vAlign w:val="center"/>
          </w:tcPr>
          <w:p w14:paraId="34A293FA">
            <w:pPr>
              <w:pStyle w:val="13"/>
            </w:pPr>
            <w:r>
              <w:t>中职助学金标准</w:t>
            </w:r>
          </w:p>
        </w:tc>
        <w:tc>
          <w:tcPr>
            <w:tcW w:w="5386" w:type="dxa"/>
            <w:vAlign w:val="center"/>
          </w:tcPr>
          <w:p w14:paraId="6FD3F163">
            <w:pPr>
              <w:pStyle w:val="13"/>
            </w:pPr>
            <w:r>
              <w:t>中职助学金资助标准2300/生/年</w:t>
            </w:r>
          </w:p>
        </w:tc>
        <w:tc>
          <w:tcPr>
            <w:tcW w:w="2268" w:type="dxa"/>
            <w:vAlign w:val="center"/>
          </w:tcPr>
          <w:p w14:paraId="167D3087">
            <w:pPr>
              <w:pStyle w:val="13"/>
            </w:pPr>
            <w:r>
              <w:t>2300元</w:t>
            </w:r>
          </w:p>
        </w:tc>
        <w:tc>
          <w:tcPr>
            <w:tcW w:w="1276" w:type="dxa"/>
            <w:vAlign w:val="center"/>
          </w:tcPr>
          <w:p w14:paraId="5D6E9122">
            <w:pPr>
              <w:pStyle w:val="13"/>
            </w:pPr>
            <w:r>
              <w:t>冀财教【2024】103号</w:t>
            </w:r>
          </w:p>
        </w:tc>
      </w:tr>
      <w:tr w14:paraId="04653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4F657B">
            <w:pPr>
              <w:pStyle w:val="12"/>
            </w:pPr>
            <w:r>
              <w:t>效益指标</w:t>
            </w:r>
          </w:p>
        </w:tc>
        <w:tc>
          <w:tcPr>
            <w:tcW w:w="2268" w:type="dxa"/>
            <w:vAlign w:val="center"/>
          </w:tcPr>
          <w:p w14:paraId="2A729F32">
            <w:pPr>
              <w:pStyle w:val="13"/>
            </w:pPr>
            <w:r>
              <w:t>可持续影响指标</w:t>
            </w:r>
          </w:p>
        </w:tc>
        <w:tc>
          <w:tcPr>
            <w:tcW w:w="2835" w:type="dxa"/>
            <w:vAlign w:val="center"/>
          </w:tcPr>
          <w:p w14:paraId="56005850">
            <w:pPr>
              <w:pStyle w:val="13"/>
            </w:pPr>
            <w:r>
              <w:t>中职学校运转</w:t>
            </w:r>
          </w:p>
        </w:tc>
        <w:tc>
          <w:tcPr>
            <w:tcW w:w="5386" w:type="dxa"/>
            <w:vAlign w:val="center"/>
          </w:tcPr>
          <w:p w14:paraId="10BC7F96">
            <w:pPr>
              <w:pStyle w:val="13"/>
            </w:pPr>
            <w:r>
              <w:t>中职受教育年限</w:t>
            </w:r>
          </w:p>
        </w:tc>
        <w:tc>
          <w:tcPr>
            <w:tcW w:w="2268" w:type="dxa"/>
            <w:vAlign w:val="center"/>
          </w:tcPr>
          <w:p w14:paraId="4738A249">
            <w:pPr>
              <w:pStyle w:val="13"/>
            </w:pPr>
            <w:r>
              <w:t>3年</w:t>
            </w:r>
          </w:p>
        </w:tc>
        <w:tc>
          <w:tcPr>
            <w:tcW w:w="1276" w:type="dxa"/>
            <w:vAlign w:val="center"/>
          </w:tcPr>
          <w:p w14:paraId="505BA93C">
            <w:pPr>
              <w:pStyle w:val="13"/>
            </w:pPr>
            <w:r>
              <w:t>冀财教【2024】103号</w:t>
            </w:r>
          </w:p>
        </w:tc>
      </w:tr>
      <w:tr w14:paraId="3D7AE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A3C2C2">
            <w:pPr>
              <w:pStyle w:val="12"/>
            </w:pPr>
            <w:r>
              <w:t>满意度指标</w:t>
            </w:r>
          </w:p>
        </w:tc>
        <w:tc>
          <w:tcPr>
            <w:tcW w:w="2268" w:type="dxa"/>
            <w:vAlign w:val="center"/>
          </w:tcPr>
          <w:p w14:paraId="6A44DAA7">
            <w:pPr>
              <w:pStyle w:val="13"/>
            </w:pPr>
            <w:r>
              <w:t>服务对象满意度指标</w:t>
            </w:r>
          </w:p>
        </w:tc>
        <w:tc>
          <w:tcPr>
            <w:tcW w:w="2835" w:type="dxa"/>
            <w:vAlign w:val="center"/>
          </w:tcPr>
          <w:p w14:paraId="52046E21">
            <w:pPr>
              <w:pStyle w:val="13"/>
            </w:pPr>
            <w:r>
              <w:t>提升幸福指数</w:t>
            </w:r>
          </w:p>
        </w:tc>
        <w:tc>
          <w:tcPr>
            <w:tcW w:w="5386" w:type="dxa"/>
            <w:vAlign w:val="center"/>
          </w:tcPr>
          <w:p w14:paraId="51BCB296">
            <w:pPr>
              <w:pStyle w:val="13"/>
            </w:pPr>
            <w:r>
              <w:t>提升建档立卡贫困家庭学生幸福指数</w:t>
            </w:r>
          </w:p>
          <w:p w14:paraId="2C81BF46">
            <w:pPr>
              <w:pStyle w:val="13"/>
            </w:pPr>
            <w:r>
              <w:t>家长学生满意</w:t>
            </w:r>
          </w:p>
        </w:tc>
        <w:tc>
          <w:tcPr>
            <w:tcW w:w="2268" w:type="dxa"/>
            <w:vAlign w:val="center"/>
          </w:tcPr>
          <w:p w14:paraId="423D8C72">
            <w:pPr>
              <w:pStyle w:val="13"/>
            </w:pPr>
            <w:r>
              <w:t>≥98%</w:t>
            </w:r>
          </w:p>
        </w:tc>
        <w:tc>
          <w:tcPr>
            <w:tcW w:w="1276" w:type="dxa"/>
            <w:vAlign w:val="center"/>
          </w:tcPr>
          <w:p w14:paraId="2054E6D5">
            <w:pPr>
              <w:pStyle w:val="13"/>
            </w:pPr>
            <w:r>
              <w:t>调查问卷</w:t>
            </w:r>
          </w:p>
        </w:tc>
      </w:tr>
    </w:tbl>
    <w:p w14:paraId="7FC98EB1">
      <w:pPr>
        <w:sectPr>
          <w:pgSz w:w="16840" w:h="11900" w:orient="landscape"/>
          <w:pgMar w:top="1361" w:right="1020" w:bottom="1134" w:left="1020" w:header="720" w:footer="720" w:gutter="0"/>
          <w:cols w:space="720" w:num="1"/>
        </w:sectPr>
      </w:pPr>
    </w:p>
    <w:p w14:paraId="11D685E5">
      <w:pPr>
        <w:spacing w:before="0" w:after="0"/>
        <w:ind w:firstLine="560"/>
        <w:jc w:val="left"/>
        <w:outlineLvl w:val="9"/>
      </w:pPr>
      <w:r>
        <w:rPr>
          <w:rFonts w:ascii="方正仿宋_GBK" w:hAnsi="方正仿宋_GBK" w:eastAsia="方正仿宋_GBK" w:cs="方正仿宋_GBK"/>
          <w:b/>
          <w:color w:val="000000"/>
          <w:sz w:val="28"/>
        </w:rPr>
        <w:t>33、冀财教[2024]125号/中央/2025年学生资助/中职助学金（东方中职）</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59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9C052">
            <w:pPr>
              <w:pStyle w:val="14"/>
            </w:pPr>
            <w:r>
              <w:t>单位：万元</w:t>
            </w:r>
          </w:p>
        </w:tc>
      </w:tr>
      <w:tr w14:paraId="1A336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F1D6EC">
            <w:pPr>
              <w:pStyle w:val="11"/>
            </w:pPr>
            <w:r>
              <w:t>项目编码</w:t>
            </w:r>
          </w:p>
        </w:tc>
        <w:tc>
          <w:tcPr>
            <w:tcW w:w="5103" w:type="dxa"/>
            <w:gridSpan w:val="2"/>
            <w:vAlign w:val="center"/>
          </w:tcPr>
          <w:p w14:paraId="14B009E7">
            <w:pPr>
              <w:pStyle w:val="13"/>
            </w:pPr>
            <w:r>
              <w:t>13052525P00001410016Q</w:t>
            </w:r>
          </w:p>
        </w:tc>
        <w:tc>
          <w:tcPr>
            <w:tcW w:w="2835" w:type="dxa"/>
            <w:vAlign w:val="center"/>
          </w:tcPr>
          <w:p w14:paraId="434B3F6F">
            <w:pPr>
              <w:pStyle w:val="11"/>
            </w:pPr>
            <w:r>
              <w:t>项目名称</w:t>
            </w:r>
          </w:p>
        </w:tc>
        <w:tc>
          <w:tcPr>
            <w:tcW w:w="6095" w:type="dxa"/>
            <w:gridSpan w:val="3"/>
            <w:vAlign w:val="center"/>
          </w:tcPr>
          <w:p w14:paraId="61233E60">
            <w:pPr>
              <w:pStyle w:val="13"/>
            </w:pPr>
            <w:r>
              <w:t>冀财教[2024]125号/中央/2025年学生资助/中职助学金（东方中职）</w:t>
            </w:r>
            <w:r>
              <w:tab/>
            </w:r>
          </w:p>
        </w:tc>
      </w:tr>
      <w:tr w14:paraId="70B6D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88864">
            <w:pPr>
              <w:pStyle w:val="11"/>
            </w:pPr>
            <w:r>
              <w:t>预算规模及资金用途</w:t>
            </w:r>
          </w:p>
        </w:tc>
        <w:tc>
          <w:tcPr>
            <w:tcW w:w="2268" w:type="dxa"/>
            <w:vAlign w:val="center"/>
          </w:tcPr>
          <w:p w14:paraId="299B1AAF">
            <w:pPr>
              <w:pStyle w:val="11"/>
            </w:pPr>
            <w:r>
              <w:t>预算数</w:t>
            </w:r>
          </w:p>
        </w:tc>
        <w:tc>
          <w:tcPr>
            <w:tcW w:w="2835" w:type="dxa"/>
            <w:vAlign w:val="center"/>
          </w:tcPr>
          <w:p w14:paraId="7D3E916C">
            <w:pPr>
              <w:pStyle w:val="13"/>
            </w:pPr>
            <w:r>
              <w:t>1.00</w:t>
            </w:r>
          </w:p>
        </w:tc>
        <w:tc>
          <w:tcPr>
            <w:tcW w:w="2835" w:type="dxa"/>
            <w:vAlign w:val="center"/>
          </w:tcPr>
          <w:p w14:paraId="4CCBD63C">
            <w:pPr>
              <w:pStyle w:val="11"/>
            </w:pPr>
            <w:r>
              <w:t>其中：财政    资金</w:t>
            </w:r>
          </w:p>
        </w:tc>
        <w:tc>
          <w:tcPr>
            <w:tcW w:w="2551" w:type="dxa"/>
            <w:vAlign w:val="center"/>
          </w:tcPr>
          <w:p w14:paraId="4208E3CC">
            <w:pPr>
              <w:pStyle w:val="13"/>
            </w:pPr>
            <w:r>
              <w:t>1.00</w:t>
            </w:r>
          </w:p>
        </w:tc>
        <w:tc>
          <w:tcPr>
            <w:tcW w:w="2268" w:type="dxa"/>
            <w:vAlign w:val="center"/>
          </w:tcPr>
          <w:p w14:paraId="238FD31E">
            <w:pPr>
              <w:pStyle w:val="11"/>
            </w:pPr>
            <w:r>
              <w:t>其他资金</w:t>
            </w:r>
          </w:p>
        </w:tc>
        <w:tc>
          <w:tcPr>
            <w:tcW w:w="1276" w:type="dxa"/>
            <w:vAlign w:val="center"/>
          </w:tcPr>
          <w:p w14:paraId="67B71E14">
            <w:pPr>
              <w:pStyle w:val="13"/>
            </w:pPr>
            <w:r>
              <w:t xml:space="preserve"> </w:t>
            </w:r>
          </w:p>
        </w:tc>
      </w:tr>
      <w:tr w14:paraId="38CB6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801FEE"/>
        </w:tc>
        <w:tc>
          <w:tcPr>
            <w:tcW w:w="14033" w:type="dxa"/>
            <w:gridSpan w:val="6"/>
            <w:vAlign w:val="center"/>
          </w:tcPr>
          <w:p w14:paraId="35DC227B">
            <w:pPr>
              <w:pStyle w:val="13"/>
            </w:pPr>
            <w:r>
              <w:t>中央安排中职免学费1万元，用于弥补中职涉农及其他专业贫困生免除学费后的经费不足。</w:t>
            </w:r>
          </w:p>
        </w:tc>
      </w:tr>
      <w:tr w14:paraId="7E624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058A4">
            <w:pPr>
              <w:pStyle w:val="11"/>
            </w:pPr>
            <w:r>
              <w:t>资金支出计划（%）</w:t>
            </w:r>
          </w:p>
        </w:tc>
        <w:tc>
          <w:tcPr>
            <w:tcW w:w="5103" w:type="dxa"/>
            <w:gridSpan w:val="2"/>
            <w:vAlign w:val="center"/>
          </w:tcPr>
          <w:p w14:paraId="153F7771">
            <w:pPr>
              <w:pStyle w:val="11"/>
            </w:pPr>
            <w:r>
              <w:t>3月底</w:t>
            </w:r>
          </w:p>
        </w:tc>
        <w:tc>
          <w:tcPr>
            <w:tcW w:w="2835" w:type="dxa"/>
            <w:vAlign w:val="center"/>
          </w:tcPr>
          <w:p w14:paraId="7D7274D1">
            <w:pPr>
              <w:pStyle w:val="11"/>
            </w:pPr>
            <w:r>
              <w:t>6月底</w:t>
            </w:r>
          </w:p>
        </w:tc>
        <w:tc>
          <w:tcPr>
            <w:tcW w:w="2551" w:type="dxa"/>
            <w:vAlign w:val="center"/>
          </w:tcPr>
          <w:p w14:paraId="27131CBB">
            <w:pPr>
              <w:pStyle w:val="11"/>
            </w:pPr>
            <w:r>
              <w:t>10月底</w:t>
            </w:r>
          </w:p>
        </w:tc>
        <w:tc>
          <w:tcPr>
            <w:tcW w:w="3544" w:type="dxa"/>
            <w:gridSpan w:val="2"/>
            <w:vAlign w:val="center"/>
          </w:tcPr>
          <w:p w14:paraId="2F44A460">
            <w:pPr>
              <w:pStyle w:val="11"/>
            </w:pPr>
            <w:r>
              <w:t>12月底</w:t>
            </w:r>
          </w:p>
        </w:tc>
      </w:tr>
      <w:tr w14:paraId="2BB0C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42167"/>
        </w:tc>
        <w:tc>
          <w:tcPr>
            <w:tcW w:w="5103" w:type="dxa"/>
            <w:gridSpan w:val="2"/>
            <w:vAlign w:val="center"/>
          </w:tcPr>
          <w:p w14:paraId="1B4A0BF0">
            <w:pPr>
              <w:pStyle w:val="12"/>
            </w:pPr>
            <w:r>
              <w:t xml:space="preserve"> </w:t>
            </w:r>
          </w:p>
        </w:tc>
        <w:tc>
          <w:tcPr>
            <w:tcW w:w="2835" w:type="dxa"/>
            <w:vAlign w:val="center"/>
          </w:tcPr>
          <w:p w14:paraId="4879F303">
            <w:pPr>
              <w:pStyle w:val="12"/>
            </w:pPr>
            <w:r>
              <w:t>50%</w:t>
            </w:r>
          </w:p>
        </w:tc>
        <w:tc>
          <w:tcPr>
            <w:tcW w:w="2551" w:type="dxa"/>
            <w:vAlign w:val="center"/>
          </w:tcPr>
          <w:p w14:paraId="67ED2EDE">
            <w:pPr>
              <w:pStyle w:val="12"/>
            </w:pPr>
            <w:r>
              <w:t>75%</w:t>
            </w:r>
          </w:p>
        </w:tc>
        <w:tc>
          <w:tcPr>
            <w:tcW w:w="3544" w:type="dxa"/>
            <w:gridSpan w:val="2"/>
            <w:vAlign w:val="center"/>
          </w:tcPr>
          <w:p w14:paraId="7F94C9C2">
            <w:pPr>
              <w:pStyle w:val="12"/>
            </w:pPr>
            <w:r>
              <w:t>100%</w:t>
            </w:r>
          </w:p>
        </w:tc>
      </w:tr>
      <w:tr w14:paraId="148E0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B8DEC">
            <w:pPr>
              <w:pStyle w:val="11"/>
            </w:pPr>
            <w:r>
              <w:t>绩效目标</w:t>
            </w:r>
          </w:p>
        </w:tc>
        <w:tc>
          <w:tcPr>
            <w:tcW w:w="14033" w:type="dxa"/>
            <w:gridSpan w:val="6"/>
            <w:vAlign w:val="center"/>
          </w:tcPr>
          <w:p w14:paraId="4162E75B">
            <w:pPr>
              <w:pStyle w:val="13"/>
            </w:pPr>
            <w:r>
              <w:t>1.中央安排中职免学费1万元，用于弥补中职涉农及其他专业贫困生免除学费后的经费不足。</w:t>
            </w:r>
          </w:p>
        </w:tc>
      </w:tr>
    </w:tbl>
    <w:p w14:paraId="30CF1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FF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BD913">
            <w:pPr>
              <w:pStyle w:val="11"/>
            </w:pPr>
            <w:r>
              <w:t>一级指标</w:t>
            </w:r>
          </w:p>
        </w:tc>
        <w:tc>
          <w:tcPr>
            <w:tcW w:w="2268" w:type="dxa"/>
            <w:vAlign w:val="center"/>
          </w:tcPr>
          <w:p w14:paraId="172C2A9B">
            <w:pPr>
              <w:pStyle w:val="11"/>
            </w:pPr>
            <w:r>
              <w:t>二级指标</w:t>
            </w:r>
          </w:p>
        </w:tc>
        <w:tc>
          <w:tcPr>
            <w:tcW w:w="2835" w:type="dxa"/>
            <w:vAlign w:val="center"/>
          </w:tcPr>
          <w:p w14:paraId="2E7E3CD9">
            <w:pPr>
              <w:pStyle w:val="11"/>
            </w:pPr>
            <w:r>
              <w:t>三级指标</w:t>
            </w:r>
          </w:p>
        </w:tc>
        <w:tc>
          <w:tcPr>
            <w:tcW w:w="5386" w:type="dxa"/>
            <w:vAlign w:val="center"/>
          </w:tcPr>
          <w:p w14:paraId="0B788A4F">
            <w:pPr>
              <w:pStyle w:val="11"/>
            </w:pPr>
            <w:r>
              <w:t>绩效指标描述</w:t>
            </w:r>
          </w:p>
        </w:tc>
        <w:tc>
          <w:tcPr>
            <w:tcW w:w="2268" w:type="dxa"/>
            <w:vAlign w:val="center"/>
          </w:tcPr>
          <w:p w14:paraId="36BF684B">
            <w:pPr>
              <w:pStyle w:val="11"/>
            </w:pPr>
            <w:r>
              <w:t>指标值</w:t>
            </w:r>
          </w:p>
        </w:tc>
        <w:tc>
          <w:tcPr>
            <w:tcW w:w="1276" w:type="dxa"/>
            <w:vAlign w:val="center"/>
          </w:tcPr>
          <w:p w14:paraId="70B3A074">
            <w:pPr>
              <w:pStyle w:val="11"/>
            </w:pPr>
            <w:r>
              <w:t>指标值确定依据</w:t>
            </w:r>
          </w:p>
        </w:tc>
      </w:tr>
      <w:tr w14:paraId="024DF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09834">
            <w:pPr>
              <w:pStyle w:val="12"/>
            </w:pPr>
            <w:r>
              <w:t>产出指标</w:t>
            </w:r>
          </w:p>
        </w:tc>
        <w:tc>
          <w:tcPr>
            <w:tcW w:w="2268" w:type="dxa"/>
            <w:vAlign w:val="center"/>
          </w:tcPr>
          <w:p w14:paraId="3AEC4C50">
            <w:pPr>
              <w:pStyle w:val="13"/>
            </w:pPr>
            <w:r>
              <w:t>数量指标</w:t>
            </w:r>
          </w:p>
        </w:tc>
        <w:tc>
          <w:tcPr>
            <w:tcW w:w="2835" w:type="dxa"/>
            <w:vAlign w:val="center"/>
          </w:tcPr>
          <w:p w14:paraId="05EBAC0C">
            <w:pPr>
              <w:pStyle w:val="13"/>
            </w:pPr>
            <w:r>
              <w:t>免学费补助人数</w:t>
            </w:r>
          </w:p>
        </w:tc>
        <w:tc>
          <w:tcPr>
            <w:tcW w:w="5386" w:type="dxa"/>
            <w:vAlign w:val="center"/>
          </w:tcPr>
          <w:p w14:paraId="2AABF64E">
            <w:pPr>
              <w:pStyle w:val="13"/>
            </w:pPr>
            <w:r>
              <w:t>免学费补助人数</w:t>
            </w:r>
          </w:p>
        </w:tc>
        <w:tc>
          <w:tcPr>
            <w:tcW w:w="2268" w:type="dxa"/>
            <w:vAlign w:val="center"/>
          </w:tcPr>
          <w:p w14:paraId="7DAC5FCF">
            <w:pPr>
              <w:pStyle w:val="13"/>
            </w:pPr>
            <w:r>
              <w:t>76人</w:t>
            </w:r>
          </w:p>
        </w:tc>
        <w:tc>
          <w:tcPr>
            <w:tcW w:w="1276" w:type="dxa"/>
            <w:vAlign w:val="center"/>
          </w:tcPr>
          <w:p w14:paraId="06585EC3">
            <w:pPr>
              <w:pStyle w:val="13"/>
            </w:pPr>
            <w:r>
              <w:t>2025年度预算</w:t>
            </w:r>
          </w:p>
        </w:tc>
      </w:tr>
      <w:tr w14:paraId="7098A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8B633"/>
        </w:tc>
        <w:tc>
          <w:tcPr>
            <w:tcW w:w="2268" w:type="dxa"/>
            <w:vAlign w:val="center"/>
          </w:tcPr>
          <w:p w14:paraId="04802818">
            <w:pPr>
              <w:pStyle w:val="13"/>
            </w:pPr>
            <w:r>
              <w:t>质量指标</w:t>
            </w:r>
          </w:p>
        </w:tc>
        <w:tc>
          <w:tcPr>
            <w:tcW w:w="2835" w:type="dxa"/>
            <w:vAlign w:val="center"/>
          </w:tcPr>
          <w:p w14:paraId="6AB33302">
            <w:pPr>
              <w:pStyle w:val="13"/>
            </w:pPr>
            <w:r>
              <w:t>免学费全覆盖</w:t>
            </w:r>
          </w:p>
        </w:tc>
        <w:tc>
          <w:tcPr>
            <w:tcW w:w="5386" w:type="dxa"/>
            <w:vAlign w:val="center"/>
          </w:tcPr>
          <w:p w14:paraId="35544387">
            <w:pPr>
              <w:pStyle w:val="13"/>
            </w:pPr>
            <w:r>
              <w:t>免学费一、二、三年级中职生</w:t>
            </w:r>
          </w:p>
        </w:tc>
        <w:tc>
          <w:tcPr>
            <w:tcW w:w="2268" w:type="dxa"/>
            <w:vAlign w:val="center"/>
          </w:tcPr>
          <w:p w14:paraId="3DFCB453">
            <w:pPr>
              <w:pStyle w:val="13"/>
            </w:pPr>
            <w:r>
              <w:t>≥100%</w:t>
            </w:r>
          </w:p>
        </w:tc>
        <w:tc>
          <w:tcPr>
            <w:tcW w:w="1276" w:type="dxa"/>
            <w:vAlign w:val="center"/>
          </w:tcPr>
          <w:p w14:paraId="14D55E15">
            <w:pPr>
              <w:pStyle w:val="13"/>
            </w:pPr>
            <w:r>
              <w:t>隆尧县中职免学费管理办法</w:t>
            </w:r>
          </w:p>
        </w:tc>
      </w:tr>
      <w:tr w14:paraId="581B2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3DED5"/>
        </w:tc>
        <w:tc>
          <w:tcPr>
            <w:tcW w:w="2268" w:type="dxa"/>
            <w:vAlign w:val="center"/>
          </w:tcPr>
          <w:p w14:paraId="62A9401D">
            <w:pPr>
              <w:pStyle w:val="13"/>
            </w:pPr>
            <w:r>
              <w:t>时效指标</w:t>
            </w:r>
          </w:p>
        </w:tc>
        <w:tc>
          <w:tcPr>
            <w:tcW w:w="2835" w:type="dxa"/>
            <w:vAlign w:val="center"/>
          </w:tcPr>
          <w:p w14:paraId="4609642D">
            <w:pPr>
              <w:pStyle w:val="13"/>
            </w:pPr>
            <w:r>
              <w:t>免学费经费拨付率</w:t>
            </w:r>
          </w:p>
        </w:tc>
        <w:tc>
          <w:tcPr>
            <w:tcW w:w="5386" w:type="dxa"/>
            <w:vAlign w:val="center"/>
          </w:tcPr>
          <w:p w14:paraId="48FBC52B">
            <w:pPr>
              <w:pStyle w:val="13"/>
            </w:pPr>
            <w:r>
              <w:t>免学费经费及时拨付到位率</w:t>
            </w:r>
          </w:p>
        </w:tc>
        <w:tc>
          <w:tcPr>
            <w:tcW w:w="2268" w:type="dxa"/>
            <w:vAlign w:val="center"/>
          </w:tcPr>
          <w:p w14:paraId="3059D457">
            <w:pPr>
              <w:pStyle w:val="13"/>
            </w:pPr>
            <w:r>
              <w:t>≥100%</w:t>
            </w:r>
          </w:p>
        </w:tc>
        <w:tc>
          <w:tcPr>
            <w:tcW w:w="1276" w:type="dxa"/>
            <w:vAlign w:val="center"/>
          </w:tcPr>
          <w:p w14:paraId="0F54E2AD">
            <w:pPr>
              <w:pStyle w:val="13"/>
            </w:pPr>
            <w:r>
              <w:t>隆尧县中职免学费管理办法</w:t>
            </w:r>
          </w:p>
        </w:tc>
      </w:tr>
      <w:tr w14:paraId="318A4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E9836"/>
        </w:tc>
        <w:tc>
          <w:tcPr>
            <w:tcW w:w="2268" w:type="dxa"/>
            <w:vAlign w:val="center"/>
          </w:tcPr>
          <w:p w14:paraId="69AB328C">
            <w:pPr>
              <w:pStyle w:val="13"/>
            </w:pPr>
            <w:r>
              <w:t>成本指标</w:t>
            </w:r>
          </w:p>
        </w:tc>
        <w:tc>
          <w:tcPr>
            <w:tcW w:w="2835" w:type="dxa"/>
            <w:vAlign w:val="center"/>
          </w:tcPr>
          <w:p w14:paraId="44DF3E6B">
            <w:pPr>
              <w:pStyle w:val="13"/>
            </w:pPr>
            <w:r>
              <w:t>中职学校免学费补助标准</w:t>
            </w:r>
          </w:p>
        </w:tc>
        <w:tc>
          <w:tcPr>
            <w:tcW w:w="5386" w:type="dxa"/>
            <w:vAlign w:val="center"/>
          </w:tcPr>
          <w:p w14:paraId="4F309C75">
            <w:pPr>
              <w:pStyle w:val="13"/>
            </w:pPr>
            <w:r>
              <w:t>中职学校免学费补助标准</w:t>
            </w:r>
          </w:p>
        </w:tc>
        <w:tc>
          <w:tcPr>
            <w:tcW w:w="2268" w:type="dxa"/>
            <w:vAlign w:val="center"/>
          </w:tcPr>
          <w:p w14:paraId="5EB1A301">
            <w:pPr>
              <w:pStyle w:val="13"/>
            </w:pPr>
            <w:r>
              <w:t>2000元/生/年</w:t>
            </w:r>
          </w:p>
        </w:tc>
        <w:tc>
          <w:tcPr>
            <w:tcW w:w="1276" w:type="dxa"/>
            <w:vAlign w:val="center"/>
          </w:tcPr>
          <w:p w14:paraId="33C912C4">
            <w:pPr>
              <w:pStyle w:val="13"/>
            </w:pPr>
            <w:r>
              <w:t>隆尧县中职免学费管理办法</w:t>
            </w:r>
          </w:p>
        </w:tc>
      </w:tr>
      <w:tr w14:paraId="0F461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A75BD9">
            <w:pPr>
              <w:pStyle w:val="12"/>
            </w:pPr>
            <w:r>
              <w:t>效益指标</w:t>
            </w:r>
          </w:p>
        </w:tc>
        <w:tc>
          <w:tcPr>
            <w:tcW w:w="2268" w:type="dxa"/>
            <w:vAlign w:val="center"/>
          </w:tcPr>
          <w:p w14:paraId="2E2740B8">
            <w:pPr>
              <w:pStyle w:val="13"/>
            </w:pPr>
            <w:r>
              <w:t>可持续影响指标</w:t>
            </w:r>
          </w:p>
        </w:tc>
        <w:tc>
          <w:tcPr>
            <w:tcW w:w="2835" w:type="dxa"/>
            <w:vAlign w:val="center"/>
          </w:tcPr>
          <w:p w14:paraId="62F1CCB4">
            <w:pPr>
              <w:pStyle w:val="13"/>
            </w:pPr>
            <w:r>
              <w:t>中职运转</w:t>
            </w:r>
          </w:p>
        </w:tc>
        <w:tc>
          <w:tcPr>
            <w:tcW w:w="5386" w:type="dxa"/>
            <w:vAlign w:val="center"/>
          </w:tcPr>
          <w:p w14:paraId="3999F504">
            <w:pPr>
              <w:pStyle w:val="13"/>
            </w:pPr>
            <w:r>
              <w:t>高中受教育年限</w:t>
            </w:r>
          </w:p>
        </w:tc>
        <w:tc>
          <w:tcPr>
            <w:tcW w:w="2268" w:type="dxa"/>
            <w:vAlign w:val="center"/>
          </w:tcPr>
          <w:p w14:paraId="006E3ED7">
            <w:pPr>
              <w:pStyle w:val="13"/>
            </w:pPr>
            <w:r>
              <w:t>3年</w:t>
            </w:r>
          </w:p>
        </w:tc>
        <w:tc>
          <w:tcPr>
            <w:tcW w:w="1276" w:type="dxa"/>
            <w:vAlign w:val="center"/>
          </w:tcPr>
          <w:p w14:paraId="786726DD">
            <w:pPr>
              <w:pStyle w:val="13"/>
            </w:pPr>
            <w:r>
              <w:t>隆尧县中职免学费管理办法</w:t>
            </w:r>
          </w:p>
        </w:tc>
      </w:tr>
      <w:tr w14:paraId="3602D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2D768F">
            <w:pPr>
              <w:pStyle w:val="12"/>
            </w:pPr>
            <w:r>
              <w:t>满意度指标</w:t>
            </w:r>
          </w:p>
        </w:tc>
        <w:tc>
          <w:tcPr>
            <w:tcW w:w="2268" w:type="dxa"/>
            <w:vAlign w:val="center"/>
          </w:tcPr>
          <w:p w14:paraId="31183BB4">
            <w:pPr>
              <w:pStyle w:val="13"/>
            </w:pPr>
            <w:r>
              <w:t>服务对象满意度指标</w:t>
            </w:r>
          </w:p>
        </w:tc>
        <w:tc>
          <w:tcPr>
            <w:tcW w:w="2835" w:type="dxa"/>
            <w:vAlign w:val="center"/>
          </w:tcPr>
          <w:p w14:paraId="3189F571">
            <w:pPr>
              <w:pStyle w:val="13"/>
            </w:pPr>
            <w:r>
              <w:t>提升幸福指数</w:t>
            </w:r>
          </w:p>
        </w:tc>
        <w:tc>
          <w:tcPr>
            <w:tcW w:w="5386" w:type="dxa"/>
            <w:vAlign w:val="center"/>
          </w:tcPr>
          <w:p w14:paraId="0CC7A9B5">
            <w:pPr>
              <w:pStyle w:val="13"/>
            </w:pPr>
            <w:r>
              <w:t>提升贫困家庭学生的幸福指数学生家长满意</w:t>
            </w:r>
          </w:p>
        </w:tc>
        <w:tc>
          <w:tcPr>
            <w:tcW w:w="2268" w:type="dxa"/>
            <w:vAlign w:val="center"/>
          </w:tcPr>
          <w:p w14:paraId="119C70CE">
            <w:pPr>
              <w:pStyle w:val="13"/>
            </w:pPr>
            <w:r>
              <w:t>≥95%</w:t>
            </w:r>
          </w:p>
        </w:tc>
        <w:tc>
          <w:tcPr>
            <w:tcW w:w="1276" w:type="dxa"/>
            <w:vAlign w:val="center"/>
          </w:tcPr>
          <w:p w14:paraId="4B22CCF4">
            <w:pPr>
              <w:pStyle w:val="13"/>
            </w:pPr>
            <w:r>
              <w:t>隆尧县中职免学费管理办法</w:t>
            </w:r>
          </w:p>
        </w:tc>
      </w:tr>
    </w:tbl>
    <w:p w14:paraId="2B20411A">
      <w:pPr>
        <w:sectPr>
          <w:pgSz w:w="16840" w:h="11900" w:orient="landscape"/>
          <w:pgMar w:top="1361" w:right="1020" w:bottom="1134" w:left="1020" w:header="720" w:footer="720" w:gutter="0"/>
          <w:cols w:space="720" w:num="1"/>
        </w:sectPr>
      </w:pPr>
    </w:p>
    <w:p w14:paraId="425A1CBE">
      <w:pPr>
        <w:spacing w:before="0" w:after="0"/>
        <w:ind w:firstLine="560"/>
        <w:jc w:val="left"/>
        <w:outlineLvl w:val="9"/>
      </w:pPr>
      <w:r>
        <w:rPr>
          <w:rFonts w:ascii="方正仿宋_GBK" w:hAnsi="方正仿宋_GBK" w:eastAsia="方正仿宋_GBK" w:cs="方正仿宋_GBK"/>
          <w:b/>
          <w:color w:val="000000"/>
          <w:sz w:val="28"/>
        </w:rPr>
        <w:t>34、冀财教[2024]125号/中央/2025年学生资助/中职助学金（文茂中学）</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FE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26148">
            <w:pPr>
              <w:pStyle w:val="14"/>
            </w:pPr>
            <w:r>
              <w:t>单位：万元</w:t>
            </w:r>
          </w:p>
        </w:tc>
      </w:tr>
      <w:tr w14:paraId="2F216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318CB">
            <w:pPr>
              <w:pStyle w:val="11"/>
            </w:pPr>
            <w:r>
              <w:t>项目编码</w:t>
            </w:r>
          </w:p>
        </w:tc>
        <w:tc>
          <w:tcPr>
            <w:tcW w:w="5103" w:type="dxa"/>
            <w:gridSpan w:val="2"/>
            <w:vAlign w:val="center"/>
          </w:tcPr>
          <w:p w14:paraId="235F1005">
            <w:pPr>
              <w:pStyle w:val="13"/>
            </w:pPr>
            <w:r>
              <w:t>13052525P00001410017C</w:t>
            </w:r>
          </w:p>
        </w:tc>
        <w:tc>
          <w:tcPr>
            <w:tcW w:w="2835" w:type="dxa"/>
            <w:vAlign w:val="center"/>
          </w:tcPr>
          <w:p w14:paraId="07DA3F66">
            <w:pPr>
              <w:pStyle w:val="11"/>
            </w:pPr>
            <w:r>
              <w:t>项目名称</w:t>
            </w:r>
          </w:p>
        </w:tc>
        <w:tc>
          <w:tcPr>
            <w:tcW w:w="6095" w:type="dxa"/>
            <w:gridSpan w:val="3"/>
            <w:vAlign w:val="center"/>
          </w:tcPr>
          <w:p w14:paraId="11B853AE">
            <w:pPr>
              <w:pStyle w:val="13"/>
            </w:pPr>
            <w:r>
              <w:t>冀财教[2024]125号/中央/2025年学生资助/中职助学金（文茂中学）</w:t>
            </w:r>
            <w:r>
              <w:tab/>
            </w:r>
          </w:p>
        </w:tc>
      </w:tr>
      <w:tr w14:paraId="11EA6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B5A3D">
            <w:pPr>
              <w:pStyle w:val="11"/>
            </w:pPr>
            <w:r>
              <w:t>预算规模及资金用途</w:t>
            </w:r>
          </w:p>
        </w:tc>
        <w:tc>
          <w:tcPr>
            <w:tcW w:w="2268" w:type="dxa"/>
            <w:vAlign w:val="center"/>
          </w:tcPr>
          <w:p w14:paraId="17C441CF">
            <w:pPr>
              <w:pStyle w:val="11"/>
            </w:pPr>
            <w:r>
              <w:t>预算数</w:t>
            </w:r>
          </w:p>
        </w:tc>
        <w:tc>
          <w:tcPr>
            <w:tcW w:w="2835" w:type="dxa"/>
            <w:vAlign w:val="center"/>
          </w:tcPr>
          <w:p w14:paraId="7D99367C">
            <w:pPr>
              <w:pStyle w:val="13"/>
            </w:pPr>
            <w:r>
              <w:t>6.00</w:t>
            </w:r>
          </w:p>
        </w:tc>
        <w:tc>
          <w:tcPr>
            <w:tcW w:w="2835" w:type="dxa"/>
            <w:vAlign w:val="center"/>
          </w:tcPr>
          <w:p w14:paraId="1BECC0CB">
            <w:pPr>
              <w:pStyle w:val="11"/>
            </w:pPr>
            <w:r>
              <w:t>其中：财政    资金</w:t>
            </w:r>
          </w:p>
        </w:tc>
        <w:tc>
          <w:tcPr>
            <w:tcW w:w="2551" w:type="dxa"/>
            <w:vAlign w:val="center"/>
          </w:tcPr>
          <w:p w14:paraId="2753A9BB">
            <w:pPr>
              <w:pStyle w:val="13"/>
            </w:pPr>
            <w:r>
              <w:t>6.00</w:t>
            </w:r>
          </w:p>
        </w:tc>
        <w:tc>
          <w:tcPr>
            <w:tcW w:w="2268" w:type="dxa"/>
            <w:vAlign w:val="center"/>
          </w:tcPr>
          <w:p w14:paraId="16879127">
            <w:pPr>
              <w:pStyle w:val="11"/>
            </w:pPr>
            <w:r>
              <w:t>其他资金</w:t>
            </w:r>
          </w:p>
        </w:tc>
        <w:tc>
          <w:tcPr>
            <w:tcW w:w="1276" w:type="dxa"/>
            <w:vAlign w:val="center"/>
          </w:tcPr>
          <w:p w14:paraId="370E4BBD">
            <w:pPr>
              <w:pStyle w:val="13"/>
            </w:pPr>
            <w:r>
              <w:t xml:space="preserve"> </w:t>
            </w:r>
          </w:p>
        </w:tc>
      </w:tr>
      <w:tr w14:paraId="35D4B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4B99C"/>
        </w:tc>
        <w:tc>
          <w:tcPr>
            <w:tcW w:w="14033" w:type="dxa"/>
            <w:gridSpan w:val="6"/>
            <w:vAlign w:val="center"/>
          </w:tcPr>
          <w:p w14:paraId="18E95FD1">
            <w:pPr>
              <w:pStyle w:val="13"/>
            </w:pPr>
            <w:r>
              <w:t>中央安排中职助学金6万元，用于弥补中职涉农及其他专业贫困生免除学费后的经费不足。</w:t>
            </w:r>
            <w:r>
              <w:tab/>
            </w:r>
          </w:p>
        </w:tc>
      </w:tr>
      <w:tr w14:paraId="0A5CC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BA824">
            <w:pPr>
              <w:pStyle w:val="11"/>
            </w:pPr>
            <w:r>
              <w:t>资金支出计划（%）</w:t>
            </w:r>
          </w:p>
        </w:tc>
        <w:tc>
          <w:tcPr>
            <w:tcW w:w="5103" w:type="dxa"/>
            <w:gridSpan w:val="2"/>
            <w:vAlign w:val="center"/>
          </w:tcPr>
          <w:p w14:paraId="265EBEB8">
            <w:pPr>
              <w:pStyle w:val="11"/>
            </w:pPr>
            <w:r>
              <w:t>3月底</w:t>
            </w:r>
          </w:p>
        </w:tc>
        <w:tc>
          <w:tcPr>
            <w:tcW w:w="2835" w:type="dxa"/>
            <w:vAlign w:val="center"/>
          </w:tcPr>
          <w:p w14:paraId="13C9CDAD">
            <w:pPr>
              <w:pStyle w:val="11"/>
            </w:pPr>
            <w:r>
              <w:t>6月底</w:t>
            </w:r>
          </w:p>
        </w:tc>
        <w:tc>
          <w:tcPr>
            <w:tcW w:w="2551" w:type="dxa"/>
            <w:vAlign w:val="center"/>
          </w:tcPr>
          <w:p w14:paraId="03D75EBE">
            <w:pPr>
              <w:pStyle w:val="11"/>
            </w:pPr>
            <w:r>
              <w:t>10月底</w:t>
            </w:r>
          </w:p>
        </w:tc>
        <w:tc>
          <w:tcPr>
            <w:tcW w:w="3544" w:type="dxa"/>
            <w:gridSpan w:val="2"/>
            <w:vAlign w:val="center"/>
          </w:tcPr>
          <w:p w14:paraId="1866DBD8">
            <w:pPr>
              <w:pStyle w:val="11"/>
            </w:pPr>
            <w:r>
              <w:t>12月底</w:t>
            </w:r>
          </w:p>
        </w:tc>
      </w:tr>
      <w:tr w14:paraId="1AA04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E250B9"/>
        </w:tc>
        <w:tc>
          <w:tcPr>
            <w:tcW w:w="5103" w:type="dxa"/>
            <w:gridSpan w:val="2"/>
            <w:vAlign w:val="center"/>
          </w:tcPr>
          <w:p w14:paraId="580B2FA8">
            <w:pPr>
              <w:pStyle w:val="12"/>
            </w:pPr>
            <w:r>
              <w:t xml:space="preserve"> </w:t>
            </w:r>
          </w:p>
        </w:tc>
        <w:tc>
          <w:tcPr>
            <w:tcW w:w="2835" w:type="dxa"/>
            <w:vAlign w:val="center"/>
          </w:tcPr>
          <w:p w14:paraId="5C54FE40">
            <w:pPr>
              <w:pStyle w:val="12"/>
            </w:pPr>
            <w:r>
              <w:t>50%</w:t>
            </w:r>
          </w:p>
        </w:tc>
        <w:tc>
          <w:tcPr>
            <w:tcW w:w="2551" w:type="dxa"/>
            <w:vAlign w:val="center"/>
          </w:tcPr>
          <w:p w14:paraId="11E4BD33">
            <w:pPr>
              <w:pStyle w:val="12"/>
            </w:pPr>
            <w:r>
              <w:t>75%</w:t>
            </w:r>
          </w:p>
        </w:tc>
        <w:tc>
          <w:tcPr>
            <w:tcW w:w="3544" w:type="dxa"/>
            <w:gridSpan w:val="2"/>
            <w:vAlign w:val="center"/>
          </w:tcPr>
          <w:p w14:paraId="45C1291C">
            <w:pPr>
              <w:pStyle w:val="12"/>
            </w:pPr>
            <w:r>
              <w:t>100%</w:t>
            </w:r>
          </w:p>
        </w:tc>
      </w:tr>
      <w:tr w14:paraId="63A1B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45EAA1">
            <w:pPr>
              <w:pStyle w:val="11"/>
            </w:pPr>
            <w:r>
              <w:t>绩效目标</w:t>
            </w:r>
          </w:p>
        </w:tc>
        <w:tc>
          <w:tcPr>
            <w:tcW w:w="14033" w:type="dxa"/>
            <w:gridSpan w:val="6"/>
            <w:vAlign w:val="center"/>
          </w:tcPr>
          <w:p w14:paraId="6F106300">
            <w:pPr>
              <w:pStyle w:val="13"/>
            </w:pPr>
            <w:r>
              <w:t>1.中央安排中职助学金6万元，用于弥补中职涉农及其他专业贫困生免除学费后的经费不足。</w:t>
            </w:r>
            <w:r>
              <w:tab/>
            </w:r>
            <w:r>
              <w:tab/>
            </w:r>
            <w:r>
              <w:tab/>
            </w:r>
            <w:r>
              <w:tab/>
            </w:r>
            <w:r>
              <w:tab/>
            </w:r>
            <w:r>
              <w:tab/>
            </w:r>
          </w:p>
          <w:p w14:paraId="4ED90EB3">
            <w:pPr>
              <w:pStyle w:val="13"/>
            </w:pPr>
          </w:p>
        </w:tc>
      </w:tr>
    </w:tbl>
    <w:p w14:paraId="55D002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BB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03B1C">
            <w:pPr>
              <w:pStyle w:val="11"/>
            </w:pPr>
            <w:r>
              <w:t>一级指标</w:t>
            </w:r>
          </w:p>
        </w:tc>
        <w:tc>
          <w:tcPr>
            <w:tcW w:w="2268" w:type="dxa"/>
            <w:vAlign w:val="center"/>
          </w:tcPr>
          <w:p w14:paraId="4413720D">
            <w:pPr>
              <w:pStyle w:val="11"/>
            </w:pPr>
            <w:r>
              <w:t>二级指标</w:t>
            </w:r>
          </w:p>
        </w:tc>
        <w:tc>
          <w:tcPr>
            <w:tcW w:w="2835" w:type="dxa"/>
            <w:vAlign w:val="center"/>
          </w:tcPr>
          <w:p w14:paraId="0F8B2356">
            <w:pPr>
              <w:pStyle w:val="11"/>
            </w:pPr>
            <w:r>
              <w:t>三级指标</w:t>
            </w:r>
          </w:p>
        </w:tc>
        <w:tc>
          <w:tcPr>
            <w:tcW w:w="5386" w:type="dxa"/>
            <w:vAlign w:val="center"/>
          </w:tcPr>
          <w:p w14:paraId="77A8AD91">
            <w:pPr>
              <w:pStyle w:val="11"/>
            </w:pPr>
            <w:r>
              <w:t>绩效指标描述</w:t>
            </w:r>
          </w:p>
        </w:tc>
        <w:tc>
          <w:tcPr>
            <w:tcW w:w="2268" w:type="dxa"/>
            <w:vAlign w:val="center"/>
          </w:tcPr>
          <w:p w14:paraId="4D9FFAA5">
            <w:pPr>
              <w:pStyle w:val="11"/>
            </w:pPr>
            <w:r>
              <w:t>指标值</w:t>
            </w:r>
          </w:p>
        </w:tc>
        <w:tc>
          <w:tcPr>
            <w:tcW w:w="1276" w:type="dxa"/>
            <w:vAlign w:val="center"/>
          </w:tcPr>
          <w:p w14:paraId="129069C9">
            <w:pPr>
              <w:pStyle w:val="11"/>
            </w:pPr>
            <w:r>
              <w:t>指标值确定依据</w:t>
            </w:r>
          </w:p>
        </w:tc>
      </w:tr>
      <w:tr w14:paraId="5FCCB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47BF0">
            <w:pPr>
              <w:pStyle w:val="12"/>
            </w:pPr>
            <w:r>
              <w:t>产出指标</w:t>
            </w:r>
          </w:p>
        </w:tc>
        <w:tc>
          <w:tcPr>
            <w:tcW w:w="2268" w:type="dxa"/>
            <w:vAlign w:val="center"/>
          </w:tcPr>
          <w:p w14:paraId="25D1FC03">
            <w:pPr>
              <w:pStyle w:val="13"/>
            </w:pPr>
            <w:r>
              <w:t>数量指标</w:t>
            </w:r>
          </w:p>
        </w:tc>
        <w:tc>
          <w:tcPr>
            <w:tcW w:w="2835" w:type="dxa"/>
            <w:vAlign w:val="center"/>
          </w:tcPr>
          <w:p w14:paraId="3331FF83">
            <w:pPr>
              <w:pStyle w:val="13"/>
            </w:pPr>
            <w:r>
              <w:t>中职享受助学金人数</w:t>
            </w:r>
          </w:p>
        </w:tc>
        <w:tc>
          <w:tcPr>
            <w:tcW w:w="5386" w:type="dxa"/>
            <w:vAlign w:val="center"/>
          </w:tcPr>
          <w:p w14:paraId="5061E37F">
            <w:pPr>
              <w:pStyle w:val="13"/>
            </w:pPr>
            <w:r>
              <w:t>中职享受助学金人数</w:t>
            </w:r>
          </w:p>
        </w:tc>
        <w:tc>
          <w:tcPr>
            <w:tcW w:w="2268" w:type="dxa"/>
            <w:vAlign w:val="center"/>
          </w:tcPr>
          <w:p w14:paraId="2D1A3CDD">
            <w:pPr>
              <w:pStyle w:val="13"/>
            </w:pPr>
            <w:r>
              <w:t>57人</w:t>
            </w:r>
          </w:p>
        </w:tc>
        <w:tc>
          <w:tcPr>
            <w:tcW w:w="1276" w:type="dxa"/>
            <w:vAlign w:val="center"/>
          </w:tcPr>
          <w:p w14:paraId="5452233C">
            <w:pPr>
              <w:pStyle w:val="13"/>
            </w:pPr>
            <w:r>
              <w:t>年度招生计划</w:t>
            </w:r>
          </w:p>
        </w:tc>
      </w:tr>
      <w:tr w14:paraId="31F11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25B63"/>
        </w:tc>
        <w:tc>
          <w:tcPr>
            <w:tcW w:w="2268" w:type="dxa"/>
            <w:vAlign w:val="center"/>
          </w:tcPr>
          <w:p w14:paraId="0A1C86BF">
            <w:pPr>
              <w:pStyle w:val="13"/>
            </w:pPr>
            <w:r>
              <w:t>质量指标</w:t>
            </w:r>
          </w:p>
        </w:tc>
        <w:tc>
          <w:tcPr>
            <w:tcW w:w="2835" w:type="dxa"/>
            <w:vAlign w:val="center"/>
          </w:tcPr>
          <w:p w14:paraId="6C606F75">
            <w:pPr>
              <w:pStyle w:val="13"/>
            </w:pPr>
            <w:r>
              <w:t>完成助学金发放工作</w:t>
            </w:r>
          </w:p>
        </w:tc>
        <w:tc>
          <w:tcPr>
            <w:tcW w:w="5386" w:type="dxa"/>
            <w:vAlign w:val="center"/>
          </w:tcPr>
          <w:p w14:paraId="6ED2FC1D">
            <w:pPr>
              <w:pStyle w:val="13"/>
            </w:pPr>
            <w:r>
              <w:t>涉农专业学生及其他专业贫困生</w:t>
            </w:r>
          </w:p>
        </w:tc>
        <w:tc>
          <w:tcPr>
            <w:tcW w:w="2268" w:type="dxa"/>
            <w:vAlign w:val="center"/>
          </w:tcPr>
          <w:p w14:paraId="0B8F62C9">
            <w:pPr>
              <w:pStyle w:val="13"/>
            </w:pPr>
            <w:r>
              <w:t>≥100%</w:t>
            </w:r>
          </w:p>
        </w:tc>
        <w:tc>
          <w:tcPr>
            <w:tcW w:w="1276" w:type="dxa"/>
            <w:vAlign w:val="center"/>
          </w:tcPr>
          <w:p w14:paraId="3487E332">
            <w:pPr>
              <w:pStyle w:val="13"/>
            </w:pPr>
            <w:r>
              <w:t>冀财教【2024】103号</w:t>
            </w:r>
          </w:p>
        </w:tc>
      </w:tr>
      <w:tr w14:paraId="39F3C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4A4BD"/>
        </w:tc>
        <w:tc>
          <w:tcPr>
            <w:tcW w:w="2268" w:type="dxa"/>
            <w:vAlign w:val="center"/>
          </w:tcPr>
          <w:p w14:paraId="638A23D3">
            <w:pPr>
              <w:pStyle w:val="13"/>
            </w:pPr>
            <w:r>
              <w:t>时效指标</w:t>
            </w:r>
          </w:p>
        </w:tc>
        <w:tc>
          <w:tcPr>
            <w:tcW w:w="2835" w:type="dxa"/>
            <w:vAlign w:val="center"/>
          </w:tcPr>
          <w:p w14:paraId="66E00AAD">
            <w:pPr>
              <w:pStyle w:val="13"/>
            </w:pPr>
            <w:r>
              <w:t>助学金及时足额发放</w:t>
            </w:r>
          </w:p>
        </w:tc>
        <w:tc>
          <w:tcPr>
            <w:tcW w:w="5386" w:type="dxa"/>
            <w:vAlign w:val="center"/>
          </w:tcPr>
          <w:p w14:paraId="2887655B">
            <w:pPr>
              <w:pStyle w:val="13"/>
            </w:pPr>
            <w:r>
              <w:t>助学金及时足额发放率</w:t>
            </w:r>
          </w:p>
        </w:tc>
        <w:tc>
          <w:tcPr>
            <w:tcW w:w="2268" w:type="dxa"/>
            <w:vAlign w:val="center"/>
          </w:tcPr>
          <w:p w14:paraId="11A66DBE">
            <w:pPr>
              <w:pStyle w:val="13"/>
            </w:pPr>
            <w:r>
              <w:t>≥100%</w:t>
            </w:r>
          </w:p>
        </w:tc>
        <w:tc>
          <w:tcPr>
            <w:tcW w:w="1276" w:type="dxa"/>
            <w:vAlign w:val="center"/>
          </w:tcPr>
          <w:p w14:paraId="2E757755">
            <w:pPr>
              <w:pStyle w:val="13"/>
            </w:pPr>
            <w:r>
              <w:t>冀财教【2024】103号</w:t>
            </w:r>
          </w:p>
        </w:tc>
      </w:tr>
      <w:tr w14:paraId="62229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92B32"/>
        </w:tc>
        <w:tc>
          <w:tcPr>
            <w:tcW w:w="2268" w:type="dxa"/>
            <w:vAlign w:val="center"/>
          </w:tcPr>
          <w:p w14:paraId="3DBF28CE">
            <w:pPr>
              <w:pStyle w:val="13"/>
            </w:pPr>
            <w:r>
              <w:t>成本指标</w:t>
            </w:r>
          </w:p>
        </w:tc>
        <w:tc>
          <w:tcPr>
            <w:tcW w:w="2835" w:type="dxa"/>
            <w:vAlign w:val="center"/>
          </w:tcPr>
          <w:p w14:paraId="06879B3B">
            <w:pPr>
              <w:pStyle w:val="13"/>
            </w:pPr>
            <w:r>
              <w:t>中职助学金标准</w:t>
            </w:r>
          </w:p>
        </w:tc>
        <w:tc>
          <w:tcPr>
            <w:tcW w:w="5386" w:type="dxa"/>
            <w:vAlign w:val="center"/>
          </w:tcPr>
          <w:p w14:paraId="38111797">
            <w:pPr>
              <w:pStyle w:val="13"/>
            </w:pPr>
            <w:r>
              <w:t>中职助学金资助标准2300/生/年</w:t>
            </w:r>
          </w:p>
        </w:tc>
        <w:tc>
          <w:tcPr>
            <w:tcW w:w="2268" w:type="dxa"/>
            <w:vAlign w:val="center"/>
          </w:tcPr>
          <w:p w14:paraId="3863AC80">
            <w:pPr>
              <w:pStyle w:val="13"/>
            </w:pPr>
            <w:r>
              <w:t>2300元</w:t>
            </w:r>
          </w:p>
        </w:tc>
        <w:tc>
          <w:tcPr>
            <w:tcW w:w="1276" w:type="dxa"/>
            <w:vAlign w:val="center"/>
          </w:tcPr>
          <w:p w14:paraId="2497A115">
            <w:pPr>
              <w:pStyle w:val="13"/>
            </w:pPr>
            <w:r>
              <w:t>冀财教【2024】103号</w:t>
            </w:r>
          </w:p>
        </w:tc>
      </w:tr>
      <w:tr w14:paraId="5EFE8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D00E62">
            <w:pPr>
              <w:pStyle w:val="12"/>
            </w:pPr>
            <w:r>
              <w:t>效益指标</w:t>
            </w:r>
          </w:p>
        </w:tc>
        <w:tc>
          <w:tcPr>
            <w:tcW w:w="2268" w:type="dxa"/>
            <w:vAlign w:val="center"/>
          </w:tcPr>
          <w:p w14:paraId="0D5BB6C5">
            <w:pPr>
              <w:pStyle w:val="13"/>
            </w:pPr>
            <w:r>
              <w:t>可持续影响指标</w:t>
            </w:r>
          </w:p>
        </w:tc>
        <w:tc>
          <w:tcPr>
            <w:tcW w:w="2835" w:type="dxa"/>
            <w:vAlign w:val="center"/>
          </w:tcPr>
          <w:p w14:paraId="1E8D0927">
            <w:pPr>
              <w:pStyle w:val="13"/>
            </w:pPr>
            <w:r>
              <w:t>中职学校运转</w:t>
            </w:r>
          </w:p>
        </w:tc>
        <w:tc>
          <w:tcPr>
            <w:tcW w:w="5386" w:type="dxa"/>
            <w:vAlign w:val="center"/>
          </w:tcPr>
          <w:p w14:paraId="2083783D">
            <w:pPr>
              <w:pStyle w:val="13"/>
            </w:pPr>
            <w:r>
              <w:t>中职受教育年限</w:t>
            </w:r>
          </w:p>
        </w:tc>
        <w:tc>
          <w:tcPr>
            <w:tcW w:w="2268" w:type="dxa"/>
            <w:vAlign w:val="center"/>
          </w:tcPr>
          <w:p w14:paraId="4B2B2277">
            <w:pPr>
              <w:pStyle w:val="13"/>
            </w:pPr>
            <w:r>
              <w:t>3年</w:t>
            </w:r>
          </w:p>
        </w:tc>
        <w:tc>
          <w:tcPr>
            <w:tcW w:w="1276" w:type="dxa"/>
            <w:vAlign w:val="center"/>
          </w:tcPr>
          <w:p w14:paraId="46C78106">
            <w:pPr>
              <w:pStyle w:val="13"/>
            </w:pPr>
            <w:r>
              <w:t>冀财教【2024】103号</w:t>
            </w:r>
          </w:p>
        </w:tc>
      </w:tr>
      <w:tr w14:paraId="4A1CD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7ED21D">
            <w:pPr>
              <w:pStyle w:val="12"/>
            </w:pPr>
            <w:r>
              <w:t>满意度指标</w:t>
            </w:r>
          </w:p>
        </w:tc>
        <w:tc>
          <w:tcPr>
            <w:tcW w:w="2268" w:type="dxa"/>
            <w:vAlign w:val="center"/>
          </w:tcPr>
          <w:p w14:paraId="30E24C86">
            <w:pPr>
              <w:pStyle w:val="13"/>
            </w:pPr>
            <w:r>
              <w:t>服务对象满意度指标</w:t>
            </w:r>
          </w:p>
        </w:tc>
        <w:tc>
          <w:tcPr>
            <w:tcW w:w="2835" w:type="dxa"/>
            <w:vAlign w:val="center"/>
          </w:tcPr>
          <w:p w14:paraId="2856B332">
            <w:pPr>
              <w:pStyle w:val="13"/>
            </w:pPr>
            <w:r>
              <w:t>提升幸福指数</w:t>
            </w:r>
          </w:p>
        </w:tc>
        <w:tc>
          <w:tcPr>
            <w:tcW w:w="5386" w:type="dxa"/>
            <w:vAlign w:val="center"/>
          </w:tcPr>
          <w:p w14:paraId="12304CB7">
            <w:pPr>
              <w:pStyle w:val="13"/>
            </w:pPr>
            <w:r>
              <w:t>提升建档立卡贫困家庭学生幸福指数</w:t>
            </w:r>
          </w:p>
          <w:p w14:paraId="7EA87E19">
            <w:pPr>
              <w:pStyle w:val="13"/>
            </w:pPr>
            <w:r>
              <w:t>家长学生满意</w:t>
            </w:r>
          </w:p>
        </w:tc>
        <w:tc>
          <w:tcPr>
            <w:tcW w:w="2268" w:type="dxa"/>
            <w:vAlign w:val="center"/>
          </w:tcPr>
          <w:p w14:paraId="4F79B7BE">
            <w:pPr>
              <w:pStyle w:val="13"/>
            </w:pPr>
            <w:r>
              <w:t>≥98%</w:t>
            </w:r>
          </w:p>
        </w:tc>
        <w:tc>
          <w:tcPr>
            <w:tcW w:w="1276" w:type="dxa"/>
            <w:vAlign w:val="center"/>
          </w:tcPr>
          <w:p w14:paraId="51841B29">
            <w:pPr>
              <w:pStyle w:val="13"/>
            </w:pPr>
            <w:r>
              <w:t>调查问卷</w:t>
            </w:r>
          </w:p>
        </w:tc>
      </w:tr>
    </w:tbl>
    <w:p w14:paraId="4FF1B2E1">
      <w:pPr>
        <w:sectPr>
          <w:pgSz w:w="16840" w:h="11900" w:orient="landscape"/>
          <w:pgMar w:top="1361" w:right="1020" w:bottom="1134" w:left="1020" w:header="720" w:footer="720" w:gutter="0"/>
          <w:cols w:space="720" w:num="1"/>
        </w:sectPr>
      </w:pPr>
    </w:p>
    <w:p w14:paraId="733BFA0C">
      <w:pPr>
        <w:spacing w:before="0" w:after="0"/>
        <w:ind w:firstLine="560"/>
        <w:jc w:val="left"/>
        <w:outlineLvl w:val="9"/>
      </w:pPr>
      <w:r>
        <w:rPr>
          <w:rFonts w:ascii="方正仿宋_GBK" w:hAnsi="方正仿宋_GBK" w:eastAsia="方正仿宋_GBK" w:cs="方正仿宋_GBK"/>
          <w:b/>
          <w:color w:val="000000"/>
          <w:sz w:val="28"/>
        </w:rPr>
        <w:t>35、冀财教[2024]132号/省级/2025年教师队伍建设/原民办代课教师教龄补助绩效目标表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B6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A9C8E">
            <w:pPr>
              <w:pStyle w:val="14"/>
            </w:pPr>
            <w:r>
              <w:t>单位：万元</w:t>
            </w:r>
          </w:p>
        </w:tc>
      </w:tr>
      <w:tr w14:paraId="17996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50D430">
            <w:pPr>
              <w:pStyle w:val="11"/>
            </w:pPr>
            <w:r>
              <w:t>项目编码</w:t>
            </w:r>
          </w:p>
        </w:tc>
        <w:tc>
          <w:tcPr>
            <w:tcW w:w="5103" w:type="dxa"/>
            <w:gridSpan w:val="2"/>
            <w:vAlign w:val="center"/>
          </w:tcPr>
          <w:p w14:paraId="533A980B">
            <w:pPr>
              <w:pStyle w:val="13"/>
            </w:pPr>
            <w:r>
              <w:t>13052525P008756100930</w:t>
            </w:r>
          </w:p>
        </w:tc>
        <w:tc>
          <w:tcPr>
            <w:tcW w:w="2835" w:type="dxa"/>
            <w:vAlign w:val="center"/>
          </w:tcPr>
          <w:p w14:paraId="350C637A">
            <w:pPr>
              <w:pStyle w:val="11"/>
            </w:pPr>
            <w:r>
              <w:t>项目名称</w:t>
            </w:r>
          </w:p>
        </w:tc>
        <w:tc>
          <w:tcPr>
            <w:tcW w:w="6095" w:type="dxa"/>
            <w:gridSpan w:val="3"/>
            <w:vAlign w:val="center"/>
          </w:tcPr>
          <w:p w14:paraId="7E830CC8">
            <w:pPr>
              <w:pStyle w:val="13"/>
            </w:pPr>
            <w:r>
              <w:t>冀财教[2024]132号/省级/2025年教师队伍建设/原民办代课教师教龄补助</w:t>
            </w:r>
          </w:p>
        </w:tc>
      </w:tr>
      <w:tr w14:paraId="6F6E8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DB07B">
            <w:pPr>
              <w:pStyle w:val="11"/>
            </w:pPr>
            <w:r>
              <w:t>预算规模及资金用途</w:t>
            </w:r>
          </w:p>
        </w:tc>
        <w:tc>
          <w:tcPr>
            <w:tcW w:w="2268" w:type="dxa"/>
            <w:vAlign w:val="center"/>
          </w:tcPr>
          <w:p w14:paraId="474DFDDD">
            <w:pPr>
              <w:pStyle w:val="11"/>
            </w:pPr>
            <w:r>
              <w:t>预算数</w:t>
            </w:r>
          </w:p>
        </w:tc>
        <w:tc>
          <w:tcPr>
            <w:tcW w:w="2835" w:type="dxa"/>
            <w:vAlign w:val="center"/>
          </w:tcPr>
          <w:p w14:paraId="175BCF54">
            <w:pPr>
              <w:pStyle w:val="13"/>
            </w:pPr>
            <w:r>
              <w:t>188.00</w:t>
            </w:r>
          </w:p>
        </w:tc>
        <w:tc>
          <w:tcPr>
            <w:tcW w:w="2835" w:type="dxa"/>
            <w:vAlign w:val="center"/>
          </w:tcPr>
          <w:p w14:paraId="274AC7E2">
            <w:pPr>
              <w:pStyle w:val="11"/>
            </w:pPr>
            <w:r>
              <w:t>其中：财政    资金</w:t>
            </w:r>
          </w:p>
        </w:tc>
        <w:tc>
          <w:tcPr>
            <w:tcW w:w="2551" w:type="dxa"/>
            <w:vAlign w:val="center"/>
          </w:tcPr>
          <w:p w14:paraId="63DE26C9">
            <w:pPr>
              <w:pStyle w:val="13"/>
            </w:pPr>
            <w:r>
              <w:t>188.00</w:t>
            </w:r>
          </w:p>
        </w:tc>
        <w:tc>
          <w:tcPr>
            <w:tcW w:w="2268" w:type="dxa"/>
            <w:vAlign w:val="center"/>
          </w:tcPr>
          <w:p w14:paraId="5C7AD5AB">
            <w:pPr>
              <w:pStyle w:val="11"/>
            </w:pPr>
            <w:r>
              <w:t>其他资金</w:t>
            </w:r>
          </w:p>
        </w:tc>
        <w:tc>
          <w:tcPr>
            <w:tcW w:w="1276" w:type="dxa"/>
            <w:vAlign w:val="center"/>
          </w:tcPr>
          <w:p w14:paraId="75290273">
            <w:pPr>
              <w:pStyle w:val="13"/>
            </w:pPr>
            <w:r>
              <w:t xml:space="preserve"> </w:t>
            </w:r>
          </w:p>
        </w:tc>
      </w:tr>
      <w:tr w14:paraId="23368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1C94C7"/>
        </w:tc>
        <w:tc>
          <w:tcPr>
            <w:tcW w:w="14033" w:type="dxa"/>
            <w:gridSpan w:val="6"/>
            <w:vAlign w:val="center"/>
          </w:tcPr>
          <w:p w14:paraId="2C5B56FC">
            <w:pPr>
              <w:pStyle w:val="13"/>
            </w:pPr>
            <w:r>
              <w:t>资金按月发放，确保农村原民办代课教师教龄补助发放工作顺利实施</w:t>
            </w:r>
            <w:r>
              <w:tab/>
            </w:r>
            <w:r>
              <w:tab/>
            </w:r>
            <w:r>
              <w:tab/>
            </w:r>
            <w:r>
              <w:tab/>
            </w:r>
            <w:r>
              <w:tab/>
            </w:r>
          </w:p>
          <w:p w14:paraId="3577EAAA">
            <w:pPr>
              <w:pStyle w:val="13"/>
            </w:pPr>
          </w:p>
        </w:tc>
      </w:tr>
      <w:tr w14:paraId="35311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00A5B">
            <w:pPr>
              <w:pStyle w:val="11"/>
            </w:pPr>
            <w:r>
              <w:t>资金支出计划（%）</w:t>
            </w:r>
          </w:p>
        </w:tc>
        <w:tc>
          <w:tcPr>
            <w:tcW w:w="5103" w:type="dxa"/>
            <w:gridSpan w:val="2"/>
            <w:vAlign w:val="center"/>
          </w:tcPr>
          <w:p w14:paraId="272A0D9C">
            <w:pPr>
              <w:pStyle w:val="11"/>
            </w:pPr>
            <w:r>
              <w:t>3月底</w:t>
            </w:r>
          </w:p>
        </w:tc>
        <w:tc>
          <w:tcPr>
            <w:tcW w:w="2835" w:type="dxa"/>
            <w:vAlign w:val="center"/>
          </w:tcPr>
          <w:p w14:paraId="722ADA71">
            <w:pPr>
              <w:pStyle w:val="11"/>
            </w:pPr>
            <w:r>
              <w:t>6月底</w:t>
            </w:r>
          </w:p>
        </w:tc>
        <w:tc>
          <w:tcPr>
            <w:tcW w:w="2551" w:type="dxa"/>
            <w:vAlign w:val="center"/>
          </w:tcPr>
          <w:p w14:paraId="767A3FBB">
            <w:pPr>
              <w:pStyle w:val="11"/>
            </w:pPr>
            <w:r>
              <w:t>10月底</w:t>
            </w:r>
          </w:p>
        </w:tc>
        <w:tc>
          <w:tcPr>
            <w:tcW w:w="3544" w:type="dxa"/>
            <w:gridSpan w:val="2"/>
            <w:vAlign w:val="center"/>
          </w:tcPr>
          <w:p w14:paraId="650D48FF">
            <w:pPr>
              <w:pStyle w:val="11"/>
            </w:pPr>
            <w:r>
              <w:t>12月底</w:t>
            </w:r>
          </w:p>
        </w:tc>
      </w:tr>
      <w:tr w14:paraId="6FFDB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C9CC4B"/>
        </w:tc>
        <w:tc>
          <w:tcPr>
            <w:tcW w:w="5103" w:type="dxa"/>
            <w:gridSpan w:val="2"/>
            <w:vAlign w:val="center"/>
          </w:tcPr>
          <w:p w14:paraId="79060A4D">
            <w:pPr>
              <w:pStyle w:val="12"/>
            </w:pPr>
            <w:r>
              <w:t>25%</w:t>
            </w:r>
          </w:p>
        </w:tc>
        <w:tc>
          <w:tcPr>
            <w:tcW w:w="2835" w:type="dxa"/>
            <w:vAlign w:val="center"/>
          </w:tcPr>
          <w:p w14:paraId="650F7D36">
            <w:pPr>
              <w:pStyle w:val="12"/>
            </w:pPr>
            <w:r>
              <w:t>50%</w:t>
            </w:r>
          </w:p>
        </w:tc>
        <w:tc>
          <w:tcPr>
            <w:tcW w:w="2551" w:type="dxa"/>
            <w:vAlign w:val="center"/>
          </w:tcPr>
          <w:p w14:paraId="0028AF00">
            <w:pPr>
              <w:pStyle w:val="12"/>
            </w:pPr>
            <w:r>
              <w:t>75%</w:t>
            </w:r>
          </w:p>
        </w:tc>
        <w:tc>
          <w:tcPr>
            <w:tcW w:w="3544" w:type="dxa"/>
            <w:gridSpan w:val="2"/>
            <w:vAlign w:val="center"/>
          </w:tcPr>
          <w:p w14:paraId="521A5279">
            <w:pPr>
              <w:pStyle w:val="12"/>
            </w:pPr>
            <w:r>
              <w:t>100%</w:t>
            </w:r>
          </w:p>
        </w:tc>
      </w:tr>
      <w:tr w14:paraId="6AB0F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BC8A5F">
            <w:pPr>
              <w:pStyle w:val="11"/>
            </w:pPr>
            <w:r>
              <w:t>绩效目标</w:t>
            </w:r>
          </w:p>
        </w:tc>
        <w:tc>
          <w:tcPr>
            <w:tcW w:w="14033" w:type="dxa"/>
            <w:gridSpan w:val="6"/>
            <w:vAlign w:val="center"/>
          </w:tcPr>
          <w:p w14:paraId="23D06B48">
            <w:pPr>
              <w:pStyle w:val="13"/>
            </w:pPr>
            <w:r>
              <w:t>1.资金按月发放，确保农村原民办代课教师教龄补助发放工作顺利实施</w:t>
            </w:r>
            <w:r>
              <w:tab/>
            </w:r>
          </w:p>
          <w:p w14:paraId="2D25C569">
            <w:pPr>
              <w:pStyle w:val="13"/>
            </w:pPr>
            <w:r>
              <w:t>2.用于到达退休年龄老民办教师的教龄补助发放</w:t>
            </w:r>
          </w:p>
        </w:tc>
      </w:tr>
    </w:tbl>
    <w:p w14:paraId="38BDC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44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58A40">
            <w:pPr>
              <w:pStyle w:val="11"/>
            </w:pPr>
            <w:r>
              <w:t>一级指标</w:t>
            </w:r>
          </w:p>
        </w:tc>
        <w:tc>
          <w:tcPr>
            <w:tcW w:w="2268" w:type="dxa"/>
            <w:vAlign w:val="center"/>
          </w:tcPr>
          <w:p w14:paraId="731256DD">
            <w:pPr>
              <w:pStyle w:val="11"/>
            </w:pPr>
            <w:r>
              <w:t>二级指标</w:t>
            </w:r>
          </w:p>
        </w:tc>
        <w:tc>
          <w:tcPr>
            <w:tcW w:w="2835" w:type="dxa"/>
            <w:vAlign w:val="center"/>
          </w:tcPr>
          <w:p w14:paraId="0FB1CD99">
            <w:pPr>
              <w:pStyle w:val="11"/>
            </w:pPr>
            <w:r>
              <w:t>三级指标</w:t>
            </w:r>
          </w:p>
        </w:tc>
        <w:tc>
          <w:tcPr>
            <w:tcW w:w="5386" w:type="dxa"/>
            <w:vAlign w:val="center"/>
          </w:tcPr>
          <w:p w14:paraId="651891AD">
            <w:pPr>
              <w:pStyle w:val="11"/>
            </w:pPr>
            <w:r>
              <w:t>绩效指标描述</w:t>
            </w:r>
          </w:p>
        </w:tc>
        <w:tc>
          <w:tcPr>
            <w:tcW w:w="2268" w:type="dxa"/>
            <w:vAlign w:val="center"/>
          </w:tcPr>
          <w:p w14:paraId="01C1F11D">
            <w:pPr>
              <w:pStyle w:val="11"/>
            </w:pPr>
            <w:r>
              <w:t>指标值</w:t>
            </w:r>
          </w:p>
        </w:tc>
        <w:tc>
          <w:tcPr>
            <w:tcW w:w="1276" w:type="dxa"/>
            <w:vAlign w:val="center"/>
          </w:tcPr>
          <w:p w14:paraId="39F611BA">
            <w:pPr>
              <w:pStyle w:val="11"/>
            </w:pPr>
            <w:r>
              <w:t>指标值确定依据</w:t>
            </w:r>
          </w:p>
        </w:tc>
      </w:tr>
      <w:tr w14:paraId="294C7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12FB4">
            <w:pPr>
              <w:pStyle w:val="12"/>
            </w:pPr>
            <w:r>
              <w:t>产出指标</w:t>
            </w:r>
          </w:p>
        </w:tc>
        <w:tc>
          <w:tcPr>
            <w:tcW w:w="2268" w:type="dxa"/>
            <w:vAlign w:val="center"/>
          </w:tcPr>
          <w:p w14:paraId="29F4CD0C">
            <w:pPr>
              <w:pStyle w:val="13"/>
            </w:pPr>
            <w:r>
              <w:t>数量指标</w:t>
            </w:r>
          </w:p>
        </w:tc>
        <w:tc>
          <w:tcPr>
            <w:tcW w:w="2835" w:type="dxa"/>
            <w:vAlign w:val="center"/>
          </w:tcPr>
          <w:p w14:paraId="50518964">
            <w:pPr>
              <w:pStyle w:val="13"/>
            </w:pPr>
            <w:r>
              <w:t>代课教师教龄补助</w:t>
            </w:r>
          </w:p>
        </w:tc>
        <w:tc>
          <w:tcPr>
            <w:tcW w:w="5386" w:type="dxa"/>
            <w:vAlign w:val="center"/>
          </w:tcPr>
          <w:p w14:paraId="42C93599">
            <w:pPr>
              <w:pStyle w:val="13"/>
            </w:pPr>
            <w:r>
              <w:t>到达退休年龄的，按照相关要求已在人事部门登记备案的原民办教师</w:t>
            </w:r>
          </w:p>
        </w:tc>
        <w:tc>
          <w:tcPr>
            <w:tcW w:w="2268" w:type="dxa"/>
            <w:vAlign w:val="center"/>
          </w:tcPr>
          <w:p w14:paraId="68F9AE34">
            <w:pPr>
              <w:pStyle w:val="13"/>
            </w:pPr>
            <w:r>
              <w:t>1644全覆盖</w:t>
            </w:r>
          </w:p>
        </w:tc>
        <w:tc>
          <w:tcPr>
            <w:tcW w:w="1276" w:type="dxa"/>
            <w:vAlign w:val="center"/>
          </w:tcPr>
          <w:p w14:paraId="62491AB0">
            <w:pPr>
              <w:pStyle w:val="13"/>
            </w:pPr>
            <w:r>
              <w:t>冀政办函[2012]37号文件精神</w:t>
            </w:r>
          </w:p>
        </w:tc>
      </w:tr>
      <w:tr w14:paraId="5D28F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C5F0034"/>
        </w:tc>
        <w:tc>
          <w:tcPr>
            <w:tcW w:w="2268" w:type="dxa"/>
            <w:vAlign w:val="center"/>
          </w:tcPr>
          <w:p w14:paraId="63189368">
            <w:pPr>
              <w:pStyle w:val="13"/>
            </w:pPr>
            <w:r>
              <w:t>质量指标</w:t>
            </w:r>
          </w:p>
        </w:tc>
        <w:tc>
          <w:tcPr>
            <w:tcW w:w="2835" w:type="dxa"/>
            <w:vAlign w:val="center"/>
          </w:tcPr>
          <w:p w14:paraId="47F8A1EA">
            <w:pPr>
              <w:pStyle w:val="13"/>
            </w:pPr>
            <w:r>
              <w:t>补助率</w:t>
            </w:r>
          </w:p>
        </w:tc>
        <w:tc>
          <w:tcPr>
            <w:tcW w:w="5386" w:type="dxa"/>
            <w:vAlign w:val="center"/>
          </w:tcPr>
          <w:p w14:paraId="69F45B33">
            <w:pPr>
              <w:pStyle w:val="13"/>
            </w:pPr>
            <w:r>
              <w:t>民办代课教师教龄补助率</w:t>
            </w:r>
          </w:p>
        </w:tc>
        <w:tc>
          <w:tcPr>
            <w:tcW w:w="2268" w:type="dxa"/>
            <w:vAlign w:val="center"/>
          </w:tcPr>
          <w:p w14:paraId="104440EB">
            <w:pPr>
              <w:pStyle w:val="13"/>
            </w:pPr>
            <w:r>
              <w:t>≥100%</w:t>
            </w:r>
          </w:p>
        </w:tc>
        <w:tc>
          <w:tcPr>
            <w:tcW w:w="1276" w:type="dxa"/>
            <w:vAlign w:val="center"/>
          </w:tcPr>
          <w:p w14:paraId="3A88F5B4">
            <w:pPr>
              <w:pStyle w:val="13"/>
            </w:pPr>
            <w:r>
              <w:t>工作计划</w:t>
            </w:r>
          </w:p>
        </w:tc>
      </w:tr>
      <w:tr w14:paraId="107E0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6B4B6"/>
        </w:tc>
        <w:tc>
          <w:tcPr>
            <w:tcW w:w="2268" w:type="dxa"/>
            <w:vAlign w:val="center"/>
          </w:tcPr>
          <w:p w14:paraId="09C9A10B">
            <w:pPr>
              <w:pStyle w:val="13"/>
            </w:pPr>
            <w:r>
              <w:t>时效指标</w:t>
            </w:r>
          </w:p>
        </w:tc>
        <w:tc>
          <w:tcPr>
            <w:tcW w:w="2835" w:type="dxa"/>
            <w:vAlign w:val="center"/>
          </w:tcPr>
          <w:p w14:paraId="4CE29A50">
            <w:pPr>
              <w:pStyle w:val="13"/>
            </w:pPr>
            <w:r>
              <w:t>资金拨付进度</w:t>
            </w:r>
          </w:p>
        </w:tc>
        <w:tc>
          <w:tcPr>
            <w:tcW w:w="5386" w:type="dxa"/>
            <w:vAlign w:val="center"/>
          </w:tcPr>
          <w:p w14:paraId="00D569DD">
            <w:pPr>
              <w:pStyle w:val="13"/>
            </w:pPr>
            <w:r>
              <w:t>教师教龄补助资金按月发放</w:t>
            </w:r>
          </w:p>
        </w:tc>
        <w:tc>
          <w:tcPr>
            <w:tcW w:w="2268" w:type="dxa"/>
            <w:vAlign w:val="center"/>
          </w:tcPr>
          <w:p w14:paraId="74474919">
            <w:pPr>
              <w:pStyle w:val="13"/>
            </w:pPr>
            <w:r>
              <w:t>10012月31日之前完成</w:t>
            </w:r>
          </w:p>
        </w:tc>
        <w:tc>
          <w:tcPr>
            <w:tcW w:w="1276" w:type="dxa"/>
            <w:vAlign w:val="center"/>
          </w:tcPr>
          <w:p w14:paraId="072C152A">
            <w:pPr>
              <w:pStyle w:val="13"/>
            </w:pPr>
            <w:r>
              <w:t>工作计划</w:t>
            </w:r>
          </w:p>
        </w:tc>
      </w:tr>
      <w:tr w14:paraId="50045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275E4"/>
        </w:tc>
        <w:tc>
          <w:tcPr>
            <w:tcW w:w="2268" w:type="dxa"/>
            <w:vAlign w:val="center"/>
          </w:tcPr>
          <w:p w14:paraId="30EF9BA6">
            <w:pPr>
              <w:pStyle w:val="13"/>
            </w:pPr>
            <w:r>
              <w:t>成本指标</w:t>
            </w:r>
          </w:p>
        </w:tc>
        <w:tc>
          <w:tcPr>
            <w:tcW w:w="2835" w:type="dxa"/>
            <w:vAlign w:val="center"/>
          </w:tcPr>
          <w:p w14:paraId="1C02BA50">
            <w:pPr>
              <w:pStyle w:val="13"/>
            </w:pPr>
            <w:r>
              <w:t>发放标准</w:t>
            </w:r>
          </w:p>
        </w:tc>
        <w:tc>
          <w:tcPr>
            <w:tcW w:w="5386" w:type="dxa"/>
            <w:vAlign w:val="center"/>
          </w:tcPr>
          <w:p w14:paraId="37BBD7B5">
            <w:pPr>
              <w:pStyle w:val="13"/>
            </w:pPr>
            <w:r>
              <w:t>教龄补助标准为每个教龄每月26元，任教年限不满一年的按一年计算。根据经济社会发展情况，适时调整教龄补贴标准。</w:t>
            </w:r>
          </w:p>
        </w:tc>
        <w:tc>
          <w:tcPr>
            <w:tcW w:w="2268" w:type="dxa"/>
            <w:vAlign w:val="center"/>
          </w:tcPr>
          <w:p w14:paraId="5863A005">
            <w:pPr>
              <w:pStyle w:val="13"/>
            </w:pPr>
            <w:r>
              <w:t>26按标准发放</w:t>
            </w:r>
          </w:p>
        </w:tc>
        <w:tc>
          <w:tcPr>
            <w:tcW w:w="1276" w:type="dxa"/>
            <w:vAlign w:val="center"/>
          </w:tcPr>
          <w:p w14:paraId="69E7FFDB">
            <w:pPr>
              <w:pStyle w:val="13"/>
            </w:pPr>
            <w:r>
              <w:t>年度预算安排</w:t>
            </w:r>
          </w:p>
        </w:tc>
      </w:tr>
      <w:tr w14:paraId="388F5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574A69">
            <w:pPr>
              <w:pStyle w:val="12"/>
            </w:pPr>
            <w:r>
              <w:t>效益指标</w:t>
            </w:r>
          </w:p>
        </w:tc>
        <w:tc>
          <w:tcPr>
            <w:tcW w:w="2268" w:type="dxa"/>
            <w:vAlign w:val="center"/>
          </w:tcPr>
          <w:p w14:paraId="20EBE8CA">
            <w:pPr>
              <w:pStyle w:val="13"/>
            </w:pPr>
            <w:r>
              <w:t>可持续影响指标</w:t>
            </w:r>
          </w:p>
        </w:tc>
        <w:tc>
          <w:tcPr>
            <w:tcW w:w="2835" w:type="dxa"/>
            <w:vAlign w:val="center"/>
          </w:tcPr>
          <w:p w14:paraId="6BD461A0">
            <w:pPr>
              <w:pStyle w:val="13"/>
            </w:pPr>
            <w:r>
              <w:t>政策知晓率</w:t>
            </w:r>
          </w:p>
        </w:tc>
        <w:tc>
          <w:tcPr>
            <w:tcW w:w="5386" w:type="dxa"/>
            <w:vAlign w:val="center"/>
          </w:tcPr>
          <w:p w14:paraId="516DBEEF">
            <w:pPr>
              <w:pStyle w:val="13"/>
            </w:pPr>
            <w:r>
              <w:t>政策知晓率</w:t>
            </w:r>
          </w:p>
        </w:tc>
        <w:tc>
          <w:tcPr>
            <w:tcW w:w="2268" w:type="dxa"/>
            <w:vAlign w:val="center"/>
          </w:tcPr>
          <w:p w14:paraId="5505CC70">
            <w:pPr>
              <w:pStyle w:val="13"/>
            </w:pPr>
            <w:r>
              <w:t>≥98%</w:t>
            </w:r>
          </w:p>
        </w:tc>
        <w:tc>
          <w:tcPr>
            <w:tcW w:w="1276" w:type="dxa"/>
            <w:vAlign w:val="center"/>
          </w:tcPr>
          <w:p w14:paraId="2D0B4D26">
            <w:pPr>
              <w:pStyle w:val="13"/>
            </w:pPr>
            <w:r>
              <w:t>调查结果</w:t>
            </w:r>
          </w:p>
        </w:tc>
      </w:tr>
      <w:tr w14:paraId="0BECE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82E5A2">
            <w:pPr>
              <w:pStyle w:val="12"/>
            </w:pPr>
            <w:r>
              <w:t>满意度指标</w:t>
            </w:r>
          </w:p>
        </w:tc>
        <w:tc>
          <w:tcPr>
            <w:tcW w:w="2268" w:type="dxa"/>
            <w:vAlign w:val="center"/>
          </w:tcPr>
          <w:p w14:paraId="4BD9C50C">
            <w:pPr>
              <w:pStyle w:val="13"/>
            </w:pPr>
            <w:r>
              <w:t>服务对象满意度指标</w:t>
            </w:r>
          </w:p>
        </w:tc>
        <w:tc>
          <w:tcPr>
            <w:tcW w:w="2835" w:type="dxa"/>
            <w:vAlign w:val="center"/>
          </w:tcPr>
          <w:p w14:paraId="54B2A826">
            <w:pPr>
              <w:pStyle w:val="13"/>
            </w:pPr>
            <w:r>
              <w:t>享受补助老民办教师满意度</w:t>
            </w:r>
          </w:p>
        </w:tc>
        <w:tc>
          <w:tcPr>
            <w:tcW w:w="5386" w:type="dxa"/>
            <w:vAlign w:val="center"/>
          </w:tcPr>
          <w:p w14:paraId="3E177E25">
            <w:pPr>
              <w:pStyle w:val="13"/>
            </w:pPr>
            <w:r>
              <w:t>享受补助老民办教师满意度对资金发放情况满意度</w:t>
            </w:r>
          </w:p>
        </w:tc>
        <w:tc>
          <w:tcPr>
            <w:tcW w:w="2268" w:type="dxa"/>
            <w:vAlign w:val="center"/>
          </w:tcPr>
          <w:p w14:paraId="1084BAD7">
            <w:pPr>
              <w:pStyle w:val="13"/>
            </w:pPr>
            <w:r>
              <w:t>≥95%</w:t>
            </w:r>
          </w:p>
        </w:tc>
        <w:tc>
          <w:tcPr>
            <w:tcW w:w="1276" w:type="dxa"/>
            <w:vAlign w:val="center"/>
          </w:tcPr>
          <w:p w14:paraId="7787A415">
            <w:pPr>
              <w:pStyle w:val="13"/>
            </w:pPr>
            <w:r>
              <w:t>调查结果</w:t>
            </w:r>
          </w:p>
        </w:tc>
      </w:tr>
    </w:tbl>
    <w:p w14:paraId="1F53E74F">
      <w:pPr>
        <w:sectPr>
          <w:pgSz w:w="16840" w:h="11900" w:orient="landscape"/>
          <w:pgMar w:top="1361" w:right="1020" w:bottom="1134" w:left="1020" w:header="720" w:footer="720" w:gutter="0"/>
          <w:cols w:space="720" w:num="1"/>
        </w:sectPr>
      </w:pPr>
    </w:p>
    <w:p w14:paraId="5AEC636E">
      <w:pPr>
        <w:spacing w:before="0" w:after="0"/>
        <w:ind w:firstLine="560"/>
        <w:jc w:val="left"/>
        <w:outlineLvl w:val="9"/>
      </w:pPr>
      <w:r>
        <w:rPr>
          <w:rFonts w:ascii="方正仿宋_GBK" w:hAnsi="方正仿宋_GBK" w:eastAsia="方正仿宋_GBK" w:cs="方正仿宋_GBK"/>
          <w:b/>
          <w:color w:val="000000"/>
          <w:sz w:val="28"/>
        </w:rPr>
        <w:t>36、冀财教[2024]135号/省级/2025年大学新生救助资金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55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2CBA3">
            <w:pPr>
              <w:pStyle w:val="14"/>
            </w:pPr>
            <w:r>
              <w:t>单位：万元</w:t>
            </w:r>
          </w:p>
        </w:tc>
      </w:tr>
      <w:tr w14:paraId="5EA96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1F2AB5">
            <w:pPr>
              <w:pStyle w:val="11"/>
            </w:pPr>
            <w:r>
              <w:t>项目编码</w:t>
            </w:r>
          </w:p>
        </w:tc>
        <w:tc>
          <w:tcPr>
            <w:tcW w:w="5103" w:type="dxa"/>
            <w:gridSpan w:val="2"/>
            <w:vAlign w:val="center"/>
          </w:tcPr>
          <w:p w14:paraId="584FB481">
            <w:pPr>
              <w:pStyle w:val="13"/>
            </w:pPr>
            <w:r>
              <w:t>13052525P00875610092C</w:t>
            </w:r>
          </w:p>
        </w:tc>
        <w:tc>
          <w:tcPr>
            <w:tcW w:w="2835" w:type="dxa"/>
            <w:vAlign w:val="center"/>
          </w:tcPr>
          <w:p w14:paraId="63E22B43">
            <w:pPr>
              <w:pStyle w:val="11"/>
            </w:pPr>
            <w:r>
              <w:t>项目名称</w:t>
            </w:r>
          </w:p>
        </w:tc>
        <w:tc>
          <w:tcPr>
            <w:tcW w:w="6095" w:type="dxa"/>
            <w:gridSpan w:val="3"/>
            <w:vAlign w:val="center"/>
          </w:tcPr>
          <w:p w14:paraId="0CCC4B8D">
            <w:pPr>
              <w:pStyle w:val="13"/>
            </w:pPr>
            <w:r>
              <w:t>冀财教[2024]135号/省级/2025年大学新生救助资金</w:t>
            </w:r>
            <w:r>
              <w:tab/>
            </w:r>
          </w:p>
        </w:tc>
      </w:tr>
      <w:tr w14:paraId="5AD16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92633">
            <w:pPr>
              <w:pStyle w:val="11"/>
            </w:pPr>
            <w:r>
              <w:t>预算规模及资金用途</w:t>
            </w:r>
          </w:p>
        </w:tc>
        <w:tc>
          <w:tcPr>
            <w:tcW w:w="2268" w:type="dxa"/>
            <w:vAlign w:val="center"/>
          </w:tcPr>
          <w:p w14:paraId="3C3905C6">
            <w:pPr>
              <w:pStyle w:val="11"/>
            </w:pPr>
            <w:r>
              <w:t>预算数</w:t>
            </w:r>
          </w:p>
        </w:tc>
        <w:tc>
          <w:tcPr>
            <w:tcW w:w="2835" w:type="dxa"/>
            <w:vAlign w:val="center"/>
          </w:tcPr>
          <w:p w14:paraId="589ABC8A">
            <w:pPr>
              <w:pStyle w:val="13"/>
            </w:pPr>
            <w:r>
              <w:t>4.00</w:t>
            </w:r>
          </w:p>
        </w:tc>
        <w:tc>
          <w:tcPr>
            <w:tcW w:w="2835" w:type="dxa"/>
            <w:vAlign w:val="center"/>
          </w:tcPr>
          <w:p w14:paraId="61AE1AD5">
            <w:pPr>
              <w:pStyle w:val="11"/>
            </w:pPr>
            <w:r>
              <w:t>其中：财政    资金</w:t>
            </w:r>
          </w:p>
        </w:tc>
        <w:tc>
          <w:tcPr>
            <w:tcW w:w="2551" w:type="dxa"/>
            <w:vAlign w:val="center"/>
          </w:tcPr>
          <w:p w14:paraId="25A9BF3C">
            <w:pPr>
              <w:pStyle w:val="13"/>
            </w:pPr>
            <w:r>
              <w:t>4.00</w:t>
            </w:r>
          </w:p>
        </w:tc>
        <w:tc>
          <w:tcPr>
            <w:tcW w:w="2268" w:type="dxa"/>
            <w:vAlign w:val="center"/>
          </w:tcPr>
          <w:p w14:paraId="59F9A3EC">
            <w:pPr>
              <w:pStyle w:val="11"/>
            </w:pPr>
            <w:r>
              <w:t>其他资金</w:t>
            </w:r>
          </w:p>
        </w:tc>
        <w:tc>
          <w:tcPr>
            <w:tcW w:w="1276" w:type="dxa"/>
            <w:vAlign w:val="center"/>
          </w:tcPr>
          <w:p w14:paraId="21EB0F41">
            <w:pPr>
              <w:pStyle w:val="13"/>
            </w:pPr>
            <w:r>
              <w:t xml:space="preserve"> </w:t>
            </w:r>
          </w:p>
        </w:tc>
      </w:tr>
      <w:tr w14:paraId="33279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2E232"/>
        </w:tc>
        <w:tc>
          <w:tcPr>
            <w:tcW w:w="14033" w:type="dxa"/>
            <w:gridSpan w:val="6"/>
            <w:vAlign w:val="center"/>
          </w:tcPr>
          <w:p w14:paraId="4F223BC4">
            <w:pPr>
              <w:pStyle w:val="13"/>
            </w:pPr>
            <w:r>
              <w:t>保障落实建档立卡及家庭经济困难学生资助所需资金，确保建档立卡等家庭经济困难学生优先获得资助</w:t>
            </w:r>
            <w:r>
              <w:tab/>
            </w:r>
            <w:r>
              <w:tab/>
            </w:r>
            <w:r>
              <w:tab/>
            </w:r>
          </w:p>
          <w:p w14:paraId="5A1A39A1">
            <w:pPr>
              <w:pStyle w:val="13"/>
            </w:pPr>
          </w:p>
        </w:tc>
      </w:tr>
      <w:tr w14:paraId="2EE17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AAA04">
            <w:pPr>
              <w:pStyle w:val="11"/>
            </w:pPr>
            <w:r>
              <w:t>资金支出计划（%）</w:t>
            </w:r>
          </w:p>
        </w:tc>
        <w:tc>
          <w:tcPr>
            <w:tcW w:w="5103" w:type="dxa"/>
            <w:gridSpan w:val="2"/>
            <w:vAlign w:val="center"/>
          </w:tcPr>
          <w:p w14:paraId="63EAC039">
            <w:pPr>
              <w:pStyle w:val="11"/>
            </w:pPr>
            <w:r>
              <w:t>3月底</w:t>
            </w:r>
          </w:p>
        </w:tc>
        <w:tc>
          <w:tcPr>
            <w:tcW w:w="2835" w:type="dxa"/>
            <w:vAlign w:val="center"/>
          </w:tcPr>
          <w:p w14:paraId="49F07E3C">
            <w:pPr>
              <w:pStyle w:val="11"/>
            </w:pPr>
            <w:r>
              <w:t>6月底</w:t>
            </w:r>
          </w:p>
        </w:tc>
        <w:tc>
          <w:tcPr>
            <w:tcW w:w="2551" w:type="dxa"/>
            <w:vAlign w:val="center"/>
          </w:tcPr>
          <w:p w14:paraId="2315F26F">
            <w:pPr>
              <w:pStyle w:val="11"/>
            </w:pPr>
            <w:r>
              <w:t>10月底</w:t>
            </w:r>
          </w:p>
        </w:tc>
        <w:tc>
          <w:tcPr>
            <w:tcW w:w="3544" w:type="dxa"/>
            <w:gridSpan w:val="2"/>
            <w:vAlign w:val="center"/>
          </w:tcPr>
          <w:p w14:paraId="096D4C26">
            <w:pPr>
              <w:pStyle w:val="11"/>
            </w:pPr>
            <w:r>
              <w:t>12月底</w:t>
            </w:r>
          </w:p>
        </w:tc>
      </w:tr>
      <w:tr w14:paraId="01AB6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6925C3"/>
        </w:tc>
        <w:tc>
          <w:tcPr>
            <w:tcW w:w="5103" w:type="dxa"/>
            <w:gridSpan w:val="2"/>
            <w:vAlign w:val="center"/>
          </w:tcPr>
          <w:p w14:paraId="2B122F5C">
            <w:pPr>
              <w:pStyle w:val="12"/>
            </w:pPr>
            <w:r>
              <w:t xml:space="preserve"> </w:t>
            </w:r>
          </w:p>
        </w:tc>
        <w:tc>
          <w:tcPr>
            <w:tcW w:w="2835" w:type="dxa"/>
            <w:vAlign w:val="center"/>
          </w:tcPr>
          <w:p w14:paraId="5C88373C">
            <w:pPr>
              <w:pStyle w:val="12"/>
            </w:pPr>
            <w:r>
              <w:t>50%</w:t>
            </w:r>
          </w:p>
        </w:tc>
        <w:tc>
          <w:tcPr>
            <w:tcW w:w="2551" w:type="dxa"/>
            <w:vAlign w:val="center"/>
          </w:tcPr>
          <w:p w14:paraId="44D9D644">
            <w:pPr>
              <w:pStyle w:val="12"/>
            </w:pPr>
            <w:r>
              <w:t>75%</w:t>
            </w:r>
          </w:p>
        </w:tc>
        <w:tc>
          <w:tcPr>
            <w:tcW w:w="3544" w:type="dxa"/>
            <w:gridSpan w:val="2"/>
            <w:vAlign w:val="center"/>
          </w:tcPr>
          <w:p w14:paraId="00DFFD33">
            <w:pPr>
              <w:pStyle w:val="12"/>
            </w:pPr>
            <w:r>
              <w:t>100%</w:t>
            </w:r>
          </w:p>
        </w:tc>
      </w:tr>
      <w:tr w14:paraId="528D9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805BB9">
            <w:pPr>
              <w:pStyle w:val="11"/>
            </w:pPr>
            <w:r>
              <w:t>绩效目标</w:t>
            </w:r>
          </w:p>
        </w:tc>
        <w:tc>
          <w:tcPr>
            <w:tcW w:w="14033" w:type="dxa"/>
            <w:gridSpan w:val="6"/>
            <w:vAlign w:val="center"/>
          </w:tcPr>
          <w:p w14:paraId="12C68943">
            <w:pPr>
              <w:pStyle w:val="13"/>
            </w:pPr>
            <w:r>
              <w:t>1.保障落实建档立卡及家庭经济困难学生资助所需资金，确保建档立卡等家庭经济困难学生优先获得资助</w:t>
            </w:r>
            <w:r>
              <w:tab/>
            </w:r>
            <w:r>
              <w:tab/>
            </w:r>
            <w:r>
              <w:tab/>
            </w:r>
          </w:p>
          <w:p w14:paraId="1BC5075B">
            <w:pPr>
              <w:pStyle w:val="13"/>
            </w:pPr>
          </w:p>
        </w:tc>
      </w:tr>
    </w:tbl>
    <w:p w14:paraId="5076B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286"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1551"/>
        <w:gridCol w:w="1778"/>
        <w:gridCol w:w="2623"/>
        <w:gridCol w:w="3815"/>
        <w:gridCol w:w="1104"/>
        <w:gridCol w:w="4415"/>
      </w:tblGrid>
      <w:tr w14:paraId="0B1CD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551" w:type="dxa"/>
            <w:vAlign w:val="center"/>
          </w:tcPr>
          <w:p w14:paraId="6CAF221B">
            <w:pPr>
              <w:pStyle w:val="11"/>
            </w:pPr>
            <w:r>
              <w:t>一级指标</w:t>
            </w:r>
          </w:p>
        </w:tc>
        <w:tc>
          <w:tcPr>
            <w:tcW w:w="1778" w:type="dxa"/>
            <w:vAlign w:val="center"/>
          </w:tcPr>
          <w:p w14:paraId="2C8574CA">
            <w:pPr>
              <w:pStyle w:val="11"/>
            </w:pPr>
            <w:r>
              <w:t>二级指标</w:t>
            </w:r>
          </w:p>
        </w:tc>
        <w:tc>
          <w:tcPr>
            <w:tcW w:w="2623" w:type="dxa"/>
            <w:vAlign w:val="center"/>
          </w:tcPr>
          <w:p w14:paraId="0FC33CB9">
            <w:pPr>
              <w:pStyle w:val="11"/>
            </w:pPr>
            <w:r>
              <w:t>三级指标</w:t>
            </w:r>
          </w:p>
        </w:tc>
        <w:tc>
          <w:tcPr>
            <w:tcW w:w="3815" w:type="dxa"/>
            <w:vAlign w:val="center"/>
          </w:tcPr>
          <w:p w14:paraId="0D98BAC5">
            <w:pPr>
              <w:pStyle w:val="11"/>
            </w:pPr>
            <w:r>
              <w:t>绩效指标描述</w:t>
            </w:r>
          </w:p>
        </w:tc>
        <w:tc>
          <w:tcPr>
            <w:tcW w:w="1104" w:type="dxa"/>
            <w:vAlign w:val="center"/>
          </w:tcPr>
          <w:p w14:paraId="6F9F8F0D">
            <w:pPr>
              <w:pStyle w:val="11"/>
            </w:pPr>
            <w:r>
              <w:t>指标值</w:t>
            </w:r>
          </w:p>
        </w:tc>
        <w:tc>
          <w:tcPr>
            <w:tcW w:w="4415" w:type="dxa"/>
            <w:vAlign w:val="center"/>
          </w:tcPr>
          <w:p w14:paraId="630537D4">
            <w:pPr>
              <w:pStyle w:val="11"/>
            </w:pPr>
            <w:r>
              <w:t>指标值确定依据</w:t>
            </w:r>
          </w:p>
        </w:tc>
      </w:tr>
      <w:tr w14:paraId="2E952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1" w:type="dxa"/>
            <w:vMerge w:val="restart"/>
            <w:vAlign w:val="center"/>
          </w:tcPr>
          <w:p w14:paraId="7B6DC130">
            <w:pPr>
              <w:pStyle w:val="12"/>
            </w:pPr>
            <w:r>
              <w:t>产出指标</w:t>
            </w:r>
          </w:p>
        </w:tc>
        <w:tc>
          <w:tcPr>
            <w:tcW w:w="1778" w:type="dxa"/>
            <w:vAlign w:val="center"/>
          </w:tcPr>
          <w:p w14:paraId="0D90820B">
            <w:pPr>
              <w:pStyle w:val="13"/>
            </w:pPr>
            <w:r>
              <w:t>数量指标</w:t>
            </w:r>
          </w:p>
        </w:tc>
        <w:tc>
          <w:tcPr>
            <w:tcW w:w="2623" w:type="dxa"/>
            <w:vAlign w:val="center"/>
          </w:tcPr>
          <w:p w14:paraId="7754AB1F">
            <w:pPr>
              <w:pStyle w:val="13"/>
            </w:pPr>
            <w:r>
              <w:t>大学新生入学资助覆盖面</w:t>
            </w:r>
          </w:p>
        </w:tc>
        <w:tc>
          <w:tcPr>
            <w:tcW w:w="3815" w:type="dxa"/>
            <w:vAlign w:val="center"/>
          </w:tcPr>
          <w:p w14:paraId="170B0ECE">
            <w:pPr>
              <w:pStyle w:val="13"/>
            </w:pPr>
            <w:r>
              <w:t>救助比例原则上不超过本县当年录取人数的4%</w:t>
            </w:r>
          </w:p>
        </w:tc>
        <w:tc>
          <w:tcPr>
            <w:tcW w:w="1104" w:type="dxa"/>
            <w:vAlign w:val="center"/>
          </w:tcPr>
          <w:p w14:paraId="632E3F92">
            <w:pPr>
              <w:pStyle w:val="13"/>
            </w:pPr>
            <w:r>
              <w:t>≤100%</w:t>
            </w:r>
          </w:p>
        </w:tc>
        <w:tc>
          <w:tcPr>
            <w:tcW w:w="4415" w:type="dxa"/>
            <w:vAlign w:val="center"/>
          </w:tcPr>
          <w:p w14:paraId="456A279E">
            <w:pPr>
              <w:pStyle w:val="13"/>
            </w:pPr>
            <w:r>
              <w:t>河北省建档立卡家庭经济困难学生资助管理暂行办法</w:t>
            </w:r>
          </w:p>
        </w:tc>
      </w:tr>
      <w:tr w14:paraId="156FF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1" w:type="dxa"/>
            <w:vMerge w:val="continue"/>
            <w:vAlign w:val="center"/>
          </w:tcPr>
          <w:p w14:paraId="5F43F7CD"/>
        </w:tc>
        <w:tc>
          <w:tcPr>
            <w:tcW w:w="1778" w:type="dxa"/>
            <w:vAlign w:val="center"/>
          </w:tcPr>
          <w:p w14:paraId="11D572F6">
            <w:pPr>
              <w:pStyle w:val="13"/>
            </w:pPr>
            <w:r>
              <w:t>质量指标</w:t>
            </w:r>
          </w:p>
        </w:tc>
        <w:tc>
          <w:tcPr>
            <w:tcW w:w="2623" w:type="dxa"/>
            <w:vAlign w:val="center"/>
          </w:tcPr>
          <w:p w14:paraId="6AA0B09E">
            <w:pPr>
              <w:pStyle w:val="13"/>
            </w:pPr>
            <w:r>
              <w:t>大学新生入学资助制度落实情况</w:t>
            </w:r>
          </w:p>
        </w:tc>
        <w:tc>
          <w:tcPr>
            <w:tcW w:w="3815" w:type="dxa"/>
            <w:vAlign w:val="center"/>
          </w:tcPr>
          <w:p w14:paraId="7BE9586B">
            <w:pPr>
              <w:pStyle w:val="13"/>
            </w:pPr>
            <w:r>
              <w:t>符合享受资助条件的学生应助尽助</w:t>
            </w:r>
          </w:p>
        </w:tc>
        <w:tc>
          <w:tcPr>
            <w:tcW w:w="1104" w:type="dxa"/>
            <w:vAlign w:val="center"/>
          </w:tcPr>
          <w:p w14:paraId="1D5256E7">
            <w:pPr>
              <w:pStyle w:val="13"/>
            </w:pPr>
            <w:r>
              <w:t>≥100%</w:t>
            </w:r>
          </w:p>
        </w:tc>
        <w:tc>
          <w:tcPr>
            <w:tcW w:w="4415" w:type="dxa"/>
            <w:vAlign w:val="center"/>
          </w:tcPr>
          <w:p w14:paraId="34B8654F">
            <w:pPr>
              <w:pStyle w:val="13"/>
            </w:pPr>
            <w:r>
              <w:t>河北省建档立卡家庭经济困难学生资助管理暂行办法</w:t>
            </w:r>
          </w:p>
        </w:tc>
      </w:tr>
      <w:tr w14:paraId="7722D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1" w:type="dxa"/>
            <w:vMerge w:val="continue"/>
            <w:vAlign w:val="center"/>
          </w:tcPr>
          <w:p w14:paraId="0FB7358E"/>
        </w:tc>
        <w:tc>
          <w:tcPr>
            <w:tcW w:w="1778" w:type="dxa"/>
            <w:vAlign w:val="center"/>
          </w:tcPr>
          <w:p w14:paraId="4C044D62">
            <w:pPr>
              <w:pStyle w:val="13"/>
            </w:pPr>
            <w:r>
              <w:t>时效指标</w:t>
            </w:r>
          </w:p>
        </w:tc>
        <w:tc>
          <w:tcPr>
            <w:tcW w:w="2623" w:type="dxa"/>
            <w:vAlign w:val="center"/>
          </w:tcPr>
          <w:p w14:paraId="0B63016E">
            <w:pPr>
              <w:pStyle w:val="13"/>
            </w:pPr>
            <w:r>
              <w:t>资金拨付率</w:t>
            </w:r>
          </w:p>
        </w:tc>
        <w:tc>
          <w:tcPr>
            <w:tcW w:w="3815" w:type="dxa"/>
            <w:vAlign w:val="center"/>
          </w:tcPr>
          <w:p w14:paraId="49DBCDC8">
            <w:pPr>
              <w:pStyle w:val="13"/>
            </w:pPr>
            <w:r>
              <w:t>资助资金支付进度</w:t>
            </w:r>
          </w:p>
        </w:tc>
        <w:tc>
          <w:tcPr>
            <w:tcW w:w="1104" w:type="dxa"/>
            <w:vAlign w:val="center"/>
          </w:tcPr>
          <w:p w14:paraId="0923E394">
            <w:pPr>
              <w:pStyle w:val="13"/>
            </w:pPr>
            <w:r>
              <w:t>≤100%</w:t>
            </w:r>
          </w:p>
        </w:tc>
        <w:tc>
          <w:tcPr>
            <w:tcW w:w="4415" w:type="dxa"/>
            <w:vAlign w:val="center"/>
          </w:tcPr>
          <w:p w14:paraId="55B18650">
            <w:pPr>
              <w:pStyle w:val="13"/>
            </w:pPr>
            <w:r>
              <w:t>河北省建档立卡家庭经济困难学生资助管理暂行办法</w:t>
            </w:r>
          </w:p>
        </w:tc>
      </w:tr>
      <w:tr w14:paraId="3075D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1" w:type="dxa"/>
            <w:vMerge w:val="continue"/>
            <w:vAlign w:val="center"/>
          </w:tcPr>
          <w:p w14:paraId="5D348118"/>
        </w:tc>
        <w:tc>
          <w:tcPr>
            <w:tcW w:w="1778" w:type="dxa"/>
            <w:vAlign w:val="center"/>
          </w:tcPr>
          <w:p w14:paraId="0A6280A5">
            <w:pPr>
              <w:pStyle w:val="13"/>
            </w:pPr>
            <w:r>
              <w:t>成本指标</w:t>
            </w:r>
          </w:p>
        </w:tc>
        <w:tc>
          <w:tcPr>
            <w:tcW w:w="2623" w:type="dxa"/>
            <w:vAlign w:val="center"/>
          </w:tcPr>
          <w:p w14:paraId="4576BAD8">
            <w:pPr>
              <w:pStyle w:val="13"/>
            </w:pPr>
            <w:r>
              <w:t>大学新生入学资助补助标准</w:t>
            </w:r>
          </w:p>
        </w:tc>
        <w:tc>
          <w:tcPr>
            <w:tcW w:w="3815" w:type="dxa"/>
            <w:vAlign w:val="center"/>
          </w:tcPr>
          <w:p w14:paraId="7CC1F588">
            <w:pPr>
              <w:pStyle w:val="13"/>
            </w:pPr>
            <w:r>
              <w:t>2024年一次性补助学生入学省级金额</w:t>
            </w:r>
          </w:p>
        </w:tc>
        <w:tc>
          <w:tcPr>
            <w:tcW w:w="1104" w:type="dxa"/>
            <w:vAlign w:val="center"/>
          </w:tcPr>
          <w:p w14:paraId="0FE2871F">
            <w:pPr>
              <w:pStyle w:val="13"/>
            </w:pPr>
            <w:r>
              <w:t>20000 元</w:t>
            </w:r>
          </w:p>
        </w:tc>
        <w:tc>
          <w:tcPr>
            <w:tcW w:w="4415" w:type="dxa"/>
            <w:vAlign w:val="center"/>
          </w:tcPr>
          <w:p w14:paraId="3E5C7B40">
            <w:pPr>
              <w:pStyle w:val="13"/>
            </w:pPr>
            <w:r>
              <w:t>河北省建档立卡家庭经济困难学生资助管理暂行办法</w:t>
            </w:r>
          </w:p>
        </w:tc>
      </w:tr>
      <w:tr w14:paraId="4657F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1" w:type="dxa"/>
            <w:vAlign w:val="center"/>
          </w:tcPr>
          <w:p w14:paraId="23A0B5A4">
            <w:pPr>
              <w:pStyle w:val="12"/>
            </w:pPr>
            <w:r>
              <w:t>效益指标</w:t>
            </w:r>
          </w:p>
        </w:tc>
        <w:tc>
          <w:tcPr>
            <w:tcW w:w="1778" w:type="dxa"/>
            <w:vAlign w:val="center"/>
          </w:tcPr>
          <w:p w14:paraId="4628D878">
            <w:pPr>
              <w:pStyle w:val="13"/>
            </w:pPr>
            <w:r>
              <w:t>可持续影响指标</w:t>
            </w:r>
          </w:p>
        </w:tc>
        <w:tc>
          <w:tcPr>
            <w:tcW w:w="2623" w:type="dxa"/>
            <w:vAlign w:val="center"/>
          </w:tcPr>
          <w:p w14:paraId="0CB83364">
            <w:pPr>
              <w:pStyle w:val="13"/>
            </w:pPr>
            <w:r>
              <w:t xml:space="preserve"> 项目实施时间</w:t>
            </w:r>
          </w:p>
        </w:tc>
        <w:tc>
          <w:tcPr>
            <w:tcW w:w="3815" w:type="dxa"/>
            <w:vAlign w:val="center"/>
          </w:tcPr>
          <w:p w14:paraId="000F23DD">
            <w:pPr>
              <w:pStyle w:val="13"/>
            </w:pPr>
            <w:r>
              <w:t xml:space="preserve"> 大学生新生入学资助时间</w:t>
            </w:r>
          </w:p>
        </w:tc>
        <w:tc>
          <w:tcPr>
            <w:tcW w:w="1104" w:type="dxa"/>
            <w:vAlign w:val="center"/>
          </w:tcPr>
          <w:p w14:paraId="23F5AE75">
            <w:pPr>
              <w:pStyle w:val="13"/>
            </w:pPr>
            <w:r>
              <w:t>≤1年</w:t>
            </w:r>
          </w:p>
        </w:tc>
        <w:tc>
          <w:tcPr>
            <w:tcW w:w="4415" w:type="dxa"/>
            <w:vAlign w:val="center"/>
          </w:tcPr>
          <w:p w14:paraId="5FF3E917">
            <w:pPr>
              <w:pStyle w:val="13"/>
            </w:pPr>
            <w:r>
              <w:t>河北省建档立卡家庭经济困难学生资助管理暂行办法</w:t>
            </w:r>
          </w:p>
        </w:tc>
      </w:tr>
      <w:tr w14:paraId="78EED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890" w:hRule="atLeast"/>
          <w:jc w:val="center"/>
        </w:trPr>
        <w:tc>
          <w:tcPr>
            <w:tcW w:w="1551" w:type="dxa"/>
            <w:vAlign w:val="center"/>
          </w:tcPr>
          <w:p w14:paraId="1C6181B5">
            <w:pPr>
              <w:pStyle w:val="12"/>
            </w:pPr>
            <w:r>
              <w:t>满意度指标</w:t>
            </w:r>
          </w:p>
        </w:tc>
        <w:tc>
          <w:tcPr>
            <w:tcW w:w="1778" w:type="dxa"/>
            <w:vAlign w:val="center"/>
          </w:tcPr>
          <w:p w14:paraId="35B901E4">
            <w:pPr>
              <w:pStyle w:val="13"/>
            </w:pPr>
            <w:r>
              <w:t>服务对象满意度指标</w:t>
            </w:r>
          </w:p>
        </w:tc>
        <w:tc>
          <w:tcPr>
            <w:tcW w:w="2623" w:type="dxa"/>
            <w:vAlign w:val="center"/>
          </w:tcPr>
          <w:p w14:paraId="64FBB884">
            <w:pPr>
              <w:pStyle w:val="13"/>
            </w:pPr>
            <w:r>
              <w:t>受益学生家长及调查满意度</w:t>
            </w:r>
          </w:p>
        </w:tc>
        <w:tc>
          <w:tcPr>
            <w:tcW w:w="3815" w:type="dxa"/>
            <w:vAlign w:val="center"/>
          </w:tcPr>
          <w:p w14:paraId="0111BE40">
            <w:pPr>
              <w:pStyle w:val="13"/>
            </w:pPr>
            <w:r>
              <w:t>学生、教师及家长对学校资助工作满意度情况</w:t>
            </w:r>
          </w:p>
        </w:tc>
        <w:tc>
          <w:tcPr>
            <w:tcW w:w="1104" w:type="dxa"/>
            <w:vAlign w:val="center"/>
          </w:tcPr>
          <w:p w14:paraId="71876EBD">
            <w:pPr>
              <w:pStyle w:val="13"/>
            </w:pPr>
            <w:r>
              <w:t>≥95%</w:t>
            </w:r>
          </w:p>
        </w:tc>
        <w:tc>
          <w:tcPr>
            <w:tcW w:w="4415" w:type="dxa"/>
            <w:vAlign w:val="center"/>
          </w:tcPr>
          <w:p w14:paraId="479C82A9">
            <w:pPr>
              <w:pStyle w:val="13"/>
            </w:pPr>
            <w:r>
              <w:t>调查问卷</w:t>
            </w:r>
          </w:p>
        </w:tc>
      </w:tr>
    </w:tbl>
    <w:p w14:paraId="2876ECB1">
      <w:pPr>
        <w:sectPr>
          <w:pgSz w:w="16840" w:h="11900" w:orient="landscape"/>
          <w:pgMar w:top="1361" w:right="1020" w:bottom="1134" w:left="1020" w:header="720" w:footer="720" w:gutter="0"/>
          <w:cols w:space="720" w:num="1"/>
        </w:sectPr>
      </w:pPr>
    </w:p>
    <w:p w14:paraId="4BEAABCF">
      <w:pPr>
        <w:spacing w:before="0" w:after="0"/>
        <w:ind w:firstLine="560"/>
        <w:jc w:val="left"/>
        <w:outlineLvl w:val="9"/>
      </w:pPr>
      <w:r>
        <w:rPr>
          <w:rFonts w:ascii="方正仿宋_GBK" w:hAnsi="方正仿宋_GBK" w:eastAsia="方正仿宋_GBK" w:cs="方正仿宋_GBK"/>
          <w:b/>
          <w:color w:val="000000"/>
          <w:sz w:val="28"/>
        </w:rPr>
        <w:t>37、冀财教[2024]136号/省级/2025年职教发展/中职免学费（东方中职）绩效目标表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9D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99837">
            <w:pPr>
              <w:pStyle w:val="14"/>
            </w:pPr>
            <w:r>
              <w:t>单位：万元</w:t>
            </w:r>
          </w:p>
        </w:tc>
      </w:tr>
      <w:tr w14:paraId="5D500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7C8D5">
            <w:pPr>
              <w:pStyle w:val="11"/>
            </w:pPr>
            <w:r>
              <w:t>项目编码</w:t>
            </w:r>
          </w:p>
        </w:tc>
        <w:tc>
          <w:tcPr>
            <w:tcW w:w="5103" w:type="dxa"/>
            <w:gridSpan w:val="2"/>
            <w:vAlign w:val="center"/>
          </w:tcPr>
          <w:p w14:paraId="7B681B54">
            <w:pPr>
              <w:pStyle w:val="13"/>
            </w:pPr>
            <w:r>
              <w:t>13052525P00001410013X</w:t>
            </w:r>
          </w:p>
        </w:tc>
        <w:tc>
          <w:tcPr>
            <w:tcW w:w="2835" w:type="dxa"/>
            <w:vAlign w:val="center"/>
          </w:tcPr>
          <w:p w14:paraId="47D252B7">
            <w:pPr>
              <w:pStyle w:val="11"/>
            </w:pPr>
            <w:r>
              <w:t>项目名称</w:t>
            </w:r>
          </w:p>
        </w:tc>
        <w:tc>
          <w:tcPr>
            <w:tcW w:w="6095" w:type="dxa"/>
            <w:gridSpan w:val="3"/>
            <w:vAlign w:val="center"/>
          </w:tcPr>
          <w:p w14:paraId="241256DC">
            <w:pPr>
              <w:pStyle w:val="13"/>
            </w:pPr>
            <w:r>
              <w:t>冀财教[2024]136号/省级/2025年职教发展/中职免学费（东方中职）</w:t>
            </w:r>
          </w:p>
        </w:tc>
      </w:tr>
      <w:tr w14:paraId="51C21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76C36">
            <w:pPr>
              <w:pStyle w:val="11"/>
            </w:pPr>
            <w:r>
              <w:t>预算规模及资金用途</w:t>
            </w:r>
          </w:p>
        </w:tc>
        <w:tc>
          <w:tcPr>
            <w:tcW w:w="2268" w:type="dxa"/>
            <w:vAlign w:val="center"/>
          </w:tcPr>
          <w:p w14:paraId="4434217C">
            <w:pPr>
              <w:pStyle w:val="11"/>
            </w:pPr>
            <w:r>
              <w:t>预算数</w:t>
            </w:r>
          </w:p>
        </w:tc>
        <w:tc>
          <w:tcPr>
            <w:tcW w:w="2835" w:type="dxa"/>
            <w:vAlign w:val="center"/>
          </w:tcPr>
          <w:p w14:paraId="6590CD57">
            <w:pPr>
              <w:pStyle w:val="13"/>
            </w:pPr>
            <w:r>
              <w:t>3.00</w:t>
            </w:r>
          </w:p>
        </w:tc>
        <w:tc>
          <w:tcPr>
            <w:tcW w:w="2835" w:type="dxa"/>
            <w:vAlign w:val="center"/>
          </w:tcPr>
          <w:p w14:paraId="1D06A98C">
            <w:pPr>
              <w:pStyle w:val="11"/>
            </w:pPr>
            <w:r>
              <w:t>其中：财政    资金</w:t>
            </w:r>
          </w:p>
        </w:tc>
        <w:tc>
          <w:tcPr>
            <w:tcW w:w="2551" w:type="dxa"/>
            <w:vAlign w:val="center"/>
          </w:tcPr>
          <w:p w14:paraId="5B35F9D4">
            <w:pPr>
              <w:pStyle w:val="13"/>
            </w:pPr>
            <w:r>
              <w:t>3.00</w:t>
            </w:r>
          </w:p>
        </w:tc>
        <w:tc>
          <w:tcPr>
            <w:tcW w:w="2268" w:type="dxa"/>
            <w:vAlign w:val="center"/>
          </w:tcPr>
          <w:p w14:paraId="40679AB1">
            <w:pPr>
              <w:pStyle w:val="11"/>
            </w:pPr>
            <w:r>
              <w:t>其他资金</w:t>
            </w:r>
          </w:p>
        </w:tc>
        <w:tc>
          <w:tcPr>
            <w:tcW w:w="1276" w:type="dxa"/>
            <w:vAlign w:val="center"/>
          </w:tcPr>
          <w:p w14:paraId="10AC7D25">
            <w:pPr>
              <w:pStyle w:val="13"/>
            </w:pPr>
            <w:r>
              <w:t xml:space="preserve"> </w:t>
            </w:r>
          </w:p>
        </w:tc>
      </w:tr>
      <w:tr w14:paraId="36E802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352032"/>
        </w:tc>
        <w:tc>
          <w:tcPr>
            <w:tcW w:w="14033" w:type="dxa"/>
            <w:gridSpan w:val="6"/>
            <w:vAlign w:val="center"/>
          </w:tcPr>
          <w:p w14:paraId="4CB9E6EE">
            <w:pPr>
              <w:pStyle w:val="13"/>
            </w:pPr>
            <w:r>
              <w:t>省级安排中职免学费3万元，用于弥补中职涉农及其他专业贫困生免除学费后的经费不足。</w:t>
            </w:r>
            <w:r>
              <w:tab/>
            </w:r>
            <w:r>
              <w:tab/>
            </w:r>
            <w:r>
              <w:tab/>
            </w:r>
            <w:r>
              <w:tab/>
            </w:r>
            <w:r>
              <w:tab/>
            </w:r>
            <w:r>
              <w:tab/>
            </w:r>
          </w:p>
          <w:p w14:paraId="6AA83D06">
            <w:pPr>
              <w:pStyle w:val="13"/>
            </w:pPr>
          </w:p>
        </w:tc>
      </w:tr>
      <w:tr w14:paraId="57BA2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F68AD">
            <w:pPr>
              <w:pStyle w:val="11"/>
            </w:pPr>
            <w:r>
              <w:t>资金支出计划（%）</w:t>
            </w:r>
          </w:p>
        </w:tc>
        <w:tc>
          <w:tcPr>
            <w:tcW w:w="5103" w:type="dxa"/>
            <w:gridSpan w:val="2"/>
            <w:vAlign w:val="center"/>
          </w:tcPr>
          <w:p w14:paraId="56E58E6D">
            <w:pPr>
              <w:pStyle w:val="11"/>
            </w:pPr>
            <w:r>
              <w:t>3月底</w:t>
            </w:r>
          </w:p>
        </w:tc>
        <w:tc>
          <w:tcPr>
            <w:tcW w:w="2835" w:type="dxa"/>
            <w:vAlign w:val="center"/>
          </w:tcPr>
          <w:p w14:paraId="20D6148C">
            <w:pPr>
              <w:pStyle w:val="11"/>
            </w:pPr>
            <w:r>
              <w:t>6月底</w:t>
            </w:r>
          </w:p>
        </w:tc>
        <w:tc>
          <w:tcPr>
            <w:tcW w:w="2551" w:type="dxa"/>
            <w:vAlign w:val="center"/>
          </w:tcPr>
          <w:p w14:paraId="63892626">
            <w:pPr>
              <w:pStyle w:val="11"/>
            </w:pPr>
            <w:r>
              <w:t>10月底</w:t>
            </w:r>
          </w:p>
        </w:tc>
        <w:tc>
          <w:tcPr>
            <w:tcW w:w="3544" w:type="dxa"/>
            <w:gridSpan w:val="2"/>
            <w:vAlign w:val="center"/>
          </w:tcPr>
          <w:p w14:paraId="08063144">
            <w:pPr>
              <w:pStyle w:val="11"/>
            </w:pPr>
            <w:r>
              <w:t>12月底</w:t>
            </w:r>
          </w:p>
        </w:tc>
      </w:tr>
      <w:tr w14:paraId="573E3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E16F81"/>
        </w:tc>
        <w:tc>
          <w:tcPr>
            <w:tcW w:w="5103" w:type="dxa"/>
            <w:gridSpan w:val="2"/>
            <w:vAlign w:val="center"/>
          </w:tcPr>
          <w:p w14:paraId="5E5F21CF">
            <w:pPr>
              <w:pStyle w:val="12"/>
            </w:pPr>
            <w:r>
              <w:t xml:space="preserve"> </w:t>
            </w:r>
          </w:p>
        </w:tc>
        <w:tc>
          <w:tcPr>
            <w:tcW w:w="2835" w:type="dxa"/>
            <w:vAlign w:val="center"/>
          </w:tcPr>
          <w:p w14:paraId="2B5FF983">
            <w:pPr>
              <w:pStyle w:val="12"/>
            </w:pPr>
            <w:r>
              <w:t>50%</w:t>
            </w:r>
          </w:p>
        </w:tc>
        <w:tc>
          <w:tcPr>
            <w:tcW w:w="2551" w:type="dxa"/>
            <w:vAlign w:val="center"/>
          </w:tcPr>
          <w:p w14:paraId="1C3BF428">
            <w:pPr>
              <w:pStyle w:val="12"/>
            </w:pPr>
            <w:r>
              <w:t>75%</w:t>
            </w:r>
          </w:p>
        </w:tc>
        <w:tc>
          <w:tcPr>
            <w:tcW w:w="3544" w:type="dxa"/>
            <w:gridSpan w:val="2"/>
            <w:vAlign w:val="center"/>
          </w:tcPr>
          <w:p w14:paraId="47B03AD4">
            <w:pPr>
              <w:pStyle w:val="12"/>
            </w:pPr>
            <w:r>
              <w:t>100%</w:t>
            </w:r>
          </w:p>
        </w:tc>
      </w:tr>
      <w:tr w14:paraId="4B2A8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9B6F8C">
            <w:pPr>
              <w:pStyle w:val="11"/>
            </w:pPr>
            <w:r>
              <w:t>绩效目标</w:t>
            </w:r>
          </w:p>
        </w:tc>
        <w:tc>
          <w:tcPr>
            <w:tcW w:w="14033" w:type="dxa"/>
            <w:gridSpan w:val="6"/>
            <w:vAlign w:val="center"/>
          </w:tcPr>
          <w:p w14:paraId="469F3F36">
            <w:pPr>
              <w:pStyle w:val="13"/>
            </w:pPr>
            <w:r>
              <w:t>1.省级安排中职免学费3万元，用于弥补中职涉农及其他专业贫困生免除学费后的经费不足。</w:t>
            </w:r>
          </w:p>
        </w:tc>
      </w:tr>
    </w:tbl>
    <w:p w14:paraId="3D56BE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6C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D67F4">
            <w:pPr>
              <w:pStyle w:val="11"/>
            </w:pPr>
            <w:r>
              <w:t>一级指标</w:t>
            </w:r>
          </w:p>
        </w:tc>
        <w:tc>
          <w:tcPr>
            <w:tcW w:w="2268" w:type="dxa"/>
            <w:vAlign w:val="center"/>
          </w:tcPr>
          <w:p w14:paraId="20447B01">
            <w:pPr>
              <w:pStyle w:val="11"/>
            </w:pPr>
            <w:r>
              <w:t>二级指标</w:t>
            </w:r>
          </w:p>
        </w:tc>
        <w:tc>
          <w:tcPr>
            <w:tcW w:w="2835" w:type="dxa"/>
            <w:vAlign w:val="center"/>
          </w:tcPr>
          <w:p w14:paraId="02FF6C0E">
            <w:pPr>
              <w:pStyle w:val="11"/>
            </w:pPr>
            <w:r>
              <w:t>三级指标</w:t>
            </w:r>
          </w:p>
        </w:tc>
        <w:tc>
          <w:tcPr>
            <w:tcW w:w="5386" w:type="dxa"/>
            <w:vAlign w:val="center"/>
          </w:tcPr>
          <w:p w14:paraId="2259C13A">
            <w:pPr>
              <w:pStyle w:val="11"/>
            </w:pPr>
            <w:r>
              <w:t>绩效指标描述</w:t>
            </w:r>
          </w:p>
        </w:tc>
        <w:tc>
          <w:tcPr>
            <w:tcW w:w="2268" w:type="dxa"/>
            <w:vAlign w:val="center"/>
          </w:tcPr>
          <w:p w14:paraId="65EB15B8">
            <w:pPr>
              <w:pStyle w:val="11"/>
            </w:pPr>
            <w:r>
              <w:t>指标值</w:t>
            </w:r>
          </w:p>
        </w:tc>
        <w:tc>
          <w:tcPr>
            <w:tcW w:w="1276" w:type="dxa"/>
            <w:vAlign w:val="center"/>
          </w:tcPr>
          <w:p w14:paraId="37BD05D7">
            <w:pPr>
              <w:pStyle w:val="11"/>
            </w:pPr>
            <w:r>
              <w:t>指标值确定依据</w:t>
            </w:r>
          </w:p>
        </w:tc>
      </w:tr>
      <w:tr w14:paraId="16D9F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EDAC7">
            <w:pPr>
              <w:pStyle w:val="12"/>
            </w:pPr>
            <w:r>
              <w:t>产出指标</w:t>
            </w:r>
          </w:p>
        </w:tc>
        <w:tc>
          <w:tcPr>
            <w:tcW w:w="2268" w:type="dxa"/>
            <w:vAlign w:val="center"/>
          </w:tcPr>
          <w:p w14:paraId="0FEBAEB8">
            <w:pPr>
              <w:pStyle w:val="13"/>
            </w:pPr>
            <w:r>
              <w:t>数量指标</w:t>
            </w:r>
          </w:p>
        </w:tc>
        <w:tc>
          <w:tcPr>
            <w:tcW w:w="2835" w:type="dxa"/>
            <w:vAlign w:val="center"/>
          </w:tcPr>
          <w:p w14:paraId="53FEB8AB">
            <w:pPr>
              <w:pStyle w:val="13"/>
            </w:pPr>
            <w:r>
              <w:t>免学费补助人数</w:t>
            </w:r>
          </w:p>
        </w:tc>
        <w:tc>
          <w:tcPr>
            <w:tcW w:w="5386" w:type="dxa"/>
            <w:vAlign w:val="center"/>
          </w:tcPr>
          <w:p w14:paraId="4303330A">
            <w:pPr>
              <w:pStyle w:val="13"/>
            </w:pPr>
            <w:r>
              <w:t>免学费补助人数</w:t>
            </w:r>
          </w:p>
        </w:tc>
        <w:tc>
          <w:tcPr>
            <w:tcW w:w="2268" w:type="dxa"/>
            <w:vAlign w:val="center"/>
          </w:tcPr>
          <w:p w14:paraId="37DED5FF">
            <w:pPr>
              <w:pStyle w:val="13"/>
            </w:pPr>
            <w:r>
              <w:t>76人</w:t>
            </w:r>
          </w:p>
        </w:tc>
        <w:tc>
          <w:tcPr>
            <w:tcW w:w="1276" w:type="dxa"/>
            <w:vAlign w:val="center"/>
          </w:tcPr>
          <w:p w14:paraId="2E631BB6">
            <w:pPr>
              <w:pStyle w:val="13"/>
            </w:pPr>
            <w:r>
              <w:t>2025年度预算</w:t>
            </w:r>
          </w:p>
        </w:tc>
      </w:tr>
      <w:tr w14:paraId="1FECD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1FCCE"/>
        </w:tc>
        <w:tc>
          <w:tcPr>
            <w:tcW w:w="2268" w:type="dxa"/>
            <w:vAlign w:val="center"/>
          </w:tcPr>
          <w:p w14:paraId="707549C0">
            <w:pPr>
              <w:pStyle w:val="13"/>
            </w:pPr>
            <w:r>
              <w:t>质量指标</w:t>
            </w:r>
          </w:p>
        </w:tc>
        <w:tc>
          <w:tcPr>
            <w:tcW w:w="2835" w:type="dxa"/>
            <w:vAlign w:val="center"/>
          </w:tcPr>
          <w:p w14:paraId="299E39C1">
            <w:pPr>
              <w:pStyle w:val="13"/>
            </w:pPr>
            <w:r>
              <w:t>免学费全覆盖</w:t>
            </w:r>
          </w:p>
        </w:tc>
        <w:tc>
          <w:tcPr>
            <w:tcW w:w="5386" w:type="dxa"/>
            <w:vAlign w:val="center"/>
          </w:tcPr>
          <w:p w14:paraId="42D52835">
            <w:pPr>
              <w:pStyle w:val="13"/>
            </w:pPr>
            <w:r>
              <w:t>免学费一、二、三年级中职生</w:t>
            </w:r>
          </w:p>
        </w:tc>
        <w:tc>
          <w:tcPr>
            <w:tcW w:w="2268" w:type="dxa"/>
            <w:vAlign w:val="center"/>
          </w:tcPr>
          <w:p w14:paraId="75B1024C">
            <w:pPr>
              <w:pStyle w:val="13"/>
            </w:pPr>
            <w:r>
              <w:t>≥100%</w:t>
            </w:r>
          </w:p>
        </w:tc>
        <w:tc>
          <w:tcPr>
            <w:tcW w:w="1276" w:type="dxa"/>
            <w:vAlign w:val="center"/>
          </w:tcPr>
          <w:p w14:paraId="00A9BD10">
            <w:pPr>
              <w:pStyle w:val="13"/>
            </w:pPr>
            <w:r>
              <w:t>隆尧县中职免学费管理办法</w:t>
            </w:r>
          </w:p>
        </w:tc>
      </w:tr>
      <w:tr w14:paraId="4F020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3773B"/>
        </w:tc>
        <w:tc>
          <w:tcPr>
            <w:tcW w:w="2268" w:type="dxa"/>
            <w:vAlign w:val="center"/>
          </w:tcPr>
          <w:p w14:paraId="56D13907">
            <w:pPr>
              <w:pStyle w:val="13"/>
            </w:pPr>
            <w:r>
              <w:t>时效指标</w:t>
            </w:r>
          </w:p>
        </w:tc>
        <w:tc>
          <w:tcPr>
            <w:tcW w:w="2835" w:type="dxa"/>
            <w:vAlign w:val="center"/>
          </w:tcPr>
          <w:p w14:paraId="5990AB59">
            <w:pPr>
              <w:pStyle w:val="13"/>
            </w:pPr>
            <w:r>
              <w:t>免学费经费拨付率</w:t>
            </w:r>
          </w:p>
        </w:tc>
        <w:tc>
          <w:tcPr>
            <w:tcW w:w="5386" w:type="dxa"/>
            <w:vAlign w:val="center"/>
          </w:tcPr>
          <w:p w14:paraId="2FE9CF14">
            <w:pPr>
              <w:pStyle w:val="13"/>
            </w:pPr>
            <w:r>
              <w:t>免学费经费及时拨付到位率</w:t>
            </w:r>
          </w:p>
        </w:tc>
        <w:tc>
          <w:tcPr>
            <w:tcW w:w="2268" w:type="dxa"/>
            <w:vAlign w:val="center"/>
          </w:tcPr>
          <w:p w14:paraId="3C78EB57">
            <w:pPr>
              <w:pStyle w:val="13"/>
            </w:pPr>
            <w:r>
              <w:t>≥100%</w:t>
            </w:r>
          </w:p>
        </w:tc>
        <w:tc>
          <w:tcPr>
            <w:tcW w:w="1276" w:type="dxa"/>
            <w:vAlign w:val="center"/>
          </w:tcPr>
          <w:p w14:paraId="684C66CF">
            <w:pPr>
              <w:pStyle w:val="13"/>
            </w:pPr>
            <w:r>
              <w:t>隆尧县中职免学费管理办法</w:t>
            </w:r>
          </w:p>
        </w:tc>
      </w:tr>
      <w:tr w14:paraId="3D23A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BA0F4"/>
        </w:tc>
        <w:tc>
          <w:tcPr>
            <w:tcW w:w="2268" w:type="dxa"/>
            <w:vAlign w:val="center"/>
          </w:tcPr>
          <w:p w14:paraId="44997FC4">
            <w:pPr>
              <w:pStyle w:val="13"/>
            </w:pPr>
            <w:r>
              <w:t>成本指标</w:t>
            </w:r>
          </w:p>
        </w:tc>
        <w:tc>
          <w:tcPr>
            <w:tcW w:w="2835" w:type="dxa"/>
            <w:vAlign w:val="center"/>
          </w:tcPr>
          <w:p w14:paraId="2A8A97D7">
            <w:pPr>
              <w:pStyle w:val="13"/>
            </w:pPr>
            <w:r>
              <w:t>中职学校免学费补助标准</w:t>
            </w:r>
          </w:p>
        </w:tc>
        <w:tc>
          <w:tcPr>
            <w:tcW w:w="5386" w:type="dxa"/>
            <w:vAlign w:val="center"/>
          </w:tcPr>
          <w:p w14:paraId="0C650675">
            <w:pPr>
              <w:pStyle w:val="13"/>
            </w:pPr>
            <w:r>
              <w:t>中职学校免学费补助标准</w:t>
            </w:r>
          </w:p>
        </w:tc>
        <w:tc>
          <w:tcPr>
            <w:tcW w:w="2268" w:type="dxa"/>
            <w:vAlign w:val="center"/>
          </w:tcPr>
          <w:p w14:paraId="171ECC40">
            <w:pPr>
              <w:pStyle w:val="13"/>
            </w:pPr>
            <w:r>
              <w:t>2000元/生/年</w:t>
            </w:r>
          </w:p>
        </w:tc>
        <w:tc>
          <w:tcPr>
            <w:tcW w:w="1276" w:type="dxa"/>
            <w:vAlign w:val="center"/>
          </w:tcPr>
          <w:p w14:paraId="657D6A97">
            <w:pPr>
              <w:pStyle w:val="13"/>
            </w:pPr>
            <w:r>
              <w:t>隆尧县中职免学费管理办法</w:t>
            </w:r>
          </w:p>
        </w:tc>
      </w:tr>
      <w:tr w14:paraId="0C1A1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DD4AE">
            <w:pPr>
              <w:pStyle w:val="12"/>
            </w:pPr>
            <w:r>
              <w:t>效益指标</w:t>
            </w:r>
          </w:p>
        </w:tc>
        <w:tc>
          <w:tcPr>
            <w:tcW w:w="2268" w:type="dxa"/>
            <w:vAlign w:val="center"/>
          </w:tcPr>
          <w:p w14:paraId="2DE3DA0C">
            <w:pPr>
              <w:pStyle w:val="13"/>
            </w:pPr>
            <w:r>
              <w:t>可持续影响指标</w:t>
            </w:r>
          </w:p>
        </w:tc>
        <w:tc>
          <w:tcPr>
            <w:tcW w:w="2835" w:type="dxa"/>
            <w:vAlign w:val="center"/>
          </w:tcPr>
          <w:p w14:paraId="0F27EB94">
            <w:pPr>
              <w:pStyle w:val="13"/>
            </w:pPr>
            <w:r>
              <w:t>中职运转</w:t>
            </w:r>
          </w:p>
        </w:tc>
        <w:tc>
          <w:tcPr>
            <w:tcW w:w="5386" w:type="dxa"/>
            <w:vAlign w:val="center"/>
          </w:tcPr>
          <w:p w14:paraId="2F222A66">
            <w:pPr>
              <w:pStyle w:val="13"/>
            </w:pPr>
            <w:r>
              <w:t>高中受教育年限</w:t>
            </w:r>
          </w:p>
        </w:tc>
        <w:tc>
          <w:tcPr>
            <w:tcW w:w="2268" w:type="dxa"/>
            <w:vAlign w:val="center"/>
          </w:tcPr>
          <w:p w14:paraId="151A3D8F">
            <w:pPr>
              <w:pStyle w:val="13"/>
            </w:pPr>
            <w:r>
              <w:t>3年</w:t>
            </w:r>
          </w:p>
        </w:tc>
        <w:tc>
          <w:tcPr>
            <w:tcW w:w="1276" w:type="dxa"/>
            <w:vAlign w:val="center"/>
          </w:tcPr>
          <w:p w14:paraId="29A8F97E">
            <w:pPr>
              <w:pStyle w:val="13"/>
            </w:pPr>
            <w:r>
              <w:t>隆尧县中职免学费管理办法</w:t>
            </w:r>
          </w:p>
        </w:tc>
      </w:tr>
      <w:tr w14:paraId="5B320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F39E41">
            <w:pPr>
              <w:pStyle w:val="12"/>
            </w:pPr>
            <w:r>
              <w:t>满意度指标</w:t>
            </w:r>
          </w:p>
        </w:tc>
        <w:tc>
          <w:tcPr>
            <w:tcW w:w="2268" w:type="dxa"/>
            <w:vAlign w:val="center"/>
          </w:tcPr>
          <w:p w14:paraId="476C0AE9">
            <w:pPr>
              <w:pStyle w:val="13"/>
            </w:pPr>
            <w:r>
              <w:t>服务对象满意度指标</w:t>
            </w:r>
          </w:p>
        </w:tc>
        <w:tc>
          <w:tcPr>
            <w:tcW w:w="2835" w:type="dxa"/>
            <w:vAlign w:val="center"/>
          </w:tcPr>
          <w:p w14:paraId="7CC59829">
            <w:pPr>
              <w:pStyle w:val="13"/>
            </w:pPr>
            <w:r>
              <w:t>提升幸福指数</w:t>
            </w:r>
          </w:p>
        </w:tc>
        <w:tc>
          <w:tcPr>
            <w:tcW w:w="5386" w:type="dxa"/>
            <w:vAlign w:val="center"/>
          </w:tcPr>
          <w:p w14:paraId="3CCF4723">
            <w:pPr>
              <w:pStyle w:val="13"/>
            </w:pPr>
            <w:r>
              <w:t>提升贫困家庭学生的幸福指数学生家长满意</w:t>
            </w:r>
          </w:p>
        </w:tc>
        <w:tc>
          <w:tcPr>
            <w:tcW w:w="2268" w:type="dxa"/>
            <w:vAlign w:val="center"/>
          </w:tcPr>
          <w:p w14:paraId="3E515676">
            <w:pPr>
              <w:pStyle w:val="13"/>
            </w:pPr>
            <w:r>
              <w:t>≥95%</w:t>
            </w:r>
          </w:p>
        </w:tc>
        <w:tc>
          <w:tcPr>
            <w:tcW w:w="1276" w:type="dxa"/>
            <w:vAlign w:val="center"/>
          </w:tcPr>
          <w:p w14:paraId="7C62BAA1">
            <w:pPr>
              <w:pStyle w:val="13"/>
            </w:pPr>
            <w:r>
              <w:rPr>
                <w:sz w:val="15"/>
                <w:szCs w:val="15"/>
              </w:rPr>
              <w:t>隆尧县中职免学费管理</w:t>
            </w:r>
            <w:r>
              <w:rPr>
                <w:rFonts w:hint="eastAsia"/>
                <w:sz w:val="15"/>
                <w:szCs w:val="15"/>
                <w:lang w:val="en-US" w:eastAsia="zh-CN"/>
              </w:rPr>
              <w:t>办</w:t>
            </w:r>
            <w:r>
              <w:rPr>
                <w:sz w:val="15"/>
                <w:szCs w:val="15"/>
              </w:rPr>
              <w:t>法</w:t>
            </w:r>
          </w:p>
        </w:tc>
      </w:tr>
    </w:tbl>
    <w:p w14:paraId="2390E716">
      <w:pPr>
        <w:sectPr>
          <w:pgSz w:w="16840" w:h="11900" w:orient="landscape"/>
          <w:pgMar w:top="1361" w:right="1020" w:bottom="1134" w:left="1020" w:header="720" w:footer="720" w:gutter="0"/>
          <w:cols w:space="720" w:num="1"/>
        </w:sectPr>
      </w:pPr>
    </w:p>
    <w:p w14:paraId="56D7D925">
      <w:pPr>
        <w:spacing w:before="0" w:after="0"/>
        <w:ind w:firstLine="560"/>
        <w:jc w:val="left"/>
        <w:outlineLvl w:val="9"/>
      </w:pPr>
      <w:r>
        <w:rPr>
          <w:rFonts w:ascii="方正仿宋_GBK" w:hAnsi="方正仿宋_GBK" w:eastAsia="方正仿宋_GBK" w:cs="方正仿宋_GBK"/>
          <w:b/>
          <w:color w:val="000000"/>
          <w:sz w:val="28"/>
        </w:rPr>
        <w:t>38、冀财教[2024]136号/省级/2025年职教发展/中职免学费（文茂中学）绩效目标表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18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B5C82">
            <w:pPr>
              <w:pStyle w:val="14"/>
            </w:pPr>
            <w:r>
              <w:t>单位：万元</w:t>
            </w:r>
          </w:p>
        </w:tc>
      </w:tr>
      <w:tr w14:paraId="3FCBC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71C185">
            <w:pPr>
              <w:pStyle w:val="11"/>
            </w:pPr>
            <w:r>
              <w:t>项目编码</w:t>
            </w:r>
          </w:p>
        </w:tc>
        <w:tc>
          <w:tcPr>
            <w:tcW w:w="5103" w:type="dxa"/>
            <w:gridSpan w:val="2"/>
            <w:vAlign w:val="center"/>
          </w:tcPr>
          <w:p w14:paraId="022CCDA8">
            <w:pPr>
              <w:pStyle w:val="13"/>
            </w:pPr>
            <w:r>
              <w:t>13052525P00001410014H</w:t>
            </w:r>
          </w:p>
        </w:tc>
        <w:tc>
          <w:tcPr>
            <w:tcW w:w="2835" w:type="dxa"/>
            <w:vAlign w:val="center"/>
          </w:tcPr>
          <w:p w14:paraId="28E55838">
            <w:pPr>
              <w:pStyle w:val="11"/>
            </w:pPr>
            <w:r>
              <w:t>项目名称</w:t>
            </w:r>
          </w:p>
        </w:tc>
        <w:tc>
          <w:tcPr>
            <w:tcW w:w="6095" w:type="dxa"/>
            <w:gridSpan w:val="3"/>
            <w:vAlign w:val="center"/>
          </w:tcPr>
          <w:p w14:paraId="3E27351F">
            <w:pPr>
              <w:pStyle w:val="13"/>
            </w:pPr>
            <w:r>
              <w:t>冀财教[2024]136号/省级/2025年职教发展/中职免学费（文茂中学）</w:t>
            </w:r>
          </w:p>
        </w:tc>
      </w:tr>
      <w:tr w14:paraId="10AC0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97E4A">
            <w:pPr>
              <w:pStyle w:val="11"/>
            </w:pPr>
            <w:r>
              <w:t>预算规模及资金用途</w:t>
            </w:r>
          </w:p>
        </w:tc>
        <w:tc>
          <w:tcPr>
            <w:tcW w:w="2268" w:type="dxa"/>
            <w:vAlign w:val="center"/>
          </w:tcPr>
          <w:p w14:paraId="194F1072">
            <w:pPr>
              <w:pStyle w:val="11"/>
            </w:pPr>
            <w:r>
              <w:t>预算数</w:t>
            </w:r>
          </w:p>
        </w:tc>
        <w:tc>
          <w:tcPr>
            <w:tcW w:w="2835" w:type="dxa"/>
            <w:vAlign w:val="center"/>
          </w:tcPr>
          <w:p w14:paraId="3A91B923">
            <w:pPr>
              <w:pStyle w:val="13"/>
            </w:pPr>
            <w:r>
              <w:t>12.00</w:t>
            </w:r>
          </w:p>
        </w:tc>
        <w:tc>
          <w:tcPr>
            <w:tcW w:w="2835" w:type="dxa"/>
            <w:vAlign w:val="center"/>
          </w:tcPr>
          <w:p w14:paraId="4A50DAB4">
            <w:pPr>
              <w:pStyle w:val="11"/>
            </w:pPr>
            <w:r>
              <w:t>其中：财政    资金</w:t>
            </w:r>
          </w:p>
        </w:tc>
        <w:tc>
          <w:tcPr>
            <w:tcW w:w="2551" w:type="dxa"/>
            <w:vAlign w:val="center"/>
          </w:tcPr>
          <w:p w14:paraId="72FC7E55">
            <w:pPr>
              <w:pStyle w:val="13"/>
            </w:pPr>
            <w:r>
              <w:t>12.00</w:t>
            </w:r>
          </w:p>
        </w:tc>
        <w:tc>
          <w:tcPr>
            <w:tcW w:w="2268" w:type="dxa"/>
            <w:vAlign w:val="center"/>
          </w:tcPr>
          <w:p w14:paraId="6C6CB050">
            <w:pPr>
              <w:pStyle w:val="11"/>
            </w:pPr>
            <w:r>
              <w:t>其他资金</w:t>
            </w:r>
          </w:p>
        </w:tc>
        <w:tc>
          <w:tcPr>
            <w:tcW w:w="1276" w:type="dxa"/>
            <w:vAlign w:val="center"/>
          </w:tcPr>
          <w:p w14:paraId="36277B6D">
            <w:pPr>
              <w:pStyle w:val="13"/>
            </w:pPr>
            <w:r>
              <w:t xml:space="preserve"> </w:t>
            </w:r>
          </w:p>
        </w:tc>
      </w:tr>
      <w:tr w14:paraId="00349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89E81"/>
        </w:tc>
        <w:tc>
          <w:tcPr>
            <w:tcW w:w="14033" w:type="dxa"/>
            <w:gridSpan w:val="6"/>
            <w:vAlign w:val="center"/>
          </w:tcPr>
          <w:p w14:paraId="2B888B3E">
            <w:pPr>
              <w:pStyle w:val="13"/>
            </w:pPr>
            <w:r>
              <w:t>"省级安排中职免学费12万元，用于弥补中职涉农及其他专业贫困生免除学费后的经费不足。</w:t>
            </w:r>
            <w:r>
              <w:tab/>
            </w:r>
            <w:r>
              <w:tab/>
            </w:r>
            <w:r>
              <w:tab/>
            </w:r>
            <w:r>
              <w:tab/>
            </w:r>
            <w:r>
              <w:tab/>
            </w:r>
            <w:r>
              <w:tab/>
            </w:r>
            <w:r>
              <w:tab/>
            </w:r>
            <w:r>
              <w:tab/>
            </w:r>
            <w:r>
              <w:tab/>
            </w:r>
            <w:r>
              <w:tab/>
            </w:r>
            <w:r>
              <w:tab/>
            </w:r>
          </w:p>
          <w:p w14:paraId="6B339FEF">
            <w:pPr>
              <w:pStyle w:val="13"/>
            </w:pPr>
          </w:p>
        </w:tc>
      </w:tr>
      <w:tr w14:paraId="4067B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37CE2">
            <w:pPr>
              <w:pStyle w:val="11"/>
            </w:pPr>
            <w:r>
              <w:t>资金支出计划（%）</w:t>
            </w:r>
          </w:p>
        </w:tc>
        <w:tc>
          <w:tcPr>
            <w:tcW w:w="5103" w:type="dxa"/>
            <w:gridSpan w:val="2"/>
            <w:vAlign w:val="center"/>
          </w:tcPr>
          <w:p w14:paraId="58996698">
            <w:pPr>
              <w:pStyle w:val="11"/>
            </w:pPr>
            <w:r>
              <w:t>3月底</w:t>
            </w:r>
          </w:p>
        </w:tc>
        <w:tc>
          <w:tcPr>
            <w:tcW w:w="2835" w:type="dxa"/>
            <w:vAlign w:val="center"/>
          </w:tcPr>
          <w:p w14:paraId="28AEE86F">
            <w:pPr>
              <w:pStyle w:val="11"/>
            </w:pPr>
            <w:r>
              <w:t>6月底</w:t>
            </w:r>
          </w:p>
        </w:tc>
        <w:tc>
          <w:tcPr>
            <w:tcW w:w="2551" w:type="dxa"/>
            <w:vAlign w:val="center"/>
          </w:tcPr>
          <w:p w14:paraId="6D671719">
            <w:pPr>
              <w:pStyle w:val="11"/>
            </w:pPr>
            <w:r>
              <w:t>10月底</w:t>
            </w:r>
          </w:p>
        </w:tc>
        <w:tc>
          <w:tcPr>
            <w:tcW w:w="3544" w:type="dxa"/>
            <w:gridSpan w:val="2"/>
            <w:vAlign w:val="center"/>
          </w:tcPr>
          <w:p w14:paraId="1DC6084E">
            <w:pPr>
              <w:pStyle w:val="11"/>
            </w:pPr>
            <w:r>
              <w:t>12月底</w:t>
            </w:r>
          </w:p>
        </w:tc>
      </w:tr>
      <w:tr w14:paraId="32A4F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B91BC"/>
        </w:tc>
        <w:tc>
          <w:tcPr>
            <w:tcW w:w="5103" w:type="dxa"/>
            <w:gridSpan w:val="2"/>
            <w:vAlign w:val="center"/>
          </w:tcPr>
          <w:p w14:paraId="25AE63F6">
            <w:pPr>
              <w:pStyle w:val="12"/>
            </w:pPr>
            <w:r>
              <w:t xml:space="preserve"> </w:t>
            </w:r>
          </w:p>
        </w:tc>
        <w:tc>
          <w:tcPr>
            <w:tcW w:w="2835" w:type="dxa"/>
            <w:vAlign w:val="center"/>
          </w:tcPr>
          <w:p w14:paraId="6E324413">
            <w:pPr>
              <w:pStyle w:val="12"/>
            </w:pPr>
            <w:r>
              <w:t>50%</w:t>
            </w:r>
          </w:p>
        </w:tc>
        <w:tc>
          <w:tcPr>
            <w:tcW w:w="2551" w:type="dxa"/>
            <w:vAlign w:val="center"/>
          </w:tcPr>
          <w:p w14:paraId="17A5AEE3">
            <w:pPr>
              <w:pStyle w:val="12"/>
            </w:pPr>
            <w:r>
              <w:t>75%</w:t>
            </w:r>
          </w:p>
        </w:tc>
        <w:tc>
          <w:tcPr>
            <w:tcW w:w="3544" w:type="dxa"/>
            <w:gridSpan w:val="2"/>
            <w:vAlign w:val="center"/>
          </w:tcPr>
          <w:p w14:paraId="25265340">
            <w:pPr>
              <w:pStyle w:val="12"/>
            </w:pPr>
            <w:r>
              <w:t>100%</w:t>
            </w:r>
          </w:p>
        </w:tc>
      </w:tr>
      <w:tr w14:paraId="3D842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1C1AF">
            <w:pPr>
              <w:pStyle w:val="11"/>
            </w:pPr>
            <w:r>
              <w:t>绩效目标</w:t>
            </w:r>
          </w:p>
        </w:tc>
        <w:tc>
          <w:tcPr>
            <w:tcW w:w="14033" w:type="dxa"/>
            <w:gridSpan w:val="6"/>
            <w:vAlign w:val="center"/>
          </w:tcPr>
          <w:p w14:paraId="1A5E752D">
            <w:pPr>
              <w:pStyle w:val="13"/>
            </w:pPr>
            <w:r>
              <w:t>1.省级安排中职免学费12万元，用于弥补中职涉农及其他专业贫困生免除学费后的经费不足。</w:t>
            </w:r>
            <w:r>
              <w:tab/>
            </w:r>
            <w:r>
              <w:tab/>
            </w:r>
            <w:r>
              <w:tab/>
            </w:r>
            <w:r>
              <w:tab/>
            </w:r>
            <w:r>
              <w:tab/>
            </w:r>
            <w:r>
              <w:tab/>
            </w:r>
            <w:r>
              <w:tab/>
            </w:r>
            <w:r>
              <w:tab/>
            </w:r>
            <w:r>
              <w:tab/>
            </w:r>
            <w:r>
              <w:tab/>
            </w:r>
            <w:r>
              <w:tab/>
            </w:r>
          </w:p>
          <w:p w14:paraId="1834EB3F">
            <w:pPr>
              <w:pStyle w:val="13"/>
            </w:pPr>
          </w:p>
        </w:tc>
      </w:tr>
    </w:tbl>
    <w:p w14:paraId="334F1A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D8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165C4">
            <w:pPr>
              <w:pStyle w:val="11"/>
            </w:pPr>
            <w:r>
              <w:t>一级指标</w:t>
            </w:r>
          </w:p>
        </w:tc>
        <w:tc>
          <w:tcPr>
            <w:tcW w:w="2268" w:type="dxa"/>
            <w:vAlign w:val="center"/>
          </w:tcPr>
          <w:p w14:paraId="5A3E5597">
            <w:pPr>
              <w:pStyle w:val="11"/>
            </w:pPr>
            <w:r>
              <w:t>二级指标</w:t>
            </w:r>
          </w:p>
        </w:tc>
        <w:tc>
          <w:tcPr>
            <w:tcW w:w="2835" w:type="dxa"/>
            <w:vAlign w:val="center"/>
          </w:tcPr>
          <w:p w14:paraId="4BEF5116">
            <w:pPr>
              <w:pStyle w:val="11"/>
            </w:pPr>
            <w:r>
              <w:t>三级指标</w:t>
            </w:r>
          </w:p>
        </w:tc>
        <w:tc>
          <w:tcPr>
            <w:tcW w:w="5386" w:type="dxa"/>
            <w:vAlign w:val="center"/>
          </w:tcPr>
          <w:p w14:paraId="5FF953B2">
            <w:pPr>
              <w:pStyle w:val="11"/>
            </w:pPr>
            <w:r>
              <w:t>绩效指标描述</w:t>
            </w:r>
          </w:p>
        </w:tc>
        <w:tc>
          <w:tcPr>
            <w:tcW w:w="2268" w:type="dxa"/>
            <w:vAlign w:val="center"/>
          </w:tcPr>
          <w:p w14:paraId="5F38AE49">
            <w:pPr>
              <w:pStyle w:val="11"/>
            </w:pPr>
            <w:r>
              <w:t>指标值</w:t>
            </w:r>
          </w:p>
        </w:tc>
        <w:tc>
          <w:tcPr>
            <w:tcW w:w="1276" w:type="dxa"/>
            <w:vAlign w:val="center"/>
          </w:tcPr>
          <w:p w14:paraId="14C88FEA">
            <w:pPr>
              <w:pStyle w:val="11"/>
            </w:pPr>
            <w:r>
              <w:t>指标值确定依据</w:t>
            </w:r>
          </w:p>
        </w:tc>
      </w:tr>
      <w:tr w14:paraId="5F41B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D5FE2">
            <w:pPr>
              <w:pStyle w:val="12"/>
            </w:pPr>
            <w:r>
              <w:t>产出指标</w:t>
            </w:r>
          </w:p>
        </w:tc>
        <w:tc>
          <w:tcPr>
            <w:tcW w:w="2268" w:type="dxa"/>
            <w:vAlign w:val="center"/>
          </w:tcPr>
          <w:p w14:paraId="176FCC01">
            <w:pPr>
              <w:pStyle w:val="13"/>
            </w:pPr>
            <w:r>
              <w:t>数量指标</w:t>
            </w:r>
          </w:p>
        </w:tc>
        <w:tc>
          <w:tcPr>
            <w:tcW w:w="2835" w:type="dxa"/>
            <w:vAlign w:val="center"/>
          </w:tcPr>
          <w:p w14:paraId="4A71E430">
            <w:pPr>
              <w:pStyle w:val="13"/>
            </w:pPr>
            <w:r>
              <w:t>免学费补助人数</w:t>
            </w:r>
          </w:p>
        </w:tc>
        <w:tc>
          <w:tcPr>
            <w:tcW w:w="5386" w:type="dxa"/>
            <w:vAlign w:val="center"/>
          </w:tcPr>
          <w:p w14:paraId="02D02620">
            <w:pPr>
              <w:pStyle w:val="13"/>
            </w:pPr>
            <w:r>
              <w:t>免学费补助人数</w:t>
            </w:r>
          </w:p>
        </w:tc>
        <w:tc>
          <w:tcPr>
            <w:tcW w:w="2268" w:type="dxa"/>
            <w:vAlign w:val="center"/>
          </w:tcPr>
          <w:p w14:paraId="41833181">
            <w:pPr>
              <w:pStyle w:val="13"/>
            </w:pPr>
            <w:r>
              <w:t>381人</w:t>
            </w:r>
          </w:p>
        </w:tc>
        <w:tc>
          <w:tcPr>
            <w:tcW w:w="1276" w:type="dxa"/>
            <w:vAlign w:val="center"/>
          </w:tcPr>
          <w:p w14:paraId="1F1E50B0">
            <w:pPr>
              <w:pStyle w:val="13"/>
            </w:pPr>
            <w:r>
              <w:t>2025年度预算</w:t>
            </w:r>
          </w:p>
        </w:tc>
      </w:tr>
      <w:tr w14:paraId="35D34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A384C"/>
        </w:tc>
        <w:tc>
          <w:tcPr>
            <w:tcW w:w="2268" w:type="dxa"/>
            <w:vAlign w:val="center"/>
          </w:tcPr>
          <w:p w14:paraId="0E6110D1">
            <w:pPr>
              <w:pStyle w:val="13"/>
            </w:pPr>
            <w:r>
              <w:t>质量指标</w:t>
            </w:r>
          </w:p>
        </w:tc>
        <w:tc>
          <w:tcPr>
            <w:tcW w:w="2835" w:type="dxa"/>
            <w:vAlign w:val="center"/>
          </w:tcPr>
          <w:p w14:paraId="25D414CE">
            <w:pPr>
              <w:pStyle w:val="13"/>
            </w:pPr>
            <w:r>
              <w:t>免学费全覆盖</w:t>
            </w:r>
          </w:p>
        </w:tc>
        <w:tc>
          <w:tcPr>
            <w:tcW w:w="5386" w:type="dxa"/>
            <w:vAlign w:val="center"/>
          </w:tcPr>
          <w:p w14:paraId="33149833">
            <w:pPr>
              <w:pStyle w:val="13"/>
            </w:pPr>
            <w:r>
              <w:t>免学费一、二、三年级中职生</w:t>
            </w:r>
          </w:p>
        </w:tc>
        <w:tc>
          <w:tcPr>
            <w:tcW w:w="2268" w:type="dxa"/>
            <w:vAlign w:val="center"/>
          </w:tcPr>
          <w:p w14:paraId="4AAD20D2">
            <w:pPr>
              <w:pStyle w:val="13"/>
            </w:pPr>
            <w:r>
              <w:t>≥100%</w:t>
            </w:r>
          </w:p>
        </w:tc>
        <w:tc>
          <w:tcPr>
            <w:tcW w:w="1276" w:type="dxa"/>
            <w:vAlign w:val="center"/>
          </w:tcPr>
          <w:p w14:paraId="10F6E1BC">
            <w:pPr>
              <w:pStyle w:val="13"/>
            </w:pPr>
            <w:r>
              <w:t>隆尧县中职免学费管理办法</w:t>
            </w:r>
          </w:p>
        </w:tc>
      </w:tr>
      <w:tr w14:paraId="13404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E6791"/>
        </w:tc>
        <w:tc>
          <w:tcPr>
            <w:tcW w:w="2268" w:type="dxa"/>
            <w:vAlign w:val="center"/>
          </w:tcPr>
          <w:p w14:paraId="05923E9B">
            <w:pPr>
              <w:pStyle w:val="13"/>
            </w:pPr>
            <w:r>
              <w:t>时效指标</w:t>
            </w:r>
          </w:p>
        </w:tc>
        <w:tc>
          <w:tcPr>
            <w:tcW w:w="2835" w:type="dxa"/>
            <w:vAlign w:val="center"/>
          </w:tcPr>
          <w:p w14:paraId="42B4FF00">
            <w:pPr>
              <w:pStyle w:val="13"/>
            </w:pPr>
            <w:r>
              <w:t>免学费经费拨付率</w:t>
            </w:r>
          </w:p>
        </w:tc>
        <w:tc>
          <w:tcPr>
            <w:tcW w:w="5386" w:type="dxa"/>
            <w:vAlign w:val="center"/>
          </w:tcPr>
          <w:p w14:paraId="02690EAA">
            <w:pPr>
              <w:pStyle w:val="13"/>
            </w:pPr>
            <w:r>
              <w:t>免学费经费及时拨付到位率</w:t>
            </w:r>
          </w:p>
        </w:tc>
        <w:tc>
          <w:tcPr>
            <w:tcW w:w="2268" w:type="dxa"/>
            <w:vAlign w:val="center"/>
          </w:tcPr>
          <w:p w14:paraId="6B667E60">
            <w:pPr>
              <w:pStyle w:val="13"/>
            </w:pPr>
            <w:r>
              <w:t>≥100%</w:t>
            </w:r>
          </w:p>
        </w:tc>
        <w:tc>
          <w:tcPr>
            <w:tcW w:w="1276" w:type="dxa"/>
            <w:vAlign w:val="center"/>
          </w:tcPr>
          <w:p w14:paraId="1365D176">
            <w:pPr>
              <w:pStyle w:val="13"/>
            </w:pPr>
            <w:r>
              <w:t>隆尧县中职免学费管理办法</w:t>
            </w:r>
          </w:p>
        </w:tc>
      </w:tr>
      <w:tr w14:paraId="04E6E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B330"/>
        </w:tc>
        <w:tc>
          <w:tcPr>
            <w:tcW w:w="2268" w:type="dxa"/>
            <w:vAlign w:val="center"/>
          </w:tcPr>
          <w:p w14:paraId="566643F6">
            <w:pPr>
              <w:pStyle w:val="13"/>
            </w:pPr>
            <w:r>
              <w:t>成本指标</w:t>
            </w:r>
          </w:p>
        </w:tc>
        <w:tc>
          <w:tcPr>
            <w:tcW w:w="2835" w:type="dxa"/>
            <w:vAlign w:val="center"/>
          </w:tcPr>
          <w:p w14:paraId="3AD8CE6B">
            <w:pPr>
              <w:pStyle w:val="13"/>
            </w:pPr>
            <w:r>
              <w:t>中职学校免学费补助标准</w:t>
            </w:r>
          </w:p>
        </w:tc>
        <w:tc>
          <w:tcPr>
            <w:tcW w:w="5386" w:type="dxa"/>
            <w:vAlign w:val="center"/>
          </w:tcPr>
          <w:p w14:paraId="0AE44743">
            <w:pPr>
              <w:pStyle w:val="13"/>
            </w:pPr>
            <w:r>
              <w:t>中职学校免学费补助标准</w:t>
            </w:r>
          </w:p>
        </w:tc>
        <w:tc>
          <w:tcPr>
            <w:tcW w:w="2268" w:type="dxa"/>
            <w:vAlign w:val="center"/>
          </w:tcPr>
          <w:p w14:paraId="47C60E44">
            <w:pPr>
              <w:pStyle w:val="13"/>
            </w:pPr>
            <w:r>
              <w:t>2000元/生/年</w:t>
            </w:r>
          </w:p>
        </w:tc>
        <w:tc>
          <w:tcPr>
            <w:tcW w:w="1276" w:type="dxa"/>
            <w:vAlign w:val="center"/>
          </w:tcPr>
          <w:p w14:paraId="653172D4">
            <w:pPr>
              <w:pStyle w:val="13"/>
            </w:pPr>
            <w:r>
              <w:t>隆尧县中职免学费管理办法</w:t>
            </w:r>
          </w:p>
        </w:tc>
      </w:tr>
      <w:tr w14:paraId="4AFE3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E53CAA">
            <w:pPr>
              <w:pStyle w:val="12"/>
            </w:pPr>
            <w:r>
              <w:t>效益指标</w:t>
            </w:r>
          </w:p>
        </w:tc>
        <w:tc>
          <w:tcPr>
            <w:tcW w:w="2268" w:type="dxa"/>
            <w:vAlign w:val="center"/>
          </w:tcPr>
          <w:p w14:paraId="21854211">
            <w:pPr>
              <w:pStyle w:val="13"/>
            </w:pPr>
            <w:r>
              <w:t>可持续影响指标</w:t>
            </w:r>
          </w:p>
        </w:tc>
        <w:tc>
          <w:tcPr>
            <w:tcW w:w="2835" w:type="dxa"/>
            <w:vAlign w:val="center"/>
          </w:tcPr>
          <w:p w14:paraId="32F76556">
            <w:pPr>
              <w:pStyle w:val="13"/>
            </w:pPr>
            <w:r>
              <w:t>中职运转</w:t>
            </w:r>
          </w:p>
        </w:tc>
        <w:tc>
          <w:tcPr>
            <w:tcW w:w="5386" w:type="dxa"/>
            <w:vAlign w:val="center"/>
          </w:tcPr>
          <w:p w14:paraId="3A4FE3A3">
            <w:pPr>
              <w:pStyle w:val="13"/>
            </w:pPr>
            <w:r>
              <w:t>高中受教育年限</w:t>
            </w:r>
          </w:p>
        </w:tc>
        <w:tc>
          <w:tcPr>
            <w:tcW w:w="2268" w:type="dxa"/>
            <w:vAlign w:val="center"/>
          </w:tcPr>
          <w:p w14:paraId="31E57026">
            <w:pPr>
              <w:pStyle w:val="13"/>
            </w:pPr>
            <w:r>
              <w:t>3年</w:t>
            </w:r>
          </w:p>
        </w:tc>
        <w:tc>
          <w:tcPr>
            <w:tcW w:w="1276" w:type="dxa"/>
            <w:vAlign w:val="center"/>
          </w:tcPr>
          <w:p w14:paraId="7F821B0C">
            <w:pPr>
              <w:pStyle w:val="13"/>
            </w:pPr>
            <w:r>
              <w:t>隆尧县中职免学费管理办法</w:t>
            </w:r>
          </w:p>
        </w:tc>
      </w:tr>
      <w:tr w14:paraId="3073D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A33190">
            <w:pPr>
              <w:pStyle w:val="12"/>
            </w:pPr>
            <w:r>
              <w:t>满意度指标</w:t>
            </w:r>
          </w:p>
        </w:tc>
        <w:tc>
          <w:tcPr>
            <w:tcW w:w="2268" w:type="dxa"/>
            <w:vAlign w:val="center"/>
          </w:tcPr>
          <w:p w14:paraId="721C6374">
            <w:pPr>
              <w:pStyle w:val="13"/>
            </w:pPr>
            <w:r>
              <w:t>服务对象满意度指标</w:t>
            </w:r>
          </w:p>
        </w:tc>
        <w:tc>
          <w:tcPr>
            <w:tcW w:w="2835" w:type="dxa"/>
            <w:vAlign w:val="center"/>
          </w:tcPr>
          <w:p w14:paraId="2741B5BB">
            <w:pPr>
              <w:pStyle w:val="13"/>
            </w:pPr>
            <w:r>
              <w:t>提升幸福指数</w:t>
            </w:r>
          </w:p>
        </w:tc>
        <w:tc>
          <w:tcPr>
            <w:tcW w:w="5386" w:type="dxa"/>
            <w:vAlign w:val="center"/>
          </w:tcPr>
          <w:p w14:paraId="3049F0A4">
            <w:pPr>
              <w:pStyle w:val="13"/>
            </w:pPr>
            <w:r>
              <w:t>提升贫困家庭学生的幸福指数学生家长满意</w:t>
            </w:r>
          </w:p>
        </w:tc>
        <w:tc>
          <w:tcPr>
            <w:tcW w:w="2268" w:type="dxa"/>
            <w:vAlign w:val="center"/>
          </w:tcPr>
          <w:p w14:paraId="5E9A207A">
            <w:pPr>
              <w:pStyle w:val="13"/>
            </w:pPr>
            <w:r>
              <w:t>≥95%</w:t>
            </w:r>
          </w:p>
        </w:tc>
        <w:tc>
          <w:tcPr>
            <w:tcW w:w="1276" w:type="dxa"/>
            <w:vAlign w:val="center"/>
          </w:tcPr>
          <w:p w14:paraId="05733E27">
            <w:pPr>
              <w:pStyle w:val="13"/>
            </w:pPr>
            <w:r>
              <w:t>隆尧县中职免学费管理办法</w:t>
            </w:r>
          </w:p>
        </w:tc>
      </w:tr>
    </w:tbl>
    <w:p w14:paraId="3F0CA417">
      <w:pPr>
        <w:sectPr>
          <w:pgSz w:w="16840" w:h="11900" w:orient="landscape"/>
          <w:pgMar w:top="1361" w:right="1020" w:bottom="1134" w:left="1020" w:header="720" w:footer="720" w:gutter="0"/>
          <w:cols w:space="720" w:num="1"/>
        </w:sectPr>
      </w:pPr>
    </w:p>
    <w:p w14:paraId="611A6EE6">
      <w:pPr>
        <w:spacing w:before="0" w:after="0"/>
        <w:ind w:firstLine="560"/>
        <w:jc w:val="left"/>
        <w:outlineLvl w:val="9"/>
      </w:pPr>
      <w:r>
        <w:rPr>
          <w:rFonts w:ascii="方正仿宋_GBK" w:hAnsi="方正仿宋_GBK" w:eastAsia="方正仿宋_GBK" w:cs="方正仿宋_GBK"/>
          <w:b/>
          <w:color w:val="000000"/>
          <w:sz w:val="28"/>
        </w:rPr>
        <w:t>39、冀财教[2024]137号/省级/2025年普通高中资金/普通高中三免（唐尧中学）建档立卡绩效目标表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3E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B1335">
            <w:pPr>
              <w:pStyle w:val="14"/>
            </w:pPr>
            <w:r>
              <w:t>单位：万元</w:t>
            </w:r>
          </w:p>
        </w:tc>
      </w:tr>
      <w:tr w14:paraId="54D6D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6D964">
            <w:pPr>
              <w:pStyle w:val="11"/>
            </w:pPr>
            <w:r>
              <w:t>项目编码</w:t>
            </w:r>
          </w:p>
        </w:tc>
        <w:tc>
          <w:tcPr>
            <w:tcW w:w="5103" w:type="dxa"/>
            <w:gridSpan w:val="2"/>
            <w:vAlign w:val="center"/>
          </w:tcPr>
          <w:p w14:paraId="0336CA28">
            <w:pPr>
              <w:pStyle w:val="13"/>
            </w:pPr>
            <w:r>
              <w:t>13052525P00001210040B</w:t>
            </w:r>
          </w:p>
        </w:tc>
        <w:tc>
          <w:tcPr>
            <w:tcW w:w="2835" w:type="dxa"/>
            <w:vAlign w:val="center"/>
          </w:tcPr>
          <w:p w14:paraId="6F69833F">
            <w:pPr>
              <w:pStyle w:val="11"/>
            </w:pPr>
            <w:r>
              <w:t>项目名称</w:t>
            </w:r>
          </w:p>
        </w:tc>
        <w:tc>
          <w:tcPr>
            <w:tcW w:w="6095" w:type="dxa"/>
            <w:gridSpan w:val="3"/>
            <w:vAlign w:val="center"/>
          </w:tcPr>
          <w:p w14:paraId="62F59582">
            <w:pPr>
              <w:pStyle w:val="13"/>
            </w:pPr>
            <w:r>
              <w:t>冀财教[2024]137号/省级/2025年普通高中资金/普通高中三免（唐尧中学）建档立卡</w:t>
            </w:r>
          </w:p>
        </w:tc>
      </w:tr>
      <w:tr w14:paraId="0AFB0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08301">
            <w:pPr>
              <w:pStyle w:val="11"/>
            </w:pPr>
            <w:r>
              <w:t>预算规模及资金用途</w:t>
            </w:r>
          </w:p>
        </w:tc>
        <w:tc>
          <w:tcPr>
            <w:tcW w:w="2268" w:type="dxa"/>
            <w:vAlign w:val="center"/>
          </w:tcPr>
          <w:p w14:paraId="1DC89C2F">
            <w:pPr>
              <w:pStyle w:val="11"/>
            </w:pPr>
            <w:r>
              <w:t>预算数</w:t>
            </w:r>
          </w:p>
        </w:tc>
        <w:tc>
          <w:tcPr>
            <w:tcW w:w="2835" w:type="dxa"/>
            <w:vAlign w:val="center"/>
          </w:tcPr>
          <w:p w14:paraId="2F4404FC">
            <w:pPr>
              <w:pStyle w:val="13"/>
            </w:pPr>
            <w:r>
              <w:t>12.00</w:t>
            </w:r>
          </w:p>
        </w:tc>
        <w:tc>
          <w:tcPr>
            <w:tcW w:w="2835" w:type="dxa"/>
            <w:vAlign w:val="center"/>
          </w:tcPr>
          <w:p w14:paraId="42D3E36B">
            <w:pPr>
              <w:pStyle w:val="11"/>
            </w:pPr>
            <w:r>
              <w:t>其中：财政    资金</w:t>
            </w:r>
          </w:p>
        </w:tc>
        <w:tc>
          <w:tcPr>
            <w:tcW w:w="2551" w:type="dxa"/>
            <w:vAlign w:val="center"/>
          </w:tcPr>
          <w:p w14:paraId="645A51EE">
            <w:pPr>
              <w:pStyle w:val="13"/>
            </w:pPr>
            <w:r>
              <w:t>12.00</w:t>
            </w:r>
          </w:p>
        </w:tc>
        <w:tc>
          <w:tcPr>
            <w:tcW w:w="2268" w:type="dxa"/>
            <w:vAlign w:val="center"/>
          </w:tcPr>
          <w:p w14:paraId="445F5FF1">
            <w:pPr>
              <w:pStyle w:val="11"/>
            </w:pPr>
            <w:r>
              <w:t>其他资金</w:t>
            </w:r>
          </w:p>
        </w:tc>
        <w:tc>
          <w:tcPr>
            <w:tcW w:w="1276" w:type="dxa"/>
            <w:vAlign w:val="center"/>
          </w:tcPr>
          <w:p w14:paraId="350A2470">
            <w:pPr>
              <w:pStyle w:val="13"/>
            </w:pPr>
            <w:r>
              <w:t xml:space="preserve"> </w:t>
            </w:r>
          </w:p>
        </w:tc>
      </w:tr>
      <w:tr w14:paraId="2A564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7FEFD1"/>
        </w:tc>
        <w:tc>
          <w:tcPr>
            <w:tcW w:w="14033" w:type="dxa"/>
            <w:gridSpan w:val="6"/>
            <w:vAlign w:val="center"/>
          </w:tcPr>
          <w:p w14:paraId="1B41F902">
            <w:pPr>
              <w:pStyle w:val="13"/>
            </w:pPr>
            <w:r>
              <w:t>及时发放资助资金，确保贫困家庭学生得到资助，不因贫困失学辍学</w:t>
            </w:r>
            <w:r>
              <w:tab/>
            </w:r>
            <w:r>
              <w:t>；深入宣传学生资助政策，落实河北省普通高中国家助学金管理办法；"优先资助建档立卡家庭学生、孤残学生、父母丧失劳动能力学生、少数民族学生、烈士子女与单亲家庭经济困难学生、低保、特困救助、突发致贫学生</w:t>
            </w:r>
            <w:r>
              <w:tab/>
            </w:r>
            <w:r>
              <w:tab/>
            </w:r>
            <w:r>
              <w:tab/>
            </w:r>
            <w:r>
              <w:tab/>
            </w:r>
            <w:r>
              <w:tab/>
            </w:r>
          </w:p>
          <w:p w14:paraId="1D442725">
            <w:pPr>
              <w:pStyle w:val="13"/>
            </w:pPr>
            <w:r>
              <w:tab/>
            </w:r>
            <w:r>
              <w:tab/>
            </w:r>
            <w:r>
              <w:tab/>
            </w:r>
            <w:r>
              <w:tab/>
            </w:r>
            <w:r>
              <w:tab/>
            </w:r>
            <w:r>
              <w:tab/>
            </w:r>
            <w:r>
              <w:tab/>
            </w:r>
            <w:r>
              <w:tab/>
            </w:r>
            <w:r>
              <w:tab/>
            </w:r>
            <w:r>
              <w:tab/>
            </w:r>
            <w:r>
              <w:tab/>
            </w:r>
            <w:r>
              <w:tab/>
            </w:r>
          </w:p>
          <w:p w14:paraId="30DF3C6E">
            <w:pPr>
              <w:pStyle w:val="13"/>
            </w:pPr>
          </w:p>
        </w:tc>
      </w:tr>
      <w:tr w14:paraId="1AE45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C3584">
            <w:pPr>
              <w:pStyle w:val="11"/>
            </w:pPr>
            <w:r>
              <w:t>资金支出计划（%）</w:t>
            </w:r>
          </w:p>
        </w:tc>
        <w:tc>
          <w:tcPr>
            <w:tcW w:w="5103" w:type="dxa"/>
            <w:gridSpan w:val="2"/>
            <w:vAlign w:val="center"/>
          </w:tcPr>
          <w:p w14:paraId="6C277526">
            <w:pPr>
              <w:pStyle w:val="11"/>
            </w:pPr>
            <w:r>
              <w:t>3月底</w:t>
            </w:r>
          </w:p>
        </w:tc>
        <w:tc>
          <w:tcPr>
            <w:tcW w:w="2835" w:type="dxa"/>
            <w:vAlign w:val="center"/>
          </w:tcPr>
          <w:p w14:paraId="5DE4392D">
            <w:pPr>
              <w:pStyle w:val="11"/>
            </w:pPr>
            <w:r>
              <w:t>6月底</w:t>
            </w:r>
          </w:p>
        </w:tc>
        <w:tc>
          <w:tcPr>
            <w:tcW w:w="2551" w:type="dxa"/>
            <w:vAlign w:val="center"/>
          </w:tcPr>
          <w:p w14:paraId="208775CD">
            <w:pPr>
              <w:pStyle w:val="11"/>
            </w:pPr>
            <w:r>
              <w:t>10月底</w:t>
            </w:r>
          </w:p>
        </w:tc>
        <w:tc>
          <w:tcPr>
            <w:tcW w:w="3544" w:type="dxa"/>
            <w:gridSpan w:val="2"/>
            <w:vAlign w:val="center"/>
          </w:tcPr>
          <w:p w14:paraId="00AF12D7">
            <w:pPr>
              <w:pStyle w:val="11"/>
            </w:pPr>
            <w:r>
              <w:t>12月底</w:t>
            </w:r>
          </w:p>
        </w:tc>
      </w:tr>
      <w:tr w14:paraId="081DF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18D9FC"/>
        </w:tc>
        <w:tc>
          <w:tcPr>
            <w:tcW w:w="5103" w:type="dxa"/>
            <w:gridSpan w:val="2"/>
            <w:vAlign w:val="center"/>
          </w:tcPr>
          <w:p w14:paraId="77B2DD04">
            <w:pPr>
              <w:pStyle w:val="12"/>
            </w:pPr>
            <w:r>
              <w:t xml:space="preserve"> </w:t>
            </w:r>
          </w:p>
        </w:tc>
        <w:tc>
          <w:tcPr>
            <w:tcW w:w="2835" w:type="dxa"/>
            <w:vAlign w:val="center"/>
          </w:tcPr>
          <w:p w14:paraId="172986F4">
            <w:pPr>
              <w:pStyle w:val="12"/>
            </w:pPr>
            <w:r>
              <w:t>50%</w:t>
            </w:r>
          </w:p>
        </w:tc>
        <w:tc>
          <w:tcPr>
            <w:tcW w:w="2551" w:type="dxa"/>
            <w:vAlign w:val="center"/>
          </w:tcPr>
          <w:p w14:paraId="73346B83">
            <w:pPr>
              <w:pStyle w:val="12"/>
            </w:pPr>
            <w:r>
              <w:t>75%</w:t>
            </w:r>
          </w:p>
        </w:tc>
        <w:tc>
          <w:tcPr>
            <w:tcW w:w="3544" w:type="dxa"/>
            <w:gridSpan w:val="2"/>
            <w:vAlign w:val="center"/>
          </w:tcPr>
          <w:p w14:paraId="18843DEE">
            <w:pPr>
              <w:pStyle w:val="12"/>
            </w:pPr>
            <w:r>
              <w:t>100%</w:t>
            </w:r>
          </w:p>
        </w:tc>
      </w:tr>
      <w:tr w14:paraId="09979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0C0AB">
            <w:pPr>
              <w:pStyle w:val="11"/>
            </w:pPr>
            <w:r>
              <w:t>绩效目标</w:t>
            </w:r>
          </w:p>
        </w:tc>
        <w:tc>
          <w:tcPr>
            <w:tcW w:w="14033" w:type="dxa"/>
            <w:gridSpan w:val="6"/>
            <w:vAlign w:val="center"/>
          </w:tcPr>
          <w:p w14:paraId="64967D17">
            <w:pPr>
              <w:pStyle w:val="13"/>
            </w:pPr>
            <w:r>
              <w:t>1.及时发放资助资金，确保贫困家庭学生得到资助，不因贫困失学辍学</w:t>
            </w:r>
            <w:r>
              <w:tab/>
            </w:r>
          </w:p>
          <w:p w14:paraId="7CEB6A25">
            <w:pPr>
              <w:pStyle w:val="13"/>
            </w:pPr>
            <w:r>
              <w:t>2.深入宣传学生资助政策，落实河北省普通高中国家助学金管理办法</w:t>
            </w:r>
            <w:r>
              <w:tab/>
            </w:r>
            <w:r>
              <w:tab/>
            </w:r>
            <w:r>
              <w:tab/>
            </w:r>
            <w:r>
              <w:tab/>
            </w:r>
            <w:r>
              <w:tab/>
            </w:r>
            <w:r>
              <w:tab/>
            </w:r>
          </w:p>
          <w:p w14:paraId="19E20056">
            <w:pPr>
              <w:pStyle w:val="13"/>
            </w:pPr>
          </w:p>
          <w:p w14:paraId="40A20319">
            <w:pPr>
              <w:pStyle w:val="13"/>
            </w:pPr>
            <w:r>
              <w:t>3.优先资助建档立卡家庭学生、孤残学生、父母丧失劳动能力学生、少数民族学生、烈士子女与单亲家庭经济困难学生、低保、特困救助、突发致贫学生</w:t>
            </w:r>
            <w:r>
              <w:tab/>
            </w:r>
          </w:p>
        </w:tc>
      </w:tr>
    </w:tbl>
    <w:p w14:paraId="4458FF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AA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A2C66">
            <w:pPr>
              <w:pStyle w:val="11"/>
            </w:pPr>
            <w:r>
              <w:t>一级指标</w:t>
            </w:r>
          </w:p>
        </w:tc>
        <w:tc>
          <w:tcPr>
            <w:tcW w:w="2268" w:type="dxa"/>
            <w:vAlign w:val="center"/>
          </w:tcPr>
          <w:p w14:paraId="1F29F41A">
            <w:pPr>
              <w:pStyle w:val="11"/>
            </w:pPr>
            <w:r>
              <w:t>二级指标</w:t>
            </w:r>
          </w:p>
        </w:tc>
        <w:tc>
          <w:tcPr>
            <w:tcW w:w="2835" w:type="dxa"/>
            <w:vAlign w:val="center"/>
          </w:tcPr>
          <w:p w14:paraId="6171943E">
            <w:pPr>
              <w:pStyle w:val="11"/>
            </w:pPr>
            <w:r>
              <w:t>三级指标</w:t>
            </w:r>
          </w:p>
        </w:tc>
        <w:tc>
          <w:tcPr>
            <w:tcW w:w="5386" w:type="dxa"/>
            <w:vAlign w:val="center"/>
          </w:tcPr>
          <w:p w14:paraId="095DD910">
            <w:pPr>
              <w:pStyle w:val="11"/>
            </w:pPr>
            <w:r>
              <w:t>绩效指标描述</w:t>
            </w:r>
          </w:p>
        </w:tc>
        <w:tc>
          <w:tcPr>
            <w:tcW w:w="2268" w:type="dxa"/>
            <w:vAlign w:val="center"/>
          </w:tcPr>
          <w:p w14:paraId="3DB09614">
            <w:pPr>
              <w:pStyle w:val="11"/>
            </w:pPr>
            <w:r>
              <w:t>指标值</w:t>
            </w:r>
          </w:p>
        </w:tc>
        <w:tc>
          <w:tcPr>
            <w:tcW w:w="1276" w:type="dxa"/>
            <w:vAlign w:val="center"/>
          </w:tcPr>
          <w:p w14:paraId="434188C6">
            <w:pPr>
              <w:pStyle w:val="11"/>
            </w:pPr>
            <w:r>
              <w:t>指标值确定依据</w:t>
            </w:r>
          </w:p>
        </w:tc>
      </w:tr>
      <w:tr w14:paraId="600CC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74C5D">
            <w:pPr>
              <w:pStyle w:val="12"/>
            </w:pPr>
            <w:r>
              <w:t>产出指标</w:t>
            </w:r>
          </w:p>
        </w:tc>
        <w:tc>
          <w:tcPr>
            <w:tcW w:w="2268" w:type="dxa"/>
            <w:vAlign w:val="center"/>
          </w:tcPr>
          <w:p w14:paraId="2CC6ED2A">
            <w:pPr>
              <w:pStyle w:val="13"/>
            </w:pPr>
            <w:r>
              <w:t>数量指标</w:t>
            </w:r>
          </w:p>
        </w:tc>
        <w:tc>
          <w:tcPr>
            <w:tcW w:w="2835" w:type="dxa"/>
            <w:vAlign w:val="center"/>
          </w:tcPr>
          <w:p w14:paraId="4C703C5B">
            <w:pPr>
              <w:pStyle w:val="13"/>
            </w:pPr>
            <w:r>
              <w:t>普通高中资助人数</w:t>
            </w:r>
          </w:p>
        </w:tc>
        <w:tc>
          <w:tcPr>
            <w:tcW w:w="5386" w:type="dxa"/>
            <w:vAlign w:val="center"/>
          </w:tcPr>
          <w:p w14:paraId="1871DFC9">
            <w:pPr>
              <w:pStyle w:val="13"/>
            </w:pPr>
            <w:r>
              <w:t>普通高中助学受资助人数约占普通高中在校生总数的18%</w:t>
            </w:r>
          </w:p>
        </w:tc>
        <w:tc>
          <w:tcPr>
            <w:tcW w:w="2268" w:type="dxa"/>
            <w:vAlign w:val="center"/>
          </w:tcPr>
          <w:p w14:paraId="718EC397">
            <w:pPr>
              <w:pStyle w:val="13"/>
            </w:pPr>
            <w:r>
              <w:t>85人</w:t>
            </w:r>
          </w:p>
        </w:tc>
        <w:tc>
          <w:tcPr>
            <w:tcW w:w="1276" w:type="dxa"/>
            <w:vAlign w:val="center"/>
          </w:tcPr>
          <w:p w14:paraId="27EBA2E7">
            <w:pPr>
              <w:pStyle w:val="13"/>
            </w:pPr>
            <w:r>
              <w:t>年度预算</w:t>
            </w:r>
          </w:p>
        </w:tc>
      </w:tr>
      <w:tr w14:paraId="12B84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9B4D8"/>
        </w:tc>
        <w:tc>
          <w:tcPr>
            <w:tcW w:w="2268" w:type="dxa"/>
            <w:vAlign w:val="center"/>
          </w:tcPr>
          <w:p w14:paraId="2A19C8FF">
            <w:pPr>
              <w:pStyle w:val="13"/>
            </w:pPr>
            <w:r>
              <w:t>质量指标</w:t>
            </w:r>
          </w:p>
        </w:tc>
        <w:tc>
          <w:tcPr>
            <w:tcW w:w="2835" w:type="dxa"/>
            <w:vAlign w:val="center"/>
          </w:tcPr>
          <w:p w14:paraId="6F36BE0F">
            <w:pPr>
              <w:pStyle w:val="13"/>
            </w:pPr>
            <w:r>
              <w:t>成立评审小组</w:t>
            </w:r>
          </w:p>
        </w:tc>
        <w:tc>
          <w:tcPr>
            <w:tcW w:w="5386" w:type="dxa"/>
            <w:vAlign w:val="center"/>
          </w:tcPr>
          <w:p w14:paraId="07B5E7DA">
            <w:pPr>
              <w:pStyle w:val="13"/>
            </w:pPr>
            <w:r>
              <w:t>成立普高助学金评审小组建立监督检查制度</w:t>
            </w:r>
          </w:p>
        </w:tc>
        <w:tc>
          <w:tcPr>
            <w:tcW w:w="2268" w:type="dxa"/>
            <w:vAlign w:val="center"/>
          </w:tcPr>
          <w:p w14:paraId="4B6935FF">
            <w:pPr>
              <w:pStyle w:val="13"/>
            </w:pPr>
            <w:r>
              <w:t>1组</w:t>
            </w:r>
          </w:p>
        </w:tc>
        <w:tc>
          <w:tcPr>
            <w:tcW w:w="1276" w:type="dxa"/>
            <w:vAlign w:val="center"/>
          </w:tcPr>
          <w:p w14:paraId="0781775F">
            <w:pPr>
              <w:pStyle w:val="13"/>
            </w:pPr>
            <w:r>
              <w:t>隆尧县普通高中国家助学金管理办法</w:t>
            </w:r>
          </w:p>
        </w:tc>
      </w:tr>
      <w:tr w14:paraId="1C18D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30AF9"/>
        </w:tc>
        <w:tc>
          <w:tcPr>
            <w:tcW w:w="2268" w:type="dxa"/>
            <w:vAlign w:val="center"/>
          </w:tcPr>
          <w:p w14:paraId="24294098">
            <w:pPr>
              <w:pStyle w:val="13"/>
            </w:pPr>
            <w:r>
              <w:t>时效指标</w:t>
            </w:r>
          </w:p>
        </w:tc>
        <w:tc>
          <w:tcPr>
            <w:tcW w:w="2835" w:type="dxa"/>
            <w:vAlign w:val="center"/>
          </w:tcPr>
          <w:p w14:paraId="19707B4D">
            <w:pPr>
              <w:pStyle w:val="13"/>
            </w:pPr>
            <w:r>
              <w:t>补助资金到位</w:t>
            </w:r>
          </w:p>
        </w:tc>
        <w:tc>
          <w:tcPr>
            <w:tcW w:w="5386" w:type="dxa"/>
            <w:vAlign w:val="center"/>
          </w:tcPr>
          <w:p w14:paraId="1662F6D0">
            <w:pPr>
              <w:pStyle w:val="13"/>
            </w:pPr>
            <w:r>
              <w:t>补助资金及时足额到位率</w:t>
            </w:r>
          </w:p>
        </w:tc>
        <w:tc>
          <w:tcPr>
            <w:tcW w:w="2268" w:type="dxa"/>
            <w:vAlign w:val="center"/>
          </w:tcPr>
          <w:p w14:paraId="1283C718">
            <w:pPr>
              <w:pStyle w:val="13"/>
            </w:pPr>
            <w:r>
              <w:t>≥100%</w:t>
            </w:r>
          </w:p>
        </w:tc>
        <w:tc>
          <w:tcPr>
            <w:tcW w:w="1276" w:type="dxa"/>
            <w:vAlign w:val="center"/>
          </w:tcPr>
          <w:p w14:paraId="68632007">
            <w:pPr>
              <w:pStyle w:val="13"/>
            </w:pPr>
            <w:r>
              <w:t>隆尧县普通高中国家助学金管理办法</w:t>
            </w:r>
          </w:p>
        </w:tc>
      </w:tr>
      <w:tr w14:paraId="1869E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E87C8"/>
        </w:tc>
        <w:tc>
          <w:tcPr>
            <w:tcW w:w="2268" w:type="dxa"/>
            <w:vAlign w:val="center"/>
          </w:tcPr>
          <w:p w14:paraId="0273BBC1">
            <w:pPr>
              <w:pStyle w:val="13"/>
            </w:pPr>
            <w:r>
              <w:t>成本指标</w:t>
            </w:r>
          </w:p>
        </w:tc>
        <w:tc>
          <w:tcPr>
            <w:tcW w:w="2835" w:type="dxa"/>
            <w:vAlign w:val="center"/>
          </w:tcPr>
          <w:p w14:paraId="3BCB2C3C">
            <w:pPr>
              <w:pStyle w:val="13"/>
            </w:pPr>
            <w:r>
              <w:t>普高国家助学金标准</w:t>
            </w:r>
          </w:p>
        </w:tc>
        <w:tc>
          <w:tcPr>
            <w:tcW w:w="5386" w:type="dxa"/>
            <w:vAlign w:val="center"/>
          </w:tcPr>
          <w:p w14:paraId="376302F3">
            <w:pPr>
              <w:pStyle w:val="13"/>
            </w:pPr>
            <w:r>
              <w:t>普高国家助学金资助标准2300元/生/年</w:t>
            </w:r>
          </w:p>
        </w:tc>
        <w:tc>
          <w:tcPr>
            <w:tcW w:w="2268" w:type="dxa"/>
            <w:vAlign w:val="center"/>
          </w:tcPr>
          <w:p w14:paraId="290CD675">
            <w:pPr>
              <w:pStyle w:val="13"/>
            </w:pPr>
            <w:r>
              <w:t>2300元</w:t>
            </w:r>
          </w:p>
        </w:tc>
        <w:tc>
          <w:tcPr>
            <w:tcW w:w="1276" w:type="dxa"/>
            <w:vAlign w:val="center"/>
          </w:tcPr>
          <w:p w14:paraId="20A00FAA">
            <w:pPr>
              <w:pStyle w:val="13"/>
            </w:pPr>
            <w:r>
              <w:t>隆尧县普通高中国家助学金管理办法</w:t>
            </w:r>
          </w:p>
        </w:tc>
      </w:tr>
      <w:tr w14:paraId="090FF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E28109">
            <w:pPr>
              <w:pStyle w:val="12"/>
            </w:pPr>
            <w:r>
              <w:t>效益指标</w:t>
            </w:r>
          </w:p>
        </w:tc>
        <w:tc>
          <w:tcPr>
            <w:tcW w:w="2268" w:type="dxa"/>
            <w:vAlign w:val="center"/>
          </w:tcPr>
          <w:p w14:paraId="5A92F644">
            <w:pPr>
              <w:pStyle w:val="13"/>
            </w:pPr>
            <w:r>
              <w:t>可持续影响指标</w:t>
            </w:r>
          </w:p>
        </w:tc>
        <w:tc>
          <w:tcPr>
            <w:tcW w:w="2835" w:type="dxa"/>
            <w:vAlign w:val="center"/>
          </w:tcPr>
          <w:p w14:paraId="2C8F0071">
            <w:pPr>
              <w:pStyle w:val="13"/>
            </w:pPr>
            <w:r>
              <w:t>高中运转</w:t>
            </w:r>
          </w:p>
        </w:tc>
        <w:tc>
          <w:tcPr>
            <w:tcW w:w="5386" w:type="dxa"/>
            <w:vAlign w:val="center"/>
          </w:tcPr>
          <w:p w14:paraId="1510D701">
            <w:pPr>
              <w:pStyle w:val="13"/>
            </w:pPr>
            <w:r>
              <w:t>高中生受教育年限</w:t>
            </w:r>
          </w:p>
        </w:tc>
        <w:tc>
          <w:tcPr>
            <w:tcW w:w="2268" w:type="dxa"/>
            <w:vAlign w:val="center"/>
          </w:tcPr>
          <w:p w14:paraId="0C866EB4">
            <w:pPr>
              <w:pStyle w:val="13"/>
            </w:pPr>
            <w:r>
              <w:t>3年</w:t>
            </w:r>
          </w:p>
        </w:tc>
        <w:tc>
          <w:tcPr>
            <w:tcW w:w="1276" w:type="dxa"/>
            <w:vAlign w:val="center"/>
          </w:tcPr>
          <w:p w14:paraId="190A4DC2">
            <w:pPr>
              <w:pStyle w:val="13"/>
            </w:pPr>
            <w:r>
              <w:t>隆尧县普通高中国家助学金管理办法</w:t>
            </w:r>
          </w:p>
        </w:tc>
      </w:tr>
      <w:tr w14:paraId="32CAE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94957E">
            <w:pPr>
              <w:pStyle w:val="12"/>
            </w:pPr>
            <w:r>
              <w:t>满意度指标</w:t>
            </w:r>
          </w:p>
        </w:tc>
        <w:tc>
          <w:tcPr>
            <w:tcW w:w="2268" w:type="dxa"/>
            <w:vAlign w:val="center"/>
          </w:tcPr>
          <w:p w14:paraId="3812ECAE">
            <w:pPr>
              <w:pStyle w:val="13"/>
            </w:pPr>
            <w:r>
              <w:t>服务对象满意度指标</w:t>
            </w:r>
          </w:p>
        </w:tc>
        <w:tc>
          <w:tcPr>
            <w:tcW w:w="2835" w:type="dxa"/>
            <w:vAlign w:val="center"/>
          </w:tcPr>
          <w:p w14:paraId="21DFA230">
            <w:pPr>
              <w:pStyle w:val="13"/>
            </w:pPr>
            <w:r>
              <w:t>提升幸福指数</w:t>
            </w:r>
          </w:p>
        </w:tc>
        <w:tc>
          <w:tcPr>
            <w:tcW w:w="5386" w:type="dxa"/>
            <w:vAlign w:val="center"/>
          </w:tcPr>
          <w:p w14:paraId="644E86FE">
            <w:pPr>
              <w:pStyle w:val="13"/>
            </w:pPr>
            <w:r>
              <w:t>提升建档立卡贫困家庭学生幸福指数</w:t>
            </w:r>
          </w:p>
          <w:p w14:paraId="62669A25">
            <w:pPr>
              <w:pStyle w:val="13"/>
            </w:pPr>
            <w:r>
              <w:t>家长学生满意</w:t>
            </w:r>
          </w:p>
        </w:tc>
        <w:tc>
          <w:tcPr>
            <w:tcW w:w="2268" w:type="dxa"/>
            <w:vAlign w:val="center"/>
          </w:tcPr>
          <w:p w14:paraId="2E0AB869">
            <w:pPr>
              <w:pStyle w:val="13"/>
            </w:pPr>
            <w:r>
              <w:t>≥98%</w:t>
            </w:r>
          </w:p>
        </w:tc>
        <w:tc>
          <w:tcPr>
            <w:tcW w:w="1276" w:type="dxa"/>
            <w:vAlign w:val="center"/>
          </w:tcPr>
          <w:p w14:paraId="2C10837D">
            <w:pPr>
              <w:pStyle w:val="13"/>
            </w:pPr>
            <w:r>
              <w:t>隆尧县普通高中国家助学金管理办法</w:t>
            </w:r>
          </w:p>
        </w:tc>
      </w:tr>
    </w:tbl>
    <w:p w14:paraId="12D5EE24">
      <w:pPr>
        <w:sectPr>
          <w:pgSz w:w="16840" w:h="11900" w:orient="landscape"/>
          <w:pgMar w:top="1361" w:right="1020" w:bottom="1134" w:left="1020" w:header="720" w:footer="720" w:gutter="0"/>
          <w:cols w:space="720" w:num="1"/>
        </w:sectPr>
      </w:pPr>
    </w:p>
    <w:p w14:paraId="486D0A2B">
      <w:pPr>
        <w:spacing w:before="0" w:after="0"/>
        <w:ind w:firstLine="560"/>
        <w:jc w:val="left"/>
        <w:outlineLvl w:val="9"/>
      </w:pPr>
      <w:r>
        <w:rPr>
          <w:rFonts w:ascii="方正仿宋_GBK" w:hAnsi="方正仿宋_GBK" w:eastAsia="方正仿宋_GBK" w:cs="方正仿宋_GBK"/>
          <w:b/>
          <w:color w:val="000000"/>
          <w:sz w:val="28"/>
        </w:rPr>
        <w:t>40、冀财教[2024]137号/省级/2025年普通高中资金/普通高中三免（文茂中学）建档立卡</w:t>
      </w:r>
      <w:r>
        <w:rPr>
          <w:rFonts w:ascii="方正仿宋_GBK" w:hAnsi="方正仿宋_GBK" w:eastAsia="方正仿宋_GBK" w:cs="方正仿宋_GBK"/>
          <w:b/>
          <w:color w:val="000000"/>
          <w:sz w:val="28"/>
        </w:rPr>
        <w:tab/>
      </w:r>
    </w:p>
    <w:p w14:paraId="3718F9FB">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21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31E65">
            <w:pPr>
              <w:pStyle w:val="14"/>
            </w:pPr>
            <w:r>
              <w:t>单位：万元</w:t>
            </w:r>
          </w:p>
        </w:tc>
      </w:tr>
      <w:tr w14:paraId="70CFF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B2993">
            <w:pPr>
              <w:pStyle w:val="11"/>
            </w:pPr>
            <w:r>
              <w:t>项目编码</w:t>
            </w:r>
          </w:p>
        </w:tc>
        <w:tc>
          <w:tcPr>
            <w:tcW w:w="5103" w:type="dxa"/>
            <w:gridSpan w:val="2"/>
            <w:vAlign w:val="center"/>
          </w:tcPr>
          <w:p w14:paraId="33A93E9F">
            <w:pPr>
              <w:pStyle w:val="13"/>
            </w:pPr>
            <w:r>
              <w:t>13052525P000012100269</w:t>
            </w:r>
          </w:p>
        </w:tc>
        <w:tc>
          <w:tcPr>
            <w:tcW w:w="2835" w:type="dxa"/>
            <w:vAlign w:val="center"/>
          </w:tcPr>
          <w:p w14:paraId="2443581E">
            <w:pPr>
              <w:pStyle w:val="11"/>
            </w:pPr>
            <w:r>
              <w:t>项目名称</w:t>
            </w:r>
          </w:p>
        </w:tc>
        <w:tc>
          <w:tcPr>
            <w:tcW w:w="6095" w:type="dxa"/>
            <w:gridSpan w:val="3"/>
            <w:vAlign w:val="center"/>
          </w:tcPr>
          <w:p w14:paraId="636D6023">
            <w:pPr>
              <w:pStyle w:val="13"/>
            </w:pPr>
            <w:r>
              <w:t>冀财教[2024]137号/省级/2025年普通高中资金/普通高中三免（文茂中学）建档立卡</w:t>
            </w:r>
            <w:r>
              <w:tab/>
            </w:r>
          </w:p>
          <w:p w14:paraId="42B15B6B">
            <w:pPr>
              <w:pStyle w:val="13"/>
            </w:pPr>
          </w:p>
        </w:tc>
      </w:tr>
      <w:tr w14:paraId="60FB5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34AED">
            <w:pPr>
              <w:pStyle w:val="11"/>
            </w:pPr>
            <w:r>
              <w:t>预算规模及资金用途</w:t>
            </w:r>
          </w:p>
        </w:tc>
        <w:tc>
          <w:tcPr>
            <w:tcW w:w="2268" w:type="dxa"/>
            <w:vAlign w:val="center"/>
          </w:tcPr>
          <w:p w14:paraId="03B888A9">
            <w:pPr>
              <w:pStyle w:val="11"/>
            </w:pPr>
            <w:r>
              <w:t>预算数</w:t>
            </w:r>
          </w:p>
        </w:tc>
        <w:tc>
          <w:tcPr>
            <w:tcW w:w="2835" w:type="dxa"/>
            <w:vAlign w:val="center"/>
          </w:tcPr>
          <w:p w14:paraId="7AE361CD">
            <w:pPr>
              <w:pStyle w:val="13"/>
            </w:pPr>
            <w:r>
              <w:t>7.00</w:t>
            </w:r>
          </w:p>
        </w:tc>
        <w:tc>
          <w:tcPr>
            <w:tcW w:w="2835" w:type="dxa"/>
            <w:vAlign w:val="center"/>
          </w:tcPr>
          <w:p w14:paraId="3197C793">
            <w:pPr>
              <w:pStyle w:val="11"/>
            </w:pPr>
            <w:r>
              <w:t>其中：财政    资金</w:t>
            </w:r>
          </w:p>
        </w:tc>
        <w:tc>
          <w:tcPr>
            <w:tcW w:w="2551" w:type="dxa"/>
            <w:vAlign w:val="center"/>
          </w:tcPr>
          <w:p w14:paraId="3CD60972">
            <w:pPr>
              <w:pStyle w:val="13"/>
            </w:pPr>
            <w:r>
              <w:t>7.00</w:t>
            </w:r>
          </w:p>
        </w:tc>
        <w:tc>
          <w:tcPr>
            <w:tcW w:w="2268" w:type="dxa"/>
            <w:vAlign w:val="center"/>
          </w:tcPr>
          <w:p w14:paraId="12824EA4">
            <w:pPr>
              <w:pStyle w:val="11"/>
            </w:pPr>
            <w:r>
              <w:t>其他资金</w:t>
            </w:r>
          </w:p>
        </w:tc>
        <w:tc>
          <w:tcPr>
            <w:tcW w:w="1276" w:type="dxa"/>
            <w:vAlign w:val="center"/>
          </w:tcPr>
          <w:p w14:paraId="57CE26FC">
            <w:pPr>
              <w:pStyle w:val="13"/>
            </w:pPr>
            <w:r>
              <w:t xml:space="preserve"> </w:t>
            </w:r>
          </w:p>
        </w:tc>
      </w:tr>
      <w:tr w14:paraId="03A7A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BA1797"/>
        </w:tc>
        <w:tc>
          <w:tcPr>
            <w:tcW w:w="14033" w:type="dxa"/>
            <w:gridSpan w:val="6"/>
            <w:vAlign w:val="center"/>
          </w:tcPr>
          <w:p w14:paraId="737B5E3C">
            <w:pPr>
              <w:pStyle w:val="13"/>
            </w:pPr>
            <w:r>
              <w:t>深入宣传学生免学费政策，落实普通高中建档立卡家庭困难学生免除学杂费政策</w:t>
            </w:r>
            <w:r>
              <w:tab/>
            </w:r>
            <w:r>
              <w:tab/>
            </w:r>
            <w:r>
              <w:tab/>
            </w:r>
            <w:r>
              <w:tab/>
            </w:r>
            <w:r>
              <w:tab/>
            </w:r>
            <w:r>
              <w:tab/>
            </w:r>
          </w:p>
          <w:p w14:paraId="5259DC88">
            <w:pPr>
              <w:pStyle w:val="13"/>
            </w:pPr>
            <w:r>
              <w:t>减轻农民负担，增强普通高中教育的吸引力，加快县域经济发展</w:t>
            </w:r>
            <w:r>
              <w:tab/>
            </w:r>
            <w:r>
              <w:tab/>
            </w:r>
            <w:r>
              <w:tab/>
            </w:r>
            <w:r>
              <w:tab/>
            </w:r>
            <w:r>
              <w:tab/>
            </w:r>
            <w:r>
              <w:tab/>
            </w:r>
          </w:p>
        </w:tc>
      </w:tr>
      <w:tr w14:paraId="2DFE8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E184A">
            <w:pPr>
              <w:pStyle w:val="11"/>
            </w:pPr>
            <w:r>
              <w:t>资金支出计划（%）</w:t>
            </w:r>
          </w:p>
        </w:tc>
        <w:tc>
          <w:tcPr>
            <w:tcW w:w="5103" w:type="dxa"/>
            <w:gridSpan w:val="2"/>
            <w:vAlign w:val="center"/>
          </w:tcPr>
          <w:p w14:paraId="27465C5A">
            <w:pPr>
              <w:pStyle w:val="11"/>
            </w:pPr>
            <w:r>
              <w:t>3月底</w:t>
            </w:r>
          </w:p>
        </w:tc>
        <w:tc>
          <w:tcPr>
            <w:tcW w:w="2835" w:type="dxa"/>
            <w:vAlign w:val="center"/>
          </w:tcPr>
          <w:p w14:paraId="275454CB">
            <w:pPr>
              <w:pStyle w:val="11"/>
            </w:pPr>
            <w:r>
              <w:t>6月底</w:t>
            </w:r>
          </w:p>
        </w:tc>
        <w:tc>
          <w:tcPr>
            <w:tcW w:w="2551" w:type="dxa"/>
            <w:vAlign w:val="center"/>
          </w:tcPr>
          <w:p w14:paraId="11A021FB">
            <w:pPr>
              <w:pStyle w:val="11"/>
            </w:pPr>
            <w:r>
              <w:t>10月底</w:t>
            </w:r>
          </w:p>
        </w:tc>
        <w:tc>
          <w:tcPr>
            <w:tcW w:w="3544" w:type="dxa"/>
            <w:gridSpan w:val="2"/>
            <w:vAlign w:val="center"/>
          </w:tcPr>
          <w:p w14:paraId="57E40DC9">
            <w:pPr>
              <w:pStyle w:val="11"/>
            </w:pPr>
            <w:r>
              <w:t>12月底</w:t>
            </w:r>
          </w:p>
        </w:tc>
      </w:tr>
      <w:tr w14:paraId="142ED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5BE10"/>
        </w:tc>
        <w:tc>
          <w:tcPr>
            <w:tcW w:w="5103" w:type="dxa"/>
            <w:gridSpan w:val="2"/>
            <w:vAlign w:val="center"/>
          </w:tcPr>
          <w:p w14:paraId="69DCA577">
            <w:pPr>
              <w:pStyle w:val="12"/>
            </w:pPr>
            <w:r>
              <w:t xml:space="preserve"> </w:t>
            </w:r>
          </w:p>
        </w:tc>
        <w:tc>
          <w:tcPr>
            <w:tcW w:w="2835" w:type="dxa"/>
            <w:vAlign w:val="center"/>
          </w:tcPr>
          <w:p w14:paraId="06155141">
            <w:pPr>
              <w:pStyle w:val="12"/>
            </w:pPr>
            <w:r>
              <w:t>50%</w:t>
            </w:r>
          </w:p>
        </w:tc>
        <w:tc>
          <w:tcPr>
            <w:tcW w:w="2551" w:type="dxa"/>
            <w:vAlign w:val="center"/>
          </w:tcPr>
          <w:p w14:paraId="20DBD9DB">
            <w:pPr>
              <w:pStyle w:val="12"/>
            </w:pPr>
            <w:r>
              <w:t>75%</w:t>
            </w:r>
          </w:p>
        </w:tc>
        <w:tc>
          <w:tcPr>
            <w:tcW w:w="3544" w:type="dxa"/>
            <w:gridSpan w:val="2"/>
            <w:vAlign w:val="center"/>
          </w:tcPr>
          <w:p w14:paraId="37458852">
            <w:pPr>
              <w:pStyle w:val="12"/>
            </w:pPr>
            <w:r>
              <w:t>100%</w:t>
            </w:r>
          </w:p>
        </w:tc>
      </w:tr>
      <w:tr w14:paraId="2D4A2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F84B8">
            <w:pPr>
              <w:pStyle w:val="11"/>
            </w:pPr>
            <w:r>
              <w:t>绩效目标</w:t>
            </w:r>
          </w:p>
        </w:tc>
        <w:tc>
          <w:tcPr>
            <w:tcW w:w="14033" w:type="dxa"/>
            <w:gridSpan w:val="6"/>
            <w:vAlign w:val="center"/>
          </w:tcPr>
          <w:p w14:paraId="13B349F7">
            <w:pPr>
              <w:pStyle w:val="13"/>
            </w:pPr>
            <w:r>
              <w:t>1.深入宣传学生免学费政策，落实普通高中建档立卡家庭困难学生免除学杂费政策</w:t>
            </w:r>
          </w:p>
          <w:p w14:paraId="75429A5B">
            <w:pPr>
              <w:pStyle w:val="13"/>
            </w:pPr>
            <w:r>
              <w:t>2.减轻农民负担，增强普通高中教育的吸引力，加快县域经济发展</w:t>
            </w:r>
          </w:p>
        </w:tc>
      </w:tr>
    </w:tbl>
    <w:p w14:paraId="7C566B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4F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99185">
            <w:pPr>
              <w:pStyle w:val="11"/>
            </w:pPr>
            <w:r>
              <w:t>一级指标</w:t>
            </w:r>
          </w:p>
        </w:tc>
        <w:tc>
          <w:tcPr>
            <w:tcW w:w="2268" w:type="dxa"/>
            <w:vAlign w:val="center"/>
          </w:tcPr>
          <w:p w14:paraId="25FDFD82">
            <w:pPr>
              <w:pStyle w:val="11"/>
            </w:pPr>
            <w:r>
              <w:t>二级指标</w:t>
            </w:r>
          </w:p>
        </w:tc>
        <w:tc>
          <w:tcPr>
            <w:tcW w:w="2835" w:type="dxa"/>
            <w:vAlign w:val="center"/>
          </w:tcPr>
          <w:p w14:paraId="6E3A6673">
            <w:pPr>
              <w:pStyle w:val="11"/>
            </w:pPr>
            <w:r>
              <w:t>三级指标</w:t>
            </w:r>
          </w:p>
        </w:tc>
        <w:tc>
          <w:tcPr>
            <w:tcW w:w="5386" w:type="dxa"/>
            <w:vAlign w:val="center"/>
          </w:tcPr>
          <w:p w14:paraId="3A86186D">
            <w:pPr>
              <w:pStyle w:val="11"/>
            </w:pPr>
            <w:r>
              <w:t>绩效指标描述</w:t>
            </w:r>
          </w:p>
        </w:tc>
        <w:tc>
          <w:tcPr>
            <w:tcW w:w="2268" w:type="dxa"/>
            <w:vAlign w:val="center"/>
          </w:tcPr>
          <w:p w14:paraId="10F2573A">
            <w:pPr>
              <w:pStyle w:val="11"/>
            </w:pPr>
            <w:r>
              <w:t>指标值</w:t>
            </w:r>
          </w:p>
        </w:tc>
        <w:tc>
          <w:tcPr>
            <w:tcW w:w="1276" w:type="dxa"/>
            <w:vAlign w:val="center"/>
          </w:tcPr>
          <w:p w14:paraId="6BE12707">
            <w:pPr>
              <w:pStyle w:val="11"/>
            </w:pPr>
            <w:r>
              <w:t>指标值确定依据</w:t>
            </w:r>
          </w:p>
        </w:tc>
      </w:tr>
      <w:tr w14:paraId="01CC0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60399">
            <w:pPr>
              <w:pStyle w:val="12"/>
            </w:pPr>
            <w:r>
              <w:t>产出指标</w:t>
            </w:r>
          </w:p>
        </w:tc>
        <w:tc>
          <w:tcPr>
            <w:tcW w:w="2268" w:type="dxa"/>
            <w:vAlign w:val="center"/>
          </w:tcPr>
          <w:p w14:paraId="5DE57B2C">
            <w:pPr>
              <w:pStyle w:val="13"/>
            </w:pPr>
            <w:r>
              <w:t>数量指标</w:t>
            </w:r>
          </w:p>
        </w:tc>
        <w:tc>
          <w:tcPr>
            <w:tcW w:w="2835" w:type="dxa"/>
            <w:vAlign w:val="center"/>
          </w:tcPr>
          <w:p w14:paraId="154B5DB7">
            <w:pPr>
              <w:pStyle w:val="13"/>
            </w:pPr>
            <w:r>
              <w:t>普通高中资助人数</w:t>
            </w:r>
          </w:p>
        </w:tc>
        <w:tc>
          <w:tcPr>
            <w:tcW w:w="5386" w:type="dxa"/>
            <w:vAlign w:val="center"/>
          </w:tcPr>
          <w:p w14:paraId="5C9801E0">
            <w:pPr>
              <w:pStyle w:val="13"/>
            </w:pPr>
            <w:r>
              <w:t>在我校就读具有正式注册学籍的建档立卡家庭学生</w:t>
            </w:r>
          </w:p>
        </w:tc>
        <w:tc>
          <w:tcPr>
            <w:tcW w:w="2268" w:type="dxa"/>
            <w:vAlign w:val="center"/>
          </w:tcPr>
          <w:p w14:paraId="55F8353E">
            <w:pPr>
              <w:pStyle w:val="13"/>
            </w:pPr>
            <w:r>
              <w:t>85人</w:t>
            </w:r>
          </w:p>
        </w:tc>
        <w:tc>
          <w:tcPr>
            <w:tcW w:w="1276" w:type="dxa"/>
            <w:vAlign w:val="center"/>
          </w:tcPr>
          <w:p w14:paraId="6840E73E">
            <w:pPr>
              <w:pStyle w:val="13"/>
            </w:pPr>
            <w:r>
              <w:t>年度预算</w:t>
            </w:r>
          </w:p>
        </w:tc>
      </w:tr>
      <w:tr w14:paraId="363E9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68B6D"/>
        </w:tc>
        <w:tc>
          <w:tcPr>
            <w:tcW w:w="2268" w:type="dxa"/>
            <w:vAlign w:val="center"/>
          </w:tcPr>
          <w:p w14:paraId="6D67B8A8">
            <w:pPr>
              <w:pStyle w:val="13"/>
            </w:pPr>
            <w:r>
              <w:t>质量指标</w:t>
            </w:r>
          </w:p>
        </w:tc>
        <w:tc>
          <w:tcPr>
            <w:tcW w:w="2835" w:type="dxa"/>
            <w:vAlign w:val="center"/>
          </w:tcPr>
          <w:p w14:paraId="7E670916">
            <w:pPr>
              <w:pStyle w:val="13"/>
            </w:pPr>
            <w:r>
              <w:t>成立评审小组</w:t>
            </w:r>
          </w:p>
        </w:tc>
        <w:tc>
          <w:tcPr>
            <w:tcW w:w="5386" w:type="dxa"/>
            <w:vAlign w:val="center"/>
          </w:tcPr>
          <w:p w14:paraId="49F10B05">
            <w:pPr>
              <w:pStyle w:val="13"/>
            </w:pPr>
            <w:r>
              <w:t>成立普通高中贫困资助评审小组，建立监督检查制度</w:t>
            </w:r>
          </w:p>
        </w:tc>
        <w:tc>
          <w:tcPr>
            <w:tcW w:w="2268" w:type="dxa"/>
            <w:vAlign w:val="center"/>
          </w:tcPr>
          <w:p w14:paraId="6AB0B4DF">
            <w:pPr>
              <w:pStyle w:val="13"/>
            </w:pPr>
            <w:r>
              <w:t>1小组</w:t>
            </w:r>
          </w:p>
        </w:tc>
        <w:tc>
          <w:tcPr>
            <w:tcW w:w="1276" w:type="dxa"/>
            <w:vAlign w:val="center"/>
          </w:tcPr>
          <w:p w14:paraId="3B57174A">
            <w:pPr>
              <w:pStyle w:val="13"/>
            </w:pPr>
            <w:r>
              <w:t>河北省建档立卡家庭经济困难学生资助管理暂行办法</w:t>
            </w:r>
          </w:p>
        </w:tc>
      </w:tr>
      <w:tr w14:paraId="4D881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C52B"/>
        </w:tc>
        <w:tc>
          <w:tcPr>
            <w:tcW w:w="2268" w:type="dxa"/>
            <w:vAlign w:val="center"/>
          </w:tcPr>
          <w:p w14:paraId="49A2A469">
            <w:pPr>
              <w:pStyle w:val="13"/>
            </w:pPr>
            <w:r>
              <w:t>时效指标</w:t>
            </w:r>
          </w:p>
        </w:tc>
        <w:tc>
          <w:tcPr>
            <w:tcW w:w="2835" w:type="dxa"/>
            <w:vAlign w:val="center"/>
          </w:tcPr>
          <w:p w14:paraId="2DDA9211">
            <w:pPr>
              <w:pStyle w:val="13"/>
            </w:pPr>
            <w:r>
              <w:t>补助资金到位</w:t>
            </w:r>
          </w:p>
        </w:tc>
        <w:tc>
          <w:tcPr>
            <w:tcW w:w="5386" w:type="dxa"/>
            <w:vAlign w:val="center"/>
          </w:tcPr>
          <w:p w14:paraId="706A7923">
            <w:pPr>
              <w:pStyle w:val="13"/>
            </w:pPr>
            <w:r>
              <w:t>补助资金到位及时率</w:t>
            </w:r>
          </w:p>
        </w:tc>
        <w:tc>
          <w:tcPr>
            <w:tcW w:w="2268" w:type="dxa"/>
            <w:vAlign w:val="center"/>
          </w:tcPr>
          <w:p w14:paraId="19CD07DE">
            <w:pPr>
              <w:pStyle w:val="13"/>
            </w:pPr>
            <w:r>
              <w:t>≥100%</w:t>
            </w:r>
          </w:p>
        </w:tc>
        <w:tc>
          <w:tcPr>
            <w:tcW w:w="1276" w:type="dxa"/>
            <w:vAlign w:val="center"/>
          </w:tcPr>
          <w:p w14:paraId="1D6D597D">
            <w:pPr>
              <w:pStyle w:val="13"/>
            </w:pPr>
            <w:r>
              <w:t>河北省建档立卡家庭经济困难学生资助管理暂行办法</w:t>
            </w:r>
          </w:p>
        </w:tc>
      </w:tr>
      <w:tr w14:paraId="7F5BF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82A34"/>
        </w:tc>
        <w:tc>
          <w:tcPr>
            <w:tcW w:w="2268" w:type="dxa"/>
            <w:vAlign w:val="center"/>
          </w:tcPr>
          <w:p w14:paraId="57ADD887">
            <w:pPr>
              <w:pStyle w:val="13"/>
            </w:pPr>
            <w:r>
              <w:t>成本指标</w:t>
            </w:r>
          </w:p>
        </w:tc>
        <w:tc>
          <w:tcPr>
            <w:tcW w:w="2835" w:type="dxa"/>
            <w:vAlign w:val="center"/>
          </w:tcPr>
          <w:p w14:paraId="27D68527">
            <w:pPr>
              <w:pStyle w:val="13"/>
            </w:pPr>
            <w:r>
              <w:t>普通高中建档立卡学生减免标准</w:t>
            </w:r>
          </w:p>
        </w:tc>
        <w:tc>
          <w:tcPr>
            <w:tcW w:w="5386" w:type="dxa"/>
            <w:vAlign w:val="center"/>
          </w:tcPr>
          <w:p w14:paraId="29D605AF">
            <w:pPr>
              <w:pStyle w:val="13"/>
            </w:pPr>
            <w:r>
              <w:t>学费1600元/生/年；住宿费500元/生/年；书费300元/生/年</w:t>
            </w:r>
          </w:p>
        </w:tc>
        <w:tc>
          <w:tcPr>
            <w:tcW w:w="2268" w:type="dxa"/>
            <w:vAlign w:val="center"/>
          </w:tcPr>
          <w:p w14:paraId="16044AD5">
            <w:pPr>
              <w:pStyle w:val="13"/>
            </w:pPr>
            <w:r>
              <w:t>2800元</w:t>
            </w:r>
          </w:p>
        </w:tc>
        <w:tc>
          <w:tcPr>
            <w:tcW w:w="1276" w:type="dxa"/>
            <w:vAlign w:val="center"/>
          </w:tcPr>
          <w:p w14:paraId="69FDD924">
            <w:pPr>
              <w:pStyle w:val="13"/>
            </w:pPr>
            <w:r>
              <w:t>河北省建档立卡家庭经济困难学生资助管理暂行办法</w:t>
            </w:r>
          </w:p>
        </w:tc>
      </w:tr>
      <w:tr w14:paraId="693AB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830DEB">
            <w:pPr>
              <w:pStyle w:val="12"/>
            </w:pPr>
            <w:r>
              <w:t>效益指标</w:t>
            </w:r>
          </w:p>
        </w:tc>
        <w:tc>
          <w:tcPr>
            <w:tcW w:w="2268" w:type="dxa"/>
            <w:vAlign w:val="center"/>
          </w:tcPr>
          <w:p w14:paraId="395B107C">
            <w:pPr>
              <w:pStyle w:val="13"/>
            </w:pPr>
            <w:r>
              <w:t>可持续影响指标</w:t>
            </w:r>
          </w:p>
        </w:tc>
        <w:tc>
          <w:tcPr>
            <w:tcW w:w="2835" w:type="dxa"/>
            <w:vAlign w:val="center"/>
          </w:tcPr>
          <w:p w14:paraId="623D15C0">
            <w:pPr>
              <w:pStyle w:val="13"/>
            </w:pPr>
            <w:r>
              <w:t>高中运转</w:t>
            </w:r>
          </w:p>
        </w:tc>
        <w:tc>
          <w:tcPr>
            <w:tcW w:w="5386" w:type="dxa"/>
            <w:vAlign w:val="center"/>
          </w:tcPr>
          <w:p w14:paraId="685875FD">
            <w:pPr>
              <w:pStyle w:val="13"/>
            </w:pPr>
            <w:r>
              <w:t>高中生受教育年限</w:t>
            </w:r>
          </w:p>
        </w:tc>
        <w:tc>
          <w:tcPr>
            <w:tcW w:w="2268" w:type="dxa"/>
            <w:vAlign w:val="center"/>
          </w:tcPr>
          <w:p w14:paraId="181036DE">
            <w:pPr>
              <w:pStyle w:val="13"/>
            </w:pPr>
            <w:r>
              <w:t>3年</w:t>
            </w:r>
          </w:p>
        </w:tc>
        <w:tc>
          <w:tcPr>
            <w:tcW w:w="1276" w:type="dxa"/>
            <w:vAlign w:val="center"/>
          </w:tcPr>
          <w:p w14:paraId="1DA50453">
            <w:pPr>
              <w:pStyle w:val="13"/>
            </w:pPr>
            <w:r>
              <w:t>河北省建档立卡家庭经济困难学生资助管理暂行办法</w:t>
            </w:r>
          </w:p>
        </w:tc>
      </w:tr>
      <w:tr w14:paraId="300E8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FC109B">
            <w:pPr>
              <w:pStyle w:val="12"/>
            </w:pPr>
            <w:r>
              <w:t>满意度指标</w:t>
            </w:r>
          </w:p>
        </w:tc>
        <w:tc>
          <w:tcPr>
            <w:tcW w:w="2268" w:type="dxa"/>
            <w:vAlign w:val="center"/>
          </w:tcPr>
          <w:p w14:paraId="7EFE790A">
            <w:pPr>
              <w:pStyle w:val="13"/>
            </w:pPr>
            <w:r>
              <w:t>服务对象满意度指标</w:t>
            </w:r>
          </w:p>
        </w:tc>
        <w:tc>
          <w:tcPr>
            <w:tcW w:w="2835" w:type="dxa"/>
            <w:vAlign w:val="center"/>
          </w:tcPr>
          <w:p w14:paraId="43C41D44">
            <w:pPr>
              <w:pStyle w:val="13"/>
            </w:pPr>
            <w:r>
              <w:t>提升幸福指数</w:t>
            </w:r>
          </w:p>
        </w:tc>
        <w:tc>
          <w:tcPr>
            <w:tcW w:w="5386" w:type="dxa"/>
            <w:vAlign w:val="center"/>
          </w:tcPr>
          <w:p w14:paraId="7BA18179">
            <w:pPr>
              <w:pStyle w:val="13"/>
            </w:pPr>
            <w:r>
              <w:t>提升建档立卡贫困家庭学生幸福指数</w:t>
            </w:r>
          </w:p>
          <w:p w14:paraId="5D47E13E">
            <w:pPr>
              <w:pStyle w:val="13"/>
            </w:pPr>
            <w:r>
              <w:t>家长学生满意</w:t>
            </w:r>
          </w:p>
        </w:tc>
        <w:tc>
          <w:tcPr>
            <w:tcW w:w="2268" w:type="dxa"/>
            <w:vAlign w:val="center"/>
          </w:tcPr>
          <w:p w14:paraId="2D258307">
            <w:pPr>
              <w:pStyle w:val="13"/>
            </w:pPr>
            <w:r>
              <w:t>≥98%</w:t>
            </w:r>
          </w:p>
        </w:tc>
        <w:tc>
          <w:tcPr>
            <w:tcW w:w="1276" w:type="dxa"/>
            <w:vAlign w:val="center"/>
          </w:tcPr>
          <w:p w14:paraId="594F5178">
            <w:pPr>
              <w:pStyle w:val="13"/>
            </w:pPr>
            <w:r>
              <w:t>河北省建档立卡家庭经济困难学生资助管理暂行办法</w:t>
            </w:r>
          </w:p>
        </w:tc>
      </w:tr>
    </w:tbl>
    <w:p w14:paraId="16C000CA">
      <w:pPr>
        <w:sectPr>
          <w:pgSz w:w="16840" w:h="11900" w:orient="landscape"/>
          <w:pgMar w:top="1361" w:right="1020" w:bottom="1134" w:left="1020" w:header="720" w:footer="720" w:gutter="0"/>
          <w:cols w:space="720" w:num="1"/>
        </w:sectPr>
      </w:pPr>
    </w:p>
    <w:p w14:paraId="678C2BF2">
      <w:pPr>
        <w:spacing w:before="0" w:after="0"/>
        <w:ind w:firstLine="560"/>
        <w:jc w:val="left"/>
        <w:outlineLvl w:val="9"/>
      </w:pPr>
      <w:r>
        <w:rPr>
          <w:rFonts w:ascii="方正仿宋_GBK" w:hAnsi="方正仿宋_GBK" w:eastAsia="方正仿宋_GBK" w:cs="方正仿宋_GBK"/>
          <w:b/>
          <w:color w:val="000000"/>
          <w:sz w:val="28"/>
        </w:rPr>
        <w:t>41、冀财教[2024]137号/省级/2025年普通高中资金/普通高中助学金（唐尧高中）绩效目标表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8A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864EB">
            <w:pPr>
              <w:pStyle w:val="14"/>
            </w:pPr>
            <w:r>
              <w:t>单位：万元</w:t>
            </w:r>
          </w:p>
        </w:tc>
      </w:tr>
      <w:tr w14:paraId="43386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18D78">
            <w:pPr>
              <w:pStyle w:val="11"/>
            </w:pPr>
            <w:r>
              <w:t>项目编码</w:t>
            </w:r>
          </w:p>
        </w:tc>
        <w:tc>
          <w:tcPr>
            <w:tcW w:w="5103" w:type="dxa"/>
            <w:gridSpan w:val="2"/>
            <w:vAlign w:val="center"/>
          </w:tcPr>
          <w:p w14:paraId="5D6D8EC6">
            <w:pPr>
              <w:pStyle w:val="13"/>
            </w:pPr>
            <w:r>
              <w:t>13052525P000012100390</w:t>
            </w:r>
          </w:p>
        </w:tc>
        <w:tc>
          <w:tcPr>
            <w:tcW w:w="2835" w:type="dxa"/>
            <w:vAlign w:val="center"/>
          </w:tcPr>
          <w:p w14:paraId="110CAE24">
            <w:pPr>
              <w:pStyle w:val="11"/>
            </w:pPr>
            <w:r>
              <w:t>项目名称</w:t>
            </w:r>
          </w:p>
        </w:tc>
        <w:tc>
          <w:tcPr>
            <w:tcW w:w="6095" w:type="dxa"/>
            <w:gridSpan w:val="3"/>
            <w:vAlign w:val="center"/>
          </w:tcPr>
          <w:p w14:paraId="0E4CC5C4">
            <w:pPr>
              <w:pStyle w:val="13"/>
            </w:pPr>
            <w:r>
              <w:t>冀财教[2024]137号/省级/2025年普通高中资金/普通高中助学金（唐尧高中）</w:t>
            </w:r>
          </w:p>
        </w:tc>
      </w:tr>
      <w:tr w14:paraId="2CBC9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560D5">
            <w:pPr>
              <w:pStyle w:val="11"/>
            </w:pPr>
            <w:r>
              <w:t>预算规模及资金用途</w:t>
            </w:r>
          </w:p>
        </w:tc>
        <w:tc>
          <w:tcPr>
            <w:tcW w:w="2268" w:type="dxa"/>
            <w:vAlign w:val="center"/>
          </w:tcPr>
          <w:p w14:paraId="4AA1086A">
            <w:pPr>
              <w:pStyle w:val="11"/>
            </w:pPr>
            <w:r>
              <w:t>预算数</w:t>
            </w:r>
          </w:p>
        </w:tc>
        <w:tc>
          <w:tcPr>
            <w:tcW w:w="2835" w:type="dxa"/>
            <w:vAlign w:val="center"/>
          </w:tcPr>
          <w:p w14:paraId="0A7E764C">
            <w:pPr>
              <w:pStyle w:val="13"/>
            </w:pPr>
            <w:r>
              <w:t>13.00</w:t>
            </w:r>
          </w:p>
        </w:tc>
        <w:tc>
          <w:tcPr>
            <w:tcW w:w="2835" w:type="dxa"/>
            <w:vAlign w:val="center"/>
          </w:tcPr>
          <w:p w14:paraId="1F434F6A">
            <w:pPr>
              <w:pStyle w:val="11"/>
            </w:pPr>
            <w:r>
              <w:t>其中：财政    资金</w:t>
            </w:r>
          </w:p>
        </w:tc>
        <w:tc>
          <w:tcPr>
            <w:tcW w:w="2551" w:type="dxa"/>
            <w:vAlign w:val="center"/>
          </w:tcPr>
          <w:p w14:paraId="4131AC5D">
            <w:pPr>
              <w:pStyle w:val="13"/>
            </w:pPr>
            <w:r>
              <w:t>13.00</w:t>
            </w:r>
          </w:p>
        </w:tc>
        <w:tc>
          <w:tcPr>
            <w:tcW w:w="2268" w:type="dxa"/>
            <w:vAlign w:val="center"/>
          </w:tcPr>
          <w:p w14:paraId="0A79E840">
            <w:pPr>
              <w:pStyle w:val="11"/>
            </w:pPr>
            <w:r>
              <w:t>其他资金</w:t>
            </w:r>
          </w:p>
        </w:tc>
        <w:tc>
          <w:tcPr>
            <w:tcW w:w="1276" w:type="dxa"/>
            <w:vAlign w:val="center"/>
          </w:tcPr>
          <w:p w14:paraId="16892A2D">
            <w:pPr>
              <w:pStyle w:val="13"/>
            </w:pPr>
            <w:r>
              <w:t xml:space="preserve"> </w:t>
            </w:r>
          </w:p>
        </w:tc>
      </w:tr>
      <w:tr w14:paraId="45C97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90EB11"/>
        </w:tc>
        <w:tc>
          <w:tcPr>
            <w:tcW w:w="14033" w:type="dxa"/>
            <w:gridSpan w:val="6"/>
            <w:vAlign w:val="center"/>
          </w:tcPr>
          <w:p w14:paraId="552A2B93">
            <w:pPr>
              <w:pStyle w:val="13"/>
            </w:pPr>
            <w:r>
              <w:t>及时发放资助资金，确保贫困家庭学生得到资助，不因贫困失学辍学</w:t>
            </w:r>
            <w:r>
              <w:tab/>
            </w:r>
            <w:r>
              <w:tab/>
            </w:r>
            <w:r>
              <w:tab/>
            </w:r>
            <w:r>
              <w:tab/>
            </w:r>
          </w:p>
          <w:p w14:paraId="4844D18B">
            <w:pPr>
              <w:pStyle w:val="13"/>
            </w:pPr>
            <w:r>
              <w:t>深入宣传学生资助政策，落实河北省普通高中国家助学金管理办法</w:t>
            </w:r>
            <w:r>
              <w:tab/>
            </w:r>
            <w:r>
              <w:tab/>
            </w:r>
            <w:r>
              <w:tab/>
            </w:r>
            <w:r>
              <w:tab/>
            </w:r>
            <w:r>
              <w:tab/>
            </w:r>
            <w:r>
              <w:tab/>
            </w:r>
          </w:p>
          <w:p w14:paraId="523939CF">
            <w:pPr>
              <w:pStyle w:val="13"/>
            </w:pPr>
            <w:r>
              <w:t>优先资助建档立卡家庭学生、孤残学生、父母丧失劳动能力学生、少数民族学生、烈士子女与单亲家庭经济困难学生、低保、特困救助、突发致贫学生</w:t>
            </w:r>
            <w:r>
              <w:tab/>
            </w:r>
            <w:r>
              <w:tab/>
            </w:r>
            <w:r>
              <w:tab/>
            </w:r>
            <w:r>
              <w:tab/>
            </w:r>
            <w:r>
              <w:tab/>
            </w:r>
            <w:r>
              <w:tab/>
            </w:r>
          </w:p>
        </w:tc>
      </w:tr>
      <w:tr w14:paraId="61BA73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0D840">
            <w:pPr>
              <w:pStyle w:val="11"/>
            </w:pPr>
            <w:r>
              <w:t>资金支出计划（%）</w:t>
            </w:r>
          </w:p>
        </w:tc>
        <w:tc>
          <w:tcPr>
            <w:tcW w:w="5103" w:type="dxa"/>
            <w:gridSpan w:val="2"/>
            <w:vAlign w:val="center"/>
          </w:tcPr>
          <w:p w14:paraId="55D14D66">
            <w:pPr>
              <w:pStyle w:val="11"/>
            </w:pPr>
            <w:r>
              <w:t>3月底</w:t>
            </w:r>
          </w:p>
        </w:tc>
        <w:tc>
          <w:tcPr>
            <w:tcW w:w="2835" w:type="dxa"/>
            <w:vAlign w:val="center"/>
          </w:tcPr>
          <w:p w14:paraId="29EDE4F7">
            <w:pPr>
              <w:pStyle w:val="11"/>
            </w:pPr>
            <w:r>
              <w:t>6月底</w:t>
            </w:r>
          </w:p>
        </w:tc>
        <w:tc>
          <w:tcPr>
            <w:tcW w:w="2551" w:type="dxa"/>
            <w:vAlign w:val="center"/>
          </w:tcPr>
          <w:p w14:paraId="554CC3B4">
            <w:pPr>
              <w:pStyle w:val="11"/>
            </w:pPr>
            <w:r>
              <w:t>10月底</w:t>
            </w:r>
          </w:p>
        </w:tc>
        <w:tc>
          <w:tcPr>
            <w:tcW w:w="3544" w:type="dxa"/>
            <w:gridSpan w:val="2"/>
            <w:vAlign w:val="center"/>
          </w:tcPr>
          <w:p w14:paraId="552FD10F">
            <w:pPr>
              <w:pStyle w:val="11"/>
            </w:pPr>
            <w:r>
              <w:t>12月底</w:t>
            </w:r>
          </w:p>
        </w:tc>
      </w:tr>
      <w:tr w14:paraId="05506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00A89"/>
        </w:tc>
        <w:tc>
          <w:tcPr>
            <w:tcW w:w="5103" w:type="dxa"/>
            <w:gridSpan w:val="2"/>
            <w:vAlign w:val="center"/>
          </w:tcPr>
          <w:p w14:paraId="5327540D">
            <w:pPr>
              <w:pStyle w:val="12"/>
            </w:pPr>
            <w:r>
              <w:t xml:space="preserve"> </w:t>
            </w:r>
          </w:p>
        </w:tc>
        <w:tc>
          <w:tcPr>
            <w:tcW w:w="2835" w:type="dxa"/>
            <w:vAlign w:val="center"/>
          </w:tcPr>
          <w:p w14:paraId="77B3A61E">
            <w:pPr>
              <w:pStyle w:val="12"/>
            </w:pPr>
            <w:r>
              <w:t>50%</w:t>
            </w:r>
          </w:p>
        </w:tc>
        <w:tc>
          <w:tcPr>
            <w:tcW w:w="2551" w:type="dxa"/>
            <w:vAlign w:val="center"/>
          </w:tcPr>
          <w:p w14:paraId="3ED4C330">
            <w:pPr>
              <w:pStyle w:val="12"/>
            </w:pPr>
            <w:r>
              <w:t>75%</w:t>
            </w:r>
          </w:p>
        </w:tc>
        <w:tc>
          <w:tcPr>
            <w:tcW w:w="3544" w:type="dxa"/>
            <w:gridSpan w:val="2"/>
            <w:vAlign w:val="center"/>
          </w:tcPr>
          <w:p w14:paraId="315DE5B9">
            <w:pPr>
              <w:pStyle w:val="12"/>
            </w:pPr>
            <w:r>
              <w:t>100%</w:t>
            </w:r>
          </w:p>
        </w:tc>
      </w:tr>
      <w:tr w14:paraId="20B6D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B349A8">
            <w:pPr>
              <w:pStyle w:val="11"/>
            </w:pPr>
            <w:r>
              <w:t>绩效目标</w:t>
            </w:r>
          </w:p>
        </w:tc>
        <w:tc>
          <w:tcPr>
            <w:tcW w:w="14033" w:type="dxa"/>
            <w:gridSpan w:val="6"/>
            <w:vAlign w:val="center"/>
          </w:tcPr>
          <w:p w14:paraId="4B206970">
            <w:pPr>
              <w:pStyle w:val="13"/>
            </w:pPr>
            <w:r>
              <w:t>1.及时发放资助资金，确保贫困家庭学生得到资助，不因贫困失学辍学</w:t>
            </w:r>
            <w:r>
              <w:tab/>
            </w:r>
          </w:p>
          <w:p w14:paraId="660CDF1C">
            <w:pPr>
              <w:pStyle w:val="13"/>
            </w:pPr>
            <w:r>
              <w:t>2.深入宣传学生资助政策，落实河北省普通高中国家助学金管理办法</w:t>
            </w:r>
          </w:p>
          <w:p w14:paraId="435D4013">
            <w:pPr>
              <w:pStyle w:val="13"/>
            </w:pPr>
            <w:r>
              <w:t>3.优先资助建档立卡家庭学生、孤残学生、父母丧失劳动能力学生、少数民族学生、烈士子女与单亲家庭经济困难学生、低保、特困救助、突发致贫学生</w:t>
            </w:r>
          </w:p>
        </w:tc>
      </w:tr>
    </w:tbl>
    <w:p w14:paraId="1F98F0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EB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7F120">
            <w:pPr>
              <w:pStyle w:val="11"/>
            </w:pPr>
            <w:r>
              <w:t>一级指标</w:t>
            </w:r>
          </w:p>
        </w:tc>
        <w:tc>
          <w:tcPr>
            <w:tcW w:w="2268" w:type="dxa"/>
            <w:vAlign w:val="center"/>
          </w:tcPr>
          <w:p w14:paraId="0988829A">
            <w:pPr>
              <w:pStyle w:val="11"/>
            </w:pPr>
            <w:r>
              <w:t>二级指标</w:t>
            </w:r>
          </w:p>
        </w:tc>
        <w:tc>
          <w:tcPr>
            <w:tcW w:w="2835" w:type="dxa"/>
            <w:vAlign w:val="center"/>
          </w:tcPr>
          <w:p w14:paraId="72C2047B">
            <w:pPr>
              <w:pStyle w:val="11"/>
            </w:pPr>
            <w:r>
              <w:t>三级指标</w:t>
            </w:r>
          </w:p>
        </w:tc>
        <w:tc>
          <w:tcPr>
            <w:tcW w:w="5386" w:type="dxa"/>
            <w:vAlign w:val="center"/>
          </w:tcPr>
          <w:p w14:paraId="05A52CDD">
            <w:pPr>
              <w:pStyle w:val="11"/>
            </w:pPr>
            <w:r>
              <w:t>绩效指标描述</w:t>
            </w:r>
          </w:p>
        </w:tc>
        <w:tc>
          <w:tcPr>
            <w:tcW w:w="2268" w:type="dxa"/>
            <w:vAlign w:val="center"/>
          </w:tcPr>
          <w:p w14:paraId="13436663">
            <w:pPr>
              <w:pStyle w:val="11"/>
            </w:pPr>
            <w:r>
              <w:t>指标值</w:t>
            </w:r>
          </w:p>
        </w:tc>
        <w:tc>
          <w:tcPr>
            <w:tcW w:w="1276" w:type="dxa"/>
            <w:vAlign w:val="center"/>
          </w:tcPr>
          <w:p w14:paraId="6BF1B2B0">
            <w:pPr>
              <w:pStyle w:val="11"/>
            </w:pPr>
            <w:r>
              <w:t>指标值确定依据</w:t>
            </w:r>
          </w:p>
        </w:tc>
      </w:tr>
      <w:tr w14:paraId="39799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941FC">
            <w:pPr>
              <w:pStyle w:val="12"/>
            </w:pPr>
            <w:r>
              <w:t>产出指标</w:t>
            </w:r>
          </w:p>
        </w:tc>
        <w:tc>
          <w:tcPr>
            <w:tcW w:w="2268" w:type="dxa"/>
            <w:vAlign w:val="center"/>
          </w:tcPr>
          <w:p w14:paraId="0A05F4A8">
            <w:pPr>
              <w:pStyle w:val="13"/>
            </w:pPr>
            <w:r>
              <w:t>数量指标</w:t>
            </w:r>
          </w:p>
        </w:tc>
        <w:tc>
          <w:tcPr>
            <w:tcW w:w="2835" w:type="dxa"/>
            <w:vAlign w:val="center"/>
          </w:tcPr>
          <w:p w14:paraId="362D4E3B">
            <w:pPr>
              <w:pStyle w:val="13"/>
            </w:pPr>
            <w:r>
              <w:t>普通高中资助人数</w:t>
            </w:r>
          </w:p>
        </w:tc>
        <w:tc>
          <w:tcPr>
            <w:tcW w:w="5386" w:type="dxa"/>
            <w:vAlign w:val="center"/>
          </w:tcPr>
          <w:p w14:paraId="478DE54E">
            <w:pPr>
              <w:pStyle w:val="13"/>
            </w:pPr>
            <w:r>
              <w:t>普通高中助学受资助人数约占普通高中在校生总数的18%</w:t>
            </w:r>
          </w:p>
        </w:tc>
        <w:tc>
          <w:tcPr>
            <w:tcW w:w="2268" w:type="dxa"/>
            <w:vAlign w:val="center"/>
          </w:tcPr>
          <w:p w14:paraId="65C56834">
            <w:pPr>
              <w:pStyle w:val="13"/>
            </w:pPr>
            <w:r>
              <w:t>300人</w:t>
            </w:r>
          </w:p>
        </w:tc>
        <w:tc>
          <w:tcPr>
            <w:tcW w:w="1276" w:type="dxa"/>
            <w:vAlign w:val="center"/>
          </w:tcPr>
          <w:p w14:paraId="62DD07B9">
            <w:pPr>
              <w:pStyle w:val="13"/>
            </w:pPr>
            <w:r>
              <w:t>年度预算</w:t>
            </w:r>
          </w:p>
        </w:tc>
      </w:tr>
      <w:tr w14:paraId="65E8D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8DCC3F3"/>
        </w:tc>
        <w:tc>
          <w:tcPr>
            <w:tcW w:w="2268" w:type="dxa"/>
            <w:vAlign w:val="center"/>
          </w:tcPr>
          <w:p w14:paraId="55C688F1">
            <w:pPr>
              <w:pStyle w:val="13"/>
            </w:pPr>
            <w:r>
              <w:t>质量指标</w:t>
            </w:r>
          </w:p>
        </w:tc>
        <w:tc>
          <w:tcPr>
            <w:tcW w:w="2835" w:type="dxa"/>
            <w:vAlign w:val="center"/>
          </w:tcPr>
          <w:p w14:paraId="450151A0">
            <w:pPr>
              <w:pStyle w:val="13"/>
            </w:pPr>
            <w:r>
              <w:t>成立评审小组</w:t>
            </w:r>
          </w:p>
        </w:tc>
        <w:tc>
          <w:tcPr>
            <w:tcW w:w="5386" w:type="dxa"/>
            <w:vAlign w:val="center"/>
          </w:tcPr>
          <w:p w14:paraId="07A23275">
            <w:pPr>
              <w:pStyle w:val="13"/>
            </w:pPr>
            <w:r>
              <w:t>成立普高助学金评审小组建立监督检查制度</w:t>
            </w:r>
          </w:p>
        </w:tc>
        <w:tc>
          <w:tcPr>
            <w:tcW w:w="2268" w:type="dxa"/>
            <w:vAlign w:val="center"/>
          </w:tcPr>
          <w:p w14:paraId="5280C852">
            <w:pPr>
              <w:pStyle w:val="13"/>
            </w:pPr>
            <w:r>
              <w:t>1组</w:t>
            </w:r>
          </w:p>
        </w:tc>
        <w:tc>
          <w:tcPr>
            <w:tcW w:w="1276" w:type="dxa"/>
            <w:vAlign w:val="center"/>
          </w:tcPr>
          <w:p w14:paraId="45277388">
            <w:pPr>
              <w:pStyle w:val="13"/>
            </w:pPr>
            <w:r>
              <w:t>隆尧县普通高中国家助学金管理办法</w:t>
            </w:r>
          </w:p>
        </w:tc>
      </w:tr>
      <w:tr w14:paraId="627CB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D382B"/>
        </w:tc>
        <w:tc>
          <w:tcPr>
            <w:tcW w:w="2268" w:type="dxa"/>
            <w:vAlign w:val="center"/>
          </w:tcPr>
          <w:p w14:paraId="62FC4066">
            <w:pPr>
              <w:pStyle w:val="13"/>
            </w:pPr>
            <w:r>
              <w:t>时效指标</w:t>
            </w:r>
          </w:p>
        </w:tc>
        <w:tc>
          <w:tcPr>
            <w:tcW w:w="2835" w:type="dxa"/>
            <w:vAlign w:val="center"/>
          </w:tcPr>
          <w:p w14:paraId="71D8250F">
            <w:pPr>
              <w:pStyle w:val="13"/>
            </w:pPr>
            <w:r>
              <w:t>补助资金到位</w:t>
            </w:r>
          </w:p>
        </w:tc>
        <w:tc>
          <w:tcPr>
            <w:tcW w:w="5386" w:type="dxa"/>
            <w:vAlign w:val="center"/>
          </w:tcPr>
          <w:p w14:paraId="68E6A6E5">
            <w:pPr>
              <w:pStyle w:val="13"/>
            </w:pPr>
            <w:r>
              <w:t>补助资金及时足额到位率</w:t>
            </w:r>
          </w:p>
        </w:tc>
        <w:tc>
          <w:tcPr>
            <w:tcW w:w="2268" w:type="dxa"/>
            <w:vAlign w:val="center"/>
          </w:tcPr>
          <w:p w14:paraId="698029B9">
            <w:pPr>
              <w:pStyle w:val="13"/>
            </w:pPr>
            <w:r>
              <w:t>≥100%</w:t>
            </w:r>
          </w:p>
        </w:tc>
        <w:tc>
          <w:tcPr>
            <w:tcW w:w="1276" w:type="dxa"/>
            <w:vAlign w:val="center"/>
          </w:tcPr>
          <w:p w14:paraId="0E5972DA">
            <w:pPr>
              <w:pStyle w:val="13"/>
            </w:pPr>
            <w:r>
              <w:t>隆尧县普通高中国家助学金管理办法</w:t>
            </w:r>
          </w:p>
        </w:tc>
      </w:tr>
      <w:tr w14:paraId="1ECC1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D2B0E"/>
        </w:tc>
        <w:tc>
          <w:tcPr>
            <w:tcW w:w="2268" w:type="dxa"/>
            <w:vAlign w:val="center"/>
          </w:tcPr>
          <w:p w14:paraId="2BD824A3">
            <w:pPr>
              <w:pStyle w:val="13"/>
            </w:pPr>
            <w:r>
              <w:t>成本指标</w:t>
            </w:r>
          </w:p>
        </w:tc>
        <w:tc>
          <w:tcPr>
            <w:tcW w:w="2835" w:type="dxa"/>
            <w:vAlign w:val="center"/>
          </w:tcPr>
          <w:p w14:paraId="1271E9EA">
            <w:pPr>
              <w:pStyle w:val="13"/>
            </w:pPr>
            <w:r>
              <w:t>普高国家助学金标准</w:t>
            </w:r>
          </w:p>
        </w:tc>
        <w:tc>
          <w:tcPr>
            <w:tcW w:w="5386" w:type="dxa"/>
            <w:vAlign w:val="center"/>
          </w:tcPr>
          <w:p w14:paraId="65870ED6">
            <w:pPr>
              <w:pStyle w:val="13"/>
            </w:pPr>
            <w:r>
              <w:t>普高国家助学金资助标准2300元/生/年</w:t>
            </w:r>
          </w:p>
        </w:tc>
        <w:tc>
          <w:tcPr>
            <w:tcW w:w="2268" w:type="dxa"/>
            <w:vAlign w:val="center"/>
          </w:tcPr>
          <w:p w14:paraId="79F3FE3B">
            <w:pPr>
              <w:pStyle w:val="13"/>
            </w:pPr>
            <w:r>
              <w:t>2300元</w:t>
            </w:r>
          </w:p>
        </w:tc>
        <w:tc>
          <w:tcPr>
            <w:tcW w:w="1276" w:type="dxa"/>
            <w:vAlign w:val="center"/>
          </w:tcPr>
          <w:p w14:paraId="2617AF8A">
            <w:pPr>
              <w:pStyle w:val="13"/>
            </w:pPr>
            <w:r>
              <w:t>隆尧县普通高中国家助学金管理办法</w:t>
            </w:r>
          </w:p>
        </w:tc>
      </w:tr>
      <w:tr w14:paraId="2EC17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23C44EE5">
            <w:pPr>
              <w:pStyle w:val="12"/>
            </w:pPr>
            <w:r>
              <w:t>效益指标</w:t>
            </w:r>
          </w:p>
        </w:tc>
        <w:tc>
          <w:tcPr>
            <w:tcW w:w="2268" w:type="dxa"/>
            <w:vAlign w:val="center"/>
          </w:tcPr>
          <w:p w14:paraId="47076734">
            <w:pPr>
              <w:pStyle w:val="13"/>
            </w:pPr>
            <w:r>
              <w:t>可持续影响指标</w:t>
            </w:r>
          </w:p>
        </w:tc>
        <w:tc>
          <w:tcPr>
            <w:tcW w:w="2835" w:type="dxa"/>
            <w:vAlign w:val="center"/>
          </w:tcPr>
          <w:p w14:paraId="677A15A1">
            <w:pPr>
              <w:pStyle w:val="13"/>
            </w:pPr>
            <w:r>
              <w:t>高中运转</w:t>
            </w:r>
          </w:p>
        </w:tc>
        <w:tc>
          <w:tcPr>
            <w:tcW w:w="5386" w:type="dxa"/>
            <w:vAlign w:val="center"/>
          </w:tcPr>
          <w:p w14:paraId="69EB7B41">
            <w:pPr>
              <w:pStyle w:val="13"/>
            </w:pPr>
            <w:r>
              <w:t>高中生受教育年限</w:t>
            </w:r>
          </w:p>
        </w:tc>
        <w:tc>
          <w:tcPr>
            <w:tcW w:w="2268" w:type="dxa"/>
            <w:vAlign w:val="center"/>
          </w:tcPr>
          <w:p w14:paraId="614B01D3">
            <w:pPr>
              <w:pStyle w:val="13"/>
            </w:pPr>
            <w:r>
              <w:t>3年</w:t>
            </w:r>
          </w:p>
        </w:tc>
        <w:tc>
          <w:tcPr>
            <w:tcW w:w="1276" w:type="dxa"/>
            <w:vAlign w:val="center"/>
          </w:tcPr>
          <w:p w14:paraId="245A0456">
            <w:pPr>
              <w:pStyle w:val="13"/>
            </w:pPr>
            <w:r>
              <w:t>隆尧县普通高中国家助学金管理办法</w:t>
            </w:r>
          </w:p>
        </w:tc>
      </w:tr>
      <w:tr w14:paraId="16CD9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1AD9DC">
            <w:pPr>
              <w:pStyle w:val="12"/>
            </w:pPr>
            <w:r>
              <w:t>满意度指标</w:t>
            </w:r>
          </w:p>
        </w:tc>
        <w:tc>
          <w:tcPr>
            <w:tcW w:w="2268" w:type="dxa"/>
            <w:vAlign w:val="center"/>
          </w:tcPr>
          <w:p w14:paraId="2253D4F8">
            <w:pPr>
              <w:pStyle w:val="13"/>
            </w:pPr>
            <w:r>
              <w:t>服务对象满意度指标</w:t>
            </w:r>
          </w:p>
        </w:tc>
        <w:tc>
          <w:tcPr>
            <w:tcW w:w="2835" w:type="dxa"/>
            <w:vAlign w:val="center"/>
          </w:tcPr>
          <w:p w14:paraId="24084B00">
            <w:pPr>
              <w:pStyle w:val="13"/>
            </w:pPr>
            <w:r>
              <w:t>提升幸福指数</w:t>
            </w:r>
          </w:p>
        </w:tc>
        <w:tc>
          <w:tcPr>
            <w:tcW w:w="5386" w:type="dxa"/>
            <w:vAlign w:val="center"/>
          </w:tcPr>
          <w:p w14:paraId="401B57DA">
            <w:pPr>
              <w:pStyle w:val="13"/>
            </w:pPr>
            <w:r>
              <w:t>提升建档立卡贫困家庭学生幸福指数</w:t>
            </w:r>
          </w:p>
          <w:p w14:paraId="07A32DA1">
            <w:pPr>
              <w:pStyle w:val="13"/>
            </w:pPr>
            <w:r>
              <w:t>家长学生满意</w:t>
            </w:r>
          </w:p>
        </w:tc>
        <w:tc>
          <w:tcPr>
            <w:tcW w:w="2268" w:type="dxa"/>
            <w:vAlign w:val="center"/>
          </w:tcPr>
          <w:p w14:paraId="3987BD78">
            <w:pPr>
              <w:pStyle w:val="13"/>
            </w:pPr>
            <w:r>
              <w:t>≥98%</w:t>
            </w:r>
          </w:p>
        </w:tc>
        <w:tc>
          <w:tcPr>
            <w:tcW w:w="1276" w:type="dxa"/>
            <w:vAlign w:val="center"/>
          </w:tcPr>
          <w:p w14:paraId="002FFBF6">
            <w:pPr>
              <w:pStyle w:val="13"/>
            </w:pPr>
            <w:r>
              <w:t>隆尧县普通高中国家助学金管理办法</w:t>
            </w:r>
          </w:p>
        </w:tc>
      </w:tr>
    </w:tbl>
    <w:p w14:paraId="5C158EE8">
      <w:pPr>
        <w:sectPr>
          <w:pgSz w:w="16840" w:h="11900" w:orient="landscape"/>
          <w:pgMar w:top="1361" w:right="1020" w:bottom="1134" w:left="1020" w:header="720" w:footer="720" w:gutter="0"/>
          <w:cols w:space="720" w:num="1"/>
        </w:sectPr>
      </w:pPr>
    </w:p>
    <w:p w14:paraId="780623D3">
      <w:pPr>
        <w:spacing w:before="0" w:after="0"/>
        <w:ind w:firstLine="560"/>
        <w:jc w:val="left"/>
        <w:outlineLvl w:val="9"/>
      </w:pPr>
      <w:r>
        <w:rPr>
          <w:rFonts w:ascii="方正仿宋_GBK" w:hAnsi="方正仿宋_GBK" w:eastAsia="方正仿宋_GBK" w:cs="方正仿宋_GBK"/>
          <w:b/>
          <w:color w:val="000000"/>
          <w:sz w:val="28"/>
        </w:rPr>
        <w:t>42、冀财教[2024]137号/省级/2025年普通高中资金/普通高中助学金（文茂高中）绩效目标表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24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D58BA">
            <w:pPr>
              <w:pStyle w:val="14"/>
            </w:pPr>
            <w:r>
              <w:t>单位：万元</w:t>
            </w:r>
          </w:p>
        </w:tc>
      </w:tr>
      <w:tr w14:paraId="4CF49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08F0C">
            <w:pPr>
              <w:pStyle w:val="11"/>
            </w:pPr>
            <w:r>
              <w:t>项目编码</w:t>
            </w:r>
          </w:p>
        </w:tc>
        <w:tc>
          <w:tcPr>
            <w:tcW w:w="5103" w:type="dxa"/>
            <w:gridSpan w:val="2"/>
            <w:vAlign w:val="center"/>
          </w:tcPr>
          <w:p w14:paraId="6999663C">
            <w:pPr>
              <w:pStyle w:val="13"/>
            </w:pPr>
            <w:r>
              <w:t>13052525P000012100242</w:t>
            </w:r>
          </w:p>
        </w:tc>
        <w:tc>
          <w:tcPr>
            <w:tcW w:w="2835" w:type="dxa"/>
            <w:vAlign w:val="center"/>
          </w:tcPr>
          <w:p w14:paraId="1A456761">
            <w:pPr>
              <w:pStyle w:val="11"/>
            </w:pPr>
            <w:r>
              <w:t>项目名称</w:t>
            </w:r>
          </w:p>
        </w:tc>
        <w:tc>
          <w:tcPr>
            <w:tcW w:w="6095" w:type="dxa"/>
            <w:gridSpan w:val="3"/>
            <w:vAlign w:val="center"/>
          </w:tcPr>
          <w:p w14:paraId="41D1A51D">
            <w:pPr>
              <w:pStyle w:val="13"/>
            </w:pPr>
            <w:r>
              <w:t>冀财教[2024]137号/省级/2025年普通高中资金/普通高中助学金（文茂高中）</w:t>
            </w:r>
          </w:p>
        </w:tc>
      </w:tr>
      <w:tr w14:paraId="39FB8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F673B">
            <w:pPr>
              <w:pStyle w:val="11"/>
            </w:pPr>
            <w:r>
              <w:t>预算规模及资金用途</w:t>
            </w:r>
          </w:p>
        </w:tc>
        <w:tc>
          <w:tcPr>
            <w:tcW w:w="2268" w:type="dxa"/>
            <w:vAlign w:val="center"/>
          </w:tcPr>
          <w:p w14:paraId="72134EA7">
            <w:pPr>
              <w:pStyle w:val="11"/>
            </w:pPr>
            <w:r>
              <w:t>预算数</w:t>
            </w:r>
          </w:p>
        </w:tc>
        <w:tc>
          <w:tcPr>
            <w:tcW w:w="2835" w:type="dxa"/>
            <w:vAlign w:val="center"/>
          </w:tcPr>
          <w:p w14:paraId="613A58BB">
            <w:pPr>
              <w:pStyle w:val="13"/>
            </w:pPr>
            <w:r>
              <w:t>17.00</w:t>
            </w:r>
          </w:p>
        </w:tc>
        <w:tc>
          <w:tcPr>
            <w:tcW w:w="2835" w:type="dxa"/>
            <w:vAlign w:val="center"/>
          </w:tcPr>
          <w:p w14:paraId="19C1EC92">
            <w:pPr>
              <w:pStyle w:val="11"/>
            </w:pPr>
            <w:r>
              <w:t>其中：财政    资金</w:t>
            </w:r>
          </w:p>
        </w:tc>
        <w:tc>
          <w:tcPr>
            <w:tcW w:w="2551" w:type="dxa"/>
            <w:vAlign w:val="center"/>
          </w:tcPr>
          <w:p w14:paraId="270AEA06">
            <w:pPr>
              <w:pStyle w:val="13"/>
            </w:pPr>
            <w:r>
              <w:t>17.00</w:t>
            </w:r>
          </w:p>
        </w:tc>
        <w:tc>
          <w:tcPr>
            <w:tcW w:w="2268" w:type="dxa"/>
            <w:vAlign w:val="center"/>
          </w:tcPr>
          <w:p w14:paraId="0A28D135">
            <w:pPr>
              <w:pStyle w:val="11"/>
            </w:pPr>
            <w:r>
              <w:t>其他资金</w:t>
            </w:r>
          </w:p>
        </w:tc>
        <w:tc>
          <w:tcPr>
            <w:tcW w:w="1276" w:type="dxa"/>
            <w:vAlign w:val="center"/>
          </w:tcPr>
          <w:p w14:paraId="37AE8562">
            <w:pPr>
              <w:pStyle w:val="13"/>
            </w:pPr>
            <w:r>
              <w:t xml:space="preserve"> </w:t>
            </w:r>
          </w:p>
        </w:tc>
      </w:tr>
      <w:tr w14:paraId="3E2C1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0D7C68"/>
        </w:tc>
        <w:tc>
          <w:tcPr>
            <w:tcW w:w="14033" w:type="dxa"/>
            <w:gridSpan w:val="6"/>
            <w:vAlign w:val="center"/>
          </w:tcPr>
          <w:p w14:paraId="2C48D107">
            <w:pPr>
              <w:pStyle w:val="13"/>
            </w:pPr>
            <w:r>
              <w:t>及时发放资助资金，确保贫困家庭学生得到资助，不因贫困失学辍学；深入宣传学生资助政策，落实河北省普通高中国家助学金管理办法；优先资助建档立卡家庭学生、孤残学生、父母丧失劳动能力学生、少数民族学生、烈士子女与单亲家庭经济困难学生、低保、特困救助、突发致贫学生</w:t>
            </w:r>
          </w:p>
        </w:tc>
      </w:tr>
      <w:tr w14:paraId="21417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9C145">
            <w:pPr>
              <w:pStyle w:val="11"/>
            </w:pPr>
            <w:r>
              <w:t>资金支出计划（%）</w:t>
            </w:r>
          </w:p>
        </w:tc>
        <w:tc>
          <w:tcPr>
            <w:tcW w:w="5103" w:type="dxa"/>
            <w:gridSpan w:val="2"/>
            <w:vAlign w:val="center"/>
          </w:tcPr>
          <w:p w14:paraId="3C9FBD59">
            <w:pPr>
              <w:pStyle w:val="11"/>
            </w:pPr>
            <w:r>
              <w:t>3月底</w:t>
            </w:r>
          </w:p>
        </w:tc>
        <w:tc>
          <w:tcPr>
            <w:tcW w:w="2835" w:type="dxa"/>
            <w:vAlign w:val="center"/>
          </w:tcPr>
          <w:p w14:paraId="701AE46E">
            <w:pPr>
              <w:pStyle w:val="11"/>
            </w:pPr>
            <w:r>
              <w:t>6月底</w:t>
            </w:r>
          </w:p>
        </w:tc>
        <w:tc>
          <w:tcPr>
            <w:tcW w:w="2551" w:type="dxa"/>
            <w:vAlign w:val="center"/>
          </w:tcPr>
          <w:p w14:paraId="79ABE7CA">
            <w:pPr>
              <w:pStyle w:val="11"/>
            </w:pPr>
            <w:r>
              <w:t>10月底</w:t>
            </w:r>
          </w:p>
        </w:tc>
        <w:tc>
          <w:tcPr>
            <w:tcW w:w="3544" w:type="dxa"/>
            <w:gridSpan w:val="2"/>
            <w:vAlign w:val="center"/>
          </w:tcPr>
          <w:p w14:paraId="160838A2">
            <w:pPr>
              <w:pStyle w:val="11"/>
            </w:pPr>
            <w:r>
              <w:t>12月底</w:t>
            </w:r>
          </w:p>
        </w:tc>
      </w:tr>
      <w:tr w14:paraId="46F57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573CBC"/>
        </w:tc>
        <w:tc>
          <w:tcPr>
            <w:tcW w:w="5103" w:type="dxa"/>
            <w:gridSpan w:val="2"/>
            <w:vAlign w:val="center"/>
          </w:tcPr>
          <w:p w14:paraId="324B3CAB">
            <w:pPr>
              <w:pStyle w:val="12"/>
            </w:pPr>
            <w:r>
              <w:t xml:space="preserve"> </w:t>
            </w:r>
          </w:p>
        </w:tc>
        <w:tc>
          <w:tcPr>
            <w:tcW w:w="2835" w:type="dxa"/>
            <w:vAlign w:val="center"/>
          </w:tcPr>
          <w:p w14:paraId="43615E9E">
            <w:pPr>
              <w:pStyle w:val="12"/>
            </w:pPr>
            <w:r>
              <w:t>50%</w:t>
            </w:r>
          </w:p>
        </w:tc>
        <w:tc>
          <w:tcPr>
            <w:tcW w:w="2551" w:type="dxa"/>
            <w:vAlign w:val="center"/>
          </w:tcPr>
          <w:p w14:paraId="4A41C52C">
            <w:pPr>
              <w:pStyle w:val="12"/>
            </w:pPr>
            <w:r>
              <w:t>75%</w:t>
            </w:r>
          </w:p>
        </w:tc>
        <w:tc>
          <w:tcPr>
            <w:tcW w:w="3544" w:type="dxa"/>
            <w:gridSpan w:val="2"/>
            <w:vAlign w:val="center"/>
          </w:tcPr>
          <w:p w14:paraId="758274CE">
            <w:pPr>
              <w:pStyle w:val="12"/>
            </w:pPr>
            <w:r>
              <w:t>100%</w:t>
            </w:r>
          </w:p>
        </w:tc>
      </w:tr>
      <w:tr w14:paraId="0EBE5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E0B0B">
            <w:pPr>
              <w:pStyle w:val="11"/>
            </w:pPr>
            <w:r>
              <w:t>绩效目标</w:t>
            </w:r>
          </w:p>
        </w:tc>
        <w:tc>
          <w:tcPr>
            <w:tcW w:w="14033" w:type="dxa"/>
            <w:gridSpan w:val="6"/>
            <w:vAlign w:val="center"/>
          </w:tcPr>
          <w:p w14:paraId="3F9AA977">
            <w:pPr>
              <w:pStyle w:val="13"/>
            </w:pPr>
            <w:r>
              <w:t>1.及时发放资助资金，确保贫困家庭学生得到资助，不因贫困失学辍学</w:t>
            </w:r>
            <w:r>
              <w:tab/>
            </w:r>
          </w:p>
          <w:p w14:paraId="6822EB62">
            <w:pPr>
              <w:pStyle w:val="13"/>
            </w:pPr>
            <w:r>
              <w:t>2.深入宣传学生资助政策，落实河北省普通高中国家助学金管理办法</w:t>
            </w:r>
          </w:p>
          <w:p w14:paraId="04EB76F2">
            <w:pPr>
              <w:pStyle w:val="13"/>
            </w:pPr>
            <w:r>
              <w:t>3.优先资助建档立卡家庭学生、孤残学生、父母丧失劳动能力学生、少数民族学生、烈士子女与单亲家庭经济困难学生、低保、特困救助、突发致贫学生</w:t>
            </w:r>
            <w:r>
              <w:tab/>
            </w:r>
          </w:p>
        </w:tc>
      </w:tr>
    </w:tbl>
    <w:p w14:paraId="1EF48F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FF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8B5D4">
            <w:pPr>
              <w:pStyle w:val="11"/>
            </w:pPr>
            <w:r>
              <w:t>一级指标</w:t>
            </w:r>
          </w:p>
        </w:tc>
        <w:tc>
          <w:tcPr>
            <w:tcW w:w="2268" w:type="dxa"/>
            <w:vAlign w:val="center"/>
          </w:tcPr>
          <w:p w14:paraId="08C16D59">
            <w:pPr>
              <w:pStyle w:val="11"/>
            </w:pPr>
            <w:r>
              <w:t>二级指标</w:t>
            </w:r>
          </w:p>
        </w:tc>
        <w:tc>
          <w:tcPr>
            <w:tcW w:w="2835" w:type="dxa"/>
            <w:vAlign w:val="center"/>
          </w:tcPr>
          <w:p w14:paraId="37CB52FF">
            <w:pPr>
              <w:pStyle w:val="11"/>
            </w:pPr>
            <w:r>
              <w:t>三级指标</w:t>
            </w:r>
          </w:p>
        </w:tc>
        <w:tc>
          <w:tcPr>
            <w:tcW w:w="5386" w:type="dxa"/>
            <w:vAlign w:val="center"/>
          </w:tcPr>
          <w:p w14:paraId="49CC75B7">
            <w:pPr>
              <w:pStyle w:val="11"/>
            </w:pPr>
            <w:r>
              <w:t>绩效指标描述</w:t>
            </w:r>
          </w:p>
        </w:tc>
        <w:tc>
          <w:tcPr>
            <w:tcW w:w="2268" w:type="dxa"/>
            <w:vAlign w:val="center"/>
          </w:tcPr>
          <w:p w14:paraId="73082227">
            <w:pPr>
              <w:pStyle w:val="11"/>
            </w:pPr>
            <w:r>
              <w:t>指标值</w:t>
            </w:r>
          </w:p>
        </w:tc>
        <w:tc>
          <w:tcPr>
            <w:tcW w:w="1276" w:type="dxa"/>
            <w:vAlign w:val="center"/>
          </w:tcPr>
          <w:p w14:paraId="43ED21B1">
            <w:pPr>
              <w:pStyle w:val="11"/>
            </w:pPr>
            <w:r>
              <w:t>指标值确定依据</w:t>
            </w:r>
          </w:p>
        </w:tc>
      </w:tr>
      <w:tr w14:paraId="25A63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AD1FF">
            <w:pPr>
              <w:pStyle w:val="12"/>
            </w:pPr>
            <w:r>
              <w:t>产出指标</w:t>
            </w:r>
          </w:p>
        </w:tc>
        <w:tc>
          <w:tcPr>
            <w:tcW w:w="2268" w:type="dxa"/>
            <w:vAlign w:val="center"/>
          </w:tcPr>
          <w:p w14:paraId="23044561">
            <w:pPr>
              <w:pStyle w:val="13"/>
            </w:pPr>
            <w:r>
              <w:t>数量指标</w:t>
            </w:r>
          </w:p>
        </w:tc>
        <w:tc>
          <w:tcPr>
            <w:tcW w:w="2835" w:type="dxa"/>
            <w:vAlign w:val="center"/>
          </w:tcPr>
          <w:p w14:paraId="394D8CC8">
            <w:pPr>
              <w:pStyle w:val="13"/>
            </w:pPr>
            <w:r>
              <w:t>普通高中资助人数</w:t>
            </w:r>
          </w:p>
        </w:tc>
        <w:tc>
          <w:tcPr>
            <w:tcW w:w="5386" w:type="dxa"/>
            <w:vAlign w:val="center"/>
          </w:tcPr>
          <w:p w14:paraId="1C161BC9">
            <w:pPr>
              <w:pStyle w:val="13"/>
            </w:pPr>
            <w:r>
              <w:t>普通高中助学受资助人数约占普通高中在校生总数的18%</w:t>
            </w:r>
          </w:p>
        </w:tc>
        <w:tc>
          <w:tcPr>
            <w:tcW w:w="2268" w:type="dxa"/>
            <w:vAlign w:val="center"/>
          </w:tcPr>
          <w:p w14:paraId="162242D7">
            <w:pPr>
              <w:pStyle w:val="13"/>
            </w:pPr>
            <w:r>
              <w:t>372人</w:t>
            </w:r>
          </w:p>
        </w:tc>
        <w:tc>
          <w:tcPr>
            <w:tcW w:w="1276" w:type="dxa"/>
            <w:vAlign w:val="center"/>
          </w:tcPr>
          <w:p w14:paraId="73C0E4FA">
            <w:pPr>
              <w:pStyle w:val="13"/>
            </w:pPr>
            <w:r>
              <w:t>年度预算</w:t>
            </w:r>
          </w:p>
        </w:tc>
      </w:tr>
      <w:tr w14:paraId="58079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37B5F"/>
        </w:tc>
        <w:tc>
          <w:tcPr>
            <w:tcW w:w="2268" w:type="dxa"/>
            <w:vAlign w:val="center"/>
          </w:tcPr>
          <w:p w14:paraId="0B213EF9">
            <w:pPr>
              <w:pStyle w:val="13"/>
            </w:pPr>
            <w:r>
              <w:t>质量指标</w:t>
            </w:r>
          </w:p>
        </w:tc>
        <w:tc>
          <w:tcPr>
            <w:tcW w:w="2835" w:type="dxa"/>
            <w:vAlign w:val="center"/>
          </w:tcPr>
          <w:p w14:paraId="4CC7B543">
            <w:pPr>
              <w:pStyle w:val="13"/>
            </w:pPr>
            <w:r>
              <w:t>成立评审小组</w:t>
            </w:r>
          </w:p>
        </w:tc>
        <w:tc>
          <w:tcPr>
            <w:tcW w:w="5386" w:type="dxa"/>
            <w:vAlign w:val="center"/>
          </w:tcPr>
          <w:p w14:paraId="37940EC3">
            <w:pPr>
              <w:pStyle w:val="13"/>
            </w:pPr>
            <w:r>
              <w:t>成立普高助学金评审小组建立监督检查制度</w:t>
            </w:r>
          </w:p>
        </w:tc>
        <w:tc>
          <w:tcPr>
            <w:tcW w:w="2268" w:type="dxa"/>
            <w:vAlign w:val="center"/>
          </w:tcPr>
          <w:p w14:paraId="0484BA73">
            <w:pPr>
              <w:pStyle w:val="13"/>
            </w:pPr>
            <w:r>
              <w:t>1组</w:t>
            </w:r>
          </w:p>
        </w:tc>
        <w:tc>
          <w:tcPr>
            <w:tcW w:w="1276" w:type="dxa"/>
            <w:vAlign w:val="center"/>
          </w:tcPr>
          <w:p w14:paraId="7DFD81F9">
            <w:pPr>
              <w:pStyle w:val="13"/>
            </w:pPr>
            <w:r>
              <w:t>隆尧县普通高中国家助学金管理办法</w:t>
            </w:r>
          </w:p>
        </w:tc>
      </w:tr>
      <w:tr w14:paraId="1C3F8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94053"/>
        </w:tc>
        <w:tc>
          <w:tcPr>
            <w:tcW w:w="2268" w:type="dxa"/>
            <w:vAlign w:val="center"/>
          </w:tcPr>
          <w:p w14:paraId="025DB1C5">
            <w:pPr>
              <w:pStyle w:val="13"/>
            </w:pPr>
            <w:r>
              <w:t>时效指标</w:t>
            </w:r>
          </w:p>
        </w:tc>
        <w:tc>
          <w:tcPr>
            <w:tcW w:w="2835" w:type="dxa"/>
            <w:vAlign w:val="center"/>
          </w:tcPr>
          <w:p w14:paraId="71088291">
            <w:pPr>
              <w:pStyle w:val="13"/>
            </w:pPr>
            <w:r>
              <w:t>补助资金到位</w:t>
            </w:r>
          </w:p>
        </w:tc>
        <w:tc>
          <w:tcPr>
            <w:tcW w:w="5386" w:type="dxa"/>
            <w:vAlign w:val="center"/>
          </w:tcPr>
          <w:p w14:paraId="336E2CCB">
            <w:pPr>
              <w:pStyle w:val="13"/>
            </w:pPr>
            <w:r>
              <w:t>补助资金及时足额到位率</w:t>
            </w:r>
          </w:p>
        </w:tc>
        <w:tc>
          <w:tcPr>
            <w:tcW w:w="2268" w:type="dxa"/>
            <w:vAlign w:val="center"/>
          </w:tcPr>
          <w:p w14:paraId="50DF2215">
            <w:pPr>
              <w:pStyle w:val="13"/>
            </w:pPr>
            <w:r>
              <w:t>≥100%</w:t>
            </w:r>
          </w:p>
        </w:tc>
        <w:tc>
          <w:tcPr>
            <w:tcW w:w="1276" w:type="dxa"/>
            <w:vAlign w:val="center"/>
          </w:tcPr>
          <w:p w14:paraId="6F312888">
            <w:pPr>
              <w:pStyle w:val="13"/>
            </w:pPr>
            <w:r>
              <w:t>隆尧县普通高中国家助学金管理办法</w:t>
            </w:r>
          </w:p>
        </w:tc>
      </w:tr>
      <w:tr w14:paraId="529D8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2265E"/>
        </w:tc>
        <w:tc>
          <w:tcPr>
            <w:tcW w:w="2268" w:type="dxa"/>
            <w:vAlign w:val="center"/>
          </w:tcPr>
          <w:p w14:paraId="3667A385">
            <w:pPr>
              <w:pStyle w:val="13"/>
            </w:pPr>
            <w:r>
              <w:t>成本指标</w:t>
            </w:r>
          </w:p>
        </w:tc>
        <w:tc>
          <w:tcPr>
            <w:tcW w:w="2835" w:type="dxa"/>
            <w:vAlign w:val="center"/>
          </w:tcPr>
          <w:p w14:paraId="2C113F6D">
            <w:pPr>
              <w:pStyle w:val="13"/>
            </w:pPr>
            <w:r>
              <w:t>普高国家助学金标准</w:t>
            </w:r>
          </w:p>
        </w:tc>
        <w:tc>
          <w:tcPr>
            <w:tcW w:w="5386" w:type="dxa"/>
            <w:vAlign w:val="center"/>
          </w:tcPr>
          <w:p w14:paraId="0E9C44E5">
            <w:pPr>
              <w:pStyle w:val="13"/>
            </w:pPr>
            <w:r>
              <w:t>普高国家助学金资助标准2300元/生/年</w:t>
            </w:r>
          </w:p>
        </w:tc>
        <w:tc>
          <w:tcPr>
            <w:tcW w:w="2268" w:type="dxa"/>
            <w:vAlign w:val="center"/>
          </w:tcPr>
          <w:p w14:paraId="6D3584E4">
            <w:pPr>
              <w:pStyle w:val="13"/>
            </w:pPr>
            <w:r>
              <w:t>2300元</w:t>
            </w:r>
          </w:p>
        </w:tc>
        <w:tc>
          <w:tcPr>
            <w:tcW w:w="1276" w:type="dxa"/>
            <w:vAlign w:val="center"/>
          </w:tcPr>
          <w:p w14:paraId="0BED998D">
            <w:pPr>
              <w:pStyle w:val="13"/>
            </w:pPr>
            <w:r>
              <w:t>隆尧县普通高中国家助学金管理办法</w:t>
            </w:r>
          </w:p>
        </w:tc>
      </w:tr>
      <w:tr w14:paraId="0A40C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26805">
            <w:pPr>
              <w:pStyle w:val="12"/>
            </w:pPr>
            <w:r>
              <w:t>效益指标</w:t>
            </w:r>
          </w:p>
        </w:tc>
        <w:tc>
          <w:tcPr>
            <w:tcW w:w="2268" w:type="dxa"/>
            <w:vAlign w:val="center"/>
          </w:tcPr>
          <w:p w14:paraId="02803CF3">
            <w:pPr>
              <w:pStyle w:val="13"/>
            </w:pPr>
            <w:r>
              <w:t>可持续影响指标</w:t>
            </w:r>
          </w:p>
        </w:tc>
        <w:tc>
          <w:tcPr>
            <w:tcW w:w="2835" w:type="dxa"/>
            <w:vAlign w:val="center"/>
          </w:tcPr>
          <w:p w14:paraId="5D12396C">
            <w:pPr>
              <w:pStyle w:val="13"/>
            </w:pPr>
            <w:r>
              <w:t>高中运转</w:t>
            </w:r>
          </w:p>
        </w:tc>
        <w:tc>
          <w:tcPr>
            <w:tcW w:w="5386" w:type="dxa"/>
            <w:vAlign w:val="center"/>
          </w:tcPr>
          <w:p w14:paraId="664279A5">
            <w:pPr>
              <w:pStyle w:val="13"/>
            </w:pPr>
            <w:r>
              <w:t>高中生受教育年限</w:t>
            </w:r>
          </w:p>
        </w:tc>
        <w:tc>
          <w:tcPr>
            <w:tcW w:w="2268" w:type="dxa"/>
            <w:vAlign w:val="center"/>
          </w:tcPr>
          <w:p w14:paraId="670DFA90">
            <w:pPr>
              <w:pStyle w:val="13"/>
            </w:pPr>
            <w:r>
              <w:t>3年</w:t>
            </w:r>
          </w:p>
        </w:tc>
        <w:tc>
          <w:tcPr>
            <w:tcW w:w="1276" w:type="dxa"/>
            <w:vAlign w:val="center"/>
          </w:tcPr>
          <w:p w14:paraId="6F359F35">
            <w:pPr>
              <w:pStyle w:val="13"/>
            </w:pPr>
            <w:r>
              <w:t>隆尧县普通高中国家助学金管理办法</w:t>
            </w:r>
          </w:p>
        </w:tc>
      </w:tr>
      <w:tr w14:paraId="64694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028DA75A">
            <w:pPr>
              <w:pStyle w:val="12"/>
            </w:pPr>
            <w:r>
              <w:t>满意度指标</w:t>
            </w:r>
          </w:p>
        </w:tc>
        <w:tc>
          <w:tcPr>
            <w:tcW w:w="2268" w:type="dxa"/>
            <w:vAlign w:val="center"/>
          </w:tcPr>
          <w:p w14:paraId="598E77FD">
            <w:pPr>
              <w:pStyle w:val="13"/>
            </w:pPr>
            <w:r>
              <w:t>服务对象满意度指标</w:t>
            </w:r>
          </w:p>
        </w:tc>
        <w:tc>
          <w:tcPr>
            <w:tcW w:w="2835" w:type="dxa"/>
            <w:vAlign w:val="center"/>
          </w:tcPr>
          <w:p w14:paraId="4608BBE3">
            <w:pPr>
              <w:pStyle w:val="13"/>
            </w:pPr>
            <w:r>
              <w:t>提升幸福指数</w:t>
            </w:r>
          </w:p>
        </w:tc>
        <w:tc>
          <w:tcPr>
            <w:tcW w:w="5386" w:type="dxa"/>
            <w:vAlign w:val="center"/>
          </w:tcPr>
          <w:p w14:paraId="5CB4F4A6">
            <w:pPr>
              <w:pStyle w:val="13"/>
            </w:pPr>
            <w:r>
              <w:t>提升建档立卡贫困家庭学生幸福指数</w:t>
            </w:r>
          </w:p>
          <w:p w14:paraId="41CAF41C">
            <w:pPr>
              <w:pStyle w:val="13"/>
            </w:pPr>
            <w:r>
              <w:t>家长学生满意</w:t>
            </w:r>
          </w:p>
        </w:tc>
        <w:tc>
          <w:tcPr>
            <w:tcW w:w="2268" w:type="dxa"/>
            <w:vAlign w:val="center"/>
          </w:tcPr>
          <w:p w14:paraId="224EF178">
            <w:pPr>
              <w:pStyle w:val="13"/>
            </w:pPr>
            <w:r>
              <w:t>≥98%</w:t>
            </w:r>
          </w:p>
        </w:tc>
        <w:tc>
          <w:tcPr>
            <w:tcW w:w="1276" w:type="dxa"/>
            <w:vAlign w:val="center"/>
          </w:tcPr>
          <w:p w14:paraId="3F72221A">
            <w:pPr>
              <w:pStyle w:val="13"/>
            </w:pPr>
            <w:r>
              <w:t>隆尧县普通高中国家助学金管理办法</w:t>
            </w:r>
          </w:p>
        </w:tc>
      </w:tr>
    </w:tbl>
    <w:p w14:paraId="336D45DB">
      <w:pPr>
        <w:sectPr>
          <w:pgSz w:w="16840" w:h="11900" w:orient="landscape"/>
          <w:pgMar w:top="1361" w:right="1020" w:bottom="1134" w:left="1020" w:header="720" w:footer="720" w:gutter="0"/>
          <w:cols w:space="720" w:num="1"/>
        </w:sectPr>
      </w:pPr>
    </w:p>
    <w:p w14:paraId="4C5E1394">
      <w:pPr>
        <w:spacing w:before="0" w:after="0"/>
        <w:ind w:firstLine="560"/>
        <w:jc w:val="left"/>
        <w:outlineLvl w:val="9"/>
      </w:pPr>
      <w:r>
        <w:rPr>
          <w:rFonts w:ascii="方正仿宋_GBK" w:hAnsi="方正仿宋_GBK" w:eastAsia="方正仿宋_GBK" w:cs="方正仿宋_GBK"/>
          <w:b/>
          <w:color w:val="000000"/>
          <w:sz w:val="28"/>
        </w:rPr>
        <w:t>43、冀财教[2024]140号/省级/2025年义教发展补助资金/购买民办学校学位绩效目标表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477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A6823">
            <w:pPr>
              <w:pStyle w:val="14"/>
            </w:pPr>
            <w:r>
              <w:t>单位：万元</w:t>
            </w:r>
          </w:p>
        </w:tc>
      </w:tr>
      <w:tr w14:paraId="0583D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A62F3E9">
            <w:pPr>
              <w:pStyle w:val="11"/>
            </w:pPr>
            <w:r>
              <w:t>项目编码</w:t>
            </w:r>
          </w:p>
        </w:tc>
        <w:tc>
          <w:tcPr>
            <w:tcW w:w="5103" w:type="dxa"/>
            <w:gridSpan w:val="2"/>
            <w:vAlign w:val="center"/>
          </w:tcPr>
          <w:p w14:paraId="458C8518">
            <w:pPr>
              <w:pStyle w:val="13"/>
            </w:pPr>
            <w:r>
              <w:t>13052525P00877210001M</w:t>
            </w:r>
          </w:p>
        </w:tc>
        <w:tc>
          <w:tcPr>
            <w:tcW w:w="2835" w:type="dxa"/>
            <w:vAlign w:val="center"/>
          </w:tcPr>
          <w:p w14:paraId="1CF51526">
            <w:pPr>
              <w:pStyle w:val="11"/>
            </w:pPr>
            <w:r>
              <w:t>项目名称</w:t>
            </w:r>
          </w:p>
        </w:tc>
        <w:tc>
          <w:tcPr>
            <w:tcW w:w="6095" w:type="dxa"/>
            <w:gridSpan w:val="3"/>
            <w:vAlign w:val="center"/>
          </w:tcPr>
          <w:p w14:paraId="02A421A3">
            <w:pPr>
              <w:pStyle w:val="13"/>
            </w:pPr>
            <w:r>
              <w:t>冀财教[2024]140号/省级/2025年义教发展补助资金/购买民办学校学位</w:t>
            </w:r>
          </w:p>
        </w:tc>
      </w:tr>
      <w:tr w14:paraId="24C8E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D2C13">
            <w:pPr>
              <w:pStyle w:val="11"/>
            </w:pPr>
            <w:r>
              <w:t>预算规模及资金用途</w:t>
            </w:r>
          </w:p>
        </w:tc>
        <w:tc>
          <w:tcPr>
            <w:tcW w:w="2268" w:type="dxa"/>
            <w:vAlign w:val="center"/>
          </w:tcPr>
          <w:p w14:paraId="6F7AF95A">
            <w:pPr>
              <w:pStyle w:val="11"/>
            </w:pPr>
            <w:r>
              <w:t>预算数</w:t>
            </w:r>
          </w:p>
        </w:tc>
        <w:tc>
          <w:tcPr>
            <w:tcW w:w="2835" w:type="dxa"/>
            <w:vAlign w:val="center"/>
          </w:tcPr>
          <w:p w14:paraId="7DE6C6FF">
            <w:pPr>
              <w:pStyle w:val="13"/>
            </w:pPr>
            <w:r>
              <w:t>206.00</w:t>
            </w:r>
          </w:p>
        </w:tc>
        <w:tc>
          <w:tcPr>
            <w:tcW w:w="2835" w:type="dxa"/>
            <w:vAlign w:val="center"/>
          </w:tcPr>
          <w:p w14:paraId="6219FAA2">
            <w:pPr>
              <w:pStyle w:val="11"/>
            </w:pPr>
            <w:r>
              <w:t>其中：财政    资金</w:t>
            </w:r>
          </w:p>
        </w:tc>
        <w:tc>
          <w:tcPr>
            <w:tcW w:w="2551" w:type="dxa"/>
            <w:vAlign w:val="center"/>
          </w:tcPr>
          <w:p w14:paraId="4B5244B4">
            <w:pPr>
              <w:pStyle w:val="13"/>
            </w:pPr>
            <w:r>
              <w:t>206.00</w:t>
            </w:r>
          </w:p>
        </w:tc>
        <w:tc>
          <w:tcPr>
            <w:tcW w:w="2268" w:type="dxa"/>
            <w:vAlign w:val="center"/>
          </w:tcPr>
          <w:p w14:paraId="0CE98358">
            <w:pPr>
              <w:pStyle w:val="11"/>
            </w:pPr>
            <w:r>
              <w:t>其他资金</w:t>
            </w:r>
          </w:p>
        </w:tc>
        <w:tc>
          <w:tcPr>
            <w:tcW w:w="1276" w:type="dxa"/>
            <w:vAlign w:val="center"/>
          </w:tcPr>
          <w:p w14:paraId="31497CF0">
            <w:pPr>
              <w:pStyle w:val="13"/>
            </w:pPr>
            <w:r>
              <w:t xml:space="preserve"> </w:t>
            </w:r>
          </w:p>
        </w:tc>
      </w:tr>
      <w:tr w14:paraId="2569B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E036C3"/>
        </w:tc>
        <w:tc>
          <w:tcPr>
            <w:tcW w:w="14033" w:type="dxa"/>
            <w:gridSpan w:val="6"/>
            <w:vAlign w:val="center"/>
          </w:tcPr>
          <w:p w14:paraId="13ACFE87">
            <w:pPr>
              <w:pStyle w:val="13"/>
            </w:pPr>
            <w:r>
              <w:t>专项资金用于落实规范民办义务教育购买学位工作。</w:t>
            </w:r>
            <w:r>
              <w:tab/>
            </w:r>
            <w:r>
              <w:tab/>
            </w:r>
            <w:r>
              <w:tab/>
            </w:r>
            <w:r>
              <w:tab/>
            </w:r>
            <w:r>
              <w:tab/>
            </w:r>
            <w:r>
              <w:tab/>
            </w:r>
          </w:p>
          <w:p w14:paraId="3F57027E">
            <w:pPr>
              <w:pStyle w:val="13"/>
            </w:pPr>
          </w:p>
        </w:tc>
      </w:tr>
      <w:tr w14:paraId="371A1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36A26">
            <w:pPr>
              <w:pStyle w:val="11"/>
            </w:pPr>
            <w:r>
              <w:t>资金支出计划（%）</w:t>
            </w:r>
          </w:p>
        </w:tc>
        <w:tc>
          <w:tcPr>
            <w:tcW w:w="5103" w:type="dxa"/>
            <w:gridSpan w:val="2"/>
            <w:vAlign w:val="center"/>
          </w:tcPr>
          <w:p w14:paraId="586A4E48">
            <w:pPr>
              <w:pStyle w:val="11"/>
            </w:pPr>
            <w:r>
              <w:t>3月底</w:t>
            </w:r>
          </w:p>
        </w:tc>
        <w:tc>
          <w:tcPr>
            <w:tcW w:w="2835" w:type="dxa"/>
            <w:vAlign w:val="center"/>
          </w:tcPr>
          <w:p w14:paraId="6DF376AD">
            <w:pPr>
              <w:pStyle w:val="11"/>
            </w:pPr>
            <w:r>
              <w:t>6月底</w:t>
            </w:r>
          </w:p>
        </w:tc>
        <w:tc>
          <w:tcPr>
            <w:tcW w:w="2551" w:type="dxa"/>
            <w:vAlign w:val="center"/>
          </w:tcPr>
          <w:p w14:paraId="41889467">
            <w:pPr>
              <w:pStyle w:val="11"/>
            </w:pPr>
            <w:r>
              <w:t>10月底</w:t>
            </w:r>
          </w:p>
        </w:tc>
        <w:tc>
          <w:tcPr>
            <w:tcW w:w="3544" w:type="dxa"/>
            <w:gridSpan w:val="2"/>
            <w:vAlign w:val="center"/>
          </w:tcPr>
          <w:p w14:paraId="343D7776">
            <w:pPr>
              <w:pStyle w:val="11"/>
            </w:pPr>
            <w:r>
              <w:t>12月底</w:t>
            </w:r>
          </w:p>
        </w:tc>
      </w:tr>
      <w:tr w14:paraId="5E0C8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776045"/>
        </w:tc>
        <w:tc>
          <w:tcPr>
            <w:tcW w:w="5103" w:type="dxa"/>
            <w:gridSpan w:val="2"/>
            <w:vAlign w:val="center"/>
          </w:tcPr>
          <w:p w14:paraId="6088BDC8">
            <w:pPr>
              <w:pStyle w:val="12"/>
            </w:pPr>
            <w:r>
              <w:t>25%</w:t>
            </w:r>
          </w:p>
        </w:tc>
        <w:tc>
          <w:tcPr>
            <w:tcW w:w="2835" w:type="dxa"/>
            <w:vAlign w:val="center"/>
          </w:tcPr>
          <w:p w14:paraId="53FA4391">
            <w:pPr>
              <w:pStyle w:val="12"/>
            </w:pPr>
            <w:r>
              <w:t>50%</w:t>
            </w:r>
          </w:p>
        </w:tc>
        <w:tc>
          <w:tcPr>
            <w:tcW w:w="2551" w:type="dxa"/>
            <w:vAlign w:val="center"/>
          </w:tcPr>
          <w:p w14:paraId="02F4CE54">
            <w:pPr>
              <w:pStyle w:val="12"/>
            </w:pPr>
            <w:r>
              <w:t>75%</w:t>
            </w:r>
          </w:p>
        </w:tc>
        <w:tc>
          <w:tcPr>
            <w:tcW w:w="3544" w:type="dxa"/>
            <w:gridSpan w:val="2"/>
            <w:vAlign w:val="center"/>
          </w:tcPr>
          <w:p w14:paraId="750CF18A">
            <w:pPr>
              <w:pStyle w:val="12"/>
            </w:pPr>
            <w:r>
              <w:t>100%</w:t>
            </w:r>
          </w:p>
        </w:tc>
      </w:tr>
      <w:tr w14:paraId="13FA5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A9713">
            <w:pPr>
              <w:pStyle w:val="11"/>
            </w:pPr>
            <w:r>
              <w:t>绩效目标</w:t>
            </w:r>
          </w:p>
        </w:tc>
        <w:tc>
          <w:tcPr>
            <w:tcW w:w="14033" w:type="dxa"/>
            <w:gridSpan w:val="6"/>
            <w:vAlign w:val="center"/>
          </w:tcPr>
          <w:p w14:paraId="430AF027">
            <w:pPr>
              <w:pStyle w:val="13"/>
            </w:pPr>
            <w:r>
              <w:t>1.专项资金用于落实规范民办义务教育购买学位工作。</w:t>
            </w:r>
          </w:p>
        </w:tc>
      </w:tr>
    </w:tbl>
    <w:p w14:paraId="10F94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E7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CE257">
            <w:pPr>
              <w:pStyle w:val="11"/>
            </w:pPr>
            <w:r>
              <w:t>一级指标</w:t>
            </w:r>
          </w:p>
        </w:tc>
        <w:tc>
          <w:tcPr>
            <w:tcW w:w="2268" w:type="dxa"/>
            <w:vAlign w:val="center"/>
          </w:tcPr>
          <w:p w14:paraId="080256DF">
            <w:pPr>
              <w:pStyle w:val="11"/>
            </w:pPr>
            <w:r>
              <w:t>二级指标</w:t>
            </w:r>
          </w:p>
        </w:tc>
        <w:tc>
          <w:tcPr>
            <w:tcW w:w="2835" w:type="dxa"/>
            <w:vAlign w:val="center"/>
          </w:tcPr>
          <w:p w14:paraId="44E6A84A">
            <w:pPr>
              <w:pStyle w:val="11"/>
            </w:pPr>
            <w:r>
              <w:t>三级指标</w:t>
            </w:r>
          </w:p>
        </w:tc>
        <w:tc>
          <w:tcPr>
            <w:tcW w:w="5386" w:type="dxa"/>
            <w:vAlign w:val="center"/>
          </w:tcPr>
          <w:p w14:paraId="6DDCCB02">
            <w:pPr>
              <w:pStyle w:val="11"/>
            </w:pPr>
            <w:r>
              <w:t>绩效指标描述</w:t>
            </w:r>
          </w:p>
        </w:tc>
        <w:tc>
          <w:tcPr>
            <w:tcW w:w="2268" w:type="dxa"/>
            <w:vAlign w:val="center"/>
          </w:tcPr>
          <w:p w14:paraId="2606F6FF">
            <w:pPr>
              <w:pStyle w:val="11"/>
            </w:pPr>
            <w:r>
              <w:t>指标值</w:t>
            </w:r>
          </w:p>
        </w:tc>
        <w:tc>
          <w:tcPr>
            <w:tcW w:w="1276" w:type="dxa"/>
            <w:vAlign w:val="center"/>
          </w:tcPr>
          <w:p w14:paraId="11B9E94A">
            <w:pPr>
              <w:pStyle w:val="11"/>
            </w:pPr>
            <w:r>
              <w:t>指标值确定依据</w:t>
            </w:r>
          </w:p>
        </w:tc>
      </w:tr>
      <w:tr w14:paraId="38E22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1F76F">
            <w:pPr>
              <w:pStyle w:val="12"/>
            </w:pPr>
            <w:r>
              <w:t>产出指标</w:t>
            </w:r>
          </w:p>
        </w:tc>
        <w:tc>
          <w:tcPr>
            <w:tcW w:w="2268" w:type="dxa"/>
            <w:vAlign w:val="center"/>
          </w:tcPr>
          <w:p w14:paraId="095BA439">
            <w:pPr>
              <w:pStyle w:val="13"/>
            </w:pPr>
            <w:r>
              <w:t>数量指标</w:t>
            </w:r>
          </w:p>
        </w:tc>
        <w:tc>
          <w:tcPr>
            <w:tcW w:w="2835" w:type="dxa"/>
            <w:vAlign w:val="center"/>
          </w:tcPr>
          <w:p w14:paraId="653C1295">
            <w:pPr>
              <w:pStyle w:val="13"/>
            </w:pPr>
            <w:r>
              <w:t>本次补助资金数</w:t>
            </w:r>
          </w:p>
        </w:tc>
        <w:tc>
          <w:tcPr>
            <w:tcW w:w="5386" w:type="dxa"/>
            <w:vAlign w:val="center"/>
          </w:tcPr>
          <w:p w14:paraId="590139E8">
            <w:pPr>
              <w:pStyle w:val="13"/>
            </w:pPr>
            <w:r>
              <w:t>本次省级下达资金预算</w:t>
            </w:r>
          </w:p>
        </w:tc>
        <w:tc>
          <w:tcPr>
            <w:tcW w:w="2268" w:type="dxa"/>
            <w:vAlign w:val="center"/>
          </w:tcPr>
          <w:p w14:paraId="02206F30">
            <w:pPr>
              <w:pStyle w:val="13"/>
            </w:pPr>
            <w:r>
              <w:t>206万元</w:t>
            </w:r>
          </w:p>
        </w:tc>
        <w:tc>
          <w:tcPr>
            <w:tcW w:w="1276" w:type="dxa"/>
            <w:vAlign w:val="center"/>
          </w:tcPr>
          <w:p w14:paraId="50046D0B">
            <w:pPr>
              <w:pStyle w:val="13"/>
            </w:pPr>
            <w:r>
              <w:t>规范民办义务教育政策</w:t>
            </w:r>
          </w:p>
        </w:tc>
      </w:tr>
      <w:tr w14:paraId="2729A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1DDC6"/>
        </w:tc>
        <w:tc>
          <w:tcPr>
            <w:tcW w:w="2268" w:type="dxa"/>
            <w:vAlign w:val="center"/>
          </w:tcPr>
          <w:p w14:paraId="7C1F32EB">
            <w:pPr>
              <w:pStyle w:val="13"/>
            </w:pPr>
            <w:r>
              <w:t>质量指标</w:t>
            </w:r>
          </w:p>
        </w:tc>
        <w:tc>
          <w:tcPr>
            <w:tcW w:w="2835" w:type="dxa"/>
            <w:vAlign w:val="center"/>
          </w:tcPr>
          <w:p w14:paraId="6FC938D7">
            <w:pPr>
              <w:pStyle w:val="13"/>
            </w:pPr>
            <w:r>
              <w:t>购买学位学校</w:t>
            </w:r>
          </w:p>
        </w:tc>
        <w:tc>
          <w:tcPr>
            <w:tcW w:w="5386" w:type="dxa"/>
            <w:vAlign w:val="center"/>
          </w:tcPr>
          <w:p w14:paraId="742E47FD">
            <w:pPr>
              <w:pStyle w:val="13"/>
            </w:pPr>
            <w:r>
              <w:t>义教阶段购买学位中小学数量</w:t>
            </w:r>
          </w:p>
        </w:tc>
        <w:tc>
          <w:tcPr>
            <w:tcW w:w="2268" w:type="dxa"/>
            <w:vAlign w:val="center"/>
          </w:tcPr>
          <w:p w14:paraId="5C2216A4">
            <w:pPr>
              <w:pStyle w:val="13"/>
            </w:pPr>
            <w:r>
              <w:t>22所</w:t>
            </w:r>
          </w:p>
        </w:tc>
        <w:tc>
          <w:tcPr>
            <w:tcW w:w="1276" w:type="dxa"/>
            <w:vAlign w:val="center"/>
          </w:tcPr>
          <w:p w14:paraId="204524E4">
            <w:pPr>
              <w:pStyle w:val="13"/>
            </w:pPr>
            <w:r>
              <w:t>规范民办义务教育政策</w:t>
            </w:r>
          </w:p>
        </w:tc>
      </w:tr>
      <w:tr w14:paraId="229BD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E4618"/>
        </w:tc>
        <w:tc>
          <w:tcPr>
            <w:tcW w:w="2268" w:type="dxa"/>
            <w:vAlign w:val="center"/>
          </w:tcPr>
          <w:p w14:paraId="6A95838E">
            <w:pPr>
              <w:pStyle w:val="13"/>
            </w:pPr>
            <w:r>
              <w:t>时效指标</w:t>
            </w:r>
          </w:p>
        </w:tc>
        <w:tc>
          <w:tcPr>
            <w:tcW w:w="2835" w:type="dxa"/>
            <w:vAlign w:val="center"/>
          </w:tcPr>
          <w:p w14:paraId="1661F86B">
            <w:pPr>
              <w:pStyle w:val="13"/>
            </w:pPr>
            <w:r>
              <w:t>预算调整率</w:t>
            </w:r>
          </w:p>
        </w:tc>
        <w:tc>
          <w:tcPr>
            <w:tcW w:w="5386" w:type="dxa"/>
            <w:vAlign w:val="center"/>
          </w:tcPr>
          <w:p w14:paraId="4BD223B1">
            <w:pPr>
              <w:pStyle w:val="13"/>
            </w:pPr>
            <w:r>
              <w:t>购买学位资金预算执行率</w:t>
            </w:r>
          </w:p>
        </w:tc>
        <w:tc>
          <w:tcPr>
            <w:tcW w:w="2268" w:type="dxa"/>
            <w:vAlign w:val="center"/>
          </w:tcPr>
          <w:p w14:paraId="7B4743ED">
            <w:pPr>
              <w:pStyle w:val="13"/>
            </w:pPr>
            <w:r>
              <w:t>≥95%</w:t>
            </w:r>
          </w:p>
        </w:tc>
        <w:tc>
          <w:tcPr>
            <w:tcW w:w="1276" w:type="dxa"/>
            <w:vAlign w:val="center"/>
          </w:tcPr>
          <w:p w14:paraId="0C37BF12">
            <w:pPr>
              <w:pStyle w:val="13"/>
            </w:pPr>
            <w:r>
              <w:t>规范民办义务教育政策</w:t>
            </w:r>
          </w:p>
        </w:tc>
      </w:tr>
      <w:tr w14:paraId="680A1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2254F"/>
        </w:tc>
        <w:tc>
          <w:tcPr>
            <w:tcW w:w="2268" w:type="dxa"/>
            <w:vAlign w:val="center"/>
          </w:tcPr>
          <w:p w14:paraId="2B7EB375">
            <w:pPr>
              <w:pStyle w:val="13"/>
            </w:pPr>
            <w:r>
              <w:t>成本指标</w:t>
            </w:r>
          </w:p>
        </w:tc>
        <w:tc>
          <w:tcPr>
            <w:tcW w:w="2835" w:type="dxa"/>
            <w:vAlign w:val="center"/>
          </w:tcPr>
          <w:p w14:paraId="7D50E18E">
            <w:pPr>
              <w:pStyle w:val="13"/>
            </w:pPr>
            <w:r>
              <w:t>购买学位资金支付率</w:t>
            </w:r>
          </w:p>
        </w:tc>
        <w:tc>
          <w:tcPr>
            <w:tcW w:w="5386" w:type="dxa"/>
            <w:vAlign w:val="center"/>
          </w:tcPr>
          <w:p w14:paraId="1CB7178C">
            <w:pPr>
              <w:pStyle w:val="13"/>
            </w:pPr>
            <w:r>
              <w:t>按照序时进度完成资金支付</w:t>
            </w:r>
          </w:p>
        </w:tc>
        <w:tc>
          <w:tcPr>
            <w:tcW w:w="2268" w:type="dxa"/>
            <w:vAlign w:val="center"/>
          </w:tcPr>
          <w:p w14:paraId="725772BC">
            <w:pPr>
              <w:pStyle w:val="13"/>
            </w:pPr>
            <w:r>
              <w:t>≥100%</w:t>
            </w:r>
          </w:p>
        </w:tc>
        <w:tc>
          <w:tcPr>
            <w:tcW w:w="1276" w:type="dxa"/>
            <w:vAlign w:val="center"/>
          </w:tcPr>
          <w:p w14:paraId="180A8302">
            <w:pPr>
              <w:pStyle w:val="13"/>
            </w:pPr>
            <w:r>
              <w:t>规范民办义务教育政策</w:t>
            </w:r>
          </w:p>
        </w:tc>
      </w:tr>
      <w:tr w14:paraId="1BF22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22C6A3">
            <w:pPr>
              <w:pStyle w:val="12"/>
            </w:pPr>
            <w:r>
              <w:t>效益指标</w:t>
            </w:r>
          </w:p>
        </w:tc>
        <w:tc>
          <w:tcPr>
            <w:tcW w:w="2268" w:type="dxa"/>
            <w:vAlign w:val="center"/>
          </w:tcPr>
          <w:p w14:paraId="663CDEC0">
            <w:pPr>
              <w:pStyle w:val="13"/>
            </w:pPr>
            <w:r>
              <w:t>可持续影响指标</w:t>
            </w:r>
          </w:p>
        </w:tc>
        <w:tc>
          <w:tcPr>
            <w:tcW w:w="2835" w:type="dxa"/>
            <w:vAlign w:val="center"/>
          </w:tcPr>
          <w:p w14:paraId="1DDAE412">
            <w:pPr>
              <w:pStyle w:val="13"/>
            </w:pPr>
            <w:r>
              <w:t>落实规范民办义务教育</w:t>
            </w:r>
          </w:p>
        </w:tc>
        <w:tc>
          <w:tcPr>
            <w:tcW w:w="5386" w:type="dxa"/>
            <w:vAlign w:val="center"/>
          </w:tcPr>
          <w:p w14:paraId="784A7DEA">
            <w:pPr>
              <w:pStyle w:val="13"/>
            </w:pPr>
            <w:r>
              <w:t>落实规范民办义务教育</w:t>
            </w:r>
          </w:p>
        </w:tc>
        <w:tc>
          <w:tcPr>
            <w:tcW w:w="2268" w:type="dxa"/>
            <w:vAlign w:val="center"/>
          </w:tcPr>
          <w:p w14:paraId="696865B8">
            <w:pPr>
              <w:pStyle w:val="13"/>
            </w:pPr>
            <w:r>
              <w:t>≥100%</w:t>
            </w:r>
          </w:p>
        </w:tc>
        <w:tc>
          <w:tcPr>
            <w:tcW w:w="1276" w:type="dxa"/>
            <w:vAlign w:val="center"/>
          </w:tcPr>
          <w:p w14:paraId="6B7EB945">
            <w:pPr>
              <w:pStyle w:val="13"/>
            </w:pPr>
            <w:r>
              <w:t>规范民办义务教育政策</w:t>
            </w:r>
          </w:p>
        </w:tc>
      </w:tr>
      <w:tr w14:paraId="08D0B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72191D">
            <w:pPr>
              <w:pStyle w:val="12"/>
            </w:pPr>
            <w:r>
              <w:t>满意度指标</w:t>
            </w:r>
          </w:p>
        </w:tc>
        <w:tc>
          <w:tcPr>
            <w:tcW w:w="2268" w:type="dxa"/>
            <w:vAlign w:val="center"/>
          </w:tcPr>
          <w:p w14:paraId="5294D5AD">
            <w:pPr>
              <w:pStyle w:val="13"/>
            </w:pPr>
            <w:r>
              <w:t>服务对象满意度指标</w:t>
            </w:r>
          </w:p>
        </w:tc>
        <w:tc>
          <w:tcPr>
            <w:tcW w:w="2835" w:type="dxa"/>
            <w:vAlign w:val="center"/>
          </w:tcPr>
          <w:p w14:paraId="05F42EAA">
            <w:pPr>
              <w:pStyle w:val="13"/>
            </w:pPr>
            <w:r>
              <w:t>服务对象满意度</w:t>
            </w:r>
          </w:p>
        </w:tc>
        <w:tc>
          <w:tcPr>
            <w:tcW w:w="5386" w:type="dxa"/>
            <w:vAlign w:val="center"/>
          </w:tcPr>
          <w:p w14:paraId="318FE949">
            <w:pPr>
              <w:pStyle w:val="13"/>
            </w:pPr>
            <w:r>
              <w:t>学校老师和学生满意度</w:t>
            </w:r>
          </w:p>
        </w:tc>
        <w:tc>
          <w:tcPr>
            <w:tcW w:w="2268" w:type="dxa"/>
            <w:vAlign w:val="center"/>
          </w:tcPr>
          <w:p w14:paraId="7377B96E">
            <w:pPr>
              <w:pStyle w:val="13"/>
            </w:pPr>
            <w:r>
              <w:t>≥95%</w:t>
            </w:r>
          </w:p>
        </w:tc>
        <w:tc>
          <w:tcPr>
            <w:tcW w:w="1276" w:type="dxa"/>
            <w:vAlign w:val="center"/>
          </w:tcPr>
          <w:p w14:paraId="508EB364">
            <w:pPr>
              <w:pStyle w:val="13"/>
            </w:pPr>
            <w:r>
              <w:t>座谈走访</w:t>
            </w:r>
          </w:p>
        </w:tc>
      </w:tr>
    </w:tbl>
    <w:p w14:paraId="1132E630">
      <w:pPr>
        <w:sectPr>
          <w:pgSz w:w="16840" w:h="11900" w:orient="landscape"/>
          <w:pgMar w:top="1361" w:right="1020" w:bottom="1134" w:left="1020" w:header="720" w:footer="720" w:gutter="0"/>
          <w:cols w:space="720" w:num="1"/>
        </w:sectPr>
      </w:pPr>
    </w:p>
    <w:p w14:paraId="259B1B2F">
      <w:pPr>
        <w:spacing w:before="0" w:after="0"/>
        <w:ind w:firstLine="560"/>
        <w:jc w:val="left"/>
        <w:outlineLvl w:val="9"/>
      </w:pPr>
      <w:r>
        <w:rPr>
          <w:rFonts w:ascii="方正仿宋_GBK" w:hAnsi="方正仿宋_GBK" w:eastAsia="方正仿宋_GBK" w:cs="方正仿宋_GBK"/>
          <w:b/>
          <w:color w:val="000000"/>
          <w:sz w:val="28"/>
        </w:rPr>
        <w:t>44、冀财教[2024]141号/省级/2025年义教补助经费/家庭经济困难学生生活补助（初中）</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713CBFA6">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CED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E6392">
            <w:pPr>
              <w:pStyle w:val="14"/>
            </w:pPr>
            <w:r>
              <w:t>单位：万元</w:t>
            </w:r>
          </w:p>
        </w:tc>
      </w:tr>
      <w:tr w14:paraId="50CC8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7B6B1E">
            <w:pPr>
              <w:pStyle w:val="11"/>
            </w:pPr>
            <w:r>
              <w:t>项目编码</w:t>
            </w:r>
          </w:p>
        </w:tc>
        <w:tc>
          <w:tcPr>
            <w:tcW w:w="5103" w:type="dxa"/>
            <w:gridSpan w:val="2"/>
            <w:vAlign w:val="center"/>
          </w:tcPr>
          <w:p w14:paraId="665D91E8">
            <w:pPr>
              <w:pStyle w:val="13"/>
            </w:pPr>
            <w:r>
              <w:t>13052525P000010100137</w:t>
            </w:r>
          </w:p>
        </w:tc>
        <w:tc>
          <w:tcPr>
            <w:tcW w:w="2835" w:type="dxa"/>
            <w:vAlign w:val="center"/>
          </w:tcPr>
          <w:p w14:paraId="7784DF15">
            <w:pPr>
              <w:pStyle w:val="11"/>
            </w:pPr>
            <w:r>
              <w:t>项目名称</w:t>
            </w:r>
          </w:p>
        </w:tc>
        <w:tc>
          <w:tcPr>
            <w:tcW w:w="6095" w:type="dxa"/>
            <w:gridSpan w:val="3"/>
            <w:vAlign w:val="center"/>
          </w:tcPr>
          <w:p w14:paraId="64B45E2D">
            <w:pPr>
              <w:pStyle w:val="13"/>
            </w:pPr>
            <w:r>
              <w:t>冀财教[2024]141号/省级/2025年义教补助经费/家庭经济困难学生生活补助（初中）</w:t>
            </w:r>
            <w:r>
              <w:tab/>
            </w:r>
            <w:r>
              <w:tab/>
            </w:r>
          </w:p>
          <w:p w14:paraId="70E9F874">
            <w:pPr>
              <w:pStyle w:val="13"/>
            </w:pPr>
          </w:p>
        </w:tc>
      </w:tr>
      <w:tr w14:paraId="24D60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6A6E8">
            <w:pPr>
              <w:pStyle w:val="11"/>
            </w:pPr>
            <w:r>
              <w:t>预算规模及资金用途</w:t>
            </w:r>
          </w:p>
        </w:tc>
        <w:tc>
          <w:tcPr>
            <w:tcW w:w="2268" w:type="dxa"/>
            <w:vAlign w:val="center"/>
          </w:tcPr>
          <w:p w14:paraId="60391217">
            <w:pPr>
              <w:pStyle w:val="11"/>
            </w:pPr>
            <w:r>
              <w:t>预算数</w:t>
            </w:r>
          </w:p>
        </w:tc>
        <w:tc>
          <w:tcPr>
            <w:tcW w:w="2835" w:type="dxa"/>
            <w:vAlign w:val="center"/>
          </w:tcPr>
          <w:p w14:paraId="5B425BBF">
            <w:pPr>
              <w:pStyle w:val="13"/>
            </w:pPr>
            <w:r>
              <w:t>138.00</w:t>
            </w:r>
          </w:p>
        </w:tc>
        <w:tc>
          <w:tcPr>
            <w:tcW w:w="2835" w:type="dxa"/>
            <w:vAlign w:val="center"/>
          </w:tcPr>
          <w:p w14:paraId="74CB7704">
            <w:pPr>
              <w:pStyle w:val="11"/>
            </w:pPr>
            <w:r>
              <w:t>其中：财政    资金</w:t>
            </w:r>
          </w:p>
        </w:tc>
        <w:tc>
          <w:tcPr>
            <w:tcW w:w="2551" w:type="dxa"/>
            <w:vAlign w:val="center"/>
          </w:tcPr>
          <w:p w14:paraId="51249D98">
            <w:pPr>
              <w:pStyle w:val="13"/>
            </w:pPr>
            <w:r>
              <w:t>138.00</w:t>
            </w:r>
          </w:p>
        </w:tc>
        <w:tc>
          <w:tcPr>
            <w:tcW w:w="2268" w:type="dxa"/>
            <w:vAlign w:val="center"/>
          </w:tcPr>
          <w:p w14:paraId="34DA5503">
            <w:pPr>
              <w:pStyle w:val="11"/>
            </w:pPr>
            <w:r>
              <w:t>其他资金</w:t>
            </w:r>
          </w:p>
        </w:tc>
        <w:tc>
          <w:tcPr>
            <w:tcW w:w="1276" w:type="dxa"/>
            <w:vAlign w:val="center"/>
          </w:tcPr>
          <w:p w14:paraId="39CC7334">
            <w:pPr>
              <w:pStyle w:val="13"/>
            </w:pPr>
            <w:r>
              <w:t xml:space="preserve"> </w:t>
            </w:r>
          </w:p>
        </w:tc>
      </w:tr>
      <w:tr w14:paraId="663C5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25116"/>
        </w:tc>
        <w:tc>
          <w:tcPr>
            <w:tcW w:w="14033" w:type="dxa"/>
            <w:gridSpan w:val="6"/>
            <w:vAlign w:val="center"/>
          </w:tcPr>
          <w:p w14:paraId="7D1B8473">
            <w:pPr>
              <w:pStyle w:val="13"/>
            </w:pPr>
            <w:r>
              <w:t>保障落实建档立卡及家庭经济困难学生资助所需资金，确保建档立卡等家庭经济困难学生优先获得资助</w:t>
            </w:r>
          </w:p>
        </w:tc>
      </w:tr>
      <w:tr w14:paraId="1486D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02D4F">
            <w:pPr>
              <w:pStyle w:val="11"/>
            </w:pPr>
            <w:r>
              <w:t>资金支出计划（%）</w:t>
            </w:r>
          </w:p>
        </w:tc>
        <w:tc>
          <w:tcPr>
            <w:tcW w:w="5103" w:type="dxa"/>
            <w:gridSpan w:val="2"/>
            <w:vAlign w:val="center"/>
          </w:tcPr>
          <w:p w14:paraId="051499B6">
            <w:pPr>
              <w:pStyle w:val="11"/>
            </w:pPr>
            <w:r>
              <w:t>3月底</w:t>
            </w:r>
          </w:p>
        </w:tc>
        <w:tc>
          <w:tcPr>
            <w:tcW w:w="2835" w:type="dxa"/>
            <w:vAlign w:val="center"/>
          </w:tcPr>
          <w:p w14:paraId="35BFE6B4">
            <w:pPr>
              <w:pStyle w:val="11"/>
            </w:pPr>
            <w:r>
              <w:t>6月底</w:t>
            </w:r>
          </w:p>
        </w:tc>
        <w:tc>
          <w:tcPr>
            <w:tcW w:w="2551" w:type="dxa"/>
            <w:vAlign w:val="center"/>
          </w:tcPr>
          <w:p w14:paraId="44D882F0">
            <w:pPr>
              <w:pStyle w:val="11"/>
            </w:pPr>
            <w:r>
              <w:t>10月底</w:t>
            </w:r>
          </w:p>
        </w:tc>
        <w:tc>
          <w:tcPr>
            <w:tcW w:w="3544" w:type="dxa"/>
            <w:gridSpan w:val="2"/>
            <w:vAlign w:val="center"/>
          </w:tcPr>
          <w:p w14:paraId="75CC26C6">
            <w:pPr>
              <w:pStyle w:val="11"/>
            </w:pPr>
            <w:r>
              <w:t>12月底</w:t>
            </w:r>
          </w:p>
        </w:tc>
      </w:tr>
      <w:tr w14:paraId="592BD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A8A14"/>
        </w:tc>
        <w:tc>
          <w:tcPr>
            <w:tcW w:w="5103" w:type="dxa"/>
            <w:gridSpan w:val="2"/>
            <w:vAlign w:val="center"/>
          </w:tcPr>
          <w:p w14:paraId="31375F07">
            <w:pPr>
              <w:pStyle w:val="12"/>
            </w:pPr>
            <w:r>
              <w:t xml:space="preserve"> </w:t>
            </w:r>
          </w:p>
        </w:tc>
        <w:tc>
          <w:tcPr>
            <w:tcW w:w="2835" w:type="dxa"/>
            <w:vAlign w:val="center"/>
          </w:tcPr>
          <w:p w14:paraId="457D3DC1">
            <w:pPr>
              <w:pStyle w:val="12"/>
            </w:pPr>
            <w:r>
              <w:t>50%</w:t>
            </w:r>
          </w:p>
        </w:tc>
        <w:tc>
          <w:tcPr>
            <w:tcW w:w="2551" w:type="dxa"/>
            <w:vAlign w:val="center"/>
          </w:tcPr>
          <w:p w14:paraId="00C957D4">
            <w:pPr>
              <w:pStyle w:val="12"/>
            </w:pPr>
            <w:r>
              <w:t>75%</w:t>
            </w:r>
          </w:p>
        </w:tc>
        <w:tc>
          <w:tcPr>
            <w:tcW w:w="3544" w:type="dxa"/>
            <w:gridSpan w:val="2"/>
            <w:vAlign w:val="center"/>
          </w:tcPr>
          <w:p w14:paraId="1F3A6B95">
            <w:pPr>
              <w:pStyle w:val="12"/>
            </w:pPr>
            <w:r>
              <w:t>100%</w:t>
            </w:r>
          </w:p>
        </w:tc>
      </w:tr>
      <w:tr w14:paraId="0C611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54FF8">
            <w:pPr>
              <w:pStyle w:val="11"/>
            </w:pPr>
            <w:r>
              <w:t>绩效目标</w:t>
            </w:r>
          </w:p>
        </w:tc>
        <w:tc>
          <w:tcPr>
            <w:tcW w:w="14033" w:type="dxa"/>
            <w:gridSpan w:val="6"/>
            <w:vAlign w:val="center"/>
          </w:tcPr>
          <w:p w14:paraId="54A682E5">
            <w:pPr>
              <w:pStyle w:val="13"/>
            </w:pPr>
            <w:r>
              <w:t>1.保障落实建档立卡及家庭经济困难学生资助所需资金，确保建档立卡等家庭经济困难学生优先获得资助</w:t>
            </w:r>
          </w:p>
        </w:tc>
      </w:tr>
    </w:tbl>
    <w:p w14:paraId="0F136C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17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BA351">
            <w:pPr>
              <w:pStyle w:val="11"/>
            </w:pPr>
            <w:r>
              <w:t>一级指标</w:t>
            </w:r>
          </w:p>
        </w:tc>
        <w:tc>
          <w:tcPr>
            <w:tcW w:w="2268" w:type="dxa"/>
            <w:vAlign w:val="center"/>
          </w:tcPr>
          <w:p w14:paraId="3629CD1D">
            <w:pPr>
              <w:pStyle w:val="11"/>
            </w:pPr>
            <w:r>
              <w:t>二级指标</w:t>
            </w:r>
          </w:p>
        </w:tc>
        <w:tc>
          <w:tcPr>
            <w:tcW w:w="2835" w:type="dxa"/>
            <w:vAlign w:val="center"/>
          </w:tcPr>
          <w:p w14:paraId="10AB1B57">
            <w:pPr>
              <w:pStyle w:val="11"/>
            </w:pPr>
            <w:r>
              <w:t>三级指标</w:t>
            </w:r>
          </w:p>
        </w:tc>
        <w:tc>
          <w:tcPr>
            <w:tcW w:w="5386" w:type="dxa"/>
            <w:vAlign w:val="center"/>
          </w:tcPr>
          <w:p w14:paraId="0BBFB6E4">
            <w:pPr>
              <w:pStyle w:val="11"/>
            </w:pPr>
            <w:r>
              <w:t>绩效指标描述</w:t>
            </w:r>
          </w:p>
        </w:tc>
        <w:tc>
          <w:tcPr>
            <w:tcW w:w="2268" w:type="dxa"/>
            <w:vAlign w:val="center"/>
          </w:tcPr>
          <w:p w14:paraId="4A6D6DBC">
            <w:pPr>
              <w:pStyle w:val="11"/>
            </w:pPr>
            <w:r>
              <w:t>指标值</w:t>
            </w:r>
          </w:p>
        </w:tc>
        <w:tc>
          <w:tcPr>
            <w:tcW w:w="1276" w:type="dxa"/>
            <w:vAlign w:val="center"/>
          </w:tcPr>
          <w:p w14:paraId="5BA6471F">
            <w:pPr>
              <w:pStyle w:val="11"/>
            </w:pPr>
            <w:r>
              <w:t>指标值确定依据</w:t>
            </w:r>
          </w:p>
        </w:tc>
      </w:tr>
      <w:tr w14:paraId="0515B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F43FC">
            <w:pPr>
              <w:pStyle w:val="12"/>
            </w:pPr>
            <w:r>
              <w:t>产出指标</w:t>
            </w:r>
          </w:p>
        </w:tc>
        <w:tc>
          <w:tcPr>
            <w:tcW w:w="2268" w:type="dxa"/>
            <w:vAlign w:val="center"/>
          </w:tcPr>
          <w:p w14:paraId="7489E212">
            <w:pPr>
              <w:pStyle w:val="13"/>
            </w:pPr>
            <w:r>
              <w:t>数量指标</w:t>
            </w:r>
          </w:p>
        </w:tc>
        <w:tc>
          <w:tcPr>
            <w:tcW w:w="2835" w:type="dxa"/>
            <w:vAlign w:val="center"/>
          </w:tcPr>
          <w:p w14:paraId="1BC4270C">
            <w:pPr>
              <w:pStyle w:val="13"/>
            </w:pPr>
            <w:r>
              <w:t>家庭经济困难资助比例</w:t>
            </w:r>
          </w:p>
        </w:tc>
        <w:tc>
          <w:tcPr>
            <w:tcW w:w="5386" w:type="dxa"/>
            <w:vAlign w:val="center"/>
          </w:tcPr>
          <w:p w14:paraId="18B399A2">
            <w:pPr>
              <w:pStyle w:val="13"/>
            </w:pPr>
            <w:r>
              <w:t>寄宿生按义教在校生15%测算，非寄宿生按义教在校生5%测算</w:t>
            </w:r>
          </w:p>
        </w:tc>
        <w:tc>
          <w:tcPr>
            <w:tcW w:w="2268" w:type="dxa"/>
            <w:vAlign w:val="center"/>
          </w:tcPr>
          <w:p w14:paraId="17FEA8DA">
            <w:pPr>
              <w:pStyle w:val="13"/>
            </w:pPr>
            <w:r>
              <w:t>2690人</w:t>
            </w:r>
          </w:p>
        </w:tc>
        <w:tc>
          <w:tcPr>
            <w:tcW w:w="1276" w:type="dxa"/>
            <w:vAlign w:val="center"/>
          </w:tcPr>
          <w:p w14:paraId="59F668E1">
            <w:pPr>
              <w:pStyle w:val="13"/>
            </w:pPr>
            <w:r>
              <w:t>城乡义务教育“两免一补”资助实施细则</w:t>
            </w:r>
          </w:p>
        </w:tc>
      </w:tr>
      <w:tr w14:paraId="14B81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6894F"/>
        </w:tc>
        <w:tc>
          <w:tcPr>
            <w:tcW w:w="2268" w:type="dxa"/>
            <w:vAlign w:val="center"/>
          </w:tcPr>
          <w:p w14:paraId="10CCAA11">
            <w:pPr>
              <w:pStyle w:val="13"/>
            </w:pPr>
            <w:r>
              <w:t>质量指标</w:t>
            </w:r>
          </w:p>
        </w:tc>
        <w:tc>
          <w:tcPr>
            <w:tcW w:w="2835" w:type="dxa"/>
            <w:vAlign w:val="center"/>
          </w:tcPr>
          <w:p w14:paraId="0F982C08">
            <w:pPr>
              <w:pStyle w:val="13"/>
            </w:pPr>
            <w:r>
              <w:t>义务教育资助制度落实情况</w:t>
            </w:r>
          </w:p>
        </w:tc>
        <w:tc>
          <w:tcPr>
            <w:tcW w:w="5386" w:type="dxa"/>
            <w:vAlign w:val="center"/>
          </w:tcPr>
          <w:p w14:paraId="4C90E376">
            <w:pPr>
              <w:pStyle w:val="13"/>
            </w:pPr>
            <w:r>
              <w:t>符合享受资助条件的学生应助尽助</w:t>
            </w:r>
          </w:p>
        </w:tc>
        <w:tc>
          <w:tcPr>
            <w:tcW w:w="2268" w:type="dxa"/>
            <w:vAlign w:val="center"/>
          </w:tcPr>
          <w:p w14:paraId="5851F047">
            <w:pPr>
              <w:pStyle w:val="13"/>
            </w:pPr>
            <w:r>
              <w:t>100%</w:t>
            </w:r>
          </w:p>
        </w:tc>
        <w:tc>
          <w:tcPr>
            <w:tcW w:w="1276" w:type="dxa"/>
            <w:vAlign w:val="center"/>
          </w:tcPr>
          <w:p w14:paraId="759CFC4C">
            <w:pPr>
              <w:pStyle w:val="13"/>
            </w:pPr>
            <w:r>
              <w:t>城乡义务教育“两免一补”资助实施细则</w:t>
            </w:r>
          </w:p>
        </w:tc>
      </w:tr>
      <w:tr w14:paraId="029A5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DF7C0"/>
        </w:tc>
        <w:tc>
          <w:tcPr>
            <w:tcW w:w="2268" w:type="dxa"/>
            <w:vAlign w:val="center"/>
          </w:tcPr>
          <w:p w14:paraId="5C8C55C5">
            <w:pPr>
              <w:pStyle w:val="13"/>
            </w:pPr>
            <w:r>
              <w:t>时效指标</w:t>
            </w:r>
          </w:p>
        </w:tc>
        <w:tc>
          <w:tcPr>
            <w:tcW w:w="2835" w:type="dxa"/>
            <w:vAlign w:val="center"/>
          </w:tcPr>
          <w:p w14:paraId="0D0F86D8">
            <w:pPr>
              <w:pStyle w:val="13"/>
            </w:pPr>
            <w:r>
              <w:t>资金拨付率</w:t>
            </w:r>
          </w:p>
        </w:tc>
        <w:tc>
          <w:tcPr>
            <w:tcW w:w="5386" w:type="dxa"/>
            <w:vAlign w:val="center"/>
          </w:tcPr>
          <w:p w14:paraId="3F5B2187">
            <w:pPr>
              <w:pStyle w:val="13"/>
            </w:pPr>
            <w:r>
              <w:t>所有项目资金支付进度</w:t>
            </w:r>
          </w:p>
        </w:tc>
        <w:tc>
          <w:tcPr>
            <w:tcW w:w="2268" w:type="dxa"/>
            <w:vAlign w:val="center"/>
          </w:tcPr>
          <w:p w14:paraId="170E34BD">
            <w:pPr>
              <w:pStyle w:val="13"/>
            </w:pPr>
            <w:r>
              <w:t>100%</w:t>
            </w:r>
          </w:p>
        </w:tc>
        <w:tc>
          <w:tcPr>
            <w:tcW w:w="1276" w:type="dxa"/>
            <w:vAlign w:val="center"/>
          </w:tcPr>
          <w:p w14:paraId="4DF2D7EA">
            <w:pPr>
              <w:pStyle w:val="13"/>
            </w:pPr>
            <w:r>
              <w:t>城乡义务教育“两免一补”资助实施细则</w:t>
            </w:r>
          </w:p>
        </w:tc>
      </w:tr>
      <w:tr w14:paraId="47B0A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0A9D3"/>
        </w:tc>
        <w:tc>
          <w:tcPr>
            <w:tcW w:w="2268" w:type="dxa"/>
            <w:vAlign w:val="center"/>
          </w:tcPr>
          <w:p w14:paraId="569CB5F1">
            <w:pPr>
              <w:pStyle w:val="13"/>
            </w:pPr>
            <w:r>
              <w:t>成本指标</w:t>
            </w:r>
          </w:p>
        </w:tc>
        <w:tc>
          <w:tcPr>
            <w:tcW w:w="2835" w:type="dxa"/>
            <w:vAlign w:val="center"/>
          </w:tcPr>
          <w:p w14:paraId="7670DEF9">
            <w:pPr>
              <w:pStyle w:val="13"/>
            </w:pPr>
            <w:r>
              <w:t>家庭经济困难寄宿及非寄四类学生补助标准</w:t>
            </w:r>
          </w:p>
        </w:tc>
        <w:tc>
          <w:tcPr>
            <w:tcW w:w="5386" w:type="dxa"/>
            <w:vAlign w:val="center"/>
          </w:tcPr>
          <w:p w14:paraId="6B69020F">
            <w:pPr>
              <w:pStyle w:val="13"/>
            </w:pPr>
            <w:r>
              <w:t>初中寄宿：标准1250元/生/学年，初中非寄宿：标准625元/生/学年，小学寄宿：标准1000元/生/学年，小学寄宿：标准500元/生/学年，特教学生：标准1500元/生/学年。</w:t>
            </w:r>
          </w:p>
        </w:tc>
        <w:tc>
          <w:tcPr>
            <w:tcW w:w="2268" w:type="dxa"/>
            <w:vAlign w:val="center"/>
          </w:tcPr>
          <w:p w14:paraId="2E9279DD">
            <w:pPr>
              <w:pStyle w:val="13"/>
            </w:pPr>
            <w:r>
              <w:t>1500元</w:t>
            </w:r>
          </w:p>
        </w:tc>
        <w:tc>
          <w:tcPr>
            <w:tcW w:w="1276" w:type="dxa"/>
            <w:vAlign w:val="center"/>
          </w:tcPr>
          <w:p w14:paraId="1CB83ECA">
            <w:pPr>
              <w:pStyle w:val="13"/>
            </w:pPr>
            <w:r>
              <w:t>城乡义务教育“两免一补”资助实施细则</w:t>
            </w:r>
          </w:p>
        </w:tc>
      </w:tr>
      <w:tr w14:paraId="48E0D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E21883">
            <w:pPr>
              <w:pStyle w:val="12"/>
            </w:pPr>
            <w:r>
              <w:t>效益指标</w:t>
            </w:r>
          </w:p>
        </w:tc>
        <w:tc>
          <w:tcPr>
            <w:tcW w:w="2268" w:type="dxa"/>
            <w:vAlign w:val="center"/>
          </w:tcPr>
          <w:p w14:paraId="4ED1B207">
            <w:pPr>
              <w:pStyle w:val="13"/>
            </w:pPr>
            <w:r>
              <w:t>社会效益指标</w:t>
            </w:r>
          </w:p>
        </w:tc>
        <w:tc>
          <w:tcPr>
            <w:tcW w:w="2835" w:type="dxa"/>
            <w:vAlign w:val="center"/>
          </w:tcPr>
          <w:p w14:paraId="47587046">
            <w:pPr>
              <w:pStyle w:val="13"/>
            </w:pPr>
            <w:r>
              <w:t>项目实施成果</w:t>
            </w:r>
          </w:p>
        </w:tc>
        <w:tc>
          <w:tcPr>
            <w:tcW w:w="5386" w:type="dxa"/>
            <w:vAlign w:val="center"/>
          </w:tcPr>
          <w:p w14:paraId="64E12626">
            <w:pPr>
              <w:pStyle w:val="13"/>
            </w:pPr>
            <w:r>
              <w:t>家庭经济困难补助实施年限</w:t>
            </w:r>
          </w:p>
        </w:tc>
        <w:tc>
          <w:tcPr>
            <w:tcW w:w="2268" w:type="dxa"/>
            <w:vAlign w:val="center"/>
          </w:tcPr>
          <w:p w14:paraId="7ED46637">
            <w:pPr>
              <w:pStyle w:val="13"/>
            </w:pPr>
            <w:r>
              <w:t>3年</w:t>
            </w:r>
          </w:p>
        </w:tc>
        <w:tc>
          <w:tcPr>
            <w:tcW w:w="1276" w:type="dxa"/>
            <w:vAlign w:val="center"/>
          </w:tcPr>
          <w:p w14:paraId="2CFDBB2B">
            <w:pPr>
              <w:pStyle w:val="13"/>
            </w:pPr>
            <w:r>
              <w:t>城乡义务教育“两免一补”资助实施细则</w:t>
            </w:r>
          </w:p>
        </w:tc>
      </w:tr>
      <w:tr w14:paraId="1FBE5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590078">
            <w:pPr>
              <w:pStyle w:val="12"/>
            </w:pPr>
            <w:r>
              <w:t>满意度指标</w:t>
            </w:r>
          </w:p>
        </w:tc>
        <w:tc>
          <w:tcPr>
            <w:tcW w:w="2268" w:type="dxa"/>
            <w:vAlign w:val="center"/>
          </w:tcPr>
          <w:p w14:paraId="6CB4C12C">
            <w:pPr>
              <w:pStyle w:val="13"/>
            </w:pPr>
            <w:r>
              <w:t>服务对象满意度指标</w:t>
            </w:r>
          </w:p>
        </w:tc>
        <w:tc>
          <w:tcPr>
            <w:tcW w:w="2835" w:type="dxa"/>
            <w:vAlign w:val="center"/>
          </w:tcPr>
          <w:p w14:paraId="0CDE2237">
            <w:pPr>
              <w:pStyle w:val="13"/>
            </w:pPr>
            <w:r>
              <w:t>受益学生家长及调查满意度</w:t>
            </w:r>
          </w:p>
        </w:tc>
        <w:tc>
          <w:tcPr>
            <w:tcW w:w="5386" w:type="dxa"/>
            <w:vAlign w:val="center"/>
          </w:tcPr>
          <w:p w14:paraId="72338CE3">
            <w:pPr>
              <w:pStyle w:val="13"/>
            </w:pPr>
            <w:r>
              <w:t>学生、教师及家长对学校保教保育工作满意度情况</w:t>
            </w:r>
          </w:p>
        </w:tc>
        <w:tc>
          <w:tcPr>
            <w:tcW w:w="2268" w:type="dxa"/>
            <w:vAlign w:val="center"/>
          </w:tcPr>
          <w:p w14:paraId="467673A9">
            <w:pPr>
              <w:pStyle w:val="13"/>
            </w:pPr>
            <w:r>
              <w:t>≥95%</w:t>
            </w:r>
          </w:p>
        </w:tc>
        <w:tc>
          <w:tcPr>
            <w:tcW w:w="1276" w:type="dxa"/>
            <w:vAlign w:val="center"/>
          </w:tcPr>
          <w:p w14:paraId="44354D1D">
            <w:pPr>
              <w:pStyle w:val="13"/>
            </w:pPr>
            <w:r>
              <w:t>调查问卷</w:t>
            </w:r>
          </w:p>
        </w:tc>
      </w:tr>
    </w:tbl>
    <w:p w14:paraId="1AE18793">
      <w:pPr>
        <w:sectPr>
          <w:pgSz w:w="16840" w:h="11900" w:orient="landscape"/>
          <w:pgMar w:top="1361" w:right="1020" w:bottom="1134" w:left="1020" w:header="720" w:footer="720" w:gutter="0"/>
          <w:cols w:space="720" w:num="1"/>
        </w:sectPr>
      </w:pPr>
    </w:p>
    <w:p w14:paraId="4E5F998C">
      <w:pPr>
        <w:spacing w:before="0" w:after="0"/>
        <w:ind w:firstLine="560"/>
        <w:jc w:val="left"/>
        <w:outlineLvl w:val="9"/>
      </w:pPr>
      <w:r>
        <w:rPr>
          <w:rFonts w:ascii="方正仿宋_GBK" w:hAnsi="方正仿宋_GBK" w:eastAsia="方正仿宋_GBK" w:cs="方正仿宋_GBK"/>
          <w:b/>
          <w:color w:val="000000"/>
          <w:sz w:val="28"/>
        </w:rPr>
        <w:t>45、冀财教[2024]141号/省级/2025年义教补助经费/家庭经济困难学生生活补助（小学）</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36883959">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27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94261">
            <w:pPr>
              <w:pStyle w:val="14"/>
            </w:pPr>
            <w:r>
              <w:t>单位：万元</w:t>
            </w:r>
          </w:p>
        </w:tc>
      </w:tr>
      <w:tr w14:paraId="03892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77743F">
            <w:pPr>
              <w:pStyle w:val="11"/>
            </w:pPr>
            <w:r>
              <w:t>项目编码</w:t>
            </w:r>
          </w:p>
        </w:tc>
        <w:tc>
          <w:tcPr>
            <w:tcW w:w="5103" w:type="dxa"/>
            <w:gridSpan w:val="2"/>
            <w:vAlign w:val="center"/>
          </w:tcPr>
          <w:p w14:paraId="646DA776">
            <w:pPr>
              <w:pStyle w:val="13"/>
            </w:pPr>
            <w:r>
              <w:t>13052525P00001010012K</w:t>
            </w:r>
          </w:p>
        </w:tc>
        <w:tc>
          <w:tcPr>
            <w:tcW w:w="2835" w:type="dxa"/>
            <w:vAlign w:val="center"/>
          </w:tcPr>
          <w:p w14:paraId="6EE0D653">
            <w:pPr>
              <w:pStyle w:val="11"/>
            </w:pPr>
            <w:r>
              <w:t>项目名称</w:t>
            </w:r>
          </w:p>
        </w:tc>
        <w:tc>
          <w:tcPr>
            <w:tcW w:w="6095" w:type="dxa"/>
            <w:gridSpan w:val="3"/>
            <w:vAlign w:val="center"/>
          </w:tcPr>
          <w:p w14:paraId="41F3880D">
            <w:pPr>
              <w:pStyle w:val="13"/>
            </w:pPr>
            <w:r>
              <w:t>冀财教[2024]141号/省级/2025年义教补助经费/家庭经济困难学生生活补助（小学）</w:t>
            </w:r>
            <w:r>
              <w:tab/>
            </w:r>
            <w:r>
              <w:tab/>
            </w:r>
          </w:p>
          <w:p w14:paraId="1D9CDE5C">
            <w:pPr>
              <w:pStyle w:val="13"/>
            </w:pPr>
          </w:p>
        </w:tc>
      </w:tr>
      <w:tr w14:paraId="57D26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D5BF2">
            <w:pPr>
              <w:pStyle w:val="11"/>
            </w:pPr>
            <w:r>
              <w:t>预算规模及资金用途</w:t>
            </w:r>
          </w:p>
        </w:tc>
        <w:tc>
          <w:tcPr>
            <w:tcW w:w="2268" w:type="dxa"/>
            <w:vAlign w:val="center"/>
          </w:tcPr>
          <w:p w14:paraId="069C90E7">
            <w:pPr>
              <w:pStyle w:val="11"/>
            </w:pPr>
            <w:r>
              <w:t>预算数</w:t>
            </w:r>
          </w:p>
        </w:tc>
        <w:tc>
          <w:tcPr>
            <w:tcW w:w="2835" w:type="dxa"/>
            <w:vAlign w:val="center"/>
          </w:tcPr>
          <w:p w14:paraId="71B0456F">
            <w:pPr>
              <w:pStyle w:val="13"/>
            </w:pPr>
            <w:r>
              <w:t>105.00</w:t>
            </w:r>
          </w:p>
        </w:tc>
        <w:tc>
          <w:tcPr>
            <w:tcW w:w="2835" w:type="dxa"/>
            <w:vAlign w:val="center"/>
          </w:tcPr>
          <w:p w14:paraId="0B453FF5">
            <w:pPr>
              <w:pStyle w:val="11"/>
            </w:pPr>
            <w:r>
              <w:t>其中：财政    资金</w:t>
            </w:r>
          </w:p>
        </w:tc>
        <w:tc>
          <w:tcPr>
            <w:tcW w:w="2551" w:type="dxa"/>
            <w:vAlign w:val="center"/>
          </w:tcPr>
          <w:p w14:paraId="6E525FF8">
            <w:pPr>
              <w:pStyle w:val="13"/>
            </w:pPr>
            <w:r>
              <w:t>105.00</w:t>
            </w:r>
          </w:p>
        </w:tc>
        <w:tc>
          <w:tcPr>
            <w:tcW w:w="2268" w:type="dxa"/>
            <w:vAlign w:val="center"/>
          </w:tcPr>
          <w:p w14:paraId="6EB57DB7">
            <w:pPr>
              <w:pStyle w:val="11"/>
            </w:pPr>
            <w:r>
              <w:t>其他资金</w:t>
            </w:r>
          </w:p>
        </w:tc>
        <w:tc>
          <w:tcPr>
            <w:tcW w:w="1276" w:type="dxa"/>
            <w:vAlign w:val="center"/>
          </w:tcPr>
          <w:p w14:paraId="6CEC9C9B">
            <w:pPr>
              <w:pStyle w:val="13"/>
            </w:pPr>
            <w:r>
              <w:t xml:space="preserve"> </w:t>
            </w:r>
          </w:p>
        </w:tc>
      </w:tr>
      <w:tr w14:paraId="60605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6E8EA"/>
        </w:tc>
        <w:tc>
          <w:tcPr>
            <w:tcW w:w="14033" w:type="dxa"/>
            <w:gridSpan w:val="6"/>
            <w:vAlign w:val="center"/>
          </w:tcPr>
          <w:p w14:paraId="2093E78F">
            <w:pPr>
              <w:pStyle w:val="13"/>
            </w:pPr>
            <w:r>
              <w:t>保障落实建档立卡及家庭经济困难学生资助所需资金，确保建档立卡等家庭经济困难学生优先获得资助</w:t>
            </w:r>
          </w:p>
        </w:tc>
      </w:tr>
      <w:tr w14:paraId="08832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3B24D">
            <w:pPr>
              <w:pStyle w:val="11"/>
            </w:pPr>
            <w:r>
              <w:t>资金支出计划（%）</w:t>
            </w:r>
          </w:p>
        </w:tc>
        <w:tc>
          <w:tcPr>
            <w:tcW w:w="5103" w:type="dxa"/>
            <w:gridSpan w:val="2"/>
            <w:vAlign w:val="center"/>
          </w:tcPr>
          <w:p w14:paraId="51A3E7F1">
            <w:pPr>
              <w:pStyle w:val="11"/>
            </w:pPr>
            <w:r>
              <w:t>3月底</w:t>
            </w:r>
          </w:p>
        </w:tc>
        <w:tc>
          <w:tcPr>
            <w:tcW w:w="2835" w:type="dxa"/>
            <w:vAlign w:val="center"/>
          </w:tcPr>
          <w:p w14:paraId="65D6580A">
            <w:pPr>
              <w:pStyle w:val="11"/>
            </w:pPr>
            <w:r>
              <w:t>6月底</w:t>
            </w:r>
          </w:p>
        </w:tc>
        <w:tc>
          <w:tcPr>
            <w:tcW w:w="2551" w:type="dxa"/>
            <w:vAlign w:val="center"/>
          </w:tcPr>
          <w:p w14:paraId="097EA07A">
            <w:pPr>
              <w:pStyle w:val="11"/>
            </w:pPr>
            <w:r>
              <w:t>10月底</w:t>
            </w:r>
          </w:p>
        </w:tc>
        <w:tc>
          <w:tcPr>
            <w:tcW w:w="3544" w:type="dxa"/>
            <w:gridSpan w:val="2"/>
            <w:vAlign w:val="center"/>
          </w:tcPr>
          <w:p w14:paraId="19AA4AEE">
            <w:pPr>
              <w:pStyle w:val="11"/>
            </w:pPr>
            <w:r>
              <w:t>12月底</w:t>
            </w:r>
          </w:p>
        </w:tc>
      </w:tr>
      <w:tr w14:paraId="12BF0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8E100C"/>
        </w:tc>
        <w:tc>
          <w:tcPr>
            <w:tcW w:w="5103" w:type="dxa"/>
            <w:gridSpan w:val="2"/>
            <w:vAlign w:val="center"/>
          </w:tcPr>
          <w:p w14:paraId="19A6210D">
            <w:pPr>
              <w:pStyle w:val="12"/>
            </w:pPr>
            <w:r>
              <w:t xml:space="preserve"> </w:t>
            </w:r>
          </w:p>
        </w:tc>
        <w:tc>
          <w:tcPr>
            <w:tcW w:w="2835" w:type="dxa"/>
            <w:vAlign w:val="center"/>
          </w:tcPr>
          <w:p w14:paraId="5FC0929F">
            <w:pPr>
              <w:pStyle w:val="12"/>
            </w:pPr>
            <w:r>
              <w:t>50%</w:t>
            </w:r>
          </w:p>
        </w:tc>
        <w:tc>
          <w:tcPr>
            <w:tcW w:w="2551" w:type="dxa"/>
            <w:vAlign w:val="center"/>
          </w:tcPr>
          <w:p w14:paraId="3B7B1C16">
            <w:pPr>
              <w:pStyle w:val="12"/>
            </w:pPr>
            <w:r>
              <w:t>75%</w:t>
            </w:r>
          </w:p>
        </w:tc>
        <w:tc>
          <w:tcPr>
            <w:tcW w:w="3544" w:type="dxa"/>
            <w:gridSpan w:val="2"/>
            <w:vAlign w:val="center"/>
          </w:tcPr>
          <w:p w14:paraId="42C85667">
            <w:pPr>
              <w:pStyle w:val="12"/>
            </w:pPr>
            <w:r>
              <w:t>100%</w:t>
            </w:r>
          </w:p>
        </w:tc>
      </w:tr>
      <w:tr w14:paraId="6638A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C3344">
            <w:pPr>
              <w:pStyle w:val="11"/>
            </w:pPr>
            <w:r>
              <w:t>绩效目标</w:t>
            </w:r>
          </w:p>
        </w:tc>
        <w:tc>
          <w:tcPr>
            <w:tcW w:w="14033" w:type="dxa"/>
            <w:gridSpan w:val="6"/>
            <w:vAlign w:val="center"/>
          </w:tcPr>
          <w:p w14:paraId="176DF7FD">
            <w:pPr>
              <w:pStyle w:val="13"/>
            </w:pPr>
            <w:r>
              <w:t>1.保障落实建档立卡及家庭经济困难学生资助所需资金，确保建档立卡等家庭经济困难学生优先获得资助</w:t>
            </w:r>
          </w:p>
        </w:tc>
      </w:tr>
    </w:tbl>
    <w:p w14:paraId="663B0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19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3E862">
            <w:pPr>
              <w:pStyle w:val="11"/>
            </w:pPr>
            <w:r>
              <w:t>一级指标</w:t>
            </w:r>
          </w:p>
        </w:tc>
        <w:tc>
          <w:tcPr>
            <w:tcW w:w="2268" w:type="dxa"/>
            <w:vAlign w:val="center"/>
          </w:tcPr>
          <w:p w14:paraId="435567D3">
            <w:pPr>
              <w:pStyle w:val="11"/>
            </w:pPr>
            <w:r>
              <w:t>二级指标</w:t>
            </w:r>
          </w:p>
        </w:tc>
        <w:tc>
          <w:tcPr>
            <w:tcW w:w="2835" w:type="dxa"/>
            <w:vAlign w:val="center"/>
          </w:tcPr>
          <w:p w14:paraId="170AA379">
            <w:pPr>
              <w:pStyle w:val="11"/>
            </w:pPr>
            <w:r>
              <w:t>三级指标</w:t>
            </w:r>
          </w:p>
        </w:tc>
        <w:tc>
          <w:tcPr>
            <w:tcW w:w="5386" w:type="dxa"/>
            <w:vAlign w:val="center"/>
          </w:tcPr>
          <w:p w14:paraId="318E12AB">
            <w:pPr>
              <w:pStyle w:val="11"/>
            </w:pPr>
            <w:r>
              <w:t>绩效指标描述</w:t>
            </w:r>
          </w:p>
        </w:tc>
        <w:tc>
          <w:tcPr>
            <w:tcW w:w="2268" w:type="dxa"/>
            <w:vAlign w:val="center"/>
          </w:tcPr>
          <w:p w14:paraId="7A6C7120">
            <w:pPr>
              <w:pStyle w:val="11"/>
            </w:pPr>
            <w:r>
              <w:t>指标值</w:t>
            </w:r>
          </w:p>
        </w:tc>
        <w:tc>
          <w:tcPr>
            <w:tcW w:w="1276" w:type="dxa"/>
            <w:vAlign w:val="center"/>
          </w:tcPr>
          <w:p w14:paraId="74376332">
            <w:pPr>
              <w:pStyle w:val="11"/>
            </w:pPr>
            <w:r>
              <w:t>指标值确定依据</w:t>
            </w:r>
          </w:p>
        </w:tc>
      </w:tr>
      <w:tr w14:paraId="056D5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028AA">
            <w:pPr>
              <w:pStyle w:val="12"/>
            </w:pPr>
            <w:r>
              <w:t>产出指标</w:t>
            </w:r>
          </w:p>
        </w:tc>
        <w:tc>
          <w:tcPr>
            <w:tcW w:w="2268" w:type="dxa"/>
            <w:vAlign w:val="center"/>
          </w:tcPr>
          <w:p w14:paraId="34395D41">
            <w:pPr>
              <w:pStyle w:val="13"/>
            </w:pPr>
            <w:r>
              <w:t>数量指标</w:t>
            </w:r>
          </w:p>
        </w:tc>
        <w:tc>
          <w:tcPr>
            <w:tcW w:w="2835" w:type="dxa"/>
            <w:vAlign w:val="center"/>
          </w:tcPr>
          <w:p w14:paraId="6B15D3EB">
            <w:pPr>
              <w:pStyle w:val="13"/>
            </w:pPr>
            <w:r>
              <w:t>家庭经济困难资助比例</w:t>
            </w:r>
          </w:p>
        </w:tc>
        <w:tc>
          <w:tcPr>
            <w:tcW w:w="5386" w:type="dxa"/>
            <w:vAlign w:val="center"/>
          </w:tcPr>
          <w:p w14:paraId="56D1A1D9">
            <w:pPr>
              <w:pStyle w:val="13"/>
            </w:pPr>
            <w:r>
              <w:t>寄宿生按义教在校生15%测算，非寄宿生按义教在校生5%测算</w:t>
            </w:r>
          </w:p>
        </w:tc>
        <w:tc>
          <w:tcPr>
            <w:tcW w:w="2268" w:type="dxa"/>
            <w:vAlign w:val="center"/>
          </w:tcPr>
          <w:p w14:paraId="74710D4B">
            <w:pPr>
              <w:pStyle w:val="13"/>
            </w:pPr>
            <w:r>
              <w:t>3900人</w:t>
            </w:r>
          </w:p>
        </w:tc>
        <w:tc>
          <w:tcPr>
            <w:tcW w:w="1276" w:type="dxa"/>
            <w:vAlign w:val="center"/>
          </w:tcPr>
          <w:p w14:paraId="0FF23373">
            <w:pPr>
              <w:pStyle w:val="13"/>
            </w:pPr>
            <w:r>
              <w:t>城乡义务教育“两免一补”资助实施细则</w:t>
            </w:r>
          </w:p>
        </w:tc>
      </w:tr>
      <w:tr w14:paraId="3398D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A7440"/>
        </w:tc>
        <w:tc>
          <w:tcPr>
            <w:tcW w:w="2268" w:type="dxa"/>
            <w:vAlign w:val="center"/>
          </w:tcPr>
          <w:p w14:paraId="321A49C6">
            <w:pPr>
              <w:pStyle w:val="13"/>
            </w:pPr>
            <w:r>
              <w:t>质量指标</w:t>
            </w:r>
          </w:p>
        </w:tc>
        <w:tc>
          <w:tcPr>
            <w:tcW w:w="2835" w:type="dxa"/>
            <w:vAlign w:val="center"/>
          </w:tcPr>
          <w:p w14:paraId="40C9B3C8">
            <w:pPr>
              <w:pStyle w:val="13"/>
            </w:pPr>
            <w:r>
              <w:t>义务教育资助制度落实情况</w:t>
            </w:r>
          </w:p>
        </w:tc>
        <w:tc>
          <w:tcPr>
            <w:tcW w:w="5386" w:type="dxa"/>
            <w:vAlign w:val="center"/>
          </w:tcPr>
          <w:p w14:paraId="6E434801">
            <w:pPr>
              <w:pStyle w:val="13"/>
            </w:pPr>
            <w:r>
              <w:t>符合享受资助条件的学生应助尽助</w:t>
            </w:r>
          </w:p>
        </w:tc>
        <w:tc>
          <w:tcPr>
            <w:tcW w:w="2268" w:type="dxa"/>
            <w:vAlign w:val="center"/>
          </w:tcPr>
          <w:p w14:paraId="763FB206">
            <w:pPr>
              <w:pStyle w:val="13"/>
            </w:pPr>
            <w:r>
              <w:t>≥100%</w:t>
            </w:r>
          </w:p>
        </w:tc>
        <w:tc>
          <w:tcPr>
            <w:tcW w:w="1276" w:type="dxa"/>
            <w:vAlign w:val="center"/>
          </w:tcPr>
          <w:p w14:paraId="7955FF12">
            <w:pPr>
              <w:pStyle w:val="13"/>
            </w:pPr>
            <w:r>
              <w:t>城乡义务教育“两免一补”资助实施细则</w:t>
            </w:r>
          </w:p>
        </w:tc>
      </w:tr>
      <w:tr w14:paraId="2FFAE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B6EC3"/>
        </w:tc>
        <w:tc>
          <w:tcPr>
            <w:tcW w:w="2268" w:type="dxa"/>
            <w:vAlign w:val="center"/>
          </w:tcPr>
          <w:p w14:paraId="3D213B49">
            <w:pPr>
              <w:pStyle w:val="13"/>
            </w:pPr>
            <w:r>
              <w:t>时效指标</w:t>
            </w:r>
          </w:p>
        </w:tc>
        <w:tc>
          <w:tcPr>
            <w:tcW w:w="2835" w:type="dxa"/>
            <w:vAlign w:val="center"/>
          </w:tcPr>
          <w:p w14:paraId="3E14A3C4">
            <w:pPr>
              <w:pStyle w:val="13"/>
            </w:pPr>
            <w:r>
              <w:t>资金拨付率</w:t>
            </w:r>
          </w:p>
        </w:tc>
        <w:tc>
          <w:tcPr>
            <w:tcW w:w="5386" w:type="dxa"/>
            <w:vAlign w:val="center"/>
          </w:tcPr>
          <w:p w14:paraId="438CA42D">
            <w:pPr>
              <w:pStyle w:val="13"/>
            </w:pPr>
            <w:r>
              <w:t>所有项目资金支付进度</w:t>
            </w:r>
          </w:p>
        </w:tc>
        <w:tc>
          <w:tcPr>
            <w:tcW w:w="2268" w:type="dxa"/>
            <w:vAlign w:val="center"/>
          </w:tcPr>
          <w:p w14:paraId="201CE008">
            <w:pPr>
              <w:pStyle w:val="13"/>
            </w:pPr>
            <w:r>
              <w:t>≥100%</w:t>
            </w:r>
          </w:p>
        </w:tc>
        <w:tc>
          <w:tcPr>
            <w:tcW w:w="1276" w:type="dxa"/>
            <w:vAlign w:val="center"/>
          </w:tcPr>
          <w:p w14:paraId="11281392">
            <w:pPr>
              <w:pStyle w:val="13"/>
            </w:pPr>
            <w:r>
              <w:t>城乡义务教育“两免一补”资助实施细则</w:t>
            </w:r>
          </w:p>
        </w:tc>
      </w:tr>
      <w:tr w14:paraId="4DC64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2E3ED"/>
        </w:tc>
        <w:tc>
          <w:tcPr>
            <w:tcW w:w="2268" w:type="dxa"/>
            <w:vAlign w:val="center"/>
          </w:tcPr>
          <w:p w14:paraId="12D1F7D2">
            <w:pPr>
              <w:pStyle w:val="13"/>
            </w:pPr>
            <w:r>
              <w:t>成本指标</w:t>
            </w:r>
          </w:p>
        </w:tc>
        <w:tc>
          <w:tcPr>
            <w:tcW w:w="2835" w:type="dxa"/>
            <w:vAlign w:val="center"/>
          </w:tcPr>
          <w:p w14:paraId="7B839F7B">
            <w:pPr>
              <w:pStyle w:val="13"/>
            </w:pPr>
            <w:r>
              <w:t>家庭经济困难寄宿及非寄四类学生补助标准</w:t>
            </w:r>
          </w:p>
        </w:tc>
        <w:tc>
          <w:tcPr>
            <w:tcW w:w="5386" w:type="dxa"/>
            <w:vAlign w:val="center"/>
          </w:tcPr>
          <w:p w14:paraId="1698CE29">
            <w:pPr>
              <w:pStyle w:val="13"/>
            </w:pPr>
            <w:r>
              <w:t>小学寄宿：标准1250元/生/学年</w:t>
            </w:r>
          </w:p>
        </w:tc>
        <w:tc>
          <w:tcPr>
            <w:tcW w:w="2268" w:type="dxa"/>
            <w:vAlign w:val="center"/>
          </w:tcPr>
          <w:p w14:paraId="7BB1A8FA">
            <w:pPr>
              <w:pStyle w:val="13"/>
            </w:pPr>
            <w:r>
              <w:t>1250元</w:t>
            </w:r>
          </w:p>
        </w:tc>
        <w:tc>
          <w:tcPr>
            <w:tcW w:w="1276" w:type="dxa"/>
            <w:vAlign w:val="center"/>
          </w:tcPr>
          <w:p w14:paraId="453DCA97">
            <w:pPr>
              <w:pStyle w:val="13"/>
            </w:pPr>
            <w:r>
              <w:t>城乡义务教育“两免一补”资助实施细则</w:t>
            </w:r>
          </w:p>
        </w:tc>
      </w:tr>
      <w:tr w14:paraId="27978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27CC4A">
            <w:pPr>
              <w:pStyle w:val="12"/>
            </w:pPr>
            <w:r>
              <w:t>效益指标</w:t>
            </w:r>
          </w:p>
        </w:tc>
        <w:tc>
          <w:tcPr>
            <w:tcW w:w="2268" w:type="dxa"/>
            <w:vAlign w:val="center"/>
          </w:tcPr>
          <w:p w14:paraId="21102387">
            <w:pPr>
              <w:pStyle w:val="13"/>
            </w:pPr>
            <w:r>
              <w:t>社会效益指标</w:t>
            </w:r>
          </w:p>
        </w:tc>
        <w:tc>
          <w:tcPr>
            <w:tcW w:w="2835" w:type="dxa"/>
            <w:vAlign w:val="center"/>
          </w:tcPr>
          <w:p w14:paraId="01582763">
            <w:pPr>
              <w:pStyle w:val="13"/>
            </w:pPr>
            <w:r>
              <w:t>项目实施成果</w:t>
            </w:r>
          </w:p>
        </w:tc>
        <w:tc>
          <w:tcPr>
            <w:tcW w:w="5386" w:type="dxa"/>
            <w:vAlign w:val="center"/>
          </w:tcPr>
          <w:p w14:paraId="474E7B4F">
            <w:pPr>
              <w:pStyle w:val="13"/>
            </w:pPr>
            <w:r>
              <w:t>家庭经济困难补助实施年限</w:t>
            </w:r>
          </w:p>
        </w:tc>
        <w:tc>
          <w:tcPr>
            <w:tcW w:w="2268" w:type="dxa"/>
            <w:vAlign w:val="center"/>
          </w:tcPr>
          <w:p w14:paraId="1299A12E">
            <w:pPr>
              <w:pStyle w:val="13"/>
            </w:pPr>
            <w:r>
              <w:t>6年</w:t>
            </w:r>
          </w:p>
        </w:tc>
        <w:tc>
          <w:tcPr>
            <w:tcW w:w="1276" w:type="dxa"/>
            <w:vAlign w:val="center"/>
          </w:tcPr>
          <w:p w14:paraId="0B4763C9">
            <w:pPr>
              <w:pStyle w:val="13"/>
            </w:pPr>
            <w:r>
              <w:t>城乡义务教育“两免一补”资助实施细则</w:t>
            </w:r>
          </w:p>
        </w:tc>
      </w:tr>
      <w:tr w14:paraId="27688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6EA8AB">
            <w:pPr>
              <w:pStyle w:val="12"/>
            </w:pPr>
            <w:r>
              <w:t>满意度指标</w:t>
            </w:r>
          </w:p>
        </w:tc>
        <w:tc>
          <w:tcPr>
            <w:tcW w:w="2268" w:type="dxa"/>
            <w:vAlign w:val="center"/>
          </w:tcPr>
          <w:p w14:paraId="32EA675B">
            <w:pPr>
              <w:pStyle w:val="13"/>
            </w:pPr>
            <w:r>
              <w:t>服务对象满意度指标</w:t>
            </w:r>
          </w:p>
        </w:tc>
        <w:tc>
          <w:tcPr>
            <w:tcW w:w="2835" w:type="dxa"/>
            <w:vAlign w:val="center"/>
          </w:tcPr>
          <w:p w14:paraId="1B520BF4">
            <w:pPr>
              <w:pStyle w:val="13"/>
            </w:pPr>
            <w:r>
              <w:t>受益学生家长及调查满意度</w:t>
            </w:r>
          </w:p>
        </w:tc>
        <w:tc>
          <w:tcPr>
            <w:tcW w:w="5386" w:type="dxa"/>
            <w:vAlign w:val="center"/>
          </w:tcPr>
          <w:p w14:paraId="0BB402B1">
            <w:pPr>
              <w:pStyle w:val="13"/>
            </w:pPr>
            <w:r>
              <w:t>学生、教师及家长对学校保教保育工作满意度情况</w:t>
            </w:r>
          </w:p>
        </w:tc>
        <w:tc>
          <w:tcPr>
            <w:tcW w:w="2268" w:type="dxa"/>
            <w:vAlign w:val="center"/>
          </w:tcPr>
          <w:p w14:paraId="5F682040">
            <w:pPr>
              <w:pStyle w:val="13"/>
            </w:pPr>
            <w:r>
              <w:t>≥95%</w:t>
            </w:r>
          </w:p>
        </w:tc>
        <w:tc>
          <w:tcPr>
            <w:tcW w:w="1276" w:type="dxa"/>
            <w:vAlign w:val="center"/>
          </w:tcPr>
          <w:p w14:paraId="27EAD89C">
            <w:pPr>
              <w:pStyle w:val="13"/>
            </w:pPr>
            <w:r>
              <w:t>调查问卷</w:t>
            </w:r>
          </w:p>
        </w:tc>
      </w:tr>
    </w:tbl>
    <w:p w14:paraId="257FAD39">
      <w:pPr>
        <w:sectPr>
          <w:pgSz w:w="16840" w:h="11900" w:orient="landscape"/>
          <w:pgMar w:top="1361" w:right="1020" w:bottom="1134" w:left="1020" w:header="720" w:footer="720" w:gutter="0"/>
          <w:cols w:space="720" w:num="1"/>
        </w:sectPr>
      </w:pPr>
    </w:p>
    <w:p w14:paraId="69B43D47">
      <w:pPr>
        <w:spacing w:before="0" w:after="0"/>
        <w:ind w:firstLine="560"/>
        <w:jc w:val="left"/>
        <w:outlineLvl w:val="9"/>
      </w:pPr>
      <w:r>
        <w:rPr>
          <w:rFonts w:ascii="方正仿宋_GBK" w:hAnsi="方正仿宋_GBK" w:eastAsia="方正仿宋_GBK" w:cs="方正仿宋_GBK"/>
          <w:b/>
          <w:color w:val="000000"/>
          <w:sz w:val="28"/>
        </w:rPr>
        <w:t>46、冀财教[2024]141号/省级/2025年义教补助经费/隆尧成龙易衡实验学校（初中）公用经费绩效目标表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A7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3DE77">
            <w:pPr>
              <w:pStyle w:val="14"/>
            </w:pPr>
            <w:r>
              <w:t>单位：万元</w:t>
            </w:r>
          </w:p>
        </w:tc>
      </w:tr>
      <w:tr w14:paraId="5DBEE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DBCA3">
            <w:pPr>
              <w:pStyle w:val="11"/>
            </w:pPr>
            <w:r>
              <w:t>项目编码</w:t>
            </w:r>
          </w:p>
        </w:tc>
        <w:tc>
          <w:tcPr>
            <w:tcW w:w="5103" w:type="dxa"/>
            <w:gridSpan w:val="2"/>
            <w:vAlign w:val="center"/>
          </w:tcPr>
          <w:p w14:paraId="0B0E1F3C">
            <w:pPr>
              <w:pStyle w:val="13"/>
            </w:pPr>
            <w:r>
              <w:t>13052525P00000410224Q</w:t>
            </w:r>
          </w:p>
        </w:tc>
        <w:tc>
          <w:tcPr>
            <w:tcW w:w="2835" w:type="dxa"/>
            <w:vAlign w:val="center"/>
          </w:tcPr>
          <w:p w14:paraId="0621950F">
            <w:pPr>
              <w:pStyle w:val="11"/>
            </w:pPr>
            <w:r>
              <w:t>项目名称</w:t>
            </w:r>
          </w:p>
        </w:tc>
        <w:tc>
          <w:tcPr>
            <w:tcW w:w="6095" w:type="dxa"/>
            <w:gridSpan w:val="3"/>
            <w:vAlign w:val="center"/>
          </w:tcPr>
          <w:p w14:paraId="7300C98E">
            <w:pPr>
              <w:pStyle w:val="13"/>
            </w:pPr>
            <w:r>
              <w:t>冀财教[2024]141号/省级/2025年义教补助经费/隆尧成龙易衡实验学校（初中）公用经费</w:t>
            </w:r>
          </w:p>
        </w:tc>
      </w:tr>
      <w:tr w14:paraId="11169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EC4A8">
            <w:pPr>
              <w:pStyle w:val="11"/>
            </w:pPr>
            <w:r>
              <w:t>预算规模及资金用途</w:t>
            </w:r>
          </w:p>
        </w:tc>
        <w:tc>
          <w:tcPr>
            <w:tcW w:w="2268" w:type="dxa"/>
            <w:vAlign w:val="center"/>
          </w:tcPr>
          <w:p w14:paraId="49932A9B">
            <w:pPr>
              <w:pStyle w:val="11"/>
            </w:pPr>
            <w:r>
              <w:t>预算数</w:t>
            </w:r>
          </w:p>
        </w:tc>
        <w:tc>
          <w:tcPr>
            <w:tcW w:w="2835" w:type="dxa"/>
            <w:vAlign w:val="center"/>
          </w:tcPr>
          <w:p w14:paraId="77D6E9D3">
            <w:pPr>
              <w:pStyle w:val="13"/>
            </w:pPr>
            <w:r>
              <w:t>46.97</w:t>
            </w:r>
          </w:p>
        </w:tc>
        <w:tc>
          <w:tcPr>
            <w:tcW w:w="2835" w:type="dxa"/>
            <w:vAlign w:val="center"/>
          </w:tcPr>
          <w:p w14:paraId="44A25F6C">
            <w:pPr>
              <w:pStyle w:val="11"/>
            </w:pPr>
            <w:r>
              <w:t>其中：财政    资金</w:t>
            </w:r>
          </w:p>
        </w:tc>
        <w:tc>
          <w:tcPr>
            <w:tcW w:w="2551" w:type="dxa"/>
            <w:vAlign w:val="center"/>
          </w:tcPr>
          <w:p w14:paraId="17CF9D37">
            <w:pPr>
              <w:pStyle w:val="13"/>
            </w:pPr>
            <w:r>
              <w:t>46.97</w:t>
            </w:r>
          </w:p>
        </w:tc>
        <w:tc>
          <w:tcPr>
            <w:tcW w:w="2268" w:type="dxa"/>
            <w:vAlign w:val="center"/>
          </w:tcPr>
          <w:p w14:paraId="76E44336">
            <w:pPr>
              <w:pStyle w:val="11"/>
            </w:pPr>
            <w:r>
              <w:t>其他资金</w:t>
            </w:r>
          </w:p>
        </w:tc>
        <w:tc>
          <w:tcPr>
            <w:tcW w:w="1276" w:type="dxa"/>
            <w:vAlign w:val="center"/>
          </w:tcPr>
          <w:p w14:paraId="7BF3BC06">
            <w:pPr>
              <w:pStyle w:val="13"/>
            </w:pPr>
            <w:r>
              <w:t xml:space="preserve"> </w:t>
            </w:r>
          </w:p>
        </w:tc>
      </w:tr>
      <w:tr w14:paraId="345871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D3D765"/>
        </w:tc>
        <w:tc>
          <w:tcPr>
            <w:tcW w:w="14033" w:type="dxa"/>
            <w:gridSpan w:val="6"/>
            <w:vAlign w:val="center"/>
          </w:tcPr>
          <w:p w14:paraId="33F7D640">
            <w:pPr>
              <w:pStyle w:val="13"/>
            </w:pPr>
            <w:r>
              <w:t>保障义务教育学校正常运转，完成教育教学活动和其他日常工作任务等方面的费用支出。</w:t>
            </w:r>
          </w:p>
        </w:tc>
      </w:tr>
      <w:tr w14:paraId="18306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A4047">
            <w:pPr>
              <w:pStyle w:val="11"/>
            </w:pPr>
            <w:r>
              <w:t>资金支出计划（%）</w:t>
            </w:r>
          </w:p>
        </w:tc>
        <w:tc>
          <w:tcPr>
            <w:tcW w:w="5103" w:type="dxa"/>
            <w:gridSpan w:val="2"/>
            <w:vAlign w:val="center"/>
          </w:tcPr>
          <w:p w14:paraId="6877F1B9">
            <w:pPr>
              <w:pStyle w:val="11"/>
            </w:pPr>
            <w:r>
              <w:t>3月底</w:t>
            </w:r>
          </w:p>
        </w:tc>
        <w:tc>
          <w:tcPr>
            <w:tcW w:w="2835" w:type="dxa"/>
            <w:vAlign w:val="center"/>
          </w:tcPr>
          <w:p w14:paraId="53D8C5CB">
            <w:pPr>
              <w:pStyle w:val="11"/>
            </w:pPr>
            <w:r>
              <w:t>6月底</w:t>
            </w:r>
          </w:p>
        </w:tc>
        <w:tc>
          <w:tcPr>
            <w:tcW w:w="2551" w:type="dxa"/>
            <w:vAlign w:val="center"/>
          </w:tcPr>
          <w:p w14:paraId="7D95D9A5">
            <w:pPr>
              <w:pStyle w:val="11"/>
            </w:pPr>
            <w:r>
              <w:t>10月底</w:t>
            </w:r>
          </w:p>
        </w:tc>
        <w:tc>
          <w:tcPr>
            <w:tcW w:w="3544" w:type="dxa"/>
            <w:gridSpan w:val="2"/>
            <w:vAlign w:val="center"/>
          </w:tcPr>
          <w:p w14:paraId="5A017E45">
            <w:pPr>
              <w:pStyle w:val="11"/>
            </w:pPr>
            <w:r>
              <w:t>12月底</w:t>
            </w:r>
          </w:p>
        </w:tc>
      </w:tr>
      <w:tr w14:paraId="70D68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DAE132"/>
        </w:tc>
        <w:tc>
          <w:tcPr>
            <w:tcW w:w="5103" w:type="dxa"/>
            <w:gridSpan w:val="2"/>
            <w:vAlign w:val="center"/>
          </w:tcPr>
          <w:p w14:paraId="4FD3D9FA">
            <w:pPr>
              <w:pStyle w:val="12"/>
            </w:pPr>
            <w:r>
              <w:t xml:space="preserve"> </w:t>
            </w:r>
          </w:p>
        </w:tc>
        <w:tc>
          <w:tcPr>
            <w:tcW w:w="2835" w:type="dxa"/>
            <w:vAlign w:val="center"/>
          </w:tcPr>
          <w:p w14:paraId="61F1D6A5">
            <w:pPr>
              <w:pStyle w:val="12"/>
            </w:pPr>
            <w:r>
              <w:t>50%</w:t>
            </w:r>
          </w:p>
        </w:tc>
        <w:tc>
          <w:tcPr>
            <w:tcW w:w="2551" w:type="dxa"/>
            <w:vAlign w:val="center"/>
          </w:tcPr>
          <w:p w14:paraId="52C3A751">
            <w:pPr>
              <w:pStyle w:val="12"/>
            </w:pPr>
            <w:r>
              <w:t>75%</w:t>
            </w:r>
          </w:p>
        </w:tc>
        <w:tc>
          <w:tcPr>
            <w:tcW w:w="3544" w:type="dxa"/>
            <w:gridSpan w:val="2"/>
            <w:vAlign w:val="center"/>
          </w:tcPr>
          <w:p w14:paraId="6ABAB435">
            <w:pPr>
              <w:pStyle w:val="12"/>
            </w:pPr>
            <w:r>
              <w:t>100%</w:t>
            </w:r>
          </w:p>
        </w:tc>
      </w:tr>
      <w:tr w14:paraId="2A3D4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0ADBA">
            <w:pPr>
              <w:pStyle w:val="11"/>
            </w:pPr>
            <w:r>
              <w:t>绩效目标</w:t>
            </w:r>
          </w:p>
        </w:tc>
        <w:tc>
          <w:tcPr>
            <w:tcW w:w="14033" w:type="dxa"/>
            <w:gridSpan w:val="6"/>
            <w:vAlign w:val="center"/>
          </w:tcPr>
          <w:p w14:paraId="78DC8FAD">
            <w:pPr>
              <w:pStyle w:val="13"/>
            </w:pPr>
            <w:r>
              <w:t>1.保障义务教育学校正常运转，完成教育教学活动和其他日常工作任务等方面的费用支出。</w:t>
            </w:r>
          </w:p>
        </w:tc>
      </w:tr>
    </w:tbl>
    <w:p w14:paraId="483EE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AA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00B21">
            <w:pPr>
              <w:pStyle w:val="11"/>
            </w:pPr>
            <w:r>
              <w:t>一级指标</w:t>
            </w:r>
          </w:p>
        </w:tc>
        <w:tc>
          <w:tcPr>
            <w:tcW w:w="2268" w:type="dxa"/>
            <w:vAlign w:val="center"/>
          </w:tcPr>
          <w:p w14:paraId="26EC6610">
            <w:pPr>
              <w:pStyle w:val="11"/>
            </w:pPr>
            <w:r>
              <w:t>二级指标</w:t>
            </w:r>
          </w:p>
        </w:tc>
        <w:tc>
          <w:tcPr>
            <w:tcW w:w="2835" w:type="dxa"/>
            <w:vAlign w:val="center"/>
          </w:tcPr>
          <w:p w14:paraId="5BF4DA9C">
            <w:pPr>
              <w:pStyle w:val="11"/>
            </w:pPr>
            <w:r>
              <w:t>三级指标</w:t>
            </w:r>
          </w:p>
        </w:tc>
        <w:tc>
          <w:tcPr>
            <w:tcW w:w="5386" w:type="dxa"/>
            <w:vAlign w:val="center"/>
          </w:tcPr>
          <w:p w14:paraId="5993532E">
            <w:pPr>
              <w:pStyle w:val="11"/>
            </w:pPr>
            <w:r>
              <w:t>绩效指标描述</w:t>
            </w:r>
          </w:p>
        </w:tc>
        <w:tc>
          <w:tcPr>
            <w:tcW w:w="2268" w:type="dxa"/>
            <w:vAlign w:val="center"/>
          </w:tcPr>
          <w:p w14:paraId="31EAFAB7">
            <w:pPr>
              <w:pStyle w:val="11"/>
            </w:pPr>
            <w:r>
              <w:t>指标值</w:t>
            </w:r>
          </w:p>
        </w:tc>
        <w:tc>
          <w:tcPr>
            <w:tcW w:w="1276" w:type="dxa"/>
            <w:vAlign w:val="center"/>
          </w:tcPr>
          <w:p w14:paraId="6FFC7D8C">
            <w:pPr>
              <w:pStyle w:val="11"/>
            </w:pPr>
            <w:r>
              <w:t>指标值确定依据</w:t>
            </w:r>
          </w:p>
        </w:tc>
      </w:tr>
      <w:tr w14:paraId="2407F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73672">
            <w:pPr>
              <w:pStyle w:val="12"/>
            </w:pPr>
            <w:r>
              <w:t>产出指标</w:t>
            </w:r>
          </w:p>
        </w:tc>
        <w:tc>
          <w:tcPr>
            <w:tcW w:w="2268" w:type="dxa"/>
            <w:vAlign w:val="center"/>
          </w:tcPr>
          <w:p w14:paraId="38CF1FEB">
            <w:pPr>
              <w:pStyle w:val="13"/>
            </w:pPr>
            <w:r>
              <w:t>数量指标</w:t>
            </w:r>
          </w:p>
        </w:tc>
        <w:tc>
          <w:tcPr>
            <w:tcW w:w="2835" w:type="dxa"/>
            <w:vAlign w:val="center"/>
          </w:tcPr>
          <w:p w14:paraId="414496BF">
            <w:pPr>
              <w:pStyle w:val="13"/>
            </w:pPr>
            <w:r>
              <w:t>适龄在校生</w:t>
            </w:r>
          </w:p>
        </w:tc>
        <w:tc>
          <w:tcPr>
            <w:tcW w:w="5386" w:type="dxa"/>
            <w:vAlign w:val="center"/>
          </w:tcPr>
          <w:p w14:paraId="3D271BE2">
            <w:pPr>
              <w:pStyle w:val="13"/>
            </w:pPr>
            <w:r>
              <w:t>适龄在校就读学生人数</w:t>
            </w:r>
          </w:p>
        </w:tc>
        <w:tc>
          <w:tcPr>
            <w:tcW w:w="2268" w:type="dxa"/>
            <w:vAlign w:val="center"/>
          </w:tcPr>
          <w:p w14:paraId="3B49AA83">
            <w:pPr>
              <w:pStyle w:val="13"/>
            </w:pPr>
            <w:r>
              <w:t>1537人</w:t>
            </w:r>
          </w:p>
        </w:tc>
        <w:tc>
          <w:tcPr>
            <w:tcW w:w="1276" w:type="dxa"/>
            <w:vAlign w:val="center"/>
          </w:tcPr>
          <w:p w14:paraId="29EB5E11">
            <w:pPr>
              <w:pStyle w:val="13"/>
            </w:pPr>
            <w:r>
              <w:t>城乡义务教育公用经费管理办法</w:t>
            </w:r>
          </w:p>
        </w:tc>
      </w:tr>
      <w:tr w14:paraId="30C3F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0D9A6"/>
        </w:tc>
        <w:tc>
          <w:tcPr>
            <w:tcW w:w="2268" w:type="dxa"/>
            <w:vAlign w:val="center"/>
          </w:tcPr>
          <w:p w14:paraId="5AEFE7F3">
            <w:pPr>
              <w:pStyle w:val="13"/>
            </w:pPr>
            <w:r>
              <w:t>质量指标</w:t>
            </w:r>
          </w:p>
        </w:tc>
        <w:tc>
          <w:tcPr>
            <w:tcW w:w="2835" w:type="dxa"/>
            <w:vAlign w:val="center"/>
          </w:tcPr>
          <w:p w14:paraId="15E43D4B">
            <w:pPr>
              <w:pStyle w:val="13"/>
            </w:pPr>
            <w:r>
              <w:t>预算控制率</w:t>
            </w:r>
          </w:p>
        </w:tc>
        <w:tc>
          <w:tcPr>
            <w:tcW w:w="5386" w:type="dxa"/>
            <w:vAlign w:val="center"/>
          </w:tcPr>
          <w:p w14:paraId="5C5DFD61">
            <w:pPr>
              <w:pStyle w:val="13"/>
            </w:pPr>
            <w:r>
              <w:t>预算执行</w:t>
            </w:r>
          </w:p>
        </w:tc>
        <w:tc>
          <w:tcPr>
            <w:tcW w:w="2268" w:type="dxa"/>
            <w:vAlign w:val="center"/>
          </w:tcPr>
          <w:p w14:paraId="0E1B657A">
            <w:pPr>
              <w:pStyle w:val="13"/>
            </w:pPr>
            <w:r>
              <w:t>≥95%</w:t>
            </w:r>
          </w:p>
        </w:tc>
        <w:tc>
          <w:tcPr>
            <w:tcW w:w="1276" w:type="dxa"/>
            <w:vAlign w:val="center"/>
          </w:tcPr>
          <w:p w14:paraId="2CC2E531">
            <w:pPr>
              <w:pStyle w:val="13"/>
            </w:pPr>
            <w:r>
              <w:t>城乡义务教育公用经费管理办法</w:t>
            </w:r>
          </w:p>
        </w:tc>
      </w:tr>
      <w:tr w14:paraId="2E856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6E2E2"/>
        </w:tc>
        <w:tc>
          <w:tcPr>
            <w:tcW w:w="2268" w:type="dxa"/>
            <w:vAlign w:val="center"/>
          </w:tcPr>
          <w:p w14:paraId="489CCB5E">
            <w:pPr>
              <w:pStyle w:val="13"/>
            </w:pPr>
            <w:r>
              <w:t>时效指标</w:t>
            </w:r>
          </w:p>
        </w:tc>
        <w:tc>
          <w:tcPr>
            <w:tcW w:w="2835" w:type="dxa"/>
            <w:vAlign w:val="center"/>
          </w:tcPr>
          <w:p w14:paraId="5E0AA82F">
            <w:pPr>
              <w:pStyle w:val="13"/>
            </w:pPr>
            <w:r>
              <w:t>资金支付率</w:t>
            </w:r>
          </w:p>
        </w:tc>
        <w:tc>
          <w:tcPr>
            <w:tcW w:w="5386" w:type="dxa"/>
            <w:vAlign w:val="center"/>
          </w:tcPr>
          <w:p w14:paraId="7715232C">
            <w:pPr>
              <w:pStyle w:val="13"/>
            </w:pPr>
            <w:r>
              <w:t>按照序时进度完成资金支付</w:t>
            </w:r>
          </w:p>
        </w:tc>
        <w:tc>
          <w:tcPr>
            <w:tcW w:w="2268" w:type="dxa"/>
            <w:vAlign w:val="center"/>
          </w:tcPr>
          <w:p w14:paraId="4EB8E8EB">
            <w:pPr>
              <w:pStyle w:val="13"/>
            </w:pPr>
            <w:r>
              <w:t>≥100%</w:t>
            </w:r>
          </w:p>
        </w:tc>
        <w:tc>
          <w:tcPr>
            <w:tcW w:w="1276" w:type="dxa"/>
            <w:vAlign w:val="center"/>
          </w:tcPr>
          <w:p w14:paraId="4C83B959">
            <w:pPr>
              <w:pStyle w:val="13"/>
            </w:pPr>
            <w:r>
              <w:t>城乡义务教育公用经费管理办法</w:t>
            </w:r>
          </w:p>
        </w:tc>
      </w:tr>
      <w:tr w14:paraId="18363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EFAD5"/>
        </w:tc>
        <w:tc>
          <w:tcPr>
            <w:tcW w:w="2268" w:type="dxa"/>
            <w:vAlign w:val="center"/>
          </w:tcPr>
          <w:p w14:paraId="2EF07524">
            <w:pPr>
              <w:pStyle w:val="13"/>
            </w:pPr>
            <w:r>
              <w:t>成本指标</w:t>
            </w:r>
          </w:p>
        </w:tc>
        <w:tc>
          <w:tcPr>
            <w:tcW w:w="2835" w:type="dxa"/>
            <w:vAlign w:val="center"/>
          </w:tcPr>
          <w:p w14:paraId="2691FD23">
            <w:pPr>
              <w:pStyle w:val="13"/>
            </w:pPr>
            <w:r>
              <w:t>生均拨款标准</w:t>
            </w:r>
          </w:p>
        </w:tc>
        <w:tc>
          <w:tcPr>
            <w:tcW w:w="5386" w:type="dxa"/>
            <w:vAlign w:val="center"/>
          </w:tcPr>
          <w:p w14:paraId="4B2A206B">
            <w:pPr>
              <w:pStyle w:val="13"/>
            </w:pPr>
            <w:r>
              <w:t>初中：（基本标准940元、寄宿生300元、取暖120元）/生/学年；随班就读学生：标准6000元/生/学年。。</w:t>
            </w:r>
          </w:p>
        </w:tc>
        <w:tc>
          <w:tcPr>
            <w:tcW w:w="2268" w:type="dxa"/>
            <w:vAlign w:val="center"/>
          </w:tcPr>
          <w:p w14:paraId="78B680C9">
            <w:pPr>
              <w:pStyle w:val="13"/>
            </w:pPr>
            <w:r>
              <w:t>1360元</w:t>
            </w:r>
          </w:p>
        </w:tc>
        <w:tc>
          <w:tcPr>
            <w:tcW w:w="1276" w:type="dxa"/>
            <w:vAlign w:val="center"/>
          </w:tcPr>
          <w:p w14:paraId="2754BCDF">
            <w:pPr>
              <w:pStyle w:val="13"/>
            </w:pPr>
            <w:r>
              <w:t>城乡义务教育公用经费管理办法</w:t>
            </w:r>
          </w:p>
        </w:tc>
      </w:tr>
      <w:tr w14:paraId="355D3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CA862C">
            <w:pPr>
              <w:pStyle w:val="12"/>
            </w:pPr>
            <w:r>
              <w:t>效益指标</w:t>
            </w:r>
          </w:p>
        </w:tc>
        <w:tc>
          <w:tcPr>
            <w:tcW w:w="2268" w:type="dxa"/>
            <w:vAlign w:val="center"/>
          </w:tcPr>
          <w:p w14:paraId="57D98012">
            <w:pPr>
              <w:pStyle w:val="13"/>
            </w:pPr>
            <w:r>
              <w:t>可持续影响指标</w:t>
            </w:r>
          </w:p>
        </w:tc>
        <w:tc>
          <w:tcPr>
            <w:tcW w:w="2835" w:type="dxa"/>
            <w:vAlign w:val="center"/>
          </w:tcPr>
          <w:p w14:paraId="2AAE0A2B">
            <w:pPr>
              <w:pStyle w:val="13"/>
            </w:pPr>
            <w:r>
              <w:t>教育发展水平明显好转</w:t>
            </w:r>
          </w:p>
        </w:tc>
        <w:tc>
          <w:tcPr>
            <w:tcW w:w="5386" w:type="dxa"/>
            <w:vAlign w:val="center"/>
          </w:tcPr>
          <w:p w14:paraId="498180C0">
            <w:pPr>
              <w:pStyle w:val="13"/>
            </w:pPr>
            <w:r>
              <w:t>学生受教育年限</w:t>
            </w:r>
          </w:p>
        </w:tc>
        <w:tc>
          <w:tcPr>
            <w:tcW w:w="2268" w:type="dxa"/>
            <w:vAlign w:val="center"/>
          </w:tcPr>
          <w:p w14:paraId="7C50605F">
            <w:pPr>
              <w:pStyle w:val="13"/>
            </w:pPr>
            <w:r>
              <w:t>3年</w:t>
            </w:r>
          </w:p>
        </w:tc>
        <w:tc>
          <w:tcPr>
            <w:tcW w:w="1276" w:type="dxa"/>
            <w:vAlign w:val="center"/>
          </w:tcPr>
          <w:p w14:paraId="71BAF742">
            <w:pPr>
              <w:pStyle w:val="13"/>
            </w:pPr>
            <w:r>
              <w:t>城乡义务教育公用经费管理办法</w:t>
            </w:r>
          </w:p>
        </w:tc>
      </w:tr>
      <w:tr w14:paraId="66FA1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6A161B">
            <w:pPr>
              <w:pStyle w:val="12"/>
            </w:pPr>
            <w:r>
              <w:t>满意度指标</w:t>
            </w:r>
          </w:p>
        </w:tc>
        <w:tc>
          <w:tcPr>
            <w:tcW w:w="2268" w:type="dxa"/>
            <w:vAlign w:val="center"/>
          </w:tcPr>
          <w:p w14:paraId="2EDA47A9">
            <w:pPr>
              <w:pStyle w:val="13"/>
            </w:pPr>
            <w:r>
              <w:t>服务对象满意度指标</w:t>
            </w:r>
          </w:p>
        </w:tc>
        <w:tc>
          <w:tcPr>
            <w:tcW w:w="2835" w:type="dxa"/>
            <w:vAlign w:val="center"/>
          </w:tcPr>
          <w:p w14:paraId="432E6C57">
            <w:pPr>
              <w:pStyle w:val="13"/>
            </w:pPr>
            <w:r>
              <w:t>受益学生家长及调查满意度</w:t>
            </w:r>
          </w:p>
        </w:tc>
        <w:tc>
          <w:tcPr>
            <w:tcW w:w="5386" w:type="dxa"/>
            <w:vAlign w:val="center"/>
          </w:tcPr>
          <w:p w14:paraId="4B7A229F">
            <w:pPr>
              <w:pStyle w:val="13"/>
            </w:pPr>
            <w:r>
              <w:t>学生、教师及家长对学校教育教学工作满意度情况</w:t>
            </w:r>
          </w:p>
        </w:tc>
        <w:tc>
          <w:tcPr>
            <w:tcW w:w="2268" w:type="dxa"/>
            <w:vAlign w:val="center"/>
          </w:tcPr>
          <w:p w14:paraId="282B8050">
            <w:pPr>
              <w:pStyle w:val="13"/>
            </w:pPr>
            <w:r>
              <w:t>≥95%</w:t>
            </w:r>
          </w:p>
        </w:tc>
        <w:tc>
          <w:tcPr>
            <w:tcW w:w="1276" w:type="dxa"/>
            <w:vAlign w:val="center"/>
          </w:tcPr>
          <w:p w14:paraId="7CE2C027">
            <w:pPr>
              <w:pStyle w:val="13"/>
            </w:pPr>
            <w:r>
              <w:t>调查问卷</w:t>
            </w:r>
          </w:p>
        </w:tc>
      </w:tr>
    </w:tbl>
    <w:p w14:paraId="28EC93E0">
      <w:pPr>
        <w:sectPr>
          <w:pgSz w:w="16840" w:h="11900" w:orient="landscape"/>
          <w:pgMar w:top="1361" w:right="1020" w:bottom="1134" w:left="1020" w:header="720" w:footer="720" w:gutter="0"/>
          <w:cols w:space="720" w:num="1"/>
        </w:sectPr>
      </w:pPr>
    </w:p>
    <w:p w14:paraId="2AA4E9F1">
      <w:pPr>
        <w:spacing w:before="0" w:after="0"/>
        <w:ind w:firstLine="560"/>
        <w:jc w:val="left"/>
        <w:outlineLvl w:val="9"/>
      </w:pPr>
      <w:r>
        <w:rPr>
          <w:rFonts w:ascii="方正仿宋_GBK" w:hAnsi="方正仿宋_GBK" w:eastAsia="方正仿宋_GBK" w:cs="方正仿宋_GBK"/>
          <w:b/>
          <w:color w:val="000000"/>
          <w:sz w:val="28"/>
        </w:rPr>
        <w:t>47、冀财教[2024]141号/省级/2025年义教补助经费/隆尧县表方中学（小学）公用经费绩效目标表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AC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0BF80">
            <w:pPr>
              <w:pStyle w:val="14"/>
            </w:pPr>
            <w:r>
              <w:t>单位：万元</w:t>
            </w:r>
          </w:p>
        </w:tc>
      </w:tr>
      <w:tr w14:paraId="04C23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E288B">
            <w:pPr>
              <w:pStyle w:val="11"/>
            </w:pPr>
            <w:r>
              <w:t>项目编码</w:t>
            </w:r>
          </w:p>
        </w:tc>
        <w:tc>
          <w:tcPr>
            <w:tcW w:w="5103" w:type="dxa"/>
            <w:gridSpan w:val="2"/>
            <w:vAlign w:val="center"/>
          </w:tcPr>
          <w:p w14:paraId="541CE993">
            <w:pPr>
              <w:pStyle w:val="13"/>
            </w:pPr>
            <w:r>
              <w:t>13052525P00000410220A</w:t>
            </w:r>
          </w:p>
        </w:tc>
        <w:tc>
          <w:tcPr>
            <w:tcW w:w="2835" w:type="dxa"/>
            <w:vAlign w:val="center"/>
          </w:tcPr>
          <w:p w14:paraId="5FA17447">
            <w:pPr>
              <w:pStyle w:val="11"/>
            </w:pPr>
            <w:r>
              <w:t>项目名称</w:t>
            </w:r>
          </w:p>
        </w:tc>
        <w:tc>
          <w:tcPr>
            <w:tcW w:w="6095" w:type="dxa"/>
            <w:gridSpan w:val="3"/>
            <w:vAlign w:val="center"/>
          </w:tcPr>
          <w:p w14:paraId="7D91D77C">
            <w:pPr>
              <w:pStyle w:val="13"/>
            </w:pPr>
            <w:r>
              <w:t>冀财教[2024]141号/省级/2025年义教补助经费/隆尧县表方中学（小学）公用经费</w:t>
            </w:r>
          </w:p>
        </w:tc>
      </w:tr>
      <w:tr w14:paraId="38DD6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3497A">
            <w:pPr>
              <w:pStyle w:val="11"/>
            </w:pPr>
            <w:r>
              <w:t>预算规模及资金用途</w:t>
            </w:r>
          </w:p>
        </w:tc>
        <w:tc>
          <w:tcPr>
            <w:tcW w:w="2268" w:type="dxa"/>
            <w:vAlign w:val="center"/>
          </w:tcPr>
          <w:p w14:paraId="53437E1D">
            <w:pPr>
              <w:pStyle w:val="11"/>
            </w:pPr>
            <w:r>
              <w:t>预算数</w:t>
            </w:r>
          </w:p>
        </w:tc>
        <w:tc>
          <w:tcPr>
            <w:tcW w:w="2835" w:type="dxa"/>
            <w:vAlign w:val="center"/>
          </w:tcPr>
          <w:p w14:paraId="4D89004E">
            <w:pPr>
              <w:pStyle w:val="13"/>
            </w:pPr>
            <w:r>
              <w:t>4.47</w:t>
            </w:r>
          </w:p>
        </w:tc>
        <w:tc>
          <w:tcPr>
            <w:tcW w:w="2835" w:type="dxa"/>
            <w:vAlign w:val="center"/>
          </w:tcPr>
          <w:p w14:paraId="5B164DB6">
            <w:pPr>
              <w:pStyle w:val="11"/>
            </w:pPr>
            <w:r>
              <w:t>其中：财政    资金</w:t>
            </w:r>
          </w:p>
        </w:tc>
        <w:tc>
          <w:tcPr>
            <w:tcW w:w="2551" w:type="dxa"/>
            <w:vAlign w:val="center"/>
          </w:tcPr>
          <w:p w14:paraId="6F6798A7">
            <w:pPr>
              <w:pStyle w:val="13"/>
            </w:pPr>
            <w:r>
              <w:t>4.47</w:t>
            </w:r>
          </w:p>
        </w:tc>
        <w:tc>
          <w:tcPr>
            <w:tcW w:w="2268" w:type="dxa"/>
            <w:vAlign w:val="center"/>
          </w:tcPr>
          <w:p w14:paraId="0AD5726F">
            <w:pPr>
              <w:pStyle w:val="11"/>
            </w:pPr>
            <w:r>
              <w:t>其他资金</w:t>
            </w:r>
          </w:p>
        </w:tc>
        <w:tc>
          <w:tcPr>
            <w:tcW w:w="1276" w:type="dxa"/>
            <w:vAlign w:val="center"/>
          </w:tcPr>
          <w:p w14:paraId="5959C32B">
            <w:pPr>
              <w:pStyle w:val="13"/>
            </w:pPr>
            <w:r>
              <w:t xml:space="preserve"> </w:t>
            </w:r>
          </w:p>
        </w:tc>
      </w:tr>
      <w:tr w14:paraId="21744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48E556"/>
        </w:tc>
        <w:tc>
          <w:tcPr>
            <w:tcW w:w="14033" w:type="dxa"/>
            <w:gridSpan w:val="6"/>
            <w:vAlign w:val="center"/>
          </w:tcPr>
          <w:p w14:paraId="6688A503">
            <w:pPr>
              <w:pStyle w:val="13"/>
            </w:pPr>
            <w:r>
              <w:t>保障义务教育学校正常运转，完成教育教学活动和其他日常工作任务等方面的费用支出。</w:t>
            </w:r>
          </w:p>
        </w:tc>
      </w:tr>
      <w:tr w14:paraId="23BFD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EA8D5">
            <w:pPr>
              <w:pStyle w:val="11"/>
            </w:pPr>
            <w:r>
              <w:t>资金支出计划（%）</w:t>
            </w:r>
          </w:p>
        </w:tc>
        <w:tc>
          <w:tcPr>
            <w:tcW w:w="5103" w:type="dxa"/>
            <w:gridSpan w:val="2"/>
            <w:vAlign w:val="center"/>
          </w:tcPr>
          <w:p w14:paraId="51D6692D">
            <w:pPr>
              <w:pStyle w:val="11"/>
            </w:pPr>
            <w:r>
              <w:t>3月底</w:t>
            </w:r>
          </w:p>
        </w:tc>
        <w:tc>
          <w:tcPr>
            <w:tcW w:w="2835" w:type="dxa"/>
            <w:vAlign w:val="center"/>
          </w:tcPr>
          <w:p w14:paraId="0DF807CD">
            <w:pPr>
              <w:pStyle w:val="11"/>
            </w:pPr>
            <w:r>
              <w:t>6月底</w:t>
            </w:r>
          </w:p>
        </w:tc>
        <w:tc>
          <w:tcPr>
            <w:tcW w:w="2551" w:type="dxa"/>
            <w:vAlign w:val="center"/>
          </w:tcPr>
          <w:p w14:paraId="3803C825">
            <w:pPr>
              <w:pStyle w:val="11"/>
            </w:pPr>
            <w:r>
              <w:t>10月底</w:t>
            </w:r>
          </w:p>
        </w:tc>
        <w:tc>
          <w:tcPr>
            <w:tcW w:w="3544" w:type="dxa"/>
            <w:gridSpan w:val="2"/>
            <w:vAlign w:val="center"/>
          </w:tcPr>
          <w:p w14:paraId="125417CA">
            <w:pPr>
              <w:pStyle w:val="11"/>
            </w:pPr>
            <w:r>
              <w:t>12月底</w:t>
            </w:r>
          </w:p>
        </w:tc>
      </w:tr>
      <w:tr w14:paraId="29653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E06051"/>
        </w:tc>
        <w:tc>
          <w:tcPr>
            <w:tcW w:w="5103" w:type="dxa"/>
            <w:gridSpan w:val="2"/>
            <w:vAlign w:val="center"/>
          </w:tcPr>
          <w:p w14:paraId="11D9063B">
            <w:pPr>
              <w:pStyle w:val="12"/>
            </w:pPr>
            <w:r>
              <w:t xml:space="preserve"> </w:t>
            </w:r>
          </w:p>
        </w:tc>
        <w:tc>
          <w:tcPr>
            <w:tcW w:w="2835" w:type="dxa"/>
            <w:vAlign w:val="center"/>
          </w:tcPr>
          <w:p w14:paraId="55E0714B">
            <w:pPr>
              <w:pStyle w:val="12"/>
            </w:pPr>
            <w:r>
              <w:t>50%</w:t>
            </w:r>
          </w:p>
        </w:tc>
        <w:tc>
          <w:tcPr>
            <w:tcW w:w="2551" w:type="dxa"/>
            <w:vAlign w:val="center"/>
          </w:tcPr>
          <w:p w14:paraId="289BC8A4">
            <w:pPr>
              <w:pStyle w:val="12"/>
            </w:pPr>
            <w:r>
              <w:t>75%</w:t>
            </w:r>
          </w:p>
        </w:tc>
        <w:tc>
          <w:tcPr>
            <w:tcW w:w="3544" w:type="dxa"/>
            <w:gridSpan w:val="2"/>
            <w:vAlign w:val="center"/>
          </w:tcPr>
          <w:p w14:paraId="67E337AE">
            <w:pPr>
              <w:pStyle w:val="12"/>
            </w:pPr>
            <w:r>
              <w:t>100%</w:t>
            </w:r>
          </w:p>
        </w:tc>
      </w:tr>
      <w:tr w14:paraId="2853D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4099D">
            <w:pPr>
              <w:pStyle w:val="11"/>
            </w:pPr>
            <w:r>
              <w:t>绩效目标</w:t>
            </w:r>
          </w:p>
        </w:tc>
        <w:tc>
          <w:tcPr>
            <w:tcW w:w="14033" w:type="dxa"/>
            <w:gridSpan w:val="6"/>
            <w:vAlign w:val="center"/>
          </w:tcPr>
          <w:p w14:paraId="594C5E1A">
            <w:pPr>
              <w:pStyle w:val="13"/>
            </w:pPr>
            <w:r>
              <w:t>1.保障义务教育学校正常运转，完成教育教学活动和其他日常工作任务等方面的费用支出。</w:t>
            </w:r>
          </w:p>
        </w:tc>
      </w:tr>
    </w:tbl>
    <w:p w14:paraId="29847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E3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28CDD">
            <w:pPr>
              <w:pStyle w:val="11"/>
            </w:pPr>
            <w:r>
              <w:t>一级指标</w:t>
            </w:r>
          </w:p>
        </w:tc>
        <w:tc>
          <w:tcPr>
            <w:tcW w:w="2268" w:type="dxa"/>
            <w:vAlign w:val="center"/>
          </w:tcPr>
          <w:p w14:paraId="5542FDFA">
            <w:pPr>
              <w:pStyle w:val="11"/>
            </w:pPr>
            <w:r>
              <w:t>二级指标</w:t>
            </w:r>
          </w:p>
        </w:tc>
        <w:tc>
          <w:tcPr>
            <w:tcW w:w="2835" w:type="dxa"/>
            <w:vAlign w:val="center"/>
          </w:tcPr>
          <w:p w14:paraId="7A47258E">
            <w:pPr>
              <w:pStyle w:val="11"/>
            </w:pPr>
            <w:r>
              <w:t>三级指标</w:t>
            </w:r>
          </w:p>
        </w:tc>
        <w:tc>
          <w:tcPr>
            <w:tcW w:w="5386" w:type="dxa"/>
            <w:vAlign w:val="center"/>
          </w:tcPr>
          <w:p w14:paraId="26137142">
            <w:pPr>
              <w:pStyle w:val="11"/>
            </w:pPr>
            <w:r>
              <w:t>绩效指标描述</w:t>
            </w:r>
          </w:p>
        </w:tc>
        <w:tc>
          <w:tcPr>
            <w:tcW w:w="2268" w:type="dxa"/>
            <w:vAlign w:val="center"/>
          </w:tcPr>
          <w:p w14:paraId="0939D04A">
            <w:pPr>
              <w:pStyle w:val="11"/>
            </w:pPr>
            <w:r>
              <w:t>指标值</w:t>
            </w:r>
          </w:p>
        </w:tc>
        <w:tc>
          <w:tcPr>
            <w:tcW w:w="1276" w:type="dxa"/>
            <w:vAlign w:val="center"/>
          </w:tcPr>
          <w:p w14:paraId="5A54E732">
            <w:pPr>
              <w:pStyle w:val="11"/>
            </w:pPr>
            <w:r>
              <w:t>指标值确定依据</w:t>
            </w:r>
          </w:p>
        </w:tc>
      </w:tr>
      <w:tr w14:paraId="1A58E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0280B">
            <w:pPr>
              <w:pStyle w:val="12"/>
            </w:pPr>
            <w:r>
              <w:t>产出指标</w:t>
            </w:r>
          </w:p>
        </w:tc>
        <w:tc>
          <w:tcPr>
            <w:tcW w:w="2268" w:type="dxa"/>
            <w:vAlign w:val="center"/>
          </w:tcPr>
          <w:p w14:paraId="7E9E28A0">
            <w:pPr>
              <w:pStyle w:val="13"/>
            </w:pPr>
            <w:r>
              <w:t>数量指标</w:t>
            </w:r>
          </w:p>
        </w:tc>
        <w:tc>
          <w:tcPr>
            <w:tcW w:w="2835" w:type="dxa"/>
            <w:vAlign w:val="center"/>
          </w:tcPr>
          <w:p w14:paraId="77C8D039">
            <w:pPr>
              <w:pStyle w:val="13"/>
            </w:pPr>
            <w:r>
              <w:t>适龄在校生</w:t>
            </w:r>
          </w:p>
        </w:tc>
        <w:tc>
          <w:tcPr>
            <w:tcW w:w="5386" w:type="dxa"/>
            <w:vAlign w:val="center"/>
          </w:tcPr>
          <w:p w14:paraId="75BCD7C4">
            <w:pPr>
              <w:pStyle w:val="13"/>
            </w:pPr>
            <w:r>
              <w:t>适龄在校就读学生人数</w:t>
            </w:r>
          </w:p>
        </w:tc>
        <w:tc>
          <w:tcPr>
            <w:tcW w:w="2268" w:type="dxa"/>
            <w:vAlign w:val="center"/>
          </w:tcPr>
          <w:p w14:paraId="4ADF58D0">
            <w:pPr>
              <w:pStyle w:val="13"/>
            </w:pPr>
            <w:r>
              <w:t>78人</w:t>
            </w:r>
          </w:p>
        </w:tc>
        <w:tc>
          <w:tcPr>
            <w:tcW w:w="1276" w:type="dxa"/>
            <w:vAlign w:val="center"/>
          </w:tcPr>
          <w:p w14:paraId="7DD9D76B">
            <w:pPr>
              <w:pStyle w:val="13"/>
            </w:pPr>
            <w:r>
              <w:t>城乡义务教育公用经费管理办法</w:t>
            </w:r>
          </w:p>
        </w:tc>
      </w:tr>
      <w:tr w14:paraId="1C566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CDF08"/>
        </w:tc>
        <w:tc>
          <w:tcPr>
            <w:tcW w:w="2268" w:type="dxa"/>
            <w:vAlign w:val="center"/>
          </w:tcPr>
          <w:p w14:paraId="0CA8B8C9">
            <w:pPr>
              <w:pStyle w:val="13"/>
            </w:pPr>
            <w:r>
              <w:t>质量指标</w:t>
            </w:r>
          </w:p>
        </w:tc>
        <w:tc>
          <w:tcPr>
            <w:tcW w:w="2835" w:type="dxa"/>
            <w:vAlign w:val="center"/>
          </w:tcPr>
          <w:p w14:paraId="7FF79E65">
            <w:pPr>
              <w:pStyle w:val="13"/>
            </w:pPr>
            <w:r>
              <w:t>预算控制率</w:t>
            </w:r>
          </w:p>
        </w:tc>
        <w:tc>
          <w:tcPr>
            <w:tcW w:w="5386" w:type="dxa"/>
            <w:vAlign w:val="center"/>
          </w:tcPr>
          <w:p w14:paraId="5F2D72F8">
            <w:pPr>
              <w:pStyle w:val="13"/>
            </w:pPr>
            <w:r>
              <w:t>预算执行</w:t>
            </w:r>
          </w:p>
        </w:tc>
        <w:tc>
          <w:tcPr>
            <w:tcW w:w="2268" w:type="dxa"/>
            <w:vAlign w:val="center"/>
          </w:tcPr>
          <w:p w14:paraId="2F95AFB8">
            <w:pPr>
              <w:pStyle w:val="13"/>
            </w:pPr>
            <w:r>
              <w:t>≥95%</w:t>
            </w:r>
          </w:p>
        </w:tc>
        <w:tc>
          <w:tcPr>
            <w:tcW w:w="1276" w:type="dxa"/>
            <w:vAlign w:val="center"/>
          </w:tcPr>
          <w:p w14:paraId="17E60879">
            <w:pPr>
              <w:pStyle w:val="13"/>
            </w:pPr>
            <w:r>
              <w:t>城乡义务教育公用经费管理办法</w:t>
            </w:r>
          </w:p>
        </w:tc>
      </w:tr>
      <w:tr w14:paraId="0AC8B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C7AAC"/>
        </w:tc>
        <w:tc>
          <w:tcPr>
            <w:tcW w:w="2268" w:type="dxa"/>
            <w:vAlign w:val="center"/>
          </w:tcPr>
          <w:p w14:paraId="6EFB5560">
            <w:pPr>
              <w:pStyle w:val="13"/>
            </w:pPr>
            <w:r>
              <w:t>时效指标</w:t>
            </w:r>
          </w:p>
        </w:tc>
        <w:tc>
          <w:tcPr>
            <w:tcW w:w="2835" w:type="dxa"/>
            <w:vAlign w:val="center"/>
          </w:tcPr>
          <w:p w14:paraId="7994D245">
            <w:pPr>
              <w:pStyle w:val="13"/>
            </w:pPr>
            <w:r>
              <w:t>资金支付率</w:t>
            </w:r>
          </w:p>
        </w:tc>
        <w:tc>
          <w:tcPr>
            <w:tcW w:w="5386" w:type="dxa"/>
            <w:vAlign w:val="center"/>
          </w:tcPr>
          <w:p w14:paraId="78A8FEA9">
            <w:pPr>
              <w:pStyle w:val="13"/>
            </w:pPr>
            <w:r>
              <w:t>按照序时进度完成资金支付</w:t>
            </w:r>
          </w:p>
        </w:tc>
        <w:tc>
          <w:tcPr>
            <w:tcW w:w="2268" w:type="dxa"/>
            <w:vAlign w:val="center"/>
          </w:tcPr>
          <w:p w14:paraId="7DAC89ED">
            <w:pPr>
              <w:pStyle w:val="13"/>
            </w:pPr>
            <w:r>
              <w:t>≥100%</w:t>
            </w:r>
          </w:p>
        </w:tc>
        <w:tc>
          <w:tcPr>
            <w:tcW w:w="1276" w:type="dxa"/>
            <w:vAlign w:val="center"/>
          </w:tcPr>
          <w:p w14:paraId="70BF0B48">
            <w:pPr>
              <w:pStyle w:val="13"/>
            </w:pPr>
            <w:r>
              <w:t>城乡义务教育公用经费管理办法</w:t>
            </w:r>
          </w:p>
        </w:tc>
      </w:tr>
      <w:tr w14:paraId="71ED3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B99FC"/>
        </w:tc>
        <w:tc>
          <w:tcPr>
            <w:tcW w:w="2268" w:type="dxa"/>
            <w:vAlign w:val="center"/>
          </w:tcPr>
          <w:p w14:paraId="68DCD23D">
            <w:pPr>
              <w:pStyle w:val="13"/>
            </w:pPr>
            <w:r>
              <w:t>成本指标</w:t>
            </w:r>
          </w:p>
        </w:tc>
        <w:tc>
          <w:tcPr>
            <w:tcW w:w="2835" w:type="dxa"/>
            <w:vAlign w:val="center"/>
          </w:tcPr>
          <w:p w14:paraId="1C6BE93C">
            <w:pPr>
              <w:pStyle w:val="13"/>
            </w:pPr>
            <w:r>
              <w:t>生均拨款标准</w:t>
            </w:r>
          </w:p>
        </w:tc>
        <w:tc>
          <w:tcPr>
            <w:tcW w:w="5386" w:type="dxa"/>
            <w:vAlign w:val="center"/>
          </w:tcPr>
          <w:p w14:paraId="6E06452A">
            <w:pPr>
              <w:pStyle w:val="13"/>
            </w:pPr>
            <w:r>
              <w:t>小学：（基本标准720元、寄宿生300元、取暖120元）/生/学年；随班就读学生：标准7000元/生/学年。</w:t>
            </w:r>
          </w:p>
        </w:tc>
        <w:tc>
          <w:tcPr>
            <w:tcW w:w="2268" w:type="dxa"/>
            <w:vAlign w:val="center"/>
          </w:tcPr>
          <w:p w14:paraId="10EEEC80">
            <w:pPr>
              <w:pStyle w:val="13"/>
            </w:pPr>
            <w:r>
              <w:t>1360元</w:t>
            </w:r>
          </w:p>
        </w:tc>
        <w:tc>
          <w:tcPr>
            <w:tcW w:w="1276" w:type="dxa"/>
            <w:vAlign w:val="center"/>
          </w:tcPr>
          <w:p w14:paraId="3B5FFAE2">
            <w:pPr>
              <w:pStyle w:val="13"/>
            </w:pPr>
            <w:r>
              <w:t>城乡义务教育公用经费管理办法</w:t>
            </w:r>
          </w:p>
        </w:tc>
      </w:tr>
      <w:tr w14:paraId="05461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4F57F">
            <w:pPr>
              <w:pStyle w:val="12"/>
            </w:pPr>
            <w:r>
              <w:t>效益指标</w:t>
            </w:r>
          </w:p>
        </w:tc>
        <w:tc>
          <w:tcPr>
            <w:tcW w:w="2268" w:type="dxa"/>
            <w:vAlign w:val="center"/>
          </w:tcPr>
          <w:p w14:paraId="71EF3B0D">
            <w:pPr>
              <w:pStyle w:val="13"/>
            </w:pPr>
            <w:r>
              <w:t>可持续影响指标</w:t>
            </w:r>
          </w:p>
        </w:tc>
        <w:tc>
          <w:tcPr>
            <w:tcW w:w="2835" w:type="dxa"/>
            <w:vAlign w:val="center"/>
          </w:tcPr>
          <w:p w14:paraId="4561C919">
            <w:pPr>
              <w:pStyle w:val="13"/>
            </w:pPr>
            <w:r>
              <w:t>教育发展水平明显好转</w:t>
            </w:r>
          </w:p>
        </w:tc>
        <w:tc>
          <w:tcPr>
            <w:tcW w:w="5386" w:type="dxa"/>
            <w:vAlign w:val="center"/>
          </w:tcPr>
          <w:p w14:paraId="0A9CADB6">
            <w:pPr>
              <w:pStyle w:val="13"/>
            </w:pPr>
            <w:r>
              <w:t>学生受教育年限</w:t>
            </w:r>
          </w:p>
        </w:tc>
        <w:tc>
          <w:tcPr>
            <w:tcW w:w="2268" w:type="dxa"/>
            <w:vAlign w:val="center"/>
          </w:tcPr>
          <w:p w14:paraId="29F57F44">
            <w:pPr>
              <w:pStyle w:val="13"/>
            </w:pPr>
            <w:r>
              <w:t>3年</w:t>
            </w:r>
          </w:p>
        </w:tc>
        <w:tc>
          <w:tcPr>
            <w:tcW w:w="1276" w:type="dxa"/>
            <w:vAlign w:val="center"/>
          </w:tcPr>
          <w:p w14:paraId="50FD8EB3">
            <w:pPr>
              <w:pStyle w:val="13"/>
            </w:pPr>
            <w:r>
              <w:t>城乡义务教育公用经费管理办法</w:t>
            </w:r>
          </w:p>
        </w:tc>
      </w:tr>
      <w:tr w14:paraId="364FE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9D808A">
            <w:pPr>
              <w:pStyle w:val="12"/>
            </w:pPr>
            <w:r>
              <w:t>满意度指标</w:t>
            </w:r>
          </w:p>
        </w:tc>
        <w:tc>
          <w:tcPr>
            <w:tcW w:w="2268" w:type="dxa"/>
            <w:vAlign w:val="center"/>
          </w:tcPr>
          <w:p w14:paraId="495010E7">
            <w:pPr>
              <w:pStyle w:val="13"/>
            </w:pPr>
            <w:r>
              <w:t>服务对象满意度指标</w:t>
            </w:r>
          </w:p>
        </w:tc>
        <w:tc>
          <w:tcPr>
            <w:tcW w:w="2835" w:type="dxa"/>
            <w:vAlign w:val="center"/>
          </w:tcPr>
          <w:p w14:paraId="23F32BEE">
            <w:pPr>
              <w:pStyle w:val="13"/>
            </w:pPr>
            <w:r>
              <w:t>受益学生家长及调查满意度</w:t>
            </w:r>
          </w:p>
        </w:tc>
        <w:tc>
          <w:tcPr>
            <w:tcW w:w="5386" w:type="dxa"/>
            <w:vAlign w:val="center"/>
          </w:tcPr>
          <w:p w14:paraId="732D2E3D">
            <w:pPr>
              <w:pStyle w:val="13"/>
            </w:pPr>
            <w:r>
              <w:t>学生、教师及家长对学校教育教学工作满意度情况</w:t>
            </w:r>
          </w:p>
        </w:tc>
        <w:tc>
          <w:tcPr>
            <w:tcW w:w="2268" w:type="dxa"/>
            <w:vAlign w:val="center"/>
          </w:tcPr>
          <w:p w14:paraId="31ACF947">
            <w:pPr>
              <w:pStyle w:val="13"/>
            </w:pPr>
            <w:r>
              <w:t>≥95%</w:t>
            </w:r>
          </w:p>
        </w:tc>
        <w:tc>
          <w:tcPr>
            <w:tcW w:w="1276" w:type="dxa"/>
            <w:vAlign w:val="center"/>
          </w:tcPr>
          <w:p w14:paraId="0C71B003">
            <w:pPr>
              <w:pStyle w:val="13"/>
            </w:pPr>
            <w:r>
              <w:t>调查问卷</w:t>
            </w:r>
          </w:p>
        </w:tc>
      </w:tr>
    </w:tbl>
    <w:p w14:paraId="71C9E48C">
      <w:pPr>
        <w:sectPr>
          <w:pgSz w:w="16840" w:h="11900" w:orient="landscape"/>
          <w:pgMar w:top="1361" w:right="1020" w:bottom="1134" w:left="1020" w:header="720" w:footer="720" w:gutter="0"/>
          <w:cols w:space="720" w:num="1"/>
        </w:sectPr>
      </w:pPr>
    </w:p>
    <w:p w14:paraId="1E287D4E">
      <w:pPr>
        <w:spacing w:before="0" w:after="0"/>
        <w:ind w:firstLine="560"/>
        <w:jc w:val="left"/>
        <w:outlineLvl w:val="9"/>
      </w:pPr>
      <w:r>
        <w:rPr>
          <w:rFonts w:ascii="方正仿宋_GBK" w:hAnsi="方正仿宋_GBK" w:eastAsia="方正仿宋_GBK" w:cs="方正仿宋_GBK"/>
          <w:b/>
          <w:color w:val="000000"/>
          <w:sz w:val="28"/>
        </w:rPr>
        <w:t>48、冀财教[2024]141号/省级/2025年义教补助经费/隆尧县华星学校公用经费绩效目标表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744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B6F1F">
            <w:pPr>
              <w:pStyle w:val="14"/>
            </w:pPr>
            <w:r>
              <w:t>单位：万元</w:t>
            </w:r>
          </w:p>
        </w:tc>
      </w:tr>
      <w:tr w14:paraId="2CADF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9C01C7">
            <w:pPr>
              <w:pStyle w:val="11"/>
            </w:pPr>
            <w:r>
              <w:t>项目编码</w:t>
            </w:r>
          </w:p>
        </w:tc>
        <w:tc>
          <w:tcPr>
            <w:tcW w:w="5103" w:type="dxa"/>
            <w:gridSpan w:val="2"/>
            <w:vAlign w:val="center"/>
          </w:tcPr>
          <w:p w14:paraId="5E48FE64">
            <w:pPr>
              <w:pStyle w:val="13"/>
            </w:pPr>
            <w:r>
              <w:t>13052525P00000410221X</w:t>
            </w:r>
          </w:p>
        </w:tc>
        <w:tc>
          <w:tcPr>
            <w:tcW w:w="2835" w:type="dxa"/>
            <w:vAlign w:val="center"/>
          </w:tcPr>
          <w:p w14:paraId="58EDC059">
            <w:pPr>
              <w:pStyle w:val="11"/>
            </w:pPr>
            <w:r>
              <w:t>项目名称</w:t>
            </w:r>
          </w:p>
        </w:tc>
        <w:tc>
          <w:tcPr>
            <w:tcW w:w="6095" w:type="dxa"/>
            <w:gridSpan w:val="3"/>
            <w:vAlign w:val="center"/>
          </w:tcPr>
          <w:p w14:paraId="694D1F13">
            <w:pPr>
              <w:pStyle w:val="13"/>
            </w:pPr>
            <w:r>
              <w:t>冀财教[2024]141号/省级/2025年义教补助经费/隆尧县华星学校公用经费</w:t>
            </w:r>
          </w:p>
        </w:tc>
      </w:tr>
      <w:tr w14:paraId="307AF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9CB69">
            <w:pPr>
              <w:pStyle w:val="11"/>
            </w:pPr>
            <w:r>
              <w:t>预算规模及资金用途</w:t>
            </w:r>
          </w:p>
        </w:tc>
        <w:tc>
          <w:tcPr>
            <w:tcW w:w="2268" w:type="dxa"/>
            <w:vAlign w:val="center"/>
          </w:tcPr>
          <w:p w14:paraId="178B81F2">
            <w:pPr>
              <w:pStyle w:val="11"/>
            </w:pPr>
            <w:r>
              <w:t>预算数</w:t>
            </w:r>
          </w:p>
        </w:tc>
        <w:tc>
          <w:tcPr>
            <w:tcW w:w="2835" w:type="dxa"/>
            <w:vAlign w:val="center"/>
          </w:tcPr>
          <w:p w14:paraId="7703B0D2">
            <w:pPr>
              <w:pStyle w:val="13"/>
            </w:pPr>
            <w:r>
              <w:t>6.26</w:t>
            </w:r>
          </w:p>
        </w:tc>
        <w:tc>
          <w:tcPr>
            <w:tcW w:w="2835" w:type="dxa"/>
            <w:vAlign w:val="center"/>
          </w:tcPr>
          <w:p w14:paraId="3D0DA7EE">
            <w:pPr>
              <w:pStyle w:val="11"/>
            </w:pPr>
            <w:r>
              <w:t>其中：财政    资金</w:t>
            </w:r>
          </w:p>
        </w:tc>
        <w:tc>
          <w:tcPr>
            <w:tcW w:w="2551" w:type="dxa"/>
            <w:vAlign w:val="center"/>
          </w:tcPr>
          <w:p w14:paraId="45A27EA7">
            <w:pPr>
              <w:pStyle w:val="13"/>
            </w:pPr>
            <w:r>
              <w:t>6.26</w:t>
            </w:r>
          </w:p>
        </w:tc>
        <w:tc>
          <w:tcPr>
            <w:tcW w:w="2268" w:type="dxa"/>
            <w:vAlign w:val="center"/>
          </w:tcPr>
          <w:p w14:paraId="27AFB810">
            <w:pPr>
              <w:pStyle w:val="11"/>
            </w:pPr>
            <w:r>
              <w:t>其他资金</w:t>
            </w:r>
          </w:p>
        </w:tc>
        <w:tc>
          <w:tcPr>
            <w:tcW w:w="1276" w:type="dxa"/>
            <w:vAlign w:val="center"/>
          </w:tcPr>
          <w:p w14:paraId="4B69661A">
            <w:pPr>
              <w:pStyle w:val="13"/>
            </w:pPr>
            <w:r>
              <w:t xml:space="preserve"> </w:t>
            </w:r>
          </w:p>
        </w:tc>
      </w:tr>
      <w:tr w14:paraId="790E6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D6F9A"/>
        </w:tc>
        <w:tc>
          <w:tcPr>
            <w:tcW w:w="14033" w:type="dxa"/>
            <w:gridSpan w:val="6"/>
            <w:vAlign w:val="center"/>
          </w:tcPr>
          <w:p w14:paraId="0D07268E">
            <w:pPr>
              <w:pStyle w:val="13"/>
            </w:pPr>
            <w:r>
              <w:t>保障义务教育学校正常运转，完成教育教学活动和其他日常工作任务等方面的费用支出。</w:t>
            </w:r>
          </w:p>
        </w:tc>
      </w:tr>
      <w:tr w14:paraId="73002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CA64D">
            <w:pPr>
              <w:pStyle w:val="11"/>
            </w:pPr>
            <w:r>
              <w:t>资金支出计划（%）</w:t>
            </w:r>
          </w:p>
        </w:tc>
        <w:tc>
          <w:tcPr>
            <w:tcW w:w="5103" w:type="dxa"/>
            <w:gridSpan w:val="2"/>
            <w:vAlign w:val="center"/>
          </w:tcPr>
          <w:p w14:paraId="0EEB3F1A">
            <w:pPr>
              <w:pStyle w:val="11"/>
            </w:pPr>
            <w:r>
              <w:t>3月底</w:t>
            </w:r>
          </w:p>
        </w:tc>
        <w:tc>
          <w:tcPr>
            <w:tcW w:w="2835" w:type="dxa"/>
            <w:vAlign w:val="center"/>
          </w:tcPr>
          <w:p w14:paraId="7C5B67A1">
            <w:pPr>
              <w:pStyle w:val="11"/>
            </w:pPr>
            <w:r>
              <w:t>6月底</w:t>
            </w:r>
          </w:p>
        </w:tc>
        <w:tc>
          <w:tcPr>
            <w:tcW w:w="2551" w:type="dxa"/>
            <w:vAlign w:val="center"/>
          </w:tcPr>
          <w:p w14:paraId="5292D089">
            <w:pPr>
              <w:pStyle w:val="11"/>
            </w:pPr>
            <w:r>
              <w:t>10月底</w:t>
            </w:r>
          </w:p>
        </w:tc>
        <w:tc>
          <w:tcPr>
            <w:tcW w:w="3544" w:type="dxa"/>
            <w:gridSpan w:val="2"/>
            <w:vAlign w:val="center"/>
          </w:tcPr>
          <w:p w14:paraId="65C27C25">
            <w:pPr>
              <w:pStyle w:val="11"/>
            </w:pPr>
            <w:r>
              <w:t>12月底</w:t>
            </w:r>
          </w:p>
        </w:tc>
      </w:tr>
      <w:tr w14:paraId="29EB7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B9FA56"/>
        </w:tc>
        <w:tc>
          <w:tcPr>
            <w:tcW w:w="5103" w:type="dxa"/>
            <w:gridSpan w:val="2"/>
            <w:vAlign w:val="center"/>
          </w:tcPr>
          <w:p w14:paraId="0549A1D2">
            <w:pPr>
              <w:pStyle w:val="12"/>
            </w:pPr>
            <w:r>
              <w:t xml:space="preserve"> </w:t>
            </w:r>
          </w:p>
        </w:tc>
        <w:tc>
          <w:tcPr>
            <w:tcW w:w="2835" w:type="dxa"/>
            <w:vAlign w:val="center"/>
          </w:tcPr>
          <w:p w14:paraId="360775BC">
            <w:pPr>
              <w:pStyle w:val="12"/>
            </w:pPr>
            <w:r>
              <w:t>50%</w:t>
            </w:r>
          </w:p>
        </w:tc>
        <w:tc>
          <w:tcPr>
            <w:tcW w:w="2551" w:type="dxa"/>
            <w:vAlign w:val="center"/>
          </w:tcPr>
          <w:p w14:paraId="4C7D6E7B">
            <w:pPr>
              <w:pStyle w:val="12"/>
            </w:pPr>
            <w:r>
              <w:t>75%</w:t>
            </w:r>
          </w:p>
        </w:tc>
        <w:tc>
          <w:tcPr>
            <w:tcW w:w="3544" w:type="dxa"/>
            <w:gridSpan w:val="2"/>
            <w:vAlign w:val="center"/>
          </w:tcPr>
          <w:p w14:paraId="31B53F8F">
            <w:pPr>
              <w:pStyle w:val="12"/>
            </w:pPr>
            <w:r>
              <w:t>100%</w:t>
            </w:r>
          </w:p>
        </w:tc>
      </w:tr>
      <w:tr w14:paraId="5AB71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FDB7F">
            <w:pPr>
              <w:pStyle w:val="11"/>
            </w:pPr>
            <w:r>
              <w:t>绩效目标</w:t>
            </w:r>
          </w:p>
        </w:tc>
        <w:tc>
          <w:tcPr>
            <w:tcW w:w="14033" w:type="dxa"/>
            <w:gridSpan w:val="6"/>
            <w:vAlign w:val="center"/>
          </w:tcPr>
          <w:p w14:paraId="57FF9F69">
            <w:pPr>
              <w:pStyle w:val="13"/>
            </w:pPr>
            <w:r>
              <w:t>1.保障义务教育学校正常运转，完成教育教学活动和其他日常工作任务等方面的费用支出。</w:t>
            </w:r>
          </w:p>
        </w:tc>
      </w:tr>
    </w:tbl>
    <w:p w14:paraId="3062F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0B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02D0F">
            <w:pPr>
              <w:pStyle w:val="11"/>
            </w:pPr>
            <w:r>
              <w:t>一级指标</w:t>
            </w:r>
          </w:p>
        </w:tc>
        <w:tc>
          <w:tcPr>
            <w:tcW w:w="2268" w:type="dxa"/>
            <w:vAlign w:val="center"/>
          </w:tcPr>
          <w:p w14:paraId="0CF0BE65">
            <w:pPr>
              <w:pStyle w:val="11"/>
            </w:pPr>
            <w:r>
              <w:t>二级指标</w:t>
            </w:r>
          </w:p>
        </w:tc>
        <w:tc>
          <w:tcPr>
            <w:tcW w:w="2835" w:type="dxa"/>
            <w:vAlign w:val="center"/>
          </w:tcPr>
          <w:p w14:paraId="3AAEEC8F">
            <w:pPr>
              <w:pStyle w:val="11"/>
            </w:pPr>
            <w:r>
              <w:t>三级指标</w:t>
            </w:r>
          </w:p>
        </w:tc>
        <w:tc>
          <w:tcPr>
            <w:tcW w:w="5386" w:type="dxa"/>
            <w:vAlign w:val="center"/>
          </w:tcPr>
          <w:p w14:paraId="02550B1D">
            <w:pPr>
              <w:pStyle w:val="11"/>
            </w:pPr>
            <w:r>
              <w:t>绩效指标描述</w:t>
            </w:r>
          </w:p>
        </w:tc>
        <w:tc>
          <w:tcPr>
            <w:tcW w:w="2268" w:type="dxa"/>
            <w:vAlign w:val="center"/>
          </w:tcPr>
          <w:p w14:paraId="223A03A5">
            <w:pPr>
              <w:pStyle w:val="11"/>
            </w:pPr>
            <w:r>
              <w:t>指标值</w:t>
            </w:r>
          </w:p>
        </w:tc>
        <w:tc>
          <w:tcPr>
            <w:tcW w:w="1276" w:type="dxa"/>
            <w:vAlign w:val="center"/>
          </w:tcPr>
          <w:p w14:paraId="16DF8432">
            <w:pPr>
              <w:pStyle w:val="11"/>
            </w:pPr>
            <w:r>
              <w:t>指标值确定依据</w:t>
            </w:r>
          </w:p>
        </w:tc>
      </w:tr>
      <w:tr w14:paraId="0658E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927B5">
            <w:pPr>
              <w:pStyle w:val="12"/>
            </w:pPr>
            <w:r>
              <w:t>产出指标</w:t>
            </w:r>
          </w:p>
        </w:tc>
        <w:tc>
          <w:tcPr>
            <w:tcW w:w="2268" w:type="dxa"/>
            <w:vAlign w:val="center"/>
          </w:tcPr>
          <w:p w14:paraId="5C0663F3">
            <w:pPr>
              <w:pStyle w:val="13"/>
            </w:pPr>
            <w:r>
              <w:t>数量指标</w:t>
            </w:r>
          </w:p>
        </w:tc>
        <w:tc>
          <w:tcPr>
            <w:tcW w:w="2835" w:type="dxa"/>
            <w:vAlign w:val="center"/>
          </w:tcPr>
          <w:p w14:paraId="2030D11F">
            <w:pPr>
              <w:pStyle w:val="13"/>
            </w:pPr>
            <w:r>
              <w:t>适龄在校生</w:t>
            </w:r>
          </w:p>
        </w:tc>
        <w:tc>
          <w:tcPr>
            <w:tcW w:w="5386" w:type="dxa"/>
            <w:vAlign w:val="center"/>
          </w:tcPr>
          <w:p w14:paraId="7B12BD79">
            <w:pPr>
              <w:pStyle w:val="13"/>
            </w:pPr>
            <w:r>
              <w:t>适龄在校就读学生人数</w:t>
            </w:r>
          </w:p>
        </w:tc>
        <w:tc>
          <w:tcPr>
            <w:tcW w:w="2268" w:type="dxa"/>
            <w:vAlign w:val="center"/>
          </w:tcPr>
          <w:p w14:paraId="642BC199">
            <w:pPr>
              <w:pStyle w:val="13"/>
            </w:pPr>
            <w:r>
              <w:t>111人</w:t>
            </w:r>
          </w:p>
        </w:tc>
        <w:tc>
          <w:tcPr>
            <w:tcW w:w="1276" w:type="dxa"/>
            <w:vAlign w:val="center"/>
          </w:tcPr>
          <w:p w14:paraId="6F2C1F4A">
            <w:pPr>
              <w:pStyle w:val="13"/>
            </w:pPr>
            <w:r>
              <w:t>城乡义务教育公用经费管理办法</w:t>
            </w:r>
          </w:p>
        </w:tc>
      </w:tr>
      <w:tr w14:paraId="0C586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1ABB0"/>
        </w:tc>
        <w:tc>
          <w:tcPr>
            <w:tcW w:w="2268" w:type="dxa"/>
            <w:vAlign w:val="center"/>
          </w:tcPr>
          <w:p w14:paraId="3265A043">
            <w:pPr>
              <w:pStyle w:val="13"/>
            </w:pPr>
            <w:r>
              <w:t>质量指标</w:t>
            </w:r>
          </w:p>
        </w:tc>
        <w:tc>
          <w:tcPr>
            <w:tcW w:w="2835" w:type="dxa"/>
            <w:vAlign w:val="center"/>
          </w:tcPr>
          <w:p w14:paraId="027FC442">
            <w:pPr>
              <w:pStyle w:val="13"/>
            </w:pPr>
            <w:r>
              <w:t>预算控制率</w:t>
            </w:r>
          </w:p>
        </w:tc>
        <w:tc>
          <w:tcPr>
            <w:tcW w:w="5386" w:type="dxa"/>
            <w:vAlign w:val="center"/>
          </w:tcPr>
          <w:p w14:paraId="04B7C971">
            <w:pPr>
              <w:pStyle w:val="13"/>
            </w:pPr>
            <w:r>
              <w:t>预算执行</w:t>
            </w:r>
          </w:p>
        </w:tc>
        <w:tc>
          <w:tcPr>
            <w:tcW w:w="2268" w:type="dxa"/>
            <w:vAlign w:val="center"/>
          </w:tcPr>
          <w:p w14:paraId="01EA37FE">
            <w:pPr>
              <w:pStyle w:val="13"/>
            </w:pPr>
            <w:r>
              <w:t>≥95%</w:t>
            </w:r>
          </w:p>
        </w:tc>
        <w:tc>
          <w:tcPr>
            <w:tcW w:w="1276" w:type="dxa"/>
            <w:vAlign w:val="center"/>
          </w:tcPr>
          <w:p w14:paraId="56C361E6">
            <w:pPr>
              <w:pStyle w:val="13"/>
            </w:pPr>
            <w:r>
              <w:t>城乡义务教育公用经费管理办法</w:t>
            </w:r>
          </w:p>
        </w:tc>
      </w:tr>
      <w:tr w14:paraId="731E2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75E6D"/>
        </w:tc>
        <w:tc>
          <w:tcPr>
            <w:tcW w:w="2268" w:type="dxa"/>
            <w:vAlign w:val="center"/>
          </w:tcPr>
          <w:p w14:paraId="7AE8C1B3">
            <w:pPr>
              <w:pStyle w:val="13"/>
            </w:pPr>
            <w:r>
              <w:t>时效指标</w:t>
            </w:r>
          </w:p>
        </w:tc>
        <w:tc>
          <w:tcPr>
            <w:tcW w:w="2835" w:type="dxa"/>
            <w:vAlign w:val="center"/>
          </w:tcPr>
          <w:p w14:paraId="17786BBF">
            <w:pPr>
              <w:pStyle w:val="13"/>
            </w:pPr>
            <w:r>
              <w:t>资金支付率</w:t>
            </w:r>
          </w:p>
        </w:tc>
        <w:tc>
          <w:tcPr>
            <w:tcW w:w="5386" w:type="dxa"/>
            <w:vAlign w:val="center"/>
          </w:tcPr>
          <w:p w14:paraId="2AB13845">
            <w:pPr>
              <w:pStyle w:val="13"/>
            </w:pPr>
            <w:r>
              <w:t>按照序时进度完成资金支付</w:t>
            </w:r>
          </w:p>
        </w:tc>
        <w:tc>
          <w:tcPr>
            <w:tcW w:w="2268" w:type="dxa"/>
            <w:vAlign w:val="center"/>
          </w:tcPr>
          <w:p w14:paraId="4CF3C088">
            <w:pPr>
              <w:pStyle w:val="13"/>
            </w:pPr>
            <w:r>
              <w:t>≥100%</w:t>
            </w:r>
          </w:p>
        </w:tc>
        <w:tc>
          <w:tcPr>
            <w:tcW w:w="1276" w:type="dxa"/>
            <w:vAlign w:val="center"/>
          </w:tcPr>
          <w:p w14:paraId="1F7C6711">
            <w:pPr>
              <w:pStyle w:val="13"/>
            </w:pPr>
            <w:r>
              <w:t>城乡义务教育公用经费管理办法</w:t>
            </w:r>
          </w:p>
        </w:tc>
      </w:tr>
      <w:tr w14:paraId="04357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1C955"/>
        </w:tc>
        <w:tc>
          <w:tcPr>
            <w:tcW w:w="2268" w:type="dxa"/>
            <w:vAlign w:val="center"/>
          </w:tcPr>
          <w:p w14:paraId="434FC543">
            <w:pPr>
              <w:pStyle w:val="13"/>
            </w:pPr>
            <w:r>
              <w:t>成本指标</w:t>
            </w:r>
          </w:p>
        </w:tc>
        <w:tc>
          <w:tcPr>
            <w:tcW w:w="2835" w:type="dxa"/>
            <w:vAlign w:val="center"/>
          </w:tcPr>
          <w:p w14:paraId="6DF7EE32">
            <w:pPr>
              <w:pStyle w:val="13"/>
            </w:pPr>
            <w:r>
              <w:t>生均拨款标准</w:t>
            </w:r>
          </w:p>
        </w:tc>
        <w:tc>
          <w:tcPr>
            <w:tcW w:w="5386" w:type="dxa"/>
            <w:vAlign w:val="center"/>
          </w:tcPr>
          <w:p w14:paraId="7A6082ED">
            <w:pPr>
              <w:pStyle w:val="13"/>
            </w:pPr>
            <w:r>
              <w:t>小学：（基本标准720元、寄宿生300元、取暖120元）/生/学年；随班就读学生：标准7000元/生/学年。</w:t>
            </w:r>
          </w:p>
        </w:tc>
        <w:tc>
          <w:tcPr>
            <w:tcW w:w="2268" w:type="dxa"/>
            <w:vAlign w:val="center"/>
          </w:tcPr>
          <w:p w14:paraId="4F5BAEE3">
            <w:pPr>
              <w:pStyle w:val="13"/>
            </w:pPr>
            <w:r>
              <w:t>840元</w:t>
            </w:r>
          </w:p>
        </w:tc>
        <w:tc>
          <w:tcPr>
            <w:tcW w:w="1276" w:type="dxa"/>
            <w:vAlign w:val="center"/>
          </w:tcPr>
          <w:p w14:paraId="17B28459">
            <w:pPr>
              <w:pStyle w:val="13"/>
            </w:pPr>
            <w:r>
              <w:t>城乡义务教育公用经费管理办法</w:t>
            </w:r>
          </w:p>
        </w:tc>
      </w:tr>
      <w:tr w14:paraId="18435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A666D">
            <w:pPr>
              <w:pStyle w:val="12"/>
            </w:pPr>
            <w:r>
              <w:t>效益指标</w:t>
            </w:r>
          </w:p>
        </w:tc>
        <w:tc>
          <w:tcPr>
            <w:tcW w:w="2268" w:type="dxa"/>
            <w:vAlign w:val="center"/>
          </w:tcPr>
          <w:p w14:paraId="4B55C201">
            <w:pPr>
              <w:pStyle w:val="13"/>
            </w:pPr>
            <w:r>
              <w:t>可持续影响指标</w:t>
            </w:r>
          </w:p>
        </w:tc>
        <w:tc>
          <w:tcPr>
            <w:tcW w:w="2835" w:type="dxa"/>
            <w:vAlign w:val="center"/>
          </w:tcPr>
          <w:p w14:paraId="691DA9D8">
            <w:pPr>
              <w:pStyle w:val="13"/>
            </w:pPr>
            <w:r>
              <w:t>教育发展水平明显好转</w:t>
            </w:r>
          </w:p>
        </w:tc>
        <w:tc>
          <w:tcPr>
            <w:tcW w:w="5386" w:type="dxa"/>
            <w:vAlign w:val="center"/>
          </w:tcPr>
          <w:p w14:paraId="7863628E">
            <w:pPr>
              <w:pStyle w:val="13"/>
            </w:pPr>
            <w:r>
              <w:t>学生受教育年限</w:t>
            </w:r>
          </w:p>
        </w:tc>
        <w:tc>
          <w:tcPr>
            <w:tcW w:w="2268" w:type="dxa"/>
            <w:vAlign w:val="center"/>
          </w:tcPr>
          <w:p w14:paraId="09E393E6">
            <w:pPr>
              <w:pStyle w:val="13"/>
            </w:pPr>
            <w:r>
              <w:t>6年</w:t>
            </w:r>
          </w:p>
        </w:tc>
        <w:tc>
          <w:tcPr>
            <w:tcW w:w="1276" w:type="dxa"/>
            <w:vAlign w:val="center"/>
          </w:tcPr>
          <w:p w14:paraId="62EF8715">
            <w:pPr>
              <w:pStyle w:val="13"/>
            </w:pPr>
            <w:r>
              <w:t>城乡义务教育公用经费管理办法</w:t>
            </w:r>
          </w:p>
        </w:tc>
      </w:tr>
      <w:tr w14:paraId="050B5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D7790B">
            <w:pPr>
              <w:pStyle w:val="12"/>
            </w:pPr>
            <w:r>
              <w:t>满意度指标</w:t>
            </w:r>
          </w:p>
        </w:tc>
        <w:tc>
          <w:tcPr>
            <w:tcW w:w="2268" w:type="dxa"/>
            <w:vAlign w:val="center"/>
          </w:tcPr>
          <w:p w14:paraId="57F5481D">
            <w:pPr>
              <w:pStyle w:val="13"/>
            </w:pPr>
            <w:r>
              <w:t>服务对象满意度指标</w:t>
            </w:r>
          </w:p>
        </w:tc>
        <w:tc>
          <w:tcPr>
            <w:tcW w:w="2835" w:type="dxa"/>
            <w:vAlign w:val="center"/>
          </w:tcPr>
          <w:p w14:paraId="5ED96114">
            <w:pPr>
              <w:pStyle w:val="13"/>
            </w:pPr>
            <w:r>
              <w:t>受益学生家长及调查满意度</w:t>
            </w:r>
          </w:p>
        </w:tc>
        <w:tc>
          <w:tcPr>
            <w:tcW w:w="5386" w:type="dxa"/>
            <w:vAlign w:val="center"/>
          </w:tcPr>
          <w:p w14:paraId="69BEC8BC">
            <w:pPr>
              <w:pStyle w:val="13"/>
            </w:pPr>
            <w:r>
              <w:t>学生、教师及家长对学校教育教学工作满意度情况</w:t>
            </w:r>
          </w:p>
        </w:tc>
        <w:tc>
          <w:tcPr>
            <w:tcW w:w="2268" w:type="dxa"/>
            <w:vAlign w:val="center"/>
          </w:tcPr>
          <w:p w14:paraId="608D8AF7">
            <w:pPr>
              <w:pStyle w:val="13"/>
            </w:pPr>
            <w:r>
              <w:t>≥95%</w:t>
            </w:r>
          </w:p>
        </w:tc>
        <w:tc>
          <w:tcPr>
            <w:tcW w:w="1276" w:type="dxa"/>
            <w:vAlign w:val="center"/>
          </w:tcPr>
          <w:p w14:paraId="2F5F468B">
            <w:pPr>
              <w:pStyle w:val="13"/>
            </w:pPr>
            <w:r>
              <w:t>调查问卷</w:t>
            </w:r>
          </w:p>
        </w:tc>
      </w:tr>
    </w:tbl>
    <w:p w14:paraId="0A3851B3">
      <w:pPr>
        <w:sectPr>
          <w:pgSz w:w="16840" w:h="11900" w:orient="landscape"/>
          <w:pgMar w:top="1361" w:right="1020" w:bottom="1134" w:left="1020" w:header="720" w:footer="720" w:gutter="0"/>
          <w:cols w:space="720" w:num="1"/>
        </w:sectPr>
      </w:pPr>
    </w:p>
    <w:p w14:paraId="79D5F063">
      <w:pPr>
        <w:spacing w:before="0" w:after="0"/>
        <w:ind w:firstLine="560"/>
        <w:jc w:val="left"/>
        <w:outlineLvl w:val="9"/>
      </w:pPr>
      <w:r>
        <w:rPr>
          <w:rFonts w:ascii="方正仿宋_GBK" w:hAnsi="方正仿宋_GBK" w:eastAsia="方正仿宋_GBK" w:cs="方正仿宋_GBK"/>
          <w:b/>
          <w:color w:val="000000"/>
          <w:sz w:val="28"/>
        </w:rPr>
        <w:t>49、冀财教[2024]141号/省级/2025年义教补助经费/隆尧县私立东苑中学（初中）公用经费绩效目标表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FB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FB0B1">
            <w:pPr>
              <w:pStyle w:val="14"/>
            </w:pPr>
            <w:r>
              <w:t>单位：万元</w:t>
            </w:r>
          </w:p>
        </w:tc>
      </w:tr>
      <w:tr w14:paraId="78E07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A0F26">
            <w:pPr>
              <w:pStyle w:val="11"/>
            </w:pPr>
            <w:r>
              <w:t>项目编码</w:t>
            </w:r>
          </w:p>
        </w:tc>
        <w:tc>
          <w:tcPr>
            <w:tcW w:w="5103" w:type="dxa"/>
            <w:gridSpan w:val="2"/>
            <w:vAlign w:val="center"/>
          </w:tcPr>
          <w:p w14:paraId="2670A5A0">
            <w:pPr>
              <w:pStyle w:val="13"/>
            </w:pPr>
            <w:r>
              <w:t>13052525P000004102235</w:t>
            </w:r>
          </w:p>
        </w:tc>
        <w:tc>
          <w:tcPr>
            <w:tcW w:w="2835" w:type="dxa"/>
            <w:vAlign w:val="center"/>
          </w:tcPr>
          <w:p w14:paraId="5A06599E">
            <w:pPr>
              <w:pStyle w:val="11"/>
            </w:pPr>
            <w:r>
              <w:t>项目名称</w:t>
            </w:r>
          </w:p>
        </w:tc>
        <w:tc>
          <w:tcPr>
            <w:tcW w:w="6095" w:type="dxa"/>
            <w:gridSpan w:val="3"/>
            <w:vAlign w:val="center"/>
          </w:tcPr>
          <w:p w14:paraId="55590604">
            <w:pPr>
              <w:pStyle w:val="13"/>
            </w:pPr>
            <w:r>
              <w:t>冀财教[2024]141号/省级/2025年义教补助经费/隆尧县私立东苑中学（初中）公用经费</w:t>
            </w:r>
          </w:p>
        </w:tc>
      </w:tr>
      <w:tr w14:paraId="708BC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EEACF">
            <w:pPr>
              <w:pStyle w:val="11"/>
            </w:pPr>
            <w:r>
              <w:t>预算规模及资金用途</w:t>
            </w:r>
          </w:p>
        </w:tc>
        <w:tc>
          <w:tcPr>
            <w:tcW w:w="2268" w:type="dxa"/>
            <w:vAlign w:val="center"/>
          </w:tcPr>
          <w:p w14:paraId="75B10DDB">
            <w:pPr>
              <w:pStyle w:val="11"/>
            </w:pPr>
            <w:r>
              <w:t>预算数</w:t>
            </w:r>
          </w:p>
        </w:tc>
        <w:tc>
          <w:tcPr>
            <w:tcW w:w="2835" w:type="dxa"/>
            <w:vAlign w:val="center"/>
          </w:tcPr>
          <w:p w14:paraId="7F4B4E29">
            <w:pPr>
              <w:pStyle w:val="13"/>
            </w:pPr>
            <w:r>
              <w:t>23.70</w:t>
            </w:r>
          </w:p>
        </w:tc>
        <w:tc>
          <w:tcPr>
            <w:tcW w:w="2835" w:type="dxa"/>
            <w:vAlign w:val="center"/>
          </w:tcPr>
          <w:p w14:paraId="174CB913">
            <w:pPr>
              <w:pStyle w:val="11"/>
            </w:pPr>
            <w:r>
              <w:t>其中：财政    资金</w:t>
            </w:r>
          </w:p>
        </w:tc>
        <w:tc>
          <w:tcPr>
            <w:tcW w:w="2551" w:type="dxa"/>
            <w:vAlign w:val="center"/>
          </w:tcPr>
          <w:p w14:paraId="0F6D51E0">
            <w:pPr>
              <w:pStyle w:val="13"/>
            </w:pPr>
            <w:r>
              <w:t>23.70</w:t>
            </w:r>
          </w:p>
        </w:tc>
        <w:tc>
          <w:tcPr>
            <w:tcW w:w="2268" w:type="dxa"/>
            <w:vAlign w:val="center"/>
          </w:tcPr>
          <w:p w14:paraId="4DC575C3">
            <w:pPr>
              <w:pStyle w:val="11"/>
            </w:pPr>
            <w:r>
              <w:t>其他资金</w:t>
            </w:r>
          </w:p>
        </w:tc>
        <w:tc>
          <w:tcPr>
            <w:tcW w:w="1276" w:type="dxa"/>
            <w:vAlign w:val="center"/>
          </w:tcPr>
          <w:p w14:paraId="2D28FA15">
            <w:pPr>
              <w:pStyle w:val="13"/>
            </w:pPr>
            <w:r>
              <w:t xml:space="preserve"> </w:t>
            </w:r>
          </w:p>
        </w:tc>
      </w:tr>
      <w:tr w14:paraId="72679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4A8FE1"/>
        </w:tc>
        <w:tc>
          <w:tcPr>
            <w:tcW w:w="14033" w:type="dxa"/>
            <w:gridSpan w:val="6"/>
            <w:vAlign w:val="center"/>
          </w:tcPr>
          <w:p w14:paraId="6D0D38F9">
            <w:pPr>
              <w:pStyle w:val="13"/>
            </w:pPr>
            <w:r>
              <w:t>保障义务教育学校正常运转，完成教育教学活动和其他日常工作任务等方面的费用支出。</w:t>
            </w:r>
          </w:p>
        </w:tc>
      </w:tr>
      <w:tr w14:paraId="3CFA9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366E1">
            <w:pPr>
              <w:pStyle w:val="11"/>
            </w:pPr>
            <w:r>
              <w:t>资金支出计划（%）</w:t>
            </w:r>
          </w:p>
        </w:tc>
        <w:tc>
          <w:tcPr>
            <w:tcW w:w="5103" w:type="dxa"/>
            <w:gridSpan w:val="2"/>
            <w:vAlign w:val="center"/>
          </w:tcPr>
          <w:p w14:paraId="1F569347">
            <w:pPr>
              <w:pStyle w:val="11"/>
            </w:pPr>
            <w:r>
              <w:t>3月底</w:t>
            </w:r>
          </w:p>
        </w:tc>
        <w:tc>
          <w:tcPr>
            <w:tcW w:w="2835" w:type="dxa"/>
            <w:vAlign w:val="center"/>
          </w:tcPr>
          <w:p w14:paraId="7A3497ED">
            <w:pPr>
              <w:pStyle w:val="11"/>
            </w:pPr>
            <w:r>
              <w:t>6月底</w:t>
            </w:r>
          </w:p>
        </w:tc>
        <w:tc>
          <w:tcPr>
            <w:tcW w:w="2551" w:type="dxa"/>
            <w:vAlign w:val="center"/>
          </w:tcPr>
          <w:p w14:paraId="3F0CA0B5">
            <w:pPr>
              <w:pStyle w:val="11"/>
            </w:pPr>
            <w:r>
              <w:t>10月底</w:t>
            </w:r>
          </w:p>
        </w:tc>
        <w:tc>
          <w:tcPr>
            <w:tcW w:w="3544" w:type="dxa"/>
            <w:gridSpan w:val="2"/>
            <w:vAlign w:val="center"/>
          </w:tcPr>
          <w:p w14:paraId="5AAC63BE">
            <w:pPr>
              <w:pStyle w:val="11"/>
            </w:pPr>
            <w:r>
              <w:t>12月底</w:t>
            </w:r>
          </w:p>
        </w:tc>
      </w:tr>
      <w:tr w14:paraId="4F9C1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E2633"/>
        </w:tc>
        <w:tc>
          <w:tcPr>
            <w:tcW w:w="5103" w:type="dxa"/>
            <w:gridSpan w:val="2"/>
            <w:vAlign w:val="center"/>
          </w:tcPr>
          <w:p w14:paraId="5A556F95">
            <w:pPr>
              <w:pStyle w:val="12"/>
            </w:pPr>
            <w:r>
              <w:t xml:space="preserve"> </w:t>
            </w:r>
          </w:p>
        </w:tc>
        <w:tc>
          <w:tcPr>
            <w:tcW w:w="2835" w:type="dxa"/>
            <w:vAlign w:val="center"/>
          </w:tcPr>
          <w:p w14:paraId="0D316459">
            <w:pPr>
              <w:pStyle w:val="12"/>
            </w:pPr>
            <w:r>
              <w:t>50%</w:t>
            </w:r>
          </w:p>
        </w:tc>
        <w:tc>
          <w:tcPr>
            <w:tcW w:w="2551" w:type="dxa"/>
            <w:vAlign w:val="center"/>
          </w:tcPr>
          <w:p w14:paraId="50569D90">
            <w:pPr>
              <w:pStyle w:val="12"/>
            </w:pPr>
            <w:r>
              <w:t>75%</w:t>
            </w:r>
          </w:p>
        </w:tc>
        <w:tc>
          <w:tcPr>
            <w:tcW w:w="3544" w:type="dxa"/>
            <w:gridSpan w:val="2"/>
            <w:vAlign w:val="center"/>
          </w:tcPr>
          <w:p w14:paraId="2662BFCB">
            <w:pPr>
              <w:pStyle w:val="12"/>
            </w:pPr>
            <w:r>
              <w:t>100%</w:t>
            </w:r>
          </w:p>
        </w:tc>
      </w:tr>
      <w:tr w14:paraId="6FE48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BF144">
            <w:pPr>
              <w:pStyle w:val="11"/>
            </w:pPr>
            <w:r>
              <w:t>绩效目标</w:t>
            </w:r>
          </w:p>
        </w:tc>
        <w:tc>
          <w:tcPr>
            <w:tcW w:w="14033" w:type="dxa"/>
            <w:gridSpan w:val="6"/>
            <w:vAlign w:val="center"/>
          </w:tcPr>
          <w:p w14:paraId="17AC117E">
            <w:pPr>
              <w:pStyle w:val="13"/>
            </w:pPr>
            <w:r>
              <w:t>1.保障义务教育学校正常运转，完成教育教学活动和其他日常工作任务等方面的费用支出。</w:t>
            </w:r>
          </w:p>
        </w:tc>
      </w:tr>
    </w:tbl>
    <w:p w14:paraId="5FBFC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95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84D2F">
            <w:pPr>
              <w:pStyle w:val="11"/>
            </w:pPr>
            <w:r>
              <w:t>一级指标</w:t>
            </w:r>
          </w:p>
        </w:tc>
        <w:tc>
          <w:tcPr>
            <w:tcW w:w="2268" w:type="dxa"/>
            <w:vAlign w:val="center"/>
          </w:tcPr>
          <w:p w14:paraId="74E9B68B">
            <w:pPr>
              <w:pStyle w:val="11"/>
            </w:pPr>
            <w:r>
              <w:t>二级指标</w:t>
            </w:r>
          </w:p>
        </w:tc>
        <w:tc>
          <w:tcPr>
            <w:tcW w:w="2835" w:type="dxa"/>
            <w:vAlign w:val="center"/>
          </w:tcPr>
          <w:p w14:paraId="2F6D9F91">
            <w:pPr>
              <w:pStyle w:val="11"/>
            </w:pPr>
            <w:r>
              <w:t>三级指标</w:t>
            </w:r>
          </w:p>
        </w:tc>
        <w:tc>
          <w:tcPr>
            <w:tcW w:w="5386" w:type="dxa"/>
            <w:vAlign w:val="center"/>
          </w:tcPr>
          <w:p w14:paraId="6C23F0DA">
            <w:pPr>
              <w:pStyle w:val="11"/>
            </w:pPr>
            <w:r>
              <w:t>绩效指标描述</w:t>
            </w:r>
          </w:p>
        </w:tc>
        <w:tc>
          <w:tcPr>
            <w:tcW w:w="2268" w:type="dxa"/>
            <w:vAlign w:val="center"/>
          </w:tcPr>
          <w:p w14:paraId="3A24A414">
            <w:pPr>
              <w:pStyle w:val="11"/>
            </w:pPr>
            <w:r>
              <w:t>指标值</w:t>
            </w:r>
          </w:p>
        </w:tc>
        <w:tc>
          <w:tcPr>
            <w:tcW w:w="1276" w:type="dxa"/>
            <w:vAlign w:val="center"/>
          </w:tcPr>
          <w:p w14:paraId="2A4F605B">
            <w:pPr>
              <w:pStyle w:val="11"/>
            </w:pPr>
            <w:r>
              <w:t>指标值确定依据</w:t>
            </w:r>
          </w:p>
        </w:tc>
      </w:tr>
      <w:tr w14:paraId="6C068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14208">
            <w:pPr>
              <w:pStyle w:val="12"/>
            </w:pPr>
            <w:r>
              <w:t>产出指标</w:t>
            </w:r>
          </w:p>
        </w:tc>
        <w:tc>
          <w:tcPr>
            <w:tcW w:w="2268" w:type="dxa"/>
            <w:vAlign w:val="center"/>
          </w:tcPr>
          <w:p w14:paraId="07E84DD5">
            <w:pPr>
              <w:pStyle w:val="13"/>
            </w:pPr>
            <w:r>
              <w:t>数量指标</w:t>
            </w:r>
          </w:p>
        </w:tc>
        <w:tc>
          <w:tcPr>
            <w:tcW w:w="2835" w:type="dxa"/>
            <w:vAlign w:val="center"/>
          </w:tcPr>
          <w:p w14:paraId="5DF96D2F">
            <w:pPr>
              <w:pStyle w:val="13"/>
            </w:pPr>
            <w:r>
              <w:t>适龄在校生</w:t>
            </w:r>
          </w:p>
        </w:tc>
        <w:tc>
          <w:tcPr>
            <w:tcW w:w="5386" w:type="dxa"/>
            <w:vAlign w:val="center"/>
          </w:tcPr>
          <w:p w14:paraId="61A53E2C">
            <w:pPr>
              <w:pStyle w:val="13"/>
            </w:pPr>
            <w:r>
              <w:t>适龄在校就读学生人数</w:t>
            </w:r>
          </w:p>
        </w:tc>
        <w:tc>
          <w:tcPr>
            <w:tcW w:w="2268" w:type="dxa"/>
            <w:vAlign w:val="center"/>
          </w:tcPr>
          <w:p w14:paraId="66D16B4A">
            <w:pPr>
              <w:pStyle w:val="13"/>
            </w:pPr>
            <w:r>
              <w:t>716人</w:t>
            </w:r>
          </w:p>
        </w:tc>
        <w:tc>
          <w:tcPr>
            <w:tcW w:w="1276" w:type="dxa"/>
            <w:vAlign w:val="center"/>
          </w:tcPr>
          <w:p w14:paraId="5DED83ED">
            <w:pPr>
              <w:pStyle w:val="13"/>
            </w:pPr>
            <w:r>
              <w:t>城乡义务教育公用经费管理办法</w:t>
            </w:r>
          </w:p>
        </w:tc>
      </w:tr>
      <w:tr w14:paraId="7F927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84A19"/>
        </w:tc>
        <w:tc>
          <w:tcPr>
            <w:tcW w:w="2268" w:type="dxa"/>
            <w:vAlign w:val="center"/>
          </w:tcPr>
          <w:p w14:paraId="4B493E15">
            <w:pPr>
              <w:pStyle w:val="13"/>
            </w:pPr>
            <w:r>
              <w:t>质量指标</w:t>
            </w:r>
          </w:p>
        </w:tc>
        <w:tc>
          <w:tcPr>
            <w:tcW w:w="2835" w:type="dxa"/>
            <w:vAlign w:val="center"/>
          </w:tcPr>
          <w:p w14:paraId="79B820E3">
            <w:pPr>
              <w:pStyle w:val="13"/>
            </w:pPr>
            <w:r>
              <w:t>预算控制率</w:t>
            </w:r>
          </w:p>
        </w:tc>
        <w:tc>
          <w:tcPr>
            <w:tcW w:w="5386" w:type="dxa"/>
            <w:vAlign w:val="center"/>
          </w:tcPr>
          <w:p w14:paraId="7D83FCBF">
            <w:pPr>
              <w:pStyle w:val="13"/>
            </w:pPr>
            <w:r>
              <w:t>预算执行</w:t>
            </w:r>
          </w:p>
        </w:tc>
        <w:tc>
          <w:tcPr>
            <w:tcW w:w="2268" w:type="dxa"/>
            <w:vAlign w:val="center"/>
          </w:tcPr>
          <w:p w14:paraId="7FBED94C">
            <w:pPr>
              <w:pStyle w:val="13"/>
            </w:pPr>
            <w:r>
              <w:t>≥95%</w:t>
            </w:r>
          </w:p>
        </w:tc>
        <w:tc>
          <w:tcPr>
            <w:tcW w:w="1276" w:type="dxa"/>
            <w:vAlign w:val="center"/>
          </w:tcPr>
          <w:p w14:paraId="29A51EA2">
            <w:pPr>
              <w:pStyle w:val="13"/>
            </w:pPr>
            <w:r>
              <w:t>城乡义务教育公用经费管理办法</w:t>
            </w:r>
          </w:p>
        </w:tc>
      </w:tr>
      <w:tr w14:paraId="382AA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11C67"/>
        </w:tc>
        <w:tc>
          <w:tcPr>
            <w:tcW w:w="2268" w:type="dxa"/>
            <w:vAlign w:val="center"/>
          </w:tcPr>
          <w:p w14:paraId="798615A6">
            <w:pPr>
              <w:pStyle w:val="13"/>
            </w:pPr>
            <w:r>
              <w:t>时效指标</w:t>
            </w:r>
          </w:p>
        </w:tc>
        <w:tc>
          <w:tcPr>
            <w:tcW w:w="2835" w:type="dxa"/>
            <w:vAlign w:val="center"/>
          </w:tcPr>
          <w:p w14:paraId="56F715D3">
            <w:pPr>
              <w:pStyle w:val="13"/>
            </w:pPr>
            <w:r>
              <w:t>资金支付率</w:t>
            </w:r>
          </w:p>
        </w:tc>
        <w:tc>
          <w:tcPr>
            <w:tcW w:w="5386" w:type="dxa"/>
            <w:vAlign w:val="center"/>
          </w:tcPr>
          <w:p w14:paraId="57A8E859">
            <w:pPr>
              <w:pStyle w:val="13"/>
            </w:pPr>
            <w:r>
              <w:t>按照序时进度完成资金支付</w:t>
            </w:r>
          </w:p>
        </w:tc>
        <w:tc>
          <w:tcPr>
            <w:tcW w:w="2268" w:type="dxa"/>
            <w:vAlign w:val="center"/>
          </w:tcPr>
          <w:p w14:paraId="1F812102">
            <w:pPr>
              <w:pStyle w:val="13"/>
            </w:pPr>
            <w:r>
              <w:t>≥100%</w:t>
            </w:r>
          </w:p>
        </w:tc>
        <w:tc>
          <w:tcPr>
            <w:tcW w:w="1276" w:type="dxa"/>
            <w:vAlign w:val="center"/>
          </w:tcPr>
          <w:p w14:paraId="064256DF">
            <w:pPr>
              <w:pStyle w:val="13"/>
            </w:pPr>
            <w:r>
              <w:t>城乡义务教育公用经费管理办法</w:t>
            </w:r>
          </w:p>
        </w:tc>
      </w:tr>
      <w:tr w14:paraId="29BFD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7A320"/>
        </w:tc>
        <w:tc>
          <w:tcPr>
            <w:tcW w:w="2268" w:type="dxa"/>
            <w:vAlign w:val="center"/>
          </w:tcPr>
          <w:p w14:paraId="063B4000">
            <w:pPr>
              <w:pStyle w:val="13"/>
            </w:pPr>
            <w:r>
              <w:t>成本指标</w:t>
            </w:r>
          </w:p>
        </w:tc>
        <w:tc>
          <w:tcPr>
            <w:tcW w:w="2835" w:type="dxa"/>
            <w:vAlign w:val="center"/>
          </w:tcPr>
          <w:p w14:paraId="055B6C17">
            <w:pPr>
              <w:pStyle w:val="13"/>
            </w:pPr>
            <w:r>
              <w:t>生均拨款标准</w:t>
            </w:r>
          </w:p>
        </w:tc>
        <w:tc>
          <w:tcPr>
            <w:tcW w:w="5386" w:type="dxa"/>
            <w:vAlign w:val="center"/>
          </w:tcPr>
          <w:p w14:paraId="37F4D0CE">
            <w:pPr>
              <w:pStyle w:val="13"/>
            </w:pPr>
            <w:r>
              <w:t>初中：（基本标准940元、寄宿生300元、取暖120元）/生/学年；随班就读学生：标准7000元/生/学年。。</w:t>
            </w:r>
          </w:p>
        </w:tc>
        <w:tc>
          <w:tcPr>
            <w:tcW w:w="2268" w:type="dxa"/>
            <w:vAlign w:val="center"/>
          </w:tcPr>
          <w:p w14:paraId="691F2CD8">
            <w:pPr>
              <w:pStyle w:val="13"/>
            </w:pPr>
            <w:r>
              <w:t>1360元</w:t>
            </w:r>
          </w:p>
        </w:tc>
        <w:tc>
          <w:tcPr>
            <w:tcW w:w="1276" w:type="dxa"/>
            <w:vAlign w:val="center"/>
          </w:tcPr>
          <w:p w14:paraId="53DC8C55">
            <w:pPr>
              <w:pStyle w:val="13"/>
            </w:pPr>
            <w:r>
              <w:t>城乡义务教育公用经费管理办法</w:t>
            </w:r>
          </w:p>
        </w:tc>
      </w:tr>
      <w:tr w14:paraId="63881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652C4F">
            <w:pPr>
              <w:pStyle w:val="12"/>
            </w:pPr>
            <w:r>
              <w:t>效益指标</w:t>
            </w:r>
          </w:p>
        </w:tc>
        <w:tc>
          <w:tcPr>
            <w:tcW w:w="2268" w:type="dxa"/>
            <w:vAlign w:val="center"/>
          </w:tcPr>
          <w:p w14:paraId="7FE25C6A">
            <w:pPr>
              <w:pStyle w:val="13"/>
            </w:pPr>
            <w:r>
              <w:t>可持续影响指标</w:t>
            </w:r>
          </w:p>
        </w:tc>
        <w:tc>
          <w:tcPr>
            <w:tcW w:w="2835" w:type="dxa"/>
            <w:vAlign w:val="center"/>
          </w:tcPr>
          <w:p w14:paraId="798CAD1A">
            <w:pPr>
              <w:pStyle w:val="13"/>
            </w:pPr>
            <w:r>
              <w:t>教育发展水平明显好转</w:t>
            </w:r>
          </w:p>
        </w:tc>
        <w:tc>
          <w:tcPr>
            <w:tcW w:w="5386" w:type="dxa"/>
            <w:vAlign w:val="center"/>
          </w:tcPr>
          <w:p w14:paraId="709E9183">
            <w:pPr>
              <w:pStyle w:val="13"/>
            </w:pPr>
            <w:r>
              <w:t>学生受教育年限</w:t>
            </w:r>
          </w:p>
        </w:tc>
        <w:tc>
          <w:tcPr>
            <w:tcW w:w="2268" w:type="dxa"/>
            <w:vAlign w:val="center"/>
          </w:tcPr>
          <w:p w14:paraId="6C7C9E67">
            <w:pPr>
              <w:pStyle w:val="13"/>
            </w:pPr>
            <w:r>
              <w:t>3年</w:t>
            </w:r>
          </w:p>
        </w:tc>
        <w:tc>
          <w:tcPr>
            <w:tcW w:w="1276" w:type="dxa"/>
            <w:vAlign w:val="center"/>
          </w:tcPr>
          <w:p w14:paraId="3A4F3B0B">
            <w:pPr>
              <w:pStyle w:val="13"/>
            </w:pPr>
            <w:r>
              <w:t>城乡义务教育公用经费管理办法</w:t>
            </w:r>
          </w:p>
        </w:tc>
      </w:tr>
      <w:tr w14:paraId="48A87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A931A">
            <w:pPr>
              <w:pStyle w:val="12"/>
            </w:pPr>
            <w:r>
              <w:t>满意度指标</w:t>
            </w:r>
          </w:p>
        </w:tc>
        <w:tc>
          <w:tcPr>
            <w:tcW w:w="2268" w:type="dxa"/>
            <w:vAlign w:val="center"/>
          </w:tcPr>
          <w:p w14:paraId="0BBF5B2C">
            <w:pPr>
              <w:pStyle w:val="13"/>
            </w:pPr>
            <w:r>
              <w:t>服务对象满意度指标</w:t>
            </w:r>
          </w:p>
        </w:tc>
        <w:tc>
          <w:tcPr>
            <w:tcW w:w="2835" w:type="dxa"/>
            <w:vAlign w:val="center"/>
          </w:tcPr>
          <w:p w14:paraId="6D32713B">
            <w:pPr>
              <w:pStyle w:val="13"/>
            </w:pPr>
            <w:r>
              <w:t>受益学生家长及调查满意度</w:t>
            </w:r>
          </w:p>
        </w:tc>
        <w:tc>
          <w:tcPr>
            <w:tcW w:w="5386" w:type="dxa"/>
            <w:vAlign w:val="center"/>
          </w:tcPr>
          <w:p w14:paraId="5586BFFA">
            <w:pPr>
              <w:pStyle w:val="13"/>
            </w:pPr>
            <w:r>
              <w:t>学生、教师及家长对学校教育教学工作满意度情况</w:t>
            </w:r>
          </w:p>
        </w:tc>
        <w:tc>
          <w:tcPr>
            <w:tcW w:w="2268" w:type="dxa"/>
            <w:vAlign w:val="center"/>
          </w:tcPr>
          <w:p w14:paraId="3B4D13C5">
            <w:pPr>
              <w:pStyle w:val="13"/>
            </w:pPr>
            <w:r>
              <w:t>≥95%</w:t>
            </w:r>
          </w:p>
        </w:tc>
        <w:tc>
          <w:tcPr>
            <w:tcW w:w="1276" w:type="dxa"/>
            <w:vAlign w:val="center"/>
          </w:tcPr>
          <w:p w14:paraId="4E5610AF">
            <w:pPr>
              <w:pStyle w:val="13"/>
            </w:pPr>
            <w:r>
              <w:t>调查问卷</w:t>
            </w:r>
          </w:p>
        </w:tc>
      </w:tr>
    </w:tbl>
    <w:p w14:paraId="67C21D30">
      <w:pPr>
        <w:sectPr>
          <w:pgSz w:w="16840" w:h="11900" w:orient="landscape"/>
          <w:pgMar w:top="1361" w:right="1020" w:bottom="1134" w:left="1020" w:header="720" w:footer="720" w:gutter="0"/>
          <w:cols w:space="720" w:num="1"/>
        </w:sectPr>
      </w:pPr>
    </w:p>
    <w:p w14:paraId="2FDA54CF">
      <w:pPr>
        <w:spacing w:before="0" w:after="0"/>
        <w:ind w:firstLine="560"/>
        <w:jc w:val="left"/>
        <w:outlineLvl w:val="9"/>
      </w:pPr>
      <w:r>
        <w:rPr>
          <w:rFonts w:ascii="方正仿宋_GBK" w:hAnsi="方正仿宋_GBK" w:eastAsia="方正仿宋_GBK" w:cs="方正仿宋_GBK"/>
          <w:b/>
          <w:color w:val="000000"/>
          <w:sz w:val="28"/>
        </w:rPr>
        <w:t>50、冀财教[2024]141号/省级/2025年义教补助经费/隆尧县私立东苑中学（小学）公用经费绩效目标表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ED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66A84">
            <w:pPr>
              <w:pStyle w:val="14"/>
            </w:pPr>
            <w:r>
              <w:t>单位：万元</w:t>
            </w:r>
          </w:p>
        </w:tc>
      </w:tr>
      <w:tr w14:paraId="7A2C2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CE798">
            <w:pPr>
              <w:pStyle w:val="11"/>
            </w:pPr>
            <w:r>
              <w:t>项目编码</w:t>
            </w:r>
          </w:p>
        </w:tc>
        <w:tc>
          <w:tcPr>
            <w:tcW w:w="5103" w:type="dxa"/>
            <w:gridSpan w:val="2"/>
            <w:vAlign w:val="center"/>
          </w:tcPr>
          <w:p w14:paraId="6F8437DC">
            <w:pPr>
              <w:pStyle w:val="13"/>
            </w:pPr>
            <w:r>
              <w:t>13052525P00000410212M</w:t>
            </w:r>
          </w:p>
        </w:tc>
        <w:tc>
          <w:tcPr>
            <w:tcW w:w="2835" w:type="dxa"/>
            <w:vAlign w:val="center"/>
          </w:tcPr>
          <w:p w14:paraId="3BF02B73">
            <w:pPr>
              <w:pStyle w:val="11"/>
            </w:pPr>
            <w:r>
              <w:t>项目名称</w:t>
            </w:r>
          </w:p>
        </w:tc>
        <w:tc>
          <w:tcPr>
            <w:tcW w:w="6095" w:type="dxa"/>
            <w:gridSpan w:val="3"/>
            <w:vAlign w:val="center"/>
          </w:tcPr>
          <w:p w14:paraId="0A72EFB8">
            <w:pPr>
              <w:pStyle w:val="13"/>
            </w:pPr>
            <w:r>
              <w:t>冀财教[2024]141号/省级/2025年义教补助经费/隆尧县私立东苑中学（小学）公用经费</w:t>
            </w:r>
          </w:p>
        </w:tc>
      </w:tr>
      <w:tr w14:paraId="5BC2C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06F92">
            <w:pPr>
              <w:pStyle w:val="11"/>
            </w:pPr>
            <w:r>
              <w:t>预算规模及资金用途</w:t>
            </w:r>
          </w:p>
        </w:tc>
        <w:tc>
          <w:tcPr>
            <w:tcW w:w="2268" w:type="dxa"/>
            <w:vAlign w:val="center"/>
          </w:tcPr>
          <w:p w14:paraId="3838B7D0">
            <w:pPr>
              <w:pStyle w:val="11"/>
            </w:pPr>
            <w:r>
              <w:t>预算数</w:t>
            </w:r>
          </w:p>
        </w:tc>
        <w:tc>
          <w:tcPr>
            <w:tcW w:w="2835" w:type="dxa"/>
            <w:vAlign w:val="center"/>
          </w:tcPr>
          <w:p w14:paraId="1C493F47">
            <w:pPr>
              <w:pStyle w:val="13"/>
            </w:pPr>
            <w:r>
              <w:t>6.41</w:t>
            </w:r>
          </w:p>
        </w:tc>
        <w:tc>
          <w:tcPr>
            <w:tcW w:w="2835" w:type="dxa"/>
            <w:vAlign w:val="center"/>
          </w:tcPr>
          <w:p w14:paraId="579DACAE">
            <w:pPr>
              <w:pStyle w:val="11"/>
            </w:pPr>
            <w:r>
              <w:t>其中：财政    资金</w:t>
            </w:r>
          </w:p>
        </w:tc>
        <w:tc>
          <w:tcPr>
            <w:tcW w:w="2551" w:type="dxa"/>
            <w:vAlign w:val="center"/>
          </w:tcPr>
          <w:p w14:paraId="7A32D620">
            <w:pPr>
              <w:pStyle w:val="13"/>
            </w:pPr>
            <w:r>
              <w:t>6.41</w:t>
            </w:r>
          </w:p>
        </w:tc>
        <w:tc>
          <w:tcPr>
            <w:tcW w:w="2268" w:type="dxa"/>
            <w:vAlign w:val="center"/>
          </w:tcPr>
          <w:p w14:paraId="4EF6D031">
            <w:pPr>
              <w:pStyle w:val="11"/>
            </w:pPr>
            <w:r>
              <w:t>其他资金</w:t>
            </w:r>
          </w:p>
        </w:tc>
        <w:tc>
          <w:tcPr>
            <w:tcW w:w="1276" w:type="dxa"/>
            <w:vAlign w:val="center"/>
          </w:tcPr>
          <w:p w14:paraId="2D12032A">
            <w:pPr>
              <w:pStyle w:val="13"/>
            </w:pPr>
            <w:r>
              <w:t xml:space="preserve"> </w:t>
            </w:r>
          </w:p>
        </w:tc>
      </w:tr>
      <w:tr w14:paraId="5F218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506261"/>
        </w:tc>
        <w:tc>
          <w:tcPr>
            <w:tcW w:w="14033" w:type="dxa"/>
            <w:gridSpan w:val="6"/>
            <w:vAlign w:val="center"/>
          </w:tcPr>
          <w:p w14:paraId="60767721">
            <w:pPr>
              <w:pStyle w:val="13"/>
            </w:pPr>
            <w:r>
              <w:t>保障义务教育学校正常运转，完成教育教学活动和其他日常工作任务等方面的费用支出。</w:t>
            </w:r>
          </w:p>
        </w:tc>
      </w:tr>
      <w:tr w14:paraId="25A3C7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F9C2F">
            <w:pPr>
              <w:pStyle w:val="11"/>
            </w:pPr>
            <w:r>
              <w:t>资金支出计划（%）</w:t>
            </w:r>
          </w:p>
        </w:tc>
        <w:tc>
          <w:tcPr>
            <w:tcW w:w="5103" w:type="dxa"/>
            <w:gridSpan w:val="2"/>
            <w:vAlign w:val="center"/>
          </w:tcPr>
          <w:p w14:paraId="432DD6DC">
            <w:pPr>
              <w:pStyle w:val="11"/>
            </w:pPr>
            <w:r>
              <w:t>3月底</w:t>
            </w:r>
          </w:p>
        </w:tc>
        <w:tc>
          <w:tcPr>
            <w:tcW w:w="2835" w:type="dxa"/>
            <w:vAlign w:val="center"/>
          </w:tcPr>
          <w:p w14:paraId="04791771">
            <w:pPr>
              <w:pStyle w:val="11"/>
            </w:pPr>
            <w:r>
              <w:t>6月底</w:t>
            </w:r>
          </w:p>
        </w:tc>
        <w:tc>
          <w:tcPr>
            <w:tcW w:w="2551" w:type="dxa"/>
            <w:vAlign w:val="center"/>
          </w:tcPr>
          <w:p w14:paraId="216FAC32">
            <w:pPr>
              <w:pStyle w:val="11"/>
            </w:pPr>
            <w:r>
              <w:t>10月底</w:t>
            </w:r>
          </w:p>
        </w:tc>
        <w:tc>
          <w:tcPr>
            <w:tcW w:w="3544" w:type="dxa"/>
            <w:gridSpan w:val="2"/>
            <w:vAlign w:val="center"/>
          </w:tcPr>
          <w:p w14:paraId="1E731BC4">
            <w:pPr>
              <w:pStyle w:val="11"/>
            </w:pPr>
            <w:r>
              <w:t>12月底</w:t>
            </w:r>
          </w:p>
        </w:tc>
      </w:tr>
      <w:tr w14:paraId="2ED14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6946E1"/>
        </w:tc>
        <w:tc>
          <w:tcPr>
            <w:tcW w:w="5103" w:type="dxa"/>
            <w:gridSpan w:val="2"/>
            <w:vAlign w:val="center"/>
          </w:tcPr>
          <w:p w14:paraId="00372CB1">
            <w:pPr>
              <w:pStyle w:val="12"/>
            </w:pPr>
            <w:r>
              <w:t xml:space="preserve"> </w:t>
            </w:r>
          </w:p>
        </w:tc>
        <w:tc>
          <w:tcPr>
            <w:tcW w:w="2835" w:type="dxa"/>
            <w:vAlign w:val="center"/>
          </w:tcPr>
          <w:p w14:paraId="4516435F">
            <w:pPr>
              <w:pStyle w:val="12"/>
            </w:pPr>
            <w:r>
              <w:t>50%</w:t>
            </w:r>
          </w:p>
        </w:tc>
        <w:tc>
          <w:tcPr>
            <w:tcW w:w="2551" w:type="dxa"/>
            <w:vAlign w:val="center"/>
          </w:tcPr>
          <w:p w14:paraId="205BCBD0">
            <w:pPr>
              <w:pStyle w:val="12"/>
            </w:pPr>
            <w:r>
              <w:t>75%</w:t>
            </w:r>
          </w:p>
        </w:tc>
        <w:tc>
          <w:tcPr>
            <w:tcW w:w="3544" w:type="dxa"/>
            <w:gridSpan w:val="2"/>
            <w:vAlign w:val="center"/>
          </w:tcPr>
          <w:p w14:paraId="1BEA913A">
            <w:pPr>
              <w:pStyle w:val="12"/>
            </w:pPr>
            <w:r>
              <w:t>100%</w:t>
            </w:r>
          </w:p>
        </w:tc>
      </w:tr>
      <w:tr w14:paraId="2D4E1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6B1602">
            <w:pPr>
              <w:pStyle w:val="11"/>
            </w:pPr>
            <w:r>
              <w:t>绩效目标</w:t>
            </w:r>
          </w:p>
        </w:tc>
        <w:tc>
          <w:tcPr>
            <w:tcW w:w="14033" w:type="dxa"/>
            <w:gridSpan w:val="6"/>
            <w:vAlign w:val="center"/>
          </w:tcPr>
          <w:p w14:paraId="6A3FCA41">
            <w:pPr>
              <w:pStyle w:val="13"/>
            </w:pPr>
            <w:r>
              <w:t>1.保障义务教育学校正常运转，完成教育教学活动和其他日常工作任务等方面的费用支出。</w:t>
            </w:r>
          </w:p>
        </w:tc>
      </w:tr>
    </w:tbl>
    <w:p w14:paraId="6D861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A6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953648E">
            <w:pPr>
              <w:pStyle w:val="11"/>
            </w:pPr>
            <w:r>
              <w:t>一级指标</w:t>
            </w:r>
          </w:p>
        </w:tc>
        <w:tc>
          <w:tcPr>
            <w:tcW w:w="2268" w:type="dxa"/>
            <w:vAlign w:val="center"/>
          </w:tcPr>
          <w:p w14:paraId="77861E9A">
            <w:pPr>
              <w:pStyle w:val="11"/>
            </w:pPr>
            <w:r>
              <w:t>二级指标</w:t>
            </w:r>
          </w:p>
        </w:tc>
        <w:tc>
          <w:tcPr>
            <w:tcW w:w="2835" w:type="dxa"/>
            <w:vAlign w:val="center"/>
          </w:tcPr>
          <w:p w14:paraId="32CCD1D6">
            <w:pPr>
              <w:pStyle w:val="11"/>
            </w:pPr>
            <w:r>
              <w:t>三级指标</w:t>
            </w:r>
          </w:p>
        </w:tc>
        <w:tc>
          <w:tcPr>
            <w:tcW w:w="5386" w:type="dxa"/>
            <w:vAlign w:val="center"/>
          </w:tcPr>
          <w:p w14:paraId="589B9A64">
            <w:pPr>
              <w:pStyle w:val="11"/>
            </w:pPr>
            <w:r>
              <w:t>绩效指标描述</w:t>
            </w:r>
          </w:p>
        </w:tc>
        <w:tc>
          <w:tcPr>
            <w:tcW w:w="2268" w:type="dxa"/>
            <w:vAlign w:val="center"/>
          </w:tcPr>
          <w:p w14:paraId="63024D37">
            <w:pPr>
              <w:pStyle w:val="11"/>
            </w:pPr>
            <w:r>
              <w:t>指标值</w:t>
            </w:r>
          </w:p>
        </w:tc>
        <w:tc>
          <w:tcPr>
            <w:tcW w:w="1276" w:type="dxa"/>
            <w:vAlign w:val="center"/>
          </w:tcPr>
          <w:p w14:paraId="1E6C1419">
            <w:pPr>
              <w:pStyle w:val="11"/>
            </w:pPr>
            <w:r>
              <w:t>指标值确定依据</w:t>
            </w:r>
          </w:p>
        </w:tc>
      </w:tr>
      <w:tr w14:paraId="26CAB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8F578">
            <w:pPr>
              <w:pStyle w:val="12"/>
            </w:pPr>
            <w:r>
              <w:t>产出指标</w:t>
            </w:r>
          </w:p>
        </w:tc>
        <w:tc>
          <w:tcPr>
            <w:tcW w:w="2268" w:type="dxa"/>
            <w:vAlign w:val="center"/>
          </w:tcPr>
          <w:p w14:paraId="0BB1234F">
            <w:pPr>
              <w:pStyle w:val="13"/>
            </w:pPr>
            <w:r>
              <w:t>数量指标</w:t>
            </w:r>
          </w:p>
        </w:tc>
        <w:tc>
          <w:tcPr>
            <w:tcW w:w="2835" w:type="dxa"/>
            <w:vAlign w:val="center"/>
          </w:tcPr>
          <w:p w14:paraId="760D0602">
            <w:pPr>
              <w:pStyle w:val="13"/>
            </w:pPr>
            <w:r>
              <w:t>适龄在校生</w:t>
            </w:r>
          </w:p>
        </w:tc>
        <w:tc>
          <w:tcPr>
            <w:tcW w:w="5386" w:type="dxa"/>
            <w:vAlign w:val="center"/>
          </w:tcPr>
          <w:p w14:paraId="41D6510B">
            <w:pPr>
              <w:pStyle w:val="13"/>
            </w:pPr>
            <w:r>
              <w:t>适龄在校就读学生人数</w:t>
            </w:r>
          </w:p>
        </w:tc>
        <w:tc>
          <w:tcPr>
            <w:tcW w:w="2268" w:type="dxa"/>
            <w:vAlign w:val="center"/>
          </w:tcPr>
          <w:p w14:paraId="2BB1D61C">
            <w:pPr>
              <w:pStyle w:val="13"/>
            </w:pPr>
            <w:r>
              <w:t>111人</w:t>
            </w:r>
          </w:p>
        </w:tc>
        <w:tc>
          <w:tcPr>
            <w:tcW w:w="1276" w:type="dxa"/>
            <w:vAlign w:val="center"/>
          </w:tcPr>
          <w:p w14:paraId="53471C4D">
            <w:pPr>
              <w:pStyle w:val="13"/>
            </w:pPr>
            <w:r>
              <w:t>城乡义务教育公用经费管理办法</w:t>
            </w:r>
          </w:p>
        </w:tc>
      </w:tr>
      <w:tr w14:paraId="7F84B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7F737"/>
        </w:tc>
        <w:tc>
          <w:tcPr>
            <w:tcW w:w="2268" w:type="dxa"/>
            <w:vAlign w:val="center"/>
          </w:tcPr>
          <w:p w14:paraId="743EF751">
            <w:pPr>
              <w:pStyle w:val="13"/>
            </w:pPr>
            <w:r>
              <w:t>质量指标</w:t>
            </w:r>
          </w:p>
        </w:tc>
        <w:tc>
          <w:tcPr>
            <w:tcW w:w="2835" w:type="dxa"/>
            <w:vAlign w:val="center"/>
          </w:tcPr>
          <w:p w14:paraId="47E4AB2C">
            <w:pPr>
              <w:pStyle w:val="13"/>
            </w:pPr>
            <w:r>
              <w:t>预算控制率</w:t>
            </w:r>
          </w:p>
        </w:tc>
        <w:tc>
          <w:tcPr>
            <w:tcW w:w="5386" w:type="dxa"/>
            <w:vAlign w:val="center"/>
          </w:tcPr>
          <w:p w14:paraId="5402DFDD">
            <w:pPr>
              <w:pStyle w:val="13"/>
            </w:pPr>
            <w:r>
              <w:t>预算执行</w:t>
            </w:r>
          </w:p>
        </w:tc>
        <w:tc>
          <w:tcPr>
            <w:tcW w:w="2268" w:type="dxa"/>
            <w:vAlign w:val="center"/>
          </w:tcPr>
          <w:p w14:paraId="3EEC8507">
            <w:pPr>
              <w:pStyle w:val="13"/>
            </w:pPr>
            <w:r>
              <w:t>≥95%</w:t>
            </w:r>
          </w:p>
        </w:tc>
        <w:tc>
          <w:tcPr>
            <w:tcW w:w="1276" w:type="dxa"/>
            <w:vAlign w:val="center"/>
          </w:tcPr>
          <w:p w14:paraId="5CA13287">
            <w:pPr>
              <w:pStyle w:val="13"/>
            </w:pPr>
            <w:r>
              <w:t>城乡义务教育公用经费管理办法</w:t>
            </w:r>
          </w:p>
        </w:tc>
      </w:tr>
      <w:tr w14:paraId="23A31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59DF5"/>
        </w:tc>
        <w:tc>
          <w:tcPr>
            <w:tcW w:w="2268" w:type="dxa"/>
            <w:vAlign w:val="center"/>
          </w:tcPr>
          <w:p w14:paraId="1F803F17">
            <w:pPr>
              <w:pStyle w:val="13"/>
            </w:pPr>
            <w:r>
              <w:t>时效指标</w:t>
            </w:r>
          </w:p>
        </w:tc>
        <w:tc>
          <w:tcPr>
            <w:tcW w:w="2835" w:type="dxa"/>
            <w:vAlign w:val="center"/>
          </w:tcPr>
          <w:p w14:paraId="14DC4607">
            <w:pPr>
              <w:pStyle w:val="13"/>
            </w:pPr>
            <w:r>
              <w:t>资金支付率</w:t>
            </w:r>
          </w:p>
        </w:tc>
        <w:tc>
          <w:tcPr>
            <w:tcW w:w="5386" w:type="dxa"/>
            <w:vAlign w:val="center"/>
          </w:tcPr>
          <w:p w14:paraId="151F61B2">
            <w:pPr>
              <w:pStyle w:val="13"/>
            </w:pPr>
            <w:r>
              <w:t>按照序时进度完成资金支付</w:t>
            </w:r>
          </w:p>
        </w:tc>
        <w:tc>
          <w:tcPr>
            <w:tcW w:w="2268" w:type="dxa"/>
            <w:vAlign w:val="center"/>
          </w:tcPr>
          <w:p w14:paraId="5E9E04BF">
            <w:pPr>
              <w:pStyle w:val="13"/>
            </w:pPr>
            <w:r>
              <w:t>≥100%</w:t>
            </w:r>
          </w:p>
        </w:tc>
        <w:tc>
          <w:tcPr>
            <w:tcW w:w="1276" w:type="dxa"/>
            <w:vAlign w:val="center"/>
          </w:tcPr>
          <w:p w14:paraId="0FF66FDB">
            <w:pPr>
              <w:pStyle w:val="13"/>
            </w:pPr>
            <w:r>
              <w:t>城乡义务教育公用经费管理办法</w:t>
            </w:r>
          </w:p>
        </w:tc>
      </w:tr>
      <w:tr w14:paraId="1FE6E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07CCB"/>
        </w:tc>
        <w:tc>
          <w:tcPr>
            <w:tcW w:w="2268" w:type="dxa"/>
            <w:vAlign w:val="center"/>
          </w:tcPr>
          <w:p w14:paraId="460DCB3E">
            <w:pPr>
              <w:pStyle w:val="13"/>
            </w:pPr>
            <w:r>
              <w:t>成本指标</w:t>
            </w:r>
          </w:p>
        </w:tc>
        <w:tc>
          <w:tcPr>
            <w:tcW w:w="2835" w:type="dxa"/>
            <w:vAlign w:val="center"/>
          </w:tcPr>
          <w:p w14:paraId="35E7BB89">
            <w:pPr>
              <w:pStyle w:val="13"/>
            </w:pPr>
            <w:r>
              <w:t>生均拨款标准</w:t>
            </w:r>
          </w:p>
        </w:tc>
        <w:tc>
          <w:tcPr>
            <w:tcW w:w="5386" w:type="dxa"/>
            <w:vAlign w:val="center"/>
          </w:tcPr>
          <w:p w14:paraId="70B408D9">
            <w:pPr>
              <w:pStyle w:val="13"/>
            </w:pPr>
            <w:r>
              <w:t>小学：（基本标准720元、寄宿生300元、取暖120元）/生/学年；随班就读学生：标准7000元/生/学年。</w:t>
            </w:r>
          </w:p>
        </w:tc>
        <w:tc>
          <w:tcPr>
            <w:tcW w:w="2268" w:type="dxa"/>
            <w:vAlign w:val="center"/>
          </w:tcPr>
          <w:p w14:paraId="008DE552">
            <w:pPr>
              <w:pStyle w:val="13"/>
            </w:pPr>
            <w:r>
              <w:t>840元</w:t>
            </w:r>
          </w:p>
        </w:tc>
        <w:tc>
          <w:tcPr>
            <w:tcW w:w="1276" w:type="dxa"/>
            <w:vAlign w:val="center"/>
          </w:tcPr>
          <w:p w14:paraId="34C0359C">
            <w:pPr>
              <w:pStyle w:val="13"/>
            </w:pPr>
            <w:r>
              <w:t>城乡义务教育公用经费管理办法</w:t>
            </w:r>
          </w:p>
        </w:tc>
      </w:tr>
      <w:tr w14:paraId="1E4A2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3FC181">
            <w:pPr>
              <w:pStyle w:val="12"/>
            </w:pPr>
            <w:r>
              <w:t>效益指标</w:t>
            </w:r>
          </w:p>
        </w:tc>
        <w:tc>
          <w:tcPr>
            <w:tcW w:w="2268" w:type="dxa"/>
            <w:vAlign w:val="center"/>
          </w:tcPr>
          <w:p w14:paraId="69B3E683">
            <w:pPr>
              <w:pStyle w:val="13"/>
            </w:pPr>
            <w:r>
              <w:t>可持续影响指标</w:t>
            </w:r>
          </w:p>
        </w:tc>
        <w:tc>
          <w:tcPr>
            <w:tcW w:w="2835" w:type="dxa"/>
            <w:vAlign w:val="center"/>
          </w:tcPr>
          <w:p w14:paraId="71B437C6">
            <w:pPr>
              <w:pStyle w:val="13"/>
            </w:pPr>
            <w:r>
              <w:t>教育发展水平明显好转</w:t>
            </w:r>
          </w:p>
        </w:tc>
        <w:tc>
          <w:tcPr>
            <w:tcW w:w="5386" w:type="dxa"/>
            <w:vAlign w:val="center"/>
          </w:tcPr>
          <w:p w14:paraId="1B04D324">
            <w:pPr>
              <w:pStyle w:val="13"/>
            </w:pPr>
            <w:r>
              <w:t>学生受教育年限</w:t>
            </w:r>
          </w:p>
        </w:tc>
        <w:tc>
          <w:tcPr>
            <w:tcW w:w="2268" w:type="dxa"/>
            <w:vAlign w:val="center"/>
          </w:tcPr>
          <w:p w14:paraId="43489B9F">
            <w:pPr>
              <w:pStyle w:val="13"/>
            </w:pPr>
            <w:r>
              <w:t>6年</w:t>
            </w:r>
          </w:p>
        </w:tc>
        <w:tc>
          <w:tcPr>
            <w:tcW w:w="1276" w:type="dxa"/>
            <w:vAlign w:val="center"/>
          </w:tcPr>
          <w:p w14:paraId="364DA25F">
            <w:pPr>
              <w:pStyle w:val="13"/>
            </w:pPr>
            <w:r>
              <w:t>城乡义务教育公用经费管理办法</w:t>
            </w:r>
          </w:p>
        </w:tc>
      </w:tr>
      <w:tr w14:paraId="0A826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36982A">
            <w:pPr>
              <w:pStyle w:val="12"/>
            </w:pPr>
            <w:r>
              <w:t>满意度指标</w:t>
            </w:r>
          </w:p>
        </w:tc>
        <w:tc>
          <w:tcPr>
            <w:tcW w:w="2268" w:type="dxa"/>
            <w:vAlign w:val="center"/>
          </w:tcPr>
          <w:p w14:paraId="735F1865">
            <w:pPr>
              <w:pStyle w:val="13"/>
            </w:pPr>
            <w:r>
              <w:t>服务对象满意度指标</w:t>
            </w:r>
          </w:p>
        </w:tc>
        <w:tc>
          <w:tcPr>
            <w:tcW w:w="2835" w:type="dxa"/>
            <w:vAlign w:val="center"/>
          </w:tcPr>
          <w:p w14:paraId="338A9DF7">
            <w:pPr>
              <w:pStyle w:val="13"/>
            </w:pPr>
            <w:r>
              <w:t>受益学生家长及调查满意度</w:t>
            </w:r>
          </w:p>
        </w:tc>
        <w:tc>
          <w:tcPr>
            <w:tcW w:w="5386" w:type="dxa"/>
            <w:vAlign w:val="center"/>
          </w:tcPr>
          <w:p w14:paraId="7AF259CE">
            <w:pPr>
              <w:pStyle w:val="13"/>
            </w:pPr>
            <w:r>
              <w:t>学生、教师及家长对学校教育教学工作满意度情况</w:t>
            </w:r>
          </w:p>
        </w:tc>
        <w:tc>
          <w:tcPr>
            <w:tcW w:w="2268" w:type="dxa"/>
            <w:vAlign w:val="center"/>
          </w:tcPr>
          <w:p w14:paraId="2CEA3EB0">
            <w:pPr>
              <w:pStyle w:val="13"/>
            </w:pPr>
            <w:r>
              <w:t>≥95%</w:t>
            </w:r>
          </w:p>
        </w:tc>
        <w:tc>
          <w:tcPr>
            <w:tcW w:w="1276" w:type="dxa"/>
            <w:vAlign w:val="center"/>
          </w:tcPr>
          <w:p w14:paraId="50569A62">
            <w:pPr>
              <w:pStyle w:val="13"/>
            </w:pPr>
            <w:r>
              <w:t>调查问卷</w:t>
            </w:r>
          </w:p>
        </w:tc>
      </w:tr>
    </w:tbl>
    <w:p w14:paraId="2EB3CA7D">
      <w:pPr>
        <w:sectPr>
          <w:pgSz w:w="16840" w:h="11900" w:orient="landscape"/>
          <w:pgMar w:top="1361" w:right="1020" w:bottom="1134" w:left="1020" w:header="720" w:footer="720" w:gutter="0"/>
          <w:cols w:space="720" w:num="1"/>
        </w:sectPr>
      </w:pPr>
    </w:p>
    <w:p w14:paraId="52AF4E52">
      <w:pPr>
        <w:spacing w:before="0" w:after="0"/>
        <w:ind w:firstLine="560"/>
        <w:jc w:val="left"/>
        <w:outlineLvl w:val="9"/>
      </w:pPr>
      <w:r>
        <w:rPr>
          <w:rFonts w:ascii="方正仿宋_GBK" w:hAnsi="方正仿宋_GBK" w:eastAsia="方正仿宋_GBK" w:cs="方正仿宋_GBK"/>
          <w:b/>
          <w:color w:val="000000"/>
          <w:sz w:val="28"/>
        </w:rPr>
        <w:t>51、冀财教[2024]141号/省级/2025年义教补助经费/隆尧县文茂中学公用经费绩效目标表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73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0E641">
            <w:pPr>
              <w:pStyle w:val="14"/>
            </w:pPr>
            <w:r>
              <w:t>单位：万元</w:t>
            </w:r>
          </w:p>
        </w:tc>
      </w:tr>
      <w:tr w14:paraId="2E665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8BF3C">
            <w:pPr>
              <w:pStyle w:val="11"/>
            </w:pPr>
            <w:r>
              <w:t>项目编码</w:t>
            </w:r>
          </w:p>
        </w:tc>
        <w:tc>
          <w:tcPr>
            <w:tcW w:w="5103" w:type="dxa"/>
            <w:gridSpan w:val="2"/>
            <w:vAlign w:val="center"/>
          </w:tcPr>
          <w:p w14:paraId="12A7A8C7">
            <w:pPr>
              <w:pStyle w:val="13"/>
            </w:pPr>
            <w:r>
              <w:t>13052525P00000410222H</w:t>
            </w:r>
          </w:p>
        </w:tc>
        <w:tc>
          <w:tcPr>
            <w:tcW w:w="2835" w:type="dxa"/>
            <w:vAlign w:val="center"/>
          </w:tcPr>
          <w:p w14:paraId="61F48BB1">
            <w:pPr>
              <w:pStyle w:val="11"/>
            </w:pPr>
            <w:r>
              <w:t>项目名称</w:t>
            </w:r>
          </w:p>
        </w:tc>
        <w:tc>
          <w:tcPr>
            <w:tcW w:w="6095" w:type="dxa"/>
            <w:gridSpan w:val="3"/>
            <w:vAlign w:val="center"/>
          </w:tcPr>
          <w:p w14:paraId="289D6EF9">
            <w:pPr>
              <w:pStyle w:val="13"/>
            </w:pPr>
            <w:r>
              <w:t>冀财教[2024]141号/省级/2025年义教补助经费/隆尧县文茂中学公用经费</w:t>
            </w:r>
          </w:p>
        </w:tc>
      </w:tr>
      <w:tr w14:paraId="749C08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AD173">
            <w:pPr>
              <w:pStyle w:val="11"/>
            </w:pPr>
            <w:r>
              <w:t>预算规模及资金用途</w:t>
            </w:r>
          </w:p>
        </w:tc>
        <w:tc>
          <w:tcPr>
            <w:tcW w:w="2268" w:type="dxa"/>
            <w:vAlign w:val="center"/>
          </w:tcPr>
          <w:p w14:paraId="6C7A5EE2">
            <w:pPr>
              <w:pStyle w:val="11"/>
            </w:pPr>
            <w:r>
              <w:t>预算数</w:t>
            </w:r>
          </w:p>
        </w:tc>
        <w:tc>
          <w:tcPr>
            <w:tcW w:w="2835" w:type="dxa"/>
            <w:vAlign w:val="center"/>
          </w:tcPr>
          <w:p w14:paraId="6F23EE24">
            <w:pPr>
              <w:pStyle w:val="13"/>
            </w:pPr>
            <w:r>
              <w:t>65.78</w:t>
            </w:r>
          </w:p>
        </w:tc>
        <w:tc>
          <w:tcPr>
            <w:tcW w:w="2835" w:type="dxa"/>
            <w:vAlign w:val="center"/>
          </w:tcPr>
          <w:p w14:paraId="13EBC123">
            <w:pPr>
              <w:pStyle w:val="11"/>
            </w:pPr>
            <w:r>
              <w:t>其中：财政    资金</w:t>
            </w:r>
          </w:p>
        </w:tc>
        <w:tc>
          <w:tcPr>
            <w:tcW w:w="2551" w:type="dxa"/>
            <w:vAlign w:val="center"/>
          </w:tcPr>
          <w:p w14:paraId="21E7B3E7">
            <w:pPr>
              <w:pStyle w:val="13"/>
            </w:pPr>
            <w:r>
              <w:t>65.78</w:t>
            </w:r>
          </w:p>
        </w:tc>
        <w:tc>
          <w:tcPr>
            <w:tcW w:w="2268" w:type="dxa"/>
            <w:vAlign w:val="center"/>
          </w:tcPr>
          <w:p w14:paraId="64D705F1">
            <w:pPr>
              <w:pStyle w:val="11"/>
            </w:pPr>
            <w:r>
              <w:t>其他资金</w:t>
            </w:r>
          </w:p>
        </w:tc>
        <w:tc>
          <w:tcPr>
            <w:tcW w:w="1276" w:type="dxa"/>
            <w:vAlign w:val="center"/>
          </w:tcPr>
          <w:p w14:paraId="2FABFCE2">
            <w:pPr>
              <w:pStyle w:val="13"/>
            </w:pPr>
            <w:r>
              <w:t xml:space="preserve"> </w:t>
            </w:r>
          </w:p>
        </w:tc>
      </w:tr>
      <w:tr w14:paraId="4E20A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8D6B8"/>
        </w:tc>
        <w:tc>
          <w:tcPr>
            <w:tcW w:w="14033" w:type="dxa"/>
            <w:gridSpan w:val="6"/>
            <w:vAlign w:val="center"/>
          </w:tcPr>
          <w:p w14:paraId="1F133028">
            <w:pPr>
              <w:pStyle w:val="13"/>
            </w:pPr>
            <w:r>
              <w:t>保障义务教育学校正常运转，完成教育教学活动和其他日常工作任务等方面的费用支出。</w:t>
            </w:r>
            <w:r>
              <w:tab/>
            </w:r>
            <w:r>
              <w:tab/>
            </w:r>
            <w:r>
              <w:tab/>
            </w:r>
            <w:r>
              <w:tab/>
            </w:r>
            <w:r>
              <w:tab/>
            </w:r>
            <w:r>
              <w:tab/>
            </w:r>
          </w:p>
          <w:p w14:paraId="42A0076D">
            <w:pPr>
              <w:pStyle w:val="13"/>
            </w:pPr>
          </w:p>
        </w:tc>
      </w:tr>
      <w:tr w14:paraId="51578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30CC0">
            <w:pPr>
              <w:pStyle w:val="11"/>
            </w:pPr>
            <w:r>
              <w:t>资金支出计划（%）</w:t>
            </w:r>
          </w:p>
        </w:tc>
        <w:tc>
          <w:tcPr>
            <w:tcW w:w="5103" w:type="dxa"/>
            <w:gridSpan w:val="2"/>
            <w:vAlign w:val="center"/>
          </w:tcPr>
          <w:p w14:paraId="19AA56F6">
            <w:pPr>
              <w:pStyle w:val="11"/>
            </w:pPr>
            <w:r>
              <w:t>3月底</w:t>
            </w:r>
          </w:p>
        </w:tc>
        <w:tc>
          <w:tcPr>
            <w:tcW w:w="2835" w:type="dxa"/>
            <w:vAlign w:val="center"/>
          </w:tcPr>
          <w:p w14:paraId="48A33EFE">
            <w:pPr>
              <w:pStyle w:val="11"/>
            </w:pPr>
            <w:r>
              <w:t>6月底</w:t>
            </w:r>
          </w:p>
        </w:tc>
        <w:tc>
          <w:tcPr>
            <w:tcW w:w="2551" w:type="dxa"/>
            <w:vAlign w:val="center"/>
          </w:tcPr>
          <w:p w14:paraId="3660C78F">
            <w:pPr>
              <w:pStyle w:val="11"/>
            </w:pPr>
            <w:r>
              <w:t>10月底</w:t>
            </w:r>
          </w:p>
        </w:tc>
        <w:tc>
          <w:tcPr>
            <w:tcW w:w="3544" w:type="dxa"/>
            <w:gridSpan w:val="2"/>
            <w:vAlign w:val="center"/>
          </w:tcPr>
          <w:p w14:paraId="449775C5">
            <w:pPr>
              <w:pStyle w:val="11"/>
            </w:pPr>
            <w:r>
              <w:t>12月底</w:t>
            </w:r>
          </w:p>
        </w:tc>
      </w:tr>
      <w:tr w14:paraId="2A2029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3DCB5"/>
        </w:tc>
        <w:tc>
          <w:tcPr>
            <w:tcW w:w="5103" w:type="dxa"/>
            <w:gridSpan w:val="2"/>
            <w:vAlign w:val="center"/>
          </w:tcPr>
          <w:p w14:paraId="4375770A">
            <w:pPr>
              <w:pStyle w:val="12"/>
            </w:pPr>
            <w:r>
              <w:t xml:space="preserve"> </w:t>
            </w:r>
          </w:p>
        </w:tc>
        <w:tc>
          <w:tcPr>
            <w:tcW w:w="2835" w:type="dxa"/>
            <w:vAlign w:val="center"/>
          </w:tcPr>
          <w:p w14:paraId="11D08CA7">
            <w:pPr>
              <w:pStyle w:val="12"/>
            </w:pPr>
            <w:r>
              <w:t>50%</w:t>
            </w:r>
          </w:p>
        </w:tc>
        <w:tc>
          <w:tcPr>
            <w:tcW w:w="2551" w:type="dxa"/>
            <w:vAlign w:val="center"/>
          </w:tcPr>
          <w:p w14:paraId="50B9A8C4">
            <w:pPr>
              <w:pStyle w:val="12"/>
            </w:pPr>
            <w:r>
              <w:t>75%</w:t>
            </w:r>
          </w:p>
        </w:tc>
        <w:tc>
          <w:tcPr>
            <w:tcW w:w="3544" w:type="dxa"/>
            <w:gridSpan w:val="2"/>
            <w:vAlign w:val="center"/>
          </w:tcPr>
          <w:p w14:paraId="7E3422FF">
            <w:pPr>
              <w:pStyle w:val="12"/>
            </w:pPr>
            <w:r>
              <w:t>100%</w:t>
            </w:r>
          </w:p>
        </w:tc>
      </w:tr>
      <w:tr w14:paraId="78817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8D6ACF">
            <w:pPr>
              <w:pStyle w:val="11"/>
            </w:pPr>
            <w:r>
              <w:t>绩效目标</w:t>
            </w:r>
          </w:p>
        </w:tc>
        <w:tc>
          <w:tcPr>
            <w:tcW w:w="14033" w:type="dxa"/>
            <w:gridSpan w:val="6"/>
            <w:vAlign w:val="center"/>
          </w:tcPr>
          <w:p w14:paraId="37F5E8F6">
            <w:pPr>
              <w:pStyle w:val="13"/>
            </w:pPr>
            <w:r>
              <w:t>1.保障义务教育学校正常运转，完成教育教学活动和其他日常工作任务等方面的费用支出。</w:t>
            </w:r>
          </w:p>
        </w:tc>
      </w:tr>
    </w:tbl>
    <w:p w14:paraId="2E02D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7E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DF54D">
            <w:pPr>
              <w:pStyle w:val="11"/>
            </w:pPr>
            <w:r>
              <w:t>一级指标</w:t>
            </w:r>
          </w:p>
        </w:tc>
        <w:tc>
          <w:tcPr>
            <w:tcW w:w="2268" w:type="dxa"/>
            <w:vAlign w:val="center"/>
          </w:tcPr>
          <w:p w14:paraId="63443510">
            <w:pPr>
              <w:pStyle w:val="11"/>
            </w:pPr>
            <w:r>
              <w:t>二级指标</w:t>
            </w:r>
          </w:p>
        </w:tc>
        <w:tc>
          <w:tcPr>
            <w:tcW w:w="2835" w:type="dxa"/>
            <w:vAlign w:val="center"/>
          </w:tcPr>
          <w:p w14:paraId="1800FEB7">
            <w:pPr>
              <w:pStyle w:val="11"/>
            </w:pPr>
            <w:r>
              <w:t>三级指标</w:t>
            </w:r>
          </w:p>
        </w:tc>
        <w:tc>
          <w:tcPr>
            <w:tcW w:w="5386" w:type="dxa"/>
            <w:vAlign w:val="center"/>
          </w:tcPr>
          <w:p w14:paraId="558C0423">
            <w:pPr>
              <w:pStyle w:val="11"/>
            </w:pPr>
            <w:r>
              <w:t>绩效指标描述</w:t>
            </w:r>
          </w:p>
        </w:tc>
        <w:tc>
          <w:tcPr>
            <w:tcW w:w="2268" w:type="dxa"/>
            <w:vAlign w:val="center"/>
          </w:tcPr>
          <w:p w14:paraId="4514ABDF">
            <w:pPr>
              <w:pStyle w:val="11"/>
            </w:pPr>
            <w:r>
              <w:t>指标值</w:t>
            </w:r>
          </w:p>
        </w:tc>
        <w:tc>
          <w:tcPr>
            <w:tcW w:w="1276" w:type="dxa"/>
            <w:vAlign w:val="center"/>
          </w:tcPr>
          <w:p w14:paraId="6BCA0E76">
            <w:pPr>
              <w:pStyle w:val="11"/>
            </w:pPr>
            <w:r>
              <w:t>指标值确定依据</w:t>
            </w:r>
          </w:p>
        </w:tc>
      </w:tr>
      <w:tr w14:paraId="3B932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AE98C">
            <w:pPr>
              <w:pStyle w:val="12"/>
            </w:pPr>
            <w:r>
              <w:t>产出指标</w:t>
            </w:r>
          </w:p>
        </w:tc>
        <w:tc>
          <w:tcPr>
            <w:tcW w:w="2268" w:type="dxa"/>
            <w:vAlign w:val="center"/>
          </w:tcPr>
          <w:p w14:paraId="4DA698CF">
            <w:pPr>
              <w:pStyle w:val="13"/>
            </w:pPr>
            <w:r>
              <w:t>数量指标</w:t>
            </w:r>
          </w:p>
        </w:tc>
        <w:tc>
          <w:tcPr>
            <w:tcW w:w="2835" w:type="dxa"/>
            <w:vAlign w:val="center"/>
          </w:tcPr>
          <w:p w14:paraId="5FFA6186">
            <w:pPr>
              <w:pStyle w:val="13"/>
            </w:pPr>
            <w:r>
              <w:t>适龄在校生</w:t>
            </w:r>
          </w:p>
        </w:tc>
        <w:tc>
          <w:tcPr>
            <w:tcW w:w="5386" w:type="dxa"/>
            <w:vAlign w:val="center"/>
          </w:tcPr>
          <w:p w14:paraId="26457BDB">
            <w:pPr>
              <w:pStyle w:val="13"/>
            </w:pPr>
            <w:r>
              <w:t>适龄在校就读学生人数</w:t>
            </w:r>
          </w:p>
        </w:tc>
        <w:tc>
          <w:tcPr>
            <w:tcW w:w="2268" w:type="dxa"/>
            <w:vAlign w:val="center"/>
          </w:tcPr>
          <w:p w14:paraId="6DB9E9DB">
            <w:pPr>
              <w:pStyle w:val="13"/>
            </w:pPr>
            <w:r>
              <w:t>1893人</w:t>
            </w:r>
          </w:p>
        </w:tc>
        <w:tc>
          <w:tcPr>
            <w:tcW w:w="1276" w:type="dxa"/>
            <w:vAlign w:val="center"/>
          </w:tcPr>
          <w:p w14:paraId="10EA9ACD">
            <w:pPr>
              <w:pStyle w:val="13"/>
            </w:pPr>
            <w:r>
              <w:t>城乡义务教育公用经费管理办法</w:t>
            </w:r>
          </w:p>
        </w:tc>
      </w:tr>
      <w:tr w14:paraId="311A5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632BF"/>
        </w:tc>
        <w:tc>
          <w:tcPr>
            <w:tcW w:w="2268" w:type="dxa"/>
            <w:vAlign w:val="center"/>
          </w:tcPr>
          <w:p w14:paraId="22B28926">
            <w:pPr>
              <w:pStyle w:val="13"/>
            </w:pPr>
            <w:r>
              <w:t>质量指标</w:t>
            </w:r>
          </w:p>
        </w:tc>
        <w:tc>
          <w:tcPr>
            <w:tcW w:w="2835" w:type="dxa"/>
            <w:vAlign w:val="center"/>
          </w:tcPr>
          <w:p w14:paraId="04D2913F">
            <w:pPr>
              <w:pStyle w:val="13"/>
            </w:pPr>
            <w:r>
              <w:t>预算控制率</w:t>
            </w:r>
          </w:p>
        </w:tc>
        <w:tc>
          <w:tcPr>
            <w:tcW w:w="5386" w:type="dxa"/>
            <w:vAlign w:val="center"/>
          </w:tcPr>
          <w:p w14:paraId="6D7D6585">
            <w:pPr>
              <w:pStyle w:val="13"/>
            </w:pPr>
            <w:r>
              <w:t>预算执行</w:t>
            </w:r>
          </w:p>
        </w:tc>
        <w:tc>
          <w:tcPr>
            <w:tcW w:w="2268" w:type="dxa"/>
            <w:vAlign w:val="center"/>
          </w:tcPr>
          <w:p w14:paraId="0767EE4E">
            <w:pPr>
              <w:pStyle w:val="13"/>
            </w:pPr>
            <w:r>
              <w:t>≥95%</w:t>
            </w:r>
          </w:p>
        </w:tc>
        <w:tc>
          <w:tcPr>
            <w:tcW w:w="1276" w:type="dxa"/>
            <w:vAlign w:val="center"/>
          </w:tcPr>
          <w:p w14:paraId="7E38B428">
            <w:pPr>
              <w:pStyle w:val="13"/>
            </w:pPr>
            <w:r>
              <w:t>城乡义务教育公用经费管理办法</w:t>
            </w:r>
          </w:p>
        </w:tc>
      </w:tr>
      <w:tr w14:paraId="11DA6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BD9CB"/>
        </w:tc>
        <w:tc>
          <w:tcPr>
            <w:tcW w:w="2268" w:type="dxa"/>
            <w:vAlign w:val="center"/>
          </w:tcPr>
          <w:p w14:paraId="149BE4F5">
            <w:pPr>
              <w:pStyle w:val="13"/>
            </w:pPr>
            <w:r>
              <w:t>时效指标</w:t>
            </w:r>
          </w:p>
        </w:tc>
        <w:tc>
          <w:tcPr>
            <w:tcW w:w="2835" w:type="dxa"/>
            <w:vAlign w:val="center"/>
          </w:tcPr>
          <w:p w14:paraId="3C8109DC">
            <w:pPr>
              <w:pStyle w:val="13"/>
            </w:pPr>
            <w:r>
              <w:t>资金支付率</w:t>
            </w:r>
          </w:p>
        </w:tc>
        <w:tc>
          <w:tcPr>
            <w:tcW w:w="5386" w:type="dxa"/>
            <w:vAlign w:val="center"/>
          </w:tcPr>
          <w:p w14:paraId="2253B745">
            <w:pPr>
              <w:pStyle w:val="13"/>
            </w:pPr>
            <w:r>
              <w:t>按照序时进度完成资金支付</w:t>
            </w:r>
          </w:p>
        </w:tc>
        <w:tc>
          <w:tcPr>
            <w:tcW w:w="2268" w:type="dxa"/>
            <w:vAlign w:val="center"/>
          </w:tcPr>
          <w:p w14:paraId="4EF83A35">
            <w:pPr>
              <w:pStyle w:val="13"/>
            </w:pPr>
            <w:r>
              <w:t>≥100%</w:t>
            </w:r>
          </w:p>
        </w:tc>
        <w:tc>
          <w:tcPr>
            <w:tcW w:w="1276" w:type="dxa"/>
            <w:vAlign w:val="center"/>
          </w:tcPr>
          <w:p w14:paraId="26F8910A">
            <w:pPr>
              <w:pStyle w:val="13"/>
            </w:pPr>
            <w:r>
              <w:t>城乡义务教育公用经费管理办法</w:t>
            </w:r>
          </w:p>
        </w:tc>
      </w:tr>
      <w:tr w14:paraId="4E18B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FA68C"/>
        </w:tc>
        <w:tc>
          <w:tcPr>
            <w:tcW w:w="2268" w:type="dxa"/>
            <w:vAlign w:val="center"/>
          </w:tcPr>
          <w:p w14:paraId="4CDD4802">
            <w:pPr>
              <w:pStyle w:val="13"/>
            </w:pPr>
            <w:r>
              <w:t>成本指标</w:t>
            </w:r>
          </w:p>
        </w:tc>
        <w:tc>
          <w:tcPr>
            <w:tcW w:w="2835" w:type="dxa"/>
            <w:vAlign w:val="center"/>
          </w:tcPr>
          <w:p w14:paraId="28414CCA">
            <w:pPr>
              <w:pStyle w:val="13"/>
            </w:pPr>
            <w:r>
              <w:t>生均拨款标准</w:t>
            </w:r>
          </w:p>
        </w:tc>
        <w:tc>
          <w:tcPr>
            <w:tcW w:w="5386" w:type="dxa"/>
            <w:vAlign w:val="center"/>
          </w:tcPr>
          <w:p w14:paraId="7DD30AE1">
            <w:pPr>
              <w:pStyle w:val="13"/>
            </w:pPr>
            <w:r>
              <w:t>初中：（基本标准940元、寄宿生300元、取暖120元）/生/学年；随班就读学生：标准7000元/生/学年。</w:t>
            </w:r>
          </w:p>
        </w:tc>
        <w:tc>
          <w:tcPr>
            <w:tcW w:w="2268" w:type="dxa"/>
            <w:vAlign w:val="center"/>
          </w:tcPr>
          <w:p w14:paraId="78541615">
            <w:pPr>
              <w:pStyle w:val="13"/>
            </w:pPr>
            <w:r>
              <w:t>1360元</w:t>
            </w:r>
          </w:p>
        </w:tc>
        <w:tc>
          <w:tcPr>
            <w:tcW w:w="1276" w:type="dxa"/>
            <w:vAlign w:val="center"/>
          </w:tcPr>
          <w:p w14:paraId="4EF62A08">
            <w:pPr>
              <w:pStyle w:val="13"/>
            </w:pPr>
            <w:r>
              <w:t>城乡义务教育公用经费管理办法</w:t>
            </w:r>
          </w:p>
        </w:tc>
      </w:tr>
      <w:tr w14:paraId="10731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107258">
            <w:pPr>
              <w:pStyle w:val="12"/>
            </w:pPr>
            <w:r>
              <w:t>效益指标</w:t>
            </w:r>
          </w:p>
        </w:tc>
        <w:tc>
          <w:tcPr>
            <w:tcW w:w="2268" w:type="dxa"/>
            <w:vAlign w:val="center"/>
          </w:tcPr>
          <w:p w14:paraId="2E7ACD6D">
            <w:pPr>
              <w:pStyle w:val="13"/>
            </w:pPr>
            <w:r>
              <w:t>可持续影响指标</w:t>
            </w:r>
          </w:p>
        </w:tc>
        <w:tc>
          <w:tcPr>
            <w:tcW w:w="2835" w:type="dxa"/>
            <w:vAlign w:val="center"/>
          </w:tcPr>
          <w:p w14:paraId="09646DA2">
            <w:pPr>
              <w:pStyle w:val="13"/>
            </w:pPr>
            <w:r>
              <w:t>教育发展水平明显好转</w:t>
            </w:r>
          </w:p>
        </w:tc>
        <w:tc>
          <w:tcPr>
            <w:tcW w:w="5386" w:type="dxa"/>
            <w:vAlign w:val="center"/>
          </w:tcPr>
          <w:p w14:paraId="4B6DE2E1">
            <w:pPr>
              <w:pStyle w:val="13"/>
            </w:pPr>
            <w:r>
              <w:t>学生受教育年限</w:t>
            </w:r>
          </w:p>
        </w:tc>
        <w:tc>
          <w:tcPr>
            <w:tcW w:w="2268" w:type="dxa"/>
            <w:vAlign w:val="center"/>
          </w:tcPr>
          <w:p w14:paraId="7A9D7DAE">
            <w:pPr>
              <w:pStyle w:val="13"/>
            </w:pPr>
            <w:r>
              <w:t>6年</w:t>
            </w:r>
          </w:p>
        </w:tc>
        <w:tc>
          <w:tcPr>
            <w:tcW w:w="1276" w:type="dxa"/>
            <w:vAlign w:val="center"/>
          </w:tcPr>
          <w:p w14:paraId="10576A11">
            <w:pPr>
              <w:pStyle w:val="13"/>
            </w:pPr>
            <w:r>
              <w:t>城乡义务教育公用经费管理办法</w:t>
            </w:r>
          </w:p>
        </w:tc>
      </w:tr>
      <w:tr w14:paraId="33606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1EA99E">
            <w:pPr>
              <w:pStyle w:val="12"/>
            </w:pPr>
            <w:r>
              <w:t>满意度指标</w:t>
            </w:r>
          </w:p>
        </w:tc>
        <w:tc>
          <w:tcPr>
            <w:tcW w:w="2268" w:type="dxa"/>
            <w:vAlign w:val="center"/>
          </w:tcPr>
          <w:p w14:paraId="4FD7B2D4">
            <w:pPr>
              <w:pStyle w:val="13"/>
            </w:pPr>
            <w:r>
              <w:t>服务对象满意度指标</w:t>
            </w:r>
          </w:p>
        </w:tc>
        <w:tc>
          <w:tcPr>
            <w:tcW w:w="2835" w:type="dxa"/>
            <w:vAlign w:val="center"/>
          </w:tcPr>
          <w:p w14:paraId="4E458B0A">
            <w:pPr>
              <w:pStyle w:val="13"/>
            </w:pPr>
            <w:r>
              <w:t>受益学生家长及调查满意度</w:t>
            </w:r>
          </w:p>
        </w:tc>
        <w:tc>
          <w:tcPr>
            <w:tcW w:w="5386" w:type="dxa"/>
            <w:vAlign w:val="center"/>
          </w:tcPr>
          <w:p w14:paraId="7383BEAD">
            <w:pPr>
              <w:pStyle w:val="13"/>
            </w:pPr>
            <w:r>
              <w:t>学生、教师及家长对学校教育教学工作满意度情况</w:t>
            </w:r>
          </w:p>
        </w:tc>
        <w:tc>
          <w:tcPr>
            <w:tcW w:w="2268" w:type="dxa"/>
            <w:vAlign w:val="center"/>
          </w:tcPr>
          <w:p w14:paraId="60E02978">
            <w:pPr>
              <w:pStyle w:val="13"/>
            </w:pPr>
            <w:r>
              <w:t>≥95%</w:t>
            </w:r>
          </w:p>
        </w:tc>
        <w:tc>
          <w:tcPr>
            <w:tcW w:w="1276" w:type="dxa"/>
            <w:vAlign w:val="center"/>
          </w:tcPr>
          <w:p w14:paraId="35AC6DAE">
            <w:pPr>
              <w:pStyle w:val="13"/>
            </w:pPr>
            <w:r>
              <w:t>调查问卷</w:t>
            </w:r>
          </w:p>
        </w:tc>
      </w:tr>
    </w:tbl>
    <w:p w14:paraId="5A1263B8">
      <w:pPr>
        <w:sectPr>
          <w:pgSz w:w="16840" w:h="11900" w:orient="landscape"/>
          <w:pgMar w:top="1361" w:right="1020" w:bottom="1134" w:left="1020" w:header="720" w:footer="720" w:gutter="0"/>
          <w:cols w:space="720" w:num="1"/>
        </w:sectPr>
      </w:pPr>
    </w:p>
    <w:p w14:paraId="5628D4F4">
      <w:pPr>
        <w:spacing w:before="0" w:after="0"/>
        <w:ind w:firstLine="560"/>
        <w:jc w:val="left"/>
        <w:outlineLvl w:val="9"/>
      </w:pPr>
      <w:r>
        <w:rPr>
          <w:rFonts w:ascii="方正仿宋_GBK" w:hAnsi="方正仿宋_GBK" w:eastAsia="方正仿宋_GBK" w:cs="方正仿宋_GBK"/>
          <w:b/>
          <w:color w:val="000000"/>
          <w:sz w:val="28"/>
        </w:rPr>
        <w:t>52、冀财教[2024]141号/省级/2025年义教补助经费/营养改善计划</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3F9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C9E81">
            <w:pPr>
              <w:pStyle w:val="14"/>
            </w:pPr>
            <w:r>
              <w:t>单位：万元</w:t>
            </w:r>
          </w:p>
        </w:tc>
      </w:tr>
      <w:tr w14:paraId="71B2E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86258">
            <w:pPr>
              <w:pStyle w:val="11"/>
            </w:pPr>
            <w:r>
              <w:t>项目编码</w:t>
            </w:r>
          </w:p>
        </w:tc>
        <w:tc>
          <w:tcPr>
            <w:tcW w:w="5103" w:type="dxa"/>
            <w:gridSpan w:val="2"/>
            <w:vAlign w:val="center"/>
          </w:tcPr>
          <w:p w14:paraId="5B405305">
            <w:pPr>
              <w:pStyle w:val="13"/>
            </w:pPr>
            <w:r>
              <w:t>13052525P00001610087T</w:t>
            </w:r>
          </w:p>
        </w:tc>
        <w:tc>
          <w:tcPr>
            <w:tcW w:w="2835" w:type="dxa"/>
            <w:vAlign w:val="center"/>
          </w:tcPr>
          <w:p w14:paraId="51468A01">
            <w:pPr>
              <w:pStyle w:val="11"/>
            </w:pPr>
            <w:r>
              <w:t>项目名称</w:t>
            </w:r>
          </w:p>
        </w:tc>
        <w:tc>
          <w:tcPr>
            <w:tcW w:w="6095" w:type="dxa"/>
            <w:gridSpan w:val="3"/>
            <w:vAlign w:val="center"/>
          </w:tcPr>
          <w:p w14:paraId="5BD0BC68">
            <w:pPr>
              <w:pStyle w:val="13"/>
            </w:pPr>
            <w:r>
              <w:t>冀财教[2024]141号/省级/2025年义教补助经费/营养改善计划</w:t>
            </w:r>
            <w:r>
              <w:tab/>
            </w:r>
            <w:r>
              <w:tab/>
            </w:r>
            <w:r>
              <w:tab/>
            </w:r>
          </w:p>
        </w:tc>
      </w:tr>
      <w:tr w14:paraId="49DDA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3C0DF">
            <w:pPr>
              <w:pStyle w:val="11"/>
            </w:pPr>
            <w:r>
              <w:t>预算规模及资金用途</w:t>
            </w:r>
          </w:p>
        </w:tc>
        <w:tc>
          <w:tcPr>
            <w:tcW w:w="2268" w:type="dxa"/>
            <w:vAlign w:val="center"/>
          </w:tcPr>
          <w:p w14:paraId="3FDCCF92">
            <w:pPr>
              <w:pStyle w:val="11"/>
            </w:pPr>
            <w:r>
              <w:t>预算数</w:t>
            </w:r>
          </w:p>
        </w:tc>
        <w:tc>
          <w:tcPr>
            <w:tcW w:w="2835" w:type="dxa"/>
            <w:vAlign w:val="center"/>
          </w:tcPr>
          <w:p w14:paraId="132CFDB5">
            <w:pPr>
              <w:pStyle w:val="13"/>
            </w:pPr>
            <w:r>
              <w:t>861.00</w:t>
            </w:r>
          </w:p>
        </w:tc>
        <w:tc>
          <w:tcPr>
            <w:tcW w:w="2835" w:type="dxa"/>
            <w:vAlign w:val="center"/>
          </w:tcPr>
          <w:p w14:paraId="5184B5C0">
            <w:pPr>
              <w:pStyle w:val="11"/>
            </w:pPr>
            <w:r>
              <w:t>其中：财政    资金</w:t>
            </w:r>
          </w:p>
        </w:tc>
        <w:tc>
          <w:tcPr>
            <w:tcW w:w="2551" w:type="dxa"/>
            <w:vAlign w:val="center"/>
          </w:tcPr>
          <w:p w14:paraId="1932AFCE">
            <w:pPr>
              <w:pStyle w:val="13"/>
            </w:pPr>
            <w:r>
              <w:t>861.00</w:t>
            </w:r>
          </w:p>
        </w:tc>
        <w:tc>
          <w:tcPr>
            <w:tcW w:w="2268" w:type="dxa"/>
            <w:vAlign w:val="center"/>
          </w:tcPr>
          <w:p w14:paraId="671A3721">
            <w:pPr>
              <w:pStyle w:val="11"/>
            </w:pPr>
            <w:r>
              <w:t>其他资金</w:t>
            </w:r>
          </w:p>
        </w:tc>
        <w:tc>
          <w:tcPr>
            <w:tcW w:w="1276" w:type="dxa"/>
            <w:vAlign w:val="center"/>
          </w:tcPr>
          <w:p w14:paraId="0A8E570D">
            <w:pPr>
              <w:pStyle w:val="13"/>
            </w:pPr>
            <w:r>
              <w:t xml:space="preserve"> </w:t>
            </w:r>
          </w:p>
        </w:tc>
      </w:tr>
      <w:tr w14:paraId="50D10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B4D1B"/>
        </w:tc>
        <w:tc>
          <w:tcPr>
            <w:tcW w:w="14033" w:type="dxa"/>
            <w:gridSpan w:val="6"/>
            <w:vAlign w:val="center"/>
          </w:tcPr>
          <w:p w14:paraId="412C94F9">
            <w:pPr>
              <w:pStyle w:val="13"/>
            </w:pPr>
            <w:r>
              <w:t>营养改善计划地方试点，第二批地方试点每生每天2.5元，全年供餐200天，500元</w:t>
            </w:r>
            <w:r>
              <w:tab/>
            </w:r>
            <w:r>
              <w:tab/>
            </w:r>
            <w:r>
              <w:tab/>
            </w:r>
            <w:r>
              <w:tab/>
            </w:r>
            <w:r>
              <w:tab/>
            </w:r>
            <w:r>
              <w:tab/>
            </w:r>
          </w:p>
          <w:p w14:paraId="1954138C">
            <w:pPr>
              <w:pStyle w:val="13"/>
            </w:pPr>
          </w:p>
        </w:tc>
      </w:tr>
      <w:tr w14:paraId="30128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D37DD">
            <w:pPr>
              <w:pStyle w:val="11"/>
            </w:pPr>
            <w:r>
              <w:t>资金支出计划（%）</w:t>
            </w:r>
          </w:p>
        </w:tc>
        <w:tc>
          <w:tcPr>
            <w:tcW w:w="5103" w:type="dxa"/>
            <w:gridSpan w:val="2"/>
            <w:vAlign w:val="center"/>
          </w:tcPr>
          <w:p w14:paraId="2594E72A">
            <w:pPr>
              <w:pStyle w:val="11"/>
            </w:pPr>
            <w:r>
              <w:t>3月底</w:t>
            </w:r>
          </w:p>
        </w:tc>
        <w:tc>
          <w:tcPr>
            <w:tcW w:w="2835" w:type="dxa"/>
            <w:vAlign w:val="center"/>
          </w:tcPr>
          <w:p w14:paraId="7C10EA29">
            <w:pPr>
              <w:pStyle w:val="11"/>
            </w:pPr>
            <w:r>
              <w:t>6月底</w:t>
            </w:r>
          </w:p>
        </w:tc>
        <w:tc>
          <w:tcPr>
            <w:tcW w:w="2551" w:type="dxa"/>
            <w:vAlign w:val="center"/>
          </w:tcPr>
          <w:p w14:paraId="44055085">
            <w:pPr>
              <w:pStyle w:val="11"/>
            </w:pPr>
            <w:r>
              <w:t>10月底</w:t>
            </w:r>
          </w:p>
        </w:tc>
        <w:tc>
          <w:tcPr>
            <w:tcW w:w="3544" w:type="dxa"/>
            <w:gridSpan w:val="2"/>
            <w:vAlign w:val="center"/>
          </w:tcPr>
          <w:p w14:paraId="02D32E8B">
            <w:pPr>
              <w:pStyle w:val="11"/>
            </w:pPr>
            <w:r>
              <w:t>12月底</w:t>
            </w:r>
          </w:p>
        </w:tc>
      </w:tr>
      <w:tr w14:paraId="1E99E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058BC"/>
        </w:tc>
        <w:tc>
          <w:tcPr>
            <w:tcW w:w="5103" w:type="dxa"/>
            <w:gridSpan w:val="2"/>
            <w:vAlign w:val="center"/>
          </w:tcPr>
          <w:p w14:paraId="7899D4DD">
            <w:pPr>
              <w:pStyle w:val="12"/>
            </w:pPr>
            <w:r>
              <w:t>25%</w:t>
            </w:r>
          </w:p>
        </w:tc>
        <w:tc>
          <w:tcPr>
            <w:tcW w:w="2835" w:type="dxa"/>
            <w:vAlign w:val="center"/>
          </w:tcPr>
          <w:p w14:paraId="629C06F3">
            <w:pPr>
              <w:pStyle w:val="12"/>
            </w:pPr>
            <w:r>
              <w:t>50%</w:t>
            </w:r>
          </w:p>
        </w:tc>
        <w:tc>
          <w:tcPr>
            <w:tcW w:w="2551" w:type="dxa"/>
            <w:vAlign w:val="center"/>
          </w:tcPr>
          <w:p w14:paraId="77D49AEC">
            <w:pPr>
              <w:pStyle w:val="12"/>
            </w:pPr>
            <w:r>
              <w:t>75%</w:t>
            </w:r>
          </w:p>
        </w:tc>
        <w:tc>
          <w:tcPr>
            <w:tcW w:w="3544" w:type="dxa"/>
            <w:gridSpan w:val="2"/>
            <w:vAlign w:val="center"/>
          </w:tcPr>
          <w:p w14:paraId="787B1B0B">
            <w:pPr>
              <w:pStyle w:val="12"/>
            </w:pPr>
            <w:r>
              <w:t>100%</w:t>
            </w:r>
          </w:p>
        </w:tc>
      </w:tr>
      <w:tr w14:paraId="4FC3D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7C95A">
            <w:pPr>
              <w:pStyle w:val="11"/>
            </w:pPr>
            <w:r>
              <w:t>绩效目标</w:t>
            </w:r>
          </w:p>
        </w:tc>
        <w:tc>
          <w:tcPr>
            <w:tcW w:w="14033" w:type="dxa"/>
            <w:gridSpan w:val="6"/>
            <w:vAlign w:val="center"/>
          </w:tcPr>
          <w:p w14:paraId="5559FD08">
            <w:pPr>
              <w:pStyle w:val="13"/>
            </w:pPr>
            <w:r>
              <w:t>1.营养改善计划地方试点，第二批地方试点每生每天2.5元，全年供餐200天，500元</w:t>
            </w:r>
          </w:p>
        </w:tc>
      </w:tr>
    </w:tbl>
    <w:p w14:paraId="1186C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C3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B8233">
            <w:pPr>
              <w:pStyle w:val="11"/>
            </w:pPr>
            <w:r>
              <w:t>一级指标</w:t>
            </w:r>
          </w:p>
        </w:tc>
        <w:tc>
          <w:tcPr>
            <w:tcW w:w="2268" w:type="dxa"/>
            <w:vAlign w:val="center"/>
          </w:tcPr>
          <w:p w14:paraId="3E4517E0">
            <w:pPr>
              <w:pStyle w:val="11"/>
            </w:pPr>
            <w:r>
              <w:t>二级指标</w:t>
            </w:r>
          </w:p>
        </w:tc>
        <w:tc>
          <w:tcPr>
            <w:tcW w:w="2835" w:type="dxa"/>
            <w:vAlign w:val="center"/>
          </w:tcPr>
          <w:p w14:paraId="7D11D2AF">
            <w:pPr>
              <w:pStyle w:val="11"/>
            </w:pPr>
            <w:r>
              <w:t>三级指标</w:t>
            </w:r>
          </w:p>
        </w:tc>
        <w:tc>
          <w:tcPr>
            <w:tcW w:w="5386" w:type="dxa"/>
            <w:vAlign w:val="center"/>
          </w:tcPr>
          <w:p w14:paraId="4DC3B35E">
            <w:pPr>
              <w:pStyle w:val="11"/>
            </w:pPr>
            <w:r>
              <w:t>绩效指标描述</w:t>
            </w:r>
          </w:p>
        </w:tc>
        <w:tc>
          <w:tcPr>
            <w:tcW w:w="2268" w:type="dxa"/>
            <w:vAlign w:val="center"/>
          </w:tcPr>
          <w:p w14:paraId="418F64E4">
            <w:pPr>
              <w:pStyle w:val="11"/>
            </w:pPr>
            <w:r>
              <w:t>指标值</w:t>
            </w:r>
          </w:p>
        </w:tc>
        <w:tc>
          <w:tcPr>
            <w:tcW w:w="1276" w:type="dxa"/>
            <w:vAlign w:val="center"/>
          </w:tcPr>
          <w:p w14:paraId="2F31732B">
            <w:pPr>
              <w:pStyle w:val="11"/>
            </w:pPr>
            <w:r>
              <w:t>指标值确定依据</w:t>
            </w:r>
          </w:p>
        </w:tc>
      </w:tr>
      <w:tr w14:paraId="66C37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BBE0A">
            <w:pPr>
              <w:pStyle w:val="12"/>
            </w:pPr>
            <w:r>
              <w:t>产出指标</w:t>
            </w:r>
          </w:p>
        </w:tc>
        <w:tc>
          <w:tcPr>
            <w:tcW w:w="2268" w:type="dxa"/>
            <w:vAlign w:val="center"/>
          </w:tcPr>
          <w:p w14:paraId="1169301A">
            <w:pPr>
              <w:pStyle w:val="13"/>
            </w:pPr>
            <w:r>
              <w:t>数量指标</w:t>
            </w:r>
          </w:p>
        </w:tc>
        <w:tc>
          <w:tcPr>
            <w:tcW w:w="2835" w:type="dxa"/>
            <w:vAlign w:val="center"/>
          </w:tcPr>
          <w:p w14:paraId="0E121893">
            <w:pPr>
              <w:pStyle w:val="13"/>
            </w:pPr>
            <w:r>
              <w:t>营养改善计划省级试点补助学生数</w:t>
            </w:r>
          </w:p>
        </w:tc>
        <w:tc>
          <w:tcPr>
            <w:tcW w:w="5386" w:type="dxa"/>
            <w:vAlign w:val="center"/>
          </w:tcPr>
          <w:p w14:paraId="6846D83C">
            <w:pPr>
              <w:pStyle w:val="13"/>
            </w:pPr>
            <w:r>
              <w:t>农村义务教育学生营养改善计划省级试点补助覆盖除县城区外的义教阶段公办及民办小学</w:t>
            </w:r>
          </w:p>
        </w:tc>
        <w:tc>
          <w:tcPr>
            <w:tcW w:w="2268" w:type="dxa"/>
            <w:vAlign w:val="center"/>
          </w:tcPr>
          <w:p w14:paraId="44B45B90">
            <w:pPr>
              <w:pStyle w:val="13"/>
            </w:pPr>
            <w:r>
              <w:t>≥114所</w:t>
            </w:r>
          </w:p>
        </w:tc>
        <w:tc>
          <w:tcPr>
            <w:tcW w:w="1276" w:type="dxa"/>
            <w:vAlign w:val="center"/>
          </w:tcPr>
          <w:p w14:paraId="6BE8322D">
            <w:pPr>
              <w:pStyle w:val="13"/>
            </w:pPr>
            <w:r>
              <w:t>全省农村小学生中实施营养改善计划地方试点的实施方案</w:t>
            </w:r>
          </w:p>
          <w:p w14:paraId="0A9A52E0">
            <w:pPr>
              <w:pStyle w:val="13"/>
            </w:pPr>
          </w:p>
        </w:tc>
      </w:tr>
      <w:tr w14:paraId="294DF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D9FF9"/>
        </w:tc>
        <w:tc>
          <w:tcPr>
            <w:tcW w:w="2268" w:type="dxa"/>
            <w:vAlign w:val="center"/>
          </w:tcPr>
          <w:p w14:paraId="0069621B">
            <w:pPr>
              <w:pStyle w:val="13"/>
            </w:pPr>
            <w:r>
              <w:t>质量指标</w:t>
            </w:r>
          </w:p>
        </w:tc>
        <w:tc>
          <w:tcPr>
            <w:tcW w:w="2835" w:type="dxa"/>
            <w:vAlign w:val="center"/>
          </w:tcPr>
          <w:p w14:paraId="26A80106">
            <w:pPr>
              <w:pStyle w:val="13"/>
            </w:pPr>
            <w:r>
              <w:t>营养改善计划食品安全达标率</w:t>
            </w:r>
          </w:p>
        </w:tc>
        <w:tc>
          <w:tcPr>
            <w:tcW w:w="5386" w:type="dxa"/>
            <w:vAlign w:val="center"/>
          </w:tcPr>
          <w:p w14:paraId="4F811C15">
            <w:pPr>
              <w:pStyle w:val="13"/>
            </w:pPr>
            <w:r>
              <w:t>农村义务教育学生营养改善计划供餐质量达标率</w:t>
            </w:r>
          </w:p>
        </w:tc>
        <w:tc>
          <w:tcPr>
            <w:tcW w:w="2268" w:type="dxa"/>
            <w:vAlign w:val="center"/>
          </w:tcPr>
          <w:p w14:paraId="7F7CECDF">
            <w:pPr>
              <w:pStyle w:val="13"/>
            </w:pPr>
            <w:r>
              <w:t>≥100%</w:t>
            </w:r>
          </w:p>
        </w:tc>
        <w:tc>
          <w:tcPr>
            <w:tcW w:w="1276" w:type="dxa"/>
            <w:vAlign w:val="center"/>
          </w:tcPr>
          <w:p w14:paraId="22C14621">
            <w:pPr>
              <w:pStyle w:val="13"/>
            </w:pPr>
            <w:r>
              <w:t>全省农村小学生中实施营养改善计划地方试点的实施方案</w:t>
            </w:r>
          </w:p>
          <w:p w14:paraId="480A3050">
            <w:pPr>
              <w:pStyle w:val="13"/>
            </w:pPr>
          </w:p>
        </w:tc>
      </w:tr>
      <w:tr w14:paraId="297DC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8F3CE"/>
        </w:tc>
        <w:tc>
          <w:tcPr>
            <w:tcW w:w="2268" w:type="dxa"/>
            <w:vAlign w:val="center"/>
          </w:tcPr>
          <w:p w14:paraId="339CC72E">
            <w:pPr>
              <w:pStyle w:val="13"/>
            </w:pPr>
            <w:r>
              <w:t>时效指标</w:t>
            </w:r>
          </w:p>
        </w:tc>
        <w:tc>
          <w:tcPr>
            <w:tcW w:w="2835" w:type="dxa"/>
            <w:vAlign w:val="center"/>
          </w:tcPr>
          <w:p w14:paraId="7549C937">
            <w:pPr>
              <w:pStyle w:val="13"/>
            </w:pPr>
            <w:r>
              <w:t>资金拨付率</w:t>
            </w:r>
          </w:p>
        </w:tc>
        <w:tc>
          <w:tcPr>
            <w:tcW w:w="5386" w:type="dxa"/>
            <w:vAlign w:val="center"/>
          </w:tcPr>
          <w:p w14:paraId="0338289A">
            <w:pPr>
              <w:pStyle w:val="13"/>
            </w:pPr>
            <w:r>
              <w:t>按照供餐情况月底结算</w:t>
            </w:r>
          </w:p>
        </w:tc>
        <w:tc>
          <w:tcPr>
            <w:tcW w:w="2268" w:type="dxa"/>
            <w:vAlign w:val="center"/>
          </w:tcPr>
          <w:p w14:paraId="0F430FF4">
            <w:pPr>
              <w:pStyle w:val="13"/>
            </w:pPr>
            <w:r>
              <w:t>≥100%</w:t>
            </w:r>
          </w:p>
        </w:tc>
        <w:tc>
          <w:tcPr>
            <w:tcW w:w="1276" w:type="dxa"/>
            <w:vAlign w:val="center"/>
          </w:tcPr>
          <w:p w14:paraId="19CD70C0">
            <w:pPr>
              <w:pStyle w:val="13"/>
            </w:pPr>
            <w:r>
              <w:t>全省农村小学生中实施营养改善计划地方试点的实施方案</w:t>
            </w:r>
          </w:p>
          <w:p w14:paraId="333C2648">
            <w:pPr>
              <w:pStyle w:val="13"/>
            </w:pPr>
          </w:p>
        </w:tc>
      </w:tr>
      <w:tr w14:paraId="37373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56878"/>
        </w:tc>
        <w:tc>
          <w:tcPr>
            <w:tcW w:w="2268" w:type="dxa"/>
            <w:vAlign w:val="center"/>
          </w:tcPr>
          <w:p w14:paraId="1C9B5884">
            <w:pPr>
              <w:pStyle w:val="13"/>
            </w:pPr>
            <w:r>
              <w:t>成本指标</w:t>
            </w:r>
          </w:p>
        </w:tc>
        <w:tc>
          <w:tcPr>
            <w:tcW w:w="2835" w:type="dxa"/>
            <w:vAlign w:val="center"/>
          </w:tcPr>
          <w:p w14:paraId="7CA446AB">
            <w:pPr>
              <w:pStyle w:val="13"/>
            </w:pPr>
            <w:r>
              <w:t>营养膳食生均补助标准</w:t>
            </w:r>
          </w:p>
        </w:tc>
        <w:tc>
          <w:tcPr>
            <w:tcW w:w="5386" w:type="dxa"/>
            <w:vAlign w:val="center"/>
          </w:tcPr>
          <w:p w14:paraId="5C7AAC3A">
            <w:pPr>
              <w:pStyle w:val="13"/>
            </w:pPr>
            <w:r>
              <w:t>农村义务教育学生营养膳食生均补助标准</w:t>
            </w:r>
          </w:p>
        </w:tc>
        <w:tc>
          <w:tcPr>
            <w:tcW w:w="2268" w:type="dxa"/>
            <w:vAlign w:val="center"/>
          </w:tcPr>
          <w:p w14:paraId="73E16604">
            <w:pPr>
              <w:pStyle w:val="13"/>
            </w:pPr>
            <w:r>
              <w:t>2.5元/天</w:t>
            </w:r>
          </w:p>
        </w:tc>
        <w:tc>
          <w:tcPr>
            <w:tcW w:w="1276" w:type="dxa"/>
            <w:vAlign w:val="center"/>
          </w:tcPr>
          <w:p w14:paraId="15EABF01">
            <w:pPr>
              <w:pStyle w:val="13"/>
            </w:pPr>
            <w:r>
              <w:t>全省农村小学生中实施营养改善计划地方试点的实施方案</w:t>
            </w:r>
          </w:p>
          <w:p w14:paraId="3C577719">
            <w:pPr>
              <w:pStyle w:val="13"/>
            </w:pPr>
          </w:p>
        </w:tc>
      </w:tr>
      <w:tr w14:paraId="4B31B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E713EE">
            <w:pPr>
              <w:pStyle w:val="12"/>
            </w:pPr>
            <w:r>
              <w:t>效益指标</w:t>
            </w:r>
          </w:p>
        </w:tc>
        <w:tc>
          <w:tcPr>
            <w:tcW w:w="2268" w:type="dxa"/>
            <w:vAlign w:val="center"/>
          </w:tcPr>
          <w:p w14:paraId="54843BAE">
            <w:pPr>
              <w:pStyle w:val="13"/>
            </w:pPr>
            <w:r>
              <w:t>社会效益指标</w:t>
            </w:r>
          </w:p>
        </w:tc>
        <w:tc>
          <w:tcPr>
            <w:tcW w:w="2835" w:type="dxa"/>
            <w:vAlign w:val="center"/>
          </w:tcPr>
          <w:p w14:paraId="19F25DF3">
            <w:pPr>
              <w:pStyle w:val="13"/>
            </w:pPr>
            <w:r>
              <w:t>受益学生数</w:t>
            </w:r>
          </w:p>
        </w:tc>
        <w:tc>
          <w:tcPr>
            <w:tcW w:w="5386" w:type="dxa"/>
            <w:vAlign w:val="center"/>
          </w:tcPr>
          <w:p w14:paraId="2048086D">
            <w:pPr>
              <w:pStyle w:val="13"/>
            </w:pPr>
            <w:r>
              <w:t>项目实施学校受益学生数</w:t>
            </w:r>
          </w:p>
        </w:tc>
        <w:tc>
          <w:tcPr>
            <w:tcW w:w="2268" w:type="dxa"/>
            <w:vAlign w:val="center"/>
          </w:tcPr>
          <w:p w14:paraId="0667456D">
            <w:pPr>
              <w:pStyle w:val="13"/>
            </w:pPr>
            <w:r>
              <w:t>≥32000人</w:t>
            </w:r>
          </w:p>
        </w:tc>
        <w:tc>
          <w:tcPr>
            <w:tcW w:w="1276" w:type="dxa"/>
            <w:vAlign w:val="center"/>
          </w:tcPr>
          <w:p w14:paraId="75E79EDD">
            <w:pPr>
              <w:pStyle w:val="13"/>
            </w:pPr>
            <w:r>
              <w:t>全省农村小学生中实施营养改善计划地方试点的实施方案</w:t>
            </w:r>
          </w:p>
          <w:p w14:paraId="510C64A0">
            <w:pPr>
              <w:pStyle w:val="13"/>
            </w:pPr>
          </w:p>
        </w:tc>
      </w:tr>
      <w:tr w14:paraId="473C9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421777">
            <w:pPr>
              <w:pStyle w:val="12"/>
            </w:pPr>
            <w:r>
              <w:t>满意度指标</w:t>
            </w:r>
          </w:p>
        </w:tc>
        <w:tc>
          <w:tcPr>
            <w:tcW w:w="2268" w:type="dxa"/>
            <w:vAlign w:val="center"/>
          </w:tcPr>
          <w:p w14:paraId="022EF5AB">
            <w:pPr>
              <w:pStyle w:val="13"/>
            </w:pPr>
            <w:r>
              <w:t>服务对象满意度指标</w:t>
            </w:r>
          </w:p>
        </w:tc>
        <w:tc>
          <w:tcPr>
            <w:tcW w:w="2835" w:type="dxa"/>
            <w:vAlign w:val="center"/>
          </w:tcPr>
          <w:p w14:paraId="2C7489EF">
            <w:pPr>
              <w:pStyle w:val="13"/>
            </w:pPr>
            <w:r>
              <w:t>教师满意度</w:t>
            </w:r>
          </w:p>
        </w:tc>
        <w:tc>
          <w:tcPr>
            <w:tcW w:w="5386" w:type="dxa"/>
            <w:vAlign w:val="center"/>
          </w:tcPr>
          <w:p w14:paraId="5216CDB3">
            <w:pPr>
              <w:pStyle w:val="13"/>
            </w:pPr>
            <w:r>
              <w:t>家长对实施项目的满意度</w:t>
            </w:r>
          </w:p>
        </w:tc>
        <w:tc>
          <w:tcPr>
            <w:tcW w:w="2268" w:type="dxa"/>
            <w:vAlign w:val="center"/>
          </w:tcPr>
          <w:p w14:paraId="0AAF29CB">
            <w:pPr>
              <w:pStyle w:val="13"/>
            </w:pPr>
            <w:r>
              <w:t>≥95%</w:t>
            </w:r>
          </w:p>
        </w:tc>
        <w:tc>
          <w:tcPr>
            <w:tcW w:w="1276" w:type="dxa"/>
            <w:vAlign w:val="center"/>
          </w:tcPr>
          <w:p w14:paraId="65C896E0">
            <w:pPr>
              <w:pStyle w:val="13"/>
            </w:pPr>
            <w:r>
              <w:t>全省农村小学生中实施营养改善计划地方试点的实施方案</w:t>
            </w:r>
          </w:p>
          <w:p w14:paraId="2B2E8A0E">
            <w:pPr>
              <w:pStyle w:val="13"/>
            </w:pPr>
          </w:p>
        </w:tc>
      </w:tr>
    </w:tbl>
    <w:p w14:paraId="413F7052">
      <w:pPr>
        <w:sectPr>
          <w:pgSz w:w="16840" w:h="11900" w:orient="landscape"/>
          <w:pgMar w:top="1361" w:right="1020" w:bottom="1134" w:left="1020" w:header="720" w:footer="720" w:gutter="0"/>
          <w:cols w:space="720" w:num="1"/>
        </w:sectPr>
      </w:pPr>
    </w:p>
    <w:p w14:paraId="422D400D">
      <w:pPr>
        <w:spacing w:before="0" w:after="0"/>
        <w:ind w:firstLine="560"/>
        <w:jc w:val="left"/>
        <w:outlineLvl w:val="9"/>
      </w:pPr>
      <w:r>
        <w:rPr>
          <w:rFonts w:ascii="方正仿宋_GBK" w:hAnsi="方正仿宋_GBK" w:eastAsia="方正仿宋_GBK" w:cs="方正仿宋_GBK"/>
          <w:b/>
          <w:color w:val="000000"/>
          <w:sz w:val="28"/>
        </w:rPr>
        <w:t>53、冀财教[2024]142号/省级/2025年学前发展资金/陈庄朝阳幼儿园学前教育公用经费绩效目标表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90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A1081">
            <w:pPr>
              <w:pStyle w:val="14"/>
            </w:pPr>
            <w:r>
              <w:t>单位：万元</w:t>
            </w:r>
          </w:p>
        </w:tc>
      </w:tr>
      <w:tr w14:paraId="20BF4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B0473">
            <w:pPr>
              <w:pStyle w:val="11"/>
            </w:pPr>
            <w:r>
              <w:t>项目编码</w:t>
            </w:r>
          </w:p>
        </w:tc>
        <w:tc>
          <w:tcPr>
            <w:tcW w:w="5103" w:type="dxa"/>
            <w:gridSpan w:val="2"/>
            <w:vAlign w:val="center"/>
          </w:tcPr>
          <w:p w14:paraId="39C4F17F">
            <w:pPr>
              <w:pStyle w:val="13"/>
            </w:pPr>
            <w:r>
              <w:t>13052525P008757100271</w:t>
            </w:r>
          </w:p>
        </w:tc>
        <w:tc>
          <w:tcPr>
            <w:tcW w:w="2835" w:type="dxa"/>
            <w:vAlign w:val="center"/>
          </w:tcPr>
          <w:p w14:paraId="74E451EA">
            <w:pPr>
              <w:pStyle w:val="11"/>
            </w:pPr>
            <w:r>
              <w:t>项目名称</w:t>
            </w:r>
          </w:p>
        </w:tc>
        <w:tc>
          <w:tcPr>
            <w:tcW w:w="6095" w:type="dxa"/>
            <w:gridSpan w:val="3"/>
            <w:vAlign w:val="center"/>
          </w:tcPr>
          <w:p w14:paraId="44E2DF06">
            <w:pPr>
              <w:pStyle w:val="13"/>
            </w:pPr>
            <w:r>
              <w:t>冀财教[2024]142号/省级/2025年学前发展资金/陈庄朝阳幼儿园学前教育公用经费</w:t>
            </w:r>
          </w:p>
        </w:tc>
      </w:tr>
      <w:tr w14:paraId="5AB75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A445D">
            <w:pPr>
              <w:pStyle w:val="11"/>
            </w:pPr>
            <w:r>
              <w:t>预算规模及资金用途</w:t>
            </w:r>
          </w:p>
        </w:tc>
        <w:tc>
          <w:tcPr>
            <w:tcW w:w="2268" w:type="dxa"/>
            <w:vAlign w:val="center"/>
          </w:tcPr>
          <w:p w14:paraId="61C73394">
            <w:pPr>
              <w:pStyle w:val="11"/>
            </w:pPr>
            <w:r>
              <w:t>预算数</w:t>
            </w:r>
          </w:p>
        </w:tc>
        <w:tc>
          <w:tcPr>
            <w:tcW w:w="2835" w:type="dxa"/>
            <w:vAlign w:val="center"/>
          </w:tcPr>
          <w:p w14:paraId="6AAF1107">
            <w:pPr>
              <w:pStyle w:val="13"/>
            </w:pPr>
            <w:r>
              <w:t>0.99</w:t>
            </w:r>
          </w:p>
        </w:tc>
        <w:tc>
          <w:tcPr>
            <w:tcW w:w="2835" w:type="dxa"/>
            <w:vAlign w:val="center"/>
          </w:tcPr>
          <w:p w14:paraId="7A759B80">
            <w:pPr>
              <w:pStyle w:val="11"/>
            </w:pPr>
            <w:r>
              <w:t>其中：财政    资金</w:t>
            </w:r>
          </w:p>
        </w:tc>
        <w:tc>
          <w:tcPr>
            <w:tcW w:w="2551" w:type="dxa"/>
            <w:vAlign w:val="center"/>
          </w:tcPr>
          <w:p w14:paraId="0F6F7F73">
            <w:pPr>
              <w:pStyle w:val="13"/>
            </w:pPr>
            <w:r>
              <w:t>0.99</w:t>
            </w:r>
          </w:p>
        </w:tc>
        <w:tc>
          <w:tcPr>
            <w:tcW w:w="2268" w:type="dxa"/>
            <w:vAlign w:val="center"/>
          </w:tcPr>
          <w:p w14:paraId="36DEED9F">
            <w:pPr>
              <w:pStyle w:val="11"/>
            </w:pPr>
            <w:r>
              <w:t>其他资金</w:t>
            </w:r>
          </w:p>
        </w:tc>
        <w:tc>
          <w:tcPr>
            <w:tcW w:w="1276" w:type="dxa"/>
            <w:vAlign w:val="center"/>
          </w:tcPr>
          <w:p w14:paraId="35D98783">
            <w:pPr>
              <w:pStyle w:val="13"/>
            </w:pPr>
            <w:r>
              <w:t xml:space="preserve"> </w:t>
            </w:r>
          </w:p>
        </w:tc>
      </w:tr>
      <w:tr w14:paraId="27B88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9BD23"/>
        </w:tc>
        <w:tc>
          <w:tcPr>
            <w:tcW w:w="14033" w:type="dxa"/>
            <w:gridSpan w:val="6"/>
            <w:vAlign w:val="center"/>
          </w:tcPr>
          <w:p w14:paraId="08C0412A">
            <w:pPr>
              <w:pStyle w:val="13"/>
            </w:pPr>
            <w:r>
              <w:t>按季度分批次拨付安排公用经费资金，学校按照预算安排进行资金使用，保证资金正常支出。</w:t>
            </w:r>
          </w:p>
        </w:tc>
      </w:tr>
      <w:tr w14:paraId="3CEF5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4DECA">
            <w:pPr>
              <w:pStyle w:val="11"/>
            </w:pPr>
            <w:r>
              <w:t>资金支出计划（%）</w:t>
            </w:r>
          </w:p>
        </w:tc>
        <w:tc>
          <w:tcPr>
            <w:tcW w:w="5103" w:type="dxa"/>
            <w:gridSpan w:val="2"/>
            <w:vAlign w:val="center"/>
          </w:tcPr>
          <w:p w14:paraId="6888636A">
            <w:pPr>
              <w:pStyle w:val="11"/>
            </w:pPr>
            <w:r>
              <w:t>3月底</w:t>
            </w:r>
          </w:p>
        </w:tc>
        <w:tc>
          <w:tcPr>
            <w:tcW w:w="2835" w:type="dxa"/>
            <w:vAlign w:val="center"/>
          </w:tcPr>
          <w:p w14:paraId="3BC42EE9">
            <w:pPr>
              <w:pStyle w:val="11"/>
            </w:pPr>
            <w:r>
              <w:t>6月底</w:t>
            </w:r>
          </w:p>
        </w:tc>
        <w:tc>
          <w:tcPr>
            <w:tcW w:w="2551" w:type="dxa"/>
            <w:vAlign w:val="center"/>
          </w:tcPr>
          <w:p w14:paraId="53F9BB97">
            <w:pPr>
              <w:pStyle w:val="11"/>
            </w:pPr>
            <w:r>
              <w:t>10月底</w:t>
            </w:r>
          </w:p>
        </w:tc>
        <w:tc>
          <w:tcPr>
            <w:tcW w:w="3544" w:type="dxa"/>
            <w:gridSpan w:val="2"/>
            <w:vAlign w:val="center"/>
          </w:tcPr>
          <w:p w14:paraId="6E56C61B">
            <w:pPr>
              <w:pStyle w:val="11"/>
            </w:pPr>
            <w:r>
              <w:t>12月底</w:t>
            </w:r>
          </w:p>
        </w:tc>
      </w:tr>
      <w:tr w14:paraId="1EADA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449E91"/>
        </w:tc>
        <w:tc>
          <w:tcPr>
            <w:tcW w:w="5103" w:type="dxa"/>
            <w:gridSpan w:val="2"/>
            <w:vAlign w:val="center"/>
          </w:tcPr>
          <w:p w14:paraId="483A0DAD">
            <w:pPr>
              <w:pStyle w:val="12"/>
            </w:pPr>
            <w:r>
              <w:t xml:space="preserve"> </w:t>
            </w:r>
          </w:p>
        </w:tc>
        <w:tc>
          <w:tcPr>
            <w:tcW w:w="2835" w:type="dxa"/>
            <w:vAlign w:val="center"/>
          </w:tcPr>
          <w:p w14:paraId="37F74654">
            <w:pPr>
              <w:pStyle w:val="12"/>
            </w:pPr>
            <w:r>
              <w:t>50%</w:t>
            </w:r>
          </w:p>
        </w:tc>
        <w:tc>
          <w:tcPr>
            <w:tcW w:w="2551" w:type="dxa"/>
            <w:vAlign w:val="center"/>
          </w:tcPr>
          <w:p w14:paraId="76456C92">
            <w:pPr>
              <w:pStyle w:val="12"/>
            </w:pPr>
            <w:r>
              <w:t>75%</w:t>
            </w:r>
          </w:p>
        </w:tc>
        <w:tc>
          <w:tcPr>
            <w:tcW w:w="3544" w:type="dxa"/>
            <w:gridSpan w:val="2"/>
            <w:vAlign w:val="center"/>
          </w:tcPr>
          <w:p w14:paraId="0840353F">
            <w:pPr>
              <w:pStyle w:val="12"/>
            </w:pPr>
            <w:r>
              <w:t>100%</w:t>
            </w:r>
          </w:p>
        </w:tc>
      </w:tr>
      <w:tr w14:paraId="331C11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0D9503">
            <w:pPr>
              <w:pStyle w:val="11"/>
            </w:pPr>
            <w:r>
              <w:t>绩效目标</w:t>
            </w:r>
          </w:p>
        </w:tc>
        <w:tc>
          <w:tcPr>
            <w:tcW w:w="14033" w:type="dxa"/>
            <w:gridSpan w:val="6"/>
            <w:vAlign w:val="center"/>
          </w:tcPr>
          <w:p w14:paraId="1C122713">
            <w:pPr>
              <w:pStyle w:val="13"/>
            </w:pPr>
            <w:r>
              <w:t>1.按季度分批次拨付安排公用经费资金，学校按照预算安排进行资金使用，保证资金正常支出。</w:t>
            </w:r>
          </w:p>
        </w:tc>
      </w:tr>
    </w:tbl>
    <w:p w14:paraId="633F3E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37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D48B7">
            <w:pPr>
              <w:pStyle w:val="11"/>
            </w:pPr>
            <w:r>
              <w:t>一级指标</w:t>
            </w:r>
          </w:p>
        </w:tc>
        <w:tc>
          <w:tcPr>
            <w:tcW w:w="2268" w:type="dxa"/>
            <w:vAlign w:val="center"/>
          </w:tcPr>
          <w:p w14:paraId="07805A60">
            <w:pPr>
              <w:pStyle w:val="11"/>
            </w:pPr>
            <w:r>
              <w:t>二级指标</w:t>
            </w:r>
          </w:p>
        </w:tc>
        <w:tc>
          <w:tcPr>
            <w:tcW w:w="2835" w:type="dxa"/>
            <w:vAlign w:val="center"/>
          </w:tcPr>
          <w:p w14:paraId="543099B2">
            <w:pPr>
              <w:pStyle w:val="11"/>
            </w:pPr>
            <w:r>
              <w:t>三级指标</w:t>
            </w:r>
          </w:p>
        </w:tc>
        <w:tc>
          <w:tcPr>
            <w:tcW w:w="5386" w:type="dxa"/>
            <w:vAlign w:val="center"/>
          </w:tcPr>
          <w:p w14:paraId="327D7400">
            <w:pPr>
              <w:pStyle w:val="11"/>
            </w:pPr>
            <w:r>
              <w:t>绩效指标描述</w:t>
            </w:r>
          </w:p>
        </w:tc>
        <w:tc>
          <w:tcPr>
            <w:tcW w:w="2268" w:type="dxa"/>
            <w:vAlign w:val="center"/>
          </w:tcPr>
          <w:p w14:paraId="712EAF86">
            <w:pPr>
              <w:pStyle w:val="11"/>
            </w:pPr>
            <w:r>
              <w:t>指标值</w:t>
            </w:r>
          </w:p>
        </w:tc>
        <w:tc>
          <w:tcPr>
            <w:tcW w:w="1276" w:type="dxa"/>
            <w:vAlign w:val="center"/>
          </w:tcPr>
          <w:p w14:paraId="278FE80E">
            <w:pPr>
              <w:pStyle w:val="11"/>
            </w:pPr>
            <w:r>
              <w:t>指标值确定依据</w:t>
            </w:r>
          </w:p>
        </w:tc>
      </w:tr>
      <w:tr w14:paraId="4931E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1913A">
            <w:pPr>
              <w:pStyle w:val="12"/>
            </w:pPr>
            <w:r>
              <w:t>产出指标</w:t>
            </w:r>
          </w:p>
        </w:tc>
        <w:tc>
          <w:tcPr>
            <w:tcW w:w="2268" w:type="dxa"/>
            <w:vAlign w:val="center"/>
          </w:tcPr>
          <w:p w14:paraId="634BA7D4">
            <w:pPr>
              <w:pStyle w:val="13"/>
            </w:pPr>
            <w:r>
              <w:t>数量指标</w:t>
            </w:r>
          </w:p>
        </w:tc>
        <w:tc>
          <w:tcPr>
            <w:tcW w:w="2835" w:type="dxa"/>
            <w:vAlign w:val="center"/>
          </w:tcPr>
          <w:p w14:paraId="27445CFB">
            <w:pPr>
              <w:pStyle w:val="13"/>
            </w:pPr>
            <w:r>
              <w:t>适龄在校生</w:t>
            </w:r>
          </w:p>
        </w:tc>
        <w:tc>
          <w:tcPr>
            <w:tcW w:w="5386" w:type="dxa"/>
            <w:vAlign w:val="center"/>
          </w:tcPr>
          <w:p w14:paraId="0D6B1F3A">
            <w:pPr>
              <w:pStyle w:val="13"/>
            </w:pPr>
            <w:r>
              <w:t>辖区内适龄儿童全覆盖</w:t>
            </w:r>
          </w:p>
        </w:tc>
        <w:tc>
          <w:tcPr>
            <w:tcW w:w="2268" w:type="dxa"/>
            <w:vAlign w:val="center"/>
          </w:tcPr>
          <w:p w14:paraId="73D19A74">
            <w:pPr>
              <w:pStyle w:val="13"/>
            </w:pPr>
            <w:r>
              <w:t>66人</w:t>
            </w:r>
          </w:p>
        </w:tc>
        <w:tc>
          <w:tcPr>
            <w:tcW w:w="1276" w:type="dxa"/>
            <w:vAlign w:val="center"/>
          </w:tcPr>
          <w:p w14:paraId="1E994BA1">
            <w:pPr>
              <w:pStyle w:val="13"/>
            </w:pPr>
            <w:r>
              <w:t>幼儿园生均公用经费管理办法</w:t>
            </w:r>
          </w:p>
        </w:tc>
      </w:tr>
      <w:tr w14:paraId="2AB6F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B296A"/>
        </w:tc>
        <w:tc>
          <w:tcPr>
            <w:tcW w:w="2268" w:type="dxa"/>
            <w:vAlign w:val="center"/>
          </w:tcPr>
          <w:p w14:paraId="6573EB76">
            <w:pPr>
              <w:pStyle w:val="13"/>
            </w:pPr>
            <w:r>
              <w:t>质量指标</w:t>
            </w:r>
          </w:p>
        </w:tc>
        <w:tc>
          <w:tcPr>
            <w:tcW w:w="2835" w:type="dxa"/>
            <w:vAlign w:val="center"/>
          </w:tcPr>
          <w:p w14:paraId="4923AFA3">
            <w:pPr>
              <w:pStyle w:val="13"/>
            </w:pPr>
            <w:r>
              <w:t>预算控制率</w:t>
            </w:r>
          </w:p>
        </w:tc>
        <w:tc>
          <w:tcPr>
            <w:tcW w:w="5386" w:type="dxa"/>
            <w:vAlign w:val="center"/>
          </w:tcPr>
          <w:p w14:paraId="42AF27FD">
            <w:pPr>
              <w:pStyle w:val="13"/>
            </w:pPr>
            <w:r>
              <w:t>预算执行</w:t>
            </w:r>
          </w:p>
        </w:tc>
        <w:tc>
          <w:tcPr>
            <w:tcW w:w="2268" w:type="dxa"/>
            <w:vAlign w:val="center"/>
          </w:tcPr>
          <w:p w14:paraId="7AC58D4C">
            <w:pPr>
              <w:pStyle w:val="13"/>
            </w:pPr>
            <w:r>
              <w:t>≥95%</w:t>
            </w:r>
          </w:p>
        </w:tc>
        <w:tc>
          <w:tcPr>
            <w:tcW w:w="1276" w:type="dxa"/>
            <w:vAlign w:val="center"/>
          </w:tcPr>
          <w:p w14:paraId="30CDB456">
            <w:pPr>
              <w:pStyle w:val="13"/>
            </w:pPr>
            <w:r>
              <w:t>幼儿园生均公用经费管理办法</w:t>
            </w:r>
          </w:p>
        </w:tc>
      </w:tr>
      <w:tr w14:paraId="03054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2520D"/>
        </w:tc>
        <w:tc>
          <w:tcPr>
            <w:tcW w:w="2268" w:type="dxa"/>
            <w:vAlign w:val="center"/>
          </w:tcPr>
          <w:p w14:paraId="5BCB0F48">
            <w:pPr>
              <w:pStyle w:val="13"/>
            </w:pPr>
            <w:r>
              <w:t>时效指标</w:t>
            </w:r>
          </w:p>
        </w:tc>
        <w:tc>
          <w:tcPr>
            <w:tcW w:w="2835" w:type="dxa"/>
            <w:vAlign w:val="center"/>
          </w:tcPr>
          <w:p w14:paraId="6D9F4DC6">
            <w:pPr>
              <w:pStyle w:val="13"/>
            </w:pPr>
            <w:r>
              <w:t>资金支付率</w:t>
            </w:r>
          </w:p>
        </w:tc>
        <w:tc>
          <w:tcPr>
            <w:tcW w:w="5386" w:type="dxa"/>
            <w:vAlign w:val="center"/>
          </w:tcPr>
          <w:p w14:paraId="226406C8">
            <w:pPr>
              <w:pStyle w:val="13"/>
            </w:pPr>
            <w:r>
              <w:t>按照序时进度完成资金支付</w:t>
            </w:r>
          </w:p>
        </w:tc>
        <w:tc>
          <w:tcPr>
            <w:tcW w:w="2268" w:type="dxa"/>
            <w:vAlign w:val="center"/>
          </w:tcPr>
          <w:p w14:paraId="150811B2">
            <w:pPr>
              <w:pStyle w:val="13"/>
            </w:pPr>
            <w:r>
              <w:t>≥100%</w:t>
            </w:r>
          </w:p>
        </w:tc>
        <w:tc>
          <w:tcPr>
            <w:tcW w:w="1276" w:type="dxa"/>
            <w:vAlign w:val="center"/>
          </w:tcPr>
          <w:p w14:paraId="6C06DD5B">
            <w:pPr>
              <w:pStyle w:val="13"/>
            </w:pPr>
            <w:r>
              <w:t>幼儿园生均公用经费管理办法</w:t>
            </w:r>
          </w:p>
        </w:tc>
      </w:tr>
      <w:tr w14:paraId="601D7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5C171"/>
        </w:tc>
        <w:tc>
          <w:tcPr>
            <w:tcW w:w="2268" w:type="dxa"/>
            <w:vAlign w:val="center"/>
          </w:tcPr>
          <w:p w14:paraId="0B57B72D">
            <w:pPr>
              <w:pStyle w:val="13"/>
            </w:pPr>
            <w:r>
              <w:t>成本指标</w:t>
            </w:r>
          </w:p>
        </w:tc>
        <w:tc>
          <w:tcPr>
            <w:tcW w:w="2835" w:type="dxa"/>
            <w:vAlign w:val="center"/>
          </w:tcPr>
          <w:p w14:paraId="5753CE20">
            <w:pPr>
              <w:pStyle w:val="13"/>
            </w:pPr>
            <w:r>
              <w:t>生均拨款标准</w:t>
            </w:r>
          </w:p>
        </w:tc>
        <w:tc>
          <w:tcPr>
            <w:tcW w:w="5386" w:type="dxa"/>
            <w:vAlign w:val="center"/>
          </w:tcPr>
          <w:p w14:paraId="58A013A4">
            <w:pPr>
              <w:pStyle w:val="13"/>
            </w:pPr>
            <w:r>
              <w:t>学前经费600元/生/年</w:t>
            </w:r>
          </w:p>
        </w:tc>
        <w:tc>
          <w:tcPr>
            <w:tcW w:w="2268" w:type="dxa"/>
            <w:vAlign w:val="center"/>
          </w:tcPr>
          <w:p w14:paraId="3141A752">
            <w:pPr>
              <w:pStyle w:val="13"/>
            </w:pPr>
            <w:r>
              <w:t>600元</w:t>
            </w:r>
          </w:p>
        </w:tc>
        <w:tc>
          <w:tcPr>
            <w:tcW w:w="1276" w:type="dxa"/>
            <w:vAlign w:val="center"/>
          </w:tcPr>
          <w:p w14:paraId="3AED8A3C">
            <w:pPr>
              <w:pStyle w:val="13"/>
            </w:pPr>
            <w:r>
              <w:t>幼儿园生均公用经费管理办法</w:t>
            </w:r>
          </w:p>
        </w:tc>
      </w:tr>
      <w:tr w14:paraId="1E097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D33BA">
            <w:pPr>
              <w:pStyle w:val="12"/>
            </w:pPr>
            <w:r>
              <w:t>效益指标</w:t>
            </w:r>
          </w:p>
        </w:tc>
        <w:tc>
          <w:tcPr>
            <w:tcW w:w="2268" w:type="dxa"/>
            <w:vAlign w:val="center"/>
          </w:tcPr>
          <w:p w14:paraId="6649B53C">
            <w:pPr>
              <w:pStyle w:val="13"/>
            </w:pPr>
            <w:r>
              <w:t>可持续影响指标</w:t>
            </w:r>
          </w:p>
        </w:tc>
        <w:tc>
          <w:tcPr>
            <w:tcW w:w="2835" w:type="dxa"/>
            <w:vAlign w:val="center"/>
          </w:tcPr>
          <w:p w14:paraId="0ECB6307">
            <w:pPr>
              <w:pStyle w:val="13"/>
            </w:pPr>
            <w:r>
              <w:t>教育发展水平明显好转</w:t>
            </w:r>
          </w:p>
        </w:tc>
        <w:tc>
          <w:tcPr>
            <w:tcW w:w="5386" w:type="dxa"/>
            <w:vAlign w:val="center"/>
          </w:tcPr>
          <w:p w14:paraId="38188088">
            <w:pPr>
              <w:pStyle w:val="13"/>
            </w:pPr>
            <w:r>
              <w:t>学生受教育年限</w:t>
            </w:r>
          </w:p>
        </w:tc>
        <w:tc>
          <w:tcPr>
            <w:tcW w:w="2268" w:type="dxa"/>
            <w:vAlign w:val="center"/>
          </w:tcPr>
          <w:p w14:paraId="2E56CABF">
            <w:pPr>
              <w:pStyle w:val="13"/>
            </w:pPr>
            <w:r>
              <w:t>3年</w:t>
            </w:r>
          </w:p>
        </w:tc>
        <w:tc>
          <w:tcPr>
            <w:tcW w:w="1276" w:type="dxa"/>
            <w:vAlign w:val="center"/>
          </w:tcPr>
          <w:p w14:paraId="42D38E0A">
            <w:pPr>
              <w:pStyle w:val="13"/>
            </w:pPr>
            <w:r>
              <w:t>幼儿园生均公用经费管理办法</w:t>
            </w:r>
          </w:p>
        </w:tc>
      </w:tr>
      <w:tr w14:paraId="3F7E3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FA670">
            <w:pPr>
              <w:pStyle w:val="12"/>
            </w:pPr>
            <w:r>
              <w:t>满意度指标</w:t>
            </w:r>
          </w:p>
        </w:tc>
        <w:tc>
          <w:tcPr>
            <w:tcW w:w="2268" w:type="dxa"/>
            <w:vAlign w:val="center"/>
          </w:tcPr>
          <w:p w14:paraId="1172E609">
            <w:pPr>
              <w:pStyle w:val="13"/>
            </w:pPr>
            <w:r>
              <w:t>服务对象满意度指标</w:t>
            </w:r>
          </w:p>
        </w:tc>
        <w:tc>
          <w:tcPr>
            <w:tcW w:w="2835" w:type="dxa"/>
            <w:vAlign w:val="center"/>
          </w:tcPr>
          <w:p w14:paraId="69F08F6C">
            <w:pPr>
              <w:pStyle w:val="13"/>
            </w:pPr>
            <w:r>
              <w:t>受益学生家长及调查满意度</w:t>
            </w:r>
          </w:p>
        </w:tc>
        <w:tc>
          <w:tcPr>
            <w:tcW w:w="5386" w:type="dxa"/>
            <w:vAlign w:val="center"/>
          </w:tcPr>
          <w:p w14:paraId="67A2EAD4">
            <w:pPr>
              <w:pStyle w:val="13"/>
            </w:pPr>
            <w:r>
              <w:t>学生、教师及家长对学校保教保育工作满意度情况</w:t>
            </w:r>
          </w:p>
        </w:tc>
        <w:tc>
          <w:tcPr>
            <w:tcW w:w="2268" w:type="dxa"/>
            <w:vAlign w:val="center"/>
          </w:tcPr>
          <w:p w14:paraId="35710589">
            <w:pPr>
              <w:pStyle w:val="13"/>
            </w:pPr>
            <w:r>
              <w:t>≥95%</w:t>
            </w:r>
          </w:p>
        </w:tc>
        <w:tc>
          <w:tcPr>
            <w:tcW w:w="1276" w:type="dxa"/>
            <w:vAlign w:val="center"/>
          </w:tcPr>
          <w:p w14:paraId="2336C61F">
            <w:pPr>
              <w:pStyle w:val="13"/>
            </w:pPr>
            <w:r>
              <w:t>调查问卷</w:t>
            </w:r>
          </w:p>
        </w:tc>
      </w:tr>
    </w:tbl>
    <w:p w14:paraId="5A051861">
      <w:pPr>
        <w:sectPr>
          <w:pgSz w:w="16840" w:h="11900" w:orient="landscape"/>
          <w:pgMar w:top="1361" w:right="1020" w:bottom="1134" w:left="1020" w:header="720" w:footer="720" w:gutter="0"/>
          <w:cols w:space="720" w:num="1"/>
        </w:sectPr>
      </w:pPr>
    </w:p>
    <w:p w14:paraId="20379390">
      <w:pPr>
        <w:spacing w:before="0" w:after="0"/>
        <w:ind w:firstLine="560"/>
        <w:jc w:val="left"/>
        <w:outlineLvl w:val="9"/>
      </w:pPr>
      <w:r>
        <w:rPr>
          <w:rFonts w:ascii="方正仿宋_GBK" w:hAnsi="方正仿宋_GBK" w:eastAsia="方正仿宋_GBK" w:cs="方正仿宋_GBK"/>
          <w:b/>
          <w:color w:val="000000"/>
          <w:sz w:val="28"/>
        </w:rPr>
        <w:t>54、冀财教[2024]142号/省级/2025年学前发展资金/大霍贝贝幼儿园学前教育公用经费绩效目标表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AC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9D76A8">
            <w:pPr>
              <w:pStyle w:val="14"/>
            </w:pPr>
            <w:r>
              <w:t>单位：万元</w:t>
            </w:r>
          </w:p>
        </w:tc>
      </w:tr>
      <w:tr w14:paraId="24895A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6C732">
            <w:pPr>
              <w:pStyle w:val="11"/>
            </w:pPr>
            <w:r>
              <w:t>项目编码</w:t>
            </w:r>
          </w:p>
        </w:tc>
        <w:tc>
          <w:tcPr>
            <w:tcW w:w="5103" w:type="dxa"/>
            <w:gridSpan w:val="2"/>
            <w:vAlign w:val="center"/>
          </w:tcPr>
          <w:p w14:paraId="45BD99EB">
            <w:pPr>
              <w:pStyle w:val="13"/>
            </w:pPr>
            <w:r>
              <w:t>13052525P00875710035M</w:t>
            </w:r>
          </w:p>
        </w:tc>
        <w:tc>
          <w:tcPr>
            <w:tcW w:w="2835" w:type="dxa"/>
            <w:vAlign w:val="center"/>
          </w:tcPr>
          <w:p w14:paraId="725F1082">
            <w:pPr>
              <w:pStyle w:val="11"/>
            </w:pPr>
            <w:r>
              <w:t>项目名称</w:t>
            </w:r>
          </w:p>
        </w:tc>
        <w:tc>
          <w:tcPr>
            <w:tcW w:w="6095" w:type="dxa"/>
            <w:gridSpan w:val="3"/>
            <w:vAlign w:val="center"/>
          </w:tcPr>
          <w:p w14:paraId="08E9942B">
            <w:pPr>
              <w:pStyle w:val="13"/>
            </w:pPr>
            <w:r>
              <w:t>冀财教[2024]142号/省级/2025年学前发展资金/大霍贝贝幼儿园学前教育公用经费</w:t>
            </w:r>
          </w:p>
        </w:tc>
      </w:tr>
      <w:tr w14:paraId="4D1D0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85955">
            <w:pPr>
              <w:pStyle w:val="11"/>
            </w:pPr>
            <w:r>
              <w:t>预算规模及资金用途</w:t>
            </w:r>
          </w:p>
        </w:tc>
        <w:tc>
          <w:tcPr>
            <w:tcW w:w="2268" w:type="dxa"/>
            <w:vAlign w:val="center"/>
          </w:tcPr>
          <w:p w14:paraId="11F0947E">
            <w:pPr>
              <w:pStyle w:val="11"/>
            </w:pPr>
            <w:r>
              <w:t>预算数</w:t>
            </w:r>
          </w:p>
        </w:tc>
        <w:tc>
          <w:tcPr>
            <w:tcW w:w="2835" w:type="dxa"/>
            <w:vAlign w:val="center"/>
          </w:tcPr>
          <w:p w14:paraId="2B12D9DA">
            <w:pPr>
              <w:pStyle w:val="13"/>
            </w:pPr>
            <w:r>
              <w:t>1.19</w:t>
            </w:r>
          </w:p>
        </w:tc>
        <w:tc>
          <w:tcPr>
            <w:tcW w:w="2835" w:type="dxa"/>
            <w:vAlign w:val="center"/>
          </w:tcPr>
          <w:p w14:paraId="22C72773">
            <w:pPr>
              <w:pStyle w:val="11"/>
            </w:pPr>
            <w:r>
              <w:t>其中：财政    资金</w:t>
            </w:r>
          </w:p>
        </w:tc>
        <w:tc>
          <w:tcPr>
            <w:tcW w:w="2551" w:type="dxa"/>
            <w:vAlign w:val="center"/>
          </w:tcPr>
          <w:p w14:paraId="3F2360AB">
            <w:pPr>
              <w:pStyle w:val="13"/>
            </w:pPr>
            <w:r>
              <w:t>1.19</w:t>
            </w:r>
          </w:p>
        </w:tc>
        <w:tc>
          <w:tcPr>
            <w:tcW w:w="2268" w:type="dxa"/>
            <w:vAlign w:val="center"/>
          </w:tcPr>
          <w:p w14:paraId="163F93C6">
            <w:pPr>
              <w:pStyle w:val="11"/>
            </w:pPr>
            <w:r>
              <w:t>其他资金</w:t>
            </w:r>
          </w:p>
        </w:tc>
        <w:tc>
          <w:tcPr>
            <w:tcW w:w="1276" w:type="dxa"/>
            <w:vAlign w:val="center"/>
          </w:tcPr>
          <w:p w14:paraId="1FECB34D">
            <w:pPr>
              <w:pStyle w:val="13"/>
            </w:pPr>
            <w:r>
              <w:t xml:space="preserve"> </w:t>
            </w:r>
          </w:p>
        </w:tc>
      </w:tr>
      <w:tr w14:paraId="664BB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73F3AA"/>
        </w:tc>
        <w:tc>
          <w:tcPr>
            <w:tcW w:w="14033" w:type="dxa"/>
            <w:gridSpan w:val="6"/>
            <w:vAlign w:val="center"/>
          </w:tcPr>
          <w:p w14:paraId="753F1B69">
            <w:pPr>
              <w:pStyle w:val="13"/>
            </w:pPr>
            <w:r>
              <w:t>按季度分批次拨付安排公用经费资金，学校按照预算安排进行资金使用，保证资金正常支出。</w:t>
            </w:r>
          </w:p>
        </w:tc>
      </w:tr>
      <w:tr w14:paraId="744EE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AC8FC">
            <w:pPr>
              <w:pStyle w:val="11"/>
            </w:pPr>
            <w:r>
              <w:t>资金支出计划（%）</w:t>
            </w:r>
          </w:p>
        </w:tc>
        <w:tc>
          <w:tcPr>
            <w:tcW w:w="5103" w:type="dxa"/>
            <w:gridSpan w:val="2"/>
            <w:vAlign w:val="center"/>
          </w:tcPr>
          <w:p w14:paraId="5929EDCA">
            <w:pPr>
              <w:pStyle w:val="11"/>
            </w:pPr>
            <w:r>
              <w:t>3月底</w:t>
            </w:r>
          </w:p>
        </w:tc>
        <w:tc>
          <w:tcPr>
            <w:tcW w:w="2835" w:type="dxa"/>
            <w:vAlign w:val="center"/>
          </w:tcPr>
          <w:p w14:paraId="0ED05A2D">
            <w:pPr>
              <w:pStyle w:val="11"/>
            </w:pPr>
            <w:r>
              <w:t>6月底</w:t>
            </w:r>
          </w:p>
        </w:tc>
        <w:tc>
          <w:tcPr>
            <w:tcW w:w="2551" w:type="dxa"/>
            <w:vAlign w:val="center"/>
          </w:tcPr>
          <w:p w14:paraId="02460792">
            <w:pPr>
              <w:pStyle w:val="11"/>
            </w:pPr>
            <w:r>
              <w:t>10月底</w:t>
            </w:r>
          </w:p>
        </w:tc>
        <w:tc>
          <w:tcPr>
            <w:tcW w:w="3544" w:type="dxa"/>
            <w:gridSpan w:val="2"/>
            <w:vAlign w:val="center"/>
          </w:tcPr>
          <w:p w14:paraId="58483460">
            <w:pPr>
              <w:pStyle w:val="11"/>
            </w:pPr>
            <w:r>
              <w:t>12月底</w:t>
            </w:r>
          </w:p>
        </w:tc>
      </w:tr>
      <w:tr w14:paraId="7C5E5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42475"/>
        </w:tc>
        <w:tc>
          <w:tcPr>
            <w:tcW w:w="5103" w:type="dxa"/>
            <w:gridSpan w:val="2"/>
            <w:vAlign w:val="center"/>
          </w:tcPr>
          <w:p w14:paraId="2DBF4E49">
            <w:pPr>
              <w:pStyle w:val="12"/>
            </w:pPr>
            <w:r>
              <w:t xml:space="preserve"> </w:t>
            </w:r>
          </w:p>
        </w:tc>
        <w:tc>
          <w:tcPr>
            <w:tcW w:w="2835" w:type="dxa"/>
            <w:vAlign w:val="center"/>
          </w:tcPr>
          <w:p w14:paraId="521940CD">
            <w:pPr>
              <w:pStyle w:val="12"/>
            </w:pPr>
            <w:r>
              <w:t>50%</w:t>
            </w:r>
          </w:p>
        </w:tc>
        <w:tc>
          <w:tcPr>
            <w:tcW w:w="2551" w:type="dxa"/>
            <w:vAlign w:val="center"/>
          </w:tcPr>
          <w:p w14:paraId="49B8CA1D">
            <w:pPr>
              <w:pStyle w:val="12"/>
            </w:pPr>
            <w:r>
              <w:t>75%</w:t>
            </w:r>
          </w:p>
        </w:tc>
        <w:tc>
          <w:tcPr>
            <w:tcW w:w="3544" w:type="dxa"/>
            <w:gridSpan w:val="2"/>
            <w:vAlign w:val="center"/>
          </w:tcPr>
          <w:p w14:paraId="5375B88F">
            <w:pPr>
              <w:pStyle w:val="12"/>
            </w:pPr>
            <w:r>
              <w:t>100%</w:t>
            </w:r>
          </w:p>
        </w:tc>
      </w:tr>
      <w:tr w14:paraId="501D6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EBDA9">
            <w:pPr>
              <w:pStyle w:val="11"/>
            </w:pPr>
            <w:r>
              <w:t>绩效目标</w:t>
            </w:r>
          </w:p>
        </w:tc>
        <w:tc>
          <w:tcPr>
            <w:tcW w:w="14033" w:type="dxa"/>
            <w:gridSpan w:val="6"/>
            <w:vAlign w:val="center"/>
          </w:tcPr>
          <w:p w14:paraId="4B2FEFA2">
            <w:pPr>
              <w:pStyle w:val="13"/>
            </w:pPr>
            <w:r>
              <w:t>1.按季度分批次拨付安排公用经费资金，学校按照预算安排进行资金使用，保证资金正常支出。</w:t>
            </w:r>
          </w:p>
        </w:tc>
      </w:tr>
    </w:tbl>
    <w:p w14:paraId="0BB50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F5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ECA28">
            <w:pPr>
              <w:pStyle w:val="11"/>
            </w:pPr>
            <w:r>
              <w:t>一级指标</w:t>
            </w:r>
          </w:p>
        </w:tc>
        <w:tc>
          <w:tcPr>
            <w:tcW w:w="2268" w:type="dxa"/>
            <w:vAlign w:val="center"/>
          </w:tcPr>
          <w:p w14:paraId="6FD4951C">
            <w:pPr>
              <w:pStyle w:val="11"/>
            </w:pPr>
            <w:r>
              <w:t>二级指标</w:t>
            </w:r>
          </w:p>
        </w:tc>
        <w:tc>
          <w:tcPr>
            <w:tcW w:w="2835" w:type="dxa"/>
            <w:vAlign w:val="center"/>
          </w:tcPr>
          <w:p w14:paraId="642598B3">
            <w:pPr>
              <w:pStyle w:val="11"/>
            </w:pPr>
            <w:r>
              <w:t>三级指标</w:t>
            </w:r>
          </w:p>
        </w:tc>
        <w:tc>
          <w:tcPr>
            <w:tcW w:w="5386" w:type="dxa"/>
            <w:vAlign w:val="center"/>
          </w:tcPr>
          <w:p w14:paraId="19F17371">
            <w:pPr>
              <w:pStyle w:val="11"/>
            </w:pPr>
            <w:r>
              <w:t>绩效指标描述</w:t>
            </w:r>
          </w:p>
        </w:tc>
        <w:tc>
          <w:tcPr>
            <w:tcW w:w="2268" w:type="dxa"/>
            <w:vAlign w:val="center"/>
          </w:tcPr>
          <w:p w14:paraId="06A16B26">
            <w:pPr>
              <w:pStyle w:val="11"/>
            </w:pPr>
            <w:r>
              <w:t>指标值</w:t>
            </w:r>
          </w:p>
        </w:tc>
        <w:tc>
          <w:tcPr>
            <w:tcW w:w="1276" w:type="dxa"/>
            <w:vAlign w:val="center"/>
          </w:tcPr>
          <w:p w14:paraId="34417611">
            <w:pPr>
              <w:pStyle w:val="11"/>
            </w:pPr>
            <w:r>
              <w:t>指标值确定依据</w:t>
            </w:r>
          </w:p>
        </w:tc>
      </w:tr>
      <w:tr w14:paraId="4FD32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A91C8">
            <w:pPr>
              <w:pStyle w:val="12"/>
            </w:pPr>
            <w:r>
              <w:t>产出指标</w:t>
            </w:r>
          </w:p>
        </w:tc>
        <w:tc>
          <w:tcPr>
            <w:tcW w:w="2268" w:type="dxa"/>
            <w:vAlign w:val="center"/>
          </w:tcPr>
          <w:p w14:paraId="5AED98B5">
            <w:pPr>
              <w:pStyle w:val="13"/>
            </w:pPr>
            <w:r>
              <w:t>数量指标</w:t>
            </w:r>
          </w:p>
        </w:tc>
        <w:tc>
          <w:tcPr>
            <w:tcW w:w="2835" w:type="dxa"/>
            <w:vAlign w:val="center"/>
          </w:tcPr>
          <w:p w14:paraId="25EAFACD">
            <w:pPr>
              <w:pStyle w:val="13"/>
            </w:pPr>
            <w:r>
              <w:t>适龄在校生</w:t>
            </w:r>
          </w:p>
        </w:tc>
        <w:tc>
          <w:tcPr>
            <w:tcW w:w="5386" w:type="dxa"/>
            <w:vAlign w:val="center"/>
          </w:tcPr>
          <w:p w14:paraId="6441279B">
            <w:pPr>
              <w:pStyle w:val="13"/>
            </w:pPr>
            <w:r>
              <w:t>辖区内适龄儿童全覆盖</w:t>
            </w:r>
          </w:p>
        </w:tc>
        <w:tc>
          <w:tcPr>
            <w:tcW w:w="2268" w:type="dxa"/>
            <w:vAlign w:val="center"/>
          </w:tcPr>
          <w:p w14:paraId="7DB67B57">
            <w:pPr>
              <w:pStyle w:val="13"/>
            </w:pPr>
            <w:r>
              <w:t>79人</w:t>
            </w:r>
          </w:p>
        </w:tc>
        <w:tc>
          <w:tcPr>
            <w:tcW w:w="1276" w:type="dxa"/>
            <w:vAlign w:val="center"/>
          </w:tcPr>
          <w:p w14:paraId="3B895EE3">
            <w:pPr>
              <w:pStyle w:val="13"/>
            </w:pPr>
            <w:r>
              <w:t>幼儿园生均公用经费管理办法</w:t>
            </w:r>
          </w:p>
        </w:tc>
      </w:tr>
      <w:tr w14:paraId="230AA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78685"/>
        </w:tc>
        <w:tc>
          <w:tcPr>
            <w:tcW w:w="2268" w:type="dxa"/>
            <w:vAlign w:val="center"/>
          </w:tcPr>
          <w:p w14:paraId="086C96DE">
            <w:pPr>
              <w:pStyle w:val="13"/>
            </w:pPr>
            <w:r>
              <w:t>质量指标</w:t>
            </w:r>
          </w:p>
        </w:tc>
        <w:tc>
          <w:tcPr>
            <w:tcW w:w="2835" w:type="dxa"/>
            <w:vAlign w:val="center"/>
          </w:tcPr>
          <w:p w14:paraId="6DC11395">
            <w:pPr>
              <w:pStyle w:val="13"/>
            </w:pPr>
            <w:r>
              <w:t>预算控制率</w:t>
            </w:r>
          </w:p>
        </w:tc>
        <w:tc>
          <w:tcPr>
            <w:tcW w:w="5386" w:type="dxa"/>
            <w:vAlign w:val="center"/>
          </w:tcPr>
          <w:p w14:paraId="695DD879">
            <w:pPr>
              <w:pStyle w:val="13"/>
            </w:pPr>
            <w:r>
              <w:t>预算执行</w:t>
            </w:r>
          </w:p>
        </w:tc>
        <w:tc>
          <w:tcPr>
            <w:tcW w:w="2268" w:type="dxa"/>
            <w:vAlign w:val="center"/>
          </w:tcPr>
          <w:p w14:paraId="3927D978">
            <w:pPr>
              <w:pStyle w:val="13"/>
            </w:pPr>
            <w:r>
              <w:t>≥95%</w:t>
            </w:r>
          </w:p>
        </w:tc>
        <w:tc>
          <w:tcPr>
            <w:tcW w:w="1276" w:type="dxa"/>
            <w:vAlign w:val="center"/>
          </w:tcPr>
          <w:p w14:paraId="0F9F4B53">
            <w:pPr>
              <w:pStyle w:val="13"/>
            </w:pPr>
            <w:r>
              <w:t>幼儿园生均公用经费管理办法</w:t>
            </w:r>
          </w:p>
        </w:tc>
      </w:tr>
      <w:tr w14:paraId="5B10B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F832D"/>
        </w:tc>
        <w:tc>
          <w:tcPr>
            <w:tcW w:w="2268" w:type="dxa"/>
            <w:vAlign w:val="center"/>
          </w:tcPr>
          <w:p w14:paraId="3F533F04">
            <w:pPr>
              <w:pStyle w:val="13"/>
            </w:pPr>
            <w:r>
              <w:t>时效指标</w:t>
            </w:r>
          </w:p>
        </w:tc>
        <w:tc>
          <w:tcPr>
            <w:tcW w:w="2835" w:type="dxa"/>
            <w:vAlign w:val="center"/>
          </w:tcPr>
          <w:p w14:paraId="638C2A35">
            <w:pPr>
              <w:pStyle w:val="13"/>
            </w:pPr>
            <w:r>
              <w:t>资金支付率</w:t>
            </w:r>
          </w:p>
        </w:tc>
        <w:tc>
          <w:tcPr>
            <w:tcW w:w="5386" w:type="dxa"/>
            <w:vAlign w:val="center"/>
          </w:tcPr>
          <w:p w14:paraId="3513C2E9">
            <w:pPr>
              <w:pStyle w:val="13"/>
            </w:pPr>
            <w:r>
              <w:t>按照序时进度完成资金支付</w:t>
            </w:r>
          </w:p>
        </w:tc>
        <w:tc>
          <w:tcPr>
            <w:tcW w:w="2268" w:type="dxa"/>
            <w:vAlign w:val="center"/>
          </w:tcPr>
          <w:p w14:paraId="61539648">
            <w:pPr>
              <w:pStyle w:val="13"/>
            </w:pPr>
            <w:r>
              <w:t>≥100%</w:t>
            </w:r>
          </w:p>
        </w:tc>
        <w:tc>
          <w:tcPr>
            <w:tcW w:w="1276" w:type="dxa"/>
            <w:vAlign w:val="center"/>
          </w:tcPr>
          <w:p w14:paraId="49FE63B2">
            <w:pPr>
              <w:pStyle w:val="13"/>
            </w:pPr>
            <w:r>
              <w:t>幼儿园生均公用经费管理办法</w:t>
            </w:r>
          </w:p>
        </w:tc>
      </w:tr>
      <w:tr w14:paraId="212A6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CA939"/>
        </w:tc>
        <w:tc>
          <w:tcPr>
            <w:tcW w:w="2268" w:type="dxa"/>
            <w:vAlign w:val="center"/>
          </w:tcPr>
          <w:p w14:paraId="1A2C5964">
            <w:pPr>
              <w:pStyle w:val="13"/>
            </w:pPr>
            <w:r>
              <w:t>成本指标</w:t>
            </w:r>
          </w:p>
        </w:tc>
        <w:tc>
          <w:tcPr>
            <w:tcW w:w="2835" w:type="dxa"/>
            <w:vAlign w:val="center"/>
          </w:tcPr>
          <w:p w14:paraId="5BC66531">
            <w:pPr>
              <w:pStyle w:val="13"/>
            </w:pPr>
            <w:r>
              <w:t>生均拨款标准</w:t>
            </w:r>
          </w:p>
        </w:tc>
        <w:tc>
          <w:tcPr>
            <w:tcW w:w="5386" w:type="dxa"/>
            <w:vAlign w:val="center"/>
          </w:tcPr>
          <w:p w14:paraId="02844754">
            <w:pPr>
              <w:pStyle w:val="13"/>
            </w:pPr>
            <w:r>
              <w:t>学前经费600元/生/年</w:t>
            </w:r>
          </w:p>
        </w:tc>
        <w:tc>
          <w:tcPr>
            <w:tcW w:w="2268" w:type="dxa"/>
            <w:vAlign w:val="center"/>
          </w:tcPr>
          <w:p w14:paraId="3AA24B08">
            <w:pPr>
              <w:pStyle w:val="13"/>
            </w:pPr>
            <w:r>
              <w:t>600元</w:t>
            </w:r>
          </w:p>
        </w:tc>
        <w:tc>
          <w:tcPr>
            <w:tcW w:w="1276" w:type="dxa"/>
            <w:vAlign w:val="center"/>
          </w:tcPr>
          <w:p w14:paraId="68597577">
            <w:pPr>
              <w:pStyle w:val="13"/>
            </w:pPr>
            <w:r>
              <w:t>幼儿园生均公用经费管理办法</w:t>
            </w:r>
          </w:p>
        </w:tc>
      </w:tr>
      <w:tr w14:paraId="56772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D63657">
            <w:pPr>
              <w:pStyle w:val="12"/>
            </w:pPr>
            <w:r>
              <w:t>效益指标</w:t>
            </w:r>
          </w:p>
        </w:tc>
        <w:tc>
          <w:tcPr>
            <w:tcW w:w="2268" w:type="dxa"/>
            <w:vAlign w:val="center"/>
          </w:tcPr>
          <w:p w14:paraId="12D61F1A">
            <w:pPr>
              <w:pStyle w:val="13"/>
            </w:pPr>
            <w:r>
              <w:t>可持续影响指标</w:t>
            </w:r>
          </w:p>
        </w:tc>
        <w:tc>
          <w:tcPr>
            <w:tcW w:w="2835" w:type="dxa"/>
            <w:vAlign w:val="center"/>
          </w:tcPr>
          <w:p w14:paraId="59D001E2">
            <w:pPr>
              <w:pStyle w:val="13"/>
            </w:pPr>
            <w:r>
              <w:t>教育发展水平明显好转</w:t>
            </w:r>
          </w:p>
        </w:tc>
        <w:tc>
          <w:tcPr>
            <w:tcW w:w="5386" w:type="dxa"/>
            <w:vAlign w:val="center"/>
          </w:tcPr>
          <w:p w14:paraId="3C2AA211">
            <w:pPr>
              <w:pStyle w:val="13"/>
            </w:pPr>
            <w:r>
              <w:t>学生受教育年限</w:t>
            </w:r>
          </w:p>
        </w:tc>
        <w:tc>
          <w:tcPr>
            <w:tcW w:w="2268" w:type="dxa"/>
            <w:vAlign w:val="center"/>
          </w:tcPr>
          <w:p w14:paraId="18EA1F7F">
            <w:pPr>
              <w:pStyle w:val="13"/>
            </w:pPr>
            <w:r>
              <w:t>3年</w:t>
            </w:r>
          </w:p>
        </w:tc>
        <w:tc>
          <w:tcPr>
            <w:tcW w:w="1276" w:type="dxa"/>
            <w:vAlign w:val="center"/>
          </w:tcPr>
          <w:p w14:paraId="338722E0">
            <w:pPr>
              <w:pStyle w:val="13"/>
            </w:pPr>
            <w:r>
              <w:t>幼儿园生均公用经费管理办法</w:t>
            </w:r>
          </w:p>
        </w:tc>
      </w:tr>
      <w:tr w14:paraId="29E5E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2C5C09">
            <w:pPr>
              <w:pStyle w:val="12"/>
            </w:pPr>
            <w:r>
              <w:t>满意度指标</w:t>
            </w:r>
          </w:p>
        </w:tc>
        <w:tc>
          <w:tcPr>
            <w:tcW w:w="2268" w:type="dxa"/>
            <w:vAlign w:val="center"/>
          </w:tcPr>
          <w:p w14:paraId="47706F59">
            <w:pPr>
              <w:pStyle w:val="13"/>
            </w:pPr>
            <w:r>
              <w:t>服务对象满意度指标</w:t>
            </w:r>
          </w:p>
        </w:tc>
        <w:tc>
          <w:tcPr>
            <w:tcW w:w="2835" w:type="dxa"/>
            <w:vAlign w:val="center"/>
          </w:tcPr>
          <w:p w14:paraId="6DBDE7C2">
            <w:pPr>
              <w:pStyle w:val="13"/>
            </w:pPr>
            <w:r>
              <w:t>受益学生家长及调查满意度</w:t>
            </w:r>
          </w:p>
        </w:tc>
        <w:tc>
          <w:tcPr>
            <w:tcW w:w="5386" w:type="dxa"/>
            <w:vAlign w:val="center"/>
          </w:tcPr>
          <w:p w14:paraId="3B1BC90D">
            <w:pPr>
              <w:pStyle w:val="13"/>
            </w:pPr>
            <w:r>
              <w:t>学生、教师及家长对学校保教保育工作满意度情况</w:t>
            </w:r>
          </w:p>
        </w:tc>
        <w:tc>
          <w:tcPr>
            <w:tcW w:w="2268" w:type="dxa"/>
            <w:vAlign w:val="center"/>
          </w:tcPr>
          <w:p w14:paraId="1530900C">
            <w:pPr>
              <w:pStyle w:val="13"/>
            </w:pPr>
            <w:r>
              <w:t>≥95%</w:t>
            </w:r>
          </w:p>
        </w:tc>
        <w:tc>
          <w:tcPr>
            <w:tcW w:w="1276" w:type="dxa"/>
            <w:vAlign w:val="center"/>
          </w:tcPr>
          <w:p w14:paraId="014DF86C">
            <w:pPr>
              <w:pStyle w:val="13"/>
            </w:pPr>
            <w:r>
              <w:t>调查问卷</w:t>
            </w:r>
          </w:p>
        </w:tc>
      </w:tr>
    </w:tbl>
    <w:p w14:paraId="06A6F9ED">
      <w:pPr>
        <w:sectPr>
          <w:pgSz w:w="16840" w:h="11900" w:orient="landscape"/>
          <w:pgMar w:top="1361" w:right="1020" w:bottom="1134" w:left="1020" w:header="720" w:footer="720" w:gutter="0"/>
          <w:cols w:space="720" w:num="1"/>
        </w:sectPr>
      </w:pPr>
    </w:p>
    <w:p w14:paraId="0C65D524">
      <w:pPr>
        <w:spacing w:before="0" w:after="0"/>
        <w:ind w:firstLine="560"/>
        <w:jc w:val="left"/>
        <w:outlineLvl w:val="9"/>
      </w:pPr>
      <w:r>
        <w:rPr>
          <w:rFonts w:ascii="方正仿宋_GBK" w:hAnsi="方正仿宋_GBK" w:eastAsia="方正仿宋_GBK" w:cs="方正仿宋_GBK"/>
          <w:b/>
          <w:color w:val="000000"/>
          <w:sz w:val="28"/>
        </w:rPr>
        <w:t>55、冀财教[2024]142号/省级/2025年学前发展资金/隆尧县白家寨阳光幼儿园学前教育公用经费绩效目标表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61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96D94">
            <w:pPr>
              <w:pStyle w:val="14"/>
            </w:pPr>
            <w:r>
              <w:t>单位：万元</w:t>
            </w:r>
          </w:p>
        </w:tc>
      </w:tr>
      <w:tr w14:paraId="20B70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E83E8F">
            <w:pPr>
              <w:pStyle w:val="11"/>
            </w:pPr>
            <w:r>
              <w:t>项目编码</w:t>
            </w:r>
          </w:p>
        </w:tc>
        <w:tc>
          <w:tcPr>
            <w:tcW w:w="5103" w:type="dxa"/>
            <w:gridSpan w:val="2"/>
            <w:vAlign w:val="center"/>
          </w:tcPr>
          <w:p w14:paraId="791D06B1">
            <w:pPr>
              <w:pStyle w:val="13"/>
            </w:pPr>
            <w:r>
              <w:t>13052525P00875710051Y</w:t>
            </w:r>
          </w:p>
        </w:tc>
        <w:tc>
          <w:tcPr>
            <w:tcW w:w="2835" w:type="dxa"/>
            <w:vAlign w:val="center"/>
          </w:tcPr>
          <w:p w14:paraId="2EEFD0BB">
            <w:pPr>
              <w:pStyle w:val="11"/>
            </w:pPr>
            <w:r>
              <w:t>项目名称</w:t>
            </w:r>
          </w:p>
        </w:tc>
        <w:tc>
          <w:tcPr>
            <w:tcW w:w="6095" w:type="dxa"/>
            <w:gridSpan w:val="3"/>
            <w:vAlign w:val="center"/>
          </w:tcPr>
          <w:p w14:paraId="2BEACB8D">
            <w:pPr>
              <w:pStyle w:val="13"/>
            </w:pPr>
            <w:r>
              <w:t>冀财教[2024]142号/省级/2025年学前发展资金/隆尧县白家寨阳光幼儿园学前教育公用经费</w:t>
            </w:r>
          </w:p>
        </w:tc>
      </w:tr>
      <w:tr w14:paraId="343CE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106F6">
            <w:pPr>
              <w:pStyle w:val="11"/>
            </w:pPr>
            <w:r>
              <w:t>预算规模及资金用途</w:t>
            </w:r>
          </w:p>
        </w:tc>
        <w:tc>
          <w:tcPr>
            <w:tcW w:w="2268" w:type="dxa"/>
            <w:vAlign w:val="center"/>
          </w:tcPr>
          <w:p w14:paraId="11A1E361">
            <w:pPr>
              <w:pStyle w:val="11"/>
            </w:pPr>
            <w:r>
              <w:t>预算数</w:t>
            </w:r>
          </w:p>
        </w:tc>
        <w:tc>
          <w:tcPr>
            <w:tcW w:w="2835" w:type="dxa"/>
            <w:vAlign w:val="center"/>
          </w:tcPr>
          <w:p w14:paraId="50B60815">
            <w:pPr>
              <w:pStyle w:val="13"/>
            </w:pPr>
            <w:r>
              <w:t>0.57</w:t>
            </w:r>
          </w:p>
        </w:tc>
        <w:tc>
          <w:tcPr>
            <w:tcW w:w="2835" w:type="dxa"/>
            <w:vAlign w:val="center"/>
          </w:tcPr>
          <w:p w14:paraId="25B1AE70">
            <w:pPr>
              <w:pStyle w:val="11"/>
            </w:pPr>
            <w:r>
              <w:t>其中：财政    资金</w:t>
            </w:r>
          </w:p>
        </w:tc>
        <w:tc>
          <w:tcPr>
            <w:tcW w:w="2551" w:type="dxa"/>
            <w:vAlign w:val="center"/>
          </w:tcPr>
          <w:p w14:paraId="20083550">
            <w:pPr>
              <w:pStyle w:val="13"/>
            </w:pPr>
            <w:r>
              <w:t>0.57</w:t>
            </w:r>
          </w:p>
        </w:tc>
        <w:tc>
          <w:tcPr>
            <w:tcW w:w="2268" w:type="dxa"/>
            <w:vAlign w:val="center"/>
          </w:tcPr>
          <w:p w14:paraId="1F3615D1">
            <w:pPr>
              <w:pStyle w:val="11"/>
            </w:pPr>
            <w:r>
              <w:t>其他资金</w:t>
            </w:r>
          </w:p>
        </w:tc>
        <w:tc>
          <w:tcPr>
            <w:tcW w:w="1276" w:type="dxa"/>
            <w:vAlign w:val="center"/>
          </w:tcPr>
          <w:p w14:paraId="09A009FC">
            <w:pPr>
              <w:pStyle w:val="13"/>
            </w:pPr>
            <w:r>
              <w:t xml:space="preserve"> </w:t>
            </w:r>
          </w:p>
        </w:tc>
      </w:tr>
      <w:tr w14:paraId="2DEF4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636D67"/>
        </w:tc>
        <w:tc>
          <w:tcPr>
            <w:tcW w:w="14033" w:type="dxa"/>
            <w:gridSpan w:val="6"/>
            <w:vAlign w:val="center"/>
          </w:tcPr>
          <w:p w14:paraId="163DFC3B">
            <w:pPr>
              <w:pStyle w:val="13"/>
            </w:pPr>
            <w:r>
              <w:t>按季度分批次拨付安排公用经费资金，学校按照预算安排进行资金使用，保证资金正常支出。</w:t>
            </w:r>
          </w:p>
        </w:tc>
      </w:tr>
      <w:tr w14:paraId="095D7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0D542">
            <w:pPr>
              <w:pStyle w:val="11"/>
            </w:pPr>
            <w:r>
              <w:t>资金支出计划（%）</w:t>
            </w:r>
          </w:p>
        </w:tc>
        <w:tc>
          <w:tcPr>
            <w:tcW w:w="5103" w:type="dxa"/>
            <w:gridSpan w:val="2"/>
            <w:vAlign w:val="center"/>
          </w:tcPr>
          <w:p w14:paraId="256633AA">
            <w:pPr>
              <w:pStyle w:val="11"/>
            </w:pPr>
            <w:r>
              <w:t>3月底</w:t>
            </w:r>
          </w:p>
        </w:tc>
        <w:tc>
          <w:tcPr>
            <w:tcW w:w="2835" w:type="dxa"/>
            <w:vAlign w:val="center"/>
          </w:tcPr>
          <w:p w14:paraId="0F556458">
            <w:pPr>
              <w:pStyle w:val="11"/>
            </w:pPr>
            <w:r>
              <w:t>6月底</w:t>
            </w:r>
          </w:p>
        </w:tc>
        <w:tc>
          <w:tcPr>
            <w:tcW w:w="2551" w:type="dxa"/>
            <w:vAlign w:val="center"/>
          </w:tcPr>
          <w:p w14:paraId="24AD00EF">
            <w:pPr>
              <w:pStyle w:val="11"/>
            </w:pPr>
            <w:r>
              <w:t>10月底</w:t>
            </w:r>
          </w:p>
        </w:tc>
        <w:tc>
          <w:tcPr>
            <w:tcW w:w="3544" w:type="dxa"/>
            <w:gridSpan w:val="2"/>
            <w:vAlign w:val="center"/>
          </w:tcPr>
          <w:p w14:paraId="67D95370">
            <w:pPr>
              <w:pStyle w:val="11"/>
            </w:pPr>
            <w:r>
              <w:t>12月底</w:t>
            </w:r>
          </w:p>
        </w:tc>
      </w:tr>
      <w:tr w14:paraId="2D436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2FBEF3"/>
        </w:tc>
        <w:tc>
          <w:tcPr>
            <w:tcW w:w="5103" w:type="dxa"/>
            <w:gridSpan w:val="2"/>
            <w:vAlign w:val="center"/>
          </w:tcPr>
          <w:p w14:paraId="6F6CAC38">
            <w:pPr>
              <w:pStyle w:val="12"/>
            </w:pPr>
            <w:r>
              <w:t xml:space="preserve"> </w:t>
            </w:r>
          </w:p>
        </w:tc>
        <w:tc>
          <w:tcPr>
            <w:tcW w:w="2835" w:type="dxa"/>
            <w:vAlign w:val="center"/>
          </w:tcPr>
          <w:p w14:paraId="42FB3B98">
            <w:pPr>
              <w:pStyle w:val="12"/>
            </w:pPr>
            <w:r>
              <w:t>50%</w:t>
            </w:r>
          </w:p>
        </w:tc>
        <w:tc>
          <w:tcPr>
            <w:tcW w:w="2551" w:type="dxa"/>
            <w:vAlign w:val="center"/>
          </w:tcPr>
          <w:p w14:paraId="660F6183">
            <w:pPr>
              <w:pStyle w:val="12"/>
            </w:pPr>
            <w:r>
              <w:t>75%</w:t>
            </w:r>
          </w:p>
        </w:tc>
        <w:tc>
          <w:tcPr>
            <w:tcW w:w="3544" w:type="dxa"/>
            <w:gridSpan w:val="2"/>
            <w:vAlign w:val="center"/>
          </w:tcPr>
          <w:p w14:paraId="0EE38F05">
            <w:pPr>
              <w:pStyle w:val="12"/>
            </w:pPr>
            <w:r>
              <w:t>100%</w:t>
            </w:r>
          </w:p>
        </w:tc>
      </w:tr>
      <w:tr w14:paraId="02315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D82F0C">
            <w:pPr>
              <w:pStyle w:val="11"/>
            </w:pPr>
            <w:r>
              <w:t>绩效目标</w:t>
            </w:r>
          </w:p>
        </w:tc>
        <w:tc>
          <w:tcPr>
            <w:tcW w:w="14033" w:type="dxa"/>
            <w:gridSpan w:val="6"/>
            <w:vAlign w:val="center"/>
          </w:tcPr>
          <w:p w14:paraId="39A56016">
            <w:pPr>
              <w:pStyle w:val="13"/>
            </w:pPr>
            <w:r>
              <w:t>1.按季度分批次拨付安排公用经费资金，学校按照预算安排进行资金使用，保证资金正常支出。</w:t>
            </w:r>
          </w:p>
        </w:tc>
      </w:tr>
    </w:tbl>
    <w:p w14:paraId="38DB1A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CF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CC81D">
            <w:pPr>
              <w:pStyle w:val="11"/>
            </w:pPr>
            <w:r>
              <w:t>一级指标</w:t>
            </w:r>
          </w:p>
        </w:tc>
        <w:tc>
          <w:tcPr>
            <w:tcW w:w="2268" w:type="dxa"/>
            <w:vAlign w:val="center"/>
          </w:tcPr>
          <w:p w14:paraId="6410892A">
            <w:pPr>
              <w:pStyle w:val="11"/>
            </w:pPr>
            <w:r>
              <w:t>二级指标</w:t>
            </w:r>
          </w:p>
        </w:tc>
        <w:tc>
          <w:tcPr>
            <w:tcW w:w="2835" w:type="dxa"/>
            <w:vAlign w:val="center"/>
          </w:tcPr>
          <w:p w14:paraId="55CF8607">
            <w:pPr>
              <w:pStyle w:val="11"/>
            </w:pPr>
            <w:r>
              <w:t>三级指标</w:t>
            </w:r>
          </w:p>
        </w:tc>
        <w:tc>
          <w:tcPr>
            <w:tcW w:w="5386" w:type="dxa"/>
            <w:vAlign w:val="center"/>
          </w:tcPr>
          <w:p w14:paraId="36117279">
            <w:pPr>
              <w:pStyle w:val="11"/>
            </w:pPr>
            <w:r>
              <w:t>绩效指标描述</w:t>
            </w:r>
          </w:p>
        </w:tc>
        <w:tc>
          <w:tcPr>
            <w:tcW w:w="2268" w:type="dxa"/>
            <w:vAlign w:val="center"/>
          </w:tcPr>
          <w:p w14:paraId="3F0DF1DD">
            <w:pPr>
              <w:pStyle w:val="11"/>
            </w:pPr>
            <w:r>
              <w:t>指标值</w:t>
            </w:r>
          </w:p>
        </w:tc>
        <w:tc>
          <w:tcPr>
            <w:tcW w:w="1276" w:type="dxa"/>
            <w:vAlign w:val="center"/>
          </w:tcPr>
          <w:p w14:paraId="4DB15472">
            <w:pPr>
              <w:pStyle w:val="11"/>
            </w:pPr>
            <w:r>
              <w:t>指标值确定依据</w:t>
            </w:r>
          </w:p>
        </w:tc>
      </w:tr>
      <w:tr w14:paraId="71AC7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1A58F">
            <w:pPr>
              <w:pStyle w:val="12"/>
            </w:pPr>
            <w:r>
              <w:t>产出指标</w:t>
            </w:r>
          </w:p>
        </w:tc>
        <w:tc>
          <w:tcPr>
            <w:tcW w:w="2268" w:type="dxa"/>
            <w:vAlign w:val="center"/>
          </w:tcPr>
          <w:p w14:paraId="75E5C23D">
            <w:pPr>
              <w:pStyle w:val="13"/>
            </w:pPr>
            <w:r>
              <w:t>数量指标</w:t>
            </w:r>
          </w:p>
        </w:tc>
        <w:tc>
          <w:tcPr>
            <w:tcW w:w="2835" w:type="dxa"/>
            <w:vAlign w:val="center"/>
          </w:tcPr>
          <w:p w14:paraId="553391F5">
            <w:pPr>
              <w:pStyle w:val="13"/>
            </w:pPr>
            <w:r>
              <w:t>适龄在校生</w:t>
            </w:r>
          </w:p>
        </w:tc>
        <w:tc>
          <w:tcPr>
            <w:tcW w:w="5386" w:type="dxa"/>
            <w:vAlign w:val="center"/>
          </w:tcPr>
          <w:p w14:paraId="25C77652">
            <w:pPr>
              <w:pStyle w:val="13"/>
            </w:pPr>
            <w:r>
              <w:t>辖区内适龄儿童全覆盖</w:t>
            </w:r>
          </w:p>
        </w:tc>
        <w:tc>
          <w:tcPr>
            <w:tcW w:w="2268" w:type="dxa"/>
            <w:vAlign w:val="center"/>
          </w:tcPr>
          <w:p w14:paraId="5261930B">
            <w:pPr>
              <w:pStyle w:val="13"/>
            </w:pPr>
            <w:r>
              <w:t>38人</w:t>
            </w:r>
          </w:p>
        </w:tc>
        <w:tc>
          <w:tcPr>
            <w:tcW w:w="1276" w:type="dxa"/>
            <w:vAlign w:val="center"/>
          </w:tcPr>
          <w:p w14:paraId="70500BF7">
            <w:pPr>
              <w:pStyle w:val="13"/>
            </w:pPr>
            <w:r>
              <w:t>幼儿园生均公用经费管理办法</w:t>
            </w:r>
          </w:p>
        </w:tc>
      </w:tr>
      <w:tr w14:paraId="30FE6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25052"/>
        </w:tc>
        <w:tc>
          <w:tcPr>
            <w:tcW w:w="2268" w:type="dxa"/>
            <w:vAlign w:val="center"/>
          </w:tcPr>
          <w:p w14:paraId="395E8DE8">
            <w:pPr>
              <w:pStyle w:val="13"/>
            </w:pPr>
            <w:r>
              <w:t>质量指标</w:t>
            </w:r>
          </w:p>
        </w:tc>
        <w:tc>
          <w:tcPr>
            <w:tcW w:w="2835" w:type="dxa"/>
            <w:vAlign w:val="center"/>
          </w:tcPr>
          <w:p w14:paraId="6EDB7134">
            <w:pPr>
              <w:pStyle w:val="13"/>
            </w:pPr>
            <w:r>
              <w:t>预算控制率</w:t>
            </w:r>
          </w:p>
        </w:tc>
        <w:tc>
          <w:tcPr>
            <w:tcW w:w="5386" w:type="dxa"/>
            <w:vAlign w:val="center"/>
          </w:tcPr>
          <w:p w14:paraId="1E13741B">
            <w:pPr>
              <w:pStyle w:val="13"/>
            </w:pPr>
            <w:r>
              <w:t>预算执行</w:t>
            </w:r>
          </w:p>
        </w:tc>
        <w:tc>
          <w:tcPr>
            <w:tcW w:w="2268" w:type="dxa"/>
            <w:vAlign w:val="center"/>
          </w:tcPr>
          <w:p w14:paraId="5F283758">
            <w:pPr>
              <w:pStyle w:val="13"/>
            </w:pPr>
            <w:r>
              <w:t>≥95%</w:t>
            </w:r>
          </w:p>
        </w:tc>
        <w:tc>
          <w:tcPr>
            <w:tcW w:w="1276" w:type="dxa"/>
            <w:vAlign w:val="center"/>
          </w:tcPr>
          <w:p w14:paraId="5B422998">
            <w:pPr>
              <w:pStyle w:val="13"/>
            </w:pPr>
            <w:r>
              <w:t>幼儿园生均公用经费管理办法</w:t>
            </w:r>
          </w:p>
        </w:tc>
      </w:tr>
      <w:tr w14:paraId="5A4E7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E830D"/>
        </w:tc>
        <w:tc>
          <w:tcPr>
            <w:tcW w:w="2268" w:type="dxa"/>
            <w:vAlign w:val="center"/>
          </w:tcPr>
          <w:p w14:paraId="4CA1F1F4">
            <w:pPr>
              <w:pStyle w:val="13"/>
            </w:pPr>
            <w:r>
              <w:t>时效指标</w:t>
            </w:r>
          </w:p>
        </w:tc>
        <w:tc>
          <w:tcPr>
            <w:tcW w:w="2835" w:type="dxa"/>
            <w:vAlign w:val="center"/>
          </w:tcPr>
          <w:p w14:paraId="028FE9FD">
            <w:pPr>
              <w:pStyle w:val="13"/>
            </w:pPr>
            <w:r>
              <w:t>资金支付率</w:t>
            </w:r>
          </w:p>
        </w:tc>
        <w:tc>
          <w:tcPr>
            <w:tcW w:w="5386" w:type="dxa"/>
            <w:vAlign w:val="center"/>
          </w:tcPr>
          <w:p w14:paraId="74F4447A">
            <w:pPr>
              <w:pStyle w:val="13"/>
            </w:pPr>
            <w:r>
              <w:t>按照序时进度完成资金支付</w:t>
            </w:r>
          </w:p>
        </w:tc>
        <w:tc>
          <w:tcPr>
            <w:tcW w:w="2268" w:type="dxa"/>
            <w:vAlign w:val="center"/>
          </w:tcPr>
          <w:p w14:paraId="08F7FDAA">
            <w:pPr>
              <w:pStyle w:val="13"/>
            </w:pPr>
            <w:r>
              <w:t>≥100%</w:t>
            </w:r>
          </w:p>
        </w:tc>
        <w:tc>
          <w:tcPr>
            <w:tcW w:w="1276" w:type="dxa"/>
            <w:vAlign w:val="center"/>
          </w:tcPr>
          <w:p w14:paraId="3A5735B7">
            <w:pPr>
              <w:pStyle w:val="13"/>
            </w:pPr>
            <w:r>
              <w:t>幼儿园生均公用经费管理办法</w:t>
            </w:r>
          </w:p>
        </w:tc>
      </w:tr>
      <w:tr w14:paraId="4CF9B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B7637"/>
        </w:tc>
        <w:tc>
          <w:tcPr>
            <w:tcW w:w="2268" w:type="dxa"/>
            <w:vAlign w:val="center"/>
          </w:tcPr>
          <w:p w14:paraId="7176F71E">
            <w:pPr>
              <w:pStyle w:val="13"/>
            </w:pPr>
            <w:r>
              <w:t>成本指标</w:t>
            </w:r>
          </w:p>
        </w:tc>
        <w:tc>
          <w:tcPr>
            <w:tcW w:w="2835" w:type="dxa"/>
            <w:vAlign w:val="center"/>
          </w:tcPr>
          <w:p w14:paraId="045FAF09">
            <w:pPr>
              <w:pStyle w:val="13"/>
            </w:pPr>
            <w:r>
              <w:t>生均拨款标准</w:t>
            </w:r>
          </w:p>
        </w:tc>
        <w:tc>
          <w:tcPr>
            <w:tcW w:w="5386" w:type="dxa"/>
            <w:vAlign w:val="center"/>
          </w:tcPr>
          <w:p w14:paraId="48165A96">
            <w:pPr>
              <w:pStyle w:val="13"/>
            </w:pPr>
            <w:r>
              <w:t>学前经费600元/生/年</w:t>
            </w:r>
          </w:p>
        </w:tc>
        <w:tc>
          <w:tcPr>
            <w:tcW w:w="2268" w:type="dxa"/>
            <w:vAlign w:val="center"/>
          </w:tcPr>
          <w:p w14:paraId="667C3219">
            <w:pPr>
              <w:pStyle w:val="13"/>
            </w:pPr>
            <w:r>
              <w:t>600元</w:t>
            </w:r>
          </w:p>
        </w:tc>
        <w:tc>
          <w:tcPr>
            <w:tcW w:w="1276" w:type="dxa"/>
            <w:vAlign w:val="center"/>
          </w:tcPr>
          <w:p w14:paraId="482AE5C6">
            <w:pPr>
              <w:pStyle w:val="13"/>
            </w:pPr>
            <w:r>
              <w:t>幼儿园生均公用经费管理办法</w:t>
            </w:r>
          </w:p>
        </w:tc>
      </w:tr>
      <w:tr w14:paraId="7F209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F3C7F2">
            <w:pPr>
              <w:pStyle w:val="12"/>
            </w:pPr>
            <w:r>
              <w:t>效益指标</w:t>
            </w:r>
          </w:p>
        </w:tc>
        <w:tc>
          <w:tcPr>
            <w:tcW w:w="2268" w:type="dxa"/>
            <w:vAlign w:val="center"/>
          </w:tcPr>
          <w:p w14:paraId="7197A2F2">
            <w:pPr>
              <w:pStyle w:val="13"/>
            </w:pPr>
            <w:r>
              <w:t>可持续影响指标</w:t>
            </w:r>
          </w:p>
        </w:tc>
        <w:tc>
          <w:tcPr>
            <w:tcW w:w="2835" w:type="dxa"/>
            <w:vAlign w:val="center"/>
          </w:tcPr>
          <w:p w14:paraId="0419F494">
            <w:pPr>
              <w:pStyle w:val="13"/>
            </w:pPr>
            <w:r>
              <w:t>教育发展水平明显好转</w:t>
            </w:r>
          </w:p>
        </w:tc>
        <w:tc>
          <w:tcPr>
            <w:tcW w:w="5386" w:type="dxa"/>
            <w:vAlign w:val="center"/>
          </w:tcPr>
          <w:p w14:paraId="3D500A95">
            <w:pPr>
              <w:pStyle w:val="13"/>
            </w:pPr>
            <w:r>
              <w:t>学生受教育年限</w:t>
            </w:r>
          </w:p>
        </w:tc>
        <w:tc>
          <w:tcPr>
            <w:tcW w:w="2268" w:type="dxa"/>
            <w:vAlign w:val="center"/>
          </w:tcPr>
          <w:p w14:paraId="66B91439">
            <w:pPr>
              <w:pStyle w:val="13"/>
            </w:pPr>
            <w:r>
              <w:t>3年</w:t>
            </w:r>
          </w:p>
        </w:tc>
        <w:tc>
          <w:tcPr>
            <w:tcW w:w="1276" w:type="dxa"/>
            <w:vAlign w:val="center"/>
          </w:tcPr>
          <w:p w14:paraId="036B85C5">
            <w:pPr>
              <w:pStyle w:val="13"/>
            </w:pPr>
            <w:r>
              <w:t>幼儿园生均公用经费管理办法</w:t>
            </w:r>
          </w:p>
        </w:tc>
      </w:tr>
      <w:tr w14:paraId="60937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A1B41">
            <w:pPr>
              <w:pStyle w:val="12"/>
            </w:pPr>
            <w:r>
              <w:t>满意度指标</w:t>
            </w:r>
          </w:p>
        </w:tc>
        <w:tc>
          <w:tcPr>
            <w:tcW w:w="2268" w:type="dxa"/>
            <w:vAlign w:val="center"/>
          </w:tcPr>
          <w:p w14:paraId="628284AD">
            <w:pPr>
              <w:pStyle w:val="13"/>
            </w:pPr>
            <w:r>
              <w:t>服务对象满意度指标</w:t>
            </w:r>
          </w:p>
        </w:tc>
        <w:tc>
          <w:tcPr>
            <w:tcW w:w="2835" w:type="dxa"/>
            <w:vAlign w:val="center"/>
          </w:tcPr>
          <w:p w14:paraId="481EFC0A">
            <w:pPr>
              <w:pStyle w:val="13"/>
            </w:pPr>
            <w:r>
              <w:t>受益学生家长及调查满意度</w:t>
            </w:r>
          </w:p>
        </w:tc>
        <w:tc>
          <w:tcPr>
            <w:tcW w:w="5386" w:type="dxa"/>
            <w:vAlign w:val="center"/>
          </w:tcPr>
          <w:p w14:paraId="692205A7">
            <w:pPr>
              <w:pStyle w:val="13"/>
            </w:pPr>
            <w:r>
              <w:t>学生、教师及家长对学校保教保育工作满意度情况</w:t>
            </w:r>
          </w:p>
        </w:tc>
        <w:tc>
          <w:tcPr>
            <w:tcW w:w="2268" w:type="dxa"/>
            <w:vAlign w:val="center"/>
          </w:tcPr>
          <w:p w14:paraId="20C91A76">
            <w:pPr>
              <w:pStyle w:val="13"/>
            </w:pPr>
            <w:r>
              <w:t>≥95%</w:t>
            </w:r>
          </w:p>
        </w:tc>
        <w:tc>
          <w:tcPr>
            <w:tcW w:w="1276" w:type="dxa"/>
            <w:vAlign w:val="center"/>
          </w:tcPr>
          <w:p w14:paraId="4563AA1E">
            <w:pPr>
              <w:pStyle w:val="13"/>
            </w:pPr>
            <w:r>
              <w:t>调查问卷</w:t>
            </w:r>
          </w:p>
        </w:tc>
      </w:tr>
    </w:tbl>
    <w:p w14:paraId="0EE9A5C1">
      <w:pPr>
        <w:sectPr>
          <w:pgSz w:w="16840" w:h="11900" w:orient="landscape"/>
          <w:pgMar w:top="1361" w:right="1020" w:bottom="1134" w:left="1020" w:header="720" w:footer="720" w:gutter="0"/>
          <w:cols w:space="720" w:num="1"/>
        </w:sectPr>
      </w:pPr>
    </w:p>
    <w:p w14:paraId="64E9529F">
      <w:pPr>
        <w:spacing w:before="0" w:after="0"/>
        <w:ind w:firstLine="560"/>
        <w:jc w:val="left"/>
        <w:outlineLvl w:val="9"/>
      </w:pPr>
      <w:r>
        <w:rPr>
          <w:rFonts w:ascii="方正仿宋_GBK" w:hAnsi="方正仿宋_GBK" w:eastAsia="方正仿宋_GBK" w:cs="方正仿宋_GBK"/>
          <w:b/>
          <w:color w:val="000000"/>
          <w:sz w:val="28"/>
        </w:rPr>
        <w:t>56、冀财教[2024]142号/省级/2025年学前发展资金/隆尧县宝贝佳幼儿园学前教育公用经费绩效目标表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34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1DA35">
            <w:pPr>
              <w:pStyle w:val="14"/>
            </w:pPr>
            <w:r>
              <w:t>单位：万元</w:t>
            </w:r>
          </w:p>
        </w:tc>
      </w:tr>
      <w:tr w14:paraId="7F4F8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9000D">
            <w:pPr>
              <w:pStyle w:val="11"/>
            </w:pPr>
            <w:r>
              <w:t>项目编码</w:t>
            </w:r>
          </w:p>
        </w:tc>
        <w:tc>
          <w:tcPr>
            <w:tcW w:w="5103" w:type="dxa"/>
            <w:gridSpan w:val="2"/>
            <w:vAlign w:val="center"/>
          </w:tcPr>
          <w:p w14:paraId="09B884C5">
            <w:pPr>
              <w:pStyle w:val="13"/>
            </w:pPr>
            <w:r>
              <w:t>13052525P00875710032T</w:t>
            </w:r>
          </w:p>
        </w:tc>
        <w:tc>
          <w:tcPr>
            <w:tcW w:w="2835" w:type="dxa"/>
            <w:vAlign w:val="center"/>
          </w:tcPr>
          <w:p w14:paraId="26005BAB">
            <w:pPr>
              <w:pStyle w:val="11"/>
            </w:pPr>
            <w:r>
              <w:t>项目名称</w:t>
            </w:r>
          </w:p>
        </w:tc>
        <w:tc>
          <w:tcPr>
            <w:tcW w:w="6095" w:type="dxa"/>
            <w:gridSpan w:val="3"/>
            <w:vAlign w:val="center"/>
          </w:tcPr>
          <w:p w14:paraId="7354767B">
            <w:pPr>
              <w:pStyle w:val="13"/>
            </w:pPr>
            <w:r>
              <w:t>冀财教[2024]142号/省级/2025年学前发展资金/隆尧县宝贝佳幼儿园学前教育公用经费</w:t>
            </w:r>
          </w:p>
        </w:tc>
      </w:tr>
      <w:tr w14:paraId="61E9A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1E886">
            <w:pPr>
              <w:pStyle w:val="11"/>
            </w:pPr>
            <w:r>
              <w:t>预算规模及资金用途</w:t>
            </w:r>
          </w:p>
        </w:tc>
        <w:tc>
          <w:tcPr>
            <w:tcW w:w="2268" w:type="dxa"/>
            <w:vAlign w:val="center"/>
          </w:tcPr>
          <w:p w14:paraId="1ADE5F10">
            <w:pPr>
              <w:pStyle w:val="11"/>
            </w:pPr>
            <w:r>
              <w:t>预算数</w:t>
            </w:r>
          </w:p>
        </w:tc>
        <w:tc>
          <w:tcPr>
            <w:tcW w:w="2835" w:type="dxa"/>
            <w:vAlign w:val="center"/>
          </w:tcPr>
          <w:p w14:paraId="349AD0E6">
            <w:pPr>
              <w:pStyle w:val="13"/>
            </w:pPr>
            <w:r>
              <w:t>1.34</w:t>
            </w:r>
          </w:p>
        </w:tc>
        <w:tc>
          <w:tcPr>
            <w:tcW w:w="2835" w:type="dxa"/>
            <w:vAlign w:val="center"/>
          </w:tcPr>
          <w:p w14:paraId="54164A74">
            <w:pPr>
              <w:pStyle w:val="11"/>
            </w:pPr>
            <w:r>
              <w:t>其中：财政    资金</w:t>
            </w:r>
          </w:p>
        </w:tc>
        <w:tc>
          <w:tcPr>
            <w:tcW w:w="2551" w:type="dxa"/>
            <w:vAlign w:val="center"/>
          </w:tcPr>
          <w:p w14:paraId="773F3FC6">
            <w:pPr>
              <w:pStyle w:val="13"/>
            </w:pPr>
            <w:r>
              <w:t>1.34</w:t>
            </w:r>
          </w:p>
        </w:tc>
        <w:tc>
          <w:tcPr>
            <w:tcW w:w="2268" w:type="dxa"/>
            <w:vAlign w:val="center"/>
          </w:tcPr>
          <w:p w14:paraId="1CC87814">
            <w:pPr>
              <w:pStyle w:val="11"/>
            </w:pPr>
            <w:r>
              <w:t>其他资金</w:t>
            </w:r>
          </w:p>
        </w:tc>
        <w:tc>
          <w:tcPr>
            <w:tcW w:w="1276" w:type="dxa"/>
            <w:vAlign w:val="center"/>
          </w:tcPr>
          <w:p w14:paraId="692C5995">
            <w:pPr>
              <w:pStyle w:val="13"/>
            </w:pPr>
            <w:r>
              <w:t xml:space="preserve"> </w:t>
            </w:r>
          </w:p>
        </w:tc>
      </w:tr>
      <w:tr w14:paraId="1626A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E02446"/>
        </w:tc>
        <w:tc>
          <w:tcPr>
            <w:tcW w:w="14033" w:type="dxa"/>
            <w:gridSpan w:val="6"/>
            <w:vAlign w:val="center"/>
          </w:tcPr>
          <w:p w14:paraId="33F6AD4F">
            <w:pPr>
              <w:pStyle w:val="13"/>
            </w:pPr>
            <w:r>
              <w:t>按季度分批次拨付安排公用经费资金，学校按照预算安排进行资金使用，保证资金正常支出。</w:t>
            </w:r>
          </w:p>
        </w:tc>
      </w:tr>
      <w:tr w14:paraId="7FE24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87A70">
            <w:pPr>
              <w:pStyle w:val="11"/>
            </w:pPr>
            <w:r>
              <w:t>资金支出计划（%）</w:t>
            </w:r>
          </w:p>
        </w:tc>
        <w:tc>
          <w:tcPr>
            <w:tcW w:w="5103" w:type="dxa"/>
            <w:gridSpan w:val="2"/>
            <w:vAlign w:val="center"/>
          </w:tcPr>
          <w:p w14:paraId="2778C9F1">
            <w:pPr>
              <w:pStyle w:val="11"/>
            </w:pPr>
            <w:r>
              <w:t>3月底</w:t>
            </w:r>
          </w:p>
        </w:tc>
        <w:tc>
          <w:tcPr>
            <w:tcW w:w="2835" w:type="dxa"/>
            <w:vAlign w:val="center"/>
          </w:tcPr>
          <w:p w14:paraId="1B8EB814">
            <w:pPr>
              <w:pStyle w:val="11"/>
            </w:pPr>
            <w:r>
              <w:t>6月底</w:t>
            </w:r>
          </w:p>
        </w:tc>
        <w:tc>
          <w:tcPr>
            <w:tcW w:w="2551" w:type="dxa"/>
            <w:vAlign w:val="center"/>
          </w:tcPr>
          <w:p w14:paraId="2DDFF572">
            <w:pPr>
              <w:pStyle w:val="11"/>
            </w:pPr>
            <w:r>
              <w:t>10月底</w:t>
            </w:r>
          </w:p>
        </w:tc>
        <w:tc>
          <w:tcPr>
            <w:tcW w:w="3544" w:type="dxa"/>
            <w:gridSpan w:val="2"/>
            <w:vAlign w:val="center"/>
          </w:tcPr>
          <w:p w14:paraId="6B182921">
            <w:pPr>
              <w:pStyle w:val="11"/>
            </w:pPr>
            <w:r>
              <w:t>12月底</w:t>
            </w:r>
          </w:p>
        </w:tc>
      </w:tr>
      <w:tr w14:paraId="656A2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1396F"/>
        </w:tc>
        <w:tc>
          <w:tcPr>
            <w:tcW w:w="5103" w:type="dxa"/>
            <w:gridSpan w:val="2"/>
            <w:vAlign w:val="center"/>
          </w:tcPr>
          <w:p w14:paraId="46A68ACB">
            <w:pPr>
              <w:pStyle w:val="12"/>
            </w:pPr>
            <w:r>
              <w:t xml:space="preserve"> </w:t>
            </w:r>
          </w:p>
        </w:tc>
        <w:tc>
          <w:tcPr>
            <w:tcW w:w="2835" w:type="dxa"/>
            <w:vAlign w:val="center"/>
          </w:tcPr>
          <w:p w14:paraId="6B054C7D">
            <w:pPr>
              <w:pStyle w:val="12"/>
            </w:pPr>
            <w:r>
              <w:t>50%</w:t>
            </w:r>
          </w:p>
        </w:tc>
        <w:tc>
          <w:tcPr>
            <w:tcW w:w="2551" w:type="dxa"/>
            <w:vAlign w:val="center"/>
          </w:tcPr>
          <w:p w14:paraId="33A99AB4">
            <w:pPr>
              <w:pStyle w:val="12"/>
            </w:pPr>
            <w:r>
              <w:t>75%</w:t>
            </w:r>
          </w:p>
        </w:tc>
        <w:tc>
          <w:tcPr>
            <w:tcW w:w="3544" w:type="dxa"/>
            <w:gridSpan w:val="2"/>
            <w:vAlign w:val="center"/>
          </w:tcPr>
          <w:p w14:paraId="4848DE74">
            <w:pPr>
              <w:pStyle w:val="12"/>
            </w:pPr>
            <w:r>
              <w:t>100%</w:t>
            </w:r>
          </w:p>
        </w:tc>
      </w:tr>
      <w:tr w14:paraId="1497A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233C7">
            <w:pPr>
              <w:pStyle w:val="11"/>
            </w:pPr>
            <w:r>
              <w:t>绩效目标</w:t>
            </w:r>
          </w:p>
        </w:tc>
        <w:tc>
          <w:tcPr>
            <w:tcW w:w="14033" w:type="dxa"/>
            <w:gridSpan w:val="6"/>
            <w:vAlign w:val="center"/>
          </w:tcPr>
          <w:p w14:paraId="5CF66A24">
            <w:pPr>
              <w:pStyle w:val="13"/>
            </w:pPr>
            <w:r>
              <w:t>1.按季度分批次拨付安排公用经费资金，学校按照预算安排进行资金使用，保证资金正常支出。</w:t>
            </w:r>
            <w:r>
              <w:tab/>
            </w:r>
          </w:p>
        </w:tc>
      </w:tr>
    </w:tbl>
    <w:p w14:paraId="155FC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E9D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9DD72">
            <w:pPr>
              <w:pStyle w:val="11"/>
            </w:pPr>
            <w:r>
              <w:t>一级指标</w:t>
            </w:r>
          </w:p>
        </w:tc>
        <w:tc>
          <w:tcPr>
            <w:tcW w:w="2268" w:type="dxa"/>
            <w:vAlign w:val="center"/>
          </w:tcPr>
          <w:p w14:paraId="4C8E115B">
            <w:pPr>
              <w:pStyle w:val="11"/>
            </w:pPr>
            <w:r>
              <w:t>二级指标</w:t>
            </w:r>
          </w:p>
        </w:tc>
        <w:tc>
          <w:tcPr>
            <w:tcW w:w="2835" w:type="dxa"/>
            <w:vAlign w:val="center"/>
          </w:tcPr>
          <w:p w14:paraId="6D20A771">
            <w:pPr>
              <w:pStyle w:val="11"/>
            </w:pPr>
            <w:r>
              <w:t>三级指标</w:t>
            </w:r>
          </w:p>
        </w:tc>
        <w:tc>
          <w:tcPr>
            <w:tcW w:w="5386" w:type="dxa"/>
            <w:vAlign w:val="center"/>
          </w:tcPr>
          <w:p w14:paraId="27C136A7">
            <w:pPr>
              <w:pStyle w:val="11"/>
            </w:pPr>
            <w:r>
              <w:t>绩效指标描述</w:t>
            </w:r>
          </w:p>
        </w:tc>
        <w:tc>
          <w:tcPr>
            <w:tcW w:w="2268" w:type="dxa"/>
            <w:vAlign w:val="center"/>
          </w:tcPr>
          <w:p w14:paraId="56722DD8">
            <w:pPr>
              <w:pStyle w:val="11"/>
            </w:pPr>
            <w:r>
              <w:t>指标值</w:t>
            </w:r>
          </w:p>
        </w:tc>
        <w:tc>
          <w:tcPr>
            <w:tcW w:w="1276" w:type="dxa"/>
            <w:vAlign w:val="center"/>
          </w:tcPr>
          <w:p w14:paraId="1883DBB6">
            <w:pPr>
              <w:pStyle w:val="11"/>
            </w:pPr>
            <w:r>
              <w:t>指标值确定依据</w:t>
            </w:r>
          </w:p>
        </w:tc>
      </w:tr>
      <w:tr w14:paraId="3F146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6C57D">
            <w:pPr>
              <w:pStyle w:val="12"/>
            </w:pPr>
            <w:r>
              <w:t>产出指标</w:t>
            </w:r>
          </w:p>
        </w:tc>
        <w:tc>
          <w:tcPr>
            <w:tcW w:w="2268" w:type="dxa"/>
            <w:vAlign w:val="center"/>
          </w:tcPr>
          <w:p w14:paraId="46A40AC1">
            <w:pPr>
              <w:pStyle w:val="13"/>
            </w:pPr>
            <w:r>
              <w:t>数量指标</w:t>
            </w:r>
          </w:p>
        </w:tc>
        <w:tc>
          <w:tcPr>
            <w:tcW w:w="2835" w:type="dxa"/>
            <w:vAlign w:val="center"/>
          </w:tcPr>
          <w:p w14:paraId="436BC690">
            <w:pPr>
              <w:pStyle w:val="13"/>
            </w:pPr>
            <w:r>
              <w:t>适龄在校生</w:t>
            </w:r>
          </w:p>
        </w:tc>
        <w:tc>
          <w:tcPr>
            <w:tcW w:w="5386" w:type="dxa"/>
            <w:vAlign w:val="center"/>
          </w:tcPr>
          <w:p w14:paraId="1950FEE0">
            <w:pPr>
              <w:pStyle w:val="13"/>
            </w:pPr>
            <w:r>
              <w:t>辖区内适龄儿童全覆盖</w:t>
            </w:r>
          </w:p>
        </w:tc>
        <w:tc>
          <w:tcPr>
            <w:tcW w:w="2268" w:type="dxa"/>
            <w:vAlign w:val="center"/>
          </w:tcPr>
          <w:p w14:paraId="072448FF">
            <w:pPr>
              <w:pStyle w:val="13"/>
            </w:pPr>
            <w:r>
              <w:t>89人</w:t>
            </w:r>
          </w:p>
        </w:tc>
        <w:tc>
          <w:tcPr>
            <w:tcW w:w="1276" w:type="dxa"/>
            <w:vAlign w:val="center"/>
          </w:tcPr>
          <w:p w14:paraId="5B32BC51">
            <w:pPr>
              <w:pStyle w:val="13"/>
            </w:pPr>
            <w:r>
              <w:t>幼儿园生均公用经费管理办法</w:t>
            </w:r>
          </w:p>
        </w:tc>
      </w:tr>
      <w:tr w14:paraId="260FB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9C07F"/>
        </w:tc>
        <w:tc>
          <w:tcPr>
            <w:tcW w:w="2268" w:type="dxa"/>
            <w:vAlign w:val="center"/>
          </w:tcPr>
          <w:p w14:paraId="70FDF715">
            <w:pPr>
              <w:pStyle w:val="13"/>
            </w:pPr>
            <w:r>
              <w:t>质量指标</w:t>
            </w:r>
          </w:p>
        </w:tc>
        <w:tc>
          <w:tcPr>
            <w:tcW w:w="2835" w:type="dxa"/>
            <w:vAlign w:val="center"/>
          </w:tcPr>
          <w:p w14:paraId="0B628465">
            <w:pPr>
              <w:pStyle w:val="13"/>
            </w:pPr>
            <w:r>
              <w:t>预算控制率</w:t>
            </w:r>
          </w:p>
        </w:tc>
        <w:tc>
          <w:tcPr>
            <w:tcW w:w="5386" w:type="dxa"/>
            <w:vAlign w:val="center"/>
          </w:tcPr>
          <w:p w14:paraId="1BA1738B">
            <w:pPr>
              <w:pStyle w:val="13"/>
            </w:pPr>
            <w:r>
              <w:t>预算执行</w:t>
            </w:r>
          </w:p>
        </w:tc>
        <w:tc>
          <w:tcPr>
            <w:tcW w:w="2268" w:type="dxa"/>
            <w:vAlign w:val="center"/>
          </w:tcPr>
          <w:p w14:paraId="2A023779">
            <w:pPr>
              <w:pStyle w:val="13"/>
            </w:pPr>
            <w:r>
              <w:t>≥95%</w:t>
            </w:r>
          </w:p>
        </w:tc>
        <w:tc>
          <w:tcPr>
            <w:tcW w:w="1276" w:type="dxa"/>
            <w:vAlign w:val="center"/>
          </w:tcPr>
          <w:p w14:paraId="20D412F1">
            <w:pPr>
              <w:pStyle w:val="13"/>
            </w:pPr>
            <w:r>
              <w:t>幼儿园生均公用经费管理办法</w:t>
            </w:r>
          </w:p>
        </w:tc>
      </w:tr>
      <w:tr w14:paraId="5F86E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1967F"/>
        </w:tc>
        <w:tc>
          <w:tcPr>
            <w:tcW w:w="2268" w:type="dxa"/>
            <w:vAlign w:val="center"/>
          </w:tcPr>
          <w:p w14:paraId="04756026">
            <w:pPr>
              <w:pStyle w:val="13"/>
            </w:pPr>
            <w:r>
              <w:t>时效指标</w:t>
            </w:r>
          </w:p>
        </w:tc>
        <w:tc>
          <w:tcPr>
            <w:tcW w:w="2835" w:type="dxa"/>
            <w:vAlign w:val="center"/>
          </w:tcPr>
          <w:p w14:paraId="6FF320D4">
            <w:pPr>
              <w:pStyle w:val="13"/>
            </w:pPr>
            <w:r>
              <w:t>资金支付率</w:t>
            </w:r>
          </w:p>
        </w:tc>
        <w:tc>
          <w:tcPr>
            <w:tcW w:w="5386" w:type="dxa"/>
            <w:vAlign w:val="center"/>
          </w:tcPr>
          <w:p w14:paraId="53BD0F5B">
            <w:pPr>
              <w:pStyle w:val="13"/>
            </w:pPr>
            <w:r>
              <w:t>按照序时进度完成资金支付</w:t>
            </w:r>
          </w:p>
        </w:tc>
        <w:tc>
          <w:tcPr>
            <w:tcW w:w="2268" w:type="dxa"/>
            <w:vAlign w:val="center"/>
          </w:tcPr>
          <w:p w14:paraId="5BF0E4FB">
            <w:pPr>
              <w:pStyle w:val="13"/>
            </w:pPr>
            <w:r>
              <w:t>≥100%</w:t>
            </w:r>
          </w:p>
        </w:tc>
        <w:tc>
          <w:tcPr>
            <w:tcW w:w="1276" w:type="dxa"/>
            <w:vAlign w:val="center"/>
          </w:tcPr>
          <w:p w14:paraId="128B06C6">
            <w:pPr>
              <w:pStyle w:val="13"/>
            </w:pPr>
            <w:r>
              <w:t>幼儿园生均公用经费管理办法</w:t>
            </w:r>
          </w:p>
        </w:tc>
      </w:tr>
      <w:tr w14:paraId="577A5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7C8B6"/>
        </w:tc>
        <w:tc>
          <w:tcPr>
            <w:tcW w:w="2268" w:type="dxa"/>
            <w:vAlign w:val="center"/>
          </w:tcPr>
          <w:p w14:paraId="7AEAD7E5">
            <w:pPr>
              <w:pStyle w:val="13"/>
            </w:pPr>
            <w:r>
              <w:t>成本指标</w:t>
            </w:r>
          </w:p>
        </w:tc>
        <w:tc>
          <w:tcPr>
            <w:tcW w:w="2835" w:type="dxa"/>
            <w:vAlign w:val="center"/>
          </w:tcPr>
          <w:p w14:paraId="50E007DD">
            <w:pPr>
              <w:pStyle w:val="13"/>
            </w:pPr>
            <w:r>
              <w:t>生均拨款标准</w:t>
            </w:r>
          </w:p>
        </w:tc>
        <w:tc>
          <w:tcPr>
            <w:tcW w:w="5386" w:type="dxa"/>
            <w:vAlign w:val="center"/>
          </w:tcPr>
          <w:p w14:paraId="728C183B">
            <w:pPr>
              <w:pStyle w:val="13"/>
            </w:pPr>
            <w:r>
              <w:t>学前经费600元/生/年</w:t>
            </w:r>
          </w:p>
        </w:tc>
        <w:tc>
          <w:tcPr>
            <w:tcW w:w="2268" w:type="dxa"/>
            <w:vAlign w:val="center"/>
          </w:tcPr>
          <w:p w14:paraId="3206925F">
            <w:pPr>
              <w:pStyle w:val="13"/>
            </w:pPr>
            <w:r>
              <w:t>600元</w:t>
            </w:r>
          </w:p>
        </w:tc>
        <w:tc>
          <w:tcPr>
            <w:tcW w:w="1276" w:type="dxa"/>
            <w:vAlign w:val="center"/>
          </w:tcPr>
          <w:p w14:paraId="4604CB99">
            <w:pPr>
              <w:pStyle w:val="13"/>
            </w:pPr>
            <w:r>
              <w:t>幼儿园生均公用经费管理办法</w:t>
            </w:r>
          </w:p>
        </w:tc>
      </w:tr>
      <w:tr w14:paraId="33D09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A9351A">
            <w:pPr>
              <w:pStyle w:val="12"/>
            </w:pPr>
            <w:r>
              <w:t>效益指标</w:t>
            </w:r>
          </w:p>
        </w:tc>
        <w:tc>
          <w:tcPr>
            <w:tcW w:w="2268" w:type="dxa"/>
            <w:vAlign w:val="center"/>
          </w:tcPr>
          <w:p w14:paraId="0CDF63D2">
            <w:pPr>
              <w:pStyle w:val="13"/>
            </w:pPr>
            <w:r>
              <w:t>可持续影响指标</w:t>
            </w:r>
          </w:p>
        </w:tc>
        <w:tc>
          <w:tcPr>
            <w:tcW w:w="2835" w:type="dxa"/>
            <w:vAlign w:val="center"/>
          </w:tcPr>
          <w:p w14:paraId="4163647C">
            <w:pPr>
              <w:pStyle w:val="13"/>
            </w:pPr>
            <w:r>
              <w:t>教育发展水平明显好转</w:t>
            </w:r>
          </w:p>
        </w:tc>
        <w:tc>
          <w:tcPr>
            <w:tcW w:w="5386" w:type="dxa"/>
            <w:vAlign w:val="center"/>
          </w:tcPr>
          <w:p w14:paraId="3DC66EA3">
            <w:pPr>
              <w:pStyle w:val="13"/>
            </w:pPr>
            <w:r>
              <w:t>学生受教育年限</w:t>
            </w:r>
          </w:p>
        </w:tc>
        <w:tc>
          <w:tcPr>
            <w:tcW w:w="2268" w:type="dxa"/>
            <w:vAlign w:val="center"/>
          </w:tcPr>
          <w:p w14:paraId="5459EC10">
            <w:pPr>
              <w:pStyle w:val="13"/>
            </w:pPr>
            <w:r>
              <w:t>3年</w:t>
            </w:r>
          </w:p>
        </w:tc>
        <w:tc>
          <w:tcPr>
            <w:tcW w:w="1276" w:type="dxa"/>
            <w:vAlign w:val="center"/>
          </w:tcPr>
          <w:p w14:paraId="4F8F9B0A">
            <w:pPr>
              <w:pStyle w:val="13"/>
            </w:pPr>
            <w:r>
              <w:t>幼儿园生均公用经费管理办法</w:t>
            </w:r>
          </w:p>
        </w:tc>
      </w:tr>
      <w:tr w14:paraId="7EDD5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3813F6">
            <w:pPr>
              <w:pStyle w:val="12"/>
            </w:pPr>
            <w:r>
              <w:t>满意度指标</w:t>
            </w:r>
          </w:p>
        </w:tc>
        <w:tc>
          <w:tcPr>
            <w:tcW w:w="2268" w:type="dxa"/>
            <w:vAlign w:val="center"/>
          </w:tcPr>
          <w:p w14:paraId="4AB0E157">
            <w:pPr>
              <w:pStyle w:val="13"/>
            </w:pPr>
            <w:r>
              <w:t>服务对象满意度指标</w:t>
            </w:r>
          </w:p>
        </w:tc>
        <w:tc>
          <w:tcPr>
            <w:tcW w:w="2835" w:type="dxa"/>
            <w:vAlign w:val="center"/>
          </w:tcPr>
          <w:p w14:paraId="27851F70">
            <w:pPr>
              <w:pStyle w:val="13"/>
            </w:pPr>
            <w:r>
              <w:t>受益学生家长及调查满意度</w:t>
            </w:r>
          </w:p>
        </w:tc>
        <w:tc>
          <w:tcPr>
            <w:tcW w:w="5386" w:type="dxa"/>
            <w:vAlign w:val="center"/>
          </w:tcPr>
          <w:p w14:paraId="375BA66A">
            <w:pPr>
              <w:pStyle w:val="13"/>
            </w:pPr>
            <w:r>
              <w:t>学生、教师及家长对学校保教保育工作满意度情况</w:t>
            </w:r>
          </w:p>
        </w:tc>
        <w:tc>
          <w:tcPr>
            <w:tcW w:w="2268" w:type="dxa"/>
            <w:vAlign w:val="center"/>
          </w:tcPr>
          <w:p w14:paraId="3A036621">
            <w:pPr>
              <w:pStyle w:val="13"/>
            </w:pPr>
            <w:r>
              <w:t>≥95%</w:t>
            </w:r>
          </w:p>
        </w:tc>
        <w:tc>
          <w:tcPr>
            <w:tcW w:w="1276" w:type="dxa"/>
            <w:vAlign w:val="center"/>
          </w:tcPr>
          <w:p w14:paraId="17161809">
            <w:pPr>
              <w:pStyle w:val="13"/>
            </w:pPr>
            <w:r>
              <w:t>调查问卷</w:t>
            </w:r>
          </w:p>
        </w:tc>
      </w:tr>
    </w:tbl>
    <w:p w14:paraId="3BDFFC1C">
      <w:pPr>
        <w:sectPr>
          <w:pgSz w:w="16840" w:h="11900" w:orient="landscape"/>
          <w:pgMar w:top="1361" w:right="1020" w:bottom="1134" w:left="1020" w:header="720" w:footer="720" w:gutter="0"/>
          <w:cols w:space="720" w:num="1"/>
        </w:sectPr>
      </w:pPr>
    </w:p>
    <w:p w14:paraId="14F669C4">
      <w:pPr>
        <w:spacing w:before="0" w:after="0"/>
        <w:ind w:firstLine="560"/>
        <w:jc w:val="left"/>
        <w:outlineLvl w:val="9"/>
      </w:pPr>
      <w:r>
        <w:rPr>
          <w:rFonts w:ascii="方正仿宋_GBK" w:hAnsi="方正仿宋_GBK" w:eastAsia="方正仿宋_GBK" w:cs="方正仿宋_GBK"/>
          <w:b/>
          <w:color w:val="000000"/>
          <w:sz w:val="28"/>
        </w:rPr>
        <w:t>57、冀财教[2024]142号/省级/2025年学前发展资金/隆尧县贝贝幼儿园学前教育公用经费绩效目标表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F9FF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E65C4">
            <w:pPr>
              <w:pStyle w:val="14"/>
            </w:pPr>
            <w:r>
              <w:t>单位：万元</w:t>
            </w:r>
          </w:p>
        </w:tc>
      </w:tr>
      <w:tr w14:paraId="62B36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329956">
            <w:pPr>
              <w:pStyle w:val="11"/>
            </w:pPr>
            <w:r>
              <w:t>项目编码</w:t>
            </w:r>
          </w:p>
        </w:tc>
        <w:tc>
          <w:tcPr>
            <w:tcW w:w="5103" w:type="dxa"/>
            <w:gridSpan w:val="2"/>
            <w:vAlign w:val="center"/>
          </w:tcPr>
          <w:p w14:paraId="468AE014">
            <w:pPr>
              <w:pStyle w:val="13"/>
            </w:pPr>
            <w:r>
              <w:t>13052525P00875710019C</w:t>
            </w:r>
          </w:p>
        </w:tc>
        <w:tc>
          <w:tcPr>
            <w:tcW w:w="2835" w:type="dxa"/>
            <w:vAlign w:val="center"/>
          </w:tcPr>
          <w:p w14:paraId="60EAC2BA">
            <w:pPr>
              <w:pStyle w:val="11"/>
            </w:pPr>
            <w:r>
              <w:t>项目名称</w:t>
            </w:r>
          </w:p>
        </w:tc>
        <w:tc>
          <w:tcPr>
            <w:tcW w:w="6095" w:type="dxa"/>
            <w:gridSpan w:val="3"/>
            <w:vAlign w:val="center"/>
          </w:tcPr>
          <w:p w14:paraId="17E43C3E">
            <w:pPr>
              <w:pStyle w:val="13"/>
            </w:pPr>
            <w:r>
              <w:t>冀财教[2024]142号/省级/2025年学前发展资金/隆尧县贝贝幼儿园学前教育公用经费</w:t>
            </w:r>
          </w:p>
        </w:tc>
      </w:tr>
      <w:tr w14:paraId="26721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04B31">
            <w:pPr>
              <w:pStyle w:val="11"/>
            </w:pPr>
            <w:r>
              <w:t>预算规模及资金用途</w:t>
            </w:r>
          </w:p>
        </w:tc>
        <w:tc>
          <w:tcPr>
            <w:tcW w:w="2268" w:type="dxa"/>
            <w:vAlign w:val="center"/>
          </w:tcPr>
          <w:p w14:paraId="7EBFA5E9">
            <w:pPr>
              <w:pStyle w:val="11"/>
            </w:pPr>
            <w:r>
              <w:t>预算数</w:t>
            </w:r>
          </w:p>
        </w:tc>
        <w:tc>
          <w:tcPr>
            <w:tcW w:w="2835" w:type="dxa"/>
            <w:vAlign w:val="center"/>
          </w:tcPr>
          <w:p w14:paraId="4744DB25">
            <w:pPr>
              <w:pStyle w:val="13"/>
            </w:pPr>
            <w:r>
              <w:t>1.46</w:t>
            </w:r>
          </w:p>
        </w:tc>
        <w:tc>
          <w:tcPr>
            <w:tcW w:w="2835" w:type="dxa"/>
            <w:vAlign w:val="center"/>
          </w:tcPr>
          <w:p w14:paraId="4FFD162C">
            <w:pPr>
              <w:pStyle w:val="11"/>
            </w:pPr>
            <w:r>
              <w:t>其中：财政    资金</w:t>
            </w:r>
          </w:p>
        </w:tc>
        <w:tc>
          <w:tcPr>
            <w:tcW w:w="2551" w:type="dxa"/>
            <w:vAlign w:val="center"/>
          </w:tcPr>
          <w:p w14:paraId="11A4CE5F">
            <w:pPr>
              <w:pStyle w:val="13"/>
            </w:pPr>
            <w:r>
              <w:t>1.46</w:t>
            </w:r>
          </w:p>
        </w:tc>
        <w:tc>
          <w:tcPr>
            <w:tcW w:w="2268" w:type="dxa"/>
            <w:vAlign w:val="center"/>
          </w:tcPr>
          <w:p w14:paraId="171D99D8">
            <w:pPr>
              <w:pStyle w:val="11"/>
            </w:pPr>
            <w:r>
              <w:t>其他资金</w:t>
            </w:r>
          </w:p>
        </w:tc>
        <w:tc>
          <w:tcPr>
            <w:tcW w:w="1276" w:type="dxa"/>
            <w:vAlign w:val="center"/>
          </w:tcPr>
          <w:p w14:paraId="53914EEA">
            <w:pPr>
              <w:pStyle w:val="13"/>
            </w:pPr>
            <w:r>
              <w:t xml:space="preserve"> </w:t>
            </w:r>
          </w:p>
        </w:tc>
      </w:tr>
      <w:tr w14:paraId="4C711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BA919C"/>
        </w:tc>
        <w:tc>
          <w:tcPr>
            <w:tcW w:w="14033" w:type="dxa"/>
            <w:gridSpan w:val="6"/>
            <w:vAlign w:val="center"/>
          </w:tcPr>
          <w:p w14:paraId="4E63ECC5">
            <w:pPr>
              <w:pStyle w:val="13"/>
            </w:pPr>
            <w:r>
              <w:t>按季度分批次拨付安排公用经费资金，学校按照预算安排进行资金使用，保证资金正常支出。</w:t>
            </w:r>
            <w:r>
              <w:tab/>
            </w:r>
            <w:r>
              <w:tab/>
            </w:r>
            <w:r>
              <w:tab/>
            </w:r>
            <w:r>
              <w:tab/>
            </w:r>
            <w:r>
              <w:tab/>
            </w:r>
            <w:r>
              <w:tab/>
            </w:r>
          </w:p>
          <w:p w14:paraId="558235F0">
            <w:pPr>
              <w:pStyle w:val="13"/>
            </w:pPr>
          </w:p>
        </w:tc>
      </w:tr>
      <w:tr w14:paraId="096BD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C77A2">
            <w:pPr>
              <w:pStyle w:val="11"/>
            </w:pPr>
            <w:r>
              <w:t>资金支出计划（%）</w:t>
            </w:r>
          </w:p>
        </w:tc>
        <w:tc>
          <w:tcPr>
            <w:tcW w:w="5103" w:type="dxa"/>
            <w:gridSpan w:val="2"/>
            <w:vAlign w:val="center"/>
          </w:tcPr>
          <w:p w14:paraId="1DE95F4D">
            <w:pPr>
              <w:pStyle w:val="11"/>
            </w:pPr>
            <w:r>
              <w:t>3月底</w:t>
            </w:r>
          </w:p>
        </w:tc>
        <w:tc>
          <w:tcPr>
            <w:tcW w:w="2835" w:type="dxa"/>
            <w:vAlign w:val="center"/>
          </w:tcPr>
          <w:p w14:paraId="15BB013E">
            <w:pPr>
              <w:pStyle w:val="11"/>
            </w:pPr>
            <w:r>
              <w:t>6月底</w:t>
            </w:r>
          </w:p>
        </w:tc>
        <w:tc>
          <w:tcPr>
            <w:tcW w:w="2551" w:type="dxa"/>
            <w:vAlign w:val="center"/>
          </w:tcPr>
          <w:p w14:paraId="088A6717">
            <w:pPr>
              <w:pStyle w:val="11"/>
            </w:pPr>
            <w:r>
              <w:t>10月底</w:t>
            </w:r>
          </w:p>
        </w:tc>
        <w:tc>
          <w:tcPr>
            <w:tcW w:w="3544" w:type="dxa"/>
            <w:gridSpan w:val="2"/>
            <w:vAlign w:val="center"/>
          </w:tcPr>
          <w:p w14:paraId="456F42D5">
            <w:pPr>
              <w:pStyle w:val="11"/>
            </w:pPr>
            <w:r>
              <w:t>12月底</w:t>
            </w:r>
          </w:p>
        </w:tc>
      </w:tr>
      <w:tr w14:paraId="748BB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847C93"/>
        </w:tc>
        <w:tc>
          <w:tcPr>
            <w:tcW w:w="5103" w:type="dxa"/>
            <w:gridSpan w:val="2"/>
            <w:vAlign w:val="center"/>
          </w:tcPr>
          <w:p w14:paraId="7782A57A">
            <w:pPr>
              <w:pStyle w:val="12"/>
            </w:pPr>
            <w:r>
              <w:t xml:space="preserve"> </w:t>
            </w:r>
          </w:p>
        </w:tc>
        <w:tc>
          <w:tcPr>
            <w:tcW w:w="2835" w:type="dxa"/>
            <w:vAlign w:val="center"/>
          </w:tcPr>
          <w:p w14:paraId="12C068F4">
            <w:pPr>
              <w:pStyle w:val="12"/>
            </w:pPr>
            <w:r>
              <w:t>50%</w:t>
            </w:r>
          </w:p>
        </w:tc>
        <w:tc>
          <w:tcPr>
            <w:tcW w:w="2551" w:type="dxa"/>
            <w:vAlign w:val="center"/>
          </w:tcPr>
          <w:p w14:paraId="27D2958C">
            <w:pPr>
              <w:pStyle w:val="12"/>
            </w:pPr>
            <w:r>
              <w:t>75%</w:t>
            </w:r>
          </w:p>
        </w:tc>
        <w:tc>
          <w:tcPr>
            <w:tcW w:w="3544" w:type="dxa"/>
            <w:gridSpan w:val="2"/>
            <w:vAlign w:val="center"/>
          </w:tcPr>
          <w:p w14:paraId="3DA30BF0">
            <w:pPr>
              <w:pStyle w:val="12"/>
            </w:pPr>
            <w:r>
              <w:t>100%</w:t>
            </w:r>
          </w:p>
        </w:tc>
      </w:tr>
      <w:tr w14:paraId="56114F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6B9E4">
            <w:pPr>
              <w:pStyle w:val="11"/>
            </w:pPr>
            <w:r>
              <w:t>绩效目标</w:t>
            </w:r>
          </w:p>
        </w:tc>
        <w:tc>
          <w:tcPr>
            <w:tcW w:w="14033" w:type="dxa"/>
            <w:gridSpan w:val="6"/>
            <w:vAlign w:val="center"/>
          </w:tcPr>
          <w:p w14:paraId="44D96116">
            <w:pPr>
              <w:pStyle w:val="13"/>
            </w:pPr>
            <w:r>
              <w:t>1.按季度分批次拨付安排公用经费资金，学校按照预算安排进行资金使用，保证资金正常支出。</w:t>
            </w:r>
          </w:p>
        </w:tc>
      </w:tr>
    </w:tbl>
    <w:p w14:paraId="370292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2D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2F4A4B8">
            <w:pPr>
              <w:pStyle w:val="11"/>
            </w:pPr>
            <w:r>
              <w:t>一级指标</w:t>
            </w:r>
          </w:p>
        </w:tc>
        <w:tc>
          <w:tcPr>
            <w:tcW w:w="2268" w:type="dxa"/>
            <w:vAlign w:val="center"/>
          </w:tcPr>
          <w:p w14:paraId="4BE114A8">
            <w:pPr>
              <w:pStyle w:val="11"/>
            </w:pPr>
            <w:r>
              <w:t>二级指标</w:t>
            </w:r>
          </w:p>
        </w:tc>
        <w:tc>
          <w:tcPr>
            <w:tcW w:w="2835" w:type="dxa"/>
            <w:vAlign w:val="center"/>
          </w:tcPr>
          <w:p w14:paraId="4D60C900">
            <w:pPr>
              <w:pStyle w:val="11"/>
            </w:pPr>
            <w:r>
              <w:t>三级指标</w:t>
            </w:r>
          </w:p>
        </w:tc>
        <w:tc>
          <w:tcPr>
            <w:tcW w:w="5386" w:type="dxa"/>
            <w:vAlign w:val="center"/>
          </w:tcPr>
          <w:p w14:paraId="4D4E208F">
            <w:pPr>
              <w:pStyle w:val="11"/>
            </w:pPr>
            <w:r>
              <w:t>绩效指标描述</w:t>
            </w:r>
          </w:p>
        </w:tc>
        <w:tc>
          <w:tcPr>
            <w:tcW w:w="2268" w:type="dxa"/>
            <w:vAlign w:val="center"/>
          </w:tcPr>
          <w:p w14:paraId="2A695E12">
            <w:pPr>
              <w:pStyle w:val="11"/>
            </w:pPr>
            <w:r>
              <w:t>指标值</w:t>
            </w:r>
          </w:p>
        </w:tc>
        <w:tc>
          <w:tcPr>
            <w:tcW w:w="1276" w:type="dxa"/>
            <w:vAlign w:val="center"/>
          </w:tcPr>
          <w:p w14:paraId="18553A1A">
            <w:pPr>
              <w:pStyle w:val="11"/>
            </w:pPr>
            <w:r>
              <w:t>指标值确定依据</w:t>
            </w:r>
          </w:p>
        </w:tc>
      </w:tr>
      <w:tr w14:paraId="228C0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09D7C">
            <w:pPr>
              <w:pStyle w:val="12"/>
            </w:pPr>
            <w:r>
              <w:t>产出指标</w:t>
            </w:r>
          </w:p>
        </w:tc>
        <w:tc>
          <w:tcPr>
            <w:tcW w:w="2268" w:type="dxa"/>
            <w:vAlign w:val="center"/>
          </w:tcPr>
          <w:p w14:paraId="47CCB5CC">
            <w:pPr>
              <w:pStyle w:val="13"/>
            </w:pPr>
            <w:r>
              <w:t>数量指标</w:t>
            </w:r>
          </w:p>
        </w:tc>
        <w:tc>
          <w:tcPr>
            <w:tcW w:w="2835" w:type="dxa"/>
            <w:vAlign w:val="center"/>
          </w:tcPr>
          <w:p w14:paraId="60C12904">
            <w:pPr>
              <w:pStyle w:val="13"/>
            </w:pPr>
            <w:r>
              <w:t>适龄在校生</w:t>
            </w:r>
          </w:p>
        </w:tc>
        <w:tc>
          <w:tcPr>
            <w:tcW w:w="5386" w:type="dxa"/>
            <w:vAlign w:val="center"/>
          </w:tcPr>
          <w:p w14:paraId="75F5FA83">
            <w:pPr>
              <w:pStyle w:val="13"/>
            </w:pPr>
            <w:r>
              <w:t>辖区内适龄儿童全覆盖</w:t>
            </w:r>
          </w:p>
        </w:tc>
        <w:tc>
          <w:tcPr>
            <w:tcW w:w="2268" w:type="dxa"/>
            <w:vAlign w:val="center"/>
          </w:tcPr>
          <w:p w14:paraId="1F0F61BE">
            <w:pPr>
              <w:pStyle w:val="13"/>
            </w:pPr>
            <w:r>
              <w:t>97人</w:t>
            </w:r>
          </w:p>
        </w:tc>
        <w:tc>
          <w:tcPr>
            <w:tcW w:w="1276" w:type="dxa"/>
            <w:vAlign w:val="center"/>
          </w:tcPr>
          <w:p w14:paraId="19DC8A47">
            <w:pPr>
              <w:pStyle w:val="13"/>
            </w:pPr>
            <w:r>
              <w:t>幼儿园生均公用经费管理办法</w:t>
            </w:r>
          </w:p>
        </w:tc>
      </w:tr>
      <w:tr w14:paraId="74EC8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E1CB"/>
        </w:tc>
        <w:tc>
          <w:tcPr>
            <w:tcW w:w="2268" w:type="dxa"/>
            <w:vAlign w:val="center"/>
          </w:tcPr>
          <w:p w14:paraId="4FD1524B">
            <w:pPr>
              <w:pStyle w:val="13"/>
            </w:pPr>
            <w:r>
              <w:t>质量指标</w:t>
            </w:r>
          </w:p>
        </w:tc>
        <w:tc>
          <w:tcPr>
            <w:tcW w:w="2835" w:type="dxa"/>
            <w:vAlign w:val="center"/>
          </w:tcPr>
          <w:p w14:paraId="71B95550">
            <w:pPr>
              <w:pStyle w:val="13"/>
            </w:pPr>
            <w:r>
              <w:t>预算控制率</w:t>
            </w:r>
          </w:p>
        </w:tc>
        <w:tc>
          <w:tcPr>
            <w:tcW w:w="5386" w:type="dxa"/>
            <w:vAlign w:val="center"/>
          </w:tcPr>
          <w:p w14:paraId="11ACDDA3">
            <w:pPr>
              <w:pStyle w:val="13"/>
            </w:pPr>
            <w:r>
              <w:t>预算执行</w:t>
            </w:r>
          </w:p>
        </w:tc>
        <w:tc>
          <w:tcPr>
            <w:tcW w:w="2268" w:type="dxa"/>
            <w:vAlign w:val="center"/>
          </w:tcPr>
          <w:p w14:paraId="73D2C0DF">
            <w:pPr>
              <w:pStyle w:val="13"/>
            </w:pPr>
            <w:r>
              <w:t>≥95%</w:t>
            </w:r>
          </w:p>
        </w:tc>
        <w:tc>
          <w:tcPr>
            <w:tcW w:w="1276" w:type="dxa"/>
            <w:vAlign w:val="center"/>
          </w:tcPr>
          <w:p w14:paraId="4B571B39">
            <w:pPr>
              <w:pStyle w:val="13"/>
            </w:pPr>
            <w:r>
              <w:t>幼儿园生均公用经费管理办法</w:t>
            </w:r>
          </w:p>
        </w:tc>
      </w:tr>
      <w:tr w14:paraId="16E00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9973A"/>
        </w:tc>
        <w:tc>
          <w:tcPr>
            <w:tcW w:w="2268" w:type="dxa"/>
            <w:vAlign w:val="center"/>
          </w:tcPr>
          <w:p w14:paraId="1FB3D88E">
            <w:pPr>
              <w:pStyle w:val="13"/>
            </w:pPr>
            <w:r>
              <w:t>时效指标</w:t>
            </w:r>
          </w:p>
        </w:tc>
        <w:tc>
          <w:tcPr>
            <w:tcW w:w="2835" w:type="dxa"/>
            <w:vAlign w:val="center"/>
          </w:tcPr>
          <w:p w14:paraId="01736D82">
            <w:pPr>
              <w:pStyle w:val="13"/>
            </w:pPr>
            <w:r>
              <w:t>资金支付率</w:t>
            </w:r>
          </w:p>
        </w:tc>
        <w:tc>
          <w:tcPr>
            <w:tcW w:w="5386" w:type="dxa"/>
            <w:vAlign w:val="center"/>
          </w:tcPr>
          <w:p w14:paraId="678550C0">
            <w:pPr>
              <w:pStyle w:val="13"/>
            </w:pPr>
            <w:r>
              <w:t>按照序时进度完成资金支付</w:t>
            </w:r>
          </w:p>
        </w:tc>
        <w:tc>
          <w:tcPr>
            <w:tcW w:w="2268" w:type="dxa"/>
            <w:vAlign w:val="center"/>
          </w:tcPr>
          <w:p w14:paraId="529E69D5">
            <w:pPr>
              <w:pStyle w:val="13"/>
            </w:pPr>
            <w:r>
              <w:t>≥100%</w:t>
            </w:r>
          </w:p>
        </w:tc>
        <w:tc>
          <w:tcPr>
            <w:tcW w:w="1276" w:type="dxa"/>
            <w:vAlign w:val="center"/>
          </w:tcPr>
          <w:p w14:paraId="36C56FCA">
            <w:pPr>
              <w:pStyle w:val="13"/>
            </w:pPr>
            <w:r>
              <w:t>幼儿园生均公用经费管理办法</w:t>
            </w:r>
          </w:p>
        </w:tc>
      </w:tr>
      <w:tr w14:paraId="1A561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AC59C"/>
        </w:tc>
        <w:tc>
          <w:tcPr>
            <w:tcW w:w="2268" w:type="dxa"/>
            <w:vAlign w:val="center"/>
          </w:tcPr>
          <w:p w14:paraId="4149D6E8">
            <w:pPr>
              <w:pStyle w:val="13"/>
            </w:pPr>
            <w:r>
              <w:t>成本指标</w:t>
            </w:r>
          </w:p>
        </w:tc>
        <w:tc>
          <w:tcPr>
            <w:tcW w:w="2835" w:type="dxa"/>
            <w:vAlign w:val="center"/>
          </w:tcPr>
          <w:p w14:paraId="1A1E8DB3">
            <w:pPr>
              <w:pStyle w:val="13"/>
            </w:pPr>
            <w:r>
              <w:t>生均拨款标准</w:t>
            </w:r>
          </w:p>
        </w:tc>
        <w:tc>
          <w:tcPr>
            <w:tcW w:w="5386" w:type="dxa"/>
            <w:vAlign w:val="center"/>
          </w:tcPr>
          <w:p w14:paraId="349AB167">
            <w:pPr>
              <w:pStyle w:val="13"/>
            </w:pPr>
            <w:r>
              <w:t>学前经费600元/生/年</w:t>
            </w:r>
          </w:p>
        </w:tc>
        <w:tc>
          <w:tcPr>
            <w:tcW w:w="2268" w:type="dxa"/>
            <w:vAlign w:val="center"/>
          </w:tcPr>
          <w:p w14:paraId="322942BB">
            <w:pPr>
              <w:pStyle w:val="13"/>
            </w:pPr>
            <w:r>
              <w:t>600元</w:t>
            </w:r>
          </w:p>
        </w:tc>
        <w:tc>
          <w:tcPr>
            <w:tcW w:w="1276" w:type="dxa"/>
            <w:vAlign w:val="center"/>
          </w:tcPr>
          <w:p w14:paraId="630F0968">
            <w:pPr>
              <w:pStyle w:val="13"/>
            </w:pPr>
            <w:r>
              <w:t>幼儿园生均公用经费管理办法</w:t>
            </w:r>
          </w:p>
        </w:tc>
      </w:tr>
      <w:tr w14:paraId="4AB80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0BB5D4">
            <w:pPr>
              <w:pStyle w:val="12"/>
            </w:pPr>
            <w:r>
              <w:t>效益指标</w:t>
            </w:r>
          </w:p>
        </w:tc>
        <w:tc>
          <w:tcPr>
            <w:tcW w:w="2268" w:type="dxa"/>
            <w:vAlign w:val="center"/>
          </w:tcPr>
          <w:p w14:paraId="3CC4EE72">
            <w:pPr>
              <w:pStyle w:val="13"/>
            </w:pPr>
            <w:r>
              <w:t>可持续影响指标</w:t>
            </w:r>
          </w:p>
        </w:tc>
        <w:tc>
          <w:tcPr>
            <w:tcW w:w="2835" w:type="dxa"/>
            <w:vAlign w:val="center"/>
          </w:tcPr>
          <w:p w14:paraId="4B8DC816">
            <w:pPr>
              <w:pStyle w:val="13"/>
            </w:pPr>
            <w:r>
              <w:t>教育发展水平明显好转</w:t>
            </w:r>
          </w:p>
        </w:tc>
        <w:tc>
          <w:tcPr>
            <w:tcW w:w="5386" w:type="dxa"/>
            <w:vAlign w:val="center"/>
          </w:tcPr>
          <w:p w14:paraId="6B4B7A94">
            <w:pPr>
              <w:pStyle w:val="13"/>
            </w:pPr>
            <w:r>
              <w:t>学生受教育年限</w:t>
            </w:r>
          </w:p>
        </w:tc>
        <w:tc>
          <w:tcPr>
            <w:tcW w:w="2268" w:type="dxa"/>
            <w:vAlign w:val="center"/>
          </w:tcPr>
          <w:p w14:paraId="3F850A14">
            <w:pPr>
              <w:pStyle w:val="13"/>
            </w:pPr>
            <w:r>
              <w:t>3年</w:t>
            </w:r>
          </w:p>
        </w:tc>
        <w:tc>
          <w:tcPr>
            <w:tcW w:w="1276" w:type="dxa"/>
            <w:vAlign w:val="center"/>
          </w:tcPr>
          <w:p w14:paraId="2D68C31F">
            <w:pPr>
              <w:pStyle w:val="13"/>
            </w:pPr>
            <w:r>
              <w:t>幼儿园生均公用经费管理办法</w:t>
            </w:r>
          </w:p>
        </w:tc>
      </w:tr>
      <w:tr w14:paraId="12170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4BAC2">
            <w:pPr>
              <w:pStyle w:val="12"/>
            </w:pPr>
            <w:r>
              <w:t>满意度指标</w:t>
            </w:r>
          </w:p>
        </w:tc>
        <w:tc>
          <w:tcPr>
            <w:tcW w:w="2268" w:type="dxa"/>
            <w:vAlign w:val="center"/>
          </w:tcPr>
          <w:p w14:paraId="254F4E71">
            <w:pPr>
              <w:pStyle w:val="13"/>
            </w:pPr>
            <w:r>
              <w:t>服务对象满意度指标</w:t>
            </w:r>
          </w:p>
        </w:tc>
        <w:tc>
          <w:tcPr>
            <w:tcW w:w="2835" w:type="dxa"/>
            <w:vAlign w:val="center"/>
          </w:tcPr>
          <w:p w14:paraId="10EF1B9E">
            <w:pPr>
              <w:pStyle w:val="13"/>
            </w:pPr>
            <w:r>
              <w:t>受益学生家长及调查满意度</w:t>
            </w:r>
          </w:p>
        </w:tc>
        <w:tc>
          <w:tcPr>
            <w:tcW w:w="5386" w:type="dxa"/>
            <w:vAlign w:val="center"/>
          </w:tcPr>
          <w:p w14:paraId="081679D9">
            <w:pPr>
              <w:pStyle w:val="13"/>
            </w:pPr>
            <w:r>
              <w:t>学生、教师及家长对学校保教保育工作满意度情况</w:t>
            </w:r>
          </w:p>
        </w:tc>
        <w:tc>
          <w:tcPr>
            <w:tcW w:w="2268" w:type="dxa"/>
            <w:vAlign w:val="center"/>
          </w:tcPr>
          <w:p w14:paraId="313E155E">
            <w:pPr>
              <w:pStyle w:val="13"/>
            </w:pPr>
            <w:r>
              <w:t>≥95%</w:t>
            </w:r>
          </w:p>
        </w:tc>
        <w:tc>
          <w:tcPr>
            <w:tcW w:w="1276" w:type="dxa"/>
            <w:vAlign w:val="center"/>
          </w:tcPr>
          <w:p w14:paraId="6A17003F">
            <w:pPr>
              <w:pStyle w:val="13"/>
            </w:pPr>
            <w:r>
              <w:t>调查问卷</w:t>
            </w:r>
          </w:p>
        </w:tc>
      </w:tr>
    </w:tbl>
    <w:p w14:paraId="4AD326FB">
      <w:pPr>
        <w:sectPr>
          <w:pgSz w:w="16840" w:h="11900" w:orient="landscape"/>
          <w:pgMar w:top="1361" w:right="1020" w:bottom="1134" w:left="1020" w:header="720" w:footer="720" w:gutter="0"/>
          <w:cols w:space="720" w:num="1"/>
        </w:sectPr>
      </w:pPr>
    </w:p>
    <w:p w14:paraId="5D5DB991">
      <w:pPr>
        <w:spacing w:before="0" w:after="0"/>
        <w:ind w:firstLine="560"/>
        <w:jc w:val="left"/>
        <w:outlineLvl w:val="9"/>
      </w:pPr>
      <w:r>
        <w:rPr>
          <w:rFonts w:ascii="方正仿宋_GBK" w:hAnsi="方正仿宋_GBK" w:eastAsia="方正仿宋_GBK" w:cs="方正仿宋_GBK"/>
          <w:b/>
          <w:color w:val="000000"/>
          <w:sz w:val="28"/>
        </w:rPr>
        <w:t>58、冀财教[2024]142号/省级/2025年学前发展资金/隆尧县博园新星幼儿园学前教育公用经费绩效目标表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42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15C57">
            <w:pPr>
              <w:pStyle w:val="14"/>
            </w:pPr>
            <w:r>
              <w:t>单位：万元</w:t>
            </w:r>
          </w:p>
        </w:tc>
      </w:tr>
      <w:tr w14:paraId="1E42C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6F322C">
            <w:pPr>
              <w:pStyle w:val="11"/>
            </w:pPr>
            <w:r>
              <w:t>项目编码</w:t>
            </w:r>
          </w:p>
        </w:tc>
        <w:tc>
          <w:tcPr>
            <w:tcW w:w="5103" w:type="dxa"/>
            <w:gridSpan w:val="2"/>
            <w:vAlign w:val="center"/>
          </w:tcPr>
          <w:p w14:paraId="28B4E15C">
            <w:pPr>
              <w:pStyle w:val="13"/>
            </w:pPr>
            <w:r>
              <w:t>13052525P008757100465</w:t>
            </w:r>
          </w:p>
        </w:tc>
        <w:tc>
          <w:tcPr>
            <w:tcW w:w="2835" w:type="dxa"/>
            <w:vAlign w:val="center"/>
          </w:tcPr>
          <w:p w14:paraId="7C06A679">
            <w:pPr>
              <w:pStyle w:val="11"/>
            </w:pPr>
            <w:r>
              <w:t>项目名称</w:t>
            </w:r>
          </w:p>
        </w:tc>
        <w:tc>
          <w:tcPr>
            <w:tcW w:w="6095" w:type="dxa"/>
            <w:gridSpan w:val="3"/>
            <w:vAlign w:val="center"/>
          </w:tcPr>
          <w:p w14:paraId="522EFBC3">
            <w:pPr>
              <w:pStyle w:val="13"/>
            </w:pPr>
            <w:r>
              <w:t>冀财教[2024]142号/省级/2025年学前发展资金/隆尧县博园新星幼儿园学前教育公用经费</w:t>
            </w:r>
          </w:p>
        </w:tc>
      </w:tr>
      <w:tr w14:paraId="54D0A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DC04E">
            <w:pPr>
              <w:pStyle w:val="11"/>
            </w:pPr>
            <w:r>
              <w:t>预算规模及资金用途</w:t>
            </w:r>
          </w:p>
        </w:tc>
        <w:tc>
          <w:tcPr>
            <w:tcW w:w="2268" w:type="dxa"/>
            <w:vAlign w:val="center"/>
          </w:tcPr>
          <w:p w14:paraId="36372FA0">
            <w:pPr>
              <w:pStyle w:val="11"/>
            </w:pPr>
            <w:r>
              <w:t>预算数</w:t>
            </w:r>
          </w:p>
        </w:tc>
        <w:tc>
          <w:tcPr>
            <w:tcW w:w="2835" w:type="dxa"/>
            <w:vAlign w:val="center"/>
          </w:tcPr>
          <w:p w14:paraId="0E17A696">
            <w:pPr>
              <w:pStyle w:val="13"/>
            </w:pPr>
            <w:r>
              <w:t>1.01</w:t>
            </w:r>
          </w:p>
        </w:tc>
        <w:tc>
          <w:tcPr>
            <w:tcW w:w="2835" w:type="dxa"/>
            <w:vAlign w:val="center"/>
          </w:tcPr>
          <w:p w14:paraId="46E28BCF">
            <w:pPr>
              <w:pStyle w:val="11"/>
            </w:pPr>
            <w:r>
              <w:t>其中：财政    资金</w:t>
            </w:r>
          </w:p>
        </w:tc>
        <w:tc>
          <w:tcPr>
            <w:tcW w:w="2551" w:type="dxa"/>
            <w:vAlign w:val="center"/>
          </w:tcPr>
          <w:p w14:paraId="637F3CB4">
            <w:pPr>
              <w:pStyle w:val="13"/>
            </w:pPr>
            <w:r>
              <w:t>1.01</w:t>
            </w:r>
          </w:p>
        </w:tc>
        <w:tc>
          <w:tcPr>
            <w:tcW w:w="2268" w:type="dxa"/>
            <w:vAlign w:val="center"/>
          </w:tcPr>
          <w:p w14:paraId="2E41F7BD">
            <w:pPr>
              <w:pStyle w:val="11"/>
            </w:pPr>
            <w:r>
              <w:t>其他资金</w:t>
            </w:r>
          </w:p>
        </w:tc>
        <w:tc>
          <w:tcPr>
            <w:tcW w:w="1276" w:type="dxa"/>
            <w:vAlign w:val="center"/>
          </w:tcPr>
          <w:p w14:paraId="0145395D">
            <w:pPr>
              <w:pStyle w:val="13"/>
            </w:pPr>
            <w:r>
              <w:t xml:space="preserve"> </w:t>
            </w:r>
          </w:p>
        </w:tc>
      </w:tr>
      <w:tr w14:paraId="39B6D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16ADE4"/>
        </w:tc>
        <w:tc>
          <w:tcPr>
            <w:tcW w:w="14033" w:type="dxa"/>
            <w:gridSpan w:val="6"/>
            <w:vAlign w:val="center"/>
          </w:tcPr>
          <w:p w14:paraId="1356F8E5">
            <w:pPr>
              <w:pStyle w:val="13"/>
            </w:pPr>
            <w:r>
              <w:t>按季度分批次拨付安排公用经费资金，学校按照预算安排进行资金使用，保证资金正常支出。</w:t>
            </w:r>
          </w:p>
        </w:tc>
      </w:tr>
      <w:tr w14:paraId="2F332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62589">
            <w:pPr>
              <w:pStyle w:val="11"/>
            </w:pPr>
            <w:r>
              <w:t>资金支出计划（%）</w:t>
            </w:r>
          </w:p>
        </w:tc>
        <w:tc>
          <w:tcPr>
            <w:tcW w:w="5103" w:type="dxa"/>
            <w:gridSpan w:val="2"/>
            <w:vAlign w:val="center"/>
          </w:tcPr>
          <w:p w14:paraId="330FB5A4">
            <w:pPr>
              <w:pStyle w:val="11"/>
            </w:pPr>
            <w:r>
              <w:t>3月底</w:t>
            </w:r>
          </w:p>
        </w:tc>
        <w:tc>
          <w:tcPr>
            <w:tcW w:w="2835" w:type="dxa"/>
            <w:vAlign w:val="center"/>
          </w:tcPr>
          <w:p w14:paraId="44FA4A1B">
            <w:pPr>
              <w:pStyle w:val="11"/>
            </w:pPr>
            <w:r>
              <w:t>6月底</w:t>
            </w:r>
          </w:p>
        </w:tc>
        <w:tc>
          <w:tcPr>
            <w:tcW w:w="2551" w:type="dxa"/>
            <w:vAlign w:val="center"/>
          </w:tcPr>
          <w:p w14:paraId="76EAFA1E">
            <w:pPr>
              <w:pStyle w:val="11"/>
            </w:pPr>
            <w:r>
              <w:t>10月底</w:t>
            </w:r>
          </w:p>
        </w:tc>
        <w:tc>
          <w:tcPr>
            <w:tcW w:w="3544" w:type="dxa"/>
            <w:gridSpan w:val="2"/>
            <w:vAlign w:val="center"/>
          </w:tcPr>
          <w:p w14:paraId="330CFE0A">
            <w:pPr>
              <w:pStyle w:val="11"/>
            </w:pPr>
            <w:r>
              <w:t>12月底</w:t>
            </w:r>
          </w:p>
        </w:tc>
      </w:tr>
      <w:tr w14:paraId="6DE81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D1CC7E"/>
        </w:tc>
        <w:tc>
          <w:tcPr>
            <w:tcW w:w="5103" w:type="dxa"/>
            <w:gridSpan w:val="2"/>
            <w:vAlign w:val="center"/>
          </w:tcPr>
          <w:p w14:paraId="42713155">
            <w:pPr>
              <w:pStyle w:val="12"/>
            </w:pPr>
            <w:r>
              <w:t xml:space="preserve"> </w:t>
            </w:r>
          </w:p>
        </w:tc>
        <w:tc>
          <w:tcPr>
            <w:tcW w:w="2835" w:type="dxa"/>
            <w:vAlign w:val="center"/>
          </w:tcPr>
          <w:p w14:paraId="4397AB87">
            <w:pPr>
              <w:pStyle w:val="12"/>
            </w:pPr>
            <w:r>
              <w:t>50%</w:t>
            </w:r>
          </w:p>
        </w:tc>
        <w:tc>
          <w:tcPr>
            <w:tcW w:w="2551" w:type="dxa"/>
            <w:vAlign w:val="center"/>
          </w:tcPr>
          <w:p w14:paraId="4CD488BC">
            <w:pPr>
              <w:pStyle w:val="12"/>
            </w:pPr>
            <w:r>
              <w:t>75%</w:t>
            </w:r>
          </w:p>
        </w:tc>
        <w:tc>
          <w:tcPr>
            <w:tcW w:w="3544" w:type="dxa"/>
            <w:gridSpan w:val="2"/>
            <w:vAlign w:val="center"/>
          </w:tcPr>
          <w:p w14:paraId="296F24A8">
            <w:pPr>
              <w:pStyle w:val="12"/>
            </w:pPr>
            <w:r>
              <w:t>100%</w:t>
            </w:r>
          </w:p>
        </w:tc>
      </w:tr>
      <w:tr w14:paraId="4B1FB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8F50E2">
            <w:pPr>
              <w:pStyle w:val="11"/>
            </w:pPr>
            <w:r>
              <w:t>绩效目标</w:t>
            </w:r>
          </w:p>
        </w:tc>
        <w:tc>
          <w:tcPr>
            <w:tcW w:w="14033" w:type="dxa"/>
            <w:gridSpan w:val="6"/>
            <w:vAlign w:val="center"/>
          </w:tcPr>
          <w:p w14:paraId="049A415B">
            <w:pPr>
              <w:pStyle w:val="13"/>
            </w:pPr>
            <w:r>
              <w:t>1.按季度分批次拨付安排公用经费资金，学校按照预算安排进行资金使用，保证资金正常支出。</w:t>
            </w:r>
          </w:p>
        </w:tc>
      </w:tr>
    </w:tbl>
    <w:p w14:paraId="5DCD9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16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6AB70">
            <w:pPr>
              <w:pStyle w:val="11"/>
            </w:pPr>
            <w:r>
              <w:t>一级指标</w:t>
            </w:r>
          </w:p>
        </w:tc>
        <w:tc>
          <w:tcPr>
            <w:tcW w:w="2268" w:type="dxa"/>
            <w:vAlign w:val="center"/>
          </w:tcPr>
          <w:p w14:paraId="2BF5A5F7">
            <w:pPr>
              <w:pStyle w:val="11"/>
            </w:pPr>
            <w:r>
              <w:t>二级指标</w:t>
            </w:r>
          </w:p>
        </w:tc>
        <w:tc>
          <w:tcPr>
            <w:tcW w:w="2835" w:type="dxa"/>
            <w:vAlign w:val="center"/>
          </w:tcPr>
          <w:p w14:paraId="61044EC2">
            <w:pPr>
              <w:pStyle w:val="11"/>
            </w:pPr>
            <w:r>
              <w:t>三级指标</w:t>
            </w:r>
          </w:p>
        </w:tc>
        <w:tc>
          <w:tcPr>
            <w:tcW w:w="5386" w:type="dxa"/>
            <w:vAlign w:val="center"/>
          </w:tcPr>
          <w:p w14:paraId="0EF3914B">
            <w:pPr>
              <w:pStyle w:val="11"/>
            </w:pPr>
            <w:r>
              <w:t>绩效指标描述</w:t>
            </w:r>
          </w:p>
        </w:tc>
        <w:tc>
          <w:tcPr>
            <w:tcW w:w="2268" w:type="dxa"/>
            <w:vAlign w:val="center"/>
          </w:tcPr>
          <w:p w14:paraId="1BB6611D">
            <w:pPr>
              <w:pStyle w:val="11"/>
            </w:pPr>
            <w:r>
              <w:t>指标值</w:t>
            </w:r>
          </w:p>
        </w:tc>
        <w:tc>
          <w:tcPr>
            <w:tcW w:w="1276" w:type="dxa"/>
            <w:vAlign w:val="center"/>
          </w:tcPr>
          <w:p w14:paraId="29FE4925">
            <w:pPr>
              <w:pStyle w:val="11"/>
            </w:pPr>
            <w:r>
              <w:t>指标值确定依据</w:t>
            </w:r>
          </w:p>
        </w:tc>
      </w:tr>
      <w:tr w14:paraId="237E8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629C99CC">
            <w:pPr>
              <w:pStyle w:val="12"/>
            </w:pPr>
            <w:r>
              <w:t>产出指标</w:t>
            </w:r>
          </w:p>
        </w:tc>
        <w:tc>
          <w:tcPr>
            <w:tcW w:w="2268" w:type="dxa"/>
            <w:vAlign w:val="center"/>
          </w:tcPr>
          <w:p w14:paraId="76649F4F">
            <w:pPr>
              <w:pStyle w:val="13"/>
            </w:pPr>
            <w:r>
              <w:t>数量指标</w:t>
            </w:r>
          </w:p>
        </w:tc>
        <w:tc>
          <w:tcPr>
            <w:tcW w:w="2835" w:type="dxa"/>
            <w:vAlign w:val="center"/>
          </w:tcPr>
          <w:p w14:paraId="3B5A9048">
            <w:pPr>
              <w:pStyle w:val="13"/>
            </w:pPr>
            <w:r>
              <w:t>适龄在校生</w:t>
            </w:r>
          </w:p>
        </w:tc>
        <w:tc>
          <w:tcPr>
            <w:tcW w:w="5386" w:type="dxa"/>
            <w:vAlign w:val="center"/>
          </w:tcPr>
          <w:p w14:paraId="4527395C">
            <w:pPr>
              <w:pStyle w:val="13"/>
            </w:pPr>
            <w:r>
              <w:t>辖区内适龄儿童全覆盖</w:t>
            </w:r>
          </w:p>
        </w:tc>
        <w:tc>
          <w:tcPr>
            <w:tcW w:w="2268" w:type="dxa"/>
            <w:vAlign w:val="center"/>
          </w:tcPr>
          <w:p w14:paraId="77D1B0BA">
            <w:pPr>
              <w:pStyle w:val="13"/>
            </w:pPr>
            <w:r>
              <w:t>67人</w:t>
            </w:r>
          </w:p>
        </w:tc>
        <w:tc>
          <w:tcPr>
            <w:tcW w:w="1276" w:type="dxa"/>
            <w:vAlign w:val="center"/>
          </w:tcPr>
          <w:p w14:paraId="6E2B06B0">
            <w:pPr>
              <w:pStyle w:val="13"/>
            </w:pPr>
            <w:r>
              <w:t>幼儿园生均公用经费管理办法</w:t>
            </w:r>
          </w:p>
        </w:tc>
      </w:tr>
      <w:tr w14:paraId="28FE4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7E7B0"/>
        </w:tc>
        <w:tc>
          <w:tcPr>
            <w:tcW w:w="2268" w:type="dxa"/>
            <w:vAlign w:val="center"/>
          </w:tcPr>
          <w:p w14:paraId="6F06928C">
            <w:pPr>
              <w:pStyle w:val="13"/>
            </w:pPr>
            <w:r>
              <w:t>质量指标</w:t>
            </w:r>
          </w:p>
        </w:tc>
        <w:tc>
          <w:tcPr>
            <w:tcW w:w="2835" w:type="dxa"/>
            <w:vAlign w:val="center"/>
          </w:tcPr>
          <w:p w14:paraId="30026AE5">
            <w:pPr>
              <w:pStyle w:val="13"/>
            </w:pPr>
            <w:r>
              <w:t>预算控制率</w:t>
            </w:r>
          </w:p>
        </w:tc>
        <w:tc>
          <w:tcPr>
            <w:tcW w:w="5386" w:type="dxa"/>
            <w:vAlign w:val="center"/>
          </w:tcPr>
          <w:p w14:paraId="30CC99B8">
            <w:pPr>
              <w:pStyle w:val="13"/>
            </w:pPr>
            <w:r>
              <w:t>预算执行</w:t>
            </w:r>
          </w:p>
        </w:tc>
        <w:tc>
          <w:tcPr>
            <w:tcW w:w="2268" w:type="dxa"/>
            <w:vAlign w:val="center"/>
          </w:tcPr>
          <w:p w14:paraId="40E219DF">
            <w:pPr>
              <w:pStyle w:val="13"/>
            </w:pPr>
            <w:r>
              <w:t>≥95%</w:t>
            </w:r>
          </w:p>
        </w:tc>
        <w:tc>
          <w:tcPr>
            <w:tcW w:w="1276" w:type="dxa"/>
            <w:vAlign w:val="center"/>
          </w:tcPr>
          <w:p w14:paraId="68403E06">
            <w:pPr>
              <w:pStyle w:val="13"/>
            </w:pPr>
            <w:r>
              <w:t>幼儿园生均公用经费管理办法</w:t>
            </w:r>
          </w:p>
        </w:tc>
      </w:tr>
      <w:tr w14:paraId="5207B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95CE9"/>
        </w:tc>
        <w:tc>
          <w:tcPr>
            <w:tcW w:w="2268" w:type="dxa"/>
            <w:vAlign w:val="center"/>
          </w:tcPr>
          <w:p w14:paraId="1C9D09E9">
            <w:pPr>
              <w:pStyle w:val="13"/>
            </w:pPr>
            <w:r>
              <w:t>时效指标</w:t>
            </w:r>
          </w:p>
        </w:tc>
        <w:tc>
          <w:tcPr>
            <w:tcW w:w="2835" w:type="dxa"/>
            <w:vAlign w:val="center"/>
          </w:tcPr>
          <w:p w14:paraId="7C6960B8">
            <w:pPr>
              <w:pStyle w:val="13"/>
            </w:pPr>
            <w:r>
              <w:t>资金支付率</w:t>
            </w:r>
          </w:p>
        </w:tc>
        <w:tc>
          <w:tcPr>
            <w:tcW w:w="5386" w:type="dxa"/>
            <w:vAlign w:val="center"/>
          </w:tcPr>
          <w:p w14:paraId="53EB8CCA">
            <w:pPr>
              <w:pStyle w:val="13"/>
            </w:pPr>
            <w:r>
              <w:t>按照序时进度完成资金支付</w:t>
            </w:r>
          </w:p>
        </w:tc>
        <w:tc>
          <w:tcPr>
            <w:tcW w:w="2268" w:type="dxa"/>
            <w:vAlign w:val="center"/>
          </w:tcPr>
          <w:p w14:paraId="6771A8DF">
            <w:pPr>
              <w:pStyle w:val="13"/>
            </w:pPr>
            <w:r>
              <w:t>≥100%</w:t>
            </w:r>
          </w:p>
        </w:tc>
        <w:tc>
          <w:tcPr>
            <w:tcW w:w="1276" w:type="dxa"/>
            <w:vAlign w:val="center"/>
          </w:tcPr>
          <w:p w14:paraId="6984C935">
            <w:pPr>
              <w:pStyle w:val="13"/>
            </w:pPr>
            <w:r>
              <w:t>幼儿园生均公用经费管理办法</w:t>
            </w:r>
          </w:p>
        </w:tc>
      </w:tr>
      <w:tr w14:paraId="59839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FCFE1"/>
        </w:tc>
        <w:tc>
          <w:tcPr>
            <w:tcW w:w="2268" w:type="dxa"/>
            <w:vAlign w:val="center"/>
          </w:tcPr>
          <w:p w14:paraId="0B3AD960">
            <w:pPr>
              <w:pStyle w:val="13"/>
            </w:pPr>
            <w:r>
              <w:t>成本指标</w:t>
            </w:r>
          </w:p>
        </w:tc>
        <w:tc>
          <w:tcPr>
            <w:tcW w:w="2835" w:type="dxa"/>
            <w:vAlign w:val="center"/>
          </w:tcPr>
          <w:p w14:paraId="5A66AB56">
            <w:pPr>
              <w:pStyle w:val="13"/>
            </w:pPr>
            <w:r>
              <w:t>生均拨款标准</w:t>
            </w:r>
          </w:p>
        </w:tc>
        <w:tc>
          <w:tcPr>
            <w:tcW w:w="5386" w:type="dxa"/>
            <w:vAlign w:val="center"/>
          </w:tcPr>
          <w:p w14:paraId="4438BAB0">
            <w:pPr>
              <w:pStyle w:val="13"/>
            </w:pPr>
            <w:r>
              <w:t>学前经费600元/生/年</w:t>
            </w:r>
          </w:p>
        </w:tc>
        <w:tc>
          <w:tcPr>
            <w:tcW w:w="2268" w:type="dxa"/>
            <w:vAlign w:val="center"/>
          </w:tcPr>
          <w:p w14:paraId="01C858CA">
            <w:pPr>
              <w:pStyle w:val="13"/>
            </w:pPr>
            <w:r>
              <w:t>600元</w:t>
            </w:r>
          </w:p>
        </w:tc>
        <w:tc>
          <w:tcPr>
            <w:tcW w:w="1276" w:type="dxa"/>
            <w:vAlign w:val="center"/>
          </w:tcPr>
          <w:p w14:paraId="5C1F9EC3">
            <w:pPr>
              <w:pStyle w:val="13"/>
            </w:pPr>
            <w:r>
              <w:t>幼儿园生均公用经费管理办法</w:t>
            </w:r>
          </w:p>
        </w:tc>
      </w:tr>
      <w:tr w14:paraId="64D48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C82087">
            <w:pPr>
              <w:pStyle w:val="12"/>
            </w:pPr>
            <w:r>
              <w:t>效益指标</w:t>
            </w:r>
          </w:p>
        </w:tc>
        <w:tc>
          <w:tcPr>
            <w:tcW w:w="2268" w:type="dxa"/>
            <w:vAlign w:val="center"/>
          </w:tcPr>
          <w:p w14:paraId="41506ADE">
            <w:pPr>
              <w:pStyle w:val="13"/>
            </w:pPr>
            <w:r>
              <w:t>可持续影响指标</w:t>
            </w:r>
          </w:p>
        </w:tc>
        <w:tc>
          <w:tcPr>
            <w:tcW w:w="2835" w:type="dxa"/>
            <w:vAlign w:val="center"/>
          </w:tcPr>
          <w:p w14:paraId="331E4194">
            <w:pPr>
              <w:pStyle w:val="13"/>
            </w:pPr>
            <w:r>
              <w:t>教育发展水平明显好转</w:t>
            </w:r>
          </w:p>
        </w:tc>
        <w:tc>
          <w:tcPr>
            <w:tcW w:w="5386" w:type="dxa"/>
            <w:vAlign w:val="center"/>
          </w:tcPr>
          <w:p w14:paraId="320822EC">
            <w:pPr>
              <w:pStyle w:val="13"/>
            </w:pPr>
            <w:r>
              <w:t>学生受教育年限</w:t>
            </w:r>
          </w:p>
        </w:tc>
        <w:tc>
          <w:tcPr>
            <w:tcW w:w="2268" w:type="dxa"/>
            <w:vAlign w:val="center"/>
          </w:tcPr>
          <w:p w14:paraId="5A07D04E">
            <w:pPr>
              <w:pStyle w:val="13"/>
            </w:pPr>
            <w:r>
              <w:t>3年</w:t>
            </w:r>
          </w:p>
        </w:tc>
        <w:tc>
          <w:tcPr>
            <w:tcW w:w="1276" w:type="dxa"/>
            <w:vAlign w:val="center"/>
          </w:tcPr>
          <w:p w14:paraId="4038F743">
            <w:pPr>
              <w:pStyle w:val="13"/>
            </w:pPr>
            <w:r>
              <w:t>幼儿园生均公用经费管理办法</w:t>
            </w:r>
          </w:p>
        </w:tc>
      </w:tr>
      <w:tr w14:paraId="6BE83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745678">
            <w:pPr>
              <w:pStyle w:val="12"/>
            </w:pPr>
            <w:r>
              <w:t>满意度指标</w:t>
            </w:r>
          </w:p>
        </w:tc>
        <w:tc>
          <w:tcPr>
            <w:tcW w:w="2268" w:type="dxa"/>
            <w:vAlign w:val="center"/>
          </w:tcPr>
          <w:p w14:paraId="24E3A648">
            <w:pPr>
              <w:pStyle w:val="13"/>
            </w:pPr>
            <w:r>
              <w:t>服务对象满意度指标</w:t>
            </w:r>
          </w:p>
        </w:tc>
        <w:tc>
          <w:tcPr>
            <w:tcW w:w="2835" w:type="dxa"/>
            <w:vAlign w:val="center"/>
          </w:tcPr>
          <w:p w14:paraId="69BC72C6">
            <w:pPr>
              <w:pStyle w:val="13"/>
            </w:pPr>
            <w:r>
              <w:t>受益学生家长及调查满意度</w:t>
            </w:r>
          </w:p>
        </w:tc>
        <w:tc>
          <w:tcPr>
            <w:tcW w:w="5386" w:type="dxa"/>
            <w:vAlign w:val="center"/>
          </w:tcPr>
          <w:p w14:paraId="2293ADDF">
            <w:pPr>
              <w:pStyle w:val="13"/>
            </w:pPr>
            <w:r>
              <w:t>学生、教师及家长对学校保教保育工作满意度情况</w:t>
            </w:r>
          </w:p>
        </w:tc>
        <w:tc>
          <w:tcPr>
            <w:tcW w:w="2268" w:type="dxa"/>
            <w:vAlign w:val="center"/>
          </w:tcPr>
          <w:p w14:paraId="542C8D02">
            <w:pPr>
              <w:pStyle w:val="13"/>
            </w:pPr>
            <w:r>
              <w:t>≥95%</w:t>
            </w:r>
          </w:p>
        </w:tc>
        <w:tc>
          <w:tcPr>
            <w:tcW w:w="1276" w:type="dxa"/>
            <w:vAlign w:val="center"/>
          </w:tcPr>
          <w:p w14:paraId="27C772DE">
            <w:pPr>
              <w:pStyle w:val="13"/>
            </w:pPr>
            <w:r>
              <w:t>调查问卷</w:t>
            </w:r>
          </w:p>
        </w:tc>
      </w:tr>
    </w:tbl>
    <w:p w14:paraId="4E2EB3F0">
      <w:pPr>
        <w:sectPr>
          <w:pgSz w:w="16840" w:h="11900" w:orient="landscape"/>
          <w:pgMar w:top="1361" w:right="1020" w:bottom="1134" w:left="1020" w:header="720" w:footer="720" w:gutter="0"/>
          <w:cols w:space="720" w:num="1"/>
        </w:sectPr>
      </w:pPr>
    </w:p>
    <w:p w14:paraId="57DF2FA1">
      <w:pPr>
        <w:spacing w:before="0" w:after="0"/>
        <w:ind w:firstLine="560"/>
        <w:jc w:val="left"/>
        <w:outlineLvl w:val="9"/>
      </w:pPr>
      <w:r>
        <w:rPr>
          <w:rFonts w:ascii="方正仿宋_GBK" w:hAnsi="方正仿宋_GBK" w:eastAsia="方正仿宋_GBK" w:cs="方正仿宋_GBK"/>
          <w:b/>
          <w:color w:val="000000"/>
          <w:sz w:val="28"/>
        </w:rPr>
        <w:t>59、冀财教[2024]142号/省级/2025年学前发展资金/隆尧县成贤幼儿园学前教育公用经费绩效目标表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F3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DDC45">
            <w:pPr>
              <w:pStyle w:val="14"/>
            </w:pPr>
            <w:r>
              <w:t>单位：万元</w:t>
            </w:r>
          </w:p>
        </w:tc>
      </w:tr>
      <w:tr w14:paraId="18C32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8161A4">
            <w:pPr>
              <w:pStyle w:val="11"/>
            </w:pPr>
            <w:r>
              <w:t>项目编码</w:t>
            </w:r>
          </w:p>
        </w:tc>
        <w:tc>
          <w:tcPr>
            <w:tcW w:w="5103" w:type="dxa"/>
            <w:gridSpan w:val="2"/>
            <w:vAlign w:val="center"/>
          </w:tcPr>
          <w:p w14:paraId="28F2A8DC">
            <w:pPr>
              <w:pStyle w:val="13"/>
            </w:pPr>
            <w:r>
              <w:t>13052525P00875710022Y</w:t>
            </w:r>
          </w:p>
        </w:tc>
        <w:tc>
          <w:tcPr>
            <w:tcW w:w="2835" w:type="dxa"/>
            <w:vAlign w:val="center"/>
          </w:tcPr>
          <w:p w14:paraId="07436620">
            <w:pPr>
              <w:pStyle w:val="11"/>
            </w:pPr>
            <w:r>
              <w:t>项目名称</w:t>
            </w:r>
          </w:p>
        </w:tc>
        <w:tc>
          <w:tcPr>
            <w:tcW w:w="6095" w:type="dxa"/>
            <w:gridSpan w:val="3"/>
            <w:vAlign w:val="center"/>
          </w:tcPr>
          <w:p w14:paraId="5D308F8E">
            <w:pPr>
              <w:pStyle w:val="13"/>
            </w:pPr>
            <w:r>
              <w:t>冀财教[2024]142号/省级/2025年学前发展资金/隆尧县成贤幼儿园学前教育公用经费</w:t>
            </w:r>
          </w:p>
        </w:tc>
      </w:tr>
      <w:tr w14:paraId="6B8EC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1679D">
            <w:pPr>
              <w:pStyle w:val="11"/>
            </w:pPr>
            <w:r>
              <w:t>预算规模及资金用途</w:t>
            </w:r>
          </w:p>
        </w:tc>
        <w:tc>
          <w:tcPr>
            <w:tcW w:w="2268" w:type="dxa"/>
            <w:vAlign w:val="center"/>
          </w:tcPr>
          <w:p w14:paraId="1B8F6FEE">
            <w:pPr>
              <w:pStyle w:val="11"/>
            </w:pPr>
            <w:r>
              <w:t>预算数</w:t>
            </w:r>
          </w:p>
        </w:tc>
        <w:tc>
          <w:tcPr>
            <w:tcW w:w="2835" w:type="dxa"/>
            <w:vAlign w:val="center"/>
          </w:tcPr>
          <w:p w14:paraId="6FF35289">
            <w:pPr>
              <w:pStyle w:val="13"/>
            </w:pPr>
            <w:r>
              <w:t>1.52</w:t>
            </w:r>
          </w:p>
        </w:tc>
        <w:tc>
          <w:tcPr>
            <w:tcW w:w="2835" w:type="dxa"/>
            <w:vAlign w:val="center"/>
          </w:tcPr>
          <w:p w14:paraId="4384F3F8">
            <w:pPr>
              <w:pStyle w:val="11"/>
            </w:pPr>
            <w:r>
              <w:t>其中：财政    资金</w:t>
            </w:r>
          </w:p>
        </w:tc>
        <w:tc>
          <w:tcPr>
            <w:tcW w:w="2551" w:type="dxa"/>
            <w:vAlign w:val="center"/>
          </w:tcPr>
          <w:p w14:paraId="09467893">
            <w:pPr>
              <w:pStyle w:val="13"/>
            </w:pPr>
            <w:r>
              <w:t>1.52</w:t>
            </w:r>
          </w:p>
        </w:tc>
        <w:tc>
          <w:tcPr>
            <w:tcW w:w="2268" w:type="dxa"/>
            <w:vAlign w:val="center"/>
          </w:tcPr>
          <w:p w14:paraId="3D4DB74F">
            <w:pPr>
              <w:pStyle w:val="11"/>
            </w:pPr>
            <w:r>
              <w:t>其他资金</w:t>
            </w:r>
          </w:p>
        </w:tc>
        <w:tc>
          <w:tcPr>
            <w:tcW w:w="1276" w:type="dxa"/>
            <w:vAlign w:val="center"/>
          </w:tcPr>
          <w:p w14:paraId="5B0349F1">
            <w:pPr>
              <w:pStyle w:val="13"/>
            </w:pPr>
            <w:r>
              <w:t xml:space="preserve"> </w:t>
            </w:r>
          </w:p>
        </w:tc>
      </w:tr>
      <w:tr w14:paraId="275D3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79051"/>
        </w:tc>
        <w:tc>
          <w:tcPr>
            <w:tcW w:w="14033" w:type="dxa"/>
            <w:gridSpan w:val="6"/>
            <w:vAlign w:val="center"/>
          </w:tcPr>
          <w:p w14:paraId="35147EA1">
            <w:pPr>
              <w:pStyle w:val="13"/>
            </w:pPr>
            <w:r>
              <w:t>按季度分批次拨付安排公用经费资金，学校按照预算安排进行资金使用，保证资金正常支出。</w:t>
            </w:r>
          </w:p>
        </w:tc>
      </w:tr>
      <w:tr w14:paraId="16F2C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99F4F">
            <w:pPr>
              <w:pStyle w:val="11"/>
            </w:pPr>
            <w:r>
              <w:t>资金支出计划（%）</w:t>
            </w:r>
          </w:p>
        </w:tc>
        <w:tc>
          <w:tcPr>
            <w:tcW w:w="5103" w:type="dxa"/>
            <w:gridSpan w:val="2"/>
            <w:vAlign w:val="center"/>
          </w:tcPr>
          <w:p w14:paraId="4F2A33E3">
            <w:pPr>
              <w:pStyle w:val="11"/>
            </w:pPr>
            <w:r>
              <w:t>3月底</w:t>
            </w:r>
          </w:p>
        </w:tc>
        <w:tc>
          <w:tcPr>
            <w:tcW w:w="2835" w:type="dxa"/>
            <w:vAlign w:val="center"/>
          </w:tcPr>
          <w:p w14:paraId="16626119">
            <w:pPr>
              <w:pStyle w:val="11"/>
            </w:pPr>
            <w:r>
              <w:t>6月底</w:t>
            </w:r>
          </w:p>
        </w:tc>
        <w:tc>
          <w:tcPr>
            <w:tcW w:w="2551" w:type="dxa"/>
            <w:vAlign w:val="center"/>
          </w:tcPr>
          <w:p w14:paraId="5DB2E099">
            <w:pPr>
              <w:pStyle w:val="11"/>
            </w:pPr>
            <w:r>
              <w:t>10月底</w:t>
            </w:r>
          </w:p>
        </w:tc>
        <w:tc>
          <w:tcPr>
            <w:tcW w:w="3544" w:type="dxa"/>
            <w:gridSpan w:val="2"/>
            <w:vAlign w:val="center"/>
          </w:tcPr>
          <w:p w14:paraId="571AAF28">
            <w:pPr>
              <w:pStyle w:val="11"/>
            </w:pPr>
            <w:r>
              <w:t>12月底</w:t>
            </w:r>
          </w:p>
        </w:tc>
      </w:tr>
      <w:tr w14:paraId="7D5A4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D6A00C"/>
        </w:tc>
        <w:tc>
          <w:tcPr>
            <w:tcW w:w="5103" w:type="dxa"/>
            <w:gridSpan w:val="2"/>
            <w:vAlign w:val="center"/>
          </w:tcPr>
          <w:p w14:paraId="3D124F7D">
            <w:pPr>
              <w:pStyle w:val="12"/>
            </w:pPr>
            <w:r>
              <w:t xml:space="preserve"> </w:t>
            </w:r>
          </w:p>
        </w:tc>
        <w:tc>
          <w:tcPr>
            <w:tcW w:w="2835" w:type="dxa"/>
            <w:vAlign w:val="center"/>
          </w:tcPr>
          <w:p w14:paraId="6541434A">
            <w:pPr>
              <w:pStyle w:val="12"/>
            </w:pPr>
            <w:r>
              <w:t>50%</w:t>
            </w:r>
          </w:p>
        </w:tc>
        <w:tc>
          <w:tcPr>
            <w:tcW w:w="2551" w:type="dxa"/>
            <w:vAlign w:val="center"/>
          </w:tcPr>
          <w:p w14:paraId="4132AE13">
            <w:pPr>
              <w:pStyle w:val="12"/>
            </w:pPr>
            <w:r>
              <w:t>75%</w:t>
            </w:r>
          </w:p>
        </w:tc>
        <w:tc>
          <w:tcPr>
            <w:tcW w:w="3544" w:type="dxa"/>
            <w:gridSpan w:val="2"/>
            <w:vAlign w:val="center"/>
          </w:tcPr>
          <w:p w14:paraId="042D6446">
            <w:pPr>
              <w:pStyle w:val="12"/>
            </w:pPr>
            <w:r>
              <w:t>100%</w:t>
            </w:r>
          </w:p>
        </w:tc>
      </w:tr>
      <w:tr w14:paraId="630C4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46D7B">
            <w:pPr>
              <w:pStyle w:val="11"/>
            </w:pPr>
            <w:r>
              <w:t>绩效目标</w:t>
            </w:r>
          </w:p>
        </w:tc>
        <w:tc>
          <w:tcPr>
            <w:tcW w:w="14033" w:type="dxa"/>
            <w:gridSpan w:val="6"/>
            <w:vAlign w:val="center"/>
          </w:tcPr>
          <w:p w14:paraId="13F2CC45">
            <w:pPr>
              <w:pStyle w:val="13"/>
            </w:pPr>
            <w:r>
              <w:t>1.按季度分批次拨付安排公用经费资金，学校按照预算安排进行资金使用，保证资金正常支出。</w:t>
            </w:r>
            <w:r>
              <w:tab/>
            </w:r>
          </w:p>
        </w:tc>
      </w:tr>
    </w:tbl>
    <w:p w14:paraId="49CF7D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16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AF4FB">
            <w:pPr>
              <w:pStyle w:val="11"/>
            </w:pPr>
            <w:r>
              <w:t>一级指标</w:t>
            </w:r>
          </w:p>
        </w:tc>
        <w:tc>
          <w:tcPr>
            <w:tcW w:w="2268" w:type="dxa"/>
            <w:vAlign w:val="center"/>
          </w:tcPr>
          <w:p w14:paraId="51D284B2">
            <w:pPr>
              <w:pStyle w:val="11"/>
            </w:pPr>
            <w:r>
              <w:t>二级指标</w:t>
            </w:r>
          </w:p>
        </w:tc>
        <w:tc>
          <w:tcPr>
            <w:tcW w:w="2835" w:type="dxa"/>
            <w:vAlign w:val="center"/>
          </w:tcPr>
          <w:p w14:paraId="6691CCE2">
            <w:pPr>
              <w:pStyle w:val="11"/>
            </w:pPr>
            <w:r>
              <w:t>三级指标</w:t>
            </w:r>
          </w:p>
        </w:tc>
        <w:tc>
          <w:tcPr>
            <w:tcW w:w="5386" w:type="dxa"/>
            <w:vAlign w:val="center"/>
          </w:tcPr>
          <w:p w14:paraId="1D8411EB">
            <w:pPr>
              <w:pStyle w:val="11"/>
            </w:pPr>
            <w:r>
              <w:t>绩效指标描述</w:t>
            </w:r>
          </w:p>
        </w:tc>
        <w:tc>
          <w:tcPr>
            <w:tcW w:w="2268" w:type="dxa"/>
            <w:vAlign w:val="center"/>
          </w:tcPr>
          <w:p w14:paraId="24E4E08A">
            <w:pPr>
              <w:pStyle w:val="11"/>
            </w:pPr>
            <w:r>
              <w:t>指标值</w:t>
            </w:r>
          </w:p>
        </w:tc>
        <w:tc>
          <w:tcPr>
            <w:tcW w:w="1276" w:type="dxa"/>
            <w:vAlign w:val="center"/>
          </w:tcPr>
          <w:p w14:paraId="56DE12AF">
            <w:pPr>
              <w:pStyle w:val="11"/>
            </w:pPr>
            <w:r>
              <w:t>指标值确定依据</w:t>
            </w:r>
          </w:p>
        </w:tc>
      </w:tr>
      <w:tr w14:paraId="51237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1A45C">
            <w:pPr>
              <w:pStyle w:val="12"/>
            </w:pPr>
            <w:r>
              <w:t>产出指标</w:t>
            </w:r>
          </w:p>
        </w:tc>
        <w:tc>
          <w:tcPr>
            <w:tcW w:w="2268" w:type="dxa"/>
            <w:vAlign w:val="center"/>
          </w:tcPr>
          <w:p w14:paraId="18388B77">
            <w:pPr>
              <w:pStyle w:val="13"/>
            </w:pPr>
            <w:r>
              <w:t>数量指标</w:t>
            </w:r>
          </w:p>
        </w:tc>
        <w:tc>
          <w:tcPr>
            <w:tcW w:w="2835" w:type="dxa"/>
            <w:vAlign w:val="center"/>
          </w:tcPr>
          <w:p w14:paraId="73313531">
            <w:pPr>
              <w:pStyle w:val="13"/>
            </w:pPr>
            <w:r>
              <w:t>适龄在校生</w:t>
            </w:r>
          </w:p>
        </w:tc>
        <w:tc>
          <w:tcPr>
            <w:tcW w:w="5386" w:type="dxa"/>
            <w:vAlign w:val="center"/>
          </w:tcPr>
          <w:p w14:paraId="1D5E4BFE">
            <w:pPr>
              <w:pStyle w:val="13"/>
            </w:pPr>
            <w:r>
              <w:t>辖区内适龄儿童全覆盖</w:t>
            </w:r>
          </w:p>
        </w:tc>
        <w:tc>
          <w:tcPr>
            <w:tcW w:w="2268" w:type="dxa"/>
            <w:vAlign w:val="center"/>
          </w:tcPr>
          <w:p w14:paraId="4F6D9AC7">
            <w:pPr>
              <w:pStyle w:val="13"/>
            </w:pPr>
            <w:r>
              <w:t>101人</w:t>
            </w:r>
          </w:p>
        </w:tc>
        <w:tc>
          <w:tcPr>
            <w:tcW w:w="1276" w:type="dxa"/>
            <w:vAlign w:val="center"/>
          </w:tcPr>
          <w:p w14:paraId="44BE68A1">
            <w:pPr>
              <w:pStyle w:val="13"/>
            </w:pPr>
            <w:r>
              <w:t>幼儿园生均公用经费管理办法</w:t>
            </w:r>
          </w:p>
        </w:tc>
      </w:tr>
      <w:tr w14:paraId="6C645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7F380"/>
        </w:tc>
        <w:tc>
          <w:tcPr>
            <w:tcW w:w="2268" w:type="dxa"/>
            <w:vAlign w:val="center"/>
          </w:tcPr>
          <w:p w14:paraId="4BD98A1B">
            <w:pPr>
              <w:pStyle w:val="13"/>
            </w:pPr>
            <w:r>
              <w:t>质量指标</w:t>
            </w:r>
          </w:p>
        </w:tc>
        <w:tc>
          <w:tcPr>
            <w:tcW w:w="2835" w:type="dxa"/>
            <w:vAlign w:val="center"/>
          </w:tcPr>
          <w:p w14:paraId="1C43FA08">
            <w:pPr>
              <w:pStyle w:val="13"/>
            </w:pPr>
            <w:r>
              <w:t>预算控制率</w:t>
            </w:r>
          </w:p>
        </w:tc>
        <w:tc>
          <w:tcPr>
            <w:tcW w:w="5386" w:type="dxa"/>
            <w:vAlign w:val="center"/>
          </w:tcPr>
          <w:p w14:paraId="39814B94">
            <w:pPr>
              <w:pStyle w:val="13"/>
            </w:pPr>
            <w:r>
              <w:t>预算执行</w:t>
            </w:r>
          </w:p>
        </w:tc>
        <w:tc>
          <w:tcPr>
            <w:tcW w:w="2268" w:type="dxa"/>
            <w:vAlign w:val="center"/>
          </w:tcPr>
          <w:p w14:paraId="379C63E5">
            <w:pPr>
              <w:pStyle w:val="13"/>
            </w:pPr>
            <w:r>
              <w:t>≥95%</w:t>
            </w:r>
          </w:p>
        </w:tc>
        <w:tc>
          <w:tcPr>
            <w:tcW w:w="1276" w:type="dxa"/>
            <w:vAlign w:val="center"/>
          </w:tcPr>
          <w:p w14:paraId="1ACAAE2A">
            <w:pPr>
              <w:pStyle w:val="13"/>
            </w:pPr>
            <w:r>
              <w:t>幼儿园生均公用经费管理办法</w:t>
            </w:r>
          </w:p>
        </w:tc>
      </w:tr>
      <w:tr w14:paraId="6A1CD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71983"/>
        </w:tc>
        <w:tc>
          <w:tcPr>
            <w:tcW w:w="2268" w:type="dxa"/>
            <w:vAlign w:val="center"/>
          </w:tcPr>
          <w:p w14:paraId="531EFBE9">
            <w:pPr>
              <w:pStyle w:val="13"/>
            </w:pPr>
            <w:r>
              <w:t>时效指标</w:t>
            </w:r>
          </w:p>
        </w:tc>
        <w:tc>
          <w:tcPr>
            <w:tcW w:w="2835" w:type="dxa"/>
            <w:vAlign w:val="center"/>
          </w:tcPr>
          <w:p w14:paraId="45A78E75">
            <w:pPr>
              <w:pStyle w:val="13"/>
            </w:pPr>
            <w:r>
              <w:t>资金支付率</w:t>
            </w:r>
          </w:p>
        </w:tc>
        <w:tc>
          <w:tcPr>
            <w:tcW w:w="5386" w:type="dxa"/>
            <w:vAlign w:val="center"/>
          </w:tcPr>
          <w:p w14:paraId="6CCBFA44">
            <w:pPr>
              <w:pStyle w:val="13"/>
            </w:pPr>
            <w:r>
              <w:t>按照序时进度完成资金支付</w:t>
            </w:r>
          </w:p>
        </w:tc>
        <w:tc>
          <w:tcPr>
            <w:tcW w:w="2268" w:type="dxa"/>
            <w:vAlign w:val="center"/>
          </w:tcPr>
          <w:p w14:paraId="120C4250">
            <w:pPr>
              <w:pStyle w:val="13"/>
            </w:pPr>
            <w:r>
              <w:t>≥100%</w:t>
            </w:r>
          </w:p>
        </w:tc>
        <w:tc>
          <w:tcPr>
            <w:tcW w:w="1276" w:type="dxa"/>
            <w:vAlign w:val="center"/>
          </w:tcPr>
          <w:p w14:paraId="30D02211">
            <w:pPr>
              <w:pStyle w:val="13"/>
            </w:pPr>
            <w:r>
              <w:t>幼儿园生均公用经费管理办法</w:t>
            </w:r>
          </w:p>
        </w:tc>
      </w:tr>
      <w:tr w14:paraId="622E2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1F841"/>
        </w:tc>
        <w:tc>
          <w:tcPr>
            <w:tcW w:w="2268" w:type="dxa"/>
            <w:vAlign w:val="center"/>
          </w:tcPr>
          <w:p w14:paraId="6C022766">
            <w:pPr>
              <w:pStyle w:val="13"/>
            </w:pPr>
            <w:r>
              <w:t>成本指标</w:t>
            </w:r>
          </w:p>
        </w:tc>
        <w:tc>
          <w:tcPr>
            <w:tcW w:w="2835" w:type="dxa"/>
            <w:vAlign w:val="center"/>
          </w:tcPr>
          <w:p w14:paraId="29A25BEF">
            <w:pPr>
              <w:pStyle w:val="13"/>
            </w:pPr>
            <w:r>
              <w:t>生均拨款标准</w:t>
            </w:r>
          </w:p>
        </w:tc>
        <w:tc>
          <w:tcPr>
            <w:tcW w:w="5386" w:type="dxa"/>
            <w:vAlign w:val="center"/>
          </w:tcPr>
          <w:p w14:paraId="2F41DC43">
            <w:pPr>
              <w:pStyle w:val="13"/>
            </w:pPr>
            <w:r>
              <w:t>学前经费600元/生/年</w:t>
            </w:r>
          </w:p>
        </w:tc>
        <w:tc>
          <w:tcPr>
            <w:tcW w:w="2268" w:type="dxa"/>
            <w:vAlign w:val="center"/>
          </w:tcPr>
          <w:p w14:paraId="4FFF3068">
            <w:pPr>
              <w:pStyle w:val="13"/>
            </w:pPr>
            <w:r>
              <w:t>600元</w:t>
            </w:r>
          </w:p>
        </w:tc>
        <w:tc>
          <w:tcPr>
            <w:tcW w:w="1276" w:type="dxa"/>
            <w:vAlign w:val="center"/>
          </w:tcPr>
          <w:p w14:paraId="755F3F93">
            <w:pPr>
              <w:pStyle w:val="13"/>
            </w:pPr>
            <w:r>
              <w:t>幼儿园生均公用经费管理办法</w:t>
            </w:r>
          </w:p>
        </w:tc>
      </w:tr>
      <w:tr w14:paraId="10BA4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6E1D50">
            <w:pPr>
              <w:pStyle w:val="12"/>
            </w:pPr>
            <w:r>
              <w:t>效益指标</w:t>
            </w:r>
          </w:p>
        </w:tc>
        <w:tc>
          <w:tcPr>
            <w:tcW w:w="2268" w:type="dxa"/>
            <w:vAlign w:val="center"/>
          </w:tcPr>
          <w:p w14:paraId="01945E3D">
            <w:pPr>
              <w:pStyle w:val="13"/>
            </w:pPr>
            <w:r>
              <w:t>可持续影响指标</w:t>
            </w:r>
          </w:p>
        </w:tc>
        <w:tc>
          <w:tcPr>
            <w:tcW w:w="2835" w:type="dxa"/>
            <w:vAlign w:val="center"/>
          </w:tcPr>
          <w:p w14:paraId="700BA95D">
            <w:pPr>
              <w:pStyle w:val="13"/>
            </w:pPr>
            <w:r>
              <w:t>教育发展水平明显好转</w:t>
            </w:r>
          </w:p>
        </w:tc>
        <w:tc>
          <w:tcPr>
            <w:tcW w:w="5386" w:type="dxa"/>
            <w:vAlign w:val="center"/>
          </w:tcPr>
          <w:p w14:paraId="5C3E3BD7">
            <w:pPr>
              <w:pStyle w:val="13"/>
            </w:pPr>
            <w:r>
              <w:t>学生受教育年限</w:t>
            </w:r>
          </w:p>
        </w:tc>
        <w:tc>
          <w:tcPr>
            <w:tcW w:w="2268" w:type="dxa"/>
            <w:vAlign w:val="center"/>
          </w:tcPr>
          <w:p w14:paraId="4C16708A">
            <w:pPr>
              <w:pStyle w:val="13"/>
            </w:pPr>
            <w:r>
              <w:t>3年</w:t>
            </w:r>
          </w:p>
        </w:tc>
        <w:tc>
          <w:tcPr>
            <w:tcW w:w="1276" w:type="dxa"/>
            <w:vAlign w:val="center"/>
          </w:tcPr>
          <w:p w14:paraId="5E77556D">
            <w:pPr>
              <w:pStyle w:val="13"/>
            </w:pPr>
            <w:r>
              <w:t>幼儿园生均公用经费管理办法</w:t>
            </w:r>
          </w:p>
        </w:tc>
      </w:tr>
      <w:tr w14:paraId="1F6AD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6F448">
            <w:pPr>
              <w:pStyle w:val="12"/>
            </w:pPr>
            <w:r>
              <w:t>满意度指标</w:t>
            </w:r>
          </w:p>
        </w:tc>
        <w:tc>
          <w:tcPr>
            <w:tcW w:w="2268" w:type="dxa"/>
            <w:vAlign w:val="center"/>
          </w:tcPr>
          <w:p w14:paraId="6F6F9980">
            <w:pPr>
              <w:pStyle w:val="13"/>
            </w:pPr>
            <w:r>
              <w:t>服务对象满意度指标</w:t>
            </w:r>
          </w:p>
        </w:tc>
        <w:tc>
          <w:tcPr>
            <w:tcW w:w="2835" w:type="dxa"/>
            <w:vAlign w:val="center"/>
          </w:tcPr>
          <w:p w14:paraId="6B493522">
            <w:pPr>
              <w:pStyle w:val="13"/>
            </w:pPr>
            <w:r>
              <w:t>受益学生家长及调查满意度</w:t>
            </w:r>
          </w:p>
        </w:tc>
        <w:tc>
          <w:tcPr>
            <w:tcW w:w="5386" w:type="dxa"/>
            <w:vAlign w:val="center"/>
          </w:tcPr>
          <w:p w14:paraId="10B4E388">
            <w:pPr>
              <w:pStyle w:val="13"/>
            </w:pPr>
            <w:r>
              <w:t>学生、教师及家长对学校保教保育工作满意度情况</w:t>
            </w:r>
          </w:p>
        </w:tc>
        <w:tc>
          <w:tcPr>
            <w:tcW w:w="2268" w:type="dxa"/>
            <w:vAlign w:val="center"/>
          </w:tcPr>
          <w:p w14:paraId="2DE0D71C">
            <w:pPr>
              <w:pStyle w:val="13"/>
            </w:pPr>
            <w:r>
              <w:t>≥95%</w:t>
            </w:r>
          </w:p>
        </w:tc>
        <w:tc>
          <w:tcPr>
            <w:tcW w:w="1276" w:type="dxa"/>
            <w:vAlign w:val="center"/>
          </w:tcPr>
          <w:p w14:paraId="5961651B">
            <w:pPr>
              <w:pStyle w:val="13"/>
            </w:pPr>
            <w:r>
              <w:t>调查问卷</w:t>
            </w:r>
          </w:p>
        </w:tc>
      </w:tr>
    </w:tbl>
    <w:p w14:paraId="49346092">
      <w:pPr>
        <w:sectPr>
          <w:pgSz w:w="16840" w:h="11900" w:orient="landscape"/>
          <w:pgMar w:top="1361" w:right="1020" w:bottom="1134" w:left="1020" w:header="720" w:footer="720" w:gutter="0"/>
          <w:cols w:space="720" w:num="1"/>
        </w:sectPr>
      </w:pPr>
    </w:p>
    <w:p w14:paraId="53E212B3">
      <w:pPr>
        <w:spacing w:before="0" w:after="0"/>
        <w:ind w:firstLine="560"/>
        <w:jc w:val="left"/>
        <w:outlineLvl w:val="9"/>
      </w:pPr>
      <w:r>
        <w:rPr>
          <w:rFonts w:ascii="方正仿宋_GBK" w:hAnsi="方正仿宋_GBK" w:eastAsia="方正仿宋_GBK" w:cs="方正仿宋_GBK"/>
          <w:b/>
          <w:color w:val="000000"/>
          <w:sz w:val="28"/>
        </w:rPr>
        <w:t>60、冀财教[2024]142号/省级/2025年学前发展资金/隆尧县方圆博雅幼儿园学前教育公用经费绩效目标表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23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C0A62">
            <w:pPr>
              <w:pStyle w:val="14"/>
            </w:pPr>
            <w:r>
              <w:t>单位：万元</w:t>
            </w:r>
          </w:p>
        </w:tc>
      </w:tr>
      <w:tr w14:paraId="4EAF3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A8F15">
            <w:pPr>
              <w:pStyle w:val="11"/>
            </w:pPr>
            <w:r>
              <w:t>项目编码</w:t>
            </w:r>
          </w:p>
        </w:tc>
        <w:tc>
          <w:tcPr>
            <w:tcW w:w="5103" w:type="dxa"/>
            <w:gridSpan w:val="2"/>
            <w:vAlign w:val="center"/>
          </w:tcPr>
          <w:p w14:paraId="1B1DA57C">
            <w:pPr>
              <w:pStyle w:val="13"/>
            </w:pPr>
            <w:r>
              <w:t>13052525P00875710050B</w:t>
            </w:r>
          </w:p>
        </w:tc>
        <w:tc>
          <w:tcPr>
            <w:tcW w:w="2835" w:type="dxa"/>
            <w:vAlign w:val="center"/>
          </w:tcPr>
          <w:p w14:paraId="3D6987D9">
            <w:pPr>
              <w:pStyle w:val="11"/>
            </w:pPr>
            <w:r>
              <w:t>项目名称</w:t>
            </w:r>
          </w:p>
        </w:tc>
        <w:tc>
          <w:tcPr>
            <w:tcW w:w="6095" w:type="dxa"/>
            <w:gridSpan w:val="3"/>
            <w:vAlign w:val="center"/>
          </w:tcPr>
          <w:p w14:paraId="6551DEA4">
            <w:pPr>
              <w:pStyle w:val="13"/>
            </w:pPr>
            <w:r>
              <w:t>冀财教[2024]142号/省级/2025年学前发展资金/隆尧县方圆博雅幼儿园学前教育公用经费</w:t>
            </w:r>
          </w:p>
        </w:tc>
      </w:tr>
      <w:tr w14:paraId="542D8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0B892">
            <w:pPr>
              <w:pStyle w:val="11"/>
            </w:pPr>
            <w:r>
              <w:t>预算规模及资金用途</w:t>
            </w:r>
          </w:p>
        </w:tc>
        <w:tc>
          <w:tcPr>
            <w:tcW w:w="2268" w:type="dxa"/>
            <w:vAlign w:val="center"/>
          </w:tcPr>
          <w:p w14:paraId="6D7087D2">
            <w:pPr>
              <w:pStyle w:val="11"/>
            </w:pPr>
            <w:r>
              <w:t>预算数</w:t>
            </w:r>
          </w:p>
        </w:tc>
        <w:tc>
          <w:tcPr>
            <w:tcW w:w="2835" w:type="dxa"/>
            <w:vAlign w:val="center"/>
          </w:tcPr>
          <w:p w14:paraId="3E3BF043">
            <w:pPr>
              <w:pStyle w:val="13"/>
            </w:pPr>
            <w:r>
              <w:t>0.96</w:t>
            </w:r>
          </w:p>
        </w:tc>
        <w:tc>
          <w:tcPr>
            <w:tcW w:w="2835" w:type="dxa"/>
            <w:vAlign w:val="center"/>
          </w:tcPr>
          <w:p w14:paraId="106FBB3A">
            <w:pPr>
              <w:pStyle w:val="11"/>
            </w:pPr>
            <w:r>
              <w:t>其中：财政    资金</w:t>
            </w:r>
          </w:p>
        </w:tc>
        <w:tc>
          <w:tcPr>
            <w:tcW w:w="2551" w:type="dxa"/>
            <w:vAlign w:val="center"/>
          </w:tcPr>
          <w:p w14:paraId="23745E6E">
            <w:pPr>
              <w:pStyle w:val="13"/>
            </w:pPr>
            <w:r>
              <w:t>0.96</w:t>
            </w:r>
          </w:p>
        </w:tc>
        <w:tc>
          <w:tcPr>
            <w:tcW w:w="2268" w:type="dxa"/>
            <w:vAlign w:val="center"/>
          </w:tcPr>
          <w:p w14:paraId="1B5588CA">
            <w:pPr>
              <w:pStyle w:val="11"/>
            </w:pPr>
            <w:r>
              <w:t>其他资金</w:t>
            </w:r>
          </w:p>
        </w:tc>
        <w:tc>
          <w:tcPr>
            <w:tcW w:w="1276" w:type="dxa"/>
            <w:vAlign w:val="center"/>
          </w:tcPr>
          <w:p w14:paraId="5E0759F5">
            <w:pPr>
              <w:pStyle w:val="13"/>
            </w:pPr>
            <w:r>
              <w:t xml:space="preserve"> </w:t>
            </w:r>
          </w:p>
        </w:tc>
      </w:tr>
      <w:tr w14:paraId="4B24A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CC3BB"/>
        </w:tc>
        <w:tc>
          <w:tcPr>
            <w:tcW w:w="14033" w:type="dxa"/>
            <w:gridSpan w:val="6"/>
            <w:vAlign w:val="center"/>
          </w:tcPr>
          <w:p w14:paraId="2295DE93">
            <w:pPr>
              <w:pStyle w:val="13"/>
            </w:pPr>
            <w:r>
              <w:t>"按季度分批次拨付安排公用经费资金，学校按照预算安排进行资金使用，保证资金正常支出。</w:t>
            </w:r>
            <w:r>
              <w:tab/>
            </w:r>
            <w:r>
              <w:t>"</w:t>
            </w:r>
            <w:r>
              <w:tab/>
            </w:r>
            <w:r>
              <w:tab/>
            </w:r>
            <w:r>
              <w:tab/>
            </w:r>
            <w:r>
              <w:tab/>
            </w:r>
            <w:r>
              <w:tab/>
            </w:r>
            <w:r>
              <w:tab/>
            </w:r>
          </w:p>
          <w:p w14:paraId="6856FD02">
            <w:pPr>
              <w:pStyle w:val="13"/>
            </w:pPr>
          </w:p>
        </w:tc>
      </w:tr>
      <w:tr w14:paraId="38E3E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2092E">
            <w:pPr>
              <w:pStyle w:val="11"/>
            </w:pPr>
            <w:r>
              <w:t>资金支出计划（%）</w:t>
            </w:r>
          </w:p>
        </w:tc>
        <w:tc>
          <w:tcPr>
            <w:tcW w:w="5103" w:type="dxa"/>
            <w:gridSpan w:val="2"/>
            <w:vAlign w:val="center"/>
          </w:tcPr>
          <w:p w14:paraId="5227ADAB">
            <w:pPr>
              <w:pStyle w:val="11"/>
            </w:pPr>
            <w:r>
              <w:t>3月底</w:t>
            </w:r>
          </w:p>
        </w:tc>
        <w:tc>
          <w:tcPr>
            <w:tcW w:w="2835" w:type="dxa"/>
            <w:vAlign w:val="center"/>
          </w:tcPr>
          <w:p w14:paraId="5DD0912A">
            <w:pPr>
              <w:pStyle w:val="11"/>
            </w:pPr>
            <w:r>
              <w:t>6月底</w:t>
            </w:r>
          </w:p>
        </w:tc>
        <w:tc>
          <w:tcPr>
            <w:tcW w:w="2551" w:type="dxa"/>
            <w:vAlign w:val="center"/>
          </w:tcPr>
          <w:p w14:paraId="6AD8605B">
            <w:pPr>
              <w:pStyle w:val="11"/>
            </w:pPr>
            <w:r>
              <w:t>10月底</w:t>
            </w:r>
          </w:p>
        </w:tc>
        <w:tc>
          <w:tcPr>
            <w:tcW w:w="3544" w:type="dxa"/>
            <w:gridSpan w:val="2"/>
            <w:vAlign w:val="center"/>
          </w:tcPr>
          <w:p w14:paraId="056031C8">
            <w:pPr>
              <w:pStyle w:val="11"/>
            </w:pPr>
            <w:r>
              <w:t>12月底</w:t>
            </w:r>
          </w:p>
        </w:tc>
      </w:tr>
      <w:tr w14:paraId="3470E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4E568"/>
        </w:tc>
        <w:tc>
          <w:tcPr>
            <w:tcW w:w="5103" w:type="dxa"/>
            <w:gridSpan w:val="2"/>
            <w:vAlign w:val="center"/>
          </w:tcPr>
          <w:p w14:paraId="007C28E8">
            <w:pPr>
              <w:pStyle w:val="12"/>
            </w:pPr>
            <w:r>
              <w:t xml:space="preserve"> </w:t>
            </w:r>
          </w:p>
        </w:tc>
        <w:tc>
          <w:tcPr>
            <w:tcW w:w="2835" w:type="dxa"/>
            <w:vAlign w:val="center"/>
          </w:tcPr>
          <w:p w14:paraId="712B32F7">
            <w:pPr>
              <w:pStyle w:val="12"/>
            </w:pPr>
            <w:r>
              <w:t>50%</w:t>
            </w:r>
          </w:p>
        </w:tc>
        <w:tc>
          <w:tcPr>
            <w:tcW w:w="2551" w:type="dxa"/>
            <w:vAlign w:val="center"/>
          </w:tcPr>
          <w:p w14:paraId="35EEED19">
            <w:pPr>
              <w:pStyle w:val="12"/>
            </w:pPr>
            <w:r>
              <w:t>75%</w:t>
            </w:r>
          </w:p>
        </w:tc>
        <w:tc>
          <w:tcPr>
            <w:tcW w:w="3544" w:type="dxa"/>
            <w:gridSpan w:val="2"/>
            <w:vAlign w:val="center"/>
          </w:tcPr>
          <w:p w14:paraId="64944BC9">
            <w:pPr>
              <w:pStyle w:val="12"/>
            </w:pPr>
            <w:r>
              <w:t>100%</w:t>
            </w:r>
          </w:p>
        </w:tc>
      </w:tr>
      <w:tr w14:paraId="0E02C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EECA6D">
            <w:pPr>
              <w:pStyle w:val="11"/>
            </w:pPr>
            <w:r>
              <w:t>绩效目标</w:t>
            </w:r>
          </w:p>
        </w:tc>
        <w:tc>
          <w:tcPr>
            <w:tcW w:w="14033" w:type="dxa"/>
            <w:gridSpan w:val="6"/>
            <w:vAlign w:val="center"/>
          </w:tcPr>
          <w:p w14:paraId="7341013A">
            <w:pPr>
              <w:pStyle w:val="13"/>
            </w:pPr>
            <w:r>
              <w:t>1.按季度分批次拨付安排公用经费资金，学校按照预算安排进行资金使用，保证资金正常支出。</w:t>
            </w:r>
            <w:r>
              <w:tab/>
            </w:r>
          </w:p>
        </w:tc>
      </w:tr>
    </w:tbl>
    <w:p w14:paraId="77B34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BE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94E3C">
            <w:pPr>
              <w:pStyle w:val="11"/>
            </w:pPr>
            <w:r>
              <w:t>一级指标</w:t>
            </w:r>
          </w:p>
        </w:tc>
        <w:tc>
          <w:tcPr>
            <w:tcW w:w="2268" w:type="dxa"/>
            <w:vAlign w:val="center"/>
          </w:tcPr>
          <w:p w14:paraId="43D9EA38">
            <w:pPr>
              <w:pStyle w:val="11"/>
            </w:pPr>
            <w:r>
              <w:t>二级指标</w:t>
            </w:r>
          </w:p>
        </w:tc>
        <w:tc>
          <w:tcPr>
            <w:tcW w:w="2835" w:type="dxa"/>
            <w:vAlign w:val="center"/>
          </w:tcPr>
          <w:p w14:paraId="46A24243">
            <w:pPr>
              <w:pStyle w:val="11"/>
            </w:pPr>
            <w:r>
              <w:t>三级指标</w:t>
            </w:r>
          </w:p>
        </w:tc>
        <w:tc>
          <w:tcPr>
            <w:tcW w:w="5386" w:type="dxa"/>
            <w:vAlign w:val="center"/>
          </w:tcPr>
          <w:p w14:paraId="142EC3D9">
            <w:pPr>
              <w:pStyle w:val="11"/>
            </w:pPr>
            <w:r>
              <w:t>绩效指标描述</w:t>
            </w:r>
          </w:p>
        </w:tc>
        <w:tc>
          <w:tcPr>
            <w:tcW w:w="2268" w:type="dxa"/>
            <w:vAlign w:val="center"/>
          </w:tcPr>
          <w:p w14:paraId="710E74C8">
            <w:pPr>
              <w:pStyle w:val="11"/>
            </w:pPr>
            <w:r>
              <w:t>指标值</w:t>
            </w:r>
          </w:p>
        </w:tc>
        <w:tc>
          <w:tcPr>
            <w:tcW w:w="1276" w:type="dxa"/>
            <w:vAlign w:val="center"/>
          </w:tcPr>
          <w:p w14:paraId="667F906B">
            <w:pPr>
              <w:pStyle w:val="11"/>
            </w:pPr>
            <w:r>
              <w:t>指标值确定依据</w:t>
            </w:r>
          </w:p>
        </w:tc>
      </w:tr>
      <w:tr w14:paraId="1CF0D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C379E">
            <w:pPr>
              <w:pStyle w:val="12"/>
            </w:pPr>
            <w:r>
              <w:t>产出指标</w:t>
            </w:r>
          </w:p>
        </w:tc>
        <w:tc>
          <w:tcPr>
            <w:tcW w:w="2268" w:type="dxa"/>
            <w:vAlign w:val="center"/>
          </w:tcPr>
          <w:p w14:paraId="6E4802A0">
            <w:pPr>
              <w:pStyle w:val="13"/>
            </w:pPr>
            <w:r>
              <w:t>数量指标</w:t>
            </w:r>
          </w:p>
        </w:tc>
        <w:tc>
          <w:tcPr>
            <w:tcW w:w="2835" w:type="dxa"/>
            <w:vAlign w:val="center"/>
          </w:tcPr>
          <w:p w14:paraId="7E5BD90C">
            <w:pPr>
              <w:pStyle w:val="13"/>
            </w:pPr>
            <w:r>
              <w:t>适龄在校生</w:t>
            </w:r>
          </w:p>
        </w:tc>
        <w:tc>
          <w:tcPr>
            <w:tcW w:w="5386" w:type="dxa"/>
            <w:vAlign w:val="center"/>
          </w:tcPr>
          <w:p w14:paraId="707E8269">
            <w:pPr>
              <w:pStyle w:val="13"/>
            </w:pPr>
            <w:r>
              <w:t>辖区内适龄儿童全覆盖</w:t>
            </w:r>
          </w:p>
        </w:tc>
        <w:tc>
          <w:tcPr>
            <w:tcW w:w="2268" w:type="dxa"/>
            <w:vAlign w:val="center"/>
          </w:tcPr>
          <w:p w14:paraId="1ABB6F17">
            <w:pPr>
              <w:pStyle w:val="13"/>
            </w:pPr>
            <w:r>
              <w:t>64人</w:t>
            </w:r>
          </w:p>
        </w:tc>
        <w:tc>
          <w:tcPr>
            <w:tcW w:w="1276" w:type="dxa"/>
            <w:vAlign w:val="center"/>
          </w:tcPr>
          <w:p w14:paraId="2099ED7D">
            <w:pPr>
              <w:pStyle w:val="13"/>
            </w:pPr>
            <w:r>
              <w:t>幼儿园生均公用经费管理办法</w:t>
            </w:r>
          </w:p>
        </w:tc>
      </w:tr>
      <w:tr w14:paraId="3415D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E180"/>
        </w:tc>
        <w:tc>
          <w:tcPr>
            <w:tcW w:w="2268" w:type="dxa"/>
            <w:vAlign w:val="center"/>
          </w:tcPr>
          <w:p w14:paraId="2AF3C583">
            <w:pPr>
              <w:pStyle w:val="13"/>
            </w:pPr>
            <w:r>
              <w:t>质量指标</w:t>
            </w:r>
          </w:p>
        </w:tc>
        <w:tc>
          <w:tcPr>
            <w:tcW w:w="2835" w:type="dxa"/>
            <w:vAlign w:val="center"/>
          </w:tcPr>
          <w:p w14:paraId="4F55E353">
            <w:pPr>
              <w:pStyle w:val="13"/>
            </w:pPr>
            <w:r>
              <w:t>预算控制率</w:t>
            </w:r>
          </w:p>
        </w:tc>
        <w:tc>
          <w:tcPr>
            <w:tcW w:w="5386" w:type="dxa"/>
            <w:vAlign w:val="center"/>
          </w:tcPr>
          <w:p w14:paraId="300D5AC0">
            <w:pPr>
              <w:pStyle w:val="13"/>
            </w:pPr>
            <w:r>
              <w:t>预算执行</w:t>
            </w:r>
          </w:p>
        </w:tc>
        <w:tc>
          <w:tcPr>
            <w:tcW w:w="2268" w:type="dxa"/>
            <w:vAlign w:val="center"/>
          </w:tcPr>
          <w:p w14:paraId="73141681">
            <w:pPr>
              <w:pStyle w:val="13"/>
            </w:pPr>
            <w:r>
              <w:t>≥95%</w:t>
            </w:r>
          </w:p>
        </w:tc>
        <w:tc>
          <w:tcPr>
            <w:tcW w:w="1276" w:type="dxa"/>
            <w:vAlign w:val="center"/>
          </w:tcPr>
          <w:p w14:paraId="6EECB751">
            <w:pPr>
              <w:pStyle w:val="13"/>
            </w:pPr>
            <w:r>
              <w:t>幼儿园生均公用经费管理办法</w:t>
            </w:r>
          </w:p>
        </w:tc>
      </w:tr>
      <w:tr w14:paraId="11D6B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F1C11"/>
        </w:tc>
        <w:tc>
          <w:tcPr>
            <w:tcW w:w="2268" w:type="dxa"/>
            <w:vAlign w:val="center"/>
          </w:tcPr>
          <w:p w14:paraId="67538A63">
            <w:pPr>
              <w:pStyle w:val="13"/>
            </w:pPr>
            <w:r>
              <w:t>时效指标</w:t>
            </w:r>
          </w:p>
        </w:tc>
        <w:tc>
          <w:tcPr>
            <w:tcW w:w="2835" w:type="dxa"/>
            <w:vAlign w:val="center"/>
          </w:tcPr>
          <w:p w14:paraId="17CE873F">
            <w:pPr>
              <w:pStyle w:val="13"/>
            </w:pPr>
            <w:r>
              <w:t>资金支付率</w:t>
            </w:r>
          </w:p>
        </w:tc>
        <w:tc>
          <w:tcPr>
            <w:tcW w:w="5386" w:type="dxa"/>
            <w:vAlign w:val="center"/>
          </w:tcPr>
          <w:p w14:paraId="64FE66FD">
            <w:pPr>
              <w:pStyle w:val="13"/>
            </w:pPr>
            <w:r>
              <w:t>按照序时进度完成资金支付</w:t>
            </w:r>
          </w:p>
        </w:tc>
        <w:tc>
          <w:tcPr>
            <w:tcW w:w="2268" w:type="dxa"/>
            <w:vAlign w:val="center"/>
          </w:tcPr>
          <w:p w14:paraId="29E58E77">
            <w:pPr>
              <w:pStyle w:val="13"/>
            </w:pPr>
            <w:r>
              <w:t>≥100%</w:t>
            </w:r>
          </w:p>
        </w:tc>
        <w:tc>
          <w:tcPr>
            <w:tcW w:w="1276" w:type="dxa"/>
            <w:vAlign w:val="center"/>
          </w:tcPr>
          <w:p w14:paraId="507DF0A4">
            <w:pPr>
              <w:pStyle w:val="13"/>
            </w:pPr>
            <w:r>
              <w:t>幼儿园生均公用经费管理办法</w:t>
            </w:r>
          </w:p>
        </w:tc>
      </w:tr>
      <w:tr w14:paraId="38871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D91DF"/>
        </w:tc>
        <w:tc>
          <w:tcPr>
            <w:tcW w:w="2268" w:type="dxa"/>
            <w:vAlign w:val="center"/>
          </w:tcPr>
          <w:p w14:paraId="284D0AC6">
            <w:pPr>
              <w:pStyle w:val="13"/>
            </w:pPr>
            <w:r>
              <w:t>成本指标</w:t>
            </w:r>
          </w:p>
        </w:tc>
        <w:tc>
          <w:tcPr>
            <w:tcW w:w="2835" w:type="dxa"/>
            <w:vAlign w:val="center"/>
          </w:tcPr>
          <w:p w14:paraId="36B5B331">
            <w:pPr>
              <w:pStyle w:val="13"/>
            </w:pPr>
            <w:r>
              <w:t>生均拨款标准</w:t>
            </w:r>
          </w:p>
        </w:tc>
        <w:tc>
          <w:tcPr>
            <w:tcW w:w="5386" w:type="dxa"/>
            <w:vAlign w:val="center"/>
          </w:tcPr>
          <w:p w14:paraId="6BA5E54F">
            <w:pPr>
              <w:pStyle w:val="13"/>
            </w:pPr>
            <w:r>
              <w:t>学前经费600元/生/年</w:t>
            </w:r>
          </w:p>
        </w:tc>
        <w:tc>
          <w:tcPr>
            <w:tcW w:w="2268" w:type="dxa"/>
            <w:vAlign w:val="center"/>
          </w:tcPr>
          <w:p w14:paraId="4847CE6D">
            <w:pPr>
              <w:pStyle w:val="13"/>
            </w:pPr>
            <w:r>
              <w:t>600元</w:t>
            </w:r>
          </w:p>
        </w:tc>
        <w:tc>
          <w:tcPr>
            <w:tcW w:w="1276" w:type="dxa"/>
            <w:vAlign w:val="center"/>
          </w:tcPr>
          <w:p w14:paraId="2173B6EE">
            <w:pPr>
              <w:pStyle w:val="13"/>
            </w:pPr>
            <w:r>
              <w:t>幼儿园生均公用经费管理办法</w:t>
            </w:r>
          </w:p>
        </w:tc>
      </w:tr>
      <w:tr w14:paraId="2D1FF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A14B9">
            <w:pPr>
              <w:pStyle w:val="12"/>
            </w:pPr>
            <w:r>
              <w:t>效益指标</w:t>
            </w:r>
          </w:p>
        </w:tc>
        <w:tc>
          <w:tcPr>
            <w:tcW w:w="2268" w:type="dxa"/>
            <w:vAlign w:val="center"/>
          </w:tcPr>
          <w:p w14:paraId="5CFFAD4F">
            <w:pPr>
              <w:pStyle w:val="13"/>
            </w:pPr>
            <w:r>
              <w:t>可持续影响指标</w:t>
            </w:r>
          </w:p>
        </w:tc>
        <w:tc>
          <w:tcPr>
            <w:tcW w:w="2835" w:type="dxa"/>
            <w:vAlign w:val="center"/>
          </w:tcPr>
          <w:p w14:paraId="196D80C9">
            <w:pPr>
              <w:pStyle w:val="13"/>
            </w:pPr>
            <w:r>
              <w:t>教育发展水平明显好转</w:t>
            </w:r>
          </w:p>
        </w:tc>
        <w:tc>
          <w:tcPr>
            <w:tcW w:w="5386" w:type="dxa"/>
            <w:vAlign w:val="center"/>
          </w:tcPr>
          <w:p w14:paraId="5CA1EDBD">
            <w:pPr>
              <w:pStyle w:val="13"/>
            </w:pPr>
            <w:r>
              <w:t>学生受教育年限</w:t>
            </w:r>
          </w:p>
        </w:tc>
        <w:tc>
          <w:tcPr>
            <w:tcW w:w="2268" w:type="dxa"/>
            <w:vAlign w:val="center"/>
          </w:tcPr>
          <w:p w14:paraId="08A2ACEE">
            <w:pPr>
              <w:pStyle w:val="13"/>
            </w:pPr>
            <w:r>
              <w:t>3年</w:t>
            </w:r>
          </w:p>
        </w:tc>
        <w:tc>
          <w:tcPr>
            <w:tcW w:w="1276" w:type="dxa"/>
            <w:vAlign w:val="center"/>
          </w:tcPr>
          <w:p w14:paraId="543B6C4F">
            <w:pPr>
              <w:pStyle w:val="13"/>
            </w:pPr>
            <w:r>
              <w:t>幼儿园生均公用经费管理办法</w:t>
            </w:r>
          </w:p>
        </w:tc>
      </w:tr>
      <w:tr w14:paraId="685FE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D7AE66">
            <w:pPr>
              <w:pStyle w:val="12"/>
            </w:pPr>
            <w:r>
              <w:t>满意度指标</w:t>
            </w:r>
          </w:p>
        </w:tc>
        <w:tc>
          <w:tcPr>
            <w:tcW w:w="2268" w:type="dxa"/>
            <w:vAlign w:val="center"/>
          </w:tcPr>
          <w:p w14:paraId="7F4B0CC9">
            <w:pPr>
              <w:pStyle w:val="13"/>
            </w:pPr>
            <w:r>
              <w:t>服务对象满意度指标</w:t>
            </w:r>
          </w:p>
        </w:tc>
        <w:tc>
          <w:tcPr>
            <w:tcW w:w="2835" w:type="dxa"/>
            <w:vAlign w:val="center"/>
          </w:tcPr>
          <w:p w14:paraId="2570891B">
            <w:pPr>
              <w:pStyle w:val="13"/>
            </w:pPr>
            <w:r>
              <w:t>受益学生家长及调查满意度</w:t>
            </w:r>
          </w:p>
        </w:tc>
        <w:tc>
          <w:tcPr>
            <w:tcW w:w="5386" w:type="dxa"/>
            <w:vAlign w:val="center"/>
          </w:tcPr>
          <w:p w14:paraId="0A41A95F">
            <w:pPr>
              <w:pStyle w:val="13"/>
            </w:pPr>
            <w:r>
              <w:t>学生、教师及家长对学校保教保育工作满意度情况</w:t>
            </w:r>
          </w:p>
        </w:tc>
        <w:tc>
          <w:tcPr>
            <w:tcW w:w="2268" w:type="dxa"/>
            <w:vAlign w:val="center"/>
          </w:tcPr>
          <w:p w14:paraId="0249926E">
            <w:pPr>
              <w:pStyle w:val="13"/>
            </w:pPr>
            <w:r>
              <w:t>≥95%</w:t>
            </w:r>
          </w:p>
        </w:tc>
        <w:tc>
          <w:tcPr>
            <w:tcW w:w="1276" w:type="dxa"/>
            <w:vAlign w:val="center"/>
          </w:tcPr>
          <w:p w14:paraId="737A14AC">
            <w:pPr>
              <w:pStyle w:val="13"/>
            </w:pPr>
            <w:r>
              <w:t>调查问卷</w:t>
            </w:r>
          </w:p>
        </w:tc>
      </w:tr>
    </w:tbl>
    <w:p w14:paraId="780CDFA9">
      <w:pPr>
        <w:sectPr>
          <w:pgSz w:w="16840" w:h="11900" w:orient="landscape"/>
          <w:pgMar w:top="1361" w:right="1020" w:bottom="1134" w:left="1020" w:header="720" w:footer="720" w:gutter="0"/>
          <w:cols w:space="720" w:num="1"/>
        </w:sectPr>
      </w:pPr>
    </w:p>
    <w:p w14:paraId="34FAA1A5">
      <w:pPr>
        <w:spacing w:before="0" w:after="0"/>
        <w:ind w:firstLine="560"/>
        <w:jc w:val="left"/>
        <w:outlineLvl w:val="9"/>
      </w:pPr>
      <w:r>
        <w:rPr>
          <w:rFonts w:ascii="方正仿宋_GBK" w:hAnsi="方正仿宋_GBK" w:eastAsia="方正仿宋_GBK" w:cs="方正仿宋_GBK"/>
          <w:b/>
          <w:color w:val="000000"/>
          <w:sz w:val="28"/>
        </w:rPr>
        <w:t>61、冀财教[2024]142号/省级/2025年学前发展资金/隆尧县福星幼儿园学前教育公用经费绩效目标表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40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5FC87">
            <w:pPr>
              <w:pStyle w:val="14"/>
            </w:pPr>
            <w:r>
              <w:t>单位：万元</w:t>
            </w:r>
          </w:p>
        </w:tc>
      </w:tr>
      <w:tr w14:paraId="49563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B2851D">
            <w:pPr>
              <w:pStyle w:val="11"/>
            </w:pPr>
            <w:r>
              <w:t>项目编码</w:t>
            </w:r>
          </w:p>
        </w:tc>
        <w:tc>
          <w:tcPr>
            <w:tcW w:w="5103" w:type="dxa"/>
            <w:gridSpan w:val="2"/>
            <w:vAlign w:val="center"/>
          </w:tcPr>
          <w:p w14:paraId="080F0FBE">
            <w:pPr>
              <w:pStyle w:val="13"/>
            </w:pPr>
            <w:r>
              <w:t>13052525P00875710045H</w:t>
            </w:r>
          </w:p>
        </w:tc>
        <w:tc>
          <w:tcPr>
            <w:tcW w:w="2835" w:type="dxa"/>
            <w:vAlign w:val="center"/>
          </w:tcPr>
          <w:p w14:paraId="0BDEFB4F">
            <w:pPr>
              <w:pStyle w:val="11"/>
            </w:pPr>
            <w:r>
              <w:t>项目名称</w:t>
            </w:r>
          </w:p>
        </w:tc>
        <w:tc>
          <w:tcPr>
            <w:tcW w:w="6095" w:type="dxa"/>
            <w:gridSpan w:val="3"/>
            <w:vAlign w:val="center"/>
          </w:tcPr>
          <w:p w14:paraId="3FD4A062">
            <w:pPr>
              <w:pStyle w:val="13"/>
            </w:pPr>
            <w:r>
              <w:t>冀财教[2024]142号/省级/2025年学前发展资金/隆尧县福星幼儿园学前教育公用经费</w:t>
            </w:r>
          </w:p>
        </w:tc>
      </w:tr>
      <w:tr w14:paraId="4BB05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3E148">
            <w:pPr>
              <w:pStyle w:val="11"/>
            </w:pPr>
            <w:r>
              <w:t>预算规模及资金用途</w:t>
            </w:r>
          </w:p>
        </w:tc>
        <w:tc>
          <w:tcPr>
            <w:tcW w:w="2268" w:type="dxa"/>
            <w:vAlign w:val="center"/>
          </w:tcPr>
          <w:p w14:paraId="68529F7D">
            <w:pPr>
              <w:pStyle w:val="11"/>
            </w:pPr>
            <w:r>
              <w:t>预算数</w:t>
            </w:r>
          </w:p>
        </w:tc>
        <w:tc>
          <w:tcPr>
            <w:tcW w:w="2835" w:type="dxa"/>
            <w:vAlign w:val="center"/>
          </w:tcPr>
          <w:p w14:paraId="70926287">
            <w:pPr>
              <w:pStyle w:val="13"/>
            </w:pPr>
            <w:r>
              <w:t>1.08</w:t>
            </w:r>
          </w:p>
        </w:tc>
        <w:tc>
          <w:tcPr>
            <w:tcW w:w="2835" w:type="dxa"/>
            <w:vAlign w:val="center"/>
          </w:tcPr>
          <w:p w14:paraId="78087821">
            <w:pPr>
              <w:pStyle w:val="11"/>
            </w:pPr>
            <w:r>
              <w:t>其中：财政    资金</w:t>
            </w:r>
          </w:p>
        </w:tc>
        <w:tc>
          <w:tcPr>
            <w:tcW w:w="2551" w:type="dxa"/>
            <w:vAlign w:val="center"/>
          </w:tcPr>
          <w:p w14:paraId="04FA2280">
            <w:pPr>
              <w:pStyle w:val="13"/>
            </w:pPr>
            <w:r>
              <w:t>1.08</w:t>
            </w:r>
          </w:p>
        </w:tc>
        <w:tc>
          <w:tcPr>
            <w:tcW w:w="2268" w:type="dxa"/>
            <w:vAlign w:val="center"/>
          </w:tcPr>
          <w:p w14:paraId="78745913">
            <w:pPr>
              <w:pStyle w:val="11"/>
            </w:pPr>
            <w:r>
              <w:t>其他资金</w:t>
            </w:r>
          </w:p>
        </w:tc>
        <w:tc>
          <w:tcPr>
            <w:tcW w:w="1276" w:type="dxa"/>
            <w:vAlign w:val="center"/>
          </w:tcPr>
          <w:p w14:paraId="5F16D380">
            <w:pPr>
              <w:pStyle w:val="13"/>
            </w:pPr>
            <w:r>
              <w:t xml:space="preserve"> </w:t>
            </w:r>
          </w:p>
        </w:tc>
      </w:tr>
      <w:tr w14:paraId="21BEC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ECF51"/>
        </w:tc>
        <w:tc>
          <w:tcPr>
            <w:tcW w:w="14033" w:type="dxa"/>
            <w:gridSpan w:val="6"/>
            <w:vAlign w:val="center"/>
          </w:tcPr>
          <w:p w14:paraId="53A71545">
            <w:pPr>
              <w:pStyle w:val="13"/>
            </w:pPr>
            <w:r>
              <w:t>按季度分批次拨付安排公用经费资金，学校按照预算安排进行资金使用，保证资金正常支出。</w:t>
            </w:r>
          </w:p>
        </w:tc>
      </w:tr>
      <w:tr w14:paraId="1552A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9F7A7">
            <w:pPr>
              <w:pStyle w:val="11"/>
            </w:pPr>
            <w:r>
              <w:t>资金支出计划（%）</w:t>
            </w:r>
          </w:p>
        </w:tc>
        <w:tc>
          <w:tcPr>
            <w:tcW w:w="5103" w:type="dxa"/>
            <w:gridSpan w:val="2"/>
            <w:vAlign w:val="center"/>
          </w:tcPr>
          <w:p w14:paraId="4050C0A0">
            <w:pPr>
              <w:pStyle w:val="11"/>
            </w:pPr>
            <w:r>
              <w:t>3月底</w:t>
            </w:r>
          </w:p>
        </w:tc>
        <w:tc>
          <w:tcPr>
            <w:tcW w:w="2835" w:type="dxa"/>
            <w:vAlign w:val="center"/>
          </w:tcPr>
          <w:p w14:paraId="760E80CF">
            <w:pPr>
              <w:pStyle w:val="11"/>
            </w:pPr>
            <w:r>
              <w:t>6月底</w:t>
            </w:r>
          </w:p>
        </w:tc>
        <w:tc>
          <w:tcPr>
            <w:tcW w:w="2551" w:type="dxa"/>
            <w:vAlign w:val="center"/>
          </w:tcPr>
          <w:p w14:paraId="49FB1451">
            <w:pPr>
              <w:pStyle w:val="11"/>
            </w:pPr>
            <w:r>
              <w:t>10月底</w:t>
            </w:r>
          </w:p>
        </w:tc>
        <w:tc>
          <w:tcPr>
            <w:tcW w:w="3544" w:type="dxa"/>
            <w:gridSpan w:val="2"/>
            <w:vAlign w:val="center"/>
          </w:tcPr>
          <w:p w14:paraId="5FAEC97D">
            <w:pPr>
              <w:pStyle w:val="11"/>
            </w:pPr>
            <w:r>
              <w:t>12月底</w:t>
            </w:r>
          </w:p>
        </w:tc>
      </w:tr>
      <w:tr w14:paraId="28D1A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85C523"/>
        </w:tc>
        <w:tc>
          <w:tcPr>
            <w:tcW w:w="5103" w:type="dxa"/>
            <w:gridSpan w:val="2"/>
            <w:vAlign w:val="center"/>
          </w:tcPr>
          <w:p w14:paraId="685590B0">
            <w:pPr>
              <w:pStyle w:val="12"/>
            </w:pPr>
            <w:r>
              <w:t xml:space="preserve"> </w:t>
            </w:r>
          </w:p>
        </w:tc>
        <w:tc>
          <w:tcPr>
            <w:tcW w:w="2835" w:type="dxa"/>
            <w:vAlign w:val="center"/>
          </w:tcPr>
          <w:p w14:paraId="44F459B0">
            <w:pPr>
              <w:pStyle w:val="12"/>
            </w:pPr>
            <w:r>
              <w:t>50%</w:t>
            </w:r>
          </w:p>
        </w:tc>
        <w:tc>
          <w:tcPr>
            <w:tcW w:w="2551" w:type="dxa"/>
            <w:vAlign w:val="center"/>
          </w:tcPr>
          <w:p w14:paraId="6D7EC9C2">
            <w:pPr>
              <w:pStyle w:val="12"/>
            </w:pPr>
            <w:r>
              <w:t>75%</w:t>
            </w:r>
          </w:p>
        </w:tc>
        <w:tc>
          <w:tcPr>
            <w:tcW w:w="3544" w:type="dxa"/>
            <w:gridSpan w:val="2"/>
            <w:vAlign w:val="center"/>
          </w:tcPr>
          <w:p w14:paraId="068BE087">
            <w:pPr>
              <w:pStyle w:val="12"/>
            </w:pPr>
            <w:r>
              <w:t>100%</w:t>
            </w:r>
          </w:p>
        </w:tc>
      </w:tr>
      <w:tr w14:paraId="349679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1C6D2">
            <w:pPr>
              <w:pStyle w:val="11"/>
            </w:pPr>
            <w:r>
              <w:t>绩效目标</w:t>
            </w:r>
          </w:p>
        </w:tc>
        <w:tc>
          <w:tcPr>
            <w:tcW w:w="14033" w:type="dxa"/>
            <w:gridSpan w:val="6"/>
            <w:vAlign w:val="center"/>
          </w:tcPr>
          <w:p w14:paraId="61B4E32F">
            <w:pPr>
              <w:pStyle w:val="13"/>
            </w:pPr>
            <w:r>
              <w:t>1.按季度分批次拨付安排公用经费资金，学校按照预算安排进行资金使用，保证资金正常支出。</w:t>
            </w:r>
            <w:r>
              <w:tab/>
            </w:r>
          </w:p>
        </w:tc>
      </w:tr>
    </w:tbl>
    <w:p w14:paraId="5EF79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BF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BB2A8">
            <w:pPr>
              <w:pStyle w:val="11"/>
            </w:pPr>
            <w:r>
              <w:t>一级指标</w:t>
            </w:r>
          </w:p>
        </w:tc>
        <w:tc>
          <w:tcPr>
            <w:tcW w:w="2268" w:type="dxa"/>
            <w:vAlign w:val="center"/>
          </w:tcPr>
          <w:p w14:paraId="17009CB0">
            <w:pPr>
              <w:pStyle w:val="11"/>
            </w:pPr>
            <w:r>
              <w:t>二级指标</w:t>
            </w:r>
          </w:p>
        </w:tc>
        <w:tc>
          <w:tcPr>
            <w:tcW w:w="2835" w:type="dxa"/>
            <w:vAlign w:val="center"/>
          </w:tcPr>
          <w:p w14:paraId="54631E7D">
            <w:pPr>
              <w:pStyle w:val="11"/>
            </w:pPr>
            <w:r>
              <w:t>三级指标</w:t>
            </w:r>
          </w:p>
        </w:tc>
        <w:tc>
          <w:tcPr>
            <w:tcW w:w="5386" w:type="dxa"/>
            <w:vAlign w:val="center"/>
          </w:tcPr>
          <w:p w14:paraId="5D452FEA">
            <w:pPr>
              <w:pStyle w:val="11"/>
            </w:pPr>
            <w:r>
              <w:t>绩效指标描述</w:t>
            </w:r>
          </w:p>
        </w:tc>
        <w:tc>
          <w:tcPr>
            <w:tcW w:w="2268" w:type="dxa"/>
            <w:vAlign w:val="center"/>
          </w:tcPr>
          <w:p w14:paraId="0AC04225">
            <w:pPr>
              <w:pStyle w:val="11"/>
            </w:pPr>
            <w:r>
              <w:t>指标值</w:t>
            </w:r>
          </w:p>
        </w:tc>
        <w:tc>
          <w:tcPr>
            <w:tcW w:w="1276" w:type="dxa"/>
            <w:vAlign w:val="center"/>
          </w:tcPr>
          <w:p w14:paraId="75546E1A">
            <w:pPr>
              <w:pStyle w:val="11"/>
            </w:pPr>
            <w:r>
              <w:t>指标值确定依据</w:t>
            </w:r>
          </w:p>
        </w:tc>
      </w:tr>
      <w:tr w14:paraId="3B0A3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442DE">
            <w:pPr>
              <w:pStyle w:val="12"/>
            </w:pPr>
            <w:r>
              <w:t>产出指标</w:t>
            </w:r>
          </w:p>
        </w:tc>
        <w:tc>
          <w:tcPr>
            <w:tcW w:w="2268" w:type="dxa"/>
            <w:vAlign w:val="center"/>
          </w:tcPr>
          <w:p w14:paraId="5D3E1027">
            <w:pPr>
              <w:pStyle w:val="13"/>
            </w:pPr>
            <w:r>
              <w:t>数量指标</w:t>
            </w:r>
          </w:p>
        </w:tc>
        <w:tc>
          <w:tcPr>
            <w:tcW w:w="2835" w:type="dxa"/>
            <w:vAlign w:val="center"/>
          </w:tcPr>
          <w:p w14:paraId="0CE3C789">
            <w:pPr>
              <w:pStyle w:val="13"/>
            </w:pPr>
            <w:r>
              <w:t>适龄在校生</w:t>
            </w:r>
          </w:p>
        </w:tc>
        <w:tc>
          <w:tcPr>
            <w:tcW w:w="5386" w:type="dxa"/>
            <w:vAlign w:val="center"/>
          </w:tcPr>
          <w:p w14:paraId="5A37244E">
            <w:pPr>
              <w:pStyle w:val="13"/>
            </w:pPr>
            <w:r>
              <w:t>辖区内适龄儿童全覆盖</w:t>
            </w:r>
          </w:p>
        </w:tc>
        <w:tc>
          <w:tcPr>
            <w:tcW w:w="2268" w:type="dxa"/>
            <w:vAlign w:val="center"/>
          </w:tcPr>
          <w:p w14:paraId="2A54DB03">
            <w:pPr>
              <w:pStyle w:val="13"/>
            </w:pPr>
            <w:r>
              <w:t>72人</w:t>
            </w:r>
          </w:p>
        </w:tc>
        <w:tc>
          <w:tcPr>
            <w:tcW w:w="1276" w:type="dxa"/>
            <w:vAlign w:val="center"/>
          </w:tcPr>
          <w:p w14:paraId="784C1747">
            <w:pPr>
              <w:pStyle w:val="13"/>
            </w:pPr>
            <w:r>
              <w:t>幼儿园生均公用经费管理办法</w:t>
            </w:r>
          </w:p>
        </w:tc>
      </w:tr>
      <w:tr w14:paraId="5405D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A026D"/>
        </w:tc>
        <w:tc>
          <w:tcPr>
            <w:tcW w:w="2268" w:type="dxa"/>
            <w:vAlign w:val="center"/>
          </w:tcPr>
          <w:p w14:paraId="5CFC83A4">
            <w:pPr>
              <w:pStyle w:val="13"/>
            </w:pPr>
            <w:r>
              <w:t>质量指标</w:t>
            </w:r>
          </w:p>
        </w:tc>
        <w:tc>
          <w:tcPr>
            <w:tcW w:w="2835" w:type="dxa"/>
            <w:vAlign w:val="center"/>
          </w:tcPr>
          <w:p w14:paraId="25787AC5">
            <w:pPr>
              <w:pStyle w:val="13"/>
            </w:pPr>
            <w:r>
              <w:t>预算控制率</w:t>
            </w:r>
          </w:p>
        </w:tc>
        <w:tc>
          <w:tcPr>
            <w:tcW w:w="5386" w:type="dxa"/>
            <w:vAlign w:val="center"/>
          </w:tcPr>
          <w:p w14:paraId="74AFDF78">
            <w:pPr>
              <w:pStyle w:val="13"/>
            </w:pPr>
            <w:r>
              <w:t>预算执行</w:t>
            </w:r>
          </w:p>
        </w:tc>
        <w:tc>
          <w:tcPr>
            <w:tcW w:w="2268" w:type="dxa"/>
            <w:vAlign w:val="center"/>
          </w:tcPr>
          <w:p w14:paraId="57957A15">
            <w:pPr>
              <w:pStyle w:val="13"/>
            </w:pPr>
            <w:r>
              <w:t>≥95%</w:t>
            </w:r>
          </w:p>
        </w:tc>
        <w:tc>
          <w:tcPr>
            <w:tcW w:w="1276" w:type="dxa"/>
            <w:vAlign w:val="center"/>
          </w:tcPr>
          <w:p w14:paraId="33A1285D">
            <w:pPr>
              <w:pStyle w:val="13"/>
            </w:pPr>
            <w:r>
              <w:t>幼儿园生均公用经费管理办法</w:t>
            </w:r>
          </w:p>
        </w:tc>
      </w:tr>
      <w:tr w14:paraId="5CCB1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79A72"/>
        </w:tc>
        <w:tc>
          <w:tcPr>
            <w:tcW w:w="2268" w:type="dxa"/>
            <w:vAlign w:val="center"/>
          </w:tcPr>
          <w:p w14:paraId="15840530">
            <w:pPr>
              <w:pStyle w:val="13"/>
            </w:pPr>
            <w:r>
              <w:t>时效指标</w:t>
            </w:r>
          </w:p>
        </w:tc>
        <w:tc>
          <w:tcPr>
            <w:tcW w:w="2835" w:type="dxa"/>
            <w:vAlign w:val="center"/>
          </w:tcPr>
          <w:p w14:paraId="3AE7E53B">
            <w:pPr>
              <w:pStyle w:val="13"/>
            </w:pPr>
            <w:r>
              <w:t>资金支付率</w:t>
            </w:r>
          </w:p>
        </w:tc>
        <w:tc>
          <w:tcPr>
            <w:tcW w:w="5386" w:type="dxa"/>
            <w:vAlign w:val="center"/>
          </w:tcPr>
          <w:p w14:paraId="5890FDEF">
            <w:pPr>
              <w:pStyle w:val="13"/>
            </w:pPr>
            <w:r>
              <w:t>按照序时进度完成资金支付</w:t>
            </w:r>
          </w:p>
        </w:tc>
        <w:tc>
          <w:tcPr>
            <w:tcW w:w="2268" w:type="dxa"/>
            <w:vAlign w:val="center"/>
          </w:tcPr>
          <w:p w14:paraId="7491F213">
            <w:pPr>
              <w:pStyle w:val="13"/>
            </w:pPr>
            <w:r>
              <w:t>≥100%</w:t>
            </w:r>
          </w:p>
        </w:tc>
        <w:tc>
          <w:tcPr>
            <w:tcW w:w="1276" w:type="dxa"/>
            <w:vAlign w:val="center"/>
          </w:tcPr>
          <w:p w14:paraId="003AF0A1">
            <w:pPr>
              <w:pStyle w:val="13"/>
            </w:pPr>
            <w:r>
              <w:t>幼儿园生均公用经费管理办法</w:t>
            </w:r>
          </w:p>
        </w:tc>
      </w:tr>
      <w:tr w14:paraId="4EC91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6B760"/>
        </w:tc>
        <w:tc>
          <w:tcPr>
            <w:tcW w:w="2268" w:type="dxa"/>
            <w:vAlign w:val="center"/>
          </w:tcPr>
          <w:p w14:paraId="0E646A36">
            <w:pPr>
              <w:pStyle w:val="13"/>
            </w:pPr>
            <w:r>
              <w:t>成本指标</w:t>
            </w:r>
          </w:p>
        </w:tc>
        <w:tc>
          <w:tcPr>
            <w:tcW w:w="2835" w:type="dxa"/>
            <w:vAlign w:val="center"/>
          </w:tcPr>
          <w:p w14:paraId="730BFA59">
            <w:pPr>
              <w:pStyle w:val="13"/>
            </w:pPr>
            <w:r>
              <w:t>生均拨款标准</w:t>
            </w:r>
          </w:p>
        </w:tc>
        <w:tc>
          <w:tcPr>
            <w:tcW w:w="5386" w:type="dxa"/>
            <w:vAlign w:val="center"/>
          </w:tcPr>
          <w:p w14:paraId="192200B3">
            <w:pPr>
              <w:pStyle w:val="13"/>
            </w:pPr>
            <w:r>
              <w:t>学前经费600元/生/年</w:t>
            </w:r>
          </w:p>
        </w:tc>
        <w:tc>
          <w:tcPr>
            <w:tcW w:w="2268" w:type="dxa"/>
            <w:vAlign w:val="center"/>
          </w:tcPr>
          <w:p w14:paraId="130BE75F">
            <w:pPr>
              <w:pStyle w:val="13"/>
            </w:pPr>
            <w:r>
              <w:t>600元</w:t>
            </w:r>
          </w:p>
        </w:tc>
        <w:tc>
          <w:tcPr>
            <w:tcW w:w="1276" w:type="dxa"/>
            <w:vAlign w:val="center"/>
          </w:tcPr>
          <w:p w14:paraId="109979B9">
            <w:pPr>
              <w:pStyle w:val="13"/>
            </w:pPr>
            <w:r>
              <w:t>幼儿园生均公用经费管理办法</w:t>
            </w:r>
          </w:p>
        </w:tc>
      </w:tr>
      <w:tr w14:paraId="27DCA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D8EB26">
            <w:pPr>
              <w:pStyle w:val="12"/>
            </w:pPr>
            <w:r>
              <w:t>效益指标</w:t>
            </w:r>
          </w:p>
        </w:tc>
        <w:tc>
          <w:tcPr>
            <w:tcW w:w="2268" w:type="dxa"/>
            <w:vAlign w:val="center"/>
          </w:tcPr>
          <w:p w14:paraId="3D51E9C6">
            <w:pPr>
              <w:pStyle w:val="13"/>
            </w:pPr>
            <w:r>
              <w:t>可持续影响指标</w:t>
            </w:r>
          </w:p>
        </w:tc>
        <w:tc>
          <w:tcPr>
            <w:tcW w:w="2835" w:type="dxa"/>
            <w:vAlign w:val="center"/>
          </w:tcPr>
          <w:p w14:paraId="1427CCE7">
            <w:pPr>
              <w:pStyle w:val="13"/>
            </w:pPr>
            <w:r>
              <w:t>教育发展水平明显好转</w:t>
            </w:r>
          </w:p>
        </w:tc>
        <w:tc>
          <w:tcPr>
            <w:tcW w:w="5386" w:type="dxa"/>
            <w:vAlign w:val="center"/>
          </w:tcPr>
          <w:p w14:paraId="5B5A8B08">
            <w:pPr>
              <w:pStyle w:val="13"/>
            </w:pPr>
            <w:r>
              <w:t>学生受教育年限</w:t>
            </w:r>
          </w:p>
        </w:tc>
        <w:tc>
          <w:tcPr>
            <w:tcW w:w="2268" w:type="dxa"/>
            <w:vAlign w:val="center"/>
          </w:tcPr>
          <w:p w14:paraId="56FF58D6">
            <w:pPr>
              <w:pStyle w:val="13"/>
            </w:pPr>
            <w:r>
              <w:t>3年</w:t>
            </w:r>
          </w:p>
        </w:tc>
        <w:tc>
          <w:tcPr>
            <w:tcW w:w="1276" w:type="dxa"/>
            <w:vAlign w:val="center"/>
          </w:tcPr>
          <w:p w14:paraId="422B8420">
            <w:pPr>
              <w:pStyle w:val="13"/>
            </w:pPr>
            <w:r>
              <w:t>幼儿园生均公用经费管理办法</w:t>
            </w:r>
          </w:p>
        </w:tc>
      </w:tr>
      <w:tr w14:paraId="328AC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82DAEF">
            <w:pPr>
              <w:pStyle w:val="12"/>
            </w:pPr>
            <w:r>
              <w:t>满意度指标</w:t>
            </w:r>
          </w:p>
        </w:tc>
        <w:tc>
          <w:tcPr>
            <w:tcW w:w="2268" w:type="dxa"/>
            <w:vAlign w:val="center"/>
          </w:tcPr>
          <w:p w14:paraId="3A0CB275">
            <w:pPr>
              <w:pStyle w:val="13"/>
            </w:pPr>
            <w:r>
              <w:t>服务对象满意度指标</w:t>
            </w:r>
          </w:p>
        </w:tc>
        <w:tc>
          <w:tcPr>
            <w:tcW w:w="2835" w:type="dxa"/>
            <w:vAlign w:val="center"/>
          </w:tcPr>
          <w:p w14:paraId="09845F5B">
            <w:pPr>
              <w:pStyle w:val="13"/>
            </w:pPr>
            <w:r>
              <w:t>受益学生家长及调查满意度</w:t>
            </w:r>
          </w:p>
        </w:tc>
        <w:tc>
          <w:tcPr>
            <w:tcW w:w="5386" w:type="dxa"/>
            <w:vAlign w:val="center"/>
          </w:tcPr>
          <w:p w14:paraId="4F8A5505">
            <w:pPr>
              <w:pStyle w:val="13"/>
            </w:pPr>
            <w:r>
              <w:t>学生、教师及家长对学校保教保育工作满意度情况</w:t>
            </w:r>
          </w:p>
        </w:tc>
        <w:tc>
          <w:tcPr>
            <w:tcW w:w="2268" w:type="dxa"/>
            <w:vAlign w:val="center"/>
          </w:tcPr>
          <w:p w14:paraId="2B392FFB">
            <w:pPr>
              <w:pStyle w:val="13"/>
            </w:pPr>
            <w:r>
              <w:t>≥95%</w:t>
            </w:r>
          </w:p>
        </w:tc>
        <w:tc>
          <w:tcPr>
            <w:tcW w:w="1276" w:type="dxa"/>
            <w:vAlign w:val="center"/>
          </w:tcPr>
          <w:p w14:paraId="06D0EB36">
            <w:pPr>
              <w:pStyle w:val="13"/>
            </w:pPr>
            <w:r>
              <w:t>调查问卷</w:t>
            </w:r>
          </w:p>
        </w:tc>
      </w:tr>
    </w:tbl>
    <w:p w14:paraId="1CC5EF8A">
      <w:pPr>
        <w:sectPr>
          <w:pgSz w:w="16840" w:h="11900" w:orient="landscape"/>
          <w:pgMar w:top="1361" w:right="1020" w:bottom="1134" w:left="1020" w:header="720" w:footer="720" w:gutter="0"/>
          <w:cols w:space="720" w:num="1"/>
        </w:sectPr>
      </w:pPr>
    </w:p>
    <w:p w14:paraId="4DEBA4A7">
      <w:pPr>
        <w:spacing w:before="0" w:after="0"/>
        <w:ind w:firstLine="560"/>
        <w:jc w:val="left"/>
        <w:outlineLvl w:val="9"/>
      </w:pPr>
      <w:r>
        <w:rPr>
          <w:rFonts w:ascii="方正仿宋_GBK" w:hAnsi="方正仿宋_GBK" w:eastAsia="方正仿宋_GBK" w:cs="方正仿宋_GBK"/>
          <w:b/>
          <w:color w:val="000000"/>
          <w:sz w:val="28"/>
        </w:rPr>
        <w:t>62、冀财教[2024]142号/省级/2025年学前发展资金/隆尧县海天幼儿园学前教育公用经费绩效目标表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E8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0DD40">
            <w:pPr>
              <w:pStyle w:val="14"/>
            </w:pPr>
            <w:r>
              <w:t>单位：万元</w:t>
            </w:r>
          </w:p>
        </w:tc>
      </w:tr>
      <w:tr w14:paraId="1F080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27265">
            <w:pPr>
              <w:pStyle w:val="11"/>
            </w:pPr>
            <w:r>
              <w:t>项目编码</w:t>
            </w:r>
          </w:p>
        </w:tc>
        <w:tc>
          <w:tcPr>
            <w:tcW w:w="5103" w:type="dxa"/>
            <w:gridSpan w:val="2"/>
            <w:vAlign w:val="center"/>
          </w:tcPr>
          <w:p w14:paraId="28DCBA0A">
            <w:pPr>
              <w:pStyle w:val="13"/>
            </w:pPr>
            <w:r>
              <w:t>13052525P008757100490</w:t>
            </w:r>
          </w:p>
        </w:tc>
        <w:tc>
          <w:tcPr>
            <w:tcW w:w="2835" w:type="dxa"/>
            <w:vAlign w:val="center"/>
          </w:tcPr>
          <w:p w14:paraId="309E5F9C">
            <w:pPr>
              <w:pStyle w:val="11"/>
            </w:pPr>
            <w:r>
              <w:t>项目名称</w:t>
            </w:r>
          </w:p>
        </w:tc>
        <w:tc>
          <w:tcPr>
            <w:tcW w:w="6095" w:type="dxa"/>
            <w:gridSpan w:val="3"/>
            <w:vAlign w:val="center"/>
          </w:tcPr>
          <w:p w14:paraId="3AF54FB7">
            <w:pPr>
              <w:pStyle w:val="13"/>
            </w:pPr>
            <w:r>
              <w:t>冀财教[2024]142号/省级/2025年学前发展资金/隆尧县海天幼儿园学前教育公用经费</w:t>
            </w:r>
          </w:p>
        </w:tc>
      </w:tr>
      <w:tr w14:paraId="235C8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F04BB">
            <w:pPr>
              <w:pStyle w:val="11"/>
            </w:pPr>
            <w:r>
              <w:t>预算规模及资金用途</w:t>
            </w:r>
          </w:p>
        </w:tc>
        <w:tc>
          <w:tcPr>
            <w:tcW w:w="2268" w:type="dxa"/>
            <w:vAlign w:val="center"/>
          </w:tcPr>
          <w:p w14:paraId="620AE3EE">
            <w:pPr>
              <w:pStyle w:val="11"/>
            </w:pPr>
            <w:r>
              <w:t>预算数</w:t>
            </w:r>
          </w:p>
        </w:tc>
        <w:tc>
          <w:tcPr>
            <w:tcW w:w="2835" w:type="dxa"/>
            <w:vAlign w:val="center"/>
          </w:tcPr>
          <w:p w14:paraId="0620FF84">
            <w:pPr>
              <w:pStyle w:val="13"/>
            </w:pPr>
            <w:r>
              <w:t>2.64</w:t>
            </w:r>
          </w:p>
        </w:tc>
        <w:tc>
          <w:tcPr>
            <w:tcW w:w="2835" w:type="dxa"/>
            <w:vAlign w:val="center"/>
          </w:tcPr>
          <w:p w14:paraId="7DFC0572">
            <w:pPr>
              <w:pStyle w:val="11"/>
            </w:pPr>
            <w:r>
              <w:t>其中：财政    资金</w:t>
            </w:r>
          </w:p>
        </w:tc>
        <w:tc>
          <w:tcPr>
            <w:tcW w:w="2551" w:type="dxa"/>
            <w:vAlign w:val="center"/>
          </w:tcPr>
          <w:p w14:paraId="37EFB0EE">
            <w:pPr>
              <w:pStyle w:val="13"/>
            </w:pPr>
            <w:r>
              <w:t>2.64</w:t>
            </w:r>
          </w:p>
        </w:tc>
        <w:tc>
          <w:tcPr>
            <w:tcW w:w="2268" w:type="dxa"/>
            <w:vAlign w:val="center"/>
          </w:tcPr>
          <w:p w14:paraId="57930DD5">
            <w:pPr>
              <w:pStyle w:val="11"/>
            </w:pPr>
            <w:r>
              <w:t>其他资金</w:t>
            </w:r>
          </w:p>
        </w:tc>
        <w:tc>
          <w:tcPr>
            <w:tcW w:w="1276" w:type="dxa"/>
            <w:vAlign w:val="center"/>
          </w:tcPr>
          <w:p w14:paraId="37FE7F98">
            <w:pPr>
              <w:pStyle w:val="13"/>
            </w:pPr>
            <w:r>
              <w:t xml:space="preserve"> </w:t>
            </w:r>
          </w:p>
        </w:tc>
      </w:tr>
      <w:tr w14:paraId="255A1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3FC91C"/>
        </w:tc>
        <w:tc>
          <w:tcPr>
            <w:tcW w:w="14033" w:type="dxa"/>
            <w:gridSpan w:val="6"/>
            <w:vAlign w:val="center"/>
          </w:tcPr>
          <w:p w14:paraId="6FFADB84">
            <w:pPr>
              <w:pStyle w:val="13"/>
            </w:pPr>
            <w:r>
              <w:t>按季度分批次拨付安排公用经费资金，学校按照预算安排进行资金使用，保证资金正常支出。</w:t>
            </w:r>
            <w:r>
              <w:tab/>
            </w:r>
            <w:r>
              <w:tab/>
            </w:r>
            <w:r>
              <w:tab/>
            </w:r>
            <w:r>
              <w:tab/>
            </w:r>
            <w:r>
              <w:tab/>
            </w:r>
            <w:r>
              <w:tab/>
            </w:r>
          </w:p>
          <w:p w14:paraId="6755CA53">
            <w:pPr>
              <w:pStyle w:val="13"/>
            </w:pPr>
          </w:p>
        </w:tc>
      </w:tr>
      <w:tr w14:paraId="15038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98D84">
            <w:pPr>
              <w:pStyle w:val="11"/>
            </w:pPr>
            <w:r>
              <w:t>资金支出计划（%）</w:t>
            </w:r>
          </w:p>
        </w:tc>
        <w:tc>
          <w:tcPr>
            <w:tcW w:w="5103" w:type="dxa"/>
            <w:gridSpan w:val="2"/>
            <w:vAlign w:val="center"/>
          </w:tcPr>
          <w:p w14:paraId="74611AB9">
            <w:pPr>
              <w:pStyle w:val="11"/>
            </w:pPr>
            <w:r>
              <w:t>3月底</w:t>
            </w:r>
          </w:p>
        </w:tc>
        <w:tc>
          <w:tcPr>
            <w:tcW w:w="2835" w:type="dxa"/>
            <w:vAlign w:val="center"/>
          </w:tcPr>
          <w:p w14:paraId="74B24AC1">
            <w:pPr>
              <w:pStyle w:val="11"/>
            </w:pPr>
            <w:r>
              <w:t>6月底</w:t>
            </w:r>
          </w:p>
        </w:tc>
        <w:tc>
          <w:tcPr>
            <w:tcW w:w="2551" w:type="dxa"/>
            <w:vAlign w:val="center"/>
          </w:tcPr>
          <w:p w14:paraId="60EA58FE">
            <w:pPr>
              <w:pStyle w:val="11"/>
            </w:pPr>
            <w:r>
              <w:t>10月底</w:t>
            </w:r>
          </w:p>
        </w:tc>
        <w:tc>
          <w:tcPr>
            <w:tcW w:w="3544" w:type="dxa"/>
            <w:gridSpan w:val="2"/>
            <w:vAlign w:val="center"/>
          </w:tcPr>
          <w:p w14:paraId="198A4BEE">
            <w:pPr>
              <w:pStyle w:val="11"/>
            </w:pPr>
            <w:r>
              <w:t>12月底</w:t>
            </w:r>
          </w:p>
        </w:tc>
      </w:tr>
      <w:tr w14:paraId="6F3DE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44646"/>
        </w:tc>
        <w:tc>
          <w:tcPr>
            <w:tcW w:w="5103" w:type="dxa"/>
            <w:gridSpan w:val="2"/>
            <w:vAlign w:val="center"/>
          </w:tcPr>
          <w:p w14:paraId="6EB82BAA">
            <w:pPr>
              <w:pStyle w:val="12"/>
            </w:pPr>
            <w:r>
              <w:t xml:space="preserve"> </w:t>
            </w:r>
          </w:p>
        </w:tc>
        <w:tc>
          <w:tcPr>
            <w:tcW w:w="2835" w:type="dxa"/>
            <w:vAlign w:val="center"/>
          </w:tcPr>
          <w:p w14:paraId="22B8D0CB">
            <w:pPr>
              <w:pStyle w:val="12"/>
            </w:pPr>
            <w:r>
              <w:t>50%</w:t>
            </w:r>
          </w:p>
        </w:tc>
        <w:tc>
          <w:tcPr>
            <w:tcW w:w="2551" w:type="dxa"/>
            <w:vAlign w:val="center"/>
          </w:tcPr>
          <w:p w14:paraId="5A833AE5">
            <w:pPr>
              <w:pStyle w:val="12"/>
            </w:pPr>
            <w:r>
              <w:t>75%</w:t>
            </w:r>
          </w:p>
        </w:tc>
        <w:tc>
          <w:tcPr>
            <w:tcW w:w="3544" w:type="dxa"/>
            <w:gridSpan w:val="2"/>
            <w:vAlign w:val="center"/>
          </w:tcPr>
          <w:p w14:paraId="1CEDB2F4">
            <w:pPr>
              <w:pStyle w:val="12"/>
            </w:pPr>
            <w:r>
              <w:t>100%</w:t>
            </w:r>
          </w:p>
        </w:tc>
      </w:tr>
      <w:tr w14:paraId="46E6B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B0CEF2">
            <w:pPr>
              <w:pStyle w:val="11"/>
            </w:pPr>
            <w:r>
              <w:t>绩效目标</w:t>
            </w:r>
          </w:p>
        </w:tc>
        <w:tc>
          <w:tcPr>
            <w:tcW w:w="14033" w:type="dxa"/>
            <w:gridSpan w:val="6"/>
            <w:vAlign w:val="center"/>
          </w:tcPr>
          <w:p w14:paraId="1B60315A">
            <w:pPr>
              <w:pStyle w:val="13"/>
            </w:pPr>
            <w:r>
              <w:t>1.按季度分批次拨付安排公用经费资金，学校按照预算安排进行资金使用，保证资金正常支出。</w:t>
            </w:r>
          </w:p>
        </w:tc>
      </w:tr>
    </w:tbl>
    <w:p w14:paraId="27961F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0B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0708A">
            <w:pPr>
              <w:pStyle w:val="11"/>
            </w:pPr>
            <w:r>
              <w:t>一级指标</w:t>
            </w:r>
          </w:p>
        </w:tc>
        <w:tc>
          <w:tcPr>
            <w:tcW w:w="2268" w:type="dxa"/>
            <w:vAlign w:val="center"/>
          </w:tcPr>
          <w:p w14:paraId="633B53F2">
            <w:pPr>
              <w:pStyle w:val="11"/>
            </w:pPr>
            <w:r>
              <w:t>二级指标</w:t>
            </w:r>
          </w:p>
        </w:tc>
        <w:tc>
          <w:tcPr>
            <w:tcW w:w="2835" w:type="dxa"/>
            <w:vAlign w:val="center"/>
          </w:tcPr>
          <w:p w14:paraId="001C1FF1">
            <w:pPr>
              <w:pStyle w:val="11"/>
            </w:pPr>
            <w:r>
              <w:t>三级指标</w:t>
            </w:r>
          </w:p>
        </w:tc>
        <w:tc>
          <w:tcPr>
            <w:tcW w:w="5386" w:type="dxa"/>
            <w:vAlign w:val="center"/>
          </w:tcPr>
          <w:p w14:paraId="6BC964B4">
            <w:pPr>
              <w:pStyle w:val="11"/>
            </w:pPr>
            <w:r>
              <w:t>绩效指标描述</w:t>
            </w:r>
          </w:p>
        </w:tc>
        <w:tc>
          <w:tcPr>
            <w:tcW w:w="2268" w:type="dxa"/>
            <w:vAlign w:val="center"/>
          </w:tcPr>
          <w:p w14:paraId="04F83600">
            <w:pPr>
              <w:pStyle w:val="11"/>
            </w:pPr>
            <w:r>
              <w:t>指标值</w:t>
            </w:r>
          </w:p>
        </w:tc>
        <w:tc>
          <w:tcPr>
            <w:tcW w:w="1276" w:type="dxa"/>
            <w:vAlign w:val="center"/>
          </w:tcPr>
          <w:p w14:paraId="3A9F4E75">
            <w:pPr>
              <w:pStyle w:val="11"/>
            </w:pPr>
            <w:r>
              <w:t>指标值确定依据</w:t>
            </w:r>
          </w:p>
        </w:tc>
      </w:tr>
      <w:tr w14:paraId="6A422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231CE">
            <w:pPr>
              <w:pStyle w:val="12"/>
            </w:pPr>
            <w:r>
              <w:t>产出指标</w:t>
            </w:r>
          </w:p>
        </w:tc>
        <w:tc>
          <w:tcPr>
            <w:tcW w:w="2268" w:type="dxa"/>
            <w:vAlign w:val="center"/>
          </w:tcPr>
          <w:p w14:paraId="1FEDC8B3">
            <w:pPr>
              <w:pStyle w:val="13"/>
            </w:pPr>
            <w:r>
              <w:t>数量指标</w:t>
            </w:r>
          </w:p>
        </w:tc>
        <w:tc>
          <w:tcPr>
            <w:tcW w:w="2835" w:type="dxa"/>
            <w:vAlign w:val="center"/>
          </w:tcPr>
          <w:p w14:paraId="013D1E0B">
            <w:pPr>
              <w:pStyle w:val="13"/>
            </w:pPr>
            <w:r>
              <w:t>适龄在校生</w:t>
            </w:r>
          </w:p>
        </w:tc>
        <w:tc>
          <w:tcPr>
            <w:tcW w:w="5386" w:type="dxa"/>
            <w:vAlign w:val="center"/>
          </w:tcPr>
          <w:p w14:paraId="4402CCC6">
            <w:pPr>
              <w:pStyle w:val="13"/>
            </w:pPr>
            <w:r>
              <w:t>辖区内适龄儿童全覆盖</w:t>
            </w:r>
          </w:p>
        </w:tc>
        <w:tc>
          <w:tcPr>
            <w:tcW w:w="2268" w:type="dxa"/>
            <w:vAlign w:val="center"/>
          </w:tcPr>
          <w:p w14:paraId="693F97FC">
            <w:pPr>
              <w:pStyle w:val="13"/>
            </w:pPr>
            <w:r>
              <w:t>176人</w:t>
            </w:r>
          </w:p>
        </w:tc>
        <w:tc>
          <w:tcPr>
            <w:tcW w:w="1276" w:type="dxa"/>
            <w:vAlign w:val="center"/>
          </w:tcPr>
          <w:p w14:paraId="1F6AFF92">
            <w:pPr>
              <w:pStyle w:val="13"/>
            </w:pPr>
            <w:r>
              <w:t>幼儿园生均公用经费管理办法</w:t>
            </w:r>
          </w:p>
        </w:tc>
      </w:tr>
      <w:tr w14:paraId="0DB65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B11FA"/>
        </w:tc>
        <w:tc>
          <w:tcPr>
            <w:tcW w:w="2268" w:type="dxa"/>
            <w:vAlign w:val="center"/>
          </w:tcPr>
          <w:p w14:paraId="2A76DC10">
            <w:pPr>
              <w:pStyle w:val="13"/>
            </w:pPr>
            <w:r>
              <w:t>质量指标</w:t>
            </w:r>
          </w:p>
        </w:tc>
        <w:tc>
          <w:tcPr>
            <w:tcW w:w="2835" w:type="dxa"/>
            <w:vAlign w:val="center"/>
          </w:tcPr>
          <w:p w14:paraId="7BDB3B87">
            <w:pPr>
              <w:pStyle w:val="13"/>
            </w:pPr>
            <w:r>
              <w:t>预算控制率</w:t>
            </w:r>
          </w:p>
        </w:tc>
        <w:tc>
          <w:tcPr>
            <w:tcW w:w="5386" w:type="dxa"/>
            <w:vAlign w:val="center"/>
          </w:tcPr>
          <w:p w14:paraId="145DD268">
            <w:pPr>
              <w:pStyle w:val="13"/>
            </w:pPr>
            <w:r>
              <w:t>预算执行</w:t>
            </w:r>
          </w:p>
        </w:tc>
        <w:tc>
          <w:tcPr>
            <w:tcW w:w="2268" w:type="dxa"/>
            <w:vAlign w:val="center"/>
          </w:tcPr>
          <w:p w14:paraId="60316699">
            <w:pPr>
              <w:pStyle w:val="13"/>
            </w:pPr>
            <w:r>
              <w:t>≥95%</w:t>
            </w:r>
          </w:p>
        </w:tc>
        <w:tc>
          <w:tcPr>
            <w:tcW w:w="1276" w:type="dxa"/>
            <w:vAlign w:val="center"/>
          </w:tcPr>
          <w:p w14:paraId="1348859B">
            <w:pPr>
              <w:pStyle w:val="13"/>
            </w:pPr>
            <w:r>
              <w:t>幼儿园生均公用经费管理办法</w:t>
            </w:r>
          </w:p>
        </w:tc>
      </w:tr>
      <w:tr w14:paraId="1B849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F0C53"/>
        </w:tc>
        <w:tc>
          <w:tcPr>
            <w:tcW w:w="2268" w:type="dxa"/>
            <w:vAlign w:val="center"/>
          </w:tcPr>
          <w:p w14:paraId="381B85C8">
            <w:pPr>
              <w:pStyle w:val="13"/>
            </w:pPr>
            <w:r>
              <w:t>时效指标</w:t>
            </w:r>
          </w:p>
        </w:tc>
        <w:tc>
          <w:tcPr>
            <w:tcW w:w="2835" w:type="dxa"/>
            <w:vAlign w:val="center"/>
          </w:tcPr>
          <w:p w14:paraId="7873EE37">
            <w:pPr>
              <w:pStyle w:val="13"/>
            </w:pPr>
            <w:r>
              <w:t>资金支付率</w:t>
            </w:r>
          </w:p>
        </w:tc>
        <w:tc>
          <w:tcPr>
            <w:tcW w:w="5386" w:type="dxa"/>
            <w:vAlign w:val="center"/>
          </w:tcPr>
          <w:p w14:paraId="363038F1">
            <w:pPr>
              <w:pStyle w:val="13"/>
            </w:pPr>
            <w:r>
              <w:t>按照序时进度完成资金支付</w:t>
            </w:r>
          </w:p>
        </w:tc>
        <w:tc>
          <w:tcPr>
            <w:tcW w:w="2268" w:type="dxa"/>
            <w:vAlign w:val="center"/>
          </w:tcPr>
          <w:p w14:paraId="5BA60E3A">
            <w:pPr>
              <w:pStyle w:val="13"/>
            </w:pPr>
            <w:r>
              <w:t>≥100%</w:t>
            </w:r>
          </w:p>
        </w:tc>
        <w:tc>
          <w:tcPr>
            <w:tcW w:w="1276" w:type="dxa"/>
            <w:vAlign w:val="center"/>
          </w:tcPr>
          <w:p w14:paraId="186647A0">
            <w:pPr>
              <w:pStyle w:val="13"/>
            </w:pPr>
            <w:r>
              <w:t>幼儿园生均公用经费管理办法</w:t>
            </w:r>
          </w:p>
        </w:tc>
      </w:tr>
      <w:tr w14:paraId="0C3CE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2D79A"/>
        </w:tc>
        <w:tc>
          <w:tcPr>
            <w:tcW w:w="2268" w:type="dxa"/>
            <w:vAlign w:val="center"/>
          </w:tcPr>
          <w:p w14:paraId="5DADD4A0">
            <w:pPr>
              <w:pStyle w:val="13"/>
            </w:pPr>
            <w:r>
              <w:t>成本指标</w:t>
            </w:r>
          </w:p>
        </w:tc>
        <w:tc>
          <w:tcPr>
            <w:tcW w:w="2835" w:type="dxa"/>
            <w:vAlign w:val="center"/>
          </w:tcPr>
          <w:p w14:paraId="067A87AA">
            <w:pPr>
              <w:pStyle w:val="13"/>
            </w:pPr>
            <w:r>
              <w:t>生均拨款标准</w:t>
            </w:r>
          </w:p>
        </w:tc>
        <w:tc>
          <w:tcPr>
            <w:tcW w:w="5386" w:type="dxa"/>
            <w:vAlign w:val="center"/>
          </w:tcPr>
          <w:p w14:paraId="2BA77A1A">
            <w:pPr>
              <w:pStyle w:val="13"/>
            </w:pPr>
            <w:r>
              <w:t>学前经费600元/生/年</w:t>
            </w:r>
          </w:p>
        </w:tc>
        <w:tc>
          <w:tcPr>
            <w:tcW w:w="2268" w:type="dxa"/>
            <w:vAlign w:val="center"/>
          </w:tcPr>
          <w:p w14:paraId="4908E5A1">
            <w:pPr>
              <w:pStyle w:val="13"/>
            </w:pPr>
            <w:r>
              <w:t>600元</w:t>
            </w:r>
          </w:p>
        </w:tc>
        <w:tc>
          <w:tcPr>
            <w:tcW w:w="1276" w:type="dxa"/>
            <w:vAlign w:val="center"/>
          </w:tcPr>
          <w:p w14:paraId="2315D54F">
            <w:pPr>
              <w:pStyle w:val="13"/>
            </w:pPr>
            <w:r>
              <w:t>幼儿园生均公用经费管理办法</w:t>
            </w:r>
          </w:p>
        </w:tc>
      </w:tr>
      <w:tr w14:paraId="122E7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BB88B">
            <w:pPr>
              <w:pStyle w:val="12"/>
            </w:pPr>
            <w:r>
              <w:t>效益指标</w:t>
            </w:r>
          </w:p>
        </w:tc>
        <w:tc>
          <w:tcPr>
            <w:tcW w:w="2268" w:type="dxa"/>
            <w:vAlign w:val="center"/>
          </w:tcPr>
          <w:p w14:paraId="73A7B59C">
            <w:pPr>
              <w:pStyle w:val="13"/>
            </w:pPr>
            <w:r>
              <w:t>可持续影响指标</w:t>
            </w:r>
          </w:p>
        </w:tc>
        <w:tc>
          <w:tcPr>
            <w:tcW w:w="2835" w:type="dxa"/>
            <w:vAlign w:val="center"/>
          </w:tcPr>
          <w:p w14:paraId="377715EF">
            <w:pPr>
              <w:pStyle w:val="13"/>
            </w:pPr>
            <w:r>
              <w:t>教育发展水平明显好转</w:t>
            </w:r>
          </w:p>
        </w:tc>
        <w:tc>
          <w:tcPr>
            <w:tcW w:w="5386" w:type="dxa"/>
            <w:vAlign w:val="center"/>
          </w:tcPr>
          <w:p w14:paraId="3DD643FF">
            <w:pPr>
              <w:pStyle w:val="13"/>
            </w:pPr>
            <w:r>
              <w:t>学生受教育年限</w:t>
            </w:r>
          </w:p>
        </w:tc>
        <w:tc>
          <w:tcPr>
            <w:tcW w:w="2268" w:type="dxa"/>
            <w:vAlign w:val="center"/>
          </w:tcPr>
          <w:p w14:paraId="11D78BAB">
            <w:pPr>
              <w:pStyle w:val="13"/>
            </w:pPr>
            <w:r>
              <w:t>3年</w:t>
            </w:r>
          </w:p>
        </w:tc>
        <w:tc>
          <w:tcPr>
            <w:tcW w:w="1276" w:type="dxa"/>
            <w:vAlign w:val="center"/>
          </w:tcPr>
          <w:p w14:paraId="6FF4CA58">
            <w:pPr>
              <w:pStyle w:val="13"/>
            </w:pPr>
            <w:r>
              <w:t>幼儿园生均公用经费管理办法</w:t>
            </w:r>
          </w:p>
        </w:tc>
      </w:tr>
      <w:tr w14:paraId="35A3F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B930DA">
            <w:pPr>
              <w:pStyle w:val="12"/>
            </w:pPr>
            <w:r>
              <w:t>满意度指标</w:t>
            </w:r>
          </w:p>
        </w:tc>
        <w:tc>
          <w:tcPr>
            <w:tcW w:w="2268" w:type="dxa"/>
            <w:vAlign w:val="center"/>
          </w:tcPr>
          <w:p w14:paraId="30E75BEF">
            <w:pPr>
              <w:pStyle w:val="13"/>
            </w:pPr>
            <w:r>
              <w:t>服务对象满意度指标</w:t>
            </w:r>
          </w:p>
        </w:tc>
        <w:tc>
          <w:tcPr>
            <w:tcW w:w="2835" w:type="dxa"/>
            <w:vAlign w:val="center"/>
          </w:tcPr>
          <w:p w14:paraId="20BA2D21">
            <w:pPr>
              <w:pStyle w:val="13"/>
            </w:pPr>
            <w:r>
              <w:t>受益学生家长及调查满意度</w:t>
            </w:r>
          </w:p>
        </w:tc>
        <w:tc>
          <w:tcPr>
            <w:tcW w:w="5386" w:type="dxa"/>
            <w:vAlign w:val="center"/>
          </w:tcPr>
          <w:p w14:paraId="732E45BE">
            <w:pPr>
              <w:pStyle w:val="13"/>
            </w:pPr>
            <w:r>
              <w:t>学生、教师及家长对学校保教保育工作满意度情况</w:t>
            </w:r>
          </w:p>
        </w:tc>
        <w:tc>
          <w:tcPr>
            <w:tcW w:w="2268" w:type="dxa"/>
            <w:vAlign w:val="center"/>
          </w:tcPr>
          <w:p w14:paraId="666CBD4F">
            <w:pPr>
              <w:pStyle w:val="13"/>
            </w:pPr>
            <w:r>
              <w:t>≥95%</w:t>
            </w:r>
          </w:p>
        </w:tc>
        <w:tc>
          <w:tcPr>
            <w:tcW w:w="1276" w:type="dxa"/>
            <w:vAlign w:val="center"/>
          </w:tcPr>
          <w:p w14:paraId="13819D74">
            <w:pPr>
              <w:pStyle w:val="13"/>
            </w:pPr>
            <w:r>
              <w:t>调查问卷</w:t>
            </w:r>
          </w:p>
        </w:tc>
      </w:tr>
    </w:tbl>
    <w:p w14:paraId="6BB30FAC">
      <w:pPr>
        <w:sectPr>
          <w:pgSz w:w="16840" w:h="11900" w:orient="landscape"/>
          <w:pgMar w:top="1361" w:right="1020" w:bottom="1134" w:left="1020" w:header="720" w:footer="720" w:gutter="0"/>
          <w:cols w:space="720" w:num="1"/>
        </w:sectPr>
      </w:pPr>
    </w:p>
    <w:p w14:paraId="3A1500C5">
      <w:pPr>
        <w:spacing w:before="0" w:after="0"/>
        <w:ind w:firstLine="560"/>
        <w:jc w:val="left"/>
        <w:outlineLvl w:val="9"/>
      </w:pPr>
      <w:r>
        <w:rPr>
          <w:rFonts w:ascii="方正仿宋_GBK" w:hAnsi="方正仿宋_GBK" w:eastAsia="方正仿宋_GBK" w:cs="方正仿宋_GBK"/>
          <w:b/>
          <w:color w:val="000000"/>
          <w:sz w:val="28"/>
        </w:rPr>
        <w:t>63、冀财教[2024]142号/省级/2025年学前发展资金/隆尧县宏星幼儿园学前教育公用经费绩效目标表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AF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8F165">
            <w:pPr>
              <w:pStyle w:val="14"/>
            </w:pPr>
            <w:r>
              <w:t>单位：万元</w:t>
            </w:r>
          </w:p>
        </w:tc>
      </w:tr>
      <w:tr w14:paraId="44EEB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00271D">
            <w:pPr>
              <w:pStyle w:val="11"/>
            </w:pPr>
            <w:r>
              <w:t>项目编码</w:t>
            </w:r>
          </w:p>
        </w:tc>
        <w:tc>
          <w:tcPr>
            <w:tcW w:w="5103" w:type="dxa"/>
            <w:gridSpan w:val="2"/>
            <w:vAlign w:val="center"/>
          </w:tcPr>
          <w:p w14:paraId="43B7C588">
            <w:pPr>
              <w:pStyle w:val="13"/>
            </w:pPr>
            <w:r>
              <w:t>13052525P008757100175</w:t>
            </w:r>
          </w:p>
        </w:tc>
        <w:tc>
          <w:tcPr>
            <w:tcW w:w="2835" w:type="dxa"/>
            <w:vAlign w:val="center"/>
          </w:tcPr>
          <w:p w14:paraId="1778142E">
            <w:pPr>
              <w:pStyle w:val="11"/>
            </w:pPr>
            <w:r>
              <w:t>项目名称</w:t>
            </w:r>
          </w:p>
        </w:tc>
        <w:tc>
          <w:tcPr>
            <w:tcW w:w="6095" w:type="dxa"/>
            <w:gridSpan w:val="3"/>
            <w:vAlign w:val="center"/>
          </w:tcPr>
          <w:p w14:paraId="118F5AF4">
            <w:pPr>
              <w:pStyle w:val="13"/>
            </w:pPr>
            <w:r>
              <w:t>冀财教[2024]142号/省级/2025年学前发展资金/隆尧县宏星幼儿园学前教育公用经费</w:t>
            </w:r>
          </w:p>
        </w:tc>
      </w:tr>
      <w:tr w14:paraId="1641C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652AB">
            <w:pPr>
              <w:pStyle w:val="11"/>
            </w:pPr>
            <w:r>
              <w:t>预算规模及资金用途</w:t>
            </w:r>
          </w:p>
        </w:tc>
        <w:tc>
          <w:tcPr>
            <w:tcW w:w="2268" w:type="dxa"/>
            <w:vAlign w:val="center"/>
          </w:tcPr>
          <w:p w14:paraId="3AE5E0F9">
            <w:pPr>
              <w:pStyle w:val="11"/>
            </w:pPr>
            <w:r>
              <w:t>预算数</w:t>
            </w:r>
          </w:p>
        </w:tc>
        <w:tc>
          <w:tcPr>
            <w:tcW w:w="2835" w:type="dxa"/>
            <w:vAlign w:val="center"/>
          </w:tcPr>
          <w:p w14:paraId="2444999B">
            <w:pPr>
              <w:pStyle w:val="13"/>
            </w:pPr>
            <w:r>
              <w:t>0.32</w:t>
            </w:r>
          </w:p>
        </w:tc>
        <w:tc>
          <w:tcPr>
            <w:tcW w:w="2835" w:type="dxa"/>
            <w:vAlign w:val="center"/>
          </w:tcPr>
          <w:p w14:paraId="1D24D7CA">
            <w:pPr>
              <w:pStyle w:val="11"/>
            </w:pPr>
            <w:r>
              <w:t>其中：财政    资金</w:t>
            </w:r>
          </w:p>
        </w:tc>
        <w:tc>
          <w:tcPr>
            <w:tcW w:w="2551" w:type="dxa"/>
            <w:vAlign w:val="center"/>
          </w:tcPr>
          <w:p w14:paraId="1544EF47">
            <w:pPr>
              <w:pStyle w:val="13"/>
            </w:pPr>
            <w:r>
              <w:t>0.32</w:t>
            </w:r>
          </w:p>
        </w:tc>
        <w:tc>
          <w:tcPr>
            <w:tcW w:w="2268" w:type="dxa"/>
            <w:vAlign w:val="center"/>
          </w:tcPr>
          <w:p w14:paraId="49CB7E78">
            <w:pPr>
              <w:pStyle w:val="11"/>
            </w:pPr>
            <w:r>
              <w:t>其他资金</w:t>
            </w:r>
          </w:p>
        </w:tc>
        <w:tc>
          <w:tcPr>
            <w:tcW w:w="1276" w:type="dxa"/>
            <w:vAlign w:val="center"/>
          </w:tcPr>
          <w:p w14:paraId="32037AAA">
            <w:pPr>
              <w:pStyle w:val="13"/>
            </w:pPr>
            <w:r>
              <w:t xml:space="preserve"> </w:t>
            </w:r>
          </w:p>
        </w:tc>
      </w:tr>
      <w:tr w14:paraId="08319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88C8A"/>
        </w:tc>
        <w:tc>
          <w:tcPr>
            <w:tcW w:w="14033" w:type="dxa"/>
            <w:gridSpan w:val="6"/>
            <w:vAlign w:val="center"/>
          </w:tcPr>
          <w:p w14:paraId="7D53B39A">
            <w:pPr>
              <w:pStyle w:val="13"/>
            </w:pPr>
            <w:r>
              <w:t>按季度分批次拨付安排公用经费资金，学校按照预算安排进行资金使用，保证资金正常支出。</w:t>
            </w:r>
            <w:r>
              <w:tab/>
            </w:r>
            <w:r>
              <w:tab/>
            </w:r>
            <w:r>
              <w:tab/>
            </w:r>
            <w:r>
              <w:tab/>
            </w:r>
            <w:r>
              <w:tab/>
            </w:r>
            <w:r>
              <w:tab/>
            </w:r>
          </w:p>
          <w:p w14:paraId="33E7E196">
            <w:pPr>
              <w:pStyle w:val="13"/>
            </w:pPr>
          </w:p>
        </w:tc>
      </w:tr>
      <w:tr w14:paraId="0DFA0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DABAB">
            <w:pPr>
              <w:pStyle w:val="11"/>
            </w:pPr>
            <w:r>
              <w:t>资金支出计划（%）</w:t>
            </w:r>
          </w:p>
        </w:tc>
        <w:tc>
          <w:tcPr>
            <w:tcW w:w="5103" w:type="dxa"/>
            <w:gridSpan w:val="2"/>
            <w:vAlign w:val="center"/>
          </w:tcPr>
          <w:p w14:paraId="0AE8E7EE">
            <w:pPr>
              <w:pStyle w:val="11"/>
            </w:pPr>
            <w:r>
              <w:t>3月底</w:t>
            </w:r>
          </w:p>
        </w:tc>
        <w:tc>
          <w:tcPr>
            <w:tcW w:w="2835" w:type="dxa"/>
            <w:vAlign w:val="center"/>
          </w:tcPr>
          <w:p w14:paraId="1F5E95BE">
            <w:pPr>
              <w:pStyle w:val="11"/>
            </w:pPr>
            <w:r>
              <w:t>6月底</w:t>
            </w:r>
          </w:p>
        </w:tc>
        <w:tc>
          <w:tcPr>
            <w:tcW w:w="2551" w:type="dxa"/>
            <w:vAlign w:val="center"/>
          </w:tcPr>
          <w:p w14:paraId="349E6C89">
            <w:pPr>
              <w:pStyle w:val="11"/>
            </w:pPr>
            <w:r>
              <w:t>10月底</w:t>
            </w:r>
          </w:p>
        </w:tc>
        <w:tc>
          <w:tcPr>
            <w:tcW w:w="3544" w:type="dxa"/>
            <w:gridSpan w:val="2"/>
            <w:vAlign w:val="center"/>
          </w:tcPr>
          <w:p w14:paraId="1D76535A">
            <w:pPr>
              <w:pStyle w:val="11"/>
            </w:pPr>
            <w:r>
              <w:t>12月底</w:t>
            </w:r>
          </w:p>
        </w:tc>
      </w:tr>
      <w:tr w14:paraId="5D6AE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B727D1"/>
        </w:tc>
        <w:tc>
          <w:tcPr>
            <w:tcW w:w="5103" w:type="dxa"/>
            <w:gridSpan w:val="2"/>
            <w:vAlign w:val="center"/>
          </w:tcPr>
          <w:p w14:paraId="4AAD7311">
            <w:pPr>
              <w:pStyle w:val="12"/>
            </w:pPr>
            <w:r>
              <w:t xml:space="preserve"> </w:t>
            </w:r>
          </w:p>
        </w:tc>
        <w:tc>
          <w:tcPr>
            <w:tcW w:w="2835" w:type="dxa"/>
            <w:vAlign w:val="center"/>
          </w:tcPr>
          <w:p w14:paraId="3D340E39">
            <w:pPr>
              <w:pStyle w:val="12"/>
            </w:pPr>
            <w:r>
              <w:t>50%</w:t>
            </w:r>
          </w:p>
        </w:tc>
        <w:tc>
          <w:tcPr>
            <w:tcW w:w="2551" w:type="dxa"/>
            <w:vAlign w:val="center"/>
          </w:tcPr>
          <w:p w14:paraId="50B84ABD">
            <w:pPr>
              <w:pStyle w:val="12"/>
            </w:pPr>
            <w:r>
              <w:t>75%</w:t>
            </w:r>
          </w:p>
        </w:tc>
        <w:tc>
          <w:tcPr>
            <w:tcW w:w="3544" w:type="dxa"/>
            <w:gridSpan w:val="2"/>
            <w:vAlign w:val="center"/>
          </w:tcPr>
          <w:p w14:paraId="043F9D08">
            <w:pPr>
              <w:pStyle w:val="12"/>
            </w:pPr>
            <w:r>
              <w:t>100%</w:t>
            </w:r>
          </w:p>
        </w:tc>
      </w:tr>
      <w:tr w14:paraId="7DF89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571CA">
            <w:pPr>
              <w:pStyle w:val="11"/>
            </w:pPr>
            <w:r>
              <w:t>绩效目标</w:t>
            </w:r>
          </w:p>
        </w:tc>
        <w:tc>
          <w:tcPr>
            <w:tcW w:w="14033" w:type="dxa"/>
            <w:gridSpan w:val="6"/>
            <w:vAlign w:val="center"/>
          </w:tcPr>
          <w:p w14:paraId="7FC84E60">
            <w:pPr>
              <w:pStyle w:val="13"/>
            </w:pPr>
            <w:r>
              <w:t>1.按季度分批次拨付安排公用经费资金，学校按照预算安排进行资金使用，保证资金正常支出。</w:t>
            </w:r>
          </w:p>
        </w:tc>
      </w:tr>
    </w:tbl>
    <w:p w14:paraId="72E8B5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94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3C93E">
            <w:pPr>
              <w:pStyle w:val="11"/>
            </w:pPr>
            <w:r>
              <w:t>一级指标</w:t>
            </w:r>
          </w:p>
        </w:tc>
        <w:tc>
          <w:tcPr>
            <w:tcW w:w="2268" w:type="dxa"/>
            <w:vAlign w:val="center"/>
          </w:tcPr>
          <w:p w14:paraId="6D363CBA">
            <w:pPr>
              <w:pStyle w:val="11"/>
            </w:pPr>
            <w:r>
              <w:t>二级指标</w:t>
            </w:r>
          </w:p>
        </w:tc>
        <w:tc>
          <w:tcPr>
            <w:tcW w:w="2835" w:type="dxa"/>
            <w:vAlign w:val="center"/>
          </w:tcPr>
          <w:p w14:paraId="21E22167">
            <w:pPr>
              <w:pStyle w:val="11"/>
            </w:pPr>
            <w:r>
              <w:t>三级指标</w:t>
            </w:r>
          </w:p>
        </w:tc>
        <w:tc>
          <w:tcPr>
            <w:tcW w:w="5386" w:type="dxa"/>
            <w:vAlign w:val="center"/>
          </w:tcPr>
          <w:p w14:paraId="54905C30">
            <w:pPr>
              <w:pStyle w:val="11"/>
            </w:pPr>
            <w:r>
              <w:t>绩效指标描述</w:t>
            </w:r>
          </w:p>
        </w:tc>
        <w:tc>
          <w:tcPr>
            <w:tcW w:w="2268" w:type="dxa"/>
            <w:vAlign w:val="center"/>
          </w:tcPr>
          <w:p w14:paraId="61345587">
            <w:pPr>
              <w:pStyle w:val="11"/>
            </w:pPr>
            <w:r>
              <w:t>指标值</w:t>
            </w:r>
          </w:p>
        </w:tc>
        <w:tc>
          <w:tcPr>
            <w:tcW w:w="1276" w:type="dxa"/>
            <w:vAlign w:val="center"/>
          </w:tcPr>
          <w:p w14:paraId="5C3B82DA">
            <w:pPr>
              <w:pStyle w:val="11"/>
            </w:pPr>
            <w:r>
              <w:t>指标值确定依据</w:t>
            </w:r>
          </w:p>
        </w:tc>
      </w:tr>
      <w:tr w14:paraId="3E51F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B4874">
            <w:pPr>
              <w:pStyle w:val="12"/>
            </w:pPr>
            <w:r>
              <w:t>产出指标</w:t>
            </w:r>
          </w:p>
        </w:tc>
        <w:tc>
          <w:tcPr>
            <w:tcW w:w="2268" w:type="dxa"/>
            <w:vAlign w:val="center"/>
          </w:tcPr>
          <w:p w14:paraId="7BEAF92F">
            <w:pPr>
              <w:pStyle w:val="13"/>
            </w:pPr>
            <w:r>
              <w:t>数量指标</w:t>
            </w:r>
          </w:p>
        </w:tc>
        <w:tc>
          <w:tcPr>
            <w:tcW w:w="2835" w:type="dxa"/>
            <w:vAlign w:val="center"/>
          </w:tcPr>
          <w:p w14:paraId="7F4B76DF">
            <w:pPr>
              <w:pStyle w:val="13"/>
            </w:pPr>
            <w:r>
              <w:t>适龄在校生</w:t>
            </w:r>
          </w:p>
        </w:tc>
        <w:tc>
          <w:tcPr>
            <w:tcW w:w="5386" w:type="dxa"/>
            <w:vAlign w:val="center"/>
          </w:tcPr>
          <w:p w14:paraId="00C24CB2">
            <w:pPr>
              <w:pStyle w:val="13"/>
            </w:pPr>
            <w:r>
              <w:t>辖区内适龄儿童全覆盖</w:t>
            </w:r>
          </w:p>
        </w:tc>
        <w:tc>
          <w:tcPr>
            <w:tcW w:w="2268" w:type="dxa"/>
            <w:vAlign w:val="center"/>
          </w:tcPr>
          <w:p w14:paraId="132CB65D">
            <w:pPr>
              <w:pStyle w:val="13"/>
            </w:pPr>
            <w:r>
              <w:t>21人</w:t>
            </w:r>
          </w:p>
        </w:tc>
        <w:tc>
          <w:tcPr>
            <w:tcW w:w="1276" w:type="dxa"/>
            <w:vAlign w:val="center"/>
          </w:tcPr>
          <w:p w14:paraId="239C695D">
            <w:pPr>
              <w:pStyle w:val="13"/>
            </w:pPr>
            <w:r>
              <w:t>幼儿园生均公用经费管理办法</w:t>
            </w:r>
          </w:p>
        </w:tc>
      </w:tr>
      <w:tr w14:paraId="3414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7538C"/>
        </w:tc>
        <w:tc>
          <w:tcPr>
            <w:tcW w:w="2268" w:type="dxa"/>
            <w:vAlign w:val="center"/>
          </w:tcPr>
          <w:p w14:paraId="7BD22DE4">
            <w:pPr>
              <w:pStyle w:val="13"/>
            </w:pPr>
            <w:r>
              <w:t>质量指标</w:t>
            </w:r>
          </w:p>
        </w:tc>
        <w:tc>
          <w:tcPr>
            <w:tcW w:w="2835" w:type="dxa"/>
            <w:vAlign w:val="center"/>
          </w:tcPr>
          <w:p w14:paraId="5E9ADD1A">
            <w:pPr>
              <w:pStyle w:val="13"/>
            </w:pPr>
            <w:r>
              <w:t>预算控制率</w:t>
            </w:r>
          </w:p>
        </w:tc>
        <w:tc>
          <w:tcPr>
            <w:tcW w:w="5386" w:type="dxa"/>
            <w:vAlign w:val="center"/>
          </w:tcPr>
          <w:p w14:paraId="7540E2D9">
            <w:pPr>
              <w:pStyle w:val="13"/>
            </w:pPr>
            <w:r>
              <w:t>预算执行</w:t>
            </w:r>
          </w:p>
        </w:tc>
        <w:tc>
          <w:tcPr>
            <w:tcW w:w="2268" w:type="dxa"/>
            <w:vAlign w:val="center"/>
          </w:tcPr>
          <w:p w14:paraId="0328CDD9">
            <w:pPr>
              <w:pStyle w:val="13"/>
            </w:pPr>
            <w:r>
              <w:t>≥95%</w:t>
            </w:r>
          </w:p>
        </w:tc>
        <w:tc>
          <w:tcPr>
            <w:tcW w:w="1276" w:type="dxa"/>
            <w:vAlign w:val="center"/>
          </w:tcPr>
          <w:p w14:paraId="26889512">
            <w:pPr>
              <w:pStyle w:val="13"/>
            </w:pPr>
            <w:r>
              <w:t>幼儿园生均公用经费管理办法</w:t>
            </w:r>
          </w:p>
        </w:tc>
      </w:tr>
      <w:tr w14:paraId="1FAD9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C6E03"/>
        </w:tc>
        <w:tc>
          <w:tcPr>
            <w:tcW w:w="2268" w:type="dxa"/>
            <w:vAlign w:val="center"/>
          </w:tcPr>
          <w:p w14:paraId="11D34E4E">
            <w:pPr>
              <w:pStyle w:val="13"/>
            </w:pPr>
            <w:r>
              <w:t>时效指标</w:t>
            </w:r>
          </w:p>
        </w:tc>
        <w:tc>
          <w:tcPr>
            <w:tcW w:w="2835" w:type="dxa"/>
            <w:vAlign w:val="center"/>
          </w:tcPr>
          <w:p w14:paraId="52CF5B63">
            <w:pPr>
              <w:pStyle w:val="13"/>
            </w:pPr>
            <w:r>
              <w:t>资金支付率</w:t>
            </w:r>
          </w:p>
        </w:tc>
        <w:tc>
          <w:tcPr>
            <w:tcW w:w="5386" w:type="dxa"/>
            <w:vAlign w:val="center"/>
          </w:tcPr>
          <w:p w14:paraId="67416855">
            <w:pPr>
              <w:pStyle w:val="13"/>
            </w:pPr>
            <w:r>
              <w:t>按照序时进度完成资金支付</w:t>
            </w:r>
          </w:p>
        </w:tc>
        <w:tc>
          <w:tcPr>
            <w:tcW w:w="2268" w:type="dxa"/>
            <w:vAlign w:val="center"/>
          </w:tcPr>
          <w:p w14:paraId="367E3E46">
            <w:pPr>
              <w:pStyle w:val="13"/>
            </w:pPr>
            <w:r>
              <w:t>≥100%</w:t>
            </w:r>
          </w:p>
        </w:tc>
        <w:tc>
          <w:tcPr>
            <w:tcW w:w="1276" w:type="dxa"/>
            <w:vAlign w:val="center"/>
          </w:tcPr>
          <w:p w14:paraId="4351DF90">
            <w:pPr>
              <w:pStyle w:val="13"/>
            </w:pPr>
            <w:r>
              <w:t>幼儿园生均公用经费管理办法</w:t>
            </w:r>
          </w:p>
        </w:tc>
      </w:tr>
      <w:tr w14:paraId="17240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274B7"/>
        </w:tc>
        <w:tc>
          <w:tcPr>
            <w:tcW w:w="2268" w:type="dxa"/>
            <w:vAlign w:val="center"/>
          </w:tcPr>
          <w:p w14:paraId="1904C9AB">
            <w:pPr>
              <w:pStyle w:val="13"/>
            </w:pPr>
            <w:r>
              <w:t>成本指标</w:t>
            </w:r>
          </w:p>
        </w:tc>
        <w:tc>
          <w:tcPr>
            <w:tcW w:w="2835" w:type="dxa"/>
            <w:vAlign w:val="center"/>
          </w:tcPr>
          <w:p w14:paraId="60E93D11">
            <w:pPr>
              <w:pStyle w:val="13"/>
            </w:pPr>
            <w:r>
              <w:t>生均拨款标准</w:t>
            </w:r>
          </w:p>
        </w:tc>
        <w:tc>
          <w:tcPr>
            <w:tcW w:w="5386" w:type="dxa"/>
            <w:vAlign w:val="center"/>
          </w:tcPr>
          <w:p w14:paraId="71262FFE">
            <w:pPr>
              <w:pStyle w:val="13"/>
            </w:pPr>
            <w:r>
              <w:t>学前经费600元/生/年</w:t>
            </w:r>
          </w:p>
        </w:tc>
        <w:tc>
          <w:tcPr>
            <w:tcW w:w="2268" w:type="dxa"/>
            <w:vAlign w:val="center"/>
          </w:tcPr>
          <w:p w14:paraId="1412C7CB">
            <w:pPr>
              <w:pStyle w:val="13"/>
            </w:pPr>
            <w:r>
              <w:t>600元</w:t>
            </w:r>
          </w:p>
        </w:tc>
        <w:tc>
          <w:tcPr>
            <w:tcW w:w="1276" w:type="dxa"/>
            <w:vAlign w:val="center"/>
          </w:tcPr>
          <w:p w14:paraId="0D472BFF">
            <w:pPr>
              <w:pStyle w:val="13"/>
            </w:pPr>
            <w:r>
              <w:t>幼儿园生均公用经费管理办法</w:t>
            </w:r>
          </w:p>
        </w:tc>
      </w:tr>
      <w:tr w14:paraId="39338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EFC9F">
            <w:pPr>
              <w:pStyle w:val="12"/>
            </w:pPr>
            <w:r>
              <w:t>效益指标</w:t>
            </w:r>
          </w:p>
        </w:tc>
        <w:tc>
          <w:tcPr>
            <w:tcW w:w="2268" w:type="dxa"/>
            <w:vAlign w:val="center"/>
          </w:tcPr>
          <w:p w14:paraId="16E5A3FC">
            <w:pPr>
              <w:pStyle w:val="13"/>
            </w:pPr>
            <w:r>
              <w:t>可持续影响指标</w:t>
            </w:r>
          </w:p>
        </w:tc>
        <w:tc>
          <w:tcPr>
            <w:tcW w:w="2835" w:type="dxa"/>
            <w:vAlign w:val="center"/>
          </w:tcPr>
          <w:p w14:paraId="73017B6B">
            <w:pPr>
              <w:pStyle w:val="13"/>
            </w:pPr>
            <w:r>
              <w:t>教育发展水平明显好转</w:t>
            </w:r>
          </w:p>
        </w:tc>
        <w:tc>
          <w:tcPr>
            <w:tcW w:w="5386" w:type="dxa"/>
            <w:vAlign w:val="center"/>
          </w:tcPr>
          <w:p w14:paraId="60A05102">
            <w:pPr>
              <w:pStyle w:val="13"/>
            </w:pPr>
            <w:r>
              <w:t>学生受教育年限</w:t>
            </w:r>
          </w:p>
        </w:tc>
        <w:tc>
          <w:tcPr>
            <w:tcW w:w="2268" w:type="dxa"/>
            <w:vAlign w:val="center"/>
          </w:tcPr>
          <w:p w14:paraId="5E209BB0">
            <w:pPr>
              <w:pStyle w:val="13"/>
            </w:pPr>
            <w:r>
              <w:t>3年</w:t>
            </w:r>
          </w:p>
        </w:tc>
        <w:tc>
          <w:tcPr>
            <w:tcW w:w="1276" w:type="dxa"/>
            <w:vAlign w:val="center"/>
          </w:tcPr>
          <w:p w14:paraId="7CFEF16F">
            <w:pPr>
              <w:pStyle w:val="13"/>
            </w:pPr>
            <w:r>
              <w:t>幼儿园生均公用经费管理办法</w:t>
            </w:r>
          </w:p>
        </w:tc>
      </w:tr>
      <w:tr w14:paraId="00ED3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3A5BB5">
            <w:pPr>
              <w:pStyle w:val="12"/>
            </w:pPr>
            <w:r>
              <w:t>满意度指标</w:t>
            </w:r>
          </w:p>
        </w:tc>
        <w:tc>
          <w:tcPr>
            <w:tcW w:w="2268" w:type="dxa"/>
            <w:vAlign w:val="center"/>
          </w:tcPr>
          <w:p w14:paraId="0F404FA2">
            <w:pPr>
              <w:pStyle w:val="13"/>
            </w:pPr>
            <w:r>
              <w:t>服务对象满意度指标</w:t>
            </w:r>
          </w:p>
        </w:tc>
        <w:tc>
          <w:tcPr>
            <w:tcW w:w="2835" w:type="dxa"/>
            <w:vAlign w:val="center"/>
          </w:tcPr>
          <w:p w14:paraId="06A591CD">
            <w:pPr>
              <w:pStyle w:val="13"/>
            </w:pPr>
            <w:r>
              <w:t>受益学生家长及调查满意度</w:t>
            </w:r>
          </w:p>
        </w:tc>
        <w:tc>
          <w:tcPr>
            <w:tcW w:w="5386" w:type="dxa"/>
            <w:vAlign w:val="center"/>
          </w:tcPr>
          <w:p w14:paraId="7C205843">
            <w:pPr>
              <w:pStyle w:val="13"/>
            </w:pPr>
            <w:r>
              <w:t>学生、教师及家长对学校保教保育工作满意度情况</w:t>
            </w:r>
          </w:p>
        </w:tc>
        <w:tc>
          <w:tcPr>
            <w:tcW w:w="2268" w:type="dxa"/>
            <w:vAlign w:val="center"/>
          </w:tcPr>
          <w:p w14:paraId="76618323">
            <w:pPr>
              <w:pStyle w:val="13"/>
            </w:pPr>
            <w:r>
              <w:t>≥95%</w:t>
            </w:r>
          </w:p>
        </w:tc>
        <w:tc>
          <w:tcPr>
            <w:tcW w:w="1276" w:type="dxa"/>
            <w:vAlign w:val="center"/>
          </w:tcPr>
          <w:p w14:paraId="726F481B">
            <w:pPr>
              <w:pStyle w:val="13"/>
            </w:pPr>
            <w:r>
              <w:t>调查问卷</w:t>
            </w:r>
          </w:p>
        </w:tc>
      </w:tr>
    </w:tbl>
    <w:p w14:paraId="25FD8065">
      <w:pPr>
        <w:sectPr>
          <w:pgSz w:w="16840" w:h="11900" w:orient="landscape"/>
          <w:pgMar w:top="1361" w:right="1020" w:bottom="1134" w:left="1020" w:header="720" w:footer="720" w:gutter="0"/>
          <w:cols w:space="720" w:num="1"/>
        </w:sectPr>
      </w:pPr>
    </w:p>
    <w:p w14:paraId="3D356B7C">
      <w:pPr>
        <w:spacing w:before="0" w:after="0"/>
        <w:ind w:firstLine="560"/>
        <w:jc w:val="left"/>
        <w:outlineLvl w:val="9"/>
      </w:pPr>
      <w:r>
        <w:rPr>
          <w:rFonts w:ascii="方正仿宋_GBK" w:hAnsi="方正仿宋_GBK" w:eastAsia="方正仿宋_GBK" w:cs="方正仿宋_GBK"/>
          <w:b/>
          <w:color w:val="000000"/>
          <w:sz w:val="28"/>
        </w:rPr>
        <w:t>64、冀财教[2024]142号/省级/2025年学前发展资金/隆尧县华开幼儿园学前教育公用经费绩效目标表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CE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1ECFC">
            <w:pPr>
              <w:pStyle w:val="14"/>
            </w:pPr>
            <w:r>
              <w:t>单位：万元</w:t>
            </w:r>
          </w:p>
        </w:tc>
      </w:tr>
      <w:tr w14:paraId="0BEDD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CBAAD">
            <w:pPr>
              <w:pStyle w:val="11"/>
            </w:pPr>
            <w:r>
              <w:t>项目编码</w:t>
            </w:r>
          </w:p>
        </w:tc>
        <w:tc>
          <w:tcPr>
            <w:tcW w:w="5103" w:type="dxa"/>
            <w:gridSpan w:val="2"/>
            <w:vAlign w:val="center"/>
          </w:tcPr>
          <w:p w14:paraId="00C3F58E">
            <w:pPr>
              <w:pStyle w:val="13"/>
            </w:pPr>
            <w:r>
              <w:t>13052525P00875710048C</w:t>
            </w:r>
          </w:p>
        </w:tc>
        <w:tc>
          <w:tcPr>
            <w:tcW w:w="2835" w:type="dxa"/>
            <w:vAlign w:val="center"/>
          </w:tcPr>
          <w:p w14:paraId="12721DBB">
            <w:pPr>
              <w:pStyle w:val="11"/>
            </w:pPr>
            <w:r>
              <w:t>项目名称</w:t>
            </w:r>
          </w:p>
        </w:tc>
        <w:tc>
          <w:tcPr>
            <w:tcW w:w="6095" w:type="dxa"/>
            <w:gridSpan w:val="3"/>
            <w:vAlign w:val="center"/>
          </w:tcPr>
          <w:p w14:paraId="78D2A891">
            <w:pPr>
              <w:pStyle w:val="13"/>
            </w:pPr>
            <w:r>
              <w:t>冀财教[2024]142号/省级/2025年学前发展资金/隆尧县华开幼儿园学前教育公用经费</w:t>
            </w:r>
          </w:p>
        </w:tc>
      </w:tr>
      <w:tr w14:paraId="4C21E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CEEE6">
            <w:pPr>
              <w:pStyle w:val="11"/>
            </w:pPr>
            <w:r>
              <w:t>预算规模及资金用途</w:t>
            </w:r>
          </w:p>
        </w:tc>
        <w:tc>
          <w:tcPr>
            <w:tcW w:w="2268" w:type="dxa"/>
            <w:vAlign w:val="center"/>
          </w:tcPr>
          <w:p w14:paraId="30704147">
            <w:pPr>
              <w:pStyle w:val="11"/>
            </w:pPr>
            <w:r>
              <w:t>预算数</w:t>
            </w:r>
          </w:p>
        </w:tc>
        <w:tc>
          <w:tcPr>
            <w:tcW w:w="2835" w:type="dxa"/>
            <w:vAlign w:val="center"/>
          </w:tcPr>
          <w:p w14:paraId="0C70A74E">
            <w:pPr>
              <w:pStyle w:val="13"/>
            </w:pPr>
            <w:r>
              <w:t>2.10</w:t>
            </w:r>
          </w:p>
        </w:tc>
        <w:tc>
          <w:tcPr>
            <w:tcW w:w="2835" w:type="dxa"/>
            <w:vAlign w:val="center"/>
          </w:tcPr>
          <w:p w14:paraId="4757B590">
            <w:pPr>
              <w:pStyle w:val="11"/>
            </w:pPr>
            <w:r>
              <w:t>其中：财政    资金</w:t>
            </w:r>
          </w:p>
        </w:tc>
        <w:tc>
          <w:tcPr>
            <w:tcW w:w="2551" w:type="dxa"/>
            <w:vAlign w:val="center"/>
          </w:tcPr>
          <w:p w14:paraId="4260E63B">
            <w:pPr>
              <w:pStyle w:val="13"/>
            </w:pPr>
            <w:r>
              <w:t>2.10</w:t>
            </w:r>
          </w:p>
        </w:tc>
        <w:tc>
          <w:tcPr>
            <w:tcW w:w="2268" w:type="dxa"/>
            <w:vAlign w:val="center"/>
          </w:tcPr>
          <w:p w14:paraId="60E7BF9D">
            <w:pPr>
              <w:pStyle w:val="11"/>
            </w:pPr>
            <w:r>
              <w:t>其他资金</w:t>
            </w:r>
          </w:p>
        </w:tc>
        <w:tc>
          <w:tcPr>
            <w:tcW w:w="1276" w:type="dxa"/>
            <w:vAlign w:val="center"/>
          </w:tcPr>
          <w:p w14:paraId="59ED7598">
            <w:pPr>
              <w:pStyle w:val="13"/>
            </w:pPr>
            <w:r>
              <w:t xml:space="preserve"> </w:t>
            </w:r>
          </w:p>
        </w:tc>
      </w:tr>
      <w:tr w14:paraId="72DF2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22ECC"/>
        </w:tc>
        <w:tc>
          <w:tcPr>
            <w:tcW w:w="14033" w:type="dxa"/>
            <w:gridSpan w:val="6"/>
            <w:vAlign w:val="center"/>
          </w:tcPr>
          <w:p w14:paraId="7AB7D0F5">
            <w:pPr>
              <w:pStyle w:val="13"/>
            </w:pPr>
            <w:r>
              <w:t>按季度分批次拨付安排公用经费资金，学校按照预算安排进行资金使用，保证资金正常支出</w:t>
            </w:r>
          </w:p>
        </w:tc>
      </w:tr>
      <w:tr w14:paraId="188B3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16567">
            <w:pPr>
              <w:pStyle w:val="11"/>
            </w:pPr>
            <w:r>
              <w:t>资金支出计划（%）</w:t>
            </w:r>
          </w:p>
        </w:tc>
        <w:tc>
          <w:tcPr>
            <w:tcW w:w="5103" w:type="dxa"/>
            <w:gridSpan w:val="2"/>
            <w:vAlign w:val="center"/>
          </w:tcPr>
          <w:p w14:paraId="0F243CAE">
            <w:pPr>
              <w:pStyle w:val="11"/>
            </w:pPr>
            <w:r>
              <w:t>3月底</w:t>
            </w:r>
          </w:p>
        </w:tc>
        <w:tc>
          <w:tcPr>
            <w:tcW w:w="2835" w:type="dxa"/>
            <w:vAlign w:val="center"/>
          </w:tcPr>
          <w:p w14:paraId="497B0FD6">
            <w:pPr>
              <w:pStyle w:val="11"/>
            </w:pPr>
            <w:r>
              <w:t>6月底</w:t>
            </w:r>
          </w:p>
        </w:tc>
        <w:tc>
          <w:tcPr>
            <w:tcW w:w="2551" w:type="dxa"/>
            <w:vAlign w:val="center"/>
          </w:tcPr>
          <w:p w14:paraId="48E9E3CC">
            <w:pPr>
              <w:pStyle w:val="11"/>
            </w:pPr>
            <w:r>
              <w:t>10月底</w:t>
            </w:r>
          </w:p>
        </w:tc>
        <w:tc>
          <w:tcPr>
            <w:tcW w:w="3544" w:type="dxa"/>
            <w:gridSpan w:val="2"/>
            <w:vAlign w:val="center"/>
          </w:tcPr>
          <w:p w14:paraId="639267E4">
            <w:pPr>
              <w:pStyle w:val="11"/>
            </w:pPr>
            <w:r>
              <w:t>12月底</w:t>
            </w:r>
          </w:p>
        </w:tc>
      </w:tr>
      <w:tr w14:paraId="74902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7597D8"/>
        </w:tc>
        <w:tc>
          <w:tcPr>
            <w:tcW w:w="5103" w:type="dxa"/>
            <w:gridSpan w:val="2"/>
            <w:vAlign w:val="center"/>
          </w:tcPr>
          <w:p w14:paraId="0F32BB05">
            <w:pPr>
              <w:pStyle w:val="12"/>
            </w:pPr>
            <w:r>
              <w:t xml:space="preserve"> </w:t>
            </w:r>
          </w:p>
        </w:tc>
        <w:tc>
          <w:tcPr>
            <w:tcW w:w="2835" w:type="dxa"/>
            <w:vAlign w:val="center"/>
          </w:tcPr>
          <w:p w14:paraId="13EB9DB0">
            <w:pPr>
              <w:pStyle w:val="12"/>
            </w:pPr>
            <w:r>
              <w:t>50%</w:t>
            </w:r>
          </w:p>
        </w:tc>
        <w:tc>
          <w:tcPr>
            <w:tcW w:w="2551" w:type="dxa"/>
            <w:vAlign w:val="center"/>
          </w:tcPr>
          <w:p w14:paraId="0267D63F">
            <w:pPr>
              <w:pStyle w:val="12"/>
            </w:pPr>
            <w:r>
              <w:t>75%</w:t>
            </w:r>
          </w:p>
        </w:tc>
        <w:tc>
          <w:tcPr>
            <w:tcW w:w="3544" w:type="dxa"/>
            <w:gridSpan w:val="2"/>
            <w:vAlign w:val="center"/>
          </w:tcPr>
          <w:p w14:paraId="7BB20ABB">
            <w:pPr>
              <w:pStyle w:val="12"/>
            </w:pPr>
            <w:r>
              <w:t>100%</w:t>
            </w:r>
          </w:p>
        </w:tc>
      </w:tr>
      <w:tr w14:paraId="10677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559BD">
            <w:pPr>
              <w:pStyle w:val="11"/>
            </w:pPr>
            <w:r>
              <w:t>绩效目标</w:t>
            </w:r>
          </w:p>
        </w:tc>
        <w:tc>
          <w:tcPr>
            <w:tcW w:w="14033" w:type="dxa"/>
            <w:gridSpan w:val="6"/>
            <w:vAlign w:val="center"/>
          </w:tcPr>
          <w:p w14:paraId="5232290D">
            <w:pPr>
              <w:pStyle w:val="13"/>
            </w:pPr>
            <w:r>
              <w:t>1.按季度分批次拨付安排公用经费资金，学校按照预算安排进行资金使用，保证资金正常支出。</w:t>
            </w:r>
          </w:p>
        </w:tc>
      </w:tr>
    </w:tbl>
    <w:p w14:paraId="056E0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D4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1FBE0">
            <w:pPr>
              <w:pStyle w:val="11"/>
            </w:pPr>
            <w:r>
              <w:t>一级指标</w:t>
            </w:r>
          </w:p>
        </w:tc>
        <w:tc>
          <w:tcPr>
            <w:tcW w:w="2268" w:type="dxa"/>
            <w:vAlign w:val="center"/>
          </w:tcPr>
          <w:p w14:paraId="77134C25">
            <w:pPr>
              <w:pStyle w:val="11"/>
            </w:pPr>
            <w:r>
              <w:t>二级指标</w:t>
            </w:r>
          </w:p>
        </w:tc>
        <w:tc>
          <w:tcPr>
            <w:tcW w:w="2835" w:type="dxa"/>
            <w:vAlign w:val="center"/>
          </w:tcPr>
          <w:p w14:paraId="74C0CC25">
            <w:pPr>
              <w:pStyle w:val="11"/>
            </w:pPr>
            <w:r>
              <w:t>三级指标</w:t>
            </w:r>
          </w:p>
        </w:tc>
        <w:tc>
          <w:tcPr>
            <w:tcW w:w="5386" w:type="dxa"/>
            <w:vAlign w:val="center"/>
          </w:tcPr>
          <w:p w14:paraId="4A871995">
            <w:pPr>
              <w:pStyle w:val="11"/>
            </w:pPr>
            <w:r>
              <w:t>绩效指标描述</w:t>
            </w:r>
          </w:p>
        </w:tc>
        <w:tc>
          <w:tcPr>
            <w:tcW w:w="2268" w:type="dxa"/>
            <w:vAlign w:val="center"/>
          </w:tcPr>
          <w:p w14:paraId="446940EF">
            <w:pPr>
              <w:pStyle w:val="11"/>
            </w:pPr>
            <w:r>
              <w:t>指标值</w:t>
            </w:r>
          </w:p>
        </w:tc>
        <w:tc>
          <w:tcPr>
            <w:tcW w:w="1276" w:type="dxa"/>
            <w:vAlign w:val="center"/>
          </w:tcPr>
          <w:p w14:paraId="0881088D">
            <w:pPr>
              <w:pStyle w:val="11"/>
            </w:pPr>
            <w:r>
              <w:t>指标值确定依据</w:t>
            </w:r>
          </w:p>
        </w:tc>
      </w:tr>
      <w:tr w14:paraId="00239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3169C">
            <w:pPr>
              <w:pStyle w:val="12"/>
            </w:pPr>
            <w:r>
              <w:t>产出指标</w:t>
            </w:r>
          </w:p>
        </w:tc>
        <w:tc>
          <w:tcPr>
            <w:tcW w:w="2268" w:type="dxa"/>
            <w:vAlign w:val="center"/>
          </w:tcPr>
          <w:p w14:paraId="54697F88">
            <w:pPr>
              <w:pStyle w:val="13"/>
            </w:pPr>
            <w:r>
              <w:t>数量指标</w:t>
            </w:r>
          </w:p>
        </w:tc>
        <w:tc>
          <w:tcPr>
            <w:tcW w:w="2835" w:type="dxa"/>
            <w:vAlign w:val="center"/>
          </w:tcPr>
          <w:p w14:paraId="3E5D1991">
            <w:pPr>
              <w:pStyle w:val="13"/>
            </w:pPr>
            <w:r>
              <w:t>适龄在校生</w:t>
            </w:r>
          </w:p>
        </w:tc>
        <w:tc>
          <w:tcPr>
            <w:tcW w:w="5386" w:type="dxa"/>
            <w:vAlign w:val="center"/>
          </w:tcPr>
          <w:p w14:paraId="7581342F">
            <w:pPr>
              <w:pStyle w:val="13"/>
            </w:pPr>
            <w:r>
              <w:t>辖区内适龄儿童全覆盖</w:t>
            </w:r>
          </w:p>
        </w:tc>
        <w:tc>
          <w:tcPr>
            <w:tcW w:w="2268" w:type="dxa"/>
            <w:vAlign w:val="center"/>
          </w:tcPr>
          <w:p w14:paraId="4004F19B">
            <w:pPr>
              <w:pStyle w:val="13"/>
            </w:pPr>
            <w:r>
              <w:t>140人</w:t>
            </w:r>
          </w:p>
        </w:tc>
        <w:tc>
          <w:tcPr>
            <w:tcW w:w="1276" w:type="dxa"/>
            <w:vAlign w:val="center"/>
          </w:tcPr>
          <w:p w14:paraId="243BCDCD">
            <w:pPr>
              <w:pStyle w:val="13"/>
            </w:pPr>
            <w:r>
              <w:t>幼儿园生均公用经费管理办法</w:t>
            </w:r>
          </w:p>
        </w:tc>
      </w:tr>
      <w:tr w14:paraId="28777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5C81D"/>
        </w:tc>
        <w:tc>
          <w:tcPr>
            <w:tcW w:w="2268" w:type="dxa"/>
            <w:vAlign w:val="center"/>
          </w:tcPr>
          <w:p w14:paraId="5F3C8272">
            <w:pPr>
              <w:pStyle w:val="13"/>
            </w:pPr>
            <w:r>
              <w:t>质量指标</w:t>
            </w:r>
          </w:p>
        </w:tc>
        <w:tc>
          <w:tcPr>
            <w:tcW w:w="2835" w:type="dxa"/>
            <w:vAlign w:val="center"/>
          </w:tcPr>
          <w:p w14:paraId="2EE0E19B">
            <w:pPr>
              <w:pStyle w:val="13"/>
            </w:pPr>
            <w:r>
              <w:t>预算控制率</w:t>
            </w:r>
          </w:p>
        </w:tc>
        <w:tc>
          <w:tcPr>
            <w:tcW w:w="5386" w:type="dxa"/>
            <w:vAlign w:val="center"/>
          </w:tcPr>
          <w:p w14:paraId="31EE835B">
            <w:pPr>
              <w:pStyle w:val="13"/>
            </w:pPr>
            <w:r>
              <w:t>预算执行</w:t>
            </w:r>
          </w:p>
        </w:tc>
        <w:tc>
          <w:tcPr>
            <w:tcW w:w="2268" w:type="dxa"/>
            <w:vAlign w:val="center"/>
          </w:tcPr>
          <w:p w14:paraId="64DB204D">
            <w:pPr>
              <w:pStyle w:val="13"/>
            </w:pPr>
            <w:r>
              <w:t>≥95%</w:t>
            </w:r>
          </w:p>
        </w:tc>
        <w:tc>
          <w:tcPr>
            <w:tcW w:w="1276" w:type="dxa"/>
            <w:vAlign w:val="center"/>
          </w:tcPr>
          <w:p w14:paraId="052A0701">
            <w:pPr>
              <w:pStyle w:val="13"/>
            </w:pPr>
            <w:r>
              <w:t>幼儿园生均公用经费管理办法</w:t>
            </w:r>
          </w:p>
        </w:tc>
      </w:tr>
      <w:tr w14:paraId="6281F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5BE3F"/>
        </w:tc>
        <w:tc>
          <w:tcPr>
            <w:tcW w:w="2268" w:type="dxa"/>
            <w:vAlign w:val="center"/>
          </w:tcPr>
          <w:p w14:paraId="291C75E8">
            <w:pPr>
              <w:pStyle w:val="13"/>
            </w:pPr>
            <w:r>
              <w:t>时效指标</w:t>
            </w:r>
          </w:p>
        </w:tc>
        <w:tc>
          <w:tcPr>
            <w:tcW w:w="2835" w:type="dxa"/>
            <w:vAlign w:val="center"/>
          </w:tcPr>
          <w:p w14:paraId="26416025">
            <w:pPr>
              <w:pStyle w:val="13"/>
            </w:pPr>
            <w:r>
              <w:t>资金支付率</w:t>
            </w:r>
          </w:p>
        </w:tc>
        <w:tc>
          <w:tcPr>
            <w:tcW w:w="5386" w:type="dxa"/>
            <w:vAlign w:val="center"/>
          </w:tcPr>
          <w:p w14:paraId="36EA72F4">
            <w:pPr>
              <w:pStyle w:val="13"/>
            </w:pPr>
            <w:r>
              <w:t>按照序时进度完成资金支付</w:t>
            </w:r>
          </w:p>
        </w:tc>
        <w:tc>
          <w:tcPr>
            <w:tcW w:w="2268" w:type="dxa"/>
            <w:vAlign w:val="center"/>
          </w:tcPr>
          <w:p w14:paraId="4ECE69D2">
            <w:pPr>
              <w:pStyle w:val="13"/>
            </w:pPr>
            <w:r>
              <w:t>≥100%</w:t>
            </w:r>
          </w:p>
        </w:tc>
        <w:tc>
          <w:tcPr>
            <w:tcW w:w="1276" w:type="dxa"/>
            <w:vAlign w:val="center"/>
          </w:tcPr>
          <w:p w14:paraId="0B3170DC">
            <w:pPr>
              <w:pStyle w:val="13"/>
            </w:pPr>
            <w:r>
              <w:t>幼儿园生均公用经费管理办法</w:t>
            </w:r>
          </w:p>
        </w:tc>
      </w:tr>
      <w:tr w14:paraId="52C03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9E707"/>
        </w:tc>
        <w:tc>
          <w:tcPr>
            <w:tcW w:w="2268" w:type="dxa"/>
            <w:vAlign w:val="center"/>
          </w:tcPr>
          <w:p w14:paraId="211A128A">
            <w:pPr>
              <w:pStyle w:val="13"/>
            </w:pPr>
            <w:r>
              <w:t>成本指标</w:t>
            </w:r>
          </w:p>
        </w:tc>
        <w:tc>
          <w:tcPr>
            <w:tcW w:w="2835" w:type="dxa"/>
            <w:vAlign w:val="center"/>
          </w:tcPr>
          <w:p w14:paraId="03A53114">
            <w:pPr>
              <w:pStyle w:val="13"/>
            </w:pPr>
            <w:r>
              <w:t>生均拨款标准</w:t>
            </w:r>
          </w:p>
        </w:tc>
        <w:tc>
          <w:tcPr>
            <w:tcW w:w="5386" w:type="dxa"/>
            <w:vAlign w:val="center"/>
          </w:tcPr>
          <w:p w14:paraId="1F15A18C">
            <w:pPr>
              <w:pStyle w:val="13"/>
            </w:pPr>
            <w:r>
              <w:t>学前经费600元/生/年</w:t>
            </w:r>
          </w:p>
        </w:tc>
        <w:tc>
          <w:tcPr>
            <w:tcW w:w="2268" w:type="dxa"/>
            <w:vAlign w:val="center"/>
          </w:tcPr>
          <w:p w14:paraId="42791D56">
            <w:pPr>
              <w:pStyle w:val="13"/>
            </w:pPr>
            <w:r>
              <w:t>600元</w:t>
            </w:r>
          </w:p>
        </w:tc>
        <w:tc>
          <w:tcPr>
            <w:tcW w:w="1276" w:type="dxa"/>
            <w:vAlign w:val="center"/>
          </w:tcPr>
          <w:p w14:paraId="3EDCC8B3">
            <w:pPr>
              <w:pStyle w:val="13"/>
            </w:pPr>
            <w:r>
              <w:t>幼儿园生均公用经费管理办法</w:t>
            </w:r>
          </w:p>
        </w:tc>
      </w:tr>
      <w:tr w14:paraId="67115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3A0D01">
            <w:pPr>
              <w:pStyle w:val="12"/>
            </w:pPr>
            <w:r>
              <w:t>效益指标</w:t>
            </w:r>
          </w:p>
        </w:tc>
        <w:tc>
          <w:tcPr>
            <w:tcW w:w="2268" w:type="dxa"/>
            <w:vAlign w:val="center"/>
          </w:tcPr>
          <w:p w14:paraId="39819363">
            <w:pPr>
              <w:pStyle w:val="13"/>
            </w:pPr>
            <w:r>
              <w:t>可持续影响指标</w:t>
            </w:r>
          </w:p>
        </w:tc>
        <w:tc>
          <w:tcPr>
            <w:tcW w:w="2835" w:type="dxa"/>
            <w:vAlign w:val="center"/>
          </w:tcPr>
          <w:p w14:paraId="188C49CC">
            <w:pPr>
              <w:pStyle w:val="13"/>
            </w:pPr>
            <w:r>
              <w:t>教育发展水平明显好转</w:t>
            </w:r>
          </w:p>
        </w:tc>
        <w:tc>
          <w:tcPr>
            <w:tcW w:w="5386" w:type="dxa"/>
            <w:vAlign w:val="center"/>
          </w:tcPr>
          <w:p w14:paraId="62C53272">
            <w:pPr>
              <w:pStyle w:val="13"/>
            </w:pPr>
            <w:r>
              <w:t>学生受教育年限</w:t>
            </w:r>
          </w:p>
        </w:tc>
        <w:tc>
          <w:tcPr>
            <w:tcW w:w="2268" w:type="dxa"/>
            <w:vAlign w:val="center"/>
          </w:tcPr>
          <w:p w14:paraId="20344EE5">
            <w:pPr>
              <w:pStyle w:val="13"/>
            </w:pPr>
            <w:r>
              <w:t>3年</w:t>
            </w:r>
          </w:p>
        </w:tc>
        <w:tc>
          <w:tcPr>
            <w:tcW w:w="1276" w:type="dxa"/>
            <w:vAlign w:val="center"/>
          </w:tcPr>
          <w:p w14:paraId="559A7B0A">
            <w:pPr>
              <w:pStyle w:val="13"/>
            </w:pPr>
            <w:r>
              <w:t>幼儿园生均公用经费管理办法</w:t>
            </w:r>
          </w:p>
        </w:tc>
      </w:tr>
      <w:tr w14:paraId="7A910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9C211A">
            <w:pPr>
              <w:pStyle w:val="12"/>
            </w:pPr>
            <w:r>
              <w:t>满意度指标</w:t>
            </w:r>
          </w:p>
        </w:tc>
        <w:tc>
          <w:tcPr>
            <w:tcW w:w="2268" w:type="dxa"/>
            <w:vAlign w:val="center"/>
          </w:tcPr>
          <w:p w14:paraId="0FBA9FAF">
            <w:pPr>
              <w:pStyle w:val="13"/>
            </w:pPr>
            <w:r>
              <w:t>服务对象满意度指标</w:t>
            </w:r>
          </w:p>
        </w:tc>
        <w:tc>
          <w:tcPr>
            <w:tcW w:w="2835" w:type="dxa"/>
            <w:vAlign w:val="center"/>
          </w:tcPr>
          <w:p w14:paraId="7D368F36">
            <w:pPr>
              <w:pStyle w:val="13"/>
            </w:pPr>
            <w:r>
              <w:t>受益学生家长及调查满意度</w:t>
            </w:r>
          </w:p>
        </w:tc>
        <w:tc>
          <w:tcPr>
            <w:tcW w:w="5386" w:type="dxa"/>
            <w:vAlign w:val="center"/>
          </w:tcPr>
          <w:p w14:paraId="317B7D08">
            <w:pPr>
              <w:pStyle w:val="13"/>
            </w:pPr>
            <w:r>
              <w:t>学生、教师及家长对学校保教保育工作满意度情况</w:t>
            </w:r>
          </w:p>
        </w:tc>
        <w:tc>
          <w:tcPr>
            <w:tcW w:w="2268" w:type="dxa"/>
            <w:vAlign w:val="center"/>
          </w:tcPr>
          <w:p w14:paraId="6AFFE7A6">
            <w:pPr>
              <w:pStyle w:val="13"/>
            </w:pPr>
            <w:r>
              <w:t>≥95%</w:t>
            </w:r>
          </w:p>
        </w:tc>
        <w:tc>
          <w:tcPr>
            <w:tcW w:w="1276" w:type="dxa"/>
            <w:vAlign w:val="center"/>
          </w:tcPr>
          <w:p w14:paraId="0D8B26D3">
            <w:pPr>
              <w:pStyle w:val="13"/>
            </w:pPr>
            <w:r>
              <w:t>调查问卷</w:t>
            </w:r>
          </w:p>
        </w:tc>
      </w:tr>
    </w:tbl>
    <w:p w14:paraId="47CE077C">
      <w:pPr>
        <w:sectPr>
          <w:pgSz w:w="16840" w:h="11900" w:orient="landscape"/>
          <w:pgMar w:top="1361" w:right="1020" w:bottom="1134" w:left="1020" w:header="720" w:footer="720" w:gutter="0"/>
          <w:cols w:space="720" w:num="1"/>
        </w:sectPr>
      </w:pPr>
    </w:p>
    <w:p w14:paraId="615B4251">
      <w:pPr>
        <w:spacing w:before="0" w:after="0"/>
        <w:ind w:firstLine="560"/>
        <w:jc w:val="left"/>
        <w:outlineLvl w:val="9"/>
      </w:pPr>
      <w:r>
        <w:rPr>
          <w:rFonts w:ascii="方正仿宋_GBK" w:hAnsi="方正仿宋_GBK" w:eastAsia="方正仿宋_GBK" w:cs="方正仿宋_GBK"/>
          <w:b/>
          <w:color w:val="000000"/>
          <w:sz w:val="28"/>
        </w:rPr>
        <w:t>65、冀财教[2024]142号/省级/2025年学前发展资金/隆尧县华信幼儿园学前教育公用经费绩效目标表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A9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08D2E">
            <w:pPr>
              <w:pStyle w:val="14"/>
            </w:pPr>
            <w:r>
              <w:t>单位：万元</w:t>
            </w:r>
          </w:p>
        </w:tc>
      </w:tr>
      <w:tr w14:paraId="2DED8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7A76D8DB">
            <w:pPr>
              <w:pStyle w:val="11"/>
            </w:pPr>
            <w:r>
              <w:t>项目编码</w:t>
            </w:r>
          </w:p>
        </w:tc>
        <w:tc>
          <w:tcPr>
            <w:tcW w:w="5103" w:type="dxa"/>
            <w:gridSpan w:val="2"/>
            <w:vAlign w:val="center"/>
          </w:tcPr>
          <w:p w14:paraId="14014C2A">
            <w:pPr>
              <w:pStyle w:val="13"/>
            </w:pPr>
            <w:r>
              <w:t>13052525P008757100394</w:t>
            </w:r>
          </w:p>
        </w:tc>
        <w:tc>
          <w:tcPr>
            <w:tcW w:w="2835" w:type="dxa"/>
            <w:vAlign w:val="center"/>
          </w:tcPr>
          <w:p w14:paraId="5ADA96ED">
            <w:pPr>
              <w:pStyle w:val="11"/>
            </w:pPr>
            <w:r>
              <w:t>项目名称</w:t>
            </w:r>
          </w:p>
        </w:tc>
        <w:tc>
          <w:tcPr>
            <w:tcW w:w="6095" w:type="dxa"/>
            <w:gridSpan w:val="3"/>
            <w:vAlign w:val="center"/>
          </w:tcPr>
          <w:p w14:paraId="107E5978">
            <w:pPr>
              <w:pStyle w:val="13"/>
            </w:pPr>
            <w:r>
              <w:t>冀财教[2024]142号/省级/2025年学前发展资金/隆尧县华信幼儿园学前教育公用经费</w:t>
            </w:r>
          </w:p>
        </w:tc>
      </w:tr>
      <w:tr w14:paraId="24F37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96D83">
            <w:pPr>
              <w:pStyle w:val="11"/>
            </w:pPr>
            <w:r>
              <w:t>预算规模及资金用途</w:t>
            </w:r>
          </w:p>
        </w:tc>
        <w:tc>
          <w:tcPr>
            <w:tcW w:w="2268" w:type="dxa"/>
            <w:vAlign w:val="center"/>
          </w:tcPr>
          <w:p w14:paraId="2254A1B0">
            <w:pPr>
              <w:pStyle w:val="11"/>
            </w:pPr>
            <w:r>
              <w:t>预算数</w:t>
            </w:r>
          </w:p>
        </w:tc>
        <w:tc>
          <w:tcPr>
            <w:tcW w:w="2835" w:type="dxa"/>
            <w:vAlign w:val="center"/>
          </w:tcPr>
          <w:p w14:paraId="61F9B83E">
            <w:pPr>
              <w:pStyle w:val="13"/>
            </w:pPr>
            <w:r>
              <w:t>1.47</w:t>
            </w:r>
          </w:p>
        </w:tc>
        <w:tc>
          <w:tcPr>
            <w:tcW w:w="2835" w:type="dxa"/>
            <w:vAlign w:val="center"/>
          </w:tcPr>
          <w:p w14:paraId="763F2EC3">
            <w:pPr>
              <w:pStyle w:val="11"/>
            </w:pPr>
            <w:r>
              <w:t>其中：财政    资金</w:t>
            </w:r>
          </w:p>
        </w:tc>
        <w:tc>
          <w:tcPr>
            <w:tcW w:w="2551" w:type="dxa"/>
            <w:vAlign w:val="center"/>
          </w:tcPr>
          <w:p w14:paraId="3F7A544C">
            <w:pPr>
              <w:pStyle w:val="13"/>
            </w:pPr>
            <w:r>
              <w:t>1.47</w:t>
            </w:r>
          </w:p>
        </w:tc>
        <w:tc>
          <w:tcPr>
            <w:tcW w:w="2268" w:type="dxa"/>
            <w:vAlign w:val="center"/>
          </w:tcPr>
          <w:p w14:paraId="308D9C2E">
            <w:pPr>
              <w:pStyle w:val="11"/>
            </w:pPr>
            <w:r>
              <w:t>其他资金</w:t>
            </w:r>
          </w:p>
        </w:tc>
        <w:tc>
          <w:tcPr>
            <w:tcW w:w="1276" w:type="dxa"/>
            <w:vAlign w:val="center"/>
          </w:tcPr>
          <w:p w14:paraId="076A0F1A">
            <w:pPr>
              <w:pStyle w:val="13"/>
            </w:pPr>
            <w:r>
              <w:t xml:space="preserve"> </w:t>
            </w:r>
          </w:p>
        </w:tc>
      </w:tr>
      <w:tr w14:paraId="7727C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90646"/>
        </w:tc>
        <w:tc>
          <w:tcPr>
            <w:tcW w:w="14033" w:type="dxa"/>
            <w:gridSpan w:val="6"/>
            <w:vAlign w:val="center"/>
          </w:tcPr>
          <w:p w14:paraId="64CF6884">
            <w:pPr>
              <w:pStyle w:val="13"/>
            </w:pPr>
            <w:r>
              <w:t>按季度分批次拨付安排公用经费资金，学校按照预算安排进行资金使用，保证资金正常支出。</w:t>
            </w:r>
            <w:r>
              <w:tab/>
            </w:r>
            <w:r>
              <w:tab/>
            </w:r>
            <w:r>
              <w:tab/>
            </w:r>
            <w:r>
              <w:tab/>
            </w:r>
            <w:r>
              <w:tab/>
            </w:r>
            <w:r>
              <w:tab/>
            </w:r>
          </w:p>
          <w:p w14:paraId="04E005B5">
            <w:pPr>
              <w:pStyle w:val="13"/>
            </w:pPr>
          </w:p>
        </w:tc>
      </w:tr>
      <w:tr w14:paraId="0308A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F94FA">
            <w:pPr>
              <w:pStyle w:val="11"/>
            </w:pPr>
            <w:r>
              <w:t>资金支出计划（%）</w:t>
            </w:r>
          </w:p>
        </w:tc>
        <w:tc>
          <w:tcPr>
            <w:tcW w:w="5103" w:type="dxa"/>
            <w:gridSpan w:val="2"/>
            <w:vAlign w:val="center"/>
          </w:tcPr>
          <w:p w14:paraId="3F1D37A0">
            <w:pPr>
              <w:pStyle w:val="11"/>
            </w:pPr>
            <w:r>
              <w:t>3月底</w:t>
            </w:r>
          </w:p>
        </w:tc>
        <w:tc>
          <w:tcPr>
            <w:tcW w:w="2835" w:type="dxa"/>
            <w:vAlign w:val="center"/>
          </w:tcPr>
          <w:p w14:paraId="1BB5DD27">
            <w:pPr>
              <w:pStyle w:val="11"/>
            </w:pPr>
            <w:r>
              <w:t>6月底</w:t>
            </w:r>
          </w:p>
        </w:tc>
        <w:tc>
          <w:tcPr>
            <w:tcW w:w="2551" w:type="dxa"/>
            <w:vAlign w:val="center"/>
          </w:tcPr>
          <w:p w14:paraId="02247A73">
            <w:pPr>
              <w:pStyle w:val="11"/>
            </w:pPr>
            <w:r>
              <w:t>10月底</w:t>
            </w:r>
          </w:p>
        </w:tc>
        <w:tc>
          <w:tcPr>
            <w:tcW w:w="3544" w:type="dxa"/>
            <w:gridSpan w:val="2"/>
            <w:vAlign w:val="center"/>
          </w:tcPr>
          <w:p w14:paraId="099A7B27">
            <w:pPr>
              <w:pStyle w:val="11"/>
            </w:pPr>
            <w:r>
              <w:t>12月底</w:t>
            </w:r>
          </w:p>
        </w:tc>
      </w:tr>
      <w:tr w14:paraId="5FAE6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896AFB"/>
        </w:tc>
        <w:tc>
          <w:tcPr>
            <w:tcW w:w="5103" w:type="dxa"/>
            <w:gridSpan w:val="2"/>
            <w:vAlign w:val="center"/>
          </w:tcPr>
          <w:p w14:paraId="2046B77F">
            <w:pPr>
              <w:pStyle w:val="12"/>
            </w:pPr>
            <w:r>
              <w:t xml:space="preserve"> </w:t>
            </w:r>
          </w:p>
        </w:tc>
        <w:tc>
          <w:tcPr>
            <w:tcW w:w="2835" w:type="dxa"/>
            <w:vAlign w:val="center"/>
          </w:tcPr>
          <w:p w14:paraId="0C5A2FB2">
            <w:pPr>
              <w:pStyle w:val="12"/>
            </w:pPr>
            <w:r>
              <w:t>50%</w:t>
            </w:r>
          </w:p>
        </w:tc>
        <w:tc>
          <w:tcPr>
            <w:tcW w:w="2551" w:type="dxa"/>
            <w:vAlign w:val="center"/>
          </w:tcPr>
          <w:p w14:paraId="3B4A31C7">
            <w:pPr>
              <w:pStyle w:val="12"/>
            </w:pPr>
            <w:r>
              <w:t>75%</w:t>
            </w:r>
          </w:p>
        </w:tc>
        <w:tc>
          <w:tcPr>
            <w:tcW w:w="3544" w:type="dxa"/>
            <w:gridSpan w:val="2"/>
            <w:vAlign w:val="center"/>
          </w:tcPr>
          <w:p w14:paraId="52927D47">
            <w:pPr>
              <w:pStyle w:val="12"/>
            </w:pPr>
            <w:r>
              <w:t>100%</w:t>
            </w:r>
          </w:p>
        </w:tc>
      </w:tr>
      <w:tr w14:paraId="75172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D85BF">
            <w:pPr>
              <w:pStyle w:val="11"/>
            </w:pPr>
            <w:r>
              <w:t>绩效目标</w:t>
            </w:r>
          </w:p>
        </w:tc>
        <w:tc>
          <w:tcPr>
            <w:tcW w:w="14033" w:type="dxa"/>
            <w:gridSpan w:val="6"/>
            <w:vAlign w:val="center"/>
          </w:tcPr>
          <w:p w14:paraId="5938B251">
            <w:pPr>
              <w:pStyle w:val="13"/>
            </w:pPr>
            <w:r>
              <w:t>1.按季度分批次拨付安排公用经费资金，学校按照预算安排进行资金使用，保证资金正常支出。</w:t>
            </w:r>
          </w:p>
        </w:tc>
      </w:tr>
    </w:tbl>
    <w:p w14:paraId="332638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2B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6EDD9">
            <w:pPr>
              <w:pStyle w:val="11"/>
            </w:pPr>
            <w:r>
              <w:t>一级指标</w:t>
            </w:r>
          </w:p>
        </w:tc>
        <w:tc>
          <w:tcPr>
            <w:tcW w:w="2268" w:type="dxa"/>
            <w:vAlign w:val="center"/>
          </w:tcPr>
          <w:p w14:paraId="3EFCBFCD">
            <w:pPr>
              <w:pStyle w:val="11"/>
            </w:pPr>
            <w:r>
              <w:t>二级指标</w:t>
            </w:r>
          </w:p>
        </w:tc>
        <w:tc>
          <w:tcPr>
            <w:tcW w:w="2835" w:type="dxa"/>
            <w:vAlign w:val="center"/>
          </w:tcPr>
          <w:p w14:paraId="0CBDA758">
            <w:pPr>
              <w:pStyle w:val="11"/>
            </w:pPr>
            <w:r>
              <w:t>三级指标</w:t>
            </w:r>
          </w:p>
        </w:tc>
        <w:tc>
          <w:tcPr>
            <w:tcW w:w="5386" w:type="dxa"/>
            <w:vAlign w:val="center"/>
          </w:tcPr>
          <w:p w14:paraId="34F76BEE">
            <w:pPr>
              <w:pStyle w:val="11"/>
            </w:pPr>
            <w:r>
              <w:t>绩效指标描述</w:t>
            </w:r>
          </w:p>
        </w:tc>
        <w:tc>
          <w:tcPr>
            <w:tcW w:w="2268" w:type="dxa"/>
            <w:vAlign w:val="center"/>
          </w:tcPr>
          <w:p w14:paraId="762049F8">
            <w:pPr>
              <w:pStyle w:val="11"/>
            </w:pPr>
            <w:r>
              <w:t>指标值</w:t>
            </w:r>
          </w:p>
        </w:tc>
        <w:tc>
          <w:tcPr>
            <w:tcW w:w="1276" w:type="dxa"/>
            <w:vAlign w:val="center"/>
          </w:tcPr>
          <w:p w14:paraId="049A8488">
            <w:pPr>
              <w:pStyle w:val="11"/>
            </w:pPr>
            <w:r>
              <w:t>指标值确定依据</w:t>
            </w:r>
          </w:p>
        </w:tc>
      </w:tr>
      <w:tr w14:paraId="2839B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C2089">
            <w:pPr>
              <w:pStyle w:val="12"/>
            </w:pPr>
            <w:r>
              <w:t>产出指标</w:t>
            </w:r>
          </w:p>
        </w:tc>
        <w:tc>
          <w:tcPr>
            <w:tcW w:w="2268" w:type="dxa"/>
            <w:vAlign w:val="center"/>
          </w:tcPr>
          <w:p w14:paraId="327EA5E9">
            <w:pPr>
              <w:pStyle w:val="13"/>
            </w:pPr>
            <w:r>
              <w:t>数量指标</w:t>
            </w:r>
          </w:p>
        </w:tc>
        <w:tc>
          <w:tcPr>
            <w:tcW w:w="2835" w:type="dxa"/>
            <w:vAlign w:val="center"/>
          </w:tcPr>
          <w:p w14:paraId="0023514C">
            <w:pPr>
              <w:pStyle w:val="13"/>
            </w:pPr>
            <w:r>
              <w:t>适龄在校生</w:t>
            </w:r>
          </w:p>
        </w:tc>
        <w:tc>
          <w:tcPr>
            <w:tcW w:w="5386" w:type="dxa"/>
            <w:vAlign w:val="center"/>
          </w:tcPr>
          <w:p w14:paraId="091891F0">
            <w:pPr>
              <w:pStyle w:val="13"/>
            </w:pPr>
            <w:r>
              <w:t>辖区内适龄儿童全覆盖</w:t>
            </w:r>
          </w:p>
        </w:tc>
        <w:tc>
          <w:tcPr>
            <w:tcW w:w="2268" w:type="dxa"/>
            <w:vAlign w:val="center"/>
          </w:tcPr>
          <w:p w14:paraId="6455F315">
            <w:pPr>
              <w:pStyle w:val="13"/>
            </w:pPr>
            <w:r>
              <w:t>98人</w:t>
            </w:r>
          </w:p>
        </w:tc>
        <w:tc>
          <w:tcPr>
            <w:tcW w:w="1276" w:type="dxa"/>
            <w:vAlign w:val="center"/>
          </w:tcPr>
          <w:p w14:paraId="420E82F7">
            <w:pPr>
              <w:pStyle w:val="13"/>
            </w:pPr>
            <w:r>
              <w:t>幼儿园生均公用经费管理办法</w:t>
            </w:r>
          </w:p>
        </w:tc>
      </w:tr>
      <w:tr w14:paraId="3DF8F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E2F55"/>
        </w:tc>
        <w:tc>
          <w:tcPr>
            <w:tcW w:w="2268" w:type="dxa"/>
            <w:vAlign w:val="center"/>
          </w:tcPr>
          <w:p w14:paraId="2EB0BD67">
            <w:pPr>
              <w:pStyle w:val="13"/>
            </w:pPr>
            <w:r>
              <w:t>质量指标</w:t>
            </w:r>
          </w:p>
        </w:tc>
        <w:tc>
          <w:tcPr>
            <w:tcW w:w="2835" w:type="dxa"/>
            <w:vAlign w:val="center"/>
          </w:tcPr>
          <w:p w14:paraId="441E9EE4">
            <w:pPr>
              <w:pStyle w:val="13"/>
            </w:pPr>
            <w:r>
              <w:t>预算控制率</w:t>
            </w:r>
          </w:p>
        </w:tc>
        <w:tc>
          <w:tcPr>
            <w:tcW w:w="5386" w:type="dxa"/>
            <w:vAlign w:val="center"/>
          </w:tcPr>
          <w:p w14:paraId="7CB1481E">
            <w:pPr>
              <w:pStyle w:val="13"/>
            </w:pPr>
            <w:r>
              <w:t>预算执行</w:t>
            </w:r>
          </w:p>
        </w:tc>
        <w:tc>
          <w:tcPr>
            <w:tcW w:w="2268" w:type="dxa"/>
            <w:vAlign w:val="center"/>
          </w:tcPr>
          <w:p w14:paraId="6B2AF08E">
            <w:pPr>
              <w:pStyle w:val="13"/>
            </w:pPr>
            <w:r>
              <w:t>≥95%</w:t>
            </w:r>
          </w:p>
        </w:tc>
        <w:tc>
          <w:tcPr>
            <w:tcW w:w="1276" w:type="dxa"/>
            <w:vAlign w:val="center"/>
          </w:tcPr>
          <w:p w14:paraId="7D847055">
            <w:pPr>
              <w:pStyle w:val="13"/>
            </w:pPr>
            <w:r>
              <w:t>幼儿园生均公用经费管理办法</w:t>
            </w:r>
          </w:p>
        </w:tc>
      </w:tr>
      <w:tr w14:paraId="75EA0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6B97E"/>
        </w:tc>
        <w:tc>
          <w:tcPr>
            <w:tcW w:w="2268" w:type="dxa"/>
            <w:vAlign w:val="center"/>
          </w:tcPr>
          <w:p w14:paraId="0C6E10C5">
            <w:pPr>
              <w:pStyle w:val="13"/>
            </w:pPr>
            <w:r>
              <w:t>时效指标</w:t>
            </w:r>
          </w:p>
        </w:tc>
        <w:tc>
          <w:tcPr>
            <w:tcW w:w="2835" w:type="dxa"/>
            <w:vAlign w:val="center"/>
          </w:tcPr>
          <w:p w14:paraId="41027E55">
            <w:pPr>
              <w:pStyle w:val="13"/>
            </w:pPr>
            <w:r>
              <w:t>资金支付率</w:t>
            </w:r>
          </w:p>
        </w:tc>
        <w:tc>
          <w:tcPr>
            <w:tcW w:w="5386" w:type="dxa"/>
            <w:vAlign w:val="center"/>
          </w:tcPr>
          <w:p w14:paraId="06596338">
            <w:pPr>
              <w:pStyle w:val="13"/>
            </w:pPr>
            <w:r>
              <w:t>按照序时进度完成资金支付</w:t>
            </w:r>
          </w:p>
        </w:tc>
        <w:tc>
          <w:tcPr>
            <w:tcW w:w="2268" w:type="dxa"/>
            <w:vAlign w:val="center"/>
          </w:tcPr>
          <w:p w14:paraId="6964F91A">
            <w:pPr>
              <w:pStyle w:val="13"/>
            </w:pPr>
            <w:r>
              <w:t>≥100%</w:t>
            </w:r>
          </w:p>
        </w:tc>
        <w:tc>
          <w:tcPr>
            <w:tcW w:w="1276" w:type="dxa"/>
            <w:vAlign w:val="center"/>
          </w:tcPr>
          <w:p w14:paraId="40A4B8D7">
            <w:pPr>
              <w:pStyle w:val="13"/>
            </w:pPr>
            <w:r>
              <w:t>幼儿园生均公用经费管理办法</w:t>
            </w:r>
          </w:p>
        </w:tc>
      </w:tr>
      <w:tr w14:paraId="33B64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A4527"/>
        </w:tc>
        <w:tc>
          <w:tcPr>
            <w:tcW w:w="2268" w:type="dxa"/>
            <w:vAlign w:val="center"/>
          </w:tcPr>
          <w:p w14:paraId="33DC5577">
            <w:pPr>
              <w:pStyle w:val="13"/>
            </w:pPr>
            <w:r>
              <w:t>成本指标</w:t>
            </w:r>
          </w:p>
        </w:tc>
        <w:tc>
          <w:tcPr>
            <w:tcW w:w="2835" w:type="dxa"/>
            <w:vAlign w:val="center"/>
          </w:tcPr>
          <w:p w14:paraId="011E07A1">
            <w:pPr>
              <w:pStyle w:val="13"/>
            </w:pPr>
            <w:r>
              <w:t>生均拨款标准</w:t>
            </w:r>
          </w:p>
        </w:tc>
        <w:tc>
          <w:tcPr>
            <w:tcW w:w="5386" w:type="dxa"/>
            <w:vAlign w:val="center"/>
          </w:tcPr>
          <w:p w14:paraId="25C2B30D">
            <w:pPr>
              <w:pStyle w:val="13"/>
            </w:pPr>
            <w:r>
              <w:t>学前经费600元/生/年</w:t>
            </w:r>
          </w:p>
        </w:tc>
        <w:tc>
          <w:tcPr>
            <w:tcW w:w="2268" w:type="dxa"/>
            <w:vAlign w:val="center"/>
          </w:tcPr>
          <w:p w14:paraId="77ED1711">
            <w:pPr>
              <w:pStyle w:val="13"/>
            </w:pPr>
            <w:r>
              <w:t>600元</w:t>
            </w:r>
          </w:p>
        </w:tc>
        <w:tc>
          <w:tcPr>
            <w:tcW w:w="1276" w:type="dxa"/>
            <w:vAlign w:val="center"/>
          </w:tcPr>
          <w:p w14:paraId="09931E50">
            <w:pPr>
              <w:pStyle w:val="13"/>
            </w:pPr>
            <w:r>
              <w:t>幼儿园生均公用经费管理办法</w:t>
            </w:r>
          </w:p>
        </w:tc>
      </w:tr>
      <w:tr w14:paraId="0993D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094116">
            <w:pPr>
              <w:pStyle w:val="12"/>
            </w:pPr>
            <w:r>
              <w:t>效益指标</w:t>
            </w:r>
          </w:p>
        </w:tc>
        <w:tc>
          <w:tcPr>
            <w:tcW w:w="2268" w:type="dxa"/>
            <w:vAlign w:val="center"/>
          </w:tcPr>
          <w:p w14:paraId="5B8767FF">
            <w:pPr>
              <w:pStyle w:val="13"/>
            </w:pPr>
            <w:r>
              <w:t>可持续影响指标</w:t>
            </w:r>
          </w:p>
        </w:tc>
        <w:tc>
          <w:tcPr>
            <w:tcW w:w="2835" w:type="dxa"/>
            <w:vAlign w:val="center"/>
          </w:tcPr>
          <w:p w14:paraId="43FA1DB7">
            <w:pPr>
              <w:pStyle w:val="13"/>
            </w:pPr>
            <w:r>
              <w:t>教育发展水平明显好转</w:t>
            </w:r>
          </w:p>
        </w:tc>
        <w:tc>
          <w:tcPr>
            <w:tcW w:w="5386" w:type="dxa"/>
            <w:vAlign w:val="center"/>
          </w:tcPr>
          <w:p w14:paraId="5E0CAB07">
            <w:pPr>
              <w:pStyle w:val="13"/>
            </w:pPr>
            <w:r>
              <w:t>学生受教育年限</w:t>
            </w:r>
          </w:p>
        </w:tc>
        <w:tc>
          <w:tcPr>
            <w:tcW w:w="2268" w:type="dxa"/>
            <w:vAlign w:val="center"/>
          </w:tcPr>
          <w:p w14:paraId="2D082041">
            <w:pPr>
              <w:pStyle w:val="13"/>
            </w:pPr>
            <w:r>
              <w:t>3年</w:t>
            </w:r>
          </w:p>
        </w:tc>
        <w:tc>
          <w:tcPr>
            <w:tcW w:w="1276" w:type="dxa"/>
            <w:vAlign w:val="center"/>
          </w:tcPr>
          <w:p w14:paraId="7172EC2B">
            <w:pPr>
              <w:pStyle w:val="13"/>
            </w:pPr>
            <w:r>
              <w:t>幼儿园生均公用经费管理办法</w:t>
            </w:r>
          </w:p>
        </w:tc>
      </w:tr>
      <w:tr w14:paraId="707F6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403077">
            <w:pPr>
              <w:pStyle w:val="12"/>
            </w:pPr>
            <w:r>
              <w:t>满意度指标</w:t>
            </w:r>
          </w:p>
        </w:tc>
        <w:tc>
          <w:tcPr>
            <w:tcW w:w="2268" w:type="dxa"/>
            <w:vAlign w:val="center"/>
          </w:tcPr>
          <w:p w14:paraId="3FAB7393">
            <w:pPr>
              <w:pStyle w:val="13"/>
            </w:pPr>
            <w:r>
              <w:t>服务对象满意度指标</w:t>
            </w:r>
          </w:p>
        </w:tc>
        <w:tc>
          <w:tcPr>
            <w:tcW w:w="2835" w:type="dxa"/>
            <w:vAlign w:val="center"/>
          </w:tcPr>
          <w:p w14:paraId="14026763">
            <w:pPr>
              <w:pStyle w:val="13"/>
            </w:pPr>
            <w:r>
              <w:t>受益学生家长及调查满意度</w:t>
            </w:r>
          </w:p>
        </w:tc>
        <w:tc>
          <w:tcPr>
            <w:tcW w:w="5386" w:type="dxa"/>
            <w:vAlign w:val="center"/>
          </w:tcPr>
          <w:p w14:paraId="7DFB2E91">
            <w:pPr>
              <w:pStyle w:val="13"/>
            </w:pPr>
            <w:r>
              <w:t>学生、教师及家长对学校保教保育工作满意度情况</w:t>
            </w:r>
          </w:p>
        </w:tc>
        <w:tc>
          <w:tcPr>
            <w:tcW w:w="2268" w:type="dxa"/>
            <w:vAlign w:val="center"/>
          </w:tcPr>
          <w:p w14:paraId="50549673">
            <w:pPr>
              <w:pStyle w:val="13"/>
            </w:pPr>
            <w:r>
              <w:t>≥95%</w:t>
            </w:r>
          </w:p>
        </w:tc>
        <w:tc>
          <w:tcPr>
            <w:tcW w:w="1276" w:type="dxa"/>
            <w:vAlign w:val="center"/>
          </w:tcPr>
          <w:p w14:paraId="7F8C2838">
            <w:pPr>
              <w:pStyle w:val="13"/>
            </w:pPr>
            <w:r>
              <w:t>调查问卷</w:t>
            </w:r>
          </w:p>
        </w:tc>
      </w:tr>
    </w:tbl>
    <w:p w14:paraId="660673C5">
      <w:pPr>
        <w:sectPr>
          <w:pgSz w:w="16840" w:h="11900" w:orient="landscape"/>
          <w:pgMar w:top="1361" w:right="1020" w:bottom="1134" w:left="1020" w:header="720" w:footer="720" w:gutter="0"/>
          <w:cols w:space="720" w:num="1"/>
        </w:sectPr>
      </w:pPr>
    </w:p>
    <w:p w14:paraId="4C4CDFE3">
      <w:pPr>
        <w:spacing w:before="0" w:after="0"/>
        <w:ind w:firstLine="560"/>
        <w:jc w:val="left"/>
        <w:outlineLvl w:val="9"/>
      </w:pPr>
      <w:r>
        <w:rPr>
          <w:rFonts w:ascii="方正仿宋_GBK" w:hAnsi="方正仿宋_GBK" w:eastAsia="方正仿宋_GBK" w:cs="方正仿宋_GBK"/>
          <w:b/>
          <w:color w:val="000000"/>
          <w:sz w:val="28"/>
        </w:rPr>
        <w:t>66、冀财教[2024]142号/省级/2025年学前发展资金/隆尧县华星幼儿园学前教育公用经费绩效目标表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06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FE8F7">
            <w:pPr>
              <w:pStyle w:val="14"/>
            </w:pPr>
            <w:r>
              <w:t>单位：万元</w:t>
            </w:r>
          </w:p>
        </w:tc>
      </w:tr>
      <w:tr w14:paraId="7B1AA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6F515">
            <w:pPr>
              <w:pStyle w:val="11"/>
            </w:pPr>
            <w:r>
              <w:t>项目编码</w:t>
            </w:r>
          </w:p>
        </w:tc>
        <w:tc>
          <w:tcPr>
            <w:tcW w:w="5103" w:type="dxa"/>
            <w:gridSpan w:val="2"/>
            <w:vAlign w:val="center"/>
          </w:tcPr>
          <w:p w14:paraId="5F3FF69A">
            <w:pPr>
              <w:pStyle w:val="13"/>
            </w:pPr>
            <w:r>
              <w:t>13052525P00875710015X</w:t>
            </w:r>
          </w:p>
        </w:tc>
        <w:tc>
          <w:tcPr>
            <w:tcW w:w="2835" w:type="dxa"/>
            <w:vAlign w:val="center"/>
          </w:tcPr>
          <w:p w14:paraId="5A37FA37">
            <w:pPr>
              <w:pStyle w:val="11"/>
            </w:pPr>
            <w:r>
              <w:t>项目名称</w:t>
            </w:r>
          </w:p>
        </w:tc>
        <w:tc>
          <w:tcPr>
            <w:tcW w:w="6095" w:type="dxa"/>
            <w:gridSpan w:val="3"/>
            <w:vAlign w:val="center"/>
          </w:tcPr>
          <w:p w14:paraId="553F027E">
            <w:pPr>
              <w:pStyle w:val="13"/>
            </w:pPr>
            <w:r>
              <w:t>冀财教[2024]142号/省级/2025年学前发展资金/隆尧县华星幼儿园学前教育公用经费</w:t>
            </w:r>
          </w:p>
        </w:tc>
      </w:tr>
      <w:tr w14:paraId="3BEF8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3D09C">
            <w:pPr>
              <w:pStyle w:val="11"/>
            </w:pPr>
            <w:r>
              <w:t>预算规模及资金用途</w:t>
            </w:r>
          </w:p>
        </w:tc>
        <w:tc>
          <w:tcPr>
            <w:tcW w:w="2268" w:type="dxa"/>
            <w:vAlign w:val="center"/>
          </w:tcPr>
          <w:p w14:paraId="31A76D22">
            <w:pPr>
              <w:pStyle w:val="11"/>
            </w:pPr>
            <w:r>
              <w:t>预算数</w:t>
            </w:r>
          </w:p>
        </w:tc>
        <w:tc>
          <w:tcPr>
            <w:tcW w:w="2835" w:type="dxa"/>
            <w:vAlign w:val="center"/>
          </w:tcPr>
          <w:p w14:paraId="55D0C5FD">
            <w:pPr>
              <w:pStyle w:val="13"/>
            </w:pPr>
            <w:r>
              <w:t>1.49</w:t>
            </w:r>
          </w:p>
        </w:tc>
        <w:tc>
          <w:tcPr>
            <w:tcW w:w="2835" w:type="dxa"/>
            <w:vAlign w:val="center"/>
          </w:tcPr>
          <w:p w14:paraId="567BC2B2">
            <w:pPr>
              <w:pStyle w:val="11"/>
            </w:pPr>
            <w:r>
              <w:t>其中：财政    资金</w:t>
            </w:r>
          </w:p>
        </w:tc>
        <w:tc>
          <w:tcPr>
            <w:tcW w:w="2551" w:type="dxa"/>
            <w:vAlign w:val="center"/>
          </w:tcPr>
          <w:p w14:paraId="67144592">
            <w:pPr>
              <w:pStyle w:val="13"/>
            </w:pPr>
            <w:r>
              <w:t>1.49</w:t>
            </w:r>
          </w:p>
        </w:tc>
        <w:tc>
          <w:tcPr>
            <w:tcW w:w="2268" w:type="dxa"/>
            <w:vAlign w:val="center"/>
          </w:tcPr>
          <w:p w14:paraId="63204A37">
            <w:pPr>
              <w:pStyle w:val="11"/>
            </w:pPr>
            <w:r>
              <w:t>其他资金</w:t>
            </w:r>
          </w:p>
        </w:tc>
        <w:tc>
          <w:tcPr>
            <w:tcW w:w="1276" w:type="dxa"/>
            <w:vAlign w:val="center"/>
          </w:tcPr>
          <w:p w14:paraId="193BEDD5">
            <w:pPr>
              <w:pStyle w:val="13"/>
            </w:pPr>
            <w:r>
              <w:t xml:space="preserve"> </w:t>
            </w:r>
          </w:p>
        </w:tc>
      </w:tr>
      <w:tr w14:paraId="67C50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22A68C"/>
        </w:tc>
        <w:tc>
          <w:tcPr>
            <w:tcW w:w="14033" w:type="dxa"/>
            <w:gridSpan w:val="6"/>
            <w:vAlign w:val="center"/>
          </w:tcPr>
          <w:p w14:paraId="5D7993CA">
            <w:pPr>
              <w:pStyle w:val="13"/>
            </w:pPr>
            <w:r>
              <w:t>根据幼儿园生均公用经费管理办法的通知，按照基准定额600元/生/年的标准，安排民办普惠幼儿园公用经费。2025年本幼儿园公用经费安排省级资金1.47万元，按照分季度拨付经费的原则拨付学校经费，本着提高办学条件，提升教学质量的目标，合理安排预算支出，确保学校正常运转。</w:t>
            </w:r>
          </w:p>
        </w:tc>
      </w:tr>
      <w:tr w14:paraId="29E02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A747C">
            <w:pPr>
              <w:pStyle w:val="11"/>
            </w:pPr>
            <w:r>
              <w:t>资金支出计划（%）</w:t>
            </w:r>
          </w:p>
        </w:tc>
        <w:tc>
          <w:tcPr>
            <w:tcW w:w="5103" w:type="dxa"/>
            <w:gridSpan w:val="2"/>
            <w:vAlign w:val="center"/>
          </w:tcPr>
          <w:p w14:paraId="3F5308A2">
            <w:pPr>
              <w:pStyle w:val="11"/>
            </w:pPr>
            <w:r>
              <w:t>3月底</w:t>
            </w:r>
          </w:p>
        </w:tc>
        <w:tc>
          <w:tcPr>
            <w:tcW w:w="2835" w:type="dxa"/>
            <w:vAlign w:val="center"/>
          </w:tcPr>
          <w:p w14:paraId="06BA1097">
            <w:pPr>
              <w:pStyle w:val="11"/>
            </w:pPr>
            <w:r>
              <w:t>6月底</w:t>
            </w:r>
          </w:p>
        </w:tc>
        <w:tc>
          <w:tcPr>
            <w:tcW w:w="2551" w:type="dxa"/>
            <w:vAlign w:val="center"/>
          </w:tcPr>
          <w:p w14:paraId="43EBCF1E">
            <w:pPr>
              <w:pStyle w:val="11"/>
            </w:pPr>
            <w:r>
              <w:t>10月底</w:t>
            </w:r>
          </w:p>
        </w:tc>
        <w:tc>
          <w:tcPr>
            <w:tcW w:w="3544" w:type="dxa"/>
            <w:gridSpan w:val="2"/>
            <w:vAlign w:val="center"/>
          </w:tcPr>
          <w:p w14:paraId="3B26F36E">
            <w:pPr>
              <w:pStyle w:val="11"/>
            </w:pPr>
            <w:r>
              <w:t>12月底</w:t>
            </w:r>
          </w:p>
        </w:tc>
      </w:tr>
      <w:tr w14:paraId="28927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ACCB77"/>
        </w:tc>
        <w:tc>
          <w:tcPr>
            <w:tcW w:w="5103" w:type="dxa"/>
            <w:gridSpan w:val="2"/>
            <w:vAlign w:val="center"/>
          </w:tcPr>
          <w:p w14:paraId="1AA9C454">
            <w:pPr>
              <w:pStyle w:val="12"/>
            </w:pPr>
            <w:r>
              <w:t xml:space="preserve"> </w:t>
            </w:r>
          </w:p>
        </w:tc>
        <w:tc>
          <w:tcPr>
            <w:tcW w:w="2835" w:type="dxa"/>
            <w:vAlign w:val="center"/>
          </w:tcPr>
          <w:p w14:paraId="31104C7E">
            <w:pPr>
              <w:pStyle w:val="12"/>
            </w:pPr>
            <w:r>
              <w:t>50%</w:t>
            </w:r>
          </w:p>
        </w:tc>
        <w:tc>
          <w:tcPr>
            <w:tcW w:w="2551" w:type="dxa"/>
            <w:vAlign w:val="center"/>
          </w:tcPr>
          <w:p w14:paraId="5E41459B">
            <w:pPr>
              <w:pStyle w:val="12"/>
            </w:pPr>
            <w:r>
              <w:t>75%</w:t>
            </w:r>
          </w:p>
        </w:tc>
        <w:tc>
          <w:tcPr>
            <w:tcW w:w="3544" w:type="dxa"/>
            <w:gridSpan w:val="2"/>
            <w:vAlign w:val="center"/>
          </w:tcPr>
          <w:p w14:paraId="0EE831C8">
            <w:pPr>
              <w:pStyle w:val="12"/>
            </w:pPr>
            <w:r>
              <w:t>100%</w:t>
            </w:r>
          </w:p>
        </w:tc>
      </w:tr>
      <w:tr w14:paraId="2364B4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CF436">
            <w:pPr>
              <w:pStyle w:val="11"/>
            </w:pPr>
            <w:r>
              <w:t>绩效目标</w:t>
            </w:r>
          </w:p>
        </w:tc>
        <w:tc>
          <w:tcPr>
            <w:tcW w:w="14033" w:type="dxa"/>
            <w:gridSpan w:val="6"/>
            <w:vAlign w:val="center"/>
          </w:tcPr>
          <w:p w14:paraId="0EABEFA6">
            <w:pPr>
              <w:pStyle w:val="13"/>
            </w:pPr>
            <w:r>
              <w:t>1.根据幼儿园生均公用经费管理办法的通知，按照基准定额600元/生/年的标准，安排民办普惠幼儿园公用经费。2025年本幼儿园公用经费安排省级资金1.47万元，按照分季度拨付经费的原则拨付学校经费，本着提高办学条件，提升教学质量的目标，合理安排预算支出，确保学校正常运转。</w:t>
            </w:r>
          </w:p>
        </w:tc>
      </w:tr>
    </w:tbl>
    <w:p w14:paraId="5DEE9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47D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9AF73">
            <w:pPr>
              <w:pStyle w:val="11"/>
            </w:pPr>
            <w:r>
              <w:t>一级指标</w:t>
            </w:r>
          </w:p>
        </w:tc>
        <w:tc>
          <w:tcPr>
            <w:tcW w:w="2268" w:type="dxa"/>
            <w:vAlign w:val="center"/>
          </w:tcPr>
          <w:p w14:paraId="0E4971DB">
            <w:pPr>
              <w:pStyle w:val="11"/>
            </w:pPr>
            <w:r>
              <w:t>二级指标</w:t>
            </w:r>
          </w:p>
        </w:tc>
        <w:tc>
          <w:tcPr>
            <w:tcW w:w="2835" w:type="dxa"/>
            <w:vAlign w:val="center"/>
          </w:tcPr>
          <w:p w14:paraId="392B95C3">
            <w:pPr>
              <w:pStyle w:val="11"/>
            </w:pPr>
            <w:r>
              <w:t>三级指标</w:t>
            </w:r>
          </w:p>
        </w:tc>
        <w:tc>
          <w:tcPr>
            <w:tcW w:w="5386" w:type="dxa"/>
            <w:vAlign w:val="center"/>
          </w:tcPr>
          <w:p w14:paraId="72F0065C">
            <w:pPr>
              <w:pStyle w:val="11"/>
            </w:pPr>
            <w:r>
              <w:t>绩效指标描述</w:t>
            </w:r>
          </w:p>
        </w:tc>
        <w:tc>
          <w:tcPr>
            <w:tcW w:w="2268" w:type="dxa"/>
            <w:vAlign w:val="center"/>
          </w:tcPr>
          <w:p w14:paraId="06F96CF7">
            <w:pPr>
              <w:pStyle w:val="11"/>
            </w:pPr>
            <w:r>
              <w:t>指标值</w:t>
            </w:r>
          </w:p>
        </w:tc>
        <w:tc>
          <w:tcPr>
            <w:tcW w:w="1276" w:type="dxa"/>
            <w:vAlign w:val="center"/>
          </w:tcPr>
          <w:p w14:paraId="443BF1F6">
            <w:pPr>
              <w:pStyle w:val="11"/>
            </w:pPr>
            <w:r>
              <w:t>指标值确定依据</w:t>
            </w:r>
          </w:p>
        </w:tc>
      </w:tr>
      <w:tr w14:paraId="41CAB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D57A8">
            <w:pPr>
              <w:pStyle w:val="12"/>
            </w:pPr>
            <w:r>
              <w:t>产出指标</w:t>
            </w:r>
          </w:p>
        </w:tc>
        <w:tc>
          <w:tcPr>
            <w:tcW w:w="2268" w:type="dxa"/>
            <w:vAlign w:val="center"/>
          </w:tcPr>
          <w:p w14:paraId="01486E7B">
            <w:pPr>
              <w:pStyle w:val="13"/>
            </w:pPr>
            <w:r>
              <w:t>数量指标</w:t>
            </w:r>
          </w:p>
        </w:tc>
        <w:tc>
          <w:tcPr>
            <w:tcW w:w="2835" w:type="dxa"/>
            <w:vAlign w:val="center"/>
          </w:tcPr>
          <w:p w14:paraId="1D63F871">
            <w:pPr>
              <w:pStyle w:val="13"/>
            </w:pPr>
            <w:r>
              <w:t>适龄在校生</w:t>
            </w:r>
          </w:p>
        </w:tc>
        <w:tc>
          <w:tcPr>
            <w:tcW w:w="5386" w:type="dxa"/>
            <w:vAlign w:val="center"/>
          </w:tcPr>
          <w:p w14:paraId="794C347D">
            <w:pPr>
              <w:pStyle w:val="13"/>
            </w:pPr>
            <w:r>
              <w:t>辖区内适龄儿童全覆盖</w:t>
            </w:r>
          </w:p>
        </w:tc>
        <w:tc>
          <w:tcPr>
            <w:tcW w:w="2268" w:type="dxa"/>
            <w:vAlign w:val="center"/>
          </w:tcPr>
          <w:p w14:paraId="023F1185">
            <w:pPr>
              <w:pStyle w:val="13"/>
            </w:pPr>
            <w:r>
              <w:t>99人</w:t>
            </w:r>
          </w:p>
        </w:tc>
        <w:tc>
          <w:tcPr>
            <w:tcW w:w="1276" w:type="dxa"/>
            <w:vAlign w:val="center"/>
          </w:tcPr>
          <w:p w14:paraId="088D550B">
            <w:pPr>
              <w:pStyle w:val="13"/>
            </w:pPr>
            <w:r>
              <w:t>幼儿园生均公用经费管理办法</w:t>
            </w:r>
          </w:p>
        </w:tc>
      </w:tr>
      <w:tr w14:paraId="266C4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64E8A"/>
        </w:tc>
        <w:tc>
          <w:tcPr>
            <w:tcW w:w="2268" w:type="dxa"/>
            <w:vAlign w:val="center"/>
          </w:tcPr>
          <w:p w14:paraId="2A8A75C8">
            <w:pPr>
              <w:pStyle w:val="13"/>
            </w:pPr>
            <w:r>
              <w:t>质量指标</w:t>
            </w:r>
          </w:p>
        </w:tc>
        <w:tc>
          <w:tcPr>
            <w:tcW w:w="2835" w:type="dxa"/>
            <w:vAlign w:val="center"/>
          </w:tcPr>
          <w:p w14:paraId="7083050C">
            <w:pPr>
              <w:pStyle w:val="13"/>
            </w:pPr>
            <w:r>
              <w:t>预算控制率</w:t>
            </w:r>
          </w:p>
        </w:tc>
        <w:tc>
          <w:tcPr>
            <w:tcW w:w="5386" w:type="dxa"/>
            <w:vAlign w:val="center"/>
          </w:tcPr>
          <w:p w14:paraId="72974B55">
            <w:pPr>
              <w:pStyle w:val="13"/>
            </w:pPr>
            <w:r>
              <w:t>预算执行</w:t>
            </w:r>
          </w:p>
        </w:tc>
        <w:tc>
          <w:tcPr>
            <w:tcW w:w="2268" w:type="dxa"/>
            <w:vAlign w:val="center"/>
          </w:tcPr>
          <w:p w14:paraId="00EE6360">
            <w:pPr>
              <w:pStyle w:val="13"/>
            </w:pPr>
            <w:r>
              <w:t>≥95%</w:t>
            </w:r>
          </w:p>
        </w:tc>
        <w:tc>
          <w:tcPr>
            <w:tcW w:w="1276" w:type="dxa"/>
            <w:vAlign w:val="center"/>
          </w:tcPr>
          <w:p w14:paraId="1DC96DC9">
            <w:pPr>
              <w:pStyle w:val="13"/>
            </w:pPr>
            <w:r>
              <w:t>幼儿园生均公用经费管理办法</w:t>
            </w:r>
          </w:p>
        </w:tc>
      </w:tr>
      <w:tr w14:paraId="0FACF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81823"/>
        </w:tc>
        <w:tc>
          <w:tcPr>
            <w:tcW w:w="2268" w:type="dxa"/>
            <w:vAlign w:val="center"/>
          </w:tcPr>
          <w:p w14:paraId="3C17C7C0">
            <w:pPr>
              <w:pStyle w:val="13"/>
            </w:pPr>
            <w:r>
              <w:t>时效指标</w:t>
            </w:r>
          </w:p>
        </w:tc>
        <w:tc>
          <w:tcPr>
            <w:tcW w:w="2835" w:type="dxa"/>
            <w:vAlign w:val="center"/>
          </w:tcPr>
          <w:p w14:paraId="47C8BC1A">
            <w:pPr>
              <w:pStyle w:val="13"/>
            </w:pPr>
            <w:r>
              <w:t>资金支付率</w:t>
            </w:r>
          </w:p>
        </w:tc>
        <w:tc>
          <w:tcPr>
            <w:tcW w:w="5386" w:type="dxa"/>
            <w:vAlign w:val="center"/>
          </w:tcPr>
          <w:p w14:paraId="02F151EB">
            <w:pPr>
              <w:pStyle w:val="13"/>
            </w:pPr>
            <w:r>
              <w:t>按照序时进度完成资金支付</w:t>
            </w:r>
          </w:p>
        </w:tc>
        <w:tc>
          <w:tcPr>
            <w:tcW w:w="2268" w:type="dxa"/>
            <w:vAlign w:val="center"/>
          </w:tcPr>
          <w:p w14:paraId="4F46E015">
            <w:pPr>
              <w:pStyle w:val="13"/>
            </w:pPr>
            <w:r>
              <w:t>≥100%</w:t>
            </w:r>
          </w:p>
        </w:tc>
        <w:tc>
          <w:tcPr>
            <w:tcW w:w="1276" w:type="dxa"/>
            <w:vAlign w:val="center"/>
          </w:tcPr>
          <w:p w14:paraId="66595241">
            <w:pPr>
              <w:pStyle w:val="13"/>
            </w:pPr>
            <w:r>
              <w:t>幼儿园生均公用经费管理办法</w:t>
            </w:r>
          </w:p>
        </w:tc>
      </w:tr>
      <w:tr w14:paraId="2B4B1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280B9"/>
        </w:tc>
        <w:tc>
          <w:tcPr>
            <w:tcW w:w="2268" w:type="dxa"/>
            <w:vAlign w:val="center"/>
          </w:tcPr>
          <w:p w14:paraId="1F81ACAF">
            <w:pPr>
              <w:pStyle w:val="13"/>
            </w:pPr>
            <w:r>
              <w:t>成本指标</w:t>
            </w:r>
          </w:p>
        </w:tc>
        <w:tc>
          <w:tcPr>
            <w:tcW w:w="2835" w:type="dxa"/>
            <w:vAlign w:val="center"/>
          </w:tcPr>
          <w:p w14:paraId="5507A54A">
            <w:pPr>
              <w:pStyle w:val="13"/>
            </w:pPr>
            <w:r>
              <w:t>生均拨款标准</w:t>
            </w:r>
          </w:p>
        </w:tc>
        <w:tc>
          <w:tcPr>
            <w:tcW w:w="5386" w:type="dxa"/>
            <w:vAlign w:val="center"/>
          </w:tcPr>
          <w:p w14:paraId="432107F5">
            <w:pPr>
              <w:pStyle w:val="13"/>
            </w:pPr>
            <w:r>
              <w:t>学前经费600元/生/年</w:t>
            </w:r>
          </w:p>
        </w:tc>
        <w:tc>
          <w:tcPr>
            <w:tcW w:w="2268" w:type="dxa"/>
            <w:vAlign w:val="center"/>
          </w:tcPr>
          <w:p w14:paraId="63EF4B79">
            <w:pPr>
              <w:pStyle w:val="13"/>
            </w:pPr>
            <w:r>
              <w:t>600元</w:t>
            </w:r>
          </w:p>
        </w:tc>
        <w:tc>
          <w:tcPr>
            <w:tcW w:w="1276" w:type="dxa"/>
            <w:vAlign w:val="center"/>
          </w:tcPr>
          <w:p w14:paraId="43A83561">
            <w:pPr>
              <w:pStyle w:val="13"/>
            </w:pPr>
            <w:r>
              <w:t>幼儿园生均公用经费管理办法</w:t>
            </w:r>
          </w:p>
        </w:tc>
      </w:tr>
      <w:tr w14:paraId="04549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FFDF8">
            <w:pPr>
              <w:pStyle w:val="12"/>
            </w:pPr>
            <w:r>
              <w:t>效益指标</w:t>
            </w:r>
          </w:p>
        </w:tc>
        <w:tc>
          <w:tcPr>
            <w:tcW w:w="2268" w:type="dxa"/>
            <w:vAlign w:val="center"/>
          </w:tcPr>
          <w:p w14:paraId="6A3CCE18">
            <w:pPr>
              <w:pStyle w:val="13"/>
            </w:pPr>
            <w:r>
              <w:t>可持续影响指标</w:t>
            </w:r>
          </w:p>
        </w:tc>
        <w:tc>
          <w:tcPr>
            <w:tcW w:w="2835" w:type="dxa"/>
            <w:vAlign w:val="center"/>
          </w:tcPr>
          <w:p w14:paraId="0FAF5B5E">
            <w:pPr>
              <w:pStyle w:val="13"/>
            </w:pPr>
            <w:r>
              <w:t>教育发展水平明显好转</w:t>
            </w:r>
          </w:p>
        </w:tc>
        <w:tc>
          <w:tcPr>
            <w:tcW w:w="5386" w:type="dxa"/>
            <w:vAlign w:val="center"/>
          </w:tcPr>
          <w:p w14:paraId="48242C9B">
            <w:pPr>
              <w:pStyle w:val="13"/>
            </w:pPr>
            <w:r>
              <w:t>学生受教育年限</w:t>
            </w:r>
          </w:p>
        </w:tc>
        <w:tc>
          <w:tcPr>
            <w:tcW w:w="2268" w:type="dxa"/>
            <w:vAlign w:val="center"/>
          </w:tcPr>
          <w:p w14:paraId="1CCC8956">
            <w:pPr>
              <w:pStyle w:val="13"/>
            </w:pPr>
            <w:r>
              <w:t>3年</w:t>
            </w:r>
          </w:p>
        </w:tc>
        <w:tc>
          <w:tcPr>
            <w:tcW w:w="1276" w:type="dxa"/>
            <w:vAlign w:val="center"/>
          </w:tcPr>
          <w:p w14:paraId="37895A47">
            <w:pPr>
              <w:pStyle w:val="13"/>
            </w:pPr>
            <w:r>
              <w:t>幼儿园生均公用经费管理办法</w:t>
            </w:r>
          </w:p>
        </w:tc>
      </w:tr>
      <w:tr w14:paraId="2886F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62913C">
            <w:pPr>
              <w:pStyle w:val="12"/>
            </w:pPr>
            <w:r>
              <w:t>满意度指标</w:t>
            </w:r>
          </w:p>
        </w:tc>
        <w:tc>
          <w:tcPr>
            <w:tcW w:w="2268" w:type="dxa"/>
            <w:vAlign w:val="center"/>
          </w:tcPr>
          <w:p w14:paraId="21171BA8">
            <w:pPr>
              <w:pStyle w:val="13"/>
            </w:pPr>
            <w:r>
              <w:t>服务对象满意度指标</w:t>
            </w:r>
          </w:p>
        </w:tc>
        <w:tc>
          <w:tcPr>
            <w:tcW w:w="2835" w:type="dxa"/>
            <w:vAlign w:val="center"/>
          </w:tcPr>
          <w:p w14:paraId="5149AFDA">
            <w:pPr>
              <w:pStyle w:val="13"/>
            </w:pPr>
            <w:r>
              <w:t>受益学生家长及调查满意度</w:t>
            </w:r>
          </w:p>
        </w:tc>
        <w:tc>
          <w:tcPr>
            <w:tcW w:w="5386" w:type="dxa"/>
            <w:vAlign w:val="center"/>
          </w:tcPr>
          <w:p w14:paraId="7E95F8AE">
            <w:pPr>
              <w:pStyle w:val="13"/>
            </w:pPr>
            <w:r>
              <w:t>学生、教师及家长对学校保教保育工作满意度情况</w:t>
            </w:r>
          </w:p>
        </w:tc>
        <w:tc>
          <w:tcPr>
            <w:tcW w:w="2268" w:type="dxa"/>
            <w:vAlign w:val="center"/>
          </w:tcPr>
          <w:p w14:paraId="2B20F357">
            <w:pPr>
              <w:pStyle w:val="13"/>
            </w:pPr>
            <w:r>
              <w:t>≥95%</w:t>
            </w:r>
          </w:p>
        </w:tc>
        <w:tc>
          <w:tcPr>
            <w:tcW w:w="1276" w:type="dxa"/>
            <w:vAlign w:val="center"/>
          </w:tcPr>
          <w:p w14:paraId="06A78D53">
            <w:pPr>
              <w:pStyle w:val="13"/>
            </w:pPr>
            <w:r>
              <w:t>调查问卷</w:t>
            </w:r>
          </w:p>
        </w:tc>
      </w:tr>
    </w:tbl>
    <w:p w14:paraId="3665AEC3">
      <w:pPr>
        <w:sectPr>
          <w:pgSz w:w="16840" w:h="11900" w:orient="landscape"/>
          <w:pgMar w:top="1361" w:right="1020" w:bottom="1134" w:left="1020" w:header="720" w:footer="720" w:gutter="0"/>
          <w:cols w:space="720" w:num="1"/>
        </w:sectPr>
      </w:pPr>
    </w:p>
    <w:p w14:paraId="3B67F504">
      <w:pPr>
        <w:spacing w:before="0" w:after="0"/>
        <w:ind w:firstLine="560"/>
        <w:jc w:val="left"/>
        <w:outlineLvl w:val="9"/>
      </w:pPr>
      <w:r>
        <w:rPr>
          <w:rFonts w:ascii="方正仿宋_GBK" w:hAnsi="方正仿宋_GBK" w:eastAsia="方正仿宋_GBK" w:cs="方正仿宋_GBK"/>
          <w:b/>
          <w:color w:val="000000"/>
          <w:sz w:val="28"/>
        </w:rPr>
        <w:t>67、冀财教[2024]142号/省级/2025年学前发展资金/隆尧县嘉文幼儿园学前教育公用经费绩效目标表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00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02B7D">
            <w:pPr>
              <w:pStyle w:val="14"/>
            </w:pPr>
            <w:r>
              <w:t>单位：万元</w:t>
            </w:r>
          </w:p>
        </w:tc>
      </w:tr>
      <w:tr w14:paraId="11B75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2898C">
            <w:pPr>
              <w:pStyle w:val="11"/>
            </w:pPr>
            <w:r>
              <w:t>项目编码</w:t>
            </w:r>
          </w:p>
        </w:tc>
        <w:tc>
          <w:tcPr>
            <w:tcW w:w="5103" w:type="dxa"/>
            <w:gridSpan w:val="2"/>
            <w:vAlign w:val="center"/>
          </w:tcPr>
          <w:p w14:paraId="7485CDEA">
            <w:pPr>
              <w:pStyle w:val="13"/>
            </w:pPr>
            <w:r>
              <w:t>13052525P00875710028L</w:t>
            </w:r>
          </w:p>
        </w:tc>
        <w:tc>
          <w:tcPr>
            <w:tcW w:w="2835" w:type="dxa"/>
            <w:vAlign w:val="center"/>
          </w:tcPr>
          <w:p w14:paraId="52E26EAB">
            <w:pPr>
              <w:pStyle w:val="11"/>
            </w:pPr>
            <w:r>
              <w:t>项目名称</w:t>
            </w:r>
          </w:p>
        </w:tc>
        <w:tc>
          <w:tcPr>
            <w:tcW w:w="6095" w:type="dxa"/>
            <w:gridSpan w:val="3"/>
            <w:vAlign w:val="center"/>
          </w:tcPr>
          <w:p w14:paraId="1B14DFBD">
            <w:pPr>
              <w:pStyle w:val="13"/>
            </w:pPr>
            <w:r>
              <w:t>冀财教[2024]142号/省级/2025年学前发展资金/隆尧县嘉文幼儿园学前教育公用经费</w:t>
            </w:r>
          </w:p>
        </w:tc>
      </w:tr>
      <w:tr w14:paraId="52A3E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C087D">
            <w:pPr>
              <w:pStyle w:val="11"/>
            </w:pPr>
            <w:r>
              <w:t>预算规模及资金用途</w:t>
            </w:r>
          </w:p>
        </w:tc>
        <w:tc>
          <w:tcPr>
            <w:tcW w:w="2268" w:type="dxa"/>
            <w:vAlign w:val="center"/>
          </w:tcPr>
          <w:p w14:paraId="5E703433">
            <w:pPr>
              <w:pStyle w:val="11"/>
            </w:pPr>
            <w:r>
              <w:t>预算数</w:t>
            </w:r>
          </w:p>
        </w:tc>
        <w:tc>
          <w:tcPr>
            <w:tcW w:w="2835" w:type="dxa"/>
            <w:vAlign w:val="center"/>
          </w:tcPr>
          <w:p w14:paraId="489CAFEE">
            <w:pPr>
              <w:pStyle w:val="13"/>
            </w:pPr>
            <w:r>
              <w:t>1.41</w:t>
            </w:r>
          </w:p>
        </w:tc>
        <w:tc>
          <w:tcPr>
            <w:tcW w:w="2835" w:type="dxa"/>
            <w:vAlign w:val="center"/>
          </w:tcPr>
          <w:p w14:paraId="2CC99EF3">
            <w:pPr>
              <w:pStyle w:val="11"/>
            </w:pPr>
            <w:r>
              <w:t>其中：财政    资金</w:t>
            </w:r>
          </w:p>
        </w:tc>
        <w:tc>
          <w:tcPr>
            <w:tcW w:w="2551" w:type="dxa"/>
            <w:vAlign w:val="center"/>
          </w:tcPr>
          <w:p w14:paraId="4EC08BF0">
            <w:pPr>
              <w:pStyle w:val="13"/>
            </w:pPr>
            <w:r>
              <w:t>1.41</w:t>
            </w:r>
          </w:p>
        </w:tc>
        <w:tc>
          <w:tcPr>
            <w:tcW w:w="2268" w:type="dxa"/>
            <w:vAlign w:val="center"/>
          </w:tcPr>
          <w:p w14:paraId="13FECEFC">
            <w:pPr>
              <w:pStyle w:val="11"/>
            </w:pPr>
            <w:r>
              <w:t>其他资金</w:t>
            </w:r>
          </w:p>
        </w:tc>
        <w:tc>
          <w:tcPr>
            <w:tcW w:w="1276" w:type="dxa"/>
            <w:vAlign w:val="center"/>
          </w:tcPr>
          <w:p w14:paraId="7DAEE55E">
            <w:pPr>
              <w:pStyle w:val="13"/>
            </w:pPr>
            <w:r>
              <w:t xml:space="preserve"> </w:t>
            </w:r>
          </w:p>
        </w:tc>
      </w:tr>
      <w:tr w14:paraId="3626B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0237F"/>
        </w:tc>
        <w:tc>
          <w:tcPr>
            <w:tcW w:w="14033" w:type="dxa"/>
            <w:gridSpan w:val="6"/>
            <w:vAlign w:val="center"/>
          </w:tcPr>
          <w:p w14:paraId="28AA0632">
            <w:pPr>
              <w:pStyle w:val="13"/>
            </w:pPr>
            <w:r>
              <w:t>按季度分批次拨付安排公用经费资金，学校按照预算安排进行资金使用，保证资金正常支出。</w:t>
            </w:r>
          </w:p>
        </w:tc>
      </w:tr>
      <w:tr w14:paraId="018EB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C149D">
            <w:pPr>
              <w:pStyle w:val="11"/>
            </w:pPr>
            <w:r>
              <w:t>资金支出计划（%）</w:t>
            </w:r>
          </w:p>
        </w:tc>
        <w:tc>
          <w:tcPr>
            <w:tcW w:w="5103" w:type="dxa"/>
            <w:gridSpan w:val="2"/>
            <w:vAlign w:val="center"/>
          </w:tcPr>
          <w:p w14:paraId="5C9B5B09">
            <w:pPr>
              <w:pStyle w:val="11"/>
            </w:pPr>
            <w:r>
              <w:t>3月底</w:t>
            </w:r>
          </w:p>
        </w:tc>
        <w:tc>
          <w:tcPr>
            <w:tcW w:w="2835" w:type="dxa"/>
            <w:vAlign w:val="center"/>
          </w:tcPr>
          <w:p w14:paraId="1836D7EA">
            <w:pPr>
              <w:pStyle w:val="11"/>
            </w:pPr>
            <w:r>
              <w:t>6月底</w:t>
            </w:r>
          </w:p>
        </w:tc>
        <w:tc>
          <w:tcPr>
            <w:tcW w:w="2551" w:type="dxa"/>
            <w:vAlign w:val="center"/>
          </w:tcPr>
          <w:p w14:paraId="12ABDBDF">
            <w:pPr>
              <w:pStyle w:val="11"/>
            </w:pPr>
            <w:r>
              <w:t>10月底</w:t>
            </w:r>
          </w:p>
        </w:tc>
        <w:tc>
          <w:tcPr>
            <w:tcW w:w="3544" w:type="dxa"/>
            <w:gridSpan w:val="2"/>
            <w:vAlign w:val="center"/>
          </w:tcPr>
          <w:p w14:paraId="44A5DF38">
            <w:pPr>
              <w:pStyle w:val="11"/>
            </w:pPr>
            <w:r>
              <w:t>12月底</w:t>
            </w:r>
          </w:p>
        </w:tc>
      </w:tr>
      <w:tr w14:paraId="4476F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430399"/>
        </w:tc>
        <w:tc>
          <w:tcPr>
            <w:tcW w:w="5103" w:type="dxa"/>
            <w:gridSpan w:val="2"/>
            <w:vAlign w:val="center"/>
          </w:tcPr>
          <w:p w14:paraId="6DA41A72">
            <w:pPr>
              <w:pStyle w:val="12"/>
            </w:pPr>
            <w:r>
              <w:t xml:space="preserve"> </w:t>
            </w:r>
          </w:p>
        </w:tc>
        <w:tc>
          <w:tcPr>
            <w:tcW w:w="2835" w:type="dxa"/>
            <w:vAlign w:val="center"/>
          </w:tcPr>
          <w:p w14:paraId="03A5EA71">
            <w:pPr>
              <w:pStyle w:val="12"/>
            </w:pPr>
            <w:r>
              <w:t>50%</w:t>
            </w:r>
          </w:p>
        </w:tc>
        <w:tc>
          <w:tcPr>
            <w:tcW w:w="2551" w:type="dxa"/>
            <w:vAlign w:val="center"/>
          </w:tcPr>
          <w:p w14:paraId="1A7804DC">
            <w:pPr>
              <w:pStyle w:val="12"/>
            </w:pPr>
            <w:r>
              <w:t>75%</w:t>
            </w:r>
          </w:p>
        </w:tc>
        <w:tc>
          <w:tcPr>
            <w:tcW w:w="3544" w:type="dxa"/>
            <w:gridSpan w:val="2"/>
            <w:vAlign w:val="center"/>
          </w:tcPr>
          <w:p w14:paraId="2C5023B2">
            <w:pPr>
              <w:pStyle w:val="12"/>
            </w:pPr>
            <w:r>
              <w:t>100%</w:t>
            </w:r>
          </w:p>
        </w:tc>
      </w:tr>
      <w:tr w14:paraId="0F2C2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653C2">
            <w:pPr>
              <w:pStyle w:val="11"/>
            </w:pPr>
            <w:r>
              <w:t>绩效目标</w:t>
            </w:r>
          </w:p>
        </w:tc>
        <w:tc>
          <w:tcPr>
            <w:tcW w:w="14033" w:type="dxa"/>
            <w:gridSpan w:val="6"/>
            <w:vAlign w:val="center"/>
          </w:tcPr>
          <w:p w14:paraId="5939E2E5">
            <w:pPr>
              <w:pStyle w:val="13"/>
            </w:pPr>
            <w:r>
              <w:t>1.按季度分批次拨付安排公用经费资金，学校按照预算安排进行资金使用，保证资金正常支出。</w:t>
            </w:r>
          </w:p>
        </w:tc>
      </w:tr>
    </w:tbl>
    <w:p w14:paraId="5A7B9A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64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EE50C">
            <w:pPr>
              <w:pStyle w:val="11"/>
            </w:pPr>
            <w:r>
              <w:t>一级指标</w:t>
            </w:r>
          </w:p>
        </w:tc>
        <w:tc>
          <w:tcPr>
            <w:tcW w:w="2268" w:type="dxa"/>
            <w:vAlign w:val="center"/>
          </w:tcPr>
          <w:p w14:paraId="77F5AA6B">
            <w:pPr>
              <w:pStyle w:val="11"/>
            </w:pPr>
            <w:r>
              <w:t>二级指标</w:t>
            </w:r>
          </w:p>
        </w:tc>
        <w:tc>
          <w:tcPr>
            <w:tcW w:w="2835" w:type="dxa"/>
            <w:vAlign w:val="center"/>
          </w:tcPr>
          <w:p w14:paraId="2AB70356">
            <w:pPr>
              <w:pStyle w:val="11"/>
            </w:pPr>
            <w:r>
              <w:t>三级指标</w:t>
            </w:r>
          </w:p>
        </w:tc>
        <w:tc>
          <w:tcPr>
            <w:tcW w:w="5386" w:type="dxa"/>
            <w:vAlign w:val="center"/>
          </w:tcPr>
          <w:p w14:paraId="73051455">
            <w:pPr>
              <w:pStyle w:val="11"/>
            </w:pPr>
            <w:r>
              <w:t>绩效指标描述</w:t>
            </w:r>
          </w:p>
        </w:tc>
        <w:tc>
          <w:tcPr>
            <w:tcW w:w="2268" w:type="dxa"/>
            <w:vAlign w:val="center"/>
          </w:tcPr>
          <w:p w14:paraId="17073A5D">
            <w:pPr>
              <w:pStyle w:val="11"/>
            </w:pPr>
            <w:r>
              <w:t>指标值</w:t>
            </w:r>
          </w:p>
        </w:tc>
        <w:tc>
          <w:tcPr>
            <w:tcW w:w="1276" w:type="dxa"/>
            <w:vAlign w:val="center"/>
          </w:tcPr>
          <w:p w14:paraId="45265B6A">
            <w:pPr>
              <w:pStyle w:val="11"/>
            </w:pPr>
            <w:r>
              <w:t>指标值确定依据</w:t>
            </w:r>
          </w:p>
        </w:tc>
      </w:tr>
      <w:tr w14:paraId="0E631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FE139">
            <w:pPr>
              <w:pStyle w:val="12"/>
            </w:pPr>
            <w:r>
              <w:t>产出指标</w:t>
            </w:r>
          </w:p>
        </w:tc>
        <w:tc>
          <w:tcPr>
            <w:tcW w:w="2268" w:type="dxa"/>
            <w:vAlign w:val="center"/>
          </w:tcPr>
          <w:p w14:paraId="338A4BA4">
            <w:pPr>
              <w:pStyle w:val="13"/>
            </w:pPr>
            <w:r>
              <w:t>数量指标</w:t>
            </w:r>
          </w:p>
        </w:tc>
        <w:tc>
          <w:tcPr>
            <w:tcW w:w="2835" w:type="dxa"/>
            <w:vAlign w:val="center"/>
          </w:tcPr>
          <w:p w14:paraId="260F93BC">
            <w:pPr>
              <w:pStyle w:val="13"/>
            </w:pPr>
            <w:r>
              <w:t>适龄在校生</w:t>
            </w:r>
          </w:p>
        </w:tc>
        <w:tc>
          <w:tcPr>
            <w:tcW w:w="5386" w:type="dxa"/>
            <w:vAlign w:val="center"/>
          </w:tcPr>
          <w:p w14:paraId="12DE307A">
            <w:pPr>
              <w:pStyle w:val="13"/>
            </w:pPr>
            <w:r>
              <w:t>辖区内适龄儿童全覆盖</w:t>
            </w:r>
          </w:p>
        </w:tc>
        <w:tc>
          <w:tcPr>
            <w:tcW w:w="2268" w:type="dxa"/>
            <w:vAlign w:val="center"/>
          </w:tcPr>
          <w:p w14:paraId="45C69AD1">
            <w:pPr>
              <w:pStyle w:val="13"/>
            </w:pPr>
            <w:r>
              <w:t>94人</w:t>
            </w:r>
          </w:p>
        </w:tc>
        <w:tc>
          <w:tcPr>
            <w:tcW w:w="1276" w:type="dxa"/>
            <w:vAlign w:val="center"/>
          </w:tcPr>
          <w:p w14:paraId="16F9286B">
            <w:pPr>
              <w:pStyle w:val="13"/>
            </w:pPr>
            <w:r>
              <w:t>幼儿园生均公用经费管理办法</w:t>
            </w:r>
          </w:p>
        </w:tc>
      </w:tr>
      <w:tr w14:paraId="6A13E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563A5"/>
        </w:tc>
        <w:tc>
          <w:tcPr>
            <w:tcW w:w="2268" w:type="dxa"/>
            <w:vAlign w:val="center"/>
          </w:tcPr>
          <w:p w14:paraId="23639EBB">
            <w:pPr>
              <w:pStyle w:val="13"/>
            </w:pPr>
            <w:r>
              <w:t>质量指标</w:t>
            </w:r>
          </w:p>
        </w:tc>
        <w:tc>
          <w:tcPr>
            <w:tcW w:w="2835" w:type="dxa"/>
            <w:vAlign w:val="center"/>
          </w:tcPr>
          <w:p w14:paraId="2CA44C27">
            <w:pPr>
              <w:pStyle w:val="13"/>
            </w:pPr>
            <w:r>
              <w:t>预算控制率</w:t>
            </w:r>
          </w:p>
        </w:tc>
        <w:tc>
          <w:tcPr>
            <w:tcW w:w="5386" w:type="dxa"/>
            <w:vAlign w:val="center"/>
          </w:tcPr>
          <w:p w14:paraId="2EE0E3F7">
            <w:pPr>
              <w:pStyle w:val="13"/>
            </w:pPr>
            <w:r>
              <w:t>预算执行</w:t>
            </w:r>
          </w:p>
        </w:tc>
        <w:tc>
          <w:tcPr>
            <w:tcW w:w="2268" w:type="dxa"/>
            <w:vAlign w:val="center"/>
          </w:tcPr>
          <w:p w14:paraId="4E164560">
            <w:pPr>
              <w:pStyle w:val="13"/>
            </w:pPr>
            <w:r>
              <w:t>≥95%</w:t>
            </w:r>
          </w:p>
        </w:tc>
        <w:tc>
          <w:tcPr>
            <w:tcW w:w="1276" w:type="dxa"/>
            <w:vAlign w:val="center"/>
          </w:tcPr>
          <w:p w14:paraId="28D18182">
            <w:pPr>
              <w:pStyle w:val="13"/>
            </w:pPr>
            <w:r>
              <w:t>幼儿园生均公用经费管理办法</w:t>
            </w:r>
          </w:p>
        </w:tc>
      </w:tr>
      <w:tr w14:paraId="4338A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5299F"/>
        </w:tc>
        <w:tc>
          <w:tcPr>
            <w:tcW w:w="2268" w:type="dxa"/>
            <w:vAlign w:val="center"/>
          </w:tcPr>
          <w:p w14:paraId="08F1CE53">
            <w:pPr>
              <w:pStyle w:val="13"/>
            </w:pPr>
            <w:r>
              <w:t>时效指标</w:t>
            </w:r>
          </w:p>
        </w:tc>
        <w:tc>
          <w:tcPr>
            <w:tcW w:w="2835" w:type="dxa"/>
            <w:vAlign w:val="center"/>
          </w:tcPr>
          <w:p w14:paraId="656B1267">
            <w:pPr>
              <w:pStyle w:val="13"/>
            </w:pPr>
            <w:r>
              <w:t>资金支付率</w:t>
            </w:r>
          </w:p>
        </w:tc>
        <w:tc>
          <w:tcPr>
            <w:tcW w:w="5386" w:type="dxa"/>
            <w:vAlign w:val="center"/>
          </w:tcPr>
          <w:p w14:paraId="202D3863">
            <w:pPr>
              <w:pStyle w:val="13"/>
            </w:pPr>
            <w:r>
              <w:t>按照序时进度完成资金支付</w:t>
            </w:r>
          </w:p>
        </w:tc>
        <w:tc>
          <w:tcPr>
            <w:tcW w:w="2268" w:type="dxa"/>
            <w:vAlign w:val="center"/>
          </w:tcPr>
          <w:p w14:paraId="378C6057">
            <w:pPr>
              <w:pStyle w:val="13"/>
            </w:pPr>
            <w:r>
              <w:t>≥100%</w:t>
            </w:r>
          </w:p>
        </w:tc>
        <w:tc>
          <w:tcPr>
            <w:tcW w:w="1276" w:type="dxa"/>
            <w:vAlign w:val="center"/>
          </w:tcPr>
          <w:p w14:paraId="7021E27C">
            <w:pPr>
              <w:pStyle w:val="13"/>
            </w:pPr>
            <w:r>
              <w:t>幼儿园生均公用经费管理办法</w:t>
            </w:r>
          </w:p>
        </w:tc>
      </w:tr>
      <w:tr w14:paraId="48BC5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9CABB"/>
        </w:tc>
        <w:tc>
          <w:tcPr>
            <w:tcW w:w="2268" w:type="dxa"/>
            <w:vAlign w:val="center"/>
          </w:tcPr>
          <w:p w14:paraId="75E1A38D">
            <w:pPr>
              <w:pStyle w:val="13"/>
            </w:pPr>
            <w:r>
              <w:t>成本指标</w:t>
            </w:r>
          </w:p>
        </w:tc>
        <w:tc>
          <w:tcPr>
            <w:tcW w:w="2835" w:type="dxa"/>
            <w:vAlign w:val="center"/>
          </w:tcPr>
          <w:p w14:paraId="40326B44">
            <w:pPr>
              <w:pStyle w:val="13"/>
            </w:pPr>
            <w:r>
              <w:t>生均拨款标准</w:t>
            </w:r>
          </w:p>
        </w:tc>
        <w:tc>
          <w:tcPr>
            <w:tcW w:w="5386" w:type="dxa"/>
            <w:vAlign w:val="center"/>
          </w:tcPr>
          <w:p w14:paraId="3D3BD877">
            <w:pPr>
              <w:pStyle w:val="13"/>
            </w:pPr>
            <w:r>
              <w:t>学前经费600元/生/年</w:t>
            </w:r>
          </w:p>
        </w:tc>
        <w:tc>
          <w:tcPr>
            <w:tcW w:w="2268" w:type="dxa"/>
            <w:vAlign w:val="center"/>
          </w:tcPr>
          <w:p w14:paraId="592F1BD7">
            <w:pPr>
              <w:pStyle w:val="13"/>
            </w:pPr>
            <w:r>
              <w:t>600元</w:t>
            </w:r>
          </w:p>
        </w:tc>
        <w:tc>
          <w:tcPr>
            <w:tcW w:w="1276" w:type="dxa"/>
            <w:vAlign w:val="center"/>
          </w:tcPr>
          <w:p w14:paraId="0323EF96">
            <w:pPr>
              <w:pStyle w:val="13"/>
            </w:pPr>
            <w:r>
              <w:t>幼儿园生均公用经费管理办法</w:t>
            </w:r>
          </w:p>
        </w:tc>
      </w:tr>
      <w:tr w14:paraId="08E6A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65DD1F">
            <w:pPr>
              <w:pStyle w:val="12"/>
            </w:pPr>
            <w:r>
              <w:t>效益指标</w:t>
            </w:r>
          </w:p>
        </w:tc>
        <w:tc>
          <w:tcPr>
            <w:tcW w:w="2268" w:type="dxa"/>
            <w:vAlign w:val="center"/>
          </w:tcPr>
          <w:p w14:paraId="1CB6FCEE">
            <w:pPr>
              <w:pStyle w:val="13"/>
            </w:pPr>
            <w:r>
              <w:t>可持续影响指标</w:t>
            </w:r>
          </w:p>
        </w:tc>
        <w:tc>
          <w:tcPr>
            <w:tcW w:w="2835" w:type="dxa"/>
            <w:vAlign w:val="center"/>
          </w:tcPr>
          <w:p w14:paraId="03FC1A54">
            <w:pPr>
              <w:pStyle w:val="13"/>
            </w:pPr>
            <w:r>
              <w:t>教育发展水平明显好转</w:t>
            </w:r>
          </w:p>
        </w:tc>
        <w:tc>
          <w:tcPr>
            <w:tcW w:w="5386" w:type="dxa"/>
            <w:vAlign w:val="center"/>
          </w:tcPr>
          <w:p w14:paraId="42865315">
            <w:pPr>
              <w:pStyle w:val="13"/>
            </w:pPr>
            <w:r>
              <w:t>学生受教育年限</w:t>
            </w:r>
          </w:p>
        </w:tc>
        <w:tc>
          <w:tcPr>
            <w:tcW w:w="2268" w:type="dxa"/>
            <w:vAlign w:val="center"/>
          </w:tcPr>
          <w:p w14:paraId="604DCAC4">
            <w:pPr>
              <w:pStyle w:val="13"/>
            </w:pPr>
            <w:r>
              <w:t>3年</w:t>
            </w:r>
          </w:p>
        </w:tc>
        <w:tc>
          <w:tcPr>
            <w:tcW w:w="1276" w:type="dxa"/>
            <w:vAlign w:val="center"/>
          </w:tcPr>
          <w:p w14:paraId="2071764E">
            <w:pPr>
              <w:pStyle w:val="13"/>
            </w:pPr>
            <w:r>
              <w:t>幼儿园生均公用经费管理办法</w:t>
            </w:r>
          </w:p>
        </w:tc>
      </w:tr>
      <w:tr w14:paraId="2DB19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AF461A">
            <w:pPr>
              <w:pStyle w:val="12"/>
            </w:pPr>
            <w:r>
              <w:t>满意度指标</w:t>
            </w:r>
          </w:p>
        </w:tc>
        <w:tc>
          <w:tcPr>
            <w:tcW w:w="2268" w:type="dxa"/>
            <w:vAlign w:val="center"/>
          </w:tcPr>
          <w:p w14:paraId="567EFE13">
            <w:pPr>
              <w:pStyle w:val="13"/>
            </w:pPr>
            <w:r>
              <w:t>服务对象满意度指标</w:t>
            </w:r>
          </w:p>
        </w:tc>
        <w:tc>
          <w:tcPr>
            <w:tcW w:w="2835" w:type="dxa"/>
            <w:vAlign w:val="center"/>
          </w:tcPr>
          <w:p w14:paraId="758F120B">
            <w:pPr>
              <w:pStyle w:val="13"/>
            </w:pPr>
            <w:r>
              <w:t>受益学生家长及调查满意度</w:t>
            </w:r>
          </w:p>
        </w:tc>
        <w:tc>
          <w:tcPr>
            <w:tcW w:w="5386" w:type="dxa"/>
            <w:vAlign w:val="center"/>
          </w:tcPr>
          <w:p w14:paraId="6A17DAED">
            <w:pPr>
              <w:pStyle w:val="13"/>
            </w:pPr>
            <w:r>
              <w:t>学生、教师及家长对学校保教保育工作满意度情况</w:t>
            </w:r>
          </w:p>
        </w:tc>
        <w:tc>
          <w:tcPr>
            <w:tcW w:w="2268" w:type="dxa"/>
            <w:vAlign w:val="center"/>
          </w:tcPr>
          <w:p w14:paraId="5CBEEC0F">
            <w:pPr>
              <w:pStyle w:val="13"/>
            </w:pPr>
            <w:r>
              <w:t>≥95%</w:t>
            </w:r>
          </w:p>
        </w:tc>
        <w:tc>
          <w:tcPr>
            <w:tcW w:w="1276" w:type="dxa"/>
            <w:vAlign w:val="center"/>
          </w:tcPr>
          <w:p w14:paraId="1D59C4B3">
            <w:pPr>
              <w:pStyle w:val="13"/>
            </w:pPr>
            <w:r>
              <w:t>调查问卷</w:t>
            </w:r>
          </w:p>
        </w:tc>
      </w:tr>
    </w:tbl>
    <w:p w14:paraId="4B2EB55F">
      <w:pPr>
        <w:sectPr>
          <w:pgSz w:w="16840" w:h="11900" w:orient="landscape"/>
          <w:pgMar w:top="1361" w:right="1020" w:bottom="1134" w:left="1020" w:header="720" w:footer="720" w:gutter="0"/>
          <w:cols w:space="720" w:num="1"/>
        </w:sectPr>
      </w:pPr>
    </w:p>
    <w:p w14:paraId="264F0F17">
      <w:pPr>
        <w:spacing w:before="0" w:after="0"/>
        <w:ind w:firstLine="560"/>
        <w:jc w:val="left"/>
        <w:outlineLvl w:val="9"/>
      </w:pPr>
      <w:r>
        <w:rPr>
          <w:rFonts w:ascii="方正仿宋_GBK" w:hAnsi="方正仿宋_GBK" w:eastAsia="方正仿宋_GBK" w:cs="方正仿宋_GBK"/>
          <w:b/>
          <w:color w:val="000000"/>
          <w:sz w:val="28"/>
        </w:rPr>
        <w:t>68、冀财教[2024]142号/省级/2025年学前发展资金/隆尧县金果果幼儿园学前教育公用经费绩效目标表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D8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5438B">
            <w:pPr>
              <w:pStyle w:val="14"/>
            </w:pPr>
            <w:r>
              <w:t>单位：万元</w:t>
            </w:r>
          </w:p>
        </w:tc>
      </w:tr>
      <w:tr w14:paraId="7C9AA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8729F">
            <w:pPr>
              <w:pStyle w:val="11"/>
            </w:pPr>
            <w:r>
              <w:t>项目编码</w:t>
            </w:r>
          </w:p>
        </w:tc>
        <w:tc>
          <w:tcPr>
            <w:tcW w:w="5103" w:type="dxa"/>
            <w:gridSpan w:val="2"/>
            <w:vAlign w:val="center"/>
          </w:tcPr>
          <w:p w14:paraId="534E6374">
            <w:pPr>
              <w:pStyle w:val="13"/>
            </w:pPr>
            <w:r>
              <w:t>13052525P00875710038G</w:t>
            </w:r>
          </w:p>
        </w:tc>
        <w:tc>
          <w:tcPr>
            <w:tcW w:w="2835" w:type="dxa"/>
            <w:vAlign w:val="center"/>
          </w:tcPr>
          <w:p w14:paraId="352243C4">
            <w:pPr>
              <w:pStyle w:val="11"/>
            </w:pPr>
            <w:r>
              <w:t>项目名称</w:t>
            </w:r>
          </w:p>
        </w:tc>
        <w:tc>
          <w:tcPr>
            <w:tcW w:w="6095" w:type="dxa"/>
            <w:gridSpan w:val="3"/>
            <w:vAlign w:val="center"/>
          </w:tcPr>
          <w:p w14:paraId="4598AF69">
            <w:pPr>
              <w:pStyle w:val="13"/>
            </w:pPr>
            <w:r>
              <w:t>冀财教[2024]142号/省级/2025年学前发展资金/隆尧县金果果幼儿园学前教育公用经费</w:t>
            </w:r>
          </w:p>
        </w:tc>
      </w:tr>
      <w:tr w14:paraId="07AFF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102D7">
            <w:pPr>
              <w:pStyle w:val="11"/>
            </w:pPr>
            <w:r>
              <w:t>预算规模及资金用途</w:t>
            </w:r>
          </w:p>
        </w:tc>
        <w:tc>
          <w:tcPr>
            <w:tcW w:w="2268" w:type="dxa"/>
            <w:vAlign w:val="center"/>
          </w:tcPr>
          <w:p w14:paraId="5835A995">
            <w:pPr>
              <w:pStyle w:val="11"/>
            </w:pPr>
            <w:r>
              <w:t>预算数</w:t>
            </w:r>
          </w:p>
        </w:tc>
        <w:tc>
          <w:tcPr>
            <w:tcW w:w="2835" w:type="dxa"/>
            <w:vAlign w:val="center"/>
          </w:tcPr>
          <w:p w14:paraId="30D26554">
            <w:pPr>
              <w:pStyle w:val="13"/>
            </w:pPr>
            <w:r>
              <w:t>1.95</w:t>
            </w:r>
          </w:p>
        </w:tc>
        <w:tc>
          <w:tcPr>
            <w:tcW w:w="2835" w:type="dxa"/>
            <w:vAlign w:val="center"/>
          </w:tcPr>
          <w:p w14:paraId="1A32BC6A">
            <w:pPr>
              <w:pStyle w:val="11"/>
            </w:pPr>
            <w:r>
              <w:t>其中：财政    资金</w:t>
            </w:r>
          </w:p>
        </w:tc>
        <w:tc>
          <w:tcPr>
            <w:tcW w:w="2551" w:type="dxa"/>
            <w:vAlign w:val="center"/>
          </w:tcPr>
          <w:p w14:paraId="6B5DE9FE">
            <w:pPr>
              <w:pStyle w:val="13"/>
            </w:pPr>
            <w:r>
              <w:t>1.95</w:t>
            </w:r>
          </w:p>
        </w:tc>
        <w:tc>
          <w:tcPr>
            <w:tcW w:w="2268" w:type="dxa"/>
            <w:vAlign w:val="center"/>
          </w:tcPr>
          <w:p w14:paraId="68B22F75">
            <w:pPr>
              <w:pStyle w:val="11"/>
            </w:pPr>
            <w:r>
              <w:t>其他资金</w:t>
            </w:r>
          </w:p>
        </w:tc>
        <w:tc>
          <w:tcPr>
            <w:tcW w:w="1276" w:type="dxa"/>
            <w:vAlign w:val="center"/>
          </w:tcPr>
          <w:p w14:paraId="4F4EEB23">
            <w:pPr>
              <w:pStyle w:val="13"/>
            </w:pPr>
            <w:r>
              <w:t xml:space="preserve"> </w:t>
            </w:r>
          </w:p>
        </w:tc>
      </w:tr>
      <w:tr w14:paraId="4A745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610487"/>
        </w:tc>
        <w:tc>
          <w:tcPr>
            <w:tcW w:w="14033" w:type="dxa"/>
            <w:gridSpan w:val="6"/>
            <w:vAlign w:val="center"/>
          </w:tcPr>
          <w:p w14:paraId="1F1A1E94">
            <w:pPr>
              <w:pStyle w:val="13"/>
            </w:pPr>
            <w:r>
              <w:t>按季度分批次拨付安排公用经费资金，学校按照预算安排进行资金使用，保证资金正常支出。</w:t>
            </w:r>
          </w:p>
        </w:tc>
      </w:tr>
      <w:tr w14:paraId="77D53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9F54A">
            <w:pPr>
              <w:pStyle w:val="11"/>
            </w:pPr>
            <w:r>
              <w:t>资金支出计划（%）</w:t>
            </w:r>
          </w:p>
        </w:tc>
        <w:tc>
          <w:tcPr>
            <w:tcW w:w="5103" w:type="dxa"/>
            <w:gridSpan w:val="2"/>
            <w:vAlign w:val="center"/>
          </w:tcPr>
          <w:p w14:paraId="4836FE95">
            <w:pPr>
              <w:pStyle w:val="11"/>
            </w:pPr>
            <w:r>
              <w:t>3月底</w:t>
            </w:r>
          </w:p>
        </w:tc>
        <w:tc>
          <w:tcPr>
            <w:tcW w:w="2835" w:type="dxa"/>
            <w:vAlign w:val="center"/>
          </w:tcPr>
          <w:p w14:paraId="23C37D61">
            <w:pPr>
              <w:pStyle w:val="11"/>
            </w:pPr>
            <w:r>
              <w:t>6月底</w:t>
            </w:r>
          </w:p>
        </w:tc>
        <w:tc>
          <w:tcPr>
            <w:tcW w:w="2551" w:type="dxa"/>
            <w:vAlign w:val="center"/>
          </w:tcPr>
          <w:p w14:paraId="7D0E7CED">
            <w:pPr>
              <w:pStyle w:val="11"/>
            </w:pPr>
            <w:r>
              <w:t>10月底</w:t>
            </w:r>
          </w:p>
        </w:tc>
        <w:tc>
          <w:tcPr>
            <w:tcW w:w="3544" w:type="dxa"/>
            <w:gridSpan w:val="2"/>
            <w:vAlign w:val="center"/>
          </w:tcPr>
          <w:p w14:paraId="53825178">
            <w:pPr>
              <w:pStyle w:val="11"/>
            </w:pPr>
            <w:r>
              <w:t>12月底</w:t>
            </w:r>
          </w:p>
        </w:tc>
      </w:tr>
      <w:tr w14:paraId="15686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C989D"/>
        </w:tc>
        <w:tc>
          <w:tcPr>
            <w:tcW w:w="5103" w:type="dxa"/>
            <w:gridSpan w:val="2"/>
            <w:vAlign w:val="center"/>
          </w:tcPr>
          <w:p w14:paraId="0D304233">
            <w:pPr>
              <w:pStyle w:val="12"/>
            </w:pPr>
            <w:r>
              <w:t xml:space="preserve"> </w:t>
            </w:r>
          </w:p>
        </w:tc>
        <w:tc>
          <w:tcPr>
            <w:tcW w:w="2835" w:type="dxa"/>
            <w:vAlign w:val="center"/>
          </w:tcPr>
          <w:p w14:paraId="61199B38">
            <w:pPr>
              <w:pStyle w:val="12"/>
            </w:pPr>
            <w:r>
              <w:t>50%</w:t>
            </w:r>
          </w:p>
        </w:tc>
        <w:tc>
          <w:tcPr>
            <w:tcW w:w="2551" w:type="dxa"/>
            <w:vAlign w:val="center"/>
          </w:tcPr>
          <w:p w14:paraId="3088D64F">
            <w:pPr>
              <w:pStyle w:val="12"/>
            </w:pPr>
            <w:r>
              <w:t>75%</w:t>
            </w:r>
          </w:p>
        </w:tc>
        <w:tc>
          <w:tcPr>
            <w:tcW w:w="3544" w:type="dxa"/>
            <w:gridSpan w:val="2"/>
            <w:vAlign w:val="center"/>
          </w:tcPr>
          <w:p w14:paraId="1913F983">
            <w:pPr>
              <w:pStyle w:val="12"/>
            </w:pPr>
            <w:r>
              <w:t>100%</w:t>
            </w:r>
          </w:p>
        </w:tc>
      </w:tr>
      <w:tr w14:paraId="2D2F3A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EF259">
            <w:pPr>
              <w:pStyle w:val="11"/>
            </w:pPr>
            <w:r>
              <w:t>绩效目标</w:t>
            </w:r>
          </w:p>
        </w:tc>
        <w:tc>
          <w:tcPr>
            <w:tcW w:w="14033" w:type="dxa"/>
            <w:gridSpan w:val="6"/>
            <w:vAlign w:val="center"/>
          </w:tcPr>
          <w:p w14:paraId="3279E120">
            <w:pPr>
              <w:pStyle w:val="13"/>
            </w:pPr>
            <w:r>
              <w:t>1.按季度分批次拨付安排公用经费资金，学校按照预算安排进行资金使用，保证资金正常支出。</w:t>
            </w:r>
            <w:r>
              <w:tab/>
            </w:r>
          </w:p>
        </w:tc>
      </w:tr>
    </w:tbl>
    <w:p w14:paraId="42912A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F0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21797">
            <w:pPr>
              <w:pStyle w:val="11"/>
            </w:pPr>
            <w:r>
              <w:t>一级指标</w:t>
            </w:r>
          </w:p>
        </w:tc>
        <w:tc>
          <w:tcPr>
            <w:tcW w:w="2268" w:type="dxa"/>
            <w:vAlign w:val="center"/>
          </w:tcPr>
          <w:p w14:paraId="53697EB0">
            <w:pPr>
              <w:pStyle w:val="11"/>
            </w:pPr>
            <w:r>
              <w:t>二级指标</w:t>
            </w:r>
          </w:p>
        </w:tc>
        <w:tc>
          <w:tcPr>
            <w:tcW w:w="2835" w:type="dxa"/>
            <w:vAlign w:val="center"/>
          </w:tcPr>
          <w:p w14:paraId="4F6166D2">
            <w:pPr>
              <w:pStyle w:val="11"/>
            </w:pPr>
            <w:r>
              <w:t>三级指标</w:t>
            </w:r>
          </w:p>
        </w:tc>
        <w:tc>
          <w:tcPr>
            <w:tcW w:w="5386" w:type="dxa"/>
            <w:vAlign w:val="center"/>
          </w:tcPr>
          <w:p w14:paraId="67B68216">
            <w:pPr>
              <w:pStyle w:val="11"/>
            </w:pPr>
            <w:r>
              <w:t>绩效指标描述</w:t>
            </w:r>
          </w:p>
        </w:tc>
        <w:tc>
          <w:tcPr>
            <w:tcW w:w="2268" w:type="dxa"/>
            <w:vAlign w:val="center"/>
          </w:tcPr>
          <w:p w14:paraId="7DD2A679">
            <w:pPr>
              <w:pStyle w:val="11"/>
            </w:pPr>
            <w:r>
              <w:t>指标值</w:t>
            </w:r>
          </w:p>
        </w:tc>
        <w:tc>
          <w:tcPr>
            <w:tcW w:w="1276" w:type="dxa"/>
            <w:vAlign w:val="center"/>
          </w:tcPr>
          <w:p w14:paraId="600AEDE9">
            <w:pPr>
              <w:pStyle w:val="11"/>
            </w:pPr>
            <w:r>
              <w:t>指标值确定依据</w:t>
            </w:r>
          </w:p>
        </w:tc>
      </w:tr>
      <w:tr w14:paraId="014B1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8E72A">
            <w:pPr>
              <w:pStyle w:val="12"/>
            </w:pPr>
            <w:r>
              <w:t>产出指标</w:t>
            </w:r>
          </w:p>
        </w:tc>
        <w:tc>
          <w:tcPr>
            <w:tcW w:w="2268" w:type="dxa"/>
            <w:vAlign w:val="center"/>
          </w:tcPr>
          <w:p w14:paraId="04E977B7">
            <w:pPr>
              <w:pStyle w:val="13"/>
            </w:pPr>
            <w:r>
              <w:t>数量指标</w:t>
            </w:r>
          </w:p>
        </w:tc>
        <w:tc>
          <w:tcPr>
            <w:tcW w:w="2835" w:type="dxa"/>
            <w:vAlign w:val="center"/>
          </w:tcPr>
          <w:p w14:paraId="4BDBDC62">
            <w:pPr>
              <w:pStyle w:val="13"/>
            </w:pPr>
            <w:r>
              <w:t>适龄在校生</w:t>
            </w:r>
          </w:p>
        </w:tc>
        <w:tc>
          <w:tcPr>
            <w:tcW w:w="5386" w:type="dxa"/>
            <w:vAlign w:val="center"/>
          </w:tcPr>
          <w:p w14:paraId="63C81B28">
            <w:pPr>
              <w:pStyle w:val="13"/>
            </w:pPr>
            <w:r>
              <w:t>辖区内适龄儿童全覆盖</w:t>
            </w:r>
          </w:p>
        </w:tc>
        <w:tc>
          <w:tcPr>
            <w:tcW w:w="2268" w:type="dxa"/>
            <w:vAlign w:val="center"/>
          </w:tcPr>
          <w:p w14:paraId="7334EB67">
            <w:pPr>
              <w:pStyle w:val="13"/>
            </w:pPr>
            <w:r>
              <w:t>130人</w:t>
            </w:r>
          </w:p>
        </w:tc>
        <w:tc>
          <w:tcPr>
            <w:tcW w:w="1276" w:type="dxa"/>
            <w:vAlign w:val="center"/>
          </w:tcPr>
          <w:p w14:paraId="5E8004C4">
            <w:pPr>
              <w:pStyle w:val="13"/>
            </w:pPr>
            <w:r>
              <w:t>幼儿园生均公用经费管理办法</w:t>
            </w:r>
          </w:p>
        </w:tc>
      </w:tr>
      <w:tr w14:paraId="2B4D9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BB6FD"/>
        </w:tc>
        <w:tc>
          <w:tcPr>
            <w:tcW w:w="2268" w:type="dxa"/>
            <w:vAlign w:val="center"/>
          </w:tcPr>
          <w:p w14:paraId="487834F3">
            <w:pPr>
              <w:pStyle w:val="13"/>
            </w:pPr>
            <w:r>
              <w:t>质量指标</w:t>
            </w:r>
          </w:p>
        </w:tc>
        <w:tc>
          <w:tcPr>
            <w:tcW w:w="2835" w:type="dxa"/>
            <w:vAlign w:val="center"/>
          </w:tcPr>
          <w:p w14:paraId="553F9EC4">
            <w:pPr>
              <w:pStyle w:val="13"/>
            </w:pPr>
            <w:r>
              <w:t>预算控制率</w:t>
            </w:r>
          </w:p>
        </w:tc>
        <w:tc>
          <w:tcPr>
            <w:tcW w:w="5386" w:type="dxa"/>
            <w:vAlign w:val="center"/>
          </w:tcPr>
          <w:p w14:paraId="1EAA2F8F">
            <w:pPr>
              <w:pStyle w:val="13"/>
            </w:pPr>
            <w:r>
              <w:t>预算执行</w:t>
            </w:r>
          </w:p>
        </w:tc>
        <w:tc>
          <w:tcPr>
            <w:tcW w:w="2268" w:type="dxa"/>
            <w:vAlign w:val="center"/>
          </w:tcPr>
          <w:p w14:paraId="0551A800">
            <w:pPr>
              <w:pStyle w:val="13"/>
            </w:pPr>
            <w:r>
              <w:t>≥95%</w:t>
            </w:r>
          </w:p>
        </w:tc>
        <w:tc>
          <w:tcPr>
            <w:tcW w:w="1276" w:type="dxa"/>
            <w:vAlign w:val="center"/>
          </w:tcPr>
          <w:p w14:paraId="3A2BE6EC">
            <w:pPr>
              <w:pStyle w:val="13"/>
            </w:pPr>
            <w:r>
              <w:t>幼儿园生均公用经费管理办法</w:t>
            </w:r>
          </w:p>
        </w:tc>
      </w:tr>
      <w:tr w14:paraId="21991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CCA80"/>
        </w:tc>
        <w:tc>
          <w:tcPr>
            <w:tcW w:w="2268" w:type="dxa"/>
            <w:vAlign w:val="center"/>
          </w:tcPr>
          <w:p w14:paraId="1FA3BA78">
            <w:pPr>
              <w:pStyle w:val="13"/>
            </w:pPr>
            <w:r>
              <w:t>时效指标</w:t>
            </w:r>
          </w:p>
        </w:tc>
        <w:tc>
          <w:tcPr>
            <w:tcW w:w="2835" w:type="dxa"/>
            <w:vAlign w:val="center"/>
          </w:tcPr>
          <w:p w14:paraId="70599FB6">
            <w:pPr>
              <w:pStyle w:val="13"/>
            </w:pPr>
            <w:r>
              <w:t>资金支付率</w:t>
            </w:r>
          </w:p>
        </w:tc>
        <w:tc>
          <w:tcPr>
            <w:tcW w:w="5386" w:type="dxa"/>
            <w:vAlign w:val="center"/>
          </w:tcPr>
          <w:p w14:paraId="35A7F1EA">
            <w:pPr>
              <w:pStyle w:val="13"/>
            </w:pPr>
            <w:r>
              <w:t>按照序时进度完成资金支付</w:t>
            </w:r>
          </w:p>
        </w:tc>
        <w:tc>
          <w:tcPr>
            <w:tcW w:w="2268" w:type="dxa"/>
            <w:vAlign w:val="center"/>
          </w:tcPr>
          <w:p w14:paraId="4659B039">
            <w:pPr>
              <w:pStyle w:val="13"/>
            </w:pPr>
            <w:r>
              <w:t>≥100%</w:t>
            </w:r>
          </w:p>
        </w:tc>
        <w:tc>
          <w:tcPr>
            <w:tcW w:w="1276" w:type="dxa"/>
            <w:vAlign w:val="center"/>
          </w:tcPr>
          <w:p w14:paraId="4EC1BE7B">
            <w:pPr>
              <w:pStyle w:val="13"/>
            </w:pPr>
            <w:r>
              <w:t>幼儿园生均公用经费管理办法</w:t>
            </w:r>
          </w:p>
        </w:tc>
      </w:tr>
      <w:tr w14:paraId="567B6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13FF1"/>
        </w:tc>
        <w:tc>
          <w:tcPr>
            <w:tcW w:w="2268" w:type="dxa"/>
            <w:vAlign w:val="center"/>
          </w:tcPr>
          <w:p w14:paraId="05C6BAC2">
            <w:pPr>
              <w:pStyle w:val="13"/>
            </w:pPr>
            <w:r>
              <w:t>成本指标</w:t>
            </w:r>
          </w:p>
        </w:tc>
        <w:tc>
          <w:tcPr>
            <w:tcW w:w="2835" w:type="dxa"/>
            <w:vAlign w:val="center"/>
          </w:tcPr>
          <w:p w14:paraId="31DF8DEE">
            <w:pPr>
              <w:pStyle w:val="13"/>
            </w:pPr>
            <w:r>
              <w:t>生均拨款标准</w:t>
            </w:r>
          </w:p>
        </w:tc>
        <w:tc>
          <w:tcPr>
            <w:tcW w:w="5386" w:type="dxa"/>
            <w:vAlign w:val="center"/>
          </w:tcPr>
          <w:p w14:paraId="051F9A65">
            <w:pPr>
              <w:pStyle w:val="13"/>
            </w:pPr>
            <w:r>
              <w:t>学前经费600元/生/年</w:t>
            </w:r>
          </w:p>
        </w:tc>
        <w:tc>
          <w:tcPr>
            <w:tcW w:w="2268" w:type="dxa"/>
            <w:vAlign w:val="center"/>
          </w:tcPr>
          <w:p w14:paraId="396C4BE1">
            <w:pPr>
              <w:pStyle w:val="13"/>
            </w:pPr>
            <w:r>
              <w:t>600元</w:t>
            </w:r>
          </w:p>
        </w:tc>
        <w:tc>
          <w:tcPr>
            <w:tcW w:w="1276" w:type="dxa"/>
            <w:vAlign w:val="center"/>
          </w:tcPr>
          <w:p w14:paraId="2B4FA32A">
            <w:pPr>
              <w:pStyle w:val="13"/>
            </w:pPr>
            <w:r>
              <w:t>幼儿园生均公用经费管理办法</w:t>
            </w:r>
          </w:p>
        </w:tc>
      </w:tr>
      <w:tr w14:paraId="308BF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535F2A">
            <w:pPr>
              <w:pStyle w:val="12"/>
            </w:pPr>
            <w:r>
              <w:t>效益指标</w:t>
            </w:r>
          </w:p>
        </w:tc>
        <w:tc>
          <w:tcPr>
            <w:tcW w:w="2268" w:type="dxa"/>
            <w:vAlign w:val="center"/>
          </w:tcPr>
          <w:p w14:paraId="1229D530">
            <w:pPr>
              <w:pStyle w:val="13"/>
            </w:pPr>
            <w:r>
              <w:t>可持续影响指标</w:t>
            </w:r>
          </w:p>
        </w:tc>
        <w:tc>
          <w:tcPr>
            <w:tcW w:w="2835" w:type="dxa"/>
            <w:vAlign w:val="center"/>
          </w:tcPr>
          <w:p w14:paraId="226C6DB5">
            <w:pPr>
              <w:pStyle w:val="13"/>
            </w:pPr>
            <w:r>
              <w:t>教育发展水平明显好转</w:t>
            </w:r>
          </w:p>
        </w:tc>
        <w:tc>
          <w:tcPr>
            <w:tcW w:w="5386" w:type="dxa"/>
            <w:vAlign w:val="center"/>
          </w:tcPr>
          <w:p w14:paraId="7845ADFD">
            <w:pPr>
              <w:pStyle w:val="13"/>
            </w:pPr>
            <w:r>
              <w:t>学生受教育年限</w:t>
            </w:r>
          </w:p>
        </w:tc>
        <w:tc>
          <w:tcPr>
            <w:tcW w:w="2268" w:type="dxa"/>
            <w:vAlign w:val="center"/>
          </w:tcPr>
          <w:p w14:paraId="2EE941C7">
            <w:pPr>
              <w:pStyle w:val="13"/>
            </w:pPr>
            <w:r>
              <w:t>3年</w:t>
            </w:r>
          </w:p>
        </w:tc>
        <w:tc>
          <w:tcPr>
            <w:tcW w:w="1276" w:type="dxa"/>
            <w:vAlign w:val="center"/>
          </w:tcPr>
          <w:p w14:paraId="7668ABEF">
            <w:pPr>
              <w:pStyle w:val="13"/>
            </w:pPr>
            <w:r>
              <w:t>幼儿园生均公用经费管理办法</w:t>
            </w:r>
          </w:p>
        </w:tc>
      </w:tr>
      <w:tr w14:paraId="20F52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2E4891">
            <w:pPr>
              <w:pStyle w:val="12"/>
            </w:pPr>
            <w:r>
              <w:t>满意度指标</w:t>
            </w:r>
          </w:p>
        </w:tc>
        <w:tc>
          <w:tcPr>
            <w:tcW w:w="2268" w:type="dxa"/>
            <w:vAlign w:val="center"/>
          </w:tcPr>
          <w:p w14:paraId="5BDF8984">
            <w:pPr>
              <w:pStyle w:val="13"/>
            </w:pPr>
            <w:r>
              <w:t>服务对象满意度指标</w:t>
            </w:r>
          </w:p>
        </w:tc>
        <w:tc>
          <w:tcPr>
            <w:tcW w:w="2835" w:type="dxa"/>
            <w:vAlign w:val="center"/>
          </w:tcPr>
          <w:p w14:paraId="00A70BD4">
            <w:pPr>
              <w:pStyle w:val="13"/>
            </w:pPr>
            <w:r>
              <w:t>受益学生家长及调查满意度</w:t>
            </w:r>
          </w:p>
        </w:tc>
        <w:tc>
          <w:tcPr>
            <w:tcW w:w="5386" w:type="dxa"/>
            <w:vAlign w:val="center"/>
          </w:tcPr>
          <w:p w14:paraId="1D4379BC">
            <w:pPr>
              <w:pStyle w:val="13"/>
            </w:pPr>
            <w:r>
              <w:t>学生、教师及家长对学校保教保育工作满意度情况</w:t>
            </w:r>
          </w:p>
        </w:tc>
        <w:tc>
          <w:tcPr>
            <w:tcW w:w="2268" w:type="dxa"/>
            <w:vAlign w:val="center"/>
          </w:tcPr>
          <w:p w14:paraId="6451A850">
            <w:pPr>
              <w:pStyle w:val="13"/>
            </w:pPr>
            <w:r>
              <w:t>≥95%</w:t>
            </w:r>
          </w:p>
        </w:tc>
        <w:tc>
          <w:tcPr>
            <w:tcW w:w="1276" w:type="dxa"/>
            <w:vAlign w:val="center"/>
          </w:tcPr>
          <w:p w14:paraId="06813584">
            <w:pPr>
              <w:pStyle w:val="13"/>
            </w:pPr>
            <w:r>
              <w:t>调查问卷</w:t>
            </w:r>
          </w:p>
        </w:tc>
      </w:tr>
    </w:tbl>
    <w:p w14:paraId="07654541">
      <w:pPr>
        <w:sectPr>
          <w:pgSz w:w="16840" w:h="11900" w:orient="landscape"/>
          <w:pgMar w:top="1361" w:right="1020" w:bottom="1134" w:left="1020" w:header="720" w:footer="720" w:gutter="0"/>
          <w:cols w:space="720" w:num="1"/>
        </w:sectPr>
      </w:pPr>
    </w:p>
    <w:p w14:paraId="418E2215">
      <w:pPr>
        <w:spacing w:before="0" w:after="0"/>
        <w:ind w:firstLine="560"/>
        <w:jc w:val="left"/>
        <w:outlineLvl w:val="9"/>
      </w:pPr>
      <w:r>
        <w:rPr>
          <w:rFonts w:ascii="方正仿宋_GBK" w:hAnsi="方正仿宋_GBK" w:eastAsia="方正仿宋_GBK" w:cs="方正仿宋_GBK"/>
          <w:b/>
          <w:color w:val="000000"/>
          <w:sz w:val="28"/>
        </w:rPr>
        <w:t>69、冀财教[2024]142号/省级/2025年学前发展资金/隆尧县金色摇篮幼儿园学前教育公用经费绩效目标表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A9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74250">
            <w:pPr>
              <w:pStyle w:val="14"/>
            </w:pPr>
            <w:r>
              <w:t>单位：万元</w:t>
            </w:r>
          </w:p>
        </w:tc>
      </w:tr>
      <w:tr w14:paraId="5FD6D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58B19">
            <w:pPr>
              <w:pStyle w:val="11"/>
            </w:pPr>
            <w:r>
              <w:t>项目编码</w:t>
            </w:r>
          </w:p>
        </w:tc>
        <w:tc>
          <w:tcPr>
            <w:tcW w:w="5103" w:type="dxa"/>
            <w:gridSpan w:val="2"/>
            <w:vAlign w:val="center"/>
          </w:tcPr>
          <w:p w14:paraId="621D94EA">
            <w:pPr>
              <w:pStyle w:val="13"/>
            </w:pPr>
            <w:r>
              <w:t>13052525P00875710020P</w:t>
            </w:r>
          </w:p>
        </w:tc>
        <w:tc>
          <w:tcPr>
            <w:tcW w:w="2835" w:type="dxa"/>
            <w:vAlign w:val="center"/>
          </w:tcPr>
          <w:p w14:paraId="0E309B0A">
            <w:pPr>
              <w:pStyle w:val="11"/>
            </w:pPr>
            <w:r>
              <w:t>项目名称</w:t>
            </w:r>
          </w:p>
        </w:tc>
        <w:tc>
          <w:tcPr>
            <w:tcW w:w="6095" w:type="dxa"/>
            <w:gridSpan w:val="3"/>
            <w:vAlign w:val="center"/>
          </w:tcPr>
          <w:p w14:paraId="7B5D24D9">
            <w:pPr>
              <w:pStyle w:val="13"/>
            </w:pPr>
            <w:r>
              <w:t>冀财教[2024]142号/省级/2025年学前发展资金/隆尧县金色摇篮幼儿园学前教育公用经费</w:t>
            </w:r>
          </w:p>
        </w:tc>
      </w:tr>
      <w:tr w14:paraId="706DE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361D1">
            <w:pPr>
              <w:pStyle w:val="11"/>
            </w:pPr>
            <w:r>
              <w:t>预算规模及资金用途</w:t>
            </w:r>
          </w:p>
        </w:tc>
        <w:tc>
          <w:tcPr>
            <w:tcW w:w="2268" w:type="dxa"/>
            <w:vAlign w:val="center"/>
          </w:tcPr>
          <w:p w14:paraId="26DBF0E0">
            <w:pPr>
              <w:pStyle w:val="11"/>
            </w:pPr>
            <w:r>
              <w:t>预算数</w:t>
            </w:r>
          </w:p>
        </w:tc>
        <w:tc>
          <w:tcPr>
            <w:tcW w:w="2835" w:type="dxa"/>
            <w:vAlign w:val="center"/>
          </w:tcPr>
          <w:p w14:paraId="2C323F9E">
            <w:pPr>
              <w:pStyle w:val="13"/>
            </w:pPr>
            <w:r>
              <w:t>1.14</w:t>
            </w:r>
          </w:p>
        </w:tc>
        <w:tc>
          <w:tcPr>
            <w:tcW w:w="2835" w:type="dxa"/>
            <w:vAlign w:val="center"/>
          </w:tcPr>
          <w:p w14:paraId="77CEFC5A">
            <w:pPr>
              <w:pStyle w:val="11"/>
            </w:pPr>
            <w:r>
              <w:t>其中：财政    资金</w:t>
            </w:r>
          </w:p>
        </w:tc>
        <w:tc>
          <w:tcPr>
            <w:tcW w:w="2551" w:type="dxa"/>
            <w:vAlign w:val="center"/>
          </w:tcPr>
          <w:p w14:paraId="0C38A34D">
            <w:pPr>
              <w:pStyle w:val="13"/>
            </w:pPr>
            <w:r>
              <w:t>1.14</w:t>
            </w:r>
          </w:p>
        </w:tc>
        <w:tc>
          <w:tcPr>
            <w:tcW w:w="2268" w:type="dxa"/>
            <w:vAlign w:val="center"/>
          </w:tcPr>
          <w:p w14:paraId="0DBC1398">
            <w:pPr>
              <w:pStyle w:val="11"/>
            </w:pPr>
            <w:r>
              <w:t>其他资金</w:t>
            </w:r>
          </w:p>
        </w:tc>
        <w:tc>
          <w:tcPr>
            <w:tcW w:w="1276" w:type="dxa"/>
            <w:vAlign w:val="center"/>
          </w:tcPr>
          <w:p w14:paraId="383112B8">
            <w:pPr>
              <w:pStyle w:val="13"/>
            </w:pPr>
            <w:r>
              <w:t xml:space="preserve"> </w:t>
            </w:r>
          </w:p>
        </w:tc>
      </w:tr>
      <w:tr w14:paraId="776B0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4DA0D2"/>
        </w:tc>
        <w:tc>
          <w:tcPr>
            <w:tcW w:w="14033" w:type="dxa"/>
            <w:gridSpan w:val="6"/>
            <w:vAlign w:val="center"/>
          </w:tcPr>
          <w:p w14:paraId="0A9021F2">
            <w:pPr>
              <w:pStyle w:val="13"/>
            </w:pPr>
            <w:r>
              <w:t>按季度分批次拨付安排公用经费资金，学校按照预算安排进行资金使用，保证资金正常支出。</w:t>
            </w:r>
          </w:p>
        </w:tc>
      </w:tr>
      <w:tr w14:paraId="45500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1F147474">
            <w:pPr>
              <w:pStyle w:val="11"/>
            </w:pPr>
            <w:r>
              <w:t>资金支出计划（%）</w:t>
            </w:r>
          </w:p>
        </w:tc>
        <w:tc>
          <w:tcPr>
            <w:tcW w:w="5103" w:type="dxa"/>
            <w:gridSpan w:val="2"/>
            <w:vAlign w:val="center"/>
          </w:tcPr>
          <w:p w14:paraId="5DEA0858">
            <w:pPr>
              <w:pStyle w:val="11"/>
            </w:pPr>
            <w:r>
              <w:t>3月底</w:t>
            </w:r>
          </w:p>
        </w:tc>
        <w:tc>
          <w:tcPr>
            <w:tcW w:w="2835" w:type="dxa"/>
            <w:vAlign w:val="center"/>
          </w:tcPr>
          <w:p w14:paraId="0B759676">
            <w:pPr>
              <w:pStyle w:val="11"/>
            </w:pPr>
            <w:r>
              <w:t>6月底</w:t>
            </w:r>
          </w:p>
        </w:tc>
        <w:tc>
          <w:tcPr>
            <w:tcW w:w="2551" w:type="dxa"/>
            <w:vAlign w:val="center"/>
          </w:tcPr>
          <w:p w14:paraId="446900DD">
            <w:pPr>
              <w:pStyle w:val="11"/>
            </w:pPr>
            <w:r>
              <w:t>10月底</w:t>
            </w:r>
          </w:p>
        </w:tc>
        <w:tc>
          <w:tcPr>
            <w:tcW w:w="3544" w:type="dxa"/>
            <w:gridSpan w:val="2"/>
            <w:vAlign w:val="center"/>
          </w:tcPr>
          <w:p w14:paraId="096A639D">
            <w:pPr>
              <w:pStyle w:val="11"/>
            </w:pPr>
            <w:r>
              <w:t>12月底</w:t>
            </w:r>
          </w:p>
        </w:tc>
      </w:tr>
      <w:tr w14:paraId="16264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672C50C8"/>
        </w:tc>
        <w:tc>
          <w:tcPr>
            <w:tcW w:w="5103" w:type="dxa"/>
            <w:gridSpan w:val="2"/>
            <w:vAlign w:val="center"/>
          </w:tcPr>
          <w:p w14:paraId="124C611E">
            <w:pPr>
              <w:pStyle w:val="12"/>
            </w:pPr>
            <w:r>
              <w:t xml:space="preserve"> </w:t>
            </w:r>
          </w:p>
        </w:tc>
        <w:tc>
          <w:tcPr>
            <w:tcW w:w="2835" w:type="dxa"/>
            <w:vAlign w:val="center"/>
          </w:tcPr>
          <w:p w14:paraId="2B68C0DF">
            <w:pPr>
              <w:pStyle w:val="12"/>
            </w:pPr>
            <w:r>
              <w:t>50%</w:t>
            </w:r>
          </w:p>
        </w:tc>
        <w:tc>
          <w:tcPr>
            <w:tcW w:w="2551" w:type="dxa"/>
            <w:vAlign w:val="center"/>
          </w:tcPr>
          <w:p w14:paraId="3E87B61E">
            <w:pPr>
              <w:pStyle w:val="12"/>
            </w:pPr>
            <w:r>
              <w:t>75%</w:t>
            </w:r>
          </w:p>
        </w:tc>
        <w:tc>
          <w:tcPr>
            <w:tcW w:w="3544" w:type="dxa"/>
            <w:gridSpan w:val="2"/>
            <w:vAlign w:val="center"/>
          </w:tcPr>
          <w:p w14:paraId="58E20118">
            <w:pPr>
              <w:pStyle w:val="12"/>
            </w:pPr>
            <w:r>
              <w:t>100%</w:t>
            </w:r>
          </w:p>
        </w:tc>
      </w:tr>
      <w:tr w14:paraId="66F07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C92BA4">
            <w:pPr>
              <w:pStyle w:val="11"/>
            </w:pPr>
            <w:r>
              <w:t>绩效目标</w:t>
            </w:r>
          </w:p>
        </w:tc>
        <w:tc>
          <w:tcPr>
            <w:tcW w:w="14033" w:type="dxa"/>
            <w:gridSpan w:val="6"/>
            <w:vAlign w:val="center"/>
          </w:tcPr>
          <w:p w14:paraId="7A330179">
            <w:pPr>
              <w:pStyle w:val="13"/>
            </w:pPr>
            <w:r>
              <w:t>1.按季度分批次拨付安排公用经费资金，学校按照预算安排进行资金使用，保证资金正常支出。</w:t>
            </w:r>
          </w:p>
        </w:tc>
      </w:tr>
    </w:tbl>
    <w:p w14:paraId="6E182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8B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1AA2A">
            <w:pPr>
              <w:pStyle w:val="11"/>
            </w:pPr>
            <w:r>
              <w:t>一级指标</w:t>
            </w:r>
          </w:p>
        </w:tc>
        <w:tc>
          <w:tcPr>
            <w:tcW w:w="2268" w:type="dxa"/>
            <w:vAlign w:val="center"/>
          </w:tcPr>
          <w:p w14:paraId="2C69CCDD">
            <w:pPr>
              <w:pStyle w:val="11"/>
            </w:pPr>
            <w:r>
              <w:t>二级指标</w:t>
            </w:r>
          </w:p>
        </w:tc>
        <w:tc>
          <w:tcPr>
            <w:tcW w:w="2835" w:type="dxa"/>
            <w:vAlign w:val="center"/>
          </w:tcPr>
          <w:p w14:paraId="563A8522">
            <w:pPr>
              <w:pStyle w:val="11"/>
            </w:pPr>
            <w:r>
              <w:t>三级指标</w:t>
            </w:r>
          </w:p>
        </w:tc>
        <w:tc>
          <w:tcPr>
            <w:tcW w:w="5386" w:type="dxa"/>
            <w:vAlign w:val="center"/>
          </w:tcPr>
          <w:p w14:paraId="29DA9462">
            <w:pPr>
              <w:pStyle w:val="11"/>
            </w:pPr>
            <w:r>
              <w:t>绩效指标描述</w:t>
            </w:r>
          </w:p>
        </w:tc>
        <w:tc>
          <w:tcPr>
            <w:tcW w:w="2268" w:type="dxa"/>
            <w:vAlign w:val="center"/>
          </w:tcPr>
          <w:p w14:paraId="2E749D00">
            <w:pPr>
              <w:pStyle w:val="11"/>
            </w:pPr>
            <w:r>
              <w:t>指标值</w:t>
            </w:r>
          </w:p>
        </w:tc>
        <w:tc>
          <w:tcPr>
            <w:tcW w:w="1276" w:type="dxa"/>
            <w:vAlign w:val="center"/>
          </w:tcPr>
          <w:p w14:paraId="664600C6">
            <w:pPr>
              <w:pStyle w:val="11"/>
            </w:pPr>
            <w:r>
              <w:t>指标值确定依据</w:t>
            </w:r>
          </w:p>
        </w:tc>
      </w:tr>
      <w:tr w14:paraId="2D842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F23E0">
            <w:pPr>
              <w:pStyle w:val="12"/>
            </w:pPr>
            <w:r>
              <w:t>产出指标</w:t>
            </w:r>
          </w:p>
        </w:tc>
        <w:tc>
          <w:tcPr>
            <w:tcW w:w="2268" w:type="dxa"/>
            <w:vAlign w:val="center"/>
          </w:tcPr>
          <w:p w14:paraId="70CC2653">
            <w:pPr>
              <w:pStyle w:val="13"/>
            </w:pPr>
            <w:r>
              <w:t>数量指标</w:t>
            </w:r>
          </w:p>
        </w:tc>
        <w:tc>
          <w:tcPr>
            <w:tcW w:w="2835" w:type="dxa"/>
            <w:vAlign w:val="center"/>
          </w:tcPr>
          <w:p w14:paraId="3684DBA5">
            <w:pPr>
              <w:pStyle w:val="13"/>
            </w:pPr>
            <w:r>
              <w:t>适龄在校生</w:t>
            </w:r>
          </w:p>
        </w:tc>
        <w:tc>
          <w:tcPr>
            <w:tcW w:w="5386" w:type="dxa"/>
            <w:vAlign w:val="center"/>
          </w:tcPr>
          <w:p w14:paraId="0ADBE5B3">
            <w:pPr>
              <w:pStyle w:val="13"/>
            </w:pPr>
            <w:r>
              <w:t>辖区内适龄儿童全覆盖</w:t>
            </w:r>
          </w:p>
        </w:tc>
        <w:tc>
          <w:tcPr>
            <w:tcW w:w="2268" w:type="dxa"/>
            <w:vAlign w:val="center"/>
          </w:tcPr>
          <w:p w14:paraId="62AD5017">
            <w:pPr>
              <w:pStyle w:val="13"/>
            </w:pPr>
            <w:r>
              <w:t>76人</w:t>
            </w:r>
          </w:p>
        </w:tc>
        <w:tc>
          <w:tcPr>
            <w:tcW w:w="1276" w:type="dxa"/>
            <w:vAlign w:val="center"/>
          </w:tcPr>
          <w:p w14:paraId="33C0787B">
            <w:pPr>
              <w:pStyle w:val="13"/>
            </w:pPr>
            <w:r>
              <w:t>幼儿园生均公用经费管理办法</w:t>
            </w:r>
          </w:p>
        </w:tc>
      </w:tr>
      <w:tr w14:paraId="405C9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3D613"/>
        </w:tc>
        <w:tc>
          <w:tcPr>
            <w:tcW w:w="2268" w:type="dxa"/>
            <w:vAlign w:val="center"/>
          </w:tcPr>
          <w:p w14:paraId="4D779559">
            <w:pPr>
              <w:pStyle w:val="13"/>
            </w:pPr>
            <w:r>
              <w:t>质量指标</w:t>
            </w:r>
          </w:p>
        </w:tc>
        <w:tc>
          <w:tcPr>
            <w:tcW w:w="2835" w:type="dxa"/>
            <w:vAlign w:val="center"/>
          </w:tcPr>
          <w:p w14:paraId="66A9F2A6">
            <w:pPr>
              <w:pStyle w:val="13"/>
            </w:pPr>
            <w:r>
              <w:t>预算控制率</w:t>
            </w:r>
          </w:p>
        </w:tc>
        <w:tc>
          <w:tcPr>
            <w:tcW w:w="5386" w:type="dxa"/>
            <w:vAlign w:val="center"/>
          </w:tcPr>
          <w:p w14:paraId="43130BBE">
            <w:pPr>
              <w:pStyle w:val="13"/>
            </w:pPr>
            <w:r>
              <w:t>预算执行</w:t>
            </w:r>
          </w:p>
        </w:tc>
        <w:tc>
          <w:tcPr>
            <w:tcW w:w="2268" w:type="dxa"/>
            <w:vAlign w:val="center"/>
          </w:tcPr>
          <w:p w14:paraId="57B87547">
            <w:pPr>
              <w:pStyle w:val="13"/>
            </w:pPr>
            <w:r>
              <w:t>≥95%</w:t>
            </w:r>
          </w:p>
        </w:tc>
        <w:tc>
          <w:tcPr>
            <w:tcW w:w="1276" w:type="dxa"/>
            <w:vAlign w:val="center"/>
          </w:tcPr>
          <w:p w14:paraId="0AC52272">
            <w:pPr>
              <w:pStyle w:val="13"/>
            </w:pPr>
            <w:r>
              <w:t>幼儿园生均公用经费管理办法</w:t>
            </w:r>
          </w:p>
        </w:tc>
      </w:tr>
      <w:tr w14:paraId="6C708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96D7D"/>
        </w:tc>
        <w:tc>
          <w:tcPr>
            <w:tcW w:w="2268" w:type="dxa"/>
            <w:vAlign w:val="center"/>
          </w:tcPr>
          <w:p w14:paraId="122FA493">
            <w:pPr>
              <w:pStyle w:val="13"/>
            </w:pPr>
            <w:r>
              <w:t>时效指标</w:t>
            </w:r>
          </w:p>
        </w:tc>
        <w:tc>
          <w:tcPr>
            <w:tcW w:w="2835" w:type="dxa"/>
            <w:vAlign w:val="center"/>
          </w:tcPr>
          <w:p w14:paraId="5ACC9359">
            <w:pPr>
              <w:pStyle w:val="13"/>
            </w:pPr>
            <w:r>
              <w:t>资金支付率</w:t>
            </w:r>
          </w:p>
        </w:tc>
        <w:tc>
          <w:tcPr>
            <w:tcW w:w="5386" w:type="dxa"/>
            <w:vAlign w:val="center"/>
          </w:tcPr>
          <w:p w14:paraId="1FD29FB6">
            <w:pPr>
              <w:pStyle w:val="13"/>
            </w:pPr>
            <w:r>
              <w:t>按照序时进度完成资金支付</w:t>
            </w:r>
          </w:p>
        </w:tc>
        <w:tc>
          <w:tcPr>
            <w:tcW w:w="2268" w:type="dxa"/>
            <w:vAlign w:val="center"/>
          </w:tcPr>
          <w:p w14:paraId="15AE4A8F">
            <w:pPr>
              <w:pStyle w:val="13"/>
            </w:pPr>
            <w:r>
              <w:t>≥100%</w:t>
            </w:r>
          </w:p>
        </w:tc>
        <w:tc>
          <w:tcPr>
            <w:tcW w:w="1276" w:type="dxa"/>
            <w:vAlign w:val="center"/>
          </w:tcPr>
          <w:p w14:paraId="56BE0BB6">
            <w:pPr>
              <w:pStyle w:val="13"/>
            </w:pPr>
            <w:r>
              <w:t>幼儿园生均公用经费管理办法</w:t>
            </w:r>
          </w:p>
        </w:tc>
      </w:tr>
      <w:tr w14:paraId="66E01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87E1F"/>
        </w:tc>
        <w:tc>
          <w:tcPr>
            <w:tcW w:w="2268" w:type="dxa"/>
            <w:vAlign w:val="center"/>
          </w:tcPr>
          <w:p w14:paraId="6D98855C">
            <w:pPr>
              <w:pStyle w:val="13"/>
            </w:pPr>
            <w:r>
              <w:t>成本指标</w:t>
            </w:r>
          </w:p>
        </w:tc>
        <w:tc>
          <w:tcPr>
            <w:tcW w:w="2835" w:type="dxa"/>
            <w:vAlign w:val="center"/>
          </w:tcPr>
          <w:p w14:paraId="00FDD9FD">
            <w:pPr>
              <w:pStyle w:val="13"/>
            </w:pPr>
            <w:r>
              <w:t>生均拨款标准</w:t>
            </w:r>
          </w:p>
        </w:tc>
        <w:tc>
          <w:tcPr>
            <w:tcW w:w="5386" w:type="dxa"/>
            <w:vAlign w:val="center"/>
          </w:tcPr>
          <w:p w14:paraId="090A681A">
            <w:pPr>
              <w:pStyle w:val="13"/>
            </w:pPr>
            <w:r>
              <w:t>学前经费600元/生/年</w:t>
            </w:r>
          </w:p>
        </w:tc>
        <w:tc>
          <w:tcPr>
            <w:tcW w:w="2268" w:type="dxa"/>
            <w:vAlign w:val="center"/>
          </w:tcPr>
          <w:p w14:paraId="5B77F320">
            <w:pPr>
              <w:pStyle w:val="13"/>
            </w:pPr>
            <w:r>
              <w:t>600元</w:t>
            </w:r>
          </w:p>
        </w:tc>
        <w:tc>
          <w:tcPr>
            <w:tcW w:w="1276" w:type="dxa"/>
            <w:vAlign w:val="center"/>
          </w:tcPr>
          <w:p w14:paraId="62C740F1">
            <w:pPr>
              <w:pStyle w:val="13"/>
            </w:pPr>
            <w:r>
              <w:t>幼儿园生均公用经费管理办法</w:t>
            </w:r>
          </w:p>
        </w:tc>
      </w:tr>
      <w:tr w14:paraId="7FF08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70B6EF">
            <w:pPr>
              <w:pStyle w:val="12"/>
            </w:pPr>
            <w:r>
              <w:t>效益指标</w:t>
            </w:r>
          </w:p>
        </w:tc>
        <w:tc>
          <w:tcPr>
            <w:tcW w:w="2268" w:type="dxa"/>
            <w:vAlign w:val="center"/>
          </w:tcPr>
          <w:p w14:paraId="4451EE75">
            <w:pPr>
              <w:pStyle w:val="13"/>
            </w:pPr>
            <w:r>
              <w:t>可持续影响指标</w:t>
            </w:r>
          </w:p>
        </w:tc>
        <w:tc>
          <w:tcPr>
            <w:tcW w:w="2835" w:type="dxa"/>
            <w:vAlign w:val="center"/>
          </w:tcPr>
          <w:p w14:paraId="1EDC83F3">
            <w:pPr>
              <w:pStyle w:val="13"/>
            </w:pPr>
            <w:r>
              <w:t>教育发展水平明显好转</w:t>
            </w:r>
          </w:p>
        </w:tc>
        <w:tc>
          <w:tcPr>
            <w:tcW w:w="5386" w:type="dxa"/>
            <w:vAlign w:val="center"/>
          </w:tcPr>
          <w:p w14:paraId="58C40027">
            <w:pPr>
              <w:pStyle w:val="13"/>
            </w:pPr>
            <w:r>
              <w:t>学生受教育年限</w:t>
            </w:r>
          </w:p>
        </w:tc>
        <w:tc>
          <w:tcPr>
            <w:tcW w:w="2268" w:type="dxa"/>
            <w:vAlign w:val="center"/>
          </w:tcPr>
          <w:p w14:paraId="139C9A76">
            <w:pPr>
              <w:pStyle w:val="13"/>
            </w:pPr>
            <w:r>
              <w:t>3年</w:t>
            </w:r>
          </w:p>
        </w:tc>
        <w:tc>
          <w:tcPr>
            <w:tcW w:w="1276" w:type="dxa"/>
            <w:vAlign w:val="center"/>
          </w:tcPr>
          <w:p w14:paraId="5C9971D4">
            <w:pPr>
              <w:pStyle w:val="13"/>
            </w:pPr>
            <w:r>
              <w:t>幼儿园生均公用经费管理办法</w:t>
            </w:r>
          </w:p>
        </w:tc>
      </w:tr>
      <w:tr w14:paraId="74D0E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7EF276">
            <w:pPr>
              <w:pStyle w:val="12"/>
            </w:pPr>
            <w:r>
              <w:t>满意度指标</w:t>
            </w:r>
          </w:p>
        </w:tc>
        <w:tc>
          <w:tcPr>
            <w:tcW w:w="2268" w:type="dxa"/>
            <w:vAlign w:val="center"/>
          </w:tcPr>
          <w:p w14:paraId="75E5BCF6">
            <w:pPr>
              <w:pStyle w:val="13"/>
            </w:pPr>
            <w:r>
              <w:t>服务对象满意度指标</w:t>
            </w:r>
          </w:p>
        </w:tc>
        <w:tc>
          <w:tcPr>
            <w:tcW w:w="2835" w:type="dxa"/>
            <w:vAlign w:val="center"/>
          </w:tcPr>
          <w:p w14:paraId="01AE4BEC">
            <w:pPr>
              <w:pStyle w:val="13"/>
            </w:pPr>
            <w:r>
              <w:t>受益学生家长及调查满意度</w:t>
            </w:r>
          </w:p>
        </w:tc>
        <w:tc>
          <w:tcPr>
            <w:tcW w:w="5386" w:type="dxa"/>
            <w:vAlign w:val="center"/>
          </w:tcPr>
          <w:p w14:paraId="7BFA5AFE">
            <w:pPr>
              <w:pStyle w:val="13"/>
            </w:pPr>
            <w:r>
              <w:t>学生、教师及家长对学校保教保育工作满意度情况</w:t>
            </w:r>
          </w:p>
        </w:tc>
        <w:tc>
          <w:tcPr>
            <w:tcW w:w="2268" w:type="dxa"/>
            <w:vAlign w:val="center"/>
          </w:tcPr>
          <w:p w14:paraId="7EFB57EB">
            <w:pPr>
              <w:pStyle w:val="13"/>
            </w:pPr>
            <w:r>
              <w:t>≥95%</w:t>
            </w:r>
          </w:p>
        </w:tc>
        <w:tc>
          <w:tcPr>
            <w:tcW w:w="1276" w:type="dxa"/>
            <w:vAlign w:val="center"/>
          </w:tcPr>
          <w:p w14:paraId="4FC49F11">
            <w:pPr>
              <w:pStyle w:val="13"/>
            </w:pPr>
            <w:r>
              <w:t>调查问卷</w:t>
            </w:r>
          </w:p>
        </w:tc>
      </w:tr>
    </w:tbl>
    <w:p w14:paraId="5805E6C8">
      <w:pPr>
        <w:sectPr>
          <w:pgSz w:w="16840" w:h="11900" w:orient="landscape"/>
          <w:pgMar w:top="1361" w:right="1020" w:bottom="1134" w:left="1020" w:header="720" w:footer="720" w:gutter="0"/>
          <w:cols w:space="720" w:num="1"/>
        </w:sectPr>
      </w:pPr>
    </w:p>
    <w:p w14:paraId="46BC9C9E">
      <w:pPr>
        <w:spacing w:before="0" w:after="0"/>
        <w:ind w:firstLine="560"/>
        <w:jc w:val="left"/>
        <w:outlineLvl w:val="9"/>
      </w:pPr>
      <w:r>
        <w:rPr>
          <w:rFonts w:ascii="方正仿宋_GBK" w:hAnsi="方正仿宋_GBK" w:eastAsia="方正仿宋_GBK" w:cs="方正仿宋_GBK"/>
          <w:b/>
          <w:color w:val="000000"/>
          <w:sz w:val="28"/>
        </w:rPr>
        <w:t>70、冀财教[2024]142号/省级/2025年学前发展资金/隆尧县锦观城星光幼儿园学前教育公用经费绩效目标表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C3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EFCD1">
            <w:pPr>
              <w:pStyle w:val="14"/>
            </w:pPr>
            <w:r>
              <w:t>单位：万元</w:t>
            </w:r>
          </w:p>
        </w:tc>
      </w:tr>
      <w:tr w14:paraId="28CF6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D9214E">
            <w:pPr>
              <w:pStyle w:val="11"/>
            </w:pPr>
            <w:r>
              <w:t>项目编码</w:t>
            </w:r>
          </w:p>
        </w:tc>
        <w:tc>
          <w:tcPr>
            <w:tcW w:w="5103" w:type="dxa"/>
            <w:gridSpan w:val="2"/>
            <w:vAlign w:val="center"/>
          </w:tcPr>
          <w:p w14:paraId="6FB90780">
            <w:pPr>
              <w:pStyle w:val="13"/>
            </w:pPr>
            <w:r>
              <w:t>13052525P00875710016H</w:t>
            </w:r>
          </w:p>
        </w:tc>
        <w:tc>
          <w:tcPr>
            <w:tcW w:w="2835" w:type="dxa"/>
            <w:vAlign w:val="center"/>
          </w:tcPr>
          <w:p w14:paraId="2280F88C">
            <w:pPr>
              <w:pStyle w:val="11"/>
            </w:pPr>
            <w:r>
              <w:t>项目名称</w:t>
            </w:r>
          </w:p>
        </w:tc>
        <w:tc>
          <w:tcPr>
            <w:tcW w:w="6095" w:type="dxa"/>
            <w:gridSpan w:val="3"/>
            <w:vAlign w:val="center"/>
          </w:tcPr>
          <w:p w14:paraId="48630D58">
            <w:pPr>
              <w:pStyle w:val="13"/>
            </w:pPr>
            <w:r>
              <w:t>冀财教[2024]142号/省级/2025年学前发展资金/隆尧县锦观城星光幼儿园学前教育公用经费</w:t>
            </w:r>
          </w:p>
        </w:tc>
      </w:tr>
      <w:tr w14:paraId="2692C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0C0D7">
            <w:pPr>
              <w:pStyle w:val="11"/>
            </w:pPr>
            <w:r>
              <w:t>预算规模及资金用途</w:t>
            </w:r>
          </w:p>
        </w:tc>
        <w:tc>
          <w:tcPr>
            <w:tcW w:w="2268" w:type="dxa"/>
            <w:vAlign w:val="center"/>
          </w:tcPr>
          <w:p w14:paraId="20FA3713">
            <w:pPr>
              <w:pStyle w:val="11"/>
            </w:pPr>
            <w:r>
              <w:t>预算数</w:t>
            </w:r>
          </w:p>
        </w:tc>
        <w:tc>
          <w:tcPr>
            <w:tcW w:w="2835" w:type="dxa"/>
            <w:vAlign w:val="center"/>
          </w:tcPr>
          <w:p w14:paraId="7D4B17F4">
            <w:pPr>
              <w:pStyle w:val="13"/>
            </w:pPr>
            <w:r>
              <w:t>1.53</w:t>
            </w:r>
          </w:p>
        </w:tc>
        <w:tc>
          <w:tcPr>
            <w:tcW w:w="2835" w:type="dxa"/>
            <w:vAlign w:val="center"/>
          </w:tcPr>
          <w:p w14:paraId="02A943AA">
            <w:pPr>
              <w:pStyle w:val="11"/>
            </w:pPr>
            <w:r>
              <w:t>其中：财政    资金</w:t>
            </w:r>
          </w:p>
        </w:tc>
        <w:tc>
          <w:tcPr>
            <w:tcW w:w="2551" w:type="dxa"/>
            <w:vAlign w:val="center"/>
          </w:tcPr>
          <w:p w14:paraId="728AD210">
            <w:pPr>
              <w:pStyle w:val="13"/>
            </w:pPr>
            <w:r>
              <w:t>1.53</w:t>
            </w:r>
          </w:p>
        </w:tc>
        <w:tc>
          <w:tcPr>
            <w:tcW w:w="2268" w:type="dxa"/>
            <w:vAlign w:val="center"/>
          </w:tcPr>
          <w:p w14:paraId="401F4B86">
            <w:pPr>
              <w:pStyle w:val="11"/>
            </w:pPr>
            <w:r>
              <w:t>其他资金</w:t>
            </w:r>
          </w:p>
        </w:tc>
        <w:tc>
          <w:tcPr>
            <w:tcW w:w="1276" w:type="dxa"/>
            <w:vAlign w:val="center"/>
          </w:tcPr>
          <w:p w14:paraId="53092D99">
            <w:pPr>
              <w:pStyle w:val="13"/>
            </w:pPr>
            <w:r>
              <w:t xml:space="preserve"> </w:t>
            </w:r>
          </w:p>
        </w:tc>
      </w:tr>
      <w:tr w14:paraId="30335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38F0E7"/>
        </w:tc>
        <w:tc>
          <w:tcPr>
            <w:tcW w:w="14033" w:type="dxa"/>
            <w:gridSpan w:val="6"/>
            <w:vAlign w:val="center"/>
          </w:tcPr>
          <w:p w14:paraId="7E875D6B">
            <w:pPr>
              <w:pStyle w:val="13"/>
            </w:pPr>
            <w:r>
              <w:t>按季度分批次拨付安排公用经费资金，学校按照预算安排进行资金使用，保证资金正常支出。</w:t>
            </w:r>
            <w:r>
              <w:tab/>
            </w:r>
            <w:r>
              <w:tab/>
            </w:r>
            <w:r>
              <w:tab/>
            </w:r>
            <w:r>
              <w:tab/>
            </w:r>
            <w:r>
              <w:tab/>
            </w:r>
            <w:r>
              <w:tab/>
            </w:r>
          </w:p>
          <w:p w14:paraId="21045C60">
            <w:pPr>
              <w:pStyle w:val="13"/>
            </w:pPr>
          </w:p>
        </w:tc>
      </w:tr>
      <w:tr w14:paraId="26F6E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43CCC">
            <w:pPr>
              <w:pStyle w:val="11"/>
            </w:pPr>
            <w:r>
              <w:t>资金支出计划（%）</w:t>
            </w:r>
          </w:p>
        </w:tc>
        <w:tc>
          <w:tcPr>
            <w:tcW w:w="5103" w:type="dxa"/>
            <w:gridSpan w:val="2"/>
            <w:vAlign w:val="center"/>
          </w:tcPr>
          <w:p w14:paraId="2FEF090C">
            <w:pPr>
              <w:pStyle w:val="11"/>
            </w:pPr>
            <w:r>
              <w:t>3月底</w:t>
            </w:r>
          </w:p>
        </w:tc>
        <w:tc>
          <w:tcPr>
            <w:tcW w:w="2835" w:type="dxa"/>
            <w:vAlign w:val="center"/>
          </w:tcPr>
          <w:p w14:paraId="3AECF5DD">
            <w:pPr>
              <w:pStyle w:val="11"/>
            </w:pPr>
            <w:r>
              <w:t>6月底</w:t>
            </w:r>
          </w:p>
        </w:tc>
        <w:tc>
          <w:tcPr>
            <w:tcW w:w="2551" w:type="dxa"/>
            <w:vAlign w:val="center"/>
          </w:tcPr>
          <w:p w14:paraId="5B1B7D30">
            <w:pPr>
              <w:pStyle w:val="11"/>
            </w:pPr>
            <w:r>
              <w:t>10月底</w:t>
            </w:r>
          </w:p>
        </w:tc>
        <w:tc>
          <w:tcPr>
            <w:tcW w:w="3544" w:type="dxa"/>
            <w:gridSpan w:val="2"/>
            <w:vAlign w:val="center"/>
          </w:tcPr>
          <w:p w14:paraId="387D2779">
            <w:pPr>
              <w:pStyle w:val="11"/>
            </w:pPr>
            <w:r>
              <w:t>12月底</w:t>
            </w:r>
          </w:p>
        </w:tc>
      </w:tr>
      <w:tr w14:paraId="5793B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DFA7A2"/>
        </w:tc>
        <w:tc>
          <w:tcPr>
            <w:tcW w:w="5103" w:type="dxa"/>
            <w:gridSpan w:val="2"/>
            <w:vAlign w:val="center"/>
          </w:tcPr>
          <w:p w14:paraId="001B0825">
            <w:pPr>
              <w:pStyle w:val="12"/>
            </w:pPr>
            <w:r>
              <w:t xml:space="preserve"> </w:t>
            </w:r>
          </w:p>
        </w:tc>
        <w:tc>
          <w:tcPr>
            <w:tcW w:w="2835" w:type="dxa"/>
            <w:vAlign w:val="center"/>
          </w:tcPr>
          <w:p w14:paraId="51E67996">
            <w:pPr>
              <w:pStyle w:val="12"/>
            </w:pPr>
            <w:r>
              <w:t>50%</w:t>
            </w:r>
          </w:p>
        </w:tc>
        <w:tc>
          <w:tcPr>
            <w:tcW w:w="2551" w:type="dxa"/>
            <w:vAlign w:val="center"/>
          </w:tcPr>
          <w:p w14:paraId="402BF528">
            <w:pPr>
              <w:pStyle w:val="12"/>
            </w:pPr>
            <w:r>
              <w:t>75%</w:t>
            </w:r>
          </w:p>
        </w:tc>
        <w:tc>
          <w:tcPr>
            <w:tcW w:w="3544" w:type="dxa"/>
            <w:gridSpan w:val="2"/>
            <w:vAlign w:val="center"/>
          </w:tcPr>
          <w:p w14:paraId="57A38BFE">
            <w:pPr>
              <w:pStyle w:val="12"/>
            </w:pPr>
            <w:r>
              <w:t>100%</w:t>
            </w:r>
          </w:p>
        </w:tc>
      </w:tr>
      <w:tr w14:paraId="6358F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74A57A">
            <w:pPr>
              <w:pStyle w:val="11"/>
            </w:pPr>
            <w:r>
              <w:t>绩效目标</w:t>
            </w:r>
          </w:p>
        </w:tc>
        <w:tc>
          <w:tcPr>
            <w:tcW w:w="14033" w:type="dxa"/>
            <w:gridSpan w:val="6"/>
            <w:vAlign w:val="center"/>
          </w:tcPr>
          <w:p w14:paraId="78763CD2">
            <w:pPr>
              <w:pStyle w:val="13"/>
            </w:pPr>
            <w:r>
              <w:t>1.按季度分批次拨付安排公用经费资金，学校按照预算安排进行资金使用，保证资金正常支出。</w:t>
            </w:r>
          </w:p>
        </w:tc>
      </w:tr>
    </w:tbl>
    <w:p w14:paraId="007C7A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5C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4F2F1">
            <w:pPr>
              <w:pStyle w:val="11"/>
            </w:pPr>
            <w:r>
              <w:t>一级指标</w:t>
            </w:r>
          </w:p>
        </w:tc>
        <w:tc>
          <w:tcPr>
            <w:tcW w:w="2268" w:type="dxa"/>
            <w:vAlign w:val="center"/>
          </w:tcPr>
          <w:p w14:paraId="7F363172">
            <w:pPr>
              <w:pStyle w:val="11"/>
            </w:pPr>
            <w:r>
              <w:t>二级指标</w:t>
            </w:r>
          </w:p>
        </w:tc>
        <w:tc>
          <w:tcPr>
            <w:tcW w:w="2835" w:type="dxa"/>
            <w:vAlign w:val="center"/>
          </w:tcPr>
          <w:p w14:paraId="7855FA8E">
            <w:pPr>
              <w:pStyle w:val="11"/>
            </w:pPr>
            <w:r>
              <w:t>三级指标</w:t>
            </w:r>
          </w:p>
        </w:tc>
        <w:tc>
          <w:tcPr>
            <w:tcW w:w="5386" w:type="dxa"/>
            <w:vAlign w:val="center"/>
          </w:tcPr>
          <w:p w14:paraId="041CC05C">
            <w:pPr>
              <w:pStyle w:val="11"/>
            </w:pPr>
            <w:r>
              <w:t>绩效指标描述</w:t>
            </w:r>
          </w:p>
        </w:tc>
        <w:tc>
          <w:tcPr>
            <w:tcW w:w="2268" w:type="dxa"/>
            <w:vAlign w:val="center"/>
          </w:tcPr>
          <w:p w14:paraId="5EF799A9">
            <w:pPr>
              <w:pStyle w:val="11"/>
            </w:pPr>
            <w:r>
              <w:t>指标值</w:t>
            </w:r>
          </w:p>
        </w:tc>
        <w:tc>
          <w:tcPr>
            <w:tcW w:w="1276" w:type="dxa"/>
            <w:vAlign w:val="center"/>
          </w:tcPr>
          <w:p w14:paraId="4940D6FE">
            <w:pPr>
              <w:pStyle w:val="11"/>
            </w:pPr>
            <w:r>
              <w:t>指标值确定依据</w:t>
            </w:r>
          </w:p>
        </w:tc>
      </w:tr>
      <w:tr w14:paraId="05CFE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9DBD1">
            <w:pPr>
              <w:pStyle w:val="12"/>
            </w:pPr>
            <w:r>
              <w:t>产出指标</w:t>
            </w:r>
          </w:p>
        </w:tc>
        <w:tc>
          <w:tcPr>
            <w:tcW w:w="2268" w:type="dxa"/>
            <w:vAlign w:val="center"/>
          </w:tcPr>
          <w:p w14:paraId="04CDB6CD">
            <w:pPr>
              <w:pStyle w:val="13"/>
            </w:pPr>
            <w:r>
              <w:t>数量指标</w:t>
            </w:r>
          </w:p>
        </w:tc>
        <w:tc>
          <w:tcPr>
            <w:tcW w:w="2835" w:type="dxa"/>
            <w:vAlign w:val="center"/>
          </w:tcPr>
          <w:p w14:paraId="0E917823">
            <w:pPr>
              <w:pStyle w:val="13"/>
            </w:pPr>
            <w:r>
              <w:t>适龄在校生</w:t>
            </w:r>
          </w:p>
        </w:tc>
        <w:tc>
          <w:tcPr>
            <w:tcW w:w="5386" w:type="dxa"/>
            <w:vAlign w:val="center"/>
          </w:tcPr>
          <w:p w14:paraId="6175EAFF">
            <w:pPr>
              <w:pStyle w:val="13"/>
            </w:pPr>
            <w:r>
              <w:t>辖区内适龄儿童全覆盖</w:t>
            </w:r>
          </w:p>
        </w:tc>
        <w:tc>
          <w:tcPr>
            <w:tcW w:w="2268" w:type="dxa"/>
            <w:vAlign w:val="center"/>
          </w:tcPr>
          <w:p w14:paraId="5E7323FA">
            <w:pPr>
              <w:pStyle w:val="13"/>
            </w:pPr>
            <w:r>
              <w:t>102人</w:t>
            </w:r>
          </w:p>
        </w:tc>
        <w:tc>
          <w:tcPr>
            <w:tcW w:w="1276" w:type="dxa"/>
            <w:vAlign w:val="center"/>
          </w:tcPr>
          <w:p w14:paraId="13487995">
            <w:pPr>
              <w:pStyle w:val="13"/>
            </w:pPr>
            <w:r>
              <w:t>幼儿园生均公用经费管理办法</w:t>
            </w:r>
          </w:p>
        </w:tc>
      </w:tr>
      <w:tr w14:paraId="4BCFF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E3AE6"/>
        </w:tc>
        <w:tc>
          <w:tcPr>
            <w:tcW w:w="2268" w:type="dxa"/>
            <w:vAlign w:val="center"/>
          </w:tcPr>
          <w:p w14:paraId="39D035AF">
            <w:pPr>
              <w:pStyle w:val="13"/>
            </w:pPr>
            <w:r>
              <w:t>质量指标</w:t>
            </w:r>
          </w:p>
        </w:tc>
        <w:tc>
          <w:tcPr>
            <w:tcW w:w="2835" w:type="dxa"/>
            <w:vAlign w:val="center"/>
          </w:tcPr>
          <w:p w14:paraId="40F24CA2">
            <w:pPr>
              <w:pStyle w:val="13"/>
            </w:pPr>
            <w:r>
              <w:t>预算控制率</w:t>
            </w:r>
          </w:p>
        </w:tc>
        <w:tc>
          <w:tcPr>
            <w:tcW w:w="5386" w:type="dxa"/>
            <w:vAlign w:val="center"/>
          </w:tcPr>
          <w:p w14:paraId="120503E3">
            <w:pPr>
              <w:pStyle w:val="13"/>
            </w:pPr>
            <w:r>
              <w:t>预算执行</w:t>
            </w:r>
          </w:p>
        </w:tc>
        <w:tc>
          <w:tcPr>
            <w:tcW w:w="2268" w:type="dxa"/>
            <w:vAlign w:val="center"/>
          </w:tcPr>
          <w:p w14:paraId="1DFDB5BD">
            <w:pPr>
              <w:pStyle w:val="13"/>
            </w:pPr>
            <w:r>
              <w:t>≥95%</w:t>
            </w:r>
          </w:p>
        </w:tc>
        <w:tc>
          <w:tcPr>
            <w:tcW w:w="1276" w:type="dxa"/>
            <w:vAlign w:val="center"/>
          </w:tcPr>
          <w:p w14:paraId="7C9AEE3D">
            <w:pPr>
              <w:pStyle w:val="13"/>
            </w:pPr>
            <w:r>
              <w:t>幼儿园生均公用经费管理办法</w:t>
            </w:r>
          </w:p>
        </w:tc>
      </w:tr>
      <w:tr w14:paraId="565BF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FDDED"/>
        </w:tc>
        <w:tc>
          <w:tcPr>
            <w:tcW w:w="2268" w:type="dxa"/>
            <w:vAlign w:val="center"/>
          </w:tcPr>
          <w:p w14:paraId="003E7A09">
            <w:pPr>
              <w:pStyle w:val="13"/>
            </w:pPr>
            <w:r>
              <w:t>时效指标</w:t>
            </w:r>
          </w:p>
        </w:tc>
        <w:tc>
          <w:tcPr>
            <w:tcW w:w="2835" w:type="dxa"/>
            <w:vAlign w:val="center"/>
          </w:tcPr>
          <w:p w14:paraId="3ACE90FF">
            <w:pPr>
              <w:pStyle w:val="13"/>
            </w:pPr>
            <w:r>
              <w:t>资金支付率</w:t>
            </w:r>
          </w:p>
        </w:tc>
        <w:tc>
          <w:tcPr>
            <w:tcW w:w="5386" w:type="dxa"/>
            <w:vAlign w:val="center"/>
          </w:tcPr>
          <w:p w14:paraId="148E687C">
            <w:pPr>
              <w:pStyle w:val="13"/>
            </w:pPr>
            <w:r>
              <w:t>按照序时进度完成资金支付</w:t>
            </w:r>
          </w:p>
        </w:tc>
        <w:tc>
          <w:tcPr>
            <w:tcW w:w="2268" w:type="dxa"/>
            <w:vAlign w:val="center"/>
          </w:tcPr>
          <w:p w14:paraId="404BF4CE">
            <w:pPr>
              <w:pStyle w:val="13"/>
            </w:pPr>
            <w:r>
              <w:t>≥100%</w:t>
            </w:r>
          </w:p>
        </w:tc>
        <w:tc>
          <w:tcPr>
            <w:tcW w:w="1276" w:type="dxa"/>
            <w:vAlign w:val="center"/>
          </w:tcPr>
          <w:p w14:paraId="186E8477">
            <w:pPr>
              <w:pStyle w:val="13"/>
            </w:pPr>
            <w:r>
              <w:t>幼儿园生均公用经费管理办法</w:t>
            </w:r>
          </w:p>
        </w:tc>
      </w:tr>
      <w:tr w14:paraId="1D5B6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94919"/>
        </w:tc>
        <w:tc>
          <w:tcPr>
            <w:tcW w:w="2268" w:type="dxa"/>
            <w:vAlign w:val="center"/>
          </w:tcPr>
          <w:p w14:paraId="59E3C000">
            <w:pPr>
              <w:pStyle w:val="13"/>
            </w:pPr>
            <w:r>
              <w:t>成本指标</w:t>
            </w:r>
          </w:p>
        </w:tc>
        <w:tc>
          <w:tcPr>
            <w:tcW w:w="2835" w:type="dxa"/>
            <w:vAlign w:val="center"/>
          </w:tcPr>
          <w:p w14:paraId="6549B9F1">
            <w:pPr>
              <w:pStyle w:val="13"/>
            </w:pPr>
            <w:r>
              <w:t>生均拨款标准</w:t>
            </w:r>
          </w:p>
        </w:tc>
        <w:tc>
          <w:tcPr>
            <w:tcW w:w="5386" w:type="dxa"/>
            <w:vAlign w:val="center"/>
          </w:tcPr>
          <w:p w14:paraId="17EAC0BD">
            <w:pPr>
              <w:pStyle w:val="13"/>
            </w:pPr>
            <w:r>
              <w:t>学前经费600元/生/年</w:t>
            </w:r>
          </w:p>
        </w:tc>
        <w:tc>
          <w:tcPr>
            <w:tcW w:w="2268" w:type="dxa"/>
            <w:vAlign w:val="center"/>
          </w:tcPr>
          <w:p w14:paraId="628196CE">
            <w:pPr>
              <w:pStyle w:val="13"/>
            </w:pPr>
            <w:r>
              <w:t>600元</w:t>
            </w:r>
          </w:p>
        </w:tc>
        <w:tc>
          <w:tcPr>
            <w:tcW w:w="1276" w:type="dxa"/>
            <w:vAlign w:val="center"/>
          </w:tcPr>
          <w:p w14:paraId="0BDD14DA">
            <w:pPr>
              <w:pStyle w:val="13"/>
            </w:pPr>
            <w:r>
              <w:t>幼儿园生均公用经费管理办法</w:t>
            </w:r>
          </w:p>
        </w:tc>
      </w:tr>
      <w:tr w14:paraId="5F2AC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6D1369">
            <w:pPr>
              <w:pStyle w:val="12"/>
            </w:pPr>
            <w:r>
              <w:t>效益指标</w:t>
            </w:r>
          </w:p>
        </w:tc>
        <w:tc>
          <w:tcPr>
            <w:tcW w:w="2268" w:type="dxa"/>
            <w:vAlign w:val="center"/>
          </w:tcPr>
          <w:p w14:paraId="78E180A6">
            <w:pPr>
              <w:pStyle w:val="13"/>
            </w:pPr>
            <w:r>
              <w:t>可持续影响指标</w:t>
            </w:r>
          </w:p>
        </w:tc>
        <w:tc>
          <w:tcPr>
            <w:tcW w:w="2835" w:type="dxa"/>
            <w:vAlign w:val="center"/>
          </w:tcPr>
          <w:p w14:paraId="10F3BD7F">
            <w:pPr>
              <w:pStyle w:val="13"/>
            </w:pPr>
            <w:r>
              <w:t>教育发展水平明显好转</w:t>
            </w:r>
          </w:p>
        </w:tc>
        <w:tc>
          <w:tcPr>
            <w:tcW w:w="5386" w:type="dxa"/>
            <w:vAlign w:val="center"/>
          </w:tcPr>
          <w:p w14:paraId="6D0C19B0">
            <w:pPr>
              <w:pStyle w:val="13"/>
            </w:pPr>
            <w:r>
              <w:t>学生受教育年限</w:t>
            </w:r>
          </w:p>
        </w:tc>
        <w:tc>
          <w:tcPr>
            <w:tcW w:w="2268" w:type="dxa"/>
            <w:vAlign w:val="center"/>
          </w:tcPr>
          <w:p w14:paraId="21E7CD97">
            <w:pPr>
              <w:pStyle w:val="13"/>
            </w:pPr>
            <w:r>
              <w:t>3年</w:t>
            </w:r>
          </w:p>
        </w:tc>
        <w:tc>
          <w:tcPr>
            <w:tcW w:w="1276" w:type="dxa"/>
            <w:vAlign w:val="center"/>
          </w:tcPr>
          <w:p w14:paraId="50477D5D">
            <w:pPr>
              <w:pStyle w:val="13"/>
            </w:pPr>
            <w:r>
              <w:t>幼儿园生均公用经费管理办法</w:t>
            </w:r>
          </w:p>
        </w:tc>
      </w:tr>
      <w:tr w14:paraId="2C58B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A04E4F">
            <w:pPr>
              <w:pStyle w:val="12"/>
            </w:pPr>
            <w:r>
              <w:t>满意度指标</w:t>
            </w:r>
          </w:p>
        </w:tc>
        <w:tc>
          <w:tcPr>
            <w:tcW w:w="2268" w:type="dxa"/>
            <w:vAlign w:val="center"/>
          </w:tcPr>
          <w:p w14:paraId="2868F2AD">
            <w:pPr>
              <w:pStyle w:val="13"/>
            </w:pPr>
            <w:r>
              <w:t>服务对象满意度指标</w:t>
            </w:r>
          </w:p>
        </w:tc>
        <w:tc>
          <w:tcPr>
            <w:tcW w:w="2835" w:type="dxa"/>
            <w:vAlign w:val="center"/>
          </w:tcPr>
          <w:p w14:paraId="3EF0EE6B">
            <w:pPr>
              <w:pStyle w:val="13"/>
            </w:pPr>
            <w:r>
              <w:t>受益学生家长及调查满意度</w:t>
            </w:r>
          </w:p>
        </w:tc>
        <w:tc>
          <w:tcPr>
            <w:tcW w:w="5386" w:type="dxa"/>
            <w:vAlign w:val="center"/>
          </w:tcPr>
          <w:p w14:paraId="5785BC58">
            <w:pPr>
              <w:pStyle w:val="13"/>
            </w:pPr>
            <w:r>
              <w:t>学生、教师及家长对学校保教保育工作满意度情况</w:t>
            </w:r>
          </w:p>
        </w:tc>
        <w:tc>
          <w:tcPr>
            <w:tcW w:w="2268" w:type="dxa"/>
            <w:vAlign w:val="center"/>
          </w:tcPr>
          <w:p w14:paraId="0B255B06">
            <w:pPr>
              <w:pStyle w:val="13"/>
            </w:pPr>
            <w:r>
              <w:t>≥95%</w:t>
            </w:r>
          </w:p>
        </w:tc>
        <w:tc>
          <w:tcPr>
            <w:tcW w:w="1276" w:type="dxa"/>
            <w:vAlign w:val="center"/>
          </w:tcPr>
          <w:p w14:paraId="0B9A73AE">
            <w:pPr>
              <w:pStyle w:val="13"/>
            </w:pPr>
            <w:r>
              <w:t>调查问卷</w:t>
            </w:r>
          </w:p>
        </w:tc>
      </w:tr>
    </w:tbl>
    <w:p w14:paraId="34980547">
      <w:pPr>
        <w:sectPr>
          <w:pgSz w:w="16840" w:h="11900" w:orient="landscape"/>
          <w:pgMar w:top="1361" w:right="1020" w:bottom="1134" w:left="1020" w:header="720" w:footer="720" w:gutter="0"/>
          <w:cols w:space="720" w:num="1"/>
        </w:sectPr>
      </w:pPr>
    </w:p>
    <w:p w14:paraId="5E470A2C">
      <w:pPr>
        <w:spacing w:before="0" w:after="0"/>
        <w:ind w:firstLine="560"/>
        <w:jc w:val="left"/>
        <w:outlineLvl w:val="9"/>
      </w:pPr>
      <w:r>
        <w:rPr>
          <w:rFonts w:ascii="方正仿宋_GBK" w:hAnsi="方正仿宋_GBK" w:eastAsia="方正仿宋_GBK" w:cs="方正仿宋_GBK"/>
          <w:b/>
          <w:color w:val="000000"/>
          <w:sz w:val="28"/>
        </w:rPr>
        <w:t>71、冀财教[2024]142号/省级/2025年学前发展资金/隆尧县乐嘉幼儿园学前教育公用经费绩效目标表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B4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5DD2E">
            <w:pPr>
              <w:pStyle w:val="14"/>
            </w:pPr>
            <w:r>
              <w:t>单位：万元</w:t>
            </w:r>
          </w:p>
        </w:tc>
      </w:tr>
      <w:tr w14:paraId="79FE9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6D5B78">
            <w:pPr>
              <w:pStyle w:val="11"/>
            </w:pPr>
            <w:r>
              <w:t>项目编码</w:t>
            </w:r>
          </w:p>
        </w:tc>
        <w:tc>
          <w:tcPr>
            <w:tcW w:w="5103" w:type="dxa"/>
            <w:gridSpan w:val="2"/>
            <w:vAlign w:val="center"/>
          </w:tcPr>
          <w:p w14:paraId="12EEE810">
            <w:pPr>
              <w:pStyle w:val="13"/>
            </w:pPr>
            <w:r>
              <w:t>13052525P00875710040F</w:t>
            </w:r>
          </w:p>
        </w:tc>
        <w:tc>
          <w:tcPr>
            <w:tcW w:w="2835" w:type="dxa"/>
            <w:vAlign w:val="center"/>
          </w:tcPr>
          <w:p w14:paraId="08A85CE7">
            <w:pPr>
              <w:pStyle w:val="11"/>
            </w:pPr>
            <w:r>
              <w:t>项目名称</w:t>
            </w:r>
          </w:p>
        </w:tc>
        <w:tc>
          <w:tcPr>
            <w:tcW w:w="6095" w:type="dxa"/>
            <w:gridSpan w:val="3"/>
            <w:vAlign w:val="center"/>
          </w:tcPr>
          <w:p w14:paraId="47C059DC">
            <w:pPr>
              <w:pStyle w:val="13"/>
            </w:pPr>
            <w:r>
              <w:t>冀财教[2024]142号/省级/2025年学前发展资金/隆尧县乐嘉幼儿园学前教育公用经费</w:t>
            </w:r>
          </w:p>
        </w:tc>
      </w:tr>
      <w:tr w14:paraId="5E388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7FC66">
            <w:pPr>
              <w:pStyle w:val="11"/>
            </w:pPr>
            <w:r>
              <w:t>预算规模及资金用途</w:t>
            </w:r>
          </w:p>
        </w:tc>
        <w:tc>
          <w:tcPr>
            <w:tcW w:w="2268" w:type="dxa"/>
            <w:vAlign w:val="center"/>
          </w:tcPr>
          <w:p w14:paraId="089E1B34">
            <w:pPr>
              <w:pStyle w:val="11"/>
            </w:pPr>
            <w:r>
              <w:t>预算数</w:t>
            </w:r>
          </w:p>
        </w:tc>
        <w:tc>
          <w:tcPr>
            <w:tcW w:w="2835" w:type="dxa"/>
            <w:vAlign w:val="center"/>
          </w:tcPr>
          <w:p w14:paraId="516AEF93">
            <w:pPr>
              <w:pStyle w:val="13"/>
            </w:pPr>
            <w:r>
              <w:t>3.30</w:t>
            </w:r>
          </w:p>
        </w:tc>
        <w:tc>
          <w:tcPr>
            <w:tcW w:w="2835" w:type="dxa"/>
            <w:vAlign w:val="center"/>
          </w:tcPr>
          <w:p w14:paraId="494DA728">
            <w:pPr>
              <w:pStyle w:val="11"/>
            </w:pPr>
            <w:r>
              <w:t>其中：财政    资金</w:t>
            </w:r>
          </w:p>
        </w:tc>
        <w:tc>
          <w:tcPr>
            <w:tcW w:w="2551" w:type="dxa"/>
            <w:vAlign w:val="center"/>
          </w:tcPr>
          <w:p w14:paraId="5274B7B9">
            <w:pPr>
              <w:pStyle w:val="13"/>
            </w:pPr>
            <w:r>
              <w:t>3.30</w:t>
            </w:r>
          </w:p>
        </w:tc>
        <w:tc>
          <w:tcPr>
            <w:tcW w:w="2268" w:type="dxa"/>
            <w:vAlign w:val="center"/>
          </w:tcPr>
          <w:p w14:paraId="4CC5A1B3">
            <w:pPr>
              <w:pStyle w:val="11"/>
            </w:pPr>
            <w:r>
              <w:t>其他资金</w:t>
            </w:r>
          </w:p>
        </w:tc>
        <w:tc>
          <w:tcPr>
            <w:tcW w:w="1276" w:type="dxa"/>
            <w:vAlign w:val="center"/>
          </w:tcPr>
          <w:p w14:paraId="0813F1F0">
            <w:pPr>
              <w:pStyle w:val="13"/>
            </w:pPr>
            <w:r>
              <w:t xml:space="preserve"> </w:t>
            </w:r>
          </w:p>
        </w:tc>
      </w:tr>
      <w:tr w14:paraId="5A723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C69F2"/>
        </w:tc>
        <w:tc>
          <w:tcPr>
            <w:tcW w:w="14033" w:type="dxa"/>
            <w:gridSpan w:val="6"/>
            <w:vAlign w:val="center"/>
          </w:tcPr>
          <w:p w14:paraId="6D6F4B06">
            <w:pPr>
              <w:pStyle w:val="13"/>
            </w:pPr>
            <w:r>
              <w:t>按季度分批次拨付安排公用经费资金，学校按照预算安排进行资金使用，保证资金正常支出。</w:t>
            </w:r>
            <w:r>
              <w:tab/>
            </w:r>
            <w:r>
              <w:tab/>
            </w:r>
            <w:r>
              <w:tab/>
            </w:r>
            <w:r>
              <w:tab/>
            </w:r>
            <w:r>
              <w:tab/>
            </w:r>
            <w:r>
              <w:tab/>
            </w:r>
          </w:p>
          <w:p w14:paraId="00C20F40">
            <w:pPr>
              <w:pStyle w:val="13"/>
            </w:pPr>
          </w:p>
        </w:tc>
      </w:tr>
      <w:tr w14:paraId="0BE45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659E5">
            <w:pPr>
              <w:pStyle w:val="11"/>
            </w:pPr>
            <w:r>
              <w:t>资金支出计划（%）</w:t>
            </w:r>
          </w:p>
        </w:tc>
        <w:tc>
          <w:tcPr>
            <w:tcW w:w="5103" w:type="dxa"/>
            <w:gridSpan w:val="2"/>
            <w:vAlign w:val="center"/>
          </w:tcPr>
          <w:p w14:paraId="7FA2B267">
            <w:pPr>
              <w:pStyle w:val="11"/>
            </w:pPr>
            <w:r>
              <w:t>3月底</w:t>
            </w:r>
          </w:p>
        </w:tc>
        <w:tc>
          <w:tcPr>
            <w:tcW w:w="2835" w:type="dxa"/>
            <w:vAlign w:val="center"/>
          </w:tcPr>
          <w:p w14:paraId="7204993F">
            <w:pPr>
              <w:pStyle w:val="11"/>
            </w:pPr>
            <w:r>
              <w:t>6月底</w:t>
            </w:r>
          </w:p>
        </w:tc>
        <w:tc>
          <w:tcPr>
            <w:tcW w:w="2551" w:type="dxa"/>
            <w:vAlign w:val="center"/>
          </w:tcPr>
          <w:p w14:paraId="6689BCFE">
            <w:pPr>
              <w:pStyle w:val="11"/>
            </w:pPr>
            <w:r>
              <w:t>10月底</w:t>
            </w:r>
          </w:p>
        </w:tc>
        <w:tc>
          <w:tcPr>
            <w:tcW w:w="3544" w:type="dxa"/>
            <w:gridSpan w:val="2"/>
            <w:vAlign w:val="center"/>
          </w:tcPr>
          <w:p w14:paraId="16E9F63E">
            <w:pPr>
              <w:pStyle w:val="11"/>
            </w:pPr>
            <w:r>
              <w:t>12月底</w:t>
            </w:r>
          </w:p>
        </w:tc>
      </w:tr>
      <w:tr w14:paraId="1695B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A9073"/>
        </w:tc>
        <w:tc>
          <w:tcPr>
            <w:tcW w:w="5103" w:type="dxa"/>
            <w:gridSpan w:val="2"/>
            <w:vAlign w:val="center"/>
          </w:tcPr>
          <w:p w14:paraId="50B240C7">
            <w:pPr>
              <w:pStyle w:val="12"/>
            </w:pPr>
            <w:r>
              <w:t xml:space="preserve"> </w:t>
            </w:r>
          </w:p>
        </w:tc>
        <w:tc>
          <w:tcPr>
            <w:tcW w:w="2835" w:type="dxa"/>
            <w:vAlign w:val="center"/>
          </w:tcPr>
          <w:p w14:paraId="45A592DE">
            <w:pPr>
              <w:pStyle w:val="12"/>
            </w:pPr>
            <w:r>
              <w:t>50%</w:t>
            </w:r>
          </w:p>
        </w:tc>
        <w:tc>
          <w:tcPr>
            <w:tcW w:w="2551" w:type="dxa"/>
            <w:vAlign w:val="center"/>
          </w:tcPr>
          <w:p w14:paraId="4DB8E71D">
            <w:pPr>
              <w:pStyle w:val="12"/>
            </w:pPr>
            <w:r>
              <w:t>75%</w:t>
            </w:r>
          </w:p>
        </w:tc>
        <w:tc>
          <w:tcPr>
            <w:tcW w:w="3544" w:type="dxa"/>
            <w:gridSpan w:val="2"/>
            <w:vAlign w:val="center"/>
          </w:tcPr>
          <w:p w14:paraId="1A29D291">
            <w:pPr>
              <w:pStyle w:val="12"/>
            </w:pPr>
            <w:r>
              <w:t>100%</w:t>
            </w:r>
          </w:p>
        </w:tc>
      </w:tr>
      <w:tr w14:paraId="3ECF4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BB98C">
            <w:pPr>
              <w:pStyle w:val="11"/>
            </w:pPr>
            <w:r>
              <w:t>绩效目标</w:t>
            </w:r>
          </w:p>
        </w:tc>
        <w:tc>
          <w:tcPr>
            <w:tcW w:w="14033" w:type="dxa"/>
            <w:gridSpan w:val="6"/>
            <w:vAlign w:val="center"/>
          </w:tcPr>
          <w:p w14:paraId="0B37092E">
            <w:pPr>
              <w:pStyle w:val="13"/>
            </w:pPr>
            <w:r>
              <w:t>1.按季度分批次拨付安排公用经费资金，学校按照预算安排进行资金使用，保证资金正常支出。</w:t>
            </w:r>
          </w:p>
        </w:tc>
      </w:tr>
    </w:tbl>
    <w:p w14:paraId="15A59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F06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2A4AD">
            <w:pPr>
              <w:pStyle w:val="11"/>
            </w:pPr>
            <w:r>
              <w:t>一级指标</w:t>
            </w:r>
          </w:p>
        </w:tc>
        <w:tc>
          <w:tcPr>
            <w:tcW w:w="2268" w:type="dxa"/>
            <w:vAlign w:val="center"/>
          </w:tcPr>
          <w:p w14:paraId="2C3638E3">
            <w:pPr>
              <w:pStyle w:val="11"/>
            </w:pPr>
            <w:r>
              <w:t>二级指标</w:t>
            </w:r>
          </w:p>
        </w:tc>
        <w:tc>
          <w:tcPr>
            <w:tcW w:w="2835" w:type="dxa"/>
            <w:vAlign w:val="center"/>
          </w:tcPr>
          <w:p w14:paraId="6624BCB7">
            <w:pPr>
              <w:pStyle w:val="11"/>
            </w:pPr>
            <w:r>
              <w:t>三级指标</w:t>
            </w:r>
          </w:p>
        </w:tc>
        <w:tc>
          <w:tcPr>
            <w:tcW w:w="5386" w:type="dxa"/>
            <w:vAlign w:val="center"/>
          </w:tcPr>
          <w:p w14:paraId="7873CEAD">
            <w:pPr>
              <w:pStyle w:val="11"/>
            </w:pPr>
            <w:r>
              <w:t>绩效指标描述</w:t>
            </w:r>
          </w:p>
        </w:tc>
        <w:tc>
          <w:tcPr>
            <w:tcW w:w="2268" w:type="dxa"/>
            <w:vAlign w:val="center"/>
          </w:tcPr>
          <w:p w14:paraId="430E49B0">
            <w:pPr>
              <w:pStyle w:val="11"/>
            </w:pPr>
            <w:r>
              <w:t>指标值</w:t>
            </w:r>
          </w:p>
        </w:tc>
        <w:tc>
          <w:tcPr>
            <w:tcW w:w="1276" w:type="dxa"/>
            <w:vAlign w:val="center"/>
          </w:tcPr>
          <w:p w14:paraId="39551E0F">
            <w:pPr>
              <w:pStyle w:val="11"/>
            </w:pPr>
            <w:r>
              <w:t>指标值确定依据</w:t>
            </w:r>
          </w:p>
        </w:tc>
      </w:tr>
      <w:tr w14:paraId="7002E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6538C">
            <w:pPr>
              <w:pStyle w:val="12"/>
            </w:pPr>
            <w:r>
              <w:t>产出指标</w:t>
            </w:r>
          </w:p>
        </w:tc>
        <w:tc>
          <w:tcPr>
            <w:tcW w:w="2268" w:type="dxa"/>
            <w:vAlign w:val="center"/>
          </w:tcPr>
          <w:p w14:paraId="5BFDD1AB">
            <w:pPr>
              <w:pStyle w:val="13"/>
            </w:pPr>
            <w:r>
              <w:t>数量指标</w:t>
            </w:r>
          </w:p>
        </w:tc>
        <w:tc>
          <w:tcPr>
            <w:tcW w:w="2835" w:type="dxa"/>
            <w:vAlign w:val="center"/>
          </w:tcPr>
          <w:p w14:paraId="02ED42CF">
            <w:pPr>
              <w:pStyle w:val="13"/>
            </w:pPr>
            <w:r>
              <w:t>适龄在校生</w:t>
            </w:r>
          </w:p>
        </w:tc>
        <w:tc>
          <w:tcPr>
            <w:tcW w:w="5386" w:type="dxa"/>
            <w:vAlign w:val="center"/>
          </w:tcPr>
          <w:p w14:paraId="1D7D90B7">
            <w:pPr>
              <w:pStyle w:val="13"/>
            </w:pPr>
            <w:r>
              <w:t>辖区内适龄儿童全覆盖</w:t>
            </w:r>
          </w:p>
        </w:tc>
        <w:tc>
          <w:tcPr>
            <w:tcW w:w="2268" w:type="dxa"/>
            <w:vAlign w:val="center"/>
          </w:tcPr>
          <w:p w14:paraId="5B6ADD8D">
            <w:pPr>
              <w:pStyle w:val="13"/>
            </w:pPr>
            <w:r>
              <w:t>220人</w:t>
            </w:r>
          </w:p>
        </w:tc>
        <w:tc>
          <w:tcPr>
            <w:tcW w:w="1276" w:type="dxa"/>
            <w:vAlign w:val="center"/>
          </w:tcPr>
          <w:p w14:paraId="18A67D99">
            <w:pPr>
              <w:pStyle w:val="13"/>
            </w:pPr>
            <w:r>
              <w:t>幼儿园生均公用经费管理办法</w:t>
            </w:r>
          </w:p>
        </w:tc>
      </w:tr>
      <w:tr w14:paraId="72BB5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52C10"/>
        </w:tc>
        <w:tc>
          <w:tcPr>
            <w:tcW w:w="2268" w:type="dxa"/>
            <w:vAlign w:val="center"/>
          </w:tcPr>
          <w:p w14:paraId="51108081">
            <w:pPr>
              <w:pStyle w:val="13"/>
            </w:pPr>
            <w:r>
              <w:t>质量指标</w:t>
            </w:r>
          </w:p>
        </w:tc>
        <w:tc>
          <w:tcPr>
            <w:tcW w:w="2835" w:type="dxa"/>
            <w:vAlign w:val="center"/>
          </w:tcPr>
          <w:p w14:paraId="2CEE3FEF">
            <w:pPr>
              <w:pStyle w:val="13"/>
            </w:pPr>
            <w:r>
              <w:t>预算控制率</w:t>
            </w:r>
          </w:p>
        </w:tc>
        <w:tc>
          <w:tcPr>
            <w:tcW w:w="5386" w:type="dxa"/>
            <w:vAlign w:val="center"/>
          </w:tcPr>
          <w:p w14:paraId="4EFDA0E3">
            <w:pPr>
              <w:pStyle w:val="13"/>
            </w:pPr>
            <w:r>
              <w:t>预算执行</w:t>
            </w:r>
          </w:p>
        </w:tc>
        <w:tc>
          <w:tcPr>
            <w:tcW w:w="2268" w:type="dxa"/>
            <w:vAlign w:val="center"/>
          </w:tcPr>
          <w:p w14:paraId="3D7B4BCF">
            <w:pPr>
              <w:pStyle w:val="13"/>
            </w:pPr>
            <w:r>
              <w:t>≥95%</w:t>
            </w:r>
          </w:p>
        </w:tc>
        <w:tc>
          <w:tcPr>
            <w:tcW w:w="1276" w:type="dxa"/>
            <w:vAlign w:val="center"/>
          </w:tcPr>
          <w:p w14:paraId="087EE0CC">
            <w:pPr>
              <w:pStyle w:val="13"/>
            </w:pPr>
            <w:r>
              <w:t>幼儿园生均公用经费管理办法</w:t>
            </w:r>
          </w:p>
        </w:tc>
      </w:tr>
      <w:tr w14:paraId="7F558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900EA"/>
        </w:tc>
        <w:tc>
          <w:tcPr>
            <w:tcW w:w="2268" w:type="dxa"/>
            <w:vAlign w:val="center"/>
          </w:tcPr>
          <w:p w14:paraId="04B01FDB">
            <w:pPr>
              <w:pStyle w:val="13"/>
            </w:pPr>
            <w:r>
              <w:t>时效指标</w:t>
            </w:r>
          </w:p>
        </w:tc>
        <w:tc>
          <w:tcPr>
            <w:tcW w:w="2835" w:type="dxa"/>
            <w:vAlign w:val="center"/>
          </w:tcPr>
          <w:p w14:paraId="6E773B45">
            <w:pPr>
              <w:pStyle w:val="13"/>
            </w:pPr>
            <w:r>
              <w:t>资金支付率</w:t>
            </w:r>
          </w:p>
        </w:tc>
        <w:tc>
          <w:tcPr>
            <w:tcW w:w="5386" w:type="dxa"/>
            <w:vAlign w:val="center"/>
          </w:tcPr>
          <w:p w14:paraId="585CB298">
            <w:pPr>
              <w:pStyle w:val="13"/>
            </w:pPr>
            <w:r>
              <w:t>按照序时进度完成资金支付</w:t>
            </w:r>
          </w:p>
        </w:tc>
        <w:tc>
          <w:tcPr>
            <w:tcW w:w="2268" w:type="dxa"/>
            <w:vAlign w:val="center"/>
          </w:tcPr>
          <w:p w14:paraId="04180C73">
            <w:pPr>
              <w:pStyle w:val="13"/>
            </w:pPr>
            <w:r>
              <w:t>≥100%</w:t>
            </w:r>
          </w:p>
        </w:tc>
        <w:tc>
          <w:tcPr>
            <w:tcW w:w="1276" w:type="dxa"/>
            <w:vAlign w:val="center"/>
          </w:tcPr>
          <w:p w14:paraId="6E9854AE">
            <w:pPr>
              <w:pStyle w:val="13"/>
            </w:pPr>
            <w:r>
              <w:t>幼儿园生均公用经费管理办法</w:t>
            </w:r>
          </w:p>
        </w:tc>
      </w:tr>
      <w:tr w14:paraId="33FB2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94C69"/>
        </w:tc>
        <w:tc>
          <w:tcPr>
            <w:tcW w:w="2268" w:type="dxa"/>
            <w:vAlign w:val="center"/>
          </w:tcPr>
          <w:p w14:paraId="7891F4B9">
            <w:pPr>
              <w:pStyle w:val="13"/>
            </w:pPr>
            <w:r>
              <w:t>成本指标</w:t>
            </w:r>
          </w:p>
        </w:tc>
        <w:tc>
          <w:tcPr>
            <w:tcW w:w="2835" w:type="dxa"/>
            <w:vAlign w:val="center"/>
          </w:tcPr>
          <w:p w14:paraId="3938B3FB">
            <w:pPr>
              <w:pStyle w:val="13"/>
            </w:pPr>
            <w:r>
              <w:t>生均拨款标准</w:t>
            </w:r>
          </w:p>
        </w:tc>
        <w:tc>
          <w:tcPr>
            <w:tcW w:w="5386" w:type="dxa"/>
            <w:vAlign w:val="center"/>
          </w:tcPr>
          <w:p w14:paraId="593E8F67">
            <w:pPr>
              <w:pStyle w:val="13"/>
            </w:pPr>
            <w:r>
              <w:t>学前经费600元/生/年</w:t>
            </w:r>
          </w:p>
        </w:tc>
        <w:tc>
          <w:tcPr>
            <w:tcW w:w="2268" w:type="dxa"/>
            <w:vAlign w:val="center"/>
          </w:tcPr>
          <w:p w14:paraId="004DB3B9">
            <w:pPr>
              <w:pStyle w:val="13"/>
            </w:pPr>
            <w:r>
              <w:t>600元</w:t>
            </w:r>
          </w:p>
        </w:tc>
        <w:tc>
          <w:tcPr>
            <w:tcW w:w="1276" w:type="dxa"/>
            <w:vAlign w:val="center"/>
          </w:tcPr>
          <w:p w14:paraId="55339204">
            <w:pPr>
              <w:pStyle w:val="13"/>
            </w:pPr>
            <w:r>
              <w:t>幼儿园生均公用经费管理办法</w:t>
            </w:r>
          </w:p>
        </w:tc>
      </w:tr>
      <w:tr w14:paraId="35ED0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7E6A15">
            <w:pPr>
              <w:pStyle w:val="12"/>
            </w:pPr>
            <w:r>
              <w:t>效益指标</w:t>
            </w:r>
          </w:p>
        </w:tc>
        <w:tc>
          <w:tcPr>
            <w:tcW w:w="2268" w:type="dxa"/>
            <w:vAlign w:val="center"/>
          </w:tcPr>
          <w:p w14:paraId="6CF98CEF">
            <w:pPr>
              <w:pStyle w:val="13"/>
            </w:pPr>
            <w:r>
              <w:t>可持续影响指标</w:t>
            </w:r>
          </w:p>
        </w:tc>
        <w:tc>
          <w:tcPr>
            <w:tcW w:w="2835" w:type="dxa"/>
            <w:vAlign w:val="center"/>
          </w:tcPr>
          <w:p w14:paraId="37E7B33F">
            <w:pPr>
              <w:pStyle w:val="13"/>
            </w:pPr>
            <w:r>
              <w:t>教育发展水平明显好转</w:t>
            </w:r>
          </w:p>
        </w:tc>
        <w:tc>
          <w:tcPr>
            <w:tcW w:w="5386" w:type="dxa"/>
            <w:vAlign w:val="center"/>
          </w:tcPr>
          <w:p w14:paraId="5DA8EE57">
            <w:pPr>
              <w:pStyle w:val="13"/>
            </w:pPr>
            <w:r>
              <w:t>学生受教育年限</w:t>
            </w:r>
          </w:p>
        </w:tc>
        <w:tc>
          <w:tcPr>
            <w:tcW w:w="2268" w:type="dxa"/>
            <w:vAlign w:val="center"/>
          </w:tcPr>
          <w:p w14:paraId="71897A0B">
            <w:pPr>
              <w:pStyle w:val="13"/>
            </w:pPr>
            <w:r>
              <w:t>3年</w:t>
            </w:r>
          </w:p>
        </w:tc>
        <w:tc>
          <w:tcPr>
            <w:tcW w:w="1276" w:type="dxa"/>
            <w:vAlign w:val="center"/>
          </w:tcPr>
          <w:p w14:paraId="3CF8C541">
            <w:pPr>
              <w:pStyle w:val="13"/>
            </w:pPr>
            <w:r>
              <w:t>幼儿园生均公用经费管理办法</w:t>
            </w:r>
          </w:p>
        </w:tc>
      </w:tr>
      <w:tr w14:paraId="0AE23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0C83EC">
            <w:pPr>
              <w:pStyle w:val="12"/>
            </w:pPr>
            <w:r>
              <w:t>满意度指标</w:t>
            </w:r>
          </w:p>
        </w:tc>
        <w:tc>
          <w:tcPr>
            <w:tcW w:w="2268" w:type="dxa"/>
            <w:vAlign w:val="center"/>
          </w:tcPr>
          <w:p w14:paraId="4C4393E5">
            <w:pPr>
              <w:pStyle w:val="13"/>
            </w:pPr>
            <w:r>
              <w:t>服务对象满意度指标</w:t>
            </w:r>
          </w:p>
        </w:tc>
        <w:tc>
          <w:tcPr>
            <w:tcW w:w="2835" w:type="dxa"/>
            <w:vAlign w:val="center"/>
          </w:tcPr>
          <w:p w14:paraId="4D2D16C7">
            <w:pPr>
              <w:pStyle w:val="13"/>
            </w:pPr>
            <w:r>
              <w:t>受益学生家长及调查满意度</w:t>
            </w:r>
          </w:p>
        </w:tc>
        <w:tc>
          <w:tcPr>
            <w:tcW w:w="5386" w:type="dxa"/>
            <w:vAlign w:val="center"/>
          </w:tcPr>
          <w:p w14:paraId="0E015C08">
            <w:pPr>
              <w:pStyle w:val="13"/>
            </w:pPr>
            <w:r>
              <w:t>学生、教师及家长对学校保教保育工作满意度情况</w:t>
            </w:r>
          </w:p>
        </w:tc>
        <w:tc>
          <w:tcPr>
            <w:tcW w:w="2268" w:type="dxa"/>
            <w:vAlign w:val="center"/>
          </w:tcPr>
          <w:p w14:paraId="2AE98F3D">
            <w:pPr>
              <w:pStyle w:val="13"/>
            </w:pPr>
            <w:r>
              <w:t>≥95%</w:t>
            </w:r>
          </w:p>
        </w:tc>
        <w:tc>
          <w:tcPr>
            <w:tcW w:w="1276" w:type="dxa"/>
            <w:vAlign w:val="center"/>
          </w:tcPr>
          <w:p w14:paraId="34FD547C">
            <w:pPr>
              <w:pStyle w:val="13"/>
            </w:pPr>
            <w:r>
              <w:t>调查问卷</w:t>
            </w:r>
          </w:p>
        </w:tc>
      </w:tr>
    </w:tbl>
    <w:p w14:paraId="6DC6EC74">
      <w:pPr>
        <w:sectPr>
          <w:pgSz w:w="16840" w:h="11900" w:orient="landscape"/>
          <w:pgMar w:top="1361" w:right="1020" w:bottom="1134" w:left="1020" w:header="720" w:footer="720" w:gutter="0"/>
          <w:cols w:space="720" w:num="1"/>
        </w:sectPr>
      </w:pPr>
    </w:p>
    <w:p w14:paraId="4ED72C42">
      <w:pPr>
        <w:spacing w:before="0" w:after="0"/>
        <w:ind w:firstLine="560"/>
        <w:jc w:val="left"/>
        <w:outlineLvl w:val="9"/>
      </w:pPr>
      <w:r>
        <w:rPr>
          <w:rFonts w:ascii="方正仿宋_GBK" w:hAnsi="方正仿宋_GBK" w:eastAsia="方正仿宋_GBK" w:cs="方正仿宋_GBK"/>
          <w:b/>
          <w:color w:val="000000"/>
          <w:sz w:val="28"/>
        </w:rPr>
        <w:t>72、冀财教[2024]142号/省级/2025年学前发展资金/隆尧县乐学幼儿园学前教育公用经费绩效目标表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CE4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000E0">
            <w:pPr>
              <w:pStyle w:val="14"/>
            </w:pPr>
            <w:r>
              <w:t>单位：万元</w:t>
            </w:r>
          </w:p>
        </w:tc>
      </w:tr>
      <w:tr w14:paraId="6784C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2D6246">
            <w:pPr>
              <w:pStyle w:val="11"/>
            </w:pPr>
            <w:r>
              <w:t>项目编码</w:t>
            </w:r>
          </w:p>
        </w:tc>
        <w:tc>
          <w:tcPr>
            <w:tcW w:w="5103" w:type="dxa"/>
            <w:gridSpan w:val="2"/>
            <w:vAlign w:val="center"/>
          </w:tcPr>
          <w:p w14:paraId="177F87C8">
            <w:pPr>
              <w:pStyle w:val="13"/>
            </w:pPr>
            <w:r>
              <w:t>13052525P00875710025R</w:t>
            </w:r>
          </w:p>
        </w:tc>
        <w:tc>
          <w:tcPr>
            <w:tcW w:w="2835" w:type="dxa"/>
            <w:vAlign w:val="center"/>
          </w:tcPr>
          <w:p w14:paraId="716849B6">
            <w:pPr>
              <w:pStyle w:val="11"/>
            </w:pPr>
            <w:r>
              <w:t>项目名称</w:t>
            </w:r>
          </w:p>
        </w:tc>
        <w:tc>
          <w:tcPr>
            <w:tcW w:w="6095" w:type="dxa"/>
            <w:gridSpan w:val="3"/>
            <w:vAlign w:val="center"/>
          </w:tcPr>
          <w:p w14:paraId="1BEB9D8E">
            <w:pPr>
              <w:pStyle w:val="13"/>
            </w:pPr>
            <w:r>
              <w:t>冀财教[2024]142号/省级/2025年学前发展资金/隆尧县乐学幼儿园学前教育公用经费</w:t>
            </w:r>
          </w:p>
        </w:tc>
      </w:tr>
      <w:tr w14:paraId="6ED98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6CB63">
            <w:pPr>
              <w:pStyle w:val="11"/>
            </w:pPr>
            <w:r>
              <w:t>预算规模及资金用途</w:t>
            </w:r>
          </w:p>
        </w:tc>
        <w:tc>
          <w:tcPr>
            <w:tcW w:w="2268" w:type="dxa"/>
            <w:vAlign w:val="center"/>
          </w:tcPr>
          <w:p w14:paraId="13FDEB2A">
            <w:pPr>
              <w:pStyle w:val="11"/>
            </w:pPr>
            <w:r>
              <w:t>预算数</w:t>
            </w:r>
          </w:p>
        </w:tc>
        <w:tc>
          <w:tcPr>
            <w:tcW w:w="2835" w:type="dxa"/>
            <w:vAlign w:val="center"/>
          </w:tcPr>
          <w:p w14:paraId="33424A4E">
            <w:pPr>
              <w:pStyle w:val="13"/>
            </w:pPr>
            <w:r>
              <w:t>0.78</w:t>
            </w:r>
          </w:p>
        </w:tc>
        <w:tc>
          <w:tcPr>
            <w:tcW w:w="2835" w:type="dxa"/>
            <w:vAlign w:val="center"/>
          </w:tcPr>
          <w:p w14:paraId="35A7D837">
            <w:pPr>
              <w:pStyle w:val="11"/>
            </w:pPr>
            <w:r>
              <w:t>其中：财政    资金</w:t>
            </w:r>
          </w:p>
        </w:tc>
        <w:tc>
          <w:tcPr>
            <w:tcW w:w="2551" w:type="dxa"/>
            <w:vAlign w:val="center"/>
          </w:tcPr>
          <w:p w14:paraId="2E3DC600">
            <w:pPr>
              <w:pStyle w:val="13"/>
            </w:pPr>
            <w:r>
              <w:t>0.78</w:t>
            </w:r>
          </w:p>
        </w:tc>
        <w:tc>
          <w:tcPr>
            <w:tcW w:w="2268" w:type="dxa"/>
            <w:vAlign w:val="center"/>
          </w:tcPr>
          <w:p w14:paraId="6AB9D6B7">
            <w:pPr>
              <w:pStyle w:val="11"/>
            </w:pPr>
            <w:r>
              <w:t>其他资金</w:t>
            </w:r>
          </w:p>
        </w:tc>
        <w:tc>
          <w:tcPr>
            <w:tcW w:w="1276" w:type="dxa"/>
            <w:vAlign w:val="center"/>
          </w:tcPr>
          <w:p w14:paraId="452F8FA0">
            <w:pPr>
              <w:pStyle w:val="13"/>
            </w:pPr>
            <w:r>
              <w:t xml:space="preserve"> </w:t>
            </w:r>
          </w:p>
        </w:tc>
      </w:tr>
      <w:tr w14:paraId="6C0F0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89B741"/>
        </w:tc>
        <w:tc>
          <w:tcPr>
            <w:tcW w:w="14033" w:type="dxa"/>
            <w:gridSpan w:val="6"/>
            <w:vAlign w:val="center"/>
          </w:tcPr>
          <w:p w14:paraId="396F94F6">
            <w:pPr>
              <w:pStyle w:val="13"/>
            </w:pPr>
            <w:r>
              <w:t>按季度分批次拨付安排公用经费资金，学校按照预算安排进行资金使用，保证资金正常支出。</w:t>
            </w:r>
          </w:p>
        </w:tc>
      </w:tr>
      <w:tr w14:paraId="7A13E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31FF1">
            <w:pPr>
              <w:pStyle w:val="11"/>
            </w:pPr>
            <w:r>
              <w:t>资金支出计划（%）</w:t>
            </w:r>
          </w:p>
        </w:tc>
        <w:tc>
          <w:tcPr>
            <w:tcW w:w="5103" w:type="dxa"/>
            <w:gridSpan w:val="2"/>
            <w:vAlign w:val="center"/>
          </w:tcPr>
          <w:p w14:paraId="0E1D8829">
            <w:pPr>
              <w:pStyle w:val="11"/>
            </w:pPr>
            <w:r>
              <w:t>3月底</w:t>
            </w:r>
          </w:p>
        </w:tc>
        <w:tc>
          <w:tcPr>
            <w:tcW w:w="2835" w:type="dxa"/>
            <w:vAlign w:val="center"/>
          </w:tcPr>
          <w:p w14:paraId="5B2FE44E">
            <w:pPr>
              <w:pStyle w:val="11"/>
            </w:pPr>
            <w:r>
              <w:t>6月底</w:t>
            </w:r>
          </w:p>
        </w:tc>
        <w:tc>
          <w:tcPr>
            <w:tcW w:w="2551" w:type="dxa"/>
            <w:vAlign w:val="center"/>
          </w:tcPr>
          <w:p w14:paraId="2C249DAF">
            <w:pPr>
              <w:pStyle w:val="11"/>
            </w:pPr>
            <w:r>
              <w:t>10月底</w:t>
            </w:r>
          </w:p>
        </w:tc>
        <w:tc>
          <w:tcPr>
            <w:tcW w:w="3544" w:type="dxa"/>
            <w:gridSpan w:val="2"/>
            <w:vAlign w:val="center"/>
          </w:tcPr>
          <w:p w14:paraId="2AEDAEEA">
            <w:pPr>
              <w:pStyle w:val="11"/>
            </w:pPr>
            <w:r>
              <w:t>12月底</w:t>
            </w:r>
          </w:p>
        </w:tc>
      </w:tr>
      <w:tr w14:paraId="74429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958DA6"/>
        </w:tc>
        <w:tc>
          <w:tcPr>
            <w:tcW w:w="5103" w:type="dxa"/>
            <w:gridSpan w:val="2"/>
            <w:vAlign w:val="center"/>
          </w:tcPr>
          <w:p w14:paraId="7C5027F1">
            <w:pPr>
              <w:pStyle w:val="12"/>
            </w:pPr>
            <w:r>
              <w:t xml:space="preserve"> </w:t>
            </w:r>
          </w:p>
        </w:tc>
        <w:tc>
          <w:tcPr>
            <w:tcW w:w="2835" w:type="dxa"/>
            <w:vAlign w:val="center"/>
          </w:tcPr>
          <w:p w14:paraId="2E1D74F8">
            <w:pPr>
              <w:pStyle w:val="12"/>
            </w:pPr>
            <w:r>
              <w:t>50%</w:t>
            </w:r>
          </w:p>
        </w:tc>
        <w:tc>
          <w:tcPr>
            <w:tcW w:w="2551" w:type="dxa"/>
            <w:vAlign w:val="center"/>
          </w:tcPr>
          <w:p w14:paraId="36D2FE87">
            <w:pPr>
              <w:pStyle w:val="12"/>
            </w:pPr>
            <w:r>
              <w:t>75%</w:t>
            </w:r>
          </w:p>
        </w:tc>
        <w:tc>
          <w:tcPr>
            <w:tcW w:w="3544" w:type="dxa"/>
            <w:gridSpan w:val="2"/>
            <w:vAlign w:val="center"/>
          </w:tcPr>
          <w:p w14:paraId="75306FC5">
            <w:pPr>
              <w:pStyle w:val="12"/>
            </w:pPr>
            <w:r>
              <w:t>100%</w:t>
            </w:r>
          </w:p>
        </w:tc>
      </w:tr>
      <w:tr w14:paraId="18366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984BAE">
            <w:pPr>
              <w:pStyle w:val="11"/>
            </w:pPr>
            <w:r>
              <w:t>绩效目标</w:t>
            </w:r>
          </w:p>
        </w:tc>
        <w:tc>
          <w:tcPr>
            <w:tcW w:w="14033" w:type="dxa"/>
            <w:gridSpan w:val="6"/>
            <w:vAlign w:val="center"/>
          </w:tcPr>
          <w:p w14:paraId="5CD118E2">
            <w:pPr>
              <w:pStyle w:val="13"/>
            </w:pPr>
            <w:r>
              <w:t>1.按季度分批次拨付安排公用经费资金，学校按照预算安排进行资金使用，保证资金正常支出。</w:t>
            </w:r>
          </w:p>
        </w:tc>
      </w:tr>
    </w:tbl>
    <w:p w14:paraId="44BE4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03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D66A5">
            <w:pPr>
              <w:pStyle w:val="11"/>
            </w:pPr>
            <w:r>
              <w:t>一级指标</w:t>
            </w:r>
          </w:p>
        </w:tc>
        <w:tc>
          <w:tcPr>
            <w:tcW w:w="2268" w:type="dxa"/>
            <w:vAlign w:val="center"/>
          </w:tcPr>
          <w:p w14:paraId="4A8E4BE9">
            <w:pPr>
              <w:pStyle w:val="11"/>
            </w:pPr>
            <w:r>
              <w:t>二级指标</w:t>
            </w:r>
          </w:p>
        </w:tc>
        <w:tc>
          <w:tcPr>
            <w:tcW w:w="2835" w:type="dxa"/>
            <w:vAlign w:val="center"/>
          </w:tcPr>
          <w:p w14:paraId="09AC3275">
            <w:pPr>
              <w:pStyle w:val="11"/>
            </w:pPr>
            <w:r>
              <w:t>三级指标</w:t>
            </w:r>
          </w:p>
        </w:tc>
        <w:tc>
          <w:tcPr>
            <w:tcW w:w="5386" w:type="dxa"/>
            <w:vAlign w:val="center"/>
          </w:tcPr>
          <w:p w14:paraId="44960F6F">
            <w:pPr>
              <w:pStyle w:val="11"/>
            </w:pPr>
            <w:r>
              <w:t>绩效指标描述</w:t>
            </w:r>
          </w:p>
        </w:tc>
        <w:tc>
          <w:tcPr>
            <w:tcW w:w="2268" w:type="dxa"/>
            <w:vAlign w:val="center"/>
          </w:tcPr>
          <w:p w14:paraId="2CD21BB7">
            <w:pPr>
              <w:pStyle w:val="11"/>
            </w:pPr>
            <w:r>
              <w:t>指标值</w:t>
            </w:r>
          </w:p>
        </w:tc>
        <w:tc>
          <w:tcPr>
            <w:tcW w:w="1276" w:type="dxa"/>
            <w:vAlign w:val="center"/>
          </w:tcPr>
          <w:p w14:paraId="79F89E52">
            <w:pPr>
              <w:pStyle w:val="11"/>
            </w:pPr>
            <w:r>
              <w:t>指标值确定依据</w:t>
            </w:r>
          </w:p>
        </w:tc>
      </w:tr>
      <w:tr w14:paraId="41588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C50FD">
            <w:pPr>
              <w:pStyle w:val="12"/>
            </w:pPr>
            <w:r>
              <w:t>产出指标</w:t>
            </w:r>
          </w:p>
        </w:tc>
        <w:tc>
          <w:tcPr>
            <w:tcW w:w="2268" w:type="dxa"/>
            <w:vAlign w:val="center"/>
          </w:tcPr>
          <w:p w14:paraId="421D4665">
            <w:pPr>
              <w:pStyle w:val="13"/>
            </w:pPr>
            <w:r>
              <w:t>数量指标</w:t>
            </w:r>
          </w:p>
        </w:tc>
        <w:tc>
          <w:tcPr>
            <w:tcW w:w="2835" w:type="dxa"/>
            <w:vAlign w:val="center"/>
          </w:tcPr>
          <w:p w14:paraId="2E1897B3">
            <w:pPr>
              <w:pStyle w:val="13"/>
            </w:pPr>
            <w:r>
              <w:t>适龄在校生</w:t>
            </w:r>
          </w:p>
        </w:tc>
        <w:tc>
          <w:tcPr>
            <w:tcW w:w="5386" w:type="dxa"/>
            <w:vAlign w:val="center"/>
          </w:tcPr>
          <w:p w14:paraId="685B12BB">
            <w:pPr>
              <w:pStyle w:val="13"/>
            </w:pPr>
            <w:r>
              <w:t>辖区内适龄儿童全覆盖</w:t>
            </w:r>
          </w:p>
        </w:tc>
        <w:tc>
          <w:tcPr>
            <w:tcW w:w="2268" w:type="dxa"/>
            <w:vAlign w:val="center"/>
          </w:tcPr>
          <w:p w14:paraId="3043AA8F">
            <w:pPr>
              <w:pStyle w:val="13"/>
            </w:pPr>
            <w:r>
              <w:t>52人</w:t>
            </w:r>
          </w:p>
        </w:tc>
        <w:tc>
          <w:tcPr>
            <w:tcW w:w="1276" w:type="dxa"/>
            <w:vAlign w:val="center"/>
          </w:tcPr>
          <w:p w14:paraId="6A86E46C">
            <w:pPr>
              <w:pStyle w:val="13"/>
            </w:pPr>
            <w:r>
              <w:t>幼儿园生均公用经费管理办法</w:t>
            </w:r>
          </w:p>
        </w:tc>
      </w:tr>
      <w:tr w14:paraId="478E4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77B05"/>
        </w:tc>
        <w:tc>
          <w:tcPr>
            <w:tcW w:w="2268" w:type="dxa"/>
            <w:vAlign w:val="center"/>
          </w:tcPr>
          <w:p w14:paraId="51A78231">
            <w:pPr>
              <w:pStyle w:val="13"/>
            </w:pPr>
            <w:r>
              <w:t>质量指标</w:t>
            </w:r>
          </w:p>
        </w:tc>
        <w:tc>
          <w:tcPr>
            <w:tcW w:w="2835" w:type="dxa"/>
            <w:vAlign w:val="center"/>
          </w:tcPr>
          <w:p w14:paraId="5B635A70">
            <w:pPr>
              <w:pStyle w:val="13"/>
            </w:pPr>
            <w:r>
              <w:t>预算控制率</w:t>
            </w:r>
          </w:p>
        </w:tc>
        <w:tc>
          <w:tcPr>
            <w:tcW w:w="5386" w:type="dxa"/>
            <w:vAlign w:val="center"/>
          </w:tcPr>
          <w:p w14:paraId="05B81468">
            <w:pPr>
              <w:pStyle w:val="13"/>
            </w:pPr>
            <w:r>
              <w:t>预算执行</w:t>
            </w:r>
          </w:p>
        </w:tc>
        <w:tc>
          <w:tcPr>
            <w:tcW w:w="2268" w:type="dxa"/>
            <w:vAlign w:val="center"/>
          </w:tcPr>
          <w:p w14:paraId="184F4F74">
            <w:pPr>
              <w:pStyle w:val="13"/>
            </w:pPr>
            <w:r>
              <w:t>≥95%</w:t>
            </w:r>
          </w:p>
        </w:tc>
        <w:tc>
          <w:tcPr>
            <w:tcW w:w="1276" w:type="dxa"/>
            <w:vAlign w:val="center"/>
          </w:tcPr>
          <w:p w14:paraId="1DEE0FB9">
            <w:pPr>
              <w:pStyle w:val="13"/>
            </w:pPr>
            <w:r>
              <w:t>幼儿园生均公用经费管理办法</w:t>
            </w:r>
          </w:p>
        </w:tc>
      </w:tr>
      <w:tr w14:paraId="13CDF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9CD51"/>
        </w:tc>
        <w:tc>
          <w:tcPr>
            <w:tcW w:w="2268" w:type="dxa"/>
            <w:vAlign w:val="center"/>
          </w:tcPr>
          <w:p w14:paraId="28F46A50">
            <w:pPr>
              <w:pStyle w:val="13"/>
            </w:pPr>
            <w:r>
              <w:t>时效指标</w:t>
            </w:r>
          </w:p>
        </w:tc>
        <w:tc>
          <w:tcPr>
            <w:tcW w:w="2835" w:type="dxa"/>
            <w:vAlign w:val="center"/>
          </w:tcPr>
          <w:p w14:paraId="467926F1">
            <w:pPr>
              <w:pStyle w:val="13"/>
            </w:pPr>
            <w:r>
              <w:t>资金支付率</w:t>
            </w:r>
          </w:p>
        </w:tc>
        <w:tc>
          <w:tcPr>
            <w:tcW w:w="5386" w:type="dxa"/>
            <w:vAlign w:val="center"/>
          </w:tcPr>
          <w:p w14:paraId="20BA34B1">
            <w:pPr>
              <w:pStyle w:val="13"/>
            </w:pPr>
            <w:r>
              <w:t>按照序时进度完成资金支付</w:t>
            </w:r>
          </w:p>
        </w:tc>
        <w:tc>
          <w:tcPr>
            <w:tcW w:w="2268" w:type="dxa"/>
            <w:vAlign w:val="center"/>
          </w:tcPr>
          <w:p w14:paraId="2BC9DA2A">
            <w:pPr>
              <w:pStyle w:val="13"/>
            </w:pPr>
            <w:r>
              <w:t>≥100%</w:t>
            </w:r>
          </w:p>
        </w:tc>
        <w:tc>
          <w:tcPr>
            <w:tcW w:w="1276" w:type="dxa"/>
            <w:vAlign w:val="center"/>
          </w:tcPr>
          <w:p w14:paraId="0908F9D3">
            <w:pPr>
              <w:pStyle w:val="13"/>
            </w:pPr>
            <w:r>
              <w:t>幼儿园生均公用经费管理办法</w:t>
            </w:r>
          </w:p>
        </w:tc>
      </w:tr>
      <w:tr w14:paraId="52DC3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3198D"/>
        </w:tc>
        <w:tc>
          <w:tcPr>
            <w:tcW w:w="2268" w:type="dxa"/>
            <w:vAlign w:val="center"/>
          </w:tcPr>
          <w:p w14:paraId="74B2A6B0">
            <w:pPr>
              <w:pStyle w:val="13"/>
            </w:pPr>
            <w:r>
              <w:t>成本指标</w:t>
            </w:r>
          </w:p>
        </w:tc>
        <w:tc>
          <w:tcPr>
            <w:tcW w:w="2835" w:type="dxa"/>
            <w:vAlign w:val="center"/>
          </w:tcPr>
          <w:p w14:paraId="0C1BC5FA">
            <w:pPr>
              <w:pStyle w:val="13"/>
            </w:pPr>
            <w:r>
              <w:t>生均拨款标准</w:t>
            </w:r>
          </w:p>
        </w:tc>
        <w:tc>
          <w:tcPr>
            <w:tcW w:w="5386" w:type="dxa"/>
            <w:vAlign w:val="center"/>
          </w:tcPr>
          <w:p w14:paraId="546408E3">
            <w:pPr>
              <w:pStyle w:val="13"/>
            </w:pPr>
            <w:r>
              <w:t>学前经费600元/生/年</w:t>
            </w:r>
          </w:p>
        </w:tc>
        <w:tc>
          <w:tcPr>
            <w:tcW w:w="2268" w:type="dxa"/>
            <w:vAlign w:val="center"/>
          </w:tcPr>
          <w:p w14:paraId="7BCEDE03">
            <w:pPr>
              <w:pStyle w:val="13"/>
            </w:pPr>
            <w:r>
              <w:t>600元</w:t>
            </w:r>
          </w:p>
        </w:tc>
        <w:tc>
          <w:tcPr>
            <w:tcW w:w="1276" w:type="dxa"/>
            <w:vAlign w:val="center"/>
          </w:tcPr>
          <w:p w14:paraId="2B50E295">
            <w:pPr>
              <w:pStyle w:val="13"/>
            </w:pPr>
            <w:r>
              <w:t>幼儿园生均公用经费管理办法</w:t>
            </w:r>
          </w:p>
        </w:tc>
      </w:tr>
      <w:tr w14:paraId="456EB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FCF16">
            <w:pPr>
              <w:pStyle w:val="12"/>
            </w:pPr>
            <w:r>
              <w:t>效益指标</w:t>
            </w:r>
          </w:p>
        </w:tc>
        <w:tc>
          <w:tcPr>
            <w:tcW w:w="2268" w:type="dxa"/>
            <w:vAlign w:val="center"/>
          </w:tcPr>
          <w:p w14:paraId="55C84132">
            <w:pPr>
              <w:pStyle w:val="13"/>
            </w:pPr>
            <w:r>
              <w:t>可持续影响指标</w:t>
            </w:r>
          </w:p>
        </w:tc>
        <w:tc>
          <w:tcPr>
            <w:tcW w:w="2835" w:type="dxa"/>
            <w:vAlign w:val="center"/>
          </w:tcPr>
          <w:p w14:paraId="38A697B9">
            <w:pPr>
              <w:pStyle w:val="13"/>
            </w:pPr>
            <w:r>
              <w:t>教育发展水平明显好转</w:t>
            </w:r>
          </w:p>
        </w:tc>
        <w:tc>
          <w:tcPr>
            <w:tcW w:w="5386" w:type="dxa"/>
            <w:vAlign w:val="center"/>
          </w:tcPr>
          <w:p w14:paraId="68F5AFA3">
            <w:pPr>
              <w:pStyle w:val="13"/>
            </w:pPr>
            <w:r>
              <w:t>学生受教育年限</w:t>
            </w:r>
          </w:p>
        </w:tc>
        <w:tc>
          <w:tcPr>
            <w:tcW w:w="2268" w:type="dxa"/>
            <w:vAlign w:val="center"/>
          </w:tcPr>
          <w:p w14:paraId="0DA9F3A5">
            <w:pPr>
              <w:pStyle w:val="13"/>
            </w:pPr>
            <w:r>
              <w:t>3年</w:t>
            </w:r>
          </w:p>
        </w:tc>
        <w:tc>
          <w:tcPr>
            <w:tcW w:w="1276" w:type="dxa"/>
            <w:vAlign w:val="center"/>
          </w:tcPr>
          <w:p w14:paraId="60A90314">
            <w:pPr>
              <w:pStyle w:val="13"/>
            </w:pPr>
            <w:r>
              <w:t>幼儿园生均公用经费管理办法</w:t>
            </w:r>
          </w:p>
        </w:tc>
      </w:tr>
      <w:tr w14:paraId="6D07E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582DA8">
            <w:pPr>
              <w:pStyle w:val="12"/>
            </w:pPr>
            <w:r>
              <w:t>满意度指标</w:t>
            </w:r>
          </w:p>
        </w:tc>
        <w:tc>
          <w:tcPr>
            <w:tcW w:w="2268" w:type="dxa"/>
            <w:vAlign w:val="center"/>
          </w:tcPr>
          <w:p w14:paraId="093D8864">
            <w:pPr>
              <w:pStyle w:val="13"/>
            </w:pPr>
            <w:r>
              <w:t>服务对象满意度指标</w:t>
            </w:r>
          </w:p>
        </w:tc>
        <w:tc>
          <w:tcPr>
            <w:tcW w:w="2835" w:type="dxa"/>
            <w:vAlign w:val="center"/>
          </w:tcPr>
          <w:p w14:paraId="4318852D">
            <w:pPr>
              <w:pStyle w:val="13"/>
            </w:pPr>
            <w:r>
              <w:t>受益学生家长及调查满意度</w:t>
            </w:r>
          </w:p>
        </w:tc>
        <w:tc>
          <w:tcPr>
            <w:tcW w:w="5386" w:type="dxa"/>
            <w:vAlign w:val="center"/>
          </w:tcPr>
          <w:p w14:paraId="3AF8EAA5">
            <w:pPr>
              <w:pStyle w:val="13"/>
            </w:pPr>
            <w:r>
              <w:t>学生、教师及家长对学校保教保育工作满意度情况</w:t>
            </w:r>
          </w:p>
        </w:tc>
        <w:tc>
          <w:tcPr>
            <w:tcW w:w="2268" w:type="dxa"/>
            <w:vAlign w:val="center"/>
          </w:tcPr>
          <w:p w14:paraId="4D52E2D5">
            <w:pPr>
              <w:pStyle w:val="13"/>
            </w:pPr>
            <w:r>
              <w:t>≥95%</w:t>
            </w:r>
          </w:p>
        </w:tc>
        <w:tc>
          <w:tcPr>
            <w:tcW w:w="1276" w:type="dxa"/>
            <w:vAlign w:val="center"/>
          </w:tcPr>
          <w:p w14:paraId="32F19ABB">
            <w:pPr>
              <w:pStyle w:val="13"/>
            </w:pPr>
            <w:r>
              <w:t>调查问卷</w:t>
            </w:r>
          </w:p>
        </w:tc>
      </w:tr>
    </w:tbl>
    <w:p w14:paraId="7E184AC9">
      <w:pPr>
        <w:sectPr>
          <w:pgSz w:w="16840" w:h="11900" w:orient="landscape"/>
          <w:pgMar w:top="1361" w:right="1020" w:bottom="1134" w:left="1020" w:header="720" w:footer="720" w:gutter="0"/>
          <w:cols w:space="720" w:num="1"/>
        </w:sectPr>
      </w:pPr>
    </w:p>
    <w:p w14:paraId="4E559AC4">
      <w:pPr>
        <w:spacing w:before="0" w:after="0"/>
        <w:ind w:firstLine="560"/>
        <w:jc w:val="left"/>
        <w:outlineLvl w:val="9"/>
      </w:pPr>
      <w:r>
        <w:rPr>
          <w:rFonts w:ascii="方正仿宋_GBK" w:hAnsi="方正仿宋_GBK" w:eastAsia="方正仿宋_GBK" w:cs="方正仿宋_GBK"/>
          <w:b/>
          <w:color w:val="000000"/>
          <w:sz w:val="28"/>
        </w:rPr>
        <w:t>73、冀财教[2024]142号/省级/2025年学前发展资金/隆尧县明星幼儿园学前教育公用经费绩效目标表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CB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767A6">
            <w:pPr>
              <w:pStyle w:val="14"/>
            </w:pPr>
            <w:r>
              <w:t>单位：万元</w:t>
            </w:r>
          </w:p>
        </w:tc>
      </w:tr>
      <w:tr w14:paraId="0E9CF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E75307">
            <w:pPr>
              <w:pStyle w:val="11"/>
            </w:pPr>
            <w:r>
              <w:t>项目编码</w:t>
            </w:r>
          </w:p>
        </w:tc>
        <w:tc>
          <w:tcPr>
            <w:tcW w:w="5103" w:type="dxa"/>
            <w:gridSpan w:val="2"/>
            <w:vAlign w:val="center"/>
          </w:tcPr>
          <w:p w14:paraId="731D6E99">
            <w:pPr>
              <w:pStyle w:val="13"/>
            </w:pPr>
            <w:r>
              <w:t>13052525P008757100246</w:t>
            </w:r>
          </w:p>
        </w:tc>
        <w:tc>
          <w:tcPr>
            <w:tcW w:w="2835" w:type="dxa"/>
            <w:vAlign w:val="center"/>
          </w:tcPr>
          <w:p w14:paraId="19D7D6C9">
            <w:pPr>
              <w:pStyle w:val="11"/>
            </w:pPr>
            <w:r>
              <w:t>项目名称</w:t>
            </w:r>
          </w:p>
        </w:tc>
        <w:tc>
          <w:tcPr>
            <w:tcW w:w="6095" w:type="dxa"/>
            <w:gridSpan w:val="3"/>
            <w:vAlign w:val="center"/>
          </w:tcPr>
          <w:p w14:paraId="17CE1A55">
            <w:pPr>
              <w:pStyle w:val="13"/>
            </w:pPr>
            <w:r>
              <w:t>冀财教[2024]142号/省级/2025年学前发展资金/隆尧县明星幼儿园学前教育公用经费</w:t>
            </w:r>
          </w:p>
        </w:tc>
      </w:tr>
      <w:tr w14:paraId="28336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F78CE">
            <w:pPr>
              <w:pStyle w:val="11"/>
            </w:pPr>
            <w:r>
              <w:t>预算规模及资金用途</w:t>
            </w:r>
          </w:p>
        </w:tc>
        <w:tc>
          <w:tcPr>
            <w:tcW w:w="2268" w:type="dxa"/>
            <w:vAlign w:val="center"/>
          </w:tcPr>
          <w:p w14:paraId="493291E3">
            <w:pPr>
              <w:pStyle w:val="11"/>
            </w:pPr>
            <w:r>
              <w:t>预算数</w:t>
            </w:r>
          </w:p>
        </w:tc>
        <w:tc>
          <w:tcPr>
            <w:tcW w:w="2835" w:type="dxa"/>
            <w:vAlign w:val="center"/>
          </w:tcPr>
          <w:p w14:paraId="7457DFD4">
            <w:pPr>
              <w:pStyle w:val="13"/>
            </w:pPr>
            <w:r>
              <w:t>0.65</w:t>
            </w:r>
          </w:p>
        </w:tc>
        <w:tc>
          <w:tcPr>
            <w:tcW w:w="2835" w:type="dxa"/>
            <w:vAlign w:val="center"/>
          </w:tcPr>
          <w:p w14:paraId="5C5971C3">
            <w:pPr>
              <w:pStyle w:val="11"/>
            </w:pPr>
            <w:r>
              <w:t>其中：财政    资金</w:t>
            </w:r>
          </w:p>
        </w:tc>
        <w:tc>
          <w:tcPr>
            <w:tcW w:w="2551" w:type="dxa"/>
            <w:vAlign w:val="center"/>
          </w:tcPr>
          <w:p w14:paraId="02CC1540">
            <w:pPr>
              <w:pStyle w:val="13"/>
            </w:pPr>
            <w:r>
              <w:t>0.65</w:t>
            </w:r>
          </w:p>
        </w:tc>
        <w:tc>
          <w:tcPr>
            <w:tcW w:w="2268" w:type="dxa"/>
            <w:vAlign w:val="center"/>
          </w:tcPr>
          <w:p w14:paraId="5BAB243A">
            <w:pPr>
              <w:pStyle w:val="11"/>
            </w:pPr>
            <w:r>
              <w:t>其他资金</w:t>
            </w:r>
          </w:p>
        </w:tc>
        <w:tc>
          <w:tcPr>
            <w:tcW w:w="1276" w:type="dxa"/>
            <w:vAlign w:val="center"/>
          </w:tcPr>
          <w:p w14:paraId="4A131E80">
            <w:pPr>
              <w:pStyle w:val="13"/>
            </w:pPr>
            <w:r>
              <w:t xml:space="preserve"> </w:t>
            </w:r>
          </w:p>
        </w:tc>
      </w:tr>
      <w:tr w14:paraId="28B41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4C4E1"/>
        </w:tc>
        <w:tc>
          <w:tcPr>
            <w:tcW w:w="14033" w:type="dxa"/>
            <w:gridSpan w:val="6"/>
            <w:vAlign w:val="center"/>
          </w:tcPr>
          <w:p w14:paraId="700D1082">
            <w:pPr>
              <w:pStyle w:val="13"/>
            </w:pPr>
            <w:r>
              <w:t>按季度分批次拨付安排公用经费资金，学校按照预算安排进行资金使用，保证资金正常支出。</w:t>
            </w:r>
            <w:r>
              <w:tab/>
            </w:r>
            <w:r>
              <w:tab/>
            </w:r>
            <w:r>
              <w:tab/>
            </w:r>
            <w:r>
              <w:tab/>
            </w:r>
            <w:r>
              <w:tab/>
            </w:r>
            <w:r>
              <w:tab/>
            </w:r>
          </w:p>
          <w:p w14:paraId="47B5989D">
            <w:pPr>
              <w:pStyle w:val="13"/>
            </w:pPr>
          </w:p>
        </w:tc>
      </w:tr>
      <w:tr w14:paraId="33ED3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686F6">
            <w:pPr>
              <w:pStyle w:val="11"/>
            </w:pPr>
            <w:r>
              <w:t>资金支出计划（%）</w:t>
            </w:r>
          </w:p>
        </w:tc>
        <w:tc>
          <w:tcPr>
            <w:tcW w:w="5103" w:type="dxa"/>
            <w:gridSpan w:val="2"/>
            <w:vAlign w:val="center"/>
          </w:tcPr>
          <w:p w14:paraId="784731FD">
            <w:pPr>
              <w:pStyle w:val="11"/>
            </w:pPr>
            <w:r>
              <w:t>3月底</w:t>
            </w:r>
          </w:p>
        </w:tc>
        <w:tc>
          <w:tcPr>
            <w:tcW w:w="2835" w:type="dxa"/>
            <w:vAlign w:val="center"/>
          </w:tcPr>
          <w:p w14:paraId="2C3ECFDB">
            <w:pPr>
              <w:pStyle w:val="11"/>
            </w:pPr>
            <w:r>
              <w:t>6月底</w:t>
            </w:r>
          </w:p>
        </w:tc>
        <w:tc>
          <w:tcPr>
            <w:tcW w:w="2551" w:type="dxa"/>
            <w:vAlign w:val="center"/>
          </w:tcPr>
          <w:p w14:paraId="6D03945F">
            <w:pPr>
              <w:pStyle w:val="11"/>
            </w:pPr>
            <w:r>
              <w:t>10月底</w:t>
            </w:r>
          </w:p>
        </w:tc>
        <w:tc>
          <w:tcPr>
            <w:tcW w:w="3544" w:type="dxa"/>
            <w:gridSpan w:val="2"/>
            <w:vAlign w:val="center"/>
          </w:tcPr>
          <w:p w14:paraId="489FBB1E">
            <w:pPr>
              <w:pStyle w:val="11"/>
            </w:pPr>
            <w:r>
              <w:t>12月底</w:t>
            </w:r>
          </w:p>
        </w:tc>
      </w:tr>
      <w:tr w14:paraId="10E80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04F19"/>
        </w:tc>
        <w:tc>
          <w:tcPr>
            <w:tcW w:w="5103" w:type="dxa"/>
            <w:gridSpan w:val="2"/>
            <w:vAlign w:val="center"/>
          </w:tcPr>
          <w:p w14:paraId="586A69E7">
            <w:pPr>
              <w:pStyle w:val="12"/>
            </w:pPr>
            <w:r>
              <w:t xml:space="preserve"> </w:t>
            </w:r>
          </w:p>
        </w:tc>
        <w:tc>
          <w:tcPr>
            <w:tcW w:w="2835" w:type="dxa"/>
            <w:vAlign w:val="center"/>
          </w:tcPr>
          <w:p w14:paraId="4B5627F2">
            <w:pPr>
              <w:pStyle w:val="12"/>
            </w:pPr>
            <w:r>
              <w:t>50%</w:t>
            </w:r>
          </w:p>
        </w:tc>
        <w:tc>
          <w:tcPr>
            <w:tcW w:w="2551" w:type="dxa"/>
            <w:vAlign w:val="center"/>
          </w:tcPr>
          <w:p w14:paraId="2F413365">
            <w:pPr>
              <w:pStyle w:val="12"/>
            </w:pPr>
            <w:r>
              <w:t>75%</w:t>
            </w:r>
          </w:p>
        </w:tc>
        <w:tc>
          <w:tcPr>
            <w:tcW w:w="3544" w:type="dxa"/>
            <w:gridSpan w:val="2"/>
            <w:vAlign w:val="center"/>
          </w:tcPr>
          <w:p w14:paraId="12B261AC">
            <w:pPr>
              <w:pStyle w:val="12"/>
            </w:pPr>
            <w:r>
              <w:t>100%</w:t>
            </w:r>
          </w:p>
        </w:tc>
      </w:tr>
      <w:tr w14:paraId="1AD86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447032">
            <w:pPr>
              <w:pStyle w:val="11"/>
            </w:pPr>
            <w:r>
              <w:t>绩效目标</w:t>
            </w:r>
          </w:p>
        </w:tc>
        <w:tc>
          <w:tcPr>
            <w:tcW w:w="14033" w:type="dxa"/>
            <w:gridSpan w:val="6"/>
            <w:vAlign w:val="center"/>
          </w:tcPr>
          <w:p w14:paraId="70C9F796">
            <w:pPr>
              <w:pStyle w:val="13"/>
            </w:pPr>
            <w:r>
              <w:t>1.按季度分批次拨付安排公用经费资金，学校按照预算安排进行资金使用，保证资金正常支出。</w:t>
            </w:r>
          </w:p>
        </w:tc>
      </w:tr>
    </w:tbl>
    <w:p w14:paraId="3005BD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45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E79E1">
            <w:pPr>
              <w:pStyle w:val="11"/>
            </w:pPr>
            <w:r>
              <w:t>一级指标</w:t>
            </w:r>
          </w:p>
        </w:tc>
        <w:tc>
          <w:tcPr>
            <w:tcW w:w="2268" w:type="dxa"/>
            <w:vAlign w:val="center"/>
          </w:tcPr>
          <w:p w14:paraId="16FBE96C">
            <w:pPr>
              <w:pStyle w:val="11"/>
            </w:pPr>
            <w:r>
              <w:t>二级指标</w:t>
            </w:r>
          </w:p>
        </w:tc>
        <w:tc>
          <w:tcPr>
            <w:tcW w:w="2835" w:type="dxa"/>
            <w:vAlign w:val="center"/>
          </w:tcPr>
          <w:p w14:paraId="5B7F97F1">
            <w:pPr>
              <w:pStyle w:val="11"/>
            </w:pPr>
            <w:r>
              <w:t>三级指标</w:t>
            </w:r>
          </w:p>
        </w:tc>
        <w:tc>
          <w:tcPr>
            <w:tcW w:w="5386" w:type="dxa"/>
            <w:vAlign w:val="center"/>
          </w:tcPr>
          <w:p w14:paraId="5CC50C92">
            <w:pPr>
              <w:pStyle w:val="11"/>
            </w:pPr>
            <w:r>
              <w:t>绩效指标描述</w:t>
            </w:r>
          </w:p>
        </w:tc>
        <w:tc>
          <w:tcPr>
            <w:tcW w:w="2268" w:type="dxa"/>
            <w:vAlign w:val="center"/>
          </w:tcPr>
          <w:p w14:paraId="57161BE4">
            <w:pPr>
              <w:pStyle w:val="11"/>
            </w:pPr>
            <w:r>
              <w:t>指标值</w:t>
            </w:r>
          </w:p>
        </w:tc>
        <w:tc>
          <w:tcPr>
            <w:tcW w:w="1276" w:type="dxa"/>
            <w:vAlign w:val="center"/>
          </w:tcPr>
          <w:p w14:paraId="1F07AC85">
            <w:pPr>
              <w:pStyle w:val="11"/>
            </w:pPr>
            <w:r>
              <w:t>指标值确定依据</w:t>
            </w:r>
          </w:p>
        </w:tc>
      </w:tr>
      <w:tr w14:paraId="5B972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B4722">
            <w:pPr>
              <w:pStyle w:val="12"/>
            </w:pPr>
            <w:r>
              <w:t>产出指标</w:t>
            </w:r>
          </w:p>
        </w:tc>
        <w:tc>
          <w:tcPr>
            <w:tcW w:w="2268" w:type="dxa"/>
            <w:vAlign w:val="center"/>
          </w:tcPr>
          <w:p w14:paraId="6790ABC5">
            <w:pPr>
              <w:pStyle w:val="13"/>
            </w:pPr>
            <w:r>
              <w:t>数量指标</w:t>
            </w:r>
          </w:p>
        </w:tc>
        <w:tc>
          <w:tcPr>
            <w:tcW w:w="2835" w:type="dxa"/>
            <w:vAlign w:val="center"/>
          </w:tcPr>
          <w:p w14:paraId="48546FC6">
            <w:pPr>
              <w:pStyle w:val="13"/>
            </w:pPr>
            <w:r>
              <w:t>适龄在校生</w:t>
            </w:r>
          </w:p>
        </w:tc>
        <w:tc>
          <w:tcPr>
            <w:tcW w:w="5386" w:type="dxa"/>
            <w:vAlign w:val="center"/>
          </w:tcPr>
          <w:p w14:paraId="6F48A693">
            <w:pPr>
              <w:pStyle w:val="13"/>
            </w:pPr>
            <w:r>
              <w:t>辖区内适龄儿童全覆盖</w:t>
            </w:r>
          </w:p>
        </w:tc>
        <w:tc>
          <w:tcPr>
            <w:tcW w:w="2268" w:type="dxa"/>
            <w:vAlign w:val="center"/>
          </w:tcPr>
          <w:p w14:paraId="65A079C0">
            <w:pPr>
              <w:pStyle w:val="13"/>
            </w:pPr>
            <w:r>
              <w:t>43人</w:t>
            </w:r>
          </w:p>
        </w:tc>
        <w:tc>
          <w:tcPr>
            <w:tcW w:w="1276" w:type="dxa"/>
            <w:vAlign w:val="center"/>
          </w:tcPr>
          <w:p w14:paraId="40B631C3">
            <w:pPr>
              <w:pStyle w:val="13"/>
            </w:pPr>
            <w:r>
              <w:t>幼儿园生均公用经费管理办法</w:t>
            </w:r>
          </w:p>
        </w:tc>
      </w:tr>
      <w:tr w14:paraId="01589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A50CE"/>
        </w:tc>
        <w:tc>
          <w:tcPr>
            <w:tcW w:w="2268" w:type="dxa"/>
            <w:vAlign w:val="center"/>
          </w:tcPr>
          <w:p w14:paraId="77CCE444">
            <w:pPr>
              <w:pStyle w:val="13"/>
            </w:pPr>
            <w:r>
              <w:t>质量指标</w:t>
            </w:r>
          </w:p>
        </w:tc>
        <w:tc>
          <w:tcPr>
            <w:tcW w:w="2835" w:type="dxa"/>
            <w:vAlign w:val="center"/>
          </w:tcPr>
          <w:p w14:paraId="57DBE875">
            <w:pPr>
              <w:pStyle w:val="13"/>
            </w:pPr>
            <w:r>
              <w:t>预算控制率</w:t>
            </w:r>
          </w:p>
        </w:tc>
        <w:tc>
          <w:tcPr>
            <w:tcW w:w="5386" w:type="dxa"/>
            <w:vAlign w:val="center"/>
          </w:tcPr>
          <w:p w14:paraId="6CA8FEDE">
            <w:pPr>
              <w:pStyle w:val="13"/>
            </w:pPr>
            <w:r>
              <w:t>预算执行</w:t>
            </w:r>
          </w:p>
        </w:tc>
        <w:tc>
          <w:tcPr>
            <w:tcW w:w="2268" w:type="dxa"/>
            <w:vAlign w:val="center"/>
          </w:tcPr>
          <w:p w14:paraId="26BA7A12">
            <w:pPr>
              <w:pStyle w:val="13"/>
            </w:pPr>
            <w:r>
              <w:t>≥95%</w:t>
            </w:r>
          </w:p>
        </w:tc>
        <w:tc>
          <w:tcPr>
            <w:tcW w:w="1276" w:type="dxa"/>
            <w:vAlign w:val="center"/>
          </w:tcPr>
          <w:p w14:paraId="4285DF73">
            <w:pPr>
              <w:pStyle w:val="13"/>
            </w:pPr>
            <w:r>
              <w:t>幼儿园生均公用经费管理办法</w:t>
            </w:r>
          </w:p>
        </w:tc>
      </w:tr>
      <w:tr w14:paraId="171CD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94D04"/>
        </w:tc>
        <w:tc>
          <w:tcPr>
            <w:tcW w:w="2268" w:type="dxa"/>
            <w:vAlign w:val="center"/>
          </w:tcPr>
          <w:p w14:paraId="36B46EEE">
            <w:pPr>
              <w:pStyle w:val="13"/>
            </w:pPr>
            <w:r>
              <w:t>时效指标</w:t>
            </w:r>
          </w:p>
        </w:tc>
        <w:tc>
          <w:tcPr>
            <w:tcW w:w="2835" w:type="dxa"/>
            <w:vAlign w:val="center"/>
          </w:tcPr>
          <w:p w14:paraId="486756D5">
            <w:pPr>
              <w:pStyle w:val="13"/>
            </w:pPr>
            <w:r>
              <w:t>资金支付率</w:t>
            </w:r>
          </w:p>
        </w:tc>
        <w:tc>
          <w:tcPr>
            <w:tcW w:w="5386" w:type="dxa"/>
            <w:vAlign w:val="center"/>
          </w:tcPr>
          <w:p w14:paraId="552C843E">
            <w:pPr>
              <w:pStyle w:val="13"/>
            </w:pPr>
            <w:r>
              <w:t>按照序时进度完成资金支付</w:t>
            </w:r>
          </w:p>
        </w:tc>
        <w:tc>
          <w:tcPr>
            <w:tcW w:w="2268" w:type="dxa"/>
            <w:vAlign w:val="center"/>
          </w:tcPr>
          <w:p w14:paraId="484D9270">
            <w:pPr>
              <w:pStyle w:val="13"/>
            </w:pPr>
            <w:r>
              <w:t>≥100%</w:t>
            </w:r>
          </w:p>
        </w:tc>
        <w:tc>
          <w:tcPr>
            <w:tcW w:w="1276" w:type="dxa"/>
            <w:vAlign w:val="center"/>
          </w:tcPr>
          <w:p w14:paraId="77524680">
            <w:pPr>
              <w:pStyle w:val="13"/>
            </w:pPr>
            <w:r>
              <w:t>幼儿园生均公用经费管理办法</w:t>
            </w:r>
          </w:p>
        </w:tc>
      </w:tr>
      <w:tr w14:paraId="7D729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F2181"/>
        </w:tc>
        <w:tc>
          <w:tcPr>
            <w:tcW w:w="2268" w:type="dxa"/>
            <w:vAlign w:val="center"/>
          </w:tcPr>
          <w:p w14:paraId="7FDE3A80">
            <w:pPr>
              <w:pStyle w:val="13"/>
            </w:pPr>
            <w:r>
              <w:t>成本指标</w:t>
            </w:r>
          </w:p>
        </w:tc>
        <w:tc>
          <w:tcPr>
            <w:tcW w:w="2835" w:type="dxa"/>
            <w:vAlign w:val="center"/>
          </w:tcPr>
          <w:p w14:paraId="3705DDB2">
            <w:pPr>
              <w:pStyle w:val="13"/>
            </w:pPr>
            <w:r>
              <w:t>生均拨款标准</w:t>
            </w:r>
          </w:p>
        </w:tc>
        <w:tc>
          <w:tcPr>
            <w:tcW w:w="5386" w:type="dxa"/>
            <w:vAlign w:val="center"/>
          </w:tcPr>
          <w:p w14:paraId="4AE0AA2B">
            <w:pPr>
              <w:pStyle w:val="13"/>
            </w:pPr>
            <w:r>
              <w:t>学前经费600元/生/年</w:t>
            </w:r>
          </w:p>
        </w:tc>
        <w:tc>
          <w:tcPr>
            <w:tcW w:w="2268" w:type="dxa"/>
            <w:vAlign w:val="center"/>
          </w:tcPr>
          <w:p w14:paraId="0472CAD9">
            <w:pPr>
              <w:pStyle w:val="13"/>
            </w:pPr>
            <w:r>
              <w:t>600元</w:t>
            </w:r>
          </w:p>
        </w:tc>
        <w:tc>
          <w:tcPr>
            <w:tcW w:w="1276" w:type="dxa"/>
            <w:vAlign w:val="center"/>
          </w:tcPr>
          <w:p w14:paraId="4A30A9EC">
            <w:pPr>
              <w:pStyle w:val="13"/>
            </w:pPr>
            <w:r>
              <w:t>幼儿园生均公用经费管理办法</w:t>
            </w:r>
          </w:p>
        </w:tc>
      </w:tr>
      <w:tr w14:paraId="79C74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25480B">
            <w:pPr>
              <w:pStyle w:val="12"/>
            </w:pPr>
            <w:r>
              <w:t>效益指标</w:t>
            </w:r>
          </w:p>
        </w:tc>
        <w:tc>
          <w:tcPr>
            <w:tcW w:w="2268" w:type="dxa"/>
            <w:vAlign w:val="center"/>
          </w:tcPr>
          <w:p w14:paraId="730EB0AA">
            <w:pPr>
              <w:pStyle w:val="13"/>
            </w:pPr>
            <w:r>
              <w:t>可持续影响指标</w:t>
            </w:r>
          </w:p>
        </w:tc>
        <w:tc>
          <w:tcPr>
            <w:tcW w:w="2835" w:type="dxa"/>
            <w:vAlign w:val="center"/>
          </w:tcPr>
          <w:p w14:paraId="584C162D">
            <w:pPr>
              <w:pStyle w:val="13"/>
            </w:pPr>
            <w:r>
              <w:t>教育发展水平明显好转</w:t>
            </w:r>
          </w:p>
        </w:tc>
        <w:tc>
          <w:tcPr>
            <w:tcW w:w="5386" w:type="dxa"/>
            <w:vAlign w:val="center"/>
          </w:tcPr>
          <w:p w14:paraId="08F81018">
            <w:pPr>
              <w:pStyle w:val="13"/>
            </w:pPr>
            <w:r>
              <w:t>学生受教育年限</w:t>
            </w:r>
          </w:p>
        </w:tc>
        <w:tc>
          <w:tcPr>
            <w:tcW w:w="2268" w:type="dxa"/>
            <w:vAlign w:val="center"/>
          </w:tcPr>
          <w:p w14:paraId="22D237FF">
            <w:pPr>
              <w:pStyle w:val="13"/>
            </w:pPr>
            <w:r>
              <w:t>3年</w:t>
            </w:r>
          </w:p>
        </w:tc>
        <w:tc>
          <w:tcPr>
            <w:tcW w:w="1276" w:type="dxa"/>
            <w:vAlign w:val="center"/>
          </w:tcPr>
          <w:p w14:paraId="1D01155F">
            <w:pPr>
              <w:pStyle w:val="13"/>
            </w:pPr>
            <w:r>
              <w:t>幼儿园生均公用经费管理办法</w:t>
            </w:r>
          </w:p>
        </w:tc>
      </w:tr>
      <w:tr w14:paraId="30CD0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F6654D">
            <w:pPr>
              <w:pStyle w:val="12"/>
            </w:pPr>
            <w:r>
              <w:t>满意度指标</w:t>
            </w:r>
          </w:p>
        </w:tc>
        <w:tc>
          <w:tcPr>
            <w:tcW w:w="2268" w:type="dxa"/>
            <w:vAlign w:val="center"/>
          </w:tcPr>
          <w:p w14:paraId="6B739F39">
            <w:pPr>
              <w:pStyle w:val="13"/>
            </w:pPr>
            <w:r>
              <w:t>服务对象满意度指标</w:t>
            </w:r>
          </w:p>
        </w:tc>
        <w:tc>
          <w:tcPr>
            <w:tcW w:w="2835" w:type="dxa"/>
            <w:vAlign w:val="center"/>
          </w:tcPr>
          <w:p w14:paraId="14FFB9F2">
            <w:pPr>
              <w:pStyle w:val="13"/>
            </w:pPr>
            <w:r>
              <w:t>受益学生家长及调查满意度</w:t>
            </w:r>
          </w:p>
        </w:tc>
        <w:tc>
          <w:tcPr>
            <w:tcW w:w="5386" w:type="dxa"/>
            <w:vAlign w:val="center"/>
          </w:tcPr>
          <w:p w14:paraId="70ADF3DA">
            <w:pPr>
              <w:pStyle w:val="13"/>
            </w:pPr>
            <w:r>
              <w:t>学生、教师及家长对学校保教保育工作满意度情况</w:t>
            </w:r>
          </w:p>
        </w:tc>
        <w:tc>
          <w:tcPr>
            <w:tcW w:w="2268" w:type="dxa"/>
            <w:vAlign w:val="center"/>
          </w:tcPr>
          <w:p w14:paraId="6D13DB13">
            <w:pPr>
              <w:pStyle w:val="13"/>
            </w:pPr>
            <w:r>
              <w:t>≥95%</w:t>
            </w:r>
          </w:p>
        </w:tc>
        <w:tc>
          <w:tcPr>
            <w:tcW w:w="1276" w:type="dxa"/>
            <w:vAlign w:val="center"/>
          </w:tcPr>
          <w:p w14:paraId="1B2AFEDD">
            <w:pPr>
              <w:pStyle w:val="13"/>
            </w:pPr>
            <w:r>
              <w:t>调查问卷</w:t>
            </w:r>
          </w:p>
        </w:tc>
      </w:tr>
    </w:tbl>
    <w:p w14:paraId="02A53C19">
      <w:pPr>
        <w:sectPr>
          <w:pgSz w:w="16840" w:h="11900" w:orient="landscape"/>
          <w:pgMar w:top="1361" w:right="1020" w:bottom="1134" w:left="1020" w:header="720" w:footer="720" w:gutter="0"/>
          <w:cols w:space="720" w:num="1"/>
        </w:sectPr>
      </w:pPr>
    </w:p>
    <w:p w14:paraId="21BC2A3A">
      <w:pPr>
        <w:spacing w:before="0" w:after="0"/>
        <w:ind w:firstLine="560"/>
        <w:jc w:val="left"/>
        <w:outlineLvl w:val="9"/>
      </w:pPr>
      <w:r>
        <w:rPr>
          <w:rFonts w:ascii="方正仿宋_GBK" w:hAnsi="方正仿宋_GBK" w:eastAsia="方正仿宋_GBK" w:cs="方正仿宋_GBK"/>
          <w:b/>
          <w:color w:val="000000"/>
          <w:sz w:val="28"/>
        </w:rPr>
        <w:t>74、冀财教[2024]142号/省级/2025年学前发展资金/隆尧县彭村宏星幼儿园学前教育公用经费绩效目标表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35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33A71">
            <w:pPr>
              <w:pStyle w:val="14"/>
            </w:pPr>
            <w:r>
              <w:t>单位：万元</w:t>
            </w:r>
          </w:p>
        </w:tc>
      </w:tr>
      <w:tr w14:paraId="0C3AC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F42C3">
            <w:pPr>
              <w:pStyle w:val="11"/>
            </w:pPr>
            <w:r>
              <w:t>项目编码</w:t>
            </w:r>
          </w:p>
        </w:tc>
        <w:tc>
          <w:tcPr>
            <w:tcW w:w="5103" w:type="dxa"/>
            <w:gridSpan w:val="2"/>
            <w:vAlign w:val="center"/>
          </w:tcPr>
          <w:p w14:paraId="263BBA68">
            <w:pPr>
              <w:pStyle w:val="13"/>
            </w:pPr>
            <w:r>
              <w:t>13052525P008757100342</w:t>
            </w:r>
          </w:p>
        </w:tc>
        <w:tc>
          <w:tcPr>
            <w:tcW w:w="2835" w:type="dxa"/>
            <w:vAlign w:val="center"/>
          </w:tcPr>
          <w:p w14:paraId="3BCB85FE">
            <w:pPr>
              <w:pStyle w:val="11"/>
            </w:pPr>
            <w:r>
              <w:t>项目名称</w:t>
            </w:r>
          </w:p>
        </w:tc>
        <w:tc>
          <w:tcPr>
            <w:tcW w:w="6095" w:type="dxa"/>
            <w:gridSpan w:val="3"/>
            <w:vAlign w:val="center"/>
          </w:tcPr>
          <w:p w14:paraId="18983C57">
            <w:pPr>
              <w:pStyle w:val="13"/>
            </w:pPr>
            <w:r>
              <w:t>冀财教[2024]142号/省级/2025年学前发展资金/隆尧县彭村宏星幼儿园学前教育公用经费</w:t>
            </w:r>
          </w:p>
        </w:tc>
      </w:tr>
      <w:tr w14:paraId="4A335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F7EA1">
            <w:pPr>
              <w:pStyle w:val="11"/>
            </w:pPr>
            <w:r>
              <w:t>预算规模及资金用途</w:t>
            </w:r>
          </w:p>
        </w:tc>
        <w:tc>
          <w:tcPr>
            <w:tcW w:w="2268" w:type="dxa"/>
            <w:vAlign w:val="center"/>
          </w:tcPr>
          <w:p w14:paraId="6C9CE5E8">
            <w:pPr>
              <w:pStyle w:val="11"/>
            </w:pPr>
            <w:r>
              <w:t>预算数</w:t>
            </w:r>
          </w:p>
        </w:tc>
        <w:tc>
          <w:tcPr>
            <w:tcW w:w="2835" w:type="dxa"/>
            <w:vAlign w:val="center"/>
          </w:tcPr>
          <w:p w14:paraId="3407FF99">
            <w:pPr>
              <w:pStyle w:val="13"/>
            </w:pPr>
            <w:r>
              <w:t>0.51</w:t>
            </w:r>
          </w:p>
        </w:tc>
        <w:tc>
          <w:tcPr>
            <w:tcW w:w="2835" w:type="dxa"/>
            <w:vAlign w:val="center"/>
          </w:tcPr>
          <w:p w14:paraId="19F7C93F">
            <w:pPr>
              <w:pStyle w:val="11"/>
            </w:pPr>
            <w:r>
              <w:t>其中：财政    资金</w:t>
            </w:r>
          </w:p>
        </w:tc>
        <w:tc>
          <w:tcPr>
            <w:tcW w:w="2551" w:type="dxa"/>
            <w:vAlign w:val="center"/>
          </w:tcPr>
          <w:p w14:paraId="2074E6CF">
            <w:pPr>
              <w:pStyle w:val="13"/>
            </w:pPr>
            <w:r>
              <w:t>0.51</w:t>
            </w:r>
          </w:p>
        </w:tc>
        <w:tc>
          <w:tcPr>
            <w:tcW w:w="2268" w:type="dxa"/>
            <w:vAlign w:val="center"/>
          </w:tcPr>
          <w:p w14:paraId="24D0512C">
            <w:pPr>
              <w:pStyle w:val="11"/>
            </w:pPr>
            <w:r>
              <w:t>其他资金</w:t>
            </w:r>
          </w:p>
        </w:tc>
        <w:tc>
          <w:tcPr>
            <w:tcW w:w="1276" w:type="dxa"/>
            <w:vAlign w:val="center"/>
          </w:tcPr>
          <w:p w14:paraId="29986D5A">
            <w:pPr>
              <w:pStyle w:val="13"/>
            </w:pPr>
            <w:r>
              <w:t xml:space="preserve"> </w:t>
            </w:r>
          </w:p>
        </w:tc>
      </w:tr>
      <w:tr w14:paraId="5E139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3C7289"/>
        </w:tc>
        <w:tc>
          <w:tcPr>
            <w:tcW w:w="14033" w:type="dxa"/>
            <w:gridSpan w:val="6"/>
            <w:vAlign w:val="center"/>
          </w:tcPr>
          <w:p w14:paraId="7CECDD53">
            <w:pPr>
              <w:pStyle w:val="13"/>
            </w:pPr>
            <w:r>
              <w:t>按季度分批次拨付安排公用经费资金，学校按照预算安排进行资金使用，保证资金正常支出。</w:t>
            </w:r>
          </w:p>
        </w:tc>
      </w:tr>
      <w:tr w14:paraId="4E31A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4964F">
            <w:pPr>
              <w:pStyle w:val="11"/>
            </w:pPr>
            <w:r>
              <w:t>资金支出计划（%）</w:t>
            </w:r>
          </w:p>
        </w:tc>
        <w:tc>
          <w:tcPr>
            <w:tcW w:w="5103" w:type="dxa"/>
            <w:gridSpan w:val="2"/>
            <w:vAlign w:val="center"/>
          </w:tcPr>
          <w:p w14:paraId="48DB7E61">
            <w:pPr>
              <w:pStyle w:val="11"/>
            </w:pPr>
            <w:r>
              <w:t>3月底</w:t>
            </w:r>
          </w:p>
        </w:tc>
        <w:tc>
          <w:tcPr>
            <w:tcW w:w="2835" w:type="dxa"/>
            <w:vAlign w:val="center"/>
          </w:tcPr>
          <w:p w14:paraId="7E96C5EF">
            <w:pPr>
              <w:pStyle w:val="11"/>
            </w:pPr>
            <w:r>
              <w:t>6月底</w:t>
            </w:r>
          </w:p>
        </w:tc>
        <w:tc>
          <w:tcPr>
            <w:tcW w:w="2551" w:type="dxa"/>
            <w:vAlign w:val="center"/>
          </w:tcPr>
          <w:p w14:paraId="5C1033AB">
            <w:pPr>
              <w:pStyle w:val="11"/>
            </w:pPr>
            <w:r>
              <w:t>10月底</w:t>
            </w:r>
          </w:p>
        </w:tc>
        <w:tc>
          <w:tcPr>
            <w:tcW w:w="3544" w:type="dxa"/>
            <w:gridSpan w:val="2"/>
            <w:vAlign w:val="center"/>
          </w:tcPr>
          <w:p w14:paraId="08A7D96F">
            <w:pPr>
              <w:pStyle w:val="11"/>
            </w:pPr>
            <w:r>
              <w:t>12月底</w:t>
            </w:r>
          </w:p>
        </w:tc>
      </w:tr>
      <w:tr w14:paraId="751D0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B1509"/>
        </w:tc>
        <w:tc>
          <w:tcPr>
            <w:tcW w:w="5103" w:type="dxa"/>
            <w:gridSpan w:val="2"/>
            <w:vAlign w:val="center"/>
          </w:tcPr>
          <w:p w14:paraId="572CA76C">
            <w:pPr>
              <w:pStyle w:val="12"/>
            </w:pPr>
            <w:r>
              <w:t xml:space="preserve"> </w:t>
            </w:r>
          </w:p>
        </w:tc>
        <w:tc>
          <w:tcPr>
            <w:tcW w:w="2835" w:type="dxa"/>
            <w:vAlign w:val="center"/>
          </w:tcPr>
          <w:p w14:paraId="0BF08AC4">
            <w:pPr>
              <w:pStyle w:val="12"/>
            </w:pPr>
            <w:r>
              <w:t>50%</w:t>
            </w:r>
          </w:p>
        </w:tc>
        <w:tc>
          <w:tcPr>
            <w:tcW w:w="2551" w:type="dxa"/>
            <w:vAlign w:val="center"/>
          </w:tcPr>
          <w:p w14:paraId="3A6B2877">
            <w:pPr>
              <w:pStyle w:val="12"/>
            </w:pPr>
            <w:r>
              <w:t>75%</w:t>
            </w:r>
          </w:p>
        </w:tc>
        <w:tc>
          <w:tcPr>
            <w:tcW w:w="3544" w:type="dxa"/>
            <w:gridSpan w:val="2"/>
            <w:vAlign w:val="center"/>
          </w:tcPr>
          <w:p w14:paraId="7277E8A1">
            <w:pPr>
              <w:pStyle w:val="12"/>
            </w:pPr>
            <w:r>
              <w:t>100%</w:t>
            </w:r>
          </w:p>
        </w:tc>
      </w:tr>
      <w:tr w14:paraId="66616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13E4C">
            <w:pPr>
              <w:pStyle w:val="11"/>
            </w:pPr>
            <w:r>
              <w:t>绩效目标</w:t>
            </w:r>
          </w:p>
        </w:tc>
        <w:tc>
          <w:tcPr>
            <w:tcW w:w="14033" w:type="dxa"/>
            <w:gridSpan w:val="6"/>
            <w:vAlign w:val="center"/>
          </w:tcPr>
          <w:p w14:paraId="0505A3AF">
            <w:pPr>
              <w:pStyle w:val="13"/>
            </w:pPr>
            <w:r>
              <w:t>1.按季度分批次拨付安排公用经费资金，学校按照预算安排进行资金使用，保证资金正常支出。</w:t>
            </w:r>
          </w:p>
        </w:tc>
      </w:tr>
    </w:tbl>
    <w:p w14:paraId="689BD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BD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EC1AD">
            <w:pPr>
              <w:pStyle w:val="11"/>
            </w:pPr>
            <w:r>
              <w:t>一级指标</w:t>
            </w:r>
          </w:p>
        </w:tc>
        <w:tc>
          <w:tcPr>
            <w:tcW w:w="2268" w:type="dxa"/>
            <w:vAlign w:val="center"/>
          </w:tcPr>
          <w:p w14:paraId="5A873859">
            <w:pPr>
              <w:pStyle w:val="11"/>
            </w:pPr>
            <w:r>
              <w:t>二级指标</w:t>
            </w:r>
          </w:p>
        </w:tc>
        <w:tc>
          <w:tcPr>
            <w:tcW w:w="2835" w:type="dxa"/>
            <w:vAlign w:val="center"/>
          </w:tcPr>
          <w:p w14:paraId="7C2CDD71">
            <w:pPr>
              <w:pStyle w:val="11"/>
            </w:pPr>
            <w:r>
              <w:t>三级指标</w:t>
            </w:r>
          </w:p>
        </w:tc>
        <w:tc>
          <w:tcPr>
            <w:tcW w:w="5386" w:type="dxa"/>
            <w:vAlign w:val="center"/>
          </w:tcPr>
          <w:p w14:paraId="1C873041">
            <w:pPr>
              <w:pStyle w:val="11"/>
            </w:pPr>
            <w:r>
              <w:t>绩效指标描述</w:t>
            </w:r>
          </w:p>
        </w:tc>
        <w:tc>
          <w:tcPr>
            <w:tcW w:w="2268" w:type="dxa"/>
            <w:vAlign w:val="center"/>
          </w:tcPr>
          <w:p w14:paraId="79052FD4">
            <w:pPr>
              <w:pStyle w:val="11"/>
            </w:pPr>
            <w:r>
              <w:t>指标值</w:t>
            </w:r>
          </w:p>
        </w:tc>
        <w:tc>
          <w:tcPr>
            <w:tcW w:w="1276" w:type="dxa"/>
            <w:vAlign w:val="center"/>
          </w:tcPr>
          <w:p w14:paraId="500CD4B7">
            <w:pPr>
              <w:pStyle w:val="11"/>
            </w:pPr>
            <w:r>
              <w:t>指标值确定依据</w:t>
            </w:r>
          </w:p>
        </w:tc>
      </w:tr>
      <w:tr w14:paraId="2CE44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CAF3E">
            <w:pPr>
              <w:pStyle w:val="12"/>
            </w:pPr>
            <w:r>
              <w:t>产出指标</w:t>
            </w:r>
          </w:p>
        </w:tc>
        <w:tc>
          <w:tcPr>
            <w:tcW w:w="2268" w:type="dxa"/>
            <w:vAlign w:val="center"/>
          </w:tcPr>
          <w:p w14:paraId="40E03719">
            <w:pPr>
              <w:pStyle w:val="13"/>
            </w:pPr>
            <w:r>
              <w:t>数量指标</w:t>
            </w:r>
          </w:p>
        </w:tc>
        <w:tc>
          <w:tcPr>
            <w:tcW w:w="2835" w:type="dxa"/>
            <w:vAlign w:val="center"/>
          </w:tcPr>
          <w:p w14:paraId="2801ECB7">
            <w:pPr>
              <w:pStyle w:val="13"/>
            </w:pPr>
            <w:r>
              <w:t>适龄在校生</w:t>
            </w:r>
          </w:p>
        </w:tc>
        <w:tc>
          <w:tcPr>
            <w:tcW w:w="5386" w:type="dxa"/>
            <w:vAlign w:val="center"/>
          </w:tcPr>
          <w:p w14:paraId="40AD8F56">
            <w:pPr>
              <w:pStyle w:val="13"/>
            </w:pPr>
            <w:r>
              <w:t>辖区内适龄儿童全覆盖</w:t>
            </w:r>
          </w:p>
        </w:tc>
        <w:tc>
          <w:tcPr>
            <w:tcW w:w="2268" w:type="dxa"/>
            <w:vAlign w:val="center"/>
          </w:tcPr>
          <w:p w14:paraId="3166C2EA">
            <w:pPr>
              <w:pStyle w:val="13"/>
            </w:pPr>
            <w:r>
              <w:t>34人</w:t>
            </w:r>
          </w:p>
        </w:tc>
        <w:tc>
          <w:tcPr>
            <w:tcW w:w="1276" w:type="dxa"/>
            <w:vAlign w:val="center"/>
          </w:tcPr>
          <w:p w14:paraId="53F58540">
            <w:pPr>
              <w:pStyle w:val="13"/>
            </w:pPr>
            <w:r>
              <w:t>幼儿园生均公用经费管理办法</w:t>
            </w:r>
          </w:p>
        </w:tc>
      </w:tr>
      <w:tr w14:paraId="434BA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8B66F"/>
        </w:tc>
        <w:tc>
          <w:tcPr>
            <w:tcW w:w="2268" w:type="dxa"/>
            <w:vAlign w:val="center"/>
          </w:tcPr>
          <w:p w14:paraId="10D4C530">
            <w:pPr>
              <w:pStyle w:val="13"/>
            </w:pPr>
            <w:r>
              <w:t>质量指标</w:t>
            </w:r>
          </w:p>
        </w:tc>
        <w:tc>
          <w:tcPr>
            <w:tcW w:w="2835" w:type="dxa"/>
            <w:vAlign w:val="center"/>
          </w:tcPr>
          <w:p w14:paraId="365280F2">
            <w:pPr>
              <w:pStyle w:val="13"/>
            </w:pPr>
            <w:r>
              <w:t>预算控制率</w:t>
            </w:r>
          </w:p>
        </w:tc>
        <w:tc>
          <w:tcPr>
            <w:tcW w:w="5386" w:type="dxa"/>
            <w:vAlign w:val="center"/>
          </w:tcPr>
          <w:p w14:paraId="2B20C26A">
            <w:pPr>
              <w:pStyle w:val="13"/>
            </w:pPr>
            <w:r>
              <w:t>预算执行</w:t>
            </w:r>
          </w:p>
        </w:tc>
        <w:tc>
          <w:tcPr>
            <w:tcW w:w="2268" w:type="dxa"/>
            <w:vAlign w:val="center"/>
          </w:tcPr>
          <w:p w14:paraId="539F47C4">
            <w:pPr>
              <w:pStyle w:val="13"/>
            </w:pPr>
            <w:r>
              <w:t>≥95%</w:t>
            </w:r>
          </w:p>
        </w:tc>
        <w:tc>
          <w:tcPr>
            <w:tcW w:w="1276" w:type="dxa"/>
            <w:vAlign w:val="center"/>
          </w:tcPr>
          <w:p w14:paraId="44FB01EA">
            <w:pPr>
              <w:pStyle w:val="13"/>
            </w:pPr>
            <w:r>
              <w:t>幼儿园生均公用经费管理办法</w:t>
            </w:r>
          </w:p>
        </w:tc>
      </w:tr>
      <w:tr w14:paraId="32F2A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2D2F9"/>
        </w:tc>
        <w:tc>
          <w:tcPr>
            <w:tcW w:w="2268" w:type="dxa"/>
            <w:vAlign w:val="center"/>
          </w:tcPr>
          <w:p w14:paraId="72D2E89D">
            <w:pPr>
              <w:pStyle w:val="13"/>
            </w:pPr>
            <w:r>
              <w:t>时效指标</w:t>
            </w:r>
          </w:p>
        </w:tc>
        <w:tc>
          <w:tcPr>
            <w:tcW w:w="2835" w:type="dxa"/>
            <w:vAlign w:val="center"/>
          </w:tcPr>
          <w:p w14:paraId="66813F07">
            <w:pPr>
              <w:pStyle w:val="13"/>
            </w:pPr>
            <w:r>
              <w:t>资金支付率</w:t>
            </w:r>
          </w:p>
        </w:tc>
        <w:tc>
          <w:tcPr>
            <w:tcW w:w="5386" w:type="dxa"/>
            <w:vAlign w:val="center"/>
          </w:tcPr>
          <w:p w14:paraId="549F37D1">
            <w:pPr>
              <w:pStyle w:val="13"/>
            </w:pPr>
            <w:r>
              <w:t>按照序时进度完成资金支付</w:t>
            </w:r>
          </w:p>
        </w:tc>
        <w:tc>
          <w:tcPr>
            <w:tcW w:w="2268" w:type="dxa"/>
            <w:vAlign w:val="center"/>
          </w:tcPr>
          <w:p w14:paraId="268964C2">
            <w:pPr>
              <w:pStyle w:val="13"/>
            </w:pPr>
            <w:r>
              <w:t>≥100%</w:t>
            </w:r>
          </w:p>
        </w:tc>
        <w:tc>
          <w:tcPr>
            <w:tcW w:w="1276" w:type="dxa"/>
            <w:vAlign w:val="center"/>
          </w:tcPr>
          <w:p w14:paraId="1E3E5340">
            <w:pPr>
              <w:pStyle w:val="13"/>
            </w:pPr>
            <w:r>
              <w:t>幼儿园生均公用经费管理办法</w:t>
            </w:r>
          </w:p>
        </w:tc>
      </w:tr>
      <w:tr w14:paraId="2AA5D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80246"/>
        </w:tc>
        <w:tc>
          <w:tcPr>
            <w:tcW w:w="2268" w:type="dxa"/>
            <w:vAlign w:val="center"/>
          </w:tcPr>
          <w:p w14:paraId="7592F6BC">
            <w:pPr>
              <w:pStyle w:val="13"/>
            </w:pPr>
            <w:r>
              <w:t>成本指标</w:t>
            </w:r>
          </w:p>
        </w:tc>
        <w:tc>
          <w:tcPr>
            <w:tcW w:w="2835" w:type="dxa"/>
            <w:vAlign w:val="center"/>
          </w:tcPr>
          <w:p w14:paraId="24E32812">
            <w:pPr>
              <w:pStyle w:val="13"/>
            </w:pPr>
            <w:r>
              <w:t>生均拨款标准</w:t>
            </w:r>
          </w:p>
        </w:tc>
        <w:tc>
          <w:tcPr>
            <w:tcW w:w="5386" w:type="dxa"/>
            <w:vAlign w:val="center"/>
          </w:tcPr>
          <w:p w14:paraId="3A8506B1">
            <w:pPr>
              <w:pStyle w:val="13"/>
            </w:pPr>
            <w:r>
              <w:t>学前经费600元/生/年</w:t>
            </w:r>
          </w:p>
        </w:tc>
        <w:tc>
          <w:tcPr>
            <w:tcW w:w="2268" w:type="dxa"/>
            <w:vAlign w:val="center"/>
          </w:tcPr>
          <w:p w14:paraId="79CAC3EC">
            <w:pPr>
              <w:pStyle w:val="13"/>
            </w:pPr>
            <w:r>
              <w:t>600元</w:t>
            </w:r>
          </w:p>
        </w:tc>
        <w:tc>
          <w:tcPr>
            <w:tcW w:w="1276" w:type="dxa"/>
            <w:vAlign w:val="center"/>
          </w:tcPr>
          <w:p w14:paraId="77D5C5A8">
            <w:pPr>
              <w:pStyle w:val="13"/>
            </w:pPr>
            <w:r>
              <w:t>幼儿园生均公用经费管理办法</w:t>
            </w:r>
          </w:p>
        </w:tc>
      </w:tr>
      <w:tr w14:paraId="005CF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A73A8A">
            <w:pPr>
              <w:pStyle w:val="12"/>
            </w:pPr>
            <w:r>
              <w:t>效益指标</w:t>
            </w:r>
          </w:p>
        </w:tc>
        <w:tc>
          <w:tcPr>
            <w:tcW w:w="2268" w:type="dxa"/>
            <w:vAlign w:val="center"/>
          </w:tcPr>
          <w:p w14:paraId="526DB26D">
            <w:pPr>
              <w:pStyle w:val="13"/>
            </w:pPr>
            <w:r>
              <w:t>可持续影响指标</w:t>
            </w:r>
          </w:p>
        </w:tc>
        <w:tc>
          <w:tcPr>
            <w:tcW w:w="2835" w:type="dxa"/>
            <w:vAlign w:val="center"/>
          </w:tcPr>
          <w:p w14:paraId="5621180B">
            <w:pPr>
              <w:pStyle w:val="13"/>
            </w:pPr>
            <w:r>
              <w:t>教育发展水平明显好转</w:t>
            </w:r>
          </w:p>
        </w:tc>
        <w:tc>
          <w:tcPr>
            <w:tcW w:w="5386" w:type="dxa"/>
            <w:vAlign w:val="center"/>
          </w:tcPr>
          <w:p w14:paraId="3F4BC2F9">
            <w:pPr>
              <w:pStyle w:val="13"/>
            </w:pPr>
            <w:r>
              <w:t>学生受教育年限</w:t>
            </w:r>
          </w:p>
        </w:tc>
        <w:tc>
          <w:tcPr>
            <w:tcW w:w="2268" w:type="dxa"/>
            <w:vAlign w:val="center"/>
          </w:tcPr>
          <w:p w14:paraId="5B338659">
            <w:pPr>
              <w:pStyle w:val="13"/>
            </w:pPr>
            <w:r>
              <w:t>3年</w:t>
            </w:r>
          </w:p>
        </w:tc>
        <w:tc>
          <w:tcPr>
            <w:tcW w:w="1276" w:type="dxa"/>
            <w:vAlign w:val="center"/>
          </w:tcPr>
          <w:p w14:paraId="109913F9">
            <w:pPr>
              <w:pStyle w:val="13"/>
            </w:pPr>
            <w:r>
              <w:t>幼儿园生均公用经费管理办法</w:t>
            </w:r>
          </w:p>
        </w:tc>
      </w:tr>
      <w:tr w14:paraId="6F535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BBD1BE">
            <w:pPr>
              <w:pStyle w:val="12"/>
            </w:pPr>
            <w:r>
              <w:t>满意度指标</w:t>
            </w:r>
          </w:p>
        </w:tc>
        <w:tc>
          <w:tcPr>
            <w:tcW w:w="2268" w:type="dxa"/>
            <w:vAlign w:val="center"/>
          </w:tcPr>
          <w:p w14:paraId="175F028B">
            <w:pPr>
              <w:pStyle w:val="13"/>
            </w:pPr>
            <w:r>
              <w:t>服务对象满意度指标</w:t>
            </w:r>
          </w:p>
        </w:tc>
        <w:tc>
          <w:tcPr>
            <w:tcW w:w="2835" w:type="dxa"/>
            <w:vAlign w:val="center"/>
          </w:tcPr>
          <w:p w14:paraId="13E40E73">
            <w:pPr>
              <w:pStyle w:val="13"/>
            </w:pPr>
            <w:r>
              <w:t>受益学生家长及调查满意度</w:t>
            </w:r>
          </w:p>
        </w:tc>
        <w:tc>
          <w:tcPr>
            <w:tcW w:w="5386" w:type="dxa"/>
            <w:vAlign w:val="center"/>
          </w:tcPr>
          <w:p w14:paraId="5D109403">
            <w:pPr>
              <w:pStyle w:val="13"/>
            </w:pPr>
            <w:r>
              <w:t>学生、教师及家长对学校保教保育工作满意度情况</w:t>
            </w:r>
          </w:p>
        </w:tc>
        <w:tc>
          <w:tcPr>
            <w:tcW w:w="2268" w:type="dxa"/>
            <w:vAlign w:val="center"/>
          </w:tcPr>
          <w:p w14:paraId="78465E52">
            <w:pPr>
              <w:pStyle w:val="13"/>
            </w:pPr>
            <w:r>
              <w:t>≥95%</w:t>
            </w:r>
          </w:p>
        </w:tc>
        <w:tc>
          <w:tcPr>
            <w:tcW w:w="1276" w:type="dxa"/>
            <w:vAlign w:val="center"/>
          </w:tcPr>
          <w:p w14:paraId="49DDB3B4">
            <w:pPr>
              <w:pStyle w:val="13"/>
            </w:pPr>
            <w:r>
              <w:t>调查问卷</w:t>
            </w:r>
          </w:p>
        </w:tc>
      </w:tr>
    </w:tbl>
    <w:p w14:paraId="51A73F84">
      <w:pPr>
        <w:sectPr>
          <w:pgSz w:w="16840" w:h="11900" w:orient="landscape"/>
          <w:pgMar w:top="1361" w:right="1020" w:bottom="1134" w:left="1020" w:header="720" w:footer="720" w:gutter="0"/>
          <w:cols w:space="720" w:num="1"/>
        </w:sectPr>
      </w:pPr>
    </w:p>
    <w:p w14:paraId="144AED85">
      <w:pPr>
        <w:spacing w:before="0" w:after="0"/>
        <w:ind w:firstLine="560"/>
        <w:jc w:val="left"/>
        <w:outlineLvl w:val="9"/>
      </w:pPr>
      <w:r>
        <w:rPr>
          <w:rFonts w:ascii="方正仿宋_GBK" w:hAnsi="方正仿宋_GBK" w:eastAsia="方正仿宋_GBK" w:cs="方正仿宋_GBK"/>
          <w:b/>
          <w:color w:val="000000"/>
          <w:sz w:val="28"/>
        </w:rPr>
        <w:t>75、冀财教[2024]142号/省级/2025年学前发展资金/隆尧县七色光幼儿园学前教育公用经费绩效目标表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41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469C3">
            <w:pPr>
              <w:pStyle w:val="14"/>
            </w:pPr>
            <w:r>
              <w:t>单位：万元</w:t>
            </w:r>
          </w:p>
        </w:tc>
      </w:tr>
      <w:tr w14:paraId="2D148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3BE63">
            <w:pPr>
              <w:pStyle w:val="11"/>
            </w:pPr>
            <w:r>
              <w:t>项目编码</w:t>
            </w:r>
          </w:p>
        </w:tc>
        <w:tc>
          <w:tcPr>
            <w:tcW w:w="5103" w:type="dxa"/>
            <w:gridSpan w:val="2"/>
            <w:vAlign w:val="center"/>
          </w:tcPr>
          <w:p w14:paraId="27C87035">
            <w:pPr>
              <w:pStyle w:val="13"/>
            </w:pPr>
            <w:r>
              <w:t>13052525P00875710021B</w:t>
            </w:r>
          </w:p>
        </w:tc>
        <w:tc>
          <w:tcPr>
            <w:tcW w:w="2835" w:type="dxa"/>
            <w:vAlign w:val="center"/>
          </w:tcPr>
          <w:p w14:paraId="0FF605C5">
            <w:pPr>
              <w:pStyle w:val="11"/>
            </w:pPr>
            <w:r>
              <w:t>项目名称</w:t>
            </w:r>
          </w:p>
        </w:tc>
        <w:tc>
          <w:tcPr>
            <w:tcW w:w="6095" w:type="dxa"/>
            <w:gridSpan w:val="3"/>
            <w:vAlign w:val="center"/>
          </w:tcPr>
          <w:p w14:paraId="255EA16E">
            <w:pPr>
              <w:pStyle w:val="13"/>
            </w:pPr>
            <w:r>
              <w:t>冀财教[2024]142号/省级/2025年学前发展资金/隆尧县七色光幼儿园学前教育公用经费</w:t>
            </w:r>
          </w:p>
        </w:tc>
      </w:tr>
      <w:tr w14:paraId="3AEF53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00B3A">
            <w:pPr>
              <w:pStyle w:val="11"/>
            </w:pPr>
            <w:r>
              <w:t>预算规模及资金用途</w:t>
            </w:r>
          </w:p>
        </w:tc>
        <w:tc>
          <w:tcPr>
            <w:tcW w:w="2268" w:type="dxa"/>
            <w:vAlign w:val="center"/>
          </w:tcPr>
          <w:p w14:paraId="6B0FDEB3">
            <w:pPr>
              <w:pStyle w:val="11"/>
            </w:pPr>
            <w:r>
              <w:t>预算数</w:t>
            </w:r>
          </w:p>
        </w:tc>
        <w:tc>
          <w:tcPr>
            <w:tcW w:w="2835" w:type="dxa"/>
            <w:vAlign w:val="center"/>
          </w:tcPr>
          <w:p w14:paraId="3EFB6220">
            <w:pPr>
              <w:pStyle w:val="13"/>
            </w:pPr>
            <w:r>
              <w:t>1.07</w:t>
            </w:r>
          </w:p>
        </w:tc>
        <w:tc>
          <w:tcPr>
            <w:tcW w:w="2835" w:type="dxa"/>
            <w:vAlign w:val="center"/>
          </w:tcPr>
          <w:p w14:paraId="1BB7AE37">
            <w:pPr>
              <w:pStyle w:val="11"/>
            </w:pPr>
            <w:r>
              <w:t>其中：财政    资金</w:t>
            </w:r>
          </w:p>
        </w:tc>
        <w:tc>
          <w:tcPr>
            <w:tcW w:w="2551" w:type="dxa"/>
            <w:vAlign w:val="center"/>
          </w:tcPr>
          <w:p w14:paraId="68BF0B6C">
            <w:pPr>
              <w:pStyle w:val="13"/>
            </w:pPr>
            <w:r>
              <w:t>1.07</w:t>
            </w:r>
          </w:p>
        </w:tc>
        <w:tc>
          <w:tcPr>
            <w:tcW w:w="2268" w:type="dxa"/>
            <w:vAlign w:val="center"/>
          </w:tcPr>
          <w:p w14:paraId="01BA2F9C">
            <w:pPr>
              <w:pStyle w:val="11"/>
            </w:pPr>
            <w:r>
              <w:t>其他资金</w:t>
            </w:r>
          </w:p>
        </w:tc>
        <w:tc>
          <w:tcPr>
            <w:tcW w:w="1276" w:type="dxa"/>
            <w:vAlign w:val="center"/>
          </w:tcPr>
          <w:p w14:paraId="4A9DF612">
            <w:pPr>
              <w:pStyle w:val="13"/>
            </w:pPr>
            <w:r>
              <w:t xml:space="preserve"> </w:t>
            </w:r>
          </w:p>
        </w:tc>
      </w:tr>
      <w:tr w14:paraId="77488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E13C5D"/>
        </w:tc>
        <w:tc>
          <w:tcPr>
            <w:tcW w:w="14033" w:type="dxa"/>
            <w:gridSpan w:val="6"/>
            <w:vAlign w:val="center"/>
          </w:tcPr>
          <w:p w14:paraId="7B19209E">
            <w:pPr>
              <w:pStyle w:val="13"/>
            </w:pPr>
            <w:r>
              <w:t>按季度分批次拨付安排公用经费资金，学校按照预算安排进行资金使用，保证资金正常支出。</w:t>
            </w:r>
          </w:p>
        </w:tc>
      </w:tr>
      <w:tr w14:paraId="4CE40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0664C">
            <w:pPr>
              <w:pStyle w:val="11"/>
            </w:pPr>
            <w:r>
              <w:t>资金支出计划（%）</w:t>
            </w:r>
          </w:p>
        </w:tc>
        <w:tc>
          <w:tcPr>
            <w:tcW w:w="5103" w:type="dxa"/>
            <w:gridSpan w:val="2"/>
            <w:vAlign w:val="center"/>
          </w:tcPr>
          <w:p w14:paraId="072036BD">
            <w:pPr>
              <w:pStyle w:val="11"/>
            </w:pPr>
            <w:r>
              <w:t>3月底</w:t>
            </w:r>
          </w:p>
        </w:tc>
        <w:tc>
          <w:tcPr>
            <w:tcW w:w="2835" w:type="dxa"/>
            <w:vAlign w:val="center"/>
          </w:tcPr>
          <w:p w14:paraId="5260D4E7">
            <w:pPr>
              <w:pStyle w:val="11"/>
            </w:pPr>
            <w:r>
              <w:t>6月底</w:t>
            </w:r>
          </w:p>
        </w:tc>
        <w:tc>
          <w:tcPr>
            <w:tcW w:w="2551" w:type="dxa"/>
            <w:vAlign w:val="center"/>
          </w:tcPr>
          <w:p w14:paraId="7B4CB7F2">
            <w:pPr>
              <w:pStyle w:val="11"/>
            </w:pPr>
            <w:r>
              <w:t>10月底</w:t>
            </w:r>
          </w:p>
        </w:tc>
        <w:tc>
          <w:tcPr>
            <w:tcW w:w="3544" w:type="dxa"/>
            <w:gridSpan w:val="2"/>
            <w:vAlign w:val="center"/>
          </w:tcPr>
          <w:p w14:paraId="7465E538">
            <w:pPr>
              <w:pStyle w:val="11"/>
            </w:pPr>
            <w:r>
              <w:t>12月底</w:t>
            </w:r>
          </w:p>
        </w:tc>
      </w:tr>
      <w:tr w14:paraId="2BA5C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7E1444"/>
        </w:tc>
        <w:tc>
          <w:tcPr>
            <w:tcW w:w="5103" w:type="dxa"/>
            <w:gridSpan w:val="2"/>
            <w:vAlign w:val="center"/>
          </w:tcPr>
          <w:p w14:paraId="07564D77">
            <w:pPr>
              <w:pStyle w:val="12"/>
            </w:pPr>
            <w:r>
              <w:t xml:space="preserve"> </w:t>
            </w:r>
          </w:p>
        </w:tc>
        <w:tc>
          <w:tcPr>
            <w:tcW w:w="2835" w:type="dxa"/>
            <w:vAlign w:val="center"/>
          </w:tcPr>
          <w:p w14:paraId="3F61C21E">
            <w:pPr>
              <w:pStyle w:val="12"/>
            </w:pPr>
            <w:r>
              <w:t>50%</w:t>
            </w:r>
          </w:p>
        </w:tc>
        <w:tc>
          <w:tcPr>
            <w:tcW w:w="2551" w:type="dxa"/>
            <w:vAlign w:val="center"/>
          </w:tcPr>
          <w:p w14:paraId="796A5853">
            <w:pPr>
              <w:pStyle w:val="12"/>
            </w:pPr>
            <w:r>
              <w:t>75%</w:t>
            </w:r>
          </w:p>
        </w:tc>
        <w:tc>
          <w:tcPr>
            <w:tcW w:w="3544" w:type="dxa"/>
            <w:gridSpan w:val="2"/>
            <w:vAlign w:val="center"/>
          </w:tcPr>
          <w:p w14:paraId="1BC39566">
            <w:pPr>
              <w:pStyle w:val="12"/>
            </w:pPr>
            <w:r>
              <w:t>100%</w:t>
            </w:r>
          </w:p>
        </w:tc>
      </w:tr>
      <w:tr w14:paraId="38D31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7DA5C">
            <w:pPr>
              <w:pStyle w:val="11"/>
            </w:pPr>
            <w:r>
              <w:t>绩效目标</w:t>
            </w:r>
          </w:p>
        </w:tc>
        <w:tc>
          <w:tcPr>
            <w:tcW w:w="14033" w:type="dxa"/>
            <w:gridSpan w:val="6"/>
            <w:vAlign w:val="center"/>
          </w:tcPr>
          <w:p w14:paraId="3865C3DF">
            <w:pPr>
              <w:pStyle w:val="13"/>
            </w:pPr>
            <w:r>
              <w:t>1.按季度分批次拨付安排公用经费资金，学校按照预算安排进行资金使用，保证资金正常支出。</w:t>
            </w:r>
          </w:p>
        </w:tc>
      </w:tr>
    </w:tbl>
    <w:p w14:paraId="4C6382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81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E371E">
            <w:pPr>
              <w:pStyle w:val="11"/>
            </w:pPr>
            <w:r>
              <w:t>一级指标</w:t>
            </w:r>
          </w:p>
        </w:tc>
        <w:tc>
          <w:tcPr>
            <w:tcW w:w="2268" w:type="dxa"/>
            <w:vAlign w:val="center"/>
          </w:tcPr>
          <w:p w14:paraId="057D3267">
            <w:pPr>
              <w:pStyle w:val="11"/>
            </w:pPr>
            <w:r>
              <w:t>二级指标</w:t>
            </w:r>
          </w:p>
        </w:tc>
        <w:tc>
          <w:tcPr>
            <w:tcW w:w="2835" w:type="dxa"/>
            <w:vAlign w:val="center"/>
          </w:tcPr>
          <w:p w14:paraId="2E71571F">
            <w:pPr>
              <w:pStyle w:val="11"/>
            </w:pPr>
            <w:r>
              <w:t>三级指标</w:t>
            </w:r>
          </w:p>
        </w:tc>
        <w:tc>
          <w:tcPr>
            <w:tcW w:w="5386" w:type="dxa"/>
            <w:vAlign w:val="center"/>
          </w:tcPr>
          <w:p w14:paraId="6469CFDB">
            <w:pPr>
              <w:pStyle w:val="11"/>
            </w:pPr>
            <w:r>
              <w:t>绩效指标描述</w:t>
            </w:r>
          </w:p>
        </w:tc>
        <w:tc>
          <w:tcPr>
            <w:tcW w:w="2268" w:type="dxa"/>
            <w:vAlign w:val="center"/>
          </w:tcPr>
          <w:p w14:paraId="1838F615">
            <w:pPr>
              <w:pStyle w:val="11"/>
            </w:pPr>
            <w:r>
              <w:t>指标值</w:t>
            </w:r>
          </w:p>
        </w:tc>
        <w:tc>
          <w:tcPr>
            <w:tcW w:w="1276" w:type="dxa"/>
            <w:vAlign w:val="center"/>
          </w:tcPr>
          <w:p w14:paraId="582F4247">
            <w:pPr>
              <w:pStyle w:val="11"/>
            </w:pPr>
            <w:r>
              <w:t>指标值确定依据</w:t>
            </w:r>
          </w:p>
        </w:tc>
      </w:tr>
      <w:tr w14:paraId="2D705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4B1A9">
            <w:pPr>
              <w:pStyle w:val="12"/>
            </w:pPr>
            <w:r>
              <w:t>产出指标</w:t>
            </w:r>
          </w:p>
        </w:tc>
        <w:tc>
          <w:tcPr>
            <w:tcW w:w="2268" w:type="dxa"/>
            <w:vAlign w:val="center"/>
          </w:tcPr>
          <w:p w14:paraId="3158DFFF">
            <w:pPr>
              <w:pStyle w:val="13"/>
            </w:pPr>
            <w:r>
              <w:t>数量指标</w:t>
            </w:r>
          </w:p>
        </w:tc>
        <w:tc>
          <w:tcPr>
            <w:tcW w:w="2835" w:type="dxa"/>
            <w:vAlign w:val="center"/>
          </w:tcPr>
          <w:p w14:paraId="737B91C8">
            <w:pPr>
              <w:pStyle w:val="13"/>
            </w:pPr>
            <w:r>
              <w:t>适龄在校生</w:t>
            </w:r>
          </w:p>
        </w:tc>
        <w:tc>
          <w:tcPr>
            <w:tcW w:w="5386" w:type="dxa"/>
            <w:vAlign w:val="center"/>
          </w:tcPr>
          <w:p w14:paraId="6066C2CE">
            <w:pPr>
              <w:pStyle w:val="13"/>
            </w:pPr>
            <w:r>
              <w:t>辖区内适龄儿童全覆盖</w:t>
            </w:r>
          </w:p>
        </w:tc>
        <w:tc>
          <w:tcPr>
            <w:tcW w:w="2268" w:type="dxa"/>
            <w:vAlign w:val="center"/>
          </w:tcPr>
          <w:p w14:paraId="48740068">
            <w:pPr>
              <w:pStyle w:val="13"/>
            </w:pPr>
            <w:r>
              <w:t>87人</w:t>
            </w:r>
          </w:p>
        </w:tc>
        <w:tc>
          <w:tcPr>
            <w:tcW w:w="1276" w:type="dxa"/>
            <w:vAlign w:val="center"/>
          </w:tcPr>
          <w:p w14:paraId="0A4CCF67">
            <w:pPr>
              <w:pStyle w:val="13"/>
            </w:pPr>
            <w:r>
              <w:t>幼儿园生均公用经费管理办法</w:t>
            </w:r>
          </w:p>
        </w:tc>
      </w:tr>
      <w:tr w14:paraId="74539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BD38B"/>
        </w:tc>
        <w:tc>
          <w:tcPr>
            <w:tcW w:w="2268" w:type="dxa"/>
            <w:vAlign w:val="center"/>
          </w:tcPr>
          <w:p w14:paraId="739D89DC">
            <w:pPr>
              <w:pStyle w:val="13"/>
            </w:pPr>
            <w:r>
              <w:t>质量指标</w:t>
            </w:r>
          </w:p>
        </w:tc>
        <w:tc>
          <w:tcPr>
            <w:tcW w:w="2835" w:type="dxa"/>
            <w:vAlign w:val="center"/>
          </w:tcPr>
          <w:p w14:paraId="1E5E6676">
            <w:pPr>
              <w:pStyle w:val="13"/>
            </w:pPr>
            <w:r>
              <w:t>预算控制率</w:t>
            </w:r>
          </w:p>
        </w:tc>
        <w:tc>
          <w:tcPr>
            <w:tcW w:w="5386" w:type="dxa"/>
            <w:vAlign w:val="center"/>
          </w:tcPr>
          <w:p w14:paraId="3DA80D91">
            <w:pPr>
              <w:pStyle w:val="13"/>
            </w:pPr>
            <w:r>
              <w:t>预算执行</w:t>
            </w:r>
          </w:p>
        </w:tc>
        <w:tc>
          <w:tcPr>
            <w:tcW w:w="2268" w:type="dxa"/>
            <w:vAlign w:val="center"/>
          </w:tcPr>
          <w:p w14:paraId="1103FE43">
            <w:pPr>
              <w:pStyle w:val="13"/>
            </w:pPr>
            <w:r>
              <w:t>≥95%</w:t>
            </w:r>
          </w:p>
        </w:tc>
        <w:tc>
          <w:tcPr>
            <w:tcW w:w="1276" w:type="dxa"/>
            <w:vAlign w:val="center"/>
          </w:tcPr>
          <w:p w14:paraId="50F7AECF">
            <w:pPr>
              <w:pStyle w:val="13"/>
            </w:pPr>
            <w:r>
              <w:t>幼儿园生均公用经费管理办法</w:t>
            </w:r>
          </w:p>
        </w:tc>
      </w:tr>
      <w:tr w14:paraId="501C3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449AF"/>
        </w:tc>
        <w:tc>
          <w:tcPr>
            <w:tcW w:w="2268" w:type="dxa"/>
            <w:vAlign w:val="center"/>
          </w:tcPr>
          <w:p w14:paraId="117E18A2">
            <w:pPr>
              <w:pStyle w:val="13"/>
            </w:pPr>
            <w:r>
              <w:t>时效指标</w:t>
            </w:r>
          </w:p>
        </w:tc>
        <w:tc>
          <w:tcPr>
            <w:tcW w:w="2835" w:type="dxa"/>
            <w:vAlign w:val="center"/>
          </w:tcPr>
          <w:p w14:paraId="4A85E3B1">
            <w:pPr>
              <w:pStyle w:val="13"/>
            </w:pPr>
            <w:r>
              <w:t>资金支付率</w:t>
            </w:r>
          </w:p>
        </w:tc>
        <w:tc>
          <w:tcPr>
            <w:tcW w:w="5386" w:type="dxa"/>
            <w:vAlign w:val="center"/>
          </w:tcPr>
          <w:p w14:paraId="610C9309">
            <w:pPr>
              <w:pStyle w:val="13"/>
            </w:pPr>
            <w:r>
              <w:t>按照序时进度完成资金支付</w:t>
            </w:r>
          </w:p>
        </w:tc>
        <w:tc>
          <w:tcPr>
            <w:tcW w:w="2268" w:type="dxa"/>
            <w:vAlign w:val="center"/>
          </w:tcPr>
          <w:p w14:paraId="6555C5A5">
            <w:pPr>
              <w:pStyle w:val="13"/>
            </w:pPr>
            <w:r>
              <w:t>≥100%</w:t>
            </w:r>
          </w:p>
        </w:tc>
        <w:tc>
          <w:tcPr>
            <w:tcW w:w="1276" w:type="dxa"/>
            <w:vAlign w:val="center"/>
          </w:tcPr>
          <w:p w14:paraId="40DEB668">
            <w:pPr>
              <w:pStyle w:val="13"/>
            </w:pPr>
            <w:r>
              <w:t>幼儿园生均公用经费管理办法</w:t>
            </w:r>
          </w:p>
        </w:tc>
      </w:tr>
      <w:tr w14:paraId="2CC75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DDC99"/>
        </w:tc>
        <w:tc>
          <w:tcPr>
            <w:tcW w:w="2268" w:type="dxa"/>
            <w:vAlign w:val="center"/>
          </w:tcPr>
          <w:p w14:paraId="60812E32">
            <w:pPr>
              <w:pStyle w:val="13"/>
            </w:pPr>
            <w:r>
              <w:t>成本指标</w:t>
            </w:r>
          </w:p>
        </w:tc>
        <w:tc>
          <w:tcPr>
            <w:tcW w:w="2835" w:type="dxa"/>
            <w:vAlign w:val="center"/>
          </w:tcPr>
          <w:p w14:paraId="4347E557">
            <w:pPr>
              <w:pStyle w:val="13"/>
            </w:pPr>
            <w:r>
              <w:t>生均拨款标准</w:t>
            </w:r>
          </w:p>
        </w:tc>
        <w:tc>
          <w:tcPr>
            <w:tcW w:w="5386" w:type="dxa"/>
            <w:vAlign w:val="center"/>
          </w:tcPr>
          <w:p w14:paraId="77F53159">
            <w:pPr>
              <w:pStyle w:val="13"/>
            </w:pPr>
            <w:r>
              <w:t>学前经费600元/生/年</w:t>
            </w:r>
          </w:p>
        </w:tc>
        <w:tc>
          <w:tcPr>
            <w:tcW w:w="2268" w:type="dxa"/>
            <w:vAlign w:val="center"/>
          </w:tcPr>
          <w:p w14:paraId="7A42847F">
            <w:pPr>
              <w:pStyle w:val="13"/>
            </w:pPr>
            <w:r>
              <w:t>600元</w:t>
            </w:r>
          </w:p>
        </w:tc>
        <w:tc>
          <w:tcPr>
            <w:tcW w:w="1276" w:type="dxa"/>
            <w:vAlign w:val="center"/>
          </w:tcPr>
          <w:p w14:paraId="605707A9">
            <w:pPr>
              <w:pStyle w:val="13"/>
            </w:pPr>
            <w:r>
              <w:t>幼儿园生均公用经费管理办法</w:t>
            </w:r>
          </w:p>
        </w:tc>
      </w:tr>
      <w:tr w14:paraId="2EAE5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833EC5">
            <w:pPr>
              <w:pStyle w:val="12"/>
            </w:pPr>
            <w:r>
              <w:t>效益指标</w:t>
            </w:r>
          </w:p>
        </w:tc>
        <w:tc>
          <w:tcPr>
            <w:tcW w:w="2268" w:type="dxa"/>
            <w:vAlign w:val="center"/>
          </w:tcPr>
          <w:p w14:paraId="0F583E71">
            <w:pPr>
              <w:pStyle w:val="13"/>
            </w:pPr>
            <w:r>
              <w:t>可持续影响指标</w:t>
            </w:r>
          </w:p>
        </w:tc>
        <w:tc>
          <w:tcPr>
            <w:tcW w:w="2835" w:type="dxa"/>
            <w:vAlign w:val="center"/>
          </w:tcPr>
          <w:p w14:paraId="029014CE">
            <w:pPr>
              <w:pStyle w:val="13"/>
            </w:pPr>
            <w:r>
              <w:t>教育发展水平明显好转</w:t>
            </w:r>
          </w:p>
        </w:tc>
        <w:tc>
          <w:tcPr>
            <w:tcW w:w="5386" w:type="dxa"/>
            <w:vAlign w:val="center"/>
          </w:tcPr>
          <w:p w14:paraId="7CD7FD47">
            <w:pPr>
              <w:pStyle w:val="13"/>
            </w:pPr>
            <w:r>
              <w:t>学生受教育年限</w:t>
            </w:r>
          </w:p>
        </w:tc>
        <w:tc>
          <w:tcPr>
            <w:tcW w:w="2268" w:type="dxa"/>
            <w:vAlign w:val="center"/>
          </w:tcPr>
          <w:p w14:paraId="416E01AD">
            <w:pPr>
              <w:pStyle w:val="13"/>
            </w:pPr>
            <w:r>
              <w:t>3年</w:t>
            </w:r>
          </w:p>
        </w:tc>
        <w:tc>
          <w:tcPr>
            <w:tcW w:w="1276" w:type="dxa"/>
            <w:vAlign w:val="center"/>
          </w:tcPr>
          <w:p w14:paraId="14F9FB75">
            <w:pPr>
              <w:pStyle w:val="13"/>
            </w:pPr>
            <w:r>
              <w:t>幼儿园生均公用经费管理办法</w:t>
            </w:r>
          </w:p>
        </w:tc>
      </w:tr>
      <w:tr w14:paraId="72AA3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0882FE">
            <w:pPr>
              <w:pStyle w:val="12"/>
            </w:pPr>
            <w:r>
              <w:t>满意度指标</w:t>
            </w:r>
          </w:p>
        </w:tc>
        <w:tc>
          <w:tcPr>
            <w:tcW w:w="2268" w:type="dxa"/>
            <w:vAlign w:val="center"/>
          </w:tcPr>
          <w:p w14:paraId="1C4509EC">
            <w:pPr>
              <w:pStyle w:val="13"/>
            </w:pPr>
            <w:r>
              <w:t>服务对象满意度指标</w:t>
            </w:r>
          </w:p>
        </w:tc>
        <w:tc>
          <w:tcPr>
            <w:tcW w:w="2835" w:type="dxa"/>
            <w:vAlign w:val="center"/>
          </w:tcPr>
          <w:p w14:paraId="4ABBC19E">
            <w:pPr>
              <w:pStyle w:val="13"/>
            </w:pPr>
            <w:r>
              <w:t>受益学生家长及调查满意度</w:t>
            </w:r>
          </w:p>
        </w:tc>
        <w:tc>
          <w:tcPr>
            <w:tcW w:w="5386" w:type="dxa"/>
            <w:vAlign w:val="center"/>
          </w:tcPr>
          <w:p w14:paraId="172D27D3">
            <w:pPr>
              <w:pStyle w:val="13"/>
            </w:pPr>
            <w:r>
              <w:t>学生、教师及家长对学校保教保育工作满意度情况</w:t>
            </w:r>
          </w:p>
        </w:tc>
        <w:tc>
          <w:tcPr>
            <w:tcW w:w="2268" w:type="dxa"/>
            <w:vAlign w:val="center"/>
          </w:tcPr>
          <w:p w14:paraId="6B5EF4D3">
            <w:pPr>
              <w:pStyle w:val="13"/>
            </w:pPr>
            <w:r>
              <w:t>≥95%</w:t>
            </w:r>
          </w:p>
        </w:tc>
        <w:tc>
          <w:tcPr>
            <w:tcW w:w="1276" w:type="dxa"/>
            <w:vAlign w:val="center"/>
          </w:tcPr>
          <w:p w14:paraId="7046CA76">
            <w:pPr>
              <w:pStyle w:val="13"/>
            </w:pPr>
            <w:r>
              <w:t>调查问卷</w:t>
            </w:r>
          </w:p>
        </w:tc>
      </w:tr>
    </w:tbl>
    <w:p w14:paraId="0DE27FD8">
      <w:pPr>
        <w:sectPr>
          <w:pgSz w:w="16840" w:h="11900" w:orient="landscape"/>
          <w:pgMar w:top="1361" w:right="1020" w:bottom="1134" w:left="1020" w:header="720" w:footer="720" w:gutter="0"/>
          <w:cols w:space="720" w:num="1"/>
        </w:sectPr>
      </w:pPr>
    </w:p>
    <w:p w14:paraId="39123706">
      <w:pPr>
        <w:spacing w:before="0" w:after="0"/>
        <w:ind w:firstLine="560"/>
        <w:jc w:val="left"/>
        <w:outlineLvl w:val="9"/>
      </w:pPr>
      <w:r>
        <w:rPr>
          <w:rFonts w:ascii="方正仿宋_GBK" w:hAnsi="方正仿宋_GBK" w:eastAsia="方正仿宋_GBK" w:cs="方正仿宋_GBK"/>
          <w:b/>
          <w:color w:val="000000"/>
          <w:sz w:val="28"/>
        </w:rPr>
        <w:t>76、冀财教[2024]142号/省级/2025年学前发展资金/隆尧县启明星幼儿园学前教育公用经费绩效目标表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BD6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4F686E">
            <w:pPr>
              <w:pStyle w:val="14"/>
            </w:pPr>
            <w:r>
              <w:t>单位：万元</w:t>
            </w:r>
          </w:p>
        </w:tc>
      </w:tr>
      <w:tr w14:paraId="1ADBA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2D7AA7">
            <w:pPr>
              <w:pStyle w:val="11"/>
            </w:pPr>
            <w:r>
              <w:t>项目编码</w:t>
            </w:r>
          </w:p>
        </w:tc>
        <w:tc>
          <w:tcPr>
            <w:tcW w:w="5103" w:type="dxa"/>
            <w:gridSpan w:val="2"/>
            <w:vAlign w:val="center"/>
          </w:tcPr>
          <w:p w14:paraId="4784FFA1">
            <w:pPr>
              <w:pStyle w:val="13"/>
            </w:pPr>
            <w:r>
              <w:t>13052525P00875710052J</w:t>
            </w:r>
          </w:p>
        </w:tc>
        <w:tc>
          <w:tcPr>
            <w:tcW w:w="2835" w:type="dxa"/>
            <w:vAlign w:val="center"/>
          </w:tcPr>
          <w:p w14:paraId="79C2CE93">
            <w:pPr>
              <w:pStyle w:val="11"/>
            </w:pPr>
            <w:r>
              <w:t>项目名称</w:t>
            </w:r>
          </w:p>
        </w:tc>
        <w:tc>
          <w:tcPr>
            <w:tcW w:w="6095" w:type="dxa"/>
            <w:gridSpan w:val="3"/>
            <w:vAlign w:val="center"/>
          </w:tcPr>
          <w:p w14:paraId="13E15BF5">
            <w:pPr>
              <w:pStyle w:val="13"/>
            </w:pPr>
            <w:r>
              <w:t>冀财教[2024]142号/省级/2025年学前发展资金/隆尧县启明星幼儿园学前教育公用经费</w:t>
            </w:r>
          </w:p>
        </w:tc>
      </w:tr>
      <w:tr w14:paraId="1EBF56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77CCB">
            <w:pPr>
              <w:pStyle w:val="11"/>
            </w:pPr>
            <w:r>
              <w:t>预算规模及资金用途</w:t>
            </w:r>
          </w:p>
        </w:tc>
        <w:tc>
          <w:tcPr>
            <w:tcW w:w="2268" w:type="dxa"/>
            <w:vAlign w:val="center"/>
          </w:tcPr>
          <w:p w14:paraId="1A870437">
            <w:pPr>
              <w:pStyle w:val="11"/>
            </w:pPr>
            <w:r>
              <w:t>预算数</w:t>
            </w:r>
          </w:p>
        </w:tc>
        <w:tc>
          <w:tcPr>
            <w:tcW w:w="2835" w:type="dxa"/>
            <w:vAlign w:val="center"/>
          </w:tcPr>
          <w:p w14:paraId="1ACCC6AB">
            <w:pPr>
              <w:pStyle w:val="13"/>
            </w:pPr>
            <w:r>
              <w:t>0.83</w:t>
            </w:r>
          </w:p>
        </w:tc>
        <w:tc>
          <w:tcPr>
            <w:tcW w:w="2835" w:type="dxa"/>
            <w:vAlign w:val="center"/>
          </w:tcPr>
          <w:p w14:paraId="5253820B">
            <w:pPr>
              <w:pStyle w:val="11"/>
            </w:pPr>
            <w:r>
              <w:t>其中：财政    资金</w:t>
            </w:r>
          </w:p>
        </w:tc>
        <w:tc>
          <w:tcPr>
            <w:tcW w:w="2551" w:type="dxa"/>
            <w:vAlign w:val="center"/>
          </w:tcPr>
          <w:p w14:paraId="4FA6D7EA">
            <w:pPr>
              <w:pStyle w:val="13"/>
            </w:pPr>
            <w:r>
              <w:t>0.83</w:t>
            </w:r>
          </w:p>
        </w:tc>
        <w:tc>
          <w:tcPr>
            <w:tcW w:w="2268" w:type="dxa"/>
            <w:vAlign w:val="center"/>
          </w:tcPr>
          <w:p w14:paraId="321B59DF">
            <w:pPr>
              <w:pStyle w:val="11"/>
            </w:pPr>
            <w:r>
              <w:t>其他资金</w:t>
            </w:r>
          </w:p>
        </w:tc>
        <w:tc>
          <w:tcPr>
            <w:tcW w:w="1276" w:type="dxa"/>
            <w:vAlign w:val="center"/>
          </w:tcPr>
          <w:p w14:paraId="18973C22">
            <w:pPr>
              <w:pStyle w:val="13"/>
            </w:pPr>
            <w:r>
              <w:t xml:space="preserve"> </w:t>
            </w:r>
          </w:p>
        </w:tc>
      </w:tr>
      <w:tr w14:paraId="27B05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7FF204"/>
        </w:tc>
        <w:tc>
          <w:tcPr>
            <w:tcW w:w="14033" w:type="dxa"/>
            <w:gridSpan w:val="6"/>
            <w:vAlign w:val="center"/>
          </w:tcPr>
          <w:p w14:paraId="2E02A823">
            <w:pPr>
              <w:pStyle w:val="13"/>
            </w:pPr>
            <w:r>
              <w:t>按季度分批次拨付安排公用经费资金，学校按照预算安排进行资金使用，保证资金正常支出。</w:t>
            </w:r>
          </w:p>
        </w:tc>
      </w:tr>
      <w:tr w14:paraId="03073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37C2D">
            <w:pPr>
              <w:pStyle w:val="11"/>
            </w:pPr>
            <w:r>
              <w:t>资金支出计划（%）</w:t>
            </w:r>
          </w:p>
        </w:tc>
        <w:tc>
          <w:tcPr>
            <w:tcW w:w="5103" w:type="dxa"/>
            <w:gridSpan w:val="2"/>
            <w:vAlign w:val="center"/>
          </w:tcPr>
          <w:p w14:paraId="00FB5B0A">
            <w:pPr>
              <w:pStyle w:val="11"/>
            </w:pPr>
            <w:r>
              <w:t>3月底</w:t>
            </w:r>
          </w:p>
        </w:tc>
        <w:tc>
          <w:tcPr>
            <w:tcW w:w="2835" w:type="dxa"/>
            <w:vAlign w:val="center"/>
          </w:tcPr>
          <w:p w14:paraId="39ADE934">
            <w:pPr>
              <w:pStyle w:val="11"/>
            </w:pPr>
            <w:r>
              <w:t>6月底</w:t>
            </w:r>
          </w:p>
        </w:tc>
        <w:tc>
          <w:tcPr>
            <w:tcW w:w="2551" w:type="dxa"/>
            <w:vAlign w:val="center"/>
          </w:tcPr>
          <w:p w14:paraId="17F40755">
            <w:pPr>
              <w:pStyle w:val="11"/>
            </w:pPr>
            <w:r>
              <w:t>10月底</w:t>
            </w:r>
          </w:p>
        </w:tc>
        <w:tc>
          <w:tcPr>
            <w:tcW w:w="3544" w:type="dxa"/>
            <w:gridSpan w:val="2"/>
            <w:vAlign w:val="center"/>
          </w:tcPr>
          <w:p w14:paraId="2543D5DA">
            <w:pPr>
              <w:pStyle w:val="11"/>
            </w:pPr>
            <w:r>
              <w:t>12月底</w:t>
            </w:r>
          </w:p>
        </w:tc>
      </w:tr>
      <w:tr w14:paraId="4978B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13E9A"/>
        </w:tc>
        <w:tc>
          <w:tcPr>
            <w:tcW w:w="5103" w:type="dxa"/>
            <w:gridSpan w:val="2"/>
            <w:vAlign w:val="center"/>
          </w:tcPr>
          <w:p w14:paraId="3752DE04">
            <w:pPr>
              <w:pStyle w:val="12"/>
            </w:pPr>
            <w:r>
              <w:t xml:space="preserve"> </w:t>
            </w:r>
          </w:p>
        </w:tc>
        <w:tc>
          <w:tcPr>
            <w:tcW w:w="2835" w:type="dxa"/>
            <w:vAlign w:val="center"/>
          </w:tcPr>
          <w:p w14:paraId="71D810A1">
            <w:pPr>
              <w:pStyle w:val="12"/>
            </w:pPr>
            <w:r>
              <w:t>50%</w:t>
            </w:r>
          </w:p>
        </w:tc>
        <w:tc>
          <w:tcPr>
            <w:tcW w:w="2551" w:type="dxa"/>
            <w:vAlign w:val="center"/>
          </w:tcPr>
          <w:p w14:paraId="511C54DF">
            <w:pPr>
              <w:pStyle w:val="12"/>
            </w:pPr>
            <w:r>
              <w:t>75%</w:t>
            </w:r>
          </w:p>
        </w:tc>
        <w:tc>
          <w:tcPr>
            <w:tcW w:w="3544" w:type="dxa"/>
            <w:gridSpan w:val="2"/>
            <w:vAlign w:val="center"/>
          </w:tcPr>
          <w:p w14:paraId="01985B9B">
            <w:pPr>
              <w:pStyle w:val="12"/>
            </w:pPr>
            <w:r>
              <w:t>100%</w:t>
            </w:r>
          </w:p>
        </w:tc>
      </w:tr>
      <w:tr w14:paraId="5F0A2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1BF1ED">
            <w:pPr>
              <w:pStyle w:val="11"/>
            </w:pPr>
            <w:r>
              <w:t>绩效目标</w:t>
            </w:r>
          </w:p>
        </w:tc>
        <w:tc>
          <w:tcPr>
            <w:tcW w:w="14033" w:type="dxa"/>
            <w:gridSpan w:val="6"/>
            <w:vAlign w:val="center"/>
          </w:tcPr>
          <w:p w14:paraId="222B7C1E">
            <w:pPr>
              <w:pStyle w:val="13"/>
            </w:pPr>
            <w:r>
              <w:t>1.按季度分批次拨付安排公用经费资金，学校按照预算安排进行资金使用，保证资金正常支出。</w:t>
            </w:r>
            <w:r>
              <w:tab/>
            </w:r>
          </w:p>
        </w:tc>
      </w:tr>
    </w:tbl>
    <w:p w14:paraId="77B40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40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50783">
            <w:pPr>
              <w:pStyle w:val="11"/>
            </w:pPr>
            <w:r>
              <w:t>一级指标</w:t>
            </w:r>
          </w:p>
        </w:tc>
        <w:tc>
          <w:tcPr>
            <w:tcW w:w="2268" w:type="dxa"/>
            <w:vAlign w:val="center"/>
          </w:tcPr>
          <w:p w14:paraId="200EEAE4">
            <w:pPr>
              <w:pStyle w:val="11"/>
            </w:pPr>
            <w:r>
              <w:t>二级指标</w:t>
            </w:r>
          </w:p>
        </w:tc>
        <w:tc>
          <w:tcPr>
            <w:tcW w:w="2835" w:type="dxa"/>
            <w:vAlign w:val="center"/>
          </w:tcPr>
          <w:p w14:paraId="23D9E4F4">
            <w:pPr>
              <w:pStyle w:val="11"/>
            </w:pPr>
            <w:r>
              <w:t>三级指标</w:t>
            </w:r>
          </w:p>
        </w:tc>
        <w:tc>
          <w:tcPr>
            <w:tcW w:w="5386" w:type="dxa"/>
            <w:vAlign w:val="center"/>
          </w:tcPr>
          <w:p w14:paraId="3A1B72AA">
            <w:pPr>
              <w:pStyle w:val="11"/>
            </w:pPr>
            <w:r>
              <w:t>绩效指标描述</w:t>
            </w:r>
          </w:p>
        </w:tc>
        <w:tc>
          <w:tcPr>
            <w:tcW w:w="2268" w:type="dxa"/>
            <w:vAlign w:val="center"/>
          </w:tcPr>
          <w:p w14:paraId="09F50452">
            <w:pPr>
              <w:pStyle w:val="11"/>
            </w:pPr>
            <w:r>
              <w:t>指标值</w:t>
            </w:r>
          </w:p>
        </w:tc>
        <w:tc>
          <w:tcPr>
            <w:tcW w:w="1276" w:type="dxa"/>
            <w:vAlign w:val="center"/>
          </w:tcPr>
          <w:p w14:paraId="5384527C">
            <w:pPr>
              <w:pStyle w:val="11"/>
            </w:pPr>
            <w:r>
              <w:t>指标值确定依据</w:t>
            </w:r>
          </w:p>
        </w:tc>
      </w:tr>
      <w:tr w14:paraId="53666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CDFD2">
            <w:pPr>
              <w:pStyle w:val="12"/>
            </w:pPr>
            <w:r>
              <w:t>产出指标</w:t>
            </w:r>
          </w:p>
        </w:tc>
        <w:tc>
          <w:tcPr>
            <w:tcW w:w="2268" w:type="dxa"/>
            <w:vAlign w:val="center"/>
          </w:tcPr>
          <w:p w14:paraId="08038493">
            <w:pPr>
              <w:pStyle w:val="13"/>
            </w:pPr>
            <w:r>
              <w:t>数量指标</w:t>
            </w:r>
          </w:p>
        </w:tc>
        <w:tc>
          <w:tcPr>
            <w:tcW w:w="2835" w:type="dxa"/>
            <w:vAlign w:val="center"/>
          </w:tcPr>
          <w:p w14:paraId="381904B8">
            <w:pPr>
              <w:pStyle w:val="13"/>
            </w:pPr>
            <w:r>
              <w:t>适龄在校生</w:t>
            </w:r>
          </w:p>
        </w:tc>
        <w:tc>
          <w:tcPr>
            <w:tcW w:w="5386" w:type="dxa"/>
            <w:vAlign w:val="center"/>
          </w:tcPr>
          <w:p w14:paraId="39B901E7">
            <w:pPr>
              <w:pStyle w:val="13"/>
            </w:pPr>
            <w:r>
              <w:t>辖区内适龄儿童全覆盖</w:t>
            </w:r>
          </w:p>
        </w:tc>
        <w:tc>
          <w:tcPr>
            <w:tcW w:w="2268" w:type="dxa"/>
            <w:vAlign w:val="center"/>
          </w:tcPr>
          <w:p w14:paraId="18BE75A8">
            <w:pPr>
              <w:pStyle w:val="13"/>
            </w:pPr>
            <w:r>
              <w:t>55人</w:t>
            </w:r>
          </w:p>
        </w:tc>
        <w:tc>
          <w:tcPr>
            <w:tcW w:w="1276" w:type="dxa"/>
            <w:vAlign w:val="center"/>
          </w:tcPr>
          <w:p w14:paraId="6114DA93">
            <w:pPr>
              <w:pStyle w:val="13"/>
            </w:pPr>
            <w:r>
              <w:t>幼儿园生均公用经费管理办法</w:t>
            </w:r>
          </w:p>
        </w:tc>
      </w:tr>
      <w:tr w14:paraId="3563F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3878F"/>
        </w:tc>
        <w:tc>
          <w:tcPr>
            <w:tcW w:w="2268" w:type="dxa"/>
            <w:vAlign w:val="center"/>
          </w:tcPr>
          <w:p w14:paraId="1DFCD92C">
            <w:pPr>
              <w:pStyle w:val="13"/>
            </w:pPr>
            <w:r>
              <w:t>质量指标</w:t>
            </w:r>
          </w:p>
        </w:tc>
        <w:tc>
          <w:tcPr>
            <w:tcW w:w="2835" w:type="dxa"/>
            <w:vAlign w:val="center"/>
          </w:tcPr>
          <w:p w14:paraId="4EDC3382">
            <w:pPr>
              <w:pStyle w:val="13"/>
            </w:pPr>
            <w:r>
              <w:t>预算控制率</w:t>
            </w:r>
          </w:p>
        </w:tc>
        <w:tc>
          <w:tcPr>
            <w:tcW w:w="5386" w:type="dxa"/>
            <w:vAlign w:val="center"/>
          </w:tcPr>
          <w:p w14:paraId="5D486F90">
            <w:pPr>
              <w:pStyle w:val="13"/>
            </w:pPr>
            <w:r>
              <w:t>预算执行</w:t>
            </w:r>
          </w:p>
        </w:tc>
        <w:tc>
          <w:tcPr>
            <w:tcW w:w="2268" w:type="dxa"/>
            <w:vAlign w:val="center"/>
          </w:tcPr>
          <w:p w14:paraId="160B7DA9">
            <w:pPr>
              <w:pStyle w:val="13"/>
            </w:pPr>
            <w:r>
              <w:t>≥95%</w:t>
            </w:r>
          </w:p>
        </w:tc>
        <w:tc>
          <w:tcPr>
            <w:tcW w:w="1276" w:type="dxa"/>
            <w:vAlign w:val="center"/>
          </w:tcPr>
          <w:p w14:paraId="693D5FC8">
            <w:pPr>
              <w:pStyle w:val="13"/>
            </w:pPr>
            <w:r>
              <w:t>幼儿园生均公用经费管理办法</w:t>
            </w:r>
          </w:p>
        </w:tc>
      </w:tr>
      <w:tr w14:paraId="4A189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1AC5"/>
        </w:tc>
        <w:tc>
          <w:tcPr>
            <w:tcW w:w="2268" w:type="dxa"/>
            <w:vAlign w:val="center"/>
          </w:tcPr>
          <w:p w14:paraId="4057B0A7">
            <w:pPr>
              <w:pStyle w:val="13"/>
            </w:pPr>
            <w:r>
              <w:t>时效指标</w:t>
            </w:r>
          </w:p>
        </w:tc>
        <w:tc>
          <w:tcPr>
            <w:tcW w:w="2835" w:type="dxa"/>
            <w:vAlign w:val="center"/>
          </w:tcPr>
          <w:p w14:paraId="7644EEF9">
            <w:pPr>
              <w:pStyle w:val="13"/>
            </w:pPr>
            <w:r>
              <w:t>资金支付率</w:t>
            </w:r>
          </w:p>
        </w:tc>
        <w:tc>
          <w:tcPr>
            <w:tcW w:w="5386" w:type="dxa"/>
            <w:vAlign w:val="center"/>
          </w:tcPr>
          <w:p w14:paraId="05FD0D27">
            <w:pPr>
              <w:pStyle w:val="13"/>
            </w:pPr>
            <w:r>
              <w:t>按照序时进度完成资金支付</w:t>
            </w:r>
          </w:p>
        </w:tc>
        <w:tc>
          <w:tcPr>
            <w:tcW w:w="2268" w:type="dxa"/>
            <w:vAlign w:val="center"/>
          </w:tcPr>
          <w:p w14:paraId="305AFB58">
            <w:pPr>
              <w:pStyle w:val="13"/>
            </w:pPr>
            <w:r>
              <w:t>≥100%</w:t>
            </w:r>
          </w:p>
        </w:tc>
        <w:tc>
          <w:tcPr>
            <w:tcW w:w="1276" w:type="dxa"/>
            <w:vAlign w:val="center"/>
          </w:tcPr>
          <w:p w14:paraId="28DBB6C1">
            <w:pPr>
              <w:pStyle w:val="13"/>
            </w:pPr>
            <w:r>
              <w:t>幼儿园生均公用经费管理办法</w:t>
            </w:r>
          </w:p>
        </w:tc>
      </w:tr>
      <w:tr w14:paraId="2A6D0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0AE44"/>
        </w:tc>
        <w:tc>
          <w:tcPr>
            <w:tcW w:w="2268" w:type="dxa"/>
            <w:vAlign w:val="center"/>
          </w:tcPr>
          <w:p w14:paraId="73724E5A">
            <w:pPr>
              <w:pStyle w:val="13"/>
            </w:pPr>
            <w:r>
              <w:t>成本指标</w:t>
            </w:r>
          </w:p>
        </w:tc>
        <w:tc>
          <w:tcPr>
            <w:tcW w:w="2835" w:type="dxa"/>
            <w:vAlign w:val="center"/>
          </w:tcPr>
          <w:p w14:paraId="24EFD7CC">
            <w:pPr>
              <w:pStyle w:val="13"/>
            </w:pPr>
            <w:r>
              <w:t>生均拨款标准</w:t>
            </w:r>
          </w:p>
        </w:tc>
        <w:tc>
          <w:tcPr>
            <w:tcW w:w="5386" w:type="dxa"/>
            <w:vAlign w:val="center"/>
          </w:tcPr>
          <w:p w14:paraId="7F70C728">
            <w:pPr>
              <w:pStyle w:val="13"/>
            </w:pPr>
            <w:r>
              <w:t>学前经费600元/生/年</w:t>
            </w:r>
          </w:p>
        </w:tc>
        <w:tc>
          <w:tcPr>
            <w:tcW w:w="2268" w:type="dxa"/>
            <w:vAlign w:val="center"/>
          </w:tcPr>
          <w:p w14:paraId="226956F4">
            <w:pPr>
              <w:pStyle w:val="13"/>
            </w:pPr>
            <w:r>
              <w:t>600元</w:t>
            </w:r>
          </w:p>
        </w:tc>
        <w:tc>
          <w:tcPr>
            <w:tcW w:w="1276" w:type="dxa"/>
            <w:vAlign w:val="center"/>
          </w:tcPr>
          <w:p w14:paraId="4C4E6378">
            <w:pPr>
              <w:pStyle w:val="13"/>
            </w:pPr>
            <w:r>
              <w:t>幼儿园生均公用经费管理办法</w:t>
            </w:r>
          </w:p>
        </w:tc>
      </w:tr>
      <w:tr w14:paraId="444C7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83164B">
            <w:pPr>
              <w:pStyle w:val="12"/>
            </w:pPr>
            <w:r>
              <w:t>效益指标</w:t>
            </w:r>
          </w:p>
        </w:tc>
        <w:tc>
          <w:tcPr>
            <w:tcW w:w="2268" w:type="dxa"/>
            <w:vAlign w:val="center"/>
          </w:tcPr>
          <w:p w14:paraId="76A1A1DB">
            <w:pPr>
              <w:pStyle w:val="13"/>
            </w:pPr>
            <w:r>
              <w:t>可持续影响指标</w:t>
            </w:r>
          </w:p>
        </w:tc>
        <w:tc>
          <w:tcPr>
            <w:tcW w:w="2835" w:type="dxa"/>
            <w:vAlign w:val="center"/>
          </w:tcPr>
          <w:p w14:paraId="30F1693D">
            <w:pPr>
              <w:pStyle w:val="13"/>
            </w:pPr>
            <w:r>
              <w:t>教育发展水平明显好转</w:t>
            </w:r>
          </w:p>
        </w:tc>
        <w:tc>
          <w:tcPr>
            <w:tcW w:w="5386" w:type="dxa"/>
            <w:vAlign w:val="center"/>
          </w:tcPr>
          <w:p w14:paraId="532814A4">
            <w:pPr>
              <w:pStyle w:val="13"/>
            </w:pPr>
            <w:r>
              <w:t>学生受教育年限</w:t>
            </w:r>
          </w:p>
        </w:tc>
        <w:tc>
          <w:tcPr>
            <w:tcW w:w="2268" w:type="dxa"/>
            <w:vAlign w:val="center"/>
          </w:tcPr>
          <w:p w14:paraId="31F93D30">
            <w:pPr>
              <w:pStyle w:val="13"/>
            </w:pPr>
            <w:r>
              <w:t>3年</w:t>
            </w:r>
          </w:p>
        </w:tc>
        <w:tc>
          <w:tcPr>
            <w:tcW w:w="1276" w:type="dxa"/>
            <w:vAlign w:val="center"/>
          </w:tcPr>
          <w:p w14:paraId="5DED71A5">
            <w:pPr>
              <w:pStyle w:val="13"/>
            </w:pPr>
            <w:r>
              <w:t>幼儿园生均公用经费管理办法</w:t>
            </w:r>
          </w:p>
        </w:tc>
      </w:tr>
      <w:tr w14:paraId="3C233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8F77C">
            <w:pPr>
              <w:pStyle w:val="12"/>
            </w:pPr>
            <w:r>
              <w:t>满意度指标</w:t>
            </w:r>
          </w:p>
        </w:tc>
        <w:tc>
          <w:tcPr>
            <w:tcW w:w="2268" w:type="dxa"/>
            <w:vAlign w:val="center"/>
          </w:tcPr>
          <w:p w14:paraId="2B79E353">
            <w:pPr>
              <w:pStyle w:val="13"/>
            </w:pPr>
            <w:r>
              <w:t>服务对象满意度指标</w:t>
            </w:r>
          </w:p>
        </w:tc>
        <w:tc>
          <w:tcPr>
            <w:tcW w:w="2835" w:type="dxa"/>
            <w:vAlign w:val="center"/>
          </w:tcPr>
          <w:p w14:paraId="0212207F">
            <w:pPr>
              <w:pStyle w:val="13"/>
            </w:pPr>
            <w:r>
              <w:t>受益学生家长及调查满意度</w:t>
            </w:r>
          </w:p>
        </w:tc>
        <w:tc>
          <w:tcPr>
            <w:tcW w:w="5386" w:type="dxa"/>
            <w:vAlign w:val="center"/>
          </w:tcPr>
          <w:p w14:paraId="2083CFFA">
            <w:pPr>
              <w:pStyle w:val="13"/>
            </w:pPr>
            <w:r>
              <w:t>学生、教师及家长对学校保教保育工作满意度情况</w:t>
            </w:r>
          </w:p>
        </w:tc>
        <w:tc>
          <w:tcPr>
            <w:tcW w:w="2268" w:type="dxa"/>
            <w:vAlign w:val="center"/>
          </w:tcPr>
          <w:p w14:paraId="0C18A064">
            <w:pPr>
              <w:pStyle w:val="13"/>
            </w:pPr>
            <w:r>
              <w:t>≥95%</w:t>
            </w:r>
          </w:p>
        </w:tc>
        <w:tc>
          <w:tcPr>
            <w:tcW w:w="1276" w:type="dxa"/>
            <w:vAlign w:val="center"/>
          </w:tcPr>
          <w:p w14:paraId="7F53004F">
            <w:pPr>
              <w:pStyle w:val="13"/>
            </w:pPr>
            <w:r>
              <w:t>调查问卷</w:t>
            </w:r>
          </w:p>
        </w:tc>
      </w:tr>
    </w:tbl>
    <w:p w14:paraId="499F5D39">
      <w:pPr>
        <w:sectPr>
          <w:pgSz w:w="16840" w:h="11900" w:orient="landscape"/>
          <w:pgMar w:top="1361" w:right="1020" w:bottom="1134" w:left="1020" w:header="720" w:footer="720" w:gutter="0"/>
          <w:cols w:space="720" w:num="1"/>
        </w:sectPr>
      </w:pPr>
    </w:p>
    <w:p w14:paraId="6E7A3DD2">
      <w:pPr>
        <w:spacing w:before="0" w:after="0"/>
        <w:ind w:firstLine="560"/>
        <w:jc w:val="left"/>
        <w:outlineLvl w:val="9"/>
      </w:pPr>
      <w:r>
        <w:rPr>
          <w:rFonts w:ascii="方正仿宋_GBK" w:hAnsi="方正仿宋_GBK" w:eastAsia="方正仿宋_GBK" w:cs="方正仿宋_GBK"/>
          <w:b/>
          <w:color w:val="000000"/>
          <w:sz w:val="28"/>
        </w:rPr>
        <w:t>77、冀财教[2024]142号/省级/2025年学前发展资金/隆尧县启明幼儿园学前教育公用经费绩效目标表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8B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6B24C">
            <w:pPr>
              <w:pStyle w:val="14"/>
            </w:pPr>
            <w:r>
              <w:t>单位：万元</w:t>
            </w:r>
          </w:p>
        </w:tc>
      </w:tr>
      <w:tr w14:paraId="5272C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EC1EE6">
            <w:pPr>
              <w:pStyle w:val="11"/>
            </w:pPr>
            <w:r>
              <w:t>项目编码</w:t>
            </w:r>
          </w:p>
        </w:tc>
        <w:tc>
          <w:tcPr>
            <w:tcW w:w="5103" w:type="dxa"/>
            <w:gridSpan w:val="2"/>
            <w:vAlign w:val="center"/>
          </w:tcPr>
          <w:p w14:paraId="618BD512">
            <w:pPr>
              <w:pStyle w:val="13"/>
            </w:pPr>
            <w:r>
              <w:t>13052525P008757100413</w:t>
            </w:r>
          </w:p>
        </w:tc>
        <w:tc>
          <w:tcPr>
            <w:tcW w:w="2835" w:type="dxa"/>
            <w:vAlign w:val="center"/>
          </w:tcPr>
          <w:p w14:paraId="7C63E674">
            <w:pPr>
              <w:pStyle w:val="11"/>
            </w:pPr>
            <w:r>
              <w:t>项目名称</w:t>
            </w:r>
          </w:p>
        </w:tc>
        <w:tc>
          <w:tcPr>
            <w:tcW w:w="6095" w:type="dxa"/>
            <w:gridSpan w:val="3"/>
            <w:vAlign w:val="center"/>
          </w:tcPr>
          <w:p w14:paraId="15D62602">
            <w:pPr>
              <w:pStyle w:val="13"/>
            </w:pPr>
            <w:r>
              <w:t>冀财教[2024]142号/省级/2025年学前发展资金/隆尧县启明幼儿园学前教育公用经费</w:t>
            </w:r>
          </w:p>
        </w:tc>
      </w:tr>
      <w:tr w14:paraId="6964A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3FE9D">
            <w:pPr>
              <w:pStyle w:val="11"/>
            </w:pPr>
            <w:r>
              <w:t>预算规模及资金用途</w:t>
            </w:r>
          </w:p>
        </w:tc>
        <w:tc>
          <w:tcPr>
            <w:tcW w:w="2268" w:type="dxa"/>
            <w:vAlign w:val="center"/>
          </w:tcPr>
          <w:p w14:paraId="44CCA59D">
            <w:pPr>
              <w:pStyle w:val="11"/>
            </w:pPr>
            <w:r>
              <w:t>预算数</w:t>
            </w:r>
          </w:p>
        </w:tc>
        <w:tc>
          <w:tcPr>
            <w:tcW w:w="2835" w:type="dxa"/>
            <w:vAlign w:val="center"/>
          </w:tcPr>
          <w:p w14:paraId="5E628AA8">
            <w:pPr>
              <w:pStyle w:val="13"/>
            </w:pPr>
            <w:r>
              <w:t>1.46</w:t>
            </w:r>
          </w:p>
        </w:tc>
        <w:tc>
          <w:tcPr>
            <w:tcW w:w="2835" w:type="dxa"/>
            <w:vAlign w:val="center"/>
          </w:tcPr>
          <w:p w14:paraId="18B3FF9B">
            <w:pPr>
              <w:pStyle w:val="11"/>
            </w:pPr>
            <w:r>
              <w:t>其中：财政    资金</w:t>
            </w:r>
          </w:p>
        </w:tc>
        <w:tc>
          <w:tcPr>
            <w:tcW w:w="2551" w:type="dxa"/>
            <w:vAlign w:val="center"/>
          </w:tcPr>
          <w:p w14:paraId="4F19E090">
            <w:pPr>
              <w:pStyle w:val="13"/>
            </w:pPr>
            <w:r>
              <w:t>1.46</w:t>
            </w:r>
          </w:p>
        </w:tc>
        <w:tc>
          <w:tcPr>
            <w:tcW w:w="2268" w:type="dxa"/>
            <w:vAlign w:val="center"/>
          </w:tcPr>
          <w:p w14:paraId="0910F0DE">
            <w:pPr>
              <w:pStyle w:val="11"/>
            </w:pPr>
            <w:r>
              <w:t>其他资金</w:t>
            </w:r>
          </w:p>
        </w:tc>
        <w:tc>
          <w:tcPr>
            <w:tcW w:w="1276" w:type="dxa"/>
            <w:vAlign w:val="center"/>
          </w:tcPr>
          <w:p w14:paraId="49EACD74">
            <w:pPr>
              <w:pStyle w:val="13"/>
            </w:pPr>
            <w:r>
              <w:t xml:space="preserve"> </w:t>
            </w:r>
          </w:p>
        </w:tc>
      </w:tr>
      <w:tr w14:paraId="634A6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680976"/>
        </w:tc>
        <w:tc>
          <w:tcPr>
            <w:tcW w:w="14033" w:type="dxa"/>
            <w:gridSpan w:val="6"/>
            <w:vAlign w:val="center"/>
          </w:tcPr>
          <w:p w14:paraId="5F17FB77">
            <w:pPr>
              <w:pStyle w:val="13"/>
            </w:pPr>
            <w:r>
              <w:t>按季度分批次拨付安排公用经费资金，学校按照预算安排进行资金使用，保证资金正常支出。</w:t>
            </w:r>
          </w:p>
        </w:tc>
      </w:tr>
      <w:tr w14:paraId="23196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B2A6A">
            <w:pPr>
              <w:pStyle w:val="11"/>
            </w:pPr>
            <w:r>
              <w:t>资金支出计划（%）</w:t>
            </w:r>
          </w:p>
        </w:tc>
        <w:tc>
          <w:tcPr>
            <w:tcW w:w="5103" w:type="dxa"/>
            <w:gridSpan w:val="2"/>
            <w:vAlign w:val="center"/>
          </w:tcPr>
          <w:p w14:paraId="274AAC54">
            <w:pPr>
              <w:pStyle w:val="11"/>
            </w:pPr>
            <w:r>
              <w:t>3月底</w:t>
            </w:r>
          </w:p>
        </w:tc>
        <w:tc>
          <w:tcPr>
            <w:tcW w:w="2835" w:type="dxa"/>
            <w:vAlign w:val="center"/>
          </w:tcPr>
          <w:p w14:paraId="01D95BE1">
            <w:pPr>
              <w:pStyle w:val="11"/>
            </w:pPr>
            <w:r>
              <w:t>6月底</w:t>
            </w:r>
          </w:p>
        </w:tc>
        <w:tc>
          <w:tcPr>
            <w:tcW w:w="2551" w:type="dxa"/>
            <w:vAlign w:val="center"/>
          </w:tcPr>
          <w:p w14:paraId="602550E7">
            <w:pPr>
              <w:pStyle w:val="11"/>
            </w:pPr>
            <w:r>
              <w:t>10月底</w:t>
            </w:r>
          </w:p>
        </w:tc>
        <w:tc>
          <w:tcPr>
            <w:tcW w:w="3544" w:type="dxa"/>
            <w:gridSpan w:val="2"/>
            <w:vAlign w:val="center"/>
          </w:tcPr>
          <w:p w14:paraId="087B63C8">
            <w:pPr>
              <w:pStyle w:val="11"/>
            </w:pPr>
            <w:r>
              <w:t>12月底</w:t>
            </w:r>
          </w:p>
        </w:tc>
      </w:tr>
      <w:tr w14:paraId="1CDC4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644E96"/>
        </w:tc>
        <w:tc>
          <w:tcPr>
            <w:tcW w:w="5103" w:type="dxa"/>
            <w:gridSpan w:val="2"/>
            <w:vAlign w:val="center"/>
          </w:tcPr>
          <w:p w14:paraId="30E2389B">
            <w:pPr>
              <w:pStyle w:val="12"/>
            </w:pPr>
            <w:r>
              <w:t xml:space="preserve"> </w:t>
            </w:r>
          </w:p>
        </w:tc>
        <w:tc>
          <w:tcPr>
            <w:tcW w:w="2835" w:type="dxa"/>
            <w:vAlign w:val="center"/>
          </w:tcPr>
          <w:p w14:paraId="3716C1B8">
            <w:pPr>
              <w:pStyle w:val="12"/>
            </w:pPr>
            <w:r>
              <w:t>50%</w:t>
            </w:r>
          </w:p>
        </w:tc>
        <w:tc>
          <w:tcPr>
            <w:tcW w:w="2551" w:type="dxa"/>
            <w:vAlign w:val="center"/>
          </w:tcPr>
          <w:p w14:paraId="181FB2FB">
            <w:pPr>
              <w:pStyle w:val="12"/>
            </w:pPr>
            <w:r>
              <w:t>75%</w:t>
            </w:r>
          </w:p>
        </w:tc>
        <w:tc>
          <w:tcPr>
            <w:tcW w:w="3544" w:type="dxa"/>
            <w:gridSpan w:val="2"/>
            <w:vAlign w:val="center"/>
          </w:tcPr>
          <w:p w14:paraId="0AEC555F">
            <w:pPr>
              <w:pStyle w:val="12"/>
            </w:pPr>
            <w:r>
              <w:t>100%</w:t>
            </w:r>
          </w:p>
        </w:tc>
      </w:tr>
      <w:tr w14:paraId="2A9CC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8349FE">
            <w:pPr>
              <w:pStyle w:val="11"/>
            </w:pPr>
            <w:r>
              <w:t>绩效目标</w:t>
            </w:r>
          </w:p>
        </w:tc>
        <w:tc>
          <w:tcPr>
            <w:tcW w:w="14033" w:type="dxa"/>
            <w:gridSpan w:val="6"/>
            <w:vAlign w:val="center"/>
          </w:tcPr>
          <w:p w14:paraId="6A17CDD9">
            <w:pPr>
              <w:pStyle w:val="13"/>
            </w:pPr>
            <w:r>
              <w:t>1.按季度分批次拨付安排公用经费资金，学校按照预算安排进行资金使用，保证资金正常支出。</w:t>
            </w:r>
          </w:p>
        </w:tc>
      </w:tr>
    </w:tbl>
    <w:p w14:paraId="16EAFE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AF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F1492">
            <w:pPr>
              <w:pStyle w:val="11"/>
            </w:pPr>
            <w:r>
              <w:t>一级指标</w:t>
            </w:r>
          </w:p>
        </w:tc>
        <w:tc>
          <w:tcPr>
            <w:tcW w:w="2268" w:type="dxa"/>
            <w:vAlign w:val="center"/>
          </w:tcPr>
          <w:p w14:paraId="6EA46CCD">
            <w:pPr>
              <w:pStyle w:val="11"/>
            </w:pPr>
            <w:r>
              <w:t>二级指标</w:t>
            </w:r>
          </w:p>
        </w:tc>
        <w:tc>
          <w:tcPr>
            <w:tcW w:w="2835" w:type="dxa"/>
            <w:vAlign w:val="center"/>
          </w:tcPr>
          <w:p w14:paraId="2BEDA5DF">
            <w:pPr>
              <w:pStyle w:val="11"/>
            </w:pPr>
            <w:r>
              <w:t>三级指标</w:t>
            </w:r>
          </w:p>
        </w:tc>
        <w:tc>
          <w:tcPr>
            <w:tcW w:w="5386" w:type="dxa"/>
            <w:vAlign w:val="center"/>
          </w:tcPr>
          <w:p w14:paraId="2D7DFDB5">
            <w:pPr>
              <w:pStyle w:val="11"/>
            </w:pPr>
            <w:r>
              <w:t>绩效指标描述</w:t>
            </w:r>
          </w:p>
        </w:tc>
        <w:tc>
          <w:tcPr>
            <w:tcW w:w="2268" w:type="dxa"/>
            <w:vAlign w:val="center"/>
          </w:tcPr>
          <w:p w14:paraId="722717AC">
            <w:pPr>
              <w:pStyle w:val="11"/>
            </w:pPr>
            <w:r>
              <w:t>指标值</w:t>
            </w:r>
          </w:p>
        </w:tc>
        <w:tc>
          <w:tcPr>
            <w:tcW w:w="1276" w:type="dxa"/>
            <w:vAlign w:val="center"/>
          </w:tcPr>
          <w:p w14:paraId="1B3D9C35">
            <w:pPr>
              <w:pStyle w:val="11"/>
            </w:pPr>
            <w:r>
              <w:t>指标值确定依据</w:t>
            </w:r>
          </w:p>
        </w:tc>
      </w:tr>
      <w:tr w14:paraId="67720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A9079">
            <w:pPr>
              <w:pStyle w:val="12"/>
            </w:pPr>
            <w:r>
              <w:t>产出指标</w:t>
            </w:r>
          </w:p>
        </w:tc>
        <w:tc>
          <w:tcPr>
            <w:tcW w:w="2268" w:type="dxa"/>
            <w:vAlign w:val="center"/>
          </w:tcPr>
          <w:p w14:paraId="77B39DF7">
            <w:pPr>
              <w:pStyle w:val="13"/>
            </w:pPr>
            <w:r>
              <w:t>数量指标</w:t>
            </w:r>
          </w:p>
        </w:tc>
        <w:tc>
          <w:tcPr>
            <w:tcW w:w="2835" w:type="dxa"/>
            <w:vAlign w:val="center"/>
          </w:tcPr>
          <w:p w14:paraId="5625127E">
            <w:pPr>
              <w:pStyle w:val="13"/>
            </w:pPr>
            <w:r>
              <w:t>适龄在校生</w:t>
            </w:r>
          </w:p>
        </w:tc>
        <w:tc>
          <w:tcPr>
            <w:tcW w:w="5386" w:type="dxa"/>
            <w:vAlign w:val="center"/>
          </w:tcPr>
          <w:p w14:paraId="3885B517">
            <w:pPr>
              <w:pStyle w:val="13"/>
            </w:pPr>
            <w:r>
              <w:t>辖区内适龄儿童全覆盖</w:t>
            </w:r>
          </w:p>
        </w:tc>
        <w:tc>
          <w:tcPr>
            <w:tcW w:w="2268" w:type="dxa"/>
            <w:vAlign w:val="center"/>
          </w:tcPr>
          <w:p w14:paraId="4F67959D">
            <w:pPr>
              <w:pStyle w:val="13"/>
            </w:pPr>
            <w:r>
              <w:t>97人</w:t>
            </w:r>
          </w:p>
        </w:tc>
        <w:tc>
          <w:tcPr>
            <w:tcW w:w="1276" w:type="dxa"/>
            <w:vAlign w:val="center"/>
          </w:tcPr>
          <w:p w14:paraId="0034C7FB">
            <w:pPr>
              <w:pStyle w:val="13"/>
            </w:pPr>
            <w:r>
              <w:t>幼儿园生均公用经费管理办法</w:t>
            </w:r>
          </w:p>
        </w:tc>
      </w:tr>
      <w:tr w14:paraId="1FCE5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8EE96"/>
        </w:tc>
        <w:tc>
          <w:tcPr>
            <w:tcW w:w="2268" w:type="dxa"/>
            <w:vAlign w:val="center"/>
          </w:tcPr>
          <w:p w14:paraId="2C571F9B">
            <w:pPr>
              <w:pStyle w:val="13"/>
            </w:pPr>
            <w:r>
              <w:t>质量指标</w:t>
            </w:r>
          </w:p>
        </w:tc>
        <w:tc>
          <w:tcPr>
            <w:tcW w:w="2835" w:type="dxa"/>
            <w:vAlign w:val="center"/>
          </w:tcPr>
          <w:p w14:paraId="0E354B66">
            <w:pPr>
              <w:pStyle w:val="13"/>
            </w:pPr>
            <w:r>
              <w:t>预算控制率</w:t>
            </w:r>
          </w:p>
        </w:tc>
        <w:tc>
          <w:tcPr>
            <w:tcW w:w="5386" w:type="dxa"/>
            <w:vAlign w:val="center"/>
          </w:tcPr>
          <w:p w14:paraId="074F8F84">
            <w:pPr>
              <w:pStyle w:val="13"/>
            </w:pPr>
            <w:r>
              <w:t>预算执行</w:t>
            </w:r>
          </w:p>
        </w:tc>
        <w:tc>
          <w:tcPr>
            <w:tcW w:w="2268" w:type="dxa"/>
            <w:vAlign w:val="center"/>
          </w:tcPr>
          <w:p w14:paraId="11CA65FC">
            <w:pPr>
              <w:pStyle w:val="13"/>
            </w:pPr>
            <w:r>
              <w:t>≥95%</w:t>
            </w:r>
          </w:p>
        </w:tc>
        <w:tc>
          <w:tcPr>
            <w:tcW w:w="1276" w:type="dxa"/>
            <w:vAlign w:val="center"/>
          </w:tcPr>
          <w:p w14:paraId="6ABA0A1C">
            <w:pPr>
              <w:pStyle w:val="13"/>
            </w:pPr>
            <w:r>
              <w:t>幼儿园生均公用经费管理办法</w:t>
            </w:r>
          </w:p>
        </w:tc>
      </w:tr>
      <w:tr w14:paraId="363B5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5E7C"/>
        </w:tc>
        <w:tc>
          <w:tcPr>
            <w:tcW w:w="2268" w:type="dxa"/>
            <w:vAlign w:val="center"/>
          </w:tcPr>
          <w:p w14:paraId="02825C1C">
            <w:pPr>
              <w:pStyle w:val="13"/>
            </w:pPr>
            <w:r>
              <w:t>时效指标</w:t>
            </w:r>
          </w:p>
        </w:tc>
        <w:tc>
          <w:tcPr>
            <w:tcW w:w="2835" w:type="dxa"/>
            <w:vAlign w:val="center"/>
          </w:tcPr>
          <w:p w14:paraId="0587A408">
            <w:pPr>
              <w:pStyle w:val="13"/>
            </w:pPr>
            <w:r>
              <w:t>资金支付率</w:t>
            </w:r>
          </w:p>
        </w:tc>
        <w:tc>
          <w:tcPr>
            <w:tcW w:w="5386" w:type="dxa"/>
            <w:vAlign w:val="center"/>
          </w:tcPr>
          <w:p w14:paraId="383579A2">
            <w:pPr>
              <w:pStyle w:val="13"/>
            </w:pPr>
            <w:r>
              <w:t>按照序时进度完成资金支付</w:t>
            </w:r>
          </w:p>
        </w:tc>
        <w:tc>
          <w:tcPr>
            <w:tcW w:w="2268" w:type="dxa"/>
            <w:vAlign w:val="center"/>
          </w:tcPr>
          <w:p w14:paraId="10516B9A">
            <w:pPr>
              <w:pStyle w:val="13"/>
            </w:pPr>
            <w:r>
              <w:t>≥100%</w:t>
            </w:r>
          </w:p>
        </w:tc>
        <w:tc>
          <w:tcPr>
            <w:tcW w:w="1276" w:type="dxa"/>
            <w:vAlign w:val="center"/>
          </w:tcPr>
          <w:p w14:paraId="13F21C31">
            <w:pPr>
              <w:pStyle w:val="13"/>
            </w:pPr>
            <w:r>
              <w:t>幼儿园生均公用经费管理办法</w:t>
            </w:r>
          </w:p>
        </w:tc>
      </w:tr>
      <w:tr w14:paraId="58F44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4B276"/>
        </w:tc>
        <w:tc>
          <w:tcPr>
            <w:tcW w:w="2268" w:type="dxa"/>
            <w:vAlign w:val="center"/>
          </w:tcPr>
          <w:p w14:paraId="38F72442">
            <w:pPr>
              <w:pStyle w:val="13"/>
            </w:pPr>
            <w:r>
              <w:t>成本指标</w:t>
            </w:r>
          </w:p>
        </w:tc>
        <w:tc>
          <w:tcPr>
            <w:tcW w:w="2835" w:type="dxa"/>
            <w:vAlign w:val="center"/>
          </w:tcPr>
          <w:p w14:paraId="3137B24D">
            <w:pPr>
              <w:pStyle w:val="13"/>
            </w:pPr>
            <w:r>
              <w:t>生均拨款标准</w:t>
            </w:r>
          </w:p>
        </w:tc>
        <w:tc>
          <w:tcPr>
            <w:tcW w:w="5386" w:type="dxa"/>
            <w:vAlign w:val="center"/>
          </w:tcPr>
          <w:p w14:paraId="64FC5E31">
            <w:pPr>
              <w:pStyle w:val="13"/>
            </w:pPr>
            <w:r>
              <w:t>学前经费600元/生/年</w:t>
            </w:r>
          </w:p>
        </w:tc>
        <w:tc>
          <w:tcPr>
            <w:tcW w:w="2268" w:type="dxa"/>
            <w:vAlign w:val="center"/>
          </w:tcPr>
          <w:p w14:paraId="2D1F6289">
            <w:pPr>
              <w:pStyle w:val="13"/>
            </w:pPr>
            <w:r>
              <w:t>600元</w:t>
            </w:r>
          </w:p>
        </w:tc>
        <w:tc>
          <w:tcPr>
            <w:tcW w:w="1276" w:type="dxa"/>
            <w:vAlign w:val="center"/>
          </w:tcPr>
          <w:p w14:paraId="3709C89B">
            <w:pPr>
              <w:pStyle w:val="13"/>
            </w:pPr>
            <w:r>
              <w:t>幼儿园生均公用经费管理办法</w:t>
            </w:r>
          </w:p>
        </w:tc>
      </w:tr>
      <w:tr w14:paraId="78FBC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D5B9A6">
            <w:pPr>
              <w:pStyle w:val="12"/>
            </w:pPr>
            <w:r>
              <w:t>效益指标</w:t>
            </w:r>
          </w:p>
        </w:tc>
        <w:tc>
          <w:tcPr>
            <w:tcW w:w="2268" w:type="dxa"/>
            <w:vAlign w:val="center"/>
          </w:tcPr>
          <w:p w14:paraId="5E1ADBBA">
            <w:pPr>
              <w:pStyle w:val="13"/>
            </w:pPr>
            <w:r>
              <w:t>可持续影响指标</w:t>
            </w:r>
          </w:p>
        </w:tc>
        <w:tc>
          <w:tcPr>
            <w:tcW w:w="2835" w:type="dxa"/>
            <w:vAlign w:val="center"/>
          </w:tcPr>
          <w:p w14:paraId="2B576CD1">
            <w:pPr>
              <w:pStyle w:val="13"/>
            </w:pPr>
            <w:r>
              <w:t>教育发展水平明显好转</w:t>
            </w:r>
          </w:p>
        </w:tc>
        <w:tc>
          <w:tcPr>
            <w:tcW w:w="5386" w:type="dxa"/>
            <w:vAlign w:val="center"/>
          </w:tcPr>
          <w:p w14:paraId="4BE560BC">
            <w:pPr>
              <w:pStyle w:val="13"/>
            </w:pPr>
            <w:r>
              <w:t>学生受教育年限</w:t>
            </w:r>
          </w:p>
        </w:tc>
        <w:tc>
          <w:tcPr>
            <w:tcW w:w="2268" w:type="dxa"/>
            <w:vAlign w:val="center"/>
          </w:tcPr>
          <w:p w14:paraId="0E19B185">
            <w:pPr>
              <w:pStyle w:val="13"/>
            </w:pPr>
            <w:r>
              <w:t>3年</w:t>
            </w:r>
          </w:p>
        </w:tc>
        <w:tc>
          <w:tcPr>
            <w:tcW w:w="1276" w:type="dxa"/>
            <w:vAlign w:val="center"/>
          </w:tcPr>
          <w:p w14:paraId="69BEDA47">
            <w:pPr>
              <w:pStyle w:val="13"/>
            </w:pPr>
            <w:r>
              <w:t>幼儿园生均公用经费管理办法</w:t>
            </w:r>
          </w:p>
        </w:tc>
      </w:tr>
      <w:tr w14:paraId="72CB4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84E540">
            <w:pPr>
              <w:pStyle w:val="12"/>
            </w:pPr>
            <w:r>
              <w:t>满意度指标</w:t>
            </w:r>
          </w:p>
        </w:tc>
        <w:tc>
          <w:tcPr>
            <w:tcW w:w="2268" w:type="dxa"/>
            <w:vAlign w:val="center"/>
          </w:tcPr>
          <w:p w14:paraId="137EA90D">
            <w:pPr>
              <w:pStyle w:val="13"/>
            </w:pPr>
            <w:r>
              <w:t>服务对象满意度指标</w:t>
            </w:r>
          </w:p>
        </w:tc>
        <w:tc>
          <w:tcPr>
            <w:tcW w:w="2835" w:type="dxa"/>
            <w:vAlign w:val="center"/>
          </w:tcPr>
          <w:p w14:paraId="58817A35">
            <w:pPr>
              <w:pStyle w:val="13"/>
            </w:pPr>
            <w:r>
              <w:t>受益学生家长及调查满意度</w:t>
            </w:r>
          </w:p>
        </w:tc>
        <w:tc>
          <w:tcPr>
            <w:tcW w:w="5386" w:type="dxa"/>
            <w:vAlign w:val="center"/>
          </w:tcPr>
          <w:p w14:paraId="2449219C">
            <w:pPr>
              <w:pStyle w:val="13"/>
            </w:pPr>
            <w:r>
              <w:t>学生、教师及家长对学校保教保育工作满意度情况</w:t>
            </w:r>
          </w:p>
        </w:tc>
        <w:tc>
          <w:tcPr>
            <w:tcW w:w="2268" w:type="dxa"/>
            <w:vAlign w:val="center"/>
          </w:tcPr>
          <w:p w14:paraId="517C41F3">
            <w:pPr>
              <w:pStyle w:val="13"/>
            </w:pPr>
            <w:r>
              <w:t>≥95%</w:t>
            </w:r>
          </w:p>
        </w:tc>
        <w:tc>
          <w:tcPr>
            <w:tcW w:w="1276" w:type="dxa"/>
            <w:vAlign w:val="center"/>
          </w:tcPr>
          <w:p w14:paraId="526FDBAB">
            <w:pPr>
              <w:pStyle w:val="13"/>
            </w:pPr>
            <w:r>
              <w:t>调查问卷</w:t>
            </w:r>
          </w:p>
        </w:tc>
      </w:tr>
    </w:tbl>
    <w:p w14:paraId="495E1C4C">
      <w:pPr>
        <w:sectPr>
          <w:pgSz w:w="16840" w:h="11900" w:orient="landscape"/>
          <w:pgMar w:top="1361" w:right="1020" w:bottom="1134" w:left="1020" w:header="720" w:footer="720" w:gutter="0"/>
          <w:cols w:space="720" w:num="1"/>
        </w:sectPr>
      </w:pPr>
    </w:p>
    <w:p w14:paraId="2526038A">
      <w:pPr>
        <w:spacing w:before="0" w:after="0"/>
        <w:ind w:firstLine="560"/>
        <w:jc w:val="left"/>
        <w:outlineLvl w:val="9"/>
      </w:pPr>
      <w:r>
        <w:rPr>
          <w:rFonts w:ascii="方正仿宋_GBK" w:hAnsi="方正仿宋_GBK" w:eastAsia="方正仿宋_GBK" w:cs="方正仿宋_GBK"/>
          <w:b/>
          <w:color w:val="000000"/>
          <w:sz w:val="28"/>
        </w:rPr>
        <w:t>78、冀财教[2024]142号/省级/2025年学前发展资金/隆尧县启智幼儿园学前教育公用经费绩效目标表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7E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F79AC">
            <w:pPr>
              <w:pStyle w:val="14"/>
            </w:pPr>
            <w:r>
              <w:t>单位：万元</w:t>
            </w:r>
          </w:p>
        </w:tc>
      </w:tr>
      <w:tr w14:paraId="19661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A4183">
            <w:pPr>
              <w:pStyle w:val="11"/>
            </w:pPr>
            <w:r>
              <w:t>项目编码</w:t>
            </w:r>
          </w:p>
        </w:tc>
        <w:tc>
          <w:tcPr>
            <w:tcW w:w="5103" w:type="dxa"/>
            <w:gridSpan w:val="2"/>
            <w:vAlign w:val="center"/>
          </w:tcPr>
          <w:p w14:paraId="057570F5">
            <w:pPr>
              <w:pStyle w:val="13"/>
            </w:pPr>
            <w:r>
              <w:t>13052525P008757100369</w:t>
            </w:r>
          </w:p>
        </w:tc>
        <w:tc>
          <w:tcPr>
            <w:tcW w:w="2835" w:type="dxa"/>
            <w:vAlign w:val="center"/>
          </w:tcPr>
          <w:p w14:paraId="56333B0E">
            <w:pPr>
              <w:pStyle w:val="11"/>
            </w:pPr>
            <w:r>
              <w:t>项目名称</w:t>
            </w:r>
          </w:p>
        </w:tc>
        <w:tc>
          <w:tcPr>
            <w:tcW w:w="6095" w:type="dxa"/>
            <w:gridSpan w:val="3"/>
            <w:vAlign w:val="center"/>
          </w:tcPr>
          <w:p w14:paraId="2A7345C3">
            <w:pPr>
              <w:pStyle w:val="13"/>
            </w:pPr>
            <w:r>
              <w:t>冀财教[2024]142号/省级/2025年学前发展资金/隆尧县启智幼儿园学前教育公用经费</w:t>
            </w:r>
          </w:p>
        </w:tc>
      </w:tr>
      <w:tr w14:paraId="7B6AE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DDB2E">
            <w:pPr>
              <w:pStyle w:val="11"/>
            </w:pPr>
            <w:r>
              <w:t>预算规模及资金用途</w:t>
            </w:r>
          </w:p>
        </w:tc>
        <w:tc>
          <w:tcPr>
            <w:tcW w:w="2268" w:type="dxa"/>
            <w:vAlign w:val="center"/>
          </w:tcPr>
          <w:p w14:paraId="6B5D76E6">
            <w:pPr>
              <w:pStyle w:val="11"/>
            </w:pPr>
            <w:r>
              <w:t>预算数</w:t>
            </w:r>
          </w:p>
        </w:tc>
        <w:tc>
          <w:tcPr>
            <w:tcW w:w="2835" w:type="dxa"/>
            <w:vAlign w:val="center"/>
          </w:tcPr>
          <w:p w14:paraId="7FEB9A66">
            <w:pPr>
              <w:pStyle w:val="13"/>
            </w:pPr>
            <w:r>
              <w:t>2.49</w:t>
            </w:r>
          </w:p>
        </w:tc>
        <w:tc>
          <w:tcPr>
            <w:tcW w:w="2835" w:type="dxa"/>
            <w:vAlign w:val="center"/>
          </w:tcPr>
          <w:p w14:paraId="0FE0D26F">
            <w:pPr>
              <w:pStyle w:val="11"/>
            </w:pPr>
            <w:r>
              <w:t>其中：财政    资金</w:t>
            </w:r>
          </w:p>
        </w:tc>
        <w:tc>
          <w:tcPr>
            <w:tcW w:w="2551" w:type="dxa"/>
            <w:vAlign w:val="center"/>
          </w:tcPr>
          <w:p w14:paraId="59420DE7">
            <w:pPr>
              <w:pStyle w:val="13"/>
            </w:pPr>
            <w:r>
              <w:t>2.49</w:t>
            </w:r>
          </w:p>
        </w:tc>
        <w:tc>
          <w:tcPr>
            <w:tcW w:w="2268" w:type="dxa"/>
            <w:vAlign w:val="center"/>
          </w:tcPr>
          <w:p w14:paraId="431B231F">
            <w:pPr>
              <w:pStyle w:val="11"/>
            </w:pPr>
            <w:r>
              <w:t>其他资金</w:t>
            </w:r>
          </w:p>
        </w:tc>
        <w:tc>
          <w:tcPr>
            <w:tcW w:w="1276" w:type="dxa"/>
            <w:vAlign w:val="center"/>
          </w:tcPr>
          <w:p w14:paraId="094EC086">
            <w:pPr>
              <w:pStyle w:val="13"/>
            </w:pPr>
            <w:r>
              <w:t xml:space="preserve"> </w:t>
            </w:r>
          </w:p>
        </w:tc>
      </w:tr>
      <w:tr w14:paraId="3CE97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C86C3"/>
        </w:tc>
        <w:tc>
          <w:tcPr>
            <w:tcW w:w="14033" w:type="dxa"/>
            <w:gridSpan w:val="6"/>
            <w:vAlign w:val="center"/>
          </w:tcPr>
          <w:p w14:paraId="7CD53858">
            <w:pPr>
              <w:pStyle w:val="13"/>
            </w:pPr>
            <w:r>
              <w:t>按季度分批次拨付安排公用经费资金，学校按照预算安排进行资金使用，保证资金正常支出。</w:t>
            </w:r>
          </w:p>
        </w:tc>
      </w:tr>
      <w:tr w14:paraId="6C840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396F8">
            <w:pPr>
              <w:pStyle w:val="11"/>
            </w:pPr>
            <w:r>
              <w:t>资金支出计划（%）</w:t>
            </w:r>
          </w:p>
        </w:tc>
        <w:tc>
          <w:tcPr>
            <w:tcW w:w="5103" w:type="dxa"/>
            <w:gridSpan w:val="2"/>
            <w:vAlign w:val="center"/>
          </w:tcPr>
          <w:p w14:paraId="2586978A">
            <w:pPr>
              <w:pStyle w:val="11"/>
            </w:pPr>
            <w:r>
              <w:t>3月底</w:t>
            </w:r>
          </w:p>
        </w:tc>
        <w:tc>
          <w:tcPr>
            <w:tcW w:w="2835" w:type="dxa"/>
            <w:vAlign w:val="center"/>
          </w:tcPr>
          <w:p w14:paraId="180A0790">
            <w:pPr>
              <w:pStyle w:val="11"/>
            </w:pPr>
            <w:r>
              <w:t>6月底</w:t>
            </w:r>
          </w:p>
        </w:tc>
        <w:tc>
          <w:tcPr>
            <w:tcW w:w="2551" w:type="dxa"/>
            <w:vAlign w:val="center"/>
          </w:tcPr>
          <w:p w14:paraId="352F43FB">
            <w:pPr>
              <w:pStyle w:val="11"/>
            </w:pPr>
            <w:r>
              <w:t>10月底</w:t>
            </w:r>
          </w:p>
        </w:tc>
        <w:tc>
          <w:tcPr>
            <w:tcW w:w="3544" w:type="dxa"/>
            <w:gridSpan w:val="2"/>
            <w:vAlign w:val="center"/>
          </w:tcPr>
          <w:p w14:paraId="605E01C8">
            <w:pPr>
              <w:pStyle w:val="11"/>
            </w:pPr>
            <w:r>
              <w:t>12月底</w:t>
            </w:r>
          </w:p>
        </w:tc>
      </w:tr>
      <w:tr w14:paraId="6F822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441AF"/>
        </w:tc>
        <w:tc>
          <w:tcPr>
            <w:tcW w:w="5103" w:type="dxa"/>
            <w:gridSpan w:val="2"/>
            <w:vAlign w:val="center"/>
          </w:tcPr>
          <w:p w14:paraId="6B24575F">
            <w:pPr>
              <w:pStyle w:val="12"/>
            </w:pPr>
            <w:r>
              <w:t xml:space="preserve"> </w:t>
            </w:r>
          </w:p>
        </w:tc>
        <w:tc>
          <w:tcPr>
            <w:tcW w:w="2835" w:type="dxa"/>
            <w:vAlign w:val="center"/>
          </w:tcPr>
          <w:p w14:paraId="72E68400">
            <w:pPr>
              <w:pStyle w:val="12"/>
            </w:pPr>
            <w:r>
              <w:t>50%</w:t>
            </w:r>
          </w:p>
        </w:tc>
        <w:tc>
          <w:tcPr>
            <w:tcW w:w="2551" w:type="dxa"/>
            <w:vAlign w:val="center"/>
          </w:tcPr>
          <w:p w14:paraId="0441414E">
            <w:pPr>
              <w:pStyle w:val="12"/>
            </w:pPr>
            <w:r>
              <w:t>75%</w:t>
            </w:r>
          </w:p>
        </w:tc>
        <w:tc>
          <w:tcPr>
            <w:tcW w:w="3544" w:type="dxa"/>
            <w:gridSpan w:val="2"/>
            <w:vAlign w:val="center"/>
          </w:tcPr>
          <w:p w14:paraId="5C509963">
            <w:pPr>
              <w:pStyle w:val="12"/>
            </w:pPr>
            <w:r>
              <w:t>100%</w:t>
            </w:r>
          </w:p>
        </w:tc>
      </w:tr>
      <w:tr w14:paraId="74D1C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52D816">
            <w:pPr>
              <w:pStyle w:val="11"/>
            </w:pPr>
            <w:r>
              <w:t>绩效目标</w:t>
            </w:r>
          </w:p>
        </w:tc>
        <w:tc>
          <w:tcPr>
            <w:tcW w:w="14033" w:type="dxa"/>
            <w:gridSpan w:val="6"/>
            <w:vAlign w:val="center"/>
          </w:tcPr>
          <w:p w14:paraId="5191115A">
            <w:pPr>
              <w:pStyle w:val="13"/>
            </w:pPr>
            <w:r>
              <w:t>1.按季度分批次拨付安排公用经费资金，学校按照预算安排进行资金使用，保证资金正常支出。</w:t>
            </w:r>
          </w:p>
        </w:tc>
      </w:tr>
    </w:tbl>
    <w:p w14:paraId="67EFA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D7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36FD7">
            <w:pPr>
              <w:pStyle w:val="11"/>
            </w:pPr>
            <w:r>
              <w:t>一级指标</w:t>
            </w:r>
          </w:p>
        </w:tc>
        <w:tc>
          <w:tcPr>
            <w:tcW w:w="2268" w:type="dxa"/>
            <w:vAlign w:val="center"/>
          </w:tcPr>
          <w:p w14:paraId="6190C80C">
            <w:pPr>
              <w:pStyle w:val="11"/>
            </w:pPr>
            <w:r>
              <w:t>二级指标</w:t>
            </w:r>
          </w:p>
        </w:tc>
        <w:tc>
          <w:tcPr>
            <w:tcW w:w="2835" w:type="dxa"/>
            <w:vAlign w:val="center"/>
          </w:tcPr>
          <w:p w14:paraId="1F88CBF0">
            <w:pPr>
              <w:pStyle w:val="11"/>
            </w:pPr>
            <w:r>
              <w:t>三级指标</w:t>
            </w:r>
          </w:p>
        </w:tc>
        <w:tc>
          <w:tcPr>
            <w:tcW w:w="5386" w:type="dxa"/>
            <w:vAlign w:val="center"/>
          </w:tcPr>
          <w:p w14:paraId="46FF2583">
            <w:pPr>
              <w:pStyle w:val="11"/>
            </w:pPr>
            <w:r>
              <w:t>绩效指标描述</w:t>
            </w:r>
          </w:p>
        </w:tc>
        <w:tc>
          <w:tcPr>
            <w:tcW w:w="2268" w:type="dxa"/>
            <w:vAlign w:val="center"/>
          </w:tcPr>
          <w:p w14:paraId="00D2A707">
            <w:pPr>
              <w:pStyle w:val="11"/>
            </w:pPr>
            <w:r>
              <w:t>指标值</w:t>
            </w:r>
          </w:p>
        </w:tc>
        <w:tc>
          <w:tcPr>
            <w:tcW w:w="1276" w:type="dxa"/>
            <w:vAlign w:val="center"/>
          </w:tcPr>
          <w:p w14:paraId="1F2CEC90">
            <w:pPr>
              <w:pStyle w:val="11"/>
            </w:pPr>
            <w:r>
              <w:t>指标值确定依据</w:t>
            </w:r>
          </w:p>
        </w:tc>
      </w:tr>
      <w:tr w14:paraId="6BA16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5F2F9">
            <w:pPr>
              <w:pStyle w:val="12"/>
            </w:pPr>
            <w:r>
              <w:t>产出指标</w:t>
            </w:r>
          </w:p>
        </w:tc>
        <w:tc>
          <w:tcPr>
            <w:tcW w:w="2268" w:type="dxa"/>
            <w:vAlign w:val="center"/>
          </w:tcPr>
          <w:p w14:paraId="54C59F5A">
            <w:pPr>
              <w:pStyle w:val="13"/>
            </w:pPr>
            <w:r>
              <w:t>数量指标</w:t>
            </w:r>
          </w:p>
        </w:tc>
        <w:tc>
          <w:tcPr>
            <w:tcW w:w="2835" w:type="dxa"/>
            <w:vAlign w:val="center"/>
          </w:tcPr>
          <w:p w14:paraId="7D1D11F0">
            <w:pPr>
              <w:pStyle w:val="13"/>
            </w:pPr>
            <w:r>
              <w:t>适龄在校生</w:t>
            </w:r>
          </w:p>
        </w:tc>
        <w:tc>
          <w:tcPr>
            <w:tcW w:w="5386" w:type="dxa"/>
            <w:vAlign w:val="center"/>
          </w:tcPr>
          <w:p w14:paraId="1B9993FD">
            <w:pPr>
              <w:pStyle w:val="13"/>
            </w:pPr>
            <w:r>
              <w:t>辖区内适龄儿童全覆盖</w:t>
            </w:r>
          </w:p>
        </w:tc>
        <w:tc>
          <w:tcPr>
            <w:tcW w:w="2268" w:type="dxa"/>
            <w:vAlign w:val="center"/>
          </w:tcPr>
          <w:p w14:paraId="0F990986">
            <w:pPr>
              <w:pStyle w:val="13"/>
            </w:pPr>
            <w:r>
              <w:t>166人</w:t>
            </w:r>
          </w:p>
        </w:tc>
        <w:tc>
          <w:tcPr>
            <w:tcW w:w="1276" w:type="dxa"/>
            <w:vAlign w:val="center"/>
          </w:tcPr>
          <w:p w14:paraId="60F20265">
            <w:pPr>
              <w:pStyle w:val="13"/>
            </w:pPr>
            <w:r>
              <w:t>幼儿园生均公用经费管理办法</w:t>
            </w:r>
          </w:p>
        </w:tc>
      </w:tr>
      <w:tr w14:paraId="23C45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F0BA6"/>
        </w:tc>
        <w:tc>
          <w:tcPr>
            <w:tcW w:w="2268" w:type="dxa"/>
            <w:vAlign w:val="center"/>
          </w:tcPr>
          <w:p w14:paraId="31FE23A1">
            <w:pPr>
              <w:pStyle w:val="13"/>
            </w:pPr>
            <w:r>
              <w:t>质量指标</w:t>
            </w:r>
          </w:p>
        </w:tc>
        <w:tc>
          <w:tcPr>
            <w:tcW w:w="2835" w:type="dxa"/>
            <w:vAlign w:val="center"/>
          </w:tcPr>
          <w:p w14:paraId="2D2C8AB4">
            <w:pPr>
              <w:pStyle w:val="13"/>
            </w:pPr>
            <w:r>
              <w:t>预算控制率</w:t>
            </w:r>
          </w:p>
        </w:tc>
        <w:tc>
          <w:tcPr>
            <w:tcW w:w="5386" w:type="dxa"/>
            <w:vAlign w:val="center"/>
          </w:tcPr>
          <w:p w14:paraId="7BAA2093">
            <w:pPr>
              <w:pStyle w:val="13"/>
            </w:pPr>
            <w:r>
              <w:t>预算执行</w:t>
            </w:r>
          </w:p>
        </w:tc>
        <w:tc>
          <w:tcPr>
            <w:tcW w:w="2268" w:type="dxa"/>
            <w:vAlign w:val="center"/>
          </w:tcPr>
          <w:p w14:paraId="2076C8BD">
            <w:pPr>
              <w:pStyle w:val="13"/>
            </w:pPr>
            <w:r>
              <w:t>≥95%</w:t>
            </w:r>
          </w:p>
        </w:tc>
        <w:tc>
          <w:tcPr>
            <w:tcW w:w="1276" w:type="dxa"/>
            <w:vAlign w:val="center"/>
          </w:tcPr>
          <w:p w14:paraId="1DE8B025">
            <w:pPr>
              <w:pStyle w:val="13"/>
            </w:pPr>
            <w:r>
              <w:t>幼儿园生均公用经费管理办法</w:t>
            </w:r>
          </w:p>
        </w:tc>
      </w:tr>
      <w:tr w14:paraId="0FB4F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0926D"/>
        </w:tc>
        <w:tc>
          <w:tcPr>
            <w:tcW w:w="2268" w:type="dxa"/>
            <w:vAlign w:val="center"/>
          </w:tcPr>
          <w:p w14:paraId="1B56AB2C">
            <w:pPr>
              <w:pStyle w:val="13"/>
            </w:pPr>
            <w:r>
              <w:t>时效指标</w:t>
            </w:r>
          </w:p>
        </w:tc>
        <w:tc>
          <w:tcPr>
            <w:tcW w:w="2835" w:type="dxa"/>
            <w:vAlign w:val="center"/>
          </w:tcPr>
          <w:p w14:paraId="3C6B513C">
            <w:pPr>
              <w:pStyle w:val="13"/>
            </w:pPr>
            <w:r>
              <w:t>资金支付率</w:t>
            </w:r>
          </w:p>
        </w:tc>
        <w:tc>
          <w:tcPr>
            <w:tcW w:w="5386" w:type="dxa"/>
            <w:vAlign w:val="center"/>
          </w:tcPr>
          <w:p w14:paraId="14FB4E1C">
            <w:pPr>
              <w:pStyle w:val="13"/>
            </w:pPr>
            <w:r>
              <w:t>按照序时进度完成资金支付</w:t>
            </w:r>
          </w:p>
        </w:tc>
        <w:tc>
          <w:tcPr>
            <w:tcW w:w="2268" w:type="dxa"/>
            <w:vAlign w:val="center"/>
          </w:tcPr>
          <w:p w14:paraId="09B5EA64">
            <w:pPr>
              <w:pStyle w:val="13"/>
            </w:pPr>
            <w:r>
              <w:t>≥100%</w:t>
            </w:r>
          </w:p>
        </w:tc>
        <w:tc>
          <w:tcPr>
            <w:tcW w:w="1276" w:type="dxa"/>
            <w:vAlign w:val="center"/>
          </w:tcPr>
          <w:p w14:paraId="602CC9B8">
            <w:pPr>
              <w:pStyle w:val="13"/>
            </w:pPr>
            <w:r>
              <w:t>幼儿园生均公用经费管理办法</w:t>
            </w:r>
          </w:p>
        </w:tc>
      </w:tr>
      <w:tr w14:paraId="3964B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80CB7"/>
        </w:tc>
        <w:tc>
          <w:tcPr>
            <w:tcW w:w="2268" w:type="dxa"/>
            <w:vAlign w:val="center"/>
          </w:tcPr>
          <w:p w14:paraId="5F367EAF">
            <w:pPr>
              <w:pStyle w:val="13"/>
            </w:pPr>
            <w:r>
              <w:t>成本指标</w:t>
            </w:r>
          </w:p>
        </w:tc>
        <w:tc>
          <w:tcPr>
            <w:tcW w:w="2835" w:type="dxa"/>
            <w:vAlign w:val="center"/>
          </w:tcPr>
          <w:p w14:paraId="41676A72">
            <w:pPr>
              <w:pStyle w:val="13"/>
            </w:pPr>
            <w:r>
              <w:t>生均拨款标准</w:t>
            </w:r>
          </w:p>
        </w:tc>
        <w:tc>
          <w:tcPr>
            <w:tcW w:w="5386" w:type="dxa"/>
            <w:vAlign w:val="center"/>
          </w:tcPr>
          <w:p w14:paraId="1211DEE8">
            <w:pPr>
              <w:pStyle w:val="13"/>
            </w:pPr>
            <w:r>
              <w:t>学前经费600元/生/年</w:t>
            </w:r>
          </w:p>
        </w:tc>
        <w:tc>
          <w:tcPr>
            <w:tcW w:w="2268" w:type="dxa"/>
            <w:vAlign w:val="center"/>
          </w:tcPr>
          <w:p w14:paraId="38C9214E">
            <w:pPr>
              <w:pStyle w:val="13"/>
            </w:pPr>
            <w:r>
              <w:t>600元</w:t>
            </w:r>
          </w:p>
        </w:tc>
        <w:tc>
          <w:tcPr>
            <w:tcW w:w="1276" w:type="dxa"/>
            <w:vAlign w:val="center"/>
          </w:tcPr>
          <w:p w14:paraId="6331A0E9">
            <w:pPr>
              <w:pStyle w:val="13"/>
            </w:pPr>
            <w:r>
              <w:t>幼儿园生均公用经费管理办法</w:t>
            </w:r>
          </w:p>
        </w:tc>
      </w:tr>
      <w:tr w14:paraId="5CF80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8F142A">
            <w:pPr>
              <w:pStyle w:val="12"/>
            </w:pPr>
            <w:r>
              <w:t>效益指标</w:t>
            </w:r>
          </w:p>
        </w:tc>
        <w:tc>
          <w:tcPr>
            <w:tcW w:w="2268" w:type="dxa"/>
            <w:vAlign w:val="center"/>
          </w:tcPr>
          <w:p w14:paraId="2962FED5">
            <w:pPr>
              <w:pStyle w:val="13"/>
            </w:pPr>
            <w:r>
              <w:t>可持续影响指标</w:t>
            </w:r>
          </w:p>
        </w:tc>
        <w:tc>
          <w:tcPr>
            <w:tcW w:w="2835" w:type="dxa"/>
            <w:vAlign w:val="center"/>
          </w:tcPr>
          <w:p w14:paraId="449B5D16">
            <w:pPr>
              <w:pStyle w:val="13"/>
            </w:pPr>
            <w:r>
              <w:t>教育发展水平明显好转</w:t>
            </w:r>
          </w:p>
        </w:tc>
        <w:tc>
          <w:tcPr>
            <w:tcW w:w="5386" w:type="dxa"/>
            <w:vAlign w:val="center"/>
          </w:tcPr>
          <w:p w14:paraId="24650698">
            <w:pPr>
              <w:pStyle w:val="13"/>
            </w:pPr>
            <w:r>
              <w:t>学生受教育年限</w:t>
            </w:r>
          </w:p>
        </w:tc>
        <w:tc>
          <w:tcPr>
            <w:tcW w:w="2268" w:type="dxa"/>
            <w:vAlign w:val="center"/>
          </w:tcPr>
          <w:p w14:paraId="36CAF403">
            <w:pPr>
              <w:pStyle w:val="13"/>
            </w:pPr>
            <w:r>
              <w:t>3年</w:t>
            </w:r>
          </w:p>
        </w:tc>
        <w:tc>
          <w:tcPr>
            <w:tcW w:w="1276" w:type="dxa"/>
            <w:vAlign w:val="center"/>
          </w:tcPr>
          <w:p w14:paraId="22451E06">
            <w:pPr>
              <w:pStyle w:val="13"/>
            </w:pPr>
            <w:r>
              <w:t>幼儿园生均公用经费管理办法</w:t>
            </w:r>
          </w:p>
        </w:tc>
      </w:tr>
      <w:tr w14:paraId="5DC35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BF8580">
            <w:pPr>
              <w:pStyle w:val="12"/>
            </w:pPr>
            <w:r>
              <w:t>满意度指标</w:t>
            </w:r>
          </w:p>
        </w:tc>
        <w:tc>
          <w:tcPr>
            <w:tcW w:w="2268" w:type="dxa"/>
            <w:vAlign w:val="center"/>
          </w:tcPr>
          <w:p w14:paraId="0D6C5421">
            <w:pPr>
              <w:pStyle w:val="13"/>
            </w:pPr>
            <w:r>
              <w:t>服务对象满意度指标</w:t>
            </w:r>
          </w:p>
        </w:tc>
        <w:tc>
          <w:tcPr>
            <w:tcW w:w="2835" w:type="dxa"/>
            <w:vAlign w:val="center"/>
          </w:tcPr>
          <w:p w14:paraId="647B122D">
            <w:pPr>
              <w:pStyle w:val="13"/>
            </w:pPr>
            <w:r>
              <w:t>受益学生家长及调查满意度</w:t>
            </w:r>
          </w:p>
        </w:tc>
        <w:tc>
          <w:tcPr>
            <w:tcW w:w="5386" w:type="dxa"/>
            <w:vAlign w:val="center"/>
          </w:tcPr>
          <w:p w14:paraId="4EEDEFDF">
            <w:pPr>
              <w:pStyle w:val="13"/>
            </w:pPr>
            <w:r>
              <w:t>学生、教师及家长对学校保教保育工作满意度情况</w:t>
            </w:r>
          </w:p>
        </w:tc>
        <w:tc>
          <w:tcPr>
            <w:tcW w:w="2268" w:type="dxa"/>
            <w:vAlign w:val="center"/>
          </w:tcPr>
          <w:p w14:paraId="66799E41">
            <w:pPr>
              <w:pStyle w:val="13"/>
            </w:pPr>
            <w:r>
              <w:t>≥95%</w:t>
            </w:r>
          </w:p>
        </w:tc>
        <w:tc>
          <w:tcPr>
            <w:tcW w:w="1276" w:type="dxa"/>
            <w:vAlign w:val="center"/>
          </w:tcPr>
          <w:p w14:paraId="0C2BE5A8">
            <w:pPr>
              <w:pStyle w:val="13"/>
            </w:pPr>
            <w:r>
              <w:t>调查问卷</w:t>
            </w:r>
          </w:p>
        </w:tc>
      </w:tr>
    </w:tbl>
    <w:p w14:paraId="434459D8">
      <w:pPr>
        <w:sectPr>
          <w:pgSz w:w="16840" w:h="11900" w:orient="landscape"/>
          <w:pgMar w:top="1361" w:right="1020" w:bottom="1134" w:left="1020" w:header="720" w:footer="720" w:gutter="0"/>
          <w:cols w:space="720" w:num="1"/>
        </w:sectPr>
      </w:pPr>
    </w:p>
    <w:p w14:paraId="75EBB305">
      <w:pPr>
        <w:spacing w:before="0" w:after="0"/>
        <w:ind w:firstLine="560"/>
        <w:jc w:val="left"/>
        <w:outlineLvl w:val="9"/>
      </w:pPr>
      <w:r>
        <w:rPr>
          <w:rFonts w:ascii="方正仿宋_GBK" w:hAnsi="方正仿宋_GBK" w:eastAsia="方正仿宋_GBK" w:cs="方正仿宋_GBK"/>
          <w:b/>
          <w:color w:val="000000"/>
          <w:sz w:val="28"/>
        </w:rPr>
        <w:t>79、冀财教[2024]142号/省级/2025年学前发展资金/隆尧县小博士幼儿园学前教育公用经费绩效目标表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FE41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DAA59">
            <w:pPr>
              <w:pStyle w:val="14"/>
            </w:pPr>
            <w:r>
              <w:t>单位：万元</w:t>
            </w:r>
          </w:p>
        </w:tc>
      </w:tr>
      <w:tr w14:paraId="43244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CBC6E4">
            <w:pPr>
              <w:pStyle w:val="11"/>
            </w:pPr>
            <w:r>
              <w:t>项目编码</w:t>
            </w:r>
          </w:p>
        </w:tc>
        <w:tc>
          <w:tcPr>
            <w:tcW w:w="5103" w:type="dxa"/>
            <w:gridSpan w:val="2"/>
            <w:vAlign w:val="center"/>
          </w:tcPr>
          <w:p w14:paraId="57F5C58F">
            <w:pPr>
              <w:pStyle w:val="13"/>
            </w:pPr>
            <w:r>
              <w:t>13052525P00875710042N</w:t>
            </w:r>
          </w:p>
        </w:tc>
        <w:tc>
          <w:tcPr>
            <w:tcW w:w="2835" w:type="dxa"/>
            <w:vAlign w:val="center"/>
          </w:tcPr>
          <w:p w14:paraId="2F7793EF">
            <w:pPr>
              <w:pStyle w:val="11"/>
            </w:pPr>
            <w:r>
              <w:t>项目名称</w:t>
            </w:r>
          </w:p>
        </w:tc>
        <w:tc>
          <w:tcPr>
            <w:tcW w:w="6095" w:type="dxa"/>
            <w:gridSpan w:val="3"/>
            <w:vAlign w:val="center"/>
          </w:tcPr>
          <w:p w14:paraId="7D033306">
            <w:pPr>
              <w:pStyle w:val="13"/>
            </w:pPr>
            <w:r>
              <w:t>冀财教[2024]142号/省级/2025年学前发展资金/隆尧县小博士幼儿园学前教育公用经费</w:t>
            </w:r>
          </w:p>
        </w:tc>
      </w:tr>
      <w:tr w14:paraId="6D6C4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61927">
            <w:pPr>
              <w:pStyle w:val="11"/>
            </w:pPr>
            <w:r>
              <w:t>预算规模及资金用途</w:t>
            </w:r>
          </w:p>
        </w:tc>
        <w:tc>
          <w:tcPr>
            <w:tcW w:w="2268" w:type="dxa"/>
            <w:vAlign w:val="center"/>
          </w:tcPr>
          <w:p w14:paraId="1EDC9D6E">
            <w:pPr>
              <w:pStyle w:val="11"/>
            </w:pPr>
            <w:r>
              <w:t>预算数</w:t>
            </w:r>
          </w:p>
        </w:tc>
        <w:tc>
          <w:tcPr>
            <w:tcW w:w="2835" w:type="dxa"/>
            <w:vAlign w:val="center"/>
          </w:tcPr>
          <w:p w14:paraId="1178368D">
            <w:pPr>
              <w:pStyle w:val="13"/>
            </w:pPr>
            <w:r>
              <w:t>0.78</w:t>
            </w:r>
          </w:p>
        </w:tc>
        <w:tc>
          <w:tcPr>
            <w:tcW w:w="2835" w:type="dxa"/>
            <w:vAlign w:val="center"/>
          </w:tcPr>
          <w:p w14:paraId="518CC983">
            <w:pPr>
              <w:pStyle w:val="11"/>
            </w:pPr>
            <w:r>
              <w:t>其中：财政    资金</w:t>
            </w:r>
          </w:p>
        </w:tc>
        <w:tc>
          <w:tcPr>
            <w:tcW w:w="2551" w:type="dxa"/>
            <w:vAlign w:val="center"/>
          </w:tcPr>
          <w:p w14:paraId="13D1E362">
            <w:pPr>
              <w:pStyle w:val="13"/>
            </w:pPr>
            <w:r>
              <w:t>0.78</w:t>
            </w:r>
          </w:p>
        </w:tc>
        <w:tc>
          <w:tcPr>
            <w:tcW w:w="2268" w:type="dxa"/>
            <w:vAlign w:val="center"/>
          </w:tcPr>
          <w:p w14:paraId="4CB74BD0">
            <w:pPr>
              <w:pStyle w:val="11"/>
            </w:pPr>
            <w:r>
              <w:t>其他资金</w:t>
            </w:r>
          </w:p>
        </w:tc>
        <w:tc>
          <w:tcPr>
            <w:tcW w:w="1276" w:type="dxa"/>
            <w:vAlign w:val="center"/>
          </w:tcPr>
          <w:p w14:paraId="13BA0D92">
            <w:pPr>
              <w:pStyle w:val="13"/>
            </w:pPr>
            <w:r>
              <w:t xml:space="preserve"> </w:t>
            </w:r>
          </w:p>
        </w:tc>
      </w:tr>
      <w:tr w14:paraId="5C69E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85D3B"/>
        </w:tc>
        <w:tc>
          <w:tcPr>
            <w:tcW w:w="14033" w:type="dxa"/>
            <w:gridSpan w:val="6"/>
            <w:vAlign w:val="center"/>
          </w:tcPr>
          <w:p w14:paraId="00011239">
            <w:pPr>
              <w:pStyle w:val="13"/>
            </w:pPr>
            <w:r>
              <w:t>按季度分批次拨付安排公用经费资金，学校按照预算安排进行资金使用，保证资金正常支出。</w:t>
            </w:r>
          </w:p>
        </w:tc>
      </w:tr>
      <w:tr w14:paraId="7BD82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06E37">
            <w:pPr>
              <w:pStyle w:val="11"/>
            </w:pPr>
            <w:r>
              <w:t>资金支出计划（%）</w:t>
            </w:r>
          </w:p>
        </w:tc>
        <w:tc>
          <w:tcPr>
            <w:tcW w:w="5103" w:type="dxa"/>
            <w:gridSpan w:val="2"/>
            <w:vAlign w:val="center"/>
          </w:tcPr>
          <w:p w14:paraId="4F102C59">
            <w:pPr>
              <w:pStyle w:val="11"/>
            </w:pPr>
            <w:r>
              <w:t>3月底</w:t>
            </w:r>
          </w:p>
        </w:tc>
        <w:tc>
          <w:tcPr>
            <w:tcW w:w="2835" w:type="dxa"/>
            <w:vAlign w:val="center"/>
          </w:tcPr>
          <w:p w14:paraId="7DB082C2">
            <w:pPr>
              <w:pStyle w:val="11"/>
            </w:pPr>
            <w:r>
              <w:t>6月底</w:t>
            </w:r>
          </w:p>
        </w:tc>
        <w:tc>
          <w:tcPr>
            <w:tcW w:w="2551" w:type="dxa"/>
            <w:vAlign w:val="center"/>
          </w:tcPr>
          <w:p w14:paraId="3FD30C1C">
            <w:pPr>
              <w:pStyle w:val="11"/>
            </w:pPr>
            <w:r>
              <w:t>10月底</w:t>
            </w:r>
          </w:p>
        </w:tc>
        <w:tc>
          <w:tcPr>
            <w:tcW w:w="3544" w:type="dxa"/>
            <w:gridSpan w:val="2"/>
            <w:vAlign w:val="center"/>
          </w:tcPr>
          <w:p w14:paraId="503CFFB4">
            <w:pPr>
              <w:pStyle w:val="11"/>
            </w:pPr>
            <w:r>
              <w:t>12月底</w:t>
            </w:r>
          </w:p>
        </w:tc>
      </w:tr>
      <w:tr w14:paraId="0665F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1C265A"/>
        </w:tc>
        <w:tc>
          <w:tcPr>
            <w:tcW w:w="5103" w:type="dxa"/>
            <w:gridSpan w:val="2"/>
            <w:vAlign w:val="center"/>
          </w:tcPr>
          <w:p w14:paraId="5CEBF42C">
            <w:pPr>
              <w:pStyle w:val="12"/>
            </w:pPr>
            <w:r>
              <w:t xml:space="preserve"> </w:t>
            </w:r>
          </w:p>
        </w:tc>
        <w:tc>
          <w:tcPr>
            <w:tcW w:w="2835" w:type="dxa"/>
            <w:vAlign w:val="center"/>
          </w:tcPr>
          <w:p w14:paraId="012D155E">
            <w:pPr>
              <w:pStyle w:val="12"/>
            </w:pPr>
            <w:r>
              <w:t>50%</w:t>
            </w:r>
          </w:p>
        </w:tc>
        <w:tc>
          <w:tcPr>
            <w:tcW w:w="2551" w:type="dxa"/>
            <w:vAlign w:val="center"/>
          </w:tcPr>
          <w:p w14:paraId="79F79EB7">
            <w:pPr>
              <w:pStyle w:val="12"/>
            </w:pPr>
            <w:r>
              <w:t>75%</w:t>
            </w:r>
          </w:p>
        </w:tc>
        <w:tc>
          <w:tcPr>
            <w:tcW w:w="3544" w:type="dxa"/>
            <w:gridSpan w:val="2"/>
            <w:vAlign w:val="center"/>
          </w:tcPr>
          <w:p w14:paraId="2FAF9286">
            <w:pPr>
              <w:pStyle w:val="12"/>
            </w:pPr>
            <w:r>
              <w:t>100%</w:t>
            </w:r>
          </w:p>
        </w:tc>
      </w:tr>
      <w:tr w14:paraId="21E1A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2782B">
            <w:pPr>
              <w:pStyle w:val="11"/>
            </w:pPr>
            <w:r>
              <w:t>绩效目标</w:t>
            </w:r>
          </w:p>
        </w:tc>
        <w:tc>
          <w:tcPr>
            <w:tcW w:w="14033" w:type="dxa"/>
            <w:gridSpan w:val="6"/>
            <w:vAlign w:val="center"/>
          </w:tcPr>
          <w:p w14:paraId="5F68393F">
            <w:pPr>
              <w:pStyle w:val="13"/>
            </w:pPr>
            <w:r>
              <w:t>1.按季度分批次拨付安排公用经费资金，学校按照预算安排进行资金使用，保证资金正常支出。</w:t>
            </w:r>
          </w:p>
        </w:tc>
      </w:tr>
    </w:tbl>
    <w:p w14:paraId="266086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0F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F311B">
            <w:pPr>
              <w:pStyle w:val="11"/>
            </w:pPr>
            <w:r>
              <w:t>一级指标</w:t>
            </w:r>
          </w:p>
        </w:tc>
        <w:tc>
          <w:tcPr>
            <w:tcW w:w="2268" w:type="dxa"/>
            <w:vAlign w:val="center"/>
          </w:tcPr>
          <w:p w14:paraId="150A9287">
            <w:pPr>
              <w:pStyle w:val="11"/>
            </w:pPr>
            <w:r>
              <w:t>二级指标</w:t>
            </w:r>
          </w:p>
        </w:tc>
        <w:tc>
          <w:tcPr>
            <w:tcW w:w="2835" w:type="dxa"/>
            <w:vAlign w:val="center"/>
          </w:tcPr>
          <w:p w14:paraId="1010D568">
            <w:pPr>
              <w:pStyle w:val="11"/>
            </w:pPr>
            <w:r>
              <w:t>三级指标</w:t>
            </w:r>
          </w:p>
        </w:tc>
        <w:tc>
          <w:tcPr>
            <w:tcW w:w="5386" w:type="dxa"/>
            <w:vAlign w:val="center"/>
          </w:tcPr>
          <w:p w14:paraId="513A3532">
            <w:pPr>
              <w:pStyle w:val="11"/>
            </w:pPr>
            <w:r>
              <w:t>绩效指标描述</w:t>
            </w:r>
          </w:p>
        </w:tc>
        <w:tc>
          <w:tcPr>
            <w:tcW w:w="2268" w:type="dxa"/>
            <w:vAlign w:val="center"/>
          </w:tcPr>
          <w:p w14:paraId="498C3C74">
            <w:pPr>
              <w:pStyle w:val="11"/>
            </w:pPr>
            <w:r>
              <w:t>指标值</w:t>
            </w:r>
          </w:p>
        </w:tc>
        <w:tc>
          <w:tcPr>
            <w:tcW w:w="1276" w:type="dxa"/>
            <w:vAlign w:val="center"/>
          </w:tcPr>
          <w:p w14:paraId="6C7CA790">
            <w:pPr>
              <w:pStyle w:val="11"/>
            </w:pPr>
            <w:r>
              <w:t>指标值确定依据</w:t>
            </w:r>
          </w:p>
        </w:tc>
      </w:tr>
      <w:tr w14:paraId="7120C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49A26">
            <w:pPr>
              <w:pStyle w:val="12"/>
            </w:pPr>
            <w:r>
              <w:t>产出指标</w:t>
            </w:r>
          </w:p>
        </w:tc>
        <w:tc>
          <w:tcPr>
            <w:tcW w:w="2268" w:type="dxa"/>
            <w:vAlign w:val="center"/>
          </w:tcPr>
          <w:p w14:paraId="51CDF08D">
            <w:pPr>
              <w:pStyle w:val="13"/>
            </w:pPr>
            <w:r>
              <w:t>数量指标</w:t>
            </w:r>
          </w:p>
        </w:tc>
        <w:tc>
          <w:tcPr>
            <w:tcW w:w="2835" w:type="dxa"/>
            <w:vAlign w:val="center"/>
          </w:tcPr>
          <w:p w14:paraId="38120EDA">
            <w:pPr>
              <w:pStyle w:val="13"/>
            </w:pPr>
            <w:r>
              <w:t>适龄在校生</w:t>
            </w:r>
          </w:p>
        </w:tc>
        <w:tc>
          <w:tcPr>
            <w:tcW w:w="5386" w:type="dxa"/>
            <w:vAlign w:val="center"/>
          </w:tcPr>
          <w:p w14:paraId="08C549EA">
            <w:pPr>
              <w:pStyle w:val="13"/>
            </w:pPr>
            <w:r>
              <w:t>辖区内适龄儿童全覆盖</w:t>
            </w:r>
          </w:p>
        </w:tc>
        <w:tc>
          <w:tcPr>
            <w:tcW w:w="2268" w:type="dxa"/>
            <w:vAlign w:val="center"/>
          </w:tcPr>
          <w:p w14:paraId="1F633F5E">
            <w:pPr>
              <w:pStyle w:val="13"/>
            </w:pPr>
            <w:r>
              <w:t>52人</w:t>
            </w:r>
          </w:p>
        </w:tc>
        <w:tc>
          <w:tcPr>
            <w:tcW w:w="1276" w:type="dxa"/>
            <w:vAlign w:val="center"/>
          </w:tcPr>
          <w:p w14:paraId="29497AFD">
            <w:pPr>
              <w:pStyle w:val="13"/>
            </w:pPr>
            <w:r>
              <w:t>幼儿园生均公用经费管理办法</w:t>
            </w:r>
          </w:p>
        </w:tc>
      </w:tr>
      <w:tr w14:paraId="161B5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3A521"/>
        </w:tc>
        <w:tc>
          <w:tcPr>
            <w:tcW w:w="2268" w:type="dxa"/>
            <w:vAlign w:val="center"/>
          </w:tcPr>
          <w:p w14:paraId="1DE04570">
            <w:pPr>
              <w:pStyle w:val="13"/>
            </w:pPr>
            <w:r>
              <w:t>质量指标</w:t>
            </w:r>
          </w:p>
        </w:tc>
        <w:tc>
          <w:tcPr>
            <w:tcW w:w="2835" w:type="dxa"/>
            <w:vAlign w:val="center"/>
          </w:tcPr>
          <w:p w14:paraId="42CFC7B6">
            <w:pPr>
              <w:pStyle w:val="13"/>
            </w:pPr>
            <w:r>
              <w:t>预算控制率</w:t>
            </w:r>
          </w:p>
        </w:tc>
        <w:tc>
          <w:tcPr>
            <w:tcW w:w="5386" w:type="dxa"/>
            <w:vAlign w:val="center"/>
          </w:tcPr>
          <w:p w14:paraId="62E6DD78">
            <w:pPr>
              <w:pStyle w:val="13"/>
            </w:pPr>
            <w:r>
              <w:t>预算执行</w:t>
            </w:r>
          </w:p>
        </w:tc>
        <w:tc>
          <w:tcPr>
            <w:tcW w:w="2268" w:type="dxa"/>
            <w:vAlign w:val="center"/>
          </w:tcPr>
          <w:p w14:paraId="0DBFA572">
            <w:pPr>
              <w:pStyle w:val="13"/>
            </w:pPr>
            <w:r>
              <w:t>≥95%</w:t>
            </w:r>
          </w:p>
        </w:tc>
        <w:tc>
          <w:tcPr>
            <w:tcW w:w="1276" w:type="dxa"/>
            <w:vAlign w:val="center"/>
          </w:tcPr>
          <w:p w14:paraId="2447C8A0">
            <w:pPr>
              <w:pStyle w:val="13"/>
            </w:pPr>
            <w:r>
              <w:t>幼儿园生均公用经费管理办法</w:t>
            </w:r>
          </w:p>
        </w:tc>
      </w:tr>
      <w:tr w14:paraId="1415B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7C6C0"/>
        </w:tc>
        <w:tc>
          <w:tcPr>
            <w:tcW w:w="2268" w:type="dxa"/>
            <w:vAlign w:val="center"/>
          </w:tcPr>
          <w:p w14:paraId="43275BE5">
            <w:pPr>
              <w:pStyle w:val="13"/>
            </w:pPr>
            <w:r>
              <w:t>时效指标</w:t>
            </w:r>
          </w:p>
        </w:tc>
        <w:tc>
          <w:tcPr>
            <w:tcW w:w="2835" w:type="dxa"/>
            <w:vAlign w:val="center"/>
          </w:tcPr>
          <w:p w14:paraId="4FC55B22">
            <w:pPr>
              <w:pStyle w:val="13"/>
            </w:pPr>
            <w:r>
              <w:t>资金支付率</w:t>
            </w:r>
          </w:p>
        </w:tc>
        <w:tc>
          <w:tcPr>
            <w:tcW w:w="5386" w:type="dxa"/>
            <w:vAlign w:val="center"/>
          </w:tcPr>
          <w:p w14:paraId="16F0F378">
            <w:pPr>
              <w:pStyle w:val="13"/>
            </w:pPr>
            <w:r>
              <w:t>按照序时进度完成资金支付</w:t>
            </w:r>
          </w:p>
        </w:tc>
        <w:tc>
          <w:tcPr>
            <w:tcW w:w="2268" w:type="dxa"/>
            <w:vAlign w:val="center"/>
          </w:tcPr>
          <w:p w14:paraId="20B7EC2B">
            <w:pPr>
              <w:pStyle w:val="13"/>
            </w:pPr>
            <w:r>
              <w:t>≥100%</w:t>
            </w:r>
          </w:p>
        </w:tc>
        <w:tc>
          <w:tcPr>
            <w:tcW w:w="1276" w:type="dxa"/>
            <w:vAlign w:val="center"/>
          </w:tcPr>
          <w:p w14:paraId="54DA1AEF">
            <w:pPr>
              <w:pStyle w:val="13"/>
            </w:pPr>
            <w:r>
              <w:t>幼儿园生均公用经费管理办法</w:t>
            </w:r>
          </w:p>
        </w:tc>
      </w:tr>
      <w:tr w14:paraId="3CDB5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4DAAD"/>
        </w:tc>
        <w:tc>
          <w:tcPr>
            <w:tcW w:w="2268" w:type="dxa"/>
            <w:vAlign w:val="center"/>
          </w:tcPr>
          <w:p w14:paraId="2F002C80">
            <w:pPr>
              <w:pStyle w:val="13"/>
            </w:pPr>
            <w:r>
              <w:t>成本指标</w:t>
            </w:r>
          </w:p>
        </w:tc>
        <w:tc>
          <w:tcPr>
            <w:tcW w:w="2835" w:type="dxa"/>
            <w:vAlign w:val="center"/>
          </w:tcPr>
          <w:p w14:paraId="2EC0A593">
            <w:pPr>
              <w:pStyle w:val="13"/>
            </w:pPr>
            <w:r>
              <w:t>生均拨款标准</w:t>
            </w:r>
          </w:p>
        </w:tc>
        <w:tc>
          <w:tcPr>
            <w:tcW w:w="5386" w:type="dxa"/>
            <w:vAlign w:val="center"/>
          </w:tcPr>
          <w:p w14:paraId="0E826615">
            <w:pPr>
              <w:pStyle w:val="13"/>
            </w:pPr>
            <w:r>
              <w:t>学前经费600元/生/年</w:t>
            </w:r>
          </w:p>
        </w:tc>
        <w:tc>
          <w:tcPr>
            <w:tcW w:w="2268" w:type="dxa"/>
            <w:vAlign w:val="center"/>
          </w:tcPr>
          <w:p w14:paraId="7F2DA7AC">
            <w:pPr>
              <w:pStyle w:val="13"/>
            </w:pPr>
            <w:r>
              <w:t>600元</w:t>
            </w:r>
          </w:p>
        </w:tc>
        <w:tc>
          <w:tcPr>
            <w:tcW w:w="1276" w:type="dxa"/>
            <w:vAlign w:val="center"/>
          </w:tcPr>
          <w:p w14:paraId="230ED179">
            <w:pPr>
              <w:pStyle w:val="13"/>
            </w:pPr>
            <w:r>
              <w:t>幼儿园生均公用经费管理办法</w:t>
            </w:r>
          </w:p>
        </w:tc>
      </w:tr>
      <w:tr w14:paraId="0EDEE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DDDD7C">
            <w:pPr>
              <w:pStyle w:val="12"/>
            </w:pPr>
            <w:r>
              <w:t>效益指标</w:t>
            </w:r>
          </w:p>
        </w:tc>
        <w:tc>
          <w:tcPr>
            <w:tcW w:w="2268" w:type="dxa"/>
            <w:vAlign w:val="center"/>
          </w:tcPr>
          <w:p w14:paraId="02AA32F2">
            <w:pPr>
              <w:pStyle w:val="13"/>
            </w:pPr>
            <w:r>
              <w:t>可持续影响指标</w:t>
            </w:r>
          </w:p>
        </w:tc>
        <w:tc>
          <w:tcPr>
            <w:tcW w:w="2835" w:type="dxa"/>
            <w:vAlign w:val="center"/>
          </w:tcPr>
          <w:p w14:paraId="45714378">
            <w:pPr>
              <w:pStyle w:val="13"/>
            </w:pPr>
            <w:r>
              <w:t>教育发展水平明显好转</w:t>
            </w:r>
          </w:p>
        </w:tc>
        <w:tc>
          <w:tcPr>
            <w:tcW w:w="5386" w:type="dxa"/>
            <w:vAlign w:val="center"/>
          </w:tcPr>
          <w:p w14:paraId="416239F5">
            <w:pPr>
              <w:pStyle w:val="13"/>
            </w:pPr>
            <w:r>
              <w:t>学生受教育年限</w:t>
            </w:r>
          </w:p>
        </w:tc>
        <w:tc>
          <w:tcPr>
            <w:tcW w:w="2268" w:type="dxa"/>
            <w:vAlign w:val="center"/>
          </w:tcPr>
          <w:p w14:paraId="03E891B6">
            <w:pPr>
              <w:pStyle w:val="13"/>
            </w:pPr>
            <w:r>
              <w:t>3年</w:t>
            </w:r>
          </w:p>
        </w:tc>
        <w:tc>
          <w:tcPr>
            <w:tcW w:w="1276" w:type="dxa"/>
            <w:vAlign w:val="center"/>
          </w:tcPr>
          <w:p w14:paraId="792FB9F5">
            <w:pPr>
              <w:pStyle w:val="13"/>
            </w:pPr>
            <w:r>
              <w:t>幼儿园生均公用经费管理办法</w:t>
            </w:r>
          </w:p>
        </w:tc>
      </w:tr>
      <w:tr w14:paraId="491B1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F9C476">
            <w:pPr>
              <w:pStyle w:val="12"/>
            </w:pPr>
            <w:r>
              <w:t>满意度指标</w:t>
            </w:r>
          </w:p>
        </w:tc>
        <w:tc>
          <w:tcPr>
            <w:tcW w:w="2268" w:type="dxa"/>
            <w:vAlign w:val="center"/>
          </w:tcPr>
          <w:p w14:paraId="5FA368F6">
            <w:pPr>
              <w:pStyle w:val="13"/>
            </w:pPr>
            <w:r>
              <w:t>服务对象满意度指标</w:t>
            </w:r>
          </w:p>
        </w:tc>
        <w:tc>
          <w:tcPr>
            <w:tcW w:w="2835" w:type="dxa"/>
            <w:vAlign w:val="center"/>
          </w:tcPr>
          <w:p w14:paraId="6B4B5334">
            <w:pPr>
              <w:pStyle w:val="13"/>
            </w:pPr>
            <w:r>
              <w:t>受益学生家长及调查满意度</w:t>
            </w:r>
          </w:p>
        </w:tc>
        <w:tc>
          <w:tcPr>
            <w:tcW w:w="5386" w:type="dxa"/>
            <w:vAlign w:val="center"/>
          </w:tcPr>
          <w:p w14:paraId="385FEEB2">
            <w:pPr>
              <w:pStyle w:val="13"/>
            </w:pPr>
            <w:r>
              <w:t>学生、教师及家长对学校保教保育工作满意度情况</w:t>
            </w:r>
          </w:p>
        </w:tc>
        <w:tc>
          <w:tcPr>
            <w:tcW w:w="2268" w:type="dxa"/>
            <w:vAlign w:val="center"/>
          </w:tcPr>
          <w:p w14:paraId="4783F2F9">
            <w:pPr>
              <w:pStyle w:val="13"/>
            </w:pPr>
            <w:r>
              <w:t>≥95%</w:t>
            </w:r>
          </w:p>
        </w:tc>
        <w:tc>
          <w:tcPr>
            <w:tcW w:w="1276" w:type="dxa"/>
            <w:vAlign w:val="center"/>
          </w:tcPr>
          <w:p w14:paraId="656C23FF">
            <w:pPr>
              <w:pStyle w:val="13"/>
            </w:pPr>
            <w:r>
              <w:t>调查问卷</w:t>
            </w:r>
          </w:p>
        </w:tc>
      </w:tr>
    </w:tbl>
    <w:p w14:paraId="4B5077FB">
      <w:pPr>
        <w:sectPr>
          <w:pgSz w:w="16840" w:h="11900" w:orient="landscape"/>
          <w:pgMar w:top="1361" w:right="1020" w:bottom="1134" w:left="1020" w:header="720" w:footer="720" w:gutter="0"/>
          <w:cols w:space="720" w:num="1"/>
        </w:sectPr>
      </w:pPr>
    </w:p>
    <w:p w14:paraId="597B4F9F">
      <w:pPr>
        <w:spacing w:before="0" w:after="0"/>
        <w:ind w:firstLine="560"/>
        <w:jc w:val="left"/>
        <w:outlineLvl w:val="9"/>
      </w:pPr>
      <w:r>
        <w:rPr>
          <w:rFonts w:ascii="方正仿宋_GBK" w:hAnsi="方正仿宋_GBK" w:eastAsia="方正仿宋_GBK" w:cs="方正仿宋_GBK"/>
          <w:b/>
          <w:color w:val="000000"/>
          <w:sz w:val="28"/>
        </w:rPr>
        <w:t>80、冀财教[2024]142号/省级/2025年学前发展资金/隆尧县小叮当幼儿园学前教育公用经费绩效目标表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D0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B7F99">
            <w:pPr>
              <w:pStyle w:val="14"/>
            </w:pPr>
            <w:r>
              <w:t>单位：万元</w:t>
            </w:r>
          </w:p>
        </w:tc>
      </w:tr>
      <w:tr w14:paraId="17867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BE85EC">
            <w:pPr>
              <w:pStyle w:val="11"/>
            </w:pPr>
            <w:r>
              <w:t>项目编码</w:t>
            </w:r>
          </w:p>
        </w:tc>
        <w:tc>
          <w:tcPr>
            <w:tcW w:w="5103" w:type="dxa"/>
            <w:gridSpan w:val="2"/>
            <w:vAlign w:val="center"/>
          </w:tcPr>
          <w:p w14:paraId="64EF7774">
            <w:pPr>
              <w:pStyle w:val="13"/>
            </w:pPr>
            <w:r>
              <w:t>13052525P00875710026D</w:t>
            </w:r>
          </w:p>
        </w:tc>
        <w:tc>
          <w:tcPr>
            <w:tcW w:w="2835" w:type="dxa"/>
            <w:vAlign w:val="center"/>
          </w:tcPr>
          <w:p w14:paraId="61B1AF95">
            <w:pPr>
              <w:pStyle w:val="11"/>
            </w:pPr>
            <w:r>
              <w:t>项目名称</w:t>
            </w:r>
          </w:p>
        </w:tc>
        <w:tc>
          <w:tcPr>
            <w:tcW w:w="6095" w:type="dxa"/>
            <w:gridSpan w:val="3"/>
            <w:vAlign w:val="center"/>
          </w:tcPr>
          <w:p w14:paraId="3E0FD335">
            <w:pPr>
              <w:pStyle w:val="13"/>
            </w:pPr>
            <w:r>
              <w:t>冀财教[2024]142号/省级/2025年学前发展资金/隆尧县小叮当幼儿园学前教育公用经费</w:t>
            </w:r>
          </w:p>
        </w:tc>
      </w:tr>
      <w:tr w14:paraId="347D5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307ED">
            <w:pPr>
              <w:pStyle w:val="11"/>
            </w:pPr>
            <w:r>
              <w:t>预算规模及资金用途</w:t>
            </w:r>
          </w:p>
        </w:tc>
        <w:tc>
          <w:tcPr>
            <w:tcW w:w="2268" w:type="dxa"/>
            <w:vAlign w:val="center"/>
          </w:tcPr>
          <w:p w14:paraId="4C8C5BFE">
            <w:pPr>
              <w:pStyle w:val="11"/>
            </w:pPr>
            <w:r>
              <w:t>预算数</w:t>
            </w:r>
          </w:p>
        </w:tc>
        <w:tc>
          <w:tcPr>
            <w:tcW w:w="2835" w:type="dxa"/>
            <w:vAlign w:val="center"/>
          </w:tcPr>
          <w:p w14:paraId="4DE1F0F2">
            <w:pPr>
              <w:pStyle w:val="13"/>
            </w:pPr>
            <w:r>
              <w:t>0.96</w:t>
            </w:r>
          </w:p>
        </w:tc>
        <w:tc>
          <w:tcPr>
            <w:tcW w:w="2835" w:type="dxa"/>
            <w:vAlign w:val="center"/>
          </w:tcPr>
          <w:p w14:paraId="6A02C767">
            <w:pPr>
              <w:pStyle w:val="11"/>
            </w:pPr>
            <w:r>
              <w:t>其中：财政    资金</w:t>
            </w:r>
          </w:p>
        </w:tc>
        <w:tc>
          <w:tcPr>
            <w:tcW w:w="2551" w:type="dxa"/>
            <w:vAlign w:val="center"/>
          </w:tcPr>
          <w:p w14:paraId="7BF73B44">
            <w:pPr>
              <w:pStyle w:val="13"/>
            </w:pPr>
            <w:r>
              <w:t>0.96</w:t>
            </w:r>
          </w:p>
        </w:tc>
        <w:tc>
          <w:tcPr>
            <w:tcW w:w="2268" w:type="dxa"/>
            <w:vAlign w:val="center"/>
          </w:tcPr>
          <w:p w14:paraId="5C06F92C">
            <w:pPr>
              <w:pStyle w:val="11"/>
            </w:pPr>
            <w:r>
              <w:t>其他资金</w:t>
            </w:r>
          </w:p>
        </w:tc>
        <w:tc>
          <w:tcPr>
            <w:tcW w:w="1276" w:type="dxa"/>
            <w:vAlign w:val="center"/>
          </w:tcPr>
          <w:p w14:paraId="6EB118EC">
            <w:pPr>
              <w:pStyle w:val="13"/>
            </w:pPr>
            <w:r>
              <w:t xml:space="preserve"> </w:t>
            </w:r>
          </w:p>
        </w:tc>
      </w:tr>
      <w:tr w14:paraId="620B5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7E78E"/>
        </w:tc>
        <w:tc>
          <w:tcPr>
            <w:tcW w:w="14033" w:type="dxa"/>
            <w:gridSpan w:val="6"/>
            <w:vAlign w:val="center"/>
          </w:tcPr>
          <w:p w14:paraId="7726952F">
            <w:pPr>
              <w:pStyle w:val="13"/>
            </w:pPr>
            <w:r>
              <w:t>按季度分批次拨付安排公用经费资金，学校按照预算安排进行资金使用，保证资金正常支出。</w:t>
            </w:r>
          </w:p>
        </w:tc>
      </w:tr>
      <w:tr w14:paraId="2A3AB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CE7CD">
            <w:pPr>
              <w:pStyle w:val="11"/>
            </w:pPr>
            <w:r>
              <w:t>资金支出计划（%）</w:t>
            </w:r>
          </w:p>
        </w:tc>
        <w:tc>
          <w:tcPr>
            <w:tcW w:w="5103" w:type="dxa"/>
            <w:gridSpan w:val="2"/>
            <w:vAlign w:val="center"/>
          </w:tcPr>
          <w:p w14:paraId="4BAD084C">
            <w:pPr>
              <w:pStyle w:val="11"/>
            </w:pPr>
            <w:r>
              <w:t>3月底</w:t>
            </w:r>
          </w:p>
        </w:tc>
        <w:tc>
          <w:tcPr>
            <w:tcW w:w="2835" w:type="dxa"/>
            <w:vAlign w:val="center"/>
          </w:tcPr>
          <w:p w14:paraId="7C3AA7A8">
            <w:pPr>
              <w:pStyle w:val="11"/>
            </w:pPr>
            <w:r>
              <w:t>6月底</w:t>
            </w:r>
          </w:p>
        </w:tc>
        <w:tc>
          <w:tcPr>
            <w:tcW w:w="2551" w:type="dxa"/>
            <w:vAlign w:val="center"/>
          </w:tcPr>
          <w:p w14:paraId="672795AE">
            <w:pPr>
              <w:pStyle w:val="11"/>
            </w:pPr>
            <w:r>
              <w:t>10月底</w:t>
            </w:r>
          </w:p>
        </w:tc>
        <w:tc>
          <w:tcPr>
            <w:tcW w:w="3544" w:type="dxa"/>
            <w:gridSpan w:val="2"/>
            <w:vAlign w:val="center"/>
          </w:tcPr>
          <w:p w14:paraId="39EBF6AB">
            <w:pPr>
              <w:pStyle w:val="11"/>
            </w:pPr>
            <w:r>
              <w:t>12月底</w:t>
            </w:r>
          </w:p>
        </w:tc>
      </w:tr>
      <w:tr w14:paraId="568EB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A80B68"/>
        </w:tc>
        <w:tc>
          <w:tcPr>
            <w:tcW w:w="5103" w:type="dxa"/>
            <w:gridSpan w:val="2"/>
            <w:vAlign w:val="center"/>
          </w:tcPr>
          <w:p w14:paraId="5E32B0B0">
            <w:pPr>
              <w:pStyle w:val="12"/>
            </w:pPr>
            <w:r>
              <w:t xml:space="preserve"> </w:t>
            </w:r>
          </w:p>
        </w:tc>
        <w:tc>
          <w:tcPr>
            <w:tcW w:w="2835" w:type="dxa"/>
            <w:vAlign w:val="center"/>
          </w:tcPr>
          <w:p w14:paraId="59259F82">
            <w:pPr>
              <w:pStyle w:val="12"/>
            </w:pPr>
            <w:r>
              <w:t>50%</w:t>
            </w:r>
          </w:p>
        </w:tc>
        <w:tc>
          <w:tcPr>
            <w:tcW w:w="2551" w:type="dxa"/>
            <w:vAlign w:val="center"/>
          </w:tcPr>
          <w:p w14:paraId="2DFC0A27">
            <w:pPr>
              <w:pStyle w:val="12"/>
            </w:pPr>
            <w:r>
              <w:t>75%</w:t>
            </w:r>
          </w:p>
        </w:tc>
        <w:tc>
          <w:tcPr>
            <w:tcW w:w="3544" w:type="dxa"/>
            <w:gridSpan w:val="2"/>
            <w:vAlign w:val="center"/>
          </w:tcPr>
          <w:p w14:paraId="308922DF">
            <w:pPr>
              <w:pStyle w:val="12"/>
            </w:pPr>
            <w:r>
              <w:t>100%</w:t>
            </w:r>
          </w:p>
        </w:tc>
      </w:tr>
      <w:tr w14:paraId="3FBAF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83CF85">
            <w:pPr>
              <w:pStyle w:val="11"/>
            </w:pPr>
            <w:r>
              <w:t>绩效目标</w:t>
            </w:r>
          </w:p>
        </w:tc>
        <w:tc>
          <w:tcPr>
            <w:tcW w:w="14033" w:type="dxa"/>
            <w:gridSpan w:val="6"/>
            <w:vAlign w:val="center"/>
          </w:tcPr>
          <w:p w14:paraId="5862312F">
            <w:pPr>
              <w:pStyle w:val="13"/>
            </w:pPr>
            <w:r>
              <w:t>1.按季度分批次拨付安排公用经费资金，学校按照预算安排进行资金使用，保证资金正常支出。</w:t>
            </w:r>
            <w:r>
              <w:tab/>
            </w:r>
          </w:p>
        </w:tc>
      </w:tr>
    </w:tbl>
    <w:p w14:paraId="5110D5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53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4B01C">
            <w:pPr>
              <w:pStyle w:val="11"/>
            </w:pPr>
            <w:r>
              <w:t>一级指标</w:t>
            </w:r>
          </w:p>
        </w:tc>
        <w:tc>
          <w:tcPr>
            <w:tcW w:w="2268" w:type="dxa"/>
            <w:vAlign w:val="center"/>
          </w:tcPr>
          <w:p w14:paraId="769D85AE">
            <w:pPr>
              <w:pStyle w:val="11"/>
            </w:pPr>
            <w:r>
              <w:t>二级指标</w:t>
            </w:r>
          </w:p>
        </w:tc>
        <w:tc>
          <w:tcPr>
            <w:tcW w:w="2835" w:type="dxa"/>
            <w:vAlign w:val="center"/>
          </w:tcPr>
          <w:p w14:paraId="0EA7DA81">
            <w:pPr>
              <w:pStyle w:val="11"/>
            </w:pPr>
            <w:r>
              <w:t>三级指标</w:t>
            </w:r>
          </w:p>
        </w:tc>
        <w:tc>
          <w:tcPr>
            <w:tcW w:w="5386" w:type="dxa"/>
            <w:vAlign w:val="center"/>
          </w:tcPr>
          <w:p w14:paraId="4423F241">
            <w:pPr>
              <w:pStyle w:val="11"/>
            </w:pPr>
            <w:r>
              <w:t>绩效指标描述</w:t>
            </w:r>
          </w:p>
        </w:tc>
        <w:tc>
          <w:tcPr>
            <w:tcW w:w="2268" w:type="dxa"/>
            <w:vAlign w:val="center"/>
          </w:tcPr>
          <w:p w14:paraId="70E498A0">
            <w:pPr>
              <w:pStyle w:val="11"/>
            </w:pPr>
            <w:r>
              <w:t>指标值</w:t>
            </w:r>
          </w:p>
        </w:tc>
        <w:tc>
          <w:tcPr>
            <w:tcW w:w="1276" w:type="dxa"/>
            <w:vAlign w:val="center"/>
          </w:tcPr>
          <w:p w14:paraId="1182315A">
            <w:pPr>
              <w:pStyle w:val="11"/>
            </w:pPr>
            <w:r>
              <w:t>指标值确定依据</w:t>
            </w:r>
          </w:p>
        </w:tc>
      </w:tr>
      <w:tr w14:paraId="200E7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B9454">
            <w:pPr>
              <w:pStyle w:val="12"/>
            </w:pPr>
            <w:r>
              <w:t>产出指标</w:t>
            </w:r>
          </w:p>
        </w:tc>
        <w:tc>
          <w:tcPr>
            <w:tcW w:w="2268" w:type="dxa"/>
            <w:vAlign w:val="center"/>
          </w:tcPr>
          <w:p w14:paraId="30AA3971">
            <w:pPr>
              <w:pStyle w:val="13"/>
            </w:pPr>
            <w:r>
              <w:t>数量指标</w:t>
            </w:r>
          </w:p>
        </w:tc>
        <w:tc>
          <w:tcPr>
            <w:tcW w:w="2835" w:type="dxa"/>
            <w:vAlign w:val="center"/>
          </w:tcPr>
          <w:p w14:paraId="5D073BA2">
            <w:pPr>
              <w:pStyle w:val="13"/>
            </w:pPr>
            <w:r>
              <w:t>适龄在校生</w:t>
            </w:r>
          </w:p>
        </w:tc>
        <w:tc>
          <w:tcPr>
            <w:tcW w:w="5386" w:type="dxa"/>
            <w:vAlign w:val="center"/>
          </w:tcPr>
          <w:p w14:paraId="5F972E36">
            <w:pPr>
              <w:pStyle w:val="13"/>
            </w:pPr>
            <w:r>
              <w:t>辖区内适龄儿童全覆盖</w:t>
            </w:r>
          </w:p>
        </w:tc>
        <w:tc>
          <w:tcPr>
            <w:tcW w:w="2268" w:type="dxa"/>
            <w:vAlign w:val="center"/>
          </w:tcPr>
          <w:p w14:paraId="3F3AF3F0">
            <w:pPr>
              <w:pStyle w:val="13"/>
            </w:pPr>
            <w:r>
              <w:t>64人</w:t>
            </w:r>
          </w:p>
        </w:tc>
        <w:tc>
          <w:tcPr>
            <w:tcW w:w="1276" w:type="dxa"/>
            <w:vAlign w:val="center"/>
          </w:tcPr>
          <w:p w14:paraId="5D588471">
            <w:pPr>
              <w:pStyle w:val="13"/>
            </w:pPr>
            <w:r>
              <w:t>幼儿园生均公用经费管理办法</w:t>
            </w:r>
          </w:p>
        </w:tc>
      </w:tr>
      <w:tr w14:paraId="1529C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395D3"/>
        </w:tc>
        <w:tc>
          <w:tcPr>
            <w:tcW w:w="2268" w:type="dxa"/>
            <w:vAlign w:val="center"/>
          </w:tcPr>
          <w:p w14:paraId="50628BCE">
            <w:pPr>
              <w:pStyle w:val="13"/>
            </w:pPr>
            <w:r>
              <w:t>质量指标</w:t>
            </w:r>
          </w:p>
        </w:tc>
        <w:tc>
          <w:tcPr>
            <w:tcW w:w="2835" w:type="dxa"/>
            <w:vAlign w:val="center"/>
          </w:tcPr>
          <w:p w14:paraId="03A5F38F">
            <w:pPr>
              <w:pStyle w:val="13"/>
            </w:pPr>
            <w:r>
              <w:t>预算控制率</w:t>
            </w:r>
          </w:p>
        </w:tc>
        <w:tc>
          <w:tcPr>
            <w:tcW w:w="5386" w:type="dxa"/>
            <w:vAlign w:val="center"/>
          </w:tcPr>
          <w:p w14:paraId="71877F86">
            <w:pPr>
              <w:pStyle w:val="13"/>
            </w:pPr>
            <w:r>
              <w:t>预算执行</w:t>
            </w:r>
          </w:p>
        </w:tc>
        <w:tc>
          <w:tcPr>
            <w:tcW w:w="2268" w:type="dxa"/>
            <w:vAlign w:val="center"/>
          </w:tcPr>
          <w:p w14:paraId="0C858186">
            <w:pPr>
              <w:pStyle w:val="13"/>
            </w:pPr>
            <w:r>
              <w:t>≥95%</w:t>
            </w:r>
          </w:p>
        </w:tc>
        <w:tc>
          <w:tcPr>
            <w:tcW w:w="1276" w:type="dxa"/>
            <w:vAlign w:val="center"/>
          </w:tcPr>
          <w:p w14:paraId="2B9AEF9C">
            <w:pPr>
              <w:pStyle w:val="13"/>
            </w:pPr>
            <w:r>
              <w:t>幼儿园生均公用经费管理办法</w:t>
            </w:r>
          </w:p>
        </w:tc>
      </w:tr>
      <w:tr w14:paraId="7253F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04C07"/>
        </w:tc>
        <w:tc>
          <w:tcPr>
            <w:tcW w:w="2268" w:type="dxa"/>
            <w:vAlign w:val="center"/>
          </w:tcPr>
          <w:p w14:paraId="028046DE">
            <w:pPr>
              <w:pStyle w:val="13"/>
            </w:pPr>
            <w:r>
              <w:t>时效指标</w:t>
            </w:r>
          </w:p>
        </w:tc>
        <w:tc>
          <w:tcPr>
            <w:tcW w:w="2835" w:type="dxa"/>
            <w:vAlign w:val="center"/>
          </w:tcPr>
          <w:p w14:paraId="0213A8BB">
            <w:pPr>
              <w:pStyle w:val="13"/>
            </w:pPr>
            <w:r>
              <w:t>资金支付率</w:t>
            </w:r>
          </w:p>
        </w:tc>
        <w:tc>
          <w:tcPr>
            <w:tcW w:w="5386" w:type="dxa"/>
            <w:vAlign w:val="center"/>
          </w:tcPr>
          <w:p w14:paraId="67D00BD0">
            <w:pPr>
              <w:pStyle w:val="13"/>
            </w:pPr>
            <w:r>
              <w:t>按照序时进度完成资金支付</w:t>
            </w:r>
          </w:p>
        </w:tc>
        <w:tc>
          <w:tcPr>
            <w:tcW w:w="2268" w:type="dxa"/>
            <w:vAlign w:val="center"/>
          </w:tcPr>
          <w:p w14:paraId="1896C120">
            <w:pPr>
              <w:pStyle w:val="13"/>
            </w:pPr>
            <w:r>
              <w:t>≥100%</w:t>
            </w:r>
          </w:p>
        </w:tc>
        <w:tc>
          <w:tcPr>
            <w:tcW w:w="1276" w:type="dxa"/>
            <w:vAlign w:val="center"/>
          </w:tcPr>
          <w:p w14:paraId="03EE0097">
            <w:pPr>
              <w:pStyle w:val="13"/>
            </w:pPr>
            <w:r>
              <w:t>幼儿园生均公用经费管理办法</w:t>
            </w:r>
          </w:p>
        </w:tc>
      </w:tr>
      <w:tr w14:paraId="10401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ED953"/>
        </w:tc>
        <w:tc>
          <w:tcPr>
            <w:tcW w:w="2268" w:type="dxa"/>
            <w:vAlign w:val="center"/>
          </w:tcPr>
          <w:p w14:paraId="769BF0E9">
            <w:pPr>
              <w:pStyle w:val="13"/>
            </w:pPr>
            <w:r>
              <w:t>成本指标</w:t>
            </w:r>
          </w:p>
        </w:tc>
        <w:tc>
          <w:tcPr>
            <w:tcW w:w="2835" w:type="dxa"/>
            <w:vAlign w:val="center"/>
          </w:tcPr>
          <w:p w14:paraId="2692811A">
            <w:pPr>
              <w:pStyle w:val="13"/>
            </w:pPr>
            <w:r>
              <w:t>生均拨款标准</w:t>
            </w:r>
          </w:p>
        </w:tc>
        <w:tc>
          <w:tcPr>
            <w:tcW w:w="5386" w:type="dxa"/>
            <w:vAlign w:val="center"/>
          </w:tcPr>
          <w:p w14:paraId="3BD97463">
            <w:pPr>
              <w:pStyle w:val="13"/>
            </w:pPr>
            <w:r>
              <w:t>学前经费600元/生/年</w:t>
            </w:r>
          </w:p>
        </w:tc>
        <w:tc>
          <w:tcPr>
            <w:tcW w:w="2268" w:type="dxa"/>
            <w:vAlign w:val="center"/>
          </w:tcPr>
          <w:p w14:paraId="6ABB57B1">
            <w:pPr>
              <w:pStyle w:val="13"/>
            </w:pPr>
            <w:r>
              <w:t>600元</w:t>
            </w:r>
          </w:p>
        </w:tc>
        <w:tc>
          <w:tcPr>
            <w:tcW w:w="1276" w:type="dxa"/>
            <w:vAlign w:val="center"/>
          </w:tcPr>
          <w:p w14:paraId="0FDE1DE8">
            <w:pPr>
              <w:pStyle w:val="13"/>
            </w:pPr>
            <w:r>
              <w:t>幼儿园生均公用经费管理办法</w:t>
            </w:r>
          </w:p>
        </w:tc>
      </w:tr>
      <w:tr w14:paraId="5D0D4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788F11">
            <w:pPr>
              <w:pStyle w:val="12"/>
            </w:pPr>
            <w:r>
              <w:t>效益指标</w:t>
            </w:r>
          </w:p>
        </w:tc>
        <w:tc>
          <w:tcPr>
            <w:tcW w:w="2268" w:type="dxa"/>
            <w:vAlign w:val="center"/>
          </w:tcPr>
          <w:p w14:paraId="7CCABF6E">
            <w:pPr>
              <w:pStyle w:val="13"/>
            </w:pPr>
            <w:r>
              <w:t>可持续影响指标</w:t>
            </w:r>
          </w:p>
        </w:tc>
        <w:tc>
          <w:tcPr>
            <w:tcW w:w="2835" w:type="dxa"/>
            <w:vAlign w:val="center"/>
          </w:tcPr>
          <w:p w14:paraId="00B3C7E9">
            <w:pPr>
              <w:pStyle w:val="13"/>
            </w:pPr>
            <w:r>
              <w:t>教育发展水平明显好转</w:t>
            </w:r>
          </w:p>
        </w:tc>
        <w:tc>
          <w:tcPr>
            <w:tcW w:w="5386" w:type="dxa"/>
            <w:vAlign w:val="center"/>
          </w:tcPr>
          <w:p w14:paraId="0FE33474">
            <w:pPr>
              <w:pStyle w:val="13"/>
            </w:pPr>
            <w:r>
              <w:t>学生受教育年限</w:t>
            </w:r>
          </w:p>
        </w:tc>
        <w:tc>
          <w:tcPr>
            <w:tcW w:w="2268" w:type="dxa"/>
            <w:vAlign w:val="center"/>
          </w:tcPr>
          <w:p w14:paraId="16B0C470">
            <w:pPr>
              <w:pStyle w:val="13"/>
            </w:pPr>
            <w:r>
              <w:t>3年</w:t>
            </w:r>
          </w:p>
        </w:tc>
        <w:tc>
          <w:tcPr>
            <w:tcW w:w="1276" w:type="dxa"/>
            <w:vAlign w:val="center"/>
          </w:tcPr>
          <w:p w14:paraId="7F234ABF">
            <w:pPr>
              <w:pStyle w:val="13"/>
            </w:pPr>
            <w:r>
              <w:t>幼儿园生均公用经费管理办法</w:t>
            </w:r>
          </w:p>
        </w:tc>
      </w:tr>
      <w:tr w14:paraId="1DDAF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523544">
            <w:pPr>
              <w:pStyle w:val="12"/>
            </w:pPr>
            <w:r>
              <w:t>满意度指标</w:t>
            </w:r>
          </w:p>
        </w:tc>
        <w:tc>
          <w:tcPr>
            <w:tcW w:w="2268" w:type="dxa"/>
            <w:vAlign w:val="center"/>
          </w:tcPr>
          <w:p w14:paraId="0F8A657F">
            <w:pPr>
              <w:pStyle w:val="13"/>
            </w:pPr>
            <w:r>
              <w:t>服务对象满意度指标</w:t>
            </w:r>
          </w:p>
        </w:tc>
        <w:tc>
          <w:tcPr>
            <w:tcW w:w="2835" w:type="dxa"/>
            <w:vAlign w:val="center"/>
          </w:tcPr>
          <w:p w14:paraId="459F2A5B">
            <w:pPr>
              <w:pStyle w:val="13"/>
            </w:pPr>
            <w:r>
              <w:t>受益学生家长及调查满意度</w:t>
            </w:r>
          </w:p>
        </w:tc>
        <w:tc>
          <w:tcPr>
            <w:tcW w:w="5386" w:type="dxa"/>
            <w:vAlign w:val="center"/>
          </w:tcPr>
          <w:p w14:paraId="2100E611">
            <w:pPr>
              <w:pStyle w:val="13"/>
            </w:pPr>
            <w:r>
              <w:t>学生、教师及家长对学校保教保育工作满意度情况</w:t>
            </w:r>
          </w:p>
        </w:tc>
        <w:tc>
          <w:tcPr>
            <w:tcW w:w="2268" w:type="dxa"/>
            <w:vAlign w:val="center"/>
          </w:tcPr>
          <w:p w14:paraId="48E036E2">
            <w:pPr>
              <w:pStyle w:val="13"/>
            </w:pPr>
            <w:r>
              <w:t>≥95%</w:t>
            </w:r>
          </w:p>
        </w:tc>
        <w:tc>
          <w:tcPr>
            <w:tcW w:w="1276" w:type="dxa"/>
            <w:vAlign w:val="center"/>
          </w:tcPr>
          <w:p w14:paraId="0DC11675">
            <w:pPr>
              <w:pStyle w:val="13"/>
            </w:pPr>
            <w:r>
              <w:t>调查问卷</w:t>
            </w:r>
          </w:p>
        </w:tc>
      </w:tr>
    </w:tbl>
    <w:p w14:paraId="04DD8F58">
      <w:pPr>
        <w:sectPr>
          <w:pgSz w:w="16840" w:h="11900" w:orient="landscape"/>
          <w:pgMar w:top="1361" w:right="1020" w:bottom="1134" w:left="1020" w:header="720" w:footer="720" w:gutter="0"/>
          <w:cols w:space="720" w:num="1"/>
        </w:sectPr>
      </w:pPr>
    </w:p>
    <w:p w14:paraId="5BB90CEF">
      <w:pPr>
        <w:spacing w:before="0" w:after="0"/>
        <w:ind w:firstLine="560"/>
        <w:jc w:val="left"/>
        <w:outlineLvl w:val="9"/>
      </w:pPr>
      <w:r>
        <w:rPr>
          <w:rFonts w:ascii="方正仿宋_GBK" w:hAnsi="方正仿宋_GBK" w:eastAsia="方正仿宋_GBK" w:cs="方正仿宋_GBK"/>
          <w:b/>
          <w:color w:val="000000"/>
          <w:sz w:val="28"/>
        </w:rPr>
        <w:t>81、冀财教[2024]142号/省级/2025年学前发展资金/隆尧县小风车幼儿园学前教育公用经费绩效目标表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EE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FE0F3">
            <w:pPr>
              <w:pStyle w:val="14"/>
            </w:pPr>
            <w:r>
              <w:t>单位：万元</w:t>
            </w:r>
          </w:p>
        </w:tc>
      </w:tr>
      <w:tr w14:paraId="48686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2288A">
            <w:pPr>
              <w:pStyle w:val="11"/>
            </w:pPr>
            <w:r>
              <w:t>项目编码</w:t>
            </w:r>
          </w:p>
        </w:tc>
        <w:tc>
          <w:tcPr>
            <w:tcW w:w="5103" w:type="dxa"/>
            <w:gridSpan w:val="2"/>
            <w:vAlign w:val="center"/>
          </w:tcPr>
          <w:p w14:paraId="7B46B29D">
            <w:pPr>
              <w:pStyle w:val="13"/>
            </w:pPr>
            <w:r>
              <w:t>13052525P008757100298</w:t>
            </w:r>
          </w:p>
        </w:tc>
        <w:tc>
          <w:tcPr>
            <w:tcW w:w="2835" w:type="dxa"/>
            <w:vAlign w:val="center"/>
          </w:tcPr>
          <w:p w14:paraId="7967AD34">
            <w:pPr>
              <w:pStyle w:val="11"/>
            </w:pPr>
            <w:r>
              <w:t>项目名称</w:t>
            </w:r>
          </w:p>
        </w:tc>
        <w:tc>
          <w:tcPr>
            <w:tcW w:w="6095" w:type="dxa"/>
            <w:gridSpan w:val="3"/>
            <w:vAlign w:val="center"/>
          </w:tcPr>
          <w:p w14:paraId="5F61492B">
            <w:pPr>
              <w:pStyle w:val="13"/>
            </w:pPr>
            <w:r>
              <w:t>冀财教[2024]142号/省级/2025年学前发展资金/隆尧县小风车幼儿园学前教育公用经费</w:t>
            </w:r>
          </w:p>
        </w:tc>
      </w:tr>
      <w:tr w14:paraId="6D8902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F6CF6">
            <w:pPr>
              <w:pStyle w:val="11"/>
            </w:pPr>
            <w:r>
              <w:t>预算规模及资金用途</w:t>
            </w:r>
          </w:p>
        </w:tc>
        <w:tc>
          <w:tcPr>
            <w:tcW w:w="2268" w:type="dxa"/>
            <w:vAlign w:val="center"/>
          </w:tcPr>
          <w:p w14:paraId="1D6B4175">
            <w:pPr>
              <w:pStyle w:val="11"/>
            </w:pPr>
            <w:r>
              <w:t>预算数</w:t>
            </w:r>
          </w:p>
        </w:tc>
        <w:tc>
          <w:tcPr>
            <w:tcW w:w="2835" w:type="dxa"/>
            <w:vAlign w:val="center"/>
          </w:tcPr>
          <w:p w14:paraId="470AC228">
            <w:pPr>
              <w:pStyle w:val="13"/>
            </w:pPr>
            <w:r>
              <w:t>1.20</w:t>
            </w:r>
          </w:p>
        </w:tc>
        <w:tc>
          <w:tcPr>
            <w:tcW w:w="2835" w:type="dxa"/>
            <w:vAlign w:val="center"/>
          </w:tcPr>
          <w:p w14:paraId="4B493086">
            <w:pPr>
              <w:pStyle w:val="11"/>
            </w:pPr>
            <w:r>
              <w:t>其中：财政    资金</w:t>
            </w:r>
          </w:p>
        </w:tc>
        <w:tc>
          <w:tcPr>
            <w:tcW w:w="2551" w:type="dxa"/>
            <w:vAlign w:val="center"/>
          </w:tcPr>
          <w:p w14:paraId="75A17A30">
            <w:pPr>
              <w:pStyle w:val="13"/>
            </w:pPr>
            <w:r>
              <w:t>1.20</w:t>
            </w:r>
          </w:p>
        </w:tc>
        <w:tc>
          <w:tcPr>
            <w:tcW w:w="2268" w:type="dxa"/>
            <w:vAlign w:val="center"/>
          </w:tcPr>
          <w:p w14:paraId="405614DC">
            <w:pPr>
              <w:pStyle w:val="11"/>
            </w:pPr>
            <w:r>
              <w:t>其他资金</w:t>
            </w:r>
          </w:p>
        </w:tc>
        <w:tc>
          <w:tcPr>
            <w:tcW w:w="1276" w:type="dxa"/>
            <w:vAlign w:val="center"/>
          </w:tcPr>
          <w:p w14:paraId="79C7D2FD">
            <w:pPr>
              <w:pStyle w:val="13"/>
            </w:pPr>
            <w:r>
              <w:t xml:space="preserve"> </w:t>
            </w:r>
          </w:p>
        </w:tc>
      </w:tr>
      <w:tr w14:paraId="480CD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561B28"/>
        </w:tc>
        <w:tc>
          <w:tcPr>
            <w:tcW w:w="14033" w:type="dxa"/>
            <w:gridSpan w:val="6"/>
            <w:vAlign w:val="center"/>
          </w:tcPr>
          <w:p w14:paraId="670A575F">
            <w:pPr>
              <w:pStyle w:val="13"/>
            </w:pPr>
            <w:r>
              <w:t>按季度分批次拨付安排公用经费资金，学校按照预算安排进行资金使用，保证资金正常支出。</w:t>
            </w:r>
            <w:r>
              <w:tab/>
            </w:r>
            <w:r>
              <w:tab/>
            </w:r>
            <w:r>
              <w:tab/>
            </w:r>
            <w:r>
              <w:tab/>
            </w:r>
            <w:r>
              <w:tab/>
            </w:r>
            <w:r>
              <w:tab/>
            </w:r>
          </w:p>
          <w:p w14:paraId="627A44EF">
            <w:pPr>
              <w:pStyle w:val="13"/>
            </w:pPr>
          </w:p>
        </w:tc>
      </w:tr>
      <w:tr w14:paraId="384B3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A997D">
            <w:pPr>
              <w:pStyle w:val="11"/>
            </w:pPr>
            <w:r>
              <w:t>资金支出计划（%）</w:t>
            </w:r>
          </w:p>
        </w:tc>
        <w:tc>
          <w:tcPr>
            <w:tcW w:w="5103" w:type="dxa"/>
            <w:gridSpan w:val="2"/>
            <w:vAlign w:val="center"/>
          </w:tcPr>
          <w:p w14:paraId="4E5F20F5">
            <w:pPr>
              <w:pStyle w:val="11"/>
            </w:pPr>
            <w:r>
              <w:t>3月底</w:t>
            </w:r>
          </w:p>
        </w:tc>
        <w:tc>
          <w:tcPr>
            <w:tcW w:w="2835" w:type="dxa"/>
            <w:vAlign w:val="center"/>
          </w:tcPr>
          <w:p w14:paraId="1FF9669F">
            <w:pPr>
              <w:pStyle w:val="11"/>
            </w:pPr>
            <w:r>
              <w:t>6月底</w:t>
            </w:r>
          </w:p>
        </w:tc>
        <w:tc>
          <w:tcPr>
            <w:tcW w:w="2551" w:type="dxa"/>
            <w:vAlign w:val="center"/>
          </w:tcPr>
          <w:p w14:paraId="0F4646E6">
            <w:pPr>
              <w:pStyle w:val="11"/>
            </w:pPr>
            <w:r>
              <w:t>10月底</w:t>
            </w:r>
          </w:p>
        </w:tc>
        <w:tc>
          <w:tcPr>
            <w:tcW w:w="3544" w:type="dxa"/>
            <w:gridSpan w:val="2"/>
            <w:vAlign w:val="center"/>
          </w:tcPr>
          <w:p w14:paraId="53CAC75D">
            <w:pPr>
              <w:pStyle w:val="11"/>
            </w:pPr>
            <w:r>
              <w:t>12月底</w:t>
            </w:r>
          </w:p>
        </w:tc>
      </w:tr>
      <w:tr w14:paraId="43304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FB7D3"/>
        </w:tc>
        <w:tc>
          <w:tcPr>
            <w:tcW w:w="5103" w:type="dxa"/>
            <w:gridSpan w:val="2"/>
            <w:vAlign w:val="center"/>
          </w:tcPr>
          <w:p w14:paraId="4EC5DFFB">
            <w:pPr>
              <w:pStyle w:val="12"/>
            </w:pPr>
            <w:r>
              <w:t xml:space="preserve"> </w:t>
            </w:r>
          </w:p>
        </w:tc>
        <w:tc>
          <w:tcPr>
            <w:tcW w:w="2835" w:type="dxa"/>
            <w:vAlign w:val="center"/>
          </w:tcPr>
          <w:p w14:paraId="6030BA53">
            <w:pPr>
              <w:pStyle w:val="12"/>
            </w:pPr>
            <w:r>
              <w:t>50%</w:t>
            </w:r>
          </w:p>
        </w:tc>
        <w:tc>
          <w:tcPr>
            <w:tcW w:w="2551" w:type="dxa"/>
            <w:vAlign w:val="center"/>
          </w:tcPr>
          <w:p w14:paraId="05FA79BF">
            <w:pPr>
              <w:pStyle w:val="12"/>
            </w:pPr>
            <w:r>
              <w:t>75%</w:t>
            </w:r>
          </w:p>
        </w:tc>
        <w:tc>
          <w:tcPr>
            <w:tcW w:w="3544" w:type="dxa"/>
            <w:gridSpan w:val="2"/>
            <w:vAlign w:val="center"/>
          </w:tcPr>
          <w:p w14:paraId="0632693B">
            <w:pPr>
              <w:pStyle w:val="12"/>
            </w:pPr>
            <w:r>
              <w:t>100%</w:t>
            </w:r>
          </w:p>
        </w:tc>
      </w:tr>
      <w:tr w14:paraId="36181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C08BD">
            <w:pPr>
              <w:pStyle w:val="11"/>
            </w:pPr>
            <w:r>
              <w:t>绩效目标</w:t>
            </w:r>
          </w:p>
        </w:tc>
        <w:tc>
          <w:tcPr>
            <w:tcW w:w="14033" w:type="dxa"/>
            <w:gridSpan w:val="6"/>
            <w:vAlign w:val="center"/>
          </w:tcPr>
          <w:p w14:paraId="26A3DAA5">
            <w:pPr>
              <w:pStyle w:val="13"/>
            </w:pPr>
            <w:r>
              <w:t>1.按季度分批次拨付安排公用经费资金，学校按照预算安排进行资金使用，保证资金正常支出。</w:t>
            </w:r>
          </w:p>
        </w:tc>
      </w:tr>
    </w:tbl>
    <w:p w14:paraId="69EDF5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88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2A69E">
            <w:pPr>
              <w:pStyle w:val="11"/>
            </w:pPr>
            <w:r>
              <w:t>一级指标</w:t>
            </w:r>
          </w:p>
        </w:tc>
        <w:tc>
          <w:tcPr>
            <w:tcW w:w="2268" w:type="dxa"/>
            <w:vAlign w:val="center"/>
          </w:tcPr>
          <w:p w14:paraId="5759B7F1">
            <w:pPr>
              <w:pStyle w:val="11"/>
            </w:pPr>
            <w:r>
              <w:t>二级指标</w:t>
            </w:r>
          </w:p>
        </w:tc>
        <w:tc>
          <w:tcPr>
            <w:tcW w:w="2835" w:type="dxa"/>
            <w:vAlign w:val="center"/>
          </w:tcPr>
          <w:p w14:paraId="3420DF03">
            <w:pPr>
              <w:pStyle w:val="11"/>
            </w:pPr>
            <w:r>
              <w:t>三级指标</w:t>
            </w:r>
          </w:p>
        </w:tc>
        <w:tc>
          <w:tcPr>
            <w:tcW w:w="5386" w:type="dxa"/>
            <w:vAlign w:val="center"/>
          </w:tcPr>
          <w:p w14:paraId="0C211851">
            <w:pPr>
              <w:pStyle w:val="11"/>
            </w:pPr>
            <w:r>
              <w:t>绩效指标描述</w:t>
            </w:r>
          </w:p>
        </w:tc>
        <w:tc>
          <w:tcPr>
            <w:tcW w:w="2268" w:type="dxa"/>
            <w:vAlign w:val="center"/>
          </w:tcPr>
          <w:p w14:paraId="4BCB0A34">
            <w:pPr>
              <w:pStyle w:val="11"/>
            </w:pPr>
            <w:r>
              <w:t>指标值</w:t>
            </w:r>
          </w:p>
        </w:tc>
        <w:tc>
          <w:tcPr>
            <w:tcW w:w="1276" w:type="dxa"/>
            <w:vAlign w:val="center"/>
          </w:tcPr>
          <w:p w14:paraId="5FDA6245">
            <w:pPr>
              <w:pStyle w:val="11"/>
            </w:pPr>
            <w:r>
              <w:t>指标值确定依据</w:t>
            </w:r>
          </w:p>
        </w:tc>
      </w:tr>
      <w:tr w14:paraId="75A8C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1EB8A">
            <w:pPr>
              <w:pStyle w:val="12"/>
            </w:pPr>
            <w:r>
              <w:t>产出指标</w:t>
            </w:r>
          </w:p>
        </w:tc>
        <w:tc>
          <w:tcPr>
            <w:tcW w:w="2268" w:type="dxa"/>
            <w:vAlign w:val="center"/>
          </w:tcPr>
          <w:p w14:paraId="1E3415C3">
            <w:pPr>
              <w:pStyle w:val="13"/>
            </w:pPr>
            <w:r>
              <w:t>数量指标</w:t>
            </w:r>
          </w:p>
        </w:tc>
        <w:tc>
          <w:tcPr>
            <w:tcW w:w="2835" w:type="dxa"/>
            <w:vAlign w:val="center"/>
          </w:tcPr>
          <w:p w14:paraId="29C8B569">
            <w:pPr>
              <w:pStyle w:val="13"/>
            </w:pPr>
            <w:r>
              <w:t>适龄在校生</w:t>
            </w:r>
          </w:p>
        </w:tc>
        <w:tc>
          <w:tcPr>
            <w:tcW w:w="5386" w:type="dxa"/>
            <w:vAlign w:val="center"/>
          </w:tcPr>
          <w:p w14:paraId="1CCE3C17">
            <w:pPr>
              <w:pStyle w:val="13"/>
            </w:pPr>
            <w:r>
              <w:t>辖区内适龄儿童全覆盖</w:t>
            </w:r>
          </w:p>
        </w:tc>
        <w:tc>
          <w:tcPr>
            <w:tcW w:w="2268" w:type="dxa"/>
            <w:vAlign w:val="center"/>
          </w:tcPr>
          <w:p w14:paraId="45DA8C6D">
            <w:pPr>
              <w:pStyle w:val="13"/>
            </w:pPr>
            <w:r>
              <w:t>80人</w:t>
            </w:r>
          </w:p>
        </w:tc>
        <w:tc>
          <w:tcPr>
            <w:tcW w:w="1276" w:type="dxa"/>
            <w:vAlign w:val="center"/>
          </w:tcPr>
          <w:p w14:paraId="3CF351F0">
            <w:pPr>
              <w:pStyle w:val="13"/>
            </w:pPr>
            <w:r>
              <w:t>幼儿园生均公用经费管理办法</w:t>
            </w:r>
          </w:p>
        </w:tc>
      </w:tr>
      <w:tr w14:paraId="78878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D1EBC"/>
        </w:tc>
        <w:tc>
          <w:tcPr>
            <w:tcW w:w="2268" w:type="dxa"/>
            <w:vAlign w:val="center"/>
          </w:tcPr>
          <w:p w14:paraId="564DB542">
            <w:pPr>
              <w:pStyle w:val="13"/>
            </w:pPr>
            <w:r>
              <w:t>质量指标</w:t>
            </w:r>
          </w:p>
        </w:tc>
        <w:tc>
          <w:tcPr>
            <w:tcW w:w="2835" w:type="dxa"/>
            <w:vAlign w:val="center"/>
          </w:tcPr>
          <w:p w14:paraId="366051B6">
            <w:pPr>
              <w:pStyle w:val="13"/>
            </w:pPr>
            <w:r>
              <w:t>预算控制率</w:t>
            </w:r>
          </w:p>
        </w:tc>
        <w:tc>
          <w:tcPr>
            <w:tcW w:w="5386" w:type="dxa"/>
            <w:vAlign w:val="center"/>
          </w:tcPr>
          <w:p w14:paraId="7E457CEF">
            <w:pPr>
              <w:pStyle w:val="13"/>
            </w:pPr>
            <w:r>
              <w:t>预算执行</w:t>
            </w:r>
          </w:p>
        </w:tc>
        <w:tc>
          <w:tcPr>
            <w:tcW w:w="2268" w:type="dxa"/>
            <w:vAlign w:val="center"/>
          </w:tcPr>
          <w:p w14:paraId="667A37F2">
            <w:pPr>
              <w:pStyle w:val="13"/>
            </w:pPr>
            <w:r>
              <w:t>≥95%</w:t>
            </w:r>
          </w:p>
        </w:tc>
        <w:tc>
          <w:tcPr>
            <w:tcW w:w="1276" w:type="dxa"/>
            <w:vAlign w:val="center"/>
          </w:tcPr>
          <w:p w14:paraId="624D946D">
            <w:pPr>
              <w:pStyle w:val="13"/>
            </w:pPr>
            <w:r>
              <w:t>幼儿园生均公用经费管理办法</w:t>
            </w:r>
          </w:p>
        </w:tc>
      </w:tr>
      <w:tr w14:paraId="57355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1FAD6"/>
        </w:tc>
        <w:tc>
          <w:tcPr>
            <w:tcW w:w="2268" w:type="dxa"/>
            <w:vAlign w:val="center"/>
          </w:tcPr>
          <w:p w14:paraId="59D03E4D">
            <w:pPr>
              <w:pStyle w:val="13"/>
            </w:pPr>
            <w:r>
              <w:t>时效指标</w:t>
            </w:r>
          </w:p>
        </w:tc>
        <w:tc>
          <w:tcPr>
            <w:tcW w:w="2835" w:type="dxa"/>
            <w:vAlign w:val="center"/>
          </w:tcPr>
          <w:p w14:paraId="1A25ACF6">
            <w:pPr>
              <w:pStyle w:val="13"/>
            </w:pPr>
            <w:r>
              <w:t>资金支付率</w:t>
            </w:r>
          </w:p>
        </w:tc>
        <w:tc>
          <w:tcPr>
            <w:tcW w:w="5386" w:type="dxa"/>
            <w:vAlign w:val="center"/>
          </w:tcPr>
          <w:p w14:paraId="647D591B">
            <w:pPr>
              <w:pStyle w:val="13"/>
            </w:pPr>
            <w:r>
              <w:t>按照序时进度完成资金支付</w:t>
            </w:r>
          </w:p>
        </w:tc>
        <w:tc>
          <w:tcPr>
            <w:tcW w:w="2268" w:type="dxa"/>
            <w:vAlign w:val="center"/>
          </w:tcPr>
          <w:p w14:paraId="3CF4A6BD">
            <w:pPr>
              <w:pStyle w:val="13"/>
            </w:pPr>
            <w:r>
              <w:t>≥100%</w:t>
            </w:r>
          </w:p>
        </w:tc>
        <w:tc>
          <w:tcPr>
            <w:tcW w:w="1276" w:type="dxa"/>
            <w:vAlign w:val="center"/>
          </w:tcPr>
          <w:p w14:paraId="14E9AC67">
            <w:pPr>
              <w:pStyle w:val="13"/>
            </w:pPr>
            <w:r>
              <w:t>幼儿园生均公用经费管理办法</w:t>
            </w:r>
          </w:p>
        </w:tc>
      </w:tr>
      <w:tr w14:paraId="443EC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ECE84"/>
        </w:tc>
        <w:tc>
          <w:tcPr>
            <w:tcW w:w="2268" w:type="dxa"/>
            <w:vAlign w:val="center"/>
          </w:tcPr>
          <w:p w14:paraId="7B3EE571">
            <w:pPr>
              <w:pStyle w:val="13"/>
            </w:pPr>
            <w:r>
              <w:t>成本指标</w:t>
            </w:r>
          </w:p>
        </w:tc>
        <w:tc>
          <w:tcPr>
            <w:tcW w:w="2835" w:type="dxa"/>
            <w:vAlign w:val="center"/>
          </w:tcPr>
          <w:p w14:paraId="387C8E2B">
            <w:pPr>
              <w:pStyle w:val="13"/>
            </w:pPr>
            <w:r>
              <w:t>生均拨款标准</w:t>
            </w:r>
          </w:p>
        </w:tc>
        <w:tc>
          <w:tcPr>
            <w:tcW w:w="5386" w:type="dxa"/>
            <w:vAlign w:val="center"/>
          </w:tcPr>
          <w:p w14:paraId="20D9DFDC">
            <w:pPr>
              <w:pStyle w:val="13"/>
            </w:pPr>
            <w:r>
              <w:t>学前经费600元/生/年</w:t>
            </w:r>
          </w:p>
        </w:tc>
        <w:tc>
          <w:tcPr>
            <w:tcW w:w="2268" w:type="dxa"/>
            <w:vAlign w:val="center"/>
          </w:tcPr>
          <w:p w14:paraId="55AB47F7">
            <w:pPr>
              <w:pStyle w:val="13"/>
            </w:pPr>
            <w:r>
              <w:t>600元</w:t>
            </w:r>
          </w:p>
        </w:tc>
        <w:tc>
          <w:tcPr>
            <w:tcW w:w="1276" w:type="dxa"/>
            <w:vAlign w:val="center"/>
          </w:tcPr>
          <w:p w14:paraId="1FE52A79">
            <w:pPr>
              <w:pStyle w:val="13"/>
            </w:pPr>
            <w:r>
              <w:t>幼儿园生均公用经费管理办法</w:t>
            </w:r>
          </w:p>
        </w:tc>
      </w:tr>
      <w:tr w14:paraId="5A8EE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61572F">
            <w:pPr>
              <w:pStyle w:val="12"/>
            </w:pPr>
            <w:r>
              <w:t>效益指标</w:t>
            </w:r>
          </w:p>
        </w:tc>
        <w:tc>
          <w:tcPr>
            <w:tcW w:w="2268" w:type="dxa"/>
            <w:vAlign w:val="center"/>
          </w:tcPr>
          <w:p w14:paraId="2F81B60B">
            <w:pPr>
              <w:pStyle w:val="13"/>
            </w:pPr>
            <w:r>
              <w:t>可持续影响指标</w:t>
            </w:r>
          </w:p>
        </w:tc>
        <w:tc>
          <w:tcPr>
            <w:tcW w:w="2835" w:type="dxa"/>
            <w:vAlign w:val="center"/>
          </w:tcPr>
          <w:p w14:paraId="304A07BE">
            <w:pPr>
              <w:pStyle w:val="13"/>
            </w:pPr>
            <w:r>
              <w:t>教育发展水平明显好转</w:t>
            </w:r>
          </w:p>
        </w:tc>
        <w:tc>
          <w:tcPr>
            <w:tcW w:w="5386" w:type="dxa"/>
            <w:vAlign w:val="center"/>
          </w:tcPr>
          <w:p w14:paraId="12E53FAC">
            <w:pPr>
              <w:pStyle w:val="13"/>
            </w:pPr>
            <w:r>
              <w:t>学生受教育年限</w:t>
            </w:r>
          </w:p>
        </w:tc>
        <w:tc>
          <w:tcPr>
            <w:tcW w:w="2268" w:type="dxa"/>
            <w:vAlign w:val="center"/>
          </w:tcPr>
          <w:p w14:paraId="31D47409">
            <w:pPr>
              <w:pStyle w:val="13"/>
            </w:pPr>
            <w:r>
              <w:t>3年</w:t>
            </w:r>
          </w:p>
        </w:tc>
        <w:tc>
          <w:tcPr>
            <w:tcW w:w="1276" w:type="dxa"/>
            <w:vAlign w:val="center"/>
          </w:tcPr>
          <w:p w14:paraId="0B796B06">
            <w:pPr>
              <w:pStyle w:val="13"/>
            </w:pPr>
            <w:r>
              <w:t>幼儿园生均公用经费管理办法</w:t>
            </w:r>
          </w:p>
        </w:tc>
      </w:tr>
      <w:tr w14:paraId="647C1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F99EA5">
            <w:pPr>
              <w:pStyle w:val="12"/>
            </w:pPr>
            <w:r>
              <w:t>满意度指标</w:t>
            </w:r>
          </w:p>
        </w:tc>
        <w:tc>
          <w:tcPr>
            <w:tcW w:w="2268" w:type="dxa"/>
            <w:vAlign w:val="center"/>
          </w:tcPr>
          <w:p w14:paraId="4E9A12F8">
            <w:pPr>
              <w:pStyle w:val="13"/>
            </w:pPr>
            <w:r>
              <w:t>服务对象满意度指标</w:t>
            </w:r>
          </w:p>
        </w:tc>
        <w:tc>
          <w:tcPr>
            <w:tcW w:w="2835" w:type="dxa"/>
            <w:vAlign w:val="center"/>
          </w:tcPr>
          <w:p w14:paraId="6CEAA2F5">
            <w:pPr>
              <w:pStyle w:val="13"/>
            </w:pPr>
            <w:r>
              <w:t>受益学生家长及调查满意度</w:t>
            </w:r>
          </w:p>
        </w:tc>
        <w:tc>
          <w:tcPr>
            <w:tcW w:w="5386" w:type="dxa"/>
            <w:vAlign w:val="center"/>
          </w:tcPr>
          <w:p w14:paraId="2615389B">
            <w:pPr>
              <w:pStyle w:val="13"/>
            </w:pPr>
            <w:r>
              <w:t>学生、教师及家长对学校保教保育工作满意度情况</w:t>
            </w:r>
          </w:p>
        </w:tc>
        <w:tc>
          <w:tcPr>
            <w:tcW w:w="2268" w:type="dxa"/>
            <w:vAlign w:val="center"/>
          </w:tcPr>
          <w:p w14:paraId="64222405">
            <w:pPr>
              <w:pStyle w:val="13"/>
            </w:pPr>
            <w:r>
              <w:t>≥95%</w:t>
            </w:r>
          </w:p>
        </w:tc>
        <w:tc>
          <w:tcPr>
            <w:tcW w:w="1276" w:type="dxa"/>
            <w:vAlign w:val="center"/>
          </w:tcPr>
          <w:p w14:paraId="3AC4B945">
            <w:pPr>
              <w:pStyle w:val="13"/>
            </w:pPr>
            <w:r>
              <w:t>调查问卷</w:t>
            </w:r>
          </w:p>
        </w:tc>
      </w:tr>
    </w:tbl>
    <w:p w14:paraId="7739386C">
      <w:pPr>
        <w:sectPr>
          <w:pgSz w:w="16840" w:h="11900" w:orient="landscape"/>
          <w:pgMar w:top="1361" w:right="1020" w:bottom="1134" w:left="1020" w:header="720" w:footer="720" w:gutter="0"/>
          <w:cols w:space="720" w:num="1"/>
        </w:sectPr>
      </w:pPr>
    </w:p>
    <w:p w14:paraId="6C071B12">
      <w:pPr>
        <w:spacing w:before="0" w:after="0"/>
        <w:ind w:firstLine="560"/>
        <w:jc w:val="left"/>
        <w:outlineLvl w:val="9"/>
      </w:pPr>
      <w:r>
        <w:rPr>
          <w:rFonts w:ascii="方正仿宋_GBK" w:hAnsi="方正仿宋_GBK" w:eastAsia="方正仿宋_GBK" w:cs="方正仿宋_GBK"/>
          <w:b/>
          <w:color w:val="000000"/>
          <w:sz w:val="28"/>
        </w:rPr>
        <w:t>82、冀财教[2024]142号/省级/2025年学前发展资金/隆尧县星光幼儿园学前教育公用经费绩效目标表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F9B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E170A">
            <w:pPr>
              <w:pStyle w:val="14"/>
            </w:pPr>
            <w:r>
              <w:t>单位：万元</w:t>
            </w:r>
          </w:p>
        </w:tc>
      </w:tr>
      <w:tr w14:paraId="5E738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93975">
            <w:pPr>
              <w:pStyle w:val="11"/>
            </w:pPr>
            <w:r>
              <w:t>项目编码</w:t>
            </w:r>
          </w:p>
        </w:tc>
        <w:tc>
          <w:tcPr>
            <w:tcW w:w="5103" w:type="dxa"/>
            <w:gridSpan w:val="2"/>
            <w:vAlign w:val="center"/>
          </w:tcPr>
          <w:p w14:paraId="6D6EF0FA">
            <w:pPr>
              <w:pStyle w:val="13"/>
            </w:pPr>
            <w:r>
              <w:t>13052525P008757100317</w:t>
            </w:r>
          </w:p>
        </w:tc>
        <w:tc>
          <w:tcPr>
            <w:tcW w:w="2835" w:type="dxa"/>
            <w:vAlign w:val="center"/>
          </w:tcPr>
          <w:p w14:paraId="4EEB5D3E">
            <w:pPr>
              <w:pStyle w:val="11"/>
            </w:pPr>
            <w:r>
              <w:t>项目名称</w:t>
            </w:r>
          </w:p>
        </w:tc>
        <w:tc>
          <w:tcPr>
            <w:tcW w:w="6095" w:type="dxa"/>
            <w:gridSpan w:val="3"/>
            <w:vAlign w:val="center"/>
          </w:tcPr>
          <w:p w14:paraId="0D99BDCB">
            <w:pPr>
              <w:pStyle w:val="13"/>
            </w:pPr>
            <w:r>
              <w:t>冀财教[2024]142号/省级/2025年学前发展资金/隆尧县星光幼儿园学前教育公用经费</w:t>
            </w:r>
          </w:p>
        </w:tc>
      </w:tr>
      <w:tr w14:paraId="684FB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D7DF9">
            <w:pPr>
              <w:pStyle w:val="11"/>
            </w:pPr>
            <w:r>
              <w:t>预算规模及资金用途</w:t>
            </w:r>
          </w:p>
        </w:tc>
        <w:tc>
          <w:tcPr>
            <w:tcW w:w="2268" w:type="dxa"/>
            <w:vAlign w:val="center"/>
          </w:tcPr>
          <w:p w14:paraId="29C389BC">
            <w:pPr>
              <w:pStyle w:val="11"/>
            </w:pPr>
            <w:r>
              <w:t>预算数</w:t>
            </w:r>
          </w:p>
        </w:tc>
        <w:tc>
          <w:tcPr>
            <w:tcW w:w="2835" w:type="dxa"/>
            <w:vAlign w:val="center"/>
          </w:tcPr>
          <w:p w14:paraId="1A8EC7F8">
            <w:pPr>
              <w:pStyle w:val="13"/>
            </w:pPr>
            <w:r>
              <w:t>1.14</w:t>
            </w:r>
          </w:p>
        </w:tc>
        <w:tc>
          <w:tcPr>
            <w:tcW w:w="2835" w:type="dxa"/>
            <w:vAlign w:val="center"/>
          </w:tcPr>
          <w:p w14:paraId="2BAAFACB">
            <w:pPr>
              <w:pStyle w:val="11"/>
            </w:pPr>
            <w:r>
              <w:t>其中：财政    资金</w:t>
            </w:r>
          </w:p>
        </w:tc>
        <w:tc>
          <w:tcPr>
            <w:tcW w:w="2551" w:type="dxa"/>
            <w:vAlign w:val="center"/>
          </w:tcPr>
          <w:p w14:paraId="3C4A663E">
            <w:pPr>
              <w:pStyle w:val="13"/>
            </w:pPr>
            <w:r>
              <w:t>1.14</w:t>
            </w:r>
          </w:p>
        </w:tc>
        <w:tc>
          <w:tcPr>
            <w:tcW w:w="2268" w:type="dxa"/>
            <w:vAlign w:val="center"/>
          </w:tcPr>
          <w:p w14:paraId="2A14B0C9">
            <w:pPr>
              <w:pStyle w:val="11"/>
            </w:pPr>
            <w:r>
              <w:t>其他资金</w:t>
            </w:r>
          </w:p>
        </w:tc>
        <w:tc>
          <w:tcPr>
            <w:tcW w:w="1276" w:type="dxa"/>
            <w:vAlign w:val="center"/>
          </w:tcPr>
          <w:p w14:paraId="698E6B77">
            <w:pPr>
              <w:pStyle w:val="13"/>
            </w:pPr>
            <w:r>
              <w:t xml:space="preserve"> </w:t>
            </w:r>
          </w:p>
        </w:tc>
      </w:tr>
      <w:tr w14:paraId="05A18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378B07"/>
        </w:tc>
        <w:tc>
          <w:tcPr>
            <w:tcW w:w="14033" w:type="dxa"/>
            <w:gridSpan w:val="6"/>
            <w:vAlign w:val="center"/>
          </w:tcPr>
          <w:p w14:paraId="738DBF4D">
            <w:pPr>
              <w:pStyle w:val="13"/>
            </w:pPr>
            <w:r>
              <w:t>按季度分批次拨付安排公用经费资金，学校按照预算安排进行资金使用，保证资金正常支出。</w:t>
            </w:r>
          </w:p>
        </w:tc>
      </w:tr>
      <w:tr w14:paraId="19346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4ABEC">
            <w:pPr>
              <w:pStyle w:val="11"/>
            </w:pPr>
            <w:r>
              <w:t>资金支出计划（%）</w:t>
            </w:r>
          </w:p>
        </w:tc>
        <w:tc>
          <w:tcPr>
            <w:tcW w:w="5103" w:type="dxa"/>
            <w:gridSpan w:val="2"/>
            <w:vAlign w:val="center"/>
          </w:tcPr>
          <w:p w14:paraId="3DB375F0">
            <w:pPr>
              <w:pStyle w:val="11"/>
            </w:pPr>
            <w:r>
              <w:t>3月底</w:t>
            </w:r>
          </w:p>
        </w:tc>
        <w:tc>
          <w:tcPr>
            <w:tcW w:w="2835" w:type="dxa"/>
            <w:vAlign w:val="center"/>
          </w:tcPr>
          <w:p w14:paraId="0B389218">
            <w:pPr>
              <w:pStyle w:val="11"/>
            </w:pPr>
            <w:r>
              <w:t>6月底</w:t>
            </w:r>
          </w:p>
        </w:tc>
        <w:tc>
          <w:tcPr>
            <w:tcW w:w="2551" w:type="dxa"/>
            <w:vAlign w:val="center"/>
          </w:tcPr>
          <w:p w14:paraId="055956F5">
            <w:pPr>
              <w:pStyle w:val="11"/>
            </w:pPr>
            <w:r>
              <w:t>10月底</w:t>
            </w:r>
          </w:p>
        </w:tc>
        <w:tc>
          <w:tcPr>
            <w:tcW w:w="3544" w:type="dxa"/>
            <w:gridSpan w:val="2"/>
            <w:vAlign w:val="center"/>
          </w:tcPr>
          <w:p w14:paraId="4C3AF878">
            <w:pPr>
              <w:pStyle w:val="11"/>
            </w:pPr>
            <w:r>
              <w:t>12月底</w:t>
            </w:r>
          </w:p>
        </w:tc>
      </w:tr>
      <w:tr w14:paraId="6EEC7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F3323F"/>
        </w:tc>
        <w:tc>
          <w:tcPr>
            <w:tcW w:w="5103" w:type="dxa"/>
            <w:gridSpan w:val="2"/>
            <w:vAlign w:val="center"/>
          </w:tcPr>
          <w:p w14:paraId="706CF41D">
            <w:pPr>
              <w:pStyle w:val="12"/>
            </w:pPr>
            <w:r>
              <w:t xml:space="preserve"> </w:t>
            </w:r>
          </w:p>
        </w:tc>
        <w:tc>
          <w:tcPr>
            <w:tcW w:w="2835" w:type="dxa"/>
            <w:vAlign w:val="center"/>
          </w:tcPr>
          <w:p w14:paraId="5EDE9AFD">
            <w:pPr>
              <w:pStyle w:val="12"/>
            </w:pPr>
            <w:r>
              <w:t>50%</w:t>
            </w:r>
          </w:p>
        </w:tc>
        <w:tc>
          <w:tcPr>
            <w:tcW w:w="2551" w:type="dxa"/>
            <w:vAlign w:val="center"/>
          </w:tcPr>
          <w:p w14:paraId="74C17662">
            <w:pPr>
              <w:pStyle w:val="12"/>
            </w:pPr>
            <w:r>
              <w:t>75%</w:t>
            </w:r>
          </w:p>
        </w:tc>
        <w:tc>
          <w:tcPr>
            <w:tcW w:w="3544" w:type="dxa"/>
            <w:gridSpan w:val="2"/>
            <w:vAlign w:val="center"/>
          </w:tcPr>
          <w:p w14:paraId="58356F3D">
            <w:pPr>
              <w:pStyle w:val="12"/>
            </w:pPr>
            <w:r>
              <w:t>100%</w:t>
            </w:r>
          </w:p>
        </w:tc>
      </w:tr>
      <w:tr w14:paraId="0F9DF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B37CF">
            <w:pPr>
              <w:pStyle w:val="11"/>
            </w:pPr>
            <w:r>
              <w:t>绩效目标</w:t>
            </w:r>
          </w:p>
        </w:tc>
        <w:tc>
          <w:tcPr>
            <w:tcW w:w="14033" w:type="dxa"/>
            <w:gridSpan w:val="6"/>
            <w:vAlign w:val="center"/>
          </w:tcPr>
          <w:p w14:paraId="60156B35">
            <w:pPr>
              <w:pStyle w:val="13"/>
            </w:pPr>
            <w:r>
              <w:t>1.按季度分批次拨付安排公用经费资金，学校按照预算安排进行资金使用，保证资金正常支出。</w:t>
            </w:r>
          </w:p>
        </w:tc>
      </w:tr>
    </w:tbl>
    <w:p w14:paraId="665535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D1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D45F8">
            <w:pPr>
              <w:pStyle w:val="11"/>
            </w:pPr>
            <w:r>
              <w:t>一级指标</w:t>
            </w:r>
          </w:p>
        </w:tc>
        <w:tc>
          <w:tcPr>
            <w:tcW w:w="2268" w:type="dxa"/>
            <w:vAlign w:val="center"/>
          </w:tcPr>
          <w:p w14:paraId="06FC3409">
            <w:pPr>
              <w:pStyle w:val="11"/>
            </w:pPr>
            <w:r>
              <w:t>二级指标</w:t>
            </w:r>
          </w:p>
        </w:tc>
        <w:tc>
          <w:tcPr>
            <w:tcW w:w="2835" w:type="dxa"/>
            <w:vAlign w:val="center"/>
          </w:tcPr>
          <w:p w14:paraId="68490349">
            <w:pPr>
              <w:pStyle w:val="11"/>
            </w:pPr>
            <w:r>
              <w:t>三级指标</w:t>
            </w:r>
          </w:p>
        </w:tc>
        <w:tc>
          <w:tcPr>
            <w:tcW w:w="5386" w:type="dxa"/>
            <w:vAlign w:val="center"/>
          </w:tcPr>
          <w:p w14:paraId="26152EA2">
            <w:pPr>
              <w:pStyle w:val="11"/>
            </w:pPr>
            <w:r>
              <w:t>绩效指标描述</w:t>
            </w:r>
          </w:p>
        </w:tc>
        <w:tc>
          <w:tcPr>
            <w:tcW w:w="2268" w:type="dxa"/>
            <w:vAlign w:val="center"/>
          </w:tcPr>
          <w:p w14:paraId="3957D9C7">
            <w:pPr>
              <w:pStyle w:val="11"/>
            </w:pPr>
            <w:r>
              <w:t>指标值</w:t>
            </w:r>
          </w:p>
        </w:tc>
        <w:tc>
          <w:tcPr>
            <w:tcW w:w="1276" w:type="dxa"/>
            <w:vAlign w:val="center"/>
          </w:tcPr>
          <w:p w14:paraId="6B436B4B">
            <w:pPr>
              <w:pStyle w:val="11"/>
            </w:pPr>
            <w:r>
              <w:t>指标值确定依据</w:t>
            </w:r>
          </w:p>
        </w:tc>
      </w:tr>
      <w:tr w14:paraId="70BE4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63AE4">
            <w:pPr>
              <w:pStyle w:val="12"/>
            </w:pPr>
            <w:r>
              <w:t>产出指标</w:t>
            </w:r>
          </w:p>
        </w:tc>
        <w:tc>
          <w:tcPr>
            <w:tcW w:w="2268" w:type="dxa"/>
            <w:vAlign w:val="center"/>
          </w:tcPr>
          <w:p w14:paraId="5E9C4272">
            <w:pPr>
              <w:pStyle w:val="13"/>
            </w:pPr>
            <w:r>
              <w:t>数量指标</w:t>
            </w:r>
          </w:p>
        </w:tc>
        <w:tc>
          <w:tcPr>
            <w:tcW w:w="2835" w:type="dxa"/>
            <w:vAlign w:val="center"/>
          </w:tcPr>
          <w:p w14:paraId="20E17CE9">
            <w:pPr>
              <w:pStyle w:val="13"/>
            </w:pPr>
            <w:r>
              <w:t>适龄在校生</w:t>
            </w:r>
          </w:p>
        </w:tc>
        <w:tc>
          <w:tcPr>
            <w:tcW w:w="5386" w:type="dxa"/>
            <w:vAlign w:val="center"/>
          </w:tcPr>
          <w:p w14:paraId="39A7584B">
            <w:pPr>
              <w:pStyle w:val="13"/>
            </w:pPr>
            <w:r>
              <w:t>辖区内适龄儿童全覆盖</w:t>
            </w:r>
          </w:p>
        </w:tc>
        <w:tc>
          <w:tcPr>
            <w:tcW w:w="2268" w:type="dxa"/>
            <w:vAlign w:val="center"/>
          </w:tcPr>
          <w:p w14:paraId="64123207">
            <w:pPr>
              <w:pStyle w:val="13"/>
            </w:pPr>
            <w:r>
              <w:t>76人</w:t>
            </w:r>
          </w:p>
        </w:tc>
        <w:tc>
          <w:tcPr>
            <w:tcW w:w="1276" w:type="dxa"/>
            <w:vAlign w:val="center"/>
          </w:tcPr>
          <w:p w14:paraId="769144A9">
            <w:pPr>
              <w:pStyle w:val="13"/>
            </w:pPr>
            <w:r>
              <w:t>幼儿园生均公用经费管理办法</w:t>
            </w:r>
          </w:p>
        </w:tc>
      </w:tr>
      <w:tr w14:paraId="6EFF8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DEDF1"/>
        </w:tc>
        <w:tc>
          <w:tcPr>
            <w:tcW w:w="2268" w:type="dxa"/>
            <w:vAlign w:val="center"/>
          </w:tcPr>
          <w:p w14:paraId="4BAA69EF">
            <w:pPr>
              <w:pStyle w:val="13"/>
            </w:pPr>
            <w:r>
              <w:t>质量指标</w:t>
            </w:r>
          </w:p>
        </w:tc>
        <w:tc>
          <w:tcPr>
            <w:tcW w:w="2835" w:type="dxa"/>
            <w:vAlign w:val="center"/>
          </w:tcPr>
          <w:p w14:paraId="4B5B18F0">
            <w:pPr>
              <w:pStyle w:val="13"/>
            </w:pPr>
            <w:r>
              <w:t>预算控制率</w:t>
            </w:r>
          </w:p>
        </w:tc>
        <w:tc>
          <w:tcPr>
            <w:tcW w:w="5386" w:type="dxa"/>
            <w:vAlign w:val="center"/>
          </w:tcPr>
          <w:p w14:paraId="458FC7AD">
            <w:pPr>
              <w:pStyle w:val="13"/>
            </w:pPr>
            <w:r>
              <w:t>预算执行</w:t>
            </w:r>
          </w:p>
        </w:tc>
        <w:tc>
          <w:tcPr>
            <w:tcW w:w="2268" w:type="dxa"/>
            <w:vAlign w:val="center"/>
          </w:tcPr>
          <w:p w14:paraId="30774A12">
            <w:pPr>
              <w:pStyle w:val="13"/>
            </w:pPr>
            <w:r>
              <w:t>≥95%</w:t>
            </w:r>
          </w:p>
        </w:tc>
        <w:tc>
          <w:tcPr>
            <w:tcW w:w="1276" w:type="dxa"/>
            <w:vAlign w:val="center"/>
          </w:tcPr>
          <w:p w14:paraId="72E82C4E">
            <w:pPr>
              <w:pStyle w:val="13"/>
            </w:pPr>
            <w:r>
              <w:t>幼儿园生均公用经费管理办法</w:t>
            </w:r>
          </w:p>
        </w:tc>
      </w:tr>
      <w:tr w14:paraId="690E7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E69D1"/>
        </w:tc>
        <w:tc>
          <w:tcPr>
            <w:tcW w:w="2268" w:type="dxa"/>
            <w:vAlign w:val="center"/>
          </w:tcPr>
          <w:p w14:paraId="647B96F9">
            <w:pPr>
              <w:pStyle w:val="13"/>
            </w:pPr>
            <w:r>
              <w:t>时效指标</w:t>
            </w:r>
          </w:p>
        </w:tc>
        <w:tc>
          <w:tcPr>
            <w:tcW w:w="2835" w:type="dxa"/>
            <w:vAlign w:val="center"/>
          </w:tcPr>
          <w:p w14:paraId="63C61973">
            <w:pPr>
              <w:pStyle w:val="13"/>
            </w:pPr>
            <w:r>
              <w:t>资金支付率</w:t>
            </w:r>
          </w:p>
        </w:tc>
        <w:tc>
          <w:tcPr>
            <w:tcW w:w="5386" w:type="dxa"/>
            <w:vAlign w:val="center"/>
          </w:tcPr>
          <w:p w14:paraId="5AF3605C">
            <w:pPr>
              <w:pStyle w:val="13"/>
            </w:pPr>
            <w:r>
              <w:t>按照序时进度完成资金支付</w:t>
            </w:r>
          </w:p>
        </w:tc>
        <w:tc>
          <w:tcPr>
            <w:tcW w:w="2268" w:type="dxa"/>
            <w:vAlign w:val="center"/>
          </w:tcPr>
          <w:p w14:paraId="17129DE1">
            <w:pPr>
              <w:pStyle w:val="13"/>
            </w:pPr>
            <w:r>
              <w:t>≥100%</w:t>
            </w:r>
          </w:p>
        </w:tc>
        <w:tc>
          <w:tcPr>
            <w:tcW w:w="1276" w:type="dxa"/>
            <w:vAlign w:val="center"/>
          </w:tcPr>
          <w:p w14:paraId="312CF7C4">
            <w:pPr>
              <w:pStyle w:val="13"/>
            </w:pPr>
            <w:r>
              <w:t>幼儿园生均公用经费管理办法</w:t>
            </w:r>
          </w:p>
        </w:tc>
      </w:tr>
      <w:tr w14:paraId="41170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2B5D4"/>
        </w:tc>
        <w:tc>
          <w:tcPr>
            <w:tcW w:w="2268" w:type="dxa"/>
            <w:vAlign w:val="center"/>
          </w:tcPr>
          <w:p w14:paraId="39968B7B">
            <w:pPr>
              <w:pStyle w:val="13"/>
            </w:pPr>
            <w:r>
              <w:t>成本指标</w:t>
            </w:r>
          </w:p>
        </w:tc>
        <w:tc>
          <w:tcPr>
            <w:tcW w:w="2835" w:type="dxa"/>
            <w:vAlign w:val="center"/>
          </w:tcPr>
          <w:p w14:paraId="087E8E3C">
            <w:pPr>
              <w:pStyle w:val="13"/>
            </w:pPr>
            <w:r>
              <w:t>生均拨款标准</w:t>
            </w:r>
          </w:p>
        </w:tc>
        <w:tc>
          <w:tcPr>
            <w:tcW w:w="5386" w:type="dxa"/>
            <w:vAlign w:val="center"/>
          </w:tcPr>
          <w:p w14:paraId="0E816AC1">
            <w:pPr>
              <w:pStyle w:val="13"/>
            </w:pPr>
            <w:r>
              <w:t>学前经费600元/生/年</w:t>
            </w:r>
          </w:p>
        </w:tc>
        <w:tc>
          <w:tcPr>
            <w:tcW w:w="2268" w:type="dxa"/>
            <w:vAlign w:val="center"/>
          </w:tcPr>
          <w:p w14:paraId="2B2CBDF1">
            <w:pPr>
              <w:pStyle w:val="13"/>
            </w:pPr>
            <w:r>
              <w:t>600元</w:t>
            </w:r>
          </w:p>
        </w:tc>
        <w:tc>
          <w:tcPr>
            <w:tcW w:w="1276" w:type="dxa"/>
            <w:vAlign w:val="center"/>
          </w:tcPr>
          <w:p w14:paraId="094173FC">
            <w:pPr>
              <w:pStyle w:val="13"/>
            </w:pPr>
            <w:r>
              <w:t>幼儿园生均公用经费管理办法</w:t>
            </w:r>
          </w:p>
        </w:tc>
      </w:tr>
      <w:tr w14:paraId="5445C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D1D556">
            <w:pPr>
              <w:pStyle w:val="12"/>
            </w:pPr>
            <w:r>
              <w:t>效益指标</w:t>
            </w:r>
          </w:p>
        </w:tc>
        <w:tc>
          <w:tcPr>
            <w:tcW w:w="2268" w:type="dxa"/>
            <w:vAlign w:val="center"/>
          </w:tcPr>
          <w:p w14:paraId="7C2C2B3C">
            <w:pPr>
              <w:pStyle w:val="13"/>
            </w:pPr>
            <w:r>
              <w:t>可持续影响指标</w:t>
            </w:r>
          </w:p>
        </w:tc>
        <w:tc>
          <w:tcPr>
            <w:tcW w:w="2835" w:type="dxa"/>
            <w:vAlign w:val="center"/>
          </w:tcPr>
          <w:p w14:paraId="3E454EA9">
            <w:pPr>
              <w:pStyle w:val="13"/>
            </w:pPr>
            <w:r>
              <w:t>教育发展水平明显好转</w:t>
            </w:r>
          </w:p>
        </w:tc>
        <w:tc>
          <w:tcPr>
            <w:tcW w:w="5386" w:type="dxa"/>
            <w:vAlign w:val="center"/>
          </w:tcPr>
          <w:p w14:paraId="6460548D">
            <w:pPr>
              <w:pStyle w:val="13"/>
            </w:pPr>
            <w:r>
              <w:t>学生受教育年限</w:t>
            </w:r>
          </w:p>
        </w:tc>
        <w:tc>
          <w:tcPr>
            <w:tcW w:w="2268" w:type="dxa"/>
            <w:vAlign w:val="center"/>
          </w:tcPr>
          <w:p w14:paraId="715BBED5">
            <w:pPr>
              <w:pStyle w:val="13"/>
            </w:pPr>
            <w:r>
              <w:t>3年</w:t>
            </w:r>
          </w:p>
        </w:tc>
        <w:tc>
          <w:tcPr>
            <w:tcW w:w="1276" w:type="dxa"/>
            <w:vAlign w:val="center"/>
          </w:tcPr>
          <w:p w14:paraId="61E0838D">
            <w:pPr>
              <w:pStyle w:val="13"/>
            </w:pPr>
            <w:r>
              <w:t>幼儿园生均公用经费管理办法</w:t>
            </w:r>
          </w:p>
        </w:tc>
      </w:tr>
      <w:tr w14:paraId="36335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B19D96">
            <w:pPr>
              <w:pStyle w:val="12"/>
            </w:pPr>
            <w:r>
              <w:t>满意度指标</w:t>
            </w:r>
          </w:p>
        </w:tc>
        <w:tc>
          <w:tcPr>
            <w:tcW w:w="2268" w:type="dxa"/>
            <w:vAlign w:val="center"/>
          </w:tcPr>
          <w:p w14:paraId="371F5799">
            <w:pPr>
              <w:pStyle w:val="13"/>
            </w:pPr>
            <w:r>
              <w:t>服务对象满意度指标</w:t>
            </w:r>
          </w:p>
        </w:tc>
        <w:tc>
          <w:tcPr>
            <w:tcW w:w="2835" w:type="dxa"/>
            <w:vAlign w:val="center"/>
          </w:tcPr>
          <w:p w14:paraId="1A5559D0">
            <w:pPr>
              <w:pStyle w:val="13"/>
            </w:pPr>
            <w:r>
              <w:t>受益学生家长及调查满意度</w:t>
            </w:r>
          </w:p>
        </w:tc>
        <w:tc>
          <w:tcPr>
            <w:tcW w:w="5386" w:type="dxa"/>
            <w:vAlign w:val="center"/>
          </w:tcPr>
          <w:p w14:paraId="12743692">
            <w:pPr>
              <w:pStyle w:val="13"/>
            </w:pPr>
            <w:r>
              <w:t>学生、教师及家长对学校保教保育工作满意度情况</w:t>
            </w:r>
          </w:p>
        </w:tc>
        <w:tc>
          <w:tcPr>
            <w:tcW w:w="2268" w:type="dxa"/>
            <w:vAlign w:val="center"/>
          </w:tcPr>
          <w:p w14:paraId="2EB700B2">
            <w:pPr>
              <w:pStyle w:val="13"/>
            </w:pPr>
            <w:r>
              <w:t>≥95%</w:t>
            </w:r>
          </w:p>
        </w:tc>
        <w:tc>
          <w:tcPr>
            <w:tcW w:w="1276" w:type="dxa"/>
            <w:vAlign w:val="center"/>
          </w:tcPr>
          <w:p w14:paraId="3E140748">
            <w:pPr>
              <w:pStyle w:val="13"/>
            </w:pPr>
            <w:r>
              <w:t>调查问卷</w:t>
            </w:r>
          </w:p>
        </w:tc>
      </w:tr>
    </w:tbl>
    <w:p w14:paraId="2C45FD3C">
      <w:pPr>
        <w:sectPr>
          <w:pgSz w:w="16840" w:h="11900" w:orient="landscape"/>
          <w:pgMar w:top="1361" w:right="1020" w:bottom="1134" w:left="1020" w:header="720" w:footer="720" w:gutter="0"/>
          <w:cols w:space="720" w:num="1"/>
        </w:sectPr>
      </w:pPr>
    </w:p>
    <w:p w14:paraId="473D6D61">
      <w:pPr>
        <w:spacing w:before="0" w:after="0"/>
        <w:ind w:firstLine="560"/>
        <w:jc w:val="left"/>
        <w:outlineLvl w:val="9"/>
      </w:pPr>
      <w:r>
        <w:rPr>
          <w:rFonts w:ascii="方正仿宋_GBK" w:hAnsi="方正仿宋_GBK" w:eastAsia="方正仿宋_GBK" w:cs="方正仿宋_GBK"/>
          <w:b/>
          <w:color w:val="000000"/>
          <w:sz w:val="28"/>
        </w:rPr>
        <w:t>83、冀财教[2024]142号/省级/2025年学前发展资金/隆尧县杨家窑蓓蕾幼儿园学前教育公用经费绩效目标表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81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2A8C5">
            <w:pPr>
              <w:pStyle w:val="14"/>
            </w:pPr>
            <w:r>
              <w:t>单位：万元</w:t>
            </w:r>
          </w:p>
        </w:tc>
      </w:tr>
      <w:tr w14:paraId="46FDE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3844B8">
            <w:pPr>
              <w:pStyle w:val="11"/>
            </w:pPr>
            <w:r>
              <w:t>项目编码</w:t>
            </w:r>
          </w:p>
        </w:tc>
        <w:tc>
          <w:tcPr>
            <w:tcW w:w="5103" w:type="dxa"/>
            <w:gridSpan w:val="2"/>
            <w:vAlign w:val="center"/>
          </w:tcPr>
          <w:p w14:paraId="2E5B69CD">
            <w:pPr>
              <w:pStyle w:val="13"/>
            </w:pPr>
            <w:r>
              <w:t>13052525P00875710043A</w:t>
            </w:r>
          </w:p>
        </w:tc>
        <w:tc>
          <w:tcPr>
            <w:tcW w:w="2835" w:type="dxa"/>
            <w:vAlign w:val="center"/>
          </w:tcPr>
          <w:p w14:paraId="02CD535C">
            <w:pPr>
              <w:pStyle w:val="11"/>
            </w:pPr>
            <w:r>
              <w:t>项目名称</w:t>
            </w:r>
          </w:p>
        </w:tc>
        <w:tc>
          <w:tcPr>
            <w:tcW w:w="6095" w:type="dxa"/>
            <w:gridSpan w:val="3"/>
            <w:vAlign w:val="center"/>
          </w:tcPr>
          <w:p w14:paraId="205675F2">
            <w:pPr>
              <w:pStyle w:val="13"/>
            </w:pPr>
            <w:r>
              <w:t>冀财教[2024]142号/省级/2025年学前发展资金/隆尧县杨家窑蓓蕾幼儿园学前教育公用经费</w:t>
            </w:r>
          </w:p>
        </w:tc>
      </w:tr>
      <w:tr w14:paraId="1813A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D3B6B">
            <w:pPr>
              <w:pStyle w:val="11"/>
            </w:pPr>
            <w:r>
              <w:t>预算规模及资金用途</w:t>
            </w:r>
          </w:p>
        </w:tc>
        <w:tc>
          <w:tcPr>
            <w:tcW w:w="2268" w:type="dxa"/>
            <w:vAlign w:val="center"/>
          </w:tcPr>
          <w:p w14:paraId="5BDEBE80">
            <w:pPr>
              <w:pStyle w:val="11"/>
            </w:pPr>
            <w:r>
              <w:t>预算数</w:t>
            </w:r>
          </w:p>
        </w:tc>
        <w:tc>
          <w:tcPr>
            <w:tcW w:w="2835" w:type="dxa"/>
            <w:vAlign w:val="center"/>
          </w:tcPr>
          <w:p w14:paraId="25A2E02B">
            <w:pPr>
              <w:pStyle w:val="13"/>
            </w:pPr>
            <w:r>
              <w:t>1.07</w:t>
            </w:r>
          </w:p>
        </w:tc>
        <w:tc>
          <w:tcPr>
            <w:tcW w:w="2835" w:type="dxa"/>
            <w:vAlign w:val="center"/>
          </w:tcPr>
          <w:p w14:paraId="0F7DD98B">
            <w:pPr>
              <w:pStyle w:val="11"/>
            </w:pPr>
            <w:r>
              <w:t>其中：财政    资金</w:t>
            </w:r>
          </w:p>
        </w:tc>
        <w:tc>
          <w:tcPr>
            <w:tcW w:w="2551" w:type="dxa"/>
            <w:vAlign w:val="center"/>
          </w:tcPr>
          <w:p w14:paraId="63C671FF">
            <w:pPr>
              <w:pStyle w:val="13"/>
            </w:pPr>
            <w:r>
              <w:t>1.07</w:t>
            </w:r>
          </w:p>
        </w:tc>
        <w:tc>
          <w:tcPr>
            <w:tcW w:w="2268" w:type="dxa"/>
            <w:vAlign w:val="center"/>
          </w:tcPr>
          <w:p w14:paraId="7D9CCCEF">
            <w:pPr>
              <w:pStyle w:val="11"/>
            </w:pPr>
            <w:r>
              <w:t>其他资金</w:t>
            </w:r>
          </w:p>
        </w:tc>
        <w:tc>
          <w:tcPr>
            <w:tcW w:w="1276" w:type="dxa"/>
            <w:vAlign w:val="center"/>
          </w:tcPr>
          <w:p w14:paraId="2B7A3BC8">
            <w:pPr>
              <w:pStyle w:val="13"/>
            </w:pPr>
            <w:r>
              <w:t xml:space="preserve"> </w:t>
            </w:r>
          </w:p>
        </w:tc>
      </w:tr>
      <w:tr w14:paraId="4D017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9C244"/>
        </w:tc>
        <w:tc>
          <w:tcPr>
            <w:tcW w:w="14033" w:type="dxa"/>
            <w:gridSpan w:val="6"/>
            <w:vAlign w:val="center"/>
          </w:tcPr>
          <w:p w14:paraId="1274A0A0">
            <w:pPr>
              <w:pStyle w:val="13"/>
            </w:pPr>
            <w:r>
              <w:t>按季度分批次拨付安排公用经费资金，学校按照预算安排进行资金使用，保证资金正常支出。</w:t>
            </w:r>
          </w:p>
        </w:tc>
      </w:tr>
      <w:tr w14:paraId="743F7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F0893">
            <w:pPr>
              <w:pStyle w:val="11"/>
            </w:pPr>
            <w:r>
              <w:t>资金支出计划（%）</w:t>
            </w:r>
          </w:p>
        </w:tc>
        <w:tc>
          <w:tcPr>
            <w:tcW w:w="5103" w:type="dxa"/>
            <w:gridSpan w:val="2"/>
            <w:vAlign w:val="center"/>
          </w:tcPr>
          <w:p w14:paraId="49420121">
            <w:pPr>
              <w:pStyle w:val="11"/>
            </w:pPr>
            <w:r>
              <w:t>3月底</w:t>
            </w:r>
          </w:p>
        </w:tc>
        <w:tc>
          <w:tcPr>
            <w:tcW w:w="2835" w:type="dxa"/>
            <w:vAlign w:val="center"/>
          </w:tcPr>
          <w:p w14:paraId="4F674F09">
            <w:pPr>
              <w:pStyle w:val="11"/>
            </w:pPr>
            <w:r>
              <w:t>6月底</w:t>
            </w:r>
          </w:p>
        </w:tc>
        <w:tc>
          <w:tcPr>
            <w:tcW w:w="2551" w:type="dxa"/>
            <w:vAlign w:val="center"/>
          </w:tcPr>
          <w:p w14:paraId="006CA08B">
            <w:pPr>
              <w:pStyle w:val="11"/>
            </w:pPr>
            <w:r>
              <w:t>10月底</w:t>
            </w:r>
          </w:p>
        </w:tc>
        <w:tc>
          <w:tcPr>
            <w:tcW w:w="3544" w:type="dxa"/>
            <w:gridSpan w:val="2"/>
            <w:vAlign w:val="center"/>
          </w:tcPr>
          <w:p w14:paraId="4789F04C">
            <w:pPr>
              <w:pStyle w:val="11"/>
            </w:pPr>
            <w:r>
              <w:t>12月底</w:t>
            </w:r>
          </w:p>
        </w:tc>
      </w:tr>
      <w:tr w14:paraId="71396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6D16DE2D"/>
        </w:tc>
        <w:tc>
          <w:tcPr>
            <w:tcW w:w="5103" w:type="dxa"/>
            <w:gridSpan w:val="2"/>
            <w:vAlign w:val="center"/>
          </w:tcPr>
          <w:p w14:paraId="5D40B3EB">
            <w:pPr>
              <w:pStyle w:val="12"/>
            </w:pPr>
            <w:r>
              <w:t xml:space="preserve"> </w:t>
            </w:r>
          </w:p>
        </w:tc>
        <w:tc>
          <w:tcPr>
            <w:tcW w:w="2835" w:type="dxa"/>
            <w:vAlign w:val="center"/>
          </w:tcPr>
          <w:p w14:paraId="660A6DBC">
            <w:pPr>
              <w:pStyle w:val="12"/>
            </w:pPr>
            <w:r>
              <w:t>50%</w:t>
            </w:r>
          </w:p>
        </w:tc>
        <w:tc>
          <w:tcPr>
            <w:tcW w:w="2551" w:type="dxa"/>
            <w:vAlign w:val="center"/>
          </w:tcPr>
          <w:p w14:paraId="604D825D">
            <w:pPr>
              <w:pStyle w:val="12"/>
            </w:pPr>
            <w:r>
              <w:t>75%</w:t>
            </w:r>
          </w:p>
        </w:tc>
        <w:tc>
          <w:tcPr>
            <w:tcW w:w="3544" w:type="dxa"/>
            <w:gridSpan w:val="2"/>
            <w:vAlign w:val="center"/>
          </w:tcPr>
          <w:p w14:paraId="3FCC93E4">
            <w:pPr>
              <w:pStyle w:val="12"/>
            </w:pPr>
            <w:r>
              <w:t>100%</w:t>
            </w:r>
          </w:p>
        </w:tc>
      </w:tr>
      <w:tr w14:paraId="35742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DF3F81">
            <w:pPr>
              <w:pStyle w:val="11"/>
            </w:pPr>
            <w:r>
              <w:t>绩效目标</w:t>
            </w:r>
          </w:p>
        </w:tc>
        <w:tc>
          <w:tcPr>
            <w:tcW w:w="14033" w:type="dxa"/>
            <w:gridSpan w:val="6"/>
            <w:vAlign w:val="center"/>
          </w:tcPr>
          <w:p w14:paraId="4030B7CE">
            <w:pPr>
              <w:pStyle w:val="13"/>
            </w:pPr>
            <w:r>
              <w:t>1.按季度分批次拨付安排公用经费资金，学校按照预算安排进行资金使用，保证资金正常支出。</w:t>
            </w:r>
          </w:p>
        </w:tc>
      </w:tr>
    </w:tbl>
    <w:p w14:paraId="4ED571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81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1E525">
            <w:pPr>
              <w:pStyle w:val="11"/>
            </w:pPr>
            <w:r>
              <w:t>一级指标</w:t>
            </w:r>
          </w:p>
        </w:tc>
        <w:tc>
          <w:tcPr>
            <w:tcW w:w="2268" w:type="dxa"/>
            <w:vAlign w:val="center"/>
          </w:tcPr>
          <w:p w14:paraId="0D1AA3A9">
            <w:pPr>
              <w:pStyle w:val="11"/>
            </w:pPr>
            <w:r>
              <w:t>二级指标</w:t>
            </w:r>
          </w:p>
        </w:tc>
        <w:tc>
          <w:tcPr>
            <w:tcW w:w="2835" w:type="dxa"/>
            <w:vAlign w:val="center"/>
          </w:tcPr>
          <w:p w14:paraId="62CDAF62">
            <w:pPr>
              <w:pStyle w:val="11"/>
            </w:pPr>
            <w:r>
              <w:t>三级指标</w:t>
            </w:r>
          </w:p>
        </w:tc>
        <w:tc>
          <w:tcPr>
            <w:tcW w:w="5386" w:type="dxa"/>
            <w:vAlign w:val="center"/>
          </w:tcPr>
          <w:p w14:paraId="2CA8E823">
            <w:pPr>
              <w:pStyle w:val="11"/>
            </w:pPr>
            <w:r>
              <w:t>绩效指标描述</w:t>
            </w:r>
          </w:p>
        </w:tc>
        <w:tc>
          <w:tcPr>
            <w:tcW w:w="2268" w:type="dxa"/>
            <w:vAlign w:val="center"/>
          </w:tcPr>
          <w:p w14:paraId="04188CC0">
            <w:pPr>
              <w:pStyle w:val="11"/>
            </w:pPr>
            <w:r>
              <w:t>指标值</w:t>
            </w:r>
          </w:p>
        </w:tc>
        <w:tc>
          <w:tcPr>
            <w:tcW w:w="1276" w:type="dxa"/>
            <w:vAlign w:val="center"/>
          </w:tcPr>
          <w:p w14:paraId="3FEC534B">
            <w:pPr>
              <w:pStyle w:val="11"/>
            </w:pPr>
            <w:r>
              <w:t>指标值确定依据</w:t>
            </w:r>
          </w:p>
        </w:tc>
      </w:tr>
      <w:tr w14:paraId="7D296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EFBA9">
            <w:pPr>
              <w:pStyle w:val="12"/>
            </w:pPr>
            <w:r>
              <w:t>产出指标</w:t>
            </w:r>
          </w:p>
        </w:tc>
        <w:tc>
          <w:tcPr>
            <w:tcW w:w="2268" w:type="dxa"/>
            <w:vAlign w:val="center"/>
          </w:tcPr>
          <w:p w14:paraId="588A2404">
            <w:pPr>
              <w:pStyle w:val="13"/>
            </w:pPr>
            <w:r>
              <w:t>数量指标</w:t>
            </w:r>
          </w:p>
        </w:tc>
        <w:tc>
          <w:tcPr>
            <w:tcW w:w="2835" w:type="dxa"/>
            <w:vAlign w:val="center"/>
          </w:tcPr>
          <w:p w14:paraId="6C5EA44C">
            <w:pPr>
              <w:pStyle w:val="13"/>
            </w:pPr>
            <w:r>
              <w:t>适龄在校生</w:t>
            </w:r>
          </w:p>
        </w:tc>
        <w:tc>
          <w:tcPr>
            <w:tcW w:w="5386" w:type="dxa"/>
            <w:vAlign w:val="center"/>
          </w:tcPr>
          <w:p w14:paraId="644C60A4">
            <w:pPr>
              <w:pStyle w:val="13"/>
            </w:pPr>
            <w:r>
              <w:t>辖区内适龄儿童全覆盖</w:t>
            </w:r>
          </w:p>
        </w:tc>
        <w:tc>
          <w:tcPr>
            <w:tcW w:w="2268" w:type="dxa"/>
            <w:vAlign w:val="center"/>
          </w:tcPr>
          <w:p w14:paraId="3FAB85AE">
            <w:pPr>
              <w:pStyle w:val="13"/>
            </w:pPr>
            <w:r>
              <w:t>71人</w:t>
            </w:r>
          </w:p>
        </w:tc>
        <w:tc>
          <w:tcPr>
            <w:tcW w:w="1276" w:type="dxa"/>
            <w:vAlign w:val="center"/>
          </w:tcPr>
          <w:p w14:paraId="0250D9DE">
            <w:pPr>
              <w:pStyle w:val="13"/>
            </w:pPr>
            <w:r>
              <w:t>幼儿园生均公用经费管理办法</w:t>
            </w:r>
          </w:p>
        </w:tc>
      </w:tr>
      <w:tr w14:paraId="5B841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0172C"/>
        </w:tc>
        <w:tc>
          <w:tcPr>
            <w:tcW w:w="2268" w:type="dxa"/>
            <w:vAlign w:val="center"/>
          </w:tcPr>
          <w:p w14:paraId="60AE5F71">
            <w:pPr>
              <w:pStyle w:val="13"/>
            </w:pPr>
            <w:r>
              <w:t>质量指标</w:t>
            </w:r>
          </w:p>
        </w:tc>
        <w:tc>
          <w:tcPr>
            <w:tcW w:w="2835" w:type="dxa"/>
            <w:vAlign w:val="center"/>
          </w:tcPr>
          <w:p w14:paraId="18AB7B59">
            <w:pPr>
              <w:pStyle w:val="13"/>
            </w:pPr>
            <w:r>
              <w:t>预算控制率</w:t>
            </w:r>
          </w:p>
        </w:tc>
        <w:tc>
          <w:tcPr>
            <w:tcW w:w="5386" w:type="dxa"/>
            <w:vAlign w:val="center"/>
          </w:tcPr>
          <w:p w14:paraId="2D99FDD9">
            <w:pPr>
              <w:pStyle w:val="13"/>
            </w:pPr>
            <w:r>
              <w:t>预算执行</w:t>
            </w:r>
          </w:p>
        </w:tc>
        <w:tc>
          <w:tcPr>
            <w:tcW w:w="2268" w:type="dxa"/>
            <w:vAlign w:val="center"/>
          </w:tcPr>
          <w:p w14:paraId="623D2077">
            <w:pPr>
              <w:pStyle w:val="13"/>
            </w:pPr>
            <w:r>
              <w:t>≥95%</w:t>
            </w:r>
          </w:p>
        </w:tc>
        <w:tc>
          <w:tcPr>
            <w:tcW w:w="1276" w:type="dxa"/>
            <w:vAlign w:val="center"/>
          </w:tcPr>
          <w:p w14:paraId="4631E8B2">
            <w:pPr>
              <w:pStyle w:val="13"/>
            </w:pPr>
            <w:r>
              <w:t>幼儿园生均公用经费管理办法</w:t>
            </w:r>
          </w:p>
        </w:tc>
      </w:tr>
      <w:tr w14:paraId="105F2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410F0"/>
        </w:tc>
        <w:tc>
          <w:tcPr>
            <w:tcW w:w="2268" w:type="dxa"/>
            <w:vAlign w:val="center"/>
          </w:tcPr>
          <w:p w14:paraId="7BFD4DA2">
            <w:pPr>
              <w:pStyle w:val="13"/>
            </w:pPr>
            <w:r>
              <w:t>时效指标</w:t>
            </w:r>
          </w:p>
        </w:tc>
        <w:tc>
          <w:tcPr>
            <w:tcW w:w="2835" w:type="dxa"/>
            <w:vAlign w:val="center"/>
          </w:tcPr>
          <w:p w14:paraId="1A73857E">
            <w:pPr>
              <w:pStyle w:val="13"/>
            </w:pPr>
            <w:r>
              <w:t>资金支付率</w:t>
            </w:r>
          </w:p>
        </w:tc>
        <w:tc>
          <w:tcPr>
            <w:tcW w:w="5386" w:type="dxa"/>
            <w:vAlign w:val="center"/>
          </w:tcPr>
          <w:p w14:paraId="2BA12550">
            <w:pPr>
              <w:pStyle w:val="13"/>
            </w:pPr>
            <w:r>
              <w:t>按照序时进度完成资金支付</w:t>
            </w:r>
          </w:p>
        </w:tc>
        <w:tc>
          <w:tcPr>
            <w:tcW w:w="2268" w:type="dxa"/>
            <w:vAlign w:val="center"/>
          </w:tcPr>
          <w:p w14:paraId="22C60B0C">
            <w:pPr>
              <w:pStyle w:val="13"/>
            </w:pPr>
            <w:r>
              <w:t>≥100%</w:t>
            </w:r>
          </w:p>
        </w:tc>
        <w:tc>
          <w:tcPr>
            <w:tcW w:w="1276" w:type="dxa"/>
            <w:vAlign w:val="center"/>
          </w:tcPr>
          <w:p w14:paraId="2E0C6DE6">
            <w:pPr>
              <w:pStyle w:val="13"/>
            </w:pPr>
            <w:r>
              <w:t>幼儿园生均公用经费管理办法</w:t>
            </w:r>
          </w:p>
        </w:tc>
      </w:tr>
      <w:tr w14:paraId="4BB02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30F37"/>
        </w:tc>
        <w:tc>
          <w:tcPr>
            <w:tcW w:w="2268" w:type="dxa"/>
            <w:vAlign w:val="center"/>
          </w:tcPr>
          <w:p w14:paraId="18F33897">
            <w:pPr>
              <w:pStyle w:val="13"/>
            </w:pPr>
            <w:r>
              <w:t>成本指标</w:t>
            </w:r>
          </w:p>
        </w:tc>
        <w:tc>
          <w:tcPr>
            <w:tcW w:w="2835" w:type="dxa"/>
            <w:vAlign w:val="center"/>
          </w:tcPr>
          <w:p w14:paraId="4AC953D3">
            <w:pPr>
              <w:pStyle w:val="13"/>
            </w:pPr>
            <w:r>
              <w:t>生均拨款标准</w:t>
            </w:r>
          </w:p>
        </w:tc>
        <w:tc>
          <w:tcPr>
            <w:tcW w:w="5386" w:type="dxa"/>
            <w:vAlign w:val="center"/>
          </w:tcPr>
          <w:p w14:paraId="73019361">
            <w:pPr>
              <w:pStyle w:val="13"/>
            </w:pPr>
            <w:r>
              <w:t>学前经费600元/生/年</w:t>
            </w:r>
          </w:p>
        </w:tc>
        <w:tc>
          <w:tcPr>
            <w:tcW w:w="2268" w:type="dxa"/>
            <w:vAlign w:val="center"/>
          </w:tcPr>
          <w:p w14:paraId="129F6999">
            <w:pPr>
              <w:pStyle w:val="13"/>
            </w:pPr>
            <w:r>
              <w:t>600元</w:t>
            </w:r>
          </w:p>
        </w:tc>
        <w:tc>
          <w:tcPr>
            <w:tcW w:w="1276" w:type="dxa"/>
            <w:vAlign w:val="center"/>
          </w:tcPr>
          <w:p w14:paraId="3449110A">
            <w:pPr>
              <w:pStyle w:val="13"/>
            </w:pPr>
            <w:r>
              <w:t>幼儿园生均公用经费管理办法</w:t>
            </w:r>
          </w:p>
        </w:tc>
      </w:tr>
      <w:tr w14:paraId="3DF03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A6AD96">
            <w:pPr>
              <w:pStyle w:val="12"/>
            </w:pPr>
            <w:r>
              <w:t>效益指标</w:t>
            </w:r>
          </w:p>
        </w:tc>
        <w:tc>
          <w:tcPr>
            <w:tcW w:w="2268" w:type="dxa"/>
            <w:vAlign w:val="center"/>
          </w:tcPr>
          <w:p w14:paraId="23EAA965">
            <w:pPr>
              <w:pStyle w:val="13"/>
            </w:pPr>
            <w:r>
              <w:t>可持续影响指标</w:t>
            </w:r>
          </w:p>
        </w:tc>
        <w:tc>
          <w:tcPr>
            <w:tcW w:w="2835" w:type="dxa"/>
            <w:vAlign w:val="center"/>
          </w:tcPr>
          <w:p w14:paraId="48D23133">
            <w:pPr>
              <w:pStyle w:val="13"/>
            </w:pPr>
            <w:r>
              <w:t>教育发展水平明显好转</w:t>
            </w:r>
          </w:p>
        </w:tc>
        <w:tc>
          <w:tcPr>
            <w:tcW w:w="5386" w:type="dxa"/>
            <w:vAlign w:val="center"/>
          </w:tcPr>
          <w:p w14:paraId="3115632A">
            <w:pPr>
              <w:pStyle w:val="13"/>
            </w:pPr>
            <w:r>
              <w:t>学生受教育年限</w:t>
            </w:r>
          </w:p>
        </w:tc>
        <w:tc>
          <w:tcPr>
            <w:tcW w:w="2268" w:type="dxa"/>
            <w:vAlign w:val="center"/>
          </w:tcPr>
          <w:p w14:paraId="7F79FAC6">
            <w:pPr>
              <w:pStyle w:val="13"/>
            </w:pPr>
            <w:r>
              <w:t>3年</w:t>
            </w:r>
          </w:p>
        </w:tc>
        <w:tc>
          <w:tcPr>
            <w:tcW w:w="1276" w:type="dxa"/>
            <w:vAlign w:val="center"/>
          </w:tcPr>
          <w:p w14:paraId="236E2E1E">
            <w:pPr>
              <w:pStyle w:val="13"/>
            </w:pPr>
            <w:r>
              <w:t>幼儿园生均公用经费管理办法</w:t>
            </w:r>
          </w:p>
        </w:tc>
      </w:tr>
      <w:tr w14:paraId="3F348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03F48">
            <w:pPr>
              <w:pStyle w:val="12"/>
            </w:pPr>
            <w:r>
              <w:t>满意度指标</w:t>
            </w:r>
          </w:p>
        </w:tc>
        <w:tc>
          <w:tcPr>
            <w:tcW w:w="2268" w:type="dxa"/>
            <w:vAlign w:val="center"/>
          </w:tcPr>
          <w:p w14:paraId="24967C6B">
            <w:pPr>
              <w:pStyle w:val="13"/>
            </w:pPr>
            <w:r>
              <w:t>服务对象满意度指标</w:t>
            </w:r>
          </w:p>
        </w:tc>
        <w:tc>
          <w:tcPr>
            <w:tcW w:w="2835" w:type="dxa"/>
            <w:vAlign w:val="center"/>
          </w:tcPr>
          <w:p w14:paraId="2C59206C">
            <w:pPr>
              <w:pStyle w:val="13"/>
            </w:pPr>
            <w:r>
              <w:t>受益学生家长及调查满意度</w:t>
            </w:r>
          </w:p>
        </w:tc>
        <w:tc>
          <w:tcPr>
            <w:tcW w:w="5386" w:type="dxa"/>
            <w:vAlign w:val="center"/>
          </w:tcPr>
          <w:p w14:paraId="6D6595CE">
            <w:pPr>
              <w:pStyle w:val="13"/>
            </w:pPr>
            <w:r>
              <w:t>学生、教师及家长对学校保教保育工作满意度情况</w:t>
            </w:r>
          </w:p>
        </w:tc>
        <w:tc>
          <w:tcPr>
            <w:tcW w:w="2268" w:type="dxa"/>
            <w:vAlign w:val="center"/>
          </w:tcPr>
          <w:p w14:paraId="294FCCDC">
            <w:pPr>
              <w:pStyle w:val="13"/>
            </w:pPr>
            <w:r>
              <w:t>≥95%</w:t>
            </w:r>
          </w:p>
        </w:tc>
        <w:tc>
          <w:tcPr>
            <w:tcW w:w="1276" w:type="dxa"/>
            <w:vAlign w:val="center"/>
          </w:tcPr>
          <w:p w14:paraId="6FED3BF3">
            <w:pPr>
              <w:pStyle w:val="13"/>
            </w:pPr>
            <w:r>
              <w:t>调查问卷</w:t>
            </w:r>
          </w:p>
        </w:tc>
      </w:tr>
    </w:tbl>
    <w:p w14:paraId="3D6328E7">
      <w:pPr>
        <w:sectPr>
          <w:pgSz w:w="16840" w:h="11900" w:orient="landscape"/>
          <w:pgMar w:top="1361" w:right="1020" w:bottom="1134" w:left="1020" w:header="720" w:footer="720" w:gutter="0"/>
          <w:cols w:space="720" w:num="1"/>
        </w:sectPr>
      </w:pPr>
    </w:p>
    <w:p w14:paraId="5F912818">
      <w:pPr>
        <w:spacing w:before="0" w:after="0"/>
        <w:ind w:firstLine="560"/>
        <w:jc w:val="left"/>
        <w:outlineLvl w:val="9"/>
      </w:pPr>
      <w:r>
        <w:rPr>
          <w:rFonts w:ascii="方正仿宋_GBK" w:hAnsi="方正仿宋_GBK" w:eastAsia="方正仿宋_GBK" w:cs="方正仿宋_GBK"/>
          <w:b/>
          <w:color w:val="000000"/>
          <w:sz w:val="28"/>
        </w:rPr>
        <w:t>84、冀财教[2024]142号/省级/2025年学前发展资金/隆尧县阳光幼儿园学前教育公用经费绩效目标表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EA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FBBCF">
            <w:pPr>
              <w:pStyle w:val="14"/>
            </w:pPr>
            <w:r>
              <w:t>单位：万元</w:t>
            </w:r>
          </w:p>
        </w:tc>
      </w:tr>
      <w:tr w14:paraId="7B488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05763">
            <w:pPr>
              <w:pStyle w:val="11"/>
            </w:pPr>
            <w:r>
              <w:t>项目编码</w:t>
            </w:r>
          </w:p>
        </w:tc>
        <w:tc>
          <w:tcPr>
            <w:tcW w:w="5103" w:type="dxa"/>
            <w:gridSpan w:val="2"/>
            <w:vAlign w:val="center"/>
          </w:tcPr>
          <w:p w14:paraId="6108A3D6">
            <w:pPr>
              <w:pStyle w:val="13"/>
            </w:pPr>
            <w:r>
              <w:t>13052525P00875710030K</w:t>
            </w:r>
          </w:p>
        </w:tc>
        <w:tc>
          <w:tcPr>
            <w:tcW w:w="2835" w:type="dxa"/>
            <w:vAlign w:val="center"/>
          </w:tcPr>
          <w:p w14:paraId="2B3565B1">
            <w:pPr>
              <w:pStyle w:val="11"/>
            </w:pPr>
            <w:r>
              <w:t>项目名称</w:t>
            </w:r>
          </w:p>
        </w:tc>
        <w:tc>
          <w:tcPr>
            <w:tcW w:w="6095" w:type="dxa"/>
            <w:gridSpan w:val="3"/>
            <w:vAlign w:val="center"/>
          </w:tcPr>
          <w:p w14:paraId="0D51B35B">
            <w:pPr>
              <w:pStyle w:val="13"/>
            </w:pPr>
            <w:r>
              <w:t>冀财教[2024]142号/省级/2025年学前发展资金/隆尧县阳光幼儿园学前教育公用经费</w:t>
            </w:r>
          </w:p>
        </w:tc>
      </w:tr>
      <w:tr w14:paraId="25311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E9284">
            <w:pPr>
              <w:pStyle w:val="11"/>
            </w:pPr>
            <w:r>
              <w:t>预算规模及资金用途</w:t>
            </w:r>
          </w:p>
        </w:tc>
        <w:tc>
          <w:tcPr>
            <w:tcW w:w="2268" w:type="dxa"/>
            <w:vAlign w:val="center"/>
          </w:tcPr>
          <w:p w14:paraId="5D196DA6">
            <w:pPr>
              <w:pStyle w:val="11"/>
            </w:pPr>
            <w:r>
              <w:t>预算数</w:t>
            </w:r>
          </w:p>
        </w:tc>
        <w:tc>
          <w:tcPr>
            <w:tcW w:w="2835" w:type="dxa"/>
            <w:vAlign w:val="center"/>
          </w:tcPr>
          <w:p w14:paraId="4C6B7721">
            <w:pPr>
              <w:pStyle w:val="13"/>
            </w:pPr>
            <w:r>
              <w:t>1.32</w:t>
            </w:r>
          </w:p>
        </w:tc>
        <w:tc>
          <w:tcPr>
            <w:tcW w:w="2835" w:type="dxa"/>
            <w:vAlign w:val="center"/>
          </w:tcPr>
          <w:p w14:paraId="4D719FD7">
            <w:pPr>
              <w:pStyle w:val="11"/>
            </w:pPr>
            <w:r>
              <w:t>其中：财政    资金</w:t>
            </w:r>
          </w:p>
        </w:tc>
        <w:tc>
          <w:tcPr>
            <w:tcW w:w="2551" w:type="dxa"/>
            <w:vAlign w:val="center"/>
          </w:tcPr>
          <w:p w14:paraId="565A6BC9">
            <w:pPr>
              <w:pStyle w:val="13"/>
            </w:pPr>
            <w:r>
              <w:t>1.32</w:t>
            </w:r>
          </w:p>
        </w:tc>
        <w:tc>
          <w:tcPr>
            <w:tcW w:w="2268" w:type="dxa"/>
            <w:vAlign w:val="center"/>
          </w:tcPr>
          <w:p w14:paraId="5AA88ADA">
            <w:pPr>
              <w:pStyle w:val="11"/>
            </w:pPr>
            <w:r>
              <w:t>其他资金</w:t>
            </w:r>
          </w:p>
        </w:tc>
        <w:tc>
          <w:tcPr>
            <w:tcW w:w="1276" w:type="dxa"/>
            <w:vAlign w:val="center"/>
          </w:tcPr>
          <w:p w14:paraId="3734CC68">
            <w:pPr>
              <w:pStyle w:val="13"/>
            </w:pPr>
            <w:r>
              <w:t xml:space="preserve"> </w:t>
            </w:r>
          </w:p>
        </w:tc>
      </w:tr>
      <w:tr w14:paraId="012868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4179D7"/>
        </w:tc>
        <w:tc>
          <w:tcPr>
            <w:tcW w:w="14033" w:type="dxa"/>
            <w:gridSpan w:val="6"/>
            <w:vAlign w:val="center"/>
          </w:tcPr>
          <w:p w14:paraId="019A9909">
            <w:pPr>
              <w:pStyle w:val="13"/>
            </w:pPr>
            <w:r>
              <w:t>按季度分批次拨付安排公用经费资金，学校按照预算安排进行资金使用，保证资金正常支出。</w:t>
            </w:r>
          </w:p>
        </w:tc>
      </w:tr>
      <w:tr w14:paraId="1E4E3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DC8F2">
            <w:pPr>
              <w:pStyle w:val="11"/>
            </w:pPr>
            <w:r>
              <w:t>资金支出计划（%）</w:t>
            </w:r>
          </w:p>
        </w:tc>
        <w:tc>
          <w:tcPr>
            <w:tcW w:w="5103" w:type="dxa"/>
            <w:gridSpan w:val="2"/>
            <w:vAlign w:val="center"/>
          </w:tcPr>
          <w:p w14:paraId="345ED61E">
            <w:pPr>
              <w:pStyle w:val="11"/>
            </w:pPr>
            <w:r>
              <w:t>3月底</w:t>
            </w:r>
          </w:p>
        </w:tc>
        <w:tc>
          <w:tcPr>
            <w:tcW w:w="2835" w:type="dxa"/>
            <w:vAlign w:val="center"/>
          </w:tcPr>
          <w:p w14:paraId="246C8C5B">
            <w:pPr>
              <w:pStyle w:val="11"/>
            </w:pPr>
            <w:r>
              <w:t>6月底</w:t>
            </w:r>
          </w:p>
        </w:tc>
        <w:tc>
          <w:tcPr>
            <w:tcW w:w="2551" w:type="dxa"/>
            <w:vAlign w:val="center"/>
          </w:tcPr>
          <w:p w14:paraId="308A6AE2">
            <w:pPr>
              <w:pStyle w:val="11"/>
            </w:pPr>
            <w:r>
              <w:t>10月底</w:t>
            </w:r>
          </w:p>
        </w:tc>
        <w:tc>
          <w:tcPr>
            <w:tcW w:w="3544" w:type="dxa"/>
            <w:gridSpan w:val="2"/>
            <w:vAlign w:val="center"/>
          </w:tcPr>
          <w:p w14:paraId="2AFFC782">
            <w:pPr>
              <w:pStyle w:val="11"/>
            </w:pPr>
            <w:r>
              <w:t>12月底</w:t>
            </w:r>
          </w:p>
        </w:tc>
      </w:tr>
      <w:tr w14:paraId="289B1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1ED2B6"/>
        </w:tc>
        <w:tc>
          <w:tcPr>
            <w:tcW w:w="5103" w:type="dxa"/>
            <w:gridSpan w:val="2"/>
            <w:vAlign w:val="center"/>
          </w:tcPr>
          <w:p w14:paraId="7B3182E8">
            <w:pPr>
              <w:pStyle w:val="12"/>
            </w:pPr>
            <w:r>
              <w:t xml:space="preserve"> </w:t>
            </w:r>
          </w:p>
        </w:tc>
        <w:tc>
          <w:tcPr>
            <w:tcW w:w="2835" w:type="dxa"/>
            <w:vAlign w:val="center"/>
          </w:tcPr>
          <w:p w14:paraId="22E73C2A">
            <w:pPr>
              <w:pStyle w:val="12"/>
            </w:pPr>
            <w:r>
              <w:t>50%</w:t>
            </w:r>
          </w:p>
        </w:tc>
        <w:tc>
          <w:tcPr>
            <w:tcW w:w="2551" w:type="dxa"/>
            <w:vAlign w:val="center"/>
          </w:tcPr>
          <w:p w14:paraId="67F60ED1">
            <w:pPr>
              <w:pStyle w:val="12"/>
            </w:pPr>
            <w:r>
              <w:t>75%</w:t>
            </w:r>
          </w:p>
        </w:tc>
        <w:tc>
          <w:tcPr>
            <w:tcW w:w="3544" w:type="dxa"/>
            <w:gridSpan w:val="2"/>
            <w:vAlign w:val="center"/>
          </w:tcPr>
          <w:p w14:paraId="3425CC6B">
            <w:pPr>
              <w:pStyle w:val="12"/>
            </w:pPr>
            <w:r>
              <w:t>100%</w:t>
            </w:r>
          </w:p>
        </w:tc>
      </w:tr>
      <w:tr w14:paraId="6D773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1583F8">
            <w:pPr>
              <w:pStyle w:val="11"/>
            </w:pPr>
            <w:r>
              <w:t>绩效目标</w:t>
            </w:r>
          </w:p>
        </w:tc>
        <w:tc>
          <w:tcPr>
            <w:tcW w:w="14033" w:type="dxa"/>
            <w:gridSpan w:val="6"/>
            <w:vAlign w:val="center"/>
          </w:tcPr>
          <w:p w14:paraId="1FBA5270">
            <w:pPr>
              <w:pStyle w:val="13"/>
            </w:pPr>
            <w:r>
              <w:t>1.按季度分批次拨付安排公用经费资金，学校按照预算安排进行资金使用，保证资金正常支出。</w:t>
            </w:r>
            <w:r>
              <w:tab/>
            </w:r>
            <w:r>
              <w:tab/>
            </w:r>
            <w:r>
              <w:tab/>
            </w:r>
            <w:r>
              <w:tab/>
            </w:r>
            <w:r>
              <w:tab/>
            </w:r>
            <w:r>
              <w:tab/>
            </w:r>
          </w:p>
          <w:p w14:paraId="0B2A27B5">
            <w:pPr>
              <w:pStyle w:val="13"/>
            </w:pPr>
          </w:p>
        </w:tc>
      </w:tr>
    </w:tbl>
    <w:p w14:paraId="066903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C0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981BF">
            <w:pPr>
              <w:pStyle w:val="11"/>
            </w:pPr>
            <w:r>
              <w:t>一级指标</w:t>
            </w:r>
          </w:p>
        </w:tc>
        <w:tc>
          <w:tcPr>
            <w:tcW w:w="2268" w:type="dxa"/>
            <w:vAlign w:val="center"/>
          </w:tcPr>
          <w:p w14:paraId="0E4F7EA2">
            <w:pPr>
              <w:pStyle w:val="11"/>
            </w:pPr>
            <w:r>
              <w:t>二级指标</w:t>
            </w:r>
          </w:p>
        </w:tc>
        <w:tc>
          <w:tcPr>
            <w:tcW w:w="2835" w:type="dxa"/>
            <w:vAlign w:val="center"/>
          </w:tcPr>
          <w:p w14:paraId="6A61474E">
            <w:pPr>
              <w:pStyle w:val="11"/>
            </w:pPr>
            <w:r>
              <w:t>三级指标</w:t>
            </w:r>
          </w:p>
        </w:tc>
        <w:tc>
          <w:tcPr>
            <w:tcW w:w="5386" w:type="dxa"/>
            <w:vAlign w:val="center"/>
          </w:tcPr>
          <w:p w14:paraId="2872CBCE">
            <w:pPr>
              <w:pStyle w:val="11"/>
            </w:pPr>
            <w:r>
              <w:t>绩效指标描述</w:t>
            </w:r>
          </w:p>
        </w:tc>
        <w:tc>
          <w:tcPr>
            <w:tcW w:w="2268" w:type="dxa"/>
            <w:vAlign w:val="center"/>
          </w:tcPr>
          <w:p w14:paraId="1F9BE619">
            <w:pPr>
              <w:pStyle w:val="11"/>
            </w:pPr>
            <w:r>
              <w:t>指标值</w:t>
            </w:r>
          </w:p>
        </w:tc>
        <w:tc>
          <w:tcPr>
            <w:tcW w:w="1276" w:type="dxa"/>
            <w:vAlign w:val="center"/>
          </w:tcPr>
          <w:p w14:paraId="30256D44">
            <w:pPr>
              <w:pStyle w:val="11"/>
            </w:pPr>
            <w:r>
              <w:t>指标值确定依据</w:t>
            </w:r>
          </w:p>
        </w:tc>
      </w:tr>
      <w:tr w14:paraId="2CAD1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67894">
            <w:pPr>
              <w:pStyle w:val="12"/>
            </w:pPr>
            <w:r>
              <w:t>产出指标</w:t>
            </w:r>
          </w:p>
        </w:tc>
        <w:tc>
          <w:tcPr>
            <w:tcW w:w="2268" w:type="dxa"/>
            <w:vAlign w:val="center"/>
          </w:tcPr>
          <w:p w14:paraId="24326783">
            <w:pPr>
              <w:pStyle w:val="13"/>
            </w:pPr>
            <w:r>
              <w:t>数量指标</w:t>
            </w:r>
          </w:p>
        </w:tc>
        <w:tc>
          <w:tcPr>
            <w:tcW w:w="2835" w:type="dxa"/>
            <w:vAlign w:val="center"/>
          </w:tcPr>
          <w:p w14:paraId="180CD96D">
            <w:pPr>
              <w:pStyle w:val="13"/>
            </w:pPr>
            <w:r>
              <w:t>适龄在校生</w:t>
            </w:r>
          </w:p>
        </w:tc>
        <w:tc>
          <w:tcPr>
            <w:tcW w:w="5386" w:type="dxa"/>
            <w:vAlign w:val="center"/>
          </w:tcPr>
          <w:p w14:paraId="2723E414">
            <w:pPr>
              <w:pStyle w:val="13"/>
            </w:pPr>
            <w:r>
              <w:t>辖区内适龄儿童全覆盖</w:t>
            </w:r>
          </w:p>
        </w:tc>
        <w:tc>
          <w:tcPr>
            <w:tcW w:w="2268" w:type="dxa"/>
            <w:vAlign w:val="center"/>
          </w:tcPr>
          <w:p w14:paraId="1881B2BD">
            <w:pPr>
              <w:pStyle w:val="13"/>
            </w:pPr>
            <w:r>
              <w:t>88人</w:t>
            </w:r>
          </w:p>
        </w:tc>
        <w:tc>
          <w:tcPr>
            <w:tcW w:w="1276" w:type="dxa"/>
            <w:vAlign w:val="center"/>
          </w:tcPr>
          <w:p w14:paraId="655CF307">
            <w:pPr>
              <w:pStyle w:val="13"/>
            </w:pPr>
            <w:r>
              <w:t>幼儿园生均公用经费管理办法</w:t>
            </w:r>
          </w:p>
        </w:tc>
      </w:tr>
      <w:tr w14:paraId="2E017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D86B4A8"/>
        </w:tc>
        <w:tc>
          <w:tcPr>
            <w:tcW w:w="2268" w:type="dxa"/>
            <w:vAlign w:val="center"/>
          </w:tcPr>
          <w:p w14:paraId="5178FA17">
            <w:pPr>
              <w:pStyle w:val="13"/>
            </w:pPr>
            <w:r>
              <w:t>质量指标</w:t>
            </w:r>
          </w:p>
        </w:tc>
        <w:tc>
          <w:tcPr>
            <w:tcW w:w="2835" w:type="dxa"/>
            <w:vAlign w:val="center"/>
          </w:tcPr>
          <w:p w14:paraId="477F415F">
            <w:pPr>
              <w:pStyle w:val="13"/>
            </w:pPr>
            <w:r>
              <w:t>预算控制率</w:t>
            </w:r>
          </w:p>
        </w:tc>
        <w:tc>
          <w:tcPr>
            <w:tcW w:w="5386" w:type="dxa"/>
            <w:vAlign w:val="center"/>
          </w:tcPr>
          <w:p w14:paraId="4C18901F">
            <w:pPr>
              <w:pStyle w:val="13"/>
            </w:pPr>
            <w:r>
              <w:t>预算执行</w:t>
            </w:r>
          </w:p>
        </w:tc>
        <w:tc>
          <w:tcPr>
            <w:tcW w:w="2268" w:type="dxa"/>
            <w:vAlign w:val="center"/>
          </w:tcPr>
          <w:p w14:paraId="0EE77623">
            <w:pPr>
              <w:pStyle w:val="13"/>
            </w:pPr>
            <w:r>
              <w:t>≥95%</w:t>
            </w:r>
          </w:p>
        </w:tc>
        <w:tc>
          <w:tcPr>
            <w:tcW w:w="1276" w:type="dxa"/>
            <w:vAlign w:val="center"/>
          </w:tcPr>
          <w:p w14:paraId="1EA5584D">
            <w:pPr>
              <w:pStyle w:val="13"/>
            </w:pPr>
            <w:r>
              <w:t>幼儿园生均公用经费管理办法</w:t>
            </w:r>
          </w:p>
        </w:tc>
      </w:tr>
      <w:tr w14:paraId="4F215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B8FBC"/>
        </w:tc>
        <w:tc>
          <w:tcPr>
            <w:tcW w:w="2268" w:type="dxa"/>
            <w:vAlign w:val="center"/>
          </w:tcPr>
          <w:p w14:paraId="1C55FC0B">
            <w:pPr>
              <w:pStyle w:val="13"/>
            </w:pPr>
            <w:r>
              <w:t>时效指标</w:t>
            </w:r>
          </w:p>
        </w:tc>
        <w:tc>
          <w:tcPr>
            <w:tcW w:w="2835" w:type="dxa"/>
            <w:vAlign w:val="center"/>
          </w:tcPr>
          <w:p w14:paraId="3ADF2508">
            <w:pPr>
              <w:pStyle w:val="13"/>
            </w:pPr>
            <w:r>
              <w:t>资金支付率</w:t>
            </w:r>
          </w:p>
        </w:tc>
        <w:tc>
          <w:tcPr>
            <w:tcW w:w="5386" w:type="dxa"/>
            <w:vAlign w:val="center"/>
          </w:tcPr>
          <w:p w14:paraId="4E24C154">
            <w:pPr>
              <w:pStyle w:val="13"/>
            </w:pPr>
            <w:r>
              <w:t>按照序时进度完成资金支付</w:t>
            </w:r>
          </w:p>
        </w:tc>
        <w:tc>
          <w:tcPr>
            <w:tcW w:w="2268" w:type="dxa"/>
            <w:vAlign w:val="center"/>
          </w:tcPr>
          <w:p w14:paraId="357029DD">
            <w:pPr>
              <w:pStyle w:val="13"/>
            </w:pPr>
            <w:r>
              <w:t>≥100%</w:t>
            </w:r>
          </w:p>
        </w:tc>
        <w:tc>
          <w:tcPr>
            <w:tcW w:w="1276" w:type="dxa"/>
            <w:vAlign w:val="center"/>
          </w:tcPr>
          <w:p w14:paraId="0ABAC4C5">
            <w:pPr>
              <w:pStyle w:val="13"/>
            </w:pPr>
            <w:r>
              <w:t>幼儿园生均公用经费管理办法</w:t>
            </w:r>
          </w:p>
        </w:tc>
      </w:tr>
      <w:tr w14:paraId="51CDD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5D8A4"/>
        </w:tc>
        <w:tc>
          <w:tcPr>
            <w:tcW w:w="2268" w:type="dxa"/>
            <w:vAlign w:val="center"/>
          </w:tcPr>
          <w:p w14:paraId="68D64FE0">
            <w:pPr>
              <w:pStyle w:val="13"/>
            </w:pPr>
            <w:r>
              <w:t>成本指标</w:t>
            </w:r>
          </w:p>
        </w:tc>
        <w:tc>
          <w:tcPr>
            <w:tcW w:w="2835" w:type="dxa"/>
            <w:vAlign w:val="center"/>
          </w:tcPr>
          <w:p w14:paraId="6E33BD9A">
            <w:pPr>
              <w:pStyle w:val="13"/>
            </w:pPr>
            <w:r>
              <w:t>生均拨款标准</w:t>
            </w:r>
          </w:p>
        </w:tc>
        <w:tc>
          <w:tcPr>
            <w:tcW w:w="5386" w:type="dxa"/>
            <w:vAlign w:val="center"/>
          </w:tcPr>
          <w:p w14:paraId="15AF3DE6">
            <w:pPr>
              <w:pStyle w:val="13"/>
            </w:pPr>
            <w:r>
              <w:t>学前经费600元/生/年</w:t>
            </w:r>
          </w:p>
        </w:tc>
        <w:tc>
          <w:tcPr>
            <w:tcW w:w="2268" w:type="dxa"/>
            <w:vAlign w:val="center"/>
          </w:tcPr>
          <w:p w14:paraId="4E1B95CE">
            <w:pPr>
              <w:pStyle w:val="13"/>
            </w:pPr>
            <w:r>
              <w:t>600元</w:t>
            </w:r>
          </w:p>
        </w:tc>
        <w:tc>
          <w:tcPr>
            <w:tcW w:w="1276" w:type="dxa"/>
            <w:vAlign w:val="center"/>
          </w:tcPr>
          <w:p w14:paraId="603274E2">
            <w:pPr>
              <w:pStyle w:val="13"/>
            </w:pPr>
            <w:r>
              <w:t>幼儿园生均公用经费管理办法</w:t>
            </w:r>
          </w:p>
        </w:tc>
      </w:tr>
      <w:tr w14:paraId="31947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1C0CDD">
            <w:pPr>
              <w:pStyle w:val="12"/>
            </w:pPr>
            <w:r>
              <w:t>效益指标</w:t>
            </w:r>
          </w:p>
        </w:tc>
        <w:tc>
          <w:tcPr>
            <w:tcW w:w="2268" w:type="dxa"/>
            <w:vAlign w:val="center"/>
          </w:tcPr>
          <w:p w14:paraId="4A1A2A1D">
            <w:pPr>
              <w:pStyle w:val="13"/>
            </w:pPr>
            <w:r>
              <w:t>可持续影响指标</w:t>
            </w:r>
          </w:p>
        </w:tc>
        <w:tc>
          <w:tcPr>
            <w:tcW w:w="2835" w:type="dxa"/>
            <w:vAlign w:val="center"/>
          </w:tcPr>
          <w:p w14:paraId="4349309E">
            <w:pPr>
              <w:pStyle w:val="13"/>
            </w:pPr>
            <w:r>
              <w:t>教育发展水平明显好转</w:t>
            </w:r>
          </w:p>
        </w:tc>
        <w:tc>
          <w:tcPr>
            <w:tcW w:w="5386" w:type="dxa"/>
            <w:vAlign w:val="center"/>
          </w:tcPr>
          <w:p w14:paraId="3E6BF9CA">
            <w:pPr>
              <w:pStyle w:val="13"/>
            </w:pPr>
            <w:r>
              <w:t>学生受教育年限</w:t>
            </w:r>
          </w:p>
        </w:tc>
        <w:tc>
          <w:tcPr>
            <w:tcW w:w="2268" w:type="dxa"/>
            <w:vAlign w:val="center"/>
          </w:tcPr>
          <w:p w14:paraId="5DD9C6D5">
            <w:pPr>
              <w:pStyle w:val="13"/>
            </w:pPr>
            <w:r>
              <w:t>3年</w:t>
            </w:r>
          </w:p>
        </w:tc>
        <w:tc>
          <w:tcPr>
            <w:tcW w:w="1276" w:type="dxa"/>
            <w:vAlign w:val="center"/>
          </w:tcPr>
          <w:p w14:paraId="632B2CBD">
            <w:pPr>
              <w:pStyle w:val="13"/>
            </w:pPr>
            <w:r>
              <w:t>幼儿园生均公用经费管理办法</w:t>
            </w:r>
          </w:p>
        </w:tc>
      </w:tr>
      <w:tr w14:paraId="2CF59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C7FF18">
            <w:pPr>
              <w:pStyle w:val="12"/>
            </w:pPr>
            <w:r>
              <w:t>满意度指标</w:t>
            </w:r>
          </w:p>
        </w:tc>
        <w:tc>
          <w:tcPr>
            <w:tcW w:w="2268" w:type="dxa"/>
            <w:vAlign w:val="center"/>
          </w:tcPr>
          <w:p w14:paraId="06E432AC">
            <w:pPr>
              <w:pStyle w:val="13"/>
            </w:pPr>
            <w:r>
              <w:t>服务对象满意度指标</w:t>
            </w:r>
          </w:p>
        </w:tc>
        <w:tc>
          <w:tcPr>
            <w:tcW w:w="2835" w:type="dxa"/>
            <w:vAlign w:val="center"/>
          </w:tcPr>
          <w:p w14:paraId="108C0556">
            <w:pPr>
              <w:pStyle w:val="13"/>
            </w:pPr>
            <w:r>
              <w:t>受益学生家长及调查满意度</w:t>
            </w:r>
          </w:p>
        </w:tc>
        <w:tc>
          <w:tcPr>
            <w:tcW w:w="5386" w:type="dxa"/>
            <w:vAlign w:val="center"/>
          </w:tcPr>
          <w:p w14:paraId="6C405FEE">
            <w:pPr>
              <w:pStyle w:val="13"/>
            </w:pPr>
            <w:r>
              <w:t>学生、教师及家长对学校保教保育工作满意度情况</w:t>
            </w:r>
          </w:p>
        </w:tc>
        <w:tc>
          <w:tcPr>
            <w:tcW w:w="2268" w:type="dxa"/>
            <w:vAlign w:val="center"/>
          </w:tcPr>
          <w:p w14:paraId="2B88ECB7">
            <w:pPr>
              <w:pStyle w:val="13"/>
            </w:pPr>
            <w:r>
              <w:t>≥95%</w:t>
            </w:r>
          </w:p>
        </w:tc>
        <w:tc>
          <w:tcPr>
            <w:tcW w:w="1276" w:type="dxa"/>
            <w:vAlign w:val="center"/>
          </w:tcPr>
          <w:p w14:paraId="14B51BB0">
            <w:pPr>
              <w:pStyle w:val="13"/>
            </w:pPr>
            <w:r>
              <w:t>调查问卷</w:t>
            </w:r>
          </w:p>
        </w:tc>
      </w:tr>
    </w:tbl>
    <w:p w14:paraId="087E651E">
      <w:pPr>
        <w:sectPr>
          <w:pgSz w:w="16840" w:h="11900" w:orient="landscape"/>
          <w:pgMar w:top="1361" w:right="1020" w:bottom="1134" w:left="1020" w:header="720" w:footer="720" w:gutter="0"/>
          <w:cols w:space="720" w:num="1"/>
        </w:sectPr>
      </w:pPr>
    </w:p>
    <w:p w14:paraId="32D38C65">
      <w:pPr>
        <w:spacing w:before="0" w:after="0"/>
        <w:ind w:firstLine="560"/>
        <w:jc w:val="left"/>
        <w:outlineLvl w:val="9"/>
      </w:pPr>
      <w:r>
        <w:rPr>
          <w:rFonts w:ascii="方正仿宋_GBK" w:hAnsi="方正仿宋_GBK" w:eastAsia="方正仿宋_GBK" w:cs="方正仿宋_GBK"/>
          <w:b/>
          <w:color w:val="000000"/>
          <w:sz w:val="28"/>
        </w:rPr>
        <w:t>85、冀财教[2024]142号/省级/2025年学前发展资金/隆尧县艺星幼儿园学前教育公用经费绩效目标表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07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EA460">
            <w:pPr>
              <w:pStyle w:val="14"/>
            </w:pPr>
            <w:r>
              <w:t>单位：万元</w:t>
            </w:r>
          </w:p>
        </w:tc>
      </w:tr>
      <w:tr w14:paraId="01BC3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BA1324">
            <w:pPr>
              <w:pStyle w:val="11"/>
            </w:pPr>
            <w:r>
              <w:t>项目编码</w:t>
            </w:r>
          </w:p>
        </w:tc>
        <w:tc>
          <w:tcPr>
            <w:tcW w:w="5103" w:type="dxa"/>
            <w:gridSpan w:val="2"/>
            <w:vAlign w:val="center"/>
          </w:tcPr>
          <w:p w14:paraId="3D711D1F">
            <w:pPr>
              <w:pStyle w:val="13"/>
            </w:pPr>
            <w:r>
              <w:t>13052525P00875710018Q</w:t>
            </w:r>
          </w:p>
        </w:tc>
        <w:tc>
          <w:tcPr>
            <w:tcW w:w="2835" w:type="dxa"/>
            <w:vAlign w:val="center"/>
          </w:tcPr>
          <w:p w14:paraId="74AC0127">
            <w:pPr>
              <w:pStyle w:val="11"/>
            </w:pPr>
            <w:r>
              <w:t>项目名称</w:t>
            </w:r>
          </w:p>
        </w:tc>
        <w:tc>
          <w:tcPr>
            <w:tcW w:w="6095" w:type="dxa"/>
            <w:gridSpan w:val="3"/>
            <w:vAlign w:val="center"/>
          </w:tcPr>
          <w:p w14:paraId="728C5717">
            <w:pPr>
              <w:pStyle w:val="13"/>
            </w:pPr>
            <w:r>
              <w:t>冀财教[2024]142号/省级/2025年学前发展资金/隆尧县艺星幼儿园学前教育公用经费</w:t>
            </w:r>
          </w:p>
        </w:tc>
      </w:tr>
      <w:tr w14:paraId="65A67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67A4D">
            <w:pPr>
              <w:pStyle w:val="11"/>
            </w:pPr>
            <w:r>
              <w:t>预算规模及资金用途</w:t>
            </w:r>
          </w:p>
        </w:tc>
        <w:tc>
          <w:tcPr>
            <w:tcW w:w="2268" w:type="dxa"/>
            <w:vAlign w:val="center"/>
          </w:tcPr>
          <w:p w14:paraId="243B3963">
            <w:pPr>
              <w:pStyle w:val="11"/>
            </w:pPr>
            <w:r>
              <w:t>预算数</w:t>
            </w:r>
          </w:p>
        </w:tc>
        <w:tc>
          <w:tcPr>
            <w:tcW w:w="2835" w:type="dxa"/>
            <w:vAlign w:val="center"/>
          </w:tcPr>
          <w:p w14:paraId="68959A7A">
            <w:pPr>
              <w:pStyle w:val="13"/>
            </w:pPr>
            <w:r>
              <w:t>3.36</w:t>
            </w:r>
          </w:p>
        </w:tc>
        <w:tc>
          <w:tcPr>
            <w:tcW w:w="2835" w:type="dxa"/>
            <w:vAlign w:val="center"/>
          </w:tcPr>
          <w:p w14:paraId="4A122F4C">
            <w:pPr>
              <w:pStyle w:val="11"/>
            </w:pPr>
            <w:r>
              <w:t>其中：财政    资金</w:t>
            </w:r>
          </w:p>
        </w:tc>
        <w:tc>
          <w:tcPr>
            <w:tcW w:w="2551" w:type="dxa"/>
            <w:vAlign w:val="center"/>
          </w:tcPr>
          <w:p w14:paraId="1170B046">
            <w:pPr>
              <w:pStyle w:val="13"/>
            </w:pPr>
            <w:r>
              <w:t>3.36</w:t>
            </w:r>
          </w:p>
        </w:tc>
        <w:tc>
          <w:tcPr>
            <w:tcW w:w="2268" w:type="dxa"/>
            <w:vAlign w:val="center"/>
          </w:tcPr>
          <w:p w14:paraId="2753F3C3">
            <w:pPr>
              <w:pStyle w:val="11"/>
            </w:pPr>
            <w:r>
              <w:t>其他资金</w:t>
            </w:r>
          </w:p>
        </w:tc>
        <w:tc>
          <w:tcPr>
            <w:tcW w:w="1276" w:type="dxa"/>
            <w:vAlign w:val="center"/>
          </w:tcPr>
          <w:p w14:paraId="3EADB780">
            <w:pPr>
              <w:pStyle w:val="13"/>
            </w:pPr>
            <w:r>
              <w:t xml:space="preserve"> </w:t>
            </w:r>
          </w:p>
        </w:tc>
      </w:tr>
      <w:tr w14:paraId="540E34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625EF"/>
        </w:tc>
        <w:tc>
          <w:tcPr>
            <w:tcW w:w="14033" w:type="dxa"/>
            <w:gridSpan w:val="6"/>
            <w:vAlign w:val="center"/>
          </w:tcPr>
          <w:p w14:paraId="764A764B">
            <w:pPr>
              <w:pStyle w:val="13"/>
            </w:pPr>
            <w:r>
              <w:t>按季度分批次拨付安排公用经费资金，学校按照预算安排进行资金使用，保证资金正常支出。</w:t>
            </w:r>
          </w:p>
        </w:tc>
      </w:tr>
      <w:tr w14:paraId="7F7B1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6459E">
            <w:pPr>
              <w:pStyle w:val="11"/>
            </w:pPr>
            <w:r>
              <w:t>资金支出计划（%）</w:t>
            </w:r>
          </w:p>
        </w:tc>
        <w:tc>
          <w:tcPr>
            <w:tcW w:w="5103" w:type="dxa"/>
            <w:gridSpan w:val="2"/>
            <w:vAlign w:val="center"/>
          </w:tcPr>
          <w:p w14:paraId="5C634299">
            <w:pPr>
              <w:pStyle w:val="11"/>
            </w:pPr>
            <w:r>
              <w:t>3月底</w:t>
            </w:r>
          </w:p>
        </w:tc>
        <w:tc>
          <w:tcPr>
            <w:tcW w:w="2835" w:type="dxa"/>
            <w:vAlign w:val="center"/>
          </w:tcPr>
          <w:p w14:paraId="1F58F8B1">
            <w:pPr>
              <w:pStyle w:val="11"/>
            </w:pPr>
            <w:r>
              <w:t>6月底</w:t>
            </w:r>
          </w:p>
        </w:tc>
        <w:tc>
          <w:tcPr>
            <w:tcW w:w="2551" w:type="dxa"/>
            <w:vAlign w:val="center"/>
          </w:tcPr>
          <w:p w14:paraId="6511709B">
            <w:pPr>
              <w:pStyle w:val="11"/>
            </w:pPr>
            <w:r>
              <w:t>10月底</w:t>
            </w:r>
          </w:p>
        </w:tc>
        <w:tc>
          <w:tcPr>
            <w:tcW w:w="3544" w:type="dxa"/>
            <w:gridSpan w:val="2"/>
            <w:vAlign w:val="center"/>
          </w:tcPr>
          <w:p w14:paraId="26238C7A">
            <w:pPr>
              <w:pStyle w:val="11"/>
            </w:pPr>
            <w:r>
              <w:t>12月底</w:t>
            </w:r>
          </w:p>
        </w:tc>
      </w:tr>
      <w:tr w14:paraId="54DC1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E0AB75"/>
        </w:tc>
        <w:tc>
          <w:tcPr>
            <w:tcW w:w="5103" w:type="dxa"/>
            <w:gridSpan w:val="2"/>
            <w:vAlign w:val="center"/>
          </w:tcPr>
          <w:p w14:paraId="50A73E37">
            <w:pPr>
              <w:pStyle w:val="12"/>
            </w:pPr>
            <w:r>
              <w:t xml:space="preserve"> </w:t>
            </w:r>
          </w:p>
        </w:tc>
        <w:tc>
          <w:tcPr>
            <w:tcW w:w="2835" w:type="dxa"/>
            <w:vAlign w:val="center"/>
          </w:tcPr>
          <w:p w14:paraId="25F81CFB">
            <w:pPr>
              <w:pStyle w:val="12"/>
            </w:pPr>
            <w:r>
              <w:t>50%</w:t>
            </w:r>
          </w:p>
        </w:tc>
        <w:tc>
          <w:tcPr>
            <w:tcW w:w="2551" w:type="dxa"/>
            <w:vAlign w:val="center"/>
          </w:tcPr>
          <w:p w14:paraId="30497C1B">
            <w:pPr>
              <w:pStyle w:val="12"/>
            </w:pPr>
            <w:r>
              <w:t>75%</w:t>
            </w:r>
          </w:p>
        </w:tc>
        <w:tc>
          <w:tcPr>
            <w:tcW w:w="3544" w:type="dxa"/>
            <w:gridSpan w:val="2"/>
            <w:vAlign w:val="center"/>
          </w:tcPr>
          <w:p w14:paraId="69967E8B">
            <w:pPr>
              <w:pStyle w:val="12"/>
            </w:pPr>
            <w:r>
              <w:t>100%</w:t>
            </w:r>
          </w:p>
        </w:tc>
      </w:tr>
      <w:tr w14:paraId="363F2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D7317F">
            <w:pPr>
              <w:pStyle w:val="11"/>
            </w:pPr>
            <w:r>
              <w:t>绩效目标</w:t>
            </w:r>
          </w:p>
        </w:tc>
        <w:tc>
          <w:tcPr>
            <w:tcW w:w="14033" w:type="dxa"/>
            <w:gridSpan w:val="6"/>
            <w:vAlign w:val="center"/>
          </w:tcPr>
          <w:p w14:paraId="328AB2ED">
            <w:pPr>
              <w:pStyle w:val="13"/>
            </w:pPr>
            <w:r>
              <w:t>1.按季度分批次拨付安排公用经费资金，学校按照预算安排进行资金使用，保证资金正常支出。</w:t>
            </w:r>
          </w:p>
        </w:tc>
      </w:tr>
    </w:tbl>
    <w:p w14:paraId="46C4EE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0F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A37BE">
            <w:pPr>
              <w:pStyle w:val="11"/>
            </w:pPr>
            <w:r>
              <w:t>一级指标</w:t>
            </w:r>
          </w:p>
        </w:tc>
        <w:tc>
          <w:tcPr>
            <w:tcW w:w="2268" w:type="dxa"/>
            <w:vAlign w:val="center"/>
          </w:tcPr>
          <w:p w14:paraId="7B4E060E">
            <w:pPr>
              <w:pStyle w:val="11"/>
            </w:pPr>
            <w:r>
              <w:t>二级指标</w:t>
            </w:r>
          </w:p>
        </w:tc>
        <w:tc>
          <w:tcPr>
            <w:tcW w:w="2835" w:type="dxa"/>
            <w:vAlign w:val="center"/>
          </w:tcPr>
          <w:p w14:paraId="0AEFD67E">
            <w:pPr>
              <w:pStyle w:val="11"/>
            </w:pPr>
            <w:r>
              <w:t>三级指标</w:t>
            </w:r>
          </w:p>
        </w:tc>
        <w:tc>
          <w:tcPr>
            <w:tcW w:w="5386" w:type="dxa"/>
            <w:vAlign w:val="center"/>
          </w:tcPr>
          <w:p w14:paraId="56DF1B16">
            <w:pPr>
              <w:pStyle w:val="11"/>
            </w:pPr>
            <w:r>
              <w:t>绩效指标描述</w:t>
            </w:r>
          </w:p>
        </w:tc>
        <w:tc>
          <w:tcPr>
            <w:tcW w:w="2268" w:type="dxa"/>
            <w:vAlign w:val="center"/>
          </w:tcPr>
          <w:p w14:paraId="4D174B60">
            <w:pPr>
              <w:pStyle w:val="11"/>
            </w:pPr>
            <w:r>
              <w:t>指标值</w:t>
            </w:r>
          </w:p>
        </w:tc>
        <w:tc>
          <w:tcPr>
            <w:tcW w:w="1276" w:type="dxa"/>
            <w:vAlign w:val="center"/>
          </w:tcPr>
          <w:p w14:paraId="2BD6A1CC">
            <w:pPr>
              <w:pStyle w:val="11"/>
            </w:pPr>
            <w:r>
              <w:t>指标值确定依据</w:t>
            </w:r>
          </w:p>
        </w:tc>
      </w:tr>
      <w:tr w14:paraId="012D3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BB8E5">
            <w:pPr>
              <w:pStyle w:val="12"/>
            </w:pPr>
            <w:r>
              <w:t>产出指标</w:t>
            </w:r>
          </w:p>
        </w:tc>
        <w:tc>
          <w:tcPr>
            <w:tcW w:w="2268" w:type="dxa"/>
            <w:vAlign w:val="center"/>
          </w:tcPr>
          <w:p w14:paraId="18251897">
            <w:pPr>
              <w:pStyle w:val="13"/>
            </w:pPr>
            <w:r>
              <w:t>数量指标</w:t>
            </w:r>
          </w:p>
        </w:tc>
        <w:tc>
          <w:tcPr>
            <w:tcW w:w="2835" w:type="dxa"/>
            <w:vAlign w:val="center"/>
          </w:tcPr>
          <w:p w14:paraId="405CA969">
            <w:pPr>
              <w:pStyle w:val="13"/>
            </w:pPr>
            <w:r>
              <w:t>适龄在校生</w:t>
            </w:r>
          </w:p>
        </w:tc>
        <w:tc>
          <w:tcPr>
            <w:tcW w:w="5386" w:type="dxa"/>
            <w:vAlign w:val="center"/>
          </w:tcPr>
          <w:p w14:paraId="450E0A8F">
            <w:pPr>
              <w:pStyle w:val="13"/>
            </w:pPr>
            <w:r>
              <w:t>辖区内适龄儿童全覆盖</w:t>
            </w:r>
          </w:p>
        </w:tc>
        <w:tc>
          <w:tcPr>
            <w:tcW w:w="2268" w:type="dxa"/>
            <w:vAlign w:val="center"/>
          </w:tcPr>
          <w:p w14:paraId="0C5C12C6">
            <w:pPr>
              <w:pStyle w:val="13"/>
            </w:pPr>
            <w:r>
              <w:t>224人</w:t>
            </w:r>
          </w:p>
        </w:tc>
        <w:tc>
          <w:tcPr>
            <w:tcW w:w="1276" w:type="dxa"/>
            <w:vAlign w:val="center"/>
          </w:tcPr>
          <w:p w14:paraId="3AAAF04A">
            <w:pPr>
              <w:pStyle w:val="13"/>
            </w:pPr>
            <w:r>
              <w:t>幼儿园生均公用经费管理办法</w:t>
            </w:r>
          </w:p>
        </w:tc>
      </w:tr>
      <w:tr w14:paraId="36E54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5E960"/>
        </w:tc>
        <w:tc>
          <w:tcPr>
            <w:tcW w:w="2268" w:type="dxa"/>
            <w:vAlign w:val="center"/>
          </w:tcPr>
          <w:p w14:paraId="7448A3A2">
            <w:pPr>
              <w:pStyle w:val="13"/>
            </w:pPr>
            <w:r>
              <w:t>质量指标</w:t>
            </w:r>
          </w:p>
        </w:tc>
        <w:tc>
          <w:tcPr>
            <w:tcW w:w="2835" w:type="dxa"/>
            <w:vAlign w:val="center"/>
          </w:tcPr>
          <w:p w14:paraId="20E03E41">
            <w:pPr>
              <w:pStyle w:val="13"/>
            </w:pPr>
            <w:r>
              <w:t>预算控制率</w:t>
            </w:r>
          </w:p>
        </w:tc>
        <w:tc>
          <w:tcPr>
            <w:tcW w:w="5386" w:type="dxa"/>
            <w:vAlign w:val="center"/>
          </w:tcPr>
          <w:p w14:paraId="0B9C5BA9">
            <w:pPr>
              <w:pStyle w:val="13"/>
            </w:pPr>
            <w:r>
              <w:t>预算执行</w:t>
            </w:r>
          </w:p>
        </w:tc>
        <w:tc>
          <w:tcPr>
            <w:tcW w:w="2268" w:type="dxa"/>
            <w:vAlign w:val="center"/>
          </w:tcPr>
          <w:p w14:paraId="61E2881F">
            <w:pPr>
              <w:pStyle w:val="13"/>
            </w:pPr>
            <w:r>
              <w:t>≥95%</w:t>
            </w:r>
          </w:p>
        </w:tc>
        <w:tc>
          <w:tcPr>
            <w:tcW w:w="1276" w:type="dxa"/>
            <w:vAlign w:val="center"/>
          </w:tcPr>
          <w:p w14:paraId="2C5CC463">
            <w:pPr>
              <w:pStyle w:val="13"/>
            </w:pPr>
            <w:r>
              <w:t>幼儿园生均公用经费管理办法</w:t>
            </w:r>
          </w:p>
        </w:tc>
      </w:tr>
      <w:tr w14:paraId="55A6F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7FA2"/>
        </w:tc>
        <w:tc>
          <w:tcPr>
            <w:tcW w:w="2268" w:type="dxa"/>
            <w:vAlign w:val="center"/>
          </w:tcPr>
          <w:p w14:paraId="060DDDA7">
            <w:pPr>
              <w:pStyle w:val="13"/>
            </w:pPr>
            <w:r>
              <w:t>时效指标</w:t>
            </w:r>
          </w:p>
        </w:tc>
        <w:tc>
          <w:tcPr>
            <w:tcW w:w="2835" w:type="dxa"/>
            <w:vAlign w:val="center"/>
          </w:tcPr>
          <w:p w14:paraId="6F20ACD8">
            <w:pPr>
              <w:pStyle w:val="13"/>
            </w:pPr>
            <w:r>
              <w:t>资金支付率</w:t>
            </w:r>
          </w:p>
        </w:tc>
        <w:tc>
          <w:tcPr>
            <w:tcW w:w="5386" w:type="dxa"/>
            <w:vAlign w:val="center"/>
          </w:tcPr>
          <w:p w14:paraId="3C196BA1">
            <w:pPr>
              <w:pStyle w:val="13"/>
            </w:pPr>
            <w:r>
              <w:t>按照序时进度完成资金支付</w:t>
            </w:r>
          </w:p>
        </w:tc>
        <w:tc>
          <w:tcPr>
            <w:tcW w:w="2268" w:type="dxa"/>
            <w:vAlign w:val="center"/>
          </w:tcPr>
          <w:p w14:paraId="0205600C">
            <w:pPr>
              <w:pStyle w:val="13"/>
            </w:pPr>
            <w:r>
              <w:t>≥100%</w:t>
            </w:r>
          </w:p>
        </w:tc>
        <w:tc>
          <w:tcPr>
            <w:tcW w:w="1276" w:type="dxa"/>
            <w:vAlign w:val="center"/>
          </w:tcPr>
          <w:p w14:paraId="1BCC25C9">
            <w:pPr>
              <w:pStyle w:val="13"/>
            </w:pPr>
            <w:r>
              <w:t>幼儿园生均公用经费管理办法</w:t>
            </w:r>
          </w:p>
        </w:tc>
      </w:tr>
      <w:tr w14:paraId="0C718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66259"/>
        </w:tc>
        <w:tc>
          <w:tcPr>
            <w:tcW w:w="2268" w:type="dxa"/>
            <w:vAlign w:val="center"/>
          </w:tcPr>
          <w:p w14:paraId="4F47AAFC">
            <w:pPr>
              <w:pStyle w:val="13"/>
            </w:pPr>
            <w:r>
              <w:t>成本指标</w:t>
            </w:r>
          </w:p>
        </w:tc>
        <w:tc>
          <w:tcPr>
            <w:tcW w:w="2835" w:type="dxa"/>
            <w:vAlign w:val="center"/>
          </w:tcPr>
          <w:p w14:paraId="15369C2F">
            <w:pPr>
              <w:pStyle w:val="13"/>
            </w:pPr>
            <w:r>
              <w:t>生均拨款标准</w:t>
            </w:r>
          </w:p>
        </w:tc>
        <w:tc>
          <w:tcPr>
            <w:tcW w:w="5386" w:type="dxa"/>
            <w:vAlign w:val="center"/>
          </w:tcPr>
          <w:p w14:paraId="20A432E5">
            <w:pPr>
              <w:pStyle w:val="13"/>
            </w:pPr>
            <w:r>
              <w:t>学前经费600元/生/年</w:t>
            </w:r>
          </w:p>
        </w:tc>
        <w:tc>
          <w:tcPr>
            <w:tcW w:w="2268" w:type="dxa"/>
            <w:vAlign w:val="center"/>
          </w:tcPr>
          <w:p w14:paraId="2E68B315">
            <w:pPr>
              <w:pStyle w:val="13"/>
            </w:pPr>
            <w:r>
              <w:t>600元</w:t>
            </w:r>
          </w:p>
        </w:tc>
        <w:tc>
          <w:tcPr>
            <w:tcW w:w="1276" w:type="dxa"/>
            <w:vAlign w:val="center"/>
          </w:tcPr>
          <w:p w14:paraId="1CDCF358">
            <w:pPr>
              <w:pStyle w:val="13"/>
            </w:pPr>
            <w:r>
              <w:t>幼儿园生均公用经费管理办法</w:t>
            </w:r>
          </w:p>
        </w:tc>
      </w:tr>
      <w:tr w14:paraId="3A463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2D0D0A68">
            <w:pPr>
              <w:pStyle w:val="12"/>
            </w:pPr>
            <w:r>
              <w:t>效益指标</w:t>
            </w:r>
          </w:p>
        </w:tc>
        <w:tc>
          <w:tcPr>
            <w:tcW w:w="2268" w:type="dxa"/>
            <w:vAlign w:val="center"/>
          </w:tcPr>
          <w:p w14:paraId="10BCC63E">
            <w:pPr>
              <w:pStyle w:val="13"/>
            </w:pPr>
            <w:r>
              <w:t>可持续影响指标</w:t>
            </w:r>
          </w:p>
        </w:tc>
        <w:tc>
          <w:tcPr>
            <w:tcW w:w="2835" w:type="dxa"/>
            <w:vAlign w:val="center"/>
          </w:tcPr>
          <w:p w14:paraId="43DE23DB">
            <w:pPr>
              <w:pStyle w:val="13"/>
            </w:pPr>
            <w:r>
              <w:t>教育发展水平明显好转</w:t>
            </w:r>
          </w:p>
        </w:tc>
        <w:tc>
          <w:tcPr>
            <w:tcW w:w="5386" w:type="dxa"/>
            <w:vAlign w:val="center"/>
          </w:tcPr>
          <w:p w14:paraId="2A9B59A0">
            <w:pPr>
              <w:pStyle w:val="13"/>
            </w:pPr>
            <w:r>
              <w:t>学生受教育年限</w:t>
            </w:r>
          </w:p>
        </w:tc>
        <w:tc>
          <w:tcPr>
            <w:tcW w:w="2268" w:type="dxa"/>
            <w:vAlign w:val="center"/>
          </w:tcPr>
          <w:p w14:paraId="64900C08">
            <w:pPr>
              <w:pStyle w:val="13"/>
            </w:pPr>
            <w:r>
              <w:t>3年</w:t>
            </w:r>
          </w:p>
        </w:tc>
        <w:tc>
          <w:tcPr>
            <w:tcW w:w="1276" w:type="dxa"/>
            <w:vAlign w:val="center"/>
          </w:tcPr>
          <w:p w14:paraId="1FBDEDEA">
            <w:pPr>
              <w:pStyle w:val="13"/>
            </w:pPr>
            <w:r>
              <w:t>幼儿园生均公用经费管理办法</w:t>
            </w:r>
          </w:p>
        </w:tc>
      </w:tr>
      <w:tr w14:paraId="530FC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1F4392EB">
            <w:pPr>
              <w:pStyle w:val="12"/>
            </w:pPr>
            <w:r>
              <w:t>满意度指标</w:t>
            </w:r>
          </w:p>
        </w:tc>
        <w:tc>
          <w:tcPr>
            <w:tcW w:w="2268" w:type="dxa"/>
            <w:vAlign w:val="center"/>
          </w:tcPr>
          <w:p w14:paraId="2538115E">
            <w:pPr>
              <w:pStyle w:val="13"/>
            </w:pPr>
            <w:r>
              <w:t>服务对象满意度指标</w:t>
            </w:r>
          </w:p>
        </w:tc>
        <w:tc>
          <w:tcPr>
            <w:tcW w:w="2835" w:type="dxa"/>
            <w:vAlign w:val="center"/>
          </w:tcPr>
          <w:p w14:paraId="542F6779">
            <w:pPr>
              <w:pStyle w:val="13"/>
            </w:pPr>
            <w:r>
              <w:t>受益学生家长及调查满意度</w:t>
            </w:r>
          </w:p>
        </w:tc>
        <w:tc>
          <w:tcPr>
            <w:tcW w:w="5386" w:type="dxa"/>
            <w:vAlign w:val="center"/>
          </w:tcPr>
          <w:p w14:paraId="72A47269">
            <w:pPr>
              <w:pStyle w:val="13"/>
            </w:pPr>
            <w:r>
              <w:t>学生、教师及家长对学校保教保育工作满意度情况</w:t>
            </w:r>
          </w:p>
        </w:tc>
        <w:tc>
          <w:tcPr>
            <w:tcW w:w="2268" w:type="dxa"/>
            <w:vAlign w:val="center"/>
          </w:tcPr>
          <w:p w14:paraId="4CA60408">
            <w:pPr>
              <w:pStyle w:val="13"/>
            </w:pPr>
            <w:r>
              <w:t>≥95%</w:t>
            </w:r>
          </w:p>
        </w:tc>
        <w:tc>
          <w:tcPr>
            <w:tcW w:w="1276" w:type="dxa"/>
            <w:vAlign w:val="center"/>
          </w:tcPr>
          <w:p w14:paraId="5B5DDC2B">
            <w:pPr>
              <w:pStyle w:val="13"/>
            </w:pPr>
            <w:r>
              <w:t>调查问卷</w:t>
            </w:r>
          </w:p>
        </w:tc>
      </w:tr>
    </w:tbl>
    <w:p w14:paraId="6A5181C7">
      <w:pPr>
        <w:sectPr>
          <w:pgSz w:w="16840" w:h="11900" w:orient="landscape"/>
          <w:pgMar w:top="1361" w:right="1020" w:bottom="1134" w:left="1020" w:header="720" w:footer="720" w:gutter="0"/>
          <w:cols w:space="720" w:num="1"/>
        </w:sectPr>
      </w:pPr>
    </w:p>
    <w:p w14:paraId="4F45066E">
      <w:pPr>
        <w:spacing w:before="0" w:after="0"/>
        <w:ind w:firstLine="560"/>
        <w:jc w:val="left"/>
        <w:outlineLvl w:val="9"/>
      </w:pPr>
      <w:r>
        <w:rPr>
          <w:rFonts w:ascii="方正仿宋_GBK" w:hAnsi="方正仿宋_GBK" w:eastAsia="方正仿宋_GBK" w:cs="方正仿宋_GBK"/>
          <w:b/>
          <w:color w:val="000000"/>
          <w:sz w:val="28"/>
        </w:rPr>
        <w:t>86、冀财教[2024]142号/省级/2025年学前发展资金/隆尧县艺鑫幼儿园学前教育公用经费绩效目标表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83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82F63">
            <w:pPr>
              <w:pStyle w:val="14"/>
            </w:pPr>
            <w:r>
              <w:t>单位：万元</w:t>
            </w:r>
          </w:p>
        </w:tc>
      </w:tr>
      <w:tr w14:paraId="6F200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ACD1B">
            <w:pPr>
              <w:pStyle w:val="11"/>
            </w:pPr>
            <w:r>
              <w:t>项目编码</w:t>
            </w:r>
          </w:p>
        </w:tc>
        <w:tc>
          <w:tcPr>
            <w:tcW w:w="5103" w:type="dxa"/>
            <w:gridSpan w:val="2"/>
            <w:vAlign w:val="center"/>
          </w:tcPr>
          <w:p w14:paraId="286F3BE2">
            <w:pPr>
              <w:pStyle w:val="13"/>
            </w:pPr>
            <w:r>
              <w:t>13052525P00875710023J</w:t>
            </w:r>
          </w:p>
        </w:tc>
        <w:tc>
          <w:tcPr>
            <w:tcW w:w="2835" w:type="dxa"/>
            <w:vAlign w:val="center"/>
          </w:tcPr>
          <w:p w14:paraId="5E6C56B4">
            <w:pPr>
              <w:pStyle w:val="11"/>
            </w:pPr>
            <w:r>
              <w:t>项目名称</w:t>
            </w:r>
          </w:p>
        </w:tc>
        <w:tc>
          <w:tcPr>
            <w:tcW w:w="6095" w:type="dxa"/>
            <w:gridSpan w:val="3"/>
            <w:vAlign w:val="center"/>
          </w:tcPr>
          <w:p w14:paraId="598E4B01">
            <w:pPr>
              <w:pStyle w:val="13"/>
            </w:pPr>
            <w:r>
              <w:t>冀财教[2024]142号/省级/2025年学前发展资金/隆尧县艺鑫幼儿园学前教育公用经费</w:t>
            </w:r>
          </w:p>
        </w:tc>
      </w:tr>
      <w:tr w14:paraId="671C4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89C9E">
            <w:pPr>
              <w:pStyle w:val="11"/>
            </w:pPr>
            <w:r>
              <w:t>预算规模及资金用途</w:t>
            </w:r>
          </w:p>
        </w:tc>
        <w:tc>
          <w:tcPr>
            <w:tcW w:w="2268" w:type="dxa"/>
            <w:vAlign w:val="center"/>
          </w:tcPr>
          <w:p w14:paraId="2CBD99D0">
            <w:pPr>
              <w:pStyle w:val="11"/>
            </w:pPr>
            <w:r>
              <w:t>预算数</w:t>
            </w:r>
          </w:p>
        </w:tc>
        <w:tc>
          <w:tcPr>
            <w:tcW w:w="2835" w:type="dxa"/>
            <w:vAlign w:val="center"/>
          </w:tcPr>
          <w:p w14:paraId="26FE6457">
            <w:pPr>
              <w:pStyle w:val="13"/>
            </w:pPr>
            <w:r>
              <w:t>1.55</w:t>
            </w:r>
          </w:p>
        </w:tc>
        <w:tc>
          <w:tcPr>
            <w:tcW w:w="2835" w:type="dxa"/>
            <w:vAlign w:val="center"/>
          </w:tcPr>
          <w:p w14:paraId="0FEE85A2">
            <w:pPr>
              <w:pStyle w:val="11"/>
            </w:pPr>
            <w:r>
              <w:t>其中：财政    资金</w:t>
            </w:r>
          </w:p>
        </w:tc>
        <w:tc>
          <w:tcPr>
            <w:tcW w:w="2551" w:type="dxa"/>
            <w:vAlign w:val="center"/>
          </w:tcPr>
          <w:p w14:paraId="27D8535C">
            <w:pPr>
              <w:pStyle w:val="13"/>
            </w:pPr>
            <w:r>
              <w:t>1.55</w:t>
            </w:r>
          </w:p>
        </w:tc>
        <w:tc>
          <w:tcPr>
            <w:tcW w:w="2268" w:type="dxa"/>
            <w:vAlign w:val="center"/>
          </w:tcPr>
          <w:p w14:paraId="28B56998">
            <w:pPr>
              <w:pStyle w:val="11"/>
            </w:pPr>
            <w:r>
              <w:t>其他资金</w:t>
            </w:r>
          </w:p>
        </w:tc>
        <w:tc>
          <w:tcPr>
            <w:tcW w:w="1276" w:type="dxa"/>
            <w:vAlign w:val="center"/>
          </w:tcPr>
          <w:p w14:paraId="201AE54C">
            <w:pPr>
              <w:pStyle w:val="13"/>
            </w:pPr>
            <w:r>
              <w:t xml:space="preserve"> </w:t>
            </w:r>
          </w:p>
        </w:tc>
      </w:tr>
      <w:tr w14:paraId="18777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2037E1"/>
        </w:tc>
        <w:tc>
          <w:tcPr>
            <w:tcW w:w="14033" w:type="dxa"/>
            <w:gridSpan w:val="6"/>
            <w:vAlign w:val="center"/>
          </w:tcPr>
          <w:p w14:paraId="1372F3EF">
            <w:pPr>
              <w:pStyle w:val="13"/>
            </w:pPr>
            <w:r>
              <w:t>按季度分批次拨付安排公用经费资金，学校按照预算安排进行资金使用，保证资金正常支出。</w:t>
            </w:r>
          </w:p>
        </w:tc>
      </w:tr>
      <w:tr w14:paraId="34BD9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1BCC7759">
            <w:pPr>
              <w:pStyle w:val="11"/>
            </w:pPr>
            <w:r>
              <w:t>资金支出计划（%）</w:t>
            </w:r>
          </w:p>
        </w:tc>
        <w:tc>
          <w:tcPr>
            <w:tcW w:w="5103" w:type="dxa"/>
            <w:gridSpan w:val="2"/>
            <w:vAlign w:val="center"/>
          </w:tcPr>
          <w:p w14:paraId="1B783D8D">
            <w:pPr>
              <w:pStyle w:val="11"/>
            </w:pPr>
            <w:r>
              <w:t>3月底</w:t>
            </w:r>
          </w:p>
        </w:tc>
        <w:tc>
          <w:tcPr>
            <w:tcW w:w="2835" w:type="dxa"/>
            <w:vAlign w:val="center"/>
          </w:tcPr>
          <w:p w14:paraId="1EE0E7D3">
            <w:pPr>
              <w:pStyle w:val="11"/>
            </w:pPr>
            <w:r>
              <w:t>6月底</w:t>
            </w:r>
          </w:p>
        </w:tc>
        <w:tc>
          <w:tcPr>
            <w:tcW w:w="2551" w:type="dxa"/>
            <w:vAlign w:val="center"/>
          </w:tcPr>
          <w:p w14:paraId="017C7431">
            <w:pPr>
              <w:pStyle w:val="11"/>
            </w:pPr>
            <w:r>
              <w:t>10月底</w:t>
            </w:r>
          </w:p>
        </w:tc>
        <w:tc>
          <w:tcPr>
            <w:tcW w:w="3544" w:type="dxa"/>
            <w:gridSpan w:val="2"/>
            <w:vAlign w:val="center"/>
          </w:tcPr>
          <w:p w14:paraId="4B5A4A30">
            <w:pPr>
              <w:pStyle w:val="11"/>
            </w:pPr>
            <w:r>
              <w:t>12月底</w:t>
            </w:r>
          </w:p>
        </w:tc>
      </w:tr>
      <w:tr w14:paraId="60060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CC4DEB"/>
        </w:tc>
        <w:tc>
          <w:tcPr>
            <w:tcW w:w="5103" w:type="dxa"/>
            <w:gridSpan w:val="2"/>
            <w:vAlign w:val="center"/>
          </w:tcPr>
          <w:p w14:paraId="64577984">
            <w:pPr>
              <w:pStyle w:val="12"/>
            </w:pPr>
            <w:r>
              <w:t xml:space="preserve"> </w:t>
            </w:r>
          </w:p>
        </w:tc>
        <w:tc>
          <w:tcPr>
            <w:tcW w:w="2835" w:type="dxa"/>
            <w:vAlign w:val="center"/>
          </w:tcPr>
          <w:p w14:paraId="12EFDD32">
            <w:pPr>
              <w:pStyle w:val="12"/>
            </w:pPr>
            <w:r>
              <w:t>50%</w:t>
            </w:r>
          </w:p>
        </w:tc>
        <w:tc>
          <w:tcPr>
            <w:tcW w:w="2551" w:type="dxa"/>
            <w:vAlign w:val="center"/>
          </w:tcPr>
          <w:p w14:paraId="50EA6CDD">
            <w:pPr>
              <w:pStyle w:val="12"/>
            </w:pPr>
            <w:r>
              <w:t>75%</w:t>
            </w:r>
          </w:p>
        </w:tc>
        <w:tc>
          <w:tcPr>
            <w:tcW w:w="3544" w:type="dxa"/>
            <w:gridSpan w:val="2"/>
            <w:vAlign w:val="center"/>
          </w:tcPr>
          <w:p w14:paraId="6B514405">
            <w:pPr>
              <w:pStyle w:val="12"/>
            </w:pPr>
            <w:r>
              <w:t>100%</w:t>
            </w:r>
          </w:p>
        </w:tc>
      </w:tr>
      <w:tr w14:paraId="0856B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ADC28F">
            <w:pPr>
              <w:pStyle w:val="11"/>
            </w:pPr>
            <w:r>
              <w:t>绩效目标</w:t>
            </w:r>
          </w:p>
        </w:tc>
        <w:tc>
          <w:tcPr>
            <w:tcW w:w="14033" w:type="dxa"/>
            <w:gridSpan w:val="6"/>
            <w:vAlign w:val="center"/>
          </w:tcPr>
          <w:p w14:paraId="7FAF1385">
            <w:pPr>
              <w:pStyle w:val="13"/>
            </w:pPr>
            <w:r>
              <w:t>1.按季度分批次拨付安排公用经费资金，学校按照预算安排进行资金使用，保证资金正常支出。</w:t>
            </w:r>
          </w:p>
        </w:tc>
      </w:tr>
    </w:tbl>
    <w:p w14:paraId="57E02B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63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0E6F6">
            <w:pPr>
              <w:pStyle w:val="11"/>
            </w:pPr>
            <w:r>
              <w:t>一级指标</w:t>
            </w:r>
          </w:p>
        </w:tc>
        <w:tc>
          <w:tcPr>
            <w:tcW w:w="2268" w:type="dxa"/>
            <w:vAlign w:val="center"/>
          </w:tcPr>
          <w:p w14:paraId="1C14FFBF">
            <w:pPr>
              <w:pStyle w:val="11"/>
            </w:pPr>
            <w:r>
              <w:t>二级指标</w:t>
            </w:r>
          </w:p>
        </w:tc>
        <w:tc>
          <w:tcPr>
            <w:tcW w:w="2835" w:type="dxa"/>
            <w:vAlign w:val="center"/>
          </w:tcPr>
          <w:p w14:paraId="06FAA416">
            <w:pPr>
              <w:pStyle w:val="11"/>
            </w:pPr>
            <w:r>
              <w:t>三级指标</w:t>
            </w:r>
          </w:p>
        </w:tc>
        <w:tc>
          <w:tcPr>
            <w:tcW w:w="5386" w:type="dxa"/>
            <w:vAlign w:val="center"/>
          </w:tcPr>
          <w:p w14:paraId="73B8A4CD">
            <w:pPr>
              <w:pStyle w:val="11"/>
            </w:pPr>
            <w:r>
              <w:t>绩效指标描述</w:t>
            </w:r>
          </w:p>
        </w:tc>
        <w:tc>
          <w:tcPr>
            <w:tcW w:w="2268" w:type="dxa"/>
            <w:vAlign w:val="center"/>
          </w:tcPr>
          <w:p w14:paraId="12865C28">
            <w:pPr>
              <w:pStyle w:val="11"/>
            </w:pPr>
            <w:r>
              <w:t>指标值</w:t>
            </w:r>
          </w:p>
        </w:tc>
        <w:tc>
          <w:tcPr>
            <w:tcW w:w="1276" w:type="dxa"/>
            <w:vAlign w:val="center"/>
          </w:tcPr>
          <w:p w14:paraId="4E2C9418">
            <w:pPr>
              <w:pStyle w:val="11"/>
            </w:pPr>
            <w:r>
              <w:t>指标值确定依据</w:t>
            </w:r>
          </w:p>
        </w:tc>
      </w:tr>
      <w:tr w14:paraId="1E520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35568">
            <w:pPr>
              <w:pStyle w:val="12"/>
            </w:pPr>
            <w:r>
              <w:t>产出指标</w:t>
            </w:r>
          </w:p>
        </w:tc>
        <w:tc>
          <w:tcPr>
            <w:tcW w:w="2268" w:type="dxa"/>
            <w:vAlign w:val="center"/>
          </w:tcPr>
          <w:p w14:paraId="0DEF0C8A">
            <w:pPr>
              <w:pStyle w:val="13"/>
            </w:pPr>
            <w:r>
              <w:t>数量指标</w:t>
            </w:r>
          </w:p>
        </w:tc>
        <w:tc>
          <w:tcPr>
            <w:tcW w:w="2835" w:type="dxa"/>
            <w:vAlign w:val="center"/>
          </w:tcPr>
          <w:p w14:paraId="1F102D54">
            <w:pPr>
              <w:pStyle w:val="13"/>
            </w:pPr>
            <w:r>
              <w:t>适龄在校生</w:t>
            </w:r>
          </w:p>
        </w:tc>
        <w:tc>
          <w:tcPr>
            <w:tcW w:w="5386" w:type="dxa"/>
            <w:vAlign w:val="center"/>
          </w:tcPr>
          <w:p w14:paraId="25E9D312">
            <w:pPr>
              <w:pStyle w:val="13"/>
            </w:pPr>
            <w:r>
              <w:t>辖区内适龄儿童全覆盖</w:t>
            </w:r>
          </w:p>
        </w:tc>
        <w:tc>
          <w:tcPr>
            <w:tcW w:w="2268" w:type="dxa"/>
            <w:vAlign w:val="center"/>
          </w:tcPr>
          <w:p w14:paraId="74666635">
            <w:pPr>
              <w:pStyle w:val="13"/>
            </w:pPr>
            <w:r>
              <w:t>103人</w:t>
            </w:r>
          </w:p>
        </w:tc>
        <w:tc>
          <w:tcPr>
            <w:tcW w:w="1276" w:type="dxa"/>
            <w:vAlign w:val="center"/>
          </w:tcPr>
          <w:p w14:paraId="63C1085D">
            <w:pPr>
              <w:pStyle w:val="13"/>
            </w:pPr>
            <w:r>
              <w:t>幼儿园生均公用经费管理办法</w:t>
            </w:r>
          </w:p>
        </w:tc>
      </w:tr>
      <w:tr w14:paraId="14547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E3E6B"/>
        </w:tc>
        <w:tc>
          <w:tcPr>
            <w:tcW w:w="2268" w:type="dxa"/>
            <w:vAlign w:val="center"/>
          </w:tcPr>
          <w:p w14:paraId="33EEA42B">
            <w:pPr>
              <w:pStyle w:val="13"/>
            </w:pPr>
            <w:r>
              <w:t>质量指标</w:t>
            </w:r>
          </w:p>
        </w:tc>
        <w:tc>
          <w:tcPr>
            <w:tcW w:w="2835" w:type="dxa"/>
            <w:vAlign w:val="center"/>
          </w:tcPr>
          <w:p w14:paraId="5D2BB864">
            <w:pPr>
              <w:pStyle w:val="13"/>
            </w:pPr>
            <w:r>
              <w:t>预算控制率</w:t>
            </w:r>
          </w:p>
        </w:tc>
        <w:tc>
          <w:tcPr>
            <w:tcW w:w="5386" w:type="dxa"/>
            <w:vAlign w:val="center"/>
          </w:tcPr>
          <w:p w14:paraId="57D58942">
            <w:pPr>
              <w:pStyle w:val="13"/>
            </w:pPr>
            <w:r>
              <w:t>预算执行</w:t>
            </w:r>
          </w:p>
        </w:tc>
        <w:tc>
          <w:tcPr>
            <w:tcW w:w="2268" w:type="dxa"/>
            <w:vAlign w:val="center"/>
          </w:tcPr>
          <w:p w14:paraId="1E890E5E">
            <w:pPr>
              <w:pStyle w:val="13"/>
            </w:pPr>
            <w:r>
              <w:t>≥95%</w:t>
            </w:r>
          </w:p>
        </w:tc>
        <w:tc>
          <w:tcPr>
            <w:tcW w:w="1276" w:type="dxa"/>
            <w:vAlign w:val="center"/>
          </w:tcPr>
          <w:p w14:paraId="6AB02DF2">
            <w:pPr>
              <w:pStyle w:val="13"/>
            </w:pPr>
            <w:r>
              <w:t>幼儿园生均公用经费管理办法</w:t>
            </w:r>
          </w:p>
        </w:tc>
      </w:tr>
      <w:tr w14:paraId="7BCD4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446B1"/>
        </w:tc>
        <w:tc>
          <w:tcPr>
            <w:tcW w:w="2268" w:type="dxa"/>
            <w:vAlign w:val="center"/>
          </w:tcPr>
          <w:p w14:paraId="3331C93F">
            <w:pPr>
              <w:pStyle w:val="13"/>
            </w:pPr>
            <w:r>
              <w:t>时效指标</w:t>
            </w:r>
          </w:p>
        </w:tc>
        <w:tc>
          <w:tcPr>
            <w:tcW w:w="2835" w:type="dxa"/>
            <w:vAlign w:val="center"/>
          </w:tcPr>
          <w:p w14:paraId="326E4A13">
            <w:pPr>
              <w:pStyle w:val="13"/>
            </w:pPr>
            <w:r>
              <w:t>资金支付率</w:t>
            </w:r>
          </w:p>
        </w:tc>
        <w:tc>
          <w:tcPr>
            <w:tcW w:w="5386" w:type="dxa"/>
            <w:vAlign w:val="center"/>
          </w:tcPr>
          <w:p w14:paraId="002BA0E4">
            <w:pPr>
              <w:pStyle w:val="13"/>
            </w:pPr>
            <w:r>
              <w:t>按照序时进度完成资金支付</w:t>
            </w:r>
          </w:p>
        </w:tc>
        <w:tc>
          <w:tcPr>
            <w:tcW w:w="2268" w:type="dxa"/>
            <w:vAlign w:val="center"/>
          </w:tcPr>
          <w:p w14:paraId="353207DA">
            <w:pPr>
              <w:pStyle w:val="13"/>
            </w:pPr>
            <w:r>
              <w:t>≥100%</w:t>
            </w:r>
          </w:p>
        </w:tc>
        <w:tc>
          <w:tcPr>
            <w:tcW w:w="1276" w:type="dxa"/>
            <w:vAlign w:val="center"/>
          </w:tcPr>
          <w:p w14:paraId="4F471A8B">
            <w:pPr>
              <w:pStyle w:val="13"/>
            </w:pPr>
            <w:r>
              <w:t>幼儿园生均公用经费管理办法</w:t>
            </w:r>
          </w:p>
        </w:tc>
      </w:tr>
      <w:tr w14:paraId="730AB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A9214"/>
        </w:tc>
        <w:tc>
          <w:tcPr>
            <w:tcW w:w="2268" w:type="dxa"/>
            <w:vAlign w:val="center"/>
          </w:tcPr>
          <w:p w14:paraId="6ED83481">
            <w:pPr>
              <w:pStyle w:val="13"/>
            </w:pPr>
            <w:r>
              <w:t>成本指标</w:t>
            </w:r>
          </w:p>
        </w:tc>
        <w:tc>
          <w:tcPr>
            <w:tcW w:w="2835" w:type="dxa"/>
            <w:vAlign w:val="center"/>
          </w:tcPr>
          <w:p w14:paraId="703D58DC">
            <w:pPr>
              <w:pStyle w:val="13"/>
            </w:pPr>
            <w:r>
              <w:t>生均拨款标准</w:t>
            </w:r>
          </w:p>
        </w:tc>
        <w:tc>
          <w:tcPr>
            <w:tcW w:w="5386" w:type="dxa"/>
            <w:vAlign w:val="center"/>
          </w:tcPr>
          <w:p w14:paraId="43E8931A">
            <w:pPr>
              <w:pStyle w:val="13"/>
            </w:pPr>
            <w:r>
              <w:t>学前经费600元/生/年</w:t>
            </w:r>
          </w:p>
        </w:tc>
        <w:tc>
          <w:tcPr>
            <w:tcW w:w="2268" w:type="dxa"/>
            <w:vAlign w:val="center"/>
          </w:tcPr>
          <w:p w14:paraId="5B8FAE75">
            <w:pPr>
              <w:pStyle w:val="13"/>
            </w:pPr>
            <w:r>
              <w:t>600元</w:t>
            </w:r>
          </w:p>
        </w:tc>
        <w:tc>
          <w:tcPr>
            <w:tcW w:w="1276" w:type="dxa"/>
            <w:vAlign w:val="center"/>
          </w:tcPr>
          <w:p w14:paraId="20D9C273">
            <w:pPr>
              <w:pStyle w:val="13"/>
            </w:pPr>
            <w:r>
              <w:t>幼儿园生均公用经费管理办法</w:t>
            </w:r>
          </w:p>
        </w:tc>
      </w:tr>
      <w:tr w14:paraId="33236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BA5CF4">
            <w:pPr>
              <w:pStyle w:val="12"/>
            </w:pPr>
            <w:r>
              <w:t>效益指标</w:t>
            </w:r>
          </w:p>
        </w:tc>
        <w:tc>
          <w:tcPr>
            <w:tcW w:w="2268" w:type="dxa"/>
            <w:vAlign w:val="center"/>
          </w:tcPr>
          <w:p w14:paraId="1504A707">
            <w:pPr>
              <w:pStyle w:val="13"/>
            </w:pPr>
            <w:r>
              <w:t>可持续影响指标</w:t>
            </w:r>
          </w:p>
        </w:tc>
        <w:tc>
          <w:tcPr>
            <w:tcW w:w="2835" w:type="dxa"/>
            <w:vAlign w:val="center"/>
          </w:tcPr>
          <w:p w14:paraId="5145577D">
            <w:pPr>
              <w:pStyle w:val="13"/>
            </w:pPr>
            <w:r>
              <w:t>教育发展水平明显好转</w:t>
            </w:r>
          </w:p>
        </w:tc>
        <w:tc>
          <w:tcPr>
            <w:tcW w:w="5386" w:type="dxa"/>
            <w:vAlign w:val="center"/>
          </w:tcPr>
          <w:p w14:paraId="56A862E3">
            <w:pPr>
              <w:pStyle w:val="13"/>
            </w:pPr>
            <w:r>
              <w:t>学生受教育年限</w:t>
            </w:r>
          </w:p>
        </w:tc>
        <w:tc>
          <w:tcPr>
            <w:tcW w:w="2268" w:type="dxa"/>
            <w:vAlign w:val="center"/>
          </w:tcPr>
          <w:p w14:paraId="62611739">
            <w:pPr>
              <w:pStyle w:val="13"/>
            </w:pPr>
            <w:r>
              <w:t>3年</w:t>
            </w:r>
          </w:p>
        </w:tc>
        <w:tc>
          <w:tcPr>
            <w:tcW w:w="1276" w:type="dxa"/>
            <w:vAlign w:val="center"/>
          </w:tcPr>
          <w:p w14:paraId="5CD4DEBE">
            <w:pPr>
              <w:pStyle w:val="13"/>
            </w:pPr>
            <w:r>
              <w:t>幼儿园生均公用经费管理办法</w:t>
            </w:r>
          </w:p>
        </w:tc>
      </w:tr>
      <w:tr w14:paraId="351C2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BDCDE5">
            <w:pPr>
              <w:pStyle w:val="12"/>
            </w:pPr>
            <w:r>
              <w:t>满意度指标</w:t>
            </w:r>
          </w:p>
        </w:tc>
        <w:tc>
          <w:tcPr>
            <w:tcW w:w="2268" w:type="dxa"/>
            <w:vAlign w:val="center"/>
          </w:tcPr>
          <w:p w14:paraId="1C3D75CD">
            <w:pPr>
              <w:pStyle w:val="13"/>
            </w:pPr>
            <w:r>
              <w:t>服务对象满意度指标</w:t>
            </w:r>
          </w:p>
        </w:tc>
        <w:tc>
          <w:tcPr>
            <w:tcW w:w="2835" w:type="dxa"/>
            <w:vAlign w:val="center"/>
          </w:tcPr>
          <w:p w14:paraId="0CED2E95">
            <w:pPr>
              <w:pStyle w:val="13"/>
            </w:pPr>
            <w:r>
              <w:t>受益学生家长及调查满意度</w:t>
            </w:r>
          </w:p>
        </w:tc>
        <w:tc>
          <w:tcPr>
            <w:tcW w:w="5386" w:type="dxa"/>
            <w:vAlign w:val="center"/>
          </w:tcPr>
          <w:p w14:paraId="34311843">
            <w:pPr>
              <w:pStyle w:val="13"/>
            </w:pPr>
            <w:r>
              <w:t>学生、教师及家长对学校保教保育工作满意度情况</w:t>
            </w:r>
          </w:p>
        </w:tc>
        <w:tc>
          <w:tcPr>
            <w:tcW w:w="2268" w:type="dxa"/>
            <w:vAlign w:val="center"/>
          </w:tcPr>
          <w:p w14:paraId="1A34898E">
            <w:pPr>
              <w:pStyle w:val="13"/>
            </w:pPr>
            <w:r>
              <w:t>≥95%</w:t>
            </w:r>
          </w:p>
        </w:tc>
        <w:tc>
          <w:tcPr>
            <w:tcW w:w="1276" w:type="dxa"/>
            <w:vAlign w:val="center"/>
          </w:tcPr>
          <w:p w14:paraId="2255003A">
            <w:pPr>
              <w:pStyle w:val="13"/>
            </w:pPr>
            <w:r>
              <w:t>调查问卷</w:t>
            </w:r>
          </w:p>
        </w:tc>
      </w:tr>
    </w:tbl>
    <w:p w14:paraId="59F7A757">
      <w:pPr>
        <w:sectPr>
          <w:pgSz w:w="16840" w:h="11900" w:orient="landscape"/>
          <w:pgMar w:top="1361" w:right="1020" w:bottom="1134" w:left="1020" w:header="720" w:footer="720" w:gutter="0"/>
          <w:cols w:space="720" w:num="1"/>
        </w:sectPr>
      </w:pPr>
    </w:p>
    <w:p w14:paraId="7671E200">
      <w:pPr>
        <w:spacing w:before="0" w:after="0"/>
        <w:ind w:firstLine="560"/>
        <w:jc w:val="left"/>
        <w:outlineLvl w:val="9"/>
      </w:pPr>
      <w:r>
        <w:rPr>
          <w:rFonts w:ascii="方正仿宋_GBK" w:hAnsi="方正仿宋_GBK" w:eastAsia="方正仿宋_GBK" w:cs="方正仿宋_GBK"/>
          <w:b/>
          <w:color w:val="000000"/>
          <w:sz w:val="28"/>
        </w:rPr>
        <w:t>87、冀财教[2024]142号/省级/2025年学前发展资金/隆尧县育苗幼儿园学前教育公用经费绩效目标表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69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7C5B2">
            <w:pPr>
              <w:pStyle w:val="14"/>
            </w:pPr>
            <w:r>
              <w:t>单位：万元</w:t>
            </w:r>
          </w:p>
        </w:tc>
      </w:tr>
      <w:tr w14:paraId="0524F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878330">
            <w:pPr>
              <w:pStyle w:val="11"/>
            </w:pPr>
            <w:r>
              <w:t>项目编码</w:t>
            </w:r>
          </w:p>
        </w:tc>
        <w:tc>
          <w:tcPr>
            <w:tcW w:w="5103" w:type="dxa"/>
            <w:gridSpan w:val="2"/>
            <w:vAlign w:val="center"/>
          </w:tcPr>
          <w:p w14:paraId="0733CCB0">
            <w:pPr>
              <w:pStyle w:val="13"/>
            </w:pPr>
            <w:r>
              <w:t>13052525P00875710044X</w:t>
            </w:r>
          </w:p>
        </w:tc>
        <w:tc>
          <w:tcPr>
            <w:tcW w:w="2835" w:type="dxa"/>
            <w:vAlign w:val="center"/>
          </w:tcPr>
          <w:p w14:paraId="38524059">
            <w:pPr>
              <w:pStyle w:val="11"/>
            </w:pPr>
            <w:r>
              <w:t>项目名称</w:t>
            </w:r>
          </w:p>
        </w:tc>
        <w:tc>
          <w:tcPr>
            <w:tcW w:w="6095" w:type="dxa"/>
            <w:gridSpan w:val="3"/>
            <w:vAlign w:val="center"/>
          </w:tcPr>
          <w:p w14:paraId="201A81E7">
            <w:pPr>
              <w:pStyle w:val="13"/>
            </w:pPr>
            <w:r>
              <w:t>冀财教[2024]142号/省级/2025年学前发展资金/隆尧县育苗幼儿园学前教育公用经费</w:t>
            </w:r>
          </w:p>
        </w:tc>
      </w:tr>
      <w:tr w14:paraId="4BBA8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3546C">
            <w:pPr>
              <w:pStyle w:val="11"/>
            </w:pPr>
            <w:r>
              <w:t>预算规模及资金用途</w:t>
            </w:r>
          </w:p>
        </w:tc>
        <w:tc>
          <w:tcPr>
            <w:tcW w:w="2268" w:type="dxa"/>
            <w:vAlign w:val="center"/>
          </w:tcPr>
          <w:p w14:paraId="75C0576E">
            <w:pPr>
              <w:pStyle w:val="11"/>
            </w:pPr>
            <w:r>
              <w:t>预算数</w:t>
            </w:r>
          </w:p>
        </w:tc>
        <w:tc>
          <w:tcPr>
            <w:tcW w:w="2835" w:type="dxa"/>
            <w:vAlign w:val="center"/>
          </w:tcPr>
          <w:p w14:paraId="4C8D0DC1">
            <w:pPr>
              <w:pStyle w:val="13"/>
            </w:pPr>
            <w:r>
              <w:t>0.63</w:t>
            </w:r>
          </w:p>
        </w:tc>
        <w:tc>
          <w:tcPr>
            <w:tcW w:w="2835" w:type="dxa"/>
            <w:vAlign w:val="center"/>
          </w:tcPr>
          <w:p w14:paraId="4AE802AC">
            <w:pPr>
              <w:pStyle w:val="11"/>
            </w:pPr>
            <w:r>
              <w:t>其中：财政    资金</w:t>
            </w:r>
          </w:p>
        </w:tc>
        <w:tc>
          <w:tcPr>
            <w:tcW w:w="2551" w:type="dxa"/>
            <w:vAlign w:val="center"/>
          </w:tcPr>
          <w:p w14:paraId="682FA1CD">
            <w:pPr>
              <w:pStyle w:val="13"/>
            </w:pPr>
            <w:r>
              <w:t>0.63</w:t>
            </w:r>
          </w:p>
        </w:tc>
        <w:tc>
          <w:tcPr>
            <w:tcW w:w="2268" w:type="dxa"/>
            <w:vAlign w:val="center"/>
          </w:tcPr>
          <w:p w14:paraId="2DCEB6EC">
            <w:pPr>
              <w:pStyle w:val="11"/>
            </w:pPr>
            <w:r>
              <w:t>其他资金</w:t>
            </w:r>
          </w:p>
        </w:tc>
        <w:tc>
          <w:tcPr>
            <w:tcW w:w="1276" w:type="dxa"/>
            <w:vAlign w:val="center"/>
          </w:tcPr>
          <w:p w14:paraId="6840BCB5">
            <w:pPr>
              <w:pStyle w:val="13"/>
            </w:pPr>
            <w:r>
              <w:t xml:space="preserve"> </w:t>
            </w:r>
          </w:p>
        </w:tc>
      </w:tr>
      <w:tr w14:paraId="160ED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EB4C4"/>
        </w:tc>
        <w:tc>
          <w:tcPr>
            <w:tcW w:w="14033" w:type="dxa"/>
            <w:gridSpan w:val="6"/>
            <w:vAlign w:val="center"/>
          </w:tcPr>
          <w:p w14:paraId="234784FA">
            <w:pPr>
              <w:pStyle w:val="13"/>
            </w:pPr>
            <w:r>
              <w:t>按季度分批次拨付安排公用经费资金，学校按照预算安排进行资金使用，保证资金正常支出。</w:t>
            </w:r>
          </w:p>
        </w:tc>
      </w:tr>
      <w:tr w14:paraId="1097D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26616">
            <w:pPr>
              <w:pStyle w:val="11"/>
            </w:pPr>
            <w:r>
              <w:t>资金支出计划（%）</w:t>
            </w:r>
          </w:p>
        </w:tc>
        <w:tc>
          <w:tcPr>
            <w:tcW w:w="5103" w:type="dxa"/>
            <w:gridSpan w:val="2"/>
            <w:vAlign w:val="center"/>
          </w:tcPr>
          <w:p w14:paraId="70F97C1F">
            <w:pPr>
              <w:pStyle w:val="11"/>
            </w:pPr>
            <w:r>
              <w:t>3月底</w:t>
            </w:r>
          </w:p>
        </w:tc>
        <w:tc>
          <w:tcPr>
            <w:tcW w:w="2835" w:type="dxa"/>
            <w:vAlign w:val="center"/>
          </w:tcPr>
          <w:p w14:paraId="389CC590">
            <w:pPr>
              <w:pStyle w:val="11"/>
            </w:pPr>
            <w:r>
              <w:t>6月底</w:t>
            </w:r>
          </w:p>
        </w:tc>
        <w:tc>
          <w:tcPr>
            <w:tcW w:w="2551" w:type="dxa"/>
            <w:vAlign w:val="center"/>
          </w:tcPr>
          <w:p w14:paraId="5ED6D12C">
            <w:pPr>
              <w:pStyle w:val="11"/>
            </w:pPr>
            <w:r>
              <w:t>10月底</w:t>
            </w:r>
          </w:p>
        </w:tc>
        <w:tc>
          <w:tcPr>
            <w:tcW w:w="3544" w:type="dxa"/>
            <w:gridSpan w:val="2"/>
            <w:vAlign w:val="center"/>
          </w:tcPr>
          <w:p w14:paraId="3BD694CA">
            <w:pPr>
              <w:pStyle w:val="11"/>
            </w:pPr>
            <w:r>
              <w:t>12月底</w:t>
            </w:r>
          </w:p>
        </w:tc>
      </w:tr>
      <w:tr w14:paraId="60743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223EA"/>
        </w:tc>
        <w:tc>
          <w:tcPr>
            <w:tcW w:w="5103" w:type="dxa"/>
            <w:gridSpan w:val="2"/>
            <w:vAlign w:val="center"/>
          </w:tcPr>
          <w:p w14:paraId="79E61770">
            <w:pPr>
              <w:pStyle w:val="12"/>
            </w:pPr>
            <w:r>
              <w:t xml:space="preserve"> </w:t>
            </w:r>
          </w:p>
        </w:tc>
        <w:tc>
          <w:tcPr>
            <w:tcW w:w="2835" w:type="dxa"/>
            <w:vAlign w:val="center"/>
          </w:tcPr>
          <w:p w14:paraId="76902CCB">
            <w:pPr>
              <w:pStyle w:val="12"/>
            </w:pPr>
            <w:r>
              <w:t>50%</w:t>
            </w:r>
          </w:p>
        </w:tc>
        <w:tc>
          <w:tcPr>
            <w:tcW w:w="2551" w:type="dxa"/>
            <w:vAlign w:val="center"/>
          </w:tcPr>
          <w:p w14:paraId="4DDA0851">
            <w:pPr>
              <w:pStyle w:val="12"/>
            </w:pPr>
            <w:r>
              <w:t>75%</w:t>
            </w:r>
          </w:p>
        </w:tc>
        <w:tc>
          <w:tcPr>
            <w:tcW w:w="3544" w:type="dxa"/>
            <w:gridSpan w:val="2"/>
            <w:vAlign w:val="center"/>
          </w:tcPr>
          <w:p w14:paraId="50440F50">
            <w:pPr>
              <w:pStyle w:val="12"/>
            </w:pPr>
            <w:r>
              <w:t>100%</w:t>
            </w:r>
          </w:p>
        </w:tc>
      </w:tr>
      <w:tr w14:paraId="7684C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7755F4">
            <w:pPr>
              <w:pStyle w:val="11"/>
            </w:pPr>
            <w:r>
              <w:t>绩效目标</w:t>
            </w:r>
          </w:p>
        </w:tc>
        <w:tc>
          <w:tcPr>
            <w:tcW w:w="14033" w:type="dxa"/>
            <w:gridSpan w:val="6"/>
            <w:vAlign w:val="center"/>
          </w:tcPr>
          <w:p w14:paraId="1C82EF28">
            <w:pPr>
              <w:pStyle w:val="13"/>
            </w:pPr>
            <w:r>
              <w:t>1.按季度分批次拨付安排公用经费资金，学校按照预算安排进行资金使用，保证资金正常支出。</w:t>
            </w:r>
          </w:p>
        </w:tc>
      </w:tr>
    </w:tbl>
    <w:p w14:paraId="02AC4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3A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5C852">
            <w:pPr>
              <w:pStyle w:val="11"/>
            </w:pPr>
            <w:r>
              <w:t>一级指标</w:t>
            </w:r>
          </w:p>
        </w:tc>
        <w:tc>
          <w:tcPr>
            <w:tcW w:w="2268" w:type="dxa"/>
            <w:vAlign w:val="center"/>
          </w:tcPr>
          <w:p w14:paraId="22410265">
            <w:pPr>
              <w:pStyle w:val="11"/>
            </w:pPr>
            <w:r>
              <w:t>二级指标</w:t>
            </w:r>
          </w:p>
        </w:tc>
        <w:tc>
          <w:tcPr>
            <w:tcW w:w="2835" w:type="dxa"/>
            <w:vAlign w:val="center"/>
          </w:tcPr>
          <w:p w14:paraId="309DB86C">
            <w:pPr>
              <w:pStyle w:val="11"/>
            </w:pPr>
            <w:r>
              <w:t>三级指标</w:t>
            </w:r>
          </w:p>
        </w:tc>
        <w:tc>
          <w:tcPr>
            <w:tcW w:w="5386" w:type="dxa"/>
            <w:vAlign w:val="center"/>
          </w:tcPr>
          <w:p w14:paraId="5EE82CAC">
            <w:pPr>
              <w:pStyle w:val="11"/>
            </w:pPr>
            <w:r>
              <w:t>绩效指标描述</w:t>
            </w:r>
          </w:p>
        </w:tc>
        <w:tc>
          <w:tcPr>
            <w:tcW w:w="2268" w:type="dxa"/>
            <w:vAlign w:val="center"/>
          </w:tcPr>
          <w:p w14:paraId="41C40EE1">
            <w:pPr>
              <w:pStyle w:val="11"/>
            </w:pPr>
            <w:r>
              <w:t>指标值</w:t>
            </w:r>
          </w:p>
        </w:tc>
        <w:tc>
          <w:tcPr>
            <w:tcW w:w="1276" w:type="dxa"/>
            <w:vAlign w:val="center"/>
          </w:tcPr>
          <w:p w14:paraId="6D3016B3">
            <w:pPr>
              <w:pStyle w:val="11"/>
            </w:pPr>
            <w:r>
              <w:t>指标值确定依据</w:t>
            </w:r>
          </w:p>
        </w:tc>
      </w:tr>
      <w:tr w14:paraId="40A98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371C9">
            <w:pPr>
              <w:pStyle w:val="12"/>
            </w:pPr>
            <w:r>
              <w:t>产出指标</w:t>
            </w:r>
          </w:p>
        </w:tc>
        <w:tc>
          <w:tcPr>
            <w:tcW w:w="2268" w:type="dxa"/>
            <w:vAlign w:val="center"/>
          </w:tcPr>
          <w:p w14:paraId="4EE9B4F7">
            <w:pPr>
              <w:pStyle w:val="13"/>
            </w:pPr>
            <w:r>
              <w:t>数量指标</w:t>
            </w:r>
          </w:p>
        </w:tc>
        <w:tc>
          <w:tcPr>
            <w:tcW w:w="2835" w:type="dxa"/>
            <w:vAlign w:val="center"/>
          </w:tcPr>
          <w:p w14:paraId="6DE1BF00">
            <w:pPr>
              <w:pStyle w:val="13"/>
            </w:pPr>
            <w:r>
              <w:t>适龄在校生</w:t>
            </w:r>
          </w:p>
        </w:tc>
        <w:tc>
          <w:tcPr>
            <w:tcW w:w="5386" w:type="dxa"/>
            <w:vAlign w:val="center"/>
          </w:tcPr>
          <w:p w14:paraId="3D564F20">
            <w:pPr>
              <w:pStyle w:val="13"/>
            </w:pPr>
            <w:r>
              <w:t>辖区内适龄儿童全覆盖</w:t>
            </w:r>
          </w:p>
        </w:tc>
        <w:tc>
          <w:tcPr>
            <w:tcW w:w="2268" w:type="dxa"/>
            <w:vAlign w:val="center"/>
          </w:tcPr>
          <w:p w14:paraId="2ABDCC3C">
            <w:pPr>
              <w:pStyle w:val="13"/>
            </w:pPr>
            <w:r>
              <w:t>42人</w:t>
            </w:r>
          </w:p>
        </w:tc>
        <w:tc>
          <w:tcPr>
            <w:tcW w:w="1276" w:type="dxa"/>
            <w:vAlign w:val="center"/>
          </w:tcPr>
          <w:p w14:paraId="6426B376">
            <w:pPr>
              <w:pStyle w:val="13"/>
            </w:pPr>
            <w:r>
              <w:t>幼儿园生均公用经费管理办法</w:t>
            </w:r>
          </w:p>
        </w:tc>
      </w:tr>
      <w:tr w14:paraId="76E5D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394EF"/>
        </w:tc>
        <w:tc>
          <w:tcPr>
            <w:tcW w:w="2268" w:type="dxa"/>
            <w:vAlign w:val="center"/>
          </w:tcPr>
          <w:p w14:paraId="6EA33BE2">
            <w:pPr>
              <w:pStyle w:val="13"/>
            </w:pPr>
            <w:r>
              <w:t>质量指标</w:t>
            </w:r>
          </w:p>
        </w:tc>
        <w:tc>
          <w:tcPr>
            <w:tcW w:w="2835" w:type="dxa"/>
            <w:vAlign w:val="center"/>
          </w:tcPr>
          <w:p w14:paraId="4C6D605A">
            <w:pPr>
              <w:pStyle w:val="13"/>
            </w:pPr>
            <w:r>
              <w:t>预算控制率</w:t>
            </w:r>
          </w:p>
        </w:tc>
        <w:tc>
          <w:tcPr>
            <w:tcW w:w="5386" w:type="dxa"/>
            <w:vAlign w:val="center"/>
          </w:tcPr>
          <w:p w14:paraId="175C7B22">
            <w:pPr>
              <w:pStyle w:val="13"/>
            </w:pPr>
            <w:r>
              <w:t>预算执行</w:t>
            </w:r>
          </w:p>
        </w:tc>
        <w:tc>
          <w:tcPr>
            <w:tcW w:w="2268" w:type="dxa"/>
            <w:vAlign w:val="center"/>
          </w:tcPr>
          <w:p w14:paraId="6D0E2625">
            <w:pPr>
              <w:pStyle w:val="13"/>
            </w:pPr>
            <w:r>
              <w:t>≥95%</w:t>
            </w:r>
          </w:p>
        </w:tc>
        <w:tc>
          <w:tcPr>
            <w:tcW w:w="1276" w:type="dxa"/>
            <w:vAlign w:val="center"/>
          </w:tcPr>
          <w:p w14:paraId="70FB4C6E">
            <w:pPr>
              <w:pStyle w:val="13"/>
            </w:pPr>
            <w:r>
              <w:t>幼儿园生均公用经费管理办法</w:t>
            </w:r>
          </w:p>
        </w:tc>
      </w:tr>
      <w:tr w14:paraId="5C7F6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C2FAA"/>
        </w:tc>
        <w:tc>
          <w:tcPr>
            <w:tcW w:w="2268" w:type="dxa"/>
            <w:vAlign w:val="center"/>
          </w:tcPr>
          <w:p w14:paraId="13787C06">
            <w:pPr>
              <w:pStyle w:val="13"/>
            </w:pPr>
            <w:r>
              <w:t>时效指标</w:t>
            </w:r>
          </w:p>
        </w:tc>
        <w:tc>
          <w:tcPr>
            <w:tcW w:w="2835" w:type="dxa"/>
            <w:vAlign w:val="center"/>
          </w:tcPr>
          <w:p w14:paraId="277174BF">
            <w:pPr>
              <w:pStyle w:val="13"/>
            </w:pPr>
            <w:r>
              <w:t>资金支付率</w:t>
            </w:r>
          </w:p>
        </w:tc>
        <w:tc>
          <w:tcPr>
            <w:tcW w:w="5386" w:type="dxa"/>
            <w:vAlign w:val="center"/>
          </w:tcPr>
          <w:p w14:paraId="58CACBB0">
            <w:pPr>
              <w:pStyle w:val="13"/>
            </w:pPr>
            <w:r>
              <w:t>按照序时进度完成资金支付</w:t>
            </w:r>
          </w:p>
        </w:tc>
        <w:tc>
          <w:tcPr>
            <w:tcW w:w="2268" w:type="dxa"/>
            <w:vAlign w:val="center"/>
          </w:tcPr>
          <w:p w14:paraId="1BCCC4F3">
            <w:pPr>
              <w:pStyle w:val="13"/>
            </w:pPr>
            <w:r>
              <w:t>≥100%</w:t>
            </w:r>
          </w:p>
        </w:tc>
        <w:tc>
          <w:tcPr>
            <w:tcW w:w="1276" w:type="dxa"/>
            <w:vAlign w:val="center"/>
          </w:tcPr>
          <w:p w14:paraId="6DB05F3A">
            <w:pPr>
              <w:pStyle w:val="13"/>
            </w:pPr>
            <w:r>
              <w:t>幼儿园生均公用经费管理办法</w:t>
            </w:r>
          </w:p>
        </w:tc>
      </w:tr>
      <w:tr w14:paraId="19ADD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E8C1A"/>
        </w:tc>
        <w:tc>
          <w:tcPr>
            <w:tcW w:w="2268" w:type="dxa"/>
            <w:vAlign w:val="center"/>
          </w:tcPr>
          <w:p w14:paraId="3ECDC154">
            <w:pPr>
              <w:pStyle w:val="13"/>
            </w:pPr>
            <w:r>
              <w:t>成本指标</w:t>
            </w:r>
          </w:p>
        </w:tc>
        <w:tc>
          <w:tcPr>
            <w:tcW w:w="2835" w:type="dxa"/>
            <w:vAlign w:val="center"/>
          </w:tcPr>
          <w:p w14:paraId="3F178BA1">
            <w:pPr>
              <w:pStyle w:val="13"/>
            </w:pPr>
            <w:r>
              <w:t>生均拨款标准</w:t>
            </w:r>
          </w:p>
        </w:tc>
        <w:tc>
          <w:tcPr>
            <w:tcW w:w="5386" w:type="dxa"/>
            <w:vAlign w:val="center"/>
          </w:tcPr>
          <w:p w14:paraId="2DEDB389">
            <w:pPr>
              <w:pStyle w:val="13"/>
            </w:pPr>
            <w:r>
              <w:t>学前经费600元/生/年</w:t>
            </w:r>
          </w:p>
        </w:tc>
        <w:tc>
          <w:tcPr>
            <w:tcW w:w="2268" w:type="dxa"/>
            <w:vAlign w:val="center"/>
          </w:tcPr>
          <w:p w14:paraId="0F476469">
            <w:pPr>
              <w:pStyle w:val="13"/>
            </w:pPr>
            <w:r>
              <w:t>600元</w:t>
            </w:r>
          </w:p>
        </w:tc>
        <w:tc>
          <w:tcPr>
            <w:tcW w:w="1276" w:type="dxa"/>
            <w:vAlign w:val="center"/>
          </w:tcPr>
          <w:p w14:paraId="06F968BA">
            <w:pPr>
              <w:pStyle w:val="13"/>
            </w:pPr>
            <w:r>
              <w:t>幼儿园生均公用经费管理办法</w:t>
            </w:r>
          </w:p>
        </w:tc>
      </w:tr>
      <w:tr w14:paraId="0F325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CFA610">
            <w:pPr>
              <w:pStyle w:val="12"/>
            </w:pPr>
            <w:r>
              <w:t>效益指标</w:t>
            </w:r>
          </w:p>
        </w:tc>
        <w:tc>
          <w:tcPr>
            <w:tcW w:w="2268" w:type="dxa"/>
            <w:vAlign w:val="center"/>
          </w:tcPr>
          <w:p w14:paraId="3A7A3008">
            <w:pPr>
              <w:pStyle w:val="13"/>
            </w:pPr>
            <w:r>
              <w:t>可持续影响指标</w:t>
            </w:r>
          </w:p>
        </w:tc>
        <w:tc>
          <w:tcPr>
            <w:tcW w:w="2835" w:type="dxa"/>
            <w:vAlign w:val="center"/>
          </w:tcPr>
          <w:p w14:paraId="20A6CFEB">
            <w:pPr>
              <w:pStyle w:val="13"/>
            </w:pPr>
            <w:r>
              <w:t>教育发展水平明显好转</w:t>
            </w:r>
          </w:p>
        </w:tc>
        <w:tc>
          <w:tcPr>
            <w:tcW w:w="5386" w:type="dxa"/>
            <w:vAlign w:val="center"/>
          </w:tcPr>
          <w:p w14:paraId="4E8C631B">
            <w:pPr>
              <w:pStyle w:val="13"/>
            </w:pPr>
            <w:r>
              <w:t>学生受教育年限</w:t>
            </w:r>
          </w:p>
        </w:tc>
        <w:tc>
          <w:tcPr>
            <w:tcW w:w="2268" w:type="dxa"/>
            <w:vAlign w:val="center"/>
          </w:tcPr>
          <w:p w14:paraId="4A205251">
            <w:pPr>
              <w:pStyle w:val="13"/>
            </w:pPr>
            <w:r>
              <w:t>3年</w:t>
            </w:r>
          </w:p>
        </w:tc>
        <w:tc>
          <w:tcPr>
            <w:tcW w:w="1276" w:type="dxa"/>
            <w:vAlign w:val="center"/>
          </w:tcPr>
          <w:p w14:paraId="66B1522F">
            <w:pPr>
              <w:pStyle w:val="13"/>
            </w:pPr>
            <w:r>
              <w:t>幼儿园生均公用经费管理办法</w:t>
            </w:r>
          </w:p>
        </w:tc>
      </w:tr>
      <w:tr w14:paraId="204B1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AF17E5">
            <w:pPr>
              <w:pStyle w:val="12"/>
            </w:pPr>
            <w:r>
              <w:t>满意度指标</w:t>
            </w:r>
          </w:p>
        </w:tc>
        <w:tc>
          <w:tcPr>
            <w:tcW w:w="2268" w:type="dxa"/>
            <w:vAlign w:val="center"/>
          </w:tcPr>
          <w:p w14:paraId="0726E377">
            <w:pPr>
              <w:pStyle w:val="13"/>
            </w:pPr>
            <w:r>
              <w:t>服务对象满意度指标</w:t>
            </w:r>
          </w:p>
        </w:tc>
        <w:tc>
          <w:tcPr>
            <w:tcW w:w="2835" w:type="dxa"/>
            <w:vAlign w:val="center"/>
          </w:tcPr>
          <w:p w14:paraId="6A9CFD5F">
            <w:pPr>
              <w:pStyle w:val="13"/>
            </w:pPr>
            <w:r>
              <w:t>受益学生家长及调查满意度</w:t>
            </w:r>
          </w:p>
        </w:tc>
        <w:tc>
          <w:tcPr>
            <w:tcW w:w="5386" w:type="dxa"/>
            <w:vAlign w:val="center"/>
          </w:tcPr>
          <w:p w14:paraId="63820499">
            <w:pPr>
              <w:pStyle w:val="13"/>
            </w:pPr>
            <w:r>
              <w:t>学生、教师及家长对学校保教保育工作满意度情况</w:t>
            </w:r>
          </w:p>
        </w:tc>
        <w:tc>
          <w:tcPr>
            <w:tcW w:w="2268" w:type="dxa"/>
            <w:vAlign w:val="center"/>
          </w:tcPr>
          <w:p w14:paraId="40ADF076">
            <w:pPr>
              <w:pStyle w:val="13"/>
            </w:pPr>
            <w:r>
              <w:t>≥95%</w:t>
            </w:r>
          </w:p>
        </w:tc>
        <w:tc>
          <w:tcPr>
            <w:tcW w:w="1276" w:type="dxa"/>
            <w:vAlign w:val="center"/>
          </w:tcPr>
          <w:p w14:paraId="794273B9">
            <w:pPr>
              <w:pStyle w:val="13"/>
            </w:pPr>
            <w:r>
              <w:t>调查问卷</w:t>
            </w:r>
          </w:p>
        </w:tc>
      </w:tr>
    </w:tbl>
    <w:p w14:paraId="564DFBF0">
      <w:pPr>
        <w:sectPr>
          <w:pgSz w:w="16840" w:h="11900" w:orient="landscape"/>
          <w:pgMar w:top="1361" w:right="1020" w:bottom="1134" w:left="1020" w:header="720" w:footer="720" w:gutter="0"/>
          <w:cols w:space="720" w:num="1"/>
        </w:sectPr>
      </w:pPr>
    </w:p>
    <w:p w14:paraId="152404FB">
      <w:pPr>
        <w:spacing w:before="0" w:after="0"/>
        <w:ind w:firstLine="560"/>
        <w:jc w:val="left"/>
        <w:outlineLvl w:val="9"/>
      </w:pPr>
      <w:r>
        <w:rPr>
          <w:rFonts w:ascii="方正仿宋_GBK" w:hAnsi="方正仿宋_GBK" w:eastAsia="方正仿宋_GBK" w:cs="方正仿宋_GBK"/>
          <w:b/>
          <w:color w:val="000000"/>
          <w:sz w:val="28"/>
        </w:rPr>
        <w:t>88、冀财教[2024]142号/省级/2025年学前发展资金/隆尧县紫荆幼儿园学前教育公用经费绩效目标表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30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D34DF">
            <w:pPr>
              <w:pStyle w:val="14"/>
            </w:pPr>
            <w:r>
              <w:t>单位：万元</w:t>
            </w:r>
          </w:p>
        </w:tc>
      </w:tr>
      <w:tr w14:paraId="72C43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46004">
            <w:pPr>
              <w:pStyle w:val="11"/>
            </w:pPr>
            <w:r>
              <w:t>项目编码</w:t>
            </w:r>
          </w:p>
        </w:tc>
        <w:tc>
          <w:tcPr>
            <w:tcW w:w="5103" w:type="dxa"/>
            <w:gridSpan w:val="2"/>
            <w:vAlign w:val="center"/>
          </w:tcPr>
          <w:p w14:paraId="57F95712">
            <w:pPr>
              <w:pStyle w:val="13"/>
            </w:pPr>
            <w:r>
              <w:t>13052525P00875710047Q</w:t>
            </w:r>
          </w:p>
        </w:tc>
        <w:tc>
          <w:tcPr>
            <w:tcW w:w="2835" w:type="dxa"/>
            <w:vAlign w:val="center"/>
          </w:tcPr>
          <w:p w14:paraId="03FDE921">
            <w:pPr>
              <w:pStyle w:val="11"/>
            </w:pPr>
            <w:r>
              <w:t>项目名称</w:t>
            </w:r>
          </w:p>
        </w:tc>
        <w:tc>
          <w:tcPr>
            <w:tcW w:w="6095" w:type="dxa"/>
            <w:gridSpan w:val="3"/>
            <w:vAlign w:val="center"/>
          </w:tcPr>
          <w:p w14:paraId="39619916">
            <w:pPr>
              <w:pStyle w:val="13"/>
            </w:pPr>
            <w:r>
              <w:t>冀财教[2024]142号/省级/2025年学前发展资金/隆尧县紫荆幼儿园学前教育公用经费</w:t>
            </w:r>
          </w:p>
        </w:tc>
      </w:tr>
      <w:tr w14:paraId="4AA87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92D4A">
            <w:pPr>
              <w:pStyle w:val="11"/>
            </w:pPr>
            <w:r>
              <w:t>预算规模及资金用途</w:t>
            </w:r>
          </w:p>
        </w:tc>
        <w:tc>
          <w:tcPr>
            <w:tcW w:w="2268" w:type="dxa"/>
            <w:vAlign w:val="center"/>
          </w:tcPr>
          <w:p w14:paraId="4EE16FC4">
            <w:pPr>
              <w:pStyle w:val="11"/>
            </w:pPr>
            <w:r>
              <w:t>预算数</w:t>
            </w:r>
          </w:p>
        </w:tc>
        <w:tc>
          <w:tcPr>
            <w:tcW w:w="2835" w:type="dxa"/>
            <w:vAlign w:val="center"/>
          </w:tcPr>
          <w:p w14:paraId="56D220EC">
            <w:pPr>
              <w:pStyle w:val="13"/>
            </w:pPr>
            <w:r>
              <w:t>0.38</w:t>
            </w:r>
          </w:p>
        </w:tc>
        <w:tc>
          <w:tcPr>
            <w:tcW w:w="2835" w:type="dxa"/>
            <w:vAlign w:val="center"/>
          </w:tcPr>
          <w:p w14:paraId="007BBF18">
            <w:pPr>
              <w:pStyle w:val="11"/>
            </w:pPr>
            <w:r>
              <w:t>其中：财政    资金</w:t>
            </w:r>
          </w:p>
        </w:tc>
        <w:tc>
          <w:tcPr>
            <w:tcW w:w="2551" w:type="dxa"/>
            <w:vAlign w:val="center"/>
          </w:tcPr>
          <w:p w14:paraId="4373F058">
            <w:pPr>
              <w:pStyle w:val="13"/>
            </w:pPr>
            <w:r>
              <w:t>0.38</w:t>
            </w:r>
          </w:p>
        </w:tc>
        <w:tc>
          <w:tcPr>
            <w:tcW w:w="2268" w:type="dxa"/>
            <w:vAlign w:val="center"/>
          </w:tcPr>
          <w:p w14:paraId="37BFD7DD">
            <w:pPr>
              <w:pStyle w:val="11"/>
            </w:pPr>
            <w:r>
              <w:t>其他资金</w:t>
            </w:r>
          </w:p>
        </w:tc>
        <w:tc>
          <w:tcPr>
            <w:tcW w:w="1276" w:type="dxa"/>
            <w:vAlign w:val="center"/>
          </w:tcPr>
          <w:p w14:paraId="434E439E">
            <w:pPr>
              <w:pStyle w:val="13"/>
            </w:pPr>
            <w:r>
              <w:t xml:space="preserve"> </w:t>
            </w:r>
          </w:p>
        </w:tc>
      </w:tr>
      <w:tr w14:paraId="20272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FBE1D"/>
        </w:tc>
        <w:tc>
          <w:tcPr>
            <w:tcW w:w="14033" w:type="dxa"/>
            <w:gridSpan w:val="6"/>
            <w:vAlign w:val="center"/>
          </w:tcPr>
          <w:p w14:paraId="6042A20F">
            <w:pPr>
              <w:pStyle w:val="13"/>
            </w:pPr>
            <w:r>
              <w:t>按季度分批次拨付安排公用经费资金，学校按照预算安排进行资金使用，保证资金正常支出。</w:t>
            </w:r>
          </w:p>
        </w:tc>
      </w:tr>
      <w:tr w14:paraId="28965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8D779">
            <w:pPr>
              <w:pStyle w:val="11"/>
            </w:pPr>
            <w:r>
              <w:t>资金支出计划（%）</w:t>
            </w:r>
          </w:p>
        </w:tc>
        <w:tc>
          <w:tcPr>
            <w:tcW w:w="5103" w:type="dxa"/>
            <w:gridSpan w:val="2"/>
            <w:vAlign w:val="center"/>
          </w:tcPr>
          <w:p w14:paraId="5981AC13">
            <w:pPr>
              <w:pStyle w:val="11"/>
            </w:pPr>
            <w:r>
              <w:t>3月底</w:t>
            </w:r>
          </w:p>
        </w:tc>
        <w:tc>
          <w:tcPr>
            <w:tcW w:w="2835" w:type="dxa"/>
            <w:vAlign w:val="center"/>
          </w:tcPr>
          <w:p w14:paraId="30A32543">
            <w:pPr>
              <w:pStyle w:val="11"/>
            </w:pPr>
            <w:r>
              <w:t>6月底</w:t>
            </w:r>
          </w:p>
        </w:tc>
        <w:tc>
          <w:tcPr>
            <w:tcW w:w="2551" w:type="dxa"/>
            <w:vAlign w:val="center"/>
          </w:tcPr>
          <w:p w14:paraId="73ECB4E5">
            <w:pPr>
              <w:pStyle w:val="11"/>
            </w:pPr>
            <w:r>
              <w:t>10月底</w:t>
            </w:r>
          </w:p>
        </w:tc>
        <w:tc>
          <w:tcPr>
            <w:tcW w:w="3544" w:type="dxa"/>
            <w:gridSpan w:val="2"/>
            <w:vAlign w:val="center"/>
          </w:tcPr>
          <w:p w14:paraId="22D21CBD">
            <w:pPr>
              <w:pStyle w:val="11"/>
            </w:pPr>
            <w:r>
              <w:t>12月底</w:t>
            </w:r>
          </w:p>
        </w:tc>
      </w:tr>
      <w:tr w14:paraId="636FC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C32460"/>
        </w:tc>
        <w:tc>
          <w:tcPr>
            <w:tcW w:w="5103" w:type="dxa"/>
            <w:gridSpan w:val="2"/>
            <w:vAlign w:val="center"/>
          </w:tcPr>
          <w:p w14:paraId="10D3B5C0">
            <w:pPr>
              <w:pStyle w:val="12"/>
            </w:pPr>
            <w:r>
              <w:t xml:space="preserve"> </w:t>
            </w:r>
          </w:p>
        </w:tc>
        <w:tc>
          <w:tcPr>
            <w:tcW w:w="2835" w:type="dxa"/>
            <w:vAlign w:val="center"/>
          </w:tcPr>
          <w:p w14:paraId="2B3F0E82">
            <w:pPr>
              <w:pStyle w:val="12"/>
            </w:pPr>
            <w:r>
              <w:t>50%</w:t>
            </w:r>
          </w:p>
        </w:tc>
        <w:tc>
          <w:tcPr>
            <w:tcW w:w="2551" w:type="dxa"/>
            <w:vAlign w:val="center"/>
          </w:tcPr>
          <w:p w14:paraId="2A319A6B">
            <w:pPr>
              <w:pStyle w:val="12"/>
            </w:pPr>
            <w:r>
              <w:t>75%</w:t>
            </w:r>
          </w:p>
        </w:tc>
        <w:tc>
          <w:tcPr>
            <w:tcW w:w="3544" w:type="dxa"/>
            <w:gridSpan w:val="2"/>
            <w:vAlign w:val="center"/>
          </w:tcPr>
          <w:p w14:paraId="01892025">
            <w:pPr>
              <w:pStyle w:val="12"/>
            </w:pPr>
            <w:r>
              <w:t>100%</w:t>
            </w:r>
          </w:p>
        </w:tc>
      </w:tr>
      <w:tr w14:paraId="21A9A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E20903">
            <w:pPr>
              <w:pStyle w:val="11"/>
            </w:pPr>
            <w:r>
              <w:t>绩效目标</w:t>
            </w:r>
          </w:p>
        </w:tc>
        <w:tc>
          <w:tcPr>
            <w:tcW w:w="14033" w:type="dxa"/>
            <w:gridSpan w:val="6"/>
            <w:vAlign w:val="center"/>
          </w:tcPr>
          <w:p w14:paraId="1F8952A2">
            <w:pPr>
              <w:pStyle w:val="13"/>
            </w:pPr>
            <w:r>
              <w:t>1.按季度分批次拨付安排公用经费资金，学校按照预算安排进行资金使用，保证资金正常支出。</w:t>
            </w:r>
          </w:p>
        </w:tc>
      </w:tr>
    </w:tbl>
    <w:p w14:paraId="7A835E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0FD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FE958">
            <w:pPr>
              <w:pStyle w:val="11"/>
            </w:pPr>
            <w:r>
              <w:t>一级指标</w:t>
            </w:r>
          </w:p>
        </w:tc>
        <w:tc>
          <w:tcPr>
            <w:tcW w:w="2268" w:type="dxa"/>
            <w:vAlign w:val="center"/>
          </w:tcPr>
          <w:p w14:paraId="64ED26FD">
            <w:pPr>
              <w:pStyle w:val="11"/>
            </w:pPr>
            <w:r>
              <w:t>二级指标</w:t>
            </w:r>
          </w:p>
        </w:tc>
        <w:tc>
          <w:tcPr>
            <w:tcW w:w="2835" w:type="dxa"/>
            <w:vAlign w:val="center"/>
          </w:tcPr>
          <w:p w14:paraId="24ED3CB1">
            <w:pPr>
              <w:pStyle w:val="11"/>
            </w:pPr>
            <w:r>
              <w:t>三级指标</w:t>
            </w:r>
          </w:p>
        </w:tc>
        <w:tc>
          <w:tcPr>
            <w:tcW w:w="5386" w:type="dxa"/>
            <w:vAlign w:val="center"/>
          </w:tcPr>
          <w:p w14:paraId="534EF241">
            <w:pPr>
              <w:pStyle w:val="11"/>
            </w:pPr>
            <w:r>
              <w:t>绩效指标描述</w:t>
            </w:r>
          </w:p>
        </w:tc>
        <w:tc>
          <w:tcPr>
            <w:tcW w:w="2268" w:type="dxa"/>
            <w:vAlign w:val="center"/>
          </w:tcPr>
          <w:p w14:paraId="7CE6F777">
            <w:pPr>
              <w:pStyle w:val="11"/>
            </w:pPr>
            <w:r>
              <w:t>指标值</w:t>
            </w:r>
          </w:p>
        </w:tc>
        <w:tc>
          <w:tcPr>
            <w:tcW w:w="1276" w:type="dxa"/>
            <w:vAlign w:val="center"/>
          </w:tcPr>
          <w:p w14:paraId="65B44375">
            <w:pPr>
              <w:pStyle w:val="11"/>
            </w:pPr>
            <w:r>
              <w:t>指标值确定依据</w:t>
            </w:r>
          </w:p>
        </w:tc>
      </w:tr>
      <w:tr w14:paraId="4D6A6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564C5">
            <w:pPr>
              <w:pStyle w:val="12"/>
            </w:pPr>
            <w:r>
              <w:t>产出指标</w:t>
            </w:r>
          </w:p>
        </w:tc>
        <w:tc>
          <w:tcPr>
            <w:tcW w:w="2268" w:type="dxa"/>
            <w:vAlign w:val="center"/>
          </w:tcPr>
          <w:p w14:paraId="7212C534">
            <w:pPr>
              <w:pStyle w:val="13"/>
            </w:pPr>
            <w:r>
              <w:t>数量指标</w:t>
            </w:r>
          </w:p>
        </w:tc>
        <w:tc>
          <w:tcPr>
            <w:tcW w:w="2835" w:type="dxa"/>
            <w:vAlign w:val="center"/>
          </w:tcPr>
          <w:p w14:paraId="70575920">
            <w:pPr>
              <w:pStyle w:val="13"/>
            </w:pPr>
            <w:r>
              <w:t>适龄在校生</w:t>
            </w:r>
          </w:p>
        </w:tc>
        <w:tc>
          <w:tcPr>
            <w:tcW w:w="5386" w:type="dxa"/>
            <w:vAlign w:val="center"/>
          </w:tcPr>
          <w:p w14:paraId="628DB096">
            <w:pPr>
              <w:pStyle w:val="13"/>
            </w:pPr>
            <w:r>
              <w:t>辖区内适龄儿童全覆盖</w:t>
            </w:r>
          </w:p>
        </w:tc>
        <w:tc>
          <w:tcPr>
            <w:tcW w:w="2268" w:type="dxa"/>
            <w:vAlign w:val="center"/>
          </w:tcPr>
          <w:p w14:paraId="3C4B97D3">
            <w:pPr>
              <w:pStyle w:val="13"/>
            </w:pPr>
            <w:r>
              <w:t>25人</w:t>
            </w:r>
          </w:p>
        </w:tc>
        <w:tc>
          <w:tcPr>
            <w:tcW w:w="1276" w:type="dxa"/>
            <w:vAlign w:val="center"/>
          </w:tcPr>
          <w:p w14:paraId="52790D16">
            <w:pPr>
              <w:pStyle w:val="13"/>
            </w:pPr>
            <w:r>
              <w:t>幼儿园生均公用经费管理办法</w:t>
            </w:r>
          </w:p>
        </w:tc>
      </w:tr>
      <w:tr w14:paraId="4EE33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C228E"/>
        </w:tc>
        <w:tc>
          <w:tcPr>
            <w:tcW w:w="2268" w:type="dxa"/>
            <w:vAlign w:val="center"/>
          </w:tcPr>
          <w:p w14:paraId="40BA76AE">
            <w:pPr>
              <w:pStyle w:val="13"/>
            </w:pPr>
            <w:r>
              <w:t>质量指标</w:t>
            </w:r>
          </w:p>
        </w:tc>
        <w:tc>
          <w:tcPr>
            <w:tcW w:w="2835" w:type="dxa"/>
            <w:vAlign w:val="center"/>
          </w:tcPr>
          <w:p w14:paraId="53698FA7">
            <w:pPr>
              <w:pStyle w:val="13"/>
            </w:pPr>
            <w:r>
              <w:t>预算控制率</w:t>
            </w:r>
          </w:p>
        </w:tc>
        <w:tc>
          <w:tcPr>
            <w:tcW w:w="5386" w:type="dxa"/>
            <w:vAlign w:val="center"/>
          </w:tcPr>
          <w:p w14:paraId="6029ED94">
            <w:pPr>
              <w:pStyle w:val="13"/>
            </w:pPr>
            <w:r>
              <w:t>预算执行</w:t>
            </w:r>
          </w:p>
        </w:tc>
        <w:tc>
          <w:tcPr>
            <w:tcW w:w="2268" w:type="dxa"/>
            <w:vAlign w:val="center"/>
          </w:tcPr>
          <w:p w14:paraId="1A6F8498">
            <w:pPr>
              <w:pStyle w:val="13"/>
            </w:pPr>
            <w:r>
              <w:t>≥95%</w:t>
            </w:r>
          </w:p>
        </w:tc>
        <w:tc>
          <w:tcPr>
            <w:tcW w:w="1276" w:type="dxa"/>
            <w:vAlign w:val="center"/>
          </w:tcPr>
          <w:p w14:paraId="28FDBB6F">
            <w:pPr>
              <w:pStyle w:val="13"/>
            </w:pPr>
            <w:r>
              <w:t>幼儿园生均公用经费管理办法</w:t>
            </w:r>
          </w:p>
        </w:tc>
      </w:tr>
      <w:tr w14:paraId="6B3E9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E4F8C"/>
        </w:tc>
        <w:tc>
          <w:tcPr>
            <w:tcW w:w="2268" w:type="dxa"/>
            <w:vAlign w:val="center"/>
          </w:tcPr>
          <w:p w14:paraId="73863D0F">
            <w:pPr>
              <w:pStyle w:val="13"/>
            </w:pPr>
            <w:r>
              <w:t>时效指标</w:t>
            </w:r>
          </w:p>
        </w:tc>
        <w:tc>
          <w:tcPr>
            <w:tcW w:w="2835" w:type="dxa"/>
            <w:vAlign w:val="center"/>
          </w:tcPr>
          <w:p w14:paraId="15EA9B39">
            <w:pPr>
              <w:pStyle w:val="13"/>
            </w:pPr>
            <w:r>
              <w:t>资金支付率</w:t>
            </w:r>
          </w:p>
        </w:tc>
        <w:tc>
          <w:tcPr>
            <w:tcW w:w="5386" w:type="dxa"/>
            <w:vAlign w:val="center"/>
          </w:tcPr>
          <w:p w14:paraId="2EC8B6F6">
            <w:pPr>
              <w:pStyle w:val="13"/>
            </w:pPr>
            <w:r>
              <w:t>按照序时进度完成资金支付</w:t>
            </w:r>
          </w:p>
        </w:tc>
        <w:tc>
          <w:tcPr>
            <w:tcW w:w="2268" w:type="dxa"/>
            <w:vAlign w:val="center"/>
          </w:tcPr>
          <w:p w14:paraId="45897B7C">
            <w:pPr>
              <w:pStyle w:val="13"/>
            </w:pPr>
            <w:r>
              <w:t>≥100%</w:t>
            </w:r>
          </w:p>
        </w:tc>
        <w:tc>
          <w:tcPr>
            <w:tcW w:w="1276" w:type="dxa"/>
            <w:vAlign w:val="center"/>
          </w:tcPr>
          <w:p w14:paraId="3DD730E5">
            <w:pPr>
              <w:pStyle w:val="13"/>
            </w:pPr>
            <w:r>
              <w:t>幼儿园生均公用经费管理办法</w:t>
            </w:r>
          </w:p>
        </w:tc>
      </w:tr>
      <w:tr w14:paraId="34233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E8014"/>
        </w:tc>
        <w:tc>
          <w:tcPr>
            <w:tcW w:w="2268" w:type="dxa"/>
            <w:vAlign w:val="center"/>
          </w:tcPr>
          <w:p w14:paraId="28088EDA">
            <w:pPr>
              <w:pStyle w:val="13"/>
            </w:pPr>
            <w:r>
              <w:t>成本指标</w:t>
            </w:r>
          </w:p>
        </w:tc>
        <w:tc>
          <w:tcPr>
            <w:tcW w:w="2835" w:type="dxa"/>
            <w:vAlign w:val="center"/>
          </w:tcPr>
          <w:p w14:paraId="02EBEDBF">
            <w:pPr>
              <w:pStyle w:val="13"/>
            </w:pPr>
            <w:r>
              <w:t>生均拨款标准</w:t>
            </w:r>
          </w:p>
        </w:tc>
        <w:tc>
          <w:tcPr>
            <w:tcW w:w="5386" w:type="dxa"/>
            <w:vAlign w:val="center"/>
          </w:tcPr>
          <w:p w14:paraId="5FEF759F">
            <w:pPr>
              <w:pStyle w:val="13"/>
            </w:pPr>
            <w:r>
              <w:t>学前经费600元/生/年</w:t>
            </w:r>
          </w:p>
        </w:tc>
        <w:tc>
          <w:tcPr>
            <w:tcW w:w="2268" w:type="dxa"/>
            <w:vAlign w:val="center"/>
          </w:tcPr>
          <w:p w14:paraId="485CC119">
            <w:pPr>
              <w:pStyle w:val="13"/>
            </w:pPr>
            <w:r>
              <w:t>600元</w:t>
            </w:r>
          </w:p>
        </w:tc>
        <w:tc>
          <w:tcPr>
            <w:tcW w:w="1276" w:type="dxa"/>
            <w:vAlign w:val="center"/>
          </w:tcPr>
          <w:p w14:paraId="60089E8F">
            <w:pPr>
              <w:pStyle w:val="13"/>
            </w:pPr>
            <w:r>
              <w:t>幼儿园生均公用经费管理办法</w:t>
            </w:r>
          </w:p>
        </w:tc>
      </w:tr>
      <w:tr w14:paraId="7620C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7A3931">
            <w:pPr>
              <w:pStyle w:val="12"/>
            </w:pPr>
            <w:r>
              <w:t>效益指标</w:t>
            </w:r>
          </w:p>
        </w:tc>
        <w:tc>
          <w:tcPr>
            <w:tcW w:w="2268" w:type="dxa"/>
            <w:vAlign w:val="center"/>
          </w:tcPr>
          <w:p w14:paraId="0CFFEDB0">
            <w:pPr>
              <w:pStyle w:val="13"/>
            </w:pPr>
            <w:r>
              <w:t>可持续影响指标</w:t>
            </w:r>
          </w:p>
        </w:tc>
        <w:tc>
          <w:tcPr>
            <w:tcW w:w="2835" w:type="dxa"/>
            <w:vAlign w:val="center"/>
          </w:tcPr>
          <w:p w14:paraId="02A2A566">
            <w:pPr>
              <w:pStyle w:val="13"/>
            </w:pPr>
            <w:r>
              <w:t>教育发展水平明显好转</w:t>
            </w:r>
          </w:p>
        </w:tc>
        <w:tc>
          <w:tcPr>
            <w:tcW w:w="5386" w:type="dxa"/>
            <w:vAlign w:val="center"/>
          </w:tcPr>
          <w:p w14:paraId="5D26B026">
            <w:pPr>
              <w:pStyle w:val="13"/>
            </w:pPr>
            <w:r>
              <w:t>学生受教育年限</w:t>
            </w:r>
          </w:p>
        </w:tc>
        <w:tc>
          <w:tcPr>
            <w:tcW w:w="2268" w:type="dxa"/>
            <w:vAlign w:val="center"/>
          </w:tcPr>
          <w:p w14:paraId="00052340">
            <w:pPr>
              <w:pStyle w:val="13"/>
            </w:pPr>
            <w:r>
              <w:t>3年</w:t>
            </w:r>
          </w:p>
        </w:tc>
        <w:tc>
          <w:tcPr>
            <w:tcW w:w="1276" w:type="dxa"/>
            <w:vAlign w:val="center"/>
          </w:tcPr>
          <w:p w14:paraId="42174CBB">
            <w:pPr>
              <w:pStyle w:val="13"/>
            </w:pPr>
            <w:r>
              <w:t>幼儿园生均公用经费管理办法</w:t>
            </w:r>
          </w:p>
        </w:tc>
      </w:tr>
      <w:tr w14:paraId="69AAD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10C10">
            <w:pPr>
              <w:pStyle w:val="12"/>
            </w:pPr>
            <w:r>
              <w:t>满意度指标</w:t>
            </w:r>
          </w:p>
        </w:tc>
        <w:tc>
          <w:tcPr>
            <w:tcW w:w="2268" w:type="dxa"/>
            <w:vAlign w:val="center"/>
          </w:tcPr>
          <w:p w14:paraId="58A7A67B">
            <w:pPr>
              <w:pStyle w:val="13"/>
            </w:pPr>
            <w:r>
              <w:t>服务对象满意度指标</w:t>
            </w:r>
          </w:p>
        </w:tc>
        <w:tc>
          <w:tcPr>
            <w:tcW w:w="2835" w:type="dxa"/>
            <w:vAlign w:val="center"/>
          </w:tcPr>
          <w:p w14:paraId="4C5AABB1">
            <w:pPr>
              <w:pStyle w:val="13"/>
            </w:pPr>
            <w:r>
              <w:t>受益学生家长及调查满意度</w:t>
            </w:r>
          </w:p>
        </w:tc>
        <w:tc>
          <w:tcPr>
            <w:tcW w:w="5386" w:type="dxa"/>
            <w:vAlign w:val="center"/>
          </w:tcPr>
          <w:p w14:paraId="281373E9">
            <w:pPr>
              <w:pStyle w:val="13"/>
            </w:pPr>
            <w:r>
              <w:t>学生、教师及家长对学校保教保育工作满意度情况</w:t>
            </w:r>
          </w:p>
        </w:tc>
        <w:tc>
          <w:tcPr>
            <w:tcW w:w="2268" w:type="dxa"/>
            <w:vAlign w:val="center"/>
          </w:tcPr>
          <w:p w14:paraId="00FC557B">
            <w:pPr>
              <w:pStyle w:val="13"/>
            </w:pPr>
            <w:r>
              <w:t>≥95%</w:t>
            </w:r>
          </w:p>
        </w:tc>
        <w:tc>
          <w:tcPr>
            <w:tcW w:w="1276" w:type="dxa"/>
            <w:vAlign w:val="center"/>
          </w:tcPr>
          <w:p w14:paraId="77FE4761">
            <w:pPr>
              <w:pStyle w:val="13"/>
            </w:pPr>
            <w:r>
              <w:t>调查问卷</w:t>
            </w:r>
          </w:p>
        </w:tc>
      </w:tr>
    </w:tbl>
    <w:p w14:paraId="24006E18">
      <w:pPr>
        <w:sectPr>
          <w:pgSz w:w="16840" w:h="11900" w:orient="landscape"/>
          <w:pgMar w:top="1361" w:right="1020" w:bottom="1134" w:left="1020" w:header="720" w:footer="720" w:gutter="0"/>
          <w:cols w:space="720" w:num="1"/>
        </w:sectPr>
      </w:pPr>
    </w:p>
    <w:p w14:paraId="5CA083E1">
      <w:pPr>
        <w:spacing w:before="0" w:after="0"/>
        <w:ind w:firstLine="560"/>
        <w:jc w:val="left"/>
        <w:outlineLvl w:val="9"/>
      </w:pPr>
      <w:r>
        <w:rPr>
          <w:rFonts w:ascii="方正仿宋_GBK" w:hAnsi="方正仿宋_GBK" w:eastAsia="方正仿宋_GBK" w:cs="方正仿宋_GBK"/>
          <w:b/>
          <w:color w:val="000000"/>
          <w:sz w:val="28"/>
        </w:rPr>
        <w:t>89、冀财教[2024]142号/省级/2025年学前发展资金/隆尧县蓓乐吉幼儿园学前教育公用经费绩效目标表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97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3CDB9">
            <w:pPr>
              <w:pStyle w:val="14"/>
            </w:pPr>
            <w:r>
              <w:t>单位：万元</w:t>
            </w:r>
          </w:p>
        </w:tc>
      </w:tr>
      <w:tr w14:paraId="6763C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1F0165">
            <w:pPr>
              <w:pStyle w:val="11"/>
            </w:pPr>
            <w:r>
              <w:t>项目编码</w:t>
            </w:r>
          </w:p>
        </w:tc>
        <w:tc>
          <w:tcPr>
            <w:tcW w:w="5103" w:type="dxa"/>
            <w:gridSpan w:val="2"/>
            <w:vAlign w:val="center"/>
          </w:tcPr>
          <w:p w14:paraId="1C3E9527">
            <w:pPr>
              <w:pStyle w:val="13"/>
            </w:pPr>
            <w:r>
              <w:t>13052525P00875710037W</w:t>
            </w:r>
          </w:p>
        </w:tc>
        <w:tc>
          <w:tcPr>
            <w:tcW w:w="2835" w:type="dxa"/>
            <w:vAlign w:val="center"/>
          </w:tcPr>
          <w:p w14:paraId="562D5CA1">
            <w:pPr>
              <w:pStyle w:val="11"/>
            </w:pPr>
            <w:r>
              <w:t>项目名称</w:t>
            </w:r>
          </w:p>
        </w:tc>
        <w:tc>
          <w:tcPr>
            <w:tcW w:w="6095" w:type="dxa"/>
            <w:gridSpan w:val="3"/>
            <w:vAlign w:val="center"/>
          </w:tcPr>
          <w:p w14:paraId="085B2B93">
            <w:pPr>
              <w:pStyle w:val="13"/>
            </w:pPr>
            <w:r>
              <w:t>冀财教[2024]142号/省级/2025年学前发展资金/隆尧县蓓乐吉幼儿园学前教育公用经费</w:t>
            </w:r>
          </w:p>
        </w:tc>
      </w:tr>
      <w:tr w14:paraId="53975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1D4D0017">
            <w:pPr>
              <w:pStyle w:val="11"/>
            </w:pPr>
            <w:r>
              <w:t>预算规模及资金用途</w:t>
            </w:r>
          </w:p>
        </w:tc>
        <w:tc>
          <w:tcPr>
            <w:tcW w:w="2268" w:type="dxa"/>
            <w:vAlign w:val="center"/>
          </w:tcPr>
          <w:p w14:paraId="45B30FEC">
            <w:pPr>
              <w:pStyle w:val="11"/>
            </w:pPr>
            <w:r>
              <w:t>预算数</w:t>
            </w:r>
          </w:p>
        </w:tc>
        <w:tc>
          <w:tcPr>
            <w:tcW w:w="2835" w:type="dxa"/>
            <w:vAlign w:val="center"/>
          </w:tcPr>
          <w:p w14:paraId="3D4D72CB">
            <w:pPr>
              <w:pStyle w:val="13"/>
            </w:pPr>
            <w:r>
              <w:t>2.18</w:t>
            </w:r>
          </w:p>
        </w:tc>
        <w:tc>
          <w:tcPr>
            <w:tcW w:w="2835" w:type="dxa"/>
            <w:vAlign w:val="center"/>
          </w:tcPr>
          <w:p w14:paraId="16C7DE99">
            <w:pPr>
              <w:pStyle w:val="11"/>
            </w:pPr>
            <w:r>
              <w:t>其中：财政    资金</w:t>
            </w:r>
          </w:p>
        </w:tc>
        <w:tc>
          <w:tcPr>
            <w:tcW w:w="2551" w:type="dxa"/>
            <w:vAlign w:val="center"/>
          </w:tcPr>
          <w:p w14:paraId="5304864E">
            <w:pPr>
              <w:pStyle w:val="13"/>
            </w:pPr>
            <w:r>
              <w:t>2.18</w:t>
            </w:r>
          </w:p>
        </w:tc>
        <w:tc>
          <w:tcPr>
            <w:tcW w:w="2268" w:type="dxa"/>
            <w:vAlign w:val="center"/>
          </w:tcPr>
          <w:p w14:paraId="17746010">
            <w:pPr>
              <w:pStyle w:val="11"/>
            </w:pPr>
            <w:r>
              <w:t>其他资金</w:t>
            </w:r>
          </w:p>
        </w:tc>
        <w:tc>
          <w:tcPr>
            <w:tcW w:w="1276" w:type="dxa"/>
            <w:vAlign w:val="center"/>
          </w:tcPr>
          <w:p w14:paraId="0ABBEE40">
            <w:pPr>
              <w:pStyle w:val="13"/>
            </w:pPr>
            <w:r>
              <w:t xml:space="preserve"> </w:t>
            </w:r>
          </w:p>
        </w:tc>
      </w:tr>
      <w:tr w14:paraId="17038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4596F6"/>
        </w:tc>
        <w:tc>
          <w:tcPr>
            <w:tcW w:w="14033" w:type="dxa"/>
            <w:gridSpan w:val="6"/>
            <w:vAlign w:val="center"/>
          </w:tcPr>
          <w:p w14:paraId="45161BF5">
            <w:pPr>
              <w:pStyle w:val="13"/>
            </w:pPr>
            <w:r>
              <w:t>按季度分批次拨付安排公用经费资金，学校按照预算安排进行资金使用，保证资金正常支出。</w:t>
            </w:r>
          </w:p>
        </w:tc>
      </w:tr>
      <w:tr w14:paraId="65901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5AE3F">
            <w:pPr>
              <w:pStyle w:val="11"/>
            </w:pPr>
            <w:r>
              <w:t>资金支出计划（%）</w:t>
            </w:r>
          </w:p>
        </w:tc>
        <w:tc>
          <w:tcPr>
            <w:tcW w:w="5103" w:type="dxa"/>
            <w:gridSpan w:val="2"/>
            <w:vAlign w:val="center"/>
          </w:tcPr>
          <w:p w14:paraId="7B6FE674">
            <w:pPr>
              <w:pStyle w:val="11"/>
            </w:pPr>
            <w:r>
              <w:t>3月底</w:t>
            </w:r>
          </w:p>
        </w:tc>
        <w:tc>
          <w:tcPr>
            <w:tcW w:w="2835" w:type="dxa"/>
            <w:vAlign w:val="center"/>
          </w:tcPr>
          <w:p w14:paraId="12914A80">
            <w:pPr>
              <w:pStyle w:val="11"/>
            </w:pPr>
            <w:r>
              <w:t>6月底</w:t>
            </w:r>
          </w:p>
        </w:tc>
        <w:tc>
          <w:tcPr>
            <w:tcW w:w="2551" w:type="dxa"/>
            <w:vAlign w:val="center"/>
          </w:tcPr>
          <w:p w14:paraId="614CCFAD">
            <w:pPr>
              <w:pStyle w:val="11"/>
            </w:pPr>
            <w:r>
              <w:t>10月底</w:t>
            </w:r>
          </w:p>
        </w:tc>
        <w:tc>
          <w:tcPr>
            <w:tcW w:w="3544" w:type="dxa"/>
            <w:gridSpan w:val="2"/>
            <w:vAlign w:val="center"/>
          </w:tcPr>
          <w:p w14:paraId="3B67A458">
            <w:pPr>
              <w:pStyle w:val="11"/>
            </w:pPr>
            <w:r>
              <w:t>12月底</w:t>
            </w:r>
          </w:p>
        </w:tc>
      </w:tr>
      <w:tr w14:paraId="35707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5C7C4AEF"/>
        </w:tc>
        <w:tc>
          <w:tcPr>
            <w:tcW w:w="5103" w:type="dxa"/>
            <w:gridSpan w:val="2"/>
            <w:vAlign w:val="center"/>
          </w:tcPr>
          <w:p w14:paraId="36E4F284">
            <w:pPr>
              <w:pStyle w:val="12"/>
            </w:pPr>
            <w:r>
              <w:t xml:space="preserve"> </w:t>
            </w:r>
          </w:p>
        </w:tc>
        <w:tc>
          <w:tcPr>
            <w:tcW w:w="2835" w:type="dxa"/>
            <w:vAlign w:val="center"/>
          </w:tcPr>
          <w:p w14:paraId="70E09E34">
            <w:pPr>
              <w:pStyle w:val="12"/>
            </w:pPr>
            <w:r>
              <w:t>50%</w:t>
            </w:r>
          </w:p>
        </w:tc>
        <w:tc>
          <w:tcPr>
            <w:tcW w:w="2551" w:type="dxa"/>
            <w:vAlign w:val="center"/>
          </w:tcPr>
          <w:p w14:paraId="3CCFE091">
            <w:pPr>
              <w:pStyle w:val="12"/>
            </w:pPr>
            <w:r>
              <w:t>75%</w:t>
            </w:r>
          </w:p>
        </w:tc>
        <w:tc>
          <w:tcPr>
            <w:tcW w:w="3544" w:type="dxa"/>
            <w:gridSpan w:val="2"/>
            <w:vAlign w:val="center"/>
          </w:tcPr>
          <w:p w14:paraId="75AC7EC3">
            <w:pPr>
              <w:pStyle w:val="12"/>
            </w:pPr>
            <w:r>
              <w:t>100%</w:t>
            </w:r>
          </w:p>
        </w:tc>
      </w:tr>
      <w:tr w14:paraId="0C32E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665CB68">
            <w:pPr>
              <w:pStyle w:val="11"/>
            </w:pPr>
            <w:r>
              <w:t>绩效目标</w:t>
            </w:r>
          </w:p>
        </w:tc>
        <w:tc>
          <w:tcPr>
            <w:tcW w:w="14033" w:type="dxa"/>
            <w:gridSpan w:val="6"/>
            <w:vAlign w:val="center"/>
          </w:tcPr>
          <w:p w14:paraId="35C197BD">
            <w:pPr>
              <w:pStyle w:val="13"/>
            </w:pPr>
            <w:r>
              <w:t>1.按季度分批次拨付安排公用经费资金，学校按照预算安排进行资金使用，保证资金正常支出。</w:t>
            </w:r>
            <w:r>
              <w:tab/>
            </w:r>
          </w:p>
        </w:tc>
      </w:tr>
    </w:tbl>
    <w:p w14:paraId="5D939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96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97552">
            <w:pPr>
              <w:pStyle w:val="11"/>
            </w:pPr>
            <w:r>
              <w:t>一级指标</w:t>
            </w:r>
          </w:p>
        </w:tc>
        <w:tc>
          <w:tcPr>
            <w:tcW w:w="2268" w:type="dxa"/>
            <w:vAlign w:val="center"/>
          </w:tcPr>
          <w:p w14:paraId="2CB7B8A7">
            <w:pPr>
              <w:pStyle w:val="11"/>
            </w:pPr>
            <w:r>
              <w:t>二级指标</w:t>
            </w:r>
          </w:p>
        </w:tc>
        <w:tc>
          <w:tcPr>
            <w:tcW w:w="2835" w:type="dxa"/>
            <w:vAlign w:val="center"/>
          </w:tcPr>
          <w:p w14:paraId="6DA39804">
            <w:pPr>
              <w:pStyle w:val="11"/>
            </w:pPr>
            <w:r>
              <w:t>三级指标</w:t>
            </w:r>
          </w:p>
        </w:tc>
        <w:tc>
          <w:tcPr>
            <w:tcW w:w="5386" w:type="dxa"/>
            <w:vAlign w:val="center"/>
          </w:tcPr>
          <w:p w14:paraId="7251C47D">
            <w:pPr>
              <w:pStyle w:val="11"/>
            </w:pPr>
            <w:r>
              <w:t>绩效指标描述</w:t>
            </w:r>
          </w:p>
        </w:tc>
        <w:tc>
          <w:tcPr>
            <w:tcW w:w="2268" w:type="dxa"/>
            <w:vAlign w:val="center"/>
          </w:tcPr>
          <w:p w14:paraId="1CF313B2">
            <w:pPr>
              <w:pStyle w:val="11"/>
            </w:pPr>
            <w:r>
              <w:t>指标值</w:t>
            </w:r>
          </w:p>
        </w:tc>
        <w:tc>
          <w:tcPr>
            <w:tcW w:w="1276" w:type="dxa"/>
            <w:vAlign w:val="center"/>
          </w:tcPr>
          <w:p w14:paraId="5609BB8C">
            <w:pPr>
              <w:pStyle w:val="11"/>
            </w:pPr>
            <w:r>
              <w:t>指标值确定依据</w:t>
            </w:r>
          </w:p>
        </w:tc>
      </w:tr>
      <w:tr w14:paraId="4605B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129FD">
            <w:pPr>
              <w:pStyle w:val="12"/>
            </w:pPr>
            <w:r>
              <w:t>产出指标</w:t>
            </w:r>
          </w:p>
        </w:tc>
        <w:tc>
          <w:tcPr>
            <w:tcW w:w="2268" w:type="dxa"/>
            <w:vAlign w:val="center"/>
          </w:tcPr>
          <w:p w14:paraId="14A14FE6">
            <w:pPr>
              <w:pStyle w:val="13"/>
            </w:pPr>
            <w:r>
              <w:t>数量指标</w:t>
            </w:r>
          </w:p>
        </w:tc>
        <w:tc>
          <w:tcPr>
            <w:tcW w:w="2835" w:type="dxa"/>
            <w:vAlign w:val="center"/>
          </w:tcPr>
          <w:p w14:paraId="037CBB51">
            <w:pPr>
              <w:pStyle w:val="13"/>
            </w:pPr>
            <w:r>
              <w:t>适龄在校生</w:t>
            </w:r>
          </w:p>
        </w:tc>
        <w:tc>
          <w:tcPr>
            <w:tcW w:w="5386" w:type="dxa"/>
            <w:vAlign w:val="center"/>
          </w:tcPr>
          <w:p w14:paraId="4F6604A6">
            <w:pPr>
              <w:pStyle w:val="13"/>
            </w:pPr>
            <w:r>
              <w:t>辖区内适龄儿童全覆盖</w:t>
            </w:r>
          </w:p>
        </w:tc>
        <w:tc>
          <w:tcPr>
            <w:tcW w:w="2268" w:type="dxa"/>
            <w:vAlign w:val="center"/>
          </w:tcPr>
          <w:p w14:paraId="1E48422D">
            <w:pPr>
              <w:pStyle w:val="13"/>
            </w:pPr>
            <w:r>
              <w:t>145人</w:t>
            </w:r>
          </w:p>
        </w:tc>
        <w:tc>
          <w:tcPr>
            <w:tcW w:w="1276" w:type="dxa"/>
            <w:vAlign w:val="center"/>
          </w:tcPr>
          <w:p w14:paraId="74A1B80E">
            <w:pPr>
              <w:pStyle w:val="13"/>
            </w:pPr>
            <w:r>
              <w:t>幼儿园生均公用经费管理办法</w:t>
            </w:r>
          </w:p>
        </w:tc>
      </w:tr>
      <w:tr w14:paraId="4F06B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33B33"/>
        </w:tc>
        <w:tc>
          <w:tcPr>
            <w:tcW w:w="2268" w:type="dxa"/>
            <w:vAlign w:val="center"/>
          </w:tcPr>
          <w:p w14:paraId="7DF95EE4">
            <w:pPr>
              <w:pStyle w:val="13"/>
            </w:pPr>
            <w:r>
              <w:t>质量指标</w:t>
            </w:r>
          </w:p>
        </w:tc>
        <w:tc>
          <w:tcPr>
            <w:tcW w:w="2835" w:type="dxa"/>
            <w:vAlign w:val="center"/>
          </w:tcPr>
          <w:p w14:paraId="1E579BA9">
            <w:pPr>
              <w:pStyle w:val="13"/>
            </w:pPr>
            <w:r>
              <w:t>预算控制率</w:t>
            </w:r>
          </w:p>
        </w:tc>
        <w:tc>
          <w:tcPr>
            <w:tcW w:w="5386" w:type="dxa"/>
            <w:vAlign w:val="center"/>
          </w:tcPr>
          <w:p w14:paraId="01EB2BD9">
            <w:pPr>
              <w:pStyle w:val="13"/>
            </w:pPr>
            <w:r>
              <w:t>预算执行</w:t>
            </w:r>
          </w:p>
        </w:tc>
        <w:tc>
          <w:tcPr>
            <w:tcW w:w="2268" w:type="dxa"/>
            <w:vAlign w:val="center"/>
          </w:tcPr>
          <w:p w14:paraId="05D4FA31">
            <w:pPr>
              <w:pStyle w:val="13"/>
            </w:pPr>
            <w:r>
              <w:t>≥95%</w:t>
            </w:r>
          </w:p>
        </w:tc>
        <w:tc>
          <w:tcPr>
            <w:tcW w:w="1276" w:type="dxa"/>
            <w:vAlign w:val="center"/>
          </w:tcPr>
          <w:p w14:paraId="3E0455EA">
            <w:pPr>
              <w:pStyle w:val="13"/>
            </w:pPr>
            <w:r>
              <w:t>幼儿园生均公用经费管理办法</w:t>
            </w:r>
          </w:p>
        </w:tc>
      </w:tr>
      <w:tr w14:paraId="5B048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B7511"/>
        </w:tc>
        <w:tc>
          <w:tcPr>
            <w:tcW w:w="2268" w:type="dxa"/>
            <w:vAlign w:val="center"/>
          </w:tcPr>
          <w:p w14:paraId="5AC4489E">
            <w:pPr>
              <w:pStyle w:val="13"/>
            </w:pPr>
            <w:r>
              <w:t>时效指标</w:t>
            </w:r>
          </w:p>
        </w:tc>
        <w:tc>
          <w:tcPr>
            <w:tcW w:w="2835" w:type="dxa"/>
            <w:vAlign w:val="center"/>
          </w:tcPr>
          <w:p w14:paraId="346F05EF">
            <w:pPr>
              <w:pStyle w:val="13"/>
            </w:pPr>
            <w:r>
              <w:t>资金支付率</w:t>
            </w:r>
          </w:p>
        </w:tc>
        <w:tc>
          <w:tcPr>
            <w:tcW w:w="5386" w:type="dxa"/>
            <w:vAlign w:val="center"/>
          </w:tcPr>
          <w:p w14:paraId="290699E7">
            <w:pPr>
              <w:pStyle w:val="13"/>
            </w:pPr>
            <w:r>
              <w:t>按照序时进度完成资金支付</w:t>
            </w:r>
          </w:p>
        </w:tc>
        <w:tc>
          <w:tcPr>
            <w:tcW w:w="2268" w:type="dxa"/>
            <w:vAlign w:val="center"/>
          </w:tcPr>
          <w:p w14:paraId="51CF65CA">
            <w:pPr>
              <w:pStyle w:val="13"/>
            </w:pPr>
            <w:r>
              <w:t>≥100%</w:t>
            </w:r>
          </w:p>
        </w:tc>
        <w:tc>
          <w:tcPr>
            <w:tcW w:w="1276" w:type="dxa"/>
            <w:vAlign w:val="center"/>
          </w:tcPr>
          <w:p w14:paraId="44021B21">
            <w:pPr>
              <w:pStyle w:val="13"/>
            </w:pPr>
            <w:r>
              <w:t>幼儿园生均公用经费管理办法</w:t>
            </w:r>
          </w:p>
        </w:tc>
      </w:tr>
      <w:tr w14:paraId="6F60F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D0A5F"/>
        </w:tc>
        <w:tc>
          <w:tcPr>
            <w:tcW w:w="2268" w:type="dxa"/>
            <w:vAlign w:val="center"/>
          </w:tcPr>
          <w:p w14:paraId="669BE8DF">
            <w:pPr>
              <w:pStyle w:val="13"/>
            </w:pPr>
            <w:r>
              <w:t>成本指标</w:t>
            </w:r>
          </w:p>
        </w:tc>
        <w:tc>
          <w:tcPr>
            <w:tcW w:w="2835" w:type="dxa"/>
            <w:vAlign w:val="center"/>
          </w:tcPr>
          <w:p w14:paraId="7ADFF631">
            <w:pPr>
              <w:pStyle w:val="13"/>
            </w:pPr>
            <w:r>
              <w:t>生均拨款标准</w:t>
            </w:r>
          </w:p>
        </w:tc>
        <w:tc>
          <w:tcPr>
            <w:tcW w:w="5386" w:type="dxa"/>
            <w:vAlign w:val="center"/>
          </w:tcPr>
          <w:p w14:paraId="29485B15">
            <w:pPr>
              <w:pStyle w:val="13"/>
            </w:pPr>
            <w:r>
              <w:t>学前经费600元/生/年</w:t>
            </w:r>
          </w:p>
        </w:tc>
        <w:tc>
          <w:tcPr>
            <w:tcW w:w="2268" w:type="dxa"/>
            <w:vAlign w:val="center"/>
          </w:tcPr>
          <w:p w14:paraId="26D495AC">
            <w:pPr>
              <w:pStyle w:val="13"/>
            </w:pPr>
            <w:r>
              <w:t>600元</w:t>
            </w:r>
          </w:p>
        </w:tc>
        <w:tc>
          <w:tcPr>
            <w:tcW w:w="1276" w:type="dxa"/>
            <w:vAlign w:val="center"/>
          </w:tcPr>
          <w:p w14:paraId="7DF8C317">
            <w:pPr>
              <w:pStyle w:val="13"/>
            </w:pPr>
            <w:r>
              <w:t>幼儿园生均公用经费管理办法</w:t>
            </w:r>
          </w:p>
        </w:tc>
      </w:tr>
      <w:tr w14:paraId="24762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7100BD">
            <w:pPr>
              <w:pStyle w:val="12"/>
            </w:pPr>
            <w:r>
              <w:t>效益指标</w:t>
            </w:r>
          </w:p>
        </w:tc>
        <w:tc>
          <w:tcPr>
            <w:tcW w:w="2268" w:type="dxa"/>
            <w:vAlign w:val="center"/>
          </w:tcPr>
          <w:p w14:paraId="0BE17EF9">
            <w:pPr>
              <w:pStyle w:val="13"/>
            </w:pPr>
            <w:r>
              <w:t>可持续影响指标</w:t>
            </w:r>
          </w:p>
        </w:tc>
        <w:tc>
          <w:tcPr>
            <w:tcW w:w="2835" w:type="dxa"/>
            <w:vAlign w:val="center"/>
          </w:tcPr>
          <w:p w14:paraId="37921F0B">
            <w:pPr>
              <w:pStyle w:val="13"/>
            </w:pPr>
            <w:r>
              <w:t>教育发展水平明显好转</w:t>
            </w:r>
          </w:p>
        </w:tc>
        <w:tc>
          <w:tcPr>
            <w:tcW w:w="5386" w:type="dxa"/>
            <w:vAlign w:val="center"/>
          </w:tcPr>
          <w:p w14:paraId="116E4811">
            <w:pPr>
              <w:pStyle w:val="13"/>
            </w:pPr>
            <w:r>
              <w:t>学生受教育年限</w:t>
            </w:r>
          </w:p>
        </w:tc>
        <w:tc>
          <w:tcPr>
            <w:tcW w:w="2268" w:type="dxa"/>
            <w:vAlign w:val="center"/>
          </w:tcPr>
          <w:p w14:paraId="1E6E1E50">
            <w:pPr>
              <w:pStyle w:val="13"/>
            </w:pPr>
            <w:r>
              <w:t>3年</w:t>
            </w:r>
          </w:p>
        </w:tc>
        <w:tc>
          <w:tcPr>
            <w:tcW w:w="1276" w:type="dxa"/>
            <w:vAlign w:val="center"/>
          </w:tcPr>
          <w:p w14:paraId="4396687C">
            <w:pPr>
              <w:pStyle w:val="13"/>
            </w:pPr>
            <w:r>
              <w:t>幼儿园生均公用经费管理办法</w:t>
            </w:r>
          </w:p>
        </w:tc>
      </w:tr>
      <w:tr w14:paraId="556CD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C5A2B2">
            <w:pPr>
              <w:pStyle w:val="12"/>
            </w:pPr>
            <w:r>
              <w:t>满意度指标</w:t>
            </w:r>
          </w:p>
        </w:tc>
        <w:tc>
          <w:tcPr>
            <w:tcW w:w="2268" w:type="dxa"/>
            <w:vAlign w:val="center"/>
          </w:tcPr>
          <w:p w14:paraId="4940C98E">
            <w:pPr>
              <w:pStyle w:val="13"/>
            </w:pPr>
            <w:r>
              <w:t>服务对象满意度指标</w:t>
            </w:r>
          </w:p>
        </w:tc>
        <w:tc>
          <w:tcPr>
            <w:tcW w:w="2835" w:type="dxa"/>
            <w:vAlign w:val="center"/>
          </w:tcPr>
          <w:p w14:paraId="083A3045">
            <w:pPr>
              <w:pStyle w:val="13"/>
            </w:pPr>
            <w:r>
              <w:t>受益学生家长及调查满意度</w:t>
            </w:r>
          </w:p>
        </w:tc>
        <w:tc>
          <w:tcPr>
            <w:tcW w:w="5386" w:type="dxa"/>
            <w:vAlign w:val="center"/>
          </w:tcPr>
          <w:p w14:paraId="07628684">
            <w:pPr>
              <w:pStyle w:val="13"/>
            </w:pPr>
            <w:r>
              <w:t>学生、教师及家长对学校保教保育工作满意度情况</w:t>
            </w:r>
          </w:p>
        </w:tc>
        <w:tc>
          <w:tcPr>
            <w:tcW w:w="2268" w:type="dxa"/>
            <w:vAlign w:val="center"/>
          </w:tcPr>
          <w:p w14:paraId="299F0576">
            <w:pPr>
              <w:pStyle w:val="13"/>
            </w:pPr>
            <w:r>
              <w:t>≥95%</w:t>
            </w:r>
          </w:p>
        </w:tc>
        <w:tc>
          <w:tcPr>
            <w:tcW w:w="1276" w:type="dxa"/>
            <w:vAlign w:val="center"/>
          </w:tcPr>
          <w:p w14:paraId="57331A07">
            <w:pPr>
              <w:pStyle w:val="13"/>
            </w:pPr>
            <w:r>
              <w:t>调查问卷</w:t>
            </w:r>
          </w:p>
        </w:tc>
      </w:tr>
    </w:tbl>
    <w:p w14:paraId="18D56B48">
      <w:pPr>
        <w:sectPr>
          <w:pgSz w:w="16840" w:h="11900" w:orient="landscape"/>
          <w:pgMar w:top="1361" w:right="1020" w:bottom="1134" w:left="1020" w:header="720" w:footer="720" w:gutter="0"/>
          <w:cols w:space="720" w:num="1"/>
        </w:sectPr>
      </w:pPr>
    </w:p>
    <w:p w14:paraId="669F0B9B">
      <w:pPr>
        <w:spacing w:before="0" w:after="0"/>
        <w:ind w:firstLine="560"/>
        <w:jc w:val="left"/>
        <w:outlineLvl w:val="9"/>
      </w:pPr>
      <w:r>
        <w:rPr>
          <w:rFonts w:ascii="方正仿宋_GBK" w:hAnsi="方正仿宋_GBK" w:eastAsia="方正仿宋_GBK" w:cs="方正仿宋_GBK"/>
          <w:b/>
          <w:color w:val="000000"/>
          <w:sz w:val="28"/>
        </w:rPr>
        <w:t>90、冀财教[2024]142号/省级/2025年学前发展资金/民办普惠园学前教育幼儿资助绩效目标表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3E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D44F2">
            <w:pPr>
              <w:pStyle w:val="14"/>
            </w:pPr>
            <w:r>
              <w:t>单位：万元</w:t>
            </w:r>
          </w:p>
        </w:tc>
      </w:tr>
      <w:tr w14:paraId="11305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C40D42">
            <w:pPr>
              <w:pStyle w:val="11"/>
            </w:pPr>
            <w:r>
              <w:t>项目编码</w:t>
            </w:r>
          </w:p>
        </w:tc>
        <w:tc>
          <w:tcPr>
            <w:tcW w:w="5103" w:type="dxa"/>
            <w:gridSpan w:val="2"/>
            <w:vAlign w:val="center"/>
          </w:tcPr>
          <w:p w14:paraId="56A66D78">
            <w:pPr>
              <w:pStyle w:val="13"/>
            </w:pPr>
            <w:r>
              <w:t>13052525P00000210063N</w:t>
            </w:r>
          </w:p>
        </w:tc>
        <w:tc>
          <w:tcPr>
            <w:tcW w:w="2835" w:type="dxa"/>
            <w:vAlign w:val="center"/>
          </w:tcPr>
          <w:p w14:paraId="3A867103">
            <w:pPr>
              <w:pStyle w:val="11"/>
            </w:pPr>
            <w:r>
              <w:t>项目名称</w:t>
            </w:r>
          </w:p>
        </w:tc>
        <w:tc>
          <w:tcPr>
            <w:tcW w:w="6095" w:type="dxa"/>
            <w:gridSpan w:val="3"/>
            <w:vAlign w:val="center"/>
          </w:tcPr>
          <w:p w14:paraId="2527C734">
            <w:pPr>
              <w:pStyle w:val="13"/>
            </w:pPr>
            <w:r>
              <w:t>冀财教[2024]142号/省级/2025年学前发展资金/民办普惠园学前教育幼儿资助</w:t>
            </w:r>
          </w:p>
        </w:tc>
      </w:tr>
      <w:tr w14:paraId="04AED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27CB1499">
            <w:pPr>
              <w:pStyle w:val="11"/>
            </w:pPr>
            <w:r>
              <w:t>预算规模及资金用途</w:t>
            </w:r>
          </w:p>
        </w:tc>
        <w:tc>
          <w:tcPr>
            <w:tcW w:w="2268" w:type="dxa"/>
            <w:vAlign w:val="center"/>
          </w:tcPr>
          <w:p w14:paraId="4EC92453">
            <w:pPr>
              <w:pStyle w:val="11"/>
            </w:pPr>
            <w:r>
              <w:t>预算数</w:t>
            </w:r>
          </w:p>
        </w:tc>
        <w:tc>
          <w:tcPr>
            <w:tcW w:w="2835" w:type="dxa"/>
            <w:vAlign w:val="center"/>
          </w:tcPr>
          <w:p w14:paraId="2F301D91">
            <w:pPr>
              <w:pStyle w:val="13"/>
            </w:pPr>
            <w:r>
              <w:t>5.30</w:t>
            </w:r>
          </w:p>
        </w:tc>
        <w:tc>
          <w:tcPr>
            <w:tcW w:w="2835" w:type="dxa"/>
            <w:vAlign w:val="center"/>
          </w:tcPr>
          <w:p w14:paraId="4E08D543">
            <w:pPr>
              <w:pStyle w:val="11"/>
            </w:pPr>
            <w:r>
              <w:t>其中：财政    资金</w:t>
            </w:r>
          </w:p>
        </w:tc>
        <w:tc>
          <w:tcPr>
            <w:tcW w:w="2551" w:type="dxa"/>
            <w:vAlign w:val="center"/>
          </w:tcPr>
          <w:p w14:paraId="007AD53B">
            <w:pPr>
              <w:pStyle w:val="13"/>
            </w:pPr>
            <w:r>
              <w:t>5.30</w:t>
            </w:r>
          </w:p>
        </w:tc>
        <w:tc>
          <w:tcPr>
            <w:tcW w:w="2268" w:type="dxa"/>
            <w:vAlign w:val="center"/>
          </w:tcPr>
          <w:p w14:paraId="555754FA">
            <w:pPr>
              <w:pStyle w:val="11"/>
            </w:pPr>
            <w:r>
              <w:t>其他资金</w:t>
            </w:r>
          </w:p>
        </w:tc>
        <w:tc>
          <w:tcPr>
            <w:tcW w:w="1276" w:type="dxa"/>
            <w:vAlign w:val="center"/>
          </w:tcPr>
          <w:p w14:paraId="5AA50ADB">
            <w:pPr>
              <w:pStyle w:val="13"/>
            </w:pPr>
            <w:r>
              <w:t xml:space="preserve"> </w:t>
            </w:r>
          </w:p>
        </w:tc>
      </w:tr>
      <w:tr w14:paraId="45E953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B2DCF2"/>
        </w:tc>
        <w:tc>
          <w:tcPr>
            <w:tcW w:w="14033" w:type="dxa"/>
            <w:gridSpan w:val="6"/>
            <w:vAlign w:val="center"/>
          </w:tcPr>
          <w:p w14:paraId="098BF6B8">
            <w:pPr>
              <w:pStyle w:val="13"/>
            </w:pPr>
            <w:r>
              <w:t>保障落实建档立卡及家庭经济困难儿童资助所需资金，确保建档立卡等家庭经济困难幼儿优先获得资助</w:t>
            </w:r>
            <w:r>
              <w:tab/>
            </w:r>
            <w:r>
              <w:tab/>
            </w:r>
            <w:r>
              <w:tab/>
            </w:r>
            <w:r>
              <w:tab/>
            </w:r>
            <w:r>
              <w:tab/>
            </w:r>
            <w:r>
              <w:tab/>
            </w:r>
          </w:p>
          <w:p w14:paraId="4D080D73">
            <w:pPr>
              <w:pStyle w:val="13"/>
            </w:pPr>
          </w:p>
        </w:tc>
      </w:tr>
      <w:tr w14:paraId="5033A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643C6">
            <w:pPr>
              <w:pStyle w:val="11"/>
            </w:pPr>
            <w:r>
              <w:t>资金支出计划（%）</w:t>
            </w:r>
          </w:p>
        </w:tc>
        <w:tc>
          <w:tcPr>
            <w:tcW w:w="5103" w:type="dxa"/>
            <w:gridSpan w:val="2"/>
            <w:vAlign w:val="center"/>
          </w:tcPr>
          <w:p w14:paraId="4D5CC66C">
            <w:pPr>
              <w:pStyle w:val="11"/>
            </w:pPr>
            <w:r>
              <w:t>3月底</w:t>
            </w:r>
          </w:p>
        </w:tc>
        <w:tc>
          <w:tcPr>
            <w:tcW w:w="2835" w:type="dxa"/>
            <w:vAlign w:val="center"/>
          </w:tcPr>
          <w:p w14:paraId="2F4AF77C">
            <w:pPr>
              <w:pStyle w:val="11"/>
            </w:pPr>
            <w:r>
              <w:t>6月底</w:t>
            </w:r>
          </w:p>
        </w:tc>
        <w:tc>
          <w:tcPr>
            <w:tcW w:w="2551" w:type="dxa"/>
            <w:vAlign w:val="center"/>
          </w:tcPr>
          <w:p w14:paraId="2A16269E">
            <w:pPr>
              <w:pStyle w:val="11"/>
            </w:pPr>
            <w:r>
              <w:t>10月底</w:t>
            </w:r>
          </w:p>
        </w:tc>
        <w:tc>
          <w:tcPr>
            <w:tcW w:w="3544" w:type="dxa"/>
            <w:gridSpan w:val="2"/>
            <w:vAlign w:val="center"/>
          </w:tcPr>
          <w:p w14:paraId="15633192">
            <w:pPr>
              <w:pStyle w:val="11"/>
            </w:pPr>
            <w:r>
              <w:t>12月底</w:t>
            </w:r>
          </w:p>
        </w:tc>
      </w:tr>
      <w:tr w14:paraId="0EB35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FD7C1"/>
        </w:tc>
        <w:tc>
          <w:tcPr>
            <w:tcW w:w="5103" w:type="dxa"/>
            <w:gridSpan w:val="2"/>
            <w:vAlign w:val="center"/>
          </w:tcPr>
          <w:p w14:paraId="4E3C8850">
            <w:pPr>
              <w:pStyle w:val="12"/>
            </w:pPr>
            <w:r>
              <w:t xml:space="preserve"> </w:t>
            </w:r>
          </w:p>
        </w:tc>
        <w:tc>
          <w:tcPr>
            <w:tcW w:w="2835" w:type="dxa"/>
            <w:vAlign w:val="center"/>
          </w:tcPr>
          <w:p w14:paraId="36F5E6AB">
            <w:pPr>
              <w:pStyle w:val="12"/>
            </w:pPr>
            <w:r>
              <w:t>50%</w:t>
            </w:r>
          </w:p>
        </w:tc>
        <w:tc>
          <w:tcPr>
            <w:tcW w:w="2551" w:type="dxa"/>
            <w:vAlign w:val="center"/>
          </w:tcPr>
          <w:p w14:paraId="52EAF7DF">
            <w:pPr>
              <w:pStyle w:val="12"/>
            </w:pPr>
            <w:r>
              <w:t>75%</w:t>
            </w:r>
          </w:p>
        </w:tc>
        <w:tc>
          <w:tcPr>
            <w:tcW w:w="3544" w:type="dxa"/>
            <w:gridSpan w:val="2"/>
            <w:vAlign w:val="center"/>
          </w:tcPr>
          <w:p w14:paraId="2D19BC33">
            <w:pPr>
              <w:pStyle w:val="12"/>
            </w:pPr>
            <w:r>
              <w:t>100%</w:t>
            </w:r>
          </w:p>
        </w:tc>
      </w:tr>
      <w:tr w14:paraId="6CD03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CAE127">
            <w:pPr>
              <w:pStyle w:val="11"/>
            </w:pPr>
            <w:r>
              <w:t>绩效目标</w:t>
            </w:r>
          </w:p>
        </w:tc>
        <w:tc>
          <w:tcPr>
            <w:tcW w:w="14033" w:type="dxa"/>
            <w:gridSpan w:val="6"/>
            <w:vAlign w:val="center"/>
          </w:tcPr>
          <w:p w14:paraId="46AB042F">
            <w:pPr>
              <w:pStyle w:val="13"/>
            </w:pPr>
            <w:r>
              <w:t>1.保障落实建档立卡及家庭经济困难儿童资助所需资金，确保建档立卡等家庭经济困难幼儿优先获得资助</w:t>
            </w:r>
          </w:p>
        </w:tc>
      </w:tr>
    </w:tbl>
    <w:p w14:paraId="7E26C0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A7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F6EC7">
            <w:pPr>
              <w:pStyle w:val="11"/>
            </w:pPr>
            <w:r>
              <w:t>一级指标</w:t>
            </w:r>
          </w:p>
        </w:tc>
        <w:tc>
          <w:tcPr>
            <w:tcW w:w="2268" w:type="dxa"/>
            <w:vAlign w:val="center"/>
          </w:tcPr>
          <w:p w14:paraId="1EB5B60A">
            <w:pPr>
              <w:pStyle w:val="11"/>
            </w:pPr>
            <w:r>
              <w:t>二级指标</w:t>
            </w:r>
          </w:p>
        </w:tc>
        <w:tc>
          <w:tcPr>
            <w:tcW w:w="2835" w:type="dxa"/>
            <w:vAlign w:val="center"/>
          </w:tcPr>
          <w:p w14:paraId="23AEB6A1">
            <w:pPr>
              <w:pStyle w:val="11"/>
            </w:pPr>
            <w:r>
              <w:t>三级指标</w:t>
            </w:r>
          </w:p>
        </w:tc>
        <w:tc>
          <w:tcPr>
            <w:tcW w:w="5386" w:type="dxa"/>
            <w:vAlign w:val="center"/>
          </w:tcPr>
          <w:p w14:paraId="20B91F44">
            <w:pPr>
              <w:pStyle w:val="11"/>
            </w:pPr>
            <w:r>
              <w:t>绩效指标描述</w:t>
            </w:r>
          </w:p>
        </w:tc>
        <w:tc>
          <w:tcPr>
            <w:tcW w:w="2268" w:type="dxa"/>
            <w:vAlign w:val="center"/>
          </w:tcPr>
          <w:p w14:paraId="5BF29838">
            <w:pPr>
              <w:pStyle w:val="11"/>
            </w:pPr>
            <w:r>
              <w:t>指标值</w:t>
            </w:r>
          </w:p>
        </w:tc>
        <w:tc>
          <w:tcPr>
            <w:tcW w:w="1276" w:type="dxa"/>
            <w:vAlign w:val="center"/>
          </w:tcPr>
          <w:p w14:paraId="1765AF56">
            <w:pPr>
              <w:pStyle w:val="11"/>
            </w:pPr>
            <w:r>
              <w:t>指标值确定依据</w:t>
            </w:r>
          </w:p>
        </w:tc>
      </w:tr>
      <w:tr w14:paraId="4A260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A70FA">
            <w:pPr>
              <w:pStyle w:val="12"/>
            </w:pPr>
            <w:r>
              <w:t>产出指标</w:t>
            </w:r>
          </w:p>
        </w:tc>
        <w:tc>
          <w:tcPr>
            <w:tcW w:w="2268" w:type="dxa"/>
            <w:vAlign w:val="center"/>
          </w:tcPr>
          <w:p w14:paraId="07BD2D99">
            <w:pPr>
              <w:pStyle w:val="13"/>
            </w:pPr>
            <w:r>
              <w:t>数量指标</w:t>
            </w:r>
          </w:p>
        </w:tc>
        <w:tc>
          <w:tcPr>
            <w:tcW w:w="2835" w:type="dxa"/>
            <w:vAlign w:val="center"/>
          </w:tcPr>
          <w:p w14:paraId="4DCBA9E7">
            <w:pPr>
              <w:pStyle w:val="13"/>
            </w:pPr>
            <w:r>
              <w:t>幼儿资助比例</w:t>
            </w:r>
          </w:p>
        </w:tc>
        <w:tc>
          <w:tcPr>
            <w:tcW w:w="5386" w:type="dxa"/>
            <w:vAlign w:val="center"/>
          </w:tcPr>
          <w:p w14:paraId="5E1952B2">
            <w:pPr>
              <w:pStyle w:val="13"/>
            </w:pPr>
            <w:r>
              <w:t>按学前适龄在园儿童10%测算</w:t>
            </w:r>
          </w:p>
        </w:tc>
        <w:tc>
          <w:tcPr>
            <w:tcW w:w="2268" w:type="dxa"/>
            <w:vAlign w:val="center"/>
          </w:tcPr>
          <w:p w14:paraId="53E950BC">
            <w:pPr>
              <w:pStyle w:val="13"/>
            </w:pPr>
            <w:r>
              <w:t>265人</w:t>
            </w:r>
          </w:p>
        </w:tc>
        <w:tc>
          <w:tcPr>
            <w:tcW w:w="1276" w:type="dxa"/>
            <w:vAlign w:val="center"/>
          </w:tcPr>
          <w:p w14:paraId="1560140B">
            <w:pPr>
              <w:pStyle w:val="13"/>
            </w:pPr>
            <w:r>
              <w:t>幼儿资助经费管理办法</w:t>
            </w:r>
          </w:p>
        </w:tc>
      </w:tr>
      <w:tr w14:paraId="2F2C1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58431"/>
        </w:tc>
        <w:tc>
          <w:tcPr>
            <w:tcW w:w="2268" w:type="dxa"/>
            <w:vAlign w:val="center"/>
          </w:tcPr>
          <w:p w14:paraId="1DB8B878">
            <w:pPr>
              <w:pStyle w:val="13"/>
            </w:pPr>
            <w:r>
              <w:t>质量指标</w:t>
            </w:r>
          </w:p>
        </w:tc>
        <w:tc>
          <w:tcPr>
            <w:tcW w:w="2835" w:type="dxa"/>
            <w:vAlign w:val="center"/>
          </w:tcPr>
          <w:p w14:paraId="35B6D083">
            <w:pPr>
              <w:pStyle w:val="13"/>
            </w:pPr>
            <w:r>
              <w:t>学前教育资助制度落实情况</w:t>
            </w:r>
          </w:p>
        </w:tc>
        <w:tc>
          <w:tcPr>
            <w:tcW w:w="5386" w:type="dxa"/>
            <w:vAlign w:val="center"/>
          </w:tcPr>
          <w:p w14:paraId="3D48B84F">
            <w:pPr>
              <w:pStyle w:val="13"/>
            </w:pPr>
            <w:r>
              <w:t>符合享受资助条件的学生应助尽助</w:t>
            </w:r>
          </w:p>
        </w:tc>
        <w:tc>
          <w:tcPr>
            <w:tcW w:w="2268" w:type="dxa"/>
            <w:vAlign w:val="center"/>
          </w:tcPr>
          <w:p w14:paraId="77190DD3">
            <w:pPr>
              <w:pStyle w:val="13"/>
            </w:pPr>
            <w:r>
              <w:t>≥100%</w:t>
            </w:r>
          </w:p>
        </w:tc>
        <w:tc>
          <w:tcPr>
            <w:tcW w:w="1276" w:type="dxa"/>
            <w:vAlign w:val="center"/>
          </w:tcPr>
          <w:p w14:paraId="580E7CE7">
            <w:pPr>
              <w:pStyle w:val="13"/>
            </w:pPr>
            <w:r>
              <w:t>幼儿资助经费管理办法</w:t>
            </w:r>
          </w:p>
        </w:tc>
      </w:tr>
      <w:tr w14:paraId="46E14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2ECBD"/>
        </w:tc>
        <w:tc>
          <w:tcPr>
            <w:tcW w:w="2268" w:type="dxa"/>
            <w:vAlign w:val="center"/>
          </w:tcPr>
          <w:p w14:paraId="2A904440">
            <w:pPr>
              <w:pStyle w:val="13"/>
            </w:pPr>
            <w:r>
              <w:t>时效指标</w:t>
            </w:r>
          </w:p>
        </w:tc>
        <w:tc>
          <w:tcPr>
            <w:tcW w:w="2835" w:type="dxa"/>
            <w:vAlign w:val="center"/>
          </w:tcPr>
          <w:p w14:paraId="0B007DCC">
            <w:pPr>
              <w:pStyle w:val="13"/>
            </w:pPr>
            <w:r>
              <w:t>资金拨付率</w:t>
            </w:r>
          </w:p>
        </w:tc>
        <w:tc>
          <w:tcPr>
            <w:tcW w:w="5386" w:type="dxa"/>
            <w:vAlign w:val="center"/>
          </w:tcPr>
          <w:p w14:paraId="52E642B5">
            <w:pPr>
              <w:pStyle w:val="13"/>
            </w:pPr>
            <w:r>
              <w:t>所有项目资金支付进度</w:t>
            </w:r>
          </w:p>
        </w:tc>
        <w:tc>
          <w:tcPr>
            <w:tcW w:w="2268" w:type="dxa"/>
            <w:vAlign w:val="center"/>
          </w:tcPr>
          <w:p w14:paraId="5146975B">
            <w:pPr>
              <w:pStyle w:val="13"/>
            </w:pPr>
            <w:r>
              <w:t>≥100%</w:t>
            </w:r>
          </w:p>
        </w:tc>
        <w:tc>
          <w:tcPr>
            <w:tcW w:w="1276" w:type="dxa"/>
            <w:vAlign w:val="center"/>
          </w:tcPr>
          <w:p w14:paraId="067C7C4D">
            <w:pPr>
              <w:pStyle w:val="13"/>
            </w:pPr>
            <w:r>
              <w:t>幼儿资助经费管理办法</w:t>
            </w:r>
          </w:p>
        </w:tc>
      </w:tr>
      <w:tr w14:paraId="214C3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81E1"/>
        </w:tc>
        <w:tc>
          <w:tcPr>
            <w:tcW w:w="2268" w:type="dxa"/>
            <w:vAlign w:val="center"/>
          </w:tcPr>
          <w:p w14:paraId="6DF034B8">
            <w:pPr>
              <w:pStyle w:val="13"/>
            </w:pPr>
            <w:r>
              <w:t>成本指标</w:t>
            </w:r>
          </w:p>
        </w:tc>
        <w:tc>
          <w:tcPr>
            <w:tcW w:w="2835" w:type="dxa"/>
            <w:vAlign w:val="center"/>
          </w:tcPr>
          <w:p w14:paraId="2F0CF675">
            <w:pPr>
              <w:pStyle w:val="13"/>
            </w:pPr>
            <w:r>
              <w:t>成本控制率(%)</w:t>
            </w:r>
          </w:p>
        </w:tc>
        <w:tc>
          <w:tcPr>
            <w:tcW w:w="5386" w:type="dxa"/>
            <w:vAlign w:val="center"/>
          </w:tcPr>
          <w:p w14:paraId="4FF3B565">
            <w:pPr>
              <w:pStyle w:val="13"/>
            </w:pPr>
            <w:r>
              <w:t>幼儿生均资助标准</w:t>
            </w:r>
          </w:p>
        </w:tc>
        <w:tc>
          <w:tcPr>
            <w:tcW w:w="2268" w:type="dxa"/>
            <w:vAlign w:val="center"/>
          </w:tcPr>
          <w:p w14:paraId="0A0F6D02">
            <w:pPr>
              <w:pStyle w:val="13"/>
            </w:pPr>
            <w:r>
              <w:t>1000元</w:t>
            </w:r>
          </w:p>
        </w:tc>
        <w:tc>
          <w:tcPr>
            <w:tcW w:w="1276" w:type="dxa"/>
            <w:vAlign w:val="center"/>
          </w:tcPr>
          <w:p w14:paraId="6CCDB27E">
            <w:pPr>
              <w:pStyle w:val="13"/>
            </w:pPr>
            <w:r>
              <w:t>幼儿资助经费管理办法</w:t>
            </w:r>
          </w:p>
        </w:tc>
      </w:tr>
      <w:tr w14:paraId="48AE8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AF39BB">
            <w:pPr>
              <w:pStyle w:val="12"/>
            </w:pPr>
            <w:r>
              <w:t>效益指标</w:t>
            </w:r>
          </w:p>
        </w:tc>
        <w:tc>
          <w:tcPr>
            <w:tcW w:w="2268" w:type="dxa"/>
            <w:vAlign w:val="center"/>
          </w:tcPr>
          <w:p w14:paraId="7679A023">
            <w:pPr>
              <w:pStyle w:val="13"/>
            </w:pPr>
            <w:r>
              <w:t>可持续影响指标</w:t>
            </w:r>
          </w:p>
        </w:tc>
        <w:tc>
          <w:tcPr>
            <w:tcW w:w="2835" w:type="dxa"/>
            <w:vAlign w:val="center"/>
          </w:tcPr>
          <w:p w14:paraId="37F607B7">
            <w:pPr>
              <w:pStyle w:val="13"/>
            </w:pPr>
            <w:r>
              <w:t>幼儿园办园能力提升</w:t>
            </w:r>
          </w:p>
        </w:tc>
        <w:tc>
          <w:tcPr>
            <w:tcW w:w="5386" w:type="dxa"/>
            <w:vAlign w:val="center"/>
          </w:tcPr>
          <w:p w14:paraId="33511FF1">
            <w:pPr>
              <w:pStyle w:val="13"/>
            </w:pPr>
            <w:r>
              <w:t>农村幼儿园办学能力升情况及教育教学工作等开展的情况</w:t>
            </w:r>
          </w:p>
        </w:tc>
        <w:tc>
          <w:tcPr>
            <w:tcW w:w="2268" w:type="dxa"/>
            <w:vAlign w:val="center"/>
          </w:tcPr>
          <w:p w14:paraId="37990F14">
            <w:pPr>
              <w:pStyle w:val="13"/>
            </w:pPr>
            <w:r>
              <w:t>≥90%</w:t>
            </w:r>
          </w:p>
        </w:tc>
        <w:tc>
          <w:tcPr>
            <w:tcW w:w="1276" w:type="dxa"/>
            <w:vAlign w:val="center"/>
          </w:tcPr>
          <w:p w14:paraId="03614168">
            <w:pPr>
              <w:pStyle w:val="13"/>
            </w:pPr>
            <w:r>
              <w:t>幼儿资助经费管理办法</w:t>
            </w:r>
          </w:p>
        </w:tc>
      </w:tr>
      <w:tr w14:paraId="1133D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5186DE">
            <w:pPr>
              <w:pStyle w:val="12"/>
            </w:pPr>
            <w:r>
              <w:t>满意度指标</w:t>
            </w:r>
          </w:p>
        </w:tc>
        <w:tc>
          <w:tcPr>
            <w:tcW w:w="2268" w:type="dxa"/>
            <w:vAlign w:val="center"/>
          </w:tcPr>
          <w:p w14:paraId="0C97A266">
            <w:pPr>
              <w:pStyle w:val="13"/>
            </w:pPr>
            <w:r>
              <w:t>服务对象满意度指标</w:t>
            </w:r>
          </w:p>
        </w:tc>
        <w:tc>
          <w:tcPr>
            <w:tcW w:w="2835" w:type="dxa"/>
            <w:vAlign w:val="center"/>
          </w:tcPr>
          <w:p w14:paraId="07424024">
            <w:pPr>
              <w:pStyle w:val="13"/>
            </w:pPr>
            <w:r>
              <w:t>受益幼儿家长及调查满意度</w:t>
            </w:r>
          </w:p>
        </w:tc>
        <w:tc>
          <w:tcPr>
            <w:tcW w:w="5386" w:type="dxa"/>
            <w:vAlign w:val="center"/>
          </w:tcPr>
          <w:p w14:paraId="36BBF62C">
            <w:pPr>
              <w:pStyle w:val="13"/>
            </w:pPr>
            <w:r>
              <w:t>学生、教师及家长对学校保教保育工作满意度情况</w:t>
            </w:r>
          </w:p>
        </w:tc>
        <w:tc>
          <w:tcPr>
            <w:tcW w:w="2268" w:type="dxa"/>
            <w:vAlign w:val="center"/>
          </w:tcPr>
          <w:p w14:paraId="6FDE5BC3">
            <w:pPr>
              <w:pStyle w:val="13"/>
            </w:pPr>
            <w:r>
              <w:t>≥95%</w:t>
            </w:r>
          </w:p>
        </w:tc>
        <w:tc>
          <w:tcPr>
            <w:tcW w:w="1276" w:type="dxa"/>
            <w:vAlign w:val="center"/>
          </w:tcPr>
          <w:p w14:paraId="4DAFF731">
            <w:pPr>
              <w:pStyle w:val="13"/>
            </w:pPr>
            <w:r>
              <w:t>调查问卷</w:t>
            </w:r>
          </w:p>
        </w:tc>
      </w:tr>
    </w:tbl>
    <w:p w14:paraId="0DDC7281">
      <w:pPr>
        <w:sectPr>
          <w:pgSz w:w="16840" w:h="11900" w:orient="landscape"/>
          <w:pgMar w:top="1361" w:right="1020" w:bottom="1134" w:left="1020" w:header="720" w:footer="720" w:gutter="0"/>
          <w:cols w:space="720" w:num="1"/>
        </w:sectPr>
      </w:pPr>
    </w:p>
    <w:p w14:paraId="3593B2C7">
      <w:pPr>
        <w:spacing w:before="0" w:after="0"/>
        <w:ind w:firstLine="560"/>
        <w:jc w:val="left"/>
        <w:outlineLvl w:val="9"/>
      </w:pPr>
      <w:r>
        <w:rPr>
          <w:rFonts w:ascii="方正仿宋_GBK" w:hAnsi="方正仿宋_GBK" w:eastAsia="方正仿宋_GBK" w:cs="方正仿宋_GBK"/>
          <w:b/>
          <w:color w:val="000000"/>
          <w:sz w:val="28"/>
        </w:rPr>
        <w:t>91、冀财教[2024]67号/中央/2024年义教经费/表方中学（小学）公用经费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65ABBD5C">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91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11A17">
            <w:pPr>
              <w:pStyle w:val="14"/>
            </w:pPr>
            <w:r>
              <w:t>单位：万元</w:t>
            </w:r>
          </w:p>
        </w:tc>
      </w:tr>
      <w:tr w14:paraId="4DB37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658800">
            <w:pPr>
              <w:pStyle w:val="11"/>
            </w:pPr>
            <w:r>
              <w:t>项目编码</w:t>
            </w:r>
          </w:p>
        </w:tc>
        <w:tc>
          <w:tcPr>
            <w:tcW w:w="5103" w:type="dxa"/>
            <w:gridSpan w:val="2"/>
            <w:vAlign w:val="center"/>
          </w:tcPr>
          <w:p w14:paraId="05964F4D">
            <w:pPr>
              <w:pStyle w:val="13"/>
            </w:pPr>
            <w:r>
              <w:t>13052524P00000611460C</w:t>
            </w:r>
          </w:p>
        </w:tc>
        <w:tc>
          <w:tcPr>
            <w:tcW w:w="2835" w:type="dxa"/>
            <w:vAlign w:val="center"/>
          </w:tcPr>
          <w:p w14:paraId="721B506E">
            <w:pPr>
              <w:pStyle w:val="11"/>
            </w:pPr>
            <w:r>
              <w:t>项目名称</w:t>
            </w:r>
          </w:p>
        </w:tc>
        <w:tc>
          <w:tcPr>
            <w:tcW w:w="6095" w:type="dxa"/>
            <w:gridSpan w:val="3"/>
            <w:vAlign w:val="center"/>
          </w:tcPr>
          <w:p w14:paraId="011A61BE">
            <w:pPr>
              <w:pStyle w:val="13"/>
            </w:pPr>
            <w:r>
              <w:t>冀财教[2024]67号/中央/2024年义教经费/表方中学（小学）公用经费</w:t>
            </w:r>
            <w:r>
              <w:tab/>
            </w:r>
            <w:r>
              <w:tab/>
            </w:r>
          </w:p>
          <w:p w14:paraId="071FB315">
            <w:pPr>
              <w:pStyle w:val="13"/>
            </w:pPr>
          </w:p>
        </w:tc>
      </w:tr>
      <w:tr w14:paraId="6E448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40AFE">
            <w:pPr>
              <w:pStyle w:val="11"/>
            </w:pPr>
            <w:r>
              <w:t>预算规模及资金用途</w:t>
            </w:r>
          </w:p>
        </w:tc>
        <w:tc>
          <w:tcPr>
            <w:tcW w:w="2268" w:type="dxa"/>
            <w:vAlign w:val="center"/>
          </w:tcPr>
          <w:p w14:paraId="27345110">
            <w:pPr>
              <w:pStyle w:val="11"/>
            </w:pPr>
            <w:r>
              <w:t>预算数</w:t>
            </w:r>
          </w:p>
        </w:tc>
        <w:tc>
          <w:tcPr>
            <w:tcW w:w="2835" w:type="dxa"/>
            <w:vAlign w:val="center"/>
          </w:tcPr>
          <w:p w14:paraId="6743BBF0">
            <w:pPr>
              <w:pStyle w:val="13"/>
            </w:pPr>
            <w:r>
              <w:t>0.08</w:t>
            </w:r>
          </w:p>
        </w:tc>
        <w:tc>
          <w:tcPr>
            <w:tcW w:w="2835" w:type="dxa"/>
            <w:vAlign w:val="center"/>
          </w:tcPr>
          <w:p w14:paraId="6EA88309">
            <w:pPr>
              <w:pStyle w:val="11"/>
            </w:pPr>
            <w:r>
              <w:t>其中：财政    资金</w:t>
            </w:r>
          </w:p>
        </w:tc>
        <w:tc>
          <w:tcPr>
            <w:tcW w:w="2551" w:type="dxa"/>
            <w:vAlign w:val="center"/>
          </w:tcPr>
          <w:p w14:paraId="70D91972">
            <w:pPr>
              <w:pStyle w:val="13"/>
            </w:pPr>
            <w:r>
              <w:t>0.08</w:t>
            </w:r>
          </w:p>
        </w:tc>
        <w:tc>
          <w:tcPr>
            <w:tcW w:w="2268" w:type="dxa"/>
            <w:vAlign w:val="center"/>
          </w:tcPr>
          <w:p w14:paraId="0963CD3C">
            <w:pPr>
              <w:pStyle w:val="11"/>
            </w:pPr>
            <w:r>
              <w:t>其他资金</w:t>
            </w:r>
          </w:p>
        </w:tc>
        <w:tc>
          <w:tcPr>
            <w:tcW w:w="1276" w:type="dxa"/>
            <w:vAlign w:val="center"/>
          </w:tcPr>
          <w:p w14:paraId="518A7404">
            <w:pPr>
              <w:pStyle w:val="13"/>
            </w:pPr>
            <w:r>
              <w:t xml:space="preserve"> </w:t>
            </w:r>
          </w:p>
        </w:tc>
      </w:tr>
      <w:tr w14:paraId="2597E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C8BC7"/>
        </w:tc>
        <w:tc>
          <w:tcPr>
            <w:tcW w:w="14033" w:type="dxa"/>
            <w:gridSpan w:val="6"/>
            <w:vAlign w:val="center"/>
          </w:tcPr>
          <w:p w14:paraId="43C1DB6C">
            <w:pPr>
              <w:pStyle w:val="13"/>
            </w:pPr>
            <w:r>
              <w:t>保障义务教育学校正常运转，完成教育教学活动和其他日常工作任务等方面的费用支出。</w:t>
            </w:r>
          </w:p>
        </w:tc>
      </w:tr>
      <w:tr w14:paraId="1CD3E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E9D99">
            <w:pPr>
              <w:pStyle w:val="11"/>
            </w:pPr>
            <w:r>
              <w:t>资金支出计划（%）</w:t>
            </w:r>
          </w:p>
        </w:tc>
        <w:tc>
          <w:tcPr>
            <w:tcW w:w="5103" w:type="dxa"/>
            <w:gridSpan w:val="2"/>
            <w:vAlign w:val="center"/>
          </w:tcPr>
          <w:p w14:paraId="7E858062">
            <w:pPr>
              <w:pStyle w:val="11"/>
            </w:pPr>
            <w:r>
              <w:t>3月底</w:t>
            </w:r>
          </w:p>
        </w:tc>
        <w:tc>
          <w:tcPr>
            <w:tcW w:w="2835" w:type="dxa"/>
            <w:vAlign w:val="center"/>
          </w:tcPr>
          <w:p w14:paraId="092A2445">
            <w:pPr>
              <w:pStyle w:val="11"/>
            </w:pPr>
            <w:r>
              <w:t>6月底</w:t>
            </w:r>
          </w:p>
        </w:tc>
        <w:tc>
          <w:tcPr>
            <w:tcW w:w="2551" w:type="dxa"/>
            <w:vAlign w:val="center"/>
          </w:tcPr>
          <w:p w14:paraId="1566F307">
            <w:pPr>
              <w:pStyle w:val="11"/>
            </w:pPr>
            <w:r>
              <w:t>10月底</w:t>
            </w:r>
          </w:p>
        </w:tc>
        <w:tc>
          <w:tcPr>
            <w:tcW w:w="3544" w:type="dxa"/>
            <w:gridSpan w:val="2"/>
            <w:vAlign w:val="center"/>
          </w:tcPr>
          <w:p w14:paraId="7853F2EE">
            <w:pPr>
              <w:pStyle w:val="11"/>
            </w:pPr>
            <w:r>
              <w:t>12月底</w:t>
            </w:r>
          </w:p>
        </w:tc>
      </w:tr>
      <w:tr w14:paraId="632B4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CD339"/>
        </w:tc>
        <w:tc>
          <w:tcPr>
            <w:tcW w:w="5103" w:type="dxa"/>
            <w:gridSpan w:val="2"/>
            <w:vAlign w:val="center"/>
          </w:tcPr>
          <w:p w14:paraId="1D765F3A">
            <w:pPr>
              <w:pStyle w:val="12"/>
            </w:pPr>
            <w:r>
              <w:t xml:space="preserve"> </w:t>
            </w:r>
          </w:p>
        </w:tc>
        <w:tc>
          <w:tcPr>
            <w:tcW w:w="2835" w:type="dxa"/>
            <w:vAlign w:val="center"/>
          </w:tcPr>
          <w:p w14:paraId="16308B3D">
            <w:pPr>
              <w:pStyle w:val="12"/>
            </w:pPr>
            <w:r>
              <w:t xml:space="preserve"> </w:t>
            </w:r>
          </w:p>
        </w:tc>
        <w:tc>
          <w:tcPr>
            <w:tcW w:w="2551" w:type="dxa"/>
            <w:vAlign w:val="center"/>
          </w:tcPr>
          <w:p w14:paraId="118CCAAB">
            <w:pPr>
              <w:pStyle w:val="12"/>
            </w:pPr>
            <w:r>
              <w:t>100%</w:t>
            </w:r>
          </w:p>
        </w:tc>
        <w:tc>
          <w:tcPr>
            <w:tcW w:w="3544" w:type="dxa"/>
            <w:gridSpan w:val="2"/>
            <w:vAlign w:val="center"/>
          </w:tcPr>
          <w:p w14:paraId="4D88CB27">
            <w:pPr>
              <w:pStyle w:val="12"/>
            </w:pPr>
            <w:r>
              <w:t xml:space="preserve"> </w:t>
            </w:r>
          </w:p>
        </w:tc>
      </w:tr>
      <w:tr w14:paraId="23E5D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3A3E7">
            <w:pPr>
              <w:pStyle w:val="11"/>
            </w:pPr>
            <w:r>
              <w:t>绩效目标</w:t>
            </w:r>
          </w:p>
        </w:tc>
        <w:tc>
          <w:tcPr>
            <w:tcW w:w="14033" w:type="dxa"/>
            <w:gridSpan w:val="6"/>
            <w:vAlign w:val="center"/>
          </w:tcPr>
          <w:p w14:paraId="51BC607D">
            <w:pPr>
              <w:pStyle w:val="13"/>
            </w:pPr>
          </w:p>
        </w:tc>
      </w:tr>
    </w:tbl>
    <w:p w14:paraId="2C668B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FE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5A3CD">
            <w:pPr>
              <w:pStyle w:val="11"/>
            </w:pPr>
            <w:r>
              <w:t>一级指标</w:t>
            </w:r>
          </w:p>
        </w:tc>
        <w:tc>
          <w:tcPr>
            <w:tcW w:w="2268" w:type="dxa"/>
            <w:vAlign w:val="center"/>
          </w:tcPr>
          <w:p w14:paraId="2B19E598">
            <w:pPr>
              <w:pStyle w:val="11"/>
            </w:pPr>
            <w:r>
              <w:t>二级指标</w:t>
            </w:r>
          </w:p>
        </w:tc>
        <w:tc>
          <w:tcPr>
            <w:tcW w:w="2835" w:type="dxa"/>
            <w:vAlign w:val="center"/>
          </w:tcPr>
          <w:p w14:paraId="6F099B2C">
            <w:pPr>
              <w:pStyle w:val="11"/>
            </w:pPr>
            <w:r>
              <w:t>三级指标</w:t>
            </w:r>
          </w:p>
        </w:tc>
        <w:tc>
          <w:tcPr>
            <w:tcW w:w="5386" w:type="dxa"/>
            <w:gridSpan w:val="2"/>
            <w:vAlign w:val="center"/>
          </w:tcPr>
          <w:p w14:paraId="76417234">
            <w:pPr>
              <w:pStyle w:val="11"/>
            </w:pPr>
            <w:r>
              <w:t>绩效指标描述</w:t>
            </w:r>
          </w:p>
        </w:tc>
        <w:tc>
          <w:tcPr>
            <w:tcW w:w="2268" w:type="dxa"/>
            <w:vAlign w:val="center"/>
          </w:tcPr>
          <w:p w14:paraId="5B19A124">
            <w:pPr>
              <w:pStyle w:val="11"/>
            </w:pPr>
            <w:r>
              <w:t>指标值</w:t>
            </w:r>
          </w:p>
        </w:tc>
        <w:tc>
          <w:tcPr>
            <w:tcW w:w="1276" w:type="dxa"/>
            <w:vAlign w:val="center"/>
          </w:tcPr>
          <w:p w14:paraId="38A8019A">
            <w:pPr>
              <w:pStyle w:val="11"/>
            </w:pPr>
            <w:r>
              <w:t>指标值确定依据</w:t>
            </w:r>
          </w:p>
        </w:tc>
      </w:tr>
      <w:tr w14:paraId="4A3E8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29E9D">
            <w:pPr>
              <w:pStyle w:val="12"/>
            </w:pPr>
          </w:p>
        </w:tc>
        <w:tc>
          <w:tcPr>
            <w:tcW w:w="2268" w:type="dxa"/>
            <w:vAlign w:val="center"/>
          </w:tcPr>
          <w:p w14:paraId="3376A054">
            <w:pPr>
              <w:pStyle w:val="13"/>
            </w:pPr>
          </w:p>
        </w:tc>
        <w:tc>
          <w:tcPr>
            <w:tcW w:w="2835" w:type="dxa"/>
            <w:vAlign w:val="center"/>
          </w:tcPr>
          <w:p w14:paraId="077066D7">
            <w:pPr>
              <w:pStyle w:val="13"/>
            </w:pPr>
          </w:p>
        </w:tc>
        <w:tc>
          <w:tcPr>
            <w:tcW w:w="2835" w:type="dxa"/>
            <w:vAlign w:val="center"/>
          </w:tcPr>
          <w:p w14:paraId="14E8582C">
            <w:pPr>
              <w:pStyle w:val="13"/>
            </w:pPr>
          </w:p>
        </w:tc>
        <w:tc>
          <w:tcPr>
            <w:tcW w:w="2551" w:type="dxa"/>
            <w:vAlign w:val="center"/>
          </w:tcPr>
          <w:p w14:paraId="3CFA4740">
            <w:pPr>
              <w:pStyle w:val="13"/>
            </w:pPr>
          </w:p>
        </w:tc>
        <w:tc>
          <w:tcPr>
            <w:tcW w:w="2268" w:type="dxa"/>
            <w:vAlign w:val="center"/>
          </w:tcPr>
          <w:p w14:paraId="3BF858CE">
            <w:pPr>
              <w:pStyle w:val="13"/>
            </w:pPr>
          </w:p>
        </w:tc>
        <w:tc>
          <w:tcPr>
            <w:tcW w:w="1276" w:type="dxa"/>
            <w:vAlign w:val="center"/>
          </w:tcPr>
          <w:p w14:paraId="5A645C82">
            <w:pPr>
              <w:pStyle w:val="13"/>
            </w:pPr>
          </w:p>
        </w:tc>
      </w:tr>
    </w:tbl>
    <w:p w14:paraId="61CBFDE6">
      <w:pPr>
        <w:sectPr>
          <w:pgSz w:w="16840" w:h="11900" w:orient="landscape"/>
          <w:pgMar w:top="1361" w:right="1020" w:bottom="1134" w:left="1020" w:header="720" w:footer="720" w:gutter="0"/>
          <w:cols w:space="720" w:num="1"/>
        </w:sectPr>
      </w:pPr>
    </w:p>
    <w:p w14:paraId="063B25CB">
      <w:pPr>
        <w:spacing w:before="0" w:after="0"/>
        <w:ind w:firstLine="560"/>
        <w:jc w:val="left"/>
        <w:outlineLvl w:val="9"/>
      </w:pPr>
      <w:r>
        <w:rPr>
          <w:rFonts w:ascii="方正仿宋_GBK" w:hAnsi="方正仿宋_GBK" w:eastAsia="方正仿宋_GBK" w:cs="方正仿宋_GBK"/>
          <w:b/>
          <w:color w:val="000000"/>
          <w:sz w:val="28"/>
        </w:rPr>
        <w:t>92、冀财教[2024]67号/中央/2024年义教经费/成龙六一实验小学公用经费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47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5F39D">
            <w:pPr>
              <w:pStyle w:val="14"/>
            </w:pPr>
            <w:r>
              <w:t>单位：万元</w:t>
            </w:r>
          </w:p>
        </w:tc>
      </w:tr>
      <w:tr w14:paraId="39981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F73091">
            <w:pPr>
              <w:pStyle w:val="11"/>
            </w:pPr>
            <w:r>
              <w:t>项目编码</w:t>
            </w:r>
          </w:p>
        </w:tc>
        <w:tc>
          <w:tcPr>
            <w:tcW w:w="5103" w:type="dxa"/>
            <w:gridSpan w:val="2"/>
            <w:vAlign w:val="center"/>
          </w:tcPr>
          <w:p w14:paraId="328E30D5">
            <w:pPr>
              <w:pStyle w:val="13"/>
            </w:pPr>
            <w:r>
              <w:t>13052524P000006114443</w:t>
            </w:r>
          </w:p>
        </w:tc>
        <w:tc>
          <w:tcPr>
            <w:tcW w:w="2835" w:type="dxa"/>
            <w:vAlign w:val="center"/>
          </w:tcPr>
          <w:p w14:paraId="60331FB9">
            <w:pPr>
              <w:pStyle w:val="11"/>
            </w:pPr>
            <w:r>
              <w:t>项目名称</w:t>
            </w:r>
          </w:p>
        </w:tc>
        <w:tc>
          <w:tcPr>
            <w:tcW w:w="6095" w:type="dxa"/>
            <w:gridSpan w:val="3"/>
            <w:vAlign w:val="center"/>
          </w:tcPr>
          <w:p w14:paraId="1C527230">
            <w:pPr>
              <w:pStyle w:val="13"/>
            </w:pPr>
            <w:r>
              <w:t>冀财教[2024]67号/中央/2024年义教经费/成龙六一实验小学公用经费</w:t>
            </w:r>
            <w:r>
              <w:tab/>
            </w:r>
            <w:r>
              <w:tab/>
            </w:r>
          </w:p>
        </w:tc>
      </w:tr>
      <w:tr w14:paraId="72336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4D327">
            <w:pPr>
              <w:pStyle w:val="11"/>
            </w:pPr>
            <w:r>
              <w:t>预算规模及资金用途</w:t>
            </w:r>
          </w:p>
        </w:tc>
        <w:tc>
          <w:tcPr>
            <w:tcW w:w="2268" w:type="dxa"/>
            <w:vAlign w:val="center"/>
          </w:tcPr>
          <w:p w14:paraId="7F602D0D">
            <w:pPr>
              <w:pStyle w:val="11"/>
            </w:pPr>
            <w:r>
              <w:t>预算数</w:t>
            </w:r>
          </w:p>
        </w:tc>
        <w:tc>
          <w:tcPr>
            <w:tcW w:w="2835" w:type="dxa"/>
            <w:vAlign w:val="center"/>
          </w:tcPr>
          <w:p w14:paraId="224250E9">
            <w:pPr>
              <w:pStyle w:val="13"/>
            </w:pPr>
            <w:r>
              <w:t>0.10</w:t>
            </w:r>
          </w:p>
        </w:tc>
        <w:tc>
          <w:tcPr>
            <w:tcW w:w="2835" w:type="dxa"/>
            <w:vAlign w:val="center"/>
          </w:tcPr>
          <w:p w14:paraId="3CD709EC">
            <w:pPr>
              <w:pStyle w:val="11"/>
            </w:pPr>
            <w:r>
              <w:t>其中：财政    资金</w:t>
            </w:r>
          </w:p>
        </w:tc>
        <w:tc>
          <w:tcPr>
            <w:tcW w:w="2551" w:type="dxa"/>
            <w:vAlign w:val="center"/>
          </w:tcPr>
          <w:p w14:paraId="23D134D7">
            <w:pPr>
              <w:pStyle w:val="13"/>
            </w:pPr>
            <w:r>
              <w:t>0.10</w:t>
            </w:r>
          </w:p>
        </w:tc>
        <w:tc>
          <w:tcPr>
            <w:tcW w:w="2268" w:type="dxa"/>
            <w:vAlign w:val="center"/>
          </w:tcPr>
          <w:p w14:paraId="758DE0A8">
            <w:pPr>
              <w:pStyle w:val="11"/>
            </w:pPr>
            <w:r>
              <w:t>其他资金</w:t>
            </w:r>
          </w:p>
        </w:tc>
        <w:tc>
          <w:tcPr>
            <w:tcW w:w="1276" w:type="dxa"/>
            <w:vAlign w:val="center"/>
          </w:tcPr>
          <w:p w14:paraId="6007E083">
            <w:pPr>
              <w:pStyle w:val="13"/>
            </w:pPr>
            <w:r>
              <w:t xml:space="preserve"> </w:t>
            </w:r>
          </w:p>
        </w:tc>
      </w:tr>
      <w:tr w14:paraId="7B15E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EFDB19"/>
        </w:tc>
        <w:tc>
          <w:tcPr>
            <w:tcW w:w="14033" w:type="dxa"/>
            <w:gridSpan w:val="6"/>
            <w:vAlign w:val="center"/>
          </w:tcPr>
          <w:p w14:paraId="02100B9E">
            <w:pPr>
              <w:pStyle w:val="13"/>
            </w:pPr>
            <w:r>
              <w:t>保障义务教育学校正常运转，完成教育教学活动和其他日常工作任务等方面的费用支出。</w:t>
            </w:r>
            <w:r>
              <w:tab/>
            </w:r>
            <w:r>
              <w:tab/>
            </w:r>
            <w:r>
              <w:tab/>
            </w:r>
            <w:r>
              <w:tab/>
            </w:r>
          </w:p>
          <w:p w14:paraId="5C36F821">
            <w:pPr>
              <w:pStyle w:val="13"/>
            </w:pPr>
          </w:p>
        </w:tc>
      </w:tr>
      <w:tr w14:paraId="501D5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06D9D">
            <w:pPr>
              <w:pStyle w:val="11"/>
            </w:pPr>
            <w:r>
              <w:t>资金支出计划（%）</w:t>
            </w:r>
          </w:p>
        </w:tc>
        <w:tc>
          <w:tcPr>
            <w:tcW w:w="5103" w:type="dxa"/>
            <w:gridSpan w:val="2"/>
            <w:vAlign w:val="center"/>
          </w:tcPr>
          <w:p w14:paraId="5DAF202F">
            <w:pPr>
              <w:pStyle w:val="11"/>
            </w:pPr>
            <w:r>
              <w:t>3月底</w:t>
            </w:r>
          </w:p>
        </w:tc>
        <w:tc>
          <w:tcPr>
            <w:tcW w:w="2835" w:type="dxa"/>
            <w:vAlign w:val="center"/>
          </w:tcPr>
          <w:p w14:paraId="0B0AB294">
            <w:pPr>
              <w:pStyle w:val="11"/>
            </w:pPr>
            <w:r>
              <w:t>6月底</w:t>
            </w:r>
          </w:p>
        </w:tc>
        <w:tc>
          <w:tcPr>
            <w:tcW w:w="2551" w:type="dxa"/>
            <w:vAlign w:val="center"/>
          </w:tcPr>
          <w:p w14:paraId="6B3FA299">
            <w:pPr>
              <w:pStyle w:val="11"/>
            </w:pPr>
            <w:r>
              <w:t>10月底</w:t>
            </w:r>
          </w:p>
        </w:tc>
        <w:tc>
          <w:tcPr>
            <w:tcW w:w="3544" w:type="dxa"/>
            <w:gridSpan w:val="2"/>
            <w:vAlign w:val="center"/>
          </w:tcPr>
          <w:p w14:paraId="1700B09E">
            <w:pPr>
              <w:pStyle w:val="11"/>
            </w:pPr>
            <w:r>
              <w:t>12月底</w:t>
            </w:r>
          </w:p>
        </w:tc>
      </w:tr>
      <w:tr w14:paraId="35247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B33D7"/>
        </w:tc>
        <w:tc>
          <w:tcPr>
            <w:tcW w:w="5103" w:type="dxa"/>
            <w:gridSpan w:val="2"/>
            <w:vAlign w:val="center"/>
          </w:tcPr>
          <w:p w14:paraId="44CBC578">
            <w:pPr>
              <w:pStyle w:val="12"/>
            </w:pPr>
            <w:r>
              <w:t xml:space="preserve"> </w:t>
            </w:r>
          </w:p>
        </w:tc>
        <w:tc>
          <w:tcPr>
            <w:tcW w:w="2835" w:type="dxa"/>
            <w:vAlign w:val="center"/>
          </w:tcPr>
          <w:p w14:paraId="4C1AF0C0">
            <w:pPr>
              <w:pStyle w:val="12"/>
            </w:pPr>
            <w:r>
              <w:t xml:space="preserve"> </w:t>
            </w:r>
          </w:p>
        </w:tc>
        <w:tc>
          <w:tcPr>
            <w:tcW w:w="2551" w:type="dxa"/>
            <w:vAlign w:val="center"/>
          </w:tcPr>
          <w:p w14:paraId="6673BF77">
            <w:pPr>
              <w:pStyle w:val="12"/>
            </w:pPr>
            <w:r>
              <w:t>10000%</w:t>
            </w:r>
          </w:p>
        </w:tc>
        <w:tc>
          <w:tcPr>
            <w:tcW w:w="3544" w:type="dxa"/>
            <w:gridSpan w:val="2"/>
            <w:vAlign w:val="center"/>
          </w:tcPr>
          <w:p w14:paraId="564DC247">
            <w:pPr>
              <w:pStyle w:val="12"/>
            </w:pPr>
            <w:r>
              <w:t xml:space="preserve"> </w:t>
            </w:r>
          </w:p>
        </w:tc>
      </w:tr>
      <w:tr w14:paraId="40AA5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AA992">
            <w:pPr>
              <w:pStyle w:val="11"/>
            </w:pPr>
            <w:r>
              <w:t>绩效目标</w:t>
            </w:r>
          </w:p>
        </w:tc>
        <w:tc>
          <w:tcPr>
            <w:tcW w:w="14033" w:type="dxa"/>
            <w:gridSpan w:val="6"/>
            <w:vAlign w:val="center"/>
          </w:tcPr>
          <w:p w14:paraId="2F0481D6">
            <w:pPr>
              <w:pStyle w:val="13"/>
            </w:pPr>
          </w:p>
        </w:tc>
      </w:tr>
    </w:tbl>
    <w:p w14:paraId="7A3D7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1F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20249">
            <w:pPr>
              <w:pStyle w:val="11"/>
            </w:pPr>
            <w:r>
              <w:t>一级指标</w:t>
            </w:r>
          </w:p>
        </w:tc>
        <w:tc>
          <w:tcPr>
            <w:tcW w:w="2268" w:type="dxa"/>
            <w:vAlign w:val="center"/>
          </w:tcPr>
          <w:p w14:paraId="502A5DBC">
            <w:pPr>
              <w:pStyle w:val="11"/>
            </w:pPr>
            <w:r>
              <w:t>二级指标</w:t>
            </w:r>
          </w:p>
        </w:tc>
        <w:tc>
          <w:tcPr>
            <w:tcW w:w="2835" w:type="dxa"/>
            <w:vAlign w:val="center"/>
          </w:tcPr>
          <w:p w14:paraId="1E6D4584">
            <w:pPr>
              <w:pStyle w:val="11"/>
            </w:pPr>
            <w:r>
              <w:t>三级指标</w:t>
            </w:r>
          </w:p>
        </w:tc>
        <w:tc>
          <w:tcPr>
            <w:tcW w:w="5386" w:type="dxa"/>
            <w:gridSpan w:val="2"/>
            <w:vAlign w:val="center"/>
          </w:tcPr>
          <w:p w14:paraId="78BDFCBC">
            <w:pPr>
              <w:pStyle w:val="11"/>
            </w:pPr>
            <w:r>
              <w:t>绩效指标描述</w:t>
            </w:r>
          </w:p>
        </w:tc>
        <w:tc>
          <w:tcPr>
            <w:tcW w:w="2268" w:type="dxa"/>
            <w:vAlign w:val="center"/>
          </w:tcPr>
          <w:p w14:paraId="528E9457">
            <w:pPr>
              <w:pStyle w:val="11"/>
            </w:pPr>
            <w:r>
              <w:t>指标值</w:t>
            </w:r>
          </w:p>
        </w:tc>
        <w:tc>
          <w:tcPr>
            <w:tcW w:w="1276" w:type="dxa"/>
            <w:vAlign w:val="center"/>
          </w:tcPr>
          <w:p w14:paraId="68B7479F">
            <w:pPr>
              <w:pStyle w:val="11"/>
            </w:pPr>
            <w:r>
              <w:t>指标值确定依据</w:t>
            </w:r>
          </w:p>
        </w:tc>
      </w:tr>
      <w:tr w14:paraId="40204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EF43FB">
            <w:pPr>
              <w:pStyle w:val="12"/>
            </w:pPr>
          </w:p>
        </w:tc>
        <w:tc>
          <w:tcPr>
            <w:tcW w:w="2268" w:type="dxa"/>
            <w:vAlign w:val="center"/>
          </w:tcPr>
          <w:p w14:paraId="686E0478">
            <w:pPr>
              <w:pStyle w:val="13"/>
            </w:pPr>
          </w:p>
        </w:tc>
        <w:tc>
          <w:tcPr>
            <w:tcW w:w="2835" w:type="dxa"/>
            <w:vAlign w:val="center"/>
          </w:tcPr>
          <w:p w14:paraId="6213128E">
            <w:pPr>
              <w:pStyle w:val="13"/>
            </w:pPr>
          </w:p>
        </w:tc>
        <w:tc>
          <w:tcPr>
            <w:tcW w:w="2835" w:type="dxa"/>
            <w:vAlign w:val="center"/>
          </w:tcPr>
          <w:p w14:paraId="057144E4">
            <w:pPr>
              <w:pStyle w:val="13"/>
            </w:pPr>
          </w:p>
        </w:tc>
        <w:tc>
          <w:tcPr>
            <w:tcW w:w="2551" w:type="dxa"/>
            <w:vAlign w:val="center"/>
          </w:tcPr>
          <w:p w14:paraId="0FB16120">
            <w:pPr>
              <w:pStyle w:val="13"/>
            </w:pPr>
          </w:p>
        </w:tc>
        <w:tc>
          <w:tcPr>
            <w:tcW w:w="2268" w:type="dxa"/>
            <w:vAlign w:val="center"/>
          </w:tcPr>
          <w:p w14:paraId="659EA6B3">
            <w:pPr>
              <w:pStyle w:val="13"/>
            </w:pPr>
          </w:p>
        </w:tc>
        <w:tc>
          <w:tcPr>
            <w:tcW w:w="1276" w:type="dxa"/>
            <w:vAlign w:val="center"/>
          </w:tcPr>
          <w:p w14:paraId="23E1277C">
            <w:pPr>
              <w:pStyle w:val="13"/>
            </w:pPr>
          </w:p>
        </w:tc>
      </w:tr>
    </w:tbl>
    <w:p w14:paraId="4EB7B04E">
      <w:pPr>
        <w:sectPr>
          <w:pgSz w:w="16840" w:h="11900" w:orient="landscape"/>
          <w:pgMar w:top="1361" w:right="1020" w:bottom="1134" w:left="1020" w:header="720" w:footer="720" w:gutter="0"/>
          <w:cols w:space="720" w:num="1"/>
        </w:sectPr>
      </w:pPr>
    </w:p>
    <w:p w14:paraId="42F0B925">
      <w:pPr>
        <w:spacing w:before="0" w:after="0"/>
        <w:ind w:firstLine="560"/>
        <w:jc w:val="left"/>
        <w:outlineLvl w:val="9"/>
      </w:pPr>
      <w:r>
        <w:rPr>
          <w:rFonts w:ascii="方正仿宋_GBK" w:hAnsi="方正仿宋_GBK" w:eastAsia="方正仿宋_GBK" w:cs="方正仿宋_GBK"/>
          <w:b/>
          <w:color w:val="000000"/>
          <w:sz w:val="28"/>
        </w:rPr>
        <w:t>93、冀财教[2024]67号/中央/2024年义教经费/成龙易衡实验学校(初中）公用经费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7A43A4F2">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A8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7D4FC">
            <w:pPr>
              <w:pStyle w:val="14"/>
            </w:pPr>
            <w:r>
              <w:t>单位：万元</w:t>
            </w:r>
          </w:p>
        </w:tc>
      </w:tr>
      <w:tr w14:paraId="62C7D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741223">
            <w:pPr>
              <w:pStyle w:val="11"/>
            </w:pPr>
            <w:r>
              <w:t>项目编码</w:t>
            </w:r>
          </w:p>
        </w:tc>
        <w:tc>
          <w:tcPr>
            <w:tcW w:w="5103" w:type="dxa"/>
            <w:gridSpan w:val="2"/>
            <w:vAlign w:val="center"/>
          </w:tcPr>
          <w:p w14:paraId="7CA93A7D">
            <w:pPr>
              <w:pStyle w:val="13"/>
            </w:pPr>
            <w:r>
              <w:t>13052524P00000611465E</w:t>
            </w:r>
          </w:p>
        </w:tc>
        <w:tc>
          <w:tcPr>
            <w:tcW w:w="2835" w:type="dxa"/>
            <w:vAlign w:val="center"/>
          </w:tcPr>
          <w:p w14:paraId="769EC69B">
            <w:pPr>
              <w:pStyle w:val="11"/>
            </w:pPr>
            <w:r>
              <w:t>项目名称</w:t>
            </w:r>
          </w:p>
        </w:tc>
        <w:tc>
          <w:tcPr>
            <w:tcW w:w="6095" w:type="dxa"/>
            <w:gridSpan w:val="3"/>
            <w:vAlign w:val="center"/>
          </w:tcPr>
          <w:p w14:paraId="4050E68B">
            <w:pPr>
              <w:pStyle w:val="13"/>
            </w:pPr>
            <w:r>
              <w:t>冀财教[2024]67号/中央/2024年义教经费/成龙易衡实验学校(初中）公用经费</w:t>
            </w:r>
            <w:r>
              <w:tab/>
            </w:r>
            <w:r>
              <w:tab/>
            </w:r>
          </w:p>
          <w:p w14:paraId="417AA895">
            <w:pPr>
              <w:pStyle w:val="13"/>
            </w:pPr>
          </w:p>
        </w:tc>
      </w:tr>
      <w:tr w14:paraId="1EA4D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37969">
            <w:pPr>
              <w:pStyle w:val="11"/>
            </w:pPr>
            <w:r>
              <w:t>预算规模及资金用途</w:t>
            </w:r>
          </w:p>
        </w:tc>
        <w:tc>
          <w:tcPr>
            <w:tcW w:w="2268" w:type="dxa"/>
            <w:vAlign w:val="center"/>
          </w:tcPr>
          <w:p w14:paraId="1B872D5E">
            <w:pPr>
              <w:pStyle w:val="11"/>
            </w:pPr>
            <w:r>
              <w:t>预算数</w:t>
            </w:r>
          </w:p>
        </w:tc>
        <w:tc>
          <w:tcPr>
            <w:tcW w:w="2835" w:type="dxa"/>
            <w:vAlign w:val="center"/>
          </w:tcPr>
          <w:p w14:paraId="49457DAB">
            <w:pPr>
              <w:pStyle w:val="13"/>
            </w:pPr>
            <w:r>
              <w:t>1.21</w:t>
            </w:r>
          </w:p>
        </w:tc>
        <w:tc>
          <w:tcPr>
            <w:tcW w:w="2835" w:type="dxa"/>
            <w:vAlign w:val="center"/>
          </w:tcPr>
          <w:p w14:paraId="57F473A9">
            <w:pPr>
              <w:pStyle w:val="11"/>
            </w:pPr>
            <w:r>
              <w:t>其中：财政    资金</w:t>
            </w:r>
          </w:p>
        </w:tc>
        <w:tc>
          <w:tcPr>
            <w:tcW w:w="2551" w:type="dxa"/>
            <w:vAlign w:val="center"/>
          </w:tcPr>
          <w:p w14:paraId="6C8640BE">
            <w:pPr>
              <w:pStyle w:val="13"/>
            </w:pPr>
            <w:r>
              <w:t>1.21</w:t>
            </w:r>
          </w:p>
        </w:tc>
        <w:tc>
          <w:tcPr>
            <w:tcW w:w="2268" w:type="dxa"/>
            <w:vAlign w:val="center"/>
          </w:tcPr>
          <w:p w14:paraId="641E5B3D">
            <w:pPr>
              <w:pStyle w:val="11"/>
            </w:pPr>
            <w:r>
              <w:t>其他资金</w:t>
            </w:r>
          </w:p>
        </w:tc>
        <w:tc>
          <w:tcPr>
            <w:tcW w:w="1276" w:type="dxa"/>
            <w:vAlign w:val="center"/>
          </w:tcPr>
          <w:p w14:paraId="6DF21879">
            <w:pPr>
              <w:pStyle w:val="13"/>
            </w:pPr>
            <w:r>
              <w:t xml:space="preserve"> </w:t>
            </w:r>
          </w:p>
        </w:tc>
      </w:tr>
      <w:tr w14:paraId="46FDB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09169B"/>
        </w:tc>
        <w:tc>
          <w:tcPr>
            <w:tcW w:w="14033" w:type="dxa"/>
            <w:gridSpan w:val="6"/>
            <w:vAlign w:val="center"/>
          </w:tcPr>
          <w:p w14:paraId="3D2F8D34">
            <w:pPr>
              <w:pStyle w:val="13"/>
            </w:pPr>
            <w:r>
              <w:t>保障义务教育学校正常运转，完成教育教学活动和其他日常工作任务等方面的费用支出。</w:t>
            </w:r>
            <w:r>
              <w:tab/>
            </w:r>
          </w:p>
        </w:tc>
      </w:tr>
      <w:tr w14:paraId="2F718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CDD09">
            <w:pPr>
              <w:pStyle w:val="11"/>
            </w:pPr>
            <w:r>
              <w:t>资金支出计划（%）</w:t>
            </w:r>
          </w:p>
        </w:tc>
        <w:tc>
          <w:tcPr>
            <w:tcW w:w="5103" w:type="dxa"/>
            <w:gridSpan w:val="2"/>
            <w:vAlign w:val="center"/>
          </w:tcPr>
          <w:p w14:paraId="55B6221D">
            <w:pPr>
              <w:pStyle w:val="11"/>
            </w:pPr>
            <w:r>
              <w:t>3月底</w:t>
            </w:r>
          </w:p>
        </w:tc>
        <w:tc>
          <w:tcPr>
            <w:tcW w:w="2835" w:type="dxa"/>
            <w:vAlign w:val="center"/>
          </w:tcPr>
          <w:p w14:paraId="59645261">
            <w:pPr>
              <w:pStyle w:val="11"/>
            </w:pPr>
            <w:r>
              <w:t>6月底</w:t>
            </w:r>
          </w:p>
        </w:tc>
        <w:tc>
          <w:tcPr>
            <w:tcW w:w="2551" w:type="dxa"/>
            <w:vAlign w:val="center"/>
          </w:tcPr>
          <w:p w14:paraId="508A6FAB">
            <w:pPr>
              <w:pStyle w:val="11"/>
            </w:pPr>
            <w:r>
              <w:t>10月底</w:t>
            </w:r>
          </w:p>
        </w:tc>
        <w:tc>
          <w:tcPr>
            <w:tcW w:w="3544" w:type="dxa"/>
            <w:gridSpan w:val="2"/>
            <w:vAlign w:val="center"/>
          </w:tcPr>
          <w:p w14:paraId="556179C8">
            <w:pPr>
              <w:pStyle w:val="11"/>
            </w:pPr>
            <w:r>
              <w:t>12月底</w:t>
            </w:r>
          </w:p>
        </w:tc>
      </w:tr>
      <w:tr w14:paraId="0CE54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99678"/>
        </w:tc>
        <w:tc>
          <w:tcPr>
            <w:tcW w:w="5103" w:type="dxa"/>
            <w:gridSpan w:val="2"/>
            <w:vAlign w:val="center"/>
          </w:tcPr>
          <w:p w14:paraId="0FA630AB">
            <w:pPr>
              <w:pStyle w:val="12"/>
            </w:pPr>
            <w:r>
              <w:t xml:space="preserve"> </w:t>
            </w:r>
          </w:p>
        </w:tc>
        <w:tc>
          <w:tcPr>
            <w:tcW w:w="2835" w:type="dxa"/>
            <w:vAlign w:val="center"/>
          </w:tcPr>
          <w:p w14:paraId="65B14AC9">
            <w:pPr>
              <w:pStyle w:val="12"/>
            </w:pPr>
            <w:r>
              <w:t xml:space="preserve"> </w:t>
            </w:r>
          </w:p>
        </w:tc>
        <w:tc>
          <w:tcPr>
            <w:tcW w:w="2551" w:type="dxa"/>
            <w:vAlign w:val="center"/>
          </w:tcPr>
          <w:p w14:paraId="6D02BDE2">
            <w:pPr>
              <w:pStyle w:val="12"/>
            </w:pPr>
            <w:r>
              <w:t>100%</w:t>
            </w:r>
          </w:p>
        </w:tc>
        <w:tc>
          <w:tcPr>
            <w:tcW w:w="3544" w:type="dxa"/>
            <w:gridSpan w:val="2"/>
            <w:vAlign w:val="center"/>
          </w:tcPr>
          <w:p w14:paraId="685D39BA">
            <w:pPr>
              <w:pStyle w:val="12"/>
            </w:pPr>
            <w:r>
              <w:t xml:space="preserve"> </w:t>
            </w:r>
          </w:p>
        </w:tc>
      </w:tr>
      <w:tr w14:paraId="75127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BB6D4E">
            <w:pPr>
              <w:pStyle w:val="11"/>
            </w:pPr>
            <w:r>
              <w:t>绩效目标</w:t>
            </w:r>
          </w:p>
        </w:tc>
        <w:tc>
          <w:tcPr>
            <w:tcW w:w="14033" w:type="dxa"/>
            <w:gridSpan w:val="6"/>
            <w:vAlign w:val="center"/>
          </w:tcPr>
          <w:p w14:paraId="1DD446CB">
            <w:pPr>
              <w:pStyle w:val="13"/>
            </w:pPr>
          </w:p>
        </w:tc>
      </w:tr>
    </w:tbl>
    <w:p w14:paraId="61BA6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F9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7C14E">
            <w:pPr>
              <w:pStyle w:val="11"/>
            </w:pPr>
            <w:r>
              <w:t>一级指标</w:t>
            </w:r>
          </w:p>
        </w:tc>
        <w:tc>
          <w:tcPr>
            <w:tcW w:w="2268" w:type="dxa"/>
            <w:vAlign w:val="center"/>
          </w:tcPr>
          <w:p w14:paraId="22D06DA6">
            <w:pPr>
              <w:pStyle w:val="11"/>
            </w:pPr>
            <w:r>
              <w:t>二级指标</w:t>
            </w:r>
          </w:p>
        </w:tc>
        <w:tc>
          <w:tcPr>
            <w:tcW w:w="2835" w:type="dxa"/>
            <w:vAlign w:val="center"/>
          </w:tcPr>
          <w:p w14:paraId="41710700">
            <w:pPr>
              <w:pStyle w:val="11"/>
            </w:pPr>
            <w:r>
              <w:t>三级指标</w:t>
            </w:r>
          </w:p>
        </w:tc>
        <w:tc>
          <w:tcPr>
            <w:tcW w:w="5386" w:type="dxa"/>
            <w:gridSpan w:val="2"/>
            <w:vAlign w:val="center"/>
          </w:tcPr>
          <w:p w14:paraId="6012FA29">
            <w:pPr>
              <w:pStyle w:val="11"/>
            </w:pPr>
            <w:r>
              <w:t>绩效指标描述</w:t>
            </w:r>
          </w:p>
        </w:tc>
        <w:tc>
          <w:tcPr>
            <w:tcW w:w="2268" w:type="dxa"/>
            <w:vAlign w:val="center"/>
          </w:tcPr>
          <w:p w14:paraId="12C16563">
            <w:pPr>
              <w:pStyle w:val="11"/>
            </w:pPr>
            <w:r>
              <w:t>指标值</w:t>
            </w:r>
          </w:p>
        </w:tc>
        <w:tc>
          <w:tcPr>
            <w:tcW w:w="1276" w:type="dxa"/>
            <w:vAlign w:val="center"/>
          </w:tcPr>
          <w:p w14:paraId="2C9BCEED">
            <w:pPr>
              <w:pStyle w:val="11"/>
            </w:pPr>
            <w:r>
              <w:t>指标值确定依据</w:t>
            </w:r>
          </w:p>
        </w:tc>
      </w:tr>
      <w:tr w14:paraId="4513B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1959D2">
            <w:pPr>
              <w:pStyle w:val="12"/>
            </w:pPr>
          </w:p>
        </w:tc>
        <w:tc>
          <w:tcPr>
            <w:tcW w:w="2268" w:type="dxa"/>
            <w:vAlign w:val="center"/>
          </w:tcPr>
          <w:p w14:paraId="491E0402">
            <w:pPr>
              <w:pStyle w:val="13"/>
            </w:pPr>
          </w:p>
        </w:tc>
        <w:tc>
          <w:tcPr>
            <w:tcW w:w="2835" w:type="dxa"/>
            <w:vAlign w:val="center"/>
          </w:tcPr>
          <w:p w14:paraId="6E68CB6E">
            <w:pPr>
              <w:pStyle w:val="13"/>
            </w:pPr>
          </w:p>
        </w:tc>
        <w:tc>
          <w:tcPr>
            <w:tcW w:w="2835" w:type="dxa"/>
            <w:vAlign w:val="center"/>
          </w:tcPr>
          <w:p w14:paraId="4A33FC5F">
            <w:pPr>
              <w:pStyle w:val="13"/>
            </w:pPr>
          </w:p>
        </w:tc>
        <w:tc>
          <w:tcPr>
            <w:tcW w:w="2551" w:type="dxa"/>
            <w:vAlign w:val="center"/>
          </w:tcPr>
          <w:p w14:paraId="68D0C21F">
            <w:pPr>
              <w:pStyle w:val="13"/>
            </w:pPr>
          </w:p>
        </w:tc>
        <w:tc>
          <w:tcPr>
            <w:tcW w:w="2268" w:type="dxa"/>
            <w:vAlign w:val="center"/>
          </w:tcPr>
          <w:p w14:paraId="24F32DE1">
            <w:pPr>
              <w:pStyle w:val="13"/>
            </w:pPr>
          </w:p>
        </w:tc>
        <w:tc>
          <w:tcPr>
            <w:tcW w:w="1276" w:type="dxa"/>
            <w:vAlign w:val="center"/>
          </w:tcPr>
          <w:p w14:paraId="4B53810B">
            <w:pPr>
              <w:pStyle w:val="13"/>
            </w:pPr>
          </w:p>
        </w:tc>
      </w:tr>
    </w:tbl>
    <w:p w14:paraId="1CEDCF49">
      <w:pPr>
        <w:sectPr>
          <w:pgSz w:w="16840" w:h="11900" w:orient="landscape"/>
          <w:pgMar w:top="1361" w:right="1020" w:bottom="1134" w:left="1020" w:header="720" w:footer="720" w:gutter="0"/>
          <w:cols w:space="720" w:num="1"/>
        </w:sectPr>
      </w:pPr>
    </w:p>
    <w:p w14:paraId="5BF9C18F">
      <w:pPr>
        <w:spacing w:before="0" w:after="0"/>
        <w:ind w:firstLine="560"/>
        <w:jc w:val="left"/>
        <w:outlineLvl w:val="9"/>
      </w:pPr>
      <w:r>
        <w:rPr>
          <w:rFonts w:ascii="方正仿宋_GBK" w:hAnsi="方正仿宋_GBK" w:eastAsia="方正仿宋_GBK" w:cs="方正仿宋_GBK"/>
          <w:b/>
          <w:color w:val="000000"/>
          <w:sz w:val="28"/>
        </w:rPr>
        <w:t>94、冀财教[2024]67号/中央/2024年义教经费/东良第一私立学校公用经费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28034277">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CF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BCB1A">
            <w:pPr>
              <w:pStyle w:val="14"/>
            </w:pPr>
            <w:r>
              <w:t>单位：万元</w:t>
            </w:r>
          </w:p>
        </w:tc>
      </w:tr>
      <w:tr w14:paraId="24461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4482EB">
            <w:pPr>
              <w:pStyle w:val="11"/>
            </w:pPr>
            <w:r>
              <w:t>项目编码</w:t>
            </w:r>
          </w:p>
        </w:tc>
        <w:tc>
          <w:tcPr>
            <w:tcW w:w="5103" w:type="dxa"/>
            <w:gridSpan w:val="2"/>
            <w:vAlign w:val="center"/>
          </w:tcPr>
          <w:p w14:paraId="3DC72141">
            <w:pPr>
              <w:pStyle w:val="13"/>
            </w:pPr>
            <w:r>
              <w:t>13052524P00000611448H</w:t>
            </w:r>
          </w:p>
        </w:tc>
        <w:tc>
          <w:tcPr>
            <w:tcW w:w="2835" w:type="dxa"/>
            <w:vAlign w:val="center"/>
          </w:tcPr>
          <w:p w14:paraId="4F3D1D2A">
            <w:pPr>
              <w:pStyle w:val="11"/>
            </w:pPr>
            <w:r>
              <w:t>项目名称</w:t>
            </w:r>
          </w:p>
        </w:tc>
        <w:tc>
          <w:tcPr>
            <w:tcW w:w="6095" w:type="dxa"/>
            <w:gridSpan w:val="3"/>
            <w:vAlign w:val="center"/>
          </w:tcPr>
          <w:p w14:paraId="53C3B901">
            <w:pPr>
              <w:pStyle w:val="13"/>
            </w:pPr>
            <w:r>
              <w:t>冀财教[2024]67号/中央/2024年义教经费/东良第一私立学校公用经费</w:t>
            </w:r>
            <w:r>
              <w:tab/>
            </w:r>
            <w:r>
              <w:tab/>
            </w:r>
          </w:p>
          <w:p w14:paraId="7DEE7D58">
            <w:pPr>
              <w:pStyle w:val="13"/>
            </w:pPr>
          </w:p>
        </w:tc>
      </w:tr>
      <w:tr w14:paraId="64B3F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A87DD">
            <w:pPr>
              <w:pStyle w:val="11"/>
            </w:pPr>
            <w:r>
              <w:t>预算规模及资金用途</w:t>
            </w:r>
          </w:p>
        </w:tc>
        <w:tc>
          <w:tcPr>
            <w:tcW w:w="2268" w:type="dxa"/>
            <w:vAlign w:val="center"/>
          </w:tcPr>
          <w:p w14:paraId="599F5673">
            <w:pPr>
              <w:pStyle w:val="11"/>
            </w:pPr>
            <w:r>
              <w:t>预算数</w:t>
            </w:r>
          </w:p>
        </w:tc>
        <w:tc>
          <w:tcPr>
            <w:tcW w:w="2835" w:type="dxa"/>
            <w:vAlign w:val="center"/>
          </w:tcPr>
          <w:p w14:paraId="315EA65B">
            <w:pPr>
              <w:pStyle w:val="13"/>
            </w:pPr>
            <w:r>
              <w:t>0.40</w:t>
            </w:r>
          </w:p>
        </w:tc>
        <w:tc>
          <w:tcPr>
            <w:tcW w:w="2835" w:type="dxa"/>
            <w:vAlign w:val="center"/>
          </w:tcPr>
          <w:p w14:paraId="676B5A2B">
            <w:pPr>
              <w:pStyle w:val="11"/>
            </w:pPr>
            <w:r>
              <w:t>其中：财政    资金</w:t>
            </w:r>
          </w:p>
        </w:tc>
        <w:tc>
          <w:tcPr>
            <w:tcW w:w="2551" w:type="dxa"/>
            <w:vAlign w:val="center"/>
          </w:tcPr>
          <w:p w14:paraId="612AD8B6">
            <w:pPr>
              <w:pStyle w:val="13"/>
            </w:pPr>
            <w:r>
              <w:t>0.40</w:t>
            </w:r>
          </w:p>
        </w:tc>
        <w:tc>
          <w:tcPr>
            <w:tcW w:w="2268" w:type="dxa"/>
            <w:vAlign w:val="center"/>
          </w:tcPr>
          <w:p w14:paraId="7B88A7ED">
            <w:pPr>
              <w:pStyle w:val="11"/>
            </w:pPr>
            <w:r>
              <w:t>其他资金</w:t>
            </w:r>
          </w:p>
        </w:tc>
        <w:tc>
          <w:tcPr>
            <w:tcW w:w="1276" w:type="dxa"/>
            <w:vAlign w:val="center"/>
          </w:tcPr>
          <w:p w14:paraId="14CD89BA">
            <w:pPr>
              <w:pStyle w:val="13"/>
            </w:pPr>
            <w:r>
              <w:t xml:space="preserve"> </w:t>
            </w:r>
          </w:p>
        </w:tc>
      </w:tr>
      <w:tr w14:paraId="6D24C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4C101"/>
        </w:tc>
        <w:tc>
          <w:tcPr>
            <w:tcW w:w="14033" w:type="dxa"/>
            <w:gridSpan w:val="6"/>
            <w:vAlign w:val="center"/>
          </w:tcPr>
          <w:p w14:paraId="65C4991E">
            <w:pPr>
              <w:pStyle w:val="13"/>
            </w:pPr>
            <w:r>
              <w:t>保障义务教育学校正常运转，完成教育教学活动和其他日常工作任务等方面的费用支出。</w:t>
            </w:r>
            <w:r>
              <w:tab/>
            </w:r>
            <w:r>
              <w:tab/>
            </w:r>
          </w:p>
          <w:p w14:paraId="2FCC95DA">
            <w:pPr>
              <w:pStyle w:val="13"/>
            </w:pPr>
          </w:p>
        </w:tc>
      </w:tr>
      <w:tr w14:paraId="2BC26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B4ACF">
            <w:pPr>
              <w:pStyle w:val="11"/>
            </w:pPr>
            <w:r>
              <w:t>资金支出计划（%）</w:t>
            </w:r>
          </w:p>
        </w:tc>
        <w:tc>
          <w:tcPr>
            <w:tcW w:w="5103" w:type="dxa"/>
            <w:gridSpan w:val="2"/>
            <w:vAlign w:val="center"/>
          </w:tcPr>
          <w:p w14:paraId="0A129BD8">
            <w:pPr>
              <w:pStyle w:val="11"/>
            </w:pPr>
            <w:r>
              <w:t>3月底</w:t>
            </w:r>
          </w:p>
        </w:tc>
        <w:tc>
          <w:tcPr>
            <w:tcW w:w="2835" w:type="dxa"/>
            <w:vAlign w:val="center"/>
          </w:tcPr>
          <w:p w14:paraId="3C75F0FB">
            <w:pPr>
              <w:pStyle w:val="11"/>
            </w:pPr>
            <w:r>
              <w:t>6月底</w:t>
            </w:r>
          </w:p>
        </w:tc>
        <w:tc>
          <w:tcPr>
            <w:tcW w:w="2551" w:type="dxa"/>
            <w:vAlign w:val="center"/>
          </w:tcPr>
          <w:p w14:paraId="514770FC">
            <w:pPr>
              <w:pStyle w:val="11"/>
            </w:pPr>
            <w:r>
              <w:t>10月底</w:t>
            </w:r>
          </w:p>
        </w:tc>
        <w:tc>
          <w:tcPr>
            <w:tcW w:w="3544" w:type="dxa"/>
            <w:gridSpan w:val="2"/>
            <w:vAlign w:val="center"/>
          </w:tcPr>
          <w:p w14:paraId="6FDB2F3A">
            <w:pPr>
              <w:pStyle w:val="11"/>
            </w:pPr>
            <w:r>
              <w:t>12月底</w:t>
            </w:r>
          </w:p>
        </w:tc>
      </w:tr>
      <w:tr w14:paraId="58FC2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1EFC7"/>
        </w:tc>
        <w:tc>
          <w:tcPr>
            <w:tcW w:w="5103" w:type="dxa"/>
            <w:gridSpan w:val="2"/>
            <w:vAlign w:val="center"/>
          </w:tcPr>
          <w:p w14:paraId="5807A46D">
            <w:pPr>
              <w:pStyle w:val="12"/>
            </w:pPr>
            <w:r>
              <w:t xml:space="preserve"> </w:t>
            </w:r>
          </w:p>
        </w:tc>
        <w:tc>
          <w:tcPr>
            <w:tcW w:w="2835" w:type="dxa"/>
            <w:vAlign w:val="center"/>
          </w:tcPr>
          <w:p w14:paraId="1658EE14">
            <w:pPr>
              <w:pStyle w:val="12"/>
            </w:pPr>
            <w:r>
              <w:t xml:space="preserve"> </w:t>
            </w:r>
          </w:p>
        </w:tc>
        <w:tc>
          <w:tcPr>
            <w:tcW w:w="2551" w:type="dxa"/>
            <w:vAlign w:val="center"/>
          </w:tcPr>
          <w:p w14:paraId="3F6356A4">
            <w:pPr>
              <w:pStyle w:val="12"/>
            </w:pPr>
            <w:r>
              <w:t>100%</w:t>
            </w:r>
          </w:p>
        </w:tc>
        <w:tc>
          <w:tcPr>
            <w:tcW w:w="3544" w:type="dxa"/>
            <w:gridSpan w:val="2"/>
            <w:vAlign w:val="center"/>
          </w:tcPr>
          <w:p w14:paraId="7231E35B">
            <w:pPr>
              <w:pStyle w:val="12"/>
            </w:pPr>
            <w:r>
              <w:t xml:space="preserve"> </w:t>
            </w:r>
          </w:p>
        </w:tc>
      </w:tr>
      <w:tr w14:paraId="437E2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E8569">
            <w:pPr>
              <w:pStyle w:val="11"/>
            </w:pPr>
            <w:r>
              <w:t>绩效目标</w:t>
            </w:r>
          </w:p>
        </w:tc>
        <w:tc>
          <w:tcPr>
            <w:tcW w:w="14033" w:type="dxa"/>
            <w:gridSpan w:val="6"/>
            <w:vAlign w:val="center"/>
          </w:tcPr>
          <w:p w14:paraId="789E9826">
            <w:pPr>
              <w:pStyle w:val="13"/>
            </w:pPr>
          </w:p>
        </w:tc>
      </w:tr>
    </w:tbl>
    <w:p w14:paraId="3A0830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26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47A30">
            <w:pPr>
              <w:pStyle w:val="11"/>
            </w:pPr>
            <w:r>
              <w:t>一级指标</w:t>
            </w:r>
          </w:p>
        </w:tc>
        <w:tc>
          <w:tcPr>
            <w:tcW w:w="2268" w:type="dxa"/>
            <w:vAlign w:val="center"/>
          </w:tcPr>
          <w:p w14:paraId="779FCBC1">
            <w:pPr>
              <w:pStyle w:val="11"/>
            </w:pPr>
            <w:r>
              <w:t>二级指标</w:t>
            </w:r>
          </w:p>
        </w:tc>
        <w:tc>
          <w:tcPr>
            <w:tcW w:w="2835" w:type="dxa"/>
            <w:vAlign w:val="center"/>
          </w:tcPr>
          <w:p w14:paraId="7A426ED4">
            <w:pPr>
              <w:pStyle w:val="11"/>
            </w:pPr>
            <w:r>
              <w:t>三级指标</w:t>
            </w:r>
          </w:p>
        </w:tc>
        <w:tc>
          <w:tcPr>
            <w:tcW w:w="5386" w:type="dxa"/>
            <w:gridSpan w:val="2"/>
            <w:vAlign w:val="center"/>
          </w:tcPr>
          <w:p w14:paraId="4A4B4FD0">
            <w:pPr>
              <w:pStyle w:val="11"/>
            </w:pPr>
            <w:r>
              <w:t>绩效指标描述</w:t>
            </w:r>
          </w:p>
        </w:tc>
        <w:tc>
          <w:tcPr>
            <w:tcW w:w="2268" w:type="dxa"/>
            <w:vAlign w:val="center"/>
          </w:tcPr>
          <w:p w14:paraId="4C142389">
            <w:pPr>
              <w:pStyle w:val="11"/>
            </w:pPr>
            <w:r>
              <w:t>指标值</w:t>
            </w:r>
          </w:p>
        </w:tc>
        <w:tc>
          <w:tcPr>
            <w:tcW w:w="1276" w:type="dxa"/>
            <w:vAlign w:val="center"/>
          </w:tcPr>
          <w:p w14:paraId="49A039A5">
            <w:pPr>
              <w:pStyle w:val="11"/>
            </w:pPr>
            <w:r>
              <w:t>指标值确定依据</w:t>
            </w:r>
          </w:p>
        </w:tc>
      </w:tr>
      <w:tr w14:paraId="317B9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553769">
            <w:pPr>
              <w:pStyle w:val="12"/>
            </w:pPr>
          </w:p>
        </w:tc>
        <w:tc>
          <w:tcPr>
            <w:tcW w:w="2268" w:type="dxa"/>
            <w:vAlign w:val="center"/>
          </w:tcPr>
          <w:p w14:paraId="611FDC6F">
            <w:pPr>
              <w:pStyle w:val="13"/>
            </w:pPr>
          </w:p>
        </w:tc>
        <w:tc>
          <w:tcPr>
            <w:tcW w:w="2835" w:type="dxa"/>
            <w:vAlign w:val="center"/>
          </w:tcPr>
          <w:p w14:paraId="2269C0E2">
            <w:pPr>
              <w:pStyle w:val="13"/>
            </w:pPr>
          </w:p>
        </w:tc>
        <w:tc>
          <w:tcPr>
            <w:tcW w:w="2835" w:type="dxa"/>
            <w:vAlign w:val="center"/>
          </w:tcPr>
          <w:p w14:paraId="79E06D6E">
            <w:pPr>
              <w:pStyle w:val="13"/>
            </w:pPr>
          </w:p>
        </w:tc>
        <w:tc>
          <w:tcPr>
            <w:tcW w:w="2551" w:type="dxa"/>
            <w:vAlign w:val="center"/>
          </w:tcPr>
          <w:p w14:paraId="5D343B39">
            <w:pPr>
              <w:pStyle w:val="13"/>
            </w:pPr>
          </w:p>
        </w:tc>
        <w:tc>
          <w:tcPr>
            <w:tcW w:w="2268" w:type="dxa"/>
            <w:vAlign w:val="center"/>
          </w:tcPr>
          <w:p w14:paraId="3A4786BD">
            <w:pPr>
              <w:pStyle w:val="13"/>
            </w:pPr>
          </w:p>
        </w:tc>
        <w:tc>
          <w:tcPr>
            <w:tcW w:w="1276" w:type="dxa"/>
            <w:vAlign w:val="center"/>
          </w:tcPr>
          <w:p w14:paraId="3A7167C4">
            <w:pPr>
              <w:pStyle w:val="13"/>
            </w:pPr>
          </w:p>
        </w:tc>
      </w:tr>
    </w:tbl>
    <w:p w14:paraId="488D6044">
      <w:pPr>
        <w:sectPr>
          <w:pgSz w:w="16840" w:h="11900" w:orient="landscape"/>
          <w:pgMar w:top="1361" w:right="1020" w:bottom="1134" w:left="1020" w:header="720" w:footer="720" w:gutter="0"/>
          <w:cols w:space="720" w:num="1"/>
        </w:sectPr>
      </w:pPr>
    </w:p>
    <w:p w14:paraId="4703D8EF">
      <w:pPr>
        <w:spacing w:before="0" w:after="0"/>
        <w:ind w:firstLine="560"/>
        <w:jc w:val="left"/>
        <w:outlineLvl w:val="9"/>
      </w:pPr>
      <w:r>
        <w:rPr>
          <w:rFonts w:ascii="方正仿宋_GBK" w:hAnsi="方正仿宋_GBK" w:eastAsia="方正仿宋_GBK" w:cs="方正仿宋_GBK"/>
          <w:b/>
          <w:color w:val="000000"/>
          <w:sz w:val="28"/>
        </w:rPr>
        <w:t>95、冀财教[2024]67号/中央/2024年义教经费/华开学校公用经费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2EB210F6">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75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6454C">
            <w:pPr>
              <w:pStyle w:val="14"/>
            </w:pPr>
            <w:r>
              <w:t>单位：万元</w:t>
            </w:r>
          </w:p>
        </w:tc>
      </w:tr>
      <w:tr w14:paraId="5A39E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57492">
            <w:pPr>
              <w:pStyle w:val="11"/>
            </w:pPr>
            <w:r>
              <w:t>项目编码</w:t>
            </w:r>
          </w:p>
        </w:tc>
        <w:tc>
          <w:tcPr>
            <w:tcW w:w="5103" w:type="dxa"/>
            <w:gridSpan w:val="2"/>
            <w:vAlign w:val="center"/>
          </w:tcPr>
          <w:p w14:paraId="71AA9FE5">
            <w:pPr>
              <w:pStyle w:val="13"/>
            </w:pPr>
            <w:r>
              <w:t>13052524P00000611458D</w:t>
            </w:r>
          </w:p>
        </w:tc>
        <w:tc>
          <w:tcPr>
            <w:tcW w:w="2835" w:type="dxa"/>
            <w:vAlign w:val="center"/>
          </w:tcPr>
          <w:p w14:paraId="54C52B7E">
            <w:pPr>
              <w:pStyle w:val="11"/>
            </w:pPr>
            <w:r>
              <w:t>项目名称</w:t>
            </w:r>
          </w:p>
        </w:tc>
        <w:tc>
          <w:tcPr>
            <w:tcW w:w="6095" w:type="dxa"/>
            <w:gridSpan w:val="3"/>
            <w:vAlign w:val="center"/>
          </w:tcPr>
          <w:p w14:paraId="59AAD19D">
            <w:pPr>
              <w:pStyle w:val="13"/>
            </w:pPr>
            <w:r>
              <w:t>冀财教[2024]67号/中央/2024年义教经费/华开学校公用经费</w:t>
            </w:r>
            <w:r>
              <w:tab/>
            </w:r>
            <w:r>
              <w:tab/>
            </w:r>
          </w:p>
          <w:p w14:paraId="379AFB49">
            <w:pPr>
              <w:pStyle w:val="13"/>
            </w:pPr>
          </w:p>
        </w:tc>
      </w:tr>
      <w:tr w14:paraId="21C15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DEC99">
            <w:pPr>
              <w:pStyle w:val="11"/>
            </w:pPr>
            <w:r>
              <w:t>预算规模及资金用途</w:t>
            </w:r>
          </w:p>
        </w:tc>
        <w:tc>
          <w:tcPr>
            <w:tcW w:w="2268" w:type="dxa"/>
            <w:vAlign w:val="center"/>
          </w:tcPr>
          <w:p w14:paraId="296B1B1D">
            <w:pPr>
              <w:pStyle w:val="11"/>
            </w:pPr>
            <w:r>
              <w:t>预算数</w:t>
            </w:r>
          </w:p>
        </w:tc>
        <w:tc>
          <w:tcPr>
            <w:tcW w:w="2835" w:type="dxa"/>
            <w:vAlign w:val="center"/>
          </w:tcPr>
          <w:p w14:paraId="5C3AFB95">
            <w:pPr>
              <w:pStyle w:val="13"/>
            </w:pPr>
            <w:r>
              <w:t>0.25</w:t>
            </w:r>
          </w:p>
        </w:tc>
        <w:tc>
          <w:tcPr>
            <w:tcW w:w="2835" w:type="dxa"/>
            <w:vAlign w:val="center"/>
          </w:tcPr>
          <w:p w14:paraId="58DE8D23">
            <w:pPr>
              <w:pStyle w:val="11"/>
            </w:pPr>
            <w:r>
              <w:t>其中：财政    资金</w:t>
            </w:r>
          </w:p>
        </w:tc>
        <w:tc>
          <w:tcPr>
            <w:tcW w:w="2551" w:type="dxa"/>
            <w:vAlign w:val="center"/>
          </w:tcPr>
          <w:p w14:paraId="42C2B4CD">
            <w:pPr>
              <w:pStyle w:val="13"/>
            </w:pPr>
            <w:r>
              <w:t>0.25</w:t>
            </w:r>
          </w:p>
        </w:tc>
        <w:tc>
          <w:tcPr>
            <w:tcW w:w="2268" w:type="dxa"/>
            <w:vAlign w:val="center"/>
          </w:tcPr>
          <w:p w14:paraId="172A6389">
            <w:pPr>
              <w:pStyle w:val="11"/>
            </w:pPr>
            <w:r>
              <w:t>其他资金</w:t>
            </w:r>
          </w:p>
        </w:tc>
        <w:tc>
          <w:tcPr>
            <w:tcW w:w="1276" w:type="dxa"/>
            <w:vAlign w:val="center"/>
          </w:tcPr>
          <w:p w14:paraId="2EF84FCA">
            <w:pPr>
              <w:pStyle w:val="13"/>
            </w:pPr>
            <w:r>
              <w:t xml:space="preserve"> </w:t>
            </w:r>
          </w:p>
        </w:tc>
      </w:tr>
      <w:tr w14:paraId="3ECCF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D1D8E"/>
        </w:tc>
        <w:tc>
          <w:tcPr>
            <w:tcW w:w="14033" w:type="dxa"/>
            <w:gridSpan w:val="6"/>
            <w:vAlign w:val="center"/>
          </w:tcPr>
          <w:p w14:paraId="223D191B">
            <w:pPr>
              <w:pStyle w:val="13"/>
            </w:pPr>
            <w:r>
              <w:t>保障义务教育学校正常运转，完成教育教学活动和其他日常工作任务等方面的费用支出。</w:t>
            </w:r>
            <w:r>
              <w:tab/>
            </w:r>
          </w:p>
        </w:tc>
      </w:tr>
      <w:tr w14:paraId="3B26A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204C5">
            <w:pPr>
              <w:pStyle w:val="11"/>
            </w:pPr>
            <w:r>
              <w:t>资金支出计划（%）</w:t>
            </w:r>
          </w:p>
        </w:tc>
        <w:tc>
          <w:tcPr>
            <w:tcW w:w="5103" w:type="dxa"/>
            <w:gridSpan w:val="2"/>
            <w:vAlign w:val="center"/>
          </w:tcPr>
          <w:p w14:paraId="258AD9B9">
            <w:pPr>
              <w:pStyle w:val="11"/>
            </w:pPr>
            <w:r>
              <w:t>3月底</w:t>
            </w:r>
          </w:p>
        </w:tc>
        <w:tc>
          <w:tcPr>
            <w:tcW w:w="2835" w:type="dxa"/>
            <w:vAlign w:val="center"/>
          </w:tcPr>
          <w:p w14:paraId="289016DC">
            <w:pPr>
              <w:pStyle w:val="11"/>
            </w:pPr>
            <w:r>
              <w:t>6月底</w:t>
            </w:r>
          </w:p>
        </w:tc>
        <w:tc>
          <w:tcPr>
            <w:tcW w:w="2551" w:type="dxa"/>
            <w:vAlign w:val="center"/>
          </w:tcPr>
          <w:p w14:paraId="6BA4BD7F">
            <w:pPr>
              <w:pStyle w:val="11"/>
            </w:pPr>
            <w:r>
              <w:t>10月底</w:t>
            </w:r>
          </w:p>
        </w:tc>
        <w:tc>
          <w:tcPr>
            <w:tcW w:w="3544" w:type="dxa"/>
            <w:gridSpan w:val="2"/>
            <w:vAlign w:val="center"/>
          </w:tcPr>
          <w:p w14:paraId="2EE8D8F3">
            <w:pPr>
              <w:pStyle w:val="11"/>
            </w:pPr>
            <w:r>
              <w:t>12月底</w:t>
            </w:r>
          </w:p>
        </w:tc>
      </w:tr>
      <w:tr w14:paraId="490C0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59599"/>
        </w:tc>
        <w:tc>
          <w:tcPr>
            <w:tcW w:w="5103" w:type="dxa"/>
            <w:gridSpan w:val="2"/>
            <w:vAlign w:val="center"/>
          </w:tcPr>
          <w:p w14:paraId="19D0C434">
            <w:pPr>
              <w:pStyle w:val="12"/>
            </w:pPr>
            <w:r>
              <w:t xml:space="preserve"> </w:t>
            </w:r>
          </w:p>
        </w:tc>
        <w:tc>
          <w:tcPr>
            <w:tcW w:w="2835" w:type="dxa"/>
            <w:vAlign w:val="center"/>
          </w:tcPr>
          <w:p w14:paraId="30847D00">
            <w:pPr>
              <w:pStyle w:val="12"/>
            </w:pPr>
            <w:r>
              <w:t xml:space="preserve"> </w:t>
            </w:r>
          </w:p>
        </w:tc>
        <w:tc>
          <w:tcPr>
            <w:tcW w:w="2551" w:type="dxa"/>
            <w:vAlign w:val="center"/>
          </w:tcPr>
          <w:p w14:paraId="60466000">
            <w:pPr>
              <w:pStyle w:val="12"/>
            </w:pPr>
            <w:r>
              <w:t>100%</w:t>
            </w:r>
          </w:p>
        </w:tc>
        <w:tc>
          <w:tcPr>
            <w:tcW w:w="3544" w:type="dxa"/>
            <w:gridSpan w:val="2"/>
            <w:vAlign w:val="center"/>
          </w:tcPr>
          <w:p w14:paraId="529803FB">
            <w:pPr>
              <w:pStyle w:val="12"/>
            </w:pPr>
            <w:r>
              <w:t xml:space="preserve"> </w:t>
            </w:r>
          </w:p>
        </w:tc>
      </w:tr>
      <w:tr w14:paraId="6A61F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80359C">
            <w:pPr>
              <w:pStyle w:val="11"/>
            </w:pPr>
            <w:r>
              <w:t>绩效目标</w:t>
            </w:r>
          </w:p>
        </w:tc>
        <w:tc>
          <w:tcPr>
            <w:tcW w:w="14033" w:type="dxa"/>
            <w:gridSpan w:val="6"/>
            <w:vAlign w:val="center"/>
          </w:tcPr>
          <w:p w14:paraId="49A87BAB">
            <w:pPr>
              <w:pStyle w:val="13"/>
            </w:pPr>
          </w:p>
        </w:tc>
      </w:tr>
    </w:tbl>
    <w:p w14:paraId="1E8076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15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AE669">
            <w:pPr>
              <w:pStyle w:val="11"/>
            </w:pPr>
            <w:r>
              <w:t>一级指标</w:t>
            </w:r>
          </w:p>
        </w:tc>
        <w:tc>
          <w:tcPr>
            <w:tcW w:w="2268" w:type="dxa"/>
            <w:vAlign w:val="center"/>
          </w:tcPr>
          <w:p w14:paraId="431E926F">
            <w:pPr>
              <w:pStyle w:val="11"/>
            </w:pPr>
            <w:r>
              <w:t>二级指标</w:t>
            </w:r>
          </w:p>
        </w:tc>
        <w:tc>
          <w:tcPr>
            <w:tcW w:w="2835" w:type="dxa"/>
            <w:vAlign w:val="center"/>
          </w:tcPr>
          <w:p w14:paraId="30EBF620">
            <w:pPr>
              <w:pStyle w:val="11"/>
            </w:pPr>
            <w:r>
              <w:t>三级指标</w:t>
            </w:r>
          </w:p>
        </w:tc>
        <w:tc>
          <w:tcPr>
            <w:tcW w:w="5386" w:type="dxa"/>
            <w:gridSpan w:val="2"/>
            <w:vAlign w:val="center"/>
          </w:tcPr>
          <w:p w14:paraId="406BC48A">
            <w:pPr>
              <w:pStyle w:val="11"/>
            </w:pPr>
            <w:r>
              <w:t>绩效指标描述</w:t>
            </w:r>
          </w:p>
        </w:tc>
        <w:tc>
          <w:tcPr>
            <w:tcW w:w="2268" w:type="dxa"/>
            <w:vAlign w:val="center"/>
          </w:tcPr>
          <w:p w14:paraId="6AA1CEBD">
            <w:pPr>
              <w:pStyle w:val="11"/>
            </w:pPr>
            <w:r>
              <w:t>指标值</w:t>
            </w:r>
          </w:p>
        </w:tc>
        <w:tc>
          <w:tcPr>
            <w:tcW w:w="1276" w:type="dxa"/>
            <w:vAlign w:val="center"/>
          </w:tcPr>
          <w:p w14:paraId="2B0E9F01">
            <w:pPr>
              <w:pStyle w:val="11"/>
            </w:pPr>
            <w:r>
              <w:t>指标值确定依据</w:t>
            </w:r>
          </w:p>
        </w:tc>
      </w:tr>
      <w:tr w14:paraId="26AA9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37C3B1">
            <w:pPr>
              <w:pStyle w:val="12"/>
            </w:pPr>
          </w:p>
        </w:tc>
        <w:tc>
          <w:tcPr>
            <w:tcW w:w="2268" w:type="dxa"/>
            <w:vAlign w:val="center"/>
          </w:tcPr>
          <w:p w14:paraId="7BB646C5">
            <w:pPr>
              <w:pStyle w:val="13"/>
            </w:pPr>
          </w:p>
        </w:tc>
        <w:tc>
          <w:tcPr>
            <w:tcW w:w="2835" w:type="dxa"/>
            <w:vAlign w:val="center"/>
          </w:tcPr>
          <w:p w14:paraId="67E9966A">
            <w:pPr>
              <w:pStyle w:val="13"/>
            </w:pPr>
          </w:p>
        </w:tc>
        <w:tc>
          <w:tcPr>
            <w:tcW w:w="2835" w:type="dxa"/>
            <w:vAlign w:val="center"/>
          </w:tcPr>
          <w:p w14:paraId="2605E559">
            <w:pPr>
              <w:pStyle w:val="13"/>
            </w:pPr>
          </w:p>
        </w:tc>
        <w:tc>
          <w:tcPr>
            <w:tcW w:w="2551" w:type="dxa"/>
            <w:vAlign w:val="center"/>
          </w:tcPr>
          <w:p w14:paraId="12261BAC">
            <w:pPr>
              <w:pStyle w:val="13"/>
            </w:pPr>
          </w:p>
        </w:tc>
        <w:tc>
          <w:tcPr>
            <w:tcW w:w="2268" w:type="dxa"/>
            <w:vAlign w:val="center"/>
          </w:tcPr>
          <w:p w14:paraId="090B74B7">
            <w:pPr>
              <w:pStyle w:val="13"/>
            </w:pPr>
          </w:p>
        </w:tc>
        <w:tc>
          <w:tcPr>
            <w:tcW w:w="1276" w:type="dxa"/>
            <w:vAlign w:val="center"/>
          </w:tcPr>
          <w:p w14:paraId="441CDBCE">
            <w:pPr>
              <w:pStyle w:val="13"/>
            </w:pPr>
          </w:p>
        </w:tc>
      </w:tr>
    </w:tbl>
    <w:p w14:paraId="3419D54C">
      <w:pPr>
        <w:sectPr>
          <w:pgSz w:w="16840" w:h="11900" w:orient="landscape"/>
          <w:pgMar w:top="1361" w:right="1020" w:bottom="1134" w:left="1020" w:header="720" w:footer="720" w:gutter="0"/>
          <w:cols w:space="720" w:num="1"/>
        </w:sectPr>
      </w:pPr>
    </w:p>
    <w:p w14:paraId="1D809238">
      <w:pPr>
        <w:spacing w:before="0" w:after="0"/>
        <w:ind w:firstLine="560"/>
        <w:jc w:val="left"/>
        <w:outlineLvl w:val="9"/>
      </w:pPr>
      <w:r>
        <w:rPr>
          <w:rFonts w:ascii="方正仿宋_GBK" w:hAnsi="方正仿宋_GBK" w:eastAsia="方正仿宋_GBK" w:cs="方正仿宋_GBK"/>
          <w:b/>
          <w:color w:val="000000"/>
          <w:sz w:val="28"/>
        </w:rPr>
        <w:t>96、冀财教[2024]67号/中央/2024年义教经费/华星学校公用经费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6E4C57F6">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70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71580">
            <w:pPr>
              <w:pStyle w:val="14"/>
            </w:pPr>
            <w:r>
              <w:t>单位：万元</w:t>
            </w:r>
          </w:p>
        </w:tc>
      </w:tr>
      <w:tr w14:paraId="7268A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5162F8">
            <w:pPr>
              <w:pStyle w:val="11"/>
            </w:pPr>
            <w:r>
              <w:t>项目编码</w:t>
            </w:r>
          </w:p>
        </w:tc>
        <w:tc>
          <w:tcPr>
            <w:tcW w:w="5103" w:type="dxa"/>
            <w:gridSpan w:val="2"/>
            <w:vAlign w:val="center"/>
          </w:tcPr>
          <w:p w14:paraId="7116278C">
            <w:pPr>
              <w:pStyle w:val="13"/>
            </w:pPr>
            <w:r>
              <w:t>13052524P00000611447X</w:t>
            </w:r>
          </w:p>
        </w:tc>
        <w:tc>
          <w:tcPr>
            <w:tcW w:w="2835" w:type="dxa"/>
            <w:vAlign w:val="center"/>
          </w:tcPr>
          <w:p w14:paraId="2A12C503">
            <w:pPr>
              <w:pStyle w:val="11"/>
            </w:pPr>
            <w:r>
              <w:t>项目名称</w:t>
            </w:r>
          </w:p>
        </w:tc>
        <w:tc>
          <w:tcPr>
            <w:tcW w:w="6095" w:type="dxa"/>
            <w:gridSpan w:val="3"/>
            <w:vAlign w:val="center"/>
          </w:tcPr>
          <w:p w14:paraId="7CD87CEE">
            <w:pPr>
              <w:pStyle w:val="13"/>
            </w:pPr>
            <w:r>
              <w:t>冀财教[2024]67号/中央/2024年义教经费/华星学校公用经费</w:t>
            </w:r>
            <w:r>
              <w:tab/>
            </w:r>
            <w:r>
              <w:tab/>
            </w:r>
          </w:p>
          <w:p w14:paraId="28CB1823">
            <w:pPr>
              <w:pStyle w:val="13"/>
            </w:pPr>
          </w:p>
        </w:tc>
      </w:tr>
      <w:tr w14:paraId="08DBC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D03D9">
            <w:pPr>
              <w:pStyle w:val="11"/>
            </w:pPr>
            <w:r>
              <w:t>预算规模及资金用途</w:t>
            </w:r>
          </w:p>
        </w:tc>
        <w:tc>
          <w:tcPr>
            <w:tcW w:w="2268" w:type="dxa"/>
            <w:vAlign w:val="center"/>
          </w:tcPr>
          <w:p w14:paraId="562584C8">
            <w:pPr>
              <w:pStyle w:val="11"/>
            </w:pPr>
            <w:r>
              <w:t>预算数</w:t>
            </w:r>
          </w:p>
        </w:tc>
        <w:tc>
          <w:tcPr>
            <w:tcW w:w="2835" w:type="dxa"/>
            <w:vAlign w:val="center"/>
          </w:tcPr>
          <w:p w14:paraId="7C7BA04C">
            <w:pPr>
              <w:pStyle w:val="13"/>
            </w:pPr>
            <w:r>
              <w:t>0.12</w:t>
            </w:r>
          </w:p>
        </w:tc>
        <w:tc>
          <w:tcPr>
            <w:tcW w:w="2835" w:type="dxa"/>
            <w:vAlign w:val="center"/>
          </w:tcPr>
          <w:p w14:paraId="194D4C48">
            <w:pPr>
              <w:pStyle w:val="11"/>
            </w:pPr>
            <w:r>
              <w:t>其中：财政    资金</w:t>
            </w:r>
          </w:p>
        </w:tc>
        <w:tc>
          <w:tcPr>
            <w:tcW w:w="2551" w:type="dxa"/>
            <w:vAlign w:val="center"/>
          </w:tcPr>
          <w:p w14:paraId="6D3D09E1">
            <w:pPr>
              <w:pStyle w:val="13"/>
            </w:pPr>
            <w:r>
              <w:t>0.12</w:t>
            </w:r>
          </w:p>
        </w:tc>
        <w:tc>
          <w:tcPr>
            <w:tcW w:w="2268" w:type="dxa"/>
            <w:vAlign w:val="center"/>
          </w:tcPr>
          <w:p w14:paraId="2788D454">
            <w:pPr>
              <w:pStyle w:val="11"/>
            </w:pPr>
            <w:r>
              <w:t>其他资金</w:t>
            </w:r>
          </w:p>
        </w:tc>
        <w:tc>
          <w:tcPr>
            <w:tcW w:w="1276" w:type="dxa"/>
            <w:vAlign w:val="center"/>
          </w:tcPr>
          <w:p w14:paraId="3C9DC801">
            <w:pPr>
              <w:pStyle w:val="13"/>
            </w:pPr>
            <w:r>
              <w:t xml:space="preserve"> </w:t>
            </w:r>
          </w:p>
        </w:tc>
      </w:tr>
      <w:tr w14:paraId="20BD8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534C60"/>
        </w:tc>
        <w:tc>
          <w:tcPr>
            <w:tcW w:w="14033" w:type="dxa"/>
            <w:gridSpan w:val="6"/>
            <w:vAlign w:val="center"/>
          </w:tcPr>
          <w:p w14:paraId="06E46B71">
            <w:pPr>
              <w:pStyle w:val="13"/>
            </w:pPr>
            <w:r>
              <w:t>保障义务教育学校正常运转，完成教育教学活动和其他日常工作任务等方面的费用支出。</w:t>
            </w:r>
          </w:p>
        </w:tc>
      </w:tr>
      <w:tr w14:paraId="762CE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ADB0C">
            <w:pPr>
              <w:pStyle w:val="11"/>
            </w:pPr>
            <w:r>
              <w:t>资金支出计划（%）</w:t>
            </w:r>
          </w:p>
        </w:tc>
        <w:tc>
          <w:tcPr>
            <w:tcW w:w="5103" w:type="dxa"/>
            <w:gridSpan w:val="2"/>
            <w:vAlign w:val="center"/>
          </w:tcPr>
          <w:p w14:paraId="06A8BDE8">
            <w:pPr>
              <w:pStyle w:val="11"/>
            </w:pPr>
            <w:r>
              <w:t>3月底</w:t>
            </w:r>
          </w:p>
        </w:tc>
        <w:tc>
          <w:tcPr>
            <w:tcW w:w="2835" w:type="dxa"/>
            <w:vAlign w:val="center"/>
          </w:tcPr>
          <w:p w14:paraId="4CD93DFA">
            <w:pPr>
              <w:pStyle w:val="11"/>
            </w:pPr>
            <w:r>
              <w:t>6月底</w:t>
            </w:r>
          </w:p>
        </w:tc>
        <w:tc>
          <w:tcPr>
            <w:tcW w:w="2551" w:type="dxa"/>
            <w:vAlign w:val="center"/>
          </w:tcPr>
          <w:p w14:paraId="6F43C545">
            <w:pPr>
              <w:pStyle w:val="11"/>
            </w:pPr>
            <w:r>
              <w:t>10月底</w:t>
            </w:r>
          </w:p>
        </w:tc>
        <w:tc>
          <w:tcPr>
            <w:tcW w:w="3544" w:type="dxa"/>
            <w:gridSpan w:val="2"/>
            <w:vAlign w:val="center"/>
          </w:tcPr>
          <w:p w14:paraId="2CCF7031">
            <w:pPr>
              <w:pStyle w:val="11"/>
            </w:pPr>
            <w:r>
              <w:t>12月底</w:t>
            </w:r>
          </w:p>
        </w:tc>
      </w:tr>
      <w:tr w14:paraId="663E3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1270CA"/>
        </w:tc>
        <w:tc>
          <w:tcPr>
            <w:tcW w:w="5103" w:type="dxa"/>
            <w:gridSpan w:val="2"/>
            <w:vAlign w:val="center"/>
          </w:tcPr>
          <w:p w14:paraId="64FD8C4E">
            <w:pPr>
              <w:pStyle w:val="12"/>
            </w:pPr>
            <w:r>
              <w:t xml:space="preserve"> </w:t>
            </w:r>
          </w:p>
        </w:tc>
        <w:tc>
          <w:tcPr>
            <w:tcW w:w="2835" w:type="dxa"/>
            <w:vAlign w:val="center"/>
          </w:tcPr>
          <w:p w14:paraId="164AC6DD">
            <w:pPr>
              <w:pStyle w:val="12"/>
            </w:pPr>
            <w:r>
              <w:t xml:space="preserve"> </w:t>
            </w:r>
          </w:p>
        </w:tc>
        <w:tc>
          <w:tcPr>
            <w:tcW w:w="2551" w:type="dxa"/>
            <w:vAlign w:val="center"/>
          </w:tcPr>
          <w:p w14:paraId="002238E7">
            <w:pPr>
              <w:pStyle w:val="12"/>
            </w:pPr>
            <w:r>
              <w:t xml:space="preserve"> </w:t>
            </w:r>
          </w:p>
        </w:tc>
        <w:tc>
          <w:tcPr>
            <w:tcW w:w="3544" w:type="dxa"/>
            <w:gridSpan w:val="2"/>
            <w:vAlign w:val="center"/>
          </w:tcPr>
          <w:p w14:paraId="5DD106E0">
            <w:pPr>
              <w:pStyle w:val="12"/>
            </w:pPr>
            <w:r>
              <w:t>100%</w:t>
            </w:r>
          </w:p>
        </w:tc>
      </w:tr>
      <w:tr w14:paraId="3E606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CAE76">
            <w:pPr>
              <w:pStyle w:val="11"/>
            </w:pPr>
            <w:r>
              <w:t>绩效目标</w:t>
            </w:r>
          </w:p>
        </w:tc>
        <w:tc>
          <w:tcPr>
            <w:tcW w:w="14033" w:type="dxa"/>
            <w:gridSpan w:val="6"/>
            <w:vAlign w:val="center"/>
          </w:tcPr>
          <w:p w14:paraId="1D7F5CEF">
            <w:pPr>
              <w:pStyle w:val="13"/>
            </w:pPr>
          </w:p>
        </w:tc>
      </w:tr>
    </w:tbl>
    <w:p w14:paraId="0EE750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44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29726">
            <w:pPr>
              <w:pStyle w:val="11"/>
            </w:pPr>
            <w:r>
              <w:t>一级指标</w:t>
            </w:r>
          </w:p>
        </w:tc>
        <w:tc>
          <w:tcPr>
            <w:tcW w:w="2268" w:type="dxa"/>
            <w:vAlign w:val="center"/>
          </w:tcPr>
          <w:p w14:paraId="31816AAD">
            <w:pPr>
              <w:pStyle w:val="11"/>
            </w:pPr>
            <w:r>
              <w:t>二级指标</w:t>
            </w:r>
          </w:p>
        </w:tc>
        <w:tc>
          <w:tcPr>
            <w:tcW w:w="2835" w:type="dxa"/>
            <w:vAlign w:val="center"/>
          </w:tcPr>
          <w:p w14:paraId="789544DD">
            <w:pPr>
              <w:pStyle w:val="11"/>
            </w:pPr>
            <w:r>
              <w:t>三级指标</w:t>
            </w:r>
          </w:p>
        </w:tc>
        <w:tc>
          <w:tcPr>
            <w:tcW w:w="5386" w:type="dxa"/>
            <w:gridSpan w:val="2"/>
            <w:vAlign w:val="center"/>
          </w:tcPr>
          <w:p w14:paraId="0911FB2B">
            <w:pPr>
              <w:pStyle w:val="11"/>
            </w:pPr>
            <w:r>
              <w:t>绩效指标描述</w:t>
            </w:r>
          </w:p>
        </w:tc>
        <w:tc>
          <w:tcPr>
            <w:tcW w:w="2268" w:type="dxa"/>
            <w:vAlign w:val="center"/>
          </w:tcPr>
          <w:p w14:paraId="3EB769D5">
            <w:pPr>
              <w:pStyle w:val="11"/>
            </w:pPr>
            <w:r>
              <w:t>指标值</w:t>
            </w:r>
          </w:p>
        </w:tc>
        <w:tc>
          <w:tcPr>
            <w:tcW w:w="1276" w:type="dxa"/>
            <w:vAlign w:val="center"/>
          </w:tcPr>
          <w:p w14:paraId="0CEB64BB">
            <w:pPr>
              <w:pStyle w:val="11"/>
            </w:pPr>
            <w:r>
              <w:t>指标值确定依据</w:t>
            </w:r>
          </w:p>
        </w:tc>
      </w:tr>
      <w:tr w14:paraId="2AE3A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74B3D3">
            <w:pPr>
              <w:pStyle w:val="12"/>
            </w:pPr>
          </w:p>
        </w:tc>
        <w:tc>
          <w:tcPr>
            <w:tcW w:w="2268" w:type="dxa"/>
            <w:vAlign w:val="center"/>
          </w:tcPr>
          <w:p w14:paraId="0D58142A">
            <w:pPr>
              <w:pStyle w:val="13"/>
            </w:pPr>
          </w:p>
        </w:tc>
        <w:tc>
          <w:tcPr>
            <w:tcW w:w="2835" w:type="dxa"/>
            <w:vAlign w:val="center"/>
          </w:tcPr>
          <w:p w14:paraId="7568A17E">
            <w:pPr>
              <w:pStyle w:val="13"/>
            </w:pPr>
          </w:p>
        </w:tc>
        <w:tc>
          <w:tcPr>
            <w:tcW w:w="2835" w:type="dxa"/>
            <w:vAlign w:val="center"/>
          </w:tcPr>
          <w:p w14:paraId="386E1306">
            <w:pPr>
              <w:pStyle w:val="13"/>
            </w:pPr>
          </w:p>
        </w:tc>
        <w:tc>
          <w:tcPr>
            <w:tcW w:w="2551" w:type="dxa"/>
            <w:vAlign w:val="center"/>
          </w:tcPr>
          <w:p w14:paraId="789D2CDF">
            <w:pPr>
              <w:pStyle w:val="13"/>
            </w:pPr>
          </w:p>
        </w:tc>
        <w:tc>
          <w:tcPr>
            <w:tcW w:w="2268" w:type="dxa"/>
            <w:vAlign w:val="center"/>
          </w:tcPr>
          <w:p w14:paraId="4A2B6DB2">
            <w:pPr>
              <w:pStyle w:val="13"/>
            </w:pPr>
          </w:p>
        </w:tc>
        <w:tc>
          <w:tcPr>
            <w:tcW w:w="1276" w:type="dxa"/>
            <w:vAlign w:val="center"/>
          </w:tcPr>
          <w:p w14:paraId="383B20F1">
            <w:pPr>
              <w:pStyle w:val="13"/>
            </w:pPr>
          </w:p>
        </w:tc>
      </w:tr>
    </w:tbl>
    <w:p w14:paraId="44F2C309">
      <w:pPr>
        <w:sectPr>
          <w:pgSz w:w="16840" w:h="11900" w:orient="landscape"/>
          <w:pgMar w:top="1361" w:right="1020" w:bottom="1134" w:left="1020" w:header="720" w:footer="720" w:gutter="0"/>
          <w:cols w:space="720" w:num="1"/>
        </w:sectPr>
      </w:pPr>
    </w:p>
    <w:p w14:paraId="4A136AE4">
      <w:pPr>
        <w:spacing w:before="0" w:after="0"/>
        <w:ind w:firstLine="560"/>
        <w:jc w:val="left"/>
        <w:outlineLvl w:val="9"/>
      </w:pPr>
      <w:r>
        <w:rPr>
          <w:rFonts w:ascii="方正仿宋_GBK" w:hAnsi="方正仿宋_GBK" w:eastAsia="方正仿宋_GBK" w:cs="方正仿宋_GBK"/>
          <w:b/>
          <w:color w:val="000000"/>
          <w:sz w:val="28"/>
        </w:rPr>
        <w:t>97、冀财教[2024]67号/中央/2024年义教经费/启明学校公用经费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277C1645">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15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9B5E2">
            <w:pPr>
              <w:pStyle w:val="14"/>
            </w:pPr>
            <w:r>
              <w:t>单位：万元</w:t>
            </w:r>
          </w:p>
        </w:tc>
      </w:tr>
      <w:tr w14:paraId="2650A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F7E27D">
            <w:pPr>
              <w:pStyle w:val="11"/>
            </w:pPr>
            <w:r>
              <w:t>项目编码</w:t>
            </w:r>
          </w:p>
        </w:tc>
        <w:tc>
          <w:tcPr>
            <w:tcW w:w="5103" w:type="dxa"/>
            <w:gridSpan w:val="2"/>
            <w:vAlign w:val="center"/>
          </w:tcPr>
          <w:p w14:paraId="6DA08F23">
            <w:pPr>
              <w:pStyle w:val="13"/>
            </w:pPr>
            <w:r>
              <w:t>13052524P000006114495</w:t>
            </w:r>
          </w:p>
        </w:tc>
        <w:tc>
          <w:tcPr>
            <w:tcW w:w="2835" w:type="dxa"/>
            <w:vAlign w:val="center"/>
          </w:tcPr>
          <w:p w14:paraId="4649EB7C">
            <w:pPr>
              <w:pStyle w:val="11"/>
            </w:pPr>
            <w:r>
              <w:t>项目名称</w:t>
            </w:r>
          </w:p>
        </w:tc>
        <w:tc>
          <w:tcPr>
            <w:tcW w:w="6095" w:type="dxa"/>
            <w:gridSpan w:val="3"/>
            <w:vAlign w:val="center"/>
          </w:tcPr>
          <w:p w14:paraId="074F26AE">
            <w:pPr>
              <w:pStyle w:val="13"/>
            </w:pPr>
            <w:r>
              <w:t>冀财教[2024]67号/中央/2024年义教经费/启明学校公用经费</w:t>
            </w:r>
            <w:r>
              <w:tab/>
            </w:r>
            <w:r>
              <w:tab/>
            </w:r>
          </w:p>
          <w:p w14:paraId="5D502E7C">
            <w:pPr>
              <w:pStyle w:val="13"/>
            </w:pPr>
          </w:p>
        </w:tc>
      </w:tr>
      <w:tr w14:paraId="42735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B9591">
            <w:pPr>
              <w:pStyle w:val="11"/>
            </w:pPr>
            <w:r>
              <w:t>预算规模及资金用途</w:t>
            </w:r>
          </w:p>
        </w:tc>
        <w:tc>
          <w:tcPr>
            <w:tcW w:w="2268" w:type="dxa"/>
            <w:vAlign w:val="center"/>
          </w:tcPr>
          <w:p w14:paraId="386BF2A8">
            <w:pPr>
              <w:pStyle w:val="11"/>
            </w:pPr>
            <w:r>
              <w:t>预算数</w:t>
            </w:r>
          </w:p>
        </w:tc>
        <w:tc>
          <w:tcPr>
            <w:tcW w:w="2835" w:type="dxa"/>
            <w:vAlign w:val="center"/>
          </w:tcPr>
          <w:p w14:paraId="17B6F258">
            <w:pPr>
              <w:pStyle w:val="13"/>
            </w:pPr>
            <w:r>
              <w:t>0.15</w:t>
            </w:r>
          </w:p>
        </w:tc>
        <w:tc>
          <w:tcPr>
            <w:tcW w:w="2835" w:type="dxa"/>
            <w:vAlign w:val="center"/>
          </w:tcPr>
          <w:p w14:paraId="79C5D433">
            <w:pPr>
              <w:pStyle w:val="11"/>
            </w:pPr>
            <w:r>
              <w:t>其中：财政    资金</w:t>
            </w:r>
          </w:p>
        </w:tc>
        <w:tc>
          <w:tcPr>
            <w:tcW w:w="2551" w:type="dxa"/>
            <w:vAlign w:val="center"/>
          </w:tcPr>
          <w:p w14:paraId="13591236">
            <w:pPr>
              <w:pStyle w:val="13"/>
            </w:pPr>
            <w:r>
              <w:t>0.15</w:t>
            </w:r>
          </w:p>
        </w:tc>
        <w:tc>
          <w:tcPr>
            <w:tcW w:w="2268" w:type="dxa"/>
            <w:vAlign w:val="center"/>
          </w:tcPr>
          <w:p w14:paraId="7BBCB555">
            <w:pPr>
              <w:pStyle w:val="11"/>
            </w:pPr>
            <w:r>
              <w:t>其他资金</w:t>
            </w:r>
          </w:p>
        </w:tc>
        <w:tc>
          <w:tcPr>
            <w:tcW w:w="1276" w:type="dxa"/>
            <w:vAlign w:val="center"/>
          </w:tcPr>
          <w:p w14:paraId="6521FD4C">
            <w:pPr>
              <w:pStyle w:val="13"/>
            </w:pPr>
            <w:r>
              <w:t xml:space="preserve"> </w:t>
            </w:r>
          </w:p>
        </w:tc>
      </w:tr>
      <w:tr w14:paraId="6F071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3A5C71"/>
        </w:tc>
        <w:tc>
          <w:tcPr>
            <w:tcW w:w="14033" w:type="dxa"/>
            <w:gridSpan w:val="6"/>
            <w:vAlign w:val="center"/>
          </w:tcPr>
          <w:p w14:paraId="759C7607">
            <w:pPr>
              <w:pStyle w:val="13"/>
            </w:pPr>
            <w:r>
              <w:t>保障义务教育学校正常运转，完成教育教学活动和其他日常工作任务等方面的费用支出。</w:t>
            </w:r>
          </w:p>
        </w:tc>
      </w:tr>
      <w:tr w14:paraId="251D2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09FED">
            <w:pPr>
              <w:pStyle w:val="11"/>
            </w:pPr>
            <w:r>
              <w:t>资金支出计划（%）</w:t>
            </w:r>
          </w:p>
        </w:tc>
        <w:tc>
          <w:tcPr>
            <w:tcW w:w="5103" w:type="dxa"/>
            <w:gridSpan w:val="2"/>
            <w:vAlign w:val="center"/>
          </w:tcPr>
          <w:p w14:paraId="19FF5B10">
            <w:pPr>
              <w:pStyle w:val="11"/>
            </w:pPr>
            <w:r>
              <w:t>3月底</w:t>
            </w:r>
          </w:p>
        </w:tc>
        <w:tc>
          <w:tcPr>
            <w:tcW w:w="2835" w:type="dxa"/>
            <w:vAlign w:val="center"/>
          </w:tcPr>
          <w:p w14:paraId="648D32D1">
            <w:pPr>
              <w:pStyle w:val="11"/>
            </w:pPr>
            <w:r>
              <w:t>6月底</w:t>
            </w:r>
          </w:p>
        </w:tc>
        <w:tc>
          <w:tcPr>
            <w:tcW w:w="2551" w:type="dxa"/>
            <w:vAlign w:val="center"/>
          </w:tcPr>
          <w:p w14:paraId="3997B058">
            <w:pPr>
              <w:pStyle w:val="11"/>
            </w:pPr>
            <w:r>
              <w:t>10月底</w:t>
            </w:r>
          </w:p>
        </w:tc>
        <w:tc>
          <w:tcPr>
            <w:tcW w:w="3544" w:type="dxa"/>
            <w:gridSpan w:val="2"/>
            <w:vAlign w:val="center"/>
          </w:tcPr>
          <w:p w14:paraId="0A098A99">
            <w:pPr>
              <w:pStyle w:val="11"/>
            </w:pPr>
            <w:r>
              <w:t>12月底</w:t>
            </w:r>
          </w:p>
        </w:tc>
      </w:tr>
      <w:tr w14:paraId="74596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189DA0"/>
        </w:tc>
        <w:tc>
          <w:tcPr>
            <w:tcW w:w="5103" w:type="dxa"/>
            <w:gridSpan w:val="2"/>
            <w:vAlign w:val="center"/>
          </w:tcPr>
          <w:p w14:paraId="4D5A8A0D">
            <w:pPr>
              <w:pStyle w:val="12"/>
            </w:pPr>
            <w:r>
              <w:t xml:space="preserve"> </w:t>
            </w:r>
          </w:p>
        </w:tc>
        <w:tc>
          <w:tcPr>
            <w:tcW w:w="2835" w:type="dxa"/>
            <w:vAlign w:val="center"/>
          </w:tcPr>
          <w:p w14:paraId="4B73C9FE">
            <w:pPr>
              <w:pStyle w:val="12"/>
            </w:pPr>
            <w:r>
              <w:t xml:space="preserve"> </w:t>
            </w:r>
          </w:p>
        </w:tc>
        <w:tc>
          <w:tcPr>
            <w:tcW w:w="2551" w:type="dxa"/>
            <w:vAlign w:val="center"/>
          </w:tcPr>
          <w:p w14:paraId="1B737BF9">
            <w:pPr>
              <w:pStyle w:val="12"/>
            </w:pPr>
            <w:r>
              <w:t>100%</w:t>
            </w:r>
          </w:p>
        </w:tc>
        <w:tc>
          <w:tcPr>
            <w:tcW w:w="3544" w:type="dxa"/>
            <w:gridSpan w:val="2"/>
            <w:vAlign w:val="center"/>
          </w:tcPr>
          <w:p w14:paraId="37EB6AD2">
            <w:pPr>
              <w:pStyle w:val="12"/>
            </w:pPr>
            <w:r>
              <w:t xml:space="preserve"> </w:t>
            </w:r>
          </w:p>
        </w:tc>
      </w:tr>
      <w:tr w14:paraId="62727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9326C6">
            <w:pPr>
              <w:pStyle w:val="11"/>
            </w:pPr>
            <w:r>
              <w:t>绩效目标</w:t>
            </w:r>
          </w:p>
        </w:tc>
        <w:tc>
          <w:tcPr>
            <w:tcW w:w="14033" w:type="dxa"/>
            <w:gridSpan w:val="6"/>
            <w:vAlign w:val="center"/>
          </w:tcPr>
          <w:p w14:paraId="6E12728D">
            <w:pPr>
              <w:pStyle w:val="13"/>
            </w:pPr>
          </w:p>
        </w:tc>
      </w:tr>
    </w:tbl>
    <w:p w14:paraId="07B39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E1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BCC56">
            <w:pPr>
              <w:pStyle w:val="11"/>
            </w:pPr>
            <w:r>
              <w:t>一级指标</w:t>
            </w:r>
          </w:p>
        </w:tc>
        <w:tc>
          <w:tcPr>
            <w:tcW w:w="2268" w:type="dxa"/>
            <w:vAlign w:val="center"/>
          </w:tcPr>
          <w:p w14:paraId="1D0C666A">
            <w:pPr>
              <w:pStyle w:val="11"/>
            </w:pPr>
            <w:r>
              <w:t>二级指标</w:t>
            </w:r>
          </w:p>
        </w:tc>
        <w:tc>
          <w:tcPr>
            <w:tcW w:w="2835" w:type="dxa"/>
            <w:vAlign w:val="center"/>
          </w:tcPr>
          <w:p w14:paraId="6ED08667">
            <w:pPr>
              <w:pStyle w:val="11"/>
            </w:pPr>
            <w:r>
              <w:t>三级指标</w:t>
            </w:r>
          </w:p>
        </w:tc>
        <w:tc>
          <w:tcPr>
            <w:tcW w:w="5386" w:type="dxa"/>
            <w:gridSpan w:val="2"/>
            <w:vAlign w:val="center"/>
          </w:tcPr>
          <w:p w14:paraId="0034F7DB">
            <w:pPr>
              <w:pStyle w:val="11"/>
            </w:pPr>
            <w:r>
              <w:t>绩效指标描述</w:t>
            </w:r>
          </w:p>
        </w:tc>
        <w:tc>
          <w:tcPr>
            <w:tcW w:w="2268" w:type="dxa"/>
            <w:vAlign w:val="center"/>
          </w:tcPr>
          <w:p w14:paraId="63159FBA">
            <w:pPr>
              <w:pStyle w:val="11"/>
            </w:pPr>
            <w:r>
              <w:t>指标值</w:t>
            </w:r>
          </w:p>
        </w:tc>
        <w:tc>
          <w:tcPr>
            <w:tcW w:w="1276" w:type="dxa"/>
            <w:vAlign w:val="center"/>
          </w:tcPr>
          <w:p w14:paraId="2516BA61">
            <w:pPr>
              <w:pStyle w:val="11"/>
            </w:pPr>
            <w:r>
              <w:t>指标值确定依据</w:t>
            </w:r>
          </w:p>
        </w:tc>
      </w:tr>
      <w:tr w14:paraId="41B69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30D73">
            <w:pPr>
              <w:pStyle w:val="12"/>
            </w:pPr>
          </w:p>
        </w:tc>
        <w:tc>
          <w:tcPr>
            <w:tcW w:w="2268" w:type="dxa"/>
            <w:vAlign w:val="center"/>
          </w:tcPr>
          <w:p w14:paraId="5A4F1892">
            <w:pPr>
              <w:pStyle w:val="13"/>
            </w:pPr>
          </w:p>
        </w:tc>
        <w:tc>
          <w:tcPr>
            <w:tcW w:w="2835" w:type="dxa"/>
            <w:vAlign w:val="center"/>
          </w:tcPr>
          <w:p w14:paraId="5DF68940">
            <w:pPr>
              <w:pStyle w:val="13"/>
            </w:pPr>
          </w:p>
        </w:tc>
        <w:tc>
          <w:tcPr>
            <w:tcW w:w="2835" w:type="dxa"/>
            <w:vAlign w:val="center"/>
          </w:tcPr>
          <w:p w14:paraId="3AB597BD">
            <w:pPr>
              <w:pStyle w:val="13"/>
            </w:pPr>
          </w:p>
        </w:tc>
        <w:tc>
          <w:tcPr>
            <w:tcW w:w="2551" w:type="dxa"/>
            <w:vAlign w:val="center"/>
          </w:tcPr>
          <w:p w14:paraId="1C50393B">
            <w:pPr>
              <w:pStyle w:val="13"/>
            </w:pPr>
          </w:p>
        </w:tc>
        <w:tc>
          <w:tcPr>
            <w:tcW w:w="2268" w:type="dxa"/>
            <w:vAlign w:val="center"/>
          </w:tcPr>
          <w:p w14:paraId="3BE635DD">
            <w:pPr>
              <w:pStyle w:val="13"/>
            </w:pPr>
          </w:p>
        </w:tc>
        <w:tc>
          <w:tcPr>
            <w:tcW w:w="1276" w:type="dxa"/>
            <w:vAlign w:val="center"/>
          </w:tcPr>
          <w:p w14:paraId="1991DBF1">
            <w:pPr>
              <w:pStyle w:val="13"/>
            </w:pPr>
          </w:p>
        </w:tc>
      </w:tr>
    </w:tbl>
    <w:p w14:paraId="27D8A3B1">
      <w:pPr>
        <w:sectPr>
          <w:pgSz w:w="16840" w:h="11900" w:orient="landscape"/>
          <w:pgMar w:top="1361" w:right="1020" w:bottom="1134" w:left="1020" w:header="720" w:footer="720" w:gutter="0"/>
          <w:cols w:space="720" w:num="1"/>
        </w:sectPr>
      </w:pPr>
    </w:p>
    <w:p w14:paraId="0B08FEDD">
      <w:pPr>
        <w:spacing w:before="0" w:after="0"/>
        <w:ind w:firstLine="560"/>
        <w:jc w:val="left"/>
        <w:outlineLvl w:val="9"/>
      </w:pPr>
      <w:r>
        <w:rPr>
          <w:rFonts w:ascii="方正仿宋_GBK" w:hAnsi="方正仿宋_GBK" w:eastAsia="方正仿宋_GBK" w:cs="方正仿宋_GBK"/>
          <w:b/>
          <w:color w:val="000000"/>
          <w:sz w:val="28"/>
        </w:rPr>
        <w:t>98、冀财教[2024]67号/中央/2024年义教经费/树人实验小学公用经费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5FB603DC">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3B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EB0E3">
            <w:pPr>
              <w:pStyle w:val="14"/>
            </w:pPr>
            <w:r>
              <w:t>单位：万元</w:t>
            </w:r>
          </w:p>
        </w:tc>
      </w:tr>
      <w:tr w14:paraId="06BED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CE4F20">
            <w:pPr>
              <w:pStyle w:val="11"/>
            </w:pPr>
            <w:r>
              <w:t>项目编码</w:t>
            </w:r>
          </w:p>
        </w:tc>
        <w:tc>
          <w:tcPr>
            <w:tcW w:w="5103" w:type="dxa"/>
            <w:gridSpan w:val="2"/>
            <w:vAlign w:val="center"/>
          </w:tcPr>
          <w:p w14:paraId="2F8010AF">
            <w:pPr>
              <w:pStyle w:val="13"/>
            </w:pPr>
            <w:r>
              <w:t>13052524P00000611446A</w:t>
            </w:r>
          </w:p>
        </w:tc>
        <w:tc>
          <w:tcPr>
            <w:tcW w:w="2835" w:type="dxa"/>
            <w:vAlign w:val="center"/>
          </w:tcPr>
          <w:p w14:paraId="08D0ABAD">
            <w:pPr>
              <w:pStyle w:val="11"/>
            </w:pPr>
            <w:r>
              <w:t>项目名称</w:t>
            </w:r>
          </w:p>
        </w:tc>
        <w:tc>
          <w:tcPr>
            <w:tcW w:w="6095" w:type="dxa"/>
            <w:gridSpan w:val="3"/>
            <w:vAlign w:val="center"/>
          </w:tcPr>
          <w:p w14:paraId="02836AE9">
            <w:pPr>
              <w:pStyle w:val="13"/>
            </w:pPr>
            <w:r>
              <w:t>冀财教[2024]67号/中央/2024年义教经费/树人实验小学公用经费</w:t>
            </w:r>
            <w:r>
              <w:tab/>
            </w:r>
            <w:r>
              <w:tab/>
            </w:r>
          </w:p>
          <w:p w14:paraId="1E490392">
            <w:pPr>
              <w:pStyle w:val="13"/>
            </w:pPr>
          </w:p>
        </w:tc>
      </w:tr>
      <w:tr w14:paraId="33CA6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35609">
            <w:pPr>
              <w:pStyle w:val="11"/>
            </w:pPr>
            <w:r>
              <w:t>预算规模及资金用途</w:t>
            </w:r>
          </w:p>
        </w:tc>
        <w:tc>
          <w:tcPr>
            <w:tcW w:w="2268" w:type="dxa"/>
            <w:vAlign w:val="center"/>
          </w:tcPr>
          <w:p w14:paraId="694A7887">
            <w:pPr>
              <w:pStyle w:val="11"/>
            </w:pPr>
            <w:r>
              <w:t>预算数</w:t>
            </w:r>
          </w:p>
        </w:tc>
        <w:tc>
          <w:tcPr>
            <w:tcW w:w="2835" w:type="dxa"/>
            <w:vAlign w:val="center"/>
          </w:tcPr>
          <w:p w14:paraId="30E2A148">
            <w:pPr>
              <w:pStyle w:val="13"/>
            </w:pPr>
            <w:r>
              <w:t>1.05</w:t>
            </w:r>
          </w:p>
        </w:tc>
        <w:tc>
          <w:tcPr>
            <w:tcW w:w="2835" w:type="dxa"/>
            <w:vAlign w:val="center"/>
          </w:tcPr>
          <w:p w14:paraId="0ED13A8F">
            <w:pPr>
              <w:pStyle w:val="11"/>
            </w:pPr>
            <w:r>
              <w:t>其中：财政    资金</w:t>
            </w:r>
          </w:p>
        </w:tc>
        <w:tc>
          <w:tcPr>
            <w:tcW w:w="2551" w:type="dxa"/>
            <w:vAlign w:val="center"/>
          </w:tcPr>
          <w:p w14:paraId="70698D8D">
            <w:pPr>
              <w:pStyle w:val="13"/>
            </w:pPr>
            <w:r>
              <w:t>1.05</w:t>
            </w:r>
          </w:p>
        </w:tc>
        <w:tc>
          <w:tcPr>
            <w:tcW w:w="2268" w:type="dxa"/>
            <w:vAlign w:val="center"/>
          </w:tcPr>
          <w:p w14:paraId="5D27D447">
            <w:pPr>
              <w:pStyle w:val="11"/>
            </w:pPr>
            <w:r>
              <w:t>其他资金</w:t>
            </w:r>
          </w:p>
        </w:tc>
        <w:tc>
          <w:tcPr>
            <w:tcW w:w="1276" w:type="dxa"/>
            <w:vAlign w:val="center"/>
          </w:tcPr>
          <w:p w14:paraId="10B45C98">
            <w:pPr>
              <w:pStyle w:val="13"/>
            </w:pPr>
            <w:r>
              <w:t xml:space="preserve"> </w:t>
            </w:r>
          </w:p>
        </w:tc>
      </w:tr>
      <w:tr w14:paraId="6915B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E99213"/>
        </w:tc>
        <w:tc>
          <w:tcPr>
            <w:tcW w:w="14033" w:type="dxa"/>
            <w:gridSpan w:val="6"/>
            <w:vAlign w:val="center"/>
          </w:tcPr>
          <w:p w14:paraId="0759FD19">
            <w:pPr>
              <w:pStyle w:val="13"/>
            </w:pPr>
            <w:r>
              <w:t>保障义务教育学校正常运转，完成教育教学活动和其他日常工作任务等方面的费用支出</w:t>
            </w:r>
          </w:p>
        </w:tc>
      </w:tr>
      <w:tr w14:paraId="6D6D9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BD539">
            <w:pPr>
              <w:pStyle w:val="11"/>
            </w:pPr>
            <w:r>
              <w:t>资金支出计划（%）</w:t>
            </w:r>
          </w:p>
        </w:tc>
        <w:tc>
          <w:tcPr>
            <w:tcW w:w="5103" w:type="dxa"/>
            <w:gridSpan w:val="2"/>
            <w:vAlign w:val="center"/>
          </w:tcPr>
          <w:p w14:paraId="160302D2">
            <w:pPr>
              <w:pStyle w:val="11"/>
            </w:pPr>
            <w:r>
              <w:t>3月底</w:t>
            </w:r>
          </w:p>
        </w:tc>
        <w:tc>
          <w:tcPr>
            <w:tcW w:w="2835" w:type="dxa"/>
            <w:vAlign w:val="center"/>
          </w:tcPr>
          <w:p w14:paraId="253D0FD1">
            <w:pPr>
              <w:pStyle w:val="11"/>
            </w:pPr>
            <w:r>
              <w:t>6月底</w:t>
            </w:r>
          </w:p>
        </w:tc>
        <w:tc>
          <w:tcPr>
            <w:tcW w:w="2551" w:type="dxa"/>
            <w:vAlign w:val="center"/>
          </w:tcPr>
          <w:p w14:paraId="624D0D9A">
            <w:pPr>
              <w:pStyle w:val="11"/>
            </w:pPr>
            <w:r>
              <w:t>10月底</w:t>
            </w:r>
          </w:p>
        </w:tc>
        <w:tc>
          <w:tcPr>
            <w:tcW w:w="3544" w:type="dxa"/>
            <w:gridSpan w:val="2"/>
            <w:vAlign w:val="center"/>
          </w:tcPr>
          <w:p w14:paraId="6EC67F1B">
            <w:pPr>
              <w:pStyle w:val="11"/>
            </w:pPr>
            <w:r>
              <w:t>12月底</w:t>
            </w:r>
          </w:p>
        </w:tc>
      </w:tr>
      <w:tr w14:paraId="5B020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F1815C"/>
        </w:tc>
        <w:tc>
          <w:tcPr>
            <w:tcW w:w="5103" w:type="dxa"/>
            <w:gridSpan w:val="2"/>
            <w:vAlign w:val="center"/>
          </w:tcPr>
          <w:p w14:paraId="2D3D5EBC">
            <w:pPr>
              <w:pStyle w:val="12"/>
            </w:pPr>
            <w:r>
              <w:t xml:space="preserve"> </w:t>
            </w:r>
          </w:p>
        </w:tc>
        <w:tc>
          <w:tcPr>
            <w:tcW w:w="2835" w:type="dxa"/>
            <w:vAlign w:val="center"/>
          </w:tcPr>
          <w:p w14:paraId="0931BA83">
            <w:pPr>
              <w:pStyle w:val="12"/>
            </w:pPr>
            <w:r>
              <w:t xml:space="preserve"> </w:t>
            </w:r>
          </w:p>
        </w:tc>
        <w:tc>
          <w:tcPr>
            <w:tcW w:w="2551" w:type="dxa"/>
            <w:vAlign w:val="center"/>
          </w:tcPr>
          <w:p w14:paraId="1EBCCBC6">
            <w:pPr>
              <w:pStyle w:val="12"/>
            </w:pPr>
            <w:r>
              <w:t>10000%</w:t>
            </w:r>
          </w:p>
        </w:tc>
        <w:tc>
          <w:tcPr>
            <w:tcW w:w="3544" w:type="dxa"/>
            <w:gridSpan w:val="2"/>
            <w:vAlign w:val="center"/>
          </w:tcPr>
          <w:p w14:paraId="7CAFD8B1">
            <w:pPr>
              <w:pStyle w:val="12"/>
            </w:pPr>
            <w:r>
              <w:t xml:space="preserve"> </w:t>
            </w:r>
          </w:p>
        </w:tc>
      </w:tr>
      <w:tr w14:paraId="4D371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D1081">
            <w:pPr>
              <w:pStyle w:val="11"/>
            </w:pPr>
            <w:r>
              <w:t>绩效目标</w:t>
            </w:r>
          </w:p>
        </w:tc>
        <w:tc>
          <w:tcPr>
            <w:tcW w:w="14033" w:type="dxa"/>
            <w:gridSpan w:val="6"/>
            <w:vAlign w:val="center"/>
          </w:tcPr>
          <w:p w14:paraId="1FFA8C0F">
            <w:pPr>
              <w:pStyle w:val="13"/>
            </w:pPr>
          </w:p>
        </w:tc>
      </w:tr>
    </w:tbl>
    <w:p w14:paraId="570CF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B2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153F7">
            <w:pPr>
              <w:pStyle w:val="11"/>
            </w:pPr>
            <w:r>
              <w:t>一级指标</w:t>
            </w:r>
          </w:p>
        </w:tc>
        <w:tc>
          <w:tcPr>
            <w:tcW w:w="2268" w:type="dxa"/>
            <w:vAlign w:val="center"/>
          </w:tcPr>
          <w:p w14:paraId="35E49D26">
            <w:pPr>
              <w:pStyle w:val="11"/>
            </w:pPr>
            <w:r>
              <w:t>二级指标</w:t>
            </w:r>
          </w:p>
        </w:tc>
        <w:tc>
          <w:tcPr>
            <w:tcW w:w="2835" w:type="dxa"/>
            <w:vAlign w:val="center"/>
          </w:tcPr>
          <w:p w14:paraId="084AAFF6">
            <w:pPr>
              <w:pStyle w:val="11"/>
            </w:pPr>
            <w:r>
              <w:t>三级指标</w:t>
            </w:r>
          </w:p>
        </w:tc>
        <w:tc>
          <w:tcPr>
            <w:tcW w:w="5386" w:type="dxa"/>
            <w:gridSpan w:val="2"/>
            <w:vAlign w:val="center"/>
          </w:tcPr>
          <w:p w14:paraId="5CD0A574">
            <w:pPr>
              <w:pStyle w:val="11"/>
            </w:pPr>
            <w:r>
              <w:t>绩效指标描述</w:t>
            </w:r>
          </w:p>
        </w:tc>
        <w:tc>
          <w:tcPr>
            <w:tcW w:w="2268" w:type="dxa"/>
            <w:vAlign w:val="center"/>
          </w:tcPr>
          <w:p w14:paraId="2C039C3E">
            <w:pPr>
              <w:pStyle w:val="11"/>
            </w:pPr>
            <w:r>
              <w:t>指标值</w:t>
            </w:r>
          </w:p>
        </w:tc>
        <w:tc>
          <w:tcPr>
            <w:tcW w:w="1276" w:type="dxa"/>
            <w:vAlign w:val="center"/>
          </w:tcPr>
          <w:p w14:paraId="04779D78">
            <w:pPr>
              <w:pStyle w:val="11"/>
            </w:pPr>
            <w:r>
              <w:t>指标值确定依据</w:t>
            </w:r>
          </w:p>
        </w:tc>
      </w:tr>
      <w:tr w14:paraId="0F8BA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E6C8F4">
            <w:pPr>
              <w:pStyle w:val="12"/>
            </w:pPr>
          </w:p>
        </w:tc>
        <w:tc>
          <w:tcPr>
            <w:tcW w:w="2268" w:type="dxa"/>
            <w:vAlign w:val="center"/>
          </w:tcPr>
          <w:p w14:paraId="4591A6BD">
            <w:pPr>
              <w:pStyle w:val="13"/>
            </w:pPr>
          </w:p>
        </w:tc>
        <w:tc>
          <w:tcPr>
            <w:tcW w:w="2835" w:type="dxa"/>
            <w:vAlign w:val="center"/>
          </w:tcPr>
          <w:p w14:paraId="2D26A32F">
            <w:pPr>
              <w:pStyle w:val="13"/>
            </w:pPr>
          </w:p>
        </w:tc>
        <w:tc>
          <w:tcPr>
            <w:tcW w:w="2835" w:type="dxa"/>
            <w:vAlign w:val="center"/>
          </w:tcPr>
          <w:p w14:paraId="57B04A44">
            <w:pPr>
              <w:pStyle w:val="13"/>
            </w:pPr>
          </w:p>
        </w:tc>
        <w:tc>
          <w:tcPr>
            <w:tcW w:w="2551" w:type="dxa"/>
            <w:vAlign w:val="center"/>
          </w:tcPr>
          <w:p w14:paraId="4C127303">
            <w:pPr>
              <w:pStyle w:val="13"/>
            </w:pPr>
          </w:p>
        </w:tc>
        <w:tc>
          <w:tcPr>
            <w:tcW w:w="2268" w:type="dxa"/>
            <w:vAlign w:val="center"/>
          </w:tcPr>
          <w:p w14:paraId="5F419FE3">
            <w:pPr>
              <w:pStyle w:val="13"/>
            </w:pPr>
          </w:p>
        </w:tc>
        <w:tc>
          <w:tcPr>
            <w:tcW w:w="1276" w:type="dxa"/>
            <w:vAlign w:val="center"/>
          </w:tcPr>
          <w:p w14:paraId="289A6F2B">
            <w:pPr>
              <w:pStyle w:val="13"/>
            </w:pPr>
          </w:p>
        </w:tc>
      </w:tr>
    </w:tbl>
    <w:p w14:paraId="67B93E74">
      <w:pPr>
        <w:sectPr>
          <w:pgSz w:w="16840" w:h="11900" w:orient="landscape"/>
          <w:pgMar w:top="1361" w:right="1020" w:bottom="1134" w:left="1020" w:header="720" w:footer="720" w:gutter="0"/>
          <w:cols w:space="720" w:num="1"/>
        </w:sectPr>
      </w:pPr>
    </w:p>
    <w:p w14:paraId="0CDC688A">
      <w:pPr>
        <w:spacing w:before="0" w:after="0"/>
        <w:ind w:firstLine="560"/>
        <w:jc w:val="left"/>
        <w:outlineLvl w:val="9"/>
      </w:pPr>
      <w:r>
        <w:rPr>
          <w:rFonts w:ascii="方正仿宋_GBK" w:hAnsi="方正仿宋_GBK" w:eastAsia="方正仿宋_GBK" w:cs="方正仿宋_GBK"/>
          <w:b/>
          <w:color w:val="000000"/>
          <w:sz w:val="28"/>
        </w:rPr>
        <w:t>99、冀财教[2024]67号/中央/2024年义教经费/私立成才小学公用经费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7B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6A0CB">
            <w:pPr>
              <w:pStyle w:val="14"/>
            </w:pPr>
            <w:r>
              <w:t>单位：万元</w:t>
            </w:r>
          </w:p>
        </w:tc>
      </w:tr>
      <w:tr w14:paraId="2D103B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B2091D">
            <w:pPr>
              <w:pStyle w:val="11"/>
            </w:pPr>
            <w:r>
              <w:t>项目编码</w:t>
            </w:r>
          </w:p>
        </w:tc>
        <w:tc>
          <w:tcPr>
            <w:tcW w:w="5103" w:type="dxa"/>
            <w:gridSpan w:val="2"/>
            <w:vAlign w:val="center"/>
          </w:tcPr>
          <w:p w14:paraId="3E87C4E1">
            <w:pPr>
              <w:pStyle w:val="13"/>
            </w:pPr>
            <w:r>
              <w:t>13052524P000006114514</w:t>
            </w:r>
          </w:p>
        </w:tc>
        <w:tc>
          <w:tcPr>
            <w:tcW w:w="2835" w:type="dxa"/>
            <w:vAlign w:val="center"/>
          </w:tcPr>
          <w:p w14:paraId="4DF94D34">
            <w:pPr>
              <w:pStyle w:val="11"/>
            </w:pPr>
            <w:r>
              <w:t>项目名称</w:t>
            </w:r>
          </w:p>
        </w:tc>
        <w:tc>
          <w:tcPr>
            <w:tcW w:w="6095" w:type="dxa"/>
            <w:gridSpan w:val="3"/>
            <w:vAlign w:val="center"/>
          </w:tcPr>
          <w:p w14:paraId="18C8B46F">
            <w:pPr>
              <w:pStyle w:val="13"/>
            </w:pPr>
            <w:r>
              <w:t>冀财教[2024]67号/中央/2024年义教经费/私立成才小学公用经费</w:t>
            </w:r>
            <w:r>
              <w:tab/>
            </w:r>
          </w:p>
        </w:tc>
      </w:tr>
      <w:tr w14:paraId="20B27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835A4">
            <w:pPr>
              <w:pStyle w:val="11"/>
            </w:pPr>
            <w:r>
              <w:t>预算规模及资金用途</w:t>
            </w:r>
          </w:p>
        </w:tc>
        <w:tc>
          <w:tcPr>
            <w:tcW w:w="2268" w:type="dxa"/>
            <w:vAlign w:val="center"/>
          </w:tcPr>
          <w:p w14:paraId="1917A7E2">
            <w:pPr>
              <w:pStyle w:val="11"/>
            </w:pPr>
            <w:r>
              <w:t>预算数</w:t>
            </w:r>
          </w:p>
        </w:tc>
        <w:tc>
          <w:tcPr>
            <w:tcW w:w="2835" w:type="dxa"/>
            <w:vAlign w:val="center"/>
          </w:tcPr>
          <w:p w14:paraId="1AAFDA1F">
            <w:pPr>
              <w:pStyle w:val="13"/>
            </w:pPr>
            <w:r>
              <w:t>0.35</w:t>
            </w:r>
          </w:p>
        </w:tc>
        <w:tc>
          <w:tcPr>
            <w:tcW w:w="2835" w:type="dxa"/>
            <w:vAlign w:val="center"/>
          </w:tcPr>
          <w:p w14:paraId="1B84545A">
            <w:pPr>
              <w:pStyle w:val="11"/>
            </w:pPr>
            <w:r>
              <w:t>其中：财政    资金</w:t>
            </w:r>
          </w:p>
        </w:tc>
        <w:tc>
          <w:tcPr>
            <w:tcW w:w="2551" w:type="dxa"/>
            <w:vAlign w:val="center"/>
          </w:tcPr>
          <w:p w14:paraId="35D5CFF5">
            <w:pPr>
              <w:pStyle w:val="13"/>
            </w:pPr>
            <w:r>
              <w:t>0.35</w:t>
            </w:r>
          </w:p>
        </w:tc>
        <w:tc>
          <w:tcPr>
            <w:tcW w:w="2268" w:type="dxa"/>
            <w:vAlign w:val="center"/>
          </w:tcPr>
          <w:p w14:paraId="2C6B52B8">
            <w:pPr>
              <w:pStyle w:val="11"/>
            </w:pPr>
            <w:r>
              <w:t>其他资金</w:t>
            </w:r>
          </w:p>
        </w:tc>
        <w:tc>
          <w:tcPr>
            <w:tcW w:w="1276" w:type="dxa"/>
            <w:vAlign w:val="center"/>
          </w:tcPr>
          <w:p w14:paraId="5D364C15">
            <w:pPr>
              <w:pStyle w:val="13"/>
            </w:pPr>
            <w:r>
              <w:t xml:space="preserve"> </w:t>
            </w:r>
          </w:p>
        </w:tc>
      </w:tr>
      <w:tr w14:paraId="5C1E6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A15D51"/>
        </w:tc>
        <w:tc>
          <w:tcPr>
            <w:tcW w:w="14033" w:type="dxa"/>
            <w:gridSpan w:val="6"/>
            <w:vAlign w:val="center"/>
          </w:tcPr>
          <w:p w14:paraId="1ED1DAAF">
            <w:pPr>
              <w:pStyle w:val="13"/>
            </w:pPr>
            <w:r>
              <w:t>保障义务教育学校正常运转，完成教育教学活动和其他日常工作任务等方面的费用支出。</w:t>
            </w:r>
          </w:p>
        </w:tc>
      </w:tr>
      <w:tr w14:paraId="2300A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047FF">
            <w:pPr>
              <w:pStyle w:val="11"/>
            </w:pPr>
            <w:r>
              <w:t>资金支出计划（%）</w:t>
            </w:r>
          </w:p>
        </w:tc>
        <w:tc>
          <w:tcPr>
            <w:tcW w:w="5103" w:type="dxa"/>
            <w:gridSpan w:val="2"/>
            <w:vAlign w:val="center"/>
          </w:tcPr>
          <w:p w14:paraId="169EDD15">
            <w:pPr>
              <w:pStyle w:val="11"/>
            </w:pPr>
            <w:r>
              <w:t>3月底</w:t>
            </w:r>
          </w:p>
        </w:tc>
        <w:tc>
          <w:tcPr>
            <w:tcW w:w="2835" w:type="dxa"/>
            <w:vAlign w:val="center"/>
          </w:tcPr>
          <w:p w14:paraId="0ABD5D44">
            <w:pPr>
              <w:pStyle w:val="11"/>
            </w:pPr>
            <w:r>
              <w:t>6月底</w:t>
            </w:r>
          </w:p>
        </w:tc>
        <w:tc>
          <w:tcPr>
            <w:tcW w:w="2551" w:type="dxa"/>
            <w:vAlign w:val="center"/>
          </w:tcPr>
          <w:p w14:paraId="299D816D">
            <w:pPr>
              <w:pStyle w:val="11"/>
            </w:pPr>
            <w:r>
              <w:t>10月底</w:t>
            </w:r>
          </w:p>
        </w:tc>
        <w:tc>
          <w:tcPr>
            <w:tcW w:w="3544" w:type="dxa"/>
            <w:gridSpan w:val="2"/>
            <w:vAlign w:val="center"/>
          </w:tcPr>
          <w:p w14:paraId="6AEF71BB">
            <w:pPr>
              <w:pStyle w:val="11"/>
            </w:pPr>
            <w:r>
              <w:t>12月底</w:t>
            </w:r>
          </w:p>
        </w:tc>
      </w:tr>
      <w:tr w14:paraId="478B2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855E8B"/>
        </w:tc>
        <w:tc>
          <w:tcPr>
            <w:tcW w:w="5103" w:type="dxa"/>
            <w:gridSpan w:val="2"/>
            <w:vAlign w:val="center"/>
          </w:tcPr>
          <w:p w14:paraId="79BFBD42">
            <w:pPr>
              <w:pStyle w:val="12"/>
            </w:pPr>
            <w:r>
              <w:t xml:space="preserve"> </w:t>
            </w:r>
          </w:p>
        </w:tc>
        <w:tc>
          <w:tcPr>
            <w:tcW w:w="2835" w:type="dxa"/>
            <w:vAlign w:val="center"/>
          </w:tcPr>
          <w:p w14:paraId="52E033DD">
            <w:pPr>
              <w:pStyle w:val="12"/>
            </w:pPr>
            <w:r>
              <w:t xml:space="preserve"> </w:t>
            </w:r>
          </w:p>
        </w:tc>
        <w:tc>
          <w:tcPr>
            <w:tcW w:w="2551" w:type="dxa"/>
            <w:vAlign w:val="center"/>
          </w:tcPr>
          <w:p w14:paraId="79A052C8">
            <w:pPr>
              <w:pStyle w:val="12"/>
            </w:pPr>
            <w:r>
              <w:t>100%</w:t>
            </w:r>
          </w:p>
        </w:tc>
        <w:tc>
          <w:tcPr>
            <w:tcW w:w="3544" w:type="dxa"/>
            <w:gridSpan w:val="2"/>
            <w:vAlign w:val="center"/>
          </w:tcPr>
          <w:p w14:paraId="7C3DBD32">
            <w:pPr>
              <w:pStyle w:val="12"/>
            </w:pPr>
            <w:r>
              <w:t>100%</w:t>
            </w:r>
          </w:p>
        </w:tc>
      </w:tr>
      <w:tr w14:paraId="450D5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FA232D">
            <w:pPr>
              <w:pStyle w:val="11"/>
            </w:pPr>
            <w:r>
              <w:t>绩效目标</w:t>
            </w:r>
          </w:p>
        </w:tc>
        <w:tc>
          <w:tcPr>
            <w:tcW w:w="14033" w:type="dxa"/>
            <w:gridSpan w:val="6"/>
            <w:vAlign w:val="center"/>
          </w:tcPr>
          <w:p w14:paraId="69792741">
            <w:pPr>
              <w:pStyle w:val="13"/>
            </w:pPr>
          </w:p>
        </w:tc>
      </w:tr>
    </w:tbl>
    <w:p w14:paraId="430BA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09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B3001">
            <w:pPr>
              <w:pStyle w:val="11"/>
            </w:pPr>
            <w:r>
              <w:t>一级指标</w:t>
            </w:r>
          </w:p>
        </w:tc>
        <w:tc>
          <w:tcPr>
            <w:tcW w:w="2268" w:type="dxa"/>
            <w:vAlign w:val="center"/>
          </w:tcPr>
          <w:p w14:paraId="010F11CB">
            <w:pPr>
              <w:pStyle w:val="11"/>
            </w:pPr>
            <w:r>
              <w:t>二级指标</w:t>
            </w:r>
          </w:p>
        </w:tc>
        <w:tc>
          <w:tcPr>
            <w:tcW w:w="2835" w:type="dxa"/>
            <w:vAlign w:val="center"/>
          </w:tcPr>
          <w:p w14:paraId="3280728A">
            <w:pPr>
              <w:pStyle w:val="11"/>
            </w:pPr>
            <w:r>
              <w:t>三级指标</w:t>
            </w:r>
          </w:p>
        </w:tc>
        <w:tc>
          <w:tcPr>
            <w:tcW w:w="5386" w:type="dxa"/>
            <w:gridSpan w:val="2"/>
            <w:vAlign w:val="center"/>
          </w:tcPr>
          <w:p w14:paraId="231AE30A">
            <w:pPr>
              <w:pStyle w:val="11"/>
            </w:pPr>
            <w:r>
              <w:t>绩效指标描述</w:t>
            </w:r>
          </w:p>
        </w:tc>
        <w:tc>
          <w:tcPr>
            <w:tcW w:w="2268" w:type="dxa"/>
            <w:vAlign w:val="center"/>
          </w:tcPr>
          <w:p w14:paraId="40464CD2">
            <w:pPr>
              <w:pStyle w:val="11"/>
            </w:pPr>
            <w:r>
              <w:t>指标值</w:t>
            </w:r>
          </w:p>
        </w:tc>
        <w:tc>
          <w:tcPr>
            <w:tcW w:w="1276" w:type="dxa"/>
            <w:vAlign w:val="center"/>
          </w:tcPr>
          <w:p w14:paraId="7427165F">
            <w:pPr>
              <w:pStyle w:val="11"/>
            </w:pPr>
            <w:r>
              <w:t>指标值确定依据</w:t>
            </w:r>
          </w:p>
        </w:tc>
      </w:tr>
      <w:tr w14:paraId="68CA3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19E261">
            <w:pPr>
              <w:pStyle w:val="12"/>
            </w:pPr>
          </w:p>
        </w:tc>
        <w:tc>
          <w:tcPr>
            <w:tcW w:w="2268" w:type="dxa"/>
            <w:vAlign w:val="center"/>
          </w:tcPr>
          <w:p w14:paraId="1432F1B0">
            <w:pPr>
              <w:pStyle w:val="13"/>
            </w:pPr>
          </w:p>
        </w:tc>
        <w:tc>
          <w:tcPr>
            <w:tcW w:w="2835" w:type="dxa"/>
            <w:vAlign w:val="center"/>
          </w:tcPr>
          <w:p w14:paraId="5E89D9FA">
            <w:pPr>
              <w:pStyle w:val="13"/>
            </w:pPr>
          </w:p>
        </w:tc>
        <w:tc>
          <w:tcPr>
            <w:tcW w:w="2835" w:type="dxa"/>
            <w:vAlign w:val="center"/>
          </w:tcPr>
          <w:p w14:paraId="044F3E98">
            <w:pPr>
              <w:pStyle w:val="13"/>
            </w:pPr>
          </w:p>
        </w:tc>
        <w:tc>
          <w:tcPr>
            <w:tcW w:w="2551" w:type="dxa"/>
            <w:vAlign w:val="center"/>
          </w:tcPr>
          <w:p w14:paraId="70C02A51">
            <w:pPr>
              <w:pStyle w:val="13"/>
            </w:pPr>
          </w:p>
        </w:tc>
        <w:tc>
          <w:tcPr>
            <w:tcW w:w="2268" w:type="dxa"/>
            <w:vAlign w:val="center"/>
          </w:tcPr>
          <w:p w14:paraId="0FB4B0B5">
            <w:pPr>
              <w:pStyle w:val="13"/>
            </w:pPr>
          </w:p>
        </w:tc>
        <w:tc>
          <w:tcPr>
            <w:tcW w:w="1276" w:type="dxa"/>
            <w:vAlign w:val="center"/>
          </w:tcPr>
          <w:p w14:paraId="40E30AB6">
            <w:pPr>
              <w:pStyle w:val="13"/>
            </w:pPr>
          </w:p>
        </w:tc>
      </w:tr>
    </w:tbl>
    <w:p w14:paraId="4BC9BCD6">
      <w:pPr>
        <w:sectPr>
          <w:pgSz w:w="16840" w:h="11900" w:orient="landscape"/>
          <w:pgMar w:top="1361" w:right="1020" w:bottom="1134" w:left="1020" w:header="720" w:footer="720" w:gutter="0"/>
          <w:cols w:space="720" w:num="1"/>
        </w:sectPr>
      </w:pPr>
    </w:p>
    <w:p w14:paraId="09CBD992">
      <w:pPr>
        <w:spacing w:before="0" w:after="0"/>
        <w:ind w:firstLine="560"/>
        <w:jc w:val="left"/>
        <w:outlineLvl w:val="9"/>
      </w:pPr>
      <w:r>
        <w:rPr>
          <w:rFonts w:ascii="方正仿宋_GBK" w:hAnsi="方正仿宋_GBK" w:eastAsia="方正仿宋_GBK" w:cs="方正仿宋_GBK"/>
          <w:b/>
          <w:color w:val="000000"/>
          <w:sz w:val="28"/>
        </w:rPr>
        <w:t>100、冀财教[2024]67号/中央/2024年义教经费/私立东苑中学（初中）公用经费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02C2BF46">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60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6018B">
            <w:pPr>
              <w:pStyle w:val="14"/>
            </w:pPr>
            <w:r>
              <w:t>单位：万元</w:t>
            </w:r>
          </w:p>
        </w:tc>
      </w:tr>
      <w:tr w14:paraId="1E2B6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7E091">
            <w:pPr>
              <w:pStyle w:val="11"/>
            </w:pPr>
            <w:r>
              <w:t>项目编码</w:t>
            </w:r>
          </w:p>
        </w:tc>
        <w:tc>
          <w:tcPr>
            <w:tcW w:w="5103" w:type="dxa"/>
            <w:gridSpan w:val="2"/>
            <w:vAlign w:val="center"/>
          </w:tcPr>
          <w:p w14:paraId="1C46483D">
            <w:pPr>
              <w:pStyle w:val="13"/>
            </w:pPr>
            <w:r>
              <w:t>13052524P000006114637</w:t>
            </w:r>
          </w:p>
        </w:tc>
        <w:tc>
          <w:tcPr>
            <w:tcW w:w="2835" w:type="dxa"/>
            <w:vAlign w:val="center"/>
          </w:tcPr>
          <w:p w14:paraId="6059E488">
            <w:pPr>
              <w:pStyle w:val="11"/>
            </w:pPr>
            <w:r>
              <w:t>项目名称</w:t>
            </w:r>
          </w:p>
        </w:tc>
        <w:tc>
          <w:tcPr>
            <w:tcW w:w="6095" w:type="dxa"/>
            <w:gridSpan w:val="3"/>
            <w:vAlign w:val="center"/>
          </w:tcPr>
          <w:p w14:paraId="781E6032">
            <w:pPr>
              <w:pStyle w:val="13"/>
            </w:pPr>
            <w:r>
              <w:t>冀财教[2024]67号/中央/2024年义教经费/私立东苑中学（初中）公用经费</w:t>
            </w:r>
            <w:r>
              <w:tab/>
            </w:r>
            <w:r>
              <w:tab/>
            </w:r>
          </w:p>
          <w:p w14:paraId="101B19E4">
            <w:pPr>
              <w:pStyle w:val="13"/>
            </w:pPr>
          </w:p>
        </w:tc>
      </w:tr>
      <w:tr w14:paraId="3E782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E3920">
            <w:pPr>
              <w:pStyle w:val="11"/>
            </w:pPr>
            <w:r>
              <w:t>预算规模及资金用途</w:t>
            </w:r>
          </w:p>
        </w:tc>
        <w:tc>
          <w:tcPr>
            <w:tcW w:w="2268" w:type="dxa"/>
            <w:vAlign w:val="center"/>
          </w:tcPr>
          <w:p w14:paraId="70E61E00">
            <w:pPr>
              <w:pStyle w:val="11"/>
            </w:pPr>
            <w:r>
              <w:t>预算数</w:t>
            </w:r>
          </w:p>
        </w:tc>
        <w:tc>
          <w:tcPr>
            <w:tcW w:w="2835" w:type="dxa"/>
            <w:vAlign w:val="center"/>
          </w:tcPr>
          <w:p w14:paraId="2FCA0518">
            <w:pPr>
              <w:pStyle w:val="13"/>
            </w:pPr>
            <w:r>
              <w:t>0.57</w:t>
            </w:r>
          </w:p>
        </w:tc>
        <w:tc>
          <w:tcPr>
            <w:tcW w:w="2835" w:type="dxa"/>
            <w:vAlign w:val="center"/>
          </w:tcPr>
          <w:p w14:paraId="092E7568">
            <w:pPr>
              <w:pStyle w:val="11"/>
            </w:pPr>
            <w:r>
              <w:t>其中：财政    资金</w:t>
            </w:r>
          </w:p>
        </w:tc>
        <w:tc>
          <w:tcPr>
            <w:tcW w:w="2551" w:type="dxa"/>
            <w:vAlign w:val="center"/>
          </w:tcPr>
          <w:p w14:paraId="012B8FB8">
            <w:pPr>
              <w:pStyle w:val="13"/>
            </w:pPr>
            <w:r>
              <w:t>0.57</w:t>
            </w:r>
          </w:p>
        </w:tc>
        <w:tc>
          <w:tcPr>
            <w:tcW w:w="2268" w:type="dxa"/>
            <w:vAlign w:val="center"/>
          </w:tcPr>
          <w:p w14:paraId="5BFE6D8B">
            <w:pPr>
              <w:pStyle w:val="11"/>
            </w:pPr>
            <w:r>
              <w:t>其他资金</w:t>
            </w:r>
          </w:p>
        </w:tc>
        <w:tc>
          <w:tcPr>
            <w:tcW w:w="1276" w:type="dxa"/>
            <w:vAlign w:val="center"/>
          </w:tcPr>
          <w:p w14:paraId="36FA8B4D">
            <w:pPr>
              <w:pStyle w:val="13"/>
            </w:pPr>
            <w:r>
              <w:t xml:space="preserve"> </w:t>
            </w:r>
          </w:p>
        </w:tc>
      </w:tr>
      <w:tr w14:paraId="3E63D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5B0A4F"/>
        </w:tc>
        <w:tc>
          <w:tcPr>
            <w:tcW w:w="14033" w:type="dxa"/>
            <w:gridSpan w:val="6"/>
            <w:vAlign w:val="center"/>
          </w:tcPr>
          <w:p w14:paraId="5AB5B1D0">
            <w:pPr>
              <w:pStyle w:val="13"/>
            </w:pPr>
            <w:r>
              <w:t>保障义务教育学校正常运转，完成教育教学活动和其他日常工作任务等方面的费用支出。</w:t>
            </w:r>
          </w:p>
        </w:tc>
      </w:tr>
      <w:tr w14:paraId="2E5A7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DFC0F">
            <w:pPr>
              <w:pStyle w:val="11"/>
            </w:pPr>
            <w:r>
              <w:t>资金支出计划（%）</w:t>
            </w:r>
          </w:p>
        </w:tc>
        <w:tc>
          <w:tcPr>
            <w:tcW w:w="5103" w:type="dxa"/>
            <w:gridSpan w:val="2"/>
            <w:vAlign w:val="center"/>
          </w:tcPr>
          <w:p w14:paraId="5C79FF4C">
            <w:pPr>
              <w:pStyle w:val="11"/>
            </w:pPr>
            <w:r>
              <w:t>3月底</w:t>
            </w:r>
          </w:p>
        </w:tc>
        <w:tc>
          <w:tcPr>
            <w:tcW w:w="2835" w:type="dxa"/>
            <w:vAlign w:val="center"/>
          </w:tcPr>
          <w:p w14:paraId="5A4E70D9">
            <w:pPr>
              <w:pStyle w:val="11"/>
            </w:pPr>
            <w:r>
              <w:t>6月底</w:t>
            </w:r>
          </w:p>
        </w:tc>
        <w:tc>
          <w:tcPr>
            <w:tcW w:w="2551" w:type="dxa"/>
            <w:vAlign w:val="center"/>
          </w:tcPr>
          <w:p w14:paraId="0A0BC088">
            <w:pPr>
              <w:pStyle w:val="11"/>
            </w:pPr>
            <w:r>
              <w:t>10月底</w:t>
            </w:r>
          </w:p>
        </w:tc>
        <w:tc>
          <w:tcPr>
            <w:tcW w:w="3544" w:type="dxa"/>
            <w:gridSpan w:val="2"/>
            <w:vAlign w:val="center"/>
          </w:tcPr>
          <w:p w14:paraId="2FDCF4AB">
            <w:pPr>
              <w:pStyle w:val="11"/>
            </w:pPr>
            <w:r>
              <w:t>12月底</w:t>
            </w:r>
          </w:p>
        </w:tc>
      </w:tr>
      <w:tr w14:paraId="27C73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2CCDFD"/>
        </w:tc>
        <w:tc>
          <w:tcPr>
            <w:tcW w:w="5103" w:type="dxa"/>
            <w:gridSpan w:val="2"/>
            <w:vAlign w:val="center"/>
          </w:tcPr>
          <w:p w14:paraId="60097D7E">
            <w:pPr>
              <w:pStyle w:val="12"/>
            </w:pPr>
            <w:r>
              <w:t xml:space="preserve"> </w:t>
            </w:r>
          </w:p>
        </w:tc>
        <w:tc>
          <w:tcPr>
            <w:tcW w:w="2835" w:type="dxa"/>
            <w:vAlign w:val="center"/>
          </w:tcPr>
          <w:p w14:paraId="14A62239">
            <w:pPr>
              <w:pStyle w:val="12"/>
            </w:pPr>
            <w:r>
              <w:t xml:space="preserve"> </w:t>
            </w:r>
          </w:p>
        </w:tc>
        <w:tc>
          <w:tcPr>
            <w:tcW w:w="2551" w:type="dxa"/>
            <w:vAlign w:val="center"/>
          </w:tcPr>
          <w:p w14:paraId="492A792F">
            <w:pPr>
              <w:pStyle w:val="12"/>
            </w:pPr>
            <w:r>
              <w:t>100%</w:t>
            </w:r>
          </w:p>
        </w:tc>
        <w:tc>
          <w:tcPr>
            <w:tcW w:w="3544" w:type="dxa"/>
            <w:gridSpan w:val="2"/>
            <w:vAlign w:val="center"/>
          </w:tcPr>
          <w:p w14:paraId="0BE4BE0C">
            <w:pPr>
              <w:pStyle w:val="12"/>
            </w:pPr>
            <w:r>
              <w:t>100%</w:t>
            </w:r>
          </w:p>
        </w:tc>
      </w:tr>
      <w:tr w14:paraId="22184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4AC050">
            <w:pPr>
              <w:pStyle w:val="11"/>
            </w:pPr>
            <w:r>
              <w:t>绩效目标</w:t>
            </w:r>
          </w:p>
        </w:tc>
        <w:tc>
          <w:tcPr>
            <w:tcW w:w="14033" w:type="dxa"/>
            <w:gridSpan w:val="6"/>
            <w:vAlign w:val="center"/>
          </w:tcPr>
          <w:p w14:paraId="3B68D9C8">
            <w:pPr>
              <w:pStyle w:val="13"/>
            </w:pPr>
          </w:p>
        </w:tc>
      </w:tr>
    </w:tbl>
    <w:p w14:paraId="70647C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08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A65E2">
            <w:pPr>
              <w:pStyle w:val="11"/>
            </w:pPr>
            <w:r>
              <w:t>一级指标</w:t>
            </w:r>
          </w:p>
        </w:tc>
        <w:tc>
          <w:tcPr>
            <w:tcW w:w="2268" w:type="dxa"/>
            <w:vAlign w:val="center"/>
          </w:tcPr>
          <w:p w14:paraId="7C9EAE1B">
            <w:pPr>
              <w:pStyle w:val="11"/>
            </w:pPr>
            <w:r>
              <w:t>二级指标</w:t>
            </w:r>
          </w:p>
        </w:tc>
        <w:tc>
          <w:tcPr>
            <w:tcW w:w="2835" w:type="dxa"/>
            <w:vAlign w:val="center"/>
          </w:tcPr>
          <w:p w14:paraId="1DF2BB14">
            <w:pPr>
              <w:pStyle w:val="11"/>
            </w:pPr>
            <w:r>
              <w:t>三级指标</w:t>
            </w:r>
          </w:p>
        </w:tc>
        <w:tc>
          <w:tcPr>
            <w:tcW w:w="5386" w:type="dxa"/>
            <w:gridSpan w:val="2"/>
            <w:vAlign w:val="center"/>
          </w:tcPr>
          <w:p w14:paraId="3D0D6E86">
            <w:pPr>
              <w:pStyle w:val="11"/>
            </w:pPr>
            <w:r>
              <w:t>绩效指标描述</w:t>
            </w:r>
          </w:p>
        </w:tc>
        <w:tc>
          <w:tcPr>
            <w:tcW w:w="2268" w:type="dxa"/>
            <w:vAlign w:val="center"/>
          </w:tcPr>
          <w:p w14:paraId="61BBB1B0">
            <w:pPr>
              <w:pStyle w:val="11"/>
            </w:pPr>
            <w:r>
              <w:t>指标值</w:t>
            </w:r>
          </w:p>
        </w:tc>
        <w:tc>
          <w:tcPr>
            <w:tcW w:w="1276" w:type="dxa"/>
            <w:vAlign w:val="center"/>
          </w:tcPr>
          <w:p w14:paraId="38EBBED7">
            <w:pPr>
              <w:pStyle w:val="11"/>
            </w:pPr>
            <w:r>
              <w:t>指标值确定依据</w:t>
            </w:r>
          </w:p>
        </w:tc>
      </w:tr>
      <w:tr w14:paraId="0093E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20500C">
            <w:pPr>
              <w:pStyle w:val="12"/>
            </w:pPr>
          </w:p>
        </w:tc>
        <w:tc>
          <w:tcPr>
            <w:tcW w:w="2268" w:type="dxa"/>
            <w:vAlign w:val="center"/>
          </w:tcPr>
          <w:p w14:paraId="39B48F3B">
            <w:pPr>
              <w:pStyle w:val="13"/>
            </w:pPr>
          </w:p>
        </w:tc>
        <w:tc>
          <w:tcPr>
            <w:tcW w:w="2835" w:type="dxa"/>
            <w:vAlign w:val="center"/>
          </w:tcPr>
          <w:p w14:paraId="60C45DF8">
            <w:pPr>
              <w:pStyle w:val="13"/>
            </w:pPr>
          </w:p>
        </w:tc>
        <w:tc>
          <w:tcPr>
            <w:tcW w:w="2835" w:type="dxa"/>
            <w:vAlign w:val="center"/>
          </w:tcPr>
          <w:p w14:paraId="7CEDDED4">
            <w:pPr>
              <w:pStyle w:val="13"/>
            </w:pPr>
          </w:p>
        </w:tc>
        <w:tc>
          <w:tcPr>
            <w:tcW w:w="2551" w:type="dxa"/>
            <w:vAlign w:val="center"/>
          </w:tcPr>
          <w:p w14:paraId="3A8438D2">
            <w:pPr>
              <w:pStyle w:val="13"/>
            </w:pPr>
          </w:p>
        </w:tc>
        <w:tc>
          <w:tcPr>
            <w:tcW w:w="2268" w:type="dxa"/>
            <w:vAlign w:val="center"/>
          </w:tcPr>
          <w:p w14:paraId="413460C1">
            <w:pPr>
              <w:pStyle w:val="13"/>
            </w:pPr>
          </w:p>
        </w:tc>
        <w:tc>
          <w:tcPr>
            <w:tcW w:w="1276" w:type="dxa"/>
            <w:vAlign w:val="center"/>
          </w:tcPr>
          <w:p w14:paraId="1B245F6D">
            <w:pPr>
              <w:pStyle w:val="13"/>
            </w:pPr>
          </w:p>
        </w:tc>
      </w:tr>
    </w:tbl>
    <w:p w14:paraId="6EF4434C">
      <w:pPr>
        <w:sectPr>
          <w:pgSz w:w="16840" w:h="11900" w:orient="landscape"/>
          <w:pgMar w:top="1361" w:right="1020" w:bottom="1134" w:left="1020" w:header="720" w:footer="720" w:gutter="0"/>
          <w:cols w:space="720" w:num="1"/>
        </w:sectPr>
      </w:pPr>
    </w:p>
    <w:p w14:paraId="61F5FB44">
      <w:pPr>
        <w:spacing w:before="0" w:after="0"/>
        <w:ind w:firstLine="560"/>
        <w:jc w:val="left"/>
        <w:outlineLvl w:val="9"/>
      </w:pPr>
      <w:r>
        <w:rPr>
          <w:rFonts w:ascii="方正仿宋_GBK" w:hAnsi="方正仿宋_GBK" w:eastAsia="方正仿宋_GBK" w:cs="方正仿宋_GBK"/>
          <w:b/>
          <w:color w:val="000000"/>
          <w:sz w:val="28"/>
        </w:rPr>
        <w:t>101、冀财教[2024]67号/中央/2024年义教经费/私立东苑中学（小学）公用经费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3863DB1B">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38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B2386">
            <w:pPr>
              <w:pStyle w:val="14"/>
            </w:pPr>
            <w:r>
              <w:t>单位：万元</w:t>
            </w:r>
          </w:p>
        </w:tc>
      </w:tr>
      <w:tr w14:paraId="62C0D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9BB2FE">
            <w:pPr>
              <w:pStyle w:val="11"/>
            </w:pPr>
            <w:r>
              <w:t>项目编码</w:t>
            </w:r>
          </w:p>
        </w:tc>
        <w:tc>
          <w:tcPr>
            <w:tcW w:w="5103" w:type="dxa"/>
            <w:gridSpan w:val="2"/>
            <w:vAlign w:val="center"/>
          </w:tcPr>
          <w:p w14:paraId="455E0C1A">
            <w:pPr>
              <w:pStyle w:val="13"/>
            </w:pPr>
            <w:r>
              <w:t>13052524P000006114610</w:t>
            </w:r>
          </w:p>
        </w:tc>
        <w:tc>
          <w:tcPr>
            <w:tcW w:w="2835" w:type="dxa"/>
            <w:vAlign w:val="center"/>
          </w:tcPr>
          <w:p w14:paraId="03D09FDB">
            <w:pPr>
              <w:pStyle w:val="11"/>
            </w:pPr>
            <w:r>
              <w:t>项目名称</w:t>
            </w:r>
          </w:p>
        </w:tc>
        <w:tc>
          <w:tcPr>
            <w:tcW w:w="6095" w:type="dxa"/>
            <w:gridSpan w:val="3"/>
            <w:vAlign w:val="center"/>
          </w:tcPr>
          <w:p w14:paraId="0476F354">
            <w:pPr>
              <w:pStyle w:val="13"/>
            </w:pPr>
            <w:r>
              <w:t>冀财教[2024]67号/中央/2024年义教经费/私立东苑中学（小学）公用经费</w:t>
            </w:r>
            <w:r>
              <w:tab/>
            </w:r>
            <w:r>
              <w:tab/>
            </w:r>
          </w:p>
          <w:p w14:paraId="6705E071">
            <w:pPr>
              <w:pStyle w:val="13"/>
            </w:pPr>
          </w:p>
        </w:tc>
      </w:tr>
      <w:tr w14:paraId="00DEE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3D29E">
            <w:pPr>
              <w:pStyle w:val="11"/>
            </w:pPr>
            <w:r>
              <w:t>预算规模及资金用途</w:t>
            </w:r>
          </w:p>
        </w:tc>
        <w:tc>
          <w:tcPr>
            <w:tcW w:w="2268" w:type="dxa"/>
            <w:vAlign w:val="center"/>
          </w:tcPr>
          <w:p w14:paraId="6AD70640">
            <w:pPr>
              <w:pStyle w:val="11"/>
            </w:pPr>
            <w:r>
              <w:t>预算数</w:t>
            </w:r>
          </w:p>
        </w:tc>
        <w:tc>
          <w:tcPr>
            <w:tcW w:w="2835" w:type="dxa"/>
            <w:vAlign w:val="center"/>
          </w:tcPr>
          <w:p w14:paraId="6D9D2D55">
            <w:pPr>
              <w:pStyle w:val="13"/>
            </w:pPr>
            <w:r>
              <w:t>0.12</w:t>
            </w:r>
          </w:p>
        </w:tc>
        <w:tc>
          <w:tcPr>
            <w:tcW w:w="2835" w:type="dxa"/>
            <w:vAlign w:val="center"/>
          </w:tcPr>
          <w:p w14:paraId="60C46511">
            <w:pPr>
              <w:pStyle w:val="11"/>
            </w:pPr>
            <w:r>
              <w:t>其中：财政    资金</w:t>
            </w:r>
          </w:p>
        </w:tc>
        <w:tc>
          <w:tcPr>
            <w:tcW w:w="2551" w:type="dxa"/>
            <w:vAlign w:val="center"/>
          </w:tcPr>
          <w:p w14:paraId="70F9D3A7">
            <w:pPr>
              <w:pStyle w:val="13"/>
            </w:pPr>
            <w:r>
              <w:t>0.12</w:t>
            </w:r>
          </w:p>
        </w:tc>
        <w:tc>
          <w:tcPr>
            <w:tcW w:w="2268" w:type="dxa"/>
            <w:vAlign w:val="center"/>
          </w:tcPr>
          <w:p w14:paraId="0845D5D5">
            <w:pPr>
              <w:pStyle w:val="11"/>
            </w:pPr>
            <w:r>
              <w:t>其他资金</w:t>
            </w:r>
          </w:p>
        </w:tc>
        <w:tc>
          <w:tcPr>
            <w:tcW w:w="1276" w:type="dxa"/>
            <w:vAlign w:val="center"/>
          </w:tcPr>
          <w:p w14:paraId="277F525F">
            <w:pPr>
              <w:pStyle w:val="13"/>
            </w:pPr>
            <w:r>
              <w:t xml:space="preserve"> </w:t>
            </w:r>
          </w:p>
        </w:tc>
      </w:tr>
      <w:tr w14:paraId="30F2C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F4A212"/>
        </w:tc>
        <w:tc>
          <w:tcPr>
            <w:tcW w:w="14033" w:type="dxa"/>
            <w:gridSpan w:val="6"/>
            <w:vAlign w:val="center"/>
          </w:tcPr>
          <w:p w14:paraId="226587C1">
            <w:pPr>
              <w:pStyle w:val="13"/>
            </w:pPr>
            <w:r>
              <w:t>保障义务教育学校正常运转，完成教育教学活动和其他日常工作任务等方面的费用支出</w:t>
            </w:r>
          </w:p>
        </w:tc>
      </w:tr>
      <w:tr w14:paraId="70C0A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87F7D">
            <w:pPr>
              <w:pStyle w:val="11"/>
            </w:pPr>
            <w:r>
              <w:t>资金支出计划（%）</w:t>
            </w:r>
          </w:p>
        </w:tc>
        <w:tc>
          <w:tcPr>
            <w:tcW w:w="5103" w:type="dxa"/>
            <w:gridSpan w:val="2"/>
            <w:vAlign w:val="center"/>
          </w:tcPr>
          <w:p w14:paraId="790DC3BD">
            <w:pPr>
              <w:pStyle w:val="11"/>
            </w:pPr>
            <w:r>
              <w:t>3月底</w:t>
            </w:r>
          </w:p>
        </w:tc>
        <w:tc>
          <w:tcPr>
            <w:tcW w:w="2835" w:type="dxa"/>
            <w:vAlign w:val="center"/>
          </w:tcPr>
          <w:p w14:paraId="39B0D044">
            <w:pPr>
              <w:pStyle w:val="11"/>
            </w:pPr>
            <w:r>
              <w:t>6月底</w:t>
            </w:r>
          </w:p>
        </w:tc>
        <w:tc>
          <w:tcPr>
            <w:tcW w:w="2551" w:type="dxa"/>
            <w:vAlign w:val="center"/>
          </w:tcPr>
          <w:p w14:paraId="3636282B">
            <w:pPr>
              <w:pStyle w:val="11"/>
            </w:pPr>
            <w:r>
              <w:t>10月底</w:t>
            </w:r>
          </w:p>
        </w:tc>
        <w:tc>
          <w:tcPr>
            <w:tcW w:w="3544" w:type="dxa"/>
            <w:gridSpan w:val="2"/>
            <w:vAlign w:val="center"/>
          </w:tcPr>
          <w:p w14:paraId="2E075071">
            <w:pPr>
              <w:pStyle w:val="11"/>
            </w:pPr>
            <w:r>
              <w:t>12月底</w:t>
            </w:r>
          </w:p>
        </w:tc>
      </w:tr>
      <w:tr w14:paraId="73E4F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CA8CC"/>
        </w:tc>
        <w:tc>
          <w:tcPr>
            <w:tcW w:w="5103" w:type="dxa"/>
            <w:gridSpan w:val="2"/>
            <w:vAlign w:val="center"/>
          </w:tcPr>
          <w:p w14:paraId="6C57CA41">
            <w:pPr>
              <w:pStyle w:val="12"/>
            </w:pPr>
            <w:r>
              <w:t xml:space="preserve"> </w:t>
            </w:r>
          </w:p>
        </w:tc>
        <w:tc>
          <w:tcPr>
            <w:tcW w:w="2835" w:type="dxa"/>
            <w:vAlign w:val="center"/>
          </w:tcPr>
          <w:p w14:paraId="122F72BE">
            <w:pPr>
              <w:pStyle w:val="12"/>
            </w:pPr>
            <w:r>
              <w:t xml:space="preserve"> </w:t>
            </w:r>
          </w:p>
        </w:tc>
        <w:tc>
          <w:tcPr>
            <w:tcW w:w="2551" w:type="dxa"/>
            <w:vAlign w:val="center"/>
          </w:tcPr>
          <w:p w14:paraId="13F82827">
            <w:pPr>
              <w:pStyle w:val="12"/>
            </w:pPr>
            <w:r>
              <w:t>100%</w:t>
            </w:r>
          </w:p>
        </w:tc>
        <w:tc>
          <w:tcPr>
            <w:tcW w:w="3544" w:type="dxa"/>
            <w:gridSpan w:val="2"/>
            <w:vAlign w:val="center"/>
          </w:tcPr>
          <w:p w14:paraId="499433FA">
            <w:pPr>
              <w:pStyle w:val="12"/>
            </w:pPr>
            <w:r>
              <w:t xml:space="preserve"> </w:t>
            </w:r>
          </w:p>
        </w:tc>
      </w:tr>
      <w:tr w14:paraId="5BFD2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4252A8">
            <w:pPr>
              <w:pStyle w:val="11"/>
            </w:pPr>
            <w:r>
              <w:t>绩效目标</w:t>
            </w:r>
          </w:p>
        </w:tc>
        <w:tc>
          <w:tcPr>
            <w:tcW w:w="14033" w:type="dxa"/>
            <w:gridSpan w:val="6"/>
            <w:vAlign w:val="center"/>
          </w:tcPr>
          <w:p w14:paraId="5280B8B2">
            <w:pPr>
              <w:pStyle w:val="13"/>
            </w:pPr>
          </w:p>
        </w:tc>
      </w:tr>
    </w:tbl>
    <w:p w14:paraId="6675D9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8C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9EBBC">
            <w:pPr>
              <w:pStyle w:val="11"/>
            </w:pPr>
            <w:r>
              <w:t>一级指标</w:t>
            </w:r>
          </w:p>
        </w:tc>
        <w:tc>
          <w:tcPr>
            <w:tcW w:w="2268" w:type="dxa"/>
            <w:vAlign w:val="center"/>
          </w:tcPr>
          <w:p w14:paraId="0B6B9F17">
            <w:pPr>
              <w:pStyle w:val="11"/>
            </w:pPr>
            <w:r>
              <w:t>二级指标</w:t>
            </w:r>
          </w:p>
        </w:tc>
        <w:tc>
          <w:tcPr>
            <w:tcW w:w="2835" w:type="dxa"/>
            <w:vAlign w:val="center"/>
          </w:tcPr>
          <w:p w14:paraId="7B242ABF">
            <w:pPr>
              <w:pStyle w:val="11"/>
            </w:pPr>
            <w:r>
              <w:t>三级指标</w:t>
            </w:r>
          </w:p>
        </w:tc>
        <w:tc>
          <w:tcPr>
            <w:tcW w:w="5386" w:type="dxa"/>
            <w:gridSpan w:val="2"/>
            <w:vAlign w:val="center"/>
          </w:tcPr>
          <w:p w14:paraId="2D8B1E58">
            <w:pPr>
              <w:pStyle w:val="11"/>
            </w:pPr>
            <w:r>
              <w:t>绩效指标描述</w:t>
            </w:r>
          </w:p>
        </w:tc>
        <w:tc>
          <w:tcPr>
            <w:tcW w:w="2268" w:type="dxa"/>
            <w:vAlign w:val="center"/>
          </w:tcPr>
          <w:p w14:paraId="7E2A5378">
            <w:pPr>
              <w:pStyle w:val="11"/>
            </w:pPr>
            <w:r>
              <w:t>指标值</w:t>
            </w:r>
          </w:p>
        </w:tc>
        <w:tc>
          <w:tcPr>
            <w:tcW w:w="1276" w:type="dxa"/>
            <w:vAlign w:val="center"/>
          </w:tcPr>
          <w:p w14:paraId="58EF986C">
            <w:pPr>
              <w:pStyle w:val="11"/>
            </w:pPr>
            <w:r>
              <w:t>指标值确定依据</w:t>
            </w:r>
          </w:p>
        </w:tc>
      </w:tr>
      <w:tr w14:paraId="1F543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A06CEC">
            <w:pPr>
              <w:pStyle w:val="12"/>
            </w:pPr>
          </w:p>
        </w:tc>
        <w:tc>
          <w:tcPr>
            <w:tcW w:w="2268" w:type="dxa"/>
            <w:vAlign w:val="center"/>
          </w:tcPr>
          <w:p w14:paraId="014739C3">
            <w:pPr>
              <w:pStyle w:val="13"/>
            </w:pPr>
          </w:p>
        </w:tc>
        <w:tc>
          <w:tcPr>
            <w:tcW w:w="2835" w:type="dxa"/>
            <w:vAlign w:val="center"/>
          </w:tcPr>
          <w:p w14:paraId="545439CB">
            <w:pPr>
              <w:pStyle w:val="13"/>
            </w:pPr>
          </w:p>
        </w:tc>
        <w:tc>
          <w:tcPr>
            <w:tcW w:w="2835" w:type="dxa"/>
            <w:vAlign w:val="center"/>
          </w:tcPr>
          <w:p w14:paraId="3BD70CF9">
            <w:pPr>
              <w:pStyle w:val="13"/>
            </w:pPr>
          </w:p>
        </w:tc>
        <w:tc>
          <w:tcPr>
            <w:tcW w:w="2551" w:type="dxa"/>
            <w:vAlign w:val="center"/>
          </w:tcPr>
          <w:p w14:paraId="334F9BEA">
            <w:pPr>
              <w:pStyle w:val="13"/>
            </w:pPr>
          </w:p>
        </w:tc>
        <w:tc>
          <w:tcPr>
            <w:tcW w:w="2268" w:type="dxa"/>
            <w:vAlign w:val="center"/>
          </w:tcPr>
          <w:p w14:paraId="44F92756">
            <w:pPr>
              <w:pStyle w:val="13"/>
            </w:pPr>
          </w:p>
        </w:tc>
        <w:tc>
          <w:tcPr>
            <w:tcW w:w="1276" w:type="dxa"/>
            <w:vAlign w:val="center"/>
          </w:tcPr>
          <w:p w14:paraId="1781BA3D">
            <w:pPr>
              <w:pStyle w:val="13"/>
            </w:pPr>
          </w:p>
        </w:tc>
      </w:tr>
    </w:tbl>
    <w:p w14:paraId="31D8483E">
      <w:pPr>
        <w:sectPr>
          <w:pgSz w:w="16840" w:h="11900" w:orient="landscape"/>
          <w:pgMar w:top="1361" w:right="1020" w:bottom="1134" w:left="1020" w:header="720" w:footer="720" w:gutter="0"/>
          <w:cols w:space="720" w:num="1"/>
        </w:sectPr>
      </w:pPr>
    </w:p>
    <w:p w14:paraId="5DA1FF0B">
      <w:pPr>
        <w:spacing w:before="0" w:after="0"/>
        <w:ind w:firstLine="560"/>
        <w:jc w:val="left"/>
        <w:outlineLvl w:val="9"/>
      </w:pPr>
      <w:r>
        <w:rPr>
          <w:rFonts w:ascii="方正仿宋_GBK" w:hAnsi="方正仿宋_GBK" w:eastAsia="方正仿宋_GBK" w:cs="方正仿宋_GBK"/>
          <w:b/>
          <w:color w:val="000000"/>
          <w:sz w:val="28"/>
        </w:rPr>
        <w:t>102、冀财教[2024]67号/中央/2024年义教经费/私立文星学校公用经费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524A4102">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50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7D11D">
            <w:pPr>
              <w:pStyle w:val="14"/>
            </w:pPr>
            <w:r>
              <w:t>单位：万元</w:t>
            </w:r>
          </w:p>
        </w:tc>
      </w:tr>
      <w:tr w14:paraId="7FFE0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90ED7">
            <w:pPr>
              <w:pStyle w:val="11"/>
            </w:pPr>
            <w:r>
              <w:t>项目编码</w:t>
            </w:r>
          </w:p>
        </w:tc>
        <w:tc>
          <w:tcPr>
            <w:tcW w:w="5103" w:type="dxa"/>
            <w:gridSpan w:val="2"/>
            <w:vAlign w:val="center"/>
          </w:tcPr>
          <w:p w14:paraId="193950F1">
            <w:pPr>
              <w:pStyle w:val="13"/>
            </w:pPr>
            <w:r>
              <w:t>13052524P000006114591</w:t>
            </w:r>
          </w:p>
        </w:tc>
        <w:tc>
          <w:tcPr>
            <w:tcW w:w="2835" w:type="dxa"/>
            <w:vAlign w:val="center"/>
          </w:tcPr>
          <w:p w14:paraId="505E1042">
            <w:pPr>
              <w:pStyle w:val="11"/>
            </w:pPr>
            <w:r>
              <w:t>项目名称</w:t>
            </w:r>
          </w:p>
        </w:tc>
        <w:tc>
          <w:tcPr>
            <w:tcW w:w="6095" w:type="dxa"/>
            <w:gridSpan w:val="3"/>
            <w:vAlign w:val="center"/>
          </w:tcPr>
          <w:p w14:paraId="58973523">
            <w:pPr>
              <w:pStyle w:val="13"/>
            </w:pPr>
            <w:r>
              <w:t>冀财教[2024]67号/中央/2024年义教经费/私立文星学校公用经费</w:t>
            </w:r>
            <w:r>
              <w:tab/>
            </w:r>
            <w:r>
              <w:tab/>
            </w:r>
          </w:p>
          <w:p w14:paraId="5FD75569">
            <w:pPr>
              <w:pStyle w:val="13"/>
            </w:pPr>
          </w:p>
        </w:tc>
      </w:tr>
      <w:tr w14:paraId="1A5BD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97DC3">
            <w:pPr>
              <w:pStyle w:val="11"/>
            </w:pPr>
            <w:r>
              <w:t>预算规模及资金用途</w:t>
            </w:r>
          </w:p>
        </w:tc>
        <w:tc>
          <w:tcPr>
            <w:tcW w:w="2268" w:type="dxa"/>
            <w:vAlign w:val="center"/>
          </w:tcPr>
          <w:p w14:paraId="75259B3B">
            <w:pPr>
              <w:pStyle w:val="11"/>
            </w:pPr>
            <w:r>
              <w:t>预算数</w:t>
            </w:r>
          </w:p>
        </w:tc>
        <w:tc>
          <w:tcPr>
            <w:tcW w:w="2835" w:type="dxa"/>
            <w:vAlign w:val="center"/>
          </w:tcPr>
          <w:p w14:paraId="302FF5D5">
            <w:pPr>
              <w:pStyle w:val="13"/>
            </w:pPr>
            <w:r>
              <w:t>0.20</w:t>
            </w:r>
          </w:p>
        </w:tc>
        <w:tc>
          <w:tcPr>
            <w:tcW w:w="2835" w:type="dxa"/>
            <w:vAlign w:val="center"/>
          </w:tcPr>
          <w:p w14:paraId="3D301754">
            <w:pPr>
              <w:pStyle w:val="11"/>
            </w:pPr>
            <w:r>
              <w:t>其中：财政    资金</w:t>
            </w:r>
          </w:p>
        </w:tc>
        <w:tc>
          <w:tcPr>
            <w:tcW w:w="2551" w:type="dxa"/>
            <w:vAlign w:val="center"/>
          </w:tcPr>
          <w:p w14:paraId="2A578298">
            <w:pPr>
              <w:pStyle w:val="13"/>
            </w:pPr>
            <w:r>
              <w:t>0.20</w:t>
            </w:r>
          </w:p>
        </w:tc>
        <w:tc>
          <w:tcPr>
            <w:tcW w:w="2268" w:type="dxa"/>
            <w:vAlign w:val="center"/>
          </w:tcPr>
          <w:p w14:paraId="2B53D68F">
            <w:pPr>
              <w:pStyle w:val="11"/>
            </w:pPr>
            <w:r>
              <w:t>其他资金</w:t>
            </w:r>
          </w:p>
        </w:tc>
        <w:tc>
          <w:tcPr>
            <w:tcW w:w="1276" w:type="dxa"/>
            <w:vAlign w:val="center"/>
          </w:tcPr>
          <w:p w14:paraId="25294CBC">
            <w:pPr>
              <w:pStyle w:val="13"/>
            </w:pPr>
            <w:r>
              <w:t xml:space="preserve"> </w:t>
            </w:r>
          </w:p>
        </w:tc>
      </w:tr>
      <w:tr w14:paraId="7C483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FF2E89"/>
        </w:tc>
        <w:tc>
          <w:tcPr>
            <w:tcW w:w="14033" w:type="dxa"/>
            <w:gridSpan w:val="6"/>
            <w:vAlign w:val="center"/>
          </w:tcPr>
          <w:p w14:paraId="49227BD5">
            <w:pPr>
              <w:pStyle w:val="13"/>
            </w:pPr>
            <w:r>
              <w:t>保障义务教育学校正常运转，完成教育教学活动和其他日常工作任务等方面的费用支出。</w:t>
            </w:r>
            <w:r>
              <w:tab/>
            </w:r>
          </w:p>
        </w:tc>
      </w:tr>
      <w:tr w14:paraId="3D775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59CA1">
            <w:pPr>
              <w:pStyle w:val="11"/>
            </w:pPr>
            <w:r>
              <w:t>资金支出计划（%）</w:t>
            </w:r>
          </w:p>
        </w:tc>
        <w:tc>
          <w:tcPr>
            <w:tcW w:w="5103" w:type="dxa"/>
            <w:gridSpan w:val="2"/>
            <w:vAlign w:val="center"/>
          </w:tcPr>
          <w:p w14:paraId="0164E88E">
            <w:pPr>
              <w:pStyle w:val="11"/>
            </w:pPr>
            <w:r>
              <w:t>3月底</w:t>
            </w:r>
          </w:p>
        </w:tc>
        <w:tc>
          <w:tcPr>
            <w:tcW w:w="2835" w:type="dxa"/>
            <w:vAlign w:val="center"/>
          </w:tcPr>
          <w:p w14:paraId="5928B817">
            <w:pPr>
              <w:pStyle w:val="11"/>
            </w:pPr>
            <w:r>
              <w:t>6月底</w:t>
            </w:r>
          </w:p>
        </w:tc>
        <w:tc>
          <w:tcPr>
            <w:tcW w:w="2551" w:type="dxa"/>
            <w:vAlign w:val="center"/>
          </w:tcPr>
          <w:p w14:paraId="1F12E59E">
            <w:pPr>
              <w:pStyle w:val="11"/>
            </w:pPr>
            <w:r>
              <w:t>10月底</w:t>
            </w:r>
          </w:p>
        </w:tc>
        <w:tc>
          <w:tcPr>
            <w:tcW w:w="3544" w:type="dxa"/>
            <w:gridSpan w:val="2"/>
            <w:vAlign w:val="center"/>
          </w:tcPr>
          <w:p w14:paraId="68EC7B82">
            <w:pPr>
              <w:pStyle w:val="11"/>
            </w:pPr>
            <w:r>
              <w:t>12月底</w:t>
            </w:r>
          </w:p>
        </w:tc>
      </w:tr>
      <w:tr w14:paraId="1961B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23C036"/>
        </w:tc>
        <w:tc>
          <w:tcPr>
            <w:tcW w:w="5103" w:type="dxa"/>
            <w:gridSpan w:val="2"/>
            <w:vAlign w:val="center"/>
          </w:tcPr>
          <w:p w14:paraId="0F5EF82D">
            <w:pPr>
              <w:pStyle w:val="12"/>
            </w:pPr>
            <w:r>
              <w:t xml:space="preserve"> </w:t>
            </w:r>
          </w:p>
        </w:tc>
        <w:tc>
          <w:tcPr>
            <w:tcW w:w="2835" w:type="dxa"/>
            <w:vAlign w:val="center"/>
          </w:tcPr>
          <w:p w14:paraId="6B0F21B3">
            <w:pPr>
              <w:pStyle w:val="12"/>
            </w:pPr>
            <w:r>
              <w:t xml:space="preserve"> </w:t>
            </w:r>
          </w:p>
        </w:tc>
        <w:tc>
          <w:tcPr>
            <w:tcW w:w="2551" w:type="dxa"/>
            <w:vAlign w:val="center"/>
          </w:tcPr>
          <w:p w14:paraId="6D918B44">
            <w:pPr>
              <w:pStyle w:val="12"/>
            </w:pPr>
            <w:r>
              <w:t>100%</w:t>
            </w:r>
          </w:p>
        </w:tc>
        <w:tc>
          <w:tcPr>
            <w:tcW w:w="3544" w:type="dxa"/>
            <w:gridSpan w:val="2"/>
            <w:vAlign w:val="center"/>
          </w:tcPr>
          <w:p w14:paraId="212BB8E7">
            <w:pPr>
              <w:pStyle w:val="12"/>
            </w:pPr>
            <w:r>
              <w:t>100%</w:t>
            </w:r>
          </w:p>
        </w:tc>
      </w:tr>
      <w:tr w14:paraId="5F8B4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15C1C4">
            <w:pPr>
              <w:pStyle w:val="11"/>
            </w:pPr>
            <w:r>
              <w:t>绩效目标</w:t>
            </w:r>
          </w:p>
        </w:tc>
        <w:tc>
          <w:tcPr>
            <w:tcW w:w="14033" w:type="dxa"/>
            <w:gridSpan w:val="6"/>
            <w:vAlign w:val="center"/>
          </w:tcPr>
          <w:p w14:paraId="41FEAE16">
            <w:pPr>
              <w:pStyle w:val="13"/>
            </w:pPr>
          </w:p>
        </w:tc>
      </w:tr>
    </w:tbl>
    <w:p w14:paraId="68D69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10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F5C5A">
            <w:pPr>
              <w:pStyle w:val="11"/>
            </w:pPr>
            <w:r>
              <w:t>一级指标</w:t>
            </w:r>
          </w:p>
        </w:tc>
        <w:tc>
          <w:tcPr>
            <w:tcW w:w="2268" w:type="dxa"/>
            <w:vAlign w:val="center"/>
          </w:tcPr>
          <w:p w14:paraId="33BCC862">
            <w:pPr>
              <w:pStyle w:val="11"/>
            </w:pPr>
            <w:r>
              <w:t>二级指标</w:t>
            </w:r>
          </w:p>
        </w:tc>
        <w:tc>
          <w:tcPr>
            <w:tcW w:w="2835" w:type="dxa"/>
            <w:vAlign w:val="center"/>
          </w:tcPr>
          <w:p w14:paraId="5A97EC9E">
            <w:pPr>
              <w:pStyle w:val="11"/>
            </w:pPr>
            <w:r>
              <w:t>三级指标</w:t>
            </w:r>
          </w:p>
        </w:tc>
        <w:tc>
          <w:tcPr>
            <w:tcW w:w="5386" w:type="dxa"/>
            <w:gridSpan w:val="2"/>
            <w:vAlign w:val="center"/>
          </w:tcPr>
          <w:p w14:paraId="61070EFD">
            <w:pPr>
              <w:pStyle w:val="11"/>
            </w:pPr>
            <w:r>
              <w:t>绩效指标描述</w:t>
            </w:r>
          </w:p>
        </w:tc>
        <w:tc>
          <w:tcPr>
            <w:tcW w:w="2268" w:type="dxa"/>
            <w:vAlign w:val="center"/>
          </w:tcPr>
          <w:p w14:paraId="0342FEAD">
            <w:pPr>
              <w:pStyle w:val="11"/>
            </w:pPr>
            <w:r>
              <w:t>指标值</w:t>
            </w:r>
          </w:p>
        </w:tc>
        <w:tc>
          <w:tcPr>
            <w:tcW w:w="1276" w:type="dxa"/>
            <w:vAlign w:val="center"/>
          </w:tcPr>
          <w:p w14:paraId="6CD3951F">
            <w:pPr>
              <w:pStyle w:val="11"/>
            </w:pPr>
            <w:r>
              <w:t>指标值确定依据</w:t>
            </w:r>
          </w:p>
        </w:tc>
      </w:tr>
      <w:tr w14:paraId="513AF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46A4D0">
            <w:pPr>
              <w:pStyle w:val="12"/>
            </w:pPr>
          </w:p>
        </w:tc>
        <w:tc>
          <w:tcPr>
            <w:tcW w:w="2268" w:type="dxa"/>
            <w:vAlign w:val="center"/>
          </w:tcPr>
          <w:p w14:paraId="143AA5FB">
            <w:pPr>
              <w:pStyle w:val="13"/>
            </w:pPr>
          </w:p>
        </w:tc>
        <w:tc>
          <w:tcPr>
            <w:tcW w:w="2835" w:type="dxa"/>
            <w:vAlign w:val="center"/>
          </w:tcPr>
          <w:p w14:paraId="021D1D0F">
            <w:pPr>
              <w:pStyle w:val="13"/>
            </w:pPr>
          </w:p>
        </w:tc>
        <w:tc>
          <w:tcPr>
            <w:tcW w:w="2835" w:type="dxa"/>
            <w:vAlign w:val="center"/>
          </w:tcPr>
          <w:p w14:paraId="721FC0CD">
            <w:pPr>
              <w:pStyle w:val="13"/>
            </w:pPr>
          </w:p>
        </w:tc>
        <w:tc>
          <w:tcPr>
            <w:tcW w:w="2551" w:type="dxa"/>
            <w:vAlign w:val="center"/>
          </w:tcPr>
          <w:p w14:paraId="050EF66C">
            <w:pPr>
              <w:pStyle w:val="13"/>
            </w:pPr>
          </w:p>
        </w:tc>
        <w:tc>
          <w:tcPr>
            <w:tcW w:w="2268" w:type="dxa"/>
            <w:vAlign w:val="center"/>
          </w:tcPr>
          <w:p w14:paraId="61140866">
            <w:pPr>
              <w:pStyle w:val="13"/>
            </w:pPr>
          </w:p>
        </w:tc>
        <w:tc>
          <w:tcPr>
            <w:tcW w:w="1276" w:type="dxa"/>
            <w:vAlign w:val="center"/>
          </w:tcPr>
          <w:p w14:paraId="4AA2588C">
            <w:pPr>
              <w:pStyle w:val="13"/>
            </w:pPr>
          </w:p>
        </w:tc>
      </w:tr>
    </w:tbl>
    <w:p w14:paraId="6F791026">
      <w:pPr>
        <w:sectPr>
          <w:pgSz w:w="16840" w:h="11900" w:orient="landscape"/>
          <w:pgMar w:top="1361" w:right="1020" w:bottom="1134" w:left="1020" w:header="720" w:footer="720" w:gutter="0"/>
          <w:cols w:space="720" w:num="1"/>
        </w:sectPr>
      </w:pPr>
    </w:p>
    <w:p w14:paraId="187759CA">
      <w:pPr>
        <w:spacing w:before="0" w:after="0"/>
        <w:ind w:firstLine="560"/>
        <w:jc w:val="left"/>
        <w:outlineLvl w:val="9"/>
      </w:pPr>
      <w:r>
        <w:rPr>
          <w:rFonts w:ascii="方正仿宋_GBK" w:hAnsi="方正仿宋_GBK" w:eastAsia="方正仿宋_GBK" w:cs="方正仿宋_GBK"/>
          <w:b/>
          <w:color w:val="000000"/>
          <w:sz w:val="28"/>
        </w:rPr>
        <w:t>103、冀财教[2024]67号/中央/2024年义教经费/私立希望小学公用经费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5664E770">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1C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22EB6">
            <w:pPr>
              <w:pStyle w:val="14"/>
            </w:pPr>
            <w:r>
              <w:t>单位：万元</w:t>
            </w:r>
          </w:p>
        </w:tc>
      </w:tr>
      <w:tr w14:paraId="737B7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4A1F10">
            <w:pPr>
              <w:pStyle w:val="11"/>
            </w:pPr>
            <w:r>
              <w:t>项目编码</w:t>
            </w:r>
          </w:p>
        </w:tc>
        <w:tc>
          <w:tcPr>
            <w:tcW w:w="5103" w:type="dxa"/>
            <w:gridSpan w:val="2"/>
            <w:vAlign w:val="center"/>
          </w:tcPr>
          <w:p w14:paraId="6E47F882">
            <w:pPr>
              <w:pStyle w:val="13"/>
            </w:pPr>
            <w:r>
              <w:t>13052524P00000611452P</w:t>
            </w:r>
          </w:p>
        </w:tc>
        <w:tc>
          <w:tcPr>
            <w:tcW w:w="2835" w:type="dxa"/>
            <w:vAlign w:val="center"/>
          </w:tcPr>
          <w:p w14:paraId="2FFD8045">
            <w:pPr>
              <w:pStyle w:val="11"/>
            </w:pPr>
            <w:r>
              <w:t>项目名称</w:t>
            </w:r>
          </w:p>
        </w:tc>
        <w:tc>
          <w:tcPr>
            <w:tcW w:w="6095" w:type="dxa"/>
            <w:gridSpan w:val="3"/>
            <w:vAlign w:val="center"/>
          </w:tcPr>
          <w:p w14:paraId="35FFA933">
            <w:pPr>
              <w:pStyle w:val="13"/>
            </w:pPr>
            <w:r>
              <w:t>冀财教[2024]67号/中央/2024年义教经费/私立希望小学公用经费</w:t>
            </w:r>
            <w:r>
              <w:tab/>
            </w:r>
            <w:r>
              <w:tab/>
            </w:r>
          </w:p>
          <w:p w14:paraId="6B586D39">
            <w:pPr>
              <w:pStyle w:val="13"/>
            </w:pPr>
          </w:p>
        </w:tc>
      </w:tr>
      <w:tr w14:paraId="5CC85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A92B4">
            <w:pPr>
              <w:pStyle w:val="11"/>
            </w:pPr>
            <w:r>
              <w:t>预算规模及资金用途</w:t>
            </w:r>
          </w:p>
        </w:tc>
        <w:tc>
          <w:tcPr>
            <w:tcW w:w="2268" w:type="dxa"/>
            <w:vAlign w:val="center"/>
          </w:tcPr>
          <w:p w14:paraId="749EE7F6">
            <w:pPr>
              <w:pStyle w:val="11"/>
            </w:pPr>
            <w:r>
              <w:t>预算数</w:t>
            </w:r>
          </w:p>
        </w:tc>
        <w:tc>
          <w:tcPr>
            <w:tcW w:w="2835" w:type="dxa"/>
            <w:vAlign w:val="center"/>
          </w:tcPr>
          <w:p w14:paraId="218EFB73">
            <w:pPr>
              <w:pStyle w:val="13"/>
            </w:pPr>
            <w:r>
              <w:t>0.13</w:t>
            </w:r>
          </w:p>
        </w:tc>
        <w:tc>
          <w:tcPr>
            <w:tcW w:w="2835" w:type="dxa"/>
            <w:vAlign w:val="center"/>
          </w:tcPr>
          <w:p w14:paraId="4C2E5FE2">
            <w:pPr>
              <w:pStyle w:val="11"/>
            </w:pPr>
            <w:r>
              <w:t>其中：财政    资金</w:t>
            </w:r>
          </w:p>
        </w:tc>
        <w:tc>
          <w:tcPr>
            <w:tcW w:w="2551" w:type="dxa"/>
            <w:vAlign w:val="center"/>
          </w:tcPr>
          <w:p w14:paraId="49D31FE1">
            <w:pPr>
              <w:pStyle w:val="13"/>
            </w:pPr>
            <w:r>
              <w:t>0.13</w:t>
            </w:r>
          </w:p>
        </w:tc>
        <w:tc>
          <w:tcPr>
            <w:tcW w:w="2268" w:type="dxa"/>
            <w:vAlign w:val="center"/>
          </w:tcPr>
          <w:p w14:paraId="6A94F4EB">
            <w:pPr>
              <w:pStyle w:val="11"/>
            </w:pPr>
            <w:r>
              <w:t>其他资金</w:t>
            </w:r>
          </w:p>
        </w:tc>
        <w:tc>
          <w:tcPr>
            <w:tcW w:w="1276" w:type="dxa"/>
            <w:vAlign w:val="center"/>
          </w:tcPr>
          <w:p w14:paraId="43FBB2CA">
            <w:pPr>
              <w:pStyle w:val="13"/>
            </w:pPr>
            <w:r>
              <w:t xml:space="preserve"> </w:t>
            </w:r>
          </w:p>
        </w:tc>
      </w:tr>
      <w:tr w14:paraId="546F7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ABDB3E"/>
        </w:tc>
        <w:tc>
          <w:tcPr>
            <w:tcW w:w="14033" w:type="dxa"/>
            <w:gridSpan w:val="6"/>
            <w:vAlign w:val="center"/>
          </w:tcPr>
          <w:p w14:paraId="4B78A644">
            <w:pPr>
              <w:pStyle w:val="13"/>
            </w:pPr>
            <w:r>
              <w:t>保障义务教育学校正常运转，完成教育教学活动和其他日常工作任务等方面的费用支出。</w:t>
            </w:r>
            <w:r>
              <w:tab/>
            </w:r>
          </w:p>
          <w:p w14:paraId="78746CF1">
            <w:pPr>
              <w:pStyle w:val="13"/>
            </w:pPr>
          </w:p>
        </w:tc>
      </w:tr>
      <w:tr w14:paraId="629D5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CB3F5">
            <w:pPr>
              <w:pStyle w:val="11"/>
            </w:pPr>
            <w:r>
              <w:t>资金支出计划（%）</w:t>
            </w:r>
          </w:p>
        </w:tc>
        <w:tc>
          <w:tcPr>
            <w:tcW w:w="5103" w:type="dxa"/>
            <w:gridSpan w:val="2"/>
            <w:vAlign w:val="center"/>
          </w:tcPr>
          <w:p w14:paraId="0B1D4823">
            <w:pPr>
              <w:pStyle w:val="11"/>
            </w:pPr>
            <w:r>
              <w:t>3月底</w:t>
            </w:r>
          </w:p>
        </w:tc>
        <w:tc>
          <w:tcPr>
            <w:tcW w:w="2835" w:type="dxa"/>
            <w:vAlign w:val="center"/>
          </w:tcPr>
          <w:p w14:paraId="2364816A">
            <w:pPr>
              <w:pStyle w:val="11"/>
            </w:pPr>
            <w:r>
              <w:t>6月底</w:t>
            </w:r>
          </w:p>
        </w:tc>
        <w:tc>
          <w:tcPr>
            <w:tcW w:w="2551" w:type="dxa"/>
            <w:vAlign w:val="center"/>
          </w:tcPr>
          <w:p w14:paraId="1E248619">
            <w:pPr>
              <w:pStyle w:val="11"/>
            </w:pPr>
            <w:r>
              <w:t>10月底</w:t>
            </w:r>
          </w:p>
        </w:tc>
        <w:tc>
          <w:tcPr>
            <w:tcW w:w="3544" w:type="dxa"/>
            <w:gridSpan w:val="2"/>
            <w:vAlign w:val="center"/>
          </w:tcPr>
          <w:p w14:paraId="22D49D09">
            <w:pPr>
              <w:pStyle w:val="11"/>
            </w:pPr>
            <w:r>
              <w:t>12月底</w:t>
            </w:r>
          </w:p>
        </w:tc>
      </w:tr>
      <w:tr w14:paraId="17ECF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CE452"/>
        </w:tc>
        <w:tc>
          <w:tcPr>
            <w:tcW w:w="5103" w:type="dxa"/>
            <w:gridSpan w:val="2"/>
            <w:vAlign w:val="center"/>
          </w:tcPr>
          <w:p w14:paraId="3D98B707">
            <w:pPr>
              <w:pStyle w:val="12"/>
            </w:pPr>
            <w:r>
              <w:t xml:space="preserve"> </w:t>
            </w:r>
          </w:p>
        </w:tc>
        <w:tc>
          <w:tcPr>
            <w:tcW w:w="2835" w:type="dxa"/>
            <w:vAlign w:val="center"/>
          </w:tcPr>
          <w:p w14:paraId="66D755C7">
            <w:pPr>
              <w:pStyle w:val="12"/>
            </w:pPr>
            <w:r>
              <w:t xml:space="preserve"> </w:t>
            </w:r>
          </w:p>
        </w:tc>
        <w:tc>
          <w:tcPr>
            <w:tcW w:w="2551" w:type="dxa"/>
            <w:vAlign w:val="center"/>
          </w:tcPr>
          <w:p w14:paraId="62FBAF5D">
            <w:pPr>
              <w:pStyle w:val="12"/>
            </w:pPr>
            <w:r>
              <w:t>100%</w:t>
            </w:r>
          </w:p>
        </w:tc>
        <w:tc>
          <w:tcPr>
            <w:tcW w:w="3544" w:type="dxa"/>
            <w:gridSpan w:val="2"/>
            <w:vAlign w:val="center"/>
          </w:tcPr>
          <w:p w14:paraId="396EA70C">
            <w:pPr>
              <w:pStyle w:val="12"/>
            </w:pPr>
            <w:r>
              <w:t xml:space="preserve"> </w:t>
            </w:r>
          </w:p>
        </w:tc>
      </w:tr>
      <w:tr w14:paraId="7B3F3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C25B54">
            <w:pPr>
              <w:pStyle w:val="11"/>
            </w:pPr>
            <w:r>
              <w:t>绩效目标</w:t>
            </w:r>
          </w:p>
        </w:tc>
        <w:tc>
          <w:tcPr>
            <w:tcW w:w="14033" w:type="dxa"/>
            <w:gridSpan w:val="6"/>
            <w:vAlign w:val="center"/>
          </w:tcPr>
          <w:p w14:paraId="5F4E5E18">
            <w:pPr>
              <w:pStyle w:val="13"/>
            </w:pPr>
          </w:p>
        </w:tc>
      </w:tr>
    </w:tbl>
    <w:p w14:paraId="74748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88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2263F">
            <w:pPr>
              <w:pStyle w:val="11"/>
            </w:pPr>
            <w:r>
              <w:t>一级指标</w:t>
            </w:r>
          </w:p>
        </w:tc>
        <w:tc>
          <w:tcPr>
            <w:tcW w:w="2268" w:type="dxa"/>
            <w:vAlign w:val="center"/>
          </w:tcPr>
          <w:p w14:paraId="2AABEB8A">
            <w:pPr>
              <w:pStyle w:val="11"/>
            </w:pPr>
            <w:r>
              <w:t>二级指标</w:t>
            </w:r>
          </w:p>
        </w:tc>
        <w:tc>
          <w:tcPr>
            <w:tcW w:w="2835" w:type="dxa"/>
            <w:vAlign w:val="center"/>
          </w:tcPr>
          <w:p w14:paraId="0EC7EC51">
            <w:pPr>
              <w:pStyle w:val="11"/>
            </w:pPr>
            <w:r>
              <w:t>三级指标</w:t>
            </w:r>
          </w:p>
        </w:tc>
        <w:tc>
          <w:tcPr>
            <w:tcW w:w="5386" w:type="dxa"/>
            <w:gridSpan w:val="2"/>
            <w:vAlign w:val="center"/>
          </w:tcPr>
          <w:p w14:paraId="2E3E304C">
            <w:pPr>
              <w:pStyle w:val="11"/>
            </w:pPr>
            <w:r>
              <w:t>绩效指标描述</w:t>
            </w:r>
          </w:p>
        </w:tc>
        <w:tc>
          <w:tcPr>
            <w:tcW w:w="2268" w:type="dxa"/>
            <w:vAlign w:val="center"/>
          </w:tcPr>
          <w:p w14:paraId="302DF635">
            <w:pPr>
              <w:pStyle w:val="11"/>
            </w:pPr>
            <w:r>
              <w:t>指标值</w:t>
            </w:r>
          </w:p>
        </w:tc>
        <w:tc>
          <w:tcPr>
            <w:tcW w:w="1276" w:type="dxa"/>
            <w:vAlign w:val="center"/>
          </w:tcPr>
          <w:p w14:paraId="5CED1653">
            <w:pPr>
              <w:pStyle w:val="11"/>
            </w:pPr>
            <w:r>
              <w:t>指标值确定依据</w:t>
            </w:r>
          </w:p>
        </w:tc>
      </w:tr>
      <w:tr w14:paraId="34EF5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0BE1A3">
            <w:pPr>
              <w:pStyle w:val="12"/>
            </w:pPr>
          </w:p>
        </w:tc>
        <w:tc>
          <w:tcPr>
            <w:tcW w:w="2268" w:type="dxa"/>
            <w:vAlign w:val="center"/>
          </w:tcPr>
          <w:p w14:paraId="27EE7696">
            <w:pPr>
              <w:pStyle w:val="13"/>
            </w:pPr>
          </w:p>
        </w:tc>
        <w:tc>
          <w:tcPr>
            <w:tcW w:w="2835" w:type="dxa"/>
            <w:vAlign w:val="center"/>
          </w:tcPr>
          <w:p w14:paraId="69344DCA">
            <w:pPr>
              <w:pStyle w:val="13"/>
            </w:pPr>
          </w:p>
        </w:tc>
        <w:tc>
          <w:tcPr>
            <w:tcW w:w="2835" w:type="dxa"/>
            <w:vAlign w:val="center"/>
          </w:tcPr>
          <w:p w14:paraId="1BACBB77">
            <w:pPr>
              <w:pStyle w:val="13"/>
            </w:pPr>
          </w:p>
        </w:tc>
        <w:tc>
          <w:tcPr>
            <w:tcW w:w="2551" w:type="dxa"/>
            <w:vAlign w:val="center"/>
          </w:tcPr>
          <w:p w14:paraId="5FF78397">
            <w:pPr>
              <w:pStyle w:val="13"/>
            </w:pPr>
          </w:p>
        </w:tc>
        <w:tc>
          <w:tcPr>
            <w:tcW w:w="2268" w:type="dxa"/>
            <w:vAlign w:val="center"/>
          </w:tcPr>
          <w:p w14:paraId="65FD28D9">
            <w:pPr>
              <w:pStyle w:val="13"/>
            </w:pPr>
          </w:p>
        </w:tc>
        <w:tc>
          <w:tcPr>
            <w:tcW w:w="1276" w:type="dxa"/>
            <w:vAlign w:val="center"/>
          </w:tcPr>
          <w:p w14:paraId="688430EF">
            <w:pPr>
              <w:pStyle w:val="13"/>
            </w:pPr>
          </w:p>
        </w:tc>
      </w:tr>
    </w:tbl>
    <w:p w14:paraId="22BF5CA7">
      <w:pPr>
        <w:sectPr>
          <w:pgSz w:w="16840" w:h="11900" w:orient="landscape"/>
          <w:pgMar w:top="1361" w:right="1020" w:bottom="1134" w:left="1020" w:header="720" w:footer="720" w:gutter="0"/>
          <w:cols w:space="720" w:num="1"/>
        </w:sectPr>
      </w:pPr>
    </w:p>
    <w:p w14:paraId="524D7EF5">
      <w:pPr>
        <w:spacing w:before="0" w:after="0"/>
        <w:ind w:firstLine="560"/>
        <w:jc w:val="left"/>
        <w:outlineLvl w:val="9"/>
      </w:pPr>
      <w:r>
        <w:rPr>
          <w:rFonts w:ascii="方正仿宋_GBK" w:hAnsi="方正仿宋_GBK" w:eastAsia="方正仿宋_GBK" w:cs="方正仿宋_GBK"/>
          <w:b/>
          <w:color w:val="000000"/>
          <w:sz w:val="28"/>
        </w:rPr>
        <w:t>104、冀财教[2024]67号/中央/2024年义教经费/私立育德小学公用经费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6BEC3DF1">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D8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ABC88">
            <w:pPr>
              <w:pStyle w:val="14"/>
            </w:pPr>
            <w:r>
              <w:t>单位：万元</w:t>
            </w:r>
          </w:p>
        </w:tc>
      </w:tr>
      <w:tr w14:paraId="3231C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8BA7B">
            <w:pPr>
              <w:pStyle w:val="11"/>
            </w:pPr>
            <w:r>
              <w:t>项目编码</w:t>
            </w:r>
          </w:p>
        </w:tc>
        <w:tc>
          <w:tcPr>
            <w:tcW w:w="5103" w:type="dxa"/>
            <w:gridSpan w:val="2"/>
            <w:vAlign w:val="center"/>
          </w:tcPr>
          <w:p w14:paraId="59EF6CB5">
            <w:pPr>
              <w:pStyle w:val="13"/>
            </w:pPr>
            <w:r>
              <w:t>13052524P00000611453B</w:t>
            </w:r>
          </w:p>
        </w:tc>
        <w:tc>
          <w:tcPr>
            <w:tcW w:w="2835" w:type="dxa"/>
            <w:vAlign w:val="center"/>
          </w:tcPr>
          <w:p w14:paraId="6FCEC012">
            <w:pPr>
              <w:pStyle w:val="11"/>
            </w:pPr>
            <w:r>
              <w:t>项目名称</w:t>
            </w:r>
          </w:p>
        </w:tc>
        <w:tc>
          <w:tcPr>
            <w:tcW w:w="6095" w:type="dxa"/>
            <w:gridSpan w:val="3"/>
            <w:vAlign w:val="center"/>
          </w:tcPr>
          <w:p w14:paraId="41795E7D">
            <w:pPr>
              <w:pStyle w:val="13"/>
            </w:pPr>
            <w:r>
              <w:t>冀财教[2024]67号/中央/2024年义教经费/私立育德小学公用经费</w:t>
            </w:r>
            <w:r>
              <w:tab/>
            </w:r>
            <w:r>
              <w:tab/>
            </w:r>
          </w:p>
          <w:p w14:paraId="0027533E">
            <w:pPr>
              <w:pStyle w:val="13"/>
            </w:pPr>
          </w:p>
        </w:tc>
      </w:tr>
      <w:tr w14:paraId="2030A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EB00E">
            <w:pPr>
              <w:pStyle w:val="11"/>
            </w:pPr>
            <w:r>
              <w:t>预算规模及资金用途</w:t>
            </w:r>
          </w:p>
        </w:tc>
        <w:tc>
          <w:tcPr>
            <w:tcW w:w="2268" w:type="dxa"/>
            <w:vAlign w:val="center"/>
          </w:tcPr>
          <w:p w14:paraId="27F36606">
            <w:pPr>
              <w:pStyle w:val="11"/>
            </w:pPr>
            <w:r>
              <w:t>预算数</w:t>
            </w:r>
          </w:p>
        </w:tc>
        <w:tc>
          <w:tcPr>
            <w:tcW w:w="2835" w:type="dxa"/>
            <w:vAlign w:val="center"/>
          </w:tcPr>
          <w:p w14:paraId="730286D8">
            <w:pPr>
              <w:pStyle w:val="13"/>
            </w:pPr>
            <w:r>
              <w:t>0.25</w:t>
            </w:r>
          </w:p>
        </w:tc>
        <w:tc>
          <w:tcPr>
            <w:tcW w:w="2835" w:type="dxa"/>
            <w:vAlign w:val="center"/>
          </w:tcPr>
          <w:p w14:paraId="2E58A17D">
            <w:pPr>
              <w:pStyle w:val="11"/>
            </w:pPr>
            <w:r>
              <w:t>其中：财政    资金</w:t>
            </w:r>
          </w:p>
        </w:tc>
        <w:tc>
          <w:tcPr>
            <w:tcW w:w="2551" w:type="dxa"/>
            <w:vAlign w:val="center"/>
          </w:tcPr>
          <w:p w14:paraId="3252EA77">
            <w:pPr>
              <w:pStyle w:val="13"/>
            </w:pPr>
            <w:r>
              <w:t>0.25</w:t>
            </w:r>
          </w:p>
        </w:tc>
        <w:tc>
          <w:tcPr>
            <w:tcW w:w="2268" w:type="dxa"/>
            <w:vAlign w:val="center"/>
          </w:tcPr>
          <w:p w14:paraId="445EC605">
            <w:pPr>
              <w:pStyle w:val="11"/>
            </w:pPr>
            <w:r>
              <w:t>其他资金</w:t>
            </w:r>
          </w:p>
        </w:tc>
        <w:tc>
          <w:tcPr>
            <w:tcW w:w="1276" w:type="dxa"/>
            <w:vAlign w:val="center"/>
          </w:tcPr>
          <w:p w14:paraId="05AE6DC3">
            <w:pPr>
              <w:pStyle w:val="13"/>
            </w:pPr>
            <w:r>
              <w:t xml:space="preserve"> </w:t>
            </w:r>
          </w:p>
        </w:tc>
      </w:tr>
      <w:tr w14:paraId="77AB0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A99934"/>
        </w:tc>
        <w:tc>
          <w:tcPr>
            <w:tcW w:w="14033" w:type="dxa"/>
            <w:gridSpan w:val="6"/>
            <w:vAlign w:val="center"/>
          </w:tcPr>
          <w:p w14:paraId="05E5A99D">
            <w:pPr>
              <w:pStyle w:val="13"/>
            </w:pPr>
            <w:r>
              <w:t>保障义务教育学校正常运转，完成教育教学活动和其他日常工作任务等方面的费用支出。</w:t>
            </w:r>
            <w:r>
              <w:tab/>
            </w:r>
          </w:p>
        </w:tc>
      </w:tr>
      <w:tr w14:paraId="402C1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02D5F">
            <w:pPr>
              <w:pStyle w:val="11"/>
            </w:pPr>
            <w:r>
              <w:t>资金支出计划（%）</w:t>
            </w:r>
          </w:p>
        </w:tc>
        <w:tc>
          <w:tcPr>
            <w:tcW w:w="5103" w:type="dxa"/>
            <w:gridSpan w:val="2"/>
            <w:vAlign w:val="center"/>
          </w:tcPr>
          <w:p w14:paraId="1E8F86BD">
            <w:pPr>
              <w:pStyle w:val="11"/>
            </w:pPr>
            <w:r>
              <w:t>3月底</w:t>
            </w:r>
          </w:p>
        </w:tc>
        <w:tc>
          <w:tcPr>
            <w:tcW w:w="2835" w:type="dxa"/>
            <w:vAlign w:val="center"/>
          </w:tcPr>
          <w:p w14:paraId="534A92E8">
            <w:pPr>
              <w:pStyle w:val="11"/>
            </w:pPr>
            <w:r>
              <w:t>6月底</w:t>
            </w:r>
          </w:p>
        </w:tc>
        <w:tc>
          <w:tcPr>
            <w:tcW w:w="2551" w:type="dxa"/>
            <w:vAlign w:val="center"/>
          </w:tcPr>
          <w:p w14:paraId="43544A6B">
            <w:pPr>
              <w:pStyle w:val="11"/>
            </w:pPr>
            <w:r>
              <w:t>10月底</w:t>
            </w:r>
          </w:p>
        </w:tc>
        <w:tc>
          <w:tcPr>
            <w:tcW w:w="3544" w:type="dxa"/>
            <w:gridSpan w:val="2"/>
            <w:vAlign w:val="center"/>
          </w:tcPr>
          <w:p w14:paraId="73AFBEC0">
            <w:pPr>
              <w:pStyle w:val="11"/>
            </w:pPr>
            <w:r>
              <w:t>12月底</w:t>
            </w:r>
          </w:p>
        </w:tc>
      </w:tr>
      <w:tr w14:paraId="4AE4E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ED81F"/>
        </w:tc>
        <w:tc>
          <w:tcPr>
            <w:tcW w:w="5103" w:type="dxa"/>
            <w:gridSpan w:val="2"/>
            <w:vAlign w:val="center"/>
          </w:tcPr>
          <w:p w14:paraId="681CFE3A">
            <w:pPr>
              <w:pStyle w:val="12"/>
            </w:pPr>
            <w:r>
              <w:t xml:space="preserve"> </w:t>
            </w:r>
          </w:p>
        </w:tc>
        <w:tc>
          <w:tcPr>
            <w:tcW w:w="2835" w:type="dxa"/>
            <w:vAlign w:val="center"/>
          </w:tcPr>
          <w:p w14:paraId="32A1FE45">
            <w:pPr>
              <w:pStyle w:val="12"/>
            </w:pPr>
            <w:r>
              <w:t xml:space="preserve"> </w:t>
            </w:r>
          </w:p>
        </w:tc>
        <w:tc>
          <w:tcPr>
            <w:tcW w:w="2551" w:type="dxa"/>
            <w:vAlign w:val="center"/>
          </w:tcPr>
          <w:p w14:paraId="4039F87C">
            <w:pPr>
              <w:pStyle w:val="12"/>
            </w:pPr>
            <w:r>
              <w:t>100%</w:t>
            </w:r>
          </w:p>
        </w:tc>
        <w:tc>
          <w:tcPr>
            <w:tcW w:w="3544" w:type="dxa"/>
            <w:gridSpan w:val="2"/>
            <w:vAlign w:val="center"/>
          </w:tcPr>
          <w:p w14:paraId="6E69B2E8">
            <w:pPr>
              <w:pStyle w:val="12"/>
            </w:pPr>
            <w:r>
              <w:t>100%</w:t>
            </w:r>
          </w:p>
        </w:tc>
      </w:tr>
      <w:tr w14:paraId="498D3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E11367">
            <w:pPr>
              <w:pStyle w:val="11"/>
            </w:pPr>
            <w:r>
              <w:t>绩效目标</w:t>
            </w:r>
          </w:p>
        </w:tc>
        <w:tc>
          <w:tcPr>
            <w:tcW w:w="14033" w:type="dxa"/>
            <w:gridSpan w:val="6"/>
            <w:vAlign w:val="center"/>
          </w:tcPr>
          <w:p w14:paraId="22240277">
            <w:pPr>
              <w:pStyle w:val="13"/>
            </w:pPr>
          </w:p>
        </w:tc>
      </w:tr>
    </w:tbl>
    <w:p w14:paraId="4B8013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C2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C124C">
            <w:pPr>
              <w:pStyle w:val="11"/>
            </w:pPr>
            <w:r>
              <w:t>一级指标</w:t>
            </w:r>
          </w:p>
        </w:tc>
        <w:tc>
          <w:tcPr>
            <w:tcW w:w="2268" w:type="dxa"/>
            <w:vAlign w:val="center"/>
          </w:tcPr>
          <w:p w14:paraId="50896A70">
            <w:pPr>
              <w:pStyle w:val="11"/>
            </w:pPr>
            <w:r>
              <w:t>二级指标</w:t>
            </w:r>
          </w:p>
        </w:tc>
        <w:tc>
          <w:tcPr>
            <w:tcW w:w="2835" w:type="dxa"/>
            <w:vAlign w:val="center"/>
          </w:tcPr>
          <w:p w14:paraId="1A1A910A">
            <w:pPr>
              <w:pStyle w:val="11"/>
            </w:pPr>
            <w:r>
              <w:t>三级指标</w:t>
            </w:r>
          </w:p>
        </w:tc>
        <w:tc>
          <w:tcPr>
            <w:tcW w:w="5386" w:type="dxa"/>
            <w:gridSpan w:val="2"/>
            <w:vAlign w:val="center"/>
          </w:tcPr>
          <w:p w14:paraId="715F852C">
            <w:pPr>
              <w:pStyle w:val="11"/>
            </w:pPr>
            <w:r>
              <w:t>绩效指标描述</w:t>
            </w:r>
          </w:p>
        </w:tc>
        <w:tc>
          <w:tcPr>
            <w:tcW w:w="2268" w:type="dxa"/>
            <w:vAlign w:val="center"/>
          </w:tcPr>
          <w:p w14:paraId="03758257">
            <w:pPr>
              <w:pStyle w:val="11"/>
            </w:pPr>
            <w:r>
              <w:t>指标值</w:t>
            </w:r>
          </w:p>
        </w:tc>
        <w:tc>
          <w:tcPr>
            <w:tcW w:w="1276" w:type="dxa"/>
            <w:vAlign w:val="center"/>
          </w:tcPr>
          <w:p w14:paraId="3047A7C1">
            <w:pPr>
              <w:pStyle w:val="11"/>
            </w:pPr>
            <w:r>
              <w:t>指标值确定依据</w:t>
            </w:r>
          </w:p>
        </w:tc>
      </w:tr>
      <w:tr w14:paraId="58C62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32BBA">
            <w:pPr>
              <w:pStyle w:val="12"/>
            </w:pPr>
          </w:p>
        </w:tc>
        <w:tc>
          <w:tcPr>
            <w:tcW w:w="2268" w:type="dxa"/>
            <w:vAlign w:val="center"/>
          </w:tcPr>
          <w:p w14:paraId="599E2E49">
            <w:pPr>
              <w:pStyle w:val="13"/>
            </w:pPr>
          </w:p>
        </w:tc>
        <w:tc>
          <w:tcPr>
            <w:tcW w:w="2835" w:type="dxa"/>
            <w:vAlign w:val="center"/>
          </w:tcPr>
          <w:p w14:paraId="2EDAB081">
            <w:pPr>
              <w:pStyle w:val="13"/>
            </w:pPr>
          </w:p>
        </w:tc>
        <w:tc>
          <w:tcPr>
            <w:tcW w:w="2835" w:type="dxa"/>
            <w:vAlign w:val="center"/>
          </w:tcPr>
          <w:p w14:paraId="248FD220">
            <w:pPr>
              <w:pStyle w:val="13"/>
            </w:pPr>
          </w:p>
        </w:tc>
        <w:tc>
          <w:tcPr>
            <w:tcW w:w="2551" w:type="dxa"/>
            <w:vAlign w:val="center"/>
          </w:tcPr>
          <w:p w14:paraId="7D11BB82">
            <w:pPr>
              <w:pStyle w:val="13"/>
            </w:pPr>
          </w:p>
        </w:tc>
        <w:tc>
          <w:tcPr>
            <w:tcW w:w="2268" w:type="dxa"/>
            <w:vAlign w:val="center"/>
          </w:tcPr>
          <w:p w14:paraId="7B1FC6AA">
            <w:pPr>
              <w:pStyle w:val="13"/>
            </w:pPr>
          </w:p>
        </w:tc>
        <w:tc>
          <w:tcPr>
            <w:tcW w:w="1276" w:type="dxa"/>
            <w:vAlign w:val="center"/>
          </w:tcPr>
          <w:p w14:paraId="4633AC31">
            <w:pPr>
              <w:pStyle w:val="13"/>
            </w:pPr>
          </w:p>
        </w:tc>
      </w:tr>
    </w:tbl>
    <w:p w14:paraId="3EB69DB7">
      <w:pPr>
        <w:sectPr>
          <w:pgSz w:w="16840" w:h="11900" w:orient="landscape"/>
          <w:pgMar w:top="1361" w:right="1020" w:bottom="1134" w:left="1020" w:header="720" w:footer="720" w:gutter="0"/>
          <w:cols w:space="720" w:num="1"/>
        </w:sectPr>
      </w:pPr>
    </w:p>
    <w:p w14:paraId="06575DA0">
      <w:pPr>
        <w:spacing w:before="0" w:after="0"/>
        <w:ind w:firstLine="560"/>
        <w:jc w:val="left"/>
        <w:outlineLvl w:val="9"/>
      </w:pPr>
      <w:r>
        <w:rPr>
          <w:rFonts w:ascii="方正仿宋_GBK" w:hAnsi="方正仿宋_GBK" w:eastAsia="方正仿宋_GBK" w:cs="方正仿宋_GBK"/>
          <w:b/>
          <w:color w:val="000000"/>
          <w:sz w:val="28"/>
        </w:rPr>
        <w:t>105、冀财教[2024]67号/中央/2024年义教经费/私立育蕾小学公用经费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341B5C76">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A6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CB5D7">
            <w:pPr>
              <w:pStyle w:val="14"/>
            </w:pPr>
            <w:r>
              <w:t>单位：万元</w:t>
            </w:r>
          </w:p>
        </w:tc>
      </w:tr>
      <w:tr w14:paraId="2BC1B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3899EB">
            <w:pPr>
              <w:pStyle w:val="11"/>
            </w:pPr>
            <w:r>
              <w:t>项目编码</w:t>
            </w:r>
          </w:p>
        </w:tc>
        <w:tc>
          <w:tcPr>
            <w:tcW w:w="5103" w:type="dxa"/>
            <w:gridSpan w:val="2"/>
            <w:vAlign w:val="center"/>
          </w:tcPr>
          <w:p w14:paraId="21120858">
            <w:pPr>
              <w:pStyle w:val="13"/>
            </w:pPr>
            <w:r>
              <w:t>13052524P00000611455J</w:t>
            </w:r>
          </w:p>
        </w:tc>
        <w:tc>
          <w:tcPr>
            <w:tcW w:w="2835" w:type="dxa"/>
            <w:vAlign w:val="center"/>
          </w:tcPr>
          <w:p w14:paraId="5C27A65C">
            <w:pPr>
              <w:pStyle w:val="11"/>
            </w:pPr>
            <w:r>
              <w:t>项目名称</w:t>
            </w:r>
          </w:p>
        </w:tc>
        <w:tc>
          <w:tcPr>
            <w:tcW w:w="6095" w:type="dxa"/>
            <w:gridSpan w:val="3"/>
            <w:vAlign w:val="center"/>
          </w:tcPr>
          <w:p w14:paraId="46B2523F">
            <w:pPr>
              <w:pStyle w:val="13"/>
            </w:pPr>
            <w:r>
              <w:t>冀财教[2024]67号/中央/2024年义教经费/私立育蕾小学公用经费</w:t>
            </w:r>
            <w:r>
              <w:tab/>
            </w:r>
            <w:r>
              <w:tab/>
            </w:r>
          </w:p>
          <w:p w14:paraId="4CF099DB">
            <w:pPr>
              <w:pStyle w:val="13"/>
            </w:pPr>
          </w:p>
        </w:tc>
      </w:tr>
      <w:tr w14:paraId="18B63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6A603">
            <w:pPr>
              <w:pStyle w:val="11"/>
            </w:pPr>
            <w:r>
              <w:t>预算规模及资金用途</w:t>
            </w:r>
          </w:p>
        </w:tc>
        <w:tc>
          <w:tcPr>
            <w:tcW w:w="2268" w:type="dxa"/>
            <w:vAlign w:val="center"/>
          </w:tcPr>
          <w:p w14:paraId="36AFEC71">
            <w:pPr>
              <w:pStyle w:val="11"/>
            </w:pPr>
            <w:r>
              <w:t>预算数</w:t>
            </w:r>
          </w:p>
        </w:tc>
        <w:tc>
          <w:tcPr>
            <w:tcW w:w="2835" w:type="dxa"/>
            <w:vAlign w:val="center"/>
          </w:tcPr>
          <w:p w14:paraId="2EF83990">
            <w:pPr>
              <w:pStyle w:val="13"/>
            </w:pPr>
            <w:r>
              <w:t>0.55</w:t>
            </w:r>
          </w:p>
        </w:tc>
        <w:tc>
          <w:tcPr>
            <w:tcW w:w="2835" w:type="dxa"/>
            <w:vAlign w:val="center"/>
          </w:tcPr>
          <w:p w14:paraId="6AF796DB">
            <w:pPr>
              <w:pStyle w:val="11"/>
            </w:pPr>
            <w:r>
              <w:t>其中：财政    资金</w:t>
            </w:r>
          </w:p>
        </w:tc>
        <w:tc>
          <w:tcPr>
            <w:tcW w:w="2551" w:type="dxa"/>
            <w:vAlign w:val="center"/>
          </w:tcPr>
          <w:p w14:paraId="339C3CEF">
            <w:pPr>
              <w:pStyle w:val="13"/>
            </w:pPr>
            <w:r>
              <w:t>0.55</w:t>
            </w:r>
          </w:p>
        </w:tc>
        <w:tc>
          <w:tcPr>
            <w:tcW w:w="2268" w:type="dxa"/>
            <w:vAlign w:val="center"/>
          </w:tcPr>
          <w:p w14:paraId="7470E1F1">
            <w:pPr>
              <w:pStyle w:val="11"/>
            </w:pPr>
            <w:r>
              <w:t>其他资金</w:t>
            </w:r>
          </w:p>
        </w:tc>
        <w:tc>
          <w:tcPr>
            <w:tcW w:w="1276" w:type="dxa"/>
            <w:vAlign w:val="center"/>
          </w:tcPr>
          <w:p w14:paraId="5F5D0905">
            <w:pPr>
              <w:pStyle w:val="13"/>
            </w:pPr>
            <w:r>
              <w:t xml:space="preserve"> </w:t>
            </w:r>
          </w:p>
        </w:tc>
      </w:tr>
      <w:tr w14:paraId="0E199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8BB820"/>
        </w:tc>
        <w:tc>
          <w:tcPr>
            <w:tcW w:w="14033" w:type="dxa"/>
            <w:gridSpan w:val="6"/>
            <w:vAlign w:val="center"/>
          </w:tcPr>
          <w:p w14:paraId="30C65AD5">
            <w:pPr>
              <w:pStyle w:val="13"/>
            </w:pPr>
            <w:r>
              <w:t>保障义务教育学校正常运转，完成教育教学活动和其他日常工作任务等方面的费用支出。</w:t>
            </w:r>
            <w:r>
              <w:tab/>
            </w:r>
          </w:p>
          <w:p w14:paraId="352F350F">
            <w:pPr>
              <w:pStyle w:val="13"/>
            </w:pPr>
          </w:p>
        </w:tc>
      </w:tr>
      <w:tr w14:paraId="67D7F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4AE29">
            <w:pPr>
              <w:pStyle w:val="11"/>
            </w:pPr>
            <w:r>
              <w:t>资金支出计划（%）</w:t>
            </w:r>
          </w:p>
        </w:tc>
        <w:tc>
          <w:tcPr>
            <w:tcW w:w="5103" w:type="dxa"/>
            <w:gridSpan w:val="2"/>
            <w:vAlign w:val="center"/>
          </w:tcPr>
          <w:p w14:paraId="5B665D83">
            <w:pPr>
              <w:pStyle w:val="11"/>
            </w:pPr>
            <w:r>
              <w:t>3月底</w:t>
            </w:r>
          </w:p>
        </w:tc>
        <w:tc>
          <w:tcPr>
            <w:tcW w:w="2835" w:type="dxa"/>
            <w:vAlign w:val="center"/>
          </w:tcPr>
          <w:p w14:paraId="277C1941">
            <w:pPr>
              <w:pStyle w:val="11"/>
            </w:pPr>
            <w:r>
              <w:t>6月底</w:t>
            </w:r>
          </w:p>
        </w:tc>
        <w:tc>
          <w:tcPr>
            <w:tcW w:w="2551" w:type="dxa"/>
            <w:vAlign w:val="center"/>
          </w:tcPr>
          <w:p w14:paraId="6C0F2941">
            <w:pPr>
              <w:pStyle w:val="11"/>
            </w:pPr>
            <w:r>
              <w:t>10月底</w:t>
            </w:r>
          </w:p>
        </w:tc>
        <w:tc>
          <w:tcPr>
            <w:tcW w:w="3544" w:type="dxa"/>
            <w:gridSpan w:val="2"/>
            <w:vAlign w:val="center"/>
          </w:tcPr>
          <w:p w14:paraId="458F2F83">
            <w:pPr>
              <w:pStyle w:val="11"/>
            </w:pPr>
            <w:r>
              <w:t>12月底</w:t>
            </w:r>
          </w:p>
        </w:tc>
      </w:tr>
      <w:tr w14:paraId="5F1F7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C5423A"/>
        </w:tc>
        <w:tc>
          <w:tcPr>
            <w:tcW w:w="5103" w:type="dxa"/>
            <w:gridSpan w:val="2"/>
            <w:vAlign w:val="center"/>
          </w:tcPr>
          <w:p w14:paraId="076FDE25">
            <w:pPr>
              <w:pStyle w:val="12"/>
            </w:pPr>
            <w:r>
              <w:t xml:space="preserve"> </w:t>
            </w:r>
          </w:p>
        </w:tc>
        <w:tc>
          <w:tcPr>
            <w:tcW w:w="2835" w:type="dxa"/>
            <w:vAlign w:val="center"/>
          </w:tcPr>
          <w:p w14:paraId="133912FF">
            <w:pPr>
              <w:pStyle w:val="12"/>
            </w:pPr>
            <w:r>
              <w:t xml:space="preserve"> </w:t>
            </w:r>
          </w:p>
        </w:tc>
        <w:tc>
          <w:tcPr>
            <w:tcW w:w="2551" w:type="dxa"/>
            <w:vAlign w:val="center"/>
          </w:tcPr>
          <w:p w14:paraId="5318581C">
            <w:pPr>
              <w:pStyle w:val="12"/>
            </w:pPr>
            <w:r>
              <w:t>10000%</w:t>
            </w:r>
          </w:p>
        </w:tc>
        <w:tc>
          <w:tcPr>
            <w:tcW w:w="3544" w:type="dxa"/>
            <w:gridSpan w:val="2"/>
            <w:vAlign w:val="center"/>
          </w:tcPr>
          <w:p w14:paraId="534A6263">
            <w:pPr>
              <w:pStyle w:val="12"/>
            </w:pPr>
            <w:r>
              <w:t xml:space="preserve"> </w:t>
            </w:r>
          </w:p>
        </w:tc>
      </w:tr>
      <w:tr w14:paraId="68338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B5D7B">
            <w:pPr>
              <w:pStyle w:val="11"/>
            </w:pPr>
            <w:r>
              <w:t>绩效目标</w:t>
            </w:r>
          </w:p>
        </w:tc>
        <w:tc>
          <w:tcPr>
            <w:tcW w:w="14033" w:type="dxa"/>
            <w:gridSpan w:val="6"/>
            <w:vAlign w:val="center"/>
          </w:tcPr>
          <w:p w14:paraId="2008C004">
            <w:pPr>
              <w:pStyle w:val="13"/>
            </w:pPr>
          </w:p>
        </w:tc>
      </w:tr>
    </w:tbl>
    <w:p w14:paraId="0232B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62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46F0D">
            <w:pPr>
              <w:pStyle w:val="11"/>
            </w:pPr>
            <w:r>
              <w:t>一级指标</w:t>
            </w:r>
          </w:p>
        </w:tc>
        <w:tc>
          <w:tcPr>
            <w:tcW w:w="2268" w:type="dxa"/>
            <w:vAlign w:val="center"/>
          </w:tcPr>
          <w:p w14:paraId="11409E01">
            <w:pPr>
              <w:pStyle w:val="11"/>
            </w:pPr>
            <w:r>
              <w:t>二级指标</w:t>
            </w:r>
          </w:p>
        </w:tc>
        <w:tc>
          <w:tcPr>
            <w:tcW w:w="2835" w:type="dxa"/>
            <w:vAlign w:val="center"/>
          </w:tcPr>
          <w:p w14:paraId="3D97D4FD">
            <w:pPr>
              <w:pStyle w:val="11"/>
            </w:pPr>
            <w:r>
              <w:t>三级指标</w:t>
            </w:r>
          </w:p>
        </w:tc>
        <w:tc>
          <w:tcPr>
            <w:tcW w:w="5386" w:type="dxa"/>
            <w:gridSpan w:val="2"/>
            <w:vAlign w:val="center"/>
          </w:tcPr>
          <w:p w14:paraId="13350655">
            <w:pPr>
              <w:pStyle w:val="11"/>
            </w:pPr>
            <w:r>
              <w:t>绩效指标描述</w:t>
            </w:r>
          </w:p>
        </w:tc>
        <w:tc>
          <w:tcPr>
            <w:tcW w:w="2268" w:type="dxa"/>
            <w:vAlign w:val="center"/>
          </w:tcPr>
          <w:p w14:paraId="02F6E902">
            <w:pPr>
              <w:pStyle w:val="11"/>
            </w:pPr>
            <w:r>
              <w:t>指标值</w:t>
            </w:r>
          </w:p>
        </w:tc>
        <w:tc>
          <w:tcPr>
            <w:tcW w:w="1276" w:type="dxa"/>
            <w:vAlign w:val="center"/>
          </w:tcPr>
          <w:p w14:paraId="4F66FED1">
            <w:pPr>
              <w:pStyle w:val="11"/>
            </w:pPr>
            <w:r>
              <w:t>指标值确定依据</w:t>
            </w:r>
          </w:p>
        </w:tc>
      </w:tr>
      <w:tr w14:paraId="39F90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94DF0B">
            <w:pPr>
              <w:pStyle w:val="12"/>
            </w:pPr>
          </w:p>
        </w:tc>
        <w:tc>
          <w:tcPr>
            <w:tcW w:w="2268" w:type="dxa"/>
            <w:vAlign w:val="center"/>
          </w:tcPr>
          <w:p w14:paraId="4F3773F6">
            <w:pPr>
              <w:pStyle w:val="13"/>
            </w:pPr>
          </w:p>
        </w:tc>
        <w:tc>
          <w:tcPr>
            <w:tcW w:w="2835" w:type="dxa"/>
            <w:vAlign w:val="center"/>
          </w:tcPr>
          <w:p w14:paraId="47531AD2">
            <w:pPr>
              <w:pStyle w:val="13"/>
            </w:pPr>
          </w:p>
        </w:tc>
        <w:tc>
          <w:tcPr>
            <w:tcW w:w="2835" w:type="dxa"/>
            <w:vAlign w:val="center"/>
          </w:tcPr>
          <w:p w14:paraId="0C81B2A7">
            <w:pPr>
              <w:pStyle w:val="13"/>
            </w:pPr>
          </w:p>
        </w:tc>
        <w:tc>
          <w:tcPr>
            <w:tcW w:w="2551" w:type="dxa"/>
            <w:vAlign w:val="center"/>
          </w:tcPr>
          <w:p w14:paraId="741BA825">
            <w:pPr>
              <w:pStyle w:val="13"/>
            </w:pPr>
          </w:p>
        </w:tc>
        <w:tc>
          <w:tcPr>
            <w:tcW w:w="2268" w:type="dxa"/>
            <w:vAlign w:val="center"/>
          </w:tcPr>
          <w:p w14:paraId="0E21854D">
            <w:pPr>
              <w:pStyle w:val="13"/>
            </w:pPr>
          </w:p>
        </w:tc>
        <w:tc>
          <w:tcPr>
            <w:tcW w:w="1276" w:type="dxa"/>
            <w:vAlign w:val="center"/>
          </w:tcPr>
          <w:p w14:paraId="4FA48E34">
            <w:pPr>
              <w:pStyle w:val="13"/>
            </w:pPr>
          </w:p>
        </w:tc>
      </w:tr>
    </w:tbl>
    <w:p w14:paraId="4B98563D">
      <w:pPr>
        <w:sectPr>
          <w:pgSz w:w="16840" w:h="11900" w:orient="landscape"/>
          <w:pgMar w:top="1361" w:right="1020" w:bottom="1134" w:left="1020" w:header="720" w:footer="720" w:gutter="0"/>
          <w:cols w:space="720" w:num="1"/>
        </w:sectPr>
      </w:pPr>
    </w:p>
    <w:p w14:paraId="19BF960F">
      <w:pPr>
        <w:spacing w:before="0" w:after="0"/>
        <w:ind w:firstLine="560"/>
        <w:jc w:val="left"/>
        <w:outlineLvl w:val="9"/>
      </w:pPr>
      <w:r>
        <w:rPr>
          <w:rFonts w:ascii="方正仿宋_GBK" w:hAnsi="方正仿宋_GBK" w:eastAsia="方正仿宋_GBK" w:cs="方正仿宋_GBK"/>
          <w:b/>
          <w:color w:val="000000"/>
          <w:sz w:val="28"/>
        </w:rPr>
        <w:t>106、冀财教[2024]67号/中央/2024年义教经费/私立育人小学公用经费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2B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E2E4F">
            <w:pPr>
              <w:pStyle w:val="14"/>
            </w:pPr>
            <w:r>
              <w:t>单位：万元</w:t>
            </w:r>
          </w:p>
        </w:tc>
      </w:tr>
      <w:tr w14:paraId="71A35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2B65C">
            <w:pPr>
              <w:pStyle w:val="11"/>
            </w:pPr>
            <w:r>
              <w:t>项目编码</w:t>
            </w:r>
          </w:p>
        </w:tc>
        <w:tc>
          <w:tcPr>
            <w:tcW w:w="5103" w:type="dxa"/>
            <w:gridSpan w:val="2"/>
            <w:vAlign w:val="center"/>
          </w:tcPr>
          <w:p w14:paraId="7843F4A1">
            <w:pPr>
              <w:pStyle w:val="13"/>
            </w:pPr>
            <w:r>
              <w:t>13052524P00000611457R</w:t>
            </w:r>
          </w:p>
        </w:tc>
        <w:tc>
          <w:tcPr>
            <w:tcW w:w="2835" w:type="dxa"/>
            <w:vAlign w:val="center"/>
          </w:tcPr>
          <w:p w14:paraId="0CE18B13">
            <w:pPr>
              <w:pStyle w:val="11"/>
            </w:pPr>
            <w:r>
              <w:t>项目名称</w:t>
            </w:r>
          </w:p>
        </w:tc>
        <w:tc>
          <w:tcPr>
            <w:tcW w:w="6095" w:type="dxa"/>
            <w:gridSpan w:val="3"/>
            <w:vAlign w:val="center"/>
          </w:tcPr>
          <w:p w14:paraId="2965D938">
            <w:pPr>
              <w:pStyle w:val="13"/>
            </w:pPr>
            <w:r>
              <w:t>冀财教[2024]67号/中央/2024年义教经费/私立育人小学公用经费</w:t>
            </w:r>
            <w:r>
              <w:tab/>
            </w:r>
          </w:p>
        </w:tc>
      </w:tr>
      <w:tr w14:paraId="7E693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856B7">
            <w:pPr>
              <w:pStyle w:val="11"/>
            </w:pPr>
            <w:r>
              <w:t>预算规模及资金用途</w:t>
            </w:r>
          </w:p>
        </w:tc>
        <w:tc>
          <w:tcPr>
            <w:tcW w:w="2268" w:type="dxa"/>
            <w:vAlign w:val="center"/>
          </w:tcPr>
          <w:p w14:paraId="7D6C58DD">
            <w:pPr>
              <w:pStyle w:val="11"/>
            </w:pPr>
            <w:r>
              <w:t>预算数</w:t>
            </w:r>
          </w:p>
        </w:tc>
        <w:tc>
          <w:tcPr>
            <w:tcW w:w="2835" w:type="dxa"/>
            <w:vAlign w:val="center"/>
          </w:tcPr>
          <w:p w14:paraId="65879088">
            <w:pPr>
              <w:pStyle w:val="13"/>
            </w:pPr>
            <w:r>
              <w:t>0.62</w:t>
            </w:r>
          </w:p>
        </w:tc>
        <w:tc>
          <w:tcPr>
            <w:tcW w:w="2835" w:type="dxa"/>
            <w:vAlign w:val="center"/>
          </w:tcPr>
          <w:p w14:paraId="5A0DFE62">
            <w:pPr>
              <w:pStyle w:val="11"/>
            </w:pPr>
            <w:r>
              <w:t>其中：财政    资金</w:t>
            </w:r>
          </w:p>
        </w:tc>
        <w:tc>
          <w:tcPr>
            <w:tcW w:w="2551" w:type="dxa"/>
            <w:vAlign w:val="center"/>
          </w:tcPr>
          <w:p w14:paraId="1C54D960">
            <w:pPr>
              <w:pStyle w:val="13"/>
            </w:pPr>
            <w:r>
              <w:t>0.62</w:t>
            </w:r>
          </w:p>
        </w:tc>
        <w:tc>
          <w:tcPr>
            <w:tcW w:w="2268" w:type="dxa"/>
            <w:vAlign w:val="center"/>
          </w:tcPr>
          <w:p w14:paraId="73783CBA">
            <w:pPr>
              <w:pStyle w:val="11"/>
            </w:pPr>
            <w:r>
              <w:t>其他资金</w:t>
            </w:r>
          </w:p>
        </w:tc>
        <w:tc>
          <w:tcPr>
            <w:tcW w:w="1276" w:type="dxa"/>
            <w:vAlign w:val="center"/>
          </w:tcPr>
          <w:p w14:paraId="39C51219">
            <w:pPr>
              <w:pStyle w:val="13"/>
            </w:pPr>
            <w:r>
              <w:t xml:space="preserve"> </w:t>
            </w:r>
          </w:p>
        </w:tc>
      </w:tr>
      <w:tr w14:paraId="624C8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428609"/>
        </w:tc>
        <w:tc>
          <w:tcPr>
            <w:tcW w:w="14033" w:type="dxa"/>
            <w:gridSpan w:val="6"/>
            <w:vAlign w:val="center"/>
          </w:tcPr>
          <w:p w14:paraId="43537E42">
            <w:pPr>
              <w:pStyle w:val="13"/>
            </w:pPr>
            <w:r>
              <w:t>保障义务教育学校正常运转，完成教育教学活动和其他日常工作任务等方面的费用支出。</w:t>
            </w:r>
            <w:r>
              <w:tab/>
            </w:r>
          </w:p>
          <w:p w14:paraId="0341C8E5">
            <w:pPr>
              <w:pStyle w:val="13"/>
            </w:pPr>
          </w:p>
        </w:tc>
      </w:tr>
      <w:tr w14:paraId="660A9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95EED">
            <w:pPr>
              <w:pStyle w:val="11"/>
            </w:pPr>
            <w:r>
              <w:t>资金支出计划（%）</w:t>
            </w:r>
          </w:p>
        </w:tc>
        <w:tc>
          <w:tcPr>
            <w:tcW w:w="5103" w:type="dxa"/>
            <w:gridSpan w:val="2"/>
            <w:vAlign w:val="center"/>
          </w:tcPr>
          <w:p w14:paraId="2361A042">
            <w:pPr>
              <w:pStyle w:val="11"/>
            </w:pPr>
            <w:r>
              <w:t>3月底</w:t>
            </w:r>
          </w:p>
        </w:tc>
        <w:tc>
          <w:tcPr>
            <w:tcW w:w="2835" w:type="dxa"/>
            <w:vAlign w:val="center"/>
          </w:tcPr>
          <w:p w14:paraId="592ECE9C">
            <w:pPr>
              <w:pStyle w:val="11"/>
            </w:pPr>
            <w:r>
              <w:t>6月底</w:t>
            </w:r>
          </w:p>
        </w:tc>
        <w:tc>
          <w:tcPr>
            <w:tcW w:w="2551" w:type="dxa"/>
            <w:vAlign w:val="center"/>
          </w:tcPr>
          <w:p w14:paraId="35ABA898">
            <w:pPr>
              <w:pStyle w:val="11"/>
            </w:pPr>
            <w:r>
              <w:t>10月底</w:t>
            </w:r>
          </w:p>
        </w:tc>
        <w:tc>
          <w:tcPr>
            <w:tcW w:w="3544" w:type="dxa"/>
            <w:gridSpan w:val="2"/>
            <w:vAlign w:val="center"/>
          </w:tcPr>
          <w:p w14:paraId="763BC45C">
            <w:pPr>
              <w:pStyle w:val="11"/>
            </w:pPr>
            <w:r>
              <w:t>12月底</w:t>
            </w:r>
          </w:p>
        </w:tc>
      </w:tr>
      <w:tr w14:paraId="3059A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BD2A13"/>
        </w:tc>
        <w:tc>
          <w:tcPr>
            <w:tcW w:w="5103" w:type="dxa"/>
            <w:gridSpan w:val="2"/>
            <w:vAlign w:val="center"/>
          </w:tcPr>
          <w:p w14:paraId="4DCD7BAD">
            <w:pPr>
              <w:pStyle w:val="12"/>
            </w:pPr>
            <w:r>
              <w:t xml:space="preserve"> </w:t>
            </w:r>
          </w:p>
        </w:tc>
        <w:tc>
          <w:tcPr>
            <w:tcW w:w="2835" w:type="dxa"/>
            <w:vAlign w:val="center"/>
          </w:tcPr>
          <w:p w14:paraId="5CC20D7C">
            <w:pPr>
              <w:pStyle w:val="12"/>
            </w:pPr>
            <w:r>
              <w:t xml:space="preserve"> </w:t>
            </w:r>
          </w:p>
        </w:tc>
        <w:tc>
          <w:tcPr>
            <w:tcW w:w="2551" w:type="dxa"/>
            <w:vAlign w:val="center"/>
          </w:tcPr>
          <w:p w14:paraId="06002CE4">
            <w:pPr>
              <w:pStyle w:val="12"/>
            </w:pPr>
            <w:r>
              <w:t>10000%</w:t>
            </w:r>
          </w:p>
        </w:tc>
        <w:tc>
          <w:tcPr>
            <w:tcW w:w="3544" w:type="dxa"/>
            <w:gridSpan w:val="2"/>
            <w:vAlign w:val="center"/>
          </w:tcPr>
          <w:p w14:paraId="2FF5AB9A">
            <w:pPr>
              <w:pStyle w:val="12"/>
            </w:pPr>
            <w:r>
              <w:t xml:space="preserve"> </w:t>
            </w:r>
          </w:p>
        </w:tc>
      </w:tr>
      <w:tr w14:paraId="7B81A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905E23">
            <w:pPr>
              <w:pStyle w:val="11"/>
            </w:pPr>
            <w:r>
              <w:t>绩效目标</w:t>
            </w:r>
          </w:p>
        </w:tc>
        <w:tc>
          <w:tcPr>
            <w:tcW w:w="14033" w:type="dxa"/>
            <w:gridSpan w:val="6"/>
            <w:vAlign w:val="center"/>
          </w:tcPr>
          <w:p w14:paraId="3DF4E9D8">
            <w:pPr>
              <w:pStyle w:val="13"/>
            </w:pPr>
          </w:p>
        </w:tc>
      </w:tr>
    </w:tbl>
    <w:p w14:paraId="2582E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36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CFA52">
            <w:pPr>
              <w:pStyle w:val="11"/>
            </w:pPr>
            <w:r>
              <w:t>一级指标</w:t>
            </w:r>
          </w:p>
        </w:tc>
        <w:tc>
          <w:tcPr>
            <w:tcW w:w="2268" w:type="dxa"/>
            <w:vAlign w:val="center"/>
          </w:tcPr>
          <w:p w14:paraId="1E760AF5">
            <w:pPr>
              <w:pStyle w:val="11"/>
            </w:pPr>
            <w:r>
              <w:t>二级指标</w:t>
            </w:r>
          </w:p>
        </w:tc>
        <w:tc>
          <w:tcPr>
            <w:tcW w:w="2835" w:type="dxa"/>
            <w:vAlign w:val="center"/>
          </w:tcPr>
          <w:p w14:paraId="57D8A8DB">
            <w:pPr>
              <w:pStyle w:val="11"/>
            </w:pPr>
            <w:r>
              <w:t>三级指标</w:t>
            </w:r>
          </w:p>
        </w:tc>
        <w:tc>
          <w:tcPr>
            <w:tcW w:w="5386" w:type="dxa"/>
            <w:gridSpan w:val="2"/>
            <w:vAlign w:val="center"/>
          </w:tcPr>
          <w:p w14:paraId="6207506B">
            <w:pPr>
              <w:pStyle w:val="11"/>
            </w:pPr>
            <w:r>
              <w:t>绩效指标描述</w:t>
            </w:r>
          </w:p>
        </w:tc>
        <w:tc>
          <w:tcPr>
            <w:tcW w:w="2268" w:type="dxa"/>
            <w:vAlign w:val="center"/>
          </w:tcPr>
          <w:p w14:paraId="46C21C1C">
            <w:pPr>
              <w:pStyle w:val="11"/>
            </w:pPr>
            <w:r>
              <w:t>指标值</w:t>
            </w:r>
          </w:p>
        </w:tc>
        <w:tc>
          <w:tcPr>
            <w:tcW w:w="1276" w:type="dxa"/>
            <w:vAlign w:val="center"/>
          </w:tcPr>
          <w:p w14:paraId="70C722F7">
            <w:pPr>
              <w:pStyle w:val="11"/>
            </w:pPr>
            <w:r>
              <w:t>指标值确定依据</w:t>
            </w:r>
          </w:p>
        </w:tc>
      </w:tr>
      <w:tr w14:paraId="3FE28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52657D">
            <w:pPr>
              <w:pStyle w:val="12"/>
            </w:pPr>
          </w:p>
        </w:tc>
        <w:tc>
          <w:tcPr>
            <w:tcW w:w="2268" w:type="dxa"/>
            <w:vAlign w:val="center"/>
          </w:tcPr>
          <w:p w14:paraId="6C2198BB">
            <w:pPr>
              <w:pStyle w:val="13"/>
            </w:pPr>
          </w:p>
        </w:tc>
        <w:tc>
          <w:tcPr>
            <w:tcW w:w="2835" w:type="dxa"/>
            <w:vAlign w:val="center"/>
          </w:tcPr>
          <w:p w14:paraId="4C412E62">
            <w:pPr>
              <w:pStyle w:val="13"/>
            </w:pPr>
          </w:p>
        </w:tc>
        <w:tc>
          <w:tcPr>
            <w:tcW w:w="2835" w:type="dxa"/>
            <w:vAlign w:val="center"/>
          </w:tcPr>
          <w:p w14:paraId="4A36738F">
            <w:pPr>
              <w:pStyle w:val="13"/>
            </w:pPr>
          </w:p>
        </w:tc>
        <w:tc>
          <w:tcPr>
            <w:tcW w:w="2551" w:type="dxa"/>
            <w:vAlign w:val="center"/>
          </w:tcPr>
          <w:p w14:paraId="5E796A80">
            <w:pPr>
              <w:pStyle w:val="13"/>
            </w:pPr>
          </w:p>
        </w:tc>
        <w:tc>
          <w:tcPr>
            <w:tcW w:w="2268" w:type="dxa"/>
            <w:vAlign w:val="center"/>
          </w:tcPr>
          <w:p w14:paraId="6AE427A9">
            <w:pPr>
              <w:pStyle w:val="13"/>
            </w:pPr>
          </w:p>
        </w:tc>
        <w:tc>
          <w:tcPr>
            <w:tcW w:w="1276" w:type="dxa"/>
            <w:vAlign w:val="center"/>
          </w:tcPr>
          <w:p w14:paraId="7DE65BCF">
            <w:pPr>
              <w:pStyle w:val="13"/>
            </w:pPr>
          </w:p>
        </w:tc>
      </w:tr>
    </w:tbl>
    <w:p w14:paraId="4F98EDB7">
      <w:pPr>
        <w:sectPr>
          <w:pgSz w:w="16840" w:h="11900" w:orient="landscape"/>
          <w:pgMar w:top="1361" w:right="1020" w:bottom="1134" w:left="1020" w:header="720" w:footer="720" w:gutter="0"/>
          <w:cols w:space="720" w:num="1"/>
        </w:sectPr>
      </w:pPr>
    </w:p>
    <w:p w14:paraId="647ABF89">
      <w:pPr>
        <w:spacing w:before="0" w:after="0"/>
        <w:ind w:firstLine="560"/>
        <w:jc w:val="left"/>
        <w:outlineLvl w:val="9"/>
      </w:pPr>
      <w:r>
        <w:rPr>
          <w:rFonts w:ascii="方正仿宋_GBK" w:hAnsi="方正仿宋_GBK" w:eastAsia="方正仿宋_GBK" w:cs="方正仿宋_GBK"/>
          <w:b/>
          <w:color w:val="000000"/>
          <w:sz w:val="28"/>
        </w:rPr>
        <w:t>107、冀财教[2024]67号/中央/2024年义教经费/唐尧中学附属小学公用经费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4518EFC7">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03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E968D">
            <w:pPr>
              <w:pStyle w:val="14"/>
            </w:pPr>
            <w:r>
              <w:t>单位：万元</w:t>
            </w:r>
          </w:p>
        </w:tc>
      </w:tr>
      <w:tr w14:paraId="4F6E9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257F2">
            <w:pPr>
              <w:pStyle w:val="11"/>
            </w:pPr>
            <w:r>
              <w:t>项目编码</w:t>
            </w:r>
          </w:p>
        </w:tc>
        <w:tc>
          <w:tcPr>
            <w:tcW w:w="5103" w:type="dxa"/>
            <w:gridSpan w:val="2"/>
            <w:vAlign w:val="center"/>
          </w:tcPr>
          <w:p w14:paraId="08104E09">
            <w:pPr>
              <w:pStyle w:val="13"/>
            </w:pPr>
            <w:r>
              <w:t>13052524P00000611445N</w:t>
            </w:r>
          </w:p>
        </w:tc>
        <w:tc>
          <w:tcPr>
            <w:tcW w:w="2835" w:type="dxa"/>
            <w:vAlign w:val="center"/>
          </w:tcPr>
          <w:p w14:paraId="36CA05A1">
            <w:pPr>
              <w:pStyle w:val="11"/>
            </w:pPr>
            <w:r>
              <w:t>项目名称</w:t>
            </w:r>
          </w:p>
        </w:tc>
        <w:tc>
          <w:tcPr>
            <w:tcW w:w="6095" w:type="dxa"/>
            <w:gridSpan w:val="3"/>
            <w:vAlign w:val="center"/>
          </w:tcPr>
          <w:p w14:paraId="2B53DB5A">
            <w:pPr>
              <w:pStyle w:val="13"/>
            </w:pPr>
            <w:r>
              <w:t>冀财教[2024]67号/中央/2024年义教经费/唐尧中学附属小学公用经费</w:t>
            </w:r>
            <w:r>
              <w:tab/>
            </w:r>
            <w:r>
              <w:tab/>
            </w:r>
          </w:p>
          <w:p w14:paraId="76969A2B">
            <w:pPr>
              <w:pStyle w:val="13"/>
            </w:pPr>
          </w:p>
        </w:tc>
      </w:tr>
      <w:tr w14:paraId="50E4B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4DB97">
            <w:pPr>
              <w:pStyle w:val="11"/>
            </w:pPr>
            <w:r>
              <w:t>预算规模及资金用途</w:t>
            </w:r>
          </w:p>
        </w:tc>
        <w:tc>
          <w:tcPr>
            <w:tcW w:w="2268" w:type="dxa"/>
            <w:vAlign w:val="center"/>
          </w:tcPr>
          <w:p w14:paraId="68E20D39">
            <w:pPr>
              <w:pStyle w:val="11"/>
            </w:pPr>
            <w:r>
              <w:t>预算数</w:t>
            </w:r>
          </w:p>
        </w:tc>
        <w:tc>
          <w:tcPr>
            <w:tcW w:w="2835" w:type="dxa"/>
            <w:vAlign w:val="center"/>
          </w:tcPr>
          <w:p w14:paraId="1CA6909E">
            <w:pPr>
              <w:pStyle w:val="13"/>
            </w:pPr>
            <w:r>
              <w:t>0.22</w:t>
            </w:r>
          </w:p>
        </w:tc>
        <w:tc>
          <w:tcPr>
            <w:tcW w:w="2835" w:type="dxa"/>
            <w:vAlign w:val="center"/>
          </w:tcPr>
          <w:p w14:paraId="29A19ED4">
            <w:pPr>
              <w:pStyle w:val="11"/>
            </w:pPr>
            <w:r>
              <w:t>其中：财政    资金</w:t>
            </w:r>
          </w:p>
        </w:tc>
        <w:tc>
          <w:tcPr>
            <w:tcW w:w="2551" w:type="dxa"/>
            <w:vAlign w:val="center"/>
          </w:tcPr>
          <w:p w14:paraId="0B81A5FC">
            <w:pPr>
              <w:pStyle w:val="13"/>
            </w:pPr>
            <w:r>
              <w:t>0.22</w:t>
            </w:r>
          </w:p>
        </w:tc>
        <w:tc>
          <w:tcPr>
            <w:tcW w:w="2268" w:type="dxa"/>
            <w:vAlign w:val="center"/>
          </w:tcPr>
          <w:p w14:paraId="6595279D">
            <w:pPr>
              <w:pStyle w:val="11"/>
            </w:pPr>
            <w:r>
              <w:t>其他资金</w:t>
            </w:r>
          </w:p>
        </w:tc>
        <w:tc>
          <w:tcPr>
            <w:tcW w:w="1276" w:type="dxa"/>
            <w:vAlign w:val="center"/>
          </w:tcPr>
          <w:p w14:paraId="450A3106">
            <w:pPr>
              <w:pStyle w:val="13"/>
            </w:pPr>
            <w:r>
              <w:t xml:space="preserve"> </w:t>
            </w:r>
          </w:p>
        </w:tc>
      </w:tr>
      <w:tr w14:paraId="2B354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427502"/>
        </w:tc>
        <w:tc>
          <w:tcPr>
            <w:tcW w:w="14033" w:type="dxa"/>
            <w:gridSpan w:val="6"/>
            <w:vAlign w:val="center"/>
          </w:tcPr>
          <w:p w14:paraId="5258EAB2">
            <w:pPr>
              <w:pStyle w:val="13"/>
            </w:pPr>
            <w:r>
              <w:t>保障义务教育学校正常运转，完成教育教学活动和其他日常工作任务等方面的费用支出。</w:t>
            </w:r>
            <w:r>
              <w:tab/>
            </w:r>
            <w:r>
              <w:tab/>
            </w:r>
            <w:r>
              <w:tab/>
            </w:r>
          </w:p>
          <w:p w14:paraId="3DA97C36">
            <w:pPr>
              <w:pStyle w:val="13"/>
            </w:pPr>
          </w:p>
        </w:tc>
      </w:tr>
      <w:tr w14:paraId="38661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E4EA5">
            <w:pPr>
              <w:pStyle w:val="11"/>
            </w:pPr>
            <w:r>
              <w:t>资金支出计划（%）</w:t>
            </w:r>
          </w:p>
        </w:tc>
        <w:tc>
          <w:tcPr>
            <w:tcW w:w="5103" w:type="dxa"/>
            <w:gridSpan w:val="2"/>
            <w:vAlign w:val="center"/>
          </w:tcPr>
          <w:p w14:paraId="72AFF744">
            <w:pPr>
              <w:pStyle w:val="11"/>
            </w:pPr>
            <w:r>
              <w:t>3月底</w:t>
            </w:r>
          </w:p>
        </w:tc>
        <w:tc>
          <w:tcPr>
            <w:tcW w:w="2835" w:type="dxa"/>
            <w:vAlign w:val="center"/>
          </w:tcPr>
          <w:p w14:paraId="54F27AC0">
            <w:pPr>
              <w:pStyle w:val="11"/>
            </w:pPr>
            <w:r>
              <w:t>6月底</w:t>
            </w:r>
          </w:p>
        </w:tc>
        <w:tc>
          <w:tcPr>
            <w:tcW w:w="2551" w:type="dxa"/>
            <w:vAlign w:val="center"/>
          </w:tcPr>
          <w:p w14:paraId="4A47288B">
            <w:pPr>
              <w:pStyle w:val="11"/>
            </w:pPr>
            <w:r>
              <w:t>10月底</w:t>
            </w:r>
          </w:p>
        </w:tc>
        <w:tc>
          <w:tcPr>
            <w:tcW w:w="3544" w:type="dxa"/>
            <w:gridSpan w:val="2"/>
            <w:vAlign w:val="center"/>
          </w:tcPr>
          <w:p w14:paraId="5167134C">
            <w:pPr>
              <w:pStyle w:val="11"/>
            </w:pPr>
            <w:r>
              <w:t>12月底</w:t>
            </w:r>
          </w:p>
        </w:tc>
      </w:tr>
      <w:tr w14:paraId="11015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4B9A12"/>
        </w:tc>
        <w:tc>
          <w:tcPr>
            <w:tcW w:w="5103" w:type="dxa"/>
            <w:gridSpan w:val="2"/>
            <w:vAlign w:val="center"/>
          </w:tcPr>
          <w:p w14:paraId="1C484525">
            <w:pPr>
              <w:pStyle w:val="12"/>
            </w:pPr>
            <w:r>
              <w:t xml:space="preserve"> </w:t>
            </w:r>
          </w:p>
        </w:tc>
        <w:tc>
          <w:tcPr>
            <w:tcW w:w="2835" w:type="dxa"/>
            <w:vAlign w:val="center"/>
          </w:tcPr>
          <w:p w14:paraId="7027AF1C">
            <w:pPr>
              <w:pStyle w:val="12"/>
            </w:pPr>
            <w:r>
              <w:t xml:space="preserve"> </w:t>
            </w:r>
          </w:p>
        </w:tc>
        <w:tc>
          <w:tcPr>
            <w:tcW w:w="2551" w:type="dxa"/>
            <w:vAlign w:val="center"/>
          </w:tcPr>
          <w:p w14:paraId="11C1A757">
            <w:pPr>
              <w:pStyle w:val="12"/>
            </w:pPr>
            <w:r>
              <w:t>100%</w:t>
            </w:r>
          </w:p>
        </w:tc>
        <w:tc>
          <w:tcPr>
            <w:tcW w:w="3544" w:type="dxa"/>
            <w:gridSpan w:val="2"/>
            <w:vAlign w:val="center"/>
          </w:tcPr>
          <w:p w14:paraId="3815DFBE">
            <w:pPr>
              <w:pStyle w:val="12"/>
            </w:pPr>
            <w:r>
              <w:t>100%</w:t>
            </w:r>
          </w:p>
        </w:tc>
      </w:tr>
      <w:tr w14:paraId="04B2F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3742C">
            <w:pPr>
              <w:pStyle w:val="11"/>
            </w:pPr>
            <w:r>
              <w:t>绩效目标</w:t>
            </w:r>
          </w:p>
        </w:tc>
        <w:tc>
          <w:tcPr>
            <w:tcW w:w="14033" w:type="dxa"/>
            <w:gridSpan w:val="6"/>
            <w:vAlign w:val="center"/>
          </w:tcPr>
          <w:p w14:paraId="5E97D093">
            <w:pPr>
              <w:pStyle w:val="13"/>
            </w:pPr>
          </w:p>
        </w:tc>
      </w:tr>
    </w:tbl>
    <w:p w14:paraId="44340F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DA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5EA13">
            <w:pPr>
              <w:pStyle w:val="11"/>
            </w:pPr>
            <w:r>
              <w:t>一级指标</w:t>
            </w:r>
          </w:p>
        </w:tc>
        <w:tc>
          <w:tcPr>
            <w:tcW w:w="2268" w:type="dxa"/>
            <w:vAlign w:val="center"/>
          </w:tcPr>
          <w:p w14:paraId="0FAC319C">
            <w:pPr>
              <w:pStyle w:val="11"/>
            </w:pPr>
            <w:r>
              <w:t>二级指标</w:t>
            </w:r>
          </w:p>
        </w:tc>
        <w:tc>
          <w:tcPr>
            <w:tcW w:w="2835" w:type="dxa"/>
            <w:vAlign w:val="center"/>
          </w:tcPr>
          <w:p w14:paraId="2A7F7FD0">
            <w:pPr>
              <w:pStyle w:val="11"/>
            </w:pPr>
            <w:r>
              <w:t>三级指标</w:t>
            </w:r>
          </w:p>
        </w:tc>
        <w:tc>
          <w:tcPr>
            <w:tcW w:w="5386" w:type="dxa"/>
            <w:gridSpan w:val="2"/>
            <w:vAlign w:val="center"/>
          </w:tcPr>
          <w:p w14:paraId="64A70E4A">
            <w:pPr>
              <w:pStyle w:val="11"/>
            </w:pPr>
            <w:r>
              <w:t>绩效指标描述</w:t>
            </w:r>
          </w:p>
        </w:tc>
        <w:tc>
          <w:tcPr>
            <w:tcW w:w="2268" w:type="dxa"/>
            <w:vAlign w:val="center"/>
          </w:tcPr>
          <w:p w14:paraId="5F056DF5">
            <w:pPr>
              <w:pStyle w:val="11"/>
            </w:pPr>
            <w:r>
              <w:t>指标值</w:t>
            </w:r>
          </w:p>
        </w:tc>
        <w:tc>
          <w:tcPr>
            <w:tcW w:w="1276" w:type="dxa"/>
            <w:vAlign w:val="center"/>
          </w:tcPr>
          <w:p w14:paraId="1885DCA5">
            <w:pPr>
              <w:pStyle w:val="11"/>
            </w:pPr>
            <w:r>
              <w:t>指标值确定依据</w:t>
            </w:r>
          </w:p>
        </w:tc>
      </w:tr>
      <w:tr w14:paraId="6D13D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9AB64">
            <w:pPr>
              <w:pStyle w:val="12"/>
            </w:pPr>
          </w:p>
        </w:tc>
        <w:tc>
          <w:tcPr>
            <w:tcW w:w="2268" w:type="dxa"/>
            <w:vAlign w:val="center"/>
          </w:tcPr>
          <w:p w14:paraId="7B6893B6">
            <w:pPr>
              <w:pStyle w:val="13"/>
            </w:pPr>
          </w:p>
        </w:tc>
        <w:tc>
          <w:tcPr>
            <w:tcW w:w="2835" w:type="dxa"/>
            <w:vAlign w:val="center"/>
          </w:tcPr>
          <w:p w14:paraId="605D0540">
            <w:pPr>
              <w:pStyle w:val="13"/>
            </w:pPr>
          </w:p>
        </w:tc>
        <w:tc>
          <w:tcPr>
            <w:tcW w:w="2835" w:type="dxa"/>
            <w:vAlign w:val="center"/>
          </w:tcPr>
          <w:p w14:paraId="639F2E97">
            <w:pPr>
              <w:pStyle w:val="13"/>
            </w:pPr>
          </w:p>
        </w:tc>
        <w:tc>
          <w:tcPr>
            <w:tcW w:w="2551" w:type="dxa"/>
            <w:vAlign w:val="center"/>
          </w:tcPr>
          <w:p w14:paraId="0659454B">
            <w:pPr>
              <w:pStyle w:val="13"/>
            </w:pPr>
          </w:p>
        </w:tc>
        <w:tc>
          <w:tcPr>
            <w:tcW w:w="2268" w:type="dxa"/>
            <w:vAlign w:val="center"/>
          </w:tcPr>
          <w:p w14:paraId="40671441">
            <w:pPr>
              <w:pStyle w:val="13"/>
            </w:pPr>
          </w:p>
        </w:tc>
        <w:tc>
          <w:tcPr>
            <w:tcW w:w="1276" w:type="dxa"/>
            <w:vAlign w:val="center"/>
          </w:tcPr>
          <w:p w14:paraId="64B83FC2">
            <w:pPr>
              <w:pStyle w:val="13"/>
            </w:pPr>
          </w:p>
        </w:tc>
      </w:tr>
    </w:tbl>
    <w:p w14:paraId="2ED310D0">
      <w:pPr>
        <w:sectPr>
          <w:pgSz w:w="16840" w:h="11900" w:orient="landscape"/>
          <w:pgMar w:top="1361" w:right="1020" w:bottom="1134" w:left="1020" w:header="720" w:footer="720" w:gutter="0"/>
          <w:cols w:space="720" w:num="1"/>
        </w:sectPr>
      </w:pPr>
    </w:p>
    <w:p w14:paraId="0DED6AC9">
      <w:pPr>
        <w:spacing w:before="0" w:after="0"/>
        <w:ind w:firstLine="560"/>
        <w:jc w:val="left"/>
        <w:outlineLvl w:val="9"/>
      </w:pPr>
      <w:r>
        <w:rPr>
          <w:rFonts w:ascii="方正仿宋_GBK" w:hAnsi="方正仿宋_GBK" w:eastAsia="方正仿宋_GBK" w:cs="方正仿宋_GBK"/>
          <w:b/>
          <w:color w:val="000000"/>
          <w:sz w:val="28"/>
        </w:rPr>
        <w:t>108、冀财教[2024]67号/中央/2024年义教经费/文茂中学公用经费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620307C9">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7C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45E00">
            <w:pPr>
              <w:pStyle w:val="14"/>
            </w:pPr>
            <w:r>
              <w:t>单位：万元</w:t>
            </w:r>
          </w:p>
        </w:tc>
      </w:tr>
      <w:tr w14:paraId="5EE7A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BB04E">
            <w:pPr>
              <w:pStyle w:val="11"/>
            </w:pPr>
            <w:r>
              <w:t>项目编码</w:t>
            </w:r>
          </w:p>
        </w:tc>
        <w:tc>
          <w:tcPr>
            <w:tcW w:w="5103" w:type="dxa"/>
            <w:gridSpan w:val="2"/>
            <w:vAlign w:val="center"/>
          </w:tcPr>
          <w:p w14:paraId="458DC6B7">
            <w:pPr>
              <w:pStyle w:val="13"/>
            </w:pPr>
            <w:r>
              <w:t>13052524P00000611462K</w:t>
            </w:r>
          </w:p>
        </w:tc>
        <w:tc>
          <w:tcPr>
            <w:tcW w:w="2835" w:type="dxa"/>
            <w:vAlign w:val="center"/>
          </w:tcPr>
          <w:p w14:paraId="6A340098">
            <w:pPr>
              <w:pStyle w:val="11"/>
            </w:pPr>
            <w:r>
              <w:t>项目名称</w:t>
            </w:r>
          </w:p>
        </w:tc>
        <w:tc>
          <w:tcPr>
            <w:tcW w:w="6095" w:type="dxa"/>
            <w:gridSpan w:val="3"/>
            <w:vAlign w:val="center"/>
          </w:tcPr>
          <w:p w14:paraId="6A27BB5B">
            <w:pPr>
              <w:pStyle w:val="13"/>
            </w:pPr>
            <w:r>
              <w:t>冀财教[2024]67号/中央/2024年义教经费/文茂中学公用经费</w:t>
            </w:r>
            <w:r>
              <w:tab/>
            </w:r>
            <w:r>
              <w:tab/>
            </w:r>
          </w:p>
          <w:p w14:paraId="3EA44E12">
            <w:pPr>
              <w:pStyle w:val="13"/>
            </w:pPr>
          </w:p>
        </w:tc>
      </w:tr>
      <w:tr w14:paraId="312DB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3CD41">
            <w:pPr>
              <w:pStyle w:val="11"/>
            </w:pPr>
            <w:r>
              <w:t>预算规模及资金用途</w:t>
            </w:r>
          </w:p>
        </w:tc>
        <w:tc>
          <w:tcPr>
            <w:tcW w:w="2268" w:type="dxa"/>
            <w:vAlign w:val="center"/>
          </w:tcPr>
          <w:p w14:paraId="15D0BAA5">
            <w:pPr>
              <w:pStyle w:val="11"/>
            </w:pPr>
            <w:r>
              <w:t>预算数</w:t>
            </w:r>
          </w:p>
        </w:tc>
        <w:tc>
          <w:tcPr>
            <w:tcW w:w="2835" w:type="dxa"/>
            <w:vAlign w:val="center"/>
          </w:tcPr>
          <w:p w14:paraId="099D67E2">
            <w:pPr>
              <w:pStyle w:val="13"/>
            </w:pPr>
            <w:r>
              <w:t>1.82</w:t>
            </w:r>
          </w:p>
        </w:tc>
        <w:tc>
          <w:tcPr>
            <w:tcW w:w="2835" w:type="dxa"/>
            <w:vAlign w:val="center"/>
          </w:tcPr>
          <w:p w14:paraId="40B5B9D5">
            <w:pPr>
              <w:pStyle w:val="11"/>
            </w:pPr>
            <w:r>
              <w:t>其中：财政    资金</w:t>
            </w:r>
          </w:p>
        </w:tc>
        <w:tc>
          <w:tcPr>
            <w:tcW w:w="2551" w:type="dxa"/>
            <w:vAlign w:val="center"/>
          </w:tcPr>
          <w:p w14:paraId="458571EA">
            <w:pPr>
              <w:pStyle w:val="13"/>
            </w:pPr>
            <w:r>
              <w:t>1.82</w:t>
            </w:r>
          </w:p>
        </w:tc>
        <w:tc>
          <w:tcPr>
            <w:tcW w:w="2268" w:type="dxa"/>
            <w:vAlign w:val="center"/>
          </w:tcPr>
          <w:p w14:paraId="1B9BE68F">
            <w:pPr>
              <w:pStyle w:val="11"/>
            </w:pPr>
            <w:r>
              <w:t>其他资金</w:t>
            </w:r>
          </w:p>
        </w:tc>
        <w:tc>
          <w:tcPr>
            <w:tcW w:w="1276" w:type="dxa"/>
            <w:vAlign w:val="center"/>
          </w:tcPr>
          <w:p w14:paraId="26077FFE">
            <w:pPr>
              <w:pStyle w:val="13"/>
            </w:pPr>
            <w:r>
              <w:t xml:space="preserve"> </w:t>
            </w:r>
          </w:p>
        </w:tc>
      </w:tr>
      <w:tr w14:paraId="70262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EE22C3"/>
        </w:tc>
        <w:tc>
          <w:tcPr>
            <w:tcW w:w="14033" w:type="dxa"/>
            <w:gridSpan w:val="6"/>
            <w:vAlign w:val="center"/>
          </w:tcPr>
          <w:p w14:paraId="5FB3B1A2">
            <w:pPr>
              <w:pStyle w:val="13"/>
            </w:pPr>
            <w:r>
              <w:t>保障义务教育学校正常运转，完成教育教学活动和其他日常工作任务等方面的费用支出。</w:t>
            </w:r>
            <w:r>
              <w:tab/>
            </w:r>
          </w:p>
        </w:tc>
      </w:tr>
      <w:tr w14:paraId="63EAC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35938">
            <w:pPr>
              <w:pStyle w:val="11"/>
            </w:pPr>
            <w:r>
              <w:t>资金支出计划（%）</w:t>
            </w:r>
          </w:p>
        </w:tc>
        <w:tc>
          <w:tcPr>
            <w:tcW w:w="5103" w:type="dxa"/>
            <w:gridSpan w:val="2"/>
            <w:vAlign w:val="center"/>
          </w:tcPr>
          <w:p w14:paraId="4BF61669">
            <w:pPr>
              <w:pStyle w:val="11"/>
            </w:pPr>
            <w:r>
              <w:t>3月底</w:t>
            </w:r>
          </w:p>
        </w:tc>
        <w:tc>
          <w:tcPr>
            <w:tcW w:w="2835" w:type="dxa"/>
            <w:vAlign w:val="center"/>
          </w:tcPr>
          <w:p w14:paraId="53565BE5">
            <w:pPr>
              <w:pStyle w:val="11"/>
            </w:pPr>
            <w:r>
              <w:t>6月底</w:t>
            </w:r>
          </w:p>
        </w:tc>
        <w:tc>
          <w:tcPr>
            <w:tcW w:w="2551" w:type="dxa"/>
            <w:vAlign w:val="center"/>
          </w:tcPr>
          <w:p w14:paraId="253BA045">
            <w:pPr>
              <w:pStyle w:val="11"/>
            </w:pPr>
            <w:r>
              <w:t>10月底</w:t>
            </w:r>
          </w:p>
        </w:tc>
        <w:tc>
          <w:tcPr>
            <w:tcW w:w="3544" w:type="dxa"/>
            <w:gridSpan w:val="2"/>
            <w:vAlign w:val="center"/>
          </w:tcPr>
          <w:p w14:paraId="5F8AA027">
            <w:pPr>
              <w:pStyle w:val="11"/>
            </w:pPr>
            <w:r>
              <w:t>12月底</w:t>
            </w:r>
          </w:p>
        </w:tc>
      </w:tr>
      <w:tr w14:paraId="6D728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0C9FA9"/>
        </w:tc>
        <w:tc>
          <w:tcPr>
            <w:tcW w:w="5103" w:type="dxa"/>
            <w:gridSpan w:val="2"/>
            <w:vAlign w:val="center"/>
          </w:tcPr>
          <w:p w14:paraId="1736298C">
            <w:pPr>
              <w:pStyle w:val="12"/>
            </w:pPr>
            <w:r>
              <w:t xml:space="preserve"> </w:t>
            </w:r>
          </w:p>
        </w:tc>
        <w:tc>
          <w:tcPr>
            <w:tcW w:w="2835" w:type="dxa"/>
            <w:vAlign w:val="center"/>
          </w:tcPr>
          <w:p w14:paraId="6BF564FF">
            <w:pPr>
              <w:pStyle w:val="12"/>
            </w:pPr>
            <w:r>
              <w:t xml:space="preserve"> </w:t>
            </w:r>
          </w:p>
        </w:tc>
        <w:tc>
          <w:tcPr>
            <w:tcW w:w="2551" w:type="dxa"/>
            <w:vAlign w:val="center"/>
          </w:tcPr>
          <w:p w14:paraId="3C7C05CE">
            <w:pPr>
              <w:pStyle w:val="12"/>
            </w:pPr>
            <w:r>
              <w:t>100%</w:t>
            </w:r>
          </w:p>
        </w:tc>
        <w:tc>
          <w:tcPr>
            <w:tcW w:w="3544" w:type="dxa"/>
            <w:gridSpan w:val="2"/>
            <w:vAlign w:val="center"/>
          </w:tcPr>
          <w:p w14:paraId="178FE9F9">
            <w:pPr>
              <w:pStyle w:val="12"/>
            </w:pPr>
            <w:r>
              <w:t xml:space="preserve"> </w:t>
            </w:r>
          </w:p>
        </w:tc>
      </w:tr>
      <w:tr w14:paraId="5D883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7F911">
            <w:pPr>
              <w:pStyle w:val="11"/>
            </w:pPr>
            <w:r>
              <w:t>绩效目标</w:t>
            </w:r>
          </w:p>
        </w:tc>
        <w:tc>
          <w:tcPr>
            <w:tcW w:w="14033" w:type="dxa"/>
            <w:gridSpan w:val="6"/>
            <w:vAlign w:val="center"/>
          </w:tcPr>
          <w:p w14:paraId="125F2EC7">
            <w:pPr>
              <w:pStyle w:val="13"/>
            </w:pPr>
          </w:p>
        </w:tc>
      </w:tr>
    </w:tbl>
    <w:p w14:paraId="4AB43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E8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09AD1">
            <w:pPr>
              <w:pStyle w:val="11"/>
            </w:pPr>
            <w:r>
              <w:t>一级指标</w:t>
            </w:r>
          </w:p>
        </w:tc>
        <w:tc>
          <w:tcPr>
            <w:tcW w:w="2268" w:type="dxa"/>
            <w:vAlign w:val="center"/>
          </w:tcPr>
          <w:p w14:paraId="6ECD689C">
            <w:pPr>
              <w:pStyle w:val="11"/>
            </w:pPr>
            <w:r>
              <w:t>二级指标</w:t>
            </w:r>
          </w:p>
        </w:tc>
        <w:tc>
          <w:tcPr>
            <w:tcW w:w="2835" w:type="dxa"/>
            <w:vAlign w:val="center"/>
          </w:tcPr>
          <w:p w14:paraId="1DC6D9CE">
            <w:pPr>
              <w:pStyle w:val="11"/>
            </w:pPr>
            <w:r>
              <w:t>三级指标</w:t>
            </w:r>
          </w:p>
        </w:tc>
        <w:tc>
          <w:tcPr>
            <w:tcW w:w="5386" w:type="dxa"/>
            <w:gridSpan w:val="2"/>
            <w:vAlign w:val="center"/>
          </w:tcPr>
          <w:p w14:paraId="1B6536F4">
            <w:pPr>
              <w:pStyle w:val="11"/>
            </w:pPr>
            <w:r>
              <w:t>绩效指标描述</w:t>
            </w:r>
          </w:p>
        </w:tc>
        <w:tc>
          <w:tcPr>
            <w:tcW w:w="2268" w:type="dxa"/>
            <w:vAlign w:val="center"/>
          </w:tcPr>
          <w:p w14:paraId="57DB0C01">
            <w:pPr>
              <w:pStyle w:val="11"/>
            </w:pPr>
            <w:r>
              <w:t>指标值</w:t>
            </w:r>
          </w:p>
        </w:tc>
        <w:tc>
          <w:tcPr>
            <w:tcW w:w="1276" w:type="dxa"/>
            <w:vAlign w:val="center"/>
          </w:tcPr>
          <w:p w14:paraId="6ED7C442">
            <w:pPr>
              <w:pStyle w:val="11"/>
            </w:pPr>
            <w:r>
              <w:t>指标值确定依据</w:t>
            </w:r>
          </w:p>
        </w:tc>
      </w:tr>
      <w:tr w14:paraId="34BF0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EBC3E3">
            <w:pPr>
              <w:pStyle w:val="12"/>
            </w:pPr>
          </w:p>
        </w:tc>
        <w:tc>
          <w:tcPr>
            <w:tcW w:w="2268" w:type="dxa"/>
            <w:vAlign w:val="center"/>
          </w:tcPr>
          <w:p w14:paraId="6CDFBC4B">
            <w:pPr>
              <w:pStyle w:val="13"/>
            </w:pPr>
          </w:p>
        </w:tc>
        <w:tc>
          <w:tcPr>
            <w:tcW w:w="2835" w:type="dxa"/>
            <w:vAlign w:val="center"/>
          </w:tcPr>
          <w:p w14:paraId="0FBA6A03">
            <w:pPr>
              <w:pStyle w:val="13"/>
            </w:pPr>
          </w:p>
        </w:tc>
        <w:tc>
          <w:tcPr>
            <w:tcW w:w="2835" w:type="dxa"/>
            <w:vAlign w:val="center"/>
          </w:tcPr>
          <w:p w14:paraId="55671B62">
            <w:pPr>
              <w:pStyle w:val="13"/>
            </w:pPr>
          </w:p>
        </w:tc>
        <w:tc>
          <w:tcPr>
            <w:tcW w:w="2551" w:type="dxa"/>
            <w:vAlign w:val="center"/>
          </w:tcPr>
          <w:p w14:paraId="3BF58F90">
            <w:pPr>
              <w:pStyle w:val="13"/>
            </w:pPr>
          </w:p>
        </w:tc>
        <w:tc>
          <w:tcPr>
            <w:tcW w:w="2268" w:type="dxa"/>
            <w:vAlign w:val="center"/>
          </w:tcPr>
          <w:p w14:paraId="26086F5E">
            <w:pPr>
              <w:pStyle w:val="13"/>
            </w:pPr>
          </w:p>
        </w:tc>
        <w:tc>
          <w:tcPr>
            <w:tcW w:w="1276" w:type="dxa"/>
            <w:vAlign w:val="center"/>
          </w:tcPr>
          <w:p w14:paraId="5F62601F">
            <w:pPr>
              <w:pStyle w:val="13"/>
            </w:pPr>
          </w:p>
        </w:tc>
      </w:tr>
    </w:tbl>
    <w:p w14:paraId="2F64BC14">
      <w:pPr>
        <w:sectPr>
          <w:pgSz w:w="16840" w:h="11900" w:orient="landscape"/>
          <w:pgMar w:top="1361" w:right="1020" w:bottom="1134" w:left="1020" w:header="720" w:footer="720" w:gutter="0"/>
          <w:cols w:space="720" w:num="1"/>
        </w:sectPr>
      </w:pPr>
    </w:p>
    <w:p w14:paraId="303E5341">
      <w:pPr>
        <w:spacing w:before="0" w:after="0"/>
        <w:ind w:firstLine="560"/>
        <w:jc w:val="left"/>
        <w:outlineLvl w:val="9"/>
      </w:pPr>
      <w:r>
        <w:rPr>
          <w:rFonts w:ascii="方正仿宋_GBK" w:hAnsi="方正仿宋_GBK" w:eastAsia="方正仿宋_GBK" w:cs="方正仿宋_GBK"/>
          <w:b/>
          <w:color w:val="000000"/>
          <w:sz w:val="28"/>
        </w:rPr>
        <w:t>109、冀财教[2024]67号/中央/2024年义教经费/新星学校公用经费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7F77B001">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72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C1623">
            <w:pPr>
              <w:pStyle w:val="14"/>
            </w:pPr>
            <w:r>
              <w:t>单位：万元</w:t>
            </w:r>
          </w:p>
        </w:tc>
      </w:tr>
      <w:tr w14:paraId="23DA3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D3FE79">
            <w:pPr>
              <w:pStyle w:val="11"/>
            </w:pPr>
            <w:r>
              <w:t>项目编码</w:t>
            </w:r>
          </w:p>
        </w:tc>
        <w:tc>
          <w:tcPr>
            <w:tcW w:w="5103" w:type="dxa"/>
            <w:gridSpan w:val="2"/>
            <w:vAlign w:val="center"/>
          </w:tcPr>
          <w:p w14:paraId="773305A3">
            <w:pPr>
              <w:pStyle w:val="13"/>
            </w:pPr>
            <w:r>
              <w:t>13052524P00000611443F</w:t>
            </w:r>
          </w:p>
        </w:tc>
        <w:tc>
          <w:tcPr>
            <w:tcW w:w="2835" w:type="dxa"/>
            <w:vAlign w:val="center"/>
          </w:tcPr>
          <w:p w14:paraId="3993E923">
            <w:pPr>
              <w:pStyle w:val="11"/>
            </w:pPr>
            <w:r>
              <w:t>项目名称</w:t>
            </w:r>
          </w:p>
        </w:tc>
        <w:tc>
          <w:tcPr>
            <w:tcW w:w="6095" w:type="dxa"/>
            <w:gridSpan w:val="3"/>
            <w:vAlign w:val="center"/>
          </w:tcPr>
          <w:p w14:paraId="5F9974FD">
            <w:pPr>
              <w:pStyle w:val="13"/>
            </w:pPr>
            <w:r>
              <w:t>冀财教[2024]67号/中央/2024年义教经费/新星学校公用经费</w:t>
            </w:r>
            <w:r>
              <w:tab/>
            </w:r>
            <w:r>
              <w:tab/>
            </w:r>
          </w:p>
          <w:p w14:paraId="73573854">
            <w:pPr>
              <w:pStyle w:val="13"/>
            </w:pPr>
          </w:p>
        </w:tc>
      </w:tr>
      <w:tr w14:paraId="4E4F1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EFF3C">
            <w:pPr>
              <w:pStyle w:val="11"/>
            </w:pPr>
            <w:r>
              <w:t>预算规模及资金用途</w:t>
            </w:r>
          </w:p>
        </w:tc>
        <w:tc>
          <w:tcPr>
            <w:tcW w:w="2268" w:type="dxa"/>
            <w:vAlign w:val="center"/>
          </w:tcPr>
          <w:p w14:paraId="65205D9D">
            <w:pPr>
              <w:pStyle w:val="11"/>
            </w:pPr>
            <w:r>
              <w:t>预算数</w:t>
            </w:r>
          </w:p>
        </w:tc>
        <w:tc>
          <w:tcPr>
            <w:tcW w:w="2835" w:type="dxa"/>
            <w:vAlign w:val="center"/>
          </w:tcPr>
          <w:p w14:paraId="1E8906DF">
            <w:pPr>
              <w:pStyle w:val="13"/>
            </w:pPr>
            <w:r>
              <w:t>0.35</w:t>
            </w:r>
          </w:p>
        </w:tc>
        <w:tc>
          <w:tcPr>
            <w:tcW w:w="2835" w:type="dxa"/>
            <w:vAlign w:val="center"/>
          </w:tcPr>
          <w:p w14:paraId="78461DB8">
            <w:pPr>
              <w:pStyle w:val="11"/>
            </w:pPr>
            <w:r>
              <w:t>其中：财政    资金</w:t>
            </w:r>
          </w:p>
        </w:tc>
        <w:tc>
          <w:tcPr>
            <w:tcW w:w="2551" w:type="dxa"/>
            <w:vAlign w:val="center"/>
          </w:tcPr>
          <w:p w14:paraId="56B27988">
            <w:pPr>
              <w:pStyle w:val="13"/>
            </w:pPr>
            <w:r>
              <w:t>0.35</w:t>
            </w:r>
          </w:p>
        </w:tc>
        <w:tc>
          <w:tcPr>
            <w:tcW w:w="2268" w:type="dxa"/>
            <w:vAlign w:val="center"/>
          </w:tcPr>
          <w:p w14:paraId="380C5E69">
            <w:pPr>
              <w:pStyle w:val="11"/>
            </w:pPr>
            <w:r>
              <w:t>其他资金</w:t>
            </w:r>
          </w:p>
        </w:tc>
        <w:tc>
          <w:tcPr>
            <w:tcW w:w="1276" w:type="dxa"/>
            <w:vAlign w:val="center"/>
          </w:tcPr>
          <w:p w14:paraId="086E7F0C">
            <w:pPr>
              <w:pStyle w:val="13"/>
            </w:pPr>
            <w:r>
              <w:t xml:space="preserve"> </w:t>
            </w:r>
          </w:p>
        </w:tc>
      </w:tr>
      <w:tr w14:paraId="7E0CA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D97CC8"/>
        </w:tc>
        <w:tc>
          <w:tcPr>
            <w:tcW w:w="14033" w:type="dxa"/>
            <w:gridSpan w:val="6"/>
            <w:vAlign w:val="center"/>
          </w:tcPr>
          <w:p w14:paraId="7AB3FD90">
            <w:pPr>
              <w:pStyle w:val="13"/>
            </w:pPr>
            <w:r>
              <w:t>保障义务教育学校正常运转，完成教育教学活动和其他日常工作任务等方面的费用支出</w:t>
            </w:r>
          </w:p>
        </w:tc>
      </w:tr>
      <w:tr w14:paraId="1B281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3BDA9">
            <w:pPr>
              <w:pStyle w:val="11"/>
            </w:pPr>
            <w:r>
              <w:t>资金支出计划（%）</w:t>
            </w:r>
          </w:p>
        </w:tc>
        <w:tc>
          <w:tcPr>
            <w:tcW w:w="5103" w:type="dxa"/>
            <w:gridSpan w:val="2"/>
            <w:vAlign w:val="center"/>
          </w:tcPr>
          <w:p w14:paraId="019B57D0">
            <w:pPr>
              <w:pStyle w:val="11"/>
            </w:pPr>
            <w:r>
              <w:t>3月底</w:t>
            </w:r>
          </w:p>
        </w:tc>
        <w:tc>
          <w:tcPr>
            <w:tcW w:w="2835" w:type="dxa"/>
            <w:vAlign w:val="center"/>
          </w:tcPr>
          <w:p w14:paraId="1827175C">
            <w:pPr>
              <w:pStyle w:val="11"/>
            </w:pPr>
            <w:r>
              <w:t>6月底</w:t>
            </w:r>
          </w:p>
        </w:tc>
        <w:tc>
          <w:tcPr>
            <w:tcW w:w="2551" w:type="dxa"/>
            <w:vAlign w:val="center"/>
          </w:tcPr>
          <w:p w14:paraId="4BF4A646">
            <w:pPr>
              <w:pStyle w:val="11"/>
            </w:pPr>
            <w:r>
              <w:t>10月底</w:t>
            </w:r>
          </w:p>
        </w:tc>
        <w:tc>
          <w:tcPr>
            <w:tcW w:w="3544" w:type="dxa"/>
            <w:gridSpan w:val="2"/>
            <w:vAlign w:val="center"/>
          </w:tcPr>
          <w:p w14:paraId="3C97985E">
            <w:pPr>
              <w:pStyle w:val="11"/>
            </w:pPr>
            <w:r>
              <w:t>12月底</w:t>
            </w:r>
          </w:p>
        </w:tc>
      </w:tr>
      <w:tr w14:paraId="01F91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92A01"/>
        </w:tc>
        <w:tc>
          <w:tcPr>
            <w:tcW w:w="5103" w:type="dxa"/>
            <w:gridSpan w:val="2"/>
            <w:vAlign w:val="center"/>
          </w:tcPr>
          <w:p w14:paraId="4D19ACC6">
            <w:pPr>
              <w:pStyle w:val="12"/>
            </w:pPr>
            <w:r>
              <w:t xml:space="preserve"> </w:t>
            </w:r>
          </w:p>
        </w:tc>
        <w:tc>
          <w:tcPr>
            <w:tcW w:w="2835" w:type="dxa"/>
            <w:vAlign w:val="center"/>
          </w:tcPr>
          <w:p w14:paraId="6F50D5B8">
            <w:pPr>
              <w:pStyle w:val="12"/>
            </w:pPr>
            <w:r>
              <w:t xml:space="preserve"> </w:t>
            </w:r>
          </w:p>
        </w:tc>
        <w:tc>
          <w:tcPr>
            <w:tcW w:w="2551" w:type="dxa"/>
            <w:vAlign w:val="center"/>
          </w:tcPr>
          <w:p w14:paraId="37623D8E">
            <w:pPr>
              <w:pStyle w:val="12"/>
            </w:pPr>
            <w:r>
              <w:t>100%</w:t>
            </w:r>
          </w:p>
        </w:tc>
        <w:tc>
          <w:tcPr>
            <w:tcW w:w="3544" w:type="dxa"/>
            <w:gridSpan w:val="2"/>
            <w:vAlign w:val="center"/>
          </w:tcPr>
          <w:p w14:paraId="7F9376FB">
            <w:pPr>
              <w:pStyle w:val="12"/>
            </w:pPr>
            <w:r>
              <w:t xml:space="preserve"> </w:t>
            </w:r>
          </w:p>
        </w:tc>
      </w:tr>
      <w:tr w14:paraId="7566A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C6DE9F">
            <w:pPr>
              <w:pStyle w:val="11"/>
            </w:pPr>
            <w:r>
              <w:t>绩效目标</w:t>
            </w:r>
          </w:p>
        </w:tc>
        <w:tc>
          <w:tcPr>
            <w:tcW w:w="14033" w:type="dxa"/>
            <w:gridSpan w:val="6"/>
            <w:vAlign w:val="center"/>
          </w:tcPr>
          <w:p w14:paraId="5CC00861">
            <w:pPr>
              <w:pStyle w:val="13"/>
            </w:pPr>
          </w:p>
        </w:tc>
      </w:tr>
    </w:tbl>
    <w:p w14:paraId="153952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1D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93C1C">
            <w:pPr>
              <w:pStyle w:val="11"/>
            </w:pPr>
            <w:r>
              <w:t>一级指标</w:t>
            </w:r>
          </w:p>
        </w:tc>
        <w:tc>
          <w:tcPr>
            <w:tcW w:w="2268" w:type="dxa"/>
            <w:vAlign w:val="center"/>
          </w:tcPr>
          <w:p w14:paraId="46CE8443">
            <w:pPr>
              <w:pStyle w:val="11"/>
            </w:pPr>
            <w:r>
              <w:t>二级指标</w:t>
            </w:r>
          </w:p>
        </w:tc>
        <w:tc>
          <w:tcPr>
            <w:tcW w:w="2835" w:type="dxa"/>
            <w:vAlign w:val="center"/>
          </w:tcPr>
          <w:p w14:paraId="042B1FF0">
            <w:pPr>
              <w:pStyle w:val="11"/>
            </w:pPr>
            <w:r>
              <w:t>三级指标</w:t>
            </w:r>
          </w:p>
        </w:tc>
        <w:tc>
          <w:tcPr>
            <w:tcW w:w="5386" w:type="dxa"/>
            <w:gridSpan w:val="2"/>
            <w:vAlign w:val="center"/>
          </w:tcPr>
          <w:p w14:paraId="6095E396">
            <w:pPr>
              <w:pStyle w:val="11"/>
            </w:pPr>
            <w:r>
              <w:t>绩效指标描述</w:t>
            </w:r>
          </w:p>
        </w:tc>
        <w:tc>
          <w:tcPr>
            <w:tcW w:w="2268" w:type="dxa"/>
            <w:vAlign w:val="center"/>
          </w:tcPr>
          <w:p w14:paraId="29DA927D">
            <w:pPr>
              <w:pStyle w:val="11"/>
            </w:pPr>
            <w:r>
              <w:t>指标值</w:t>
            </w:r>
          </w:p>
        </w:tc>
        <w:tc>
          <w:tcPr>
            <w:tcW w:w="1276" w:type="dxa"/>
            <w:vAlign w:val="center"/>
          </w:tcPr>
          <w:p w14:paraId="260AB113">
            <w:pPr>
              <w:pStyle w:val="11"/>
            </w:pPr>
            <w:r>
              <w:t>指标值确定依据</w:t>
            </w:r>
          </w:p>
        </w:tc>
      </w:tr>
      <w:tr w14:paraId="50C98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3D7F37">
            <w:pPr>
              <w:pStyle w:val="12"/>
            </w:pPr>
          </w:p>
        </w:tc>
        <w:tc>
          <w:tcPr>
            <w:tcW w:w="2268" w:type="dxa"/>
            <w:vAlign w:val="center"/>
          </w:tcPr>
          <w:p w14:paraId="71FC430D">
            <w:pPr>
              <w:pStyle w:val="13"/>
            </w:pPr>
          </w:p>
        </w:tc>
        <w:tc>
          <w:tcPr>
            <w:tcW w:w="2835" w:type="dxa"/>
            <w:vAlign w:val="center"/>
          </w:tcPr>
          <w:p w14:paraId="5CB18489">
            <w:pPr>
              <w:pStyle w:val="13"/>
            </w:pPr>
          </w:p>
        </w:tc>
        <w:tc>
          <w:tcPr>
            <w:tcW w:w="2835" w:type="dxa"/>
            <w:vAlign w:val="center"/>
          </w:tcPr>
          <w:p w14:paraId="2CBC4E26">
            <w:pPr>
              <w:pStyle w:val="13"/>
            </w:pPr>
          </w:p>
        </w:tc>
        <w:tc>
          <w:tcPr>
            <w:tcW w:w="2551" w:type="dxa"/>
            <w:vAlign w:val="center"/>
          </w:tcPr>
          <w:p w14:paraId="1F734AB6">
            <w:pPr>
              <w:pStyle w:val="13"/>
            </w:pPr>
          </w:p>
        </w:tc>
        <w:tc>
          <w:tcPr>
            <w:tcW w:w="2268" w:type="dxa"/>
            <w:vAlign w:val="center"/>
          </w:tcPr>
          <w:p w14:paraId="0687AC4D">
            <w:pPr>
              <w:pStyle w:val="13"/>
            </w:pPr>
          </w:p>
        </w:tc>
        <w:tc>
          <w:tcPr>
            <w:tcW w:w="1276" w:type="dxa"/>
            <w:vAlign w:val="center"/>
          </w:tcPr>
          <w:p w14:paraId="44D77D6F">
            <w:pPr>
              <w:pStyle w:val="13"/>
            </w:pPr>
          </w:p>
        </w:tc>
      </w:tr>
    </w:tbl>
    <w:p w14:paraId="5C865947">
      <w:pPr>
        <w:sectPr>
          <w:pgSz w:w="16840" w:h="11900" w:orient="landscape"/>
          <w:pgMar w:top="1361" w:right="1020" w:bottom="1134" w:left="1020" w:header="720" w:footer="720" w:gutter="0"/>
          <w:cols w:space="720" w:num="1"/>
        </w:sectPr>
      </w:pPr>
    </w:p>
    <w:p w14:paraId="20D08B56">
      <w:pPr>
        <w:spacing w:before="0" w:after="0"/>
        <w:ind w:firstLine="560"/>
        <w:jc w:val="left"/>
        <w:outlineLvl w:val="9"/>
      </w:pPr>
      <w:r>
        <w:rPr>
          <w:rFonts w:ascii="方正仿宋_GBK" w:hAnsi="方正仿宋_GBK" w:eastAsia="方正仿宋_GBK" w:cs="方正仿宋_GBK"/>
          <w:b/>
          <w:color w:val="000000"/>
          <w:sz w:val="28"/>
        </w:rPr>
        <w:t>110、冀财教[2024]67号/中央/2024年义教经费/杨村东方小学公用经费绩效目标表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06B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EA470">
            <w:pPr>
              <w:pStyle w:val="14"/>
            </w:pPr>
            <w:r>
              <w:t>单位：万元</w:t>
            </w:r>
          </w:p>
        </w:tc>
      </w:tr>
      <w:tr w14:paraId="3835E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9E68A6">
            <w:pPr>
              <w:pStyle w:val="11"/>
            </w:pPr>
            <w:r>
              <w:t>项目编码</w:t>
            </w:r>
          </w:p>
        </w:tc>
        <w:tc>
          <w:tcPr>
            <w:tcW w:w="5103" w:type="dxa"/>
            <w:gridSpan w:val="2"/>
            <w:vAlign w:val="center"/>
          </w:tcPr>
          <w:p w14:paraId="5C401F20">
            <w:pPr>
              <w:pStyle w:val="13"/>
            </w:pPr>
            <w:r>
              <w:t>13052524P00000611450G</w:t>
            </w:r>
          </w:p>
        </w:tc>
        <w:tc>
          <w:tcPr>
            <w:tcW w:w="2835" w:type="dxa"/>
            <w:vAlign w:val="center"/>
          </w:tcPr>
          <w:p w14:paraId="2782ADC0">
            <w:pPr>
              <w:pStyle w:val="11"/>
            </w:pPr>
            <w:r>
              <w:t>项目名称</w:t>
            </w:r>
          </w:p>
        </w:tc>
        <w:tc>
          <w:tcPr>
            <w:tcW w:w="6095" w:type="dxa"/>
            <w:gridSpan w:val="3"/>
            <w:vAlign w:val="center"/>
          </w:tcPr>
          <w:p w14:paraId="61702868">
            <w:pPr>
              <w:pStyle w:val="13"/>
            </w:pPr>
            <w:r>
              <w:t>冀财教[2024]67号/中央/2024年义教经费/杨村东方小学公用经费</w:t>
            </w:r>
          </w:p>
        </w:tc>
      </w:tr>
      <w:tr w14:paraId="08954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217E0">
            <w:pPr>
              <w:pStyle w:val="11"/>
            </w:pPr>
            <w:r>
              <w:t>预算规模及资金用途</w:t>
            </w:r>
          </w:p>
        </w:tc>
        <w:tc>
          <w:tcPr>
            <w:tcW w:w="2268" w:type="dxa"/>
            <w:vAlign w:val="center"/>
          </w:tcPr>
          <w:p w14:paraId="7F09F5E3">
            <w:pPr>
              <w:pStyle w:val="11"/>
            </w:pPr>
            <w:r>
              <w:t>预算数</w:t>
            </w:r>
          </w:p>
        </w:tc>
        <w:tc>
          <w:tcPr>
            <w:tcW w:w="2835" w:type="dxa"/>
            <w:vAlign w:val="center"/>
          </w:tcPr>
          <w:p w14:paraId="2E89E017">
            <w:pPr>
              <w:pStyle w:val="13"/>
            </w:pPr>
            <w:r>
              <w:t>0.15</w:t>
            </w:r>
          </w:p>
        </w:tc>
        <w:tc>
          <w:tcPr>
            <w:tcW w:w="2835" w:type="dxa"/>
            <w:vAlign w:val="center"/>
          </w:tcPr>
          <w:p w14:paraId="25FFEADD">
            <w:pPr>
              <w:pStyle w:val="11"/>
            </w:pPr>
            <w:r>
              <w:t>其中：财政    资金</w:t>
            </w:r>
          </w:p>
        </w:tc>
        <w:tc>
          <w:tcPr>
            <w:tcW w:w="2551" w:type="dxa"/>
            <w:vAlign w:val="center"/>
          </w:tcPr>
          <w:p w14:paraId="1346CC09">
            <w:pPr>
              <w:pStyle w:val="13"/>
            </w:pPr>
            <w:r>
              <w:t>0.15</w:t>
            </w:r>
          </w:p>
        </w:tc>
        <w:tc>
          <w:tcPr>
            <w:tcW w:w="2268" w:type="dxa"/>
            <w:vAlign w:val="center"/>
          </w:tcPr>
          <w:p w14:paraId="4B7307B9">
            <w:pPr>
              <w:pStyle w:val="11"/>
            </w:pPr>
            <w:r>
              <w:t>其他资金</w:t>
            </w:r>
          </w:p>
        </w:tc>
        <w:tc>
          <w:tcPr>
            <w:tcW w:w="1276" w:type="dxa"/>
            <w:vAlign w:val="center"/>
          </w:tcPr>
          <w:p w14:paraId="2FBFC2B0">
            <w:pPr>
              <w:pStyle w:val="13"/>
            </w:pPr>
            <w:r>
              <w:t xml:space="preserve"> </w:t>
            </w:r>
          </w:p>
        </w:tc>
      </w:tr>
      <w:tr w14:paraId="6A5DF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3B0B4"/>
        </w:tc>
        <w:tc>
          <w:tcPr>
            <w:tcW w:w="14033" w:type="dxa"/>
            <w:gridSpan w:val="6"/>
            <w:vAlign w:val="center"/>
          </w:tcPr>
          <w:p w14:paraId="62145538">
            <w:pPr>
              <w:pStyle w:val="13"/>
            </w:pPr>
            <w:r>
              <w:t>保障义务教育学校正常运转，完成教育教学活动和其他日常工作任务等方面的费用支出。</w:t>
            </w:r>
          </w:p>
          <w:p w14:paraId="451E1D38">
            <w:pPr>
              <w:pStyle w:val="13"/>
            </w:pPr>
          </w:p>
        </w:tc>
      </w:tr>
      <w:tr w14:paraId="7C3D7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DCD4D">
            <w:pPr>
              <w:pStyle w:val="11"/>
            </w:pPr>
            <w:r>
              <w:t>资金支出计划（%）</w:t>
            </w:r>
          </w:p>
        </w:tc>
        <w:tc>
          <w:tcPr>
            <w:tcW w:w="5103" w:type="dxa"/>
            <w:gridSpan w:val="2"/>
            <w:vAlign w:val="center"/>
          </w:tcPr>
          <w:p w14:paraId="0754835E">
            <w:pPr>
              <w:pStyle w:val="11"/>
            </w:pPr>
            <w:r>
              <w:t>3月底</w:t>
            </w:r>
          </w:p>
        </w:tc>
        <w:tc>
          <w:tcPr>
            <w:tcW w:w="2835" w:type="dxa"/>
            <w:vAlign w:val="center"/>
          </w:tcPr>
          <w:p w14:paraId="198F4DA0">
            <w:pPr>
              <w:pStyle w:val="11"/>
            </w:pPr>
            <w:r>
              <w:t>6月底</w:t>
            </w:r>
          </w:p>
        </w:tc>
        <w:tc>
          <w:tcPr>
            <w:tcW w:w="2551" w:type="dxa"/>
            <w:vAlign w:val="center"/>
          </w:tcPr>
          <w:p w14:paraId="543CB9E9">
            <w:pPr>
              <w:pStyle w:val="11"/>
            </w:pPr>
            <w:r>
              <w:t>10月底</w:t>
            </w:r>
          </w:p>
        </w:tc>
        <w:tc>
          <w:tcPr>
            <w:tcW w:w="3544" w:type="dxa"/>
            <w:gridSpan w:val="2"/>
            <w:vAlign w:val="center"/>
          </w:tcPr>
          <w:p w14:paraId="39627A0E">
            <w:pPr>
              <w:pStyle w:val="11"/>
            </w:pPr>
            <w:r>
              <w:t>12月底</w:t>
            </w:r>
          </w:p>
        </w:tc>
      </w:tr>
      <w:tr w14:paraId="636E0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9430BE"/>
        </w:tc>
        <w:tc>
          <w:tcPr>
            <w:tcW w:w="5103" w:type="dxa"/>
            <w:gridSpan w:val="2"/>
            <w:vAlign w:val="center"/>
          </w:tcPr>
          <w:p w14:paraId="56A0AFC1">
            <w:pPr>
              <w:pStyle w:val="12"/>
            </w:pPr>
            <w:r>
              <w:t xml:space="preserve"> </w:t>
            </w:r>
          </w:p>
        </w:tc>
        <w:tc>
          <w:tcPr>
            <w:tcW w:w="2835" w:type="dxa"/>
            <w:vAlign w:val="center"/>
          </w:tcPr>
          <w:p w14:paraId="1B9AEE02">
            <w:pPr>
              <w:pStyle w:val="12"/>
            </w:pPr>
            <w:r>
              <w:t xml:space="preserve"> </w:t>
            </w:r>
          </w:p>
        </w:tc>
        <w:tc>
          <w:tcPr>
            <w:tcW w:w="2551" w:type="dxa"/>
            <w:vAlign w:val="center"/>
          </w:tcPr>
          <w:p w14:paraId="4BEE7976">
            <w:pPr>
              <w:pStyle w:val="12"/>
            </w:pPr>
            <w:r>
              <w:t>100%</w:t>
            </w:r>
          </w:p>
        </w:tc>
        <w:tc>
          <w:tcPr>
            <w:tcW w:w="3544" w:type="dxa"/>
            <w:gridSpan w:val="2"/>
            <w:vAlign w:val="center"/>
          </w:tcPr>
          <w:p w14:paraId="4CB52559">
            <w:pPr>
              <w:pStyle w:val="12"/>
            </w:pPr>
            <w:r>
              <w:t>100%</w:t>
            </w:r>
          </w:p>
        </w:tc>
      </w:tr>
      <w:tr w14:paraId="6ABE8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2205C8">
            <w:pPr>
              <w:pStyle w:val="11"/>
            </w:pPr>
            <w:r>
              <w:t>绩效目标</w:t>
            </w:r>
          </w:p>
        </w:tc>
        <w:tc>
          <w:tcPr>
            <w:tcW w:w="14033" w:type="dxa"/>
            <w:gridSpan w:val="6"/>
            <w:vAlign w:val="center"/>
          </w:tcPr>
          <w:p w14:paraId="5D4A8DBC">
            <w:pPr>
              <w:pStyle w:val="13"/>
            </w:pPr>
          </w:p>
        </w:tc>
      </w:tr>
    </w:tbl>
    <w:p w14:paraId="197971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A8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7E412">
            <w:pPr>
              <w:pStyle w:val="11"/>
            </w:pPr>
            <w:r>
              <w:t>一级指标</w:t>
            </w:r>
          </w:p>
        </w:tc>
        <w:tc>
          <w:tcPr>
            <w:tcW w:w="2268" w:type="dxa"/>
            <w:vAlign w:val="center"/>
          </w:tcPr>
          <w:p w14:paraId="4FE59D44">
            <w:pPr>
              <w:pStyle w:val="11"/>
            </w:pPr>
            <w:r>
              <w:t>二级指标</w:t>
            </w:r>
          </w:p>
        </w:tc>
        <w:tc>
          <w:tcPr>
            <w:tcW w:w="2835" w:type="dxa"/>
            <w:vAlign w:val="center"/>
          </w:tcPr>
          <w:p w14:paraId="708CFA00">
            <w:pPr>
              <w:pStyle w:val="11"/>
            </w:pPr>
            <w:r>
              <w:t>三级指标</w:t>
            </w:r>
          </w:p>
        </w:tc>
        <w:tc>
          <w:tcPr>
            <w:tcW w:w="5386" w:type="dxa"/>
            <w:gridSpan w:val="2"/>
            <w:vAlign w:val="center"/>
          </w:tcPr>
          <w:p w14:paraId="2554FF07">
            <w:pPr>
              <w:pStyle w:val="11"/>
            </w:pPr>
            <w:r>
              <w:t>绩效指标描述</w:t>
            </w:r>
          </w:p>
        </w:tc>
        <w:tc>
          <w:tcPr>
            <w:tcW w:w="2268" w:type="dxa"/>
            <w:vAlign w:val="center"/>
          </w:tcPr>
          <w:p w14:paraId="18E90241">
            <w:pPr>
              <w:pStyle w:val="11"/>
            </w:pPr>
            <w:r>
              <w:t>指标值</w:t>
            </w:r>
          </w:p>
        </w:tc>
        <w:tc>
          <w:tcPr>
            <w:tcW w:w="1276" w:type="dxa"/>
            <w:vAlign w:val="center"/>
          </w:tcPr>
          <w:p w14:paraId="77073601">
            <w:pPr>
              <w:pStyle w:val="11"/>
            </w:pPr>
            <w:r>
              <w:t>指标值确定依据</w:t>
            </w:r>
          </w:p>
        </w:tc>
      </w:tr>
      <w:tr w14:paraId="7B375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6190C2">
            <w:pPr>
              <w:pStyle w:val="12"/>
            </w:pPr>
          </w:p>
        </w:tc>
        <w:tc>
          <w:tcPr>
            <w:tcW w:w="2268" w:type="dxa"/>
            <w:vAlign w:val="center"/>
          </w:tcPr>
          <w:p w14:paraId="41B683CD">
            <w:pPr>
              <w:pStyle w:val="13"/>
            </w:pPr>
          </w:p>
        </w:tc>
        <w:tc>
          <w:tcPr>
            <w:tcW w:w="2835" w:type="dxa"/>
            <w:vAlign w:val="center"/>
          </w:tcPr>
          <w:p w14:paraId="381066B6">
            <w:pPr>
              <w:pStyle w:val="13"/>
            </w:pPr>
          </w:p>
        </w:tc>
        <w:tc>
          <w:tcPr>
            <w:tcW w:w="2835" w:type="dxa"/>
            <w:vAlign w:val="center"/>
          </w:tcPr>
          <w:p w14:paraId="31A4B58C">
            <w:pPr>
              <w:pStyle w:val="13"/>
            </w:pPr>
          </w:p>
        </w:tc>
        <w:tc>
          <w:tcPr>
            <w:tcW w:w="2551" w:type="dxa"/>
            <w:vAlign w:val="center"/>
          </w:tcPr>
          <w:p w14:paraId="2638007A">
            <w:pPr>
              <w:pStyle w:val="13"/>
            </w:pPr>
          </w:p>
        </w:tc>
        <w:tc>
          <w:tcPr>
            <w:tcW w:w="2268" w:type="dxa"/>
            <w:vAlign w:val="center"/>
          </w:tcPr>
          <w:p w14:paraId="5CE3477D">
            <w:pPr>
              <w:pStyle w:val="13"/>
            </w:pPr>
          </w:p>
        </w:tc>
        <w:tc>
          <w:tcPr>
            <w:tcW w:w="1276" w:type="dxa"/>
            <w:vAlign w:val="center"/>
          </w:tcPr>
          <w:p w14:paraId="77FA2BEB">
            <w:pPr>
              <w:pStyle w:val="13"/>
            </w:pPr>
          </w:p>
        </w:tc>
      </w:tr>
    </w:tbl>
    <w:p w14:paraId="2630137A">
      <w:pPr>
        <w:sectPr>
          <w:pgSz w:w="16840" w:h="11900" w:orient="landscape"/>
          <w:pgMar w:top="1361" w:right="1020" w:bottom="1134" w:left="1020" w:header="720" w:footer="720" w:gutter="0"/>
          <w:cols w:space="720" w:num="1"/>
        </w:sectPr>
      </w:pPr>
    </w:p>
    <w:p w14:paraId="7DD6BF55">
      <w:pPr>
        <w:spacing w:before="0" w:after="0"/>
        <w:ind w:firstLine="560"/>
        <w:jc w:val="left"/>
        <w:outlineLvl w:val="9"/>
      </w:pPr>
      <w:r>
        <w:rPr>
          <w:rFonts w:ascii="方正仿宋_GBK" w:hAnsi="方正仿宋_GBK" w:eastAsia="方正仿宋_GBK" w:cs="方正仿宋_GBK"/>
          <w:b/>
          <w:color w:val="000000"/>
          <w:sz w:val="28"/>
        </w:rPr>
        <w:t>111、冀财教[2024]67号/中央/2024年义教经费/智信小学公用经费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24A9F9BD">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6A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42968">
            <w:pPr>
              <w:pStyle w:val="14"/>
            </w:pPr>
            <w:r>
              <w:t>单位：万元</w:t>
            </w:r>
          </w:p>
        </w:tc>
      </w:tr>
      <w:tr w14:paraId="6472E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FF350">
            <w:pPr>
              <w:pStyle w:val="11"/>
            </w:pPr>
            <w:r>
              <w:t>项目编码</w:t>
            </w:r>
          </w:p>
        </w:tc>
        <w:tc>
          <w:tcPr>
            <w:tcW w:w="5103" w:type="dxa"/>
            <w:gridSpan w:val="2"/>
            <w:vAlign w:val="center"/>
          </w:tcPr>
          <w:p w14:paraId="12CB59E7">
            <w:pPr>
              <w:pStyle w:val="13"/>
            </w:pPr>
            <w:r>
              <w:t>13052524P00000611454Y</w:t>
            </w:r>
          </w:p>
        </w:tc>
        <w:tc>
          <w:tcPr>
            <w:tcW w:w="2835" w:type="dxa"/>
            <w:vAlign w:val="center"/>
          </w:tcPr>
          <w:p w14:paraId="0F7D02DB">
            <w:pPr>
              <w:pStyle w:val="11"/>
            </w:pPr>
            <w:r>
              <w:t>项目名称</w:t>
            </w:r>
          </w:p>
        </w:tc>
        <w:tc>
          <w:tcPr>
            <w:tcW w:w="6095" w:type="dxa"/>
            <w:gridSpan w:val="3"/>
            <w:vAlign w:val="center"/>
          </w:tcPr>
          <w:p w14:paraId="5AA3DD0D">
            <w:pPr>
              <w:pStyle w:val="13"/>
            </w:pPr>
            <w:r>
              <w:t>冀财教[2024]67号/中央/2024年义教经费/智信小学公用经费</w:t>
            </w:r>
            <w:r>
              <w:tab/>
            </w:r>
            <w:r>
              <w:tab/>
            </w:r>
          </w:p>
          <w:p w14:paraId="500B666B">
            <w:pPr>
              <w:pStyle w:val="13"/>
            </w:pPr>
          </w:p>
        </w:tc>
      </w:tr>
      <w:tr w14:paraId="25073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10746">
            <w:pPr>
              <w:pStyle w:val="11"/>
            </w:pPr>
            <w:r>
              <w:t>预算规模及资金用途</w:t>
            </w:r>
          </w:p>
        </w:tc>
        <w:tc>
          <w:tcPr>
            <w:tcW w:w="2268" w:type="dxa"/>
            <w:vAlign w:val="center"/>
          </w:tcPr>
          <w:p w14:paraId="7BD7A979">
            <w:pPr>
              <w:pStyle w:val="11"/>
            </w:pPr>
            <w:r>
              <w:t>预算数</w:t>
            </w:r>
          </w:p>
        </w:tc>
        <w:tc>
          <w:tcPr>
            <w:tcW w:w="2835" w:type="dxa"/>
            <w:vAlign w:val="center"/>
          </w:tcPr>
          <w:p w14:paraId="140D615E">
            <w:pPr>
              <w:pStyle w:val="13"/>
            </w:pPr>
            <w:r>
              <w:t>0.26</w:t>
            </w:r>
          </w:p>
        </w:tc>
        <w:tc>
          <w:tcPr>
            <w:tcW w:w="2835" w:type="dxa"/>
            <w:vAlign w:val="center"/>
          </w:tcPr>
          <w:p w14:paraId="691BEDC9">
            <w:pPr>
              <w:pStyle w:val="11"/>
            </w:pPr>
            <w:r>
              <w:t>其中：财政    资金</w:t>
            </w:r>
          </w:p>
        </w:tc>
        <w:tc>
          <w:tcPr>
            <w:tcW w:w="2551" w:type="dxa"/>
            <w:vAlign w:val="center"/>
          </w:tcPr>
          <w:p w14:paraId="2637B78B">
            <w:pPr>
              <w:pStyle w:val="13"/>
            </w:pPr>
            <w:r>
              <w:t>0.26</w:t>
            </w:r>
          </w:p>
        </w:tc>
        <w:tc>
          <w:tcPr>
            <w:tcW w:w="2268" w:type="dxa"/>
            <w:vAlign w:val="center"/>
          </w:tcPr>
          <w:p w14:paraId="6E3B8232">
            <w:pPr>
              <w:pStyle w:val="11"/>
            </w:pPr>
            <w:r>
              <w:t>其他资金</w:t>
            </w:r>
          </w:p>
        </w:tc>
        <w:tc>
          <w:tcPr>
            <w:tcW w:w="1276" w:type="dxa"/>
            <w:vAlign w:val="center"/>
          </w:tcPr>
          <w:p w14:paraId="68EF8606">
            <w:pPr>
              <w:pStyle w:val="13"/>
            </w:pPr>
            <w:r>
              <w:t xml:space="preserve"> </w:t>
            </w:r>
          </w:p>
        </w:tc>
      </w:tr>
      <w:tr w14:paraId="0E4D0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86DD6F"/>
        </w:tc>
        <w:tc>
          <w:tcPr>
            <w:tcW w:w="14033" w:type="dxa"/>
            <w:gridSpan w:val="6"/>
            <w:vAlign w:val="center"/>
          </w:tcPr>
          <w:p w14:paraId="1F5CC02B">
            <w:pPr>
              <w:pStyle w:val="13"/>
            </w:pPr>
            <w:r>
              <w:t>保障义务教育学校正常运转，完成教育教学活动和其他日常工作任务等方面的费用支出。</w:t>
            </w:r>
          </w:p>
        </w:tc>
      </w:tr>
      <w:tr w14:paraId="4C1F4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C29CC">
            <w:pPr>
              <w:pStyle w:val="11"/>
            </w:pPr>
            <w:r>
              <w:t>资金支出计划（%）</w:t>
            </w:r>
          </w:p>
        </w:tc>
        <w:tc>
          <w:tcPr>
            <w:tcW w:w="5103" w:type="dxa"/>
            <w:gridSpan w:val="2"/>
            <w:vAlign w:val="center"/>
          </w:tcPr>
          <w:p w14:paraId="79D73B4A">
            <w:pPr>
              <w:pStyle w:val="11"/>
            </w:pPr>
            <w:r>
              <w:t>3月底</w:t>
            </w:r>
          </w:p>
        </w:tc>
        <w:tc>
          <w:tcPr>
            <w:tcW w:w="2835" w:type="dxa"/>
            <w:vAlign w:val="center"/>
          </w:tcPr>
          <w:p w14:paraId="67DE22F7">
            <w:pPr>
              <w:pStyle w:val="11"/>
            </w:pPr>
            <w:r>
              <w:t>6月底</w:t>
            </w:r>
          </w:p>
        </w:tc>
        <w:tc>
          <w:tcPr>
            <w:tcW w:w="2551" w:type="dxa"/>
            <w:vAlign w:val="center"/>
          </w:tcPr>
          <w:p w14:paraId="2274E849">
            <w:pPr>
              <w:pStyle w:val="11"/>
            </w:pPr>
            <w:r>
              <w:t>10月底</w:t>
            </w:r>
          </w:p>
        </w:tc>
        <w:tc>
          <w:tcPr>
            <w:tcW w:w="3544" w:type="dxa"/>
            <w:gridSpan w:val="2"/>
            <w:vAlign w:val="center"/>
          </w:tcPr>
          <w:p w14:paraId="72D6AB28">
            <w:pPr>
              <w:pStyle w:val="11"/>
            </w:pPr>
            <w:r>
              <w:t>12月底</w:t>
            </w:r>
          </w:p>
        </w:tc>
      </w:tr>
      <w:tr w14:paraId="1D07C5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FE0E7"/>
        </w:tc>
        <w:tc>
          <w:tcPr>
            <w:tcW w:w="5103" w:type="dxa"/>
            <w:gridSpan w:val="2"/>
            <w:vAlign w:val="center"/>
          </w:tcPr>
          <w:p w14:paraId="35E2A45B">
            <w:pPr>
              <w:pStyle w:val="12"/>
            </w:pPr>
            <w:r>
              <w:t xml:space="preserve"> </w:t>
            </w:r>
          </w:p>
        </w:tc>
        <w:tc>
          <w:tcPr>
            <w:tcW w:w="2835" w:type="dxa"/>
            <w:vAlign w:val="center"/>
          </w:tcPr>
          <w:p w14:paraId="2A0E0705">
            <w:pPr>
              <w:pStyle w:val="12"/>
            </w:pPr>
            <w:r>
              <w:t xml:space="preserve"> </w:t>
            </w:r>
          </w:p>
        </w:tc>
        <w:tc>
          <w:tcPr>
            <w:tcW w:w="2551" w:type="dxa"/>
            <w:vAlign w:val="center"/>
          </w:tcPr>
          <w:p w14:paraId="16ED3575">
            <w:pPr>
              <w:pStyle w:val="12"/>
            </w:pPr>
            <w:r>
              <w:t>100%</w:t>
            </w:r>
          </w:p>
        </w:tc>
        <w:tc>
          <w:tcPr>
            <w:tcW w:w="3544" w:type="dxa"/>
            <w:gridSpan w:val="2"/>
            <w:vAlign w:val="center"/>
          </w:tcPr>
          <w:p w14:paraId="040CD48A">
            <w:pPr>
              <w:pStyle w:val="12"/>
            </w:pPr>
            <w:r>
              <w:t>100%</w:t>
            </w:r>
          </w:p>
        </w:tc>
      </w:tr>
      <w:tr w14:paraId="4FD36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CD8ACA">
            <w:pPr>
              <w:pStyle w:val="11"/>
            </w:pPr>
            <w:r>
              <w:t>绩效目标</w:t>
            </w:r>
          </w:p>
        </w:tc>
        <w:tc>
          <w:tcPr>
            <w:tcW w:w="14033" w:type="dxa"/>
            <w:gridSpan w:val="6"/>
            <w:vAlign w:val="center"/>
          </w:tcPr>
          <w:p w14:paraId="09EFD79C">
            <w:pPr>
              <w:pStyle w:val="13"/>
            </w:pPr>
          </w:p>
        </w:tc>
      </w:tr>
    </w:tbl>
    <w:p w14:paraId="08741E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C4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746FC">
            <w:pPr>
              <w:pStyle w:val="11"/>
            </w:pPr>
            <w:r>
              <w:t>一级指标</w:t>
            </w:r>
          </w:p>
        </w:tc>
        <w:tc>
          <w:tcPr>
            <w:tcW w:w="2268" w:type="dxa"/>
            <w:vAlign w:val="center"/>
          </w:tcPr>
          <w:p w14:paraId="2AE7A12C">
            <w:pPr>
              <w:pStyle w:val="11"/>
            </w:pPr>
            <w:r>
              <w:t>二级指标</w:t>
            </w:r>
          </w:p>
        </w:tc>
        <w:tc>
          <w:tcPr>
            <w:tcW w:w="2835" w:type="dxa"/>
            <w:vAlign w:val="center"/>
          </w:tcPr>
          <w:p w14:paraId="70C98A59">
            <w:pPr>
              <w:pStyle w:val="11"/>
            </w:pPr>
            <w:r>
              <w:t>三级指标</w:t>
            </w:r>
          </w:p>
        </w:tc>
        <w:tc>
          <w:tcPr>
            <w:tcW w:w="5386" w:type="dxa"/>
            <w:gridSpan w:val="2"/>
            <w:vAlign w:val="center"/>
          </w:tcPr>
          <w:p w14:paraId="1AF87A0F">
            <w:pPr>
              <w:pStyle w:val="11"/>
            </w:pPr>
            <w:r>
              <w:t>绩效指标描述</w:t>
            </w:r>
          </w:p>
        </w:tc>
        <w:tc>
          <w:tcPr>
            <w:tcW w:w="2268" w:type="dxa"/>
            <w:vAlign w:val="center"/>
          </w:tcPr>
          <w:p w14:paraId="72FCF352">
            <w:pPr>
              <w:pStyle w:val="11"/>
            </w:pPr>
            <w:r>
              <w:t>指标值</w:t>
            </w:r>
          </w:p>
        </w:tc>
        <w:tc>
          <w:tcPr>
            <w:tcW w:w="1276" w:type="dxa"/>
            <w:vAlign w:val="center"/>
          </w:tcPr>
          <w:p w14:paraId="0A35E973">
            <w:pPr>
              <w:pStyle w:val="11"/>
            </w:pPr>
            <w:r>
              <w:t>指标值确定依据</w:t>
            </w:r>
          </w:p>
        </w:tc>
      </w:tr>
      <w:tr w14:paraId="36C04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CF99B5">
            <w:pPr>
              <w:pStyle w:val="12"/>
            </w:pPr>
          </w:p>
        </w:tc>
        <w:tc>
          <w:tcPr>
            <w:tcW w:w="2268" w:type="dxa"/>
            <w:vAlign w:val="center"/>
          </w:tcPr>
          <w:p w14:paraId="46680918">
            <w:pPr>
              <w:pStyle w:val="13"/>
            </w:pPr>
          </w:p>
        </w:tc>
        <w:tc>
          <w:tcPr>
            <w:tcW w:w="2835" w:type="dxa"/>
            <w:vAlign w:val="center"/>
          </w:tcPr>
          <w:p w14:paraId="37CE72F9">
            <w:pPr>
              <w:pStyle w:val="13"/>
            </w:pPr>
          </w:p>
        </w:tc>
        <w:tc>
          <w:tcPr>
            <w:tcW w:w="2835" w:type="dxa"/>
            <w:vAlign w:val="center"/>
          </w:tcPr>
          <w:p w14:paraId="343C989F">
            <w:pPr>
              <w:pStyle w:val="13"/>
            </w:pPr>
          </w:p>
        </w:tc>
        <w:tc>
          <w:tcPr>
            <w:tcW w:w="2551" w:type="dxa"/>
            <w:vAlign w:val="center"/>
          </w:tcPr>
          <w:p w14:paraId="595A61CA">
            <w:pPr>
              <w:pStyle w:val="13"/>
            </w:pPr>
          </w:p>
        </w:tc>
        <w:tc>
          <w:tcPr>
            <w:tcW w:w="2268" w:type="dxa"/>
            <w:vAlign w:val="center"/>
          </w:tcPr>
          <w:p w14:paraId="56A21034">
            <w:pPr>
              <w:pStyle w:val="13"/>
            </w:pPr>
          </w:p>
        </w:tc>
        <w:tc>
          <w:tcPr>
            <w:tcW w:w="1276" w:type="dxa"/>
            <w:vAlign w:val="center"/>
          </w:tcPr>
          <w:p w14:paraId="29167E32">
            <w:pPr>
              <w:pStyle w:val="13"/>
            </w:pPr>
          </w:p>
        </w:tc>
      </w:tr>
    </w:tbl>
    <w:p w14:paraId="6D783403">
      <w:pPr>
        <w:sectPr>
          <w:pgSz w:w="16840" w:h="11900" w:orient="landscape"/>
          <w:pgMar w:top="1361" w:right="1020" w:bottom="1134" w:left="1020" w:header="720" w:footer="720" w:gutter="0"/>
          <w:cols w:space="720" w:num="1"/>
        </w:sectPr>
      </w:pPr>
    </w:p>
    <w:p w14:paraId="753A9A73">
      <w:pPr>
        <w:spacing w:before="0" w:after="0"/>
        <w:ind w:firstLine="560"/>
        <w:jc w:val="left"/>
        <w:outlineLvl w:val="9"/>
      </w:pPr>
      <w:r>
        <w:rPr>
          <w:rFonts w:ascii="方正仿宋_GBK" w:hAnsi="方正仿宋_GBK" w:eastAsia="方正仿宋_GBK" w:cs="方正仿宋_GBK"/>
          <w:b/>
          <w:color w:val="000000"/>
          <w:sz w:val="28"/>
        </w:rPr>
        <w:t>112、冀财教[2024]67号/中央/2024年义教经费/滏阳小学公用经费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2F2C6236">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17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D4549">
            <w:pPr>
              <w:pStyle w:val="14"/>
            </w:pPr>
            <w:r>
              <w:t>单位：万元</w:t>
            </w:r>
          </w:p>
        </w:tc>
      </w:tr>
      <w:tr w14:paraId="28F3D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B22DE3">
            <w:pPr>
              <w:pStyle w:val="11"/>
            </w:pPr>
            <w:r>
              <w:t>项目编码</w:t>
            </w:r>
          </w:p>
        </w:tc>
        <w:tc>
          <w:tcPr>
            <w:tcW w:w="5103" w:type="dxa"/>
            <w:gridSpan w:val="2"/>
            <w:vAlign w:val="center"/>
          </w:tcPr>
          <w:p w14:paraId="44D5A90D">
            <w:pPr>
              <w:pStyle w:val="13"/>
            </w:pPr>
            <w:r>
              <w:t>13052524P000006114566</w:t>
            </w:r>
          </w:p>
        </w:tc>
        <w:tc>
          <w:tcPr>
            <w:tcW w:w="2835" w:type="dxa"/>
            <w:vAlign w:val="center"/>
          </w:tcPr>
          <w:p w14:paraId="4951C466">
            <w:pPr>
              <w:pStyle w:val="11"/>
            </w:pPr>
            <w:r>
              <w:t>项目名称</w:t>
            </w:r>
          </w:p>
        </w:tc>
        <w:tc>
          <w:tcPr>
            <w:tcW w:w="6095" w:type="dxa"/>
            <w:gridSpan w:val="3"/>
            <w:vAlign w:val="center"/>
          </w:tcPr>
          <w:p w14:paraId="54355C8F">
            <w:pPr>
              <w:pStyle w:val="13"/>
            </w:pPr>
            <w:r>
              <w:t>冀财教[2024]67号/中央/2024年义教经费/滏阳小学公用经费</w:t>
            </w:r>
            <w:r>
              <w:tab/>
            </w:r>
            <w:r>
              <w:tab/>
            </w:r>
          </w:p>
          <w:p w14:paraId="17EA4BFA">
            <w:pPr>
              <w:pStyle w:val="13"/>
            </w:pPr>
          </w:p>
        </w:tc>
      </w:tr>
      <w:tr w14:paraId="2215E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CF719">
            <w:pPr>
              <w:pStyle w:val="11"/>
            </w:pPr>
            <w:r>
              <w:t>预算规模及资金用途</w:t>
            </w:r>
          </w:p>
        </w:tc>
        <w:tc>
          <w:tcPr>
            <w:tcW w:w="2268" w:type="dxa"/>
            <w:vAlign w:val="center"/>
          </w:tcPr>
          <w:p w14:paraId="23FE3496">
            <w:pPr>
              <w:pStyle w:val="11"/>
            </w:pPr>
            <w:r>
              <w:t>预算数</w:t>
            </w:r>
          </w:p>
        </w:tc>
        <w:tc>
          <w:tcPr>
            <w:tcW w:w="2835" w:type="dxa"/>
            <w:vAlign w:val="center"/>
          </w:tcPr>
          <w:p w14:paraId="36D712C9">
            <w:pPr>
              <w:pStyle w:val="13"/>
            </w:pPr>
            <w:r>
              <w:t>0.51</w:t>
            </w:r>
          </w:p>
        </w:tc>
        <w:tc>
          <w:tcPr>
            <w:tcW w:w="2835" w:type="dxa"/>
            <w:vAlign w:val="center"/>
          </w:tcPr>
          <w:p w14:paraId="7CB72C0C">
            <w:pPr>
              <w:pStyle w:val="11"/>
            </w:pPr>
            <w:r>
              <w:t>其中：财政    资金</w:t>
            </w:r>
          </w:p>
        </w:tc>
        <w:tc>
          <w:tcPr>
            <w:tcW w:w="2551" w:type="dxa"/>
            <w:vAlign w:val="center"/>
          </w:tcPr>
          <w:p w14:paraId="7A320367">
            <w:pPr>
              <w:pStyle w:val="13"/>
            </w:pPr>
            <w:r>
              <w:t>0.51</w:t>
            </w:r>
          </w:p>
        </w:tc>
        <w:tc>
          <w:tcPr>
            <w:tcW w:w="2268" w:type="dxa"/>
            <w:vAlign w:val="center"/>
          </w:tcPr>
          <w:p w14:paraId="07B44794">
            <w:pPr>
              <w:pStyle w:val="11"/>
            </w:pPr>
            <w:r>
              <w:t>其他资金</w:t>
            </w:r>
          </w:p>
        </w:tc>
        <w:tc>
          <w:tcPr>
            <w:tcW w:w="1276" w:type="dxa"/>
            <w:vAlign w:val="center"/>
          </w:tcPr>
          <w:p w14:paraId="2F0B48FD">
            <w:pPr>
              <w:pStyle w:val="13"/>
            </w:pPr>
            <w:r>
              <w:t xml:space="preserve"> </w:t>
            </w:r>
          </w:p>
        </w:tc>
      </w:tr>
      <w:tr w14:paraId="0572E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6DDA94"/>
        </w:tc>
        <w:tc>
          <w:tcPr>
            <w:tcW w:w="14033" w:type="dxa"/>
            <w:gridSpan w:val="6"/>
            <w:vAlign w:val="center"/>
          </w:tcPr>
          <w:p w14:paraId="56633BEA">
            <w:pPr>
              <w:pStyle w:val="13"/>
            </w:pPr>
            <w:r>
              <w:t>保障义务教育学校正常运转，完成教育教学活动和其他日常工作任务等方面的费用支出。</w:t>
            </w:r>
            <w:r>
              <w:tab/>
            </w:r>
            <w:r>
              <w:tab/>
            </w:r>
            <w:r>
              <w:tab/>
            </w:r>
            <w:r>
              <w:tab/>
            </w:r>
            <w:r>
              <w:tab/>
            </w:r>
          </w:p>
          <w:p w14:paraId="68FCDB85">
            <w:pPr>
              <w:pStyle w:val="13"/>
            </w:pPr>
          </w:p>
        </w:tc>
      </w:tr>
      <w:tr w14:paraId="53FDF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6B528">
            <w:pPr>
              <w:pStyle w:val="11"/>
            </w:pPr>
            <w:r>
              <w:t>资金支出计划（%）</w:t>
            </w:r>
          </w:p>
        </w:tc>
        <w:tc>
          <w:tcPr>
            <w:tcW w:w="5103" w:type="dxa"/>
            <w:gridSpan w:val="2"/>
            <w:vAlign w:val="center"/>
          </w:tcPr>
          <w:p w14:paraId="6E83B21D">
            <w:pPr>
              <w:pStyle w:val="11"/>
            </w:pPr>
            <w:r>
              <w:t>3月底</w:t>
            </w:r>
          </w:p>
        </w:tc>
        <w:tc>
          <w:tcPr>
            <w:tcW w:w="2835" w:type="dxa"/>
            <w:vAlign w:val="center"/>
          </w:tcPr>
          <w:p w14:paraId="0C5E7906">
            <w:pPr>
              <w:pStyle w:val="11"/>
            </w:pPr>
            <w:r>
              <w:t>6月底</w:t>
            </w:r>
          </w:p>
        </w:tc>
        <w:tc>
          <w:tcPr>
            <w:tcW w:w="2551" w:type="dxa"/>
            <w:vAlign w:val="center"/>
          </w:tcPr>
          <w:p w14:paraId="2730E6C4">
            <w:pPr>
              <w:pStyle w:val="11"/>
            </w:pPr>
            <w:r>
              <w:t>10月底</w:t>
            </w:r>
          </w:p>
        </w:tc>
        <w:tc>
          <w:tcPr>
            <w:tcW w:w="3544" w:type="dxa"/>
            <w:gridSpan w:val="2"/>
            <w:vAlign w:val="center"/>
          </w:tcPr>
          <w:p w14:paraId="357A1FA6">
            <w:pPr>
              <w:pStyle w:val="11"/>
            </w:pPr>
            <w:r>
              <w:t>12月底</w:t>
            </w:r>
          </w:p>
        </w:tc>
      </w:tr>
      <w:tr w14:paraId="7DCDA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66F1E"/>
        </w:tc>
        <w:tc>
          <w:tcPr>
            <w:tcW w:w="5103" w:type="dxa"/>
            <w:gridSpan w:val="2"/>
            <w:vAlign w:val="center"/>
          </w:tcPr>
          <w:p w14:paraId="6A1268D4">
            <w:pPr>
              <w:pStyle w:val="12"/>
            </w:pPr>
            <w:r>
              <w:t xml:space="preserve"> </w:t>
            </w:r>
          </w:p>
        </w:tc>
        <w:tc>
          <w:tcPr>
            <w:tcW w:w="2835" w:type="dxa"/>
            <w:vAlign w:val="center"/>
          </w:tcPr>
          <w:p w14:paraId="7F595E20">
            <w:pPr>
              <w:pStyle w:val="12"/>
            </w:pPr>
            <w:r>
              <w:t xml:space="preserve"> </w:t>
            </w:r>
          </w:p>
        </w:tc>
        <w:tc>
          <w:tcPr>
            <w:tcW w:w="2551" w:type="dxa"/>
            <w:vAlign w:val="center"/>
          </w:tcPr>
          <w:p w14:paraId="7012432E">
            <w:pPr>
              <w:pStyle w:val="12"/>
            </w:pPr>
            <w:r>
              <w:t>100%</w:t>
            </w:r>
          </w:p>
        </w:tc>
        <w:tc>
          <w:tcPr>
            <w:tcW w:w="3544" w:type="dxa"/>
            <w:gridSpan w:val="2"/>
            <w:vAlign w:val="center"/>
          </w:tcPr>
          <w:p w14:paraId="063604DE">
            <w:pPr>
              <w:pStyle w:val="12"/>
            </w:pPr>
            <w:r>
              <w:t>100%</w:t>
            </w:r>
          </w:p>
        </w:tc>
      </w:tr>
      <w:tr w14:paraId="21DA6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FCEB9">
            <w:pPr>
              <w:pStyle w:val="11"/>
            </w:pPr>
            <w:r>
              <w:t>绩效目标</w:t>
            </w:r>
          </w:p>
        </w:tc>
        <w:tc>
          <w:tcPr>
            <w:tcW w:w="14033" w:type="dxa"/>
            <w:gridSpan w:val="6"/>
            <w:vAlign w:val="center"/>
          </w:tcPr>
          <w:p w14:paraId="3085E756">
            <w:pPr>
              <w:pStyle w:val="13"/>
            </w:pPr>
          </w:p>
        </w:tc>
      </w:tr>
    </w:tbl>
    <w:p w14:paraId="340ABC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E7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9692E">
            <w:pPr>
              <w:pStyle w:val="11"/>
            </w:pPr>
            <w:r>
              <w:t>一级指标</w:t>
            </w:r>
          </w:p>
        </w:tc>
        <w:tc>
          <w:tcPr>
            <w:tcW w:w="2268" w:type="dxa"/>
            <w:vAlign w:val="center"/>
          </w:tcPr>
          <w:p w14:paraId="583AB0FD">
            <w:pPr>
              <w:pStyle w:val="11"/>
            </w:pPr>
            <w:r>
              <w:t>二级指标</w:t>
            </w:r>
          </w:p>
        </w:tc>
        <w:tc>
          <w:tcPr>
            <w:tcW w:w="2835" w:type="dxa"/>
            <w:vAlign w:val="center"/>
          </w:tcPr>
          <w:p w14:paraId="44267119">
            <w:pPr>
              <w:pStyle w:val="11"/>
            </w:pPr>
            <w:r>
              <w:t>三级指标</w:t>
            </w:r>
          </w:p>
        </w:tc>
        <w:tc>
          <w:tcPr>
            <w:tcW w:w="5386" w:type="dxa"/>
            <w:gridSpan w:val="2"/>
            <w:vAlign w:val="center"/>
          </w:tcPr>
          <w:p w14:paraId="6AF61712">
            <w:pPr>
              <w:pStyle w:val="11"/>
            </w:pPr>
            <w:r>
              <w:t>绩效指标描述</w:t>
            </w:r>
          </w:p>
        </w:tc>
        <w:tc>
          <w:tcPr>
            <w:tcW w:w="2268" w:type="dxa"/>
            <w:vAlign w:val="center"/>
          </w:tcPr>
          <w:p w14:paraId="233420D4">
            <w:pPr>
              <w:pStyle w:val="11"/>
            </w:pPr>
            <w:r>
              <w:t>指标值</w:t>
            </w:r>
          </w:p>
        </w:tc>
        <w:tc>
          <w:tcPr>
            <w:tcW w:w="1276" w:type="dxa"/>
            <w:vAlign w:val="center"/>
          </w:tcPr>
          <w:p w14:paraId="3EDF4513">
            <w:pPr>
              <w:pStyle w:val="11"/>
            </w:pPr>
            <w:r>
              <w:t>指标值确定依据</w:t>
            </w:r>
          </w:p>
        </w:tc>
      </w:tr>
      <w:tr w14:paraId="64030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4612A">
            <w:pPr>
              <w:pStyle w:val="12"/>
            </w:pPr>
          </w:p>
        </w:tc>
        <w:tc>
          <w:tcPr>
            <w:tcW w:w="2268" w:type="dxa"/>
            <w:vAlign w:val="center"/>
          </w:tcPr>
          <w:p w14:paraId="7EBD98C1">
            <w:pPr>
              <w:pStyle w:val="13"/>
            </w:pPr>
          </w:p>
        </w:tc>
        <w:tc>
          <w:tcPr>
            <w:tcW w:w="2835" w:type="dxa"/>
            <w:vAlign w:val="center"/>
          </w:tcPr>
          <w:p w14:paraId="17751AA3">
            <w:pPr>
              <w:pStyle w:val="13"/>
            </w:pPr>
          </w:p>
        </w:tc>
        <w:tc>
          <w:tcPr>
            <w:tcW w:w="2835" w:type="dxa"/>
            <w:vAlign w:val="center"/>
          </w:tcPr>
          <w:p w14:paraId="5577E17F">
            <w:pPr>
              <w:pStyle w:val="13"/>
            </w:pPr>
          </w:p>
        </w:tc>
        <w:tc>
          <w:tcPr>
            <w:tcW w:w="2551" w:type="dxa"/>
            <w:vAlign w:val="center"/>
          </w:tcPr>
          <w:p w14:paraId="6CCB1C87">
            <w:pPr>
              <w:pStyle w:val="13"/>
            </w:pPr>
          </w:p>
        </w:tc>
        <w:tc>
          <w:tcPr>
            <w:tcW w:w="2268" w:type="dxa"/>
            <w:vAlign w:val="center"/>
          </w:tcPr>
          <w:p w14:paraId="22E1D90E">
            <w:pPr>
              <w:pStyle w:val="13"/>
            </w:pPr>
          </w:p>
        </w:tc>
        <w:tc>
          <w:tcPr>
            <w:tcW w:w="1276" w:type="dxa"/>
            <w:vAlign w:val="center"/>
          </w:tcPr>
          <w:p w14:paraId="3355D330">
            <w:pPr>
              <w:pStyle w:val="13"/>
            </w:pPr>
          </w:p>
        </w:tc>
      </w:tr>
    </w:tbl>
    <w:p w14:paraId="73FF3C68">
      <w:pPr>
        <w:sectPr>
          <w:pgSz w:w="16840" w:h="11900" w:orient="landscape"/>
          <w:pgMar w:top="1361" w:right="1020" w:bottom="1134" w:left="1020" w:header="720" w:footer="720" w:gutter="0"/>
          <w:cols w:space="720" w:num="1"/>
        </w:sectPr>
      </w:pPr>
    </w:p>
    <w:p w14:paraId="5B63E72C">
      <w:pPr>
        <w:spacing w:before="0" w:after="0"/>
        <w:ind w:firstLine="560"/>
        <w:jc w:val="left"/>
        <w:outlineLvl w:val="9"/>
      </w:pPr>
      <w:r>
        <w:rPr>
          <w:rFonts w:ascii="方正仿宋_GBK" w:hAnsi="方正仿宋_GBK" w:eastAsia="方正仿宋_GBK" w:cs="方正仿宋_GBK"/>
          <w:b/>
          <w:color w:val="000000"/>
          <w:sz w:val="28"/>
        </w:rPr>
        <w:t>113、冀财预[2024]54号/提前下达/革命老区/实验小学等10个学校护眼灯改造项目绩效目标表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57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F1BF8">
            <w:pPr>
              <w:pStyle w:val="14"/>
            </w:pPr>
            <w:r>
              <w:t>单位：万元</w:t>
            </w:r>
          </w:p>
        </w:tc>
      </w:tr>
      <w:tr w14:paraId="76D73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8901A">
            <w:pPr>
              <w:pStyle w:val="11"/>
            </w:pPr>
            <w:r>
              <w:t>项目编码</w:t>
            </w:r>
          </w:p>
        </w:tc>
        <w:tc>
          <w:tcPr>
            <w:tcW w:w="5103" w:type="dxa"/>
            <w:gridSpan w:val="2"/>
            <w:vAlign w:val="center"/>
          </w:tcPr>
          <w:p w14:paraId="211DD9A4">
            <w:pPr>
              <w:pStyle w:val="13"/>
            </w:pPr>
            <w:r>
              <w:t>13052525P00001710006X</w:t>
            </w:r>
          </w:p>
        </w:tc>
        <w:tc>
          <w:tcPr>
            <w:tcW w:w="2835" w:type="dxa"/>
            <w:vAlign w:val="center"/>
          </w:tcPr>
          <w:p w14:paraId="14D790FC">
            <w:pPr>
              <w:pStyle w:val="11"/>
            </w:pPr>
            <w:r>
              <w:t>项目名称</w:t>
            </w:r>
          </w:p>
        </w:tc>
        <w:tc>
          <w:tcPr>
            <w:tcW w:w="6095" w:type="dxa"/>
            <w:gridSpan w:val="3"/>
            <w:vAlign w:val="center"/>
          </w:tcPr>
          <w:p w14:paraId="67A0E9E2">
            <w:pPr>
              <w:pStyle w:val="13"/>
            </w:pPr>
            <w:r>
              <w:t>冀财预[2024]54号/提前下达/革命老区/实验小学等10个学校护眼灯改造项目</w:t>
            </w:r>
          </w:p>
        </w:tc>
      </w:tr>
      <w:tr w14:paraId="5FF8F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5D842">
            <w:pPr>
              <w:pStyle w:val="11"/>
            </w:pPr>
            <w:r>
              <w:t>预算规模及资金用途</w:t>
            </w:r>
          </w:p>
        </w:tc>
        <w:tc>
          <w:tcPr>
            <w:tcW w:w="2268" w:type="dxa"/>
            <w:vAlign w:val="center"/>
          </w:tcPr>
          <w:p w14:paraId="16326D6D">
            <w:pPr>
              <w:pStyle w:val="11"/>
            </w:pPr>
            <w:r>
              <w:t>预算数</w:t>
            </w:r>
          </w:p>
        </w:tc>
        <w:tc>
          <w:tcPr>
            <w:tcW w:w="2835" w:type="dxa"/>
            <w:vAlign w:val="center"/>
          </w:tcPr>
          <w:p w14:paraId="1677F228">
            <w:pPr>
              <w:pStyle w:val="13"/>
            </w:pPr>
            <w:r>
              <w:t>395.00</w:t>
            </w:r>
          </w:p>
        </w:tc>
        <w:tc>
          <w:tcPr>
            <w:tcW w:w="2835" w:type="dxa"/>
            <w:vAlign w:val="center"/>
          </w:tcPr>
          <w:p w14:paraId="4606EC0F">
            <w:pPr>
              <w:pStyle w:val="11"/>
            </w:pPr>
            <w:r>
              <w:t>其中：财政    资金</w:t>
            </w:r>
          </w:p>
        </w:tc>
        <w:tc>
          <w:tcPr>
            <w:tcW w:w="2551" w:type="dxa"/>
            <w:vAlign w:val="center"/>
          </w:tcPr>
          <w:p w14:paraId="572D7FFC">
            <w:pPr>
              <w:pStyle w:val="13"/>
            </w:pPr>
            <w:r>
              <w:t>395.00</w:t>
            </w:r>
          </w:p>
        </w:tc>
        <w:tc>
          <w:tcPr>
            <w:tcW w:w="2268" w:type="dxa"/>
            <w:vAlign w:val="center"/>
          </w:tcPr>
          <w:p w14:paraId="03B74086">
            <w:pPr>
              <w:pStyle w:val="11"/>
            </w:pPr>
            <w:r>
              <w:t>其他资金</w:t>
            </w:r>
          </w:p>
        </w:tc>
        <w:tc>
          <w:tcPr>
            <w:tcW w:w="1276" w:type="dxa"/>
            <w:vAlign w:val="center"/>
          </w:tcPr>
          <w:p w14:paraId="5F9149AC">
            <w:pPr>
              <w:pStyle w:val="13"/>
            </w:pPr>
            <w:r>
              <w:t xml:space="preserve"> </w:t>
            </w:r>
          </w:p>
        </w:tc>
      </w:tr>
      <w:tr w14:paraId="47C1A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4B6051"/>
        </w:tc>
        <w:tc>
          <w:tcPr>
            <w:tcW w:w="14033" w:type="dxa"/>
            <w:gridSpan w:val="6"/>
            <w:vAlign w:val="center"/>
          </w:tcPr>
          <w:p w14:paraId="338B1235">
            <w:pPr>
              <w:pStyle w:val="13"/>
            </w:pPr>
            <w:r>
              <w:t>用于提供全方位护眼灯具，提升青少年视力和身体健康水平。</w:t>
            </w:r>
          </w:p>
        </w:tc>
      </w:tr>
      <w:tr w14:paraId="3F87E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E8801">
            <w:pPr>
              <w:pStyle w:val="11"/>
            </w:pPr>
            <w:r>
              <w:t>资金支出计划（%）</w:t>
            </w:r>
          </w:p>
        </w:tc>
        <w:tc>
          <w:tcPr>
            <w:tcW w:w="5103" w:type="dxa"/>
            <w:gridSpan w:val="2"/>
            <w:vAlign w:val="center"/>
          </w:tcPr>
          <w:p w14:paraId="288D73F2">
            <w:pPr>
              <w:pStyle w:val="11"/>
            </w:pPr>
            <w:r>
              <w:t>3月底</w:t>
            </w:r>
          </w:p>
        </w:tc>
        <w:tc>
          <w:tcPr>
            <w:tcW w:w="2835" w:type="dxa"/>
            <w:vAlign w:val="center"/>
          </w:tcPr>
          <w:p w14:paraId="0309161E">
            <w:pPr>
              <w:pStyle w:val="11"/>
            </w:pPr>
            <w:r>
              <w:t>6月底</w:t>
            </w:r>
          </w:p>
        </w:tc>
        <w:tc>
          <w:tcPr>
            <w:tcW w:w="2551" w:type="dxa"/>
            <w:vAlign w:val="center"/>
          </w:tcPr>
          <w:p w14:paraId="37431F73">
            <w:pPr>
              <w:pStyle w:val="11"/>
            </w:pPr>
            <w:r>
              <w:t>10月底</w:t>
            </w:r>
          </w:p>
        </w:tc>
        <w:tc>
          <w:tcPr>
            <w:tcW w:w="3544" w:type="dxa"/>
            <w:gridSpan w:val="2"/>
            <w:vAlign w:val="center"/>
          </w:tcPr>
          <w:p w14:paraId="6504CD0D">
            <w:pPr>
              <w:pStyle w:val="11"/>
            </w:pPr>
            <w:r>
              <w:t>12月底</w:t>
            </w:r>
          </w:p>
        </w:tc>
      </w:tr>
      <w:tr w14:paraId="25DE3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0A3CC"/>
        </w:tc>
        <w:tc>
          <w:tcPr>
            <w:tcW w:w="5103" w:type="dxa"/>
            <w:gridSpan w:val="2"/>
            <w:vAlign w:val="center"/>
          </w:tcPr>
          <w:p w14:paraId="49E98B0E">
            <w:pPr>
              <w:pStyle w:val="12"/>
            </w:pPr>
            <w:r>
              <w:t xml:space="preserve"> </w:t>
            </w:r>
          </w:p>
        </w:tc>
        <w:tc>
          <w:tcPr>
            <w:tcW w:w="2835" w:type="dxa"/>
            <w:vAlign w:val="center"/>
          </w:tcPr>
          <w:p w14:paraId="373F2859">
            <w:pPr>
              <w:pStyle w:val="12"/>
            </w:pPr>
            <w:r>
              <w:t>100%</w:t>
            </w:r>
          </w:p>
        </w:tc>
        <w:tc>
          <w:tcPr>
            <w:tcW w:w="2551" w:type="dxa"/>
            <w:vAlign w:val="center"/>
          </w:tcPr>
          <w:p w14:paraId="42E8B692">
            <w:pPr>
              <w:pStyle w:val="12"/>
            </w:pPr>
            <w:r>
              <w:t>100%</w:t>
            </w:r>
          </w:p>
        </w:tc>
        <w:tc>
          <w:tcPr>
            <w:tcW w:w="3544" w:type="dxa"/>
            <w:gridSpan w:val="2"/>
            <w:vAlign w:val="center"/>
          </w:tcPr>
          <w:p w14:paraId="12388A88">
            <w:pPr>
              <w:pStyle w:val="12"/>
            </w:pPr>
            <w:r>
              <w:t>100%</w:t>
            </w:r>
          </w:p>
        </w:tc>
      </w:tr>
      <w:tr w14:paraId="1FCA3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36CAD">
            <w:pPr>
              <w:pStyle w:val="11"/>
            </w:pPr>
            <w:r>
              <w:t>绩效目标</w:t>
            </w:r>
          </w:p>
        </w:tc>
        <w:tc>
          <w:tcPr>
            <w:tcW w:w="14033" w:type="dxa"/>
            <w:gridSpan w:val="6"/>
            <w:vAlign w:val="center"/>
          </w:tcPr>
          <w:p w14:paraId="4C2A250C">
            <w:pPr>
              <w:pStyle w:val="13"/>
            </w:pPr>
            <w:r>
              <w:t>1.提供全方位护眼灯具，提升青少年视力和身体健康水平</w:t>
            </w:r>
          </w:p>
          <w:p w14:paraId="65916C0B">
            <w:pPr>
              <w:pStyle w:val="13"/>
            </w:pPr>
            <w:r>
              <w:t>2. 完成护眼灯设备购置，提升学校办学条件</w:t>
            </w:r>
          </w:p>
        </w:tc>
      </w:tr>
    </w:tbl>
    <w:p w14:paraId="2800AD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B7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CD517">
            <w:pPr>
              <w:pStyle w:val="11"/>
            </w:pPr>
            <w:r>
              <w:t>一级指标</w:t>
            </w:r>
          </w:p>
        </w:tc>
        <w:tc>
          <w:tcPr>
            <w:tcW w:w="2268" w:type="dxa"/>
            <w:vAlign w:val="center"/>
          </w:tcPr>
          <w:p w14:paraId="25B1A62E">
            <w:pPr>
              <w:pStyle w:val="11"/>
            </w:pPr>
            <w:r>
              <w:t>二级指标</w:t>
            </w:r>
          </w:p>
        </w:tc>
        <w:tc>
          <w:tcPr>
            <w:tcW w:w="2835" w:type="dxa"/>
            <w:vAlign w:val="center"/>
          </w:tcPr>
          <w:p w14:paraId="61635BEB">
            <w:pPr>
              <w:pStyle w:val="11"/>
            </w:pPr>
            <w:r>
              <w:t>三级指标</w:t>
            </w:r>
          </w:p>
        </w:tc>
        <w:tc>
          <w:tcPr>
            <w:tcW w:w="5386" w:type="dxa"/>
            <w:vAlign w:val="center"/>
          </w:tcPr>
          <w:p w14:paraId="02388247">
            <w:pPr>
              <w:pStyle w:val="11"/>
            </w:pPr>
            <w:r>
              <w:t>绩效指标描述</w:t>
            </w:r>
          </w:p>
        </w:tc>
        <w:tc>
          <w:tcPr>
            <w:tcW w:w="2268" w:type="dxa"/>
            <w:vAlign w:val="center"/>
          </w:tcPr>
          <w:p w14:paraId="1DA8D8D7">
            <w:pPr>
              <w:pStyle w:val="11"/>
            </w:pPr>
            <w:r>
              <w:t>指标值</w:t>
            </w:r>
          </w:p>
        </w:tc>
        <w:tc>
          <w:tcPr>
            <w:tcW w:w="1276" w:type="dxa"/>
            <w:vAlign w:val="center"/>
          </w:tcPr>
          <w:p w14:paraId="0B8AE6B5">
            <w:pPr>
              <w:pStyle w:val="11"/>
            </w:pPr>
            <w:r>
              <w:t>指标值确定依据</w:t>
            </w:r>
          </w:p>
        </w:tc>
      </w:tr>
      <w:tr w14:paraId="1F7A7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B88C2">
            <w:pPr>
              <w:pStyle w:val="12"/>
            </w:pPr>
            <w:r>
              <w:t>产出指标</w:t>
            </w:r>
          </w:p>
        </w:tc>
        <w:tc>
          <w:tcPr>
            <w:tcW w:w="2268" w:type="dxa"/>
            <w:vAlign w:val="center"/>
          </w:tcPr>
          <w:p w14:paraId="783B3AA7">
            <w:pPr>
              <w:pStyle w:val="13"/>
            </w:pPr>
            <w:r>
              <w:t>数量指标</w:t>
            </w:r>
          </w:p>
        </w:tc>
        <w:tc>
          <w:tcPr>
            <w:tcW w:w="2835" w:type="dxa"/>
            <w:vAlign w:val="center"/>
          </w:tcPr>
          <w:p w14:paraId="20579D66">
            <w:pPr>
              <w:pStyle w:val="13"/>
            </w:pPr>
            <w:r>
              <w:t xml:space="preserve"> 购置设备套数</w:t>
            </w:r>
          </w:p>
        </w:tc>
        <w:tc>
          <w:tcPr>
            <w:tcW w:w="5386" w:type="dxa"/>
            <w:vAlign w:val="center"/>
          </w:tcPr>
          <w:p w14:paraId="665F2EF4">
            <w:pPr>
              <w:pStyle w:val="13"/>
            </w:pPr>
            <w:r>
              <w:t>购置设备套数</w:t>
            </w:r>
          </w:p>
        </w:tc>
        <w:tc>
          <w:tcPr>
            <w:tcW w:w="2268" w:type="dxa"/>
            <w:vAlign w:val="center"/>
          </w:tcPr>
          <w:p w14:paraId="1F01914D">
            <w:pPr>
              <w:pStyle w:val="13"/>
            </w:pPr>
            <w:r>
              <w:t>4265 套</w:t>
            </w:r>
          </w:p>
        </w:tc>
        <w:tc>
          <w:tcPr>
            <w:tcW w:w="1276" w:type="dxa"/>
            <w:vAlign w:val="center"/>
          </w:tcPr>
          <w:p w14:paraId="1E7FD8D4">
            <w:pPr>
              <w:pStyle w:val="13"/>
            </w:pPr>
            <w:r>
              <w:t>项目可行性研究报告</w:t>
            </w:r>
          </w:p>
        </w:tc>
      </w:tr>
      <w:tr w14:paraId="1216F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595DC"/>
        </w:tc>
        <w:tc>
          <w:tcPr>
            <w:tcW w:w="2268" w:type="dxa"/>
            <w:vAlign w:val="center"/>
          </w:tcPr>
          <w:p w14:paraId="0BFCA189">
            <w:pPr>
              <w:pStyle w:val="13"/>
            </w:pPr>
            <w:r>
              <w:t>数量指标</w:t>
            </w:r>
          </w:p>
        </w:tc>
        <w:tc>
          <w:tcPr>
            <w:tcW w:w="2835" w:type="dxa"/>
            <w:vAlign w:val="center"/>
          </w:tcPr>
          <w:p w14:paraId="0F236DB2">
            <w:pPr>
              <w:pStyle w:val="13"/>
            </w:pPr>
            <w:r>
              <w:t xml:space="preserve"> 项目实施学校</w:t>
            </w:r>
          </w:p>
        </w:tc>
        <w:tc>
          <w:tcPr>
            <w:tcW w:w="5386" w:type="dxa"/>
            <w:vAlign w:val="center"/>
          </w:tcPr>
          <w:p w14:paraId="0668C9D5">
            <w:pPr>
              <w:pStyle w:val="13"/>
            </w:pPr>
            <w:r>
              <w:t>项目实施学校数量</w:t>
            </w:r>
          </w:p>
        </w:tc>
        <w:tc>
          <w:tcPr>
            <w:tcW w:w="2268" w:type="dxa"/>
            <w:vAlign w:val="center"/>
          </w:tcPr>
          <w:p w14:paraId="3B7FA9A0">
            <w:pPr>
              <w:pStyle w:val="13"/>
            </w:pPr>
            <w:r>
              <w:t>10所</w:t>
            </w:r>
          </w:p>
        </w:tc>
        <w:tc>
          <w:tcPr>
            <w:tcW w:w="1276" w:type="dxa"/>
            <w:vAlign w:val="center"/>
          </w:tcPr>
          <w:p w14:paraId="1D9C2170">
            <w:pPr>
              <w:pStyle w:val="13"/>
            </w:pPr>
            <w:r>
              <w:t>项目可行性研究报告</w:t>
            </w:r>
          </w:p>
        </w:tc>
      </w:tr>
      <w:tr w14:paraId="08E47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7BDD4"/>
        </w:tc>
        <w:tc>
          <w:tcPr>
            <w:tcW w:w="2268" w:type="dxa"/>
            <w:vAlign w:val="center"/>
          </w:tcPr>
          <w:p w14:paraId="57B0B162">
            <w:pPr>
              <w:pStyle w:val="13"/>
            </w:pPr>
            <w:r>
              <w:t>数量指标</w:t>
            </w:r>
          </w:p>
        </w:tc>
        <w:tc>
          <w:tcPr>
            <w:tcW w:w="2835" w:type="dxa"/>
            <w:vAlign w:val="center"/>
          </w:tcPr>
          <w:p w14:paraId="49D65741">
            <w:pPr>
              <w:pStyle w:val="13"/>
            </w:pPr>
            <w:r>
              <w:t xml:space="preserve"> 增加公益性项目面积</w:t>
            </w:r>
          </w:p>
        </w:tc>
        <w:tc>
          <w:tcPr>
            <w:tcW w:w="5386" w:type="dxa"/>
            <w:vAlign w:val="center"/>
          </w:tcPr>
          <w:p w14:paraId="3CFAA2FC">
            <w:pPr>
              <w:pStyle w:val="13"/>
            </w:pPr>
            <w:r>
              <w:t>增加公益性项目面积</w:t>
            </w:r>
          </w:p>
        </w:tc>
        <w:tc>
          <w:tcPr>
            <w:tcW w:w="2268" w:type="dxa"/>
            <w:vAlign w:val="center"/>
          </w:tcPr>
          <w:p w14:paraId="5251B0E9">
            <w:pPr>
              <w:pStyle w:val="13"/>
            </w:pPr>
            <w:r>
              <w:t>≥38726平方米</w:t>
            </w:r>
          </w:p>
        </w:tc>
        <w:tc>
          <w:tcPr>
            <w:tcW w:w="1276" w:type="dxa"/>
            <w:vAlign w:val="center"/>
          </w:tcPr>
          <w:p w14:paraId="7A527C6B">
            <w:pPr>
              <w:pStyle w:val="13"/>
            </w:pPr>
            <w:r>
              <w:t>项目可行性研究报告</w:t>
            </w:r>
          </w:p>
        </w:tc>
      </w:tr>
      <w:tr w14:paraId="6515E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625D9"/>
        </w:tc>
        <w:tc>
          <w:tcPr>
            <w:tcW w:w="2268" w:type="dxa"/>
            <w:vAlign w:val="center"/>
          </w:tcPr>
          <w:p w14:paraId="6A8A0B38">
            <w:pPr>
              <w:pStyle w:val="13"/>
            </w:pPr>
            <w:r>
              <w:t>质量指标</w:t>
            </w:r>
          </w:p>
        </w:tc>
        <w:tc>
          <w:tcPr>
            <w:tcW w:w="2835" w:type="dxa"/>
            <w:vAlign w:val="center"/>
          </w:tcPr>
          <w:p w14:paraId="4D29A2E0">
            <w:pPr>
              <w:pStyle w:val="13"/>
            </w:pPr>
            <w:r>
              <w:t xml:space="preserve"> 项目规划编制完整性、合规性</w:t>
            </w:r>
          </w:p>
        </w:tc>
        <w:tc>
          <w:tcPr>
            <w:tcW w:w="5386" w:type="dxa"/>
            <w:vAlign w:val="center"/>
          </w:tcPr>
          <w:p w14:paraId="7648C49C">
            <w:pPr>
              <w:pStyle w:val="13"/>
            </w:pPr>
            <w:r>
              <w:t>专用设备购置质量合格率</w:t>
            </w:r>
          </w:p>
        </w:tc>
        <w:tc>
          <w:tcPr>
            <w:tcW w:w="2268" w:type="dxa"/>
            <w:vAlign w:val="center"/>
          </w:tcPr>
          <w:p w14:paraId="0923B1A0">
            <w:pPr>
              <w:pStyle w:val="13"/>
            </w:pPr>
            <w:r>
              <w:t>≥100%</w:t>
            </w:r>
          </w:p>
        </w:tc>
        <w:tc>
          <w:tcPr>
            <w:tcW w:w="1276" w:type="dxa"/>
            <w:vAlign w:val="center"/>
          </w:tcPr>
          <w:p w14:paraId="5F506B95">
            <w:pPr>
              <w:pStyle w:val="13"/>
            </w:pPr>
            <w:r>
              <w:t>项目可行性研究报告</w:t>
            </w:r>
          </w:p>
        </w:tc>
      </w:tr>
      <w:tr w14:paraId="48778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3431A"/>
        </w:tc>
        <w:tc>
          <w:tcPr>
            <w:tcW w:w="2268" w:type="dxa"/>
            <w:vAlign w:val="center"/>
          </w:tcPr>
          <w:p w14:paraId="6D95C5D8">
            <w:pPr>
              <w:pStyle w:val="13"/>
            </w:pPr>
            <w:r>
              <w:t>质量指标</w:t>
            </w:r>
          </w:p>
        </w:tc>
        <w:tc>
          <w:tcPr>
            <w:tcW w:w="2835" w:type="dxa"/>
            <w:vAlign w:val="center"/>
          </w:tcPr>
          <w:p w14:paraId="40C698E8">
            <w:pPr>
              <w:pStyle w:val="13"/>
            </w:pPr>
            <w:r>
              <w:t xml:space="preserve"> 项目验收合格率</w:t>
            </w:r>
          </w:p>
        </w:tc>
        <w:tc>
          <w:tcPr>
            <w:tcW w:w="5386" w:type="dxa"/>
            <w:vAlign w:val="center"/>
          </w:tcPr>
          <w:p w14:paraId="771BB3C3">
            <w:pPr>
              <w:pStyle w:val="13"/>
            </w:pPr>
            <w:r>
              <w:t>学校购置设备完成情况</w:t>
            </w:r>
          </w:p>
        </w:tc>
        <w:tc>
          <w:tcPr>
            <w:tcW w:w="2268" w:type="dxa"/>
            <w:vAlign w:val="center"/>
          </w:tcPr>
          <w:p w14:paraId="47AA4AA6">
            <w:pPr>
              <w:pStyle w:val="13"/>
            </w:pPr>
            <w:r>
              <w:t>≥100%</w:t>
            </w:r>
          </w:p>
        </w:tc>
        <w:tc>
          <w:tcPr>
            <w:tcW w:w="1276" w:type="dxa"/>
            <w:vAlign w:val="center"/>
          </w:tcPr>
          <w:p w14:paraId="340D94B8">
            <w:pPr>
              <w:pStyle w:val="13"/>
            </w:pPr>
            <w:r>
              <w:t>项目可行性研究报告</w:t>
            </w:r>
          </w:p>
        </w:tc>
      </w:tr>
      <w:tr w14:paraId="42FA9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F7AB0"/>
        </w:tc>
        <w:tc>
          <w:tcPr>
            <w:tcW w:w="2268" w:type="dxa"/>
            <w:vAlign w:val="center"/>
          </w:tcPr>
          <w:p w14:paraId="41EC1DA7">
            <w:pPr>
              <w:pStyle w:val="13"/>
            </w:pPr>
            <w:r>
              <w:t>质量指标</w:t>
            </w:r>
          </w:p>
        </w:tc>
        <w:tc>
          <w:tcPr>
            <w:tcW w:w="2835" w:type="dxa"/>
            <w:vAlign w:val="center"/>
          </w:tcPr>
          <w:p w14:paraId="51DE66CD">
            <w:pPr>
              <w:pStyle w:val="13"/>
            </w:pPr>
            <w:r>
              <w:t xml:space="preserve"> 项目开展符合当地实际情况并实行重点倾斜</w:t>
            </w:r>
          </w:p>
        </w:tc>
        <w:tc>
          <w:tcPr>
            <w:tcW w:w="5386" w:type="dxa"/>
            <w:vAlign w:val="center"/>
          </w:tcPr>
          <w:p w14:paraId="51C7F146">
            <w:pPr>
              <w:pStyle w:val="13"/>
            </w:pPr>
            <w:r>
              <w:t>项目开展符合当地实际情况并实行重点倾斜</w:t>
            </w:r>
          </w:p>
        </w:tc>
        <w:tc>
          <w:tcPr>
            <w:tcW w:w="2268" w:type="dxa"/>
            <w:vAlign w:val="center"/>
          </w:tcPr>
          <w:p w14:paraId="1FA8EFC3">
            <w:pPr>
              <w:pStyle w:val="13"/>
            </w:pPr>
            <w:r>
              <w:t>100%</w:t>
            </w:r>
          </w:p>
        </w:tc>
        <w:tc>
          <w:tcPr>
            <w:tcW w:w="1276" w:type="dxa"/>
            <w:vAlign w:val="center"/>
          </w:tcPr>
          <w:p w14:paraId="7BAEFFFA">
            <w:pPr>
              <w:pStyle w:val="13"/>
            </w:pPr>
            <w:r>
              <w:t>项目可行性研究报告</w:t>
            </w:r>
          </w:p>
        </w:tc>
      </w:tr>
      <w:tr w14:paraId="65A85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5354F"/>
        </w:tc>
        <w:tc>
          <w:tcPr>
            <w:tcW w:w="2268" w:type="dxa"/>
            <w:vAlign w:val="center"/>
          </w:tcPr>
          <w:p w14:paraId="66693F14">
            <w:pPr>
              <w:pStyle w:val="13"/>
            </w:pPr>
            <w:r>
              <w:t>质量指标</w:t>
            </w:r>
          </w:p>
        </w:tc>
        <w:tc>
          <w:tcPr>
            <w:tcW w:w="2835" w:type="dxa"/>
            <w:vAlign w:val="center"/>
          </w:tcPr>
          <w:p w14:paraId="6D46A55C">
            <w:pPr>
              <w:pStyle w:val="13"/>
            </w:pPr>
            <w:r>
              <w:t xml:space="preserve"> 按规定标明宣传标识</w:t>
            </w:r>
          </w:p>
        </w:tc>
        <w:tc>
          <w:tcPr>
            <w:tcW w:w="5386" w:type="dxa"/>
            <w:vAlign w:val="center"/>
          </w:tcPr>
          <w:p w14:paraId="5564E510">
            <w:pPr>
              <w:pStyle w:val="13"/>
            </w:pPr>
            <w:r>
              <w:t>按规定标明宣传标识</w:t>
            </w:r>
          </w:p>
        </w:tc>
        <w:tc>
          <w:tcPr>
            <w:tcW w:w="2268" w:type="dxa"/>
            <w:vAlign w:val="center"/>
          </w:tcPr>
          <w:p w14:paraId="33D12BAA">
            <w:pPr>
              <w:pStyle w:val="13"/>
            </w:pPr>
            <w:r>
              <w:t>100%</w:t>
            </w:r>
          </w:p>
        </w:tc>
        <w:tc>
          <w:tcPr>
            <w:tcW w:w="1276" w:type="dxa"/>
            <w:vAlign w:val="center"/>
          </w:tcPr>
          <w:p w14:paraId="0CFB92C7">
            <w:pPr>
              <w:pStyle w:val="13"/>
            </w:pPr>
            <w:r>
              <w:t>项目可行性研究报告</w:t>
            </w:r>
          </w:p>
        </w:tc>
      </w:tr>
      <w:tr w14:paraId="1B086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4E969"/>
        </w:tc>
        <w:tc>
          <w:tcPr>
            <w:tcW w:w="2268" w:type="dxa"/>
            <w:vAlign w:val="center"/>
          </w:tcPr>
          <w:p w14:paraId="23647189">
            <w:pPr>
              <w:pStyle w:val="13"/>
            </w:pPr>
            <w:r>
              <w:t>时效指标</w:t>
            </w:r>
          </w:p>
        </w:tc>
        <w:tc>
          <w:tcPr>
            <w:tcW w:w="2835" w:type="dxa"/>
            <w:vAlign w:val="center"/>
          </w:tcPr>
          <w:p w14:paraId="0DCEA4D3">
            <w:pPr>
              <w:pStyle w:val="13"/>
            </w:pPr>
            <w:r>
              <w:t xml:space="preserve"> 工作任务及时完成率</w:t>
            </w:r>
          </w:p>
        </w:tc>
        <w:tc>
          <w:tcPr>
            <w:tcW w:w="5386" w:type="dxa"/>
            <w:vAlign w:val="center"/>
          </w:tcPr>
          <w:p w14:paraId="2EA71836">
            <w:pPr>
              <w:pStyle w:val="13"/>
            </w:pPr>
            <w:r>
              <w:t>工作任务及时完成率</w:t>
            </w:r>
          </w:p>
        </w:tc>
        <w:tc>
          <w:tcPr>
            <w:tcW w:w="2268" w:type="dxa"/>
            <w:vAlign w:val="center"/>
          </w:tcPr>
          <w:p w14:paraId="0AD96227">
            <w:pPr>
              <w:pStyle w:val="13"/>
            </w:pPr>
            <w:r>
              <w:t>≥95%</w:t>
            </w:r>
          </w:p>
        </w:tc>
        <w:tc>
          <w:tcPr>
            <w:tcW w:w="1276" w:type="dxa"/>
            <w:vAlign w:val="center"/>
          </w:tcPr>
          <w:p w14:paraId="694FE88C">
            <w:pPr>
              <w:pStyle w:val="13"/>
            </w:pPr>
            <w:r>
              <w:t>项目可行性研究报告</w:t>
            </w:r>
          </w:p>
        </w:tc>
      </w:tr>
      <w:tr w14:paraId="025B6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71CDD"/>
        </w:tc>
        <w:tc>
          <w:tcPr>
            <w:tcW w:w="2268" w:type="dxa"/>
            <w:vAlign w:val="center"/>
          </w:tcPr>
          <w:p w14:paraId="37A44582">
            <w:pPr>
              <w:pStyle w:val="13"/>
            </w:pPr>
            <w:r>
              <w:t>时效指标</w:t>
            </w:r>
          </w:p>
        </w:tc>
        <w:tc>
          <w:tcPr>
            <w:tcW w:w="2835" w:type="dxa"/>
            <w:vAlign w:val="center"/>
          </w:tcPr>
          <w:p w14:paraId="737B1A8F">
            <w:pPr>
              <w:pStyle w:val="13"/>
            </w:pPr>
            <w:r>
              <w:t xml:space="preserve"> 按时上报资金使用情况</w:t>
            </w:r>
          </w:p>
        </w:tc>
        <w:tc>
          <w:tcPr>
            <w:tcW w:w="5386" w:type="dxa"/>
            <w:vAlign w:val="center"/>
          </w:tcPr>
          <w:p w14:paraId="33D848E1">
            <w:pPr>
              <w:pStyle w:val="13"/>
            </w:pPr>
            <w:r>
              <w:t>按时上报资金使用情况</w:t>
            </w:r>
          </w:p>
        </w:tc>
        <w:tc>
          <w:tcPr>
            <w:tcW w:w="2268" w:type="dxa"/>
            <w:vAlign w:val="center"/>
          </w:tcPr>
          <w:p w14:paraId="30ECE0B8">
            <w:pPr>
              <w:pStyle w:val="13"/>
            </w:pPr>
            <w:r>
              <w:t>100%</w:t>
            </w:r>
          </w:p>
        </w:tc>
        <w:tc>
          <w:tcPr>
            <w:tcW w:w="1276" w:type="dxa"/>
            <w:vAlign w:val="center"/>
          </w:tcPr>
          <w:p w14:paraId="68BF5B29">
            <w:pPr>
              <w:pStyle w:val="13"/>
            </w:pPr>
            <w:r>
              <w:t>项目可行性研究报告</w:t>
            </w:r>
          </w:p>
        </w:tc>
      </w:tr>
      <w:tr w14:paraId="590BC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E83B0"/>
        </w:tc>
        <w:tc>
          <w:tcPr>
            <w:tcW w:w="2268" w:type="dxa"/>
            <w:vAlign w:val="center"/>
          </w:tcPr>
          <w:p w14:paraId="15F6FFB0">
            <w:pPr>
              <w:pStyle w:val="13"/>
            </w:pPr>
            <w:r>
              <w:t>时效指标</w:t>
            </w:r>
          </w:p>
        </w:tc>
        <w:tc>
          <w:tcPr>
            <w:tcW w:w="2835" w:type="dxa"/>
            <w:vAlign w:val="center"/>
          </w:tcPr>
          <w:p w14:paraId="5931C1BB">
            <w:pPr>
              <w:pStyle w:val="13"/>
            </w:pPr>
            <w:r>
              <w:t xml:space="preserve"> 按时向社会公告项目实施情况</w:t>
            </w:r>
          </w:p>
        </w:tc>
        <w:tc>
          <w:tcPr>
            <w:tcW w:w="5386" w:type="dxa"/>
            <w:vAlign w:val="center"/>
          </w:tcPr>
          <w:p w14:paraId="6D48A447">
            <w:pPr>
              <w:pStyle w:val="13"/>
            </w:pPr>
            <w:r>
              <w:t>按时向社会公告项目实施情况</w:t>
            </w:r>
          </w:p>
        </w:tc>
        <w:tc>
          <w:tcPr>
            <w:tcW w:w="2268" w:type="dxa"/>
            <w:vAlign w:val="center"/>
          </w:tcPr>
          <w:p w14:paraId="350FFE22">
            <w:pPr>
              <w:pStyle w:val="13"/>
            </w:pPr>
            <w:r>
              <w:t>100%</w:t>
            </w:r>
          </w:p>
        </w:tc>
        <w:tc>
          <w:tcPr>
            <w:tcW w:w="1276" w:type="dxa"/>
            <w:vAlign w:val="center"/>
          </w:tcPr>
          <w:p w14:paraId="34FDD47E">
            <w:pPr>
              <w:pStyle w:val="13"/>
            </w:pPr>
            <w:r>
              <w:t>项目可行性研究报告</w:t>
            </w:r>
          </w:p>
        </w:tc>
      </w:tr>
      <w:tr w14:paraId="4DC43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7AE3F"/>
        </w:tc>
        <w:tc>
          <w:tcPr>
            <w:tcW w:w="2268" w:type="dxa"/>
            <w:vAlign w:val="center"/>
          </w:tcPr>
          <w:p w14:paraId="67DA59DC">
            <w:pPr>
              <w:pStyle w:val="13"/>
            </w:pPr>
            <w:r>
              <w:t>成本指标</w:t>
            </w:r>
          </w:p>
        </w:tc>
        <w:tc>
          <w:tcPr>
            <w:tcW w:w="2835" w:type="dxa"/>
            <w:vAlign w:val="center"/>
          </w:tcPr>
          <w:p w14:paraId="28F1D4D9">
            <w:pPr>
              <w:pStyle w:val="13"/>
            </w:pPr>
            <w:r>
              <w:t>项目成本控制情况</w:t>
            </w:r>
          </w:p>
        </w:tc>
        <w:tc>
          <w:tcPr>
            <w:tcW w:w="5386" w:type="dxa"/>
            <w:vAlign w:val="center"/>
          </w:tcPr>
          <w:p w14:paraId="7A333D5D">
            <w:pPr>
              <w:pStyle w:val="13"/>
            </w:pPr>
            <w:r>
              <w:t>严格按照招标价格及审计额进行</w:t>
            </w:r>
          </w:p>
        </w:tc>
        <w:tc>
          <w:tcPr>
            <w:tcW w:w="2268" w:type="dxa"/>
            <w:vAlign w:val="center"/>
          </w:tcPr>
          <w:p w14:paraId="7D4FB170">
            <w:pPr>
              <w:pStyle w:val="13"/>
            </w:pPr>
            <w:r>
              <w:t>100%</w:t>
            </w:r>
          </w:p>
        </w:tc>
        <w:tc>
          <w:tcPr>
            <w:tcW w:w="1276" w:type="dxa"/>
            <w:vAlign w:val="center"/>
          </w:tcPr>
          <w:p w14:paraId="20144129">
            <w:pPr>
              <w:pStyle w:val="13"/>
            </w:pPr>
            <w:r>
              <w:t>项目可行性研究报告</w:t>
            </w:r>
          </w:p>
        </w:tc>
      </w:tr>
      <w:tr w14:paraId="5969E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FAAD99">
            <w:pPr>
              <w:pStyle w:val="12"/>
            </w:pPr>
            <w:r>
              <w:t>效益指标</w:t>
            </w:r>
          </w:p>
        </w:tc>
        <w:tc>
          <w:tcPr>
            <w:tcW w:w="2268" w:type="dxa"/>
            <w:vAlign w:val="center"/>
          </w:tcPr>
          <w:p w14:paraId="6021E03E">
            <w:pPr>
              <w:pStyle w:val="13"/>
            </w:pPr>
            <w:r>
              <w:t>可持续影响指标</w:t>
            </w:r>
          </w:p>
        </w:tc>
        <w:tc>
          <w:tcPr>
            <w:tcW w:w="2835" w:type="dxa"/>
            <w:vAlign w:val="center"/>
          </w:tcPr>
          <w:p w14:paraId="55CA7A02">
            <w:pPr>
              <w:pStyle w:val="13"/>
            </w:pPr>
            <w:r>
              <w:t>提升办学条件</w:t>
            </w:r>
          </w:p>
        </w:tc>
        <w:tc>
          <w:tcPr>
            <w:tcW w:w="5386" w:type="dxa"/>
            <w:vAlign w:val="center"/>
          </w:tcPr>
          <w:p w14:paraId="2119E0B0">
            <w:pPr>
              <w:pStyle w:val="13"/>
            </w:pPr>
            <w:r>
              <w:t>有效提高教学条件及教学环境</w:t>
            </w:r>
          </w:p>
        </w:tc>
        <w:tc>
          <w:tcPr>
            <w:tcW w:w="2268" w:type="dxa"/>
            <w:vAlign w:val="center"/>
          </w:tcPr>
          <w:p w14:paraId="5FDBA94B">
            <w:pPr>
              <w:pStyle w:val="13"/>
            </w:pPr>
            <w:r>
              <w:t>≥90 %</w:t>
            </w:r>
          </w:p>
        </w:tc>
        <w:tc>
          <w:tcPr>
            <w:tcW w:w="1276" w:type="dxa"/>
            <w:vAlign w:val="center"/>
          </w:tcPr>
          <w:p w14:paraId="477706A5">
            <w:pPr>
              <w:pStyle w:val="13"/>
            </w:pPr>
            <w:r>
              <w:t>项目可行性研究报告</w:t>
            </w:r>
          </w:p>
        </w:tc>
      </w:tr>
      <w:tr w14:paraId="35816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23BD6B">
            <w:pPr>
              <w:pStyle w:val="12"/>
            </w:pPr>
            <w:r>
              <w:t>满意度指标</w:t>
            </w:r>
          </w:p>
        </w:tc>
        <w:tc>
          <w:tcPr>
            <w:tcW w:w="2268" w:type="dxa"/>
            <w:vAlign w:val="center"/>
          </w:tcPr>
          <w:p w14:paraId="6589C551">
            <w:pPr>
              <w:pStyle w:val="13"/>
            </w:pPr>
            <w:r>
              <w:t>服务对象满意度指标</w:t>
            </w:r>
          </w:p>
        </w:tc>
        <w:tc>
          <w:tcPr>
            <w:tcW w:w="2835" w:type="dxa"/>
            <w:vAlign w:val="center"/>
          </w:tcPr>
          <w:p w14:paraId="78685B03">
            <w:pPr>
              <w:pStyle w:val="13"/>
            </w:pPr>
            <w:r>
              <w:t xml:space="preserve"> 项目公益服务时效</w:t>
            </w:r>
          </w:p>
        </w:tc>
        <w:tc>
          <w:tcPr>
            <w:tcW w:w="5386" w:type="dxa"/>
            <w:vAlign w:val="center"/>
          </w:tcPr>
          <w:p w14:paraId="3BEF690C">
            <w:pPr>
              <w:pStyle w:val="13"/>
            </w:pPr>
            <w:r>
              <w:t xml:space="preserve"> 护眼灯使用平均寿命</w:t>
            </w:r>
          </w:p>
        </w:tc>
        <w:tc>
          <w:tcPr>
            <w:tcW w:w="2268" w:type="dxa"/>
            <w:vAlign w:val="center"/>
          </w:tcPr>
          <w:p w14:paraId="22D81937">
            <w:pPr>
              <w:pStyle w:val="13"/>
            </w:pPr>
            <w:r>
              <w:t>≥50000 小时</w:t>
            </w:r>
          </w:p>
        </w:tc>
        <w:tc>
          <w:tcPr>
            <w:tcW w:w="1276" w:type="dxa"/>
            <w:vAlign w:val="center"/>
          </w:tcPr>
          <w:p w14:paraId="0A77A9ED">
            <w:pPr>
              <w:pStyle w:val="13"/>
            </w:pPr>
            <w:r>
              <w:t>项目可行性报告</w:t>
            </w:r>
          </w:p>
        </w:tc>
      </w:tr>
    </w:tbl>
    <w:p w14:paraId="31AB7E3F">
      <w:pPr>
        <w:sectPr>
          <w:pgSz w:w="16840" w:h="11900" w:orient="landscape"/>
          <w:pgMar w:top="1361" w:right="1020" w:bottom="1134" w:left="1020" w:header="720" w:footer="720" w:gutter="0"/>
          <w:cols w:space="720" w:num="1"/>
        </w:sectPr>
      </w:pPr>
    </w:p>
    <w:p w14:paraId="198E6AB3">
      <w:pPr>
        <w:spacing w:before="0" w:after="0"/>
        <w:ind w:firstLine="560"/>
        <w:jc w:val="left"/>
        <w:outlineLvl w:val="9"/>
      </w:pPr>
      <w:r>
        <w:rPr>
          <w:rFonts w:ascii="方正仿宋_GBK" w:hAnsi="方正仿宋_GBK" w:eastAsia="方正仿宋_GBK" w:cs="方正仿宋_GBK"/>
          <w:b/>
          <w:color w:val="000000"/>
          <w:sz w:val="28"/>
        </w:rPr>
        <w:t>114、教育专项经费绩效目标表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7B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B9F8A">
            <w:pPr>
              <w:pStyle w:val="14"/>
            </w:pPr>
            <w:r>
              <w:t>单位：万元</w:t>
            </w:r>
          </w:p>
        </w:tc>
      </w:tr>
      <w:tr w14:paraId="42333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299131">
            <w:pPr>
              <w:pStyle w:val="11"/>
            </w:pPr>
            <w:r>
              <w:t>项目编码</w:t>
            </w:r>
          </w:p>
        </w:tc>
        <w:tc>
          <w:tcPr>
            <w:tcW w:w="5103" w:type="dxa"/>
            <w:gridSpan w:val="2"/>
            <w:vAlign w:val="center"/>
          </w:tcPr>
          <w:p w14:paraId="7F80BB71">
            <w:pPr>
              <w:pStyle w:val="13"/>
            </w:pPr>
            <w:r>
              <w:t>13052525P008764100031</w:t>
            </w:r>
          </w:p>
        </w:tc>
        <w:tc>
          <w:tcPr>
            <w:tcW w:w="2835" w:type="dxa"/>
            <w:vAlign w:val="center"/>
          </w:tcPr>
          <w:p w14:paraId="7252B950">
            <w:pPr>
              <w:pStyle w:val="11"/>
            </w:pPr>
            <w:r>
              <w:t>项目名称</w:t>
            </w:r>
          </w:p>
        </w:tc>
        <w:tc>
          <w:tcPr>
            <w:tcW w:w="6095" w:type="dxa"/>
            <w:gridSpan w:val="3"/>
            <w:vAlign w:val="center"/>
          </w:tcPr>
          <w:p w14:paraId="6D9F85E2">
            <w:pPr>
              <w:pStyle w:val="13"/>
            </w:pPr>
            <w:r>
              <w:t>教育专项经费</w:t>
            </w:r>
          </w:p>
        </w:tc>
      </w:tr>
      <w:tr w14:paraId="1EAA3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627F6">
            <w:pPr>
              <w:pStyle w:val="11"/>
            </w:pPr>
            <w:r>
              <w:t>预算规模及资金用途</w:t>
            </w:r>
          </w:p>
        </w:tc>
        <w:tc>
          <w:tcPr>
            <w:tcW w:w="2268" w:type="dxa"/>
            <w:vAlign w:val="center"/>
          </w:tcPr>
          <w:p w14:paraId="0C0538A2">
            <w:pPr>
              <w:pStyle w:val="11"/>
            </w:pPr>
            <w:r>
              <w:t>预算数</w:t>
            </w:r>
          </w:p>
        </w:tc>
        <w:tc>
          <w:tcPr>
            <w:tcW w:w="2835" w:type="dxa"/>
            <w:vAlign w:val="center"/>
          </w:tcPr>
          <w:p w14:paraId="006BBA6B">
            <w:pPr>
              <w:pStyle w:val="13"/>
            </w:pPr>
            <w:r>
              <w:t>16.00</w:t>
            </w:r>
          </w:p>
        </w:tc>
        <w:tc>
          <w:tcPr>
            <w:tcW w:w="2835" w:type="dxa"/>
            <w:vAlign w:val="center"/>
          </w:tcPr>
          <w:p w14:paraId="7D6B7273">
            <w:pPr>
              <w:pStyle w:val="11"/>
            </w:pPr>
            <w:r>
              <w:t>其中：财政    资金</w:t>
            </w:r>
          </w:p>
        </w:tc>
        <w:tc>
          <w:tcPr>
            <w:tcW w:w="2551" w:type="dxa"/>
            <w:vAlign w:val="center"/>
          </w:tcPr>
          <w:p w14:paraId="6DFB3C04">
            <w:pPr>
              <w:pStyle w:val="13"/>
            </w:pPr>
            <w:r>
              <w:t>16.00</w:t>
            </w:r>
          </w:p>
        </w:tc>
        <w:tc>
          <w:tcPr>
            <w:tcW w:w="2268" w:type="dxa"/>
            <w:vAlign w:val="center"/>
          </w:tcPr>
          <w:p w14:paraId="3F6D1A89">
            <w:pPr>
              <w:pStyle w:val="11"/>
            </w:pPr>
            <w:r>
              <w:t>其他资金</w:t>
            </w:r>
          </w:p>
        </w:tc>
        <w:tc>
          <w:tcPr>
            <w:tcW w:w="1276" w:type="dxa"/>
            <w:vAlign w:val="center"/>
          </w:tcPr>
          <w:p w14:paraId="345C7F06">
            <w:pPr>
              <w:pStyle w:val="13"/>
            </w:pPr>
            <w:r>
              <w:t xml:space="preserve"> </w:t>
            </w:r>
          </w:p>
        </w:tc>
      </w:tr>
      <w:tr w14:paraId="563B7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07E65"/>
        </w:tc>
        <w:tc>
          <w:tcPr>
            <w:tcW w:w="14033" w:type="dxa"/>
            <w:gridSpan w:val="6"/>
            <w:vAlign w:val="center"/>
          </w:tcPr>
          <w:p w14:paraId="7593B8CB">
            <w:pPr>
              <w:pStyle w:val="13"/>
            </w:pPr>
            <w:r>
              <w:t xml:space="preserve"> 完成年度专项工作目标</w:t>
            </w:r>
            <w:r>
              <w:tab/>
            </w:r>
            <w:r>
              <w:tab/>
            </w:r>
            <w:r>
              <w:tab/>
            </w:r>
            <w:r>
              <w:tab/>
            </w:r>
          </w:p>
        </w:tc>
      </w:tr>
      <w:tr w14:paraId="7A50F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C1499">
            <w:pPr>
              <w:pStyle w:val="11"/>
            </w:pPr>
            <w:r>
              <w:t>资金支出计划（%）</w:t>
            </w:r>
          </w:p>
        </w:tc>
        <w:tc>
          <w:tcPr>
            <w:tcW w:w="5103" w:type="dxa"/>
            <w:gridSpan w:val="2"/>
            <w:vAlign w:val="center"/>
          </w:tcPr>
          <w:p w14:paraId="7D12877B">
            <w:pPr>
              <w:pStyle w:val="11"/>
            </w:pPr>
            <w:r>
              <w:t>3月底</w:t>
            </w:r>
          </w:p>
        </w:tc>
        <w:tc>
          <w:tcPr>
            <w:tcW w:w="2835" w:type="dxa"/>
            <w:vAlign w:val="center"/>
          </w:tcPr>
          <w:p w14:paraId="689DACBF">
            <w:pPr>
              <w:pStyle w:val="11"/>
            </w:pPr>
            <w:r>
              <w:t>6月底</w:t>
            </w:r>
          </w:p>
        </w:tc>
        <w:tc>
          <w:tcPr>
            <w:tcW w:w="2551" w:type="dxa"/>
            <w:vAlign w:val="center"/>
          </w:tcPr>
          <w:p w14:paraId="61FC4136">
            <w:pPr>
              <w:pStyle w:val="11"/>
            </w:pPr>
            <w:r>
              <w:t>10月底</w:t>
            </w:r>
          </w:p>
        </w:tc>
        <w:tc>
          <w:tcPr>
            <w:tcW w:w="3544" w:type="dxa"/>
            <w:gridSpan w:val="2"/>
            <w:vAlign w:val="center"/>
          </w:tcPr>
          <w:p w14:paraId="184021A9">
            <w:pPr>
              <w:pStyle w:val="11"/>
            </w:pPr>
            <w:r>
              <w:t>12月底</w:t>
            </w:r>
          </w:p>
        </w:tc>
      </w:tr>
      <w:tr w14:paraId="556E4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14EA2"/>
        </w:tc>
        <w:tc>
          <w:tcPr>
            <w:tcW w:w="5103" w:type="dxa"/>
            <w:gridSpan w:val="2"/>
            <w:vAlign w:val="center"/>
          </w:tcPr>
          <w:p w14:paraId="5E6B58CE">
            <w:pPr>
              <w:pStyle w:val="12"/>
            </w:pPr>
            <w:r>
              <w:t>25%</w:t>
            </w:r>
          </w:p>
        </w:tc>
        <w:tc>
          <w:tcPr>
            <w:tcW w:w="2835" w:type="dxa"/>
            <w:vAlign w:val="center"/>
          </w:tcPr>
          <w:p w14:paraId="5E12ECFB">
            <w:pPr>
              <w:pStyle w:val="12"/>
            </w:pPr>
            <w:r>
              <w:t>50%</w:t>
            </w:r>
          </w:p>
        </w:tc>
        <w:tc>
          <w:tcPr>
            <w:tcW w:w="2551" w:type="dxa"/>
            <w:vAlign w:val="center"/>
          </w:tcPr>
          <w:p w14:paraId="2A10FF96">
            <w:pPr>
              <w:pStyle w:val="12"/>
            </w:pPr>
            <w:r>
              <w:t>75%</w:t>
            </w:r>
          </w:p>
        </w:tc>
        <w:tc>
          <w:tcPr>
            <w:tcW w:w="3544" w:type="dxa"/>
            <w:gridSpan w:val="2"/>
            <w:vAlign w:val="center"/>
          </w:tcPr>
          <w:p w14:paraId="1FBBC9D1">
            <w:pPr>
              <w:pStyle w:val="12"/>
            </w:pPr>
            <w:r>
              <w:t>100%</w:t>
            </w:r>
          </w:p>
        </w:tc>
      </w:tr>
      <w:tr w14:paraId="7E165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3837C5">
            <w:pPr>
              <w:pStyle w:val="11"/>
            </w:pPr>
            <w:r>
              <w:t>绩效目标</w:t>
            </w:r>
          </w:p>
        </w:tc>
        <w:tc>
          <w:tcPr>
            <w:tcW w:w="14033" w:type="dxa"/>
            <w:gridSpan w:val="6"/>
            <w:vAlign w:val="center"/>
          </w:tcPr>
          <w:p w14:paraId="1F9F82C2">
            <w:pPr>
              <w:pStyle w:val="13"/>
            </w:pPr>
            <w:r>
              <w:t>1. 完成年度专项工作目标</w:t>
            </w:r>
          </w:p>
        </w:tc>
      </w:tr>
    </w:tbl>
    <w:p w14:paraId="6687B0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2B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50EDE">
            <w:pPr>
              <w:pStyle w:val="11"/>
            </w:pPr>
            <w:r>
              <w:t>一级指标</w:t>
            </w:r>
          </w:p>
        </w:tc>
        <w:tc>
          <w:tcPr>
            <w:tcW w:w="2268" w:type="dxa"/>
            <w:vAlign w:val="center"/>
          </w:tcPr>
          <w:p w14:paraId="2C1FAF65">
            <w:pPr>
              <w:pStyle w:val="11"/>
            </w:pPr>
            <w:r>
              <w:t>二级指标</w:t>
            </w:r>
          </w:p>
        </w:tc>
        <w:tc>
          <w:tcPr>
            <w:tcW w:w="2835" w:type="dxa"/>
            <w:vAlign w:val="center"/>
          </w:tcPr>
          <w:p w14:paraId="50F1CCD9">
            <w:pPr>
              <w:pStyle w:val="11"/>
            </w:pPr>
            <w:r>
              <w:t>三级指标</w:t>
            </w:r>
          </w:p>
        </w:tc>
        <w:tc>
          <w:tcPr>
            <w:tcW w:w="5386" w:type="dxa"/>
            <w:vAlign w:val="center"/>
          </w:tcPr>
          <w:p w14:paraId="02D2AF05">
            <w:pPr>
              <w:pStyle w:val="11"/>
            </w:pPr>
            <w:r>
              <w:t>绩效指标描述</w:t>
            </w:r>
          </w:p>
        </w:tc>
        <w:tc>
          <w:tcPr>
            <w:tcW w:w="2268" w:type="dxa"/>
            <w:vAlign w:val="center"/>
          </w:tcPr>
          <w:p w14:paraId="6365077D">
            <w:pPr>
              <w:pStyle w:val="11"/>
            </w:pPr>
            <w:r>
              <w:t>指标值</w:t>
            </w:r>
          </w:p>
        </w:tc>
        <w:tc>
          <w:tcPr>
            <w:tcW w:w="1276" w:type="dxa"/>
            <w:vAlign w:val="center"/>
          </w:tcPr>
          <w:p w14:paraId="198AD883">
            <w:pPr>
              <w:pStyle w:val="11"/>
            </w:pPr>
            <w:r>
              <w:t>指标值确定依据</w:t>
            </w:r>
          </w:p>
        </w:tc>
      </w:tr>
      <w:tr w14:paraId="2C634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13BB4">
            <w:pPr>
              <w:pStyle w:val="12"/>
            </w:pPr>
            <w:r>
              <w:t>产出指标</w:t>
            </w:r>
          </w:p>
        </w:tc>
        <w:tc>
          <w:tcPr>
            <w:tcW w:w="2268" w:type="dxa"/>
            <w:vAlign w:val="center"/>
          </w:tcPr>
          <w:p w14:paraId="3F118A53">
            <w:pPr>
              <w:pStyle w:val="13"/>
            </w:pPr>
            <w:r>
              <w:t>数量指标</w:t>
            </w:r>
          </w:p>
        </w:tc>
        <w:tc>
          <w:tcPr>
            <w:tcW w:w="2835" w:type="dxa"/>
            <w:vAlign w:val="center"/>
          </w:tcPr>
          <w:p w14:paraId="731205FD">
            <w:pPr>
              <w:pStyle w:val="13"/>
            </w:pPr>
            <w:r>
              <w:t xml:space="preserve"> 完成年度督导、语言文字、优质教育发展等专项工作</w:t>
            </w:r>
          </w:p>
        </w:tc>
        <w:tc>
          <w:tcPr>
            <w:tcW w:w="5386" w:type="dxa"/>
            <w:vAlign w:val="center"/>
          </w:tcPr>
          <w:p w14:paraId="519C8562">
            <w:pPr>
              <w:pStyle w:val="13"/>
            </w:pPr>
            <w:r>
              <w:t xml:space="preserve"> 完成年度专项工作</w:t>
            </w:r>
          </w:p>
        </w:tc>
        <w:tc>
          <w:tcPr>
            <w:tcW w:w="2268" w:type="dxa"/>
            <w:vAlign w:val="center"/>
          </w:tcPr>
          <w:p w14:paraId="63CE23A1">
            <w:pPr>
              <w:pStyle w:val="13"/>
            </w:pPr>
            <w:r>
              <w:t>≥98%</w:t>
            </w:r>
          </w:p>
        </w:tc>
        <w:tc>
          <w:tcPr>
            <w:tcW w:w="1276" w:type="dxa"/>
            <w:vAlign w:val="center"/>
          </w:tcPr>
          <w:p w14:paraId="7B21B8D0">
            <w:pPr>
              <w:pStyle w:val="13"/>
            </w:pPr>
            <w:r>
              <w:t>年度计划</w:t>
            </w:r>
          </w:p>
        </w:tc>
      </w:tr>
      <w:tr w14:paraId="635C1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DAFF5"/>
        </w:tc>
        <w:tc>
          <w:tcPr>
            <w:tcW w:w="2268" w:type="dxa"/>
            <w:vAlign w:val="center"/>
          </w:tcPr>
          <w:p w14:paraId="40A9BFA6">
            <w:pPr>
              <w:pStyle w:val="13"/>
            </w:pPr>
            <w:r>
              <w:t>质量指标</w:t>
            </w:r>
          </w:p>
        </w:tc>
        <w:tc>
          <w:tcPr>
            <w:tcW w:w="2835" w:type="dxa"/>
            <w:vAlign w:val="center"/>
          </w:tcPr>
          <w:p w14:paraId="5D1CEFD0">
            <w:pPr>
              <w:pStyle w:val="13"/>
            </w:pPr>
            <w:r>
              <w:t>预算执行率</w:t>
            </w:r>
          </w:p>
        </w:tc>
        <w:tc>
          <w:tcPr>
            <w:tcW w:w="5386" w:type="dxa"/>
            <w:vAlign w:val="center"/>
          </w:tcPr>
          <w:p w14:paraId="41CD5FA6">
            <w:pPr>
              <w:pStyle w:val="13"/>
            </w:pPr>
            <w:r>
              <w:t>项目预算执行进度</w:t>
            </w:r>
          </w:p>
        </w:tc>
        <w:tc>
          <w:tcPr>
            <w:tcW w:w="2268" w:type="dxa"/>
            <w:vAlign w:val="center"/>
          </w:tcPr>
          <w:p w14:paraId="620F8224">
            <w:pPr>
              <w:pStyle w:val="13"/>
            </w:pPr>
            <w:r>
              <w:t>≥98%</w:t>
            </w:r>
          </w:p>
        </w:tc>
        <w:tc>
          <w:tcPr>
            <w:tcW w:w="1276" w:type="dxa"/>
            <w:vAlign w:val="center"/>
          </w:tcPr>
          <w:p w14:paraId="7F662E2E">
            <w:pPr>
              <w:pStyle w:val="13"/>
            </w:pPr>
            <w:r>
              <w:t>年度计划</w:t>
            </w:r>
          </w:p>
        </w:tc>
      </w:tr>
      <w:tr w14:paraId="3D0CC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F2F24"/>
        </w:tc>
        <w:tc>
          <w:tcPr>
            <w:tcW w:w="2268" w:type="dxa"/>
            <w:vAlign w:val="center"/>
          </w:tcPr>
          <w:p w14:paraId="02877027">
            <w:pPr>
              <w:pStyle w:val="13"/>
            </w:pPr>
            <w:r>
              <w:t>时效指标</w:t>
            </w:r>
          </w:p>
        </w:tc>
        <w:tc>
          <w:tcPr>
            <w:tcW w:w="2835" w:type="dxa"/>
            <w:vAlign w:val="center"/>
          </w:tcPr>
          <w:p w14:paraId="4DF33D1F">
            <w:pPr>
              <w:pStyle w:val="13"/>
            </w:pPr>
            <w:r>
              <w:t>经费拨付完成率</w:t>
            </w:r>
          </w:p>
        </w:tc>
        <w:tc>
          <w:tcPr>
            <w:tcW w:w="5386" w:type="dxa"/>
            <w:vAlign w:val="center"/>
          </w:tcPr>
          <w:p w14:paraId="74708D30">
            <w:pPr>
              <w:pStyle w:val="13"/>
            </w:pPr>
            <w:r>
              <w:t>经费拨付完成率达到需时进度</w:t>
            </w:r>
          </w:p>
        </w:tc>
        <w:tc>
          <w:tcPr>
            <w:tcW w:w="2268" w:type="dxa"/>
            <w:vAlign w:val="center"/>
          </w:tcPr>
          <w:p w14:paraId="3712DDFA">
            <w:pPr>
              <w:pStyle w:val="13"/>
            </w:pPr>
            <w:r>
              <w:t>≥98%</w:t>
            </w:r>
          </w:p>
        </w:tc>
        <w:tc>
          <w:tcPr>
            <w:tcW w:w="1276" w:type="dxa"/>
            <w:vAlign w:val="center"/>
          </w:tcPr>
          <w:p w14:paraId="47D84394">
            <w:pPr>
              <w:pStyle w:val="13"/>
            </w:pPr>
            <w:r>
              <w:t>年度计划</w:t>
            </w:r>
          </w:p>
        </w:tc>
      </w:tr>
      <w:tr w14:paraId="2EB6A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2525E"/>
        </w:tc>
        <w:tc>
          <w:tcPr>
            <w:tcW w:w="2268" w:type="dxa"/>
            <w:vAlign w:val="center"/>
          </w:tcPr>
          <w:p w14:paraId="1A951DD9">
            <w:pPr>
              <w:pStyle w:val="13"/>
            </w:pPr>
            <w:r>
              <w:t>成本指标</w:t>
            </w:r>
          </w:p>
        </w:tc>
        <w:tc>
          <w:tcPr>
            <w:tcW w:w="2835" w:type="dxa"/>
            <w:vAlign w:val="center"/>
          </w:tcPr>
          <w:p w14:paraId="6FE8941D">
            <w:pPr>
              <w:pStyle w:val="13"/>
            </w:pPr>
            <w:r>
              <w:t>不超预算</w:t>
            </w:r>
          </w:p>
        </w:tc>
        <w:tc>
          <w:tcPr>
            <w:tcW w:w="5386" w:type="dxa"/>
            <w:vAlign w:val="center"/>
          </w:tcPr>
          <w:p w14:paraId="53C4BBB9">
            <w:pPr>
              <w:pStyle w:val="13"/>
            </w:pPr>
            <w:r>
              <w:t>不超预算</w:t>
            </w:r>
          </w:p>
        </w:tc>
        <w:tc>
          <w:tcPr>
            <w:tcW w:w="2268" w:type="dxa"/>
            <w:vAlign w:val="center"/>
          </w:tcPr>
          <w:p w14:paraId="0A013CF9">
            <w:pPr>
              <w:pStyle w:val="13"/>
            </w:pPr>
            <w:r>
              <w:t>≤160000元</w:t>
            </w:r>
          </w:p>
        </w:tc>
        <w:tc>
          <w:tcPr>
            <w:tcW w:w="1276" w:type="dxa"/>
            <w:vAlign w:val="center"/>
          </w:tcPr>
          <w:p w14:paraId="2FFC0781">
            <w:pPr>
              <w:pStyle w:val="13"/>
            </w:pPr>
            <w:r>
              <w:t>年度计划</w:t>
            </w:r>
          </w:p>
        </w:tc>
      </w:tr>
      <w:tr w14:paraId="172DE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0922EB">
            <w:pPr>
              <w:pStyle w:val="12"/>
            </w:pPr>
            <w:r>
              <w:t>效益指标</w:t>
            </w:r>
          </w:p>
        </w:tc>
        <w:tc>
          <w:tcPr>
            <w:tcW w:w="2268" w:type="dxa"/>
            <w:vAlign w:val="center"/>
          </w:tcPr>
          <w:p w14:paraId="56687EE4">
            <w:pPr>
              <w:pStyle w:val="13"/>
            </w:pPr>
            <w:r>
              <w:t>可持续影响指标</w:t>
            </w:r>
          </w:p>
        </w:tc>
        <w:tc>
          <w:tcPr>
            <w:tcW w:w="2835" w:type="dxa"/>
            <w:vAlign w:val="center"/>
          </w:tcPr>
          <w:p w14:paraId="32B4A1EF">
            <w:pPr>
              <w:pStyle w:val="13"/>
            </w:pPr>
            <w:r>
              <w:t>项目实施成果</w:t>
            </w:r>
          </w:p>
        </w:tc>
        <w:tc>
          <w:tcPr>
            <w:tcW w:w="5386" w:type="dxa"/>
            <w:vAlign w:val="center"/>
          </w:tcPr>
          <w:p w14:paraId="5D562420">
            <w:pPr>
              <w:pStyle w:val="13"/>
            </w:pPr>
            <w:r>
              <w:t xml:space="preserve"> 完成年度专项工作目标</w:t>
            </w:r>
          </w:p>
        </w:tc>
        <w:tc>
          <w:tcPr>
            <w:tcW w:w="2268" w:type="dxa"/>
            <w:vAlign w:val="center"/>
          </w:tcPr>
          <w:p w14:paraId="19E84142">
            <w:pPr>
              <w:pStyle w:val="13"/>
            </w:pPr>
            <w:r>
              <w:t>≥95%</w:t>
            </w:r>
          </w:p>
        </w:tc>
        <w:tc>
          <w:tcPr>
            <w:tcW w:w="1276" w:type="dxa"/>
            <w:vAlign w:val="center"/>
          </w:tcPr>
          <w:p w14:paraId="50A92E6B">
            <w:pPr>
              <w:pStyle w:val="13"/>
            </w:pPr>
            <w:r>
              <w:t>年度计划</w:t>
            </w:r>
          </w:p>
        </w:tc>
      </w:tr>
      <w:tr w14:paraId="5B5EA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69F81D">
            <w:pPr>
              <w:pStyle w:val="12"/>
            </w:pPr>
            <w:r>
              <w:t>满意度指标</w:t>
            </w:r>
          </w:p>
        </w:tc>
        <w:tc>
          <w:tcPr>
            <w:tcW w:w="2268" w:type="dxa"/>
            <w:vAlign w:val="center"/>
          </w:tcPr>
          <w:p w14:paraId="7331BC65">
            <w:pPr>
              <w:pStyle w:val="13"/>
            </w:pPr>
            <w:r>
              <w:t>服务对象满意度指标</w:t>
            </w:r>
          </w:p>
        </w:tc>
        <w:tc>
          <w:tcPr>
            <w:tcW w:w="2835" w:type="dxa"/>
            <w:vAlign w:val="center"/>
          </w:tcPr>
          <w:p w14:paraId="68462BD5">
            <w:pPr>
              <w:pStyle w:val="13"/>
            </w:pPr>
            <w:r>
              <w:t xml:space="preserve"> 受益人群满意度</w:t>
            </w:r>
          </w:p>
        </w:tc>
        <w:tc>
          <w:tcPr>
            <w:tcW w:w="5386" w:type="dxa"/>
            <w:vAlign w:val="center"/>
          </w:tcPr>
          <w:p w14:paraId="7291633E">
            <w:pPr>
              <w:pStyle w:val="13"/>
            </w:pPr>
            <w:r>
              <w:t>学生、教师及家长对教育工作满意度情况</w:t>
            </w:r>
          </w:p>
        </w:tc>
        <w:tc>
          <w:tcPr>
            <w:tcW w:w="2268" w:type="dxa"/>
            <w:vAlign w:val="center"/>
          </w:tcPr>
          <w:p w14:paraId="7885143F">
            <w:pPr>
              <w:pStyle w:val="13"/>
            </w:pPr>
            <w:r>
              <w:t>≥95%</w:t>
            </w:r>
          </w:p>
        </w:tc>
        <w:tc>
          <w:tcPr>
            <w:tcW w:w="1276" w:type="dxa"/>
            <w:vAlign w:val="center"/>
          </w:tcPr>
          <w:p w14:paraId="2A1AFA28">
            <w:pPr>
              <w:pStyle w:val="13"/>
            </w:pPr>
            <w:r>
              <w:t>年度计划</w:t>
            </w:r>
          </w:p>
        </w:tc>
      </w:tr>
    </w:tbl>
    <w:p w14:paraId="0F7264F4">
      <w:pPr>
        <w:sectPr>
          <w:pgSz w:w="16840" w:h="11900" w:orient="landscape"/>
          <w:pgMar w:top="1361" w:right="1020" w:bottom="1134" w:left="1020" w:header="720" w:footer="720" w:gutter="0"/>
          <w:cols w:space="720" w:num="1"/>
        </w:sectPr>
      </w:pPr>
    </w:p>
    <w:p w14:paraId="5703A02B">
      <w:pPr>
        <w:spacing w:before="0" w:after="0"/>
        <w:ind w:firstLine="560"/>
        <w:jc w:val="left"/>
        <w:outlineLvl w:val="9"/>
      </w:pPr>
      <w:r>
        <w:rPr>
          <w:rFonts w:ascii="方正仿宋_GBK" w:hAnsi="方正仿宋_GBK" w:eastAsia="方正仿宋_GBK" w:cs="方正仿宋_GBK"/>
          <w:b/>
          <w:color w:val="000000"/>
          <w:sz w:val="28"/>
        </w:rPr>
        <w:t>115、考试考务费专项经费/教育局绩效目标表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FF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788B6">
            <w:pPr>
              <w:pStyle w:val="14"/>
            </w:pPr>
            <w:r>
              <w:t>单位：万元</w:t>
            </w:r>
          </w:p>
        </w:tc>
      </w:tr>
      <w:tr w14:paraId="5D99E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EEFE9B">
            <w:pPr>
              <w:pStyle w:val="11"/>
            </w:pPr>
            <w:r>
              <w:t>项目编码</w:t>
            </w:r>
          </w:p>
        </w:tc>
        <w:tc>
          <w:tcPr>
            <w:tcW w:w="5103" w:type="dxa"/>
            <w:gridSpan w:val="2"/>
            <w:vAlign w:val="center"/>
          </w:tcPr>
          <w:p w14:paraId="3A956B2E">
            <w:pPr>
              <w:pStyle w:val="13"/>
            </w:pPr>
            <w:r>
              <w:t>13052525P00875610091Q</w:t>
            </w:r>
          </w:p>
        </w:tc>
        <w:tc>
          <w:tcPr>
            <w:tcW w:w="2835" w:type="dxa"/>
            <w:vAlign w:val="center"/>
          </w:tcPr>
          <w:p w14:paraId="062D3DFB">
            <w:pPr>
              <w:pStyle w:val="11"/>
            </w:pPr>
            <w:r>
              <w:t>项目名称</w:t>
            </w:r>
          </w:p>
        </w:tc>
        <w:tc>
          <w:tcPr>
            <w:tcW w:w="6095" w:type="dxa"/>
            <w:gridSpan w:val="3"/>
            <w:vAlign w:val="center"/>
          </w:tcPr>
          <w:p w14:paraId="78F54797">
            <w:pPr>
              <w:pStyle w:val="13"/>
            </w:pPr>
            <w:r>
              <w:t>考试考务费专项经费/教育局</w:t>
            </w:r>
          </w:p>
        </w:tc>
      </w:tr>
      <w:tr w14:paraId="6B67F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7C3F8">
            <w:pPr>
              <w:pStyle w:val="11"/>
            </w:pPr>
            <w:r>
              <w:t>预算规模及资金用途</w:t>
            </w:r>
          </w:p>
        </w:tc>
        <w:tc>
          <w:tcPr>
            <w:tcW w:w="2268" w:type="dxa"/>
            <w:vAlign w:val="center"/>
          </w:tcPr>
          <w:p w14:paraId="3739EE54">
            <w:pPr>
              <w:pStyle w:val="11"/>
            </w:pPr>
            <w:r>
              <w:t>预算数</w:t>
            </w:r>
          </w:p>
        </w:tc>
        <w:tc>
          <w:tcPr>
            <w:tcW w:w="2835" w:type="dxa"/>
            <w:vAlign w:val="center"/>
          </w:tcPr>
          <w:p w14:paraId="7F97BDF7">
            <w:pPr>
              <w:pStyle w:val="13"/>
            </w:pPr>
            <w:r>
              <w:t>237.03</w:t>
            </w:r>
          </w:p>
        </w:tc>
        <w:tc>
          <w:tcPr>
            <w:tcW w:w="2835" w:type="dxa"/>
            <w:vAlign w:val="center"/>
          </w:tcPr>
          <w:p w14:paraId="36622F3B">
            <w:pPr>
              <w:pStyle w:val="11"/>
            </w:pPr>
            <w:r>
              <w:t>其中：财政    资金</w:t>
            </w:r>
          </w:p>
        </w:tc>
        <w:tc>
          <w:tcPr>
            <w:tcW w:w="2551" w:type="dxa"/>
            <w:vAlign w:val="center"/>
          </w:tcPr>
          <w:p w14:paraId="086E144E">
            <w:pPr>
              <w:pStyle w:val="13"/>
            </w:pPr>
            <w:r>
              <w:t>237.03</w:t>
            </w:r>
          </w:p>
        </w:tc>
        <w:tc>
          <w:tcPr>
            <w:tcW w:w="2268" w:type="dxa"/>
            <w:vAlign w:val="center"/>
          </w:tcPr>
          <w:p w14:paraId="7F3B9A46">
            <w:pPr>
              <w:pStyle w:val="11"/>
            </w:pPr>
            <w:r>
              <w:t>其他资金</w:t>
            </w:r>
          </w:p>
        </w:tc>
        <w:tc>
          <w:tcPr>
            <w:tcW w:w="1276" w:type="dxa"/>
            <w:vAlign w:val="center"/>
          </w:tcPr>
          <w:p w14:paraId="7A7EE57E">
            <w:pPr>
              <w:pStyle w:val="13"/>
            </w:pPr>
            <w:r>
              <w:t xml:space="preserve"> </w:t>
            </w:r>
          </w:p>
        </w:tc>
      </w:tr>
      <w:tr w14:paraId="1B6FE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A20B22"/>
        </w:tc>
        <w:tc>
          <w:tcPr>
            <w:tcW w:w="14033" w:type="dxa"/>
            <w:gridSpan w:val="6"/>
            <w:vAlign w:val="center"/>
          </w:tcPr>
          <w:p w14:paraId="1C662DAB">
            <w:pPr>
              <w:pStyle w:val="13"/>
            </w:pPr>
            <w:r>
              <w:t>用于中高考、学考等各项考试顺利进行的各项开支</w:t>
            </w:r>
            <w:r>
              <w:tab/>
            </w:r>
          </w:p>
        </w:tc>
      </w:tr>
      <w:tr w14:paraId="7EC7C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15628">
            <w:pPr>
              <w:pStyle w:val="11"/>
            </w:pPr>
            <w:r>
              <w:t>资金支出计划（%）</w:t>
            </w:r>
          </w:p>
        </w:tc>
        <w:tc>
          <w:tcPr>
            <w:tcW w:w="5103" w:type="dxa"/>
            <w:gridSpan w:val="2"/>
            <w:vAlign w:val="center"/>
          </w:tcPr>
          <w:p w14:paraId="282046CC">
            <w:pPr>
              <w:pStyle w:val="11"/>
            </w:pPr>
            <w:r>
              <w:t>3月底</w:t>
            </w:r>
          </w:p>
        </w:tc>
        <w:tc>
          <w:tcPr>
            <w:tcW w:w="2835" w:type="dxa"/>
            <w:vAlign w:val="center"/>
          </w:tcPr>
          <w:p w14:paraId="1BFA059D">
            <w:pPr>
              <w:pStyle w:val="11"/>
            </w:pPr>
            <w:r>
              <w:t>6月底</w:t>
            </w:r>
          </w:p>
        </w:tc>
        <w:tc>
          <w:tcPr>
            <w:tcW w:w="2551" w:type="dxa"/>
            <w:vAlign w:val="center"/>
          </w:tcPr>
          <w:p w14:paraId="1D43B16A">
            <w:pPr>
              <w:pStyle w:val="11"/>
            </w:pPr>
            <w:r>
              <w:t>10月底</w:t>
            </w:r>
          </w:p>
        </w:tc>
        <w:tc>
          <w:tcPr>
            <w:tcW w:w="3544" w:type="dxa"/>
            <w:gridSpan w:val="2"/>
            <w:vAlign w:val="center"/>
          </w:tcPr>
          <w:p w14:paraId="72F54476">
            <w:pPr>
              <w:pStyle w:val="11"/>
            </w:pPr>
            <w:r>
              <w:t>12月底</w:t>
            </w:r>
          </w:p>
        </w:tc>
      </w:tr>
      <w:tr w14:paraId="30060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B26192"/>
        </w:tc>
        <w:tc>
          <w:tcPr>
            <w:tcW w:w="5103" w:type="dxa"/>
            <w:gridSpan w:val="2"/>
            <w:vAlign w:val="center"/>
          </w:tcPr>
          <w:p w14:paraId="1ADD331E">
            <w:pPr>
              <w:pStyle w:val="12"/>
            </w:pPr>
            <w:r>
              <w:t>25%</w:t>
            </w:r>
          </w:p>
        </w:tc>
        <w:tc>
          <w:tcPr>
            <w:tcW w:w="2835" w:type="dxa"/>
            <w:vAlign w:val="center"/>
          </w:tcPr>
          <w:p w14:paraId="49D023F8">
            <w:pPr>
              <w:pStyle w:val="12"/>
            </w:pPr>
            <w:r>
              <w:t>50%</w:t>
            </w:r>
          </w:p>
        </w:tc>
        <w:tc>
          <w:tcPr>
            <w:tcW w:w="2551" w:type="dxa"/>
            <w:vAlign w:val="center"/>
          </w:tcPr>
          <w:p w14:paraId="72BB4286">
            <w:pPr>
              <w:pStyle w:val="12"/>
            </w:pPr>
            <w:r>
              <w:t>75%</w:t>
            </w:r>
          </w:p>
        </w:tc>
        <w:tc>
          <w:tcPr>
            <w:tcW w:w="3544" w:type="dxa"/>
            <w:gridSpan w:val="2"/>
            <w:vAlign w:val="center"/>
          </w:tcPr>
          <w:p w14:paraId="698AAB36">
            <w:pPr>
              <w:pStyle w:val="12"/>
            </w:pPr>
            <w:r>
              <w:t>100%</w:t>
            </w:r>
          </w:p>
        </w:tc>
      </w:tr>
      <w:tr w14:paraId="29F4C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5B6E63">
            <w:pPr>
              <w:pStyle w:val="11"/>
            </w:pPr>
            <w:r>
              <w:t>绩效目标</w:t>
            </w:r>
          </w:p>
        </w:tc>
        <w:tc>
          <w:tcPr>
            <w:tcW w:w="14033" w:type="dxa"/>
            <w:gridSpan w:val="6"/>
            <w:vAlign w:val="center"/>
          </w:tcPr>
          <w:p w14:paraId="0861B648">
            <w:pPr>
              <w:pStyle w:val="13"/>
            </w:pPr>
            <w:r>
              <w:t>1.用于中高考、学考等各项考试顺利进行的各项开支</w:t>
            </w:r>
            <w:r>
              <w:tab/>
            </w:r>
            <w:r>
              <w:tab/>
            </w:r>
            <w:r>
              <w:tab/>
            </w:r>
          </w:p>
          <w:p w14:paraId="1B1B304F">
            <w:pPr>
              <w:pStyle w:val="13"/>
            </w:pPr>
          </w:p>
        </w:tc>
      </w:tr>
    </w:tbl>
    <w:p w14:paraId="0505D1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AF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967A0">
            <w:pPr>
              <w:pStyle w:val="11"/>
            </w:pPr>
            <w:r>
              <w:t>一级指标</w:t>
            </w:r>
          </w:p>
        </w:tc>
        <w:tc>
          <w:tcPr>
            <w:tcW w:w="2268" w:type="dxa"/>
            <w:vAlign w:val="center"/>
          </w:tcPr>
          <w:p w14:paraId="61B0B0FF">
            <w:pPr>
              <w:pStyle w:val="11"/>
            </w:pPr>
            <w:r>
              <w:t>二级指标</w:t>
            </w:r>
          </w:p>
        </w:tc>
        <w:tc>
          <w:tcPr>
            <w:tcW w:w="2835" w:type="dxa"/>
            <w:vAlign w:val="center"/>
          </w:tcPr>
          <w:p w14:paraId="2730FAC5">
            <w:pPr>
              <w:pStyle w:val="11"/>
            </w:pPr>
            <w:r>
              <w:t>三级指标</w:t>
            </w:r>
          </w:p>
        </w:tc>
        <w:tc>
          <w:tcPr>
            <w:tcW w:w="5386" w:type="dxa"/>
            <w:vAlign w:val="center"/>
          </w:tcPr>
          <w:p w14:paraId="286FF841">
            <w:pPr>
              <w:pStyle w:val="11"/>
            </w:pPr>
            <w:r>
              <w:t>绩效指标描述</w:t>
            </w:r>
          </w:p>
        </w:tc>
        <w:tc>
          <w:tcPr>
            <w:tcW w:w="2268" w:type="dxa"/>
            <w:vAlign w:val="center"/>
          </w:tcPr>
          <w:p w14:paraId="06ADE767">
            <w:pPr>
              <w:pStyle w:val="11"/>
            </w:pPr>
            <w:r>
              <w:t>指标值</w:t>
            </w:r>
          </w:p>
        </w:tc>
        <w:tc>
          <w:tcPr>
            <w:tcW w:w="1276" w:type="dxa"/>
            <w:vAlign w:val="center"/>
          </w:tcPr>
          <w:p w14:paraId="05B826CB">
            <w:pPr>
              <w:pStyle w:val="11"/>
            </w:pPr>
            <w:r>
              <w:t>指标值确定依据</w:t>
            </w:r>
          </w:p>
        </w:tc>
      </w:tr>
      <w:tr w14:paraId="55E28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9D7CB">
            <w:pPr>
              <w:pStyle w:val="12"/>
            </w:pPr>
            <w:r>
              <w:t>产出指标</w:t>
            </w:r>
          </w:p>
        </w:tc>
        <w:tc>
          <w:tcPr>
            <w:tcW w:w="2268" w:type="dxa"/>
            <w:vAlign w:val="center"/>
          </w:tcPr>
          <w:p w14:paraId="59AA805A">
            <w:pPr>
              <w:pStyle w:val="13"/>
            </w:pPr>
            <w:r>
              <w:t>数量指标</w:t>
            </w:r>
          </w:p>
        </w:tc>
        <w:tc>
          <w:tcPr>
            <w:tcW w:w="2835" w:type="dxa"/>
            <w:vAlign w:val="center"/>
          </w:tcPr>
          <w:p w14:paraId="02A0008A">
            <w:pPr>
              <w:pStyle w:val="13"/>
            </w:pPr>
            <w:r>
              <w:t>上缴考务费次数</w:t>
            </w:r>
          </w:p>
        </w:tc>
        <w:tc>
          <w:tcPr>
            <w:tcW w:w="5386" w:type="dxa"/>
            <w:vAlign w:val="center"/>
          </w:tcPr>
          <w:p w14:paraId="1E6B74DC">
            <w:pPr>
              <w:pStyle w:val="13"/>
            </w:pPr>
            <w:r>
              <w:t>上缴考务费次数</w:t>
            </w:r>
          </w:p>
        </w:tc>
        <w:tc>
          <w:tcPr>
            <w:tcW w:w="2268" w:type="dxa"/>
            <w:vAlign w:val="center"/>
          </w:tcPr>
          <w:p w14:paraId="7A94097F">
            <w:pPr>
              <w:pStyle w:val="13"/>
            </w:pPr>
            <w:r>
              <w:t>≥5场次</w:t>
            </w:r>
          </w:p>
        </w:tc>
        <w:tc>
          <w:tcPr>
            <w:tcW w:w="1276" w:type="dxa"/>
            <w:vAlign w:val="center"/>
          </w:tcPr>
          <w:p w14:paraId="42AE8870">
            <w:pPr>
              <w:pStyle w:val="13"/>
            </w:pPr>
            <w:r>
              <w:t>收费许可及备案</w:t>
            </w:r>
          </w:p>
        </w:tc>
      </w:tr>
      <w:tr w14:paraId="3E739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D911C"/>
        </w:tc>
        <w:tc>
          <w:tcPr>
            <w:tcW w:w="2268" w:type="dxa"/>
            <w:vAlign w:val="center"/>
          </w:tcPr>
          <w:p w14:paraId="17244C2E">
            <w:pPr>
              <w:pStyle w:val="13"/>
            </w:pPr>
            <w:r>
              <w:t>质量指标</w:t>
            </w:r>
          </w:p>
        </w:tc>
        <w:tc>
          <w:tcPr>
            <w:tcW w:w="2835" w:type="dxa"/>
            <w:vAlign w:val="center"/>
          </w:tcPr>
          <w:p w14:paraId="6E26C23F">
            <w:pPr>
              <w:pStyle w:val="13"/>
            </w:pPr>
            <w:r>
              <w:t>专项经费拨付完成率</w:t>
            </w:r>
          </w:p>
        </w:tc>
        <w:tc>
          <w:tcPr>
            <w:tcW w:w="5386" w:type="dxa"/>
            <w:vAlign w:val="center"/>
          </w:tcPr>
          <w:p w14:paraId="65D4D24B">
            <w:pPr>
              <w:pStyle w:val="13"/>
            </w:pPr>
            <w:r>
              <w:t>专项经费拨付完成率</w:t>
            </w:r>
          </w:p>
        </w:tc>
        <w:tc>
          <w:tcPr>
            <w:tcW w:w="2268" w:type="dxa"/>
            <w:vAlign w:val="center"/>
          </w:tcPr>
          <w:p w14:paraId="2E3FC055">
            <w:pPr>
              <w:pStyle w:val="13"/>
            </w:pPr>
            <w:r>
              <w:t>≤100%</w:t>
            </w:r>
          </w:p>
        </w:tc>
        <w:tc>
          <w:tcPr>
            <w:tcW w:w="1276" w:type="dxa"/>
            <w:vAlign w:val="center"/>
          </w:tcPr>
          <w:p w14:paraId="54E6DF8F">
            <w:pPr>
              <w:pStyle w:val="13"/>
            </w:pPr>
            <w:r>
              <w:t>收费许可及备案</w:t>
            </w:r>
          </w:p>
        </w:tc>
      </w:tr>
      <w:tr w14:paraId="15973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854D5"/>
        </w:tc>
        <w:tc>
          <w:tcPr>
            <w:tcW w:w="2268" w:type="dxa"/>
            <w:vAlign w:val="center"/>
          </w:tcPr>
          <w:p w14:paraId="4359754F">
            <w:pPr>
              <w:pStyle w:val="13"/>
            </w:pPr>
            <w:r>
              <w:t>时效指标</w:t>
            </w:r>
          </w:p>
        </w:tc>
        <w:tc>
          <w:tcPr>
            <w:tcW w:w="2835" w:type="dxa"/>
            <w:vAlign w:val="center"/>
          </w:tcPr>
          <w:p w14:paraId="7FEF7E55">
            <w:pPr>
              <w:pStyle w:val="13"/>
            </w:pPr>
            <w:r>
              <w:t>资金支付率</w:t>
            </w:r>
          </w:p>
        </w:tc>
        <w:tc>
          <w:tcPr>
            <w:tcW w:w="5386" w:type="dxa"/>
            <w:vAlign w:val="center"/>
          </w:tcPr>
          <w:p w14:paraId="2ED7602D">
            <w:pPr>
              <w:pStyle w:val="13"/>
            </w:pPr>
            <w:r>
              <w:t>按照序时进度完成资金支付</w:t>
            </w:r>
          </w:p>
        </w:tc>
        <w:tc>
          <w:tcPr>
            <w:tcW w:w="2268" w:type="dxa"/>
            <w:vAlign w:val="center"/>
          </w:tcPr>
          <w:p w14:paraId="5C09F631">
            <w:pPr>
              <w:pStyle w:val="13"/>
            </w:pPr>
            <w:r>
              <w:t>≥100%</w:t>
            </w:r>
          </w:p>
        </w:tc>
        <w:tc>
          <w:tcPr>
            <w:tcW w:w="1276" w:type="dxa"/>
            <w:vAlign w:val="center"/>
          </w:tcPr>
          <w:p w14:paraId="66F553B5">
            <w:pPr>
              <w:pStyle w:val="13"/>
            </w:pPr>
            <w:r>
              <w:t>收费许可及备案</w:t>
            </w:r>
          </w:p>
        </w:tc>
      </w:tr>
      <w:tr w14:paraId="07734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CDCE9"/>
        </w:tc>
        <w:tc>
          <w:tcPr>
            <w:tcW w:w="2268" w:type="dxa"/>
            <w:vAlign w:val="center"/>
          </w:tcPr>
          <w:p w14:paraId="7782F73A">
            <w:pPr>
              <w:pStyle w:val="13"/>
            </w:pPr>
            <w:r>
              <w:t>成本指标</w:t>
            </w:r>
          </w:p>
        </w:tc>
        <w:tc>
          <w:tcPr>
            <w:tcW w:w="2835" w:type="dxa"/>
            <w:vAlign w:val="center"/>
          </w:tcPr>
          <w:p w14:paraId="3C00688F">
            <w:pPr>
              <w:pStyle w:val="13"/>
            </w:pPr>
            <w:r>
              <w:t>按考试进度缴纳拨付</w:t>
            </w:r>
          </w:p>
        </w:tc>
        <w:tc>
          <w:tcPr>
            <w:tcW w:w="5386" w:type="dxa"/>
            <w:vAlign w:val="center"/>
          </w:tcPr>
          <w:p w14:paraId="31D0200B">
            <w:pPr>
              <w:pStyle w:val="13"/>
            </w:pPr>
            <w:r>
              <w:t>按考试进度缴纳拨付</w:t>
            </w:r>
          </w:p>
        </w:tc>
        <w:tc>
          <w:tcPr>
            <w:tcW w:w="2268" w:type="dxa"/>
            <w:vAlign w:val="center"/>
          </w:tcPr>
          <w:p w14:paraId="53D4DDFB">
            <w:pPr>
              <w:pStyle w:val="13"/>
            </w:pPr>
            <w:r>
              <w:t>2370300元</w:t>
            </w:r>
          </w:p>
        </w:tc>
        <w:tc>
          <w:tcPr>
            <w:tcW w:w="1276" w:type="dxa"/>
            <w:vAlign w:val="center"/>
          </w:tcPr>
          <w:p w14:paraId="60295001">
            <w:pPr>
              <w:pStyle w:val="13"/>
            </w:pPr>
            <w:r>
              <w:t>收费许可及备案</w:t>
            </w:r>
          </w:p>
        </w:tc>
      </w:tr>
      <w:tr w14:paraId="05947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F38D1">
            <w:pPr>
              <w:pStyle w:val="12"/>
            </w:pPr>
            <w:r>
              <w:t>效益指标</w:t>
            </w:r>
          </w:p>
        </w:tc>
        <w:tc>
          <w:tcPr>
            <w:tcW w:w="2268" w:type="dxa"/>
            <w:vAlign w:val="center"/>
          </w:tcPr>
          <w:p w14:paraId="1E596A42">
            <w:pPr>
              <w:pStyle w:val="13"/>
            </w:pPr>
            <w:r>
              <w:t>可持续影响指标</w:t>
            </w:r>
          </w:p>
        </w:tc>
        <w:tc>
          <w:tcPr>
            <w:tcW w:w="2835" w:type="dxa"/>
            <w:vAlign w:val="center"/>
          </w:tcPr>
          <w:p w14:paraId="651D4F33">
            <w:pPr>
              <w:pStyle w:val="13"/>
            </w:pPr>
            <w:r>
              <w:t>提高考试质量</w:t>
            </w:r>
          </w:p>
        </w:tc>
        <w:tc>
          <w:tcPr>
            <w:tcW w:w="5386" w:type="dxa"/>
            <w:vAlign w:val="center"/>
          </w:tcPr>
          <w:p w14:paraId="7A7B58D8">
            <w:pPr>
              <w:pStyle w:val="13"/>
            </w:pPr>
            <w:r>
              <w:t>提高考试质量、保障考试正常运行</w:t>
            </w:r>
          </w:p>
        </w:tc>
        <w:tc>
          <w:tcPr>
            <w:tcW w:w="2268" w:type="dxa"/>
            <w:vAlign w:val="center"/>
          </w:tcPr>
          <w:p w14:paraId="54B9C8EA">
            <w:pPr>
              <w:pStyle w:val="13"/>
            </w:pPr>
            <w:r>
              <w:t>≥98%</w:t>
            </w:r>
          </w:p>
        </w:tc>
        <w:tc>
          <w:tcPr>
            <w:tcW w:w="1276" w:type="dxa"/>
            <w:vAlign w:val="center"/>
          </w:tcPr>
          <w:p w14:paraId="12B355FE">
            <w:pPr>
              <w:pStyle w:val="13"/>
            </w:pPr>
            <w:r>
              <w:t>收费许可及备案</w:t>
            </w:r>
          </w:p>
        </w:tc>
      </w:tr>
      <w:tr w14:paraId="35874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CAE4FA">
            <w:pPr>
              <w:pStyle w:val="12"/>
            </w:pPr>
            <w:r>
              <w:t>满意度指标</w:t>
            </w:r>
          </w:p>
        </w:tc>
        <w:tc>
          <w:tcPr>
            <w:tcW w:w="2268" w:type="dxa"/>
            <w:vAlign w:val="center"/>
          </w:tcPr>
          <w:p w14:paraId="3F3A23EB">
            <w:pPr>
              <w:pStyle w:val="13"/>
            </w:pPr>
            <w:r>
              <w:t>服务对象满意度指标</w:t>
            </w:r>
          </w:p>
        </w:tc>
        <w:tc>
          <w:tcPr>
            <w:tcW w:w="2835" w:type="dxa"/>
            <w:vAlign w:val="center"/>
          </w:tcPr>
          <w:p w14:paraId="1DF0D999">
            <w:pPr>
              <w:pStyle w:val="13"/>
            </w:pPr>
            <w:r>
              <w:t>服务对象满意度</w:t>
            </w:r>
          </w:p>
        </w:tc>
        <w:tc>
          <w:tcPr>
            <w:tcW w:w="5386" w:type="dxa"/>
            <w:vAlign w:val="center"/>
          </w:tcPr>
          <w:p w14:paraId="6271ABFC">
            <w:pPr>
              <w:pStyle w:val="13"/>
            </w:pPr>
            <w:r>
              <w:t>学校老师和学生满意度</w:t>
            </w:r>
          </w:p>
        </w:tc>
        <w:tc>
          <w:tcPr>
            <w:tcW w:w="2268" w:type="dxa"/>
            <w:vAlign w:val="center"/>
          </w:tcPr>
          <w:p w14:paraId="6D015413">
            <w:pPr>
              <w:pStyle w:val="13"/>
            </w:pPr>
            <w:r>
              <w:t>≥95%</w:t>
            </w:r>
          </w:p>
        </w:tc>
        <w:tc>
          <w:tcPr>
            <w:tcW w:w="1276" w:type="dxa"/>
            <w:vAlign w:val="center"/>
          </w:tcPr>
          <w:p w14:paraId="6941B096">
            <w:pPr>
              <w:pStyle w:val="13"/>
            </w:pPr>
            <w:r>
              <w:t>问卷调查</w:t>
            </w:r>
          </w:p>
        </w:tc>
      </w:tr>
    </w:tbl>
    <w:p w14:paraId="3E5AB736">
      <w:pPr>
        <w:sectPr>
          <w:pgSz w:w="16840" w:h="11900" w:orient="landscape"/>
          <w:pgMar w:top="1361" w:right="1020" w:bottom="1134" w:left="1020" w:header="720" w:footer="720" w:gutter="0"/>
          <w:cols w:space="720" w:num="1"/>
        </w:sectPr>
      </w:pPr>
    </w:p>
    <w:p w14:paraId="5BE9C264">
      <w:pPr>
        <w:spacing w:before="0" w:after="0"/>
        <w:ind w:firstLine="560"/>
        <w:jc w:val="left"/>
        <w:outlineLvl w:val="9"/>
      </w:pPr>
      <w:r>
        <w:rPr>
          <w:rFonts w:ascii="方正仿宋_GBK" w:hAnsi="方正仿宋_GBK" w:eastAsia="方正仿宋_GBK" w:cs="方正仿宋_GBK"/>
          <w:b/>
          <w:color w:val="000000"/>
          <w:sz w:val="28"/>
        </w:rPr>
        <w:t>116、市级基数/隆尧县成龙六一实验小学公用经费绩效目标表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D4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58AB3">
            <w:pPr>
              <w:pStyle w:val="14"/>
            </w:pPr>
            <w:r>
              <w:t>单位：万元</w:t>
            </w:r>
          </w:p>
        </w:tc>
      </w:tr>
      <w:tr w14:paraId="08910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E5CC33C">
            <w:pPr>
              <w:pStyle w:val="11"/>
            </w:pPr>
            <w:r>
              <w:t>项目编码</w:t>
            </w:r>
          </w:p>
        </w:tc>
        <w:tc>
          <w:tcPr>
            <w:tcW w:w="5103" w:type="dxa"/>
            <w:gridSpan w:val="2"/>
            <w:vAlign w:val="center"/>
          </w:tcPr>
          <w:p w14:paraId="28025B39">
            <w:pPr>
              <w:pStyle w:val="13"/>
            </w:pPr>
            <w:r>
              <w:t>13052525P00000410219Y</w:t>
            </w:r>
          </w:p>
        </w:tc>
        <w:tc>
          <w:tcPr>
            <w:tcW w:w="2835" w:type="dxa"/>
            <w:vAlign w:val="center"/>
          </w:tcPr>
          <w:p w14:paraId="0CD01D97">
            <w:pPr>
              <w:pStyle w:val="11"/>
            </w:pPr>
            <w:r>
              <w:t>项目名称</w:t>
            </w:r>
          </w:p>
        </w:tc>
        <w:tc>
          <w:tcPr>
            <w:tcW w:w="6095" w:type="dxa"/>
            <w:gridSpan w:val="3"/>
            <w:vAlign w:val="center"/>
          </w:tcPr>
          <w:p w14:paraId="3B666C9C">
            <w:pPr>
              <w:pStyle w:val="13"/>
            </w:pPr>
            <w:r>
              <w:t>市级基数/隆尧县成龙六一实验小学公用经费</w:t>
            </w:r>
          </w:p>
        </w:tc>
      </w:tr>
      <w:tr w14:paraId="48EE0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91B44">
            <w:pPr>
              <w:pStyle w:val="11"/>
            </w:pPr>
            <w:r>
              <w:t>预算规模及资金用途</w:t>
            </w:r>
          </w:p>
        </w:tc>
        <w:tc>
          <w:tcPr>
            <w:tcW w:w="2268" w:type="dxa"/>
            <w:vAlign w:val="center"/>
          </w:tcPr>
          <w:p w14:paraId="0F789D35">
            <w:pPr>
              <w:pStyle w:val="11"/>
            </w:pPr>
            <w:r>
              <w:t>预算数</w:t>
            </w:r>
          </w:p>
        </w:tc>
        <w:tc>
          <w:tcPr>
            <w:tcW w:w="2835" w:type="dxa"/>
            <w:vAlign w:val="center"/>
          </w:tcPr>
          <w:p w14:paraId="060DDBE6">
            <w:pPr>
              <w:pStyle w:val="13"/>
            </w:pPr>
            <w:r>
              <w:t>5.99</w:t>
            </w:r>
          </w:p>
        </w:tc>
        <w:tc>
          <w:tcPr>
            <w:tcW w:w="2835" w:type="dxa"/>
            <w:vAlign w:val="center"/>
          </w:tcPr>
          <w:p w14:paraId="7C55B35C">
            <w:pPr>
              <w:pStyle w:val="11"/>
            </w:pPr>
            <w:r>
              <w:t>其中：财政    资金</w:t>
            </w:r>
          </w:p>
        </w:tc>
        <w:tc>
          <w:tcPr>
            <w:tcW w:w="2551" w:type="dxa"/>
            <w:vAlign w:val="center"/>
          </w:tcPr>
          <w:p w14:paraId="3B911FB2">
            <w:pPr>
              <w:pStyle w:val="13"/>
            </w:pPr>
            <w:r>
              <w:t>5.99</w:t>
            </w:r>
          </w:p>
        </w:tc>
        <w:tc>
          <w:tcPr>
            <w:tcW w:w="2268" w:type="dxa"/>
            <w:vAlign w:val="center"/>
          </w:tcPr>
          <w:p w14:paraId="314E5724">
            <w:pPr>
              <w:pStyle w:val="11"/>
            </w:pPr>
            <w:r>
              <w:t>其他资金</w:t>
            </w:r>
          </w:p>
        </w:tc>
        <w:tc>
          <w:tcPr>
            <w:tcW w:w="1276" w:type="dxa"/>
            <w:vAlign w:val="center"/>
          </w:tcPr>
          <w:p w14:paraId="3E18C6AE">
            <w:pPr>
              <w:pStyle w:val="13"/>
            </w:pPr>
            <w:r>
              <w:t xml:space="preserve"> </w:t>
            </w:r>
          </w:p>
        </w:tc>
      </w:tr>
      <w:tr w14:paraId="512A9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A4EFD"/>
        </w:tc>
        <w:tc>
          <w:tcPr>
            <w:tcW w:w="14033" w:type="dxa"/>
            <w:gridSpan w:val="6"/>
            <w:vAlign w:val="center"/>
          </w:tcPr>
          <w:p w14:paraId="45B7F427">
            <w:pPr>
              <w:pStyle w:val="13"/>
            </w:pPr>
            <w:r>
              <w:t>保障义务教育学校正常运转，完成教育教学活动和其他日常工作任务等方面的费用支出。</w:t>
            </w:r>
          </w:p>
        </w:tc>
      </w:tr>
      <w:tr w14:paraId="71243E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97A38">
            <w:pPr>
              <w:pStyle w:val="11"/>
            </w:pPr>
            <w:r>
              <w:t>资金支出计划（%）</w:t>
            </w:r>
          </w:p>
        </w:tc>
        <w:tc>
          <w:tcPr>
            <w:tcW w:w="5103" w:type="dxa"/>
            <w:gridSpan w:val="2"/>
            <w:vAlign w:val="center"/>
          </w:tcPr>
          <w:p w14:paraId="69FFADC3">
            <w:pPr>
              <w:pStyle w:val="11"/>
            </w:pPr>
            <w:r>
              <w:t>3月底</w:t>
            </w:r>
          </w:p>
        </w:tc>
        <w:tc>
          <w:tcPr>
            <w:tcW w:w="2835" w:type="dxa"/>
            <w:vAlign w:val="center"/>
          </w:tcPr>
          <w:p w14:paraId="41014070">
            <w:pPr>
              <w:pStyle w:val="11"/>
            </w:pPr>
            <w:r>
              <w:t>6月底</w:t>
            </w:r>
          </w:p>
        </w:tc>
        <w:tc>
          <w:tcPr>
            <w:tcW w:w="2551" w:type="dxa"/>
            <w:vAlign w:val="center"/>
          </w:tcPr>
          <w:p w14:paraId="08B13226">
            <w:pPr>
              <w:pStyle w:val="11"/>
            </w:pPr>
            <w:r>
              <w:t>10月底</w:t>
            </w:r>
          </w:p>
        </w:tc>
        <w:tc>
          <w:tcPr>
            <w:tcW w:w="3544" w:type="dxa"/>
            <w:gridSpan w:val="2"/>
            <w:vAlign w:val="center"/>
          </w:tcPr>
          <w:p w14:paraId="01E6F0F1">
            <w:pPr>
              <w:pStyle w:val="11"/>
            </w:pPr>
            <w:r>
              <w:t>12月底</w:t>
            </w:r>
          </w:p>
        </w:tc>
      </w:tr>
      <w:tr w14:paraId="39F02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B0A88F"/>
        </w:tc>
        <w:tc>
          <w:tcPr>
            <w:tcW w:w="5103" w:type="dxa"/>
            <w:gridSpan w:val="2"/>
            <w:vAlign w:val="center"/>
          </w:tcPr>
          <w:p w14:paraId="2F38D4EF">
            <w:pPr>
              <w:pStyle w:val="12"/>
            </w:pPr>
            <w:r>
              <w:t xml:space="preserve"> </w:t>
            </w:r>
          </w:p>
        </w:tc>
        <w:tc>
          <w:tcPr>
            <w:tcW w:w="2835" w:type="dxa"/>
            <w:vAlign w:val="center"/>
          </w:tcPr>
          <w:p w14:paraId="70E93E48">
            <w:pPr>
              <w:pStyle w:val="12"/>
            </w:pPr>
            <w:r>
              <w:t xml:space="preserve"> </w:t>
            </w:r>
          </w:p>
        </w:tc>
        <w:tc>
          <w:tcPr>
            <w:tcW w:w="2551" w:type="dxa"/>
            <w:vAlign w:val="center"/>
          </w:tcPr>
          <w:p w14:paraId="3DC7C601">
            <w:pPr>
              <w:pStyle w:val="12"/>
            </w:pPr>
            <w:r>
              <w:t xml:space="preserve"> </w:t>
            </w:r>
          </w:p>
        </w:tc>
        <w:tc>
          <w:tcPr>
            <w:tcW w:w="3544" w:type="dxa"/>
            <w:gridSpan w:val="2"/>
            <w:vAlign w:val="center"/>
          </w:tcPr>
          <w:p w14:paraId="5C95EA4B">
            <w:pPr>
              <w:pStyle w:val="12"/>
            </w:pPr>
            <w:r>
              <w:t>100%</w:t>
            </w:r>
          </w:p>
        </w:tc>
      </w:tr>
      <w:tr w14:paraId="770AD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3BF1A254">
            <w:pPr>
              <w:pStyle w:val="11"/>
            </w:pPr>
            <w:r>
              <w:t>绩效目标</w:t>
            </w:r>
          </w:p>
        </w:tc>
        <w:tc>
          <w:tcPr>
            <w:tcW w:w="14033" w:type="dxa"/>
            <w:gridSpan w:val="6"/>
            <w:vAlign w:val="center"/>
          </w:tcPr>
          <w:p w14:paraId="301FE01F">
            <w:pPr>
              <w:pStyle w:val="13"/>
            </w:pPr>
            <w:r>
              <w:t>1.保障义务教育学校正常运转，完成教育教学活动和其他日常工作任务等方面的费用支出。</w:t>
            </w:r>
          </w:p>
        </w:tc>
      </w:tr>
    </w:tbl>
    <w:p w14:paraId="0486A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21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51AD9">
            <w:pPr>
              <w:pStyle w:val="11"/>
            </w:pPr>
            <w:r>
              <w:t>一级指标</w:t>
            </w:r>
          </w:p>
        </w:tc>
        <w:tc>
          <w:tcPr>
            <w:tcW w:w="2268" w:type="dxa"/>
            <w:vAlign w:val="center"/>
          </w:tcPr>
          <w:p w14:paraId="481869F9">
            <w:pPr>
              <w:pStyle w:val="11"/>
            </w:pPr>
            <w:r>
              <w:t>二级指标</w:t>
            </w:r>
          </w:p>
        </w:tc>
        <w:tc>
          <w:tcPr>
            <w:tcW w:w="2835" w:type="dxa"/>
            <w:vAlign w:val="center"/>
          </w:tcPr>
          <w:p w14:paraId="5C781E21">
            <w:pPr>
              <w:pStyle w:val="11"/>
            </w:pPr>
            <w:r>
              <w:t>三级指标</w:t>
            </w:r>
          </w:p>
        </w:tc>
        <w:tc>
          <w:tcPr>
            <w:tcW w:w="5386" w:type="dxa"/>
            <w:vAlign w:val="center"/>
          </w:tcPr>
          <w:p w14:paraId="34C97B5F">
            <w:pPr>
              <w:pStyle w:val="11"/>
            </w:pPr>
            <w:r>
              <w:t>绩效指标描述</w:t>
            </w:r>
          </w:p>
        </w:tc>
        <w:tc>
          <w:tcPr>
            <w:tcW w:w="2268" w:type="dxa"/>
            <w:vAlign w:val="center"/>
          </w:tcPr>
          <w:p w14:paraId="16682CE1">
            <w:pPr>
              <w:pStyle w:val="11"/>
            </w:pPr>
            <w:r>
              <w:t>指标值</w:t>
            </w:r>
          </w:p>
        </w:tc>
        <w:tc>
          <w:tcPr>
            <w:tcW w:w="1276" w:type="dxa"/>
            <w:vAlign w:val="center"/>
          </w:tcPr>
          <w:p w14:paraId="68BADBC6">
            <w:pPr>
              <w:pStyle w:val="11"/>
            </w:pPr>
            <w:r>
              <w:t>指标值确定依据</w:t>
            </w:r>
          </w:p>
        </w:tc>
      </w:tr>
      <w:tr w14:paraId="176D8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2EE2F">
            <w:pPr>
              <w:pStyle w:val="12"/>
            </w:pPr>
            <w:r>
              <w:t>产出指标</w:t>
            </w:r>
          </w:p>
        </w:tc>
        <w:tc>
          <w:tcPr>
            <w:tcW w:w="2268" w:type="dxa"/>
            <w:vAlign w:val="center"/>
          </w:tcPr>
          <w:p w14:paraId="07B449DF">
            <w:pPr>
              <w:pStyle w:val="13"/>
            </w:pPr>
            <w:r>
              <w:t>数量指标</w:t>
            </w:r>
          </w:p>
        </w:tc>
        <w:tc>
          <w:tcPr>
            <w:tcW w:w="2835" w:type="dxa"/>
            <w:vAlign w:val="center"/>
          </w:tcPr>
          <w:p w14:paraId="1BFCCAF3">
            <w:pPr>
              <w:pStyle w:val="13"/>
            </w:pPr>
            <w:r>
              <w:t>适龄在校生</w:t>
            </w:r>
          </w:p>
        </w:tc>
        <w:tc>
          <w:tcPr>
            <w:tcW w:w="5386" w:type="dxa"/>
            <w:vAlign w:val="center"/>
          </w:tcPr>
          <w:p w14:paraId="63E90E21">
            <w:pPr>
              <w:pStyle w:val="13"/>
            </w:pPr>
            <w:r>
              <w:t>适龄在校就读学生人数</w:t>
            </w:r>
          </w:p>
        </w:tc>
        <w:tc>
          <w:tcPr>
            <w:tcW w:w="2268" w:type="dxa"/>
            <w:vAlign w:val="center"/>
          </w:tcPr>
          <w:p w14:paraId="355DBD6F">
            <w:pPr>
              <w:pStyle w:val="13"/>
            </w:pPr>
            <w:r>
              <w:t>105人</w:t>
            </w:r>
          </w:p>
        </w:tc>
        <w:tc>
          <w:tcPr>
            <w:tcW w:w="1276" w:type="dxa"/>
            <w:vAlign w:val="center"/>
          </w:tcPr>
          <w:p w14:paraId="09B5D308">
            <w:pPr>
              <w:pStyle w:val="13"/>
            </w:pPr>
            <w:r>
              <w:t>城乡义务教育公用经费管理办法</w:t>
            </w:r>
          </w:p>
        </w:tc>
      </w:tr>
      <w:tr w14:paraId="4C6A2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0A404"/>
        </w:tc>
        <w:tc>
          <w:tcPr>
            <w:tcW w:w="2268" w:type="dxa"/>
            <w:vAlign w:val="center"/>
          </w:tcPr>
          <w:p w14:paraId="00540E1C">
            <w:pPr>
              <w:pStyle w:val="13"/>
            </w:pPr>
            <w:r>
              <w:t>质量指标</w:t>
            </w:r>
          </w:p>
        </w:tc>
        <w:tc>
          <w:tcPr>
            <w:tcW w:w="2835" w:type="dxa"/>
            <w:vAlign w:val="center"/>
          </w:tcPr>
          <w:p w14:paraId="7A7D16DF">
            <w:pPr>
              <w:pStyle w:val="13"/>
            </w:pPr>
            <w:r>
              <w:t>预算控制率</w:t>
            </w:r>
          </w:p>
        </w:tc>
        <w:tc>
          <w:tcPr>
            <w:tcW w:w="5386" w:type="dxa"/>
            <w:vAlign w:val="center"/>
          </w:tcPr>
          <w:p w14:paraId="0156E6C5">
            <w:pPr>
              <w:pStyle w:val="13"/>
            </w:pPr>
            <w:r>
              <w:t>预算执行</w:t>
            </w:r>
          </w:p>
        </w:tc>
        <w:tc>
          <w:tcPr>
            <w:tcW w:w="2268" w:type="dxa"/>
            <w:vAlign w:val="center"/>
          </w:tcPr>
          <w:p w14:paraId="0CFD0858">
            <w:pPr>
              <w:pStyle w:val="13"/>
            </w:pPr>
            <w:r>
              <w:t>≥95%</w:t>
            </w:r>
          </w:p>
        </w:tc>
        <w:tc>
          <w:tcPr>
            <w:tcW w:w="1276" w:type="dxa"/>
            <w:vAlign w:val="center"/>
          </w:tcPr>
          <w:p w14:paraId="5CC1358D">
            <w:pPr>
              <w:pStyle w:val="13"/>
            </w:pPr>
            <w:r>
              <w:t>城乡义务教育公用经费管理办法</w:t>
            </w:r>
          </w:p>
        </w:tc>
      </w:tr>
      <w:tr w14:paraId="6D7E1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93DE2"/>
        </w:tc>
        <w:tc>
          <w:tcPr>
            <w:tcW w:w="2268" w:type="dxa"/>
            <w:vAlign w:val="center"/>
          </w:tcPr>
          <w:p w14:paraId="4C4CEA74">
            <w:pPr>
              <w:pStyle w:val="13"/>
            </w:pPr>
            <w:r>
              <w:t>时效指标</w:t>
            </w:r>
          </w:p>
        </w:tc>
        <w:tc>
          <w:tcPr>
            <w:tcW w:w="2835" w:type="dxa"/>
            <w:vAlign w:val="center"/>
          </w:tcPr>
          <w:p w14:paraId="29F57F3E">
            <w:pPr>
              <w:pStyle w:val="13"/>
            </w:pPr>
            <w:r>
              <w:t>资金支付率</w:t>
            </w:r>
          </w:p>
        </w:tc>
        <w:tc>
          <w:tcPr>
            <w:tcW w:w="5386" w:type="dxa"/>
            <w:vAlign w:val="center"/>
          </w:tcPr>
          <w:p w14:paraId="73B49146">
            <w:pPr>
              <w:pStyle w:val="13"/>
            </w:pPr>
            <w:r>
              <w:t>按照序时进度完成资金支付</w:t>
            </w:r>
          </w:p>
        </w:tc>
        <w:tc>
          <w:tcPr>
            <w:tcW w:w="2268" w:type="dxa"/>
            <w:vAlign w:val="center"/>
          </w:tcPr>
          <w:p w14:paraId="6FACA786">
            <w:pPr>
              <w:pStyle w:val="13"/>
            </w:pPr>
            <w:r>
              <w:t>≥100%</w:t>
            </w:r>
          </w:p>
        </w:tc>
        <w:tc>
          <w:tcPr>
            <w:tcW w:w="1276" w:type="dxa"/>
            <w:vAlign w:val="center"/>
          </w:tcPr>
          <w:p w14:paraId="3BC1B8DE">
            <w:pPr>
              <w:pStyle w:val="13"/>
            </w:pPr>
            <w:r>
              <w:t>城乡义务教育公用经费管理办法</w:t>
            </w:r>
          </w:p>
        </w:tc>
      </w:tr>
      <w:tr w14:paraId="1E09E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DC55F"/>
        </w:tc>
        <w:tc>
          <w:tcPr>
            <w:tcW w:w="2268" w:type="dxa"/>
            <w:vAlign w:val="center"/>
          </w:tcPr>
          <w:p w14:paraId="0550180D">
            <w:pPr>
              <w:pStyle w:val="13"/>
            </w:pPr>
            <w:r>
              <w:t>成本指标</w:t>
            </w:r>
          </w:p>
        </w:tc>
        <w:tc>
          <w:tcPr>
            <w:tcW w:w="2835" w:type="dxa"/>
            <w:vAlign w:val="center"/>
          </w:tcPr>
          <w:p w14:paraId="1FBEE0B2">
            <w:pPr>
              <w:pStyle w:val="13"/>
            </w:pPr>
            <w:r>
              <w:t>生均拨款标准</w:t>
            </w:r>
          </w:p>
        </w:tc>
        <w:tc>
          <w:tcPr>
            <w:tcW w:w="5386" w:type="dxa"/>
            <w:vAlign w:val="center"/>
          </w:tcPr>
          <w:p w14:paraId="21459E4E">
            <w:pPr>
              <w:pStyle w:val="13"/>
            </w:pPr>
            <w:r>
              <w:t>小学：（基本标准720元、寄宿生300元、取暖120元）/生/学年；随班就读学生：标准6000元/生/学年。</w:t>
            </w:r>
          </w:p>
        </w:tc>
        <w:tc>
          <w:tcPr>
            <w:tcW w:w="2268" w:type="dxa"/>
            <w:vAlign w:val="center"/>
          </w:tcPr>
          <w:p w14:paraId="17C15EC2">
            <w:pPr>
              <w:pStyle w:val="13"/>
            </w:pPr>
            <w:r>
              <w:t>840元</w:t>
            </w:r>
          </w:p>
        </w:tc>
        <w:tc>
          <w:tcPr>
            <w:tcW w:w="1276" w:type="dxa"/>
            <w:vAlign w:val="center"/>
          </w:tcPr>
          <w:p w14:paraId="2D264125">
            <w:pPr>
              <w:pStyle w:val="13"/>
            </w:pPr>
            <w:r>
              <w:t>城乡义务教育公用经费管理办法</w:t>
            </w:r>
          </w:p>
        </w:tc>
      </w:tr>
      <w:tr w14:paraId="4A84A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7BBC80">
            <w:pPr>
              <w:pStyle w:val="12"/>
            </w:pPr>
            <w:r>
              <w:t>效益指标</w:t>
            </w:r>
          </w:p>
        </w:tc>
        <w:tc>
          <w:tcPr>
            <w:tcW w:w="2268" w:type="dxa"/>
            <w:vAlign w:val="center"/>
          </w:tcPr>
          <w:p w14:paraId="010BB817">
            <w:pPr>
              <w:pStyle w:val="13"/>
            </w:pPr>
            <w:r>
              <w:t>可持续影响指标</w:t>
            </w:r>
          </w:p>
        </w:tc>
        <w:tc>
          <w:tcPr>
            <w:tcW w:w="2835" w:type="dxa"/>
            <w:vAlign w:val="center"/>
          </w:tcPr>
          <w:p w14:paraId="30F74ABD">
            <w:pPr>
              <w:pStyle w:val="13"/>
            </w:pPr>
            <w:r>
              <w:t>教育发展水平明显好转</w:t>
            </w:r>
          </w:p>
        </w:tc>
        <w:tc>
          <w:tcPr>
            <w:tcW w:w="5386" w:type="dxa"/>
            <w:vAlign w:val="center"/>
          </w:tcPr>
          <w:p w14:paraId="5185571D">
            <w:pPr>
              <w:pStyle w:val="13"/>
            </w:pPr>
            <w:r>
              <w:t>学生受教育年限</w:t>
            </w:r>
          </w:p>
        </w:tc>
        <w:tc>
          <w:tcPr>
            <w:tcW w:w="2268" w:type="dxa"/>
            <w:vAlign w:val="center"/>
          </w:tcPr>
          <w:p w14:paraId="5BEBBDB2">
            <w:pPr>
              <w:pStyle w:val="13"/>
            </w:pPr>
            <w:r>
              <w:t>6年</w:t>
            </w:r>
          </w:p>
        </w:tc>
        <w:tc>
          <w:tcPr>
            <w:tcW w:w="1276" w:type="dxa"/>
            <w:vAlign w:val="center"/>
          </w:tcPr>
          <w:p w14:paraId="1A7AAF45">
            <w:pPr>
              <w:pStyle w:val="13"/>
            </w:pPr>
            <w:r>
              <w:t>城乡义务教育公用经费管理办法</w:t>
            </w:r>
          </w:p>
        </w:tc>
      </w:tr>
      <w:tr w14:paraId="2922B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9D477F">
            <w:pPr>
              <w:pStyle w:val="12"/>
            </w:pPr>
            <w:r>
              <w:t>满意度指标</w:t>
            </w:r>
          </w:p>
        </w:tc>
        <w:tc>
          <w:tcPr>
            <w:tcW w:w="2268" w:type="dxa"/>
            <w:vAlign w:val="center"/>
          </w:tcPr>
          <w:p w14:paraId="620A5713">
            <w:pPr>
              <w:pStyle w:val="13"/>
            </w:pPr>
            <w:r>
              <w:t>服务对象满意度指标</w:t>
            </w:r>
          </w:p>
        </w:tc>
        <w:tc>
          <w:tcPr>
            <w:tcW w:w="2835" w:type="dxa"/>
            <w:vAlign w:val="center"/>
          </w:tcPr>
          <w:p w14:paraId="3A228051">
            <w:pPr>
              <w:pStyle w:val="13"/>
            </w:pPr>
            <w:r>
              <w:t>受益学生家长及调查满意度</w:t>
            </w:r>
          </w:p>
        </w:tc>
        <w:tc>
          <w:tcPr>
            <w:tcW w:w="5386" w:type="dxa"/>
            <w:vAlign w:val="center"/>
          </w:tcPr>
          <w:p w14:paraId="5283DE5A">
            <w:pPr>
              <w:pStyle w:val="13"/>
            </w:pPr>
            <w:r>
              <w:t>学生、教师及家长对学校教育教学工作满意度情况</w:t>
            </w:r>
          </w:p>
        </w:tc>
        <w:tc>
          <w:tcPr>
            <w:tcW w:w="2268" w:type="dxa"/>
            <w:vAlign w:val="center"/>
          </w:tcPr>
          <w:p w14:paraId="03969D00">
            <w:pPr>
              <w:pStyle w:val="13"/>
            </w:pPr>
            <w:r>
              <w:t>≥95%</w:t>
            </w:r>
          </w:p>
        </w:tc>
        <w:tc>
          <w:tcPr>
            <w:tcW w:w="1276" w:type="dxa"/>
            <w:vAlign w:val="center"/>
          </w:tcPr>
          <w:p w14:paraId="15A2B765">
            <w:pPr>
              <w:pStyle w:val="13"/>
            </w:pPr>
            <w:r>
              <w:t>调查问卷</w:t>
            </w:r>
          </w:p>
        </w:tc>
      </w:tr>
    </w:tbl>
    <w:p w14:paraId="21756C7C">
      <w:pPr>
        <w:sectPr>
          <w:pgSz w:w="16840" w:h="11900" w:orient="landscape"/>
          <w:pgMar w:top="1361" w:right="1020" w:bottom="1134" w:left="1020" w:header="720" w:footer="720" w:gutter="0"/>
          <w:cols w:space="720" w:num="1"/>
        </w:sectPr>
      </w:pPr>
    </w:p>
    <w:p w14:paraId="172C311B">
      <w:pPr>
        <w:spacing w:before="0" w:after="0"/>
        <w:ind w:firstLine="560"/>
        <w:jc w:val="left"/>
        <w:outlineLvl w:val="9"/>
      </w:pPr>
      <w:r>
        <w:rPr>
          <w:rFonts w:ascii="方正仿宋_GBK" w:hAnsi="方正仿宋_GBK" w:eastAsia="方正仿宋_GBK" w:cs="方正仿宋_GBK"/>
          <w:b/>
          <w:color w:val="000000"/>
          <w:sz w:val="28"/>
        </w:rPr>
        <w:t>117、市级基数/隆尧县华开学校公用经费绩效目标表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2C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A973D">
            <w:pPr>
              <w:pStyle w:val="14"/>
            </w:pPr>
            <w:r>
              <w:t>单位：万元</w:t>
            </w:r>
          </w:p>
        </w:tc>
      </w:tr>
      <w:tr w14:paraId="0F511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E5BB9">
            <w:pPr>
              <w:pStyle w:val="11"/>
            </w:pPr>
            <w:r>
              <w:t>项目编码</w:t>
            </w:r>
          </w:p>
        </w:tc>
        <w:tc>
          <w:tcPr>
            <w:tcW w:w="5103" w:type="dxa"/>
            <w:gridSpan w:val="2"/>
            <w:vAlign w:val="center"/>
          </w:tcPr>
          <w:p w14:paraId="70AD16D4">
            <w:pPr>
              <w:pStyle w:val="13"/>
            </w:pPr>
            <w:r>
              <w:t>13052525P00000410214W</w:t>
            </w:r>
          </w:p>
        </w:tc>
        <w:tc>
          <w:tcPr>
            <w:tcW w:w="2835" w:type="dxa"/>
            <w:vAlign w:val="center"/>
          </w:tcPr>
          <w:p w14:paraId="7248AFA2">
            <w:pPr>
              <w:pStyle w:val="11"/>
            </w:pPr>
            <w:r>
              <w:t>项目名称</w:t>
            </w:r>
          </w:p>
        </w:tc>
        <w:tc>
          <w:tcPr>
            <w:tcW w:w="6095" w:type="dxa"/>
            <w:gridSpan w:val="3"/>
            <w:vAlign w:val="center"/>
          </w:tcPr>
          <w:p w14:paraId="2BF0758E">
            <w:pPr>
              <w:pStyle w:val="13"/>
            </w:pPr>
            <w:r>
              <w:t>市级基数/隆尧县华开学校公用经费</w:t>
            </w:r>
          </w:p>
        </w:tc>
      </w:tr>
      <w:tr w14:paraId="0E138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55F75">
            <w:pPr>
              <w:pStyle w:val="11"/>
            </w:pPr>
            <w:r>
              <w:t>预算规模及资金用途</w:t>
            </w:r>
          </w:p>
        </w:tc>
        <w:tc>
          <w:tcPr>
            <w:tcW w:w="2268" w:type="dxa"/>
            <w:vAlign w:val="center"/>
          </w:tcPr>
          <w:p w14:paraId="79957017">
            <w:pPr>
              <w:pStyle w:val="11"/>
            </w:pPr>
            <w:r>
              <w:t>预算数</w:t>
            </w:r>
          </w:p>
        </w:tc>
        <w:tc>
          <w:tcPr>
            <w:tcW w:w="2835" w:type="dxa"/>
            <w:vAlign w:val="center"/>
          </w:tcPr>
          <w:p w14:paraId="05A9CEEC">
            <w:pPr>
              <w:pStyle w:val="13"/>
            </w:pPr>
            <w:r>
              <w:t>13.51</w:t>
            </w:r>
          </w:p>
        </w:tc>
        <w:tc>
          <w:tcPr>
            <w:tcW w:w="2835" w:type="dxa"/>
            <w:vAlign w:val="center"/>
          </w:tcPr>
          <w:p w14:paraId="47491191">
            <w:pPr>
              <w:pStyle w:val="11"/>
            </w:pPr>
            <w:r>
              <w:t>其中：财政    资金</w:t>
            </w:r>
          </w:p>
        </w:tc>
        <w:tc>
          <w:tcPr>
            <w:tcW w:w="2551" w:type="dxa"/>
            <w:vAlign w:val="center"/>
          </w:tcPr>
          <w:p w14:paraId="664B7495">
            <w:pPr>
              <w:pStyle w:val="13"/>
            </w:pPr>
            <w:r>
              <w:t>13.51</w:t>
            </w:r>
          </w:p>
        </w:tc>
        <w:tc>
          <w:tcPr>
            <w:tcW w:w="2268" w:type="dxa"/>
            <w:vAlign w:val="center"/>
          </w:tcPr>
          <w:p w14:paraId="6F6D6ED3">
            <w:pPr>
              <w:pStyle w:val="11"/>
            </w:pPr>
            <w:r>
              <w:t>其他资金</w:t>
            </w:r>
          </w:p>
        </w:tc>
        <w:tc>
          <w:tcPr>
            <w:tcW w:w="1276" w:type="dxa"/>
            <w:vAlign w:val="center"/>
          </w:tcPr>
          <w:p w14:paraId="50CCDAD6">
            <w:pPr>
              <w:pStyle w:val="13"/>
            </w:pPr>
            <w:r>
              <w:t xml:space="preserve"> </w:t>
            </w:r>
          </w:p>
        </w:tc>
      </w:tr>
      <w:tr w14:paraId="04E75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CEAEB7"/>
        </w:tc>
        <w:tc>
          <w:tcPr>
            <w:tcW w:w="14033" w:type="dxa"/>
            <w:gridSpan w:val="6"/>
            <w:vAlign w:val="center"/>
          </w:tcPr>
          <w:p w14:paraId="68B9703E">
            <w:pPr>
              <w:pStyle w:val="13"/>
            </w:pPr>
            <w:r>
              <w:t>保障义务教育学校正常运转，完成教育教学活动和其他日常工作任务等方面的费用支出。</w:t>
            </w:r>
          </w:p>
        </w:tc>
      </w:tr>
      <w:tr w14:paraId="06646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EFF3D">
            <w:pPr>
              <w:pStyle w:val="11"/>
            </w:pPr>
            <w:r>
              <w:t>资金支出计划（%）</w:t>
            </w:r>
          </w:p>
        </w:tc>
        <w:tc>
          <w:tcPr>
            <w:tcW w:w="5103" w:type="dxa"/>
            <w:gridSpan w:val="2"/>
            <w:vAlign w:val="center"/>
          </w:tcPr>
          <w:p w14:paraId="3FA03D7C">
            <w:pPr>
              <w:pStyle w:val="11"/>
            </w:pPr>
            <w:r>
              <w:t>3月底</w:t>
            </w:r>
          </w:p>
        </w:tc>
        <w:tc>
          <w:tcPr>
            <w:tcW w:w="2835" w:type="dxa"/>
            <w:vAlign w:val="center"/>
          </w:tcPr>
          <w:p w14:paraId="4B687B4D">
            <w:pPr>
              <w:pStyle w:val="11"/>
            </w:pPr>
            <w:r>
              <w:t>6月底</w:t>
            </w:r>
          </w:p>
        </w:tc>
        <w:tc>
          <w:tcPr>
            <w:tcW w:w="2551" w:type="dxa"/>
            <w:vAlign w:val="center"/>
          </w:tcPr>
          <w:p w14:paraId="3D4D774E">
            <w:pPr>
              <w:pStyle w:val="11"/>
            </w:pPr>
            <w:r>
              <w:t>10月底</w:t>
            </w:r>
          </w:p>
        </w:tc>
        <w:tc>
          <w:tcPr>
            <w:tcW w:w="3544" w:type="dxa"/>
            <w:gridSpan w:val="2"/>
            <w:vAlign w:val="center"/>
          </w:tcPr>
          <w:p w14:paraId="6284405D">
            <w:pPr>
              <w:pStyle w:val="11"/>
            </w:pPr>
            <w:r>
              <w:t>12月底</w:t>
            </w:r>
          </w:p>
        </w:tc>
      </w:tr>
      <w:tr w14:paraId="2AC0E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29D961"/>
        </w:tc>
        <w:tc>
          <w:tcPr>
            <w:tcW w:w="5103" w:type="dxa"/>
            <w:gridSpan w:val="2"/>
            <w:vAlign w:val="center"/>
          </w:tcPr>
          <w:p w14:paraId="5BAC6BAE">
            <w:pPr>
              <w:pStyle w:val="12"/>
            </w:pPr>
            <w:r>
              <w:t xml:space="preserve"> </w:t>
            </w:r>
          </w:p>
        </w:tc>
        <w:tc>
          <w:tcPr>
            <w:tcW w:w="2835" w:type="dxa"/>
            <w:vAlign w:val="center"/>
          </w:tcPr>
          <w:p w14:paraId="7116CC39">
            <w:pPr>
              <w:pStyle w:val="12"/>
            </w:pPr>
            <w:r>
              <w:t xml:space="preserve"> </w:t>
            </w:r>
          </w:p>
        </w:tc>
        <w:tc>
          <w:tcPr>
            <w:tcW w:w="2551" w:type="dxa"/>
            <w:vAlign w:val="center"/>
          </w:tcPr>
          <w:p w14:paraId="6B3664F1">
            <w:pPr>
              <w:pStyle w:val="12"/>
            </w:pPr>
            <w:r>
              <w:t xml:space="preserve"> </w:t>
            </w:r>
          </w:p>
        </w:tc>
        <w:tc>
          <w:tcPr>
            <w:tcW w:w="3544" w:type="dxa"/>
            <w:gridSpan w:val="2"/>
            <w:vAlign w:val="center"/>
          </w:tcPr>
          <w:p w14:paraId="6067673D">
            <w:pPr>
              <w:pStyle w:val="12"/>
            </w:pPr>
            <w:r>
              <w:t>100%</w:t>
            </w:r>
          </w:p>
        </w:tc>
      </w:tr>
      <w:tr w14:paraId="10F27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36CB16">
            <w:pPr>
              <w:pStyle w:val="11"/>
            </w:pPr>
            <w:r>
              <w:t>绩效目标</w:t>
            </w:r>
          </w:p>
        </w:tc>
        <w:tc>
          <w:tcPr>
            <w:tcW w:w="14033" w:type="dxa"/>
            <w:gridSpan w:val="6"/>
            <w:vAlign w:val="center"/>
          </w:tcPr>
          <w:p w14:paraId="2D0EFBDE">
            <w:pPr>
              <w:pStyle w:val="13"/>
            </w:pPr>
            <w:r>
              <w:t>1.保障义务教育学校正常运转，完成教育教学活动和其他日常工作任务等方面的费用支出。</w:t>
            </w:r>
          </w:p>
        </w:tc>
      </w:tr>
    </w:tbl>
    <w:p w14:paraId="769C5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8EE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ECCDE">
            <w:pPr>
              <w:pStyle w:val="11"/>
            </w:pPr>
            <w:r>
              <w:t>一级指标</w:t>
            </w:r>
          </w:p>
        </w:tc>
        <w:tc>
          <w:tcPr>
            <w:tcW w:w="2268" w:type="dxa"/>
            <w:vAlign w:val="center"/>
          </w:tcPr>
          <w:p w14:paraId="4E82DD59">
            <w:pPr>
              <w:pStyle w:val="11"/>
            </w:pPr>
            <w:r>
              <w:t>二级指标</w:t>
            </w:r>
          </w:p>
        </w:tc>
        <w:tc>
          <w:tcPr>
            <w:tcW w:w="2835" w:type="dxa"/>
            <w:vAlign w:val="center"/>
          </w:tcPr>
          <w:p w14:paraId="200DC3EC">
            <w:pPr>
              <w:pStyle w:val="11"/>
            </w:pPr>
            <w:r>
              <w:t>三级指标</w:t>
            </w:r>
          </w:p>
        </w:tc>
        <w:tc>
          <w:tcPr>
            <w:tcW w:w="5386" w:type="dxa"/>
            <w:vAlign w:val="center"/>
          </w:tcPr>
          <w:p w14:paraId="73CAB094">
            <w:pPr>
              <w:pStyle w:val="11"/>
            </w:pPr>
            <w:r>
              <w:t>绩效指标描述</w:t>
            </w:r>
          </w:p>
        </w:tc>
        <w:tc>
          <w:tcPr>
            <w:tcW w:w="2268" w:type="dxa"/>
            <w:vAlign w:val="center"/>
          </w:tcPr>
          <w:p w14:paraId="2E6D00C9">
            <w:pPr>
              <w:pStyle w:val="11"/>
            </w:pPr>
            <w:r>
              <w:t>指标值</w:t>
            </w:r>
          </w:p>
        </w:tc>
        <w:tc>
          <w:tcPr>
            <w:tcW w:w="1276" w:type="dxa"/>
            <w:vAlign w:val="center"/>
          </w:tcPr>
          <w:p w14:paraId="33631A3E">
            <w:pPr>
              <w:pStyle w:val="11"/>
            </w:pPr>
            <w:r>
              <w:t>指标值确定依据</w:t>
            </w:r>
          </w:p>
        </w:tc>
      </w:tr>
      <w:tr w14:paraId="04350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F3F10">
            <w:pPr>
              <w:pStyle w:val="12"/>
            </w:pPr>
            <w:r>
              <w:t>产出指标</w:t>
            </w:r>
          </w:p>
        </w:tc>
        <w:tc>
          <w:tcPr>
            <w:tcW w:w="2268" w:type="dxa"/>
            <w:vAlign w:val="center"/>
          </w:tcPr>
          <w:p w14:paraId="48374587">
            <w:pPr>
              <w:pStyle w:val="13"/>
            </w:pPr>
            <w:r>
              <w:t>数量指标</w:t>
            </w:r>
          </w:p>
        </w:tc>
        <w:tc>
          <w:tcPr>
            <w:tcW w:w="2835" w:type="dxa"/>
            <w:vAlign w:val="center"/>
          </w:tcPr>
          <w:p w14:paraId="36285B9D">
            <w:pPr>
              <w:pStyle w:val="13"/>
            </w:pPr>
            <w:r>
              <w:t>适龄在校生</w:t>
            </w:r>
          </w:p>
        </w:tc>
        <w:tc>
          <w:tcPr>
            <w:tcW w:w="5386" w:type="dxa"/>
            <w:vAlign w:val="center"/>
          </w:tcPr>
          <w:p w14:paraId="6BBADDCF">
            <w:pPr>
              <w:pStyle w:val="13"/>
            </w:pPr>
            <w:r>
              <w:t>适龄在校就读学生人数</w:t>
            </w:r>
          </w:p>
        </w:tc>
        <w:tc>
          <w:tcPr>
            <w:tcW w:w="2268" w:type="dxa"/>
            <w:vAlign w:val="center"/>
          </w:tcPr>
          <w:p w14:paraId="7B4A7A61">
            <w:pPr>
              <w:pStyle w:val="13"/>
            </w:pPr>
            <w:r>
              <w:t>237人</w:t>
            </w:r>
          </w:p>
        </w:tc>
        <w:tc>
          <w:tcPr>
            <w:tcW w:w="1276" w:type="dxa"/>
            <w:vAlign w:val="center"/>
          </w:tcPr>
          <w:p w14:paraId="2E89A516">
            <w:pPr>
              <w:pStyle w:val="13"/>
            </w:pPr>
            <w:r>
              <w:t>城乡义务教育公用经费管理办法</w:t>
            </w:r>
          </w:p>
        </w:tc>
      </w:tr>
      <w:tr w14:paraId="3CA3D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8AFE8"/>
        </w:tc>
        <w:tc>
          <w:tcPr>
            <w:tcW w:w="2268" w:type="dxa"/>
            <w:vAlign w:val="center"/>
          </w:tcPr>
          <w:p w14:paraId="3DD72170">
            <w:pPr>
              <w:pStyle w:val="13"/>
            </w:pPr>
            <w:r>
              <w:t>质量指标</w:t>
            </w:r>
          </w:p>
        </w:tc>
        <w:tc>
          <w:tcPr>
            <w:tcW w:w="2835" w:type="dxa"/>
            <w:vAlign w:val="center"/>
          </w:tcPr>
          <w:p w14:paraId="16A2A922">
            <w:pPr>
              <w:pStyle w:val="13"/>
            </w:pPr>
            <w:r>
              <w:t>预算控制率</w:t>
            </w:r>
          </w:p>
        </w:tc>
        <w:tc>
          <w:tcPr>
            <w:tcW w:w="5386" w:type="dxa"/>
            <w:vAlign w:val="center"/>
          </w:tcPr>
          <w:p w14:paraId="3E31309B">
            <w:pPr>
              <w:pStyle w:val="13"/>
            </w:pPr>
            <w:r>
              <w:t>预算执行</w:t>
            </w:r>
          </w:p>
        </w:tc>
        <w:tc>
          <w:tcPr>
            <w:tcW w:w="2268" w:type="dxa"/>
            <w:vAlign w:val="center"/>
          </w:tcPr>
          <w:p w14:paraId="11AB4BDD">
            <w:pPr>
              <w:pStyle w:val="13"/>
            </w:pPr>
            <w:r>
              <w:t>≥95%</w:t>
            </w:r>
          </w:p>
        </w:tc>
        <w:tc>
          <w:tcPr>
            <w:tcW w:w="1276" w:type="dxa"/>
            <w:vAlign w:val="center"/>
          </w:tcPr>
          <w:p w14:paraId="7BFA40FB">
            <w:pPr>
              <w:pStyle w:val="13"/>
            </w:pPr>
            <w:r>
              <w:t>城乡义务教育公用经费管理办法</w:t>
            </w:r>
          </w:p>
        </w:tc>
      </w:tr>
      <w:tr w14:paraId="3FCB9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13B41"/>
        </w:tc>
        <w:tc>
          <w:tcPr>
            <w:tcW w:w="2268" w:type="dxa"/>
            <w:vAlign w:val="center"/>
          </w:tcPr>
          <w:p w14:paraId="183308A9">
            <w:pPr>
              <w:pStyle w:val="13"/>
            </w:pPr>
            <w:r>
              <w:t>时效指标</w:t>
            </w:r>
          </w:p>
        </w:tc>
        <w:tc>
          <w:tcPr>
            <w:tcW w:w="2835" w:type="dxa"/>
            <w:vAlign w:val="center"/>
          </w:tcPr>
          <w:p w14:paraId="6DE48D7C">
            <w:pPr>
              <w:pStyle w:val="13"/>
            </w:pPr>
            <w:r>
              <w:t>资金支付率</w:t>
            </w:r>
          </w:p>
        </w:tc>
        <w:tc>
          <w:tcPr>
            <w:tcW w:w="5386" w:type="dxa"/>
            <w:vAlign w:val="center"/>
          </w:tcPr>
          <w:p w14:paraId="1743C6D5">
            <w:pPr>
              <w:pStyle w:val="13"/>
            </w:pPr>
            <w:r>
              <w:t>按照序时进度完成资金支付</w:t>
            </w:r>
          </w:p>
        </w:tc>
        <w:tc>
          <w:tcPr>
            <w:tcW w:w="2268" w:type="dxa"/>
            <w:vAlign w:val="center"/>
          </w:tcPr>
          <w:p w14:paraId="2846FC04">
            <w:pPr>
              <w:pStyle w:val="13"/>
            </w:pPr>
            <w:r>
              <w:t>≥100%</w:t>
            </w:r>
          </w:p>
        </w:tc>
        <w:tc>
          <w:tcPr>
            <w:tcW w:w="1276" w:type="dxa"/>
            <w:vAlign w:val="center"/>
          </w:tcPr>
          <w:p w14:paraId="3187B345">
            <w:pPr>
              <w:pStyle w:val="13"/>
            </w:pPr>
            <w:r>
              <w:t>城乡义务教育公用经费管理办法</w:t>
            </w:r>
          </w:p>
        </w:tc>
      </w:tr>
      <w:tr w14:paraId="11750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5A66B"/>
        </w:tc>
        <w:tc>
          <w:tcPr>
            <w:tcW w:w="2268" w:type="dxa"/>
            <w:vAlign w:val="center"/>
          </w:tcPr>
          <w:p w14:paraId="58431BAA">
            <w:pPr>
              <w:pStyle w:val="13"/>
            </w:pPr>
            <w:r>
              <w:t>成本指标</w:t>
            </w:r>
          </w:p>
        </w:tc>
        <w:tc>
          <w:tcPr>
            <w:tcW w:w="2835" w:type="dxa"/>
            <w:vAlign w:val="center"/>
          </w:tcPr>
          <w:p w14:paraId="653E4486">
            <w:pPr>
              <w:pStyle w:val="13"/>
            </w:pPr>
            <w:r>
              <w:t>生均拨款标准</w:t>
            </w:r>
          </w:p>
        </w:tc>
        <w:tc>
          <w:tcPr>
            <w:tcW w:w="5386" w:type="dxa"/>
            <w:vAlign w:val="center"/>
          </w:tcPr>
          <w:p w14:paraId="491F30C4">
            <w:pPr>
              <w:pStyle w:val="13"/>
            </w:pPr>
            <w:r>
              <w:t>小学：（基本标准720元、寄宿生300元、取暖120元）/生/学年；随班就读学生：标准6000元/生/学年。</w:t>
            </w:r>
          </w:p>
        </w:tc>
        <w:tc>
          <w:tcPr>
            <w:tcW w:w="2268" w:type="dxa"/>
            <w:vAlign w:val="center"/>
          </w:tcPr>
          <w:p w14:paraId="2B1E6502">
            <w:pPr>
              <w:pStyle w:val="13"/>
            </w:pPr>
            <w:r>
              <w:t>840元</w:t>
            </w:r>
          </w:p>
        </w:tc>
        <w:tc>
          <w:tcPr>
            <w:tcW w:w="1276" w:type="dxa"/>
            <w:vAlign w:val="center"/>
          </w:tcPr>
          <w:p w14:paraId="0EABE7A1">
            <w:pPr>
              <w:pStyle w:val="13"/>
            </w:pPr>
            <w:r>
              <w:t>城乡义务教育公用经费管理办法</w:t>
            </w:r>
          </w:p>
        </w:tc>
      </w:tr>
      <w:tr w14:paraId="61A58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39B982">
            <w:pPr>
              <w:pStyle w:val="12"/>
            </w:pPr>
            <w:r>
              <w:t>效益指标</w:t>
            </w:r>
          </w:p>
        </w:tc>
        <w:tc>
          <w:tcPr>
            <w:tcW w:w="2268" w:type="dxa"/>
            <w:vAlign w:val="center"/>
          </w:tcPr>
          <w:p w14:paraId="00731BC1">
            <w:pPr>
              <w:pStyle w:val="13"/>
            </w:pPr>
            <w:r>
              <w:t>可持续影响指标</w:t>
            </w:r>
          </w:p>
        </w:tc>
        <w:tc>
          <w:tcPr>
            <w:tcW w:w="2835" w:type="dxa"/>
            <w:vAlign w:val="center"/>
          </w:tcPr>
          <w:p w14:paraId="026E8B3B">
            <w:pPr>
              <w:pStyle w:val="13"/>
            </w:pPr>
            <w:r>
              <w:t>教育发展水平明显好转</w:t>
            </w:r>
          </w:p>
        </w:tc>
        <w:tc>
          <w:tcPr>
            <w:tcW w:w="5386" w:type="dxa"/>
            <w:vAlign w:val="center"/>
          </w:tcPr>
          <w:p w14:paraId="1466C9AE">
            <w:pPr>
              <w:pStyle w:val="13"/>
            </w:pPr>
            <w:r>
              <w:t>学生受教育年限</w:t>
            </w:r>
          </w:p>
        </w:tc>
        <w:tc>
          <w:tcPr>
            <w:tcW w:w="2268" w:type="dxa"/>
            <w:vAlign w:val="center"/>
          </w:tcPr>
          <w:p w14:paraId="2FE54E83">
            <w:pPr>
              <w:pStyle w:val="13"/>
            </w:pPr>
            <w:r>
              <w:t>6年</w:t>
            </w:r>
          </w:p>
        </w:tc>
        <w:tc>
          <w:tcPr>
            <w:tcW w:w="1276" w:type="dxa"/>
            <w:vAlign w:val="center"/>
          </w:tcPr>
          <w:p w14:paraId="601691EC">
            <w:pPr>
              <w:pStyle w:val="13"/>
            </w:pPr>
            <w:r>
              <w:t>城乡义务教育公用经费管理办法</w:t>
            </w:r>
          </w:p>
        </w:tc>
      </w:tr>
      <w:tr w14:paraId="3452C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ACD9DD">
            <w:pPr>
              <w:pStyle w:val="12"/>
            </w:pPr>
            <w:r>
              <w:t>满意度指标</w:t>
            </w:r>
          </w:p>
        </w:tc>
        <w:tc>
          <w:tcPr>
            <w:tcW w:w="2268" w:type="dxa"/>
            <w:vAlign w:val="center"/>
          </w:tcPr>
          <w:p w14:paraId="1479A414">
            <w:pPr>
              <w:pStyle w:val="13"/>
            </w:pPr>
            <w:r>
              <w:t>服务对象满意度指标</w:t>
            </w:r>
          </w:p>
        </w:tc>
        <w:tc>
          <w:tcPr>
            <w:tcW w:w="2835" w:type="dxa"/>
            <w:vAlign w:val="center"/>
          </w:tcPr>
          <w:p w14:paraId="57468AFF">
            <w:pPr>
              <w:pStyle w:val="13"/>
            </w:pPr>
            <w:r>
              <w:t>受益学生家长及调查满意度</w:t>
            </w:r>
          </w:p>
        </w:tc>
        <w:tc>
          <w:tcPr>
            <w:tcW w:w="5386" w:type="dxa"/>
            <w:vAlign w:val="center"/>
          </w:tcPr>
          <w:p w14:paraId="2F2B81E2">
            <w:pPr>
              <w:pStyle w:val="13"/>
            </w:pPr>
            <w:r>
              <w:t>学生、教师及家长对学校教育教学工作满意度情况</w:t>
            </w:r>
          </w:p>
        </w:tc>
        <w:tc>
          <w:tcPr>
            <w:tcW w:w="2268" w:type="dxa"/>
            <w:vAlign w:val="center"/>
          </w:tcPr>
          <w:p w14:paraId="2C6C2ECB">
            <w:pPr>
              <w:pStyle w:val="13"/>
            </w:pPr>
            <w:r>
              <w:t>≥95%</w:t>
            </w:r>
          </w:p>
        </w:tc>
        <w:tc>
          <w:tcPr>
            <w:tcW w:w="1276" w:type="dxa"/>
            <w:vAlign w:val="center"/>
          </w:tcPr>
          <w:p w14:paraId="2CCBA091">
            <w:pPr>
              <w:pStyle w:val="13"/>
            </w:pPr>
            <w:r>
              <w:t>调查问卷</w:t>
            </w:r>
          </w:p>
        </w:tc>
      </w:tr>
    </w:tbl>
    <w:p w14:paraId="52537ADB">
      <w:pPr>
        <w:sectPr>
          <w:pgSz w:w="16840" w:h="11900" w:orient="landscape"/>
          <w:pgMar w:top="1361" w:right="1020" w:bottom="1134" w:left="1020" w:header="720" w:footer="720" w:gutter="0"/>
          <w:cols w:space="720" w:num="1"/>
        </w:sectPr>
      </w:pPr>
    </w:p>
    <w:p w14:paraId="607E7E56">
      <w:pPr>
        <w:spacing w:before="0" w:after="0"/>
        <w:ind w:firstLine="560"/>
        <w:jc w:val="left"/>
        <w:outlineLvl w:val="9"/>
      </w:pPr>
      <w:r>
        <w:rPr>
          <w:rFonts w:ascii="方正仿宋_GBK" w:hAnsi="方正仿宋_GBK" w:eastAsia="方正仿宋_GBK" w:cs="方正仿宋_GBK"/>
          <w:b/>
          <w:color w:val="000000"/>
          <w:sz w:val="28"/>
        </w:rPr>
        <w:t>118、市级基数/隆尧县启明学校公用经费绩效目标表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49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434EC">
            <w:pPr>
              <w:pStyle w:val="14"/>
            </w:pPr>
            <w:r>
              <w:t>单位：万元</w:t>
            </w:r>
          </w:p>
        </w:tc>
      </w:tr>
      <w:tr w14:paraId="265F1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25C0A">
            <w:pPr>
              <w:pStyle w:val="11"/>
            </w:pPr>
            <w:r>
              <w:t>项目编码</w:t>
            </w:r>
          </w:p>
        </w:tc>
        <w:tc>
          <w:tcPr>
            <w:tcW w:w="5103" w:type="dxa"/>
            <w:gridSpan w:val="2"/>
            <w:vAlign w:val="center"/>
          </w:tcPr>
          <w:p w14:paraId="779A4BBE">
            <w:pPr>
              <w:pStyle w:val="13"/>
            </w:pPr>
            <w:r>
              <w:t>13052525P00000410205L</w:t>
            </w:r>
          </w:p>
        </w:tc>
        <w:tc>
          <w:tcPr>
            <w:tcW w:w="2835" w:type="dxa"/>
            <w:vAlign w:val="center"/>
          </w:tcPr>
          <w:p w14:paraId="5B6F273C">
            <w:pPr>
              <w:pStyle w:val="11"/>
            </w:pPr>
            <w:r>
              <w:t>项目名称</w:t>
            </w:r>
          </w:p>
        </w:tc>
        <w:tc>
          <w:tcPr>
            <w:tcW w:w="6095" w:type="dxa"/>
            <w:gridSpan w:val="3"/>
            <w:vAlign w:val="center"/>
          </w:tcPr>
          <w:p w14:paraId="57A5C30C">
            <w:pPr>
              <w:pStyle w:val="13"/>
            </w:pPr>
            <w:r>
              <w:t>市级基数/隆尧县启明学校公用经费</w:t>
            </w:r>
          </w:p>
        </w:tc>
      </w:tr>
      <w:tr w14:paraId="65CCA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308F3">
            <w:pPr>
              <w:pStyle w:val="11"/>
            </w:pPr>
            <w:r>
              <w:t>预算规模及资金用途</w:t>
            </w:r>
          </w:p>
        </w:tc>
        <w:tc>
          <w:tcPr>
            <w:tcW w:w="2268" w:type="dxa"/>
            <w:vAlign w:val="center"/>
          </w:tcPr>
          <w:p w14:paraId="45DEAB05">
            <w:pPr>
              <w:pStyle w:val="11"/>
            </w:pPr>
            <w:r>
              <w:t>预算数</w:t>
            </w:r>
          </w:p>
        </w:tc>
        <w:tc>
          <w:tcPr>
            <w:tcW w:w="2835" w:type="dxa"/>
            <w:vAlign w:val="center"/>
          </w:tcPr>
          <w:p w14:paraId="7E4D9509">
            <w:pPr>
              <w:pStyle w:val="13"/>
            </w:pPr>
            <w:r>
              <w:t>2.91</w:t>
            </w:r>
          </w:p>
        </w:tc>
        <w:tc>
          <w:tcPr>
            <w:tcW w:w="2835" w:type="dxa"/>
            <w:vAlign w:val="center"/>
          </w:tcPr>
          <w:p w14:paraId="3824580D">
            <w:pPr>
              <w:pStyle w:val="11"/>
            </w:pPr>
            <w:r>
              <w:t>其中：财政    资金</w:t>
            </w:r>
          </w:p>
        </w:tc>
        <w:tc>
          <w:tcPr>
            <w:tcW w:w="2551" w:type="dxa"/>
            <w:vAlign w:val="center"/>
          </w:tcPr>
          <w:p w14:paraId="69535F05">
            <w:pPr>
              <w:pStyle w:val="13"/>
            </w:pPr>
            <w:r>
              <w:t>2.91</w:t>
            </w:r>
          </w:p>
        </w:tc>
        <w:tc>
          <w:tcPr>
            <w:tcW w:w="2268" w:type="dxa"/>
            <w:vAlign w:val="center"/>
          </w:tcPr>
          <w:p w14:paraId="4FD62613">
            <w:pPr>
              <w:pStyle w:val="11"/>
            </w:pPr>
            <w:r>
              <w:t>其他资金</w:t>
            </w:r>
          </w:p>
        </w:tc>
        <w:tc>
          <w:tcPr>
            <w:tcW w:w="1276" w:type="dxa"/>
            <w:vAlign w:val="center"/>
          </w:tcPr>
          <w:p w14:paraId="20E98375">
            <w:pPr>
              <w:pStyle w:val="13"/>
            </w:pPr>
            <w:r>
              <w:t xml:space="preserve"> </w:t>
            </w:r>
          </w:p>
        </w:tc>
      </w:tr>
      <w:tr w14:paraId="7E51B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6C17D4"/>
        </w:tc>
        <w:tc>
          <w:tcPr>
            <w:tcW w:w="14033" w:type="dxa"/>
            <w:gridSpan w:val="6"/>
            <w:vAlign w:val="center"/>
          </w:tcPr>
          <w:p w14:paraId="6675F8A6">
            <w:pPr>
              <w:pStyle w:val="13"/>
            </w:pPr>
            <w:r>
              <w:t>保障义务教育学校正常运转，完成教育教学活动和其他日常工作任务等方面的费用支出</w:t>
            </w:r>
          </w:p>
        </w:tc>
      </w:tr>
      <w:tr w14:paraId="38A38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BDD85">
            <w:pPr>
              <w:pStyle w:val="11"/>
            </w:pPr>
            <w:r>
              <w:t>资金支出计划（%）</w:t>
            </w:r>
          </w:p>
        </w:tc>
        <w:tc>
          <w:tcPr>
            <w:tcW w:w="5103" w:type="dxa"/>
            <w:gridSpan w:val="2"/>
            <w:vAlign w:val="center"/>
          </w:tcPr>
          <w:p w14:paraId="166F6C88">
            <w:pPr>
              <w:pStyle w:val="11"/>
            </w:pPr>
            <w:r>
              <w:t>3月底</w:t>
            </w:r>
          </w:p>
        </w:tc>
        <w:tc>
          <w:tcPr>
            <w:tcW w:w="2835" w:type="dxa"/>
            <w:vAlign w:val="center"/>
          </w:tcPr>
          <w:p w14:paraId="47BD761F">
            <w:pPr>
              <w:pStyle w:val="11"/>
            </w:pPr>
            <w:r>
              <w:t>6月底</w:t>
            </w:r>
          </w:p>
        </w:tc>
        <w:tc>
          <w:tcPr>
            <w:tcW w:w="2551" w:type="dxa"/>
            <w:vAlign w:val="center"/>
          </w:tcPr>
          <w:p w14:paraId="5754451B">
            <w:pPr>
              <w:pStyle w:val="11"/>
            </w:pPr>
            <w:r>
              <w:t>10月底</w:t>
            </w:r>
          </w:p>
        </w:tc>
        <w:tc>
          <w:tcPr>
            <w:tcW w:w="3544" w:type="dxa"/>
            <w:gridSpan w:val="2"/>
            <w:vAlign w:val="center"/>
          </w:tcPr>
          <w:p w14:paraId="7F8EE4A9">
            <w:pPr>
              <w:pStyle w:val="11"/>
            </w:pPr>
            <w:r>
              <w:t>12月底</w:t>
            </w:r>
          </w:p>
        </w:tc>
      </w:tr>
      <w:tr w14:paraId="585A5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ECDE8"/>
        </w:tc>
        <w:tc>
          <w:tcPr>
            <w:tcW w:w="5103" w:type="dxa"/>
            <w:gridSpan w:val="2"/>
            <w:vAlign w:val="center"/>
          </w:tcPr>
          <w:p w14:paraId="621454DB">
            <w:pPr>
              <w:pStyle w:val="12"/>
            </w:pPr>
            <w:r>
              <w:t xml:space="preserve"> </w:t>
            </w:r>
          </w:p>
        </w:tc>
        <w:tc>
          <w:tcPr>
            <w:tcW w:w="2835" w:type="dxa"/>
            <w:vAlign w:val="center"/>
          </w:tcPr>
          <w:p w14:paraId="6C5AC908">
            <w:pPr>
              <w:pStyle w:val="12"/>
            </w:pPr>
            <w:r>
              <w:t xml:space="preserve"> </w:t>
            </w:r>
          </w:p>
        </w:tc>
        <w:tc>
          <w:tcPr>
            <w:tcW w:w="2551" w:type="dxa"/>
            <w:vAlign w:val="center"/>
          </w:tcPr>
          <w:p w14:paraId="0B9A6712">
            <w:pPr>
              <w:pStyle w:val="12"/>
            </w:pPr>
            <w:r>
              <w:t xml:space="preserve"> </w:t>
            </w:r>
          </w:p>
        </w:tc>
        <w:tc>
          <w:tcPr>
            <w:tcW w:w="3544" w:type="dxa"/>
            <w:gridSpan w:val="2"/>
            <w:vAlign w:val="center"/>
          </w:tcPr>
          <w:p w14:paraId="61D94DEB">
            <w:pPr>
              <w:pStyle w:val="12"/>
            </w:pPr>
            <w:r>
              <w:t>100%</w:t>
            </w:r>
          </w:p>
        </w:tc>
      </w:tr>
      <w:tr w14:paraId="065A0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0DC983">
            <w:pPr>
              <w:pStyle w:val="11"/>
            </w:pPr>
            <w:r>
              <w:t>绩效目标</w:t>
            </w:r>
          </w:p>
        </w:tc>
        <w:tc>
          <w:tcPr>
            <w:tcW w:w="14033" w:type="dxa"/>
            <w:gridSpan w:val="6"/>
            <w:vAlign w:val="center"/>
          </w:tcPr>
          <w:p w14:paraId="2478C728">
            <w:pPr>
              <w:pStyle w:val="13"/>
            </w:pPr>
            <w:r>
              <w:t>1.保障义务教育学校正常运转，完成教育教学活动和其他日常工作任务等方面的费用支出。</w:t>
            </w:r>
            <w:r>
              <w:tab/>
            </w:r>
            <w:r>
              <w:tab/>
            </w:r>
            <w:r>
              <w:tab/>
            </w:r>
          </w:p>
          <w:p w14:paraId="220BF513">
            <w:pPr>
              <w:pStyle w:val="13"/>
            </w:pPr>
          </w:p>
        </w:tc>
      </w:tr>
    </w:tbl>
    <w:p w14:paraId="124AE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2B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21A05">
            <w:pPr>
              <w:pStyle w:val="11"/>
            </w:pPr>
            <w:r>
              <w:t>一级指标</w:t>
            </w:r>
          </w:p>
        </w:tc>
        <w:tc>
          <w:tcPr>
            <w:tcW w:w="2268" w:type="dxa"/>
            <w:vAlign w:val="center"/>
          </w:tcPr>
          <w:p w14:paraId="19AAD1BA">
            <w:pPr>
              <w:pStyle w:val="11"/>
            </w:pPr>
            <w:r>
              <w:t>二级指标</w:t>
            </w:r>
          </w:p>
        </w:tc>
        <w:tc>
          <w:tcPr>
            <w:tcW w:w="2835" w:type="dxa"/>
            <w:vAlign w:val="center"/>
          </w:tcPr>
          <w:p w14:paraId="36A94FFE">
            <w:pPr>
              <w:pStyle w:val="11"/>
            </w:pPr>
            <w:r>
              <w:t>三级指标</w:t>
            </w:r>
          </w:p>
        </w:tc>
        <w:tc>
          <w:tcPr>
            <w:tcW w:w="5386" w:type="dxa"/>
            <w:vAlign w:val="center"/>
          </w:tcPr>
          <w:p w14:paraId="7BBA63FA">
            <w:pPr>
              <w:pStyle w:val="11"/>
            </w:pPr>
            <w:r>
              <w:t>绩效指标描述</w:t>
            </w:r>
          </w:p>
        </w:tc>
        <w:tc>
          <w:tcPr>
            <w:tcW w:w="2268" w:type="dxa"/>
            <w:vAlign w:val="center"/>
          </w:tcPr>
          <w:p w14:paraId="7A05AF3F">
            <w:pPr>
              <w:pStyle w:val="11"/>
            </w:pPr>
            <w:r>
              <w:t>指标值</w:t>
            </w:r>
          </w:p>
        </w:tc>
        <w:tc>
          <w:tcPr>
            <w:tcW w:w="1276" w:type="dxa"/>
            <w:vAlign w:val="center"/>
          </w:tcPr>
          <w:p w14:paraId="07ACC875">
            <w:pPr>
              <w:pStyle w:val="11"/>
            </w:pPr>
            <w:r>
              <w:t>指标值确定依据</w:t>
            </w:r>
          </w:p>
        </w:tc>
      </w:tr>
      <w:tr w14:paraId="25784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60D27">
            <w:pPr>
              <w:pStyle w:val="12"/>
            </w:pPr>
            <w:r>
              <w:t>产出指标</w:t>
            </w:r>
          </w:p>
        </w:tc>
        <w:tc>
          <w:tcPr>
            <w:tcW w:w="2268" w:type="dxa"/>
            <w:vAlign w:val="center"/>
          </w:tcPr>
          <w:p w14:paraId="3B1E4E9A">
            <w:pPr>
              <w:pStyle w:val="13"/>
            </w:pPr>
            <w:r>
              <w:t>数量指标</w:t>
            </w:r>
          </w:p>
        </w:tc>
        <w:tc>
          <w:tcPr>
            <w:tcW w:w="2835" w:type="dxa"/>
            <w:vAlign w:val="center"/>
          </w:tcPr>
          <w:p w14:paraId="08FDD5C9">
            <w:pPr>
              <w:pStyle w:val="13"/>
            </w:pPr>
            <w:r>
              <w:t>适龄在校生</w:t>
            </w:r>
          </w:p>
        </w:tc>
        <w:tc>
          <w:tcPr>
            <w:tcW w:w="5386" w:type="dxa"/>
            <w:vAlign w:val="center"/>
          </w:tcPr>
          <w:p w14:paraId="3AAC1453">
            <w:pPr>
              <w:pStyle w:val="13"/>
            </w:pPr>
            <w:r>
              <w:t>适龄在校就读学生人数</w:t>
            </w:r>
          </w:p>
        </w:tc>
        <w:tc>
          <w:tcPr>
            <w:tcW w:w="2268" w:type="dxa"/>
            <w:vAlign w:val="center"/>
          </w:tcPr>
          <w:p w14:paraId="285DFEF6">
            <w:pPr>
              <w:pStyle w:val="13"/>
            </w:pPr>
            <w:r>
              <w:t>51人</w:t>
            </w:r>
          </w:p>
        </w:tc>
        <w:tc>
          <w:tcPr>
            <w:tcW w:w="1276" w:type="dxa"/>
            <w:vAlign w:val="center"/>
          </w:tcPr>
          <w:p w14:paraId="502EEAE6">
            <w:pPr>
              <w:pStyle w:val="13"/>
            </w:pPr>
            <w:r>
              <w:t>城乡义务教育公用经费管理办法</w:t>
            </w:r>
          </w:p>
        </w:tc>
      </w:tr>
      <w:tr w14:paraId="0E083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E0453"/>
        </w:tc>
        <w:tc>
          <w:tcPr>
            <w:tcW w:w="2268" w:type="dxa"/>
            <w:vAlign w:val="center"/>
          </w:tcPr>
          <w:p w14:paraId="0EB77810">
            <w:pPr>
              <w:pStyle w:val="13"/>
            </w:pPr>
            <w:r>
              <w:t>质量指标</w:t>
            </w:r>
          </w:p>
        </w:tc>
        <w:tc>
          <w:tcPr>
            <w:tcW w:w="2835" w:type="dxa"/>
            <w:vAlign w:val="center"/>
          </w:tcPr>
          <w:p w14:paraId="09920A8A">
            <w:pPr>
              <w:pStyle w:val="13"/>
            </w:pPr>
            <w:r>
              <w:t>预算控制率</w:t>
            </w:r>
          </w:p>
        </w:tc>
        <w:tc>
          <w:tcPr>
            <w:tcW w:w="5386" w:type="dxa"/>
            <w:vAlign w:val="center"/>
          </w:tcPr>
          <w:p w14:paraId="21602D09">
            <w:pPr>
              <w:pStyle w:val="13"/>
            </w:pPr>
            <w:r>
              <w:t>预算执行</w:t>
            </w:r>
          </w:p>
        </w:tc>
        <w:tc>
          <w:tcPr>
            <w:tcW w:w="2268" w:type="dxa"/>
            <w:vAlign w:val="center"/>
          </w:tcPr>
          <w:p w14:paraId="72A61ACD">
            <w:pPr>
              <w:pStyle w:val="13"/>
            </w:pPr>
            <w:r>
              <w:t>≥95%</w:t>
            </w:r>
          </w:p>
        </w:tc>
        <w:tc>
          <w:tcPr>
            <w:tcW w:w="1276" w:type="dxa"/>
            <w:vAlign w:val="center"/>
          </w:tcPr>
          <w:p w14:paraId="6097A388">
            <w:pPr>
              <w:pStyle w:val="13"/>
            </w:pPr>
            <w:r>
              <w:t>城乡义务教育公用经费管理办法</w:t>
            </w:r>
          </w:p>
        </w:tc>
      </w:tr>
      <w:tr w14:paraId="2E64D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CCF96"/>
        </w:tc>
        <w:tc>
          <w:tcPr>
            <w:tcW w:w="2268" w:type="dxa"/>
            <w:vAlign w:val="center"/>
          </w:tcPr>
          <w:p w14:paraId="6B7065C2">
            <w:pPr>
              <w:pStyle w:val="13"/>
            </w:pPr>
            <w:r>
              <w:t>时效指标</w:t>
            </w:r>
          </w:p>
        </w:tc>
        <w:tc>
          <w:tcPr>
            <w:tcW w:w="2835" w:type="dxa"/>
            <w:vAlign w:val="center"/>
          </w:tcPr>
          <w:p w14:paraId="5E20987F">
            <w:pPr>
              <w:pStyle w:val="13"/>
            </w:pPr>
            <w:r>
              <w:t>资金支付率</w:t>
            </w:r>
          </w:p>
        </w:tc>
        <w:tc>
          <w:tcPr>
            <w:tcW w:w="5386" w:type="dxa"/>
            <w:vAlign w:val="center"/>
          </w:tcPr>
          <w:p w14:paraId="3EE6D151">
            <w:pPr>
              <w:pStyle w:val="13"/>
            </w:pPr>
            <w:r>
              <w:t>按照序时进度完成资金支付</w:t>
            </w:r>
          </w:p>
        </w:tc>
        <w:tc>
          <w:tcPr>
            <w:tcW w:w="2268" w:type="dxa"/>
            <w:vAlign w:val="center"/>
          </w:tcPr>
          <w:p w14:paraId="367A7821">
            <w:pPr>
              <w:pStyle w:val="13"/>
            </w:pPr>
            <w:r>
              <w:t>≥100%</w:t>
            </w:r>
          </w:p>
        </w:tc>
        <w:tc>
          <w:tcPr>
            <w:tcW w:w="1276" w:type="dxa"/>
            <w:vAlign w:val="center"/>
          </w:tcPr>
          <w:p w14:paraId="6D0092EF">
            <w:pPr>
              <w:pStyle w:val="13"/>
            </w:pPr>
            <w:r>
              <w:t>城乡义务教育公用经费管理办法</w:t>
            </w:r>
          </w:p>
        </w:tc>
      </w:tr>
      <w:tr w14:paraId="4B173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00BBE"/>
        </w:tc>
        <w:tc>
          <w:tcPr>
            <w:tcW w:w="2268" w:type="dxa"/>
            <w:vAlign w:val="center"/>
          </w:tcPr>
          <w:p w14:paraId="20E26133">
            <w:pPr>
              <w:pStyle w:val="13"/>
            </w:pPr>
            <w:r>
              <w:t>成本指标</w:t>
            </w:r>
          </w:p>
        </w:tc>
        <w:tc>
          <w:tcPr>
            <w:tcW w:w="2835" w:type="dxa"/>
            <w:vAlign w:val="center"/>
          </w:tcPr>
          <w:p w14:paraId="75969787">
            <w:pPr>
              <w:pStyle w:val="13"/>
            </w:pPr>
            <w:r>
              <w:t>生均拨款标准</w:t>
            </w:r>
          </w:p>
        </w:tc>
        <w:tc>
          <w:tcPr>
            <w:tcW w:w="5386" w:type="dxa"/>
            <w:vAlign w:val="center"/>
          </w:tcPr>
          <w:p w14:paraId="146EC543">
            <w:pPr>
              <w:pStyle w:val="13"/>
            </w:pPr>
            <w:r>
              <w:t>小学：（基本标准720元、寄宿生300元、取暖120元）/生/学年；随班就读学生：标准6000元/生/学年。</w:t>
            </w:r>
          </w:p>
        </w:tc>
        <w:tc>
          <w:tcPr>
            <w:tcW w:w="2268" w:type="dxa"/>
            <w:vAlign w:val="center"/>
          </w:tcPr>
          <w:p w14:paraId="4D38164D">
            <w:pPr>
              <w:pStyle w:val="13"/>
            </w:pPr>
            <w:r>
              <w:t>29070元</w:t>
            </w:r>
          </w:p>
        </w:tc>
        <w:tc>
          <w:tcPr>
            <w:tcW w:w="1276" w:type="dxa"/>
            <w:vAlign w:val="center"/>
          </w:tcPr>
          <w:p w14:paraId="0835E58E">
            <w:pPr>
              <w:pStyle w:val="13"/>
            </w:pPr>
            <w:r>
              <w:t>城乡义务教育公用经费管理办法</w:t>
            </w:r>
          </w:p>
        </w:tc>
      </w:tr>
      <w:tr w14:paraId="6F503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BE76C1">
            <w:pPr>
              <w:pStyle w:val="12"/>
            </w:pPr>
            <w:r>
              <w:t>效益指标</w:t>
            </w:r>
          </w:p>
        </w:tc>
        <w:tc>
          <w:tcPr>
            <w:tcW w:w="2268" w:type="dxa"/>
            <w:vAlign w:val="center"/>
          </w:tcPr>
          <w:p w14:paraId="0BF8E7C8">
            <w:pPr>
              <w:pStyle w:val="13"/>
            </w:pPr>
            <w:r>
              <w:t>可持续影响指标</w:t>
            </w:r>
          </w:p>
        </w:tc>
        <w:tc>
          <w:tcPr>
            <w:tcW w:w="2835" w:type="dxa"/>
            <w:vAlign w:val="center"/>
          </w:tcPr>
          <w:p w14:paraId="453A2280">
            <w:pPr>
              <w:pStyle w:val="13"/>
            </w:pPr>
            <w:r>
              <w:t>教育发展水平明显好转</w:t>
            </w:r>
          </w:p>
        </w:tc>
        <w:tc>
          <w:tcPr>
            <w:tcW w:w="5386" w:type="dxa"/>
            <w:vAlign w:val="center"/>
          </w:tcPr>
          <w:p w14:paraId="1D730C1B">
            <w:pPr>
              <w:pStyle w:val="13"/>
            </w:pPr>
            <w:r>
              <w:t>学生受教育年限</w:t>
            </w:r>
          </w:p>
        </w:tc>
        <w:tc>
          <w:tcPr>
            <w:tcW w:w="2268" w:type="dxa"/>
            <w:vAlign w:val="center"/>
          </w:tcPr>
          <w:p w14:paraId="21202590">
            <w:pPr>
              <w:pStyle w:val="13"/>
            </w:pPr>
            <w:r>
              <w:t>6年</w:t>
            </w:r>
          </w:p>
        </w:tc>
        <w:tc>
          <w:tcPr>
            <w:tcW w:w="1276" w:type="dxa"/>
            <w:vAlign w:val="center"/>
          </w:tcPr>
          <w:p w14:paraId="4B3ADA4F">
            <w:pPr>
              <w:pStyle w:val="13"/>
            </w:pPr>
            <w:r>
              <w:t>城乡义务教育公用经费管理办法</w:t>
            </w:r>
          </w:p>
        </w:tc>
      </w:tr>
      <w:tr w14:paraId="10066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1B9A00">
            <w:pPr>
              <w:pStyle w:val="12"/>
            </w:pPr>
            <w:r>
              <w:t>满意度指标</w:t>
            </w:r>
          </w:p>
        </w:tc>
        <w:tc>
          <w:tcPr>
            <w:tcW w:w="2268" w:type="dxa"/>
            <w:vAlign w:val="center"/>
          </w:tcPr>
          <w:p w14:paraId="239C679F">
            <w:pPr>
              <w:pStyle w:val="13"/>
            </w:pPr>
            <w:r>
              <w:t>服务对象满意度指标</w:t>
            </w:r>
          </w:p>
        </w:tc>
        <w:tc>
          <w:tcPr>
            <w:tcW w:w="2835" w:type="dxa"/>
            <w:vAlign w:val="center"/>
          </w:tcPr>
          <w:p w14:paraId="65021969">
            <w:pPr>
              <w:pStyle w:val="13"/>
            </w:pPr>
            <w:r>
              <w:t>受益学生家长及调查满意度</w:t>
            </w:r>
          </w:p>
        </w:tc>
        <w:tc>
          <w:tcPr>
            <w:tcW w:w="5386" w:type="dxa"/>
            <w:vAlign w:val="center"/>
          </w:tcPr>
          <w:p w14:paraId="722942D6">
            <w:pPr>
              <w:pStyle w:val="13"/>
            </w:pPr>
            <w:r>
              <w:t>学生、教师及家长对学校教育教学工作满意度情况</w:t>
            </w:r>
          </w:p>
        </w:tc>
        <w:tc>
          <w:tcPr>
            <w:tcW w:w="2268" w:type="dxa"/>
            <w:vAlign w:val="center"/>
          </w:tcPr>
          <w:p w14:paraId="419D933A">
            <w:pPr>
              <w:pStyle w:val="13"/>
            </w:pPr>
            <w:r>
              <w:t>≥95%</w:t>
            </w:r>
          </w:p>
        </w:tc>
        <w:tc>
          <w:tcPr>
            <w:tcW w:w="1276" w:type="dxa"/>
            <w:vAlign w:val="center"/>
          </w:tcPr>
          <w:p w14:paraId="380D2A64">
            <w:pPr>
              <w:pStyle w:val="13"/>
            </w:pPr>
            <w:r>
              <w:t>调查问卷</w:t>
            </w:r>
          </w:p>
        </w:tc>
      </w:tr>
    </w:tbl>
    <w:p w14:paraId="7AD2104F">
      <w:pPr>
        <w:sectPr>
          <w:pgSz w:w="16840" w:h="11900" w:orient="landscape"/>
          <w:pgMar w:top="1361" w:right="1020" w:bottom="1134" w:left="1020" w:header="720" w:footer="720" w:gutter="0"/>
          <w:cols w:space="720" w:num="1"/>
        </w:sectPr>
      </w:pPr>
    </w:p>
    <w:p w14:paraId="157EAB74">
      <w:pPr>
        <w:spacing w:before="0" w:after="0"/>
        <w:ind w:firstLine="560"/>
        <w:jc w:val="left"/>
        <w:outlineLvl w:val="9"/>
      </w:pPr>
      <w:r>
        <w:rPr>
          <w:rFonts w:ascii="方正仿宋_GBK" w:hAnsi="方正仿宋_GBK" w:eastAsia="方正仿宋_GBK" w:cs="方正仿宋_GBK"/>
          <w:b/>
          <w:color w:val="000000"/>
          <w:sz w:val="28"/>
        </w:rPr>
        <w:t>119、市级基数/隆尧县盛东小学公用经费绩效目标表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15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686D0">
            <w:pPr>
              <w:pStyle w:val="14"/>
            </w:pPr>
            <w:r>
              <w:t>单位：万元</w:t>
            </w:r>
          </w:p>
        </w:tc>
      </w:tr>
      <w:tr w14:paraId="66DFF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5C4716">
            <w:pPr>
              <w:pStyle w:val="11"/>
            </w:pPr>
            <w:r>
              <w:t>项目编码</w:t>
            </w:r>
          </w:p>
        </w:tc>
        <w:tc>
          <w:tcPr>
            <w:tcW w:w="5103" w:type="dxa"/>
            <w:gridSpan w:val="2"/>
            <w:vAlign w:val="center"/>
          </w:tcPr>
          <w:p w14:paraId="77968DAC">
            <w:pPr>
              <w:pStyle w:val="13"/>
            </w:pPr>
            <w:r>
              <w:t>13052525P000004102041</w:t>
            </w:r>
          </w:p>
        </w:tc>
        <w:tc>
          <w:tcPr>
            <w:tcW w:w="2835" w:type="dxa"/>
            <w:vAlign w:val="center"/>
          </w:tcPr>
          <w:p w14:paraId="053461FC">
            <w:pPr>
              <w:pStyle w:val="11"/>
            </w:pPr>
            <w:r>
              <w:t>项目名称</w:t>
            </w:r>
          </w:p>
        </w:tc>
        <w:tc>
          <w:tcPr>
            <w:tcW w:w="6095" w:type="dxa"/>
            <w:gridSpan w:val="3"/>
            <w:vAlign w:val="center"/>
          </w:tcPr>
          <w:p w14:paraId="01DF8384">
            <w:pPr>
              <w:pStyle w:val="13"/>
            </w:pPr>
            <w:r>
              <w:t>市级基数/隆尧县盛东小学公用经费</w:t>
            </w:r>
          </w:p>
        </w:tc>
      </w:tr>
      <w:tr w14:paraId="1190D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EA0C7">
            <w:pPr>
              <w:pStyle w:val="11"/>
            </w:pPr>
            <w:r>
              <w:t>预算规模及资金用途</w:t>
            </w:r>
          </w:p>
        </w:tc>
        <w:tc>
          <w:tcPr>
            <w:tcW w:w="2268" w:type="dxa"/>
            <w:vAlign w:val="center"/>
          </w:tcPr>
          <w:p w14:paraId="7EC4ED9F">
            <w:pPr>
              <w:pStyle w:val="11"/>
            </w:pPr>
            <w:r>
              <w:t>预算数</w:t>
            </w:r>
          </w:p>
        </w:tc>
        <w:tc>
          <w:tcPr>
            <w:tcW w:w="2835" w:type="dxa"/>
            <w:vAlign w:val="center"/>
          </w:tcPr>
          <w:p w14:paraId="52ACC47A">
            <w:pPr>
              <w:pStyle w:val="13"/>
            </w:pPr>
            <w:r>
              <w:t>22.30</w:t>
            </w:r>
          </w:p>
        </w:tc>
        <w:tc>
          <w:tcPr>
            <w:tcW w:w="2835" w:type="dxa"/>
            <w:vAlign w:val="center"/>
          </w:tcPr>
          <w:p w14:paraId="3E5DCB84">
            <w:pPr>
              <w:pStyle w:val="11"/>
            </w:pPr>
            <w:r>
              <w:t>其中：财政    资金</w:t>
            </w:r>
          </w:p>
        </w:tc>
        <w:tc>
          <w:tcPr>
            <w:tcW w:w="2551" w:type="dxa"/>
            <w:vAlign w:val="center"/>
          </w:tcPr>
          <w:p w14:paraId="026A2234">
            <w:pPr>
              <w:pStyle w:val="13"/>
            </w:pPr>
            <w:r>
              <w:t>22.30</w:t>
            </w:r>
          </w:p>
        </w:tc>
        <w:tc>
          <w:tcPr>
            <w:tcW w:w="2268" w:type="dxa"/>
            <w:vAlign w:val="center"/>
          </w:tcPr>
          <w:p w14:paraId="35855E36">
            <w:pPr>
              <w:pStyle w:val="11"/>
            </w:pPr>
            <w:r>
              <w:t>其他资金</w:t>
            </w:r>
          </w:p>
        </w:tc>
        <w:tc>
          <w:tcPr>
            <w:tcW w:w="1276" w:type="dxa"/>
            <w:vAlign w:val="center"/>
          </w:tcPr>
          <w:p w14:paraId="5B66F6F3">
            <w:pPr>
              <w:pStyle w:val="13"/>
            </w:pPr>
            <w:r>
              <w:t xml:space="preserve"> </w:t>
            </w:r>
          </w:p>
        </w:tc>
      </w:tr>
      <w:tr w14:paraId="06F26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53681"/>
        </w:tc>
        <w:tc>
          <w:tcPr>
            <w:tcW w:w="14033" w:type="dxa"/>
            <w:gridSpan w:val="6"/>
            <w:vAlign w:val="center"/>
          </w:tcPr>
          <w:p w14:paraId="02509248">
            <w:pPr>
              <w:pStyle w:val="13"/>
            </w:pPr>
            <w:r>
              <w:t>保障义务教育学校正常运转，完成教育教学活动和其他日常工作任务等方面的费用支出。</w:t>
            </w:r>
          </w:p>
        </w:tc>
      </w:tr>
      <w:tr w14:paraId="3BB12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0F715">
            <w:pPr>
              <w:pStyle w:val="11"/>
            </w:pPr>
            <w:r>
              <w:t>资金支出计划（%）</w:t>
            </w:r>
          </w:p>
        </w:tc>
        <w:tc>
          <w:tcPr>
            <w:tcW w:w="5103" w:type="dxa"/>
            <w:gridSpan w:val="2"/>
            <w:vAlign w:val="center"/>
          </w:tcPr>
          <w:p w14:paraId="13EA7A87">
            <w:pPr>
              <w:pStyle w:val="11"/>
            </w:pPr>
            <w:r>
              <w:t>3月底</w:t>
            </w:r>
          </w:p>
        </w:tc>
        <w:tc>
          <w:tcPr>
            <w:tcW w:w="2835" w:type="dxa"/>
            <w:vAlign w:val="center"/>
          </w:tcPr>
          <w:p w14:paraId="0A6C18BB">
            <w:pPr>
              <w:pStyle w:val="11"/>
            </w:pPr>
            <w:r>
              <w:t>6月底</w:t>
            </w:r>
          </w:p>
        </w:tc>
        <w:tc>
          <w:tcPr>
            <w:tcW w:w="2551" w:type="dxa"/>
            <w:vAlign w:val="center"/>
          </w:tcPr>
          <w:p w14:paraId="7F25D480">
            <w:pPr>
              <w:pStyle w:val="11"/>
            </w:pPr>
            <w:r>
              <w:t>10月底</w:t>
            </w:r>
          </w:p>
        </w:tc>
        <w:tc>
          <w:tcPr>
            <w:tcW w:w="3544" w:type="dxa"/>
            <w:gridSpan w:val="2"/>
            <w:vAlign w:val="center"/>
          </w:tcPr>
          <w:p w14:paraId="1602E56B">
            <w:pPr>
              <w:pStyle w:val="11"/>
            </w:pPr>
            <w:r>
              <w:t>12月底</w:t>
            </w:r>
          </w:p>
        </w:tc>
      </w:tr>
      <w:tr w14:paraId="681A0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8A7BB6"/>
        </w:tc>
        <w:tc>
          <w:tcPr>
            <w:tcW w:w="5103" w:type="dxa"/>
            <w:gridSpan w:val="2"/>
            <w:vAlign w:val="center"/>
          </w:tcPr>
          <w:p w14:paraId="5761DDD9">
            <w:pPr>
              <w:pStyle w:val="12"/>
            </w:pPr>
            <w:r>
              <w:t xml:space="preserve"> </w:t>
            </w:r>
          </w:p>
        </w:tc>
        <w:tc>
          <w:tcPr>
            <w:tcW w:w="2835" w:type="dxa"/>
            <w:vAlign w:val="center"/>
          </w:tcPr>
          <w:p w14:paraId="6598FD46">
            <w:pPr>
              <w:pStyle w:val="12"/>
            </w:pPr>
            <w:r>
              <w:t xml:space="preserve"> </w:t>
            </w:r>
          </w:p>
        </w:tc>
        <w:tc>
          <w:tcPr>
            <w:tcW w:w="2551" w:type="dxa"/>
            <w:vAlign w:val="center"/>
          </w:tcPr>
          <w:p w14:paraId="35D5A178">
            <w:pPr>
              <w:pStyle w:val="12"/>
            </w:pPr>
            <w:r>
              <w:t xml:space="preserve"> </w:t>
            </w:r>
          </w:p>
        </w:tc>
        <w:tc>
          <w:tcPr>
            <w:tcW w:w="3544" w:type="dxa"/>
            <w:gridSpan w:val="2"/>
            <w:vAlign w:val="center"/>
          </w:tcPr>
          <w:p w14:paraId="345F1C38">
            <w:pPr>
              <w:pStyle w:val="12"/>
            </w:pPr>
            <w:r>
              <w:t>100%</w:t>
            </w:r>
          </w:p>
        </w:tc>
      </w:tr>
      <w:tr w14:paraId="752A5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1DDF0">
            <w:pPr>
              <w:pStyle w:val="11"/>
            </w:pPr>
            <w:r>
              <w:t>绩效目标</w:t>
            </w:r>
          </w:p>
        </w:tc>
        <w:tc>
          <w:tcPr>
            <w:tcW w:w="14033" w:type="dxa"/>
            <w:gridSpan w:val="6"/>
            <w:vAlign w:val="center"/>
          </w:tcPr>
          <w:p w14:paraId="66E6B058">
            <w:pPr>
              <w:pStyle w:val="13"/>
            </w:pPr>
            <w:r>
              <w:t>1.保障义务教育学校正常运转，完成教育教学活动和其他日常工作任务等方面的费用支出。</w:t>
            </w:r>
          </w:p>
        </w:tc>
      </w:tr>
    </w:tbl>
    <w:p w14:paraId="7A53CD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FB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FC719">
            <w:pPr>
              <w:pStyle w:val="11"/>
            </w:pPr>
            <w:r>
              <w:t>一级指标</w:t>
            </w:r>
          </w:p>
        </w:tc>
        <w:tc>
          <w:tcPr>
            <w:tcW w:w="2268" w:type="dxa"/>
            <w:vAlign w:val="center"/>
          </w:tcPr>
          <w:p w14:paraId="3BA76180">
            <w:pPr>
              <w:pStyle w:val="11"/>
            </w:pPr>
            <w:r>
              <w:t>二级指标</w:t>
            </w:r>
          </w:p>
        </w:tc>
        <w:tc>
          <w:tcPr>
            <w:tcW w:w="2835" w:type="dxa"/>
            <w:vAlign w:val="center"/>
          </w:tcPr>
          <w:p w14:paraId="14176A3B">
            <w:pPr>
              <w:pStyle w:val="11"/>
            </w:pPr>
            <w:r>
              <w:t>三级指标</w:t>
            </w:r>
          </w:p>
        </w:tc>
        <w:tc>
          <w:tcPr>
            <w:tcW w:w="5386" w:type="dxa"/>
            <w:vAlign w:val="center"/>
          </w:tcPr>
          <w:p w14:paraId="5647E833">
            <w:pPr>
              <w:pStyle w:val="11"/>
            </w:pPr>
            <w:r>
              <w:t>绩效指标描述</w:t>
            </w:r>
          </w:p>
        </w:tc>
        <w:tc>
          <w:tcPr>
            <w:tcW w:w="2268" w:type="dxa"/>
            <w:vAlign w:val="center"/>
          </w:tcPr>
          <w:p w14:paraId="2B7AC5B9">
            <w:pPr>
              <w:pStyle w:val="11"/>
            </w:pPr>
            <w:r>
              <w:t>指标值</w:t>
            </w:r>
          </w:p>
        </w:tc>
        <w:tc>
          <w:tcPr>
            <w:tcW w:w="1276" w:type="dxa"/>
            <w:vAlign w:val="center"/>
          </w:tcPr>
          <w:p w14:paraId="357EBC72">
            <w:pPr>
              <w:pStyle w:val="11"/>
            </w:pPr>
            <w:r>
              <w:t>指标值确定依据</w:t>
            </w:r>
          </w:p>
        </w:tc>
      </w:tr>
      <w:tr w14:paraId="465D6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862DB">
            <w:pPr>
              <w:pStyle w:val="12"/>
            </w:pPr>
            <w:r>
              <w:t>产出指标</w:t>
            </w:r>
          </w:p>
        </w:tc>
        <w:tc>
          <w:tcPr>
            <w:tcW w:w="2268" w:type="dxa"/>
            <w:vAlign w:val="center"/>
          </w:tcPr>
          <w:p w14:paraId="7B0A35DC">
            <w:pPr>
              <w:pStyle w:val="13"/>
            </w:pPr>
            <w:r>
              <w:t>数量指标</w:t>
            </w:r>
          </w:p>
        </w:tc>
        <w:tc>
          <w:tcPr>
            <w:tcW w:w="2835" w:type="dxa"/>
            <w:vAlign w:val="center"/>
          </w:tcPr>
          <w:p w14:paraId="1C6E6851">
            <w:pPr>
              <w:pStyle w:val="13"/>
            </w:pPr>
            <w:r>
              <w:t>适龄在校生</w:t>
            </w:r>
          </w:p>
        </w:tc>
        <w:tc>
          <w:tcPr>
            <w:tcW w:w="5386" w:type="dxa"/>
            <w:vAlign w:val="center"/>
          </w:tcPr>
          <w:p w14:paraId="2B98F7C6">
            <w:pPr>
              <w:pStyle w:val="13"/>
            </w:pPr>
            <w:r>
              <w:t>适龄在校就读学生人数</w:t>
            </w:r>
          </w:p>
        </w:tc>
        <w:tc>
          <w:tcPr>
            <w:tcW w:w="2268" w:type="dxa"/>
            <w:vAlign w:val="center"/>
          </w:tcPr>
          <w:p w14:paraId="0F37EC7F">
            <w:pPr>
              <w:pStyle w:val="13"/>
            </w:pPr>
            <w:r>
              <w:t>406人</w:t>
            </w:r>
          </w:p>
        </w:tc>
        <w:tc>
          <w:tcPr>
            <w:tcW w:w="1276" w:type="dxa"/>
            <w:vAlign w:val="center"/>
          </w:tcPr>
          <w:p w14:paraId="2216C078">
            <w:pPr>
              <w:pStyle w:val="13"/>
            </w:pPr>
            <w:r>
              <w:t>城乡义务教育公用经费管理办法</w:t>
            </w:r>
          </w:p>
        </w:tc>
      </w:tr>
      <w:tr w14:paraId="25F94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A23AF"/>
        </w:tc>
        <w:tc>
          <w:tcPr>
            <w:tcW w:w="2268" w:type="dxa"/>
            <w:vAlign w:val="center"/>
          </w:tcPr>
          <w:p w14:paraId="1BAB6838">
            <w:pPr>
              <w:pStyle w:val="13"/>
            </w:pPr>
            <w:r>
              <w:t>质量指标</w:t>
            </w:r>
          </w:p>
        </w:tc>
        <w:tc>
          <w:tcPr>
            <w:tcW w:w="2835" w:type="dxa"/>
            <w:vAlign w:val="center"/>
          </w:tcPr>
          <w:p w14:paraId="70982A37">
            <w:pPr>
              <w:pStyle w:val="13"/>
            </w:pPr>
            <w:r>
              <w:t>预算控制率</w:t>
            </w:r>
          </w:p>
        </w:tc>
        <w:tc>
          <w:tcPr>
            <w:tcW w:w="5386" w:type="dxa"/>
            <w:vAlign w:val="center"/>
          </w:tcPr>
          <w:p w14:paraId="74BE0092">
            <w:pPr>
              <w:pStyle w:val="13"/>
            </w:pPr>
            <w:r>
              <w:t>预算执行</w:t>
            </w:r>
          </w:p>
        </w:tc>
        <w:tc>
          <w:tcPr>
            <w:tcW w:w="2268" w:type="dxa"/>
            <w:vAlign w:val="center"/>
          </w:tcPr>
          <w:p w14:paraId="1BC881AD">
            <w:pPr>
              <w:pStyle w:val="13"/>
            </w:pPr>
            <w:r>
              <w:t>≥95%</w:t>
            </w:r>
          </w:p>
        </w:tc>
        <w:tc>
          <w:tcPr>
            <w:tcW w:w="1276" w:type="dxa"/>
            <w:vAlign w:val="center"/>
          </w:tcPr>
          <w:p w14:paraId="6A301730">
            <w:pPr>
              <w:pStyle w:val="13"/>
            </w:pPr>
            <w:r>
              <w:t>城乡义务教育公用经费管理办法</w:t>
            </w:r>
          </w:p>
        </w:tc>
      </w:tr>
      <w:tr w14:paraId="79691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4A196"/>
        </w:tc>
        <w:tc>
          <w:tcPr>
            <w:tcW w:w="2268" w:type="dxa"/>
            <w:vAlign w:val="center"/>
          </w:tcPr>
          <w:p w14:paraId="3F250F0E">
            <w:pPr>
              <w:pStyle w:val="13"/>
            </w:pPr>
            <w:r>
              <w:t>时效指标</w:t>
            </w:r>
          </w:p>
        </w:tc>
        <w:tc>
          <w:tcPr>
            <w:tcW w:w="2835" w:type="dxa"/>
            <w:vAlign w:val="center"/>
          </w:tcPr>
          <w:p w14:paraId="734F3017">
            <w:pPr>
              <w:pStyle w:val="13"/>
            </w:pPr>
            <w:r>
              <w:t>资金支付率</w:t>
            </w:r>
          </w:p>
        </w:tc>
        <w:tc>
          <w:tcPr>
            <w:tcW w:w="5386" w:type="dxa"/>
            <w:vAlign w:val="center"/>
          </w:tcPr>
          <w:p w14:paraId="2B713B26">
            <w:pPr>
              <w:pStyle w:val="13"/>
            </w:pPr>
            <w:r>
              <w:t>按照序时进度完成资金支付</w:t>
            </w:r>
          </w:p>
        </w:tc>
        <w:tc>
          <w:tcPr>
            <w:tcW w:w="2268" w:type="dxa"/>
            <w:vAlign w:val="center"/>
          </w:tcPr>
          <w:p w14:paraId="00EA550B">
            <w:pPr>
              <w:pStyle w:val="13"/>
            </w:pPr>
            <w:r>
              <w:t>≥100%</w:t>
            </w:r>
          </w:p>
        </w:tc>
        <w:tc>
          <w:tcPr>
            <w:tcW w:w="1276" w:type="dxa"/>
            <w:vAlign w:val="center"/>
          </w:tcPr>
          <w:p w14:paraId="03F8349E">
            <w:pPr>
              <w:pStyle w:val="13"/>
            </w:pPr>
            <w:r>
              <w:t>城乡义务教育公用经费管理办法</w:t>
            </w:r>
          </w:p>
        </w:tc>
      </w:tr>
      <w:tr w14:paraId="51FA7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0872B"/>
        </w:tc>
        <w:tc>
          <w:tcPr>
            <w:tcW w:w="2268" w:type="dxa"/>
            <w:vAlign w:val="center"/>
          </w:tcPr>
          <w:p w14:paraId="5E284A69">
            <w:pPr>
              <w:pStyle w:val="13"/>
            </w:pPr>
            <w:r>
              <w:t>成本指标</w:t>
            </w:r>
          </w:p>
        </w:tc>
        <w:tc>
          <w:tcPr>
            <w:tcW w:w="2835" w:type="dxa"/>
            <w:vAlign w:val="center"/>
          </w:tcPr>
          <w:p w14:paraId="4C21AB17">
            <w:pPr>
              <w:pStyle w:val="13"/>
            </w:pPr>
            <w:r>
              <w:t>生均拨款标准</w:t>
            </w:r>
          </w:p>
        </w:tc>
        <w:tc>
          <w:tcPr>
            <w:tcW w:w="5386" w:type="dxa"/>
            <w:vAlign w:val="center"/>
          </w:tcPr>
          <w:p w14:paraId="0FFD1711">
            <w:pPr>
              <w:pStyle w:val="13"/>
            </w:pPr>
            <w:r>
              <w:t>小学：（基本标准720元、寄宿生300元、取暖120元）/生/学年；随班就读学生：标准6000元/生/学年。</w:t>
            </w:r>
          </w:p>
        </w:tc>
        <w:tc>
          <w:tcPr>
            <w:tcW w:w="2268" w:type="dxa"/>
            <w:vAlign w:val="center"/>
          </w:tcPr>
          <w:p w14:paraId="34EA1333">
            <w:pPr>
              <w:pStyle w:val="13"/>
            </w:pPr>
            <w:r>
              <w:t>840元</w:t>
            </w:r>
          </w:p>
        </w:tc>
        <w:tc>
          <w:tcPr>
            <w:tcW w:w="1276" w:type="dxa"/>
            <w:vAlign w:val="center"/>
          </w:tcPr>
          <w:p w14:paraId="5ACFE6B6">
            <w:pPr>
              <w:pStyle w:val="13"/>
            </w:pPr>
            <w:r>
              <w:t>城乡义务教育公用经费管理办法</w:t>
            </w:r>
          </w:p>
        </w:tc>
      </w:tr>
      <w:tr w14:paraId="633EA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A8C166">
            <w:pPr>
              <w:pStyle w:val="12"/>
            </w:pPr>
            <w:r>
              <w:t>效益指标</w:t>
            </w:r>
          </w:p>
        </w:tc>
        <w:tc>
          <w:tcPr>
            <w:tcW w:w="2268" w:type="dxa"/>
            <w:vAlign w:val="center"/>
          </w:tcPr>
          <w:p w14:paraId="63D837E3">
            <w:pPr>
              <w:pStyle w:val="13"/>
            </w:pPr>
            <w:r>
              <w:t>可持续影响指标</w:t>
            </w:r>
          </w:p>
        </w:tc>
        <w:tc>
          <w:tcPr>
            <w:tcW w:w="2835" w:type="dxa"/>
            <w:vAlign w:val="center"/>
          </w:tcPr>
          <w:p w14:paraId="284FDD25">
            <w:pPr>
              <w:pStyle w:val="13"/>
            </w:pPr>
            <w:r>
              <w:t>教育发展水平明显好转</w:t>
            </w:r>
          </w:p>
        </w:tc>
        <w:tc>
          <w:tcPr>
            <w:tcW w:w="5386" w:type="dxa"/>
            <w:vAlign w:val="center"/>
          </w:tcPr>
          <w:p w14:paraId="0D8CB3A7">
            <w:pPr>
              <w:pStyle w:val="13"/>
            </w:pPr>
            <w:r>
              <w:t>学生受教育年限</w:t>
            </w:r>
          </w:p>
        </w:tc>
        <w:tc>
          <w:tcPr>
            <w:tcW w:w="2268" w:type="dxa"/>
            <w:vAlign w:val="center"/>
          </w:tcPr>
          <w:p w14:paraId="7C2F38DF">
            <w:pPr>
              <w:pStyle w:val="13"/>
            </w:pPr>
            <w:r>
              <w:t>6年</w:t>
            </w:r>
          </w:p>
        </w:tc>
        <w:tc>
          <w:tcPr>
            <w:tcW w:w="1276" w:type="dxa"/>
            <w:vAlign w:val="center"/>
          </w:tcPr>
          <w:p w14:paraId="54175D60">
            <w:pPr>
              <w:pStyle w:val="13"/>
            </w:pPr>
            <w:r>
              <w:t>城乡义务教育公用经费管理办法</w:t>
            </w:r>
          </w:p>
        </w:tc>
      </w:tr>
      <w:tr w14:paraId="11732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FE5927">
            <w:pPr>
              <w:pStyle w:val="12"/>
            </w:pPr>
            <w:r>
              <w:t>满意度指标</w:t>
            </w:r>
          </w:p>
        </w:tc>
        <w:tc>
          <w:tcPr>
            <w:tcW w:w="2268" w:type="dxa"/>
            <w:vAlign w:val="center"/>
          </w:tcPr>
          <w:p w14:paraId="234CE92A">
            <w:pPr>
              <w:pStyle w:val="13"/>
            </w:pPr>
            <w:r>
              <w:t>服务对象满意度指标</w:t>
            </w:r>
          </w:p>
        </w:tc>
        <w:tc>
          <w:tcPr>
            <w:tcW w:w="2835" w:type="dxa"/>
            <w:vAlign w:val="center"/>
          </w:tcPr>
          <w:p w14:paraId="241F8BE7">
            <w:pPr>
              <w:pStyle w:val="13"/>
            </w:pPr>
            <w:r>
              <w:t>受益学生家长及调查满意度</w:t>
            </w:r>
          </w:p>
        </w:tc>
        <w:tc>
          <w:tcPr>
            <w:tcW w:w="5386" w:type="dxa"/>
            <w:vAlign w:val="center"/>
          </w:tcPr>
          <w:p w14:paraId="02F7CD2F">
            <w:pPr>
              <w:pStyle w:val="13"/>
            </w:pPr>
            <w:r>
              <w:t>学生、教师及家长对学校教育教学工作满意度情况</w:t>
            </w:r>
          </w:p>
        </w:tc>
        <w:tc>
          <w:tcPr>
            <w:tcW w:w="2268" w:type="dxa"/>
            <w:vAlign w:val="center"/>
          </w:tcPr>
          <w:p w14:paraId="49863A4B">
            <w:pPr>
              <w:pStyle w:val="13"/>
            </w:pPr>
            <w:r>
              <w:t>≥95%</w:t>
            </w:r>
          </w:p>
        </w:tc>
        <w:tc>
          <w:tcPr>
            <w:tcW w:w="1276" w:type="dxa"/>
            <w:vAlign w:val="center"/>
          </w:tcPr>
          <w:p w14:paraId="205DD644">
            <w:pPr>
              <w:pStyle w:val="13"/>
            </w:pPr>
            <w:r>
              <w:t>调查问卷</w:t>
            </w:r>
          </w:p>
        </w:tc>
      </w:tr>
    </w:tbl>
    <w:p w14:paraId="550DDD0A">
      <w:pPr>
        <w:sectPr>
          <w:pgSz w:w="16840" w:h="11900" w:orient="landscape"/>
          <w:pgMar w:top="1361" w:right="1020" w:bottom="1134" w:left="1020" w:header="720" w:footer="720" w:gutter="0"/>
          <w:cols w:space="720" w:num="1"/>
        </w:sectPr>
      </w:pPr>
    </w:p>
    <w:p w14:paraId="4C3D9006">
      <w:pPr>
        <w:spacing w:before="0" w:after="0"/>
        <w:ind w:firstLine="560"/>
        <w:jc w:val="left"/>
        <w:outlineLvl w:val="9"/>
      </w:pPr>
      <w:r>
        <w:rPr>
          <w:rFonts w:ascii="方正仿宋_GBK" w:hAnsi="方正仿宋_GBK" w:eastAsia="方正仿宋_GBK" w:cs="方正仿宋_GBK"/>
          <w:b/>
          <w:color w:val="000000"/>
          <w:sz w:val="28"/>
        </w:rPr>
        <w:t>120、市级基数/隆尧县树人实验小学公用经费绩效目标表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1D5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3DD4F">
            <w:pPr>
              <w:pStyle w:val="14"/>
            </w:pPr>
            <w:r>
              <w:t>单位：万元</w:t>
            </w:r>
          </w:p>
        </w:tc>
      </w:tr>
      <w:tr w14:paraId="798A3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C7B91">
            <w:pPr>
              <w:pStyle w:val="11"/>
            </w:pPr>
            <w:r>
              <w:t>项目编码</w:t>
            </w:r>
          </w:p>
        </w:tc>
        <w:tc>
          <w:tcPr>
            <w:tcW w:w="5103" w:type="dxa"/>
            <w:gridSpan w:val="2"/>
            <w:vAlign w:val="center"/>
          </w:tcPr>
          <w:p w14:paraId="3E615488">
            <w:pPr>
              <w:pStyle w:val="13"/>
            </w:pPr>
            <w:r>
              <w:t>13052525P00000410217P</w:t>
            </w:r>
          </w:p>
        </w:tc>
        <w:tc>
          <w:tcPr>
            <w:tcW w:w="2835" w:type="dxa"/>
            <w:vAlign w:val="center"/>
          </w:tcPr>
          <w:p w14:paraId="358DEEB6">
            <w:pPr>
              <w:pStyle w:val="11"/>
            </w:pPr>
            <w:r>
              <w:t>项目名称</w:t>
            </w:r>
          </w:p>
        </w:tc>
        <w:tc>
          <w:tcPr>
            <w:tcW w:w="6095" w:type="dxa"/>
            <w:gridSpan w:val="3"/>
            <w:vAlign w:val="center"/>
          </w:tcPr>
          <w:p w14:paraId="5882A4CF">
            <w:pPr>
              <w:pStyle w:val="13"/>
            </w:pPr>
            <w:r>
              <w:t>市级基数/隆尧县树人实验小学公用经费</w:t>
            </w:r>
          </w:p>
        </w:tc>
      </w:tr>
      <w:tr w14:paraId="2F1330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45E4A">
            <w:pPr>
              <w:pStyle w:val="11"/>
            </w:pPr>
            <w:r>
              <w:t>预算规模及资金用途</w:t>
            </w:r>
          </w:p>
        </w:tc>
        <w:tc>
          <w:tcPr>
            <w:tcW w:w="2268" w:type="dxa"/>
            <w:vAlign w:val="center"/>
          </w:tcPr>
          <w:p w14:paraId="2DE601C0">
            <w:pPr>
              <w:pStyle w:val="11"/>
            </w:pPr>
            <w:r>
              <w:t>预算数</w:t>
            </w:r>
          </w:p>
        </w:tc>
        <w:tc>
          <w:tcPr>
            <w:tcW w:w="2835" w:type="dxa"/>
            <w:vAlign w:val="center"/>
          </w:tcPr>
          <w:p w14:paraId="48812940">
            <w:pPr>
              <w:pStyle w:val="13"/>
            </w:pPr>
            <w:r>
              <w:t>47.26</w:t>
            </w:r>
          </w:p>
        </w:tc>
        <w:tc>
          <w:tcPr>
            <w:tcW w:w="2835" w:type="dxa"/>
            <w:vAlign w:val="center"/>
          </w:tcPr>
          <w:p w14:paraId="01B7BCB3">
            <w:pPr>
              <w:pStyle w:val="11"/>
            </w:pPr>
            <w:r>
              <w:t>其中：财政    资金</w:t>
            </w:r>
          </w:p>
        </w:tc>
        <w:tc>
          <w:tcPr>
            <w:tcW w:w="2551" w:type="dxa"/>
            <w:vAlign w:val="center"/>
          </w:tcPr>
          <w:p w14:paraId="2D1C5F39">
            <w:pPr>
              <w:pStyle w:val="13"/>
            </w:pPr>
            <w:r>
              <w:t>47.26</w:t>
            </w:r>
          </w:p>
        </w:tc>
        <w:tc>
          <w:tcPr>
            <w:tcW w:w="2268" w:type="dxa"/>
            <w:vAlign w:val="center"/>
          </w:tcPr>
          <w:p w14:paraId="4033DEF7">
            <w:pPr>
              <w:pStyle w:val="11"/>
            </w:pPr>
            <w:r>
              <w:t>其他资金</w:t>
            </w:r>
          </w:p>
        </w:tc>
        <w:tc>
          <w:tcPr>
            <w:tcW w:w="1276" w:type="dxa"/>
            <w:vAlign w:val="center"/>
          </w:tcPr>
          <w:p w14:paraId="55136B08">
            <w:pPr>
              <w:pStyle w:val="13"/>
            </w:pPr>
            <w:r>
              <w:t xml:space="preserve"> </w:t>
            </w:r>
          </w:p>
        </w:tc>
      </w:tr>
      <w:tr w14:paraId="160D4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F12CC1"/>
        </w:tc>
        <w:tc>
          <w:tcPr>
            <w:tcW w:w="14033" w:type="dxa"/>
            <w:gridSpan w:val="6"/>
            <w:vAlign w:val="center"/>
          </w:tcPr>
          <w:p w14:paraId="01B608BF">
            <w:pPr>
              <w:pStyle w:val="13"/>
            </w:pPr>
            <w:r>
              <w:t>保障义务教育学校正常运转，完成教育教学活动和其他日常工作任务等方面的费用支出。</w:t>
            </w:r>
          </w:p>
        </w:tc>
      </w:tr>
      <w:tr w14:paraId="6DF1E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5DEB5">
            <w:pPr>
              <w:pStyle w:val="11"/>
            </w:pPr>
            <w:r>
              <w:t>资金支出计划（%）</w:t>
            </w:r>
          </w:p>
        </w:tc>
        <w:tc>
          <w:tcPr>
            <w:tcW w:w="5103" w:type="dxa"/>
            <w:gridSpan w:val="2"/>
            <w:vAlign w:val="center"/>
          </w:tcPr>
          <w:p w14:paraId="6DBFFC33">
            <w:pPr>
              <w:pStyle w:val="11"/>
            </w:pPr>
            <w:r>
              <w:t>3月底</w:t>
            </w:r>
          </w:p>
        </w:tc>
        <w:tc>
          <w:tcPr>
            <w:tcW w:w="2835" w:type="dxa"/>
            <w:vAlign w:val="center"/>
          </w:tcPr>
          <w:p w14:paraId="48948027">
            <w:pPr>
              <w:pStyle w:val="11"/>
            </w:pPr>
            <w:r>
              <w:t>6月底</w:t>
            </w:r>
          </w:p>
        </w:tc>
        <w:tc>
          <w:tcPr>
            <w:tcW w:w="2551" w:type="dxa"/>
            <w:vAlign w:val="center"/>
          </w:tcPr>
          <w:p w14:paraId="5E25862C">
            <w:pPr>
              <w:pStyle w:val="11"/>
            </w:pPr>
            <w:r>
              <w:t>10月底</w:t>
            </w:r>
          </w:p>
        </w:tc>
        <w:tc>
          <w:tcPr>
            <w:tcW w:w="3544" w:type="dxa"/>
            <w:gridSpan w:val="2"/>
            <w:vAlign w:val="center"/>
          </w:tcPr>
          <w:p w14:paraId="6D19C289">
            <w:pPr>
              <w:pStyle w:val="11"/>
            </w:pPr>
            <w:r>
              <w:t>12月底</w:t>
            </w:r>
          </w:p>
        </w:tc>
      </w:tr>
      <w:tr w14:paraId="42AB4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1BA49"/>
        </w:tc>
        <w:tc>
          <w:tcPr>
            <w:tcW w:w="5103" w:type="dxa"/>
            <w:gridSpan w:val="2"/>
            <w:vAlign w:val="center"/>
          </w:tcPr>
          <w:p w14:paraId="155682BB">
            <w:pPr>
              <w:pStyle w:val="12"/>
            </w:pPr>
            <w:r>
              <w:t xml:space="preserve"> </w:t>
            </w:r>
          </w:p>
        </w:tc>
        <w:tc>
          <w:tcPr>
            <w:tcW w:w="2835" w:type="dxa"/>
            <w:vAlign w:val="center"/>
          </w:tcPr>
          <w:p w14:paraId="7FEEC1D5">
            <w:pPr>
              <w:pStyle w:val="12"/>
            </w:pPr>
            <w:r>
              <w:t xml:space="preserve"> </w:t>
            </w:r>
          </w:p>
        </w:tc>
        <w:tc>
          <w:tcPr>
            <w:tcW w:w="2551" w:type="dxa"/>
            <w:vAlign w:val="center"/>
          </w:tcPr>
          <w:p w14:paraId="03F9B05F">
            <w:pPr>
              <w:pStyle w:val="12"/>
            </w:pPr>
            <w:r>
              <w:t xml:space="preserve"> </w:t>
            </w:r>
          </w:p>
        </w:tc>
        <w:tc>
          <w:tcPr>
            <w:tcW w:w="3544" w:type="dxa"/>
            <w:gridSpan w:val="2"/>
            <w:vAlign w:val="center"/>
          </w:tcPr>
          <w:p w14:paraId="03ED066B">
            <w:pPr>
              <w:pStyle w:val="12"/>
            </w:pPr>
            <w:r>
              <w:t>100%</w:t>
            </w:r>
          </w:p>
        </w:tc>
      </w:tr>
      <w:tr w14:paraId="25FD5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0CF5B1">
            <w:pPr>
              <w:pStyle w:val="11"/>
            </w:pPr>
            <w:r>
              <w:t>绩效目标</w:t>
            </w:r>
          </w:p>
        </w:tc>
        <w:tc>
          <w:tcPr>
            <w:tcW w:w="14033" w:type="dxa"/>
            <w:gridSpan w:val="6"/>
            <w:vAlign w:val="center"/>
          </w:tcPr>
          <w:p w14:paraId="1CB07F3B">
            <w:pPr>
              <w:pStyle w:val="13"/>
            </w:pPr>
            <w:r>
              <w:t>1.保障义务教育学校正常运转，完成教育教学活动和其他日常工作任务等方面的费用支出。</w:t>
            </w:r>
          </w:p>
        </w:tc>
      </w:tr>
    </w:tbl>
    <w:p w14:paraId="1AC7F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4E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48517">
            <w:pPr>
              <w:pStyle w:val="11"/>
            </w:pPr>
            <w:r>
              <w:t>一级指标</w:t>
            </w:r>
          </w:p>
        </w:tc>
        <w:tc>
          <w:tcPr>
            <w:tcW w:w="2268" w:type="dxa"/>
            <w:vAlign w:val="center"/>
          </w:tcPr>
          <w:p w14:paraId="66AB745E">
            <w:pPr>
              <w:pStyle w:val="11"/>
            </w:pPr>
            <w:r>
              <w:t>二级指标</w:t>
            </w:r>
          </w:p>
        </w:tc>
        <w:tc>
          <w:tcPr>
            <w:tcW w:w="2835" w:type="dxa"/>
            <w:vAlign w:val="center"/>
          </w:tcPr>
          <w:p w14:paraId="114BD8FD">
            <w:pPr>
              <w:pStyle w:val="11"/>
            </w:pPr>
            <w:r>
              <w:t>三级指标</w:t>
            </w:r>
          </w:p>
        </w:tc>
        <w:tc>
          <w:tcPr>
            <w:tcW w:w="5386" w:type="dxa"/>
            <w:vAlign w:val="center"/>
          </w:tcPr>
          <w:p w14:paraId="4756F772">
            <w:pPr>
              <w:pStyle w:val="11"/>
            </w:pPr>
            <w:r>
              <w:t>绩效指标描述</w:t>
            </w:r>
          </w:p>
        </w:tc>
        <w:tc>
          <w:tcPr>
            <w:tcW w:w="2268" w:type="dxa"/>
            <w:vAlign w:val="center"/>
          </w:tcPr>
          <w:p w14:paraId="0A34FE88">
            <w:pPr>
              <w:pStyle w:val="11"/>
            </w:pPr>
            <w:r>
              <w:t>指标值</w:t>
            </w:r>
          </w:p>
        </w:tc>
        <w:tc>
          <w:tcPr>
            <w:tcW w:w="1276" w:type="dxa"/>
            <w:vAlign w:val="center"/>
          </w:tcPr>
          <w:p w14:paraId="5A833BFA">
            <w:pPr>
              <w:pStyle w:val="11"/>
            </w:pPr>
            <w:r>
              <w:t>指标值确定依据</w:t>
            </w:r>
          </w:p>
        </w:tc>
      </w:tr>
      <w:tr w14:paraId="3D012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C7C25">
            <w:pPr>
              <w:pStyle w:val="12"/>
            </w:pPr>
            <w:r>
              <w:t>产出指标</w:t>
            </w:r>
          </w:p>
        </w:tc>
        <w:tc>
          <w:tcPr>
            <w:tcW w:w="2268" w:type="dxa"/>
            <w:vAlign w:val="center"/>
          </w:tcPr>
          <w:p w14:paraId="4810AC21">
            <w:pPr>
              <w:pStyle w:val="13"/>
            </w:pPr>
            <w:r>
              <w:t>数量指标</w:t>
            </w:r>
          </w:p>
        </w:tc>
        <w:tc>
          <w:tcPr>
            <w:tcW w:w="2835" w:type="dxa"/>
            <w:vAlign w:val="center"/>
          </w:tcPr>
          <w:p w14:paraId="42BB0F35">
            <w:pPr>
              <w:pStyle w:val="13"/>
            </w:pPr>
            <w:r>
              <w:t>适龄在校生</w:t>
            </w:r>
          </w:p>
        </w:tc>
        <w:tc>
          <w:tcPr>
            <w:tcW w:w="5386" w:type="dxa"/>
            <w:vAlign w:val="center"/>
          </w:tcPr>
          <w:p w14:paraId="6ADBD531">
            <w:pPr>
              <w:pStyle w:val="13"/>
            </w:pPr>
            <w:r>
              <w:t>适龄在校就读学生人数</w:t>
            </w:r>
          </w:p>
        </w:tc>
        <w:tc>
          <w:tcPr>
            <w:tcW w:w="2268" w:type="dxa"/>
            <w:vAlign w:val="center"/>
          </w:tcPr>
          <w:p w14:paraId="6E504909">
            <w:pPr>
              <w:pStyle w:val="13"/>
            </w:pPr>
            <w:r>
              <w:t>814人</w:t>
            </w:r>
          </w:p>
        </w:tc>
        <w:tc>
          <w:tcPr>
            <w:tcW w:w="1276" w:type="dxa"/>
            <w:vAlign w:val="center"/>
          </w:tcPr>
          <w:p w14:paraId="250DA70B">
            <w:pPr>
              <w:pStyle w:val="13"/>
            </w:pPr>
            <w:r>
              <w:t>城乡义务教育公用经费管理办法</w:t>
            </w:r>
          </w:p>
        </w:tc>
      </w:tr>
      <w:tr w14:paraId="0EDD9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36E81"/>
        </w:tc>
        <w:tc>
          <w:tcPr>
            <w:tcW w:w="2268" w:type="dxa"/>
            <w:vAlign w:val="center"/>
          </w:tcPr>
          <w:p w14:paraId="715320E1">
            <w:pPr>
              <w:pStyle w:val="13"/>
            </w:pPr>
            <w:r>
              <w:t>质量指标</w:t>
            </w:r>
          </w:p>
        </w:tc>
        <w:tc>
          <w:tcPr>
            <w:tcW w:w="2835" w:type="dxa"/>
            <w:vAlign w:val="center"/>
          </w:tcPr>
          <w:p w14:paraId="6F39731F">
            <w:pPr>
              <w:pStyle w:val="13"/>
            </w:pPr>
            <w:r>
              <w:t>预算控制率</w:t>
            </w:r>
          </w:p>
        </w:tc>
        <w:tc>
          <w:tcPr>
            <w:tcW w:w="5386" w:type="dxa"/>
            <w:vAlign w:val="center"/>
          </w:tcPr>
          <w:p w14:paraId="6E267C7D">
            <w:pPr>
              <w:pStyle w:val="13"/>
            </w:pPr>
            <w:r>
              <w:t>预算执行</w:t>
            </w:r>
          </w:p>
        </w:tc>
        <w:tc>
          <w:tcPr>
            <w:tcW w:w="2268" w:type="dxa"/>
            <w:vAlign w:val="center"/>
          </w:tcPr>
          <w:p w14:paraId="18F443E9">
            <w:pPr>
              <w:pStyle w:val="13"/>
            </w:pPr>
            <w:r>
              <w:t>≥95%</w:t>
            </w:r>
          </w:p>
        </w:tc>
        <w:tc>
          <w:tcPr>
            <w:tcW w:w="1276" w:type="dxa"/>
            <w:vAlign w:val="center"/>
          </w:tcPr>
          <w:p w14:paraId="66DDA14C">
            <w:pPr>
              <w:pStyle w:val="13"/>
            </w:pPr>
            <w:r>
              <w:t>城乡义务教育公用经费管理办法</w:t>
            </w:r>
          </w:p>
        </w:tc>
      </w:tr>
      <w:tr w14:paraId="009C2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3F3C4"/>
        </w:tc>
        <w:tc>
          <w:tcPr>
            <w:tcW w:w="2268" w:type="dxa"/>
            <w:vAlign w:val="center"/>
          </w:tcPr>
          <w:p w14:paraId="68B27B01">
            <w:pPr>
              <w:pStyle w:val="13"/>
            </w:pPr>
            <w:r>
              <w:t>时效指标</w:t>
            </w:r>
          </w:p>
        </w:tc>
        <w:tc>
          <w:tcPr>
            <w:tcW w:w="2835" w:type="dxa"/>
            <w:vAlign w:val="center"/>
          </w:tcPr>
          <w:p w14:paraId="21BC7352">
            <w:pPr>
              <w:pStyle w:val="13"/>
            </w:pPr>
            <w:r>
              <w:t>资金支付率</w:t>
            </w:r>
          </w:p>
        </w:tc>
        <w:tc>
          <w:tcPr>
            <w:tcW w:w="5386" w:type="dxa"/>
            <w:vAlign w:val="center"/>
          </w:tcPr>
          <w:p w14:paraId="62D2E6CF">
            <w:pPr>
              <w:pStyle w:val="13"/>
            </w:pPr>
            <w:r>
              <w:t>按照序时进度完成资金支付</w:t>
            </w:r>
          </w:p>
        </w:tc>
        <w:tc>
          <w:tcPr>
            <w:tcW w:w="2268" w:type="dxa"/>
            <w:vAlign w:val="center"/>
          </w:tcPr>
          <w:p w14:paraId="58A7A8A2">
            <w:pPr>
              <w:pStyle w:val="13"/>
            </w:pPr>
            <w:r>
              <w:t>≥100%</w:t>
            </w:r>
          </w:p>
        </w:tc>
        <w:tc>
          <w:tcPr>
            <w:tcW w:w="1276" w:type="dxa"/>
            <w:vAlign w:val="center"/>
          </w:tcPr>
          <w:p w14:paraId="122B3FC3">
            <w:pPr>
              <w:pStyle w:val="13"/>
            </w:pPr>
            <w:r>
              <w:t>城乡义务教育公用经费管理办法</w:t>
            </w:r>
          </w:p>
        </w:tc>
      </w:tr>
      <w:tr w14:paraId="39755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B2FA8"/>
        </w:tc>
        <w:tc>
          <w:tcPr>
            <w:tcW w:w="2268" w:type="dxa"/>
            <w:vAlign w:val="center"/>
          </w:tcPr>
          <w:p w14:paraId="26A48546">
            <w:pPr>
              <w:pStyle w:val="13"/>
            </w:pPr>
            <w:r>
              <w:t>成本指标</w:t>
            </w:r>
          </w:p>
        </w:tc>
        <w:tc>
          <w:tcPr>
            <w:tcW w:w="2835" w:type="dxa"/>
            <w:vAlign w:val="center"/>
          </w:tcPr>
          <w:p w14:paraId="45A17853">
            <w:pPr>
              <w:pStyle w:val="13"/>
            </w:pPr>
            <w:r>
              <w:t>生均拨款标准</w:t>
            </w:r>
          </w:p>
        </w:tc>
        <w:tc>
          <w:tcPr>
            <w:tcW w:w="5386" w:type="dxa"/>
            <w:vAlign w:val="center"/>
          </w:tcPr>
          <w:p w14:paraId="2E0DCF69">
            <w:pPr>
              <w:pStyle w:val="13"/>
            </w:pPr>
            <w:r>
              <w:t>小学：（基本标准720元、寄宿生300元、取暖120元）/生/学年；随班就读学生：标准6000元/生/学年。</w:t>
            </w:r>
          </w:p>
        </w:tc>
        <w:tc>
          <w:tcPr>
            <w:tcW w:w="2268" w:type="dxa"/>
            <w:vAlign w:val="center"/>
          </w:tcPr>
          <w:p w14:paraId="187B0CA8">
            <w:pPr>
              <w:pStyle w:val="13"/>
            </w:pPr>
            <w:r>
              <w:t>840元</w:t>
            </w:r>
          </w:p>
        </w:tc>
        <w:tc>
          <w:tcPr>
            <w:tcW w:w="1276" w:type="dxa"/>
            <w:vAlign w:val="center"/>
          </w:tcPr>
          <w:p w14:paraId="2A61B7DA">
            <w:pPr>
              <w:pStyle w:val="13"/>
            </w:pPr>
            <w:r>
              <w:t>城乡义务教育公用经费管理办法</w:t>
            </w:r>
          </w:p>
        </w:tc>
      </w:tr>
      <w:tr w14:paraId="5F8D9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6CD93C">
            <w:pPr>
              <w:pStyle w:val="12"/>
            </w:pPr>
            <w:r>
              <w:t>效益指标</w:t>
            </w:r>
          </w:p>
        </w:tc>
        <w:tc>
          <w:tcPr>
            <w:tcW w:w="2268" w:type="dxa"/>
            <w:vAlign w:val="center"/>
          </w:tcPr>
          <w:p w14:paraId="564D33B4">
            <w:pPr>
              <w:pStyle w:val="13"/>
            </w:pPr>
            <w:r>
              <w:t>可持续影响指标</w:t>
            </w:r>
          </w:p>
        </w:tc>
        <w:tc>
          <w:tcPr>
            <w:tcW w:w="2835" w:type="dxa"/>
            <w:vAlign w:val="center"/>
          </w:tcPr>
          <w:p w14:paraId="43709671">
            <w:pPr>
              <w:pStyle w:val="13"/>
            </w:pPr>
            <w:r>
              <w:t>教育发展水平明显好转</w:t>
            </w:r>
          </w:p>
        </w:tc>
        <w:tc>
          <w:tcPr>
            <w:tcW w:w="5386" w:type="dxa"/>
            <w:vAlign w:val="center"/>
          </w:tcPr>
          <w:p w14:paraId="13860B29">
            <w:pPr>
              <w:pStyle w:val="13"/>
            </w:pPr>
            <w:r>
              <w:t>学生受教育年限</w:t>
            </w:r>
          </w:p>
        </w:tc>
        <w:tc>
          <w:tcPr>
            <w:tcW w:w="2268" w:type="dxa"/>
            <w:vAlign w:val="center"/>
          </w:tcPr>
          <w:p w14:paraId="6DD08382">
            <w:pPr>
              <w:pStyle w:val="13"/>
            </w:pPr>
            <w:r>
              <w:t>6年</w:t>
            </w:r>
          </w:p>
        </w:tc>
        <w:tc>
          <w:tcPr>
            <w:tcW w:w="1276" w:type="dxa"/>
            <w:vAlign w:val="center"/>
          </w:tcPr>
          <w:p w14:paraId="07CB5D44">
            <w:pPr>
              <w:pStyle w:val="13"/>
            </w:pPr>
            <w:r>
              <w:t>城乡义务教育公用经费管理办法</w:t>
            </w:r>
          </w:p>
        </w:tc>
      </w:tr>
      <w:tr w14:paraId="61CBD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F2333">
            <w:pPr>
              <w:pStyle w:val="12"/>
            </w:pPr>
            <w:r>
              <w:t>满意度指标</w:t>
            </w:r>
          </w:p>
        </w:tc>
        <w:tc>
          <w:tcPr>
            <w:tcW w:w="2268" w:type="dxa"/>
            <w:vAlign w:val="center"/>
          </w:tcPr>
          <w:p w14:paraId="41CCB97B">
            <w:pPr>
              <w:pStyle w:val="13"/>
            </w:pPr>
            <w:r>
              <w:t>服务对象满意度指标</w:t>
            </w:r>
          </w:p>
        </w:tc>
        <w:tc>
          <w:tcPr>
            <w:tcW w:w="2835" w:type="dxa"/>
            <w:vAlign w:val="center"/>
          </w:tcPr>
          <w:p w14:paraId="18311574">
            <w:pPr>
              <w:pStyle w:val="13"/>
            </w:pPr>
            <w:r>
              <w:t>受益学生家长及调查满意度</w:t>
            </w:r>
          </w:p>
        </w:tc>
        <w:tc>
          <w:tcPr>
            <w:tcW w:w="5386" w:type="dxa"/>
            <w:vAlign w:val="center"/>
          </w:tcPr>
          <w:p w14:paraId="4BB44F17">
            <w:pPr>
              <w:pStyle w:val="13"/>
            </w:pPr>
            <w:r>
              <w:t>学生、教师及家长对学校教育教学工作满意度情况</w:t>
            </w:r>
          </w:p>
        </w:tc>
        <w:tc>
          <w:tcPr>
            <w:tcW w:w="2268" w:type="dxa"/>
            <w:vAlign w:val="center"/>
          </w:tcPr>
          <w:p w14:paraId="1BA608CA">
            <w:pPr>
              <w:pStyle w:val="13"/>
            </w:pPr>
            <w:r>
              <w:t>≥95%</w:t>
            </w:r>
          </w:p>
        </w:tc>
        <w:tc>
          <w:tcPr>
            <w:tcW w:w="1276" w:type="dxa"/>
            <w:vAlign w:val="center"/>
          </w:tcPr>
          <w:p w14:paraId="1C533104">
            <w:pPr>
              <w:pStyle w:val="13"/>
            </w:pPr>
            <w:r>
              <w:t>调查问卷</w:t>
            </w:r>
          </w:p>
        </w:tc>
      </w:tr>
    </w:tbl>
    <w:p w14:paraId="0AD9C974">
      <w:pPr>
        <w:sectPr>
          <w:pgSz w:w="16840" w:h="11900" w:orient="landscape"/>
          <w:pgMar w:top="1361" w:right="1020" w:bottom="1134" w:left="1020" w:header="720" w:footer="720" w:gutter="0"/>
          <w:cols w:space="720" w:num="1"/>
        </w:sectPr>
      </w:pPr>
    </w:p>
    <w:p w14:paraId="7620C003">
      <w:pPr>
        <w:spacing w:before="0" w:after="0"/>
        <w:ind w:firstLine="560"/>
        <w:jc w:val="left"/>
        <w:outlineLvl w:val="9"/>
      </w:pPr>
      <w:r>
        <w:rPr>
          <w:rFonts w:ascii="方正仿宋_GBK" w:hAnsi="方正仿宋_GBK" w:eastAsia="方正仿宋_GBK" w:cs="方正仿宋_GBK"/>
          <w:b/>
          <w:color w:val="000000"/>
          <w:sz w:val="28"/>
        </w:rPr>
        <w:t>121、市级基数/隆尧县私立成才小学公用经费绩效目标表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EE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5FF41">
            <w:pPr>
              <w:pStyle w:val="14"/>
            </w:pPr>
            <w:r>
              <w:t>单位：万元</w:t>
            </w:r>
          </w:p>
        </w:tc>
      </w:tr>
      <w:tr w14:paraId="10A0F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054651">
            <w:pPr>
              <w:pStyle w:val="11"/>
            </w:pPr>
            <w:r>
              <w:t>项目编码</w:t>
            </w:r>
          </w:p>
        </w:tc>
        <w:tc>
          <w:tcPr>
            <w:tcW w:w="5103" w:type="dxa"/>
            <w:gridSpan w:val="2"/>
            <w:vAlign w:val="center"/>
          </w:tcPr>
          <w:p w14:paraId="6E78FD06">
            <w:pPr>
              <w:pStyle w:val="13"/>
            </w:pPr>
            <w:r>
              <w:t>13052525P00000410207U</w:t>
            </w:r>
          </w:p>
        </w:tc>
        <w:tc>
          <w:tcPr>
            <w:tcW w:w="2835" w:type="dxa"/>
            <w:vAlign w:val="center"/>
          </w:tcPr>
          <w:p w14:paraId="3F9E59E6">
            <w:pPr>
              <w:pStyle w:val="11"/>
            </w:pPr>
            <w:r>
              <w:t>项目名称</w:t>
            </w:r>
          </w:p>
        </w:tc>
        <w:tc>
          <w:tcPr>
            <w:tcW w:w="6095" w:type="dxa"/>
            <w:gridSpan w:val="3"/>
            <w:vAlign w:val="center"/>
          </w:tcPr>
          <w:p w14:paraId="5F7FE732">
            <w:pPr>
              <w:pStyle w:val="13"/>
            </w:pPr>
            <w:r>
              <w:t>市级基数/隆尧县私立成才小学公用经费</w:t>
            </w:r>
          </w:p>
        </w:tc>
      </w:tr>
      <w:tr w14:paraId="21F02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9C068">
            <w:pPr>
              <w:pStyle w:val="11"/>
            </w:pPr>
            <w:r>
              <w:t>预算规模及资金用途</w:t>
            </w:r>
          </w:p>
        </w:tc>
        <w:tc>
          <w:tcPr>
            <w:tcW w:w="2268" w:type="dxa"/>
            <w:vAlign w:val="center"/>
          </w:tcPr>
          <w:p w14:paraId="43B455EC">
            <w:pPr>
              <w:pStyle w:val="11"/>
            </w:pPr>
            <w:r>
              <w:t>预算数</w:t>
            </w:r>
          </w:p>
        </w:tc>
        <w:tc>
          <w:tcPr>
            <w:tcW w:w="2835" w:type="dxa"/>
            <w:vAlign w:val="center"/>
          </w:tcPr>
          <w:p w14:paraId="63F2A0C2">
            <w:pPr>
              <w:pStyle w:val="13"/>
            </w:pPr>
            <w:r>
              <w:t>16.26</w:t>
            </w:r>
          </w:p>
        </w:tc>
        <w:tc>
          <w:tcPr>
            <w:tcW w:w="2835" w:type="dxa"/>
            <w:vAlign w:val="center"/>
          </w:tcPr>
          <w:p w14:paraId="6C7E3894">
            <w:pPr>
              <w:pStyle w:val="11"/>
            </w:pPr>
            <w:r>
              <w:t>其中：财政    资金</w:t>
            </w:r>
          </w:p>
        </w:tc>
        <w:tc>
          <w:tcPr>
            <w:tcW w:w="2551" w:type="dxa"/>
            <w:vAlign w:val="center"/>
          </w:tcPr>
          <w:p w14:paraId="6B3D1F13">
            <w:pPr>
              <w:pStyle w:val="13"/>
            </w:pPr>
            <w:r>
              <w:t>16.26</w:t>
            </w:r>
          </w:p>
        </w:tc>
        <w:tc>
          <w:tcPr>
            <w:tcW w:w="2268" w:type="dxa"/>
            <w:vAlign w:val="center"/>
          </w:tcPr>
          <w:p w14:paraId="05981B3F">
            <w:pPr>
              <w:pStyle w:val="11"/>
            </w:pPr>
            <w:r>
              <w:t>其他资金</w:t>
            </w:r>
          </w:p>
        </w:tc>
        <w:tc>
          <w:tcPr>
            <w:tcW w:w="1276" w:type="dxa"/>
            <w:vAlign w:val="center"/>
          </w:tcPr>
          <w:p w14:paraId="01F58671">
            <w:pPr>
              <w:pStyle w:val="13"/>
            </w:pPr>
            <w:r>
              <w:t xml:space="preserve"> </w:t>
            </w:r>
          </w:p>
        </w:tc>
      </w:tr>
      <w:tr w14:paraId="4B098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0BF35"/>
        </w:tc>
        <w:tc>
          <w:tcPr>
            <w:tcW w:w="14033" w:type="dxa"/>
            <w:gridSpan w:val="6"/>
            <w:vAlign w:val="center"/>
          </w:tcPr>
          <w:p w14:paraId="0DE72926">
            <w:pPr>
              <w:pStyle w:val="13"/>
            </w:pPr>
            <w:r>
              <w:t>保障义务教育学校正常运转，完成教育教学活动和其他日常工作任务等方面的费用支出</w:t>
            </w:r>
          </w:p>
        </w:tc>
      </w:tr>
      <w:tr w14:paraId="26B01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F81A0">
            <w:pPr>
              <w:pStyle w:val="11"/>
            </w:pPr>
            <w:r>
              <w:t>资金支出计划（%）</w:t>
            </w:r>
          </w:p>
        </w:tc>
        <w:tc>
          <w:tcPr>
            <w:tcW w:w="5103" w:type="dxa"/>
            <w:gridSpan w:val="2"/>
            <w:vAlign w:val="center"/>
          </w:tcPr>
          <w:p w14:paraId="7ED4DE0A">
            <w:pPr>
              <w:pStyle w:val="11"/>
            </w:pPr>
            <w:r>
              <w:t>3月底</w:t>
            </w:r>
          </w:p>
        </w:tc>
        <w:tc>
          <w:tcPr>
            <w:tcW w:w="2835" w:type="dxa"/>
            <w:vAlign w:val="center"/>
          </w:tcPr>
          <w:p w14:paraId="633107E2">
            <w:pPr>
              <w:pStyle w:val="11"/>
            </w:pPr>
            <w:r>
              <w:t>6月底</w:t>
            </w:r>
          </w:p>
        </w:tc>
        <w:tc>
          <w:tcPr>
            <w:tcW w:w="2551" w:type="dxa"/>
            <w:vAlign w:val="center"/>
          </w:tcPr>
          <w:p w14:paraId="2906670D">
            <w:pPr>
              <w:pStyle w:val="11"/>
            </w:pPr>
            <w:r>
              <w:t>10月底</w:t>
            </w:r>
          </w:p>
        </w:tc>
        <w:tc>
          <w:tcPr>
            <w:tcW w:w="3544" w:type="dxa"/>
            <w:gridSpan w:val="2"/>
            <w:vAlign w:val="center"/>
          </w:tcPr>
          <w:p w14:paraId="177B6C60">
            <w:pPr>
              <w:pStyle w:val="11"/>
            </w:pPr>
            <w:r>
              <w:t>12月底</w:t>
            </w:r>
          </w:p>
        </w:tc>
      </w:tr>
      <w:tr w14:paraId="49484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1B7A91"/>
        </w:tc>
        <w:tc>
          <w:tcPr>
            <w:tcW w:w="5103" w:type="dxa"/>
            <w:gridSpan w:val="2"/>
            <w:vAlign w:val="center"/>
          </w:tcPr>
          <w:p w14:paraId="2B92B67F">
            <w:pPr>
              <w:pStyle w:val="12"/>
            </w:pPr>
            <w:r>
              <w:t xml:space="preserve"> </w:t>
            </w:r>
          </w:p>
        </w:tc>
        <w:tc>
          <w:tcPr>
            <w:tcW w:w="2835" w:type="dxa"/>
            <w:vAlign w:val="center"/>
          </w:tcPr>
          <w:p w14:paraId="5E21A1B5">
            <w:pPr>
              <w:pStyle w:val="12"/>
            </w:pPr>
            <w:r>
              <w:t xml:space="preserve"> </w:t>
            </w:r>
          </w:p>
        </w:tc>
        <w:tc>
          <w:tcPr>
            <w:tcW w:w="2551" w:type="dxa"/>
            <w:vAlign w:val="center"/>
          </w:tcPr>
          <w:p w14:paraId="66742AF8">
            <w:pPr>
              <w:pStyle w:val="12"/>
            </w:pPr>
            <w:r>
              <w:t xml:space="preserve"> </w:t>
            </w:r>
          </w:p>
        </w:tc>
        <w:tc>
          <w:tcPr>
            <w:tcW w:w="3544" w:type="dxa"/>
            <w:gridSpan w:val="2"/>
            <w:vAlign w:val="center"/>
          </w:tcPr>
          <w:p w14:paraId="79717FEF">
            <w:pPr>
              <w:pStyle w:val="12"/>
            </w:pPr>
            <w:r>
              <w:t>100%</w:t>
            </w:r>
          </w:p>
        </w:tc>
      </w:tr>
      <w:tr w14:paraId="3F2C7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D6E81">
            <w:pPr>
              <w:pStyle w:val="11"/>
            </w:pPr>
            <w:r>
              <w:t>绩效目标</w:t>
            </w:r>
          </w:p>
        </w:tc>
        <w:tc>
          <w:tcPr>
            <w:tcW w:w="14033" w:type="dxa"/>
            <w:gridSpan w:val="6"/>
            <w:vAlign w:val="center"/>
          </w:tcPr>
          <w:p w14:paraId="67BA6C3F">
            <w:pPr>
              <w:pStyle w:val="13"/>
            </w:pPr>
            <w:r>
              <w:t>1.保障义务教育学校正常运转，完成教育教学活动和其他日常工作任务等方面的费用支出</w:t>
            </w:r>
          </w:p>
        </w:tc>
      </w:tr>
    </w:tbl>
    <w:p w14:paraId="5EA47C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42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6248B">
            <w:pPr>
              <w:pStyle w:val="11"/>
            </w:pPr>
            <w:r>
              <w:t>一级指标</w:t>
            </w:r>
          </w:p>
        </w:tc>
        <w:tc>
          <w:tcPr>
            <w:tcW w:w="2268" w:type="dxa"/>
            <w:vAlign w:val="center"/>
          </w:tcPr>
          <w:p w14:paraId="10525D9F">
            <w:pPr>
              <w:pStyle w:val="11"/>
            </w:pPr>
            <w:r>
              <w:t>二级指标</w:t>
            </w:r>
          </w:p>
        </w:tc>
        <w:tc>
          <w:tcPr>
            <w:tcW w:w="2835" w:type="dxa"/>
            <w:vAlign w:val="center"/>
          </w:tcPr>
          <w:p w14:paraId="5DC18278">
            <w:pPr>
              <w:pStyle w:val="11"/>
            </w:pPr>
            <w:r>
              <w:t>三级指标</w:t>
            </w:r>
          </w:p>
        </w:tc>
        <w:tc>
          <w:tcPr>
            <w:tcW w:w="5386" w:type="dxa"/>
            <w:vAlign w:val="center"/>
          </w:tcPr>
          <w:p w14:paraId="1166B0E6">
            <w:pPr>
              <w:pStyle w:val="11"/>
            </w:pPr>
            <w:r>
              <w:t>绩效指标描述</w:t>
            </w:r>
          </w:p>
        </w:tc>
        <w:tc>
          <w:tcPr>
            <w:tcW w:w="2268" w:type="dxa"/>
            <w:vAlign w:val="center"/>
          </w:tcPr>
          <w:p w14:paraId="2DA14A14">
            <w:pPr>
              <w:pStyle w:val="11"/>
            </w:pPr>
            <w:r>
              <w:t>指标值</w:t>
            </w:r>
          </w:p>
        </w:tc>
        <w:tc>
          <w:tcPr>
            <w:tcW w:w="1276" w:type="dxa"/>
            <w:vAlign w:val="center"/>
          </w:tcPr>
          <w:p w14:paraId="3FB7D2E7">
            <w:pPr>
              <w:pStyle w:val="11"/>
            </w:pPr>
            <w:r>
              <w:t>指标值确定依据</w:t>
            </w:r>
          </w:p>
        </w:tc>
      </w:tr>
      <w:tr w14:paraId="2CE98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B83C0">
            <w:pPr>
              <w:pStyle w:val="12"/>
            </w:pPr>
            <w:r>
              <w:t>产出指标</w:t>
            </w:r>
          </w:p>
        </w:tc>
        <w:tc>
          <w:tcPr>
            <w:tcW w:w="2268" w:type="dxa"/>
            <w:vAlign w:val="center"/>
          </w:tcPr>
          <w:p w14:paraId="127BBCC4">
            <w:pPr>
              <w:pStyle w:val="13"/>
            </w:pPr>
            <w:r>
              <w:t>数量指标</w:t>
            </w:r>
          </w:p>
        </w:tc>
        <w:tc>
          <w:tcPr>
            <w:tcW w:w="2835" w:type="dxa"/>
            <w:vAlign w:val="center"/>
          </w:tcPr>
          <w:p w14:paraId="2BFFBD09">
            <w:pPr>
              <w:pStyle w:val="13"/>
            </w:pPr>
            <w:r>
              <w:t>适龄在校生</w:t>
            </w:r>
          </w:p>
        </w:tc>
        <w:tc>
          <w:tcPr>
            <w:tcW w:w="5386" w:type="dxa"/>
            <w:vAlign w:val="center"/>
          </w:tcPr>
          <w:p w14:paraId="232B47C0">
            <w:pPr>
              <w:pStyle w:val="13"/>
            </w:pPr>
            <w:r>
              <w:t>适龄在校就读学生人数</w:t>
            </w:r>
          </w:p>
        </w:tc>
        <w:tc>
          <w:tcPr>
            <w:tcW w:w="2268" w:type="dxa"/>
            <w:vAlign w:val="center"/>
          </w:tcPr>
          <w:p w14:paraId="3884F22E">
            <w:pPr>
              <w:pStyle w:val="13"/>
            </w:pPr>
            <w:r>
              <w:t>321人</w:t>
            </w:r>
          </w:p>
        </w:tc>
        <w:tc>
          <w:tcPr>
            <w:tcW w:w="1276" w:type="dxa"/>
            <w:vAlign w:val="center"/>
          </w:tcPr>
          <w:p w14:paraId="232D34DA">
            <w:pPr>
              <w:pStyle w:val="13"/>
            </w:pPr>
            <w:r>
              <w:t>城乡义务教育公用经费管理办法</w:t>
            </w:r>
          </w:p>
        </w:tc>
      </w:tr>
      <w:tr w14:paraId="59F7D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CEEDF"/>
        </w:tc>
        <w:tc>
          <w:tcPr>
            <w:tcW w:w="2268" w:type="dxa"/>
            <w:vAlign w:val="center"/>
          </w:tcPr>
          <w:p w14:paraId="682E2B01">
            <w:pPr>
              <w:pStyle w:val="13"/>
            </w:pPr>
            <w:r>
              <w:t>质量指标</w:t>
            </w:r>
          </w:p>
        </w:tc>
        <w:tc>
          <w:tcPr>
            <w:tcW w:w="2835" w:type="dxa"/>
            <w:vAlign w:val="center"/>
          </w:tcPr>
          <w:p w14:paraId="648ABBBA">
            <w:pPr>
              <w:pStyle w:val="13"/>
            </w:pPr>
            <w:r>
              <w:t>预算控制率</w:t>
            </w:r>
          </w:p>
        </w:tc>
        <w:tc>
          <w:tcPr>
            <w:tcW w:w="5386" w:type="dxa"/>
            <w:vAlign w:val="center"/>
          </w:tcPr>
          <w:p w14:paraId="2DECF678">
            <w:pPr>
              <w:pStyle w:val="13"/>
            </w:pPr>
            <w:r>
              <w:t>预算执行</w:t>
            </w:r>
          </w:p>
        </w:tc>
        <w:tc>
          <w:tcPr>
            <w:tcW w:w="2268" w:type="dxa"/>
            <w:vAlign w:val="center"/>
          </w:tcPr>
          <w:p w14:paraId="5134575B">
            <w:pPr>
              <w:pStyle w:val="13"/>
            </w:pPr>
            <w:r>
              <w:t>≥95%</w:t>
            </w:r>
          </w:p>
        </w:tc>
        <w:tc>
          <w:tcPr>
            <w:tcW w:w="1276" w:type="dxa"/>
            <w:vAlign w:val="center"/>
          </w:tcPr>
          <w:p w14:paraId="558401D0">
            <w:pPr>
              <w:pStyle w:val="13"/>
            </w:pPr>
            <w:r>
              <w:t>城乡义务教育公用经费管理办法</w:t>
            </w:r>
          </w:p>
        </w:tc>
      </w:tr>
      <w:tr w14:paraId="02238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AEBC9"/>
        </w:tc>
        <w:tc>
          <w:tcPr>
            <w:tcW w:w="2268" w:type="dxa"/>
            <w:vAlign w:val="center"/>
          </w:tcPr>
          <w:p w14:paraId="7D9EE273">
            <w:pPr>
              <w:pStyle w:val="13"/>
            </w:pPr>
            <w:r>
              <w:t>时效指标</w:t>
            </w:r>
          </w:p>
        </w:tc>
        <w:tc>
          <w:tcPr>
            <w:tcW w:w="2835" w:type="dxa"/>
            <w:vAlign w:val="center"/>
          </w:tcPr>
          <w:p w14:paraId="055D1D54">
            <w:pPr>
              <w:pStyle w:val="13"/>
            </w:pPr>
            <w:r>
              <w:t>资金支付率</w:t>
            </w:r>
          </w:p>
        </w:tc>
        <w:tc>
          <w:tcPr>
            <w:tcW w:w="5386" w:type="dxa"/>
            <w:vAlign w:val="center"/>
          </w:tcPr>
          <w:p w14:paraId="30BB8E4C">
            <w:pPr>
              <w:pStyle w:val="13"/>
            </w:pPr>
            <w:r>
              <w:t>按照序时进度完成资金支付</w:t>
            </w:r>
          </w:p>
        </w:tc>
        <w:tc>
          <w:tcPr>
            <w:tcW w:w="2268" w:type="dxa"/>
            <w:vAlign w:val="center"/>
          </w:tcPr>
          <w:p w14:paraId="35CB605F">
            <w:pPr>
              <w:pStyle w:val="13"/>
            </w:pPr>
            <w:r>
              <w:t>≥100%</w:t>
            </w:r>
          </w:p>
        </w:tc>
        <w:tc>
          <w:tcPr>
            <w:tcW w:w="1276" w:type="dxa"/>
            <w:vAlign w:val="center"/>
          </w:tcPr>
          <w:p w14:paraId="47F3C041">
            <w:pPr>
              <w:pStyle w:val="13"/>
            </w:pPr>
            <w:r>
              <w:t>城乡义务教育公用经费管理办法</w:t>
            </w:r>
          </w:p>
        </w:tc>
      </w:tr>
      <w:tr w14:paraId="37A71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268B8"/>
        </w:tc>
        <w:tc>
          <w:tcPr>
            <w:tcW w:w="2268" w:type="dxa"/>
            <w:vAlign w:val="center"/>
          </w:tcPr>
          <w:p w14:paraId="2E3D42FB">
            <w:pPr>
              <w:pStyle w:val="13"/>
            </w:pPr>
            <w:r>
              <w:t>成本指标</w:t>
            </w:r>
          </w:p>
        </w:tc>
        <w:tc>
          <w:tcPr>
            <w:tcW w:w="2835" w:type="dxa"/>
            <w:vAlign w:val="center"/>
          </w:tcPr>
          <w:p w14:paraId="4DFA0A7D">
            <w:pPr>
              <w:pStyle w:val="13"/>
            </w:pPr>
            <w:r>
              <w:t>生均拨款标准</w:t>
            </w:r>
          </w:p>
        </w:tc>
        <w:tc>
          <w:tcPr>
            <w:tcW w:w="5386" w:type="dxa"/>
            <w:vAlign w:val="center"/>
          </w:tcPr>
          <w:p w14:paraId="27C6476D">
            <w:pPr>
              <w:pStyle w:val="13"/>
            </w:pPr>
            <w:r>
              <w:t>小学：（基本标准720元、寄宿生300元、取暖120元）/生/学年；随班就读学生：标准6000元/生/学年。</w:t>
            </w:r>
          </w:p>
        </w:tc>
        <w:tc>
          <w:tcPr>
            <w:tcW w:w="2268" w:type="dxa"/>
            <w:vAlign w:val="center"/>
          </w:tcPr>
          <w:p w14:paraId="66EF0CA9">
            <w:pPr>
              <w:pStyle w:val="13"/>
            </w:pPr>
            <w:r>
              <w:t>840元</w:t>
            </w:r>
          </w:p>
        </w:tc>
        <w:tc>
          <w:tcPr>
            <w:tcW w:w="1276" w:type="dxa"/>
            <w:vAlign w:val="center"/>
          </w:tcPr>
          <w:p w14:paraId="6191CEE4">
            <w:pPr>
              <w:pStyle w:val="13"/>
            </w:pPr>
            <w:r>
              <w:t>城乡义务教育公用经费管理办法</w:t>
            </w:r>
          </w:p>
        </w:tc>
      </w:tr>
      <w:tr w14:paraId="6B1F3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CABE8">
            <w:pPr>
              <w:pStyle w:val="12"/>
            </w:pPr>
            <w:r>
              <w:t>效益指标</w:t>
            </w:r>
          </w:p>
        </w:tc>
        <w:tc>
          <w:tcPr>
            <w:tcW w:w="2268" w:type="dxa"/>
            <w:vAlign w:val="center"/>
          </w:tcPr>
          <w:p w14:paraId="4A8A2668">
            <w:pPr>
              <w:pStyle w:val="13"/>
            </w:pPr>
            <w:r>
              <w:t>可持续影响指标</w:t>
            </w:r>
          </w:p>
        </w:tc>
        <w:tc>
          <w:tcPr>
            <w:tcW w:w="2835" w:type="dxa"/>
            <w:vAlign w:val="center"/>
          </w:tcPr>
          <w:p w14:paraId="40AF77F5">
            <w:pPr>
              <w:pStyle w:val="13"/>
            </w:pPr>
            <w:r>
              <w:t>教育发展水平明显好转</w:t>
            </w:r>
          </w:p>
        </w:tc>
        <w:tc>
          <w:tcPr>
            <w:tcW w:w="5386" w:type="dxa"/>
            <w:vAlign w:val="center"/>
          </w:tcPr>
          <w:p w14:paraId="01BE3948">
            <w:pPr>
              <w:pStyle w:val="13"/>
            </w:pPr>
            <w:r>
              <w:t>学生受教育年限</w:t>
            </w:r>
          </w:p>
        </w:tc>
        <w:tc>
          <w:tcPr>
            <w:tcW w:w="2268" w:type="dxa"/>
            <w:vAlign w:val="center"/>
          </w:tcPr>
          <w:p w14:paraId="259980D8">
            <w:pPr>
              <w:pStyle w:val="13"/>
            </w:pPr>
            <w:r>
              <w:t>6年</w:t>
            </w:r>
          </w:p>
        </w:tc>
        <w:tc>
          <w:tcPr>
            <w:tcW w:w="1276" w:type="dxa"/>
            <w:vAlign w:val="center"/>
          </w:tcPr>
          <w:p w14:paraId="4CFC966F">
            <w:pPr>
              <w:pStyle w:val="13"/>
            </w:pPr>
            <w:r>
              <w:t>城乡义务教育公用经费管理办法</w:t>
            </w:r>
          </w:p>
        </w:tc>
      </w:tr>
      <w:tr w14:paraId="7B8A6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826FD">
            <w:pPr>
              <w:pStyle w:val="12"/>
            </w:pPr>
            <w:r>
              <w:t>满意度指标</w:t>
            </w:r>
          </w:p>
        </w:tc>
        <w:tc>
          <w:tcPr>
            <w:tcW w:w="2268" w:type="dxa"/>
            <w:vAlign w:val="center"/>
          </w:tcPr>
          <w:p w14:paraId="6E5FE79D">
            <w:pPr>
              <w:pStyle w:val="13"/>
            </w:pPr>
            <w:r>
              <w:t>服务对象满意度指标</w:t>
            </w:r>
          </w:p>
        </w:tc>
        <w:tc>
          <w:tcPr>
            <w:tcW w:w="2835" w:type="dxa"/>
            <w:vAlign w:val="center"/>
          </w:tcPr>
          <w:p w14:paraId="45041920">
            <w:pPr>
              <w:pStyle w:val="13"/>
            </w:pPr>
            <w:r>
              <w:t>受益学生家长及调查满意度</w:t>
            </w:r>
          </w:p>
        </w:tc>
        <w:tc>
          <w:tcPr>
            <w:tcW w:w="5386" w:type="dxa"/>
            <w:vAlign w:val="center"/>
          </w:tcPr>
          <w:p w14:paraId="53C7A169">
            <w:pPr>
              <w:pStyle w:val="13"/>
            </w:pPr>
            <w:r>
              <w:t>学生、教师及家长对学校教育教学工作满意度情况</w:t>
            </w:r>
          </w:p>
        </w:tc>
        <w:tc>
          <w:tcPr>
            <w:tcW w:w="2268" w:type="dxa"/>
            <w:vAlign w:val="center"/>
          </w:tcPr>
          <w:p w14:paraId="73A05D76">
            <w:pPr>
              <w:pStyle w:val="13"/>
            </w:pPr>
            <w:r>
              <w:t>≥95%</w:t>
            </w:r>
          </w:p>
        </w:tc>
        <w:tc>
          <w:tcPr>
            <w:tcW w:w="1276" w:type="dxa"/>
            <w:vAlign w:val="center"/>
          </w:tcPr>
          <w:p w14:paraId="340F6710">
            <w:pPr>
              <w:pStyle w:val="13"/>
            </w:pPr>
            <w:r>
              <w:t>调查问卷</w:t>
            </w:r>
          </w:p>
        </w:tc>
      </w:tr>
    </w:tbl>
    <w:p w14:paraId="6E780107">
      <w:pPr>
        <w:sectPr>
          <w:pgSz w:w="16840" w:h="11900" w:orient="landscape"/>
          <w:pgMar w:top="1361" w:right="1020" w:bottom="1134" w:left="1020" w:header="720" w:footer="720" w:gutter="0"/>
          <w:cols w:space="720" w:num="1"/>
        </w:sectPr>
      </w:pPr>
    </w:p>
    <w:p w14:paraId="08B3890B">
      <w:pPr>
        <w:spacing w:before="0" w:after="0"/>
        <w:ind w:firstLine="560"/>
        <w:jc w:val="left"/>
        <w:outlineLvl w:val="9"/>
      </w:pPr>
      <w:r>
        <w:rPr>
          <w:rFonts w:ascii="方正仿宋_GBK" w:hAnsi="方正仿宋_GBK" w:eastAsia="方正仿宋_GBK" w:cs="方正仿宋_GBK"/>
          <w:b/>
          <w:color w:val="000000"/>
          <w:sz w:val="28"/>
        </w:rPr>
        <w:t>122、市级基数/隆尧县私立文星学校公用经费绩效目标表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35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3DA3A">
            <w:pPr>
              <w:pStyle w:val="14"/>
            </w:pPr>
            <w:r>
              <w:t>单位：万元</w:t>
            </w:r>
          </w:p>
        </w:tc>
      </w:tr>
      <w:tr w14:paraId="7B39C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B2649">
            <w:pPr>
              <w:pStyle w:val="11"/>
            </w:pPr>
            <w:r>
              <w:t>项目编码</w:t>
            </w:r>
          </w:p>
        </w:tc>
        <w:tc>
          <w:tcPr>
            <w:tcW w:w="5103" w:type="dxa"/>
            <w:gridSpan w:val="2"/>
            <w:vAlign w:val="center"/>
          </w:tcPr>
          <w:p w14:paraId="24C113A8">
            <w:pPr>
              <w:pStyle w:val="13"/>
            </w:pPr>
            <w:r>
              <w:t>13052525P00000410215G</w:t>
            </w:r>
          </w:p>
        </w:tc>
        <w:tc>
          <w:tcPr>
            <w:tcW w:w="2835" w:type="dxa"/>
            <w:vAlign w:val="center"/>
          </w:tcPr>
          <w:p w14:paraId="295639A1">
            <w:pPr>
              <w:pStyle w:val="11"/>
            </w:pPr>
            <w:r>
              <w:t>项目名称</w:t>
            </w:r>
          </w:p>
        </w:tc>
        <w:tc>
          <w:tcPr>
            <w:tcW w:w="6095" w:type="dxa"/>
            <w:gridSpan w:val="3"/>
            <w:vAlign w:val="center"/>
          </w:tcPr>
          <w:p w14:paraId="1BB012B0">
            <w:pPr>
              <w:pStyle w:val="13"/>
            </w:pPr>
            <w:r>
              <w:t>市级基数/隆尧县私立文星学校公用经费</w:t>
            </w:r>
          </w:p>
        </w:tc>
      </w:tr>
      <w:tr w14:paraId="23AFA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8C000">
            <w:pPr>
              <w:pStyle w:val="11"/>
            </w:pPr>
            <w:r>
              <w:t>预算规模及资金用途</w:t>
            </w:r>
          </w:p>
        </w:tc>
        <w:tc>
          <w:tcPr>
            <w:tcW w:w="2268" w:type="dxa"/>
            <w:vAlign w:val="center"/>
          </w:tcPr>
          <w:p w14:paraId="7C2CE6C7">
            <w:pPr>
              <w:pStyle w:val="11"/>
            </w:pPr>
            <w:r>
              <w:t>预算数</w:t>
            </w:r>
          </w:p>
        </w:tc>
        <w:tc>
          <w:tcPr>
            <w:tcW w:w="2835" w:type="dxa"/>
            <w:vAlign w:val="center"/>
          </w:tcPr>
          <w:p w14:paraId="3AFF9F27">
            <w:pPr>
              <w:pStyle w:val="13"/>
            </w:pPr>
            <w:r>
              <w:t>10.51</w:t>
            </w:r>
          </w:p>
        </w:tc>
        <w:tc>
          <w:tcPr>
            <w:tcW w:w="2835" w:type="dxa"/>
            <w:vAlign w:val="center"/>
          </w:tcPr>
          <w:p w14:paraId="27A69C42">
            <w:pPr>
              <w:pStyle w:val="11"/>
            </w:pPr>
            <w:r>
              <w:t>其中：财政    资金</w:t>
            </w:r>
          </w:p>
        </w:tc>
        <w:tc>
          <w:tcPr>
            <w:tcW w:w="2551" w:type="dxa"/>
            <w:vAlign w:val="center"/>
          </w:tcPr>
          <w:p w14:paraId="4213FC38">
            <w:pPr>
              <w:pStyle w:val="13"/>
            </w:pPr>
            <w:r>
              <w:t>10.51</w:t>
            </w:r>
          </w:p>
        </w:tc>
        <w:tc>
          <w:tcPr>
            <w:tcW w:w="2268" w:type="dxa"/>
            <w:vAlign w:val="center"/>
          </w:tcPr>
          <w:p w14:paraId="56216EEC">
            <w:pPr>
              <w:pStyle w:val="11"/>
            </w:pPr>
            <w:r>
              <w:t>其他资金</w:t>
            </w:r>
          </w:p>
        </w:tc>
        <w:tc>
          <w:tcPr>
            <w:tcW w:w="1276" w:type="dxa"/>
            <w:vAlign w:val="center"/>
          </w:tcPr>
          <w:p w14:paraId="4286FAF2">
            <w:pPr>
              <w:pStyle w:val="13"/>
            </w:pPr>
            <w:r>
              <w:t xml:space="preserve"> </w:t>
            </w:r>
          </w:p>
        </w:tc>
      </w:tr>
      <w:tr w14:paraId="1C2FB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B7892B"/>
        </w:tc>
        <w:tc>
          <w:tcPr>
            <w:tcW w:w="14033" w:type="dxa"/>
            <w:gridSpan w:val="6"/>
            <w:vAlign w:val="center"/>
          </w:tcPr>
          <w:p w14:paraId="71AADDE1">
            <w:pPr>
              <w:pStyle w:val="13"/>
            </w:pPr>
            <w:r>
              <w:t>保障义务教育学校正常运转，完成教育教学活动和其他日常工作任务等方面的费用支出。</w:t>
            </w:r>
          </w:p>
        </w:tc>
      </w:tr>
      <w:tr w14:paraId="05ED3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81B8A">
            <w:pPr>
              <w:pStyle w:val="11"/>
            </w:pPr>
            <w:r>
              <w:t>资金支出计划（%）</w:t>
            </w:r>
          </w:p>
        </w:tc>
        <w:tc>
          <w:tcPr>
            <w:tcW w:w="5103" w:type="dxa"/>
            <w:gridSpan w:val="2"/>
            <w:vAlign w:val="center"/>
          </w:tcPr>
          <w:p w14:paraId="3675EB97">
            <w:pPr>
              <w:pStyle w:val="11"/>
            </w:pPr>
            <w:r>
              <w:t>3月底</w:t>
            </w:r>
          </w:p>
        </w:tc>
        <w:tc>
          <w:tcPr>
            <w:tcW w:w="2835" w:type="dxa"/>
            <w:vAlign w:val="center"/>
          </w:tcPr>
          <w:p w14:paraId="338D0142">
            <w:pPr>
              <w:pStyle w:val="11"/>
            </w:pPr>
            <w:r>
              <w:t>6月底</w:t>
            </w:r>
          </w:p>
        </w:tc>
        <w:tc>
          <w:tcPr>
            <w:tcW w:w="2551" w:type="dxa"/>
            <w:vAlign w:val="center"/>
          </w:tcPr>
          <w:p w14:paraId="28E63CDF">
            <w:pPr>
              <w:pStyle w:val="11"/>
            </w:pPr>
            <w:r>
              <w:t>10月底</w:t>
            </w:r>
          </w:p>
        </w:tc>
        <w:tc>
          <w:tcPr>
            <w:tcW w:w="3544" w:type="dxa"/>
            <w:gridSpan w:val="2"/>
            <w:vAlign w:val="center"/>
          </w:tcPr>
          <w:p w14:paraId="077FFC4C">
            <w:pPr>
              <w:pStyle w:val="11"/>
            </w:pPr>
            <w:r>
              <w:t>12月底</w:t>
            </w:r>
          </w:p>
        </w:tc>
      </w:tr>
      <w:tr w14:paraId="03173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1713D"/>
        </w:tc>
        <w:tc>
          <w:tcPr>
            <w:tcW w:w="5103" w:type="dxa"/>
            <w:gridSpan w:val="2"/>
            <w:vAlign w:val="center"/>
          </w:tcPr>
          <w:p w14:paraId="14F67B72">
            <w:pPr>
              <w:pStyle w:val="12"/>
            </w:pPr>
            <w:r>
              <w:t xml:space="preserve"> </w:t>
            </w:r>
          </w:p>
        </w:tc>
        <w:tc>
          <w:tcPr>
            <w:tcW w:w="2835" w:type="dxa"/>
            <w:vAlign w:val="center"/>
          </w:tcPr>
          <w:p w14:paraId="4C39D816">
            <w:pPr>
              <w:pStyle w:val="12"/>
            </w:pPr>
            <w:r>
              <w:t xml:space="preserve"> </w:t>
            </w:r>
          </w:p>
        </w:tc>
        <w:tc>
          <w:tcPr>
            <w:tcW w:w="2551" w:type="dxa"/>
            <w:vAlign w:val="center"/>
          </w:tcPr>
          <w:p w14:paraId="05528394">
            <w:pPr>
              <w:pStyle w:val="12"/>
            </w:pPr>
            <w:r>
              <w:t xml:space="preserve"> </w:t>
            </w:r>
          </w:p>
        </w:tc>
        <w:tc>
          <w:tcPr>
            <w:tcW w:w="3544" w:type="dxa"/>
            <w:gridSpan w:val="2"/>
            <w:vAlign w:val="center"/>
          </w:tcPr>
          <w:p w14:paraId="620A96FA">
            <w:pPr>
              <w:pStyle w:val="12"/>
            </w:pPr>
            <w:r>
              <w:t>100%</w:t>
            </w:r>
          </w:p>
        </w:tc>
      </w:tr>
      <w:tr w14:paraId="6B3A5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62DC2">
            <w:pPr>
              <w:pStyle w:val="11"/>
            </w:pPr>
            <w:r>
              <w:t>绩效目标</w:t>
            </w:r>
          </w:p>
        </w:tc>
        <w:tc>
          <w:tcPr>
            <w:tcW w:w="14033" w:type="dxa"/>
            <w:gridSpan w:val="6"/>
            <w:vAlign w:val="center"/>
          </w:tcPr>
          <w:p w14:paraId="34F2126C">
            <w:pPr>
              <w:pStyle w:val="13"/>
            </w:pPr>
            <w:r>
              <w:t>1.保障义务教育学校正常运转，完成教育教学活动和其他日常工作任务等方面的费用支出。</w:t>
            </w:r>
          </w:p>
        </w:tc>
      </w:tr>
    </w:tbl>
    <w:p w14:paraId="21EC3B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91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6583C">
            <w:pPr>
              <w:pStyle w:val="11"/>
            </w:pPr>
            <w:r>
              <w:t>一级指标</w:t>
            </w:r>
          </w:p>
        </w:tc>
        <w:tc>
          <w:tcPr>
            <w:tcW w:w="2268" w:type="dxa"/>
            <w:vAlign w:val="center"/>
          </w:tcPr>
          <w:p w14:paraId="72A9550A">
            <w:pPr>
              <w:pStyle w:val="11"/>
            </w:pPr>
            <w:r>
              <w:t>二级指标</w:t>
            </w:r>
          </w:p>
        </w:tc>
        <w:tc>
          <w:tcPr>
            <w:tcW w:w="2835" w:type="dxa"/>
            <w:vAlign w:val="center"/>
          </w:tcPr>
          <w:p w14:paraId="0D5D8F8C">
            <w:pPr>
              <w:pStyle w:val="11"/>
            </w:pPr>
            <w:r>
              <w:t>三级指标</w:t>
            </w:r>
          </w:p>
        </w:tc>
        <w:tc>
          <w:tcPr>
            <w:tcW w:w="5386" w:type="dxa"/>
            <w:vAlign w:val="center"/>
          </w:tcPr>
          <w:p w14:paraId="3BD56E5F">
            <w:pPr>
              <w:pStyle w:val="11"/>
            </w:pPr>
            <w:r>
              <w:t>绩效指标描述</w:t>
            </w:r>
          </w:p>
        </w:tc>
        <w:tc>
          <w:tcPr>
            <w:tcW w:w="2268" w:type="dxa"/>
            <w:vAlign w:val="center"/>
          </w:tcPr>
          <w:p w14:paraId="34D88EC2">
            <w:pPr>
              <w:pStyle w:val="11"/>
            </w:pPr>
            <w:r>
              <w:t>指标值</w:t>
            </w:r>
          </w:p>
        </w:tc>
        <w:tc>
          <w:tcPr>
            <w:tcW w:w="1276" w:type="dxa"/>
            <w:vAlign w:val="center"/>
          </w:tcPr>
          <w:p w14:paraId="26DB6008">
            <w:pPr>
              <w:pStyle w:val="11"/>
            </w:pPr>
            <w:r>
              <w:t>指标值确定依据</w:t>
            </w:r>
          </w:p>
        </w:tc>
      </w:tr>
      <w:tr w14:paraId="6864D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E6067">
            <w:pPr>
              <w:pStyle w:val="12"/>
            </w:pPr>
            <w:r>
              <w:t>产出指标</w:t>
            </w:r>
          </w:p>
        </w:tc>
        <w:tc>
          <w:tcPr>
            <w:tcW w:w="2268" w:type="dxa"/>
            <w:vAlign w:val="center"/>
          </w:tcPr>
          <w:p w14:paraId="47E452B0">
            <w:pPr>
              <w:pStyle w:val="13"/>
            </w:pPr>
            <w:r>
              <w:t>数量指标</w:t>
            </w:r>
          </w:p>
        </w:tc>
        <w:tc>
          <w:tcPr>
            <w:tcW w:w="2835" w:type="dxa"/>
            <w:vAlign w:val="center"/>
          </w:tcPr>
          <w:p w14:paraId="66DD3A1F">
            <w:pPr>
              <w:pStyle w:val="13"/>
            </w:pPr>
            <w:r>
              <w:t>适龄在校生</w:t>
            </w:r>
          </w:p>
        </w:tc>
        <w:tc>
          <w:tcPr>
            <w:tcW w:w="5386" w:type="dxa"/>
            <w:vAlign w:val="center"/>
          </w:tcPr>
          <w:p w14:paraId="6DF007F3">
            <w:pPr>
              <w:pStyle w:val="13"/>
            </w:pPr>
            <w:r>
              <w:t>适龄在校就读学生人数</w:t>
            </w:r>
          </w:p>
        </w:tc>
        <w:tc>
          <w:tcPr>
            <w:tcW w:w="2268" w:type="dxa"/>
            <w:vAlign w:val="center"/>
          </w:tcPr>
          <w:p w14:paraId="43F22AC8">
            <w:pPr>
              <w:pStyle w:val="13"/>
            </w:pPr>
            <w:r>
              <w:t>190人</w:t>
            </w:r>
          </w:p>
        </w:tc>
        <w:tc>
          <w:tcPr>
            <w:tcW w:w="1276" w:type="dxa"/>
            <w:vAlign w:val="center"/>
          </w:tcPr>
          <w:p w14:paraId="753FD95F">
            <w:pPr>
              <w:pStyle w:val="13"/>
            </w:pPr>
            <w:r>
              <w:t>城乡义务教育公用经费管理办法</w:t>
            </w:r>
          </w:p>
        </w:tc>
      </w:tr>
      <w:tr w14:paraId="08E6D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DC488"/>
        </w:tc>
        <w:tc>
          <w:tcPr>
            <w:tcW w:w="2268" w:type="dxa"/>
            <w:vAlign w:val="center"/>
          </w:tcPr>
          <w:p w14:paraId="594AAC15">
            <w:pPr>
              <w:pStyle w:val="13"/>
            </w:pPr>
            <w:r>
              <w:t>质量指标</w:t>
            </w:r>
          </w:p>
        </w:tc>
        <w:tc>
          <w:tcPr>
            <w:tcW w:w="2835" w:type="dxa"/>
            <w:vAlign w:val="center"/>
          </w:tcPr>
          <w:p w14:paraId="5A73559A">
            <w:pPr>
              <w:pStyle w:val="13"/>
            </w:pPr>
            <w:r>
              <w:t>预算控制率</w:t>
            </w:r>
          </w:p>
        </w:tc>
        <w:tc>
          <w:tcPr>
            <w:tcW w:w="5386" w:type="dxa"/>
            <w:vAlign w:val="center"/>
          </w:tcPr>
          <w:p w14:paraId="06DA2ECD">
            <w:pPr>
              <w:pStyle w:val="13"/>
            </w:pPr>
            <w:r>
              <w:t>预算执行</w:t>
            </w:r>
          </w:p>
        </w:tc>
        <w:tc>
          <w:tcPr>
            <w:tcW w:w="2268" w:type="dxa"/>
            <w:vAlign w:val="center"/>
          </w:tcPr>
          <w:p w14:paraId="08FCF208">
            <w:pPr>
              <w:pStyle w:val="13"/>
            </w:pPr>
            <w:r>
              <w:t>≥95%</w:t>
            </w:r>
          </w:p>
        </w:tc>
        <w:tc>
          <w:tcPr>
            <w:tcW w:w="1276" w:type="dxa"/>
            <w:vAlign w:val="center"/>
          </w:tcPr>
          <w:p w14:paraId="6C693D5B">
            <w:pPr>
              <w:pStyle w:val="13"/>
            </w:pPr>
            <w:r>
              <w:t>城乡义务教育公用经费管理办法</w:t>
            </w:r>
          </w:p>
        </w:tc>
      </w:tr>
      <w:tr w14:paraId="5B5B7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475B6"/>
        </w:tc>
        <w:tc>
          <w:tcPr>
            <w:tcW w:w="2268" w:type="dxa"/>
            <w:vAlign w:val="center"/>
          </w:tcPr>
          <w:p w14:paraId="3F1BC877">
            <w:pPr>
              <w:pStyle w:val="13"/>
            </w:pPr>
            <w:r>
              <w:t>时效指标</w:t>
            </w:r>
          </w:p>
        </w:tc>
        <w:tc>
          <w:tcPr>
            <w:tcW w:w="2835" w:type="dxa"/>
            <w:vAlign w:val="center"/>
          </w:tcPr>
          <w:p w14:paraId="24A266EC">
            <w:pPr>
              <w:pStyle w:val="13"/>
            </w:pPr>
            <w:r>
              <w:t>资金支付率</w:t>
            </w:r>
          </w:p>
        </w:tc>
        <w:tc>
          <w:tcPr>
            <w:tcW w:w="5386" w:type="dxa"/>
            <w:vAlign w:val="center"/>
          </w:tcPr>
          <w:p w14:paraId="0BEB39C9">
            <w:pPr>
              <w:pStyle w:val="13"/>
            </w:pPr>
            <w:r>
              <w:t>按照序时进度完成资金支付</w:t>
            </w:r>
          </w:p>
        </w:tc>
        <w:tc>
          <w:tcPr>
            <w:tcW w:w="2268" w:type="dxa"/>
            <w:vAlign w:val="center"/>
          </w:tcPr>
          <w:p w14:paraId="65035BBD">
            <w:pPr>
              <w:pStyle w:val="13"/>
            </w:pPr>
            <w:r>
              <w:t>≥100%</w:t>
            </w:r>
          </w:p>
        </w:tc>
        <w:tc>
          <w:tcPr>
            <w:tcW w:w="1276" w:type="dxa"/>
            <w:vAlign w:val="center"/>
          </w:tcPr>
          <w:p w14:paraId="20073622">
            <w:pPr>
              <w:pStyle w:val="13"/>
            </w:pPr>
            <w:r>
              <w:t>城乡义务教育公用经费管理办法</w:t>
            </w:r>
          </w:p>
        </w:tc>
      </w:tr>
      <w:tr w14:paraId="246B4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59706"/>
        </w:tc>
        <w:tc>
          <w:tcPr>
            <w:tcW w:w="2268" w:type="dxa"/>
            <w:vAlign w:val="center"/>
          </w:tcPr>
          <w:p w14:paraId="1CD6B9F8">
            <w:pPr>
              <w:pStyle w:val="13"/>
            </w:pPr>
            <w:r>
              <w:t>成本指标</w:t>
            </w:r>
          </w:p>
        </w:tc>
        <w:tc>
          <w:tcPr>
            <w:tcW w:w="2835" w:type="dxa"/>
            <w:vAlign w:val="center"/>
          </w:tcPr>
          <w:p w14:paraId="51A01830">
            <w:pPr>
              <w:pStyle w:val="13"/>
            </w:pPr>
            <w:r>
              <w:t>生均拨款标准</w:t>
            </w:r>
          </w:p>
        </w:tc>
        <w:tc>
          <w:tcPr>
            <w:tcW w:w="5386" w:type="dxa"/>
            <w:vAlign w:val="center"/>
          </w:tcPr>
          <w:p w14:paraId="30975250">
            <w:pPr>
              <w:pStyle w:val="13"/>
            </w:pPr>
            <w:r>
              <w:t>小学：（基本标准720元、寄宿生300元、取暖120元）/生/学年；随班就读学生：标准6000元/生/学年。</w:t>
            </w:r>
          </w:p>
        </w:tc>
        <w:tc>
          <w:tcPr>
            <w:tcW w:w="2268" w:type="dxa"/>
            <w:vAlign w:val="center"/>
          </w:tcPr>
          <w:p w14:paraId="1AE4BAB1">
            <w:pPr>
              <w:pStyle w:val="13"/>
            </w:pPr>
            <w:r>
              <w:t>840元</w:t>
            </w:r>
          </w:p>
        </w:tc>
        <w:tc>
          <w:tcPr>
            <w:tcW w:w="1276" w:type="dxa"/>
            <w:vAlign w:val="center"/>
          </w:tcPr>
          <w:p w14:paraId="0235EDA9">
            <w:pPr>
              <w:pStyle w:val="13"/>
            </w:pPr>
            <w:r>
              <w:t>城乡义务教育公用经费管理办法</w:t>
            </w:r>
          </w:p>
        </w:tc>
      </w:tr>
      <w:tr w14:paraId="033AB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D40AF">
            <w:pPr>
              <w:pStyle w:val="12"/>
            </w:pPr>
            <w:r>
              <w:t>效益指标</w:t>
            </w:r>
          </w:p>
        </w:tc>
        <w:tc>
          <w:tcPr>
            <w:tcW w:w="2268" w:type="dxa"/>
            <w:vAlign w:val="center"/>
          </w:tcPr>
          <w:p w14:paraId="1355710F">
            <w:pPr>
              <w:pStyle w:val="13"/>
            </w:pPr>
            <w:r>
              <w:t>可持续影响指标</w:t>
            </w:r>
          </w:p>
        </w:tc>
        <w:tc>
          <w:tcPr>
            <w:tcW w:w="2835" w:type="dxa"/>
            <w:vAlign w:val="center"/>
          </w:tcPr>
          <w:p w14:paraId="7783498D">
            <w:pPr>
              <w:pStyle w:val="13"/>
            </w:pPr>
            <w:r>
              <w:t>教育发展水平明显好转</w:t>
            </w:r>
          </w:p>
        </w:tc>
        <w:tc>
          <w:tcPr>
            <w:tcW w:w="5386" w:type="dxa"/>
            <w:vAlign w:val="center"/>
          </w:tcPr>
          <w:p w14:paraId="3A0917A8">
            <w:pPr>
              <w:pStyle w:val="13"/>
            </w:pPr>
            <w:r>
              <w:t>学生受教育年限</w:t>
            </w:r>
          </w:p>
        </w:tc>
        <w:tc>
          <w:tcPr>
            <w:tcW w:w="2268" w:type="dxa"/>
            <w:vAlign w:val="center"/>
          </w:tcPr>
          <w:p w14:paraId="3D8B23D5">
            <w:pPr>
              <w:pStyle w:val="13"/>
            </w:pPr>
            <w:r>
              <w:t>6年</w:t>
            </w:r>
          </w:p>
        </w:tc>
        <w:tc>
          <w:tcPr>
            <w:tcW w:w="1276" w:type="dxa"/>
            <w:vAlign w:val="center"/>
          </w:tcPr>
          <w:p w14:paraId="2CA60865">
            <w:pPr>
              <w:pStyle w:val="13"/>
            </w:pPr>
            <w:r>
              <w:t>城乡义务教育公用经费管理办法</w:t>
            </w:r>
          </w:p>
        </w:tc>
      </w:tr>
      <w:tr w14:paraId="16CBC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708259">
            <w:pPr>
              <w:pStyle w:val="12"/>
            </w:pPr>
            <w:r>
              <w:t>满意度指标</w:t>
            </w:r>
          </w:p>
        </w:tc>
        <w:tc>
          <w:tcPr>
            <w:tcW w:w="2268" w:type="dxa"/>
            <w:vAlign w:val="center"/>
          </w:tcPr>
          <w:p w14:paraId="1FA6BDFA">
            <w:pPr>
              <w:pStyle w:val="13"/>
            </w:pPr>
            <w:r>
              <w:t>服务对象满意度指标</w:t>
            </w:r>
          </w:p>
        </w:tc>
        <w:tc>
          <w:tcPr>
            <w:tcW w:w="2835" w:type="dxa"/>
            <w:vAlign w:val="center"/>
          </w:tcPr>
          <w:p w14:paraId="2F5C750D">
            <w:pPr>
              <w:pStyle w:val="13"/>
            </w:pPr>
            <w:r>
              <w:t>受益学生家长及调查满意度</w:t>
            </w:r>
          </w:p>
        </w:tc>
        <w:tc>
          <w:tcPr>
            <w:tcW w:w="5386" w:type="dxa"/>
            <w:vAlign w:val="center"/>
          </w:tcPr>
          <w:p w14:paraId="078FB84B">
            <w:pPr>
              <w:pStyle w:val="13"/>
            </w:pPr>
            <w:r>
              <w:t>学生、教师及家长对学校教育教学工作满意度情况</w:t>
            </w:r>
          </w:p>
        </w:tc>
        <w:tc>
          <w:tcPr>
            <w:tcW w:w="2268" w:type="dxa"/>
            <w:vAlign w:val="center"/>
          </w:tcPr>
          <w:p w14:paraId="51E7ECBE">
            <w:pPr>
              <w:pStyle w:val="13"/>
            </w:pPr>
            <w:r>
              <w:t>≥95%</w:t>
            </w:r>
          </w:p>
        </w:tc>
        <w:tc>
          <w:tcPr>
            <w:tcW w:w="1276" w:type="dxa"/>
            <w:vAlign w:val="center"/>
          </w:tcPr>
          <w:p w14:paraId="2991DED3">
            <w:pPr>
              <w:pStyle w:val="13"/>
            </w:pPr>
            <w:r>
              <w:t>调查问卷</w:t>
            </w:r>
          </w:p>
        </w:tc>
      </w:tr>
    </w:tbl>
    <w:p w14:paraId="680AEC03">
      <w:pPr>
        <w:sectPr>
          <w:pgSz w:w="16840" w:h="11900" w:orient="landscape"/>
          <w:pgMar w:top="1361" w:right="1020" w:bottom="1134" w:left="1020" w:header="720" w:footer="720" w:gutter="0"/>
          <w:cols w:space="720" w:num="1"/>
        </w:sectPr>
      </w:pPr>
    </w:p>
    <w:p w14:paraId="065AD3AB">
      <w:pPr>
        <w:spacing w:before="0" w:after="0"/>
        <w:ind w:firstLine="560"/>
        <w:jc w:val="left"/>
        <w:outlineLvl w:val="9"/>
      </w:pPr>
      <w:r>
        <w:rPr>
          <w:rFonts w:ascii="方正仿宋_GBK" w:hAnsi="方正仿宋_GBK" w:eastAsia="方正仿宋_GBK" w:cs="方正仿宋_GBK"/>
          <w:b/>
          <w:color w:val="000000"/>
          <w:sz w:val="28"/>
        </w:rPr>
        <w:t>123、市级基数/隆尧县私立希望小学公用经费绩效目标表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F3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90D22">
            <w:pPr>
              <w:pStyle w:val="14"/>
            </w:pPr>
            <w:r>
              <w:t>单位：万元</w:t>
            </w:r>
          </w:p>
        </w:tc>
      </w:tr>
      <w:tr w14:paraId="247FD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E1C11F9">
            <w:pPr>
              <w:pStyle w:val="11"/>
            </w:pPr>
            <w:r>
              <w:t>项目编码</w:t>
            </w:r>
          </w:p>
        </w:tc>
        <w:tc>
          <w:tcPr>
            <w:tcW w:w="5103" w:type="dxa"/>
            <w:gridSpan w:val="2"/>
            <w:vAlign w:val="center"/>
          </w:tcPr>
          <w:p w14:paraId="7BE9896B">
            <w:pPr>
              <w:pStyle w:val="13"/>
            </w:pPr>
            <w:r>
              <w:t>13052525P00000410208F</w:t>
            </w:r>
          </w:p>
        </w:tc>
        <w:tc>
          <w:tcPr>
            <w:tcW w:w="2835" w:type="dxa"/>
            <w:vAlign w:val="center"/>
          </w:tcPr>
          <w:p w14:paraId="0864AEC8">
            <w:pPr>
              <w:pStyle w:val="11"/>
            </w:pPr>
            <w:r>
              <w:t>项目名称</w:t>
            </w:r>
          </w:p>
        </w:tc>
        <w:tc>
          <w:tcPr>
            <w:tcW w:w="6095" w:type="dxa"/>
            <w:gridSpan w:val="3"/>
            <w:vAlign w:val="center"/>
          </w:tcPr>
          <w:p w14:paraId="3F30FA5C">
            <w:pPr>
              <w:pStyle w:val="13"/>
            </w:pPr>
            <w:r>
              <w:t>市级基数/隆尧县私立希望小学公用经费</w:t>
            </w:r>
          </w:p>
        </w:tc>
      </w:tr>
      <w:tr w14:paraId="2F418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BE3F0">
            <w:pPr>
              <w:pStyle w:val="11"/>
            </w:pPr>
            <w:r>
              <w:t>预算规模及资金用途</w:t>
            </w:r>
          </w:p>
        </w:tc>
        <w:tc>
          <w:tcPr>
            <w:tcW w:w="2268" w:type="dxa"/>
            <w:vAlign w:val="center"/>
          </w:tcPr>
          <w:p w14:paraId="23FE8228">
            <w:pPr>
              <w:pStyle w:val="11"/>
            </w:pPr>
            <w:r>
              <w:t>预算数</w:t>
            </w:r>
          </w:p>
        </w:tc>
        <w:tc>
          <w:tcPr>
            <w:tcW w:w="2835" w:type="dxa"/>
            <w:vAlign w:val="center"/>
          </w:tcPr>
          <w:p w14:paraId="794E8411">
            <w:pPr>
              <w:pStyle w:val="13"/>
            </w:pPr>
            <w:r>
              <w:t>6.33</w:t>
            </w:r>
          </w:p>
        </w:tc>
        <w:tc>
          <w:tcPr>
            <w:tcW w:w="2835" w:type="dxa"/>
            <w:vAlign w:val="center"/>
          </w:tcPr>
          <w:p w14:paraId="2837F18C">
            <w:pPr>
              <w:pStyle w:val="11"/>
            </w:pPr>
            <w:r>
              <w:t>其中：财政    资金</w:t>
            </w:r>
          </w:p>
        </w:tc>
        <w:tc>
          <w:tcPr>
            <w:tcW w:w="2551" w:type="dxa"/>
            <w:vAlign w:val="center"/>
          </w:tcPr>
          <w:p w14:paraId="51F9E697">
            <w:pPr>
              <w:pStyle w:val="13"/>
            </w:pPr>
            <w:r>
              <w:t>6.33</w:t>
            </w:r>
          </w:p>
        </w:tc>
        <w:tc>
          <w:tcPr>
            <w:tcW w:w="2268" w:type="dxa"/>
            <w:vAlign w:val="center"/>
          </w:tcPr>
          <w:p w14:paraId="47C22888">
            <w:pPr>
              <w:pStyle w:val="11"/>
            </w:pPr>
            <w:r>
              <w:t>其他资金</w:t>
            </w:r>
          </w:p>
        </w:tc>
        <w:tc>
          <w:tcPr>
            <w:tcW w:w="1276" w:type="dxa"/>
            <w:vAlign w:val="center"/>
          </w:tcPr>
          <w:p w14:paraId="6B8BBCBC">
            <w:pPr>
              <w:pStyle w:val="13"/>
            </w:pPr>
            <w:r>
              <w:t xml:space="preserve"> </w:t>
            </w:r>
          </w:p>
        </w:tc>
      </w:tr>
      <w:tr w14:paraId="71FAE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B8AF8E"/>
        </w:tc>
        <w:tc>
          <w:tcPr>
            <w:tcW w:w="14033" w:type="dxa"/>
            <w:gridSpan w:val="6"/>
            <w:vAlign w:val="center"/>
          </w:tcPr>
          <w:p w14:paraId="6238D75F">
            <w:pPr>
              <w:pStyle w:val="13"/>
            </w:pPr>
            <w:r>
              <w:t>保障义务教育学校正常运转，完成教育教学活动和其他日常工作任务等方面的费用支出。</w:t>
            </w:r>
          </w:p>
        </w:tc>
      </w:tr>
      <w:tr w14:paraId="5C0E8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6F98B">
            <w:pPr>
              <w:pStyle w:val="11"/>
            </w:pPr>
            <w:r>
              <w:t>资金支出计划（%）</w:t>
            </w:r>
          </w:p>
        </w:tc>
        <w:tc>
          <w:tcPr>
            <w:tcW w:w="5103" w:type="dxa"/>
            <w:gridSpan w:val="2"/>
            <w:vAlign w:val="center"/>
          </w:tcPr>
          <w:p w14:paraId="42B68B41">
            <w:pPr>
              <w:pStyle w:val="11"/>
            </w:pPr>
            <w:r>
              <w:t>3月底</w:t>
            </w:r>
          </w:p>
        </w:tc>
        <w:tc>
          <w:tcPr>
            <w:tcW w:w="2835" w:type="dxa"/>
            <w:vAlign w:val="center"/>
          </w:tcPr>
          <w:p w14:paraId="06D43BA0">
            <w:pPr>
              <w:pStyle w:val="11"/>
            </w:pPr>
            <w:r>
              <w:t>6月底</w:t>
            </w:r>
          </w:p>
        </w:tc>
        <w:tc>
          <w:tcPr>
            <w:tcW w:w="2551" w:type="dxa"/>
            <w:vAlign w:val="center"/>
          </w:tcPr>
          <w:p w14:paraId="76957BA2">
            <w:pPr>
              <w:pStyle w:val="11"/>
            </w:pPr>
            <w:r>
              <w:t>10月底</w:t>
            </w:r>
          </w:p>
        </w:tc>
        <w:tc>
          <w:tcPr>
            <w:tcW w:w="3544" w:type="dxa"/>
            <w:gridSpan w:val="2"/>
            <w:vAlign w:val="center"/>
          </w:tcPr>
          <w:p w14:paraId="214FD3C5">
            <w:pPr>
              <w:pStyle w:val="11"/>
            </w:pPr>
            <w:r>
              <w:t>12月底</w:t>
            </w:r>
          </w:p>
        </w:tc>
      </w:tr>
      <w:tr w14:paraId="5404B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2BD5CE28"/>
        </w:tc>
        <w:tc>
          <w:tcPr>
            <w:tcW w:w="5103" w:type="dxa"/>
            <w:gridSpan w:val="2"/>
            <w:vAlign w:val="center"/>
          </w:tcPr>
          <w:p w14:paraId="23A785B2">
            <w:pPr>
              <w:pStyle w:val="12"/>
            </w:pPr>
            <w:r>
              <w:t xml:space="preserve"> </w:t>
            </w:r>
          </w:p>
        </w:tc>
        <w:tc>
          <w:tcPr>
            <w:tcW w:w="2835" w:type="dxa"/>
            <w:vAlign w:val="center"/>
          </w:tcPr>
          <w:p w14:paraId="61572F79">
            <w:pPr>
              <w:pStyle w:val="12"/>
            </w:pPr>
            <w:r>
              <w:t xml:space="preserve"> </w:t>
            </w:r>
          </w:p>
        </w:tc>
        <w:tc>
          <w:tcPr>
            <w:tcW w:w="2551" w:type="dxa"/>
            <w:vAlign w:val="center"/>
          </w:tcPr>
          <w:p w14:paraId="17AD9E69">
            <w:pPr>
              <w:pStyle w:val="12"/>
            </w:pPr>
            <w:r>
              <w:t xml:space="preserve"> </w:t>
            </w:r>
          </w:p>
        </w:tc>
        <w:tc>
          <w:tcPr>
            <w:tcW w:w="3544" w:type="dxa"/>
            <w:gridSpan w:val="2"/>
            <w:vAlign w:val="center"/>
          </w:tcPr>
          <w:p w14:paraId="3DDA40CB">
            <w:pPr>
              <w:pStyle w:val="12"/>
            </w:pPr>
            <w:r>
              <w:t>100%</w:t>
            </w:r>
          </w:p>
        </w:tc>
      </w:tr>
      <w:tr w14:paraId="68CFA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C5066">
            <w:pPr>
              <w:pStyle w:val="11"/>
            </w:pPr>
            <w:r>
              <w:t>绩效目标</w:t>
            </w:r>
          </w:p>
        </w:tc>
        <w:tc>
          <w:tcPr>
            <w:tcW w:w="14033" w:type="dxa"/>
            <w:gridSpan w:val="6"/>
            <w:vAlign w:val="center"/>
          </w:tcPr>
          <w:p w14:paraId="5B220C98">
            <w:pPr>
              <w:pStyle w:val="13"/>
            </w:pPr>
            <w:r>
              <w:t>1.保障义务教育学校正常运转，完成教育教学活动和其他日常工作任务等方面的费用支出。</w:t>
            </w:r>
          </w:p>
        </w:tc>
      </w:tr>
    </w:tbl>
    <w:p w14:paraId="44F1EE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2D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95D16">
            <w:pPr>
              <w:pStyle w:val="11"/>
            </w:pPr>
            <w:r>
              <w:t>一级指标</w:t>
            </w:r>
          </w:p>
        </w:tc>
        <w:tc>
          <w:tcPr>
            <w:tcW w:w="2268" w:type="dxa"/>
            <w:vAlign w:val="center"/>
          </w:tcPr>
          <w:p w14:paraId="70E27BB8">
            <w:pPr>
              <w:pStyle w:val="11"/>
            </w:pPr>
            <w:r>
              <w:t>二级指标</w:t>
            </w:r>
          </w:p>
        </w:tc>
        <w:tc>
          <w:tcPr>
            <w:tcW w:w="2835" w:type="dxa"/>
            <w:vAlign w:val="center"/>
          </w:tcPr>
          <w:p w14:paraId="28315D48">
            <w:pPr>
              <w:pStyle w:val="11"/>
            </w:pPr>
            <w:r>
              <w:t>三级指标</w:t>
            </w:r>
          </w:p>
        </w:tc>
        <w:tc>
          <w:tcPr>
            <w:tcW w:w="5386" w:type="dxa"/>
            <w:vAlign w:val="center"/>
          </w:tcPr>
          <w:p w14:paraId="75E799E6">
            <w:pPr>
              <w:pStyle w:val="11"/>
            </w:pPr>
            <w:r>
              <w:t>绩效指标描述</w:t>
            </w:r>
          </w:p>
        </w:tc>
        <w:tc>
          <w:tcPr>
            <w:tcW w:w="2268" w:type="dxa"/>
            <w:vAlign w:val="center"/>
          </w:tcPr>
          <w:p w14:paraId="3964A50C">
            <w:pPr>
              <w:pStyle w:val="11"/>
            </w:pPr>
            <w:r>
              <w:t>指标值</w:t>
            </w:r>
          </w:p>
        </w:tc>
        <w:tc>
          <w:tcPr>
            <w:tcW w:w="1276" w:type="dxa"/>
            <w:vAlign w:val="center"/>
          </w:tcPr>
          <w:p w14:paraId="66ECD494">
            <w:pPr>
              <w:pStyle w:val="11"/>
            </w:pPr>
            <w:r>
              <w:t>指标值确定依据</w:t>
            </w:r>
          </w:p>
        </w:tc>
      </w:tr>
      <w:tr w14:paraId="78C5D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2F8F7">
            <w:pPr>
              <w:pStyle w:val="12"/>
            </w:pPr>
            <w:r>
              <w:t>产出指标</w:t>
            </w:r>
          </w:p>
        </w:tc>
        <w:tc>
          <w:tcPr>
            <w:tcW w:w="2268" w:type="dxa"/>
            <w:vAlign w:val="center"/>
          </w:tcPr>
          <w:p w14:paraId="43D13649">
            <w:pPr>
              <w:pStyle w:val="13"/>
            </w:pPr>
            <w:r>
              <w:t>数量指标</w:t>
            </w:r>
          </w:p>
        </w:tc>
        <w:tc>
          <w:tcPr>
            <w:tcW w:w="2835" w:type="dxa"/>
            <w:vAlign w:val="center"/>
          </w:tcPr>
          <w:p w14:paraId="5E69BA5F">
            <w:pPr>
              <w:pStyle w:val="13"/>
            </w:pPr>
            <w:r>
              <w:t>适龄在校生</w:t>
            </w:r>
          </w:p>
        </w:tc>
        <w:tc>
          <w:tcPr>
            <w:tcW w:w="5386" w:type="dxa"/>
            <w:vAlign w:val="center"/>
          </w:tcPr>
          <w:p w14:paraId="7871B9EF">
            <w:pPr>
              <w:pStyle w:val="13"/>
            </w:pPr>
            <w:r>
              <w:t>适龄在校就读学生人数</w:t>
            </w:r>
          </w:p>
        </w:tc>
        <w:tc>
          <w:tcPr>
            <w:tcW w:w="2268" w:type="dxa"/>
            <w:vAlign w:val="center"/>
          </w:tcPr>
          <w:p w14:paraId="7D9ABD1C">
            <w:pPr>
              <w:pStyle w:val="13"/>
            </w:pPr>
            <w:r>
              <w:t>135人</w:t>
            </w:r>
          </w:p>
        </w:tc>
        <w:tc>
          <w:tcPr>
            <w:tcW w:w="1276" w:type="dxa"/>
            <w:vAlign w:val="center"/>
          </w:tcPr>
          <w:p w14:paraId="1867BBFD">
            <w:pPr>
              <w:pStyle w:val="13"/>
            </w:pPr>
            <w:r>
              <w:t>城乡义务教育公用经费管理办法</w:t>
            </w:r>
          </w:p>
        </w:tc>
      </w:tr>
      <w:tr w14:paraId="1A763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7D850F3D"/>
        </w:tc>
        <w:tc>
          <w:tcPr>
            <w:tcW w:w="2268" w:type="dxa"/>
            <w:vAlign w:val="center"/>
          </w:tcPr>
          <w:p w14:paraId="1EFCC0B2">
            <w:pPr>
              <w:pStyle w:val="13"/>
            </w:pPr>
            <w:r>
              <w:t>质量指标</w:t>
            </w:r>
          </w:p>
        </w:tc>
        <w:tc>
          <w:tcPr>
            <w:tcW w:w="2835" w:type="dxa"/>
            <w:vAlign w:val="center"/>
          </w:tcPr>
          <w:p w14:paraId="54B8BF07">
            <w:pPr>
              <w:pStyle w:val="13"/>
            </w:pPr>
            <w:r>
              <w:t>预算控制率</w:t>
            </w:r>
          </w:p>
        </w:tc>
        <w:tc>
          <w:tcPr>
            <w:tcW w:w="5386" w:type="dxa"/>
            <w:vAlign w:val="center"/>
          </w:tcPr>
          <w:p w14:paraId="6BDDE562">
            <w:pPr>
              <w:pStyle w:val="13"/>
            </w:pPr>
            <w:r>
              <w:t>预算执行</w:t>
            </w:r>
          </w:p>
        </w:tc>
        <w:tc>
          <w:tcPr>
            <w:tcW w:w="2268" w:type="dxa"/>
            <w:vAlign w:val="center"/>
          </w:tcPr>
          <w:p w14:paraId="3AF6467C">
            <w:pPr>
              <w:pStyle w:val="13"/>
            </w:pPr>
            <w:r>
              <w:t>≥95%</w:t>
            </w:r>
          </w:p>
        </w:tc>
        <w:tc>
          <w:tcPr>
            <w:tcW w:w="1276" w:type="dxa"/>
            <w:vAlign w:val="center"/>
          </w:tcPr>
          <w:p w14:paraId="727C7661">
            <w:pPr>
              <w:pStyle w:val="13"/>
            </w:pPr>
            <w:r>
              <w:t>城乡义务教育公用经费管理办法</w:t>
            </w:r>
          </w:p>
        </w:tc>
      </w:tr>
      <w:tr w14:paraId="2D4E6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6A77"/>
        </w:tc>
        <w:tc>
          <w:tcPr>
            <w:tcW w:w="2268" w:type="dxa"/>
            <w:vAlign w:val="center"/>
          </w:tcPr>
          <w:p w14:paraId="28E349ED">
            <w:pPr>
              <w:pStyle w:val="13"/>
            </w:pPr>
            <w:r>
              <w:t>时效指标</w:t>
            </w:r>
          </w:p>
        </w:tc>
        <w:tc>
          <w:tcPr>
            <w:tcW w:w="2835" w:type="dxa"/>
            <w:vAlign w:val="center"/>
          </w:tcPr>
          <w:p w14:paraId="278E01B4">
            <w:pPr>
              <w:pStyle w:val="13"/>
            </w:pPr>
            <w:r>
              <w:t>资金支付率</w:t>
            </w:r>
          </w:p>
        </w:tc>
        <w:tc>
          <w:tcPr>
            <w:tcW w:w="5386" w:type="dxa"/>
            <w:vAlign w:val="center"/>
          </w:tcPr>
          <w:p w14:paraId="742993E4">
            <w:pPr>
              <w:pStyle w:val="13"/>
            </w:pPr>
            <w:r>
              <w:t>按照序时进度完成资金支付</w:t>
            </w:r>
          </w:p>
        </w:tc>
        <w:tc>
          <w:tcPr>
            <w:tcW w:w="2268" w:type="dxa"/>
            <w:vAlign w:val="center"/>
          </w:tcPr>
          <w:p w14:paraId="21F57DDC">
            <w:pPr>
              <w:pStyle w:val="13"/>
            </w:pPr>
            <w:r>
              <w:t>≥100%</w:t>
            </w:r>
          </w:p>
        </w:tc>
        <w:tc>
          <w:tcPr>
            <w:tcW w:w="1276" w:type="dxa"/>
            <w:vAlign w:val="center"/>
          </w:tcPr>
          <w:p w14:paraId="54B39ABF">
            <w:pPr>
              <w:pStyle w:val="13"/>
            </w:pPr>
            <w:r>
              <w:t>城乡义务教育公用经费管理办法</w:t>
            </w:r>
          </w:p>
        </w:tc>
      </w:tr>
      <w:tr w14:paraId="08F5C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B58E1"/>
        </w:tc>
        <w:tc>
          <w:tcPr>
            <w:tcW w:w="2268" w:type="dxa"/>
            <w:vAlign w:val="center"/>
          </w:tcPr>
          <w:p w14:paraId="0EFFDFE7">
            <w:pPr>
              <w:pStyle w:val="13"/>
            </w:pPr>
            <w:r>
              <w:t>成本指标</w:t>
            </w:r>
          </w:p>
        </w:tc>
        <w:tc>
          <w:tcPr>
            <w:tcW w:w="2835" w:type="dxa"/>
            <w:vAlign w:val="center"/>
          </w:tcPr>
          <w:p w14:paraId="3D986513">
            <w:pPr>
              <w:pStyle w:val="13"/>
            </w:pPr>
            <w:r>
              <w:t>生均拨款标准</w:t>
            </w:r>
          </w:p>
        </w:tc>
        <w:tc>
          <w:tcPr>
            <w:tcW w:w="5386" w:type="dxa"/>
            <w:vAlign w:val="center"/>
          </w:tcPr>
          <w:p w14:paraId="0CBE2098">
            <w:pPr>
              <w:pStyle w:val="13"/>
            </w:pPr>
            <w:r>
              <w:t>小学：（基本标准720元、寄宿生300元、取暖120元）/生/学年；随班就读学生：标准6000元/生/学年。</w:t>
            </w:r>
          </w:p>
        </w:tc>
        <w:tc>
          <w:tcPr>
            <w:tcW w:w="2268" w:type="dxa"/>
            <w:vAlign w:val="center"/>
          </w:tcPr>
          <w:p w14:paraId="5556AAC6">
            <w:pPr>
              <w:pStyle w:val="13"/>
            </w:pPr>
            <w:r>
              <w:t>840元</w:t>
            </w:r>
          </w:p>
        </w:tc>
        <w:tc>
          <w:tcPr>
            <w:tcW w:w="1276" w:type="dxa"/>
            <w:vAlign w:val="center"/>
          </w:tcPr>
          <w:p w14:paraId="2BEDC55D">
            <w:pPr>
              <w:pStyle w:val="13"/>
            </w:pPr>
            <w:r>
              <w:t>城乡义务教育公用经费管理办法</w:t>
            </w:r>
          </w:p>
        </w:tc>
      </w:tr>
      <w:tr w14:paraId="39FCD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125AB">
            <w:pPr>
              <w:pStyle w:val="12"/>
            </w:pPr>
            <w:r>
              <w:t>效益指标</w:t>
            </w:r>
          </w:p>
        </w:tc>
        <w:tc>
          <w:tcPr>
            <w:tcW w:w="2268" w:type="dxa"/>
            <w:vAlign w:val="center"/>
          </w:tcPr>
          <w:p w14:paraId="299769FA">
            <w:pPr>
              <w:pStyle w:val="13"/>
            </w:pPr>
            <w:r>
              <w:t>可持续影响指标</w:t>
            </w:r>
          </w:p>
        </w:tc>
        <w:tc>
          <w:tcPr>
            <w:tcW w:w="2835" w:type="dxa"/>
            <w:vAlign w:val="center"/>
          </w:tcPr>
          <w:p w14:paraId="19D75544">
            <w:pPr>
              <w:pStyle w:val="13"/>
            </w:pPr>
            <w:r>
              <w:t>教育发展水平明显好转</w:t>
            </w:r>
          </w:p>
        </w:tc>
        <w:tc>
          <w:tcPr>
            <w:tcW w:w="5386" w:type="dxa"/>
            <w:vAlign w:val="center"/>
          </w:tcPr>
          <w:p w14:paraId="7D989F5C">
            <w:pPr>
              <w:pStyle w:val="13"/>
            </w:pPr>
            <w:r>
              <w:t>学生受教育年限</w:t>
            </w:r>
          </w:p>
        </w:tc>
        <w:tc>
          <w:tcPr>
            <w:tcW w:w="2268" w:type="dxa"/>
            <w:vAlign w:val="center"/>
          </w:tcPr>
          <w:p w14:paraId="60706299">
            <w:pPr>
              <w:pStyle w:val="13"/>
            </w:pPr>
            <w:r>
              <w:t>6年</w:t>
            </w:r>
          </w:p>
        </w:tc>
        <w:tc>
          <w:tcPr>
            <w:tcW w:w="1276" w:type="dxa"/>
            <w:vAlign w:val="center"/>
          </w:tcPr>
          <w:p w14:paraId="32D630D6">
            <w:pPr>
              <w:pStyle w:val="13"/>
            </w:pPr>
            <w:r>
              <w:t>城乡义务教育公用经费管理办法</w:t>
            </w:r>
          </w:p>
        </w:tc>
      </w:tr>
      <w:tr w14:paraId="06D3C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3BD0F">
            <w:pPr>
              <w:pStyle w:val="12"/>
            </w:pPr>
            <w:r>
              <w:t>满意度指标</w:t>
            </w:r>
          </w:p>
        </w:tc>
        <w:tc>
          <w:tcPr>
            <w:tcW w:w="2268" w:type="dxa"/>
            <w:vAlign w:val="center"/>
          </w:tcPr>
          <w:p w14:paraId="534A5267">
            <w:pPr>
              <w:pStyle w:val="13"/>
            </w:pPr>
            <w:r>
              <w:t>服务对象满意度指标</w:t>
            </w:r>
          </w:p>
        </w:tc>
        <w:tc>
          <w:tcPr>
            <w:tcW w:w="2835" w:type="dxa"/>
            <w:vAlign w:val="center"/>
          </w:tcPr>
          <w:p w14:paraId="3182AADE">
            <w:pPr>
              <w:pStyle w:val="13"/>
            </w:pPr>
            <w:r>
              <w:t>受益学生家长及调查满意度</w:t>
            </w:r>
          </w:p>
        </w:tc>
        <w:tc>
          <w:tcPr>
            <w:tcW w:w="5386" w:type="dxa"/>
            <w:vAlign w:val="center"/>
          </w:tcPr>
          <w:p w14:paraId="6EA8E5EA">
            <w:pPr>
              <w:pStyle w:val="13"/>
            </w:pPr>
            <w:r>
              <w:t>学生、教师及家长对学校教育教学工作满意度情况</w:t>
            </w:r>
          </w:p>
        </w:tc>
        <w:tc>
          <w:tcPr>
            <w:tcW w:w="2268" w:type="dxa"/>
            <w:vAlign w:val="center"/>
          </w:tcPr>
          <w:p w14:paraId="6BFC2149">
            <w:pPr>
              <w:pStyle w:val="13"/>
            </w:pPr>
            <w:r>
              <w:t>≥95%</w:t>
            </w:r>
          </w:p>
        </w:tc>
        <w:tc>
          <w:tcPr>
            <w:tcW w:w="1276" w:type="dxa"/>
            <w:vAlign w:val="center"/>
          </w:tcPr>
          <w:p w14:paraId="2C7A5C55">
            <w:pPr>
              <w:pStyle w:val="13"/>
            </w:pPr>
            <w:r>
              <w:t>调查问卷</w:t>
            </w:r>
          </w:p>
        </w:tc>
      </w:tr>
    </w:tbl>
    <w:p w14:paraId="73B1C17C">
      <w:pPr>
        <w:sectPr>
          <w:pgSz w:w="16840" w:h="11900" w:orient="landscape"/>
          <w:pgMar w:top="1361" w:right="1020" w:bottom="1134" w:left="1020" w:header="720" w:footer="720" w:gutter="0"/>
          <w:cols w:space="720" w:num="1"/>
        </w:sectPr>
      </w:pPr>
    </w:p>
    <w:p w14:paraId="59BFBCEA">
      <w:pPr>
        <w:spacing w:before="0" w:after="0"/>
        <w:ind w:firstLine="560"/>
        <w:jc w:val="left"/>
        <w:outlineLvl w:val="9"/>
      </w:pPr>
      <w:r>
        <w:rPr>
          <w:rFonts w:ascii="方正仿宋_GBK" w:hAnsi="方正仿宋_GBK" w:eastAsia="方正仿宋_GBK" w:cs="方正仿宋_GBK"/>
          <w:b/>
          <w:color w:val="000000"/>
          <w:sz w:val="28"/>
        </w:rPr>
        <w:t>124、市级基数/隆尧县私立育德小学公用经费绩效目标表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FE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20AEF">
            <w:pPr>
              <w:pStyle w:val="14"/>
            </w:pPr>
            <w:r>
              <w:t>单位：万元</w:t>
            </w:r>
          </w:p>
        </w:tc>
      </w:tr>
      <w:tr w14:paraId="60DDE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936B70">
            <w:pPr>
              <w:pStyle w:val="11"/>
            </w:pPr>
            <w:r>
              <w:t>项目编码</w:t>
            </w:r>
          </w:p>
        </w:tc>
        <w:tc>
          <w:tcPr>
            <w:tcW w:w="5103" w:type="dxa"/>
            <w:gridSpan w:val="2"/>
            <w:vAlign w:val="center"/>
          </w:tcPr>
          <w:p w14:paraId="291AD746">
            <w:pPr>
              <w:pStyle w:val="13"/>
            </w:pPr>
            <w:r>
              <w:t>13052525P000004102093</w:t>
            </w:r>
          </w:p>
        </w:tc>
        <w:tc>
          <w:tcPr>
            <w:tcW w:w="2835" w:type="dxa"/>
            <w:vAlign w:val="center"/>
          </w:tcPr>
          <w:p w14:paraId="672D47D8">
            <w:pPr>
              <w:pStyle w:val="11"/>
            </w:pPr>
            <w:r>
              <w:t>项目名称</w:t>
            </w:r>
          </w:p>
        </w:tc>
        <w:tc>
          <w:tcPr>
            <w:tcW w:w="6095" w:type="dxa"/>
            <w:gridSpan w:val="3"/>
            <w:vAlign w:val="center"/>
          </w:tcPr>
          <w:p w14:paraId="3BA2D2FC">
            <w:pPr>
              <w:pStyle w:val="13"/>
            </w:pPr>
            <w:r>
              <w:t>市级基数/隆尧县私立育德小学公用经费</w:t>
            </w:r>
          </w:p>
        </w:tc>
      </w:tr>
      <w:tr w14:paraId="5D2E0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474CD">
            <w:pPr>
              <w:pStyle w:val="11"/>
            </w:pPr>
            <w:r>
              <w:t>预算规模及资金用途</w:t>
            </w:r>
          </w:p>
        </w:tc>
        <w:tc>
          <w:tcPr>
            <w:tcW w:w="2268" w:type="dxa"/>
            <w:vAlign w:val="center"/>
          </w:tcPr>
          <w:p w14:paraId="2FC3C929">
            <w:pPr>
              <w:pStyle w:val="11"/>
            </w:pPr>
            <w:r>
              <w:t>预算数</w:t>
            </w:r>
          </w:p>
        </w:tc>
        <w:tc>
          <w:tcPr>
            <w:tcW w:w="2835" w:type="dxa"/>
            <w:vAlign w:val="center"/>
          </w:tcPr>
          <w:p w14:paraId="2032DE2E">
            <w:pPr>
              <w:pStyle w:val="13"/>
            </w:pPr>
            <w:r>
              <w:t>12.64</w:t>
            </w:r>
          </w:p>
        </w:tc>
        <w:tc>
          <w:tcPr>
            <w:tcW w:w="2835" w:type="dxa"/>
            <w:vAlign w:val="center"/>
          </w:tcPr>
          <w:p w14:paraId="1D0AE39C">
            <w:pPr>
              <w:pStyle w:val="11"/>
            </w:pPr>
            <w:r>
              <w:t>其中：财政    资金</w:t>
            </w:r>
          </w:p>
        </w:tc>
        <w:tc>
          <w:tcPr>
            <w:tcW w:w="2551" w:type="dxa"/>
            <w:vAlign w:val="center"/>
          </w:tcPr>
          <w:p w14:paraId="0E680A8B">
            <w:pPr>
              <w:pStyle w:val="13"/>
            </w:pPr>
            <w:r>
              <w:t>12.64</w:t>
            </w:r>
          </w:p>
        </w:tc>
        <w:tc>
          <w:tcPr>
            <w:tcW w:w="2268" w:type="dxa"/>
            <w:vAlign w:val="center"/>
          </w:tcPr>
          <w:p w14:paraId="5C0D9482">
            <w:pPr>
              <w:pStyle w:val="11"/>
            </w:pPr>
            <w:r>
              <w:t>其他资金</w:t>
            </w:r>
          </w:p>
        </w:tc>
        <w:tc>
          <w:tcPr>
            <w:tcW w:w="1276" w:type="dxa"/>
            <w:vAlign w:val="center"/>
          </w:tcPr>
          <w:p w14:paraId="59C18182">
            <w:pPr>
              <w:pStyle w:val="13"/>
            </w:pPr>
            <w:r>
              <w:t xml:space="preserve"> </w:t>
            </w:r>
          </w:p>
        </w:tc>
      </w:tr>
      <w:tr w14:paraId="3A6ED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FF36B7"/>
        </w:tc>
        <w:tc>
          <w:tcPr>
            <w:tcW w:w="14033" w:type="dxa"/>
            <w:gridSpan w:val="6"/>
            <w:vAlign w:val="center"/>
          </w:tcPr>
          <w:p w14:paraId="365B05E1">
            <w:pPr>
              <w:pStyle w:val="13"/>
            </w:pPr>
            <w:r>
              <w:t>保障义务教育学校正常运转，完成教育教学活动和其他日常工作任务等方面的费用支出。</w:t>
            </w:r>
          </w:p>
        </w:tc>
      </w:tr>
      <w:tr w14:paraId="655D4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A9C8A">
            <w:pPr>
              <w:pStyle w:val="11"/>
            </w:pPr>
            <w:r>
              <w:t>资金支出计划（%）</w:t>
            </w:r>
          </w:p>
        </w:tc>
        <w:tc>
          <w:tcPr>
            <w:tcW w:w="5103" w:type="dxa"/>
            <w:gridSpan w:val="2"/>
            <w:vAlign w:val="center"/>
          </w:tcPr>
          <w:p w14:paraId="0111F110">
            <w:pPr>
              <w:pStyle w:val="11"/>
            </w:pPr>
            <w:r>
              <w:t>3月底</w:t>
            </w:r>
          </w:p>
        </w:tc>
        <w:tc>
          <w:tcPr>
            <w:tcW w:w="2835" w:type="dxa"/>
            <w:vAlign w:val="center"/>
          </w:tcPr>
          <w:p w14:paraId="4EC6E62C">
            <w:pPr>
              <w:pStyle w:val="11"/>
            </w:pPr>
            <w:r>
              <w:t>6月底</w:t>
            </w:r>
          </w:p>
        </w:tc>
        <w:tc>
          <w:tcPr>
            <w:tcW w:w="2551" w:type="dxa"/>
            <w:vAlign w:val="center"/>
          </w:tcPr>
          <w:p w14:paraId="06142B9C">
            <w:pPr>
              <w:pStyle w:val="11"/>
            </w:pPr>
            <w:r>
              <w:t>10月底</w:t>
            </w:r>
          </w:p>
        </w:tc>
        <w:tc>
          <w:tcPr>
            <w:tcW w:w="3544" w:type="dxa"/>
            <w:gridSpan w:val="2"/>
            <w:vAlign w:val="center"/>
          </w:tcPr>
          <w:p w14:paraId="4E2CC7A9">
            <w:pPr>
              <w:pStyle w:val="11"/>
            </w:pPr>
            <w:r>
              <w:t>12月底</w:t>
            </w:r>
          </w:p>
        </w:tc>
      </w:tr>
      <w:tr w14:paraId="7312B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70E60"/>
        </w:tc>
        <w:tc>
          <w:tcPr>
            <w:tcW w:w="5103" w:type="dxa"/>
            <w:gridSpan w:val="2"/>
            <w:vAlign w:val="center"/>
          </w:tcPr>
          <w:p w14:paraId="662FA253">
            <w:pPr>
              <w:pStyle w:val="12"/>
            </w:pPr>
            <w:r>
              <w:t xml:space="preserve"> </w:t>
            </w:r>
          </w:p>
        </w:tc>
        <w:tc>
          <w:tcPr>
            <w:tcW w:w="2835" w:type="dxa"/>
            <w:vAlign w:val="center"/>
          </w:tcPr>
          <w:p w14:paraId="2F75CCF9">
            <w:pPr>
              <w:pStyle w:val="12"/>
            </w:pPr>
            <w:r>
              <w:t xml:space="preserve"> </w:t>
            </w:r>
          </w:p>
        </w:tc>
        <w:tc>
          <w:tcPr>
            <w:tcW w:w="2551" w:type="dxa"/>
            <w:vAlign w:val="center"/>
          </w:tcPr>
          <w:p w14:paraId="0652E4FF">
            <w:pPr>
              <w:pStyle w:val="12"/>
            </w:pPr>
            <w:r>
              <w:t xml:space="preserve"> </w:t>
            </w:r>
          </w:p>
        </w:tc>
        <w:tc>
          <w:tcPr>
            <w:tcW w:w="3544" w:type="dxa"/>
            <w:gridSpan w:val="2"/>
            <w:vAlign w:val="center"/>
          </w:tcPr>
          <w:p w14:paraId="0C08B167">
            <w:pPr>
              <w:pStyle w:val="12"/>
            </w:pPr>
            <w:r>
              <w:t>100%</w:t>
            </w:r>
          </w:p>
        </w:tc>
      </w:tr>
      <w:tr w14:paraId="43B59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B00927">
            <w:pPr>
              <w:pStyle w:val="11"/>
            </w:pPr>
            <w:r>
              <w:t>绩效目标</w:t>
            </w:r>
          </w:p>
        </w:tc>
        <w:tc>
          <w:tcPr>
            <w:tcW w:w="14033" w:type="dxa"/>
            <w:gridSpan w:val="6"/>
            <w:vAlign w:val="center"/>
          </w:tcPr>
          <w:p w14:paraId="0BD2DA1A">
            <w:pPr>
              <w:pStyle w:val="13"/>
            </w:pPr>
            <w:r>
              <w:t>1.保障义务教育学校正常运转，完成教育教学活动和其他日常工作任务等方面的费用支出。</w:t>
            </w:r>
          </w:p>
        </w:tc>
      </w:tr>
    </w:tbl>
    <w:p w14:paraId="476302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3D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219AE">
            <w:pPr>
              <w:pStyle w:val="11"/>
            </w:pPr>
            <w:r>
              <w:t>一级指标</w:t>
            </w:r>
          </w:p>
        </w:tc>
        <w:tc>
          <w:tcPr>
            <w:tcW w:w="2268" w:type="dxa"/>
            <w:vAlign w:val="center"/>
          </w:tcPr>
          <w:p w14:paraId="74C782E1">
            <w:pPr>
              <w:pStyle w:val="11"/>
            </w:pPr>
            <w:r>
              <w:t>二级指标</w:t>
            </w:r>
          </w:p>
        </w:tc>
        <w:tc>
          <w:tcPr>
            <w:tcW w:w="2835" w:type="dxa"/>
            <w:vAlign w:val="center"/>
          </w:tcPr>
          <w:p w14:paraId="4E08A732">
            <w:pPr>
              <w:pStyle w:val="11"/>
            </w:pPr>
            <w:r>
              <w:t>三级指标</w:t>
            </w:r>
          </w:p>
        </w:tc>
        <w:tc>
          <w:tcPr>
            <w:tcW w:w="5386" w:type="dxa"/>
            <w:vAlign w:val="center"/>
          </w:tcPr>
          <w:p w14:paraId="2D68E856">
            <w:pPr>
              <w:pStyle w:val="11"/>
            </w:pPr>
            <w:r>
              <w:t>绩效指标描述</w:t>
            </w:r>
          </w:p>
        </w:tc>
        <w:tc>
          <w:tcPr>
            <w:tcW w:w="2268" w:type="dxa"/>
            <w:vAlign w:val="center"/>
          </w:tcPr>
          <w:p w14:paraId="3A523571">
            <w:pPr>
              <w:pStyle w:val="11"/>
            </w:pPr>
            <w:r>
              <w:t>指标值</w:t>
            </w:r>
          </w:p>
        </w:tc>
        <w:tc>
          <w:tcPr>
            <w:tcW w:w="1276" w:type="dxa"/>
            <w:vAlign w:val="center"/>
          </w:tcPr>
          <w:p w14:paraId="74A85B86">
            <w:pPr>
              <w:pStyle w:val="11"/>
            </w:pPr>
            <w:r>
              <w:t>指标值确定依据</w:t>
            </w:r>
          </w:p>
        </w:tc>
      </w:tr>
      <w:tr w14:paraId="61280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CA7AC">
            <w:pPr>
              <w:pStyle w:val="12"/>
            </w:pPr>
            <w:r>
              <w:t>产出指标</w:t>
            </w:r>
          </w:p>
        </w:tc>
        <w:tc>
          <w:tcPr>
            <w:tcW w:w="2268" w:type="dxa"/>
            <w:vAlign w:val="center"/>
          </w:tcPr>
          <w:p w14:paraId="2CFAC818">
            <w:pPr>
              <w:pStyle w:val="13"/>
            </w:pPr>
            <w:r>
              <w:t>数量指标</w:t>
            </w:r>
          </w:p>
        </w:tc>
        <w:tc>
          <w:tcPr>
            <w:tcW w:w="2835" w:type="dxa"/>
            <w:vAlign w:val="center"/>
          </w:tcPr>
          <w:p w14:paraId="45D49523">
            <w:pPr>
              <w:pStyle w:val="13"/>
            </w:pPr>
            <w:r>
              <w:t>适龄在校生</w:t>
            </w:r>
          </w:p>
        </w:tc>
        <w:tc>
          <w:tcPr>
            <w:tcW w:w="5386" w:type="dxa"/>
            <w:vAlign w:val="center"/>
          </w:tcPr>
          <w:p w14:paraId="50FDB8A1">
            <w:pPr>
              <w:pStyle w:val="13"/>
            </w:pPr>
            <w:r>
              <w:t>适龄在校就读学生人数</w:t>
            </w:r>
          </w:p>
        </w:tc>
        <w:tc>
          <w:tcPr>
            <w:tcW w:w="2268" w:type="dxa"/>
            <w:vAlign w:val="center"/>
          </w:tcPr>
          <w:p w14:paraId="236EDC4E">
            <w:pPr>
              <w:pStyle w:val="13"/>
            </w:pPr>
            <w:r>
              <w:t>231人</w:t>
            </w:r>
          </w:p>
        </w:tc>
        <w:tc>
          <w:tcPr>
            <w:tcW w:w="1276" w:type="dxa"/>
            <w:vAlign w:val="center"/>
          </w:tcPr>
          <w:p w14:paraId="01AFA6CD">
            <w:pPr>
              <w:pStyle w:val="13"/>
            </w:pPr>
            <w:r>
              <w:t>城乡义务教育公用经费管理办法</w:t>
            </w:r>
          </w:p>
        </w:tc>
      </w:tr>
      <w:tr w14:paraId="66DBF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7055A"/>
        </w:tc>
        <w:tc>
          <w:tcPr>
            <w:tcW w:w="2268" w:type="dxa"/>
            <w:vAlign w:val="center"/>
          </w:tcPr>
          <w:p w14:paraId="7FD47062">
            <w:pPr>
              <w:pStyle w:val="13"/>
            </w:pPr>
            <w:r>
              <w:t>质量指标</w:t>
            </w:r>
          </w:p>
        </w:tc>
        <w:tc>
          <w:tcPr>
            <w:tcW w:w="2835" w:type="dxa"/>
            <w:vAlign w:val="center"/>
          </w:tcPr>
          <w:p w14:paraId="0666F70A">
            <w:pPr>
              <w:pStyle w:val="13"/>
            </w:pPr>
            <w:r>
              <w:t>预算控制率</w:t>
            </w:r>
          </w:p>
        </w:tc>
        <w:tc>
          <w:tcPr>
            <w:tcW w:w="5386" w:type="dxa"/>
            <w:vAlign w:val="center"/>
          </w:tcPr>
          <w:p w14:paraId="5D45CA3B">
            <w:pPr>
              <w:pStyle w:val="13"/>
            </w:pPr>
            <w:r>
              <w:t>预算执行</w:t>
            </w:r>
          </w:p>
        </w:tc>
        <w:tc>
          <w:tcPr>
            <w:tcW w:w="2268" w:type="dxa"/>
            <w:vAlign w:val="center"/>
          </w:tcPr>
          <w:p w14:paraId="69A3DEBB">
            <w:pPr>
              <w:pStyle w:val="13"/>
            </w:pPr>
            <w:r>
              <w:t>≥95%</w:t>
            </w:r>
          </w:p>
        </w:tc>
        <w:tc>
          <w:tcPr>
            <w:tcW w:w="1276" w:type="dxa"/>
            <w:vAlign w:val="center"/>
          </w:tcPr>
          <w:p w14:paraId="22223024">
            <w:pPr>
              <w:pStyle w:val="13"/>
            </w:pPr>
            <w:r>
              <w:t>城乡义务教育公用经费管理办法</w:t>
            </w:r>
          </w:p>
        </w:tc>
      </w:tr>
      <w:tr w14:paraId="63AA5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DE525"/>
        </w:tc>
        <w:tc>
          <w:tcPr>
            <w:tcW w:w="2268" w:type="dxa"/>
            <w:vAlign w:val="center"/>
          </w:tcPr>
          <w:p w14:paraId="3C16B132">
            <w:pPr>
              <w:pStyle w:val="13"/>
            </w:pPr>
            <w:r>
              <w:t>时效指标</w:t>
            </w:r>
          </w:p>
        </w:tc>
        <w:tc>
          <w:tcPr>
            <w:tcW w:w="2835" w:type="dxa"/>
            <w:vAlign w:val="center"/>
          </w:tcPr>
          <w:p w14:paraId="72D867AA">
            <w:pPr>
              <w:pStyle w:val="13"/>
            </w:pPr>
            <w:r>
              <w:t>资金支付率</w:t>
            </w:r>
          </w:p>
        </w:tc>
        <w:tc>
          <w:tcPr>
            <w:tcW w:w="5386" w:type="dxa"/>
            <w:vAlign w:val="center"/>
          </w:tcPr>
          <w:p w14:paraId="5C6F94B4">
            <w:pPr>
              <w:pStyle w:val="13"/>
            </w:pPr>
            <w:r>
              <w:t>按照序时进度完成资金支付</w:t>
            </w:r>
          </w:p>
        </w:tc>
        <w:tc>
          <w:tcPr>
            <w:tcW w:w="2268" w:type="dxa"/>
            <w:vAlign w:val="center"/>
          </w:tcPr>
          <w:p w14:paraId="2A4DC2CE">
            <w:pPr>
              <w:pStyle w:val="13"/>
            </w:pPr>
            <w:r>
              <w:t>≥100%</w:t>
            </w:r>
          </w:p>
        </w:tc>
        <w:tc>
          <w:tcPr>
            <w:tcW w:w="1276" w:type="dxa"/>
            <w:vAlign w:val="center"/>
          </w:tcPr>
          <w:p w14:paraId="1C7948E9">
            <w:pPr>
              <w:pStyle w:val="13"/>
            </w:pPr>
            <w:r>
              <w:t>城乡义务教育公用经费管理办法</w:t>
            </w:r>
          </w:p>
        </w:tc>
      </w:tr>
      <w:tr w14:paraId="2ACE6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BF37"/>
        </w:tc>
        <w:tc>
          <w:tcPr>
            <w:tcW w:w="2268" w:type="dxa"/>
            <w:vAlign w:val="center"/>
          </w:tcPr>
          <w:p w14:paraId="76CA105D">
            <w:pPr>
              <w:pStyle w:val="13"/>
            </w:pPr>
            <w:r>
              <w:t>成本指标</w:t>
            </w:r>
          </w:p>
        </w:tc>
        <w:tc>
          <w:tcPr>
            <w:tcW w:w="2835" w:type="dxa"/>
            <w:vAlign w:val="center"/>
          </w:tcPr>
          <w:p w14:paraId="2327DC84">
            <w:pPr>
              <w:pStyle w:val="13"/>
            </w:pPr>
            <w:r>
              <w:t>生均拨款标准</w:t>
            </w:r>
          </w:p>
        </w:tc>
        <w:tc>
          <w:tcPr>
            <w:tcW w:w="5386" w:type="dxa"/>
            <w:vAlign w:val="center"/>
          </w:tcPr>
          <w:p w14:paraId="3C9763CB">
            <w:pPr>
              <w:pStyle w:val="13"/>
            </w:pPr>
            <w:r>
              <w:t>小学：（基本标准720元、寄宿生300元、取暖120元）/生/学年；随班就读学生：标准6000元/生/学年。</w:t>
            </w:r>
          </w:p>
        </w:tc>
        <w:tc>
          <w:tcPr>
            <w:tcW w:w="2268" w:type="dxa"/>
            <w:vAlign w:val="center"/>
          </w:tcPr>
          <w:p w14:paraId="7F88F7BE">
            <w:pPr>
              <w:pStyle w:val="13"/>
            </w:pPr>
            <w:r>
              <w:t>126420元</w:t>
            </w:r>
          </w:p>
        </w:tc>
        <w:tc>
          <w:tcPr>
            <w:tcW w:w="1276" w:type="dxa"/>
            <w:vAlign w:val="center"/>
          </w:tcPr>
          <w:p w14:paraId="043F6946">
            <w:pPr>
              <w:pStyle w:val="13"/>
            </w:pPr>
            <w:r>
              <w:t>城乡义务教育公用经费管理办法</w:t>
            </w:r>
          </w:p>
        </w:tc>
      </w:tr>
      <w:tr w14:paraId="2766F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100BBD">
            <w:pPr>
              <w:pStyle w:val="12"/>
            </w:pPr>
            <w:r>
              <w:t>效益指标</w:t>
            </w:r>
          </w:p>
        </w:tc>
        <w:tc>
          <w:tcPr>
            <w:tcW w:w="2268" w:type="dxa"/>
            <w:vAlign w:val="center"/>
          </w:tcPr>
          <w:p w14:paraId="2ED0C665">
            <w:pPr>
              <w:pStyle w:val="13"/>
            </w:pPr>
            <w:r>
              <w:t>可持续影响指标</w:t>
            </w:r>
          </w:p>
        </w:tc>
        <w:tc>
          <w:tcPr>
            <w:tcW w:w="2835" w:type="dxa"/>
            <w:vAlign w:val="center"/>
          </w:tcPr>
          <w:p w14:paraId="539F85F8">
            <w:pPr>
              <w:pStyle w:val="13"/>
            </w:pPr>
            <w:r>
              <w:t>教育发展水平明显好转</w:t>
            </w:r>
          </w:p>
        </w:tc>
        <w:tc>
          <w:tcPr>
            <w:tcW w:w="5386" w:type="dxa"/>
            <w:vAlign w:val="center"/>
          </w:tcPr>
          <w:p w14:paraId="539A91B2">
            <w:pPr>
              <w:pStyle w:val="13"/>
            </w:pPr>
            <w:r>
              <w:t>学生受教育年限</w:t>
            </w:r>
          </w:p>
        </w:tc>
        <w:tc>
          <w:tcPr>
            <w:tcW w:w="2268" w:type="dxa"/>
            <w:vAlign w:val="center"/>
          </w:tcPr>
          <w:p w14:paraId="28A52418">
            <w:pPr>
              <w:pStyle w:val="13"/>
            </w:pPr>
            <w:r>
              <w:t>6年</w:t>
            </w:r>
          </w:p>
        </w:tc>
        <w:tc>
          <w:tcPr>
            <w:tcW w:w="1276" w:type="dxa"/>
            <w:vAlign w:val="center"/>
          </w:tcPr>
          <w:p w14:paraId="28BFD1AA">
            <w:pPr>
              <w:pStyle w:val="13"/>
            </w:pPr>
            <w:r>
              <w:t>城乡义务教育公用经费管理办法</w:t>
            </w:r>
          </w:p>
        </w:tc>
      </w:tr>
      <w:tr w14:paraId="6C356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ABC38A">
            <w:pPr>
              <w:pStyle w:val="12"/>
            </w:pPr>
            <w:r>
              <w:t>满意度指标</w:t>
            </w:r>
          </w:p>
        </w:tc>
        <w:tc>
          <w:tcPr>
            <w:tcW w:w="2268" w:type="dxa"/>
            <w:vAlign w:val="center"/>
          </w:tcPr>
          <w:p w14:paraId="046293B2">
            <w:pPr>
              <w:pStyle w:val="13"/>
            </w:pPr>
            <w:r>
              <w:t>服务对象满意度指标</w:t>
            </w:r>
          </w:p>
        </w:tc>
        <w:tc>
          <w:tcPr>
            <w:tcW w:w="2835" w:type="dxa"/>
            <w:vAlign w:val="center"/>
          </w:tcPr>
          <w:p w14:paraId="6325896F">
            <w:pPr>
              <w:pStyle w:val="13"/>
            </w:pPr>
            <w:r>
              <w:t>受益学生家长及调查满意度</w:t>
            </w:r>
          </w:p>
        </w:tc>
        <w:tc>
          <w:tcPr>
            <w:tcW w:w="5386" w:type="dxa"/>
            <w:vAlign w:val="center"/>
          </w:tcPr>
          <w:p w14:paraId="035FEB60">
            <w:pPr>
              <w:pStyle w:val="13"/>
            </w:pPr>
            <w:r>
              <w:t>学生、教师及家长对学校教育教学工作满意度情况</w:t>
            </w:r>
          </w:p>
        </w:tc>
        <w:tc>
          <w:tcPr>
            <w:tcW w:w="2268" w:type="dxa"/>
            <w:vAlign w:val="center"/>
          </w:tcPr>
          <w:p w14:paraId="40826B57">
            <w:pPr>
              <w:pStyle w:val="13"/>
            </w:pPr>
            <w:r>
              <w:t>≥95%</w:t>
            </w:r>
          </w:p>
        </w:tc>
        <w:tc>
          <w:tcPr>
            <w:tcW w:w="1276" w:type="dxa"/>
            <w:vAlign w:val="center"/>
          </w:tcPr>
          <w:p w14:paraId="6514925E">
            <w:pPr>
              <w:pStyle w:val="13"/>
            </w:pPr>
            <w:r>
              <w:t>调查问卷</w:t>
            </w:r>
          </w:p>
        </w:tc>
      </w:tr>
    </w:tbl>
    <w:p w14:paraId="74DC6A83">
      <w:pPr>
        <w:sectPr>
          <w:pgSz w:w="16840" w:h="11900" w:orient="landscape"/>
          <w:pgMar w:top="1361" w:right="1020" w:bottom="1134" w:left="1020" w:header="720" w:footer="720" w:gutter="0"/>
          <w:cols w:space="720" w:num="1"/>
        </w:sectPr>
      </w:pPr>
    </w:p>
    <w:p w14:paraId="00777461">
      <w:pPr>
        <w:spacing w:before="0" w:after="0"/>
        <w:ind w:firstLine="560"/>
        <w:jc w:val="left"/>
        <w:outlineLvl w:val="9"/>
      </w:pPr>
      <w:r>
        <w:rPr>
          <w:rFonts w:ascii="方正仿宋_GBK" w:hAnsi="方正仿宋_GBK" w:eastAsia="方正仿宋_GBK" w:cs="方正仿宋_GBK"/>
          <w:b/>
          <w:color w:val="000000"/>
          <w:sz w:val="28"/>
        </w:rPr>
        <w:t>125、市级基数/隆尧县私立育蕾学校公用经费绩效目标表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BC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AF5A9">
            <w:pPr>
              <w:pStyle w:val="14"/>
            </w:pPr>
            <w:r>
              <w:t>单位：万元</w:t>
            </w:r>
          </w:p>
        </w:tc>
      </w:tr>
      <w:tr w14:paraId="6F0DB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954BAA">
            <w:pPr>
              <w:pStyle w:val="11"/>
            </w:pPr>
            <w:r>
              <w:t>项目编码</w:t>
            </w:r>
          </w:p>
        </w:tc>
        <w:tc>
          <w:tcPr>
            <w:tcW w:w="5103" w:type="dxa"/>
            <w:gridSpan w:val="2"/>
            <w:vAlign w:val="center"/>
          </w:tcPr>
          <w:p w14:paraId="662C829D">
            <w:pPr>
              <w:pStyle w:val="13"/>
            </w:pPr>
            <w:r>
              <w:t>13052525P000004102112</w:t>
            </w:r>
          </w:p>
        </w:tc>
        <w:tc>
          <w:tcPr>
            <w:tcW w:w="2835" w:type="dxa"/>
            <w:vAlign w:val="center"/>
          </w:tcPr>
          <w:p w14:paraId="270F361B">
            <w:pPr>
              <w:pStyle w:val="11"/>
            </w:pPr>
            <w:r>
              <w:t>项目名称</w:t>
            </w:r>
          </w:p>
        </w:tc>
        <w:tc>
          <w:tcPr>
            <w:tcW w:w="6095" w:type="dxa"/>
            <w:gridSpan w:val="3"/>
            <w:vAlign w:val="center"/>
          </w:tcPr>
          <w:p w14:paraId="074BECE7">
            <w:pPr>
              <w:pStyle w:val="13"/>
            </w:pPr>
            <w:r>
              <w:t>市级基数/隆尧县私立育蕾学校公用经费</w:t>
            </w:r>
          </w:p>
        </w:tc>
      </w:tr>
      <w:tr w14:paraId="27750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5F399">
            <w:pPr>
              <w:pStyle w:val="11"/>
            </w:pPr>
            <w:r>
              <w:t>预算规模及资金用途</w:t>
            </w:r>
          </w:p>
        </w:tc>
        <w:tc>
          <w:tcPr>
            <w:tcW w:w="2268" w:type="dxa"/>
            <w:vAlign w:val="center"/>
          </w:tcPr>
          <w:p w14:paraId="47B4CB4F">
            <w:pPr>
              <w:pStyle w:val="11"/>
            </w:pPr>
            <w:r>
              <w:t>预算数</w:t>
            </w:r>
          </w:p>
        </w:tc>
        <w:tc>
          <w:tcPr>
            <w:tcW w:w="2835" w:type="dxa"/>
            <w:vAlign w:val="center"/>
          </w:tcPr>
          <w:p w14:paraId="5B90354F">
            <w:pPr>
              <w:pStyle w:val="13"/>
            </w:pPr>
            <w:r>
              <w:t>21.89</w:t>
            </w:r>
          </w:p>
        </w:tc>
        <w:tc>
          <w:tcPr>
            <w:tcW w:w="2835" w:type="dxa"/>
            <w:vAlign w:val="center"/>
          </w:tcPr>
          <w:p w14:paraId="5EA1EAEF">
            <w:pPr>
              <w:pStyle w:val="11"/>
            </w:pPr>
            <w:r>
              <w:t>其中：财政    资金</w:t>
            </w:r>
          </w:p>
        </w:tc>
        <w:tc>
          <w:tcPr>
            <w:tcW w:w="2551" w:type="dxa"/>
            <w:vAlign w:val="center"/>
          </w:tcPr>
          <w:p w14:paraId="0C8F39C5">
            <w:pPr>
              <w:pStyle w:val="13"/>
            </w:pPr>
            <w:r>
              <w:t>21.89</w:t>
            </w:r>
          </w:p>
        </w:tc>
        <w:tc>
          <w:tcPr>
            <w:tcW w:w="2268" w:type="dxa"/>
            <w:vAlign w:val="center"/>
          </w:tcPr>
          <w:p w14:paraId="60E97277">
            <w:pPr>
              <w:pStyle w:val="11"/>
            </w:pPr>
            <w:r>
              <w:t>其他资金</w:t>
            </w:r>
          </w:p>
        </w:tc>
        <w:tc>
          <w:tcPr>
            <w:tcW w:w="1276" w:type="dxa"/>
            <w:vAlign w:val="center"/>
          </w:tcPr>
          <w:p w14:paraId="1A24EC26">
            <w:pPr>
              <w:pStyle w:val="13"/>
            </w:pPr>
            <w:r>
              <w:t xml:space="preserve"> </w:t>
            </w:r>
          </w:p>
        </w:tc>
      </w:tr>
      <w:tr w14:paraId="2CDC8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98ED8"/>
        </w:tc>
        <w:tc>
          <w:tcPr>
            <w:tcW w:w="14033" w:type="dxa"/>
            <w:gridSpan w:val="6"/>
            <w:vAlign w:val="center"/>
          </w:tcPr>
          <w:p w14:paraId="44D389CE">
            <w:pPr>
              <w:pStyle w:val="13"/>
            </w:pPr>
            <w:r>
              <w:t>保障义务教育学校正常运转，完成教育教学活动和其他日常工作任务等方面的费用支出。</w:t>
            </w:r>
          </w:p>
        </w:tc>
      </w:tr>
      <w:tr w14:paraId="435EE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40B40">
            <w:pPr>
              <w:pStyle w:val="11"/>
            </w:pPr>
            <w:r>
              <w:t>资金支出计划（%）</w:t>
            </w:r>
          </w:p>
        </w:tc>
        <w:tc>
          <w:tcPr>
            <w:tcW w:w="5103" w:type="dxa"/>
            <w:gridSpan w:val="2"/>
            <w:vAlign w:val="center"/>
          </w:tcPr>
          <w:p w14:paraId="27759712">
            <w:pPr>
              <w:pStyle w:val="11"/>
            </w:pPr>
            <w:r>
              <w:t>3月底</w:t>
            </w:r>
          </w:p>
        </w:tc>
        <w:tc>
          <w:tcPr>
            <w:tcW w:w="2835" w:type="dxa"/>
            <w:vAlign w:val="center"/>
          </w:tcPr>
          <w:p w14:paraId="2F58A4A0">
            <w:pPr>
              <w:pStyle w:val="11"/>
            </w:pPr>
            <w:r>
              <w:t>6月底</w:t>
            </w:r>
          </w:p>
        </w:tc>
        <w:tc>
          <w:tcPr>
            <w:tcW w:w="2551" w:type="dxa"/>
            <w:vAlign w:val="center"/>
          </w:tcPr>
          <w:p w14:paraId="554A2D32">
            <w:pPr>
              <w:pStyle w:val="11"/>
            </w:pPr>
            <w:r>
              <w:t>10月底</w:t>
            </w:r>
          </w:p>
        </w:tc>
        <w:tc>
          <w:tcPr>
            <w:tcW w:w="3544" w:type="dxa"/>
            <w:gridSpan w:val="2"/>
            <w:vAlign w:val="center"/>
          </w:tcPr>
          <w:p w14:paraId="2A39F7CC">
            <w:pPr>
              <w:pStyle w:val="11"/>
            </w:pPr>
            <w:r>
              <w:t>12月底</w:t>
            </w:r>
          </w:p>
        </w:tc>
      </w:tr>
      <w:tr w14:paraId="1C2AA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75E6FD"/>
        </w:tc>
        <w:tc>
          <w:tcPr>
            <w:tcW w:w="5103" w:type="dxa"/>
            <w:gridSpan w:val="2"/>
            <w:vAlign w:val="center"/>
          </w:tcPr>
          <w:p w14:paraId="1EDABFD5">
            <w:pPr>
              <w:pStyle w:val="12"/>
            </w:pPr>
            <w:r>
              <w:t xml:space="preserve"> </w:t>
            </w:r>
          </w:p>
        </w:tc>
        <w:tc>
          <w:tcPr>
            <w:tcW w:w="2835" w:type="dxa"/>
            <w:vAlign w:val="center"/>
          </w:tcPr>
          <w:p w14:paraId="0BB125CA">
            <w:pPr>
              <w:pStyle w:val="12"/>
            </w:pPr>
            <w:r>
              <w:t xml:space="preserve"> </w:t>
            </w:r>
          </w:p>
        </w:tc>
        <w:tc>
          <w:tcPr>
            <w:tcW w:w="2551" w:type="dxa"/>
            <w:vAlign w:val="center"/>
          </w:tcPr>
          <w:p w14:paraId="4800C588">
            <w:pPr>
              <w:pStyle w:val="12"/>
            </w:pPr>
            <w:r>
              <w:t xml:space="preserve"> </w:t>
            </w:r>
          </w:p>
        </w:tc>
        <w:tc>
          <w:tcPr>
            <w:tcW w:w="3544" w:type="dxa"/>
            <w:gridSpan w:val="2"/>
            <w:vAlign w:val="center"/>
          </w:tcPr>
          <w:p w14:paraId="16CC2D7F">
            <w:pPr>
              <w:pStyle w:val="12"/>
            </w:pPr>
            <w:r>
              <w:t>100%</w:t>
            </w:r>
          </w:p>
        </w:tc>
      </w:tr>
      <w:tr w14:paraId="3C167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50CA6">
            <w:pPr>
              <w:pStyle w:val="11"/>
            </w:pPr>
            <w:r>
              <w:t>绩效目标</w:t>
            </w:r>
          </w:p>
        </w:tc>
        <w:tc>
          <w:tcPr>
            <w:tcW w:w="14033" w:type="dxa"/>
            <w:gridSpan w:val="6"/>
            <w:vAlign w:val="center"/>
          </w:tcPr>
          <w:p w14:paraId="3352915A">
            <w:pPr>
              <w:pStyle w:val="13"/>
            </w:pPr>
            <w:r>
              <w:t>1.保障义务教育学校正常运转，完成教育教学活动和其他日常工作任务等方面的费用支出。</w:t>
            </w:r>
            <w:r>
              <w:tab/>
            </w:r>
            <w:r>
              <w:tab/>
            </w:r>
            <w:r>
              <w:tab/>
            </w:r>
            <w:r>
              <w:tab/>
            </w:r>
            <w:r>
              <w:tab/>
            </w:r>
            <w:r>
              <w:tab/>
            </w:r>
          </w:p>
          <w:p w14:paraId="0D90F9CD">
            <w:pPr>
              <w:pStyle w:val="13"/>
            </w:pPr>
          </w:p>
        </w:tc>
      </w:tr>
    </w:tbl>
    <w:p w14:paraId="41600B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CF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0C59C">
            <w:pPr>
              <w:pStyle w:val="11"/>
            </w:pPr>
            <w:r>
              <w:t>一级指标</w:t>
            </w:r>
          </w:p>
        </w:tc>
        <w:tc>
          <w:tcPr>
            <w:tcW w:w="2268" w:type="dxa"/>
            <w:vAlign w:val="center"/>
          </w:tcPr>
          <w:p w14:paraId="796341E3">
            <w:pPr>
              <w:pStyle w:val="11"/>
            </w:pPr>
            <w:r>
              <w:t>二级指标</w:t>
            </w:r>
          </w:p>
        </w:tc>
        <w:tc>
          <w:tcPr>
            <w:tcW w:w="2835" w:type="dxa"/>
            <w:vAlign w:val="center"/>
          </w:tcPr>
          <w:p w14:paraId="53F26B37">
            <w:pPr>
              <w:pStyle w:val="11"/>
            </w:pPr>
            <w:r>
              <w:t>三级指标</w:t>
            </w:r>
          </w:p>
        </w:tc>
        <w:tc>
          <w:tcPr>
            <w:tcW w:w="5386" w:type="dxa"/>
            <w:vAlign w:val="center"/>
          </w:tcPr>
          <w:p w14:paraId="7FB9A5E4">
            <w:pPr>
              <w:pStyle w:val="11"/>
            </w:pPr>
            <w:r>
              <w:t>绩效指标描述</w:t>
            </w:r>
          </w:p>
        </w:tc>
        <w:tc>
          <w:tcPr>
            <w:tcW w:w="2268" w:type="dxa"/>
            <w:vAlign w:val="center"/>
          </w:tcPr>
          <w:p w14:paraId="5AC51A69">
            <w:pPr>
              <w:pStyle w:val="11"/>
            </w:pPr>
            <w:r>
              <w:t>指标值</w:t>
            </w:r>
          </w:p>
        </w:tc>
        <w:tc>
          <w:tcPr>
            <w:tcW w:w="1276" w:type="dxa"/>
            <w:vAlign w:val="center"/>
          </w:tcPr>
          <w:p w14:paraId="528B1653">
            <w:pPr>
              <w:pStyle w:val="11"/>
            </w:pPr>
            <w:r>
              <w:t>指标值确定依据</w:t>
            </w:r>
          </w:p>
        </w:tc>
      </w:tr>
      <w:tr w14:paraId="4A535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AFAA9">
            <w:pPr>
              <w:pStyle w:val="12"/>
            </w:pPr>
            <w:r>
              <w:t>产出指标</w:t>
            </w:r>
          </w:p>
        </w:tc>
        <w:tc>
          <w:tcPr>
            <w:tcW w:w="2268" w:type="dxa"/>
            <w:vAlign w:val="center"/>
          </w:tcPr>
          <w:p w14:paraId="0FE6C842">
            <w:pPr>
              <w:pStyle w:val="13"/>
            </w:pPr>
            <w:r>
              <w:t>数量指标</w:t>
            </w:r>
          </w:p>
        </w:tc>
        <w:tc>
          <w:tcPr>
            <w:tcW w:w="2835" w:type="dxa"/>
            <w:vAlign w:val="center"/>
          </w:tcPr>
          <w:p w14:paraId="689064C6">
            <w:pPr>
              <w:pStyle w:val="13"/>
            </w:pPr>
            <w:r>
              <w:t>适龄在校生</w:t>
            </w:r>
          </w:p>
        </w:tc>
        <w:tc>
          <w:tcPr>
            <w:tcW w:w="5386" w:type="dxa"/>
            <w:vAlign w:val="center"/>
          </w:tcPr>
          <w:p w14:paraId="5337BC3C">
            <w:pPr>
              <w:pStyle w:val="13"/>
            </w:pPr>
            <w:r>
              <w:t>适龄在校就读学生人数</w:t>
            </w:r>
          </w:p>
        </w:tc>
        <w:tc>
          <w:tcPr>
            <w:tcW w:w="2268" w:type="dxa"/>
            <w:vAlign w:val="center"/>
          </w:tcPr>
          <w:p w14:paraId="1EF12692">
            <w:pPr>
              <w:pStyle w:val="13"/>
            </w:pPr>
            <w:r>
              <w:t>384人</w:t>
            </w:r>
          </w:p>
        </w:tc>
        <w:tc>
          <w:tcPr>
            <w:tcW w:w="1276" w:type="dxa"/>
            <w:vAlign w:val="center"/>
          </w:tcPr>
          <w:p w14:paraId="53F6A550">
            <w:pPr>
              <w:pStyle w:val="13"/>
            </w:pPr>
            <w:r>
              <w:t>城乡义务教育公用经费管理办法</w:t>
            </w:r>
          </w:p>
        </w:tc>
      </w:tr>
      <w:tr w14:paraId="3A849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2486DE6D"/>
        </w:tc>
        <w:tc>
          <w:tcPr>
            <w:tcW w:w="2268" w:type="dxa"/>
            <w:vAlign w:val="center"/>
          </w:tcPr>
          <w:p w14:paraId="43019866">
            <w:pPr>
              <w:pStyle w:val="13"/>
            </w:pPr>
            <w:r>
              <w:t>质量指标</w:t>
            </w:r>
          </w:p>
        </w:tc>
        <w:tc>
          <w:tcPr>
            <w:tcW w:w="2835" w:type="dxa"/>
            <w:vAlign w:val="center"/>
          </w:tcPr>
          <w:p w14:paraId="3C643E3A">
            <w:pPr>
              <w:pStyle w:val="13"/>
            </w:pPr>
            <w:r>
              <w:t>预算控制率</w:t>
            </w:r>
          </w:p>
        </w:tc>
        <w:tc>
          <w:tcPr>
            <w:tcW w:w="5386" w:type="dxa"/>
            <w:vAlign w:val="center"/>
          </w:tcPr>
          <w:p w14:paraId="7D17A03F">
            <w:pPr>
              <w:pStyle w:val="13"/>
            </w:pPr>
            <w:r>
              <w:t>预算执行</w:t>
            </w:r>
          </w:p>
        </w:tc>
        <w:tc>
          <w:tcPr>
            <w:tcW w:w="2268" w:type="dxa"/>
            <w:vAlign w:val="center"/>
          </w:tcPr>
          <w:p w14:paraId="56F3816D">
            <w:pPr>
              <w:pStyle w:val="13"/>
            </w:pPr>
            <w:r>
              <w:t>≥95%</w:t>
            </w:r>
          </w:p>
        </w:tc>
        <w:tc>
          <w:tcPr>
            <w:tcW w:w="1276" w:type="dxa"/>
            <w:vAlign w:val="center"/>
          </w:tcPr>
          <w:p w14:paraId="4CF059FC">
            <w:pPr>
              <w:pStyle w:val="13"/>
            </w:pPr>
            <w:r>
              <w:t>城乡义务教育公用经费管理办法</w:t>
            </w:r>
          </w:p>
        </w:tc>
      </w:tr>
      <w:tr w14:paraId="7144C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4274F"/>
        </w:tc>
        <w:tc>
          <w:tcPr>
            <w:tcW w:w="2268" w:type="dxa"/>
            <w:vAlign w:val="center"/>
          </w:tcPr>
          <w:p w14:paraId="1F4E6F6C">
            <w:pPr>
              <w:pStyle w:val="13"/>
            </w:pPr>
            <w:r>
              <w:t>时效指标</w:t>
            </w:r>
          </w:p>
        </w:tc>
        <w:tc>
          <w:tcPr>
            <w:tcW w:w="2835" w:type="dxa"/>
            <w:vAlign w:val="center"/>
          </w:tcPr>
          <w:p w14:paraId="054B692C">
            <w:pPr>
              <w:pStyle w:val="13"/>
            </w:pPr>
            <w:r>
              <w:t>资金支付率</w:t>
            </w:r>
          </w:p>
        </w:tc>
        <w:tc>
          <w:tcPr>
            <w:tcW w:w="5386" w:type="dxa"/>
            <w:vAlign w:val="center"/>
          </w:tcPr>
          <w:p w14:paraId="46126976">
            <w:pPr>
              <w:pStyle w:val="13"/>
            </w:pPr>
            <w:r>
              <w:t>按照序时进度完成资金支付</w:t>
            </w:r>
          </w:p>
        </w:tc>
        <w:tc>
          <w:tcPr>
            <w:tcW w:w="2268" w:type="dxa"/>
            <w:vAlign w:val="center"/>
          </w:tcPr>
          <w:p w14:paraId="06E73C48">
            <w:pPr>
              <w:pStyle w:val="13"/>
            </w:pPr>
            <w:r>
              <w:t>≥100%</w:t>
            </w:r>
          </w:p>
        </w:tc>
        <w:tc>
          <w:tcPr>
            <w:tcW w:w="1276" w:type="dxa"/>
            <w:vAlign w:val="center"/>
          </w:tcPr>
          <w:p w14:paraId="4D2C1AD5">
            <w:pPr>
              <w:pStyle w:val="13"/>
            </w:pPr>
            <w:r>
              <w:t>城乡义务教育公用经费管理办法</w:t>
            </w:r>
          </w:p>
        </w:tc>
      </w:tr>
      <w:tr w14:paraId="4BA22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71B8D"/>
        </w:tc>
        <w:tc>
          <w:tcPr>
            <w:tcW w:w="2268" w:type="dxa"/>
            <w:vAlign w:val="center"/>
          </w:tcPr>
          <w:p w14:paraId="7A2E5754">
            <w:pPr>
              <w:pStyle w:val="13"/>
            </w:pPr>
            <w:r>
              <w:t>成本指标</w:t>
            </w:r>
          </w:p>
        </w:tc>
        <w:tc>
          <w:tcPr>
            <w:tcW w:w="2835" w:type="dxa"/>
            <w:vAlign w:val="center"/>
          </w:tcPr>
          <w:p w14:paraId="16F02903">
            <w:pPr>
              <w:pStyle w:val="13"/>
            </w:pPr>
            <w:r>
              <w:t>生均拨款标准</w:t>
            </w:r>
          </w:p>
        </w:tc>
        <w:tc>
          <w:tcPr>
            <w:tcW w:w="5386" w:type="dxa"/>
            <w:vAlign w:val="center"/>
          </w:tcPr>
          <w:p w14:paraId="7B11A8A2">
            <w:pPr>
              <w:pStyle w:val="13"/>
            </w:pPr>
            <w:r>
              <w:t>小学：（基本标准720元、寄宿生300元、取暖120元）/生/学年；随班就读学生：标准6000元/生/学年。</w:t>
            </w:r>
          </w:p>
        </w:tc>
        <w:tc>
          <w:tcPr>
            <w:tcW w:w="2268" w:type="dxa"/>
            <w:vAlign w:val="center"/>
          </w:tcPr>
          <w:p w14:paraId="3AB6E09B">
            <w:pPr>
              <w:pStyle w:val="13"/>
            </w:pPr>
            <w:r>
              <w:t>218880元</w:t>
            </w:r>
          </w:p>
        </w:tc>
        <w:tc>
          <w:tcPr>
            <w:tcW w:w="1276" w:type="dxa"/>
            <w:vAlign w:val="center"/>
          </w:tcPr>
          <w:p w14:paraId="2C2E0333">
            <w:pPr>
              <w:pStyle w:val="13"/>
            </w:pPr>
            <w:r>
              <w:t>城乡义务教育公用经费管理办法</w:t>
            </w:r>
          </w:p>
        </w:tc>
      </w:tr>
      <w:tr w14:paraId="6785E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C0A97F">
            <w:pPr>
              <w:pStyle w:val="12"/>
            </w:pPr>
            <w:r>
              <w:t>效益指标</w:t>
            </w:r>
          </w:p>
        </w:tc>
        <w:tc>
          <w:tcPr>
            <w:tcW w:w="2268" w:type="dxa"/>
            <w:vAlign w:val="center"/>
          </w:tcPr>
          <w:p w14:paraId="0E034937">
            <w:pPr>
              <w:pStyle w:val="13"/>
            </w:pPr>
            <w:r>
              <w:t>可持续影响指标</w:t>
            </w:r>
          </w:p>
        </w:tc>
        <w:tc>
          <w:tcPr>
            <w:tcW w:w="2835" w:type="dxa"/>
            <w:vAlign w:val="center"/>
          </w:tcPr>
          <w:p w14:paraId="21034C50">
            <w:pPr>
              <w:pStyle w:val="13"/>
            </w:pPr>
            <w:r>
              <w:t>教育发展水平明显好转</w:t>
            </w:r>
          </w:p>
        </w:tc>
        <w:tc>
          <w:tcPr>
            <w:tcW w:w="5386" w:type="dxa"/>
            <w:vAlign w:val="center"/>
          </w:tcPr>
          <w:p w14:paraId="613C4A6E">
            <w:pPr>
              <w:pStyle w:val="13"/>
            </w:pPr>
            <w:r>
              <w:t>学生受教育年限</w:t>
            </w:r>
          </w:p>
        </w:tc>
        <w:tc>
          <w:tcPr>
            <w:tcW w:w="2268" w:type="dxa"/>
            <w:vAlign w:val="center"/>
          </w:tcPr>
          <w:p w14:paraId="394F290B">
            <w:pPr>
              <w:pStyle w:val="13"/>
            </w:pPr>
            <w:r>
              <w:t>6年</w:t>
            </w:r>
          </w:p>
        </w:tc>
        <w:tc>
          <w:tcPr>
            <w:tcW w:w="1276" w:type="dxa"/>
            <w:vAlign w:val="center"/>
          </w:tcPr>
          <w:p w14:paraId="126F4576">
            <w:pPr>
              <w:pStyle w:val="13"/>
            </w:pPr>
            <w:r>
              <w:t>城乡义务教育公用经费管理办法</w:t>
            </w:r>
          </w:p>
        </w:tc>
      </w:tr>
      <w:tr w14:paraId="3D729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079853">
            <w:pPr>
              <w:pStyle w:val="12"/>
            </w:pPr>
            <w:r>
              <w:t>满意度指标</w:t>
            </w:r>
          </w:p>
        </w:tc>
        <w:tc>
          <w:tcPr>
            <w:tcW w:w="2268" w:type="dxa"/>
            <w:vAlign w:val="center"/>
          </w:tcPr>
          <w:p w14:paraId="6A9C69CA">
            <w:pPr>
              <w:pStyle w:val="13"/>
            </w:pPr>
            <w:r>
              <w:t>服务对象满意度指标</w:t>
            </w:r>
          </w:p>
        </w:tc>
        <w:tc>
          <w:tcPr>
            <w:tcW w:w="2835" w:type="dxa"/>
            <w:vAlign w:val="center"/>
          </w:tcPr>
          <w:p w14:paraId="00C62A96">
            <w:pPr>
              <w:pStyle w:val="13"/>
            </w:pPr>
            <w:r>
              <w:t>受益学生家长及调查满意度</w:t>
            </w:r>
          </w:p>
        </w:tc>
        <w:tc>
          <w:tcPr>
            <w:tcW w:w="5386" w:type="dxa"/>
            <w:vAlign w:val="center"/>
          </w:tcPr>
          <w:p w14:paraId="38063EC0">
            <w:pPr>
              <w:pStyle w:val="13"/>
            </w:pPr>
            <w:r>
              <w:t>学生、教师及家长对学校教育教学工作满意度情况</w:t>
            </w:r>
          </w:p>
        </w:tc>
        <w:tc>
          <w:tcPr>
            <w:tcW w:w="2268" w:type="dxa"/>
            <w:vAlign w:val="center"/>
          </w:tcPr>
          <w:p w14:paraId="6FC85807">
            <w:pPr>
              <w:pStyle w:val="13"/>
            </w:pPr>
            <w:r>
              <w:t>≥95%</w:t>
            </w:r>
          </w:p>
        </w:tc>
        <w:tc>
          <w:tcPr>
            <w:tcW w:w="1276" w:type="dxa"/>
            <w:vAlign w:val="center"/>
          </w:tcPr>
          <w:p w14:paraId="0BD6CD67">
            <w:pPr>
              <w:pStyle w:val="13"/>
            </w:pPr>
            <w:r>
              <w:t>调查问卷</w:t>
            </w:r>
          </w:p>
        </w:tc>
      </w:tr>
    </w:tbl>
    <w:p w14:paraId="12E61F68">
      <w:pPr>
        <w:sectPr>
          <w:pgSz w:w="16840" w:h="11900" w:orient="landscape"/>
          <w:pgMar w:top="1361" w:right="1020" w:bottom="1134" w:left="1020" w:header="720" w:footer="720" w:gutter="0"/>
          <w:cols w:space="720" w:num="1"/>
        </w:sectPr>
      </w:pPr>
    </w:p>
    <w:p w14:paraId="791E3EEE">
      <w:pPr>
        <w:spacing w:before="0" w:after="0"/>
        <w:ind w:firstLine="560"/>
        <w:jc w:val="left"/>
        <w:outlineLvl w:val="9"/>
      </w:pPr>
      <w:r>
        <w:rPr>
          <w:rFonts w:ascii="方正仿宋_GBK" w:hAnsi="方正仿宋_GBK" w:eastAsia="方正仿宋_GBK" w:cs="方正仿宋_GBK"/>
          <w:b/>
          <w:color w:val="000000"/>
          <w:sz w:val="28"/>
        </w:rPr>
        <w:t>126、市级基数/隆尧县私立育人学校公用经费绩效目标表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0D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0EFB3">
            <w:pPr>
              <w:pStyle w:val="14"/>
            </w:pPr>
            <w:r>
              <w:t>单位：万元</w:t>
            </w:r>
          </w:p>
        </w:tc>
      </w:tr>
      <w:tr w14:paraId="3FB1F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E6CB7">
            <w:pPr>
              <w:pStyle w:val="11"/>
            </w:pPr>
            <w:r>
              <w:t>项目编码</w:t>
            </w:r>
          </w:p>
        </w:tc>
        <w:tc>
          <w:tcPr>
            <w:tcW w:w="5103" w:type="dxa"/>
            <w:gridSpan w:val="2"/>
            <w:vAlign w:val="center"/>
          </w:tcPr>
          <w:p w14:paraId="6B41C58F">
            <w:pPr>
              <w:pStyle w:val="13"/>
            </w:pPr>
            <w:r>
              <w:t>13052525P000004102139</w:t>
            </w:r>
          </w:p>
        </w:tc>
        <w:tc>
          <w:tcPr>
            <w:tcW w:w="2835" w:type="dxa"/>
            <w:vAlign w:val="center"/>
          </w:tcPr>
          <w:p w14:paraId="4C317652">
            <w:pPr>
              <w:pStyle w:val="11"/>
            </w:pPr>
            <w:r>
              <w:t>项目名称</w:t>
            </w:r>
          </w:p>
        </w:tc>
        <w:tc>
          <w:tcPr>
            <w:tcW w:w="6095" w:type="dxa"/>
            <w:gridSpan w:val="3"/>
            <w:vAlign w:val="center"/>
          </w:tcPr>
          <w:p w14:paraId="72714A27">
            <w:pPr>
              <w:pStyle w:val="13"/>
            </w:pPr>
            <w:r>
              <w:t>市级基数/隆尧县私立育人学校公用经费</w:t>
            </w:r>
          </w:p>
        </w:tc>
      </w:tr>
      <w:tr w14:paraId="5B372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EBFEA">
            <w:pPr>
              <w:pStyle w:val="11"/>
            </w:pPr>
            <w:r>
              <w:t>预算规模及资金用途</w:t>
            </w:r>
          </w:p>
        </w:tc>
        <w:tc>
          <w:tcPr>
            <w:tcW w:w="2268" w:type="dxa"/>
            <w:vAlign w:val="center"/>
          </w:tcPr>
          <w:p w14:paraId="5973DB1A">
            <w:pPr>
              <w:pStyle w:val="11"/>
            </w:pPr>
            <w:r>
              <w:t>预算数</w:t>
            </w:r>
          </w:p>
        </w:tc>
        <w:tc>
          <w:tcPr>
            <w:tcW w:w="2835" w:type="dxa"/>
            <w:vAlign w:val="center"/>
          </w:tcPr>
          <w:p w14:paraId="6558F934">
            <w:pPr>
              <w:pStyle w:val="13"/>
            </w:pPr>
            <w:r>
              <w:t>30.12</w:t>
            </w:r>
          </w:p>
        </w:tc>
        <w:tc>
          <w:tcPr>
            <w:tcW w:w="2835" w:type="dxa"/>
            <w:vAlign w:val="center"/>
          </w:tcPr>
          <w:p w14:paraId="3660BC12">
            <w:pPr>
              <w:pStyle w:val="11"/>
            </w:pPr>
            <w:r>
              <w:t>其中：财政    资金</w:t>
            </w:r>
          </w:p>
        </w:tc>
        <w:tc>
          <w:tcPr>
            <w:tcW w:w="2551" w:type="dxa"/>
            <w:vAlign w:val="center"/>
          </w:tcPr>
          <w:p w14:paraId="42F5B292">
            <w:pPr>
              <w:pStyle w:val="13"/>
            </w:pPr>
            <w:r>
              <w:t>30.12</w:t>
            </w:r>
          </w:p>
        </w:tc>
        <w:tc>
          <w:tcPr>
            <w:tcW w:w="2268" w:type="dxa"/>
            <w:vAlign w:val="center"/>
          </w:tcPr>
          <w:p w14:paraId="33C1F65E">
            <w:pPr>
              <w:pStyle w:val="11"/>
            </w:pPr>
            <w:r>
              <w:t>其他资金</w:t>
            </w:r>
          </w:p>
        </w:tc>
        <w:tc>
          <w:tcPr>
            <w:tcW w:w="1276" w:type="dxa"/>
            <w:vAlign w:val="center"/>
          </w:tcPr>
          <w:p w14:paraId="08563D36">
            <w:pPr>
              <w:pStyle w:val="13"/>
            </w:pPr>
            <w:r>
              <w:t xml:space="preserve"> </w:t>
            </w:r>
          </w:p>
        </w:tc>
      </w:tr>
      <w:tr w14:paraId="0595C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06D09"/>
        </w:tc>
        <w:tc>
          <w:tcPr>
            <w:tcW w:w="14033" w:type="dxa"/>
            <w:gridSpan w:val="6"/>
            <w:vAlign w:val="center"/>
          </w:tcPr>
          <w:p w14:paraId="7CF749D1">
            <w:pPr>
              <w:pStyle w:val="13"/>
            </w:pPr>
            <w:r>
              <w:t>保障义务教育学校正常运转，完成教育教学活动和其他日常工作任务等方面的费用支出。</w:t>
            </w:r>
          </w:p>
        </w:tc>
      </w:tr>
      <w:tr w14:paraId="0D1E7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2F76D">
            <w:pPr>
              <w:pStyle w:val="11"/>
            </w:pPr>
            <w:r>
              <w:t>资金支出计划（%）</w:t>
            </w:r>
          </w:p>
        </w:tc>
        <w:tc>
          <w:tcPr>
            <w:tcW w:w="5103" w:type="dxa"/>
            <w:gridSpan w:val="2"/>
            <w:vAlign w:val="center"/>
          </w:tcPr>
          <w:p w14:paraId="47F0C64D">
            <w:pPr>
              <w:pStyle w:val="11"/>
            </w:pPr>
            <w:r>
              <w:t>3月底</w:t>
            </w:r>
          </w:p>
        </w:tc>
        <w:tc>
          <w:tcPr>
            <w:tcW w:w="2835" w:type="dxa"/>
            <w:vAlign w:val="center"/>
          </w:tcPr>
          <w:p w14:paraId="3843307A">
            <w:pPr>
              <w:pStyle w:val="11"/>
            </w:pPr>
            <w:r>
              <w:t>6月底</w:t>
            </w:r>
          </w:p>
        </w:tc>
        <w:tc>
          <w:tcPr>
            <w:tcW w:w="2551" w:type="dxa"/>
            <w:vAlign w:val="center"/>
          </w:tcPr>
          <w:p w14:paraId="2735D7BF">
            <w:pPr>
              <w:pStyle w:val="11"/>
            </w:pPr>
            <w:r>
              <w:t>10月底</w:t>
            </w:r>
          </w:p>
        </w:tc>
        <w:tc>
          <w:tcPr>
            <w:tcW w:w="3544" w:type="dxa"/>
            <w:gridSpan w:val="2"/>
            <w:vAlign w:val="center"/>
          </w:tcPr>
          <w:p w14:paraId="570A887A">
            <w:pPr>
              <w:pStyle w:val="11"/>
            </w:pPr>
            <w:r>
              <w:t>12月底</w:t>
            </w:r>
          </w:p>
        </w:tc>
      </w:tr>
      <w:tr w14:paraId="73157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5BDA86"/>
        </w:tc>
        <w:tc>
          <w:tcPr>
            <w:tcW w:w="5103" w:type="dxa"/>
            <w:gridSpan w:val="2"/>
            <w:vAlign w:val="center"/>
          </w:tcPr>
          <w:p w14:paraId="44A99DDB">
            <w:pPr>
              <w:pStyle w:val="12"/>
            </w:pPr>
            <w:r>
              <w:t xml:space="preserve"> </w:t>
            </w:r>
          </w:p>
        </w:tc>
        <w:tc>
          <w:tcPr>
            <w:tcW w:w="2835" w:type="dxa"/>
            <w:vAlign w:val="center"/>
          </w:tcPr>
          <w:p w14:paraId="6B1E286F">
            <w:pPr>
              <w:pStyle w:val="12"/>
            </w:pPr>
            <w:r>
              <w:t xml:space="preserve"> </w:t>
            </w:r>
          </w:p>
        </w:tc>
        <w:tc>
          <w:tcPr>
            <w:tcW w:w="2551" w:type="dxa"/>
            <w:vAlign w:val="center"/>
          </w:tcPr>
          <w:p w14:paraId="3EED647E">
            <w:pPr>
              <w:pStyle w:val="12"/>
            </w:pPr>
            <w:r>
              <w:t xml:space="preserve"> </w:t>
            </w:r>
          </w:p>
        </w:tc>
        <w:tc>
          <w:tcPr>
            <w:tcW w:w="3544" w:type="dxa"/>
            <w:gridSpan w:val="2"/>
            <w:vAlign w:val="center"/>
          </w:tcPr>
          <w:p w14:paraId="2FA5CEEA">
            <w:pPr>
              <w:pStyle w:val="12"/>
            </w:pPr>
            <w:r>
              <w:t>100%</w:t>
            </w:r>
          </w:p>
        </w:tc>
      </w:tr>
      <w:tr w14:paraId="61204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B6E13C">
            <w:pPr>
              <w:pStyle w:val="11"/>
            </w:pPr>
            <w:r>
              <w:t>绩效目标</w:t>
            </w:r>
          </w:p>
        </w:tc>
        <w:tc>
          <w:tcPr>
            <w:tcW w:w="14033" w:type="dxa"/>
            <w:gridSpan w:val="6"/>
            <w:vAlign w:val="center"/>
          </w:tcPr>
          <w:p w14:paraId="3672DE6A">
            <w:pPr>
              <w:pStyle w:val="13"/>
            </w:pPr>
            <w:r>
              <w:t>1.保障义务教育学校正常运转，完成教育教学活动和其他日常工作任务等方面的费用支出。</w:t>
            </w:r>
          </w:p>
        </w:tc>
      </w:tr>
    </w:tbl>
    <w:p w14:paraId="16567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98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03928">
            <w:pPr>
              <w:pStyle w:val="11"/>
            </w:pPr>
            <w:r>
              <w:t>一级指标</w:t>
            </w:r>
          </w:p>
        </w:tc>
        <w:tc>
          <w:tcPr>
            <w:tcW w:w="2268" w:type="dxa"/>
            <w:vAlign w:val="center"/>
          </w:tcPr>
          <w:p w14:paraId="7C9851DA">
            <w:pPr>
              <w:pStyle w:val="11"/>
            </w:pPr>
            <w:r>
              <w:t>二级指标</w:t>
            </w:r>
          </w:p>
        </w:tc>
        <w:tc>
          <w:tcPr>
            <w:tcW w:w="2835" w:type="dxa"/>
            <w:vAlign w:val="center"/>
          </w:tcPr>
          <w:p w14:paraId="753550F0">
            <w:pPr>
              <w:pStyle w:val="11"/>
            </w:pPr>
            <w:r>
              <w:t>三级指标</w:t>
            </w:r>
          </w:p>
        </w:tc>
        <w:tc>
          <w:tcPr>
            <w:tcW w:w="5386" w:type="dxa"/>
            <w:vAlign w:val="center"/>
          </w:tcPr>
          <w:p w14:paraId="0CE9999B">
            <w:pPr>
              <w:pStyle w:val="11"/>
            </w:pPr>
            <w:r>
              <w:t>绩效指标描述</w:t>
            </w:r>
          </w:p>
        </w:tc>
        <w:tc>
          <w:tcPr>
            <w:tcW w:w="2268" w:type="dxa"/>
            <w:vAlign w:val="center"/>
          </w:tcPr>
          <w:p w14:paraId="0E8B9FFF">
            <w:pPr>
              <w:pStyle w:val="11"/>
            </w:pPr>
            <w:r>
              <w:t>指标值</w:t>
            </w:r>
          </w:p>
        </w:tc>
        <w:tc>
          <w:tcPr>
            <w:tcW w:w="1276" w:type="dxa"/>
            <w:vAlign w:val="center"/>
          </w:tcPr>
          <w:p w14:paraId="669FF4E5">
            <w:pPr>
              <w:pStyle w:val="11"/>
            </w:pPr>
            <w:r>
              <w:t>指标值确定依据</w:t>
            </w:r>
          </w:p>
        </w:tc>
      </w:tr>
      <w:tr w14:paraId="58940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4B6BC">
            <w:pPr>
              <w:pStyle w:val="12"/>
            </w:pPr>
            <w:r>
              <w:t>产出指标</w:t>
            </w:r>
          </w:p>
        </w:tc>
        <w:tc>
          <w:tcPr>
            <w:tcW w:w="2268" w:type="dxa"/>
            <w:vAlign w:val="center"/>
          </w:tcPr>
          <w:p w14:paraId="231D6F63">
            <w:pPr>
              <w:pStyle w:val="13"/>
            </w:pPr>
            <w:r>
              <w:t>数量指标</w:t>
            </w:r>
          </w:p>
        </w:tc>
        <w:tc>
          <w:tcPr>
            <w:tcW w:w="2835" w:type="dxa"/>
            <w:vAlign w:val="center"/>
          </w:tcPr>
          <w:p w14:paraId="711E11BB">
            <w:pPr>
              <w:pStyle w:val="13"/>
            </w:pPr>
            <w:r>
              <w:t>适龄在校生</w:t>
            </w:r>
          </w:p>
        </w:tc>
        <w:tc>
          <w:tcPr>
            <w:tcW w:w="5386" w:type="dxa"/>
            <w:vAlign w:val="center"/>
          </w:tcPr>
          <w:p w14:paraId="2C9ED1A4">
            <w:pPr>
              <w:pStyle w:val="13"/>
            </w:pPr>
            <w:r>
              <w:t>适龄在校就读学生人数</w:t>
            </w:r>
          </w:p>
        </w:tc>
        <w:tc>
          <w:tcPr>
            <w:tcW w:w="2268" w:type="dxa"/>
            <w:vAlign w:val="center"/>
          </w:tcPr>
          <w:p w14:paraId="7A257FEE">
            <w:pPr>
              <w:pStyle w:val="13"/>
            </w:pPr>
            <w:r>
              <w:t>527人</w:t>
            </w:r>
          </w:p>
        </w:tc>
        <w:tc>
          <w:tcPr>
            <w:tcW w:w="1276" w:type="dxa"/>
            <w:vAlign w:val="center"/>
          </w:tcPr>
          <w:p w14:paraId="4E9C8C10">
            <w:pPr>
              <w:pStyle w:val="13"/>
            </w:pPr>
            <w:r>
              <w:t>城乡义务教育公用经费管理办法</w:t>
            </w:r>
          </w:p>
        </w:tc>
      </w:tr>
      <w:tr w14:paraId="3F19B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0F744"/>
        </w:tc>
        <w:tc>
          <w:tcPr>
            <w:tcW w:w="2268" w:type="dxa"/>
            <w:vAlign w:val="center"/>
          </w:tcPr>
          <w:p w14:paraId="0A535034">
            <w:pPr>
              <w:pStyle w:val="13"/>
            </w:pPr>
            <w:r>
              <w:t>质量指标</w:t>
            </w:r>
          </w:p>
        </w:tc>
        <w:tc>
          <w:tcPr>
            <w:tcW w:w="2835" w:type="dxa"/>
            <w:vAlign w:val="center"/>
          </w:tcPr>
          <w:p w14:paraId="36BD8437">
            <w:pPr>
              <w:pStyle w:val="13"/>
            </w:pPr>
            <w:r>
              <w:t>预算控制率</w:t>
            </w:r>
          </w:p>
        </w:tc>
        <w:tc>
          <w:tcPr>
            <w:tcW w:w="5386" w:type="dxa"/>
            <w:vAlign w:val="center"/>
          </w:tcPr>
          <w:p w14:paraId="21F201E5">
            <w:pPr>
              <w:pStyle w:val="13"/>
            </w:pPr>
            <w:r>
              <w:t>预算执行</w:t>
            </w:r>
          </w:p>
        </w:tc>
        <w:tc>
          <w:tcPr>
            <w:tcW w:w="2268" w:type="dxa"/>
            <w:vAlign w:val="center"/>
          </w:tcPr>
          <w:p w14:paraId="442F8DFD">
            <w:pPr>
              <w:pStyle w:val="13"/>
            </w:pPr>
            <w:r>
              <w:t>≥95%</w:t>
            </w:r>
          </w:p>
        </w:tc>
        <w:tc>
          <w:tcPr>
            <w:tcW w:w="1276" w:type="dxa"/>
            <w:vAlign w:val="center"/>
          </w:tcPr>
          <w:p w14:paraId="66B4D7DE">
            <w:pPr>
              <w:pStyle w:val="13"/>
            </w:pPr>
            <w:r>
              <w:t>城乡义务教育公用经费管理办法</w:t>
            </w:r>
          </w:p>
        </w:tc>
      </w:tr>
      <w:tr w14:paraId="6DEF4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1E9A6"/>
        </w:tc>
        <w:tc>
          <w:tcPr>
            <w:tcW w:w="2268" w:type="dxa"/>
            <w:vAlign w:val="center"/>
          </w:tcPr>
          <w:p w14:paraId="3CABC22E">
            <w:pPr>
              <w:pStyle w:val="13"/>
            </w:pPr>
            <w:r>
              <w:t>时效指标</w:t>
            </w:r>
          </w:p>
        </w:tc>
        <w:tc>
          <w:tcPr>
            <w:tcW w:w="2835" w:type="dxa"/>
            <w:vAlign w:val="center"/>
          </w:tcPr>
          <w:p w14:paraId="06CD9D27">
            <w:pPr>
              <w:pStyle w:val="13"/>
            </w:pPr>
            <w:r>
              <w:t>资金支付率</w:t>
            </w:r>
          </w:p>
        </w:tc>
        <w:tc>
          <w:tcPr>
            <w:tcW w:w="5386" w:type="dxa"/>
            <w:vAlign w:val="center"/>
          </w:tcPr>
          <w:p w14:paraId="1B63F2EF">
            <w:pPr>
              <w:pStyle w:val="13"/>
            </w:pPr>
            <w:r>
              <w:t>按照序时进度完成资金支付</w:t>
            </w:r>
          </w:p>
        </w:tc>
        <w:tc>
          <w:tcPr>
            <w:tcW w:w="2268" w:type="dxa"/>
            <w:vAlign w:val="center"/>
          </w:tcPr>
          <w:p w14:paraId="4CAEF33C">
            <w:pPr>
              <w:pStyle w:val="13"/>
            </w:pPr>
            <w:r>
              <w:t>≥100%</w:t>
            </w:r>
          </w:p>
        </w:tc>
        <w:tc>
          <w:tcPr>
            <w:tcW w:w="1276" w:type="dxa"/>
            <w:vAlign w:val="center"/>
          </w:tcPr>
          <w:p w14:paraId="7731C4BD">
            <w:pPr>
              <w:pStyle w:val="13"/>
            </w:pPr>
            <w:r>
              <w:t>城乡义务教育公用经费管理办法</w:t>
            </w:r>
          </w:p>
        </w:tc>
      </w:tr>
      <w:tr w14:paraId="13879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113AD"/>
        </w:tc>
        <w:tc>
          <w:tcPr>
            <w:tcW w:w="2268" w:type="dxa"/>
            <w:vAlign w:val="center"/>
          </w:tcPr>
          <w:p w14:paraId="5FA4B2C4">
            <w:pPr>
              <w:pStyle w:val="13"/>
            </w:pPr>
            <w:r>
              <w:t>成本指标</w:t>
            </w:r>
          </w:p>
        </w:tc>
        <w:tc>
          <w:tcPr>
            <w:tcW w:w="2835" w:type="dxa"/>
            <w:vAlign w:val="center"/>
          </w:tcPr>
          <w:p w14:paraId="06F60B7D">
            <w:pPr>
              <w:pStyle w:val="13"/>
            </w:pPr>
            <w:r>
              <w:t>生均拨款标准</w:t>
            </w:r>
          </w:p>
        </w:tc>
        <w:tc>
          <w:tcPr>
            <w:tcW w:w="5386" w:type="dxa"/>
            <w:vAlign w:val="center"/>
          </w:tcPr>
          <w:p w14:paraId="20CF82ED">
            <w:pPr>
              <w:pStyle w:val="13"/>
            </w:pPr>
            <w:r>
              <w:t>小学：（基本标准720元、寄宿生300元、取暖120元）/生/学年；随班就读学生：标准6000元/生/学年。</w:t>
            </w:r>
          </w:p>
        </w:tc>
        <w:tc>
          <w:tcPr>
            <w:tcW w:w="2268" w:type="dxa"/>
            <w:vAlign w:val="center"/>
          </w:tcPr>
          <w:p w14:paraId="1F9FC3DC">
            <w:pPr>
              <w:pStyle w:val="13"/>
            </w:pPr>
            <w:r>
              <w:t>301230元</w:t>
            </w:r>
          </w:p>
        </w:tc>
        <w:tc>
          <w:tcPr>
            <w:tcW w:w="1276" w:type="dxa"/>
            <w:vAlign w:val="center"/>
          </w:tcPr>
          <w:p w14:paraId="15A6E0B5">
            <w:pPr>
              <w:pStyle w:val="13"/>
            </w:pPr>
            <w:r>
              <w:t>城乡义务教育公用经费管理办法</w:t>
            </w:r>
          </w:p>
        </w:tc>
      </w:tr>
      <w:tr w14:paraId="3274F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CDDC75">
            <w:pPr>
              <w:pStyle w:val="12"/>
            </w:pPr>
            <w:r>
              <w:t>效益指标</w:t>
            </w:r>
          </w:p>
        </w:tc>
        <w:tc>
          <w:tcPr>
            <w:tcW w:w="2268" w:type="dxa"/>
            <w:vAlign w:val="center"/>
          </w:tcPr>
          <w:p w14:paraId="22128879">
            <w:pPr>
              <w:pStyle w:val="13"/>
            </w:pPr>
            <w:r>
              <w:t>可持续影响指标</w:t>
            </w:r>
          </w:p>
        </w:tc>
        <w:tc>
          <w:tcPr>
            <w:tcW w:w="2835" w:type="dxa"/>
            <w:vAlign w:val="center"/>
          </w:tcPr>
          <w:p w14:paraId="405C1DE5">
            <w:pPr>
              <w:pStyle w:val="13"/>
            </w:pPr>
            <w:r>
              <w:t>教育发展水平明显好转</w:t>
            </w:r>
          </w:p>
        </w:tc>
        <w:tc>
          <w:tcPr>
            <w:tcW w:w="5386" w:type="dxa"/>
            <w:vAlign w:val="center"/>
          </w:tcPr>
          <w:p w14:paraId="67D4CE0E">
            <w:pPr>
              <w:pStyle w:val="13"/>
            </w:pPr>
            <w:r>
              <w:t>学生受教育年限</w:t>
            </w:r>
          </w:p>
        </w:tc>
        <w:tc>
          <w:tcPr>
            <w:tcW w:w="2268" w:type="dxa"/>
            <w:vAlign w:val="center"/>
          </w:tcPr>
          <w:p w14:paraId="67627233">
            <w:pPr>
              <w:pStyle w:val="13"/>
            </w:pPr>
            <w:r>
              <w:t>6年</w:t>
            </w:r>
          </w:p>
        </w:tc>
        <w:tc>
          <w:tcPr>
            <w:tcW w:w="1276" w:type="dxa"/>
            <w:vAlign w:val="center"/>
          </w:tcPr>
          <w:p w14:paraId="562B996C">
            <w:pPr>
              <w:pStyle w:val="13"/>
            </w:pPr>
            <w:r>
              <w:t>城乡义务教育公用经费管理办法</w:t>
            </w:r>
          </w:p>
        </w:tc>
      </w:tr>
      <w:tr w14:paraId="2039B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45AC5D">
            <w:pPr>
              <w:pStyle w:val="12"/>
            </w:pPr>
            <w:r>
              <w:t>满意度指标</w:t>
            </w:r>
          </w:p>
        </w:tc>
        <w:tc>
          <w:tcPr>
            <w:tcW w:w="2268" w:type="dxa"/>
            <w:vAlign w:val="center"/>
          </w:tcPr>
          <w:p w14:paraId="62ABC9EE">
            <w:pPr>
              <w:pStyle w:val="13"/>
            </w:pPr>
            <w:r>
              <w:t>服务对象满意度指标</w:t>
            </w:r>
          </w:p>
        </w:tc>
        <w:tc>
          <w:tcPr>
            <w:tcW w:w="2835" w:type="dxa"/>
            <w:vAlign w:val="center"/>
          </w:tcPr>
          <w:p w14:paraId="6F4F5695">
            <w:pPr>
              <w:pStyle w:val="13"/>
            </w:pPr>
            <w:r>
              <w:t>受益学生家长及调查满意度</w:t>
            </w:r>
          </w:p>
        </w:tc>
        <w:tc>
          <w:tcPr>
            <w:tcW w:w="5386" w:type="dxa"/>
            <w:vAlign w:val="center"/>
          </w:tcPr>
          <w:p w14:paraId="4AF106D3">
            <w:pPr>
              <w:pStyle w:val="13"/>
            </w:pPr>
            <w:r>
              <w:t>学生、教师及家长对学校教育教学工作满意度情况</w:t>
            </w:r>
          </w:p>
        </w:tc>
        <w:tc>
          <w:tcPr>
            <w:tcW w:w="2268" w:type="dxa"/>
            <w:vAlign w:val="center"/>
          </w:tcPr>
          <w:p w14:paraId="68CE3276">
            <w:pPr>
              <w:pStyle w:val="13"/>
            </w:pPr>
            <w:r>
              <w:t>≥95%</w:t>
            </w:r>
          </w:p>
        </w:tc>
        <w:tc>
          <w:tcPr>
            <w:tcW w:w="1276" w:type="dxa"/>
            <w:vAlign w:val="center"/>
          </w:tcPr>
          <w:p w14:paraId="5EB3658A">
            <w:pPr>
              <w:pStyle w:val="13"/>
            </w:pPr>
            <w:r>
              <w:t>调查问卷</w:t>
            </w:r>
          </w:p>
        </w:tc>
      </w:tr>
    </w:tbl>
    <w:p w14:paraId="5C57E4D4">
      <w:pPr>
        <w:sectPr>
          <w:pgSz w:w="16840" w:h="11900" w:orient="landscape"/>
          <w:pgMar w:top="1361" w:right="1020" w:bottom="1134" w:left="1020" w:header="720" w:footer="720" w:gutter="0"/>
          <w:cols w:space="720" w:num="1"/>
        </w:sectPr>
      </w:pPr>
    </w:p>
    <w:p w14:paraId="63C21EB5">
      <w:pPr>
        <w:spacing w:before="0" w:after="0"/>
        <w:ind w:firstLine="560"/>
        <w:jc w:val="left"/>
        <w:outlineLvl w:val="9"/>
      </w:pPr>
      <w:r>
        <w:rPr>
          <w:rFonts w:ascii="方正仿宋_GBK" w:hAnsi="方正仿宋_GBK" w:eastAsia="方正仿宋_GBK" w:cs="方正仿宋_GBK"/>
          <w:b/>
          <w:color w:val="000000"/>
          <w:sz w:val="28"/>
        </w:rPr>
        <w:t>127、市级基数/隆尧县唐尧中学附属小学公用经费绩效目标表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21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45800">
            <w:pPr>
              <w:pStyle w:val="14"/>
            </w:pPr>
            <w:r>
              <w:t>单位：万元</w:t>
            </w:r>
          </w:p>
        </w:tc>
      </w:tr>
      <w:tr w14:paraId="228E7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2276B9">
            <w:pPr>
              <w:pStyle w:val="11"/>
            </w:pPr>
            <w:r>
              <w:t>项目编码</w:t>
            </w:r>
          </w:p>
        </w:tc>
        <w:tc>
          <w:tcPr>
            <w:tcW w:w="5103" w:type="dxa"/>
            <w:gridSpan w:val="2"/>
            <w:vAlign w:val="center"/>
          </w:tcPr>
          <w:p w14:paraId="447CF408">
            <w:pPr>
              <w:pStyle w:val="13"/>
            </w:pPr>
            <w:r>
              <w:t>13052525P000004102164</w:t>
            </w:r>
          </w:p>
        </w:tc>
        <w:tc>
          <w:tcPr>
            <w:tcW w:w="2835" w:type="dxa"/>
            <w:vAlign w:val="center"/>
          </w:tcPr>
          <w:p w14:paraId="108B384C">
            <w:pPr>
              <w:pStyle w:val="11"/>
            </w:pPr>
            <w:r>
              <w:t>项目名称</w:t>
            </w:r>
          </w:p>
        </w:tc>
        <w:tc>
          <w:tcPr>
            <w:tcW w:w="6095" w:type="dxa"/>
            <w:gridSpan w:val="3"/>
            <w:vAlign w:val="center"/>
          </w:tcPr>
          <w:p w14:paraId="6CF1113A">
            <w:pPr>
              <w:pStyle w:val="13"/>
            </w:pPr>
            <w:r>
              <w:t>市级基数/隆尧县唐尧中学附属小学公用经费</w:t>
            </w:r>
          </w:p>
        </w:tc>
      </w:tr>
      <w:tr w14:paraId="42EC1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E46DD">
            <w:pPr>
              <w:pStyle w:val="11"/>
            </w:pPr>
            <w:r>
              <w:t>预算规模及资金用途</w:t>
            </w:r>
          </w:p>
        </w:tc>
        <w:tc>
          <w:tcPr>
            <w:tcW w:w="2268" w:type="dxa"/>
            <w:vAlign w:val="center"/>
          </w:tcPr>
          <w:p w14:paraId="5E1819AA">
            <w:pPr>
              <w:pStyle w:val="11"/>
            </w:pPr>
            <w:r>
              <w:t>预算数</w:t>
            </w:r>
          </w:p>
        </w:tc>
        <w:tc>
          <w:tcPr>
            <w:tcW w:w="2835" w:type="dxa"/>
            <w:vAlign w:val="center"/>
          </w:tcPr>
          <w:p w14:paraId="37290FAF">
            <w:pPr>
              <w:pStyle w:val="13"/>
            </w:pPr>
            <w:r>
              <w:t>11.88</w:t>
            </w:r>
          </w:p>
        </w:tc>
        <w:tc>
          <w:tcPr>
            <w:tcW w:w="2835" w:type="dxa"/>
            <w:vAlign w:val="center"/>
          </w:tcPr>
          <w:p w14:paraId="33ADD0DA">
            <w:pPr>
              <w:pStyle w:val="11"/>
            </w:pPr>
            <w:r>
              <w:t>其中：财政    资金</w:t>
            </w:r>
          </w:p>
        </w:tc>
        <w:tc>
          <w:tcPr>
            <w:tcW w:w="2551" w:type="dxa"/>
            <w:vAlign w:val="center"/>
          </w:tcPr>
          <w:p w14:paraId="5847CECF">
            <w:pPr>
              <w:pStyle w:val="13"/>
            </w:pPr>
            <w:r>
              <w:t>11.88</w:t>
            </w:r>
          </w:p>
        </w:tc>
        <w:tc>
          <w:tcPr>
            <w:tcW w:w="2268" w:type="dxa"/>
            <w:vAlign w:val="center"/>
          </w:tcPr>
          <w:p w14:paraId="259C25E8">
            <w:pPr>
              <w:pStyle w:val="11"/>
            </w:pPr>
            <w:r>
              <w:t>其他资金</w:t>
            </w:r>
          </w:p>
        </w:tc>
        <w:tc>
          <w:tcPr>
            <w:tcW w:w="1276" w:type="dxa"/>
            <w:vAlign w:val="center"/>
          </w:tcPr>
          <w:p w14:paraId="75C21565">
            <w:pPr>
              <w:pStyle w:val="13"/>
            </w:pPr>
            <w:r>
              <w:t xml:space="preserve"> </w:t>
            </w:r>
          </w:p>
        </w:tc>
      </w:tr>
      <w:tr w14:paraId="75E56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3BF469"/>
        </w:tc>
        <w:tc>
          <w:tcPr>
            <w:tcW w:w="14033" w:type="dxa"/>
            <w:gridSpan w:val="6"/>
            <w:vAlign w:val="center"/>
          </w:tcPr>
          <w:p w14:paraId="3D1FFC7C">
            <w:pPr>
              <w:pStyle w:val="13"/>
            </w:pPr>
            <w:r>
              <w:t xml:space="preserve">保障义务教育学校正常运转，完成教育教学活动和其他日常工作任务等方面的费用支出。 </w:t>
            </w:r>
          </w:p>
        </w:tc>
      </w:tr>
      <w:tr w14:paraId="2E087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0BD6C">
            <w:pPr>
              <w:pStyle w:val="11"/>
            </w:pPr>
            <w:r>
              <w:t>资金支出计划（%）</w:t>
            </w:r>
          </w:p>
        </w:tc>
        <w:tc>
          <w:tcPr>
            <w:tcW w:w="5103" w:type="dxa"/>
            <w:gridSpan w:val="2"/>
            <w:vAlign w:val="center"/>
          </w:tcPr>
          <w:p w14:paraId="557F0D7A">
            <w:pPr>
              <w:pStyle w:val="11"/>
            </w:pPr>
            <w:r>
              <w:t>3月底</w:t>
            </w:r>
          </w:p>
        </w:tc>
        <w:tc>
          <w:tcPr>
            <w:tcW w:w="2835" w:type="dxa"/>
            <w:vAlign w:val="center"/>
          </w:tcPr>
          <w:p w14:paraId="40C09D44">
            <w:pPr>
              <w:pStyle w:val="11"/>
            </w:pPr>
            <w:r>
              <w:t>6月底</w:t>
            </w:r>
          </w:p>
        </w:tc>
        <w:tc>
          <w:tcPr>
            <w:tcW w:w="2551" w:type="dxa"/>
            <w:vAlign w:val="center"/>
          </w:tcPr>
          <w:p w14:paraId="33C05B99">
            <w:pPr>
              <w:pStyle w:val="11"/>
            </w:pPr>
            <w:r>
              <w:t>10月底</w:t>
            </w:r>
          </w:p>
        </w:tc>
        <w:tc>
          <w:tcPr>
            <w:tcW w:w="3544" w:type="dxa"/>
            <w:gridSpan w:val="2"/>
            <w:vAlign w:val="center"/>
          </w:tcPr>
          <w:p w14:paraId="338B9A2C">
            <w:pPr>
              <w:pStyle w:val="11"/>
            </w:pPr>
            <w:r>
              <w:t>12月底</w:t>
            </w:r>
          </w:p>
        </w:tc>
      </w:tr>
      <w:tr w14:paraId="07BEA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79E5F7"/>
        </w:tc>
        <w:tc>
          <w:tcPr>
            <w:tcW w:w="5103" w:type="dxa"/>
            <w:gridSpan w:val="2"/>
            <w:vAlign w:val="center"/>
          </w:tcPr>
          <w:p w14:paraId="4E3005C2">
            <w:pPr>
              <w:pStyle w:val="12"/>
            </w:pPr>
            <w:r>
              <w:t xml:space="preserve"> </w:t>
            </w:r>
          </w:p>
        </w:tc>
        <w:tc>
          <w:tcPr>
            <w:tcW w:w="2835" w:type="dxa"/>
            <w:vAlign w:val="center"/>
          </w:tcPr>
          <w:p w14:paraId="5CC38473">
            <w:pPr>
              <w:pStyle w:val="12"/>
            </w:pPr>
            <w:r>
              <w:t xml:space="preserve"> </w:t>
            </w:r>
          </w:p>
        </w:tc>
        <w:tc>
          <w:tcPr>
            <w:tcW w:w="2551" w:type="dxa"/>
            <w:vAlign w:val="center"/>
          </w:tcPr>
          <w:p w14:paraId="3E2715AF">
            <w:pPr>
              <w:pStyle w:val="12"/>
            </w:pPr>
            <w:r>
              <w:t xml:space="preserve"> </w:t>
            </w:r>
          </w:p>
        </w:tc>
        <w:tc>
          <w:tcPr>
            <w:tcW w:w="3544" w:type="dxa"/>
            <w:gridSpan w:val="2"/>
            <w:vAlign w:val="center"/>
          </w:tcPr>
          <w:p w14:paraId="5A9B3272">
            <w:pPr>
              <w:pStyle w:val="12"/>
            </w:pPr>
            <w:r>
              <w:t>100%</w:t>
            </w:r>
          </w:p>
        </w:tc>
      </w:tr>
      <w:tr w14:paraId="700D2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2EE5E">
            <w:pPr>
              <w:pStyle w:val="11"/>
            </w:pPr>
            <w:r>
              <w:t>绩效目标</w:t>
            </w:r>
          </w:p>
        </w:tc>
        <w:tc>
          <w:tcPr>
            <w:tcW w:w="14033" w:type="dxa"/>
            <w:gridSpan w:val="6"/>
            <w:vAlign w:val="center"/>
          </w:tcPr>
          <w:p w14:paraId="60C2637D">
            <w:pPr>
              <w:pStyle w:val="13"/>
            </w:pPr>
            <w:r>
              <w:t xml:space="preserve">1.保障义务教育学校正常运转，完成教育教学活动和其他日常工作任务等方面的费用支出。 </w:t>
            </w:r>
          </w:p>
        </w:tc>
      </w:tr>
    </w:tbl>
    <w:p w14:paraId="0D94E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E9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F5D7A">
            <w:pPr>
              <w:pStyle w:val="11"/>
            </w:pPr>
            <w:r>
              <w:t>一级指标</w:t>
            </w:r>
          </w:p>
        </w:tc>
        <w:tc>
          <w:tcPr>
            <w:tcW w:w="2268" w:type="dxa"/>
            <w:vAlign w:val="center"/>
          </w:tcPr>
          <w:p w14:paraId="1195991F">
            <w:pPr>
              <w:pStyle w:val="11"/>
            </w:pPr>
            <w:r>
              <w:t>二级指标</w:t>
            </w:r>
          </w:p>
        </w:tc>
        <w:tc>
          <w:tcPr>
            <w:tcW w:w="2835" w:type="dxa"/>
            <w:vAlign w:val="center"/>
          </w:tcPr>
          <w:p w14:paraId="5FFA2FA5">
            <w:pPr>
              <w:pStyle w:val="11"/>
            </w:pPr>
            <w:r>
              <w:t>三级指标</w:t>
            </w:r>
          </w:p>
        </w:tc>
        <w:tc>
          <w:tcPr>
            <w:tcW w:w="5386" w:type="dxa"/>
            <w:vAlign w:val="center"/>
          </w:tcPr>
          <w:p w14:paraId="68EC90D2">
            <w:pPr>
              <w:pStyle w:val="11"/>
            </w:pPr>
            <w:r>
              <w:t>绩效指标描述</w:t>
            </w:r>
          </w:p>
        </w:tc>
        <w:tc>
          <w:tcPr>
            <w:tcW w:w="2268" w:type="dxa"/>
            <w:vAlign w:val="center"/>
          </w:tcPr>
          <w:p w14:paraId="3B3FA9B2">
            <w:pPr>
              <w:pStyle w:val="11"/>
            </w:pPr>
            <w:r>
              <w:t>指标值</w:t>
            </w:r>
          </w:p>
        </w:tc>
        <w:tc>
          <w:tcPr>
            <w:tcW w:w="1276" w:type="dxa"/>
            <w:vAlign w:val="center"/>
          </w:tcPr>
          <w:p w14:paraId="5A83BC25">
            <w:pPr>
              <w:pStyle w:val="11"/>
            </w:pPr>
            <w:r>
              <w:t>指标值确定依据</w:t>
            </w:r>
          </w:p>
        </w:tc>
      </w:tr>
      <w:tr w14:paraId="4A9B4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F6C4F">
            <w:pPr>
              <w:pStyle w:val="12"/>
            </w:pPr>
            <w:r>
              <w:t>产出指标</w:t>
            </w:r>
          </w:p>
        </w:tc>
        <w:tc>
          <w:tcPr>
            <w:tcW w:w="2268" w:type="dxa"/>
            <w:vAlign w:val="center"/>
          </w:tcPr>
          <w:p w14:paraId="52650EF1">
            <w:pPr>
              <w:pStyle w:val="13"/>
            </w:pPr>
            <w:r>
              <w:t>数量指标</w:t>
            </w:r>
          </w:p>
        </w:tc>
        <w:tc>
          <w:tcPr>
            <w:tcW w:w="2835" w:type="dxa"/>
            <w:vAlign w:val="center"/>
          </w:tcPr>
          <w:p w14:paraId="290B377B">
            <w:pPr>
              <w:pStyle w:val="13"/>
            </w:pPr>
            <w:r>
              <w:t>适龄在校生</w:t>
            </w:r>
          </w:p>
        </w:tc>
        <w:tc>
          <w:tcPr>
            <w:tcW w:w="5386" w:type="dxa"/>
            <w:vAlign w:val="center"/>
          </w:tcPr>
          <w:p w14:paraId="296CE258">
            <w:pPr>
              <w:pStyle w:val="13"/>
            </w:pPr>
            <w:r>
              <w:t>适龄在校就读学生人数</w:t>
            </w:r>
          </w:p>
        </w:tc>
        <w:tc>
          <w:tcPr>
            <w:tcW w:w="2268" w:type="dxa"/>
            <w:vAlign w:val="center"/>
          </w:tcPr>
          <w:p w14:paraId="5D701575">
            <w:pPr>
              <w:pStyle w:val="13"/>
            </w:pPr>
            <w:r>
              <w:t>207人</w:t>
            </w:r>
          </w:p>
        </w:tc>
        <w:tc>
          <w:tcPr>
            <w:tcW w:w="1276" w:type="dxa"/>
            <w:vAlign w:val="center"/>
          </w:tcPr>
          <w:p w14:paraId="1EE1A9C5">
            <w:pPr>
              <w:pStyle w:val="13"/>
            </w:pPr>
            <w:r>
              <w:t>城乡义务教育公用经费管理办法</w:t>
            </w:r>
          </w:p>
        </w:tc>
      </w:tr>
      <w:tr w14:paraId="3A720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6D17A"/>
        </w:tc>
        <w:tc>
          <w:tcPr>
            <w:tcW w:w="2268" w:type="dxa"/>
            <w:vAlign w:val="center"/>
          </w:tcPr>
          <w:p w14:paraId="3DE0C5BE">
            <w:pPr>
              <w:pStyle w:val="13"/>
            </w:pPr>
            <w:r>
              <w:t>质量指标</w:t>
            </w:r>
          </w:p>
        </w:tc>
        <w:tc>
          <w:tcPr>
            <w:tcW w:w="2835" w:type="dxa"/>
            <w:vAlign w:val="center"/>
          </w:tcPr>
          <w:p w14:paraId="5E3E1C1A">
            <w:pPr>
              <w:pStyle w:val="13"/>
            </w:pPr>
            <w:r>
              <w:t>预算控制率</w:t>
            </w:r>
          </w:p>
        </w:tc>
        <w:tc>
          <w:tcPr>
            <w:tcW w:w="5386" w:type="dxa"/>
            <w:vAlign w:val="center"/>
          </w:tcPr>
          <w:p w14:paraId="2B4E9504">
            <w:pPr>
              <w:pStyle w:val="13"/>
            </w:pPr>
            <w:r>
              <w:t>预算执行</w:t>
            </w:r>
          </w:p>
        </w:tc>
        <w:tc>
          <w:tcPr>
            <w:tcW w:w="2268" w:type="dxa"/>
            <w:vAlign w:val="center"/>
          </w:tcPr>
          <w:p w14:paraId="71FEFC63">
            <w:pPr>
              <w:pStyle w:val="13"/>
            </w:pPr>
            <w:r>
              <w:t>≥95%</w:t>
            </w:r>
          </w:p>
        </w:tc>
        <w:tc>
          <w:tcPr>
            <w:tcW w:w="1276" w:type="dxa"/>
            <w:vAlign w:val="center"/>
          </w:tcPr>
          <w:p w14:paraId="444AF469">
            <w:pPr>
              <w:pStyle w:val="13"/>
            </w:pPr>
            <w:r>
              <w:t>城乡义务教育公用经费管理办法</w:t>
            </w:r>
          </w:p>
        </w:tc>
      </w:tr>
      <w:tr w14:paraId="613C5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B9A39"/>
        </w:tc>
        <w:tc>
          <w:tcPr>
            <w:tcW w:w="2268" w:type="dxa"/>
            <w:vAlign w:val="center"/>
          </w:tcPr>
          <w:p w14:paraId="65422058">
            <w:pPr>
              <w:pStyle w:val="13"/>
            </w:pPr>
            <w:r>
              <w:t>时效指标</w:t>
            </w:r>
          </w:p>
        </w:tc>
        <w:tc>
          <w:tcPr>
            <w:tcW w:w="2835" w:type="dxa"/>
            <w:vAlign w:val="center"/>
          </w:tcPr>
          <w:p w14:paraId="0FAE32E0">
            <w:pPr>
              <w:pStyle w:val="13"/>
            </w:pPr>
            <w:r>
              <w:t>资金支付率</w:t>
            </w:r>
          </w:p>
        </w:tc>
        <w:tc>
          <w:tcPr>
            <w:tcW w:w="5386" w:type="dxa"/>
            <w:vAlign w:val="center"/>
          </w:tcPr>
          <w:p w14:paraId="18454873">
            <w:pPr>
              <w:pStyle w:val="13"/>
            </w:pPr>
            <w:r>
              <w:t>按照序时进度完成资金支付</w:t>
            </w:r>
          </w:p>
        </w:tc>
        <w:tc>
          <w:tcPr>
            <w:tcW w:w="2268" w:type="dxa"/>
            <w:vAlign w:val="center"/>
          </w:tcPr>
          <w:p w14:paraId="17EDF04D">
            <w:pPr>
              <w:pStyle w:val="13"/>
            </w:pPr>
            <w:r>
              <w:t>≥100%</w:t>
            </w:r>
          </w:p>
        </w:tc>
        <w:tc>
          <w:tcPr>
            <w:tcW w:w="1276" w:type="dxa"/>
            <w:vAlign w:val="center"/>
          </w:tcPr>
          <w:p w14:paraId="52D473A1">
            <w:pPr>
              <w:pStyle w:val="13"/>
            </w:pPr>
            <w:r>
              <w:t>城乡义务教育公用经费管理办法</w:t>
            </w:r>
          </w:p>
        </w:tc>
      </w:tr>
      <w:tr w14:paraId="53680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8E526"/>
        </w:tc>
        <w:tc>
          <w:tcPr>
            <w:tcW w:w="2268" w:type="dxa"/>
            <w:vAlign w:val="center"/>
          </w:tcPr>
          <w:p w14:paraId="57D9053C">
            <w:pPr>
              <w:pStyle w:val="13"/>
            </w:pPr>
            <w:r>
              <w:t>成本指标</w:t>
            </w:r>
          </w:p>
        </w:tc>
        <w:tc>
          <w:tcPr>
            <w:tcW w:w="2835" w:type="dxa"/>
            <w:vAlign w:val="center"/>
          </w:tcPr>
          <w:p w14:paraId="3B62FAF2">
            <w:pPr>
              <w:pStyle w:val="13"/>
            </w:pPr>
            <w:r>
              <w:t>生均拨款标准</w:t>
            </w:r>
          </w:p>
        </w:tc>
        <w:tc>
          <w:tcPr>
            <w:tcW w:w="5386" w:type="dxa"/>
            <w:vAlign w:val="center"/>
          </w:tcPr>
          <w:p w14:paraId="37F89255">
            <w:pPr>
              <w:pStyle w:val="13"/>
            </w:pPr>
            <w:r>
              <w:t>小学：（基本标准720元、寄宿生300元、取暖120元）/生/学年；随班就读学生：标准6000元/生/学年。</w:t>
            </w:r>
          </w:p>
        </w:tc>
        <w:tc>
          <w:tcPr>
            <w:tcW w:w="2268" w:type="dxa"/>
            <w:vAlign w:val="center"/>
          </w:tcPr>
          <w:p w14:paraId="2C22A7DB">
            <w:pPr>
              <w:pStyle w:val="13"/>
            </w:pPr>
            <w:r>
              <w:t>840元</w:t>
            </w:r>
          </w:p>
        </w:tc>
        <w:tc>
          <w:tcPr>
            <w:tcW w:w="1276" w:type="dxa"/>
            <w:vAlign w:val="center"/>
          </w:tcPr>
          <w:p w14:paraId="29DBC64E">
            <w:pPr>
              <w:pStyle w:val="13"/>
            </w:pPr>
            <w:r>
              <w:t>城乡义务教育公用经费管理办法</w:t>
            </w:r>
          </w:p>
        </w:tc>
      </w:tr>
      <w:tr w14:paraId="2CD53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082BC7">
            <w:pPr>
              <w:pStyle w:val="12"/>
            </w:pPr>
            <w:r>
              <w:t>效益指标</w:t>
            </w:r>
          </w:p>
        </w:tc>
        <w:tc>
          <w:tcPr>
            <w:tcW w:w="2268" w:type="dxa"/>
            <w:vAlign w:val="center"/>
          </w:tcPr>
          <w:p w14:paraId="578A8081">
            <w:pPr>
              <w:pStyle w:val="13"/>
            </w:pPr>
            <w:r>
              <w:t>可持续影响指标</w:t>
            </w:r>
          </w:p>
        </w:tc>
        <w:tc>
          <w:tcPr>
            <w:tcW w:w="2835" w:type="dxa"/>
            <w:vAlign w:val="center"/>
          </w:tcPr>
          <w:p w14:paraId="6928078D">
            <w:pPr>
              <w:pStyle w:val="13"/>
            </w:pPr>
            <w:r>
              <w:t>教育发展水平明显好转</w:t>
            </w:r>
          </w:p>
        </w:tc>
        <w:tc>
          <w:tcPr>
            <w:tcW w:w="5386" w:type="dxa"/>
            <w:vAlign w:val="center"/>
          </w:tcPr>
          <w:p w14:paraId="721123B5">
            <w:pPr>
              <w:pStyle w:val="13"/>
            </w:pPr>
            <w:r>
              <w:t>学生受教育年限</w:t>
            </w:r>
          </w:p>
        </w:tc>
        <w:tc>
          <w:tcPr>
            <w:tcW w:w="2268" w:type="dxa"/>
            <w:vAlign w:val="center"/>
          </w:tcPr>
          <w:p w14:paraId="2CF59E7F">
            <w:pPr>
              <w:pStyle w:val="13"/>
            </w:pPr>
            <w:r>
              <w:t>6年</w:t>
            </w:r>
          </w:p>
        </w:tc>
        <w:tc>
          <w:tcPr>
            <w:tcW w:w="1276" w:type="dxa"/>
            <w:vAlign w:val="center"/>
          </w:tcPr>
          <w:p w14:paraId="1F8AEB06">
            <w:pPr>
              <w:pStyle w:val="13"/>
            </w:pPr>
            <w:r>
              <w:t>城乡义务教育公用经费管理办法</w:t>
            </w:r>
          </w:p>
        </w:tc>
      </w:tr>
      <w:tr w14:paraId="26C66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C2603">
            <w:pPr>
              <w:pStyle w:val="12"/>
            </w:pPr>
            <w:r>
              <w:t>满意度指标</w:t>
            </w:r>
          </w:p>
        </w:tc>
        <w:tc>
          <w:tcPr>
            <w:tcW w:w="2268" w:type="dxa"/>
            <w:vAlign w:val="center"/>
          </w:tcPr>
          <w:p w14:paraId="11A18C50">
            <w:pPr>
              <w:pStyle w:val="13"/>
            </w:pPr>
            <w:r>
              <w:t>服务对象满意度指标</w:t>
            </w:r>
          </w:p>
        </w:tc>
        <w:tc>
          <w:tcPr>
            <w:tcW w:w="2835" w:type="dxa"/>
            <w:vAlign w:val="center"/>
          </w:tcPr>
          <w:p w14:paraId="6017458B">
            <w:pPr>
              <w:pStyle w:val="13"/>
            </w:pPr>
            <w:r>
              <w:t>受益学生家长及调查满意度</w:t>
            </w:r>
          </w:p>
        </w:tc>
        <w:tc>
          <w:tcPr>
            <w:tcW w:w="5386" w:type="dxa"/>
            <w:vAlign w:val="center"/>
          </w:tcPr>
          <w:p w14:paraId="3C5AC40E">
            <w:pPr>
              <w:pStyle w:val="13"/>
            </w:pPr>
            <w:r>
              <w:t>学生、教师及家长对学校教育教学工作满意度情况</w:t>
            </w:r>
          </w:p>
        </w:tc>
        <w:tc>
          <w:tcPr>
            <w:tcW w:w="2268" w:type="dxa"/>
            <w:vAlign w:val="center"/>
          </w:tcPr>
          <w:p w14:paraId="4B3C98D0">
            <w:pPr>
              <w:pStyle w:val="13"/>
            </w:pPr>
            <w:r>
              <w:t>≥95%</w:t>
            </w:r>
          </w:p>
        </w:tc>
        <w:tc>
          <w:tcPr>
            <w:tcW w:w="1276" w:type="dxa"/>
            <w:vAlign w:val="center"/>
          </w:tcPr>
          <w:p w14:paraId="04AB18D9">
            <w:pPr>
              <w:pStyle w:val="13"/>
            </w:pPr>
            <w:r>
              <w:t>调查问卷</w:t>
            </w:r>
          </w:p>
        </w:tc>
      </w:tr>
    </w:tbl>
    <w:p w14:paraId="341A84D0">
      <w:pPr>
        <w:sectPr>
          <w:pgSz w:w="16840" w:h="11900" w:orient="landscape"/>
          <w:pgMar w:top="1361" w:right="1020" w:bottom="1134" w:left="1020" w:header="720" w:footer="720" w:gutter="0"/>
          <w:cols w:space="720" w:num="1"/>
        </w:sectPr>
      </w:pPr>
    </w:p>
    <w:p w14:paraId="3EC4D431">
      <w:pPr>
        <w:spacing w:before="0" w:after="0"/>
        <w:ind w:firstLine="560"/>
        <w:jc w:val="left"/>
        <w:outlineLvl w:val="9"/>
      </w:pPr>
      <w:r>
        <w:rPr>
          <w:rFonts w:ascii="方正仿宋_GBK" w:hAnsi="方正仿宋_GBK" w:eastAsia="方正仿宋_GBK" w:cs="方正仿宋_GBK"/>
          <w:b/>
          <w:color w:val="000000"/>
          <w:sz w:val="28"/>
        </w:rPr>
        <w:t>128、市级基数/隆尧县新星学校公用经费绩效目标表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9E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51222">
            <w:pPr>
              <w:pStyle w:val="14"/>
            </w:pPr>
            <w:r>
              <w:t>单位：万元</w:t>
            </w:r>
          </w:p>
        </w:tc>
      </w:tr>
      <w:tr w14:paraId="234E5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CBE942">
            <w:pPr>
              <w:pStyle w:val="11"/>
            </w:pPr>
            <w:r>
              <w:t>项目编码</w:t>
            </w:r>
          </w:p>
        </w:tc>
        <w:tc>
          <w:tcPr>
            <w:tcW w:w="5103" w:type="dxa"/>
            <w:gridSpan w:val="2"/>
            <w:vAlign w:val="center"/>
          </w:tcPr>
          <w:p w14:paraId="24FAB89B">
            <w:pPr>
              <w:pStyle w:val="13"/>
            </w:pPr>
            <w:r>
              <w:t>13052525P00000410203D</w:t>
            </w:r>
          </w:p>
        </w:tc>
        <w:tc>
          <w:tcPr>
            <w:tcW w:w="2835" w:type="dxa"/>
            <w:vAlign w:val="center"/>
          </w:tcPr>
          <w:p w14:paraId="06DE5380">
            <w:pPr>
              <w:pStyle w:val="11"/>
            </w:pPr>
            <w:r>
              <w:t>项目名称</w:t>
            </w:r>
          </w:p>
        </w:tc>
        <w:tc>
          <w:tcPr>
            <w:tcW w:w="6095" w:type="dxa"/>
            <w:gridSpan w:val="3"/>
            <w:vAlign w:val="center"/>
          </w:tcPr>
          <w:p w14:paraId="54709DE9">
            <w:pPr>
              <w:pStyle w:val="13"/>
            </w:pPr>
            <w:r>
              <w:t>市级基数/隆尧县新星学校公用经费</w:t>
            </w:r>
          </w:p>
        </w:tc>
      </w:tr>
      <w:tr w14:paraId="7ABAD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C8DB8">
            <w:pPr>
              <w:pStyle w:val="11"/>
            </w:pPr>
            <w:r>
              <w:t>预算规模及资金用途</w:t>
            </w:r>
          </w:p>
        </w:tc>
        <w:tc>
          <w:tcPr>
            <w:tcW w:w="2268" w:type="dxa"/>
            <w:vAlign w:val="center"/>
          </w:tcPr>
          <w:p w14:paraId="506D8EC2">
            <w:pPr>
              <w:pStyle w:val="11"/>
            </w:pPr>
            <w:r>
              <w:t>预算数</w:t>
            </w:r>
          </w:p>
        </w:tc>
        <w:tc>
          <w:tcPr>
            <w:tcW w:w="2835" w:type="dxa"/>
            <w:vAlign w:val="center"/>
          </w:tcPr>
          <w:p w14:paraId="0A3EC5B7">
            <w:pPr>
              <w:pStyle w:val="13"/>
            </w:pPr>
            <w:r>
              <w:t>17.56</w:t>
            </w:r>
          </w:p>
        </w:tc>
        <w:tc>
          <w:tcPr>
            <w:tcW w:w="2835" w:type="dxa"/>
            <w:vAlign w:val="center"/>
          </w:tcPr>
          <w:p w14:paraId="19973EEF">
            <w:pPr>
              <w:pStyle w:val="11"/>
            </w:pPr>
            <w:r>
              <w:t>其中：财政    资金</w:t>
            </w:r>
          </w:p>
        </w:tc>
        <w:tc>
          <w:tcPr>
            <w:tcW w:w="2551" w:type="dxa"/>
            <w:vAlign w:val="center"/>
          </w:tcPr>
          <w:p w14:paraId="42F85D6C">
            <w:pPr>
              <w:pStyle w:val="13"/>
            </w:pPr>
            <w:r>
              <w:t>17.56</w:t>
            </w:r>
          </w:p>
        </w:tc>
        <w:tc>
          <w:tcPr>
            <w:tcW w:w="2268" w:type="dxa"/>
            <w:vAlign w:val="center"/>
          </w:tcPr>
          <w:p w14:paraId="179FAC64">
            <w:pPr>
              <w:pStyle w:val="11"/>
            </w:pPr>
            <w:r>
              <w:t>其他资金</w:t>
            </w:r>
          </w:p>
        </w:tc>
        <w:tc>
          <w:tcPr>
            <w:tcW w:w="1276" w:type="dxa"/>
            <w:vAlign w:val="center"/>
          </w:tcPr>
          <w:p w14:paraId="40589B79">
            <w:pPr>
              <w:pStyle w:val="13"/>
            </w:pPr>
            <w:r>
              <w:t xml:space="preserve"> </w:t>
            </w:r>
          </w:p>
        </w:tc>
      </w:tr>
      <w:tr w14:paraId="24AEF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246FF2"/>
        </w:tc>
        <w:tc>
          <w:tcPr>
            <w:tcW w:w="14033" w:type="dxa"/>
            <w:gridSpan w:val="6"/>
            <w:vAlign w:val="center"/>
          </w:tcPr>
          <w:p w14:paraId="1B6EFFC8">
            <w:pPr>
              <w:pStyle w:val="13"/>
            </w:pPr>
            <w:r>
              <w:t>保障义务教育学校正常运转，完成教育教学活动和其他日常工作任务等方面的费用支出。</w:t>
            </w:r>
          </w:p>
        </w:tc>
      </w:tr>
      <w:tr w14:paraId="69BCBC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1DA40">
            <w:pPr>
              <w:pStyle w:val="11"/>
            </w:pPr>
            <w:r>
              <w:t>资金支出计划（%）</w:t>
            </w:r>
          </w:p>
        </w:tc>
        <w:tc>
          <w:tcPr>
            <w:tcW w:w="5103" w:type="dxa"/>
            <w:gridSpan w:val="2"/>
            <w:vAlign w:val="center"/>
          </w:tcPr>
          <w:p w14:paraId="0070D7ED">
            <w:pPr>
              <w:pStyle w:val="11"/>
            </w:pPr>
            <w:r>
              <w:t>3月底</w:t>
            </w:r>
          </w:p>
        </w:tc>
        <w:tc>
          <w:tcPr>
            <w:tcW w:w="2835" w:type="dxa"/>
            <w:vAlign w:val="center"/>
          </w:tcPr>
          <w:p w14:paraId="64BFD903">
            <w:pPr>
              <w:pStyle w:val="11"/>
            </w:pPr>
            <w:r>
              <w:t>6月底</w:t>
            </w:r>
          </w:p>
        </w:tc>
        <w:tc>
          <w:tcPr>
            <w:tcW w:w="2551" w:type="dxa"/>
            <w:vAlign w:val="center"/>
          </w:tcPr>
          <w:p w14:paraId="79187B94">
            <w:pPr>
              <w:pStyle w:val="11"/>
            </w:pPr>
            <w:r>
              <w:t>10月底</w:t>
            </w:r>
          </w:p>
        </w:tc>
        <w:tc>
          <w:tcPr>
            <w:tcW w:w="3544" w:type="dxa"/>
            <w:gridSpan w:val="2"/>
            <w:vAlign w:val="center"/>
          </w:tcPr>
          <w:p w14:paraId="7F4D0A21">
            <w:pPr>
              <w:pStyle w:val="11"/>
            </w:pPr>
            <w:r>
              <w:t>12月底</w:t>
            </w:r>
          </w:p>
        </w:tc>
      </w:tr>
      <w:tr w14:paraId="1A746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350A45"/>
        </w:tc>
        <w:tc>
          <w:tcPr>
            <w:tcW w:w="5103" w:type="dxa"/>
            <w:gridSpan w:val="2"/>
            <w:vAlign w:val="center"/>
          </w:tcPr>
          <w:p w14:paraId="097EB585">
            <w:pPr>
              <w:pStyle w:val="12"/>
            </w:pPr>
            <w:r>
              <w:t xml:space="preserve"> </w:t>
            </w:r>
          </w:p>
        </w:tc>
        <w:tc>
          <w:tcPr>
            <w:tcW w:w="2835" w:type="dxa"/>
            <w:vAlign w:val="center"/>
          </w:tcPr>
          <w:p w14:paraId="24DC2AD5">
            <w:pPr>
              <w:pStyle w:val="12"/>
            </w:pPr>
            <w:r>
              <w:t xml:space="preserve"> </w:t>
            </w:r>
          </w:p>
        </w:tc>
        <w:tc>
          <w:tcPr>
            <w:tcW w:w="2551" w:type="dxa"/>
            <w:vAlign w:val="center"/>
          </w:tcPr>
          <w:p w14:paraId="7DAD9315">
            <w:pPr>
              <w:pStyle w:val="12"/>
            </w:pPr>
            <w:r>
              <w:t xml:space="preserve"> </w:t>
            </w:r>
          </w:p>
        </w:tc>
        <w:tc>
          <w:tcPr>
            <w:tcW w:w="3544" w:type="dxa"/>
            <w:gridSpan w:val="2"/>
            <w:vAlign w:val="center"/>
          </w:tcPr>
          <w:p w14:paraId="06BE0B6F">
            <w:pPr>
              <w:pStyle w:val="12"/>
            </w:pPr>
            <w:r>
              <w:t>100%</w:t>
            </w:r>
          </w:p>
        </w:tc>
      </w:tr>
      <w:tr w14:paraId="045D0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BA206">
            <w:pPr>
              <w:pStyle w:val="11"/>
            </w:pPr>
            <w:r>
              <w:t>绩效目标</w:t>
            </w:r>
          </w:p>
        </w:tc>
        <w:tc>
          <w:tcPr>
            <w:tcW w:w="14033" w:type="dxa"/>
            <w:gridSpan w:val="6"/>
            <w:vAlign w:val="center"/>
          </w:tcPr>
          <w:p w14:paraId="02291C81">
            <w:pPr>
              <w:pStyle w:val="13"/>
            </w:pPr>
            <w:r>
              <w:t>1.保障义务教育学校正常运转，完成教育教学活动和其他日常工作任务等方面的费用支出。</w:t>
            </w:r>
          </w:p>
        </w:tc>
      </w:tr>
    </w:tbl>
    <w:p w14:paraId="6F4C2A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D6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1753E">
            <w:pPr>
              <w:pStyle w:val="11"/>
            </w:pPr>
            <w:r>
              <w:t>一级指标</w:t>
            </w:r>
          </w:p>
        </w:tc>
        <w:tc>
          <w:tcPr>
            <w:tcW w:w="2268" w:type="dxa"/>
            <w:vAlign w:val="center"/>
          </w:tcPr>
          <w:p w14:paraId="51D5EF18">
            <w:pPr>
              <w:pStyle w:val="11"/>
            </w:pPr>
            <w:r>
              <w:t>二级指标</w:t>
            </w:r>
          </w:p>
        </w:tc>
        <w:tc>
          <w:tcPr>
            <w:tcW w:w="2835" w:type="dxa"/>
            <w:vAlign w:val="center"/>
          </w:tcPr>
          <w:p w14:paraId="43C0F4C8">
            <w:pPr>
              <w:pStyle w:val="11"/>
            </w:pPr>
            <w:r>
              <w:t>三级指标</w:t>
            </w:r>
          </w:p>
        </w:tc>
        <w:tc>
          <w:tcPr>
            <w:tcW w:w="5386" w:type="dxa"/>
            <w:vAlign w:val="center"/>
          </w:tcPr>
          <w:p w14:paraId="07D2C6CC">
            <w:pPr>
              <w:pStyle w:val="11"/>
            </w:pPr>
            <w:r>
              <w:t>绩效指标描述</w:t>
            </w:r>
          </w:p>
        </w:tc>
        <w:tc>
          <w:tcPr>
            <w:tcW w:w="2268" w:type="dxa"/>
            <w:vAlign w:val="center"/>
          </w:tcPr>
          <w:p w14:paraId="3B4B5056">
            <w:pPr>
              <w:pStyle w:val="11"/>
            </w:pPr>
            <w:r>
              <w:t>指标值</w:t>
            </w:r>
          </w:p>
        </w:tc>
        <w:tc>
          <w:tcPr>
            <w:tcW w:w="1276" w:type="dxa"/>
            <w:vAlign w:val="center"/>
          </w:tcPr>
          <w:p w14:paraId="7D0F0C6C">
            <w:pPr>
              <w:pStyle w:val="11"/>
            </w:pPr>
            <w:r>
              <w:t>指标值确定依据</w:t>
            </w:r>
          </w:p>
        </w:tc>
      </w:tr>
      <w:tr w14:paraId="671F9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B66D3">
            <w:pPr>
              <w:pStyle w:val="12"/>
            </w:pPr>
            <w:r>
              <w:t>产出指标</w:t>
            </w:r>
          </w:p>
        </w:tc>
        <w:tc>
          <w:tcPr>
            <w:tcW w:w="2268" w:type="dxa"/>
            <w:vAlign w:val="center"/>
          </w:tcPr>
          <w:p w14:paraId="26FD4E30">
            <w:pPr>
              <w:pStyle w:val="13"/>
            </w:pPr>
            <w:r>
              <w:t>数量指标</w:t>
            </w:r>
          </w:p>
        </w:tc>
        <w:tc>
          <w:tcPr>
            <w:tcW w:w="2835" w:type="dxa"/>
            <w:vAlign w:val="center"/>
          </w:tcPr>
          <w:p w14:paraId="46B687AD">
            <w:pPr>
              <w:pStyle w:val="13"/>
            </w:pPr>
            <w:r>
              <w:t>适龄在校生</w:t>
            </w:r>
          </w:p>
        </w:tc>
        <w:tc>
          <w:tcPr>
            <w:tcW w:w="5386" w:type="dxa"/>
            <w:vAlign w:val="center"/>
          </w:tcPr>
          <w:p w14:paraId="0B9C45EE">
            <w:pPr>
              <w:pStyle w:val="13"/>
            </w:pPr>
            <w:r>
              <w:t>适龄在校就读学生人数</w:t>
            </w:r>
          </w:p>
        </w:tc>
        <w:tc>
          <w:tcPr>
            <w:tcW w:w="2268" w:type="dxa"/>
            <w:vAlign w:val="center"/>
          </w:tcPr>
          <w:p w14:paraId="71EBBEA1">
            <w:pPr>
              <w:pStyle w:val="13"/>
            </w:pPr>
            <w:r>
              <w:t>308人</w:t>
            </w:r>
          </w:p>
        </w:tc>
        <w:tc>
          <w:tcPr>
            <w:tcW w:w="1276" w:type="dxa"/>
            <w:vAlign w:val="center"/>
          </w:tcPr>
          <w:p w14:paraId="4E11A0D9">
            <w:pPr>
              <w:pStyle w:val="13"/>
            </w:pPr>
            <w:r>
              <w:t>城乡义务教育公用经费管理办法</w:t>
            </w:r>
          </w:p>
        </w:tc>
      </w:tr>
      <w:tr w14:paraId="4AF1E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55DB0"/>
        </w:tc>
        <w:tc>
          <w:tcPr>
            <w:tcW w:w="2268" w:type="dxa"/>
            <w:vAlign w:val="center"/>
          </w:tcPr>
          <w:p w14:paraId="084023E2">
            <w:pPr>
              <w:pStyle w:val="13"/>
            </w:pPr>
            <w:r>
              <w:t>质量指标</w:t>
            </w:r>
          </w:p>
        </w:tc>
        <w:tc>
          <w:tcPr>
            <w:tcW w:w="2835" w:type="dxa"/>
            <w:vAlign w:val="center"/>
          </w:tcPr>
          <w:p w14:paraId="5E4B2D0A">
            <w:pPr>
              <w:pStyle w:val="13"/>
            </w:pPr>
            <w:r>
              <w:t>预算控制率</w:t>
            </w:r>
          </w:p>
        </w:tc>
        <w:tc>
          <w:tcPr>
            <w:tcW w:w="5386" w:type="dxa"/>
            <w:vAlign w:val="center"/>
          </w:tcPr>
          <w:p w14:paraId="3755843E">
            <w:pPr>
              <w:pStyle w:val="13"/>
            </w:pPr>
            <w:r>
              <w:t>预算执行</w:t>
            </w:r>
          </w:p>
        </w:tc>
        <w:tc>
          <w:tcPr>
            <w:tcW w:w="2268" w:type="dxa"/>
            <w:vAlign w:val="center"/>
          </w:tcPr>
          <w:p w14:paraId="3AA3260E">
            <w:pPr>
              <w:pStyle w:val="13"/>
            </w:pPr>
            <w:r>
              <w:t>≥95%</w:t>
            </w:r>
          </w:p>
        </w:tc>
        <w:tc>
          <w:tcPr>
            <w:tcW w:w="1276" w:type="dxa"/>
            <w:vAlign w:val="center"/>
          </w:tcPr>
          <w:p w14:paraId="4C43975E">
            <w:pPr>
              <w:pStyle w:val="13"/>
            </w:pPr>
            <w:r>
              <w:t>城乡义务教育公用经费管理办法</w:t>
            </w:r>
          </w:p>
        </w:tc>
      </w:tr>
      <w:tr w14:paraId="3EDCF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27391"/>
        </w:tc>
        <w:tc>
          <w:tcPr>
            <w:tcW w:w="2268" w:type="dxa"/>
            <w:vAlign w:val="center"/>
          </w:tcPr>
          <w:p w14:paraId="5AE074C6">
            <w:pPr>
              <w:pStyle w:val="13"/>
            </w:pPr>
            <w:r>
              <w:t>时效指标</w:t>
            </w:r>
          </w:p>
        </w:tc>
        <w:tc>
          <w:tcPr>
            <w:tcW w:w="2835" w:type="dxa"/>
            <w:vAlign w:val="center"/>
          </w:tcPr>
          <w:p w14:paraId="477BA63A">
            <w:pPr>
              <w:pStyle w:val="13"/>
            </w:pPr>
            <w:r>
              <w:t>资金支付率</w:t>
            </w:r>
          </w:p>
        </w:tc>
        <w:tc>
          <w:tcPr>
            <w:tcW w:w="5386" w:type="dxa"/>
            <w:vAlign w:val="center"/>
          </w:tcPr>
          <w:p w14:paraId="61D98562">
            <w:pPr>
              <w:pStyle w:val="13"/>
            </w:pPr>
            <w:r>
              <w:t>按照序时进度完成资金支付</w:t>
            </w:r>
          </w:p>
        </w:tc>
        <w:tc>
          <w:tcPr>
            <w:tcW w:w="2268" w:type="dxa"/>
            <w:vAlign w:val="center"/>
          </w:tcPr>
          <w:p w14:paraId="5FBEF0AC">
            <w:pPr>
              <w:pStyle w:val="13"/>
            </w:pPr>
            <w:r>
              <w:t>≥100%</w:t>
            </w:r>
          </w:p>
        </w:tc>
        <w:tc>
          <w:tcPr>
            <w:tcW w:w="1276" w:type="dxa"/>
            <w:vAlign w:val="center"/>
          </w:tcPr>
          <w:p w14:paraId="3DED9197">
            <w:pPr>
              <w:pStyle w:val="13"/>
            </w:pPr>
            <w:r>
              <w:t>城乡义务教育公用经费管理办法</w:t>
            </w:r>
          </w:p>
        </w:tc>
      </w:tr>
      <w:tr w14:paraId="02A86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275A7"/>
        </w:tc>
        <w:tc>
          <w:tcPr>
            <w:tcW w:w="2268" w:type="dxa"/>
            <w:vAlign w:val="center"/>
          </w:tcPr>
          <w:p w14:paraId="07E61E46">
            <w:pPr>
              <w:pStyle w:val="13"/>
            </w:pPr>
            <w:r>
              <w:t>成本指标</w:t>
            </w:r>
          </w:p>
        </w:tc>
        <w:tc>
          <w:tcPr>
            <w:tcW w:w="2835" w:type="dxa"/>
            <w:vAlign w:val="center"/>
          </w:tcPr>
          <w:p w14:paraId="48327CD0">
            <w:pPr>
              <w:pStyle w:val="13"/>
            </w:pPr>
            <w:r>
              <w:t>生均拨款标准</w:t>
            </w:r>
          </w:p>
        </w:tc>
        <w:tc>
          <w:tcPr>
            <w:tcW w:w="5386" w:type="dxa"/>
            <w:vAlign w:val="center"/>
          </w:tcPr>
          <w:p w14:paraId="75F62F14">
            <w:pPr>
              <w:pStyle w:val="13"/>
            </w:pPr>
            <w:r>
              <w:t>小学：（基本标准720元、寄宿生300元、取暖120元）/生/学年；随班就读学生：标准6000元/生/学年。</w:t>
            </w:r>
          </w:p>
        </w:tc>
        <w:tc>
          <w:tcPr>
            <w:tcW w:w="2268" w:type="dxa"/>
            <w:vAlign w:val="center"/>
          </w:tcPr>
          <w:p w14:paraId="6B1556D6">
            <w:pPr>
              <w:pStyle w:val="13"/>
            </w:pPr>
            <w:r>
              <w:t>175560元</w:t>
            </w:r>
          </w:p>
        </w:tc>
        <w:tc>
          <w:tcPr>
            <w:tcW w:w="1276" w:type="dxa"/>
            <w:vAlign w:val="center"/>
          </w:tcPr>
          <w:p w14:paraId="586F9565">
            <w:pPr>
              <w:pStyle w:val="13"/>
            </w:pPr>
            <w:r>
              <w:t>城乡义务教育公用经费管理办法</w:t>
            </w:r>
          </w:p>
        </w:tc>
      </w:tr>
      <w:tr w14:paraId="657BE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537A36">
            <w:pPr>
              <w:pStyle w:val="12"/>
            </w:pPr>
            <w:r>
              <w:t>效益指标</w:t>
            </w:r>
          </w:p>
        </w:tc>
        <w:tc>
          <w:tcPr>
            <w:tcW w:w="2268" w:type="dxa"/>
            <w:vAlign w:val="center"/>
          </w:tcPr>
          <w:p w14:paraId="4EED9458">
            <w:pPr>
              <w:pStyle w:val="13"/>
            </w:pPr>
            <w:r>
              <w:t>生态效益指标</w:t>
            </w:r>
          </w:p>
        </w:tc>
        <w:tc>
          <w:tcPr>
            <w:tcW w:w="2835" w:type="dxa"/>
            <w:vAlign w:val="center"/>
          </w:tcPr>
          <w:p w14:paraId="05FF017D">
            <w:pPr>
              <w:pStyle w:val="13"/>
            </w:pPr>
            <w:r>
              <w:t>教育发展水平明显好转</w:t>
            </w:r>
          </w:p>
        </w:tc>
        <w:tc>
          <w:tcPr>
            <w:tcW w:w="5386" w:type="dxa"/>
            <w:vAlign w:val="center"/>
          </w:tcPr>
          <w:p w14:paraId="58204FFE">
            <w:pPr>
              <w:pStyle w:val="13"/>
            </w:pPr>
            <w:r>
              <w:t>学生受教育年限</w:t>
            </w:r>
          </w:p>
        </w:tc>
        <w:tc>
          <w:tcPr>
            <w:tcW w:w="2268" w:type="dxa"/>
            <w:vAlign w:val="center"/>
          </w:tcPr>
          <w:p w14:paraId="4305C7DC">
            <w:pPr>
              <w:pStyle w:val="13"/>
            </w:pPr>
            <w:r>
              <w:t>6年</w:t>
            </w:r>
          </w:p>
        </w:tc>
        <w:tc>
          <w:tcPr>
            <w:tcW w:w="1276" w:type="dxa"/>
            <w:vAlign w:val="center"/>
          </w:tcPr>
          <w:p w14:paraId="17B0B41D">
            <w:pPr>
              <w:pStyle w:val="13"/>
            </w:pPr>
            <w:r>
              <w:t>城乡义务教育公用经费管理办法</w:t>
            </w:r>
          </w:p>
        </w:tc>
      </w:tr>
      <w:tr w14:paraId="59F25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D26D9F">
            <w:pPr>
              <w:pStyle w:val="12"/>
            </w:pPr>
            <w:r>
              <w:t>满意度指标</w:t>
            </w:r>
          </w:p>
        </w:tc>
        <w:tc>
          <w:tcPr>
            <w:tcW w:w="2268" w:type="dxa"/>
            <w:vAlign w:val="center"/>
          </w:tcPr>
          <w:p w14:paraId="052F083A">
            <w:pPr>
              <w:pStyle w:val="13"/>
            </w:pPr>
            <w:r>
              <w:t>服务对象满意度指标</w:t>
            </w:r>
          </w:p>
        </w:tc>
        <w:tc>
          <w:tcPr>
            <w:tcW w:w="2835" w:type="dxa"/>
            <w:vAlign w:val="center"/>
          </w:tcPr>
          <w:p w14:paraId="182A587E">
            <w:pPr>
              <w:pStyle w:val="13"/>
            </w:pPr>
            <w:r>
              <w:t>受益学生家长及调查满意度</w:t>
            </w:r>
          </w:p>
        </w:tc>
        <w:tc>
          <w:tcPr>
            <w:tcW w:w="5386" w:type="dxa"/>
            <w:vAlign w:val="center"/>
          </w:tcPr>
          <w:p w14:paraId="0DEB1B7A">
            <w:pPr>
              <w:pStyle w:val="13"/>
            </w:pPr>
            <w:r>
              <w:t>学生、教师及家长对学校教育教学工作满意度情况</w:t>
            </w:r>
          </w:p>
        </w:tc>
        <w:tc>
          <w:tcPr>
            <w:tcW w:w="2268" w:type="dxa"/>
            <w:vAlign w:val="center"/>
          </w:tcPr>
          <w:p w14:paraId="79C1413A">
            <w:pPr>
              <w:pStyle w:val="13"/>
            </w:pPr>
            <w:r>
              <w:t>≥95%</w:t>
            </w:r>
          </w:p>
        </w:tc>
        <w:tc>
          <w:tcPr>
            <w:tcW w:w="1276" w:type="dxa"/>
            <w:vAlign w:val="center"/>
          </w:tcPr>
          <w:p w14:paraId="04E8105B">
            <w:pPr>
              <w:pStyle w:val="13"/>
            </w:pPr>
            <w:r>
              <w:t>调查问卷</w:t>
            </w:r>
          </w:p>
        </w:tc>
      </w:tr>
    </w:tbl>
    <w:p w14:paraId="463EBC0D">
      <w:pPr>
        <w:sectPr>
          <w:pgSz w:w="16840" w:h="11900" w:orient="landscape"/>
          <w:pgMar w:top="1361" w:right="1020" w:bottom="1134" w:left="1020" w:header="720" w:footer="720" w:gutter="0"/>
          <w:cols w:space="720" w:num="1"/>
        </w:sectPr>
      </w:pPr>
    </w:p>
    <w:p w14:paraId="1F7039C0">
      <w:pPr>
        <w:spacing w:before="0" w:after="0"/>
        <w:ind w:firstLine="560"/>
        <w:jc w:val="left"/>
        <w:outlineLvl w:val="9"/>
      </w:pPr>
      <w:r>
        <w:rPr>
          <w:rFonts w:ascii="方正仿宋_GBK" w:hAnsi="方正仿宋_GBK" w:eastAsia="方正仿宋_GBK" w:cs="方正仿宋_GBK"/>
          <w:b/>
          <w:color w:val="000000"/>
          <w:sz w:val="28"/>
        </w:rPr>
        <w:t>129、市级基数/隆尧县杨村东方小学公用经费绩效目标表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C4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AB078">
            <w:pPr>
              <w:pStyle w:val="14"/>
            </w:pPr>
            <w:r>
              <w:t>单位：万元</w:t>
            </w:r>
          </w:p>
        </w:tc>
      </w:tr>
      <w:tr w14:paraId="34FDF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2525B9">
            <w:pPr>
              <w:pStyle w:val="11"/>
            </w:pPr>
            <w:r>
              <w:t>项目编码</w:t>
            </w:r>
          </w:p>
        </w:tc>
        <w:tc>
          <w:tcPr>
            <w:tcW w:w="5103" w:type="dxa"/>
            <w:gridSpan w:val="2"/>
            <w:vAlign w:val="center"/>
          </w:tcPr>
          <w:p w14:paraId="5A06532B">
            <w:pPr>
              <w:pStyle w:val="13"/>
            </w:pPr>
            <w:r>
              <w:t>13052525P000004102068</w:t>
            </w:r>
          </w:p>
        </w:tc>
        <w:tc>
          <w:tcPr>
            <w:tcW w:w="2835" w:type="dxa"/>
            <w:vAlign w:val="center"/>
          </w:tcPr>
          <w:p w14:paraId="030FF2DE">
            <w:pPr>
              <w:pStyle w:val="11"/>
            </w:pPr>
            <w:r>
              <w:t>项目名称</w:t>
            </w:r>
          </w:p>
        </w:tc>
        <w:tc>
          <w:tcPr>
            <w:tcW w:w="6095" w:type="dxa"/>
            <w:gridSpan w:val="3"/>
            <w:vAlign w:val="center"/>
          </w:tcPr>
          <w:p w14:paraId="6B1620DF">
            <w:pPr>
              <w:pStyle w:val="13"/>
            </w:pPr>
            <w:r>
              <w:t>市级基数/隆尧县杨村东方小学公用经费</w:t>
            </w:r>
          </w:p>
        </w:tc>
      </w:tr>
      <w:tr w14:paraId="2BA67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2E73F">
            <w:pPr>
              <w:pStyle w:val="11"/>
            </w:pPr>
            <w:r>
              <w:t>预算规模及资金用途</w:t>
            </w:r>
          </w:p>
        </w:tc>
        <w:tc>
          <w:tcPr>
            <w:tcW w:w="2268" w:type="dxa"/>
            <w:vAlign w:val="center"/>
          </w:tcPr>
          <w:p w14:paraId="4F04285A">
            <w:pPr>
              <w:pStyle w:val="11"/>
            </w:pPr>
            <w:r>
              <w:t>预算数</w:t>
            </w:r>
          </w:p>
        </w:tc>
        <w:tc>
          <w:tcPr>
            <w:tcW w:w="2835" w:type="dxa"/>
            <w:vAlign w:val="center"/>
          </w:tcPr>
          <w:p w14:paraId="34FA6913">
            <w:pPr>
              <w:pStyle w:val="13"/>
            </w:pPr>
            <w:r>
              <w:t>7.13</w:t>
            </w:r>
          </w:p>
        </w:tc>
        <w:tc>
          <w:tcPr>
            <w:tcW w:w="2835" w:type="dxa"/>
            <w:vAlign w:val="center"/>
          </w:tcPr>
          <w:p w14:paraId="27651000">
            <w:pPr>
              <w:pStyle w:val="11"/>
            </w:pPr>
            <w:r>
              <w:t>其中：财政    资金</w:t>
            </w:r>
          </w:p>
        </w:tc>
        <w:tc>
          <w:tcPr>
            <w:tcW w:w="2551" w:type="dxa"/>
            <w:vAlign w:val="center"/>
          </w:tcPr>
          <w:p w14:paraId="04EB01FB">
            <w:pPr>
              <w:pStyle w:val="13"/>
            </w:pPr>
            <w:r>
              <w:t>7.13</w:t>
            </w:r>
          </w:p>
        </w:tc>
        <w:tc>
          <w:tcPr>
            <w:tcW w:w="2268" w:type="dxa"/>
            <w:vAlign w:val="center"/>
          </w:tcPr>
          <w:p w14:paraId="3CB71DDB">
            <w:pPr>
              <w:pStyle w:val="11"/>
            </w:pPr>
            <w:r>
              <w:t>其他资金</w:t>
            </w:r>
          </w:p>
        </w:tc>
        <w:tc>
          <w:tcPr>
            <w:tcW w:w="1276" w:type="dxa"/>
            <w:vAlign w:val="center"/>
          </w:tcPr>
          <w:p w14:paraId="1265CDE8">
            <w:pPr>
              <w:pStyle w:val="13"/>
            </w:pPr>
            <w:r>
              <w:t xml:space="preserve"> </w:t>
            </w:r>
          </w:p>
        </w:tc>
      </w:tr>
      <w:tr w14:paraId="07FBA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9026C"/>
        </w:tc>
        <w:tc>
          <w:tcPr>
            <w:tcW w:w="14033" w:type="dxa"/>
            <w:gridSpan w:val="6"/>
            <w:vAlign w:val="center"/>
          </w:tcPr>
          <w:p w14:paraId="421CF081">
            <w:pPr>
              <w:pStyle w:val="13"/>
            </w:pPr>
            <w:r>
              <w:t>保障义务教育学校正常运转，完成教育教学活动和其他日常工作任务等方面的费用支出。</w:t>
            </w:r>
          </w:p>
        </w:tc>
      </w:tr>
      <w:tr w14:paraId="77FB9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8183C">
            <w:pPr>
              <w:pStyle w:val="11"/>
            </w:pPr>
            <w:r>
              <w:t>资金支出计划（%）</w:t>
            </w:r>
          </w:p>
        </w:tc>
        <w:tc>
          <w:tcPr>
            <w:tcW w:w="5103" w:type="dxa"/>
            <w:gridSpan w:val="2"/>
            <w:vAlign w:val="center"/>
          </w:tcPr>
          <w:p w14:paraId="6E9F6A64">
            <w:pPr>
              <w:pStyle w:val="11"/>
            </w:pPr>
            <w:r>
              <w:t>3月底</w:t>
            </w:r>
          </w:p>
        </w:tc>
        <w:tc>
          <w:tcPr>
            <w:tcW w:w="2835" w:type="dxa"/>
            <w:vAlign w:val="center"/>
          </w:tcPr>
          <w:p w14:paraId="7BD3034F">
            <w:pPr>
              <w:pStyle w:val="11"/>
            </w:pPr>
            <w:r>
              <w:t>6月底</w:t>
            </w:r>
          </w:p>
        </w:tc>
        <w:tc>
          <w:tcPr>
            <w:tcW w:w="2551" w:type="dxa"/>
            <w:vAlign w:val="center"/>
          </w:tcPr>
          <w:p w14:paraId="70AF867A">
            <w:pPr>
              <w:pStyle w:val="11"/>
            </w:pPr>
            <w:r>
              <w:t>10月底</w:t>
            </w:r>
          </w:p>
        </w:tc>
        <w:tc>
          <w:tcPr>
            <w:tcW w:w="3544" w:type="dxa"/>
            <w:gridSpan w:val="2"/>
            <w:vAlign w:val="center"/>
          </w:tcPr>
          <w:p w14:paraId="292BCF94">
            <w:pPr>
              <w:pStyle w:val="11"/>
            </w:pPr>
            <w:r>
              <w:t>12月底</w:t>
            </w:r>
          </w:p>
        </w:tc>
      </w:tr>
      <w:tr w14:paraId="0F4AD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08AA0F"/>
        </w:tc>
        <w:tc>
          <w:tcPr>
            <w:tcW w:w="5103" w:type="dxa"/>
            <w:gridSpan w:val="2"/>
            <w:vAlign w:val="center"/>
          </w:tcPr>
          <w:p w14:paraId="710C2147">
            <w:pPr>
              <w:pStyle w:val="12"/>
            </w:pPr>
            <w:r>
              <w:t xml:space="preserve"> </w:t>
            </w:r>
          </w:p>
        </w:tc>
        <w:tc>
          <w:tcPr>
            <w:tcW w:w="2835" w:type="dxa"/>
            <w:vAlign w:val="center"/>
          </w:tcPr>
          <w:p w14:paraId="2D76178C">
            <w:pPr>
              <w:pStyle w:val="12"/>
            </w:pPr>
            <w:r>
              <w:t xml:space="preserve"> </w:t>
            </w:r>
          </w:p>
        </w:tc>
        <w:tc>
          <w:tcPr>
            <w:tcW w:w="2551" w:type="dxa"/>
            <w:vAlign w:val="center"/>
          </w:tcPr>
          <w:p w14:paraId="7752FA2B">
            <w:pPr>
              <w:pStyle w:val="12"/>
            </w:pPr>
            <w:r>
              <w:t xml:space="preserve"> </w:t>
            </w:r>
          </w:p>
        </w:tc>
        <w:tc>
          <w:tcPr>
            <w:tcW w:w="3544" w:type="dxa"/>
            <w:gridSpan w:val="2"/>
            <w:vAlign w:val="center"/>
          </w:tcPr>
          <w:p w14:paraId="44E144C9">
            <w:pPr>
              <w:pStyle w:val="12"/>
            </w:pPr>
            <w:r>
              <w:t>100%</w:t>
            </w:r>
          </w:p>
        </w:tc>
      </w:tr>
      <w:tr w14:paraId="2BFDE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A3E93">
            <w:pPr>
              <w:pStyle w:val="11"/>
            </w:pPr>
            <w:r>
              <w:t>绩效目标</w:t>
            </w:r>
          </w:p>
        </w:tc>
        <w:tc>
          <w:tcPr>
            <w:tcW w:w="14033" w:type="dxa"/>
            <w:gridSpan w:val="6"/>
            <w:vAlign w:val="center"/>
          </w:tcPr>
          <w:p w14:paraId="356FCBA6">
            <w:pPr>
              <w:pStyle w:val="13"/>
            </w:pPr>
            <w:r>
              <w:t>1.保障义务教育学校正常运转，完成教育教学活动和其他日常工作任务等方面的费用支出。</w:t>
            </w:r>
          </w:p>
        </w:tc>
      </w:tr>
    </w:tbl>
    <w:p w14:paraId="13EF78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4C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C191AD">
            <w:pPr>
              <w:pStyle w:val="11"/>
            </w:pPr>
            <w:r>
              <w:t>一级指标</w:t>
            </w:r>
          </w:p>
        </w:tc>
        <w:tc>
          <w:tcPr>
            <w:tcW w:w="2268" w:type="dxa"/>
            <w:vAlign w:val="center"/>
          </w:tcPr>
          <w:p w14:paraId="4D9A5636">
            <w:pPr>
              <w:pStyle w:val="11"/>
            </w:pPr>
            <w:r>
              <w:t>二级指标</w:t>
            </w:r>
          </w:p>
        </w:tc>
        <w:tc>
          <w:tcPr>
            <w:tcW w:w="2835" w:type="dxa"/>
            <w:vAlign w:val="center"/>
          </w:tcPr>
          <w:p w14:paraId="5B482241">
            <w:pPr>
              <w:pStyle w:val="11"/>
            </w:pPr>
            <w:r>
              <w:t>三级指标</w:t>
            </w:r>
          </w:p>
        </w:tc>
        <w:tc>
          <w:tcPr>
            <w:tcW w:w="5386" w:type="dxa"/>
            <w:vAlign w:val="center"/>
          </w:tcPr>
          <w:p w14:paraId="4DBE9347">
            <w:pPr>
              <w:pStyle w:val="11"/>
            </w:pPr>
            <w:r>
              <w:t>绩效指标描述</w:t>
            </w:r>
          </w:p>
        </w:tc>
        <w:tc>
          <w:tcPr>
            <w:tcW w:w="2268" w:type="dxa"/>
            <w:vAlign w:val="center"/>
          </w:tcPr>
          <w:p w14:paraId="3B5D7056">
            <w:pPr>
              <w:pStyle w:val="11"/>
            </w:pPr>
            <w:r>
              <w:t>指标值</w:t>
            </w:r>
          </w:p>
        </w:tc>
        <w:tc>
          <w:tcPr>
            <w:tcW w:w="1276" w:type="dxa"/>
            <w:vAlign w:val="center"/>
          </w:tcPr>
          <w:p w14:paraId="77851F53">
            <w:pPr>
              <w:pStyle w:val="11"/>
            </w:pPr>
            <w:r>
              <w:t>指标值确定依据</w:t>
            </w:r>
          </w:p>
        </w:tc>
      </w:tr>
      <w:tr w14:paraId="641C8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C0B69">
            <w:pPr>
              <w:pStyle w:val="12"/>
            </w:pPr>
            <w:r>
              <w:t>产出指标</w:t>
            </w:r>
          </w:p>
        </w:tc>
        <w:tc>
          <w:tcPr>
            <w:tcW w:w="2268" w:type="dxa"/>
            <w:vAlign w:val="center"/>
          </w:tcPr>
          <w:p w14:paraId="033E0DD0">
            <w:pPr>
              <w:pStyle w:val="13"/>
            </w:pPr>
            <w:r>
              <w:t>数量指标</w:t>
            </w:r>
          </w:p>
        </w:tc>
        <w:tc>
          <w:tcPr>
            <w:tcW w:w="2835" w:type="dxa"/>
            <w:vAlign w:val="center"/>
          </w:tcPr>
          <w:p w14:paraId="0E76F3FE">
            <w:pPr>
              <w:pStyle w:val="13"/>
            </w:pPr>
            <w:r>
              <w:t>适龄在校生</w:t>
            </w:r>
          </w:p>
        </w:tc>
        <w:tc>
          <w:tcPr>
            <w:tcW w:w="5386" w:type="dxa"/>
            <w:vAlign w:val="center"/>
          </w:tcPr>
          <w:p w14:paraId="6894A931">
            <w:pPr>
              <w:pStyle w:val="13"/>
            </w:pPr>
            <w:r>
              <w:t>适龄在校就读学生人数</w:t>
            </w:r>
          </w:p>
        </w:tc>
        <w:tc>
          <w:tcPr>
            <w:tcW w:w="2268" w:type="dxa"/>
            <w:vAlign w:val="center"/>
          </w:tcPr>
          <w:p w14:paraId="13E2F0FB">
            <w:pPr>
              <w:pStyle w:val="13"/>
            </w:pPr>
            <w:r>
              <w:t>117人</w:t>
            </w:r>
          </w:p>
        </w:tc>
        <w:tc>
          <w:tcPr>
            <w:tcW w:w="1276" w:type="dxa"/>
            <w:vAlign w:val="center"/>
          </w:tcPr>
          <w:p w14:paraId="58CF1F40">
            <w:pPr>
              <w:pStyle w:val="13"/>
            </w:pPr>
            <w:r>
              <w:t>城乡义务教育公用经费管理办法</w:t>
            </w:r>
          </w:p>
        </w:tc>
      </w:tr>
      <w:tr w14:paraId="44F88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650AA"/>
        </w:tc>
        <w:tc>
          <w:tcPr>
            <w:tcW w:w="2268" w:type="dxa"/>
            <w:vAlign w:val="center"/>
          </w:tcPr>
          <w:p w14:paraId="5E6515D7">
            <w:pPr>
              <w:pStyle w:val="13"/>
            </w:pPr>
            <w:r>
              <w:t>质量指标</w:t>
            </w:r>
          </w:p>
        </w:tc>
        <w:tc>
          <w:tcPr>
            <w:tcW w:w="2835" w:type="dxa"/>
            <w:vAlign w:val="center"/>
          </w:tcPr>
          <w:p w14:paraId="6D073129">
            <w:pPr>
              <w:pStyle w:val="13"/>
            </w:pPr>
            <w:r>
              <w:t>预算控制率</w:t>
            </w:r>
          </w:p>
        </w:tc>
        <w:tc>
          <w:tcPr>
            <w:tcW w:w="5386" w:type="dxa"/>
            <w:vAlign w:val="center"/>
          </w:tcPr>
          <w:p w14:paraId="0E298234">
            <w:pPr>
              <w:pStyle w:val="13"/>
            </w:pPr>
            <w:r>
              <w:t>预算执行</w:t>
            </w:r>
          </w:p>
        </w:tc>
        <w:tc>
          <w:tcPr>
            <w:tcW w:w="2268" w:type="dxa"/>
            <w:vAlign w:val="center"/>
          </w:tcPr>
          <w:p w14:paraId="11894EEE">
            <w:pPr>
              <w:pStyle w:val="13"/>
            </w:pPr>
            <w:r>
              <w:t>≥95%</w:t>
            </w:r>
          </w:p>
        </w:tc>
        <w:tc>
          <w:tcPr>
            <w:tcW w:w="1276" w:type="dxa"/>
            <w:vAlign w:val="center"/>
          </w:tcPr>
          <w:p w14:paraId="219CCBF6">
            <w:pPr>
              <w:pStyle w:val="13"/>
            </w:pPr>
            <w:r>
              <w:t>城乡义务教育公用经费管理办法</w:t>
            </w:r>
          </w:p>
        </w:tc>
      </w:tr>
      <w:tr w14:paraId="15BC2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CB70E"/>
        </w:tc>
        <w:tc>
          <w:tcPr>
            <w:tcW w:w="2268" w:type="dxa"/>
            <w:vAlign w:val="center"/>
          </w:tcPr>
          <w:p w14:paraId="153DF3F8">
            <w:pPr>
              <w:pStyle w:val="13"/>
            </w:pPr>
            <w:r>
              <w:t>时效指标</w:t>
            </w:r>
          </w:p>
        </w:tc>
        <w:tc>
          <w:tcPr>
            <w:tcW w:w="2835" w:type="dxa"/>
            <w:vAlign w:val="center"/>
          </w:tcPr>
          <w:p w14:paraId="03AF41C7">
            <w:pPr>
              <w:pStyle w:val="13"/>
            </w:pPr>
            <w:r>
              <w:t>资金支付率</w:t>
            </w:r>
          </w:p>
        </w:tc>
        <w:tc>
          <w:tcPr>
            <w:tcW w:w="5386" w:type="dxa"/>
            <w:vAlign w:val="center"/>
          </w:tcPr>
          <w:p w14:paraId="4870F250">
            <w:pPr>
              <w:pStyle w:val="13"/>
            </w:pPr>
            <w:r>
              <w:t>按照序时进度完成资金支付</w:t>
            </w:r>
          </w:p>
        </w:tc>
        <w:tc>
          <w:tcPr>
            <w:tcW w:w="2268" w:type="dxa"/>
            <w:vAlign w:val="center"/>
          </w:tcPr>
          <w:p w14:paraId="4D43A121">
            <w:pPr>
              <w:pStyle w:val="13"/>
            </w:pPr>
            <w:r>
              <w:t>≥100%</w:t>
            </w:r>
          </w:p>
        </w:tc>
        <w:tc>
          <w:tcPr>
            <w:tcW w:w="1276" w:type="dxa"/>
            <w:vAlign w:val="center"/>
          </w:tcPr>
          <w:p w14:paraId="17640640">
            <w:pPr>
              <w:pStyle w:val="13"/>
            </w:pPr>
            <w:r>
              <w:t>城乡义务教育公用经费管理办法</w:t>
            </w:r>
          </w:p>
        </w:tc>
      </w:tr>
      <w:tr w14:paraId="75F26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4CE63"/>
        </w:tc>
        <w:tc>
          <w:tcPr>
            <w:tcW w:w="2268" w:type="dxa"/>
            <w:vAlign w:val="center"/>
          </w:tcPr>
          <w:p w14:paraId="51BAAFD1">
            <w:pPr>
              <w:pStyle w:val="13"/>
            </w:pPr>
            <w:r>
              <w:t>成本指标</w:t>
            </w:r>
          </w:p>
        </w:tc>
        <w:tc>
          <w:tcPr>
            <w:tcW w:w="2835" w:type="dxa"/>
            <w:vAlign w:val="center"/>
          </w:tcPr>
          <w:p w14:paraId="4EFACB82">
            <w:pPr>
              <w:pStyle w:val="13"/>
            </w:pPr>
            <w:r>
              <w:t>生均拨款标准</w:t>
            </w:r>
          </w:p>
        </w:tc>
        <w:tc>
          <w:tcPr>
            <w:tcW w:w="5386" w:type="dxa"/>
            <w:vAlign w:val="center"/>
          </w:tcPr>
          <w:p w14:paraId="1A545479">
            <w:pPr>
              <w:pStyle w:val="13"/>
            </w:pPr>
            <w:r>
              <w:t>小学：（基本标准720元、寄宿生300元、取暖120元）/生/学年；随班就读学生：标准6000元/生/学年。</w:t>
            </w:r>
          </w:p>
        </w:tc>
        <w:tc>
          <w:tcPr>
            <w:tcW w:w="2268" w:type="dxa"/>
            <w:vAlign w:val="center"/>
          </w:tcPr>
          <w:p w14:paraId="35F492EF">
            <w:pPr>
              <w:pStyle w:val="13"/>
            </w:pPr>
            <w:r>
              <w:t>840元</w:t>
            </w:r>
          </w:p>
        </w:tc>
        <w:tc>
          <w:tcPr>
            <w:tcW w:w="1276" w:type="dxa"/>
            <w:vAlign w:val="center"/>
          </w:tcPr>
          <w:p w14:paraId="1C788D91">
            <w:pPr>
              <w:pStyle w:val="13"/>
            </w:pPr>
            <w:r>
              <w:t>城乡义务教育公用经费管理办法</w:t>
            </w:r>
          </w:p>
        </w:tc>
      </w:tr>
      <w:tr w14:paraId="30D1D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BB2E4C">
            <w:pPr>
              <w:pStyle w:val="12"/>
            </w:pPr>
            <w:r>
              <w:t>效益指标</w:t>
            </w:r>
          </w:p>
        </w:tc>
        <w:tc>
          <w:tcPr>
            <w:tcW w:w="2268" w:type="dxa"/>
            <w:vAlign w:val="center"/>
          </w:tcPr>
          <w:p w14:paraId="6622E7B4">
            <w:pPr>
              <w:pStyle w:val="13"/>
            </w:pPr>
            <w:r>
              <w:t>可持续影响指标</w:t>
            </w:r>
          </w:p>
        </w:tc>
        <w:tc>
          <w:tcPr>
            <w:tcW w:w="2835" w:type="dxa"/>
            <w:vAlign w:val="center"/>
          </w:tcPr>
          <w:p w14:paraId="19548CD3">
            <w:pPr>
              <w:pStyle w:val="13"/>
            </w:pPr>
            <w:r>
              <w:t>教育发展水平明显好转</w:t>
            </w:r>
          </w:p>
        </w:tc>
        <w:tc>
          <w:tcPr>
            <w:tcW w:w="5386" w:type="dxa"/>
            <w:vAlign w:val="center"/>
          </w:tcPr>
          <w:p w14:paraId="3762C38C">
            <w:pPr>
              <w:pStyle w:val="13"/>
            </w:pPr>
            <w:r>
              <w:t>学生受教育年限</w:t>
            </w:r>
          </w:p>
        </w:tc>
        <w:tc>
          <w:tcPr>
            <w:tcW w:w="2268" w:type="dxa"/>
            <w:vAlign w:val="center"/>
          </w:tcPr>
          <w:p w14:paraId="6A8E8FAA">
            <w:pPr>
              <w:pStyle w:val="13"/>
            </w:pPr>
            <w:r>
              <w:t>6年</w:t>
            </w:r>
          </w:p>
        </w:tc>
        <w:tc>
          <w:tcPr>
            <w:tcW w:w="1276" w:type="dxa"/>
            <w:vAlign w:val="center"/>
          </w:tcPr>
          <w:p w14:paraId="5C3C7CC3">
            <w:pPr>
              <w:pStyle w:val="13"/>
            </w:pPr>
            <w:r>
              <w:t>城乡义务教育公用经费管理办法</w:t>
            </w:r>
          </w:p>
        </w:tc>
      </w:tr>
      <w:tr w14:paraId="730B9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200453">
            <w:pPr>
              <w:pStyle w:val="12"/>
            </w:pPr>
            <w:r>
              <w:t>满意度指标</w:t>
            </w:r>
          </w:p>
        </w:tc>
        <w:tc>
          <w:tcPr>
            <w:tcW w:w="2268" w:type="dxa"/>
            <w:vAlign w:val="center"/>
          </w:tcPr>
          <w:p w14:paraId="45493DFE">
            <w:pPr>
              <w:pStyle w:val="13"/>
            </w:pPr>
            <w:r>
              <w:t>服务对象满意度指标</w:t>
            </w:r>
          </w:p>
        </w:tc>
        <w:tc>
          <w:tcPr>
            <w:tcW w:w="2835" w:type="dxa"/>
            <w:vAlign w:val="center"/>
          </w:tcPr>
          <w:p w14:paraId="2FB6E26B">
            <w:pPr>
              <w:pStyle w:val="13"/>
            </w:pPr>
            <w:r>
              <w:t>受益学生家长及调查满意度</w:t>
            </w:r>
          </w:p>
        </w:tc>
        <w:tc>
          <w:tcPr>
            <w:tcW w:w="5386" w:type="dxa"/>
            <w:vAlign w:val="center"/>
          </w:tcPr>
          <w:p w14:paraId="3E6CCDD3">
            <w:pPr>
              <w:pStyle w:val="13"/>
            </w:pPr>
            <w:r>
              <w:t>学生、教师及家长对学校教育教学工作满意度情况</w:t>
            </w:r>
          </w:p>
        </w:tc>
        <w:tc>
          <w:tcPr>
            <w:tcW w:w="2268" w:type="dxa"/>
            <w:vAlign w:val="center"/>
          </w:tcPr>
          <w:p w14:paraId="33E2FC6D">
            <w:pPr>
              <w:pStyle w:val="13"/>
            </w:pPr>
            <w:r>
              <w:t>≥95%</w:t>
            </w:r>
          </w:p>
        </w:tc>
        <w:tc>
          <w:tcPr>
            <w:tcW w:w="1276" w:type="dxa"/>
            <w:vAlign w:val="center"/>
          </w:tcPr>
          <w:p w14:paraId="1BF39230">
            <w:pPr>
              <w:pStyle w:val="13"/>
            </w:pPr>
            <w:r>
              <w:t>调查问卷</w:t>
            </w:r>
          </w:p>
        </w:tc>
      </w:tr>
    </w:tbl>
    <w:p w14:paraId="194B545F">
      <w:pPr>
        <w:sectPr>
          <w:pgSz w:w="16840" w:h="11900" w:orient="landscape"/>
          <w:pgMar w:top="1361" w:right="1020" w:bottom="1134" w:left="1020" w:header="720" w:footer="720" w:gutter="0"/>
          <w:cols w:space="720" w:num="1"/>
        </w:sectPr>
      </w:pPr>
    </w:p>
    <w:p w14:paraId="0AE98F93">
      <w:pPr>
        <w:spacing w:before="0" w:after="0"/>
        <w:ind w:firstLine="560"/>
        <w:jc w:val="left"/>
        <w:outlineLvl w:val="9"/>
      </w:pPr>
      <w:r>
        <w:rPr>
          <w:rFonts w:ascii="方正仿宋_GBK" w:hAnsi="方正仿宋_GBK" w:eastAsia="方正仿宋_GBK" w:cs="方正仿宋_GBK"/>
          <w:b/>
          <w:color w:val="000000"/>
          <w:sz w:val="28"/>
        </w:rPr>
        <w:t>130、市级基数/隆尧县智信小学公用经费绩效目标表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79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362FC">
            <w:pPr>
              <w:pStyle w:val="14"/>
            </w:pPr>
            <w:r>
              <w:t>单位：万元</w:t>
            </w:r>
          </w:p>
        </w:tc>
      </w:tr>
      <w:tr w14:paraId="34A57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18E5AC">
            <w:pPr>
              <w:pStyle w:val="11"/>
            </w:pPr>
            <w:r>
              <w:t>项目编码</w:t>
            </w:r>
          </w:p>
        </w:tc>
        <w:tc>
          <w:tcPr>
            <w:tcW w:w="5103" w:type="dxa"/>
            <w:gridSpan w:val="2"/>
            <w:vAlign w:val="center"/>
          </w:tcPr>
          <w:p w14:paraId="5E3CBE07">
            <w:pPr>
              <w:pStyle w:val="13"/>
            </w:pPr>
            <w:r>
              <w:t>13052525P00000410210E</w:t>
            </w:r>
          </w:p>
        </w:tc>
        <w:tc>
          <w:tcPr>
            <w:tcW w:w="2835" w:type="dxa"/>
            <w:vAlign w:val="center"/>
          </w:tcPr>
          <w:p w14:paraId="1A514552">
            <w:pPr>
              <w:pStyle w:val="11"/>
            </w:pPr>
            <w:r>
              <w:t>项目名称</w:t>
            </w:r>
          </w:p>
        </w:tc>
        <w:tc>
          <w:tcPr>
            <w:tcW w:w="6095" w:type="dxa"/>
            <w:gridSpan w:val="3"/>
            <w:vAlign w:val="center"/>
          </w:tcPr>
          <w:p w14:paraId="3ED16296">
            <w:pPr>
              <w:pStyle w:val="13"/>
            </w:pPr>
            <w:r>
              <w:t>市级基数/隆尧县智信小学公用经费</w:t>
            </w:r>
          </w:p>
        </w:tc>
      </w:tr>
      <w:tr w14:paraId="4EFFB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CDC62">
            <w:pPr>
              <w:pStyle w:val="11"/>
            </w:pPr>
            <w:r>
              <w:t>预算规模及资金用途</w:t>
            </w:r>
          </w:p>
        </w:tc>
        <w:tc>
          <w:tcPr>
            <w:tcW w:w="2268" w:type="dxa"/>
            <w:vAlign w:val="center"/>
          </w:tcPr>
          <w:p w14:paraId="08ECC4B9">
            <w:pPr>
              <w:pStyle w:val="11"/>
            </w:pPr>
            <w:r>
              <w:t>预算数</w:t>
            </w:r>
          </w:p>
        </w:tc>
        <w:tc>
          <w:tcPr>
            <w:tcW w:w="2835" w:type="dxa"/>
            <w:vAlign w:val="center"/>
          </w:tcPr>
          <w:p w14:paraId="496702D8">
            <w:pPr>
              <w:pStyle w:val="13"/>
            </w:pPr>
            <w:r>
              <w:t>13.65</w:t>
            </w:r>
          </w:p>
        </w:tc>
        <w:tc>
          <w:tcPr>
            <w:tcW w:w="2835" w:type="dxa"/>
            <w:vAlign w:val="center"/>
          </w:tcPr>
          <w:p w14:paraId="4605A979">
            <w:pPr>
              <w:pStyle w:val="11"/>
            </w:pPr>
            <w:r>
              <w:t>其中：财政    资金</w:t>
            </w:r>
          </w:p>
        </w:tc>
        <w:tc>
          <w:tcPr>
            <w:tcW w:w="2551" w:type="dxa"/>
            <w:vAlign w:val="center"/>
          </w:tcPr>
          <w:p w14:paraId="69A07476">
            <w:pPr>
              <w:pStyle w:val="13"/>
            </w:pPr>
            <w:r>
              <w:t>13.65</w:t>
            </w:r>
          </w:p>
        </w:tc>
        <w:tc>
          <w:tcPr>
            <w:tcW w:w="2268" w:type="dxa"/>
            <w:vAlign w:val="center"/>
          </w:tcPr>
          <w:p w14:paraId="68B8ED06">
            <w:pPr>
              <w:pStyle w:val="11"/>
            </w:pPr>
            <w:r>
              <w:t>其他资金</w:t>
            </w:r>
          </w:p>
        </w:tc>
        <w:tc>
          <w:tcPr>
            <w:tcW w:w="1276" w:type="dxa"/>
            <w:vAlign w:val="center"/>
          </w:tcPr>
          <w:p w14:paraId="0F97D783">
            <w:pPr>
              <w:pStyle w:val="13"/>
            </w:pPr>
            <w:r>
              <w:t xml:space="preserve"> </w:t>
            </w:r>
          </w:p>
        </w:tc>
      </w:tr>
      <w:tr w14:paraId="36D97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1E7FB9"/>
        </w:tc>
        <w:tc>
          <w:tcPr>
            <w:tcW w:w="14033" w:type="dxa"/>
            <w:gridSpan w:val="6"/>
            <w:vAlign w:val="center"/>
          </w:tcPr>
          <w:p w14:paraId="6AD37D98">
            <w:pPr>
              <w:pStyle w:val="13"/>
            </w:pPr>
            <w:r>
              <w:t>保障义务教育学校正常运转，完成教育教学活动和其他日常工作任务等方面的费用支出。</w:t>
            </w:r>
          </w:p>
        </w:tc>
      </w:tr>
      <w:tr w14:paraId="73807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0831D">
            <w:pPr>
              <w:pStyle w:val="11"/>
            </w:pPr>
            <w:r>
              <w:t>资金支出计划（%）</w:t>
            </w:r>
          </w:p>
        </w:tc>
        <w:tc>
          <w:tcPr>
            <w:tcW w:w="5103" w:type="dxa"/>
            <w:gridSpan w:val="2"/>
            <w:vAlign w:val="center"/>
          </w:tcPr>
          <w:p w14:paraId="739D6D89">
            <w:pPr>
              <w:pStyle w:val="11"/>
            </w:pPr>
            <w:r>
              <w:t>3月底</w:t>
            </w:r>
          </w:p>
        </w:tc>
        <w:tc>
          <w:tcPr>
            <w:tcW w:w="2835" w:type="dxa"/>
            <w:vAlign w:val="center"/>
          </w:tcPr>
          <w:p w14:paraId="00E3B67A">
            <w:pPr>
              <w:pStyle w:val="11"/>
            </w:pPr>
            <w:r>
              <w:t>6月底</w:t>
            </w:r>
          </w:p>
        </w:tc>
        <w:tc>
          <w:tcPr>
            <w:tcW w:w="2551" w:type="dxa"/>
            <w:vAlign w:val="center"/>
          </w:tcPr>
          <w:p w14:paraId="3F6D5D69">
            <w:pPr>
              <w:pStyle w:val="11"/>
            </w:pPr>
            <w:r>
              <w:t>10月底</w:t>
            </w:r>
          </w:p>
        </w:tc>
        <w:tc>
          <w:tcPr>
            <w:tcW w:w="3544" w:type="dxa"/>
            <w:gridSpan w:val="2"/>
            <w:vAlign w:val="center"/>
          </w:tcPr>
          <w:p w14:paraId="5CAA124A">
            <w:pPr>
              <w:pStyle w:val="11"/>
            </w:pPr>
            <w:r>
              <w:t>12月底</w:t>
            </w:r>
          </w:p>
        </w:tc>
      </w:tr>
      <w:tr w14:paraId="2D88E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8B9F38"/>
        </w:tc>
        <w:tc>
          <w:tcPr>
            <w:tcW w:w="5103" w:type="dxa"/>
            <w:gridSpan w:val="2"/>
            <w:vAlign w:val="center"/>
          </w:tcPr>
          <w:p w14:paraId="1CCEA434">
            <w:pPr>
              <w:pStyle w:val="12"/>
            </w:pPr>
            <w:r>
              <w:t xml:space="preserve"> </w:t>
            </w:r>
          </w:p>
        </w:tc>
        <w:tc>
          <w:tcPr>
            <w:tcW w:w="2835" w:type="dxa"/>
            <w:vAlign w:val="center"/>
          </w:tcPr>
          <w:p w14:paraId="69EE8BFC">
            <w:pPr>
              <w:pStyle w:val="12"/>
            </w:pPr>
            <w:r>
              <w:t xml:space="preserve"> </w:t>
            </w:r>
          </w:p>
        </w:tc>
        <w:tc>
          <w:tcPr>
            <w:tcW w:w="2551" w:type="dxa"/>
            <w:vAlign w:val="center"/>
          </w:tcPr>
          <w:p w14:paraId="4DFE5B4B">
            <w:pPr>
              <w:pStyle w:val="12"/>
            </w:pPr>
            <w:r>
              <w:t xml:space="preserve"> </w:t>
            </w:r>
          </w:p>
        </w:tc>
        <w:tc>
          <w:tcPr>
            <w:tcW w:w="3544" w:type="dxa"/>
            <w:gridSpan w:val="2"/>
            <w:vAlign w:val="center"/>
          </w:tcPr>
          <w:p w14:paraId="18D1748E">
            <w:pPr>
              <w:pStyle w:val="12"/>
            </w:pPr>
            <w:r>
              <w:t>100%</w:t>
            </w:r>
          </w:p>
        </w:tc>
      </w:tr>
      <w:tr w14:paraId="7ED37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BA685E">
            <w:pPr>
              <w:pStyle w:val="11"/>
            </w:pPr>
            <w:r>
              <w:t>绩效目标</w:t>
            </w:r>
          </w:p>
        </w:tc>
        <w:tc>
          <w:tcPr>
            <w:tcW w:w="14033" w:type="dxa"/>
            <w:gridSpan w:val="6"/>
            <w:vAlign w:val="center"/>
          </w:tcPr>
          <w:p w14:paraId="5A199D7D">
            <w:pPr>
              <w:pStyle w:val="13"/>
            </w:pPr>
            <w:r>
              <w:t>1.保障义务教育学校正常运转，完成教育教学活动和其他日常工作任务等方面的费用支出。</w:t>
            </w:r>
          </w:p>
        </w:tc>
      </w:tr>
    </w:tbl>
    <w:p w14:paraId="55D79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40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24AB9">
            <w:pPr>
              <w:pStyle w:val="11"/>
            </w:pPr>
            <w:r>
              <w:t>一级指标</w:t>
            </w:r>
          </w:p>
        </w:tc>
        <w:tc>
          <w:tcPr>
            <w:tcW w:w="2268" w:type="dxa"/>
            <w:vAlign w:val="center"/>
          </w:tcPr>
          <w:p w14:paraId="4662B45F">
            <w:pPr>
              <w:pStyle w:val="11"/>
            </w:pPr>
            <w:r>
              <w:t>二级指标</w:t>
            </w:r>
          </w:p>
        </w:tc>
        <w:tc>
          <w:tcPr>
            <w:tcW w:w="2835" w:type="dxa"/>
            <w:vAlign w:val="center"/>
          </w:tcPr>
          <w:p w14:paraId="69EB2ED2">
            <w:pPr>
              <w:pStyle w:val="11"/>
            </w:pPr>
            <w:r>
              <w:t>三级指标</w:t>
            </w:r>
          </w:p>
        </w:tc>
        <w:tc>
          <w:tcPr>
            <w:tcW w:w="5386" w:type="dxa"/>
            <w:vAlign w:val="center"/>
          </w:tcPr>
          <w:p w14:paraId="370940D0">
            <w:pPr>
              <w:pStyle w:val="11"/>
            </w:pPr>
            <w:r>
              <w:t>绩效指标描述</w:t>
            </w:r>
          </w:p>
        </w:tc>
        <w:tc>
          <w:tcPr>
            <w:tcW w:w="2268" w:type="dxa"/>
            <w:vAlign w:val="center"/>
          </w:tcPr>
          <w:p w14:paraId="781898A3">
            <w:pPr>
              <w:pStyle w:val="11"/>
            </w:pPr>
            <w:r>
              <w:t>指标值</w:t>
            </w:r>
          </w:p>
        </w:tc>
        <w:tc>
          <w:tcPr>
            <w:tcW w:w="1276" w:type="dxa"/>
            <w:vAlign w:val="center"/>
          </w:tcPr>
          <w:p w14:paraId="639015B4">
            <w:pPr>
              <w:pStyle w:val="11"/>
            </w:pPr>
            <w:r>
              <w:t>指标值确定依据</w:t>
            </w:r>
          </w:p>
        </w:tc>
      </w:tr>
      <w:tr w14:paraId="0E974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62F3D">
            <w:pPr>
              <w:pStyle w:val="12"/>
            </w:pPr>
            <w:r>
              <w:t>产出指标</w:t>
            </w:r>
          </w:p>
        </w:tc>
        <w:tc>
          <w:tcPr>
            <w:tcW w:w="2268" w:type="dxa"/>
            <w:vAlign w:val="center"/>
          </w:tcPr>
          <w:p w14:paraId="28E6F211">
            <w:pPr>
              <w:pStyle w:val="13"/>
            </w:pPr>
            <w:r>
              <w:t>数量指标</w:t>
            </w:r>
          </w:p>
        </w:tc>
        <w:tc>
          <w:tcPr>
            <w:tcW w:w="2835" w:type="dxa"/>
            <w:vAlign w:val="center"/>
          </w:tcPr>
          <w:p w14:paraId="2610AB3F">
            <w:pPr>
              <w:pStyle w:val="13"/>
            </w:pPr>
            <w:r>
              <w:t>适龄在校生</w:t>
            </w:r>
          </w:p>
        </w:tc>
        <w:tc>
          <w:tcPr>
            <w:tcW w:w="5386" w:type="dxa"/>
            <w:vAlign w:val="center"/>
          </w:tcPr>
          <w:p w14:paraId="5ACB9E44">
            <w:pPr>
              <w:pStyle w:val="13"/>
            </w:pPr>
            <w:r>
              <w:t>适龄在校就读学生人数</w:t>
            </w:r>
          </w:p>
        </w:tc>
        <w:tc>
          <w:tcPr>
            <w:tcW w:w="2268" w:type="dxa"/>
            <w:vAlign w:val="center"/>
          </w:tcPr>
          <w:p w14:paraId="05D7F528">
            <w:pPr>
              <w:pStyle w:val="13"/>
            </w:pPr>
            <w:r>
              <w:t>235人</w:t>
            </w:r>
          </w:p>
        </w:tc>
        <w:tc>
          <w:tcPr>
            <w:tcW w:w="1276" w:type="dxa"/>
            <w:vAlign w:val="center"/>
          </w:tcPr>
          <w:p w14:paraId="0960178C">
            <w:pPr>
              <w:pStyle w:val="13"/>
            </w:pPr>
            <w:r>
              <w:t>城乡义务教育公用经费管理办法</w:t>
            </w:r>
          </w:p>
        </w:tc>
      </w:tr>
      <w:tr w14:paraId="6A3E7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C82FD"/>
        </w:tc>
        <w:tc>
          <w:tcPr>
            <w:tcW w:w="2268" w:type="dxa"/>
            <w:vAlign w:val="center"/>
          </w:tcPr>
          <w:p w14:paraId="2C13AE86">
            <w:pPr>
              <w:pStyle w:val="13"/>
            </w:pPr>
            <w:r>
              <w:t>质量指标</w:t>
            </w:r>
          </w:p>
        </w:tc>
        <w:tc>
          <w:tcPr>
            <w:tcW w:w="2835" w:type="dxa"/>
            <w:vAlign w:val="center"/>
          </w:tcPr>
          <w:p w14:paraId="5D345C3C">
            <w:pPr>
              <w:pStyle w:val="13"/>
            </w:pPr>
            <w:r>
              <w:t>预算控制率</w:t>
            </w:r>
          </w:p>
        </w:tc>
        <w:tc>
          <w:tcPr>
            <w:tcW w:w="5386" w:type="dxa"/>
            <w:vAlign w:val="center"/>
          </w:tcPr>
          <w:p w14:paraId="19984778">
            <w:pPr>
              <w:pStyle w:val="13"/>
            </w:pPr>
            <w:r>
              <w:t>预算执行</w:t>
            </w:r>
          </w:p>
        </w:tc>
        <w:tc>
          <w:tcPr>
            <w:tcW w:w="2268" w:type="dxa"/>
            <w:vAlign w:val="center"/>
          </w:tcPr>
          <w:p w14:paraId="23C9F39D">
            <w:pPr>
              <w:pStyle w:val="13"/>
            </w:pPr>
            <w:r>
              <w:t>≥95%</w:t>
            </w:r>
          </w:p>
        </w:tc>
        <w:tc>
          <w:tcPr>
            <w:tcW w:w="1276" w:type="dxa"/>
            <w:vAlign w:val="center"/>
          </w:tcPr>
          <w:p w14:paraId="1F5D5895">
            <w:pPr>
              <w:pStyle w:val="13"/>
            </w:pPr>
            <w:r>
              <w:t>城乡义务教育公用经费管理办法</w:t>
            </w:r>
          </w:p>
        </w:tc>
      </w:tr>
      <w:tr w14:paraId="2571D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DE442"/>
        </w:tc>
        <w:tc>
          <w:tcPr>
            <w:tcW w:w="2268" w:type="dxa"/>
            <w:vAlign w:val="center"/>
          </w:tcPr>
          <w:p w14:paraId="53F9C842">
            <w:pPr>
              <w:pStyle w:val="13"/>
            </w:pPr>
            <w:r>
              <w:t>时效指标</w:t>
            </w:r>
          </w:p>
        </w:tc>
        <w:tc>
          <w:tcPr>
            <w:tcW w:w="2835" w:type="dxa"/>
            <w:vAlign w:val="center"/>
          </w:tcPr>
          <w:p w14:paraId="2625CA4A">
            <w:pPr>
              <w:pStyle w:val="13"/>
            </w:pPr>
            <w:r>
              <w:t>资金支付率</w:t>
            </w:r>
          </w:p>
        </w:tc>
        <w:tc>
          <w:tcPr>
            <w:tcW w:w="5386" w:type="dxa"/>
            <w:vAlign w:val="center"/>
          </w:tcPr>
          <w:p w14:paraId="70C400E8">
            <w:pPr>
              <w:pStyle w:val="13"/>
            </w:pPr>
            <w:r>
              <w:t>按照序时进度完成资金支付</w:t>
            </w:r>
          </w:p>
        </w:tc>
        <w:tc>
          <w:tcPr>
            <w:tcW w:w="2268" w:type="dxa"/>
            <w:vAlign w:val="center"/>
          </w:tcPr>
          <w:p w14:paraId="3CD68630">
            <w:pPr>
              <w:pStyle w:val="13"/>
            </w:pPr>
            <w:r>
              <w:t>≥100%</w:t>
            </w:r>
          </w:p>
        </w:tc>
        <w:tc>
          <w:tcPr>
            <w:tcW w:w="1276" w:type="dxa"/>
            <w:vAlign w:val="center"/>
          </w:tcPr>
          <w:p w14:paraId="6A1CE198">
            <w:pPr>
              <w:pStyle w:val="13"/>
            </w:pPr>
            <w:r>
              <w:t>城乡义务教育公用经费管理办法</w:t>
            </w:r>
          </w:p>
        </w:tc>
      </w:tr>
      <w:tr w14:paraId="195F9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969FD"/>
        </w:tc>
        <w:tc>
          <w:tcPr>
            <w:tcW w:w="2268" w:type="dxa"/>
            <w:vAlign w:val="center"/>
          </w:tcPr>
          <w:p w14:paraId="5B95B3E2">
            <w:pPr>
              <w:pStyle w:val="13"/>
            </w:pPr>
            <w:r>
              <w:t>成本指标</w:t>
            </w:r>
          </w:p>
        </w:tc>
        <w:tc>
          <w:tcPr>
            <w:tcW w:w="2835" w:type="dxa"/>
            <w:vAlign w:val="center"/>
          </w:tcPr>
          <w:p w14:paraId="1CD3A83D">
            <w:pPr>
              <w:pStyle w:val="13"/>
            </w:pPr>
            <w:r>
              <w:t>生均拨款标准</w:t>
            </w:r>
          </w:p>
        </w:tc>
        <w:tc>
          <w:tcPr>
            <w:tcW w:w="5386" w:type="dxa"/>
            <w:vAlign w:val="center"/>
          </w:tcPr>
          <w:p w14:paraId="1F2DBEA5">
            <w:pPr>
              <w:pStyle w:val="13"/>
            </w:pPr>
            <w:r>
              <w:t>小学：（基本标准720元、寄宿生300元、取暖120元）/生/学年；随班就读学生：标准6000元/生/学年。</w:t>
            </w:r>
          </w:p>
        </w:tc>
        <w:tc>
          <w:tcPr>
            <w:tcW w:w="2268" w:type="dxa"/>
            <w:vAlign w:val="center"/>
          </w:tcPr>
          <w:p w14:paraId="19874B02">
            <w:pPr>
              <w:pStyle w:val="13"/>
            </w:pPr>
            <w:r>
              <w:t>136470元</w:t>
            </w:r>
          </w:p>
        </w:tc>
        <w:tc>
          <w:tcPr>
            <w:tcW w:w="1276" w:type="dxa"/>
            <w:vAlign w:val="center"/>
          </w:tcPr>
          <w:p w14:paraId="58C924FF">
            <w:pPr>
              <w:pStyle w:val="13"/>
            </w:pPr>
            <w:r>
              <w:t>城乡义务教育公用经费管理办法</w:t>
            </w:r>
          </w:p>
        </w:tc>
      </w:tr>
      <w:tr w14:paraId="626F0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FA405B">
            <w:pPr>
              <w:pStyle w:val="12"/>
            </w:pPr>
            <w:r>
              <w:t>效益指标</w:t>
            </w:r>
          </w:p>
        </w:tc>
        <w:tc>
          <w:tcPr>
            <w:tcW w:w="2268" w:type="dxa"/>
            <w:vAlign w:val="center"/>
          </w:tcPr>
          <w:p w14:paraId="3C068A44">
            <w:pPr>
              <w:pStyle w:val="13"/>
            </w:pPr>
            <w:r>
              <w:t>可持续影响指标</w:t>
            </w:r>
          </w:p>
        </w:tc>
        <w:tc>
          <w:tcPr>
            <w:tcW w:w="2835" w:type="dxa"/>
            <w:vAlign w:val="center"/>
          </w:tcPr>
          <w:p w14:paraId="3F608BFE">
            <w:pPr>
              <w:pStyle w:val="13"/>
            </w:pPr>
            <w:r>
              <w:t>教育发展水平明显好转</w:t>
            </w:r>
          </w:p>
        </w:tc>
        <w:tc>
          <w:tcPr>
            <w:tcW w:w="5386" w:type="dxa"/>
            <w:vAlign w:val="center"/>
          </w:tcPr>
          <w:p w14:paraId="4B264CC7">
            <w:pPr>
              <w:pStyle w:val="13"/>
            </w:pPr>
            <w:r>
              <w:t>学生受教育年限</w:t>
            </w:r>
          </w:p>
        </w:tc>
        <w:tc>
          <w:tcPr>
            <w:tcW w:w="2268" w:type="dxa"/>
            <w:vAlign w:val="center"/>
          </w:tcPr>
          <w:p w14:paraId="0B1A23F3">
            <w:pPr>
              <w:pStyle w:val="13"/>
            </w:pPr>
            <w:r>
              <w:t>6年</w:t>
            </w:r>
          </w:p>
        </w:tc>
        <w:tc>
          <w:tcPr>
            <w:tcW w:w="1276" w:type="dxa"/>
            <w:vAlign w:val="center"/>
          </w:tcPr>
          <w:p w14:paraId="34C133C0">
            <w:pPr>
              <w:pStyle w:val="13"/>
            </w:pPr>
            <w:r>
              <w:t>城乡义务教育公用经费管理办法</w:t>
            </w:r>
          </w:p>
        </w:tc>
      </w:tr>
      <w:tr w14:paraId="74D7E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BF634E">
            <w:pPr>
              <w:pStyle w:val="12"/>
            </w:pPr>
            <w:r>
              <w:t>满意度指标</w:t>
            </w:r>
          </w:p>
        </w:tc>
        <w:tc>
          <w:tcPr>
            <w:tcW w:w="2268" w:type="dxa"/>
            <w:vAlign w:val="center"/>
          </w:tcPr>
          <w:p w14:paraId="65E515C2">
            <w:pPr>
              <w:pStyle w:val="13"/>
            </w:pPr>
            <w:r>
              <w:t>服务对象满意度指标</w:t>
            </w:r>
          </w:p>
        </w:tc>
        <w:tc>
          <w:tcPr>
            <w:tcW w:w="2835" w:type="dxa"/>
            <w:vAlign w:val="center"/>
          </w:tcPr>
          <w:p w14:paraId="6822A963">
            <w:pPr>
              <w:pStyle w:val="13"/>
            </w:pPr>
            <w:r>
              <w:t>受益学生家长及调查满意度</w:t>
            </w:r>
          </w:p>
        </w:tc>
        <w:tc>
          <w:tcPr>
            <w:tcW w:w="5386" w:type="dxa"/>
            <w:vAlign w:val="center"/>
          </w:tcPr>
          <w:p w14:paraId="51CD5CDF">
            <w:pPr>
              <w:pStyle w:val="13"/>
            </w:pPr>
            <w:r>
              <w:t>学生、教师及家长对学校教育教学工作满意度情况</w:t>
            </w:r>
          </w:p>
        </w:tc>
        <w:tc>
          <w:tcPr>
            <w:tcW w:w="2268" w:type="dxa"/>
            <w:vAlign w:val="center"/>
          </w:tcPr>
          <w:p w14:paraId="421CD044">
            <w:pPr>
              <w:pStyle w:val="13"/>
            </w:pPr>
            <w:r>
              <w:t>≥95%</w:t>
            </w:r>
          </w:p>
        </w:tc>
        <w:tc>
          <w:tcPr>
            <w:tcW w:w="1276" w:type="dxa"/>
            <w:vAlign w:val="center"/>
          </w:tcPr>
          <w:p w14:paraId="0DEE9262">
            <w:pPr>
              <w:pStyle w:val="13"/>
            </w:pPr>
            <w:r>
              <w:t>调查问卷</w:t>
            </w:r>
          </w:p>
        </w:tc>
      </w:tr>
    </w:tbl>
    <w:p w14:paraId="5CA59EB3">
      <w:pPr>
        <w:sectPr>
          <w:pgSz w:w="16840" w:h="11900" w:orient="landscape"/>
          <w:pgMar w:top="1361" w:right="1020" w:bottom="1134" w:left="1020" w:header="720" w:footer="720" w:gutter="0"/>
          <w:cols w:space="720" w:num="1"/>
        </w:sectPr>
      </w:pPr>
    </w:p>
    <w:p w14:paraId="4449CD0A">
      <w:pPr>
        <w:spacing w:before="0" w:after="0"/>
        <w:ind w:firstLine="560"/>
        <w:jc w:val="left"/>
        <w:outlineLvl w:val="9"/>
      </w:pPr>
      <w:r>
        <w:rPr>
          <w:rFonts w:ascii="方正仿宋_GBK" w:hAnsi="方正仿宋_GBK" w:eastAsia="方正仿宋_GBK" w:cs="方正仿宋_GBK"/>
          <w:b/>
          <w:color w:val="000000"/>
          <w:sz w:val="28"/>
        </w:rPr>
        <w:t>131、市级基数/隆尧县滏阳小学公用经费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75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BC630">
            <w:pPr>
              <w:pStyle w:val="14"/>
            </w:pPr>
            <w:r>
              <w:t>单位：万元</w:t>
            </w:r>
          </w:p>
        </w:tc>
      </w:tr>
      <w:tr w14:paraId="60330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A0B0E2">
            <w:pPr>
              <w:pStyle w:val="11"/>
            </w:pPr>
            <w:r>
              <w:t>项目编码</w:t>
            </w:r>
          </w:p>
        </w:tc>
        <w:tc>
          <w:tcPr>
            <w:tcW w:w="5103" w:type="dxa"/>
            <w:gridSpan w:val="2"/>
            <w:vAlign w:val="center"/>
          </w:tcPr>
          <w:p w14:paraId="05DCED61">
            <w:pPr>
              <w:pStyle w:val="13"/>
            </w:pPr>
            <w:r>
              <w:t>13052525P00000410016H</w:t>
            </w:r>
          </w:p>
        </w:tc>
        <w:tc>
          <w:tcPr>
            <w:tcW w:w="2835" w:type="dxa"/>
            <w:vAlign w:val="center"/>
          </w:tcPr>
          <w:p w14:paraId="477D4C23">
            <w:pPr>
              <w:pStyle w:val="11"/>
            </w:pPr>
            <w:r>
              <w:t>项目名称</w:t>
            </w:r>
          </w:p>
        </w:tc>
        <w:tc>
          <w:tcPr>
            <w:tcW w:w="6095" w:type="dxa"/>
            <w:gridSpan w:val="3"/>
            <w:vAlign w:val="center"/>
          </w:tcPr>
          <w:p w14:paraId="0373DFA4">
            <w:pPr>
              <w:pStyle w:val="13"/>
            </w:pPr>
            <w:r>
              <w:t>市级基数/隆尧县滏阳小学公用经费</w:t>
            </w:r>
            <w:r>
              <w:tab/>
            </w:r>
            <w:r>
              <w:tab/>
            </w:r>
            <w:r>
              <w:tab/>
            </w:r>
          </w:p>
        </w:tc>
      </w:tr>
      <w:tr w14:paraId="2F9B7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80EA9">
            <w:pPr>
              <w:pStyle w:val="11"/>
            </w:pPr>
            <w:r>
              <w:t>预算规模及资金用途</w:t>
            </w:r>
          </w:p>
        </w:tc>
        <w:tc>
          <w:tcPr>
            <w:tcW w:w="2268" w:type="dxa"/>
            <w:vAlign w:val="center"/>
          </w:tcPr>
          <w:p w14:paraId="76BE6F62">
            <w:pPr>
              <w:pStyle w:val="11"/>
            </w:pPr>
            <w:r>
              <w:t>预算数</w:t>
            </w:r>
          </w:p>
        </w:tc>
        <w:tc>
          <w:tcPr>
            <w:tcW w:w="2835" w:type="dxa"/>
            <w:vAlign w:val="center"/>
          </w:tcPr>
          <w:p w14:paraId="10493A20">
            <w:pPr>
              <w:pStyle w:val="13"/>
            </w:pPr>
            <w:r>
              <w:t>25.08</w:t>
            </w:r>
          </w:p>
        </w:tc>
        <w:tc>
          <w:tcPr>
            <w:tcW w:w="2835" w:type="dxa"/>
            <w:vAlign w:val="center"/>
          </w:tcPr>
          <w:p w14:paraId="1B9CA7F0">
            <w:pPr>
              <w:pStyle w:val="11"/>
            </w:pPr>
            <w:r>
              <w:t>其中：财政    资金</w:t>
            </w:r>
          </w:p>
        </w:tc>
        <w:tc>
          <w:tcPr>
            <w:tcW w:w="2551" w:type="dxa"/>
            <w:vAlign w:val="center"/>
          </w:tcPr>
          <w:p w14:paraId="4AECE7CF">
            <w:pPr>
              <w:pStyle w:val="13"/>
            </w:pPr>
            <w:r>
              <w:t>25.08</w:t>
            </w:r>
          </w:p>
        </w:tc>
        <w:tc>
          <w:tcPr>
            <w:tcW w:w="2268" w:type="dxa"/>
            <w:vAlign w:val="center"/>
          </w:tcPr>
          <w:p w14:paraId="755A8A86">
            <w:pPr>
              <w:pStyle w:val="11"/>
            </w:pPr>
            <w:r>
              <w:t>其他资金</w:t>
            </w:r>
          </w:p>
        </w:tc>
        <w:tc>
          <w:tcPr>
            <w:tcW w:w="1276" w:type="dxa"/>
            <w:vAlign w:val="center"/>
          </w:tcPr>
          <w:p w14:paraId="5C2008B6">
            <w:pPr>
              <w:pStyle w:val="13"/>
            </w:pPr>
            <w:r>
              <w:t xml:space="preserve"> </w:t>
            </w:r>
          </w:p>
        </w:tc>
      </w:tr>
      <w:tr w14:paraId="46F9E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E1D3D7"/>
        </w:tc>
        <w:tc>
          <w:tcPr>
            <w:tcW w:w="14033" w:type="dxa"/>
            <w:gridSpan w:val="6"/>
            <w:vAlign w:val="center"/>
          </w:tcPr>
          <w:p w14:paraId="287D6663">
            <w:pPr>
              <w:pStyle w:val="13"/>
            </w:pPr>
            <w:r>
              <w:t>保障义务教育学校正常运转，完成教育教学活动和其他日常工作任务等方面的费用支出。</w:t>
            </w:r>
          </w:p>
        </w:tc>
      </w:tr>
      <w:tr w14:paraId="38EDE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B2C6B">
            <w:pPr>
              <w:pStyle w:val="11"/>
            </w:pPr>
            <w:r>
              <w:t>资金支出计划（%）</w:t>
            </w:r>
          </w:p>
        </w:tc>
        <w:tc>
          <w:tcPr>
            <w:tcW w:w="5103" w:type="dxa"/>
            <w:gridSpan w:val="2"/>
            <w:vAlign w:val="center"/>
          </w:tcPr>
          <w:p w14:paraId="79730C5C">
            <w:pPr>
              <w:pStyle w:val="11"/>
            </w:pPr>
            <w:r>
              <w:t>3月底</w:t>
            </w:r>
          </w:p>
        </w:tc>
        <w:tc>
          <w:tcPr>
            <w:tcW w:w="2835" w:type="dxa"/>
            <w:vAlign w:val="center"/>
          </w:tcPr>
          <w:p w14:paraId="572E1242">
            <w:pPr>
              <w:pStyle w:val="11"/>
            </w:pPr>
            <w:r>
              <w:t>6月底</w:t>
            </w:r>
          </w:p>
        </w:tc>
        <w:tc>
          <w:tcPr>
            <w:tcW w:w="2551" w:type="dxa"/>
            <w:vAlign w:val="center"/>
          </w:tcPr>
          <w:p w14:paraId="73BC710E">
            <w:pPr>
              <w:pStyle w:val="11"/>
            </w:pPr>
            <w:r>
              <w:t>10月底</w:t>
            </w:r>
          </w:p>
        </w:tc>
        <w:tc>
          <w:tcPr>
            <w:tcW w:w="3544" w:type="dxa"/>
            <w:gridSpan w:val="2"/>
            <w:vAlign w:val="center"/>
          </w:tcPr>
          <w:p w14:paraId="5ED9D2FF">
            <w:pPr>
              <w:pStyle w:val="11"/>
            </w:pPr>
            <w:r>
              <w:t>12月底</w:t>
            </w:r>
          </w:p>
        </w:tc>
      </w:tr>
      <w:tr w14:paraId="225C0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B4B6B"/>
        </w:tc>
        <w:tc>
          <w:tcPr>
            <w:tcW w:w="5103" w:type="dxa"/>
            <w:gridSpan w:val="2"/>
            <w:vAlign w:val="center"/>
          </w:tcPr>
          <w:p w14:paraId="1F430D39">
            <w:pPr>
              <w:pStyle w:val="12"/>
            </w:pPr>
            <w:r>
              <w:t xml:space="preserve"> </w:t>
            </w:r>
          </w:p>
        </w:tc>
        <w:tc>
          <w:tcPr>
            <w:tcW w:w="2835" w:type="dxa"/>
            <w:vAlign w:val="center"/>
          </w:tcPr>
          <w:p w14:paraId="7C484B2F">
            <w:pPr>
              <w:pStyle w:val="12"/>
            </w:pPr>
            <w:r>
              <w:t xml:space="preserve"> </w:t>
            </w:r>
          </w:p>
        </w:tc>
        <w:tc>
          <w:tcPr>
            <w:tcW w:w="2551" w:type="dxa"/>
            <w:vAlign w:val="center"/>
          </w:tcPr>
          <w:p w14:paraId="2CE032CD">
            <w:pPr>
              <w:pStyle w:val="12"/>
            </w:pPr>
            <w:r>
              <w:t xml:space="preserve"> </w:t>
            </w:r>
          </w:p>
        </w:tc>
        <w:tc>
          <w:tcPr>
            <w:tcW w:w="3544" w:type="dxa"/>
            <w:gridSpan w:val="2"/>
            <w:vAlign w:val="center"/>
          </w:tcPr>
          <w:p w14:paraId="5031833F">
            <w:pPr>
              <w:pStyle w:val="12"/>
            </w:pPr>
            <w:r>
              <w:t>100%</w:t>
            </w:r>
          </w:p>
        </w:tc>
      </w:tr>
      <w:tr w14:paraId="45305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068D3">
            <w:pPr>
              <w:pStyle w:val="11"/>
            </w:pPr>
            <w:r>
              <w:t>绩效目标</w:t>
            </w:r>
          </w:p>
        </w:tc>
        <w:tc>
          <w:tcPr>
            <w:tcW w:w="14033" w:type="dxa"/>
            <w:gridSpan w:val="6"/>
            <w:vAlign w:val="center"/>
          </w:tcPr>
          <w:p w14:paraId="40FBEDDA">
            <w:pPr>
              <w:pStyle w:val="13"/>
            </w:pPr>
            <w:r>
              <w:t>1.保障义务教育学校正常运转，完成教育教学活动和其他日常工作任务等方面的费用支出。</w:t>
            </w:r>
          </w:p>
        </w:tc>
      </w:tr>
    </w:tbl>
    <w:p w14:paraId="69051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21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3AAF7">
            <w:pPr>
              <w:pStyle w:val="11"/>
            </w:pPr>
            <w:r>
              <w:t>一级指标</w:t>
            </w:r>
          </w:p>
        </w:tc>
        <w:tc>
          <w:tcPr>
            <w:tcW w:w="2268" w:type="dxa"/>
            <w:vAlign w:val="center"/>
          </w:tcPr>
          <w:p w14:paraId="0F600BF5">
            <w:pPr>
              <w:pStyle w:val="11"/>
            </w:pPr>
            <w:r>
              <w:t>二级指标</w:t>
            </w:r>
          </w:p>
        </w:tc>
        <w:tc>
          <w:tcPr>
            <w:tcW w:w="2835" w:type="dxa"/>
            <w:vAlign w:val="center"/>
          </w:tcPr>
          <w:p w14:paraId="455D6C8F">
            <w:pPr>
              <w:pStyle w:val="11"/>
            </w:pPr>
            <w:r>
              <w:t>三级指标</w:t>
            </w:r>
          </w:p>
        </w:tc>
        <w:tc>
          <w:tcPr>
            <w:tcW w:w="5386" w:type="dxa"/>
            <w:vAlign w:val="center"/>
          </w:tcPr>
          <w:p w14:paraId="57036BAF">
            <w:pPr>
              <w:pStyle w:val="11"/>
            </w:pPr>
            <w:r>
              <w:t>绩效指标描述</w:t>
            </w:r>
          </w:p>
        </w:tc>
        <w:tc>
          <w:tcPr>
            <w:tcW w:w="2268" w:type="dxa"/>
            <w:vAlign w:val="center"/>
          </w:tcPr>
          <w:p w14:paraId="3AA5E408">
            <w:pPr>
              <w:pStyle w:val="11"/>
            </w:pPr>
            <w:r>
              <w:t>指标值</w:t>
            </w:r>
          </w:p>
        </w:tc>
        <w:tc>
          <w:tcPr>
            <w:tcW w:w="1276" w:type="dxa"/>
            <w:vAlign w:val="center"/>
          </w:tcPr>
          <w:p w14:paraId="3C536E53">
            <w:pPr>
              <w:pStyle w:val="11"/>
            </w:pPr>
            <w:r>
              <w:t>指标值确定依据</w:t>
            </w:r>
          </w:p>
        </w:tc>
      </w:tr>
      <w:tr w14:paraId="12370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2BD42">
            <w:pPr>
              <w:pStyle w:val="12"/>
            </w:pPr>
            <w:r>
              <w:t>产出指标</w:t>
            </w:r>
          </w:p>
        </w:tc>
        <w:tc>
          <w:tcPr>
            <w:tcW w:w="2268" w:type="dxa"/>
            <w:vAlign w:val="center"/>
          </w:tcPr>
          <w:p w14:paraId="23990C7E">
            <w:pPr>
              <w:pStyle w:val="13"/>
            </w:pPr>
            <w:r>
              <w:t>数量指标</w:t>
            </w:r>
          </w:p>
        </w:tc>
        <w:tc>
          <w:tcPr>
            <w:tcW w:w="2835" w:type="dxa"/>
            <w:vAlign w:val="center"/>
          </w:tcPr>
          <w:p w14:paraId="31F6946A">
            <w:pPr>
              <w:pStyle w:val="13"/>
            </w:pPr>
            <w:r>
              <w:t>适龄在校生</w:t>
            </w:r>
          </w:p>
        </w:tc>
        <w:tc>
          <w:tcPr>
            <w:tcW w:w="5386" w:type="dxa"/>
            <w:vAlign w:val="center"/>
          </w:tcPr>
          <w:p w14:paraId="5A7D30F9">
            <w:pPr>
              <w:pStyle w:val="13"/>
            </w:pPr>
            <w:r>
              <w:t>适龄在校就读学生人数</w:t>
            </w:r>
          </w:p>
        </w:tc>
        <w:tc>
          <w:tcPr>
            <w:tcW w:w="2268" w:type="dxa"/>
            <w:vAlign w:val="center"/>
          </w:tcPr>
          <w:p w14:paraId="5F84D4C2">
            <w:pPr>
              <w:pStyle w:val="13"/>
            </w:pPr>
            <w:r>
              <w:t>440人</w:t>
            </w:r>
          </w:p>
        </w:tc>
        <w:tc>
          <w:tcPr>
            <w:tcW w:w="1276" w:type="dxa"/>
            <w:vAlign w:val="center"/>
          </w:tcPr>
          <w:p w14:paraId="6B57EBA7">
            <w:pPr>
              <w:pStyle w:val="13"/>
            </w:pPr>
            <w:r>
              <w:t>城乡义务教育公用经费管理办法</w:t>
            </w:r>
          </w:p>
        </w:tc>
      </w:tr>
      <w:tr w14:paraId="7A5B1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44867"/>
        </w:tc>
        <w:tc>
          <w:tcPr>
            <w:tcW w:w="2268" w:type="dxa"/>
            <w:vAlign w:val="center"/>
          </w:tcPr>
          <w:p w14:paraId="5091AA5E">
            <w:pPr>
              <w:pStyle w:val="13"/>
            </w:pPr>
            <w:r>
              <w:t>质量指标</w:t>
            </w:r>
          </w:p>
        </w:tc>
        <w:tc>
          <w:tcPr>
            <w:tcW w:w="2835" w:type="dxa"/>
            <w:vAlign w:val="center"/>
          </w:tcPr>
          <w:p w14:paraId="104A0176">
            <w:pPr>
              <w:pStyle w:val="13"/>
            </w:pPr>
            <w:r>
              <w:t>预算控制率</w:t>
            </w:r>
          </w:p>
        </w:tc>
        <w:tc>
          <w:tcPr>
            <w:tcW w:w="5386" w:type="dxa"/>
            <w:vAlign w:val="center"/>
          </w:tcPr>
          <w:p w14:paraId="44D77619">
            <w:pPr>
              <w:pStyle w:val="13"/>
            </w:pPr>
            <w:r>
              <w:t>预算执行</w:t>
            </w:r>
          </w:p>
        </w:tc>
        <w:tc>
          <w:tcPr>
            <w:tcW w:w="2268" w:type="dxa"/>
            <w:vAlign w:val="center"/>
          </w:tcPr>
          <w:p w14:paraId="60681880">
            <w:pPr>
              <w:pStyle w:val="13"/>
            </w:pPr>
            <w:r>
              <w:t>≥95%</w:t>
            </w:r>
          </w:p>
        </w:tc>
        <w:tc>
          <w:tcPr>
            <w:tcW w:w="1276" w:type="dxa"/>
            <w:vAlign w:val="center"/>
          </w:tcPr>
          <w:p w14:paraId="0B80BF1A">
            <w:pPr>
              <w:pStyle w:val="13"/>
            </w:pPr>
            <w:r>
              <w:t>城乡义务教育公用经费管理办法</w:t>
            </w:r>
          </w:p>
        </w:tc>
      </w:tr>
      <w:tr w14:paraId="1FD6C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ED672"/>
        </w:tc>
        <w:tc>
          <w:tcPr>
            <w:tcW w:w="2268" w:type="dxa"/>
            <w:vAlign w:val="center"/>
          </w:tcPr>
          <w:p w14:paraId="1CE661EB">
            <w:pPr>
              <w:pStyle w:val="13"/>
            </w:pPr>
            <w:r>
              <w:t>时效指标</w:t>
            </w:r>
          </w:p>
        </w:tc>
        <w:tc>
          <w:tcPr>
            <w:tcW w:w="2835" w:type="dxa"/>
            <w:vAlign w:val="center"/>
          </w:tcPr>
          <w:p w14:paraId="00CEFBFF">
            <w:pPr>
              <w:pStyle w:val="13"/>
            </w:pPr>
            <w:r>
              <w:t>资金支付率</w:t>
            </w:r>
          </w:p>
        </w:tc>
        <w:tc>
          <w:tcPr>
            <w:tcW w:w="5386" w:type="dxa"/>
            <w:vAlign w:val="center"/>
          </w:tcPr>
          <w:p w14:paraId="50757EBE">
            <w:pPr>
              <w:pStyle w:val="13"/>
            </w:pPr>
            <w:r>
              <w:t>按照序时进度完成资金支付</w:t>
            </w:r>
          </w:p>
        </w:tc>
        <w:tc>
          <w:tcPr>
            <w:tcW w:w="2268" w:type="dxa"/>
            <w:vAlign w:val="center"/>
          </w:tcPr>
          <w:p w14:paraId="7627129C">
            <w:pPr>
              <w:pStyle w:val="13"/>
            </w:pPr>
            <w:r>
              <w:t>≥100%</w:t>
            </w:r>
          </w:p>
        </w:tc>
        <w:tc>
          <w:tcPr>
            <w:tcW w:w="1276" w:type="dxa"/>
            <w:vAlign w:val="center"/>
          </w:tcPr>
          <w:p w14:paraId="2FE8D634">
            <w:pPr>
              <w:pStyle w:val="13"/>
            </w:pPr>
            <w:r>
              <w:t>城乡义务教育公用经费管理办法</w:t>
            </w:r>
          </w:p>
        </w:tc>
      </w:tr>
      <w:tr w14:paraId="7BF71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091B7"/>
        </w:tc>
        <w:tc>
          <w:tcPr>
            <w:tcW w:w="2268" w:type="dxa"/>
            <w:vAlign w:val="center"/>
          </w:tcPr>
          <w:p w14:paraId="54670736">
            <w:pPr>
              <w:pStyle w:val="13"/>
            </w:pPr>
            <w:r>
              <w:t>成本指标</w:t>
            </w:r>
          </w:p>
        </w:tc>
        <w:tc>
          <w:tcPr>
            <w:tcW w:w="2835" w:type="dxa"/>
            <w:vAlign w:val="center"/>
          </w:tcPr>
          <w:p w14:paraId="5487848A">
            <w:pPr>
              <w:pStyle w:val="13"/>
            </w:pPr>
            <w:r>
              <w:t>生均拨款标准</w:t>
            </w:r>
          </w:p>
        </w:tc>
        <w:tc>
          <w:tcPr>
            <w:tcW w:w="5386" w:type="dxa"/>
            <w:vAlign w:val="center"/>
          </w:tcPr>
          <w:p w14:paraId="516498B5">
            <w:pPr>
              <w:pStyle w:val="13"/>
            </w:pPr>
            <w:r>
              <w:t>小学：（基本标准720元、寄宿生300元、取暖120元）/生/学年；随班就读学生：标准6000元/生/学年。</w:t>
            </w:r>
          </w:p>
        </w:tc>
        <w:tc>
          <w:tcPr>
            <w:tcW w:w="2268" w:type="dxa"/>
            <w:vAlign w:val="center"/>
          </w:tcPr>
          <w:p w14:paraId="0D60F26D">
            <w:pPr>
              <w:pStyle w:val="13"/>
            </w:pPr>
            <w:r>
              <w:t>840元</w:t>
            </w:r>
          </w:p>
        </w:tc>
        <w:tc>
          <w:tcPr>
            <w:tcW w:w="1276" w:type="dxa"/>
            <w:vAlign w:val="center"/>
          </w:tcPr>
          <w:p w14:paraId="2E16F8D3">
            <w:pPr>
              <w:pStyle w:val="13"/>
            </w:pPr>
            <w:r>
              <w:t>城乡义务教育公用经费管理办法</w:t>
            </w:r>
          </w:p>
        </w:tc>
      </w:tr>
      <w:tr w14:paraId="62AD1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D75C97">
            <w:pPr>
              <w:pStyle w:val="12"/>
            </w:pPr>
            <w:r>
              <w:t>效益指标</w:t>
            </w:r>
          </w:p>
        </w:tc>
        <w:tc>
          <w:tcPr>
            <w:tcW w:w="2268" w:type="dxa"/>
            <w:vAlign w:val="center"/>
          </w:tcPr>
          <w:p w14:paraId="2D6EDB81">
            <w:pPr>
              <w:pStyle w:val="13"/>
            </w:pPr>
            <w:r>
              <w:t>可持续影响指标</w:t>
            </w:r>
          </w:p>
        </w:tc>
        <w:tc>
          <w:tcPr>
            <w:tcW w:w="2835" w:type="dxa"/>
            <w:vAlign w:val="center"/>
          </w:tcPr>
          <w:p w14:paraId="54F5EE3E">
            <w:pPr>
              <w:pStyle w:val="13"/>
            </w:pPr>
            <w:r>
              <w:t>教育发展水平明显好转</w:t>
            </w:r>
          </w:p>
        </w:tc>
        <w:tc>
          <w:tcPr>
            <w:tcW w:w="5386" w:type="dxa"/>
            <w:vAlign w:val="center"/>
          </w:tcPr>
          <w:p w14:paraId="529DB2AB">
            <w:pPr>
              <w:pStyle w:val="13"/>
            </w:pPr>
            <w:r>
              <w:t>学生受教育年限</w:t>
            </w:r>
          </w:p>
        </w:tc>
        <w:tc>
          <w:tcPr>
            <w:tcW w:w="2268" w:type="dxa"/>
            <w:vAlign w:val="center"/>
          </w:tcPr>
          <w:p w14:paraId="3C99FE39">
            <w:pPr>
              <w:pStyle w:val="13"/>
            </w:pPr>
            <w:r>
              <w:t>6年</w:t>
            </w:r>
          </w:p>
        </w:tc>
        <w:tc>
          <w:tcPr>
            <w:tcW w:w="1276" w:type="dxa"/>
            <w:vAlign w:val="center"/>
          </w:tcPr>
          <w:p w14:paraId="47BE2EDE">
            <w:pPr>
              <w:pStyle w:val="13"/>
            </w:pPr>
            <w:r>
              <w:t>城乡义务教育公用经费管理办法</w:t>
            </w:r>
          </w:p>
        </w:tc>
      </w:tr>
      <w:tr w14:paraId="29505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34981">
            <w:pPr>
              <w:pStyle w:val="12"/>
            </w:pPr>
            <w:r>
              <w:t>满意度指标</w:t>
            </w:r>
          </w:p>
        </w:tc>
        <w:tc>
          <w:tcPr>
            <w:tcW w:w="2268" w:type="dxa"/>
            <w:vAlign w:val="center"/>
          </w:tcPr>
          <w:p w14:paraId="7DEB280A">
            <w:pPr>
              <w:pStyle w:val="13"/>
            </w:pPr>
            <w:r>
              <w:t>服务对象满意度指标</w:t>
            </w:r>
          </w:p>
        </w:tc>
        <w:tc>
          <w:tcPr>
            <w:tcW w:w="2835" w:type="dxa"/>
            <w:vAlign w:val="center"/>
          </w:tcPr>
          <w:p w14:paraId="4EE29DC5">
            <w:pPr>
              <w:pStyle w:val="13"/>
            </w:pPr>
            <w:r>
              <w:t>受益学生家长及调查满意度</w:t>
            </w:r>
          </w:p>
        </w:tc>
        <w:tc>
          <w:tcPr>
            <w:tcW w:w="5386" w:type="dxa"/>
            <w:vAlign w:val="center"/>
          </w:tcPr>
          <w:p w14:paraId="1F116D66">
            <w:pPr>
              <w:pStyle w:val="13"/>
            </w:pPr>
            <w:r>
              <w:t>学生、教师及家长对学校教育教学工作满意度情况</w:t>
            </w:r>
          </w:p>
        </w:tc>
        <w:tc>
          <w:tcPr>
            <w:tcW w:w="2268" w:type="dxa"/>
            <w:vAlign w:val="center"/>
          </w:tcPr>
          <w:p w14:paraId="53B9C600">
            <w:pPr>
              <w:pStyle w:val="13"/>
            </w:pPr>
            <w:r>
              <w:t>≥95%</w:t>
            </w:r>
          </w:p>
        </w:tc>
        <w:tc>
          <w:tcPr>
            <w:tcW w:w="1276" w:type="dxa"/>
            <w:vAlign w:val="center"/>
          </w:tcPr>
          <w:p w14:paraId="697A8715">
            <w:pPr>
              <w:pStyle w:val="13"/>
            </w:pPr>
            <w:r>
              <w:t>调查问卷</w:t>
            </w:r>
          </w:p>
        </w:tc>
      </w:tr>
    </w:tbl>
    <w:p w14:paraId="3F45FD4B">
      <w:pPr>
        <w:sectPr>
          <w:pgSz w:w="16840" w:h="11900" w:orient="landscape"/>
          <w:pgMar w:top="1361" w:right="1020" w:bottom="1134" w:left="1020" w:header="720" w:footer="720" w:gutter="0"/>
          <w:cols w:space="720" w:num="1"/>
        </w:sectPr>
      </w:pPr>
    </w:p>
    <w:p w14:paraId="1438B36F">
      <w:pPr>
        <w:spacing w:before="0" w:after="0"/>
        <w:ind w:firstLine="560"/>
        <w:jc w:val="left"/>
        <w:outlineLvl w:val="9"/>
      </w:pPr>
      <w:r>
        <w:rPr>
          <w:rFonts w:ascii="方正仿宋_GBK" w:hAnsi="方正仿宋_GBK" w:eastAsia="方正仿宋_GBK" w:cs="方正仿宋_GBK"/>
          <w:b/>
          <w:color w:val="000000"/>
          <w:sz w:val="28"/>
        </w:rPr>
        <w:t>132、唐尧中学补助经费绩效目标表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CE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089E8">
            <w:pPr>
              <w:pStyle w:val="14"/>
            </w:pPr>
            <w:r>
              <w:t>单位：万元</w:t>
            </w:r>
          </w:p>
        </w:tc>
      </w:tr>
      <w:tr w14:paraId="3C028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5B0291">
            <w:pPr>
              <w:pStyle w:val="11"/>
            </w:pPr>
            <w:r>
              <w:t>项目编码</w:t>
            </w:r>
          </w:p>
        </w:tc>
        <w:tc>
          <w:tcPr>
            <w:tcW w:w="5103" w:type="dxa"/>
            <w:gridSpan w:val="2"/>
            <w:vAlign w:val="center"/>
          </w:tcPr>
          <w:p w14:paraId="60C5CBDC">
            <w:pPr>
              <w:pStyle w:val="13"/>
            </w:pPr>
            <w:r>
              <w:t>13052525P008756100886</w:t>
            </w:r>
          </w:p>
        </w:tc>
        <w:tc>
          <w:tcPr>
            <w:tcW w:w="2835" w:type="dxa"/>
            <w:vAlign w:val="center"/>
          </w:tcPr>
          <w:p w14:paraId="6B5104AB">
            <w:pPr>
              <w:pStyle w:val="11"/>
            </w:pPr>
            <w:r>
              <w:t>项目名称</w:t>
            </w:r>
          </w:p>
        </w:tc>
        <w:tc>
          <w:tcPr>
            <w:tcW w:w="6095" w:type="dxa"/>
            <w:gridSpan w:val="3"/>
            <w:vAlign w:val="center"/>
          </w:tcPr>
          <w:p w14:paraId="6B087A7D">
            <w:pPr>
              <w:pStyle w:val="13"/>
            </w:pPr>
            <w:r>
              <w:t>唐尧中学补助经费</w:t>
            </w:r>
          </w:p>
        </w:tc>
      </w:tr>
      <w:tr w14:paraId="76A71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7E0FF">
            <w:pPr>
              <w:pStyle w:val="11"/>
            </w:pPr>
            <w:r>
              <w:t>预算规模及资金用途</w:t>
            </w:r>
          </w:p>
        </w:tc>
        <w:tc>
          <w:tcPr>
            <w:tcW w:w="2268" w:type="dxa"/>
            <w:vAlign w:val="center"/>
          </w:tcPr>
          <w:p w14:paraId="229C8739">
            <w:pPr>
              <w:pStyle w:val="11"/>
            </w:pPr>
            <w:r>
              <w:t>预算数</w:t>
            </w:r>
          </w:p>
        </w:tc>
        <w:tc>
          <w:tcPr>
            <w:tcW w:w="2835" w:type="dxa"/>
            <w:vAlign w:val="center"/>
          </w:tcPr>
          <w:p w14:paraId="10C86DEC">
            <w:pPr>
              <w:pStyle w:val="13"/>
            </w:pPr>
            <w:r>
              <w:t>246.88</w:t>
            </w:r>
          </w:p>
        </w:tc>
        <w:tc>
          <w:tcPr>
            <w:tcW w:w="2835" w:type="dxa"/>
            <w:vAlign w:val="center"/>
          </w:tcPr>
          <w:p w14:paraId="0EFBC56F">
            <w:pPr>
              <w:pStyle w:val="11"/>
            </w:pPr>
            <w:r>
              <w:t>其中：财政    资金</w:t>
            </w:r>
          </w:p>
        </w:tc>
        <w:tc>
          <w:tcPr>
            <w:tcW w:w="2551" w:type="dxa"/>
            <w:vAlign w:val="center"/>
          </w:tcPr>
          <w:p w14:paraId="08E54876">
            <w:pPr>
              <w:pStyle w:val="13"/>
            </w:pPr>
            <w:r>
              <w:t>246.88</w:t>
            </w:r>
          </w:p>
        </w:tc>
        <w:tc>
          <w:tcPr>
            <w:tcW w:w="2268" w:type="dxa"/>
            <w:vAlign w:val="center"/>
          </w:tcPr>
          <w:p w14:paraId="1F534162">
            <w:pPr>
              <w:pStyle w:val="11"/>
            </w:pPr>
            <w:r>
              <w:t>其他资金</w:t>
            </w:r>
          </w:p>
        </w:tc>
        <w:tc>
          <w:tcPr>
            <w:tcW w:w="1276" w:type="dxa"/>
            <w:vAlign w:val="center"/>
          </w:tcPr>
          <w:p w14:paraId="3DCD04AD">
            <w:pPr>
              <w:pStyle w:val="13"/>
            </w:pPr>
            <w:r>
              <w:t xml:space="preserve"> </w:t>
            </w:r>
          </w:p>
        </w:tc>
      </w:tr>
      <w:tr w14:paraId="4D947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6325F"/>
        </w:tc>
        <w:tc>
          <w:tcPr>
            <w:tcW w:w="14033" w:type="dxa"/>
            <w:gridSpan w:val="6"/>
            <w:vAlign w:val="center"/>
          </w:tcPr>
          <w:p w14:paraId="2F480C55">
            <w:pPr>
              <w:pStyle w:val="13"/>
            </w:pPr>
            <w:r>
              <w:t>用于发放民办学校教师工资，提升教育事业发展</w:t>
            </w:r>
          </w:p>
        </w:tc>
      </w:tr>
      <w:tr w14:paraId="635263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7F9BF">
            <w:pPr>
              <w:pStyle w:val="11"/>
            </w:pPr>
            <w:r>
              <w:t>资金支出计划（%）</w:t>
            </w:r>
          </w:p>
        </w:tc>
        <w:tc>
          <w:tcPr>
            <w:tcW w:w="5103" w:type="dxa"/>
            <w:gridSpan w:val="2"/>
            <w:vAlign w:val="center"/>
          </w:tcPr>
          <w:p w14:paraId="3DF00CBC">
            <w:pPr>
              <w:pStyle w:val="11"/>
            </w:pPr>
            <w:r>
              <w:t>3月底</w:t>
            </w:r>
          </w:p>
        </w:tc>
        <w:tc>
          <w:tcPr>
            <w:tcW w:w="2835" w:type="dxa"/>
            <w:vAlign w:val="center"/>
          </w:tcPr>
          <w:p w14:paraId="34FD54E5">
            <w:pPr>
              <w:pStyle w:val="11"/>
            </w:pPr>
            <w:r>
              <w:t>6月底</w:t>
            </w:r>
          </w:p>
        </w:tc>
        <w:tc>
          <w:tcPr>
            <w:tcW w:w="2551" w:type="dxa"/>
            <w:vAlign w:val="center"/>
          </w:tcPr>
          <w:p w14:paraId="30EBB390">
            <w:pPr>
              <w:pStyle w:val="11"/>
            </w:pPr>
            <w:r>
              <w:t>10月底</w:t>
            </w:r>
          </w:p>
        </w:tc>
        <w:tc>
          <w:tcPr>
            <w:tcW w:w="3544" w:type="dxa"/>
            <w:gridSpan w:val="2"/>
            <w:vAlign w:val="center"/>
          </w:tcPr>
          <w:p w14:paraId="3850F6D8">
            <w:pPr>
              <w:pStyle w:val="11"/>
            </w:pPr>
            <w:r>
              <w:t>12月底</w:t>
            </w:r>
          </w:p>
        </w:tc>
      </w:tr>
      <w:tr w14:paraId="6EE43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C4EEC6"/>
        </w:tc>
        <w:tc>
          <w:tcPr>
            <w:tcW w:w="5103" w:type="dxa"/>
            <w:gridSpan w:val="2"/>
            <w:vAlign w:val="center"/>
          </w:tcPr>
          <w:p w14:paraId="552BDD4F">
            <w:pPr>
              <w:pStyle w:val="12"/>
            </w:pPr>
            <w:r>
              <w:t>25%</w:t>
            </w:r>
          </w:p>
        </w:tc>
        <w:tc>
          <w:tcPr>
            <w:tcW w:w="2835" w:type="dxa"/>
            <w:vAlign w:val="center"/>
          </w:tcPr>
          <w:p w14:paraId="16C4159F">
            <w:pPr>
              <w:pStyle w:val="12"/>
            </w:pPr>
            <w:r>
              <w:t>50%</w:t>
            </w:r>
          </w:p>
        </w:tc>
        <w:tc>
          <w:tcPr>
            <w:tcW w:w="2551" w:type="dxa"/>
            <w:vAlign w:val="center"/>
          </w:tcPr>
          <w:p w14:paraId="31118977">
            <w:pPr>
              <w:pStyle w:val="12"/>
            </w:pPr>
            <w:r>
              <w:t>75%</w:t>
            </w:r>
          </w:p>
        </w:tc>
        <w:tc>
          <w:tcPr>
            <w:tcW w:w="3544" w:type="dxa"/>
            <w:gridSpan w:val="2"/>
            <w:vAlign w:val="center"/>
          </w:tcPr>
          <w:p w14:paraId="6A59264C">
            <w:pPr>
              <w:pStyle w:val="12"/>
            </w:pPr>
            <w:r>
              <w:t>100%</w:t>
            </w:r>
          </w:p>
        </w:tc>
      </w:tr>
      <w:tr w14:paraId="3240D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5611A7">
            <w:pPr>
              <w:pStyle w:val="11"/>
            </w:pPr>
            <w:r>
              <w:t>绩效目标</w:t>
            </w:r>
          </w:p>
        </w:tc>
        <w:tc>
          <w:tcPr>
            <w:tcW w:w="14033" w:type="dxa"/>
            <w:gridSpan w:val="6"/>
            <w:vAlign w:val="center"/>
          </w:tcPr>
          <w:p w14:paraId="55B110EC">
            <w:pPr>
              <w:pStyle w:val="13"/>
            </w:pPr>
            <w:r>
              <w:t>1.按学期发放民办学校教师工资，提升教育事业发展</w:t>
            </w:r>
          </w:p>
        </w:tc>
      </w:tr>
    </w:tbl>
    <w:p w14:paraId="3B2F8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2C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9945E">
            <w:pPr>
              <w:pStyle w:val="11"/>
            </w:pPr>
            <w:r>
              <w:t>一级指标</w:t>
            </w:r>
          </w:p>
        </w:tc>
        <w:tc>
          <w:tcPr>
            <w:tcW w:w="2268" w:type="dxa"/>
            <w:vAlign w:val="center"/>
          </w:tcPr>
          <w:p w14:paraId="06AFA067">
            <w:pPr>
              <w:pStyle w:val="11"/>
            </w:pPr>
            <w:r>
              <w:t>二级指标</w:t>
            </w:r>
          </w:p>
        </w:tc>
        <w:tc>
          <w:tcPr>
            <w:tcW w:w="2835" w:type="dxa"/>
            <w:vAlign w:val="center"/>
          </w:tcPr>
          <w:p w14:paraId="00B408D9">
            <w:pPr>
              <w:pStyle w:val="11"/>
            </w:pPr>
            <w:r>
              <w:t>三级指标</w:t>
            </w:r>
          </w:p>
        </w:tc>
        <w:tc>
          <w:tcPr>
            <w:tcW w:w="5386" w:type="dxa"/>
            <w:vAlign w:val="center"/>
          </w:tcPr>
          <w:p w14:paraId="1A552ECD">
            <w:pPr>
              <w:pStyle w:val="11"/>
            </w:pPr>
            <w:r>
              <w:t>绩效指标描述</w:t>
            </w:r>
          </w:p>
        </w:tc>
        <w:tc>
          <w:tcPr>
            <w:tcW w:w="2268" w:type="dxa"/>
            <w:vAlign w:val="center"/>
          </w:tcPr>
          <w:p w14:paraId="1AE64CAF">
            <w:pPr>
              <w:pStyle w:val="11"/>
            </w:pPr>
            <w:r>
              <w:t>指标值</w:t>
            </w:r>
          </w:p>
        </w:tc>
        <w:tc>
          <w:tcPr>
            <w:tcW w:w="1276" w:type="dxa"/>
            <w:vAlign w:val="center"/>
          </w:tcPr>
          <w:p w14:paraId="74AC5AC5">
            <w:pPr>
              <w:pStyle w:val="11"/>
            </w:pPr>
            <w:r>
              <w:t>指标值确定依据</w:t>
            </w:r>
          </w:p>
        </w:tc>
      </w:tr>
      <w:tr w14:paraId="33EAE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E9332">
            <w:pPr>
              <w:pStyle w:val="12"/>
            </w:pPr>
            <w:r>
              <w:t>产出指标</w:t>
            </w:r>
          </w:p>
        </w:tc>
        <w:tc>
          <w:tcPr>
            <w:tcW w:w="2268" w:type="dxa"/>
            <w:vAlign w:val="center"/>
          </w:tcPr>
          <w:p w14:paraId="6E77EB23">
            <w:pPr>
              <w:pStyle w:val="13"/>
            </w:pPr>
            <w:r>
              <w:t>数量指标</w:t>
            </w:r>
          </w:p>
        </w:tc>
        <w:tc>
          <w:tcPr>
            <w:tcW w:w="2835" w:type="dxa"/>
            <w:vAlign w:val="center"/>
          </w:tcPr>
          <w:p w14:paraId="3DB4F058">
            <w:pPr>
              <w:pStyle w:val="13"/>
            </w:pPr>
            <w:r>
              <w:t>专任教师比（%）</w:t>
            </w:r>
          </w:p>
        </w:tc>
        <w:tc>
          <w:tcPr>
            <w:tcW w:w="5386" w:type="dxa"/>
            <w:vAlign w:val="center"/>
          </w:tcPr>
          <w:p w14:paraId="3BEBEFDC">
            <w:pPr>
              <w:pStyle w:val="13"/>
            </w:pPr>
            <w:r>
              <w:t>专任教师数量占教职工总数的比率</w:t>
            </w:r>
          </w:p>
        </w:tc>
        <w:tc>
          <w:tcPr>
            <w:tcW w:w="2268" w:type="dxa"/>
            <w:vAlign w:val="center"/>
          </w:tcPr>
          <w:p w14:paraId="5BE06EF5">
            <w:pPr>
              <w:pStyle w:val="13"/>
            </w:pPr>
            <w:r>
              <w:t>≥97%</w:t>
            </w:r>
          </w:p>
        </w:tc>
        <w:tc>
          <w:tcPr>
            <w:tcW w:w="1276" w:type="dxa"/>
            <w:vAlign w:val="center"/>
          </w:tcPr>
          <w:p w14:paraId="51EE34BC">
            <w:pPr>
              <w:pStyle w:val="13"/>
            </w:pPr>
            <w:r>
              <w:t>人社部门工资批复</w:t>
            </w:r>
          </w:p>
        </w:tc>
      </w:tr>
      <w:tr w14:paraId="05E54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7B83E"/>
        </w:tc>
        <w:tc>
          <w:tcPr>
            <w:tcW w:w="2268" w:type="dxa"/>
            <w:vAlign w:val="center"/>
          </w:tcPr>
          <w:p w14:paraId="20DADE24">
            <w:pPr>
              <w:pStyle w:val="13"/>
            </w:pPr>
            <w:r>
              <w:t>质量指标</w:t>
            </w:r>
          </w:p>
        </w:tc>
        <w:tc>
          <w:tcPr>
            <w:tcW w:w="2835" w:type="dxa"/>
            <w:vAlign w:val="center"/>
          </w:tcPr>
          <w:p w14:paraId="5E5EA2B9">
            <w:pPr>
              <w:pStyle w:val="13"/>
            </w:pPr>
            <w:r>
              <w:t>项目资金拨付及时到位率</w:t>
            </w:r>
          </w:p>
        </w:tc>
        <w:tc>
          <w:tcPr>
            <w:tcW w:w="5386" w:type="dxa"/>
            <w:vAlign w:val="center"/>
          </w:tcPr>
          <w:p w14:paraId="4969CAB0">
            <w:pPr>
              <w:pStyle w:val="13"/>
            </w:pPr>
            <w:r>
              <w:t>项目资金拨付及时到位率</w:t>
            </w:r>
          </w:p>
        </w:tc>
        <w:tc>
          <w:tcPr>
            <w:tcW w:w="2268" w:type="dxa"/>
            <w:vAlign w:val="center"/>
          </w:tcPr>
          <w:p w14:paraId="4F8B4367">
            <w:pPr>
              <w:pStyle w:val="13"/>
            </w:pPr>
            <w:r>
              <w:t>≥100%</w:t>
            </w:r>
          </w:p>
        </w:tc>
        <w:tc>
          <w:tcPr>
            <w:tcW w:w="1276" w:type="dxa"/>
            <w:vAlign w:val="center"/>
          </w:tcPr>
          <w:p w14:paraId="17AF4D58">
            <w:pPr>
              <w:pStyle w:val="13"/>
            </w:pPr>
            <w:r>
              <w:t>人社部门工资批复</w:t>
            </w:r>
          </w:p>
        </w:tc>
      </w:tr>
      <w:tr w14:paraId="62E5E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86527"/>
        </w:tc>
        <w:tc>
          <w:tcPr>
            <w:tcW w:w="2268" w:type="dxa"/>
            <w:vAlign w:val="center"/>
          </w:tcPr>
          <w:p w14:paraId="525908FA">
            <w:pPr>
              <w:pStyle w:val="13"/>
            </w:pPr>
            <w:r>
              <w:t>时效指标</w:t>
            </w:r>
          </w:p>
        </w:tc>
        <w:tc>
          <w:tcPr>
            <w:tcW w:w="2835" w:type="dxa"/>
            <w:vAlign w:val="center"/>
          </w:tcPr>
          <w:p w14:paraId="3DE828F3">
            <w:pPr>
              <w:pStyle w:val="13"/>
            </w:pPr>
            <w:r>
              <w:t>义教经费支付完成率</w:t>
            </w:r>
          </w:p>
        </w:tc>
        <w:tc>
          <w:tcPr>
            <w:tcW w:w="5386" w:type="dxa"/>
            <w:vAlign w:val="center"/>
          </w:tcPr>
          <w:p w14:paraId="7AE34793">
            <w:pPr>
              <w:pStyle w:val="13"/>
            </w:pPr>
            <w:r>
              <w:t>按照序时进度完成资金支付</w:t>
            </w:r>
          </w:p>
        </w:tc>
        <w:tc>
          <w:tcPr>
            <w:tcW w:w="2268" w:type="dxa"/>
            <w:vAlign w:val="center"/>
          </w:tcPr>
          <w:p w14:paraId="219BDB12">
            <w:pPr>
              <w:pStyle w:val="13"/>
            </w:pPr>
            <w:r>
              <w:t>≥100%</w:t>
            </w:r>
          </w:p>
        </w:tc>
        <w:tc>
          <w:tcPr>
            <w:tcW w:w="1276" w:type="dxa"/>
            <w:vAlign w:val="center"/>
          </w:tcPr>
          <w:p w14:paraId="3DA1F542">
            <w:pPr>
              <w:pStyle w:val="13"/>
            </w:pPr>
            <w:r>
              <w:t>人社部门工资批复</w:t>
            </w:r>
          </w:p>
        </w:tc>
      </w:tr>
      <w:tr w14:paraId="2F85D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3A9A1"/>
        </w:tc>
        <w:tc>
          <w:tcPr>
            <w:tcW w:w="2268" w:type="dxa"/>
            <w:vAlign w:val="center"/>
          </w:tcPr>
          <w:p w14:paraId="305E0DAC">
            <w:pPr>
              <w:pStyle w:val="13"/>
            </w:pPr>
            <w:r>
              <w:t>成本指标</w:t>
            </w:r>
          </w:p>
        </w:tc>
        <w:tc>
          <w:tcPr>
            <w:tcW w:w="2835" w:type="dxa"/>
            <w:vAlign w:val="center"/>
          </w:tcPr>
          <w:p w14:paraId="48A0B2B6">
            <w:pPr>
              <w:pStyle w:val="13"/>
            </w:pPr>
            <w:r>
              <w:t>包含教师</w:t>
            </w:r>
          </w:p>
        </w:tc>
        <w:tc>
          <w:tcPr>
            <w:tcW w:w="5386" w:type="dxa"/>
            <w:vAlign w:val="center"/>
          </w:tcPr>
          <w:p w14:paraId="4788CB97">
            <w:pPr>
              <w:pStyle w:val="13"/>
            </w:pPr>
            <w:r>
              <w:t>政策内全覆盖</w:t>
            </w:r>
          </w:p>
        </w:tc>
        <w:tc>
          <w:tcPr>
            <w:tcW w:w="2268" w:type="dxa"/>
            <w:vAlign w:val="center"/>
          </w:tcPr>
          <w:p w14:paraId="079304BB">
            <w:pPr>
              <w:pStyle w:val="13"/>
            </w:pPr>
            <w:r>
              <w:t>32 人</w:t>
            </w:r>
          </w:p>
        </w:tc>
        <w:tc>
          <w:tcPr>
            <w:tcW w:w="1276" w:type="dxa"/>
            <w:vAlign w:val="center"/>
          </w:tcPr>
          <w:p w14:paraId="5B695419">
            <w:pPr>
              <w:pStyle w:val="13"/>
            </w:pPr>
            <w:r>
              <w:t>人社部门工资批复</w:t>
            </w:r>
          </w:p>
        </w:tc>
      </w:tr>
      <w:tr w14:paraId="1671D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504347">
            <w:pPr>
              <w:pStyle w:val="12"/>
            </w:pPr>
            <w:r>
              <w:t>效益指标</w:t>
            </w:r>
          </w:p>
        </w:tc>
        <w:tc>
          <w:tcPr>
            <w:tcW w:w="2268" w:type="dxa"/>
            <w:vAlign w:val="center"/>
          </w:tcPr>
          <w:p w14:paraId="1AF2A3F1">
            <w:pPr>
              <w:pStyle w:val="13"/>
            </w:pPr>
            <w:r>
              <w:t>生态效益指标</w:t>
            </w:r>
          </w:p>
        </w:tc>
        <w:tc>
          <w:tcPr>
            <w:tcW w:w="2835" w:type="dxa"/>
            <w:vAlign w:val="center"/>
          </w:tcPr>
          <w:p w14:paraId="2922E0FD">
            <w:pPr>
              <w:pStyle w:val="13"/>
            </w:pPr>
            <w:r>
              <w:t xml:space="preserve"> 教师工资待遇</w:t>
            </w:r>
          </w:p>
        </w:tc>
        <w:tc>
          <w:tcPr>
            <w:tcW w:w="5386" w:type="dxa"/>
            <w:vAlign w:val="center"/>
          </w:tcPr>
          <w:p w14:paraId="0D855BD4">
            <w:pPr>
              <w:pStyle w:val="13"/>
            </w:pPr>
            <w:r>
              <w:t>保障民办教师工资待遇</w:t>
            </w:r>
          </w:p>
        </w:tc>
        <w:tc>
          <w:tcPr>
            <w:tcW w:w="2268" w:type="dxa"/>
            <w:vAlign w:val="center"/>
          </w:tcPr>
          <w:p w14:paraId="70AC7BE0">
            <w:pPr>
              <w:pStyle w:val="13"/>
            </w:pPr>
            <w:r>
              <w:t>≥98%</w:t>
            </w:r>
          </w:p>
        </w:tc>
        <w:tc>
          <w:tcPr>
            <w:tcW w:w="1276" w:type="dxa"/>
            <w:vAlign w:val="center"/>
          </w:tcPr>
          <w:p w14:paraId="15546FF8">
            <w:pPr>
              <w:pStyle w:val="13"/>
            </w:pPr>
            <w:r>
              <w:t>人社部门工资批复</w:t>
            </w:r>
          </w:p>
        </w:tc>
      </w:tr>
      <w:tr w14:paraId="150D8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EC6CAD">
            <w:pPr>
              <w:pStyle w:val="12"/>
            </w:pPr>
            <w:r>
              <w:t>满意度指标</w:t>
            </w:r>
          </w:p>
        </w:tc>
        <w:tc>
          <w:tcPr>
            <w:tcW w:w="2268" w:type="dxa"/>
            <w:vAlign w:val="center"/>
          </w:tcPr>
          <w:p w14:paraId="750B80D3">
            <w:pPr>
              <w:pStyle w:val="13"/>
            </w:pPr>
            <w:r>
              <w:t>服务对象满意度指标</w:t>
            </w:r>
          </w:p>
        </w:tc>
        <w:tc>
          <w:tcPr>
            <w:tcW w:w="2835" w:type="dxa"/>
            <w:vAlign w:val="center"/>
          </w:tcPr>
          <w:p w14:paraId="5E467B51">
            <w:pPr>
              <w:pStyle w:val="13"/>
            </w:pPr>
            <w:r>
              <w:t xml:space="preserve"> 教师满意度</w:t>
            </w:r>
          </w:p>
        </w:tc>
        <w:tc>
          <w:tcPr>
            <w:tcW w:w="5386" w:type="dxa"/>
            <w:vAlign w:val="center"/>
          </w:tcPr>
          <w:p w14:paraId="3A6CF0C8">
            <w:pPr>
              <w:pStyle w:val="13"/>
            </w:pPr>
            <w:r>
              <w:t xml:space="preserve"> 学校教师满意度</w:t>
            </w:r>
          </w:p>
        </w:tc>
        <w:tc>
          <w:tcPr>
            <w:tcW w:w="2268" w:type="dxa"/>
            <w:vAlign w:val="center"/>
          </w:tcPr>
          <w:p w14:paraId="204FF5C2">
            <w:pPr>
              <w:pStyle w:val="13"/>
            </w:pPr>
            <w:r>
              <w:t>≥98%</w:t>
            </w:r>
          </w:p>
        </w:tc>
        <w:tc>
          <w:tcPr>
            <w:tcW w:w="1276" w:type="dxa"/>
            <w:vAlign w:val="center"/>
          </w:tcPr>
          <w:p w14:paraId="21DE22E4">
            <w:pPr>
              <w:pStyle w:val="13"/>
            </w:pPr>
            <w:r>
              <w:t xml:space="preserve"> 调查问卷</w:t>
            </w:r>
          </w:p>
        </w:tc>
      </w:tr>
    </w:tbl>
    <w:p w14:paraId="15D3649A">
      <w:pPr>
        <w:sectPr>
          <w:pgSz w:w="16840" w:h="11900" w:orient="landscape"/>
          <w:pgMar w:top="1361" w:right="1020" w:bottom="1134" w:left="1020" w:header="720" w:footer="720" w:gutter="0"/>
          <w:cols w:space="720" w:num="1"/>
        </w:sectPr>
      </w:pPr>
    </w:p>
    <w:p w14:paraId="61380235">
      <w:pPr>
        <w:spacing w:before="0" w:after="0"/>
        <w:ind w:firstLine="560"/>
        <w:jc w:val="left"/>
        <w:outlineLvl w:val="9"/>
      </w:pPr>
      <w:r>
        <w:rPr>
          <w:rFonts w:ascii="方正仿宋_GBK" w:hAnsi="方正仿宋_GBK" w:eastAsia="方正仿宋_GBK" w:cs="方正仿宋_GBK"/>
          <w:b/>
          <w:color w:val="000000"/>
          <w:sz w:val="28"/>
        </w:rPr>
        <w:t>133、县级配套/隆尧成龙易衡实验学校(初中）公用经费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8C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81F1E">
            <w:pPr>
              <w:pStyle w:val="14"/>
            </w:pPr>
            <w:r>
              <w:t>单位：万元</w:t>
            </w:r>
          </w:p>
        </w:tc>
      </w:tr>
      <w:tr w14:paraId="37518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D9A5F">
            <w:pPr>
              <w:pStyle w:val="11"/>
            </w:pPr>
            <w:r>
              <w:t>项目编码</w:t>
            </w:r>
          </w:p>
        </w:tc>
        <w:tc>
          <w:tcPr>
            <w:tcW w:w="5103" w:type="dxa"/>
            <w:gridSpan w:val="2"/>
            <w:vAlign w:val="center"/>
          </w:tcPr>
          <w:p w14:paraId="138547F0">
            <w:pPr>
              <w:pStyle w:val="13"/>
            </w:pPr>
            <w:r>
              <w:t>13052525P00000410015X</w:t>
            </w:r>
          </w:p>
        </w:tc>
        <w:tc>
          <w:tcPr>
            <w:tcW w:w="2835" w:type="dxa"/>
            <w:vAlign w:val="center"/>
          </w:tcPr>
          <w:p w14:paraId="5DB8B4AF">
            <w:pPr>
              <w:pStyle w:val="11"/>
            </w:pPr>
            <w:r>
              <w:t>项目名称</w:t>
            </w:r>
          </w:p>
        </w:tc>
        <w:tc>
          <w:tcPr>
            <w:tcW w:w="6095" w:type="dxa"/>
            <w:gridSpan w:val="3"/>
            <w:vAlign w:val="center"/>
          </w:tcPr>
          <w:p w14:paraId="59F043B3">
            <w:pPr>
              <w:pStyle w:val="13"/>
            </w:pPr>
            <w:r>
              <w:t>县级配套/隆尧成龙易衡实验学校(初中）公用经费</w:t>
            </w:r>
            <w:r>
              <w:tab/>
            </w:r>
            <w:r>
              <w:tab/>
            </w:r>
            <w:r>
              <w:tab/>
            </w:r>
          </w:p>
        </w:tc>
      </w:tr>
      <w:tr w14:paraId="25818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0BF58">
            <w:pPr>
              <w:pStyle w:val="11"/>
            </w:pPr>
            <w:r>
              <w:t>预算规模及资金用途</w:t>
            </w:r>
          </w:p>
        </w:tc>
        <w:tc>
          <w:tcPr>
            <w:tcW w:w="2268" w:type="dxa"/>
            <w:vAlign w:val="center"/>
          </w:tcPr>
          <w:p w14:paraId="4AE4D3F1">
            <w:pPr>
              <w:pStyle w:val="11"/>
            </w:pPr>
            <w:r>
              <w:t>预算数</w:t>
            </w:r>
          </w:p>
        </w:tc>
        <w:tc>
          <w:tcPr>
            <w:tcW w:w="2835" w:type="dxa"/>
            <w:vAlign w:val="center"/>
          </w:tcPr>
          <w:p w14:paraId="7984A885">
            <w:pPr>
              <w:pStyle w:val="13"/>
            </w:pPr>
            <w:r>
              <w:t>158.34</w:t>
            </w:r>
          </w:p>
        </w:tc>
        <w:tc>
          <w:tcPr>
            <w:tcW w:w="2835" w:type="dxa"/>
            <w:vAlign w:val="center"/>
          </w:tcPr>
          <w:p w14:paraId="5FFB6D28">
            <w:pPr>
              <w:pStyle w:val="11"/>
            </w:pPr>
            <w:r>
              <w:t>其中：财政    资金</w:t>
            </w:r>
          </w:p>
        </w:tc>
        <w:tc>
          <w:tcPr>
            <w:tcW w:w="2551" w:type="dxa"/>
            <w:vAlign w:val="center"/>
          </w:tcPr>
          <w:p w14:paraId="6D479AA0">
            <w:pPr>
              <w:pStyle w:val="13"/>
            </w:pPr>
            <w:r>
              <w:t>158.34</w:t>
            </w:r>
          </w:p>
        </w:tc>
        <w:tc>
          <w:tcPr>
            <w:tcW w:w="2268" w:type="dxa"/>
            <w:vAlign w:val="center"/>
          </w:tcPr>
          <w:p w14:paraId="0E8E5F85">
            <w:pPr>
              <w:pStyle w:val="11"/>
            </w:pPr>
            <w:r>
              <w:t>其他资金</w:t>
            </w:r>
          </w:p>
        </w:tc>
        <w:tc>
          <w:tcPr>
            <w:tcW w:w="1276" w:type="dxa"/>
            <w:vAlign w:val="center"/>
          </w:tcPr>
          <w:p w14:paraId="33D86DE5">
            <w:pPr>
              <w:pStyle w:val="13"/>
            </w:pPr>
            <w:r>
              <w:t xml:space="preserve"> </w:t>
            </w:r>
          </w:p>
        </w:tc>
      </w:tr>
      <w:tr w14:paraId="73942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44F6C5"/>
        </w:tc>
        <w:tc>
          <w:tcPr>
            <w:tcW w:w="14033" w:type="dxa"/>
            <w:gridSpan w:val="6"/>
            <w:vAlign w:val="center"/>
          </w:tcPr>
          <w:p w14:paraId="3909BA94">
            <w:pPr>
              <w:pStyle w:val="13"/>
            </w:pPr>
            <w:r>
              <w:t>保障义务教育学校正常运转，完成教育教学活动和其他日常工作任务等方面的费用支出。</w:t>
            </w:r>
          </w:p>
        </w:tc>
      </w:tr>
      <w:tr w14:paraId="796EF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0AF93">
            <w:pPr>
              <w:pStyle w:val="11"/>
            </w:pPr>
            <w:r>
              <w:t>资金支出计划（%）</w:t>
            </w:r>
          </w:p>
        </w:tc>
        <w:tc>
          <w:tcPr>
            <w:tcW w:w="5103" w:type="dxa"/>
            <w:gridSpan w:val="2"/>
            <w:vAlign w:val="center"/>
          </w:tcPr>
          <w:p w14:paraId="7980004A">
            <w:pPr>
              <w:pStyle w:val="11"/>
            </w:pPr>
            <w:r>
              <w:t>3月底</w:t>
            </w:r>
          </w:p>
        </w:tc>
        <w:tc>
          <w:tcPr>
            <w:tcW w:w="2835" w:type="dxa"/>
            <w:vAlign w:val="center"/>
          </w:tcPr>
          <w:p w14:paraId="55DD4301">
            <w:pPr>
              <w:pStyle w:val="11"/>
            </w:pPr>
            <w:r>
              <w:t>6月底</w:t>
            </w:r>
          </w:p>
        </w:tc>
        <w:tc>
          <w:tcPr>
            <w:tcW w:w="2551" w:type="dxa"/>
            <w:vAlign w:val="center"/>
          </w:tcPr>
          <w:p w14:paraId="78DD61A9">
            <w:pPr>
              <w:pStyle w:val="11"/>
            </w:pPr>
            <w:r>
              <w:t>10月底</w:t>
            </w:r>
          </w:p>
        </w:tc>
        <w:tc>
          <w:tcPr>
            <w:tcW w:w="3544" w:type="dxa"/>
            <w:gridSpan w:val="2"/>
            <w:vAlign w:val="center"/>
          </w:tcPr>
          <w:p w14:paraId="1CABC56B">
            <w:pPr>
              <w:pStyle w:val="11"/>
            </w:pPr>
            <w:r>
              <w:t>12月底</w:t>
            </w:r>
          </w:p>
        </w:tc>
      </w:tr>
      <w:tr w14:paraId="23A60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F0A0A"/>
        </w:tc>
        <w:tc>
          <w:tcPr>
            <w:tcW w:w="5103" w:type="dxa"/>
            <w:gridSpan w:val="2"/>
            <w:vAlign w:val="center"/>
          </w:tcPr>
          <w:p w14:paraId="6A1C1EC9">
            <w:pPr>
              <w:pStyle w:val="12"/>
            </w:pPr>
            <w:r>
              <w:t xml:space="preserve"> </w:t>
            </w:r>
          </w:p>
        </w:tc>
        <w:tc>
          <w:tcPr>
            <w:tcW w:w="2835" w:type="dxa"/>
            <w:vAlign w:val="center"/>
          </w:tcPr>
          <w:p w14:paraId="2BF56811">
            <w:pPr>
              <w:pStyle w:val="12"/>
            </w:pPr>
            <w:r>
              <w:t xml:space="preserve"> </w:t>
            </w:r>
          </w:p>
        </w:tc>
        <w:tc>
          <w:tcPr>
            <w:tcW w:w="2551" w:type="dxa"/>
            <w:vAlign w:val="center"/>
          </w:tcPr>
          <w:p w14:paraId="7D6F82D8">
            <w:pPr>
              <w:pStyle w:val="12"/>
            </w:pPr>
            <w:r>
              <w:t xml:space="preserve"> </w:t>
            </w:r>
          </w:p>
        </w:tc>
        <w:tc>
          <w:tcPr>
            <w:tcW w:w="3544" w:type="dxa"/>
            <w:gridSpan w:val="2"/>
            <w:vAlign w:val="center"/>
          </w:tcPr>
          <w:p w14:paraId="4D73149E">
            <w:pPr>
              <w:pStyle w:val="12"/>
            </w:pPr>
            <w:r>
              <w:t>100%</w:t>
            </w:r>
          </w:p>
        </w:tc>
      </w:tr>
      <w:tr w14:paraId="6BB12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178BE">
            <w:pPr>
              <w:pStyle w:val="11"/>
            </w:pPr>
            <w:r>
              <w:t>绩效目标</w:t>
            </w:r>
          </w:p>
        </w:tc>
        <w:tc>
          <w:tcPr>
            <w:tcW w:w="14033" w:type="dxa"/>
            <w:gridSpan w:val="6"/>
            <w:vAlign w:val="center"/>
          </w:tcPr>
          <w:p w14:paraId="1F0B12DC">
            <w:pPr>
              <w:pStyle w:val="13"/>
            </w:pPr>
            <w:r>
              <w:t>1.保障义务教育学校正常运转，完成教育教学活动和其他日常工作任务等方面的费用支出。</w:t>
            </w:r>
          </w:p>
        </w:tc>
      </w:tr>
    </w:tbl>
    <w:p w14:paraId="5335C2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C7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80365">
            <w:pPr>
              <w:pStyle w:val="11"/>
            </w:pPr>
            <w:r>
              <w:t>一级指标</w:t>
            </w:r>
          </w:p>
        </w:tc>
        <w:tc>
          <w:tcPr>
            <w:tcW w:w="2268" w:type="dxa"/>
            <w:vAlign w:val="center"/>
          </w:tcPr>
          <w:p w14:paraId="7630C83F">
            <w:pPr>
              <w:pStyle w:val="11"/>
            </w:pPr>
            <w:r>
              <w:t>二级指标</w:t>
            </w:r>
          </w:p>
        </w:tc>
        <w:tc>
          <w:tcPr>
            <w:tcW w:w="2835" w:type="dxa"/>
            <w:vAlign w:val="center"/>
          </w:tcPr>
          <w:p w14:paraId="793E8550">
            <w:pPr>
              <w:pStyle w:val="11"/>
            </w:pPr>
            <w:r>
              <w:t>三级指标</w:t>
            </w:r>
          </w:p>
        </w:tc>
        <w:tc>
          <w:tcPr>
            <w:tcW w:w="5386" w:type="dxa"/>
            <w:vAlign w:val="center"/>
          </w:tcPr>
          <w:p w14:paraId="690BA9C3">
            <w:pPr>
              <w:pStyle w:val="11"/>
            </w:pPr>
            <w:r>
              <w:t>绩效指标描述</w:t>
            </w:r>
          </w:p>
        </w:tc>
        <w:tc>
          <w:tcPr>
            <w:tcW w:w="2268" w:type="dxa"/>
            <w:vAlign w:val="center"/>
          </w:tcPr>
          <w:p w14:paraId="7A6995F9">
            <w:pPr>
              <w:pStyle w:val="11"/>
            </w:pPr>
            <w:r>
              <w:t>指标值</w:t>
            </w:r>
          </w:p>
        </w:tc>
        <w:tc>
          <w:tcPr>
            <w:tcW w:w="1276" w:type="dxa"/>
            <w:vAlign w:val="center"/>
          </w:tcPr>
          <w:p w14:paraId="11A3C4DE">
            <w:pPr>
              <w:pStyle w:val="11"/>
            </w:pPr>
            <w:r>
              <w:t>指标值确定依据</w:t>
            </w:r>
          </w:p>
        </w:tc>
      </w:tr>
      <w:tr w14:paraId="0100B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6E0AA">
            <w:pPr>
              <w:pStyle w:val="12"/>
            </w:pPr>
            <w:r>
              <w:t>产出指标</w:t>
            </w:r>
          </w:p>
        </w:tc>
        <w:tc>
          <w:tcPr>
            <w:tcW w:w="2268" w:type="dxa"/>
            <w:vAlign w:val="center"/>
          </w:tcPr>
          <w:p w14:paraId="5CE3514E">
            <w:pPr>
              <w:pStyle w:val="13"/>
            </w:pPr>
            <w:r>
              <w:t>数量指标</w:t>
            </w:r>
          </w:p>
        </w:tc>
        <w:tc>
          <w:tcPr>
            <w:tcW w:w="2835" w:type="dxa"/>
            <w:vAlign w:val="center"/>
          </w:tcPr>
          <w:p w14:paraId="7D99787B">
            <w:pPr>
              <w:pStyle w:val="13"/>
            </w:pPr>
            <w:r>
              <w:t>适龄在校生</w:t>
            </w:r>
          </w:p>
        </w:tc>
        <w:tc>
          <w:tcPr>
            <w:tcW w:w="5386" w:type="dxa"/>
            <w:vAlign w:val="center"/>
          </w:tcPr>
          <w:p w14:paraId="5D9C827B">
            <w:pPr>
              <w:pStyle w:val="13"/>
            </w:pPr>
            <w:r>
              <w:t>适龄在校就读学生人数</w:t>
            </w:r>
          </w:p>
        </w:tc>
        <w:tc>
          <w:tcPr>
            <w:tcW w:w="2268" w:type="dxa"/>
            <w:vAlign w:val="center"/>
          </w:tcPr>
          <w:p w14:paraId="6458DD13">
            <w:pPr>
              <w:pStyle w:val="13"/>
            </w:pPr>
            <w:r>
              <w:t>1537人</w:t>
            </w:r>
          </w:p>
        </w:tc>
        <w:tc>
          <w:tcPr>
            <w:tcW w:w="1276" w:type="dxa"/>
            <w:vAlign w:val="center"/>
          </w:tcPr>
          <w:p w14:paraId="15FB9630">
            <w:pPr>
              <w:pStyle w:val="13"/>
            </w:pPr>
            <w:r>
              <w:t>城乡义务教育公用经费管理办法</w:t>
            </w:r>
          </w:p>
        </w:tc>
      </w:tr>
      <w:tr w14:paraId="5582A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0EB79"/>
        </w:tc>
        <w:tc>
          <w:tcPr>
            <w:tcW w:w="2268" w:type="dxa"/>
            <w:vAlign w:val="center"/>
          </w:tcPr>
          <w:p w14:paraId="369E238B">
            <w:pPr>
              <w:pStyle w:val="13"/>
            </w:pPr>
            <w:r>
              <w:t>质量指标</w:t>
            </w:r>
          </w:p>
        </w:tc>
        <w:tc>
          <w:tcPr>
            <w:tcW w:w="2835" w:type="dxa"/>
            <w:vAlign w:val="center"/>
          </w:tcPr>
          <w:p w14:paraId="060C2AAA">
            <w:pPr>
              <w:pStyle w:val="13"/>
            </w:pPr>
            <w:r>
              <w:t>预算控制率</w:t>
            </w:r>
          </w:p>
        </w:tc>
        <w:tc>
          <w:tcPr>
            <w:tcW w:w="5386" w:type="dxa"/>
            <w:vAlign w:val="center"/>
          </w:tcPr>
          <w:p w14:paraId="6FBA73AE">
            <w:pPr>
              <w:pStyle w:val="13"/>
            </w:pPr>
            <w:r>
              <w:t>预算执行</w:t>
            </w:r>
          </w:p>
        </w:tc>
        <w:tc>
          <w:tcPr>
            <w:tcW w:w="2268" w:type="dxa"/>
            <w:vAlign w:val="center"/>
          </w:tcPr>
          <w:p w14:paraId="051C0186">
            <w:pPr>
              <w:pStyle w:val="13"/>
            </w:pPr>
            <w:r>
              <w:t>≥95%</w:t>
            </w:r>
          </w:p>
        </w:tc>
        <w:tc>
          <w:tcPr>
            <w:tcW w:w="1276" w:type="dxa"/>
            <w:vAlign w:val="center"/>
          </w:tcPr>
          <w:p w14:paraId="74A756A7">
            <w:pPr>
              <w:pStyle w:val="13"/>
            </w:pPr>
            <w:r>
              <w:t>城乡义务教育公用经费管理办法</w:t>
            </w:r>
          </w:p>
        </w:tc>
      </w:tr>
      <w:tr w14:paraId="072D8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73C2"/>
        </w:tc>
        <w:tc>
          <w:tcPr>
            <w:tcW w:w="2268" w:type="dxa"/>
            <w:vAlign w:val="center"/>
          </w:tcPr>
          <w:p w14:paraId="21D548DF">
            <w:pPr>
              <w:pStyle w:val="13"/>
            </w:pPr>
            <w:r>
              <w:t>时效指标</w:t>
            </w:r>
          </w:p>
        </w:tc>
        <w:tc>
          <w:tcPr>
            <w:tcW w:w="2835" w:type="dxa"/>
            <w:vAlign w:val="center"/>
          </w:tcPr>
          <w:p w14:paraId="505D0A82">
            <w:pPr>
              <w:pStyle w:val="13"/>
            </w:pPr>
            <w:r>
              <w:t>资金支付率</w:t>
            </w:r>
          </w:p>
        </w:tc>
        <w:tc>
          <w:tcPr>
            <w:tcW w:w="5386" w:type="dxa"/>
            <w:vAlign w:val="center"/>
          </w:tcPr>
          <w:p w14:paraId="7282A52A">
            <w:pPr>
              <w:pStyle w:val="13"/>
            </w:pPr>
            <w:r>
              <w:t>按照序时进度完成资金支付</w:t>
            </w:r>
          </w:p>
        </w:tc>
        <w:tc>
          <w:tcPr>
            <w:tcW w:w="2268" w:type="dxa"/>
            <w:vAlign w:val="center"/>
          </w:tcPr>
          <w:p w14:paraId="3E8E7E47">
            <w:pPr>
              <w:pStyle w:val="13"/>
            </w:pPr>
            <w:r>
              <w:t>≥100%</w:t>
            </w:r>
          </w:p>
        </w:tc>
        <w:tc>
          <w:tcPr>
            <w:tcW w:w="1276" w:type="dxa"/>
            <w:vAlign w:val="center"/>
          </w:tcPr>
          <w:p w14:paraId="2507E3D3">
            <w:pPr>
              <w:pStyle w:val="13"/>
            </w:pPr>
            <w:r>
              <w:t>城乡义务教育公用经费管理办法</w:t>
            </w:r>
          </w:p>
        </w:tc>
      </w:tr>
      <w:tr w14:paraId="7C369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BF3F6"/>
        </w:tc>
        <w:tc>
          <w:tcPr>
            <w:tcW w:w="2268" w:type="dxa"/>
            <w:vAlign w:val="center"/>
          </w:tcPr>
          <w:p w14:paraId="17996368">
            <w:pPr>
              <w:pStyle w:val="13"/>
            </w:pPr>
            <w:r>
              <w:t>成本指标</w:t>
            </w:r>
          </w:p>
        </w:tc>
        <w:tc>
          <w:tcPr>
            <w:tcW w:w="2835" w:type="dxa"/>
            <w:vAlign w:val="center"/>
          </w:tcPr>
          <w:p w14:paraId="54453989">
            <w:pPr>
              <w:pStyle w:val="13"/>
            </w:pPr>
            <w:r>
              <w:t>生均拨款标准</w:t>
            </w:r>
          </w:p>
        </w:tc>
        <w:tc>
          <w:tcPr>
            <w:tcW w:w="5386" w:type="dxa"/>
            <w:vAlign w:val="center"/>
          </w:tcPr>
          <w:p w14:paraId="12343659">
            <w:pPr>
              <w:pStyle w:val="13"/>
            </w:pPr>
            <w:r>
              <w:t>小学：（基本标准720元、寄宿生300元、取暖120元）/生/学年；随班就读学生：标准6000元/生/学年。</w:t>
            </w:r>
          </w:p>
        </w:tc>
        <w:tc>
          <w:tcPr>
            <w:tcW w:w="2268" w:type="dxa"/>
            <w:vAlign w:val="center"/>
          </w:tcPr>
          <w:p w14:paraId="01BBC1B6">
            <w:pPr>
              <w:pStyle w:val="13"/>
            </w:pPr>
            <w:r>
              <w:t>1583400元</w:t>
            </w:r>
          </w:p>
        </w:tc>
        <w:tc>
          <w:tcPr>
            <w:tcW w:w="1276" w:type="dxa"/>
            <w:vAlign w:val="center"/>
          </w:tcPr>
          <w:p w14:paraId="323D948A">
            <w:pPr>
              <w:pStyle w:val="13"/>
            </w:pPr>
            <w:r>
              <w:t>城乡义务教育公用经费管理办法</w:t>
            </w:r>
          </w:p>
        </w:tc>
      </w:tr>
      <w:tr w14:paraId="702B0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8C13CD">
            <w:pPr>
              <w:pStyle w:val="12"/>
            </w:pPr>
            <w:r>
              <w:t>效益指标</w:t>
            </w:r>
          </w:p>
        </w:tc>
        <w:tc>
          <w:tcPr>
            <w:tcW w:w="2268" w:type="dxa"/>
            <w:vAlign w:val="center"/>
          </w:tcPr>
          <w:p w14:paraId="6B880D81">
            <w:pPr>
              <w:pStyle w:val="13"/>
            </w:pPr>
            <w:r>
              <w:t>可持续影响指标</w:t>
            </w:r>
          </w:p>
        </w:tc>
        <w:tc>
          <w:tcPr>
            <w:tcW w:w="2835" w:type="dxa"/>
            <w:vAlign w:val="center"/>
          </w:tcPr>
          <w:p w14:paraId="24844140">
            <w:pPr>
              <w:pStyle w:val="13"/>
            </w:pPr>
            <w:r>
              <w:t>教育发展水平明显好转</w:t>
            </w:r>
          </w:p>
        </w:tc>
        <w:tc>
          <w:tcPr>
            <w:tcW w:w="5386" w:type="dxa"/>
            <w:vAlign w:val="center"/>
          </w:tcPr>
          <w:p w14:paraId="2AEF5E51">
            <w:pPr>
              <w:pStyle w:val="13"/>
            </w:pPr>
            <w:r>
              <w:t>学生受教育年限</w:t>
            </w:r>
          </w:p>
        </w:tc>
        <w:tc>
          <w:tcPr>
            <w:tcW w:w="2268" w:type="dxa"/>
            <w:vAlign w:val="center"/>
          </w:tcPr>
          <w:p w14:paraId="5D70E951">
            <w:pPr>
              <w:pStyle w:val="13"/>
            </w:pPr>
            <w:r>
              <w:t>3年</w:t>
            </w:r>
          </w:p>
        </w:tc>
        <w:tc>
          <w:tcPr>
            <w:tcW w:w="1276" w:type="dxa"/>
            <w:vAlign w:val="center"/>
          </w:tcPr>
          <w:p w14:paraId="43B6A0D3">
            <w:pPr>
              <w:pStyle w:val="13"/>
            </w:pPr>
            <w:r>
              <w:t>城乡义务教育公用经费管理办法</w:t>
            </w:r>
          </w:p>
        </w:tc>
      </w:tr>
      <w:tr w14:paraId="09736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BE82B">
            <w:pPr>
              <w:pStyle w:val="12"/>
            </w:pPr>
            <w:r>
              <w:t>满意度指标</w:t>
            </w:r>
          </w:p>
        </w:tc>
        <w:tc>
          <w:tcPr>
            <w:tcW w:w="2268" w:type="dxa"/>
            <w:vAlign w:val="center"/>
          </w:tcPr>
          <w:p w14:paraId="39AC4FFB">
            <w:pPr>
              <w:pStyle w:val="13"/>
            </w:pPr>
            <w:r>
              <w:t>服务对象满意度指标</w:t>
            </w:r>
          </w:p>
        </w:tc>
        <w:tc>
          <w:tcPr>
            <w:tcW w:w="2835" w:type="dxa"/>
            <w:vAlign w:val="center"/>
          </w:tcPr>
          <w:p w14:paraId="7C011C65">
            <w:pPr>
              <w:pStyle w:val="13"/>
            </w:pPr>
            <w:r>
              <w:t>受益学生家长及调查满意度</w:t>
            </w:r>
          </w:p>
        </w:tc>
        <w:tc>
          <w:tcPr>
            <w:tcW w:w="5386" w:type="dxa"/>
            <w:vAlign w:val="center"/>
          </w:tcPr>
          <w:p w14:paraId="14F945EC">
            <w:pPr>
              <w:pStyle w:val="13"/>
            </w:pPr>
            <w:r>
              <w:t>学生、教师及家长对学校教育教学工作满意度情况</w:t>
            </w:r>
          </w:p>
        </w:tc>
        <w:tc>
          <w:tcPr>
            <w:tcW w:w="2268" w:type="dxa"/>
            <w:vAlign w:val="center"/>
          </w:tcPr>
          <w:p w14:paraId="7ED0AB1E">
            <w:pPr>
              <w:pStyle w:val="13"/>
            </w:pPr>
            <w:r>
              <w:t>≥95%</w:t>
            </w:r>
          </w:p>
        </w:tc>
        <w:tc>
          <w:tcPr>
            <w:tcW w:w="1276" w:type="dxa"/>
            <w:vAlign w:val="center"/>
          </w:tcPr>
          <w:p w14:paraId="78C559B6">
            <w:pPr>
              <w:pStyle w:val="13"/>
            </w:pPr>
            <w:r>
              <w:t>调查问卷</w:t>
            </w:r>
          </w:p>
        </w:tc>
      </w:tr>
    </w:tbl>
    <w:p w14:paraId="4ADBD00E">
      <w:pPr>
        <w:sectPr>
          <w:pgSz w:w="16840" w:h="11900" w:orient="landscape"/>
          <w:pgMar w:top="1361" w:right="1020" w:bottom="1134" w:left="1020" w:header="720" w:footer="720" w:gutter="0"/>
          <w:cols w:space="720" w:num="1"/>
        </w:sectPr>
      </w:pPr>
    </w:p>
    <w:p w14:paraId="7B241CCE">
      <w:pPr>
        <w:spacing w:before="0" w:after="0"/>
        <w:ind w:firstLine="560"/>
        <w:jc w:val="left"/>
        <w:outlineLvl w:val="9"/>
      </w:pPr>
      <w:r>
        <w:rPr>
          <w:rFonts w:ascii="方正仿宋_GBK" w:hAnsi="方正仿宋_GBK" w:eastAsia="方正仿宋_GBK" w:cs="方正仿宋_GBK"/>
          <w:b/>
          <w:color w:val="000000"/>
          <w:sz w:val="28"/>
        </w:rPr>
        <w:t>134、县级配套/隆尧县表方中学（小学）公用经费绩效目标表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D1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B93E9">
            <w:pPr>
              <w:pStyle w:val="14"/>
            </w:pPr>
            <w:r>
              <w:t>单位：万元</w:t>
            </w:r>
          </w:p>
        </w:tc>
      </w:tr>
      <w:tr w14:paraId="7B1E2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18D15">
            <w:pPr>
              <w:pStyle w:val="11"/>
            </w:pPr>
            <w:r>
              <w:t>项目编码</w:t>
            </w:r>
          </w:p>
        </w:tc>
        <w:tc>
          <w:tcPr>
            <w:tcW w:w="5103" w:type="dxa"/>
            <w:gridSpan w:val="2"/>
            <w:vAlign w:val="center"/>
          </w:tcPr>
          <w:p w14:paraId="2F30645F">
            <w:pPr>
              <w:pStyle w:val="13"/>
            </w:pPr>
            <w:r>
              <w:t>13052525P000004100271</w:t>
            </w:r>
          </w:p>
        </w:tc>
        <w:tc>
          <w:tcPr>
            <w:tcW w:w="2835" w:type="dxa"/>
            <w:vAlign w:val="center"/>
          </w:tcPr>
          <w:p w14:paraId="2DD48ED0">
            <w:pPr>
              <w:pStyle w:val="11"/>
            </w:pPr>
            <w:r>
              <w:t>项目名称</w:t>
            </w:r>
          </w:p>
        </w:tc>
        <w:tc>
          <w:tcPr>
            <w:tcW w:w="6095" w:type="dxa"/>
            <w:gridSpan w:val="3"/>
            <w:vAlign w:val="center"/>
          </w:tcPr>
          <w:p w14:paraId="5FD3914F">
            <w:pPr>
              <w:pStyle w:val="13"/>
            </w:pPr>
            <w:r>
              <w:t>县级配套/隆尧县表方中学（小学）公用经费</w:t>
            </w:r>
          </w:p>
        </w:tc>
      </w:tr>
      <w:tr w14:paraId="047D8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E2384">
            <w:pPr>
              <w:pStyle w:val="11"/>
            </w:pPr>
            <w:r>
              <w:t>预算规模及资金用途</w:t>
            </w:r>
          </w:p>
        </w:tc>
        <w:tc>
          <w:tcPr>
            <w:tcW w:w="2268" w:type="dxa"/>
            <w:vAlign w:val="center"/>
          </w:tcPr>
          <w:p w14:paraId="00981115">
            <w:pPr>
              <w:pStyle w:val="11"/>
            </w:pPr>
            <w:r>
              <w:t>预算数</w:t>
            </w:r>
          </w:p>
        </w:tc>
        <w:tc>
          <w:tcPr>
            <w:tcW w:w="2835" w:type="dxa"/>
            <w:vAlign w:val="center"/>
          </w:tcPr>
          <w:p w14:paraId="1F06F92E">
            <w:pPr>
              <w:pStyle w:val="13"/>
            </w:pPr>
            <w:r>
              <w:t>4.39</w:t>
            </w:r>
          </w:p>
        </w:tc>
        <w:tc>
          <w:tcPr>
            <w:tcW w:w="2835" w:type="dxa"/>
            <w:vAlign w:val="center"/>
          </w:tcPr>
          <w:p w14:paraId="6EE22DD4">
            <w:pPr>
              <w:pStyle w:val="11"/>
            </w:pPr>
            <w:r>
              <w:t>其中：财政    资金</w:t>
            </w:r>
          </w:p>
        </w:tc>
        <w:tc>
          <w:tcPr>
            <w:tcW w:w="2551" w:type="dxa"/>
            <w:vAlign w:val="center"/>
          </w:tcPr>
          <w:p w14:paraId="03942163">
            <w:pPr>
              <w:pStyle w:val="13"/>
            </w:pPr>
            <w:r>
              <w:t>4.39</w:t>
            </w:r>
          </w:p>
        </w:tc>
        <w:tc>
          <w:tcPr>
            <w:tcW w:w="2268" w:type="dxa"/>
            <w:vAlign w:val="center"/>
          </w:tcPr>
          <w:p w14:paraId="186E4B23">
            <w:pPr>
              <w:pStyle w:val="11"/>
            </w:pPr>
            <w:r>
              <w:t>其他资金</w:t>
            </w:r>
          </w:p>
        </w:tc>
        <w:tc>
          <w:tcPr>
            <w:tcW w:w="1276" w:type="dxa"/>
            <w:vAlign w:val="center"/>
          </w:tcPr>
          <w:p w14:paraId="3925491B">
            <w:pPr>
              <w:pStyle w:val="13"/>
            </w:pPr>
            <w:r>
              <w:t xml:space="preserve"> </w:t>
            </w:r>
          </w:p>
        </w:tc>
      </w:tr>
      <w:tr w14:paraId="1BCDE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9E0AF9"/>
        </w:tc>
        <w:tc>
          <w:tcPr>
            <w:tcW w:w="14033" w:type="dxa"/>
            <w:gridSpan w:val="6"/>
            <w:vAlign w:val="center"/>
          </w:tcPr>
          <w:p w14:paraId="571C2692">
            <w:pPr>
              <w:pStyle w:val="13"/>
            </w:pPr>
            <w:r>
              <w:t>保障义务教育学校正常运转，完成教育教学活动和其他日常工作任务等方面的费用支出。</w:t>
            </w:r>
          </w:p>
        </w:tc>
      </w:tr>
      <w:tr w14:paraId="5DBBF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3D461">
            <w:pPr>
              <w:pStyle w:val="11"/>
            </w:pPr>
            <w:r>
              <w:t>资金支出计划（%）</w:t>
            </w:r>
          </w:p>
        </w:tc>
        <w:tc>
          <w:tcPr>
            <w:tcW w:w="5103" w:type="dxa"/>
            <w:gridSpan w:val="2"/>
            <w:vAlign w:val="center"/>
          </w:tcPr>
          <w:p w14:paraId="7036D482">
            <w:pPr>
              <w:pStyle w:val="11"/>
            </w:pPr>
            <w:r>
              <w:t>3月底</w:t>
            </w:r>
          </w:p>
        </w:tc>
        <w:tc>
          <w:tcPr>
            <w:tcW w:w="2835" w:type="dxa"/>
            <w:vAlign w:val="center"/>
          </w:tcPr>
          <w:p w14:paraId="3E714E74">
            <w:pPr>
              <w:pStyle w:val="11"/>
            </w:pPr>
            <w:r>
              <w:t>6月底</w:t>
            </w:r>
          </w:p>
        </w:tc>
        <w:tc>
          <w:tcPr>
            <w:tcW w:w="2551" w:type="dxa"/>
            <w:vAlign w:val="center"/>
          </w:tcPr>
          <w:p w14:paraId="72E04CC0">
            <w:pPr>
              <w:pStyle w:val="11"/>
            </w:pPr>
            <w:r>
              <w:t>10月底</w:t>
            </w:r>
          </w:p>
        </w:tc>
        <w:tc>
          <w:tcPr>
            <w:tcW w:w="3544" w:type="dxa"/>
            <w:gridSpan w:val="2"/>
            <w:vAlign w:val="center"/>
          </w:tcPr>
          <w:p w14:paraId="59FC863B">
            <w:pPr>
              <w:pStyle w:val="11"/>
            </w:pPr>
            <w:r>
              <w:t>12月底</w:t>
            </w:r>
          </w:p>
        </w:tc>
      </w:tr>
      <w:tr w14:paraId="22E21B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EAD6DA"/>
        </w:tc>
        <w:tc>
          <w:tcPr>
            <w:tcW w:w="5103" w:type="dxa"/>
            <w:gridSpan w:val="2"/>
            <w:vAlign w:val="center"/>
          </w:tcPr>
          <w:p w14:paraId="4A96975A">
            <w:pPr>
              <w:pStyle w:val="12"/>
            </w:pPr>
            <w:r>
              <w:t xml:space="preserve"> </w:t>
            </w:r>
          </w:p>
        </w:tc>
        <w:tc>
          <w:tcPr>
            <w:tcW w:w="2835" w:type="dxa"/>
            <w:vAlign w:val="center"/>
          </w:tcPr>
          <w:p w14:paraId="396A70BB">
            <w:pPr>
              <w:pStyle w:val="12"/>
            </w:pPr>
            <w:r>
              <w:t xml:space="preserve"> </w:t>
            </w:r>
          </w:p>
        </w:tc>
        <w:tc>
          <w:tcPr>
            <w:tcW w:w="2551" w:type="dxa"/>
            <w:vAlign w:val="center"/>
          </w:tcPr>
          <w:p w14:paraId="165DBF85">
            <w:pPr>
              <w:pStyle w:val="12"/>
            </w:pPr>
            <w:r>
              <w:t xml:space="preserve"> </w:t>
            </w:r>
          </w:p>
        </w:tc>
        <w:tc>
          <w:tcPr>
            <w:tcW w:w="3544" w:type="dxa"/>
            <w:gridSpan w:val="2"/>
            <w:vAlign w:val="center"/>
          </w:tcPr>
          <w:p w14:paraId="4F052130">
            <w:pPr>
              <w:pStyle w:val="12"/>
            </w:pPr>
            <w:r>
              <w:t>100%</w:t>
            </w:r>
          </w:p>
        </w:tc>
      </w:tr>
      <w:tr w14:paraId="795F3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D0F610">
            <w:pPr>
              <w:pStyle w:val="11"/>
            </w:pPr>
            <w:r>
              <w:t>绩效目标</w:t>
            </w:r>
          </w:p>
        </w:tc>
        <w:tc>
          <w:tcPr>
            <w:tcW w:w="14033" w:type="dxa"/>
            <w:gridSpan w:val="6"/>
            <w:vAlign w:val="center"/>
          </w:tcPr>
          <w:p w14:paraId="27CCDBEF">
            <w:pPr>
              <w:pStyle w:val="13"/>
            </w:pPr>
            <w:r>
              <w:t xml:space="preserve">1.保障义务教育学校正常运转，完成教育教学活动和其他日常工作任务等方面的费用支出。     </w:t>
            </w:r>
          </w:p>
        </w:tc>
      </w:tr>
    </w:tbl>
    <w:p w14:paraId="19876B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07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8FE30">
            <w:pPr>
              <w:pStyle w:val="11"/>
            </w:pPr>
            <w:r>
              <w:t>一级指标</w:t>
            </w:r>
          </w:p>
        </w:tc>
        <w:tc>
          <w:tcPr>
            <w:tcW w:w="2268" w:type="dxa"/>
            <w:vAlign w:val="center"/>
          </w:tcPr>
          <w:p w14:paraId="438DCEFD">
            <w:pPr>
              <w:pStyle w:val="11"/>
            </w:pPr>
            <w:r>
              <w:t>二级指标</w:t>
            </w:r>
          </w:p>
        </w:tc>
        <w:tc>
          <w:tcPr>
            <w:tcW w:w="2835" w:type="dxa"/>
            <w:vAlign w:val="center"/>
          </w:tcPr>
          <w:p w14:paraId="06479E6C">
            <w:pPr>
              <w:pStyle w:val="11"/>
            </w:pPr>
            <w:r>
              <w:t>三级指标</w:t>
            </w:r>
          </w:p>
        </w:tc>
        <w:tc>
          <w:tcPr>
            <w:tcW w:w="5386" w:type="dxa"/>
            <w:vAlign w:val="center"/>
          </w:tcPr>
          <w:p w14:paraId="11972C12">
            <w:pPr>
              <w:pStyle w:val="11"/>
            </w:pPr>
            <w:r>
              <w:t>绩效指标描述</w:t>
            </w:r>
          </w:p>
        </w:tc>
        <w:tc>
          <w:tcPr>
            <w:tcW w:w="2268" w:type="dxa"/>
            <w:vAlign w:val="center"/>
          </w:tcPr>
          <w:p w14:paraId="73F10BFC">
            <w:pPr>
              <w:pStyle w:val="11"/>
            </w:pPr>
            <w:r>
              <w:t>指标值</w:t>
            </w:r>
          </w:p>
        </w:tc>
        <w:tc>
          <w:tcPr>
            <w:tcW w:w="1276" w:type="dxa"/>
            <w:vAlign w:val="center"/>
          </w:tcPr>
          <w:p w14:paraId="152D108F">
            <w:pPr>
              <w:pStyle w:val="11"/>
            </w:pPr>
            <w:r>
              <w:t>指标值确定依据</w:t>
            </w:r>
          </w:p>
        </w:tc>
      </w:tr>
      <w:tr w14:paraId="6C55E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3A4E3">
            <w:pPr>
              <w:pStyle w:val="12"/>
            </w:pPr>
            <w:r>
              <w:t>产出指标</w:t>
            </w:r>
          </w:p>
        </w:tc>
        <w:tc>
          <w:tcPr>
            <w:tcW w:w="2268" w:type="dxa"/>
            <w:vAlign w:val="center"/>
          </w:tcPr>
          <w:p w14:paraId="7E72B8B0">
            <w:pPr>
              <w:pStyle w:val="13"/>
            </w:pPr>
            <w:r>
              <w:t>数量指标</w:t>
            </w:r>
          </w:p>
        </w:tc>
        <w:tc>
          <w:tcPr>
            <w:tcW w:w="2835" w:type="dxa"/>
            <w:vAlign w:val="center"/>
          </w:tcPr>
          <w:p w14:paraId="06017D60">
            <w:pPr>
              <w:pStyle w:val="13"/>
            </w:pPr>
            <w:r>
              <w:t>适龄在校生</w:t>
            </w:r>
          </w:p>
        </w:tc>
        <w:tc>
          <w:tcPr>
            <w:tcW w:w="5386" w:type="dxa"/>
            <w:vAlign w:val="center"/>
          </w:tcPr>
          <w:p w14:paraId="52E09516">
            <w:pPr>
              <w:pStyle w:val="13"/>
            </w:pPr>
            <w:r>
              <w:t>适龄在校就读学生人数</w:t>
            </w:r>
          </w:p>
        </w:tc>
        <w:tc>
          <w:tcPr>
            <w:tcW w:w="2268" w:type="dxa"/>
            <w:vAlign w:val="center"/>
          </w:tcPr>
          <w:p w14:paraId="7EB4BD38">
            <w:pPr>
              <w:pStyle w:val="13"/>
            </w:pPr>
            <w:r>
              <w:t>77人</w:t>
            </w:r>
          </w:p>
        </w:tc>
        <w:tc>
          <w:tcPr>
            <w:tcW w:w="1276" w:type="dxa"/>
            <w:vAlign w:val="center"/>
          </w:tcPr>
          <w:p w14:paraId="03825FDE">
            <w:pPr>
              <w:pStyle w:val="13"/>
            </w:pPr>
            <w:r>
              <w:t>城乡义务教育公用经费管理办法</w:t>
            </w:r>
          </w:p>
        </w:tc>
      </w:tr>
      <w:tr w14:paraId="72502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23F0C"/>
        </w:tc>
        <w:tc>
          <w:tcPr>
            <w:tcW w:w="2268" w:type="dxa"/>
            <w:vAlign w:val="center"/>
          </w:tcPr>
          <w:p w14:paraId="08A46A6E">
            <w:pPr>
              <w:pStyle w:val="13"/>
            </w:pPr>
            <w:r>
              <w:t>质量指标</w:t>
            </w:r>
          </w:p>
        </w:tc>
        <w:tc>
          <w:tcPr>
            <w:tcW w:w="2835" w:type="dxa"/>
            <w:vAlign w:val="center"/>
          </w:tcPr>
          <w:p w14:paraId="5D49119D">
            <w:pPr>
              <w:pStyle w:val="13"/>
            </w:pPr>
            <w:r>
              <w:t>预算控制率</w:t>
            </w:r>
          </w:p>
        </w:tc>
        <w:tc>
          <w:tcPr>
            <w:tcW w:w="5386" w:type="dxa"/>
            <w:vAlign w:val="center"/>
          </w:tcPr>
          <w:p w14:paraId="67A38168">
            <w:pPr>
              <w:pStyle w:val="13"/>
            </w:pPr>
            <w:r>
              <w:t>预算执行</w:t>
            </w:r>
          </w:p>
        </w:tc>
        <w:tc>
          <w:tcPr>
            <w:tcW w:w="2268" w:type="dxa"/>
            <w:vAlign w:val="center"/>
          </w:tcPr>
          <w:p w14:paraId="1C3B3A3B">
            <w:pPr>
              <w:pStyle w:val="13"/>
            </w:pPr>
            <w:r>
              <w:t>≥95%</w:t>
            </w:r>
          </w:p>
        </w:tc>
        <w:tc>
          <w:tcPr>
            <w:tcW w:w="1276" w:type="dxa"/>
            <w:vAlign w:val="center"/>
          </w:tcPr>
          <w:p w14:paraId="5E6F9E4D">
            <w:pPr>
              <w:pStyle w:val="13"/>
            </w:pPr>
            <w:r>
              <w:t>城乡义务教育公用经费管理办法</w:t>
            </w:r>
          </w:p>
        </w:tc>
      </w:tr>
      <w:tr w14:paraId="06CE7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FB7C1"/>
        </w:tc>
        <w:tc>
          <w:tcPr>
            <w:tcW w:w="2268" w:type="dxa"/>
            <w:vAlign w:val="center"/>
          </w:tcPr>
          <w:p w14:paraId="5457D6E9">
            <w:pPr>
              <w:pStyle w:val="13"/>
            </w:pPr>
            <w:r>
              <w:t>时效指标</w:t>
            </w:r>
          </w:p>
        </w:tc>
        <w:tc>
          <w:tcPr>
            <w:tcW w:w="2835" w:type="dxa"/>
            <w:vAlign w:val="center"/>
          </w:tcPr>
          <w:p w14:paraId="55D32F88">
            <w:pPr>
              <w:pStyle w:val="13"/>
            </w:pPr>
            <w:r>
              <w:t>资金支付率</w:t>
            </w:r>
          </w:p>
        </w:tc>
        <w:tc>
          <w:tcPr>
            <w:tcW w:w="5386" w:type="dxa"/>
            <w:vAlign w:val="center"/>
          </w:tcPr>
          <w:p w14:paraId="1BFD63B1">
            <w:pPr>
              <w:pStyle w:val="13"/>
            </w:pPr>
            <w:r>
              <w:t>按照序时进度完成资金支付</w:t>
            </w:r>
          </w:p>
        </w:tc>
        <w:tc>
          <w:tcPr>
            <w:tcW w:w="2268" w:type="dxa"/>
            <w:vAlign w:val="center"/>
          </w:tcPr>
          <w:p w14:paraId="1F3345AD">
            <w:pPr>
              <w:pStyle w:val="13"/>
            </w:pPr>
            <w:r>
              <w:t>≥100%</w:t>
            </w:r>
          </w:p>
        </w:tc>
        <w:tc>
          <w:tcPr>
            <w:tcW w:w="1276" w:type="dxa"/>
            <w:vAlign w:val="center"/>
          </w:tcPr>
          <w:p w14:paraId="7E94C1F8">
            <w:pPr>
              <w:pStyle w:val="13"/>
            </w:pPr>
            <w:r>
              <w:t>城乡义务教育公用经费管理办法</w:t>
            </w:r>
          </w:p>
        </w:tc>
      </w:tr>
      <w:tr w14:paraId="6F829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DEBBF"/>
        </w:tc>
        <w:tc>
          <w:tcPr>
            <w:tcW w:w="2268" w:type="dxa"/>
            <w:vAlign w:val="center"/>
          </w:tcPr>
          <w:p w14:paraId="790D5838">
            <w:pPr>
              <w:pStyle w:val="13"/>
            </w:pPr>
            <w:r>
              <w:t>成本指标</w:t>
            </w:r>
          </w:p>
        </w:tc>
        <w:tc>
          <w:tcPr>
            <w:tcW w:w="2835" w:type="dxa"/>
            <w:vAlign w:val="center"/>
          </w:tcPr>
          <w:p w14:paraId="78D347D6">
            <w:pPr>
              <w:pStyle w:val="13"/>
            </w:pPr>
            <w:r>
              <w:t>生均拨款标准</w:t>
            </w:r>
          </w:p>
        </w:tc>
        <w:tc>
          <w:tcPr>
            <w:tcW w:w="5386" w:type="dxa"/>
            <w:vAlign w:val="center"/>
          </w:tcPr>
          <w:p w14:paraId="19C29050">
            <w:pPr>
              <w:pStyle w:val="13"/>
            </w:pPr>
            <w:r>
              <w:t>小学：（基本标准720元、寄宿生300元、取暖120元）/生/学年；随班就读学生：标准6000元/生/学年。</w:t>
            </w:r>
          </w:p>
        </w:tc>
        <w:tc>
          <w:tcPr>
            <w:tcW w:w="2268" w:type="dxa"/>
            <w:vAlign w:val="center"/>
          </w:tcPr>
          <w:p w14:paraId="35FDF273">
            <w:pPr>
              <w:pStyle w:val="13"/>
            </w:pPr>
            <w:r>
              <w:t>43890元</w:t>
            </w:r>
          </w:p>
        </w:tc>
        <w:tc>
          <w:tcPr>
            <w:tcW w:w="1276" w:type="dxa"/>
            <w:vAlign w:val="center"/>
          </w:tcPr>
          <w:p w14:paraId="5EA944BB">
            <w:pPr>
              <w:pStyle w:val="13"/>
            </w:pPr>
            <w:r>
              <w:t>城乡义务教育公用经费管理办法</w:t>
            </w:r>
          </w:p>
        </w:tc>
      </w:tr>
      <w:tr w14:paraId="6907C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8E12D6">
            <w:pPr>
              <w:pStyle w:val="12"/>
            </w:pPr>
            <w:r>
              <w:t>效益指标</w:t>
            </w:r>
          </w:p>
        </w:tc>
        <w:tc>
          <w:tcPr>
            <w:tcW w:w="2268" w:type="dxa"/>
            <w:vAlign w:val="center"/>
          </w:tcPr>
          <w:p w14:paraId="213E5E66">
            <w:pPr>
              <w:pStyle w:val="13"/>
            </w:pPr>
            <w:r>
              <w:t>可持续影响指标</w:t>
            </w:r>
          </w:p>
        </w:tc>
        <w:tc>
          <w:tcPr>
            <w:tcW w:w="2835" w:type="dxa"/>
            <w:vAlign w:val="center"/>
          </w:tcPr>
          <w:p w14:paraId="5B48DC9B">
            <w:pPr>
              <w:pStyle w:val="13"/>
            </w:pPr>
            <w:r>
              <w:t>教育发展水平明显好转</w:t>
            </w:r>
          </w:p>
        </w:tc>
        <w:tc>
          <w:tcPr>
            <w:tcW w:w="5386" w:type="dxa"/>
            <w:vAlign w:val="center"/>
          </w:tcPr>
          <w:p w14:paraId="2F5DDF54">
            <w:pPr>
              <w:pStyle w:val="13"/>
            </w:pPr>
            <w:r>
              <w:t>学生受教育年限</w:t>
            </w:r>
          </w:p>
        </w:tc>
        <w:tc>
          <w:tcPr>
            <w:tcW w:w="2268" w:type="dxa"/>
            <w:vAlign w:val="center"/>
          </w:tcPr>
          <w:p w14:paraId="7B8157A0">
            <w:pPr>
              <w:pStyle w:val="13"/>
            </w:pPr>
            <w:r>
              <w:t>6年</w:t>
            </w:r>
          </w:p>
        </w:tc>
        <w:tc>
          <w:tcPr>
            <w:tcW w:w="1276" w:type="dxa"/>
            <w:vAlign w:val="center"/>
          </w:tcPr>
          <w:p w14:paraId="147A85C5">
            <w:pPr>
              <w:pStyle w:val="13"/>
            </w:pPr>
            <w:r>
              <w:t>城乡义务教育公用经费管理办法</w:t>
            </w:r>
          </w:p>
        </w:tc>
      </w:tr>
      <w:tr w14:paraId="40735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BE6B6F">
            <w:pPr>
              <w:pStyle w:val="12"/>
            </w:pPr>
            <w:r>
              <w:t>满意度指标</w:t>
            </w:r>
          </w:p>
        </w:tc>
        <w:tc>
          <w:tcPr>
            <w:tcW w:w="2268" w:type="dxa"/>
            <w:vAlign w:val="center"/>
          </w:tcPr>
          <w:p w14:paraId="5A8E9EFA">
            <w:pPr>
              <w:pStyle w:val="13"/>
            </w:pPr>
            <w:r>
              <w:t>服务对象满意度指标</w:t>
            </w:r>
          </w:p>
        </w:tc>
        <w:tc>
          <w:tcPr>
            <w:tcW w:w="2835" w:type="dxa"/>
            <w:vAlign w:val="center"/>
          </w:tcPr>
          <w:p w14:paraId="1B721609">
            <w:pPr>
              <w:pStyle w:val="13"/>
            </w:pPr>
            <w:r>
              <w:t>受益学生家长及调查满意度</w:t>
            </w:r>
          </w:p>
        </w:tc>
        <w:tc>
          <w:tcPr>
            <w:tcW w:w="5386" w:type="dxa"/>
            <w:vAlign w:val="center"/>
          </w:tcPr>
          <w:p w14:paraId="64A1D1EC">
            <w:pPr>
              <w:pStyle w:val="13"/>
            </w:pPr>
            <w:r>
              <w:t>学生、教师及家长对学校教育教学工作满意度情况</w:t>
            </w:r>
          </w:p>
        </w:tc>
        <w:tc>
          <w:tcPr>
            <w:tcW w:w="2268" w:type="dxa"/>
            <w:vAlign w:val="center"/>
          </w:tcPr>
          <w:p w14:paraId="03DDBE2A">
            <w:pPr>
              <w:pStyle w:val="13"/>
            </w:pPr>
            <w:r>
              <w:t>≥95%</w:t>
            </w:r>
          </w:p>
        </w:tc>
        <w:tc>
          <w:tcPr>
            <w:tcW w:w="1276" w:type="dxa"/>
            <w:vAlign w:val="center"/>
          </w:tcPr>
          <w:p w14:paraId="57034A48">
            <w:pPr>
              <w:pStyle w:val="13"/>
            </w:pPr>
            <w:r>
              <w:t>调查问卷</w:t>
            </w:r>
          </w:p>
        </w:tc>
      </w:tr>
    </w:tbl>
    <w:p w14:paraId="3D134C39">
      <w:pPr>
        <w:sectPr>
          <w:pgSz w:w="16840" w:h="11900" w:orient="landscape"/>
          <w:pgMar w:top="1361" w:right="1020" w:bottom="1134" w:left="1020" w:header="720" w:footer="720" w:gutter="0"/>
          <w:cols w:space="720" w:num="1"/>
        </w:sectPr>
      </w:pPr>
    </w:p>
    <w:p w14:paraId="4FB73FCB">
      <w:pPr>
        <w:spacing w:before="0" w:after="0"/>
        <w:ind w:firstLine="560"/>
        <w:jc w:val="left"/>
        <w:outlineLvl w:val="9"/>
      </w:pPr>
      <w:r>
        <w:rPr>
          <w:rFonts w:ascii="方正仿宋_GBK" w:hAnsi="方正仿宋_GBK" w:eastAsia="方正仿宋_GBK" w:cs="方正仿宋_GBK"/>
          <w:b/>
          <w:color w:val="000000"/>
          <w:sz w:val="28"/>
        </w:rPr>
        <w:t>135、县级配套/隆尧县成龙六一实验小学公用经费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5E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DD062">
            <w:pPr>
              <w:pStyle w:val="14"/>
            </w:pPr>
            <w:r>
              <w:t>单位：万元</w:t>
            </w:r>
          </w:p>
        </w:tc>
      </w:tr>
      <w:tr w14:paraId="4F5B4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23A711">
            <w:pPr>
              <w:pStyle w:val="11"/>
            </w:pPr>
            <w:r>
              <w:t>项目编码</w:t>
            </w:r>
          </w:p>
        </w:tc>
        <w:tc>
          <w:tcPr>
            <w:tcW w:w="5103" w:type="dxa"/>
            <w:gridSpan w:val="2"/>
            <w:vAlign w:val="center"/>
          </w:tcPr>
          <w:p w14:paraId="432CFDD8">
            <w:pPr>
              <w:pStyle w:val="13"/>
            </w:pPr>
            <w:r>
              <w:t>13052525P000004100052</w:t>
            </w:r>
          </w:p>
        </w:tc>
        <w:tc>
          <w:tcPr>
            <w:tcW w:w="2835" w:type="dxa"/>
            <w:vAlign w:val="center"/>
          </w:tcPr>
          <w:p w14:paraId="52BDED20">
            <w:pPr>
              <w:pStyle w:val="11"/>
            </w:pPr>
            <w:r>
              <w:t>项目名称</w:t>
            </w:r>
          </w:p>
        </w:tc>
        <w:tc>
          <w:tcPr>
            <w:tcW w:w="6095" w:type="dxa"/>
            <w:gridSpan w:val="3"/>
            <w:vAlign w:val="center"/>
          </w:tcPr>
          <w:p w14:paraId="535D5DB7">
            <w:pPr>
              <w:pStyle w:val="13"/>
            </w:pPr>
            <w:r>
              <w:t>县级配套/隆尧县成龙六一实验小学公用经费</w:t>
            </w:r>
            <w:r>
              <w:tab/>
            </w:r>
            <w:r>
              <w:tab/>
            </w:r>
            <w:r>
              <w:tab/>
            </w:r>
          </w:p>
        </w:tc>
      </w:tr>
      <w:tr w14:paraId="76CAC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FE9B5">
            <w:pPr>
              <w:pStyle w:val="11"/>
            </w:pPr>
            <w:r>
              <w:t>预算规模及资金用途</w:t>
            </w:r>
          </w:p>
        </w:tc>
        <w:tc>
          <w:tcPr>
            <w:tcW w:w="2268" w:type="dxa"/>
            <w:vAlign w:val="center"/>
          </w:tcPr>
          <w:p w14:paraId="6FEAD382">
            <w:pPr>
              <w:pStyle w:val="11"/>
            </w:pPr>
            <w:r>
              <w:t>预算数</w:t>
            </w:r>
          </w:p>
        </w:tc>
        <w:tc>
          <w:tcPr>
            <w:tcW w:w="2835" w:type="dxa"/>
            <w:vAlign w:val="center"/>
          </w:tcPr>
          <w:p w14:paraId="600FB058">
            <w:pPr>
              <w:pStyle w:val="13"/>
            </w:pPr>
            <w:r>
              <w:t>5.99</w:t>
            </w:r>
          </w:p>
        </w:tc>
        <w:tc>
          <w:tcPr>
            <w:tcW w:w="2835" w:type="dxa"/>
            <w:vAlign w:val="center"/>
          </w:tcPr>
          <w:p w14:paraId="4B74F7C7">
            <w:pPr>
              <w:pStyle w:val="11"/>
            </w:pPr>
            <w:r>
              <w:t>其中：财政    资金</w:t>
            </w:r>
          </w:p>
        </w:tc>
        <w:tc>
          <w:tcPr>
            <w:tcW w:w="2551" w:type="dxa"/>
            <w:vAlign w:val="center"/>
          </w:tcPr>
          <w:p w14:paraId="4FB22CFE">
            <w:pPr>
              <w:pStyle w:val="13"/>
            </w:pPr>
            <w:r>
              <w:t>5.99</w:t>
            </w:r>
          </w:p>
        </w:tc>
        <w:tc>
          <w:tcPr>
            <w:tcW w:w="2268" w:type="dxa"/>
            <w:vAlign w:val="center"/>
          </w:tcPr>
          <w:p w14:paraId="2E6C188B">
            <w:pPr>
              <w:pStyle w:val="11"/>
            </w:pPr>
            <w:r>
              <w:t>其他资金</w:t>
            </w:r>
          </w:p>
        </w:tc>
        <w:tc>
          <w:tcPr>
            <w:tcW w:w="1276" w:type="dxa"/>
            <w:vAlign w:val="center"/>
          </w:tcPr>
          <w:p w14:paraId="1AF9E041">
            <w:pPr>
              <w:pStyle w:val="13"/>
            </w:pPr>
            <w:r>
              <w:t xml:space="preserve"> </w:t>
            </w:r>
          </w:p>
        </w:tc>
      </w:tr>
      <w:tr w14:paraId="3D848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AE3F8F"/>
        </w:tc>
        <w:tc>
          <w:tcPr>
            <w:tcW w:w="14033" w:type="dxa"/>
            <w:gridSpan w:val="6"/>
            <w:vAlign w:val="center"/>
          </w:tcPr>
          <w:p w14:paraId="444A4EB4">
            <w:pPr>
              <w:pStyle w:val="13"/>
            </w:pPr>
            <w:r>
              <w:t>保障义务教育学校正常运转，完成教育教学活动和其他日常工作任务等方面的费用支出。</w:t>
            </w:r>
          </w:p>
        </w:tc>
      </w:tr>
      <w:tr w14:paraId="6D63E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B2606">
            <w:pPr>
              <w:pStyle w:val="11"/>
            </w:pPr>
            <w:r>
              <w:t>资金支出计划（%）</w:t>
            </w:r>
          </w:p>
        </w:tc>
        <w:tc>
          <w:tcPr>
            <w:tcW w:w="5103" w:type="dxa"/>
            <w:gridSpan w:val="2"/>
            <w:vAlign w:val="center"/>
          </w:tcPr>
          <w:p w14:paraId="63651CB3">
            <w:pPr>
              <w:pStyle w:val="11"/>
            </w:pPr>
            <w:r>
              <w:t>3月底</w:t>
            </w:r>
          </w:p>
        </w:tc>
        <w:tc>
          <w:tcPr>
            <w:tcW w:w="2835" w:type="dxa"/>
            <w:vAlign w:val="center"/>
          </w:tcPr>
          <w:p w14:paraId="555F2DD3">
            <w:pPr>
              <w:pStyle w:val="11"/>
            </w:pPr>
            <w:r>
              <w:t>6月底</w:t>
            </w:r>
          </w:p>
        </w:tc>
        <w:tc>
          <w:tcPr>
            <w:tcW w:w="2551" w:type="dxa"/>
            <w:vAlign w:val="center"/>
          </w:tcPr>
          <w:p w14:paraId="1285FD72">
            <w:pPr>
              <w:pStyle w:val="11"/>
            </w:pPr>
            <w:r>
              <w:t>10月底</w:t>
            </w:r>
          </w:p>
        </w:tc>
        <w:tc>
          <w:tcPr>
            <w:tcW w:w="3544" w:type="dxa"/>
            <w:gridSpan w:val="2"/>
            <w:vAlign w:val="center"/>
          </w:tcPr>
          <w:p w14:paraId="5A5D4D5F">
            <w:pPr>
              <w:pStyle w:val="11"/>
            </w:pPr>
            <w:r>
              <w:t>12月底</w:t>
            </w:r>
          </w:p>
        </w:tc>
      </w:tr>
      <w:tr w14:paraId="26799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060FC"/>
        </w:tc>
        <w:tc>
          <w:tcPr>
            <w:tcW w:w="5103" w:type="dxa"/>
            <w:gridSpan w:val="2"/>
            <w:vAlign w:val="center"/>
          </w:tcPr>
          <w:p w14:paraId="57E51258">
            <w:pPr>
              <w:pStyle w:val="12"/>
            </w:pPr>
            <w:r>
              <w:t xml:space="preserve"> </w:t>
            </w:r>
          </w:p>
        </w:tc>
        <w:tc>
          <w:tcPr>
            <w:tcW w:w="2835" w:type="dxa"/>
            <w:vAlign w:val="center"/>
          </w:tcPr>
          <w:p w14:paraId="79CE7173">
            <w:pPr>
              <w:pStyle w:val="12"/>
            </w:pPr>
            <w:r>
              <w:t xml:space="preserve"> </w:t>
            </w:r>
          </w:p>
        </w:tc>
        <w:tc>
          <w:tcPr>
            <w:tcW w:w="2551" w:type="dxa"/>
            <w:vAlign w:val="center"/>
          </w:tcPr>
          <w:p w14:paraId="1E8377E2">
            <w:pPr>
              <w:pStyle w:val="12"/>
            </w:pPr>
            <w:r>
              <w:t xml:space="preserve"> </w:t>
            </w:r>
          </w:p>
        </w:tc>
        <w:tc>
          <w:tcPr>
            <w:tcW w:w="3544" w:type="dxa"/>
            <w:gridSpan w:val="2"/>
            <w:vAlign w:val="center"/>
          </w:tcPr>
          <w:p w14:paraId="0AB3FA91">
            <w:pPr>
              <w:pStyle w:val="12"/>
            </w:pPr>
            <w:r>
              <w:t>100%</w:t>
            </w:r>
          </w:p>
        </w:tc>
      </w:tr>
      <w:tr w14:paraId="76B2F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2490E">
            <w:pPr>
              <w:pStyle w:val="11"/>
            </w:pPr>
            <w:r>
              <w:t>绩效目标</w:t>
            </w:r>
          </w:p>
        </w:tc>
        <w:tc>
          <w:tcPr>
            <w:tcW w:w="14033" w:type="dxa"/>
            <w:gridSpan w:val="6"/>
            <w:vAlign w:val="center"/>
          </w:tcPr>
          <w:p w14:paraId="65FE573A">
            <w:pPr>
              <w:pStyle w:val="13"/>
            </w:pPr>
            <w:r>
              <w:t>1.保障义务教育学校正常运转，完成教育教学活动和其他日常工作任务等方面的费用支出。</w:t>
            </w:r>
          </w:p>
        </w:tc>
      </w:tr>
    </w:tbl>
    <w:p w14:paraId="325274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C2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1358D">
            <w:pPr>
              <w:pStyle w:val="11"/>
            </w:pPr>
            <w:r>
              <w:t>一级指标</w:t>
            </w:r>
          </w:p>
        </w:tc>
        <w:tc>
          <w:tcPr>
            <w:tcW w:w="2268" w:type="dxa"/>
            <w:vAlign w:val="center"/>
          </w:tcPr>
          <w:p w14:paraId="1387DA54">
            <w:pPr>
              <w:pStyle w:val="11"/>
            </w:pPr>
            <w:r>
              <w:t>二级指标</w:t>
            </w:r>
          </w:p>
        </w:tc>
        <w:tc>
          <w:tcPr>
            <w:tcW w:w="2835" w:type="dxa"/>
            <w:vAlign w:val="center"/>
          </w:tcPr>
          <w:p w14:paraId="7D3F8A1E">
            <w:pPr>
              <w:pStyle w:val="11"/>
            </w:pPr>
            <w:r>
              <w:t>三级指标</w:t>
            </w:r>
          </w:p>
        </w:tc>
        <w:tc>
          <w:tcPr>
            <w:tcW w:w="5386" w:type="dxa"/>
            <w:vAlign w:val="center"/>
          </w:tcPr>
          <w:p w14:paraId="77D334F3">
            <w:pPr>
              <w:pStyle w:val="11"/>
            </w:pPr>
            <w:r>
              <w:t>绩效指标描述</w:t>
            </w:r>
          </w:p>
        </w:tc>
        <w:tc>
          <w:tcPr>
            <w:tcW w:w="2268" w:type="dxa"/>
            <w:vAlign w:val="center"/>
          </w:tcPr>
          <w:p w14:paraId="46CF1320">
            <w:pPr>
              <w:pStyle w:val="11"/>
            </w:pPr>
            <w:r>
              <w:t>指标值</w:t>
            </w:r>
          </w:p>
        </w:tc>
        <w:tc>
          <w:tcPr>
            <w:tcW w:w="1276" w:type="dxa"/>
            <w:vAlign w:val="center"/>
          </w:tcPr>
          <w:p w14:paraId="7FF3EC79">
            <w:pPr>
              <w:pStyle w:val="11"/>
            </w:pPr>
            <w:r>
              <w:t>指标值确定依据</w:t>
            </w:r>
          </w:p>
        </w:tc>
      </w:tr>
      <w:tr w14:paraId="397F0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3C554">
            <w:pPr>
              <w:pStyle w:val="12"/>
            </w:pPr>
            <w:r>
              <w:t>产出指标</w:t>
            </w:r>
          </w:p>
        </w:tc>
        <w:tc>
          <w:tcPr>
            <w:tcW w:w="2268" w:type="dxa"/>
            <w:vAlign w:val="center"/>
          </w:tcPr>
          <w:p w14:paraId="46A8B6BD">
            <w:pPr>
              <w:pStyle w:val="13"/>
            </w:pPr>
            <w:r>
              <w:t>数量指标</w:t>
            </w:r>
          </w:p>
        </w:tc>
        <w:tc>
          <w:tcPr>
            <w:tcW w:w="2835" w:type="dxa"/>
            <w:vAlign w:val="center"/>
          </w:tcPr>
          <w:p w14:paraId="3D9A44E7">
            <w:pPr>
              <w:pStyle w:val="13"/>
            </w:pPr>
            <w:r>
              <w:t>适龄在校生</w:t>
            </w:r>
          </w:p>
        </w:tc>
        <w:tc>
          <w:tcPr>
            <w:tcW w:w="5386" w:type="dxa"/>
            <w:vAlign w:val="center"/>
          </w:tcPr>
          <w:p w14:paraId="53D43775">
            <w:pPr>
              <w:pStyle w:val="13"/>
            </w:pPr>
            <w:r>
              <w:t>适龄在校就读学生人数</w:t>
            </w:r>
          </w:p>
        </w:tc>
        <w:tc>
          <w:tcPr>
            <w:tcW w:w="2268" w:type="dxa"/>
            <w:vAlign w:val="center"/>
          </w:tcPr>
          <w:p w14:paraId="24ADF4AF">
            <w:pPr>
              <w:pStyle w:val="13"/>
            </w:pPr>
            <w:r>
              <w:t>105人</w:t>
            </w:r>
          </w:p>
        </w:tc>
        <w:tc>
          <w:tcPr>
            <w:tcW w:w="1276" w:type="dxa"/>
            <w:vAlign w:val="center"/>
          </w:tcPr>
          <w:p w14:paraId="65D8F06D">
            <w:pPr>
              <w:pStyle w:val="13"/>
            </w:pPr>
            <w:r>
              <w:t>城乡义务教育公用经费管理办法</w:t>
            </w:r>
          </w:p>
        </w:tc>
      </w:tr>
      <w:tr w14:paraId="09F03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39B95"/>
        </w:tc>
        <w:tc>
          <w:tcPr>
            <w:tcW w:w="2268" w:type="dxa"/>
            <w:vAlign w:val="center"/>
          </w:tcPr>
          <w:p w14:paraId="74E19EDF">
            <w:pPr>
              <w:pStyle w:val="13"/>
            </w:pPr>
            <w:r>
              <w:t>质量指标</w:t>
            </w:r>
          </w:p>
        </w:tc>
        <w:tc>
          <w:tcPr>
            <w:tcW w:w="2835" w:type="dxa"/>
            <w:vAlign w:val="center"/>
          </w:tcPr>
          <w:p w14:paraId="5AE2D6AD">
            <w:pPr>
              <w:pStyle w:val="13"/>
            </w:pPr>
            <w:r>
              <w:t>预算控制率</w:t>
            </w:r>
          </w:p>
        </w:tc>
        <w:tc>
          <w:tcPr>
            <w:tcW w:w="5386" w:type="dxa"/>
            <w:vAlign w:val="center"/>
          </w:tcPr>
          <w:p w14:paraId="3CBD4F3B">
            <w:pPr>
              <w:pStyle w:val="13"/>
            </w:pPr>
            <w:r>
              <w:t>预算执行</w:t>
            </w:r>
          </w:p>
        </w:tc>
        <w:tc>
          <w:tcPr>
            <w:tcW w:w="2268" w:type="dxa"/>
            <w:vAlign w:val="center"/>
          </w:tcPr>
          <w:p w14:paraId="747AC59F">
            <w:pPr>
              <w:pStyle w:val="13"/>
            </w:pPr>
            <w:r>
              <w:t>≥95%</w:t>
            </w:r>
          </w:p>
        </w:tc>
        <w:tc>
          <w:tcPr>
            <w:tcW w:w="1276" w:type="dxa"/>
            <w:vAlign w:val="center"/>
          </w:tcPr>
          <w:p w14:paraId="69DFE82D">
            <w:pPr>
              <w:pStyle w:val="13"/>
            </w:pPr>
            <w:r>
              <w:t>城乡义务教育公用经费管理办法</w:t>
            </w:r>
          </w:p>
        </w:tc>
      </w:tr>
      <w:tr w14:paraId="058F5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ABAD6"/>
        </w:tc>
        <w:tc>
          <w:tcPr>
            <w:tcW w:w="2268" w:type="dxa"/>
            <w:vAlign w:val="center"/>
          </w:tcPr>
          <w:p w14:paraId="33C9EE66">
            <w:pPr>
              <w:pStyle w:val="13"/>
            </w:pPr>
            <w:r>
              <w:t>时效指标</w:t>
            </w:r>
          </w:p>
        </w:tc>
        <w:tc>
          <w:tcPr>
            <w:tcW w:w="2835" w:type="dxa"/>
            <w:vAlign w:val="center"/>
          </w:tcPr>
          <w:p w14:paraId="44020DE1">
            <w:pPr>
              <w:pStyle w:val="13"/>
            </w:pPr>
            <w:r>
              <w:t>资金支付率</w:t>
            </w:r>
          </w:p>
        </w:tc>
        <w:tc>
          <w:tcPr>
            <w:tcW w:w="5386" w:type="dxa"/>
            <w:vAlign w:val="center"/>
          </w:tcPr>
          <w:p w14:paraId="633133B1">
            <w:pPr>
              <w:pStyle w:val="13"/>
            </w:pPr>
            <w:r>
              <w:t>按照序时进度完成资金支付</w:t>
            </w:r>
          </w:p>
        </w:tc>
        <w:tc>
          <w:tcPr>
            <w:tcW w:w="2268" w:type="dxa"/>
            <w:vAlign w:val="center"/>
          </w:tcPr>
          <w:p w14:paraId="22B27232">
            <w:pPr>
              <w:pStyle w:val="13"/>
            </w:pPr>
            <w:r>
              <w:t>≥100%</w:t>
            </w:r>
          </w:p>
        </w:tc>
        <w:tc>
          <w:tcPr>
            <w:tcW w:w="1276" w:type="dxa"/>
            <w:vAlign w:val="center"/>
          </w:tcPr>
          <w:p w14:paraId="4515FA38">
            <w:pPr>
              <w:pStyle w:val="13"/>
            </w:pPr>
            <w:r>
              <w:t>城乡义务教育公用经费管理办法</w:t>
            </w:r>
          </w:p>
        </w:tc>
      </w:tr>
      <w:tr w14:paraId="6E053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A82CE"/>
        </w:tc>
        <w:tc>
          <w:tcPr>
            <w:tcW w:w="2268" w:type="dxa"/>
            <w:vAlign w:val="center"/>
          </w:tcPr>
          <w:p w14:paraId="249AA488">
            <w:pPr>
              <w:pStyle w:val="13"/>
            </w:pPr>
            <w:r>
              <w:t>成本指标</w:t>
            </w:r>
          </w:p>
        </w:tc>
        <w:tc>
          <w:tcPr>
            <w:tcW w:w="2835" w:type="dxa"/>
            <w:vAlign w:val="center"/>
          </w:tcPr>
          <w:p w14:paraId="769C4B73">
            <w:pPr>
              <w:pStyle w:val="13"/>
            </w:pPr>
            <w:r>
              <w:t>生均拨款标准</w:t>
            </w:r>
          </w:p>
        </w:tc>
        <w:tc>
          <w:tcPr>
            <w:tcW w:w="5386" w:type="dxa"/>
            <w:vAlign w:val="center"/>
          </w:tcPr>
          <w:p w14:paraId="71972349">
            <w:pPr>
              <w:pStyle w:val="13"/>
            </w:pPr>
            <w:r>
              <w:t>小学：（基本标准720元、寄宿生300元、取暖120元）/生/学年；随班就读学生：标准6000元/生/学年。</w:t>
            </w:r>
          </w:p>
        </w:tc>
        <w:tc>
          <w:tcPr>
            <w:tcW w:w="2268" w:type="dxa"/>
            <w:vAlign w:val="center"/>
          </w:tcPr>
          <w:p w14:paraId="2E2D22F0">
            <w:pPr>
              <w:pStyle w:val="13"/>
            </w:pPr>
            <w:r>
              <w:t>59850元</w:t>
            </w:r>
          </w:p>
        </w:tc>
        <w:tc>
          <w:tcPr>
            <w:tcW w:w="1276" w:type="dxa"/>
            <w:vAlign w:val="center"/>
          </w:tcPr>
          <w:p w14:paraId="16280D90">
            <w:pPr>
              <w:pStyle w:val="13"/>
            </w:pPr>
            <w:r>
              <w:t>城乡义务教育公用经费管理办法</w:t>
            </w:r>
          </w:p>
        </w:tc>
      </w:tr>
      <w:tr w14:paraId="4DA3B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CF7F3B">
            <w:pPr>
              <w:pStyle w:val="12"/>
            </w:pPr>
            <w:r>
              <w:t>效益指标</w:t>
            </w:r>
          </w:p>
        </w:tc>
        <w:tc>
          <w:tcPr>
            <w:tcW w:w="2268" w:type="dxa"/>
            <w:vAlign w:val="center"/>
          </w:tcPr>
          <w:p w14:paraId="4FB84DE1">
            <w:pPr>
              <w:pStyle w:val="13"/>
            </w:pPr>
            <w:r>
              <w:t>可持续影响指标</w:t>
            </w:r>
          </w:p>
        </w:tc>
        <w:tc>
          <w:tcPr>
            <w:tcW w:w="2835" w:type="dxa"/>
            <w:vAlign w:val="center"/>
          </w:tcPr>
          <w:p w14:paraId="6C6FA1F5">
            <w:pPr>
              <w:pStyle w:val="13"/>
            </w:pPr>
            <w:r>
              <w:t>教育发展水平明显好转</w:t>
            </w:r>
          </w:p>
        </w:tc>
        <w:tc>
          <w:tcPr>
            <w:tcW w:w="5386" w:type="dxa"/>
            <w:vAlign w:val="center"/>
          </w:tcPr>
          <w:p w14:paraId="7C28EB6A">
            <w:pPr>
              <w:pStyle w:val="13"/>
            </w:pPr>
            <w:r>
              <w:t>学生受教育年限</w:t>
            </w:r>
          </w:p>
        </w:tc>
        <w:tc>
          <w:tcPr>
            <w:tcW w:w="2268" w:type="dxa"/>
            <w:vAlign w:val="center"/>
          </w:tcPr>
          <w:p w14:paraId="44A1B739">
            <w:pPr>
              <w:pStyle w:val="13"/>
            </w:pPr>
            <w:r>
              <w:t>6年</w:t>
            </w:r>
          </w:p>
        </w:tc>
        <w:tc>
          <w:tcPr>
            <w:tcW w:w="1276" w:type="dxa"/>
            <w:vAlign w:val="center"/>
          </w:tcPr>
          <w:p w14:paraId="258D1F38">
            <w:pPr>
              <w:pStyle w:val="13"/>
            </w:pPr>
            <w:r>
              <w:t>城乡义务教育公用经费管理办法</w:t>
            </w:r>
          </w:p>
        </w:tc>
      </w:tr>
      <w:tr w14:paraId="3CD86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40502E">
            <w:pPr>
              <w:pStyle w:val="12"/>
            </w:pPr>
            <w:r>
              <w:t>满意度指标</w:t>
            </w:r>
          </w:p>
        </w:tc>
        <w:tc>
          <w:tcPr>
            <w:tcW w:w="2268" w:type="dxa"/>
            <w:vAlign w:val="center"/>
          </w:tcPr>
          <w:p w14:paraId="15BE15C5">
            <w:pPr>
              <w:pStyle w:val="13"/>
            </w:pPr>
            <w:r>
              <w:t>服务对象满意度指标</w:t>
            </w:r>
          </w:p>
        </w:tc>
        <w:tc>
          <w:tcPr>
            <w:tcW w:w="2835" w:type="dxa"/>
            <w:vAlign w:val="center"/>
          </w:tcPr>
          <w:p w14:paraId="2749A924">
            <w:pPr>
              <w:pStyle w:val="13"/>
            </w:pPr>
            <w:r>
              <w:t>受益学生家长及调查满意度</w:t>
            </w:r>
          </w:p>
        </w:tc>
        <w:tc>
          <w:tcPr>
            <w:tcW w:w="5386" w:type="dxa"/>
            <w:vAlign w:val="center"/>
          </w:tcPr>
          <w:p w14:paraId="49B4960C">
            <w:pPr>
              <w:pStyle w:val="13"/>
            </w:pPr>
            <w:r>
              <w:t>学生、教师及家长对学校教育教学工作满意度情况</w:t>
            </w:r>
          </w:p>
        </w:tc>
        <w:tc>
          <w:tcPr>
            <w:tcW w:w="2268" w:type="dxa"/>
            <w:vAlign w:val="center"/>
          </w:tcPr>
          <w:p w14:paraId="5A7DD970">
            <w:pPr>
              <w:pStyle w:val="13"/>
            </w:pPr>
            <w:r>
              <w:t>≥95%</w:t>
            </w:r>
          </w:p>
        </w:tc>
        <w:tc>
          <w:tcPr>
            <w:tcW w:w="1276" w:type="dxa"/>
            <w:vAlign w:val="center"/>
          </w:tcPr>
          <w:p w14:paraId="059AB6FB">
            <w:pPr>
              <w:pStyle w:val="13"/>
            </w:pPr>
            <w:r>
              <w:t>调查问卷</w:t>
            </w:r>
          </w:p>
        </w:tc>
      </w:tr>
    </w:tbl>
    <w:p w14:paraId="52DEDE2D">
      <w:pPr>
        <w:sectPr>
          <w:pgSz w:w="16840" w:h="11900" w:orient="landscape"/>
          <w:pgMar w:top="1361" w:right="1020" w:bottom="1134" w:left="1020" w:header="720" w:footer="720" w:gutter="0"/>
          <w:cols w:space="720" w:num="1"/>
        </w:sectPr>
      </w:pPr>
    </w:p>
    <w:p w14:paraId="5CABBF3B">
      <w:pPr>
        <w:spacing w:before="0" w:after="0"/>
        <w:ind w:firstLine="560"/>
        <w:jc w:val="left"/>
        <w:outlineLvl w:val="9"/>
      </w:pPr>
      <w:r>
        <w:rPr>
          <w:rFonts w:ascii="方正仿宋_GBK" w:hAnsi="方正仿宋_GBK" w:eastAsia="方正仿宋_GBK" w:cs="方正仿宋_GBK"/>
          <w:b/>
          <w:color w:val="000000"/>
          <w:sz w:val="28"/>
        </w:rPr>
        <w:t>136、县级配套/隆尧县华开学校公用经费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9A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A2A7D">
            <w:pPr>
              <w:pStyle w:val="14"/>
            </w:pPr>
            <w:r>
              <w:t>单位：万元</w:t>
            </w:r>
          </w:p>
        </w:tc>
      </w:tr>
      <w:tr w14:paraId="00BE4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5AC2D1">
            <w:pPr>
              <w:pStyle w:val="11"/>
            </w:pPr>
            <w:r>
              <w:t>项目编码</w:t>
            </w:r>
          </w:p>
        </w:tc>
        <w:tc>
          <w:tcPr>
            <w:tcW w:w="5103" w:type="dxa"/>
            <w:gridSpan w:val="2"/>
            <w:vAlign w:val="center"/>
          </w:tcPr>
          <w:p w14:paraId="363BB6E3">
            <w:pPr>
              <w:pStyle w:val="13"/>
            </w:pPr>
            <w:r>
              <w:t>13052525P00000410008W</w:t>
            </w:r>
          </w:p>
        </w:tc>
        <w:tc>
          <w:tcPr>
            <w:tcW w:w="2835" w:type="dxa"/>
            <w:vAlign w:val="center"/>
          </w:tcPr>
          <w:p w14:paraId="7ECD6F88">
            <w:pPr>
              <w:pStyle w:val="11"/>
            </w:pPr>
            <w:r>
              <w:t>项目名称</w:t>
            </w:r>
          </w:p>
        </w:tc>
        <w:tc>
          <w:tcPr>
            <w:tcW w:w="6095" w:type="dxa"/>
            <w:gridSpan w:val="3"/>
            <w:vAlign w:val="center"/>
          </w:tcPr>
          <w:p w14:paraId="7CB097A6">
            <w:pPr>
              <w:pStyle w:val="13"/>
            </w:pPr>
            <w:r>
              <w:t>县级配套/隆尧县华开学校公用经费</w:t>
            </w:r>
            <w:r>
              <w:tab/>
            </w:r>
          </w:p>
        </w:tc>
      </w:tr>
      <w:tr w14:paraId="22AFF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BA8C3">
            <w:pPr>
              <w:pStyle w:val="11"/>
            </w:pPr>
            <w:r>
              <w:t>预算规模及资金用途</w:t>
            </w:r>
          </w:p>
        </w:tc>
        <w:tc>
          <w:tcPr>
            <w:tcW w:w="2268" w:type="dxa"/>
            <w:vAlign w:val="center"/>
          </w:tcPr>
          <w:p w14:paraId="64842316">
            <w:pPr>
              <w:pStyle w:val="11"/>
            </w:pPr>
            <w:r>
              <w:t>预算数</w:t>
            </w:r>
          </w:p>
        </w:tc>
        <w:tc>
          <w:tcPr>
            <w:tcW w:w="2835" w:type="dxa"/>
            <w:vAlign w:val="center"/>
          </w:tcPr>
          <w:p w14:paraId="17A45F5A">
            <w:pPr>
              <w:pStyle w:val="13"/>
            </w:pPr>
            <w:r>
              <w:t>13.51</w:t>
            </w:r>
          </w:p>
        </w:tc>
        <w:tc>
          <w:tcPr>
            <w:tcW w:w="2835" w:type="dxa"/>
            <w:vAlign w:val="center"/>
          </w:tcPr>
          <w:p w14:paraId="72AC6B6A">
            <w:pPr>
              <w:pStyle w:val="11"/>
            </w:pPr>
            <w:r>
              <w:t>其中：财政    资金</w:t>
            </w:r>
          </w:p>
        </w:tc>
        <w:tc>
          <w:tcPr>
            <w:tcW w:w="2551" w:type="dxa"/>
            <w:vAlign w:val="center"/>
          </w:tcPr>
          <w:p w14:paraId="1715806E">
            <w:pPr>
              <w:pStyle w:val="13"/>
            </w:pPr>
            <w:r>
              <w:t>13.51</w:t>
            </w:r>
          </w:p>
        </w:tc>
        <w:tc>
          <w:tcPr>
            <w:tcW w:w="2268" w:type="dxa"/>
            <w:vAlign w:val="center"/>
          </w:tcPr>
          <w:p w14:paraId="785EB4BE">
            <w:pPr>
              <w:pStyle w:val="11"/>
            </w:pPr>
            <w:r>
              <w:t>其他资金</w:t>
            </w:r>
          </w:p>
        </w:tc>
        <w:tc>
          <w:tcPr>
            <w:tcW w:w="1276" w:type="dxa"/>
            <w:vAlign w:val="center"/>
          </w:tcPr>
          <w:p w14:paraId="6479CBA7">
            <w:pPr>
              <w:pStyle w:val="13"/>
            </w:pPr>
            <w:r>
              <w:t xml:space="preserve"> </w:t>
            </w:r>
          </w:p>
        </w:tc>
      </w:tr>
      <w:tr w14:paraId="6A25B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C9F31"/>
        </w:tc>
        <w:tc>
          <w:tcPr>
            <w:tcW w:w="14033" w:type="dxa"/>
            <w:gridSpan w:val="6"/>
            <w:vAlign w:val="center"/>
          </w:tcPr>
          <w:p w14:paraId="1D2AE7D1">
            <w:pPr>
              <w:pStyle w:val="13"/>
            </w:pPr>
            <w:r>
              <w:t>保障义务教育学校正常运转，完成教育教学活动和其他日常工作任务等方面的费用支出。</w:t>
            </w:r>
          </w:p>
        </w:tc>
      </w:tr>
      <w:tr w14:paraId="27BE4C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ADA6B">
            <w:pPr>
              <w:pStyle w:val="11"/>
            </w:pPr>
            <w:r>
              <w:t>资金支出计划（%）</w:t>
            </w:r>
          </w:p>
        </w:tc>
        <w:tc>
          <w:tcPr>
            <w:tcW w:w="5103" w:type="dxa"/>
            <w:gridSpan w:val="2"/>
            <w:vAlign w:val="center"/>
          </w:tcPr>
          <w:p w14:paraId="5F8A88EA">
            <w:pPr>
              <w:pStyle w:val="11"/>
            </w:pPr>
            <w:r>
              <w:t>3月底</w:t>
            </w:r>
          </w:p>
        </w:tc>
        <w:tc>
          <w:tcPr>
            <w:tcW w:w="2835" w:type="dxa"/>
            <w:vAlign w:val="center"/>
          </w:tcPr>
          <w:p w14:paraId="0CA1328F">
            <w:pPr>
              <w:pStyle w:val="11"/>
            </w:pPr>
            <w:r>
              <w:t>6月底</w:t>
            </w:r>
          </w:p>
        </w:tc>
        <w:tc>
          <w:tcPr>
            <w:tcW w:w="2551" w:type="dxa"/>
            <w:vAlign w:val="center"/>
          </w:tcPr>
          <w:p w14:paraId="07DFB829">
            <w:pPr>
              <w:pStyle w:val="11"/>
            </w:pPr>
            <w:r>
              <w:t>10月底</w:t>
            </w:r>
          </w:p>
        </w:tc>
        <w:tc>
          <w:tcPr>
            <w:tcW w:w="3544" w:type="dxa"/>
            <w:gridSpan w:val="2"/>
            <w:vAlign w:val="center"/>
          </w:tcPr>
          <w:p w14:paraId="1B503721">
            <w:pPr>
              <w:pStyle w:val="11"/>
            </w:pPr>
            <w:r>
              <w:t>12月底</w:t>
            </w:r>
          </w:p>
        </w:tc>
      </w:tr>
      <w:tr w14:paraId="42B32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85CAE"/>
        </w:tc>
        <w:tc>
          <w:tcPr>
            <w:tcW w:w="5103" w:type="dxa"/>
            <w:gridSpan w:val="2"/>
            <w:vAlign w:val="center"/>
          </w:tcPr>
          <w:p w14:paraId="5D1A15F3">
            <w:pPr>
              <w:pStyle w:val="12"/>
            </w:pPr>
            <w:r>
              <w:t xml:space="preserve"> </w:t>
            </w:r>
          </w:p>
        </w:tc>
        <w:tc>
          <w:tcPr>
            <w:tcW w:w="2835" w:type="dxa"/>
            <w:vAlign w:val="center"/>
          </w:tcPr>
          <w:p w14:paraId="090767B9">
            <w:pPr>
              <w:pStyle w:val="12"/>
            </w:pPr>
            <w:r>
              <w:t xml:space="preserve"> </w:t>
            </w:r>
          </w:p>
        </w:tc>
        <w:tc>
          <w:tcPr>
            <w:tcW w:w="2551" w:type="dxa"/>
            <w:vAlign w:val="center"/>
          </w:tcPr>
          <w:p w14:paraId="12526FEB">
            <w:pPr>
              <w:pStyle w:val="12"/>
            </w:pPr>
            <w:r>
              <w:t xml:space="preserve"> </w:t>
            </w:r>
          </w:p>
        </w:tc>
        <w:tc>
          <w:tcPr>
            <w:tcW w:w="3544" w:type="dxa"/>
            <w:gridSpan w:val="2"/>
            <w:vAlign w:val="center"/>
          </w:tcPr>
          <w:p w14:paraId="73FA26E5">
            <w:pPr>
              <w:pStyle w:val="12"/>
            </w:pPr>
            <w:r>
              <w:t>100%</w:t>
            </w:r>
          </w:p>
        </w:tc>
      </w:tr>
      <w:tr w14:paraId="0741E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14C64">
            <w:pPr>
              <w:pStyle w:val="11"/>
            </w:pPr>
            <w:r>
              <w:t>绩效目标</w:t>
            </w:r>
          </w:p>
        </w:tc>
        <w:tc>
          <w:tcPr>
            <w:tcW w:w="14033" w:type="dxa"/>
            <w:gridSpan w:val="6"/>
            <w:vAlign w:val="center"/>
          </w:tcPr>
          <w:p w14:paraId="261C2563">
            <w:pPr>
              <w:pStyle w:val="13"/>
            </w:pPr>
            <w:r>
              <w:t>1.保障义务教育学校正常运转，完成教育教学活动和其他日常工作任务等方面的费用支出。</w:t>
            </w:r>
          </w:p>
        </w:tc>
      </w:tr>
    </w:tbl>
    <w:p w14:paraId="055B62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99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8A08B">
            <w:pPr>
              <w:pStyle w:val="11"/>
            </w:pPr>
            <w:r>
              <w:t>一级指标</w:t>
            </w:r>
          </w:p>
        </w:tc>
        <w:tc>
          <w:tcPr>
            <w:tcW w:w="2268" w:type="dxa"/>
            <w:vAlign w:val="center"/>
          </w:tcPr>
          <w:p w14:paraId="38F4DC20">
            <w:pPr>
              <w:pStyle w:val="11"/>
            </w:pPr>
            <w:r>
              <w:t>二级指标</w:t>
            </w:r>
          </w:p>
        </w:tc>
        <w:tc>
          <w:tcPr>
            <w:tcW w:w="2835" w:type="dxa"/>
            <w:vAlign w:val="center"/>
          </w:tcPr>
          <w:p w14:paraId="1E12F622">
            <w:pPr>
              <w:pStyle w:val="11"/>
            </w:pPr>
            <w:r>
              <w:t>三级指标</w:t>
            </w:r>
          </w:p>
        </w:tc>
        <w:tc>
          <w:tcPr>
            <w:tcW w:w="5386" w:type="dxa"/>
            <w:vAlign w:val="center"/>
          </w:tcPr>
          <w:p w14:paraId="71870044">
            <w:pPr>
              <w:pStyle w:val="11"/>
            </w:pPr>
            <w:r>
              <w:t>绩效指标描述</w:t>
            </w:r>
          </w:p>
        </w:tc>
        <w:tc>
          <w:tcPr>
            <w:tcW w:w="2268" w:type="dxa"/>
            <w:vAlign w:val="center"/>
          </w:tcPr>
          <w:p w14:paraId="4F303702">
            <w:pPr>
              <w:pStyle w:val="11"/>
            </w:pPr>
            <w:r>
              <w:t>指标值</w:t>
            </w:r>
          </w:p>
        </w:tc>
        <w:tc>
          <w:tcPr>
            <w:tcW w:w="1276" w:type="dxa"/>
            <w:vAlign w:val="center"/>
          </w:tcPr>
          <w:p w14:paraId="2E428A7B">
            <w:pPr>
              <w:pStyle w:val="11"/>
            </w:pPr>
            <w:r>
              <w:t>指标值确定依据</w:t>
            </w:r>
          </w:p>
        </w:tc>
      </w:tr>
      <w:tr w14:paraId="21B7E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647C0">
            <w:pPr>
              <w:pStyle w:val="12"/>
            </w:pPr>
            <w:r>
              <w:t>产出指标</w:t>
            </w:r>
          </w:p>
        </w:tc>
        <w:tc>
          <w:tcPr>
            <w:tcW w:w="2268" w:type="dxa"/>
            <w:vAlign w:val="center"/>
          </w:tcPr>
          <w:p w14:paraId="6CC45CC8">
            <w:pPr>
              <w:pStyle w:val="13"/>
            </w:pPr>
            <w:r>
              <w:t>数量指标</w:t>
            </w:r>
          </w:p>
        </w:tc>
        <w:tc>
          <w:tcPr>
            <w:tcW w:w="2835" w:type="dxa"/>
            <w:vAlign w:val="center"/>
          </w:tcPr>
          <w:p w14:paraId="2CC16136">
            <w:pPr>
              <w:pStyle w:val="13"/>
            </w:pPr>
            <w:r>
              <w:t>适龄在校生</w:t>
            </w:r>
          </w:p>
        </w:tc>
        <w:tc>
          <w:tcPr>
            <w:tcW w:w="5386" w:type="dxa"/>
            <w:vAlign w:val="center"/>
          </w:tcPr>
          <w:p w14:paraId="4EF31752">
            <w:pPr>
              <w:pStyle w:val="13"/>
            </w:pPr>
            <w:r>
              <w:t>适龄在校就读学生人数</w:t>
            </w:r>
          </w:p>
        </w:tc>
        <w:tc>
          <w:tcPr>
            <w:tcW w:w="2268" w:type="dxa"/>
            <w:vAlign w:val="center"/>
          </w:tcPr>
          <w:p w14:paraId="16291636">
            <w:pPr>
              <w:pStyle w:val="13"/>
            </w:pPr>
            <w:r>
              <w:t>237人</w:t>
            </w:r>
          </w:p>
        </w:tc>
        <w:tc>
          <w:tcPr>
            <w:tcW w:w="1276" w:type="dxa"/>
            <w:vAlign w:val="center"/>
          </w:tcPr>
          <w:p w14:paraId="0FF384CA">
            <w:pPr>
              <w:pStyle w:val="13"/>
            </w:pPr>
            <w:r>
              <w:t>城乡义务教育公用经费管理办法</w:t>
            </w:r>
          </w:p>
        </w:tc>
      </w:tr>
      <w:tr w14:paraId="16FA8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E3337"/>
        </w:tc>
        <w:tc>
          <w:tcPr>
            <w:tcW w:w="2268" w:type="dxa"/>
            <w:vAlign w:val="center"/>
          </w:tcPr>
          <w:p w14:paraId="223FFE12">
            <w:pPr>
              <w:pStyle w:val="13"/>
            </w:pPr>
            <w:r>
              <w:t>质量指标</w:t>
            </w:r>
          </w:p>
        </w:tc>
        <w:tc>
          <w:tcPr>
            <w:tcW w:w="2835" w:type="dxa"/>
            <w:vAlign w:val="center"/>
          </w:tcPr>
          <w:p w14:paraId="74EFC58E">
            <w:pPr>
              <w:pStyle w:val="13"/>
            </w:pPr>
            <w:r>
              <w:t>预算控制率</w:t>
            </w:r>
          </w:p>
        </w:tc>
        <w:tc>
          <w:tcPr>
            <w:tcW w:w="5386" w:type="dxa"/>
            <w:vAlign w:val="center"/>
          </w:tcPr>
          <w:p w14:paraId="727583A4">
            <w:pPr>
              <w:pStyle w:val="13"/>
            </w:pPr>
            <w:r>
              <w:t>预算执行</w:t>
            </w:r>
          </w:p>
        </w:tc>
        <w:tc>
          <w:tcPr>
            <w:tcW w:w="2268" w:type="dxa"/>
            <w:vAlign w:val="center"/>
          </w:tcPr>
          <w:p w14:paraId="1ACD6952">
            <w:pPr>
              <w:pStyle w:val="13"/>
            </w:pPr>
            <w:r>
              <w:t>≥95%</w:t>
            </w:r>
          </w:p>
        </w:tc>
        <w:tc>
          <w:tcPr>
            <w:tcW w:w="1276" w:type="dxa"/>
            <w:vAlign w:val="center"/>
          </w:tcPr>
          <w:p w14:paraId="4C36BF27">
            <w:pPr>
              <w:pStyle w:val="13"/>
            </w:pPr>
            <w:r>
              <w:t>城乡义务教育公用经费管理办法</w:t>
            </w:r>
          </w:p>
        </w:tc>
      </w:tr>
      <w:tr w14:paraId="4E660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05050"/>
        </w:tc>
        <w:tc>
          <w:tcPr>
            <w:tcW w:w="2268" w:type="dxa"/>
            <w:vAlign w:val="center"/>
          </w:tcPr>
          <w:p w14:paraId="2A84DB79">
            <w:pPr>
              <w:pStyle w:val="13"/>
            </w:pPr>
            <w:r>
              <w:t>时效指标</w:t>
            </w:r>
          </w:p>
        </w:tc>
        <w:tc>
          <w:tcPr>
            <w:tcW w:w="2835" w:type="dxa"/>
            <w:vAlign w:val="center"/>
          </w:tcPr>
          <w:p w14:paraId="25C700C9">
            <w:pPr>
              <w:pStyle w:val="13"/>
            </w:pPr>
            <w:r>
              <w:t>资金支付率</w:t>
            </w:r>
          </w:p>
        </w:tc>
        <w:tc>
          <w:tcPr>
            <w:tcW w:w="5386" w:type="dxa"/>
            <w:vAlign w:val="center"/>
          </w:tcPr>
          <w:p w14:paraId="306E60E1">
            <w:pPr>
              <w:pStyle w:val="13"/>
            </w:pPr>
            <w:r>
              <w:t>按照序时进度完成资金支付</w:t>
            </w:r>
          </w:p>
        </w:tc>
        <w:tc>
          <w:tcPr>
            <w:tcW w:w="2268" w:type="dxa"/>
            <w:vAlign w:val="center"/>
          </w:tcPr>
          <w:p w14:paraId="3D6FF717">
            <w:pPr>
              <w:pStyle w:val="13"/>
            </w:pPr>
            <w:r>
              <w:t>≥100%</w:t>
            </w:r>
          </w:p>
        </w:tc>
        <w:tc>
          <w:tcPr>
            <w:tcW w:w="1276" w:type="dxa"/>
            <w:vAlign w:val="center"/>
          </w:tcPr>
          <w:p w14:paraId="4A9F8E49">
            <w:pPr>
              <w:pStyle w:val="13"/>
            </w:pPr>
            <w:r>
              <w:t>城乡义务教育公用经费管理办法</w:t>
            </w:r>
          </w:p>
        </w:tc>
      </w:tr>
      <w:tr w14:paraId="05182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77211"/>
        </w:tc>
        <w:tc>
          <w:tcPr>
            <w:tcW w:w="2268" w:type="dxa"/>
            <w:vAlign w:val="center"/>
          </w:tcPr>
          <w:p w14:paraId="1A96C4A1">
            <w:pPr>
              <w:pStyle w:val="13"/>
            </w:pPr>
            <w:r>
              <w:t>成本指标</w:t>
            </w:r>
          </w:p>
        </w:tc>
        <w:tc>
          <w:tcPr>
            <w:tcW w:w="2835" w:type="dxa"/>
            <w:vAlign w:val="center"/>
          </w:tcPr>
          <w:p w14:paraId="09C65072">
            <w:pPr>
              <w:pStyle w:val="13"/>
            </w:pPr>
            <w:r>
              <w:t>生均拨款标准</w:t>
            </w:r>
          </w:p>
        </w:tc>
        <w:tc>
          <w:tcPr>
            <w:tcW w:w="5386" w:type="dxa"/>
            <w:vAlign w:val="center"/>
          </w:tcPr>
          <w:p w14:paraId="0974768A">
            <w:pPr>
              <w:pStyle w:val="13"/>
            </w:pPr>
            <w:r>
              <w:t>小学：（基本标准720元、寄宿生300元、取暖120元）/生/学年；随班就读学生：标准6000元/生/学年。</w:t>
            </w:r>
          </w:p>
        </w:tc>
        <w:tc>
          <w:tcPr>
            <w:tcW w:w="2268" w:type="dxa"/>
            <w:vAlign w:val="center"/>
          </w:tcPr>
          <w:p w14:paraId="5011976F">
            <w:pPr>
              <w:pStyle w:val="13"/>
            </w:pPr>
            <w:r>
              <w:t>135090元</w:t>
            </w:r>
          </w:p>
        </w:tc>
        <w:tc>
          <w:tcPr>
            <w:tcW w:w="1276" w:type="dxa"/>
            <w:vAlign w:val="center"/>
          </w:tcPr>
          <w:p w14:paraId="3E693C41">
            <w:pPr>
              <w:pStyle w:val="13"/>
            </w:pPr>
            <w:r>
              <w:t>城乡义务教育公用经费管理办法</w:t>
            </w:r>
          </w:p>
        </w:tc>
      </w:tr>
      <w:tr w14:paraId="524E5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29051E">
            <w:pPr>
              <w:pStyle w:val="12"/>
            </w:pPr>
            <w:r>
              <w:t>效益指标</w:t>
            </w:r>
          </w:p>
        </w:tc>
        <w:tc>
          <w:tcPr>
            <w:tcW w:w="2268" w:type="dxa"/>
            <w:vAlign w:val="center"/>
          </w:tcPr>
          <w:p w14:paraId="21E2024F">
            <w:pPr>
              <w:pStyle w:val="13"/>
            </w:pPr>
            <w:r>
              <w:t>可持续影响指标</w:t>
            </w:r>
          </w:p>
        </w:tc>
        <w:tc>
          <w:tcPr>
            <w:tcW w:w="2835" w:type="dxa"/>
            <w:vAlign w:val="center"/>
          </w:tcPr>
          <w:p w14:paraId="318A1705">
            <w:pPr>
              <w:pStyle w:val="13"/>
            </w:pPr>
            <w:r>
              <w:t>教育发展水平明显好转</w:t>
            </w:r>
          </w:p>
        </w:tc>
        <w:tc>
          <w:tcPr>
            <w:tcW w:w="5386" w:type="dxa"/>
            <w:vAlign w:val="center"/>
          </w:tcPr>
          <w:p w14:paraId="17B9373A">
            <w:pPr>
              <w:pStyle w:val="13"/>
            </w:pPr>
            <w:r>
              <w:t>学生受教育年限</w:t>
            </w:r>
          </w:p>
        </w:tc>
        <w:tc>
          <w:tcPr>
            <w:tcW w:w="2268" w:type="dxa"/>
            <w:vAlign w:val="center"/>
          </w:tcPr>
          <w:p w14:paraId="3E35C402">
            <w:pPr>
              <w:pStyle w:val="13"/>
            </w:pPr>
            <w:r>
              <w:t>6年</w:t>
            </w:r>
          </w:p>
        </w:tc>
        <w:tc>
          <w:tcPr>
            <w:tcW w:w="1276" w:type="dxa"/>
            <w:vAlign w:val="center"/>
          </w:tcPr>
          <w:p w14:paraId="0B49DB04">
            <w:pPr>
              <w:pStyle w:val="13"/>
            </w:pPr>
            <w:r>
              <w:t>城乡义务教育公用经费管理办法</w:t>
            </w:r>
          </w:p>
        </w:tc>
      </w:tr>
      <w:tr w14:paraId="4835A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B50AC0">
            <w:pPr>
              <w:pStyle w:val="12"/>
            </w:pPr>
            <w:r>
              <w:t>满意度指标</w:t>
            </w:r>
          </w:p>
        </w:tc>
        <w:tc>
          <w:tcPr>
            <w:tcW w:w="2268" w:type="dxa"/>
            <w:vAlign w:val="center"/>
          </w:tcPr>
          <w:p w14:paraId="091B47FB">
            <w:pPr>
              <w:pStyle w:val="13"/>
            </w:pPr>
            <w:r>
              <w:t>服务对象满意度指标</w:t>
            </w:r>
          </w:p>
        </w:tc>
        <w:tc>
          <w:tcPr>
            <w:tcW w:w="2835" w:type="dxa"/>
            <w:vAlign w:val="center"/>
          </w:tcPr>
          <w:p w14:paraId="49DB860A">
            <w:pPr>
              <w:pStyle w:val="13"/>
            </w:pPr>
            <w:r>
              <w:t>受益学生家长及调查满意度</w:t>
            </w:r>
          </w:p>
        </w:tc>
        <w:tc>
          <w:tcPr>
            <w:tcW w:w="5386" w:type="dxa"/>
            <w:vAlign w:val="center"/>
          </w:tcPr>
          <w:p w14:paraId="2F5F6B52">
            <w:pPr>
              <w:pStyle w:val="13"/>
            </w:pPr>
            <w:r>
              <w:t>学生、教师及家长对学校教育教学工作满意度情况</w:t>
            </w:r>
          </w:p>
        </w:tc>
        <w:tc>
          <w:tcPr>
            <w:tcW w:w="2268" w:type="dxa"/>
            <w:vAlign w:val="center"/>
          </w:tcPr>
          <w:p w14:paraId="611A4D3A">
            <w:pPr>
              <w:pStyle w:val="13"/>
            </w:pPr>
            <w:r>
              <w:t>≥95%</w:t>
            </w:r>
          </w:p>
        </w:tc>
        <w:tc>
          <w:tcPr>
            <w:tcW w:w="1276" w:type="dxa"/>
            <w:vAlign w:val="center"/>
          </w:tcPr>
          <w:p w14:paraId="23E704CF">
            <w:pPr>
              <w:pStyle w:val="13"/>
            </w:pPr>
            <w:r>
              <w:t>调查问卷</w:t>
            </w:r>
          </w:p>
        </w:tc>
      </w:tr>
    </w:tbl>
    <w:p w14:paraId="7827FB16">
      <w:pPr>
        <w:sectPr>
          <w:pgSz w:w="16840" w:h="11900" w:orient="landscape"/>
          <w:pgMar w:top="1361" w:right="1020" w:bottom="1134" w:left="1020" w:header="720" w:footer="720" w:gutter="0"/>
          <w:cols w:space="720" w:num="1"/>
        </w:sectPr>
      </w:pPr>
    </w:p>
    <w:p w14:paraId="079A2B4F">
      <w:pPr>
        <w:spacing w:before="0" w:after="0"/>
        <w:ind w:firstLine="560"/>
        <w:jc w:val="left"/>
        <w:outlineLvl w:val="9"/>
      </w:pPr>
      <w:r>
        <w:rPr>
          <w:rFonts w:ascii="方正仿宋_GBK" w:hAnsi="方正仿宋_GBK" w:eastAsia="方正仿宋_GBK" w:cs="方正仿宋_GBK"/>
          <w:b/>
          <w:color w:val="000000"/>
          <w:sz w:val="28"/>
        </w:rPr>
        <w:t>137、县级配套/隆尧县华星学校公用经费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68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6C594">
            <w:pPr>
              <w:pStyle w:val="14"/>
            </w:pPr>
            <w:r>
              <w:t>单位：万元</w:t>
            </w:r>
          </w:p>
        </w:tc>
      </w:tr>
      <w:tr w14:paraId="1266A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B78414">
            <w:pPr>
              <w:pStyle w:val="11"/>
            </w:pPr>
            <w:r>
              <w:t>项目编码</w:t>
            </w:r>
          </w:p>
        </w:tc>
        <w:tc>
          <w:tcPr>
            <w:tcW w:w="5103" w:type="dxa"/>
            <w:gridSpan w:val="2"/>
            <w:vAlign w:val="center"/>
          </w:tcPr>
          <w:p w14:paraId="06043743">
            <w:pPr>
              <w:pStyle w:val="13"/>
            </w:pPr>
            <w:r>
              <w:t>13052525P000004100123</w:t>
            </w:r>
          </w:p>
        </w:tc>
        <w:tc>
          <w:tcPr>
            <w:tcW w:w="2835" w:type="dxa"/>
            <w:vAlign w:val="center"/>
          </w:tcPr>
          <w:p w14:paraId="04AE79CE">
            <w:pPr>
              <w:pStyle w:val="11"/>
            </w:pPr>
            <w:r>
              <w:t>项目名称</w:t>
            </w:r>
          </w:p>
        </w:tc>
        <w:tc>
          <w:tcPr>
            <w:tcW w:w="6095" w:type="dxa"/>
            <w:gridSpan w:val="3"/>
            <w:vAlign w:val="center"/>
          </w:tcPr>
          <w:p w14:paraId="2E6C8AB5">
            <w:pPr>
              <w:pStyle w:val="13"/>
            </w:pPr>
            <w:r>
              <w:t>县级配套/隆尧县华星学校公用经费</w:t>
            </w:r>
            <w:r>
              <w:tab/>
            </w:r>
            <w:r>
              <w:tab/>
            </w:r>
            <w:r>
              <w:tab/>
            </w:r>
          </w:p>
        </w:tc>
      </w:tr>
      <w:tr w14:paraId="0D15E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5A3B5">
            <w:pPr>
              <w:pStyle w:val="11"/>
            </w:pPr>
            <w:r>
              <w:t>预算规模及资金用途</w:t>
            </w:r>
          </w:p>
        </w:tc>
        <w:tc>
          <w:tcPr>
            <w:tcW w:w="2268" w:type="dxa"/>
            <w:vAlign w:val="center"/>
          </w:tcPr>
          <w:p w14:paraId="02C161B3">
            <w:pPr>
              <w:pStyle w:val="11"/>
            </w:pPr>
            <w:r>
              <w:t>预算数</w:t>
            </w:r>
          </w:p>
        </w:tc>
        <w:tc>
          <w:tcPr>
            <w:tcW w:w="2835" w:type="dxa"/>
            <w:vAlign w:val="center"/>
          </w:tcPr>
          <w:p w14:paraId="316E86AB">
            <w:pPr>
              <w:pStyle w:val="13"/>
            </w:pPr>
            <w:r>
              <w:t>6.43</w:t>
            </w:r>
          </w:p>
        </w:tc>
        <w:tc>
          <w:tcPr>
            <w:tcW w:w="2835" w:type="dxa"/>
            <w:vAlign w:val="center"/>
          </w:tcPr>
          <w:p w14:paraId="3C1C8033">
            <w:pPr>
              <w:pStyle w:val="11"/>
            </w:pPr>
            <w:r>
              <w:t>其中：财政    资金</w:t>
            </w:r>
          </w:p>
        </w:tc>
        <w:tc>
          <w:tcPr>
            <w:tcW w:w="2551" w:type="dxa"/>
            <w:vAlign w:val="center"/>
          </w:tcPr>
          <w:p w14:paraId="1858DF7D">
            <w:pPr>
              <w:pStyle w:val="13"/>
            </w:pPr>
            <w:r>
              <w:t>6.43</w:t>
            </w:r>
          </w:p>
        </w:tc>
        <w:tc>
          <w:tcPr>
            <w:tcW w:w="2268" w:type="dxa"/>
            <w:vAlign w:val="center"/>
          </w:tcPr>
          <w:p w14:paraId="20C89ECF">
            <w:pPr>
              <w:pStyle w:val="11"/>
            </w:pPr>
            <w:r>
              <w:t>其他资金</w:t>
            </w:r>
          </w:p>
        </w:tc>
        <w:tc>
          <w:tcPr>
            <w:tcW w:w="1276" w:type="dxa"/>
            <w:vAlign w:val="center"/>
          </w:tcPr>
          <w:p w14:paraId="6A09EA4E">
            <w:pPr>
              <w:pStyle w:val="13"/>
            </w:pPr>
            <w:r>
              <w:t xml:space="preserve"> </w:t>
            </w:r>
          </w:p>
        </w:tc>
      </w:tr>
      <w:tr w14:paraId="459CC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60BA30"/>
        </w:tc>
        <w:tc>
          <w:tcPr>
            <w:tcW w:w="14033" w:type="dxa"/>
            <w:gridSpan w:val="6"/>
            <w:vAlign w:val="center"/>
          </w:tcPr>
          <w:p w14:paraId="7F9DBB01">
            <w:pPr>
              <w:pStyle w:val="13"/>
            </w:pPr>
            <w:r>
              <w:t>保障义务教育学校正常运转，完成教育教学活动和其他日常工作任务等方面的费用支出。</w:t>
            </w:r>
          </w:p>
        </w:tc>
      </w:tr>
      <w:tr w14:paraId="2B65E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CA162">
            <w:pPr>
              <w:pStyle w:val="11"/>
            </w:pPr>
            <w:r>
              <w:t>资金支出计划（%）</w:t>
            </w:r>
          </w:p>
        </w:tc>
        <w:tc>
          <w:tcPr>
            <w:tcW w:w="5103" w:type="dxa"/>
            <w:gridSpan w:val="2"/>
            <w:vAlign w:val="center"/>
          </w:tcPr>
          <w:p w14:paraId="15A7133E">
            <w:pPr>
              <w:pStyle w:val="11"/>
            </w:pPr>
            <w:r>
              <w:t>3月底</w:t>
            </w:r>
          </w:p>
        </w:tc>
        <w:tc>
          <w:tcPr>
            <w:tcW w:w="2835" w:type="dxa"/>
            <w:vAlign w:val="center"/>
          </w:tcPr>
          <w:p w14:paraId="395D902F">
            <w:pPr>
              <w:pStyle w:val="11"/>
            </w:pPr>
            <w:r>
              <w:t>6月底</w:t>
            </w:r>
          </w:p>
        </w:tc>
        <w:tc>
          <w:tcPr>
            <w:tcW w:w="2551" w:type="dxa"/>
            <w:vAlign w:val="center"/>
          </w:tcPr>
          <w:p w14:paraId="36F2C052">
            <w:pPr>
              <w:pStyle w:val="11"/>
            </w:pPr>
            <w:r>
              <w:t>10月底</w:t>
            </w:r>
          </w:p>
        </w:tc>
        <w:tc>
          <w:tcPr>
            <w:tcW w:w="3544" w:type="dxa"/>
            <w:gridSpan w:val="2"/>
            <w:vAlign w:val="center"/>
          </w:tcPr>
          <w:p w14:paraId="22D07B84">
            <w:pPr>
              <w:pStyle w:val="11"/>
            </w:pPr>
            <w:r>
              <w:t>12月底</w:t>
            </w:r>
          </w:p>
        </w:tc>
      </w:tr>
      <w:tr w14:paraId="4DB24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55F963"/>
        </w:tc>
        <w:tc>
          <w:tcPr>
            <w:tcW w:w="5103" w:type="dxa"/>
            <w:gridSpan w:val="2"/>
            <w:vAlign w:val="center"/>
          </w:tcPr>
          <w:p w14:paraId="3458A8D3">
            <w:pPr>
              <w:pStyle w:val="12"/>
            </w:pPr>
            <w:r>
              <w:t xml:space="preserve"> </w:t>
            </w:r>
          </w:p>
        </w:tc>
        <w:tc>
          <w:tcPr>
            <w:tcW w:w="2835" w:type="dxa"/>
            <w:vAlign w:val="center"/>
          </w:tcPr>
          <w:p w14:paraId="4A911486">
            <w:pPr>
              <w:pStyle w:val="12"/>
            </w:pPr>
            <w:r>
              <w:t xml:space="preserve"> </w:t>
            </w:r>
          </w:p>
        </w:tc>
        <w:tc>
          <w:tcPr>
            <w:tcW w:w="2551" w:type="dxa"/>
            <w:vAlign w:val="center"/>
          </w:tcPr>
          <w:p w14:paraId="3208679A">
            <w:pPr>
              <w:pStyle w:val="12"/>
            </w:pPr>
            <w:r>
              <w:t xml:space="preserve"> </w:t>
            </w:r>
          </w:p>
        </w:tc>
        <w:tc>
          <w:tcPr>
            <w:tcW w:w="3544" w:type="dxa"/>
            <w:gridSpan w:val="2"/>
            <w:vAlign w:val="center"/>
          </w:tcPr>
          <w:p w14:paraId="4442B9B8">
            <w:pPr>
              <w:pStyle w:val="12"/>
            </w:pPr>
            <w:r>
              <w:t>100%</w:t>
            </w:r>
          </w:p>
        </w:tc>
      </w:tr>
      <w:tr w14:paraId="79FDA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71B0F">
            <w:pPr>
              <w:pStyle w:val="11"/>
            </w:pPr>
            <w:r>
              <w:t>绩效目标</w:t>
            </w:r>
          </w:p>
        </w:tc>
        <w:tc>
          <w:tcPr>
            <w:tcW w:w="14033" w:type="dxa"/>
            <w:gridSpan w:val="6"/>
            <w:vAlign w:val="center"/>
          </w:tcPr>
          <w:p w14:paraId="2392B53A">
            <w:pPr>
              <w:pStyle w:val="13"/>
            </w:pPr>
            <w:r>
              <w:t>1.保障义务教育学校正常运转，完成教育教学活动和其他日常工作任务等方面的费用支出。</w:t>
            </w:r>
          </w:p>
        </w:tc>
      </w:tr>
    </w:tbl>
    <w:p w14:paraId="663AF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30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7D89C">
            <w:pPr>
              <w:pStyle w:val="11"/>
            </w:pPr>
            <w:r>
              <w:t>一级指标</w:t>
            </w:r>
          </w:p>
        </w:tc>
        <w:tc>
          <w:tcPr>
            <w:tcW w:w="2268" w:type="dxa"/>
            <w:vAlign w:val="center"/>
          </w:tcPr>
          <w:p w14:paraId="0F1647F5">
            <w:pPr>
              <w:pStyle w:val="11"/>
            </w:pPr>
            <w:r>
              <w:t>二级指标</w:t>
            </w:r>
          </w:p>
        </w:tc>
        <w:tc>
          <w:tcPr>
            <w:tcW w:w="2835" w:type="dxa"/>
            <w:vAlign w:val="center"/>
          </w:tcPr>
          <w:p w14:paraId="7CE34CBF">
            <w:pPr>
              <w:pStyle w:val="11"/>
            </w:pPr>
            <w:r>
              <w:t>三级指标</w:t>
            </w:r>
          </w:p>
        </w:tc>
        <w:tc>
          <w:tcPr>
            <w:tcW w:w="5386" w:type="dxa"/>
            <w:vAlign w:val="center"/>
          </w:tcPr>
          <w:p w14:paraId="3611AE54">
            <w:pPr>
              <w:pStyle w:val="11"/>
            </w:pPr>
            <w:r>
              <w:t>绩效指标描述</w:t>
            </w:r>
          </w:p>
        </w:tc>
        <w:tc>
          <w:tcPr>
            <w:tcW w:w="2268" w:type="dxa"/>
            <w:vAlign w:val="center"/>
          </w:tcPr>
          <w:p w14:paraId="25F34A37">
            <w:pPr>
              <w:pStyle w:val="11"/>
            </w:pPr>
            <w:r>
              <w:t>指标值</w:t>
            </w:r>
          </w:p>
        </w:tc>
        <w:tc>
          <w:tcPr>
            <w:tcW w:w="1276" w:type="dxa"/>
            <w:vAlign w:val="center"/>
          </w:tcPr>
          <w:p w14:paraId="2DB59D2D">
            <w:pPr>
              <w:pStyle w:val="11"/>
            </w:pPr>
            <w:r>
              <w:t>指标值确定依据</w:t>
            </w:r>
          </w:p>
        </w:tc>
      </w:tr>
      <w:tr w14:paraId="0C09B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8D1C3">
            <w:pPr>
              <w:pStyle w:val="12"/>
            </w:pPr>
            <w:r>
              <w:t>产出指标</w:t>
            </w:r>
          </w:p>
        </w:tc>
        <w:tc>
          <w:tcPr>
            <w:tcW w:w="2268" w:type="dxa"/>
            <w:vAlign w:val="center"/>
          </w:tcPr>
          <w:p w14:paraId="5ED9BFAF">
            <w:pPr>
              <w:pStyle w:val="13"/>
            </w:pPr>
            <w:r>
              <w:t>数量指标</w:t>
            </w:r>
          </w:p>
        </w:tc>
        <w:tc>
          <w:tcPr>
            <w:tcW w:w="2835" w:type="dxa"/>
            <w:vAlign w:val="center"/>
          </w:tcPr>
          <w:p w14:paraId="4B6E12A1">
            <w:pPr>
              <w:pStyle w:val="13"/>
            </w:pPr>
            <w:r>
              <w:t>适龄在校生</w:t>
            </w:r>
          </w:p>
        </w:tc>
        <w:tc>
          <w:tcPr>
            <w:tcW w:w="5386" w:type="dxa"/>
            <w:vAlign w:val="center"/>
          </w:tcPr>
          <w:p w14:paraId="46D4A382">
            <w:pPr>
              <w:pStyle w:val="13"/>
            </w:pPr>
            <w:r>
              <w:t>适龄在校就读学生人数</w:t>
            </w:r>
          </w:p>
        </w:tc>
        <w:tc>
          <w:tcPr>
            <w:tcW w:w="2268" w:type="dxa"/>
            <w:vAlign w:val="center"/>
          </w:tcPr>
          <w:p w14:paraId="4D50B140">
            <w:pPr>
              <w:pStyle w:val="13"/>
            </w:pPr>
            <w:r>
              <w:t>113人</w:t>
            </w:r>
          </w:p>
        </w:tc>
        <w:tc>
          <w:tcPr>
            <w:tcW w:w="1276" w:type="dxa"/>
            <w:vAlign w:val="center"/>
          </w:tcPr>
          <w:p w14:paraId="0FD053D7">
            <w:pPr>
              <w:pStyle w:val="13"/>
            </w:pPr>
            <w:r>
              <w:t>城乡义务教育公用经费管理办法</w:t>
            </w:r>
          </w:p>
        </w:tc>
      </w:tr>
      <w:tr w14:paraId="16EE7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C0E68"/>
        </w:tc>
        <w:tc>
          <w:tcPr>
            <w:tcW w:w="2268" w:type="dxa"/>
            <w:vAlign w:val="center"/>
          </w:tcPr>
          <w:p w14:paraId="6B119BEE">
            <w:pPr>
              <w:pStyle w:val="13"/>
            </w:pPr>
            <w:r>
              <w:t>质量指标</w:t>
            </w:r>
          </w:p>
        </w:tc>
        <w:tc>
          <w:tcPr>
            <w:tcW w:w="2835" w:type="dxa"/>
            <w:vAlign w:val="center"/>
          </w:tcPr>
          <w:p w14:paraId="75AC740E">
            <w:pPr>
              <w:pStyle w:val="13"/>
            </w:pPr>
            <w:r>
              <w:t>预算控制率</w:t>
            </w:r>
          </w:p>
        </w:tc>
        <w:tc>
          <w:tcPr>
            <w:tcW w:w="5386" w:type="dxa"/>
            <w:vAlign w:val="center"/>
          </w:tcPr>
          <w:p w14:paraId="01B2272D">
            <w:pPr>
              <w:pStyle w:val="13"/>
            </w:pPr>
            <w:r>
              <w:t>预算执行</w:t>
            </w:r>
          </w:p>
        </w:tc>
        <w:tc>
          <w:tcPr>
            <w:tcW w:w="2268" w:type="dxa"/>
            <w:vAlign w:val="center"/>
          </w:tcPr>
          <w:p w14:paraId="14C1AA36">
            <w:pPr>
              <w:pStyle w:val="13"/>
            </w:pPr>
            <w:r>
              <w:t>≥95%</w:t>
            </w:r>
          </w:p>
        </w:tc>
        <w:tc>
          <w:tcPr>
            <w:tcW w:w="1276" w:type="dxa"/>
            <w:vAlign w:val="center"/>
          </w:tcPr>
          <w:p w14:paraId="17FFAEE0">
            <w:pPr>
              <w:pStyle w:val="13"/>
            </w:pPr>
            <w:r>
              <w:t>城乡义务教育公用经费管理办法</w:t>
            </w:r>
          </w:p>
        </w:tc>
      </w:tr>
      <w:tr w14:paraId="7CEC7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EA91C"/>
        </w:tc>
        <w:tc>
          <w:tcPr>
            <w:tcW w:w="2268" w:type="dxa"/>
            <w:vAlign w:val="center"/>
          </w:tcPr>
          <w:p w14:paraId="2F9809D7">
            <w:pPr>
              <w:pStyle w:val="13"/>
            </w:pPr>
            <w:r>
              <w:t>时效指标</w:t>
            </w:r>
          </w:p>
        </w:tc>
        <w:tc>
          <w:tcPr>
            <w:tcW w:w="2835" w:type="dxa"/>
            <w:vAlign w:val="center"/>
          </w:tcPr>
          <w:p w14:paraId="0988F091">
            <w:pPr>
              <w:pStyle w:val="13"/>
            </w:pPr>
            <w:r>
              <w:t>资金支付率</w:t>
            </w:r>
          </w:p>
        </w:tc>
        <w:tc>
          <w:tcPr>
            <w:tcW w:w="5386" w:type="dxa"/>
            <w:vAlign w:val="center"/>
          </w:tcPr>
          <w:p w14:paraId="06235F36">
            <w:pPr>
              <w:pStyle w:val="13"/>
            </w:pPr>
            <w:r>
              <w:t>按照序时进度完成资金支付</w:t>
            </w:r>
          </w:p>
        </w:tc>
        <w:tc>
          <w:tcPr>
            <w:tcW w:w="2268" w:type="dxa"/>
            <w:vAlign w:val="center"/>
          </w:tcPr>
          <w:p w14:paraId="6EC7F68C">
            <w:pPr>
              <w:pStyle w:val="13"/>
            </w:pPr>
            <w:r>
              <w:t>≥100%</w:t>
            </w:r>
          </w:p>
        </w:tc>
        <w:tc>
          <w:tcPr>
            <w:tcW w:w="1276" w:type="dxa"/>
            <w:vAlign w:val="center"/>
          </w:tcPr>
          <w:p w14:paraId="7F127F50">
            <w:pPr>
              <w:pStyle w:val="13"/>
            </w:pPr>
            <w:r>
              <w:t>城乡义务教育公用经费管理办法</w:t>
            </w:r>
          </w:p>
        </w:tc>
      </w:tr>
      <w:tr w14:paraId="219E7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19B79"/>
        </w:tc>
        <w:tc>
          <w:tcPr>
            <w:tcW w:w="2268" w:type="dxa"/>
            <w:vAlign w:val="center"/>
          </w:tcPr>
          <w:p w14:paraId="3EE371EE">
            <w:pPr>
              <w:pStyle w:val="13"/>
            </w:pPr>
            <w:r>
              <w:t>成本指标</w:t>
            </w:r>
          </w:p>
        </w:tc>
        <w:tc>
          <w:tcPr>
            <w:tcW w:w="2835" w:type="dxa"/>
            <w:vAlign w:val="center"/>
          </w:tcPr>
          <w:p w14:paraId="4B425DC3">
            <w:pPr>
              <w:pStyle w:val="13"/>
            </w:pPr>
            <w:r>
              <w:t>生均拨款标准</w:t>
            </w:r>
          </w:p>
        </w:tc>
        <w:tc>
          <w:tcPr>
            <w:tcW w:w="5386" w:type="dxa"/>
            <w:vAlign w:val="center"/>
          </w:tcPr>
          <w:p w14:paraId="4947057E">
            <w:pPr>
              <w:pStyle w:val="13"/>
            </w:pPr>
            <w:r>
              <w:t>小学：（基本标准720元、寄宿生300元、取暖120元）/生/学年；随班就读学生：标准6000元/生/学年。</w:t>
            </w:r>
          </w:p>
        </w:tc>
        <w:tc>
          <w:tcPr>
            <w:tcW w:w="2268" w:type="dxa"/>
            <w:vAlign w:val="center"/>
          </w:tcPr>
          <w:p w14:paraId="4F468183">
            <w:pPr>
              <w:pStyle w:val="13"/>
            </w:pPr>
            <w:r>
              <w:t>64260元</w:t>
            </w:r>
          </w:p>
        </w:tc>
        <w:tc>
          <w:tcPr>
            <w:tcW w:w="1276" w:type="dxa"/>
            <w:vAlign w:val="center"/>
          </w:tcPr>
          <w:p w14:paraId="6EF70082">
            <w:pPr>
              <w:pStyle w:val="13"/>
            </w:pPr>
            <w:r>
              <w:t>城乡义务教育公用经费管理办法</w:t>
            </w:r>
          </w:p>
        </w:tc>
      </w:tr>
      <w:tr w14:paraId="3BE0D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9680B1">
            <w:pPr>
              <w:pStyle w:val="12"/>
            </w:pPr>
            <w:r>
              <w:t>效益指标</w:t>
            </w:r>
          </w:p>
        </w:tc>
        <w:tc>
          <w:tcPr>
            <w:tcW w:w="2268" w:type="dxa"/>
            <w:vAlign w:val="center"/>
          </w:tcPr>
          <w:p w14:paraId="6C4987CF">
            <w:pPr>
              <w:pStyle w:val="13"/>
            </w:pPr>
            <w:r>
              <w:t>可持续影响指标</w:t>
            </w:r>
          </w:p>
        </w:tc>
        <w:tc>
          <w:tcPr>
            <w:tcW w:w="2835" w:type="dxa"/>
            <w:vAlign w:val="center"/>
          </w:tcPr>
          <w:p w14:paraId="084DD6D2">
            <w:pPr>
              <w:pStyle w:val="13"/>
            </w:pPr>
            <w:r>
              <w:t>教育发展水平明显好转</w:t>
            </w:r>
          </w:p>
        </w:tc>
        <w:tc>
          <w:tcPr>
            <w:tcW w:w="5386" w:type="dxa"/>
            <w:vAlign w:val="center"/>
          </w:tcPr>
          <w:p w14:paraId="5769F0B3">
            <w:pPr>
              <w:pStyle w:val="13"/>
            </w:pPr>
            <w:r>
              <w:t>学生受教育年限</w:t>
            </w:r>
          </w:p>
        </w:tc>
        <w:tc>
          <w:tcPr>
            <w:tcW w:w="2268" w:type="dxa"/>
            <w:vAlign w:val="center"/>
          </w:tcPr>
          <w:p w14:paraId="07C11790">
            <w:pPr>
              <w:pStyle w:val="13"/>
            </w:pPr>
            <w:r>
              <w:t>6年</w:t>
            </w:r>
          </w:p>
        </w:tc>
        <w:tc>
          <w:tcPr>
            <w:tcW w:w="1276" w:type="dxa"/>
            <w:vAlign w:val="center"/>
          </w:tcPr>
          <w:p w14:paraId="144A94C7">
            <w:pPr>
              <w:pStyle w:val="13"/>
            </w:pPr>
            <w:r>
              <w:t>城乡义务教育公用经费管理办法</w:t>
            </w:r>
          </w:p>
        </w:tc>
      </w:tr>
      <w:tr w14:paraId="2732D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3323E">
            <w:pPr>
              <w:pStyle w:val="12"/>
            </w:pPr>
            <w:r>
              <w:t>满意度指标</w:t>
            </w:r>
          </w:p>
        </w:tc>
        <w:tc>
          <w:tcPr>
            <w:tcW w:w="2268" w:type="dxa"/>
            <w:vAlign w:val="center"/>
          </w:tcPr>
          <w:p w14:paraId="1D5507A0">
            <w:pPr>
              <w:pStyle w:val="13"/>
            </w:pPr>
            <w:r>
              <w:t>服务对象满意度指标</w:t>
            </w:r>
          </w:p>
        </w:tc>
        <w:tc>
          <w:tcPr>
            <w:tcW w:w="2835" w:type="dxa"/>
            <w:vAlign w:val="center"/>
          </w:tcPr>
          <w:p w14:paraId="40061702">
            <w:pPr>
              <w:pStyle w:val="13"/>
            </w:pPr>
            <w:r>
              <w:t>受益学生家长及调查满意度</w:t>
            </w:r>
          </w:p>
        </w:tc>
        <w:tc>
          <w:tcPr>
            <w:tcW w:w="5386" w:type="dxa"/>
            <w:vAlign w:val="center"/>
          </w:tcPr>
          <w:p w14:paraId="552407A3">
            <w:pPr>
              <w:pStyle w:val="13"/>
            </w:pPr>
            <w:r>
              <w:t>学生、教师及家长对学校教育教学工作满意度情况</w:t>
            </w:r>
          </w:p>
        </w:tc>
        <w:tc>
          <w:tcPr>
            <w:tcW w:w="2268" w:type="dxa"/>
            <w:vAlign w:val="center"/>
          </w:tcPr>
          <w:p w14:paraId="5BF77B89">
            <w:pPr>
              <w:pStyle w:val="13"/>
            </w:pPr>
            <w:r>
              <w:t>≥95%</w:t>
            </w:r>
          </w:p>
        </w:tc>
        <w:tc>
          <w:tcPr>
            <w:tcW w:w="1276" w:type="dxa"/>
            <w:vAlign w:val="center"/>
          </w:tcPr>
          <w:p w14:paraId="434713D7">
            <w:pPr>
              <w:pStyle w:val="13"/>
            </w:pPr>
            <w:r>
              <w:t>调查问卷</w:t>
            </w:r>
          </w:p>
        </w:tc>
      </w:tr>
    </w:tbl>
    <w:p w14:paraId="2BF712A2">
      <w:pPr>
        <w:sectPr>
          <w:pgSz w:w="16840" w:h="11900" w:orient="landscape"/>
          <w:pgMar w:top="1361" w:right="1020" w:bottom="1134" w:left="1020" w:header="720" w:footer="720" w:gutter="0"/>
          <w:cols w:space="720" w:num="1"/>
        </w:sectPr>
      </w:pPr>
    </w:p>
    <w:p w14:paraId="62501AE6">
      <w:pPr>
        <w:spacing w:before="0" w:after="0"/>
        <w:ind w:firstLine="560"/>
        <w:jc w:val="left"/>
        <w:outlineLvl w:val="9"/>
      </w:pPr>
      <w:r>
        <w:rPr>
          <w:rFonts w:ascii="方正仿宋_GBK" w:hAnsi="方正仿宋_GBK" w:eastAsia="方正仿宋_GBK" w:cs="方正仿宋_GBK"/>
          <w:b/>
          <w:color w:val="000000"/>
          <w:sz w:val="28"/>
        </w:rPr>
        <w:t>138、县级配套/隆尧县启明学校公用经费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A1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F938F">
            <w:pPr>
              <w:pStyle w:val="14"/>
            </w:pPr>
            <w:r>
              <w:t>单位：万元</w:t>
            </w:r>
          </w:p>
        </w:tc>
      </w:tr>
      <w:tr w14:paraId="47F7B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FB43C">
            <w:pPr>
              <w:pStyle w:val="11"/>
            </w:pPr>
            <w:r>
              <w:t>项目编码</w:t>
            </w:r>
          </w:p>
        </w:tc>
        <w:tc>
          <w:tcPr>
            <w:tcW w:w="5103" w:type="dxa"/>
            <w:gridSpan w:val="2"/>
            <w:vAlign w:val="center"/>
          </w:tcPr>
          <w:p w14:paraId="7871ACDF">
            <w:pPr>
              <w:pStyle w:val="13"/>
            </w:pPr>
            <w:r>
              <w:t>13052525P000004100246</w:t>
            </w:r>
          </w:p>
        </w:tc>
        <w:tc>
          <w:tcPr>
            <w:tcW w:w="2835" w:type="dxa"/>
            <w:vAlign w:val="center"/>
          </w:tcPr>
          <w:p w14:paraId="7378F452">
            <w:pPr>
              <w:pStyle w:val="11"/>
            </w:pPr>
            <w:r>
              <w:t>项目名称</w:t>
            </w:r>
          </w:p>
        </w:tc>
        <w:tc>
          <w:tcPr>
            <w:tcW w:w="6095" w:type="dxa"/>
            <w:gridSpan w:val="3"/>
            <w:vAlign w:val="center"/>
          </w:tcPr>
          <w:p w14:paraId="1DF500A5">
            <w:pPr>
              <w:pStyle w:val="13"/>
            </w:pPr>
            <w:r>
              <w:t>县级配套/隆尧县启明学校公用经费</w:t>
            </w:r>
            <w:r>
              <w:tab/>
            </w:r>
          </w:p>
        </w:tc>
      </w:tr>
      <w:tr w14:paraId="7521D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B0285">
            <w:pPr>
              <w:pStyle w:val="11"/>
            </w:pPr>
            <w:r>
              <w:t>预算规模及资金用途</w:t>
            </w:r>
          </w:p>
        </w:tc>
        <w:tc>
          <w:tcPr>
            <w:tcW w:w="2268" w:type="dxa"/>
            <w:vAlign w:val="center"/>
          </w:tcPr>
          <w:p w14:paraId="7B92A90B">
            <w:pPr>
              <w:pStyle w:val="11"/>
            </w:pPr>
            <w:r>
              <w:t>预算数</w:t>
            </w:r>
          </w:p>
        </w:tc>
        <w:tc>
          <w:tcPr>
            <w:tcW w:w="2835" w:type="dxa"/>
            <w:vAlign w:val="center"/>
          </w:tcPr>
          <w:p w14:paraId="5587F8DB">
            <w:pPr>
              <w:pStyle w:val="13"/>
            </w:pPr>
            <w:r>
              <w:t>2.91</w:t>
            </w:r>
          </w:p>
        </w:tc>
        <w:tc>
          <w:tcPr>
            <w:tcW w:w="2835" w:type="dxa"/>
            <w:vAlign w:val="center"/>
          </w:tcPr>
          <w:p w14:paraId="30E5757A">
            <w:pPr>
              <w:pStyle w:val="11"/>
            </w:pPr>
            <w:r>
              <w:t>其中：财政    资金</w:t>
            </w:r>
          </w:p>
        </w:tc>
        <w:tc>
          <w:tcPr>
            <w:tcW w:w="2551" w:type="dxa"/>
            <w:vAlign w:val="center"/>
          </w:tcPr>
          <w:p w14:paraId="62C4B7A1">
            <w:pPr>
              <w:pStyle w:val="13"/>
            </w:pPr>
            <w:r>
              <w:t>2.91</w:t>
            </w:r>
          </w:p>
        </w:tc>
        <w:tc>
          <w:tcPr>
            <w:tcW w:w="2268" w:type="dxa"/>
            <w:vAlign w:val="center"/>
          </w:tcPr>
          <w:p w14:paraId="034D1AE3">
            <w:pPr>
              <w:pStyle w:val="11"/>
            </w:pPr>
            <w:r>
              <w:t>其他资金</w:t>
            </w:r>
          </w:p>
        </w:tc>
        <w:tc>
          <w:tcPr>
            <w:tcW w:w="1276" w:type="dxa"/>
            <w:vAlign w:val="center"/>
          </w:tcPr>
          <w:p w14:paraId="4734EAED">
            <w:pPr>
              <w:pStyle w:val="13"/>
            </w:pPr>
            <w:r>
              <w:t xml:space="preserve"> </w:t>
            </w:r>
          </w:p>
        </w:tc>
      </w:tr>
      <w:tr w14:paraId="58B22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6E20D"/>
        </w:tc>
        <w:tc>
          <w:tcPr>
            <w:tcW w:w="14033" w:type="dxa"/>
            <w:gridSpan w:val="6"/>
            <w:vAlign w:val="center"/>
          </w:tcPr>
          <w:p w14:paraId="5B5558CC">
            <w:pPr>
              <w:pStyle w:val="13"/>
            </w:pPr>
            <w:r>
              <w:t>保障义务教育学校正常运转，完成教育教学活动和其他日常工作任务等方面的费用支出。</w:t>
            </w:r>
          </w:p>
        </w:tc>
      </w:tr>
      <w:tr w14:paraId="1D0E6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3E31A">
            <w:pPr>
              <w:pStyle w:val="11"/>
            </w:pPr>
            <w:r>
              <w:t>资金支出计划（%）</w:t>
            </w:r>
          </w:p>
        </w:tc>
        <w:tc>
          <w:tcPr>
            <w:tcW w:w="5103" w:type="dxa"/>
            <w:gridSpan w:val="2"/>
            <w:vAlign w:val="center"/>
          </w:tcPr>
          <w:p w14:paraId="3C5DC7FD">
            <w:pPr>
              <w:pStyle w:val="11"/>
            </w:pPr>
            <w:r>
              <w:t>3月底</w:t>
            </w:r>
          </w:p>
        </w:tc>
        <w:tc>
          <w:tcPr>
            <w:tcW w:w="2835" w:type="dxa"/>
            <w:vAlign w:val="center"/>
          </w:tcPr>
          <w:p w14:paraId="05847788">
            <w:pPr>
              <w:pStyle w:val="11"/>
            </w:pPr>
            <w:r>
              <w:t>6月底</w:t>
            </w:r>
          </w:p>
        </w:tc>
        <w:tc>
          <w:tcPr>
            <w:tcW w:w="2551" w:type="dxa"/>
            <w:vAlign w:val="center"/>
          </w:tcPr>
          <w:p w14:paraId="41654A66">
            <w:pPr>
              <w:pStyle w:val="11"/>
            </w:pPr>
            <w:r>
              <w:t>10月底</w:t>
            </w:r>
          </w:p>
        </w:tc>
        <w:tc>
          <w:tcPr>
            <w:tcW w:w="3544" w:type="dxa"/>
            <w:gridSpan w:val="2"/>
            <w:vAlign w:val="center"/>
          </w:tcPr>
          <w:p w14:paraId="6836170D">
            <w:pPr>
              <w:pStyle w:val="11"/>
            </w:pPr>
            <w:r>
              <w:t>12月底</w:t>
            </w:r>
          </w:p>
        </w:tc>
      </w:tr>
      <w:tr w14:paraId="3194B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87729B"/>
        </w:tc>
        <w:tc>
          <w:tcPr>
            <w:tcW w:w="5103" w:type="dxa"/>
            <w:gridSpan w:val="2"/>
            <w:vAlign w:val="center"/>
          </w:tcPr>
          <w:p w14:paraId="152D85C7">
            <w:pPr>
              <w:pStyle w:val="12"/>
            </w:pPr>
            <w:r>
              <w:t xml:space="preserve"> </w:t>
            </w:r>
          </w:p>
        </w:tc>
        <w:tc>
          <w:tcPr>
            <w:tcW w:w="2835" w:type="dxa"/>
            <w:vAlign w:val="center"/>
          </w:tcPr>
          <w:p w14:paraId="2E10F192">
            <w:pPr>
              <w:pStyle w:val="12"/>
            </w:pPr>
            <w:r>
              <w:t xml:space="preserve"> </w:t>
            </w:r>
          </w:p>
        </w:tc>
        <w:tc>
          <w:tcPr>
            <w:tcW w:w="2551" w:type="dxa"/>
            <w:vAlign w:val="center"/>
          </w:tcPr>
          <w:p w14:paraId="5A22DD94">
            <w:pPr>
              <w:pStyle w:val="12"/>
            </w:pPr>
            <w:r>
              <w:t xml:space="preserve"> </w:t>
            </w:r>
          </w:p>
        </w:tc>
        <w:tc>
          <w:tcPr>
            <w:tcW w:w="3544" w:type="dxa"/>
            <w:gridSpan w:val="2"/>
            <w:vAlign w:val="center"/>
          </w:tcPr>
          <w:p w14:paraId="0FF8F62B">
            <w:pPr>
              <w:pStyle w:val="12"/>
            </w:pPr>
            <w:r>
              <w:t>100%</w:t>
            </w:r>
          </w:p>
        </w:tc>
      </w:tr>
      <w:tr w14:paraId="03147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9685FC">
            <w:pPr>
              <w:pStyle w:val="11"/>
            </w:pPr>
            <w:r>
              <w:t>绩效目标</w:t>
            </w:r>
          </w:p>
        </w:tc>
        <w:tc>
          <w:tcPr>
            <w:tcW w:w="14033" w:type="dxa"/>
            <w:gridSpan w:val="6"/>
            <w:vAlign w:val="center"/>
          </w:tcPr>
          <w:p w14:paraId="39463B55">
            <w:pPr>
              <w:pStyle w:val="13"/>
            </w:pPr>
            <w:r>
              <w:t>1.保障义务教育学校正常运转，完成教育教学活动和其他日常工作任务等方面的费用支出。</w:t>
            </w:r>
            <w:r>
              <w:tab/>
            </w:r>
            <w:r>
              <w:tab/>
            </w:r>
            <w:r>
              <w:tab/>
            </w:r>
            <w:r>
              <w:tab/>
            </w:r>
            <w:r>
              <w:tab/>
            </w:r>
            <w:r>
              <w:tab/>
            </w:r>
          </w:p>
          <w:p w14:paraId="5A2B9E22">
            <w:pPr>
              <w:pStyle w:val="13"/>
            </w:pPr>
          </w:p>
        </w:tc>
      </w:tr>
    </w:tbl>
    <w:p w14:paraId="7F814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70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30AC7">
            <w:pPr>
              <w:pStyle w:val="11"/>
            </w:pPr>
            <w:r>
              <w:t>一级指标</w:t>
            </w:r>
          </w:p>
        </w:tc>
        <w:tc>
          <w:tcPr>
            <w:tcW w:w="2268" w:type="dxa"/>
            <w:vAlign w:val="center"/>
          </w:tcPr>
          <w:p w14:paraId="1AF1660A">
            <w:pPr>
              <w:pStyle w:val="11"/>
            </w:pPr>
            <w:r>
              <w:t>二级指标</w:t>
            </w:r>
          </w:p>
        </w:tc>
        <w:tc>
          <w:tcPr>
            <w:tcW w:w="2835" w:type="dxa"/>
            <w:vAlign w:val="center"/>
          </w:tcPr>
          <w:p w14:paraId="4F300779">
            <w:pPr>
              <w:pStyle w:val="11"/>
            </w:pPr>
            <w:r>
              <w:t>三级指标</w:t>
            </w:r>
          </w:p>
        </w:tc>
        <w:tc>
          <w:tcPr>
            <w:tcW w:w="5386" w:type="dxa"/>
            <w:vAlign w:val="center"/>
          </w:tcPr>
          <w:p w14:paraId="5E5C025E">
            <w:pPr>
              <w:pStyle w:val="11"/>
            </w:pPr>
            <w:r>
              <w:t>绩效指标描述</w:t>
            </w:r>
          </w:p>
        </w:tc>
        <w:tc>
          <w:tcPr>
            <w:tcW w:w="2268" w:type="dxa"/>
            <w:vAlign w:val="center"/>
          </w:tcPr>
          <w:p w14:paraId="0F8363FC">
            <w:pPr>
              <w:pStyle w:val="11"/>
            </w:pPr>
            <w:r>
              <w:t>指标值</w:t>
            </w:r>
          </w:p>
        </w:tc>
        <w:tc>
          <w:tcPr>
            <w:tcW w:w="1276" w:type="dxa"/>
            <w:vAlign w:val="center"/>
          </w:tcPr>
          <w:p w14:paraId="5786BA94">
            <w:pPr>
              <w:pStyle w:val="11"/>
            </w:pPr>
            <w:r>
              <w:t>指标值确定依据</w:t>
            </w:r>
          </w:p>
        </w:tc>
      </w:tr>
      <w:tr w14:paraId="698E4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6FDC8">
            <w:pPr>
              <w:pStyle w:val="12"/>
            </w:pPr>
            <w:r>
              <w:t>产出指标</w:t>
            </w:r>
          </w:p>
        </w:tc>
        <w:tc>
          <w:tcPr>
            <w:tcW w:w="2268" w:type="dxa"/>
            <w:vAlign w:val="center"/>
          </w:tcPr>
          <w:p w14:paraId="4160D1EB">
            <w:pPr>
              <w:pStyle w:val="13"/>
            </w:pPr>
            <w:r>
              <w:t>数量指标</w:t>
            </w:r>
          </w:p>
        </w:tc>
        <w:tc>
          <w:tcPr>
            <w:tcW w:w="2835" w:type="dxa"/>
            <w:vAlign w:val="center"/>
          </w:tcPr>
          <w:p w14:paraId="34BBA031">
            <w:pPr>
              <w:pStyle w:val="13"/>
            </w:pPr>
            <w:r>
              <w:t>适龄在校生</w:t>
            </w:r>
          </w:p>
        </w:tc>
        <w:tc>
          <w:tcPr>
            <w:tcW w:w="5386" w:type="dxa"/>
            <w:vAlign w:val="center"/>
          </w:tcPr>
          <w:p w14:paraId="24712414">
            <w:pPr>
              <w:pStyle w:val="13"/>
            </w:pPr>
            <w:r>
              <w:t>适龄在校就读学生人数</w:t>
            </w:r>
          </w:p>
        </w:tc>
        <w:tc>
          <w:tcPr>
            <w:tcW w:w="2268" w:type="dxa"/>
            <w:vAlign w:val="center"/>
          </w:tcPr>
          <w:p w14:paraId="1B248037">
            <w:pPr>
              <w:pStyle w:val="13"/>
            </w:pPr>
            <w:r>
              <w:t>51人</w:t>
            </w:r>
          </w:p>
        </w:tc>
        <w:tc>
          <w:tcPr>
            <w:tcW w:w="1276" w:type="dxa"/>
            <w:vAlign w:val="center"/>
          </w:tcPr>
          <w:p w14:paraId="110A1C6E">
            <w:pPr>
              <w:pStyle w:val="13"/>
            </w:pPr>
            <w:r>
              <w:t>城乡义务教育公用经费管理办法</w:t>
            </w:r>
          </w:p>
        </w:tc>
      </w:tr>
      <w:tr w14:paraId="5AF25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CE95E"/>
        </w:tc>
        <w:tc>
          <w:tcPr>
            <w:tcW w:w="2268" w:type="dxa"/>
            <w:vAlign w:val="center"/>
          </w:tcPr>
          <w:p w14:paraId="453C6E45">
            <w:pPr>
              <w:pStyle w:val="13"/>
            </w:pPr>
            <w:r>
              <w:t>质量指标</w:t>
            </w:r>
          </w:p>
        </w:tc>
        <w:tc>
          <w:tcPr>
            <w:tcW w:w="2835" w:type="dxa"/>
            <w:vAlign w:val="center"/>
          </w:tcPr>
          <w:p w14:paraId="2814EEE2">
            <w:pPr>
              <w:pStyle w:val="13"/>
            </w:pPr>
            <w:r>
              <w:t>预算控制率</w:t>
            </w:r>
          </w:p>
        </w:tc>
        <w:tc>
          <w:tcPr>
            <w:tcW w:w="5386" w:type="dxa"/>
            <w:vAlign w:val="center"/>
          </w:tcPr>
          <w:p w14:paraId="51032DBF">
            <w:pPr>
              <w:pStyle w:val="13"/>
            </w:pPr>
            <w:r>
              <w:t>预算执行</w:t>
            </w:r>
          </w:p>
        </w:tc>
        <w:tc>
          <w:tcPr>
            <w:tcW w:w="2268" w:type="dxa"/>
            <w:vAlign w:val="center"/>
          </w:tcPr>
          <w:p w14:paraId="428D0894">
            <w:pPr>
              <w:pStyle w:val="13"/>
            </w:pPr>
            <w:r>
              <w:t>≥95%</w:t>
            </w:r>
          </w:p>
        </w:tc>
        <w:tc>
          <w:tcPr>
            <w:tcW w:w="1276" w:type="dxa"/>
            <w:vAlign w:val="center"/>
          </w:tcPr>
          <w:p w14:paraId="176AA522">
            <w:pPr>
              <w:pStyle w:val="13"/>
            </w:pPr>
            <w:r>
              <w:t>城乡义务教育公用经费管理办法</w:t>
            </w:r>
          </w:p>
        </w:tc>
      </w:tr>
      <w:tr w14:paraId="57F05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11743"/>
        </w:tc>
        <w:tc>
          <w:tcPr>
            <w:tcW w:w="2268" w:type="dxa"/>
            <w:vAlign w:val="center"/>
          </w:tcPr>
          <w:p w14:paraId="4FBA0BAF">
            <w:pPr>
              <w:pStyle w:val="13"/>
            </w:pPr>
            <w:r>
              <w:t>时效指标</w:t>
            </w:r>
          </w:p>
        </w:tc>
        <w:tc>
          <w:tcPr>
            <w:tcW w:w="2835" w:type="dxa"/>
            <w:vAlign w:val="center"/>
          </w:tcPr>
          <w:p w14:paraId="497F6EFE">
            <w:pPr>
              <w:pStyle w:val="13"/>
            </w:pPr>
            <w:r>
              <w:t>资金支付率</w:t>
            </w:r>
          </w:p>
        </w:tc>
        <w:tc>
          <w:tcPr>
            <w:tcW w:w="5386" w:type="dxa"/>
            <w:vAlign w:val="center"/>
          </w:tcPr>
          <w:p w14:paraId="3E12F729">
            <w:pPr>
              <w:pStyle w:val="13"/>
            </w:pPr>
            <w:r>
              <w:t>按照序时进度完成资金支付</w:t>
            </w:r>
          </w:p>
        </w:tc>
        <w:tc>
          <w:tcPr>
            <w:tcW w:w="2268" w:type="dxa"/>
            <w:vAlign w:val="center"/>
          </w:tcPr>
          <w:p w14:paraId="3BCEE6EB">
            <w:pPr>
              <w:pStyle w:val="13"/>
            </w:pPr>
            <w:r>
              <w:t>≥100%</w:t>
            </w:r>
          </w:p>
        </w:tc>
        <w:tc>
          <w:tcPr>
            <w:tcW w:w="1276" w:type="dxa"/>
            <w:vAlign w:val="center"/>
          </w:tcPr>
          <w:p w14:paraId="455348DD">
            <w:pPr>
              <w:pStyle w:val="13"/>
            </w:pPr>
            <w:r>
              <w:t>城乡义务教育公用经费管理办法</w:t>
            </w:r>
          </w:p>
        </w:tc>
      </w:tr>
      <w:tr w14:paraId="7308A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4C3F6"/>
        </w:tc>
        <w:tc>
          <w:tcPr>
            <w:tcW w:w="2268" w:type="dxa"/>
            <w:vAlign w:val="center"/>
          </w:tcPr>
          <w:p w14:paraId="625BA217">
            <w:pPr>
              <w:pStyle w:val="13"/>
            </w:pPr>
            <w:r>
              <w:t>成本指标</w:t>
            </w:r>
          </w:p>
        </w:tc>
        <w:tc>
          <w:tcPr>
            <w:tcW w:w="2835" w:type="dxa"/>
            <w:vAlign w:val="center"/>
          </w:tcPr>
          <w:p w14:paraId="407FBD59">
            <w:pPr>
              <w:pStyle w:val="13"/>
            </w:pPr>
            <w:r>
              <w:t>生均拨款标准</w:t>
            </w:r>
          </w:p>
        </w:tc>
        <w:tc>
          <w:tcPr>
            <w:tcW w:w="5386" w:type="dxa"/>
            <w:vAlign w:val="center"/>
          </w:tcPr>
          <w:p w14:paraId="24995B91">
            <w:pPr>
              <w:pStyle w:val="13"/>
            </w:pPr>
            <w:r>
              <w:t>小学：（基本标准720元、寄宿生300元、取暖120元）/生/学年；随班就读学生：标准6000元/生/学年。</w:t>
            </w:r>
          </w:p>
        </w:tc>
        <w:tc>
          <w:tcPr>
            <w:tcW w:w="2268" w:type="dxa"/>
            <w:vAlign w:val="center"/>
          </w:tcPr>
          <w:p w14:paraId="1464485D">
            <w:pPr>
              <w:pStyle w:val="13"/>
            </w:pPr>
            <w:r>
              <w:t>29070元</w:t>
            </w:r>
          </w:p>
        </w:tc>
        <w:tc>
          <w:tcPr>
            <w:tcW w:w="1276" w:type="dxa"/>
            <w:vAlign w:val="center"/>
          </w:tcPr>
          <w:p w14:paraId="31ED3DAD">
            <w:pPr>
              <w:pStyle w:val="13"/>
            </w:pPr>
            <w:r>
              <w:t>城乡义务教育公用经费管理办法</w:t>
            </w:r>
          </w:p>
        </w:tc>
      </w:tr>
      <w:tr w14:paraId="288BC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6EDE3E">
            <w:pPr>
              <w:pStyle w:val="12"/>
            </w:pPr>
            <w:r>
              <w:t>效益指标</w:t>
            </w:r>
          </w:p>
        </w:tc>
        <w:tc>
          <w:tcPr>
            <w:tcW w:w="2268" w:type="dxa"/>
            <w:vAlign w:val="center"/>
          </w:tcPr>
          <w:p w14:paraId="47BA2C05">
            <w:pPr>
              <w:pStyle w:val="13"/>
            </w:pPr>
            <w:r>
              <w:t>可持续影响指标</w:t>
            </w:r>
          </w:p>
        </w:tc>
        <w:tc>
          <w:tcPr>
            <w:tcW w:w="2835" w:type="dxa"/>
            <w:vAlign w:val="center"/>
          </w:tcPr>
          <w:p w14:paraId="3B704587">
            <w:pPr>
              <w:pStyle w:val="13"/>
            </w:pPr>
            <w:r>
              <w:t>教育发展水平明显好转</w:t>
            </w:r>
          </w:p>
        </w:tc>
        <w:tc>
          <w:tcPr>
            <w:tcW w:w="5386" w:type="dxa"/>
            <w:vAlign w:val="center"/>
          </w:tcPr>
          <w:p w14:paraId="4057E95E">
            <w:pPr>
              <w:pStyle w:val="13"/>
            </w:pPr>
            <w:r>
              <w:t>学生受教育年限</w:t>
            </w:r>
          </w:p>
        </w:tc>
        <w:tc>
          <w:tcPr>
            <w:tcW w:w="2268" w:type="dxa"/>
            <w:vAlign w:val="center"/>
          </w:tcPr>
          <w:p w14:paraId="3384021A">
            <w:pPr>
              <w:pStyle w:val="13"/>
            </w:pPr>
            <w:r>
              <w:t>6年</w:t>
            </w:r>
          </w:p>
        </w:tc>
        <w:tc>
          <w:tcPr>
            <w:tcW w:w="1276" w:type="dxa"/>
            <w:vAlign w:val="center"/>
          </w:tcPr>
          <w:p w14:paraId="23DC5F3A">
            <w:pPr>
              <w:pStyle w:val="13"/>
            </w:pPr>
            <w:r>
              <w:t>城乡义务教育公用经费管理办法</w:t>
            </w:r>
          </w:p>
        </w:tc>
      </w:tr>
      <w:tr w14:paraId="6D430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68DCA3">
            <w:pPr>
              <w:pStyle w:val="12"/>
            </w:pPr>
            <w:r>
              <w:t>满意度指标</w:t>
            </w:r>
          </w:p>
        </w:tc>
        <w:tc>
          <w:tcPr>
            <w:tcW w:w="2268" w:type="dxa"/>
            <w:vAlign w:val="center"/>
          </w:tcPr>
          <w:p w14:paraId="5D49CFB2">
            <w:pPr>
              <w:pStyle w:val="13"/>
            </w:pPr>
            <w:r>
              <w:t>服务对象满意度指标</w:t>
            </w:r>
          </w:p>
        </w:tc>
        <w:tc>
          <w:tcPr>
            <w:tcW w:w="2835" w:type="dxa"/>
            <w:vAlign w:val="center"/>
          </w:tcPr>
          <w:p w14:paraId="1E4A749F">
            <w:pPr>
              <w:pStyle w:val="13"/>
            </w:pPr>
            <w:r>
              <w:t>受益学生家长及调查满意度</w:t>
            </w:r>
          </w:p>
        </w:tc>
        <w:tc>
          <w:tcPr>
            <w:tcW w:w="5386" w:type="dxa"/>
            <w:vAlign w:val="center"/>
          </w:tcPr>
          <w:p w14:paraId="0603018D">
            <w:pPr>
              <w:pStyle w:val="13"/>
            </w:pPr>
            <w:r>
              <w:t>学生、教师及家长对学校教育教学工作满意度情况</w:t>
            </w:r>
          </w:p>
        </w:tc>
        <w:tc>
          <w:tcPr>
            <w:tcW w:w="2268" w:type="dxa"/>
            <w:vAlign w:val="center"/>
          </w:tcPr>
          <w:p w14:paraId="7E61C55B">
            <w:pPr>
              <w:pStyle w:val="13"/>
            </w:pPr>
            <w:r>
              <w:t>≥95%</w:t>
            </w:r>
          </w:p>
        </w:tc>
        <w:tc>
          <w:tcPr>
            <w:tcW w:w="1276" w:type="dxa"/>
            <w:vAlign w:val="center"/>
          </w:tcPr>
          <w:p w14:paraId="24B6E13C">
            <w:pPr>
              <w:pStyle w:val="13"/>
            </w:pPr>
            <w:r>
              <w:t>调查问卷</w:t>
            </w:r>
          </w:p>
        </w:tc>
      </w:tr>
    </w:tbl>
    <w:p w14:paraId="3DD3F4AE">
      <w:pPr>
        <w:sectPr>
          <w:pgSz w:w="16840" w:h="11900" w:orient="landscape"/>
          <w:pgMar w:top="1361" w:right="1020" w:bottom="1134" w:left="1020" w:header="720" w:footer="720" w:gutter="0"/>
          <w:cols w:space="720" w:num="1"/>
        </w:sectPr>
      </w:pPr>
    </w:p>
    <w:p w14:paraId="46E62D3A">
      <w:pPr>
        <w:spacing w:before="0" w:after="0"/>
        <w:ind w:firstLine="560"/>
        <w:jc w:val="left"/>
        <w:outlineLvl w:val="9"/>
      </w:pPr>
      <w:r>
        <w:rPr>
          <w:rFonts w:ascii="方正仿宋_GBK" w:hAnsi="方正仿宋_GBK" w:eastAsia="方正仿宋_GBK" w:cs="方正仿宋_GBK"/>
          <w:b/>
          <w:color w:val="000000"/>
          <w:sz w:val="28"/>
        </w:rPr>
        <w:t>139、县级配套/隆尧县盛东小学公用经费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A8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50D2B">
            <w:pPr>
              <w:pStyle w:val="14"/>
            </w:pPr>
            <w:r>
              <w:t>单位：万元</w:t>
            </w:r>
          </w:p>
        </w:tc>
      </w:tr>
      <w:tr w14:paraId="7A99A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15DBC">
            <w:pPr>
              <w:pStyle w:val="11"/>
            </w:pPr>
            <w:r>
              <w:t>项目编码</w:t>
            </w:r>
          </w:p>
        </w:tc>
        <w:tc>
          <w:tcPr>
            <w:tcW w:w="5103" w:type="dxa"/>
            <w:gridSpan w:val="2"/>
            <w:vAlign w:val="center"/>
          </w:tcPr>
          <w:p w14:paraId="254D695C">
            <w:pPr>
              <w:pStyle w:val="13"/>
            </w:pPr>
            <w:r>
              <w:t>13052525P00000410025R</w:t>
            </w:r>
          </w:p>
        </w:tc>
        <w:tc>
          <w:tcPr>
            <w:tcW w:w="2835" w:type="dxa"/>
            <w:vAlign w:val="center"/>
          </w:tcPr>
          <w:p w14:paraId="7772BEF3">
            <w:pPr>
              <w:pStyle w:val="11"/>
            </w:pPr>
            <w:r>
              <w:t>项目名称</w:t>
            </w:r>
          </w:p>
        </w:tc>
        <w:tc>
          <w:tcPr>
            <w:tcW w:w="6095" w:type="dxa"/>
            <w:gridSpan w:val="3"/>
            <w:vAlign w:val="center"/>
          </w:tcPr>
          <w:p w14:paraId="674251B4">
            <w:pPr>
              <w:pStyle w:val="13"/>
            </w:pPr>
            <w:r>
              <w:t>县级配套/隆尧县盛东小学公用经费</w:t>
            </w:r>
            <w:r>
              <w:tab/>
            </w:r>
            <w:r>
              <w:tab/>
            </w:r>
            <w:r>
              <w:tab/>
            </w:r>
          </w:p>
        </w:tc>
      </w:tr>
      <w:tr w14:paraId="6C2B3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544F9">
            <w:pPr>
              <w:pStyle w:val="11"/>
            </w:pPr>
            <w:r>
              <w:t>预算规模及资金用途</w:t>
            </w:r>
          </w:p>
        </w:tc>
        <w:tc>
          <w:tcPr>
            <w:tcW w:w="2268" w:type="dxa"/>
            <w:vAlign w:val="center"/>
          </w:tcPr>
          <w:p w14:paraId="4E79FD7E">
            <w:pPr>
              <w:pStyle w:val="11"/>
            </w:pPr>
            <w:r>
              <w:t>预算数</w:t>
            </w:r>
          </w:p>
        </w:tc>
        <w:tc>
          <w:tcPr>
            <w:tcW w:w="2835" w:type="dxa"/>
            <w:vAlign w:val="center"/>
          </w:tcPr>
          <w:p w14:paraId="6F7C855C">
            <w:pPr>
              <w:pStyle w:val="13"/>
            </w:pPr>
            <w:r>
              <w:t>22.30</w:t>
            </w:r>
          </w:p>
        </w:tc>
        <w:tc>
          <w:tcPr>
            <w:tcW w:w="2835" w:type="dxa"/>
            <w:vAlign w:val="center"/>
          </w:tcPr>
          <w:p w14:paraId="44168F4F">
            <w:pPr>
              <w:pStyle w:val="11"/>
            </w:pPr>
            <w:r>
              <w:t>其中：财政    资金</w:t>
            </w:r>
          </w:p>
        </w:tc>
        <w:tc>
          <w:tcPr>
            <w:tcW w:w="2551" w:type="dxa"/>
            <w:vAlign w:val="center"/>
          </w:tcPr>
          <w:p w14:paraId="13EE0FAD">
            <w:pPr>
              <w:pStyle w:val="13"/>
            </w:pPr>
            <w:r>
              <w:t>22.30</w:t>
            </w:r>
          </w:p>
        </w:tc>
        <w:tc>
          <w:tcPr>
            <w:tcW w:w="2268" w:type="dxa"/>
            <w:vAlign w:val="center"/>
          </w:tcPr>
          <w:p w14:paraId="511C17EB">
            <w:pPr>
              <w:pStyle w:val="11"/>
            </w:pPr>
            <w:r>
              <w:t>其他资金</w:t>
            </w:r>
          </w:p>
        </w:tc>
        <w:tc>
          <w:tcPr>
            <w:tcW w:w="1276" w:type="dxa"/>
            <w:vAlign w:val="center"/>
          </w:tcPr>
          <w:p w14:paraId="61F73973">
            <w:pPr>
              <w:pStyle w:val="13"/>
            </w:pPr>
            <w:r>
              <w:t xml:space="preserve"> </w:t>
            </w:r>
          </w:p>
        </w:tc>
      </w:tr>
      <w:tr w14:paraId="419BF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8139BA"/>
        </w:tc>
        <w:tc>
          <w:tcPr>
            <w:tcW w:w="14033" w:type="dxa"/>
            <w:gridSpan w:val="6"/>
            <w:vAlign w:val="center"/>
          </w:tcPr>
          <w:p w14:paraId="1E1BC5C1">
            <w:pPr>
              <w:pStyle w:val="13"/>
            </w:pPr>
            <w:r>
              <w:t>保障义务教育学校正常运转，完成教育教学活动和其他日常工作任务等方面的费用支出。</w:t>
            </w:r>
          </w:p>
        </w:tc>
      </w:tr>
      <w:tr w14:paraId="42635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82F5F">
            <w:pPr>
              <w:pStyle w:val="11"/>
            </w:pPr>
            <w:r>
              <w:t>资金支出计划（%）</w:t>
            </w:r>
          </w:p>
        </w:tc>
        <w:tc>
          <w:tcPr>
            <w:tcW w:w="5103" w:type="dxa"/>
            <w:gridSpan w:val="2"/>
            <w:vAlign w:val="center"/>
          </w:tcPr>
          <w:p w14:paraId="5EE294E1">
            <w:pPr>
              <w:pStyle w:val="11"/>
            </w:pPr>
            <w:r>
              <w:t>3月底</w:t>
            </w:r>
          </w:p>
        </w:tc>
        <w:tc>
          <w:tcPr>
            <w:tcW w:w="2835" w:type="dxa"/>
            <w:vAlign w:val="center"/>
          </w:tcPr>
          <w:p w14:paraId="61C5BEE9">
            <w:pPr>
              <w:pStyle w:val="11"/>
            </w:pPr>
            <w:r>
              <w:t>6月底</w:t>
            </w:r>
          </w:p>
        </w:tc>
        <w:tc>
          <w:tcPr>
            <w:tcW w:w="2551" w:type="dxa"/>
            <w:vAlign w:val="center"/>
          </w:tcPr>
          <w:p w14:paraId="76382443">
            <w:pPr>
              <w:pStyle w:val="11"/>
            </w:pPr>
            <w:r>
              <w:t>10月底</w:t>
            </w:r>
          </w:p>
        </w:tc>
        <w:tc>
          <w:tcPr>
            <w:tcW w:w="3544" w:type="dxa"/>
            <w:gridSpan w:val="2"/>
            <w:vAlign w:val="center"/>
          </w:tcPr>
          <w:p w14:paraId="3646172B">
            <w:pPr>
              <w:pStyle w:val="11"/>
            </w:pPr>
            <w:r>
              <w:t>12月底</w:t>
            </w:r>
          </w:p>
        </w:tc>
      </w:tr>
      <w:tr w14:paraId="3E85A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120A5"/>
        </w:tc>
        <w:tc>
          <w:tcPr>
            <w:tcW w:w="5103" w:type="dxa"/>
            <w:gridSpan w:val="2"/>
            <w:vAlign w:val="center"/>
          </w:tcPr>
          <w:p w14:paraId="339A96D4">
            <w:pPr>
              <w:pStyle w:val="12"/>
            </w:pPr>
            <w:r>
              <w:t xml:space="preserve"> </w:t>
            </w:r>
          </w:p>
        </w:tc>
        <w:tc>
          <w:tcPr>
            <w:tcW w:w="2835" w:type="dxa"/>
            <w:vAlign w:val="center"/>
          </w:tcPr>
          <w:p w14:paraId="25512C3C">
            <w:pPr>
              <w:pStyle w:val="12"/>
            </w:pPr>
            <w:r>
              <w:t xml:space="preserve"> </w:t>
            </w:r>
          </w:p>
        </w:tc>
        <w:tc>
          <w:tcPr>
            <w:tcW w:w="2551" w:type="dxa"/>
            <w:vAlign w:val="center"/>
          </w:tcPr>
          <w:p w14:paraId="73D0270B">
            <w:pPr>
              <w:pStyle w:val="12"/>
            </w:pPr>
            <w:r>
              <w:t xml:space="preserve"> </w:t>
            </w:r>
          </w:p>
        </w:tc>
        <w:tc>
          <w:tcPr>
            <w:tcW w:w="3544" w:type="dxa"/>
            <w:gridSpan w:val="2"/>
            <w:vAlign w:val="center"/>
          </w:tcPr>
          <w:p w14:paraId="23F22147">
            <w:pPr>
              <w:pStyle w:val="12"/>
            </w:pPr>
            <w:r>
              <w:t>100%</w:t>
            </w:r>
          </w:p>
        </w:tc>
      </w:tr>
      <w:tr w14:paraId="51B3A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2EF2B6">
            <w:pPr>
              <w:pStyle w:val="11"/>
            </w:pPr>
            <w:r>
              <w:t>绩效目标</w:t>
            </w:r>
          </w:p>
        </w:tc>
        <w:tc>
          <w:tcPr>
            <w:tcW w:w="14033" w:type="dxa"/>
            <w:gridSpan w:val="6"/>
            <w:vAlign w:val="center"/>
          </w:tcPr>
          <w:p w14:paraId="2162F791">
            <w:pPr>
              <w:pStyle w:val="13"/>
            </w:pPr>
            <w:r>
              <w:t>1.保障义务教育学校正常运转，完成教育教学活动和其他日常工作任务等方面的费用支出。</w:t>
            </w:r>
            <w:r>
              <w:tab/>
            </w:r>
            <w:r>
              <w:tab/>
            </w:r>
            <w:r>
              <w:tab/>
            </w:r>
            <w:r>
              <w:tab/>
            </w:r>
            <w:r>
              <w:tab/>
            </w:r>
            <w:r>
              <w:tab/>
            </w:r>
          </w:p>
          <w:p w14:paraId="3EE41F93">
            <w:pPr>
              <w:pStyle w:val="13"/>
            </w:pPr>
          </w:p>
        </w:tc>
      </w:tr>
    </w:tbl>
    <w:p w14:paraId="4F9CF5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36E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3A2B0">
            <w:pPr>
              <w:pStyle w:val="11"/>
            </w:pPr>
            <w:r>
              <w:t>一级指标</w:t>
            </w:r>
          </w:p>
        </w:tc>
        <w:tc>
          <w:tcPr>
            <w:tcW w:w="2268" w:type="dxa"/>
            <w:vAlign w:val="center"/>
          </w:tcPr>
          <w:p w14:paraId="1396F205">
            <w:pPr>
              <w:pStyle w:val="11"/>
            </w:pPr>
            <w:r>
              <w:t>二级指标</w:t>
            </w:r>
          </w:p>
        </w:tc>
        <w:tc>
          <w:tcPr>
            <w:tcW w:w="2835" w:type="dxa"/>
            <w:vAlign w:val="center"/>
          </w:tcPr>
          <w:p w14:paraId="5D5EAEE7">
            <w:pPr>
              <w:pStyle w:val="11"/>
            </w:pPr>
            <w:r>
              <w:t>三级指标</w:t>
            </w:r>
          </w:p>
        </w:tc>
        <w:tc>
          <w:tcPr>
            <w:tcW w:w="5386" w:type="dxa"/>
            <w:vAlign w:val="center"/>
          </w:tcPr>
          <w:p w14:paraId="6B4F1DC0">
            <w:pPr>
              <w:pStyle w:val="11"/>
            </w:pPr>
            <w:r>
              <w:t>绩效指标描述</w:t>
            </w:r>
          </w:p>
        </w:tc>
        <w:tc>
          <w:tcPr>
            <w:tcW w:w="2268" w:type="dxa"/>
            <w:vAlign w:val="center"/>
          </w:tcPr>
          <w:p w14:paraId="3224A4D7">
            <w:pPr>
              <w:pStyle w:val="11"/>
            </w:pPr>
            <w:r>
              <w:t>指标值</w:t>
            </w:r>
          </w:p>
        </w:tc>
        <w:tc>
          <w:tcPr>
            <w:tcW w:w="1276" w:type="dxa"/>
            <w:vAlign w:val="center"/>
          </w:tcPr>
          <w:p w14:paraId="49A2F649">
            <w:pPr>
              <w:pStyle w:val="11"/>
            </w:pPr>
            <w:r>
              <w:t>指标值确定依据</w:t>
            </w:r>
          </w:p>
        </w:tc>
      </w:tr>
      <w:tr w14:paraId="0FE26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041F0">
            <w:pPr>
              <w:pStyle w:val="12"/>
            </w:pPr>
            <w:r>
              <w:t>产出指标</w:t>
            </w:r>
          </w:p>
        </w:tc>
        <w:tc>
          <w:tcPr>
            <w:tcW w:w="2268" w:type="dxa"/>
            <w:vAlign w:val="center"/>
          </w:tcPr>
          <w:p w14:paraId="7BABCBB1">
            <w:pPr>
              <w:pStyle w:val="13"/>
            </w:pPr>
            <w:r>
              <w:t>数量指标</w:t>
            </w:r>
          </w:p>
        </w:tc>
        <w:tc>
          <w:tcPr>
            <w:tcW w:w="2835" w:type="dxa"/>
            <w:vAlign w:val="center"/>
          </w:tcPr>
          <w:p w14:paraId="0DC823AB">
            <w:pPr>
              <w:pStyle w:val="13"/>
            </w:pPr>
            <w:r>
              <w:t>适龄在校生</w:t>
            </w:r>
          </w:p>
        </w:tc>
        <w:tc>
          <w:tcPr>
            <w:tcW w:w="5386" w:type="dxa"/>
            <w:vAlign w:val="center"/>
          </w:tcPr>
          <w:p w14:paraId="4F47B512">
            <w:pPr>
              <w:pStyle w:val="13"/>
            </w:pPr>
            <w:r>
              <w:t>适龄在校就读学生人数</w:t>
            </w:r>
          </w:p>
        </w:tc>
        <w:tc>
          <w:tcPr>
            <w:tcW w:w="2268" w:type="dxa"/>
            <w:vAlign w:val="center"/>
          </w:tcPr>
          <w:p w14:paraId="3DC0BD69">
            <w:pPr>
              <w:pStyle w:val="13"/>
            </w:pPr>
            <w:r>
              <w:t>406人</w:t>
            </w:r>
          </w:p>
        </w:tc>
        <w:tc>
          <w:tcPr>
            <w:tcW w:w="1276" w:type="dxa"/>
            <w:vAlign w:val="center"/>
          </w:tcPr>
          <w:p w14:paraId="20C9A612">
            <w:pPr>
              <w:pStyle w:val="13"/>
            </w:pPr>
            <w:r>
              <w:t>城乡义务教育公用经费管理办法</w:t>
            </w:r>
          </w:p>
        </w:tc>
      </w:tr>
      <w:tr w14:paraId="0E460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943B7"/>
        </w:tc>
        <w:tc>
          <w:tcPr>
            <w:tcW w:w="2268" w:type="dxa"/>
            <w:vAlign w:val="center"/>
          </w:tcPr>
          <w:p w14:paraId="50943069">
            <w:pPr>
              <w:pStyle w:val="13"/>
            </w:pPr>
            <w:r>
              <w:t>质量指标</w:t>
            </w:r>
          </w:p>
        </w:tc>
        <w:tc>
          <w:tcPr>
            <w:tcW w:w="2835" w:type="dxa"/>
            <w:vAlign w:val="center"/>
          </w:tcPr>
          <w:p w14:paraId="58C1CCCC">
            <w:pPr>
              <w:pStyle w:val="13"/>
            </w:pPr>
            <w:r>
              <w:t>预算控制率</w:t>
            </w:r>
          </w:p>
        </w:tc>
        <w:tc>
          <w:tcPr>
            <w:tcW w:w="5386" w:type="dxa"/>
            <w:vAlign w:val="center"/>
          </w:tcPr>
          <w:p w14:paraId="1C021E8C">
            <w:pPr>
              <w:pStyle w:val="13"/>
            </w:pPr>
            <w:r>
              <w:t>预算执行</w:t>
            </w:r>
          </w:p>
        </w:tc>
        <w:tc>
          <w:tcPr>
            <w:tcW w:w="2268" w:type="dxa"/>
            <w:vAlign w:val="center"/>
          </w:tcPr>
          <w:p w14:paraId="6B571823">
            <w:pPr>
              <w:pStyle w:val="13"/>
            </w:pPr>
            <w:r>
              <w:t>≥95%</w:t>
            </w:r>
          </w:p>
        </w:tc>
        <w:tc>
          <w:tcPr>
            <w:tcW w:w="1276" w:type="dxa"/>
            <w:vAlign w:val="center"/>
          </w:tcPr>
          <w:p w14:paraId="470E0D77">
            <w:pPr>
              <w:pStyle w:val="13"/>
            </w:pPr>
            <w:r>
              <w:t>城乡义务教育公用经费管理办法</w:t>
            </w:r>
          </w:p>
        </w:tc>
      </w:tr>
      <w:tr w14:paraId="7BEFB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EB82B"/>
        </w:tc>
        <w:tc>
          <w:tcPr>
            <w:tcW w:w="2268" w:type="dxa"/>
            <w:vAlign w:val="center"/>
          </w:tcPr>
          <w:p w14:paraId="1B9A2C17">
            <w:pPr>
              <w:pStyle w:val="13"/>
            </w:pPr>
            <w:r>
              <w:t>时效指标</w:t>
            </w:r>
          </w:p>
        </w:tc>
        <w:tc>
          <w:tcPr>
            <w:tcW w:w="2835" w:type="dxa"/>
            <w:vAlign w:val="center"/>
          </w:tcPr>
          <w:p w14:paraId="2996C41F">
            <w:pPr>
              <w:pStyle w:val="13"/>
            </w:pPr>
            <w:r>
              <w:t>资金支付率</w:t>
            </w:r>
          </w:p>
        </w:tc>
        <w:tc>
          <w:tcPr>
            <w:tcW w:w="5386" w:type="dxa"/>
            <w:vAlign w:val="center"/>
          </w:tcPr>
          <w:p w14:paraId="4D03BF59">
            <w:pPr>
              <w:pStyle w:val="13"/>
            </w:pPr>
            <w:r>
              <w:t>按照序时进度完成资金支付</w:t>
            </w:r>
          </w:p>
        </w:tc>
        <w:tc>
          <w:tcPr>
            <w:tcW w:w="2268" w:type="dxa"/>
            <w:vAlign w:val="center"/>
          </w:tcPr>
          <w:p w14:paraId="1C593FCF">
            <w:pPr>
              <w:pStyle w:val="13"/>
            </w:pPr>
            <w:r>
              <w:t>≥100%</w:t>
            </w:r>
          </w:p>
        </w:tc>
        <w:tc>
          <w:tcPr>
            <w:tcW w:w="1276" w:type="dxa"/>
            <w:vAlign w:val="center"/>
          </w:tcPr>
          <w:p w14:paraId="51DA016C">
            <w:pPr>
              <w:pStyle w:val="13"/>
            </w:pPr>
            <w:r>
              <w:t>城乡义务教育公用经费管理办法</w:t>
            </w:r>
          </w:p>
        </w:tc>
      </w:tr>
      <w:tr w14:paraId="11C4B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52C1A"/>
        </w:tc>
        <w:tc>
          <w:tcPr>
            <w:tcW w:w="2268" w:type="dxa"/>
            <w:vAlign w:val="center"/>
          </w:tcPr>
          <w:p w14:paraId="013B9E89">
            <w:pPr>
              <w:pStyle w:val="13"/>
            </w:pPr>
            <w:r>
              <w:t>成本指标</w:t>
            </w:r>
          </w:p>
        </w:tc>
        <w:tc>
          <w:tcPr>
            <w:tcW w:w="2835" w:type="dxa"/>
            <w:vAlign w:val="center"/>
          </w:tcPr>
          <w:p w14:paraId="65FE8252">
            <w:pPr>
              <w:pStyle w:val="13"/>
            </w:pPr>
            <w:r>
              <w:t>生均拨款标准</w:t>
            </w:r>
          </w:p>
        </w:tc>
        <w:tc>
          <w:tcPr>
            <w:tcW w:w="5386" w:type="dxa"/>
            <w:vAlign w:val="center"/>
          </w:tcPr>
          <w:p w14:paraId="3420BD38">
            <w:pPr>
              <w:pStyle w:val="13"/>
            </w:pPr>
            <w:r>
              <w:t>小学：（基本标准720元、寄宿生300元、取暖120元）/生/学年；随班就读学生：标准6000元/生/学年。</w:t>
            </w:r>
          </w:p>
        </w:tc>
        <w:tc>
          <w:tcPr>
            <w:tcW w:w="2268" w:type="dxa"/>
            <w:vAlign w:val="center"/>
          </w:tcPr>
          <w:p w14:paraId="2BC7868F">
            <w:pPr>
              <w:pStyle w:val="13"/>
            </w:pPr>
            <w:r>
              <w:t>223020元</w:t>
            </w:r>
          </w:p>
        </w:tc>
        <w:tc>
          <w:tcPr>
            <w:tcW w:w="1276" w:type="dxa"/>
            <w:vAlign w:val="center"/>
          </w:tcPr>
          <w:p w14:paraId="231FB74C">
            <w:pPr>
              <w:pStyle w:val="13"/>
            </w:pPr>
            <w:r>
              <w:t>城乡义务教育公用经费管理办法</w:t>
            </w:r>
          </w:p>
        </w:tc>
      </w:tr>
      <w:tr w14:paraId="7D16C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755BEE">
            <w:pPr>
              <w:pStyle w:val="12"/>
            </w:pPr>
            <w:r>
              <w:t>效益指标</w:t>
            </w:r>
          </w:p>
        </w:tc>
        <w:tc>
          <w:tcPr>
            <w:tcW w:w="2268" w:type="dxa"/>
            <w:vAlign w:val="center"/>
          </w:tcPr>
          <w:p w14:paraId="1FC77923">
            <w:pPr>
              <w:pStyle w:val="13"/>
            </w:pPr>
            <w:r>
              <w:t>可持续影响指标</w:t>
            </w:r>
          </w:p>
        </w:tc>
        <w:tc>
          <w:tcPr>
            <w:tcW w:w="2835" w:type="dxa"/>
            <w:vAlign w:val="center"/>
          </w:tcPr>
          <w:p w14:paraId="61552A19">
            <w:pPr>
              <w:pStyle w:val="13"/>
            </w:pPr>
            <w:r>
              <w:t>教育发展水平明显好转</w:t>
            </w:r>
          </w:p>
        </w:tc>
        <w:tc>
          <w:tcPr>
            <w:tcW w:w="5386" w:type="dxa"/>
            <w:vAlign w:val="center"/>
          </w:tcPr>
          <w:p w14:paraId="765B80B6">
            <w:pPr>
              <w:pStyle w:val="13"/>
            </w:pPr>
            <w:r>
              <w:t>学生受教育年限</w:t>
            </w:r>
          </w:p>
        </w:tc>
        <w:tc>
          <w:tcPr>
            <w:tcW w:w="2268" w:type="dxa"/>
            <w:vAlign w:val="center"/>
          </w:tcPr>
          <w:p w14:paraId="2CFF8A92">
            <w:pPr>
              <w:pStyle w:val="13"/>
            </w:pPr>
            <w:r>
              <w:t>6年</w:t>
            </w:r>
          </w:p>
        </w:tc>
        <w:tc>
          <w:tcPr>
            <w:tcW w:w="1276" w:type="dxa"/>
            <w:vAlign w:val="center"/>
          </w:tcPr>
          <w:p w14:paraId="4D28FC2B">
            <w:pPr>
              <w:pStyle w:val="13"/>
            </w:pPr>
            <w:r>
              <w:t>城乡义务教育公用经费管理办法</w:t>
            </w:r>
          </w:p>
        </w:tc>
      </w:tr>
      <w:tr w14:paraId="0C9DE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53A730">
            <w:pPr>
              <w:pStyle w:val="12"/>
            </w:pPr>
            <w:r>
              <w:t>满意度指标</w:t>
            </w:r>
          </w:p>
        </w:tc>
        <w:tc>
          <w:tcPr>
            <w:tcW w:w="2268" w:type="dxa"/>
            <w:vAlign w:val="center"/>
          </w:tcPr>
          <w:p w14:paraId="3BA2CF7C">
            <w:pPr>
              <w:pStyle w:val="13"/>
            </w:pPr>
            <w:r>
              <w:t>服务对象满意度指标</w:t>
            </w:r>
          </w:p>
        </w:tc>
        <w:tc>
          <w:tcPr>
            <w:tcW w:w="2835" w:type="dxa"/>
            <w:vAlign w:val="center"/>
          </w:tcPr>
          <w:p w14:paraId="4F222889">
            <w:pPr>
              <w:pStyle w:val="13"/>
            </w:pPr>
            <w:r>
              <w:t>受益学生家长及调查满意度</w:t>
            </w:r>
          </w:p>
        </w:tc>
        <w:tc>
          <w:tcPr>
            <w:tcW w:w="5386" w:type="dxa"/>
            <w:vAlign w:val="center"/>
          </w:tcPr>
          <w:p w14:paraId="0A9B39EB">
            <w:pPr>
              <w:pStyle w:val="13"/>
            </w:pPr>
            <w:r>
              <w:t>学生、教师及家长对学校教育教学工作满意度情况</w:t>
            </w:r>
          </w:p>
        </w:tc>
        <w:tc>
          <w:tcPr>
            <w:tcW w:w="2268" w:type="dxa"/>
            <w:vAlign w:val="center"/>
          </w:tcPr>
          <w:p w14:paraId="66B72181">
            <w:pPr>
              <w:pStyle w:val="13"/>
            </w:pPr>
            <w:r>
              <w:t>≥95%</w:t>
            </w:r>
          </w:p>
        </w:tc>
        <w:tc>
          <w:tcPr>
            <w:tcW w:w="1276" w:type="dxa"/>
            <w:vAlign w:val="center"/>
          </w:tcPr>
          <w:p w14:paraId="6D231EC8">
            <w:pPr>
              <w:pStyle w:val="13"/>
            </w:pPr>
            <w:r>
              <w:t>调查问卷</w:t>
            </w:r>
          </w:p>
        </w:tc>
      </w:tr>
    </w:tbl>
    <w:p w14:paraId="0B6738B4">
      <w:pPr>
        <w:sectPr>
          <w:pgSz w:w="16840" w:h="11900" w:orient="landscape"/>
          <w:pgMar w:top="1361" w:right="1020" w:bottom="1134" w:left="1020" w:header="720" w:footer="720" w:gutter="0"/>
          <w:cols w:space="720" w:num="1"/>
        </w:sectPr>
      </w:pPr>
    </w:p>
    <w:p w14:paraId="5A1D08C5">
      <w:pPr>
        <w:spacing w:before="0" w:after="0"/>
        <w:ind w:firstLine="560"/>
        <w:jc w:val="left"/>
        <w:outlineLvl w:val="9"/>
      </w:pPr>
      <w:r>
        <w:rPr>
          <w:rFonts w:ascii="方正仿宋_GBK" w:hAnsi="方正仿宋_GBK" w:eastAsia="方正仿宋_GBK" w:cs="方正仿宋_GBK"/>
          <w:b/>
          <w:color w:val="000000"/>
          <w:sz w:val="28"/>
        </w:rPr>
        <w:t>140、县级配套/隆尧县树人实验小学公用经费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B9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C1B2D">
            <w:pPr>
              <w:pStyle w:val="14"/>
            </w:pPr>
            <w:r>
              <w:t>单位：万元</w:t>
            </w:r>
          </w:p>
        </w:tc>
      </w:tr>
      <w:tr w14:paraId="38EB2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A2AFE1">
            <w:pPr>
              <w:pStyle w:val="11"/>
            </w:pPr>
            <w:r>
              <w:t>项目编码</w:t>
            </w:r>
          </w:p>
        </w:tc>
        <w:tc>
          <w:tcPr>
            <w:tcW w:w="5103" w:type="dxa"/>
            <w:gridSpan w:val="2"/>
            <w:vAlign w:val="center"/>
          </w:tcPr>
          <w:p w14:paraId="40E031EE">
            <w:pPr>
              <w:pStyle w:val="13"/>
            </w:pPr>
            <w:r>
              <w:t>13052525P00000410004E</w:t>
            </w:r>
          </w:p>
        </w:tc>
        <w:tc>
          <w:tcPr>
            <w:tcW w:w="2835" w:type="dxa"/>
            <w:vAlign w:val="center"/>
          </w:tcPr>
          <w:p w14:paraId="75300772">
            <w:pPr>
              <w:pStyle w:val="11"/>
            </w:pPr>
            <w:r>
              <w:t>项目名称</w:t>
            </w:r>
          </w:p>
        </w:tc>
        <w:tc>
          <w:tcPr>
            <w:tcW w:w="6095" w:type="dxa"/>
            <w:gridSpan w:val="3"/>
            <w:vAlign w:val="center"/>
          </w:tcPr>
          <w:p w14:paraId="2D38D17E">
            <w:pPr>
              <w:pStyle w:val="13"/>
            </w:pPr>
            <w:r>
              <w:t>县级配套/隆尧县树人实验小学公用经费</w:t>
            </w:r>
            <w:r>
              <w:tab/>
            </w:r>
            <w:r>
              <w:tab/>
            </w:r>
            <w:r>
              <w:tab/>
            </w:r>
          </w:p>
        </w:tc>
      </w:tr>
      <w:tr w14:paraId="11077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21AD4">
            <w:pPr>
              <w:pStyle w:val="11"/>
            </w:pPr>
            <w:r>
              <w:t>预算规模及资金用途</w:t>
            </w:r>
          </w:p>
        </w:tc>
        <w:tc>
          <w:tcPr>
            <w:tcW w:w="2268" w:type="dxa"/>
            <w:vAlign w:val="center"/>
          </w:tcPr>
          <w:p w14:paraId="51A4354D">
            <w:pPr>
              <w:pStyle w:val="11"/>
            </w:pPr>
            <w:r>
              <w:t>预算数</w:t>
            </w:r>
          </w:p>
        </w:tc>
        <w:tc>
          <w:tcPr>
            <w:tcW w:w="2835" w:type="dxa"/>
            <w:vAlign w:val="center"/>
          </w:tcPr>
          <w:p w14:paraId="5F9F448A">
            <w:pPr>
              <w:pStyle w:val="13"/>
            </w:pPr>
            <w:r>
              <w:t>46.28</w:t>
            </w:r>
          </w:p>
        </w:tc>
        <w:tc>
          <w:tcPr>
            <w:tcW w:w="2835" w:type="dxa"/>
            <w:vAlign w:val="center"/>
          </w:tcPr>
          <w:p w14:paraId="19AD4781">
            <w:pPr>
              <w:pStyle w:val="11"/>
            </w:pPr>
            <w:r>
              <w:t>其中：财政    资金</w:t>
            </w:r>
          </w:p>
        </w:tc>
        <w:tc>
          <w:tcPr>
            <w:tcW w:w="2551" w:type="dxa"/>
            <w:vAlign w:val="center"/>
          </w:tcPr>
          <w:p w14:paraId="17BEF428">
            <w:pPr>
              <w:pStyle w:val="13"/>
            </w:pPr>
            <w:r>
              <w:t>46.28</w:t>
            </w:r>
          </w:p>
        </w:tc>
        <w:tc>
          <w:tcPr>
            <w:tcW w:w="2268" w:type="dxa"/>
            <w:vAlign w:val="center"/>
          </w:tcPr>
          <w:p w14:paraId="423F837B">
            <w:pPr>
              <w:pStyle w:val="11"/>
            </w:pPr>
            <w:r>
              <w:t>其他资金</w:t>
            </w:r>
          </w:p>
        </w:tc>
        <w:tc>
          <w:tcPr>
            <w:tcW w:w="1276" w:type="dxa"/>
            <w:vAlign w:val="center"/>
          </w:tcPr>
          <w:p w14:paraId="3346564E">
            <w:pPr>
              <w:pStyle w:val="13"/>
            </w:pPr>
            <w:r>
              <w:t xml:space="preserve"> </w:t>
            </w:r>
          </w:p>
        </w:tc>
      </w:tr>
      <w:tr w14:paraId="6424D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C00182"/>
        </w:tc>
        <w:tc>
          <w:tcPr>
            <w:tcW w:w="14033" w:type="dxa"/>
            <w:gridSpan w:val="6"/>
            <w:vAlign w:val="center"/>
          </w:tcPr>
          <w:p w14:paraId="6CB4C56F">
            <w:pPr>
              <w:pStyle w:val="13"/>
            </w:pPr>
            <w:r>
              <w:t>保障义务教育学校正常运转，完成教育教学活动和其他日常工作任务等方面的费用支出。</w:t>
            </w:r>
          </w:p>
        </w:tc>
      </w:tr>
      <w:tr w14:paraId="3E301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4672A">
            <w:pPr>
              <w:pStyle w:val="11"/>
            </w:pPr>
            <w:r>
              <w:t>资金支出计划（%）</w:t>
            </w:r>
          </w:p>
        </w:tc>
        <w:tc>
          <w:tcPr>
            <w:tcW w:w="5103" w:type="dxa"/>
            <w:gridSpan w:val="2"/>
            <w:vAlign w:val="center"/>
          </w:tcPr>
          <w:p w14:paraId="34A7382A">
            <w:pPr>
              <w:pStyle w:val="11"/>
            </w:pPr>
            <w:r>
              <w:t>3月底</w:t>
            </w:r>
          </w:p>
        </w:tc>
        <w:tc>
          <w:tcPr>
            <w:tcW w:w="2835" w:type="dxa"/>
            <w:vAlign w:val="center"/>
          </w:tcPr>
          <w:p w14:paraId="2E5DD915">
            <w:pPr>
              <w:pStyle w:val="11"/>
            </w:pPr>
            <w:r>
              <w:t>6月底</w:t>
            </w:r>
          </w:p>
        </w:tc>
        <w:tc>
          <w:tcPr>
            <w:tcW w:w="2551" w:type="dxa"/>
            <w:vAlign w:val="center"/>
          </w:tcPr>
          <w:p w14:paraId="34D45874">
            <w:pPr>
              <w:pStyle w:val="11"/>
            </w:pPr>
            <w:r>
              <w:t>10月底</w:t>
            </w:r>
          </w:p>
        </w:tc>
        <w:tc>
          <w:tcPr>
            <w:tcW w:w="3544" w:type="dxa"/>
            <w:gridSpan w:val="2"/>
            <w:vAlign w:val="center"/>
          </w:tcPr>
          <w:p w14:paraId="5DA07E7F">
            <w:pPr>
              <w:pStyle w:val="11"/>
            </w:pPr>
            <w:r>
              <w:t>12月底</w:t>
            </w:r>
          </w:p>
        </w:tc>
      </w:tr>
      <w:tr w14:paraId="77B04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F7ECBF"/>
        </w:tc>
        <w:tc>
          <w:tcPr>
            <w:tcW w:w="5103" w:type="dxa"/>
            <w:gridSpan w:val="2"/>
            <w:vAlign w:val="center"/>
          </w:tcPr>
          <w:p w14:paraId="4D842325">
            <w:pPr>
              <w:pStyle w:val="12"/>
            </w:pPr>
            <w:r>
              <w:t xml:space="preserve"> </w:t>
            </w:r>
          </w:p>
        </w:tc>
        <w:tc>
          <w:tcPr>
            <w:tcW w:w="2835" w:type="dxa"/>
            <w:vAlign w:val="center"/>
          </w:tcPr>
          <w:p w14:paraId="191B4C33">
            <w:pPr>
              <w:pStyle w:val="12"/>
            </w:pPr>
            <w:r>
              <w:t xml:space="preserve"> </w:t>
            </w:r>
          </w:p>
        </w:tc>
        <w:tc>
          <w:tcPr>
            <w:tcW w:w="2551" w:type="dxa"/>
            <w:vAlign w:val="center"/>
          </w:tcPr>
          <w:p w14:paraId="0DEE6C0A">
            <w:pPr>
              <w:pStyle w:val="12"/>
            </w:pPr>
            <w:r>
              <w:t xml:space="preserve"> </w:t>
            </w:r>
          </w:p>
        </w:tc>
        <w:tc>
          <w:tcPr>
            <w:tcW w:w="3544" w:type="dxa"/>
            <w:gridSpan w:val="2"/>
            <w:vAlign w:val="center"/>
          </w:tcPr>
          <w:p w14:paraId="68E20055">
            <w:pPr>
              <w:pStyle w:val="12"/>
            </w:pPr>
            <w:r>
              <w:t>100%</w:t>
            </w:r>
          </w:p>
        </w:tc>
      </w:tr>
      <w:tr w14:paraId="41919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0DC46">
            <w:pPr>
              <w:pStyle w:val="11"/>
            </w:pPr>
            <w:r>
              <w:t>绩效目标</w:t>
            </w:r>
          </w:p>
        </w:tc>
        <w:tc>
          <w:tcPr>
            <w:tcW w:w="14033" w:type="dxa"/>
            <w:gridSpan w:val="6"/>
            <w:vAlign w:val="center"/>
          </w:tcPr>
          <w:p w14:paraId="331D8CEB">
            <w:pPr>
              <w:pStyle w:val="13"/>
            </w:pPr>
            <w:r>
              <w:t>1.保障义务教育学校正常运转，完成教育教学活动和其他日常工作任务等方面的费用支出。</w:t>
            </w:r>
            <w:r>
              <w:tab/>
            </w:r>
            <w:r>
              <w:tab/>
            </w:r>
            <w:r>
              <w:tab/>
            </w:r>
            <w:r>
              <w:tab/>
            </w:r>
            <w:r>
              <w:tab/>
            </w:r>
            <w:r>
              <w:tab/>
            </w:r>
          </w:p>
          <w:p w14:paraId="6D74AC75">
            <w:pPr>
              <w:pStyle w:val="13"/>
            </w:pPr>
          </w:p>
        </w:tc>
      </w:tr>
    </w:tbl>
    <w:p w14:paraId="7864E7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EA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EAF6A1A">
            <w:pPr>
              <w:pStyle w:val="11"/>
            </w:pPr>
            <w:r>
              <w:t>一级指标</w:t>
            </w:r>
          </w:p>
        </w:tc>
        <w:tc>
          <w:tcPr>
            <w:tcW w:w="2268" w:type="dxa"/>
            <w:vAlign w:val="center"/>
          </w:tcPr>
          <w:p w14:paraId="594092C8">
            <w:pPr>
              <w:pStyle w:val="11"/>
            </w:pPr>
            <w:r>
              <w:t>二级指标</w:t>
            </w:r>
          </w:p>
        </w:tc>
        <w:tc>
          <w:tcPr>
            <w:tcW w:w="2835" w:type="dxa"/>
            <w:vAlign w:val="center"/>
          </w:tcPr>
          <w:p w14:paraId="19637BDD">
            <w:pPr>
              <w:pStyle w:val="11"/>
            </w:pPr>
            <w:r>
              <w:t>三级指标</w:t>
            </w:r>
          </w:p>
        </w:tc>
        <w:tc>
          <w:tcPr>
            <w:tcW w:w="5386" w:type="dxa"/>
            <w:vAlign w:val="center"/>
          </w:tcPr>
          <w:p w14:paraId="50176EEF">
            <w:pPr>
              <w:pStyle w:val="11"/>
            </w:pPr>
            <w:r>
              <w:t>绩效指标描述</w:t>
            </w:r>
          </w:p>
        </w:tc>
        <w:tc>
          <w:tcPr>
            <w:tcW w:w="2268" w:type="dxa"/>
            <w:vAlign w:val="center"/>
          </w:tcPr>
          <w:p w14:paraId="1EF0358A">
            <w:pPr>
              <w:pStyle w:val="11"/>
            </w:pPr>
            <w:r>
              <w:t>指标值</w:t>
            </w:r>
          </w:p>
        </w:tc>
        <w:tc>
          <w:tcPr>
            <w:tcW w:w="1276" w:type="dxa"/>
            <w:vAlign w:val="center"/>
          </w:tcPr>
          <w:p w14:paraId="24648048">
            <w:pPr>
              <w:pStyle w:val="11"/>
            </w:pPr>
            <w:r>
              <w:t>指标值确定依据</w:t>
            </w:r>
          </w:p>
        </w:tc>
      </w:tr>
      <w:tr w14:paraId="54C10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831C8">
            <w:pPr>
              <w:pStyle w:val="12"/>
            </w:pPr>
            <w:r>
              <w:t>产出指标</w:t>
            </w:r>
          </w:p>
        </w:tc>
        <w:tc>
          <w:tcPr>
            <w:tcW w:w="2268" w:type="dxa"/>
            <w:vAlign w:val="center"/>
          </w:tcPr>
          <w:p w14:paraId="418AB2E0">
            <w:pPr>
              <w:pStyle w:val="13"/>
            </w:pPr>
            <w:r>
              <w:t>数量指标</w:t>
            </w:r>
          </w:p>
        </w:tc>
        <w:tc>
          <w:tcPr>
            <w:tcW w:w="2835" w:type="dxa"/>
            <w:vAlign w:val="center"/>
          </w:tcPr>
          <w:p w14:paraId="5AC21CA9">
            <w:pPr>
              <w:pStyle w:val="13"/>
            </w:pPr>
            <w:r>
              <w:t>适龄在校生</w:t>
            </w:r>
          </w:p>
        </w:tc>
        <w:tc>
          <w:tcPr>
            <w:tcW w:w="5386" w:type="dxa"/>
            <w:vAlign w:val="center"/>
          </w:tcPr>
          <w:p w14:paraId="1D27DD53">
            <w:pPr>
              <w:pStyle w:val="13"/>
            </w:pPr>
            <w:r>
              <w:t>适龄在校就读学生人数</w:t>
            </w:r>
          </w:p>
        </w:tc>
        <w:tc>
          <w:tcPr>
            <w:tcW w:w="2268" w:type="dxa"/>
            <w:vAlign w:val="center"/>
          </w:tcPr>
          <w:p w14:paraId="2193E5D0">
            <w:pPr>
              <w:pStyle w:val="13"/>
            </w:pPr>
            <w:r>
              <w:t>814人</w:t>
            </w:r>
          </w:p>
        </w:tc>
        <w:tc>
          <w:tcPr>
            <w:tcW w:w="1276" w:type="dxa"/>
            <w:vAlign w:val="center"/>
          </w:tcPr>
          <w:p w14:paraId="5DD6E350">
            <w:pPr>
              <w:pStyle w:val="13"/>
            </w:pPr>
            <w:r>
              <w:t>城乡义务教育公用经费管理办法</w:t>
            </w:r>
          </w:p>
        </w:tc>
      </w:tr>
      <w:tr w14:paraId="4D0E6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B69E5"/>
        </w:tc>
        <w:tc>
          <w:tcPr>
            <w:tcW w:w="2268" w:type="dxa"/>
            <w:vAlign w:val="center"/>
          </w:tcPr>
          <w:p w14:paraId="4AA5BA7E">
            <w:pPr>
              <w:pStyle w:val="13"/>
            </w:pPr>
            <w:r>
              <w:t>质量指标</w:t>
            </w:r>
          </w:p>
        </w:tc>
        <w:tc>
          <w:tcPr>
            <w:tcW w:w="2835" w:type="dxa"/>
            <w:vAlign w:val="center"/>
          </w:tcPr>
          <w:p w14:paraId="6EC87A74">
            <w:pPr>
              <w:pStyle w:val="13"/>
            </w:pPr>
            <w:r>
              <w:t>预算控制率</w:t>
            </w:r>
          </w:p>
        </w:tc>
        <w:tc>
          <w:tcPr>
            <w:tcW w:w="5386" w:type="dxa"/>
            <w:vAlign w:val="center"/>
          </w:tcPr>
          <w:p w14:paraId="45601F1F">
            <w:pPr>
              <w:pStyle w:val="13"/>
            </w:pPr>
            <w:r>
              <w:t>预算执行</w:t>
            </w:r>
          </w:p>
        </w:tc>
        <w:tc>
          <w:tcPr>
            <w:tcW w:w="2268" w:type="dxa"/>
            <w:vAlign w:val="center"/>
          </w:tcPr>
          <w:p w14:paraId="3E38A980">
            <w:pPr>
              <w:pStyle w:val="13"/>
            </w:pPr>
            <w:r>
              <w:t>≥95%</w:t>
            </w:r>
          </w:p>
        </w:tc>
        <w:tc>
          <w:tcPr>
            <w:tcW w:w="1276" w:type="dxa"/>
            <w:vAlign w:val="center"/>
          </w:tcPr>
          <w:p w14:paraId="7D704187">
            <w:pPr>
              <w:pStyle w:val="13"/>
            </w:pPr>
            <w:r>
              <w:t>城乡义务教育公用经费管理办法</w:t>
            </w:r>
          </w:p>
        </w:tc>
      </w:tr>
      <w:tr w14:paraId="7AEE0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E51F4"/>
        </w:tc>
        <w:tc>
          <w:tcPr>
            <w:tcW w:w="2268" w:type="dxa"/>
            <w:vAlign w:val="center"/>
          </w:tcPr>
          <w:p w14:paraId="38593FB6">
            <w:pPr>
              <w:pStyle w:val="13"/>
            </w:pPr>
            <w:r>
              <w:t>时效指标</w:t>
            </w:r>
          </w:p>
        </w:tc>
        <w:tc>
          <w:tcPr>
            <w:tcW w:w="2835" w:type="dxa"/>
            <w:vAlign w:val="center"/>
          </w:tcPr>
          <w:p w14:paraId="6C3051E0">
            <w:pPr>
              <w:pStyle w:val="13"/>
            </w:pPr>
            <w:r>
              <w:t>资金支付率</w:t>
            </w:r>
          </w:p>
        </w:tc>
        <w:tc>
          <w:tcPr>
            <w:tcW w:w="5386" w:type="dxa"/>
            <w:vAlign w:val="center"/>
          </w:tcPr>
          <w:p w14:paraId="75D6E674">
            <w:pPr>
              <w:pStyle w:val="13"/>
            </w:pPr>
            <w:r>
              <w:t>按照序时进度完成资金支付</w:t>
            </w:r>
          </w:p>
        </w:tc>
        <w:tc>
          <w:tcPr>
            <w:tcW w:w="2268" w:type="dxa"/>
            <w:vAlign w:val="center"/>
          </w:tcPr>
          <w:p w14:paraId="5A8C1D94">
            <w:pPr>
              <w:pStyle w:val="13"/>
            </w:pPr>
            <w:r>
              <w:t>≥100%</w:t>
            </w:r>
          </w:p>
        </w:tc>
        <w:tc>
          <w:tcPr>
            <w:tcW w:w="1276" w:type="dxa"/>
            <w:vAlign w:val="center"/>
          </w:tcPr>
          <w:p w14:paraId="5CDBFF53">
            <w:pPr>
              <w:pStyle w:val="13"/>
            </w:pPr>
            <w:r>
              <w:t>城乡义务教育公用经费管理办法</w:t>
            </w:r>
          </w:p>
        </w:tc>
      </w:tr>
      <w:tr w14:paraId="2633B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60EB3"/>
        </w:tc>
        <w:tc>
          <w:tcPr>
            <w:tcW w:w="2268" w:type="dxa"/>
            <w:vAlign w:val="center"/>
          </w:tcPr>
          <w:p w14:paraId="7529C89C">
            <w:pPr>
              <w:pStyle w:val="13"/>
            </w:pPr>
            <w:r>
              <w:t>成本指标</w:t>
            </w:r>
          </w:p>
        </w:tc>
        <w:tc>
          <w:tcPr>
            <w:tcW w:w="2835" w:type="dxa"/>
            <w:vAlign w:val="center"/>
          </w:tcPr>
          <w:p w14:paraId="27235D56">
            <w:pPr>
              <w:pStyle w:val="13"/>
            </w:pPr>
            <w:r>
              <w:t>生均拨款标准</w:t>
            </w:r>
          </w:p>
        </w:tc>
        <w:tc>
          <w:tcPr>
            <w:tcW w:w="5386" w:type="dxa"/>
            <w:vAlign w:val="center"/>
          </w:tcPr>
          <w:p w14:paraId="2117EAC6">
            <w:pPr>
              <w:pStyle w:val="13"/>
            </w:pPr>
            <w:r>
              <w:t>小学：（基本标准720元、寄宿生300元、取暖120元）/生/学年；随班就读学生：标准6000元/生/学年。</w:t>
            </w:r>
          </w:p>
        </w:tc>
        <w:tc>
          <w:tcPr>
            <w:tcW w:w="2268" w:type="dxa"/>
            <w:vAlign w:val="center"/>
          </w:tcPr>
          <w:p w14:paraId="07413F73">
            <w:pPr>
              <w:pStyle w:val="13"/>
            </w:pPr>
            <w:r>
              <w:t>462780元</w:t>
            </w:r>
          </w:p>
        </w:tc>
        <w:tc>
          <w:tcPr>
            <w:tcW w:w="1276" w:type="dxa"/>
            <w:vAlign w:val="center"/>
          </w:tcPr>
          <w:p w14:paraId="325F21E3">
            <w:pPr>
              <w:pStyle w:val="13"/>
            </w:pPr>
            <w:r>
              <w:t>城乡义务教育公用经费管理办法</w:t>
            </w:r>
          </w:p>
        </w:tc>
      </w:tr>
      <w:tr w14:paraId="16BFB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F6790">
            <w:pPr>
              <w:pStyle w:val="12"/>
            </w:pPr>
            <w:r>
              <w:t>效益指标</w:t>
            </w:r>
          </w:p>
        </w:tc>
        <w:tc>
          <w:tcPr>
            <w:tcW w:w="2268" w:type="dxa"/>
            <w:vAlign w:val="center"/>
          </w:tcPr>
          <w:p w14:paraId="1C67EC1A">
            <w:pPr>
              <w:pStyle w:val="13"/>
            </w:pPr>
            <w:r>
              <w:t>可持续影响指标</w:t>
            </w:r>
          </w:p>
        </w:tc>
        <w:tc>
          <w:tcPr>
            <w:tcW w:w="2835" w:type="dxa"/>
            <w:vAlign w:val="center"/>
          </w:tcPr>
          <w:p w14:paraId="34E6BB22">
            <w:pPr>
              <w:pStyle w:val="13"/>
            </w:pPr>
            <w:r>
              <w:t>教育发展水平明显好转</w:t>
            </w:r>
          </w:p>
        </w:tc>
        <w:tc>
          <w:tcPr>
            <w:tcW w:w="5386" w:type="dxa"/>
            <w:vAlign w:val="center"/>
          </w:tcPr>
          <w:p w14:paraId="2B4A1798">
            <w:pPr>
              <w:pStyle w:val="13"/>
            </w:pPr>
            <w:r>
              <w:t>学生受教育年限</w:t>
            </w:r>
          </w:p>
        </w:tc>
        <w:tc>
          <w:tcPr>
            <w:tcW w:w="2268" w:type="dxa"/>
            <w:vAlign w:val="center"/>
          </w:tcPr>
          <w:p w14:paraId="0EC345AD">
            <w:pPr>
              <w:pStyle w:val="13"/>
            </w:pPr>
            <w:r>
              <w:t>6年</w:t>
            </w:r>
          </w:p>
        </w:tc>
        <w:tc>
          <w:tcPr>
            <w:tcW w:w="1276" w:type="dxa"/>
            <w:vAlign w:val="center"/>
          </w:tcPr>
          <w:p w14:paraId="167961F1">
            <w:pPr>
              <w:pStyle w:val="13"/>
            </w:pPr>
            <w:r>
              <w:t>城乡义务教育公用经费管理办法</w:t>
            </w:r>
          </w:p>
        </w:tc>
      </w:tr>
      <w:tr w14:paraId="24DFC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8E07B0">
            <w:pPr>
              <w:pStyle w:val="12"/>
            </w:pPr>
            <w:r>
              <w:t>满意度指标</w:t>
            </w:r>
          </w:p>
        </w:tc>
        <w:tc>
          <w:tcPr>
            <w:tcW w:w="2268" w:type="dxa"/>
            <w:vAlign w:val="center"/>
          </w:tcPr>
          <w:p w14:paraId="35D532FD">
            <w:pPr>
              <w:pStyle w:val="13"/>
            </w:pPr>
            <w:r>
              <w:t>服务对象满意度指标</w:t>
            </w:r>
          </w:p>
        </w:tc>
        <w:tc>
          <w:tcPr>
            <w:tcW w:w="2835" w:type="dxa"/>
            <w:vAlign w:val="center"/>
          </w:tcPr>
          <w:p w14:paraId="17668BC5">
            <w:pPr>
              <w:pStyle w:val="13"/>
            </w:pPr>
            <w:r>
              <w:t>受益学生家长及调查满意度</w:t>
            </w:r>
          </w:p>
        </w:tc>
        <w:tc>
          <w:tcPr>
            <w:tcW w:w="5386" w:type="dxa"/>
            <w:vAlign w:val="center"/>
          </w:tcPr>
          <w:p w14:paraId="27EA08CC">
            <w:pPr>
              <w:pStyle w:val="13"/>
            </w:pPr>
            <w:r>
              <w:t>学生、教师及家长对学校教育教学工作满意度情况</w:t>
            </w:r>
          </w:p>
        </w:tc>
        <w:tc>
          <w:tcPr>
            <w:tcW w:w="2268" w:type="dxa"/>
            <w:vAlign w:val="center"/>
          </w:tcPr>
          <w:p w14:paraId="2184A711">
            <w:pPr>
              <w:pStyle w:val="13"/>
            </w:pPr>
            <w:r>
              <w:t>≥95%</w:t>
            </w:r>
          </w:p>
        </w:tc>
        <w:tc>
          <w:tcPr>
            <w:tcW w:w="1276" w:type="dxa"/>
            <w:vAlign w:val="center"/>
          </w:tcPr>
          <w:p w14:paraId="66975361">
            <w:pPr>
              <w:pStyle w:val="13"/>
            </w:pPr>
            <w:r>
              <w:t>调查问卷</w:t>
            </w:r>
          </w:p>
        </w:tc>
      </w:tr>
    </w:tbl>
    <w:p w14:paraId="3FFA9E6D">
      <w:pPr>
        <w:sectPr>
          <w:pgSz w:w="16840" w:h="11900" w:orient="landscape"/>
          <w:pgMar w:top="1361" w:right="1020" w:bottom="1134" w:left="1020" w:header="720" w:footer="720" w:gutter="0"/>
          <w:cols w:space="720" w:num="1"/>
        </w:sectPr>
      </w:pPr>
    </w:p>
    <w:p w14:paraId="04D3A71D">
      <w:pPr>
        <w:spacing w:before="0" w:after="0"/>
        <w:ind w:firstLine="560"/>
        <w:jc w:val="left"/>
        <w:outlineLvl w:val="9"/>
      </w:pPr>
      <w:r>
        <w:rPr>
          <w:rFonts w:ascii="方正仿宋_GBK" w:hAnsi="方正仿宋_GBK" w:eastAsia="方正仿宋_GBK" w:cs="方正仿宋_GBK"/>
          <w:b/>
          <w:color w:val="000000"/>
          <w:sz w:val="28"/>
        </w:rPr>
        <w:t>141、县级配套/隆尧县私立成才小学公用经费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05C178F0">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68E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1B71A">
            <w:pPr>
              <w:pStyle w:val="14"/>
            </w:pPr>
            <w:r>
              <w:t>单位：万元</w:t>
            </w:r>
          </w:p>
        </w:tc>
      </w:tr>
      <w:tr w14:paraId="0B5B5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6F0DCA">
            <w:pPr>
              <w:pStyle w:val="11"/>
            </w:pPr>
            <w:r>
              <w:t>项目编码</w:t>
            </w:r>
          </w:p>
        </w:tc>
        <w:tc>
          <w:tcPr>
            <w:tcW w:w="5103" w:type="dxa"/>
            <w:gridSpan w:val="2"/>
            <w:vAlign w:val="center"/>
          </w:tcPr>
          <w:p w14:paraId="438D9AEB">
            <w:pPr>
              <w:pStyle w:val="13"/>
            </w:pPr>
            <w:r>
              <w:t>13052525P00000410023J</w:t>
            </w:r>
          </w:p>
        </w:tc>
        <w:tc>
          <w:tcPr>
            <w:tcW w:w="2835" w:type="dxa"/>
            <w:vAlign w:val="center"/>
          </w:tcPr>
          <w:p w14:paraId="4709F459">
            <w:pPr>
              <w:pStyle w:val="11"/>
            </w:pPr>
            <w:r>
              <w:t>项目名称</w:t>
            </w:r>
          </w:p>
        </w:tc>
        <w:tc>
          <w:tcPr>
            <w:tcW w:w="6095" w:type="dxa"/>
            <w:gridSpan w:val="3"/>
            <w:vAlign w:val="center"/>
          </w:tcPr>
          <w:p w14:paraId="55985120">
            <w:pPr>
              <w:pStyle w:val="13"/>
            </w:pPr>
            <w:r>
              <w:t>县级配套/隆尧县私立成才小学公用经费</w:t>
            </w:r>
            <w:r>
              <w:tab/>
            </w:r>
            <w:r>
              <w:tab/>
            </w:r>
            <w:r>
              <w:tab/>
            </w:r>
          </w:p>
          <w:p w14:paraId="4AE8C3C8">
            <w:pPr>
              <w:pStyle w:val="13"/>
            </w:pPr>
          </w:p>
        </w:tc>
      </w:tr>
      <w:tr w14:paraId="025EE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24DC1">
            <w:pPr>
              <w:pStyle w:val="11"/>
            </w:pPr>
            <w:r>
              <w:t>预算规模及资金用途</w:t>
            </w:r>
          </w:p>
        </w:tc>
        <w:tc>
          <w:tcPr>
            <w:tcW w:w="2268" w:type="dxa"/>
            <w:vAlign w:val="center"/>
          </w:tcPr>
          <w:p w14:paraId="4844C6A0">
            <w:pPr>
              <w:pStyle w:val="11"/>
            </w:pPr>
            <w:r>
              <w:t>预算数</w:t>
            </w:r>
          </w:p>
        </w:tc>
        <w:tc>
          <w:tcPr>
            <w:tcW w:w="2835" w:type="dxa"/>
            <w:vAlign w:val="center"/>
          </w:tcPr>
          <w:p w14:paraId="0E50CF51">
            <w:pPr>
              <w:pStyle w:val="13"/>
            </w:pPr>
            <w:r>
              <w:t>16.26</w:t>
            </w:r>
          </w:p>
        </w:tc>
        <w:tc>
          <w:tcPr>
            <w:tcW w:w="2835" w:type="dxa"/>
            <w:vAlign w:val="center"/>
          </w:tcPr>
          <w:p w14:paraId="735409F2">
            <w:pPr>
              <w:pStyle w:val="11"/>
            </w:pPr>
            <w:r>
              <w:t>其中：财政    资金</w:t>
            </w:r>
          </w:p>
        </w:tc>
        <w:tc>
          <w:tcPr>
            <w:tcW w:w="2551" w:type="dxa"/>
            <w:vAlign w:val="center"/>
          </w:tcPr>
          <w:p w14:paraId="6E890CA7">
            <w:pPr>
              <w:pStyle w:val="13"/>
            </w:pPr>
            <w:r>
              <w:t>16.26</w:t>
            </w:r>
          </w:p>
        </w:tc>
        <w:tc>
          <w:tcPr>
            <w:tcW w:w="2268" w:type="dxa"/>
            <w:vAlign w:val="center"/>
          </w:tcPr>
          <w:p w14:paraId="504C8412">
            <w:pPr>
              <w:pStyle w:val="11"/>
            </w:pPr>
            <w:r>
              <w:t>其他资金</w:t>
            </w:r>
          </w:p>
        </w:tc>
        <w:tc>
          <w:tcPr>
            <w:tcW w:w="1276" w:type="dxa"/>
            <w:vAlign w:val="center"/>
          </w:tcPr>
          <w:p w14:paraId="3E1D1C43">
            <w:pPr>
              <w:pStyle w:val="13"/>
            </w:pPr>
            <w:r>
              <w:t xml:space="preserve"> </w:t>
            </w:r>
          </w:p>
        </w:tc>
      </w:tr>
      <w:tr w14:paraId="18D86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48F957"/>
        </w:tc>
        <w:tc>
          <w:tcPr>
            <w:tcW w:w="14033" w:type="dxa"/>
            <w:gridSpan w:val="6"/>
            <w:vAlign w:val="center"/>
          </w:tcPr>
          <w:p w14:paraId="31839D8A">
            <w:pPr>
              <w:pStyle w:val="13"/>
            </w:pPr>
            <w:r>
              <w:t>保障义务教育学校正常运转，完成教育教学活动和其他日常工作任务等方面的费用支出。</w:t>
            </w:r>
          </w:p>
        </w:tc>
      </w:tr>
      <w:tr w14:paraId="419F6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BB751">
            <w:pPr>
              <w:pStyle w:val="11"/>
            </w:pPr>
            <w:r>
              <w:t>资金支出计划（%）</w:t>
            </w:r>
          </w:p>
        </w:tc>
        <w:tc>
          <w:tcPr>
            <w:tcW w:w="5103" w:type="dxa"/>
            <w:gridSpan w:val="2"/>
            <w:vAlign w:val="center"/>
          </w:tcPr>
          <w:p w14:paraId="1169945A">
            <w:pPr>
              <w:pStyle w:val="11"/>
            </w:pPr>
            <w:r>
              <w:t>3月底</w:t>
            </w:r>
          </w:p>
        </w:tc>
        <w:tc>
          <w:tcPr>
            <w:tcW w:w="2835" w:type="dxa"/>
            <w:vAlign w:val="center"/>
          </w:tcPr>
          <w:p w14:paraId="2F789609">
            <w:pPr>
              <w:pStyle w:val="11"/>
            </w:pPr>
            <w:r>
              <w:t>6月底</w:t>
            </w:r>
          </w:p>
        </w:tc>
        <w:tc>
          <w:tcPr>
            <w:tcW w:w="2551" w:type="dxa"/>
            <w:vAlign w:val="center"/>
          </w:tcPr>
          <w:p w14:paraId="27D64C95">
            <w:pPr>
              <w:pStyle w:val="11"/>
            </w:pPr>
            <w:r>
              <w:t>10月底</w:t>
            </w:r>
          </w:p>
        </w:tc>
        <w:tc>
          <w:tcPr>
            <w:tcW w:w="3544" w:type="dxa"/>
            <w:gridSpan w:val="2"/>
            <w:vAlign w:val="center"/>
          </w:tcPr>
          <w:p w14:paraId="38285DC9">
            <w:pPr>
              <w:pStyle w:val="11"/>
            </w:pPr>
            <w:r>
              <w:t>12月底</w:t>
            </w:r>
          </w:p>
        </w:tc>
      </w:tr>
      <w:tr w14:paraId="208D3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67A699"/>
        </w:tc>
        <w:tc>
          <w:tcPr>
            <w:tcW w:w="5103" w:type="dxa"/>
            <w:gridSpan w:val="2"/>
            <w:vAlign w:val="center"/>
          </w:tcPr>
          <w:p w14:paraId="4644B473">
            <w:pPr>
              <w:pStyle w:val="12"/>
            </w:pPr>
            <w:r>
              <w:t xml:space="preserve"> </w:t>
            </w:r>
          </w:p>
        </w:tc>
        <w:tc>
          <w:tcPr>
            <w:tcW w:w="2835" w:type="dxa"/>
            <w:vAlign w:val="center"/>
          </w:tcPr>
          <w:p w14:paraId="676D90C6">
            <w:pPr>
              <w:pStyle w:val="12"/>
            </w:pPr>
            <w:r>
              <w:t xml:space="preserve"> </w:t>
            </w:r>
          </w:p>
        </w:tc>
        <w:tc>
          <w:tcPr>
            <w:tcW w:w="2551" w:type="dxa"/>
            <w:vAlign w:val="center"/>
          </w:tcPr>
          <w:p w14:paraId="4239E18B">
            <w:pPr>
              <w:pStyle w:val="12"/>
            </w:pPr>
            <w:r>
              <w:t xml:space="preserve"> </w:t>
            </w:r>
          </w:p>
        </w:tc>
        <w:tc>
          <w:tcPr>
            <w:tcW w:w="3544" w:type="dxa"/>
            <w:gridSpan w:val="2"/>
            <w:vAlign w:val="center"/>
          </w:tcPr>
          <w:p w14:paraId="7B94A187">
            <w:pPr>
              <w:pStyle w:val="12"/>
            </w:pPr>
            <w:r>
              <w:t>100%</w:t>
            </w:r>
          </w:p>
        </w:tc>
      </w:tr>
      <w:tr w14:paraId="1E179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F16D2">
            <w:pPr>
              <w:pStyle w:val="11"/>
            </w:pPr>
            <w:r>
              <w:t>绩效目标</w:t>
            </w:r>
          </w:p>
        </w:tc>
        <w:tc>
          <w:tcPr>
            <w:tcW w:w="14033" w:type="dxa"/>
            <w:gridSpan w:val="6"/>
            <w:vAlign w:val="center"/>
          </w:tcPr>
          <w:p w14:paraId="39F4C697">
            <w:pPr>
              <w:pStyle w:val="13"/>
            </w:pPr>
            <w:r>
              <w:t>1.保障义务教育学校正常运转，完成教育教学活动和其他日常工作任务等方面的费用支出。</w:t>
            </w:r>
          </w:p>
        </w:tc>
      </w:tr>
    </w:tbl>
    <w:p w14:paraId="0A7AC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D1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0C897">
            <w:pPr>
              <w:pStyle w:val="11"/>
            </w:pPr>
            <w:r>
              <w:t>一级指标</w:t>
            </w:r>
          </w:p>
        </w:tc>
        <w:tc>
          <w:tcPr>
            <w:tcW w:w="2268" w:type="dxa"/>
            <w:vAlign w:val="center"/>
          </w:tcPr>
          <w:p w14:paraId="79FEE9AD">
            <w:pPr>
              <w:pStyle w:val="11"/>
            </w:pPr>
            <w:r>
              <w:t>二级指标</w:t>
            </w:r>
          </w:p>
        </w:tc>
        <w:tc>
          <w:tcPr>
            <w:tcW w:w="2835" w:type="dxa"/>
            <w:vAlign w:val="center"/>
          </w:tcPr>
          <w:p w14:paraId="326F6ED6">
            <w:pPr>
              <w:pStyle w:val="11"/>
            </w:pPr>
            <w:r>
              <w:t>三级指标</w:t>
            </w:r>
          </w:p>
        </w:tc>
        <w:tc>
          <w:tcPr>
            <w:tcW w:w="5386" w:type="dxa"/>
            <w:vAlign w:val="center"/>
          </w:tcPr>
          <w:p w14:paraId="266EE6D0">
            <w:pPr>
              <w:pStyle w:val="11"/>
            </w:pPr>
            <w:r>
              <w:t>绩效指标描述</w:t>
            </w:r>
          </w:p>
        </w:tc>
        <w:tc>
          <w:tcPr>
            <w:tcW w:w="2268" w:type="dxa"/>
            <w:vAlign w:val="center"/>
          </w:tcPr>
          <w:p w14:paraId="0E19F9BA">
            <w:pPr>
              <w:pStyle w:val="11"/>
            </w:pPr>
            <w:r>
              <w:t>指标值</w:t>
            </w:r>
          </w:p>
        </w:tc>
        <w:tc>
          <w:tcPr>
            <w:tcW w:w="1276" w:type="dxa"/>
            <w:vAlign w:val="center"/>
          </w:tcPr>
          <w:p w14:paraId="7F6893F9">
            <w:pPr>
              <w:pStyle w:val="11"/>
            </w:pPr>
            <w:r>
              <w:t>指标值确定依据</w:t>
            </w:r>
          </w:p>
        </w:tc>
      </w:tr>
      <w:tr w14:paraId="7F0A6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6400D">
            <w:pPr>
              <w:pStyle w:val="12"/>
            </w:pPr>
            <w:r>
              <w:t>产出指标</w:t>
            </w:r>
          </w:p>
        </w:tc>
        <w:tc>
          <w:tcPr>
            <w:tcW w:w="2268" w:type="dxa"/>
            <w:vAlign w:val="center"/>
          </w:tcPr>
          <w:p w14:paraId="5AFC96A4">
            <w:pPr>
              <w:pStyle w:val="13"/>
            </w:pPr>
            <w:r>
              <w:t>数量指标</w:t>
            </w:r>
          </w:p>
        </w:tc>
        <w:tc>
          <w:tcPr>
            <w:tcW w:w="2835" w:type="dxa"/>
            <w:vAlign w:val="center"/>
          </w:tcPr>
          <w:p w14:paraId="4D8F3892">
            <w:pPr>
              <w:pStyle w:val="13"/>
            </w:pPr>
            <w:r>
              <w:t>适龄在校生</w:t>
            </w:r>
          </w:p>
        </w:tc>
        <w:tc>
          <w:tcPr>
            <w:tcW w:w="5386" w:type="dxa"/>
            <w:vAlign w:val="center"/>
          </w:tcPr>
          <w:p w14:paraId="63990232">
            <w:pPr>
              <w:pStyle w:val="13"/>
            </w:pPr>
            <w:r>
              <w:t>适龄在校就读学生人数</w:t>
            </w:r>
          </w:p>
        </w:tc>
        <w:tc>
          <w:tcPr>
            <w:tcW w:w="2268" w:type="dxa"/>
            <w:vAlign w:val="center"/>
          </w:tcPr>
          <w:p w14:paraId="4DAAF10E">
            <w:pPr>
              <w:pStyle w:val="13"/>
            </w:pPr>
            <w:r>
              <w:t>321人</w:t>
            </w:r>
          </w:p>
        </w:tc>
        <w:tc>
          <w:tcPr>
            <w:tcW w:w="1276" w:type="dxa"/>
            <w:vAlign w:val="center"/>
          </w:tcPr>
          <w:p w14:paraId="6CACD3F7">
            <w:pPr>
              <w:pStyle w:val="13"/>
            </w:pPr>
            <w:r>
              <w:t>城乡义务教育公用经费管理办法</w:t>
            </w:r>
          </w:p>
        </w:tc>
      </w:tr>
      <w:tr w14:paraId="0062F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2EB6F"/>
        </w:tc>
        <w:tc>
          <w:tcPr>
            <w:tcW w:w="2268" w:type="dxa"/>
            <w:vAlign w:val="center"/>
          </w:tcPr>
          <w:p w14:paraId="26376CCA">
            <w:pPr>
              <w:pStyle w:val="13"/>
            </w:pPr>
            <w:r>
              <w:t>质量指标</w:t>
            </w:r>
          </w:p>
        </w:tc>
        <w:tc>
          <w:tcPr>
            <w:tcW w:w="2835" w:type="dxa"/>
            <w:vAlign w:val="center"/>
          </w:tcPr>
          <w:p w14:paraId="6F410631">
            <w:pPr>
              <w:pStyle w:val="13"/>
            </w:pPr>
            <w:r>
              <w:t>预算控制率</w:t>
            </w:r>
          </w:p>
        </w:tc>
        <w:tc>
          <w:tcPr>
            <w:tcW w:w="5386" w:type="dxa"/>
            <w:vAlign w:val="center"/>
          </w:tcPr>
          <w:p w14:paraId="7BD4B717">
            <w:pPr>
              <w:pStyle w:val="13"/>
            </w:pPr>
            <w:r>
              <w:t>预算执行</w:t>
            </w:r>
          </w:p>
        </w:tc>
        <w:tc>
          <w:tcPr>
            <w:tcW w:w="2268" w:type="dxa"/>
            <w:vAlign w:val="center"/>
          </w:tcPr>
          <w:p w14:paraId="46D7CBBE">
            <w:pPr>
              <w:pStyle w:val="13"/>
            </w:pPr>
            <w:r>
              <w:t>≥95%</w:t>
            </w:r>
          </w:p>
        </w:tc>
        <w:tc>
          <w:tcPr>
            <w:tcW w:w="1276" w:type="dxa"/>
            <w:vAlign w:val="center"/>
          </w:tcPr>
          <w:p w14:paraId="101C8708">
            <w:pPr>
              <w:pStyle w:val="13"/>
            </w:pPr>
            <w:r>
              <w:t>城乡义务教育公用经费管理办法</w:t>
            </w:r>
          </w:p>
        </w:tc>
      </w:tr>
      <w:tr w14:paraId="7000F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05823"/>
        </w:tc>
        <w:tc>
          <w:tcPr>
            <w:tcW w:w="2268" w:type="dxa"/>
            <w:vAlign w:val="center"/>
          </w:tcPr>
          <w:p w14:paraId="266A5723">
            <w:pPr>
              <w:pStyle w:val="13"/>
            </w:pPr>
            <w:r>
              <w:t>时效指标</w:t>
            </w:r>
          </w:p>
        </w:tc>
        <w:tc>
          <w:tcPr>
            <w:tcW w:w="2835" w:type="dxa"/>
            <w:vAlign w:val="center"/>
          </w:tcPr>
          <w:p w14:paraId="170424A5">
            <w:pPr>
              <w:pStyle w:val="13"/>
            </w:pPr>
            <w:r>
              <w:t>资金支付率</w:t>
            </w:r>
          </w:p>
        </w:tc>
        <w:tc>
          <w:tcPr>
            <w:tcW w:w="5386" w:type="dxa"/>
            <w:vAlign w:val="center"/>
          </w:tcPr>
          <w:p w14:paraId="65498CB3">
            <w:pPr>
              <w:pStyle w:val="13"/>
            </w:pPr>
            <w:r>
              <w:t>按照序时进度完成资金支付</w:t>
            </w:r>
          </w:p>
        </w:tc>
        <w:tc>
          <w:tcPr>
            <w:tcW w:w="2268" w:type="dxa"/>
            <w:vAlign w:val="center"/>
          </w:tcPr>
          <w:p w14:paraId="7F5DBC75">
            <w:pPr>
              <w:pStyle w:val="13"/>
            </w:pPr>
            <w:r>
              <w:t>≥100%</w:t>
            </w:r>
          </w:p>
        </w:tc>
        <w:tc>
          <w:tcPr>
            <w:tcW w:w="1276" w:type="dxa"/>
            <w:vAlign w:val="center"/>
          </w:tcPr>
          <w:p w14:paraId="414D0021">
            <w:pPr>
              <w:pStyle w:val="13"/>
            </w:pPr>
            <w:r>
              <w:t>城乡义务教育公用经费管理办法</w:t>
            </w:r>
          </w:p>
        </w:tc>
      </w:tr>
      <w:tr w14:paraId="3D22A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A3085"/>
        </w:tc>
        <w:tc>
          <w:tcPr>
            <w:tcW w:w="2268" w:type="dxa"/>
            <w:vAlign w:val="center"/>
          </w:tcPr>
          <w:p w14:paraId="44F4BB65">
            <w:pPr>
              <w:pStyle w:val="13"/>
            </w:pPr>
            <w:r>
              <w:t>成本指标</w:t>
            </w:r>
          </w:p>
        </w:tc>
        <w:tc>
          <w:tcPr>
            <w:tcW w:w="2835" w:type="dxa"/>
            <w:vAlign w:val="center"/>
          </w:tcPr>
          <w:p w14:paraId="2F95A3DD">
            <w:pPr>
              <w:pStyle w:val="13"/>
            </w:pPr>
            <w:r>
              <w:t>生均拨款标准</w:t>
            </w:r>
          </w:p>
        </w:tc>
        <w:tc>
          <w:tcPr>
            <w:tcW w:w="5386" w:type="dxa"/>
            <w:vAlign w:val="center"/>
          </w:tcPr>
          <w:p w14:paraId="42FFF0A6">
            <w:pPr>
              <w:pStyle w:val="13"/>
            </w:pPr>
            <w:r>
              <w:t>小学：（基本标准720元、寄宿生300元、取暖120元）/生/学年；随班就读学生：标准6000元/生/学年。</w:t>
            </w:r>
          </w:p>
        </w:tc>
        <w:tc>
          <w:tcPr>
            <w:tcW w:w="2268" w:type="dxa"/>
            <w:vAlign w:val="center"/>
          </w:tcPr>
          <w:p w14:paraId="13BEF72C">
            <w:pPr>
              <w:pStyle w:val="13"/>
            </w:pPr>
            <w:r>
              <w:t>162570元</w:t>
            </w:r>
          </w:p>
        </w:tc>
        <w:tc>
          <w:tcPr>
            <w:tcW w:w="1276" w:type="dxa"/>
            <w:vAlign w:val="center"/>
          </w:tcPr>
          <w:p w14:paraId="7565197A">
            <w:pPr>
              <w:pStyle w:val="13"/>
            </w:pPr>
            <w:r>
              <w:t>城乡义务教育公用经费管理办法</w:t>
            </w:r>
          </w:p>
        </w:tc>
      </w:tr>
      <w:tr w14:paraId="37174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31707B">
            <w:pPr>
              <w:pStyle w:val="12"/>
            </w:pPr>
            <w:r>
              <w:t>效益指标</w:t>
            </w:r>
          </w:p>
        </w:tc>
        <w:tc>
          <w:tcPr>
            <w:tcW w:w="2268" w:type="dxa"/>
            <w:vAlign w:val="center"/>
          </w:tcPr>
          <w:p w14:paraId="7510E467">
            <w:pPr>
              <w:pStyle w:val="13"/>
            </w:pPr>
            <w:r>
              <w:t>可持续影响指标</w:t>
            </w:r>
          </w:p>
        </w:tc>
        <w:tc>
          <w:tcPr>
            <w:tcW w:w="2835" w:type="dxa"/>
            <w:vAlign w:val="center"/>
          </w:tcPr>
          <w:p w14:paraId="0115DE7B">
            <w:pPr>
              <w:pStyle w:val="13"/>
            </w:pPr>
            <w:r>
              <w:t>教育发展水平明显好转</w:t>
            </w:r>
          </w:p>
        </w:tc>
        <w:tc>
          <w:tcPr>
            <w:tcW w:w="5386" w:type="dxa"/>
            <w:vAlign w:val="center"/>
          </w:tcPr>
          <w:p w14:paraId="1749FBE0">
            <w:pPr>
              <w:pStyle w:val="13"/>
            </w:pPr>
            <w:r>
              <w:t>学生受教育年限</w:t>
            </w:r>
          </w:p>
        </w:tc>
        <w:tc>
          <w:tcPr>
            <w:tcW w:w="2268" w:type="dxa"/>
            <w:vAlign w:val="center"/>
          </w:tcPr>
          <w:p w14:paraId="3D447BE5">
            <w:pPr>
              <w:pStyle w:val="13"/>
            </w:pPr>
            <w:r>
              <w:t>6年</w:t>
            </w:r>
          </w:p>
        </w:tc>
        <w:tc>
          <w:tcPr>
            <w:tcW w:w="1276" w:type="dxa"/>
            <w:vAlign w:val="center"/>
          </w:tcPr>
          <w:p w14:paraId="05648AD8">
            <w:pPr>
              <w:pStyle w:val="13"/>
            </w:pPr>
            <w:r>
              <w:t>城乡义务教育公用经费管理办法</w:t>
            </w:r>
          </w:p>
        </w:tc>
      </w:tr>
      <w:tr w14:paraId="0660C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3C6561">
            <w:pPr>
              <w:pStyle w:val="12"/>
            </w:pPr>
            <w:r>
              <w:t>满意度指标</w:t>
            </w:r>
          </w:p>
        </w:tc>
        <w:tc>
          <w:tcPr>
            <w:tcW w:w="2268" w:type="dxa"/>
            <w:vAlign w:val="center"/>
          </w:tcPr>
          <w:p w14:paraId="7CB8DA76">
            <w:pPr>
              <w:pStyle w:val="13"/>
            </w:pPr>
            <w:r>
              <w:t>服务对象满意度指标</w:t>
            </w:r>
          </w:p>
        </w:tc>
        <w:tc>
          <w:tcPr>
            <w:tcW w:w="2835" w:type="dxa"/>
            <w:vAlign w:val="center"/>
          </w:tcPr>
          <w:p w14:paraId="55FCB3D3">
            <w:pPr>
              <w:pStyle w:val="13"/>
            </w:pPr>
            <w:r>
              <w:t>受益学生家长及调查满意度</w:t>
            </w:r>
          </w:p>
        </w:tc>
        <w:tc>
          <w:tcPr>
            <w:tcW w:w="5386" w:type="dxa"/>
            <w:vAlign w:val="center"/>
          </w:tcPr>
          <w:p w14:paraId="0CCCD90E">
            <w:pPr>
              <w:pStyle w:val="13"/>
            </w:pPr>
            <w:r>
              <w:t>学生、教师及家长对学校教育教学工作满意度情况</w:t>
            </w:r>
          </w:p>
        </w:tc>
        <w:tc>
          <w:tcPr>
            <w:tcW w:w="2268" w:type="dxa"/>
            <w:vAlign w:val="center"/>
          </w:tcPr>
          <w:p w14:paraId="34F4D08E">
            <w:pPr>
              <w:pStyle w:val="13"/>
            </w:pPr>
            <w:r>
              <w:t>≥95%</w:t>
            </w:r>
          </w:p>
        </w:tc>
        <w:tc>
          <w:tcPr>
            <w:tcW w:w="1276" w:type="dxa"/>
            <w:vAlign w:val="center"/>
          </w:tcPr>
          <w:p w14:paraId="29D4CEF7">
            <w:pPr>
              <w:pStyle w:val="13"/>
            </w:pPr>
            <w:r>
              <w:t>调查问卷</w:t>
            </w:r>
          </w:p>
        </w:tc>
      </w:tr>
    </w:tbl>
    <w:p w14:paraId="37949879">
      <w:pPr>
        <w:sectPr>
          <w:pgSz w:w="16840" w:h="11900" w:orient="landscape"/>
          <w:pgMar w:top="1361" w:right="1020" w:bottom="1134" w:left="1020" w:header="720" w:footer="720" w:gutter="0"/>
          <w:cols w:space="720" w:num="1"/>
        </w:sectPr>
      </w:pPr>
    </w:p>
    <w:p w14:paraId="75ED4B84">
      <w:pPr>
        <w:spacing w:before="0" w:after="0"/>
        <w:ind w:firstLine="560"/>
        <w:jc w:val="left"/>
        <w:outlineLvl w:val="9"/>
      </w:pPr>
      <w:r>
        <w:rPr>
          <w:rFonts w:ascii="方正仿宋_GBK" w:hAnsi="方正仿宋_GBK" w:eastAsia="方正仿宋_GBK" w:cs="方正仿宋_GBK"/>
          <w:b/>
          <w:color w:val="000000"/>
          <w:sz w:val="28"/>
        </w:rPr>
        <w:t>142、县级配套/隆尧县私立东苑中学（初中）公用经费绩效目标表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07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0316B">
            <w:pPr>
              <w:pStyle w:val="14"/>
            </w:pPr>
            <w:r>
              <w:t>单位：万元</w:t>
            </w:r>
          </w:p>
        </w:tc>
      </w:tr>
      <w:tr w14:paraId="623610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7E58E9">
            <w:pPr>
              <w:pStyle w:val="11"/>
            </w:pPr>
            <w:r>
              <w:t>项目编码</w:t>
            </w:r>
          </w:p>
        </w:tc>
        <w:tc>
          <w:tcPr>
            <w:tcW w:w="5103" w:type="dxa"/>
            <w:gridSpan w:val="2"/>
            <w:vAlign w:val="center"/>
          </w:tcPr>
          <w:p w14:paraId="3784CF22">
            <w:pPr>
              <w:pStyle w:val="13"/>
            </w:pPr>
            <w:r>
              <w:t>13052525P00000410014A</w:t>
            </w:r>
          </w:p>
        </w:tc>
        <w:tc>
          <w:tcPr>
            <w:tcW w:w="2835" w:type="dxa"/>
            <w:vAlign w:val="center"/>
          </w:tcPr>
          <w:p w14:paraId="52DFF9A3">
            <w:pPr>
              <w:pStyle w:val="11"/>
            </w:pPr>
            <w:r>
              <w:t>项目名称</w:t>
            </w:r>
          </w:p>
        </w:tc>
        <w:tc>
          <w:tcPr>
            <w:tcW w:w="6095" w:type="dxa"/>
            <w:gridSpan w:val="3"/>
            <w:vAlign w:val="center"/>
          </w:tcPr>
          <w:p w14:paraId="76EAD3FB">
            <w:pPr>
              <w:pStyle w:val="13"/>
            </w:pPr>
            <w:r>
              <w:t>县级配套/隆尧县私立东苑中学（初中）公用经费</w:t>
            </w:r>
            <w:r>
              <w:tab/>
            </w:r>
            <w:r>
              <w:tab/>
            </w:r>
            <w:r>
              <w:tab/>
            </w:r>
          </w:p>
        </w:tc>
      </w:tr>
      <w:tr w14:paraId="17C31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3345C">
            <w:pPr>
              <w:pStyle w:val="11"/>
            </w:pPr>
            <w:r>
              <w:t>预算规模及资金用途</w:t>
            </w:r>
          </w:p>
        </w:tc>
        <w:tc>
          <w:tcPr>
            <w:tcW w:w="2268" w:type="dxa"/>
            <w:vAlign w:val="center"/>
          </w:tcPr>
          <w:p w14:paraId="4C27123D">
            <w:pPr>
              <w:pStyle w:val="11"/>
            </w:pPr>
            <w:r>
              <w:t>预算数</w:t>
            </w:r>
          </w:p>
        </w:tc>
        <w:tc>
          <w:tcPr>
            <w:tcW w:w="2835" w:type="dxa"/>
            <w:vAlign w:val="center"/>
          </w:tcPr>
          <w:p w14:paraId="520C028A">
            <w:pPr>
              <w:pStyle w:val="13"/>
            </w:pPr>
            <w:r>
              <w:t>72.00</w:t>
            </w:r>
          </w:p>
        </w:tc>
        <w:tc>
          <w:tcPr>
            <w:tcW w:w="2835" w:type="dxa"/>
            <w:vAlign w:val="center"/>
          </w:tcPr>
          <w:p w14:paraId="132988DC">
            <w:pPr>
              <w:pStyle w:val="11"/>
            </w:pPr>
            <w:r>
              <w:t>其中：财政    资金</w:t>
            </w:r>
          </w:p>
        </w:tc>
        <w:tc>
          <w:tcPr>
            <w:tcW w:w="2551" w:type="dxa"/>
            <w:vAlign w:val="center"/>
          </w:tcPr>
          <w:p w14:paraId="078219B1">
            <w:pPr>
              <w:pStyle w:val="13"/>
            </w:pPr>
            <w:r>
              <w:t>72.00</w:t>
            </w:r>
          </w:p>
        </w:tc>
        <w:tc>
          <w:tcPr>
            <w:tcW w:w="2268" w:type="dxa"/>
            <w:vAlign w:val="center"/>
          </w:tcPr>
          <w:p w14:paraId="1D7E23D5">
            <w:pPr>
              <w:pStyle w:val="11"/>
            </w:pPr>
            <w:r>
              <w:t>其他资金</w:t>
            </w:r>
          </w:p>
        </w:tc>
        <w:tc>
          <w:tcPr>
            <w:tcW w:w="1276" w:type="dxa"/>
            <w:vAlign w:val="center"/>
          </w:tcPr>
          <w:p w14:paraId="30C23993">
            <w:pPr>
              <w:pStyle w:val="13"/>
            </w:pPr>
            <w:r>
              <w:t xml:space="preserve"> </w:t>
            </w:r>
          </w:p>
        </w:tc>
      </w:tr>
      <w:tr w14:paraId="52753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5C2CD"/>
        </w:tc>
        <w:tc>
          <w:tcPr>
            <w:tcW w:w="14033" w:type="dxa"/>
            <w:gridSpan w:val="6"/>
            <w:vAlign w:val="center"/>
          </w:tcPr>
          <w:p w14:paraId="165C4307">
            <w:pPr>
              <w:pStyle w:val="13"/>
            </w:pPr>
            <w:r>
              <w:t>保障义务教育学校正常运转，完成教育教学活动和其他日常工作任务等方面的费用支出。</w:t>
            </w:r>
          </w:p>
        </w:tc>
      </w:tr>
      <w:tr w14:paraId="51128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47D08">
            <w:pPr>
              <w:pStyle w:val="11"/>
            </w:pPr>
            <w:r>
              <w:t>资金支出计划（%）</w:t>
            </w:r>
          </w:p>
        </w:tc>
        <w:tc>
          <w:tcPr>
            <w:tcW w:w="5103" w:type="dxa"/>
            <w:gridSpan w:val="2"/>
            <w:vAlign w:val="center"/>
          </w:tcPr>
          <w:p w14:paraId="63577A92">
            <w:pPr>
              <w:pStyle w:val="11"/>
            </w:pPr>
            <w:r>
              <w:t>3月底</w:t>
            </w:r>
          </w:p>
        </w:tc>
        <w:tc>
          <w:tcPr>
            <w:tcW w:w="2835" w:type="dxa"/>
            <w:vAlign w:val="center"/>
          </w:tcPr>
          <w:p w14:paraId="704AA901">
            <w:pPr>
              <w:pStyle w:val="11"/>
            </w:pPr>
            <w:r>
              <w:t>6月底</w:t>
            </w:r>
          </w:p>
        </w:tc>
        <w:tc>
          <w:tcPr>
            <w:tcW w:w="2551" w:type="dxa"/>
            <w:vAlign w:val="center"/>
          </w:tcPr>
          <w:p w14:paraId="5947F19B">
            <w:pPr>
              <w:pStyle w:val="11"/>
            </w:pPr>
            <w:r>
              <w:t>10月底</w:t>
            </w:r>
          </w:p>
        </w:tc>
        <w:tc>
          <w:tcPr>
            <w:tcW w:w="3544" w:type="dxa"/>
            <w:gridSpan w:val="2"/>
            <w:vAlign w:val="center"/>
          </w:tcPr>
          <w:p w14:paraId="626497EB">
            <w:pPr>
              <w:pStyle w:val="11"/>
            </w:pPr>
            <w:r>
              <w:t>12月底</w:t>
            </w:r>
          </w:p>
        </w:tc>
      </w:tr>
      <w:tr w14:paraId="43C3F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8E02E"/>
        </w:tc>
        <w:tc>
          <w:tcPr>
            <w:tcW w:w="5103" w:type="dxa"/>
            <w:gridSpan w:val="2"/>
            <w:vAlign w:val="center"/>
          </w:tcPr>
          <w:p w14:paraId="0FDFF316">
            <w:pPr>
              <w:pStyle w:val="12"/>
            </w:pPr>
            <w:r>
              <w:t xml:space="preserve"> </w:t>
            </w:r>
          </w:p>
        </w:tc>
        <w:tc>
          <w:tcPr>
            <w:tcW w:w="2835" w:type="dxa"/>
            <w:vAlign w:val="center"/>
          </w:tcPr>
          <w:p w14:paraId="065289BB">
            <w:pPr>
              <w:pStyle w:val="12"/>
            </w:pPr>
            <w:r>
              <w:t xml:space="preserve"> </w:t>
            </w:r>
          </w:p>
        </w:tc>
        <w:tc>
          <w:tcPr>
            <w:tcW w:w="2551" w:type="dxa"/>
            <w:vAlign w:val="center"/>
          </w:tcPr>
          <w:p w14:paraId="76E486A3">
            <w:pPr>
              <w:pStyle w:val="12"/>
            </w:pPr>
            <w:r>
              <w:t xml:space="preserve"> </w:t>
            </w:r>
          </w:p>
        </w:tc>
        <w:tc>
          <w:tcPr>
            <w:tcW w:w="3544" w:type="dxa"/>
            <w:gridSpan w:val="2"/>
            <w:vAlign w:val="center"/>
          </w:tcPr>
          <w:p w14:paraId="7F2418BC">
            <w:pPr>
              <w:pStyle w:val="12"/>
            </w:pPr>
            <w:r>
              <w:t>100%</w:t>
            </w:r>
          </w:p>
        </w:tc>
      </w:tr>
      <w:tr w14:paraId="37F0E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DC2B1">
            <w:pPr>
              <w:pStyle w:val="11"/>
            </w:pPr>
            <w:r>
              <w:t>绩效目标</w:t>
            </w:r>
          </w:p>
        </w:tc>
        <w:tc>
          <w:tcPr>
            <w:tcW w:w="14033" w:type="dxa"/>
            <w:gridSpan w:val="6"/>
            <w:vAlign w:val="center"/>
          </w:tcPr>
          <w:p w14:paraId="2C79BEE3">
            <w:pPr>
              <w:pStyle w:val="13"/>
            </w:pPr>
            <w:r>
              <w:t>1.保障义务教育学校正常运转，完成教育教学活动和其他日常工作任务等方面的费用支出。</w:t>
            </w:r>
            <w:r>
              <w:tab/>
            </w:r>
            <w:r>
              <w:tab/>
            </w:r>
            <w:r>
              <w:tab/>
            </w:r>
            <w:r>
              <w:tab/>
            </w:r>
            <w:r>
              <w:tab/>
            </w:r>
            <w:r>
              <w:tab/>
            </w:r>
          </w:p>
          <w:p w14:paraId="4876B7B2">
            <w:pPr>
              <w:pStyle w:val="13"/>
            </w:pPr>
          </w:p>
        </w:tc>
      </w:tr>
    </w:tbl>
    <w:p w14:paraId="3E13C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E9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5213801">
            <w:pPr>
              <w:pStyle w:val="11"/>
            </w:pPr>
            <w:r>
              <w:t>一级指标</w:t>
            </w:r>
          </w:p>
        </w:tc>
        <w:tc>
          <w:tcPr>
            <w:tcW w:w="2268" w:type="dxa"/>
            <w:vAlign w:val="center"/>
          </w:tcPr>
          <w:p w14:paraId="634F5801">
            <w:pPr>
              <w:pStyle w:val="11"/>
            </w:pPr>
            <w:r>
              <w:t>二级指标</w:t>
            </w:r>
          </w:p>
        </w:tc>
        <w:tc>
          <w:tcPr>
            <w:tcW w:w="2835" w:type="dxa"/>
            <w:vAlign w:val="center"/>
          </w:tcPr>
          <w:p w14:paraId="481F7090">
            <w:pPr>
              <w:pStyle w:val="11"/>
            </w:pPr>
            <w:r>
              <w:t>三级指标</w:t>
            </w:r>
          </w:p>
        </w:tc>
        <w:tc>
          <w:tcPr>
            <w:tcW w:w="5386" w:type="dxa"/>
            <w:vAlign w:val="center"/>
          </w:tcPr>
          <w:p w14:paraId="5F9F5FB5">
            <w:pPr>
              <w:pStyle w:val="11"/>
            </w:pPr>
            <w:r>
              <w:t>绩效指标描述</w:t>
            </w:r>
          </w:p>
        </w:tc>
        <w:tc>
          <w:tcPr>
            <w:tcW w:w="2268" w:type="dxa"/>
            <w:vAlign w:val="center"/>
          </w:tcPr>
          <w:p w14:paraId="18CB9C1A">
            <w:pPr>
              <w:pStyle w:val="11"/>
            </w:pPr>
            <w:r>
              <w:t>指标值</w:t>
            </w:r>
          </w:p>
        </w:tc>
        <w:tc>
          <w:tcPr>
            <w:tcW w:w="1276" w:type="dxa"/>
            <w:vAlign w:val="center"/>
          </w:tcPr>
          <w:p w14:paraId="1E6025D0">
            <w:pPr>
              <w:pStyle w:val="11"/>
            </w:pPr>
            <w:r>
              <w:t>指标值确定依据</w:t>
            </w:r>
          </w:p>
        </w:tc>
      </w:tr>
      <w:tr w14:paraId="33B80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08BD3">
            <w:pPr>
              <w:pStyle w:val="12"/>
            </w:pPr>
            <w:r>
              <w:t>产出指标</w:t>
            </w:r>
          </w:p>
        </w:tc>
        <w:tc>
          <w:tcPr>
            <w:tcW w:w="2268" w:type="dxa"/>
            <w:vAlign w:val="center"/>
          </w:tcPr>
          <w:p w14:paraId="0288AF48">
            <w:pPr>
              <w:pStyle w:val="13"/>
            </w:pPr>
            <w:r>
              <w:t>数量指标</w:t>
            </w:r>
          </w:p>
        </w:tc>
        <w:tc>
          <w:tcPr>
            <w:tcW w:w="2835" w:type="dxa"/>
            <w:vAlign w:val="center"/>
          </w:tcPr>
          <w:p w14:paraId="6A008A37">
            <w:pPr>
              <w:pStyle w:val="13"/>
            </w:pPr>
            <w:r>
              <w:t>适龄在校生</w:t>
            </w:r>
          </w:p>
        </w:tc>
        <w:tc>
          <w:tcPr>
            <w:tcW w:w="5386" w:type="dxa"/>
            <w:vAlign w:val="center"/>
          </w:tcPr>
          <w:p w14:paraId="1BB91FD8">
            <w:pPr>
              <w:pStyle w:val="13"/>
            </w:pPr>
            <w:r>
              <w:t>适龄在校就读学生人数</w:t>
            </w:r>
          </w:p>
        </w:tc>
        <w:tc>
          <w:tcPr>
            <w:tcW w:w="2268" w:type="dxa"/>
            <w:vAlign w:val="center"/>
          </w:tcPr>
          <w:p w14:paraId="0AE32F92">
            <w:pPr>
              <w:pStyle w:val="13"/>
            </w:pPr>
            <w:r>
              <w:t>716人</w:t>
            </w:r>
          </w:p>
        </w:tc>
        <w:tc>
          <w:tcPr>
            <w:tcW w:w="1276" w:type="dxa"/>
            <w:vAlign w:val="center"/>
          </w:tcPr>
          <w:p w14:paraId="73C60E23">
            <w:pPr>
              <w:pStyle w:val="13"/>
            </w:pPr>
            <w:r>
              <w:t>城乡义务教育公用经费管理办法</w:t>
            </w:r>
          </w:p>
        </w:tc>
      </w:tr>
      <w:tr w14:paraId="196BA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06376"/>
        </w:tc>
        <w:tc>
          <w:tcPr>
            <w:tcW w:w="2268" w:type="dxa"/>
            <w:vAlign w:val="center"/>
          </w:tcPr>
          <w:p w14:paraId="2BEC8B96">
            <w:pPr>
              <w:pStyle w:val="13"/>
            </w:pPr>
            <w:r>
              <w:t>质量指标</w:t>
            </w:r>
          </w:p>
        </w:tc>
        <w:tc>
          <w:tcPr>
            <w:tcW w:w="2835" w:type="dxa"/>
            <w:vAlign w:val="center"/>
          </w:tcPr>
          <w:p w14:paraId="1A9AF0F7">
            <w:pPr>
              <w:pStyle w:val="13"/>
            </w:pPr>
            <w:r>
              <w:t>预算控制率</w:t>
            </w:r>
          </w:p>
        </w:tc>
        <w:tc>
          <w:tcPr>
            <w:tcW w:w="5386" w:type="dxa"/>
            <w:vAlign w:val="center"/>
          </w:tcPr>
          <w:p w14:paraId="04932C80">
            <w:pPr>
              <w:pStyle w:val="13"/>
            </w:pPr>
            <w:r>
              <w:t>预算执行</w:t>
            </w:r>
          </w:p>
        </w:tc>
        <w:tc>
          <w:tcPr>
            <w:tcW w:w="2268" w:type="dxa"/>
            <w:vAlign w:val="center"/>
          </w:tcPr>
          <w:p w14:paraId="56FBE566">
            <w:pPr>
              <w:pStyle w:val="13"/>
            </w:pPr>
            <w:r>
              <w:t>≥95%</w:t>
            </w:r>
          </w:p>
        </w:tc>
        <w:tc>
          <w:tcPr>
            <w:tcW w:w="1276" w:type="dxa"/>
            <w:vAlign w:val="center"/>
          </w:tcPr>
          <w:p w14:paraId="544C2D8C">
            <w:pPr>
              <w:pStyle w:val="13"/>
            </w:pPr>
            <w:r>
              <w:t>城乡义务教育公用经费管理办法</w:t>
            </w:r>
          </w:p>
        </w:tc>
      </w:tr>
      <w:tr w14:paraId="744C0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2B08B"/>
        </w:tc>
        <w:tc>
          <w:tcPr>
            <w:tcW w:w="2268" w:type="dxa"/>
            <w:vAlign w:val="center"/>
          </w:tcPr>
          <w:p w14:paraId="41AE83B4">
            <w:pPr>
              <w:pStyle w:val="13"/>
            </w:pPr>
            <w:r>
              <w:t>时效指标</w:t>
            </w:r>
          </w:p>
        </w:tc>
        <w:tc>
          <w:tcPr>
            <w:tcW w:w="2835" w:type="dxa"/>
            <w:vAlign w:val="center"/>
          </w:tcPr>
          <w:p w14:paraId="1B1C9E81">
            <w:pPr>
              <w:pStyle w:val="13"/>
            </w:pPr>
            <w:r>
              <w:t>资金支付率</w:t>
            </w:r>
          </w:p>
        </w:tc>
        <w:tc>
          <w:tcPr>
            <w:tcW w:w="5386" w:type="dxa"/>
            <w:vAlign w:val="center"/>
          </w:tcPr>
          <w:p w14:paraId="5E2165AF">
            <w:pPr>
              <w:pStyle w:val="13"/>
            </w:pPr>
            <w:r>
              <w:t>按照序时进度完成资金支付</w:t>
            </w:r>
          </w:p>
        </w:tc>
        <w:tc>
          <w:tcPr>
            <w:tcW w:w="2268" w:type="dxa"/>
            <w:vAlign w:val="center"/>
          </w:tcPr>
          <w:p w14:paraId="3CEC88EC">
            <w:pPr>
              <w:pStyle w:val="13"/>
            </w:pPr>
            <w:r>
              <w:t>≥100%</w:t>
            </w:r>
          </w:p>
        </w:tc>
        <w:tc>
          <w:tcPr>
            <w:tcW w:w="1276" w:type="dxa"/>
            <w:vAlign w:val="center"/>
          </w:tcPr>
          <w:p w14:paraId="5D804E78">
            <w:pPr>
              <w:pStyle w:val="13"/>
            </w:pPr>
            <w:r>
              <w:t>城乡义务教育公用经费管理办法</w:t>
            </w:r>
          </w:p>
        </w:tc>
      </w:tr>
      <w:tr w14:paraId="4EC3F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00F25"/>
        </w:tc>
        <w:tc>
          <w:tcPr>
            <w:tcW w:w="2268" w:type="dxa"/>
            <w:vAlign w:val="center"/>
          </w:tcPr>
          <w:p w14:paraId="726403E7">
            <w:pPr>
              <w:pStyle w:val="13"/>
            </w:pPr>
            <w:r>
              <w:t>成本指标</w:t>
            </w:r>
          </w:p>
        </w:tc>
        <w:tc>
          <w:tcPr>
            <w:tcW w:w="2835" w:type="dxa"/>
            <w:vAlign w:val="center"/>
          </w:tcPr>
          <w:p w14:paraId="36D62E7D">
            <w:pPr>
              <w:pStyle w:val="13"/>
            </w:pPr>
            <w:r>
              <w:t>生均拨款标准</w:t>
            </w:r>
          </w:p>
        </w:tc>
        <w:tc>
          <w:tcPr>
            <w:tcW w:w="5386" w:type="dxa"/>
            <w:vAlign w:val="center"/>
          </w:tcPr>
          <w:p w14:paraId="0D202037">
            <w:pPr>
              <w:pStyle w:val="13"/>
            </w:pPr>
            <w:r>
              <w:t>小学：（基本标准720元、寄宿生300元、取暖120元）/生/学年；随班就读学生：标准6000元/生/学年。</w:t>
            </w:r>
          </w:p>
        </w:tc>
        <w:tc>
          <w:tcPr>
            <w:tcW w:w="2268" w:type="dxa"/>
            <w:vAlign w:val="center"/>
          </w:tcPr>
          <w:p w14:paraId="6CAFCF48">
            <w:pPr>
              <w:pStyle w:val="13"/>
            </w:pPr>
            <w:r>
              <w:t>720000元</w:t>
            </w:r>
          </w:p>
        </w:tc>
        <w:tc>
          <w:tcPr>
            <w:tcW w:w="1276" w:type="dxa"/>
            <w:vAlign w:val="center"/>
          </w:tcPr>
          <w:p w14:paraId="191C1A87">
            <w:pPr>
              <w:pStyle w:val="13"/>
            </w:pPr>
            <w:r>
              <w:t>城乡义务教育公用经费管理办法</w:t>
            </w:r>
          </w:p>
        </w:tc>
      </w:tr>
      <w:tr w14:paraId="235BA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480E7">
            <w:pPr>
              <w:pStyle w:val="12"/>
            </w:pPr>
            <w:r>
              <w:t>效益指标</w:t>
            </w:r>
          </w:p>
        </w:tc>
        <w:tc>
          <w:tcPr>
            <w:tcW w:w="2268" w:type="dxa"/>
            <w:vAlign w:val="center"/>
          </w:tcPr>
          <w:p w14:paraId="2D59A8B8">
            <w:pPr>
              <w:pStyle w:val="13"/>
            </w:pPr>
            <w:r>
              <w:t>可持续影响指标</w:t>
            </w:r>
          </w:p>
        </w:tc>
        <w:tc>
          <w:tcPr>
            <w:tcW w:w="2835" w:type="dxa"/>
            <w:vAlign w:val="center"/>
          </w:tcPr>
          <w:p w14:paraId="7298E766">
            <w:pPr>
              <w:pStyle w:val="13"/>
            </w:pPr>
            <w:r>
              <w:t>教育发展水平明显好转</w:t>
            </w:r>
          </w:p>
        </w:tc>
        <w:tc>
          <w:tcPr>
            <w:tcW w:w="5386" w:type="dxa"/>
            <w:vAlign w:val="center"/>
          </w:tcPr>
          <w:p w14:paraId="144F7F67">
            <w:pPr>
              <w:pStyle w:val="13"/>
            </w:pPr>
            <w:r>
              <w:t>学生受教育年限</w:t>
            </w:r>
          </w:p>
        </w:tc>
        <w:tc>
          <w:tcPr>
            <w:tcW w:w="2268" w:type="dxa"/>
            <w:vAlign w:val="center"/>
          </w:tcPr>
          <w:p w14:paraId="136908DE">
            <w:pPr>
              <w:pStyle w:val="13"/>
            </w:pPr>
            <w:r>
              <w:t>3年</w:t>
            </w:r>
          </w:p>
        </w:tc>
        <w:tc>
          <w:tcPr>
            <w:tcW w:w="1276" w:type="dxa"/>
            <w:vAlign w:val="center"/>
          </w:tcPr>
          <w:p w14:paraId="7A726C23">
            <w:pPr>
              <w:pStyle w:val="13"/>
            </w:pPr>
            <w:r>
              <w:t>城乡义务教育公用经费管理办法</w:t>
            </w:r>
          </w:p>
        </w:tc>
      </w:tr>
      <w:tr w14:paraId="1DC5C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D94C70">
            <w:pPr>
              <w:pStyle w:val="12"/>
            </w:pPr>
            <w:r>
              <w:t>满意度指标</w:t>
            </w:r>
          </w:p>
        </w:tc>
        <w:tc>
          <w:tcPr>
            <w:tcW w:w="2268" w:type="dxa"/>
            <w:vAlign w:val="center"/>
          </w:tcPr>
          <w:p w14:paraId="5E35ED8E">
            <w:pPr>
              <w:pStyle w:val="13"/>
            </w:pPr>
            <w:r>
              <w:t>服务对象满意度指标</w:t>
            </w:r>
          </w:p>
        </w:tc>
        <w:tc>
          <w:tcPr>
            <w:tcW w:w="2835" w:type="dxa"/>
            <w:vAlign w:val="center"/>
          </w:tcPr>
          <w:p w14:paraId="60BB0685">
            <w:pPr>
              <w:pStyle w:val="13"/>
            </w:pPr>
            <w:r>
              <w:t>受益学生家长及调查满意度</w:t>
            </w:r>
          </w:p>
        </w:tc>
        <w:tc>
          <w:tcPr>
            <w:tcW w:w="5386" w:type="dxa"/>
            <w:vAlign w:val="center"/>
          </w:tcPr>
          <w:p w14:paraId="2D9DF7A9">
            <w:pPr>
              <w:pStyle w:val="13"/>
            </w:pPr>
            <w:r>
              <w:t>学生、教师及家长对学校教育教学工作满意度情况</w:t>
            </w:r>
          </w:p>
        </w:tc>
        <w:tc>
          <w:tcPr>
            <w:tcW w:w="2268" w:type="dxa"/>
            <w:vAlign w:val="center"/>
          </w:tcPr>
          <w:p w14:paraId="6E5A7794">
            <w:pPr>
              <w:pStyle w:val="13"/>
            </w:pPr>
            <w:r>
              <w:t>≥95%</w:t>
            </w:r>
          </w:p>
        </w:tc>
        <w:tc>
          <w:tcPr>
            <w:tcW w:w="1276" w:type="dxa"/>
            <w:vAlign w:val="center"/>
          </w:tcPr>
          <w:p w14:paraId="5CBD9518">
            <w:pPr>
              <w:pStyle w:val="13"/>
            </w:pPr>
            <w:r>
              <w:t>调查问卷</w:t>
            </w:r>
          </w:p>
        </w:tc>
      </w:tr>
    </w:tbl>
    <w:p w14:paraId="0357DB8C">
      <w:pPr>
        <w:sectPr>
          <w:pgSz w:w="16840" w:h="11900" w:orient="landscape"/>
          <w:pgMar w:top="1361" w:right="1020" w:bottom="1134" w:left="1020" w:header="720" w:footer="720" w:gutter="0"/>
          <w:cols w:space="720" w:num="1"/>
        </w:sectPr>
      </w:pPr>
    </w:p>
    <w:p w14:paraId="3B5854F4">
      <w:pPr>
        <w:spacing w:before="0" w:after="0"/>
        <w:ind w:firstLine="560"/>
        <w:jc w:val="left"/>
        <w:outlineLvl w:val="9"/>
      </w:pPr>
      <w:r>
        <w:rPr>
          <w:rFonts w:ascii="方正仿宋_GBK" w:hAnsi="方正仿宋_GBK" w:eastAsia="方正仿宋_GBK" w:cs="方正仿宋_GBK"/>
          <w:b/>
          <w:color w:val="000000"/>
          <w:sz w:val="28"/>
        </w:rPr>
        <w:t>143、县级配套/隆尧县私立东苑中学（小学）公用经费绩效目标表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6C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3D836">
            <w:pPr>
              <w:pStyle w:val="14"/>
            </w:pPr>
            <w:r>
              <w:t>单位：万元</w:t>
            </w:r>
          </w:p>
        </w:tc>
      </w:tr>
      <w:tr w14:paraId="76BCD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F1E9B4">
            <w:pPr>
              <w:pStyle w:val="11"/>
            </w:pPr>
            <w:r>
              <w:t>项目编码</w:t>
            </w:r>
          </w:p>
        </w:tc>
        <w:tc>
          <w:tcPr>
            <w:tcW w:w="5103" w:type="dxa"/>
            <w:gridSpan w:val="2"/>
            <w:vAlign w:val="center"/>
          </w:tcPr>
          <w:p w14:paraId="21421F19">
            <w:pPr>
              <w:pStyle w:val="13"/>
            </w:pPr>
            <w:r>
              <w:t>13052525P00000410011F</w:t>
            </w:r>
          </w:p>
        </w:tc>
        <w:tc>
          <w:tcPr>
            <w:tcW w:w="2835" w:type="dxa"/>
            <w:vAlign w:val="center"/>
          </w:tcPr>
          <w:p w14:paraId="58AC1339">
            <w:pPr>
              <w:pStyle w:val="11"/>
            </w:pPr>
            <w:r>
              <w:t>项目名称</w:t>
            </w:r>
          </w:p>
        </w:tc>
        <w:tc>
          <w:tcPr>
            <w:tcW w:w="6095" w:type="dxa"/>
            <w:gridSpan w:val="3"/>
            <w:vAlign w:val="center"/>
          </w:tcPr>
          <w:p w14:paraId="2A4D64F8">
            <w:pPr>
              <w:pStyle w:val="13"/>
            </w:pPr>
            <w:r>
              <w:t>县级配套/隆尧县私立东苑中学（小学）公用经费</w:t>
            </w:r>
            <w:r>
              <w:tab/>
            </w:r>
            <w:r>
              <w:tab/>
            </w:r>
            <w:r>
              <w:tab/>
            </w:r>
          </w:p>
        </w:tc>
      </w:tr>
      <w:tr w14:paraId="0874D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B8C61">
            <w:pPr>
              <w:pStyle w:val="11"/>
            </w:pPr>
            <w:r>
              <w:t>预算规模及资金用途</w:t>
            </w:r>
          </w:p>
        </w:tc>
        <w:tc>
          <w:tcPr>
            <w:tcW w:w="2268" w:type="dxa"/>
            <w:vAlign w:val="center"/>
          </w:tcPr>
          <w:p w14:paraId="1D365A29">
            <w:pPr>
              <w:pStyle w:val="11"/>
            </w:pPr>
            <w:r>
              <w:t>预算数</w:t>
            </w:r>
          </w:p>
        </w:tc>
        <w:tc>
          <w:tcPr>
            <w:tcW w:w="2835" w:type="dxa"/>
            <w:vAlign w:val="center"/>
          </w:tcPr>
          <w:p w14:paraId="1D764F4A">
            <w:pPr>
              <w:pStyle w:val="13"/>
            </w:pPr>
            <w:r>
              <w:t>6.16</w:t>
            </w:r>
          </w:p>
        </w:tc>
        <w:tc>
          <w:tcPr>
            <w:tcW w:w="2835" w:type="dxa"/>
            <w:vAlign w:val="center"/>
          </w:tcPr>
          <w:p w14:paraId="5ADAF5DA">
            <w:pPr>
              <w:pStyle w:val="11"/>
            </w:pPr>
            <w:r>
              <w:t>其中：财政    资金</w:t>
            </w:r>
          </w:p>
        </w:tc>
        <w:tc>
          <w:tcPr>
            <w:tcW w:w="2551" w:type="dxa"/>
            <w:vAlign w:val="center"/>
          </w:tcPr>
          <w:p w14:paraId="1C74685C">
            <w:pPr>
              <w:pStyle w:val="13"/>
            </w:pPr>
            <w:r>
              <w:t>6.16</w:t>
            </w:r>
          </w:p>
        </w:tc>
        <w:tc>
          <w:tcPr>
            <w:tcW w:w="2268" w:type="dxa"/>
            <w:vAlign w:val="center"/>
          </w:tcPr>
          <w:p w14:paraId="1191E9E0">
            <w:pPr>
              <w:pStyle w:val="11"/>
            </w:pPr>
            <w:r>
              <w:t>其他资金</w:t>
            </w:r>
          </w:p>
        </w:tc>
        <w:tc>
          <w:tcPr>
            <w:tcW w:w="1276" w:type="dxa"/>
            <w:vAlign w:val="center"/>
          </w:tcPr>
          <w:p w14:paraId="07EF9E02">
            <w:pPr>
              <w:pStyle w:val="13"/>
            </w:pPr>
            <w:r>
              <w:t xml:space="preserve"> </w:t>
            </w:r>
          </w:p>
        </w:tc>
      </w:tr>
      <w:tr w14:paraId="619A0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69DA13"/>
        </w:tc>
        <w:tc>
          <w:tcPr>
            <w:tcW w:w="14033" w:type="dxa"/>
            <w:gridSpan w:val="6"/>
            <w:vAlign w:val="center"/>
          </w:tcPr>
          <w:p w14:paraId="12307695">
            <w:pPr>
              <w:pStyle w:val="13"/>
            </w:pPr>
            <w:r>
              <w:t>保障义务教育学校正常运转，完成教育教学活动和其他日常工作任务等方面的费用支出。</w:t>
            </w:r>
          </w:p>
        </w:tc>
      </w:tr>
      <w:tr w14:paraId="5E3F3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9E50A">
            <w:pPr>
              <w:pStyle w:val="11"/>
            </w:pPr>
            <w:r>
              <w:t>资金支出计划（%）</w:t>
            </w:r>
          </w:p>
        </w:tc>
        <w:tc>
          <w:tcPr>
            <w:tcW w:w="5103" w:type="dxa"/>
            <w:gridSpan w:val="2"/>
            <w:vAlign w:val="center"/>
          </w:tcPr>
          <w:p w14:paraId="697268E3">
            <w:pPr>
              <w:pStyle w:val="11"/>
            </w:pPr>
            <w:r>
              <w:t>3月底</w:t>
            </w:r>
          </w:p>
        </w:tc>
        <w:tc>
          <w:tcPr>
            <w:tcW w:w="2835" w:type="dxa"/>
            <w:vAlign w:val="center"/>
          </w:tcPr>
          <w:p w14:paraId="1C5B5EC7">
            <w:pPr>
              <w:pStyle w:val="11"/>
            </w:pPr>
            <w:r>
              <w:t>6月底</w:t>
            </w:r>
          </w:p>
        </w:tc>
        <w:tc>
          <w:tcPr>
            <w:tcW w:w="2551" w:type="dxa"/>
            <w:vAlign w:val="center"/>
          </w:tcPr>
          <w:p w14:paraId="79840373">
            <w:pPr>
              <w:pStyle w:val="11"/>
            </w:pPr>
            <w:r>
              <w:t>10月底</w:t>
            </w:r>
          </w:p>
        </w:tc>
        <w:tc>
          <w:tcPr>
            <w:tcW w:w="3544" w:type="dxa"/>
            <w:gridSpan w:val="2"/>
            <w:vAlign w:val="center"/>
          </w:tcPr>
          <w:p w14:paraId="5B43DFAD">
            <w:pPr>
              <w:pStyle w:val="11"/>
            </w:pPr>
            <w:r>
              <w:t>12月底</w:t>
            </w:r>
          </w:p>
        </w:tc>
      </w:tr>
      <w:tr w14:paraId="535A7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59304"/>
        </w:tc>
        <w:tc>
          <w:tcPr>
            <w:tcW w:w="5103" w:type="dxa"/>
            <w:gridSpan w:val="2"/>
            <w:vAlign w:val="center"/>
          </w:tcPr>
          <w:p w14:paraId="58505F67">
            <w:pPr>
              <w:pStyle w:val="12"/>
            </w:pPr>
            <w:r>
              <w:t xml:space="preserve"> </w:t>
            </w:r>
          </w:p>
        </w:tc>
        <w:tc>
          <w:tcPr>
            <w:tcW w:w="2835" w:type="dxa"/>
            <w:vAlign w:val="center"/>
          </w:tcPr>
          <w:p w14:paraId="2FDB89C7">
            <w:pPr>
              <w:pStyle w:val="12"/>
            </w:pPr>
            <w:r>
              <w:t xml:space="preserve"> </w:t>
            </w:r>
          </w:p>
        </w:tc>
        <w:tc>
          <w:tcPr>
            <w:tcW w:w="2551" w:type="dxa"/>
            <w:vAlign w:val="center"/>
          </w:tcPr>
          <w:p w14:paraId="2DBAC256">
            <w:pPr>
              <w:pStyle w:val="12"/>
            </w:pPr>
            <w:r>
              <w:t xml:space="preserve"> </w:t>
            </w:r>
          </w:p>
        </w:tc>
        <w:tc>
          <w:tcPr>
            <w:tcW w:w="3544" w:type="dxa"/>
            <w:gridSpan w:val="2"/>
            <w:vAlign w:val="center"/>
          </w:tcPr>
          <w:p w14:paraId="5A55A2F6">
            <w:pPr>
              <w:pStyle w:val="12"/>
            </w:pPr>
            <w:r>
              <w:t>100%</w:t>
            </w:r>
          </w:p>
        </w:tc>
      </w:tr>
      <w:tr w14:paraId="7CEC1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8BD871">
            <w:pPr>
              <w:pStyle w:val="11"/>
            </w:pPr>
            <w:r>
              <w:t>绩效目标</w:t>
            </w:r>
          </w:p>
        </w:tc>
        <w:tc>
          <w:tcPr>
            <w:tcW w:w="14033" w:type="dxa"/>
            <w:gridSpan w:val="6"/>
            <w:vAlign w:val="center"/>
          </w:tcPr>
          <w:p w14:paraId="58980D4E">
            <w:pPr>
              <w:pStyle w:val="13"/>
            </w:pPr>
            <w:r>
              <w:t>1.保障义务教育学校正常运转，完成教育教学活动和其他日常工作任务等方面的费用支出。</w:t>
            </w:r>
          </w:p>
        </w:tc>
      </w:tr>
    </w:tbl>
    <w:p w14:paraId="648CEC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F5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3C9E0">
            <w:pPr>
              <w:pStyle w:val="11"/>
            </w:pPr>
            <w:r>
              <w:t>一级指标</w:t>
            </w:r>
          </w:p>
        </w:tc>
        <w:tc>
          <w:tcPr>
            <w:tcW w:w="2268" w:type="dxa"/>
            <w:vAlign w:val="center"/>
          </w:tcPr>
          <w:p w14:paraId="0900182A">
            <w:pPr>
              <w:pStyle w:val="11"/>
            </w:pPr>
            <w:r>
              <w:t>二级指标</w:t>
            </w:r>
          </w:p>
        </w:tc>
        <w:tc>
          <w:tcPr>
            <w:tcW w:w="2835" w:type="dxa"/>
            <w:vAlign w:val="center"/>
          </w:tcPr>
          <w:p w14:paraId="68FBF631">
            <w:pPr>
              <w:pStyle w:val="11"/>
            </w:pPr>
            <w:r>
              <w:t>三级指标</w:t>
            </w:r>
          </w:p>
        </w:tc>
        <w:tc>
          <w:tcPr>
            <w:tcW w:w="5386" w:type="dxa"/>
            <w:vAlign w:val="center"/>
          </w:tcPr>
          <w:p w14:paraId="4E955617">
            <w:pPr>
              <w:pStyle w:val="11"/>
            </w:pPr>
            <w:r>
              <w:t>绩效指标描述</w:t>
            </w:r>
          </w:p>
        </w:tc>
        <w:tc>
          <w:tcPr>
            <w:tcW w:w="2268" w:type="dxa"/>
            <w:vAlign w:val="center"/>
          </w:tcPr>
          <w:p w14:paraId="7C44991C">
            <w:pPr>
              <w:pStyle w:val="11"/>
            </w:pPr>
            <w:r>
              <w:t>指标值</w:t>
            </w:r>
          </w:p>
        </w:tc>
        <w:tc>
          <w:tcPr>
            <w:tcW w:w="1276" w:type="dxa"/>
            <w:vAlign w:val="center"/>
          </w:tcPr>
          <w:p w14:paraId="2045A669">
            <w:pPr>
              <w:pStyle w:val="11"/>
            </w:pPr>
            <w:r>
              <w:t>指标值确定依据</w:t>
            </w:r>
          </w:p>
        </w:tc>
      </w:tr>
      <w:tr w14:paraId="52428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45507">
            <w:pPr>
              <w:pStyle w:val="12"/>
            </w:pPr>
            <w:r>
              <w:t>产出指标</w:t>
            </w:r>
          </w:p>
        </w:tc>
        <w:tc>
          <w:tcPr>
            <w:tcW w:w="2268" w:type="dxa"/>
            <w:vAlign w:val="center"/>
          </w:tcPr>
          <w:p w14:paraId="52D87769">
            <w:pPr>
              <w:pStyle w:val="13"/>
            </w:pPr>
            <w:r>
              <w:t>数量指标</w:t>
            </w:r>
          </w:p>
        </w:tc>
        <w:tc>
          <w:tcPr>
            <w:tcW w:w="2835" w:type="dxa"/>
            <w:vAlign w:val="center"/>
          </w:tcPr>
          <w:p w14:paraId="55EE8E06">
            <w:pPr>
              <w:pStyle w:val="13"/>
            </w:pPr>
            <w:r>
              <w:t>适龄在校生</w:t>
            </w:r>
          </w:p>
        </w:tc>
        <w:tc>
          <w:tcPr>
            <w:tcW w:w="5386" w:type="dxa"/>
            <w:vAlign w:val="center"/>
          </w:tcPr>
          <w:p w14:paraId="383B35BB">
            <w:pPr>
              <w:pStyle w:val="13"/>
            </w:pPr>
            <w:r>
              <w:t>适龄在校就读学生人数</w:t>
            </w:r>
          </w:p>
        </w:tc>
        <w:tc>
          <w:tcPr>
            <w:tcW w:w="2268" w:type="dxa"/>
            <w:vAlign w:val="center"/>
          </w:tcPr>
          <w:p w14:paraId="5FABAFD4">
            <w:pPr>
              <w:pStyle w:val="13"/>
            </w:pPr>
            <w:r>
              <w:t>108人</w:t>
            </w:r>
          </w:p>
        </w:tc>
        <w:tc>
          <w:tcPr>
            <w:tcW w:w="1276" w:type="dxa"/>
            <w:vAlign w:val="center"/>
          </w:tcPr>
          <w:p w14:paraId="79F6C232">
            <w:pPr>
              <w:pStyle w:val="13"/>
            </w:pPr>
            <w:r>
              <w:t>城乡义务教育公用经费管理办法</w:t>
            </w:r>
          </w:p>
        </w:tc>
      </w:tr>
      <w:tr w14:paraId="548B6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151DA"/>
        </w:tc>
        <w:tc>
          <w:tcPr>
            <w:tcW w:w="2268" w:type="dxa"/>
            <w:vAlign w:val="center"/>
          </w:tcPr>
          <w:p w14:paraId="4562799F">
            <w:pPr>
              <w:pStyle w:val="13"/>
            </w:pPr>
            <w:r>
              <w:t>质量指标</w:t>
            </w:r>
          </w:p>
        </w:tc>
        <w:tc>
          <w:tcPr>
            <w:tcW w:w="2835" w:type="dxa"/>
            <w:vAlign w:val="center"/>
          </w:tcPr>
          <w:p w14:paraId="7FD0E438">
            <w:pPr>
              <w:pStyle w:val="13"/>
            </w:pPr>
            <w:r>
              <w:t>预算控制率</w:t>
            </w:r>
          </w:p>
        </w:tc>
        <w:tc>
          <w:tcPr>
            <w:tcW w:w="5386" w:type="dxa"/>
            <w:vAlign w:val="center"/>
          </w:tcPr>
          <w:p w14:paraId="690B4611">
            <w:pPr>
              <w:pStyle w:val="13"/>
            </w:pPr>
            <w:r>
              <w:t>预算执行</w:t>
            </w:r>
          </w:p>
        </w:tc>
        <w:tc>
          <w:tcPr>
            <w:tcW w:w="2268" w:type="dxa"/>
            <w:vAlign w:val="center"/>
          </w:tcPr>
          <w:p w14:paraId="2244AD2A">
            <w:pPr>
              <w:pStyle w:val="13"/>
            </w:pPr>
            <w:r>
              <w:t>≥95%</w:t>
            </w:r>
          </w:p>
        </w:tc>
        <w:tc>
          <w:tcPr>
            <w:tcW w:w="1276" w:type="dxa"/>
            <w:vAlign w:val="center"/>
          </w:tcPr>
          <w:p w14:paraId="42AACA2C">
            <w:pPr>
              <w:pStyle w:val="13"/>
            </w:pPr>
            <w:r>
              <w:t>城乡义务教育公用经费管理办法</w:t>
            </w:r>
          </w:p>
        </w:tc>
      </w:tr>
      <w:tr w14:paraId="5DC2D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CD2E4"/>
        </w:tc>
        <w:tc>
          <w:tcPr>
            <w:tcW w:w="2268" w:type="dxa"/>
            <w:vAlign w:val="center"/>
          </w:tcPr>
          <w:p w14:paraId="5790E5A5">
            <w:pPr>
              <w:pStyle w:val="13"/>
            </w:pPr>
            <w:r>
              <w:t>时效指标</w:t>
            </w:r>
          </w:p>
        </w:tc>
        <w:tc>
          <w:tcPr>
            <w:tcW w:w="2835" w:type="dxa"/>
            <w:vAlign w:val="center"/>
          </w:tcPr>
          <w:p w14:paraId="6BEC04D4">
            <w:pPr>
              <w:pStyle w:val="13"/>
            </w:pPr>
            <w:r>
              <w:t>资金支付率</w:t>
            </w:r>
          </w:p>
        </w:tc>
        <w:tc>
          <w:tcPr>
            <w:tcW w:w="5386" w:type="dxa"/>
            <w:vAlign w:val="center"/>
          </w:tcPr>
          <w:p w14:paraId="0EA3A472">
            <w:pPr>
              <w:pStyle w:val="13"/>
            </w:pPr>
            <w:r>
              <w:t>按照序时进度完成资金支付</w:t>
            </w:r>
          </w:p>
        </w:tc>
        <w:tc>
          <w:tcPr>
            <w:tcW w:w="2268" w:type="dxa"/>
            <w:vAlign w:val="center"/>
          </w:tcPr>
          <w:p w14:paraId="69CBF150">
            <w:pPr>
              <w:pStyle w:val="13"/>
            </w:pPr>
            <w:r>
              <w:t>≥100%</w:t>
            </w:r>
          </w:p>
        </w:tc>
        <w:tc>
          <w:tcPr>
            <w:tcW w:w="1276" w:type="dxa"/>
            <w:vAlign w:val="center"/>
          </w:tcPr>
          <w:p w14:paraId="059B6114">
            <w:pPr>
              <w:pStyle w:val="13"/>
            </w:pPr>
            <w:r>
              <w:t>城乡义务教育公用经费管理办法</w:t>
            </w:r>
          </w:p>
        </w:tc>
      </w:tr>
      <w:tr w14:paraId="30C62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CB77C"/>
        </w:tc>
        <w:tc>
          <w:tcPr>
            <w:tcW w:w="2268" w:type="dxa"/>
            <w:vAlign w:val="center"/>
          </w:tcPr>
          <w:p w14:paraId="2ACC5F45">
            <w:pPr>
              <w:pStyle w:val="13"/>
            </w:pPr>
            <w:r>
              <w:t>成本指标</w:t>
            </w:r>
          </w:p>
        </w:tc>
        <w:tc>
          <w:tcPr>
            <w:tcW w:w="2835" w:type="dxa"/>
            <w:vAlign w:val="center"/>
          </w:tcPr>
          <w:p w14:paraId="755B895D">
            <w:pPr>
              <w:pStyle w:val="13"/>
            </w:pPr>
            <w:r>
              <w:t>生均拨款标准</w:t>
            </w:r>
          </w:p>
        </w:tc>
        <w:tc>
          <w:tcPr>
            <w:tcW w:w="5386" w:type="dxa"/>
            <w:vAlign w:val="center"/>
          </w:tcPr>
          <w:p w14:paraId="2F2F4324">
            <w:pPr>
              <w:pStyle w:val="13"/>
            </w:pPr>
            <w:r>
              <w:t>小学：（基本标准720元、寄宿生300元、取暖120元）/生/学年；随班就读学生：标准6000元/生/学年。</w:t>
            </w:r>
          </w:p>
        </w:tc>
        <w:tc>
          <w:tcPr>
            <w:tcW w:w="2268" w:type="dxa"/>
            <w:vAlign w:val="center"/>
          </w:tcPr>
          <w:p w14:paraId="3D6945BC">
            <w:pPr>
              <w:pStyle w:val="13"/>
            </w:pPr>
            <w:r>
              <w:t>61560元</w:t>
            </w:r>
          </w:p>
        </w:tc>
        <w:tc>
          <w:tcPr>
            <w:tcW w:w="1276" w:type="dxa"/>
            <w:vAlign w:val="center"/>
          </w:tcPr>
          <w:p w14:paraId="50C8CD9E">
            <w:pPr>
              <w:pStyle w:val="13"/>
            </w:pPr>
            <w:r>
              <w:t>城乡义务教育公用经费管理办法</w:t>
            </w:r>
          </w:p>
        </w:tc>
      </w:tr>
      <w:tr w14:paraId="00B8F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F0834B">
            <w:pPr>
              <w:pStyle w:val="12"/>
            </w:pPr>
            <w:r>
              <w:t>效益指标</w:t>
            </w:r>
          </w:p>
        </w:tc>
        <w:tc>
          <w:tcPr>
            <w:tcW w:w="2268" w:type="dxa"/>
            <w:vAlign w:val="center"/>
          </w:tcPr>
          <w:p w14:paraId="44161B66">
            <w:pPr>
              <w:pStyle w:val="13"/>
            </w:pPr>
            <w:r>
              <w:t>可持续影响指标</w:t>
            </w:r>
          </w:p>
        </w:tc>
        <w:tc>
          <w:tcPr>
            <w:tcW w:w="2835" w:type="dxa"/>
            <w:vAlign w:val="center"/>
          </w:tcPr>
          <w:p w14:paraId="657B9EC4">
            <w:pPr>
              <w:pStyle w:val="13"/>
            </w:pPr>
            <w:r>
              <w:t>教育发展水平明显好转</w:t>
            </w:r>
          </w:p>
        </w:tc>
        <w:tc>
          <w:tcPr>
            <w:tcW w:w="5386" w:type="dxa"/>
            <w:vAlign w:val="center"/>
          </w:tcPr>
          <w:p w14:paraId="29C8E88E">
            <w:pPr>
              <w:pStyle w:val="13"/>
            </w:pPr>
            <w:r>
              <w:t>学生受教育年限</w:t>
            </w:r>
          </w:p>
        </w:tc>
        <w:tc>
          <w:tcPr>
            <w:tcW w:w="2268" w:type="dxa"/>
            <w:vAlign w:val="center"/>
          </w:tcPr>
          <w:p w14:paraId="5B2D6EF1">
            <w:pPr>
              <w:pStyle w:val="13"/>
            </w:pPr>
            <w:r>
              <w:t>6年</w:t>
            </w:r>
          </w:p>
        </w:tc>
        <w:tc>
          <w:tcPr>
            <w:tcW w:w="1276" w:type="dxa"/>
            <w:vAlign w:val="center"/>
          </w:tcPr>
          <w:p w14:paraId="67F025A5">
            <w:pPr>
              <w:pStyle w:val="13"/>
            </w:pPr>
            <w:r>
              <w:t>城乡义务教育公用经费管理办法</w:t>
            </w:r>
          </w:p>
        </w:tc>
      </w:tr>
      <w:tr w14:paraId="43206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62116E">
            <w:pPr>
              <w:pStyle w:val="12"/>
            </w:pPr>
            <w:r>
              <w:t>满意度指标</w:t>
            </w:r>
          </w:p>
        </w:tc>
        <w:tc>
          <w:tcPr>
            <w:tcW w:w="2268" w:type="dxa"/>
            <w:vAlign w:val="center"/>
          </w:tcPr>
          <w:p w14:paraId="7E4923FE">
            <w:pPr>
              <w:pStyle w:val="13"/>
            </w:pPr>
            <w:r>
              <w:t>服务对象满意度指标</w:t>
            </w:r>
          </w:p>
        </w:tc>
        <w:tc>
          <w:tcPr>
            <w:tcW w:w="2835" w:type="dxa"/>
            <w:vAlign w:val="center"/>
          </w:tcPr>
          <w:p w14:paraId="5B9F91B4">
            <w:pPr>
              <w:pStyle w:val="13"/>
            </w:pPr>
            <w:r>
              <w:t>受益学生家长及调查满意度</w:t>
            </w:r>
          </w:p>
        </w:tc>
        <w:tc>
          <w:tcPr>
            <w:tcW w:w="5386" w:type="dxa"/>
            <w:vAlign w:val="center"/>
          </w:tcPr>
          <w:p w14:paraId="3AEB5C15">
            <w:pPr>
              <w:pStyle w:val="13"/>
            </w:pPr>
            <w:r>
              <w:t>学生、教师及家长对学校教育教学工作满意度情况</w:t>
            </w:r>
          </w:p>
        </w:tc>
        <w:tc>
          <w:tcPr>
            <w:tcW w:w="2268" w:type="dxa"/>
            <w:vAlign w:val="center"/>
          </w:tcPr>
          <w:p w14:paraId="0B999498">
            <w:pPr>
              <w:pStyle w:val="13"/>
            </w:pPr>
            <w:r>
              <w:t>≥95%</w:t>
            </w:r>
          </w:p>
        </w:tc>
        <w:tc>
          <w:tcPr>
            <w:tcW w:w="1276" w:type="dxa"/>
            <w:vAlign w:val="center"/>
          </w:tcPr>
          <w:p w14:paraId="36D49643">
            <w:pPr>
              <w:pStyle w:val="13"/>
            </w:pPr>
            <w:r>
              <w:t>调查问卷</w:t>
            </w:r>
          </w:p>
        </w:tc>
      </w:tr>
    </w:tbl>
    <w:p w14:paraId="0CFF597A">
      <w:pPr>
        <w:sectPr>
          <w:pgSz w:w="16840" w:h="11900" w:orient="landscape"/>
          <w:pgMar w:top="1361" w:right="1020" w:bottom="1134" w:left="1020" w:header="720" w:footer="720" w:gutter="0"/>
          <w:cols w:space="720" w:num="1"/>
        </w:sectPr>
      </w:pPr>
    </w:p>
    <w:p w14:paraId="76A5FD13">
      <w:pPr>
        <w:spacing w:before="0" w:after="0"/>
        <w:ind w:firstLine="560"/>
        <w:jc w:val="left"/>
        <w:outlineLvl w:val="9"/>
      </w:pPr>
      <w:r>
        <w:rPr>
          <w:rFonts w:ascii="方正仿宋_GBK" w:hAnsi="方正仿宋_GBK" w:eastAsia="方正仿宋_GBK" w:cs="方正仿宋_GBK"/>
          <w:b/>
          <w:color w:val="000000"/>
          <w:sz w:val="28"/>
        </w:rPr>
        <w:t>144、县级配套/隆尧县私立文星学校公用经费绩效目标表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D8D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90B5C">
            <w:pPr>
              <w:pStyle w:val="14"/>
            </w:pPr>
            <w:r>
              <w:t>单位：万元</w:t>
            </w:r>
          </w:p>
        </w:tc>
      </w:tr>
      <w:tr w14:paraId="5E51E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55520C">
            <w:pPr>
              <w:pStyle w:val="11"/>
            </w:pPr>
            <w:r>
              <w:t>项目编码</w:t>
            </w:r>
          </w:p>
        </w:tc>
        <w:tc>
          <w:tcPr>
            <w:tcW w:w="5103" w:type="dxa"/>
            <w:gridSpan w:val="2"/>
            <w:vAlign w:val="center"/>
          </w:tcPr>
          <w:p w14:paraId="77E031A8">
            <w:pPr>
              <w:pStyle w:val="13"/>
            </w:pPr>
            <w:r>
              <w:t>13052525P00000410009G</w:t>
            </w:r>
          </w:p>
        </w:tc>
        <w:tc>
          <w:tcPr>
            <w:tcW w:w="2835" w:type="dxa"/>
            <w:vAlign w:val="center"/>
          </w:tcPr>
          <w:p w14:paraId="7A5A168F">
            <w:pPr>
              <w:pStyle w:val="11"/>
            </w:pPr>
            <w:r>
              <w:t>项目名称</w:t>
            </w:r>
          </w:p>
        </w:tc>
        <w:tc>
          <w:tcPr>
            <w:tcW w:w="6095" w:type="dxa"/>
            <w:gridSpan w:val="3"/>
            <w:vAlign w:val="center"/>
          </w:tcPr>
          <w:p w14:paraId="405063B8">
            <w:pPr>
              <w:pStyle w:val="13"/>
            </w:pPr>
            <w:r>
              <w:t>县级配套/隆尧县私立文星学校公用经费</w:t>
            </w:r>
            <w:r>
              <w:tab/>
            </w:r>
            <w:r>
              <w:tab/>
            </w:r>
            <w:r>
              <w:tab/>
            </w:r>
          </w:p>
        </w:tc>
      </w:tr>
      <w:tr w14:paraId="28A28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BD604">
            <w:pPr>
              <w:pStyle w:val="11"/>
            </w:pPr>
            <w:r>
              <w:t>预算规模及资金用途</w:t>
            </w:r>
          </w:p>
        </w:tc>
        <w:tc>
          <w:tcPr>
            <w:tcW w:w="2268" w:type="dxa"/>
            <w:vAlign w:val="center"/>
          </w:tcPr>
          <w:p w14:paraId="49165290">
            <w:pPr>
              <w:pStyle w:val="11"/>
            </w:pPr>
            <w:r>
              <w:t>预算数</w:t>
            </w:r>
          </w:p>
        </w:tc>
        <w:tc>
          <w:tcPr>
            <w:tcW w:w="2835" w:type="dxa"/>
            <w:vAlign w:val="center"/>
          </w:tcPr>
          <w:p w14:paraId="3608D147">
            <w:pPr>
              <w:pStyle w:val="13"/>
            </w:pPr>
            <w:r>
              <w:t>10.43</w:t>
            </w:r>
          </w:p>
        </w:tc>
        <w:tc>
          <w:tcPr>
            <w:tcW w:w="2835" w:type="dxa"/>
            <w:vAlign w:val="center"/>
          </w:tcPr>
          <w:p w14:paraId="2DA4543C">
            <w:pPr>
              <w:pStyle w:val="11"/>
            </w:pPr>
            <w:r>
              <w:t>其中：财政    资金</w:t>
            </w:r>
          </w:p>
        </w:tc>
        <w:tc>
          <w:tcPr>
            <w:tcW w:w="2551" w:type="dxa"/>
            <w:vAlign w:val="center"/>
          </w:tcPr>
          <w:p w14:paraId="0DFD64E2">
            <w:pPr>
              <w:pStyle w:val="13"/>
            </w:pPr>
            <w:r>
              <w:t>10.43</w:t>
            </w:r>
          </w:p>
        </w:tc>
        <w:tc>
          <w:tcPr>
            <w:tcW w:w="2268" w:type="dxa"/>
            <w:vAlign w:val="center"/>
          </w:tcPr>
          <w:p w14:paraId="507C32B7">
            <w:pPr>
              <w:pStyle w:val="11"/>
            </w:pPr>
            <w:r>
              <w:t>其他资金</w:t>
            </w:r>
          </w:p>
        </w:tc>
        <w:tc>
          <w:tcPr>
            <w:tcW w:w="1276" w:type="dxa"/>
            <w:vAlign w:val="center"/>
          </w:tcPr>
          <w:p w14:paraId="4CFD9463">
            <w:pPr>
              <w:pStyle w:val="13"/>
            </w:pPr>
            <w:r>
              <w:t xml:space="preserve"> </w:t>
            </w:r>
          </w:p>
        </w:tc>
      </w:tr>
      <w:tr w14:paraId="2B373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17C43"/>
        </w:tc>
        <w:tc>
          <w:tcPr>
            <w:tcW w:w="14033" w:type="dxa"/>
            <w:gridSpan w:val="6"/>
            <w:vAlign w:val="center"/>
          </w:tcPr>
          <w:p w14:paraId="59B0388B">
            <w:pPr>
              <w:pStyle w:val="13"/>
            </w:pPr>
            <w:r>
              <w:t>保障义务教育学校正常运转，完成教育教学活动和其他日常工作任务等方面的费用支出。</w:t>
            </w:r>
          </w:p>
        </w:tc>
      </w:tr>
      <w:tr w14:paraId="776C83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CC600">
            <w:pPr>
              <w:pStyle w:val="11"/>
            </w:pPr>
            <w:r>
              <w:t>资金支出计划（%）</w:t>
            </w:r>
          </w:p>
        </w:tc>
        <w:tc>
          <w:tcPr>
            <w:tcW w:w="5103" w:type="dxa"/>
            <w:gridSpan w:val="2"/>
            <w:vAlign w:val="center"/>
          </w:tcPr>
          <w:p w14:paraId="48E60059">
            <w:pPr>
              <w:pStyle w:val="11"/>
            </w:pPr>
            <w:r>
              <w:t>3月底</w:t>
            </w:r>
          </w:p>
        </w:tc>
        <w:tc>
          <w:tcPr>
            <w:tcW w:w="2835" w:type="dxa"/>
            <w:vAlign w:val="center"/>
          </w:tcPr>
          <w:p w14:paraId="2479EE64">
            <w:pPr>
              <w:pStyle w:val="11"/>
            </w:pPr>
            <w:r>
              <w:t>6月底</w:t>
            </w:r>
          </w:p>
        </w:tc>
        <w:tc>
          <w:tcPr>
            <w:tcW w:w="2551" w:type="dxa"/>
            <w:vAlign w:val="center"/>
          </w:tcPr>
          <w:p w14:paraId="5A390EEE">
            <w:pPr>
              <w:pStyle w:val="11"/>
            </w:pPr>
            <w:r>
              <w:t>10月底</w:t>
            </w:r>
          </w:p>
        </w:tc>
        <w:tc>
          <w:tcPr>
            <w:tcW w:w="3544" w:type="dxa"/>
            <w:gridSpan w:val="2"/>
            <w:vAlign w:val="center"/>
          </w:tcPr>
          <w:p w14:paraId="70532B3E">
            <w:pPr>
              <w:pStyle w:val="11"/>
            </w:pPr>
            <w:r>
              <w:t>12月底</w:t>
            </w:r>
          </w:p>
        </w:tc>
      </w:tr>
      <w:tr w14:paraId="56423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485EFD"/>
        </w:tc>
        <w:tc>
          <w:tcPr>
            <w:tcW w:w="5103" w:type="dxa"/>
            <w:gridSpan w:val="2"/>
            <w:vAlign w:val="center"/>
          </w:tcPr>
          <w:p w14:paraId="21EB653A">
            <w:pPr>
              <w:pStyle w:val="12"/>
            </w:pPr>
            <w:r>
              <w:t xml:space="preserve"> </w:t>
            </w:r>
          </w:p>
        </w:tc>
        <w:tc>
          <w:tcPr>
            <w:tcW w:w="2835" w:type="dxa"/>
            <w:vAlign w:val="center"/>
          </w:tcPr>
          <w:p w14:paraId="04619FFC">
            <w:pPr>
              <w:pStyle w:val="12"/>
            </w:pPr>
            <w:r>
              <w:t xml:space="preserve"> </w:t>
            </w:r>
          </w:p>
        </w:tc>
        <w:tc>
          <w:tcPr>
            <w:tcW w:w="2551" w:type="dxa"/>
            <w:vAlign w:val="center"/>
          </w:tcPr>
          <w:p w14:paraId="5A66DD13">
            <w:pPr>
              <w:pStyle w:val="12"/>
            </w:pPr>
            <w:r>
              <w:t xml:space="preserve"> </w:t>
            </w:r>
          </w:p>
        </w:tc>
        <w:tc>
          <w:tcPr>
            <w:tcW w:w="3544" w:type="dxa"/>
            <w:gridSpan w:val="2"/>
            <w:vAlign w:val="center"/>
          </w:tcPr>
          <w:p w14:paraId="28F68FE1">
            <w:pPr>
              <w:pStyle w:val="12"/>
            </w:pPr>
            <w:r>
              <w:t>100%</w:t>
            </w:r>
          </w:p>
        </w:tc>
      </w:tr>
      <w:tr w14:paraId="0AA17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A35004">
            <w:pPr>
              <w:pStyle w:val="11"/>
            </w:pPr>
            <w:r>
              <w:t>绩效目标</w:t>
            </w:r>
          </w:p>
        </w:tc>
        <w:tc>
          <w:tcPr>
            <w:tcW w:w="14033" w:type="dxa"/>
            <w:gridSpan w:val="6"/>
            <w:vAlign w:val="center"/>
          </w:tcPr>
          <w:p w14:paraId="032D670A">
            <w:pPr>
              <w:pStyle w:val="13"/>
            </w:pPr>
            <w:r>
              <w:t>1.保障义务教育学校正常运转，完成教育教学活动和其他日常工作任务等方面的费用支出。</w:t>
            </w:r>
          </w:p>
        </w:tc>
      </w:tr>
    </w:tbl>
    <w:p w14:paraId="641FE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BE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1146B">
            <w:pPr>
              <w:pStyle w:val="11"/>
            </w:pPr>
            <w:r>
              <w:t>一级指标</w:t>
            </w:r>
          </w:p>
        </w:tc>
        <w:tc>
          <w:tcPr>
            <w:tcW w:w="2268" w:type="dxa"/>
            <w:vAlign w:val="center"/>
          </w:tcPr>
          <w:p w14:paraId="703027B7">
            <w:pPr>
              <w:pStyle w:val="11"/>
            </w:pPr>
            <w:r>
              <w:t>二级指标</w:t>
            </w:r>
          </w:p>
        </w:tc>
        <w:tc>
          <w:tcPr>
            <w:tcW w:w="2835" w:type="dxa"/>
            <w:vAlign w:val="center"/>
          </w:tcPr>
          <w:p w14:paraId="596B6FE4">
            <w:pPr>
              <w:pStyle w:val="11"/>
            </w:pPr>
            <w:r>
              <w:t>三级指标</w:t>
            </w:r>
          </w:p>
        </w:tc>
        <w:tc>
          <w:tcPr>
            <w:tcW w:w="5386" w:type="dxa"/>
            <w:vAlign w:val="center"/>
          </w:tcPr>
          <w:p w14:paraId="50E68F88">
            <w:pPr>
              <w:pStyle w:val="11"/>
            </w:pPr>
            <w:r>
              <w:t>绩效指标描述</w:t>
            </w:r>
          </w:p>
        </w:tc>
        <w:tc>
          <w:tcPr>
            <w:tcW w:w="2268" w:type="dxa"/>
            <w:vAlign w:val="center"/>
          </w:tcPr>
          <w:p w14:paraId="20404D03">
            <w:pPr>
              <w:pStyle w:val="11"/>
            </w:pPr>
            <w:r>
              <w:t>指标值</w:t>
            </w:r>
          </w:p>
        </w:tc>
        <w:tc>
          <w:tcPr>
            <w:tcW w:w="1276" w:type="dxa"/>
            <w:vAlign w:val="center"/>
          </w:tcPr>
          <w:p w14:paraId="0CCCED2F">
            <w:pPr>
              <w:pStyle w:val="11"/>
            </w:pPr>
            <w:r>
              <w:t>指标值确定依据</w:t>
            </w:r>
          </w:p>
        </w:tc>
      </w:tr>
      <w:tr w14:paraId="420B9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A85E1">
            <w:pPr>
              <w:pStyle w:val="12"/>
            </w:pPr>
            <w:r>
              <w:t>产出指标</w:t>
            </w:r>
          </w:p>
        </w:tc>
        <w:tc>
          <w:tcPr>
            <w:tcW w:w="2268" w:type="dxa"/>
            <w:vAlign w:val="center"/>
          </w:tcPr>
          <w:p w14:paraId="2D6DDCFA">
            <w:pPr>
              <w:pStyle w:val="13"/>
            </w:pPr>
            <w:r>
              <w:t>数量指标</w:t>
            </w:r>
          </w:p>
        </w:tc>
        <w:tc>
          <w:tcPr>
            <w:tcW w:w="2835" w:type="dxa"/>
            <w:vAlign w:val="center"/>
          </w:tcPr>
          <w:p w14:paraId="77CAFB63">
            <w:pPr>
              <w:pStyle w:val="13"/>
            </w:pPr>
            <w:r>
              <w:t>适龄在校生</w:t>
            </w:r>
          </w:p>
        </w:tc>
        <w:tc>
          <w:tcPr>
            <w:tcW w:w="5386" w:type="dxa"/>
            <w:vAlign w:val="center"/>
          </w:tcPr>
          <w:p w14:paraId="33505773">
            <w:pPr>
              <w:pStyle w:val="13"/>
            </w:pPr>
            <w:r>
              <w:t>适龄在校就读学生人数</w:t>
            </w:r>
          </w:p>
        </w:tc>
        <w:tc>
          <w:tcPr>
            <w:tcW w:w="2268" w:type="dxa"/>
            <w:vAlign w:val="center"/>
          </w:tcPr>
          <w:p w14:paraId="3E39E9A7">
            <w:pPr>
              <w:pStyle w:val="13"/>
            </w:pPr>
            <w:r>
              <w:t>190人</w:t>
            </w:r>
          </w:p>
        </w:tc>
        <w:tc>
          <w:tcPr>
            <w:tcW w:w="1276" w:type="dxa"/>
            <w:vAlign w:val="center"/>
          </w:tcPr>
          <w:p w14:paraId="13E8D585">
            <w:pPr>
              <w:pStyle w:val="13"/>
            </w:pPr>
            <w:r>
              <w:t>城乡义务教育公用经费管理办法</w:t>
            </w:r>
          </w:p>
        </w:tc>
      </w:tr>
      <w:tr w14:paraId="311A9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51818"/>
        </w:tc>
        <w:tc>
          <w:tcPr>
            <w:tcW w:w="2268" w:type="dxa"/>
            <w:vAlign w:val="center"/>
          </w:tcPr>
          <w:p w14:paraId="6A71F8A3">
            <w:pPr>
              <w:pStyle w:val="13"/>
            </w:pPr>
            <w:r>
              <w:t>质量指标</w:t>
            </w:r>
          </w:p>
        </w:tc>
        <w:tc>
          <w:tcPr>
            <w:tcW w:w="2835" w:type="dxa"/>
            <w:vAlign w:val="center"/>
          </w:tcPr>
          <w:p w14:paraId="53100015">
            <w:pPr>
              <w:pStyle w:val="13"/>
            </w:pPr>
            <w:r>
              <w:t>预算控制率</w:t>
            </w:r>
          </w:p>
        </w:tc>
        <w:tc>
          <w:tcPr>
            <w:tcW w:w="5386" w:type="dxa"/>
            <w:vAlign w:val="center"/>
          </w:tcPr>
          <w:p w14:paraId="5468C663">
            <w:pPr>
              <w:pStyle w:val="13"/>
            </w:pPr>
            <w:r>
              <w:t>预算执行</w:t>
            </w:r>
          </w:p>
        </w:tc>
        <w:tc>
          <w:tcPr>
            <w:tcW w:w="2268" w:type="dxa"/>
            <w:vAlign w:val="center"/>
          </w:tcPr>
          <w:p w14:paraId="1937D8A6">
            <w:pPr>
              <w:pStyle w:val="13"/>
            </w:pPr>
            <w:r>
              <w:t>≥95%</w:t>
            </w:r>
          </w:p>
        </w:tc>
        <w:tc>
          <w:tcPr>
            <w:tcW w:w="1276" w:type="dxa"/>
            <w:vAlign w:val="center"/>
          </w:tcPr>
          <w:p w14:paraId="1F829F35">
            <w:pPr>
              <w:pStyle w:val="13"/>
            </w:pPr>
            <w:r>
              <w:t>城乡义务教育公用经费管理办法</w:t>
            </w:r>
          </w:p>
        </w:tc>
      </w:tr>
      <w:tr w14:paraId="3B189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68AE4"/>
        </w:tc>
        <w:tc>
          <w:tcPr>
            <w:tcW w:w="2268" w:type="dxa"/>
            <w:vAlign w:val="center"/>
          </w:tcPr>
          <w:p w14:paraId="172EE459">
            <w:pPr>
              <w:pStyle w:val="13"/>
            </w:pPr>
            <w:r>
              <w:t>时效指标</w:t>
            </w:r>
          </w:p>
        </w:tc>
        <w:tc>
          <w:tcPr>
            <w:tcW w:w="2835" w:type="dxa"/>
            <w:vAlign w:val="center"/>
          </w:tcPr>
          <w:p w14:paraId="56D000E0">
            <w:pPr>
              <w:pStyle w:val="13"/>
            </w:pPr>
            <w:r>
              <w:t>资金支付率</w:t>
            </w:r>
          </w:p>
        </w:tc>
        <w:tc>
          <w:tcPr>
            <w:tcW w:w="5386" w:type="dxa"/>
            <w:vAlign w:val="center"/>
          </w:tcPr>
          <w:p w14:paraId="2C882711">
            <w:pPr>
              <w:pStyle w:val="13"/>
            </w:pPr>
            <w:r>
              <w:t>按照序时进度完成资金支付</w:t>
            </w:r>
          </w:p>
        </w:tc>
        <w:tc>
          <w:tcPr>
            <w:tcW w:w="2268" w:type="dxa"/>
            <w:vAlign w:val="center"/>
          </w:tcPr>
          <w:p w14:paraId="19F2E53B">
            <w:pPr>
              <w:pStyle w:val="13"/>
            </w:pPr>
            <w:r>
              <w:t>≥100%</w:t>
            </w:r>
          </w:p>
        </w:tc>
        <w:tc>
          <w:tcPr>
            <w:tcW w:w="1276" w:type="dxa"/>
            <w:vAlign w:val="center"/>
          </w:tcPr>
          <w:p w14:paraId="7FBA02E6">
            <w:pPr>
              <w:pStyle w:val="13"/>
            </w:pPr>
            <w:r>
              <w:t>城乡义务教育公用经费管理办法</w:t>
            </w:r>
          </w:p>
        </w:tc>
      </w:tr>
      <w:tr w14:paraId="13D7E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2B109"/>
        </w:tc>
        <w:tc>
          <w:tcPr>
            <w:tcW w:w="2268" w:type="dxa"/>
            <w:vAlign w:val="center"/>
          </w:tcPr>
          <w:p w14:paraId="7C267C2F">
            <w:pPr>
              <w:pStyle w:val="13"/>
            </w:pPr>
            <w:r>
              <w:t>成本指标</w:t>
            </w:r>
          </w:p>
        </w:tc>
        <w:tc>
          <w:tcPr>
            <w:tcW w:w="2835" w:type="dxa"/>
            <w:vAlign w:val="center"/>
          </w:tcPr>
          <w:p w14:paraId="0F5749D8">
            <w:pPr>
              <w:pStyle w:val="13"/>
            </w:pPr>
            <w:r>
              <w:t>生均拨款标准</w:t>
            </w:r>
          </w:p>
        </w:tc>
        <w:tc>
          <w:tcPr>
            <w:tcW w:w="5386" w:type="dxa"/>
            <w:vAlign w:val="center"/>
          </w:tcPr>
          <w:p w14:paraId="259BC2BF">
            <w:pPr>
              <w:pStyle w:val="13"/>
            </w:pPr>
            <w:r>
              <w:t>小学：（基本标准720元、寄宿生300元、取暖120元）/生/学年；随班就读学生：标准6000元/生/学年。</w:t>
            </w:r>
          </w:p>
        </w:tc>
        <w:tc>
          <w:tcPr>
            <w:tcW w:w="2268" w:type="dxa"/>
            <w:vAlign w:val="center"/>
          </w:tcPr>
          <w:p w14:paraId="66BB74D2">
            <w:pPr>
              <w:pStyle w:val="13"/>
            </w:pPr>
            <w:r>
              <w:t>104250元</w:t>
            </w:r>
          </w:p>
        </w:tc>
        <w:tc>
          <w:tcPr>
            <w:tcW w:w="1276" w:type="dxa"/>
            <w:vAlign w:val="center"/>
          </w:tcPr>
          <w:p w14:paraId="2216C2D7">
            <w:pPr>
              <w:pStyle w:val="13"/>
            </w:pPr>
            <w:r>
              <w:t>城乡义务教育公用经费管理办法</w:t>
            </w:r>
          </w:p>
        </w:tc>
      </w:tr>
      <w:tr w14:paraId="6D2C9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CCBD0">
            <w:pPr>
              <w:pStyle w:val="12"/>
            </w:pPr>
            <w:r>
              <w:t>效益指标</w:t>
            </w:r>
          </w:p>
        </w:tc>
        <w:tc>
          <w:tcPr>
            <w:tcW w:w="2268" w:type="dxa"/>
            <w:vAlign w:val="center"/>
          </w:tcPr>
          <w:p w14:paraId="5492A708">
            <w:pPr>
              <w:pStyle w:val="13"/>
            </w:pPr>
            <w:r>
              <w:t>可持续影响指标</w:t>
            </w:r>
          </w:p>
        </w:tc>
        <w:tc>
          <w:tcPr>
            <w:tcW w:w="2835" w:type="dxa"/>
            <w:vAlign w:val="center"/>
          </w:tcPr>
          <w:p w14:paraId="75CFA27F">
            <w:pPr>
              <w:pStyle w:val="13"/>
            </w:pPr>
            <w:r>
              <w:t>教育发展水平明显好转</w:t>
            </w:r>
          </w:p>
        </w:tc>
        <w:tc>
          <w:tcPr>
            <w:tcW w:w="5386" w:type="dxa"/>
            <w:vAlign w:val="center"/>
          </w:tcPr>
          <w:p w14:paraId="06A709E7">
            <w:pPr>
              <w:pStyle w:val="13"/>
            </w:pPr>
            <w:r>
              <w:t>学生受教育年限</w:t>
            </w:r>
          </w:p>
        </w:tc>
        <w:tc>
          <w:tcPr>
            <w:tcW w:w="2268" w:type="dxa"/>
            <w:vAlign w:val="center"/>
          </w:tcPr>
          <w:p w14:paraId="26BFA03D">
            <w:pPr>
              <w:pStyle w:val="13"/>
            </w:pPr>
            <w:r>
              <w:t>6年</w:t>
            </w:r>
          </w:p>
        </w:tc>
        <w:tc>
          <w:tcPr>
            <w:tcW w:w="1276" w:type="dxa"/>
            <w:vAlign w:val="center"/>
          </w:tcPr>
          <w:p w14:paraId="00158846">
            <w:pPr>
              <w:pStyle w:val="13"/>
            </w:pPr>
            <w:r>
              <w:t>城乡义务教育公用经费管理办法</w:t>
            </w:r>
          </w:p>
        </w:tc>
      </w:tr>
      <w:tr w14:paraId="0181F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384BCE">
            <w:pPr>
              <w:pStyle w:val="12"/>
            </w:pPr>
            <w:r>
              <w:t>满意度指标</w:t>
            </w:r>
          </w:p>
        </w:tc>
        <w:tc>
          <w:tcPr>
            <w:tcW w:w="2268" w:type="dxa"/>
            <w:vAlign w:val="center"/>
          </w:tcPr>
          <w:p w14:paraId="4086C62F">
            <w:pPr>
              <w:pStyle w:val="13"/>
            </w:pPr>
            <w:r>
              <w:t>服务对象满意度指标</w:t>
            </w:r>
          </w:p>
        </w:tc>
        <w:tc>
          <w:tcPr>
            <w:tcW w:w="2835" w:type="dxa"/>
            <w:vAlign w:val="center"/>
          </w:tcPr>
          <w:p w14:paraId="4CF91824">
            <w:pPr>
              <w:pStyle w:val="13"/>
            </w:pPr>
            <w:r>
              <w:t>受益学生家长及调查满意度</w:t>
            </w:r>
          </w:p>
        </w:tc>
        <w:tc>
          <w:tcPr>
            <w:tcW w:w="5386" w:type="dxa"/>
            <w:vAlign w:val="center"/>
          </w:tcPr>
          <w:p w14:paraId="50065997">
            <w:pPr>
              <w:pStyle w:val="13"/>
            </w:pPr>
            <w:r>
              <w:t>学生、教师及家长对学校教育教学工作满意度情况</w:t>
            </w:r>
          </w:p>
        </w:tc>
        <w:tc>
          <w:tcPr>
            <w:tcW w:w="2268" w:type="dxa"/>
            <w:vAlign w:val="center"/>
          </w:tcPr>
          <w:p w14:paraId="75861DDE">
            <w:pPr>
              <w:pStyle w:val="13"/>
            </w:pPr>
            <w:r>
              <w:t>≥95%</w:t>
            </w:r>
          </w:p>
        </w:tc>
        <w:tc>
          <w:tcPr>
            <w:tcW w:w="1276" w:type="dxa"/>
            <w:vAlign w:val="center"/>
          </w:tcPr>
          <w:p w14:paraId="3CE2BAC4">
            <w:pPr>
              <w:pStyle w:val="13"/>
            </w:pPr>
            <w:r>
              <w:t>调查问卷</w:t>
            </w:r>
          </w:p>
        </w:tc>
      </w:tr>
    </w:tbl>
    <w:p w14:paraId="222FD0AA">
      <w:pPr>
        <w:sectPr>
          <w:pgSz w:w="16840" w:h="11900" w:orient="landscape"/>
          <w:pgMar w:top="1361" w:right="1020" w:bottom="1134" w:left="1020" w:header="720" w:footer="720" w:gutter="0"/>
          <w:cols w:space="720" w:num="1"/>
        </w:sectPr>
      </w:pPr>
    </w:p>
    <w:p w14:paraId="566CACCF">
      <w:pPr>
        <w:spacing w:before="0" w:after="0"/>
        <w:ind w:firstLine="560"/>
        <w:jc w:val="left"/>
        <w:outlineLvl w:val="9"/>
      </w:pPr>
      <w:r>
        <w:rPr>
          <w:rFonts w:ascii="方正仿宋_GBK" w:hAnsi="方正仿宋_GBK" w:eastAsia="方正仿宋_GBK" w:cs="方正仿宋_GBK"/>
          <w:b/>
          <w:color w:val="000000"/>
          <w:sz w:val="28"/>
        </w:rPr>
        <w:t>145、县级配套/隆尧县私立希望小学公用经费绩效目标表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2B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8B41E">
            <w:pPr>
              <w:pStyle w:val="14"/>
            </w:pPr>
            <w:r>
              <w:t>单位：万元</w:t>
            </w:r>
          </w:p>
        </w:tc>
      </w:tr>
      <w:tr w14:paraId="56A93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5B4D7">
            <w:pPr>
              <w:pStyle w:val="11"/>
            </w:pPr>
            <w:r>
              <w:t>项目编码</w:t>
            </w:r>
          </w:p>
        </w:tc>
        <w:tc>
          <w:tcPr>
            <w:tcW w:w="5103" w:type="dxa"/>
            <w:gridSpan w:val="2"/>
            <w:vAlign w:val="center"/>
          </w:tcPr>
          <w:p w14:paraId="1C81E40E">
            <w:pPr>
              <w:pStyle w:val="13"/>
            </w:pPr>
            <w:r>
              <w:t>13052525P00000410022Y</w:t>
            </w:r>
          </w:p>
        </w:tc>
        <w:tc>
          <w:tcPr>
            <w:tcW w:w="2835" w:type="dxa"/>
            <w:vAlign w:val="center"/>
          </w:tcPr>
          <w:p w14:paraId="277C080B">
            <w:pPr>
              <w:pStyle w:val="11"/>
            </w:pPr>
            <w:r>
              <w:t>项目名称</w:t>
            </w:r>
          </w:p>
        </w:tc>
        <w:tc>
          <w:tcPr>
            <w:tcW w:w="6095" w:type="dxa"/>
            <w:gridSpan w:val="3"/>
            <w:vAlign w:val="center"/>
          </w:tcPr>
          <w:p w14:paraId="1E8F8631">
            <w:pPr>
              <w:pStyle w:val="13"/>
            </w:pPr>
            <w:r>
              <w:t>县级配套/隆尧县私立希望小学公用经费</w:t>
            </w:r>
            <w:r>
              <w:tab/>
            </w:r>
            <w:r>
              <w:tab/>
            </w:r>
            <w:r>
              <w:tab/>
            </w:r>
          </w:p>
          <w:p w14:paraId="05A0A658">
            <w:pPr>
              <w:pStyle w:val="13"/>
            </w:pPr>
          </w:p>
        </w:tc>
      </w:tr>
      <w:tr w14:paraId="15432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BADC9">
            <w:pPr>
              <w:pStyle w:val="11"/>
            </w:pPr>
            <w:r>
              <w:t>预算规模及资金用途</w:t>
            </w:r>
          </w:p>
        </w:tc>
        <w:tc>
          <w:tcPr>
            <w:tcW w:w="2268" w:type="dxa"/>
            <w:vAlign w:val="center"/>
          </w:tcPr>
          <w:p w14:paraId="2B3B5B99">
            <w:pPr>
              <w:pStyle w:val="11"/>
            </w:pPr>
            <w:r>
              <w:t>预算数</w:t>
            </w:r>
          </w:p>
        </w:tc>
        <w:tc>
          <w:tcPr>
            <w:tcW w:w="2835" w:type="dxa"/>
            <w:vAlign w:val="center"/>
          </w:tcPr>
          <w:p w14:paraId="7587D70D">
            <w:pPr>
              <w:pStyle w:val="13"/>
            </w:pPr>
            <w:r>
              <w:t>7.70</w:t>
            </w:r>
          </w:p>
        </w:tc>
        <w:tc>
          <w:tcPr>
            <w:tcW w:w="2835" w:type="dxa"/>
            <w:vAlign w:val="center"/>
          </w:tcPr>
          <w:p w14:paraId="083FA0BB">
            <w:pPr>
              <w:pStyle w:val="11"/>
            </w:pPr>
            <w:r>
              <w:t>其中：财政    资金</w:t>
            </w:r>
          </w:p>
        </w:tc>
        <w:tc>
          <w:tcPr>
            <w:tcW w:w="2551" w:type="dxa"/>
            <w:vAlign w:val="center"/>
          </w:tcPr>
          <w:p w14:paraId="364D8272">
            <w:pPr>
              <w:pStyle w:val="13"/>
            </w:pPr>
            <w:r>
              <w:t>7.70</w:t>
            </w:r>
          </w:p>
        </w:tc>
        <w:tc>
          <w:tcPr>
            <w:tcW w:w="2268" w:type="dxa"/>
            <w:vAlign w:val="center"/>
          </w:tcPr>
          <w:p w14:paraId="3CC7ABD7">
            <w:pPr>
              <w:pStyle w:val="11"/>
            </w:pPr>
            <w:r>
              <w:t>其他资金</w:t>
            </w:r>
          </w:p>
        </w:tc>
        <w:tc>
          <w:tcPr>
            <w:tcW w:w="1276" w:type="dxa"/>
            <w:vAlign w:val="center"/>
          </w:tcPr>
          <w:p w14:paraId="1BBA56F1">
            <w:pPr>
              <w:pStyle w:val="13"/>
            </w:pPr>
            <w:r>
              <w:t xml:space="preserve"> </w:t>
            </w:r>
          </w:p>
        </w:tc>
      </w:tr>
      <w:tr w14:paraId="0D1A5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C9B734"/>
        </w:tc>
        <w:tc>
          <w:tcPr>
            <w:tcW w:w="14033" w:type="dxa"/>
            <w:gridSpan w:val="6"/>
            <w:vAlign w:val="center"/>
          </w:tcPr>
          <w:p w14:paraId="22B08A5F">
            <w:pPr>
              <w:pStyle w:val="13"/>
            </w:pPr>
            <w:r>
              <w:t>保障义务教育学校正常运转，完成教育教学活动和其他日常工作任务等方面的费用支出。</w:t>
            </w:r>
          </w:p>
        </w:tc>
      </w:tr>
      <w:tr w14:paraId="532DA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06C66">
            <w:pPr>
              <w:pStyle w:val="11"/>
            </w:pPr>
            <w:r>
              <w:t>资金支出计划（%）</w:t>
            </w:r>
          </w:p>
        </w:tc>
        <w:tc>
          <w:tcPr>
            <w:tcW w:w="5103" w:type="dxa"/>
            <w:gridSpan w:val="2"/>
            <w:vAlign w:val="center"/>
          </w:tcPr>
          <w:p w14:paraId="6AB6CFD2">
            <w:pPr>
              <w:pStyle w:val="11"/>
            </w:pPr>
            <w:r>
              <w:t>3月底</w:t>
            </w:r>
          </w:p>
        </w:tc>
        <w:tc>
          <w:tcPr>
            <w:tcW w:w="2835" w:type="dxa"/>
            <w:vAlign w:val="center"/>
          </w:tcPr>
          <w:p w14:paraId="7A49E312">
            <w:pPr>
              <w:pStyle w:val="11"/>
            </w:pPr>
            <w:r>
              <w:t>6月底</w:t>
            </w:r>
          </w:p>
        </w:tc>
        <w:tc>
          <w:tcPr>
            <w:tcW w:w="2551" w:type="dxa"/>
            <w:vAlign w:val="center"/>
          </w:tcPr>
          <w:p w14:paraId="60DE4B48">
            <w:pPr>
              <w:pStyle w:val="11"/>
            </w:pPr>
            <w:r>
              <w:t>10月底</w:t>
            </w:r>
          </w:p>
        </w:tc>
        <w:tc>
          <w:tcPr>
            <w:tcW w:w="3544" w:type="dxa"/>
            <w:gridSpan w:val="2"/>
            <w:vAlign w:val="center"/>
          </w:tcPr>
          <w:p w14:paraId="5CC6B159">
            <w:pPr>
              <w:pStyle w:val="11"/>
            </w:pPr>
            <w:r>
              <w:t>12月底</w:t>
            </w:r>
          </w:p>
        </w:tc>
      </w:tr>
      <w:tr w14:paraId="58812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DDBB9B"/>
        </w:tc>
        <w:tc>
          <w:tcPr>
            <w:tcW w:w="5103" w:type="dxa"/>
            <w:gridSpan w:val="2"/>
            <w:vAlign w:val="center"/>
          </w:tcPr>
          <w:p w14:paraId="4BDA003F">
            <w:pPr>
              <w:pStyle w:val="12"/>
            </w:pPr>
            <w:r>
              <w:t xml:space="preserve"> </w:t>
            </w:r>
          </w:p>
        </w:tc>
        <w:tc>
          <w:tcPr>
            <w:tcW w:w="2835" w:type="dxa"/>
            <w:vAlign w:val="center"/>
          </w:tcPr>
          <w:p w14:paraId="7A799C08">
            <w:pPr>
              <w:pStyle w:val="12"/>
            </w:pPr>
            <w:r>
              <w:t xml:space="preserve"> </w:t>
            </w:r>
          </w:p>
        </w:tc>
        <w:tc>
          <w:tcPr>
            <w:tcW w:w="2551" w:type="dxa"/>
            <w:vAlign w:val="center"/>
          </w:tcPr>
          <w:p w14:paraId="0498B45F">
            <w:pPr>
              <w:pStyle w:val="12"/>
            </w:pPr>
            <w:r>
              <w:t xml:space="preserve"> </w:t>
            </w:r>
          </w:p>
        </w:tc>
        <w:tc>
          <w:tcPr>
            <w:tcW w:w="3544" w:type="dxa"/>
            <w:gridSpan w:val="2"/>
            <w:vAlign w:val="center"/>
          </w:tcPr>
          <w:p w14:paraId="25A75731">
            <w:pPr>
              <w:pStyle w:val="12"/>
            </w:pPr>
            <w:r>
              <w:t>100%</w:t>
            </w:r>
          </w:p>
        </w:tc>
      </w:tr>
      <w:tr w14:paraId="0885D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CE596">
            <w:pPr>
              <w:pStyle w:val="11"/>
            </w:pPr>
            <w:r>
              <w:t>绩效目标</w:t>
            </w:r>
          </w:p>
        </w:tc>
        <w:tc>
          <w:tcPr>
            <w:tcW w:w="14033" w:type="dxa"/>
            <w:gridSpan w:val="6"/>
            <w:vAlign w:val="center"/>
          </w:tcPr>
          <w:p w14:paraId="06457BDB">
            <w:pPr>
              <w:pStyle w:val="13"/>
            </w:pPr>
            <w:r>
              <w:t>1.保障义务教育学校正常运转，完成教育教学活动和其他日常工作任务等方面的费用支出。</w:t>
            </w:r>
          </w:p>
        </w:tc>
      </w:tr>
    </w:tbl>
    <w:p w14:paraId="5A0867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4D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DB762">
            <w:pPr>
              <w:pStyle w:val="11"/>
            </w:pPr>
            <w:r>
              <w:t>一级指标</w:t>
            </w:r>
          </w:p>
        </w:tc>
        <w:tc>
          <w:tcPr>
            <w:tcW w:w="2268" w:type="dxa"/>
            <w:vAlign w:val="center"/>
          </w:tcPr>
          <w:p w14:paraId="5B6F79DF">
            <w:pPr>
              <w:pStyle w:val="11"/>
            </w:pPr>
            <w:r>
              <w:t>二级指标</w:t>
            </w:r>
          </w:p>
        </w:tc>
        <w:tc>
          <w:tcPr>
            <w:tcW w:w="2835" w:type="dxa"/>
            <w:vAlign w:val="center"/>
          </w:tcPr>
          <w:p w14:paraId="7FC8812C">
            <w:pPr>
              <w:pStyle w:val="11"/>
            </w:pPr>
            <w:r>
              <w:t>三级指标</w:t>
            </w:r>
          </w:p>
        </w:tc>
        <w:tc>
          <w:tcPr>
            <w:tcW w:w="5386" w:type="dxa"/>
            <w:vAlign w:val="center"/>
          </w:tcPr>
          <w:p w14:paraId="36FD7F51">
            <w:pPr>
              <w:pStyle w:val="11"/>
            </w:pPr>
            <w:r>
              <w:t>绩效指标描述</w:t>
            </w:r>
          </w:p>
        </w:tc>
        <w:tc>
          <w:tcPr>
            <w:tcW w:w="2268" w:type="dxa"/>
            <w:vAlign w:val="center"/>
          </w:tcPr>
          <w:p w14:paraId="3B3FDFC0">
            <w:pPr>
              <w:pStyle w:val="11"/>
            </w:pPr>
            <w:r>
              <w:t>指标值</w:t>
            </w:r>
          </w:p>
        </w:tc>
        <w:tc>
          <w:tcPr>
            <w:tcW w:w="1276" w:type="dxa"/>
            <w:vAlign w:val="center"/>
          </w:tcPr>
          <w:p w14:paraId="0BCA6263">
            <w:pPr>
              <w:pStyle w:val="11"/>
            </w:pPr>
            <w:r>
              <w:t>指标值确定依据</w:t>
            </w:r>
          </w:p>
        </w:tc>
      </w:tr>
      <w:tr w14:paraId="57C38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4CD86">
            <w:pPr>
              <w:pStyle w:val="12"/>
            </w:pPr>
            <w:r>
              <w:t>产出指标</w:t>
            </w:r>
          </w:p>
        </w:tc>
        <w:tc>
          <w:tcPr>
            <w:tcW w:w="2268" w:type="dxa"/>
            <w:vAlign w:val="center"/>
          </w:tcPr>
          <w:p w14:paraId="13BED9A8">
            <w:pPr>
              <w:pStyle w:val="13"/>
            </w:pPr>
            <w:r>
              <w:t>数量指标</w:t>
            </w:r>
          </w:p>
        </w:tc>
        <w:tc>
          <w:tcPr>
            <w:tcW w:w="2835" w:type="dxa"/>
            <w:vAlign w:val="center"/>
          </w:tcPr>
          <w:p w14:paraId="5DA9652A">
            <w:pPr>
              <w:pStyle w:val="13"/>
            </w:pPr>
            <w:r>
              <w:t>适龄在校生</w:t>
            </w:r>
          </w:p>
        </w:tc>
        <w:tc>
          <w:tcPr>
            <w:tcW w:w="5386" w:type="dxa"/>
            <w:vAlign w:val="center"/>
          </w:tcPr>
          <w:p w14:paraId="27C3F084">
            <w:pPr>
              <w:pStyle w:val="13"/>
            </w:pPr>
            <w:r>
              <w:t>适龄在校就读学生人数</w:t>
            </w:r>
          </w:p>
        </w:tc>
        <w:tc>
          <w:tcPr>
            <w:tcW w:w="2268" w:type="dxa"/>
            <w:vAlign w:val="center"/>
          </w:tcPr>
          <w:p w14:paraId="2BFCACB1">
            <w:pPr>
              <w:pStyle w:val="13"/>
            </w:pPr>
            <w:r>
              <w:t>135人</w:t>
            </w:r>
          </w:p>
        </w:tc>
        <w:tc>
          <w:tcPr>
            <w:tcW w:w="1276" w:type="dxa"/>
            <w:vAlign w:val="center"/>
          </w:tcPr>
          <w:p w14:paraId="472C161B">
            <w:pPr>
              <w:pStyle w:val="13"/>
            </w:pPr>
            <w:r>
              <w:t>城乡义务教育公用经费管理办法</w:t>
            </w:r>
          </w:p>
        </w:tc>
      </w:tr>
      <w:tr w14:paraId="4D9EF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252B7"/>
        </w:tc>
        <w:tc>
          <w:tcPr>
            <w:tcW w:w="2268" w:type="dxa"/>
            <w:vAlign w:val="center"/>
          </w:tcPr>
          <w:p w14:paraId="39C3A20F">
            <w:pPr>
              <w:pStyle w:val="13"/>
            </w:pPr>
            <w:r>
              <w:t>质量指标</w:t>
            </w:r>
          </w:p>
        </w:tc>
        <w:tc>
          <w:tcPr>
            <w:tcW w:w="2835" w:type="dxa"/>
            <w:vAlign w:val="center"/>
          </w:tcPr>
          <w:p w14:paraId="120E0154">
            <w:pPr>
              <w:pStyle w:val="13"/>
            </w:pPr>
            <w:r>
              <w:t>预算控制率</w:t>
            </w:r>
          </w:p>
        </w:tc>
        <w:tc>
          <w:tcPr>
            <w:tcW w:w="5386" w:type="dxa"/>
            <w:vAlign w:val="center"/>
          </w:tcPr>
          <w:p w14:paraId="705B809C">
            <w:pPr>
              <w:pStyle w:val="13"/>
            </w:pPr>
            <w:r>
              <w:t>预算执行</w:t>
            </w:r>
          </w:p>
        </w:tc>
        <w:tc>
          <w:tcPr>
            <w:tcW w:w="2268" w:type="dxa"/>
            <w:vAlign w:val="center"/>
          </w:tcPr>
          <w:p w14:paraId="2E7813D3">
            <w:pPr>
              <w:pStyle w:val="13"/>
            </w:pPr>
            <w:r>
              <w:t>≥95%</w:t>
            </w:r>
          </w:p>
        </w:tc>
        <w:tc>
          <w:tcPr>
            <w:tcW w:w="1276" w:type="dxa"/>
            <w:vAlign w:val="center"/>
          </w:tcPr>
          <w:p w14:paraId="3C31C4FC">
            <w:pPr>
              <w:pStyle w:val="13"/>
            </w:pPr>
            <w:r>
              <w:t>城乡义务教育公用经费管理办法</w:t>
            </w:r>
          </w:p>
        </w:tc>
      </w:tr>
      <w:tr w14:paraId="1E759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2675C"/>
        </w:tc>
        <w:tc>
          <w:tcPr>
            <w:tcW w:w="2268" w:type="dxa"/>
            <w:vAlign w:val="center"/>
          </w:tcPr>
          <w:p w14:paraId="2FF6C627">
            <w:pPr>
              <w:pStyle w:val="13"/>
            </w:pPr>
            <w:r>
              <w:t>时效指标</w:t>
            </w:r>
          </w:p>
        </w:tc>
        <w:tc>
          <w:tcPr>
            <w:tcW w:w="2835" w:type="dxa"/>
            <w:vAlign w:val="center"/>
          </w:tcPr>
          <w:p w14:paraId="67C2E59B">
            <w:pPr>
              <w:pStyle w:val="13"/>
            </w:pPr>
            <w:r>
              <w:t>资金支付率</w:t>
            </w:r>
          </w:p>
        </w:tc>
        <w:tc>
          <w:tcPr>
            <w:tcW w:w="5386" w:type="dxa"/>
            <w:vAlign w:val="center"/>
          </w:tcPr>
          <w:p w14:paraId="3CBA6C7E">
            <w:pPr>
              <w:pStyle w:val="13"/>
            </w:pPr>
            <w:r>
              <w:t>按照序时进度完成资金支付</w:t>
            </w:r>
          </w:p>
        </w:tc>
        <w:tc>
          <w:tcPr>
            <w:tcW w:w="2268" w:type="dxa"/>
            <w:vAlign w:val="center"/>
          </w:tcPr>
          <w:p w14:paraId="394F7337">
            <w:pPr>
              <w:pStyle w:val="13"/>
            </w:pPr>
            <w:r>
              <w:t>≥100%</w:t>
            </w:r>
          </w:p>
        </w:tc>
        <w:tc>
          <w:tcPr>
            <w:tcW w:w="1276" w:type="dxa"/>
            <w:vAlign w:val="center"/>
          </w:tcPr>
          <w:p w14:paraId="43A9D1DB">
            <w:pPr>
              <w:pStyle w:val="13"/>
            </w:pPr>
            <w:r>
              <w:t>城乡义务教育公用经费管理办法</w:t>
            </w:r>
          </w:p>
        </w:tc>
      </w:tr>
      <w:tr w14:paraId="0004F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274AD"/>
        </w:tc>
        <w:tc>
          <w:tcPr>
            <w:tcW w:w="2268" w:type="dxa"/>
            <w:vAlign w:val="center"/>
          </w:tcPr>
          <w:p w14:paraId="7095AFF8">
            <w:pPr>
              <w:pStyle w:val="13"/>
            </w:pPr>
            <w:r>
              <w:t>成本指标</w:t>
            </w:r>
          </w:p>
        </w:tc>
        <w:tc>
          <w:tcPr>
            <w:tcW w:w="2835" w:type="dxa"/>
            <w:vAlign w:val="center"/>
          </w:tcPr>
          <w:p w14:paraId="0AEBF932">
            <w:pPr>
              <w:pStyle w:val="13"/>
            </w:pPr>
            <w:r>
              <w:t>生均拨款标准</w:t>
            </w:r>
          </w:p>
        </w:tc>
        <w:tc>
          <w:tcPr>
            <w:tcW w:w="5386" w:type="dxa"/>
            <w:vAlign w:val="center"/>
          </w:tcPr>
          <w:p w14:paraId="0CF1A887">
            <w:pPr>
              <w:pStyle w:val="13"/>
            </w:pPr>
            <w:r>
              <w:t>小学：（基本标准720元、寄宿生300元、取暖120元）/生/学年；随班就读学生：标准6000元/生/学年。</w:t>
            </w:r>
          </w:p>
        </w:tc>
        <w:tc>
          <w:tcPr>
            <w:tcW w:w="2268" w:type="dxa"/>
            <w:vAlign w:val="center"/>
          </w:tcPr>
          <w:p w14:paraId="05F8DCEC">
            <w:pPr>
              <w:pStyle w:val="13"/>
            </w:pPr>
            <w:r>
              <w:t>76950元</w:t>
            </w:r>
          </w:p>
        </w:tc>
        <w:tc>
          <w:tcPr>
            <w:tcW w:w="1276" w:type="dxa"/>
            <w:vAlign w:val="center"/>
          </w:tcPr>
          <w:p w14:paraId="61B93190">
            <w:pPr>
              <w:pStyle w:val="13"/>
            </w:pPr>
            <w:r>
              <w:t>城乡义务教育公用经费管理办法</w:t>
            </w:r>
          </w:p>
        </w:tc>
      </w:tr>
      <w:tr w14:paraId="39B7E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009D99">
            <w:pPr>
              <w:pStyle w:val="12"/>
            </w:pPr>
            <w:r>
              <w:t>效益指标</w:t>
            </w:r>
          </w:p>
        </w:tc>
        <w:tc>
          <w:tcPr>
            <w:tcW w:w="2268" w:type="dxa"/>
            <w:vAlign w:val="center"/>
          </w:tcPr>
          <w:p w14:paraId="06AE5010">
            <w:pPr>
              <w:pStyle w:val="13"/>
            </w:pPr>
            <w:r>
              <w:t>可持续影响指标</w:t>
            </w:r>
          </w:p>
        </w:tc>
        <w:tc>
          <w:tcPr>
            <w:tcW w:w="2835" w:type="dxa"/>
            <w:vAlign w:val="center"/>
          </w:tcPr>
          <w:p w14:paraId="0C6F9D3C">
            <w:pPr>
              <w:pStyle w:val="13"/>
            </w:pPr>
            <w:r>
              <w:t>教育发展水平明显好转</w:t>
            </w:r>
          </w:p>
        </w:tc>
        <w:tc>
          <w:tcPr>
            <w:tcW w:w="5386" w:type="dxa"/>
            <w:vAlign w:val="center"/>
          </w:tcPr>
          <w:p w14:paraId="39A17CCF">
            <w:pPr>
              <w:pStyle w:val="13"/>
            </w:pPr>
            <w:r>
              <w:t>学生受教育年限</w:t>
            </w:r>
          </w:p>
        </w:tc>
        <w:tc>
          <w:tcPr>
            <w:tcW w:w="2268" w:type="dxa"/>
            <w:vAlign w:val="center"/>
          </w:tcPr>
          <w:p w14:paraId="10BFD9AA">
            <w:pPr>
              <w:pStyle w:val="13"/>
            </w:pPr>
            <w:r>
              <w:t>6年</w:t>
            </w:r>
          </w:p>
        </w:tc>
        <w:tc>
          <w:tcPr>
            <w:tcW w:w="1276" w:type="dxa"/>
            <w:vAlign w:val="center"/>
          </w:tcPr>
          <w:p w14:paraId="7EA748BE">
            <w:pPr>
              <w:pStyle w:val="13"/>
            </w:pPr>
            <w:r>
              <w:t>城乡义务教育公用经费管理办法</w:t>
            </w:r>
          </w:p>
        </w:tc>
      </w:tr>
      <w:tr w14:paraId="53BD0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ABDC4">
            <w:pPr>
              <w:pStyle w:val="12"/>
            </w:pPr>
            <w:r>
              <w:t>满意度指标</w:t>
            </w:r>
          </w:p>
        </w:tc>
        <w:tc>
          <w:tcPr>
            <w:tcW w:w="2268" w:type="dxa"/>
            <w:vAlign w:val="center"/>
          </w:tcPr>
          <w:p w14:paraId="4F30B434">
            <w:pPr>
              <w:pStyle w:val="13"/>
            </w:pPr>
            <w:r>
              <w:t>服务对象满意度指标</w:t>
            </w:r>
          </w:p>
        </w:tc>
        <w:tc>
          <w:tcPr>
            <w:tcW w:w="2835" w:type="dxa"/>
            <w:vAlign w:val="center"/>
          </w:tcPr>
          <w:p w14:paraId="1089BBB2">
            <w:pPr>
              <w:pStyle w:val="13"/>
            </w:pPr>
            <w:r>
              <w:t>受益学生家长及调查满意度</w:t>
            </w:r>
          </w:p>
        </w:tc>
        <w:tc>
          <w:tcPr>
            <w:tcW w:w="5386" w:type="dxa"/>
            <w:vAlign w:val="center"/>
          </w:tcPr>
          <w:p w14:paraId="56C85BAD">
            <w:pPr>
              <w:pStyle w:val="13"/>
            </w:pPr>
            <w:r>
              <w:t>学生、教师及家长对学校教育教学工作满意度情况</w:t>
            </w:r>
          </w:p>
        </w:tc>
        <w:tc>
          <w:tcPr>
            <w:tcW w:w="2268" w:type="dxa"/>
            <w:vAlign w:val="center"/>
          </w:tcPr>
          <w:p w14:paraId="113710EC">
            <w:pPr>
              <w:pStyle w:val="13"/>
            </w:pPr>
            <w:r>
              <w:t>≥95%</w:t>
            </w:r>
          </w:p>
        </w:tc>
        <w:tc>
          <w:tcPr>
            <w:tcW w:w="1276" w:type="dxa"/>
            <w:vAlign w:val="center"/>
          </w:tcPr>
          <w:p w14:paraId="26F7018A">
            <w:pPr>
              <w:pStyle w:val="13"/>
            </w:pPr>
            <w:r>
              <w:t>调查问卷</w:t>
            </w:r>
          </w:p>
        </w:tc>
      </w:tr>
    </w:tbl>
    <w:p w14:paraId="0B204621">
      <w:pPr>
        <w:sectPr>
          <w:pgSz w:w="16840" w:h="11900" w:orient="landscape"/>
          <w:pgMar w:top="1361" w:right="1020" w:bottom="1134" w:left="1020" w:header="720" w:footer="720" w:gutter="0"/>
          <w:cols w:space="720" w:num="1"/>
        </w:sectPr>
      </w:pPr>
    </w:p>
    <w:p w14:paraId="7DD58F2E">
      <w:pPr>
        <w:spacing w:before="0" w:after="0"/>
        <w:ind w:firstLine="560"/>
        <w:jc w:val="left"/>
        <w:outlineLvl w:val="9"/>
      </w:pPr>
      <w:r>
        <w:rPr>
          <w:rFonts w:ascii="方正仿宋_GBK" w:hAnsi="方正仿宋_GBK" w:eastAsia="方正仿宋_GBK" w:cs="方正仿宋_GBK"/>
          <w:b/>
          <w:color w:val="000000"/>
          <w:sz w:val="28"/>
        </w:rPr>
        <w:t>146、县级配套/隆尧县私立育德小学公用经费绩效目标表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41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0E9BC">
            <w:pPr>
              <w:pStyle w:val="14"/>
            </w:pPr>
            <w:r>
              <w:t>单位：万元</w:t>
            </w:r>
          </w:p>
        </w:tc>
      </w:tr>
      <w:tr w14:paraId="60C32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8F16B1">
            <w:pPr>
              <w:pStyle w:val="11"/>
            </w:pPr>
            <w:r>
              <w:t>项目编码</w:t>
            </w:r>
          </w:p>
        </w:tc>
        <w:tc>
          <w:tcPr>
            <w:tcW w:w="5103" w:type="dxa"/>
            <w:gridSpan w:val="2"/>
            <w:vAlign w:val="center"/>
          </w:tcPr>
          <w:p w14:paraId="7FA95299">
            <w:pPr>
              <w:pStyle w:val="13"/>
            </w:pPr>
            <w:r>
              <w:t>13052525P00000410021B</w:t>
            </w:r>
          </w:p>
        </w:tc>
        <w:tc>
          <w:tcPr>
            <w:tcW w:w="2835" w:type="dxa"/>
            <w:vAlign w:val="center"/>
          </w:tcPr>
          <w:p w14:paraId="4FA65240">
            <w:pPr>
              <w:pStyle w:val="11"/>
            </w:pPr>
            <w:r>
              <w:t>项目名称</w:t>
            </w:r>
          </w:p>
        </w:tc>
        <w:tc>
          <w:tcPr>
            <w:tcW w:w="6095" w:type="dxa"/>
            <w:gridSpan w:val="3"/>
            <w:vAlign w:val="center"/>
          </w:tcPr>
          <w:p w14:paraId="1F773491">
            <w:pPr>
              <w:pStyle w:val="13"/>
            </w:pPr>
            <w:r>
              <w:t>县级配套/隆尧县私立育德小学公用经费</w:t>
            </w:r>
            <w:r>
              <w:tab/>
            </w:r>
            <w:r>
              <w:tab/>
            </w:r>
            <w:r>
              <w:tab/>
            </w:r>
          </w:p>
        </w:tc>
      </w:tr>
      <w:tr w14:paraId="02C66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80C8A">
            <w:pPr>
              <w:pStyle w:val="11"/>
            </w:pPr>
            <w:r>
              <w:t>预算规模及资金用途</w:t>
            </w:r>
          </w:p>
        </w:tc>
        <w:tc>
          <w:tcPr>
            <w:tcW w:w="2268" w:type="dxa"/>
            <w:vAlign w:val="center"/>
          </w:tcPr>
          <w:p w14:paraId="519090FF">
            <w:pPr>
              <w:pStyle w:val="11"/>
            </w:pPr>
            <w:r>
              <w:t>预算数</w:t>
            </w:r>
          </w:p>
        </w:tc>
        <w:tc>
          <w:tcPr>
            <w:tcW w:w="2835" w:type="dxa"/>
            <w:vAlign w:val="center"/>
          </w:tcPr>
          <w:p w14:paraId="062205BE">
            <w:pPr>
              <w:pStyle w:val="13"/>
            </w:pPr>
            <w:r>
              <w:t>12.64</w:t>
            </w:r>
          </w:p>
        </w:tc>
        <w:tc>
          <w:tcPr>
            <w:tcW w:w="2835" w:type="dxa"/>
            <w:vAlign w:val="center"/>
          </w:tcPr>
          <w:p w14:paraId="4D8500E0">
            <w:pPr>
              <w:pStyle w:val="11"/>
            </w:pPr>
            <w:r>
              <w:t>其中：财政    资金</w:t>
            </w:r>
          </w:p>
        </w:tc>
        <w:tc>
          <w:tcPr>
            <w:tcW w:w="2551" w:type="dxa"/>
            <w:vAlign w:val="center"/>
          </w:tcPr>
          <w:p w14:paraId="0C9EF304">
            <w:pPr>
              <w:pStyle w:val="13"/>
            </w:pPr>
            <w:r>
              <w:t>12.64</w:t>
            </w:r>
          </w:p>
        </w:tc>
        <w:tc>
          <w:tcPr>
            <w:tcW w:w="2268" w:type="dxa"/>
            <w:vAlign w:val="center"/>
          </w:tcPr>
          <w:p w14:paraId="39CCC092">
            <w:pPr>
              <w:pStyle w:val="11"/>
            </w:pPr>
            <w:r>
              <w:t>其他资金</w:t>
            </w:r>
          </w:p>
        </w:tc>
        <w:tc>
          <w:tcPr>
            <w:tcW w:w="1276" w:type="dxa"/>
            <w:vAlign w:val="center"/>
          </w:tcPr>
          <w:p w14:paraId="3E391DAC">
            <w:pPr>
              <w:pStyle w:val="13"/>
            </w:pPr>
            <w:r>
              <w:t xml:space="preserve"> </w:t>
            </w:r>
          </w:p>
        </w:tc>
      </w:tr>
      <w:tr w14:paraId="483EE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084C5"/>
        </w:tc>
        <w:tc>
          <w:tcPr>
            <w:tcW w:w="14033" w:type="dxa"/>
            <w:gridSpan w:val="6"/>
            <w:vAlign w:val="center"/>
          </w:tcPr>
          <w:p w14:paraId="2AD40EB5">
            <w:pPr>
              <w:pStyle w:val="13"/>
            </w:pPr>
            <w:r>
              <w:t>保障义务教育学校正常运转，完成教育教学活动和其他日常工作任务等方面的费用支出。</w:t>
            </w:r>
          </w:p>
        </w:tc>
      </w:tr>
      <w:tr w14:paraId="11F58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E2060">
            <w:pPr>
              <w:pStyle w:val="11"/>
            </w:pPr>
            <w:r>
              <w:t>资金支出计划（%）</w:t>
            </w:r>
          </w:p>
        </w:tc>
        <w:tc>
          <w:tcPr>
            <w:tcW w:w="5103" w:type="dxa"/>
            <w:gridSpan w:val="2"/>
            <w:vAlign w:val="center"/>
          </w:tcPr>
          <w:p w14:paraId="4DC35B48">
            <w:pPr>
              <w:pStyle w:val="11"/>
            </w:pPr>
            <w:r>
              <w:t>3月底</w:t>
            </w:r>
          </w:p>
        </w:tc>
        <w:tc>
          <w:tcPr>
            <w:tcW w:w="2835" w:type="dxa"/>
            <w:vAlign w:val="center"/>
          </w:tcPr>
          <w:p w14:paraId="421122C5">
            <w:pPr>
              <w:pStyle w:val="11"/>
            </w:pPr>
            <w:r>
              <w:t>6月底</w:t>
            </w:r>
          </w:p>
        </w:tc>
        <w:tc>
          <w:tcPr>
            <w:tcW w:w="2551" w:type="dxa"/>
            <w:vAlign w:val="center"/>
          </w:tcPr>
          <w:p w14:paraId="4BD92101">
            <w:pPr>
              <w:pStyle w:val="11"/>
            </w:pPr>
            <w:r>
              <w:t>10月底</w:t>
            </w:r>
          </w:p>
        </w:tc>
        <w:tc>
          <w:tcPr>
            <w:tcW w:w="3544" w:type="dxa"/>
            <w:gridSpan w:val="2"/>
            <w:vAlign w:val="center"/>
          </w:tcPr>
          <w:p w14:paraId="52179EA5">
            <w:pPr>
              <w:pStyle w:val="11"/>
            </w:pPr>
            <w:r>
              <w:t>12月底</w:t>
            </w:r>
          </w:p>
        </w:tc>
      </w:tr>
      <w:tr w14:paraId="29D53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B0228"/>
        </w:tc>
        <w:tc>
          <w:tcPr>
            <w:tcW w:w="5103" w:type="dxa"/>
            <w:gridSpan w:val="2"/>
            <w:vAlign w:val="center"/>
          </w:tcPr>
          <w:p w14:paraId="2D3CFCCA">
            <w:pPr>
              <w:pStyle w:val="12"/>
            </w:pPr>
            <w:r>
              <w:t xml:space="preserve"> </w:t>
            </w:r>
          </w:p>
        </w:tc>
        <w:tc>
          <w:tcPr>
            <w:tcW w:w="2835" w:type="dxa"/>
            <w:vAlign w:val="center"/>
          </w:tcPr>
          <w:p w14:paraId="185915D2">
            <w:pPr>
              <w:pStyle w:val="12"/>
            </w:pPr>
            <w:r>
              <w:t xml:space="preserve"> </w:t>
            </w:r>
          </w:p>
        </w:tc>
        <w:tc>
          <w:tcPr>
            <w:tcW w:w="2551" w:type="dxa"/>
            <w:vAlign w:val="center"/>
          </w:tcPr>
          <w:p w14:paraId="7B6C5466">
            <w:pPr>
              <w:pStyle w:val="12"/>
            </w:pPr>
            <w:r>
              <w:t xml:space="preserve"> </w:t>
            </w:r>
          </w:p>
        </w:tc>
        <w:tc>
          <w:tcPr>
            <w:tcW w:w="3544" w:type="dxa"/>
            <w:gridSpan w:val="2"/>
            <w:vAlign w:val="center"/>
          </w:tcPr>
          <w:p w14:paraId="0634A666">
            <w:pPr>
              <w:pStyle w:val="12"/>
            </w:pPr>
            <w:r>
              <w:t>100%</w:t>
            </w:r>
          </w:p>
        </w:tc>
      </w:tr>
      <w:tr w14:paraId="72302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7568BA">
            <w:pPr>
              <w:pStyle w:val="11"/>
            </w:pPr>
            <w:r>
              <w:t>绩效目标</w:t>
            </w:r>
          </w:p>
        </w:tc>
        <w:tc>
          <w:tcPr>
            <w:tcW w:w="14033" w:type="dxa"/>
            <w:gridSpan w:val="6"/>
            <w:vAlign w:val="center"/>
          </w:tcPr>
          <w:p w14:paraId="059829CE">
            <w:pPr>
              <w:pStyle w:val="13"/>
            </w:pPr>
            <w:r>
              <w:t>1.保障义务教育学校正常运转，完成教育教学活动和其他日常工作任务等方面的费用支出。</w:t>
            </w:r>
          </w:p>
        </w:tc>
      </w:tr>
    </w:tbl>
    <w:p w14:paraId="206BD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23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6560D">
            <w:pPr>
              <w:pStyle w:val="11"/>
            </w:pPr>
            <w:r>
              <w:t>一级指标</w:t>
            </w:r>
          </w:p>
        </w:tc>
        <w:tc>
          <w:tcPr>
            <w:tcW w:w="2268" w:type="dxa"/>
            <w:vAlign w:val="center"/>
          </w:tcPr>
          <w:p w14:paraId="287594D8">
            <w:pPr>
              <w:pStyle w:val="11"/>
            </w:pPr>
            <w:r>
              <w:t>二级指标</w:t>
            </w:r>
          </w:p>
        </w:tc>
        <w:tc>
          <w:tcPr>
            <w:tcW w:w="2835" w:type="dxa"/>
            <w:vAlign w:val="center"/>
          </w:tcPr>
          <w:p w14:paraId="6927DA4B">
            <w:pPr>
              <w:pStyle w:val="11"/>
            </w:pPr>
            <w:r>
              <w:t>三级指标</w:t>
            </w:r>
          </w:p>
        </w:tc>
        <w:tc>
          <w:tcPr>
            <w:tcW w:w="5386" w:type="dxa"/>
            <w:vAlign w:val="center"/>
          </w:tcPr>
          <w:p w14:paraId="17FC472C">
            <w:pPr>
              <w:pStyle w:val="11"/>
            </w:pPr>
            <w:r>
              <w:t>绩效指标描述</w:t>
            </w:r>
          </w:p>
        </w:tc>
        <w:tc>
          <w:tcPr>
            <w:tcW w:w="2268" w:type="dxa"/>
            <w:vAlign w:val="center"/>
          </w:tcPr>
          <w:p w14:paraId="5CD97EE5">
            <w:pPr>
              <w:pStyle w:val="11"/>
            </w:pPr>
            <w:r>
              <w:t>指标值</w:t>
            </w:r>
          </w:p>
        </w:tc>
        <w:tc>
          <w:tcPr>
            <w:tcW w:w="1276" w:type="dxa"/>
            <w:vAlign w:val="center"/>
          </w:tcPr>
          <w:p w14:paraId="689447F7">
            <w:pPr>
              <w:pStyle w:val="11"/>
            </w:pPr>
            <w:r>
              <w:t>指标值确定依据</w:t>
            </w:r>
          </w:p>
        </w:tc>
      </w:tr>
      <w:tr w14:paraId="0ECF2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064BA">
            <w:pPr>
              <w:pStyle w:val="12"/>
            </w:pPr>
            <w:r>
              <w:t>产出指标</w:t>
            </w:r>
          </w:p>
        </w:tc>
        <w:tc>
          <w:tcPr>
            <w:tcW w:w="2268" w:type="dxa"/>
            <w:vAlign w:val="center"/>
          </w:tcPr>
          <w:p w14:paraId="39079388">
            <w:pPr>
              <w:pStyle w:val="13"/>
            </w:pPr>
            <w:r>
              <w:t>数量指标</w:t>
            </w:r>
          </w:p>
        </w:tc>
        <w:tc>
          <w:tcPr>
            <w:tcW w:w="2835" w:type="dxa"/>
            <w:vAlign w:val="center"/>
          </w:tcPr>
          <w:p w14:paraId="1F845660">
            <w:pPr>
              <w:pStyle w:val="13"/>
            </w:pPr>
            <w:r>
              <w:t>适龄在校生</w:t>
            </w:r>
          </w:p>
        </w:tc>
        <w:tc>
          <w:tcPr>
            <w:tcW w:w="5386" w:type="dxa"/>
            <w:vAlign w:val="center"/>
          </w:tcPr>
          <w:p w14:paraId="2763DE17">
            <w:pPr>
              <w:pStyle w:val="13"/>
            </w:pPr>
            <w:r>
              <w:t>适龄在校就读学生人数</w:t>
            </w:r>
          </w:p>
        </w:tc>
        <w:tc>
          <w:tcPr>
            <w:tcW w:w="2268" w:type="dxa"/>
            <w:vAlign w:val="center"/>
          </w:tcPr>
          <w:p w14:paraId="35F81F66">
            <w:pPr>
              <w:pStyle w:val="13"/>
            </w:pPr>
            <w:r>
              <w:t>231人</w:t>
            </w:r>
          </w:p>
        </w:tc>
        <w:tc>
          <w:tcPr>
            <w:tcW w:w="1276" w:type="dxa"/>
            <w:vAlign w:val="center"/>
          </w:tcPr>
          <w:p w14:paraId="2740214B">
            <w:pPr>
              <w:pStyle w:val="13"/>
            </w:pPr>
            <w:r>
              <w:t>城乡义务教育公用经费管理办法</w:t>
            </w:r>
          </w:p>
        </w:tc>
      </w:tr>
      <w:tr w14:paraId="4ADE5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798C0"/>
        </w:tc>
        <w:tc>
          <w:tcPr>
            <w:tcW w:w="2268" w:type="dxa"/>
            <w:vAlign w:val="center"/>
          </w:tcPr>
          <w:p w14:paraId="2AF71326">
            <w:pPr>
              <w:pStyle w:val="13"/>
            </w:pPr>
            <w:r>
              <w:t>质量指标</w:t>
            </w:r>
          </w:p>
        </w:tc>
        <w:tc>
          <w:tcPr>
            <w:tcW w:w="2835" w:type="dxa"/>
            <w:vAlign w:val="center"/>
          </w:tcPr>
          <w:p w14:paraId="5E70B05F">
            <w:pPr>
              <w:pStyle w:val="13"/>
            </w:pPr>
            <w:r>
              <w:t>预算控制率</w:t>
            </w:r>
          </w:p>
        </w:tc>
        <w:tc>
          <w:tcPr>
            <w:tcW w:w="5386" w:type="dxa"/>
            <w:vAlign w:val="center"/>
          </w:tcPr>
          <w:p w14:paraId="2B20FEE8">
            <w:pPr>
              <w:pStyle w:val="13"/>
            </w:pPr>
            <w:r>
              <w:t>预算执行</w:t>
            </w:r>
          </w:p>
        </w:tc>
        <w:tc>
          <w:tcPr>
            <w:tcW w:w="2268" w:type="dxa"/>
            <w:vAlign w:val="center"/>
          </w:tcPr>
          <w:p w14:paraId="38C838C0">
            <w:pPr>
              <w:pStyle w:val="13"/>
            </w:pPr>
            <w:r>
              <w:t>≥95%</w:t>
            </w:r>
          </w:p>
        </w:tc>
        <w:tc>
          <w:tcPr>
            <w:tcW w:w="1276" w:type="dxa"/>
            <w:vAlign w:val="center"/>
          </w:tcPr>
          <w:p w14:paraId="454B83E1">
            <w:pPr>
              <w:pStyle w:val="13"/>
            </w:pPr>
            <w:r>
              <w:t>城乡义务教育公用经费管理办法</w:t>
            </w:r>
          </w:p>
        </w:tc>
      </w:tr>
      <w:tr w14:paraId="5D21B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4A9B9"/>
        </w:tc>
        <w:tc>
          <w:tcPr>
            <w:tcW w:w="2268" w:type="dxa"/>
            <w:vAlign w:val="center"/>
          </w:tcPr>
          <w:p w14:paraId="34ADED89">
            <w:pPr>
              <w:pStyle w:val="13"/>
            </w:pPr>
            <w:r>
              <w:t>时效指标</w:t>
            </w:r>
          </w:p>
        </w:tc>
        <w:tc>
          <w:tcPr>
            <w:tcW w:w="2835" w:type="dxa"/>
            <w:vAlign w:val="center"/>
          </w:tcPr>
          <w:p w14:paraId="710D37FB">
            <w:pPr>
              <w:pStyle w:val="13"/>
            </w:pPr>
            <w:r>
              <w:t>资金支付率</w:t>
            </w:r>
          </w:p>
        </w:tc>
        <w:tc>
          <w:tcPr>
            <w:tcW w:w="5386" w:type="dxa"/>
            <w:vAlign w:val="center"/>
          </w:tcPr>
          <w:p w14:paraId="0BF2B6C6">
            <w:pPr>
              <w:pStyle w:val="13"/>
            </w:pPr>
            <w:r>
              <w:t>按照序时进度完成资金支付</w:t>
            </w:r>
          </w:p>
        </w:tc>
        <w:tc>
          <w:tcPr>
            <w:tcW w:w="2268" w:type="dxa"/>
            <w:vAlign w:val="center"/>
          </w:tcPr>
          <w:p w14:paraId="0D3C9381">
            <w:pPr>
              <w:pStyle w:val="13"/>
            </w:pPr>
            <w:r>
              <w:t>≥100%</w:t>
            </w:r>
          </w:p>
        </w:tc>
        <w:tc>
          <w:tcPr>
            <w:tcW w:w="1276" w:type="dxa"/>
            <w:vAlign w:val="center"/>
          </w:tcPr>
          <w:p w14:paraId="234B3B28">
            <w:pPr>
              <w:pStyle w:val="13"/>
            </w:pPr>
            <w:r>
              <w:t>城乡义务教育公用经费管理办法</w:t>
            </w:r>
          </w:p>
        </w:tc>
      </w:tr>
      <w:tr w14:paraId="6E231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F8F6F"/>
        </w:tc>
        <w:tc>
          <w:tcPr>
            <w:tcW w:w="2268" w:type="dxa"/>
            <w:vAlign w:val="center"/>
          </w:tcPr>
          <w:p w14:paraId="29298929">
            <w:pPr>
              <w:pStyle w:val="13"/>
            </w:pPr>
            <w:r>
              <w:t>成本指标</w:t>
            </w:r>
          </w:p>
        </w:tc>
        <w:tc>
          <w:tcPr>
            <w:tcW w:w="2835" w:type="dxa"/>
            <w:vAlign w:val="center"/>
          </w:tcPr>
          <w:p w14:paraId="7F1035FA">
            <w:pPr>
              <w:pStyle w:val="13"/>
            </w:pPr>
            <w:r>
              <w:t>生均拨款标准</w:t>
            </w:r>
          </w:p>
        </w:tc>
        <w:tc>
          <w:tcPr>
            <w:tcW w:w="5386" w:type="dxa"/>
            <w:vAlign w:val="center"/>
          </w:tcPr>
          <w:p w14:paraId="7778D158">
            <w:pPr>
              <w:pStyle w:val="13"/>
            </w:pPr>
            <w:r>
              <w:t>小学：（基本标准720元、寄宿生300元、取暖120元）/生/学年；随班就读学生：标准6000元/生/学年。</w:t>
            </w:r>
          </w:p>
        </w:tc>
        <w:tc>
          <w:tcPr>
            <w:tcW w:w="2268" w:type="dxa"/>
            <w:vAlign w:val="center"/>
          </w:tcPr>
          <w:p w14:paraId="4545B701">
            <w:pPr>
              <w:pStyle w:val="13"/>
            </w:pPr>
            <w:r>
              <w:t>126420元</w:t>
            </w:r>
          </w:p>
        </w:tc>
        <w:tc>
          <w:tcPr>
            <w:tcW w:w="1276" w:type="dxa"/>
            <w:vAlign w:val="center"/>
          </w:tcPr>
          <w:p w14:paraId="497F0BF1">
            <w:pPr>
              <w:pStyle w:val="13"/>
            </w:pPr>
            <w:r>
              <w:t>城乡义务教育公用经费管理办法</w:t>
            </w:r>
          </w:p>
        </w:tc>
      </w:tr>
      <w:tr w14:paraId="620A2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FC66C4">
            <w:pPr>
              <w:pStyle w:val="12"/>
            </w:pPr>
            <w:r>
              <w:t>效益指标</w:t>
            </w:r>
          </w:p>
        </w:tc>
        <w:tc>
          <w:tcPr>
            <w:tcW w:w="2268" w:type="dxa"/>
            <w:vAlign w:val="center"/>
          </w:tcPr>
          <w:p w14:paraId="1FBD1048">
            <w:pPr>
              <w:pStyle w:val="13"/>
            </w:pPr>
            <w:r>
              <w:t>可持续影响指标</w:t>
            </w:r>
          </w:p>
        </w:tc>
        <w:tc>
          <w:tcPr>
            <w:tcW w:w="2835" w:type="dxa"/>
            <w:vAlign w:val="center"/>
          </w:tcPr>
          <w:p w14:paraId="62CEACE2">
            <w:pPr>
              <w:pStyle w:val="13"/>
            </w:pPr>
            <w:r>
              <w:t>教育发展水平明显好转</w:t>
            </w:r>
          </w:p>
        </w:tc>
        <w:tc>
          <w:tcPr>
            <w:tcW w:w="5386" w:type="dxa"/>
            <w:vAlign w:val="center"/>
          </w:tcPr>
          <w:p w14:paraId="5B98903E">
            <w:pPr>
              <w:pStyle w:val="13"/>
            </w:pPr>
            <w:r>
              <w:t>学生受教育年限</w:t>
            </w:r>
          </w:p>
        </w:tc>
        <w:tc>
          <w:tcPr>
            <w:tcW w:w="2268" w:type="dxa"/>
            <w:vAlign w:val="center"/>
          </w:tcPr>
          <w:p w14:paraId="509E06F8">
            <w:pPr>
              <w:pStyle w:val="13"/>
            </w:pPr>
            <w:r>
              <w:t>6年</w:t>
            </w:r>
          </w:p>
        </w:tc>
        <w:tc>
          <w:tcPr>
            <w:tcW w:w="1276" w:type="dxa"/>
            <w:vAlign w:val="center"/>
          </w:tcPr>
          <w:p w14:paraId="42831CCE">
            <w:pPr>
              <w:pStyle w:val="13"/>
            </w:pPr>
            <w:r>
              <w:t>城乡义务教育公用经费管理办法</w:t>
            </w:r>
          </w:p>
        </w:tc>
      </w:tr>
      <w:tr w14:paraId="77272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F89523">
            <w:pPr>
              <w:pStyle w:val="12"/>
            </w:pPr>
            <w:r>
              <w:t>满意度指标</w:t>
            </w:r>
          </w:p>
        </w:tc>
        <w:tc>
          <w:tcPr>
            <w:tcW w:w="2268" w:type="dxa"/>
            <w:vAlign w:val="center"/>
          </w:tcPr>
          <w:p w14:paraId="72E6F898">
            <w:pPr>
              <w:pStyle w:val="13"/>
            </w:pPr>
            <w:r>
              <w:t>服务对象满意度指标</w:t>
            </w:r>
          </w:p>
        </w:tc>
        <w:tc>
          <w:tcPr>
            <w:tcW w:w="2835" w:type="dxa"/>
            <w:vAlign w:val="center"/>
          </w:tcPr>
          <w:p w14:paraId="16EF005A">
            <w:pPr>
              <w:pStyle w:val="13"/>
            </w:pPr>
            <w:r>
              <w:t>受益学生家长及调查满意度</w:t>
            </w:r>
          </w:p>
        </w:tc>
        <w:tc>
          <w:tcPr>
            <w:tcW w:w="5386" w:type="dxa"/>
            <w:vAlign w:val="center"/>
          </w:tcPr>
          <w:p w14:paraId="6B2C31D6">
            <w:pPr>
              <w:pStyle w:val="13"/>
            </w:pPr>
            <w:r>
              <w:t>学生、教师及家长对学校教育教学工作满意度情况</w:t>
            </w:r>
          </w:p>
        </w:tc>
        <w:tc>
          <w:tcPr>
            <w:tcW w:w="2268" w:type="dxa"/>
            <w:vAlign w:val="center"/>
          </w:tcPr>
          <w:p w14:paraId="05C8E0CC">
            <w:pPr>
              <w:pStyle w:val="13"/>
            </w:pPr>
            <w:r>
              <w:t>≥95%</w:t>
            </w:r>
          </w:p>
        </w:tc>
        <w:tc>
          <w:tcPr>
            <w:tcW w:w="1276" w:type="dxa"/>
            <w:vAlign w:val="center"/>
          </w:tcPr>
          <w:p w14:paraId="67219FD7">
            <w:pPr>
              <w:pStyle w:val="13"/>
            </w:pPr>
            <w:r>
              <w:t>调查问卷</w:t>
            </w:r>
          </w:p>
        </w:tc>
      </w:tr>
    </w:tbl>
    <w:p w14:paraId="023D402D">
      <w:pPr>
        <w:sectPr>
          <w:pgSz w:w="16840" w:h="11900" w:orient="landscape"/>
          <w:pgMar w:top="1361" w:right="1020" w:bottom="1134" w:left="1020" w:header="720" w:footer="720" w:gutter="0"/>
          <w:cols w:space="720" w:num="1"/>
        </w:sectPr>
      </w:pPr>
    </w:p>
    <w:p w14:paraId="629F77DB">
      <w:pPr>
        <w:spacing w:before="0" w:after="0"/>
        <w:ind w:firstLine="560"/>
        <w:jc w:val="left"/>
        <w:outlineLvl w:val="9"/>
      </w:pPr>
      <w:r>
        <w:rPr>
          <w:rFonts w:ascii="方正仿宋_GBK" w:hAnsi="方正仿宋_GBK" w:eastAsia="方正仿宋_GBK" w:cs="方正仿宋_GBK"/>
          <w:b/>
          <w:color w:val="000000"/>
          <w:sz w:val="28"/>
        </w:rPr>
        <w:t>147、县级配套/隆尧县私立育蕾学校公用经绩效目标表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D7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0B737">
            <w:pPr>
              <w:pStyle w:val="14"/>
            </w:pPr>
            <w:r>
              <w:t>单位：万元</w:t>
            </w:r>
          </w:p>
        </w:tc>
      </w:tr>
      <w:tr w14:paraId="7247B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1273A">
            <w:pPr>
              <w:pStyle w:val="11"/>
            </w:pPr>
            <w:r>
              <w:t>项目编码</w:t>
            </w:r>
          </w:p>
        </w:tc>
        <w:tc>
          <w:tcPr>
            <w:tcW w:w="5103" w:type="dxa"/>
            <w:gridSpan w:val="2"/>
            <w:vAlign w:val="center"/>
          </w:tcPr>
          <w:p w14:paraId="6A96FE4E">
            <w:pPr>
              <w:pStyle w:val="13"/>
            </w:pPr>
            <w:r>
              <w:t>13052525P00000410117E</w:t>
            </w:r>
          </w:p>
        </w:tc>
        <w:tc>
          <w:tcPr>
            <w:tcW w:w="2835" w:type="dxa"/>
            <w:vAlign w:val="center"/>
          </w:tcPr>
          <w:p w14:paraId="2599F37C">
            <w:pPr>
              <w:pStyle w:val="11"/>
            </w:pPr>
            <w:r>
              <w:t>项目名称</w:t>
            </w:r>
          </w:p>
        </w:tc>
        <w:tc>
          <w:tcPr>
            <w:tcW w:w="6095" w:type="dxa"/>
            <w:gridSpan w:val="3"/>
            <w:vAlign w:val="center"/>
          </w:tcPr>
          <w:p w14:paraId="728B2B57">
            <w:pPr>
              <w:pStyle w:val="13"/>
            </w:pPr>
            <w:r>
              <w:t>县级配套/隆尧县私立育蕾学校公用经费</w:t>
            </w:r>
            <w:r>
              <w:tab/>
            </w:r>
            <w:r>
              <w:tab/>
            </w:r>
          </w:p>
          <w:p w14:paraId="28288E36">
            <w:pPr>
              <w:pStyle w:val="13"/>
            </w:pPr>
          </w:p>
        </w:tc>
      </w:tr>
      <w:tr w14:paraId="31F1C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4A10F">
            <w:pPr>
              <w:pStyle w:val="11"/>
            </w:pPr>
            <w:r>
              <w:t>预算规模及资金用途</w:t>
            </w:r>
          </w:p>
        </w:tc>
        <w:tc>
          <w:tcPr>
            <w:tcW w:w="2268" w:type="dxa"/>
            <w:vAlign w:val="center"/>
          </w:tcPr>
          <w:p w14:paraId="20D3A1B0">
            <w:pPr>
              <w:pStyle w:val="11"/>
            </w:pPr>
            <w:r>
              <w:t>预算数</w:t>
            </w:r>
          </w:p>
        </w:tc>
        <w:tc>
          <w:tcPr>
            <w:tcW w:w="2835" w:type="dxa"/>
            <w:vAlign w:val="center"/>
          </w:tcPr>
          <w:p w14:paraId="332B44B3">
            <w:pPr>
              <w:pStyle w:val="13"/>
            </w:pPr>
            <w:r>
              <w:t>21.89</w:t>
            </w:r>
          </w:p>
        </w:tc>
        <w:tc>
          <w:tcPr>
            <w:tcW w:w="2835" w:type="dxa"/>
            <w:vAlign w:val="center"/>
          </w:tcPr>
          <w:p w14:paraId="5153509E">
            <w:pPr>
              <w:pStyle w:val="11"/>
            </w:pPr>
            <w:r>
              <w:t>其中：财政    资金</w:t>
            </w:r>
          </w:p>
        </w:tc>
        <w:tc>
          <w:tcPr>
            <w:tcW w:w="2551" w:type="dxa"/>
            <w:vAlign w:val="center"/>
          </w:tcPr>
          <w:p w14:paraId="7AE0C1EE">
            <w:pPr>
              <w:pStyle w:val="13"/>
            </w:pPr>
            <w:r>
              <w:t>21.89</w:t>
            </w:r>
          </w:p>
        </w:tc>
        <w:tc>
          <w:tcPr>
            <w:tcW w:w="2268" w:type="dxa"/>
            <w:vAlign w:val="center"/>
          </w:tcPr>
          <w:p w14:paraId="3E9287BF">
            <w:pPr>
              <w:pStyle w:val="11"/>
            </w:pPr>
            <w:r>
              <w:t>其他资金</w:t>
            </w:r>
          </w:p>
        </w:tc>
        <w:tc>
          <w:tcPr>
            <w:tcW w:w="1276" w:type="dxa"/>
            <w:vAlign w:val="center"/>
          </w:tcPr>
          <w:p w14:paraId="20371B42">
            <w:pPr>
              <w:pStyle w:val="13"/>
            </w:pPr>
            <w:r>
              <w:t xml:space="preserve"> </w:t>
            </w:r>
          </w:p>
        </w:tc>
      </w:tr>
      <w:tr w14:paraId="6DDAE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1A11E"/>
        </w:tc>
        <w:tc>
          <w:tcPr>
            <w:tcW w:w="14033" w:type="dxa"/>
            <w:gridSpan w:val="6"/>
            <w:vAlign w:val="center"/>
          </w:tcPr>
          <w:p w14:paraId="31BE090A">
            <w:pPr>
              <w:pStyle w:val="13"/>
            </w:pPr>
            <w:r>
              <w:t>保障义务教育学校正常运转，完成教育教学活动和其他日常工作任务等方面的费用支出。</w:t>
            </w:r>
          </w:p>
        </w:tc>
      </w:tr>
      <w:tr w14:paraId="017D3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83020">
            <w:pPr>
              <w:pStyle w:val="11"/>
            </w:pPr>
            <w:r>
              <w:t>资金支出计划（%）</w:t>
            </w:r>
          </w:p>
        </w:tc>
        <w:tc>
          <w:tcPr>
            <w:tcW w:w="5103" w:type="dxa"/>
            <w:gridSpan w:val="2"/>
            <w:vAlign w:val="center"/>
          </w:tcPr>
          <w:p w14:paraId="4CFEF3E0">
            <w:pPr>
              <w:pStyle w:val="11"/>
            </w:pPr>
            <w:r>
              <w:t>3月底</w:t>
            </w:r>
          </w:p>
        </w:tc>
        <w:tc>
          <w:tcPr>
            <w:tcW w:w="2835" w:type="dxa"/>
            <w:vAlign w:val="center"/>
          </w:tcPr>
          <w:p w14:paraId="624E4E62">
            <w:pPr>
              <w:pStyle w:val="11"/>
            </w:pPr>
            <w:r>
              <w:t>6月底</w:t>
            </w:r>
          </w:p>
        </w:tc>
        <w:tc>
          <w:tcPr>
            <w:tcW w:w="2551" w:type="dxa"/>
            <w:vAlign w:val="center"/>
          </w:tcPr>
          <w:p w14:paraId="1534C229">
            <w:pPr>
              <w:pStyle w:val="11"/>
            </w:pPr>
            <w:r>
              <w:t>10月底</w:t>
            </w:r>
          </w:p>
        </w:tc>
        <w:tc>
          <w:tcPr>
            <w:tcW w:w="3544" w:type="dxa"/>
            <w:gridSpan w:val="2"/>
            <w:vAlign w:val="center"/>
          </w:tcPr>
          <w:p w14:paraId="4D1053DD">
            <w:pPr>
              <w:pStyle w:val="11"/>
            </w:pPr>
            <w:r>
              <w:t>12月底</w:t>
            </w:r>
          </w:p>
        </w:tc>
      </w:tr>
      <w:tr w14:paraId="0A6BF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1C67A"/>
        </w:tc>
        <w:tc>
          <w:tcPr>
            <w:tcW w:w="5103" w:type="dxa"/>
            <w:gridSpan w:val="2"/>
            <w:vAlign w:val="center"/>
          </w:tcPr>
          <w:p w14:paraId="22C7BF3A">
            <w:pPr>
              <w:pStyle w:val="12"/>
            </w:pPr>
            <w:r>
              <w:t xml:space="preserve"> </w:t>
            </w:r>
          </w:p>
        </w:tc>
        <w:tc>
          <w:tcPr>
            <w:tcW w:w="2835" w:type="dxa"/>
            <w:vAlign w:val="center"/>
          </w:tcPr>
          <w:p w14:paraId="7910DC3F">
            <w:pPr>
              <w:pStyle w:val="12"/>
            </w:pPr>
            <w:r>
              <w:t xml:space="preserve"> </w:t>
            </w:r>
          </w:p>
        </w:tc>
        <w:tc>
          <w:tcPr>
            <w:tcW w:w="2551" w:type="dxa"/>
            <w:vAlign w:val="center"/>
          </w:tcPr>
          <w:p w14:paraId="4BA5C25E">
            <w:pPr>
              <w:pStyle w:val="12"/>
            </w:pPr>
            <w:r>
              <w:t xml:space="preserve"> </w:t>
            </w:r>
          </w:p>
        </w:tc>
        <w:tc>
          <w:tcPr>
            <w:tcW w:w="3544" w:type="dxa"/>
            <w:gridSpan w:val="2"/>
            <w:vAlign w:val="center"/>
          </w:tcPr>
          <w:p w14:paraId="2C96546D">
            <w:pPr>
              <w:pStyle w:val="12"/>
            </w:pPr>
            <w:r>
              <w:t>100%</w:t>
            </w:r>
          </w:p>
        </w:tc>
      </w:tr>
      <w:tr w14:paraId="4AF8A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E0C6E">
            <w:pPr>
              <w:pStyle w:val="11"/>
            </w:pPr>
            <w:r>
              <w:t>绩效目标</w:t>
            </w:r>
          </w:p>
        </w:tc>
        <w:tc>
          <w:tcPr>
            <w:tcW w:w="14033" w:type="dxa"/>
            <w:gridSpan w:val="6"/>
            <w:vAlign w:val="center"/>
          </w:tcPr>
          <w:p w14:paraId="34BDF0A4">
            <w:pPr>
              <w:pStyle w:val="13"/>
            </w:pPr>
            <w:r>
              <w:t>1.保障义务教育学校正常运转，完成教育教学活动和其他日常工作任务等方面的费用支出。</w:t>
            </w:r>
          </w:p>
        </w:tc>
      </w:tr>
    </w:tbl>
    <w:p w14:paraId="1A559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15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92566">
            <w:pPr>
              <w:pStyle w:val="11"/>
            </w:pPr>
            <w:r>
              <w:t>一级指标</w:t>
            </w:r>
          </w:p>
        </w:tc>
        <w:tc>
          <w:tcPr>
            <w:tcW w:w="2268" w:type="dxa"/>
            <w:vAlign w:val="center"/>
          </w:tcPr>
          <w:p w14:paraId="485FB6DB">
            <w:pPr>
              <w:pStyle w:val="11"/>
            </w:pPr>
            <w:r>
              <w:t>二级指标</w:t>
            </w:r>
          </w:p>
        </w:tc>
        <w:tc>
          <w:tcPr>
            <w:tcW w:w="2835" w:type="dxa"/>
            <w:vAlign w:val="center"/>
          </w:tcPr>
          <w:p w14:paraId="5FBCF2D4">
            <w:pPr>
              <w:pStyle w:val="11"/>
            </w:pPr>
            <w:r>
              <w:t>三级指标</w:t>
            </w:r>
          </w:p>
        </w:tc>
        <w:tc>
          <w:tcPr>
            <w:tcW w:w="5386" w:type="dxa"/>
            <w:vAlign w:val="center"/>
          </w:tcPr>
          <w:p w14:paraId="19264816">
            <w:pPr>
              <w:pStyle w:val="11"/>
            </w:pPr>
            <w:r>
              <w:t>绩效指标描述</w:t>
            </w:r>
          </w:p>
        </w:tc>
        <w:tc>
          <w:tcPr>
            <w:tcW w:w="2268" w:type="dxa"/>
            <w:vAlign w:val="center"/>
          </w:tcPr>
          <w:p w14:paraId="21AA3CC3">
            <w:pPr>
              <w:pStyle w:val="11"/>
            </w:pPr>
            <w:r>
              <w:t>指标值</w:t>
            </w:r>
          </w:p>
        </w:tc>
        <w:tc>
          <w:tcPr>
            <w:tcW w:w="1276" w:type="dxa"/>
            <w:vAlign w:val="center"/>
          </w:tcPr>
          <w:p w14:paraId="68FC66F9">
            <w:pPr>
              <w:pStyle w:val="11"/>
            </w:pPr>
            <w:r>
              <w:t>指标值确定依据</w:t>
            </w:r>
          </w:p>
        </w:tc>
      </w:tr>
      <w:tr w14:paraId="23FAB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13D21">
            <w:pPr>
              <w:pStyle w:val="12"/>
            </w:pPr>
            <w:r>
              <w:t>产出指标</w:t>
            </w:r>
          </w:p>
        </w:tc>
        <w:tc>
          <w:tcPr>
            <w:tcW w:w="2268" w:type="dxa"/>
            <w:vAlign w:val="center"/>
          </w:tcPr>
          <w:p w14:paraId="28DF803B">
            <w:pPr>
              <w:pStyle w:val="13"/>
            </w:pPr>
            <w:r>
              <w:t>数量指标</w:t>
            </w:r>
          </w:p>
        </w:tc>
        <w:tc>
          <w:tcPr>
            <w:tcW w:w="2835" w:type="dxa"/>
            <w:vAlign w:val="center"/>
          </w:tcPr>
          <w:p w14:paraId="33F8141D">
            <w:pPr>
              <w:pStyle w:val="13"/>
            </w:pPr>
            <w:r>
              <w:t>适龄在校生</w:t>
            </w:r>
          </w:p>
        </w:tc>
        <w:tc>
          <w:tcPr>
            <w:tcW w:w="5386" w:type="dxa"/>
            <w:vAlign w:val="center"/>
          </w:tcPr>
          <w:p w14:paraId="0A60B68E">
            <w:pPr>
              <w:pStyle w:val="13"/>
            </w:pPr>
            <w:r>
              <w:t>适龄在校就读学生人数</w:t>
            </w:r>
          </w:p>
        </w:tc>
        <w:tc>
          <w:tcPr>
            <w:tcW w:w="2268" w:type="dxa"/>
            <w:vAlign w:val="center"/>
          </w:tcPr>
          <w:p w14:paraId="5522A90F">
            <w:pPr>
              <w:pStyle w:val="13"/>
            </w:pPr>
            <w:r>
              <w:t>384人</w:t>
            </w:r>
          </w:p>
        </w:tc>
        <w:tc>
          <w:tcPr>
            <w:tcW w:w="1276" w:type="dxa"/>
            <w:vAlign w:val="center"/>
          </w:tcPr>
          <w:p w14:paraId="5661A31B">
            <w:pPr>
              <w:pStyle w:val="13"/>
            </w:pPr>
            <w:r>
              <w:t>城乡义务教育公用经费管理办法</w:t>
            </w:r>
          </w:p>
        </w:tc>
      </w:tr>
      <w:tr w14:paraId="1F26D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78EAD"/>
        </w:tc>
        <w:tc>
          <w:tcPr>
            <w:tcW w:w="2268" w:type="dxa"/>
            <w:vAlign w:val="center"/>
          </w:tcPr>
          <w:p w14:paraId="4B581704">
            <w:pPr>
              <w:pStyle w:val="13"/>
            </w:pPr>
            <w:r>
              <w:t>质量指标</w:t>
            </w:r>
          </w:p>
        </w:tc>
        <w:tc>
          <w:tcPr>
            <w:tcW w:w="2835" w:type="dxa"/>
            <w:vAlign w:val="center"/>
          </w:tcPr>
          <w:p w14:paraId="3AA809D8">
            <w:pPr>
              <w:pStyle w:val="13"/>
            </w:pPr>
            <w:r>
              <w:t>预算控制率</w:t>
            </w:r>
          </w:p>
        </w:tc>
        <w:tc>
          <w:tcPr>
            <w:tcW w:w="5386" w:type="dxa"/>
            <w:vAlign w:val="center"/>
          </w:tcPr>
          <w:p w14:paraId="175C076B">
            <w:pPr>
              <w:pStyle w:val="13"/>
            </w:pPr>
            <w:r>
              <w:t>预算执行</w:t>
            </w:r>
          </w:p>
        </w:tc>
        <w:tc>
          <w:tcPr>
            <w:tcW w:w="2268" w:type="dxa"/>
            <w:vAlign w:val="center"/>
          </w:tcPr>
          <w:p w14:paraId="2E7C56BB">
            <w:pPr>
              <w:pStyle w:val="13"/>
            </w:pPr>
            <w:r>
              <w:t>≥95%</w:t>
            </w:r>
          </w:p>
        </w:tc>
        <w:tc>
          <w:tcPr>
            <w:tcW w:w="1276" w:type="dxa"/>
            <w:vAlign w:val="center"/>
          </w:tcPr>
          <w:p w14:paraId="41066890">
            <w:pPr>
              <w:pStyle w:val="13"/>
            </w:pPr>
            <w:r>
              <w:t>城乡义务教育公用经费管理办法</w:t>
            </w:r>
          </w:p>
        </w:tc>
      </w:tr>
      <w:tr w14:paraId="3610E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388D9"/>
        </w:tc>
        <w:tc>
          <w:tcPr>
            <w:tcW w:w="2268" w:type="dxa"/>
            <w:vAlign w:val="center"/>
          </w:tcPr>
          <w:p w14:paraId="17B0DFBD">
            <w:pPr>
              <w:pStyle w:val="13"/>
            </w:pPr>
            <w:r>
              <w:t>时效指标</w:t>
            </w:r>
          </w:p>
        </w:tc>
        <w:tc>
          <w:tcPr>
            <w:tcW w:w="2835" w:type="dxa"/>
            <w:vAlign w:val="center"/>
          </w:tcPr>
          <w:p w14:paraId="70414070">
            <w:pPr>
              <w:pStyle w:val="13"/>
            </w:pPr>
            <w:r>
              <w:t>资金支付率</w:t>
            </w:r>
          </w:p>
        </w:tc>
        <w:tc>
          <w:tcPr>
            <w:tcW w:w="5386" w:type="dxa"/>
            <w:vAlign w:val="center"/>
          </w:tcPr>
          <w:p w14:paraId="5CB063B0">
            <w:pPr>
              <w:pStyle w:val="13"/>
            </w:pPr>
            <w:r>
              <w:t>按照序时进度完成资金支付</w:t>
            </w:r>
          </w:p>
        </w:tc>
        <w:tc>
          <w:tcPr>
            <w:tcW w:w="2268" w:type="dxa"/>
            <w:vAlign w:val="center"/>
          </w:tcPr>
          <w:p w14:paraId="128678E2">
            <w:pPr>
              <w:pStyle w:val="13"/>
            </w:pPr>
            <w:r>
              <w:t>≥100%</w:t>
            </w:r>
          </w:p>
        </w:tc>
        <w:tc>
          <w:tcPr>
            <w:tcW w:w="1276" w:type="dxa"/>
            <w:vAlign w:val="center"/>
          </w:tcPr>
          <w:p w14:paraId="63B6821C">
            <w:pPr>
              <w:pStyle w:val="13"/>
            </w:pPr>
            <w:r>
              <w:t>城乡义务教育公用经费管理办法</w:t>
            </w:r>
          </w:p>
        </w:tc>
      </w:tr>
      <w:tr w14:paraId="57504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FD528B5"/>
        </w:tc>
        <w:tc>
          <w:tcPr>
            <w:tcW w:w="2268" w:type="dxa"/>
            <w:vAlign w:val="center"/>
          </w:tcPr>
          <w:p w14:paraId="091ACDCA">
            <w:pPr>
              <w:pStyle w:val="13"/>
            </w:pPr>
            <w:r>
              <w:t>成本指标</w:t>
            </w:r>
          </w:p>
        </w:tc>
        <w:tc>
          <w:tcPr>
            <w:tcW w:w="2835" w:type="dxa"/>
            <w:vAlign w:val="center"/>
          </w:tcPr>
          <w:p w14:paraId="374A993E">
            <w:pPr>
              <w:pStyle w:val="13"/>
            </w:pPr>
            <w:r>
              <w:t>生均拨款标准</w:t>
            </w:r>
          </w:p>
        </w:tc>
        <w:tc>
          <w:tcPr>
            <w:tcW w:w="5386" w:type="dxa"/>
            <w:vAlign w:val="center"/>
          </w:tcPr>
          <w:p w14:paraId="01C95643">
            <w:pPr>
              <w:pStyle w:val="13"/>
            </w:pPr>
            <w:r>
              <w:t>小学：（基本标准720元、寄宿生300元、取暖120元）/生/学年；随班就读学生：标准6000元/生/学年。</w:t>
            </w:r>
          </w:p>
        </w:tc>
        <w:tc>
          <w:tcPr>
            <w:tcW w:w="2268" w:type="dxa"/>
            <w:vAlign w:val="center"/>
          </w:tcPr>
          <w:p w14:paraId="3D7B0EB5">
            <w:pPr>
              <w:pStyle w:val="13"/>
            </w:pPr>
            <w:r>
              <w:t>218880元</w:t>
            </w:r>
          </w:p>
        </w:tc>
        <w:tc>
          <w:tcPr>
            <w:tcW w:w="1276" w:type="dxa"/>
            <w:vAlign w:val="center"/>
          </w:tcPr>
          <w:p w14:paraId="486F13CF">
            <w:pPr>
              <w:pStyle w:val="13"/>
            </w:pPr>
            <w:r>
              <w:t>城乡义务教育公用经费管理办法</w:t>
            </w:r>
          </w:p>
        </w:tc>
      </w:tr>
      <w:tr w14:paraId="72F4B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BE067F">
            <w:pPr>
              <w:pStyle w:val="12"/>
            </w:pPr>
            <w:r>
              <w:t>效益指标</w:t>
            </w:r>
          </w:p>
        </w:tc>
        <w:tc>
          <w:tcPr>
            <w:tcW w:w="2268" w:type="dxa"/>
            <w:vAlign w:val="center"/>
          </w:tcPr>
          <w:p w14:paraId="7BB9CDA8">
            <w:pPr>
              <w:pStyle w:val="13"/>
            </w:pPr>
            <w:r>
              <w:t>可持续影响指标</w:t>
            </w:r>
          </w:p>
        </w:tc>
        <w:tc>
          <w:tcPr>
            <w:tcW w:w="2835" w:type="dxa"/>
            <w:vAlign w:val="center"/>
          </w:tcPr>
          <w:p w14:paraId="535F17B6">
            <w:pPr>
              <w:pStyle w:val="13"/>
            </w:pPr>
            <w:r>
              <w:t>教育发展水平明显好转</w:t>
            </w:r>
          </w:p>
        </w:tc>
        <w:tc>
          <w:tcPr>
            <w:tcW w:w="5386" w:type="dxa"/>
            <w:vAlign w:val="center"/>
          </w:tcPr>
          <w:p w14:paraId="64A68CAB">
            <w:pPr>
              <w:pStyle w:val="13"/>
            </w:pPr>
            <w:r>
              <w:t>学生受教育年限</w:t>
            </w:r>
          </w:p>
        </w:tc>
        <w:tc>
          <w:tcPr>
            <w:tcW w:w="2268" w:type="dxa"/>
            <w:vAlign w:val="center"/>
          </w:tcPr>
          <w:p w14:paraId="10669C73">
            <w:pPr>
              <w:pStyle w:val="13"/>
            </w:pPr>
            <w:r>
              <w:t>6年</w:t>
            </w:r>
          </w:p>
        </w:tc>
        <w:tc>
          <w:tcPr>
            <w:tcW w:w="1276" w:type="dxa"/>
            <w:vAlign w:val="center"/>
          </w:tcPr>
          <w:p w14:paraId="6031F348">
            <w:pPr>
              <w:pStyle w:val="13"/>
            </w:pPr>
            <w:r>
              <w:t>城乡义务教育公用经费管理办法</w:t>
            </w:r>
          </w:p>
        </w:tc>
      </w:tr>
      <w:tr w14:paraId="5006C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37A4BC42">
            <w:pPr>
              <w:pStyle w:val="12"/>
            </w:pPr>
            <w:r>
              <w:t>满意度指标</w:t>
            </w:r>
          </w:p>
        </w:tc>
        <w:tc>
          <w:tcPr>
            <w:tcW w:w="2268" w:type="dxa"/>
            <w:vAlign w:val="center"/>
          </w:tcPr>
          <w:p w14:paraId="5721DC1A">
            <w:pPr>
              <w:pStyle w:val="13"/>
            </w:pPr>
            <w:r>
              <w:t>服务对象满意度指标</w:t>
            </w:r>
          </w:p>
        </w:tc>
        <w:tc>
          <w:tcPr>
            <w:tcW w:w="2835" w:type="dxa"/>
            <w:vAlign w:val="center"/>
          </w:tcPr>
          <w:p w14:paraId="5ACCD834">
            <w:pPr>
              <w:pStyle w:val="13"/>
            </w:pPr>
            <w:r>
              <w:t>受益学生家长及调查满意度</w:t>
            </w:r>
          </w:p>
        </w:tc>
        <w:tc>
          <w:tcPr>
            <w:tcW w:w="5386" w:type="dxa"/>
            <w:vAlign w:val="center"/>
          </w:tcPr>
          <w:p w14:paraId="713B5BBD">
            <w:pPr>
              <w:pStyle w:val="13"/>
            </w:pPr>
            <w:r>
              <w:t>学生、教师及家长对学校教育教学工作满意度情况</w:t>
            </w:r>
          </w:p>
        </w:tc>
        <w:tc>
          <w:tcPr>
            <w:tcW w:w="2268" w:type="dxa"/>
            <w:vAlign w:val="center"/>
          </w:tcPr>
          <w:p w14:paraId="1032C05C">
            <w:pPr>
              <w:pStyle w:val="13"/>
            </w:pPr>
            <w:r>
              <w:t>≥95%</w:t>
            </w:r>
          </w:p>
        </w:tc>
        <w:tc>
          <w:tcPr>
            <w:tcW w:w="1276" w:type="dxa"/>
            <w:vAlign w:val="center"/>
          </w:tcPr>
          <w:p w14:paraId="4C52AEEF">
            <w:pPr>
              <w:pStyle w:val="13"/>
            </w:pPr>
            <w:r>
              <w:t>调查问卷</w:t>
            </w:r>
          </w:p>
        </w:tc>
      </w:tr>
    </w:tbl>
    <w:p w14:paraId="7026DAA1">
      <w:pPr>
        <w:sectPr>
          <w:pgSz w:w="16840" w:h="11900" w:orient="landscape"/>
          <w:pgMar w:top="1361" w:right="1020" w:bottom="1134" w:left="1020" w:header="720" w:footer="720" w:gutter="0"/>
          <w:cols w:space="720" w:num="1"/>
        </w:sectPr>
      </w:pPr>
    </w:p>
    <w:p w14:paraId="29113290">
      <w:pPr>
        <w:spacing w:before="0" w:after="0"/>
        <w:ind w:firstLine="560"/>
        <w:jc w:val="left"/>
        <w:outlineLvl w:val="9"/>
      </w:pPr>
      <w:r>
        <w:rPr>
          <w:rFonts w:ascii="方正仿宋_GBK" w:hAnsi="方正仿宋_GBK" w:eastAsia="方正仿宋_GBK" w:cs="方正仿宋_GBK"/>
          <w:b/>
          <w:color w:val="000000"/>
          <w:sz w:val="28"/>
        </w:rPr>
        <w:t>148、县级配套/隆尧县私立育人学校公用经费绩效目标表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EB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AF78A">
            <w:pPr>
              <w:pStyle w:val="14"/>
            </w:pPr>
            <w:r>
              <w:t>单位：万元</w:t>
            </w:r>
          </w:p>
        </w:tc>
      </w:tr>
      <w:tr w14:paraId="690BF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D6897">
            <w:pPr>
              <w:pStyle w:val="11"/>
            </w:pPr>
            <w:r>
              <w:t>项目编码</w:t>
            </w:r>
          </w:p>
        </w:tc>
        <w:tc>
          <w:tcPr>
            <w:tcW w:w="5103" w:type="dxa"/>
            <w:gridSpan w:val="2"/>
            <w:vAlign w:val="center"/>
          </w:tcPr>
          <w:p w14:paraId="2CFE8286">
            <w:pPr>
              <w:pStyle w:val="13"/>
            </w:pPr>
            <w:r>
              <w:t>13052525P000004100079</w:t>
            </w:r>
          </w:p>
        </w:tc>
        <w:tc>
          <w:tcPr>
            <w:tcW w:w="2835" w:type="dxa"/>
            <w:vAlign w:val="center"/>
          </w:tcPr>
          <w:p w14:paraId="3976186B">
            <w:pPr>
              <w:pStyle w:val="11"/>
            </w:pPr>
            <w:r>
              <w:t>项目名称</w:t>
            </w:r>
          </w:p>
        </w:tc>
        <w:tc>
          <w:tcPr>
            <w:tcW w:w="6095" w:type="dxa"/>
            <w:gridSpan w:val="3"/>
            <w:vAlign w:val="center"/>
          </w:tcPr>
          <w:p w14:paraId="747E7A17">
            <w:pPr>
              <w:pStyle w:val="13"/>
            </w:pPr>
            <w:r>
              <w:t>县级配套/隆尧县私立育人学校公用经费</w:t>
            </w:r>
          </w:p>
        </w:tc>
      </w:tr>
      <w:tr w14:paraId="52C4E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B9969">
            <w:pPr>
              <w:pStyle w:val="11"/>
            </w:pPr>
            <w:r>
              <w:t>预算规模及资金用途</w:t>
            </w:r>
          </w:p>
        </w:tc>
        <w:tc>
          <w:tcPr>
            <w:tcW w:w="2268" w:type="dxa"/>
            <w:vAlign w:val="center"/>
          </w:tcPr>
          <w:p w14:paraId="358E09BC">
            <w:pPr>
              <w:pStyle w:val="11"/>
            </w:pPr>
            <w:r>
              <w:t>预算数</w:t>
            </w:r>
          </w:p>
        </w:tc>
        <w:tc>
          <w:tcPr>
            <w:tcW w:w="2835" w:type="dxa"/>
            <w:vAlign w:val="center"/>
          </w:tcPr>
          <w:p w14:paraId="4BDC67CE">
            <w:pPr>
              <w:pStyle w:val="13"/>
            </w:pPr>
            <w:r>
              <w:t>30.04</w:t>
            </w:r>
          </w:p>
        </w:tc>
        <w:tc>
          <w:tcPr>
            <w:tcW w:w="2835" w:type="dxa"/>
            <w:vAlign w:val="center"/>
          </w:tcPr>
          <w:p w14:paraId="1A903116">
            <w:pPr>
              <w:pStyle w:val="11"/>
            </w:pPr>
            <w:r>
              <w:t>其中：财政    资金</w:t>
            </w:r>
          </w:p>
        </w:tc>
        <w:tc>
          <w:tcPr>
            <w:tcW w:w="2551" w:type="dxa"/>
            <w:vAlign w:val="center"/>
          </w:tcPr>
          <w:p w14:paraId="5E5F0E6B">
            <w:pPr>
              <w:pStyle w:val="13"/>
            </w:pPr>
            <w:r>
              <w:t>30.04</w:t>
            </w:r>
          </w:p>
        </w:tc>
        <w:tc>
          <w:tcPr>
            <w:tcW w:w="2268" w:type="dxa"/>
            <w:vAlign w:val="center"/>
          </w:tcPr>
          <w:p w14:paraId="14FF452A">
            <w:pPr>
              <w:pStyle w:val="11"/>
            </w:pPr>
            <w:r>
              <w:t>其他资金</w:t>
            </w:r>
          </w:p>
        </w:tc>
        <w:tc>
          <w:tcPr>
            <w:tcW w:w="1276" w:type="dxa"/>
            <w:vAlign w:val="center"/>
          </w:tcPr>
          <w:p w14:paraId="41C5DDE5">
            <w:pPr>
              <w:pStyle w:val="13"/>
            </w:pPr>
            <w:r>
              <w:t xml:space="preserve"> </w:t>
            </w:r>
          </w:p>
        </w:tc>
      </w:tr>
      <w:tr w14:paraId="1A082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F756AD"/>
        </w:tc>
        <w:tc>
          <w:tcPr>
            <w:tcW w:w="14033" w:type="dxa"/>
            <w:gridSpan w:val="6"/>
            <w:vAlign w:val="center"/>
          </w:tcPr>
          <w:p w14:paraId="6E0BB83A">
            <w:pPr>
              <w:pStyle w:val="13"/>
            </w:pPr>
            <w:r>
              <w:t>保障义务教育学校正常运转，完成教育教学活动和其他日常工作任务等方面的费用支出。</w:t>
            </w:r>
          </w:p>
        </w:tc>
      </w:tr>
      <w:tr w14:paraId="03803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8E52E">
            <w:pPr>
              <w:pStyle w:val="11"/>
            </w:pPr>
            <w:r>
              <w:t>资金支出计划（%）</w:t>
            </w:r>
          </w:p>
        </w:tc>
        <w:tc>
          <w:tcPr>
            <w:tcW w:w="5103" w:type="dxa"/>
            <w:gridSpan w:val="2"/>
            <w:vAlign w:val="center"/>
          </w:tcPr>
          <w:p w14:paraId="68318B09">
            <w:pPr>
              <w:pStyle w:val="11"/>
            </w:pPr>
            <w:r>
              <w:t>3月底</w:t>
            </w:r>
          </w:p>
        </w:tc>
        <w:tc>
          <w:tcPr>
            <w:tcW w:w="2835" w:type="dxa"/>
            <w:vAlign w:val="center"/>
          </w:tcPr>
          <w:p w14:paraId="16B93FA9">
            <w:pPr>
              <w:pStyle w:val="11"/>
            </w:pPr>
            <w:r>
              <w:t>6月底</w:t>
            </w:r>
          </w:p>
        </w:tc>
        <w:tc>
          <w:tcPr>
            <w:tcW w:w="2551" w:type="dxa"/>
            <w:vAlign w:val="center"/>
          </w:tcPr>
          <w:p w14:paraId="0B39E215">
            <w:pPr>
              <w:pStyle w:val="11"/>
            </w:pPr>
            <w:r>
              <w:t>10月底</w:t>
            </w:r>
          </w:p>
        </w:tc>
        <w:tc>
          <w:tcPr>
            <w:tcW w:w="3544" w:type="dxa"/>
            <w:gridSpan w:val="2"/>
            <w:vAlign w:val="center"/>
          </w:tcPr>
          <w:p w14:paraId="4423464B">
            <w:pPr>
              <w:pStyle w:val="11"/>
            </w:pPr>
            <w:r>
              <w:t>12月底</w:t>
            </w:r>
          </w:p>
        </w:tc>
      </w:tr>
      <w:tr w14:paraId="1B2A5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2636D"/>
        </w:tc>
        <w:tc>
          <w:tcPr>
            <w:tcW w:w="5103" w:type="dxa"/>
            <w:gridSpan w:val="2"/>
            <w:vAlign w:val="center"/>
          </w:tcPr>
          <w:p w14:paraId="238697CC">
            <w:pPr>
              <w:pStyle w:val="12"/>
            </w:pPr>
            <w:r>
              <w:t xml:space="preserve"> </w:t>
            </w:r>
          </w:p>
        </w:tc>
        <w:tc>
          <w:tcPr>
            <w:tcW w:w="2835" w:type="dxa"/>
            <w:vAlign w:val="center"/>
          </w:tcPr>
          <w:p w14:paraId="26A3BE65">
            <w:pPr>
              <w:pStyle w:val="12"/>
            </w:pPr>
            <w:r>
              <w:t xml:space="preserve"> </w:t>
            </w:r>
          </w:p>
        </w:tc>
        <w:tc>
          <w:tcPr>
            <w:tcW w:w="2551" w:type="dxa"/>
            <w:vAlign w:val="center"/>
          </w:tcPr>
          <w:p w14:paraId="0AC2E893">
            <w:pPr>
              <w:pStyle w:val="12"/>
            </w:pPr>
            <w:r>
              <w:t xml:space="preserve"> </w:t>
            </w:r>
          </w:p>
        </w:tc>
        <w:tc>
          <w:tcPr>
            <w:tcW w:w="3544" w:type="dxa"/>
            <w:gridSpan w:val="2"/>
            <w:vAlign w:val="center"/>
          </w:tcPr>
          <w:p w14:paraId="6DCF0291">
            <w:pPr>
              <w:pStyle w:val="12"/>
            </w:pPr>
            <w:r>
              <w:t>100%</w:t>
            </w:r>
          </w:p>
        </w:tc>
      </w:tr>
      <w:tr w14:paraId="2013B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F60D5D">
            <w:pPr>
              <w:pStyle w:val="11"/>
            </w:pPr>
            <w:r>
              <w:t>绩效目标</w:t>
            </w:r>
          </w:p>
        </w:tc>
        <w:tc>
          <w:tcPr>
            <w:tcW w:w="14033" w:type="dxa"/>
            <w:gridSpan w:val="6"/>
            <w:vAlign w:val="center"/>
          </w:tcPr>
          <w:p w14:paraId="14F4F3A3">
            <w:pPr>
              <w:pStyle w:val="13"/>
            </w:pPr>
            <w:r>
              <w:t>1.保障义务教育学校正常运转，完成教育教学活动和其他日常工作任务等方面的费用支出。</w:t>
            </w:r>
          </w:p>
        </w:tc>
      </w:tr>
    </w:tbl>
    <w:p w14:paraId="2D2C0D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47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1B27A">
            <w:pPr>
              <w:pStyle w:val="11"/>
            </w:pPr>
            <w:r>
              <w:t>一级指标</w:t>
            </w:r>
          </w:p>
        </w:tc>
        <w:tc>
          <w:tcPr>
            <w:tcW w:w="2268" w:type="dxa"/>
            <w:vAlign w:val="center"/>
          </w:tcPr>
          <w:p w14:paraId="46E729F2">
            <w:pPr>
              <w:pStyle w:val="11"/>
            </w:pPr>
            <w:r>
              <w:t>二级指标</w:t>
            </w:r>
          </w:p>
        </w:tc>
        <w:tc>
          <w:tcPr>
            <w:tcW w:w="2835" w:type="dxa"/>
            <w:vAlign w:val="center"/>
          </w:tcPr>
          <w:p w14:paraId="0B8CACB6">
            <w:pPr>
              <w:pStyle w:val="11"/>
            </w:pPr>
            <w:r>
              <w:t>三级指标</w:t>
            </w:r>
          </w:p>
        </w:tc>
        <w:tc>
          <w:tcPr>
            <w:tcW w:w="5386" w:type="dxa"/>
            <w:vAlign w:val="center"/>
          </w:tcPr>
          <w:p w14:paraId="7562C4F4">
            <w:pPr>
              <w:pStyle w:val="11"/>
            </w:pPr>
            <w:r>
              <w:t>绩效指标描述</w:t>
            </w:r>
          </w:p>
        </w:tc>
        <w:tc>
          <w:tcPr>
            <w:tcW w:w="2268" w:type="dxa"/>
            <w:vAlign w:val="center"/>
          </w:tcPr>
          <w:p w14:paraId="3DDFA77E">
            <w:pPr>
              <w:pStyle w:val="11"/>
            </w:pPr>
            <w:r>
              <w:t>指标值</w:t>
            </w:r>
          </w:p>
        </w:tc>
        <w:tc>
          <w:tcPr>
            <w:tcW w:w="1276" w:type="dxa"/>
            <w:vAlign w:val="center"/>
          </w:tcPr>
          <w:p w14:paraId="197833F6">
            <w:pPr>
              <w:pStyle w:val="11"/>
            </w:pPr>
            <w:r>
              <w:t>指标值确定依据</w:t>
            </w:r>
          </w:p>
        </w:tc>
      </w:tr>
      <w:tr w14:paraId="2EEEC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B60F3">
            <w:pPr>
              <w:pStyle w:val="12"/>
            </w:pPr>
            <w:r>
              <w:t>产出指标</w:t>
            </w:r>
          </w:p>
        </w:tc>
        <w:tc>
          <w:tcPr>
            <w:tcW w:w="2268" w:type="dxa"/>
            <w:vAlign w:val="center"/>
          </w:tcPr>
          <w:p w14:paraId="58881B27">
            <w:pPr>
              <w:pStyle w:val="13"/>
            </w:pPr>
            <w:r>
              <w:t>数量指标</w:t>
            </w:r>
          </w:p>
        </w:tc>
        <w:tc>
          <w:tcPr>
            <w:tcW w:w="2835" w:type="dxa"/>
            <w:vAlign w:val="center"/>
          </w:tcPr>
          <w:p w14:paraId="6A284D57">
            <w:pPr>
              <w:pStyle w:val="13"/>
            </w:pPr>
            <w:r>
              <w:t>适龄在校生</w:t>
            </w:r>
          </w:p>
        </w:tc>
        <w:tc>
          <w:tcPr>
            <w:tcW w:w="5386" w:type="dxa"/>
            <w:vAlign w:val="center"/>
          </w:tcPr>
          <w:p w14:paraId="3B42BA86">
            <w:pPr>
              <w:pStyle w:val="13"/>
            </w:pPr>
            <w:r>
              <w:t>适龄在校就读学生人数</w:t>
            </w:r>
          </w:p>
        </w:tc>
        <w:tc>
          <w:tcPr>
            <w:tcW w:w="2268" w:type="dxa"/>
            <w:vAlign w:val="center"/>
          </w:tcPr>
          <w:p w14:paraId="7F2641B9">
            <w:pPr>
              <w:pStyle w:val="13"/>
            </w:pPr>
            <w:r>
              <w:t>527人</w:t>
            </w:r>
          </w:p>
        </w:tc>
        <w:tc>
          <w:tcPr>
            <w:tcW w:w="1276" w:type="dxa"/>
            <w:vAlign w:val="center"/>
          </w:tcPr>
          <w:p w14:paraId="124C0736">
            <w:pPr>
              <w:pStyle w:val="13"/>
            </w:pPr>
            <w:r>
              <w:t>城乡义务教育公用经费管理办法</w:t>
            </w:r>
          </w:p>
        </w:tc>
      </w:tr>
      <w:tr w14:paraId="213D2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17668"/>
        </w:tc>
        <w:tc>
          <w:tcPr>
            <w:tcW w:w="2268" w:type="dxa"/>
            <w:vAlign w:val="center"/>
          </w:tcPr>
          <w:p w14:paraId="08FCE6DA">
            <w:pPr>
              <w:pStyle w:val="13"/>
            </w:pPr>
            <w:r>
              <w:t>质量指标</w:t>
            </w:r>
          </w:p>
        </w:tc>
        <w:tc>
          <w:tcPr>
            <w:tcW w:w="2835" w:type="dxa"/>
            <w:vAlign w:val="center"/>
          </w:tcPr>
          <w:p w14:paraId="23266903">
            <w:pPr>
              <w:pStyle w:val="13"/>
            </w:pPr>
            <w:r>
              <w:t>预算控制率</w:t>
            </w:r>
          </w:p>
        </w:tc>
        <w:tc>
          <w:tcPr>
            <w:tcW w:w="5386" w:type="dxa"/>
            <w:vAlign w:val="center"/>
          </w:tcPr>
          <w:p w14:paraId="07ABD30A">
            <w:pPr>
              <w:pStyle w:val="13"/>
            </w:pPr>
            <w:r>
              <w:t>预算执行</w:t>
            </w:r>
          </w:p>
        </w:tc>
        <w:tc>
          <w:tcPr>
            <w:tcW w:w="2268" w:type="dxa"/>
            <w:vAlign w:val="center"/>
          </w:tcPr>
          <w:p w14:paraId="68DFB5CC">
            <w:pPr>
              <w:pStyle w:val="13"/>
            </w:pPr>
            <w:r>
              <w:t>≥95%</w:t>
            </w:r>
          </w:p>
        </w:tc>
        <w:tc>
          <w:tcPr>
            <w:tcW w:w="1276" w:type="dxa"/>
            <w:vAlign w:val="center"/>
          </w:tcPr>
          <w:p w14:paraId="01DE3487">
            <w:pPr>
              <w:pStyle w:val="13"/>
            </w:pPr>
            <w:r>
              <w:t>城乡义务教育公用经费管理办法</w:t>
            </w:r>
          </w:p>
        </w:tc>
      </w:tr>
      <w:tr w14:paraId="62179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419B1"/>
        </w:tc>
        <w:tc>
          <w:tcPr>
            <w:tcW w:w="2268" w:type="dxa"/>
            <w:vAlign w:val="center"/>
          </w:tcPr>
          <w:p w14:paraId="70D42812">
            <w:pPr>
              <w:pStyle w:val="13"/>
            </w:pPr>
            <w:r>
              <w:t>时效指标</w:t>
            </w:r>
          </w:p>
        </w:tc>
        <w:tc>
          <w:tcPr>
            <w:tcW w:w="2835" w:type="dxa"/>
            <w:vAlign w:val="center"/>
          </w:tcPr>
          <w:p w14:paraId="6FB3F90C">
            <w:pPr>
              <w:pStyle w:val="13"/>
            </w:pPr>
            <w:r>
              <w:t>资金支付率</w:t>
            </w:r>
          </w:p>
        </w:tc>
        <w:tc>
          <w:tcPr>
            <w:tcW w:w="5386" w:type="dxa"/>
            <w:vAlign w:val="center"/>
          </w:tcPr>
          <w:p w14:paraId="2E554CE3">
            <w:pPr>
              <w:pStyle w:val="13"/>
            </w:pPr>
            <w:r>
              <w:t>按照序时进度完成资金支付</w:t>
            </w:r>
          </w:p>
        </w:tc>
        <w:tc>
          <w:tcPr>
            <w:tcW w:w="2268" w:type="dxa"/>
            <w:vAlign w:val="center"/>
          </w:tcPr>
          <w:p w14:paraId="7017DC8A">
            <w:pPr>
              <w:pStyle w:val="13"/>
            </w:pPr>
            <w:r>
              <w:t>≥100%</w:t>
            </w:r>
          </w:p>
        </w:tc>
        <w:tc>
          <w:tcPr>
            <w:tcW w:w="1276" w:type="dxa"/>
            <w:vAlign w:val="center"/>
          </w:tcPr>
          <w:p w14:paraId="681BA410">
            <w:pPr>
              <w:pStyle w:val="13"/>
            </w:pPr>
            <w:r>
              <w:t>城乡义务教育公用经费管理办法</w:t>
            </w:r>
          </w:p>
        </w:tc>
      </w:tr>
      <w:tr w14:paraId="1B7A8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4CA99"/>
        </w:tc>
        <w:tc>
          <w:tcPr>
            <w:tcW w:w="2268" w:type="dxa"/>
            <w:vAlign w:val="center"/>
          </w:tcPr>
          <w:p w14:paraId="74942060">
            <w:pPr>
              <w:pStyle w:val="13"/>
            </w:pPr>
            <w:r>
              <w:t>成本指标</w:t>
            </w:r>
          </w:p>
        </w:tc>
        <w:tc>
          <w:tcPr>
            <w:tcW w:w="2835" w:type="dxa"/>
            <w:vAlign w:val="center"/>
          </w:tcPr>
          <w:p w14:paraId="363E6930">
            <w:pPr>
              <w:pStyle w:val="13"/>
            </w:pPr>
            <w:r>
              <w:t>生均拨款标准</w:t>
            </w:r>
          </w:p>
        </w:tc>
        <w:tc>
          <w:tcPr>
            <w:tcW w:w="5386" w:type="dxa"/>
            <w:vAlign w:val="center"/>
          </w:tcPr>
          <w:p w14:paraId="672489CA">
            <w:pPr>
              <w:pStyle w:val="13"/>
            </w:pPr>
            <w:r>
              <w:t>小学：（基本标准720元、寄宿生300元、取暖120元）/生/学年；随班就读学生：标准6000元/生/学年。</w:t>
            </w:r>
          </w:p>
        </w:tc>
        <w:tc>
          <w:tcPr>
            <w:tcW w:w="2268" w:type="dxa"/>
            <w:vAlign w:val="center"/>
          </w:tcPr>
          <w:p w14:paraId="7476D712">
            <w:pPr>
              <w:pStyle w:val="13"/>
            </w:pPr>
            <w:r>
              <w:t>300390元</w:t>
            </w:r>
          </w:p>
        </w:tc>
        <w:tc>
          <w:tcPr>
            <w:tcW w:w="1276" w:type="dxa"/>
            <w:vAlign w:val="center"/>
          </w:tcPr>
          <w:p w14:paraId="4C0DE9BC">
            <w:pPr>
              <w:pStyle w:val="13"/>
            </w:pPr>
            <w:r>
              <w:t>城乡义务教育公用经费管理办法</w:t>
            </w:r>
          </w:p>
        </w:tc>
      </w:tr>
      <w:tr w14:paraId="57E89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2B4585">
            <w:pPr>
              <w:pStyle w:val="12"/>
            </w:pPr>
            <w:r>
              <w:t>效益指标</w:t>
            </w:r>
          </w:p>
        </w:tc>
        <w:tc>
          <w:tcPr>
            <w:tcW w:w="2268" w:type="dxa"/>
            <w:vAlign w:val="center"/>
          </w:tcPr>
          <w:p w14:paraId="5984AE8D">
            <w:pPr>
              <w:pStyle w:val="13"/>
            </w:pPr>
            <w:r>
              <w:t>可持续影响指标</w:t>
            </w:r>
          </w:p>
        </w:tc>
        <w:tc>
          <w:tcPr>
            <w:tcW w:w="2835" w:type="dxa"/>
            <w:vAlign w:val="center"/>
          </w:tcPr>
          <w:p w14:paraId="236474B9">
            <w:pPr>
              <w:pStyle w:val="13"/>
            </w:pPr>
            <w:r>
              <w:t>教育发展水平明显好转</w:t>
            </w:r>
          </w:p>
        </w:tc>
        <w:tc>
          <w:tcPr>
            <w:tcW w:w="5386" w:type="dxa"/>
            <w:vAlign w:val="center"/>
          </w:tcPr>
          <w:p w14:paraId="116438E2">
            <w:pPr>
              <w:pStyle w:val="13"/>
            </w:pPr>
            <w:r>
              <w:t>学生受教育年限</w:t>
            </w:r>
          </w:p>
        </w:tc>
        <w:tc>
          <w:tcPr>
            <w:tcW w:w="2268" w:type="dxa"/>
            <w:vAlign w:val="center"/>
          </w:tcPr>
          <w:p w14:paraId="45E7BBCC">
            <w:pPr>
              <w:pStyle w:val="13"/>
            </w:pPr>
            <w:r>
              <w:t>6年</w:t>
            </w:r>
          </w:p>
        </w:tc>
        <w:tc>
          <w:tcPr>
            <w:tcW w:w="1276" w:type="dxa"/>
            <w:vAlign w:val="center"/>
          </w:tcPr>
          <w:p w14:paraId="79F63B8E">
            <w:pPr>
              <w:pStyle w:val="13"/>
            </w:pPr>
            <w:r>
              <w:t>城乡义务教育公用经费管理办法</w:t>
            </w:r>
          </w:p>
        </w:tc>
      </w:tr>
      <w:tr w14:paraId="08770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C24853">
            <w:pPr>
              <w:pStyle w:val="12"/>
            </w:pPr>
            <w:r>
              <w:t>满意度指标</w:t>
            </w:r>
          </w:p>
        </w:tc>
        <w:tc>
          <w:tcPr>
            <w:tcW w:w="2268" w:type="dxa"/>
            <w:vAlign w:val="center"/>
          </w:tcPr>
          <w:p w14:paraId="20CAC26E">
            <w:pPr>
              <w:pStyle w:val="13"/>
            </w:pPr>
            <w:r>
              <w:t>服务对象满意度指标</w:t>
            </w:r>
          </w:p>
        </w:tc>
        <w:tc>
          <w:tcPr>
            <w:tcW w:w="2835" w:type="dxa"/>
            <w:vAlign w:val="center"/>
          </w:tcPr>
          <w:p w14:paraId="5B07E971">
            <w:pPr>
              <w:pStyle w:val="13"/>
            </w:pPr>
            <w:r>
              <w:t>受益学生家长及调查满意度</w:t>
            </w:r>
          </w:p>
        </w:tc>
        <w:tc>
          <w:tcPr>
            <w:tcW w:w="5386" w:type="dxa"/>
            <w:vAlign w:val="center"/>
          </w:tcPr>
          <w:p w14:paraId="30BD4720">
            <w:pPr>
              <w:pStyle w:val="13"/>
            </w:pPr>
            <w:r>
              <w:t>学生、教师及家长对学校教育教学工作满意度情况</w:t>
            </w:r>
          </w:p>
        </w:tc>
        <w:tc>
          <w:tcPr>
            <w:tcW w:w="2268" w:type="dxa"/>
            <w:vAlign w:val="center"/>
          </w:tcPr>
          <w:p w14:paraId="6DEA4036">
            <w:pPr>
              <w:pStyle w:val="13"/>
            </w:pPr>
            <w:r>
              <w:t>≥95%</w:t>
            </w:r>
          </w:p>
        </w:tc>
        <w:tc>
          <w:tcPr>
            <w:tcW w:w="1276" w:type="dxa"/>
            <w:vAlign w:val="center"/>
          </w:tcPr>
          <w:p w14:paraId="38C6B4C4">
            <w:pPr>
              <w:pStyle w:val="13"/>
            </w:pPr>
            <w:r>
              <w:t>调查问卷</w:t>
            </w:r>
          </w:p>
        </w:tc>
      </w:tr>
    </w:tbl>
    <w:p w14:paraId="5114E708">
      <w:pPr>
        <w:sectPr>
          <w:pgSz w:w="16840" w:h="11900" w:orient="landscape"/>
          <w:pgMar w:top="1361" w:right="1020" w:bottom="1134" w:left="1020" w:header="720" w:footer="720" w:gutter="0"/>
          <w:cols w:space="720" w:num="1"/>
        </w:sectPr>
      </w:pPr>
    </w:p>
    <w:p w14:paraId="2754C938">
      <w:pPr>
        <w:spacing w:before="0" w:after="0"/>
        <w:ind w:firstLine="560"/>
        <w:jc w:val="left"/>
        <w:outlineLvl w:val="9"/>
      </w:pPr>
      <w:r>
        <w:rPr>
          <w:rFonts w:ascii="方正仿宋_GBK" w:hAnsi="方正仿宋_GBK" w:eastAsia="方正仿宋_GBK" w:cs="方正仿宋_GBK"/>
          <w:b/>
          <w:color w:val="000000"/>
          <w:sz w:val="28"/>
        </w:rPr>
        <w:t>149、县级配套/隆尧县唐尧中学附属小学公用经费绩效目标表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A4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CCED6">
            <w:pPr>
              <w:pStyle w:val="14"/>
            </w:pPr>
            <w:r>
              <w:t>单位：万元</w:t>
            </w:r>
          </w:p>
        </w:tc>
      </w:tr>
      <w:tr w14:paraId="69561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78DAA7">
            <w:pPr>
              <w:pStyle w:val="11"/>
            </w:pPr>
            <w:r>
              <w:t>项目编码</w:t>
            </w:r>
          </w:p>
        </w:tc>
        <w:tc>
          <w:tcPr>
            <w:tcW w:w="5103" w:type="dxa"/>
            <w:gridSpan w:val="2"/>
            <w:vAlign w:val="center"/>
          </w:tcPr>
          <w:p w14:paraId="7BA5CA6B">
            <w:pPr>
              <w:pStyle w:val="13"/>
            </w:pPr>
            <w:r>
              <w:t>13052525P00000410010U</w:t>
            </w:r>
          </w:p>
        </w:tc>
        <w:tc>
          <w:tcPr>
            <w:tcW w:w="2835" w:type="dxa"/>
            <w:vAlign w:val="center"/>
          </w:tcPr>
          <w:p w14:paraId="3F369624">
            <w:pPr>
              <w:pStyle w:val="11"/>
            </w:pPr>
            <w:r>
              <w:t>项目名称</w:t>
            </w:r>
          </w:p>
        </w:tc>
        <w:tc>
          <w:tcPr>
            <w:tcW w:w="6095" w:type="dxa"/>
            <w:gridSpan w:val="3"/>
            <w:vAlign w:val="center"/>
          </w:tcPr>
          <w:p w14:paraId="48F59926">
            <w:pPr>
              <w:pStyle w:val="13"/>
            </w:pPr>
            <w:r>
              <w:t>县级配套/隆尧县唐尧中学附属小学公用经费</w:t>
            </w:r>
            <w:r>
              <w:tab/>
            </w:r>
            <w:r>
              <w:tab/>
            </w:r>
            <w:r>
              <w:tab/>
            </w:r>
          </w:p>
        </w:tc>
      </w:tr>
      <w:tr w14:paraId="40C5E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5325F">
            <w:pPr>
              <w:pStyle w:val="11"/>
            </w:pPr>
            <w:r>
              <w:t>预算规模及资金用途</w:t>
            </w:r>
          </w:p>
        </w:tc>
        <w:tc>
          <w:tcPr>
            <w:tcW w:w="2268" w:type="dxa"/>
            <w:vAlign w:val="center"/>
          </w:tcPr>
          <w:p w14:paraId="33D8A235">
            <w:pPr>
              <w:pStyle w:val="11"/>
            </w:pPr>
            <w:r>
              <w:t>预算数</w:t>
            </w:r>
          </w:p>
        </w:tc>
        <w:tc>
          <w:tcPr>
            <w:tcW w:w="2835" w:type="dxa"/>
            <w:vAlign w:val="center"/>
          </w:tcPr>
          <w:p w14:paraId="618AEAA5">
            <w:pPr>
              <w:pStyle w:val="13"/>
            </w:pPr>
            <w:r>
              <w:t>11.80</w:t>
            </w:r>
          </w:p>
        </w:tc>
        <w:tc>
          <w:tcPr>
            <w:tcW w:w="2835" w:type="dxa"/>
            <w:vAlign w:val="center"/>
          </w:tcPr>
          <w:p w14:paraId="2A7C4A58">
            <w:pPr>
              <w:pStyle w:val="11"/>
            </w:pPr>
            <w:r>
              <w:t>其中：财政    资金</w:t>
            </w:r>
          </w:p>
        </w:tc>
        <w:tc>
          <w:tcPr>
            <w:tcW w:w="2551" w:type="dxa"/>
            <w:vAlign w:val="center"/>
          </w:tcPr>
          <w:p w14:paraId="21A87CA8">
            <w:pPr>
              <w:pStyle w:val="13"/>
            </w:pPr>
            <w:r>
              <w:t>11.80</w:t>
            </w:r>
          </w:p>
        </w:tc>
        <w:tc>
          <w:tcPr>
            <w:tcW w:w="2268" w:type="dxa"/>
            <w:vAlign w:val="center"/>
          </w:tcPr>
          <w:p w14:paraId="1D680A82">
            <w:pPr>
              <w:pStyle w:val="11"/>
            </w:pPr>
            <w:r>
              <w:t>其他资金</w:t>
            </w:r>
          </w:p>
        </w:tc>
        <w:tc>
          <w:tcPr>
            <w:tcW w:w="1276" w:type="dxa"/>
            <w:vAlign w:val="center"/>
          </w:tcPr>
          <w:p w14:paraId="28261360">
            <w:pPr>
              <w:pStyle w:val="13"/>
            </w:pPr>
            <w:r>
              <w:t xml:space="preserve"> </w:t>
            </w:r>
          </w:p>
        </w:tc>
      </w:tr>
      <w:tr w14:paraId="4CEF1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76C45"/>
        </w:tc>
        <w:tc>
          <w:tcPr>
            <w:tcW w:w="14033" w:type="dxa"/>
            <w:gridSpan w:val="6"/>
            <w:vAlign w:val="center"/>
          </w:tcPr>
          <w:p w14:paraId="4A230CF2">
            <w:pPr>
              <w:pStyle w:val="13"/>
            </w:pPr>
            <w:r>
              <w:t>保障义务教育学校正常运转，完成教育教学活动和其他日常工作任务等方面的费用支出。</w:t>
            </w:r>
          </w:p>
        </w:tc>
      </w:tr>
      <w:tr w14:paraId="79537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80575">
            <w:pPr>
              <w:pStyle w:val="11"/>
            </w:pPr>
            <w:r>
              <w:t>资金支出计划（%）</w:t>
            </w:r>
          </w:p>
        </w:tc>
        <w:tc>
          <w:tcPr>
            <w:tcW w:w="5103" w:type="dxa"/>
            <w:gridSpan w:val="2"/>
            <w:vAlign w:val="center"/>
          </w:tcPr>
          <w:p w14:paraId="2BE24188">
            <w:pPr>
              <w:pStyle w:val="11"/>
            </w:pPr>
            <w:r>
              <w:t>3月底</w:t>
            </w:r>
          </w:p>
        </w:tc>
        <w:tc>
          <w:tcPr>
            <w:tcW w:w="2835" w:type="dxa"/>
            <w:vAlign w:val="center"/>
          </w:tcPr>
          <w:p w14:paraId="6FAE3720">
            <w:pPr>
              <w:pStyle w:val="11"/>
            </w:pPr>
            <w:r>
              <w:t>6月底</w:t>
            </w:r>
          </w:p>
        </w:tc>
        <w:tc>
          <w:tcPr>
            <w:tcW w:w="2551" w:type="dxa"/>
            <w:vAlign w:val="center"/>
          </w:tcPr>
          <w:p w14:paraId="062FF883">
            <w:pPr>
              <w:pStyle w:val="11"/>
            </w:pPr>
            <w:r>
              <w:t>10月底</w:t>
            </w:r>
          </w:p>
        </w:tc>
        <w:tc>
          <w:tcPr>
            <w:tcW w:w="3544" w:type="dxa"/>
            <w:gridSpan w:val="2"/>
            <w:vAlign w:val="center"/>
          </w:tcPr>
          <w:p w14:paraId="501411FC">
            <w:pPr>
              <w:pStyle w:val="11"/>
            </w:pPr>
            <w:r>
              <w:t>12月底</w:t>
            </w:r>
          </w:p>
        </w:tc>
      </w:tr>
      <w:tr w14:paraId="1494C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0FAF9"/>
        </w:tc>
        <w:tc>
          <w:tcPr>
            <w:tcW w:w="5103" w:type="dxa"/>
            <w:gridSpan w:val="2"/>
            <w:vAlign w:val="center"/>
          </w:tcPr>
          <w:p w14:paraId="5ECF44A0">
            <w:pPr>
              <w:pStyle w:val="12"/>
            </w:pPr>
            <w:r>
              <w:t xml:space="preserve"> </w:t>
            </w:r>
          </w:p>
        </w:tc>
        <w:tc>
          <w:tcPr>
            <w:tcW w:w="2835" w:type="dxa"/>
            <w:vAlign w:val="center"/>
          </w:tcPr>
          <w:p w14:paraId="19059393">
            <w:pPr>
              <w:pStyle w:val="12"/>
            </w:pPr>
            <w:r>
              <w:t xml:space="preserve"> </w:t>
            </w:r>
          </w:p>
        </w:tc>
        <w:tc>
          <w:tcPr>
            <w:tcW w:w="2551" w:type="dxa"/>
            <w:vAlign w:val="center"/>
          </w:tcPr>
          <w:p w14:paraId="663BC8FE">
            <w:pPr>
              <w:pStyle w:val="12"/>
            </w:pPr>
            <w:r>
              <w:t xml:space="preserve"> </w:t>
            </w:r>
          </w:p>
        </w:tc>
        <w:tc>
          <w:tcPr>
            <w:tcW w:w="3544" w:type="dxa"/>
            <w:gridSpan w:val="2"/>
            <w:vAlign w:val="center"/>
          </w:tcPr>
          <w:p w14:paraId="3CAB0D05">
            <w:pPr>
              <w:pStyle w:val="12"/>
            </w:pPr>
            <w:r>
              <w:t>100%</w:t>
            </w:r>
          </w:p>
        </w:tc>
      </w:tr>
      <w:tr w14:paraId="72D98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6C4957">
            <w:pPr>
              <w:pStyle w:val="11"/>
            </w:pPr>
            <w:r>
              <w:t>绩效目标</w:t>
            </w:r>
          </w:p>
        </w:tc>
        <w:tc>
          <w:tcPr>
            <w:tcW w:w="14033" w:type="dxa"/>
            <w:gridSpan w:val="6"/>
            <w:vAlign w:val="center"/>
          </w:tcPr>
          <w:p w14:paraId="6A9D46E3">
            <w:pPr>
              <w:pStyle w:val="13"/>
            </w:pPr>
            <w:r>
              <w:t>1.保障义务教育学校正常运转，完成教育教学活动和其他日常工作任务等方面的费用支出。</w:t>
            </w:r>
          </w:p>
        </w:tc>
      </w:tr>
    </w:tbl>
    <w:p w14:paraId="219B0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B1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D7D013F">
            <w:pPr>
              <w:pStyle w:val="11"/>
            </w:pPr>
            <w:r>
              <w:t>一级指标</w:t>
            </w:r>
          </w:p>
        </w:tc>
        <w:tc>
          <w:tcPr>
            <w:tcW w:w="2268" w:type="dxa"/>
            <w:vAlign w:val="center"/>
          </w:tcPr>
          <w:p w14:paraId="74F3B90C">
            <w:pPr>
              <w:pStyle w:val="11"/>
            </w:pPr>
            <w:r>
              <w:t>二级指标</w:t>
            </w:r>
          </w:p>
        </w:tc>
        <w:tc>
          <w:tcPr>
            <w:tcW w:w="2835" w:type="dxa"/>
            <w:vAlign w:val="center"/>
          </w:tcPr>
          <w:p w14:paraId="21CD2367">
            <w:pPr>
              <w:pStyle w:val="11"/>
            </w:pPr>
            <w:r>
              <w:t>三级指标</w:t>
            </w:r>
          </w:p>
        </w:tc>
        <w:tc>
          <w:tcPr>
            <w:tcW w:w="5386" w:type="dxa"/>
            <w:vAlign w:val="center"/>
          </w:tcPr>
          <w:p w14:paraId="5AB082EA">
            <w:pPr>
              <w:pStyle w:val="11"/>
            </w:pPr>
            <w:r>
              <w:t>绩效指标描述</w:t>
            </w:r>
          </w:p>
        </w:tc>
        <w:tc>
          <w:tcPr>
            <w:tcW w:w="2268" w:type="dxa"/>
            <w:vAlign w:val="center"/>
          </w:tcPr>
          <w:p w14:paraId="5887967C">
            <w:pPr>
              <w:pStyle w:val="11"/>
            </w:pPr>
            <w:r>
              <w:t>指标值</w:t>
            </w:r>
          </w:p>
        </w:tc>
        <w:tc>
          <w:tcPr>
            <w:tcW w:w="1276" w:type="dxa"/>
            <w:vAlign w:val="center"/>
          </w:tcPr>
          <w:p w14:paraId="1A4BD0E9">
            <w:pPr>
              <w:pStyle w:val="11"/>
            </w:pPr>
            <w:r>
              <w:t>指标值确定依据</w:t>
            </w:r>
          </w:p>
        </w:tc>
      </w:tr>
      <w:tr w14:paraId="34F55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7C5E8238">
            <w:pPr>
              <w:pStyle w:val="12"/>
            </w:pPr>
            <w:r>
              <w:t>产出指标</w:t>
            </w:r>
          </w:p>
        </w:tc>
        <w:tc>
          <w:tcPr>
            <w:tcW w:w="2268" w:type="dxa"/>
            <w:vAlign w:val="center"/>
          </w:tcPr>
          <w:p w14:paraId="45C02567">
            <w:pPr>
              <w:pStyle w:val="13"/>
            </w:pPr>
            <w:r>
              <w:t>数量指标</w:t>
            </w:r>
          </w:p>
        </w:tc>
        <w:tc>
          <w:tcPr>
            <w:tcW w:w="2835" w:type="dxa"/>
            <w:vAlign w:val="center"/>
          </w:tcPr>
          <w:p w14:paraId="55D84338">
            <w:pPr>
              <w:pStyle w:val="13"/>
            </w:pPr>
            <w:r>
              <w:t>适龄在校生</w:t>
            </w:r>
          </w:p>
        </w:tc>
        <w:tc>
          <w:tcPr>
            <w:tcW w:w="5386" w:type="dxa"/>
            <w:vAlign w:val="center"/>
          </w:tcPr>
          <w:p w14:paraId="659908FF">
            <w:pPr>
              <w:pStyle w:val="13"/>
            </w:pPr>
            <w:r>
              <w:t>适龄在校就读学生人数</w:t>
            </w:r>
          </w:p>
        </w:tc>
        <w:tc>
          <w:tcPr>
            <w:tcW w:w="2268" w:type="dxa"/>
            <w:vAlign w:val="center"/>
          </w:tcPr>
          <w:p w14:paraId="11F56D66">
            <w:pPr>
              <w:pStyle w:val="13"/>
            </w:pPr>
            <w:r>
              <w:t>207人</w:t>
            </w:r>
          </w:p>
        </w:tc>
        <w:tc>
          <w:tcPr>
            <w:tcW w:w="1276" w:type="dxa"/>
            <w:vAlign w:val="center"/>
          </w:tcPr>
          <w:p w14:paraId="2CB48F53">
            <w:pPr>
              <w:pStyle w:val="13"/>
            </w:pPr>
            <w:r>
              <w:t>城乡义务教育公用经费管理办法</w:t>
            </w:r>
          </w:p>
        </w:tc>
      </w:tr>
      <w:tr w14:paraId="62BD2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817ED"/>
        </w:tc>
        <w:tc>
          <w:tcPr>
            <w:tcW w:w="2268" w:type="dxa"/>
            <w:vAlign w:val="center"/>
          </w:tcPr>
          <w:p w14:paraId="49089A5A">
            <w:pPr>
              <w:pStyle w:val="13"/>
            </w:pPr>
            <w:r>
              <w:t>质量指标</w:t>
            </w:r>
          </w:p>
        </w:tc>
        <w:tc>
          <w:tcPr>
            <w:tcW w:w="2835" w:type="dxa"/>
            <w:vAlign w:val="center"/>
          </w:tcPr>
          <w:p w14:paraId="50C929BC">
            <w:pPr>
              <w:pStyle w:val="13"/>
            </w:pPr>
            <w:r>
              <w:t>预算控制率</w:t>
            </w:r>
          </w:p>
        </w:tc>
        <w:tc>
          <w:tcPr>
            <w:tcW w:w="5386" w:type="dxa"/>
            <w:vAlign w:val="center"/>
          </w:tcPr>
          <w:p w14:paraId="456AD02C">
            <w:pPr>
              <w:pStyle w:val="13"/>
            </w:pPr>
            <w:r>
              <w:t>预算执行</w:t>
            </w:r>
          </w:p>
        </w:tc>
        <w:tc>
          <w:tcPr>
            <w:tcW w:w="2268" w:type="dxa"/>
            <w:vAlign w:val="center"/>
          </w:tcPr>
          <w:p w14:paraId="58DF95E6">
            <w:pPr>
              <w:pStyle w:val="13"/>
            </w:pPr>
            <w:r>
              <w:t>≥95%</w:t>
            </w:r>
          </w:p>
        </w:tc>
        <w:tc>
          <w:tcPr>
            <w:tcW w:w="1276" w:type="dxa"/>
            <w:vAlign w:val="center"/>
          </w:tcPr>
          <w:p w14:paraId="30670F0D">
            <w:pPr>
              <w:pStyle w:val="13"/>
            </w:pPr>
            <w:r>
              <w:t>城乡义务教育公用经费管理办法</w:t>
            </w:r>
          </w:p>
        </w:tc>
      </w:tr>
      <w:tr w14:paraId="25A2F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505B1"/>
        </w:tc>
        <w:tc>
          <w:tcPr>
            <w:tcW w:w="2268" w:type="dxa"/>
            <w:vAlign w:val="center"/>
          </w:tcPr>
          <w:p w14:paraId="3190E815">
            <w:pPr>
              <w:pStyle w:val="13"/>
            </w:pPr>
            <w:r>
              <w:t>时效指标</w:t>
            </w:r>
          </w:p>
        </w:tc>
        <w:tc>
          <w:tcPr>
            <w:tcW w:w="2835" w:type="dxa"/>
            <w:vAlign w:val="center"/>
          </w:tcPr>
          <w:p w14:paraId="560189BC">
            <w:pPr>
              <w:pStyle w:val="13"/>
            </w:pPr>
            <w:r>
              <w:t>资金支付率</w:t>
            </w:r>
          </w:p>
        </w:tc>
        <w:tc>
          <w:tcPr>
            <w:tcW w:w="5386" w:type="dxa"/>
            <w:vAlign w:val="center"/>
          </w:tcPr>
          <w:p w14:paraId="42675461">
            <w:pPr>
              <w:pStyle w:val="13"/>
            </w:pPr>
            <w:r>
              <w:t>按照序时进度完成资金支付</w:t>
            </w:r>
          </w:p>
        </w:tc>
        <w:tc>
          <w:tcPr>
            <w:tcW w:w="2268" w:type="dxa"/>
            <w:vAlign w:val="center"/>
          </w:tcPr>
          <w:p w14:paraId="5E6B86E1">
            <w:pPr>
              <w:pStyle w:val="13"/>
            </w:pPr>
            <w:r>
              <w:t>≥100%</w:t>
            </w:r>
          </w:p>
        </w:tc>
        <w:tc>
          <w:tcPr>
            <w:tcW w:w="1276" w:type="dxa"/>
            <w:vAlign w:val="center"/>
          </w:tcPr>
          <w:p w14:paraId="31B4F405">
            <w:pPr>
              <w:pStyle w:val="13"/>
            </w:pPr>
            <w:r>
              <w:t>城乡义务教育公用经费管理办法</w:t>
            </w:r>
          </w:p>
        </w:tc>
      </w:tr>
      <w:tr w14:paraId="40D0D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1C848"/>
        </w:tc>
        <w:tc>
          <w:tcPr>
            <w:tcW w:w="2268" w:type="dxa"/>
            <w:vAlign w:val="center"/>
          </w:tcPr>
          <w:p w14:paraId="3FC2262F">
            <w:pPr>
              <w:pStyle w:val="13"/>
            </w:pPr>
            <w:r>
              <w:t>成本指标</w:t>
            </w:r>
          </w:p>
        </w:tc>
        <w:tc>
          <w:tcPr>
            <w:tcW w:w="2835" w:type="dxa"/>
            <w:vAlign w:val="center"/>
          </w:tcPr>
          <w:p w14:paraId="2175CC7B">
            <w:pPr>
              <w:pStyle w:val="13"/>
            </w:pPr>
            <w:r>
              <w:t>生均拨款标准</w:t>
            </w:r>
          </w:p>
        </w:tc>
        <w:tc>
          <w:tcPr>
            <w:tcW w:w="5386" w:type="dxa"/>
            <w:vAlign w:val="center"/>
          </w:tcPr>
          <w:p w14:paraId="64C3A943">
            <w:pPr>
              <w:pStyle w:val="13"/>
            </w:pPr>
            <w:r>
              <w:t>小学：（基本标准720元、寄宿生300元、取暖120元）/生/学年；随班就读学生：标准6000元/生/学年。</w:t>
            </w:r>
          </w:p>
        </w:tc>
        <w:tc>
          <w:tcPr>
            <w:tcW w:w="2268" w:type="dxa"/>
            <w:vAlign w:val="center"/>
          </w:tcPr>
          <w:p w14:paraId="31A231C4">
            <w:pPr>
              <w:pStyle w:val="13"/>
            </w:pPr>
            <w:r>
              <w:t>117990元</w:t>
            </w:r>
          </w:p>
        </w:tc>
        <w:tc>
          <w:tcPr>
            <w:tcW w:w="1276" w:type="dxa"/>
            <w:vAlign w:val="center"/>
          </w:tcPr>
          <w:p w14:paraId="2F300CD9">
            <w:pPr>
              <w:pStyle w:val="13"/>
            </w:pPr>
            <w:r>
              <w:t>城乡义务教育公用经费管理办法</w:t>
            </w:r>
          </w:p>
        </w:tc>
      </w:tr>
      <w:tr w14:paraId="1FF1D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94721E">
            <w:pPr>
              <w:pStyle w:val="12"/>
            </w:pPr>
            <w:r>
              <w:t>效益指标</w:t>
            </w:r>
          </w:p>
        </w:tc>
        <w:tc>
          <w:tcPr>
            <w:tcW w:w="2268" w:type="dxa"/>
            <w:vAlign w:val="center"/>
          </w:tcPr>
          <w:p w14:paraId="6886CF11">
            <w:pPr>
              <w:pStyle w:val="13"/>
            </w:pPr>
            <w:r>
              <w:t>可持续影响指标</w:t>
            </w:r>
          </w:p>
        </w:tc>
        <w:tc>
          <w:tcPr>
            <w:tcW w:w="2835" w:type="dxa"/>
            <w:vAlign w:val="center"/>
          </w:tcPr>
          <w:p w14:paraId="177976BC">
            <w:pPr>
              <w:pStyle w:val="13"/>
            </w:pPr>
            <w:r>
              <w:t>教育发展水平明显好转</w:t>
            </w:r>
          </w:p>
        </w:tc>
        <w:tc>
          <w:tcPr>
            <w:tcW w:w="5386" w:type="dxa"/>
            <w:vAlign w:val="center"/>
          </w:tcPr>
          <w:p w14:paraId="3BB729AE">
            <w:pPr>
              <w:pStyle w:val="13"/>
            </w:pPr>
            <w:r>
              <w:t>学生受教育年限</w:t>
            </w:r>
          </w:p>
        </w:tc>
        <w:tc>
          <w:tcPr>
            <w:tcW w:w="2268" w:type="dxa"/>
            <w:vAlign w:val="center"/>
          </w:tcPr>
          <w:p w14:paraId="75BFEB78">
            <w:pPr>
              <w:pStyle w:val="13"/>
            </w:pPr>
            <w:r>
              <w:t>6年</w:t>
            </w:r>
          </w:p>
        </w:tc>
        <w:tc>
          <w:tcPr>
            <w:tcW w:w="1276" w:type="dxa"/>
            <w:vAlign w:val="center"/>
          </w:tcPr>
          <w:p w14:paraId="623CC71D">
            <w:pPr>
              <w:pStyle w:val="13"/>
            </w:pPr>
            <w:r>
              <w:t>城乡义务教育公用经费管理办法</w:t>
            </w:r>
          </w:p>
        </w:tc>
      </w:tr>
      <w:tr w14:paraId="7ED57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C9EBD4">
            <w:pPr>
              <w:pStyle w:val="12"/>
            </w:pPr>
            <w:r>
              <w:t>满意度指标</w:t>
            </w:r>
          </w:p>
        </w:tc>
        <w:tc>
          <w:tcPr>
            <w:tcW w:w="2268" w:type="dxa"/>
            <w:vAlign w:val="center"/>
          </w:tcPr>
          <w:p w14:paraId="2BC36DA3">
            <w:pPr>
              <w:pStyle w:val="13"/>
            </w:pPr>
            <w:r>
              <w:t>服务对象满意度指标</w:t>
            </w:r>
          </w:p>
        </w:tc>
        <w:tc>
          <w:tcPr>
            <w:tcW w:w="2835" w:type="dxa"/>
            <w:vAlign w:val="center"/>
          </w:tcPr>
          <w:p w14:paraId="09E20D47">
            <w:pPr>
              <w:pStyle w:val="13"/>
            </w:pPr>
            <w:r>
              <w:t>受益学生家长及调查满意度</w:t>
            </w:r>
          </w:p>
        </w:tc>
        <w:tc>
          <w:tcPr>
            <w:tcW w:w="5386" w:type="dxa"/>
            <w:vAlign w:val="center"/>
          </w:tcPr>
          <w:p w14:paraId="6943C54D">
            <w:pPr>
              <w:pStyle w:val="13"/>
            </w:pPr>
            <w:r>
              <w:t>学生、教师及家长对学校教育教学工作满意度情况</w:t>
            </w:r>
          </w:p>
        </w:tc>
        <w:tc>
          <w:tcPr>
            <w:tcW w:w="2268" w:type="dxa"/>
            <w:vAlign w:val="center"/>
          </w:tcPr>
          <w:p w14:paraId="68DB9FA3">
            <w:pPr>
              <w:pStyle w:val="13"/>
            </w:pPr>
            <w:r>
              <w:t>≥95%</w:t>
            </w:r>
          </w:p>
        </w:tc>
        <w:tc>
          <w:tcPr>
            <w:tcW w:w="1276" w:type="dxa"/>
            <w:vAlign w:val="center"/>
          </w:tcPr>
          <w:p w14:paraId="1F8D70B0">
            <w:pPr>
              <w:pStyle w:val="13"/>
            </w:pPr>
            <w:r>
              <w:t>调查问卷</w:t>
            </w:r>
          </w:p>
        </w:tc>
      </w:tr>
    </w:tbl>
    <w:p w14:paraId="3B0A67D0">
      <w:pPr>
        <w:sectPr>
          <w:pgSz w:w="16840" w:h="11900" w:orient="landscape"/>
          <w:pgMar w:top="1361" w:right="1020" w:bottom="1134" w:left="1020" w:header="720" w:footer="720" w:gutter="0"/>
          <w:cols w:space="720" w:num="1"/>
        </w:sectPr>
      </w:pPr>
    </w:p>
    <w:p w14:paraId="6B7AF4B2">
      <w:pPr>
        <w:spacing w:before="0" w:after="0"/>
        <w:ind w:firstLine="560"/>
        <w:jc w:val="left"/>
        <w:outlineLvl w:val="9"/>
      </w:pPr>
      <w:r>
        <w:rPr>
          <w:rFonts w:ascii="方正仿宋_GBK" w:hAnsi="方正仿宋_GBK" w:eastAsia="方正仿宋_GBK" w:cs="方正仿宋_GBK"/>
          <w:b/>
          <w:color w:val="000000"/>
          <w:sz w:val="28"/>
        </w:rPr>
        <w:t>150、县级配套/隆尧县文茂中学公用经费绩效目标表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2C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7184D">
            <w:pPr>
              <w:pStyle w:val="14"/>
            </w:pPr>
            <w:r>
              <w:t>单位：万元</w:t>
            </w:r>
          </w:p>
        </w:tc>
      </w:tr>
      <w:tr w14:paraId="1B0CF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BC566B">
            <w:pPr>
              <w:pStyle w:val="11"/>
            </w:pPr>
            <w:r>
              <w:t>项目编码</w:t>
            </w:r>
          </w:p>
        </w:tc>
        <w:tc>
          <w:tcPr>
            <w:tcW w:w="5103" w:type="dxa"/>
            <w:gridSpan w:val="2"/>
            <w:vAlign w:val="center"/>
          </w:tcPr>
          <w:p w14:paraId="4731788B">
            <w:pPr>
              <w:pStyle w:val="13"/>
            </w:pPr>
            <w:r>
              <w:t>13052525P00000410013N</w:t>
            </w:r>
          </w:p>
        </w:tc>
        <w:tc>
          <w:tcPr>
            <w:tcW w:w="2835" w:type="dxa"/>
            <w:vAlign w:val="center"/>
          </w:tcPr>
          <w:p w14:paraId="75FE721A">
            <w:pPr>
              <w:pStyle w:val="11"/>
            </w:pPr>
            <w:r>
              <w:t>项目名称</w:t>
            </w:r>
          </w:p>
        </w:tc>
        <w:tc>
          <w:tcPr>
            <w:tcW w:w="6095" w:type="dxa"/>
            <w:gridSpan w:val="3"/>
            <w:vAlign w:val="center"/>
          </w:tcPr>
          <w:p w14:paraId="5CFC87FD">
            <w:pPr>
              <w:pStyle w:val="13"/>
            </w:pPr>
            <w:r>
              <w:t>县级配套/隆尧县文茂中学公用经费</w:t>
            </w:r>
            <w:r>
              <w:tab/>
            </w:r>
            <w:r>
              <w:tab/>
            </w:r>
            <w:r>
              <w:tab/>
            </w:r>
            <w:r>
              <w:tab/>
            </w:r>
            <w:r>
              <w:tab/>
            </w:r>
          </w:p>
        </w:tc>
      </w:tr>
      <w:tr w14:paraId="76589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E276D">
            <w:pPr>
              <w:pStyle w:val="11"/>
            </w:pPr>
            <w:r>
              <w:t>预算规模及资金用途</w:t>
            </w:r>
          </w:p>
        </w:tc>
        <w:tc>
          <w:tcPr>
            <w:tcW w:w="2268" w:type="dxa"/>
            <w:vAlign w:val="center"/>
          </w:tcPr>
          <w:p w14:paraId="0B0DB87E">
            <w:pPr>
              <w:pStyle w:val="11"/>
            </w:pPr>
            <w:r>
              <w:t>预算数</w:t>
            </w:r>
          </w:p>
        </w:tc>
        <w:tc>
          <w:tcPr>
            <w:tcW w:w="2835" w:type="dxa"/>
            <w:vAlign w:val="center"/>
          </w:tcPr>
          <w:p w14:paraId="5B9AC2AD">
            <w:pPr>
              <w:pStyle w:val="13"/>
            </w:pPr>
            <w:r>
              <w:t>191.67</w:t>
            </w:r>
          </w:p>
        </w:tc>
        <w:tc>
          <w:tcPr>
            <w:tcW w:w="2835" w:type="dxa"/>
            <w:vAlign w:val="center"/>
          </w:tcPr>
          <w:p w14:paraId="16378F10">
            <w:pPr>
              <w:pStyle w:val="11"/>
            </w:pPr>
            <w:r>
              <w:t>其中：财政    资金</w:t>
            </w:r>
          </w:p>
        </w:tc>
        <w:tc>
          <w:tcPr>
            <w:tcW w:w="2551" w:type="dxa"/>
            <w:vAlign w:val="center"/>
          </w:tcPr>
          <w:p w14:paraId="03AC1E4E">
            <w:pPr>
              <w:pStyle w:val="13"/>
            </w:pPr>
            <w:r>
              <w:t>191.67</w:t>
            </w:r>
          </w:p>
        </w:tc>
        <w:tc>
          <w:tcPr>
            <w:tcW w:w="2268" w:type="dxa"/>
            <w:vAlign w:val="center"/>
          </w:tcPr>
          <w:p w14:paraId="768DD79A">
            <w:pPr>
              <w:pStyle w:val="11"/>
            </w:pPr>
            <w:r>
              <w:t>其他资金</w:t>
            </w:r>
          </w:p>
        </w:tc>
        <w:tc>
          <w:tcPr>
            <w:tcW w:w="1276" w:type="dxa"/>
            <w:vAlign w:val="center"/>
          </w:tcPr>
          <w:p w14:paraId="6DFB9648">
            <w:pPr>
              <w:pStyle w:val="13"/>
            </w:pPr>
            <w:r>
              <w:t xml:space="preserve"> </w:t>
            </w:r>
          </w:p>
        </w:tc>
      </w:tr>
      <w:tr w14:paraId="3D852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41785A"/>
        </w:tc>
        <w:tc>
          <w:tcPr>
            <w:tcW w:w="14033" w:type="dxa"/>
            <w:gridSpan w:val="6"/>
            <w:vAlign w:val="center"/>
          </w:tcPr>
          <w:p w14:paraId="18C3F006">
            <w:pPr>
              <w:pStyle w:val="13"/>
            </w:pPr>
            <w:r>
              <w:t>保障义务教育学校正常运转，完成教育教学活动和其他日常工作任务等方面的费用支出。</w:t>
            </w:r>
          </w:p>
        </w:tc>
      </w:tr>
      <w:tr w14:paraId="7C948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D201F">
            <w:pPr>
              <w:pStyle w:val="11"/>
            </w:pPr>
            <w:r>
              <w:t>资金支出计划（%）</w:t>
            </w:r>
          </w:p>
        </w:tc>
        <w:tc>
          <w:tcPr>
            <w:tcW w:w="5103" w:type="dxa"/>
            <w:gridSpan w:val="2"/>
            <w:vAlign w:val="center"/>
          </w:tcPr>
          <w:p w14:paraId="3425BAE1">
            <w:pPr>
              <w:pStyle w:val="11"/>
            </w:pPr>
            <w:r>
              <w:t>3月底</w:t>
            </w:r>
          </w:p>
        </w:tc>
        <w:tc>
          <w:tcPr>
            <w:tcW w:w="2835" w:type="dxa"/>
            <w:vAlign w:val="center"/>
          </w:tcPr>
          <w:p w14:paraId="1D4DD852">
            <w:pPr>
              <w:pStyle w:val="11"/>
            </w:pPr>
            <w:r>
              <w:t>6月底</w:t>
            </w:r>
          </w:p>
        </w:tc>
        <w:tc>
          <w:tcPr>
            <w:tcW w:w="2551" w:type="dxa"/>
            <w:vAlign w:val="center"/>
          </w:tcPr>
          <w:p w14:paraId="6EED9071">
            <w:pPr>
              <w:pStyle w:val="11"/>
            </w:pPr>
            <w:r>
              <w:t>10月底</w:t>
            </w:r>
          </w:p>
        </w:tc>
        <w:tc>
          <w:tcPr>
            <w:tcW w:w="3544" w:type="dxa"/>
            <w:gridSpan w:val="2"/>
            <w:vAlign w:val="center"/>
          </w:tcPr>
          <w:p w14:paraId="1EAAB617">
            <w:pPr>
              <w:pStyle w:val="11"/>
            </w:pPr>
            <w:r>
              <w:t>12月底</w:t>
            </w:r>
          </w:p>
        </w:tc>
      </w:tr>
      <w:tr w14:paraId="67F08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D66E84"/>
        </w:tc>
        <w:tc>
          <w:tcPr>
            <w:tcW w:w="5103" w:type="dxa"/>
            <w:gridSpan w:val="2"/>
            <w:vAlign w:val="center"/>
          </w:tcPr>
          <w:p w14:paraId="0E6F3E17">
            <w:pPr>
              <w:pStyle w:val="12"/>
            </w:pPr>
            <w:r>
              <w:t xml:space="preserve"> </w:t>
            </w:r>
          </w:p>
        </w:tc>
        <w:tc>
          <w:tcPr>
            <w:tcW w:w="2835" w:type="dxa"/>
            <w:vAlign w:val="center"/>
          </w:tcPr>
          <w:p w14:paraId="5355F274">
            <w:pPr>
              <w:pStyle w:val="12"/>
            </w:pPr>
            <w:r>
              <w:t xml:space="preserve"> </w:t>
            </w:r>
          </w:p>
        </w:tc>
        <w:tc>
          <w:tcPr>
            <w:tcW w:w="2551" w:type="dxa"/>
            <w:vAlign w:val="center"/>
          </w:tcPr>
          <w:p w14:paraId="52608E2B">
            <w:pPr>
              <w:pStyle w:val="12"/>
            </w:pPr>
            <w:r>
              <w:t xml:space="preserve"> </w:t>
            </w:r>
          </w:p>
        </w:tc>
        <w:tc>
          <w:tcPr>
            <w:tcW w:w="3544" w:type="dxa"/>
            <w:gridSpan w:val="2"/>
            <w:vAlign w:val="center"/>
          </w:tcPr>
          <w:p w14:paraId="7DE04B95">
            <w:pPr>
              <w:pStyle w:val="12"/>
            </w:pPr>
            <w:r>
              <w:t>100%</w:t>
            </w:r>
          </w:p>
        </w:tc>
      </w:tr>
      <w:tr w14:paraId="7643E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C38B68">
            <w:pPr>
              <w:pStyle w:val="11"/>
            </w:pPr>
            <w:r>
              <w:t>绩效目标</w:t>
            </w:r>
          </w:p>
        </w:tc>
        <w:tc>
          <w:tcPr>
            <w:tcW w:w="14033" w:type="dxa"/>
            <w:gridSpan w:val="6"/>
            <w:vAlign w:val="center"/>
          </w:tcPr>
          <w:p w14:paraId="30343183">
            <w:pPr>
              <w:pStyle w:val="13"/>
            </w:pPr>
            <w:r>
              <w:t>1.保障义务教育学校正常运转，完成教育教学活动和其他日常工作任务等方面的费用支出。</w:t>
            </w:r>
          </w:p>
        </w:tc>
      </w:tr>
    </w:tbl>
    <w:p w14:paraId="2537D6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E6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6C7D1">
            <w:pPr>
              <w:pStyle w:val="11"/>
            </w:pPr>
            <w:r>
              <w:t>一级指标</w:t>
            </w:r>
          </w:p>
        </w:tc>
        <w:tc>
          <w:tcPr>
            <w:tcW w:w="2268" w:type="dxa"/>
            <w:vAlign w:val="center"/>
          </w:tcPr>
          <w:p w14:paraId="5F12FC35">
            <w:pPr>
              <w:pStyle w:val="11"/>
            </w:pPr>
            <w:r>
              <w:t>二级指标</w:t>
            </w:r>
          </w:p>
        </w:tc>
        <w:tc>
          <w:tcPr>
            <w:tcW w:w="2835" w:type="dxa"/>
            <w:vAlign w:val="center"/>
          </w:tcPr>
          <w:p w14:paraId="79E896BD">
            <w:pPr>
              <w:pStyle w:val="11"/>
            </w:pPr>
            <w:r>
              <w:t>三级指标</w:t>
            </w:r>
          </w:p>
        </w:tc>
        <w:tc>
          <w:tcPr>
            <w:tcW w:w="5386" w:type="dxa"/>
            <w:vAlign w:val="center"/>
          </w:tcPr>
          <w:p w14:paraId="2164DB10">
            <w:pPr>
              <w:pStyle w:val="11"/>
            </w:pPr>
            <w:r>
              <w:t>绩效指标描述</w:t>
            </w:r>
          </w:p>
        </w:tc>
        <w:tc>
          <w:tcPr>
            <w:tcW w:w="2268" w:type="dxa"/>
            <w:vAlign w:val="center"/>
          </w:tcPr>
          <w:p w14:paraId="66BD81D1">
            <w:pPr>
              <w:pStyle w:val="11"/>
            </w:pPr>
            <w:r>
              <w:t>指标值</w:t>
            </w:r>
          </w:p>
        </w:tc>
        <w:tc>
          <w:tcPr>
            <w:tcW w:w="1276" w:type="dxa"/>
            <w:vAlign w:val="center"/>
          </w:tcPr>
          <w:p w14:paraId="20C2B3C7">
            <w:pPr>
              <w:pStyle w:val="11"/>
            </w:pPr>
            <w:r>
              <w:t>指标值确定依据</w:t>
            </w:r>
          </w:p>
        </w:tc>
      </w:tr>
      <w:tr w14:paraId="5546F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90318">
            <w:pPr>
              <w:pStyle w:val="12"/>
            </w:pPr>
            <w:r>
              <w:t>产出指标</w:t>
            </w:r>
          </w:p>
        </w:tc>
        <w:tc>
          <w:tcPr>
            <w:tcW w:w="2268" w:type="dxa"/>
            <w:vAlign w:val="center"/>
          </w:tcPr>
          <w:p w14:paraId="5E405423">
            <w:pPr>
              <w:pStyle w:val="13"/>
            </w:pPr>
            <w:r>
              <w:t>数量指标</w:t>
            </w:r>
          </w:p>
        </w:tc>
        <w:tc>
          <w:tcPr>
            <w:tcW w:w="2835" w:type="dxa"/>
            <w:vAlign w:val="center"/>
          </w:tcPr>
          <w:p w14:paraId="0D404430">
            <w:pPr>
              <w:pStyle w:val="13"/>
            </w:pPr>
            <w:r>
              <w:t>适龄在校生</w:t>
            </w:r>
          </w:p>
        </w:tc>
        <w:tc>
          <w:tcPr>
            <w:tcW w:w="5386" w:type="dxa"/>
            <w:vAlign w:val="center"/>
          </w:tcPr>
          <w:p w14:paraId="16BD3BDB">
            <w:pPr>
              <w:pStyle w:val="13"/>
            </w:pPr>
            <w:r>
              <w:t>适龄在校就读学生人数</w:t>
            </w:r>
          </w:p>
        </w:tc>
        <w:tc>
          <w:tcPr>
            <w:tcW w:w="2268" w:type="dxa"/>
            <w:vAlign w:val="center"/>
          </w:tcPr>
          <w:p w14:paraId="5DDC7A89">
            <w:pPr>
              <w:pStyle w:val="13"/>
            </w:pPr>
            <w:r>
              <w:t>1893人</w:t>
            </w:r>
          </w:p>
        </w:tc>
        <w:tc>
          <w:tcPr>
            <w:tcW w:w="1276" w:type="dxa"/>
            <w:vAlign w:val="center"/>
          </w:tcPr>
          <w:p w14:paraId="3D629AB0">
            <w:pPr>
              <w:pStyle w:val="13"/>
            </w:pPr>
            <w:r>
              <w:t>城乡义务教育公用经费管理办法</w:t>
            </w:r>
          </w:p>
        </w:tc>
      </w:tr>
      <w:tr w14:paraId="448A8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11534"/>
        </w:tc>
        <w:tc>
          <w:tcPr>
            <w:tcW w:w="2268" w:type="dxa"/>
            <w:vAlign w:val="center"/>
          </w:tcPr>
          <w:p w14:paraId="3F86A2BF">
            <w:pPr>
              <w:pStyle w:val="13"/>
            </w:pPr>
            <w:r>
              <w:t>质量指标</w:t>
            </w:r>
          </w:p>
        </w:tc>
        <w:tc>
          <w:tcPr>
            <w:tcW w:w="2835" w:type="dxa"/>
            <w:vAlign w:val="center"/>
          </w:tcPr>
          <w:p w14:paraId="53F960A4">
            <w:pPr>
              <w:pStyle w:val="13"/>
            </w:pPr>
            <w:r>
              <w:t>预算控制率</w:t>
            </w:r>
          </w:p>
        </w:tc>
        <w:tc>
          <w:tcPr>
            <w:tcW w:w="5386" w:type="dxa"/>
            <w:vAlign w:val="center"/>
          </w:tcPr>
          <w:p w14:paraId="13B19375">
            <w:pPr>
              <w:pStyle w:val="13"/>
            </w:pPr>
            <w:r>
              <w:t>预算执行</w:t>
            </w:r>
          </w:p>
        </w:tc>
        <w:tc>
          <w:tcPr>
            <w:tcW w:w="2268" w:type="dxa"/>
            <w:vAlign w:val="center"/>
          </w:tcPr>
          <w:p w14:paraId="4FDC831A">
            <w:pPr>
              <w:pStyle w:val="13"/>
            </w:pPr>
            <w:r>
              <w:t>≥95%</w:t>
            </w:r>
          </w:p>
        </w:tc>
        <w:tc>
          <w:tcPr>
            <w:tcW w:w="1276" w:type="dxa"/>
            <w:vAlign w:val="center"/>
          </w:tcPr>
          <w:p w14:paraId="73F57003">
            <w:pPr>
              <w:pStyle w:val="13"/>
            </w:pPr>
            <w:r>
              <w:t>城乡义务教育公用经费管理办法</w:t>
            </w:r>
          </w:p>
        </w:tc>
      </w:tr>
      <w:tr w14:paraId="55885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44AE6"/>
        </w:tc>
        <w:tc>
          <w:tcPr>
            <w:tcW w:w="2268" w:type="dxa"/>
            <w:vAlign w:val="center"/>
          </w:tcPr>
          <w:p w14:paraId="63FDFBFD">
            <w:pPr>
              <w:pStyle w:val="13"/>
            </w:pPr>
            <w:r>
              <w:t>时效指标</w:t>
            </w:r>
          </w:p>
        </w:tc>
        <w:tc>
          <w:tcPr>
            <w:tcW w:w="2835" w:type="dxa"/>
            <w:vAlign w:val="center"/>
          </w:tcPr>
          <w:p w14:paraId="1E1818D4">
            <w:pPr>
              <w:pStyle w:val="13"/>
            </w:pPr>
            <w:r>
              <w:t>资金支付率</w:t>
            </w:r>
          </w:p>
        </w:tc>
        <w:tc>
          <w:tcPr>
            <w:tcW w:w="5386" w:type="dxa"/>
            <w:vAlign w:val="center"/>
          </w:tcPr>
          <w:p w14:paraId="383C7DDD">
            <w:pPr>
              <w:pStyle w:val="13"/>
            </w:pPr>
            <w:r>
              <w:t>按照序时进度完成资金支付</w:t>
            </w:r>
          </w:p>
        </w:tc>
        <w:tc>
          <w:tcPr>
            <w:tcW w:w="2268" w:type="dxa"/>
            <w:vAlign w:val="center"/>
          </w:tcPr>
          <w:p w14:paraId="37416C83">
            <w:pPr>
              <w:pStyle w:val="13"/>
            </w:pPr>
            <w:r>
              <w:t>≥100%</w:t>
            </w:r>
          </w:p>
        </w:tc>
        <w:tc>
          <w:tcPr>
            <w:tcW w:w="1276" w:type="dxa"/>
            <w:vAlign w:val="center"/>
          </w:tcPr>
          <w:p w14:paraId="6FA54B16">
            <w:pPr>
              <w:pStyle w:val="13"/>
            </w:pPr>
            <w:r>
              <w:t>城乡义务教育公用经费管理办法</w:t>
            </w:r>
          </w:p>
        </w:tc>
      </w:tr>
      <w:tr w14:paraId="76013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43420"/>
        </w:tc>
        <w:tc>
          <w:tcPr>
            <w:tcW w:w="2268" w:type="dxa"/>
            <w:vAlign w:val="center"/>
          </w:tcPr>
          <w:p w14:paraId="03BCD893">
            <w:pPr>
              <w:pStyle w:val="13"/>
            </w:pPr>
            <w:r>
              <w:t>成本指标</w:t>
            </w:r>
          </w:p>
        </w:tc>
        <w:tc>
          <w:tcPr>
            <w:tcW w:w="2835" w:type="dxa"/>
            <w:vAlign w:val="center"/>
          </w:tcPr>
          <w:p w14:paraId="6F66152B">
            <w:pPr>
              <w:pStyle w:val="13"/>
            </w:pPr>
            <w:r>
              <w:t>生均拨款标准</w:t>
            </w:r>
          </w:p>
        </w:tc>
        <w:tc>
          <w:tcPr>
            <w:tcW w:w="5386" w:type="dxa"/>
            <w:vAlign w:val="center"/>
          </w:tcPr>
          <w:p w14:paraId="6BC3A0E6">
            <w:pPr>
              <w:pStyle w:val="13"/>
            </w:pPr>
            <w:r>
              <w:t>小学：（基本标准720元、寄宿生300元、取暖120元）/生/学年；随班就读学生：标准6000元/生/学年。</w:t>
            </w:r>
          </w:p>
        </w:tc>
        <w:tc>
          <w:tcPr>
            <w:tcW w:w="2268" w:type="dxa"/>
            <w:vAlign w:val="center"/>
          </w:tcPr>
          <w:p w14:paraId="30239C29">
            <w:pPr>
              <w:pStyle w:val="13"/>
            </w:pPr>
            <w:r>
              <w:t>1916730元</w:t>
            </w:r>
          </w:p>
        </w:tc>
        <w:tc>
          <w:tcPr>
            <w:tcW w:w="1276" w:type="dxa"/>
            <w:vAlign w:val="center"/>
          </w:tcPr>
          <w:p w14:paraId="37D817A7">
            <w:pPr>
              <w:pStyle w:val="13"/>
            </w:pPr>
            <w:r>
              <w:t>城乡义务教育公用经费管理办法</w:t>
            </w:r>
          </w:p>
        </w:tc>
      </w:tr>
      <w:tr w14:paraId="1CAC3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E70C1">
            <w:pPr>
              <w:pStyle w:val="12"/>
            </w:pPr>
            <w:r>
              <w:t>效益指标</w:t>
            </w:r>
          </w:p>
        </w:tc>
        <w:tc>
          <w:tcPr>
            <w:tcW w:w="2268" w:type="dxa"/>
            <w:vAlign w:val="center"/>
          </w:tcPr>
          <w:p w14:paraId="2088F092">
            <w:pPr>
              <w:pStyle w:val="13"/>
            </w:pPr>
            <w:r>
              <w:t>可持续影响指标</w:t>
            </w:r>
          </w:p>
        </w:tc>
        <w:tc>
          <w:tcPr>
            <w:tcW w:w="2835" w:type="dxa"/>
            <w:vAlign w:val="center"/>
          </w:tcPr>
          <w:p w14:paraId="1068ABBF">
            <w:pPr>
              <w:pStyle w:val="13"/>
            </w:pPr>
            <w:r>
              <w:t>教育发展水平明显好转</w:t>
            </w:r>
          </w:p>
        </w:tc>
        <w:tc>
          <w:tcPr>
            <w:tcW w:w="5386" w:type="dxa"/>
            <w:vAlign w:val="center"/>
          </w:tcPr>
          <w:p w14:paraId="1C988BFF">
            <w:pPr>
              <w:pStyle w:val="13"/>
            </w:pPr>
            <w:r>
              <w:t>学生受教育年限</w:t>
            </w:r>
          </w:p>
        </w:tc>
        <w:tc>
          <w:tcPr>
            <w:tcW w:w="2268" w:type="dxa"/>
            <w:vAlign w:val="center"/>
          </w:tcPr>
          <w:p w14:paraId="4F03CA1E">
            <w:pPr>
              <w:pStyle w:val="13"/>
            </w:pPr>
            <w:r>
              <w:t>3年</w:t>
            </w:r>
          </w:p>
        </w:tc>
        <w:tc>
          <w:tcPr>
            <w:tcW w:w="1276" w:type="dxa"/>
            <w:vAlign w:val="center"/>
          </w:tcPr>
          <w:p w14:paraId="74F0592B">
            <w:pPr>
              <w:pStyle w:val="13"/>
            </w:pPr>
            <w:r>
              <w:t>城乡义务教育公用经费管理办法</w:t>
            </w:r>
          </w:p>
        </w:tc>
      </w:tr>
      <w:tr w14:paraId="7E0E6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F031B2">
            <w:pPr>
              <w:pStyle w:val="12"/>
            </w:pPr>
            <w:r>
              <w:t>满意度指标</w:t>
            </w:r>
          </w:p>
        </w:tc>
        <w:tc>
          <w:tcPr>
            <w:tcW w:w="2268" w:type="dxa"/>
            <w:vAlign w:val="center"/>
          </w:tcPr>
          <w:p w14:paraId="2360332A">
            <w:pPr>
              <w:pStyle w:val="13"/>
            </w:pPr>
            <w:r>
              <w:t>服务对象满意度指标</w:t>
            </w:r>
          </w:p>
        </w:tc>
        <w:tc>
          <w:tcPr>
            <w:tcW w:w="2835" w:type="dxa"/>
            <w:vAlign w:val="center"/>
          </w:tcPr>
          <w:p w14:paraId="04158713">
            <w:pPr>
              <w:pStyle w:val="13"/>
            </w:pPr>
            <w:r>
              <w:t>受益学生家长及调查满意度</w:t>
            </w:r>
          </w:p>
        </w:tc>
        <w:tc>
          <w:tcPr>
            <w:tcW w:w="5386" w:type="dxa"/>
            <w:vAlign w:val="center"/>
          </w:tcPr>
          <w:p w14:paraId="48D21E08">
            <w:pPr>
              <w:pStyle w:val="13"/>
            </w:pPr>
            <w:r>
              <w:t>学生、教师及家长对学校教育教学工作满意度情况</w:t>
            </w:r>
          </w:p>
        </w:tc>
        <w:tc>
          <w:tcPr>
            <w:tcW w:w="2268" w:type="dxa"/>
            <w:vAlign w:val="center"/>
          </w:tcPr>
          <w:p w14:paraId="5CB1CE83">
            <w:pPr>
              <w:pStyle w:val="13"/>
            </w:pPr>
            <w:r>
              <w:t>≥95%</w:t>
            </w:r>
          </w:p>
        </w:tc>
        <w:tc>
          <w:tcPr>
            <w:tcW w:w="1276" w:type="dxa"/>
            <w:vAlign w:val="center"/>
          </w:tcPr>
          <w:p w14:paraId="451EE39C">
            <w:pPr>
              <w:pStyle w:val="13"/>
            </w:pPr>
            <w:r>
              <w:t>调查问卷</w:t>
            </w:r>
          </w:p>
        </w:tc>
      </w:tr>
    </w:tbl>
    <w:p w14:paraId="092FD946">
      <w:pPr>
        <w:sectPr>
          <w:pgSz w:w="16840" w:h="11900" w:orient="landscape"/>
          <w:pgMar w:top="1361" w:right="1020" w:bottom="1134" w:left="1020" w:header="720" w:footer="720" w:gutter="0"/>
          <w:cols w:space="720" w:num="1"/>
        </w:sectPr>
      </w:pPr>
    </w:p>
    <w:p w14:paraId="33A7A6CC">
      <w:pPr>
        <w:spacing w:before="0" w:after="0"/>
        <w:ind w:firstLine="560"/>
        <w:jc w:val="left"/>
        <w:outlineLvl w:val="9"/>
      </w:pPr>
      <w:r>
        <w:rPr>
          <w:rFonts w:ascii="方正仿宋_GBK" w:hAnsi="方正仿宋_GBK" w:eastAsia="方正仿宋_GBK" w:cs="方正仿宋_GBK"/>
          <w:b/>
          <w:color w:val="000000"/>
          <w:sz w:val="28"/>
        </w:rPr>
        <w:t>151、县级配套/隆尧县新星学校公用经费绩效目标表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27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CBFCD">
            <w:pPr>
              <w:pStyle w:val="14"/>
            </w:pPr>
            <w:r>
              <w:t>单位：万元</w:t>
            </w:r>
          </w:p>
        </w:tc>
      </w:tr>
      <w:tr w14:paraId="6297C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F612D">
            <w:pPr>
              <w:pStyle w:val="11"/>
            </w:pPr>
            <w:r>
              <w:t>项目编码</w:t>
            </w:r>
          </w:p>
        </w:tc>
        <w:tc>
          <w:tcPr>
            <w:tcW w:w="5103" w:type="dxa"/>
            <w:gridSpan w:val="2"/>
            <w:vAlign w:val="center"/>
          </w:tcPr>
          <w:p w14:paraId="4E0C83A8">
            <w:pPr>
              <w:pStyle w:val="13"/>
            </w:pPr>
            <w:r>
              <w:t>13052525P00000410019C</w:t>
            </w:r>
          </w:p>
        </w:tc>
        <w:tc>
          <w:tcPr>
            <w:tcW w:w="2835" w:type="dxa"/>
            <w:vAlign w:val="center"/>
          </w:tcPr>
          <w:p w14:paraId="1069D658">
            <w:pPr>
              <w:pStyle w:val="11"/>
            </w:pPr>
            <w:r>
              <w:t>项目名称</w:t>
            </w:r>
          </w:p>
        </w:tc>
        <w:tc>
          <w:tcPr>
            <w:tcW w:w="6095" w:type="dxa"/>
            <w:gridSpan w:val="3"/>
            <w:vAlign w:val="center"/>
          </w:tcPr>
          <w:p w14:paraId="13FD4124">
            <w:pPr>
              <w:pStyle w:val="13"/>
            </w:pPr>
            <w:r>
              <w:t>县级配套/隆尧县新星学校公用经费</w:t>
            </w:r>
            <w:r>
              <w:tab/>
            </w:r>
            <w:r>
              <w:tab/>
            </w:r>
            <w:r>
              <w:tab/>
            </w:r>
          </w:p>
        </w:tc>
      </w:tr>
      <w:tr w14:paraId="43F0B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4F6EA">
            <w:pPr>
              <w:pStyle w:val="11"/>
            </w:pPr>
            <w:r>
              <w:t>预算规模及资金用途</w:t>
            </w:r>
          </w:p>
        </w:tc>
        <w:tc>
          <w:tcPr>
            <w:tcW w:w="2268" w:type="dxa"/>
            <w:vAlign w:val="center"/>
          </w:tcPr>
          <w:p w14:paraId="2F12B885">
            <w:pPr>
              <w:pStyle w:val="11"/>
            </w:pPr>
            <w:r>
              <w:t>预算数</w:t>
            </w:r>
          </w:p>
        </w:tc>
        <w:tc>
          <w:tcPr>
            <w:tcW w:w="2835" w:type="dxa"/>
            <w:vAlign w:val="center"/>
          </w:tcPr>
          <w:p w14:paraId="56EA1D91">
            <w:pPr>
              <w:pStyle w:val="13"/>
            </w:pPr>
            <w:r>
              <w:t>17.56</w:t>
            </w:r>
          </w:p>
        </w:tc>
        <w:tc>
          <w:tcPr>
            <w:tcW w:w="2835" w:type="dxa"/>
            <w:vAlign w:val="center"/>
          </w:tcPr>
          <w:p w14:paraId="6A194AC3">
            <w:pPr>
              <w:pStyle w:val="11"/>
            </w:pPr>
            <w:r>
              <w:t>其中：财政    资金</w:t>
            </w:r>
          </w:p>
        </w:tc>
        <w:tc>
          <w:tcPr>
            <w:tcW w:w="2551" w:type="dxa"/>
            <w:vAlign w:val="center"/>
          </w:tcPr>
          <w:p w14:paraId="07637741">
            <w:pPr>
              <w:pStyle w:val="13"/>
            </w:pPr>
            <w:r>
              <w:t>17.56</w:t>
            </w:r>
          </w:p>
        </w:tc>
        <w:tc>
          <w:tcPr>
            <w:tcW w:w="2268" w:type="dxa"/>
            <w:vAlign w:val="center"/>
          </w:tcPr>
          <w:p w14:paraId="42E2EE07">
            <w:pPr>
              <w:pStyle w:val="11"/>
            </w:pPr>
            <w:r>
              <w:t>其他资金</w:t>
            </w:r>
          </w:p>
        </w:tc>
        <w:tc>
          <w:tcPr>
            <w:tcW w:w="1276" w:type="dxa"/>
            <w:vAlign w:val="center"/>
          </w:tcPr>
          <w:p w14:paraId="25A0EE25">
            <w:pPr>
              <w:pStyle w:val="13"/>
            </w:pPr>
            <w:r>
              <w:t xml:space="preserve"> </w:t>
            </w:r>
          </w:p>
        </w:tc>
      </w:tr>
      <w:tr w14:paraId="7AFB2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27A5E6"/>
        </w:tc>
        <w:tc>
          <w:tcPr>
            <w:tcW w:w="14033" w:type="dxa"/>
            <w:gridSpan w:val="6"/>
            <w:vAlign w:val="center"/>
          </w:tcPr>
          <w:p w14:paraId="588EE880">
            <w:pPr>
              <w:pStyle w:val="13"/>
            </w:pPr>
            <w:r>
              <w:t>保障义务教育学校正常运转，完成教育教学活动和其他日常工作任务等方面的费用支出。</w:t>
            </w:r>
          </w:p>
        </w:tc>
      </w:tr>
      <w:tr w14:paraId="60ACC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17C23">
            <w:pPr>
              <w:pStyle w:val="11"/>
            </w:pPr>
            <w:r>
              <w:t>资金支出计划（%）</w:t>
            </w:r>
          </w:p>
        </w:tc>
        <w:tc>
          <w:tcPr>
            <w:tcW w:w="5103" w:type="dxa"/>
            <w:gridSpan w:val="2"/>
            <w:vAlign w:val="center"/>
          </w:tcPr>
          <w:p w14:paraId="0D864DFC">
            <w:pPr>
              <w:pStyle w:val="11"/>
            </w:pPr>
            <w:r>
              <w:t>3月底</w:t>
            </w:r>
          </w:p>
        </w:tc>
        <w:tc>
          <w:tcPr>
            <w:tcW w:w="2835" w:type="dxa"/>
            <w:vAlign w:val="center"/>
          </w:tcPr>
          <w:p w14:paraId="7A7EE5C2">
            <w:pPr>
              <w:pStyle w:val="11"/>
            </w:pPr>
            <w:r>
              <w:t>6月底</w:t>
            </w:r>
          </w:p>
        </w:tc>
        <w:tc>
          <w:tcPr>
            <w:tcW w:w="2551" w:type="dxa"/>
            <w:vAlign w:val="center"/>
          </w:tcPr>
          <w:p w14:paraId="419381CE">
            <w:pPr>
              <w:pStyle w:val="11"/>
            </w:pPr>
            <w:r>
              <w:t>10月底</w:t>
            </w:r>
          </w:p>
        </w:tc>
        <w:tc>
          <w:tcPr>
            <w:tcW w:w="3544" w:type="dxa"/>
            <w:gridSpan w:val="2"/>
            <w:vAlign w:val="center"/>
          </w:tcPr>
          <w:p w14:paraId="3C7597B4">
            <w:pPr>
              <w:pStyle w:val="11"/>
            </w:pPr>
            <w:r>
              <w:t>12月底</w:t>
            </w:r>
          </w:p>
        </w:tc>
      </w:tr>
      <w:tr w14:paraId="39250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A4F262"/>
        </w:tc>
        <w:tc>
          <w:tcPr>
            <w:tcW w:w="5103" w:type="dxa"/>
            <w:gridSpan w:val="2"/>
            <w:vAlign w:val="center"/>
          </w:tcPr>
          <w:p w14:paraId="3B8CE8FB">
            <w:pPr>
              <w:pStyle w:val="12"/>
            </w:pPr>
            <w:r>
              <w:t xml:space="preserve"> </w:t>
            </w:r>
          </w:p>
        </w:tc>
        <w:tc>
          <w:tcPr>
            <w:tcW w:w="2835" w:type="dxa"/>
            <w:vAlign w:val="center"/>
          </w:tcPr>
          <w:p w14:paraId="47F4D804">
            <w:pPr>
              <w:pStyle w:val="12"/>
            </w:pPr>
            <w:r>
              <w:t xml:space="preserve"> </w:t>
            </w:r>
          </w:p>
        </w:tc>
        <w:tc>
          <w:tcPr>
            <w:tcW w:w="2551" w:type="dxa"/>
            <w:vAlign w:val="center"/>
          </w:tcPr>
          <w:p w14:paraId="7F53D2AF">
            <w:pPr>
              <w:pStyle w:val="12"/>
            </w:pPr>
            <w:r>
              <w:t xml:space="preserve"> </w:t>
            </w:r>
          </w:p>
        </w:tc>
        <w:tc>
          <w:tcPr>
            <w:tcW w:w="3544" w:type="dxa"/>
            <w:gridSpan w:val="2"/>
            <w:vAlign w:val="center"/>
          </w:tcPr>
          <w:p w14:paraId="64903357">
            <w:pPr>
              <w:pStyle w:val="12"/>
            </w:pPr>
            <w:r>
              <w:t>100%</w:t>
            </w:r>
          </w:p>
        </w:tc>
      </w:tr>
      <w:tr w14:paraId="161BA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526C2CA">
            <w:pPr>
              <w:pStyle w:val="11"/>
            </w:pPr>
            <w:r>
              <w:t>绩效目标</w:t>
            </w:r>
          </w:p>
        </w:tc>
        <w:tc>
          <w:tcPr>
            <w:tcW w:w="14033" w:type="dxa"/>
            <w:gridSpan w:val="6"/>
            <w:vAlign w:val="center"/>
          </w:tcPr>
          <w:p w14:paraId="77DF90B5">
            <w:pPr>
              <w:pStyle w:val="13"/>
            </w:pPr>
            <w:r>
              <w:t>1.保障义务教育学校正常运转，完成教育教学活动和其他日常工作任务等方面的费用支出。</w:t>
            </w:r>
          </w:p>
        </w:tc>
      </w:tr>
    </w:tbl>
    <w:p w14:paraId="56684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256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74C28">
            <w:pPr>
              <w:pStyle w:val="11"/>
            </w:pPr>
            <w:r>
              <w:t>一级指标</w:t>
            </w:r>
          </w:p>
        </w:tc>
        <w:tc>
          <w:tcPr>
            <w:tcW w:w="2268" w:type="dxa"/>
            <w:vAlign w:val="center"/>
          </w:tcPr>
          <w:p w14:paraId="791D0C11">
            <w:pPr>
              <w:pStyle w:val="11"/>
            </w:pPr>
            <w:r>
              <w:t>二级指标</w:t>
            </w:r>
          </w:p>
        </w:tc>
        <w:tc>
          <w:tcPr>
            <w:tcW w:w="2835" w:type="dxa"/>
            <w:vAlign w:val="center"/>
          </w:tcPr>
          <w:p w14:paraId="55865AA5">
            <w:pPr>
              <w:pStyle w:val="11"/>
            </w:pPr>
            <w:r>
              <w:t>三级指标</w:t>
            </w:r>
          </w:p>
        </w:tc>
        <w:tc>
          <w:tcPr>
            <w:tcW w:w="5386" w:type="dxa"/>
            <w:vAlign w:val="center"/>
          </w:tcPr>
          <w:p w14:paraId="08965E28">
            <w:pPr>
              <w:pStyle w:val="11"/>
            </w:pPr>
            <w:r>
              <w:t>绩效指标描述</w:t>
            </w:r>
          </w:p>
        </w:tc>
        <w:tc>
          <w:tcPr>
            <w:tcW w:w="2268" w:type="dxa"/>
            <w:vAlign w:val="center"/>
          </w:tcPr>
          <w:p w14:paraId="78AD4394">
            <w:pPr>
              <w:pStyle w:val="11"/>
            </w:pPr>
            <w:r>
              <w:t>指标值</w:t>
            </w:r>
          </w:p>
        </w:tc>
        <w:tc>
          <w:tcPr>
            <w:tcW w:w="1276" w:type="dxa"/>
            <w:vAlign w:val="center"/>
          </w:tcPr>
          <w:p w14:paraId="44704429">
            <w:pPr>
              <w:pStyle w:val="11"/>
            </w:pPr>
            <w:r>
              <w:t>指标值确定依据</w:t>
            </w:r>
          </w:p>
        </w:tc>
      </w:tr>
      <w:tr w14:paraId="448F7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41417">
            <w:pPr>
              <w:pStyle w:val="12"/>
            </w:pPr>
            <w:r>
              <w:t>产出指标</w:t>
            </w:r>
          </w:p>
        </w:tc>
        <w:tc>
          <w:tcPr>
            <w:tcW w:w="2268" w:type="dxa"/>
            <w:vAlign w:val="center"/>
          </w:tcPr>
          <w:p w14:paraId="5E4B1035">
            <w:pPr>
              <w:pStyle w:val="13"/>
            </w:pPr>
            <w:r>
              <w:t>数量指标</w:t>
            </w:r>
          </w:p>
        </w:tc>
        <w:tc>
          <w:tcPr>
            <w:tcW w:w="2835" w:type="dxa"/>
            <w:vAlign w:val="center"/>
          </w:tcPr>
          <w:p w14:paraId="1FA5797F">
            <w:pPr>
              <w:pStyle w:val="13"/>
            </w:pPr>
            <w:r>
              <w:t>适龄在校生</w:t>
            </w:r>
          </w:p>
        </w:tc>
        <w:tc>
          <w:tcPr>
            <w:tcW w:w="5386" w:type="dxa"/>
            <w:vAlign w:val="center"/>
          </w:tcPr>
          <w:p w14:paraId="2AA3D13F">
            <w:pPr>
              <w:pStyle w:val="13"/>
            </w:pPr>
            <w:r>
              <w:t>适龄在校就读学生人数</w:t>
            </w:r>
          </w:p>
        </w:tc>
        <w:tc>
          <w:tcPr>
            <w:tcW w:w="2268" w:type="dxa"/>
            <w:vAlign w:val="center"/>
          </w:tcPr>
          <w:p w14:paraId="356DF7EB">
            <w:pPr>
              <w:pStyle w:val="13"/>
            </w:pPr>
            <w:r>
              <w:t>308人</w:t>
            </w:r>
          </w:p>
        </w:tc>
        <w:tc>
          <w:tcPr>
            <w:tcW w:w="1276" w:type="dxa"/>
            <w:vAlign w:val="center"/>
          </w:tcPr>
          <w:p w14:paraId="3ABABE2C">
            <w:pPr>
              <w:pStyle w:val="13"/>
            </w:pPr>
            <w:r>
              <w:t>城乡义务教育公用经费管理办法</w:t>
            </w:r>
          </w:p>
        </w:tc>
      </w:tr>
      <w:tr w14:paraId="2EAE9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2EA6C"/>
        </w:tc>
        <w:tc>
          <w:tcPr>
            <w:tcW w:w="2268" w:type="dxa"/>
            <w:vAlign w:val="center"/>
          </w:tcPr>
          <w:p w14:paraId="09117D9F">
            <w:pPr>
              <w:pStyle w:val="13"/>
            </w:pPr>
            <w:r>
              <w:t>质量指标</w:t>
            </w:r>
          </w:p>
        </w:tc>
        <w:tc>
          <w:tcPr>
            <w:tcW w:w="2835" w:type="dxa"/>
            <w:vAlign w:val="center"/>
          </w:tcPr>
          <w:p w14:paraId="55A2A78B">
            <w:pPr>
              <w:pStyle w:val="13"/>
            </w:pPr>
            <w:r>
              <w:t>预算控制率</w:t>
            </w:r>
          </w:p>
        </w:tc>
        <w:tc>
          <w:tcPr>
            <w:tcW w:w="5386" w:type="dxa"/>
            <w:vAlign w:val="center"/>
          </w:tcPr>
          <w:p w14:paraId="31D094FC">
            <w:pPr>
              <w:pStyle w:val="13"/>
            </w:pPr>
            <w:r>
              <w:t>预算执行</w:t>
            </w:r>
          </w:p>
        </w:tc>
        <w:tc>
          <w:tcPr>
            <w:tcW w:w="2268" w:type="dxa"/>
            <w:vAlign w:val="center"/>
          </w:tcPr>
          <w:p w14:paraId="0B2D6341">
            <w:pPr>
              <w:pStyle w:val="13"/>
            </w:pPr>
            <w:r>
              <w:t>≥95%</w:t>
            </w:r>
          </w:p>
        </w:tc>
        <w:tc>
          <w:tcPr>
            <w:tcW w:w="1276" w:type="dxa"/>
            <w:vAlign w:val="center"/>
          </w:tcPr>
          <w:p w14:paraId="41BA72E6">
            <w:pPr>
              <w:pStyle w:val="13"/>
            </w:pPr>
            <w:r>
              <w:t>城乡义务教育公用经费管理办法</w:t>
            </w:r>
          </w:p>
        </w:tc>
      </w:tr>
      <w:tr w14:paraId="695A0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9F3FB"/>
        </w:tc>
        <w:tc>
          <w:tcPr>
            <w:tcW w:w="2268" w:type="dxa"/>
            <w:vAlign w:val="center"/>
          </w:tcPr>
          <w:p w14:paraId="73FEC1D0">
            <w:pPr>
              <w:pStyle w:val="13"/>
            </w:pPr>
            <w:r>
              <w:t>时效指标</w:t>
            </w:r>
          </w:p>
        </w:tc>
        <w:tc>
          <w:tcPr>
            <w:tcW w:w="2835" w:type="dxa"/>
            <w:vAlign w:val="center"/>
          </w:tcPr>
          <w:p w14:paraId="54F3267A">
            <w:pPr>
              <w:pStyle w:val="13"/>
            </w:pPr>
            <w:r>
              <w:t>资金支付率</w:t>
            </w:r>
          </w:p>
        </w:tc>
        <w:tc>
          <w:tcPr>
            <w:tcW w:w="5386" w:type="dxa"/>
            <w:vAlign w:val="center"/>
          </w:tcPr>
          <w:p w14:paraId="6E05FF30">
            <w:pPr>
              <w:pStyle w:val="13"/>
            </w:pPr>
            <w:r>
              <w:t>按照序时进度完成资金支付</w:t>
            </w:r>
          </w:p>
        </w:tc>
        <w:tc>
          <w:tcPr>
            <w:tcW w:w="2268" w:type="dxa"/>
            <w:vAlign w:val="center"/>
          </w:tcPr>
          <w:p w14:paraId="730E70D2">
            <w:pPr>
              <w:pStyle w:val="13"/>
            </w:pPr>
            <w:r>
              <w:t>≥100%</w:t>
            </w:r>
          </w:p>
        </w:tc>
        <w:tc>
          <w:tcPr>
            <w:tcW w:w="1276" w:type="dxa"/>
            <w:vAlign w:val="center"/>
          </w:tcPr>
          <w:p w14:paraId="57CE3E24">
            <w:pPr>
              <w:pStyle w:val="13"/>
            </w:pPr>
            <w:r>
              <w:t>城乡义务教育公用经费管理办法</w:t>
            </w:r>
          </w:p>
        </w:tc>
      </w:tr>
      <w:tr w14:paraId="2AFDD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6F63F"/>
        </w:tc>
        <w:tc>
          <w:tcPr>
            <w:tcW w:w="2268" w:type="dxa"/>
            <w:vAlign w:val="center"/>
          </w:tcPr>
          <w:p w14:paraId="3AA5C847">
            <w:pPr>
              <w:pStyle w:val="13"/>
            </w:pPr>
            <w:r>
              <w:t>成本指标</w:t>
            </w:r>
          </w:p>
        </w:tc>
        <w:tc>
          <w:tcPr>
            <w:tcW w:w="2835" w:type="dxa"/>
            <w:vAlign w:val="center"/>
          </w:tcPr>
          <w:p w14:paraId="27311D92">
            <w:pPr>
              <w:pStyle w:val="13"/>
            </w:pPr>
            <w:r>
              <w:t>生均拨款标准</w:t>
            </w:r>
          </w:p>
        </w:tc>
        <w:tc>
          <w:tcPr>
            <w:tcW w:w="5386" w:type="dxa"/>
            <w:vAlign w:val="center"/>
          </w:tcPr>
          <w:p w14:paraId="55D76B61">
            <w:pPr>
              <w:pStyle w:val="13"/>
            </w:pPr>
            <w:r>
              <w:t>小学：（基本标准720元、寄宿生300元、取暖120元）/生/学年；随班就读学生：标准6000元/生/学年。</w:t>
            </w:r>
          </w:p>
        </w:tc>
        <w:tc>
          <w:tcPr>
            <w:tcW w:w="2268" w:type="dxa"/>
            <w:vAlign w:val="center"/>
          </w:tcPr>
          <w:p w14:paraId="41D55470">
            <w:pPr>
              <w:pStyle w:val="13"/>
            </w:pPr>
            <w:r>
              <w:t>175560元</w:t>
            </w:r>
          </w:p>
        </w:tc>
        <w:tc>
          <w:tcPr>
            <w:tcW w:w="1276" w:type="dxa"/>
            <w:vAlign w:val="center"/>
          </w:tcPr>
          <w:p w14:paraId="2CE22822">
            <w:pPr>
              <w:pStyle w:val="13"/>
            </w:pPr>
            <w:r>
              <w:t>城乡义务教育公用经费管理办法</w:t>
            </w:r>
          </w:p>
        </w:tc>
      </w:tr>
      <w:tr w14:paraId="78E3A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201F26">
            <w:pPr>
              <w:pStyle w:val="12"/>
            </w:pPr>
            <w:r>
              <w:t>效益指标</w:t>
            </w:r>
          </w:p>
        </w:tc>
        <w:tc>
          <w:tcPr>
            <w:tcW w:w="2268" w:type="dxa"/>
            <w:vAlign w:val="center"/>
          </w:tcPr>
          <w:p w14:paraId="07BC0D8C">
            <w:pPr>
              <w:pStyle w:val="13"/>
            </w:pPr>
            <w:r>
              <w:t>可持续影响指标</w:t>
            </w:r>
          </w:p>
        </w:tc>
        <w:tc>
          <w:tcPr>
            <w:tcW w:w="2835" w:type="dxa"/>
            <w:vAlign w:val="center"/>
          </w:tcPr>
          <w:p w14:paraId="064BAF38">
            <w:pPr>
              <w:pStyle w:val="13"/>
            </w:pPr>
            <w:r>
              <w:t>教育发展水平明显好转</w:t>
            </w:r>
          </w:p>
        </w:tc>
        <w:tc>
          <w:tcPr>
            <w:tcW w:w="5386" w:type="dxa"/>
            <w:vAlign w:val="center"/>
          </w:tcPr>
          <w:p w14:paraId="7A68F06F">
            <w:pPr>
              <w:pStyle w:val="13"/>
            </w:pPr>
            <w:r>
              <w:t>学生受教育年限</w:t>
            </w:r>
          </w:p>
        </w:tc>
        <w:tc>
          <w:tcPr>
            <w:tcW w:w="2268" w:type="dxa"/>
            <w:vAlign w:val="center"/>
          </w:tcPr>
          <w:p w14:paraId="1AB01B6C">
            <w:pPr>
              <w:pStyle w:val="13"/>
            </w:pPr>
            <w:r>
              <w:t>6年</w:t>
            </w:r>
          </w:p>
        </w:tc>
        <w:tc>
          <w:tcPr>
            <w:tcW w:w="1276" w:type="dxa"/>
            <w:vAlign w:val="center"/>
          </w:tcPr>
          <w:p w14:paraId="2E30C992">
            <w:pPr>
              <w:pStyle w:val="13"/>
            </w:pPr>
            <w:r>
              <w:t>城乡义务教育公用经费管理办法</w:t>
            </w:r>
          </w:p>
        </w:tc>
      </w:tr>
      <w:tr w14:paraId="19703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43991A">
            <w:pPr>
              <w:pStyle w:val="12"/>
            </w:pPr>
            <w:r>
              <w:t>满意度指标</w:t>
            </w:r>
          </w:p>
        </w:tc>
        <w:tc>
          <w:tcPr>
            <w:tcW w:w="2268" w:type="dxa"/>
            <w:vAlign w:val="center"/>
          </w:tcPr>
          <w:p w14:paraId="59EDB601">
            <w:pPr>
              <w:pStyle w:val="13"/>
            </w:pPr>
            <w:r>
              <w:t>服务对象满意度指标</w:t>
            </w:r>
          </w:p>
        </w:tc>
        <w:tc>
          <w:tcPr>
            <w:tcW w:w="2835" w:type="dxa"/>
            <w:vAlign w:val="center"/>
          </w:tcPr>
          <w:p w14:paraId="3E962358">
            <w:pPr>
              <w:pStyle w:val="13"/>
            </w:pPr>
            <w:r>
              <w:t>受益学生家长及调查满意度</w:t>
            </w:r>
          </w:p>
        </w:tc>
        <w:tc>
          <w:tcPr>
            <w:tcW w:w="5386" w:type="dxa"/>
            <w:vAlign w:val="center"/>
          </w:tcPr>
          <w:p w14:paraId="4FE8FDAA">
            <w:pPr>
              <w:pStyle w:val="13"/>
            </w:pPr>
            <w:r>
              <w:t>学生、教师及家长对学校教育教学工作满意度情况</w:t>
            </w:r>
          </w:p>
        </w:tc>
        <w:tc>
          <w:tcPr>
            <w:tcW w:w="2268" w:type="dxa"/>
            <w:vAlign w:val="center"/>
          </w:tcPr>
          <w:p w14:paraId="7374E142">
            <w:pPr>
              <w:pStyle w:val="13"/>
            </w:pPr>
            <w:r>
              <w:t>≥95%</w:t>
            </w:r>
          </w:p>
        </w:tc>
        <w:tc>
          <w:tcPr>
            <w:tcW w:w="1276" w:type="dxa"/>
            <w:vAlign w:val="center"/>
          </w:tcPr>
          <w:p w14:paraId="1732C9D4">
            <w:pPr>
              <w:pStyle w:val="13"/>
            </w:pPr>
            <w:r>
              <w:t>调查问卷</w:t>
            </w:r>
          </w:p>
        </w:tc>
      </w:tr>
    </w:tbl>
    <w:p w14:paraId="290F9782">
      <w:pPr>
        <w:sectPr>
          <w:pgSz w:w="16840" w:h="11900" w:orient="landscape"/>
          <w:pgMar w:top="1361" w:right="1020" w:bottom="1134" w:left="1020" w:header="720" w:footer="720" w:gutter="0"/>
          <w:cols w:space="720" w:num="1"/>
        </w:sectPr>
      </w:pPr>
    </w:p>
    <w:p w14:paraId="6BFB62C9">
      <w:pPr>
        <w:spacing w:before="0" w:after="0"/>
        <w:ind w:firstLine="560"/>
        <w:jc w:val="left"/>
        <w:outlineLvl w:val="9"/>
      </w:pPr>
      <w:r>
        <w:rPr>
          <w:rFonts w:ascii="方正仿宋_GBK" w:hAnsi="方正仿宋_GBK" w:eastAsia="方正仿宋_GBK" w:cs="方正仿宋_GBK"/>
          <w:b/>
          <w:color w:val="000000"/>
          <w:sz w:val="28"/>
        </w:rPr>
        <w:t>152、县级配套/隆尧县杨村东方小学公用经费绩效目标表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1A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4547E">
            <w:pPr>
              <w:pStyle w:val="14"/>
            </w:pPr>
            <w:r>
              <w:t>单位：万元</w:t>
            </w:r>
          </w:p>
        </w:tc>
      </w:tr>
      <w:tr w14:paraId="5D1A4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2878FE08">
            <w:pPr>
              <w:pStyle w:val="11"/>
            </w:pPr>
            <w:r>
              <w:t>项目编码</w:t>
            </w:r>
          </w:p>
        </w:tc>
        <w:tc>
          <w:tcPr>
            <w:tcW w:w="5103" w:type="dxa"/>
            <w:gridSpan w:val="2"/>
            <w:vAlign w:val="center"/>
          </w:tcPr>
          <w:p w14:paraId="248DCF56">
            <w:pPr>
              <w:pStyle w:val="13"/>
            </w:pPr>
            <w:r>
              <w:t>13052525P00000410018Q</w:t>
            </w:r>
          </w:p>
        </w:tc>
        <w:tc>
          <w:tcPr>
            <w:tcW w:w="2835" w:type="dxa"/>
            <w:vAlign w:val="center"/>
          </w:tcPr>
          <w:p w14:paraId="7BC5790D">
            <w:pPr>
              <w:pStyle w:val="11"/>
            </w:pPr>
            <w:r>
              <w:t>项目名称</w:t>
            </w:r>
          </w:p>
        </w:tc>
        <w:tc>
          <w:tcPr>
            <w:tcW w:w="6095" w:type="dxa"/>
            <w:gridSpan w:val="3"/>
            <w:vAlign w:val="center"/>
          </w:tcPr>
          <w:p w14:paraId="491E6635">
            <w:pPr>
              <w:pStyle w:val="13"/>
            </w:pPr>
            <w:r>
              <w:t>县级配套/隆尧县杨村东方小学公用经费</w:t>
            </w:r>
            <w:r>
              <w:tab/>
            </w:r>
            <w:r>
              <w:tab/>
            </w:r>
            <w:r>
              <w:tab/>
            </w:r>
          </w:p>
        </w:tc>
      </w:tr>
      <w:tr w14:paraId="61D59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0F90B">
            <w:pPr>
              <w:pStyle w:val="11"/>
            </w:pPr>
            <w:r>
              <w:t>预算规模及资金用途</w:t>
            </w:r>
          </w:p>
        </w:tc>
        <w:tc>
          <w:tcPr>
            <w:tcW w:w="2268" w:type="dxa"/>
            <w:vAlign w:val="center"/>
          </w:tcPr>
          <w:p w14:paraId="47109053">
            <w:pPr>
              <w:pStyle w:val="11"/>
            </w:pPr>
            <w:r>
              <w:t>预算数</w:t>
            </w:r>
          </w:p>
        </w:tc>
        <w:tc>
          <w:tcPr>
            <w:tcW w:w="2835" w:type="dxa"/>
            <w:vAlign w:val="center"/>
          </w:tcPr>
          <w:p w14:paraId="6C269E1F">
            <w:pPr>
              <w:pStyle w:val="13"/>
            </w:pPr>
            <w:r>
              <w:t>6.67</w:t>
            </w:r>
          </w:p>
        </w:tc>
        <w:tc>
          <w:tcPr>
            <w:tcW w:w="2835" w:type="dxa"/>
            <w:vAlign w:val="center"/>
          </w:tcPr>
          <w:p w14:paraId="51C527FD">
            <w:pPr>
              <w:pStyle w:val="11"/>
            </w:pPr>
            <w:r>
              <w:t>其中：财政    资金</w:t>
            </w:r>
          </w:p>
        </w:tc>
        <w:tc>
          <w:tcPr>
            <w:tcW w:w="2551" w:type="dxa"/>
            <w:vAlign w:val="center"/>
          </w:tcPr>
          <w:p w14:paraId="3BE788B6">
            <w:pPr>
              <w:pStyle w:val="13"/>
            </w:pPr>
            <w:r>
              <w:t>6.67</w:t>
            </w:r>
          </w:p>
        </w:tc>
        <w:tc>
          <w:tcPr>
            <w:tcW w:w="2268" w:type="dxa"/>
            <w:vAlign w:val="center"/>
          </w:tcPr>
          <w:p w14:paraId="07E4E2BF">
            <w:pPr>
              <w:pStyle w:val="11"/>
            </w:pPr>
            <w:r>
              <w:t>其他资金</w:t>
            </w:r>
          </w:p>
        </w:tc>
        <w:tc>
          <w:tcPr>
            <w:tcW w:w="1276" w:type="dxa"/>
            <w:vAlign w:val="center"/>
          </w:tcPr>
          <w:p w14:paraId="5A1938C0">
            <w:pPr>
              <w:pStyle w:val="13"/>
            </w:pPr>
            <w:r>
              <w:t xml:space="preserve"> </w:t>
            </w:r>
          </w:p>
        </w:tc>
      </w:tr>
      <w:tr w14:paraId="21BD5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E47EF8"/>
        </w:tc>
        <w:tc>
          <w:tcPr>
            <w:tcW w:w="14033" w:type="dxa"/>
            <w:gridSpan w:val="6"/>
            <w:vAlign w:val="center"/>
          </w:tcPr>
          <w:p w14:paraId="1A9FBBAD">
            <w:pPr>
              <w:pStyle w:val="13"/>
            </w:pPr>
            <w:r>
              <w:t>保障义务教育学校正常运转，完成教育教学活动和其他日常工作任务等方面的费用支出。</w:t>
            </w:r>
          </w:p>
        </w:tc>
      </w:tr>
      <w:tr w14:paraId="6C8AF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E51EE">
            <w:pPr>
              <w:pStyle w:val="11"/>
            </w:pPr>
            <w:r>
              <w:t>资金支出计划（%）</w:t>
            </w:r>
          </w:p>
        </w:tc>
        <w:tc>
          <w:tcPr>
            <w:tcW w:w="5103" w:type="dxa"/>
            <w:gridSpan w:val="2"/>
            <w:vAlign w:val="center"/>
          </w:tcPr>
          <w:p w14:paraId="6EDFC140">
            <w:pPr>
              <w:pStyle w:val="11"/>
            </w:pPr>
            <w:r>
              <w:t>3月底</w:t>
            </w:r>
          </w:p>
        </w:tc>
        <w:tc>
          <w:tcPr>
            <w:tcW w:w="2835" w:type="dxa"/>
            <w:vAlign w:val="center"/>
          </w:tcPr>
          <w:p w14:paraId="2F7A286D">
            <w:pPr>
              <w:pStyle w:val="11"/>
            </w:pPr>
            <w:r>
              <w:t>6月底</w:t>
            </w:r>
          </w:p>
        </w:tc>
        <w:tc>
          <w:tcPr>
            <w:tcW w:w="2551" w:type="dxa"/>
            <w:vAlign w:val="center"/>
          </w:tcPr>
          <w:p w14:paraId="7F9F5658">
            <w:pPr>
              <w:pStyle w:val="11"/>
            </w:pPr>
            <w:r>
              <w:t>10月底</w:t>
            </w:r>
          </w:p>
        </w:tc>
        <w:tc>
          <w:tcPr>
            <w:tcW w:w="3544" w:type="dxa"/>
            <w:gridSpan w:val="2"/>
            <w:vAlign w:val="center"/>
          </w:tcPr>
          <w:p w14:paraId="02F2F49E">
            <w:pPr>
              <w:pStyle w:val="11"/>
            </w:pPr>
            <w:r>
              <w:t>12月底</w:t>
            </w:r>
          </w:p>
        </w:tc>
      </w:tr>
      <w:tr w14:paraId="6C9DC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311FA2"/>
        </w:tc>
        <w:tc>
          <w:tcPr>
            <w:tcW w:w="5103" w:type="dxa"/>
            <w:gridSpan w:val="2"/>
            <w:vAlign w:val="center"/>
          </w:tcPr>
          <w:p w14:paraId="03B68432">
            <w:pPr>
              <w:pStyle w:val="12"/>
            </w:pPr>
            <w:r>
              <w:t xml:space="preserve"> </w:t>
            </w:r>
          </w:p>
        </w:tc>
        <w:tc>
          <w:tcPr>
            <w:tcW w:w="2835" w:type="dxa"/>
            <w:vAlign w:val="center"/>
          </w:tcPr>
          <w:p w14:paraId="1EEF25A4">
            <w:pPr>
              <w:pStyle w:val="12"/>
            </w:pPr>
            <w:r>
              <w:t xml:space="preserve"> </w:t>
            </w:r>
          </w:p>
        </w:tc>
        <w:tc>
          <w:tcPr>
            <w:tcW w:w="2551" w:type="dxa"/>
            <w:vAlign w:val="center"/>
          </w:tcPr>
          <w:p w14:paraId="45EB50A0">
            <w:pPr>
              <w:pStyle w:val="12"/>
            </w:pPr>
            <w:r>
              <w:t xml:space="preserve"> </w:t>
            </w:r>
          </w:p>
        </w:tc>
        <w:tc>
          <w:tcPr>
            <w:tcW w:w="3544" w:type="dxa"/>
            <w:gridSpan w:val="2"/>
            <w:vAlign w:val="center"/>
          </w:tcPr>
          <w:p w14:paraId="71B01088">
            <w:pPr>
              <w:pStyle w:val="12"/>
            </w:pPr>
            <w:r>
              <w:t>100%</w:t>
            </w:r>
          </w:p>
        </w:tc>
      </w:tr>
      <w:tr w14:paraId="5E9BD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B7EB21">
            <w:pPr>
              <w:pStyle w:val="11"/>
            </w:pPr>
            <w:r>
              <w:t>绩效目标</w:t>
            </w:r>
          </w:p>
        </w:tc>
        <w:tc>
          <w:tcPr>
            <w:tcW w:w="14033" w:type="dxa"/>
            <w:gridSpan w:val="6"/>
            <w:vAlign w:val="center"/>
          </w:tcPr>
          <w:p w14:paraId="459D429E">
            <w:pPr>
              <w:pStyle w:val="13"/>
            </w:pPr>
            <w:r>
              <w:t>1.保障义务教育学校正常运转，完成教育教学活动和其他日常工作任务等方面的费用支出。</w:t>
            </w:r>
          </w:p>
        </w:tc>
      </w:tr>
    </w:tbl>
    <w:p w14:paraId="331E79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23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5959A">
            <w:pPr>
              <w:pStyle w:val="11"/>
            </w:pPr>
            <w:r>
              <w:t>一级指标</w:t>
            </w:r>
          </w:p>
        </w:tc>
        <w:tc>
          <w:tcPr>
            <w:tcW w:w="2268" w:type="dxa"/>
            <w:vAlign w:val="center"/>
          </w:tcPr>
          <w:p w14:paraId="2E579233">
            <w:pPr>
              <w:pStyle w:val="11"/>
            </w:pPr>
            <w:r>
              <w:t>二级指标</w:t>
            </w:r>
          </w:p>
        </w:tc>
        <w:tc>
          <w:tcPr>
            <w:tcW w:w="2835" w:type="dxa"/>
            <w:vAlign w:val="center"/>
          </w:tcPr>
          <w:p w14:paraId="3820D5E2">
            <w:pPr>
              <w:pStyle w:val="11"/>
            </w:pPr>
            <w:r>
              <w:t>三级指标</w:t>
            </w:r>
          </w:p>
        </w:tc>
        <w:tc>
          <w:tcPr>
            <w:tcW w:w="5386" w:type="dxa"/>
            <w:vAlign w:val="center"/>
          </w:tcPr>
          <w:p w14:paraId="30AA7EAB">
            <w:pPr>
              <w:pStyle w:val="11"/>
            </w:pPr>
            <w:r>
              <w:t>绩效指标描述</w:t>
            </w:r>
          </w:p>
        </w:tc>
        <w:tc>
          <w:tcPr>
            <w:tcW w:w="2268" w:type="dxa"/>
            <w:vAlign w:val="center"/>
          </w:tcPr>
          <w:p w14:paraId="5CEFB09D">
            <w:pPr>
              <w:pStyle w:val="11"/>
            </w:pPr>
            <w:r>
              <w:t>指标值</w:t>
            </w:r>
          </w:p>
        </w:tc>
        <w:tc>
          <w:tcPr>
            <w:tcW w:w="1276" w:type="dxa"/>
            <w:vAlign w:val="center"/>
          </w:tcPr>
          <w:p w14:paraId="5D375FD0">
            <w:pPr>
              <w:pStyle w:val="11"/>
            </w:pPr>
            <w:r>
              <w:t>指标值确定依据</w:t>
            </w:r>
          </w:p>
        </w:tc>
      </w:tr>
      <w:tr w14:paraId="3A298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B9A73">
            <w:pPr>
              <w:pStyle w:val="12"/>
            </w:pPr>
            <w:r>
              <w:t>产出指标</w:t>
            </w:r>
          </w:p>
        </w:tc>
        <w:tc>
          <w:tcPr>
            <w:tcW w:w="2268" w:type="dxa"/>
            <w:vAlign w:val="center"/>
          </w:tcPr>
          <w:p w14:paraId="6D4EFD25">
            <w:pPr>
              <w:pStyle w:val="13"/>
            </w:pPr>
            <w:r>
              <w:t>数量指标</w:t>
            </w:r>
          </w:p>
        </w:tc>
        <w:tc>
          <w:tcPr>
            <w:tcW w:w="2835" w:type="dxa"/>
            <w:vAlign w:val="center"/>
          </w:tcPr>
          <w:p w14:paraId="10E7E579">
            <w:pPr>
              <w:pStyle w:val="13"/>
            </w:pPr>
            <w:r>
              <w:t>适龄在校生</w:t>
            </w:r>
          </w:p>
        </w:tc>
        <w:tc>
          <w:tcPr>
            <w:tcW w:w="5386" w:type="dxa"/>
            <w:vAlign w:val="center"/>
          </w:tcPr>
          <w:p w14:paraId="0D507C3B">
            <w:pPr>
              <w:pStyle w:val="13"/>
            </w:pPr>
            <w:r>
              <w:t>适龄在校就读学生人数</w:t>
            </w:r>
          </w:p>
        </w:tc>
        <w:tc>
          <w:tcPr>
            <w:tcW w:w="2268" w:type="dxa"/>
            <w:vAlign w:val="center"/>
          </w:tcPr>
          <w:p w14:paraId="144A1B95">
            <w:pPr>
              <w:pStyle w:val="13"/>
            </w:pPr>
            <w:r>
              <w:t>117人</w:t>
            </w:r>
          </w:p>
        </w:tc>
        <w:tc>
          <w:tcPr>
            <w:tcW w:w="1276" w:type="dxa"/>
            <w:vAlign w:val="center"/>
          </w:tcPr>
          <w:p w14:paraId="573718D9">
            <w:pPr>
              <w:pStyle w:val="13"/>
            </w:pPr>
            <w:r>
              <w:t>城乡义务教育公用经费管理办法</w:t>
            </w:r>
          </w:p>
        </w:tc>
      </w:tr>
      <w:tr w14:paraId="25C7F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58C81"/>
        </w:tc>
        <w:tc>
          <w:tcPr>
            <w:tcW w:w="2268" w:type="dxa"/>
            <w:vAlign w:val="center"/>
          </w:tcPr>
          <w:p w14:paraId="7BB4F3F8">
            <w:pPr>
              <w:pStyle w:val="13"/>
            </w:pPr>
            <w:r>
              <w:t>质量指标</w:t>
            </w:r>
          </w:p>
        </w:tc>
        <w:tc>
          <w:tcPr>
            <w:tcW w:w="2835" w:type="dxa"/>
            <w:vAlign w:val="center"/>
          </w:tcPr>
          <w:p w14:paraId="5AA88323">
            <w:pPr>
              <w:pStyle w:val="13"/>
            </w:pPr>
            <w:r>
              <w:t>预算控制率</w:t>
            </w:r>
          </w:p>
        </w:tc>
        <w:tc>
          <w:tcPr>
            <w:tcW w:w="5386" w:type="dxa"/>
            <w:vAlign w:val="center"/>
          </w:tcPr>
          <w:p w14:paraId="6D516188">
            <w:pPr>
              <w:pStyle w:val="13"/>
            </w:pPr>
            <w:r>
              <w:t>预算执行</w:t>
            </w:r>
          </w:p>
        </w:tc>
        <w:tc>
          <w:tcPr>
            <w:tcW w:w="2268" w:type="dxa"/>
            <w:vAlign w:val="center"/>
          </w:tcPr>
          <w:p w14:paraId="3D431A4D">
            <w:pPr>
              <w:pStyle w:val="13"/>
            </w:pPr>
            <w:r>
              <w:t>≥95%</w:t>
            </w:r>
          </w:p>
        </w:tc>
        <w:tc>
          <w:tcPr>
            <w:tcW w:w="1276" w:type="dxa"/>
            <w:vAlign w:val="center"/>
          </w:tcPr>
          <w:p w14:paraId="02183936">
            <w:pPr>
              <w:pStyle w:val="13"/>
            </w:pPr>
            <w:r>
              <w:t>城乡义务教育公用经费管理办法</w:t>
            </w:r>
          </w:p>
        </w:tc>
      </w:tr>
      <w:tr w14:paraId="3EAA0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608CD"/>
        </w:tc>
        <w:tc>
          <w:tcPr>
            <w:tcW w:w="2268" w:type="dxa"/>
            <w:vAlign w:val="center"/>
          </w:tcPr>
          <w:p w14:paraId="560ED8AE">
            <w:pPr>
              <w:pStyle w:val="13"/>
            </w:pPr>
            <w:r>
              <w:t>时效指标</w:t>
            </w:r>
          </w:p>
        </w:tc>
        <w:tc>
          <w:tcPr>
            <w:tcW w:w="2835" w:type="dxa"/>
            <w:vAlign w:val="center"/>
          </w:tcPr>
          <w:p w14:paraId="68E2717B">
            <w:pPr>
              <w:pStyle w:val="13"/>
            </w:pPr>
            <w:r>
              <w:t>资金支付率</w:t>
            </w:r>
          </w:p>
        </w:tc>
        <w:tc>
          <w:tcPr>
            <w:tcW w:w="5386" w:type="dxa"/>
            <w:vAlign w:val="center"/>
          </w:tcPr>
          <w:p w14:paraId="364D53C4">
            <w:pPr>
              <w:pStyle w:val="13"/>
            </w:pPr>
            <w:r>
              <w:t>按照序时进度完成资金支付</w:t>
            </w:r>
          </w:p>
        </w:tc>
        <w:tc>
          <w:tcPr>
            <w:tcW w:w="2268" w:type="dxa"/>
            <w:vAlign w:val="center"/>
          </w:tcPr>
          <w:p w14:paraId="142F2CED">
            <w:pPr>
              <w:pStyle w:val="13"/>
            </w:pPr>
            <w:r>
              <w:t>≥100%</w:t>
            </w:r>
          </w:p>
        </w:tc>
        <w:tc>
          <w:tcPr>
            <w:tcW w:w="1276" w:type="dxa"/>
            <w:vAlign w:val="center"/>
          </w:tcPr>
          <w:p w14:paraId="2FADA71C">
            <w:pPr>
              <w:pStyle w:val="13"/>
            </w:pPr>
            <w:r>
              <w:t>城乡义务教育公用经费管理办法</w:t>
            </w:r>
          </w:p>
        </w:tc>
      </w:tr>
      <w:tr w14:paraId="6512F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09D5D"/>
        </w:tc>
        <w:tc>
          <w:tcPr>
            <w:tcW w:w="2268" w:type="dxa"/>
            <w:vAlign w:val="center"/>
          </w:tcPr>
          <w:p w14:paraId="197E02B7">
            <w:pPr>
              <w:pStyle w:val="13"/>
            </w:pPr>
            <w:r>
              <w:t>成本指标</w:t>
            </w:r>
          </w:p>
        </w:tc>
        <w:tc>
          <w:tcPr>
            <w:tcW w:w="2835" w:type="dxa"/>
            <w:vAlign w:val="center"/>
          </w:tcPr>
          <w:p w14:paraId="42ADCDC9">
            <w:pPr>
              <w:pStyle w:val="13"/>
            </w:pPr>
            <w:r>
              <w:t>生均拨款标准</w:t>
            </w:r>
          </w:p>
        </w:tc>
        <w:tc>
          <w:tcPr>
            <w:tcW w:w="5386" w:type="dxa"/>
            <w:vAlign w:val="center"/>
          </w:tcPr>
          <w:p w14:paraId="78E10160">
            <w:pPr>
              <w:pStyle w:val="13"/>
            </w:pPr>
            <w:r>
              <w:t>小学：（基本标准720元、寄宿生300元、取暖120元）/生/学年；随班就读学生：标准6000元/生/学年。</w:t>
            </w:r>
          </w:p>
        </w:tc>
        <w:tc>
          <w:tcPr>
            <w:tcW w:w="2268" w:type="dxa"/>
            <w:vAlign w:val="center"/>
          </w:tcPr>
          <w:p w14:paraId="5715B3DF">
            <w:pPr>
              <w:pStyle w:val="13"/>
            </w:pPr>
            <w:r>
              <w:t>66690元</w:t>
            </w:r>
          </w:p>
        </w:tc>
        <w:tc>
          <w:tcPr>
            <w:tcW w:w="1276" w:type="dxa"/>
            <w:vAlign w:val="center"/>
          </w:tcPr>
          <w:p w14:paraId="5859C4A6">
            <w:pPr>
              <w:pStyle w:val="13"/>
            </w:pPr>
            <w:r>
              <w:t>城乡义务教育公用经费管理办法</w:t>
            </w:r>
          </w:p>
        </w:tc>
      </w:tr>
      <w:tr w14:paraId="0BDCB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5AD706">
            <w:pPr>
              <w:pStyle w:val="12"/>
            </w:pPr>
            <w:r>
              <w:t>效益指标</w:t>
            </w:r>
          </w:p>
        </w:tc>
        <w:tc>
          <w:tcPr>
            <w:tcW w:w="2268" w:type="dxa"/>
            <w:vAlign w:val="center"/>
          </w:tcPr>
          <w:p w14:paraId="3618B61C">
            <w:pPr>
              <w:pStyle w:val="13"/>
            </w:pPr>
            <w:r>
              <w:t>可持续影响指标</w:t>
            </w:r>
          </w:p>
        </w:tc>
        <w:tc>
          <w:tcPr>
            <w:tcW w:w="2835" w:type="dxa"/>
            <w:vAlign w:val="center"/>
          </w:tcPr>
          <w:p w14:paraId="389617F0">
            <w:pPr>
              <w:pStyle w:val="13"/>
            </w:pPr>
            <w:r>
              <w:t>教育发展水平明显好转</w:t>
            </w:r>
          </w:p>
        </w:tc>
        <w:tc>
          <w:tcPr>
            <w:tcW w:w="5386" w:type="dxa"/>
            <w:vAlign w:val="center"/>
          </w:tcPr>
          <w:p w14:paraId="217B3589">
            <w:pPr>
              <w:pStyle w:val="13"/>
            </w:pPr>
            <w:r>
              <w:t>学生受教育年限</w:t>
            </w:r>
          </w:p>
        </w:tc>
        <w:tc>
          <w:tcPr>
            <w:tcW w:w="2268" w:type="dxa"/>
            <w:vAlign w:val="center"/>
          </w:tcPr>
          <w:p w14:paraId="33F35B33">
            <w:pPr>
              <w:pStyle w:val="13"/>
            </w:pPr>
            <w:r>
              <w:t>6年</w:t>
            </w:r>
          </w:p>
        </w:tc>
        <w:tc>
          <w:tcPr>
            <w:tcW w:w="1276" w:type="dxa"/>
            <w:vAlign w:val="center"/>
          </w:tcPr>
          <w:p w14:paraId="2860860A">
            <w:pPr>
              <w:pStyle w:val="13"/>
            </w:pPr>
            <w:r>
              <w:t>城乡义务教育公用经费管理办法</w:t>
            </w:r>
          </w:p>
        </w:tc>
      </w:tr>
      <w:tr w14:paraId="38642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506ACC">
            <w:pPr>
              <w:pStyle w:val="12"/>
            </w:pPr>
            <w:r>
              <w:t>满意度指标</w:t>
            </w:r>
          </w:p>
        </w:tc>
        <w:tc>
          <w:tcPr>
            <w:tcW w:w="2268" w:type="dxa"/>
            <w:vAlign w:val="center"/>
          </w:tcPr>
          <w:p w14:paraId="12C5E601">
            <w:pPr>
              <w:pStyle w:val="13"/>
            </w:pPr>
            <w:r>
              <w:t>服务对象满意度指标</w:t>
            </w:r>
          </w:p>
        </w:tc>
        <w:tc>
          <w:tcPr>
            <w:tcW w:w="2835" w:type="dxa"/>
            <w:vAlign w:val="center"/>
          </w:tcPr>
          <w:p w14:paraId="694BD45C">
            <w:pPr>
              <w:pStyle w:val="13"/>
            </w:pPr>
            <w:r>
              <w:t>受益学生家长及调查满意度</w:t>
            </w:r>
          </w:p>
        </w:tc>
        <w:tc>
          <w:tcPr>
            <w:tcW w:w="5386" w:type="dxa"/>
            <w:vAlign w:val="center"/>
          </w:tcPr>
          <w:p w14:paraId="1C065571">
            <w:pPr>
              <w:pStyle w:val="13"/>
            </w:pPr>
            <w:r>
              <w:t>学生、教师及家长对学校教育教学工作满意度情况</w:t>
            </w:r>
          </w:p>
        </w:tc>
        <w:tc>
          <w:tcPr>
            <w:tcW w:w="2268" w:type="dxa"/>
            <w:vAlign w:val="center"/>
          </w:tcPr>
          <w:p w14:paraId="452AF76C">
            <w:pPr>
              <w:pStyle w:val="13"/>
            </w:pPr>
            <w:r>
              <w:t>≥95%</w:t>
            </w:r>
          </w:p>
        </w:tc>
        <w:tc>
          <w:tcPr>
            <w:tcW w:w="1276" w:type="dxa"/>
            <w:vAlign w:val="center"/>
          </w:tcPr>
          <w:p w14:paraId="2FD35292">
            <w:pPr>
              <w:pStyle w:val="13"/>
            </w:pPr>
            <w:r>
              <w:t>调查问卷</w:t>
            </w:r>
          </w:p>
        </w:tc>
      </w:tr>
    </w:tbl>
    <w:p w14:paraId="68787571">
      <w:pPr>
        <w:sectPr>
          <w:pgSz w:w="16840" w:h="11900" w:orient="landscape"/>
          <w:pgMar w:top="1361" w:right="1020" w:bottom="1134" w:left="1020" w:header="720" w:footer="720" w:gutter="0"/>
          <w:cols w:space="720" w:num="1"/>
        </w:sectPr>
      </w:pPr>
    </w:p>
    <w:p w14:paraId="1E7615FC">
      <w:pPr>
        <w:spacing w:before="0" w:after="0"/>
        <w:ind w:firstLine="560"/>
        <w:jc w:val="left"/>
        <w:outlineLvl w:val="9"/>
      </w:pPr>
      <w:r>
        <w:rPr>
          <w:rFonts w:ascii="方正仿宋_GBK" w:hAnsi="方正仿宋_GBK" w:eastAsia="方正仿宋_GBK" w:cs="方正仿宋_GBK"/>
          <w:b/>
          <w:color w:val="000000"/>
          <w:sz w:val="28"/>
        </w:rPr>
        <w:t>153、县级配套/隆尧县智信小学公用经费绩效目标表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36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C1447">
            <w:pPr>
              <w:pStyle w:val="14"/>
            </w:pPr>
            <w:r>
              <w:t>单位：万元</w:t>
            </w:r>
          </w:p>
        </w:tc>
      </w:tr>
      <w:tr w14:paraId="5A689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B25A90">
            <w:pPr>
              <w:pStyle w:val="11"/>
            </w:pPr>
            <w:r>
              <w:t>项目编码</w:t>
            </w:r>
          </w:p>
        </w:tc>
        <w:tc>
          <w:tcPr>
            <w:tcW w:w="5103" w:type="dxa"/>
            <w:gridSpan w:val="2"/>
            <w:vAlign w:val="center"/>
          </w:tcPr>
          <w:p w14:paraId="114CA564">
            <w:pPr>
              <w:pStyle w:val="13"/>
            </w:pPr>
            <w:r>
              <w:t>13052525P000004100175</w:t>
            </w:r>
          </w:p>
        </w:tc>
        <w:tc>
          <w:tcPr>
            <w:tcW w:w="2835" w:type="dxa"/>
            <w:vAlign w:val="center"/>
          </w:tcPr>
          <w:p w14:paraId="01D0E79C">
            <w:pPr>
              <w:pStyle w:val="11"/>
            </w:pPr>
            <w:r>
              <w:t>项目名称</w:t>
            </w:r>
          </w:p>
        </w:tc>
        <w:tc>
          <w:tcPr>
            <w:tcW w:w="6095" w:type="dxa"/>
            <w:gridSpan w:val="3"/>
            <w:vAlign w:val="center"/>
          </w:tcPr>
          <w:p w14:paraId="2CE80A86">
            <w:pPr>
              <w:pStyle w:val="13"/>
            </w:pPr>
            <w:r>
              <w:t>县级配套/隆尧县智信小学公用经费</w:t>
            </w:r>
            <w:r>
              <w:tab/>
            </w:r>
          </w:p>
          <w:p w14:paraId="599CDD8F">
            <w:pPr>
              <w:pStyle w:val="13"/>
            </w:pPr>
          </w:p>
        </w:tc>
      </w:tr>
      <w:tr w14:paraId="1E8E43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39F3C64">
            <w:pPr>
              <w:pStyle w:val="11"/>
            </w:pPr>
            <w:r>
              <w:t>预算规模及资金用途</w:t>
            </w:r>
          </w:p>
        </w:tc>
        <w:tc>
          <w:tcPr>
            <w:tcW w:w="2268" w:type="dxa"/>
            <w:vAlign w:val="center"/>
          </w:tcPr>
          <w:p w14:paraId="5F525C70">
            <w:pPr>
              <w:pStyle w:val="11"/>
            </w:pPr>
            <w:r>
              <w:t>预算数</w:t>
            </w:r>
          </w:p>
        </w:tc>
        <w:tc>
          <w:tcPr>
            <w:tcW w:w="2835" w:type="dxa"/>
            <w:vAlign w:val="center"/>
          </w:tcPr>
          <w:p w14:paraId="0C3282EE">
            <w:pPr>
              <w:pStyle w:val="13"/>
            </w:pPr>
            <w:r>
              <w:t>13.40</w:t>
            </w:r>
          </w:p>
        </w:tc>
        <w:tc>
          <w:tcPr>
            <w:tcW w:w="2835" w:type="dxa"/>
            <w:vAlign w:val="center"/>
          </w:tcPr>
          <w:p w14:paraId="2DF67128">
            <w:pPr>
              <w:pStyle w:val="11"/>
            </w:pPr>
            <w:r>
              <w:t>其中：财政    资金</w:t>
            </w:r>
          </w:p>
        </w:tc>
        <w:tc>
          <w:tcPr>
            <w:tcW w:w="2551" w:type="dxa"/>
            <w:vAlign w:val="center"/>
          </w:tcPr>
          <w:p w14:paraId="3ED099BD">
            <w:pPr>
              <w:pStyle w:val="13"/>
            </w:pPr>
            <w:r>
              <w:t>13.40</w:t>
            </w:r>
          </w:p>
        </w:tc>
        <w:tc>
          <w:tcPr>
            <w:tcW w:w="2268" w:type="dxa"/>
            <w:vAlign w:val="center"/>
          </w:tcPr>
          <w:p w14:paraId="4E7ACAF1">
            <w:pPr>
              <w:pStyle w:val="11"/>
            </w:pPr>
            <w:r>
              <w:t>其他资金</w:t>
            </w:r>
          </w:p>
        </w:tc>
        <w:tc>
          <w:tcPr>
            <w:tcW w:w="1276" w:type="dxa"/>
            <w:vAlign w:val="center"/>
          </w:tcPr>
          <w:p w14:paraId="5731837A">
            <w:pPr>
              <w:pStyle w:val="13"/>
            </w:pPr>
            <w:r>
              <w:t xml:space="preserve"> </w:t>
            </w:r>
          </w:p>
        </w:tc>
      </w:tr>
      <w:tr w14:paraId="055C3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901F7"/>
        </w:tc>
        <w:tc>
          <w:tcPr>
            <w:tcW w:w="14033" w:type="dxa"/>
            <w:gridSpan w:val="6"/>
            <w:vAlign w:val="center"/>
          </w:tcPr>
          <w:p w14:paraId="7DEB6A3B">
            <w:pPr>
              <w:pStyle w:val="13"/>
            </w:pPr>
            <w:r>
              <w:t>保障义务教育学校正常运转，完成教育教学活动和其他日常工作任务等方面的费用支出。</w:t>
            </w:r>
          </w:p>
        </w:tc>
      </w:tr>
      <w:tr w14:paraId="1680E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F3FB9">
            <w:pPr>
              <w:pStyle w:val="11"/>
            </w:pPr>
            <w:r>
              <w:t>资金支出计划（%）</w:t>
            </w:r>
          </w:p>
        </w:tc>
        <w:tc>
          <w:tcPr>
            <w:tcW w:w="5103" w:type="dxa"/>
            <w:gridSpan w:val="2"/>
            <w:vAlign w:val="center"/>
          </w:tcPr>
          <w:p w14:paraId="00C01DE1">
            <w:pPr>
              <w:pStyle w:val="11"/>
            </w:pPr>
            <w:r>
              <w:t>3月底</w:t>
            </w:r>
          </w:p>
        </w:tc>
        <w:tc>
          <w:tcPr>
            <w:tcW w:w="2835" w:type="dxa"/>
            <w:vAlign w:val="center"/>
          </w:tcPr>
          <w:p w14:paraId="63EDC17D">
            <w:pPr>
              <w:pStyle w:val="11"/>
            </w:pPr>
            <w:r>
              <w:t>6月底</w:t>
            </w:r>
          </w:p>
        </w:tc>
        <w:tc>
          <w:tcPr>
            <w:tcW w:w="2551" w:type="dxa"/>
            <w:vAlign w:val="center"/>
          </w:tcPr>
          <w:p w14:paraId="7EF8D9AC">
            <w:pPr>
              <w:pStyle w:val="11"/>
            </w:pPr>
            <w:r>
              <w:t>10月底</w:t>
            </w:r>
          </w:p>
        </w:tc>
        <w:tc>
          <w:tcPr>
            <w:tcW w:w="3544" w:type="dxa"/>
            <w:gridSpan w:val="2"/>
            <w:vAlign w:val="center"/>
          </w:tcPr>
          <w:p w14:paraId="6E5E7BE3">
            <w:pPr>
              <w:pStyle w:val="11"/>
            </w:pPr>
            <w:r>
              <w:t>12月底</w:t>
            </w:r>
          </w:p>
        </w:tc>
      </w:tr>
      <w:tr w14:paraId="533DA2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59BCC4"/>
        </w:tc>
        <w:tc>
          <w:tcPr>
            <w:tcW w:w="5103" w:type="dxa"/>
            <w:gridSpan w:val="2"/>
            <w:vAlign w:val="center"/>
          </w:tcPr>
          <w:p w14:paraId="3ACCFE45">
            <w:pPr>
              <w:pStyle w:val="12"/>
            </w:pPr>
            <w:r>
              <w:t xml:space="preserve"> </w:t>
            </w:r>
          </w:p>
        </w:tc>
        <w:tc>
          <w:tcPr>
            <w:tcW w:w="2835" w:type="dxa"/>
            <w:vAlign w:val="center"/>
          </w:tcPr>
          <w:p w14:paraId="4949CCBD">
            <w:pPr>
              <w:pStyle w:val="12"/>
            </w:pPr>
            <w:r>
              <w:t xml:space="preserve"> </w:t>
            </w:r>
          </w:p>
        </w:tc>
        <w:tc>
          <w:tcPr>
            <w:tcW w:w="2551" w:type="dxa"/>
            <w:vAlign w:val="center"/>
          </w:tcPr>
          <w:p w14:paraId="627A2E89">
            <w:pPr>
              <w:pStyle w:val="12"/>
            </w:pPr>
            <w:r>
              <w:t xml:space="preserve"> </w:t>
            </w:r>
          </w:p>
        </w:tc>
        <w:tc>
          <w:tcPr>
            <w:tcW w:w="3544" w:type="dxa"/>
            <w:gridSpan w:val="2"/>
            <w:vAlign w:val="center"/>
          </w:tcPr>
          <w:p w14:paraId="26CC8298">
            <w:pPr>
              <w:pStyle w:val="12"/>
            </w:pPr>
            <w:r>
              <w:t>100%</w:t>
            </w:r>
          </w:p>
        </w:tc>
      </w:tr>
      <w:tr w14:paraId="71113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972D6">
            <w:pPr>
              <w:pStyle w:val="11"/>
            </w:pPr>
            <w:r>
              <w:t>绩效目标</w:t>
            </w:r>
          </w:p>
        </w:tc>
        <w:tc>
          <w:tcPr>
            <w:tcW w:w="14033" w:type="dxa"/>
            <w:gridSpan w:val="6"/>
            <w:vAlign w:val="center"/>
          </w:tcPr>
          <w:p w14:paraId="6CDE15A6">
            <w:pPr>
              <w:pStyle w:val="13"/>
            </w:pPr>
            <w:r>
              <w:t>1.保障义务教育学校正常运转，完成教育教学活动和其他日常工作任务等方面的费用支出。</w:t>
            </w:r>
          </w:p>
        </w:tc>
      </w:tr>
    </w:tbl>
    <w:p w14:paraId="06D639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61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A80C0">
            <w:pPr>
              <w:pStyle w:val="11"/>
            </w:pPr>
            <w:r>
              <w:t>一级指标</w:t>
            </w:r>
          </w:p>
        </w:tc>
        <w:tc>
          <w:tcPr>
            <w:tcW w:w="2268" w:type="dxa"/>
            <w:vAlign w:val="center"/>
          </w:tcPr>
          <w:p w14:paraId="28EE246A">
            <w:pPr>
              <w:pStyle w:val="11"/>
            </w:pPr>
            <w:r>
              <w:t>二级指标</w:t>
            </w:r>
          </w:p>
        </w:tc>
        <w:tc>
          <w:tcPr>
            <w:tcW w:w="2835" w:type="dxa"/>
            <w:vAlign w:val="center"/>
          </w:tcPr>
          <w:p w14:paraId="2E3DA8A3">
            <w:pPr>
              <w:pStyle w:val="11"/>
            </w:pPr>
            <w:r>
              <w:t>三级指标</w:t>
            </w:r>
          </w:p>
        </w:tc>
        <w:tc>
          <w:tcPr>
            <w:tcW w:w="5386" w:type="dxa"/>
            <w:vAlign w:val="center"/>
          </w:tcPr>
          <w:p w14:paraId="1AFAFDBE">
            <w:pPr>
              <w:pStyle w:val="11"/>
            </w:pPr>
            <w:r>
              <w:t>绩效指标描述</w:t>
            </w:r>
          </w:p>
        </w:tc>
        <w:tc>
          <w:tcPr>
            <w:tcW w:w="2268" w:type="dxa"/>
            <w:vAlign w:val="center"/>
          </w:tcPr>
          <w:p w14:paraId="5E6D1E7D">
            <w:pPr>
              <w:pStyle w:val="11"/>
            </w:pPr>
            <w:r>
              <w:t>指标值</w:t>
            </w:r>
          </w:p>
        </w:tc>
        <w:tc>
          <w:tcPr>
            <w:tcW w:w="1276" w:type="dxa"/>
            <w:vAlign w:val="center"/>
          </w:tcPr>
          <w:p w14:paraId="448DFC59">
            <w:pPr>
              <w:pStyle w:val="11"/>
            </w:pPr>
            <w:r>
              <w:t>指标值确定依据</w:t>
            </w:r>
          </w:p>
        </w:tc>
      </w:tr>
      <w:tr w14:paraId="36578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CCD10">
            <w:pPr>
              <w:pStyle w:val="12"/>
            </w:pPr>
            <w:r>
              <w:t>产出指标</w:t>
            </w:r>
          </w:p>
        </w:tc>
        <w:tc>
          <w:tcPr>
            <w:tcW w:w="2268" w:type="dxa"/>
            <w:vAlign w:val="center"/>
          </w:tcPr>
          <w:p w14:paraId="76B0D37A">
            <w:pPr>
              <w:pStyle w:val="13"/>
            </w:pPr>
            <w:r>
              <w:t>数量指标</w:t>
            </w:r>
          </w:p>
        </w:tc>
        <w:tc>
          <w:tcPr>
            <w:tcW w:w="2835" w:type="dxa"/>
            <w:vAlign w:val="center"/>
          </w:tcPr>
          <w:p w14:paraId="078DF4D8">
            <w:pPr>
              <w:pStyle w:val="13"/>
            </w:pPr>
            <w:r>
              <w:t>适龄在校生</w:t>
            </w:r>
          </w:p>
        </w:tc>
        <w:tc>
          <w:tcPr>
            <w:tcW w:w="5386" w:type="dxa"/>
            <w:vAlign w:val="center"/>
          </w:tcPr>
          <w:p w14:paraId="71235931">
            <w:pPr>
              <w:pStyle w:val="13"/>
            </w:pPr>
            <w:r>
              <w:t>适龄在校就读学生人数</w:t>
            </w:r>
          </w:p>
        </w:tc>
        <w:tc>
          <w:tcPr>
            <w:tcW w:w="2268" w:type="dxa"/>
            <w:vAlign w:val="center"/>
          </w:tcPr>
          <w:p w14:paraId="0A2A27A0">
            <w:pPr>
              <w:pStyle w:val="13"/>
            </w:pPr>
            <w:r>
              <w:t>235人</w:t>
            </w:r>
          </w:p>
        </w:tc>
        <w:tc>
          <w:tcPr>
            <w:tcW w:w="1276" w:type="dxa"/>
            <w:vAlign w:val="center"/>
          </w:tcPr>
          <w:p w14:paraId="2AF0A506">
            <w:pPr>
              <w:pStyle w:val="13"/>
            </w:pPr>
            <w:r>
              <w:t>城乡义务教育公用经费管理办法</w:t>
            </w:r>
          </w:p>
        </w:tc>
      </w:tr>
      <w:tr w14:paraId="5D6D1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03A58506"/>
        </w:tc>
        <w:tc>
          <w:tcPr>
            <w:tcW w:w="2268" w:type="dxa"/>
            <w:vAlign w:val="center"/>
          </w:tcPr>
          <w:p w14:paraId="6B95A5B2">
            <w:pPr>
              <w:pStyle w:val="13"/>
            </w:pPr>
            <w:r>
              <w:t>质量指标</w:t>
            </w:r>
          </w:p>
        </w:tc>
        <w:tc>
          <w:tcPr>
            <w:tcW w:w="2835" w:type="dxa"/>
            <w:vAlign w:val="center"/>
          </w:tcPr>
          <w:p w14:paraId="1E6107E0">
            <w:pPr>
              <w:pStyle w:val="13"/>
            </w:pPr>
            <w:r>
              <w:t>预算控制率</w:t>
            </w:r>
          </w:p>
        </w:tc>
        <w:tc>
          <w:tcPr>
            <w:tcW w:w="5386" w:type="dxa"/>
            <w:vAlign w:val="center"/>
          </w:tcPr>
          <w:p w14:paraId="6033636A">
            <w:pPr>
              <w:pStyle w:val="13"/>
            </w:pPr>
            <w:r>
              <w:t>预算执行</w:t>
            </w:r>
          </w:p>
        </w:tc>
        <w:tc>
          <w:tcPr>
            <w:tcW w:w="2268" w:type="dxa"/>
            <w:vAlign w:val="center"/>
          </w:tcPr>
          <w:p w14:paraId="5E0BE385">
            <w:pPr>
              <w:pStyle w:val="13"/>
            </w:pPr>
            <w:r>
              <w:t>≥95%</w:t>
            </w:r>
          </w:p>
        </w:tc>
        <w:tc>
          <w:tcPr>
            <w:tcW w:w="1276" w:type="dxa"/>
            <w:vAlign w:val="center"/>
          </w:tcPr>
          <w:p w14:paraId="343559AD">
            <w:pPr>
              <w:pStyle w:val="13"/>
            </w:pPr>
            <w:r>
              <w:t>城乡义务教育公用经费管理办法</w:t>
            </w:r>
          </w:p>
        </w:tc>
      </w:tr>
      <w:tr w14:paraId="19AC9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8239E"/>
        </w:tc>
        <w:tc>
          <w:tcPr>
            <w:tcW w:w="2268" w:type="dxa"/>
            <w:vAlign w:val="center"/>
          </w:tcPr>
          <w:p w14:paraId="14E6D362">
            <w:pPr>
              <w:pStyle w:val="13"/>
            </w:pPr>
            <w:r>
              <w:t>时效指标</w:t>
            </w:r>
          </w:p>
        </w:tc>
        <w:tc>
          <w:tcPr>
            <w:tcW w:w="2835" w:type="dxa"/>
            <w:vAlign w:val="center"/>
          </w:tcPr>
          <w:p w14:paraId="182208CA">
            <w:pPr>
              <w:pStyle w:val="13"/>
            </w:pPr>
            <w:r>
              <w:t>资金支付率</w:t>
            </w:r>
          </w:p>
        </w:tc>
        <w:tc>
          <w:tcPr>
            <w:tcW w:w="5386" w:type="dxa"/>
            <w:vAlign w:val="center"/>
          </w:tcPr>
          <w:p w14:paraId="3B1AE328">
            <w:pPr>
              <w:pStyle w:val="13"/>
            </w:pPr>
            <w:r>
              <w:t>按照序时进度完成资金支付</w:t>
            </w:r>
          </w:p>
        </w:tc>
        <w:tc>
          <w:tcPr>
            <w:tcW w:w="2268" w:type="dxa"/>
            <w:vAlign w:val="center"/>
          </w:tcPr>
          <w:p w14:paraId="5D700D4E">
            <w:pPr>
              <w:pStyle w:val="13"/>
            </w:pPr>
            <w:r>
              <w:t>≥100%</w:t>
            </w:r>
          </w:p>
        </w:tc>
        <w:tc>
          <w:tcPr>
            <w:tcW w:w="1276" w:type="dxa"/>
            <w:vAlign w:val="center"/>
          </w:tcPr>
          <w:p w14:paraId="6EBA18B2">
            <w:pPr>
              <w:pStyle w:val="13"/>
            </w:pPr>
            <w:r>
              <w:t>城乡义务教育公用经费管理办法</w:t>
            </w:r>
          </w:p>
        </w:tc>
      </w:tr>
      <w:tr w14:paraId="2B417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17998FF9"/>
        </w:tc>
        <w:tc>
          <w:tcPr>
            <w:tcW w:w="2268" w:type="dxa"/>
            <w:vAlign w:val="center"/>
          </w:tcPr>
          <w:p w14:paraId="6707FFAA">
            <w:pPr>
              <w:pStyle w:val="13"/>
            </w:pPr>
            <w:r>
              <w:t>成本指标</w:t>
            </w:r>
          </w:p>
        </w:tc>
        <w:tc>
          <w:tcPr>
            <w:tcW w:w="2835" w:type="dxa"/>
            <w:vAlign w:val="center"/>
          </w:tcPr>
          <w:p w14:paraId="651CBE5F">
            <w:pPr>
              <w:pStyle w:val="13"/>
            </w:pPr>
            <w:r>
              <w:t>生均拨款标准</w:t>
            </w:r>
          </w:p>
        </w:tc>
        <w:tc>
          <w:tcPr>
            <w:tcW w:w="5386" w:type="dxa"/>
            <w:vAlign w:val="center"/>
          </w:tcPr>
          <w:p w14:paraId="26A2B2F4">
            <w:pPr>
              <w:pStyle w:val="13"/>
            </w:pPr>
            <w:r>
              <w:t>小学：（基本标准720元、寄宿生300元、取暖120元）/生/学年；随班就读学生：标准6000元/生/学年。</w:t>
            </w:r>
          </w:p>
        </w:tc>
        <w:tc>
          <w:tcPr>
            <w:tcW w:w="2268" w:type="dxa"/>
            <w:vAlign w:val="center"/>
          </w:tcPr>
          <w:p w14:paraId="65698B9D">
            <w:pPr>
              <w:pStyle w:val="13"/>
            </w:pPr>
            <w:r>
              <w:t>133950元</w:t>
            </w:r>
          </w:p>
        </w:tc>
        <w:tc>
          <w:tcPr>
            <w:tcW w:w="1276" w:type="dxa"/>
            <w:vAlign w:val="center"/>
          </w:tcPr>
          <w:p w14:paraId="762FE098">
            <w:pPr>
              <w:pStyle w:val="13"/>
            </w:pPr>
            <w:r>
              <w:t>城乡义务教育公用经费管理办法</w:t>
            </w:r>
          </w:p>
        </w:tc>
      </w:tr>
      <w:tr w14:paraId="670E4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891C07">
            <w:pPr>
              <w:pStyle w:val="12"/>
            </w:pPr>
            <w:r>
              <w:t>效益指标</w:t>
            </w:r>
          </w:p>
        </w:tc>
        <w:tc>
          <w:tcPr>
            <w:tcW w:w="2268" w:type="dxa"/>
            <w:vAlign w:val="center"/>
          </w:tcPr>
          <w:p w14:paraId="32E1A26B">
            <w:pPr>
              <w:pStyle w:val="13"/>
            </w:pPr>
            <w:r>
              <w:t>可持续影响指标</w:t>
            </w:r>
          </w:p>
        </w:tc>
        <w:tc>
          <w:tcPr>
            <w:tcW w:w="2835" w:type="dxa"/>
            <w:vAlign w:val="center"/>
          </w:tcPr>
          <w:p w14:paraId="427D4A92">
            <w:pPr>
              <w:pStyle w:val="13"/>
            </w:pPr>
            <w:r>
              <w:t>教育发展水平明显好转</w:t>
            </w:r>
          </w:p>
        </w:tc>
        <w:tc>
          <w:tcPr>
            <w:tcW w:w="5386" w:type="dxa"/>
            <w:vAlign w:val="center"/>
          </w:tcPr>
          <w:p w14:paraId="68DC8191">
            <w:pPr>
              <w:pStyle w:val="13"/>
            </w:pPr>
            <w:r>
              <w:t>学生受教育年限</w:t>
            </w:r>
          </w:p>
        </w:tc>
        <w:tc>
          <w:tcPr>
            <w:tcW w:w="2268" w:type="dxa"/>
            <w:vAlign w:val="center"/>
          </w:tcPr>
          <w:p w14:paraId="769286F3">
            <w:pPr>
              <w:pStyle w:val="13"/>
            </w:pPr>
            <w:r>
              <w:t>6年</w:t>
            </w:r>
          </w:p>
        </w:tc>
        <w:tc>
          <w:tcPr>
            <w:tcW w:w="1276" w:type="dxa"/>
            <w:vAlign w:val="center"/>
          </w:tcPr>
          <w:p w14:paraId="153CF603">
            <w:pPr>
              <w:pStyle w:val="13"/>
            </w:pPr>
            <w:r>
              <w:t>城乡义务教育公用经费管理办法</w:t>
            </w:r>
          </w:p>
        </w:tc>
      </w:tr>
      <w:tr w14:paraId="5429D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3D3251">
            <w:pPr>
              <w:pStyle w:val="12"/>
            </w:pPr>
            <w:r>
              <w:t>满意度指标</w:t>
            </w:r>
          </w:p>
        </w:tc>
        <w:tc>
          <w:tcPr>
            <w:tcW w:w="2268" w:type="dxa"/>
            <w:vAlign w:val="center"/>
          </w:tcPr>
          <w:p w14:paraId="2468B3BF">
            <w:pPr>
              <w:pStyle w:val="13"/>
            </w:pPr>
            <w:r>
              <w:t>服务对象满意度指标</w:t>
            </w:r>
          </w:p>
        </w:tc>
        <w:tc>
          <w:tcPr>
            <w:tcW w:w="2835" w:type="dxa"/>
            <w:vAlign w:val="center"/>
          </w:tcPr>
          <w:p w14:paraId="3424DACC">
            <w:pPr>
              <w:pStyle w:val="13"/>
            </w:pPr>
            <w:r>
              <w:t>受益学生家长及调查满意度</w:t>
            </w:r>
          </w:p>
        </w:tc>
        <w:tc>
          <w:tcPr>
            <w:tcW w:w="5386" w:type="dxa"/>
            <w:vAlign w:val="center"/>
          </w:tcPr>
          <w:p w14:paraId="799CB3A6">
            <w:pPr>
              <w:pStyle w:val="13"/>
            </w:pPr>
            <w:r>
              <w:t>学生、教师及家长对学校教育教学工作满意度情况</w:t>
            </w:r>
          </w:p>
        </w:tc>
        <w:tc>
          <w:tcPr>
            <w:tcW w:w="2268" w:type="dxa"/>
            <w:vAlign w:val="center"/>
          </w:tcPr>
          <w:p w14:paraId="364DE4FD">
            <w:pPr>
              <w:pStyle w:val="13"/>
            </w:pPr>
            <w:r>
              <w:t>≥95%</w:t>
            </w:r>
          </w:p>
        </w:tc>
        <w:tc>
          <w:tcPr>
            <w:tcW w:w="1276" w:type="dxa"/>
            <w:vAlign w:val="center"/>
          </w:tcPr>
          <w:p w14:paraId="2D53AF77">
            <w:pPr>
              <w:pStyle w:val="13"/>
            </w:pPr>
            <w:r>
              <w:t>调查问卷</w:t>
            </w:r>
          </w:p>
        </w:tc>
      </w:tr>
    </w:tbl>
    <w:p w14:paraId="3FEB4967">
      <w:pPr>
        <w:sectPr>
          <w:pgSz w:w="16840" w:h="11900" w:orient="landscape"/>
          <w:pgMar w:top="1361" w:right="1020" w:bottom="1134" w:left="1020" w:header="720" w:footer="720" w:gutter="0"/>
          <w:cols w:space="720" w:num="1"/>
        </w:sectPr>
      </w:pPr>
    </w:p>
    <w:p w14:paraId="33D3B10E">
      <w:pPr>
        <w:spacing w:before="0" w:after="0"/>
        <w:ind w:firstLine="560"/>
        <w:jc w:val="left"/>
        <w:outlineLvl w:val="9"/>
      </w:pPr>
      <w:r>
        <w:rPr>
          <w:rFonts w:ascii="方正仿宋_GBK" w:hAnsi="方正仿宋_GBK" w:eastAsia="方正仿宋_GBK" w:cs="方正仿宋_GBK"/>
          <w:b/>
          <w:color w:val="000000"/>
          <w:sz w:val="28"/>
        </w:rPr>
        <w:t>154、县级配套/隆尧县滏阳小学公用经费绩效目标表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9A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BE917">
            <w:pPr>
              <w:pStyle w:val="14"/>
            </w:pPr>
            <w:r>
              <w:t>单位：万元</w:t>
            </w:r>
          </w:p>
        </w:tc>
      </w:tr>
      <w:tr w14:paraId="7ADDF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29CF0">
            <w:pPr>
              <w:pStyle w:val="11"/>
            </w:pPr>
            <w:r>
              <w:t>项目编码</w:t>
            </w:r>
          </w:p>
        </w:tc>
        <w:tc>
          <w:tcPr>
            <w:tcW w:w="5103" w:type="dxa"/>
            <w:gridSpan w:val="2"/>
            <w:vAlign w:val="center"/>
          </w:tcPr>
          <w:p w14:paraId="04E48936">
            <w:pPr>
              <w:pStyle w:val="13"/>
            </w:pPr>
            <w:r>
              <w:t>13052525P00000410006M</w:t>
            </w:r>
          </w:p>
        </w:tc>
        <w:tc>
          <w:tcPr>
            <w:tcW w:w="2835" w:type="dxa"/>
            <w:vAlign w:val="center"/>
          </w:tcPr>
          <w:p w14:paraId="7835E91F">
            <w:pPr>
              <w:pStyle w:val="11"/>
            </w:pPr>
            <w:r>
              <w:t>项目名称</w:t>
            </w:r>
          </w:p>
        </w:tc>
        <w:tc>
          <w:tcPr>
            <w:tcW w:w="6095" w:type="dxa"/>
            <w:gridSpan w:val="3"/>
            <w:vAlign w:val="center"/>
          </w:tcPr>
          <w:p w14:paraId="48459048">
            <w:pPr>
              <w:pStyle w:val="13"/>
            </w:pPr>
            <w:r>
              <w:t>县级配套/隆尧县滏阳小学公用经费</w:t>
            </w:r>
          </w:p>
        </w:tc>
      </w:tr>
      <w:tr w14:paraId="00371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FB438">
            <w:pPr>
              <w:pStyle w:val="11"/>
            </w:pPr>
            <w:r>
              <w:t>预算规模及资金用途</w:t>
            </w:r>
          </w:p>
        </w:tc>
        <w:tc>
          <w:tcPr>
            <w:tcW w:w="2268" w:type="dxa"/>
            <w:vAlign w:val="center"/>
          </w:tcPr>
          <w:p w14:paraId="0505577F">
            <w:pPr>
              <w:pStyle w:val="11"/>
            </w:pPr>
            <w:r>
              <w:t>预算数</w:t>
            </w:r>
          </w:p>
        </w:tc>
        <w:tc>
          <w:tcPr>
            <w:tcW w:w="2835" w:type="dxa"/>
            <w:vAlign w:val="center"/>
          </w:tcPr>
          <w:p w14:paraId="33EEE0B0">
            <w:pPr>
              <w:pStyle w:val="13"/>
            </w:pPr>
            <w:r>
              <w:t>25.08</w:t>
            </w:r>
          </w:p>
        </w:tc>
        <w:tc>
          <w:tcPr>
            <w:tcW w:w="2835" w:type="dxa"/>
            <w:vAlign w:val="center"/>
          </w:tcPr>
          <w:p w14:paraId="4BB74F0F">
            <w:pPr>
              <w:pStyle w:val="11"/>
            </w:pPr>
            <w:r>
              <w:t>其中：财政    资金</w:t>
            </w:r>
          </w:p>
        </w:tc>
        <w:tc>
          <w:tcPr>
            <w:tcW w:w="2551" w:type="dxa"/>
            <w:vAlign w:val="center"/>
          </w:tcPr>
          <w:p w14:paraId="7B44C1BE">
            <w:pPr>
              <w:pStyle w:val="13"/>
            </w:pPr>
            <w:r>
              <w:t>25.08</w:t>
            </w:r>
          </w:p>
        </w:tc>
        <w:tc>
          <w:tcPr>
            <w:tcW w:w="2268" w:type="dxa"/>
            <w:vAlign w:val="center"/>
          </w:tcPr>
          <w:p w14:paraId="7DD90960">
            <w:pPr>
              <w:pStyle w:val="11"/>
            </w:pPr>
            <w:r>
              <w:t>其他资金</w:t>
            </w:r>
          </w:p>
        </w:tc>
        <w:tc>
          <w:tcPr>
            <w:tcW w:w="1276" w:type="dxa"/>
            <w:vAlign w:val="center"/>
          </w:tcPr>
          <w:p w14:paraId="253BF0D0">
            <w:pPr>
              <w:pStyle w:val="13"/>
            </w:pPr>
            <w:r>
              <w:t xml:space="preserve"> </w:t>
            </w:r>
          </w:p>
        </w:tc>
      </w:tr>
      <w:tr w14:paraId="24694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FBFB2"/>
        </w:tc>
        <w:tc>
          <w:tcPr>
            <w:tcW w:w="14033" w:type="dxa"/>
            <w:gridSpan w:val="6"/>
            <w:vAlign w:val="center"/>
          </w:tcPr>
          <w:p w14:paraId="62E790C9">
            <w:pPr>
              <w:pStyle w:val="13"/>
            </w:pPr>
            <w:r>
              <w:t>保障义务教育学校正常运转，完成教育教学活动和其他日常工作任务等方面的费用支出。</w:t>
            </w:r>
          </w:p>
        </w:tc>
      </w:tr>
      <w:tr w14:paraId="01F89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33846">
            <w:pPr>
              <w:pStyle w:val="11"/>
            </w:pPr>
            <w:r>
              <w:t>资金支出计划（%）</w:t>
            </w:r>
          </w:p>
        </w:tc>
        <w:tc>
          <w:tcPr>
            <w:tcW w:w="5103" w:type="dxa"/>
            <w:gridSpan w:val="2"/>
            <w:vAlign w:val="center"/>
          </w:tcPr>
          <w:p w14:paraId="0E534516">
            <w:pPr>
              <w:pStyle w:val="11"/>
            </w:pPr>
            <w:r>
              <w:t>3月底</w:t>
            </w:r>
          </w:p>
        </w:tc>
        <w:tc>
          <w:tcPr>
            <w:tcW w:w="2835" w:type="dxa"/>
            <w:vAlign w:val="center"/>
          </w:tcPr>
          <w:p w14:paraId="6DC1295D">
            <w:pPr>
              <w:pStyle w:val="11"/>
            </w:pPr>
            <w:r>
              <w:t>6月底</w:t>
            </w:r>
          </w:p>
        </w:tc>
        <w:tc>
          <w:tcPr>
            <w:tcW w:w="2551" w:type="dxa"/>
            <w:vAlign w:val="center"/>
          </w:tcPr>
          <w:p w14:paraId="02C8E185">
            <w:pPr>
              <w:pStyle w:val="11"/>
            </w:pPr>
            <w:r>
              <w:t>10月底</w:t>
            </w:r>
          </w:p>
        </w:tc>
        <w:tc>
          <w:tcPr>
            <w:tcW w:w="3544" w:type="dxa"/>
            <w:gridSpan w:val="2"/>
            <w:vAlign w:val="center"/>
          </w:tcPr>
          <w:p w14:paraId="057D3201">
            <w:pPr>
              <w:pStyle w:val="11"/>
            </w:pPr>
            <w:r>
              <w:t>12月底</w:t>
            </w:r>
          </w:p>
        </w:tc>
      </w:tr>
      <w:tr w14:paraId="4B5C1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8799E8"/>
        </w:tc>
        <w:tc>
          <w:tcPr>
            <w:tcW w:w="5103" w:type="dxa"/>
            <w:gridSpan w:val="2"/>
            <w:vAlign w:val="center"/>
          </w:tcPr>
          <w:p w14:paraId="3D590C28">
            <w:pPr>
              <w:pStyle w:val="12"/>
            </w:pPr>
            <w:r>
              <w:t xml:space="preserve"> </w:t>
            </w:r>
          </w:p>
        </w:tc>
        <w:tc>
          <w:tcPr>
            <w:tcW w:w="2835" w:type="dxa"/>
            <w:vAlign w:val="center"/>
          </w:tcPr>
          <w:p w14:paraId="3011E7B5">
            <w:pPr>
              <w:pStyle w:val="12"/>
            </w:pPr>
            <w:r>
              <w:t xml:space="preserve"> </w:t>
            </w:r>
          </w:p>
        </w:tc>
        <w:tc>
          <w:tcPr>
            <w:tcW w:w="2551" w:type="dxa"/>
            <w:vAlign w:val="center"/>
          </w:tcPr>
          <w:p w14:paraId="03C30B93">
            <w:pPr>
              <w:pStyle w:val="12"/>
            </w:pPr>
            <w:r>
              <w:t xml:space="preserve"> </w:t>
            </w:r>
          </w:p>
        </w:tc>
        <w:tc>
          <w:tcPr>
            <w:tcW w:w="3544" w:type="dxa"/>
            <w:gridSpan w:val="2"/>
            <w:vAlign w:val="center"/>
          </w:tcPr>
          <w:p w14:paraId="555E39BF">
            <w:pPr>
              <w:pStyle w:val="12"/>
            </w:pPr>
            <w:r>
              <w:t>100%</w:t>
            </w:r>
          </w:p>
        </w:tc>
      </w:tr>
      <w:tr w14:paraId="6F207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CF101D">
            <w:pPr>
              <w:pStyle w:val="11"/>
            </w:pPr>
            <w:r>
              <w:t>绩效目标</w:t>
            </w:r>
          </w:p>
        </w:tc>
        <w:tc>
          <w:tcPr>
            <w:tcW w:w="14033" w:type="dxa"/>
            <w:gridSpan w:val="6"/>
            <w:vAlign w:val="center"/>
          </w:tcPr>
          <w:p w14:paraId="7B6A3C3E">
            <w:pPr>
              <w:pStyle w:val="13"/>
            </w:pPr>
            <w:r>
              <w:t>1.保障义务教育学校正常运转，完成教育教学活动和其他日常工作任务等方面的费用支出。</w:t>
            </w:r>
          </w:p>
        </w:tc>
      </w:tr>
    </w:tbl>
    <w:p w14:paraId="05888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3F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BAAC3">
            <w:pPr>
              <w:pStyle w:val="11"/>
            </w:pPr>
            <w:r>
              <w:t>一级指标</w:t>
            </w:r>
          </w:p>
        </w:tc>
        <w:tc>
          <w:tcPr>
            <w:tcW w:w="2268" w:type="dxa"/>
            <w:vAlign w:val="center"/>
          </w:tcPr>
          <w:p w14:paraId="07EBA71C">
            <w:pPr>
              <w:pStyle w:val="11"/>
            </w:pPr>
            <w:r>
              <w:t>二级指标</w:t>
            </w:r>
          </w:p>
        </w:tc>
        <w:tc>
          <w:tcPr>
            <w:tcW w:w="2835" w:type="dxa"/>
            <w:vAlign w:val="center"/>
          </w:tcPr>
          <w:p w14:paraId="5D85AA2D">
            <w:pPr>
              <w:pStyle w:val="11"/>
            </w:pPr>
            <w:r>
              <w:t>三级指标</w:t>
            </w:r>
          </w:p>
        </w:tc>
        <w:tc>
          <w:tcPr>
            <w:tcW w:w="5386" w:type="dxa"/>
            <w:vAlign w:val="center"/>
          </w:tcPr>
          <w:p w14:paraId="7C5AD3AB">
            <w:pPr>
              <w:pStyle w:val="11"/>
            </w:pPr>
            <w:r>
              <w:t>绩效指标描述</w:t>
            </w:r>
          </w:p>
        </w:tc>
        <w:tc>
          <w:tcPr>
            <w:tcW w:w="2268" w:type="dxa"/>
            <w:vAlign w:val="center"/>
          </w:tcPr>
          <w:p w14:paraId="71128520">
            <w:pPr>
              <w:pStyle w:val="11"/>
            </w:pPr>
            <w:r>
              <w:t>指标值</w:t>
            </w:r>
          </w:p>
        </w:tc>
        <w:tc>
          <w:tcPr>
            <w:tcW w:w="1276" w:type="dxa"/>
            <w:vAlign w:val="center"/>
          </w:tcPr>
          <w:p w14:paraId="47C04230">
            <w:pPr>
              <w:pStyle w:val="11"/>
            </w:pPr>
            <w:r>
              <w:t>指标值确定依据</w:t>
            </w:r>
          </w:p>
        </w:tc>
      </w:tr>
      <w:tr w14:paraId="4E709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5653A">
            <w:pPr>
              <w:pStyle w:val="12"/>
            </w:pPr>
            <w:r>
              <w:t>产出指标</w:t>
            </w:r>
          </w:p>
        </w:tc>
        <w:tc>
          <w:tcPr>
            <w:tcW w:w="2268" w:type="dxa"/>
            <w:vAlign w:val="center"/>
          </w:tcPr>
          <w:p w14:paraId="03CA7B91">
            <w:pPr>
              <w:pStyle w:val="13"/>
            </w:pPr>
            <w:r>
              <w:t>数量指标</w:t>
            </w:r>
          </w:p>
        </w:tc>
        <w:tc>
          <w:tcPr>
            <w:tcW w:w="2835" w:type="dxa"/>
            <w:vAlign w:val="center"/>
          </w:tcPr>
          <w:p w14:paraId="1C066965">
            <w:pPr>
              <w:pStyle w:val="13"/>
            </w:pPr>
            <w:r>
              <w:t>适龄在校生</w:t>
            </w:r>
          </w:p>
        </w:tc>
        <w:tc>
          <w:tcPr>
            <w:tcW w:w="5386" w:type="dxa"/>
            <w:vAlign w:val="center"/>
          </w:tcPr>
          <w:p w14:paraId="4B53DDA2">
            <w:pPr>
              <w:pStyle w:val="13"/>
            </w:pPr>
            <w:r>
              <w:t>适龄在校就读学生人数</w:t>
            </w:r>
          </w:p>
        </w:tc>
        <w:tc>
          <w:tcPr>
            <w:tcW w:w="2268" w:type="dxa"/>
            <w:vAlign w:val="center"/>
          </w:tcPr>
          <w:p w14:paraId="408F764C">
            <w:pPr>
              <w:pStyle w:val="13"/>
            </w:pPr>
            <w:r>
              <w:t>440人</w:t>
            </w:r>
          </w:p>
        </w:tc>
        <w:tc>
          <w:tcPr>
            <w:tcW w:w="1276" w:type="dxa"/>
            <w:vAlign w:val="center"/>
          </w:tcPr>
          <w:p w14:paraId="152ECCE3">
            <w:pPr>
              <w:pStyle w:val="13"/>
            </w:pPr>
            <w:r>
              <w:t>城乡义务教育公用经费管理办法</w:t>
            </w:r>
          </w:p>
        </w:tc>
      </w:tr>
      <w:tr w14:paraId="5C3C0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D58AF"/>
        </w:tc>
        <w:tc>
          <w:tcPr>
            <w:tcW w:w="2268" w:type="dxa"/>
            <w:vAlign w:val="center"/>
          </w:tcPr>
          <w:p w14:paraId="24D0B614">
            <w:pPr>
              <w:pStyle w:val="13"/>
            </w:pPr>
            <w:r>
              <w:t>质量指标</w:t>
            </w:r>
          </w:p>
        </w:tc>
        <w:tc>
          <w:tcPr>
            <w:tcW w:w="2835" w:type="dxa"/>
            <w:vAlign w:val="center"/>
          </w:tcPr>
          <w:p w14:paraId="63CB39D3">
            <w:pPr>
              <w:pStyle w:val="13"/>
            </w:pPr>
            <w:r>
              <w:t>预算控制率</w:t>
            </w:r>
          </w:p>
        </w:tc>
        <w:tc>
          <w:tcPr>
            <w:tcW w:w="5386" w:type="dxa"/>
            <w:vAlign w:val="center"/>
          </w:tcPr>
          <w:p w14:paraId="39B2B66E">
            <w:pPr>
              <w:pStyle w:val="13"/>
            </w:pPr>
            <w:r>
              <w:t>预算执行</w:t>
            </w:r>
          </w:p>
        </w:tc>
        <w:tc>
          <w:tcPr>
            <w:tcW w:w="2268" w:type="dxa"/>
            <w:vAlign w:val="center"/>
          </w:tcPr>
          <w:p w14:paraId="3437B2CD">
            <w:pPr>
              <w:pStyle w:val="13"/>
            </w:pPr>
            <w:r>
              <w:t>≥95%</w:t>
            </w:r>
          </w:p>
        </w:tc>
        <w:tc>
          <w:tcPr>
            <w:tcW w:w="1276" w:type="dxa"/>
            <w:vAlign w:val="center"/>
          </w:tcPr>
          <w:p w14:paraId="79ECA290">
            <w:pPr>
              <w:pStyle w:val="13"/>
            </w:pPr>
            <w:r>
              <w:t>城乡义务教育公用经费管理办法</w:t>
            </w:r>
          </w:p>
        </w:tc>
      </w:tr>
      <w:tr w14:paraId="43EE8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258BA"/>
        </w:tc>
        <w:tc>
          <w:tcPr>
            <w:tcW w:w="2268" w:type="dxa"/>
            <w:vAlign w:val="center"/>
          </w:tcPr>
          <w:p w14:paraId="1A1FB767">
            <w:pPr>
              <w:pStyle w:val="13"/>
            </w:pPr>
            <w:r>
              <w:t>时效指标</w:t>
            </w:r>
          </w:p>
        </w:tc>
        <w:tc>
          <w:tcPr>
            <w:tcW w:w="2835" w:type="dxa"/>
            <w:vAlign w:val="center"/>
          </w:tcPr>
          <w:p w14:paraId="27E3E0BC">
            <w:pPr>
              <w:pStyle w:val="13"/>
            </w:pPr>
            <w:r>
              <w:t>资金支付率</w:t>
            </w:r>
          </w:p>
        </w:tc>
        <w:tc>
          <w:tcPr>
            <w:tcW w:w="5386" w:type="dxa"/>
            <w:vAlign w:val="center"/>
          </w:tcPr>
          <w:p w14:paraId="2402CB4C">
            <w:pPr>
              <w:pStyle w:val="13"/>
            </w:pPr>
            <w:r>
              <w:t>按照序时进度完成资金支付</w:t>
            </w:r>
          </w:p>
        </w:tc>
        <w:tc>
          <w:tcPr>
            <w:tcW w:w="2268" w:type="dxa"/>
            <w:vAlign w:val="center"/>
          </w:tcPr>
          <w:p w14:paraId="797F255D">
            <w:pPr>
              <w:pStyle w:val="13"/>
            </w:pPr>
            <w:r>
              <w:t>≥100%</w:t>
            </w:r>
          </w:p>
        </w:tc>
        <w:tc>
          <w:tcPr>
            <w:tcW w:w="1276" w:type="dxa"/>
            <w:vAlign w:val="center"/>
          </w:tcPr>
          <w:p w14:paraId="5FBCBFC1">
            <w:pPr>
              <w:pStyle w:val="13"/>
            </w:pPr>
            <w:r>
              <w:t>城乡义务教育公用经费管理办法</w:t>
            </w:r>
          </w:p>
        </w:tc>
      </w:tr>
      <w:tr w14:paraId="36504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B25FF"/>
        </w:tc>
        <w:tc>
          <w:tcPr>
            <w:tcW w:w="2268" w:type="dxa"/>
            <w:vAlign w:val="center"/>
          </w:tcPr>
          <w:p w14:paraId="29650F24">
            <w:pPr>
              <w:pStyle w:val="13"/>
            </w:pPr>
            <w:r>
              <w:t>成本指标</w:t>
            </w:r>
          </w:p>
        </w:tc>
        <w:tc>
          <w:tcPr>
            <w:tcW w:w="2835" w:type="dxa"/>
            <w:vAlign w:val="center"/>
          </w:tcPr>
          <w:p w14:paraId="1DED30A9">
            <w:pPr>
              <w:pStyle w:val="13"/>
            </w:pPr>
            <w:r>
              <w:t>生均拨款标准</w:t>
            </w:r>
          </w:p>
        </w:tc>
        <w:tc>
          <w:tcPr>
            <w:tcW w:w="5386" w:type="dxa"/>
            <w:vAlign w:val="center"/>
          </w:tcPr>
          <w:p w14:paraId="5E39654D">
            <w:pPr>
              <w:pStyle w:val="13"/>
            </w:pPr>
            <w:r>
              <w:t>小学：（基本标准720元、寄宿生300元、取暖120元）/生/学年；随班就读学生：标准6000元/生/学年。</w:t>
            </w:r>
          </w:p>
        </w:tc>
        <w:tc>
          <w:tcPr>
            <w:tcW w:w="2268" w:type="dxa"/>
            <w:vAlign w:val="center"/>
          </w:tcPr>
          <w:p w14:paraId="3D4E9AF6">
            <w:pPr>
              <w:pStyle w:val="13"/>
            </w:pPr>
            <w:r>
              <w:t>250800元</w:t>
            </w:r>
          </w:p>
        </w:tc>
        <w:tc>
          <w:tcPr>
            <w:tcW w:w="1276" w:type="dxa"/>
            <w:vAlign w:val="center"/>
          </w:tcPr>
          <w:p w14:paraId="0797152D">
            <w:pPr>
              <w:pStyle w:val="13"/>
            </w:pPr>
            <w:r>
              <w:t>城乡义务教育公用经费管理办法</w:t>
            </w:r>
          </w:p>
        </w:tc>
      </w:tr>
      <w:tr w14:paraId="2D5F2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D7B461">
            <w:pPr>
              <w:pStyle w:val="12"/>
            </w:pPr>
            <w:r>
              <w:t>效益指标</w:t>
            </w:r>
          </w:p>
        </w:tc>
        <w:tc>
          <w:tcPr>
            <w:tcW w:w="2268" w:type="dxa"/>
            <w:vAlign w:val="center"/>
          </w:tcPr>
          <w:p w14:paraId="5F787BC9">
            <w:pPr>
              <w:pStyle w:val="13"/>
            </w:pPr>
            <w:r>
              <w:t>可持续影响指标</w:t>
            </w:r>
          </w:p>
        </w:tc>
        <w:tc>
          <w:tcPr>
            <w:tcW w:w="2835" w:type="dxa"/>
            <w:vAlign w:val="center"/>
          </w:tcPr>
          <w:p w14:paraId="7D3AEFDE">
            <w:pPr>
              <w:pStyle w:val="13"/>
            </w:pPr>
            <w:r>
              <w:t>教育发展水平明显好转</w:t>
            </w:r>
          </w:p>
        </w:tc>
        <w:tc>
          <w:tcPr>
            <w:tcW w:w="5386" w:type="dxa"/>
            <w:vAlign w:val="center"/>
          </w:tcPr>
          <w:p w14:paraId="33B58505">
            <w:pPr>
              <w:pStyle w:val="13"/>
            </w:pPr>
            <w:r>
              <w:t>学生受教育年限</w:t>
            </w:r>
          </w:p>
        </w:tc>
        <w:tc>
          <w:tcPr>
            <w:tcW w:w="2268" w:type="dxa"/>
            <w:vAlign w:val="center"/>
          </w:tcPr>
          <w:p w14:paraId="7C27A336">
            <w:pPr>
              <w:pStyle w:val="13"/>
            </w:pPr>
            <w:r>
              <w:t>6年</w:t>
            </w:r>
          </w:p>
        </w:tc>
        <w:tc>
          <w:tcPr>
            <w:tcW w:w="1276" w:type="dxa"/>
            <w:vAlign w:val="center"/>
          </w:tcPr>
          <w:p w14:paraId="32F52095">
            <w:pPr>
              <w:pStyle w:val="13"/>
            </w:pPr>
            <w:r>
              <w:t>城乡义务教育公用经费管理办法</w:t>
            </w:r>
          </w:p>
        </w:tc>
      </w:tr>
      <w:tr w14:paraId="37302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2A0589">
            <w:pPr>
              <w:pStyle w:val="12"/>
            </w:pPr>
            <w:r>
              <w:t>满意度指标</w:t>
            </w:r>
          </w:p>
        </w:tc>
        <w:tc>
          <w:tcPr>
            <w:tcW w:w="2268" w:type="dxa"/>
            <w:vAlign w:val="center"/>
          </w:tcPr>
          <w:p w14:paraId="7CF02025">
            <w:pPr>
              <w:pStyle w:val="13"/>
            </w:pPr>
            <w:r>
              <w:t>服务对象满意度指标</w:t>
            </w:r>
          </w:p>
        </w:tc>
        <w:tc>
          <w:tcPr>
            <w:tcW w:w="2835" w:type="dxa"/>
            <w:vAlign w:val="center"/>
          </w:tcPr>
          <w:p w14:paraId="136679F0">
            <w:pPr>
              <w:pStyle w:val="13"/>
            </w:pPr>
            <w:r>
              <w:t>受益学生家长及调查满意度</w:t>
            </w:r>
          </w:p>
        </w:tc>
        <w:tc>
          <w:tcPr>
            <w:tcW w:w="5386" w:type="dxa"/>
            <w:vAlign w:val="center"/>
          </w:tcPr>
          <w:p w14:paraId="65E6F1A8">
            <w:pPr>
              <w:pStyle w:val="13"/>
            </w:pPr>
            <w:r>
              <w:t>学生、教师及家长对学校教育教学工作满意度情况</w:t>
            </w:r>
          </w:p>
        </w:tc>
        <w:tc>
          <w:tcPr>
            <w:tcW w:w="2268" w:type="dxa"/>
            <w:vAlign w:val="center"/>
          </w:tcPr>
          <w:p w14:paraId="38A12557">
            <w:pPr>
              <w:pStyle w:val="13"/>
            </w:pPr>
            <w:r>
              <w:t>≥95%</w:t>
            </w:r>
          </w:p>
        </w:tc>
        <w:tc>
          <w:tcPr>
            <w:tcW w:w="1276" w:type="dxa"/>
            <w:vAlign w:val="center"/>
          </w:tcPr>
          <w:p w14:paraId="4A1F5B21">
            <w:pPr>
              <w:pStyle w:val="13"/>
            </w:pPr>
            <w:r>
              <w:t>调查问卷</w:t>
            </w:r>
          </w:p>
        </w:tc>
      </w:tr>
    </w:tbl>
    <w:p w14:paraId="691BAF66">
      <w:pPr>
        <w:sectPr>
          <w:pgSz w:w="16840" w:h="11900" w:orient="landscape"/>
          <w:pgMar w:top="1361" w:right="1020" w:bottom="1134" w:left="1020" w:header="720" w:footer="720" w:gutter="0"/>
          <w:cols w:space="720" w:num="1"/>
        </w:sectPr>
      </w:pPr>
    </w:p>
    <w:p w14:paraId="6A62132F">
      <w:pPr>
        <w:spacing w:before="0" w:after="0"/>
        <w:ind w:firstLine="560"/>
        <w:jc w:val="left"/>
        <w:outlineLvl w:val="9"/>
      </w:pPr>
      <w:r>
        <w:rPr>
          <w:rFonts w:ascii="方正仿宋_GBK" w:hAnsi="方正仿宋_GBK" w:eastAsia="方正仿宋_GBK" w:cs="方正仿宋_GBK"/>
          <w:b/>
          <w:color w:val="000000"/>
          <w:sz w:val="28"/>
        </w:rPr>
        <w:t>155、县级配套/民办普惠园学前教育幼儿资助绩效目标表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18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F4989">
            <w:pPr>
              <w:pStyle w:val="14"/>
            </w:pPr>
            <w:r>
              <w:t>单位：万元</w:t>
            </w:r>
          </w:p>
        </w:tc>
      </w:tr>
      <w:tr w14:paraId="7DADD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503C3C">
            <w:pPr>
              <w:pStyle w:val="11"/>
            </w:pPr>
            <w:r>
              <w:t>项目编码</w:t>
            </w:r>
          </w:p>
        </w:tc>
        <w:tc>
          <w:tcPr>
            <w:tcW w:w="5103" w:type="dxa"/>
            <w:gridSpan w:val="2"/>
            <w:vAlign w:val="center"/>
          </w:tcPr>
          <w:p w14:paraId="605B3B4C">
            <w:pPr>
              <w:pStyle w:val="13"/>
            </w:pPr>
            <w:r>
              <w:t>13052525P00000210029W</w:t>
            </w:r>
          </w:p>
        </w:tc>
        <w:tc>
          <w:tcPr>
            <w:tcW w:w="2835" w:type="dxa"/>
            <w:vAlign w:val="center"/>
          </w:tcPr>
          <w:p w14:paraId="341CE4CD">
            <w:pPr>
              <w:pStyle w:val="11"/>
            </w:pPr>
            <w:r>
              <w:t>项目名称</w:t>
            </w:r>
          </w:p>
        </w:tc>
        <w:tc>
          <w:tcPr>
            <w:tcW w:w="6095" w:type="dxa"/>
            <w:gridSpan w:val="3"/>
            <w:vAlign w:val="center"/>
          </w:tcPr>
          <w:p w14:paraId="0554948D">
            <w:pPr>
              <w:pStyle w:val="13"/>
            </w:pPr>
            <w:r>
              <w:t>县级配套/民办普惠园学前教育幼儿资助</w:t>
            </w:r>
          </w:p>
        </w:tc>
      </w:tr>
      <w:tr w14:paraId="7C6AF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1B115">
            <w:pPr>
              <w:pStyle w:val="11"/>
            </w:pPr>
            <w:r>
              <w:t>预算规模及资金用途</w:t>
            </w:r>
          </w:p>
        </w:tc>
        <w:tc>
          <w:tcPr>
            <w:tcW w:w="2268" w:type="dxa"/>
            <w:vAlign w:val="center"/>
          </w:tcPr>
          <w:p w14:paraId="51CD91D3">
            <w:pPr>
              <w:pStyle w:val="11"/>
            </w:pPr>
            <w:r>
              <w:t>预算数</w:t>
            </w:r>
          </w:p>
        </w:tc>
        <w:tc>
          <w:tcPr>
            <w:tcW w:w="2835" w:type="dxa"/>
            <w:vAlign w:val="center"/>
          </w:tcPr>
          <w:p w14:paraId="4DD1859E">
            <w:pPr>
              <w:pStyle w:val="13"/>
            </w:pPr>
            <w:r>
              <w:t>5.30</w:t>
            </w:r>
          </w:p>
        </w:tc>
        <w:tc>
          <w:tcPr>
            <w:tcW w:w="2835" w:type="dxa"/>
            <w:vAlign w:val="center"/>
          </w:tcPr>
          <w:p w14:paraId="66A75455">
            <w:pPr>
              <w:pStyle w:val="11"/>
            </w:pPr>
            <w:r>
              <w:t>其中：财政    资金</w:t>
            </w:r>
          </w:p>
        </w:tc>
        <w:tc>
          <w:tcPr>
            <w:tcW w:w="2551" w:type="dxa"/>
            <w:vAlign w:val="center"/>
          </w:tcPr>
          <w:p w14:paraId="6282E705">
            <w:pPr>
              <w:pStyle w:val="13"/>
            </w:pPr>
            <w:r>
              <w:t>5.30</w:t>
            </w:r>
          </w:p>
        </w:tc>
        <w:tc>
          <w:tcPr>
            <w:tcW w:w="2268" w:type="dxa"/>
            <w:vAlign w:val="center"/>
          </w:tcPr>
          <w:p w14:paraId="7B885E40">
            <w:pPr>
              <w:pStyle w:val="11"/>
            </w:pPr>
            <w:r>
              <w:t>其他资金</w:t>
            </w:r>
          </w:p>
        </w:tc>
        <w:tc>
          <w:tcPr>
            <w:tcW w:w="1276" w:type="dxa"/>
            <w:vAlign w:val="center"/>
          </w:tcPr>
          <w:p w14:paraId="29C49F43">
            <w:pPr>
              <w:pStyle w:val="13"/>
            </w:pPr>
            <w:r>
              <w:t xml:space="preserve"> </w:t>
            </w:r>
          </w:p>
        </w:tc>
      </w:tr>
      <w:tr w14:paraId="0D4D2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9E996B"/>
        </w:tc>
        <w:tc>
          <w:tcPr>
            <w:tcW w:w="14033" w:type="dxa"/>
            <w:gridSpan w:val="6"/>
            <w:vAlign w:val="center"/>
          </w:tcPr>
          <w:p w14:paraId="654BD530">
            <w:pPr>
              <w:pStyle w:val="13"/>
            </w:pPr>
            <w:r>
              <w:t>保障落实建档立卡及家庭经济困难儿童资助所需资金，确保建档立卡等家庭经济困难幼儿优先获得资助</w:t>
            </w:r>
          </w:p>
        </w:tc>
      </w:tr>
      <w:tr w14:paraId="50EB9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6D7D6EB8">
            <w:pPr>
              <w:pStyle w:val="11"/>
            </w:pPr>
            <w:r>
              <w:t>资金支出计划（%）</w:t>
            </w:r>
          </w:p>
        </w:tc>
        <w:tc>
          <w:tcPr>
            <w:tcW w:w="5103" w:type="dxa"/>
            <w:gridSpan w:val="2"/>
            <w:vAlign w:val="center"/>
          </w:tcPr>
          <w:p w14:paraId="4ABED5F8">
            <w:pPr>
              <w:pStyle w:val="11"/>
            </w:pPr>
            <w:r>
              <w:t>3月底</w:t>
            </w:r>
          </w:p>
        </w:tc>
        <w:tc>
          <w:tcPr>
            <w:tcW w:w="2835" w:type="dxa"/>
            <w:vAlign w:val="center"/>
          </w:tcPr>
          <w:p w14:paraId="39420957">
            <w:pPr>
              <w:pStyle w:val="11"/>
            </w:pPr>
            <w:r>
              <w:t>6月底</w:t>
            </w:r>
          </w:p>
        </w:tc>
        <w:tc>
          <w:tcPr>
            <w:tcW w:w="2551" w:type="dxa"/>
            <w:vAlign w:val="center"/>
          </w:tcPr>
          <w:p w14:paraId="2894BCAD">
            <w:pPr>
              <w:pStyle w:val="11"/>
            </w:pPr>
            <w:r>
              <w:t>10月底</w:t>
            </w:r>
          </w:p>
        </w:tc>
        <w:tc>
          <w:tcPr>
            <w:tcW w:w="3544" w:type="dxa"/>
            <w:gridSpan w:val="2"/>
            <w:vAlign w:val="center"/>
          </w:tcPr>
          <w:p w14:paraId="459B9618">
            <w:pPr>
              <w:pStyle w:val="11"/>
            </w:pPr>
            <w:r>
              <w:t>12月底</w:t>
            </w:r>
          </w:p>
        </w:tc>
      </w:tr>
      <w:tr w14:paraId="200BE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21AD56"/>
        </w:tc>
        <w:tc>
          <w:tcPr>
            <w:tcW w:w="5103" w:type="dxa"/>
            <w:gridSpan w:val="2"/>
            <w:vAlign w:val="center"/>
          </w:tcPr>
          <w:p w14:paraId="0E3F16BC">
            <w:pPr>
              <w:pStyle w:val="12"/>
            </w:pPr>
            <w:r>
              <w:t xml:space="preserve"> </w:t>
            </w:r>
          </w:p>
        </w:tc>
        <w:tc>
          <w:tcPr>
            <w:tcW w:w="2835" w:type="dxa"/>
            <w:vAlign w:val="center"/>
          </w:tcPr>
          <w:p w14:paraId="444F88CA">
            <w:pPr>
              <w:pStyle w:val="12"/>
            </w:pPr>
            <w:r>
              <w:t xml:space="preserve"> </w:t>
            </w:r>
          </w:p>
        </w:tc>
        <w:tc>
          <w:tcPr>
            <w:tcW w:w="2551" w:type="dxa"/>
            <w:vAlign w:val="center"/>
          </w:tcPr>
          <w:p w14:paraId="7E83474A">
            <w:pPr>
              <w:pStyle w:val="12"/>
            </w:pPr>
            <w:r>
              <w:t xml:space="preserve"> </w:t>
            </w:r>
          </w:p>
        </w:tc>
        <w:tc>
          <w:tcPr>
            <w:tcW w:w="3544" w:type="dxa"/>
            <w:gridSpan w:val="2"/>
            <w:vAlign w:val="center"/>
          </w:tcPr>
          <w:p w14:paraId="3D2A9F9A">
            <w:pPr>
              <w:pStyle w:val="12"/>
            </w:pPr>
            <w:r>
              <w:t>100%</w:t>
            </w:r>
          </w:p>
        </w:tc>
      </w:tr>
      <w:tr w14:paraId="7B43A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14DA3">
            <w:pPr>
              <w:pStyle w:val="11"/>
            </w:pPr>
            <w:r>
              <w:t>绩效目标</w:t>
            </w:r>
          </w:p>
        </w:tc>
        <w:tc>
          <w:tcPr>
            <w:tcW w:w="14033" w:type="dxa"/>
            <w:gridSpan w:val="6"/>
            <w:vAlign w:val="center"/>
          </w:tcPr>
          <w:p w14:paraId="3623E97C">
            <w:pPr>
              <w:pStyle w:val="13"/>
            </w:pPr>
            <w:r>
              <w:t>1.保障落实建档立卡及家庭经济困难儿童资助所需资金，确保建档立卡等家庭经济困难幼儿优先获得资助</w:t>
            </w:r>
            <w:r>
              <w:tab/>
            </w:r>
          </w:p>
          <w:p w14:paraId="60AE0A9D">
            <w:pPr>
              <w:pStyle w:val="13"/>
            </w:pPr>
          </w:p>
        </w:tc>
      </w:tr>
    </w:tbl>
    <w:p w14:paraId="55F08F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33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27659">
            <w:pPr>
              <w:pStyle w:val="11"/>
            </w:pPr>
            <w:r>
              <w:t>一级指标</w:t>
            </w:r>
          </w:p>
        </w:tc>
        <w:tc>
          <w:tcPr>
            <w:tcW w:w="2268" w:type="dxa"/>
            <w:vAlign w:val="center"/>
          </w:tcPr>
          <w:p w14:paraId="3947B6E1">
            <w:pPr>
              <w:pStyle w:val="11"/>
            </w:pPr>
            <w:r>
              <w:t>二级指标</w:t>
            </w:r>
          </w:p>
        </w:tc>
        <w:tc>
          <w:tcPr>
            <w:tcW w:w="2835" w:type="dxa"/>
            <w:vAlign w:val="center"/>
          </w:tcPr>
          <w:p w14:paraId="62B9CC8B">
            <w:pPr>
              <w:pStyle w:val="11"/>
            </w:pPr>
            <w:r>
              <w:t>三级指标</w:t>
            </w:r>
          </w:p>
        </w:tc>
        <w:tc>
          <w:tcPr>
            <w:tcW w:w="5386" w:type="dxa"/>
            <w:vAlign w:val="center"/>
          </w:tcPr>
          <w:p w14:paraId="60D487D8">
            <w:pPr>
              <w:pStyle w:val="11"/>
            </w:pPr>
            <w:r>
              <w:t>绩效指标描述</w:t>
            </w:r>
          </w:p>
        </w:tc>
        <w:tc>
          <w:tcPr>
            <w:tcW w:w="2268" w:type="dxa"/>
            <w:vAlign w:val="center"/>
          </w:tcPr>
          <w:p w14:paraId="37AC58F6">
            <w:pPr>
              <w:pStyle w:val="11"/>
            </w:pPr>
            <w:r>
              <w:t>指标值</w:t>
            </w:r>
          </w:p>
        </w:tc>
        <w:tc>
          <w:tcPr>
            <w:tcW w:w="1276" w:type="dxa"/>
            <w:vAlign w:val="center"/>
          </w:tcPr>
          <w:p w14:paraId="0D0DBB13">
            <w:pPr>
              <w:pStyle w:val="11"/>
            </w:pPr>
            <w:r>
              <w:t>指标值确定依据</w:t>
            </w:r>
          </w:p>
        </w:tc>
      </w:tr>
      <w:tr w14:paraId="37389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85E7C">
            <w:pPr>
              <w:pStyle w:val="12"/>
            </w:pPr>
            <w:r>
              <w:t>产出指标</w:t>
            </w:r>
          </w:p>
        </w:tc>
        <w:tc>
          <w:tcPr>
            <w:tcW w:w="2268" w:type="dxa"/>
            <w:vAlign w:val="center"/>
          </w:tcPr>
          <w:p w14:paraId="44925EE7">
            <w:pPr>
              <w:pStyle w:val="13"/>
            </w:pPr>
            <w:r>
              <w:t>数量指标</w:t>
            </w:r>
          </w:p>
        </w:tc>
        <w:tc>
          <w:tcPr>
            <w:tcW w:w="2835" w:type="dxa"/>
            <w:vAlign w:val="center"/>
          </w:tcPr>
          <w:p w14:paraId="03E5047A">
            <w:pPr>
              <w:pStyle w:val="13"/>
            </w:pPr>
            <w:r>
              <w:t>普惠园幼儿资助资金</w:t>
            </w:r>
          </w:p>
        </w:tc>
        <w:tc>
          <w:tcPr>
            <w:tcW w:w="5386" w:type="dxa"/>
            <w:vAlign w:val="center"/>
          </w:tcPr>
          <w:p w14:paraId="2DC74966">
            <w:pPr>
              <w:pStyle w:val="13"/>
            </w:pPr>
            <w:r>
              <w:t>按学前适龄在园儿童10%测算</w:t>
            </w:r>
          </w:p>
        </w:tc>
        <w:tc>
          <w:tcPr>
            <w:tcW w:w="2268" w:type="dxa"/>
            <w:vAlign w:val="center"/>
          </w:tcPr>
          <w:p w14:paraId="7ADC5836">
            <w:pPr>
              <w:pStyle w:val="13"/>
            </w:pPr>
            <w:r>
              <w:t>53000元</w:t>
            </w:r>
          </w:p>
        </w:tc>
        <w:tc>
          <w:tcPr>
            <w:tcW w:w="1276" w:type="dxa"/>
            <w:vAlign w:val="center"/>
          </w:tcPr>
          <w:p w14:paraId="3CC514F5">
            <w:pPr>
              <w:pStyle w:val="13"/>
            </w:pPr>
            <w:r>
              <w:t>幼儿资助经费管理办法</w:t>
            </w:r>
          </w:p>
        </w:tc>
      </w:tr>
      <w:tr w14:paraId="5882D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0A7D732A"/>
        </w:tc>
        <w:tc>
          <w:tcPr>
            <w:tcW w:w="2268" w:type="dxa"/>
            <w:vAlign w:val="center"/>
          </w:tcPr>
          <w:p w14:paraId="1BC6302F">
            <w:pPr>
              <w:pStyle w:val="13"/>
            </w:pPr>
            <w:r>
              <w:t>质量指标</w:t>
            </w:r>
          </w:p>
        </w:tc>
        <w:tc>
          <w:tcPr>
            <w:tcW w:w="2835" w:type="dxa"/>
            <w:vAlign w:val="center"/>
          </w:tcPr>
          <w:p w14:paraId="4F103DC3">
            <w:pPr>
              <w:pStyle w:val="13"/>
            </w:pPr>
            <w:r>
              <w:t>学前教育资助制度落实情况</w:t>
            </w:r>
          </w:p>
        </w:tc>
        <w:tc>
          <w:tcPr>
            <w:tcW w:w="5386" w:type="dxa"/>
            <w:vAlign w:val="center"/>
          </w:tcPr>
          <w:p w14:paraId="500317AE">
            <w:pPr>
              <w:pStyle w:val="13"/>
            </w:pPr>
            <w:r>
              <w:t>符合享受资助条件的学生应助尽助</w:t>
            </w:r>
          </w:p>
        </w:tc>
        <w:tc>
          <w:tcPr>
            <w:tcW w:w="2268" w:type="dxa"/>
            <w:vAlign w:val="center"/>
          </w:tcPr>
          <w:p w14:paraId="15FE3587">
            <w:pPr>
              <w:pStyle w:val="13"/>
            </w:pPr>
            <w:r>
              <w:t>3317人</w:t>
            </w:r>
          </w:p>
        </w:tc>
        <w:tc>
          <w:tcPr>
            <w:tcW w:w="1276" w:type="dxa"/>
            <w:vAlign w:val="center"/>
          </w:tcPr>
          <w:p w14:paraId="6621B752">
            <w:pPr>
              <w:pStyle w:val="13"/>
            </w:pPr>
            <w:r>
              <w:t>幼儿资助经费管理办法</w:t>
            </w:r>
          </w:p>
        </w:tc>
      </w:tr>
      <w:tr w14:paraId="169C7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A49DF"/>
        </w:tc>
        <w:tc>
          <w:tcPr>
            <w:tcW w:w="2268" w:type="dxa"/>
            <w:vAlign w:val="center"/>
          </w:tcPr>
          <w:p w14:paraId="50432129">
            <w:pPr>
              <w:pStyle w:val="13"/>
            </w:pPr>
            <w:r>
              <w:t>时效指标</w:t>
            </w:r>
          </w:p>
        </w:tc>
        <w:tc>
          <w:tcPr>
            <w:tcW w:w="2835" w:type="dxa"/>
            <w:vAlign w:val="center"/>
          </w:tcPr>
          <w:p w14:paraId="6C2F3135">
            <w:pPr>
              <w:pStyle w:val="13"/>
            </w:pPr>
            <w:r>
              <w:t>资金拨付率</w:t>
            </w:r>
          </w:p>
        </w:tc>
        <w:tc>
          <w:tcPr>
            <w:tcW w:w="5386" w:type="dxa"/>
            <w:vAlign w:val="center"/>
          </w:tcPr>
          <w:p w14:paraId="48F75707">
            <w:pPr>
              <w:pStyle w:val="13"/>
            </w:pPr>
            <w:r>
              <w:t>所有项目资金支付进度</w:t>
            </w:r>
          </w:p>
        </w:tc>
        <w:tc>
          <w:tcPr>
            <w:tcW w:w="2268" w:type="dxa"/>
            <w:vAlign w:val="center"/>
          </w:tcPr>
          <w:p w14:paraId="6A2D4278">
            <w:pPr>
              <w:pStyle w:val="13"/>
            </w:pPr>
            <w:r>
              <w:t>≥100%</w:t>
            </w:r>
          </w:p>
        </w:tc>
        <w:tc>
          <w:tcPr>
            <w:tcW w:w="1276" w:type="dxa"/>
            <w:vAlign w:val="center"/>
          </w:tcPr>
          <w:p w14:paraId="70450D43">
            <w:pPr>
              <w:pStyle w:val="13"/>
            </w:pPr>
            <w:r>
              <w:t>幼儿资助经费管理办法</w:t>
            </w:r>
          </w:p>
        </w:tc>
      </w:tr>
      <w:tr w14:paraId="22BCD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DDA43"/>
        </w:tc>
        <w:tc>
          <w:tcPr>
            <w:tcW w:w="2268" w:type="dxa"/>
            <w:vAlign w:val="center"/>
          </w:tcPr>
          <w:p w14:paraId="0C26FEB7">
            <w:pPr>
              <w:pStyle w:val="13"/>
            </w:pPr>
            <w:r>
              <w:t>成本指标</w:t>
            </w:r>
          </w:p>
        </w:tc>
        <w:tc>
          <w:tcPr>
            <w:tcW w:w="2835" w:type="dxa"/>
            <w:vAlign w:val="center"/>
          </w:tcPr>
          <w:p w14:paraId="62856103">
            <w:pPr>
              <w:pStyle w:val="13"/>
            </w:pPr>
            <w:r>
              <w:t>幼儿园资助标准</w:t>
            </w:r>
          </w:p>
        </w:tc>
        <w:tc>
          <w:tcPr>
            <w:tcW w:w="5386" w:type="dxa"/>
            <w:vAlign w:val="center"/>
          </w:tcPr>
          <w:p w14:paraId="31D981B3">
            <w:pPr>
              <w:pStyle w:val="13"/>
            </w:pPr>
            <w:r>
              <w:t>按照幼儿园资助标准1000元/生/年</w:t>
            </w:r>
          </w:p>
          <w:p w14:paraId="2E9E26AD">
            <w:pPr>
              <w:pStyle w:val="13"/>
            </w:pPr>
          </w:p>
        </w:tc>
        <w:tc>
          <w:tcPr>
            <w:tcW w:w="2268" w:type="dxa"/>
            <w:vAlign w:val="center"/>
          </w:tcPr>
          <w:p w14:paraId="0BB69635">
            <w:pPr>
              <w:pStyle w:val="13"/>
            </w:pPr>
            <w:r>
              <w:t>1000元/生/年</w:t>
            </w:r>
          </w:p>
        </w:tc>
        <w:tc>
          <w:tcPr>
            <w:tcW w:w="1276" w:type="dxa"/>
            <w:vAlign w:val="center"/>
          </w:tcPr>
          <w:p w14:paraId="65623BE3">
            <w:pPr>
              <w:pStyle w:val="13"/>
            </w:pPr>
            <w:r>
              <w:t>幼儿资助经费管理办法</w:t>
            </w:r>
          </w:p>
        </w:tc>
      </w:tr>
      <w:tr w14:paraId="05E9A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744A2A">
            <w:pPr>
              <w:pStyle w:val="12"/>
            </w:pPr>
            <w:r>
              <w:t>效益指标</w:t>
            </w:r>
          </w:p>
        </w:tc>
        <w:tc>
          <w:tcPr>
            <w:tcW w:w="2268" w:type="dxa"/>
            <w:vAlign w:val="center"/>
          </w:tcPr>
          <w:p w14:paraId="239DCD20">
            <w:pPr>
              <w:pStyle w:val="13"/>
            </w:pPr>
            <w:r>
              <w:t>可持续影响指标</w:t>
            </w:r>
          </w:p>
        </w:tc>
        <w:tc>
          <w:tcPr>
            <w:tcW w:w="2835" w:type="dxa"/>
            <w:vAlign w:val="center"/>
          </w:tcPr>
          <w:p w14:paraId="6D8E76EA">
            <w:pPr>
              <w:pStyle w:val="13"/>
            </w:pPr>
            <w:r>
              <w:t>幼儿园运转</w:t>
            </w:r>
          </w:p>
        </w:tc>
        <w:tc>
          <w:tcPr>
            <w:tcW w:w="5386" w:type="dxa"/>
            <w:vAlign w:val="center"/>
          </w:tcPr>
          <w:p w14:paraId="19EE2B4B">
            <w:pPr>
              <w:pStyle w:val="13"/>
            </w:pPr>
            <w:r>
              <w:t>幼儿受教育年限</w:t>
            </w:r>
          </w:p>
        </w:tc>
        <w:tc>
          <w:tcPr>
            <w:tcW w:w="2268" w:type="dxa"/>
            <w:vAlign w:val="center"/>
          </w:tcPr>
          <w:p w14:paraId="6AC41B81">
            <w:pPr>
              <w:pStyle w:val="13"/>
            </w:pPr>
            <w:r>
              <w:t>3年</w:t>
            </w:r>
          </w:p>
        </w:tc>
        <w:tc>
          <w:tcPr>
            <w:tcW w:w="1276" w:type="dxa"/>
            <w:vAlign w:val="center"/>
          </w:tcPr>
          <w:p w14:paraId="3D0DB63A">
            <w:pPr>
              <w:pStyle w:val="13"/>
            </w:pPr>
            <w:r>
              <w:t>幼儿资助经费管理办法</w:t>
            </w:r>
          </w:p>
        </w:tc>
      </w:tr>
      <w:tr w14:paraId="17354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A74D26">
            <w:pPr>
              <w:pStyle w:val="12"/>
            </w:pPr>
            <w:r>
              <w:t>满意度指标</w:t>
            </w:r>
          </w:p>
        </w:tc>
        <w:tc>
          <w:tcPr>
            <w:tcW w:w="2268" w:type="dxa"/>
            <w:vAlign w:val="center"/>
          </w:tcPr>
          <w:p w14:paraId="4ABF7227">
            <w:pPr>
              <w:pStyle w:val="13"/>
            </w:pPr>
            <w:r>
              <w:t>服务对象满意度指标</w:t>
            </w:r>
          </w:p>
        </w:tc>
        <w:tc>
          <w:tcPr>
            <w:tcW w:w="2835" w:type="dxa"/>
            <w:vAlign w:val="center"/>
          </w:tcPr>
          <w:p w14:paraId="7705BDD9">
            <w:pPr>
              <w:pStyle w:val="13"/>
            </w:pPr>
            <w:r>
              <w:t>受益幼儿家长及调查满意度</w:t>
            </w:r>
          </w:p>
        </w:tc>
        <w:tc>
          <w:tcPr>
            <w:tcW w:w="5386" w:type="dxa"/>
            <w:vAlign w:val="center"/>
          </w:tcPr>
          <w:p w14:paraId="7429AEBB">
            <w:pPr>
              <w:pStyle w:val="13"/>
            </w:pPr>
            <w:r>
              <w:t>学生、教师及家长对学校保教保育工作满意度情况</w:t>
            </w:r>
          </w:p>
        </w:tc>
        <w:tc>
          <w:tcPr>
            <w:tcW w:w="2268" w:type="dxa"/>
            <w:vAlign w:val="center"/>
          </w:tcPr>
          <w:p w14:paraId="02657612">
            <w:pPr>
              <w:pStyle w:val="13"/>
            </w:pPr>
            <w:r>
              <w:t>≥95%</w:t>
            </w:r>
          </w:p>
        </w:tc>
        <w:tc>
          <w:tcPr>
            <w:tcW w:w="1276" w:type="dxa"/>
            <w:vAlign w:val="center"/>
          </w:tcPr>
          <w:p w14:paraId="46EF9F54">
            <w:pPr>
              <w:pStyle w:val="13"/>
            </w:pPr>
            <w:r>
              <w:t>调查问卷</w:t>
            </w:r>
          </w:p>
        </w:tc>
      </w:tr>
    </w:tbl>
    <w:p w14:paraId="08FE89F7">
      <w:pPr>
        <w:sectPr>
          <w:pgSz w:w="16840" w:h="11900" w:orient="landscape"/>
          <w:pgMar w:top="1361" w:right="1020" w:bottom="1134" w:left="1020" w:header="720" w:footer="720" w:gutter="0"/>
          <w:cols w:space="720" w:num="1"/>
        </w:sectPr>
      </w:pPr>
    </w:p>
    <w:p w14:paraId="77B8D971">
      <w:pPr>
        <w:spacing w:before="0" w:after="0"/>
        <w:ind w:firstLine="560"/>
        <w:jc w:val="left"/>
        <w:outlineLvl w:val="9"/>
      </w:pPr>
      <w:r>
        <w:rPr>
          <w:rFonts w:ascii="方正仿宋_GBK" w:hAnsi="方正仿宋_GBK" w:eastAsia="方正仿宋_GBK" w:cs="方正仿宋_GBK"/>
          <w:b/>
          <w:color w:val="000000"/>
          <w:sz w:val="28"/>
        </w:rPr>
        <w:t>156、县级配套/普通高中三免（唐尧中学）建档立卡绩效目标表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B1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DD3BF">
            <w:pPr>
              <w:pStyle w:val="14"/>
            </w:pPr>
            <w:r>
              <w:t>单位：万元</w:t>
            </w:r>
          </w:p>
        </w:tc>
      </w:tr>
      <w:tr w14:paraId="652CC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627209">
            <w:pPr>
              <w:pStyle w:val="11"/>
            </w:pPr>
            <w:r>
              <w:t>项目编码</w:t>
            </w:r>
          </w:p>
        </w:tc>
        <w:tc>
          <w:tcPr>
            <w:tcW w:w="5103" w:type="dxa"/>
            <w:gridSpan w:val="2"/>
            <w:vAlign w:val="center"/>
          </w:tcPr>
          <w:p w14:paraId="7F643AF8">
            <w:pPr>
              <w:pStyle w:val="13"/>
            </w:pPr>
            <w:r>
              <w:t>13052525P00001210008Q</w:t>
            </w:r>
          </w:p>
        </w:tc>
        <w:tc>
          <w:tcPr>
            <w:tcW w:w="2835" w:type="dxa"/>
            <w:vAlign w:val="center"/>
          </w:tcPr>
          <w:p w14:paraId="0DD3F901">
            <w:pPr>
              <w:pStyle w:val="11"/>
            </w:pPr>
            <w:r>
              <w:t>项目名称</w:t>
            </w:r>
          </w:p>
        </w:tc>
        <w:tc>
          <w:tcPr>
            <w:tcW w:w="6095" w:type="dxa"/>
            <w:gridSpan w:val="3"/>
            <w:vAlign w:val="center"/>
          </w:tcPr>
          <w:p w14:paraId="441AC916">
            <w:pPr>
              <w:pStyle w:val="13"/>
            </w:pPr>
            <w:r>
              <w:t>县级配套/普通高中三免（唐尧中学）建档立卡</w:t>
            </w:r>
            <w:r>
              <w:tab/>
            </w:r>
            <w:r>
              <w:tab/>
            </w:r>
          </w:p>
        </w:tc>
      </w:tr>
      <w:tr w14:paraId="658C1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1967D">
            <w:pPr>
              <w:pStyle w:val="11"/>
            </w:pPr>
            <w:r>
              <w:t>预算规模及资金用途</w:t>
            </w:r>
          </w:p>
        </w:tc>
        <w:tc>
          <w:tcPr>
            <w:tcW w:w="2268" w:type="dxa"/>
            <w:vAlign w:val="center"/>
          </w:tcPr>
          <w:p w14:paraId="7C586EAC">
            <w:pPr>
              <w:pStyle w:val="11"/>
            </w:pPr>
            <w:r>
              <w:t>预算数</w:t>
            </w:r>
          </w:p>
        </w:tc>
        <w:tc>
          <w:tcPr>
            <w:tcW w:w="2835" w:type="dxa"/>
            <w:vAlign w:val="center"/>
          </w:tcPr>
          <w:p w14:paraId="5B0DA9F9">
            <w:pPr>
              <w:pStyle w:val="13"/>
            </w:pPr>
            <w:r>
              <w:t>2.38</w:t>
            </w:r>
          </w:p>
        </w:tc>
        <w:tc>
          <w:tcPr>
            <w:tcW w:w="2835" w:type="dxa"/>
            <w:vAlign w:val="center"/>
          </w:tcPr>
          <w:p w14:paraId="74551024">
            <w:pPr>
              <w:pStyle w:val="11"/>
            </w:pPr>
            <w:r>
              <w:t>其中：财政    资金</w:t>
            </w:r>
          </w:p>
        </w:tc>
        <w:tc>
          <w:tcPr>
            <w:tcW w:w="2551" w:type="dxa"/>
            <w:vAlign w:val="center"/>
          </w:tcPr>
          <w:p w14:paraId="146DE0F6">
            <w:pPr>
              <w:pStyle w:val="13"/>
            </w:pPr>
            <w:r>
              <w:t>2.38</w:t>
            </w:r>
          </w:p>
        </w:tc>
        <w:tc>
          <w:tcPr>
            <w:tcW w:w="2268" w:type="dxa"/>
            <w:vAlign w:val="center"/>
          </w:tcPr>
          <w:p w14:paraId="334D6920">
            <w:pPr>
              <w:pStyle w:val="11"/>
            </w:pPr>
            <w:r>
              <w:t>其他资金</w:t>
            </w:r>
          </w:p>
        </w:tc>
        <w:tc>
          <w:tcPr>
            <w:tcW w:w="1276" w:type="dxa"/>
            <w:vAlign w:val="center"/>
          </w:tcPr>
          <w:p w14:paraId="5171C570">
            <w:pPr>
              <w:pStyle w:val="13"/>
            </w:pPr>
            <w:r>
              <w:t xml:space="preserve"> </w:t>
            </w:r>
          </w:p>
        </w:tc>
      </w:tr>
      <w:tr w14:paraId="62DBB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F87BEE"/>
        </w:tc>
        <w:tc>
          <w:tcPr>
            <w:tcW w:w="14033" w:type="dxa"/>
            <w:gridSpan w:val="6"/>
            <w:vAlign w:val="center"/>
          </w:tcPr>
          <w:p w14:paraId="71815072">
            <w:pPr>
              <w:pStyle w:val="13"/>
            </w:pPr>
            <w:r>
              <w:t>深入宣传学生免学费政策，落实普通高中建档立卡家庭困难学生免除学杂费政策</w:t>
            </w:r>
          </w:p>
        </w:tc>
      </w:tr>
      <w:tr w14:paraId="61937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4DA69">
            <w:pPr>
              <w:pStyle w:val="11"/>
            </w:pPr>
            <w:r>
              <w:t>资金支出计划（%）</w:t>
            </w:r>
          </w:p>
        </w:tc>
        <w:tc>
          <w:tcPr>
            <w:tcW w:w="5103" w:type="dxa"/>
            <w:gridSpan w:val="2"/>
            <w:vAlign w:val="center"/>
          </w:tcPr>
          <w:p w14:paraId="3C6C628D">
            <w:pPr>
              <w:pStyle w:val="11"/>
            </w:pPr>
            <w:r>
              <w:t>3月底</w:t>
            </w:r>
          </w:p>
        </w:tc>
        <w:tc>
          <w:tcPr>
            <w:tcW w:w="2835" w:type="dxa"/>
            <w:vAlign w:val="center"/>
          </w:tcPr>
          <w:p w14:paraId="031F14DE">
            <w:pPr>
              <w:pStyle w:val="11"/>
            </w:pPr>
            <w:r>
              <w:t>6月底</w:t>
            </w:r>
          </w:p>
        </w:tc>
        <w:tc>
          <w:tcPr>
            <w:tcW w:w="2551" w:type="dxa"/>
            <w:vAlign w:val="center"/>
          </w:tcPr>
          <w:p w14:paraId="10B541B4">
            <w:pPr>
              <w:pStyle w:val="11"/>
            </w:pPr>
            <w:r>
              <w:t>10月底</w:t>
            </w:r>
          </w:p>
        </w:tc>
        <w:tc>
          <w:tcPr>
            <w:tcW w:w="3544" w:type="dxa"/>
            <w:gridSpan w:val="2"/>
            <w:vAlign w:val="center"/>
          </w:tcPr>
          <w:p w14:paraId="7FDF3BC4">
            <w:pPr>
              <w:pStyle w:val="11"/>
            </w:pPr>
            <w:r>
              <w:t>12月底</w:t>
            </w:r>
          </w:p>
        </w:tc>
      </w:tr>
      <w:tr w14:paraId="6D97D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181DA7C5"/>
        </w:tc>
        <w:tc>
          <w:tcPr>
            <w:tcW w:w="5103" w:type="dxa"/>
            <w:gridSpan w:val="2"/>
            <w:vAlign w:val="center"/>
          </w:tcPr>
          <w:p w14:paraId="58C47FD8">
            <w:pPr>
              <w:pStyle w:val="12"/>
            </w:pPr>
            <w:r>
              <w:t xml:space="preserve"> </w:t>
            </w:r>
          </w:p>
        </w:tc>
        <w:tc>
          <w:tcPr>
            <w:tcW w:w="2835" w:type="dxa"/>
            <w:vAlign w:val="center"/>
          </w:tcPr>
          <w:p w14:paraId="361C165D">
            <w:pPr>
              <w:pStyle w:val="12"/>
            </w:pPr>
            <w:r>
              <w:t xml:space="preserve"> </w:t>
            </w:r>
          </w:p>
        </w:tc>
        <w:tc>
          <w:tcPr>
            <w:tcW w:w="2551" w:type="dxa"/>
            <w:vAlign w:val="center"/>
          </w:tcPr>
          <w:p w14:paraId="4AAC5A88">
            <w:pPr>
              <w:pStyle w:val="12"/>
            </w:pPr>
            <w:r>
              <w:t xml:space="preserve"> </w:t>
            </w:r>
          </w:p>
        </w:tc>
        <w:tc>
          <w:tcPr>
            <w:tcW w:w="3544" w:type="dxa"/>
            <w:gridSpan w:val="2"/>
            <w:vAlign w:val="center"/>
          </w:tcPr>
          <w:p w14:paraId="2B477423">
            <w:pPr>
              <w:pStyle w:val="12"/>
            </w:pPr>
            <w:r>
              <w:t>100%</w:t>
            </w:r>
          </w:p>
        </w:tc>
      </w:tr>
      <w:tr w14:paraId="1B771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4BF44">
            <w:pPr>
              <w:pStyle w:val="11"/>
            </w:pPr>
            <w:r>
              <w:t>绩效目标</w:t>
            </w:r>
          </w:p>
        </w:tc>
        <w:tc>
          <w:tcPr>
            <w:tcW w:w="14033" w:type="dxa"/>
            <w:gridSpan w:val="6"/>
            <w:vAlign w:val="center"/>
          </w:tcPr>
          <w:p w14:paraId="32727865">
            <w:pPr>
              <w:pStyle w:val="13"/>
            </w:pPr>
            <w:r>
              <w:t>1.深入宣传学生免学费政策，落实普通高中建档立卡家庭困难学生免除学杂费政策</w:t>
            </w:r>
          </w:p>
        </w:tc>
      </w:tr>
    </w:tbl>
    <w:p w14:paraId="5D8CE2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D7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A6AEE">
            <w:pPr>
              <w:pStyle w:val="11"/>
            </w:pPr>
            <w:r>
              <w:t>一级指标</w:t>
            </w:r>
          </w:p>
        </w:tc>
        <w:tc>
          <w:tcPr>
            <w:tcW w:w="2268" w:type="dxa"/>
            <w:vAlign w:val="center"/>
          </w:tcPr>
          <w:p w14:paraId="288F1ABA">
            <w:pPr>
              <w:pStyle w:val="11"/>
            </w:pPr>
            <w:r>
              <w:t>二级指标</w:t>
            </w:r>
          </w:p>
        </w:tc>
        <w:tc>
          <w:tcPr>
            <w:tcW w:w="2835" w:type="dxa"/>
            <w:vAlign w:val="center"/>
          </w:tcPr>
          <w:p w14:paraId="4B99A514">
            <w:pPr>
              <w:pStyle w:val="11"/>
            </w:pPr>
            <w:r>
              <w:t>三级指标</w:t>
            </w:r>
          </w:p>
        </w:tc>
        <w:tc>
          <w:tcPr>
            <w:tcW w:w="5386" w:type="dxa"/>
            <w:vAlign w:val="center"/>
          </w:tcPr>
          <w:p w14:paraId="34AD2528">
            <w:pPr>
              <w:pStyle w:val="11"/>
            </w:pPr>
            <w:r>
              <w:t>绩效指标描述</w:t>
            </w:r>
          </w:p>
        </w:tc>
        <w:tc>
          <w:tcPr>
            <w:tcW w:w="2268" w:type="dxa"/>
            <w:vAlign w:val="center"/>
          </w:tcPr>
          <w:p w14:paraId="7323FCF4">
            <w:pPr>
              <w:pStyle w:val="11"/>
            </w:pPr>
            <w:r>
              <w:t>指标值</w:t>
            </w:r>
          </w:p>
        </w:tc>
        <w:tc>
          <w:tcPr>
            <w:tcW w:w="1276" w:type="dxa"/>
            <w:vAlign w:val="center"/>
          </w:tcPr>
          <w:p w14:paraId="598A5FE3">
            <w:pPr>
              <w:pStyle w:val="11"/>
            </w:pPr>
            <w:r>
              <w:t>指标值确定依据</w:t>
            </w:r>
          </w:p>
        </w:tc>
      </w:tr>
      <w:tr w14:paraId="63463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0009F">
            <w:pPr>
              <w:pStyle w:val="12"/>
            </w:pPr>
            <w:r>
              <w:t>产出指标</w:t>
            </w:r>
          </w:p>
        </w:tc>
        <w:tc>
          <w:tcPr>
            <w:tcW w:w="2268" w:type="dxa"/>
            <w:vAlign w:val="center"/>
          </w:tcPr>
          <w:p w14:paraId="2CAFE210">
            <w:pPr>
              <w:pStyle w:val="13"/>
            </w:pPr>
            <w:r>
              <w:t>数量指标</w:t>
            </w:r>
          </w:p>
        </w:tc>
        <w:tc>
          <w:tcPr>
            <w:tcW w:w="2835" w:type="dxa"/>
            <w:vAlign w:val="center"/>
          </w:tcPr>
          <w:p w14:paraId="37896A72">
            <w:pPr>
              <w:pStyle w:val="13"/>
            </w:pPr>
            <w:r>
              <w:t>普通高中资助人数</w:t>
            </w:r>
          </w:p>
        </w:tc>
        <w:tc>
          <w:tcPr>
            <w:tcW w:w="5386" w:type="dxa"/>
            <w:vAlign w:val="center"/>
          </w:tcPr>
          <w:p w14:paraId="02B467DC">
            <w:pPr>
              <w:pStyle w:val="13"/>
            </w:pPr>
            <w:r>
              <w:t>在我校就读具有正式注册学籍的建档立卡家庭学生</w:t>
            </w:r>
          </w:p>
        </w:tc>
        <w:tc>
          <w:tcPr>
            <w:tcW w:w="2268" w:type="dxa"/>
            <w:vAlign w:val="center"/>
          </w:tcPr>
          <w:p w14:paraId="4943D18A">
            <w:pPr>
              <w:pStyle w:val="13"/>
            </w:pPr>
            <w:r>
              <w:t>85人</w:t>
            </w:r>
          </w:p>
        </w:tc>
        <w:tc>
          <w:tcPr>
            <w:tcW w:w="1276" w:type="dxa"/>
            <w:vAlign w:val="center"/>
          </w:tcPr>
          <w:p w14:paraId="3759CAAC">
            <w:pPr>
              <w:pStyle w:val="13"/>
            </w:pPr>
            <w:r>
              <w:t>河北省建档立卡家庭经济困难学生资助管理暂行办法</w:t>
            </w:r>
          </w:p>
        </w:tc>
      </w:tr>
      <w:tr w14:paraId="42A9F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54C40"/>
        </w:tc>
        <w:tc>
          <w:tcPr>
            <w:tcW w:w="2268" w:type="dxa"/>
            <w:vAlign w:val="center"/>
          </w:tcPr>
          <w:p w14:paraId="51300393">
            <w:pPr>
              <w:pStyle w:val="13"/>
            </w:pPr>
            <w:r>
              <w:t>质量指标</w:t>
            </w:r>
          </w:p>
        </w:tc>
        <w:tc>
          <w:tcPr>
            <w:tcW w:w="2835" w:type="dxa"/>
            <w:vAlign w:val="center"/>
          </w:tcPr>
          <w:p w14:paraId="71171BCD">
            <w:pPr>
              <w:pStyle w:val="13"/>
            </w:pPr>
            <w:r>
              <w:t>完成普高三免资金发放</w:t>
            </w:r>
          </w:p>
        </w:tc>
        <w:tc>
          <w:tcPr>
            <w:tcW w:w="5386" w:type="dxa"/>
            <w:vAlign w:val="center"/>
          </w:tcPr>
          <w:p w14:paraId="19493421">
            <w:pPr>
              <w:pStyle w:val="13"/>
            </w:pPr>
            <w:r>
              <w:t>普高三免为建档立卡学生</w:t>
            </w:r>
          </w:p>
        </w:tc>
        <w:tc>
          <w:tcPr>
            <w:tcW w:w="2268" w:type="dxa"/>
            <w:vAlign w:val="center"/>
          </w:tcPr>
          <w:p w14:paraId="6B7B59F2">
            <w:pPr>
              <w:pStyle w:val="13"/>
            </w:pPr>
            <w:r>
              <w:t>100%</w:t>
            </w:r>
          </w:p>
        </w:tc>
        <w:tc>
          <w:tcPr>
            <w:tcW w:w="1276" w:type="dxa"/>
            <w:vAlign w:val="center"/>
          </w:tcPr>
          <w:p w14:paraId="6F6A1F6D">
            <w:pPr>
              <w:pStyle w:val="13"/>
            </w:pPr>
            <w:r>
              <w:t>河北省建档立卡家庭经济困难学生资助管理暂行办法</w:t>
            </w:r>
          </w:p>
        </w:tc>
      </w:tr>
      <w:tr w14:paraId="3F666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5EEA4"/>
        </w:tc>
        <w:tc>
          <w:tcPr>
            <w:tcW w:w="2268" w:type="dxa"/>
            <w:vAlign w:val="center"/>
          </w:tcPr>
          <w:p w14:paraId="07770E5B">
            <w:pPr>
              <w:pStyle w:val="13"/>
            </w:pPr>
            <w:r>
              <w:t>时效指标</w:t>
            </w:r>
          </w:p>
        </w:tc>
        <w:tc>
          <w:tcPr>
            <w:tcW w:w="2835" w:type="dxa"/>
            <w:vAlign w:val="center"/>
          </w:tcPr>
          <w:p w14:paraId="027CEB6C">
            <w:pPr>
              <w:pStyle w:val="13"/>
            </w:pPr>
            <w:r>
              <w:t>补助资金到位</w:t>
            </w:r>
          </w:p>
        </w:tc>
        <w:tc>
          <w:tcPr>
            <w:tcW w:w="5386" w:type="dxa"/>
            <w:vAlign w:val="center"/>
          </w:tcPr>
          <w:p w14:paraId="73CC9861">
            <w:pPr>
              <w:pStyle w:val="13"/>
            </w:pPr>
            <w:r>
              <w:t>补助资金到位及时率</w:t>
            </w:r>
          </w:p>
        </w:tc>
        <w:tc>
          <w:tcPr>
            <w:tcW w:w="2268" w:type="dxa"/>
            <w:vAlign w:val="center"/>
          </w:tcPr>
          <w:p w14:paraId="53221686">
            <w:pPr>
              <w:pStyle w:val="13"/>
            </w:pPr>
            <w:r>
              <w:t>≥100%</w:t>
            </w:r>
          </w:p>
        </w:tc>
        <w:tc>
          <w:tcPr>
            <w:tcW w:w="1276" w:type="dxa"/>
            <w:vAlign w:val="center"/>
          </w:tcPr>
          <w:p w14:paraId="27662D0C">
            <w:pPr>
              <w:pStyle w:val="13"/>
            </w:pPr>
            <w:r>
              <w:t>河北省建档立卡家庭经济困难学生资助管理暂行办法</w:t>
            </w:r>
          </w:p>
        </w:tc>
      </w:tr>
      <w:tr w14:paraId="111F2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7D8B4"/>
        </w:tc>
        <w:tc>
          <w:tcPr>
            <w:tcW w:w="2268" w:type="dxa"/>
            <w:vAlign w:val="center"/>
          </w:tcPr>
          <w:p w14:paraId="4010A420">
            <w:pPr>
              <w:pStyle w:val="13"/>
            </w:pPr>
            <w:r>
              <w:t>成本指标</w:t>
            </w:r>
          </w:p>
        </w:tc>
        <w:tc>
          <w:tcPr>
            <w:tcW w:w="2835" w:type="dxa"/>
            <w:vAlign w:val="center"/>
          </w:tcPr>
          <w:p w14:paraId="5B2D01C6">
            <w:pPr>
              <w:pStyle w:val="13"/>
            </w:pPr>
            <w:r>
              <w:t>普通高中建档立卡学生减免标准</w:t>
            </w:r>
          </w:p>
        </w:tc>
        <w:tc>
          <w:tcPr>
            <w:tcW w:w="5386" w:type="dxa"/>
            <w:vAlign w:val="center"/>
          </w:tcPr>
          <w:p w14:paraId="4D642453">
            <w:pPr>
              <w:pStyle w:val="13"/>
            </w:pPr>
            <w:r>
              <w:t>学费1600元/生/年；住宿费500元/生/年；书费300元/生/年</w:t>
            </w:r>
          </w:p>
        </w:tc>
        <w:tc>
          <w:tcPr>
            <w:tcW w:w="2268" w:type="dxa"/>
            <w:vAlign w:val="center"/>
          </w:tcPr>
          <w:p w14:paraId="195B11C6">
            <w:pPr>
              <w:pStyle w:val="13"/>
            </w:pPr>
            <w:r>
              <w:t>2800元</w:t>
            </w:r>
          </w:p>
        </w:tc>
        <w:tc>
          <w:tcPr>
            <w:tcW w:w="1276" w:type="dxa"/>
            <w:vAlign w:val="center"/>
          </w:tcPr>
          <w:p w14:paraId="389C9CB9">
            <w:pPr>
              <w:pStyle w:val="13"/>
            </w:pPr>
            <w:r>
              <w:t>河北省建档立卡家庭经济困难学生资助管理暂行办法</w:t>
            </w:r>
          </w:p>
        </w:tc>
      </w:tr>
      <w:tr w14:paraId="42B3E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F597A5">
            <w:pPr>
              <w:pStyle w:val="12"/>
            </w:pPr>
            <w:r>
              <w:t>效益指标</w:t>
            </w:r>
          </w:p>
        </w:tc>
        <w:tc>
          <w:tcPr>
            <w:tcW w:w="2268" w:type="dxa"/>
            <w:vAlign w:val="center"/>
          </w:tcPr>
          <w:p w14:paraId="342F0BCB">
            <w:pPr>
              <w:pStyle w:val="13"/>
            </w:pPr>
            <w:r>
              <w:t>可持续影响指标</w:t>
            </w:r>
          </w:p>
        </w:tc>
        <w:tc>
          <w:tcPr>
            <w:tcW w:w="2835" w:type="dxa"/>
            <w:vAlign w:val="center"/>
          </w:tcPr>
          <w:p w14:paraId="35D800D8">
            <w:pPr>
              <w:pStyle w:val="13"/>
            </w:pPr>
            <w:r>
              <w:t>高中运转</w:t>
            </w:r>
          </w:p>
        </w:tc>
        <w:tc>
          <w:tcPr>
            <w:tcW w:w="5386" w:type="dxa"/>
            <w:vAlign w:val="center"/>
          </w:tcPr>
          <w:p w14:paraId="2B9E6903">
            <w:pPr>
              <w:pStyle w:val="13"/>
            </w:pPr>
            <w:r>
              <w:t>高中生受教育年限</w:t>
            </w:r>
          </w:p>
        </w:tc>
        <w:tc>
          <w:tcPr>
            <w:tcW w:w="2268" w:type="dxa"/>
            <w:vAlign w:val="center"/>
          </w:tcPr>
          <w:p w14:paraId="14DD6208">
            <w:pPr>
              <w:pStyle w:val="13"/>
            </w:pPr>
            <w:r>
              <w:t>3年</w:t>
            </w:r>
          </w:p>
        </w:tc>
        <w:tc>
          <w:tcPr>
            <w:tcW w:w="1276" w:type="dxa"/>
            <w:vAlign w:val="center"/>
          </w:tcPr>
          <w:p w14:paraId="1D11E29F">
            <w:pPr>
              <w:pStyle w:val="13"/>
            </w:pPr>
            <w:r>
              <w:t>河北省建档立卡家庭经济困难学生资助管理暂行办法</w:t>
            </w:r>
          </w:p>
        </w:tc>
      </w:tr>
      <w:tr w14:paraId="0B7E2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09E915">
            <w:pPr>
              <w:pStyle w:val="12"/>
            </w:pPr>
            <w:r>
              <w:t>满意度指标</w:t>
            </w:r>
          </w:p>
        </w:tc>
        <w:tc>
          <w:tcPr>
            <w:tcW w:w="2268" w:type="dxa"/>
            <w:vAlign w:val="center"/>
          </w:tcPr>
          <w:p w14:paraId="5BE396A9">
            <w:pPr>
              <w:pStyle w:val="13"/>
            </w:pPr>
            <w:r>
              <w:t>服务对象满意度指标</w:t>
            </w:r>
          </w:p>
        </w:tc>
        <w:tc>
          <w:tcPr>
            <w:tcW w:w="2835" w:type="dxa"/>
            <w:vAlign w:val="center"/>
          </w:tcPr>
          <w:p w14:paraId="1A657252">
            <w:pPr>
              <w:pStyle w:val="13"/>
            </w:pPr>
            <w:r>
              <w:t>提升幸福指数</w:t>
            </w:r>
          </w:p>
        </w:tc>
        <w:tc>
          <w:tcPr>
            <w:tcW w:w="5386" w:type="dxa"/>
            <w:vAlign w:val="center"/>
          </w:tcPr>
          <w:p w14:paraId="6AB03EEF">
            <w:pPr>
              <w:pStyle w:val="13"/>
            </w:pPr>
            <w:r>
              <w:t>提升建档立卡贫困家庭学生幸福指数</w:t>
            </w:r>
          </w:p>
          <w:p w14:paraId="19049D9A">
            <w:pPr>
              <w:pStyle w:val="13"/>
            </w:pPr>
            <w:r>
              <w:t>家长学生满意</w:t>
            </w:r>
          </w:p>
        </w:tc>
        <w:tc>
          <w:tcPr>
            <w:tcW w:w="2268" w:type="dxa"/>
            <w:vAlign w:val="center"/>
          </w:tcPr>
          <w:p w14:paraId="78B3404C">
            <w:pPr>
              <w:pStyle w:val="13"/>
            </w:pPr>
            <w:r>
              <w:t>≥98%</w:t>
            </w:r>
          </w:p>
        </w:tc>
        <w:tc>
          <w:tcPr>
            <w:tcW w:w="1276" w:type="dxa"/>
            <w:vAlign w:val="center"/>
          </w:tcPr>
          <w:p w14:paraId="1A2ED69C">
            <w:pPr>
              <w:pStyle w:val="13"/>
            </w:pPr>
            <w:r>
              <w:t>河北省建档立卡家庭经济困难学生资助管理暂行办法</w:t>
            </w:r>
          </w:p>
        </w:tc>
      </w:tr>
    </w:tbl>
    <w:p w14:paraId="5FFDB4DF">
      <w:pPr>
        <w:sectPr>
          <w:pgSz w:w="16840" w:h="11900" w:orient="landscape"/>
          <w:pgMar w:top="1361" w:right="1020" w:bottom="1134" w:left="1020" w:header="720" w:footer="720" w:gutter="0"/>
          <w:cols w:space="720" w:num="1"/>
        </w:sectPr>
      </w:pPr>
    </w:p>
    <w:p w14:paraId="554C95D2">
      <w:pPr>
        <w:spacing w:before="0" w:after="0"/>
        <w:ind w:firstLine="560"/>
        <w:jc w:val="left"/>
        <w:outlineLvl w:val="9"/>
      </w:pPr>
      <w:r>
        <w:rPr>
          <w:rFonts w:ascii="方正仿宋_GBK" w:hAnsi="方正仿宋_GBK" w:eastAsia="方正仿宋_GBK" w:cs="方正仿宋_GBK"/>
          <w:b/>
          <w:color w:val="000000"/>
          <w:sz w:val="28"/>
        </w:rPr>
        <w:t>157、县级配套/普通高中三免（文茂中学）建档立卡绩效目标表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D1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1EE89">
            <w:pPr>
              <w:pStyle w:val="14"/>
            </w:pPr>
            <w:r>
              <w:t>单位：万元</w:t>
            </w:r>
          </w:p>
        </w:tc>
      </w:tr>
      <w:tr w14:paraId="1706C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724844">
            <w:pPr>
              <w:pStyle w:val="11"/>
            </w:pPr>
            <w:r>
              <w:t>项目编码</w:t>
            </w:r>
          </w:p>
        </w:tc>
        <w:tc>
          <w:tcPr>
            <w:tcW w:w="5103" w:type="dxa"/>
            <w:gridSpan w:val="2"/>
            <w:vAlign w:val="center"/>
          </w:tcPr>
          <w:p w14:paraId="06540171">
            <w:pPr>
              <w:pStyle w:val="13"/>
            </w:pPr>
            <w:r>
              <w:t>13052525P000012100075</w:t>
            </w:r>
          </w:p>
        </w:tc>
        <w:tc>
          <w:tcPr>
            <w:tcW w:w="2835" w:type="dxa"/>
            <w:vAlign w:val="center"/>
          </w:tcPr>
          <w:p w14:paraId="0F2CD245">
            <w:pPr>
              <w:pStyle w:val="11"/>
            </w:pPr>
            <w:r>
              <w:t>项目名称</w:t>
            </w:r>
          </w:p>
        </w:tc>
        <w:tc>
          <w:tcPr>
            <w:tcW w:w="6095" w:type="dxa"/>
            <w:gridSpan w:val="3"/>
            <w:vAlign w:val="center"/>
          </w:tcPr>
          <w:p w14:paraId="29AAAD9F">
            <w:pPr>
              <w:pStyle w:val="13"/>
            </w:pPr>
            <w:r>
              <w:t>县级配套/普通高中三免（文茂中学）建档立卡</w:t>
            </w:r>
            <w:r>
              <w:tab/>
            </w:r>
            <w:r>
              <w:tab/>
            </w:r>
          </w:p>
        </w:tc>
      </w:tr>
      <w:tr w14:paraId="00132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DDD94">
            <w:pPr>
              <w:pStyle w:val="11"/>
            </w:pPr>
            <w:r>
              <w:t>预算规模及资金用途</w:t>
            </w:r>
          </w:p>
        </w:tc>
        <w:tc>
          <w:tcPr>
            <w:tcW w:w="2268" w:type="dxa"/>
            <w:vAlign w:val="center"/>
          </w:tcPr>
          <w:p w14:paraId="01BFA667">
            <w:pPr>
              <w:pStyle w:val="11"/>
            </w:pPr>
            <w:r>
              <w:t>预算数</w:t>
            </w:r>
          </w:p>
        </w:tc>
        <w:tc>
          <w:tcPr>
            <w:tcW w:w="2835" w:type="dxa"/>
            <w:vAlign w:val="center"/>
          </w:tcPr>
          <w:p w14:paraId="2B8DC433">
            <w:pPr>
              <w:pStyle w:val="13"/>
            </w:pPr>
            <w:r>
              <w:t>1.48</w:t>
            </w:r>
          </w:p>
        </w:tc>
        <w:tc>
          <w:tcPr>
            <w:tcW w:w="2835" w:type="dxa"/>
            <w:vAlign w:val="center"/>
          </w:tcPr>
          <w:p w14:paraId="31574CA2">
            <w:pPr>
              <w:pStyle w:val="11"/>
            </w:pPr>
            <w:r>
              <w:t>其中：财政    资金</w:t>
            </w:r>
          </w:p>
        </w:tc>
        <w:tc>
          <w:tcPr>
            <w:tcW w:w="2551" w:type="dxa"/>
            <w:vAlign w:val="center"/>
          </w:tcPr>
          <w:p w14:paraId="18189E4C">
            <w:pPr>
              <w:pStyle w:val="13"/>
            </w:pPr>
            <w:r>
              <w:t>1.48</w:t>
            </w:r>
          </w:p>
        </w:tc>
        <w:tc>
          <w:tcPr>
            <w:tcW w:w="2268" w:type="dxa"/>
            <w:vAlign w:val="center"/>
          </w:tcPr>
          <w:p w14:paraId="23450703">
            <w:pPr>
              <w:pStyle w:val="11"/>
            </w:pPr>
            <w:r>
              <w:t>其他资金</w:t>
            </w:r>
          </w:p>
        </w:tc>
        <w:tc>
          <w:tcPr>
            <w:tcW w:w="1276" w:type="dxa"/>
            <w:vAlign w:val="center"/>
          </w:tcPr>
          <w:p w14:paraId="51248686">
            <w:pPr>
              <w:pStyle w:val="13"/>
            </w:pPr>
            <w:r>
              <w:t xml:space="preserve"> </w:t>
            </w:r>
          </w:p>
        </w:tc>
      </w:tr>
      <w:tr w14:paraId="2E001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5CE5E"/>
        </w:tc>
        <w:tc>
          <w:tcPr>
            <w:tcW w:w="14033" w:type="dxa"/>
            <w:gridSpan w:val="6"/>
            <w:vAlign w:val="center"/>
          </w:tcPr>
          <w:p w14:paraId="281956D4">
            <w:pPr>
              <w:pStyle w:val="13"/>
            </w:pPr>
            <w:r>
              <w:t>深入宣传学生免学费政策，落实普通高中建档立卡家庭困难学生免除学杂费政策</w:t>
            </w:r>
          </w:p>
        </w:tc>
      </w:tr>
      <w:tr w14:paraId="401CFD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DDBA1">
            <w:pPr>
              <w:pStyle w:val="11"/>
            </w:pPr>
            <w:r>
              <w:t>资金支出计划（%）</w:t>
            </w:r>
          </w:p>
        </w:tc>
        <w:tc>
          <w:tcPr>
            <w:tcW w:w="5103" w:type="dxa"/>
            <w:gridSpan w:val="2"/>
            <w:vAlign w:val="center"/>
          </w:tcPr>
          <w:p w14:paraId="6E357AEB">
            <w:pPr>
              <w:pStyle w:val="11"/>
            </w:pPr>
            <w:r>
              <w:t>3月底</w:t>
            </w:r>
          </w:p>
        </w:tc>
        <w:tc>
          <w:tcPr>
            <w:tcW w:w="2835" w:type="dxa"/>
            <w:vAlign w:val="center"/>
          </w:tcPr>
          <w:p w14:paraId="2894AC02">
            <w:pPr>
              <w:pStyle w:val="11"/>
            </w:pPr>
            <w:r>
              <w:t>6月底</w:t>
            </w:r>
          </w:p>
        </w:tc>
        <w:tc>
          <w:tcPr>
            <w:tcW w:w="2551" w:type="dxa"/>
            <w:vAlign w:val="center"/>
          </w:tcPr>
          <w:p w14:paraId="2CBDCAD7">
            <w:pPr>
              <w:pStyle w:val="11"/>
            </w:pPr>
            <w:r>
              <w:t>10月底</w:t>
            </w:r>
          </w:p>
        </w:tc>
        <w:tc>
          <w:tcPr>
            <w:tcW w:w="3544" w:type="dxa"/>
            <w:gridSpan w:val="2"/>
            <w:vAlign w:val="center"/>
          </w:tcPr>
          <w:p w14:paraId="005AC957">
            <w:pPr>
              <w:pStyle w:val="11"/>
            </w:pPr>
            <w:r>
              <w:t>12月底</w:t>
            </w:r>
          </w:p>
        </w:tc>
      </w:tr>
      <w:tr w14:paraId="632E5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895A7"/>
        </w:tc>
        <w:tc>
          <w:tcPr>
            <w:tcW w:w="5103" w:type="dxa"/>
            <w:gridSpan w:val="2"/>
            <w:vAlign w:val="center"/>
          </w:tcPr>
          <w:p w14:paraId="7153B388">
            <w:pPr>
              <w:pStyle w:val="12"/>
            </w:pPr>
            <w:r>
              <w:t xml:space="preserve"> </w:t>
            </w:r>
          </w:p>
        </w:tc>
        <w:tc>
          <w:tcPr>
            <w:tcW w:w="2835" w:type="dxa"/>
            <w:vAlign w:val="center"/>
          </w:tcPr>
          <w:p w14:paraId="261ED13B">
            <w:pPr>
              <w:pStyle w:val="12"/>
            </w:pPr>
            <w:r>
              <w:t xml:space="preserve"> </w:t>
            </w:r>
          </w:p>
        </w:tc>
        <w:tc>
          <w:tcPr>
            <w:tcW w:w="2551" w:type="dxa"/>
            <w:vAlign w:val="center"/>
          </w:tcPr>
          <w:p w14:paraId="484721F5">
            <w:pPr>
              <w:pStyle w:val="12"/>
            </w:pPr>
            <w:r>
              <w:t xml:space="preserve"> </w:t>
            </w:r>
          </w:p>
        </w:tc>
        <w:tc>
          <w:tcPr>
            <w:tcW w:w="3544" w:type="dxa"/>
            <w:gridSpan w:val="2"/>
            <w:vAlign w:val="center"/>
          </w:tcPr>
          <w:p w14:paraId="6A25CBD7">
            <w:pPr>
              <w:pStyle w:val="12"/>
            </w:pPr>
            <w:r>
              <w:t>100%</w:t>
            </w:r>
          </w:p>
        </w:tc>
      </w:tr>
      <w:tr w14:paraId="182B8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ABA00">
            <w:pPr>
              <w:pStyle w:val="11"/>
            </w:pPr>
            <w:r>
              <w:t>绩效目标</w:t>
            </w:r>
          </w:p>
        </w:tc>
        <w:tc>
          <w:tcPr>
            <w:tcW w:w="14033" w:type="dxa"/>
            <w:gridSpan w:val="6"/>
            <w:vAlign w:val="center"/>
          </w:tcPr>
          <w:p w14:paraId="0FD2047D">
            <w:pPr>
              <w:pStyle w:val="13"/>
            </w:pPr>
            <w:r>
              <w:t>1.深入宣传学生免学费政策，落实普通高中建档立卡家庭困难学生免除学杂费政策</w:t>
            </w:r>
          </w:p>
        </w:tc>
      </w:tr>
    </w:tbl>
    <w:p w14:paraId="436F94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E3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2D2E0">
            <w:pPr>
              <w:pStyle w:val="11"/>
            </w:pPr>
            <w:r>
              <w:t>一级指标</w:t>
            </w:r>
          </w:p>
        </w:tc>
        <w:tc>
          <w:tcPr>
            <w:tcW w:w="2268" w:type="dxa"/>
            <w:vAlign w:val="center"/>
          </w:tcPr>
          <w:p w14:paraId="7D7B05DC">
            <w:pPr>
              <w:pStyle w:val="11"/>
            </w:pPr>
            <w:r>
              <w:t>二级指标</w:t>
            </w:r>
          </w:p>
        </w:tc>
        <w:tc>
          <w:tcPr>
            <w:tcW w:w="2835" w:type="dxa"/>
            <w:vAlign w:val="center"/>
          </w:tcPr>
          <w:p w14:paraId="4AD6B96F">
            <w:pPr>
              <w:pStyle w:val="11"/>
            </w:pPr>
            <w:r>
              <w:t>三级指标</w:t>
            </w:r>
          </w:p>
        </w:tc>
        <w:tc>
          <w:tcPr>
            <w:tcW w:w="5386" w:type="dxa"/>
            <w:vAlign w:val="center"/>
          </w:tcPr>
          <w:p w14:paraId="24B63C9C">
            <w:pPr>
              <w:pStyle w:val="11"/>
            </w:pPr>
            <w:r>
              <w:t>绩效指标描述</w:t>
            </w:r>
          </w:p>
        </w:tc>
        <w:tc>
          <w:tcPr>
            <w:tcW w:w="2268" w:type="dxa"/>
            <w:vAlign w:val="center"/>
          </w:tcPr>
          <w:p w14:paraId="1A2112F1">
            <w:pPr>
              <w:pStyle w:val="11"/>
            </w:pPr>
            <w:r>
              <w:t>指标值</w:t>
            </w:r>
          </w:p>
        </w:tc>
        <w:tc>
          <w:tcPr>
            <w:tcW w:w="1276" w:type="dxa"/>
            <w:vAlign w:val="center"/>
          </w:tcPr>
          <w:p w14:paraId="522EC4AD">
            <w:pPr>
              <w:pStyle w:val="11"/>
            </w:pPr>
            <w:r>
              <w:t>指标值确定依据</w:t>
            </w:r>
          </w:p>
        </w:tc>
      </w:tr>
      <w:tr w14:paraId="569D9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80481">
            <w:pPr>
              <w:pStyle w:val="12"/>
            </w:pPr>
            <w:r>
              <w:t>产出指标</w:t>
            </w:r>
          </w:p>
        </w:tc>
        <w:tc>
          <w:tcPr>
            <w:tcW w:w="2268" w:type="dxa"/>
            <w:vAlign w:val="center"/>
          </w:tcPr>
          <w:p w14:paraId="595E2559">
            <w:pPr>
              <w:pStyle w:val="13"/>
            </w:pPr>
            <w:r>
              <w:t>数量指标</w:t>
            </w:r>
          </w:p>
        </w:tc>
        <w:tc>
          <w:tcPr>
            <w:tcW w:w="2835" w:type="dxa"/>
            <w:vAlign w:val="center"/>
          </w:tcPr>
          <w:p w14:paraId="51CF711B">
            <w:pPr>
              <w:pStyle w:val="13"/>
            </w:pPr>
            <w:r>
              <w:t>普通高中资助人数</w:t>
            </w:r>
          </w:p>
        </w:tc>
        <w:tc>
          <w:tcPr>
            <w:tcW w:w="5386" w:type="dxa"/>
            <w:vAlign w:val="center"/>
          </w:tcPr>
          <w:p w14:paraId="7D7FB2D6">
            <w:pPr>
              <w:pStyle w:val="13"/>
            </w:pPr>
            <w:r>
              <w:t>在我校就读具有正式注册学籍的建档立卡家庭学生</w:t>
            </w:r>
          </w:p>
        </w:tc>
        <w:tc>
          <w:tcPr>
            <w:tcW w:w="2268" w:type="dxa"/>
            <w:vAlign w:val="center"/>
          </w:tcPr>
          <w:p w14:paraId="6F46468E">
            <w:pPr>
              <w:pStyle w:val="13"/>
            </w:pPr>
            <w:r>
              <w:t>53人</w:t>
            </w:r>
          </w:p>
        </w:tc>
        <w:tc>
          <w:tcPr>
            <w:tcW w:w="1276" w:type="dxa"/>
            <w:vAlign w:val="center"/>
          </w:tcPr>
          <w:p w14:paraId="68A3E00B">
            <w:pPr>
              <w:pStyle w:val="13"/>
            </w:pPr>
            <w:r>
              <w:t>河北省建档立卡家庭经济困难学生资助管理暂行办法</w:t>
            </w:r>
          </w:p>
        </w:tc>
      </w:tr>
      <w:tr w14:paraId="6AAF3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79949"/>
        </w:tc>
        <w:tc>
          <w:tcPr>
            <w:tcW w:w="2268" w:type="dxa"/>
            <w:vAlign w:val="center"/>
          </w:tcPr>
          <w:p w14:paraId="6367C2E8">
            <w:pPr>
              <w:pStyle w:val="13"/>
            </w:pPr>
            <w:r>
              <w:t>质量指标</w:t>
            </w:r>
          </w:p>
        </w:tc>
        <w:tc>
          <w:tcPr>
            <w:tcW w:w="2835" w:type="dxa"/>
            <w:vAlign w:val="center"/>
          </w:tcPr>
          <w:p w14:paraId="71D061DD">
            <w:pPr>
              <w:pStyle w:val="13"/>
            </w:pPr>
            <w:r>
              <w:t>完成普高三免资金发放</w:t>
            </w:r>
          </w:p>
        </w:tc>
        <w:tc>
          <w:tcPr>
            <w:tcW w:w="5386" w:type="dxa"/>
            <w:vAlign w:val="center"/>
          </w:tcPr>
          <w:p w14:paraId="170E9CB8">
            <w:pPr>
              <w:pStyle w:val="13"/>
            </w:pPr>
            <w:r>
              <w:t>普高三免为建档立卡学生</w:t>
            </w:r>
          </w:p>
        </w:tc>
        <w:tc>
          <w:tcPr>
            <w:tcW w:w="2268" w:type="dxa"/>
            <w:vAlign w:val="center"/>
          </w:tcPr>
          <w:p w14:paraId="396645FE">
            <w:pPr>
              <w:pStyle w:val="13"/>
            </w:pPr>
            <w:r>
              <w:t>≥100%</w:t>
            </w:r>
          </w:p>
        </w:tc>
        <w:tc>
          <w:tcPr>
            <w:tcW w:w="1276" w:type="dxa"/>
            <w:vAlign w:val="center"/>
          </w:tcPr>
          <w:p w14:paraId="38156A30">
            <w:pPr>
              <w:pStyle w:val="13"/>
            </w:pPr>
            <w:r>
              <w:t>河北省建档立卡家庭经济困难学生资助管理暂行办法</w:t>
            </w:r>
          </w:p>
        </w:tc>
      </w:tr>
      <w:tr w14:paraId="288CF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3A13B"/>
        </w:tc>
        <w:tc>
          <w:tcPr>
            <w:tcW w:w="2268" w:type="dxa"/>
            <w:vAlign w:val="center"/>
          </w:tcPr>
          <w:p w14:paraId="33C61402">
            <w:pPr>
              <w:pStyle w:val="13"/>
            </w:pPr>
            <w:r>
              <w:t>时效指标</w:t>
            </w:r>
          </w:p>
        </w:tc>
        <w:tc>
          <w:tcPr>
            <w:tcW w:w="2835" w:type="dxa"/>
            <w:vAlign w:val="center"/>
          </w:tcPr>
          <w:p w14:paraId="32DC293B">
            <w:pPr>
              <w:pStyle w:val="13"/>
            </w:pPr>
            <w:r>
              <w:t>补助资金到位</w:t>
            </w:r>
          </w:p>
        </w:tc>
        <w:tc>
          <w:tcPr>
            <w:tcW w:w="5386" w:type="dxa"/>
            <w:vAlign w:val="center"/>
          </w:tcPr>
          <w:p w14:paraId="67B1F494">
            <w:pPr>
              <w:pStyle w:val="13"/>
            </w:pPr>
            <w:r>
              <w:t>补助资金到位及时率</w:t>
            </w:r>
          </w:p>
        </w:tc>
        <w:tc>
          <w:tcPr>
            <w:tcW w:w="2268" w:type="dxa"/>
            <w:vAlign w:val="center"/>
          </w:tcPr>
          <w:p w14:paraId="4FAAEF3A">
            <w:pPr>
              <w:pStyle w:val="13"/>
            </w:pPr>
            <w:r>
              <w:t>≥100%</w:t>
            </w:r>
          </w:p>
        </w:tc>
        <w:tc>
          <w:tcPr>
            <w:tcW w:w="1276" w:type="dxa"/>
            <w:vAlign w:val="center"/>
          </w:tcPr>
          <w:p w14:paraId="5C13B34D">
            <w:pPr>
              <w:pStyle w:val="13"/>
            </w:pPr>
            <w:r>
              <w:t>河北省建档立卡家庭经济困难学生资助管理暂行办法</w:t>
            </w:r>
          </w:p>
        </w:tc>
      </w:tr>
      <w:tr w14:paraId="14ADA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B879B"/>
        </w:tc>
        <w:tc>
          <w:tcPr>
            <w:tcW w:w="2268" w:type="dxa"/>
            <w:vAlign w:val="center"/>
          </w:tcPr>
          <w:p w14:paraId="24D67617">
            <w:pPr>
              <w:pStyle w:val="13"/>
            </w:pPr>
            <w:r>
              <w:t>成本指标</w:t>
            </w:r>
          </w:p>
        </w:tc>
        <w:tc>
          <w:tcPr>
            <w:tcW w:w="2835" w:type="dxa"/>
            <w:vAlign w:val="center"/>
          </w:tcPr>
          <w:p w14:paraId="07ACECFC">
            <w:pPr>
              <w:pStyle w:val="13"/>
            </w:pPr>
            <w:r>
              <w:t>普通高中建档立卡学生减免标准</w:t>
            </w:r>
          </w:p>
        </w:tc>
        <w:tc>
          <w:tcPr>
            <w:tcW w:w="5386" w:type="dxa"/>
            <w:vAlign w:val="center"/>
          </w:tcPr>
          <w:p w14:paraId="57429283">
            <w:pPr>
              <w:pStyle w:val="13"/>
            </w:pPr>
            <w:r>
              <w:t>学费1600元/生/年；住宿费500元/生/年；书费300元/生/年</w:t>
            </w:r>
          </w:p>
        </w:tc>
        <w:tc>
          <w:tcPr>
            <w:tcW w:w="2268" w:type="dxa"/>
            <w:vAlign w:val="center"/>
          </w:tcPr>
          <w:p w14:paraId="35058F44">
            <w:pPr>
              <w:pStyle w:val="13"/>
            </w:pPr>
            <w:r>
              <w:t>2800元</w:t>
            </w:r>
          </w:p>
        </w:tc>
        <w:tc>
          <w:tcPr>
            <w:tcW w:w="1276" w:type="dxa"/>
            <w:vAlign w:val="center"/>
          </w:tcPr>
          <w:p w14:paraId="244FCA9D">
            <w:pPr>
              <w:pStyle w:val="13"/>
            </w:pPr>
            <w:r>
              <w:t>河北省建档立卡家庭经济困难学生资助管理暂行办法</w:t>
            </w:r>
          </w:p>
        </w:tc>
      </w:tr>
      <w:tr w14:paraId="20308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208C80">
            <w:pPr>
              <w:pStyle w:val="12"/>
            </w:pPr>
            <w:r>
              <w:t>效益指标</w:t>
            </w:r>
          </w:p>
        </w:tc>
        <w:tc>
          <w:tcPr>
            <w:tcW w:w="2268" w:type="dxa"/>
            <w:vAlign w:val="center"/>
          </w:tcPr>
          <w:p w14:paraId="3F1B2F6E">
            <w:pPr>
              <w:pStyle w:val="13"/>
            </w:pPr>
            <w:r>
              <w:t>可持续影响指标</w:t>
            </w:r>
          </w:p>
        </w:tc>
        <w:tc>
          <w:tcPr>
            <w:tcW w:w="2835" w:type="dxa"/>
            <w:vAlign w:val="center"/>
          </w:tcPr>
          <w:p w14:paraId="5A2BCA70">
            <w:pPr>
              <w:pStyle w:val="13"/>
            </w:pPr>
            <w:r>
              <w:t>高中运转</w:t>
            </w:r>
          </w:p>
        </w:tc>
        <w:tc>
          <w:tcPr>
            <w:tcW w:w="5386" w:type="dxa"/>
            <w:vAlign w:val="center"/>
          </w:tcPr>
          <w:p w14:paraId="38AB351F">
            <w:pPr>
              <w:pStyle w:val="13"/>
            </w:pPr>
            <w:r>
              <w:t>高中生受教育年限</w:t>
            </w:r>
          </w:p>
        </w:tc>
        <w:tc>
          <w:tcPr>
            <w:tcW w:w="2268" w:type="dxa"/>
            <w:vAlign w:val="center"/>
          </w:tcPr>
          <w:p w14:paraId="54BFACCA">
            <w:pPr>
              <w:pStyle w:val="13"/>
            </w:pPr>
            <w:r>
              <w:t>3年</w:t>
            </w:r>
          </w:p>
        </w:tc>
        <w:tc>
          <w:tcPr>
            <w:tcW w:w="1276" w:type="dxa"/>
            <w:vAlign w:val="center"/>
          </w:tcPr>
          <w:p w14:paraId="3EE88CD1">
            <w:pPr>
              <w:pStyle w:val="13"/>
            </w:pPr>
            <w:r>
              <w:t>河北省建档立卡家庭经济困难学生资助管理暂行办法</w:t>
            </w:r>
          </w:p>
        </w:tc>
      </w:tr>
      <w:tr w14:paraId="2631E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2C0C8">
            <w:pPr>
              <w:pStyle w:val="12"/>
            </w:pPr>
            <w:r>
              <w:t>满意度指标</w:t>
            </w:r>
          </w:p>
        </w:tc>
        <w:tc>
          <w:tcPr>
            <w:tcW w:w="2268" w:type="dxa"/>
            <w:vAlign w:val="center"/>
          </w:tcPr>
          <w:p w14:paraId="483A2F21">
            <w:pPr>
              <w:pStyle w:val="13"/>
            </w:pPr>
            <w:r>
              <w:t>服务对象满意度指标</w:t>
            </w:r>
          </w:p>
        </w:tc>
        <w:tc>
          <w:tcPr>
            <w:tcW w:w="2835" w:type="dxa"/>
            <w:vAlign w:val="center"/>
          </w:tcPr>
          <w:p w14:paraId="3BC099E1">
            <w:pPr>
              <w:pStyle w:val="13"/>
            </w:pPr>
            <w:r>
              <w:t>提升幸福指数</w:t>
            </w:r>
          </w:p>
        </w:tc>
        <w:tc>
          <w:tcPr>
            <w:tcW w:w="5386" w:type="dxa"/>
            <w:vAlign w:val="center"/>
          </w:tcPr>
          <w:p w14:paraId="37AD7D8C">
            <w:pPr>
              <w:pStyle w:val="13"/>
            </w:pPr>
            <w:r>
              <w:t>提升建档立卡贫困家庭学生幸福指数</w:t>
            </w:r>
          </w:p>
          <w:p w14:paraId="5FF8E7E9">
            <w:pPr>
              <w:pStyle w:val="13"/>
            </w:pPr>
            <w:r>
              <w:t>家长学生满意</w:t>
            </w:r>
          </w:p>
        </w:tc>
        <w:tc>
          <w:tcPr>
            <w:tcW w:w="2268" w:type="dxa"/>
            <w:vAlign w:val="center"/>
          </w:tcPr>
          <w:p w14:paraId="398BB6E6">
            <w:pPr>
              <w:pStyle w:val="13"/>
            </w:pPr>
            <w:r>
              <w:t>≥98%</w:t>
            </w:r>
          </w:p>
        </w:tc>
        <w:tc>
          <w:tcPr>
            <w:tcW w:w="1276" w:type="dxa"/>
            <w:vAlign w:val="center"/>
          </w:tcPr>
          <w:p w14:paraId="280BBA84">
            <w:pPr>
              <w:pStyle w:val="13"/>
            </w:pPr>
            <w:r>
              <w:t>河北省建档立卡家庭经济困难学生资助管理暂行办法</w:t>
            </w:r>
          </w:p>
        </w:tc>
      </w:tr>
    </w:tbl>
    <w:p w14:paraId="599EB432">
      <w:pPr>
        <w:sectPr>
          <w:pgSz w:w="16840" w:h="11900" w:orient="landscape"/>
          <w:pgMar w:top="1361" w:right="1020" w:bottom="1134" w:left="1020" w:header="720" w:footer="720" w:gutter="0"/>
          <w:cols w:space="720" w:num="1"/>
        </w:sectPr>
      </w:pPr>
    </w:p>
    <w:p w14:paraId="061280E2">
      <w:pPr>
        <w:spacing w:before="0" w:after="0"/>
        <w:ind w:firstLine="560"/>
        <w:jc w:val="left"/>
        <w:outlineLvl w:val="9"/>
      </w:pPr>
      <w:r>
        <w:rPr>
          <w:rFonts w:ascii="方正仿宋_GBK" w:hAnsi="方正仿宋_GBK" w:eastAsia="方正仿宋_GBK" w:cs="方正仿宋_GBK"/>
          <w:b/>
          <w:color w:val="000000"/>
          <w:sz w:val="28"/>
        </w:rPr>
        <w:t>158、县级配套/原民办教师教龄补助绩效目标表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FF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AFC94">
            <w:pPr>
              <w:pStyle w:val="14"/>
            </w:pPr>
            <w:r>
              <w:t>单位：万元</w:t>
            </w:r>
          </w:p>
        </w:tc>
      </w:tr>
      <w:tr w14:paraId="341F9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5C5668">
            <w:pPr>
              <w:pStyle w:val="11"/>
            </w:pPr>
            <w:r>
              <w:t>项目编码</w:t>
            </w:r>
          </w:p>
        </w:tc>
        <w:tc>
          <w:tcPr>
            <w:tcW w:w="5103" w:type="dxa"/>
            <w:gridSpan w:val="2"/>
            <w:vAlign w:val="center"/>
          </w:tcPr>
          <w:p w14:paraId="3A1002B3">
            <w:pPr>
              <w:pStyle w:val="13"/>
            </w:pPr>
            <w:r>
              <w:t>13052524P00875610004A</w:t>
            </w:r>
          </w:p>
        </w:tc>
        <w:tc>
          <w:tcPr>
            <w:tcW w:w="2835" w:type="dxa"/>
            <w:vAlign w:val="center"/>
          </w:tcPr>
          <w:p w14:paraId="56C5D01C">
            <w:pPr>
              <w:pStyle w:val="11"/>
            </w:pPr>
            <w:r>
              <w:t>项目名称</w:t>
            </w:r>
          </w:p>
        </w:tc>
        <w:tc>
          <w:tcPr>
            <w:tcW w:w="6095" w:type="dxa"/>
            <w:gridSpan w:val="3"/>
            <w:vAlign w:val="center"/>
          </w:tcPr>
          <w:p w14:paraId="4D32AD00">
            <w:pPr>
              <w:pStyle w:val="13"/>
            </w:pPr>
            <w:r>
              <w:t>县级配套/原民办教师教龄补助</w:t>
            </w:r>
          </w:p>
        </w:tc>
      </w:tr>
      <w:tr w14:paraId="6D86A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A6B16">
            <w:pPr>
              <w:pStyle w:val="11"/>
            </w:pPr>
            <w:r>
              <w:t>预算规模及资金用途</w:t>
            </w:r>
          </w:p>
        </w:tc>
        <w:tc>
          <w:tcPr>
            <w:tcW w:w="2268" w:type="dxa"/>
            <w:vAlign w:val="center"/>
          </w:tcPr>
          <w:p w14:paraId="3BB1B8F9">
            <w:pPr>
              <w:pStyle w:val="11"/>
            </w:pPr>
            <w:r>
              <w:t>预算数</w:t>
            </w:r>
          </w:p>
        </w:tc>
        <w:tc>
          <w:tcPr>
            <w:tcW w:w="2835" w:type="dxa"/>
            <w:vAlign w:val="center"/>
          </w:tcPr>
          <w:p w14:paraId="751F6945">
            <w:pPr>
              <w:pStyle w:val="13"/>
            </w:pPr>
            <w:r>
              <w:t>314.56</w:t>
            </w:r>
          </w:p>
        </w:tc>
        <w:tc>
          <w:tcPr>
            <w:tcW w:w="2835" w:type="dxa"/>
            <w:vAlign w:val="center"/>
          </w:tcPr>
          <w:p w14:paraId="40824DA1">
            <w:pPr>
              <w:pStyle w:val="11"/>
            </w:pPr>
            <w:r>
              <w:t>其中：财政    资金</w:t>
            </w:r>
          </w:p>
        </w:tc>
        <w:tc>
          <w:tcPr>
            <w:tcW w:w="2551" w:type="dxa"/>
            <w:vAlign w:val="center"/>
          </w:tcPr>
          <w:p w14:paraId="6C0EA450">
            <w:pPr>
              <w:pStyle w:val="13"/>
            </w:pPr>
            <w:r>
              <w:t>314.56</w:t>
            </w:r>
          </w:p>
        </w:tc>
        <w:tc>
          <w:tcPr>
            <w:tcW w:w="2268" w:type="dxa"/>
            <w:vAlign w:val="center"/>
          </w:tcPr>
          <w:p w14:paraId="6BD457A7">
            <w:pPr>
              <w:pStyle w:val="11"/>
            </w:pPr>
            <w:r>
              <w:t>其他资金</w:t>
            </w:r>
          </w:p>
        </w:tc>
        <w:tc>
          <w:tcPr>
            <w:tcW w:w="1276" w:type="dxa"/>
            <w:vAlign w:val="center"/>
          </w:tcPr>
          <w:p w14:paraId="19571920">
            <w:pPr>
              <w:pStyle w:val="13"/>
            </w:pPr>
            <w:r>
              <w:t xml:space="preserve"> </w:t>
            </w:r>
          </w:p>
        </w:tc>
      </w:tr>
      <w:tr w14:paraId="3BB51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37CD2BF4"/>
        </w:tc>
        <w:tc>
          <w:tcPr>
            <w:tcW w:w="14033" w:type="dxa"/>
            <w:gridSpan w:val="6"/>
            <w:vAlign w:val="center"/>
          </w:tcPr>
          <w:p w14:paraId="75B3FA82">
            <w:pPr>
              <w:pStyle w:val="13"/>
            </w:pPr>
            <w:r>
              <w:t>资金按月发放，确保农村原民办代课教师教龄补助发放工作顺利实施；用于到达退休年龄老民办教师的教龄补助发放</w:t>
            </w:r>
          </w:p>
        </w:tc>
      </w:tr>
      <w:tr w14:paraId="3474E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2FC9D00F">
            <w:pPr>
              <w:pStyle w:val="11"/>
            </w:pPr>
            <w:r>
              <w:t>资金支出计划（%）</w:t>
            </w:r>
          </w:p>
        </w:tc>
        <w:tc>
          <w:tcPr>
            <w:tcW w:w="5103" w:type="dxa"/>
            <w:gridSpan w:val="2"/>
            <w:vAlign w:val="center"/>
          </w:tcPr>
          <w:p w14:paraId="70916BB1">
            <w:pPr>
              <w:pStyle w:val="11"/>
            </w:pPr>
            <w:r>
              <w:t>3月底</w:t>
            </w:r>
          </w:p>
        </w:tc>
        <w:tc>
          <w:tcPr>
            <w:tcW w:w="2835" w:type="dxa"/>
            <w:vAlign w:val="center"/>
          </w:tcPr>
          <w:p w14:paraId="7E79FB9A">
            <w:pPr>
              <w:pStyle w:val="11"/>
            </w:pPr>
            <w:r>
              <w:t>6月底</w:t>
            </w:r>
          </w:p>
        </w:tc>
        <w:tc>
          <w:tcPr>
            <w:tcW w:w="2551" w:type="dxa"/>
            <w:vAlign w:val="center"/>
          </w:tcPr>
          <w:p w14:paraId="51903837">
            <w:pPr>
              <w:pStyle w:val="11"/>
            </w:pPr>
            <w:r>
              <w:t>10月底</w:t>
            </w:r>
          </w:p>
        </w:tc>
        <w:tc>
          <w:tcPr>
            <w:tcW w:w="3544" w:type="dxa"/>
            <w:gridSpan w:val="2"/>
            <w:vAlign w:val="center"/>
          </w:tcPr>
          <w:p w14:paraId="409BA399">
            <w:pPr>
              <w:pStyle w:val="11"/>
            </w:pPr>
            <w:r>
              <w:t>12月底</w:t>
            </w:r>
          </w:p>
        </w:tc>
      </w:tr>
      <w:tr w14:paraId="71DAF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A3B1E"/>
        </w:tc>
        <w:tc>
          <w:tcPr>
            <w:tcW w:w="5103" w:type="dxa"/>
            <w:gridSpan w:val="2"/>
            <w:vAlign w:val="center"/>
          </w:tcPr>
          <w:p w14:paraId="0A677B43">
            <w:pPr>
              <w:pStyle w:val="12"/>
            </w:pPr>
            <w:r>
              <w:t>25%</w:t>
            </w:r>
          </w:p>
        </w:tc>
        <w:tc>
          <w:tcPr>
            <w:tcW w:w="2835" w:type="dxa"/>
            <w:vAlign w:val="center"/>
          </w:tcPr>
          <w:p w14:paraId="6DE64F1E">
            <w:pPr>
              <w:pStyle w:val="12"/>
            </w:pPr>
            <w:r>
              <w:t>50%</w:t>
            </w:r>
          </w:p>
        </w:tc>
        <w:tc>
          <w:tcPr>
            <w:tcW w:w="2551" w:type="dxa"/>
            <w:vAlign w:val="center"/>
          </w:tcPr>
          <w:p w14:paraId="19E197CE">
            <w:pPr>
              <w:pStyle w:val="12"/>
            </w:pPr>
            <w:r>
              <w:t>75%</w:t>
            </w:r>
          </w:p>
        </w:tc>
        <w:tc>
          <w:tcPr>
            <w:tcW w:w="3544" w:type="dxa"/>
            <w:gridSpan w:val="2"/>
            <w:vAlign w:val="center"/>
          </w:tcPr>
          <w:p w14:paraId="764CB95B">
            <w:pPr>
              <w:pStyle w:val="12"/>
            </w:pPr>
            <w:r>
              <w:t>100%</w:t>
            </w:r>
          </w:p>
        </w:tc>
      </w:tr>
      <w:tr w14:paraId="60F47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300910DA">
            <w:pPr>
              <w:pStyle w:val="11"/>
            </w:pPr>
            <w:r>
              <w:t>绩效目标</w:t>
            </w:r>
          </w:p>
        </w:tc>
        <w:tc>
          <w:tcPr>
            <w:tcW w:w="14033" w:type="dxa"/>
            <w:gridSpan w:val="6"/>
            <w:vAlign w:val="center"/>
          </w:tcPr>
          <w:p w14:paraId="4459A14A">
            <w:pPr>
              <w:pStyle w:val="13"/>
            </w:pPr>
            <w:r>
              <w:t>1.资金按月发放，确保农村原民办代课教师教龄补助发放工作顺利实施</w:t>
            </w:r>
            <w:r>
              <w:tab/>
            </w:r>
            <w:r>
              <w:tab/>
            </w:r>
          </w:p>
          <w:p w14:paraId="2B91B319">
            <w:pPr>
              <w:pStyle w:val="13"/>
            </w:pPr>
            <w:r>
              <w:t>2.用于到达退休年龄老民办教师的教龄补助发放</w:t>
            </w:r>
            <w:r>
              <w:tab/>
            </w:r>
            <w:r>
              <w:tab/>
            </w:r>
          </w:p>
        </w:tc>
      </w:tr>
    </w:tbl>
    <w:p w14:paraId="6BB71F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65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0B477">
            <w:pPr>
              <w:pStyle w:val="11"/>
            </w:pPr>
            <w:r>
              <w:t>一级指标</w:t>
            </w:r>
          </w:p>
        </w:tc>
        <w:tc>
          <w:tcPr>
            <w:tcW w:w="2268" w:type="dxa"/>
            <w:vAlign w:val="center"/>
          </w:tcPr>
          <w:p w14:paraId="37A01484">
            <w:pPr>
              <w:pStyle w:val="11"/>
            </w:pPr>
            <w:r>
              <w:t>二级指标</w:t>
            </w:r>
          </w:p>
        </w:tc>
        <w:tc>
          <w:tcPr>
            <w:tcW w:w="2835" w:type="dxa"/>
            <w:vAlign w:val="center"/>
          </w:tcPr>
          <w:p w14:paraId="37AAB389">
            <w:pPr>
              <w:pStyle w:val="11"/>
            </w:pPr>
            <w:r>
              <w:t>三级指标</w:t>
            </w:r>
          </w:p>
        </w:tc>
        <w:tc>
          <w:tcPr>
            <w:tcW w:w="5386" w:type="dxa"/>
            <w:vAlign w:val="center"/>
          </w:tcPr>
          <w:p w14:paraId="5540F361">
            <w:pPr>
              <w:pStyle w:val="11"/>
            </w:pPr>
            <w:r>
              <w:t>绩效指标描述</w:t>
            </w:r>
          </w:p>
        </w:tc>
        <w:tc>
          <w:tcPr>
            <w:tcW w:w="2268" w:type="dxa"/>
            <w:vAlign w:val="center"/>
          </w:tcPr>
          <w:p w14:paraId="40EBE6C3">
            <w:pPr>
              <w:pStyle w:val="11"/>
            </w:pPr>
            <w:r>
              <w:t>指标值</w:t>
            </w:r>
          </w:p>
        </w:tc>
        <w:tc>
          <w:tcPr>
            <w:tcW w:w="1276" w:type="dxa"/>
            <w:vAlign w:val="center"/>
          </w:tcPr>
          <w:p w14:paraId="20DA9AE0">
            <w:pPr>
              <w:pStyle w:val="11"/>
            </w:pPr>
            <w:r>
              <w:t>指标值确定依据</w:t>
            </w:r>
          </w:p>
        </w:tc>
      </w:tr>
      <w:tr w14:paraId="08A24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D64BE">
            <w:pPr>
              <w:pStyle w:val="12"/>
            </w:pPr>
            <w:r>
              <w:t>产出指标</w:t>
            </w:r>
          </w:p>
        </w:tc>
        <w:tc>
          <w:tcPr>
            <w:tcW w:w="2268" w:type="dxa"/>
            <w:vAlign w:val="center"/>
          </w:tcPr>
          <w:p w14:paraId="002B6AEA">
            <w:pPr>
              <w:pStyle w:val="13"/>
            </w:pPr>
            <w:r>
              <w:t>数量指标</w:t>
            </w:r>
          </w:p>
        </w:tc>
        <w:tc>
          <w:tcPr>
            <w:tcW w:w="2835" w:type="dxa"/>
            <w:vAlign w:val="center"/>
          </w:tcPr>
          <w:p w14:paraId="7E98B3C8">
            <w:pPr>
              <w:pStyle w:val="13"/>
            </w:pPr>
            <w:r>
              <w:t>代课教师教龄补助</w:t>
            </w:r>
          </w:p>
        </w:tc>
        <w:tc>
          <w:tcPr>
            <w:tcW w:w="5386" w:type="dxa"/>
            <w:vAlign w:val="center"/>
          </w:tcPr>
          <w:p w14:paraId="026A32FA">
            <w:pPr>
              <w:pStyle w:val="13"/>
            </w:pPr>
            <w:r>
              <w:t>到达退休年龄的，按照相关要求已在人事部门登记备案的原民办教师人数</w:t>
            </w:r>
          </w:p>
        </w:tc>
        <w:tc>
          <w:tcPr>
            <w:tcW w:w="2268" w:type="dxa"/>
            <w:vAlign w:val="center"/>
          </w:tcPr>
          <w:p w14:paraId="034D85EC">
            <w:pPr>
              <w:pStyle w:val="13"/>
            </w:pPr>
            <w:r>
              <w:t>≥1548人</w:t>
            </w:r>
          </w:p>
        </w:tc>
        <w:tc>
          <w:tcPr>
            <w:tcW w:w="1276" w:type="dxa"/>
            <w:vAlign w:val="center"/>
          </w:tcPr>
          <w:p w14:paraId="187EB518">
            <w:pPr>
              <w:pStyle w:val="13"/>
            </w:pPr>
            <w:r>
              <w:t>隆尧县农村原民办代课教师身份和教龄认定工作实施细则文件精神</w:t>
            </w:r>
          </w:p>
        </w:tc>
      </w:tr>
      <w:tr w14:paraId="55B8A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B9101"/>
        </w:tc>
        <w:tc>
          <w:tcPr>
            <w:tcW w:w="2268" w:type="dxa"/>
            <w:vAlign w:val="center"/>
          </w:tcPr>
          <w:p w14:paraId="6499C546">
            <w:pPr>
              <w:pStyle w:val="13"/>
            </w:pPr>
            <w:r>
              <w:t>质量指标</w:t>
            </w:r>
          </w:p>
        </w:tc>
        <w:tc>
          <w:tcPr>
            <w:tcW w:w="2835" w:type="dxa"/>
            <w:vAlign w:val="center"/>
          </w:tcPr>
          <w:p w14:paraId="23D356F2">
            <w:pPr>
              <w:pStyle w:val="13"/>
            </w:pPr>
            <w:r>
              <w:t>补助率</w:t>
            </w:r>
          </w:p>
        </w:tc>
        <w:tc>
          <w:tcPr>
            <w:tcW w:w="5386" w:type="dxa"/>
            <w:vAlign w:val="center"/>
          </w:tcPr>
          <w:p w14:paraId="2CC4F9C0">
            <w:pPr>
              <w:pStyle w:val="13"/>
            </w:pPr>
            <w:r>
              <w:t>民办代课教师教龄补助率</w:t>
            </w:r>
          </w:p>
        </w:tc>
        <w:tc>
          <w:tcPr>
            <w:tcW w:w="2268" w:type="dxa"/>
            <w:vAlign w:val="center"/>
          </w:tcPr>
          <w:p w14:paraId="59AAC708">
            <w:pPr>
              <w:pStyle w:val="13"/>
            </w:pPr>
            <w:r>
              <w:t>≤100%</w:t>
            </w:r>
          </w:p>
        </w:tc>
        <w:tc>
          <w:tcPr>
            <w:tcW w:w="1276" w:type="dxa"/>
            <w:vAlign w:val="center"/>
          </w:tcPr>
          <w:p w14:paraId="5595573E">
            <w:pPr>
              <w:pStyle w:val="13"/>
            </w:pPr>
            <w:r>
              <w:t>工作计划</w:t>
            </w:r>
          </w:p>
        </w:tc>
      </w:tr>
      <w:tr w14:paraId="7EEFE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30498"/>
        </w:tc>
        <w:tc>
          <w:tcPr>
            <w:tcW w:w="2268" w:type="dxa"/>
            <w:vAlign w:val="center"/>
          </w:tcPr>
          <w:p w14:paraId="3BA7EC2A">
            <w:pPr>
              <w:pStyle w:val="13"/>
            </w:pPr>
            <w:r>
              <w:t>时效指标</w:t>
            </w:r>
          </w:p>
        </w:tc>
        <w:tc>
          <w:tcPr>
            <w:tcW w:w="2835" w:type="dxa"/>
            <w:vAlign w:val="center"/>
          </w:tcPr>
          <w:p w14:paraId="034895FC">
            <w:pPr>
              <w:pStyle w:val="13"/>
            </w:pPr>
            <w:r>
              <w:t>资金支付率</w:t>
            </w:r>
          </w:p>
        </w:tc>
        <w:tc>
          <w:tcPr>
            <w:tcW w:w="5386" w:type="dxa"/>
            <w:vAlign w:val="center"/>
          </w:tcPr>
          <w:p w14:paraId="2E54FFAA">
            <w:pPr>
              <w:pStyle w:val="13"/>
            </w:pPr>
            <w:r>
              <w:t>按照序时进度完成资金支付</w:t>
            </w:r>
          </w:p>
        </w:tc>
        <w:tc>
          <w:tcPr>
            <w:tcW w:w="2268" w:type="dxa"/>
            <w:vAlign w:val="center"/>
          </w:tcPr>
          <w:p w14:paraId="1BFBCF21">
            <w:pPr>
              <w:pStyle w:val="13"/>
            </w:pPr>
            <w:r>
              <w:t>≤100%</w:t>
            </w:r>
          </w:p>
        </w:tc>
        <w:tc>
          <w:tcPr>
            <w:tcW w:w="1276" w:type="dxa"/>
            <w:vAlign w:val="center"/>
          </w:tcPr>
          <w:p w14:paraId="7A0B1940">
            <w:pPr>
              <w:pStyle w:val="13"/>
            </w:pPr>
            <w:r>
              <w:t>工作计划</w:t>
            </w:r>
          </w:p>
        </w:tc>
      </w:tr>
      <w:tr w14:paraId="412F0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88DC6"/>
        </w:tc>
        <w:tc>
          <w:tcPr>
            <w:tcW w:w="2268" w:type="dxa"/>
            <w:vAlign w:val="center"/>
          </w:tcPr>
          <w:p w14:paraId="1BFA975E">
            <w:pPr>
              <w:pStyle w:val="13"/>
            </w:pPr>
            <w:r>
              <w:t>成本指标</w:t>
            </w:r>
          </w:p>
        </w:tc>
        <w:tc>
          <w:tcPr>
            <w:tcW w:w="2835" w:type="dxa"/>
            <w:vAlign w:val="center"/>
          </w:tcPr>
          <w:p w14:paraId="686A12F0">
            <w:pPr>
              <w:pStyle w:val="13"/>
            </w:pPr>
            <w:r>
              <w:t>发放标准</w:t>
            </w:r>
          </w:p>
        </w:tc>
        <w:tc>
          <w:tcPr>
            <w:tcW w:w="5386" w:type="dxa"/>
            <w:vAlign w:val="center"/>
          </w:tcPr>
          <w:p w14:paraId="6F82584C">
            <w:pPr>
              <w:pStyle w:val="13"/>
            </w:pPr>
            <w:r>
              <w:t>教龄补助标准任教年限不满一年的按一年计算。根据经济社会发展情况，适时调整教龄补贴标准。</w:t>
            </w:r>
          </w:p>
        </w:tc>
        <w:tc>
          <w:tcPr>
            <w:tcW w:w="2268" w:type="dxa"/>
            <w:vAlign w:val="center"/>
          </w:tcPr>
          <w:p w14:paraId="2EAA0AC5">
            <w:pPr>
              <w:pStyle w:val="13"/>
            </w:pPr>
            <w:r>
              <w:t>26元</w:t>
            </w:r>
          </w:p>
        </w:tc>
        <w:tc>
          <w:tcPr>
            <w:tcW w:w="1276" w:type="dxa"/>
            <w:vAlign w:val="center"/>
          </w:tcPr>
          <w:p w14:paraId="124B6C38">
            <w:pPr>
              <w:pStyle w:val="13"/>
            </w:pPr>
            <w:r>
              <w:t>年度预算安排</w:t>
            </w:r>
          </w:p>
        </w:tc>
      </w:tr>
      <w:tr w14:paraId="7BB2E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46E83">
            <w:pPr>
              <w:pStyle w:val="12"/>
            </w:pPr>
            <w:r>
              <w:t>效益指标</w:t>
            </w:r>
          </w:p>
        </w:tc>
        <w:tc>
          <w:tcPr>
            <w:tcW w:w="2268" w:type="dxa"/>
            <w:vAlign w:val="center"/>
          </w:tcPr>
          <w:p w14:paraId="39C10A2D">
            <w:pPr>
              <w:pStyle w:val="13"/>
            </w:pPr>
            <w:r>
              <w:t>可持续影响指标</w:t>
            </w:r>
          </w:p>
        </w:tc>
        <w:tc>
          <w:tcPr>
            <w:tcW w:w="2835" w:type="dxa"/>
            <w:vAlign w:val="center"/>
          </w:tcPr>
          <w:p w14:paraId="3D1634DF">
            <w:pPr>
              <w:pStyle w:val="13"/>
            </w:pPr>
            <w:r>
              <w:t>政策知晓率</w:t>
            </w:r>
          </w:p>
        </w:tc>
        <w:tc>
          <w:tcPr>
            <w:tcW w:w="5386" w:type="dxa"/>
            <w:vAlign w:val="center"/>
          </w:tcPr>
          <w:p w14:paraId="1DD6D69D">
            <w:pPr>
              <w:pStyle w:val="13"/>
            </w:pPr>
            <w:r>
              <w:t>政策知晓率</w:t>
            </w:r>
          </w:p>
        </w:tc>
        <w:tc>
          <w:tcPr>
            <w:tcW w:w="2268" w:type="dxa"/>
            <w:vAlign w:val="center"/>
          </w:tcPr>
          <w:p w14:paraId="48911EF3">
            <w:pPr>
              <w:pStyle w:val="13"/>
            </w:pPr>
            <w:r>
              <w:t>≥98%</w:t>
            </w:r>
          </w:p>
        </w:tc>
        <w:tc>
          <w:tcPr>
            <w:tcW w:w="1276" w:type="dxa"/>
            <w:vAlign w:val="center"/>
          </w:tcPr>
          <w:p w14:paraId="21E9B004">
            <w:pPr>
              <w:pStyle w:val="13"/>
            </w:pPr>
            <w:r>
              <w:t>调查结果</w:t>
            </w:r>
          </w:p>
        </w:tc>
      </w:tr>
      <w:tr w14:paraId="08C57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080541">
            <w:pPr>
              <w:pStyle w:val="12"/>
            </w:pPr>
            <w:r>
              <w:t>满意度指标</w:t>
            </w:r>
          </w:p>
        </w:tc>
        <w:tc>
          <w:tcPr>
            <w:tcW w:w="2268" w:type="dxa"/>
            <w:vAlign w:val="center"/>
          </w:tcPr>
          <w:p w14:paraId="3034D09A">
            <w:pPr>
              <w:pStyle w:val="13"/>
            </w:pPr>
            <w:r>
              <w:t>服务对象满意度指标</w:t>
            </w:r>
          </w:p>
        </w:tc>
        <w:tc>
          <w:tcPr>
            <w:tcW w:w="2835" w:type="dxa"/>
            <w:vAlign w:val="center"/>
          </w:tcPr>
          <w:p w14:paraId="7C578C34">
            <w:pPr>
              <w:pStyle w:val="13"/>
            </w:pPr>
            <w:r>
              <w:t>享受补助老民办教师满意度</w:t>
            </w:r>
          </w:p>
        </w:tc>
        <w:tc>
          <w:tcPr>
            <w:tcW w:w="5386" w:type="dxa"/>
            <w:vAlign w:val="center"/>
          </w:tcPr>
          <w:p w14:paraId="32C4118C">
            <w:pPr>
              <w:pStyle w:val="13"/>
            </w:pPr>
            <w:r>
              <w:t>享受补助老民办教师满意度对资金发放情况满意度</w:t>
            </w:r>
          </w:p>
        </w:tc>
        <w:tc>
          <w:tcPr>
            <w:tcW w:w="2268" w:type="dxa"/>
            <w:vAlign w:val="center"/>
          </w:tcPr>
          <w:p w14:paraId="74ABF4A9">
            <w:pPr>
              <w:pStyle w:val="13"/>
            </w:pPr>
            <w:r>
              <w:t>≥95%</w:t>
            </w:r>
          </w:p>
        </w:tc>
        <w:tc>
          <w:tcPr>
            <w:tcW w:w="1276" w:type="dxa"/>
            <w:vAlign w:val="center"/>
          </w:tcPr>
          <w:p w14:paraId="13D2A0D6">
            <w:pPr>
              <w:pStyle w:val="13"/>
            </w:pPr>
            <w:r>
              <w:t>调查结果</w:t>
            </w:r>
          </w:p>
        </w:tc>
      </w:tr>
    </w:tbl>
    <w:p w14:paraId="76C6860E">
      <w:pPr>
        <w:sectPr>
          <w:pgSz w:w="16840" w:h="11900" w:orient="landscape"/>
          <w:pgMar w:top="1361" w:right="1020" w:bottom="1134" w:left="1020" w:header="720" w:footer="720" w:gutter="0"/>
          <w:cols w:space="720" w:num="1"/>
        </w:sectPr>
      </w:pPr>
    </w:p>
    <w:p w14:paraId="09885434">
      <w:pPr>
        <w:spacing w:before="0" w:after="0"/>
        <w:ind w:firstLine="560"/>
        <w:jc w:val="left"/>
        <w:outlineLvl w:val="9"/>
      </w:pPr>
      <w:r>
        <w:rPr>
          <w:rFonts w:ascii="方正仿宋_GBK" w:hAnsi="方正仿宋_GBK" w:eastAsia="方正仿宋_GBK" w:cs="方正仿宋_GBK"/>
          <w:b/>
          <w:color w:val="000000"/>
          <w:sz w:val="28"/>
        </w:rPr>
        <w:t>159、县级配套/中小学营养改善计划绩效目标表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CE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1DDC4">
            <w:pPr>
              <w:pStyle w:val="14"/>
            </w:pPr>
            <w:r>
              <w:t>单位：万元</w:t>
            </w:r>
          </w:p>
        </w:tc>
      </w:tr>
      <w:tr w14:paraId="5FB1A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CE2345">
            <w:pPr>
              <w:pStyle w:val="11"/>
            </w:pPr>
            <w:r>
              <w:t>项目编码</w:t>
            </w:r>
          </w:p>
        </w:tc>
        <w:tc>
          <w:tcPr>
            <w:tcW w:w="5103" w:type="dxa"/>
            <w:gridSpan w:val="2"/>
            <w:vAlign w:val="center"/>
          </w:tcPr>
          <w:p w14:paraId="520D78A2">
            <w:pPr>
              <w:pStyle w:val="13"/>
            </w:pPr>
            <w:r>
              <w:t>13052525P000016100016</w:t>
            </w:r>
          </w:p>
        </w:tc>
        <w:tc>
          <w:tcPr>
            <w:tcW w:w="2835" w:type="dxa"/>
            <w:vAlign w:val="center"/>
          </w:tcPr>
          <w:p w14:paraId="5818A0F2">
            <w:pPr>
              <w:pStyle w:val="11"/>
            </w:pPr>
            <w:r>
              <w:t>项目名称</w:t>
            </w:r>
          </w:p>
        </w:tc>
        <w:tc>
          <w:tcPr>
            <w:tcW w:w="6095" w:type="dxa"/>
            <w:gridSpan w:val="3"/>
            <w:vAlign w:val="center"/>
          </w:tcPr>
          <w:p w14:paraId="46AF2D02">
            <w:pPr>
              <w:pStyle w:val="13"/>
            </w:pPr>
            <w:r>
              <w:t>县级配套/中小学营养改善计划</w:t>
            </w:r>
            <w:r>
              <w:tab/>
            </w:r>
            <w:r>
              <w:tab/>
            </w:r>
          </w:p>
        </w:tc>
      </w:tr>
      <w:tr w14:paraId="41C9C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4598D">
            <w:pPr>
              <w:pStyle w:val="11"/>
            </w:pPr>
            <w:r>
              <w:t>预算规模及资金用途</w:t>
            </w:r>
          </w:p>
        </w:tc>
        <w:tc>
          <w:tcPr>
            <w:tcW w:w="2268" w:type="dxa"/>
            <w:vAlign w:val="center"/>
          </w:tcPr>
          <w:p w14:paraId="665F4954">
            <w:pPr>
              <w:pStyle w:val="11"/>
            </w:pPr>
            <w:r>
              <w:t>预算数</w:t>
            </w:r>
          </w:p>
        </w:tc>
        <w:tc>
          <w:tcPr>
            <w:tcW w:w="2835" w:type="dxa"/>
            <w:vAlign w:val="center"/>
          </w:tcPr>
          <w:p w14:paraId="5745E508">
            <w:pPr>
              <w:pStyle w:val="13"/>
            </w:pPr>
            <w:r>
              <w:t>800.00</w:t>
            </w:r>
          </w:p>
        </w:tc>
        <w:tc>
          <w:tcPr>
            <w:tcW w:w="2835" w:type="dxa"/>
            <w:vAlign w:val="center"/>
          </w:tcPr>
          <w:p w14:paraId="231B131B">
            <w:pPr>
              <w:pStyle w:val="11"/>
            </w:pPr>
            <w:r>
              <w:t>其中：财政    资金</w:t>
            </w:r>
          </w:p>
        </w:tc>
        <w:tc>
          <w:tcPr>
            <w:tcW w:w="2551" w:type="dxa"/>
            <w:vAlign w:val="center"/>
          </w:tcPr>
          <w:p w14:paraId="1140B943">
            <w:pPr>
              <w:pStyle w:val="13"/>
            </w:pPr>
            <w:r>
              <w:t>800.00</w:t>
            </w:r>
          </w:p>
        </w:tc>
        <w:tc>
          <w:tcPr>
            <w:tcW w:w="2268" w:type="dxa"/>
            <w:vAlign w:val="center"/>
          </w:tcPr>
          <w:p w14:paraId="152D051D">
            <w:pPr>
              <w:pStyle w:val="11"/>
            </w:pPr>
            <w:r>
              <w:t>其他资金</w:t>
            </w:r>
          </w:p>
        </w:tc>
        <w:tc>
          <w:tcPr>
            <w:tcW w:w="1276" w:type="dxa"/>
            <w:vAlign w:val="center"/>
          </w:tcPr>
          <w:p w14:paraId="3B74A795">
            <w:pPr>
              <w:pStyle w:val="13"/>
            </w:pPr>
            <w:r>
              <w:t xml:space="preserve"> </w:t>
            </w:r>
          </w:p>
        </w:tc>
      </w:tr>
      <w:tr w14:paraId="1D065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C78FD0"/>
        </w:tc>
        <w:tc>
          <w:tcPr>
            <w:tcW w:w="14033" w:type="dxa"/>
            <w:gridSpan w:val="6"/>
            <w:vAlign w:val="center"/>
          </w:tcPr>
          <w:p w14:paraId="3B019DE4">
            <w:pPr>
              <w:pStyle w:val="13"/>
            </w:pPr>
            <w:r>
              <w:t>营养改善计划地方试点，第二批地方试点每生每天2.5元，全年供餐200天，500元。</w:t>
            </w:r>
          </w:p>
        </w:tc>
      </w:tr>
      <w:tr w14:paraId="3A079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7BFDE">
            <w:pPr>
              <w:pStyle w:val="11"/>
            </w:pPr>
            <w:r>
              <w:t>资金支出计划（%）</w:t>
            </w:r>
          </w:p>
        </w:tc>
        <w:tc>
          <w:tcPr>
            <w:tcW w:w="5103" w:type="dxa"/>
            <w:gridSpan w:val="2"/>
            <w:vAlign w:val="center"/>
          </w:tcPr>
          <w:p w14:paraId="73866773">
            <w:pPr>
              <w:pStyle w:val="11"/>
            </w:pPr>
            <w:r>
              <w:t>3月底</w:t>
            </w:r>
          </w:p>
        </w:tc>
        <w:tc>
          <w:tcPr>
            <w:tcW w:w="2835" w:type="dxa"/>
            <w:vAlign w:val="center"/>
          </w:tcPr>
          <w:p w14:paraId="2588BADA">
            <w:pPr>
              <w:pStyle w:val="11"/>
            </w:pPr>
            <w:r>
              <w:t>6月底</w:t>
            </w:r>
          </w:p>
        </w:tc>
        <w:tc>
          <w:tcPr>
            <w:tcW w:w="2551" w:type="dxa"/>
            <w:vAlign w:val="center"/>
          </w:tcPr>
          <w:p w14:paraId="6EB30C23">
            <w:pPr>
              <w:pStyle w:val="11"/>
            </w:pPr>
            <w:r>
              <w:t>10月底</w:t>
            </w:r>
          </w:p>
        </w:tc>
        <w:tc>
          <w:tcPr>
            <w:tcW w:w="3544" w:type="dxa"/>
            <w:gridSpan w:val="2"/>
            <w:vAlign w:val="center"/>
          </w:tcPr>
          <w:p w14:paraId="4D31CBD8">
            <w:pPr>
              <w:pStyle w:val="11"/>
            </w:pPr>
            <w:r>
              <w:t>12月底</w:t>
            </w:r>
          </w:p>
        </w:tc>
      </w:tr>
      <w:tr w14:paraId="5FA3A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0932E4"/>
        </w:tc>
        <w:tc>
          <w:tcPr>
            <w:tcW w:w="5103" w:type="dxa"/>
            <w:gridSpan w:val="2"/>
            <w:vAlign w:val="center"/>
          </w:tcPr>
          <w:p w14:paraId="09BED9AA">
            <w:pPr>
              <w:pStyle w:val="12"/>
            </w:pPr>
            <w:r>
              <w:t xml:space="preserve"> </w:t>
            </w:r>
          </w:p>
        </w:tc>
        <w:tc>
          <w:tcPr>
            <w:tcW w:w="2835" w:type="dxa"/>
            <w:vAlign w:val="center"/>
          </w:tcPr>
          <w:p w14:paraId="089B531C">
            <w:pPr>
              <w:pStyle w:val="12"/>
            </w:pPr>
            <w:r>
              <w:t xml:space="preserve"> </w:t>
            </w:r>
          </w:p>
        </w:tc>
        <w:tc>
          <w:tcPr>
            <w:tcW w:w="2551" w:type="dxa"/>
            <w:vAlign w:val="center"/>
          </w:tcPr>
          <w:p w14:paraId="56669B6B">
            <w:pPr>
              <w:pStyle w:val="12"/>
            </w:pPr>
            <w:r>
              <w:t xml:space="preserve"> </w:t>
            </w:r>
          </w:p>
        </w:tc>
        <w:tc>
          <w:tcPr>
            <w:tcW w:w="3544" w:type="dxa"/>
            <w:gridSpan w:val="2"/>
            <w:vAlign w:val="center"/>
          </w:tcPr>
          <w:p w14:paraId="27CF5FA5">
            <w:pPr>
              <w:pStyle w:val="12"/>
            </w:pPr>
            <w:r>
              <w:t>100%</w:t>
            </w:r>
          </w:p>
        </w:tc>
      </w:tr>
      <w:tr w14:paraId="17434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B2EA2">
            <w:pPr>
              <w:pStyle w:val="11"/>
            </w:pPr>
            <w:r>
              <w:t>绩效目标</w:t>
            </w:r>
          </w:p>
        </w:tc>
        <w:tc>
          <w:tcPr>
            <w:tcW w:w="14033" w:type="dxa"/>
            <w:gridSpan w:val="6"/>
            <w:vAlign w:val="center"/>
          </w:tcPr>
          <w:p w14:paraId="27256244">
            <w:pPr>
              <w:pStyle w:val="13"/>
            </w:pPr>
            <w:r>
              <w:t>1.营养改善计划地方试点，第二批地方试点每生每天2.5元，全年供餐200天，500元。</w:t>
            </w:r>
          </w:p>
        </w:tc>
      </w:tr>
    </w:tbl>
    <w:p w14:paraId="406130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69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3BA07">
            <w:pPr>
              <w:pStyle w:val="11"/>
            </w:pPr>
            <w:r>
              <w:t>一级指标</w:t>
            </w:r>
          </w:p>
        </w:tc>
        <w:tc>
          <w:tcPr>
            <w:tcW w:w="2268" w:type="dxa"/>
            <w:vAlign w:val="center"/>
          </w:tcPr>
          <w:p w14:paraId="774E13CC">
            <w:pPr>
              <w:pStyle w:val="11"/>
            </w:pPr>
            <w:r>
              <w:t>二级指标</w:t>
            </w:r>
          </w:p>
        </w:tc>
        <w:tc>
          <w:tcPr>
            <w:tcW w:w="2835" w:type="dxa"/>
            <w:vAlign w:val="center"/>
          </w:tcPr>
          <w:p w14:paraId="152594A5">
            <w:pPr>
              <w:pStyle w:val="11"/>
            </w:pPr>
            <w:r>
              <w:t>三级指标</w:t>
            </w:r>
          </w:p>
        </w:tc>
        <w:tc>
          <w:tcPr>
            <w:tcW w:w="5386" w:type="dxa"/>
            <w:vAlign w:val="center"/>
          </w:tcPr>
          <w:p w14:paraId="4BAF0CDB">
            <w:pPr>
              <w:pStyle w:val="11"/>
            </w:pPr>
            <w:r>
              <w:t>绩效指标描述</w:t>
            </w:r>
          </w:p>
        </w:tc>
        <w:tc>
          <w:tcPr>
            <w:tcW w:w="2268" w:type="dxa"/>
            <w:vAlign w:val="center"/>
          </w:tcPr>
          <w:p w14:paraId="50BA3EB0">
            <w:pPr>
              <w:pStyle w:val="11"/>
            </w:pPr>
            <w:r>
              <w:t>指标值</w:t>
            </w:r>
          </w:p>
        </w:tc>
        <w:tc>
          <w:tcPr>
            <w:tcW w:w="1276" w:type="dxa"/>
            <w:vAlign w:val="center"/>
          </w:tcPr>
          <w:p w14:paraId="406DCD3A">
            <w:pPr>
              <w:pStyle w:val="11"/>
            </w:pPr>
            <w:r>
              <w:t>指标值确定依据</w:t>
            </w:r>
          </w:p>
        </w:tc>
      </w:tr>
      <w:tr w14:paraId="23EB2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3560C">
            <w:pPr>
              <w:pStyle w:val="12"/>
            </w:pPr>
            <w:r>
              <w:t>产出指标</w:t>
            </w:r>
          </w:p>
        </w:tc>
        <w:tc>
          <w:tcPr>
            <w:tcW w:w="2268" w:type="dxa"/>
            <w:vAlign w:val="center"/>
          </w:tcPr>
          <w:p w14:paraId="45579AA6">
            <w:pPr>
              <w:pStyle w:val="13"/>
            </w:pPr>
            <w:r>
              <w:t>数量指标</w:t>
            </w:r>
          </w:p>
        </w:tc>
        <w:tc>
          <w:tcPr>
            <w:tcW w:w="2835" w:type="dxa"/>
            <w:vAlign w:val="center"/>
          </w:tcPr>
          <w:p w14:paraId="40D6B519">
            <w:pPr>
              <w:pStyle w:val="13"/>
            </w:pPr>
            <w:r>
              <w:t>营养改善计划省级试点补助学生数</w:t>
            </w:r>
          </w:p>
        </w:tc>
        <w:tc>
          <w:tcPr>
            <w:tcW w:w="5386" w:type="dxa"/>
            <w:vAlign w:val="center"/>
          </w:tcPr>
          <w:p w14:paraId="3D7223F2">
            <w:pPr>
              <w:pStyle w:val="13"/>
            </w:pPr>
            <w:r>
              <w:t>农村义务教育学生营养改善计划省级试点补助覆盖除县城区外的义教阶段公办及民办小学</w:t>
            </w:r>
          </w:p>
        </w:tc>
        <w:tc>
          <w:tcPr>
            <w:tcW w:w="2268" w:type="dxa"/>
            <w:vAlign w:val="center"/>
          </w:tcPr>
          <w:p w14:paraId="18546221">
            <w:pPr>
              <w:pStyle w:val="13"/>
            </w:pPr>
            <w:r>
              <w:t>≥114所</w:t>
            </w:r>
          </w:p>
        </w:tc>
        <w:tc>
          <w:tcPr>
            <w:tcW w:w="1276" w:type="dxa"/>
            <w:vAlign w:val="center"/>
          </w:tcPr>
          <w:p w14:paraId="6D01004A">
            <w:pPr>
              <w:pStyle w:val="13"/>
            </w:pPr>
            <w:r>
              <w:t>全省农村小学生中实施营养改善计划地方试点的实施方案</w:t>
            </w:r>
          </w:p>
          <w:p w14:paraId="74C00FE2">
            <w:pPr>
              <w:pStyle w:val="13"/>
            </w:pPr>
          </w:p>
        </w:tc>
      </w:tr>
      <w:tr w14:paraId="73C76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681D"/>
        </w:tc>
        <w:tc>
          <w:tcPr>
            <w:tcW w:w="2268" w:type="dxa"/>
            <w:vAlign w:val="center"/>
          </w:tcPr>
          <w:p w14:paraId="09047A5B">
            <w:pPr>
              <w:pStyle w:val="13"/>
            </w:pPr>
            <w:r>
              <w:t>质量指标</w:t>
            </w:r>
          </w:p>
        </w:tc>
        <w:tc>
          <w:tcPr>
            <w:tcW w:w="2835" w:type="dxa"/>
            <w:vAlign w:val="center"/>
          </w:tcPr>
          <w:p w14:paraId="1B93B472">
            <w:pPr>
              <w:pStyle w:val="13"/>
            </w:pPr>
            <w:r>
              <w:t>营养改善计划食品安全达标率</w:t>
            </w:r>
          </w:p>
        </w:tc>
        <w:tc>
          <w:tcPr>
            <w:tcW w:w="5386" w:type="dxa"/>
            <w:vAlign w:val="center"/>
          </w:tcPr>
          <w:p w14:paraId="08A4B30C">
            <w:pPr>
              <w:pStyle w:val="13"/>
            </w:pPr>
            <w:r>
              <w:t>农村义务教育学生营养改善计划供餐质量达标率</w:t>
            </w:r>
          </w:p>
        </w:tc>
        <w:tc>
          <w:tcPr>
            <w:tcW w:w="2268" w:type="dxa"/>
            <w:vAlign w:val="center"/>
          </w:tcPr>
          <w:p w14:paraId="6AB400DF">
            <w:pPr>
              <w:pStyle w:val="13"/>
            </w:pPr>
            <w:r>
              <w:t>≥100%</w:t>
            </w:r>
          </w:p>
        </w:tc>
        <w:tc>
          <w:tcPr>
            <w:tcW w:w="1276" w:type="dxa"/>
            <w:vAlign w:val="center"/>
          </w:tcPr>
          <w:p w14:paraId="7936EDEF">
            <w:pPr>
              <w:pStyle w:val="13"/>
            </w:pPr>
            <w:r>
              <w:t>全省农村小学生中实施营养改善计划地方试点的实施方案</w:t>
            </w:r>
          </w:p>
          <w:p w14:paraId="53BF54F3">
            <w:pPr>
              <w:pStyle w:val="13"/>
            </w:pPr>
          </w:p>
        </w:tc>
      </w:tr>
      <w:tr w14:paraId="1CCBC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7834D"/>
        </w:tc>
        <w:tc>
          <w:tcPr>
            <w:tcW w:w="2268" w:type="dxa"/>
            <w:vAlign w:val="center"/>
          </w:tcPr>
          <w:p w14:paraId="2E8200A6">
            <w:pPr>
              <w:pStyle w:val="13"/>
            </w:pPr>
            <w:r>
              <w:t>时效指标</w:t>
            </w:r>
          </w:p>
        </w:tc>
        <w:tc>
          <w:tcPr>
            <w:tcW w:w="2835" w:type="dxa"/>
            <w:vAlign w:val="center"/>
          </w:tcPr>
          <w:p w14:paraId="3F5F63E5">
            <w:pPr>
              <w:pStyle w:val="13"/>
            </w:pPr>
            <w:r>
              <w:t>资金拨付率</w:t>
            </w:r>
          </w:p>
        </w:tc>
        <w:tc>
          <w:tcPr>
            <w:tcW w:w="5386" w:type="dxa"/>
            <w:vAlign w:val="center"/>
          </w:tcPr>
          <w:p w14:paraId="20AC85E3">
            <w:pPr>
              <w:pStyle w:val="13"/>
            </w:pPr>
            <w:r>
              <w:t>按照供餐情况月底结算</w:t>
            </w:r>
          </w:p>
        </w:tc>
        <w:tc>
          <w:tcPr>
            <w:tcW w:w="2268" w:type="dxa"/>
            <w:vAlign w:val="center"/>
          </w:tcPr>
          <w:p w14:paraId="43441773">
            <w:pPr>
              <w:pStyle w:val="13"/>
            </w:pPr>
            <w:r>
              <w:t>100%</w:t>
            </w:r>
          </w:p>
        </w:tc>
        <w:tc>
          <w:tcPr>
            <w:tcW w:w="1276" w:type="dxa"/>
            <w:vAlign w:val="center"/>
          </w:tcPr>
          <w:p w14:paraId="25618A87">
            <w:pPr>
              <w:pStyle w:val="13"/>
            </w:pPr>
            <w:r>
              <w:t>全省农村小学生中实施营养改善计划地方试点的实施方案</w:t>
            </w:r>
          </w:p>
          <w:p w14:paraId="5AF8156A">
            <w:pPr>
              <w:pStyle w:val="13"/>
            </w:pPr>
          </w:p>
        </w:tc>
      </w:tr>
      <w:tr w14:paraId="3B68F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C33D0"/>
        </w:tc>
        <w:tc>
          <w:tcPr>
            <w:tcW w:w="2268" w:type="dxa"/>
            <w:vAlign w:val="center"/>
          </w:tcPr>
          <w:p w14:paraId="5D0EF959">
            <w:pPr>
              <w:pStyle w:val="13"/>
            </w:pPr>
            <w:r>
              <w:t>成本指标</w:t>
            </w:r>
          </w:p>
        </w:tc>
        <w:tc>
          <w:tcPr>
            <w:tcW w:w="2835" w:type="dxa"/>
            <w:vAlign w:val="center"/>
          </w:tcPr>
          <w:p w14:paraId="7EAC00EA">
            <w:pPr>
              <w:pStyle w:val="13"/>
            </w:pPr>
            <w:r>
              <w:t>营养膳食生均补助标准</w:t>
            </w:r>
          </w:p>
        </w:tc>
        <w:tc>
          <w:tcPr>
            <w:tcW w:w="5386" w:type="dxa"/>
            <w:vAlign w:val="center"/>
          </w:tcPr>
          <w:p w14:paraId="20E575D7">
            <w:pPr>
              <w:pStyle w:val="13"/>
            </w:pPr>
            <w:r>
              <w:t>农村义务教育学生营养膳食生均补助标准</w:t>
            </w:r>
          </w:p>
        </w:tc>
        <w:tc>
          <w:tcPr>
            <w:tcW w:w="2268" w:type="dxa"/>
            <w:vAlign w:val="center"/>
          </w:tcPr>
          <w:p w14:paraId="48FCBFCA">
            <w:pPr>
              <w:pStyle w:val="13"/>
            </w:pPr>
            <w:r>
              <w:t>2.5元/天</w:t>
            </w:r>
          </w:p>
        </w:tc>
        <w:tc>
          <w:tcPr>
            <w:tcW w:w="1276" w:type="dxa"/>
            <w:vAlign w:val="center"/>
          </w:tcPr>
          <w:p w14:paraId="18964773">
            <w:pPr>
              <w:pStyle w:val="13"/>
            </w:pPr>
            <w:r>
              <w:t>全省农村小学生中实施营养改善计划地方试点的实施方案</w:t>
            </w:r>
          </w:p>
          <w:p w14:paraId="767BF9FB">
            <w:pPr>
              <w:pStyle w:val="13"/>
            </w:pPr>
          </w:p>
        </w:tc>
      </w:tr>
      <w:tr w14:paraId="34515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10CBCD">
            <w:pPr>
              <w:pStyle w:val="12"/>
            </w:pPr>
            <w:r>
              <w:t>效益指标</w:t>
            </w:r>
          </w:p>
        </w:tc>
        <w:tc>
          <w:tcPr>
            <w:tcW w:w="2268" w:type="dxa"/>
            <w:vAlign w:val="center"/>
          </w:tcPr>
          <w:p w14:paraId="22B02C24">
            <w:pPr>
              <w:pStyle w:val="13"/>
            </w:pPr>
            <w:r>
              <w:t>可持续影响指标</w:t>
            </w:r>
          </w:p>
        </w:tc>
        <w:tc>
          <w:tcPr>
            <w:tcW w:w="2835" w:type="dxa"/>
            <w:vAlign w:val="center"/>
          </w:tcPr>
          <w:p w14:paraId="4895325D">
            <w:pPr>
              <w:pStyle w:val="13"/>
            </w:pPr>
            <w:r>
              <w:t>受益学生数</w:t>
            </w:r>
          </w:p>
        </w:tc>
        <w:tc>
          <w:tcPr>
            <w:tcW w:w="5386" w:type="dxa"/>
            <w:vAlign w:val="center"/>
          </w:tcPr>
          <w:p w14:paraId="18846A0F">
            <w:pPr>
              <w:pStyle w:val="13"/>
            </w:pPr>
            <w:r>
              <w:t>项目实施学校受益学生数</w:t>
            </w:r>
          </w:p>
        </w:tc>
        <w:tc>
          <w:tcPr>
            <w:tcW w:w="2268" w:type="dxa"/>
            <w:vAlign w:val="center"/>
          </w:tcPr>
          <w:p w14:paraId="122F008B">
            <w:pPr>
              <w:pStyle w:val="13"/>
            </w:pPr>
            <w:r>
              <w:t>≥32000人</w:t>
            </w:r>
          </w:p>
        </w:tc>
        <w:tc>
          <w:tcPr>
            <w:tcW w:w="1276" w:type="dxa"/>
            <w:vAlign w:val="center"/>
          </w:tcPr>
          <w:p w14:paraId="058E1E7B">
            <w:pPr>
              <w:pStyle w:val="13"/>
            </w:pPr>
            <w:r>
              <w:t>全省农村小学生中实施营养改善计划地方试点的实施方案</w:t>
            </w:r>
          </w:p>
          <w:p w14:paraId="02BEFF83">
            <w:pPr>
              <w:pStyle w:val="13"/>
            </w:pPr>
          </w:p>
        </w:tc>
      </w:tr>
      <w:tr w14:paraId="668A5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FAFA43">
            <w:pPr>
              <w:pStyle w:val="12"/>
            </w:pPr>
            <w:r>
              <w:t>满意度指标</w:t>
            </w:r>
          </w:p>
        </w:tc>
        <w:tc>
          <w:tcPr>
            <w:tcW w:w="2268" w:type="dxa"/>
            <w:vAlign w:val="center"/>
          </w:tcPr>
          <w:p w14:paraId="6EA54571">
            <w:pPr>
              <w:pStyle w:val="13"/>
            </w:pPr>
            <w:r>
              <w:t>服务对象满意度指标</w:t>
            </w:r>
          </w:p>
        </w:tc>
        <w:tc>
          <w:tcPr>
            <w:tcW w:w="2835" w:type="dxa"/>
            <w:vAlign w:val="center"/>
          </w:tcPr>
          <w:p w14:paraId="7993B035">
            <w:pPr>
              <w:pStyle w:val="13"/>
            </w:pPr>
            <w:r>
              <w:t>教师满意度</w:t>
            </w:r>
          </w:p>
        </w:tc>
        <w:tc>
          <w:tcPr>
            <w:tcW w:w="5386" w:type="dxa"/>
            <w:vAlign w:val="center"/>
          </w:tcPr>
          <w:p w14:paraId="39B38FE6">
            <w:pPr>
              <w:pStyle w:val="13"/>
            </w:pPr>
            <w:r>
              <w:t>家长对实施项目的满意度</w:t>
            </w:r>
          </w:p>
        </w:tc>
        <w:tc>
          <w:tcPr>
            <w:tcW w:w="2268" w:type="dxa"/>
            <w:vAlign w:val="center"/>
          </w:tcPr>
          <w:p w14:paraId="38097F46">
            <w:pPr>
              <w:pStyle w:val="13"/>
            </w:pPr>
            <w:r>
              <w:t>≥95%</w:t>
            </w:r>
          </w:p>
        </w:tc>
        <w:tc>
          <w:tcPr>
            <w:tcW w:w="1276" w:type="dxa"/>
            <w:vAlign w:val="center"/>
          </w:tcPr>
          <w:p w14:paraId="5866FC64">
            <w:pPr>
              <w:pStyle w:val="13"/>
            </w:pPr>
            <w:r>
              <w:t>全省农村小学生中实施营养改善计划地方试点的实施方案</w:t>
            </w:r>
          </w:p>
          <w:p w14:paraId="3445D914">
            <w:pPr>
              <w:pStyle w:val="13"/>
            </w:pPr>
          </w:p>
        </w:tc>
      </w:tr>
    </w:tbl>
    <w:p w14:paraId="0F6F4ABE">
      <w:pPr>
        <w:sectPr>
          <w:pgSz w:w="16840" w:h="11900" w:orient="landscape"/>
          <w:pgMar w:top="1361" w:right="1020" w:bottom="1134" w:left="1020" w:header="720" w:footer="720" w:gutter="0"/>
          <w:cols w:space="720" w:num="1"/>
        </w:sectPr>
      </w:pPr>
    </w:p>
    <w:p w14:paraId="1A188550">
      <w:pPr>
        <w:spacing w:before="0" w:after="0"/>
        <w:ind w:firstLine="560"/>
        <w:jc w:val="left"/>
        <w:outlineLvl w:val="9"/>
      </w:pPr>
      <w:r>
        <w:rPr>
          <w:rFonts w:ascii="方正仿宋_GBK" w:hAnsi="方正仿宋_GBK" w:eastAsia="方正仿宋_GBK" w:cs="方正仿宋_GBK"/>
          <w:b/>
          <w:color w:val="000000"/>
          <w:sz w:val="28"/>
        </w:rPr>
        <w:t>160、县级配套/中职免学费（东方中职）绩效目标表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00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3E282">
            <w:pPr>
              <w:pStyle w:val="14"/>
            </w:pPr>
            <w:r>
              <w:t>单位：万元</w:t>
            </w:r>
          </w:p>
        </w:tc>
      </w:tr>
      <w:tr w14:paraId="10B01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1DB4B4">
            <w:pPr>
              <w:pStyle w:val="11"/>
            </w:pPr>
            <w:r>
              <w:t>项目编码</w:t>
            </w:r>
          </w:p>
        </w:tc>
        <w:tc>
          <w:tcPr>
            <w:tcW w:w="5103" w:type="dxa"/>
            <w:gridSpan w:val="2"/>
            <w:vAlign w:val="center"/>
          </w:tcPr>
          <w:p w14:paraId="4CA8B302">
            <w:pPr>
              <w:pStyle w:val="13"/>
            </w:pPr>
            <w:r>
              <w:t>13052525P000014100059</w:t>
            </w:r>
          </w:p>
        </w:tc>
        <w:tc>
          <w:tcPr>
            <w:tcW w:w="2835" w:type="dxa"/>
            <w:vAlign w:val="center"/>
          </w:tcPr>
          <w:p w14:paraId="12F645CE">
            <w:pPr>
              <w:pStyle w:val="11"/>
            </w:pPr>
            <w:r>
              <w:t>项目名称</w:t>
            </w:r>
          </w:p>
        </w:tc>
        <w:tc>
          <w:tcPr>
            <w:tcW w:w="6095" w:type="dxa"/>
            <w:gridSpan w:val="3"/>
            <w:vAlign w:val="center"/>
          </w:tcPr>
          <w:p w14:paraId="14B39772">
            <w:pPr>
              <w:pStyle w:val="13"/>
            </w:pPr>
            <w:r>
              <w:t>县级配套/中职免学费（东方中职）</w:t>
            </w:r>
            <w:r>
              <w:tab/>
            </w:r>
            <w:r>
              <w:tab/>
            </w:r>
            <w:r>
              <w:tab/>
            </w:r>
          </w:p>
        </w:tc>
      </w:tr>
      <w:tr w14:paraId="4CBA0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FA45A">
            <w:pPr>
              <w:pStyle w:val="11"/>
            </w:pPr>
            <w:r>
              <w:t>预算规模及资金用途</w:t>
            </w:r>
          </w:p>
        </w:tc>
        <w:tc>
          <w:tcPr>
            <w:tcW w:w="2268" w:type="dxa"/>
            <w:vAlign w:val="center"/>
          </w:tcPr>
          <w:p w14:paraId="6A2A5179">
            <w:pPr>
              <w:pStyle w:val="11"/>
            </w:pPr>
            <w:r>
              <w:t>预算数</w:t>
            </w:r>
          </w:p>
        </w:tc>
        <w:tc>
          <w:tcPr>
            <w:tcW w:w="2835" w:type="dxa"/>
            <w:vAlign w:val="center"/>
          </w:tcPr>
          <w:p w14:paraId="3F091594">
            <w:pPr>
              <w:pStyle w:val="13"/>
            </w:pPr>
            <w:r>
              <w:t>3.04</w:t>
            </w:r>
          </w:p>
        </w:tc>
        <w:tc>
          <w:tcPr>
            <w:tcW w:w="2835" w:type="dxa"/>
            <w:vAlign w:val="center"/>
          </w:tcPr>
          <w:p w14:paraId="3760D6D4">
            <w:pPr>
              <w:pStyle w:val="11"/>
            </w:pPr>
            <w:r>
              <w:t>其中：财政    资金</w:t>
            </w:r>
          </w:p>
        </w:tc>
        <w:tc>
          <w:tcPr>
            <w:tcW w:w="2551" w:type="dxa"/>
            <w:vAlign w:val="center"/>
          </w:tcPr>
          <w:p w14:paraId="5380668B">
            <w:pPr>
              <w:pStyle w:val="13"/>
            </w:pPr>
            <w:r>
              <w:t>3.04</w:t>
            </w:r>
          </w:p>
        </w:tc>
        <w:tc>
          <w:tcPr>
            <w:tcW w:w="2268" w:type="dxa"/>
            <w:vAlign w:val="center"/>
          </w:tcPr>
          <w:p w14:paraId="0457B38A">
            <w:pPr>
              <w:pStyle w:val="11"/>
            </w:pPr>
            <w:r>
              <w:t>其他资金</w:t>
            </w:r>
          </w:p>
        </w:tc>
        <w:tc>
          <w:tcPr>
            <w:tcW w:w="1276" w:type="dxa"/>
            <w:vAlign w:val="center"/>
          </w:tcPr>
          <w:p w14:paraId="47C76844">
            <w:pPr>
              <w:pStyle w:val="13"/>
            </w:pPr>
            <w:r>
              <w:t xml:space="preserve"> </w:t>
            </w:r>
          </w:p>
        </w:tc>
      </w:tr>
      <w:tr w14:paraId="0DF97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B07DB5"/>
        </w:tc>
        <w:tc>
          <w:tcPr>
            <w:tcW w:w="14033" w:type="dxa"/>
            <w:gridSpan w:val="6"/>
            <w:vAlign w:val="center"/>
          </w:tcPr>
          <w:p w14:paraId="55A9C766">
            <w:pPr>
              <w:pStyle w:val="13"/>
            </w:pPr>
            <w:r>
              <w:t>县级安排中职免学费15.24万元，用于弥补中职涉农及其他专业贫困生免除学费后的经费不足。</w:t>
            </w:r>
          </w:p>
        </w:tc>
      </w:tr>
      <w:tr w14:paraId="66ADA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2AA64">
            <w:pPr>
              <w:pStyle w:val="11"/>
            </w:pPr>
            <w:r>
              <w:t>资金支出计划（%）</w:t>
            </w:r>
          </w:p>
        </w:tc>
        <w:tc>
          <w:tcPr>
            <w:tcW w:w="5103" w:type="dxa"/>
            <w:gridSpan w:val="2"/>
            <w:vAlign w:val="center"/>
          </w:tcPr>
          <w:p w14:paraId="4B420700">
            <w:pPr>
              <w:pStyle w:val="11"/>
            </w:pPr>
            <w:r>
              <w:t>3月底</w:t>
            </w:r>
          </w:p>
        </w:tc>
        <w:tc>
          <w:tcPr>
            <w:tcW w:w="2835" w:type="dxa"/>
            <w:vAlign w:val="center"/>
          </w:tcPr>
          <w:p w14:paraId="3928AD7C">
            <w:pPr>
              <w:pStyle w:val="11"/>
            </w:pPr>
            <w:r>
              <w:t>6月底</w:t>
            </w:r>
          </w:p>
        </w:tc>
        <w:tc>
          <w:tcPr>
            <w:tcW w:w="2551" w:type="dxa"/>
            <w:vAlign w:val="center"/>
          </w:tcPr>
          <w:p w14:paraId="0556FC80">
            <w:pPr>
              <w:pStyle w:val="11"/>
            </w:pPr>
            <w:r>
              <w:t>10月底</w:t>
            </w:r>
          </w:p>
        </w:tc>
        <w:tc>
          <w:tcPr>
            <w:tcW w:w="3544" w:type="dxa"/>
            <w:gridSpan w:val="2"/>
            <w:vAlign w:val="center"/>
          </w:tcPr>
          <w:p w14:paraId="00D6D05C">
            <w:pPr>
              <w:pStyle w:val="11"/>
            </w:pPr>
            <w:r>
              <w:t>12月底</w:t>
            </w:r>
          </w:p>
        </w:tc>
      </w:tr>
      <w:tr w14:paraId="0D0AC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59FD15"/>
        </w:tc>
        <w:tc>
          <w:tcPr>
            <w:tcW w:w="5103" w:type="dxa"/>
            <w:gridSpan w:val="2"/>
            <w:vAlign w:val="center"/>
          </w:tcPr>
          <w:p w14:paraId="2A88A6D1">
            <w:pPr>
              <w:pStyle w:val="12"/>
            </w:pPr>
            <w:r>
              <w:t xml:space="preserve"> </w:t>
            </w:r>
          </w:p>
        </w:tc>
        <w:tc>
          <w:tcPr>
            <w:tcW w:w="2835" w:type="dxa"/>
            <w:vAlign w:val="center"/>
          </w:tcPr>
          <w:p w14:paraId="39603E41">
            <w:pPr>
              <w:pStyle w:val="12"/>
            </w:pPr>
            <w:r>
              <w:t xml:space="preserve"> </w:t>
            </w:r>
          </w:p>
        </w:tc>
        <w:tc>
          <w:tcPr>
            <w:tcW w:w="2551" w:type="dxa"/>
            <w:vAlign w:val="center"/>
          </w:tcPr>
          <w:p w14:paraId="7AF5F4B7">
            <w:pPr>
              <w:pStyle w:val="12"/>
            </w:pPr>
            <w:r>
              <w:t xml:space="preserve"> </w:t>
            </w:r>
          </w:p>
        </w:tc>
        <w:tc>
          <w:tcPr>
            <w:tcW w:w="3544" w:type="dxa"/>
            <w:gridSpan w:val="2"/>
            <w:vAlign w:val="center"/>
          </w:tcPr>
          <w:p w14:paraId="42A2A1EA">
            <w:pPr>
              <w:pStyle w:val="12"/>
            </w:pPr>
            <w:r>
              <w:t>100%</w:t>
            </w:r>
          </w:p>
        </w:tc>
      </w:tr>
      <w:tr w14:paraId="2C251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0773C">
            <w:pPr>
              <w:pStyle w:val="11"/>
            </w:pPr>
            <w:r>
              <w:t>绩效目标</w:t>
            </w:r>
          </w:p>
        </w:tc>
        <w:tc>
          <w:tcPr>
            <w:tcW w:w="14033" w:type="dxa"/>
            <w:gridSpan w:val="6"/>
            <w:vAlign w:val="center"/>
          </w:tcPr>
          <w:p w14:paraId="5586455B">
            <w:pPr>
              <w:pStyle w:val="13"/>
            </w:pPr>
            <w:r>
              <w:t>1.县级安排中职免学费15.24万元，用于弥补中职涉农及其他专业贫困生免除学费后的经费不足。</w:t>
            </w:r>
          </w:p>
        </w:tc>
      </w:tr>
    </w:tbl>
    <w:p w14:paraId="0C8034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14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3FC23">
            <w:pPr>
              <w:pStyle w:val="11"/>
            </w:pPr>
            <w:r>
              <w:t>一级指标</w:t>
            </w:r>
          </w:p>
        </w:tc>
        <w:tc>
          <w:tcPr>
            <w:tcW w:w="2268" w:type="dxa"/>
            <w:vAlign w:val="center"/>
          </w:tcPr>
          <w:p w14:paraId="5EB0D283">
            <w:pPr>
              <w:pStyle w:val="11"/>
            </w:pPr>
            <w:r>
              <w:t>二级指标</w:t>
            </w:r>
          </w:p>
        </w:tc>
        <w:tc>
          <w:tcPr>
            <w:tcW w:w="2835" w:type="dxa"/>
            <w:vAlign w:val="center"/>
          </w:tcPr>
          <w:p w14:paraId="52632AB5">
            <w:pPr>
              <w:pStyle w:val="11"/>
            </w:pPr>
            <w:r>
              <w:t>三级指标</w:t>
            </w:r>
          </w:p>
        </w:tc>
        <w:tc>
          <w:tcPr>
            <w:tcW w:w="5386" w:type="dxa"/>
            <w:vAlign w:val="center"/>
          </w:tcPr>
          <w:p w14:paraId="6189E7AA">
            <w:pPr>
              <w:pStyle w:val="11"/>
            </w:pPr>
            <w:r>
              <w:t>绩效指标描述</w:t>
            </w:r>
          </w:p>
        </w:tc>
        <w:tc>
          <w:tcPr>
            <w:tcW w:w="2268" w:type="dxa"/>
            <w:vAlign w:val="center"/>
          </w:tcPr>
          <w:p w14:paraId="34C88D9B">
            <w:pPr>
              <w:pStyle w:val="11"/>
            </w:pPr>
            <w:r>
              <w:t>指标值</w:t>
            </w:r>
          </w:p>
        </w:tc>
        <w:tc>
          <w:tcPr>
            <w:tcW w:w="1276" w:type="dxa"/>
            <w:vAlign w:val="center"/>
          </w:tcPr>
          <w:p w14:paraId="6ED3F4E3">
            <w:pPr>
              <w:pStyle w:val="11"/>
            </w:pPr>
            <w:r>
              <w:t>指标值确定依据</w:t>
            </w:r>
          </w:p>
        </w:tc>
      </w:tr>
      <w:tr w14:paraId="5F9B4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E167C">
            <w:pPr>
              <w:pStyle w:val="12"/>
            </w:pPr>
            <w:r>
              <w:t>产出指标</w:t>
            </w:r>
          </w:p>
        </w:tc>
        <w:tc>
          <w:tcPr>
            <w:tcW w:w="2268" w:type="dxa"/>
            <w:vAlign w:val="center"/>
          </w:tcPr>
          <w:p w14:paraId="55E1FDBB">
            <w:pPr>
              <w:pStyle w:val="13"/>
            </w:pPr>
            <w:r>
              <w:t>数量指标</w:t>
            </w:r>
          </w:p>
        </w:tc>
        <w:tc>
          <w:tcPr>
            <w:tcW w:w="2835" w:type="dxa"/>
            <w:vAlign w:val="center"/>
          </w:tcPr>
          <w:p w14:paraId="611889BB">
            <w:pPr>
              <w:pStyle w:val="13"/>
            </w:pPr>
            <w:r>
              <w:t>免学费补助人数</w:t>
            </w:r>
          </w:p>
        </w:tc>
        <w:tc>
          <w:tcPr>
            <w:tcW w:w="5386" w:type="dxa"/>
            <w:vAlign w:val="center"/>
          </w:tcPr>
          <w:p w14:paraId="5AD6DBA9">
            <w:pPr>
              <w:pStyle w:val="13"/>
            </w:pPr>
            <w:r>
              <w:t>免学费补助人数</w:t>
            </w:r>
          </w:p>
        </w:tc>
        <w:tc>
          <w:tcPr>
            <w:tcW w:w="2268" w:type="dxa"/>
            <w:vAlign w:val="center"/>
          </w:tcPr>
          <w:p w14:paraId="1968767E">
            <w:pPr>
              <w:pStyle w:val="13"/>
            </w:pPr>
            <w:r>
              <w:t>76人</w:t>
            </w:r>
          </w:p>
        </w:tc>
        <w:tc>
          <w:tcPr>
            <w:tcW w:w="1276" w:type="dxa"/>
            <w:vAlign w:val="center"/>
          </w:tcPr>
          <w:p w14:paraId="34C53D92">
            <w:pPr>
              <w:pStyle w:val="13"/>
            </w:pPr>
            <w:r>
              <w:t>2025年度预算</w:t>
            </w:r>
          </w:p>
        </w:tc>
      </w:tr>
      <w:tr w14:paraId="580C2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EDECC"/>
        </w:tc>
        <w:tc>
          <w:tcPr>
            <w:tcW w:w="2268" w:type="dxa"/>
            <w:vAlign w:val="center"/>
          </w:tcPr>
          <w:p w14:paraId="08FAE246">
            <w:pPr>
              <w:pStyle w:val="13"/>
            </w:pPr>
            <w:r>
              <w:t>质量指标</w:t>
            </w:r>
          </w:p>
        </w:tc>
        <w:tc>
          <w:tcPr>
            <w:tcW w:w="2835" w:type="dxa"/>
            <w:vAlign w:val="center"/>
          </w:tcPr>
          <w:p w14:paraId="52836863">
            <w:pPr>
              <w:pStyle w:val="13"/>
            </w:pPr>
            <w:r>
              <w:t>免学费全覆盖</w:t>
            </w:r>
          </w:p>
        </w:tc>
        <w:tc>
          <w:tcPr>
            <w:tcW w:w="5386" w:type="dxa"/>
            <w:vAlign w:val="center"/>
          </w:tcPr>
          <w:p w14:paraId="69B07B8C">
            <w:pPr>
              <w:pStyle w:val="13"/>
            </w:pPr>
            <w:r>
              <w:t>免学费一、二、三年级中职生</w:t>
            </w:r>
          </w:p>
        </w:tc>
        <w:tc>
          <w:tcPr>
            <w:tcW w:w="2268" w:type="dxa"/>
            <w:vAlign w:val="center"/>
          </w:tcPr>
          <w:p w14:paraId="38202709">
            <w:pPr>
              <w:pStyle w:val="13"/>
            </w:pPr>
            <w:r>
              <w:t>≥100%</w:t>
            </w:r>
          </w:p>
        </w:tc>
        <w:tc>
          <w:tcPr>
            <w:tcW w:w="1276" w:type="dxa"/>
            <w:vAlign w:val="center"/>
          </w:tcPr>
          <w:p w14:paraId="0CA3B6F5">
            <w:pPr>
              <w:pStyle w:val="13"/>
            </w:pPr>
            <w:r>
              <w:t>隆尧县中职免学费管理办法</w:t>
            </w:r>
          </w:p>
        </w:tc>
      </w:tr>
      <w:tr w14:paraId="5B061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126D5"/>
        </w:tc>
        <w:tc>
          <w:tcPr>
            <w:tcW w:w="2268" w:type="dxa"/>
            <w:vAlign w:val="center"/>
          </w:tcPr>
          <w:p w14:paraId="52A9C655">
            <w:pPr>
              <w:pStyle w:val="13"/>
            </w:pPr>
            <w:r>
              <w:t>时效指标</w:t>
            </w:r>
          </w:p>
        </w:tc>
        <w:tc>
          <w:tcPr>
            <w:tcW w:w="2835" w:type="dxa"/>
            <w:vAlign w:val="center"/>
          </w:tcPr>
          <w:p w14:paraId="17CA55FA">
            <w:pPr>
              <w:pStyle w:val="13"/>
            </w:pPr>
            <w:r>
              <w:t>免学费经费拨付率</w:t>
            </w:r>
          </w:p>
        </w:tc>
        <w:tc>
          <w:tcPr>
            <w:tcW w:w="5386" w:type="dxa"/>
            <w:vAlign w:val="center"/>
          </w:tcPr>
          <w:p w14:paraId="0CF51E98">
            <w:pPr>
              <w:pStyle w:val="13"/>
            </w:pPr>
            <w:r>
              <w:t>免学费经费及时拨付到位率</w:t>
            </w:r>
          </w:p>
        </w:tc>
        <w:tc>
          <w:tcPr>
            <w:tcW w:w="2268" w:type="dxa"/>
            <w:vAlign w:val="center"/>
          </w:tcPr>
          <w:p w14:paraId="5AE7E03A">
            <w:pPr>
              <w:pStyle w:val="13"/>
            </w:pPr>
            <w:r>
              <w:t>≥100%</w:t>
            </w:r>
          </w:p>
        </w:tc>
        <w:tc>
          <w:tcPr>
            <w:tcW w:w="1276" w:type="dxa"/>
            <w:vAlign w:val="center"/>
          </w:tcPr>
          <w:p w14:paraId="3222C2DB">
            <w:pPr>
              <w:pStyle w:val="13"/>
            </w:pPr>
            <w:r>
              <w:t>隆尧县中职免学费管理办法</w:t>
            </w:r>
          </w:p>
        </w:tc>
      </w:tr>
      <w:tr w14:paraId="78F53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A528A"/>
        </w:tc>
        <w:tc>
          <w:tcPr>
            <w:tcW w:w="2268" w:type="dxa"/>
            <w:vAlign w:val="center"/>
          </w:tcPr>
          <w:p w14:paraId="05B2CDCB">
            <w:pPr>
              <w:pStyle w:val="13"/>
            </w:pPr>
            <w:r>
              <w:t>成本指标</w:t>
            </w:r>
          </w:p>
        </w:tc>
        <w:tc>
          <w:tcPr>
            <w:tcW w:w="2835" w:type="dxa"/>
            <w:vAlign w:val="center"/>
          </w:tcPr>
          <w:p w14:paraId="40777951">
            <w:pPr>
              <w:pStyle w:val="13"/>
            </w:pPr>
            <w:r>
              <w:t>中职学校免学费补助标准</w:t>
            </w:r>
          </w:p>
        </w:tc>
        <w:tc>
          <w:tcPr>
            <w:tcW w:w="5386" w:type="dxa"/>
            <w:vAlign w:val="center"/>
          </w:tcPr>
          <w:p w14:paraId="3C9839C5">
            <w:pPr>
              <w:pStyle w:val="13"/>
            </w:pPr>
            <w:r>
              <w:t>中职学校免学费补助标准</w:t>
            </w:r>
          </w:p>
        </w:tc>
        <w:tc>
          <w:tcPr>
            <w:tcW w:w="2268" w:type="dxa"/>
            <w:vAlign w:val="center"/>
          </w:tcPr>
          <w:p w14:paraId="08B5D41A">
            <w:pPr>
              <w:pStyle w:val="13"/>
            </w:pPr>
            <w:r>
              <w:t>2000元/生/年</w:t>
            </w:r>
          </w:p>
        </w:tc>
        <w:tc>
          <w:tcPr>
            <w:tcW w:w="1276" w:type="dxa"/>
            <w:vAlign w:val="center"/>
          </w:tcPr>
          <w:p w14:paraId="19F894B4">
            <w:pPr>
              <w:pStyle w:val="13"/>
            </w:pPr>
            <w:r>
              <w:t>隆尧县中职免学费管理办法</w:t>
            </w:r>
          </w:p>
        </w:tc>
      </w:tr>
      <w:tr w14:paraId="5C86C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B8910">
            <w:pPr>
              <w:pStyle w:val="12"/>
            </w:pPr>
            <w:r>
              <w:t>效益指标</w:t>
            </w:r>
          </w:p>
        </w:tc>
        <w:tc>
          <w:tcPr>
            <w:tcW w:w="2268" w:type="dxa"/>
            <w:vAlign w:val="center"/>
          </w:tcPr>
          <w:p w14:paraId="697F8BA4">
            <w:pPr>
              <w:pStyle w:val="13"/>
            </w:pPr>
            <w:r>
              <w:t>可持续影响指标</w:t>
            </w:r>
          </w:p>
        </w:tc>
        <w:tc>
          <w:tcPr>
            <w:tcW w:w="2835" w:type="dxa"/>
            <w:vAlign w:val="center"/>
          </w:tcPr>
          <w:p w14:paraId="4E298EA2">
            <w:pPr>
              <w:pStyle w:val="13"/>
            </w:pPr>
            <w:r>
              <w:t>中职运转</w:t>
            </w:r>
          </w:p>
        </w:tc>
        <w:tc>
          <w:tcPr>
            <w:tcW w:w="5386" w:type="dxa"/>
            <w:vAlign w:val="center"/>
          </w:tcPr>
          <w:p w14:paraId="7408BB0E">
            <w:pPr>
              <w:pStyle w:val="13"/>
            </w:pPr>
            <w:r>
              <w:t>高中受教育年限</w:t>
            </w:r>
          </w:p>
        </w:tc>
        <w:tc>
          <w:tcPr>
            <w:tcW w:w="2268" w:type="dxa"/>
            <w:vAlign w:val="center"/>
          </w:tcPr>
          <w:p w14:paraId="2F49EB15">
            <w:pPr>
              <w:pStyle w:val="13"/>
            </w:pPr>
            <w:r>
              <w:t>3年</w:t>
            </w:r>
          </w:p>
        </w:tc>
        <w:tc>
          <w:tcPr>
            <w:tcW w:w="1276" w:type="dxa"/>
            <w:vAlign w:val="center"/>
          </w:tcPr>
          <w:p w14:paraId="32FBABF0">
            <w:pPr>
              <w:pStyle w:val="13"/>
            </w:pPr>
            <w:r>
              <w:t>隆尧县中职免学费管理办法</w:t>
            </w:r>
          </w:p>
        </w:tc>
      </w:tr>
      <w:tr w14:paraId="1C44A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26D9E9">
            <w:pPr>
              <w:pStyle w:val="12"/>
            </w:pPr>
            <w:r>
              <w:t>满意度指标</w:t>
            </w:r>
          </w:p>
        </w:tc>
        <w:tc>
          <w:tcPr>
            <w:tcW w:w="2268" w:type="dxa"/>
            <w:vAlign w:val="center"/>
          </w:tcPr>
          <w:p w14:paraId="5FCA37FC">
            <w:pPr>
              <w:pStyle w:val="13"/>
            </w:pPr>
            <w:r>
              <w:t>服务对象满意度指标</w:t>
            </w:r>
          </w:p>
        </w:tc>
        <w:tc>
          <w:tcPr>
            <w:tcW w:w="2835" w:type="dxa"/>
            <w:vAlign w:val="center"/>
          </w:tcPr>
          <w:p w14:paraId="69E1B2AF">
            <w:pPr>
              <w:pStyle w:val="13"/>
            </w:pPr>
            <w:r>
              <w:t>提升幸福指数</w:t>
            </w:r>
          </w:p>
        </w:tc>
        <w:tc>
          <w:tcPr>
            <w:tcW w:w="5386" w:type="dxa"/>
            <w:vAlign w:val="center"/>
          </w:tcPr>
          <w:p w14:paraId="14C419AD">
            <w:pPr>
              <w:pStyle w:val="13"/>
            </w:pPr>
            <w:r>
              <w:t>提升贫困家庭学生的幸福指数学生家长满意</w:t>
            </w:r>
          </w:p>
        </w:tc>
        <w:tc>
          <w:tcPr>
            <w:tcW w:w="2268" w:type="dxa"/>
            <w:vAlign w:val="center"/>
          </w:tcPr>
          <w:p w14:paraId="49165893">
            <w:pPr>
              <w:pStyle w:val="13"/>
            </w:pPr>
            <w:r>
              <w:t>≥95%</w:t>
            </w:r>
          </w:p>
        </w:tc>
        <w:tc>
          <w:tcPr>
            <w:tcW w:w="1276" w:type="dxa"/>
            <w:vAlign w:val="center"/>
          </w:tcPr>
          <w:p w14:paraId="19229727">
            <w:pPr>
              <w:pStyle w:val="13"/>
            </w:pPr>
            <w:r>
              <w:t>隆尧县中职免学费管理办法</w:t>
            </w:r>
          </w:p>
        </w:tc>
      </w:tr>
    </w:tbl>
    <w:p w14:paraId="29F51272">
      <w:pPr>
        <w:sectPr>
          <w:pgSz w:w="16840" w:h="11900" w:orient="landscape"/>
          <w:pgMar w:top="1361" w:right="1020" w:bottom="1134" w:left="1020" w:header="720" w:footer="720" w:gutter="0"/>
          <w:cols w:space="720" w:num="1"/>
        </w:sectPr>
      </w:pPr>
    </w:p>
    <w:p w14:paraId="5CD2F892">
      <w:pPr>
        <w:spacing w:before="0" w:after="0"/>
        <w:ind w:firstLine="560"/>
        <w:jc w:val="left"/>
        <w:outlineLvl w:val="9"/>
      </w:pPr>
      <w:r>
        <w:rPr>
          <w:rFonts w:ascii="方正仿宋_GBK" w:hAnsi="方正仿宋_GBK" w:eastAsia="方正仿宋_GBK" w:cs="方正仿宋_GBK"/>
          <w:b/>
          <w:color w:val="000000"/>
          <w:sz w:val="28"/>
        </w:rPr>
        <w:t>161、县级配套/中职免学费（文茂中职）绩效目标表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A1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9F5CF">
            <w:pPr>
              <w:pStyle w:val="14"/>
            </w:pPr>
            <w:r>
              <w:t>单位：万元</w:t>
            </w:r>
          </w:p>
        </w:tc>
      </w:tr>
      <w:tr w14:paraId="18042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6FBB8">
            <w:pPr>
              <w:pStyle w:val="11"/>
            </w:pPr>
            <w:r>
              <w:t>项目编码</w:t>
            </w:r>
          </w:p>
        </w:tc>
        <w:tc>
          <w:tcPr>
            <w:tcW w:w="5103" w:type="dxa"/>
            <w:gridSpan w:val="2"/>
            <w:vAlign w:val="center"/>
          </w:tcPr>
          <w:p w14:paraId="2E305EB0">
            <w:pPr>
              <w:pStyle w:val="13"/>
            </w:pPr>
            <w:r>
              <w:t>13052525P00001410004M</w:t>
            </w:r>
          </w:p>
        </w:tc>
        <w:tc>
          <w:tcPr>
            <w:tcW w:w="2835" w:type="dxa"/>
            <w:vAlign w:val="center"/>
          </w:tcPr>
          <w:p w14:paraId="0AE46D7E">
            <w:pPr>
              <w:pStyle w:val="11"/>
            </w:pPr>
            <w:r>
              <w:t>项目名称</w:t>
            </w:r>
          </w:p>
        </w:tc>
        <w:tc>
          <w:tcPr>
            <w:tcW w:w="6095" w:type="dxa"/>
            <w:gridSpan w:val="3"/>
            <w:vAlign w:val="center"/>
          </w:tcPr>
          <w:p w14:paraId="38129A80">
            <w:pPr>
              <w:pStyle w:val="13"/>
            </w:pPr>
            <w:r>
              <w:t>县级配套/中职免学费（文茂中职）</w:t>
            </w:r>
            <w:r>
              <w:tab/>
            </w:r>
          </w:p>
        </w:tc>
      </w:tr>
      <w:tr w14:paraId="74EC0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B79EA">
            <w:pPr>
              <w:pStyle w:val="11"/>
            </w:pPr>
            <w:r>
              <w:t>预算规模及资金用途</w:t>
            </w:r>
          </w:p>
        </w:tc>
        <w:tc>
          <w:tcPr>
            <w:tcW w:w="2268" w:type="dxa"/>
            <w:vAlign w:val="center"/>
          </w:tcPr>
          <w:p w14:paraId="32A70B2F">
            <w:pPr>
              <w:pStyle w:val="11"/>
            </w:pPr>
            <w:r>
              <w:t>预算数</w:t>
            </w:r>
          </w:p>
        </w:tc>
        <w:tc>
          <w:tcPr>
            <w:tcW w:w="2835" w:type="dxa"/>
            <w:vAlign w:val="center"/>
          </w:tcPr>
          <w:p w14:paraId="328451AA">
            <w:pPr>
              <w:pStyle w:val="13"/>
            </w:pPr>
            <w:r>
              <w:t>15.24</w:t>
            </w:r>
          </w:p>
        </w:tc>
        <w:tc>
          <w:tcPr>
            <w:tcW w:w="2835" w:type="dxa"/>
            <w:vAlign w:val="center"/>
          </w:tcPr>
          <w:p w14:paraId="6B895BB0">
            <w:pPr>
              <w:pStyle w:val="11"/>
            </w:pPr>
            <w:r>
              <w:t>其中：财政    资金</w:t>
            </w:r>
          </w:p>
        </w:tc>
        <w:tc>
          <w:tcPr>
            <w:tcW w:w="2551" w:type="dxa"/>
            <w:vAlign w:val="center"/>
          </w:tcPr>
          <w:p w14:paraId="208934F9">
            <w:pPr>
              <w:pStyle w:val="13"/>
            </w:pPr>
            <w:r>
              <w:t>15.24</w:t>
            </w:r>
          </w:p>
        </w:tc>
        <w:tc>
          <w:tcPr>
            <w:tcW w:w="2268" w:type="dxa"/>
            <w:vAlign w:val="center"/>
          </w:tcPr>
          <w:p w14:paraId="714C3E84">
            <w:pPr>
              <w:pStyle w:val="11"/>
            </w:pPr>
            <w:r>
              <w:t>其他资金</w:t>
            </w:r>
          </w:p>
        </w:tc>
        <w:tc>
          <w:tcPr>
            <w:tcW w:w="1276" w:type="dxa"/>
            <w:vAlign w:val="center"/>
          </w:tcPr>
          <w:p w14:paraId="610E8215">
            <w:pPr>
              <w:pStyle w:val="13"/>
            </w:pPr>
            <w:r>
              <w:t xml:space="preserve"> </w:t>
            </w:r>
          </w:p>
        </w:tc>
      </w:tr>
      <w:tr w14:paraId="7D5DF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7F8C33"/>
        </w:tc>
        <w:tc>
          <w:tcPr>
            <w:tcW w:w="14033" w:type="dxa"/>
            <w:gridSpan w:val="6"/>
            <w:vAlign w:val="center"/>
          </w:tcPr>
          <w:p w14:paraId="150A9580">
            <w:pPr>
              <w:pStyle w:val="13"/>
            </w:pPr>
            <w:r>
              <w:t>县级安排中职免学费15.24万元，用于弥补中职涉农及其他专业贫困生免除学费后的经费不足。</w:t>
            </w:r>
            <w:r>
              <w:tab/>
            </w:r>
          </w:p>
        </w:tc>
      </w:tr>
      <w:tr w14:paraId="50411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5821E6C">
            <w:pPr>
              <w:pStyle w:val="11"/>
            </w:pPr>
            <w:r>
              <w:t>资金支出计划（%）</w:t>
            </w:r>
          </w:p>
        </w:tc>
        <w:tc>
          <w:tcPr>
            <w:tcW w:w="5103" w:type="dxa"/>
            <w:gridSpan w:val="2"/>
            <w:vAlign w:val="center"/>
          </w:tcPr>
          <w:p w14:paraId="249F10C4">
            <w:pPr>
              <w:pStyle w:val="11"/>
            </w:pPr>
            <w:r>
              <w:t>3月底</w:t>
            </w:r>
          </w:p>
        </w:tc>
        <w:tc>
          <w:tcPr>
            <w:tcW w:w="2835" w:type="dxa"/>
            <w:vAlign w:val="center"/>
          </w:tcPr>
          <w:p w14:paraId="38062347">
            <w:pPr>
              <w:pStyle w:val="11"/>
            </w:pPr>
            <w:r>
              <w:t>6月底</w:t>
            </w:r>
          </w:p>
        </w:tc>
        <w:tc>
          <w:tcPr>
            <w:tcW w:w="2551" w:type="dxa"/>
            <w:vAlign w:val="center"/>
          </w:tcPr>
          <w:p w14:paraId="52529A26">
            <w:pPr>
              <w:pStyle w:val="11"/>
            </w:pPr>
            <w:r>
              <w:t>10月底</w:t>
            </w:r>
          </w:p>
        </w:tc>
        <w:tc>
          <w:tcPr>
            <w:tcW w:w="3544" w:type="dxa"/>
            <w:gridSpan w:val="2"/>
            <w:vAlign w:val="center"/>
          </w:tcPr>
          <w:p w14:paraId="6F8FE96C">
            <w:pPr>
              <w:pStyle w:val="11"/>
            </w:pPr>
            <w:r>
              <w:t>12月底</w:t>
            </w:r>
          </w:p>
        </w:tc>
      </w:tr>
      <w:tr w14:paraId="05C0D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0566EF"/>
        </w:tc>
        <w:tc>
          <w:tcPr>
            <w:tcW w:w="5103" w:type="dxa"/>
            <w:gridSpan w:val="2"/>
            <w:vAlign w:val="center"/>
          </w:tcPr>
          <w:p w14:paraId="2061DC98">
            <w:pPr>
              <w:pStyle w:val="12"/>
            </w:pPr>
            <w:r>
              <w:t xml:space="preserve"> </w:t>
            </w:r>
          </w:p>
        </w:tc>
        <w:tc>
          <w:tcPr>
            <w:tcW w:w="2835" w:type="dxa"/>
            <w:vAlign w:val="center"/>
          </w:tcPr>
          <w:p w14:paraId="75DDAFB9">
            <w:pPr>
              <w:pStyle w:val="12"/>
            </w:pPr>
            <w:r>
              <w:t xml:space="preserve"> </w:t>
            </w:r>
          </w:p>
        </w:tc>
        <w:tc>
          <w:tcPr>
            <w:tcW w:w="2551" w:type="dxa"/>
            <w:vAlign w:val="center"/>
          </w:tcPr>
          <w:p w14:paraId="7368F080">
            <w:pPr>
              <w:pStyle w:val="12"/>
            </w:pPr>
            <w:r>
              <w:t xml:space="preserve"> </w:t>
            </w:r>
          </w:p>
        </w:tc>
        <w:tc>
          <w:tcPr>
            <w:tcW w:w="3544" w:type="dxa"/>
            <w:gridSpan w:val="2"/>
            <w:vAlign w:val="center"/>
          </w:tcPr>
          <w:p w14:paraId="4AF7D637">
            <w:pPr>
              <w:pStyle w:val="12"/>
            </w:pPr>
            <w:r>
              <w:t>100%</w:t>
            </w:r>
          </w:p>
        </w:tc>
      </w:tr>
      <w:tr w14:paraId="282A3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4DE465">
            <w:pPr>
              <w:pStyle w:val="11"/>
            </w:pPr>
            <w:r>
              <w:t>绩效目标</w:t>
            </w:r>
          </w:p>
        </w:tc>
        <w:tc>
          <w:tcPr>
            <w:tcW w:w="14033" w:type="dxa"/>
            <w:gridSpan w:val="6"/>
            <w:vAlign w:val="center"/>
          </w:tcPr>
          <w:p w14:paraId="5ED0F3AC">
            <w:pPr>
              <w:pStyle w:val="13"/>
            </w:pPr>
            <w:r>
              <w:t>1.县级安排中职免学费15.24万元，用于弥补中职涉农及其他专业贫困生免除学费后的经费不足。</w:t>
            </w:r>
            <w:r>
              <w:tab/>
            </w:r>
            <w:r>
              <w:tab/>
            </w:r>
            <w:r>
              <w:tab/>
            </w:r>
            <w:r>
              <w:tab/>
            </w:r>
            <w:r>
              <w:tab/>
            </w:r>
            <w:r>
              <w:tab/>
            </w:r>
          </w:p>
          <w:p w14:paraId="2D8E33E4">
            <w:pPr>
              <w:pStyle w:val="13"/>
            </w:pPr>
          </w:p>
        </w:tc>
      </w:tr>
    </w:tbl>
    <w:p w14:paraId="136FFD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3F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69D22">
            <w:pPr>
              <w:pStyle w:val="11"/>
            </w:pPr>
            <w:r>
              <w:t>一级指标</w:t>
            </w:r>
          </w:p>
        </w:tc>
        <w:tc>
          <w:tcPr>
            <w:tcW w:w="2268" w:type="dxa"/>
            <w:vAlign w:val="center"/>
          </w:tcPr>
          <w:p w14:paraId="28DA92DC">
            <w:pPr>
              <w:pStyle w:val="11"/>
            </w:pPr>
            <w:r>
              <w:t>二级指标</w:t>
            </w:r>
          </w:p>
        </w:tc>
        <w:tc>
          <w:tcPr>
            <w:tcW w:w="2835" w:type="dxa"/>
            <w:vAlign w:val="center"/>
          </w:tcPr>
          <w:p w14:paraId="4124C281">
            <w:pPr>
              <w:pStyle w:val="11"/>
            </w:pPr>
            <w:r>
              <w:t>三级指标</w:t>
            </w:r>
          </w:p>
        </w:tc>
        <w:tc>
          <w:tcPr>
            <w:tcW w:w="5386" w:type="dxa"/>
            <w:vAlign w:val="center"/>
          </w:tcPr>
          <w:p w14:paraId="5D740874">
            <w:pPr>
              <w:pStyle w:val="11"/>
            </w:pPr>
            <w:r>
              <w:t>绩效指标描述</w:t>
            </w:r>
          </w:p>
        </w:tc>
        <w:tc>
          <w:tcPr>
            <w:tcW w:w="2268" w:type="dxa"/>
            <w:vAlign w:val="center"/>
          </w:tcPr>
          <w:p w14:paraId="2E30AF68">
            <w:pPr>
              <w:pStyle w:val="11"/>
            </w:pPr>
            <w:r>
              <w:t>指标值</w:t>
            </w:r>
          </w:p>
        </w:tc>
        <w:tc>
          <w:tcPr>
            <w:tcW w:w="1276" w:type="dxa"/>
            <w:vAlign w:val="center"/>
          </w:tcPr>
          <w:p w14:paraId="0FC7C2E7">
            <w:pPr>
              <w:pStyle w:val="11"/>
            </w:pPr>
            <w:r>
              <w:t>指标值确定依据</w:t>
            </w:r>
          </w:p>
        </w:tc>
      </w:tr>
      <w:tr w14:paraId="749B0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DCC5D">
            <w:pPr>
              <w:pStyle w:val="12"/>
            </w:pPr>
            <w:r>
              <w:t>产出指标</w:t>
            </w:r>
          </w:p>
        </w:tc>
        <w:tc>
          <w:tcPr>
            <w:tcW w:w="2268" w:type="dxa"/>
            <w:vAlign w:val="center"/>
          </w:tcPr>
          <w:p w14:paraId="4538ECDE">
            <w:pPr>
              <w:pStyle w:val="13"/>
            </w:pPr>
            <w:r>
              <w:t>数量指标</w:t>
            </w:r>
          </w:p>
        </w:tc>
        <w:tc>
          <w:tcPr>
            <w:tcW w:w="2835" w:type="dxa"/>
            <w:vAlign w:val="center"/>
          </w:tcPr>
          <w:p w14:paraId="65CC29AA">
            <w:pPr>
              <w:pStyle w:val="13"/>
            </w:pPr>
            <w:r>
              <w:t>免学费补助人数</w:t>
            </w:r>
          </w:p>
        </w:tc>
        <w:tc>
          <w:tcPr>
            <w:tcW w:w="5386" w:type="dxa"/>
            <w:vAlign w:val="center"/>
          </w:tcPr>
          <w:p w14:paraId="435C9332">
            <w:pPr>
              <w:pStyle w:val="13"/>
            </w:pPr>
            <w:r>
              <w:t>免学费补助人数</w:t>
            </w:r>
          </w:p>
        </w:tc>
        <w:tc>
          <w:tcPr>
            <w:tcW w:w="2268" w:type="dxa"/>
            <w:vAlign w:val="center"/>
          </w:tcPr>
          <w:p w14:paraId="12AC13B3">
            <w:pPr>
              <w:pStyle w:val="13"/>
            </w:pPr>
            <w:r>
              <w:t>381人</w:t>
            </w:r>
          </w:p>
        </w:tc>
        <w:tc>
          <w:tcPr>
            <w:tcW w:w="1276" w:type="dxa"/>
            <w:vAlign w:val="center"/>
          </w:tcPr>
          <w:p w14:paraId="1B5BC2DE">
            <w:pPr>
              <w:pStyle w:val="13"/>
            </w:pPr>
            <w:r>
              <w:t>2025年度预算</w:t>
            </w:r>
          </w:p>
        </w:tc>
      </w:tr>
      <w:tr w14:paraId="3E070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E3E97"/>
        </w:tc>
        <w:tc>
          <w:tcPr>
            <w:tcW w:w="2268" w:type="dxa"/>
            <w:vAlign w:val="center"/>
          </w:tcPr>
          <w:p w14:paraId="4AB33F25">
            <w:pPr>
              <w:pStyle w:val="13"/>
            </w:pPr>
            <w:r>
              <w:t>质量指标</w:t>
            </w:r>
          </w:p>
        </w:tc>
        <w:tc>
          <w:tcPr>
            <w:tcW w:w="2835" w:type="dxa"/>
            <w:vAlign w:val="center"/>
          </w:tcPr>
          <w:p w14:paraId="455EC201">
            <w:pPr>
              <w:pStyle w:val="13"/>
            </w:pPr>
            <w:r>
              <w:t>免学费全覆盖</w:t>
            </w:r>
          </w:p>
        </w:tc>
        <w:tc>
          <w:tcPr>
            <w:tcW w:w="5386" w:type="dxa"/>
            <w:vAlign w:val="center"/>
          </w:tcPr>
          <w:p w14:paraId="0AE68CA0">
            <w:pPr>
              <w:pStyle w:val="13"/>
            </w:pPr>
            <w:r>
              <w:t>免学费一、二、三年级中职生</w:t>
            </w:r>
          </w:p>
        </w:tc>
        <w:tc>
          <w:tcPr>
            <w:tcW w:w="2268" w:type="dxa"/>
            <w:vAlign w:val="center"/>
          </w:tcPr>
          <w:p w14:paraId="54F38D1C">
            <w:pPr>
              <w:pStyle w:val="13"/>
            </w:pPr>
            <w:r>
              <w:t>≥100%</w:t>
            </w:r>
          </w:p>
        </w:tc>
        <w:tc>
          <w:tcPr>
            <w:tcW w:w="1276" w:type="dxa"/>
            <w:vAlign w:val="center"/>
          </w:tcPr>
          <w:p w14:paraId="29240EDB">
            <w:pPr>
              <w:pStyle w:val="13"/>
            </w:pPr>
            <w:r>
              <w:t>隆尧县中职免学费管理办法</w:t>
            </w:r>
          </w:p>
        </w:tc>
      </w:tr>
      <w:tr w14:paraId="535D4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0316A"/>
        </w:tc>
        <w:tc>
          <w:tcPr>
            <w:tcW w:w="2268" w:type="dxa"/>
            <w:vAlign w:val="center"/>
          </w:tcPr>
          <w:p w14:paraId="68924230">
            <w:pPr>
              <w:pStyle w:val="13"/>
            </w:pPr>
            <w:r>
              <w:t>时效指标</w:t>
            </w:r>
          </w:p>
        </w:tc>
        <w:tc>
          <w:tcPr>
            <w:tcW w:w="2835" w:type="dxa"/>
            <w:vAlign w:val="center"/>
          </w:tcPr>
          <w:p w14:paraId="5D37C2EA">
            <w:pPr>
              <w:pStyle w:val="13"/>
            </w:pPr>
            <w:r>
              <w:t>免学费经费拨付率</w:t>
            </w:r>
          </w:p>
        </w:tc>
        <w:tc>
          <w:tcPr>
            <w:tcW w:w="5386" w:type="dxa"/>
            <w:vAlign w:val="center"/>
          </w:tcPr>
          <w:p w14:paraId="3E65E1CB">
            <w:pPr>
              <w:pStyle w:val="13"/>
            </w:pPr>
            <w:r>
              <w:t>免学费经费及时拨付到位率</w:t>
            </w:r>
          </w:p>
        </w:tc>
        <w:tc>
          <w:tcPr>
            <w:tcW w:w="2268" w:type="dxa"/>
            <w:vAlign w:val="center"/>
          </w:tcPr>
          <w:p w14:paraId="74BD41C4">
            <w:pPr>
              <w:pStyle w:val="13"/>
            </w:pPr>
            <w:r>
              <w:t>≥100%</w:t>
            </w:r>
          </w:p>
        </w:tc>
        <w:tc>
          <w:tcPr>
            <w:tcW w:w="1276" w:type="dxa"/>
            <w:vAlign w:val="center"/>
          </w:tcPr>
          <w:p w14:paraId="5715B801">
            <w:pPr>
              <w:pStyle w:val="13"/>
            </w:pPr>
            <w:r>
              <w:t>隆尧县中职免学费管理办法</w:t>
            </w:r>
          </w:p>
        </w:tc>
      </w:tr>
      <w:tr w14:paraId="74BA7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107CB"/>
        </w:tc>
        <w:tc>
          <w:tcPr>
            <w:tcW w:w="2268" w:type="dxa"/>
            <w:vAlign w:val="center"/>
          </w:tcPr>
          <w:p w14:paraId="12DF4222">
            <w:pPr>
              <w:pStyle w:val="13"/>
            </w:pPr>
            <w:r>
              <w:t>成本指标</w:t>
            </w:r>
          </w:p>
        </w:tc>
        <w:tc>
          <w:tcPr>
            <w:tcW w:w="2835" w:type="dxa"/>
            <w:vAlign w:val="center"/>
          </w:tcPr>
          <w:p w14:paraId="1830CF19">
            <w:pPr>
              <w:pStyle w:val="13"/>
            </w:pPr>
            <w:r>
              <w:t>中职学校免学费补助标准</w:t>
            </w:r>
          </w:p>
        </w:tc>
        <w:tc>
          <w:tcPr>
            <w:tcW w:w="5386" w:type="dxa"/>
            <w:vAlign w:val="center"/>
          </w:tcPr>
          <w:p w14:paraId="10C79FF7">
            <w:pPr>
              <w:pStyle w:val="13"/>
            </w:pPr>
            <w:r>
              <w:t>中职学校免学费补助标准</w:t>
            </w:r>
          </w:p>
        </w:tc>
        <w:tc>
          <w:tcPr>
            <w:tcW w:w="2268" w:type="dxa"/>
            <w:vAlign w:val="center"/>
          </w:tcPr>
          <w:p w14:paraId="64A0EE5F">
            <w:pPr>
              <w:pStyle w:val="13"/>
            </w:pPr>
            <w:r>
              <w:t>2000元/生/年</w:t>
            </w:r>
          </w:p>
        </w:tc>
        <w:tc>
          <w:tcPr>
            <w:tcW w:w="1276" w:type="dxa"/>
            <w:vAlign w:val="center"/>
          </w:tcPr>
          <w:p w14:paraId="0889073D">
            <w:pPr>
              <w:pStyle w:val="13"/>
            </w:pPr>
            <w:r>
              <w:t>隆尧县中职免学费管理办法</w:t>
            </w:r>
          </w:p>
        </w:tc>
      </w:tr>
      <w:tr w14:paraId="5056B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0C85F7">
            <w:pPr>
              <w:pStyle w:val="12"/>
            </w:pPr>
            <w:r>
              <w:t>效益指标</w:t>
            </w:r>
          </w:p>
        </w:tc>
        <w:tc>
          <w:tcPr>
            <w:tcW w:w="2268" w:type="dxa"/>
            <w:vAlign w:val="center"/>
          </w:tcPr>
          <w:p w14:paraId="52FB65D4">
            <w:pPr>
              <w:pStyle w:val="13"/>
            </w:pPr>
            <w:r>
              <w:t>可持续影响指标</w:t>
            </w:r>
          </w:p>
        </w:tc>
        <w:tc>
          <w:tcPr>
            <w:tcW w:w="2835" w:type="dxa"/>
            <w:vAlign w:val="center"/>
          </w:tcPr>
          <w:p w14:paraId="08955887">
            <w:pPr>
              <w:pStyle w:val="13"/>
            </w:pPr>
            <w:r>
              <w:t>中职运转</w:t>
            </w:r>
          </w:p>
        </w:tc>
        <w:tc>
          <w:tcPr>
            <w:tcW w:w="5386" w:type="dxa"/>
            <w:vAlign w:val="center"/>
          </w:tcPr>
          <w:p w14:paraId="4479F679">
            <w:pPr>
              <w:pStyle w:val="13"/>
            </w:pPr>
            <w:r>
              <w:t>高中受教育年限</w:t>
            </w:r>
          </w:p>
        </w:tc>
        <w:tc>
          <w:tcPr>
            <w:tcW w:w="2268" w:type="dxa"/>
            <w:vAlign w:val="center"/>
          </w:tcPr>
          <w:p w14:paraId="0D930AEE">
            <w:pPr>
              <w:pStyle w:val="13"/>
            </w:pPr>
            <w:r>
              <w:t>3年</w:t>
            </w:r>
          </w:p>
        </w:tc>
        <w:tc>
          <w:tcPr>
            <w:tcW w:w="1276" w:type="dxa"/>
            <w:vAlign w:val="center"/>
          </w:tcPr>
          <w:p w14:paraId="2AE11502">
            <w:pPr>
              <w:pStyle w:val="13"/>
            </w:pPr>
            <w:r>
              <w:t>隆尧县中职免学费管理办法</w:t>
            </w:r>
          </w:p>
        </w:tc>
      </w:tr>
      <w:tr w14:paraId="7CE40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862820">
            <w:pPr>
              <w:pStyle w:val="12"/>
            </w:pPr>
            <w:r>
              <w:t>满意度指标</w:t>
            </w:r>
          </w:p>
        </w:tc>
        <w:tc>
          <w:tcPr>
            <w:tcW w:w="2268" w:type="dxa"/>
            <w:vAlign w:val="center"/>
          </w:tcPr>
          <w:p w14:paraId="2BBA0D3E">
            <w:pPr>
              <w:pStyle w:val="13"/>
            </w:pPr>
            <w:r>
              <w:t>服务对象满意度指标</w:t>
            </w:r>
          </w:p>
        </w:tc>
        <w:tc>
          <w:tcPr>
            <w:tcW w:w="2835" w:type="dxa"/>
            <w:vAlign w:val="center"/>
          </w:tcPr>
          <w:p w14:paraId="4A6B4271">
            <w:pPr>
              <w:pStyle w:val="13"/>
            </w:pPr>
            <w:r>
              <w:t>提升幸福指数</w:t>
            </w:r>
          </w:p>
        </w:tc>
        <w:tc>
          <w:tcPr>
            <w:tcW w:w="5386" w:type="dxa"/>
            <w:vAlign w:val="center"/>
          </w:tcPr>
          <w:p w14:paraId="6FCF5ACD">
            <w:pPr>
              <w:pStyle w:val="13"/>
            </w:pPr>
            <w:r>
              <w:t>提升贫困家庭学生的幸福指数学生家长满意</w:t>
            </w:r>
          </w:p>
        </w:tc>
        <w:tc>
          <w:tcPr>
            <w:tcW w:w="2268" w:type="dxa"/>
            <w:vAlign w:val="center"/>
          </w:tcPr>
          <w:p w14:paraId="0E14D6A7">
            <w:pPr>
              <w:pStyle w:val="13"/>
            </w:pPr>
            <w:r>
              <w:t>≥95%</w:t>
            </w:r>
          </w:p>
        </w:tc>
        <w:tc>
          <w:tcPr>
            <w:tcW w:w="1276" w:type="dxa"/>
            <w:vAlign w:val="center"/>
          </w:tcPr>
          <w:p w14:paraId="7F942E27">
            <w:pPr>
              <w:pStyle w:val="13"/>
            </w:pPr>
            <w:r>
              <w:t>隆尧县中职免学费管理办法</w:t>
            </w:r>
          </w:p>
        </w:tc>
      </w:tr>
    </w:tbl>
    <w:p w14:paraId="08172409">
      <w:pPr>
        <w:sectPr>
          <w:pgSz w:w="16840" w:h="11900" w:orient="landscape"/>
          <w:pgMar w:top="1361" w:right="1020" w:bottom="1134" w:left="1020" w:header="720" w:footer="720" w:gutter="0"/>
          <w:cols w:space="720" w:num="1"/>
        </w:sectPr>
      </w:pPr>
    </w:p>
    <w:p w14:paraId="04D1954D">
      <w:pPr>
        <w:spacing w:before="0" w:after="0"/>
        <w:ind w:firstLine="560"/>
        <w:jc w:val="left"/>
        <w:outlineLvl w:val="9"/>
      </w:pPr>
      <w:r>
        <w:rPr>
          <w:rFonts w:ascii="方正仿宋_GBK" w:hAnsi="方正仿宋_GBK" w:eastAsia="方正仿宋_GBK" w:cs="方正仿宋_GBK"/>
          <w:b/>
          <w:color w:val="000000"/>
          <w:sz w:val="28"/>
        </w:rPr>
        <w:t>162、县级配套/资助/家庭经济困难生活补助（初中）绩效目标表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AF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3B4E9">
            <w:pPr>
              <w:pStyle w:val="14"/>
            </w:pPr>
            <w:r>
              <w:t>单位：万元</w:t>
            </w:r>
          </w:p>
        </w:tc>
      </w:tr>
      <w:tr w14:paraId="1E00F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B7B221">
            <w:pPr>
              <w:pStyle w:val="11"/>
            </w:pPr>
            <w:r>
              <w:t>项目编码</w:t>
            </w:r>
          </w:p>
        </w:tc>
        <w:tc>
          <w:tcPr>
            <w:tcW w:w="5103" w:type="dxa"/>
            <w:gridSpan w:val="2"/>
            <w:vAlign w:val="center"/>
          </w:tcPr>
          <w:p w14:paraId="0016E9B4">
            <w:pPr>
              <w:pStyle w:val="13"/>
            </w:pPr>
            <w:r>
              <w:t>13052525P00001010003B</w:t>
            </w:r>
          </w:p>
        </w:tc>
        <w:tc>
          <w:tcPr>
            <w:tcW w:w="2835" w:type="dxa"/>
            <w:vAlign w:val="center"/>
          </w:tcPr>
          <w:p w14:paraId="2D8D1E2D">
            <w:pPr>
              <w:pStyle w:val="11"/>
            </w:pPr>
            <w:r>
              <w:t>项目名称</w:t>
            </w:r>
          </w:p>
        </w:tc>
        <w:tc>
          <w:tcPr>
            <w:tcW w:w="6095" w:type="dxa"/>
            <w:gridSpan w:val="3"/>
            <w:vAlign w:val="center"/>
          </w:tcPr>
          <w:p w14:paraId="0B2A6FD9">
            <w:pPr>
              <w:pStyle w:val="13"/>
            </w:pPr>
            <w:r>
              <w:t>县级配套/资助/家庭经济困难生活补助（初中）</w:t>
            </w:r>
            <w:r>
              <w:tab/>
            </w:r>
          </w:p>
        </w:tc>
      </w:tr>
      <w:tr w14:paraId="58336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A7ED0">
            <w:pPr>
              <w:pStyle w:val="11"/>
            </w:pPr>
            <w:r>
              <w:t>预算规模及资金用途</w:t>
            </w:r>
          </w:p>
        </w:tc>
        <w:tc>
          <w:tcPr>
            <w:tcW w:w="2268" w:type="dxa"/>
            <w:vAlign w:val="center"/>
          </w:tcPr>
          <w:p w14:paraId="19C67F03">
            <w:pPr>
              <w:pStyle w:val="11"/>
            </w:pPr>
            <w:r>
              <w:t>预算数</w:t>
            </w:r>
          </w:p>
        </w:tc>
        <w:tc>
          <w:tcPr>
            <w:tcW w:w="2835" w:type="dxa"/>
            <w:vAlign w:val="center"/>
          </w:tcPr>
          <w:p w14:paraId="5A558A15">
            <w:pPr>
              <w:pStyle w:val="13"/>
            </w:pPr>
            <w:r>
              <w:t>85.29</w:t>
            </w:r>
          </w:p>
        </w:tc>
        <w:tc>
          <w:tcPr>
            <w:tcW w:w="2835" w:type="dxa"/>
            <w:vAlign w:val="center"/>
          </w:tcPr>
          <w:p w14:paraId="608FE663">
            <w:pPr>
              <w:pStyle w:val="11"/>
            </w:pPr>
            <w:r>
              <w:t>其中：财政    资金</w:t>
            </w:r>
          </w:p>
        </w:tc>
        <w:tc>
          <w:tcPr>
            <w:tcW w:w="2551" w:type="dxa"/>
            <w:vAlign w:val="center"/>
          </w:tcPr>
          <w:p w14:paraId="71914C07">
            <w:pPr>
              <w:pStyle w:val="13"/>
            </w:pPr>
            <w:r>
              <w:t>85.29</w:t>
            </w:r>
          </w:p>
        </w:tc>
        <w:tc>
          <w:tcPr>
            <w:tcW w:w="2268" w:type="dxa"/>
            <w:vAlign w:val="center"/>
          </w:tcPr>
          <w:p w14:paraId="6F255981">
            <w:pPr>
              <w:pStyle w:val="11"/>
            </w:pPr>
            <w:r>
              <w:t>其他资金</w:t>
            </w:r>
          </w:p>
        </w:tc>
        <w:tc>
          <w:tcPr>
            <w:tcW w:w="1276" w:type="dxa"/>
            <w:vAlign w:val="center"/>
          </w:tcPr>
          <w:p w14:paraId="06241CB4">
            <w:pPr>
              <w:pStyle w:val="13"/>
            </w:pPr>
            <w:r>
              <w:t xml:space="preserve"> </w:t>
            </w:r>
          </w:p>
        </w:tc>
      </w:tr>
      <w:tr w14:paraId="1F563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C724B"/>
        </w:tc>
        <w:tc>
          <w:tcPr>
            <w:tcW w:w="14033" w:type="dxa"/>
            <w:gridSpan w:val="6"/>
            <w:vAlign w:val="center"/>
          </w:tcPr>
          <w:p w14:paraId="77D8630A">
            <w:pPr>
              <w:pStyle w:val="13"/>
            </w:pPr>
            <w:r>
              <w:t>保障落实建档立卡及家庭经济困难学生资助所需资金，确保建档立卡等家庭经济困难学生优先获得资助</w:t>
            </w:r>
          </w:p>
        </w:tc>
      </w:tr>
      <w:tr w14:paraId="38CB0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C68F9">
            <w:pPr>
              <w:pStyle w:val="11"/>
            </w:pPr>
            <w:r>
              <w:t>资金支出计划（%）</w:t>
            </w:r>
          </w:p>
        </w:tc>
        <w:tc>
          <w:tcPr>
            <w:tcW w:w="5103" w:type="dxa"/>
            <w:gridSpan w:val="2"/>
            <w:vAlign w:val="center"/>
          </w:tcPr>
          <w:p w14:paraId="6BE90CCB">
            <w:pPr>
              <w:pStyle w:val="11"/>
            </w:pPr>
            <w:r>
              <w:t>3月底</w:t>
            </w:r>
          </w:p>
        </w:tc>
        <w:tc>
          <w:tcPr>
            <w:tcW w:w="2835" w:type="dxa"/>
            <w:vAlign w:val="center"/>
          </w:tcPr>
          <w:p w14:paraId="37DB598A">
            <w:pPr>
              <w:pStyle w:val="11"/>
            </w:pPr>
            <w:r>
              <w:t>6月底</w:t>
            </w:r>
          </w:p>
        </w:tc>
        <w:tc>
          <w:tcPr>
            <w:tcW w:w="2551" w:type="dxa"/>
            <w:vAlign w:val="center"/>
          </w:tcPr>
          <w:p w14:paraId="0A5D6A70">
            <w:pPr>
              <w:pStyle w:val="11"/>
            </w:pPr>
            <w:r>
              <w:t>10月底</w:t>
            </w:r>
          </w:p>
        </w:tc>
        <w:tc>
          <w:tcPr>
            <w:tcW w:w="3544" w:type="dxa"/>
            <w:gridSpan w:val="2"/>
            <w:vAlign w:val="center"/>
          </w:tcPr>
          <w:p w14:paraId="169C7EF1">
            <w:pPr>
              <w:pStyle w:val="11"/>
            </w:pPr>
            <w:r>
              <w:t>12月底</w:t>
            </w:r>
          </w:p>
        </w:tc>
      </w:tr>
      <w:tr w14:paraId="2CE89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9330D"/>
        </w:tc>
        <w:tc>
          <w:tcPr>
            <w:tcW w:w="5103" w:type="dxa"/>
            <w:gridSpan w:val="2"/>
            <w:vAlign w:val="center"/>
          </w:tcPr>
          <w:p w14:paraId="06488AB8">
            <w:pPr>
              <w:pStyle w:val="12"/>
            </w:pPr>
            <w:r>
              <w:t xml:space="preserve"> </w:t>
            </w:r>
          </w:p>
        </w:tc>
        <w:tc>
          <w:tcPr>
            <w:tcW w:w="2835" w:type="dxa"/>
            <w:vAlign w:val="center"/>
          </w:tcPr>
          <w:p w14:paraId="7AFCF08A">
            <w:pPr>
              <w:pStyle w:val="12"/>
            </w:pPr>
            <w:r>
              <w:t xml:space="preserve"> </w:t>
            </w:r>
          </w:p>
        </w:tc>
        <w:tc>
          <w:tcPr>
            <w:tcW w:w="2551" w:type="dxa"/>
            <w:vAlign w:val="center"/>
          </w:tcPr>
          <w:p w14:paraId="356643C3">
            <w:pPr>
              <w:pStyle w:val="12"/>
            </w:pPr>
            <w:r>
              <w:t xml:space="preserve"> </w:t>
            </w:r>
          </w:p>
        </w:tc>
        <w:tc>
          <w:tcPr>
            <w:tcW w:w="3544" w:type="dxa"/>
            <w:gridSpan w:val="2"/>
            <w:vAlign w:val="center"/>
          </w:tcPr>
          <w:p w14:paraId="51E9E04A">
            <w:pPr>
              <w:pStyle w:val="12"/>
            </w:pPr>
            <w:r>
              <w:t>100%</w:t>
            </w:r>
          </w:p>
        </w:tc>
      </w:tr>
      <w:tr w14:paraId="114B6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22F58C">
            <w:pPr>
              <w:pStyle w:val="11"/>
            </w:pPr>
            <w:r>
              <w:t>绩效目标</w:t>
            </w:r>
          </w:p>
        </w:tc>
        <w:tc>
          <w:tcPr>
            <w:tcW w:w="14033" w:type="dxa"/>
            <w:gridSpan w:val="6"/>
            <w:vAlign w:val="center"/>
          </w:tcPr>
          <w:p w14:paraId="250C710E">
            <w:pPr>
              <w:pStyle w:val="13"/>
            </w:pPr>
            <w:r>
              <w:t>1.保障落实建档立卡及家庭经济困难学生资助所需资金，确保建档立卡等家庭经济困难学生优先获得资助.</w:t>
            </w:r>
          </w:p>
        </w:tc>
      </w:tr>
    </w:tbl>
    <w:p w14:paraId="59C953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73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61389">
            <w:pPr>
              <w:pStyle w:val="11"/>
            </w:pPr>
            <w:r>
              <w:t>一级指标</w:t>
            </w:r>
          </w:p>
        </w:tc>
        <w:tc>
          <w:tcPr>
            <w:tcW w:w="2268" w:type="dxa"/>
            <w:vAlign w:val="center"/>
          </w:tcPr>
          <w:p w14:paraId="063EE60A">
            <w:pPr>
              <w:pStyle w:val="11"/>
            </w:pPr>
            <w:r>
              <w:t>二级指标</w:t>
            </w:r>
          </w:p>
        </w:tc>
        <w:tc>
          <w:tcPr>
            <w:tcW w:w="2835" w:type="dxa"/>
            <w:vAlign w:val="center"/>
          </w:tcPr>
          <w:p w14:paraId="16DBBD17">
            <w:pPr>
              <w:pStyle w:val="11"/>
            </w:pPr>
            <w:r>
              <w:t>三级指标</w:t>
            </w:r>
          </w:p>
        </w:tc>
        <w:tc>
          <w:tcPr>
            <w:tcW w:w="5386" w:type="dxa"/>
            <w:vAlign w:val="center"/>
          </w:tcPr>
          <w:p w14:paraId="25611521">
            <w:pPr>
              <w:pStyle w:val="11"/>
            </w:pPr>
            <w:r>
              <w:t>绩效指标描述</w:t>
            </w:r>
          </w:p>
        </w:tc>
        <w:tc>
          <w:tcPr>
            <w:tcW w:w="2268" w:type="dxa"/>
            <w:vAlign w:val="center"/>
          </w:tcPr>
          <w:p w14:paraId="302A2B97">
            <w:pPr>
              <w:pStyle w:val="11"/>
            </w:pPr>
            <w:r>
              <w:t>指标值</w:t>
            </w:r>
          </w:p>
        </w:tc>
        <w:tc>
          <w:tcPr>
            <w:tcW w:w="1276" w:type="dxa"/>
            <w:vAlign w:val="center"/>
          </w:tcPr>
          <w:p w14:paraId="0D8CD0C6">
            <w:pPr>
              <w:pStyle w:val="11"/>
            </w:pPr>
            <w:r>
              <w:t>指标值确定依据</w:t>
            </w:r>
          </w:p>
        </w:tc>
      </w:tr>
      <w:tr w14:paraId="7D8EF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9B03F">
            <w:pPr>
              <w:pStyle w:val="12"/>
            </w:pPr>
            <w:r>
              <w:t>产出指标</w:t>
            </w:r>
          </w:p>
        </w:tc>
        <w:tc>
          <w:tcPr>
            <w:tcW w:w="2268" w:type="dxa"/>
            <w:vAlign w:val="center"/>
          </w:tcPr>
          <w:p w14:paraId="3F13354D">
            <w:pPr>
              <w:pStyle w:val="13"/>
            </w:pPr>
            <w:r>
              <w:t>数量指标</w:t>
            </w:r>
          </w:p>
        </w:tc>
        <w:tc>
          <w:tcPr>
            <w:tcW w:w="2835" w:type="dxa"/>
            <w:vAlign w:val="center"/>
          </w:tcPr>
          <w:p w14:paraId="0037B6FF">
            <w:pPr>
              <w:pStyle w:val="13"/>
            </w:pPr>
            <w:r>
              <w:t>家庭经济困难资助比例</w:t>
            </w:r>
          </w:p>
        </w:tc>
        <w:tc>
          <w:tcPr>
            <w:tcW w:w="5386" w:type="dxa"/>
            <w:vAlign w:val="center"/>
          </w:tcPr>
          <w:p w14:paraId="2A2CB68F">
            <w:pPr>
              <w:pStyle w:val="13"/>
            </w:pPr>
            <w:r>
              <w:t>寄宿生按义教在校生15%测算2837，非寄宿生按义教在校生5%测算12人</w:t>
            </w:r>
          </w:p>
        </w:tc>
        <w:tc>
          <w:tcPr>
            <w:tcW w:w="2268" w:type="dxa"/>
            <w:vAlign w:val="center"/>
          </w:tcPr>
          <w:p w14:paraId="0B67CB38">
            <w:pPr>
              <w:pStyle w:val="13"/>
            </w:pPr>
            <w:r>
              <w:t>2837人</w:t>
            </w:r>
          </w:p>
        </w:tc>
        <w:tc>
          <w:tcPr>
            <w:tcW w:w="1276" w:type="dxa"/>
            <w:vAlign w:val="center"/>
          </w:tcPr>
          <w:p w14:paraId="448D9C45">
            <w:pPr>
              <w:pStyle w:val="13"/>
            </w:pPr>
            <w:r>
              <w:t>城乡义务教育“两免一补”资助实施细则</w:t>
            </w:r>
          </w:p>
        </w:tc>
      </w:tr>
      <w:tr w14:paraId="30164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C7F2C"/>
        </w:tc>
        <w:tc>
          <w:tcPr>
            <w:tcW w:w="2268" w:type="dxa"/>
            <w:vAlign w:val="center"/>
          </w:tcPr>
          <w:p w14:paraId="14926E14">
            <w:pPr>
              <w:pStyle w:val="13"/>
            </w:pPr>
            <w:r>
              <w:t>质量指标</w:t>
            </w:r>
          </w:p>
        </w:tc>
        <w:tc>
          <w:tcPr>
            <w:tcW w:w="2835" w:type="dxa"/>
            <w:vAlign w:val="center"/>
          </w:tcPr>
          <w:p w14:paraId="232F71DE">
            <w:pPr>
              <w:pStyle w:val="13"/>
            </w:pPr>
            <w:r>
              <w:t>义务教育资助制度落实情况</w:t>
            </w:r>
          </w:p>
        </w:tc>
        <w:tc>
          <w:tcPr>
            <w:tcW w:w="5386" w:type="dxa"/>
            <w:vAlign w:val="center"/>
          </w:tcPr>
          <w:p w14:paraId="08179CF7">
            <w:pPr>
              <w:pStyle w:val="13"/>
            </w:pPr>
            <w:r>
              <w:t>符合享受资助条件的学生应助尽助</w:t>
            </w:r>
          </w:p>
        </w:tc>
        <w:tc>
          <w:tcPr>
            <w:tcW w:w="2268" w:type="dxa"/>
            <w:vAlign w:val="center"/>
          </w:tcPr>
          <w:p w14:paraId="5A9AA383">
            <w:pPr>
              <w:pStyle w:val="13"/>
            </w:pPr>
            <w:r>
              <w:t>≥100%</w:t>
            </w:r>
          </w:p>
        </w:tc>
        <w:tc>
          <w:tcPr>
            <w:tcW w:w="1276" w:type="dxa"/>
            <w:vAlign w:val="center"/>
          </w:tcPr>
          <w:p w14:paraId="3742EB1A">
            <w:pPr>
              <w:pStyle w:val="13"/>
            </w:pPr>
            <w:r>
              <w:t>城乡义务教育“两免一补”资助实施细则</w:t>
            </w:r>
          </w:p>
        </w:tc>
      </w:tr>
      <w:tr w14:paraId="477AD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8CBE5"/>
        </w:tc>
        <w:tc>
          <w:tcPr>
            <w:tcW w:w="2268" w:type="dxa"/>
            <w:vAlign w:val="center"/>
          </w:tcPr>
          <w:p w14:paraId="6BC31601">
            <w:pPr>
              <w:pStyle w:val="13"/>
            </w:pPr>
            <w:r>
              <w:t>时效指标</w:t>
            </w:r>
          </w:p>
        </w:tc>
        <w:tc>
          <w:tcPr>
            <w:tcW w:w="2835" w:type="dxa"/>
            <w:vAlign w:val="center"/>
          </w:tcPr>
          <w:p w14:paraId="718F1E5E">
            <w:pPr>
              <w:pStyle w:val="13"/>
            </w:pPr>
            <w:r>
              <w:t>资金拨付率</w:t>
            </w:r>
          </w:p>
        </w:tc>
        <w:tc>
          <w:tcPr>
            <w:tcW w:w="5386" w:type="dxa"/>
            <w:vAlign w:val="center"/>
          </w:tcPr>
          <w:p w14:paraId="28DE6B84">
            <w:pPr>
              <w:pStyle w:val="13"/>
            </w:pPr>
            <w:r>
              <w:t>所有项目资金支付进度</w:t>
            </w:r>
          </w:p>
        </w:tc>
        <w:tc>
          <w:tcPr>
            <w:tcW w:w="2268" w:type="dxa"/>
            <w:vAlign w:val="center"/>
          </w:tcPr>
          <w:p w14:paraId="3F6F5B57">
            <w:pPr>
              <w:pStyle w:val="13"/>
            </w:pPr>
            <w:r>
              <w:t>≥100%</w:t>
            </w:r>
          </w:p>
        </w:tc>
        <w:tc>
          <w:tcPr>
            <w:tcW w:w="1276" w:type="dxa"/>
            <w:vAlign w:val="center"/>
          </w:tcPr>
          <w:p w14:paraId="693F8481">
            <w:pPr>
              <w:pStyle w:val="13"/>
            </w:pPr>
            <w:r>
              <w:t>城乡义务教育“两免一补”资助实施细则</w:t>
            </w:r>
          </w:p>
        </w:tc>
      </w:tr>
      <w:tr w14:paraId="0866D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812BC"/>
        </w:tc>
        <w:tc>
          <w:tcPr>
            <w:tcW w:w="2268" w:type="dxa"/>
            <w:vAlign w:val="center"/>
          </w:tcPr>
          <w:p w14:paraId="4D16826F">
            <w:pPr>
              <w:pStyle w:val="13"/>
            </w:pPr>
            <w:r>
              <w:t>成本指标</w:t>
            </w:r>
          </w:p>
        </w:tc>
        <w:tc>
          <w:tcPr>
            <w:tcW w:w="2835" w:type="dxa"/>
            <w:vAlign w:val="center"/>
          </w:tcPr>
          <w:p w14:paraId="231DE868">
            <w:pPr>
              <w:pStyle w:val="13"/>
            </w:pPr>
            <w:r>
              <w:t>家庭经济困难寄宿及非寄四类学生补助标准</w:t>
            </w:r>
          </w:p>
        </w:tc>
        <w:tc>
          <w:tcPr>
            <w:tcW w:w="5386" w:type="dxa"/>
            <w:vAlign w:val="center"/>
          </w:tcPr>
          <w:p w14:paraId="47525F0A">
            <w:pPr>
              <w:pStyle w:val="13"/>
            </w:pPr>
            <w:r>
              <w:t>初中寄宿：标准1500元/生/学年，初中非寄宿：标准750元/生/学年，小学寄宿：标准1200元/生/学年，小学寄宿：标准600元/生/学年，特教学生：标准1500元/生/学年。</w:t>
            </w:r>
          </w:p>
        </w:tc>
        <w:tc>
          <w:tcPr>
            <w:tcW w:w="2268" w:type="dxa"/>
            <w:vAlign w:val="center"/>
          </w:tcPr>
          <w:p w14:paraId="34106E71">
            <w:pPr>
              <w:pStyle w:val="13"/>
            </w:pPr>
            <w:r>
              <w:t>85.29元</w:t>
            </w:r>
          </w:p>
        </w:tc>
        <w:tc>
          <w:tcPr>
            <w:tcW w:w="1276" w:type="dxa"/>
            <w:vAlign w:val="center"/>
          </w:tcPr>
          <w:p w14:paraId="2C71CDB2">
            <w:pPr>
              <w:pStyle w:val="13"/>
            </w:pPr>
            <w:r>
              <w:t>城乡义务教育“两免一补”资助实施细则</w:t>
            </w:r>
          </w:p>
        </w:tc>
      </w:tr>
      <w:tr w14:paraId="3DD7F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FF62D3">
            <w:pPr>
              <w:pStyle w:val="12"/>
            </w:pPr>
            <w:r>
              <w:t>效益指标</w:t>
            </w:r>
          </w:p>
        </w:tc>
        <w:tc>
          <w:tcPr>
            <w:tcW w:w="2268" w:type="dxa"/>
            <w:vAlign w:val="center"/>
          </w:tcPr>
          <w:p w14:paraId="0DE6FC61">
            <w:pPr>
              <w:pStyle w:val="13"/>
            </w:pPr>
            <w:r>
              <w:t>可持续影响指标</w:t>
            </w:r>
          </w:p>
        </w:tc>
        <w:tc>
          <w:tcPr>
            <w:tcW w:w="2835" w:type="dxa"/>
            <w:vAlign w:val="center"/>
          </w:tcPr>
          <w:p w14:paraId="188D1A1A">
            <w:pPr>
              <w:pStyle w:val="13"/>
            </w:pPr>
            <w:r>
              <w:t>教育发展水平明显好转</w:t>
            </w:r>
          </w:p>
        </w:tc>
        <w:tc>
          <w:tcPr>
            <w:tcW w:w="5386" w:type="dxa"/>
            <w:vAlign w:val="center"/>
          </w:tcPr>
          <w:p w14:paraId="0A1A18DB">
            <w:pPr>
              <w:pStyle w:val="13"/>
            </w:pPr>
            <w:r>
              <w:t>学生受教育年限</w:t>
            </w:r>
          </w:p>
        </w:tc>
        <w:tc>
          <w:tcPr>
            <w:tcW w:w="2268" w:type="dxa"/>
            <w:vAlign w:val="center"/>
          </w:tcPr>
          <w:p w14:paraId="0E6E8C16">
            <w:pPr>
              <w:pStyle w:val="13"/>
            </w:pPr>
            <w:r>
              <w:t>3年</w:t>
            </w:r>
          </w:p>
        </w:tc>
        <w:tc>
          <w:tcPr>
            <w:tcW w:w="1276" w:type="dxa"/>
            <w:vAlign w:val="center"/>
          </w:tcPr>
          <w:p w14:paraId="3D908E5F">
            <w:pPr>
              <w:pStyle w:val="13"/>
            </w:pPr>
            <w:r>
              <w:t>城乡义务教育“两免一补”资助实施细则</w:t>
            </w:r>
          </w:p>
        </w:tc>
      </w:tr>
      <w:tr w14:paraId="14623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CA5C51">
            <w:pPr>
              <w:pStyle w:val="12"/>
            </w:pPr>
            <w:r>
              <w:t>满意度指标</w:t>
            </w:r>
          </w:p>
        </w:tc>
        <w:tc>
          <w:tcPr>
            <w:tcW w:w="2268" w:type="dxa"/>
            <w:vAlign w:val="center"/>
          </w:tcPr>
          <w:p w14:paraId="1853B5F0">
            <w:pPr>
              <w:pStyle w:val="13"/>
            </w:pPr>
            <w:r>
              <w:t>服务对象满意度指标</w:t>
            </w:r>
          </w:p>
        </w:tc>
        <w:tc>
          <w:tcPr>
            <w:tcW w:w="2835" w:type="dxa"/>
            <w:vAlign w:val="center"/>
          </w:tcPr>
          <w:p w14:paraId="4CA95574">
            <w:pPr>
              <w:pStyle w:val="13"/>
            </w:pPr>
            <w:r>
              <w:t>受益学生家长及调查满意度</w:t>
            </w:r>
          </w:p>
        </w:tc>
        <w:tc>
          <w:tcPr>
            <w:tcW w:w="5386" w:type="dxa"/>
            <w:vAlign w:val="center"/>
          </w:tcPr>
          <w:p w14:paraId="6F3749E5">
            <w:pPr>
              <w:pStyle w:val="13"/>
            </w:pPr>
            <w:r>
              <w:t>学生、教师及家长对学校保教保育工作满意度情况</w:t>
            </w:r>
          </w:p>
        </w:tc>
        <w:tc>
          <w:tcPr>
            <w:tcW w:w="2268" w:type="dxa"/>
            <w:vAlign w:val="center"/>
          </w:tcPr>
          <w:p w14:paraId="126814D4">
            <w:pPr>
              <w:pStyle w:val="13"/>
            </w:pPr>
            <w:r>
              <w:t>≥95%</w:t>
            </w:r>
          </w:p>
        </w:tc>
        <w:tc>
          <w:tcPr>
            <w:tcW w:w="1276" w:type="dxa"/>
            <w:vAlign w:val="center"/>
          </w:tcPr>
          <w:p w14:paraId="7BB818A8">
            <w:pPr>
              <w:pStyle w:val="13"/>
            </w:pPr>
            <w:r>
              <w:t>调查问卷</w:t>
            </w:r>
          </w:p>
        </w:tc>
      </w:tr>
    </w:tbl>
    <w:p w14:paraId="4A1F7372">
      <w:pPr>
        <w:sectPr>
          <w:pgSz w:w="16840" w:h="11900" w:orient="landscape"/>
          <w:pgMar w:top="1361" w:right="1020" w:bottom="1134" w:left="1020" w:header="720" w:footer="720" w:gutter="0"/>
          <w:cols w:space="720" w:num="1"/>
        </w:sectPr>
      </w:pPr>
    </w:p>
    <w:p w14:paraId="733F73B9">
      <w:pPr>
        <w:spacing w:before="0" w:after="0"/>
        <w:ind w:firstLine="560"/>
        <w:jc w:val="left"/>
        <w:outlineLvl w:val="9"/>
      </w:pPr>
      <w:r>
        <w:rPr>
          <w:rFonts w:ascii="方正仿宋_GBK" w:hAnsi="方正仿宋_GBK" w:eastAsia="方正仿宋_GBK" w:cs="方正仿宋_GBK"/>
          <w:b/>
          <w:color w:val="000000"/>
          <w:sz w:val="28"/>
        </w:rPr>
        <w:t>163、县级配套/资助/家庭经济困难生活补助（小学）绩效目标表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62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63AE6">
            <w:pPr>
              <w:pStyle w:val="14"/>
            </w:pPr>
            <w:r>
              <w:t>单位：万元</w:t>
            </w:r>
          </w:p>
        </w:tc>
      </w:tr>
      <w:tr w14:paraId="716D1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F264F">
            <w:pPr>
              <w:pStyle w:val="11"/>
            </w:pPr>
            <w:r>
              <w:t>项目编码</w:t>
            </w:r>
          </w:p>
        </w:tc>
        <w:tc>
          <w:tcPr>
            <w:tcW w:w="5103" w:type="dxa"/>
            <w:gridSpan w:val="2"/>
            <w:vAlign w:val="center"/>
          </w:tcPr>
          <w:p w14:paraId="53DEA0C7">
            <w:pPr>
              <w:pStyle w:val="13"/>
            </w:pPr>
            <w:r>
              <w:t>13052525P00001010002P</w:t>
            </w:r>
          </w:p>
        </w:tc>
        <w:tc>
          <w:tcPr>
            <w:tcW w:w="2835" w:type="dxa"/>
            <w:vAlign w:val="center"/>
          </w:tcPr>
          <w:p w14:paraId="2D6E0A1E">
            <w:pPr>
              <w:pStyle w:val="11"/>
            </w:pPr>
            <w:r>
              <w:t>项目名称</w:t>
            </w:r>
          </w:p>
        </w:tc>
        <w:tc>
          <w:tcPr>
            <w:tcW w:w="6095" w:type="dxa"/>
            <w:gridSpan w:val="3"/>
            <w:vAlign w:val="center"/>
          </w:tcPr>
          <w:p w14:paraId="7A545872">
            <w:pPr>
              <w:pStyle w:val="13"/>
            </w:pPr>
            <w:r>
              <w:t>县级配套/资助/家庭经济困难生活补助（小学）</w:t>
            </w:r>
          </w:p>
        </w:tc>
      </w:tr>
      <w:tr w14:paraId="70E64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78A19">
            <w:pPr>
              <w:pStyle w:val="11"/>
            </w:pPr>
            <w:r>
              <w:t>预算规模及资金用途</w:t>
            </w:r>
          </w:p>
        </w:tc>
        <w:tc>
          <w:tcPr>
            <w:tcW w:w="2268" w:type="dxa"/>
            <w:vAlign w:val="center"/>
          </w:tcPr>
          <w:p w14:paraId="71EBD189">
            <w:pPr>
              <w:pStyle w:val="11"/>
            </w:pPr>
            <w:r>
              <w:t>预算数</w:t>
            </w:r>
          </w:p>
        </w:tc>
        <w:tc>
          <w:tcPr>
            <w:tcW w:w="2835" w:type="dxa"/>
            <w:vAlign w:val="center"/>
          </w:tcPr>
          <w:p w14:paraId="02656103">
            <w:pPr>
              <w:pStyle w:val="13"/>
            </w:pPr>
            <w:r>
              <w:t>63.84</w:t>
            </w:r>
          </w:p>
        </w:tc>
        <w:tc>
          <w:tcPr>
            <w:tcW w:w="2835" w:type="dxa"/>
            <w:vAlign w:val="center"/>
          </w:tcPr>
          <w:p w14:paraId="54BF6C8B">
            <w:pPr>
              <w:pStyle w:val="11"/>
            </w:pPr>
            <w:r>
              <w:t>其中：财政    资金</w:t>
            </w:r>
          </w:p>
        </w:tc>
        <w:tc>
          <w:tcPr>
            <w:tcW w:w="2551" w:type="dxa"/>
            <w:vAlign w:val="center"/>
          </w:tcPr>
          <w:p w14:paraId="4E831897">
            <w:pPr>
              <w:pStyle w:val="13"/>
            </w:pPr>
            <w:r>
              <w:t>63.84</w:t>
            </w:r>
          </w:p>
        </w:tc>
        <w:tc>
          <w:tcPr>
            <w:tcW w:w="2268" w:type="dxa"/>
            <w:vAlign w:val="center"/>
          </w:tcPr>
          <w:p w14:paraId="40D3763E">
            <w:pPr>
              <w:pStyle w:val="11"/>
            </w:pPr>
            <w:r>
              <w:t>其他资金</w:t>
            </w:r>
          </w:p>
        </w:tc>
        <w:tc>
          <w:tcPr>
            <w:tcW w:w="1276" w:type="dxa"/>
            <w:vAlign w:val="center"/>
          </w:tcPr>
          <w:p w14:paraId="16145EA0">
            <w:pPr>
              <w:pStyle w:val="13"/>
            </w:pPr>
            <w:r>
              <w:t xml:space="preserve"> </w:t>
            </w:r>
          </w:p>
        </w:tc>
      </w:tr>
      <w:tr w14:paraId="35ECF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2579D"/>
        </w:tc>
        <w:tc>
          <w:tcPr>
            <w:tcW w:w="14033" w:type="dxa"/>
            <w:gridSpan w:val="6"/>
            <w:vAlign w:val="center"/>
          </w:tcPr>
          <w:p w14:paraId="63806268">
            <w:pPr>
              <w:pStyle w:val="13"/>
            </w:pPr>
            <w:r>
              <w:t>保障落实建档立卡及家庭经济困难学生资助所需资金，确保建档立卡等家庭经济困难学生优先获得资助</w:t>
            </w:r>
          </w:p>
        </w:tc>
      </w:tr>
      <w:tr w14:paraId="48CBE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0A870">
            <w:pPr>
              <w:pStyle w:val="11"/>
            </w:pPr>
            <w:r>
              <w:t>资金支出计划（%）</w:t>
            </w:r>
          </w:p>
        </w:tc>
        <w:tc>
          <w:tcPr>
            <w:tcW w:w="5103" w:type="dxa"/>
            <w:gridSpan w:val="2"/>
            <w:vAlign w:val="center"/>
          </w:tcPr>
          <w:p w14:paraId="009880B5">
            <w:pPr>
              <w:pStyle w:val="11"/>
            </w:pPr>
            <w:r>
              <w:t>3月底</w:t>
            </w:r>
          </w:p>
        </w:tc>
        <w:tc>
          <w:tcPr>
            <w:tcW w:w="2835" w:type="dxa"/>
            <w:vAlign w:val="center"/>
          </w:tcPr>
          <w:p w14:paraId="67574010">
            <w:pPr>
              <w:pStyle w:val="11"/>
            </w:pPr>
            <w:r>
              <w:t>6月底</w:t>
            </w:r>
          </w:p>
        </w:tc>
        <w:tc>
          <w:tcPr>
            <w:tcW w:w="2551" w:type="dxa"/>
            <w:vAlign w:val="center"/>
          </w:tcPr>
          <w:p w14:paraId="7397553B">
            <w:pPr>
              <w:pStyle w:val="11"/>
            </w:pPr>
            <w:r>
              <w:t>10月底</w:t>
            </w:r>
          </w:p>
        </w:tc>
        <w:tc>
          <w:tcPr>
            <w:tcW w:w="3544" w:type="dxa"/>
            <w:gridSpan w:val="2"/>
            <w:vAlign w:val="center"/>
          </w:tcPr>
          <w:p w14:paraId="5DA2874B">
            <w:pPr>
              <w:pStyle w:val="11"/>
            </w:pPr>
            <w:r>
              <w:t>12月底</w:t>
            </w:r>
          </w:p>
        </w:tc>
      </w:tr>
      <w:tr w14:paraId="2B101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34965"/>
        </w:tc>
        <w:tc>
          <w:tcPr>
            <w:tcW w:w="5103" w:type="dxa"/>
            <w:gridSpan w:val="2"/>
            <w:vAlign w:val="center"/>
          </w:tcPr>
          <w:p w14:paraId="710D6034">
            <w:pPr>
              <w:pStyle w:val="12"/>
            </w:pPr>
            <w:r>
              <w:t xml:space="preserve"> </w:t>
            </w:r>
          </w:p>
        </w:tc>
        <w:tc>
          <w:tcPr>
            <w:tcW w:w="2835" w:type="dxa"/>
            <w:vAlign w:val="center"/>
          </w:tcPr>
          <w:p w14:paraId="315F329A">
            <w:pPr>
              <w:pStyle w:val="12"/>
            </w:pPr>
            <w:r>
              <w:t xml:space="preserve"> </w:t>
            </w:r>
          </w:p>
        </w:tc>
        <w:tc>
          <w:tcPr>
            <w:tcW w:w="2551" w:type="dxa"/>
            <w:vAlign w:val="center"/>
          </w:tcPr>
          <w:p w14:paraId="2664B462">
            <w:pPr>
              <w:pStyle w:val="12"/>
            </w:pPr>
            <w:r>
              <w:t xml:space="preserve"> </w:t>
            </w:r>
          </w:p>
        </w:tc>
        <w:tc>
          <w:tcPr>
            <w:tcW w:w="3544" w:type="dxa"/>
            <w:gridSpan w:val="2"/>
            <w:vAlign w:val="center"/>
          </w:tcPr>
          <w:p w14:paraId="442B54CF">
            <w:pPr>
              <w:pStyle w:val="12"/>
            </w:pPr>
            <w:r>
              <w:t>100%</w:t>
            </w:r>
          </w:p>
        </w:tc>
      </w:tr>
      <w:tr w14:paraId="014C0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2094DB">
            <w:pPr>
              <w:pStyle w:val="11"/>
            </w:pPr>
            <w:r>
              <w:t>绩效目标</w:t>
            </w:r>
          </w:p>
        </w:tc>
        <w:tc>
          <w:tcPr>
            <w:tcW w:w="14033" w:type="dxa"/>
            <w:gridSpan w:val="6"/>
            <w:vAlign w:val="center"/>
          </w:tcPr>
          <w:p w14:paraId="60C7FE99">
            <w:pPr>
              <w:pStyle w:val="13"/>
            </w:pPr>
            <w:r>
              <w:t>1.保障落实建档立卡及家庭经济困难学生资助所需资金，确保建档立卡等家庭经济困难学生优先获得资助.</w:t>
            </w:r>
          </w:p>
        </w:tc>
      </w:tr>
    </w:tbl>
    <w:p w14:paraId="77AE1C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A8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4ECFA">
            <w:pPr>
              <w:pStyle w:val="11"/>
            </w:pPr>
            <w:r>
              <w:t>一级指标</w:t>
            </w:r>
          </w:p>
        </w:tc>
        <w:tc>
          <w:tcPr>
            <w:tcW w:w="2268" w:type="dxa"/>
            <w:vAlign w:val="center"/>
          </w:tcPr>
          <w:p w14:paraId="1DAE1891">
            <w:pPr>
              <w:pStyle w:val="11"/>
            </w:pPr>
            <w:r>
              <w:t>二级指标</w:t>
            </w:r>
          </w:p>
        </w:tc>
        <w:tc>
          <w:tcPr>
            <w:tcW w:w="2835" w:type="dxa"/>
            <w:vAlign w:val="center"/>
          </w:tcPr>
          <w:p w14:paraId="76C1F5D4">
            <w:pPr>
              <w:pStyle w:val="11"/>
            </w:pPr>
            <w:r>
              <w:t>三级指标</w:t>
            </w:r>
          </w:p>
        </w:tc>
        <w:tc>
          <w:tcPr>
            <w:tcW w:w="5386" w:type="dxa"/>
            <w:vAlign w:val="center"/>
          </w:tcPr>
          <w:p w14:paraId="620AFEE2">
            <w:pPr>
              <w:pStyle w:val="11"/>
            </w:pPr>
            <w:r>
              <w:t>绩效指标描述</w:t>
            </w:r>
          </w:p>
        </w:tc>
        <w:tc>
          <w:tcPr>
            <w:tcW w:w="2268" w:type="dxa"/>
            <w:vAlign w:val="center"/>
          </w:tcPr>
          <w:p w14:paraId="389E59C8">
            <w:pPr>
              <w:pStyle w:val="11"/>
            </w:pPr>
            <w:r>
              <w:t>指标值</w:t>
            </w:r>
          </w:p>
        </w:tc>
        <w:tc>
          <w:tcPr>
            <w:tcW w:w="1276" w:type="dxa"/>
            <w:vAlign w:val="center"/>
          </w:tcPr>
          <w:p w14:paraId="5C17A5B7">
            <w:pPr>
              <w:pStyle w:val="11"/>
            </w:pPr>
            <w:r>
              <w:t>指标值确定依据</w:t>
            </w:r>
          </w:p>
        </w:tc>
      </w:tr>
      <w:tr w14:paraId="04DE0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B64DB">
            <w:pPr>
              <w:pStyle w:val="12"/>
            </w:pPr>
            <w:r>
              <w:t>产出指标</w:t>
            </w:r>
          </w:p>
        </w:tc>
        <w:tc>
          <w:tcPr>
            <w:tcW w:w="2268" w:type="dxa"/>
            <w:vAlign w:val="center"/>
          </w:tcPr>
          <w:p w14:paraId="3775DD9B">
            <w:pPr>
              <w:pStyle w:val="13"/>
            </w:pPr>
            <w:r>
              <w:t>数量指标</w:t>
            </w:r>
          </w:p>
        </w:tc>
        <w:tc>
          <w:tcPr>
            <w:tcW w:w="2835" w:type="dxa"/>
            <w:vAlign w:val="center"/>
          </w:tcPr>
          <w:p w14:paraId="768B4AC8">
            <w:pPr>
              <w:pStyle w:val="13"/>
            </w:pPr>
            <w:r>
              <w:t>家庭经济困难资助比例</w:t>
            </w:r>
          </w:p>
        </w:tc>
        <w:tc>
          <w:tcPr>
            <w:tcW w:w="5386" w:type="dxa"/>
            <w:vAlign w:val="center"/>
          </w:tcPr>
          <w:p w14:paraId="4DA1F1DB">
            <w:pPr>
              <w:pStyle w:val="13"/>
            </w:pPr>
            <w:r>
              <w:t>寄宿生按义教在校生15%测算，2071人，非寄宿生按义教在校生3%测算，965人</w:t>
            </w:r>
          </w:p>
        </w:tc>
        <w:tc>
          <w:tcPr>
            <w:tcW w:w="2268" w:type="dxa"/>
            <w:vAlign w:val="center"/>
          </w:tcPr>
          <w:p w14:paraId="69251660">
            <w:pPr>
              <w:pStyle w:val="13"/>
            </w:pPr>
            <w:r>
              <w:t>3036人</w:t>
            </w:r>
          </w:p>
        </w:tc>
        <w:tc>
          <w:tcPr>
            <w:tcW w:w="1276" w:type="dxa"/>
            <w:vAlign w:val="center"/>
          </w:tcPr>
          <w:p w14:paraId="5E03631C">
            <w:pPr>
              <w:pStyle w:val="13"/>
            </w:pPr>
            <w:r>
              <w:t>城乡义务教育“两免一补”资助实施细则</w:t>
            </w:r>
          </w:p>
        </w:tc>
      </w:tr>
      <w:tr w14:paraId="1EC5E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57D7C"/>
        </w:tc>
        <w:tc>
          <w:tcPr>
            <w:tcW w:w="2268" w:type="dxa"/>
            <w:vAlign w:val="center"/>
          </w:tcPr>
          <w:p w14:paraId="3584EC67">
            <w:pPr>
              <w:pStyle w:val="13"/>
            </w:pPr>
            <w:r>
              <w:t>质量指标</w:t>
            </w:r>
          </w:p>
        </w:tc>
        <w:tc>
          <w:tcPr>
            <w:tcW w:w="2835" w:type="dxa"/>
            <w:vAlign w:val="center"/>
          </w:tcPr>
          <w:p w14:paraId="758C3031">
            <w:pPr>
              <w:pStyle w:val="13"/>
            </w:pPr>
            <w:r>
              <w:t>义务教育资助制度落实情况</w:t>
            </w:r>
          </w:p>
        </w:tc>
        <w:tc>
          <w:tcPr>
            <w:tcW w:w="5386" w:type="dxa"/>
            <w:vAlign w:val="center"/>
          </w:tcPr>
          <w:p w14:paraId="6C5FFD39">
            <w:pPr>
              <w:pStyle w:val="13"/>
            </w:pPr>
            <w:r>
              <w:t>符合享受资助条件的学生应助尽助</w:t>
            </w:r>
          </w:p>
        </w:tc>
        <w:tc>
          <w:tcPr>
            <w:tcW w:w="2268" w:type="dxa"/>
            <w:vAlign w:val="center"/>
          </w:tcPr>
          <w:p w14:paraId="0A41777A">
            <w:pPr>
              <w:pStyle w:val="13"/>
            </w:pPr>
            <w:r>
              <w:t>≥100%</w:t>
            </w:r>
          </w:p>
        </w:tc>
        <w:tc>
          <w:tcPr>
            <w:tcW w:w="1276" w:type="dxa"/>
            <w:vAlign w:val="center"/>
          </w:tcPr>
          <w:p w14:paraId="3E8694BB">
            <w:pPr>
              <w:pStyle w:val="13"/>
            </w:pPr>
            <w:r>
              <w:t>城乡义务教育“两免一补”资助实施细则</w:t>
            </w:r>
          </w:p>
        </w:tc>
      </w:tr>
      <w:tr w14:paraId="114D1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C5AA4"/>
        </w:tc>
        <w:tc>
          <w:tcPr>
            <w:tcW w:w="2268" w:type="dxa"/>
            <w:vAlign w:val="center"/>
          </w:tcPr>
          <w:p w14:paraId="3AB98FD4">
            <w:pPr>
              <w:pStyle w:val="13"/>
            </w:pPr>
            <w:r>
              <w:t>时效指标</w:t>
            </w:r>
          </w:p>
        </w:tc>
        <w:tc>
          <w:tcPr>
            <w:tcW w:w="2835" w:type="dxa"/>
            <w:vAlign w:val="center"/>
          </w:tcPr>
          <w:p w14:paraId="47D914E6">
            <w:pPr>
              <w:pStyle w:val="13"/>
            </w:pPr>
            <w:r>
              <w:t>资金拨付率</w:t>
            </w:r>
          </w:p>
        </w:tc>
        <w:tc>
          <w:tcPr>
            <w:tcW w:w="5386" w:type="dxa"/>
            <w:vAlign w:val="center"/>
          </w:tcPr>
          <w:p w14:paraId="18B65B9F">
            <w:pPr>
              <w:pStyle w:val="13"/>
            </w:pPr>
            <w:r>
              <w:t>所有项目资金支付进度</w:t>
            </w:r>
          </w:p>
        </w:tc>
        <w:tc>
          <w:tcPr>
            <w:tcW w:w="2268" w:type="dxa"/>
            <w:vAlign w:val="center"/>
          </w:tcPr>
          <w:p w14:paraId="7969B4DD">
            <w:pPr>
              <w:pStyle w:val="13"/>
            </w:pPr>
            <w:r>
              <w:t>≥100%</w:t>
            </w:r>
          </w:p>
        </w:tc>
        <w:tc>
          <w:tcPr>
            <w:tcW w:w="1276" w:type="dxa"/>
            <w:vAlign w:val="center"/>
          </w:tcPr>
          <w:p w14:paraId="589F3FE3">
            <w:pPr>
              <w:pStyle w:val="13"/>
            </w:pPr>
            <w:r>
              <w:t>城乡义务教育“两免一补”资助实施细则</w:t>
            </w:r>
          </w:p>
        </w:tc>
      </w:tr>
      <w:tr w14:paraId="02EC3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D175B"/>
        </w:tc>
        <w:tc>
          <w:tcPr>
            <w:tcW w:w="2268" w:type="dxa"/>
            <w:vAlign w:val="center"/>
          </w:tcPr>
          <w:p w14:paraId="5DC45BB6">
            <w:pPr>
              <w:pStyle w:val="13"/>
            </w:pPr>
            <w:r>
              <w:t>成本指标</w:t>
            </w:r>
          </w:p>
        </w:tc>
        <w:tc>
          <w:tcPr>
            <w:tcW w:w="2835" w:type="dxa"/>
            <w:vAlign w:val="center"/>
          </w:tcPr>
          <w:p w14:paraId="2F738D74">
            <w:pPr>
              <w:pStyle w:val="13"/>
            </w:pPr>
            <w:r>
              <w:t>家庭经济困难寄宿及非寄四类学生补助标准</w:t>
            </w:r>
          </w:p>
        </w:tc>
        <w:tc>
          <w:tcPr>
            <w:tcW w:w="5386" w:type="dxa"/>
            <w:vAlign w:val="center"/>
          </w:tcPr>
          <w:p w14:paraId="4F82D527">
            <w:pPr>
              <w:pStyle w:val="13"/>
            </w:pPr>
            <w:r>
              <w:t>小学寄宿：标准1250元/生/学年，小学非寄宿：标准625元/生/学年</w:t>
            </w:r>
          </w:p>
        </w:tc>
        <w:tc>
          <w:tcPr>
            <w:tcW w:w="2268" w:type="dxa"/>
            <w:vAlign w:val="center"/>
          </w:tcPr>
          <w:p w14:paraId="274226EE">
            <w:pPr>
              <w:pStyle w:val="13"/>
            </w:pPr>
            <w:r>
              <w:t>638375元</w:t>
            </w:r>
          </w:p>
        </w:tc>
        <w:tc>
          <w:tcPr>
            <w:tcW w:w="1276" w:type="dxa"/>
            <w:vAlign w:val="center"/>
          </w:tcPr>
          <w:p w14:paraId="10168034">
            <w:pPr>
              <w:pStyle w:val="13"/>
            </w:pPr>
            <w:r>
              <w:t>城乡义务教育“两免一补”资助实施细则</w:t>
            </w:r>
          </w:p>
        </w:tc>
      </w:tr>
      <w:tr w14:paraId="40DE3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F4A1AA">
            <w:pPr>
              <w:pStyle w:val="12"/>
            </w:pPr>
            <w:r>
              <w:t>效益指标</w:t>
            </w:r>
          </w:p>
        </w:tc>
        <w:tc>
          <w:tcPr>
            <w:tcW w:w="2268" w:type="dxa"/>
            <w:vAlign w:val="center"/>
          </w:tcPr>
          <w:p w14:paraId="16709B39">
            <w:pPr>
              <w:pStyle w:val="13"/>
            </w:pPr>
            <w:r>
              <w:t>可持续影响指标</w:t>
            </w:r>
          </w:p>
        </w:tc>
        <w:tc>
          <w:tcPr>
            <w:tcW w:w="2835" w:type="dxa"/>
            <w:vAlign w:val="center"/>
          </w:tcPr>
          <w:p w14:paraId="4F262210">
            <w:pPr>
              <w:pStyle w:val="13"/>
            </w:pPr>
            <w:r>
              <w:t>教育发展水平明显好转</w:t>
            </w:r>
          </w:p>
        </w:tc>
        <w:tc>
          <w:tcPr>
            <w:tcW w:w="5386" w:type="dxa"/>
            <w:vAlign w:val="center"/>
          </w:tcPr>
          <w:p w14:paraId="3B485F1D">
            <w:pPr>
              <w:pStyle w:val="13"/>
            </w:pPr>
            <w:r>
              <w:t>学生受教育年限</w:t>
            </w:r>
          </w:p>
        </w:tc>
        <w:tc>
          <w:tcPr>
            <w:tcW w:w="2268" w:type="dxa"/>
            <w:vAlign w:val="center"/>
          </w:tcPr>
          <w:p w14:paraId="011FE6C1">
            <w:pPr>
              <w:pStyle w:val="13"/>
            </w:pPr>
            <w:r>
              <w:t>6年</w:t>
            </w:r>
          </w:p>
        </w:tc>
        <w:tc>
          <w:tcPr>
            <w:tcW w:w="1276" w:type="dxa"/>
            <w:vAlign w:val="center"/>
          </w:tcPr>
          <w:p w14:paraId="3A8FBF69">
            <w:pPr>
              <w:pStyle w:val="13"/>
            </w:pPr>
            <w:r>
              <w:t>城乡义务教育“两免一补”资助实施细则</w:t>
            </w:r>
          </w:p>
        </w:tc>
      </w:tr>
      <w:tr w14:paraId="4C7A2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B0EF8">
            <w:pPr>
              <w:pStyle w:val="12"/>
            </w:pPr>
            <w:r>
              <w:t>满意度指标</w:t>
            </w:r>
          </w:p>
        </w:tc>
        <w:tc>
          <w:tcPr>
            <w:tcW w:w="2268" w:type="dxa"/>
            <w:vAlign w:val="center"/>
          </w:tcPr>
          <w:p w14:paraId="679286F8">
            <w:pPr>
              <w:pStyle w:val="13"/>
            </w:pPr>
            <w:r>
              <w:t>服务对象满意度指标</w:t>
            </w:r>
          </w:p>
        </w:tc>
        <w:tc>
          <w:tcPr>
            <w:tcW w:w="2835" w:type="dxa"/>
            <w:vAlign w:val="center"/>
          </w:tcPr>
          <w:p w14:paraId="64932429">
            <w:pPr>
              <w:pStyle w:val="13"/>
            </w:pPr>
            <w:r>
              <w:t>受益学生家长及调查满意度</w:t>
            </w:r>
          </w:p>
        </w:tc>
        <w:tc>
          <w:tcPr>
            <w:tcW w:w="5386" w:type="dxa"/>
            <w:vAlign w:val="center"/>
          </w:tcPr>
          <w:p w14:paraId="332AB966">
            <w:pPr>
              <w:pStyle w:val="13"/>
            </w:pPr>
            <w:r>
              <w:t>学生、教师及家长对学校保教保育工作满意度情况</w:t>
            </w:r>
          </w:p>
        </w:tc>
        <w:tc>
          <w:tcPr>
            <w:tcW w:w="2268" w:type="dxa"/>
            <w:vAlign w:val="center"/>
          </w:tcPr>
          <w:p w14:paraId="1D2764F2">
            <w:pPr>
              <w:pStyle w:val="13"/>
            </w:pPr>
            <w:r>
              <w:t>≥95%</w:t>
            </w:r>
          </w:p>
        </w:tc>
        <w:tc>
          <w:tcPr>
            <w:tcW w:w="1276" w:type="dxa"/>
            <w:vAlign w:val="center"/>
          </w:tcPr>
          <w:p w14:paraId="5F063C49">
            <w:pPr>
              <w:pStyle w:val="13"/>
            </w:pPr>
            <w:r>
              <w:t>调查问卷</w:t>
            </w:r>
          </w:p>
        </w:tc>
      </w:tr>
    </w:tbl>
    <w:p w14:paraId="59D38A50">
      <w:pPr>
        <w:sectPr>
          <w:pgSz w:w="16840" w:h="11900" w:orient="landscape"/>
          <w:pgMar w:top="1361" w:right="1020" w:bottom="1134" w:left="1020" w:header="720" w:footer="720" w:gutter="0"/>
          <w:cols w:space="720" w:num="1"/>
        </w:sectPr>
      </w:pPr>
    </w:p>
    <w:p w14:paraId="0DC54457">
      <w:pPr>
        <w:spacing w:before="0" w:after="0"/>
        <w:ind w:firstLine="560"/>
        <w:jc w:val="left"/>
        <w:outlineLvl w:val="9"/>
      </w:pPr>
      <w:r>
        <w:rPr>
          <w:rFonts w:ascii="方正仿宋_GBK" w:hAnsi="方正仿宋_GBK" w:eastAsia="方正仿宋_GBK" w:cs="方正仿宋_GBK"/>
          <w:b/>
          <w:color w:val="000000"/>
          <w:sz w:val="28"/>
        </w:rPr>
        <w:t>164、县级配套/资助/普通高中助学金（唐尧中学）绩效目标表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13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86838">
            <w:pPr>
              <w:pStyle w:val="14"/>
            </w:pPr>
            <w:r>
              <w:t>单位：万元</w:t>
            </w:r>
          </w:p>
        </w:tc>
      </w:tr>
      <w:tr w14:paraId="06974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DE978">
            <w:pPr>
              <w:pStyle w:val="11"/>
            </w:pPr>
            <w:r>
              <w:t>项目编码</w:t>
            </w:r>
          </w:p>
        </w:tc>
        <w:tc>
          <w:tcPr>
            <w:tcW w:w="5103" w:type="dxa"/>
            <w:gridSpan w:val="2"/>
            <w:vAlign w:val="center"/>
          </w:tcPr>
          <w:p w14:paraId="431E58DF">
            <w:pPr>
              <w:pStyle w:val="13"/>
            </w:pPr>
            <w:r>
              <w:t>13052525P00001210004A</w:t>
            </w:r>
          </w:p>
        </w:tc>
        <w:tc>
          <w:tcPr>
            <w:tcW w:w="2835" w:type="dxa"/>
            <w:vAlign w:val="center"/>
          </w:tcPr>
          <w:p w14:paraId="41437CBF">
            <w:pPr>
              <w:pStyle w:val="11"/>
            </w:pPr>
            <w:r>
              <w:t>项目名称</w:t>
            </w:r>
          </w:p>
        </w:tc>
        <w:tc>
          <w:tcPr>
            <w:tcW w:w="6095" w:type="dxa"/>
            <w:gridSpan w:val="3"/>
            <w:vAlign w:val="center"/>
          </w:tcPr>
          <w:p w14:paraId="4E7C69D8">
            <w:pPr>
              <w:pStyle w:val="13"/>
            </w:pPr>
            <w:r>
              <w:t>县级配套/资助/普通高中助学金（唐尧中学）</w:t>
            </w:r>
            <w:r>
              <w:tab/>
            </w:r>
          </w:p>
        </w:tc>
      </w:tr>
      <w:tr w14:paraId="3C4AD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DAB88">
            <w:pPr>
              <w:pStyle w:val="11"/>
            </w:pPr>
            <w:r>
              <w:t>预算规模及资金用途</w:t>
            </w:r>
          </w:p>
        </w:tc>
        <w:tc>
          <w:tcPr>
            <w:tcW w:w="2268" w:type="dxa"/>
            <w:vAlign w:val="center"/>
          </w:tcPr>
          <w:p w14:paraId="125E4DCC">
            <w:pPr>
              <w:pStyle w:val="11"/>
            </w:pPr>
            <w:r>
              <w:t>预算数</w:t>
            </w:r>
          </w:p>
        </w:tc>
        <w:tc>
          <w:tcPr>
            <w:tcW w:w="2835" w:type="dxa"/>
            <w:vAlign w:val="center"/>
          </w:tcPr>
          <w:p w14:paraId="3521EA03">
            <w:pPr>
              <w:pStyle w:val="13"/>
            </w:pPr>
            <w:r>
              <w:t>13.80</w:t>
            </w:r>
          </w:p>
        </w:tc>
        <w:tc>
          <w:tcPr>
            <w:tcW w:w="2835" w:type="dxa"/>
            <w:vAlign w:val="center"/>
          </w:tcPr>
          <w:p w14:paraId="4933E7BA">
            <w:pPr>
              <w:pStyle w:val="11"/>
            </w:pPr>
            <w:r>
              <w:t>其中：财政    资金</w:t>
            </w:r>
          </w:p>
        </w:tc>
        <w:tc>
          <w:tcPr>
            <w:tcW w:w="2551" w:type="dxa"/>
            <w:vAlign w:val="center"/>
          </w:tcPr>
          <w:p w14:paraId="1A20CC8E">
            <w:pPr>
              <w:pStyle w:val="13"/>
            </w:pPr>
            <w:r>
              <w:t>13.80</w:t>
            </w:r>
          </w:p>
        </w:tc>
        <w:tc>
          <w:tcPr>
            <w:tcW w:w="2268" w:type="dxa"/>
            <w:vAlign w:val="center"/>
          </w:tcPr>
          <w:p w14:paraId="2E4076CC">
            <w:pPr>
              <w:pStyle w:val="11"/>
            </w:pPr>
            <w:r>
              <w:t>其他资金</w:t>
            </w:r>
          </w:p>
        </w:tc>
        <w:tc>
          <w:tcPr>
            <w:tcW w:w="1276" w:type="dxa"/>
            <w:vAlign w:val="center"/>
          </w:tcPr>
          <w:p w14:paraId="07BA0DB6">
            <w:pPr>
              <w:pStyle w:val="13"/>
            </w:pPr>
            <w:r>
              <w:t xml:space="preserve"> </w:t>
            </w:r>
          </w:p>
        </w:tc>
      </w:tr>
      <w:tr w14:paraId="35224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EADB01"/>
        </w:tc>
        <w:tc>
          <w:tcPr>
            <w:tcW w:w="14033" w:type="dxa"/>
            <w:gridSpan w:val="6"/>
            <w:vAlign w:val="center"/>
          </w:tcPr>
          <w:p w14:paraId="70C05727">
            <w:pPr>
              <w:pStyle w:val="13"/>
            </w:pPr>
            <w:r>
              <w:t>深入宣传学生资助政策，落实河北省普通高中国家助学金管理办法</w:t>
            </w:r>
          </w:p>
        </w:tc>
      </w:tr>
      <w:tr w14:paraId="20424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279FF">
            <w:pPr>
              <w:pStyle w:val="11"/>
            </w:pPr>
            <w:r>
              <w:t>资金支出计划（%）</w:t>
            </w:r>
          </w:p>
        </w:tc>
        <w:tc>
          <w:tcPr>
            <w:tcW w:w="5103" w:type="dxa"/>
            <w:gridSpan w:val="2"/>
            <w:vAlign w:val="center"/>
          </w:tcPr>
          <w:p w14:paraId="23A4E88C">
            <w:pPr>
              <w:pStyle w:val="11"/>
            </w:pPr>
            <w:r>
              <w:t>3月底</w:t>
            </w:r>
          </w:p>
        </w:tc>
        <w:tc>
          <w:tcPr>
            <w:tcW w:w="2835" w:type="dxa"/>
            <w:vAlign w:val="center"/>
          </w:tcPr>
          <w:p w14:paraId="7B430D9E">
            <w:pPr>
              <w:pStyle w:val="11"/>
            </w:pPr>
            <w:r>
              <w:t>6月底</w:t>
            </w:r>
          </w:p>
        </w:tc>
        <w:tc>
          <w:tcPr>
            <w:tcW w:w="2551" w:type="dxa"/>
            <w:vAlign w:val="center"/>
          </w:tcPr>
          <w:p w14:paraId="08CC36D3">
            <w:pPr>
              <w:pStyle w:val="11"/>
            </w:pPr>
            <w:r>
              <w:t>10月底</w:t>
            </w:r>
          </w:p>
        </w:tc>
        <w:tc>
          <w:tcPr>
            <w:tcW w:w="3544" w:type="dxa"/>
            <w:gridSpan w:val="2"/>
            <w:vAlign w:val="center"/>
          </w:tcPr>
          <w:p w14:paraId="075F19B2">
            <w:pPr>
              <w:pStyle w:val="11"/>
            </w:pPr>
            <w:r>
              <w:t>12月底</w:t>
            </w:r>
          </w:p>
        </w:tc>
      </w:tr>
      <w:tr w14:paraId="4708C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655D54"/>
        </w:tc>
        <w:tc>
          <w:tcPr>
            <w:tcW w:w="5103" w:type="dxa"/>
            <w:gridSpan w:val="2"/>
            <w:vAlign w:val="center"/>
          </w:tcPr>
          <w:p w14:paraId="611DD69E">
            <w:pPr>
              <w:pStyle w:val="12"/>
            </w:pPr>
            <w:r>
              <w:t xml:space="preserve"> </w:t>
            </w:r>
          </w:p>
        </w:tc>
        <w:tc>
          <w:tcPr>
            <w:tcW w:w="2835" w:type="dxa"/>
            <w:vAlign w:val="center"/>
          </w:tcPr>
          <w:p w14:paraId="0FD44540">
            <w:pPr>
              <w:pStyle w:val="12"/>
            </w:pPr>
            <w:r>
              <w:t xml:space="preserve"> </w:t>
            </w:r>
          </w:p>
        </w:tc>
        <w:tc>
          <w:tcPr>
            <w:tcW w:w="2551" w:type="dxa"/>
            <w:vAlign w:val="center"/>
          </w:tcPr>
          <w:p w14:paraId="688BCB95">
            <w:pPr>
              <w:pStyle w:val="12"/>
            </w:pPr>
            <w:r>
              <w:t xml:space="preserve"> </w:t>
            </w:r>
          </w:p>
        </w:tc>
        <w:tc>
          <w:tcPr>
            <w:tcW w:w="3544" w:type="dxa"/>
            <w:gridSpan w:val="2"/>
            <w:vAlign w:val="center"/>
          </w:tcPr>
          <w:p w14:paraId="739B1B3F">
            <w:pPr>
              <w:pStyle w:val="12"/>
            </w:pPr>
            <w:r>
              <w:t>100%</w:t>
            </w:r>
          </w:p>
        </w:tc>
      </w:tr>
      <w:tr w14:paraId="4E174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506AF">
            <w:pPr>
              <w:pStyle w:val="11"/>
            </w:pPr>
            <w:r>
              <w:t>绩效目标</w:t>
            </w:r>
          </w:p>
        </w:tc>
        <w:tc>
          <w:tcPr>
            <w:tcW w:w="14033" w:type="dxa"/>
            <w:gridSpan w:val="6"/>
            <w:vAlign w:val="center"/>
          </w:tcPr>
          <w:p w14:paraId="069B87D5">
            <w:pPr>
              <w:pStyle w:val="13"/>
            </w:pPr>
            <w:r>
              <w:t>1.深入宣传学生资助政策，落实河北省普通高中国家助学金管理办法</w:t>
            </w:r>
            <w:r>
              <w:tab/>
            </w:r>
            <w:r>
              <w:tab/>
            </w:r>
            <w:r>
              <w:tab/>
            </w:r>
            <w:r>
              <w:tab/>
            </w:r>
            <w:r>
              <w:tab/>
            </w:r>
            <w:r>
              <w:tab/>
            </w:r>
          </w:p>
        </w:tc>
      </w:tr>
    </w:tbl>
    <w:p w14:paraId="18239D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84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6CEF9">
            <w:pPr>
              <w:pStyle w:val="11"/>
            </w:pPr>
            <w:r>
              <w:t>一级指标</w:t>
            </w:r>
          </w:p>
        </w:tc>
        <w:tc>
          <w:tcPr>
            <w:tcW w:w="2268" w:type="dxa"/>
            <w:vAlign w:val="center"/>
          </w:tcPr>
          <w:p w14:paraId="18E5D8B2">
            <w:pPr>
              <w:pStyle w:val="11"/>
            </w:pPr>
            <w:r>
              <w:t>二级指标</w:t>
            </w:r>
          </w:p>
        </w:tc>
        <w:tc>
          <w:tcPr>
            <w:tcW w:w="2835" w:type="dxa"/>
            <w:vAlign w:val="center"/>
          </w:tcPr>
          <w:p w14:paraId="3D981DB0">
            <w:pPr>
              <w:pStyle w:val="11"/>
            </w:pPr>
            <w:r>
              <w:t>三级指标</w:t>
            </w:r>
          </w:p>
        </w:tc>
        <w:tc>
          <w:tcPr>
            <w:tcW w:w="5386" w:type="dxa"/>
            <w:vAlign w:val="center"/>
          </w:tcPr>
          <w:p w14:paraId="019636A0">
            <w:pPr>
              <w:pStyle w:val="11"/>
            </w:pPr>
            <w:r>
              <w:t>绩效指标描述</w:t>
            </w:r>
          </w:p>
        </w:tc>
        <w:tc>
          <w:tcPr>
            <w:tcW w:w="2268" w:type="dxa"/>
            <w:vAlign w:val="center"/>
          </w:tcPr>
          <w:p w14:paraId="38CC7EA3">
            <w:pPr>
              <w:pStyle w:val="11"/>
            </w:pPr>
            <w:r>
              <w:t>指标值</w:t>
            </w:r>
          </w:p>
        </w:tc>
        <w:tc>
          <w:tcPr>
            <w:tcW w:w="1276" w:type="dxa"/>
            <w:vAlign w:val="center"/>
          </w:tcPr>
          <w:p w14:paraId="24820E89">
            <w:pPr>
              <w:pStyle w:val="11"/>
            </w:pPr>
            <w:r>
              <w:t>指标值确定依据</w:t>
            </w:r>
          </w:p>
        </w:tc>
      </w:tr>
      <w:tr w14:paraId="270F2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A09B9">
            <w:pPr>
              <w:pStyle w:val="12"/>
            </w:pPr>
            <w:r>
              <w:t>产出指标</w:t>
            </w:r>
          </w:p>
        </w:tc>
        <w:tc>
          <w:tcPr>
            <w:tcW w:w="2268" w:type="dxa"/>
            <w:vAlign w:val="center"/>
          </w:tcPr>
          <w:p w14:paraId="34E5B036">
            <w:pPr>
              <w:pStyle w:val="13"/>
            </w:pPr>
            <w:r>
              <w:t>数量指标</w:t>
            </w:r>
          </w:p>
        </w:tc>
        <w:tc>
          <w:tcPr>
            <w:tcW w:w="2835" w:type="dxa"/>
            <w:vAlign w:val="center"/>
          </w:tcPr>
          <w:p w14:paraId="3CF09765">
            <w:pPr>
              <w:pStyle w:val="13"/>
            </w:pPr>
            <w:r>
              <w:t>高中经济困难资助比例</w:t>
            </w:r>
          </w:p>
        </w:tc>
        <w:tc>
          <w:tcPr>
            <w:tcW w:w="5386" w:type="dxa"/>
            <w:vAlign w:val="center"/>
          </w:tcPr>
          <w:p w14:paraId="24981393">
            <w:pPr>
              <w:pStyle w:val="13"/>
            </w:pPr>
            <w:r>
              <w:t>按在校生18%测算</w:t>
            </w:r>
          </w:p>
        </w:tc>
        <w:tc>
          <w:tcPr>
            <w:tcW w:w="2268" w:type="dxa"/>
            <w:vAlign w:val="center"/>
          </w:tcPr>
          <w:p w14:paraId="1AA29A6B">
            <w:pPr>
              <w:pStyle w:val="13"/>
            </w:pPr>
            <w:r>
              <w:t>300人</w:t>
            </w:r>
          </w:p>
        </w:tc>
        <w:tc>
          <w:tcPr>
            <w:tcW w:w="1276" w:type="dxa"/>
            <w:vAlign w:val="center"/>
          </w:tcPr>
          <w:p w14:paraId="431871D5">
            <w:pPr>
              <w:pStyle w:val="13"/>
            </w:pPr>
            <w:r>
              <w:t>普通高中国家助学金管理办法</w:t>
            </w:r>
          </w:p>
        </w:tc>
      </w:tr>
      <w:tr w14:paraId="6090F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1273A2D7"/>
        </w:tc>
        <w:tc>
          <w:tcPr>
            <w:tcW w:w="2268" w:type="dxa"/>
            <w:vAlign w:val="center"/>
          </w:tcPr>
          <w:p w14:paraId="520290A9">
            <w:pPr>
              <w:pStyle w:val="13"/>
            </w:pPr>
            <w:r>
              <w:t>质量指标</w:t>
            </w:r>
          </w:p>
        </w:tc>
        <w:tc>
          <w:tcPr>
            <w:tcW w:w="2835" w:type="dxa"/>
            <w:vAlign w:val="center"/>
          </w:tcPr>
          <w:p w14:paraId="2FD4D590">
            <w:pPr>
              <w:pStyle w:val="13"/>
            </w:pPr>
            <w:r>
              <w:t>高中助学金资助制度落实情况</w:t>
            </w:r>
          </w:p>
        </w:tc>
        <w:tc>
          <w:tcPr>
            <w:tcW w:w="5386" w:type="dxa"/>
            <w:vAlign w:val="center"/>
          </w:tcPr>
          <w:p w14:paraId="7D0427AF">
            <w:pPr>
              <w:pStyle w:val="13"/>
            </w:pPr>
            <w:r>
              <w:t>符合享受资助条件的学生应助尽助</w:t>
            </w:r>
          </w:p>
        </w:tc>
        <w:tc>
          <w:tcPr>
            <w:tcW w:w="2268" w:type="dxa"/>
            <w:vAlign w:val="center"/>
          </w:tcPr>
          <w:p w14:paraId="2787B4EF">
            <w:pPr>
              <w:pStyle w:val="13"/>
            </w:pPr>
            <w:r>
              <w:t>≥100%</w:t>
            </w:r>
          </w:p>
        </w:tc>
        <w:tc>
          <w:tcPr>
            <w:tcW w:w="1276" w:type="dxa"/>
            <w:vAlign w:val="center"/>
          </w:tcPr>
          <w:p w14:paraId="4A88B182">
            <w:pPr>
              <w:pStyle w:val="13"/>
            </w:pPr>
            <w:r>
              <w:t>普通高中国家助学金管理办法</w:t>
            </w:r>
          </w:p>
        </w:tc>
      </w:tr>
      <w:tr w14:paraId="02827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A655E"/>
        </w:tc>
        <w:tc>
          <w:tcPr>
            <w:tcW w:w="2268" w:type="dxa"/>
            <w:vAlign w:val="center"/>
          </w:tcPr>
          <w:p w14:paraId="7B3F4497">
            <w:pPr>
              <w:pStyle w:val="13"/>
            </w:pPr>
            <w:r>
              <w:t>时效指标</w:t>
            </w:r>
          </w:p>
        </w:tc>
        <w:tc>
          <w:tcPr>
            <w:tcW w:w="2835" w:type="dxa"/>
            <w:vAlign w:val="center"/>
          </w:tcPr>
          <w:p w14:paraId="462B41DD">
            <w:pPr>
              <w:pStyle w:val="13"/>
            </w:pPr>
            <w:r>
              <w:t>资金拨付率</w:t>
            </w:r>
          </w:p>
        </w:tc>
        <w:tc>
          <w:tcPr>
            <w:tcW w:w="5386" w:type="dxa"/>
            <w:vAlign w:val="center"/>
          </w:tcPr>
          <w:p w14:paraId="5A90A5A3">
            <w:pPr>
              <w:pStyle w:val="13"/>
            </w:pPr>
            <w:r>
              <w:t>资助资金支付进度</w:t>
            </w:r>
          </w:p>
        </w:tc>
        <w:tc>
          <w:tcPr>
            <w:tcW w:w="2268" w:type="dxa"/>
            <w:vAlign w:val="center"/>
          </w:tcPr>
          <w:p w14:paraId="38279011">
            <w:pPr>
              <w:pStyle w:val="13"/>
            </w:pPr>
            <w:r>
              <w:t>≥100%</w:t>
            </w:r>
          </w:p>
        </w:tc>
        <w:tc>
          <w:tcPr>
            <w:tcW w:w="1276" w:type="dxa"/>
            <w:vAlign w:val="center"/>
          </w:tcPr>
          <w:p w14:paraId="49B780E0">
            <w:pPr>
              <w:pStyle w:val="13"/>
            </w:pPr>
            <w:r>
              <w:t>普通高中国家助学金管理办法</w:t>
            </w:r>
          </w:p>
        </w:tc>
      </w:tr>
      <w:tr w14:paraId="4F5A9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95C46"/>
        </w:tc>
        <w:tc>
          <w:tcPr>
            <w:tcW w:w="2268" w:type="dxa"/>
            <w:vAlign w:val="center"/>
          </w:tcPr>
          <w:p w14:paraId="329AD4B4">
            <w:pPr>
              <w:pStyle w:val="13"/>
            </w:pPr>
            <w:r>
              <w:t>成本指标</w:t>
            </w:r>
          </w:p>
        </w:tc>
        <w:tc>
          <w:tcPr>
            <w:tcW w:w="2835" w:type="dxa"/>
            <w:vAlign w:val="center"/>
          </w:tcPr>
          <w:p w14:paraId="17EA5854">
            <w:pPr>
              <w:pStyle w:val="13"/>
            </w:pPr>
            <w:r>
              <w:t>高中家庭经济困难学生补助标准</w:t>
            </w:r>
          </w:p>
        </w:tc>
        <w:tc>
          <w:tcPr>
            <w:tcW w:w="5386" w:type="dxa"/>
            <w:vAlign w:val="center"/>
          </w:tcPr>
          <w:p w14:paraId="30811C57">
            <w:pPr>
              <w:pStyle w:val="13"/>
            </w:pPr>
            <w:r>
              <w:t>标准2300元/生/学年。</w:t>
            </w:r>
          </w:p>
        </w:tc>
        <w:tc>
          <w:tcPr>
            <w:tcW w:w="2268" w:type="dxa"/>
            <w:vAlign w:val="center"/>
          </w:tcPr>
          <w:p w14:paraId="16E03384">
            <w:pPr>
              <w:pStyle w:val="13"/>
            </w:pPr>
            <w:r>
              <w:t>2300元</w:t>
            </w:r>
          </w:p>
        </w:tc>
        <w:tc>
          <w:tcPr>
            <w:tcW w:w="1276" w:type="dxa"/>
            <w:vAlign w:val="center"/>
          </w:tcPr>
          <w:p w14:paraId="46472862">
            <w:pPr>
              <w:pStyle w:val="13"/>
            </w:pPr>
            <w:r>
              <w:t>普通高中国家助学金管理办法</w:t>
            </w:r>
          </w:p>
        </w:tc>
      </w:tr>
      <w:tr w14:paraId="430EA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1EFB0F">
            <w:pPr>
              <w:pStyle w:val="12"/>
            </w:pPr>
            <w:r>
              <w:t>效益指标</w:t>
            </w:r>
          </w:p>
        </w:tc>
        <w:tc>
          <w:tcPr>
            <w:tcW w:w="2268" w:type="dxa"/>
            <w:vAlign w:val="center"/>
          </w:tcPr>
          <w:p w14:paraId="171013C4">
            <w:pPr>
              <w:pStyle w:val="13"/>
            </w:pPr>
            <w:r>
              <w:t>可持续影响指标</w:t>
            </w:r>
          </w:p>
        </w:tc>
        <w:tc>
          <w:tcPr>
            <w:tcW w:w="2835" w:type="dxa"/>
            <w:vAlign w:val="center"/>
          </w:tcPr>
          <w:p w14:paraId="79EF5E20">
            <w:pPr>
              <w:pStyle w:val="13"/>
            </w:pPr>
            <w:r>
              <w:t>学校办学能力提升</w:t>
            </w:r>
          </w:p>
        </w:tc>
        <w:tc>
          <w:tcPr>
            <w:tcW w:w="5386" w:type="dxa"/>
            <w:vAlign w:val="center"/>
          </w:tcPr>
          <w:p w14:paraId="783AB77E">
            <w:pPr>
              <w:pStyle w:val="13"/>
            </w:pPr>
            <w:r>
              <w:t>学校办学能力、提升入学率</w:t>
            </w:r>
          </w:p>
        </w:tc>
        <w:tc>
          <w:tcPr>
            <w:tcW w:w="2268" w:type="dxa"/>
            <w:vAlign w:val="center"/>
          </w:tcPr>
          <w:p w14:paraId="32F99C0B">
            <w:pPr>
              <w:pStyle w:val="13"/>
            </w:pPr>
            <w:r>
              <w:t>100%</w:t>
            </w:r>
          </w:p>
        </w:tc>
        <w:tc>
          <w:tcPr>
            <w:tcW w:w="1276" w:type="dxa"/>
            <w:vAlign w:val="center"/>
          </w:tcPr>
          <w:p w14:paraId="5530838A">
            <w:pPr>
              <w:pStyle w:val="13"/>
            </w:pPr>
            <w:r>
              <w:t>普通高中国家助学金管理办法</w:t>
            </w:r>
          </w:p>
        </w:tc>
      </w:tr>
      <w:tr w14:paraId="61C44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6EA295">
            <w:pPr>
              <w:pStyle w:val="12"/>
            </w:pPr>
            <w:r>
              <w:t>满意度指标</w:t>
            </w:r>
          </w:p>
        </w:tc>
        <w:tc>
          <w:tcPr>
            <w:tcW w:w="2268" w:type="dxa"/>
            <w:vAlign w:val="center"/>
          </w:tcPr>
          <w:p w14:paraId="17B10CEA">
            <w:pPr>
              <w:pStyle w:val="13"/>
            </w:pPr>
            <w:r>
              <w:t>服务对象满意度指标</w:t>
            </w:r>
          </w:p>
        </w:tc>
        <w:tc>
          <w:tcPr>
            <w:tcW w:w="2835" w:type="dxa"/>
            <w:vAlign w:val="center"/>
          </w:tcPr>
          <w:p w14:paraId="4F877045">
            <w:pPr>
              <w:pStyle w:val="13"/>
            </w:pPr>
            <w:r>
              <w:t>受益学生家长及调查满意度</w:t>
            </w:r>
          </w:p>
        </w:tc>
        <w:tc>
          <w:tcPr>
            <w:tcW w:w="5386" w:type="dxa"/>
            <w:vAlign w:val="center"/>
          </w:tcPr>
          <w:p w14:paraId="7B932EBB">
            <w:pPr>
              <w:pStyle w:val="13"/>
            </w:pPr>
            <w:r>
              <w:t>学生、教师及家长对学校保教保育工作满意度情况</w:t>
            </w:r>
          </w:p>
        </w:tc>
        <w:tc>
          <w:tcPr>
            <w:tcW w:w="2268" w:type="dxa"/>
            <w:vAlign w:val="center"/>
          </w:tcPr>
          <w:p w14:paraId="4C3C9BBA">
            <w:pPr>
              <w:pStyle w:val="13"/>
            </w:pPr>
            <w:r>
              <w:t>≥95%</w:t>
            </w:r>
          </w:p>
        </w:tc>
        <w:tc>
          <w:tcPr>
            <w:tcW w:w="1276" w:type="dxa"/>
            <w:vAlign w:val="center"/>
          </w:tcPr>
          <w:p w14:paraId="3EB8E73A">
            <w:pPr>
              <w:pStyle w:val="13"/>
            </w:pPr>
            <w:r>
              <w:t>调查问卷</w:t>
            </w:r>
          </w:p>
        </w:tc>
      </w:tr>
    </w:tbl>
    <w:p w14:paraId="1B01948B">
      <w:pPr>
        <w:sectPr>
          <w:pgSz w:w="16840" w:h="11900" w:orient="landscape"/>
          <w:pgMar w:top="1361" w:right="1020" w:bottom="1134" w:left="1020" w:header="720" w:footer="720" w:gutter="0"/>
          <w:cols w:space="720" w:num="1"/>
        </w:sectPr>
      </w:pPr>
    </w:p>
    <w:p w14:paraId="2B961314">
      <w:pPr>
        <w:spacing w:before="0" w:after="0"/>
        <w:ind w:firstLine="560"/>
        <w:jc w:val="left"/>
        <w:outlineLvl w:val="9"/>
      </w:pPr>
      <w:r>
        <w:rPr>
          <w:rFonts w:ascii="方正仿宋_GBK" w:hAnsi="方正仿宋_GBK" w:eastAsia="方正仿宋_GBK" w:cs="方正仿宋_GBK"/>
          <w:b/>
          <w:color w:val="000000"/>
          <w:sz w:val="28"/>
        </w:rPr>
        <w:t>165、县级配套/资助/普通高中助学金（文茂高中）绩效目标表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EA8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7FA80">
            <w:pPr>
              <w:pStyle w:val="14"/>
            </w:pPr>
            <w:r>
              <w:t>单位：万元</w:t>
            </w:r>
          </w:p>
        </w:tc>
      </w:tr>
      <w:tr w14:paraId="3F163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49DF6">
            <w:pPr>
              <w:pStyle w:val="11"/>
            </w:pPr>
            <w:r>
              <w:t>项目编码</w:t>
            </w:r>
          </w:p>
        </w:tc>
        <w:tc>
          <w:tcPr>
            <w:tcW w:w="5103" w:type="dxa"/>
            <w:gridSpan w:val="2"/>
            <w:vAlign w:val="center"/>
          </w:tcPr>
          <w:p w14:paraId="5865F15C">
            <w:pPr>
              <w:pStyle w:val="13"/>
            </w:pPr>
            <w:r>
              <w:t>13052525P00001210003N</w:t>
            </w:r>
          </w:p>
        </w:tc>
        <w:tc>
          <w:tcPr>
            <w:tcW w:w="2835" w:type="dxa"/>
            <w:vAlign w:val="center"/>
          </w:tcPr>
          <w:p w14:paraId="783184BC">
            <w:pPr>
              <w:pStyle w:val="11"/>
            </w:pPr>
            <w:r>
              <w:t>项目名称</w:t>
            </w:r>
          </w:p>
        </w:tc>
        <w:tc>
          <w:tcPr>
            <w:tcW w:w="6095" w:type="dxa"/>
            <w:gridSpan w:val="3"/>
            <w:vAlign w:val="center"/>
          </w:tcPr>
          <w:p w14:paraId="6CF90EE5">
            <w:pPr>
              <w:pStyle w:val="13"/>
            </w:pPr>
            <w:r>
              <w:t>县级配套/资助/普通高中助学金（文茂高中）</w:t>
            </w:r>
            <w:r>
              <w:tab/>
            </w:r>
          </w:p>
        </w:tc>
      </w:tr>
      <w:tr w14:paraId="11220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64E22">
            <w:pPr>
              <w:pStyle w:val="11"/>
            </w:pPr>
            <w:r>
              <w:t>预算规模及资金用途</w:t>
            </w:r>
          </w:p>
        </w:tc>
        <w:tc>
          <w:tcPr>
            <w:tcW w:w="2268" w:type="dxa"/>
            <w:vAlign w:val="center"/>
          </w:tcPr>
          <w:p w14:paraId="5F25F9AF">
            <w:pPr>
              <w:pStyle w:val="11"/>
            </w:pPr>
            <w:r>
              <w:t>预算数</w:t>
            </w:r>
          </w:p>
        </w:tc>
        <w:tc>
          <w:tcPr>
            <w:tcW w:w="2835" w:type="dxa"/>
            <w:vAlign w:val="center"/>
          </w:tcPr>
          <w:p w14:paraId="6B6D8DED">
            <w:pPr>
              <w:pStyle w:val="13"/>
            </w:pPr>
            <w:r>
              <w:t>17.11</w:t>
            </w:r>
          </w:p>
        </w:tc>
        <w:tc>
          <w:tcPr>
            <w:tcW w:w="2835" w:type="dxa"/>
            <w:vAlign w:val="center"/>
          </w:tcPr>
          <w:p w14:paraId="01AA80F5">
            <w:pPr>
              <w:pStyle w:val="11"/>
            </w:pPr>
            <w:r>
              <w:t>其中：财政    资金</w:t>
            </w:r>
          </w:p>
        </w:tc>
        <w:tc>
          <w:tcPr>
            <w:tcW w:w="2551" w:type="dxa"/>
            <w:vAlign w:val="center"/>
          </w:tcPr>
          <w:p w14:paraId="425F87EC">
            <w:pPr>
              <w:pStyle w:val="13"/>
            </w:pPr>
            <w:r>
              <w:t>17.11</w:t>
            </w:r>
          </w:p>
        </w:tc>
        <w:tc>
          <w:tcPr>
            <w:tcW w:w="2268" w:type="dxa"/>
            <w:vAlign w:val="center"/>
          </w:tcPr>
          <w:p w14:paraId="1327FE2F">
            <w:pPr>
              <w:pStyle w:val="11"/>
            </w:pPr>
            <w:r>
              <w:t>其他资金</w:t>
            </w:r>
          </w:p>
        </w:tc>
        <w:tc>
          <w:tcPr>
            <w:tcW w:w="1276" w:type="dxa"/>
            <w:vAlign w:val="center"/>
          </w:tcPr>
          <w:p w14:paraId="671242E7">
            <w:pPr>
              <w:pStyle w:val="13"/>
            </w:pPr>
            <w:r>
              <w:t xml:space="preserve"> </w:t>
            </w:r>
          </w:p>
        </w:tc>
      </w:tr>
      <w:tr w14:paraId="5E075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B051C"/>
        </w:tc>
        <w:tc>
          <w:tcPr>
            <w:tcW w:w="14033" w:type="dxa"/>
            <w:gridSpan w:val="6"/>
            <w:vAlign w:val="center"/>
          </w:tcPr>
          <w:p w14:paraId="08216B21">
            <w:pPr>
              <w:pStyle w:val="13"/>
            </w:pPr>
            <w:r>
              <w:t>深入宣传学生资助政策，落实河北省普通高中国家助学金管理办法</w:t>
            </w:r>
          </w:p>
        </w:tc>
      </w:tr>
      <w:tr w14:paraId="759C2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B163C">
            <w:pPr>
              <w:pStyle w:val="11"/>
            </w:pPr>
            <w:r>
              <w:t>资金支出计划（%）</w:t>
            </w:r>
          </w:p>
        </w:tc>
        <w:tc>
          <w:tcPr>
            <w:tcW w:w="5103" w:type="dxa"/>
            <w:gridSpan w:val="2"/>
            <w:vAlign w:val="center"/>
          </w:tcPr>
          <w:p w14:paraId="3C788523">
            <w:pPr>
              <w:pStyle w:val="11"/>
            </w:pPr>
            <w:r>
              <w:t>3月底</w:t>
            </w:r>
          </w:p>
        </w:tc>
        <w:tc>
          <w:tcPr>
            <w:tcW w:w="2835" w:type="dxa"/>
            <w:vAlign w:val="center"/>
          </w:tcPr>
          <w:p w14:paraId="1899A64F">
            <w:pPr>
              <w:pStyle w:val="11"/>
            </w:pPr>
            <w:r>
              <w:t>6月底</w:t>
            </w:r>
          </w:p>
        </w:tc>
        <w:tc>
          <w:tcPr>
            <w:tcW w:w="2551" w:type="dxa"/>
            <w:vAlign w:val="center"/>
          </w:tcPr>
          <w:p w14:paraId="182F236D">
            <w:pPr>
              <w:pStyle w:val="11"/>
            </w:pPr>
            <w:r>
              <w:t>10月底</w:t>
            </w:r>
          </w:p>
        </w:tc>
        <w:tc>
          <w:tcPr>
            <w:tcW w:w="3544" w:type="dxa"/>
            <w:gridSpan w:val="2"/>
            <w:vAlign w:val="center"/>
          </w:tcPr>
          <w:p w14:paraId="41BDB0DB">
            <w:pPr>
              <w:pStyle w:val="11"/>
            </w:pPr>
            <w:r>
              <w:t>12月底</w:t>
            </w:r>
          </w:p>
        </w:tc>
      </w:tr>
      <w:tr w14:paraId="68B61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8BDAA5"/>
        </w:tc>
        <w:tc>
          <w:tcPr>
            <w:tcW w:w="5103" w:type="dxa"/>
            <w:gridSpan w:val="2"/>
            <w:vAlign w:val="center"/>
          </w:tcPr>
          <w:p w14:paraId="53A51F7D">
            <w:pPr>
              <w:pStyle w:val="12"/>
            </w:pPr>
            <w:r>
              <w:t xml:space="preserve"> </w:t>
            </w:r>
          </w:p>
        </w:tc>
        <w:tc>
          <w:tcPr>
            <w:tcW w:w="2835" w:type="dxa"/>
            <w:vAlign w:val="center"/>
          </w:tcPr>
          <w:p w14:paraId="41BAF2DF">
            <w:pPr>
              <w:pStyle w:val="12"/>
            </w:pPr>
            <w:r>
              <w:t xml:space="preserve"> </w:t>
            </w:r>
          </w:p>
        </w:tc>
        <w:tc>
          <w:tcPr>
            <w:tcW w:w="2551" w:type="dxa"/>
            <w:vAlign w:val="center"/>
          </w:tcPr>
          <w:p w14:paraId="68887433">
            <w:pPr>
              <w:pStyle w:val="12"/>
            </w:pPr>
            <w:r>
              <w:t xml:space="preserve"> </w:t>
            </w:r>
          </w:p>
        </w:tc>
        <w:tc>
          <w:tcPr>
            <w:tcW w:w="3544" w:type="dxa"/>
            <w:gridSpan w:val="2"/>
            <w:vAlign w:val="center"/>
          </w:tcPr>
          <w:p w14:paraId="31365447">
            <w:pPr>
              <w:pStyle w:val="12"/>
            </w:pPr>
            <w:r>
              <w:t>100%</w:t>
            </w:r>
          </w:p>
        </w:tc>
      </w:tr>
      <w:tr w14:paraId="399AD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BA0EFA">
            <w:pPr>
              <w:pStyle w:val="11"/>
            </w:pPr>
            <w:r>
              <w:t>绩效目标</w:t>
            </w:r>
          </w:p>
        </w:tc>
        <w:tc>
          <w:tcPr>
            <w:tcW w:w="14033" w:type="dxa"/>
            <w:gridSpan w:val="6"/>
            <w:vAlign w:val="center"/>
          </w:tcPr>
          <w:p w14:paraId="1C13CFF8">
            <w:pPr>
              <w:pStyle w:val="13"/>
            </w:pPr>
            <w:r>
              <w:t>1.深入宣传学生资助政策，落实河北省普通高中国家助学金管理办法</w:t>
            </w:r>
          </w:p>
        </w:tc>
      </w:tr>
    </w:tbl>
    <w:p w14:paraId="516C4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6F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59167">
            <w:pPr>
              <w:pStyle w:val="11"/>
            </w:pPr>
            <w:r>
              <w:t>一级指标</w:t>
            </w:r>
          </w:p>
        </w:tc>
        <w:tc>
          <w:tcPr>
            <w:tcW w:w="2268" w:type="dxa"/>
            <w:vAlign w:val="center"/>
          </w:tcPr>
          <w:p w14:paraId="72933BFA">
            <w:pPr>
              <w:pStyle w:val="11"/>
            </w:pPr>
            <w:r>
              <w:t>二级指标</w:t>
            </w:r>
          </w:p>
        </w:tc>
        <w:tc>
          <w:tcPr>
            <w:tcW w:w="2835" w:type="dxa"/>
            <w:vAlign w:val="center"/>
          </w:tcPr>
          <w:p w14:paraId="4C78B314">
            <w:pPr>
              <w:pStyle w:val="11"/>
            </w:pPr>
            <w:r>
              <w:t>三级指标</w:t>
            </w:r>
          </w:p>
        </w:tc>
        <w:tc>
          <w:tcPr>
            <w:tcW w:w="5386" w:type="dxa"/>
            <w:vAlign w:val="center"/>
          </w:tcPr>
          <w:p w14:paraId="04125A1C">
            <w:pPr>
              <w:pStyle w:val="11"/>
            </w:pPr>
            <w:r>
              <w:t>绩效指标描述</w:t>
            </w:r>
          </w:p>
        </w:tc>
        <w:tc>
          <w:tcPr>
            <w:tcW w:w="2268" w:type="dxa"/>
            <w:vAlign w:val="center"/>
          </w:tcPr>
          <w:p w14:paraId="39E480C8">
            <w:pPr>
              <w:pStyle w:val="11"/>
            </w:pPr>
            <w:r>
              <w:t>指标值</w:t>
            </w:r>
          </w:p>
        </w:tc>
        <w:tc>
          <w:tcPr>
            <w:tcW w:w="1276" w:type="dxa"/>
            <w:vAlign w:val="center"/>
          </w:tcPr>
          <w:p w14:paraId="06ABBF29">
            <w:pPr>
              <w:pStyle w:val="11"/>
            </w:pPr>
            <w:r>
              <w:t>指标值确定依据</w:t>
            </w:r>
          </w:p>
        </w:tc>
      </w:tr>
      <w:tr w14:paraId="29BBD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4CE37">
            <w:pPr>
              <w:pStyle w:val="12"/>
            </w:pPr>
            <w:r>
              <w:t>产出指标</w:t>
            </w:r>
          </w:p>
        </w:tc>
        <w:tc>
          <w:tcPr>
            <w:tcW w:w="2268" w:type="dxa"/>
            <w:vAlign w:val="center"/>
          </w:tcPr>
          <w:p w14:paraId="5121F363">
            <w:pPr>
              <w:pStyle w:val="13"/>
            </w:pPr>
            <w:r>
              <w:t>数量指标</w:t>
            </w:r>
          </w:p>
        </w:tc>
        <w:tc>
          <w:tcPr>
            <w:tcW w:w="2835" w:type="dxa"/>
            <w:vAlign w:val="center"/>
          </w:tcPr>
          <w:p w14:paraId="638F20B7">
            <w:pPr>
              <w:pStyle w:val="13"/>
            </w:pPr>
            <w:r>
              <w:t>普通高中资助人数</w:t>
            </w:r>
          </w:p>
        </w:tc>
        <w:tc>
          <w:tcPr>
            <w:tcW w:w="5386" w:type="dxa"/>
            <w:vAlign w:val="center"/>
          </w:tcPr>
          <w:p w14:paraId="63DC0EA7">
            <w:pPr>
              <w:pStyle w:val="13"/>
            </w:pPr>
            <w:r>
              <w:t>普通高中助学受资助人数约占普通高中在校生总数的18%</w:t>
            </w:r>
          </w:p>
        </w:tc>
        <w:tc>
          <w:tcPr>
            <w:tcW w:w="2268" w:type="dxa"/>
            <w:vAlign w:val="center"/>
          </w:tcPr>
          <w:p w14:paraId="3CBA6571">
            <w:pPr>
              <w:pStyle w:val="13"/>
            </w:pPr>
            <w:r>
              <w:t>372人</w:t>
            </w:r>
          </w:p>
        </w:tc>
        <w:tc>
          <w:tcPr>
            <w:tcW w:w="1276" w:type="dxa"/>
            <w:vAlign w:val="center"/>
          </w:tcPr>
          <w:p w14:paraId="6E3E376B">
            <w:pPr>
              <w:pStyle w:val="13"/>
            </w:pPr>
            <w:r>
              <w:t>年度预算</w:t>
            </w:r>
          </w:p>
        </w:tc>
      </w:tr>
      <w:tr w14:paraId="3A436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08975"/>
        </w:tc>
        <w:tc>
          <w:tcPr>
            <w:tcW w:w="2268" w:type="dxa"/>
            <w:vAlign w:val="center"/>
          </w:tcPr>
          <w:p w14:paraId="02891199">
            <w:pPr>
              <w:pStyle w:val="13"/>
            </w:pPr>
            <w:r>
              <w:t>质量指标</w:t>
            </w:r>
          </w:p>
        </w:tc>
        <w:tc>
          <w:tcPr>
            <w:tcW w:w="2835" w:type="dxa"/>
            <w:vAlign w:val="center"/>
          </w:tcPr>
          <w:p w14:paraId="1265424C">
            <w:pPr>
              <w:pStyle w:val="13"/>
            </w:pPr>
            <w:r>
              <w:t>高中助学金资助制度落实情况</w:t>
            </w:r>
          </w:p>
        </w:tc>
        <w:tc>
          <w:tcPr>
            <w:tcW w:w="5386" w:type="dxa"/>
            <w:vAlign w:val="center"/>
          </w:tcPr>
          <w:p w14:paraId="5C399F83">
            <w:pPr>
              <w:pStyle w:val="13"/>
            </w:pPr>
            <w:r>
              <w:t>符合享受资助条件的学生应助尽助</w:t>
            </w:r>
          </w:p>
        </w:tc>
        <w:tc>
          <w:tcPr>
            <w:tcW w:w="2268" w:type="dxa"/>
            <w:vAlign w:val="center"/>
          </w:tcPr>
          <w:p w14:paraId="51D0E1F8">
            <w:pPr>
              <w:pStyle w:val="13"/>
            </w:pPr>
            <w:r>
              <w:t>≥100%</w:t>
            </w:r>
          </w:p>
        </w:tc>
        <w:tc>
          <w:tcPr>
            <w:tcW w:w="1276" w:type="dxa"/>
            <w:vAlign w:val="center"/>
          </w:tcPr>
          <w:p w14:paraId="441463E1">
            <w:pPr>
              <w:pStyle w:val="13"/>
            </w:pPr>
            <w:r>
              <w:t>【隆尧县中等职业学校国家助学金管理办法的通知】隆财【2018】105号，</w:t>
            </w:r>
          </w:p>
        </w:tc>
      </w:tr>
      <w:tr w14:paraId="68239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54A7B"/>
        </w:tc>
        <w:tc>
          <w:tcPr>
            <w:tcW w:w="2268" w:type="dxa"/>
            <w:vAlign w:val="center"/>
          </w:tcPr>
          <w:p w14:paraId="4A1903DC">
            <w:pPr>
              <w:pStyle w:val="13"/>
            </w:pPr>
            <w:r>
              <w:t>时效指标</w:t>
            </w:r>
          </w:p>
        </w:tc>
        <w:tc>
          <w:tcPr>
            <w:tcW w:w="2835" w:type="dxa"/>
            <w:vAlign w:val="center"/>
          </w:tcPr>
          <w:p w14:paraId="5A36059D">
            <w:pPr>
              <w:pStyle w:val="13"/>
            </w:pPr>
            <w:r>
              <w:t>资金拨付率</w:t>
            </w:r>
          </w:p>
        </w:tc>
        <w:tc>
          <w:tcPr>
            <w:tcW w:w="5386" w:type="dxa"/>
            <w:vAlign w:val="center"/>
          </w:tcPr>
          <w:p w14:paraId="5B21F408">
            <w:pPr>
              <w:pStyle w:val="13"/>
            </w:pPr>
            <w:r>
              <w:t>资助资金支付进度</w:t>
            </w:r>
          </w:p>
        </w:tc>
        <w:tc>
          <w:tcPr>
            <w:tcW w:w="2268" w:type="dxa"/>
            <w:vAlign w:val="center"/>
          </w:tcPr>
          <w:p w14:paraId="6CC9DB8B">
            <w:pPr>
              <w:pStyle w:val="13"/>
            </w:pPr>
            <w:r>
              <w:t>≥100%</w:t>
            </w:r>
          </w:p>
        </w:tc>
        <w:tc>
          <w:tcPr>
            <w:tcW w:w="1276" w:type="dxa"/>
            <w:vAlign w:val="center"/>
          </w:tcPr>
          <w:p w14:paraId="35AE253E">
            <w:pPr>
              <w:pStyle w:val="13"/>
            </w:pPr>
            <w:r>
              <w:t>隆尧县普通高中国家助学金管理办法</w:t>
            </w:r>
          </w:p>
        </w:tc>
      </w:tr>
      <w:tr w14:paraId="412E2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06D182D9"/>
        </w:tc>
        <w:tc>
          <w:tcPr>
            <w:tcW w:w="2268" w:type="dxa"/>
            <w:vAlign w:val="center"/>
          </w:tcPr>
          <w:p w14:paraId="2FC78CB9">
            <w:pPr>
              <w:pStyle w:val="13"/>
            </w:pPr>
            <w:r>
              <w:t>成本指标</w:t>
            </w:r>
          </w:p>
        </w:tc>
        <w:tc>
          <w:tcPr>
            <w:tcW w:w="2835" w:type="dxa"/>
            <w:vAlign w:val="center"/>
          </w:tcPr>
          <w:p w14:paraId="2C88AE5F">
            <w:pPr>
              <w:pStyle w:val="13"/>
            </w:pPr>
            <w:r>
              <w:t>普高国家助学金标准</w:t>
            </w:r>
          </w:p>
        </w:tc>
        <w:tc>
          <w:tcPr>
            <w:tcW w:w="5386" w:type="dxa"/>
            <w:vAlign w:val="center"/>
          </w:tcPr>
          <w:p w14:paraId="44CB50CC">
            <w:pPr>
              <w:pStyle w:val="13"/>
            </w:pPr>
            <w:r>
              <w:t>普高国家助学金资助标准2300元/生/年</w:t>
            </w:r>
          </w:p>
        </w:tc>
        <w:tc>
          <w:tcPr>
            <w:tcW w:w="2268" w:type="dxa"/>
            <w:vAlign w:val="center"/>
          </w:tcPr>
          <w:p w14:paraId="3062D24B">
            <w:pPr>
              <w:pStyle w:val="13"/>
            </w:pPr>
            <w:r>
              <w:t>2300元</w:t>
            </w:r>
          </w:p>
        </w:tc>
        <w:tc>
          <w:tcPr>
            <w:tcW w:w="1276" w:type="dxa"/>
            <w:vAlign w:val="center"/>
          </w:tcPr>
          <w:p w14:paraId="4633ECD3">
            <w:pPr>
              <w:pStyle w:val="13"/>
            </w:pPr>
            <w:r>
              <w:t>隆尧县普通高中国家助学金管理办法</w:t>
            </w:r>
          </w:p>
        </w:tc>
      </w:tr>
      <w:tr w14:paraId="0A811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75E40BF0">
            <w:pPr>
              <w:pStyle w:val="12"/>
            </w:pPr>
            <w:r>
              <w:t>效益指标</w:t>
            </w:r>
          </w:p>
        </w:tc>
        <w:tc>
          <w:tcPr>
            <w:tcW w:w="2268" w:type="dxa"/>
            <w:vAlign w:val="center"/>
          </w:tcPr>
          <w:p w14:paraId="64F689DD">
            <w:pPr>
              <w:pStyle w:val="13"/>
            </w:pPr>
            <w:r>
              <w:t>可持续影响指标</w:t>
            </w:r>
          </w:p>
        </w:tc>
        <w:tc>
          <w:tcPr>
            <w:tcW w:w="2835" w:type="dxa"/>
            <w:vAlign w:val="center"/>
          </w:tcPr>
          <w:p w14:paraId="7163B07A">
            <w:pPr>
              <w:pStyle w:val="13"/>
            </w:pPr>
            <w:r>
              <w:t>高中运转</w:t>
            </w:r>
          </w:p>
        </w:tc>
        <w:tc>
          <w:tcPr>
            <w:tcW w:w="5386" w:type="dxa"/>
            <w:vAlign w:val="center"/>
          </w:tcPr>
          <w:p w14:paraId="7CBFDAD8">
            <w:pPr>
              <w:pStyle w:val="13"/>
            </w:pPr>
            <w:r>
              <w:t>高中生受教育年限</w:t>
            </w:r>
          </w:p>
        </w:tc>
        <w:tc>
          <w:tcPr>
            <w:tcW w:w="2268" w:type="dxa"/>
            <w:vAlign w:val="center"/>
          </w:tcPr>
          <w:p w14:paraId="249838AE">
            <w:pPr>
              <w:pStyle w:val="13"/>
            </w:pPr>
            <w:r>
              <w:t>3年</w:t>
            </w:r>
          </w:p>
        </w:tc>
        <w:tc>
          <w:tcPr>
            <w:tcW w:w="1276" w:type="dxa"/>
            <w:vAlign w:val="center"/>
          </w:tcPr>
          <w:p w14:paraId="617B859A">
            <w:pPr>
              <w:pStyle w:val="13"/>
            </w:pPr>
            <w:r>
              <w:t>隆尧县普通高中国家助学金管理办法</w:t>
            </w:r>
          </w:p>
        </w:tc>
      </w:tr>
      <w:tr w14:paraId="788EE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097FDA">
            <w:pPr>
              <w:pStyle w:val="12"/>
            </w:pPr>
            <w:r>
              <w:t>满意度指标</w:t>
            </w:r>
          </w:p>
        </w:tc>
        <w:tc>
          <w:tcPr>
            <w:tcW w:w="2268" w:type="dxa"/>
            <w:vAlign w:val="center"/>
          </w:tcPr>
          <w:p w14:paraId="565ADBA1">
            <w:pPr>
              <w:pStyle w:val="13"/>
            </w:pPr>
            <w:r>
              <w:t>服务对象满意度指标</w:t>
            </w:r>
          </w:p>
        </w:tc>
        <w:tc>
          <w:tcPr>
            <w:tcW w:w="2835" w:type="dxa"/>
            <w:vAlign w:val="center"/>
          </w:tcPr>
          <w:p w14:paraId="70F409CF">
            <w:pPr>
              <w:pStyle w:val="13"/>
            </w:pPr>
            <w:r>
              <w:t>受益学生家长及调查满意度</w:t>
            </w:r>
          </w:p>
        </w:tc>
        <w:tc>
          <w:tcPr>
            <w:tcW w:w="5386" w:type="dxa"/>
            <w:vAlign w:val="center"/>
          </w:tcPr>
          <w:p w14:paraId="4B645433">
            <w:pPr>
              <w:pStyle w:val="13"/>
            </w:pPr>
            <w:r>
              <w:t>学生、教师及家长对学校保教保育工作满意度情况</w:t>
            </w:r>
          </w:p>
        </w:tc>
        <w:tc>
          <w:tcPr>
            <w:tcW w:w="2268" w:type="dxa"/>
            <w:vAlign w:val="center"/>
          </w:tcPr>
          <w:p w14:paraId="7E386777">
            <w:pPr>
              <w:pStyle w:val="13"/>
            </w:pPr>
            <w:r>
              <w:t>≥95%</w:t>
            </w:r>
          </w:p>
        </w:tc>
        <w:tc>
          <w:tcPr>
            <w:tcW w:w="1276" w:type="dxa"/>
            <w:vAlign w:val="center"/>
          </w:tcPr>
          <w:p w14:paraId="321BB36E">
            <w:pPr>
              <w:pStyle w:val="13"/>
            </w:pPr>
            <w:r>
              <w:t>调查问卷</w:t>
            </w:r>
          </w:p>
        </w:tc>
      </w:tr>
    </w:tbl>
    <w:p w14:paraId="79D93ADD">
      <w:pPr>
        <w:sectPr>
          <w:pgSz w:w="16840" w:h="11900" w:orient="landscape"/>
          <w:pgMar w:top="1361" w:right="1020" w:bottom="1134" w:left="1020" w:header="720" w:footer="720" w:gutter="0"/>
          <w:cols w:space="720" w:num="1"/>
        </w:sectPr>
      </w:pPr>
    </w:p>
    <w:p w14:paraId="7C00CB7B">
      <w:pPr>
        <w:spacing w:before="0" w:after="0"/>
        <w:ind w:firstLine="560"/>
        <w:jc w:val="left"/>
        <w:outlineLvl w:val="9"/>
      </w:pPr>
      <w:r>
        <w:rPr>
          <w:rFonts w:ascii="方正仿宋_GBK" w:hAnsi="方正仿宋_GBK" w:eastAsia="方正仿宋_GBK" w:cs="方正仿宋_GBK"/>
          <w:b/>
          <w:color w:val="000000"/>
          <w:sz w:val="28"/>
        </w:rPr>
        <w:t>166、县级配套/资助/中职助学金（东方中职）绩效目标表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FB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A4873">
            <w:pPr>
              <w:pStyle w:val="14"/>
            </w:pPr>
            <w:r>
              <w:t>单位：万元</w:t>
            </w:r>
          </w:p>
        </w:tc>
      </w:tr>
      <w:tr w14:paraId="3F478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15CAE">
            <w:pPr>
              <w:pStyle w:val="11"/>
            </w:pPr>
            <w:r>
              <w:t>项目编码</w:t>
            </w:r>
          </w:p>
        </w:tc>
        <w:tc>
          <w:tcPr>
            <w:tcW w:w="5103" w:type="dxa"/>
            <w:gridSpan w:val="2"/>
            <w:vAlign w:val="center"/>
          </w:tcPr>
          <w:p w14:paraId="78D56D25">
            <w:pPr>
              <w:pStyle w:val="13"/>
            </w:pPr>
            <w:r>
              <w:t>13052525P00001410002E</w:t>
            </w:r>
          </w:p>
        </w:tc>
        <w:tc>
          <w:tcPr>
            <w:tcW w:w="2835" w:type="dxa"/>
            <w:vAlign w:val="center"/>
          </w:tcPr>
          <w:p w14:paraId="61978361">
            <w:pPr>
              <w:pStyle w:val="11"/>
            </w:pPr>
            <w:r>
              <w:t>项目名称</w:t>
            </w:r>
          </w:p>
        </w:tc>
        <w:tc>
          <w:tcPr>
            <w:tcW w:w="6095" w:type="dxa"/>
            <w:gridSpan w:val="3"/>
            <w:vAlign w:val="center"/>
          </w:tcPr>
          <w:p w14:paraId="7D70DBF9">
            <w:pPr>
              <w:pStyle w:val="13"/>
            </w:pPr>
            <w:r>
              <w:t>县级配套/资助/中职助学金（东方中职）</w:t>
            </w:r>
          </w:p>
        </w:tc>
      </w:tr>
      <w:tr w14:paraId="5E3B7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FDF07">
            <w:pPr>
              <w:pStyle w:val="11"/>
            </w:pPr>
            <w:r>
              <w:t>预算规模及资金用途</w:t>
            </w:r>
          </w:p>
        </w:tc>
        <w:tc>
          <w:tcPr>
            <w:tcW w:w="2268" w:type="dxa"/>
            <w:vAlign w:val="center"/>
          </w:tcPr>
          <w:p w14:paraId="0E24CB53">
            <w:pPr>
              <w:pStyle w:val="11"/>
            </w:pPr>
            <w:r>
              <w:t>预算数</w:t>
            </w:r>
          </w:p>
        </w:tc>
        <w:tc>
          <w:tcPr>
            <w:tcW w:w="2835" w:type="dxa"/>
            <w:vAlign w:val="center"/>
          </w:tcPr>
          <w:p w14:paraId="3F3FB220">
            <w:pPr>
              <w:pStyle w:val="13"/>
            </w:pPr>
            <w:r>
              <w:t>0.55</w:t>
            </w:r>
          </w:p>
        </w:tc>
        <w:tc>
          <w:tcPr>
            <w:tcW w:w="2835" w:type="dxa"/>
            <w:vAlign w:val="center"/>
          </w:tcPr>
          <w:p w14:paraId="5DDEE08A">
            <w:pPr>
              <w:pStyle w:val="11"/>
            </w:pPr>
            <w:r>
              <w:t>其中：财政    资金</w:t>
            </w:r>
          </w:p>
        </w:tc>
        <w:tc>
          <w:tcPr>
            <w:tcW w:w="2551" w:type="dxa"/>
            <w:vAlign w:val="center"/>
          </w:tcPr>
          <w:p w14:paraId="3A2F449D">
            <w:pPr>
              <w:pStyle w:val="13"/>
            </w:pPr>
            <w:r>
              <w:t>0.55</w:t>
            </w:r>
          </w:p>
        </w:tc>
        <w:tc>
          <w:tcPr>
            <w:tcW w:w="2268" w:type="dxa"/>
            <w:vAlign w:val="center"/>
          </w:tcPr>
          <w:p w14:paraId="4F4AF7A1">
            <w:pPr>
              <w:pStyle w:val="11"/>
            </w:pPr>
            <w:r>
              <w:t>其他资金</w:t>
            </w:r>
          </w:p>
        </w:tc>
        <w:tc>
          <w:tcPr>
            <w:tcW w:w="1276" w:type="dxa"/>
            <w:vAlign w:val="center"/>
          </w:tcPr>
          <w:p w14:paraId="03235691">
            <w:pPr>
              <w:pStyle w:val="13"/>
            </w:pPr>
            <w:r>
              <w:t xml:space="preserve"> </w:t>
            </w:r>
          </w:p>
        </w:tc>
      </w:tr>
      <w:tr w14:paraId="2C322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C62BB"/>
        </w:tc>
        <w:tc>
          <w:tcPr>
            <w:tcW w:w="14033" w:type="dxa"/>
            <w:gridSpan w:val="6"/>
            <w:vAlign w:val="center"/>
          </w:tcPr>
          <w:p w14:paraId="72BF1A00">
            <w:pPr>
              <w:pStyle w:val="13"/>
            </w:pPr>
            <w:r>
              <w:t>增加中职招生吸引力，控制学生流失率下降，促进教育均衡发展</w:t>
            </w:r>
          </w:p>
        </w:tc>
      </w:tr>
      <w:tr w14:paraId="78FBE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3D058">
            <w:pPr>
              <w:pStyle w:val="11"/>
            </w:pPr>
            <w:r>
              <w:t>资金支出计划（%）</w:t>
            </w:r>
          </w:p>
        </w:tc>
        <w:tc>
          <w:tcPr>
            <w:tcW w:w="5103" w:type="dxa"/>
            <w:gridSpan w:val="2"/>
            <w:vAlign w:val="center"/>
          </w:tcPr>
          <w:p w14:paraId="113ED6ED">
            <w:pPr>
              <w:pStyle w:val="11"/>
            </w:pPr>
            <w:r>
              <w:t>3月底</w:t>
            </w:r>
          </w:p>
        </w:tc>
        <w:tc>
          <w:tcPr>
            <w:tcW w:w="2835" w:type="dxa"/>
            <w:vAlign w:val="center"/>
          </w:tcPr>
          <w:p w14:paraId="1FB343C6">
            <w:pPr>
              <w:pStyle w:val="11"/>
            </w:pPr>
            <w:r>
              <w:t>6月底</w:t>
            </w:r>
          </w:p>
        </w:tc>
        <w:tc>
          <w:tcPr>
            <w:tcW w:w="2551" w:type="dxa"/>
            <w:vAlign w:val="center"/>
          </w:tcPr>
          <w:p w14:paraId="0B806044">
            <w:pPr>
              <w:pStyle w:val="11"/>
            </w:pPr>
            <w:r>
              <w:t>10月底</w:t>
            </w:r>
          </w:p>
        </w:tc>
        <w:tc>
          <w:tcPr>
            <w:tcW w:w="3544" w:type="dxa"/>
            <w:gridSpan w:val="2"/>
            <w:vAlign w:val="center"/>
          </w:tcPr>
          <w:p w14:paraId="05128691">
            <w:pPr>
              <w:pStyle w:val="11"/>
            </w:pPr>
            <w:r>
              <w:t>12月底</w:t>
            </w:r>
          </w:p>
        </w:tc>
      </w:tr>
      <w:tr w14:paraId="5EE08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16BB9A"/>
        </w:tc>
        <w:tc>
          <w:tcPr>
            <w:tcW w:w="5103" w:type="dxa"/>
            <w:gridSpan w:val="2"/>
            <w:vAlign w:val="center"/>
          </w:tcPr>
          <w:p w14:paraId="51940448">
            <w:pPr>
              <w:pStyle w:val="12"/>
            </w:pPr>
            <w:r>
              <w:t xml:space="preserve"> </w:t>
            </w:r>
          </w:p>
        </w:tc>
        <w:tc>
          <w:tcPr>
            <w:tcW w:w="2835" w:type="dxa"/>
            <w:vAlign w:val="center"/>
          </w:tcPr>
          <w:p w14:paraId="103BA1E9">
            <w:pPr>
              <w:pStyle w:val="12"/>
            </w:pPr>
            <w:r>
              <w:t xml:space="preserve"> </w:t>
            </w:r>
          </w:p>
        </w:tc>
        <w:tc>
          <w:tcPr>
            <w:tcW w:w="2551" w:type="dxa"/>
            <w:vAlign w:val="center"/>
          </w:tcPr>
          <w:p w14:paraId="510571E3">
            <w:pPr>
              <w:pStyle w:val="12"/>
            </w:pPr>
            <w:r>
              <w:t xml:space="preserve"> </w:t>
            </w:r>
          </w:p>
        </w:tc>
        <w:tc>
          <w:tcPr>
            <w:tcW w:w="3544" w:type="dxa"/>
            <w:gridSpan w:val="2"/>
            <w:vAlign w:val="center"/>
          </w:tcPr>
          <w:p w14:paraId="778283F4">
            <w:pPr>
              <w:pStyle w:val="12"/>
            </w:pPr>
            <w:r>
              <w:t>100%</w:t>
            </w:r>
          </w:p>
        </w:tc>
      </w:tr>
      <w:tr w14:paraId="4B7CB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B78068">
            <w:pPr>
              <w:pStyle w:val="11"/>
            </w:pPr>
            <w:r>
              <w:t>绩效目标</w:t>
            </w:r>
          </w:p>
        </w:tc>
        <w:tc>
          <w:tcPr>
            <w:tcW w:w="14033" w:type="dxa"/>
            <w:gridSpan w:val="6"/>
            <w:vAlign w:val="center"/>
          </w:tcPr>
          <w:p w14:paraId="6AFEF3A8">
            <w:pPr>
              <w:pStyle w:val="13"/>
            </w:pPr>
            <w:r>
              <w:t>1.增加中职招生吸引力，控制学生流失率下降，促进教育均衡发展</w:t>
            </w:r>
            <w:r>
              <w:tab/>
            </w:r>
          </w:p>
        </w:tc>
      </w:tr>
    </w:tbl>
    <w:p w14:paraId="1A92D3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A0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A4E47">
            <w:pPr>
              <w:pStyle w:val="11"/>
            </w:pPr>
            <w:r>
              <w:t>一级指标</w:t>
            </w:r>
          </w:p>
        </w:tc>
        <w:tc>
          <w:tcPr>
            <w:tcW w:w="2268" w:type="dxa"/>
            <w:vAlign w:val="center"/>
          </w:tcPr>
          <w:p w14:paraId="57D9BE10">
            <w:pPr>
              <w:pStyle w:val="11"/>
            </w:pPr>
            <w:r>
              <w:t>二级指标</w:t>
            </w:r>
          </w:p>
        </w:tc>
        <w:tc>
          <w:tcPr>
            <w:tcW w:w="2835" w:type="dxa"/>
            <w:vAlign w:val="center"/>
          </w:tcPr>
          <w:p w14:paraId="4DBD7D74">
            <w:pPr>
              <w:pStyle w:val="11"/>
            </w:pPr>
            <w:r>
              <w:t>三级指标</w:t>
            </w:r>
          </w:p>
        </w:tc>
        <w:tc>
          <w:tcPr>
            <w:tcW w:w="5386" w:type="dxa"/>
            <w:vAlign w:val="center"/>
          </w:tcPr>
          <w:p w14:paraId="2D3665D2">
            <w:pPr>
              <w:pStyle w:val="11"/>
            </w:pPr>
            <w:r>
              <w:t>绩效指标描述</w:t>
            </w:r>
          </w:p>
        </w:tc>
        <w:tc>
          <w:tcPr>
            <w:tcW w:w="2268" w:type="dxa"/>
            <w:vAlign w:val="center"/>
          </w:tcPr>
          <w:p w14:paraId="2704C933">
            <w:pPr>
              <w:pStyle w:val="11"/>
            </w:pPr>
            <w:r>
              <w:t>指标值</w:t>
            </w:r>
          </w:p>
        </w:tc>
        <w:tc>
          <w:tcPr>
            <w:tcW w:w="1276" w:type="dxa"/>
            <w:vAlign w:val="center"/>
          </w:tcPr>
          <w:p w14:paraId="007DF88A">
            <w:pPr>
              <w:pStyle w:val="11"/>
            </w:pPr>
            <w:r>
              <w:t>指标值确定依据</w:t>
            </w:r>
          </w:p>
        </w:tc>
      </w:tr>
      <w:tr w14:paraId="6D056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6DECA">
            <w:pPr>
              <w:pStyle w:val="12"/>
            </w:pPr>
            <w:r>
              <w:t>产出指标</w:t>
            </w:r>
          </w:p>
        </w:tc>
        <w:tc>
          <w:tcPr>
            <w:tcW w:w="2268" w:type="dxa"/>
            <w:vAlign w:val="center"/>
          </w:tcPr>
          <w:p w14:paraId="52EF5315">
            <w:pPr>
              <w:pStyle w:val="13"/>
            </w:pPr>
            <w:r>
              <w:t>数量指标</w:t>
            </w:r>
          </w:p>
        </w:tc>
        <w:tc>
          <w:tcPr>
            <w:tcW w:w="2835" w:type="dxa"/>
            <w:vAlign w:val="center"/>
          </w:tcPr>
          <w:p w14:paraId="0AC5ADC5">
            <w:pPr>
              <w:pStyle w:val="13"/>
            </w:pPr>
            <w:r>
              <w:t>中职享受助学金人数</w:t>
            </w:r>
          </w:p>
        </w:tc>
        <w:tc>
          <w:tcPr>
            <w:tcW w:w="5386" w:type="dxa"/>
            <w:vAlign w:val="center"/>
          </w:tcPr>
          <w:p w14:paraId="051E2512">
            <w:pPr>
              <w:pStyle w:val="13"/>
            </w:pPr>
            <w:r>
              <w:t>中职享受助学金人数</w:t>
            </w:r>
          </w:p>
        </w:tc>
        <w:tc>
          <w:tcPr>
            <w:tcW w:w="2268" w:type="dxa"/>
            <w:vAlign w:val="center"/>
          </w:tcPr>
          <w:p w14:paraId="2106CD86">
            <w:pPr>
              <w:pStyle w:val="13"/>
            </w:pPr>
            <w:r>
              <w:t>12人</w:t>
            </w:r>
          </w:p>
        </w:tc>
        <w:tc>
          <w:tcPr>
            <w:tcW w:w="1276" w:type="dxa"/>
            <w:vAlign w:val="center"/>
          </w:tcPr>
          <w:p w14:paraId="160DADF6">
            <w:pPr>
              <w:pStyle w:val="13"/>
            </w:pPr>
            <w:r>
              <w:t>年度招生计划</w:t>
            </w:r>
          </w:p>
        </w:tc>
      </w:tr>
      <w:tr w14:paraId="63876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C3CEF"/>
        </w:tc>
        <w:tc>
          <w:tcPr>
            <w:tcW w:w="2268" w:type="dxa"/>
            <w:vAlign w:val="center"/>
          </w:tcPr>
          <w:p w14:paraId="35DBD9E7">
            <w:pPr>
              <w:pStyle w:val="13"/>
            </w:pPr>
            <w:r>
              <w:t>质量指标</w:t>
            </w:r>
          </w:p>
        </w:tc>
        <w:tc>
          <w:tcPr>
            <w:tcW w:w="2835" w:type="dxa"/>
            <w:vAlign w:val="center"/>
          </w:tcPr>
          <w:p w14:paraId="3D9E5BA7">
            <w:pPr>
              <w:pStyle w:val="13"/>
            </w:pPr>
            <w:r>
              <w:t>完成助学金发放工作</w:t>
            </w:r>
          </w:p>
        </w:tc>
        <w:tc>
          <w:tcPr>
            <w:tcW w:w="5386" w:type="dxa"/>
            <w:vAlign w:val="center"/>
          </w:tcPr>
          <w:p w14:paraId="2F600C56">
            <w:pPr>
              <w:pStyle w:val="13"/>
            </w:pPr>
            <w:r>
              <w:t>涉农专业学生及其他专业贫困生</w:t>
            </w:r>
          </w:p>
        </w:tc>
        <w:tc>
          <w:tcPr>
            <w:tcW w:w="2268" w:type="dxa"/>
            <w:vAlign w:val="center"/>
          </w:tcPr>
          <w:p w14:paraId="2E2856CB">
            <w:pPr>
              <w:pStyle w:val="13"/>
            </w:pPr>
            <w:r>
              <w:t>≥100%</w:t>
            </w:r>
          </w:p>
        </w:tc>
        <w:tc>
          <w:tcPr>
            <w:tcW w:w="1276" w:type="dxa"/>
            <w:vAlign w:val="center"/>
          </w:tcPr>
          <w:p w14:paraId="64DCC014">
            <w:pPr>
              <w:pStyle w:val="13"/>
            </w:pPr>
            <w:r>
              <w:t>冀财教【2024】103号</w:t>
            </w:r>
          </w:p>
        </w:tc>
      </w:tr>
      <w:tr w14:paraId="6FE7D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C6F63"/>
        </w:tc>
        <w:tc>
          <w:tcPr>
            <w:tcW w:w="2268" w:type="dxa"/>
            <w:vAlign w:val="center"/>
          </w:tcPr>
          <w:p w14:paraId="40E757B7">
            <w:pPr>
              <w:pStyle w:val="13"/>
            </w:pPr>
            <w:r>
              <w:t>时效指标</w:t>
            </w:r>
          </w:p>
        </w:tc>
        <w:tc>
          <w:tcPr>
            <w:tcW w:w="2835" w:type="dxa"/>
            <w:vAlign w:val="center"/>
          </w:tcPr>
          <w:p w14:paraId="0353E0DB">
            <w:pPr>
              <w:pStyle w:val="13"/>
            </w:pPr>
            <w:r>
              <w:t>助学金及时足额发放</w:t>
            </w:r>
          </w:p>
        </w:tc>
        <w:tc>
          <w:tcPr>
            <w:tcW w:w="5386" w:type="dxa"/>
            <w:vAlign w:val="center"/>
          </w:tcPr>
          <w:p w14:paraId="168CB59E">
            <w:pPr>
              <w:pStyle w:val="13"/>
            </w:pPr>
            <w:r>
              <w:t>助学金及时足额发放率</w:t>
            </w:r>
          </w:p>
        </w:tc>
        <w:tc>
          <w:tcPr>
            <w:tcW w:w="2268" w:type="dxa"/>
            <w:vAlign w:val="center"/>
          </w:tcPr>
          <w:p w14:paraId="4A831148">
            <w:pPr>
              <w:pStyle w:val="13"/>
            </w:pPr>
            <w:r>
              <w:t>≥100%</w:t>
            </w:r>
          </w:p>
        </w:tc>
        <w:tc>
          <w:tcPr>
            <w:tcW w:w="1276" w:type="dxa"/>
            <w:vAlign w:val="center"/>
          </w:tcPr>
          <w:p w14:paraId="6DC9A2F2">
            <w:pPr>
              <w:pStyle w:val="13"/>
            </w:pPr>
            <w:r>
              <w:t>冀财教【2024】103号</w:t>
            </w:r>
          </w:p>
        </w:tc>
      </w:tr>
      <w:tr w14:paraId="18CDE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1DC9F"/>
        </w:tc>
        <w:tc>
          <w:tcPr>
            <w:tcW w:w="2268" w:type="dxa"/>
            <w:vAlign w:val="center"/>
          </w:tcPr>
          <w:p w14:paraId="082AFD41">
            <w:pPr>
              <w:pStyle w:val="13"/>
            </w:pPr>
            <w:r>
              <w:t>成本指标</w:t>
            </w:r>
          </w:p>
        </w:tc>
        <w:tc>
          <w:tcPr>
            <w:tcW w:w="2835" w:type="dxa"/>
            <w:vAlign w:val="center"/>
          </w:tcPr>
          <w:p w14:paraId="23DC5E59">
            <w:pPr>
              <w:pStyle w:val="13"/>
            </w:pPr>
            <w:r>
              <w:t>中职助学金标准</w:t>
            </w:r>
          </w:p>
        </w:tc>
        <w:tc>
          <w:tcPr>
            <w:tcW w:w="5386" w:type="dxa"/>
            <w:vAlign w:val="center"/>
          </w:tcPr>
          <w:p w14:paraId="4400600B">
            <w:pPr>
              <w:pStyle w:val="13"/>
            </w:pPr>
            <w:r>
              <w:t>中职助学金资助标准2300/生/年</w:t>
            </w:r>
          </w:p>
        </w:tc>
        <w:tc>
          <w:tcPr>
            <w:tcW w:w="2268" w:type="dxa"/>
            <w:vAlign w:val="center"/>
          </w:tcPr>
          <w:p w14:paraId="168270E8">
            <w:pPr>
              <w:pStyle w:val="13"/>
            </w:pPr>
            <w:r>
              <w:t>2003元</w:t>
            </w:r>
          </w:p>
        </w:tc>
        <w:tc>
          <w:tcPr>
            <w:tcW w:w="1276" w:type="dxa"/>
            <w:vAlign w:val="center"/>
          </w:tcPr>
          <w:p w14:paraId="0D2910FC">
            <w:pPr>
              <w:pStyle w:val="13"/>
            </w:pPr>
            <w:r>
              <w:t>冀财教【2024】103号</w:t>
            </w:r>
          </w:p>
        </w:tc>
      </w:tr>
      <w:tr w14:paraId="0E18D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1006E">
            <w:pPr>
              <w:pStyle w:val="12"/>
            </w:pPr>
            <w:r>
              <w:t>效益指标</w:t>
            </w:r>
          </w:p>
        </w:tc>
        <w:tc>
          <w:tcPr>
            <w:tcW w:w="2268" w:type="dxa"/>
            <w:vAlign w:val="center"/>
          </w:tcPr>
          <w:p w14:paraId="060CECA1">
            <w:pPr>
              <w:pStyle w:val="13"/>
            </w:pPr>
            <w:r>
              <w:t>可持续影响指标</w:t>
            </w:r>
          </w:p>
        </w:tc>
        <w:tc>
          <w:tcPr>
            <w:tcW w:w="2835" w:type="dxa"/>
            <w:vAlign w:val="center"/>
          </w:tcPr>
          <w:p w14:paraId="693B2DC6">
            <w:pPr>
              <w:pStyle w:val="13"/>
            </w:pPr>
            <w:r>
              <w:t>中职学校运转</w:t>
            </w:r>
          </w:p>
        </w:tc>
        <w:tc>
          <w:tcPr>
            <w:tcW w:w="5386" w:type="dxa"/>
            <w:vAlign w:val="center"/>
          </w:tcPr>
          <w:p w14:paraId="035AB445">
            <w:pPr>
              <w:pStyle w:val="13"/>
            </w:pPr>
            <w:r>
              <w:t>中职受教育年限</w:t>
            </w:r>
          </w:p>
        </w:tc>
        <w:tc>
          <w:tcPr>
            <w:tcW w:w="2268" w:type="dxa"/>
            <w:vAlign w:val="center"/>
          </w:tcPr>
          <w:p w14:paraId="4C159AC4">
            <w:pPr>
              <w:pStyle w:val="13"/>
            </w:pPr>
            <w:r>
              <w:t>3年</w:t>
            </w:r>
          </w:p>
        </w:tc>
        <w:tc>
          <w:tcPr>
            <w:tcW w:w="1276" w:type="dxa"/>
            <w:vAlign w:val="center"/>
          </w:tcPr>
          <w:p w14:paraId="74B5116A">
            <w:pPr>
              <w:pStyle w:val="13"/>
            </w:pPr>
            <w:r>
              <w:t>冀财教【2024】103号</w:t>
            </w:r>
          </w:p>
        </w:tc>
      </w:tr>
      <w:tr w14:paraId="55331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AC0A8">
            <w:pPr>
              <w:pStyle w:val="12"/>
            </w:pPr>
            <w:r>
              <w:t>满意度指标</w:t>
            </w:r>
          </w:p>
        </w:tc>
        <w:tc>
          <w:tcPr>
            <w:tcW w:w="2268" w:type="dxa"/>
            <w:vAlign w:val="center"/>
          </w:tcPr>
          <w:p w14:paraId="1038046F">
            <w:pPr>
              <w:pStyle w:val="13"/>
            </w:pPr>
            <w:r>
              <w:t>服务对象满意度指标</w:t>
            </w:r>
          </w:p>
        </w:tc>
        <w:tc>
          <w:tcPr>
            <w:tcW w:w="2835" w:type="dxa"/>
            <w:vAlign w:val="center"/>
          </w:tcPr>
          <w:p w14:paraId="2F17457B">
            <w:pPr>
              <w:pStyle w:val="13"/>
            </w:pPr>
            <w:r>
              <w:t>提升幸福指数</w:t>
            </w:r>
          </w:p>
        </w:tc>
        <w:tc>
          <w:tcPr>
            <w:tcW w:w="5386" w:type="dxa"/>
            <w:vAlign w:val="center"/>
          </w:tcPr>
          <w:p w14:paraId="39543CAC">
            <w:pPr>
              <w:pStyle w:val="13"/>
            </w:pPr>
            <w:r>
              <w:t>提升建档立卡贫困家庭学生幸福指数</w:t>
            </w:r>
          </w:p>
          <w:p w14:paraId="00F5AB67">
            <w:pPr>
              <w:pStyle w:val="13"/>
            </w:pPr>
            <w:r>
              <w:t>家长学生满意</w:t>
            </w:r>
          </w:p>
        </w:tc>
        <w:tc>
          <w:tcPr>
            <w:tcW w:w="2268" w:type="dxa"/>
            <w:vAlign w:val="center"/>
          </w:tcPr>
          <w:p w14:paraId="7A7CF71D">
            <w:pPr>
              <w:pStyle w:val="13"/>
            </w:pPr>
            <w:r>
              <w:t>≥98%</w:t>
            </w:r>
          </w:p>
        </w:tc>
        <w:tc>
          <w:tcPr>
            <w:tcW w:w="1276" w:type="dxa"/>
            <w:vAlign w:val="center"/>
          </w:tcPr>
          <w:p w14:paraId="358E0083">
            <w:pPr>
              <w:pStyle w:val="13"/>
            </w:pPr>
            <w:r>
              <w:t xml:space="preserve"> 调查问卷</w:t>
            </w:r>
          </w:p>
        </w:tc>
      </w:tr>
    </w:tbl>
    <w:p w14:paraId="590C4D6D">
      <w:pPr>
        <w:sectPr>
          <w:pgSz w:w="16840" w:h="11900" w:orient="landscape"/>
          <w:pgMar w:top="1361" w:right="1020" w:bottom="1134" w:left="1020" w:header="720" w:footer="720" w:gutter="0"/>
          <w:cols w:space="720" w:num="1"/>
        </w:sectPr>
      </w:pPr>
    </w:p>
    <w:p w14:paraId="2BB9E951">
      <w:pPr>
        <w:spacing w:before="0" w:after="0"/>
        <w:ind w:firstLine="560"/>
        <w:jc w:val="left"/>
        <w:outlineLvl w:val="9"/>
      </w:pPr>
      <w:r>
        <w:rPr>
          <w:rFonts w:ascii="方正仿宋_GBK" w:hAnsi="方正仿宋_GBK" w:eastAsia="方正仿宋_GBK" w:cs="方正仿宋_GBK"/>
          <w:b/>
          <w:color w:val="000000"/>
          <w:sz w:val="28"/>
        </w:rPr>
        <w:t>167、县级配套/资助/中职助学金（文茂中职）绩效目标表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09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65272">
            <w:pPr>
              <w:pStyle w:val="14"/>
            </w:pPr>
            <w:r>
              <w:t>单位：万元</w:t>
            </w:r>
          </w:p>
        </w:tc>
      </w:tr>
      <w:tr w14:paraId="60B78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E2CF5">
            <w:pPr>
              <w:pStyle w:val="11"/>
            </w:pPr>
            <w:r>
              <w:t>项目编码</w:t>
            </w:r>
          </w:p>
        </w:tc>
        <w:tc>
          <w:tcPr>
            <w:tcW w:w="5103" w:type="dxa"/>
            <w:gridSpan w:val="2"/>
            <w:vAlign w:val="center"/>
          </w:tcPr>
          <w:p w14:paraId="1B5CA396">
            <w:pPr>
              <w:pStyle w:val="13"/>
            </w:pPr>
            <w:r>
              <w:t>13052525P00001410001T</w:t>
            </w:r>
          </w:p>
        </w:tc>
        <w:tc>
          <w:tcPr>
            <w:tcW w:w="2835" w:type="dxa"/>
            <w:vAlign w:val="center"/>
          </w:tcPr>
          <w:p w14:paraId="40B97680">
            <w:pPr>
              <w:pStyle w:val="11"/>
            </w:pPr>
            <w:r>
              <w:t>项目名称</w:t>
            </w:r>
          </w:p>
        </w:tc>
        <w:tc>
          <w:tcPr>
            <w:tcW w:w="6095" w:type="dxa"/>
            <w:gridSpan w:val="3"/>
            <w:vAlign w:val="center"/>
          </w:tcPr>
          <w:p w14:paraId="01104F19">
            <w:pPr>
              <w:pStyle w:val="13"/>
            </w:pPr>
            <w:r>
              <w:t>县级配套/资助/中职助学金（文茂中职）</w:t>
            </w:r>
            <w:r>
              <w:tab/>
            </w:r>
          </w:p>
        </w:tc>
      </w:tr>
      <w:tr w14:paraId="779DC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F60E6">
            <w:pPr>
              <w:pStyle w:val="11"/>
            </w:pPr>
            <w:r>
              <w:t>预算规模及资金用途</w:t>
            </w:r>
          </w:p>
        </w:tc>
        <w:tc>
          <w:tcPr>
            <w:tcW w:w="2268" w:type="dxa"/>
            <w:vAlign w:val="center"/>
          </w:tcPr>
          <w:p w14:paraId="72A9C26A">
            <w:pPr>
              <w:pStyle w:val="11"/>
            </w:pPr>
            <w:r>
              <w:t>预算数</w:t>
            </w:r>
          </w:p>
        </w:tc>
        <w:tc>
          <w:tcPr>
            <w:tcW w:w="2835" w:type="dxa"/>
            <w:vAlign w:val="center"/>
          </w:tcPr>
          <w:p w14:paraId="7581F86B">
            <w:pPr>
              <w:pStyle w:val="13"/>
            </w:pPr>
            <w:r>
              <w:t>2.62</w:t>
            </w:r>
          </w:p>
        </w:tc>
        <w:tc>
          <w:tcPr>
            <w:tcW w:w="2835" w:type="dxa"/>
            <w:vAlign w:val="center"/>
          </w:tcPr>
          <w:p w14:paraId="2C993DE7">
            <w:pPr>
              <w:pStyle w:val="11"/>
            </w:pPr>
            <w:r>
              <w:t>其中：财政    资金</w:t>
            </w:r>
          </w:p>
        </w:tc>
        <w:tc>
          <w:tcPr>
            <w:tcW w:w="2551" w:type="dxa"/>
            <w:vAlign w:val="center"/>
          </w:tcPr>
          <w:p w14:paraId="2DB03FFD">
            <w:pPr>
              <w:pStyle w:val="13"/>
            </w:pPr>
            <w:r>
              <w:t>2.62</w:t>
            </w:r>
          </w:p>
        </w:tc>
        <w:tc>
          <w:tcPr>
            <w:tcW w:w="2268" w:type="dxa"/>
            <w:vAlign w:val="center"/>
          </w:tcPr>
          <w:p w14:paraId="6E4F09DE">
            <w:pPr>
              <w:pStyle w:val="11"/>
            </w:pPr>
            <w:r>
              <w:t>其他资金</w:t>
            </w:r>
          </w:p>
        </w:tc>
        <w:tc>
          <w:tcPr>
            <w:tcW w:w="1276" w:type="dxa"/>
            <w:vAlign w:val="center"/>
          </w:tcPr>
          <w:p w14:paraId="353FB6F9">
            <w:pPr>
              <w:pStyle w:val="13"/>
            </w:pPr>
            <w:r>
              <w:t xml:space="preserve"> </w:t>
            </w:r>
          </w:p>
        </w:tc>
      </w:tr>
      <w:tr w14:paraId="161D4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3DD449E9"/>
        </w:tc>
        <w:tc>
          <w:tcPr>
            <w:tcW w:w="14033" w:type="dxa"/>
            <w:gridSpan w:val="6"/>
            <w:vAlign w:val="center"/>
          </w:tcPr>
          <w:p w14:paraId="6CD36879">
            <w:pPr>
              <w:pStyle w:val="13"/>
            </w:pPr>
            <w:r>
              <w:t>增加中职招生吸引力，控制学生流失率下降，促进教育均衡发展</w:t>
            </w:r>
          </w:p>
        </w:tc>
      </w:tr>
      <w:tr w14:paraId="6E235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14874DC7">
            <w:pPr>
              <w:pStyle w:val="11"/>
            </w:pPr>
            <w:r>
              <w:t>资金支出计划（%）</w:t>
            </w:r>
          </w:p>
        </w:tc>
        <w:tc>
          <w:tcPr>
            <w:tcW w:w="5103" w:type="dxa"/>
            <w:gridSpan w:val="2"/>
            <w:vAlign w:val="center"/>
          </w:tcPr>
          <w:p w14:paraId="4E3889D1">
            <w:pPr>
              <w:pStyle w:val="11"/>
            </w:pPr>
            <w:r>
              <w:t>3月底</w:t>
            </w:r>
          </w:p>
        </w:tc>
        <w:tc>
          <w:tcPr>
            <w:tcW w:w="2835" w:type="dxa"/>
            <w:vAlign w:val="center"/>
          </w:tcPr>
          <w:p w14:paraId="4845D0A7">
            <w:pPr>
              <w:pStyle w:val="11"/>
            </w:pPr>
            <w:r>
              <w:t>6月底</w:t>
            </w:r>
          </w:p>
        </w:tc>
        <w:tc>
          <w:tcPr>
            <w:tcW w:w="2551" w:type="dxa"/>
            <w:vAlign w:val="center"/>
          </w:tcPr>
          <w:p w14:paraId="79AE4026">
            <w:pPr>
              <w:pStyle w:val="11"/>
            </w:pPr>
            <w:r>
              <w:t>10月底</w:t>
            </w:r>
          </w:p>
        </w:tc>
        <w:tc>
          <w:tcPr>
            <w:tcW w:w="3544" w:type="dxa"/>
            <w:gridSpan w:val="2"/>
            <w:vAlign w:val="center"/>
          </w:tcPr>
          <w:p w14:paraId="04CC7C1B">
            <w:pPr>
              <w:pStyle w:val="11"/>
            </w:pPr>
            <w:r>
              <w:t>12月底</w:t>
            </w:r>
          </w:p>
        </w:tc>
      </w:tr>
      <w:tr w14:paraId="65B30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25CC5"/>
        </w:tc>
        <w:tc>
          <w:tcPr>
            <w:tcW w:w="5103" w:type="dxa"/>
            <w:gridSpan w:val="2"/>
            <w:vAlign w:val="center"/>
          </w:tcPr>
          <w:p w14:paraId="1720E2DA">
            <w:pPr>
              <w:pStyle w:val="12"/>
            </w:pPr>
            <w:r>
              <w:t xml:space="preserve"> </w:t>
            </w:r>
          </w:p>
        </w:tc>
        <w:tc>
          <w:tcPr>
            <w:tcW w:w="2835" w:type="dxa"/>
            <w:vAlign w:val="center"/>
          </w:tcPr>
          <w:p w14:paraId="4B89CDC0">
            <w:pPr>
              <w:pStyle w:val="12"/>
            </w:pPr>
            <w:r>
              <w:t xml:space="preserve"> </w:t>
            </w:r>
          </w:p>
        </w:tc>
        <w:tc>
          <w:tcPr>
            <w:tcW w:w="2551" w:type="dxa"/>
            <w:vAlign w:val="center"/>
          </w:tcPr>
          <w:p w14:paraId="0A652FAD">
            <w:pPr>
              <w:pStyle w:val="12"/>
            </w:pPr>
            <w:r>
              <w:t xml:space="preserve"> </w:t>
            </w:r>
          </w:p>
        </w:tc>
        <w:tc>
          <w:tcPr>
            <w:tcW w:w="3544" w:type="dxa"/>
            <w:gridSpan w:val="2"/>
            <w:vAlign w:val="center"/>
          </w:tcPr>
          <w:p w14:paraId="67BABE68">
            <w:pPr>
              <w:pStyle w:val="12"/>
            </w:pPr>
            <w:r>
              <w:t>100%</w:t>
            </w:r>
          </w:p>
        </w:tc>
      </w:tr>
      <w:tr w14:paraId="63263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68DA2">
            <w:pPr>
              <w:pStyle w:val="11"/>
            </w:pPr>
            <w:r>
              <w:t>绩效目标</w:t>
            </w:r>
          </w:p>
        </w:tc>
        <w:tc>
          <w:tcPr>
            <w:tcW w:w="14033" w:type="dxa"/>
            <w:gridSpan w:val="6"/>
            <w:vAlign w:val="center"/>
          </w:tcPr>
          <w:p w14:paraId="4D2729B3">
            <w:pPr>
              <w:pStyle w:val="13"/>
            </w:pPr>
            <w:r>
              <w:t>1.增加中职招生吸引力，控制学生流失率下降，促进教育均衡发展</w:t>
            </w:r>
          </w:p>
          <w:p w14:paraId="6D1DED3A">
            <w:pPr>
              <w:pStyle w:val="13"/>
            </w:pPr>
          </w:p>
        </w:tc>
      </w:tr>
    </w:tbl>
    <w:p w14:paraId="7556F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95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568A4">
            <w:pPr>
              <w:pStyle w:val="11"/>
            </w:pPr>
            <w:r>
              <w:t>一级指标</w:t>
            </w:r>
          </w:p>
        </w:tc>
        <w:tc>
          <w:tcPr>
            <w:tcW w:w="2268" w:type="dxa"/>
            <w:vAlign w:val="center"/>
          </w:tcPr>
          <w:p w14:paraId="4E4F8091">
            <w:pPr>
              <w:pStyle w:val="11"/>
            </w:pPr>
            <w:r>
              <w:t>二级指标</w:t>
            </w:r>
          </w:p>
        </w:tc>
        <w:tc>
          <w:tcPr>
            <w:tcW w:w="2835" w:type="dxa"/>
            <w:vAlign w:val="center"/>
          </w:tcPr>
          <w:p w14:paraId="2779A557">
            <w:pPr>
              <w:pStyle w:val="11"/>
            </w:pPr>
            <w:r>
              <w:t>三级指标</w:t>
            </w:r>
          </w:p>
        </w:tc>
        <w:tc>
          <w:tcPr>
            <w:tcW w:w="5386" w:type="dxa"/>
            <w:vAlign w:val="center"/>
          </w:tcPr>
          <w:p w14:paraId="3ECA5C70">
            <w:pPr>
              <w:pStyle w:val="11"/>
            </w:pPr>
            <w:r>
              <w:t>绩效指标描述</w:t>
            </w:r>
          </w:p>
        </w:tc>
        <w:tc>
          <w:tcPr>
            <w:tcW w:w="2268" w:type="dxa"/>
            <w:vAlign w:val="center"/>
          </w:tcPr>
          <w:p w14:paraId="290BF5C3">
            <w:pPr>
              <w:pStyle w:val="11"/>
            </w:pPr>
            <w:r>
              <w:t>指标值</w:t>
            </w:r>
          </w:p>
        </w:tc>
        <w:tc>
          <w:tcPr>
            <w:tcW w:w="1276" w:type="dxa"/>
            <w:vAlign w:val="center"/>
          </w:tcPr>
          <w:p w14:paraId="59C8DD50">
            <w:pPr>
              <w:pStyle w:val="11"/>
            </w:pPr>
            <w:r>
              <w:t>指标值确定依据</w:t>
            </w:r>
          </w:p>
        </w:tc>
      </w:tr>
      <w:tr w14:paraId="47663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5F05B">
            <w:pPr>
              <w:pStyle w:val="12"/>
            </w:pPr>
            <w:r>
              <w:t>产出指标</w:t>
            </w:r>
          </w:p>
        </w:tc>
        <w:tc>
          <w:tcPr>
            <w:tcW w:w="2268" w:type="dxa"/>
            <w:vAlign w:val="center"/>
          </w:tcPr>
          <w:p w14:paraId="02AD4D0F">
            <w:pPr>
              <w:pStyle w:val="13"/>
            </w:pPr>
            <w:r>
              <w:t>数量指标</w:t>
            </w:r>
          </w:p>
        </w:tc>
        <w:tc>
          <w:tcPr>
            <w:tcW w:w="2835" w:type="dxa"/>
            <w:vAlign w:val="center"/>
          </w:tcPr>
          <w:p w14:paraId="1A63F815">
            <w:pPr>
              <w:pStyle w:val="13"/>
            </w:pPr>
            <w:r>
              <w:t>中职享受助学金人数</w:t>
            </w:r>
          </w:p>
        </w:tc>
        <w:tc>
          <w:tcPr>
            <w:tcW w:w="5386" w:type="dxa"/>
            <w:vAlign w:val="center"/>
          </w:tcPr>
          <w:p w14:paraId="06562882">
            <w:pPr>
              <w:pStyle w:val="13"/>
            </w:pPr>
            <w:r>
              <w:t>中职享受助学金人数</w:t>
            </w:r>
          </w:p>
        </w:tc>
        <w:tc>
          <w:tcPr>
            <w:tcW w:w="2268" w:type="dxa"/>
            <w:vAlign w:val="center"/>
          </w:tcPr>
          <w:p w14:paraId="02E49A46">
            <w:pPr>
              <w:pStyle w:val="13"/>
            </w:pPr>
            <w:r>
              <w:t>57人</w:t>
            </w:r>
          </w:p>
        </w:tc>
        <w:tc>
          <w:tcPr>
            <w:tcW w:w="1276" w:type="dxa"/>
            <w:vAlign w:val="center"/>
          </w:tcPr>
          <w:p w14:paraId="7B280672">
            <w:pPr>
              <w:pStyle w:val="13"/>
            </w:pPr>
            <w:r>
              <w:t>年度招生计划</w:t>
            </w:r>
          </w:p>
        </w:tc>
      </w:tr>
      <w:tr w14:paraId="03FA0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76604"/>
        </w:tc>
        <w:tc>
          <w:tcPr>
            <w:tcW w:w="2268" w:type="dxa"/>
            <w:vAlign w:val="center"/>
          </w:tcPr>
          <w:p w14:paraId="1F8739B3">
            <w:pPr>
              <w:pStyle w:val="13"/>
            </w:pPr>
            <w:r>
              <w:t>质量指标</w:t>
            </w:r>
          </w:p>
        </w:tc>
        <w:tc>
          <w:tcPr>
            <w:tcW w:w="2835" w:type="dxa"/>
            <w:vAlign w:val="center"/>
          </w:tcPr>
          <w:p w14:paraId="7CB62FF5">
            <w:pPr>
              <w:pStyle w:val="13"/>
            </w:pPr>
            <w:r>
              <w:t>完成助学金发放工作</w:t>
            </w:r>
          </w:p>
        </w:tc>
        <w:tc>
          <w:tcPr>
            <w:tcW w:w="5386" w:type="dxa"/>
            <w:vAlign w:val="center"/>
          </w:tcPr>
          <w:p w14:paraId="753CB705">
            <w:pPr>
              <w:pStyle w:val="13"/>
            </w:pPr>
            <w:r>
              <w:t>涉农专业学生及其他专业贫困生</w:t>
            </w:r>
          </w:p>
        </w:tc>
        <w:tc>
          <w:tcPr>
            <w:tcW w:w="2268" w:type="dxa"/>
            <w:vAlign w:val="center"/>
          </w:tcPr>
          <w:p w14:paraId="005C072F">
            <w:pPr>
              <w:pStyle w:val="13"/>
            </w:pPr>
            <w:r>
              <w:t>≥100%</w:t>
            </w:r>
          </w:p>
        </w:tc>
        <w:tc>
          <w:tcPr>
            <w:tcW w:w="1276" w:type="dxa"/>
            <w:vAlign w:val="center"/>
          </w:tcPr>
          <w:p w14:paraId="7BD21E3A">
            <w:pPr>
              <w:pStyle w:val="13"/>
            </w:pPr>
            <w:r>
              <w:t>冀财教【2024】103号</w:t>
            </w:r>
          </w:p>
        </w:tc>
      </w:tr>
      <w:tr w14:paraId="2925E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F33D7"/>
        </w:tc>
        <w:tc>
          <w:tcPr>
            <w:tcW w:w="2268" w:type="dxa"/>
            <w:vAlign w:val="center"/>
          </w:tcPr>
          <w:p w14:paraId="73ED28EC">
            <w:pPr>
              <w:pStyle w:val="13"/>
            </w:pPr>
            <w:r>
              <w:t>时效指标</w:t>
            </w:r>
          </w:p>
        </w:tc>
        <w:tc>
          <w:tcPr>
            <w:tcW w:w="2835" w:type="dxa"/>
            <w:vAlign w:val="center"/>
          </w:tcPr>
          <w:p w14:paraId="4FD8A654">
            <w:pPr>
              <w:pStyle w:val="13"/>
            </w:pPr>
            <w:r>
              <w:t>助学金及时足额发放</w:t>
            </w:r>
          </w:p>
        </w:tc>
        <w:tc>
          <w:tcPr>
            <w:tcW w:w="5386" w:type="dxa"/>
            <w:vAlign w:val="center"/>
          </w:tcPr>
          <w:p w14:paraId="04AAA462">
            <w:pPr>
              <w:pStyle w:val="13"/>
            </w:pPr>
            <w:r>
              <w:t>助学金及时足额发放率</w:t>
            </w:r>
          </w:p>
        </w:tc>
        <w:tc>
          <w:tcPr>
            <w:tcW w:w="2268" w:type="dxa"/>
            <w:vAlign w:val="center"/>
          </w:tcPr>
          <w:p w14:paraId="206E93A4">
            <w:pPr>
              <w:pStyle w:val="13"/>
            </w:pPr>
            <w:r>
              <w:t>≥100%</w:t>
            </w:r>
          </w:p>
        </w:tc>
        <w:tc>
          <w:tcPr>
            <w:tcW w:w="1276" w:type="dxa"/>
            <w:vAlign w:val="center"/>
          </w:tcPr>
          <w:p w14:paraId="313EF99B">
            <w:pPr>
              <w:pStyle w:val="13"/>
            </w:pPr>
            <w:r>
              <w:t>冀财教【2024】103号</w:t>
            </w:r>
          </w:p>
        </w:tc>
      </w:tr>
      <w:tr w14:paraId="6CC63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470E7"/>
        </w:tc>
        <w:tc>
          <w:tcPr>
            <w:tcW w:w="2268" w:type="dxa"/>
            <w:vAlign w:val="center"/>
          </w:tcPr>
          <w:p w14:paraId="42BDEFC5">
            <w:pPr>
              <w:pStyle w:val="13"/>
            </w:pPr>
            <w:r>
              <w:t>成本指标</w:t>
            </w:r>
          </w:p>
        </w:tc>
        <w:tc>
          <w:tcPr>
            <w:tcW w:w="2835" w:type="dxa"/>
            <w:vAlign w:val="center"/>
          </w:tcPr>
          <w:p w14:paraId="3E10090E">
            <w:pPr>
              <w:pStyle w:val="13"/>
            </w:pPr>
            <w:r>
              <w:t>中职助学金标准</w:t>
            </w:r>
          </w:p>
        </w:tc>
        <w:tc>
          <w:tcPr>
            <w:tcW w:w="5386" w:type="dxa"/>
            <w:vAlign w:val="center"/>
          </w:tcPr>
          <w:p w14:paraId="4BD0A5A7">
            <w:pPr>
              <w:pStyle w:val="13"/>
            </w:pPr>
            <w:r>
              <w:t>中职助学金资助标准2300/生/年</w:t>
            </w:r>
          </w:p>
        </w:tc>
        <w:tc>
          <w:tcPr>
            <w:tcW w:w="2268" w:type="dxa"/>
            <w:vAlign w:val="center"/>
          </w:tcPr>
          <w:p w14:paraId="45F84B75">
            <w:pPr>
              <w:pStyle w:val="13"/>
            </w:pPr>
            <w:r>
              <w:t>2300元</w:t>
            </w:r>
          </w:p>
        </w:tc>
        <w:tc>
          <w:tcPr>
            <w:tcW w:w="1276" w:type="dxa"/>
            <w:vAlign w:val="center"/>
          </w:tcPr>
          <w:p w14:paraId="397D30A0">
            <w:pPr>
              <w:pStyle w:val="13"/>
            </w:pPr>
            <w:r>
              <w:t>冀财教【2024】103号</w:t>
            </w:r>
          </w:p>
        </w:tc>
      </w:tr>
      <w:tr w14:paraId="572D3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A1C32A">
            <w:pPr>
              <w:pStyle w:val="12"/>
            </w:pPr>
            <w:r>
              <w:t>效益指标</w:t>
            </w:r>
          </w:p>
        </w:tc>
        <w:tc>
          <w:tcPr>
            <w:tcW w:w="2268" w:type="dxa"/>
            <w:vAlign w:val="center"/>
          </w:tcPr>
          <w:p w14:paraId="523E2A37">
            <w:pPr>
              <w:pStyle w:val="13"/>
            </w:pPr>
            <w:r>
              <w:t>可持续影响指标</w:t>
            </w:r>
          </w:p>
        </w:tc>
        <w:tc>
          <w:tcPr>
            <w:tcW w:w="2835" w:type="dxa"/>
            <w:vAlign w:val="center"/>
          </w:tcPr>
          <w:p w14:paraId="0702570A">
            <w:pPr>
              <w:pStyle w:val="13"/>
            </w:pPr>
            <w:r>
              <w:t>中职学校运转</w:t>
            </w:r>
          </w:p>
        </w:tc>
        <w:tc>
          <w:tcPr>
            <w:tcW w:w="5386" w:type="dxa"/>
            <w:vAlign w:val="center"/>
          </w:tcPr>
          <w:p w14:paraId="0E4077E0">
            <w:pPr>
              <w:pStyle w:val="13"/>
            </w:pPr>
            <w:r>
              <w:t>中职受教育年限</w:t>
            </w:r>
          </w:p>
        </w:tc>
        <w:tc>
          <w:tcPr>
            <w:tcW w:w="2268" w:type="dxa"/>
            <w:vAlign w:val="center"/>
          </w:tcPr>
          <w:p w14:paraId="76BC963A">
            <w:pPr>
              <w:pStyle w:val="13"/>
            </w:pPr>
            <w:r>
              <w:t>3年</w:t>
            </w:r>
          </w:p>
        </w:tc>
        <w:tc>
          <w:tcPr>
            <w:tcW w:w="1276" w:type="dxa"/>
            <w:vAlign w:val="center"/>
          </w:tcPr>
          <w:p w14:paraId="2AC9BAB4">
            <w:pPr>
              <w:pStyle w:val="13"/>
            </w:pPr>
            <w:r>
              <w:t>冀财教【2024】103号</w:t>
            </w:r>
          </w:p>
        </w:tc>
      </w:tr>
      <w:tr w14:paraId="2C88B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169204">
            <w:pPr>
              <w:pStyle w:val="12"/>
            </w:pPr>
            <w:r>
              <w:t>满意度指标</w:t>
            </w:r>
          </w:p>
        </w:tc>
        <w:tc>
          <w:tcPr>
            <w:tcW w:w="2268" w:type="dxa"/>
            <w:vAlign w:val="center"/>
          </w:tcPr>
          <w:p w14:paraId="13E2EE52">
            <w:pPr>
              <w:pStyle w:val="13"/>
            </w:pPr>
            <w:r>
              <w:t>服务对象满意度指标</w:t>
            </w:r>
          </w:p>
        </w:tc>
        <w:tc>
          <w:tcPr>
            <w:tcW w:w="2835" w:type="dxa"/>
            <w:vAlign w:val="center"/>
          </w:tcPr>
          <w:p w14:paraId="106DF637">
            <w:pPr>
              <w:pStyle w:val="13"/>
            </w:pPr>
            <w:r>
              <w:t>提升幸福指数</w:t>
            </w:r>
          </w:p>
        </w:tc>
        <w:tc>
          <w:tcPr>
            <w:tcW w:w="5386" w:type="dxa"/>
            <w:vAlign w:val="center"/>
          </w:tcPr>
          <w:p w14:paraId="286D3AD6">
            <w:pPr>
              <w:pStyle w:val="13"/>
            </w:pPr>
            <w:r>
              <w:t>提升建档立卡贫困家庭学生幸福指数</w:t>
            </w:r>
          </w:p>
          <w:p w14:paraId="74AF28F4">
            <w:pPr>
              <w:pStyle w:val="13"/>
            </w:pPr>
            <w:r>
              <w:t>家长学生满意</w:t>
            </w:r>
          </w:p>
        </w:tc>
        <w:tc>
          <w:tcPr>
            <w:tcW w:w="2268" w:type="dxa"/>
            <w:vAlign w:val="center"/>
          </w:tcPr>
          <w:p w14:paraId="28D52F75">
            <w:pPr>
              <w:pStyle w:val="13"/>
            </w:pPr>
            <w:r>
              <w:t>≥98%</w:t>
            </w:r>
          </w:p>
        </w:tc>
        <w:tc>
          <w:tcPr>
            <w:tcW w:w="1276" w:type="dxa"/>
            <w:vAlign w:val="center"/>
          </w:tcPr>
          <w:p w14:paraId="11587A53">
            <w:pPr>
              <w:pStyle w:val="13"/>
            </w:pPr>
            <w:r>
              <w:t>调查问卷</w:t>
            </w:r>
          </w:p>
        </w:tc>
      </w:tr>
    </w:tbl>
    <w:p w14:paraId="62E959E9">
      <w:pPr>
        <w:sectPr>
          <w:pgSz w:w="16840" w:h="11900" w:orient="landscape"/>
          <w:pgMar w:top="1361" w:right="1020" w:bottom="1134" w:left="1020" w:header="720" w:footer="720" w:gutter="0"/>
          <w:cols w:space="720" w:num="1"/>
        </w:sectPr>
      </w:pPr>
    </w:p>
    <w:p w14:paraId="370CD30C">
      <w:pPr>
        <w:spacing w:before="0" w:after="0"/>
        <w:ind w:firstLine="560"/>
        <w:jc w:val="left"/>
        <w:outlineLvl w:val="9"/>
      </w:pPr>
      <w:r>
        <w:rPr>
          <w:rFonts w:ascii="方正仿宋_GBK" w:hAnsi="方正仿宋_GBK" w:eastAsia="方正仿宋_GBK" w:cs="方正仿宋_GBK"/>
          <w:b/>
          <w:color w:val="000000"/>
          <w:sz w:val="28"/>
        </w:rPr>
        <w:t>168、县级资金/陈庄朝阳幼儿园公用经费绩效目标表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30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C3B3A">
            <w:pPr>
              <w:pStyle w:val="14"/>
            </w:pPr>
            <w:r>
              <w:t>单位：万元</w:t>
            </w:r>
          </w:p>
        </w:tc>
      </w:tr>
      <w:tr w14:paraId="5C939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8FC6369">
            <w:pPr>
              <w:pStyle w:val="11"/>
            </w:pPr>
            <w:r>
              <w:t>项目编码</w:t>
            </w:r>
          </w:p>
        </w:tc>
        <w:tc>
          <w:tcPr>
            <w:tcW w:w="5103" w:type="dxa"/>
            <w:gridSpan w:val="2"/>
            <w:vAlign w:val="center"/>
          </w:tcPr>
          <w:p w14:paraId="1D8078A1">
            <w:pPr>
              <w:pStyle w:val="13"/>
            </w:pPr>
            <w:r>
              <w:t>13052525P00875610057Y</w:t>
            </w:r>
          </w:p>
        </w:tc>
        <w:tc>
          <w:tcPr>
            <w:tcW w:w="2835" w:type="dxa"/>
            <w:vAlign w:val="center"/>
          </w:tcPr>
          <w:p w14:paraId="0D1DE208">
            <w:pPr>
              <w:pStyle w:val="11"/>
            </w:pPr>
            <w:r>
              <w:t>项目名称</w:t>
            </w:r>
          </w:p>
        </w:tc>
        <w:tc>
          <w:tcPr>
            <w:tcW w:w="6095" w:type="dxa"/>
            <w:gridSpan w:val="3"/>
            <w:vAlign w:val="center"/>
          </w:tcPr>
          <w:p w14:paraId="7F199B9F">
            <w:pPr>
              <w:pStyle w:val="13"/>
            </w:pPr>
            <w:r>
              <w:t>县级资金/陈庄朝阳幼儿园公用经费</w:t>
            </w:r>
          </w:p>
        </w:tc>
      </w:tr>
      <w:tr w14:paraId="4B62F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B218F">
            <w:pPr>
              <w:pStyle w:val="11"/>
            </w:pPr>
            <w:r>
              <w:t>预算规模及资金用途</w:t>
            </w:r>
          </w:p>
        </w:tc>
        <w:tc>
          <w:tcPr>
            <w:tcW w:w="2268" w:type="dxa"/>
            <w:vAlign w:val="center"/>
          </w:tcPr>
          <w:p w14:paraId="7C6A6CE7">
            <w:pPr>
              <w:pStyle w:val="11"/>
            </w:pPr>
            <w:r>
              <w:t>预算数</w:t>
            </w:r>
          </w:p>
        </w:tc>
        <w:tc>
          <w:tcPr>
            <w:tcW w:w="2835" w:type="dxa"/>
            <w:vAlign w:val="center"/>
          </w:tcPr>
          <w:p w14:paraId="311AC0BD">
            <w:pPr>
              <w:pStyle w:val="13"/>
            </w:pPr>
            <w:r>
              <w:t>2.97</w:t>
            </w:r>
          </w:p>
        </w:tc>
        <w:tc>
          <w:tcPr>
            <w:tcW w:w="2835" w:type="dxa"/>
            <w:vAlign w:val="center"/>
          </w:tcPr>
          <w:p w14:paraId="7829F827">
            <w:pPr>
              <w:pStyle w:val="11"/>
            </w:pPr>
            <w:r>
              <w:t>其中：财政    资金</w:t>
            </w:r>
          </w:p>
        </w:tc>
        <w:tc>
          <w:tcPr>
            <w:tcW w:w="2551" w:type="dxa"/>
            <w:vAlign w:val="center"/>
          </w:tcPr>
          <w:p w14:paraId="304D62F9">
            <w:pPr>
              <w:pStyle w:val="13"/>
            </w:pPr>
            <w:r>
              <w:t>2.97</w:t>
            </w:r>
          </w:p>
        </w:tc>
        <w:tc>
          <w:tcPr>
            <w:tcW w:w="2268" w:type="dxa"/>
            <w:vAlign w:val="center"/>
          </w:tcPr>
          <w:p w14:paraId="2C1C052B">
            <w:pPr>
              <w:pStyle w:val="11"/>
            </w:pPr>
            <w:r>
              <w:t>其他资金</w:t>
            </w:r>
          </w:p>
        </w:tc>
        <w:tc>
          <w:tcPr>
            <w:tcW w:w="1276" w:type="dxa"/>
            <w:vAlign w:val="center"/>
          </w:tcPr>
          <w:p w14:paraId="27051AF2">
            <w:pPr>
              <w:pStyle w:val="13"/>
            </w:pPr>
            <w:r>
              <w:t xml:space="preserve"> </w:t>
            </w:r>
          </w:p>
        </w:tc>
      </w:tr>
      <w:tr w14:paraId="46692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56A68E92"/>
        </w:tc>
        <w:tc>
          <w:tcPr>
            <w:tcW w:w="14033" w:type="dxa"/>
            <w:gridSpan w:val="6"/>
            <w:vAlign w:val="center"/>
          </w:tcPr>
          <w:p w14:paraId="1714603A">
            <w:pPr>
              <w:pStyle w:val="13"/>
            </w:pPr>
            <w:r>
              <w:t>按季度分批次拨付安排公用经费资金，学校按照预算安排进行资金使用，保证资金正常支出。</w:t>
            </w:r>
            <w:r>
              <w:tab/>
            </w:r>
            <w:r>
              <w:tab/>
            </w:r>
            <w:r>
              <w:tab/>
            </w:r>
            <w:r>
              <w:tab/>
            </w:r>
            <w:r>
              <w:tab/>
            </w:r>
            <w:r>
              <w:tab/>
            </w:r>
          </w:p>
          <w:p w14:paraId="28CBA41A">
            <w:pPr>
              <w:pStyle w:val="13"/>
            </w:pPr>
          </w:p>
        </w:tc>
      </w:tr>
      <w:tr w14:paraId="11458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DFCB3">
            <w:pPr>
              <w:pStyle w:val="11"/>
            </w:pPr>
            <w:r>
              <w:t>资金支出计划（%）</w:t>
            </w:r>
          </w:p>
        </w:tc>
        <w:tc>
          <w:tcPr>
            <w:tcW w:w="5103" w:type="dxa"/>
            <w:gridSpan w:val="2"/>
            <w:vAlign w:val="center"/>
          </w:tcPr>
          <w:p w14:paraId="3B83A44B">
            <w:pPr>
              <w:pStyle w:val="11"/>
            </w:pPr>
            <w:r>
              <w:t>3月底</w:t>
            </w:r>
          </w:p>
        </w:tc>
        <w:tc>
          <w:tcPr>
            <w:tcW w:w="2835" w:type="dxa"/>
            <w:vAlign w:val="center"/>
          </w:tcPr>
          <w:p w14:paraId="74505698">
            <w:pPr>
              <w:pStyle w:val="11"/>
            </w:pPr>
            <w:r>
              <w:t>6月底</w:t>
            </w:r>
          </w:p>
        </w:tc>
        <w:tc>
          <w:tcPr>
            <w:tcW w:w="2551" w:type="dxa"/>
            <w:vAlign w:val="center"/>
          </w:tcPr>
          <w:p w14:paraId="0658D285">
            <w:pPr>
              <w:pStyle w:val="11"/>
            </w:pPr>
            <w:r>
              <w:t>10月底</w:t>
            </w:r>
          </w:p>
        </w:tc>
        <w:tc>
          <w:tcPr>
            <w:tcW w:w="3544" w:type="dxa"/>
            <w:gridSpan w:val="2"/>
            <w:vAlign w:val="center"/>
          </w:tcPr>
          <w:p w14:paraId="3E97F718">
            <w:pPr>
              <w:pStyle w:val="11"/>
            </w:pPr>
            <w:r>
              <w:t>12月底</w:t>
            </w:r>
          </w:p>
        </w:tc>
      </w:tr>
      <w:tr w14:paraId="083B4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9EAF4E"/>
        </w:tc>
        <w:tc>
          <w:tcPr>
            <w:tcW w:w="5103" w:type="dxa"/>
            <w:gridSpan w:val="2"/>
            <w:vAlign w:val="center"/>
          </w:tcPr>
          <w:p w14:paraId="003D0697">
            <w:pPr>
              <w:pStyle w:val="12"/>
            </w:pPr>
            <w:r>
              <w:t xml:space="preserve"> </w:t>
            </w:r>
          </w:p>
        </w:tc>
        <w:tc>
          <w:tcPr>
            <w:tcW w:w="2835" w:type="dxa"/>
            <w:vAlign w:val="center"/>
          </w:tcPr>
          <w:p w14:paraId="17C7FF89">
            <w:pPr>
              <w:pStyle w:val="12"/>
            </w:pPr>
            <w:r>
              <w:t>50%</w:t>
            </w:r>
          </w:p>
        </w:tc>
        <w:tc>
          <w:tcPr>
            <w:tcW w:w="2551" w:type="dxa"/>
            <w:vAlign w:val="center"/>
          </w:tcPr>
          <w:p w14:paraId="6B384C54">
            <w:pPr>
              <w:pStyle w:val="12"/>
            </w:pPr>
            <w:r>
              <w:t>75%</w:t>
            </w:r>
          </w:p>
        </w:tc>
        <w:tc>
          <w:tcPr>
            <w:tcW w:w="3544" w:type="dxa"/>
            <w:gridSpan w:val="2"/>
            <w:vAlign w:val="center"/>
          </w:tcPr>
          <w:p w14:paraId="41644CDA">
            <w:pPr>
              <w:pStyle w:val="12"/>
            </w:pPr>
            <w:r>
              <w:t>100%</w:t>
            </w:r>
          </w:p>
        </w:tc>
      </w:tr>
      <w:tr w14:paraId="60E15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D82B32">
            <w:pPr>
              <w:pStyle w:val="11"/>
            </w:pPr>
            <w:r>
              <w:t>绩效目标</w:t>
            </w:r>
          </w:p>
        </w:tc>
        <w:tc>
          <w:tcPr>
            <w:tcW w:w="14033" w:type="dxa"/>
            <w:gridSpan w:val="6"/>
            <w:vAlign w:val="center"/>
          </w:tcPr>
          <w:p w14:paraId="0B38B572">
            <w:pPr>
              <w:pStyle w:val="13"/>
            </w:pPr>
            <w:r>
              <w:t>1.按季度分批次拨付安排公用经费资金，学校按照预算安排进行资金使用，保证资金正常支出。</w:t>
            </w:r>
          </w:p>
        </w:tc>
      </w:tr>
    </w:tbl>
    <w:p w14:paraId="406EB7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4E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FE7F0">
            <w:pPr>
              <w:pStyle w:val="11"/>
            </w:pPr>
            <w:r>
              <w:t>一级指标</w:t>
            </w:r>
          </w:p>
        </w:tc>
        <w:tc>
          <w:tcPr>
            <w:tcW w:w="2268" w:type="dxa"/>
            <w:vAlign w:val="center"/>
          </w:tcPr>
          <w:p w14:paraId="4BD8F74C">
            <w:pPr>
              <w:pStyle w:val="11"/>
            </w:pPr>
            <w:r>
              <w:t>二级指标</w:t>
            </w:r>
          </w:p>
        </w:tc>
        <w:tc>
          <w:tcPr>
            <w:tcW w:w="2835" w:type="dxa"/>
            <w:vAlign w:val="center"/>
          </w:tcPr>
          <w:p w14:paraId="71885EC7">
            <w:pPr>
              <w:pStyle w:val="11"/>
            </w:pPr>
            <w:r>
              <w:t>三级指标</w:t>
            </w:r>
          </w:p>
        </w:tc>
        <w:tc>
          <w:tcPr>
            <w:tcW w:w="5386" w:type="dxa"/>
            <w:vAlign w:val="center"/>
          </w:tcPr>
          <w:p w14:paraId="53FB0398">
            <w:pPr>
              <w:pStyle w:val="11"/>
            </w:pPr>
            <w:r>
              <w:t>绩效指标描述</w:t>
            </w:r>
          </w:p>
        </w:tc>
        <w:tc>
          <w:tcPr>
            <w:tcW w:w="2268" w:type="dxa"/>
            <w:vAlign w:val="center"/>
          </w:tcPr>
          <w:p w14:paraId="2CBCA108">
            <w:pPr>
              <w:pStyle w:val="11"/>
            </w:pPr>
            <w:r>
              <w:t>指标值</w:t>
            </w:r>
          </w:p>
        </w:tc>
        <w:tc>
          <w:tcPr>
            <w:tcW w:w="1276" w:type="dxa"/>
            <w:vAlign w:val="center"/>
          </w:tcPr>
          <w:p w14:paraId="52B0F494">
            <w:pPr>
              <w:pStyle w:val="11"/>
            </w:pPr>
            <w:r>
              <w:t>指标值确定依据</w:t>
            </w:r>
          </w:p>
        </w:tc>
      </w:tr>
      <w:tr w14:paraId="6BAD5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59525">
            <w:pPr>
              <w:pStyle w:val="12"/>
            </w:pPr>
            <w:r>
              <w:t>产出指标</w:t>
            </w:r>
          </w:p>
        </w:tc>
        <w:tc>
          <w:tcPr>
            <w:tcW w:w="2268" w:type="dxa"/>
            <w:vAlign w:val="center"/>
          </w:tcPr>
          <w:p w14:paraId="10C7C5FA">
            <w:pPr>
              <w:pStyle w:val="13"/>
            </w:pPr>
            <w:r>
              <w:t>数量指标</w:t>
            </w:r>
          </w:p>
        </w:tc>
        <w:tc>
          <w:tcPr>
            <w:tcW w:w="2835" w:type="dxa"/>
            <w:vAlign w:val="center"/>
          </w:tcPr>
          <w:p w14:paraId="1ABBAEA3">
            <w:pPr>
              <w:pStyle w:val="13"/>
            </w:pPr>
            <w:r>
              <w:t>适龄在校生</w:t>
            </w:r>
          </w:p>
        </w:tc>
        <w:tc>
          <w:tcPr>
            <w:tcW w:w="5386" w:type="dxa"/>
            <w:vAlign w:val="center"/>
          </w:tcPr>
          <w:p w14:paraId="5DB6BD6C">
            <w:pPr>
              <w:pStyle w:val="13"/>
            </w:pPr>
            <w:r>
              <w:t>辖区内适龄儿童全覆盖</w:t>
            </w:r>
          </w:p>
        </w:tc>
        <w:tc>
          <w:tcPr>
            <w:tcW w:w="2268" w:type="dxa"/>
            <w:vAlign w:val="center"/>
          </w:tcPr>
          <w:p w14:paraId="1C9CA667">
            <w:pPr>
              <w:pStyle w:val="13"/>
            </w:pPr>
            <w:r>
              <w:t>66人</w:t>
            </w:r>
          </w:p>
        </w:tc>
        <w:tc>
          <w:tcPr>
            <w:tcW w:w="1276" w:type="dxa"/>
            <w:vAlign w:val="center"/>
          </w:tcPr>
          <w:p w14:paraId="1F0B55E6">
            <w:pPr>
              <w:pStyle w:val="13"/>
            </w:pPr>
            <w:r>
              <w:t>幼儿园生均公用经费管理办法</w:t>
            </w:r>
          </w:p>
        </w:tc>
      </w:tr>
      <w:tr w14:paraId="448DB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81634"/>
        </w:tc>
        <w:tc>
          <w:tcPr>
            <w:tcW w:w="2268" w:type="dxa"/>
            <w:vAlign w:val="center"/>
          </w:tcPr>
          <w:p w14:paraId="78DC18D5">
            <w:pPr>
              <w:pStyle w:val="13"/>
            </w:pPr>
            <w:r>
              <w:t>质量指标</w:t>
            </w:r>
          </w:p>
        </w:tc>
        <w:tc>
          <w:tcPr>
            <w:tcW w:w="2835" w:type="dxa"/>
            <w:vAlign w:val="center"/>
          </w:tcPr>
          <w:p w14:paraId="42645D85">
            <w:pPr>
              <w:pStyle w:val="13"/>
            </w:pPr>
            <w:r>
              <w:t>预算控制率</w:t>
            </w:r>
          </w:p>
        </w:tc>
        <w:tc>
          <w:tcPr>
            <w:tcW w:w="5386" w:type="dxa"/>
            <w:vAlign w:val="center"/>
          </w:tcPr>
          <w:p w14:paraId="7C7E7D7C">
            <w:pPr>
              <w:pStyle w:val="13"/>
            </w:pPr>
            <w:r>
              <w:t>预算执行</w:t>
            </w:r>
          </w:p>
        </w:tc>
        <w:tc>
          <w:tcPr>
            <w:tcW w:w="2268" w:type="dxa"/>
            <w:vAlign w:val="center"/>
          </w:tcPr>
          <w:p w14:paraId="0B1E7E45">
            <w:pPr>
              <w:pStyle w:val="13"/>
            </w:pPr>
            <w:r>
              <w:t>≥95%</w:t>
            </w:r>
          </w:p>
        </w:tc>
        <w:tc>
          <w:tcPr>
            <w:tcW w:w="1276" w:type="dxa"/>
            <w:vAlign w:val="center"/>
          </w:tcPr>
          <w:p w14:paraId="6783FE79">
            <w:pPr>
              <w:pStyle w:val="13"/>
            </w:pPr>
            <w:r>
              <w:t>幼儿园生均公用经费管理办法</w:t>
            </w:r>
          </w:p>
        </w:tc>
      </w:tr>
      <w:tr w14:paraId="2AAAB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3E297"/>
        </w:tc>
        <w:tc>
          <w:tcPr>
            <w:tcW w:w="2268" w:type="dxa"/>
            <w:vAlign w:val="center"/>
          </w:tcPr>
          <w:p w14:paraId="52DC0652">
            <w:pPr>
              <w:pStyle w:val="13"/>
            </w:pPr>
            <w:r>
              <w:t>时效指标</w:t>
            </w:r>
          </w:p>
        </w:tc>
        <w:tc>
          <w:tcPr>
            <w:tcW w:w="2835" w:type="dxa"/>
            <w:vAlign w:val="center"/>
          </w:tcPr>
          <w:p w14:paraId="46DCB396">
            <w:pPr>
              <w:pStyle w:val="13"/>
            </w:pPr>
            <w:r>
              <w:t>资金支付率</w:t>
            </w:r>
          </w:p>
        </w:tc>
        <w:tc>
          <w:tcPr>
            <w:tcW w:w="5386" w:type="dxa"/>
            <w:vAlign w:val="center"/>
          </w:tcPr>
          <w:p w14:paraId="07EE9442">
            <w:pPr>
              <w:pStyle w:val="13"/>
            </w:pPr>
            <w:r>
              <w:t>按照序时进度完成资金支付</w:t>
            </w:r>
          </w:p>
        </w:tc>
        <w:tc>
          <w:tcPr>
            <w:tcW w:w="2268" w:type="dxa"/>
            <w:vAlign w:val="center"/>
          </w:tcPr>
          <w:p w14:paraId="63BAA386">
            <w:pPr>
              <w:pStyle w:val="13"/>
            </w:pPr>
            <w:r>
              <w:t>≥100%</w:t>
            </w:r>
          </w:p>
        </w:tc>
        <w:tc>
          <w:tcPr>
            <w:tcW w:w="1276" w:type="dxa"/>
            <w:vAlign w:val="center"/>
          </w:tcPr>
          <w:p w14:paraId="3C914BAE">
            <w:pPr>
              <w:pStyle w:val="13"/>
            </w:pPr>
            <w:r>
              <w:t>幼儿园生均公用经费管理办法</w:t>
            </w:r>
          </w:p>
        </w:tc>
      </w:tr>
      <w:tr w14:paraId="1DA66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C31F8"/>
        </w:tc>
        <w:tc>
          <w:tcPr>
            <w:tcW w:w="2268" w:type="dxa"/>
            <w:vAlign w:val="center"/>
          </w:tcPr>
          <w:p w14:paraId="2C15DC57">
            <w:pPr>
              <w:pStyle w:val="13"/>
            </w:pPr>
            <w:r>
              <w:t>成本指标</w:t>
            </w:r>
          </w:p>
        </w:tc>
        <w:tc>
          <w:tcPr>
            <w:tcW w:w="2835" w:type="dxa"/>
            <w:vAlign w:val="center"/>
          </w:tcPr>
          <w:p w14:paraId="3650C5B8">
            <w:pPr>
              <w:pStyle w:val="13"/>
            </w:pPr>
            <w:r>
              <w:t>生均拨款标准</w:t>
            </w:r>
          </w:p>
        </w:tc>
        <w:tc>
          <w:tcPr>
            <w:tcW w:w="5386" w:type="dxa"/>
            <w:vAlign w:val="center"/>
          </w:tcPr>
          <w:p w14:paraId="105583ED">
            <w:pPr>
              <w:pStyle w:val="13"/>
            </w:pPr>
            <w:r>
              <w:t>学前经费600元/生/年</w:t>
            </w:r>
          </w:p>
        </w:tc>
        <w:tc>
          <w:tcPr>
            <w:tcW w:w="2268" w:type="dxa"/>
            <w:vAlign w:val="center"/>
          </w:tcPr>
          <w:p w14:paraId="2E3956B3">
            <w:pPr>
              <w:pStyle w:val="13"/>
            </w:pPr>
            <w:r>
              <w:t>600元</w:t>
            </w:r>
          </w:p>
        </w:tc>
        <w:tc>
          <w:tcPr>
            <w:tcW w:w="1276" w:type="dxa"/>
            <w:vAlign w:val="center"/>
          </w:tcPr>
          <w:p w14:paraId="7C9057A3">
            <w:pPr>
              <w:pStyle w:val="13"/>
            </w:pPr>
            <w:r>
              <w:t>幼儿园生均公用经费管理办法</w:t>
            </w:r>
          </w:p>
        </w:tc>
      </w:tr>
      <w:tr w14:paraId="3CA38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DE3B3E">
            <w:pPr>
              <w:pStyle w:val="12"/>
            </w:pPr>
            <w:r>
              <w:t>效益指标</w:t>
            </w:r>
          </w:p>
        </w:tc>
        <w:tc>
          <w:tcPr>
            <w:tcW w:w="2268" w:type="dxa"/>
            <w:vAlign w:val="center"/>
          </w:tcPr>
          <w:p w14:paraId="52019ECD">
            <w:pPr>
              <w:pStyle w:val="13"/>
            </w:pPr>
            <w:r>
              <w:t>可持续影响指标</w:t>
            </w:r>
          </w:p>
        </w:tc>
        <w:tc>
          <w:tcPr>
            <w:tcW w:w="2835" w:type="dxa"/>
            <w:vAlign w:val="center"/>
          </w:tcPr>
          <w:p w14:paraId="632BFF81">
            <w:pPr>
              <w:pStyle w:val="13"/>
            </w:pPr>
            <w:r>
              <w:t>教育发展水平明显好转</w:t>
            </w:r>
          </w:p>
        </w:tc>
        <w:tc>
          <w:tcPr>
            <w:tcW w:w="5386" w:type="dxa"/>
            <w:vAlign w:val="center"/>
          </w:tcPr>
          <w:p w14:paraId="0E70C0AD">
            <w:pPr>
              <w:pStyle w:val="13"/>
            </w:pPr>
            <w:r>
              <w:t>学生受教育年限</w:t>
            </w:r>
          </w:p>
        </w:tc>
        <w:tc>
          <w:tcPr>
            <w:tcW w:w="2268" w:type="dxa"/>
            <w:vAlign w:val="center"/>
          </w:tcPr>
          <w:p w14:paraId="15576239">
            <w:pPr>
              <w:pStyle w:val="13"/>
            </w:pPr>
            <w:r>
              <w:t>3年</w:t>
            </w:r>
          </w:p>
        </w:tc>
        <w:tc>
          <w:tcPr>
            <w:tcW w:w="1276" w:type="dxa"/>
            <w:vAlign w:val="center"/>
          </w:tcPr>
          <w:p w14:paraId="1C4B01CA">
            <w:pPr>
              <w:pStyle w:val="13"/>
            </w:pPr>
            <w:r>
              <w:t>幼儿园生均公用经费管理办法</w:t>
            </w:r>
          </w:p>
        </w:tc>
      </w:tr>
      <w:tr w14:paraId="593EE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61F95">
            <w:pPr>
              <w:pStyle w:val="12"/>
            </w:pPr>
            <w:r>
              <w:t>满意度指标</w:t>
            </w:r>
          </w:p>
        </w:tc>
        <w:tc>
          <w:tcPr>
            <w:tcW w:w="2268" w:type="dxa"/>
            <w:vAlign w:val="center"/>
          </w:tcPr>
          <w:p w14:paraId="0D504763">
            <w:pPr>
              <w:pStyle w:val="13"/>
            </w:pPr>
            <w:r>
              <w:t>服务对象满意度指标</w:t>
            </w:r>
          </w:p>
        </w:tc>
        <w:tc>
          <w:tcPr>
            <w:tcW w:w="2835" w:type="dxa"/>
            <w:vAlign w:val="center"/>
          </w:tcPr>
          <w:p w14:paraId="0BE395D4">
            <w:pPr>
              <w:pStyle w:val="13"/>
            </w:pPr>
            <w:r>
              <w:t>受益学生家长及调查满意度</w:t>
            </w:r>
          </w:p>
        </w:tc>
        <w:tc>
          <w:tcPr>
            <w:tcW w:w="5386" w:type="dxa"/>
            <w:vAlign w:val="center"/>
          </w:tcPr>
          <w:p w14:paraId="0BD7E51E">
            <w:pPr>
              <w:pStyle w:val="13"/>
            </w:pPr>
            <w:r>
              <w:t>学生、教师及家长对学校保教保育工作满意度情况</w:t>
            </w:r>
          </w:p>
        </w:tc>
        <w:tc>
          <w:tcPr>
            <w:tcW w:w="2268" w:type="dxa"/>
            <w:vAlign w:val="center"/>
          </w:tcPr>
          <w:p w14:paraId="75807EB2">
            <w:pPr>
              <w:pStyle w:val="13"/>
            </w:pPr>
            <w:r>
              <w:t>≥95%</w:t>
            </w:r>
          </w:p>
        </w:tc>
        <w:tc>
          <w:tcPr>
            <w:tcW w:w="1276" w:type="dxa"/>
            <w:vAlign w:val="center"/>
          </w:tcPr>
          <w:p w14:paraId="5FA7D073">
            <w:pPr>
              <w:pStyle w:val="13"/>
            </w:pPr>
            <w:r>
              <w:t>调查问卷</w:t>
            </w:r>
          </w:p>
        </w:tc>
      </w:tr>
    </w:tbl>
    <w:p w14:paraId="0FCB4E5D">
      <w:pPr>
        <w:sectPr>
          <w:pgSz w:w="16840" w:h="11900" w:orient="landscape"/>
          <w:pgMar w:top="1361" w:right="1020" w:bottom="1134" w:left="1020" w:header="720" w:footer="720" w:gutter="0"/>
          <w:cols w:space="720" w:num="1"/>
        </w:sectPr>
      </w:pPr>
    </w:p>
    <w:p w14:paraId="55B9A767">
      <w:pPr>
        <w:spacing w:before="0" w:after="0"/>
        <w:ind w:firstLine="560"/>
        <w:jc w:val="left"/>
        <w:outlineLvl w:val="9"/>
      </w:pPr>
      <w:r>
        <w:rPr>
          <w:rFonts w:ascii="方正仿宋_GBK" w:hAnsi="方正仿宋_GBK" w:eastAsia="方正仿宋_GBK" w:cs="方正仿宋_GBK"/>
          <w:b/>
          <w:color w:val="000000"/>
          <w:sz w:val="28"/>
        </w:rPr>
        <w:t>169、县级资金/大霍贝贝幼儿园公用经费绩效目标表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C8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A314E">
            <w:pPr>
              <w:pStyle w:val="14"/>
            </w:pPr>
            <w:r>
              <w:t>单位：万元</w:t>
            </w:r>
          </w:p>
        </w:tc>
      </w:tr>
      <w:tr w14:paraId="382AF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EA869">
            <w:pPr>
              <w:pStyle w:val="11"/>
            </w:pPr>
            <w:r>
              <w:t>项目编码</w:t>
            </w:r>
          </w:p>
        </w:tc>
        <w:tc>
          <w:tcPr>
            <w:tcW w:w="5103" w:type="dxa"/>
            <w:gridSpan w:val="2"/>
            <w:vAlign w:val="center"/>
          </w:tcPr>
          <w:p w14:paraId="38B8B1AC">
            <w:pPr>
              <w:pStyle w:val="13"/>
            </w:pPr>
            <w:r>
              <w:t>13052525P00875610065K</w:t>
            </w:r>
          </w:p>
        </w:tc>
        <w:tc>
          <w:tcPr>
            <w:tcW w:w="2835" w:type="dxa"/>
            <w:vAlign w:val="center"/>
          </w:tcPr>
          <w:p w14:paraId="5D0D523B">
            <w:pPr>
              <w:pStyle w:val="11"/>
            </w:pPr>
            <w:r>
              <w:t>项目名称</w:t>
            </w:r>
          </w:p>
        </w:tc>
        <w:tc>
          <w:tcPr>
            <w:tcW w:w="6095" w:type="dxa"/>
            <w:gridSpan w:val="3"/>
            <w:vAlign w:val="center"/>
          </w:tcPr>
          <w:p w14:paraId="4DCD04E0">
            <w:pPr>
              <w:pStyle w:val="13"/>
            </w:pPr>
            <w:r>
              <w:t>县级资金/大霍贝贝幼儿园公用经费</w:t>
            </w:r>
          </w:p>
        </w:tc>
      </w:tr>
      <w:tr w14:paraId="5F2F9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5BBDC">
            <w:pPr>
              <w:pStyle w:val="11"/>
            </w:pPr>
            <w:r>
              <w:t>预算规模及资金用途</w:t>
            </w:r>
          </w:p>
        </w:tc>
        <w:tc>
          <w:tcPr>
            <w:tcW w:w="2268" w:type="dxa"/>
            <w:vAlign w:val="center"/>
          </w:tcPr>
          <w:p w14:paraId="39F4EA50">
            <w:pPr>
              <w:pStyle w:val="11"/>
            </w:pPr>
            <w:r>
              <w:t>预算数</w:t>
            </w:r>
          </w:p>
        </w:tc>
        <w:tc>
          <w:tcPr>
            <w:tcW w:w="2835" w:type="dxa"/>
            <w:vAlign w:val="center"/>
          </w:tcPr>
          <w:p w14:paraId="4E31AD4D">
            <w:pPr>
              <w:pStyle w:val="13"/>
            </w:pPr>
            <w:r>
              <w:t>3.56</w:t>
            </w:r>
          </w:p>
        </w:tc>
        <w:tc>
          <w:tcPr>
            <w:tcW w:w="2835" w:type="dxa"/>
            <w:vAlign w:val="center"/>
          </w:tcPr>
          <w:p w14:paraId="573642DB">
            <w:pPr>
              <w:pStyle w:val="11"/>
            </w:pPr>
            <w:r>
              <w:t>其中：财政    资金</w:t>
            </w:r>
          </w:p>
        </w:tc>
        <w:tc>
          <w:tcPr>
            <w:tcW w:w="2551" w:type="dxa"/>
            <w:vAlign w:val="center"/>
          </w:tcPr>
          <w:p w14:paraId="6BF66E99">
            <w:pPr>
              <w:pStyle w:val="13"/>
            </w:pPr>
            <w:r>
              <w:t>3.56</w:t>
            </w:r>
          </w:p>
        </w:tc>
        <w:tc>
          <w:tcPr>
            <w:tcW w:w="2268" w:type="dxa"/>
            <w:vAlign w:val="center"/>
          </w:tcPr>
          <w:p w14:paraId="7A8D20B2">
            <w:pPr>
              <w:pStyle w:val="11"/>
            </w:pPr>
            <w:r>
              <w:t>其他资金</w:t>
            </w:r>
          </w:p>
        </w:tc>
        <w:tc>
          <w:tcPr>
            <w:tcW w:w="1276" w:type="dxa"/>
            <w:vAlign w:val="center"/>
          </w:tcPr>
          <w:p w14:paraId="716B4088">
            <w:pPr>
              <w:pStyle w:val="13"/>
            </w:pPr>
            <w:r>
              <w:t xml:space="preserve"> </w:t>
            </w:r>
          </w:p>
        </w:tc>
      </w:tr>
      <w:tr w14:paraId="6B4B7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0E1B52"/>
        </w:tc>
        <w:tc>
          <w:tcPr>
            <w:tcW w:w="14033" w:type="dxa"/>
            <w:gridSpan w:val="6"/>
            <w:vAlign w:val="center"/>
          </w:tcPr>
          <w:p w14:paraId="407573C4">
            <w:pPr>
              <w:pStyle w:val="13"/>
            </w:pPr>
            <w:r>
              <w:t>按季度分批次拨付安排公用经费资金，学校按照预算安排进行资金使用，保证资金正常支出。</w:t>
            </w:r>
            <w:r>
              <w:tab/>
            </w:r>
          </w:p>
        </w:tc>
      </w:tr>
      <w:tr w14:paraId="64388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8D957">
            <w:pPr>
              <w:pStyle w:val="11"/>
            </w:pPr>
            <w:r>
              <w:t>资金支出计划（%）</w:t>
            </w:r>
          </w:p>
        </w:tc>
        <w:tc>
          <w:tcPr>
            <w:tcW w:w="5103" w:type="dxa"/>
            <w:gridSpan w:val="2"/>
            <w:vAlign w:val="center"/>
          </w:tcPr>
          <w:p w14:paraId="479C2649">
            <w:pPr>
              <w:pStyle w:val="11"/>
            </w:pPr>
            <w:r>
              <w:t>3月底</w:t>
            </w:r>
          </w:p>
        </w:tc>
        <w:tc>
          <w:tcPr>
            <w:tcW w:w="2835" w:type="dxa"/>
            <w:vAlign w:val="center"/>
          </w:tcPr>
          <w:p w14:paraId="65FC3046">
            <w:pPr>
              <w:pStyle w:val="11"/>
            </w:pPr>
            <w:r>
              <w:t>6月底</w:t>
            </w:r>
          </w:p>
        </w:tc>
        <w:tc>
          <w:tcPr>
            <w:tcW w:w="2551" w:type="dxa"/>
            <w:vAlign w:val="center"/>
          </w:tcPr>
          <w:p w14:paraId="068FD759">
            <w:pPr>
              <w:pStyle w:val="11"/>
            </w:pPr>
            <w:r>
              <w:t>10月底</w:t>
            </w:r>
          </w:p>
        </w:tc>
        <w:tc>
          <w:tcPr>
            <w:tcW w:w="3544" w:type="dxa"/>
            <w:gridSpan w:val="2"/>
            <w:vAlign w:val="center"/>
          </w:tcPr>
          <w:p w14:paraId="34965619">
            <w:pPr>
              <w:pStyle w:val="11"/>
            </w:pPr>
            <w:r>
              <w:t>12月底</w:t>
            </w:r>
          </w:p>
        </w:tc>
      </w:tr>
      <w:tr w14:paraId="561FF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917385"/>
        </w:tc>
        <w:tc>
          <w:tcPr>
            <w:tcW w:w="5103" w:type="dxa"/>
            <w:gridSpan w:val="2"/>
            <w:vAlign w:val="center"/>
          </w:tcPr>
          <w:p w14:paraId="62B2A12A">
            <w:pPr>
              <w:pStyle w:val="12"/>
            </w:pPr>
            <w:r>
              <w:t xml:space="preserve"> </w:t>
            </w:r>
          </w:p>
        </w:tc>
        <w:tc>
          <w:tcPr>
            <w:tcW w:w="2835" w:type="dxa"/>
            <w:vAlign w:val="center"/>
          </w:tcPr>
          <w:p w14:paraId="418AC409">
            <w:pPr>
              <w:pStyle w:val="12"/>
            </w:pPr>
            <w:r>
              <w:t>50%</w:t>
            </w:r>
          </w:p>
        </w:tc>
        <w:tc>
          <w:tcPr>
            <w:tcW w:w="2551" w:type="dxa"/>
            <w:vAlign w:val="center"/>
          </w:tcPr>
          <w:p w14:paraId="4A8D784A">
            <w:pPr>
              <w:pStyle w:val="12"/>
            </w:pPr>
            <w:r>
              <w:t>75%</w:t>
            </w:r>
          </w:p>
        </w:tc>
        <w:tc>
          <w:tcPr>
            <w:tcW w:w="3544" w:type="dxa"/>
            <w:gridSpan w:val="2"/>
            <w:vAlign w:val="center"/>
          </w:tcPr>
          <w:p w14:paraId="69E10346">
            <w:pPr>
              <w:pStyle w:val="12"/>
            </w:pPr>
            <w:r>
              <w:t>100%</w:t>
            </w:r>
          </w:p>
        </w:tc>
      </w:tr>
      <w:tr w14:paraId="0086C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05F64750">
            <w:pPr>
              <w:pStyle w:val="11"/>
            </w:pPr>
            <w:r>
              <w:t>绩效目标</w:t>
            </w:r>
          </w:p>
        </w:tc>
        <w:tc>
          <w:tcPr>
            <w:tcW w:w="14033" w:type="dxa"/>
            <w:gridSpan w:val="6"/>
            <w:vAlign w:val="center"/>
          </w:tcPr>
          <w:p w14:paraId="07375336">
            <w:pPr>
              <w:pStyle w:val="13"/>
            </w:pPr>
            <w:r>
              <w:t>1.按季度分批次拨付安排公用经费资金，学校按照预算安排进行资金使用，保证资金正常支出。</w:t>
            </w:r>
          </w:p>
        </w:tc>
      </w:tr>
    </w:tbl>
    <w:p w14:paraId="3A2805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9B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E7FE1">
            <w:pPr>
              <w:pStyle w:val="11"/>
            </w:pPr>
            <w:r>
              <w:t>一级指标</w:t>
            </w:r>
          </w:p>
        </w:tc>
        <w:tc>
          <w:tcPr>
            <w:tcW w:w="2268" w:type="dxa"/>
            <w:vAlign w:val="center"/>
          </w:tcPr>
          <w:p w14:paraId="1B15F423">
            <w:pPr>
              <w:pStyle w:val="11"/>
            </w:pPr>
            <w:r>
              <w:t>二级指标</w:t>
            </w:r>
          </w:p>
        </w:tc>
        <w:tc>
          <w:tcPr>
            <w:tcW w:w="2835" w:type="dxa"/>
            <w:vAlign w:val="center"/>
          </w:tcPr>
          <w:p w14:paraId="2B9F4F79">
            <w:pPr>
              <w:pStyle w:val="11"/>
            </w:pPr>
            <w:r>
              <w:t>三级指标</w:t>
            </w:r>
          </w:p>
        </w:tc>
        <w:tc>
          <w:tcPr>
            <w:tcW w:w="5386" w:type="dxa"/>
            <w:vAlign w:val="center"/>
          </w:tcPr>
          <w:p w14:paraId="7F4C3A10">
            <w:pPr>
              <w:pStyle w:val="11"/>
            </w:pPr>
            <w:r>
              <w:t>绩效指标描述</w:t>
            </w:r>
          </w:p>
        </w:tc>
        <w:tc>
          <w:tcPr>
            <w:tcW w:w="2268" w:type="dxa"/>
            <w:vAlign w:val="center"/>
          </w:tcPr>
          <w:p w14:paraId="2D5C05BB">
            <w:pPr>
              <w:pStyle w:val="11"/>
            </w:pPr>
            <w:r>
              <w:t>指标值</w:t>
            </w:r>
          </w:p>
        </w:tc>
        <w:tc>
          <w:tcPr>
            <w:tcW w:w="1276" w:type="dxa"/>
            <w:vAlign w:val="center"/>
          </w:tcPr>
          <w:p w14:paraId="2ED1CBFB">
            <w:pPr>
              <w:pStyle w:val="11"/>
            </w:pPr>
            <w:r>
              <w:t>指标值确定依据</w:t>
            </w:r>
          </w:p>
        </w:tc>
      </w:tr>
      <w:tr w14:paraId="49177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8ACDE">
            <w:pPr>
              <w:pStyle w:val="12"/>
            </w:pPr>
            <w:r>
              <w:t>产出指标</w:t>
            </w:r>
          </w:p>
        </w:tc>
        <w:tc>
          <w:tcPr>
            <w:tcW w:w="2268" w:type="dxa"/>
            <w:vAlign w:val="center"/>
          </w:tcPr>
          <w:p w14:paraId="55CA50FC">
            <w:pPr>
              <w:pStyle w:val="13"/>
            </w:pPr>
            <w:r>
              <w:t>数量指标</w:t>
            </w:r>
          </w:p>
        </w:tc>
        <w:tc>
          <w:tcPr>
            <w:tcW w:w="2835" w:type="dxa"/>
            <w:vAlign w:val="center"/>
          </w:tcPr>
          <w:p w14:paraId="4375739A">
            <w:pPr>
              <w:pStyle w:val="13"/>
            </w:pPr>
            <w:r>
              <w:t>适龄在校生</w:t>
            </w:r>
          </w:p>
        </w:tc>
        <w:tc>
          <w:tcPr>
            <w:tcW w:w="5386" w:type="dxa"/>
            <w:vAlign w:val="center"/>
          </w:tcPr>
          <w:p w14:paraId="34B3742E">
            <w:pPr>
              <w:pStyle w:val="13"/>
            </w:pPr>
            <w:r>
              <w:t>辖区内适龄儿童全覆盖</w:t>
            </w:r>
          </w:p>
        </w:tc>
        <w:tc>
          <w:tcPr>
            <w:tcW w:w="2268" w:type="dxa"/>
            <w:vAlign w:val="center"/>
          </w:tcPr>
          <w:p w14:paraId="11E0C123">
            <w:pPr>
              <w:pStyle w:val="13"/>
            </w:pPr>
            <w:r>
              <w:t>79人</w:t>
            </w:r>
          </w:p>
        </w:tc>
        <w:tc>
          <w:tcPr>
            <w:tcW w:w="1276" w:type="dxa"/>
            <w:vAlign w:val="center"/>
          </w:tcPr>
          <w:p w14:paraId="7A66D977">
            <w:pPr>
              <w:pStyle w:val="13"/>
            </w:pPr>
            <w:r>
              <w:t>幼儿园生均公用经费管理办法</w:t>
            </w:r>
          </w:p>
        </w:tc>
      </w:tr>
      <w:tr w14:paraId="212C9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148865F8"/>
        </w:tc>
        <w:tc>
          <w:tcPr>
            <w:tcW w:w="2268" w:type="dxa"/>
            <w:vAlign w:val="center"/>
          </w:tcPr>
          <w:p w14:paraId="16EB3D88">
            <w:pPr>
              <w:pStyle w:val="13"/>
            </w:pPr>
            <w:r>
              <w:t>质量指标</w:t>
            </w:r>
          </w:p>
        </w:tc>
        <w:tc>
          <w:tcPr>
            <w:tcW w:w="2835" w:type="dxa"/>
            <w:vAlign w:val="center"/>
          </w:tcPr>
          <w:p w14:paraId="7856250F">
            <w:pPr>
              <w:pStyle w:val="13"/>
            </w:pPr>
            <w:r>
              <w:t>预算控制率</w:t>
            </w:r>
          </w:p>
        </w:tc>
        <w:tc>
          <w:tcPr>
            <w:tcW w:w="5386" w:type="dxa"/>
            <w:vAlign w:val="center"/>
          </w:tcPr>
          <w:p w14:paraId="00BD7E25">
            <w:pPr>
              <w:pStyle w:val="13"/>
            </w:pPr>
            <w:r>
              <w:t>预算执行</w:t>
            </w:r>
          </w:p>
        </w:tc>
        <w:tc>
          <w:tcPr>
            <w:tcW w:w="2268" w:type="dxa"/>
            <w:vAlign w:val="center"/>
          </w:tcPr>
          <w:p w14:paraId="4171DE53">
            <w:pPr>
              <w:pStyle w:val="13"/>
            </w:pPr>
            <w:r>
              <w:t>≥95%</w:t>
            </w:r>
          </w:p>
        </w:tc>
        <w:tc>
          <w:tcPr>
            <w:tcW w:w="1276" w:type="dxa"/>
            <w:vAlign w:val="center"/>
          </w:tcPr>
          <w:p w14:paraId="17ADAC41">
            <w:pPr>
              <w:pStyle w:val="13"/>
            </w:pPr>
            <w:r>
              <w:t>幼儿园生均公用经费管理办法</w:t>
            </w:r>
          </w:p>
        </w:tc>
      </w:tr>
      <w:tr w14:paraId="068D8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A2AD8E3"/>
        </w:tc>
        <w:tc>
          <w:tcPr>
            <w:tcW w:w="2268" w:type="dxa"/>
            <w:vAlign w:val="center"/>
          </w:tcPr>
          <w:p w14:paraId="48537619">
            <w:pPr>
              <w:pStyle w:val="13"/>
            </w:pPr>
            <w:r>
              <w:t>时效指标</w:t>
            </w:r>
          </w:p>
        </w:tc>
        <w:tc>
          <w:tcPr>
            <w:tcW w:w="2835" w:type="dxa"/>
            <w:vAlign w:val="center"/>
          </w:tcPr>
          <w:p w14:paraId="35BD3B64">
            <w:pPr>
              <w:pStyle w:val="13"/>
            </w:pPr>
            <w:r>
              <w:t>资金支付率</w:t>
            </w:r>
          </w:p>
        </w:tc>
        <w:tc>
          <w:tcPr>
            <w:tcW w:w="5386" w:type="dxa"/>
            <w:vAlign w:val="center"/>
          </w:tcPr>
          <w:p w14:paraId="612755B9">
            <w:pPr>
              <w:pStyle w:val="13"/>
            </w:pPr>
            <w:r>
              <w:t>按照序时进度完成资金支付</w:t>
            </w:r>
          </w:p>
        </w:tc>
        <w:tc>
          <w:tcPr>
            <w:tcW w:w="2268" w:type="dxa"/>
            <w:vAlign w:val="center"/>
          </w:tcPr>
          <w:p w14:paraId="3061A5C3">
            <w:pPr>
              <w:pStyle w:val="13"/>
            </w:pPr>
            <w:r>
              <w:t>≥100%</w:t>
            </w:r>
          </w:p>
        </w:tc>
        <w:tc>
          <w:tcPr>
            <w:tcW w:w="1276" w:type="dxa"/>
            <w:vAlign w:val="center"/>
          </w:tcPr>
          <w:p w14:paraId="17D20346">
            <w:pPr>
              <w:pStyle w:val="13"/>
            </w:pPr>
            <w:r>
              <w:t>幼儿园生均公用经费管理办法</w:t>
            </w:r>
          </w:p>
        </w:tc>
      </w:tr>
      <w:tr w14:paraId="6BB53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F2476"/>
        </w:tc>
        <w:tc>
          <w:tcPr>
            <w:tcW w:w="2268" w:type="dxa"/>
            <w:vAlign w:val="center"/>
          </w:tcPr>
          <w:p w14:paraId="4F2D5F67">
            <w:pPr>
              <w:pStyle w:val="13"/>
            </w:pPr>
            <w:r>
              <w:t>成本指标</w:t>
            </w:r>
          </w:p>
        </w:tc>
        <w:tc>
          <w:tcPr>
            <w:tcW w:w="2835" w:type="dxa"/>
            <w:vAlign w:val="center"/>
          </w:tcPr>
          <w:p w14:paraId="60F67656">
            <w:pPr>
              <w:pStyle w:val="13"/>
            </w:pPr>
            <w:r>
              <w:t>生均拨款标准</w:t>
            </w:r>
          </w:p>
        </w:tc>
        <w:tc>
          <w:tcPr>
            <w:tcW w:w="5386" w:type="dxa"/>
            <w:vAlign w:val="center"/>
          </w:tcPr>
          <w:p w14:paraId="11C267B6">
            <w:pPr>
              <w:pStyle w:val="13"/>
            </w:pPr>
            <w:r>
              <w:t>学前经费600元/生/年</w:t>
            </w:r>
          </w:p>
        </w:tc>
        <w:tc>
          <w:tcPr>
            <w:tcW w:w="2268" w:type="dxa"/>
            <w:vAlign w:val="center"/>
          </w:tcPr>
          <w:p w14:paraId="005153E7">
            <w:pPr>
              <w:pStyle w:val="13"/>
            </w:pPr>
            <w:r>
              <w:t>600元</w:t>
            </w:r>
          </w:p>
        </w:tc>
        <w:tc>
          <w:tcPr>
            <w:tcW w:w="1276" w:type="dxa"/>
            <w:vAlign w:val="center"/>
          </w:tcPr>
          <w:p w14:paraId="794F3946">
            <w:pPr>
              <w:pStyle w:val="13"/>
            </w:pPr>
            <w:r>
              <w:t>幼儿园生均公用经费管理办法</w:t>
            </w:r>
          </w:p>
        </w:tc>
      </w:tr>
      <w:tr w14:paraId="21F92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9EE6DB">
            <w:pPr>
              <w:pStyle w:val="12"/>
            </w:pPr>
            <w:r>
              <w:t>效益指标</w:t>
            </w:r>
          </w:p>
        </w:tc>
        <w:tc>
          <w:tcPr>
            <w:tcW w:w="2268" w:type="dxa"/>
            <w:vAlign w:val="center"/>
          </w:tcPr>
          <w:p w14:paraId="7807642C">
            <w:pPr>
              <w:pStyle w:val="13"/>
            </w:pPr>
            <w:r>
              <w:t>可持续影响指标</w:t>
            </w:r>
          </w:p>
        </w:tc>
        <w:tc>
          <w:tcPr>
            <w:tcW w:w="2835" w:type="dxa"/>
            <w:vAlign w:val="center"/>
          </w:tcPr>
          <w:p w14:paraId="6E5CA971">
            <w:pPr>
              <w:pStyle w:val="13"/>
            </w:pPr>
            <w:r>
              <w:t>教育发展水平明显好转</w:t>
            </w:r>
          </w:p>
        </w:tc>
        <w:tc>
          <w:tcPr>
            <w:tcW w:w="5386" w:type="dxa"/>
            <w:vAlign w:val="center"/>
          </w:tcPr>
          <w:p w14:paraId="24F2E87A">
            <w:pPr>
              <w:pStyle w:val="13"/>
            </w:pPr>
            <w:r>
              <w:t>学生受教育年限</w:t>
            </w:r>
          </w:p>
        </w:tc>
        <w:tc>
          <w:tcPr>
            <w:tcW w:w="2268" w:type="dxa"/>
            <w:vAlign w:val="center"/>
          </w:tcPr>
          <w:p w14:paraId="070A439F">
            <w:pPr>
              <w:pStyle w:val="13"/>
            </w:pPr>
            <w:r>
              <w:t>3年</w:t>
            </w:r>
          </w:p>
        </w:tc>
        <w:tc>
          <w:tcPr>
            <w:tcW w:w="1276" w:type="dxa"/>
            <w:vAlign w:val="center"/>
          </w:tcPr>
          <w:p w14:paraId="2008635F">
            <w:pPr>
              <w:pStyle w:val="13"/>
            </w:pPr>
            <w:r>
              <w:t>幼儿园生均公用经费管理办法</w:t>
            </w:r>
          </w:p>
        </w:tc>
      </w:tr>
      <w:tr w14:paraId="19B33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77B81C">
            <w:pPr>
              <w:pStyle w:val="12"/>
            </w:pPr>
            <w:r>
              <w:t>满意度指标</w:t>
            </w:r>
          </w:p>
        </w:tc>
        <w:tc>
          <w:tcPr>
            <w:tcW w:w="2268" w:type="dxa"/>
            <w:vAlign w:val="center"/>
          </w:tcPr>
          <w:p w14:paraId="1174D274">
            <w:pPr>
              <w:pStyle w:val="13"/>
            </w:pPr>
            <w:r>
              <w:t>服务对象满意度指标</w:t>
            </w:r>
          </w:p>
        </w:tc>
        <w:tc>
          <w:tcPr>
            <w:tcW w:w="2835" w:type="dxa"/>
            <w:vAlign w:val="center"/>
          </w:tcPr>
          <w:p w14:paraId="1ED62952">
            <w:pPr>
              <w:pStyle w:val="13"/>
            </w:pPr>
            <w:r>
              <w:t>受益学生家长及调查满意度</w:t>
            </w:r>
          </w:p>
        </w:tc>
        <w:tc>
          <w:tcPr>
            <w:tcW w:w="5386" w:type="dxa"/>
            <w:vAlign w:val="center"/>
          </w:tcPr>
          <w:p w14:paraId="764437C7">
            <w:pPr>
              <w:pStyle w:val="13"/>
            </w:pPr>
            <w:r>
              <w:t>学生、教师及家长对学校保教保育工作满意度情况</w:t>
            </w:r>
          </w:p>
        </w:tc>
        <w:tc>
          <w:tcPr>
            <w:tcW w:w="2268" w:type="dxa"/>
            <w:vAlign w:val="center"/>
          </w:tcPr>
          <w:p w14:paraId="6B8AB0B0">
            <w:pPr>
              <w:pStyle w:val="13"/>
            </w:pPr>
            <w:r>
              <w:t>≥95%</w:t>
            </w:r>
          </w:p>
        </w:tc>
        <w:tc>
          <w:tcPr>
            <w:tcW w:w="1276" w:type="dxa"/>
            <w:vAlign w:val="center"/>
          </w:tcPr>
          <w:p w14:paraId="68569EA8">
            <w:pPr>
              <w:pStyle w:val="13"/>
            </w:pPr>
            <w:r>
              <w:t>调查问卷</w:t>
            </w:r>
          </w:p>
        </w:tc>
      </w:tr>
    </w:tbl>
    <w:p w14:paraId="7EA44824">
      <w:pPr>
        <w:sectPr>
          <w:pgSz w:w="16840" w:h="11900" w:orient="landscape"/>
          <w:pgMar w:top="1361" w:right="1020" w:bottom="1134" w:left="1020" w:header="720" w:footer="720" w:gutter="0"/>
          <w:cols w:space="720" w:num="1"/>
        </w:sectPr>
      </w:pPr>
    </w:p>
    <w:p w14:paraId="4CB0A019">
      <w:pPr>
        <w:spacing w:before="0" w:after="0"/>
        <w:ind w:firstLine="560"/>
        <w:jc w:val="left"/>
        <w:outlineLvl w:val="9"/>
      </w:pPr>
      <w:r>
        <w:rPr>
          <w:rFonts w:ascii="方正仿宋_GBK" w:hAnsi="方正仿宋_GBK" w:eastAsia="方正仿宋_GBK" w:cs="方正仿宋_GBK"/>
          <w:b/>
          <w:color w:val="000000"/>
          <w:sz w:val="28"/>
        </w:rPr>
        <w:t>170、县级资金/隆尧县白家寨阳光幼儿园公用经费绩效目标表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31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7C893">
            <w:pPr>
              <w:pStyle w:val="14"/>
            </w:pPr>
            <w:r>
              <w:t>单位：万元</w:t>
            </w:r>
          </w:p>
        </w:tc>
      </w:tr>
      <w:tr w14:paraId="4B99E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DE4D9">
            <w:pPr>
              <w:pStyle w:val="11"/>
            </w:pPr>
            <w:r>
              <w:t>项目编码</w:t>
            </w:r>
          </w:p>
        </w:tc>
        <w:tc>
          <w:tcPr>
            <w:tcW w:w="5103" w:type="dxa"/>
            <w:gridSpan w:val="2"/>
            <w:vAlign w:val="center"/>
          </w:tcPr>
          <w:p w14:paraId="2D901563">
            <w:pPr>
              <w:pStyle w:val="13"/>
            </w:pPr>
            <w:r>
              <w:t>13052525P00875610081W</w:t>
            </w:r>
          </w:p>
        </w:tc>
        <w:tc>
          <w:tcPr>
            <w:tcW w:w="2835" w:type="dxa"/>
            <w:vAlign w:val="center"/>
          </w:tcPr>
          <w:p w14:paraId="19C27576">
            <w:pPr>
              <w:pStyle w:val="11"/>
            </w:pPr>
            <w:r>
              <w:t>项目名称</w:t>
            </w:r>
          </w:p>
        </w:tc>
        <w:tc>
          <w:tcPr>
            <w:tcW w:w="6095" w:type="dxa"/>
            <w:gridSpan w:val="3"/>
            <w:vAlign w:val="center"/>
          </w:tcPr>
          <w:p w14:paraId="65F8580E">
            <w:pPr>
              <w:pStyle w:val="13"/>
            </w:pPr>
            <w:r>
              <w:t>县级资金/隆尧县白家寨阳光幼儿园公用经费</w:t>
            </w:r>
          </w:p>
        </w:tc>
      </w:tr>
      <w:tr w14:paraId="4C8EC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A7B73">
            <w:pPr>
              <w:pStyle w:val="11"/>
            </w:pPr>
            <w:r>
              <w:t>预算规模及资金用途</w:t>
            </w:r>
          </w:p>
        </w:tc>
        <w:tc>
          <w:tcPr>
            <w:tcW w:w="2268" w:type="dxa"/>
            <w:vAlign w:val="center"/>
          </w:tcPr>
          <w:p w14:paraId="4E0EC364">
            <w:pPr>
              <w:pStyle w:val="11"/>
            </w:pPr>
            <w:r>
              <w:t>预算数</w:t>
            </w:r>
          </w:p>
        </w:tc>
        <w:tc>
          <w:tcPr>
            <w:tcW w:w="2835" w:type="dxa"/>
            <w:vAlign w:val="center"/>
          </w:tcPr>
          <w:p w14:paraId="0871FF93">
            <w:pPr>
              <w:pStyle w:val="13"/>
            </w:pPr>
            <w:r>
              <w:t>1.71</w:t>
            </w:r>
          </w:p>
        </w:tc>
        <w:tc>
          <w:tcPr>
            <w:tcW w:w="2835" w:type="dxa"/>
            <w:vAlign w:val="center"/>
          </w:tcPr>
          <w:p w14:paraId="6EADC069">
            <w:pPr>
              <w:pStyle w:val="11"/>
            </w:pPr>
            <w:r>
              <w:t>其中：财政    资金</w:t>
            </w:r>
          </w:p>
        </w:tc>
        <w:tc>
          <w:tcPr>
            <w:tcW w:w="2551" w:type="dxa"/>
            <w:vAlign w:val="center"/>
          </w:tcPr>
          <w:p w14:paraId="0582751C">
            <w:pPr>
              <w:pStyle w:val="13"/>
            </w:pPr>
            <w:r>
              <w:t>1.71</w:t>
            </w:r>
          </w:p>
        </w:tc>
        <w:tc>
          <w:tcPr>
            <w:tcW w:w="2268" w:type="dxa"/>
            <w:vAlign w:val="center"/>
          </w:tcPr>
          <w:p w14:paraId="5EA7EA53">
            <w:pPr>
              <w:pStyle w:val="11"/>
            </w:pPr>
            <w:r>
              <w:t>其他资金</w:t>
            </w:r>
          </w:p>
        </w:tc>
        <w:tc>
          <w:tcPr>
            <w:tcW w:w="1276" w:type="dxa"/>
            <w:vAlign w:val="center"/>
          </w:tcPr>
          <w:p w14:paraId="4608EED9">
            <w:pPr>
              <w:pStyle w:val="13"/>
            </w:pPr>
            <w:r>
              <w:t xml:space="preserve"> </w:t>
            </w:r>
          </w:p>
        </w:tc>
      </w:tr>
      <w:tr w14:paraId="2AC1C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4E5F089B"/>
        </w:tc>
        <w:tc>
          <w:tcPr>
            <w:tcW w:w="14033" w:type="dxa"/>
            <w:gridSpan w:val="6"/>
            <w:vAlign w:val="center"/>
          </w:tcPr>
          <w:p w14:paraId="03D25AE8">
            <w:pPr>
              <w:pStyle w:val="13"/>
            </w:pPr>
            <w:r>
              <w:t>按季度分批次拨付安排公用经费资金，学校按照预算安排进行资金使用，保证资金正常支出。</w:t>
            </w:r>
          </w:p>
        </w:tc>
      </w:tr>
      <w:tr w14:paraId="02D56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7AF349CE">
            <w:pPr>
              <w:pStyle w:val="11"/>
            </w:pPr>
            <w:r>
              <w:t>资金支出计划（%）</w:t>
            </w:r>
          </w:p>
        </w:tc>
        <w:tc>
          <w:tcPr>
            <w:tcW w:w="5103" w:type="dxa"/>
            <w:gridSpan w:val="2"/>
            <w:vAlign w:val="center"/>
          </w:tcPr>
          <w:p w14:paraId="52553BDA">
            <w:pPr>
              <w:pStyle w:val="11"/>
            </w:pPr>
            <w:r>
              <w:t>3月底</w:t>
            </w:r>
          </w:p>
        </w:tc>
        <w:tc>
          <w:tcPr>
            <w:tcW w:w="2835" w:type="dxa"/>
            <w:vAlign w:val="center"/>
          </w:tcPr>
          <w:p w14:paraId="786F09D5">
            <w:pPr>
              <w:pStyle w:val="11"/>
            </w:pPr>
            <w:r>
              <w:t>6月底</w:t>
            </w:r>
          </w:p>
        </w:tc>
        <w:tc>
          <w:tcPr>
            <w:tcW w:w="2551" w:type="dxa"/>
            <w:vAlign w:val="center"/>
          </w:tcPr>
          <w:p w14:paraId="052504F5">
            <w:pPr>
              <w:pStyle w:val="11"/>
            </w:pPr>
            <w:r>
              <w:t>10月底</w:t>
            </w:r>
          </w:p>
        </w:tc>
        <w:tc>
          <w:tcPr>
            <w:tcW w:w="3544" w:type="dxa"/>
            <w:gridSpan w:val="2"/>
            <w:vAlign w:val="center"/>
          </w:tcPr>
          <w:p w14:paraId="25651FF0">
            <w:pPr>
              <w:pStyle w:val="11"/>
            </w:pPr>
            <w:r>
              <w:t>12月底</w:t>
            </w:r>
          </w:p>
        </w:tc>
      </w:tr>
      <w:tr w14:paraId="6E757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D2A054"/>
        </w:tc>
        <w:tc>
          <w:tcPr>
            <w:tcW w:w="5103" w:type="dxa"/>
            <w:gridSpan w:val="2"/>
            <w:vAlign w:val="center"/>
          </w:tcPr>
          <w:p w14:paraId="19ABA0CE">
            <w:pPr>
              <w:pStyle w:val="12"/>
            </w:pPr>
            <w:r>
              <w:t xml:space="preserve"> </w:t>
            </w:r>
          </w:p>
        </w:tc>
        <w:tc>
          <w:tcPr>
            <w:tcW w:w="2835" w:type="dxa"/>
            <w:vAlign w:val="center"/>
          </w:tcPr>
          <w:p w14:paraId="324EC47C">
            <w:pPr>
              <w:pStyle w:val="12"/>
            </w:pPr>
            <w:r>
              <w:t>50%</w:t>
            </w:r>
          </w:p>
        </w:tc>
        <w:tc>
          <w:tcPr>
            <w:tcW w:w="2551" w:type="dxa"/>
            <w:vAlign w:val="center"/>
          </w:tcPr>
          <w:p w14:paraId="25B1F2BE">
            <w:pPr>
              <w:pStyle w:val="12"/>
            </w:pPr>
            <w:r>
              <w:t>75%</w:t>
            </w:r>
          </w:p>
        </w:tc>
        <w:tc>
          <w:tcPr>
            <w:tcW w:w="3544" w:type="dxa"/>
            <w:gridSpan w:val="2"/>
            <w:vAlign w:val="center"/>
          </w:tcPr>
          <w:p w14:paraId="37FC863B">
            <w:pPr>
              <w:pStyle w:val="12"/>
            </w:pPr>
            <w:r>
              <w:t>100%</w:t>
            </w:r>
          </w:p>
        </w:tc>
      </w:tr>
      <w:tr w14:paraId="2EAD3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E65CFE">
            <w:pPr>
              <w:pStyle w:val="11"/>
            </w:pPr>
            <w:r>
              <w:t>绩效目标</w:t>
            </w:r>
          </w:p>
        </w:tc>
        <w:tc>
          <w:tcPr>
            <w:tcW w:w="14033" w:type="dxa"/>
            <w:gridSpan w:val="6"/>
            <w:vAlign w:val="center"/>
          </w:tcPr>
          <w:p w14:paraId="6B9055A0">
            <w:pPr>
              <w:pStyle w:val="13"/>
            </w:pPr>
            <w:r>
              <w:t>1.按季度分批次拨付安排公用经费资金，学校按照预算安排进行资金使用，保证资金正常支出。</w:t>
            </w:r>
          </w:p>
        </w:tc>
      </w:tr>
    </w:tbl>
    <w:p w14:paraId="2E860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1C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73D26">
            <w:pPr>
              <w:pStyle w:val="11"/>
            </w:pPr>
            <w:r>
              <w:t>一级指标</w:t>
            </w:r>
          </w:p>
        </w:tc>
        <w:tc>
          <w:tcPr>
            <w:tcW w:w="2268" w:type="dxa"/>
            <w:vAlign w:val="center"/>
          </w:tcPr>
          <w:p w14:paraId="15B39881">
            <w:pPr>
              <w:pStyle w:val="11"/>
            </w:pPr>
            <w:r>
              <w:t>二级指标</w:t>
            </w:r>
          </w:p>
        </w:tc>
        <w:tc>
          <w:tcPr>
            <w:tcW w:w="2835" w:type="dxa"/>
            <w:vAlign w:val="center"/>
          </w:tcPr>
          <w:p w14:paraId="767D2151">
            <w:pPr>
              <w:pStyle w:val="11"/>
            </w:pPr>
            <w:r>
              <w:t>三级指标</w:t>
            </w:r>
          </w:p>
        </w:tc>
        <w:tc>
          <w:tcPr>
            <w:tcW w:w="5386" w:type="dxa"/>
            <w:vAlign w:val="center"/>
          </w:tcPr>
          <w:p w14:paraId="06FB214D">
            <w:pPr>
              <w:pStyle w:val="11"/>
            </w:pPr>
            <w:r>
              <w:t>绩效指标描述</w:t>
            </w:r>
          </w:p>
        </w:tc>
        <w:tc>
          <w:tcPr>
            <w:tcW w:w="2268" w:type="dxa"/>
            <w:vAlign w:val="center"/>
          </w:tcPr>
          <w:p w14:paraId="5B0171F8">
            <w:pPr>
              <w:pStyle w:val="11"/>
            </w:pPr>
            <w:r>
              <w:t>指标值</w:t>
            </w:r>
          </w:p>
        </w:tc>
        <w:tc>
          <w:tcPr>
            <w:tcW w:w="1276" w:type="dxa"/>
            <w:vAlign w:val="center"/>
          </w:tcPr>
          <w:p w14:paraId="47C07319">
            <w:pPr>
              <w:pStyle w:val="11"/>
            </w:pPr>
            <w:r>
              <w:t>指标值确定依据</w:t>
            </w:r>
          </w:p>
        </w:tc>
      </w:tr>
      <w:tr w14:paraId="39889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C48D5">
            <w:pPr>
              <w:pStyle w:val="12"/>
            </w:pPr>
            <w:r>
              <w:t>产出指标</w:t>
            </w:r>
          </w:p>
        </w:tc>
        <w:tc>
          <w:tcPr>
            <w:tcW w:w="2268" w:type="dxa"/>
            <w:vAlign w:val="center"/>
          </w:tcPr>
          <w:p w14:paraId="270083D6">
            <w:pPr>
              <w:pStyle w:val="13"/>
            </w:pPr>
            <w:r>
              <w:t>数量指标</w:t>
            </w:r>
          </w:p>
        </w:tc>
        <w:tc>
          <w:tcPr>
            <w:tcW w:w="2835" w:type="dxa"/>
            <w:vAlign w:val="center"/>
          </w:tcPr>
          <w:p w14:paraId="683C70D3">
            <w:pPr>
              <w:pStyle w:val="13"/>
            </w:pPr>
            <w:r>
              <w:t>适龄在校生</w:t>
            </w:r>
          </w:p>
        </w:tc>
        <w:tc>
          <w:tcPr>
            <w:tcW w:w="5386" w:type="dxa"/>
            <w:vAlign w:val="center"/>
          </w:tcPr>
          <w:p w14:paraId="7CA815E4">
            <w:pPr>
              <w:pStyle w:val="13"/>
            </w:pPr>
            <w:r>
              <w:t>辖区内适龄儿童全覆盖</w:t>
            </w:r>
          </w:p>
        </w:tc>
        <w:tc>
          <w:tcPr>
            <w:tcW w:w="2268" w:type="dxa"/>
            <w:vAlign w:val="center"/>
          </w:tcPr>
          <w:p w14:paraId="36A0C66D">
            <w:pPr>
              <w:pStyle w:val="13"/>
            </w:pPr>
            <w:r>
              <w:t>38人</w:t>
            </w:r>
          </w:p>
        </w:tc>
        <w:tc>
          <w:tcPr>
            <w:tcW w:w="1276" w:type="dxa"/>
            <w:vAlign w:val="center"/>
          </w:tcPr>
          <w:p w14:paraId="31544A57">
            <w:pPr>
              <w:pStyle w:val="13"/>
            </w:pPr>
            <w:r>
              <w:t>幼儿园生均公用经费管理办法</w:t>
            </w:r>
          </w:p>
        </w:tc>
      </w:tr>
      <w:tr w14:paraId="369AC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29F80"/>
        </w:tc>
        <w:tc>
          <w:tcPr>
            <w:tcW w:w="2268" w:type="dxa"/>
            <w:vAlign w:val="center"/>
          </w:tcPr>
          <w:p w14:paraId="7243D324">
            <w:pPr>
              <w:pStyle w:val="13"/>
            </w:pPr>
            <w:r>
              <w:t>质量指标</w:t>
            </w:r>
          </w:p>
        </w:tc>
        <w:tc>
          <w:tcPr>
            <w:tcW w:w="2835" w:type="dxa"/>
            <w:vAlign w:val="center"/>
          </w:tcPr>
          <w:p w14:paraId="3D79B7BB">
            <w:pPr>
              <w:pStyle w:val="13"/>
            </w:pPr>
            <w:r>
              <w:t>预算控制率</w:t>
            </w:r>
          </w:p>
        </w:tc>
        <w:tc>
          <w:tcPr>
            <w:tcW w:w="5386" w:type="dxa"/>
            <w:vAlign w:val="center"/>
          </w:tcPr>
          <w:p w14:paraId="09A07D06">
            <w:pPr>
              <w:pStyle w:val="13"/>
            </w:pPr>
            <w:r>
              <w:t>预算执行</w:t>
            </w:r>
          </w:p>
        </w:tc>
        <w:tc>
          <w:tcPr>
            <w:tcW w:w="2268" w:type="dxa"/>
            <w:vAlign w:val="center"/>
          </w:tcPr>
          <w:p w14:paraId="77245779">
            <w:pPr>
              <w:pStyle w:val="13"/>
            </w:pPr>
            <w:r>
              <w:t>≥95%</w:t>
            </w:r>
          </w:p>
        </w:tc>
        <w:tc>
          <w:tcPr>
            <w:tcW w:w="1276" w:type="dxa"/>
            <w:vAlign w:val="center"/>
          </w:tcPr>
          <w:p w14:paraId="640D2A68">
            <w:pPr>
              <w:pStyle w:val="13"/>
            </w:pPr>
            <w:r>
              <w:t>幼儿园生均公用经费管理办法</w:t>
            </w:r>
          </w:p>
        </w:tc>
      </w:tr>
      <w:tr w14:paraId="48E18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CD202"/>
        </w:tc>
        <w:tc>
          <w:tcPr>
            <w:tcW w:w="2268" w:type="dxa"/>
            <w:vAlign w:val="center"/>
          </w:tcPr>
          <w:p w14:paraId="2B076C29">
            <w:pPr>
              <w:pStyle w:val="13"/>
            </w:pPr>
            <w:r>
              <w:t>时效指标</w:t>
            </w:r>
          </w:p>
        </w:tc>
        <w:tc>
          <w:tcPr>
            <w:tcW w:w="2835" w:type="dxa"/>
            <w:vAlign w:val="center"/>
          </w:tcPr>
          <w:p w14:paraId="4EA5E754">
            <w:pPr>
              <w:pStyle w:val="13"/>
            </w:pPr>
            <w:r>
              <w:t>资金支付率</w:t>
            </w:r>
          </w:p>
        </w:tc>
        <w:tc>
          <w:tcPr>
            <w:tcW w:w="5386" w:type="dxa"/>
            <w:vAlign w:val="center"/>
          </w:tcPr>
          <w:p w14:paraId="38F99B58">
            <w:pPr>
              <w:pStyle w:val="13"/>
            </w:pPr>
            <w:r>
              <w:t>按照序时进度完成资金支付</w:t>
            </w:r>
          </w:p>
        </w:tc>
        <w:tc>
          <w:tcPr>
            <w:tcW w:w="2268" w:type="dxa"/>
            <w:vAlign w:val="center"/>
          </w:tcPr>
          <w:p w14:paraId="59D46300">
            <w:pPr>
              <w:pStyle w:val="13"/>
            </w:pPr>
            <w:r>
              <w:t>≥100%</w:t>
            </w:r>
          </w:p>
        </w:tc>
        <w:tc>
          <w:tcPr>
            <w:tcW w:w="1276" w:type="dxa"/>
            <w:vAlign w:val="center"/>
          </w:tcPr>
          <w:p w14:paraId="3DA2F02B">
            <w:pPr>
              <w:pStyle w:val="13"/>
            </w:pPr>
            <w:r>
              <w:t>幼儿园生均公用经费管理办法</w:t>
            </w:r>
          </w:p>
        </w:tc>
      </w:tr>
      <w:tr w14:paraId="74F5A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3474D"/>
        </w:tc>
        <w:tc>
          <w:tcPr>
            <w:tcW w:w="2268" w:type="dxa"/>
            <w:vAlign w:val="center"/>
          </w:tcPr>
          <w:p w14:paraId="417AB37E">
            <w:pPr>
              <w:pStyle w:val="13"/>
            </w:pPr>
            <w:r>
              <w:t>成本指标</w:t>
            </w:r>
          </w:p>
        </w:tc>
        <w:tc>
          <w:tcPr>
            <w:tcW w:w="2835" w:type="dxa"/>
            <w:vAlign w:val="center"/>
          </w:tcPr>
          <w:p w14:paraId="36830C85">
            <w:pPr>
              <w:pStyle w:val="13"/>
            </w:pPr>
            <w:r>
              <w:t>生均拨款标准</w:t>
            </w:r>
          </w:p>
        </w:tc>
        <w:tc>
          <w:tcPr>
            <w:tcW w:w="5386" w:type="dxa"/>
            <w:vAlign w:val="center"/>
          </w:tcPr>
          <w:p w14:paraId="143C7FB7">
            <w:pPr>
              <w:pStyle w:val="13"/>
            </w:pPr>
            <w:r>
              <w:t>学前经费600元/生/年</w:t>
            </w:r>
          </w:p>
        </w:tc>
        <w:tc>
          <w:tcPr>
            <w:tcW w:w="2268" w:type="dxa"/>
            <w:vAlign w:val="center"/>
          </w:tcPr>
          <w:p w14:paraId="4F26E811">
            <w:pPr>
              <w:pStyle w:val="13"/>
            </w:pPr>
            <w:r>
              <w:t>600元</w:t>
            </w:r>
          </w:p>
        </w:tc>
        <w:tc>
          <w:tcPr>
            <w:tcW w:w="1276" w:type="dxa"/>
            <w:vAlign w:val="center"/>
          </w:tcPr>
          <w:p w14:paraId="08435269">
            <w:pPr>
              <w:pStyle w:val="13"/>
            </w:pPr>
            <w:r>
              <w:t>幼儿园生均公用经费管理办法</w:t>
            </w:r>
          </w:p>
        </w:tc>
      </w:tr>
      <w:tr w14:paraId="0C313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2BB4E4">
            <w:pPr>
              <w:pStyle w:val="12"/>
            </w:pPr>
            <w:r>
              <w:t>效益指标</w:t>
            </w:r>
          </w:p>
        </w:tc>
        <w:tc>
          <w:tcPr>
            <w:tcW w:w="2268" w:type="dxa"/>
            <w:vAlign w:val="center"/>
          </w:tcPr>
          <w:p w14:paraId="0ACA3ECA">
            <w:pPr>
              <w:pStyle w:val="13"/>
            </w:pPr>
            <w:r>
              <w:t>可持续影响指标</w:t>
            </w:r>
          </w:p>
        </w:tc>
        <w:tc>
          <w:tcPr>
            <w:tcW w:w="2835" w:type="dxa"/>
            <w:vAlign w:val="center"/>
          </w:tcPr>
          <w:p w14:paraId="675D1A7E">
            <w:pPr>
              <w:pStyle w:val="13"/>
            </w:pPr>
            <w:r>
              <w:t>教育发展水平明显好转</w:t>
            </w:r>
          </w:p>
        </w:tc>
        <w:tc>
          <w:tcPr>
            <w:tcW w:w="5386" w:type="dxa"/>
            <w:vAlign w:val="center"/>
          </w:tcPr>
          <w:p w14:paraId="147D1B5E">
            <w:pPr>
              <w:pStyle w:val="13"/>
            </w:pPr>
            <w:r>
              <w:t>学生受教育年限</w:t>
            </w:r>
          </w:p>
        </w:tc>
        <w:tc>
          <w:tcPr>
            <w:tcW w:w="2268" w:type="dxa"/>
            <w:vAlign w:val="center"/>
          </w:tcPr>
          <w:p w14:paraId="3CC91867">
            <w:pPr>
              <w:pStyle w:val="13"/>
            </w:pPr>
            <w:r>
              <w:t>3年</w:t>
            </w:r>
          </w:p>
        </w:tc>
        <w:tc>
          <w:tcPr>
            <w:tcW w:w="1276" w:type="dxa"/>
            <w:vAlign w:val="center"/>
          </w:tcPr>
          <w:p w14:paraId="59073B77">
            <w:pPr>
              <w:pStyle w:val="13"/>
            </w:pPr>
            <w:r>
              <w:t>幼儿园生均公用经费管理办法</w:t>
            </w:r>
          </w:p>
        </w:tc>
      </w:tr>
      <w:tr w14:paraId="0007E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C34690">
            <w:pPr>
              <w:pStyle w:val="12"/>
            </w:pPr>
            <w:r>
              <w:t>满意度指标</w:t>
            </w:r>
          </w:p>
        </w:tc>
        <w:tc>
          <w:tcPr>
            <w:tcW w:w="2268" w:type="dxa"/>
            <w:vAlign w:val="center"/>
          </w:tcPr>
          <w:p w14:paraId="14ED0DEE">
            <w:pPr>
              <w:pStyle w:val="13"/>
            </w:pPr>
            <w:r>
              <w:t>服务对象满意度指标</w:t>
            </w:r>
          </w:p>
        </w:tc>
        <w:tc>
          <w:tcPr>
            <w:tcW w:w="2835" w:type="dxa"/>
            <w:vAlign w:val="center"/>
          </w:tcPr>
          <w:p w14:paraId="7CD0113F">
            <w:pPr>
              <w:pStyle w:val="13"/>
            </w:pPr>
            <w:r>
              <w:t>受益学生家长及调查满意度</w:t>
            </w:r>
          </w:p>
        </w:tc>
        <w:tc>
          <w:tcPr>
            <w:tcW w:w="5386" w:type="dxa"/>
            <w:vAlign w:val="center"/>
          </w:tcPr>
          <w:p w14:paraId="0A59AE44">
            <w:pPr>
              <w:pStyle w:val="13"/>
            </w:pPr>
            <w:r>
              <w:t>学生、教师及家长对学校保教保育工作满意度情况</w:t>
            </w:r>
          </w:p>
        </w:tc>
        <w:tc>
          <w:tcPr>
            <w:tcW w:w="2268" w:type="dxa"/>
            <w:vAlign w:val="center"/>
          </w:tcPr>
          <w:p w14:paraId="3817B40D">
            <w:pPr>
              <w:pStyle w:val="13"/>
            </w:pPr>
            <w:r>
              <w:t>≥95%</w:t>
            </w:r>
          </w:p>
        </w:tc>
        <w:tc>
          <w:tcPr>
            <w:tcW w:w="1276" w:type="dxa"/>
            <w:vAlign w:val="center"/>
          </w:tcPr>
          <w:p w14:paraId="63F28D30">
            <w:pPr>
              <w:pStyle w:val="13"/>
            </w:pPr>
            <w:r>
              <w:t>调查问卷</w:t>
            </w:r>
          </w:p>
        </w:tc>
      </w:tr>
    </w:tbl>
    <w:p w14:paraId="54A7FF01">
      <w:pPr>
        <w:sectPr>
          <w:pgSz w:w="16840" w:h="11900" w:orient="landscape"/>
          <w:pgMar w:top="1361" w:right="1020" w:bottom="1134" w:left="1020" w:header="720" w:footer="720" w:gutter="0"/>
          <w:cols w:space="720" w:num="1"/>
        </w:sectPr>
      </w:pPr>
    </w:p>
    <w:p w14:paraId="4E701E42">
      <w:pPr>
        <w:spacing w:before="0" w:after="0"/>
        <w:ind w:firstLine="560"/>
        <w:jc w:val="left"/>
        <w:outlineLvl w:val="9"/>
      </w:pPr>
      <w:r>
        <w:rPr>
          <w:rFonts w:ascii="方正仿宋_GBK" w:hAnsi="方正仿宋_GBK" w:eastAsia="方正仿宋_GBK" w:cs="方正仿宋_GBK"/>
          <w:b/>
          <w:color w:val="000000"/>
          <w:sz w:val="28"/>
        </w:rPr>
        <w:t>171、县级资金/隆尧县宝贝佳幼儿园公用经费绩效目标表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87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019E0">
            <w:pPr>
              <w:pStyle w:val="14"/>
            </w:pPr>
            <w:r>
              <w:t>单位：万元</w:t>
            </w:r>
          </w:p>
        </w:tc>
      </w:tr>
      <w:tr w14:paraId="758D9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5C317">
            <w:pPr>
              <w:pStyle w:val="11"/>
            </w:pPr>
            <w:r>
              <w:t>项目编码</w:t>
            </w:r>
          </w:p>
        </w:tc>
        <w:tc>
          <w:tcPr>
            <w:tcW w:w="5103" w:type="dxa"/>
            <w:gridSpan w:val="2"/>
            <w:vAlign w:val="center"/>
          </w:tcPr>
          <w:p w14:paraId="36A6475C">
            <w:pPr>
              <w:pStyle w:val="13"/>
            </w:pPr>
            <w:r>
              <w:t>13052525P00875610062Q</w:t>
            </w:r>
          </w:p>
        </w:tc>
        <w:tc>
          <w:tcPr>
            <w:tcW w:w="2835" w:type="dxa"/>
            <w:vAlign w:val="center"/>
          </w:tcPr>
          <w:p w14:paraId="3F1F70EF">
            <w:pPr>
              <w:pStyle w:val="11"/>
            </w:pPr>
            <w:r>
              <w:t>项目名称</w:t>
            </w:r>
          </w:p>
        </w:tc>
        <w:tc>
          <w:tcPr>
            <w:tcW w:w="6095" w:type="dxa"/>
            <w:gridSpan w:val="3"/>
            <w:vAlign w:val="center"/>
          </w:tcPr>
          <w:p w14:paraId="590D6003">
            <w:pPr>
              <w:pStyle w:val="13"/>
            </w:pPr>
            <w:r>
              <w:t>县级资金/隆尧县宝贝佳幼儿园公用经费</w:t>
            </w:r>
          </w:p>
        </w:tc>
      </w:tr>
      <w:tr w14:paraId="778BD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5AE93">
            <w:pPr>
              <w:pStyle w:val="11"/>
            </w:pPr>
            <w:r>
              <w:t>预算规模及资金用途</w:t>
            </w:r>
          </w:p>
        </w:tc>
        <w:tc>
          <w:tcPr>
            <w:tcW w:w="2268" w:type="dxa"/>
            <w:vAlign w:val="center"/>
          </w:tcPr>
          <w:p w14:paraId="344BC9BB">
            <w:pPr>
              <w:pStyle w:val="11"/>
            </w:pPr>
            <w:r>
              <w:t>预算数</w:t>
            </w:r>
          </w:p>
        </w:tc>
        <w:tc>
          <w:tcPr>
            <w:tcW w:w="2835" w:type="dxa"/>
            <w:vAlign w:val="center"/>
          </w:tcPr>
          <w:p w14:paraId="35F35534">
            <w:pPr>
              <w:pStyle w:val="13"/>
            </w:pPr>
            <w:r>
              <w:t>4.01</w:t>
            </w:r>
          </w:p>
        </w:tc>
        <w:tc>
          <w:tcPr>
            <w:tcW w:w="2835" w:type="dxa"/>
            <w:vAlign w:val="center"/>
          </w:tcPr>
          <w:p w14:paraId="38AE4D74">
            <w:pPr>
              <w:pStyle w:val="11"/>
            </w:pPr>
            <w:r>
              <w:t>其中：财政    资金</w:t>
            </w:r>
          </w:p>
        </w:tc>
        <w:tc>
          <w:tcPr>
            <w:tcW w:w="2551" w:type="dxa"/>
            <w:vAlign w:val="center"/>
          </w:tcPr>
          <w:p w14:paraId="0E257F97">
            <w:pPr>
              <w:pStyle w:val="13"/>
            </w:pPr>
            <w:r>
              <w:t>4.01</w:t>
            </w:r>
          </w:p>
        </w:tc>
        <w:tc>
          <w:tcPr>
            <w:tcW w:w="2268" w:type="dxa"/>
            <w:vAlign w:val="center"/>
          </w:tcPr>
          <w:p w14:paraId="4D5072FA">
            <w:pPr>
              <w:pStyle w:val="11"/>
            </w:pPr>
            <w:r>
              <w:t>其他资金</w:t>
            </w:r>
          </w:p>
        </w:tc>
        <w:tc>
          <w:tcPr>
            <w:tcW w:w="1276" w:type="dxa"/>
            <w:vAlign w:val="center"/>
          </w:tcPr>
          <w:p w14:paraId="3642FD51">
            <w:pPr>
              <w:pStyle w:val="13"/>
            </w:pPr>
            <w:r>
              <w:t xml:space="preserve"> </w:t>
            </w:r>
          </w:p>
        </w:tc>
      </w:tr>
      <w:tr w14:paraId="2B6C1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47A491"/>
        </w:tc>
        <w:tc>
          <w:tcPr>
            <w:tcW w:w="14033" w:type="dxa"/>
            <w:gridSpan w:val="6"/>
            <w:vAlign w:val="center"/>
          </w:tcPr>
          <w:p w14:paraId="45C646D3">
            <w:pPr>
              <w:pStyle w:val="13"/>
            </w:pPr>
            <w:r>
              <w:t>按季度分批次拨付安排公用经费资金，学校按照预算安排进行资金使用，保证资金正常支出。</w:t>
            </w:r>
            <w:r>
              <w:tab/>
            </w:r>
            <w:r>
              <w:tab/>
            </w:r>
            <w:r>
              <w:tab/>
            </w:r>
            <w:r>
              <w:tab/>
            </w:r>
            <w:r>
              <w:tab/>
            </w:r>
            <w:r>
              <w:tab/>
            </w:r>
          </w:p>
          <w:p w14:paraId="15E6E7DC">
            <w:pPr>
              <w:pStyle w:val="13"/>
            </w:pPr>
          </w:p>
        </w:tc>
      </w:tr>
      <w:tr w14:paraId="3048B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B4320">
            <w:pPr>
              <w:pStyle w:val="11"/>
            </w:pPr>
            <w:r>
              <w:t>资金支出计划（%）</w:t>
            </w:r>
          </w:p>
        </w:tc>
        <w:tc>
          <w:tcPr>
            <w:tcW w:w="5103" w:type="dxa"/>
            <w:gridSpan w:val="2"/>
            <w:vAlign w:val="center"/>
          </w:tcPr>
          <w:p w14:paraId="03B421C7">
            <w:pPr>
              <w:pStyle w:val="11"/>
            </w:pPr>
            <w:r>
              <w:t>3月底</w:t>
            </w:r>
          </w:p>
        </w:tc>
        <w:tc>
          <w:tcPr>
            <w:tcW w:w="2835" w:type="dxa"/>
            <w:vAlign w:val="center"/>
          </w:tcPr>
          <w:p w14:paraId="736CCF7F">
            <w:pPr>
              <w:pStyle w:val="11"/>
            </w:pPr>
            <w:r>
              <w:t>6月底</w:t>
            </w:r>
          </w:p>
        </w:tc>
        <w:tc>
          <w:tcPr>
            <w:tcW w:w="2551" w:type="dxa"/>
            <w:vAlign w:val="center"/>
          </w:tcPr>
          <w:p w14:paraId="55D6C203">
            <w:pPr>
              <w:pStyle w:val="11"/>
            </w:pPr>
            <w:r>
              <w:t>10月底</w:t>
            </w:r>
          </w:p>
        </w:tc>
        <w:tc>
          <w:tcPr>
            <w:tcW w:w="3544" w:type="dxa"/>
            <w:gridSpan w:val="2"/>
            <w:vAlign w:val="center"/>
          </w:tcPr>
          <w:p w14:paraId="5997C417">
            <w:pPr>
              <w:pStyle w:val="11"/>
            </w:pPr>
            <w:r>
              <w:t>12月底</w:t>
            </w:r>
          </w:p>
        </w:tc>
      </w:tr>
      <w:tr w14:paraId="41189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4B4BA"/>
        </w:tc>
        <w:tc>
          <w:tcPr>
            <w:tcW w:w="5103" w:type="dxa"/>
            <w:gridSpan w:val="2"/>
            <w:vAlign w:val="center"/>
          </w:tcPr>
          <w:p w14:paraId="77FFC391">
            <w:pPr>
              <w:pStyle w:val="12"/>
            </w:pPr>
            <w:r>
              <w:t xml:space="preserve"> </w:t>
            </w:r>
          </w:p>
        </w:tc>
        <w:tc>
          <w:tcPr>
            <w:tcW w:w="2835" w:type="dxa"/>
            <w:vAlign w:val="center"/>
          </w:tcPr>
          <w:p w14:paraId="501BBE2A">
            <w:pPr>
              <w:pStyle w:val="12"/>
            </w:pPr>
            <w:r>
              <w:t>50%</w:t>
            </w:r>
          </w:p>
        </w:tc>
        <w:tc>
          <w:tcPr>
            <w:tcW w:w="2551" w:type="dxa"/>
            <w:vAlign w:val="center"/>
          </w:tcPr>
          <w:p w14:paraId="43B695B5">
            <w:pPr>
              <w:pStyle w:val="12"/>
            </w:pPr>
            <w:r>
              <w:t>75%</w:t>
            </w:r>
          </w:p>
        </w:tc>
        <w:tc>
          <w:tcPr>
            <w:tcW w:w="3544" w:type="dxa"/>
            <w:gridSpan w:val="2"/>
            <w:vAlign w:val="center"/>
          </w:tcPr>
          <w:p w14:paraId="4E737C8F">
            <w:pPr>
              <w:pStyle w:val="12"/>
            </w:pPr>
            <w:r>
              <w:t>100%</w:t>
            </w:r>
          </w:p>
        </w:tc>
      </w:tr>
      <w:tr w14:paraId="269F1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F7AB7">
            <w:pPr>
              <w:pStyle w:val="11"/>
            </w:pPr>
            <w:r>
              <w:t>绩效目标</w:t>
            </w:r>
          </w:p>
        </w:tc>
        <w:tc>
          <w:tcPr>
            <w:tcW w:w="14033" w:type="dxa"/>
            <w:gridSpan w:val="6"/>
            <w:vAlign w:val="center"/>
          </w:tcPr>
          <w:p w14:paraId="13FE4032">
            <w:pPr>
              <w:pStyle w:val="13"/>
            </w:pPr>
            <w:r>
              <w:t>1.按季度分批次拨付安排公用经费资金，学校按照预算安排进行资金使用，保证资金正常支出。</w:t>
            </w:r>
          </w:p>
        </w:tc>
      </w:tr>
    </w:tbl>
    <w:p w14:paraId="39B0D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F4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81D62">
            <w:pPr>
              <w:pStyle w:val="11"/>
            </w:pPr>
            <w:r>
              <w:t>一级指标</w:t>
            </w:r>
          </w:p>
        </w:tc>
        <w:tc>
          <w:tcPr>
            <w:tcW w:w="2268" w:type="dxa"/>
            <w:vAlign w:val="center"/>
          </w:tcPr>
          <w:p w14:paraId="5D271312">
            <w:pPr>
              <w:pStyle w:val="11"/>
            </w:pPr>
            <w:r>
              <w:t>二级指标</w:t>
            </w:r>
          </w:p>
        </w:tc>
        <w:tc>
          <w:tcPr>
            <w:tcW w:w="2835" w:type="dxa"/>
            <w:vAlign w:val="center"/>
          </w:tcPr>
          <w:p w14:paraId="5510EEAB">
            <w:pPr>
              <w:pStyle w:val="11"/>
            </w:pPr>
            <w:r>
              <w:t>三级指标</w:t>
            </w:r>
          </w:p>
        </w:tc>
        <w:tc>
          <w:tcPr>
            <w:tcW w:w="5386" w:type="dxa"/>
            <w:vAlign w:val="center"/>
          </w:tcPr>
          <w:p w14:paraId="55EAFCED">
            <w:pPr>
              <w:pStyle w:val="11"/>
            </w:pPr>
            <w:r>
              <w:t>绩效指标描述</w:t>
            </w:r>
          </w:p>
        </w:tc>
        <w:tc>
          <w:tcPr>
            <w:tcW w:w="2268" w:type="dxa"/>
            <w:vAlign w:val="center"/>
          </w:tcPr>
          <w:p w14:paraId="59FFB195">
            <w:pPr>
              <w:pStyle w:val="11"/>
            </w:pPr>
            <w:r>
              <w:t>指标值</w:t>
            </w:r>
          </w:p>
        </w:tc>
        <w:tc>
          <w:tcPr>
            <w:tcW w:w="1276" w:type="dxa"/>
            <w:vAlign w:val="center"/>
          </w:tcPr>
          <w:p w14:paraId="22E163CC">
            <w:pPr>
              <w:pStyle w:val="11"/>
            </w:pPr>
            <w:r>
              <w:t>指标值确定依据</w:t>
            </w:r>
          </w:p>
        </w:tc>
      </w:tr>
      <w:tr w14:paraId="38A58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4C1F8">
            <w:pPr>
              <w:pStyle w:val="12"/>
            </w:pPr>
            <w:r>
              <w:t>产出指标</w:t>
            </w:r>
          </w:p>
        </w:tc>
        <w:tc>
          <w:tcPr>
            <w:tcW w:w="2268" w:type="dxa"/>
            <w:vAlign w:val="center"/>
          </w:tcPr>
          <w:p w14:paraId="41071A1D">
            <w:pPr>
              <w:pStyle w:val="13"/>
            </w:pPr>
            <w:r>
              <w:t>数量指标</w:t>
            </w:r>
          </w:p>
        </w:tc>
        <w:tc>
          <w:tcPr>
            <w:tcW w:w="2835" w:type="dxa"/>
            <w:vAlign w:val="center"/>
          </w:tcPr>
          <w:p w14:paraId="3841D2EA">
            <w:pPr>
              <w:pStyle w:val="13"/>
            </w:pPr>
            <w:r>
              <w:t>适龄在校生</w:t>
            </w:r>
          </w:p>
        </w:tc>
        <w:tc>
          <w:tcPr>
            <w:tcW w:w="5386" w:type="dxa"/>
            <w:vAlign w:val="center"/>
          </w:tcPr>
          <w:p w14:paraId="5D4BBF50">
            <w:pPr>
              <w:pStyle w:val="13"/>
            </w:pPr>
            <w:r>
              <w:t>辖区内适龄儿童全覆盖</w:t>
            </w:r>
          </w:p>
        </w:tc>
        <w:tc>
          <w:tcPr>
            <w:tcW w:w="2268" w:type="dxa"/>
            <w:vAlign w:val="center"/>
          </w:tcPr>
          <w:p w14:paraId="7A000C02">
            <w:pPr>
              <w:pStyle w:val="13"/>
            </w:pPr>
            <w:r>
              <w:t>89人</w:t>
            </w:r>
          </w:p>
        </w:tc>
        <w:tc>
          <w:tcPr>
            <w:tcW w:w="1276" w:type="dxa"/>
            <w:vAlign w:val="center"/>
          </w:tcPr>
          <w:p w14:paraId="0A458D2B">
            <w:pPr>
              <w:pStyle w:val="13"/>
            </w:pPr>
            <w:r>
              <w:t>幼儿园生均公用经费管理办法</w:t>
            </w:r>
          </w:p>
        </w:tc>
      </w:tr>
      <w:tr w14:paraId="38298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250C57D5"/>
        </w:tc>
        <w:tc>
          <w:tcPr>
            <w:tcW w:w="2268" w:type="dxa"/>
            <w:vAlign w:val="center"/>
          </w:tcPr>
          <w:p w14:paraId="4C393C38">
            <w:pPr>
              <w:pStyle w:val="13"/>
            </w:pPr>
            <w:r>
              <w:t>质量指标</w:t>
            </w:r>
          </w:p>
        </w:tc>
        <w:tc>
          <w:tcPr>
            <w:tcW w:w="2835" w:type="dxa"/>
            <w:vAlign w:val="center"/>
          </w:tcPr>
          <w:p w14:paraId="0DEFE5B5">
            <w:pPr>
              <w:pStyle w:val="13"/>
            </w:pPr>
            <w:r>
              <w:t>预算控制率</w:t>
            </w:r>
          </w:p>
        </w:tc>
        <w:tc>
          <w:tcPr>
            <w:tcW w:w="5386" w:type="dxa"/>
            <w:vAlign w:val="center"/>
          </w:tcPr>
          <w:p w14:paraId="04C5286E">
            <w:pPr>
              <w:pStyle w:val="13"/>
            </w:pPr>
            <w:r>
              <w:t>预算执行</w:t>
            </w:r>
          </w:p>
        </w:tc>
        <w:tc>
          <w:tcPr>
            <w:tcW w:w="2268" w:type="dxa"/>
            <w:vAlign w:val="center"/>
          </w:tcPr>
          <w:p w14:paraId="53BF9FD0">
            <w:pPr>
              <w:pStyle w:val="13"/>
            </w:pPr>
            <w:r>
              <w:t>≥95%</w:t>
            </w:r>
          </w:p>
        </w:tc>
        <w:tc>
          <w:tcPr>
            <w:tcW w:w="1276" w:type="dxa"/>
            <w:vAlign w:val="center"/>
          </w:tcPr>
          <w:p w14:paraId="29DC6310">
            <w:pPr>
              <w:pStyle w:val="13"/>
            </w:pPr>
            <w:r>
              <w:t>幼儿园生均公用经费管理办法</w:t>
            </w:r>
          </w:p>
        </w:tc>
      </w:tr>
      <w:tr w14:paraId="25341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4D6AF"/>
        </w:tc>
        <w:tc>
          <w:tcPr>
            <w:tcW w:w="2268" w:type="dxa"/>
            <w:vAlign w:val="center"/>
          </w:tcPr>
          <w:p w14:paraId="0E45374A">
            <w:pPr>
              <w:pStyle w:val="13"/>
            </w:pPr>
            <w:r>
              <w:t>时效指标</w:t>
            </w:r>
          </w:p>
        </w:tc>
        <w:tc>
          <w:tcPr>
            <w:tcW w:w="2835" w:type="dxa"/>
            <w:vAlign w:val="center"/>
          </w:tcPr>
          <w:p w14:paraId="36657088">
            <w:pPr>
              <w:pStyle w:val="13"/>
            </w:pPr>
            <w:r>
              <w:t>资金支付率</w:t>
            </w:r>
          </w:p>
        </w:tc>
        <w:tc>
          <w:tcPr>
            <w:tcW w:w="5386" w:type="dxa"/>
            <w:vAlign w:val="center"/>
          </w:tcPr>
          <w:p w14:paraId="2843F47C">
            <w:pPr>
              <w:pStyle w:val="13"/>
            </w:pPr>
            <w:r>
              <w:t>按照序时进度完成资金支付</w:t>
            </w:r>
          </w:p>
        </w:tc>
        <w:tc>
          <w:tcPr>
            <w:tcW w:w="2268" w:type="dxa"/>
            <w:vAlign w:val="center"/>
          </w:tcPr>
          <w:p w14:paraId="5A5B781C">
            <w:pPr>
              <w:pStyle w:val="13"/>
            </w:pPr>
            <w:r>
              <w:t>≥100%</w:t>
            </w:r>
          </w:p>
        </w:tc>
        <w:tc>
          <w:tcPr>
            <w:tcW w:w="1276" w:type="dxa"/>
            <w:vAlign w:val="center"/>
          </w:tcPr>
          <w:p w14:paraId="52A14DBA">
            <w:pPr>
              <w:pStyle w:val="13"/>
            </w:pPr>
            <w:r>
              <w:t>幼儿园生均公用经费管理办法</w:t>
            </w:r>
          </w:p>
        </w:tc>
      </w:tr>
      <w:tr w14:paraId="3BB02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D1B89"/>
        </w:tc>
        <w:tc>
          <w:tcPr>
            <w:tcW w:w="2268" w:type="dxa"/>
            <w:vAlign w:val="center"/>
          </w:tcPr>
          <w:p w14:paraId="4A164C84">
            <w:pPr>
              <w:pStyle w:val="13"/>
            </w:pPr>
            <w:r>
              <w:t>成本指标</w:t>
            </w:r>
          </w:p>
        </w:tc>
        <w:tc>
          <w:tcPr>
            <w:tcW w:w="2835" w:type="dxa"/>
            <w:vAlign w:val="center"/>
          </w:tcPr>
          <w:p w14:paraId="40F5754E">
            <w:pPr>
              <w:pStyle w:val="13"/>
            </w:pPr>
            <w:r>
              <w:t>生均拨款标准</w:t>
            </w:r>
          </w:p>
        </w:tc>
        <w:tc>
          <w:tcPr>
            <w:tcW w:w="5386" w:type="dxa"/>
            <w:vAlign w:val="center"/>
          </w:tcPr>
          <w:p w14:paraId="47CF6743">
            <w:pPr>
              <w:pStyle w:val="13"/>
            </w:pPr>
            <w:r>
              <w:t>学前经费600元/生/年</w:t>
            </w:r>
          </w:p>
        </w:tc>
        <w:tc>
          <w:tcPr>
            <w:tcW w:w="2268" w:type="dxa"/>
            <w:vAlign w:val="center"/>
          </w:tcPr>
          <w:p w14:paraId="2897ADAA">
            <w:pPr>
              <w:pStyle w:val="13"/>
            </w:pPr>
            <w:r>
              <w:t>600元</w:t>
            </w:r>
          </w:p>
        </w:tc>
        <w:tc>
          <w:tcPr>
            <w:tcW w:w="1276" w:type="dxa"/>
            <w:vAlign w:val="center"/>
          </w:tcPr>
          <w:p w14:paraId="50BCB9BE">
            <w:pPr>
              <w:pStyle w:val="13"/>
            </w:pPr>
            <w:r>
              <w:t>幼儿园生均公用经费管理办法</w:t>
            </w:r>
          </w:p>
        </w:tc>
      </w:tr>
      <w:tr w14:paraId="1F448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5C4E2A">
            <w:pPr>
              <w:pStyle w:val="12"/>
            </w:pPr>
            <w:r>
              <w:t>效益指标</w:t>
            </w:r>
          </w:p>
        </w:tc>
        <w:tc>
          <w:tcPr>
            <w:tcW w:w="2268" w:type="dxa"/>
            <w:vAlign w:val="center"/>
          </w:tcPr>
          <w:p w14:paraId="4ABB25C2">
            <w:pPr>
              <w:pStyle w:val="13"/>
            </w:pPr>
            <w:r>
              <w:t>可持续影响指标</w:t>
            </w:r>
          </w:p>
        </w:tc>
        <w:tc>
          <w:tcPr>
            <w:tcW w:w="2835" w:type="dxa"/>
            <w:vAlign w:val="center"/>
          </w:tcPr>
          <w:p w14:paraId="625D63B5">
            <w:pPr>
              <w:pStyle w:val="13"/>
            </w:pPr>
            <w:r>
              <w:t>教育发展水平明显好转</w:t>
            </w:r>
          </w:p>
        </w:tc>
        <w:tc>
          <w:tcPr>
            <w:tcW w:w="5386" w:type="dxa"/>
            <w:vAlign w:val="center"/>
          </w:tcPr>
          <w:p w14:paraId="5BAEB120">
            <w:pPr>
              <w:pStyle w:val="13"/>
            </w:pPr>
            <w:r>
              <w:t>学生受教育年限</w:t>
            </w:r>
          </w:p>
        </w:tc>
        <w:tc>
          <w:tcPr>
            <w:tcW w:w="2268" w:type="dxa"/>
            <w:vAlign w:val="center"/>
          </w:tcPr>
          <w:p w14:paraId="7CFC33DC">
            <w:pPr>
              <w:pStyle w:val="13"/>
            </w:pPr>
            <w:r>
              <w:t>3年</w:t>
            </w:r>
          </w:p>
        </w:tc>
        <w:tc>
          <w:tcPr>
            <w:tcW w:w="1276" w:type="dxa"/>
            <w:vAlign w:val="center"/>
          </w:tcPr>
          <w:p w14:paraId="7E01C0C0">
            <w:pPr>
              <w:pStyle w:val="13"/>
            </w:pPr>
            <w:r>
              <w:t>幼儿园生均公用经费管理办法</w:t>
            </w:r>
          </w:p>
        </w:tc>
      </w:tr>
      <w:tr w14:paraId="0B258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05C646">
            <w:pPr>
              <w:pStyle w:val="12"/>
            </w:pPr>
            <w:r>
              <w:t>满意度指标</w:t>
            </w:r>
          </w:p>
        </w:tc>
        <w:tc>
          <w:tcPr>
            <w:tcW w:w="2268" w:type="dxa"/>
            <w:vAlign w:val="center"/>
          </w:tcPr>
          <w:p w14:paraId="60F71631">
            <w:pPr>
              <w:pStyle w:val="13"/>
            </w:pPr>
            <w:r>
              <w:t>服务对象满意度指标</w:t>
            </w:r>
          </w:p>
        </w:tc>
        <w:tc>
          <w:tcPr>
            <w:tcW w:w="2835" w:type="dxa"/>
            <w:vAlign w:val="center"/>
          </w:tcPr>
          <w:p w14:paraId="7F118C77">
            <w:pPr>
              <w:pStyle w:val="13"/>
            </w:pPr>
            <w:r>
              <w:t>受益学生家长及调查满意度</w:t>
            </w:r>
          </w:p>
        </w:tc>
        <w:tc>
          <w:tcPr>
            <w:tcW w:w="5386" w:type="dxa"/>
            <w:vAlign w:val="center"/>
          </w:tcPr>
          <w:p w14:paraId="2EF1BE8C">
            <w:pPr>
              <w:pStyle w:val="13"/>
            </w:pPr>
            <w:r>
              <w:t>学生、教师及家长对学校保教保育工作满意度情况</w:t>
            </w:r>
          </w:p>
        </w:tc>
        <w:tc>
          <w:tcPr>
            <w:tcW w:w="2268" w:type="dxa"/>
            <w:vAlign w:val="center"/>
          </w:tcPr>
          <w:p w14:paraId="08DA022A">
            <w:pPr>
              <w:pStyle w:val="13"/>
            </w:pPr>
            <w:r>
              <w:t>≥95%</w:t>
            </w:r>
          </w:p>
        </w:tc>
        <w:tc>
          <w:tcPr>
            <w:tcW w:w="1276" w:type="dxa"/>
            <w:vAlign w:val="center"/>
          </w:tcPr>
          <w:p w14:paraId="047C0B4C">
            <w:pPr>
              <w:pStyle w:val="13"/>
            </w:pPr>
            <w:r>
              <w:t>调查问卷</w:t>
            </w:r>
          </w:p>
        </w:tc>
      </w:tr>
    </w:tbl>
    <w:p w14:paraId="4DF527E5">
      <w:pPr>
        <w:sectPr>
          <w:pgSz w:w="16840" w:h="11900" w:orient="landscape"/>
          <w:pgMar w:top="1361" w:right="1020" w:bottom="1134" w:left="1020" w:header="720" w:footer="720" w:gutter="0"/>
          <w:cols w:space="720" w:num="1"/>
        </w:sectPr>
      </w:pPr>
    </w:p>
    <w:p w14:paraId="3DB8D303">
      <w:pPr>
        <w:spacing w:before="0" w:after="0"/>
        <w:ind w:firstLine="560"/>
        <w:jc w:val="left"/>
        <w:outlineLvl w:val="9"/>
      </w:pPr>
      <w:r>
        <w:rPr>
          <w:rFonts w:ascii="方正仿宋_GBK" w:hAnsi="方正仿宋_GBK" w:eastAsia="方正仿宋_GBK" w:cs="方正仿宋_GBK"/>
          <w:b/>
          <w:color w:val="000000"/>
          <w:sz w:val="28"/>
        </w:rPr>
        <w:t>172、县级资金/隆尧县贝贝幼儿园公用经费绩效目标表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99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ADB69">
            <w:pPr>
              <w:pStyle w:val="14"/>
            </w:pPr>
            <w:r>
              <w:t>单位：万元</w:t>
            </w:r>
          </w:p>
        </w:tc>
      </w:tr>
      <w:tr w14:paraId="17B4B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C9E94">
            <w:pPr>
              <w:pStyle w:val="11"/>
            </w:pPr>
            <w:r>
              <w:t>项目编码</w:t>
            </w:r>
          </w:p>
        </w:tc>
        <w:tc>
          <w:tcPr>
            <w:tcW w:w="5103" w:type="dxa"/>
            <w:gridSpan w:val="2"/>
            <w:vAlign w:val="center"/>
          </w:tcPr>
          <w:p w14:paraId="6B38B3B2">
            <w:pPr>
              <w:pStyle w:val="13"/>
            </w:pPr>
            <w:r>
              <w:t>13052525P00875610050M</w:t>
            </w:r>
          </w:p>
        </w:tc>
        <w:tc>
          <w:tcPr>
            <w:tcW w:w="2835" w:type="dxa"/>
            <w:vAlign w:val="center"/>
          </w:tcPr>
          <w:p w14:paraId="268B82D4">
            <w:pPr>
              <w:pStyle w:val="11"/>
            </w:pPr>
            <w:r>
              <w:t>项目名称</w:t>
            </w:r>
          </w:p>
        </w:tc>
        <w:tc>
          <w:tcPr>
            <w:tcW w:w="6095" w:type="dxa"/>
            <w:gridSpan w:val="3"/>
            <w:vAlign w:val="center"/>
          </w:tcPr>
          <w:p w14:paraId="5D21F6EE">
            <w:pPr>
              <w:pStyle w:val="13"/>
            </w:pPr>
            <w:r>
              <w:t>县级资金/隆尧县贝贝幼儿园公用经费</w:t>
            </w:r>
          </w:p>
        </w:tc>
      </w:tr>
      <w:tr w14:paraId="258B5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A187E">
            <w:pPr>
              <w:pStyle w:val="11"/>
            </w:pPr>
            <w:r>
              <w:t>预算规模及资金用途</w:t>
            </w:r>
          </w:p>
        </w:tc>
        <w:tc>
          <w:tcPr>
            <w:tcW w:w="2268" w:type="dxa"/>
            <w:vAlign w:val="center"/>
          </w:tcPr>
          <w:p w14:paraId="0B6B8C59">
            <w:pPr>
              <w:pStyle w:val="11"/>
            </w:pPr>
            <w:r>
              <w:t>预算数</w:t>
            </w:r>
          </w:p>
        </w:tc>
        <w:tc>
          <w:tcPr>
            <w:tcW w:w="2835" w:type="dxa"/>
            <w:vAlign w:val="center"/>
          </w:tcPr>
          <w:p w14:paraId="67D32E38">
            <w:pPr>
              <w:pStyle w:val="13"/>
            </w:pPr>
            <w:r>
              <w:t>4.37</w:t>
            </w:r>
          </w:p>
        </w:tc>
        <w:tc>
          <w:tcPr>
            <w:tcW w:w="2835" w:type="dxa"/>
            <w:vAlign w:val="center"/>
          </w:tcPr>
          <w:p w14:paraId="30271E4F">
            <w:pPr>
              <w:pStyle w:val="11"/>
            </w:pPr>
            <w:r>
              <w:t>其中：财政    资金</w:t>
            </w:r>
          </w:p>
        </w:tc>
        <w:tc>
          <w:tcPr>
            <w:tcW w:w="2551" w:type="dxa"/>
            <w:vAlign w:val="center"/>
          </w:tcPr>
          <w:p w14:paraId="046827FE">
            <w:pPr>
              <w:pStyle w:val="13"/>
            </w:pPr>
            <w:r>
              <w:t>4.37</w:t>
            </w:r>
          </w:p>
        </w:tc>
        <w:tc>
          <w:tcPr>
            <w:tcW w:w="2268" w:type="dxa"/>
            <w:vAlign w:val="center"/>
          </w:tcPr>
          <w:p w14:paraId="48ABF5A7">
            <w:pPr>
              <w:pStyle w:val="11"/>
            </w:pPr>
            <w:r>
              <w:t>其他资金</w:t>
            </w:r>
          </w:p>
        </w:tc>
        <w:tc>
          <w:tcPr>
            <w:tcW w:w="1276" w:type="dxa"/>
            <w:vAlign w:val="center"/>
          </w:tcPr>
          <w:p w14:paraId="61BEFD78">
            <w:pPr>
              <w:pStyle w:val="13"/>
            </w:pPr>
            <w:r>
              <w:t xml:space="preserve"> </w:t>
            </w:r>
          </w:p>
        </w:tc>
      </w:tr>
      <w:tr w14:paraId="55E27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F2A0E5"/>
        </w:tc>
        <w:tc>
          <w:tcPr>
            <w:tcW w:w="14033" w:type="dxa"/>
            <w:gridSpan w:val="6"/>
            <w:vAlign w:val="center"/>
          </w:tcPr>
          <w:p w14:paraId="5072A7CF">
            <w:pPr>
              <w:pStyle w:val="13"/>
            </w:pPr>
            <w:r>
              <w:t>按季度分批次拨付安排公用经费资金，学校按照预算安排进行资金使用，保证资金正常支出。</w:t>
            </w:r>
            <w:r>
              <w:tab/>
            </w:r>
            <w:r>
              <w:tab/>
            </w:r>
            <w:r>
              <w:tab/>
            </w:r>
            <w:r>
              <w:tab/>
            </w:r>
            <w:r>
              <w:tab/>
            </w:r>
            <w:r>
              <w:tab/>
            </w:r>
          </w:p>
          <w:p w14:paraId="6F973C3D">
            <w:pPr>
              <w:pStyle w:val="13"/>
            </w:pPr>
          </w:p>
        </w:tc>
      </w:tr>
      <w:tr w14:paraId="00279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3A137">
            <w:pPr>
              <w:pStyle w:val="11"/>
            </w:pPr>
            <w:r>
              <w:t>资金支出计划（%）</w:t>
            </w:r>
          </w:p>
        </w:tc>
        <w:tc>
          <w:tcPr>
            <w:tcW w:w="5103" w:type="dxa"/>
            <w:gridSpan w:val="2"/>
            <w:vAlign w:val="center"/>
          </w:tcPr>
          <w:p w14:paraId="539B1904">
            <w:pPr>
              <w:pStyle w:val="11"/>
            </w:pPr>
            <w:r>
              <w:t>3月底</w:t>
            </w:r>
          </w:p>
        </w:tc>
        <w:tc>
          <w:tcPr>
            <w:tcW w:w="2835" w:type="dxa"/>
            <w:vAlign w:val="center"/>
          </w:tcPr>
          <w:p w14:paraId="4E15CEBB">
            <w:pPr>
              <w:pStyle w:val="11"/>
            </w:pPr>
            <w:r>
              <w:t>6月底</w:t>
            </w:r>
          </w:p>
        </w:tc>
        <w:tc>
          <w:tcPr>
            <w:tcW w:w="2551" w:type="dxa"/>
            <w:vAlign w:val="center"/>
          </w:tcPr>
          <w:p w14:paraId="445E7433">
            <w:pPr>
              <w:pStyle w:val="11"/>
            </w:pPr>
            <w:r>
              <w:t>10月底</w:t>
            </w:r>
          </w:p>
        </w:tc>
        <w:tc>
          <w:tcPr>
            <w:tcW w:w="3544" w:type="dxa"/>
            <w:gridSpan w:val="2"/>
            <w:vAlign w:val="center"/>
          </w:tcPr>
          <w:p w14:paraId="3BC958E8">
            <w:pPr>
              <w:pStyle w:val="11"/>
            </w:pPr>
            <w:r>
              <w:t>12月底</w:t>
            </w:r>
          </w:p>
        </w:tc>
      </w:tr>
      <w:tr w14:paraId="00D8E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F7F01"/>
        </w:tc>
        <w:tc>
          <w:tcPr>
            <w:tcW w:w="5103" w:type="dxa"/>
            <w:gridSpan w:val="2"/>
            <w:vAlign w:val="center"/>
          </w:tcPr>
          <w:p w14:paraId="799D7CDB">
            <w:pPr>
              <w:pStyle w:val="12"/>
            </w:pPr>
            <w:r>
              <w:t xml:space="preserve"> </w:t>
            </w:r>
          </w:p>
        </w:tc>
        <w:tc>
          <w:tcPr>
            <w:tcW w:w="2835" w:type="dxa"/>
            <w:vAlign w:val="center"/>
          </w:tcPr>
          <w:p w14:paraId="3E7A8626">
            <w:pPr>
              <w:pStyle w:val="12"/>
            </w:pPr>
            <w:r>
              <w:t>50%</w:t>
            </w:r>
          </w:p>
        </w:tc>
        <w:tc>
          <w:tcPr>
            <w:tcW w:w="2551" w:type="dxa"/>
            <w:vAlign w:val="center"/>
          </w:tcPr>
          <w:p w14:paraId="7A46FC95">
            <w:pPr>
              <w:pStyle w:val="12"/>
            </w:pPr>
            <w:r>
              <w:t>75%</w:t>
            </w:r>
          </w:p>
        </w:tc>
        <w:tc>
          <w:tcPr>
            <w:tcW w:w="3544" w:type="dxa"/>
            <w:gridSpan w:val="2"/>
            <w:vAlign w:val="center"/>
          </w:tcPr>
          <w:p w14:paraId="0C81D80B">
            <w:pPr>
              <w:pStyle w:val="12"/>
            </w:pPr>
            <w:r>
              <w:t>100%</w:t>
            </w:r>
          </w:p>
        </w:tc>
      </w:tr>
      <w:tr w14:paraId="258F0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9753BD">
            <w:pPr>
              <w:pStyle w:val="11"/>
            </w:pPr>
            <w:r>
              <w:t>绩效目标</w:t>
            </w:r>
          </w:p>
        </w:tc>
        <w:tc>
          <w:tcPr>
            <w:tcW w:w="14033" w:type="dxa"/>
            <w:gridSpan w:val="6"/>
            <w:vAlign w:val="center"/>
          </w:tcPr>
          <w:p w14:paraId="68B24EC4">
            <w:pPr>
              <w:pStyle w:val="13"/>
            </w:pPr>
            <w:r>
              <w:t>1.按季度分批次拨付安排公用经费资金，学校按照预算安排进行资金使用，保证资金正常支出。</w:t>
            </w:r>
          </w:p>
        </w:tc>
      </w:tr>
    </w:tbl>
    <w:p w14:paraId="542D4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61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8CA87">
            <w:pPr>
              <w:pStyle w:val="11"/>
            </w:pPr>
            <w:r>
              <w:t>一级指标</w:t>
            </w:r>
          </w:p>
        </w:tc>
        <w:tc>
          <w:tcPr>
            <w:tcW w:w="2268" w:type="dxa"/>
            <w:vAlign w:val="center"/>
          </w:tcPr>
          <w:p w14:paraId="11A04AC7">
            <w:pPr>
              <w:pStyle w:val="11"/>
            </w:pPr>
            <w:r>
              <w:t>二级指标</w:t>
            </w:r>
          </w:p>
        </w:tc>
        <w:tc>
          <w:tcPr>
            <w:tcW w:w="2835" w:type="dxa"/>
            <w:vAlign w:val="center"/>
          </w:tcPr>
          <w:p w14:paraId="712F7D4B">
            <w:pPr>
              <w:pStyle w:val="11"/>
            </w:pPr>
            <w:r>
              <w:t>三级指标</w:t>
            </w:r>
          </w:p>
        </w:tc>
        <w:tc>
          <w:tcPr>
            <w:tcW w:w="5386" w:type="dxa"/>
            <w:vAlign w:val="center"/>
          </w:tcPr>
          <w:p w14:paraId="7FCD652A">
            <w:pPr>
              <w:pStyle w:val="11"/>
            </w:pPr>
            <w:r>
              <w:t>绩效指标描述</w:t>
            </w:r>
          </w:p>
        </w:tc>
        <w:tc>
          <w:tcPr>
            <w:tcW w:w="2268" w:type="dxa"/>
            <w:vAlign w:val="center"/>
          </w:tcPr>
          <w:p w14:paraId="2EBCD405">
            <w:pPr>
              <w:pStyle w:val="11"/>
            </w:pPr>
            <w:r>
              <w:t>指标值</w:t>
            </w:r>
          </w:p>
        </w:tc>
        <w:tc>
          <w:tcPr>
            <w:tcW w:w="1276" w:type="dxa"/>
            <w:vAlign w:val="center"/>
          </w:tcPr>
          <w:p w14:paraId="2513EA26">
            <w:pPr>
              <w:pStyle w:val="11"/>
            </w:pPr>
            <w:r>
              <w:t>指标值确定依据</w:t>
            </w:r>
          </w:p>
        </w:tc>
      </w:tr>
      <w:tr w14:paraId="18D1B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7488C">
            <w:pPr>
              <w:pStyle w:val="12"/>
            </w:pPr>
            <w:r>
              <w:t>产出指标</w:t>
            </w:r>
          </w:p>
        </w:tc>
        <w:tc>
          <w:tcPr>
            <w:tcW w:w="2268" w:type="dxa"/>
            <w:vAlign w:val="center"/>
          </w:tcPr>
          <w:p w14:paraId="2670D5DD">
            <w:pPr>
              <w:pStyle w:val="13"/>
            </w:pPr>
            <w:r>
              <w:t>数量指标</w:t>
            </w:r>
          </w:p>
        </w:tc>
        <w:tc>
          <w:tcPr>
            <w:tcW w:w="2835" w:type="dxa"/>
            <w:vAlign w:val="center"/>
          </w:tcPr>
          <w:p w14:paraId="7E2C66B7">
            <w:pPr>
              <w:pStyle w:val="13"/>
            </w:pPr>
            <w:r>
              <w:t>适龄在校生</w:t>
            </w:r>
          </w:p>
        </w:tc>
        <w:tc>
          <w:tcPr>
            <w:tcW w:w="5386" w:type="dxa"/>
            <w:vAlign w:val="center"/>
          </w:tcPr>
          <w:p w14:paraId="270D4B6A">
            <w:pPr>
              <w:pStyle w:val="13"/>
            </w:pPr>
            <w:r>
              <w:t>辖区内适龄儿童全覆盖</w:t>
            </w:r>
          </w:p>
        </w:tc>
        <w:tc>
          <w:tcPr>
            <w:tcW w:w="2268" w:type="dxa"/>
            <w:vAlign w:val="center"/>
          </w:tcPr>
          <w:p w14:paraId="4A6C101C">
            <w:pPr>
              <w:pStyle w:val="13"/>
            </w:pPr>
            <w:r>
              <w:t>97人</w:t>
            </w:r>
          </w:p>
        </w:tc>
        <w:tc>
          <w:tcPr>
            <w:tcW w:w="1276" w:type="dxa"/>
            <w:vAlign w:val="center"/>
          </w:tcPr>
          <w:p w14:paraId="152DC310">
            <w:pPr>
              <w:pStyle w:val="13"/>
            </w:pPr>
            <w:r>
              <w:t>幼儿园生均公用经费管理办法</w:t>
            </w:r>
          </w:p>
        </w:tc>
      </w:tr>
      <w:tr w14:paraId="10331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639E4"/>
        </w:tc>
        <w:tc>
          <w:tcPr>
            <w:tcW w:w="2268" w:type="dxa"/>
            <w:vAlign w:val="center"/>
          </w:tcPr>
          <w:p w14:paraId="4907705F">
            <w:pPr>
              <w:pStyle w:val="13"/>
            </w:pPr>
            <w:r>
              <w:t>质量指标</w:t>
            </w:r>
          </w:p>
        </w:tc>
        <w:tc>
          <w:tcPr>
            <w:tcW w:w="2835" w:type="dxa"/>
            <w:vAlign w:val="center"/>
          </w:tcPr>
          <w:p w14:paraId="1BD378A3">
            <w:pPr>
              <w:pStyle w:val="13"/>
            </w:pPr>
            <w:r>
              <w:t>预算控制率</w:t>
            </w:r>
          </w:p>
        </w:tc>
        <w:tc>
          <w:tcPr>
            <w:tcW w:w="5386" w:type="dxa"/>
            <w:vAlign w:val="center"/>
          </w:tcPr>
          <w:p w14:paraId="32EDBA97">
            <w:pPr>
              <w:pStyle w:val="13"/>
            </w:pPr>
            <w:r>
              <w:t>预算执行</w:t>
            </w:r>
          </w:p>
        </w:tc>
        <w:tc>
          <w:tcPr>
            <w:tcW w:w="2268" w:type="dxa"/>
            <w:vAlign w:val="center"/>
          </w:tcPr>
          <w:p w14:paraId="3E7BAC0B">
            <w:pPr>
              <w:pStyle w:val="13"/>
            </w:pPr>
            <w:r>
              <w:t>≥95%</w:t>
            </w:r>
          </w:p>
        </w:tc>
        <w:tc>
          <w:tcPr>
            <w:tcW w:w="1276" w:type="dxa"/>
            <w:vAlign w:val="center"/>
          </w:tcPr>
          <w:p w14:paraId="0B721592">
            <w:pPr>
              <w:pStyle w:val="13"/>
            </w:pPr>
            <w:r>
              <w:t>幼儿园生均公用经费管理办法</w:t>
            </w:r>
          </w:p>
        </w:tc>
      </w:tr>
      <w:tr w14:paraId="0D913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02916"/>
        </w:tc>
        <w:tc>
          <w:tcPr>
            <w:tcW w:w="2268" w:type="dxa"/>
            <w:vAlign w:val="center"/>
          </w:tcPr>
          <w:p w14:paraId="6B4CC664">
            <w:pPr>
              <w:pStyle w:val="13"/>
            </w:pPr>
            <w:r>
              <w:t>时效指标</w:t>
            </w:r>
          </w:p>
        </w:tc>
        <w:tc>
          <w:tcPr>
            <w:tcW w:w="2835" w:type="dxa"/>
            <w:vAlign w:val="center"/>
          </w:tcPr>
          <w:p w14:paraId="69086765">
            <w:pPr>
              <w:pStyle w:val="13"/>
            </w:pPr>
            <w:r>
              <w:t>资金支付率</w:t>
            </w:r>
          </w:p>
        </w:tc>
        <w:tc>
          <w:tcPr>
            <w:tcW w:w="5386" w:type="dxa"/>
            <w:vAlign w:val="center"/>
          </w:tcPr>
          <w:p w14:paraId="5150E23C">
            <w:pPr>
              <w:pStyle w:val="13"/>
            </w:pPr>
            <w:r>
              <w:t>按照序时进度完成资金支付</w:t>
            </w:r>
          </w:p>
        </w:tc>
        <w:tc>
          <w:tcPr>
            <w:tcW w:w="2268" w:type="dxa"/>
            <w:vAlign w:val="center"/>
          </w:tcPr>
          <w:p w14:paraId="12973A09">
            <w:pPr>
              <w:pStyle w:val="13"/>
            </w:pPr>
            <w:r>
              <w:t>≥100%</w:t>
            </w:r>
          </w:p>
        </w:tc>
        <w:tc>
          <w:tcPr>
            <w:tcW w:w="1276" w:type="dxa"/>
            <w:vAlign w:val="center"/>
          </w:tcPr>
          <w:p w14:paraId="28DAD371">
            <w:pPr>
              <w:pStyle w:val="13"/>
            </w:pPr>
            <w:r>
              <w:t>幼儿园生均公用经费管理办法</w:t>
            </w:r>
          </w:p>
        </w:tc>
      </w:tr>
      <w:tr w14:paraId="0E73F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B88FF"/>
        </w:tc>
        <w:tc>
          <w:tcPr>
            <w:tcW w:w="2268" w:type="dxa"/>
            <w:vAlign w:val="center"/>
          </w:tcPr>
          <w:p w14:paraId="4CBD7B7B">
            <w:pPr>
              <w:pStyle w:val="13"/>
            </w:pPr>
            <w:r>
              <w:t>成本指标</w:t>
            </w:r>
          </w:p>
        </w:tc>
        <w:tc>
          <w:tcPr>
            <w:tcW w:w="2835" w:type="dxa"/>
            <w:vAlign w:val="center"/>
          </w:tcPr>
          <w:p w14:paraId="7AB114AB">
            <w:pPr>
              <w:pStyle w:val="13"/>
            </w:pPr>
            <w:r>
              <w:t>生均拨款标准</w:t>
            </w:r>
          </w:p>
        </w:tc>
        <w:tc>
          <w:tcPr>
            <w:tcW w:w="5386" w:type="dxa"/>
            <w:vAlign w:val="center"/>
          </w:tcPr>
          <w:p w14:paraId="7D1217E6">
            <w:pPr>
              <w:pStyle w:val="13"/>
            </w:pPr>
            <w:r>
              <w:t>学前经费600元/生/年</w:t>
            </w:r>
          </w:p>
        </w:tc>
        <w:tc>
          <w:tcPr>
            <w:tcW w:w="2268" w:type="dxa"/>
            <w:vAlign w:val="center"/>
          </w:tcPr>
          <w:p w14:paraId="630A6BA2">
            <w:pPr>
              <w:pStyle w:val="13"/>
            </w:pPr>
            <w:r>
              <w:t>600元</w:t>
            </w:r>
          </w:p>
        </w:tc>
        <w:tc>
          <w:tcPr>
            <w:tcW w:w="1276" w:type="dxa"/>
            <w:vAlign w:val="center"/>
          </w:tcPr>
          <w:p w14:paraId="762571FC">
            <w:pPr>
              <w:pStyle w:val="13"/>
            </w:pPr>
            <w:r>
              <w:t>幼儿园生均公用经费管理办法</w:t>
            </w:r>
          </w:p>
        </w:tc>
      </w:tr>
      <w:tr w14:paraId="5B888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7F6AF1">
            <w:pPr>
              <w:pStyle w:val="12"/>
            </w:pPr>
            <w:r>
              <w:t>效益指标</w:t>
            </w:r>
          </w:p>
        </w:tc>
        <w:tc>
          <w:tcPr>
            <w:tcW w:w="2268" w:type="dxa"/>
            <w:vAlign w:val="center"/>
          </w:tcPr>
          <w:p w14:paraId="009A9BE1">
            <w:pPr>
              <w:pStyle w:val="13"/>
            </w:pPr>
            <w:r>
              <w:t>可持续影响指标</w:t>
            </w:r>
          </w:p>
        </w:tc>
        <w:tc>
          <w:tcPr>
            <w:tcW w:w="2835" w:type="dxa"/>
            <w:vAlign w:val="center"/>
          </w:tcPr>
          <w:p w14:paraId="20510842">
            <w:pPr>
              <w:pStyle w:val="13"/>
            </w:pPr>
            <w:r>
              <w:t>教育发展水平明显好转</w:t>
            </w:r>
          </w:p>
        </w:tc>
        <w:tc>
          <w:tcPr>
            <w:tcW w:w="5386" w:type="dxa"/>
            <w:vAlign w:val="center"/>
          </w:tcPr>
          <w:p w14:paraId="68B4AAF3">
            <w:pPr>
              <w:pStyle w:val="13"/>
            </w:pPr>
            <w:r>
              <w:t>学生受教育年限</w:t>
            </w:r>
          </w:p>
        </w:tc>
        <w:tc>
          <w:tcPr>
            <w:tcW w:w="2268" w:type="dxa"/>
            <w:vAlign w:val="center"/>
          </w:tcPr>
          <w:p w14:paraId="2352E77E">
            <w:pPr>
              <w:pStyle w:val="13"/>
            </w:pPr>
            <w:r>
              <w:t>3年</w:t>
            </w:r>
          </w:p>
        </w:tc>
        <w:tc>
          <w:tcPr>
            <w:tcW w:w="1276" w:type="dxa"/>
            <w:vAlign w:val="center"/>
          </w:tcPr>
          <w:p w14:paraId="73D8566C">
            <w:pPr>
              <w:pStyle w:val="13"/>
            </w:pPr>
            <w:r>
              <w:t>幼儿园生均公用经费管理办法</w:t>
            </w:r>
          </w:p>
        </w:tc>
      </w:tr>
      <w:tr w14:paraId="2CD97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C05BFF">
            <w:pPr>
              <w:pStyle w:val="12"/>
            </w:pPr>
            <w:r>
              <w:t>满意度指标</w:t>
            </w:r>
          </w:p>
        </w:tc>
        <w:tc>
          <w:tcPr>
            <w:tcW w:w="2268" w:type="dxa"/>
            <w:vAlign w:val="center"/>
          </w:tcPr>
          <w:p w14:paraId="2D31FE0A">
            <w:pPr>
              <w:pStyle w:val="13"/>
            </w:pPr>
            <w:r>
              <w:t>服务对象满意度指标</w:t>
            </w:r>
          </w:p>
        </w:tc>
        <w:tc>
          <w:tcPr>
            <w:tcW w:w="2835" w:type="dxa"/>
            <w:vAlign w:val="center"/>
          </w:tcPr>
          <w:p w14:paraId="624599E7">
            <w:pPr>
              <w:pStyle w:val="13"/>
            </w:pPr>
            <w:r>
              <w:t>受益学生家长及调查满意度</w:t>
            </w:r>
          </w:p>
        </w:tc>
        <w:tc>
          <w:tcPr>
            <w:tcW w:w="5386" w:type="dxa"/>
            <w:vAlign w:val="center"/>
          </w:tcPr>
          <w:p w14:paraId="1A4F8D98">
            <w:pPr>
              <w:pStyle w:val="13"/>
            </w:pPr>
            <w:r>
              <w:t>学生、教师及家长对学校保教保育工作满意度情况</w:t>
            </w:r>
          </w:p>
        </w:tc>
        <w:tc>
          <w:tcPr>
            <w:tcW w:w="2268" w:type="dxa"/>
            <w:vAlign w:val="center"/>
          </w:tcPr>
          <w:p w14:paraId="24994AB5">
            <w:pPr>
              <w:pStyle w:val="13"/>
            </w:pPr>
            <w:r>
              <w:t>≥95%</w:t>
            </w:r>
          </w:p>
        </w:tc>
        <w:tc>
          <w:tcPr>
            <w:tcW w:w="1276" w:type="dxa"/>
            <w:vAlign w:val="center"/>
          </w:tcPr>
          <w:p w14:paraId="1C752E7D">
            <w:pPr>
              <w:pStyle w:val="13"/>
            </w:pPr>
            <w:r>
              <w:t>调查问卷</w:t>
            </w:r>
          </w:p>
        </w:tc>
      </w:tr>
    </w:tbl>
    <w:p w14:paraId="589B6775">
      <w:pPr>
        <w:sectPr>
          <w:pgSz w:w="16840" w:h="11900" w:orient="landscape"/>
          <w:pgMar w:top="1361" w:right="1020" w:bottom="1134" w:left="1020" w:header="720" w:footer="720" w:gutter="0"/>
          <w:cols w:space="720" w:num="1"/>
        </w:sectPr>
      </w:pPr>
    </w:p>
    <w:p w14:paraId="44012B00">
      <w:pPr>
        <w:spacing w:before="0" w:after="0"/>
        <w:ind w:firstLine="560"/>
        <w:jc w:val="left"/>
        <w:outlineLvl w:val="9"/>
      </w:pPr>
      <w:r>
        <w:rPr>
          <w:rFonts w:ascii="方正仿宋_GBK" w:hAnsi="方正仿宋_GBK" w:eastAsia="方正仿宋_GBK" w:cs="方正仿宋_GBK"/>
          <w:b/>
          <w:color w:val="000000"/>
          <w:sz w:val="28"/>
        </w:rPr>
        <w:t>173、县级资金/隆尧县博园新星幼儿园公用经费绩效目标表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08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C8EA4">
            <w:pPr>
              <w:pStyle w:val="14"/>
            </w:pPr>
            <w:r>
              <w:t>单位：万元</w:t>
            </w:r>
          </w:p>
        </w:tc>
      </w:tr>
      <w:tr w14:paraId="0D86B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F65C02">
            <w:pPr>
              <w:pStyle w:val="11"/>
            </w:pPr>
            <w:r>
              <w:t>项目编码</w:t>
            </w:r>
          </w:p>
        </w:tc>
        <w:tc>
          <w:tcPr>
            <w:tcW w:w="5103" w:type="dxa"/>
            <w:gridSpan w:val="2"/>
            <w:vAlign w:val="center"/>
          </w:tcPr>
          <w:p w14:paraId="015CC66D">
            <w:pPr>
              <w:pStyle w:val="13"/>
            </w:pPr>
            <w:r>
              <w:t>13052525P008756100763</w:t>
            </w:r>
          </w:p>
        </w:tc>
        <w:tc>
          <w:tcPr>
            <w:tcW w:w="2835" w:type="dxa"/>
            <w:vAlign w:val="center"/>
          </w:tcPr>
          <w:p w14:paraId="21F0DC85">
            <w:pPr>
              <w:pStyle w:val="11"/>
            </w:pPr>
            <w:r>
              <w:t>项目名称</w:t>
            </w:r>
          </w:p>
        </w:tc>
        <w:tc>
          <w:tcPr>
            <w:tcW w:w="6095" w:type="dxa"/>
            <w:gridSpan w:val="3"/>
            <w:vAlign w:val="center"/>
          </w:tcPr>
          <w:p w14:paraId="5433E00A">
            <w:pPr>
              <w:pStyle w:val="13"/>
            </w:pPr>
            <w:r>
              <w:t>县级资金/隆尧县博园新星幼儿园公用经费</w:t>
            </w:r>
          </w:p>
        </w:tc>
      </w:tr>
      <w:tr w14:paraId="5B79D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C1CEC">
            <w:pPr>
              <w:pStyle w:val="11"/>
            </w:pPr>
            <w:r>
              <w:t>预算规模及资金用途</w:t>
            </w:r>
          </w:p>
        </w:tc>
        <w:tc>
          <w:tcPr>
            <w:tcW w:w="2268" w:type="dxa"/>
            <w:vAlign w:val="center"/>
          </w:tcPr>
          <w:p w14:paraId="08A6FE23">
            <w:pPr>
              <w:pStyle w:val="11"/>
            </w:pPr>
            <w:r>
              <w:t>预算数</w:t>
            </w:r>
          </w:p>
        </w:tc>
        <w:tc>
          <w:tcPr>
            <w:tcW w:w="2835" w:type="dxa"/>
            <w:vAlign w:val="center"/>
          </w:tcPr>
          <w:p w14:paraId="5BD4B9B9">
            <w:pPr>
              <w:pStyle w:val="13"/>
            </w:pPr>
            <w:r>
              <w:t>3.02</w:t>
            </w:r>
          </w:p>
        </w:tc>
        <w:tc>
          <w:tcPr>
            <w:tcW w:w="2835" w:type="dxa"/>
            <w:vAlign w:val="center"/>
          </w:tcPr>
          <w:p w14:paraId="67F95986">
            <w:pPr>
              <w:pStyle w:val="11"/>
            </w:pPr>
            <w:r>
              <w:t>其中：财政    资金</w:t>
            </w:r>
          </w:p>
        </w:tc>
        <w:tc>
          <w:tcPr>
            <w:tcW w:w="2551" w:type="dxa"/>
            <w:vAlign w:val="center"/>
          </w:tcPr>
          <w:p w14:paraId="0FBBF57C">
            <w:pPr>
              <w:pStyle w:val="13"/>
            </w:pPr>
            <w:r>
              <w:t>3.02</w:t>
            </w:r>
          </w:p>
        </w:tc>
        <w:tc>
          <w:tcPr>
            <w:tcW w:w="2268" w:type="dxa"/>
            <w:vAlign w:val="center"/>
          </w:tcPr>
          <w:p w14:paraId="53251BFC">
            <w:pPr>
              <w:pStyle w:val="11"/>
            </w:pPr>
            <w:r>
              <w:t>其他资金</w:t>
            </w:r>
          </w:p>
        </w:tc>
        <w:tc>
          <w:tcPr>
            <w:tcW w:w="1276" w:type="dxa"/>
            <w:vAlign w:val="center"/>
          </w:tcPr>
          <w:p w14:paraId="7B6A5058">
            <w:pPr>
              <w:pStyle w:val="13"/>
            </w:pPr>
            <w:r>
              <w:t xml:space="preserve"> </w:t>
            </w:r>
          </w:p>
        </w:tc>
      </w:tr>
      <w:tr w14:paraId="3F0FC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521B5"/>
        </w:tc>
        <w:tc>
          <w:tcPr>
            <w:tcW w:w="14033" w:type="dxa"/>
            <w:gridSpan w:val="6"/>
            <w:vAlign w:val="center"/>
          </w:tcPr>
          <w:p w14:paraId="242E2EB1">
            <w:pPr>
              <w:pStyle w:val="13"/>
            </w:pPr>
            <w:r>
              <w:t>按季度分批次拨付安排公用经费资金，学校按照预算安排进行资金使用，保证资金正常支出。</w:t>
            </w:r>
          </w:p>
        </w:tc>
      </w:tr>
      <w:tr w14:paraId="0DB40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DE68C">
            <w:pPr>
              <w:pStyle w:val="11"/>
            </w:pPr>
            <w:r>
              <w:t>资金支出计划（%）</w:t>
            </w:r>
          </w:p>
        </w:tc>
        <w:tc>
          <w:tcPr>
            <w:tcW w:w="5103" w:type="dxa"/>
            <w:gridSpan w:val="2"/>
            <w:vAlign w:val="center"/>
          </w:tcPr>
          <w:p w14:paraId="5756100E">
            <w:pPr>
              <w:pStyle w:val="11"/>
            </w:pPr>
            <w:r>
              <w:t>3月底</w:t>
            </w:r>
          </w:p>
        </w:tc>
        <w:tc>
          <w:tcPr>
            <w:tcW w:w="2835" w:type="dxa"/>
            <w:vAlign w:val="center"/>
          </w:tcPr>
          <w:p w14:paraId="48C95506">
            <w:pPr>
              <w:pStyle w:val="11"/>
            </w:pPr>
            <w:r>
              <w:t>6月底</w:t>
            </w:r>
          </w:p>
        </w:tc>
        <w:tc>
          <w:tcPr>
            <w:tcW w:w="2551" w:type="dxa"/>
            <w:vAlign w:val="center"/>
          </w:tcPr>
          <w:p w14:paraId="3895A4F4">
            <w:pPr>
              <w:pStyle w:val="11"/>
            </w:pPr>
            <w:r>
              <w:t>10月底</w:t>
            </w:r>
          </w:p>
        </w:tc>
        <w:tc>
          <w:tcPr>
            <w:tcW w:w="3544" w:type="dxa"/>
            <w:gridSpan w:val="2"/>
            <w:vAlign w:val="center"/>
          </w:tcPr>
          <w:p w14:paraId="37738095">
            <w:pPr>
              <w:pStyle w:val="11"/>
            </w:pPr>
            <w:r>
              <w:t>12月底</w:t>
            </w:r>
          </w:p>
        </w:tc>
      </w:tr>
      <w:tr w14:paraId="203DD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452C0D"/>
        </w:tc>
        <w:tc>
          <w:tcPr>
            <w:tcW w:w="5103" w:type="dxa"/>
            <w:gridSpan w:val="2"/>
            <w:vAlign w:val="center"/>
          </w:tcPr>
          <w:p w14:paraId="12272023">
            <w:pPr>
              <w:pStyle w:val="12"/>
            </w:pPr>
            <w:r>
              <w:t xml:space="preserve"> </w:t>
            </w:r>
          </w:p>
        </w:tc>
        <w:tc>
          <w:tcPr>
            <w:tcW w:w="2835" w:type="dxa"/>
            <w:vAlign w:val="center"/>
          </w:tcPr>
          <w:p w14:paraId="577289C5">
            <w:pPr>
              <w:pStyle w:val="12"/>
            </w:pPr>
            <w:r>
              <w:t>50%</w:t>
            </w:r>
          </w:p>
        </w:tc>
        <w:tc>
          <w:tcPr>
            <w:tcW w:w="2551" w:type="dxa"/>
            <w:vAlign w:val="center"/>
          </w:tcPr>
          <w:p w14:paraId="2854388B">
            <w:pPr>
              <w:pStyle w:val="12"/>
            </w:pPr>
            <w:r>
              <w:t>75%</w:t>
            </w:r>
          </w:p>
        </w:tc>
        <w:tc>
          <w:tcPr>
            <w:tcW w:w="3544" w:type="dxa"/>
            <w:gridSpan w:val="2"/>
            <w:vAlign w:val="center"/>
          </w:tcPr>
          <w:p w14:paraId="28102B0A">
            <w:pPr>
              <w:pStyle w:val="12"/>
            </w:pPr>
            <w:r>
              <w:t>100%</w:t>
            </w:r>
          </w:p>
        </w:tc>
      </w:tr>
      <w:tr w14:paraId="7A1ED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5E7F1">
            <w:pPr>
              <w:pStyle w:val="11"/>
            </w:pPr>
            <w:r>
              <w:t>绩效目标</w:t>
            </w:r>
          </w:p>
        </w:tc>
        <w:tc>
          <w:tcPr>
            <w:tcW w:w="14033" w:type="dxa"/>
            <w:gridSpan w:val="6"/>
            <w:vAlign w:val="center"/>
          </w:tcPr>
          <w:p w14:paraId="26AF6821">
            <w:pPr>
              <w:pStyle w:val="13"/>
            </w:pPr>
            <w:r>
              <w:t>1.按季度分批次拨付安排公用经费资金，学校按照预算安排进行资金使用，保证资金正常支出。</w:t>
            </w:r>
          </w:p>
        </w:tc>
      </w:tr>
    </w:tbl>
    <w:p w14:paraId="74F54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30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AB961">
            <w:pPr>
              <w:pStyle w:val="11"/>
            </w:pPr>
            <w:r>
              <w:t>一级指标</w:t>
            </w:r>
          </w:p>
        </w:tc>
        <w:tc>
          <w:tcPr>
            <w:tcW w:w="2268" w:type="dxa"/>
            <w:vAlign w:val="center"/>
          </w:tcPr>
          <w:p w14:paraId="6DF1BD6E">
            <w:pPr>
              <w:pStyle w:val="11"/>
            </w:pPr>
            <w:r>
              <w:t>二级指标</w:t>
            </w:r>
          </w:p>
        </w:tc>
        <w:tc>
          <w:tcPr>
            <w:tcW w:w="2835" w:type="dxa"/>
            <w:vAlign w:val="center"/>
          </w:tcPr>
          <w:p w14:paraId="68FF8599">
            <w:pPr>
              <w:pStyle w:val="11"/>
            </w:pPr>
            <w:r>
              <w:t>三级指标</w:t>
            </w:r>
          </w:p>
        </w:tc>
        <w:tc>
          <w:tcPr>
            <w:tcW w:w="5386" w:type="dxa"/>
            <w:vAlign w:val="center"/>
          </w:tcPr>
          <w:p w14:paraId="6BE1600F">
            <w:pPr>
              <w:pStyle w:val="11"/>
            </w:pPr>
            <w:r>
              <w:t>绩效指标描述</w:t>
            </w:r>
          </w:p>
        </w:tc>
        <w:tc>
          <w:tcPr>
            <w:tcW w:w="2268" w:type="dxa"/>
            <w:vAlign w:val="center"/>
          </w:tcPr>
          <w:p w14:paraId="537E7B18">
            <w:pPr>
              <w:pStyle w:val="11"/>
            </w:pPr>
            <w:r>
              <w:t>指标值</w:t>
            </w:r>
          </w:p>
        </w:tc>
        <w:tc>
          <w:tcPr>
            <w:tcW w:w="1276" w:type="dxa"/>
            <w:vAlign w:val="center"/>
          </w:tcPr>
          <w:p w14:paraId="366E5CB4">
            <w:pPr>
              <w:pStyle w:val="11"/>
            </w:pPr>
            <w:r>
              <w:t>指标值确定依据</w:t>
            </w:r>
          </w:p>
        </w:tc>
      </w:tr>
      <w:tr w14:paraId="0C654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90056">
            <w:pPr>
              <w:pStyle w:val="12"/>
            </w:pPr>
            <w:r>
              <w:t>产出指标</w:t>
            </w:r>
          </w:p>
        </w:tc>
        <w:tc>
          <w:tcPr>
            <w:tcW w:w="2268" w:type="dxa"/>
            <w:vAlign w:val="center"/>
          </w:tcPr>
          <w:p w14:paraId="4B3ACDEE">
            <w:pPr>
              <w:pStyle w:val="13"/>
            </w:pPr>
            <w:r>
              <w:t>数量指标</w:t>
            </w:r>
          </w:p>
        </w:tc>
        <w:tc>
          <w:tcPr>
            <w:tcW w:w="2835" w:type="dxa"/>
            <w:vAlign w:val="center"/>
          </w:tcPr>
          <w:p w14:paraId="445C59E2">
            <w:pPr>
              <w:pStyle w:val="13"/>
            </w:pPr>
            <w:r>
              <w:t>适龄在校生</w:t>
            </w:r>
          </w:p>
        </w:tc>
        <w:tc>
          <w:tcPr>
            <w:tcW w:w="5386" w:type="dxa"/>
            <w:vAlign w:val="center"/>
          </w:tcPr>
          <w:p w14:paraId="28EB8067">
            <w:pPr>
              <w:pStyle w:val="13"/>
            </w:pPr>
            <w:r>
              <w:t>辖区内适龄儿童全覆盖</w:t>
            </w:r>
          </w:p>
        </w:tc>
        <w:tc>
          <w:tcPr>
            <w:tcW w:w="2268" w:type="dxa"/>
            <w:vAlign w:val="center"/>
          </w:tcPr>
          <w:p w14:paraId="0AA550A0">
            <w:pPr>
              <w:pStyle w:val="13"/>
            </w:pPr>
            <w:r>
              <w:t>67人</w:t>
            </w:r>
          </w:p>
        </w:tc>
        <w:tc>
          <w:tcPr>
            <w:tcW w:w="1276" w:type="dxa"/>
            <w:vAlign w:val="center"/>
          </w:tcPr>
          <w:p w14:paraId="388E319F">
            <w:pPr>
              <w:pStyle w:val="13"/>
            </w:pPr>
            <w:r>
              <w:t>幼儿园生均公用经费管理办法</w:t>
            </w:r>
          </w:p>
        </w:tc>
      </w:tr>
      <w:tr w14:paraId="108DE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1CC09"/>
        </w:tc>
        <w:tc>
          <w:tcPr>
            <w:tcW w:w="2268" w:type="dxa"/>
            <w:vAlign w:val="center"/>
          </w:tcPr>
          <w:p w14:paraId="21ED6F85">
            <w:pPr>
              <w:pStyle w:val="13"/>
            </w:pPr>
            <w:r>
              <w:t>质量指标</w:t>
            </w:r>
          </w:p>
        </w:tc>
        <w:tc>
          <w:tcPr>
            <w:tcW w:w="2835" w:type="dxa"/>
            <w:vAlign w:val="center"/>
          </w:tcPr>
          <w:p w14:paraId="0531B529">
            <w:pPr>
              <w:pStyle w:val="13"/>
            </w:pPr>
            <w:r>
              <w:t>预算控制率</w:t>
            </w:r>
          </w:p>
        </w:tc>
        <w:tc>
          <w:tcPr>
            <w:tcW w:w="5386" w:type="dxa"/>
            <w:vAlign w:val="center"/>
          </w:tcPr>
          <w:p w14:paraId="16A8C845">
            <w:pPr>
              <w:pStyle w:val="13"/>
            </w:pPr>
            <w:r>
              <w:t>预算执行</w:t>
            </w:r>
          </w:p>
        </w:tc>
        <w:tc>
          <w:tcPr>
            <w:tcW w:w="2268" w:type="dxa"/>
            <w:vAlign w:val="center"/>
          </w:tcPr>
          <w:p w14:paraId="262594E5">
            <w:pPr>
              <w:pStyle w:val="13"/>
            </w:pPr>
            <w:r>
              <w:t>≥95%</w:t>
            </w:r>
          </w:p>
        </w:tc>
        <w:tc>
          <w:tcPr>
            <w:tcW w:w="1276" w:type="dxa"/>
            <w:vAlign w:val="center"/>
          </w:tcPr>
          <w:p w14:paraId="791560EE">
            <w:pPr>
              <w:pStyle w:val="13"/>
            </w:pPr>
            <w:r>
              <w:t>幼儿园生均公用经费管理办法</w:t>
            </w:r>
          </w:p>
        </w:tc>
      </w:tr>
      <w:tr w14:paraId="0D26B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8961C"/>
        </w:tc>
        <w:tc>
          <w:tcPr>
            <w:tcW w:w="2268" w:type="dxa"/>
            <w:vAlign w:val="center"/>
          </w:tcPr>
          <w:p w14:paraId="6728B30F">
            <w:pPr>
              <w:pStyle w:val="13"/>
            </w:pPr>
            <w:r>
              <w:t>时效指标</w:t>
            </w:r>
          </w:p>
        </w:tc>
        <w:tc>
          <w:tcPr>
            <w:tcW w:w="2835" w:type="dxa"/>
            <w:vAlign w:val="center"/>
          </w:tcPr>
          <w:p w14:paraId="60C749F8">
            <w:pPr>
              <w:pStyle w:val="13"/>
            </w:pPr>
            <w:r>
              <w:t>资金支付率</w:t>
            </w:r>
          </w:p>
        </w:tc>
        <w:tc>
          <w:tcPr>
            <w:tcW w:w="5386" w:type="dxa"/>
            <w:vAlign w:val="center"/>
          </w:tcPr>
          <w:p w14:paraId="0402D2C8">
            <w:pPr>
              <w:pStyle w:val="13"/>
            </w:pPr>
            <w:r>
              <w:t>按照序时进度完成资金支付</w:t>
            </w:r>
          </w:p>
        </w:tc>
        <w:tc>
          <w:tcPr>
            <w:tcW w:w="2268" w:type="dxa"/>
            <w:vAlign w:val="center"/>
          </w:tcPr>
          <w:p w14:paraId="5ADE9F58">
            <w:pPr>
              <w:pStyle w:val="13"/>
            </w:pPr>
            <w:r>
              <w:t>≥100%</w:t>
            </w:r>
          </w:p>
        </w:tc>
        <w:tc>
          <w:tcPr>
            <w:tcW w:w="1276" w:type="dxa"/>
            <w:vAlign w:val="center"/>
          </w:tcPr>
          <w:p w14:paraId="23026990">
            <w:pPr>
              <w:pStyle w:val="13"/>
            </w:pPr>
            <w:r>
              <w:t>幼儿园生均公用经费管理办法</w:t>
            </w:r>
          </w:p>
        </w:tc>
      </w:tr>
      <w:tr w14:paraId="54903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EE526"/>
        </w:tc>
        <w:tc>
          <w:tcPr>
            <w:tcW w:w="2268" w:type="dxa"/>
            <w:vAlign w:val="center"/>
          </w:tcPr>
          <w:p w14:paraId="68EC6827">
            <w:pPr>
              <w:pStyle w:val="13"/>
            </w:pPr>
            <w:r>
              <w:t>成本指标</w:t>
            </w:r>
          </w:p>
        </w:tc>
        <w:tc>
          <w:tcPr>
            <w:tcW w:w="2835" w:type="dxa"/>
            <w:vAlign w:val="center"/>
          </w:tcPr>
          <w:p w14:paraId="716012EF">
            <w:pPr>
              <w:pStyle w:val="13"/>
            </w:pPr>
            <w:r>
              <w:t>生均拨款标准</w:t>
            </w:r>
          </w:p>
        </w:tc>
        <w:tc>
          <w:tcPr>
            <w:tcW w:w="5386" w:type="dxa"/>
            <w:vAlign w:val="center"/>
          </w:tcPr>
          <w:p w14:paraId="5DDA8FBE">
            <w:pPr>
              <w:pStyle w:val="13"/>
            </w:pPr>
            <w:r>
              <w:t>学前经费600元/生/年</w:t>
            </w:r>
          </w:p>
        </w:tc>
        <w:tc>
          <w:tcPr>
            <w:tcW w:w="2268" w:type="dxa"/>
            <w:vAlign w:val="center"/>
          </w:tcPr>
          <w:p w14:paraId="4E8BF66C">
            <w:pPr>
              <w:pStyle w:val="13"/>
            </w:pPr>
            <w:r>
              <w:t>600元</w:t>
            </w:r>
          </w:p>
        </w:tc>
        <w:tc>
          <w:tcPr>
            <w:tcW w:w="1276" w:type="dxa"/>
            <w:vAlign w:val="center"/>
          </w:tcPr>
          <w:p w14:paraId="25C9A1C3">
            <w:pPr>
              <w:pStyle w:val="13"/>
            </w:pPr>
            <w:r>
              <w:t>幼儿园生均公用经费管理办法</w:t>
            </w:r>
          </w:p>
        </w:tc>
      </w:tr>
      <w:tr w14:paraId="5FB70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FD420D">
            <w:pPr>
              <w:pStyle w:val="12"/>
            </w:pPr>
            <w:r>
              <w:t>效益指标</w:t>
            </w:r>
          </w:p>
        </w:tc>
        <w:tc>
          <w:tcPr>
            <w:tcW w:w="2268" w:type="dxa"/>
            <w:vAlign w:val="center"/>
          </w:tcPr>
          <w:p w14:paraId="0F47C864">
            <w:pPr>
              <w:pStyle w:val="13"/>
            </w:pPr>
            <w:r>
              <w:t>可持续影响指标</w:t>
            </w:r>
          </w:p>
        </w:tc>
        <w:tc>
          <w:tcPr>
            <w:tcW w:w="2835" w:type="dxa"/>
            <w:vAlign w:val="center"/>
          </w:tcPr>
          <w:p w14:paraId="1D19668B">
            <w:pPr>
              <w:pStyle w:val="13"/>
            </w:pPr>
            <w:r>
              <w:t>教育发展水平明显好转</w:t>
            </w:r>
          </w:p>
        </w:tc>
        <w:tc>
          <w:tcPr>
            <w:tcW w:w="5386" w:type="dxa"/>
            <w:vAlign w:val="center"/>
          </w:tcPr>
          <w:p w14:paraId="46922218">
            <w:pPr>
              <w:pStyle w:val="13"/>
            </w:pPr>
            <w:r>
              <w:t>学生受教育年限</w:t>
            </w:r>
          </w:p>
        </w:tc>
        <w:tc>
          <w:tcPr>
            <w:tcW w:w="2268" w:type="dxa"/>
            <w:vAlign w:val="center"/>
          </w:tcPr>
          <w:p w14:paraId="0E6C35C0">
            <w:pPr>
              <w:pStyle w:val="13"/>
            </w:pPr>
            <w:r>
              <w:t>3年</w:t>
            </w:r>
          </w:p>
        </w:tc>
        <w:tc>
          <w:tcPr>
            <w:tcW w:w="1276" w:type="dxa"/>
            <w:vAlign w:val="center"/>
          </w:tcPr>
          <w:p w14:paraId="55803792">
            <w:pPr>
              <w:pStyle w:val="13"/>
            </w:pPr>
            <w:r>
              <w:t>幼儿园生均公用经费管理办法</w:t>
            </w:r>
          </w:p>
        </w:tc>
      </w:tr>
      <w:tr w14:paraId="434DD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DE2F71">
            <w:pPr>
              <w:pStyle w:val="12"/>
            </w:pPr>
            <w:r>
              <w:t>满意度指标</w:t>
            </w:r>
          </w:p>
        </w:tc>
        <w:tc>
          <w:tcPr>
            <w:tcW w:w="2268" w:type="dxa"/>
            <w:vAlign w:val="center"/>
          </w:tcPr>
          <w:p w14:paraId="0DA24488">
            <w:pPr>
              <w:pStyle w:val="13"/>
            </w:pPr>
            <w:r>
              <w:t>服务对象满意度指标</w:t>
            </w:r>
          </w:p>
        </w:tc>
        <w:tc>
          <w:tcPr>
            <w:tcW w:w="2835" w:type="dxa"/>
            <w:vAlign w:val="center"/>
          </w:tcPr>
          <w:p w14:paraId="4B8BBF9E">
            <w:pPr>
              <w:pStyle w:val="13"/>
            </w:pPr>
            <w:r>
              <w:t>受益学生家长及调查满意度</w:t>
            </w:r>
          </w:p>
        </w:tc>
        <w:tc>
          <w:tcPr>
            <w:tcW w:w="5386" w:type="dxa"/>
            <w:vAlign w:val="center"/>
          </w:tcPr>
          <w:p w14:paraId="5DB37C5A">
            <w:pPr>
              <w:pStyle w:val="13"/>
            </w:pPr>
            <w:r>
              <w:t>学生、教师及家长对学校保教保育工作满意度情况</w:t>
            </w:r>
          </w:p>
        </w:tc>
        <w:tc>
          <w:tcPr>
            <w:tcW w:w="2268" w:type="dxa"/>
            <w:vAlign w:val="center"/>
          </w:tcPr>
          <w:p w14:paraId="1594EB39">
            <w:pPr>
              <w:pStyle w:val="13"/>
            </w:pPr>
            <w:r>
              <w:t>≥95%</w:t>
            </w:r>
          </w:p>
        </w:tc>
        <w:tc>
          <w:tcPr>
            <w:tcW w:w="1276" w:type="dxa"/>
            <w:vAlign w:val="center"/>
          </w:tcPr>
          <w:p w14:paraId="4D3D0A25">
            <w:pPr>
              <w:pStyle w:val="13"/>
            </w:pPr>
            <w:r>
              <w:t>调查问卷</w:t>
            </w:r>
          </w:p>
        </w:tc>
      </w:tr>
    </w:tbl>
    <w:p w14:paraId="55E71FDE">
      <w:pPr>
        <w:sectPr>
          <w:pgSz w:w="16840" w:h="11900" w:orient="landscape"/>
          <w:pgMar w:top="1361" w:right="1020" w:bottom="1134" w:left="1020" w:header="720" w:footer="720" w:gutter="0"/>
          <w:cols w:space="720" w:num="1"/>
        </w:sectPr>
      </w:pPr>
    </w:p>
    <w:p w14:paraId="0A9973B4">
      <w:pPr>
        <w:spacing w:before="0" w:after="0"/>
        <w:ind w:firstLine="560"/>
        <w:jc w:val="left"/>
        <w:outlineLvl w:val="9"/>
      </w:pPr>
      <w:r>
        <w:rPr>
          <w:rFonts w:ascii="方正仿宋_GBK" w:hAnsi="方正仿宋_GBK" w:eastAsia="方正仿宋_GBK" w:cs="方正仿宋_GBK"/>
          <w:b/>
          <w:color w:val="000000"/>
          <w:sz w:val="28"/>
        </w:rPr>
        <w:t>174、县级资金/隆尧县成贤幼儿园公用经费绩效目标表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C1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43C6A">
            <w:pPr>
              <w:pStyle w:val="14"/>
            </w:pPr>
            <w:r>
              <w:t>单位：万元</w:t>
            </w:r>
          </w:p>
        </w:tc>
      </w:tr>
      <w:tr w14:paraId="3FD41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47DFF5">
            <w:pPr>
              <w:pStyle w:val="11"/>
            </w:pPr>
            <w:r>
              <w:t>项目编码</w:t>
            </w:r>
          </w:p>
        </w:tc>
        <w:tc>
          <w:tcPr>
            <w:tcW w:w="5103" w:type="dxa"/>
            <w:gridSpan w:val="2"/>
            <w:vAlign w:val="center"/>
          </w:tcPr>
          <w:p w14:paraId="44FC4B38">
            <w:pPr>
              <w:pStyle w:val="13"/>
            </w:pPr>
            <w:r>
              <w:t>13052525P00875610053G</w:t>
            </w:r>
          </w:p>
        </w:tc>
        <w:tc>
          <w:tcPr>
            <w:tcW w:w="2835" w:type="dxa"/>
            <w:vAlign w:val="center"/>
          </w:tcPr>
          <w:p w14:paraId="1E6F6796">
            <w:pPr>
              <w:pStyle w:val="11"/>
            </w:pPr>
            <w:r>
              <w:t>项目名称</w:t>
            </w:r>
          </w:p>
        </w:tc>
        <w:tc>
          <w:tcPr>
            <w:tcW w:w="6095" w:type="dxa"/>
            <w:gridSpan w:val="3"/>
            <w:vAlign w:val="center"/>
          </w:tcPr>
          <w:p w14:paraId="2F38BE2A">
            <w:pPr>
              <w:pStyle w:val="13"/>
            </w:pPr>
            <w:r>
              <w:t>县级资金/隆尧县成贤幼儿园公用经费</w:t>
            </w:r>
          </w:p>
        </w:tc>
      </w:tr>
      <w:tr w14:paraId="65E11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4C142">
            <w:pPr>
              <w:pStyle w:val="11"/>
            </w:pPr>
            <w:r>
              <w:t>预算规模及资金用途</w:t>
            </w:r>
          </w:p>
        </w:tc>
        <w:tc>
          <w:tcPr>
            <w:tcW w:w="2268" w:type="dxa"/>
            <w:vAlign w:val="center"/>
          </w:tcPr>
          <w:p w14:paraId="51276B27">
            <w:pPr>
              <w:pStyle w:val="11"/>
            </w:pPr>
            <w:r>
              <w:t>预算数</w:t>
            </w:r>
          </w:p>
        </w:tc>
        <w:tc>
          <w:tcPr>
            <w:tcW w:w="2835" w:type="dxa"/>
            <w:vAlign w:val="center"/>
          </w:tcPr>
          <w:p w14:paraId="7931C7C2">
            <w:pPr>
              <w:pStyle w:val="13"/>
            </w:pPr>
            <w:r>
              <w:t>4.55</w:t>
            </w:r>
          </w:p>
        </w:tc>
        <w:tc>
          <w:tcPr>
            <w:tcW w:w="2835" w:type="dxa"/>
            <w:vAlign w:val="center"/>
          </w:tcPr>
          <w:p w14:paraId="6F4795E2">
            <w:pPr>
              <w:pStyle w:val="11"/>
            </w:pPr>
            <w:r>
              <w:t>其中：财政    资金</w:t>
            </w:r>
          </w:p>
        </w:tc>
        <w:tc>
          <w:tcPr>
            <w:tcW w:w="2551" w:type="dxa"/>
            <w:vAlign w:val="center"/>
          </w:tcPr>
          <w:p w14:paraId="396ECD0D">
            <w:pPr>
              <w:pStyle w:val="13"/>
            </w:pPr>
            <w:r>
              <w:t>4.55</w:t>
            </w:r>
          </w:p>
        </w:tc>
        <w:tc>
          <w:tcPr>
            <w:tcW w:w="2268" w:type="dxa"/>
            <w:vAlign w:val="center"/>
          </w:tcPr>
          <w:p w14:paraId="71415F4A">
            <w:pPr>
              <w:pStyle w:val="11"/>
            </w:pPr>
            <w:r>
              <w:t>其他资金</w:t>
            </w:r>
          </w:p>
        </w:tc>
        <w:tc>
          <w:tcPr>
            <w:tcW w:w="1276" w:type="dxa"/>
            <w:vAlign w:val="center"/>
          </w:tcPr>
          <w:p w14:paraId="026ED185">
            <w:pPr>
              <w:pStyle w:val="13"/>
            </w:pPr>
            <w:r>
              <w:t xml:space="preserve"> </w:t>
            </w:r>
          </w:p>
        </w:tc>
      </w:tr>
      <w:tr w14:paraId="52702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5C3C24"/>
        </w:tc>
        <w:tc>
          <w:tcPr>
            <w:tcW w:w="14033" w:type="dxa"/>
            <w:gridSpan w:val="6"/>
            <w:vAlign w:val="center"/>
          </w:tcPr>
          <w:p w14:paraId="0DC7C41D">
            <w:pPr>
              <w:pStyle w:val="13"/>
            </w:pPr>
            <w:r>
              <w:t>按季度分批次拨付安排公用经费资金，学校按照预算安排进行资金使用，保证资金正常支出。</w:t>
            </w:r>
          </w:p>
        </w:tc>
      </w:tr>
      <w:tr w14:paraId="214D6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42DF6">
            <w:pPr>
              <w:pStyle w:val="11"/>
            </w:pPr>
            <w:r>
              <w:t>资金支出计划（%）</w:t>
            </w:r>
          </w:p>
        </w:tc>
        <w:tc>
          <w:tcPr>
            <w:tcW w:w="5103" w:type="dxa"/>
            <w:gridSpan w:val="2"/>
            <w:vAlign w:val="center"/>
          </w:tcPr>
          <w:p w14:paraId="577EEBBB">
            <w:pPr>
              <w:pStyle w:val="11"/>
            </w:pPr>
            <w:r>
              <w:t>3月底</w:t>
            </w:r>
          </w:p>
        </w:tc>
        <w:tc>
          <w:tcPr>
            <w:tcW w:w="2835" w:type="dxa"/>
            <w:vAlign w:val="center"/>
          </w:tcPr>
          <w:p w14:paraId="568E18FD">
            <w:pPr>
              <w:pStyle w:val="11"/>
            </w:pPr>
            <w:r>
              <w:t>6月底</w:t>
            </w:r>
          </w:p>
        </w:tc>
        <w:tc>
          <w:tcPr>
            <w:tcW w:w="2551" w:type="dxa"/>
            <w:vAlign w:val="center"/>
          </w:tcPr>
          <w:p w14:paraId="2D1B448F">
            <w:pPr>
              <w:pStyle w:val="11"/>
            </w:pPr>
            <w:r>
              <w:t>10月底</w:t>
            </w:r>
          </w:p>
        </w:tc>
        <w:tc>
          <w:tcPr>
            <w:tcW w:w="3544" w:type="dxa"/>
            <w:gridSpan w:val="2"/>
            <w:vAlign w:val="center"/>
          </w:tcPr>
          <w:p w14:paraId="15AA5104">
            <w:pPr>
              <w:pStyle w:val="11"/>
            </w:pPr>
            <w:r>
              <w:t>12月底</w:t>
            </w:r>
          </w:p>
        </w:tc>
      </w:tr>
      <w:tr w14:paraId="49648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C33465"/>
        </w:tc>
        <w:tc>
          <w:tcPr>
            <w:tcW w:w="5103" w:type="dxa"/>
            <w:gridSpan w:val="2"/>
            <w:vAlign w:val="center"/>
          </w:tcPr>
          <w:p w14:paraId="49B7D77E">
            <w:pPr>
              <w:pStyle w:val="12"/>
            </w:pPr>
            <w:r>
              <w:t xml:space="preserve"> </w:t>
            </w:r>
          </w:p>
        </w:tc>
        <w:tc>
          <w:tcPr>
            <w:tcW w:w="2835" w:type="dxa"/>
            <w:vAlign w:val="center"/>
          </w:tcPr>
          <w:p w14:paraId="21E9E887">
            <w:pPr>
              <w:pStyle w:val="12"/>
            </w:pPr>
            <w:r>
              <w:t>50%</w:t>
            </w:r>
          </w:p>
        </w:tc>
        <w:tc>
          <w:tcPr>
            <w:tcW w:w="2551" w:type="dxa"/>
            <w:vAlign w:val="center"/>
          </w:tcPr>
          <w:p w14:paraId="11D1A1C6">
            <w:pPr>
              <w:pStyle w:val="12"/>
            </w:pPr>
            <w:r>
              <w:t>75%</w:t>
            </w:r>
          </w:p>
        </w:tc>
        <w:tc>
          <w:tcPr>
            <w:tcW w:w="3544" w:type="dxa"/>
            <w:gridSpan w:val="2"/>
            <w:vAlign w:val="center"/>
          </w:tcPr>
          <w:p w14:paraId="122E27F8">
            <w:pPr>
              <w:pStyle w:val="12"/>
            </w:pPr>
            <w:r>
              <w:t>100%</w:t>
            </w:r>
          </w:p>
        </w:tc>
      </w:tr>
      <w:tr w14:paraId="5833D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755F7">
            <w:pPr>
              <w:pStyle w:val="11"/>
            </w:pPr>
            <w:r>
              <w:t>绩效目标</w:t>
            </w:r>
          </w:p>
        </w:tc>
        <w:tc>
          <w:tcPr>
            <w:tcW w:w="14033" w:type="dxa"/>
            <w:gridSpan w:val="6"/>
            <w:vAlign w:val="center"/>
          </w:tcPr>
          <w:p w14:paraId="3213D055">
            <w:pPr>
              <w:pStyle w:val="13"/>
            </w:pPr>
            <w:r>
              <w:t>1.按季度分批次拨付安排公用经费资金，学校按照预算安排进行资金使用，保证资金正常支出。</w:t>
            </w:r>
          </w:p>
        </w:tc>
      </w:tr>
    </w:tbl>
    <w:p w14:paraId="678A70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68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2C122">
            <w:pPr>
              <w:pStyle w:val="11"/>
            </w:pPr>
            <w:r>
              <w:t>一级指标</w:t>
            </w:r>
          </w:p>
        </w:tc>
        <w:tc>
          <w:tcPr>
            <w:tcW w:w="2268" w:type="dxa"/>
            <w:vAlign w:val="center"/>
          </w:tcPr>
          <w:p w14:paraId="4C3E1B20">
            <w:pPr>
              <w:pStyle w:val="11"/>
            </w:pPr>
            <w:r>
              <w:t>二级指标</w:t>
            </w:r>
          </w:p>
        </w:tc>
        <w:tc>
          <w:tcPr>
            <w:tcW w:w="2835" w:type="dxa"/>
            <w:vAlign w:val="center"/>
          </w:tcPr>
          <w:p w14:paraId="3434BA6A">
            <w:pPr>
              <w:pStyle w:val="11"/>
            </w:pPr>
            <w:r>
              <w:t>三级指标</w:t>
            </w:r>
          </w:p>
        </w:tc>
        <w:tc>
          <w:tcPr>
            <w:tcW w:w="5386" w:type="dxa"/>
            <w:vAlign w:val="center"/>
          </w:tcPr>
          <w:p w14:paraId="43E8D15C">
            <w:pPr>
              <w:pStyle w:val="11"/>
            </w:pPr>
            <w:r>
              <w:t>绩效指标描述</w:t>
            </w:r>
          </w:p>
        </w:tc>
        <w:tc>
          <w:tcPr>
            <w:tcW w:w="2268" w:type="dxa"/>
            <w:vAlign w:val="center"/>
          </w:tcPr>
          <w:p w14:paraId="785A789A">
            <w:pPr>
              <w:pStyle w:val="11"/>
            </w:pPr>
            <w:r>
              <w:t>指标值</w:t>
            </w:r>
          </w:p>
        </w:tc>
        <w:tc>
          <w:tcPr>
            <w:tcW w:w="1276" w:type="dxa"/>
            <w:vAlign w:val="center"/>
          </w:tcPr>
          <w:p w14:paraId="5D6A70B0">
            <w:pPr>
              <w:pStyle w:val="11"/>
            </w:pPr>
            <w:r>
              <w:t>指标值确定依据</w:t>
            </w:r>
          </w:p>
        </w:tc>
      </w:tr>
      <w:tr w14:paraId="4B8F2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967EB">
            <w:pPr>
              <w:pStyle w:val="12"/>
            </w:pPr>
            <w:r>
              <w:t>产出指标</w:t>
            </w:r>
          </w:p>
        </w:tc>
        <w:tc>
          <w:tcPr>
            <w:tcW w:w="2268" w:type="dxa"/>
            <w:vAlign w:val="center"/>
          </w:tcPr>
          <w:p w14:paraId="3F1F7C5B">
            <w:pPr>
              <w:pStyle w:val="13"/>
            </w:pPr>
            <w:r>
              <w:t>数量指标</w:t>
            </w:r>
          </w:p>
        </w:tc>
        <w:tc>
          <w:tcPr>
            <w:tcW w:w="2835" w:type="dxa"/>
            <w:vAlign w:val="center"/>
          </w:tcPr>
          <w:p w14:paraId="0C489F00">
            <w:pPr>
              <w:pStyle w:val="13"/>
            </w:pPr>
            <w:r>
              <w:t>适龄在校生</w:t>
            </w:r>
          </w:p>
        </w:tc>
        <w:tc>
          <w:tcPr>
            <w:tcW w:w="5386" w:type="dxa"/>
            <w:vAlign w:val="center"/>
          </w:tcPr>
          <w:p w14:paraId="66FCF1C0">
            <w:pPr>
              <w:pStyle w:val="13"/>
            </w:pPr>
            <w:r>
              <w:t>辖区内适龄儿童全覆盖</w:t>
            </w:r>
          </w:p>
        </w:tc>
        <w:tc>
          <w:tcPr>
            <w:tcW w:w="2268" w:type="dxa"/>
            <w:vAlign w:val="center"/>
          </w:tcPr>
          <w:p w14:paraId="2957355D">
            <w:pPr>
              <w:pStyle w:val="13"/>
            </w:pPr>
            <w:r>
              <w:t>101人</w:t>
            </w:r>
          </w:p>
        </w:tc>
        <w:tc>
          <w:tcPr>
            <w:tcW w:w="1276" w:type="dxa"/>
            <w:vAlign w:val="center"/>
          </w:tcPr>
          <w:p w14:paraId="28BED2CF">
            <w:pPr>
              <w:pStyle w:val="13"/>
            </w:pPr>
            <w:r>
              <w:t>幼儿园生均公用经费管理办法</w:t>
            </w:r>
          </w:p>
        </w:tc>
      </w:tr>
      <w:tr w14:paraId="7B1F7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F2B8D"/>
        </w:tc>
        <w:tc>
          <w:tcPr>
            <w:tcW w:w="2268" w:type="dxa"/>
            <w:vAlign w:val="center"/>
          </w:tcPr>
          <w:p w14:paraId="44DA7CF3">
            <w:pPr>
              <w:pStyle w:val="13"/>
            </w:pPr>
            <w:r>
              <w:t>质量指标</w:t>
            </w:r>
          </w:p>
        </w:tc>
        <w:tc>
          <w:tcPr>
            <w:tcW w:w="2835" w:type="dxa"/>
            <w:vAlign w:val="center"/>
          </w:tcPr>
          <w:p w14:paraId="2E61FE3A">
            <w:pPr>
              <w:pStyle w:val="13"/>
            </w:pPr>
            <w:r>
              <w:t>预算控制率</w:t>
            </w:r>
          </w:p>
        </w:tc>
        <w:tc>
          <w:tcPr>
            <w:tcW w:w="5386" w:type="dxa"/>
            <w:vAlign w:val="center"/>
          </w:tcPr>
          <w:p w14:paraId="52F02E79">
            <w:pPr>
              <w:pStyle w:val="13"/>
            </w:pPr>
            <w:r>
              <w:t>预算执行</w:t>
            </w:r>
          </w:p>
        </w:tc>
        <w:tc>
          <w:tcPr>
            <w:tcW w:w="2268" w:type="dxa"/>
            <w:vAlign w:val="center"/>
          </w:tcPr>
          <w:p w14:paraId="35DAC34F">
            <w:pPr>
              <w:pStyle w:val="13"/>
            </w:pPr>
            <w:r>
              <w:t>≥95%</w:t>
            </w:r>
          </w:p>
        </w:tc>
        <w:tc>
          <w:tcPr>
            <w:tcW w:w="1276" w:type="dxa"/>
            <w:vAlign w:val="center"/>
          </w:tcPr>
          <w:p w14:paraId="2904FD2B">
            <w:pPr>
              <w:pStyle w:val="13"/>
            </w:pPr>
            <w:r>
              <w:t>幼儿园生均公用经费管理办法</w:t>
            </w:r>
          </w:p>
        </w:tc>
      </w:tr>
      <w:tr w14:paraId="0D6B4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69616"/>
        </w:tc>
        <w:tc>
          <w:tcPr>
            <w:tcW w:w="2268" w:type="dxa"/>
            <w:vAlign w:val="center"/>
          </w:tcPr>
          <w:p w14:paraId="108486F0">
            <w:pPr>
              <w:pStyle w:val="13"/>
            </w:pPr>
            <w:r>
              <w:t>时效指标</w:t>
            </w:r>
          </w:p>
        </w:tc>
        <w:tc>
          <w:tcPr>
            <w:tcW w:w="2835" w:type="dxa"/>
            <w:vAlign w:val="center"/>
          </w:tcPr>
          <w:p w14:paraId="44288ED4">
            <w:pPr>
              <w:pStyle w:val="13"/>
            </w:pPr>
            <w:r>
              <w:t>资金支付率</w:t>
            </w:r>
          </w:p>
        </w:tc>
        <w:tc>
          <w:tcPr>
            <w:tcW w:w="5386" w:type="dxa"/>
            <w:vAlign w:val="center"/>
          </w:tcPr>
          <w:p w14:paraId="2C8771CE">
            <w:pPr>
              <w:pStyle w:val="13"/>
            </w:pPr>
            <w:r>
              <w:t>按照序时进度完成资金支付</w:t>
            </w:r>
          </w:p>
        </w:tc>
        <w:tc>
          <w:tcPr>
            <w:tcW w:w="2268" w:type="dxa"/>
            <w:vAlign w:val="center"/>
          </w:tcPr>
          <w:p w14:paraId="5BE538D2">
            <w:pPr>
              <w:pStyle w:val="13"/>
            </w:pPr>
            <w:r>
              <w:t>≥100%</w:t>
            </w:r>
          </w:p>
        </w:tc>
        <w:tc>
          <w:tcPr>
            <w:tcW w:w="1276" w:type="dxa"/>
            <w:vAlign w:val="center"/>
          </w:tcPr>
          <w:p w14:paraId="6F211CF3">
            <w:pPr>
              <w:pStyle w:val="13"/>
            </w:pPr>
            <w:r>
              <w:t>幼儿园生均公用经费管理办法</w:t>
            </w:r>
          </w:p>
        </w:tc>
      </w:tr>
      <w:tr w14:paraId="764CE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FD985"/>
        </w:tc>
        <w:tc>
          <w:tcPr>
            <w:tcW w:w="2268" w:type="dxa"/>
            <w:vAlign w:val="center"/>
          </w:tcPr>
          <w:p w14:paraId="08CE5979">
            <w:pPr>
              <w:pStyle w:val="13"/>
            </w:pPr>
            <w:r>
              <w:t>成本指标</w:t>
            </w:r>
          </w:p>
        </w:tc>
        <w:tc>
          <w:tcPr>
            <w:tcW w:w="2835" w:type="dxa"/>
            <w:vAlign w:val="center"/>
          </w:tcPr>
          <w:p w14:paraId="36AF7FC4">
            <w:pPr>
              <w:pStyle w:val="13"/>
            </w:pPr>
            <w:r>
              <w:t>生均拨款标准</w:t>
            </w:r>
          </w:p>
        </w:tc>
        <w:tc>
          <w:tcPr>
            <w:tcW w:w="5386" w:type="dxa"/>
            <w:vAlign w:val="center"/>
          </w:tcPr>
          <w:p w14:paraId="3013162A">
            <w:pPr>
              <w:pStyle w:val="13"/>
            </w:pPr>
            <w:r>
              <w:t>学前经费600元/生/年</w:t>
            </w:r>
          </w:p>
        </w:tc>
        <w:tc>
          <w:tcPr>
            <w:tcW w:w="2268" w:type="dxa"/>
            <w:vAlign w:val="center"/>
          </w:tcPr>
          <w:p w14:paraId="55163907">
            <w:pPr>
              <w:pStyle w:val="13"/>
            </w:pPr>
            <w:r>
              <w:t>600元</w:t>
            </w:r>
          </w:p>
        </w:tc>
        <w:tc>
          <w:tcPr>
            <w:tcW w:w="1276" w:type="dxa"/>
            <w:vAlign w:val="center"/>
          </w:tcPr>
          <w:p w14:paraId="41CE5B2E">
            <w:pPr>
              <w:pStyle w:val="13"/>
            </w:pPr>
            <w:r>
              <w:t>幼儿园生均公用经费管理办法</w:t>
            </w:r>
          </w:p>
        </w:tc>
      </w:tr>
      <w:tr w14:paraId="57A29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098418">
            <w:pPr>
              <w:pStyle w:val="12"/>
            </w:pPr>
            <w:r>
              <w:t>效益指标</w:t>
            </w:r>
          </w:p>
        </w:tc>
        <w:tc>
          <w:tcPr>
            <w:tcW w:w="2268" w:type="dxa"/>
            <w:vAlign w:val="center"/>
          </w:tcPr>
          <w:p w14:paraId="526A5FDE">
            <w:pPr>
              <w:pStyle w:val="13"/>
            </w:pPr>
            <w:r>
              <w:t>可持续影响指标</w:t>
            </w:r>
          </w:p>
        </w:tc>
        <w:tc>
          <w:tcPr>
            <w:tcW w:w="2835" w:type="dxa"/>
            <w:vAlign w:val="center"/>
          </w:tcPr>
          <w:p w14:paraId="113BE025">
            <w:pPr>
              <w:pStyle w:val="13"/>
            </w:pPr>
            <w:r>
              <w:t>教育发展水平明显好转</w:t>
            </w:r>
          </w:p>
        </w:tc>
        <w:tc>
          <w:tcPr>
            <w:tcW w:w="5386" w:type="dxa"/>
            <w:vAlign w:val="center"/>
          </w:tcPr>
          <w:p w14:paraId="4C6BAC2A">
            <w:pPr>
              <w:pStyle w:val="13"/>
            </w:pPr>
            <w:r>
              <w:t>学生受教育年限</w:t>
            </w:r>
          </w:p>
        </w:tc>
        <w:tc>
          <w:tcPr>
            <w:tcW w:w="2268" w:type="dxa"/>
            <w:vAlign w:val="center"/>
          </w:tcPr>
          <w:p w14:paraId="51855A7E">
            <w:pPr>
              <w:pStyle w:val="13"/>
            </w:pPr>
            <w:r>
              <w:t>3年</w:t>
            </w:r>
          </w:p>
        </w:tc>
        <w:tc>
          <w:tcPr>
            <w:tcW w:w="1276" w:type="dxa"/>
            <w:vAlign w:val="center"/>
          </w:tcPr>
          <w:p w14:paraId="7FF9E748">
            <w:pPr>
              <w:pStyle w:val="13"/>
            </w:pPr>
            <w:r>
              <w:t>幼儿园生均公用经费管理办法</w:t>
            </w:r>
          </w:p>
        </w:tc>
      </w:tr>
      <w:tr w14:paraId="71BF4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5FE354">
            <w:pPr>
              <w:pStyle w:val="12"/>
            </w:pPr>
            <w:r>
              <w:t>满意度指标</w:t>
            </w:r>
          </w:p>
        </w:tc>
        <w:tc>
          <w:tcPr>
            <w:tcW w:w="2268" w:type="dxa"/>
            <w:vAlign w:val="center"/>
          </w:tcPr>
          <w:p w14:paraId="09AFDD37">
            <w:pPr>
              <w:pStyle w:val="13"/>
            </w:pPr>
            <w:r>
              <w:t>服务对象满意度指标</w:t>
            </w:r>
          </w:p>
        </w:tc>
        <w:tc>
          <w:tcPr>
            <w:tcW w:w="2835" w:type="dxa"/>
            <w:vAlign w:val="center"/>
          </w:tcPr>
          <w:p w14:paraId="5B402C84">
            <w:pPr>
              <w:pStyle w:val="13"/>
            </w:pPr>
            <w:r>
              <w:t>受益学生家长及调查满意度</w:t>
            </w:r>
          </w:p>
        </w:tc>
        <w:tc>
          <w:tcPr>
            <w:tcW w:w="5386" w:type="dxa"/>
            <w:vAlign w:val="center"/>
          </w:tcPr>
          <w:p w14:paraId="21B39CC2">
            <w:pPr>
              <w:pStyle w:val="13"/>
            </w:pPr>
            <w:r>
              <w:t>学生、教师及家长对学校保教保育工作满意度情况</w:t>
            </w:r>
          </w:p>
        </w:tc>
        <w:tc>
          <w:tcPr>
            <w:tcW w:w="2268" w:type="dxa"/>
            <w:vAlign w:val="center"/>
          </w:tcPr>
          <w:p w14:paraId="447DD614">
            <w:pPr>
              <w:pStyle w:val="13"/>
            </w:pPr>
            <w:r>
              <w:t>≥95%</w:t>
            </w:r>
          </w:p>
        </w:tc>
        <w:tc>
          <w:tcPr>
            <w:tcW w:w="1276" w:type="dxa"/>
            <w:vAlign w:val="center"/>
          </w:tcPr>
          <w:p w14:paraId="3BFF7574">
            <w:pPr>
              <w:pStyle w:val="13"/>
            </w:pPr>
            <w:r>
              <w:t>调查问卷</w:t>
            </w:r>
          </w:p>
        </w:tc>
      </w:tr>
    </w:tbl>
    <w:p w14:paraId="0D4E4EEE">
      <w:pPr>
        <w:sectPr>
          <w:pgSz w:w="16840" w:h="11900" w:orient="landscape"/>
          <w:pgMar w:top="1361" w:right="1020" w:bottom="1134" w:left="1020" w:header="720" w:footer="720" w:gutter="0"/>
          <w:cols w:space="720" w:num="1"/>
        </w:sectPr>
      </w:pPr>
    </w:p>
    <w:p w14:paraId="092C1891">
      <w:pPr>
        <w:spacing w:before="0" w:after="0"/>
        <w:ind w:firstLine="560"/>
        <w:jc w:val="left"/>
        <w:outlineLvl w:val="9"/>
      </w:pPr>
      <w:r>
        <w:rPr>
          <w:rFonts w:ascii="方正仿宋_GBK" w:hAnsi="方正仿宋_GBK" w:eastAsia="方正仿宋_GBK" w:cs="方正仿宋_GBK"/>
          <w:b/>
          <w:color w:val="000000"/>
          <w:sz w:val="28"/>
        </w:rPr>
        <w:t>175、县级资金/隆尧县方圆博雅幼儿园公用经费绩效目标表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CF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05652">
            <w:pPr>
              <w:pStyle w:val="14"/>
            </w:pPr>
            <w:r>
              <w:t>单位：万元</w:t>
            </w:r>
          </w:p>
        </w:tc>
      </w:tr>
      <w:tr w14:paraId="36634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9041B">
            <w:pPr>
              <w:pStyle w:val="11"/>
            </w:pPr>
            <w:r>
              <w:t>项目编码</w:t>
            </w:r>
          </w:p>
        </w:tc>
        <w:tc>
          <w:tcPr>
            <w:tcW w:w="5103" w:type="dxa"/>
            <w:gridSpan w:val="2"/>
            <w:vAlign w:val="center"/>
          </w:tcPr>
          <w:p w14:paraId="3CFA3DB5">
            <w:pPr>
              <w:pStyle w:val="13"/>
            </w:pPr>
            <w:r>
              <w:t>13052525P008756100809</w:t>
            </w:r>
          </w:p>
        </w:tc>
        <w:tc>
          <w:tcPr>
            <w:tcW w:w="2835" w:type="dxa"/>
            <w:vAlign w:val="center"/>
          </w:tcPr>
          <w:p w14:paraId="62EF1032">
            <w:pPr>
              <w:pStyle w:val="11"/>
            </w:pPr>
            <w:r>
              <w:t>项目名称</w:t>
            </w:r>
          </w:p>
        </w:tc>
        <w:tc>
          <w:tcPr>
            <w:tcW w:w="6095" w:type="dxa"/>
            <w:gridSpan w:val="3"/>
            <w:vAlign w:val="center"/>
          </w:tcPr>
          <w:p w14:paraId="5F492C47">
            <w:pPr>
              <w:pStyle w:val="13"/>
            </w:pPr>
            <w:r>
              <w:t>县级资金/隆尧县方圆博雅幼儿园公用经费</w:t>
            </w:r>
          </w:p>
        </w:tc>
      </w:tr>
      <w:tr w14:paraId="4A384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82592">
            <w:pPr>
              <w:pStyle w:val="11"/>
            </w:pPr>
            <w:r>
              <w:t>预算规模及资金用途</w:t>
            </w:r>
          </w:p>
        </w:tc>
        <w:tc>
          <w:tcPr>
            <w:tcW w:w="2268" w:type="dxa"/>
            <w:vAlign w:val="center"/>
          </w:tcPr>
          <w:p w14:paraId="481DB4B8">
            <w:pPr>
              <w:pStyle w:val="11"/>
            </w:pPr>
            <w:r>
              <w:t>预算数</w:t>
            </w:r>
          </w:p>
        </w:tc>
        <w:tc>
          <w:tcPr>
            <w:tcW w:w="2835" w:type="dxa"/>
            <w:vAlign w:val="center"/>
          </w:tcPr>
          <w:p w14:paraId="43D9A609">
            <w:pPr>
              <w:pStyle w:val="13"/>
            </w:pPr>
            <w:r>
              <w:t>2.88</w:t>
            </w:r>
          </w:p>
        </w:tc>
        <w:tc>
          <w:tcPr>
            <w:tcW w:w="2835" w:type="dxa"/>
            <w:vAlign w:val="center"/>
          </w:tcPr>
          <w:p w14:paraId="1FD3C70E">
            <w:pPr>
              <w:pStyle w:val="11"/>
            </w:pPr>
            <w:r>
              <w:t>其中：财政    资金</w:t>
            </w:r>
          </w:p>
        </w:tc>
        <w:tc>
          <w:tcPr>
            <w:tcW w:w="2551" w:type="dxa"/>
            <w:vAlign w:val="center"/>
          </w:tcPr>
          <w:p w14:paraId="6B525675">
            <w:pPr>
              <w:pStyle w:val="13"/>
            </w:pPr>
            <w:r>
              <w:t>2.88</w:t>
            </w:r>
          </w:p>
        </w:tc>
        <w:tc>
          <w:tcPr>
            <w:tcW w:w="2268" w:type="dxa"/>
            <w:vAlign w:val="center"/>
          </w:tcPr>
          <w:p w14:paraId="1010CAD2">
            <w:pPr>
              <w:pStyle w:val="11"/>
            </w:pPr>
            <w:r>
              <w:t>其他资金</w:t>
            </w:r>
          </w:p>
        </w:tc>
        <w:tc>
          <w:tcPr>
            <w:tcW w:w="1276" w:type="dxa"/>
            <w:vAlign w:val="center"/>
          </w:tcPr>
          <w:p w14:paraId="46E6BD86">
            <w:pPr>
              <w:pStyle w:val="13"/>
            </w:pPr>
            <w:r>
              <w:t xml:space="preserve"> </w:t>
            </w:r>
          </w:p>
        </w:tc>
      </w:tr>
      <w:tr w14:paraId="22A67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BD10C0"/>
        </w:tc>
        <w:tc>
          <w:tcPr>
            <w:tcW w:w="14033" w:type="dxa"/>
            <w:gridSpan w:val="6"/>
            <w:vAlign w:val="center"/>
          </w:tcPr>
          <w:p w14:paraId="36A1D1A2">
            <w:pPr>
              <w:pStyle w:val="13"/>
            </w:pPr>
            <w:r>
              <w:t>按季度分批次拨付安排公用经费资金，学校按照预算安排进行资金使用，保证资金正常支出。</w:t>
            </w:r>
          </w:p>
        </w:tc>
      </w:tr>
      <w:tr w14:paraId="12108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3E396">
            <w:pPr>
              <w:pStyle w:val="11"/>
            </w:pPr>
            <w:r>
              <w:t>资金支出计划（%）</w:t>
            </w:r>
          </w:p>
        </w:tc>
        <w:tc>
          <w:tcPr>
            <w:tcW w:w="5103" w:type="dxa"/>
            <w:gridSpan w:val="2"/>
            <w:vAlign w:val="center"/>
          </w:tcPr>
          <w:p w14:paraId="2330C20E">
            <w:pPr>
              <w:pStyle w:val="11"/>
            </w:pPr>
            <w:r>
              <w:t>3月底</w:t>
            </w:r>
          </w:p>
        </w:tc>
        <w:tc>
          <w:tcPr>
            <w:tcW w:w="2835" w:type="dxa"/>
            <w:vAlign w:val="center"/>
          </w:tcPr>
          <w:p w14:paraId="08AE0D29">
            <w:pPr>
              <w:pStyle w:val="11"/>
            </w:pPr>
            <w:r>
              <w:t>6月底</w:t>
            </w:r>
          </w:p>
        </w:tc>
        <w:tc>
          <w:tcPr>
            <w:tcW w:w="2551" w:type="dxa"/>
            <w:vAlign w:val="center"/>
          </w:tcPr>
          <w:p w14:paraId="6E8FA58A">
            <w:pPr>
              <w:pStyle w:val="11"/>
            </w:pPr>
            <w:r>
              <w:t>10月底</w:t>
            </w:r>
          </w:p>
        </w:tc>
        <w:tc>
          <w:tcPr>
            <w:tcW w:w="3544" w:type="dxa"/>
            <w:gridSpan w:val="2"/>
            <w:vAlign w:val="center"/>
          </w:tcPr>
          <w:p w14:paraId="0BD7F91C">
            <w:pPr>
              <w:pStyle w:val="11"/>
            </w:pPr>
            <w:r>
              <w:t>12月底</w:t>
            </w:r>
          </w:p>
        </w:tc>
      </w:tr>
      <w:tr w14:paraId="3585B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D8330D"/>
        </w:tc>
        <w:tc>
          <w:tcPr>
            <w:tcW w:w="5103" w:type="dxa"/>
            <w:gridSpan w:val="2"/>
            <w:vAlign w:val="center"/>
          </w:tcPr>
          <w:p w14:paraId="4278D315">
            <w:pPr>
              <w:pStyle w:val="12"/>
            </w:pPr>
            <w:r>
              <w:t xml:space="preserve"> </w:t>
            </w:r>
          </w:p>
        </w:tc>
        <w:tc>
          <w:tcPr>
            <w:tcW w:w="2835" w:type="dxa"/>
            <w:vAlign w:val="center"/>
          </w:tcPr>
          <w:p w14:paraId="172534FF">
            <w:pPr>
              <w:pStyle w:val="12"/>
            </w:pPr>
            <w:r>
              <w:t>50%</w:t>
            </w:r>
          </w:p>
        </w:tc>
        <w:tc>
          <w:tcPr>
            <w:tcW w:w="2551" w:type="dxa"/>
            <w:vAlign w:val="center"/>
          </w:tcPr>
          <w:p w14:paraId="5BCE3C3E">
            <w:pPr>
              <w:pStyle w:val="12"/>
            </w:pPr>
            <w:r>
              <w:t>75%</w:t>
            </w:r>
          </w:p>
        </w:tc>
        <w:tc>
          <w:tcPr>
            <w:tcW w:w="3544" w:type="dxa"/>
            <w:gridSpan w:val="2"/>
            <w:vAlign w:val="center"/>
          </w:tcPr>
          <w:p w14:paraId="7FE2E94E">
            <w:pPr>
              <w:pStyle w:val="12"/>
            </w:pPr>
            <w:r>
              <w:t>100%</w:t>
            </w:r>
          </w:p>
        </w:tc>
      </w:tr>
      <w:tr w14:paraId="67452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D83D37">
            <w:pPr>
              <w:pStyle w:val="11"/>
            </w:pPr>
            <w:r>
              <w:t>绩效目标</w:t>
            </w:r>
          </w:p>
        </w:tc>
        <w:tc>
          <w:tcPr>
            <w:tcW w:w="14033" w:type="dxa"/>
            <w:gridSpan w:val="6"/>
            <w:vAlign w:val="center"/>
          </w:tcPr>
          <w:p w14:paraId="382F83A7">
            <w:pPr>
              <w:pStyle w:val="13"/>
            </w:pPr>
            <w:r>
              <w:t>1.按季度分批次拨付安排公用经费资金，学校按照预算安排进行资金使用，保证资金正常支出。</w:t>
            </w:r>
          </w:p>
        </w:tc>
      </w:tr>
    </w:tbl>
    <w:p w14:paraId="52747A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99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3FED9">
            <w:pPr>
              <w:pStyle w:val="11"/>
            </w:pPr>
            <w:r>
              <w:t>一级指标</w:t>
            </w:r>
          </w:p>
        </w:tc>
        <w:tc>
          <w:tcPr>
            <w:tcW w:w="2268" w:type="dxa"/>
            <w:vAlign w:val="center"/>
          </w:tcPr>
          <w:p w14:paraId="5CDC2A72">
            <w:pPr>
              <w:pStyle w:val="11"/>
            </w:pPr>
            <w:r>
              <w:t>二级指标</w:t>
            </w:r>
          </w:p>
        </w:tc>
        <w:tc>
          <w:tcPr>
            <w:tcW w:w="2835" w:type="dxa"/>
            <w:vAlign w:val="center"/>
          </w:tcPr>
          <w:p w14:paraId="23FFAF98">
            <w:pPr>
              <w:pStyle w:val="11"/>
            </w:pPr>
            <w:r>
              <w:t>三级指标</w:t>
            </w:r>
          </w:p>
        </w:tc>
        <w:tc>
          <w:tcPr>
            <w:tcW w:w="5386" w:type="dxa"/>
            <w:vAlign w:val="center"/>
          </w:tcPr>
          <w:p w14:paraId="530A1FC5">
            <w:pPr>
              <w:pStyle w:val="11"/>
            </w:pPr>
            <w:r>
              <w:t>绩效指标描述</w:t>
            </w:r>
          </w:p>
        </w:tc>
        <w:tc>
          <w:tcPr>
            <w:tcW w:w="2268" w:type="dxa"/>
            <w:vAlign w:val="center"/>
          </w:tcPr>
          <w:p w14:paraId="71402B00">
            <w:pPr>
              <w:pStyle w:val="11"/>
            </w:pPr>
            <w:r>
              <w:t>指标值</w:t>
            </w:r>
          </w:p>
        </w:tc>
        <w:tc>
          <w:tcPr>
            <w:tcW w:w="1276" w:type="dxa"/>
            <w:vAlign w:val="center"/>
          </w:tcPr>
          <w:p w14:paraId="528884F9">
            <w:pPr>
              <w:pStyle w:val="11"/>
            </w:pPr>
            <w:r>
              <w:t>指标值确定依据</w:t>
            </w:r>
          </w:p>
        </w:tc>
      </w:tr>
      <w:tr w14:paraId="3755D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1A25C">
            <w:pPr>
              <w:pStyle w:val="12"/>
            </w:pPr>
            <w:r>
              <w:t>产出指标</w:t>
            </w:r>
          </w:p>
        </w:tc>
        <w:tc>
          <w:tcPr>
            <w:tcW w:w="2268" w:type="dxa"/>
            <w:vAlign w:val="center"/>
          </w:tcPr>
          <w:p w14:paraId="5F9547C3">
            <w:pPr>
              <w:pStyle w:val="13"/>
            </w:pPr>
            <w:r>
              <w:t>数量指标</w:t>
            </w:r>
          </w:p>
        </w:tc>
        <w:tc>
          <w:tcPr>
            <w:tcW w:w="2835" w:type="dxa"/>
            <w:vAlign w:val="center"/>
          </w:tcPr>
          <w:p w14:paraId="1FE11C05">
            <w:pPr>
              <w:pStyle w:val="13"/>
            </w:pPr>
            <w:r>
              <w:t>适龄在校生</w:t>
            </w:r>
          </w:p>
        </w:tc>
        <w:tc>
          <w:tcPr>
            <w:tcW w:w="5386" w:type="dxa"/>
            <w:vAlign w:val="center"/>
          </w:tcPr>
          <w:p w14:paraId="707ED76C">
            <w:pPr>
              <w:pStyle w:val="13"/>
            </w:pPr>
            <w:r>
              <w:t>辖区内适龄儿童全覆盖</w:t>
            </w:r>
          </w:p>
        </w:tc>
        <w:tc>
          <w:tcPr>
            <w:tcW w:w="2268" w:type="dxa"/>
            <w:vAlign w:val="center"/>
          </w:tcPr>
          <w:p w14:paraId="7E075A94">
            <w:pPr>
              <w:pStyle w:val="13"/>
            </w:pPr>
            <w:r>
              <w:t>64人</w:t>
            </w:r>
          </w:p>
        </w:tc>
        <w:tc>
          <w:tcPr>
            <w:tcW w:w="1276" w:type="dxa"/>
            <w:vAlign w:val="center"/>
          </w:tcPr>
          <w:p w14:paraId="7571F23D">
            <w:pPr>
              <w:pStyle w:val="13"/>
            </w:pPr>
            <w:r>
              <w:t>幼儿园生均公用经费管理办法</w:t>
            </w:r>
          </w:p>
        </w:tc>
      </w:tr>
      <w:tr w14:paraId="42378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AABF7"/>
        </w:tc>
        <w:tc>
          <w:tcPr>
            <w:tcW w:w="2268" w:type="dxa"/>
            <w:vAlign w:val="center"/>
          </w:tcPr>
          <w:p w14:paraId="73E6BE78">
            <w:pPr>
              <w:pStyle w:val="13"/>
            </w:pPr>
            <w:r>
              <w:t>质量指标</w:t>
            </w:r>
          </w:p>
        </w:tc>
        <w:tc>
          <w:tcPr>
            <w:tcW w:w="2835" w:type="dxa"/>
            <w:vAlign w:val="center"/>
          </w:tcPr>
          <w:p w14:paraId="2B44DE6C">
            <w:pPr>
              <w:pStyle w:val="13"/>
            </w:pPr>
            <w:r>
              <w:t>预算控制率</w:t>
            </w:r>
          </w:p>
        </w:tc>
        <w:tc>
          <w:tcPr>
            <w:tcW w:w="5386" w:type="dxa"/>
            <w:vAlign w:val="center"/>
          </w:tcPr>
          <w:p w14:paraId="2E42FFF6">
            <w:pPr>
              <w:pStyle w:val="13"/>
            </w:pPr>
            <w:r>
              <w:t>预算执行</w:t>
            </w:r>
          </w:p>
        </w:tc>
        <w:tc>
          <w:tcPr>
            <w:tcW w:w="2268" w:type="dxa"/>
            <w:vAlign w:val="center"/>
          </w:tcPr>
          <w:p w14:paraId="0B92D9CC">
            <w:pPr>
              <w:pStyle w:val="13"/>
            </w:pPr>
            <w:r>
              <w:t>≥95%</w:t>
            </w:r>
          </w:p>
        </w:tc>
        <w:tc>
          <w:tcPr>
            <w:tcW w:w="1276" w:type="dxa"/>
            <w:vAlign w:val="center"/>
          </w:tcPr>
          <w:p w14:paraId="40383323">
            <w:pPr>
              <w:pStyle w:val="13"/>
            </w:pPr>
            <w:r>
              <w:t>幼儿园生均公用经费管理办法</w:t>
            </w:r>
          </w:p>
        </w:tc>
      </w:tr>
      <w:tr w14:paraId="2B80E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3F7E"/>
        </w:tc>
        <w:tc>
          <w:tcPr>
            <w:tcW w:w="2268" w:type="dxa"/>
            <w:vAlign w:val="center"/>
          </w:tcPr>
          <w:p w14:paraId="572F35AD">
            <w:pPr>
              <w:pStyle w:val="13"/>
            </w:pPr>
            <w:r>
              <w:t>时效指标</w:t>
            </w:r>
          </w:p>
        </w:tc>
        <w:tc>
          <w:tcPr>
            <w:tcW w:w="2835" w:type="dxa"/>
            <w:vAlign w:val="center"/>
          </w:tcPr>
          <w:p w14:paraId="1654D8D7">
            <w:pPr>
              <w:pStyle w:val="13"/>
            </w:pPr>
            <w:r>
              <w:t>资金支付率</w:t>
            </w:r>
          </w:p>
        </w:tc>
        <w:tc>
          <w:tcPr>
            <w:tcW w:w="5386" w:type="dxa"/>
            <w:vAlign w:val="center"/>
          </w:tcPr>
          <w:p w14:paraId="4D6ADBC3">
            <w:pPr>
              <w:pStyle w:val="13"/>
            </w:pPr>
            <w:r>
              <w:t>按照序时进度完成资金支付</w:t>
            </w:r>
          </w:p>
        </w:tc>
        <w:tc>
          <w:tcPr>
            <w:tcW w:w="2268" w:type="dxa"/>
            <w:vAlign w:val="center"/>
          </w:tcPr>
          <w:p w14:paraId="632560AE">
            <w:pPr>
              <w:pStyle w:val="13"/>
            </w:pPr>
            <w:r>
              <w:t>≥100%</w:t>
            </w:r>
          </w:p>
        </w:tc>
        <w:tc>
          <w:tcPr>
            <w:tcW w:w="1276" w:type="dxa"/>
            <w:vAlign w:val="center"/>
          </w:tcPr>
          <w:p w14:paraId="079DAAFE">
            <w:pPr>
              <w:pStyle w:val="13"/>
            </w:pPr>
            <w:r>
              <w:t>幼儿园生均公用经费管理办法</w:t>
            </w:r>
          </w:p>
        </w:tc>
      </w:tr>
      <w:tr w14:paraId="44104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D2FB9"/>
        </w:tc>
        <w:tc>
          <w:tcPr>
            <w:tcW w:w="2268" w:type="dxa"/>
            <w:vAlign w:val="center"/>
          </w:tcPr>
          <w:p w14:paraId="5EE7DF7D">
            <w:pPr>
              <w:pStyle w:val="13"/>
            </w:pPr>
            <w:r>
              <w:t>成本指标</w:t>
            </w:r>
          </w:p>
        </w:tc>
        <w:tc>
          <w:tcPr>
            <w:tcW w:w="2835" w:type="dxa"/>
            <w:vAlign w:val="center"/>
          </w:tcPr>
          <w:p w14:paraId="2A70D71C">
            <w:pPr>
              <w:pStyle w:val="13"/>
            </w:pPr>
            <w:r>
              <w:t>生均拨款标准</w:t>
            </w:r>
          </w:p>
        </w:tc>
        <w:tc>
          <w:tcPr>
            <w:tcW w:w="5386" w:type="dxa"/>
            <w:vAlign w:val="center"/>
          </w:tcPr>
          <w:p w14:paraId="188EC08B">
            <w:pPr>
              <w:pStyle w:val="13"/>
            </w:pPr>
            <w:r>
              <w:t>学前经费600元/生/年</w:t>
            </w:r>
          </w:p>
        </w:tc>
        <w:tc>
          <w:tcPr>
            <w:tcW w:w="2268" w:type="dxa"/>
            <w:vAlign w:val="center"/>
          </w:tcPr>
          <w:p w14:paraId="51D8B627">
            <w:pPr>
              <w:pStyle w:val="13"/>
            </w:pPr>
            <w:r>
              <w:t>600元</w:t>
            </w:r>
          </w:p>
        </w:tc>
        <w:tc>
          <w:tcPr>
            <w:tcW w:w="1276" w:type="dxa"/>
            <w:vAlign w:val="center"/>
          </w:tcPr>
          <w:p w14:paraId="09C0BEFF">
            <w:pPr>
              <w:pStyle w:val="13"/>
            </w:pPr>
            <w:r>
              <w:t>幼儿园生均公用经费管理办法</w:t>
            </w:r>
          </w:p>
        </w:tc>
      </w:tr>
      <w:tr w14:paraId="122A6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DF8A1">
            <w:pPr>
              <w:pStyle w:val="12"/>
            </w:pPr>
            <w:r>
              <w:t>效益指标</w:t>
            </w:r>
          </w:p>
        </w:tc>
        <w:tc>
          <w:tcPr>
            <w:tcW w:w="2268" w:type="dxa"/>
            <w:vAlign w:val="center"/>
          </w:tcPr>
          <w:p w14:paraId="2390FA83">
            <w:pPr>
              <w:pStyle w:val="13"/>
            </w:pPr>
            <w:r>
              <w:t>可持续影响指标</w:t>
            </w:r>
          </w:p>
        </w:tc>
        <w:tc>
          <w:tcPr>
            <w:tcW w:w="2835" w:type="dxa"/>
            <w:vAlign w:val="center"/>
          </w:tcPr>
          <w:p w14:paraId="47F092AE">
            <w:pPr>
              <w:pStyle w:val="13"/>
            </w:pPr>
            <w:r>
              <w:t>教育发展水平明显好转</w:t>
            </w:r>
          </w:p>
        </w:tc>
        <w:tc>
          <w:tcPr>
            <w:tcW w:w="5386" w:type="dxa"/>
            <w:vAlign w:val="center"/>
          </w:tcPr>
          <w:p w14:paraId="12D38EE5">
            <w:pPr>
              <w:pStyle w:val="13"/>
            </w:pPr>
            <w:r>
              <w:t>学生受教育年限</w:t>
            </w:r>
          </w:p>
        </w:tc>
        <w:tc>
          <w:tcPr>
            <w:tcW w:w="2268" w:type="dxa"/>
            <w:vAlign w:val="center"/>
          </w:tcPr>
          <w:p w14:paraId="6EBC66DC">
            <w:pPr>
              <w:pStyle w:val="13"/>
            </w:pPr>
            <w:r>
              <w:t>3年</w:t>
            </w:r>
          </w:p>
        </w:tc>
        <w:tc>
          <w:tcPr>
            <w:tcW w:w="1276" w:type="dxa"/>
            <w:vAlign w:val="center"/>
          </w:tcPr>
          <w:p w14:paraId="41FCACE8">
            <w:pPr>
              <w:pStyle w:val="13"/>
            </w:pPr>
            <w:r>
              <w:t>幼儿园生均公用经费管理办法</w:t>
            </w:r>
          </w:p>
        </w:tc>
      </w:tr>
      <w:tr w14:paraId="1F2D6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B5E80">
            <w:pPr>
              <w:pStyle w:val="12"/>
            </w:pPr>
            <w:r>
              <w:t>满意度指标</w:t>
            </w:r>
          </w:p>
        </w:tc>
        <w:tc>
          <w:tcPr>
            <w:tcW w:w="2268" w:type="dxa"/>
            <w:vAlign w:val="center"/>
          </w:tcPr>
          <w:p w14:paraId="20E59F39">
            <w:pPr>
              <w:pStyle w:val="13"/>
            </w:pPr>
            <w:r>
              <w:t>服务对象满意度指标</w:t>
            </w:r>
          </w:p>
        </w:tc>
        <w:tc>
          <w:tcPr>
            <w:tcW w:w="2835" w:type="dxa"/>
            <w:vAlign w:val="center"/>
          </w:tcPr>
          <w:p w14:paraId="237B3CA7">
            <w:pPr>
              <w:pStyle w:val="13"/>
            </w:pPr>
            <w:r>
              <w:t>受益学生家长及调查满意度</w:t>
            </w:r>
          </w:p>
        </w:tc>
        <w:tc>
          <w:tcPr>
            <w:tcW w:w="5386" w:type="dxa"/>
            <w:vAlign w:val="center"/>
          </w:tcPr>
          <w:p w14:paraId="503EE80A">
            <w:pPr>
              <w:pStyle w:val="13"/>
            </w:pPr>
            <w:r>
              <w:t>学生、教师及家长对学校保教保育工作满意度情况</w:t>
            </w:r>
          </w:p>
        </w:tc>
        <w:tc>
          <w:tcPr>
            <w:tcW w:w="2268" w:type="dxa"/>
            <w:vAlign w:val="center"/>
          </w:tcPr>
          <w:p w14:paraId="7F6B0E3E">
            <w:pPr>
              <w:pStyle w:val="13"/>
            </w:pPr>
            <w:r>
              <w:t>≥95%</w:t>
            </w:r>
          </w:p>
        </w:tc>
        <w:tc>
          <w:tcPr>
            <w:tcW w:w="1276" w:type="dxa"/>
            <w:vAlign w:val="center"/>
          </w:tcPr>
          <w:p w14:paraId="70995039">
            <w:pPr>
              <w:pStyle w:val="13"/>
            </w:pPr>
            <w:r>
              <w:t>调查问卷</w:t>
            </w:r>
          </w:p>
        </w:tc>
      </w:tr>
    </w:tbl>
    <w:p w14:paraId="00527C6E">
      <w:pPr>
        <w:sectPr>
          <w:pgSz w:w="16840" w:h="11900" w:orient="landscape"/>
          <w:pgMar w:top="1361" w:right="1020" w:bottom="1134" w:left="1020" w:header="720" w:footer="720" w:gutter="0"/>
          <w:cols w:space="720" w:num="1"/>
        </w:sectPr>
      </w:pPr>
    </w:p>
    <w:p w14:paraId="5E3CB9B3">
      <w:pPr>
        <w:spacing w:before="0" w:after="0"/>
        <w:ind w:firstLine="560"/>
        <w:jc w:val="left"/>
        <w:outlineLvl w:val="9"/>
      </w:pPr>
      <w:r>
        <w:rPr>
          <w:rFonts w:ascii="方正仿宋_GBK" w:hAnsi="方正仿宋_GBK" w:eastAsia="方正仿宋_GBK" w:cs="方正仿宋_GBK"/>
          <w:b/>
          <w:color w:val="000000"/>
          <w:sz w:val="28"/>
        </w:rPr>
        <w:t>176、县级资金/隆尧县福星幼儿园公用经费绩效目标表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91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DEE77">
            <w:pPr>
              <w:pStyle w:val="14"/>
            </w:pPr>
            <w:r>
              <w:t>单位：万元</w:t>
            </w:r>
          </w:p>
        </w:tc>
      </w:tr>
      <w:tr w14:paraId="50266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91BD443">
            <w:pPr>
              <w:pStyle w:val="11"/>
            </w:pPr>
            <w:r>
              <w:t>项目编码</w:t>
            </w:r>
          </w:p>
        </w:tc>
        <w:tc>
          <w:tcPr>
            <w:tcW w:w="5103" w:type="dxa"/>
            <w:gridSpan w:val="2"/>
            <w:vAlign w:val="center"/>
          </w:tcPr>
          <w:p w14:paraId="673EED84">
            <w:pPr>
              <w:pStyle w:val="13"/>
            </w:pPr>
            <w:r>
              <w:t>13052525P00875610075F</w:t>
            </w:r>
          </w:p>
        </w:tc>
        <w:tc>
          <w:tcPr>
            <w:tcW w:w="2835" w:type="dxa"/>
            <w:vAlign w:val="center"/>
          </w:tcPr>
          <w:p w14:paraId="15B8C9B4">
            <w:pPr>
              <w:pStyle w:val="11"/>
            </w:pPr>
            <w:r>
              <w:t>项目名称</w:t>
            </w:r>
          </w:p>
        </w:tc>
        <w:tc>
          <w:tcPr>
            <w:tcW w:w="6095" w:type="dxa"/>
            <w:gridSpan w:val="3"/>
            <w:vAlign w:val="center"/>
          </w:tcPr>
          <w:p w14:paraId="7FBC45D1">
            <w:pPr>
              <w:pStyle w:val="13"/>
            </w:pPr>
            <w:r>
              <w:t>县级资金/隆尧县福星幼儿园公用经费</w:t>
            </w:r>
          </w:p>
        </w:tc>
      </w:tr>
      <w:tr w14:paraId="4F9D0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3F32AEC3">
            <w:pPr>
              <w:pStyle w:val="11"/>
            </w:pPr>
            <w:r>
              <w:t>预算规模及资金用途</w:t>
            </w:r>
          </w:p>
        </w:tc>
        <w:tc>
          <w:tcPr>
            <w:tcW w:w="2268" w:type="dxa"/>
            <w:vAlign w:val="center"/>
          </w:tcPr>
          <w:p w14:paraId="2CD81B0C">
            <w:pPr>
              <w:pStyle w:val="11"/>
            </w:pPr>
            <w:r>
              <w:t>预算数</w:t>
            </w:r>
          </w:p>
        </w:tc>
        <w:tc>
          <w:tcPr>
            <w:tcW w:w="2835" w:type="dxa"/>
            <w:vAlign w:val="center"/>
          </w:tcPr>
          <w:p w14:paraId="1E7DA61D">
            <w:pPr>
              <w:pStyle w:val="13"/>
            </w:pPr>
            <w:r>
              <w:t>3.24</w:t>
            </w:r>
          </w:p>
        </w:tc>
        <w:tc>
          <w:tcPr>
            <w:tcW w:w="2835" w:type="dxa"/>
            <w:vAlign w:val="center"/>
          </w:tcPr>
          <w:p w14:paraId="087C98C1">
            <w:pPr>
              <w:pStyle w:val="11"/>
            </w:pPr>
            <w:r>
              <w:t>其中：财政    资金</w:t>
            </w:r>
          </w:p>
        </w:tc>
        <w:tc>
          <w:tcPr>
            <w:tcW w:w="2551" w:type="dxa"/>
            <w:vAlign w:val="center"/>
          </w:tcPr>
          <w:p w14:paraId="5922BFE5">
            <w:pPr>
              <w:pStyle w:val="13"/>
            </w:pPr>
            <w:r>
              <w:t>3.24</w:t>
            </w:r>
          </w:p>
        </w:tc>
        <w:tc>
          <w:tcPr>
            <w:tcW w:w="2268" w:type="dxa"/>
            <w:vAlign w:val="center"/>
          </w:tcPr>
          <w:p w14:paraId="5D796FAE">
            <w:pPr>
              <w:pStyle w:val="11"/>
            </w:pPr>
            <w:r>
              <w:t>其他资金</w:t>
            </w:r>
          </w:p>
        </w:tc>
        <w:tc>
          <w:tcPr>
            <w:tcW w:w="1276" w:type="dxa"/>
            <w:vAlign w:val="center"/>
          </w:tcPr>
          <w:p w14:paraId="40B058B4">
            <w:pPr>
              <w:pStyle w:val="13"/>
            </w:pPr>
            <w:r>
              <w:t xml:space="preserve"> </w:t>
            </w:r>
          </w:p>
        </w:tc>
      </w:tr>
      <w:tr w14:paraId="399F7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5BA5C9"/>
        </w:tc>
        <w:tc>
          <w:tcPr>
            <w:tcW w:w="14033" w:type="dxa"/>
            <w:gridSpan w:val="6"/>
            <w:vAlign w:val="center"/>
          </w:tcPr>
          <w:p w14:paraId="548A8224">
            <w:pPr>
              <w:pStyle w:val="13"/>
            </w:pPr>
            <w:r>
              <w:t>按季度分批次拨付安排公用经费资金，学校按照预算安排进行资金使用，保证资金正常支出。</w:t>
            </w:r>
          </w:p>
        </w:tc>
      </w:tr>
      <w:tr w14:paraId="5A26F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283822D">
            <w:pPr>
              <w:pStyle w:val="11"/>
            </w:pPr>
            <w:r>
              <w:t>资金支出计划（%）</w:t>
            </w:r>
          </w:p>
        </w:tc>
        <w:tc>
          <w:tcPr>
            <w:tcW w:w="5103" w:type="dxa"/>
            <w:gridSpan w:val="2"/>
            <w:vAlign w:val="center"/>
          </w:tcPr>
          <w:p w14:paraId="01B38C19">
            <w:pPr>
              <w:pStyle w:val="11"/>
            </w:pPr>
            <w:r>
              <w:t>3月底</w:t>
            </w:r>
          </w:p>
        </w:tc>
        <w:tc>
          <w:tcPr>
            <w:tcW w:w="2835" w:type="dxa"/>
            <w:vAlign w:val="center"/>
          </w:tcPr>
          <w:p w14:paraId="008BB01E">
            <w:pPr>
              <w:pStyle w:val="11"/>
            </w:pPr>
            <w:r>
              <w:t>6月底</w:t>
            </w:r>
          </w:p>
        </w:tc>
        <w:tc>
          <w:tcPr>
            <w:tcW w:w="2551" w:type="dxa"/>
            <w:vAlign w:val="center"/>
          </w:tcPr>
          <w:p w14:paraId="437C4F35">
            <w:pPr>
              <w:pStyle w:val="11"/>
            </w:pPr>
            <w:r>
              <w:t>10月底</w:t>
            </w:r>
          </w:p>
        </w:tc>
        <w:tc>
          <w:tcPr>
            <w:tcW w:w="3544" w:type="dxa"/>
            <w:gridSpan w:val="2"/>
            <w:vAlign w:val="center"/>
          </w:tcPr>
          <w:p w14:paraId="09CA4B2C">
            <w:pPr>
              <w:pStyle w:val="11"/>
            </w:pPr>
            <w:r>
              <w:t>12月底</w:t>
            </w:r>
          </w:p>
        </w:tc>
      </w:tr>
      <w:tr w14:paraId="2D9CD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6C93A"/>
        </w:tc>
        <w:tc>
          <w:tcPr>
            <w:tcW w:w="5103" w:type="dxa"/>
            <w:gridSpan w:val="2"/>
            <w:vAlign w:val="center"/>
          </w:tcPr>
          <w:p w14:paraId="778B99A1">
            <w:pPr>
              <w:pStyle w:val="12"/>
            </w:pPr>
            <w:r>
              <w:t xml:space="preserve"> </w:t>
            </w:r>
          </w:p>
        </w:tc>
        <w:tc>
          <w:tcPr>
            <w:tcW w:w="2835" w:type="dxa"/>
            <w:vAlign w:val="center"/>
          </w:tcPr>
          <w:p w14:paraId="69A49BB3">
            <w:pPr>
              <w:pStyle w:val="12"/>
            </w:pPr>
            <w:r>
              <w:t>50%</w:t>
            </w:r>
          </w:p>
        </w:tc>
        <w:tc>
          <w:tcPr>
            <w:tcW w:w="2551" w:type="dxa"/>
            <w:vAlign w:val="center"/>
          </w:tcPr>
          <w:p w14:paraId="1F5401AB">
            <w:pPr>
              <w:pStyle w:val="12"/>
            </w:pPr>
            <w:r>
              <w:t>75%</w:t>
            </w:r>
          </w:p>
        </w:tc>
        <w:tc>
          <w:tcPr>
            <w:tcW w:w="3544" w:type="dxa"/>
            <w:gridSpan w:val="2"/>
            <w:vAlign w:val="center"/>
          </w:tcPr>
          <w:p w14:paraId="621C758F">
            <w:pPr>
              <w:pStyle w:val="12"/>
            </w:pPr>
            <w:r>
              <w:t>100%</w:t>
            </w:r>
          </w:p>
        </w:tc>
      </w:tr>
      <w:tr w14:paraId="13665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80E72">
            <w:pPr>
              <w:pStyle w:val="11"/>
            </w:pPr>
            <w:r>
              <w:t>绩效目标</w:t>
            </w:r>
          </w:p>
        </w:tc>
        <w:tc>
          <w:tcPr>
            <w:tcW w:w="14033" w:type="dxa"/>
            <w:gridSpan w:val="6"/>
            <w:vAlign w:val="center"/>
          </w:tcPr>
          <w:p w14:paraId="4488ABBC">
            <w:pPr>
              <w:pStyle w:val="13"/>
            </w:pPr>
            <w:r>
              <w:t>1.按季度分批次拨付安排公用经费资金，学校按照预算安排进行资金使用，保证资金正常支出。</w:t>
            </w:r>
          </w:p>
          <w:p w14:paraId="1A4DE949">
            <w:pPr>
              <w:pStyle w:val="13"/>
            </w:pPr>
          </w:p>
        </w:tc>
      </w:tr>
    </w:tbl>
    <w:p w14:paraId="4CB54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66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F945C">
            <w:pPr>
              <w:pStyle w:val="11"/>
            </w:pPr>
            <w:r>
              <w:t>一级指标</w:t>
            </w:r>
          </w:p>
        </w:tc>
        <w:tc>
          <w:tcPr>
            <w:tcW w:w="2268" w:type="dxa"/>
            <w:vAlign w:val="center"/>
          </w:tcPr>
          <w:p w14:paraId="062C6DA8">
            <w:pPr>
              <w:pStyle w:val="11"/>
            </w:pPr>
            <w:r>
              <w:t>二级指标</w:t>
            </w:r>
          </w:p>
        </w:tc>
        <w:tc>
          <w:tcPr>
            <w:tcW w:w="2835" w:type="dxa"/>
            <w:vAlign w:val="center"/>
          </w:tcPr>
          <w:p w14:paraId="26EAB523">
            <w:pPr>
              <w:pStyle w:val="11"/>
            </w:pPr>
            <w:r>
              <w:t>三级指标</w:t>
            </w:r>
          </w:p>
        </w:tc>
        <w:tc>
          <w:tcPr>
            <w:tcW w:w="5386" w:type="dxa"/>
            <w:vAlign w:val="center"/>
          </w:tcPr>
          <w:p w14:paraId="38753885">
            <w:pPr>
              <w:pStyle w:val="11"/>
            </w:pPr>
            <w:r>
              <w:t>绩效指标描述</w:t>
            </w:r>
          </w:p>
        </w:tc>
        <w:tc>
          <w:tcPr>
            <w:tcW w:w="2268" w:type="dxa"/>
            <w:vAlign w:val="center"/>
          </w:tcPr>
          <w:p w14:paraId="13CC9343">
            <w:pPr>
              <w:pStyle w:val="11"/>
            </w:pPr>
            <w:r>
              <w:t>指标值</w:t>
            </w:r>
          </w:p>
        </w:tc>
        <w:tc>
          <w:tcPr>
            <w:tcW w:w="1276" w:type="dxa"/>
            <w:vAlign w:val="center"/>
          </w:tcPr>
          <w:p w14:paraId="775A7049">
            <w:pPr>
              <w:pStyle w:val="11"/>
            </w:pPr>
            <w:r>
              <w:t>指标值确定依据</w:t>
            </w:r>
          </w:p>
        </w:tc>
      </w:tr>
      <w:tr w14:paraId="16F7F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3ADD6">
            <w:pPr>
              <w:pStyle w:val="12"/>
            </w:pPr>
            <w:r>
              <w:t>产出指标</w:t>
            </w:r>
          </w:p>
        </w:tc>
        <w:tc>
          <w:tcPr>
            <w:tcW w:w="2268" w:type="dxa"/>
            <w:vAlign w:val="center"/>
          </w:tcPr>
          <w:p w14:paraId="36041181">
            <w:pPr>
              <w:pStyle w:val="13"/>
            </w:pPr>
            <w:r>
              <w:t>数量指标</w:t>
            </w:r>
          </w:p>
        </w:tc>
        <w:tc>
          <w:tcPr>
            <w:tcW w:w="2835" w:type="dxa"/>
            <w:vAlign w:val="center"/>
          </w:tcPr>
          <w:p w14:paraId="66916EA6">
            <w:pPr>
              <w:pStyle w:val="13"/>
            </w:pPr>
            <w:r>
              <w:t>适龄在校生</w:t>
            </w:r>
          </w:p>
        </w:tc>
        <w:tc>
          <w:tcPr>
            <w:tcW w:w="5386" w:type="dxa"/>
            <w:vAlign w:val="center"/>
          </w:tcPr>
          <w:p w14:paraId="13ED05CD">
            <w:pPr>
              <w:pStyle w:val="13"/>
            </w:pPr>
            <w:r>
              <w:t>辖区内适龄儿童全覆盖</w:t>
            </w:r>
          </w:p>
        </w:tc>
        <w:tc>
          <w:tcPr>
            <w:tcW w:w="2268" w:type="dxa"/>
            <w:vAlign w:val="center"/>
          </w:tcPr>
          <w:p w14:paraId="2A223385">
            <w:pPr>
              <w:pStyle w:val="13"/>
            </w:pPr>
            <w:r>
              <w:t>72人</w:t>
            </w:r>
          </w:p>
        </w:tc>
        <w:tc>
          <w:tcPr>
            <w:tcW w:w="1276" w:type="dxa"/>
            <w:vAlign w:val="center"/>
          </w:tcPr>
          <w:p w14:paraId="4E38A887">
            <w:pPr>
              <w:pStyle w:val="13"/>
            </w:pPr>
            <w:r>
              <w:t>幼儿园生均公用经费管理办法</w:t>
            </w:r>
          </w:p>
        </w:tc>
      </w:tr>
      <w:tr w14:paraId="2D6FC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AAA3C"/>
        </w:tc>
        <w:tc>
          <w:tcPr>
            <w:tcW w:w="2268" w:type="dxa"/>
            <w:vAlign w:val="center"/>
          </w:tcPr>
          <w:p w14:paraId="6A95A338">
            <w:pPr>
              <w:pStyle w:val="13"/>
            </w:pPr>
            <w:r>
              <w:t>质量指标</w:t>
            </w:r>
          </w:p>
        </w:tc>
        <w:tc>
          <w:tcPr>
            <w:tcW w:w="2835" w:type="dxa"/>
            <w:vAlign w:val="center"/>
          </w:tcPr>
          <w:p w14:paraId="23673C26">
            <w:pPr>
              <w:pStyle w:val="13"/>
            </w:pPr>
            <w:r>
              <w:t>预算控制率</w:t>
            </w:r>
          </w:p>
        </w:tc>
        <w:tc>
          <w:tcPr>
            <w:tcW w:w="5386" w:type="dxa"/>
            <w:vAlign w:val="center"/>
          </w:tcPr>
          <w:p w14:paraId="08B73F1F">
            <w:pPr>
              <w:pStyle w:val="13"/>
            </w:pPr>
            <w:r>
              <w:t>预算执行</w:t>
            </w:r>
          </w:p>
        </w:tc>
        <w:tc>
          <w:tcPr>
            <w:tcW w:w="2268" w:type="dxa"/>
            <w:vAlign w:val="center"/>
          </w:tcPr>
          <w:p w14:paraId="7D1BC1D8">
            <w:pPr>
              <w:pStyle w:val="13"/>
            </w:pPr>
            <w:r>
              <w:t>≥95%</w:t>
            </w:r>
          </w:p>
        </w:tc>
        <w:tc>
          <w:tcPr>
            <w:tcW w:w="1276" w:type="dxa"/>
            <w:vAlign w:val="center"/>
          </w:tcPr>
          <w:p w14:paraId="73BFEE31">
            <w:pPr>
              <w:pStyle w:val="13"/>
            </w:pPr>
            <w:r>
              <w:t>幼儿园生均公用经费管理办法</w:t>
            </w:r>
          </w:p>
        </w:tc>
      </w:tr>
      <w:tr w14:paraId="589B4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62599"/>
        </w:tc>
        <w:tc>
          <w:tcPr>
            <w:tcW w:w="2268" w:type="dxa"/>
            <w:vAlign w:val="center"/>
          </w:tcPr>
          <w:p w14:paraId="572C53B0">
            <w:pPr>
              <w:pStyle w:val="13"/>
            </w:pPr>
            <w:r>
              <w:t>时效指标</w:t>
            </w:r>
          </w:p>
        </w:tc>
        <w:tc>
          <w:tcPr>
            <w:tcW w:w="2835" w:type="dxa"/>
            <w:vAlign w:val="center"/>
          </w:tcPr>
          <w:p w14:paraId="02F6C1C9">
            <w:pPr>
              <w:pStyle w:val="13"/>
            </w:pPr>
            <w:r>
              <w:t>资金支付率</w:t>
            </w:r>
          </w:p>
        </w:tc>
        <w:tc>
          <w:tcPr>
            <w:tcW w:w="5386" w:type="dxa"/>
            <w:vAlign w:val="center"/>
          </w:tcPr>
          <w:p w14:paraId="25BD50DC">
            <w:pPr>
              <w:pStyle w:val="13"/>
            </w:pPr>
            <w:r>
              <w:t>按照序时进度完成资金支付</w:t>
            </w:r>
          </w:p>
        </w:tc>
        <w:tc>
          <w:tcPr>
            <w:tcW w:w="2268" w:type="dxa"/>
            <w:vAlign w:val="center"/>
          </w:tcPr>
          <w:p w14:paraId="1EFBFFF6">
            <w:pPr>
              <w:pStyle w:val="13"/>
            </w:pPr>
            <w:r>
              <w:t>≥100%</w:t>
            </w:r>
          </w:p>
        </w:tc>
        <w:tc>
          <w:tcPr>
            <w:tcW w:w="1276" w:type="dxa"/>
            <w:vAlign w:val="center"/>
          </w:tcPr>
          <w:p w14:paraId="123E19A8">
            <w:pPr>
              <w:pStyle w:val="13"/>
            </w:pPr>
            <w:r>
              <w:t>幼儿园生均公用经费管理办法</w:t>
            </w:r>
          </w:p>
        </w:tc>
      </w:tr>
      <w:tr w14:paraId="2AD4D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74020"/>
        </w:tc>
        <w:tc>
          <w:tcPr>
            <w:tcW w:w="2268" w:type="dxa"/>
            <w:vAlign w:val="center"/>
          </w:tcPr>
          <w:p w14:paraId="1A14370C">
            <w:pPr>
              <w:pStyle w:val="13"/>
            </w:pPr>
            <w:r>
              <w:t>成本指标</w:t>
            </w:r>
          </w:p>
        </w:tc>
        <w:tc>
          <w:tcPr>
            <w:tcW w:w="2835" w:type="dxa"/>
            <w:vAlign w:val="center"/>
          </w:tcPr>
          <w:p w14:paraId="794F93B4">
            <w:pPr>
              <w:pStyle w:val="13"/>
            </w:pPr>
            <w:r>
              <w:t>生均拨款标准</w:t>
            </w:r>
          </w:p>
        </w:tc>
        <w:tc>
          <w:tcPr>
            <w:tcW w:w="5386" w:type="dxa"/>
            <w:vAlign w:val="center"/>
          </w:tcPr>
          <w:p w14:paraId="277B4E57">
            <w:pPr>
              <w:pStyle w:val="13"/>
            </w:pPr>
            <w:r>
              <w:t>学前经费600元/生/年</w:t>
            </w:r>
          </w:p>
        </w:tc>
        <w:tc>
          <w:tcPr>
            <w:tcW w:w="2268" w:type="dxa"/>
            <w:vAlign w:val="center"/>
          </w:tcPr>
          <w:p w14:paraId="2A1D7BA0">
            <w:pPr>
              <w:pStyle w:val="13"/>
            </w:pPr>
            <w:r>
              <w:t>600元</w:t>
            </w:r>
          </w:p>
        </w:tc>
        <w:tc>
          <w:tcPr>
            <w:tcW w:w="1276" w:type="dxa"/>
            <w:vAlign w:val="center"/>
          </w:tcPr>
          <w:p w14:paraId="2150AF91">
            <w:pPr>
              <w:pStyle w:val="13"/>
            </w:pPr>
            <w:r>
              <w:t>幼儿园生均公用经费管理办法</w:t>
            </w:r>
          </w:p>
        </w:tc>
      </w:tr>
      <w:tr w14:paraId="12E85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DFD246">
            <w:pPr>
              <w:pStyle w:val="12"/>
            </w:pPr>
            <w:r>
              <w:t>效益指标</w:t>
            </w:r>
          </w:p>
        </w:tc>
        <w:tc>
          <w:tcPr>
            <w:tcW w:w="2268" w:type="dxa"/>
            <w:vAlign w:val="center"/>
          </w:tcPr>
          <w:p w14:paraId="3FA8AC83">
            <w:pPr>
              <w:pStyle w:val="13"/>
            </w:pPr>
            <w:r>
              <w:t>经济效益指标</w:t>
            </w:r>
          </w:p>
        </w:tc>
        <w:tc>
          <w:tcPr>
            <w:tcW w:w="2835" w:type="dxa"/>
            <w:vAlign w:val="center"/>
          </w:tcPr>
          <w:p w14:paraId="48D9B602">
            <w:pPr>
              <w:pStyle w:val="13"/>
            </w:pPr>
            <w:r>
              <w:t>教育发展水平明显好转</w:t>
            </w:r>
          </w:p>
        </w:tc>
        <w:tc>
          <w:tcPr>
            <w:tcW w:w="5386" w:type="dxa"/>
            <w:vAlign w:val="center"/>
          </w:tcPr>
          <w:p w14:paraId="6D395FF4">
            <w:pPr>
              <w:pStyle w:val="13"/>
            </w:pPr>
            <w:r>
              <w:t>学生受教育年限</w:t>
            </w:r>
          </w:p>
        </w:tc>
        <w:tc>
          <w:tcPr>
            <w:tcW w:w="2268" w:type="dxa"/>
            <w:vAlign w:val="center"/>
          </w:tcPr>
          <w:p w14:paraId="1DA223AB">
            <w:pPr>
              <w:pStyle w:val="13"/>
            </w:pPr>
            <w:r>
              <w:t>3年</w:t>
            </w:r>
          </w:p>
        </w:tc>
        <w:tc>
          <w:tcPr>
            <w:tcW w:w="1276" w:type="dxa"/>
            <w:vAlign w:val="center"/>
          </w:tcPr>
          <w:p w14:paraId="23D30D94">
            <w:pPr>
              <w:pStyle w:val="13"/>
            </w:pPr>
            <w:r>
              <w:t>幼儿园生均公用经费管理办法</w:t>
            </w:r>
          </w:p>
        </w:tc>
      </w:tr>
      <w:tr w14:paraId="2AE2A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5D9E8E">
            <w:pPr>
              <w:pStyle w:val="12"/>
            </w:pPr>
            <w:r>
              <w:t>满意度指标</w:t>
            </w:r>
          </w:p>
        </w:tc>
        <w:tc>
          <w:tcPr>
            <w:tcW w:w="2268" w:type="dxa"/>
            <w:vAlign w:val="center"/>
          </w:tcPr>
          <w:p w14:paraId="2B279EC6">
            <w:pPr>
              <w:pStyle w:val="13"/>
            </w:pPr>
            <w:r>
              <w:t>服务对象满意度指标</w:t>
            </w:r>
          </w:p>
        </w:tc>
        <w:tc>
          <w:tcPr>
            <w:tcW w:w="2835" w:type="dxa"/>
            <w:vAlign w:val="center"/>
          </w:tcPr>
          <w:p w14:paraId="6840EE24">
            <w:pPr>
              <w:pStyle w:val="13"/>
            </w:pPr>
            <w:r>
              <w:t>受益学生家长及调查满意度</w:t>
            </w:r>
          </w:p>
        </w:tc>
        <w:tc>
          <w:tcPr>
            <w:tcW w:w="5386" w:type="dxa"/>
            <w:vAlign w:val="center"/>
          </w:tcPr>
          <w:p w14:paraId="4D49914C">
            <w:pPr>
              <w:pStyle w:val="13"/>
            </w:pPr>
            <w:r>
              <w:t>学生、教师及家长对学校保教保育工作满意度情况</w:t>
            </w:r>
          </w:p>
        </w:tc>
        <w:tc>
          <w:tcPr>
            <w:tcW w:w="2268" w:type="dxa"/>
            <w:vAlign w:val="center"/>
          </w:tcPr>
          <w:p w14:paraId="2FFB53B5">
            <w:pPr>
              <w:pStyle w:val="13"/>
            </w:pPr>
            <w:r>
              <w:t>≥95%</w:t>
            </w:r>
          </w:p>
        </w:tc>
        <w:tc>
          <w:tcPr>
            <w:tcW w:w="1276" w:type="dxa"/>
            <w:vAlign w:val="center"/>
          </w:tcPr>
          <w:p w14:paraId="2F25E3D8">
            <w:pPr>
              <w:pStyle w:val="13"/>
            </w:pPr>
            <w:r>
              <w:t>调查问卷</w:t>
            </w:r>
          </w:p>
        </w:tc>
      </w:tr>
    </w:tbl>
    <w:p w14:paraId="3B18E06A">
      <w:pPr>
        <w:sectPr>
          <w:pgSz w:w="16840" w:h="11900" w:orient="landscape"/>
          <w:pgMar w:top="1361" w:right="1020" w:bottom="1134" w:left="1020" w:header="720" w:footer="720" w:gutter="0"/>
          <w:cols w:space="720" w:num="1"/>
        </w:sectPr>
      </w:pPr>
    </w:p>
    <w:p w14:paraId="361F1A68">
      <w:pPr>
        <w:spacing w:before="0" w:after="0"/>
        <w:ind w:firstLine="560"/>
        <w:jc w:val="left"/>
        <w:outlineLvl w:val="9"/>
      </w:pPr>
      <w:r>
        <w:rPr>
          <w:rFonts w:ascii="方正仿宋_GBK" w:hAnsi="方正仿宋_GBK" w:eastAsia="方正仿宋_GBK" w:cs="方正仿宋_GBK"/>
          <w:b/>
          <w:color w:val="000000"/>
          <w:sz w:val="28"/>
        </w:rPr>
        <w:t>177、县级资金/隆尧县海天幼儿园公用经费绩效目标表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20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420A9">
            <w:pPr>
              <w:pStyle w:val="14"/>
            </w:pPr>
            <w:r>
              <w:t>单位：万元</w:t>
            </w:r>
          </w:p>
        </w:tc>
      </w:tr>
      <w:tr w14:paraId="7477D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C816E4">
            <w:pPr>
              <w:pStyle w:val="11"/>
            </w:pPr>
            <w:r>
              <w:t>项目编码</w:t>
            </w:r>
          </w:p>
        </w:tc>
        <w:tc>
          <w:tcPr>
            <w:tcW w:w="5103" w:type="dxa"/>
            <w:gridSpan w:val="2"/>
            <w:vAlign w:val="center"/>
          </w:tcPr>
          <w:p w14:paraId="15C61FA4">
            <w:pPr>
              <w:pStyle w:val="13"/>
            </w:pPr>
            <w:r>
              <w:t>13052525P00875610079X</w:t>
            </w:r>
          </w:p>
        </w:tc>
        <w:tc>
          <w:tcPr>
            <w:tcW w:w="2835" w:type="dxa"/>
            <w:vAlign w:val="center"/>
          </w:tcPr>
          <w:p w14:paraId="2FE0FA88">
            <w:pPr>
              <w:pStyle w:val="11"/>
            </w:pPr>
            <w:r>
              <w:t>项目名称</w:t>
            </w:r>
          </w:p>
        </w:tc>
        <w:tc>
          <w:tcPr>
            <w:tcW w:w="6095" w:type="dxa"/>
            <w:gridSpan w:val="3"/>
            <w:vAlign w:val="center"/>
          </w:tcPr>
          <w:p w14:paraId="2B99D773">
            <w:pPr>
              <w:pStyle w:val="13"/>
            </w:pPr>
            <w:r>
              <w:t>县级资金/隆尧县海天幼儿园公用经费</w:t>
            </w:r>
          </w:p>
        </w:tc>
      </w:tr>
      <w:tr w14:paraId="6A2E0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6287C">
            <w:pPr>
              <w:pStyle w:val="11"/>
            </w:pPr>
            <w:r>
              <w:t>预算规模及资金用途</w:t>
            </w:r>
          </w:p>
        </w:tc>
        <w:tc>
          <w:tcPr>
            <w:tcW w:w="2268" w:type="dxa"/>
            <w:vAlign w:val="center"/>
          </w:tcPr>
          <w:p w14:paraId="0A0778AF">
            <w:pPr>
              <w:pStyle w:val="11"/>
            </w:pPr>
            <w:r>
              <w:t>预算数</w:t>
            </w:r>
          </w:p>
        </w:tc>
        <w:tc>
          <w:tcPr>
            <w:tcW w:w="2835" w:type="dxa"/>
            <w:vAlign w:val="center"/>
          </w:tcPr>
          <w:p w14:paraId="1C41CA99">
            <w:pPr>
              <w:pStyle w:val="13"/>
            </w:pPr>
            <w:r>
              <w:t>7.92</w:t>
            </w:r>
          </w:p>
        </w:tc>
        <w:tc>
          <w:tcPr>
            <w:tcW w:w="2835" w:type="dxa"/>
            <w:vAlign w:val="center"/>
          </w:tcPr>
          <w:p w14:paraId="3384F670">
            <w:pPr>
              <w:pStyle w:val="11"/>
            </w:pPr>
            <w:r>
              <w:t>其中：财政    资金</w:t>
            </w:r>
          </w:p>
        </w:tc>
        <w:tc>
          <w:tcPr>
            <w:tcW w:w="2551" w:type="dxa"/>
            <w:vAlign w:val="center"/>
          </w:tcPr>
          <w:p w14:paraId="07FCC55C">
            <w:pPr>
              <w:pStyle w:val="13"/>
            </w:pPr>
            <w:r>
              <w:t>7.92</w:t>
            </w:r>
          </w:p>
        </w:tc>
        <w:tc>
          <w:tcPr>
            <w:tcW w:w="2268" w:type="dxa"/>
            <w:vAlign w:val="center"/>
          </w:tcPr>
          <w:p w14:paraId="2F483213">
            <w:pPr>
              <w:pStyle w:val="11"/>
            </w:pPr>
            <w:r>
              <w:t>其他资金</w:t>
            </w:r>
          </w:p>
        </w:tc>
        <w:tc>
          <w:tcPr>
            <w:tcW w:w="1276" w:type="dxa"/>
            <w:vAlign w:val="center"/>
          </w:tcPr>
          <w:p w14:paraId="13B9E9AF">
            <w:pPr>
              <w:pStyle w:val="13"/>
            </w:pPr>
            <w:r>
              <w:t xml:space="preserve"> </w:t>
            </w:r>
          </w:p>
        </w:tc>
      </w:tr>
      <w:tr w14:paraId="438EB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CCD74"/>
        </w:tc>
        <w:tc>
          <w:tcPr>
            <w:tcW w:w="14033" w:type="dxa"/>
            <w:gridSpan w:val="6"/>
            <w:vAlign w:val="center"/>
          </w:tcPr>
          <w:p w14:paraId="72A1AAA7">
            <w:pPr>
              <w:pStyle w:val="13"/>
            </w:pPr>
            <w:r>
              <w:t>按季度分批次拨付安排公用经费资金，学校按照预算安排进行资金使用，保证资金正常支出。</w:t>
            </w:r>
          </w:p>
        </w:tc>
      </w:tr>
      <w:tr w14:paraId="03E9D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D645F">
            <w:pPr>
              <w:pStyle w:val="11"/>
            </w:pPr>
            <w:r>
              <w:t>资金支出计划（%）</w:t>
            </w:r>
          </w:p>
        </w:tc>
        <w:tc>
          <w:tcPr>
            <w:tcW w:w="5103" w:type="dxa"/>
            <w:gridSpan w:val="2"/>
            <w:vAlign w:val="center"/>
          </w:tcPr>
          <w:p w14:paraId="4705A4B8">
            <w:pPr>
              <w:pStyle w:val="11"/>
            </w:pPr>
            <w:r>
              <w:t>3月底</w:t>
            </w:r>
          </w:p>
        </w:tc>
        <w:tc>
          <w:tcPr>
            <w:tcW w:w="2835" w:type="dxa"/>
            <w:vAlign w:val="center"/>
          </w:tcPr>
          <w:p w14:paraId="5E448C68">
            <w:pPr>
              <w:pStyle w:val="11"/>
            </w:pPr>
            <w:r>
              <w:t>6月底</w:t>
            </w:r>
          </w:p>
        </w:tc>
        <w:tc>
          <w:tcPr>
            <w:tcW w:w="2551" w:type="dxa"/>
            <w:vAlign w:val="center"/>
          </w:tcPr>
          <w:p w14:paraId="07336E98">
            <w:pPr>
              <w:pStyle w:val="11"/>
            </w:pPr>
            <w:r>
              <w:t>10月底</w:t>
            </w:r>
          </w:p>
        </w:tc>
        <w:tc>
          <w:tcPr>
            <w:tcW w:w="3544" w:type="dxa"/>
            <w:gridSpan w:val="2"/>
            <w:vAlign w:val="center"/>
          </w:tcPr>
          <w:p w14:paraId="25620656">
            <w:pPr>
              <w:pStyle w:val="11"/>
            </w:pPr>
            <w:r>
              <w:t>12月底</w:t>
            </w:r>
          </w:p>
        </w:tc>
      </w:tr>
      <w:tr w14:paraId="26ED6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13E71"/>
        </w:tc>
        <w:tc>
          <w:tcPr>
            <w:tcW w:w="5103" w:type="dxa"/>
            <w:gridSpan w:val="2"/>
            <w:vAlign w:val="center"/>
          </w:tcPr>
          <w:p w14:paraId="1E514DD0">
            <w:pPr>
              <w:pStyle w:val="12"/>
            </w:pPr>
            <w:r>
              <w:t xml:space="preserve"> </w:t>
            </w:r>
          </w:p>
        </w:tc>
        <w:tc>
          <w:tcPr>
            <w:tcW w:w="2835" w:type="dxa"/>
            <w:vAlign w:val="center"/>
          </w:tcPr>
          <w:p w14:paraId="6DDCEFFB">
            <w:pPr>
              <w:pStyle w:val="12"/>
            </w:pPr>
            <w:r>
              <w:t>50%</w:t>
            </w:r>
          </w:p>
        </w:tc>
        <w:tc>
          <w:tcPr>
            <w:tcW w:w="2551" w:type="dxa"/>
            <w:vAlign w:val="center"/>
          </w:tcPr>
          <w:p w14:paraId="4AF01F3B">
            <w:pPr>
              <w:pStyle w:val="12"/>
            </w:pPr>
            <w:r>
              <w:t>75%</w:t>
            </w:r>
          </w:p>
        </w:tc>
        <w:tc>
          <w:tcPr>
            <w:tcW w:w="3544" w:type="dxa"/>
            <w:gridSpan w:val="2"/>
            <w:vAlign w:val="center"/>
          </w:tcPr>
          <w:p w14:paraId="6188267C">
            <w:pPr>
              <w:pStyle w:val="12"/>
            </w:pPr>
            <w:r>
              <w:t>100%</w:t>
            </w:r>
          </w:p>
        </w:tc>
      </w:tr>
      <w:tr w14:paraId="037E3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17137">
            <w:pPr>
              <w:pStyle w:val="11"/>
            </w:pPr>
            <w:r>
              <w:t>绩效目标</w:t>
            </w:r>
          </w:p>
        </w:tc>
        <w:tc>
          <w:tcPr>
            <w:tcW w:w="14033" w:type="dxa"/>
            <w:gridSpan w:val="6"/>
            <w:vAlign w:val="center"/>
          </w:tcPr>
          <w:p w14:paraId="3E501F1B">
            <w:pPr>
              <w:pStyle w:val="13"/>
            </w:pPr>
            <w:r>
              <w:t>1.按季度分批次拨付安排公用经费资金，学校按照预算安排进行资金使用，保证资金正常支出。</w:t>
            </w:r>
          </w:p>
        </w:tc>
      </w:tr>
    </w:tbl>
    <w:p w14:paraId="777CE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81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1AA5D">
            <w:pPr>
              <w:pStyle w:val="11"/>
            </w:pPr>
            <w:r>
              <w:t>一级指标</w:t>
            </w:r>
          </w:p>
        </w:tc>
        <w:tc>
          <w:tcPr>
            <w:tcW w:w="2268" w:type="dxa"/>
            <w:vAlign w:val="center"/>
          </w:tcPr>
          <w:p w14:paraId="0A76EDBF">
            <w:pPr>
              <w:pStyle w:val="11"/>
            </w:pPr>
            <w:r>
              <w:t>二级指标</w:t>
            </w:r>
          </w:p>
        </w:tc>
        <w:tc>
          <w:tcPr>
            <w:tcW w:w="2835" w:type="dxa"/>
            <w:vAlign w:val="center"/>
          </w:tcPr>
          <w:p w14:paraId="4C801567">
            <w:pPr>
              <w:pStyle w:val="11"/>
            </w:pPr>
            <w:r>
              <w:t>三级指标</w:t>
            </w:r>
          </w:p>
        </w:tc>
        <w:tc>
          <w:tcPr>
            <w:tcW w:w="5386" w:type="dxa"/>
            <w:vAlign w:val="center"/>
          </w:tcPr>
          <w:p w14:paraId="4296B974">
            <w:pPr>
              <w:pStyle w:val="11"/>
            </w:pPr>
            <w:r>
              <w:t>绩效指标描述</w:t>
            </w:r>
          </w:p>
        </w:tc>
        <w:tc>
          <w:tcPr>
            <w:tcW w:w="2268" w:type="dxa"/>
            <w:vAlign w:val="center"/>
          </w:tcPr>
          <w:p w14:paraId="73CDC402">
            <w:pPr>
              <w:pStyle w:val="11"/>
            </w:pPr>
            <w:r>
              <w:t>指标值</w:t>
            </w:r>
          </w:p>
        </w:tc>
        <w:tc>
          <w:tcPr>
            <w:tcW w:w="1276" w:type="dxa"/>
            <w:vAlign w:val="center"/>
          </w:tcPr>
          <w:p w14:paraId="5CA04A2B">
            <w:pPr>
              <w:pStyle w:val="11"/>
            </w:pPr>
            <w:r>
              <w:t>指标值确定依据</w:t>
            </w:r>
          </w:p>
        </w:tc>
      </w:tr>
      <w:tr w14:paraId="55D84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A60FD">
            <w:pPr>
              <w:pStyle w:val="12"/>
            </w:pPr>
            <w:r>
              <w:t>产出指标</w:t>
            </w:r>
          </w:p>
        </w:tc>
        <w:tc>
          <w:tcPr>
            <w:tcW w:w="2268" w:type="dxa"/>
            <w:vAlign w:val="center"/>
          </w:tcPr>
          <w:p w14:paraId="34BC4E26">
            <w:pPr>
              <w:pStyle w:val="13"/>
            </w:pPr>
            <w:r>
              <w:t>数量指标</w:t>
            </w:r>
          </w:p>
        </w:tc>
        <w:tc>
          <w:tcPr>
            <w:tcW w:w="2835" w:type="dxa"/>
            <w:vAlign w:val="center"/>
          </w:tcPr>
          <w:p w14:paraId="347134CE">
            <w:pPr>
              <w:pStyle w:val="13"/>
            </w:pPr>
            <w:r>
              <w:t>适龄在校生</w:t>
            </w:r>
          </w:p>
        </w:tc>
        <w:tc>
          <w:tcPr>
            <w:tcW w:w="5386" w:type="dxa"/>
            <w:vAlign w:val="center"/>
          </w:tcPr>
          <w:p w14:paraId="32517904">
            <w:pPr>
              <w:pStyle w:val="13"/>
            </w:pPr>
            <w:r>
              <w:t>辖区内适龄儿童全覆盖</w:t>
            </w:r>
          </w:p>
        </w:tc>
        <w:tc>
          <w:tcPr>
            <w:tcW w:w="2268" w:type="dxa"/>
            <w:vAlign w:val="center"/>
          </w:tcPr>
          <w:p w14:paraId="2891C18B">
            <w:pPr>
              <w:pStyle w:val="13"/>
            </w:pPr>
            <w:r>
              <w:t>176人</w:t>
            </w:r>
          </w:p>
        </w:tc>
        <w:tc>
          <w:tcPr>
            <w:tcW w:w="1276" w:type="dxa"/>
            <w:vAlign w:val="center"/>
          </w:tcPr>
          <w:p w14:paraId="2C16535C">
            <w:pPr>
              <w:pStyle w:val="13"/>
            </w:pPr>
            <w:r>
              <w:t>幼儿园生均公用经费管理办法</w:t>
            </w:r>
          </w:p>
        </w:tc>
      </w:tr>
      <w:tr w14:paraId="0E3F7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534EF"/>
        </w:tc>
        <w:tc>
          <w:tcPr>
            <w:tcW w:w="2268" w:type="dxa"/>
            <w:vAlign w:val="center"/>
          </w:tcPr>
          <w:p w14:paraId="25E469AB">
            <w:pPr>
              <w:pStyle w:val="13"/>
            </w:pPr>
            <w:r>
              <w:t>质量指标</w:t>
            </w:r>
          </w:p>
        </w:tc>
        <w:tc>
          <w:tcPr>
            <w:tcW w:w="2835" w:type="dxa"/>
            <w:vAlign w:val="center"/>
          </w:tcPr>
          <w:p w14:paraId="4D7372DA">
            <w:pPr>
              <w:pStyle w:val="13"/>
            </w:pPr>
            <w:r>
              <w:t>预算控制率</w:t>
            </w:r>
          </w:p>
        </w:tc>
        <w:tc>
          <w:tcPr>
            <w:tcW w:w="5386" w:type="dxa"/>
            <w:vAlign w:val="center"/>
          </w:tcPr>
          <w:p w14:paraId="08F96A4C">
            <w:pPr>
              <w:pStyle w:val="13"/>
            </w:pPr>
            <w:r>
              <w:t>预算执行</w:t>
            </w:r>
          </w:p>
        </w:tc>
        <w:tc>
          <w:tcPr>
            <w:tcW w:w="2268" w:type="dxa"/>
            <w:vAlign w:val="center"/>
          </w:tcPr>
          <w:p w14:paraId="083CF70D">
            <w:pPr>
              <w:pStyle w:val="13"/>
            </w:pPr>
            <w:r>
              <w:t>≥95%</w:t>
            </w:r>
          </w:p>
        </w:tc>
        <w:tc>
          <w:tcPr>
            <w:tcW w:w="1276" w:type="dxa"/>
            <w:vAlign w:val="center"/>
          </w:tcPr>
          <w:p w14:paraId="09E9AE04">
            <w:pPr>
              <w:pStyle w:val="13"/>
            </w:pPr>
            <w:r>
              <w:t>幼儿园生均公用经费管理办法</w:t>
            </w:r>
          </w:p>
        </w:tc>
      </w:tr>
      <w:tr w14:paraId="7333F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34403"/>
        </w:tc>
        <w:tc>
          <w:tcPr>
            <w:tcW w:w="2268" w:type="dxa"/>
            <w:vAlign w:val="center"/>
          </w:tcPr>
          <w:p w14:paraId="624B713B">
            <w:pPr>
              <w:pStyle w:val="13"/>
            </w:pPr>
            <w:r>
              <w:t>时效指标</w:t>
            </w:r>
          </w:p>
        </w:tc>
        <w:tc>
          <w:tcPr>
            <w:tcW w:w="2835" w:type="dxa"/>
            <w:vAlign w:val="center"/>
          </w:tcPr>
          <w:p w14:paraId="699DCE5A">
            <w:pPr>
              <w:pStyle w:val="13"/>
            </w:pPr>
            <w:r>
              <w:t>资金支付率</w:t>
            </w:r>
          </w:p>
        </w:tc>
        <w:tc>
          <w:tcPr>
            <w:tcW w:w="5386" w:type="dxa"/>
            <w:vAlign w:val="center"/>
          </w:tcPr>
          <w:p w14:paraId="0E5AE356">
            <w:pPr>
              <w:pStyle w:val="13"/>
            </w:pPr>
            <w:r>
              <w:t>按照序时进度完成资金支付</w:t>
            </w:r>
          </w:p>
        </w:tc>
        <w:tc>
          <w:tcPr>
            <w:tcW w:w="2268" w:type="dxa"/>
            <w:vAlign w:val="center"/>
          </w:tcPr>
          <w:p w14:paraId="1B640176">
            <w:pPr>
              <w:pStyle w:val="13"/>
            </w:pPr>
            <w:r>
              <w:t>≥100%</w:t>
            </w:r>
          </w:p>
        </w:tc>
        <w:tc>
          <w:tcPr>
            <w:tcW w:w="1276" w:type="dxa"/>
            <w:vAlign w:val="center"/>
          </w:tcPr>
          <w:p w14:paraId="4B2E07F8">
            <w:pPr>
              <w:pStyle w:val="13"/>
            </w:pPr>
            <w:r>
              <w:t>幼儿园生均公用经费管理办法</w:t>
            </w:r>
          </w:p>
        </w:tc>
      </w:tr>
      <w:tr w14:paraId="71893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8DC52"/>
        </w:tc>
        <w:tc>
          <w:tcPr>
            <w:tcW w:w="2268" w:type="dxa"/>
            <w:vAlign w:val="center"/>
          </w:tcPr>
          <w:p w14:paraId="4216FA84">
            <w:pPr>
              <w:pStyle w:val="13"/>
            </w:pPr>
            <w:r>
              <w:t>成本指标</w:t>
            </w:r>
          </w:p>
        </w:tc>
        <w:tc>
          <w:tcPr>
            <w:tcW w:w="2835" w:type="dxa"/>
            <w:vAlign w:val="center"/>
          </w:tcPr>
          <w:p w14:paraId="7F062FF8">
            <w:pPr>
              <w:pStyle w:val="13"/>
            </w:pPr>
            <w:r>
              <w:t>生均拨款标准</w:t>
            </w:r>
          </w:p>
        </w:tc>
        <w:tc>
          <w:tcPr>
            <w:tcW w:w="5386" w:type="dxa"/>
            <w:vAlign w:val="center"/>
          </w:tcPr>
          <w:p w14:paraId="619FD838">
            <w:pPr>
              <w:pStyle w:val="13"/>
            </w:pPr>
            <w:r>
              <w:t>学前经费600元/生/年</w:t>
            </w:r>
          </w:p>
        </w:tc>
        <w:tc>
          <w:tcPr>
            <w:tcW w:w="2268" w:type="dxa"/>
            <w:vAlign w:val="center"/>
          </w:tcPr>
          <w:p w14:paraId="13712549">
            <w:pPr>
              <w:pStyle w:val="13"/>
            </w:pPr>
            <w:r>
              <w:t>600元</w:t>
            </w:r>
          </w:p>
        </w:tc>
        <w:tc>
          <w:tcPr>
            <w:tcW w:w="1276" w:type="dxa"/>
            <w:vAlign w:val="center"/>
          </w:tcPr>
          <w:p w14:paraId="45CE6822">
            <w:pPr>
              <w:pStyle w:val="13"/>
            </w:pPr>
            <w:r>
              <w:t>幼儿园生均公用经费管理办法</w:t>
            </w:r>
          </w:p>
        </w:tc>
      </w:tr>
      <w:tr w14:paraId="25E91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64BF2E">
            <w:pPr>
              <w:pStyle w:val="12"/>
            </w:pPr>
            <w:r>
              <w:t>效益指标</w:t>
            </w:r>
          </w:p>
        </w:tc>
        <w:tc>
          <w:tcPr>
            <w:tcW w:w="2268" w:type="dxa"/>
            <w:vAlign w:val="center"/>
          </w:tcPr>
          <w:p w14:paraId="69581223">
            <w:pPr>
              <w:pStyle w:val="13"/>
            </w:pPr>
            <w:r>
              <w:t>可持续影响指标</w:t>
            </w:r>
          </w:p>
        </w:tc>
        <w:tc>
          <w:tcPr>
            <w:tcW w:w="2835" w:type="dxa"/>
            <w:vAlign w:val="center"/>
          </w:tcPr>
          <w:p w14:paraId="5F1626BD">
            <w:pPr>
              <w:pStyle w:val="13"/>
            </w:pPr>
            <w:r>
              <w:t>教育发展水平明显好转</w:t>
            </w:r>
          </w:p>
        </w:tc>
        <w:tc>
          <w:tcPr>
            <w:tcW w:w="5386" w:type="dxa"/>
            <w:vAlign w:val="center"/>
          </w:tcPr>
          <w:p w14:paraId="22011AE7">
            <w:pPr>
              <w:pStyle w:val="13"/>
            </w:pPr>
            <w:r>
              <w:t>学生受教育年限</w:t>
            </w:r>
          </w:p>
        </w:tc>
        <w:tc>
          <w:tcPr>
            <w:tcW w:w="2268" w:type="dxa"/>
            <w:vAlign w:val="center"/>
          </w:tcPr>
          <w:p w14:paraId="27A8AE67">
            <w:pPr>
              <w:pStyle w:val="13"/>
            </w:pPr>
            <w:r>
              <w:t>3年</w:t>
            </w:r>
          </w:p>
        </w:tc>
        <w:tc>
          <w:tcPr>
            <w:tcW w:w="1276" w:type="dxa"/>
            <w:vAlign w:val="center"/>
          </w:tcPr>
          <w:p w14:paraId="16F31BA6">
            <w:pPr>
              <w:pStyle w:val="13"/>
            </w:pPr>
            <w:r>
              <w:t>幼儿园生均公用经费管理办法</w:t>
            </w:r>
          </w:p>
        </w:tc>
      </w:tr>
      <w:tr w14:paraId="234FB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F38ACF">
            <w:pPr>
              <w:pStyle w:val="12"/>
            </w:pPr>
            <w:r>
              <w:t>满意度指标</w:t>
            </w:r>
          </w:p>
        </w:tc>
        <w:tc>
          <w:tcPr>
            <w:tcW w:w="2268" w:type="dxa"/>
            <w:vAlign w:val="center"/>
          </w:tcPr>
          <w:p w14:paraId="1F300DF2">
            <w:pPr>
              <w:pStyle w:val="13"/>
            </w:pPr>
            <w:r>
              <w:t>服务对象满意度指标</w:t>
            </w:r>
          </w:p>
        </w:tc>
        <w:tc>
          <w:tcPr>
            <w:tcW w:w="2835" w:type="dxa"/>
            <w:vAlign w:val="center"/>
          </w:tcPr>
          <w:p w14:paraId="521DD86B">
            <w:pPr>
              <w:pStyle w:val="13"/>
            </w:pPr>
            <w:r>
              <w:t>受益学生家长及调查满意度</w:t>
            </w:r>
          </w:p>
        </w:tc>
        <w:tc>
          <w:tcPr>
            <w:tcW w:w="5386" w:type="dxa"/>
            <w:vAlign w:val="center"/>
          </w:tcPr>
          <w:p w14:paraId="0E1AA662">
            <w:pPr>
              <w:pStyle w:val="13"/>
            </w:pPr>
            <w:r>
              <w:t>学生、教师及家长对学校保教保育工作满意度情况</w:t>
            </w:r>
          </w:p>
        </w:tc>
        <w:tc>
          <w:tcPr>
            <w:tcW w:w="2268" w:type="dxa"/>
            <w:vAlign w:val="center"/>
          </w:tcPr>
          <w:p w14:paraId="503E846E">
            <w:pPr>
              <w:pStyle w:val="13"/>
            </w:pPr>
            <w:r>
              <w:t>≥95%</w:t>
            </w:r>
          </w:p>
        </w:tc>
        <w:tc>
          <w:tcPr>
            <w:tcW w:w="1276" w:type="dxa"/>
            <w:vAlign w:val="center"/>
          </w:tcPr>
          <w:p w14:paraId="193BDC8C">
            <w:pPr>
              <w:pStyle w:val="13"/>
            </w:pPr>
            <w:r>
              <w:t>调查问卷</w:t>
            </w:r>
          </w:p>
        </w:tc>
      </w:tr>
    </w:tbl>
    <w:p w14:paraId="202861CC">
      <w:pPr>
        <w:sectPr>
          <w:pgSz w:w="16840" w:h="11900" w:orient="landscape"/>
          <w:pgMar w:top="1361" w:right="1020" w:bottom="1134" w:left="1020" w:header="720" w:footer="720" w:gutter="0"/>
          <w:cols w:space="720" w:num="1"/>
        </w:sectPr>
      </w:pPr>
    </w:p>
    <w:p w14:paraId="041FBD8A">
      <w:pPr>
        <w:spacing w:before="0" w:after="0"/>
        <w:ind w:firstLine="560"/>
        <w:jc w:val="left"/>
        <w:outlineLvl w:val="9"/>
      </w:pPr>
      <w:r>
        <w:rPr>
          <w:rFonts w:ascii="方正仿宋_GBK" w:hAnsi="方正仿宋_GBK" w:eastAsia="方正仿宋_GBK" w:cs="方正仿宋_GBK"/>
          <w:b/>
          <w:color w:val="000000"/>
          <w:sz w:val="28"/>
        </w:rPr>
        <w:t>178、县级资金/隆尧县宏星幼儿园公用经费绩效目标表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92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A373D">
            <w:pPr>
              <w:pStyle w:val="14"/>
            </w:pPr>
            <w:r>
              <w:t>单位：万元</w:t>
            </w:r>
          </w:p>
        </w:tc>
      </w:tr>
      <w:tr w14:paraId="7A3A4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563FFC">
            <w:pPr>
              <w:pStyle w:val="11"/>
            </w:pPr>
            <w:r>
              <w:t>项目编码</w:t>
            </w:r>
          </w:p>
        </w:tc>
        <w:tc>
          <w:tcPr>
            <w:tcW w:w="5103" w:type="dxa"/>
            <w:gridSpan w:val="2"/>
            <w:vAlign w:val="center"/>
          </w:tcPr>
          <w:p w14:paraId="3B4688B5">
            <w:pPr>
              <w:pStyle w:val="13"/>
            </w:pPr>
            <w:r>
              <w:t>13052525P00875610048N</w:t>
            </w:r>
          </w:p>
        </w:tc>
        <w:tc>
          <w:tcPr>
            <w:tcW w:w="2835" w:type="dxa"/>
            <w:vAlign w:val="center"/>
          </w:tcPr>
          <w:p w14:paraId="5CDED8CE">
            <w:pPr>
              <w:pStyle w:val="11"/>
            </w:pPr>
            <w:r>
              <w:t>项目名称</w:t>
            </w:r>
          </w:p>
        </w:tc>
        <w:tc>
          <w:tcPr>
            <w:tcW w:w="6095" w:type="dxa"/>
            <w:gridSpan w:val="3"/>
            <w:vAlign w:val="center"/>
          </w:tcPr>
          <w:p w14:paraId="553260B1">
            <w:pPr>
              <w:pStyle w:val="13"/>
            </w:pPr>
            <w:r>
              <w:t>县级资金/隆尧县宏星幼儿园公用经费</w:t>
            </w:r>
          </w:p>
        </w:tc>
      </w:tr>
      <w:tr w14:paraId="10926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06C6C">
            <w:pPr>
              <w:pStyle w:val="11"/>
            </w:pPr>
            <w:r>
              <w:t>预算规模及资金用途</w:t>
            </w:r>
          </w:p>
        </w:tc>
        <w:tc>
          <w:tcPr>
            <w:tcW w:w="2268" w:type="dxa"/>
            <w:vAlign w:val="center"/>
          </w:tcPr>
          <w:p w14:paraId="4CEF8BE8">
            <w:pPr>
              <w:pStyle w:val="11"/>
            </w:pPr>
            <w:r>
              <w:t>预算数</w:t>
            </w:r>
          </w:p>
        </w:tc>
        <w:tc>
          <w:tcPr>
            <w:tcW w:w="2835" w:type="dxa"/>
            <w:vAlign w:val="center"/>
          </w:tcPr>
          <w:p w14:paraId="724077E3">
            <w:pPr>
              <w:pStyle w:val="13"/>
            </w:pPr>
            <w:r>
              <w:t>0.95</w:t>
            </w:r>
          </w:p>
        </w:tc>
        <w:tc>
          <w:tcPr>
            <w:tcW w:w="2835" w:type="dxa"/>
            <w:vAlign w:val="center"/>
          </w:tcPr>
          <w:p w14:paraId="6ACA7507">
            <w:pPr>
              <w:pStyle w:val="11"/>
            </w:pPr>
            <w:r>
              <w:t>其中：财政    资金</w:t>
            </w:r>
          </w:p>
        </w:tc>
        <w:tc>
          <w:tcPr>
            <w:tcW w:w="2551" w:type="dxa"/>
            <w:vAlign w:val="center"/>
          </w:tcPr>
          <w:p w14:paraId="5FA5617A">
            <w:pPr>
              <w:pStyle w:val="13"/>
            </w:pPr>
            <w:r>
              <w:t>0.95</w:t>
            </w:r>
          </w:p>
        </w:tc>
        <w:tc>
          <w:tcPr>
            <w:tcW w:w="2268" w:type="dxa"/>
            <w:vAlign w:val="center"/>
          </w:tcPr>
          <w:p w14:paraId="307DF9CB">
            <w:pPr>
              <w:pStyle w:val="11"/>
            </w:pPr>
            <w:r>
              <w:t>其他资金</w:t>
            </w:r>
          </w:p>
        </w:tc>
        <w:tc>
          <w:tcPr>
            <w:tcW w:w="1276" w:type="dxa"/>
            <w:vAlign w:val="center"/>
          </w:tcPr>
          <w:p w14:paraId="14F5B2A5">
            <w:pPr>
              <w:pStyle w:val="13"/>
            </w:pPr>
            <w:r>
              <w:t xml:space="preserve"> </w:t>
            </w:r>
          </w:p>
        </w:tc>
      </w:tr>
      <w:tr w14:paraId="7B7AD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89B39B"/>
        </w:tc>
        <w:tc>
          <w:tcPr>
            <w:tcW w:w="14033" w:type="dxa"/>
            <w:gridSpan w:val="6"/>
            <w:vAlign w:val="center"/>
          </w:tcPr>
          <w:p w14:paraId="64C09125">
            <w:pPr>
              <w:pStyle w:val="13"/>
            </w:pPr>
            <w:r>
              <w:t>按季度分批次拨付安排公用经费资金，学校按照预算安排进行资金使用，保证资金正常支出。</w:t>
            </w:r>
          </w:p>
        </w:tc>
      </w:tr>
      <w:tr w14:paraId="70580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B4F1F">
            <w:pPr>
              <w:pStyle w:val="11"/>
            </w:pPr>
            <w:r>
              <w:t>资金支出计划（%）</w:t>
            </w:r>
          </w:p>
        </w:tc>
        <w:tc>
          <w:tcPr>
            <w:tcW w:w="5103" w:type="dxa"/>
            <w:gridSpan w:val="2"/>
            <w:vAlign w:val="center"/>
          </w:tcPr>
          <w:p w14:paraId="64AEB630">
            <w:pPr>
              <w:pStyle w:val="11"/>
            </w:pPr>
            <w:r>
              <w:t>3月底</w:t>
            </w:r>
          </w:p>
        </w:tc>
        <w:tc>
          <w:tcPr>
            <w:tcW w:w="2835" w:type="dxa"/>
            <w:vAlign w:val="center"/>
          </w:tcPr>
          <w:p w14:paraId="5E184363">
            <w:pPr>
              <w:pStyle w:val="11"/>
            </w:pPr>
            <w:r>
              <w:t>6月底</w:t>
            </w:r>
          </w:p>
        </w:tc>
        <w:tc>
          <w:tcPr>
            <w:tcW w:w="2551" w:type="dxa"/>
            <w:vAlign w:val="center"/>
          </w:tcPr>
          <w:p w14:paraId="47C999EF">
            <w:pPr>
              <w:pStyle w:val="11"/>
            </w:pPr>
            <w:r>
              <w:t>10月底</w:t>
            </w:r>
          </w:p>
        </w:tc>
        <w:tc>
          <w:tcPr>
            <w:tcW w:w="3544" w:type="dxa"/>
            <w:gridSpan w:val="2"/>
            <w:vAlign w:val="center"/>
          </w:tcPr>
          <w:p w14:paraId="2860651D">
            <w:pPr>
              <w:pStyle w:val="11"/>
            </w:pPr>
            <w:r>
              <w:t>12月底</w:t>
            </w:r>
          </w:p>
        </w:tc>
      </w:tr>
      <w:tr w14:paraId="0DD3B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61C30"/>
        </w:tc>
        <w:tc>
          <w:tcPr>
            <w:tcW w:w="5103" w:type="dxa"/>
            <w:gridSpan w:val="2"/>
            <w:vAlign w:val="center"/>
          </w:tcPr>
          <w:p w14:paraId="1E783CCB">
            <w:pPr>
              <w:pStyle w:val="12"/>
            </w:pPr>
            <w:r>
              <w:t xml:space="preserve"> </w:t>
            </w:r>
          </w:p>
        </w:tc>
        <w:tc>
          <w:tcPr>
            <w:tcW w:w="2835" w:type="dxa"/>
            <w:vAlign w:val="center"/>
          </w:tcPr>
          <w:p w14:paraId="221239B0">
            <w:pPr>
              <w:pStyle w:val="12"/>
            </w:pPr>
            <w:r>
              <w:t>50%</w:t>
            </w:r>
          </w:p>
        </w:tc>
        <w:tc>
          <w:tcPr>
            <w:tcW w:w="2551" w:type="dxa"/>
            <w:vAlign w:val="center"/>
          </w:tcPr>
          <w:p w14:paraId="4A8F900C">
            <w:pPr>
              <w:pStyle w:val="12"/>
            </w:pPr>
            <w:r>
              <w:t>75%</w:t>
            </w:r>
          </w:p>
        </w:tc>
        <w:tc>
          <w:tcPr>
            <w:tcW w:w="3544" w:type="dxa"/>
            <w:gridSpan w:val="2"/>
            <w:vAlign w:val="center"/>
          </w:tcPr>
          <w:p w14:paraId="4A6E66BB">
            <w:pPr>
              <w:pStyle w:val="12"/>
            </w:pPr>
            <w:r>
              <w:t>100%</w:t>
            </w:r>
          </w:p>
        </w:tc>
      </w:tr>
      <w:tr w14:paraId="232C8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F6B76">
            <w:pPr>
              <w:pStyle w:val="11"/>
            </w:pPr>
            <w:r>
              <w:t>绩效目标</w:t>
            </w:r>
          </w:p>
        </w:tc>
        <w:tc>
          <w:tcPr>
            <w:tcW w:w="14033" w:type="dxa"/>
            <w:gridSpan w:val="6"/>
            <w:vAlign w:val="center"/>
          </w:tcPr>
          <w:p w14:paraId="751D30F0">
            <w:pPr>
              <w:pStyle w:val="13"/>
            </w:pPr>
            <w:r>
              <w:t>1.按季度分批次拨付安排公用经费资金，学校按照预算安排进行资金使用，保证资金正常支出。</w:t>
            </w:r>
          </w:p>
        </w:tc>
      </w:tr>
    </w:tbl>
    <w:p w14:paraId="3494A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59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1F506">
            <w:pPr>
              <w:pStyle w:val="11"/>
            </w:pPr>
            <w:r>
              <w:t>一级指标</w:t>
            </w:r>
          </w:p>
        </w:tc>
        <w:tc>
          <w:tcPr>
            <w:tcW w:w="2268" w:type="dxa"/>
            <w:vAlign w:val="center"/>
          </w:tcPr>
          <w:p w14:paraId="4AE54B07">
            <w:pPr>
              <w:pStyle w:val="11"/>
            </w:pPr>
            <w:r>
              <w:t>二级指标</w:t>
            </w:r>
          </w:p>
        </w:tc>
        <w:tc>
          <w:tcPr>
            <w:tcW w:w="2835" w:type="dxa"/>
            <w:vAlign w:val="center"/>
          </w:tcPr>
          <w:p w14:paraId="2A278409">
            <w:pPr>
              <w:pStyle w:val="11"/>
            </w:pPr>
            <w:r>
              <w:t>三级指标</w:t>
            </w:r>
          </w:p>
        </w:tc>
        <w:tc>
          <w:tcPr>
            <w:tcW w:w="5386" w:type="dxa"/>
            <w:vAlign w:val="center"/>
          </w:tcPr>
          <w:p w14:paraId="5310C117">
            <w:pPr>
              <w:pStyle w:val="11"/>
            </w:pPr>
            <w:r>
              <w:t>绩效指标描述</w:t>
            </w:r>
          </w:p>
        </w:tc>
        <w:tc>
          <w:tcPr>
            <w:tcW w:w="2268" w:type="dxa"/>
            <w:vAlign w:val="center"/>
          </w:tcPr>
          <w:p w14:paraId="0C21CCB7">
            <w:pPr>
              <w:pStyle w:val="11"/>
            </w:pPr>
            <w:r>
              <w:t>指标值</w:t>
            </w:r>
          </w:p>
        </w:tc>
        <w:tc>
          <w:tcPr>
            <w:tcW w:w="1276" w:type="dxa"/>
            <w:vAlign w:val="center"/>
          </w:tcPr>
          <w:p w14:paraId="2FD4EDA9">
            <w:pPr>
              <w:pStyle w:val="11"/>
            </w:pPr>
            <w:r>
              <w:t>指标值确定依据</w:t>
            </w:r>
          </w:p>
        </w:tc>
      </w:tr>
      <w:tr w14:paraId="0CB59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5DB87">
            <w:pPr>
              <w:pStyle w:val="12"/>
            </w:pPr>
            <w:r>
              <w:t>产出指标</w:t>
            </w:r>
          </w:p>
        </w:tc>
        <w:tc>
          <w:tcPr>
            <w:tcW w:w="2268" w:type="dxa"/>
            <w:vAlign w:val="center"/>
          </w:tcPr>
          <w:p w14:paraId="1AA94676">
            <w:pPr>
              <w:pStyle w:val="13"/>
            </w:pPr>
            <w:r>
              <w:t>数量指标</w:t>
            </w:r>
          </w:p>
        </w:tc>
        <w:tc>
          <w:tcPr>
            <w:tcW w:w="2835" w:type="dxa"/>
            <w:vAlign w:val="center"/>
          </w:tcPr>
          <w:p w14:paraId="566D2711">
            <w:pPr>
              <w:pStyle w:val="13"/>
            </w:pPr>
            <w:r>
              <w:t>适龄在校生</w:t>
            </w:r>
          </w:p>
        </w:tc>
        <w:tc>
          <w:tcPr>
            <w:tcW w:w="5386" w:type="dxa"/>
            <w:vAlign w:val="center"/>
          </w:tcPr>
          <w:p w14:paraId="52A7032B">
            <w:pPr>
              <w:pStyle w:val="13"/>
            </w:pPr>
            <w:r>
              <w:t>辖区内适龄儿童全覆盖</w:t>
            </w:r>
          </w:p>
        </w:tc>
        <w:tc>
          <w:tcPr>
            <w:tcW w:w="2268" w:type="dxa"/>
            <w:vAlign w:val="center"/>
          </w:tcPr>
          <w:p w14:paraId="4F8E9B72">
            <w:pPr>
              <w:pStyle w:val="13"/>
            </w:pPr>
            <w:r>
              <w:t>21人</w:t>
            </w:r>
          </w:p>
        </w:tc>
        <w:tc>
          <w:tcPr>
            <w:tcW w:w="1276" w:type="dxa"/>
            <w:vAlign w:val="center"/>
          </w:tcPr>
          <w:p w14:paraId="3AD20712">
            <w:pPr>
              <w:pStyle w:val="13"/>
            </w:pPr>
            <w:r>
              <w:t>幼儿园生均公用经费管理办法</w:t>
            </w:r>
          </w:p>
        </w:tc>
      </w:tr>
      <w:tr w14:paraId="26F90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87372"/>
        </w:tc>
        <w:tc>
          <w:tcPr>
            <w:tcW w:w="2268" w:type="dxa"/>
            <w:vAlign w:val="center"/>
          </w:tcPr>
          <w:p w14:paraId="415D3209">
            <w:pPr>
              <w:pStyle w:val="13"/>
            </w:pPr>
            <w:r>
              <w:t>质量指标</w:t>
            </w:r>
          </w:p>
        </w:tc>
        <w:tc>
          <w:tcPr>
            <w:tcW w:w="2835" w:type="dxa"/>
            <w:vAlign w:val="center"/>
          </w:tcPr>
          <w:p w14:paraId="52F01C3A">
            <w:pPr>
              <w:pStyle w:val="13"/>
            </w:pPr>
            <w:r>
              <w:t>预算控制率</w:t>
            </w:r>
          </w:p>
        </w:tc>
        <w:tc>
          <w:tcPr>
            <w:tcW w:w="5386" w:type="dxa"/>
            <w:vAlign w:val="center"/>
          </w:tcPr>
          <w:p w14:paraId="033FBB34">
            <w:pPr>
              <w:pStyle w:val="13"/>
            </w:pPr>
            <w:r>
              <w:t>预算执行</w:t>
            </w:r>
          </w:p>
        </w:tc>
        <w:tc>
          <w:tcPr>
            <w:tcW w:w="2268" w:type="dxa"/>
            <w:vAlign w:val="center"/>
          </w:tcPr>
          <w:p w14:paraId="2347B6E8">
            <w:pPr>
              <w:pStyle w:val="13"/>
            </w:pPr>
            <w:r>
              <w:t>≥95%</w:t>
            </w:r>
          </w:p>
        </w:tc>
        <w:tc>
          <w:tcPr>
            <w:tcW w:w="1276" w:type="dxa"/>
            <w:vAlign w:val="center"/>
          </w:tcPr>
          <w:p w14:paraId="4DDAC960">
            <w:pPr>
              <w:pStyle w:val="13"/>
            </w:pPr>
            <w:r>
              <w:t>幼儿园生均公用经费管理办法</w:t>
            </w:r>
          </w:p>
        </w:tc>
      </w:tr>
      <w:tr w14:paraId="41715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851DF"/>
        </w:tc>
        <w:tc>
          <w:tcPr>
            <w:tcW w:w="2268" w:type="dxa"/>
            <w:vAlign w:val="center"/>
          </w:tcPr>
          <w:p w14:paraId="0BA7731C">
            <w:pPr>
              <w:pStyle w:val="13"/>
            </w:pPr>
            <w:r>
              <w:t>时效指标</w:t>
            </w:r>
          </w:p>
        </w:tc>
        <w:tc>
          <w:tcPr>
            <w:tcW w:w="2835" w:type="dxa"/>
            <w:vAlign w:val="center"/>
          </w:tcPr>
          <w:p w14:paraId="3977521C">
            <w:pPr>
              <w:pStyle w:val="13"/>
            </w:pPr>
            <w:r>
              <w:t>资金支付率</w:t>
            </w:r>
          </w:p>
        </w:tc>
        <w:tc>
          <w:tcPr>
            <w:tcW w:w="5386" w:type="dxa"/>
            <w:vAlign w:val="center"/>
          </w:tcPr>
          <w:p w14:paraId="72B1065F">
            <w:pPr>
              <w:pStyle w:val="13"/>
            </w:pPr>
            <w:r>
              <w:t>按照序时进度完成资金支付</w:t>
            </w:r>
          </w:p>
        </w:tc>
        <w:tc>
          <w:tcPr>
            <w:tcW w:w="2268" w:type="dxa"/>
            <w:vAlign w:val="center"/>
          </w:tcPr>
          <w:p w14:paraId="3494E4B4">
            <w:pPr>
              <w:pStyle w:val="13"/>
            </w:pPr>
            <w:r>
              <w:t>≥100%</w:t>
            </w:r>
          </w:p>
        </w:tc>
        <w:tc>
          <w:tcPr>
            <w:tcW w:w="1276" w:type="dxa"/>
            <w:vAlign w:val="center"/>
          </w:tcPr>
          <w:p w14:paraId="6CE32DD3">
            <w:pPr>
              <w:pStyle w:val="13"/>
            </w:pPr>
            <w:r>
              <w:t>幼儿园生均公用经费管理办法</w:t>
            </w:r>
          </w:p>
        </w:tc>
      </w:tr>
      <w:tr w14:paraId="02875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D9D62"/>
        </w:tc>
        <w:tc>
          <w:tcPr>
            <w:tcW w:w="2268" w:type="dxa"/>
            <w:vAlign w:val="center"/>
          </w:tcPr>
          <w:p w14:paraId="2EB2F34C">
            <w:pPr>
              <w:pStyle w:val="13"/>
            </w:pPr>
            <w:r>
              <w:t>成本指标</w:t>
            </w:r>
          </w:p>
        </w:tc>
        <w:tc>
          <w:tcPr>
            <w:tcW w:w="2835" w:type="dxa"/>
            <w:vAlign w:val="center"/>
          </w:tcPr>
          <w:p w14:paraId="18D567BF">
            <w:pPr>
              <w:pStyle w:val="13"/>
            </w:pPr>
            <w:r>
              <w:t>生均拨款标准</w:t>
            </w:r>
          </w:p>
        </w:tc>
        <w:tc>
          <w:tcPr>
            <w:tcW w:w="5386" w:type="dxa"/>
            <w:vAlign w:val="center"/>
          </w:tcPr>
          <w:p w14:paraId="7BF48528">
            <w:pPr>
              <w:pStyle w:val="13"/>
            </w:pPr>
            <w:r>
              <w:t>学前经费600元/生/年</w:t>
            </w:r>
          </w:p>
        </w:tc>
        <w:tc>
          <w:tcPr>
            <w:tcW w:w="2268" w:type="dxa"/>
            <w:vAlign w:val="center"/>
          </w:tcPr>
          <w:p w14:paraId="6C011065">
            <w:pPr>
              <w:pStyle w:val="13"/>
            </w:pPr>
            <w:r>
              <w:t>600元</w:t>
            </w:r>
          </w:p>
        </w:tc>
        <w:tc>
          <w:tcPr>
            <w:tcW w:w="1276" w:type="dxa"/>
            <w:vAlign w:val="center"/>
          </w:tcPr>
          <w:p w14:paraId="0655FA27">
            <w:pPr>
              <w:pStyle w:val="13"/>
            </w:pPr>
            <w:r>
              <w:t>幼儿园生均公用经费管理办法</w:t>
            </w:r>
          </w:p>
        </w:tc>
      </w:tr>
      <w:tr w14:paraId="45091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6EE907">
            <w:pPr>
              <w:pStyle w:val="12"/>
            </w:pPr>
            <w:r>
              <w:t>效益指标</w:t>
            </w:r>
          </w:p>
        </w:tc>
        <w:tc>
          <w:tcPr>
            <w:tcW w:w="2268" w:type="dxa"/>
            <w:vAlign w:val="center"/>
          </w:tcPr>
          <w:p w14:paraId="59BBF90A">
            <w:pPr>
              <w:pStyle w:val="13"/>
            </w:pPr>
            <w:r>
              <w:t>可持续影响指标</w:t>
            </w:r>
          </w:p>
        </w:tc>
        <w:tc>
          <w:tcPr>
            <w:tcW w:w="2835" w:type="dxa"/>
            <w:vAlign w:val="center"/>
          </w:tcPr>
          <w:p w14:paraId="5C7B05FF">
            <w:pPr>
              <w:pStyle w:val="13"/>
            </w:pPr>
            <w:r>
              <w:t>教育发展水平明显好转</w:t>
            </w:r>
          </w:p>
        </w:tc>
        <w:tc>
          <w:tcPr>
            <w:tcW w:w="5386" w:type="dxa"/>
            <w:vAlign w:val="center"/>
          </w:tcPr>
          <w:p w14:paraId="2E08DF17">
            <w:pPr>
              <w:pStyle w:val="13"/>
            </w:pPr>
            <w:r>
              <w:t>学生受教育年限</w:t>
            </w:r>
          </w:p>
        </w:tc>
        <w:tc>
          <w:tcPr>
            <w:tcW w:w="2268" w:type="dxa"/>
            <w:vAlign w:val="center"/>
          </w:tcPr>
          <w:p w14:paraId="5AB57E7A">
            <w:pPr>
              <w:pStyle w:val="13"/>
            </w:pPr>
            <w:r>
              <w:t>3年</w:t>
            </w:r>
          </w:p>
        </w:tc>
        <w:tc>
          <w:tcPr>
            <w:tcW w:w="1276" w:type="dxa"/>
            <w:vAlign w:val="center"/>
          </w:tcPr>
          <w:p w14:paraId="6C34C957">
            <w:pPr>
              <w:pStyle w:val="13"/>
            </w:pPr>
            <w:r>
              <w:t>幼儿园生均公用经费管理办法</w:t>
            </w:r>
          </w:p>
        </w:tc>
      </w:tr>
      <w:tr w14:paraId="52C71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7B0AF">
            <w:pPr>
              <w:pStyle w:val="12"/>
            </w:pPr>
            <w:r>
              <w:t>满意度指标</w:t>
            </w:r>
          </w:p>
        </w:tc>
        <w:tc>
          <w:tcPr>
            <w:tcW w:w="2268" w:type="dxa"/>
            <w:vAlign w:val="center"/>
          </w:tcPr>
          <w:p w14:paraId="117D1774">
            <w:pPr>
              <w:pStyle w:val="13"/>
            </w:pPr>
            <w:r>
              <w:t>服务对象满意度指标</w:t>
            </w:r>
          </w:p>
        </w:tc>
        <w:tc>
          <w:tcPr>
            <w:tcW w:w="2835" w:type="dxa"/>
            <w:vAlign w:val="center"/>
          </w:tcPr>
          <w:p w14:paraId="5745EB08">
            <w:pPr>
              <w:pStyle w:val="13"/>
            </w:pPr>
            <w:r>
              <w:t>受益学生家长及调查满意度</w:t>
            </w:r>
          </w:p>
        </w:tc>
        <w:tc>
          <w:tcPr>
            <w:tcW w:w="5386" w:type="dxa"/>
            <w:vAlign w:val="center"/>
          </w:tcPr>
          <w:p w14:paraId="4C8FA6B0">
            <w:pPr>
              <w:pStyle w:val="13"/>
            </w:pPr>
            <w:r>
              <w:t>学生、教师及家长对学校保教保育工作满意度情况</w:t>
            </w:r>
          </w:p>
        </w:tc>
        <w:tc>
          <w:tcPr>
            <w:tcW w:w="2268" w:type="dxa"/>
            <w:vAlign w:val="center"/>
          </w:tcPr>
          <w:p w14:paraId="69FCDEEA">
            <w:pPr>
              <w:pStyle w:val="13"/>
            </w:pPr>
            <w:r>
              <w:t>≥95%</w:t>
            </w:r>
          </w:p>
        </w:tc>
        <w:tc>
          <w:tcPr>
            <w:tcW w:w="1276" w:type="dxa"/>
            <w:vAlign w:val="center"/>
          </w:tcPr>
          <w:p w14:paraId="14361645">
            <w:pPr>
              <w:pStyle w:val="13"/>
            </w:pPr>
            <w:r>
              <w:t>调查问卷</w:t>
            </w:r>
          </w:p>
        </w:tc>
      </w:tr>
    </w:tbl>
    <w:p w14:paraId="188D74BF">
      <w:pPr>
        <w:sectPr>
          <w:pgSz w:w="16840" w:h="11900" w:orient="landscape"/>
          <w:pgMar w:top="1361" w:right="1020" w:bottom="1134" w:left="1020" w:header="720" w:footer="720" w:gutter="0"/>
          <w:cols w:space="720" w:num="1"/>
        </w:sectPr>
      </w:pPr>
    </w:p>
    <w:p w14:paraId="544A45B4">
      <w:pPr>
        <w:spacing w:before="0" w:after="0"/>
        <w:ind w:firstLine="560"/>
        <w:jc w:val="left"/>
        <w:outlineLvl w:val="9"/>
      </w:pPr>
      <w:r>
        <w:rPr>
          <w:rFonts w:ascii="方正仿宋_GBK" w:hAnsi="方正仿宋_GBK" w:eastAsia="方正仿宋_GBK" w:cs="方正仿宋_GBK"/>
          <w:b/>
          <w:color w:val="000000"/>
          <w:sz w:val="28"/>
        </w:rPr>
        <w:t>179、县级资金/隆尧县华开幼儿园公用经费绩效目标表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02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4EA8A">
            <w:pPr>
              <w:pStyle w:val="14"/>
            </w:pPr>
            <w:r>
              <w:t>单位：万元</w:t>
            </w:r>
          </w:p>
        </w:tc>
      </w:tr>
      <w:tr w14:paraId="355BE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753B1">
            <w:pPr>
              <w:pStyle w:val="11"/>
            </w:pPr>
            <w:r>
              <w:t>项目编码</w:t>
            </w:r>
          </w:p>
        </w:tc>
        <w:tc>
          <w:tcPr>
            <w:tcW w:w="5103" w:type="dxa"/>
            <w:gridSpan w:val="2"/>
            <w:vAlign w:val="center"/>
          </w:tcPr>
          <w:p w14:paraId="70D26C91">
            <w:pPr>
              <w:pStyle w:val="13"/>
            </w:pPr>
            <w:r>
              <w:t>13052525P00875610078A</w:t>
            </w:r>
          </w:p>
        </w:tc>
        <w:tc>
          <w:tcPr>
            <w:tcW w:w="2835" w:type="dxa"/>
            <w:vAlign w:val="center"/>
          </w:tcPr>
          <w:p w14:paraId="29D43752">
            <w:pPr>
              <w:pStyle w:val="11"/>
            </w:pPr>
            <w:r>
              <w:t>项目名称</w:t>
            </w:r>
          </w:p>
        </w:tc>
        <w:tc>
          <w:tcPr>
            <w:tcW w:w="6095" w:type="dxa"/>
            <w:gridSpan w:val="3"/>
            <w:vAlign w:val="center"/>
          </w:tcPr>
          <w:p w14:paraId="41369860">
            <w:pPr>
              <w:pStyle w:val="13"/>
            </w:pPr>
            <w:r>
              <w:t>县级资金/隆尧县华开幼儿园公用经费</w:t>
            </w:r>
          </w:p>
        </w:tc>
      </w:tr>
      <w:tr w14:paraId="78E45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3A772">
            <w:pPr>
              <w:pStyle w:val="11"/>
            </w:pPr>
            <w:r>
              <w:t>预算规模及资金用途</w:t>
            </w:r>
          </w:p>
        </w:tc>
        <w:tc>
          <w:tcPr>
            <w:tcW w:w="2268" w:type="dxa"/>
            <w:vAlign w:val="center"/>
          </w:tcPr>
          <w:p w14:paraId="15FBF0B0">
            <w:pPr>
              <w:pStyle w:val="11"/>
            </w:pPr>
            <w:r>
              <w:t>预算数</w:t>
            </w:r>
          </w:p>
        </w:tc>
        <w:tc>
          <w:tcPr>
            <w:tcW w:w="2835" w:type="dxa"/>
            <w:vAlign w:val="center"/>
          </w:tcPr>
          <w:p w14:paraId="078DB8E0">
            <w:pPr>
              <w:pStyle w:val="13"/>
            </w:pPr>
            <w:r>
              <w:t>6.30</w:t>
            </w:r>
          </w:p>
        </w:tc>
        <w:tc>
          <w:tcPr>
            <w:tcW w:w="2835" w:type="dxa"/>
            <w:vAlign w:val="center"/>
          </w:tcPr>
          <w:p w14:paraId="6119363B">
            <w:pPr>
              <w:pStyle w:val="11"/>
            </w:pPr>
            <w:r>
              <w:t>其中：财政    资金</w:t>
            </w:r>
          </w:p>
        </w:tc>
        <w:tc>
          <w:tcPr>
            <w:tcW w:w="2551" w:type="dxa"/>
            <w:vAlign w:val="center"/>
          </w:tcPr>
          <w:p w14:paraId="26EAEAEA">
            <w:pPr>
              <w:pStyle w:val="13"/>
            </w:pPr>
            <w:r>
              <w:t>6.30</w:t>
            </w:r>
          </w:p>
        </w:tc>
        <w:tc>
          <w:tcPr>
            <w:tcW w:w="2268" w:type="dxa"/>
            <w:vAlign w:val="center"/>
          </w:tcPr>
          <w:p w14:paraId="4B806512">
            <w:pPr>
              <w:pStyle w:val="11"/>
            </w:pPr>
            <w:r>
              <w:t>其他资金</w:t>
            </w:r>
          </w:p>
        </w:tc>
        <w:tc>
          <w:tcPr>
            <w:tcW w:w="1276" w:type="dxa"/>
            <w:vAlign w:val="center"/>
          </w:tcPr>
          <w:p w14:paraId="40A527DA">
            <w:pPr>
              <w:pStyle w:val="13"/>
            </w:pPr>
            <w:r>
              <w:t xml:space="preserve"> </w:t>
            </w:r>
          </w:p>
        </w:tc>
      </w:tr>
      <w:tr w14:paraId="47F1B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18B56"/>
        </w:tc>
        <w:tc>
          <w:tcPr>
            <w:tcW w:w="14033" w:type="dxa"/>
            <w:gridSpan w:val="6"/>
            <w:vAlign w:val="center"/>
          </w:tcPr>
          <w:p w14:paraId="7B61418D">
            <w:pPr>
              <w:pStyle w:val="13"/>
            </w:pPr>
            <w:r>
              <w:t>按季度分批次拨付安排公用经费资金，学校按照预算安排进行资金使用，保证资金正常支出。</w:t>
            </w:r>
          </w:p>
        </w:tc>
      </w:tr>
      <w:tr w14:paraId="524D0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3312F">
            <w:pPr>
              <w:pStyle w:val="11"/>
            </w:pPr>
            <w:r>
              <w:t>资金支出计划（%）</w:t>
            </w:r>
          </w:p>
        </w:tc>
        <w:tc>
          <w:tcPr>
            <w:tcW w:w="5103" w:type="dxa"/>
            <w:gridSpan w:val="2"/>
            <w:vAlign w:val="center"/>
          </w:tcPr>
          <w:p w14:paraId="73863532">
            <w:pPr>
              <w:pStyle w:val="11"/>
            </w:pPr>
            <w:r>
              <w:t>3月底</w:t>
            </w:r>
          </w:p>
        </w:tc>
        <w:tc>
          <w:tcPr>
            <w:tcW w:w="2835" w:type="dxa"/>
            <w:vAlign w:val="center"/>
          </w:tcPr>
          <w:p w14:paraId="4D8C2A0C">
            <w:pPr>
              <w:pStyle w:val="11"/>
            </w:pPr>
            <w:r>
              <w:t>6月底</w:t>
            </w:r>
          </w:p>
        </w:tc>
        <w:tc>
          <w:tcPr>
            <w:tcW w:w="2551" w:type="dxa"/>
            <w:vAlign w:val="center"/>
          </w:tcPr>
          <w:p w14:paraId="397AEA94">
            <w:pPr>
              <w:pStyle w:val="11"/>
            </w:pPr>
            <w:r>
              <w:t>10月底</w:t>
            </w:r>
          </w:p>
        </w:tc>
        <w:tc>
          <w:tcPr>
            <w:tcW w:w="3544" w:type="dxa"/>
            <w:gridSpan w:val="2"/>
            <w:vAlign w:val="center"/>
          </w:tcPr>
          <w:p w14:paraId="5DB74035">
            <w:pPr>
              <w:pStyle w:val="11"/>
            </w:pPr>
            <w:r>
              <w:t>12月底</w:t>
            </w:r>
          </w:p>
        </w:tc>
      </w:tr>
      <w:tr w14:paraId="298A3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61675"/>
        </w:tc>
        <w:tc>
          <w:tcPr>
            <w:tcW w:w="5103" w:type="dxa"/>
            <w:gridSpan w:val="2"/>
            <w:vAlign w:val="center"/>
          </w:tcPr>
          <w:p w14:paraId="1A86332B">
            <w:pPr>
              <w:pStyle w:val="12"/>
            </w:pPr>
            <w:r>
              <w:t xml:space="preserve"> </w:t>
            </w:r>
          </w:p>
        </w:tc>
        <w:tc>
          <w:tcPr>
            <w:tcW w:w="2835" w:type="dxa"/>
            <w:vAlign w:val="center"/>
          </w:tcPr>
          <w:p w14:paraId="4AE171F0">
            <w:pPr>
              <w:pStyle w:val="12"/>
            </w:pPr>
            <w:r>
              <w:t>50%</w:t>
            </w:r>
          </w:p>
        </w:tc>
        <w:tc>
          <w:tcPr>
            <w:tcW w:w="2551" w:type="dxa"/>
            <w:vAlign w:val="center"/>
          </w:tcPr>
          <w:p w14:paraId="572D2276">
            <w:pPr>
              <w:pStyle w:val="12"/>
            </w:pPr>
            <w:r>
              <w:t>75%</w:t>
            </w:r>
          </w:p>
        </w:tc>
        <w:tc>
          <w:tcPr>
            <w:tcW w:w="3544" w:type="dxa"/>
            <w:gridSpan w:val="2"/>
            <w:vAlign w:val="center"/>
          </w:tcPr>
          <w:p w14:paraId="2AF6CB15">
            <w:pPr>
              <w:pStyle w:val="12"/>
            </w:pPr>
            <w:r>
              <w:t>100%</w:t>
            </w:r>
          </w:p>
        </w:tc>
      </w:tr>
      <w:tr w14:paraId="48BB6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3B298">
            <w:pPr>
              <w:pStyle w:val="11"/>
            </w:pPr>
            <w:r>
              <w:t>绩效目标</w:t>
            </w:r>
          </w:p>
        </w:tc>
        <w:tc>
          <w:tcPr>
            <w:tcW w:w="14033" w:type="dxa"/>
            <w:gridSpan w:val="6"/>
            <w:vAlign w:val="center"/>
          </w:tcPr>
          <w:p w14:paraId="7C8B8A29">
            <w:pPr>
              <w:pStyle w:val="13"/>
            </w:pPr>
            <w:r>
              <w:t>1.按季度分批次拨付安排公用经费资金，学校按照预算安排进行资金使用，保证资金正常支出。</w:t>
            </w:r>
          </w:p>
        </w:tc>
      </w:tr>
    </w:tbl>
    <w:p w14:paraId="45001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34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B4EFB">
            <w:pPr>
              <w:pStyle w:val="11"/>
            </w:pPr>
            <w:r>
              <w:t>一级指标</w:t>
            </w:r>
          </w:p>
        </w:tc>
        <w:tc>
          <w:tcPr>
            <w:tcW w:w="2268" w:type="dxa"/>
            <w:vAlign w:val="center"/>
          </w:tcPr>
          <w:p w14:paraId="2B984CA5">
            <w:pPr>
              <w:pStyle w:val="11"/>
            </w:pPr>
            <w:r>
              <w:t>二级指标</w:t>
            </w:r>
          </w:p>
        </w:tc>
        <w:tc>
          <w:tcPr>
            <w:tcW w:w="2835" w:type="dxa"/>
            <w:vAlign w:val="center"/>
          </w:tcPr>
          <w:p w14:paraId="49A2DE30">
            <w:pPr>
              <w:pStyle w:val="11"/>
            </w:pPr>
            <w:r>
              <w:t>三级指标</w:t>
            </w:r>
          </w:p>
        </w:tc>
        <w:tc>
          <w:tcPr>
            <w:tcW w:w="5386" w:type="dxa"/>
            <w:vAlign w:val="center"/>
          </w:tcPr>
          <w:p w14:paraId="6ECD8DC9">
            <w:pPr>
              <w:pStyle w:val="11"/>
            </w:pPr>
            <w:r>
              <w:t>绩效指标描述</w:t>
            </w:r>
          </w:p>
        </w:tc>
        <w:tc>
          <w:tcPr>
            <w:tcW w:w="2268" w:type="dxa"/>
            <w:vAlign w:val="center"/>
          </w:tcPr>
          <w:p w14:paraId="7B96C35E">
            <w:pPr>
              <w:pStyle w:val="11"/>
            </w:pPr>
            <w:r>
              <w:t>指标值</w:t>
            </w:r>
          </w:p>
        </w:tc>
        <w:tc>
          <w:tcPr>
            <w:tcW w:w="1276" w:type="dxa"/>
            <w:vAlign w:val="center"/>
          </w:tcPr>
          <w:p w14:paraId="3FDBAA16">
            <w:pPr>
              <w:pStyle w:val="11"/>
            </w:pPr>
            <w:r>
              <w:t>指标值确定依据</w:t>
            </w:r>
          </w:p>
        </w:tc>
      </w:tr>
      <w:tr w14:paraId="0A410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7043B">
            <w:pPr>
              <w:pStyle w:val="12"/>
            </w:pPr>
            <w:r>
              <w:t>产出指标</w:t>
            </w:r>
          </w:p>
        </w:tc>
        <w:tc>
          <w:tcPr>
            <w:tcW w:w="2268" w:type="dxa"/>
            <w:vAlign w:val="center"/>
          </w:tcPr>
          <w:p w14:paraId="11A4AFF1">
            <w:pPr>
              <w:pStyle w:val="13"/>
            </w:pPr>
            <w:r>
              <w:t>数量指标</w:t>
            </w:r>
          </w:p>
        </w:tc>
        <w:tc>
          <w:tcPr>
            <w:tcW w:w="2835" w:type="dxa"/>
            <w:vAlign w:val="center"/>
          </w:tcPr>
          <w:p w14:paraId="07660708">
            <w:pPr>
              <w:pStyle w:val="13"/>
            </w:pPr>
            <w:r>
              <w:t>适龄在校生</w:t>
            </w:r>
          </w:p>
        </w:tc>
        <w:tc>
          <w:tcPr>
            <w:tcW w:w="5386" w:type="dxa"/>
            <w:vAlign w:val="center"/>
          </w:tcPr>
          <w:p w14:paraId="22DF452B">
            <w:pPr>
              <w:pStyle w:val="13"/>
            </w:pPr>
            <w:r>
              <w:t>辖区内适龄儿童全覆盖</w:t>
            </w:r>
          </w:p>
        </w:tc>
        <w:tc>
          <w:tcPr>
            <w:tcW w:w="2268" w:type="dxa"/>
            <w:vAlign w:val="center"/>
          </w:tcPr>
          <w:p w14:paraId="2A45CEAB">
            <w:pPr>
              <w:pStyle w:val="13"/>
            </w:pPr>
            <w:r>
              <w:t>140人</w:t>
            </w:r>
          </w:p>
        </w:tc>
        <w:tc>
          <w:tcPr>
            <w:tcW w:w="1276" w:type="dxa"/>
            <w:vAlign w:val="center"/>
          </w:tcPr>
          <w:p w14:paraId="71843480">
            <w:pPr>
              <w:pStyle w:val="13"/>
            </w:pPr>
            <w:r>
              <w:t>幼儿园生均公用经费管理办法</w:t>
            </w:r>
          </w:p>
        </w:tc>
      </w:tr>
      <w:tr w14:paraId="0EE55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AFE71"/>
        </w:tc>
        <w:tc>
          <w:tcPr>
            <w:tcW w:w="2268" w:type="dxa"/>
            <w:vAlign w:val="center"/>
          </w:tcPr>
          <w:p w14:paraId="047C4CEF">
            <w:pPr>
              <w:pStyle w:val="13"/>
            </w:pPr>
            <w:r>
              <w:t>质量指标</w:t>
            </w:r>
          </w:p>
        </w:tc>
        <w:tc>
          <w:tcPr>
            <w:tcW w:w="2835" w:type="dxa"/>
            <w:vAlign w:val="center"/>
          </w:tcPr>
          <w:p w14:paraId="3EFF5674">
            <w:pPr>
              <w:pStyle w:val="13"/>
            </w:pPr>
            <w:r>
              <w:t>预算控制率</w:t>
            </w:r>
          </w:p>
        </w:tc>
        <w:tc>
          <w:tcPr>
            <w:tcW w:w="5386" w:type="dxa"/>
            <w:vAlign w:val="center"/>
          </w:tcPr>
          <w:p w14:paraId="4E13D318">
            <w:pPr>
              <w:pStyle w:val="13"/>
            </w:pPr>
            <w:r>
              <w:t>预算执行</w:t>
            </w:r>
          </w:p>
        </w:tc>
        <w:tc>
          <w:tcPr>
            <w:tcW w:w="2268" w:type="dxa"/>
            <w:vAlign w:val="center"/>
          </w:tcPr>
          <w:p w14:paraId="18BD25F4">
            <w:pPr>
              <w:pStyle w:val="13"/>
            </w:pPr>
            <w:r>
              <w:t>≥95%</w:t>
            </w:r>
          </w:p>
        </w:tc>
        <w:tc>
          <w:tcPr>
            <w:tcW w:w="1276" w:type="dxa"/>
            <w:vAlign w:val="center"/>
          </w:tcPr>
          <w:p w14:paraId="66F1A6E4">
            <w:pPr>
              <w:pStyle w:val="13"/>
            </w:pPr>
            <w:r>
              <w:t>幼儿园生均公用经费管理办法</w:t>
            </w:r>
          </w:p>
        </w:tc>
      </w:tr>
      <w:tr w14:paraId="715F7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EEC26"/>
        </w:tc>
        <w:tc>
          <w:tcPr>
            <w:tcW w:w="2268" w:type="dxa"/>
            <w:vAlign w:val="center"/>
          </w:tcPr>
          <w:p w14:paraId="075C713F">
            <w:pPr>
              <w:pStyle w:val="13"/>
            </w:pPr>
            <w:r>
              <w:t>时效指标</w:t>
            </w:r>
          </w:p>
        </w:tc>
        <w:tc>
          <w:tcPr>
            <w:tcW w:w="2835" w:type="dxa"/>
            <w:vAlign w:val="center"/>
          </w:tcPr>
          <w:p w14:paraId="04F7B5C2">
            <w:pPr>
              <w:pStyle w:val="13"/>
            </w:pPr>
            <w:r>
              <w:t>资金支付率</w:t>
            </w:r>
          </w:p>
        </w:tc>
        <w:tc>
          <w:tcPr>
            <w:tcW w:w="5386" w:type="dxa"/>
            <w:vAlign w:val="center"/>
          </w:tcPr>
          <w:p w14:paraId="07A45680">
            <w:pPr>
              <w:pStyle w:val="13"/>
            </w:pPr>
            <w:r>
              <w:t>按照序时进度完成资金支付</w:t>
            </w:r>
          </w:p>
        </w:tc>
        <w:tc>
          <w:tcPr>
            <w:tcW w:w="2268" w:type="dxa"/>
            <w:vAlign w:val="center"/>
          </w:tcPr>
          <w:p w14:paraId="5178D13B">
            <w:pPr>
              <w:pStyle w:val="13"/>
            </w:pPr>
            <w:r>
              <w:t>≥100%</w:t>
            </w:r>
          </w:p>
        </w:tc>
        <w:tc>
          <w:tcPr>
            <w:tcW w:w="1276" w:type="dxa"/>
            <w:vAlign w:val="center"/>
          </w:tcPr>
          <w:p w14:paraId="0BEF88AE">
            <w:pPr>
              <w:pStyle w:val="13"/>
            </w:pPr>
            <w:r>
              <w:t>幼儿园生均公用经费管理办法</w:t>
            </w:r>
          </w:p>
        </w:tc>
      </w:tr>
      <w:tr w14:paraId="0B353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8D192"/>
        </w:tc>
        <w:tc>
          <w:tcPr>
            <w:tcW w:w="2268" w:type="dxa"/>
            <w:vAlign w:val="center"/>
          </w:tcPr>
          <w:p w14:paraId="22E3734A">
            <w:pPr>
              <w:pStyle w:val="13"/>
            </w:pPr>
            <w:r>
              <w:t>成本指标</w:t>
            </w:r>
          </w:p>
        </w:tc>
        <w:tc>
          <w:tcPr>
            <w:tcW w:w="2835" w:type="dxa"/>
            <w:vAlign w:val="center"/>
          </w:tcPr>
          <w:p w14:paraId="04E07F48">
            <w:pPr>
              <w:pStyle w:val="13"/>
            </w:pPr>
            <w:r>
              <w:t>生均拨款标准</w:t>
            </w:r>
          </w:p>
        </w:tc>
        <w:tc>
          <w:tcPr>
            <w:tcW w:w="5386" w:type="dxa"/>
            <w:vAlign w:val="center"/>
          </w:tcPr>
          <w:p w14:paraId="0E18A999">
            <w:pPr>
              <w:pStyle w:val="13"/>
            </w:pPr>
            <w:r>
              <w:t>学前经费600元/生/年</w:t>
            </w:r>
          </w:p>
        </w:tc>
        <w:tc>
          <w:tcPr>
            <w:tcW w:w="2268" w:type="dxa"/>
            <w:vAlign w:val="center"/>
          </w:tcPr>
          <w:p w14:paraId="2378284B">
            <w:pPr>
              <w:pStyle w:val="13"/>
            </w:pPr>
            <w:r>
              <w:t>600元</w:t>
            </w:r>
          </w:p>
        </w:tc>
        <w:tc>
          <w:tcPr>
            <w:tcW w:w="1276" w:type="dxa"/>
            <w:vAlign w:val="center"/>
          </w:tcPr>
          <w:p w14:paraId="130DB5D7">
            <w:pPr>
              <w:pStyle w:val="13"/>
            </w:pPr>
            <w:r>
              <w:t>幼儿园生均公用经费管理办法</w:t>
            </w:r>
          </w:p>
        </w:tc>
      </w:tr>
      <w:tr w14:paraId="3E0C0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49247">
            <w:pPr>
              <w:pStyle w:val="12"/>
            </w:pPr>
            <w:r>
              <w:t>效益指标</w:t>
            </w:r>
          </w:p>
        </w:tc>
        <w:tc>
          <w:tcPr>
            <w:tcW w:w="2268" w:type="dxa"/>
            <w:vAlign w:val="center"/>
          </w:tcPr>
          <w:p w14:paraId="7F02FB15">
            <w:pPr>
              <w:pStyle w:val="13"/>
            </w:pPr>
            <w:r>
              <w:t>可持续影响指标</w:t>
            </w:r>
          </w:p>
        </w:tc>
        <w:tc>
          <w:tcPr>
            <w:tcW w:w="2835" w:type="dxa"/>
            <w:vAlign w:val="center"/>
          </w:tcPr>
          <w:p w14:paraId="62D1C9EE">
            <w:pPr>
              <w:pStyle w:val="13"/>
            </w:pPr>
            <w:r>
              <w:t>教育发展水平明显好转</w:t>
            </w:r>
          </w:p>
        </w:tc>
        <w:tc>
          <w:tcPr>
            <w:tcW w:w="5386" w:type="dxa"/>
            <w:vAlign w:val="center"/>
          </w:tcPr>
          <w:p w14:paraId="6B40232B">
            <w:pPr>
              <w:pStyle w:val="13"/>
            </w:pPr>
            <w:r>
              <w:t>学生受教育年限</w:t>
            </w:r>
          </w:p>
        </w:tc>
        <w:tc>
          <w:tcPr>
            <w:tcW w:w="2268" w:type="dxa"/>
            <w:vAlign w:val="center"/>
          </w:tcPr>
          <w:p w14:paraId="21C71A24">
            <w:pPr>
              <w:pStyle w:val="13"/>
            </w:pPr>
            <w:r>
              <w:t>3年</w:t>
            </w:r>
          </w:p>
        </w:tc>
        <w:tc>
          <w:tcPr>
            <w:tcW w:w="1276" w:type="dxa"/>
            <w:vAlign w:val="center"/>
          </w:tcPr>
          <w:p w14:paraId="315FBF80">
            <w:pPr>
              <w:pStyle w:val="13"/>
            </w:pPr>
            <w:r>
              <w:t>幼儿园生均公用经费管理办法</w:t>
            </w:r>
          </w:p>
        </w:tc>
      </w:tr>
      <w:tr w14:paraId="5C041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F4F024">
            <w:pPr>
              <w:pStyle w:val="12"/>
            </w:pPr>
            <w:r>
              <w:t>满意度指标</w:t>
            </w:r>
          </w:p>
        </w:tc>
        <w:tc>
          <w:tcPr>
            <w:tcW w:w="2268" w:type="dxa"/>
            <w:vAlign w:val="center"/>
          </w:tcPr>
          <w:p w14:paraId="2BF75B71">
            <w:pPr>
              <w:pStyle w:val="13"/>
            </w:pPr>
            <w:r>
              <w:t>服务对象满意度指标</w:t>
            </w:r>
          </w:p>
        </w:tc>
        <w:tc>
          <w:tcPr>
            <w:tcW w:w="2835" w:type="dxa"/>
            <w:vAlign w:val="center"/>
          </w:tcPr>
          <w:p w14:paraId="34A783F0">
            <w:pPr>
              <w:pStyle w:val="13"/>
            </w:pPr>
            <w:r>
              <w:t>受益学生家长及调查满意度</w:t>
            </w:r>
          </w:p>
        </w:tc>
        <w:tc>
          <w:tcPr>
            <w:tcW w:w="5386" w:type="dxa"/>
            <w:vAlign w:val="center"/>
          </w:tcPr>
          <w:p w14:paraId="3AED4950">
            <w:pPr>
              <w:pStyle w:val="13"/>
            </w:pPr>
            <w:r>
              <w:t>学生、教师及家长对学校保教保育工作满意度情况</w:t>
            </w:r>
          </w:p>
        </w:tc>
        <w:tc>
          <w:tcPr>
            <w:tcW w:w="2268" w:type="dxa"/>
            <w:vAlign w:val="center"/>
          </w:tcPr>
          <w:p w14:paraId="3ACC1B14">
            <w:pPr>
              <w:pStyle w:val="13"/>
            </w:pPr>
            <w:r>
              <w:t>≥95%</w:t>
            </w:r>
          </w:p>
        </w:tc>
        <w:tc>
          <w:tcPr>
            <w:tcW w:w="1276" w:type="dxa"/>
            <w:vAlign w:val="center"/>
          </w:tcPr>
          <w:p w14:paraId="603667D7">
            <w:pPr>
              <w:pStyle w:val="13"/>
            </w:pPr>
            <w:r>
              <w:t>调查问卷</w:t>
            </w:r>
          </w:p>
        </w:tc>
      </w:tr>
    </w:tbl>
    <w:p w14:paraId="71472F53">
      <w:pPr>
        <w:sectPr>
          <w:pgSz w:w="16840" w:h="11900" w:orient="landscape"/>
          <w:pgMar w:top="1361" w:right="1020" w:bottom="1134" w:left="1020" w:header="720" w:footer="720" w:gutter="0"/>
          <w:cols w:space="720" w:num="1"/>
        </w:sectPr>
      </w:pPr>
    </w:p>
    <w:p w14:paraId="296D335C">
      <w:pPr>
        <w:spacing w:before="0" w:after="0"/>
        <w:ind w:firstLine="560"/>
        <w:jc w:val="left"/>
        <w:outlineLvl w:val="9"/>
      </w:pPr>
      <w:r>
        <w:rPr>
          <w:rFonts w:ascii="方正仿宋_GBK" w:hAnsi="方正仿宋_GBK" w:eastAsia="方正仿宋_GBK" w:cs="方正仿宋_GBK"/>
          <w:b/>
          <w:color w:val="000000"/>
          <w:sz w:val="28"/>
        </w:rPr>
        <w:t>180、县级资金/隆尧县华信幼儿园公用经费绩效目标表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F7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0C9CF">
            <w:pPr>
              <w:pStyle w:val="14"/>
            </w:pPr>
            <w:r>
              <w:t>单位：万元</w:t>
            </w:r>
          </w:p>
        </w:tc>
      </w:tr>
      <w:tr w14:paraId="27E91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42871">
            <w:pPr>
              <w:pStyle w:val="11"/>
            </w:pPr>
            <w:r>
              <w:t>项目编码</w:t>
            </w:r>
          </w:p>
        </w:tc>
        <w:tc>
          <w:tcPr>
            <w:tcW w:w="5103" w:type="dxa"/>
            <w:gridSpan w:val="2"/>
            <w:vAlign w:val="center"/>
          </w:tcPr>
          <w:p w14:paraId="3713E2ED">
            <w:pPr>
              <w:pStyle w:val="13"/>
            </w:pPr>
            <w:r>
              <w:t>13052525P008756100692</w:t>
            </w:r>
          </w:p>
        </w:tc>
        <w:tc>
          <w:tcPr>
            <w:tcW w:w="2835" w:type="dxa"/>
            <w:vAlign w:val="center"/>
          </w:tcPr>
          <w:p w14:paraId="194EAC37">
            <w:pPr>
              <w:pStyle w:val="11"/>
            </w:pPr>
            <w:r>
              <w:t>项目名称</w:t>
            </w:r>
          </w:p>
        </w:tc>
        <w:tc>
          <w:tcPr>
            <w:tcW w:w="6095" w:type="dxa"/>
            <w:gridSpan w:val="3"/>
            <w:vAlign w:val="center"/>
          </w:tcPr>
          <w:p w14:paraId="4A642E97">
            <w:pPr>
              <w:pStyle w:val="13"/>
            </w:pPr>
            <w:r>
              <w:t>县级资金/隆尧县华信幼儿园公用经费</w:t>
            </w:r>
          </w:p>
        </w:tc>
      </w:tr>
      <w:tr w14:paraId="37132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7A4BA86E">
            <w:pPr>
              <w:pStyle w:val="11"/>
            </w:pPr>
            <w:r>
              <w:t>预算规模及资金用途</w:t>
            </w:r>
          </w:p>
        </w:tc>
        <w:tc>
          <w:tcPr>
            <w:tcW w:w="2268" w:type="dxa"/>
            <w:vAlign w:val="center"/>
          </w:tcPr>
          <w:p w14:paraId="28F6CF2F">
            <w:pPr>
              <w:pStyle w:val="11"/>
            </w:pPr>
            <w:r>
              <w:t>预算数</w:t>
            </w:r>
          </w:p>
        </w:tc>
        <w:tc>
          <w:tcPr>
            <w:tcW w:w="2835" w:type="dxa"/>
            <w:vAlign w:val="center"/>
          </w:tcPr>
          <w:p w14:paraId="3AC05790">
            <w:pPr>
              <w:pStyle w:val="13"/>
            </w:pPr>
            <w:r>
              <w:t>4.41</w:t>
            </w:r>
          </w:p>
        </w:tc>
        <w:tc>
          <w:tcPr>
            <w:tcW w:w="2835" w:type="dxa"/>
            <w:vAlign w:val="center"/>
          </w:tcPr>
          <w:p w14:paraId="5A8BBEED">
            <w:pPr>
              <w:pStyle w:val="11"/>
            </w:pPr>
            <w:r>
              <w:t>其中：财政    资金</w:t>
            </w:r>
          </w:p>
        </w:tc>
        <w:tc>
          <w:tcPr>
            <w:tcW w:w="2551" w:type="dxa"/>
            <w:vAlign w:val="center"/>
          </w:tcPr>
          <w:p w14:paraId="65515748">
            <w:pPr>
              <w:pStyle w:val="13"/>
            </w:pPr>
            <w:r>
              <w:t>4.41</w:t>
            </w:r>
          </w:p>
        </w:tc>
        <w:tc>
          <w:tcPr>
            <w:tcW w:w="2268" w:type="dxa"/>
            <w:vAlign w:val="center"/>
          </w:tcPr>
          <w:p w14:paraId="5B7BB850">
            <w:pPr>
              <w:pStyle w:val="11"/>
            </w:pPr>
            <w:r>
              <w:t>其他资金</w:t>
            </w:r>
          </w:p>
        </w:tc>
        <w:tc>
          <w:tcPr>
            <w:tcW w:w="1276" w:type="dxa"/>
            <w:vAlign w:val="center"/>
          </w:tcPr>
          <w:p w14:paraId="24304739">
            <w:pPr>
              <w:pStyle w:val="13"/>
            </w:pPr>
            <w:r>
              <w:t xml:space="preserve"> </w:t>
            </w:r>
          </w:p>
        </w:tc>
      </w:tr>
      <w:tr w14:paraId="7EBF9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70F957"/>
        </w:tc>
        <w:tc>
          <w:tcPr>
            <w:tcW w:w="14033" w:type="dxa"/>
            <w:gridSpan w:val="6"/>
            <w:vAlign w:val="center"/>
          </w:tcPr>
          <w:p w14:paraId="47FECE24">
            <w:pPr>
              <w:pStyle w:val="13"/>
            </w:pPr>
            <w:r>
              <w:t>按季度分批次拨付安排公用经费资金，学校按照预算安排进行资金使用，保证资金正常支出。</w:t>
            </w:r>
          </w:p>
        </w:tc>
      </w:tr>
      <w:tr w14:paraId="6942B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558A3">
            <w:pPr>
              <w:pStyle w:val="11"/>
            </w:pPr>
            <w:r>
              <w:t>资金支出计划（%）</w:t>
            </w:r>
          </w:p>
        </w:tc>
        <w:tc>
          <w:tcPr>
            <w:tcW w:w="5103" w:type="dxa"/>
            <w:gridSpan w:val="2"/>
            <w:vAlign w:val="center"/>
          </w:tcPr>
          <w:p w14:paraId="6A023234">
            <w:pPr>
              <w:pStyle w:val="11"/>
            </w:pPr>
            <w:r>
              <w:t>3月底</w:t>
            </w:r>
          </w:p>
        </w:tc>
        <w:tc>
          <w:tcPr>
            <w:tcW w:w="2835" w:type="dxa"/>
            <w:vAlign w:val="center"/>
          </w:tcPr>
          <w:p w14:paraId="224245FD">
            <w:pPr>
              <w:pStyle w:val="11"/>
            </w:pPr>
            <w:r>
              <w:t>6月底</w:t>
            </w:r>
          </w:p>
        </w:tc>
        <w:tc>
          <w:tcPr>
            <w:tcW w:w="2551" w:type="dxa"/>
            <w:vAlign w:val="center"/>
          </w:tcPr>
          <w:p w14:paraId="6FF85A02">
            <w:pPr>
              <w:pStyle w:val="11"/>
            </w:pPr>
            <w:r>
              <w:t>10月底</w:t>
            </w:r>
          </w:p>
        </w:tc>
        <w:tc>
          <w:tcPr>
            <w:tcW w:w="3544" w:type="dxa"/>
            <w:gridSpan w:val="2"/>
            <w:vAlign w:val="center"/>
          </w:tcPr>
          <w:p w14:paraId="01C0E92E">
            <w:pPr>
              <w:pStyle w:val="11"/>
            </w:pPr>
            <w:r>
              <w:t>12月底</w:t>
            </w:r>
          </w:p>
        </w:tc>
      </w:tr>
      <w:tr w14:paraId="4E194B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CB1A27"/>
        </w:tc>
        <w:tc>
          <w:tcPr>
            <w:tcW w:w="5103" w:type="dxa"/>
            <w:gridSpan w:val="2"/>
            <w:vAlign w:val="center"/>
          </w:tcPr>
          <w:p w14:paraId="6C6D8852">
            <w:pPr>
              <w:pStyle w:val="12"/>
            </w:pPr>
            <w:r>
              <w:t xml:space="preserve"> </w:t>
            </w:r>
          </w:p>
        </w:tc>
        <w:tc>
          <w:tcPr>
            <w:tcW w:w="2835" w:type="dxa"/>
            <w:vAlign w:val="center"/>
          </w:tcPr>
          <w:p w14:paraId="11DB0310">
            <w:pPr>
              <w:pStyle w:val="12"/>
            </w:pPr>
            <w:r>
              <w:t>50%</w:t>
            </w:r>
          </w:p>
        </w:tc>
        <w:tc>
          <w:tcPr>
            <w:tcW w:w="2551" w:type="dxa"/>
            <w:vAlign w:val="center"/>
          </w:tcPr>
          <w:p w14:paraId="2C578DFD">
            <w:pPr>
              <w:pStyle w:val="12"/>
            </w:pPr>
            <w:r>
              <w:t>75%</w:t>
            </w:r>
          </w:p>
        </w:tc>
        <w:tc>
          <w:tcPr>
            <w:tcW w:w="3544" w:type="dxa"/>
            <w:gridSpan w:val="2"/>
            <w:vAlign w:val="center"/>
          </w:tcPr>
          <w:p w14:paraId="73986CB0">
            <w:pPr>
              <w:pStyle w:val="12"/>
            </w:pPr>
            <w:r>
              <w:t>100%</w:t>
            </w:r>
          </w:p>
        </w:tc>
      </w:tr>
      <w:tr w14:paraId="1579E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49941">
            <w:pPr>
              <w:pStyle w:val="11"/>
            </w:pPr>
            <w:r>
              <w:t>绩效目标</w:t>
            </w:r>
          </w:p>
        </w:tc>
        <w:tc>
          <w:tcPr>
            <w:tcW w:w="14033" w:type="dxa"/>
            <w:gridSpan w:val="6"/>
            <w:vAlign w:val="center"/>
          </w:tcPr>
          <w:p w14:paraId="1C223F20">
            <w:pPr>
              <w:pStyle w:val="13"/>
            </w:pPr>
            <w:r>
              <w:t>1.按季度分批次拨付安排公用经费资金，学校按照预算安排进行资金使用，保证资金正常支出。</w:t>
            </w:r>
          </w:p>
        </w:tc>
      </w:tr>
    </w:tbl>
    <w:p w14:paraId="32AED6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D8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25C8A9E">
            <w:pPr>
              <w:pStyle w:val="11"/>
            </w:pPr>
            <w:r>
              <w:t>一级指标</w:t>
            </w:r>
          </w:p>
        </w:tc>
        <w:tc>
          <w:tcPr>
            <w:tcW w:w="2268" w:type="dxa"/>
            <w:vAlign w:val="center"/>
          </w:tcPr>
          <w:p w14:paraId="7AD40BEB">
            <w:pPr>
              <w:pStyle w:val="11"/>
            </w:pPr>
            <w:r>
              <w:t>二级指标</w:t>
            </w:r>
          </w:p>
        </w:tc>
        <w:tc>
          <w:tcPr>
            <w:tcW w:w="2835" w:type="dxa"/>
            <w:vAlign w:val="center"/>
          </w:tcPr>
          <w:p w14:paraId="18535577">
            <w:pPr>
              <w:pStyle w:val="11"/>
            </w:pPr>
            <w:r>
              <w:t>三级指标</w:t>
            </w:r>
          </w:p>
        </w:tc>
        <w:tc>
          <w:tcPr>
            <w:tcW w:w="5386" w:type="dxa"/>
            <w:vAlign w:val="center"/>
          </w:tcPr>
          <w:p w14:paraId="359BBC5D">
            <w:pPr>
              <w:pStyle w:val="11"/>
            </w:pPr>
            <w:r>
              <w:t>绩效指标描述</w:t>
            </w:r>
          </w:p>
        </w:tc>
        <w:tc>
          <w:tcPr>
            <w:tcW w:w="2268" w:type="dxa"/>
            <w:vAlign w:val="center"/>
          </w:tcPr>
          <w:p w14:paraId="7D431E4F">
            <w:pPr>
              <w:pStyle w:val="11"/>
            </w:pPr>
            <w:r>
              <w:t>指标值</w:t>
            </w:r>
          </w:p>
        </w:tc>
        <w:tc>
          <w:tcPr>
            <w:tcW w:w="1276" w:type="dxa"/>
            <w:vAlign w:val="center"/>
          </w:tcPr>
          <w:p w14:paraId="029DA7C8">
            <w:pPr>
              <w:pStyle w:val="11"/>
            </w:pPr>
            <w:r>
              <w:t>指标值确定依据</w:t>
            </w:r>
          </w:p>
        </w:tc>
      </w:tr>
      <w:tr w14:paraId="00545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F2FC7">
            <w:pPr>
              <w:pStyle w:val="12"/>
            </w:pPr>
            <w:r>
              <w:t>产出指标</w:t>
            </w:r>
          </w:p>
        </w:tc>
        <w:tc>
          <w:tcPr>
            <w:tcW w:w="2268" w:type="dxa"/>
            <w:vAlign w:val="center"/>
          </w:tcPr>
          <w:p w14:paraId="411A0570">
            <w:pPr>
              <w:pStyle w:val="13"/>
            </w:pPr>
            <w:r>
              <w:t>数量指标</w:t>
            </w:r>
          </w:p>
        </w:tc>
        <w:tc>
          <w:tcPr>
            <w:tcW w:w="2835" w:type="dxa"/>
            <w:vAlign w:val="center"/>
          </w:tcPr>
          <w:p w14:paraId="531332C6">
            <w:pPr>
              <w:pStyle w:val="13"/>
            </w:pPr>
            <w:r>
              <w:t>适龄在校生</w:t>
            </w:r>
          </w:p>
        </w:tc>
        <w:tc>
          <w:tcPr>
            <w:tcW w:w="5386" w:type="dxa"/>
            <w:vAlign w:val="center"/>
          </w:tcPr>
          <w:p w14:paraId="2143D4A3">
            <w:pPr>
              <w:pStyle w:val="13"/>
            </w:pPr>
            <w:r>
              <w:t>辖区内适龄儿童全覆盖</w:t>
            </w:r>
          </w:p>
        </w:tc>
        <w:tc>
          <w:tcPr>
            <w:tcW w:w="2268" w:type="dxa"/>
            <w:vAlign w:val="center"/>
          </w:tcPr>
          <w:p w14:paraId="5B28A4AD">
            <w:pPr>
              <w:pStyle w:val="13"/>
            </w:pPr>
            <w:r>
              <w:t>98人</w:t>
            </w:r>
          </w:p>
        </w:tc>
        <w:tc>
          <w:tcPr>
            <w:tcW w:w="1276" w:type="dxa"/>
            <w:vAlign w:val="center"/>
          </w:tcPr>
          <w:p w14:paraId="7D99B44C">
            <w:pPr>
              <w:pStyle w:val="13"/>
            </w:pPr>
            <w:r>
              <w:t>幼儿园生均公用经费管理办法</w:t>
            </w:r>
          </w:p>
        </w:tc>
      </w:tr>
      <w:tr w14:paraId="574FE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58FE7"/>
        </w:tc>
        <w:tc>
          <w:tcPr>
            <w:tcW w:w="2268" w:type="dxa"/>
            <w:vAlign w:val="center"/>
          </w:tcPr>
          <w:p w14:paraId="346AAB0B">
            <w:pPr>
              <w:pStyle w:val="13"/>
            </w:pPr>
            <w:r>
              <w:t>质量指标</w:t>
            </w:r>
          </w:p>
        </w:tc>
        <w:tc>
          <w:tcPr>
            <w:tcW w:w="2835" w:type="dxa"/>
            <w:vAlign w:val="center"/>
          </w:tcPr>
          <w:p w14:paraId="17870FD6">
            <w:pPr>
              <w:pStyle w:val="13"/>
            </w:pPr>
            <w:r>
              <w:t>预算控制率</w:t>
            </w:r>
          </w:p>
        </w:tc>
        <w:tc>
          <w:tcPr>
            <w:tcW w:w="5386" w:type="dxa"/>
            <w:vAlign w:val="center"/>
          </w:tcPr>
          <w:p w14:paraId="11879746">
            <w:pPr>
              <w:pStyle w:val="13"/>
            </w:pPr>
            <w:r>
              <w:t>预算执行</w:t>
            </w:r>
          </w:p>
        </w:tc>
        <w:tc>
          <w:tcPr>
            <w:tcW w:w="2268" w:type="dxa"/>
            <w:vAlign w:val="center"/>
          </w:tcPr>
          <w:p w14:paraId="3BB89247">
            <w:pPr>
              <w:pStyle w:val="13"/>
            </w:pPr>
            <w:r>
              <w:t>≥95%</w:t>
            </w:r>
          </w:p>
        </w:tc>
        <w:tc>
          <w:tcPr>
            <w:tcW w:w="1276" w:type="dxa"/>
            <w:vAlign w:val="center"/>
          </w:tcPr>
          <w:p w14:paraId="15889CA1">
            <w:pPr>
              <w:pStyle w:val="13"/>
            </w:pPr>
            <w:r>
              <w:t>幼儿园生均公用经费管理办法</w:t>
            </w:r>
          </w:p>
        </w:tc>
      </w:tr>
      <w:tr w14:paraId="63679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76B17764"/>
        </w:tc>
        <w:tc>
          <w:tcPr>
            <w:tcW w:w="2268" w:type="dxa"/>
            <w:vAlign w:val="center"/>
          </w:tcPr>
          <w:p w14:paraId="5E8D1EFE">
            <w:pPr>
              <w:pStyle w:val="13"/>
            </w:pPr>
            <w:r>
              <w:t>时效指标</w:t>
            </w:r>
          </w:p>
        </w:tc>
        <w:tc>
          <w:tcPr>
            <w:tcW w:w="2835" w:type="dxa"/>
            <w:vAlign w:val="center"/>
          </w:tcPr>
          <w:p w14:paraId="68B3E65C">
            <w:pPr>
              <w:pStyle w:val="13"/>
            </w:pPr>
            <w:r>
              <w:t>资金支付率</w:t>
            </w:r>
          </w:p>
        </w:tc>
        <w:tc>
          <w:tcPr>
            <w:tcW w:w="5386" w:type="dxa"/>
            <w:vAlign w:val="center"/>
          </w:tcPr>
          <w:p w14:paraId="405E9AC4">
            <w:pPr>
              <w:pStyle w:val="13"/>
            </w:pPr>
            <w:r>
              <w:t>按照序时进度完成资金支付</w:t>
            </w:r>
          </w:p>
        </w:tc>
        <w:tc>
          <w:tcPr>
            <w:tcW w:w="2268" w:type="dxa"/>
            <w:vAlign w:val="center"/>
          </w:tcPr>
          <w:p w14:paraId="2C0ADED9">
            <w:pPr>
              <w:pStyle w:val="13"/>
            </w:pPr>
            <w:r>
              <w:t>≥100%</w:t>
            </w:r>
          </w:p>
        </w:tc>
        <w:tc>
          <w:tcPr>
            <w:tcW w:w="1276" w:type="dxa"/>
            <w:vAlign w:val="center"/>
          </w:tcPr>
          <w:p w14:paraId="776275CF">
            <w:pPr>
              <w:pStyle w:val="13"/>
            </w:pPr>
            <w:r>
              <w:t>幼儿园生均公用经费管理办法</w:t>
            </w:r>
          </w:p>
        </w:tc>
      </w:tr>
      <w:tr w14:paraId="44607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14A7F"/>
        </w:tc>
        <w:tc>
          <w:tcPr>
            <w:tcW w:w="2268" w:type="dxa"/>
            <w:vAlign w:val="center"/>
          </w:tcPr>
          <w:p w14:paraId="60EB5237">
            <w:pPr>
              <w:pStyle w:val="13"/>
            </w:pPr>
            <w:r>
              <w:t>成本指标</w:t>
            </w:r>
          </w:p>
        </w:tc>
        <w:tc>
          <w:tcPr>
            <w:tcW w:w="2835" w:type="dxa"/>
            <w:vAlign w:val="center"/>
          </w:tcPr>
          <w:p w14:paraId="7FC44A1E">
            <w:pPr>
              <w:pStyle w:val="13"/>
            </w:pPr>
            <w:r>
              <w:t>生均拨款标准</w:t>
            </w:r>
          </w:p>
        </w:tc>
        <w:tc>
          <w:tcPr>
            <w:tcW w:w="5386" w:type="dxa"/>
            <w:vAlign w:val="center"/>
          </w:tcPr>
          <w:p w14:paraId="68400DB6">
            <w:pPr>
              <w:pStyle w:val="13"/>
            </w:pPr>
            <w:r>
              <w:t>学前经费600元/生/年</w:t>
            </w:r>
          </w:p>
        </w:tc>
        <w:tc>
          <w:tcPr>
            <w:tcW w:w="2268" w:type="dxa"/>
            <w:vAlign w:val="center"/>
          </w:tcPr>
          <w:p w14:paraId="7034A8B8">
            <w:pPr>
              <w:pStyle w:val="13"/>
            </w:pPr>
            <w:r>
              <w:t>600元</w:t>
            </w:r>
          </w:p>
        </w:tc>
        <w:tc>
          <w:tcPr>
            <w:tcW w:w="1276" w:type="dxa"/>
            <w:vAlign w:val="center"/>
          </w:tcPr>
          <w:p w14:paraId="5B8FE7CD">
            <w:pPr>
              <w:pStyle w:val="13"/>
            </w:pPr>
            <w:r>
              <w:t>幼儿园生均公用经费管理办法</w:t>
            </w:r>
          </w:p>
        </w:tc>
      </w:tr>
      <w:tr w14:paraId="536DA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8DD57">
            <w:pPr>
              <w:pStyle w:val="12"/>
            </w:pPr>
            <w:r>
              <w:t>效益指标</w:t>
            </w:r>
          </w:p>
        </w:tc>
        <w:tc>
          <w:tcPr>
            <w:tcW w:w="2268" w:type="dxa"/>
            <w:vAlign w:val="center"/>
          </w:tcPr>
          <w:p w14:paraId="4C753FDE">
            <w:pPr>
              <w:pStyle w:val="13"/>
            </w:pPr>
            <w:r>
              <w:t>可持续影响指标</w:t>
            </w:r>
          </w:p>
        </w:tc>
        <w:tc>
          <w:tcPr>
            <w:tcW w:w="2835" w:type="dxa"/>
            <w:vAlign w:val="center"/>
          </w:tcPr>
          <w:p w14:paraId="67E53D5C">
            <w:pPr>
              <w:pStyle w:val="13"/>
            </w:pPr>
            <w:r>
              <w:t>教育发展水平明显好转</w:t>
            </w:r>
          </w:p>
        </w:tc>
        <w:tc>
          <w:tcPr>
            <w:tcW w:w="5386" w:type="dxa"/>
            <w:vAlign w:val="center"/>
          </w:tcPr>
          <w:p w14:paraId="27C6A23A">
            <w:pPr>
              <w:pStyle w:val="13"/>
            </w:pPr>
            <w:r>
              <w:t>学生受教育年限</w:t>
            </w:r>
          </w:p>
        </w:tc>
        <w:tc>
          <w:tcPr>
            <w:tcW w:w="2268" w:type="dxa"/>
            <w:vAlign w:val="center"/>
          </w:tcPr>
          <w:p w14:paraId="11E8324C">
            <w:pPr>
              <w:pStyle w:val="13"/>
            </w:pPr>
            <w:r>
              <w:t>3年</w:t>
            </w:r>
          </w:p>
        </w:tc>
        <w:tc>
          <w:tcPr>
            <w:tcW w:w="1276" w:type="dxa"/>
            <w:vAlign w:val="center"/>
          </w:tcPr>
          <w:p w14:paraId="730BF06D">
            <w:pPr>
              <w:pStyle w:val="13"/>
            </w:pPr>
            <w:r>
              <w:t>幼儿园生均公用经费管理办法</w:t>
            </w:r>
          </w:p>
        </w:tc>
      </w:tr>
      <w:tr w14:paraId="040C0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D1166">
            <w:pPr>
              <w:pStyle w:val="12"/>
            </w:pPr>
            <w:r>
              <w:t>满意度指标</w:t>
            </w:r>
          </w:p>
        </w:tc>
        <w:tc>
          <w:tcPr>
            <w:tcW w:w="2268" w:type="dxa"/>
            <w:vAlign w:val="center"/>
          </w:tcPr>
          <w:p w14:paraId="42AD88F5">
            <w:pPr>
              <w:pStyle w:val="13"/>
            </w:pPr>
            <w:r>
              <w:t>服务对象满意度指标</w:t>
            </w:r>
          </w:p>
        </w:tc>
        <w:tc>
          <w:tcPr>
            <w:tcW w:w="2835" w:type="dxa"/>
            <w:vAlign w:val="center"/>
          </w:tcPr>
          <w:p w14:paraId="5138AD17">
            <w:pPr>
              <w:pStyle w:val="13"/>
            </w:pPr>
            <w:r>
              <w:t>受益学生家长及调查满意度</w:t>
            </w:r>
          </w:p>
        </w:tc>
        <w:tc>
          <w:tcPr>
            <w:tcW w:w="5386" w:type="dxa"/>
            <w:vAlign w:val="center"/>
          </w:tcPr>
          <w:p w14:paraId="3795D6DB">
            <w:pPr>
              <w:pStyle w:val="13"/>
            </w:pPr>
            <w:r>
              <w:t>学生、教师及家长对学校保教保育工作满意度情况</w:t>
            </w:r>
          </w:p>
        </w:tc>
        <w:tc>
          <w:tcPr>
            <w:tcW w:w="2268" w:type="dxa"/>
            <w:vAlign w:val="center"/>
          </w:tcPr>
          <w:p w14:paraId="6DF45EA5">
            <w:pPr>
              <w:pStyle w:val="13"/>
            </w:pPr>
            <w:r>
              <w:t>≥95%</w:t>
            </w:r>
          </w:p>
        </w:tc>
        <w:tc>
          <w:tcPr>
            <w:tcW w:w="1276" w:type="dxa"/>
            <w:vAlign w:val="center"/>
          </w:tcPr>
          <w:p w14:paraId="1BD154D9">
            <w:pPr>
              <w:pStyle w:val="13"/>
            </w:pPr>
            <w:r>
              <w:t>调查问卷</w:t>
            </w:r>
          </w:p>
        </w:tc>
      </w:tr>
    </w:tbl>
    <w:p w14:paraId="749B6B4E">
      <w:pPr>
        <w:sectPr>
          <w:pgSz w:w="16840" w:h="11900" w:orient="landscape"/>
          <w:pgMar w:top="1361" w:right="1020" w:bottom="1134" w:left="1020" w:header="720" w:footer="720" w:gutter="0"/>
          <w:cols w:space="720" w:num="1"/>
        </w:sectPr>
      </w:pPr>
    </w:p>
    <w:p w14:paraId="191201AD">
      <w:pPr>
        <w:spacing w:before="0" w:after="0"/>
        <w:ind w:firstLine="560"/>
        <w:jc w:val="left"/>
        <w:outlineLvl w:val="9"/>
      </w:pPr>
      <w:r>
        <w:rPr>
          <w:rFonts w:ascii="方正仿宋_GBK" w:hAnsi="方正仿宋_GBK" w:eastAsia="方正仿宋_GBK" w:cs="方正仿宋_GBK"/>
          <w:b/>
          <w:color w:val="000000"/>
          <w:sz w:val="28"/>
        </w:rPr>
        <w:t>181、县级资金/隆尧县华星幼儿园公用经费绩效目标表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45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55801">
            <w:pPr>
              <w:pStyle w:val="14"/>
            </w:pPr>
            <w:r>
              <w:t>单位：万元</w:t>
            </w:r>
          </w:p>
        </w:tc>
      </w:tr>
      <w:tr w14:paraId="164DF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65610">
            <w:pPr>
              <w:pStyle w:val="11"/>
            </w:pPr>
            <w:r>
              <w:t>项目编码</w:t>
            </w:r>
          </w:p>
        </w:tc>
        <w:tc>
          <w:tcPr>
            <w:tcW w:w="5103" w:type="dxa"/>
            <w:gridSpan w:val="2"/>
            <w:vAlign w:val="center"/>
          </w:tcPr>
          <w:p w14:paraId="26B837BD">
            <w:pPr>
              <w:pStyle w:val="13"/>
            </w:pPr>
            <w:r>
              <w:t>13052525P00875610046F</w:t>
            </w:r>
          </w:p>
        </w:tc>
        <w:tc>
          <w:tcPr>
            <w:tcW w:w="2835" w:type="dxa"/>
            <w:vAlign w:val="center"/>
          </w:tcPr>
          <w:p w14:paraId="79D559BC">
            <w:pPr>
              <w:pStyle w:val="11"/>
            </w:pPr>
            <w:r>
              <w:t>项目名称</w:t>
            </w:r>
          </w:p>
        </w:tc>
        <w:tc>
          <w:tcPr>
            <w:tcW w:w="6095" w:type="dxa"/>
            <w:gridSpan w:val="3"/>
            <w:vAlign w:val="center"/>
          </w:tcPr>
          <w:p w14:paraId="355B295C">
            <w:pPr>
              <w:pStyle w:val="13"/>
            </w:pPr>
            <w:r>
              <w:t>县级资金/隆尧县华星幼儿园公用经费</w:t>
            </w:r>
          </w:p>
        </w:tc>
      </w:tr>
      <w:tr w14:paraId="06D16B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1C319">
            <w:pPr>
              <w:pStyle w:val="11"/>
            </w:pPr>
            <w:r>
              <w:t>预算规模及资金用途</w:t>
            </w:r>
          </w:p>
        </w:tc>
        <w:tc>
          <w:tcPr>
            <w:tcW w:w="2268" w:type="dxa"/>
            <w:vAlign w:val="center"/>
          </w:tcPr>
          <w:p w14:paraId="476E1998">
            <w:pPr>
              <w:pStyle w:val="11"/>
            </w:pPr>
            <w:r>
              <w:t>预算数</w:t>
            </w:r>
          </w:p>
        </w:tc>
        <w:tc>
          <w:tcPr>
            <w:tcW w:w="2835" w:type="dxa"/>
            <w:vAlign w:val="center"/>
          </w:tcPr>
          <w:p w14:paraId="174757DE">
            <w:pPr>
              <w:pStyle w:val="13"/>
            </w:pPr>
            <w:r>
              <w:t>4.46</w:t>
            </w:r>
          </w:p>
        </w:tc>
        <w:tc>
          <w:tcPr>
            <w:tcW w:w="2835" w:type="dxa"/>
            <w:vAlign w:val="center"/>
          </w:tcPr>
          <w:p w14:paraId="2C6849DB">
            <w:pPr>
              <w:pStyle w:val="11"/>
            </w:pPr>
            <w:r>
              <w:t>其中：财政    资金</w:t>
            </w:r>
          </w:p>
        </w:tc>
        <w:tc>
          <w:tcPr>
            <w:tcW w:w="2551" w:type="dxa"/>
            <w:vAlign w:val="center"/>
          </w:tcPr>
          <w:p w14:paraId="2FAC3029">
            <w:pPr>
              <w:pStyle w:val="13"/>
            </w:pPr>
            <w:r>
              <w:t>4.46</w:t>
            </w:r>
          </w:p>
        </w:tc>
        <w:tc>
          <w:tcPr>
            <w:tcW w:w="2268" w:type="dxa"/>
            <w:vAlign w:val="center"/>
          </w:tcPr>
          <w:p w14:paraId="73F1E14F">
            <w:pPr>
              <w:pStyle w:val="11"/>
            </w:pPr>
            <w:r>
              <w:t>其他资金</w:t>
            </w:r>
          </w:p>
        </w:tc>
        <w:tc>
          <w:tcPr>
            <w:tcW w:w="1276" w:type="dxa"/>
            <w:vAlign w:val="center"/>
          </w:tcPr>
          <w:p w14:paraId="5B504F69">
            <w:pPr>
              <w:pStyle w:val="13"/>
            </w:pPr>
            <w:r>
              <w:t xml:space="preserve"> </w:t>
            </w:r>
          </w:p>
        </w:tc>
      </w:tr>
      <w:tr w14:paraId="6F8D0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67F746"/>
        </w:tc>
        <w:tc>
          <w:tcPr>
            <w:tcW w:w="14033" w:type="dxa"/>
            <w:gridSpan w:val="6"/>
            <w:vAlign w:val="center"/>
          </w:tcPr>
          <w:p w14:paraId="235A0409">
            <w:pPr>
              <w:pStyle w:val="13"/>
            </w:pPr>
            <w:r>
              <w:t>按季度分批次拨付安排公用经费资金，学校按照预算安排进行资金使用，保证资金正常支出。</w:t>
            </w:r>
          </w:p>
        </w:tc>
      </w:tr>
      <w:tr w14:paraId="27B8A2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20C68">
            <w:pPr>
              <w:pStyle w:val="11"/>
            </w:pPr>
            <w:r>
              <w:t>资金支出计划（%）</w:t>
            </w:r>
          </w:p>
        </w:tc>
        <w:tc>
          <w:tcPr>
            <w:tcW w:w="5103" w:type="dxa"/>
            <w:gridSpan w:val="2"/>
            <w:vAlign w:val="center"/>
          </w:tcPr>
          <w:p w14:paraId="7B3761A0">
            <w:pPr>
              <w:pStyle w:val="11"/>
            </w:pPr>
            <w:r>
              <w:t>3月底</w:t>
            </w:r>
          </w:p>
        </w:tc>
        <w:tc>
          <w:tcPr>
            <w:tcW w:w="2835" w:type="dxa"/>
            <w:vAlign w:val="center"/>
          </w:tcPr>
          <w:p w14:paraId="65FCF601">
            <w:pPr>
              <w:pStyle w:val="11"/>
            </w:pPr>
            <w:r>
              <w:t>6月底</w:t>
            </w:r>
          </w:p>
        </w:tc>
        <w:tc>
          <w:tcPr>
            <w:tcW w:w="2551" w:type="dxa"/>
            <w:vAlign w:val="center"/>
          </w:tcPr>
          <w:p w14:paraId="4140AEFC">
            <w:pPr>
              <w:pStyle w:val="11"/>
            </w:pPr>
            <w:r>
              <w:t>10月底</w:t>
            </w:r>
          </w:p>
        </w:tc>
        <w:tc>
          <w:tcPr>
            <w:tcW w:w="3544" w:type="dxa"/>
            <w:gridSpan w:val="2"/>
            <w:vAlign w:val="center"/>
          </w:tcPr>
          <w:p w14:paraId="114822BD">
            <w:pPr>
              <w:pStyle w:val="11"/>
            </w:pPr>
            <w:r>
              <w:t>12月底</w:t>
            </w:r>
          </w:p>
        </w:tc>
      </w:tr>
      <w:tr w14:paraId="34AD6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7D808C"/>
        </w:tc>
        <w:tc>
          <w:tcPr>
            <w:tcW w:w="5103" w:type="dxa"/>
            <w:gridSpan w:val="2"/>
            <w:vAlign w:val="center"/>
          </w:tcPr>
          <w:p w14:paraId="29D0E0B4">
            <w:pPr>
              <w:pStyle w:val="12"/>
            </w:pPr>
            <w:r>
              <w:t xml:space="preserve"> </w:t>
            </w:r>
          </w:p>
        </w:tc>
        <w:tc>
          <w:tcPr>
            <w:tcW w:w="2835" w:type="dxa"/>
            <w:vAlign w:val="center"/>
          </w:tcPr>
          <w:p w14:paraId="580251E7">
            <w:pPr>
              <w:pStyle w:val="12"/>
            </w:pPr>
            <w:r>
              <w:t>50%</w:t>
            </w:r>
          </w:p>
        </w:tc>
        <w:tc>
          <w:tcPr>
            <w:tcW w:w="2551" w:type="dxa"/>
            <w:vAlign w:val="center"/>
          </w:tcPr>
          <w:p w14:paraId="16D63A8D">
            <w:pPr>
              <w:pStyle w:val="12"/>
            </w:pPr>
            <w:r>
              <w:t>75%</w:t>
            </w:r>
          </w:p>
        </w:tc>
        <w:tc>
          <w:tcPr>
            <w:tcW w:w="3544" w:type="dxa"/>
            <w:gridSpan w:val="2"/>
            <w:vAlign w:val="center"/>
          </w:tcPr>
          <w:p w14:paraId="5F1DC418">
            <w:pPr>
              <w:pStyle w:val="12"/>
            </w:pPr>
            <w:r>
              <w:t>100%</w:t>
            </w:r>
          </w:p>
        </w:tc>
      </w:tr>
      <w:tr w14:paraId="763F8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29C60375">
            <w:pPr>
              <w:pStyle w:val="11"/>
            </w:pPr>
            <w:r>
              <w:t>绩效目标</w:t>
            </w:r>
          </w:p>
        </w:tc>
        <w:tc>
          <w:tcPr>
            <w:tcW w:w="14033" w:type="dxa"/>
            <w:gridSpan w:val="6"/>
            <w:vAlign w:val="center"/>
          </w:tcPr>
          <w:p w14:paraId="0C75822C">
            <w:pPr>
              <w:pStyle w:val="13"/>
            </w:pPr>
            <w:r>
              <w:t>1.按季度分批次拨付安排公用经费资金，学校按照预算安排进行资金使用，保证资金正常支出。</w:t>
            </w:r>
          </w:p>
        </w:tc>
      </w:tr>
    </w:tbl>
    <w:p w14:paraId="768B10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5C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FBDA5">
            <w:pPr>
              <w:pStyle w:val="11"/>
            </w:pPr>
            <w:r>
              <w:t>一级指标</w:t>
            </w:r>
          </w:p>
        </w:tc>
        <w:tc>
          <w:tcPr>
            <w:tcW w:w="2268" w:type="dxa"/>
            <w:vAlign w:val="center"/>
          </w:tcPr>
          <w:p w14:paraId="7DDA374E">
            <w:pPr>
              <w:pStyle w:val="11"/>
            </w:pPr>
            <w:r>
              <w:t>二级指标</w:t>
            </w:r>
          </w:p>
        </w:tc>
        <w:tc>
          <w:tcPr>
            <w:tcW w:w="2835" w:type="dxa"/>
            <w:vAlign w:val="center"/>
          </w:tcPr>
          <w:p w14:paraId="529D3345">
            <w:pPr>
              <w:pStyle w:val="11"/>
            </w:pPr>
            <w:r>
              <w:t>三级指标</w:t>
            </w:r>
          </w:p>
        </w:tc>
        <w:tc>
          <w:tcPr>
            <w:tcW w:w="5386" w:type="dxa"/>
            <w:vAlign w:val="center"/>
          </w:tcPr>
          <w:p w14:paraId="2B3079BB">
            <w:pPr>
              <w:pStyle w:val="11"/>
            </w:pPr>
            <w:r>
              <w:t>绩效指标描述</w:t>
            </w:r>
          </w:p>
        </w:tc>
        <w:tc>
          <w:tcPr>
            <w:tcW w:w="2268" w:type="dxa"/>
            <w:vAlign w:val="center"/>
          </w:tcPr>
          <w:p w14:paraId="05A4EEBF">
            <w:pPr>
              <w:pStyle w:val="11"/>
            </w:pPr>
            <w:r>
              <w:t>指标值</w:t>
            </w:r>
          </w:p>
        </w:tc>
        <w:tc>
          <w:tcPr>
            <w:tcW w:w="1276" w:type="dxa"/>
            <w:vAlign w:val="center"/>
          </w:tcPr>
          <w:p w14:paraId="5939B116">
            <w:pPr>
              <w:pStyle w:val="11"/>
            </w:pPr>
            <w:r>
              <w:t>指标值确定依据</w:t>
            </w:r>
          </w:p>
        </w:tc>
      </w:tr>
      <w:tr w14:paraId="269B9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4882F">
            <w:pPr>
              <w:pStyle w:val="12"/>
            </w:pPr>
            <w:r>
              <w:t>产出指标</w:t>
            </w:r>
          </w:p>
        </w:tc>
        <w:tc>
          <w:tcPr>
            <w:tcW w:w="2268" w:type="dxa"/>
            <w:vAlign w:val="center"/>
          </w:tcPr>
          <w:p w14:paraId="575EA950">
            <w:pPr>
              <w:pStyle w:val="13"/>
            </w:pPr>
            <w:r>
              <w:t>数量指标</w:t>
            </w:r>
          </w:p>
        </w:tc>
        <w:tc>
          <w:tcPr>
            <w:tcW w:w="2835" w:type="dxa"/>
            <w:vAlign w:val="center"/>
          </w:tcPr>
          <w:p w14:paraId="09354F74">
            <w:pPr>
              <w:pStyle w:val="13"/>
            </w:pPr>
            <w:r>
              <w:t>适龄在校生</w:t>
            </w:r>
          </w:p>
        </w:tc>
        <w:tc>
          <w:tcPr>
            <w:tcW w:w="5386" w:type="dxa"/>
            <w:vAlign w:val="center"/>
          </w:tcPr>
          <w:p w14:paraId="25E39A07">
            <w:pPr>
              <w:pStyle w:val="13"/>
            </w:pPr>
            <w:r>
              <w:t>辖区内适龄儿童全覆盖</w:t>
            </w:r>
          </w:p>
        </w:tc>
        <w:tc>
          <w:tcPr>
            <w:tcW w:w="2268" w:type="dxa"/>
            <w:vAlign w:val="center"/>
          </w:tcPr>
          <w:p w14:paraId="1E0915C6">
            <w:pPr>
              <w:pStyle w:val="13"/>
            </w:pPr>
            <w:r>
              <w:t>99人</w:t>
            </w:r>
          </w:p>
        </w:tc>
        <w:tc>
          <w:tcPr>
            <w:tcW w:w="1276" w:type="dxa"/>
            <w:vAlign w:val="center"/>
          </w:tcPr>
          <w:p w14:paraId="2CEC83D9">
            <w:pPr>
              <w:pStyle w:val="13"/>
            </w:pPr>
            <w:r>
              <w:t>幼儿园生均公用经费管理办法</w:t>
            </w:r>
          </w:p>
        </w:tc>
      </w:tr>
      <w:tr w14:paraId="3D0A6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D4CBF"/>
        </w:tc>
        <w:tc>
          <w:tcPr>
            <w:tcW w:w="2268" w:type="dxa"/>
            <w:vAlign w:val="center"/>
          </w:tcPr>
          <w:p w14:paraId="66E7A788">
            <w:pPr>
              <w:pStyle w:val="13"/>
            </w:pPr>
            <w:r>
              <w:t>质量指标</w:t>
            </w:r>
          </w:p>
        </w:tc>
        <w:tc>
          <w:tcPr>
            <w:tcW w:w="2835" w:type="dxa"/>
            <w:vAlign w:val="center"/>
          </w:tcPr>
          <w:p w14:paraId="51E42280">
            <w:pPr>
              <w:pStyle w:val="13"/>
            </w:pPr>
            <w:r>
              <w:t>预算控制率</w:t>
            </w:r>
          </w:p>
        </w:tc>
        <w:tc>
          <w:tcPr>
            <w:tcW w:w="5386" w:type="dxa"/>
            <w:vAlign w:val="center"/>
          </w:tcPr>
          <w:p w14:paraId="5A46ED1B">
            <w:pPr>
              <w:pStyle w:val="13"/>
            </w:pPr>
            <w:r>
              <w:t>预算执行</w:t>
            </w:r>
          </w:p>
        </w:tc>
        <w:tc>
          <w:tcPr>
            <w:tcW w:w="2268" w:type="dxa"/>
            <w:vAlign w:val="center"/>
          </w:tcPr>
          <w:p w14:paraId="67D21DE3">
            <w:pPr>
              <w:pStyle w:val="13"/>
            </w:pPr>
            <w:r>
              <w:t>≥95%</w:t>
            </w:r>
          </w:p>
        </w:tc>
        <w:tc>
          <w:tcPr>
            <w:tcW w:w="1276" w:type="dxa"/>
            <w:vAlign w:val="center"/>
          </w:tcPr>
          <w:p w14:paraId="024CC7E7">
            <w:pPr>
              <w:pStyle w:val="13"/>
            </w:pPr>
            <w:r>
              <w:t>幼儿园生均公用经费管理办法</w:t>
            </w:r>
          </w:p>
        </w:tc>
      </w:tr>
      <w:tr w14:paraId="1A299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5AF2F"/>
        </w:tc>
        <w:tc>
          <w:tcPr>
            <w:tcW w:w="2268" w:type="dxa"/>
            <w:vAlign w:val="center"/>
          </w:tcPr>
          <w:p w14:paraId="592E734E">
            <w:pPr>
              <w:pStyle w:val="13"/>
            </w:pPr>
            <w:r>
              <w:t>时效指标</w:t>
            </w:r>
          </w:p>
        </w:tc>
        <w:tc>
          <w:tcPr>
            <w:tcW w:w="2835" w:type="dxa"/>
            <w:vAlign w:val="center"/>
          </w:tcPr>
          <w:p w14:paraId="6013542C">
            <w:pPr>
              <w:pStyle w:val="13"/>
            </w:pPr>
            <w:r>
              <w:t>资金支付率</w:t>
            </w:r>
          </w:p>
        </w:tc>
        <w:tc>
          <w:tcPr>
            <w:tcW w:w="5386" w:type="dxa"/>
            <w:vAlign w:val="center"/>
          </w:tcPr>
          <w:p w14:paraId="67D1B0CD">
            <w:pPr>
              <w:pStyle w:val="13"/>
            </w:pPr>
            <w:r>
              <w:t>按照序时进度完成资金支付</w:t>
            </w:r>
          </w:p>
        </w:tc>
        <w:tc>
          <w:tcPr>
            <w:tcW w:w="2268" w:type="dxa"/>
            <w:vAlign w:val="center"/>
          </w:tcPr>
          <w:p w14:paraId="4B6E2A06">
            <w:pPr>
              <w:pStyle w:val="13"/>
            </w:pPr>
            <w:r>
              <w:t>≥100%</w:t>
            </w:r>
          </w:p>
        </w:tc>
        <w:tc>
          <w:tcPr>
            <w:tcW w:w="1276" w:type="dxa"/>
            <w:vAlign w:val="center"/>
          </w:tcPr>
          <w:p w14:paraId="53E4C10F">
            <w:pPr>
              <w:pStyle w:val="13"/>
            </w:pPr>
            <w:r>
              <w:t>幼儿园生均公用经费管理办法</w:t>
            </w:r>
          </w:p>
        </w:tc>
      </w:tr>
      <w:tr w14:paraId="359FE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82D0A"/>
        </w:tc>
        <w:tc>
          <w:tcPr>
            <w:tcW w:w="2268" w:type="dxa"/>
            <w:vAlign w:val="center"/>
          </w:tcPr>
          <w:p w14:paraId="1D06B10A">
            <w:pPr>
              <w:pStyle w:val="13"/>
            </w:pPr>
            <w:r>
              <w:t>成本指标</w:t>
            </w:r>
          </w:p>
        </w:tc>
        <w:tc>
          <w:tcPr>
            <w:tcW w:w="2835" w:type="dxa"/>
            <w:vAlign w:val="center"/>
          </w:tcPr>
          <w:p w14:paraId="52AA4512">
            <w:pPr>
              <w:pStyle w:val="13"/>
            </w:pPr>
            <w:r>
              <w:t>生均拨款标准</w:t>
            </w:r>
          </w:p>
        </w:tc>
        <w:tc>
          <w:tcPr>
            <w:tcW w:w="5386" w:type="dxa"/>
            <w:vAlign w:val="center"/>
          </w:tcPr>
          <w:p w14:paraId="6F52ADDF">
            <w:pPr>
              <w:pStyle w:val="13"/>
            </w:pPr>
            <w:r>
              <w:t>学前经费450元/生/年</w:t>
            </w:r>
          </w:p>
        </w:tc>
        <w:tc>
          <w:tcPr>
            <w:tcW w:w="2268" w:type="dxa"/>
            <w:vAlign w:val="center"/>
          </w:tcPr>
          <w:p w14:paraId="70B1CDE3">
            <w:pPr>
              <w:pStyle w:val="13"/>
            </w:pPr>
            <w:r>
              <w:t>600元</w:t>
            </w:r>
          </w:p>
        </w:tc>
        <w:tc>
          <w:tcPr>
            <w:tcW w:w="1276" w:type="dxa"/>
            <w:vAlign w:val="center"/>
          </w:tcPr>
          <w:p w14:paraId="47712A9B">
            <w:pPr>
              <w:pStyle w:val="13"/>
            </w:pPr>
            <w:r>
              <w:t>幼儿园生均公用经费管理办法</w:t>
            </w:r>
          </w:p>
        </w:tc>
      </w:tr>
      <w:tr w14:paraId="495E5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94B4D">
            <w:pPr>
              <w:pStyle w:val="12"/>
            </w:pPr>
            <w:r>
              <w:t>效益指标</w:t>
            </w:r>
          </w:p>
        </w:tc>
        <w:tc>
          <w:tcPr>
            <w:tcW w:w="2268" w:type="dxa"/>
            <w:vAlign w:val="center"/>
          </w:tcPr>
          <w:p w14:paraId="5B4EF8F9">
            <w:pPr>
              <w:pStyle w:val="13"/>
            </w:pPr>
            <w:r>
              <w:t>可持续影响指标</w:t>
            </w:r>
          </w:p>
        </w:tc>
        <w:tc>
          <w:tcPr>
            <w:tcW w:w="2835" w:type="dxa"/>
            <w:vAlign w:val="center"/>
          </w:tcPr>
          <w:p w14:paraId="1DA12505">
            <w:pPr>
              <w:pStyle w:val="13"/>
            </w:pPr>
            <w:r>
              <w:t>教育发展水平明显好转</w:t>
            </w:r>
          </w:p>
        </w:tc>
        <w:tc>
          <w:tcPr>
            <w:tcW w:w="5386" w:type="dxa"/>
            <w:vAlign w:val="center"/>
          </w:tcPr>
          <w:p w14:paraId="7F3A823D">
            <w:pPr>
              <w:pStyle w:val="13"/>
            </w:pPr>
            <w:r>
              <w:t>学生受教育年限</w:t>
            </w:r>
          </w:p>
        </w:tc>
        <w:tc>
          <w:tcPr>
            <w:tcW w:w="2268" w:type="dxa"/>
            <w:vAlign w:val="center"/>
          </w:tcPr>
          <w:p w14:paraId="6D75306F">
            <w:pPr>
              <w:pStyle w:val="13"/>
            </w:pPr>
            <w:r>
              <w:t>3年</w:t>
            </w:r>
          </w:p>
        </w:tc>
        <w:tc>
          <w:tcPr>
            <w:tcW w:w="1276" w:type="dxa"/>
            <w:vAlign w:val="center"/>
          </w:tcPr>
          <w:p w14:paraId="03BC9984">
            <w:pPr>
              <w:pStyle w:val="13"/>
            </w:pPr>
            <w:r>
              <w:t>幼儿园生均公用经费管理办法</w:t>
            </w:r>
          </w:p>
        </w:tc>
      </w:tr>
      <w:tr w14:paraId="72AE5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525C0">
            <w:pPr>
              <w:pStyle w:val="12"/>
            </w:pPr>
            <w:r>
              <w:t>满意度指标</w:t>
            </w:r>
          </w:p>
        </w:tc>
        <w:tc>
          <w:tcPr>
            <w:tcW w:w="2268" w:type="dxa"/>
            <w:vAlign w:val="center"/>
          </w:tcPr>
          <w:p w14:paraId="4AB30AEA">
            <w:pPr>
              <w:pStyle w:val="13"/>
            </w:pPr>
            <w:r>
              <w:t>服务对象满意度指标</w:t>
            </w:r>
          </w:p>
        </w:tc>
        <w:tc>
          <w:tcPr>
            <w:tcW w:w="2835" w:type="dxa"/>
            <w:vAlign w:val="center"/>
          </w:tcPr>
          <w:p w14:paraId="472A93F2">
            <w:pPr>
              <w:pStyle w:val="13"/>
            </w:pPr>
            <w:r>
              <w:t>受益学生家长及调查满意度</w:t>
            </w:r>
          </w:p>
        </w:tc>
        <w:tc>
          <w:tcPr>
            <w:tcW w:w="5386" w:type="dxa"/>
            <w:vAlign w:val="center"/>
          </w:tcPr>
          <w:p w14:paraId="5579B291">
            <w:pPr>
              <w:pStyle w:val="13"/>
            </w:pPr>
            <w:r>
              <w:t>学生、教师及家长对学校保教保育工作满意度情况</w:t>
            </w:r>
          </w:p>
        </w:tc>
        <w:tc>
          <w:tcPr>
            <w:tcW w:w="2268" w:type="dxa"/>
            <w:vAlign w:val="center"/>
          </w:tcPr>
          <w:p w14:paraId="2631CD5E">
            <w:pPr>
              <w:pStyle w:val="13"/>
            </w:pPr>
            <w:r>
              <w:t>≥95%</w:t>
            </w:r>
          </w:p>
        </w:tc>
        <w:tc>
          <w:tcPr>
            <w:tcW w:w="1276" w:type="dxa"/>
            <w:vAlign w:val="center"/>
          </w:tcPr>
          <w:p w14:paraId="6CA4E15A">
            <w:pPr>
              <w:pStyle w:val="13"/>
            </w:pPr>
            <w:r>
              <w:t>调查问卷</w:t>
            </w:r>
          </w:p>
        </w:tc>
      </w:tr>
    </w:tbl>
    <w:p w14:paraId="2780AF13">
      <w:pPr>
        <w:sectPr>
          <w:pgSz w:w="16840" w:h="11900" w:orient="landscape"/>
          <w:pgMar w:top="1361" w:right="1020" w:bottom="1134" w:left="1020" w:header="720" w:footer="720" w:gutter="0"/>
          <w:cols w:space="720" w:num="1"/>
        </w:sectPr>
      </w:pPr>
    </w:p>
    <w:p w14:paraId="306BEB10">
      <w:pPr>
        <w:spacing w:before="0" w:after="0"/>
        <w:ind w:firstLine="560"/>
        <w:jc w:val="left"/>
        <w:outlineLvl w:val="9"/>
      </w:pPr>
      <w:r>
        <w:rPr>
          <w:rFonts w:ascii="方正仿宋_GBK" w:hAnsi="方正仿宋_GBK" w:eastAsia="方正仿宋_GBK" w:cs="方正仿宋_GBK"/>
          <w:b/>
          <w:color w:val="000000"/>
          <w:sz w:val="28"/>
        </w:rPr>
        <w:t>182、县级资金/隆尧县嘉文幼儿园公用经费绩效目标表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D6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FD30D">
            <w:pPr>
              <w:pStyle w:val="14"/>
            </w:pPr>
            <w:r>
              <w:t>单位：万元</w:t>
            </w:r>
          </w:p>
        </w:tc>
      </w:tr>
      <w:tr w14:paraId="1DC75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1CB604">
            <w:pPr>
              <w:pStyle w:val="11"/>
            </w:pPr>
            <w:r>
              <w:t>项目编码</w:t>
            </w:r>
          </w:p>
        </w:tc>
        <w:tc>
          <w:tcPr>
            <w:tcW w:w="5103" w:type="dxa"/>
            <w:gridSpan w:val="2"/>
            <w:vAlign w:val="center"/>
          </w:tcPr>
          <w:p w14:paraId="2B992426">
            <w:pPr>
              <w:pStyle w:val="13"/>
            </w:pPr>
            <w:r>
              <w:t>13052525P00875610058J</w:t>
            </w:r>
          </w:p>
        </w:tc>
        <w:tc>
          <w:tcPr>
            <w:tcW w:w="2835" w:type="dxa"/>
            <w:vAlign w:val="center"/>
          </w:tcPr>
          <w:p w14:paraId="4C4F7B30">
            <w:pPr>
              <w:pStyle w:val="11"/>
            </w:pPr>
            <w:r>
              <w:t>项目名称</w:t>
            </w:r>
          </w:p>
        </w:tc>
        <w:tc>
          <w:tcPr>
            <w:tcW w:w="6095" w:type="dxa"/>
            <w:gridSpan w:val="3"/>
            <w:vAlign w:val="center"/>
          </w:tcPr>
          <w:p w14:paraId="32F30FA6">
            <w:pPr>
              <w:pStyle w:val="13"/>
            </w:pPr>
            <w:r>
              <w:t>县级资金/隆尧县嘉文幼儿园公用经费</w:t>
            </w:r>
          </w:p>
        </w:tc>
      </w:tr>
      <w:tr w14:paraId="3C09B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278C0">
            <w:pPr>
              <w:pStyle w:val="11"/>
            </w:pPr>
            <w:r>
              <w:t>预算规模及资金用途</w:t>
            </w:r>
          </w:p>
        </w:tc>
        <w:tc>
          <w:tcPr>
            <w:tcW w:w="2268" w:type="dxa"/>
            <w:vAlign w:val="center"/>
          </w:tcPr>
          <w:p w14:paraId="1817889F">
            <w:pPr>
              <w:pStyle w:val="11"/>
            </w:pPr>
            <w:r>
              <w:t>预算数</w:t>
            </w:r>
          </w:p>
        </w:tc>
        <w:tc>
          <w:tcPr>
            <w:tcW w:w="2835" w:type="dxa"/>
            <w:vAlign w:val="center"/>
          </w:tcPr>
          <w:p w14:paraId="2D130F8A">
            <w:pPr>
              <w:pStyle w:val="13"/>
            </w:pPr>
            <w:r>
              <w:t>4.23</w:t>
            </w:r>
          </w:p>
        </w:tc>
        <w:tc>
          <w:tcPr>
            <w:tcW w:w="2835" w:type="dxa"/>
            <w:vAlign w:val="center"/>
          </w:tcPr>
          <w:p w14:paraId="37DD403A">
            <w:pPr>
              <w:pStyle w:val="11"/>
            </w:pPr>
            <w:r>
              <w:t>其中：财政    资金</w:t>
            </w:r>
          </w:p>
        </w:tc>
        <w:tc>
          <w:tcPr>
            <w:tcW w:w="2551" w:type="dxa"/>
            <w:vAlign w:val="center"/>
          </w:tcPr>
          <w:p w14:paraId="3E085F42">
            <w:pPr>
              <w:pStyle w:val="13"/>
            </w:pPr>
            <w:r>
              <w:t>4.23</w:t>
            </w:r>
          </w:p>
        </w:tc>
        <w:tc>
          <w:tcPr>
            <w:tcW w:w="2268" w:type="dxa"/>
            <w:vAlign w:val="center"/>
          </w:tcPr>
          <w:p w14:paraId="6DCF6B7E">
            <w:pPr>
              <w:pStyle w:val="11"/>
            </w:pPr>
            <w:r>
              <w:t>其他资金</w:t>
            </w:r>
          </w:p>
        </w:tc>
        <w:tc>
          <w:tcPr>
            <w:tcW w:w="1276" w:type="dxa"/>
            <w:vAlign w:val="center"/>
          </w:tcPr>
          <w:p w14:paraId="0EA1FB16">
            <w:pPr>
              <w:pStyle w:val="13"/>
            </w:pPr>
            <w:r>
              <w:t xml:space="preserve"> </w:t>
            </w:r>
          </w:p>
        </w:tc>
      </w:tr>
      <w:tr w14:paraId="5A3E1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E28ACA"/>
        </w:tc>
        <w:tc>
          <w:tcPr>
            <w:tcW w:w="14033" w:type="dxa"/>
            <w:gridSpan w:val="6"/>
            <w:vAlign w:val="center"/>
          </w:tcPr>
          <w:p w14:paraId="29FEE93D">
            <w:pPr>
              <w:pStyle w:val="13"/>
            </w:pPr>
            <w:r>
              <w:t>按季度分批次拨付安排公用经费资金，学校按照预算安排进行资金使用，保证资金正常支出。</w:t>
            </w:r>
          </w:p>
        </w:tc>
      </w:tr>
      <w:tr w14:paraId="03CF0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F4AFE">
            <w:pPr>
              <w:pStyle w:val="11"/>
            </w:pPr>
            <w:r>
              <w:t>资金支出计划（%）</w:t>
            </w:r>
          </w:p>
        </w:tc>
        <w:tc>
          <w:tcPr>
            <w:tcW w:w="5103" w:type="dxa"/>
            <w:gridSpan w:val="2"/>
            <w:vAlign w:val="center"/>
          </w:tcPr>
          <w:p w14:paraId="43BCD312">
            <w:pPr>
              <w:pStyle w:val="11"/>
            </w:pPr>
            <w:r>
              <w:t>3月底</w:t>
            </w:r>
          </w:p>
        </w:tc>
        <w:tc>
          <w:tcPr>
            <w:tcW w:w="2835" w:type="dxa"/>
            <w:vAlign w:val="center"/>
          </w:tcPr>
          <w:p w14:paraId="208FE033">
            <w:pPr>
              <w:pStyle w:val="11"/>
            </w:pPr>
            <w:r>
              <w:t>6月底</w:t>
            </w:r>
          </w:p>
        </w:tc>
        <w:tc>
          <w:tcPr>
            <w:tcW w:w="2551" w:type="dxa"/>
            <w:vAlign w:val="center"/>
          </w:tcPr>
          <w:p w14:paraId="143B90FF">
            <w:pPr>
              <w:pStyle w:val="11"/>
            </w:pPr>
            <w:r>
              <w:t>10月底</w:t>
            </w:r>
          </w:p>
        </w:tc>
        <w:tc>
          <w:tcPr>
            <w:tcW w:w="3544" w:type="dxa"/>
            <w:gridSpan w:val="2"/>
            <w:vAlign w:val="center"/>
          </w:tcPr>
          <w:p w14:paraId="47C052EF">
            <w:pPr>
              <w:pStyle w:val="11"/>
            </w:pPr>
            <w:r>
              <w:t>12月底</w:t>
            </w:r>
          </w:p>
        </w:tc>
      </w:tr>
      <w:tr w14:paraId="1BBA4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998DF5"/>
        </w:tc>
        <w:tc>
          <w:tcPr>
            <w:tcW w:w="5103" w:type="dxa"/>
            <w:gridSpan w:val="2"/>
            <w:vAlign w:val="center"/>
          </w:tcPr>
          <w:p w14:paraId="601F9A62">
            <w:pPr>
              <w:pStyle w:val="12"/>
            </w:pPr>
            <w:r>
              <w:t xml:space="preserve"> </w:t>
            </w:r>
          </w:p>
        </w:tc>
        <w:tc>
          <w:tcPr>
            <w:tcW w:w="2835" w:type="dxa"/>
            <w:vAlign w:val="center"/>
          </w:tcPr>
          <w:p w14:paraId="2A115BA1">
            <w:pPr>
              <w:pStyle w:val="12"/>
            </w:pPr>
            <w:r>
              <w:t>50%</w:t>
            </w:r>
          </w:p>
        </w:tc>
        <w:tc>
          <w:tcPr>
            <w:tcW w:w="2551" w:type="dxa"/>
            <w:vAlign w:val="center"/>
          </w:tcPr>
          <w:p w14:paraId="60BBA48A">
            <w:pPr>
              <w:pStyle w:val="12"/>
            </w:pPr>
            <w:r>
              <w:t>75%</w:t>
            </w:r>
          </w:p>
        </w:tc>
        <w:tc>
          <w:tcPr>
            <w:tcW w:w="3544" w:type="dxa"/>
            <w:gridSpan w:val="2"/>
            <w:vAlign w:val="center"/>
          </w:tcPr>
          <w:p w14:paraId="31EAA3E6">
            <w:pPr>
              <w:pStyle w:val="12"/>
            </w:pPr>
            <w:r>
              <w:t>100%</w:t>
            </w:r>
          </w:p>
        </w:tc>
      </w:tr>
      <w:tr w14:paraId="41776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29534">
            <w:pPr>
              <w:pStyle w:val="11"/>
            </w:pPr>
            <w:r>
              <w:t>绩效目标</w:t>
            </w:r>
          </w:p>
        </w:tc>
        <w:tc>
          <w:tcPr>
            <w:tcW w:w="14033" w:type="dxa"/>
            <w:gridSpan w:val="6"/>
            <w:vAlign w:val="center"/>
          </w:tcPr>
          <w:p w14:paraId="62207317">
            <w:pPr>
              <w:pStyle w:val="13"/>
            </w:pPr>
            <w:r>
              <w:t>1.按季度分批次拨付安排公用经费资金，学校按照预算安排进行资金使用，保证资金正常支出。</w:t>
            </w:r>
          </w:p>
          <w:p w14:paraId="62C68914">
            <w:pPr>
              <w:pStyle w:val="13"/>
            </w:pPr>
          </w:p>
        </w:tc>
      </w:tr>
    </w:tbl>
    <w:p w14:paraId="7FC501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AA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17456">
            <w:pPr>
              <w:pStyle w:val="11"/>
            </w:pPr>
            <w:r>
              <w:t>一级指标</w:t>
            </w:r>
          </w:p>
        </w:tc>
        <w:tc>
          <w:tcPr>
            <w:tcW w:w="2268" w:type="dxa"/>
            <w:vAlign w:val="center"/>
          </w:tcPr>
          <w:p w14:paraId="14B50122">
            <w:pPr>
              <w:pStyle w:val="11"/>
            </w:pPr>
            <w:r>
              <w:t>二级指标</w:t>
            </w:r>
          </w:p>
        </w:tc>
        <w:tc>
          <w:tcPr>
            <w:tcW w:w="2835" w:type="dxa"/>
            <w:vAlign w:val="center"/>
          </w:tcPr>
          <w:p w14:paraId="165F00BE">
            <w:pPr>
              <w:pStyle w:val="11"/>
            </w:pPr>
            <w:r>
              <w:t>三级指标</w:t>
            </w:r>
          </w:p>
        </w:tc>
        <w:tc>
          <w:tcPr>
            <w:tcW w:w="5386" w:type="dxa"/>
            <w:vAlign w:val="center"/>
          </w:tcPr>
          <w:p w14:paraId="11CA8CBC">
            <w:pPr>
              <w:pStyle w:val="11"/>
            </w:pPr>
            <w:r>
              <w:t>绩效指标描述</w:t>
            </w:r>
          </w:p>
        </w:tc>
        <w:tc>
          <w:tcPr>
            <w:tcW w:w="2268" w:type="dxa"/>
            <w:vAlign w:val="center"/>
          </w:tcPr>
          <w:p w14:paraId="65CB171A">
            <w:pPr>
              <w:pStyle w:val="11"/>
            </w:pPr>
            <w:r>
              <w:t>指标值</w:t>
            </w:r>
          </w:p>
        </w:tc>
        <w:tc>
          <w:tcPr>
            <w:tcW w:w="1276" w:type="dxa"/>
            <w:vAlign w:val="center"/>
          </w:tcPr>
          <w:p w14:paraId="756DCCDF">
            <w:pPr>
              <w:pStyle w:val="11"/>
            </w:pPr>
            <w:r>
              <w:t>指标值确定依据</w:t>
            </w:r>
          </w:p>
        </w:tc>
      </w:tr>
      <w:tr w14:paraId="0C197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70681">
            <w:pPr>
              <w:pStyle w:val="12"/>
            </w:pPr>
            <w:r>
              <w:t>产出指标</w:t>
            </w:r>
          </w:p>
        </w:tc>
        <w:tc>
          <w:tcPr>
            <w:tcW w:w="2268" w:type="dxa"/>
            <w:vAlign w:val="center"/>
          </w:tcPr>
          <w:p w14:paraId="7783593F">
            <w:pPr>
              <w:pStyle w:val="13"/>
            </w:pPr>
            <w:r>
              <w:t>数量指标</w:t>
            </w:r>
          </w:p>
        </w:tc>
        <w:tc>
          <w:tcPr>
            <w:tcW w:w="2835" w:type="dxa"/>
            <w:vAlign w:val="center"/>
          </w:tcPr>
          <w:p w14:paraId="3CB96A86">
            <w:pPr>
              <w:pStyle w:val="13"/>
            </w:pPr>
            <w:r>
              <w:t>适龄在校生</w:t>
            </w:r>
          </w:p>
        </w:tc>
        <w:tc>
          <w:tcPr>
            <w:tcW w:w="5386" w:type="dxa"/>
            <w:vAlign w:val="center"/>
          </w:tcPr>
          <w:p w14:paraId="30645E55">
            <w:pPr>
              <w:pStyle w:val="13"/>
            </w:pPr>
            <w:r>
              <w:t>辖区内适龄儿童全覆盖</w:t>
            </w:r>
          </w:p>
        </w:tc>
        <w:tc>
          <w:tcPr>
            <w:tcW w:w="2268" w:type="dxa"/>
            <w:vAlign w:val="center"/>
          </w:tcPr>
          <w:p w14:paraId="23E950B9">
            <w:pPr>
              <w:pStyle w:val="13"/>
            </w:pPr>
            <w:r>
              <w:t>94人</w:t>
            </w:r>
          </w:p>
        </w:tc>
        <w:tc>
          <w:tcPr>
            <w:tcW w:w="1276" w:type="dxa"/>
            <w:vAlign w:val="center"/>
          </w:tcPr>
          <w:p w14:paraId="76114A55">
            <w:pPr>
              <w:pStyle w:val="13"/>
            </w:pPr>
            <w:r>
              <w:t>幼儿园生均公用经费管理办法</w:t>
            </w:r>
          </w:p>
        </w:tc>
      </w:tr>
      <w:tr w14:paraId="1460D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654EA"/>
        </w:tc>
        <w:tc>
          <w:tcPr>
            <w:tcW w:w="2268" w:type="dxa"/>
            <w:vAlign w:val="center"/>
          </w:tcPr>
          <w:p w14:paraId="7C388F74">
            <w:pPr>
              <w:pStyle w:val="13"/>
            </w:pPr>
            <w:r>
              <w:t>质量指标</w:t>
            </w:r>
          </w:p>
        </w:tc>
        <w:tc>
          <w:tcPr>
            <w:tcW w:w="2835" w:type="dxa"/>
            <w:vAlign w:val="center"/>
          </w:tcPr>
          <w:p w14:paraId="67130265">
            <w:pPr>
              <w:pStyle w:val="13"/>
            </w:pPr>
            <w:r>
              <w:t>预算控制率</w:t>
            </w:r>
          </w:p>
        </w:tc>
        <w:tc>
          <w:tcPr>
            <w:tcW w:w="5386" w:type="dxa"/>
            <w:vAlign w:val="center"/>
          </w:tcPr>
          <w:p w14:paraId="3D8C2F9F">
            <w:pPr>
              <w:pStyle w:val="13"/>
            </w:pPr>
            <w:r>
              <w:t>预算执行</w:t>
            </w:r>
          </w:p>
        </w:tc>
        <w:tc>
          <w:tcPr>
            <w:tcW w:w="2268" w:type="dxa"/>
            <w:vAlign w:val="center"/>
          </w:tcPr>
          <w:p w14:paraId="4CF6E63C">
            <w:pPr>
              <w:pStyle w:val="13"/>
            </w:pPr>
            <w:r>
              <w:t>≥95%</w:t>
            </w:r>
          </w:p>
        </w:tc>
        <w:tc>
          <w:tcPr>
            <w:tcW w:w="1276" w:type="dxa"/>
            <w:vAlign w:val="center"/>
          </w:tcPr>
          <w:p w14:paraId="72EB9823">
            <w:pPr>
              <w:pStyle w:val="13"/>
            </w:pPr>
            <w:r>
              <w:t>幼儿园生均公用经费管理办法</w:t>
            </w:r>
          </w:p>
        </w:tc>
      </w:tr>
      <w:tr w14:paraId="1B9AD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9D2ED"/>
        </w:tc>
        <w:tc>
          <w:tcPr>
            <w:tcW w:w="2268" w:type="dxa"/>
            <w:vAlign w:val="center"/>
          </w:tcPr>
          <w:p w14:paraId="07A18A0A">
            <w:pPr>
              <w:pStyle w:val="13"/>
            </w:pPr>
            <w:r>
              <w:t>时效指标</w:t>
            </w:r>
          </w:p>
        </w:tc>
        <w:tc>
          <w:tcPr>
            <w:tcW w:w="2835" w:type="dxa"/>
            <w:vAlign w:val="center"/>
          </w:tcPr>
          <w:p w14:paraId="787AAF87">
            <w:pPr>
              <w:pStyle w:val="13"/>
            </w:pPr>
            <w:r>
              <w:t>资金支付率</w:t>
            </w:r>
          </w:p>
        </w:tc>
        <w:tc>
          <w:tcPr>
            <w:tcW w:w="5386" w:type="dxa"/>
            <w:vAlign w:val="center"/>
          </w:tcPr>
          <w:p w14:paraId="5CF8641A">
            <w:pPr>
              <w:pStyle w:val="13"/>
            </w:pPr>
            <w:r>
              <w:t>按照序时进度完成资金支付</w:t>
            </w:r>
          </w:p>
        </w:tc>
        <w:tc>
          <w:tcPr>
            <w:tcW w:w="2268" w:type="dxa"/>
            <w:vAlign w:val="center"/>
          </w:tcPr>
          <w:p w14:paraId="594305DE">
            <w:pPr>
              <w:pStyle w:val="13"/>
            </w:pPr>
            <w:r>
              <w:t>≥100%</w:t>
            </w:r>
          </w:p>
        </w:tc>
        <w:tc>
          <w:tcPr>
            <w:tcW w:w="1276" w:type="dxa"/>
            <w:vAlign w:val="center"/>
          </w:tcPr>
          <w:p w14:paraId="29CB488B">
            <w:pPr>
              <w:pStyle w:val="13"/>
            </w:pPr>
            <w:r>
              <w:t>幼儿园生均公用经费管理办法</w:t>
            </w:r>
          </w:p>
        </w:tc>
      </w:tr>
      <w:tr w14:paraId="09E78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73F78"/>
        </w:tc>
        <w:tc>
          <w:tcPr>
            <w:tcW w:w="2268" w:type="dxa"/>
            <w:vAlign w:val="center"/>
          </w:tcPr>
          <w:p w14:paraId="2CB696DA">
            <w:pPr>
              <w:pStyle w:val="13"/>
            </w:pPr>
            <w:r>
              <w:t>成本指标</w:t>
            </w:r>
          </w:p>
        </w:tc>
        <w:tc>
          <w:tcPr>
            <w:tcW w:w="2835" w:type="dxa"/>
            <w:vAlign w:val="center"/>
          </w:tcPr>
          <w:p w14:paraId="13A246D6">
            <w:pPr>
              <w:pStyle w:val="13"/>
            </w:pPr>
            <w:r>
              <w:t>生均拨款标准</w:t>
            </w:r>
          </w:p>
        </w:tc>
        <w:tc>
          <w:tcPr>
            <w:tcW w:w="5386" w:type="dxa"/>
            <w:vAlign w:val="center"/>
          </w:tcPr>
          <w:p w14:paraId="3D884EEC">
            <w:pPr>
              <w:pStyle w:val="13"/>
            </w:pPr>
            <w:r>
              <w:t>学前：600元/生/年</w:t>
            </w:r>
          </w:p>
        </w:tc>
        <w:tc>
          <w:tcPr>
            <w:tcW w:w="2268" w:type="dxa"/>
            <w:vAlign w:val="center"/>
          </w:tcPr>
          <w:p w14:paraId="70E07F82">
            <w:pPr>
              <w:pStyle w:val="13"/>
            </w:pPr>
            <w:r>
              <w:t>600元</w:t>
            </w:r>
          </w:p>
        </w:tc>
        <w:tc>
          <w:tcPr>
            <w:tcW w:w="1276" w:type="dxa"/>
            <w:vAlign w:val="center"/>
          </w:tcPr>
          <w:p w14:paraId="4A0DA429">
            <w:pPr>
              <w:pStyle w:val="13"/>
            </w:pPr>
            <w:r>
              <w:t>幼儿园生均公用经费管理办法</w:t>
            </w:r>
          </w:p>
        </w:tc>
      </w:tr>
      <w:tr w14:paraId="00C7B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21623">
            <w:pPr>
              <w:pStyle w:val="12"/>
            </w:pPr>
            <w:r>
              <w:t>效益指标</w:t>
            </w:r>
          </w:p>
        </w:tc>
        <w:tc>
          <w:tcPr>
            <w:tcW w:w="2268" w:type="dxa"/>
            <w:vAlign w:val="center"/>
          </w:tcPr>
          <w:p w14:paraId="11BB458F">
            <w:pPr>
              <w:pStyle w:val="13"/>
            </w:pPr>
            <w:r>
              <w:t>可持续影响指标</w:t>
            </w:r>
          </w:p>
        </w:tc>
        <w:tc>
          <w:tcPr>
            <w:tcW w:w="2835" w:type="dxa"/>
            <w:vAlign w:val="center"/>
          </w:tcPr>
          <w:p w14:paraId="234CB012">
            <w:pPr>
              <w:pStyle w:val="13"/>
            </w:pPr>
            <w:r>
              <w:t>教育发展水平明显好转</w:t>
            </w:r>
          </w:p>
        </w:tc>
        <w:tc>
          <w:tcPr>
            <w:tcW w:w="5386" w:type="dxa"/>
            <w:vAlign w:val="center"/>
          </w:tcPr>
          <w:p w14:paraId="2FE9CF47">
            <w:pPr>
              <w:pStyle w:val="13"/>
            </w:pPr>
            <w:r>
              <w:t>学生受教育年限</w:t>
            </w:r>
          </w:p>
        </w:tc>
        <w:tc>
          <w:tcPr>
            <w:tcW w:w="2268" w:type="dxa"/>
            <w:vAlign w:val="center"/>
          </w:tcPr>
          <w:p w14:paraId="3F59F885">
            <w:pPr>
              <w:pStyle w:val="13"/>
            </w:pPr>
            <w:r>
              <w:t>3年</w:t>
            </w:r>
          </w:p>
        </w:tc>
        <w:tc>
          <w:tcPr>
            <w:tcW w:w="1276" w:type="dxa"/>
            <w:vAlign w:val="center"/>
          </w:tcPr>
          <w:p w14:paraId="26A6A343">
            <w:pPr>
              <w:pStyle w:val="13"/>
            </w:pPr>
            <w:r>
              <w:t>幼儿园生均公用经费管理办法</w:t>
            </w:r>
          </w:p>
        </w:tc>
      </w:tr>
      <w:tr w14:paraId="12AFF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3B841B">
            <w:pPr>
              <w:pStyle w:val="12"/>
            </w:pPr>
            <w:r>
              <w:t>满意度指标</w:t>
            </w:r>
          </w:p>
        </w:tc>
        <w:tc>
          <w:tcPr>
            <w:tcW w:w="2268" w:type="dxa"/>
            <w:vAlign w:val="center"/>
          </w:tcPr>
          <w:p w14:paraId="4A63C91C">
            <w:pPr>
              <w:pStyle w:val="13"/>
            </w:pPr>
            <w:r>
              <w:t>服务对象满意度指标</w:t>
            </w:r>
          </w:p>
        </w:tc>
        <w:tc>
          <w:tcPr>
            <w:tcW w:w="2835" w:type="dxa"/>
            <w:vAlign w:val="center"/>
          </w:tcPr>
          <w:p w14:paraId="7EA2B388">
            <w:pPr>
              <w:pStyle w:val="13"/>
            </w:pPr>
            <w:r>
              <w:t>受益学生家长及调查满意度</w:t>
            </w:r>
          </w:p>
        </w:tc>
        <w:tc>
          <w:tcPr>
            <w:tcW w:w="5386" w:type="dxa"/>
            <w:vAlign w:val="center"/>
          </w:tcPr>
          <w:p w14:paraId="49A2B705">
            <w:pPr>
              <w:pStyle w:val="13"/>
            </w:pPr>
            <w:r>
              <w:t>学生、教师及家长对学校保教保育工作满意度情况</w:t>
            </w:r>
          </w:p>
        </w:tc>
        <w:tc>
          <w:tcPr>
            <w:tcW w:w="2268" w:type="dxa"/>
            <w:vAlign w:val="center"/>
          </w:tcPr>
          <w:p w14:paraId="2194748A">
            <w:pPr>
              <w:pStyle w:val="13"/>
            </w:pPr>
            <w:r>
              <w:t>≥95%</w:t>
            </w:r>
          </w:p>
        </w:tc>
        <w:tc>
          <w:tcPr>
            <w:tcW w:w="1276" w:type="dxa"/>
            <w:vAlign w:val="center"/>
          </w:tcPr>
          <w:p w14:paraId="63E11C45">
            <w:pPr>
              <w:pStyle w:val="13"/>
            </w:pPr>
            <w:r>
              <w:t>调查问卷</w:t>
            </w:r>
          </w:p>
          <w:p w14:paraId="53D5D2E0">
            <w:pPr>
              <w:pStyle w:val="13"/>
            </w:pPr>
          </w:p>
        </w:tc>
      </w:tr>
    </w:tbl>
    <w:p w14:paraId="05944E1D">
      <w:pPr>
        <w:sectPr>
          <w:pgSz w:w="16840" w:h="11900" w:orient="landscape"/>
          <w:pgMar w:top="1361" w:right="1020" w:bottom="1134" w:left="1020" w:header="720" w:footer="720" w:gutter="0"/>
          <w:cols w:space="720" w:num="1"/>
        </w:sectPr>
      </w:pPr>
    </w:p>
    <w:p w14:paraId="3A79602D">
      <w:pPr>
        <w:spacing w:before="0" w:after="0"/>
        <w:ind w:firstLine="560"/>
        <w:jc w:val="left"/>
        <w:outlineLvl w:val="9"/>
      </w:pPr>
      <w:r>
        <w:rPr>
          <w:rFonts w:ascii="方正仿宋_GBK" w:hAnsi="方正仿宋_GBK" w:eastAsia="方正仿宋_GBK" w:cs="方正仿宋_GBK"/>
          <w:b/>
          <w:color w:val="000000"/>
          <w:sz w:val="28"/>
        </w:rPr>
        <w:t>183、县级资金/隆尧县金果果幼儿园公用经费绩效目标表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BC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9DB69">
            <w:pPr>
              <w:pStyle w:val="14"/>
            </w:pPr>
            <w:r>
              <w:t>单位：万元</w:t>
            </w:r>
          </w:p>
        </w:tc>
      </w:tr>
      <w:tr w14:paraId="313ED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36CB304F">
            <w:pPr>
              <w:pStyle w:val="11"/>
            </w:pPr>
            <w:r>
              <w:t>项目编码</w:t>
            </w:r>
          </w:p>
        </w:tc>
        <w:tc>
          <w:tcPr>
            <w:tcW w:w="5103" w:type="dxa"/>
            <w:gridSpan w:val="2"/>
            <w:vAlign w:val="center"/>
          </w:tcPr>
          <w:p w14:paraId="481BCBCA">
            <w:pPr>
              <w:pStyle w:val="13"/>
            </w:pPr>
            <w:r>
              <w:t>13052525P00875610068E</w:t>
            </w:r>
          </w:p>
        </w:tc>
        <w:tc>
          <w:tcPr>
            <w:tcW w:w="2835" w:type="dxa"/>
            <w:vAlign w:val="center"/>
          </w:tcPr>
          <w:p w14:paraId="4EF90834">
            <w:pPr>
              <w:pStyle w:val="11"/>
            </w:pPr>
            <w:r>
              <w:t>项目名称</w:t>
            </w:r>
          </w:p>
        </w:tc>
        <w:tc>
          <w:tcPr>
            <w:tcW w:w="6095" w:type="dxa"/>
            <w:gridSpan w:val="3"/>
            <w:vAlign w:val="center"/>
          </w:tcPr>
          <w:p w14:paraId="2614915C">
            <w:pPr>
              <w:pStyle w:val="13"/>
            </w:pPr>
            <w:r>
              <w:t>县级资金/隆尧县金果果幼儿园公用经费</w:t>
            </w:r>
          </w:p>
        </w:tc>
      </w:tr>
      <w:tr w14:paraId="518B7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87FA1">
            <w:pPr>
              <w:pStyle w:val="11"/>
            </w:pPr>
            <w:r>
              <w:t>预算规模及资金用途</w:t>
            </w:r>
          </w:p>
        </w:tc>
        <w:tc>
          <w:tcPr>
            <w:tcW w:w="2268" w:type="dxa"/>
            <w:vAlign w:val="center"/>
          </w:tcPr>
          <w:p w14:paraId="38DF4262">
            <w:pPr>
              <w:pStyle w:val="11"/>
            </w:pPr>
            <w:r>
              <w:t>预算数</w:t>
            </w:r>
          </w:p>
        </w:tc>
        <w:tc>
          <w:tcPr>
            <w:tcW w:w="2835" w:type="dxa"/>
            <w:vAlign w:val="center"/>
          </w:tcPr>
          <w:p w14:paraId="054D2D23">
            <w:pPr>
              <w:pStyle w:val="13"/>
            </w:pPr>
            <w:r>
              <w:t>5.85</w:t>
            </w:r>
          </w:p>
        </w:tc>
        <w:tc>
          <w:tcPr>
            <w:tcW w:w="2835" w:type="dxa"/>
            <w:vAlign w:val="center"/>
          </w:tcPr>
          <w:p w14:paraId="764B000F">
            <w:pPr>
              <w:pStyle w:val="11"/>
            </w:pPr>
            <w:r>
              <w:t>其中：财政    资金</w:t>
            </w:r>
          </w:p>
        </w:tc>
        <w:tc>
          <w:tcPr>
            <w:tcW w:w="2551" w:type="dxa"/>
            <w:vAlign w:val="center"/>
          </w:tcPr>
          <w:p w14:paraId="0EEA100C">
            <w:pPr>
              <w:pStyle w:val="13"/>
            </w:pPr>
            <w:r>
              <w:t>5.85</w:t>
            </w:r>
          </w:p>
        </w:tc>
        <w:tc>
          <w:tcPr>
            <w:tcW w:w="2268" w:type="dxa"/>
            <w:vAlign w:val="center"/>
          </w:tcPr>
          <w:p w14:paraId="16417CFC">
            <w:pPr>
              <w:pStyle w:val="11"/>
            </w:pPr>
            <w:r>
              <w:t>其他资金</w:t>
            </w:r>
          </w:p>
        </w:tc>
        <w:tc>
          <w:tcPr>
            <w:tcW w:w="1276" w:type="dxa"/>
            <w:vAlign w:val="center"/>
          </w:tcPr>
          <w:p w14:paraId="384AD3CC">
            <w:pPr>
              <w:pStyle w:val="13"/>
            </w:pPr>
            <w:r>
              <w:t xml:space="preserve"> </w:t>
            </w:r>
          </w:p>
        </w:tc>
      </w:tr>
      <w:tr w14:paraId="37440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2972E5"/>
        </w:tc>
        <w:tc>
          <w:tcPr>
            <w:tcW w:w="14033" w:type="dxa"/>
            <w:gridSpan w:val="6"/>
            <w:vAlign w:val="center"/>
          </w:tcPr>
          <w:p w14:paraId="0465E59D">
            <w:pPr>
              <w:pStyle w:val="13"/>
            </w:pPr>
            <w:r>
              <w:t>按季度分批次拨付安排公用经费资金，学校按照预算安排进行资金使用，保证资金正常支出。</w:t>
            </w:r>
          </w:p>
        </w:tc>
      </w:tr>
      <w:tr w14:paraId="00343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F51F4">
            <w:pPr>
              <w:pStyle w:val="11"/>
            </w:pPr>
            <w:r>
              <w:t>资金支出计划（%）</w:t>
            </w:r>
          </w:p>
        </w:tc>
        <w:tc>
          <w:tcPr>
            <w:tcW w:w="5103" w:type="dxa"/>
            <w:gridSpan w:val="2"/>
            <w:vAlign w:val="center"/>
          </w:tcPr>
          <w:p w14:paraId="2E794B9D">
            <w:pPr>
              <w:pStyle w:val="11"/>
            </w:pPr>
            <w:r>
              <w:t>3月底</w:t>
            </w:r>
          </w:p>
        </w:tc>
        <w:tc>
          <w:tcPr>
            <w:tcW w:w="2835" w:type="dxa"/>
            <w:vAlign w:val="center"/>
          </w:tcPr>
          <w:p w14:paraId="44F75BE9">
            <w:pPr>
              <w:pStyle w:val="11"/>
            </w:pPr>
            <w:r>
              <w:t>6月底</w:t>
            </w:r>
          </w:p>
        </w:tc>
        <w:tc>
          <w:tcPr>
            <w:tcW w:w="2551" w:type="dxa"/>
            <w:vAlign w:val="center"/>
          </w:tcPr>
          <w:p w14:paraId="013CE3ED">
            <w:pPr>
              <w:pStyle w:val="11"/>
            </w:pPr>
            <w:r>
              <w:t>10月底</w:t>
            </w:r>
          </w:p>
        </w:tc>
        <w:tc>
          <w:tcPr>
            <w:tcW w:w="3544" w:type="dxa"/>
            <w:gridSpan w:val="2"/>
            <w:vAlign w:val="center"/>
          </w:tcPr>
          <w:p w14:paraId="2EC585BB">
            <w:pPr>
              <w:pStyle w:val="11"/>
            </w:pPr>
            <w:r>
              <w:t>12月底</w:t>
            </w:r>
          </w:p>
        </w:tc>
      </w:tr>
      <w:tr w14:paraId="29A8E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09E3C"/>
        </w:tc>
        <w:tc>
          <w:tcPr>
            <w:tcW w:w="5103" w:type="dxa"/>
            <w:gridSpan w:val="2"/>
            <w:vAlign w:val="center"/>
          </w:tcPr>
          <w:p w14:paraId="56E491A0">
            <w:pPr>
              <w:pStyle w:val="12"/>
            </w:pPr>
            <w:r>
              <w:t xml:space="preserve"> </w:t>
            </w:r>
          </w:p>
        </w:tc>
        <w:tc>
          <w:tcPr>
            <w:tcW w:w="2835" w:type="dxa"/>
            <w:vAlign w:val="center"/>
          </w:tcPr>
          <w:p w14:paraId="78A2E411">
            <w:pPr>
              <w:pStyle w:val="12"/>
            </w:pPr>
            <w:r>
              <w:t>50%</w:t>
            </w:r>
          </w:p>
        </w:tc>
        <w:tc>
          <w:tcPr>
            <w:tcW w:w="2551" w:type="dxa"/>
            <w:vAlign w:val="center"/>
          </w:tcPr>
          <w:p w14:paraId="2B179B3C">
            <w:pPr>
              <w:pStyle w:val="12"/>
            </w:pPr>
            <w:r>
              <w:t>75%</w:t>
            </w:r>
          </w:p>
        </w:tc>
        <w:tc>
          <w:tcPr>
            <w:tcW w:w="3544" w:type="dxa"/>
            <w:gridSpan w:val="2"/>
            <w:vAlign w:val="center"/>
          </w:tcPr>
          <w:p w14:paraId="67E5E5B4">
            <w:pPr>
              <w:pStyle w:val="12"/>
            </w:pPr>
            <w:r>
              <w:t>100%</w:t>
            </w:r>
          </w:p>
        </w:tc>
      </w:tr>
      <w:tr w14:paraId="5A2EF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56C424">
            <w:pPr>
              <w:pStyle w:val="11"/>
            </w:pPr>
            <w:r>
              <w:t>绩效目标</w:t>
            </w:r>
          </w:p>
        </w:tc>
        <w:tc>
          <w:tcPr>
            <w:tcW w:w="14033" w:type="dxa"/>
            <w:gridSpan w:val="6"/>
            <w:vAlign w:val="center"/>
          </w:tcPr>
          <w:p w14:paraId="565EDF1C">
            <w:pPr>
              <w:pStyle w:val="13"/>
            </w:pPr>
            <w:r>
              <w:t>1.按季度分批次拨付安排公用经费资金，学校按照预算安排进行资金使用，保证资金正常支出。</w:t>
            </w:r>
          </w:p>
        </w:tc>
      </w:tr>
    </w:tbl>
    <w:p w14:paraId="5990E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B5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A6FD1">
            <w:pPr>
              <w:pStyle w:val="11"/>
            </w:pPr>
            <w:r>
              <w:t>一级指标</w:t>
            </w:r>
          </w:p>
        </w:tc>
        <w:tc>
          <w:tcPr>
            <w:tcW w:w="2268" w:type="dxa"/>
            <w:vAlign w:val="center"/>
          </w:tcPr>
          <w:p w14:paraId="3617CBEC">
            <w:pPr>
              <w:pStyle w:val="11"/>
            </w:pPr>
            <w:r>
              <w:t>二级指标</w:t>
            </w:r>
          </w:p>
        </w:tc>
        <w:tc>
          <w:tcPr>
            <w:tcW w:w="2835" w:type="dxa"/>
            <w:vAlign w:val="center"/>
          </w:tcPr>
          <w:p w14:paraId="76DF183D">
            <w:pPr>
              <w:pStyle w:val="11"/>
            </w:pPr>
            <w:r>
              <w:t>三级指标</w:t>
            </w:r>
          </w:p>
        </w:tc>
        <w:tc>
          <w:tcPr>
            <w:tcW w:w="5386" w:type="dxa"/>
            <w:vAlign w:val="center"/>
          </w:tcPr>
          <w:p w14:paraId="0B8C79C2">
            <w:pPr>
              <w:pStyle w:val="11"/>
            </w:pPr>
            <w:r>
              <w:t>绩效指标描述</w:t>
            </w:r>
          </w:p>
        </w:tc>
        <w:tc>
          <w:tcPr>
            <w:tcW w:w="2268" w:type="dxa"/>
            <w:vAlign w:val="center"/>
          </w:tcPr>
          <w:p w14:paraId="0B44F7D6">
            <w:pPr>
              <w:pStyle w:val="11"/>
            </w:pPr>
            <w:r>
              <w:t>指标值</w:t>
            </w:r>
          </w:p>
        </w:tc>
        <w:tc>
          <w:tcPr>
            <w:tcW w:w="1276" w:type="dxa"/>
            <w:vAlign w:val="center"/>
          </w:tcPr>
          <w:p w14:paraId="3F7BB6D9">
            <w:pPr>
              <w:pStyle w:val="11"/>
            </w:pPr>
            <w:r>
              <w:t>指标值确定依据</w:t>
            </w:r>
          </w:p>
        </w:tc>
      </w:tr>
      <w:tr w14:paraId="18508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D371F">
            <w:pPr>
              <w:pStyle w:val="12"/>
            </w:pPr>
            <w:r>
              <w:t>产出指标</w:t>
            </w:r>
          </w:p>
        </w:tc>
        <w:tc>
          <w:tcPr>
            <w:tcW w:w="2268" w:type="dxa"/>
            <w:vAlign w:val="center"/>
          </w:tcPr>
          <w:p w14:paraId="4156E3A3">
            <w:pPr>
              <w:pStyle w:val="13"/>
            </w:pPr>
            <w:r>
              <w:t>数量指标</w:t>
            </w:r>
          </w:p>
        </w:tc>
        <w:tc>
          <w:tcPr>
            <w:tcW w:w="2835" w:type="dxa"/>
            <w:vAlign w:val="center"/>
          </w:tcPr>
          <w:p w14:paraId="310572E7">
            <w:pPr>
              <w:pStyle w:val="13"/>
            </w:pPr>
            <w:r>
              <w:t>适龄在校生</w:t>
            </w:r>
          </w:p>
        </w:tc>
        <w:tc>
          <w:tcPr>
            <w:tcW w:w="5386" w:type="dxa"/>
            <w:vAlign w:val="center"/>
          </w:tcPr>
          <w:p w14:paraId="3F99DAC2">
            <w:pPr>
              <w:pStyle w:val="13"/>
            </w:pPr>
            <w:r>
              <w:t>辖区内适龄儿童全覆盖</w:t>
            </w:r>
          </w:p>
        </w:tc>
        <w:tc>
          <w:tcPr>
            <w:tcW w:w="2268" w:type="dxa"/>
            <w:vAlign w:val="center"/>
          </w:tcPr>
          <w:p w14:paraId="7F2BF705">
            <w:pPr>
              <w:pStyle w:val="13"/>
            </w:pPr>
            <w:r>
              <w:t>130人</w:t>
            </w:r>
          </w:p>
        </w:tc>
        <w:tc>
          <w:tcPr>
            <w:tcW w:w="1276" w:type="dxa"/>
            <w:vAlign w:val="center"/>
          </w:tcPr>
          <w:p w14:paraId="5E7CF65A">
            <w:pPr>
              <w:pStyle w:val="13"/>
            </w:pPr>
            <w:r>
              <w:t>幼儿园生均公用经费管理办法</w:t>
            </w:r>
          </w:p>
        </w:tc>
      </w:tr>
      <w:tr w14:paraId="1E68E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6B43F"/>
        </w:tc>
        <w:tc>
          <w:tcPr>
            <w:tcW w:w="2268" w:type="dxa"/>
            <w:vAlign w:val="center"/>
          </w:tcPr>
          <w:p w14:paraId="4406404D">
            <w:pPr>
              <w:pStyle w:val="13"/>
            </w:pPr>
            <w:r>
              <w:t>质量指标</w:t>
            </w:r>
          </w:p>
        </w:tc>
        <w:tc>
          <w:tcPr>
            <w:tcW w:w="2835" w:type="dxa"/>
            <w:vAlign w:val="center"/>
          </w:tcPr>
          <w:p w14:paraId="627A12C0">
            <w:pPr>
              <w:pStyle w:val="13"/>
            </w:pPr>
            <w:r>
              <w:t>预算控制率</w:t>
            </w:r>
          </w:p>
        </w:tc>
        <w:tc>
          <w:tcPr>
            <w:tcW w:w="5386" w:type="dxa"/>
            <w:vAlign w:val="center"/>
          </w:tcPr>
          <w:p w14:paraId="263518DD">
            <w:pPr>
              <w:pStyle w:val="13"/>
            </w:pPr>
            <w:r>
              <w:t>预算执行</w:t>
            </w:r>
          </w:p>
        </w:tc>
        <w:tc>
          <w:tcPr>
            <w:tcW w:w="2268" w:type="dxa"/>
            <w:vAlign w:val="center"/>
          </w:tcPr>
          <w:p w14:paraId="668B35D7">
            <w:pPr>
              <w:pStyle w:val="13"/>
            </w:pPr>
            <w:r>
              <w:t>≥95%</w:t>
            </w:r>
          </w:p>
        </w:tc>
        <w:tc>
          <w:tcPr>
            <w:tcW w:w="1276" w:type="dxa"/>
            <w:vAlign w:val="center"/>
          </w:tcPr>
          <w:p w14:paraId="4DBA1884">
            <w:pPr>
              <w:pStyle w:val="13"/>
            </w:pPr>
            <w:r>
              <w:t>幼儿园生均公用经费管理办法</w:t>
            </w:r>
          </w:p>
        </w:tc>
      </w:tr>
      <w:tr w14:paraId="08D3E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62F6"/>
        </w:tc>
        <w:tc>
          <w:tcPr>
            <w:tcW w:w="2268" w:type="dxa"/>
            <w:vAlign w:val="center"/>
          </w:tcPr>
          <w:p w14:paraId="7B445451">
            <w:pPr>
              <w:pStyle w:val="13"/>
            </w:pPr>
            <w:r>
              <w:t>时效指标</w:t>
            </w:r>
          </w:p>
        </w:tc>
        <w:tc>
          <w:tcPr>
            <w:tcW w:w="2835" w:type="dxa"/>
            <w:vAlign w:val="center"/>
          </w:tcPr>
          <w:p w14:paraId="1CE99F11">
            <w:pPr>
              <w:pStyle w:val="13"/>
            </w:pPr>
            <w:r>
              <w:t>资金支付率</w:t>
            </w:r>
          </w:p>
        </w:tc>
        <w:tc>
          <w:tcPr>
            <w:tcW w:w="5386" w:type="dxa"/>
            <w:vAlign w:val="center"/>
          </w:tcPr>
          <w:p w14:paraId="5F52AF1B">
            <w:pPr>
              <w:pStyle w:val="13"/>
            </w:pPr>
            <w:r>
              <w:t>按照序时进度完成资金支付</w:t>
            </w:r>
          </w:p>
        </w:tc>
        <w:tc>
          <w:tcPr>
            <w:tcW w:w="2268" w:type="dxa"/>
            <w:vAlign w:val="center"/>
          </w:tcPr>
          <w:p w14:paraId="49391DD8">
            <w:pPr>
              <w:pStyle w:val="13"/>
            </w:pPr>
            <w:r>
              <w:t>≥100%</w:t>
            </w:r>
          </w:p>
        </w:tc>
        <w:tc>
          <w:tcPr>
            <w:tcW w:w="1276" w:type="dxa"/>
            <w:vAlign w:val="center"/>
          </w:tcPr>
          <w:p w14:paraId="0CA958AC">
            <w:pPr>
              <w:pStyle w:val="13"/>
            </w:pPr>
            <w:r>
              <w:t>幼儿园生均公用经费管理办法</w:t>
            </w:r>
          </w:p>
        </w:tc>
      </w:tr>
      <w:tr w14:paraId="162A9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E261D"/>
        </w:tc>
        <w:tc>
          <w:tcPr>
            <w:tcW w:w="2268" w:type="dxa"/>
            <w:vAlign w:val="center"/>
          </w:tcPr>
          <w:p w14:paraId="06F3F13C">
            <w:pPr>
              <w:pStyle w:val="13"/>
            </w:pPr>
            <w:r>
              <w:t>成本指标</w:t>
            </w:r>
          </w:p>
        </w:tc>
        <w:tc>
          <w:tcPr>
            <w:tcW w:w="2835" w:type="dxa"/>
            <w:vAlign w:val="center"/>
          </w:tcPr>
          <w:p w14:paraId="492B15E8">
            <w:pPr>
              <w:pStyle w:val="13"/>
            </w:pPr>
            <w:r>
              <w:t>生均拨款标准</w:t>
            </w:r>
          </w:p>
        </w:tc>
        <w:tc>
          <w:tcPr>
            <w:tcW w:w="5386" w:type="dxa"/>
            <w:vAlign w:val="center"/>
          </w:tcPr>
          <w:p w14:paraId="44DE1728">
            <w:pPr>
              <w:pStyle w:val="13"/>
            </w:pPr>
            <w:r>
              <w:t>学前经费600元/生/年</w:t>
            </w:r>
          </w:p>
        </w:tc>
        <w:tc>
          <w:tcPr>
            <w:tcW w:w="2268" w:type="dxa"/>
            <w:vAlign w:val="center"/>
          </w:tcPr>
          <w:p w14:paraId="05B8958D">
            <w:pPr>
              <w:pStyle w:val="13"/>
            </w:pPr>
            <w:r>
              <w:t>600元</w:t>
            </w:r>
          </w:p>
        </w:tc>
        <w:tc>
          <w:tcPr>
            <w:tcW w:w="1276" w:type="dxa"/>
            <w:vAlign w:val="center"/>
          </w:tcPr>
          <w:p w14:paraId="642C9056">
            <w:pPr>
              <w:pStyle w:val="13"/>
            </w:pPr>
            <w:r>
              <w:t>幼儿园生均公用经费管理办法</w:t>
            </w:r>
          </w:p>
        </w:tc>
      </w:tr>
      <w:tr w14:paraId="2C959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8DAE20">
            <w:pPr>
              <w:pStyle w:val="12"/>
            </w:pPr>
            <w:r>
              <w:t>效益指标</w:t>
            </w:r>
          </w:p>
        </w:tc>
        <w:tc>
          <w:tcPr>
            <w:tcW w:w="2268" w:type="dxa"/>
            <w:vAlign w:val="center"/>
          </w:tcPr>
          <w:p w14:paraId="4A36E926">
            <w:pPr>
              <w:pStyle w:val="13"/>
            </w:pPr>
            <w:r>
              <w:t>可持续影响指标</w:t>
            </w:r>
          </w:p>
        </w:tc>
        <w:tc>
          <w:tcPr>
            <w:tcW w:w="2835" w:type="dxa"/>
            <w:vAlign w:val="center"/>
          </w:tcPr>
          <w:p w14:paraId="06C18BC9">
            <w:pPr>
              <w:pStyle w:val="13"/>
            </w:pPr>
            <w:r>
              <w:t>教育发展水平明显好转</w:t>
            </w:r>
          </w:p>
        </w:tc>
        <w:tc>
          <w:tcPr>
            <w:tcW w:w="5386" w:type="dxa"/>
            <w:vAlign w:val="center"/>
          </w:tcPr>
          <w:p w14:paraId="7583189A">
            <w:pPr>
              <w:pStyle w:val="13"/>
            </w:pPr>
            <w:r>
              <w:t>学生受教育年限</w:t>
            </w:r>
          </w:p>
        </w:tc>
        <w:tc>
          <w:tcPr>
            <w:tcW w:w="2268" w:type="dxa"/>
            <w:vAlign w:val="center"/>
          </w:tcPr>
          <w:p w14:paraId="39196846">
            <w:pPr>
              <w:pStyle w:val="13"/>
            </w:pPr>
            <w:r>
              <w:t>3年</w:t>
            </w:r>
          </w:p>
        </w:tc>
        <w:tc>
          <w:tcPr>
            <w:tcW w:w="1276" w:type="dxa"/>
            <w:vAlign w:val="center"/>
          </w:tcPr>
          <w:p w14:paraId="1599F639">
            <w:pPr>
              <w:pStyle w:val="13"/>
            </w:pPr>
            <w:r>
              <w:t>幼儿园生均公用经费管理办法</w:t>
            </w:r>
          </w:p>
        </w:tc>
      </w:tr>
      <w:tr w14:paraId="20CEA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9B078D">
            <w:pPr>
              <w:pStyle w:val="12"/>
            </w:pPr>
            <w:r>
              <w:t>满意度指标</w:t>
            </w:r>
          </w:p>
        </w:tc>
        <w:tc>
          <w:tcPr>
            <w:tcW w:w="2268" w:type="dxa"/>
            <w:vAlign w:val="center"/>
          </w:tcPr>
          <w:p w14:paraId="04BEA3AD">
            <w:pPr>
              <w:pStyle w:val="13"/>
            </w:pPr>
            <w:r>
              <w:t>服务对象满意度指标</w:t>
            </w:r>
          </w:p>
        </w:tc>
        <w:tc>
          <w:tcPr>
            <w:tcW w:w="2835" w:type="dxa"/>
            <w:vAlign w:val="center"/>
          </w:tcPr>
          <w:p w14:paraId="349A536F">
            <w:pPr>
              <w:pStyle w:val="13"/>
            </w:pPr>
            <w:r>
              <w:t>受益学生家长及调查满意度</w:t>
            </w:r>
          </w:p>
        </w:tc>
        <w:tc>
          <w:tcPr>
            <w:tcW w:w="5386" w:type="dxa"/>
            <w:vAlign w:val="center"/>
          </w:tcPr>
          <w:p w14:paraId="1FC383CC">
            <w:pPr>
              <w:pStyle w:val="13"/>
            </w:pPr>
            <w:r>
              <w:t>学生、教师及家长对学校保教保育工作满意度情况</w:t>
            </w:r>
          </w:p>
        </w:tc>
        <w:tc>
          <w:tcPr>
            <w:tcW w:w="2268" w:type="dxa"/>
            <w:vAlign w:val="center"/>
          </w:tcPr>
          <w:p w14:paraId="21C93C76">
            <w:pPr>
              <w:pStyle w:val="13"/>
            </w:pPr>
            <w:r>
              <w:t>≥95%</w:t>
            </w:r>
          </w:p>
        </w:tc>
        <w:tc>
          <w:tcPr>
            <w:tcW w:w="1276" w:type="dxa"/>
            <w:vAlign w:val="center"/>
          </w:tcPr>
          <w:p w14:paraId="29464EEC">
            <w:pPr>
              <w:pStyle w:val="13"/>
            </w:pPr>
            <w:r>
              <w:t>调查问卷</w:t>
            </w:r>
          </w:p>
        </w:tc>
      </w:tr>
    </w:tbl>
    <w:p w14:paraId="26CA6A20">
      <w:pPr>
        <w:sectPr>
          <w:pgSz w:w="16840" w:h="11900" w:orient="landscape"/>
          <w:pgMar w:top="1361" w:right="1020" w:bottom="1134" w:left="1020" w:header="720" w:footer="720" w:gutter="0"/>
          <w:cols w:space="720" w:num="1"/>
        </w:sectPr>
      </w:pPr>
    </w:p>
    <w:p w14:paraId="1026A89B">
      <w:pPr>
        <w:spacing w:before="0" w:after="0"/>
        <w:ind w:firstLine="560"/>
        <w:jc w:val="left"/>
        <w:outlineLvl w:val="9"/>
      </w:pPr>
      <w:r>
        <w:rPr>
          <w:rFonts w:ascii="方正仿宋_GBK" w:hAnsi="方正仿宋_GBK" w:eastAsia="方正仿宋_GBK" w:cs="方正仿宋_GBK"/>
          <w:b/>
          <w:color w:val="000000"/>
          <w:sz w:val="28"/>
        </w:rPr>
        <w:t>184、县级资金/隆尧县金色摇篮幼儿园公用经费绩效目标表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97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B36D8">
            <w:pPr>
              <w:pStyle w:val="14"/>
            </w:pPr>
            <w:r>
              <w:t>单位：万元</w:t>
            </w:r>
          </w:p>
        </w:tc>
      </w:tr>
      <w:tr w14:paraId="71D15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54286CDC">
            <w:pPr>
              <w:pStyle w:val="11"/>
            </w:pPr>
            <w:r>
              <w:t>项目编码</w:t>
            </w:r>
          </w:p>
        </w:tc>
        <w:tc>
          <w:tcPr>
            <w:tcW w:w="5103" w:type="dxa"/>
            <w:gridSpan w:val="2"/>
            <w:vAlign w:val="center"/>
          </w:tcPr>
          <w:p w14:paraId="675BC823">
            <w:pPr>
              <w:pStyle w:val="13"/>
            </w:pPr>
            <w:r>
              <w:t>13052525P008756100519</w:t>
            </w:r>
          </w:p>
        </w:tc>
        <w:tc>
          <w:tcPr>
            <w:tcW w:w="2835" w:type="dxa"/>
            <w:vAlign w:val="center"/>
          </w:tcPr>
          <w:p w14:paraId="01C33A99">
            <w:pPr>
              <w:pStyle w:val="11"/>
            </w:pPr>
            <w:r>
              <w:t>项目名称</w:t>
            </w:r>
          </w:p>
        </w:tc>
        <w:tc>
          <w:tcPr>
            <w:tcW w:w="6095" w:type="dxa"/>
            <w:gridSpan w:val="3"/>
            <w:vAlign w:val="center"/>
          </w:tcPr>
          <w:p w14:paraId="3920270D">
            <w:pPr>
              <w:pStyle w:val="13"/>
            </w:pPr>
            <w:r>
              <w:t>县级资金/隆尧县金色摇篮幼儿园公用经费</w:t>
            </w:r>
          </w:p>
        </w:tc>
      </w:tr>
      <w:tr w14:paraId="60C0F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08486">
            <w:pPr>
              <w:pStyle w:val="11"/>
            </w:pPr>
            <w:r>
              <w:t>预算规模及资金用途</w:t>
            </w:r>
          </w:p>
        </w:tc>
        <w:tc>
          <w:tcPr>
            <w:tcW w:w="2268" w:type="dxa"/>
            <w:vAlign w:val="center"/>
          </w:tcPr>
          <w:p w14:paraId="1C52FD50">
            <w:pPr>
              <w:pStyle w:val="11"/>
            </w:pPr>
            <w:r>
              <w:t>预算数</w:t>
            </w:r>
          </w:p>
        </w:tc>
        <w:tc>
          <w:tcPr>
            <w:tcW w:w="2835" w:type="dxa"/>
            <w:vAlign w:val="center"/>
          </w:tcPr>
          <w:p w14:paraId="7B8DFE24">
            <w:pPr>
              <w:pStyle w:val="13"/>
            </w:pPr>
            <w:r>
              <w:t>3.42</w:t>
            </w:r>
          </w:p>
        </w:tc>
        <w:tc>
          <w:tcPr>
            <w:tcW w:w="2835" w:type="dxa"/>
            <w:vAlign w:val="center"/>
          </w:tcPr>
          <w:p w14:paraId="5137A9D9">
            <w:pPr>
              <w:pStyle w:val="11"/>
            </w:pPr>
            <w:r>
              <w:t>其中：财政    资金</w:t>
            </w:r>
          </w:p>
        </w:tc>
        <w:tc>
          <w:tcPr>
            <w:tcW w:w="2551" w:type="dxa"/>
            <w:vAlign w:val="center"/>
          </w:tcPr>
          <w:p w14:paraId="4DE8ECD1">
            <w:pPr>
              <w:pStyle w:val="13"/>
            </w:pPr>
            <w:r>
              <w:t>3.42</w:t>
            </w:r>
          </w:p>
        </w:tc>
        <w:tc>
          <w:tcPr>
            <w:tcW w:w="2268" w:type="dxa"/>
            <w:vAlign w:val="center"/>
          </w:tcPr>
          <w:p w14:paraId="31F69274">
            <w:pPr>
              <w:pStyle w:val="11"/>
            </w:pPr>
            <w:r>
              <w:t>其他资金</w:t>
            </w:r>
          </w:p>
        </w:tc>
        <w:tc>
          <w:tcPr>
            <w:tcW w:w="1276" w:type="dxa"/>
            <w:vAlign w:val="center"/>
          </w:tcPr>
          <w:p w14:paraId="287DF657">
            <w:pPr>
              <w:pStyle w:val="13"/>
            </w:pPr>
            <w:r>
              <w:t xml:space="preserve"> </w:t>
            </w:r>
          </w:p>
        </w:tc>
      </w:tr>
      <w:tr w14:paraId="7FE14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6C6B19"/>
        </w:tc>
        <w:tc>
          <w:tcPr>
            <w:tcW w:w="14033" w:type="dxa"/>
            <w:gridSpan w:val="6"/>
            <w:vAlign w:val="center"/>
          </w:tcPr>
          <w:p w14:paraId="426EC75F">
            <w:pPr>
              <w:pStyle w:val="13"/>
            </w:pPr>
            <w:r>
              <w:t>按季度分批次拨付安排公用经费资金，学校按照预算安排进行资金使用，保证资金正常支出。</w:t>
            </w:r>
          </w:p>
        </w:tc>
      </w:tr>
      <w:tr w14:paraId="78CA3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5C398">
            <w:pPr>
              <w:pStyle w:val="11"/>
            </w:pPr>
            <w:r>
              <w:t>资金支出计划（%）</w:t>
            </w:r>
          </w:p>
        </w:tc>
        <w:tc>
          <w:tcPr>
            <w:tcW w:w="5103" w:type="dxa"/>
            <w:gridSpan w:val="2"/>
            <w:vAlign w:val="center"/>
          </w:tcPr>
          <w:p w14:paraId="7C831FB4">
            <w:pPr>
              <w:pStyle w:val="11"/>
            </w:pPr>
            <w:r>
              <w:t>3月底</w:t>
            </w:r>
          </w:p>
        </w:tc>
        <w:tc>
          <w:tcPr>
            <w:tcW w:w="2835" w:type="dxa"/>
            <w:vAlign w:val="center"/>
          </w:tcPr>
          <w:p w14:paraId="78375DD8">
            <w:pPr>
              <w:pStyle w:val="11"/>
            </w:pPr>
            <w:r>
              <w:t>6月底</w:t>
            </w:r>
          </w:p>
        </w:tc>
        <w:tc>
          <w:tcPr>
            <w:tcW w:w="2551" w:type="dxa"/>
            <w:vAlign w:val="center"/>
          </w:tcPr>
          <w:p w14:paraId="14D9ABAE">
            <w:pPr>
              <w:pStyle w:val="11"/>
            </w:pPr>
            <w:r>
              <w:t>10月底</w:t>
            </w:r>
          </w:p>
        </w:tc>
        <w:tc>
          <w:tcPr>
            <w:tcW w:w="3544" w:type="dxa"/>
            <w:gridSpan w:val="2"/>
            <w:vAlign w:val="center"/>
          </w:tcPr>
          <w:p w14:paraId="1759056C">
            <w:pPr>
              <w:pStyle w:val="11"/>
            </w:pPr>
            <w:r>
              <w:t>12月底</w:t>
            </w:r>
          </w:p>
        </w:tc>
      </w:tr>
      <w:tr w14:paraId="0F132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1BF1B"/>
        </w:tc>
        <w:tc>
          <w:tcPr>
            <w:tcW w:w="5103" w:type="dxa"/>
            <w:gridSpan w:val="2"/>
            <w:vAlign w:val="center"/>
          </w:tcPr>
          <w:p w14:paraId="72DB9C6E">
            <w:pPr>
              <w:pStyle w:val="12"/>
            </w:pPr>
            <w:r>
              <w:t xml:space="preserve"> </w:t>
            </w:r>
          </w:p>
        </w:tc>
        <w:tc>
          <w:tcPr>
            <w:tcW w:w="2835" w:type="dxa"/>
            <w:vAlign w:val="center"/>
          </w:tcPr>
          <w:p w14:paraId="2BE133C0">
            <w:pPr>
              <w:pStyle w:val="12"/>
            </w:pPr>
            <w:r>
              <w:t>50%</w:t>
            </w:r>
          </w:p>
        </w:tc>
        <w:tc>
          <w:tcPr>
            <w:tcW w:w="2551" w:type="dxa"/>
            <w:vAlign w:val="center"/>
          </w:tcPr>
          <w:p w14:paraId="76DAC852">
            <w:pPr>
              <w:pStyle w:val="12"/>
            </w:pPr>
            <w:r>
              <w:t>75%</w:t>
            </w:r>
          </w:p>
        </w:tc>
        <w:tc>
          <w:tcPr>
            <w:tcW w:w="3544" w:type="dxa"/>
            <w:gridSpan w:val="2"/>
            <w:vAlign w:val="center"/>
          </w:tcPr>
          <w:p w14:paraId="6EDF8D2C">
            <w:pPr>
              <w:pStyle w:val="12"/>
            </w:pPr>
            <w:r>
              <w:t>100%</w:t>
            </w:r>
          </w:p>
        </w:tc>
      </w:tr>
      <w:tr w14:paraId="7D079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86B66">
            <w:pPr>
              <w:pStyle w:val="11"/>
            </w:pPr>
            <w:r>
              <w:t>绩效目标</w:t>
            </w:r>
          </w:p>
        </w:tc>
        <w:tc>
          <w:tcPr>
            <w:tcW w:w="14033" w:type="dxa"/>
            <w:gridSpan w:val="6"/>
            <w:vAlign w:val="center"/>
          </w:tcPr>
          <w:p w14:paraId="7318372F">
            <w:pPr>
              <w:pStyle w:val="13"/>
            </w:pPr>
            <w:r>
              <w:t>1.按季度分批次拨付安排公用经费资金，学校按照预算安排进行资金使用，保证资金正常支出。</w:t>
            </w:r>
          </w:p>
        </w:tc>
      </w:tr>
    </w:tbl>
    <w:p w14:paraId="5C7D27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76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466DF">
            <w:pPr>
              <w:pStyle w:val="11"/>
            </w:pPr>
            <w:r>
              <w:t>一级指标</w:t>
            </w:r>
          </w:p>
        </w:tc>
        <w:tc>
          <w:tcPr>
            <w:tcW w:w="2268" w:type="dxa"/>
            <w:vAlign w:val="center"/>
          </w:tcPr>
          <w:p w14:paraId="47A5E1F2">
            <w:pPr>
              <w:pStyle w:val="11"/>
            </w:pPr>
            <w:r>
              <w:t>二级指标</w:t>
            </w:r>
          </w:p>
        </w:tc>
        <w:tc>
          <w:tcPr>
            <w:tcW w:w="2835" w:type="dxa"/>
            <w:vAlign w:val="center"/>
          </w:tcPr>
          <w:p w14:paraId="2CDFDA60">
            <w:pPr>
              <w:pStyle w:val="11"/>
            </w:pPr>
            <w:r>
              <w:t>三级指标</w:t>
            </w:r>
          </w:p>
        </w:tc>
        <w:tc>
          <w:tcPr>
            <w:tcW w:w="5386" w:type="dxa"/>
            <w:vAlign w:val="center"/>
          </w:tcPr>
          <w:p w14:paraId="4F176FD4">
            <w:pPr>
              <w:pStyle w:val="11"/>
            </w:pPr>
            <w:r>
              <w:t>绩效指标描述</w:t>
            </w:r>
          </w:p>
        </w:tc>
        <w:tc>
          <w:tcPr>
            <w:tcW w:w="2268" w:type="dxa"/>
            <w:vAlign w:val="center"/>
          </w:tcPr>
          <w:p w14:paraId="622BF8BA">
            <w:pPr>
              <w:pStyle w:val="11"/>
            </w:pPr>
            <w:r>
              <w:t>指标值</w:t>
            </w:r>
          </w:p>
        </w:tc>
        <w:tc>
          <w:tcPr>
            <w:tcW w:w="1276" w:type="dxa"/>
            <w:vAlign w:val="center"/>
          </w:tcPr>
          <w:p w14:paraId="26531AF7">
            <w:pPr>
              <w:pStyle w:val="11"/>
            </w:pPr>
            <w:r>
              <w:t>指标值确定依据</w:t>
            </w:r>
          </w:p>
        </w:tc>
      </w:tr>
      <w:tr w14:paraId="314C6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436EE">
            <w:pPr>
              <w:pStyle w:val="12"/>
            </w:pPr>
            <w:r>
              <w:t>产出指标</w:t>
            </w:r>
          </w:p>
        </w:tc>
        <w:tc>
          <w:tcPr>
            <w:tcW w:w="2268" w:type="dxa"/>
            <w:vAlign w:val="center"/>
          </w:tcPr>
          <w:p w14:paraId="3475A79A">
            <w:pPr>
              <w:pStyle w:val="13"/>
            </w:pPr>
            <w:r>
              <w:t>数量指标</w:t>
            </w:r>
          </w:p>
        </w:tc>
        <w:tc>
          <w:tcPr>
            <w:tcW w:w="2835" w:type="dxa"/>
            <w:vAlign w:val="center"/>
          </w:tcPr>
          <w:p w14:paraId="5B6046C9">
            <w:pPr>
              <w:pStyle w:val="13"/>
            </w:pPr>
            <w:r>
              <w:t>适龄在校生</w:t>
            </w:r>
          </w:p>
        </w:tc>
        <w:tc>
          <w:tcPr>
            <w:tcW w:w="5386" w:type="dxa"/>
            <w:vAlign w:val="center"/>
          </w:tcPr>
          <w:p w14:paraId="36F36635">
            <w:pPr>
              <w:pStyle w:val="13"/>
            </w:pPr>
            <w:r>
              <w:t>辖区内适龄儿童全覆盖</w:t>
            </w:r>
          </w:p>
        </w:tc>
        <w:tc>
          <w:tcPr>
            <w:tcW w:w="2268" w:type="dxa"/>
            <w:vAlign w:val="center"/>
          </w:tcPr>
          <w:p w14:paraId="2AA88523">
            <w:pPr>
              <w:pStyle w:val="13"/>
            </w:pPr>
            <w:r>
              <w:t>76人</w:t>
            </w:r>
          </w:p>
        </w:tc>
        <w:tc>
          <w:tcPr>
            <w:tcW w:w="1276" w:type="dxa"/>
            <w:vAlign w:val="center"/>
          </w:tcPr>
          <w:p w14:paraId="5E361998">
            <w:pPr>
              <w:pStyle w:val="13"/>
            </w:pPr>
            <w:r>
              <w:t>幼儿园生均公用经费管理办法</w:t>
            </w:r>
          </w:p>
        </w:tc>
      </w:tr>
      <w:tr w14:paraId="6BA30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54399"/>
        </w:tc>
        <w:tc>
          <w:tcPr>
            <w:tcW w:w="2268" w:type="dxa"/>
            <w:vAlign w:val="center"/>
          </w:tcPr>
          <w:p w14:paraId="61CBA7D2">
            <w:pPr>
              <w:pStyle w:val="13"/>
            </w:pPr>
            <w:r>
              <w:t>质量指标</w:t>
            </w:r>
          </w:p>
        </w:tc>
        <w:tc>
          <w:tcPr>
            <w:tcW w:w="2835" w:type="dxa"/>
            <w:vAlign w:val="center"/>
          </w:tcPr>
          <w:p w14:paraId="599ECF09">
            <w:pPr>
              <w:pStyle w:val="13"/>
            </w:pPr>
            <w:r>
              <w:t>预算控制率</w:t>
            </w:r>
          </w:p>
        </w:tc>
        <w:tc>
          <w:tcPr>
            <w:tcW w:w="5386" w:type="dxa"/>
            <w:vAlign w:val="center"/>
          </w:tcPr>
          <w:p w14:paraId="43273ACC">
            <w:pPr>
              <w:pStyle w:val="13"/>
            </w:pPr>
            <w:r>
              <w:t>预算执行</w:t>
            </w:r>
          </w:p>
        </w:tc>
        <w:tc>
          <w:tcPr>
            <w:tcW w:w="2268" w:type="dxa"/>
            <w:vAlign w:val="center"/>
          </w:tcPr>
          <w:p w14:paraId="0C3986B6">
            <w:pPr>
              <w:pStyle w:val="13"/>
            </w:pPr>
            <w:r>
              <w:t>≥95%</w:t>
            </w:r>
          </w:p>
        </w:tc>
        <w:tc>
          <w:tcPr>
            <w:tcW w:w="1276" w:type="dxa"/>
            <w:vAlign w:val="center"/>
          </w:tcPr>
          <w:p w14:paraId="48BB7CF4">
            <w:pPr>
              <w:pStyle w:val="13"/>
            </w:pPr>
            <w:r>
              <w:t>幼儿园生均公用经费管理办法</w:t>
            </w:r>
          </w:p>
        </w:tc>
      </w:tr>
      <w:tr w14:paraId="01E28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7A833"/>
        </w:tc>
        <w:tc>
          <w:tcPr>
            <w:tcW w:w="2268" w:type="dxa"/>
            <w:vAlign w:val="center"/>
          </w:tcPr>
          <w:p w14:paraId="5D8E3F79">
            <w:pPr>
              <w:pStyle w:val="13"/>
            </w:pPr>
            <w:r>
              <w:t>时效指标</w:t>
            </w:r>
          </w:p>
        </w:tc>
        <w:tc>
          <w:tcPr>
            <w:tcW w:w="2835" w:type="dxa"/>
            <w:vAlign w:val="center"/>
          </w:tcPr>
          <w:p w14:paraId="682F62CE">
            <w:pPr>
              <w:pStyle w:val="13"/>
            </w:pPr>
            <w:r>
              <w:t>资金支付率</w:t>
            </w:r>
          </w:p>
        </w:tc>
        <w:tc>
          <w:tcPr>
            <w:tcW w:w="5386" w:type="dxa"/>
            <w:vAlign w:val="center"/>
          </w:tcPr>
          <w:p w14:paraId="7506F0E3">
            <w:pPr>
              <w:pStyle w:val="13"/>
            </w:pPr>
            <w:r>
              <w:t>按照序时进度完成资金支付</w:t>
            </w:r>
          </w:p>
        </w:tc>
        <w:tc>
          <w:tcPr>
            <w:tcW w:w="2268" w:type="dxa"/>
            <w:vAlign w:val="center"/>
          </w:tcPr>
          <w:p w14:paraId="5C921910">
            <w:pPr>
              <w:pStyle w:val="13"/>
            </w:pPr>
            <w:r>
              <w:t>≥100%</w:t>
            </w:r>
          </w:p>
        </w:tc>
        <w:tc>
          <w:tcPr>
            <w:tcW w:w="1276" w:type="dxa"/>
            <w:vAlign w:val="center"/>
          </w:tcPr>
          <w:p w14:paraId="24C8D117">
            <w:pPr>
              <w:pStyle w:val="13"/>
            </w:pPr>
            <w:r>
              <w:t>幼儿园生均公用经费管理办法</w:t>
            </w:r>
          </w:p>
        </w:tc>
      </w:tr>
      <w:tr w14:paraId="33A46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9C5AA"/>
        </w:tc>
        <w:tc>
          <w:tcPr>
            <w:tcW w:w="2268" w:type="dxa"/>
            <w:vAlign w:val="center"/>
          </w:tcPr>
          <w:p w14:paraId="59347B54">
            <w:pPr>
              <w:pStyle w:val="13"/>
            </w:pPr>
            <w:r>
              <w:t>成本指标</w:t>
            </w:r>
          </w:p>
        </w:tc>
        <w:tc>
          <w:tcPr>
            <w:tcW w:w="2835" w:type="dxa"/>
            <w:vAlign w:val="center"/>
          </w:tcPr>
          <w:p w14:paraId="26C8A184">
            <w:pPr>
              <w:pStyle w:val="13"/>
            </w:pPr>
            <w:r>
              <w:t>生均拨款标准</w:t>
            </w:r>
          </w:p>
        </w:tc>
        <w:tc>
          <w:tcPr>
            <w:tcW w:w="5386" w:type="dxa"/>
            <w:vAlign w:val="center"/>
          </w:tcPr>
          <w:p w14:paraId="26FCF3E9">
            <w:pPr>
              <w:pStyle w:val="13"/>
            </w:pPr>
            <w:r>
              <w:t>学前经费600元/生/年</w:t>
            </w:r>
          </w:p>
        </w:tc>
        <w:tc>
          <w:tcPr>
            <w:tcW w:w="2268" w:type="dxa"/>
            <w:vAlign w:val="center"/>
          </w:tcPr>
          <w:p w14:paraId="0D63AF72">
            <w:pPr>
              <w:pStyle w:val="13"/>
            </w:pPr>
            <w:r>
              <w:t>600元</w:t>
            </w:r>
          </w:p>
        </w:tc>
        <w:tc>
          <w:tcPr>
            <w:tcW w:w="1276" w:type="dxa"/>
            <w:vAlign w:val="center"/>
          </w:tcPr>
          <w:p w14:paraId="4FC91E00">
            <w:pPr>
              <w:pStyle w:val="13"/>
            </w:pPr>
            <w:r>
              <w:t>幼儿园生均公用经费管理办法</w:t>
            </w:r>
          </w:p>
        </w:tc>
      </w:tr>
      <w:tr w14:paraId="1E96F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16080">
            <w:pPr>
              <w:pStyle w:val="12"/>
            </w:pPr>
            <w:r>
              <w:t>效益指标</w:t>
            </w:r>
          </w:p>
        </w:tc>
        <w:tc>
          <w:tcPr>
            <w:tcW w:w="2268" w:type="dxa"/>
            <w:vAlign w:val="center"/>
          </w:tcPr>
          <w:p w14:paraId="23822EA3">
            <w:pPr>
              <w:pStyle w:val="13"/>
            </w:pPr>
            <w:r>
              <w:t>可持续影响指标</w:t>
            </w:r>
          </w:p>
        </w:tc>
        <w:tc>
          <w:tcPr>
            <w:tcW w:w="2835" w:type="dxa"/>
            <w:vAlign w:val="center"/>
          </w:tcPr>
          <w:p w14:paraId="7DE693D1">
            <w:pPr>
              <w:pStyle w:val="13"/>
            </w:pPr>
            <w:r>
              <w:t>教育发展水平明显好转</w:t>
            </w:r>
          </w:p>
        </w:tc>
        <w:tc>
          <w:tcPr>
            <w:tcW w:w="5386" w:type="dxa"/>
            <w:vAlign w:val="center"/>
          </w:tcPr>
          <w:p w14:paraId="56F825CA">
            <w:pPr>
              <w:pStyle w:val="13"/>
            </w:pPr>
            <w:r>
              <w:t>学生受教育年限</w:t>
            </w:r>
          </w:p>
        </w:tc>
        <w:tc>
          <w:tcPr>
            <w:tcW w:w="2268" w:type="dxa"/>
            <w:vAlign w:val="center"/>
          </w:tcPr>
          <w:p w14:paraId="3000DC55">
            <w:pPr>
              <w:pStyle w:val="13"/>
            </w:pPr>
            <w:r>
              <w:t>3年</w:t>
            </w:r>
          </w:p>
        </w:tc>
        <w:tc>
          <w:tcPr>
            <w:tcW w:w="1276" w:type="dxa"/>
            <w:vAlign w:val="center"/>
          </w:tcPr>
          <w:p w14:paraId="7911ADF6">
            <w:pPr>
              <w:pStyle w:val="13"/>
            </w:pPr>
            <w:r>
              <w:t>幼儿园生均公用经费管理办法</w:t>
            </w:r>
          </w:p>
        </w:tc>
      </w:tr>
      <w:tr w14:paraId="43E51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D9DA3">
            <w:pPr>
              <w:pStyle w:val="12"/>
            </w:pPr>
            <w:r>
              <w:t>满意度指标</w:t>
            </w:r>
          </w:p>
        </w:tc>
        <w:tc>
          <w:tcPr>
            <w:tcW w:w="2268" w:type="dxa"/>
            <w:vAlign w:val="center"/>
          </w:tcPr>
          <w:p w14:paraId="0A7BD78F">
            <w:pPr>
              <w:pStyle w:val="13"/>
            </w:pPr>
            <w:r>
              <w:t>服务对象满意度指标</w:t>
            </w:r>
          </w:p>
        </w:tc>
        <w:tc>
          <w:tcPr>
            <w:tcW w:w="2835" w:type="dxa"/>
            <w:vAlign w:val="center"/>
          </w:tcPr>
          <w:p w14:paraId="5EEF31C6">
            <w:pPr>
              <w:pStyle w:val="13"/>
            </w:pPr>
            <w:r>
              <w:t>受益学生家长及调查满意度</w:t>
            </w:r>
          </w:p>
        </w:tc>
        <w:tc>
          <w:tcPr>
            <w:tcW w:w="5386" w:type="dxa"/>
            <w:vAlign w:val="center"/>
          </w:tcPr>
          <w:p w14:paraId="29D45B1C">
            <w:pPr>
              <w:pStyle w:val="13"/>
            </w:pPr>
            <w:r>
              <w:t>学生、教师及家长对学校保教保育工作满意度情况</w:t>
            </w:r>
          </w:p>
        </w:tc>
        <w:tc>
          <w:tcPr>
            <w:tcW w:w="2268" w:type="dxa"/>
            <w:vAlign w:val="center"/>
          </w:tcPr>
          <w:p w14:paraId="35B61C2E">
            <w:pPr>
              <w:pStyle w:val="13"/>
            </w:pPr>
            <w:r>
              <w:t>≥95%</w:t>
            </w:r>
          </w:p>
        </w:tc>
        <w:tc>
          <w:tcPr>
            <w:tcW w:w="1276" w:type="dxa"/>
            <w:vAlign w:val="center"/>
          </w:tcPr>
          <w:p w14:paraId="42AC679A">
            <w:pPr>
              <w:pStyle w:val="13"/>
            </w:pPr>
            <w:r>
              <w:t>调查问卷</w:t>
            </w:r>
          </w:p>
        </w:tc>
      </w:tr>
    </w:tbl>
    <w:p w14:paraId="31739286">
      <w:pPr>
        <w:sectPr>
          <w:pgSz w:w="16840" w:h="11900" w:orient="landscape"/>
          <w:pgMar w:top="1361" w:right="1020" w:bottom="1134" w:left="1020" w:header="720" w:footer="720" w:gutter="0"/>
          <w:cols w:space="720" w:num="1"/>
        </w:sectPr>
      </w:pPr>
    </w:p>
    <w:p w14:paraId="1CB91BAD">
      <w:pPr>
        <w:spacing w:before="0" w:after="0"/>
        <w:ind w:firstLine="560"/>
        <w:jc w:val="left"/>
        <w:outlineLvl w:val="9"/>
      </w:pPr>
      <w:r>
        <w:rPr>
          <w:rFonts w:ascii="方正仿宋_GBK" w:hAnsi="方正仿宋_GBK" w:eastAsia="方正仿宋_GBK" w:cs="方正仿宋_GBK"/>
          <w:b/>
          <w:color w:val="000000"/>
          <w:sz w:val="28"/>
        </w:rPr>
        <w:t>185、县级资金/隆尧县锦观城星光幼儿园公用经费绩效目标表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41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EDC86">
            <w:pPr>
              <w:pStyle w:val="14"/>
            </w:pPr>
            <w:r>
              <w:t>单位：万元</w:t>
            </w:r>
          </w:p>
        </w:tc>
      </w:tr>
      <w:tr w14:paraId="1A0A2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81DC1">
            <w:pPr>
              <w:pStyle w:val="11"/>
            </w:pPr>
            <w:r>
              <w:t>项目编码</w:t>
            </w:r>
          </w:p>
        </w:tc>
        <w:tc>
          <w:tcPr>
            <w:tcW w:w="5103" w:type="dxa"/>
            <w:gridSpan w:val="2"/>
            <w:vAlign w:val="center"/>
          </w:tcPr>
          <w:p w14:paraId="7C79F2C7">
            <w:pPr>
              <w:pStyle w:val="13"/>
            </w:pPr>
            <w:r>
              <w:t>13052525P008756100473</w:t>
            </w:r>
          </w:p>
        </w:tc>
        <w:tc>
          <w:tcPr>
            <w:tcW w:w="2835" w:type="dxa"/>
            <w:vAlign w:val="center"/>
          </w:tcPr>
          <w:p w14:paraId="6A76F8D5">
            <w:pPr>
              <w:pStyle w:val="11"/>
            </w:pPr>
            <w:r>
              <w:t>项目名称</w:t>
            </w:r>
          </w:p>
        </w:tc>
        <w:tc>
          <w:tcPr>
            <w:tcW w:w="6095" w:type="dxa"/>
            <w:gridSpan w:val="3"/>
            <w:vAlign w:val="center"/>
          </w:tcPr>
          <w:p w14:paraId="04689DE9">
            <w:pPr>
              <w:pStyle w:val="13"/>
            </w:pPr>
            <w:r>
              <w:t>县级资金/隆尧县锦观城星光幼儿园公用经费</w:t>
            </w:r>
          </w:p>
        </w:tc>
      </w:tr>
      <w:tr w14:paraId="5E7F6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E8738">
            <w:pPr>
              <w:pStyle w:val="11"/>
            </w:pPr>
            <w:r>
              <w:t>预算规模及资金用途</w:t>
            </w:r>
          </w:p>
        </w:tc>
        <w:tc>
          <w:tcPr>
            <w:tcW w:w="2268" w:type="dxa"/>
            <w:vAlign w:val="center"/>
          </w:tcPr>
          <w:p w14:paraId="1E23BAFF">
            <w:pPr>
              <w:pStyle w:val="11"/>
            </w:pPr>
            <w:r>
              <w:t>预算数</w:t>
            </w:r>
          </w:p>
        </w:tc>
        <w:tc>
          <w:tcPr>
            <w:tcW w:w="2835" w:type="dxa"/>
            <w:vAlign w:val="center"/>
          </w:tcPr>
          <w:p w14:paraId="0039ADE0">
            <w:pPr>
              <w:pStyle w:val="13"/>
            </w:pPr>
            <w:r>
              <w:t>4.59</w:t>
            </w:r>
          </w:p>
        </w:tc>
        <w:tc>
          <w:tcPr>
            <w:tcW w:w="2835" w:type="dxa"/>
            <w:vAlign w:val="center"/>
          </w:tcPr>
          <w:p w14:paraId="5AFE02BE">
            <w:pPr>
              <w:pStyle w:val="11"/>
            </w:pPr>
            <w:r>
              <w:t>其中：财政    资金</w:t>
            </w:r>
          </w:p>
        </w:tc>
        <w:tc>
          <w:tcPr>
            <w:tcW w:w="2551" w:type="dxa"/>
            <w:vAlign w:val="center"/>
          </w:tcPr>
          <w:p w14:paraId="6404ACD8">
            <w:pPr>
              <w:pStyle w:val="13"/>
            </w:pPr>
            <w:r>
              <w:t>4.59</w:t>
            </w:r>
          </w:p>
        </w:tc>
        <w:tc>
          <w:tcPr>
            <w:tcW w:w="2268" w:type="dxa"/>
            <w:vAlign w:val="center"/>
          </w:tcPr>
          <w:p w14:paraId="330C0D17">
            <w:pPr>
              <w:pStyle w:val="11"/>
            </w:pPr>
            <w:r>
              <w:t>其他资金</w:t>
            </w:r>
          </w:p>
        </w:tc>
        <w:tc>
          <w:tcPr>
            <w:tcW w:w="1276" w:type="dxa"/>
            <w:vAlign w:val="center"/>
          </w:tcPr>
          <w:p w14:paraId="723746A5">
            <w:pPr>
              <w:pStyle w:val="13"/>
            </w:pPr>
            <w:r>
              <w:t xml:space="preserve"> </w:t>
            </w:r>
          </w:p>
        </w:tc>
      </w:tr>
      <w:tr w14:paraId="7FD13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D97887"/>
        </w:tc>
        <w:tc>
          <w:tcPr>
            <w:tcW w:w="14033" w:type="dxa"/>
            <w:gridSpan w:val="6"/>
            <w:vAlign w:val="center"/>
          </w:tcPr>
          <w:p w14:paraId="55B48315">
            <w:pPr>
              <w:pStyle w:val="13"/>
            </w:pPr>
            <w:r>
              <w:t>按季度分批次拨付安排公用经费资金，学校按照预算安排进行资金使用，保证资金正常支出。</w:t>
            </w:r>
          </w:p>
        </w:tc>
      </w:tr>
      <w:tr w14:paraId="120B8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4827E">
            <w:pPr>
              <w:pStyle w:val="11"/>
            </w:pPr>
            <w:r>
              <w:t>资金支出计划（%）</w:t>
            </w:r>
          </w:p>
        </w:tc>
        <w:tc>
          <w:tcPr>
            <w:tcW w:w="5103" w:type="dxa"/>
            <w:gridSpan w:val="2"/>
            <w:vAlign w:val="center"/>
          </w:tcPr>
          <w:p w14:paraId="2F4D6130">
            <w:pPr>
              <w:pStyle w:val="11"/>
            </w:pPr>
            <w:r>
              <w:t>3月底</w:t>
            </w:r>
          </w:p>
        </w:tc>
        <w:tc>
          <w:tcPr>
            <w:tcW w:w="2835" w:type="dxa"/>
            <w:vAlign w:val="center"/>
          </w:tcPr>
          <w:p w14:paraId="6BB85603">
            <w:pPr>
              <w:pStyle w:val="11"/>
            </w:pPr>
            <w:r>
              <w:t>6月底</w:t>
            </w:r>
          </w:p>
        </w:tc>
        <w:tc>
          <w:tcPr>
            <w:tcW w:w="2551" w:type="dxa"/>
            <w:vAlign w:val="center"/>
          </w:tcPr>
          <w:p w14:paraId="4FCCC506">
            <w:pPr>
              <w:pStyle w:val="11"/>
            </w:pPr>
            <w:r>
              <w:t>10月底</w:t>
            </w:r>
          </w:p>
        </w:tc>
        <w:tc>
          <w:tcPr>
            <w:tcW w:w="3544" w:type="dxa"/>
            <w:gridSpan w:val="2"/>
            <w:vAlign w:val="center"/>
          </w:tcPr>
          <w:p w14:paraId="23D5F943">
            <w:pPr>
              <w:pStyle w:val="11"/>
            </w:pPr>
            <w:r>
              <w:t>12月底</w:t>
            </w:r>
          </w:p>
        </w:tc>
      </w:tr>
      <w:tr w14:paraId="45A5B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0EBD2F"/>
        </w:tc>
        <w:tc>
          <w:tcPr>
            <w:tcW w:w="5103" w:type="dxa"/>
            <w:gridSpan w:val="2"/>
            <w:vAlign w:val="center"/>
          </w:tcPr>
          <w:p w14:paraId="597A51F4">
            <w:pPr>
              <w:pStyle w:val="12"/>
            </w:pPr>
            <w:r>
              <w:t xml:space="preserve"> </w:t>
            </w:r>
          </w:p>
        </w:tc>
        <w:tc>
          <w:tcPr>
            <w:tcW w:w="2835" w:type="dxa"/>
            <w:vAlign w:val="center"/>
          </w:tcPr>
          <w:p w14:paraId="6C8B1D2A">
            <w:pPr>
              <w:pStyle w:val="12"/>
            </w:pPr>
            <w:r>
              <w:t>50%</w:t>
            </w:r>
          </w:p>
        </w:tc>
        <w:tc>
          <w:tcPr>
            <w:tcW w:w="2551" w:type="dxa"/>
            <w:vAlign w:val="center"/>
          </w:tcPr>
          <w:p w14:paraId="7DB05129">
            <w:pPr>
              <w:pStyle w:val="12"/>
            </w:pPr>
            <w:r>
              <w:t>75%</w:t>
            </w:r>
          </w:p>
        </w:tc>
        <w:tc>
          <w:tcPr>
            <w:tcW w:w="3544" w:type="dxa"/>
            <w:gridSpan w:val="2"/>
            <w:vAlign w:val="center"/>
          </w:tcPr>
          <w:p w14:paraId="68F0984C">
            <w:pPr>
              <w:pStyle w:val="12"/>
            </w:pPr>
            <w:r>
              <w:t>100%</w:t>
            </w:r>
          </w:p>
        </w:tc>
      </w:tr>
      <w:tr w14:paraId="6CBE9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56633">
            <w:pPr>
              <w:pStyle w:val="11"/>
            </w:pPr>
            <w:r>
              <w:t>绩效目标</w:t>
            </w:r>
          </w:p>
        </w:tc>
        <w:tc>
          <w:tcPr>
            <w:tcW w:w="14033" w:type="dxa"/>
            <w:gridSpan w:val="6"/>
            <w:vAlign w:val="center"/>
          </w:tcPr>
          <w:p w14:paraId="18574ACE">
            <w:pPr>
              <w:pStyle w:val="13"/>
            </w:pPr>
            <w:r>
              <w:t>1.按季度分批次拨付安排公用经费资金，学校按照预算安排进行资金使用，保证资金正常支出。</w:t>
            </w:r>
          </w:p>
        </w:tc>
      </w:tr>
    </w:tbl>
    <w:p w14:paraId="112B31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C1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61F96F1">
            <w:pPr>
              <w:pStyle w:val="11"/>
            </w:pPr>
            <w:r>
              <w:t>一级指标</w:t>
            </w:r>
          </w:p>
        </w:tc>
        <w:tc>
          <w:tcPr>
            <w:tcW w:w="2268" w:type="dxa"/>
            <w:vAlign w:val="center"/>
          </w:tcPr>
          <w:p w14:paraId="48EE341C">
            <w:pPr>
              <w:pStyle w:val="11"/>
            </w:pPr>
            <w:r>
              <w:t>二级指标</w:t>
            </w:r>
          </w:p>
        </w:tc>
        <w:tc>
          <w:tcPr>
            <w:tcW w:w="2835" w:type="dxa"/>
            <w:vAlign w:val="center"/>
          </w:tcPr>
          <w:p w14:paraId="2A7F6682">
            <w:pPr>
              <w:pStyle w:val="11"/>
            </w:pPr>
            <w:r>
              <w:t>三级指标</w:t>
            </w:r>
          </w:p>
        </w:tc>
        <w:tc>
          <w:tcPr>
            <w:tcW w:w="5386" w:type="dxa"/>
            <w:vAlign w:val="center"/>
          </w:tcPr>
          <w:p w14:paraId="209E4786">
            <w:pPr>
              <w:pStyle w:val="11"/>
            </w:pPr>
            <w:r>
              <w:t>绩效指标描述</w:t>
            </w:r>
          </w:p>
        </w:tc>
        <w:tc>
          <w:tcPr>
            <w:tcW w:w="2268" w:type="dxa"/>
            <w:vAlign w:val="center"/>
          </w:tcPr>
          <w:p w14:paraId="0769743D">
            <w:pPr>
              <w:pStyle w:val="11"/>
            </w:pPr>
            <w:r>
              <w:t>指标值</w:t>
            </w:r>
          </w:p>
        </w:tc>
        <w:tc>
          <w:tcPr>
            <w:tcW w:w="1276" w:type="dxa"/>
            <w:vAlign w:val="center"/>
          </w:tcPr>
          <w:p w14:paraId="270849A1">
            <w:pPr>
              <w:pStyle w:val="11"/>
            </w:pPr>
            <w:r>
              <w:t>指标值确定依据</w:t>
            </w:r>
          </w:p>
        </w:tc>
      </w:tr>
      <w:tr w14:paraId="0ABB1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FFA0C">
            <w:pPr>
              <w:pStyle w:val="12"/>
            </w:pPr>
            <w:r>
              <w:t>产出指标</w:t>
            </w:r>
          </w:p>
        </w:tc>
        <w:tc>
          <w:tcPr>
            <w:tcW w:w="2268" w:type="dxa"/>
            <w:vAlign w:val="center"/>
          </w:tcPr>
          <w:p w14:paraId="6F1A386F">
            <w:pPr>
              <w:pStyle w:val="13"/>
            </w:pPr>
            <w:r>
              <w:t>数量指标</w:t>
            </w:r>
          </w:p>
        </w:tc>
        <w:tc>
          <w:tcPr>
            <w:tcW w:w="2835" w:type="dxa"/>
            <w:vAlign w:val="center"/>
          </w:tcPr>
          <w:p w14:paraId="3491F73C">
            <w:pPr>
              <w:pStyle w:val="13"/>
            </w:pPr>
            <w:r>
              <w:t>适龄在校生</w:t>
            </w:r>
          </w:p>
        </w:tc>
        <w:tc>
          <w:tcPr>
            <w:tcW w:w="5386" w:type="dxa"/>
            <w:vAlign w:val="center"/>
          </w:tcPr>
          <w:p w14:paraId="147A9673">
            <w:pPr>
              <w:pStyle w:val="13"/>
            </w:pPr>
            <w:r>
              <w:t>辖区内适龄儿童全覆盖</w:t>
            </w:r>
          </w:p>
        </w:tc>
        <w:tc>
          <w:tcPr>
            <w:tcW w:w="2268" w:type="dxa"/>
            <w:vAlign w:val="center"/>
          </w:tcPr>
          <w:p w14:paraId="0CD83C62">
            <w:pPr>
              <w:pStyle w:val="13"/>
            </w:pPr>
            <w:r>
              <w:t>102人</w:t>
            </w:r>
          </w:p>
        </w:tc>
        <w:tc>
          <w:tcPr>
            <w:tcW w:w="1276" w:type="dxa"/>
            <w:vAlign w:val="center"/>
          </w:tcPr>
          <w:p w14:paraId="31279CE9">
            <w:pPr>
              <w:pStyle w:val="13"/>
            </w:pPr>
            <w:r>
              <w:t>幼儿园生均公用经费管理办法</w:t>
            </w:r>
          </w:p>
        </w:tc>
      </w:tr>
      <w:tr w14:paraId="65774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9AD7E"/>
        </w:tc>
        <w:tc>
          <w:tcPr>
            <w:tcW w:w="2268" w:type="dxa"/>
            <w:vAlign w:val="center"/>
          </w:tcPr>
          <w:p w14:paraId="4779F840">
            <w:pPr>
              <w:pStyle w:val="13"/>
            </w:pPr>
            <w:r>
              <w:t>质量指标</w:t>
            </w:r>
          </w:p>
        </w:tc>
        <w:tc>
          <w:tcPr>
            <w:tcW w:w="2835" w:type="dxa"/>
            <w:vAlign w:val="center"/>
          </w:tcPr>
          <w:p w14:paraId="7CB87F19">
            <w:pPr>
              <w:pStyle w:val="13"/>
            </w:pPr>
            <w:r>
              <w:t>预算控制率</w:t>
            </w:r>
          </w:p>
        </w:tc>
        <w:tc>
          <w:tcPr>
            <w:tcW w:w="5386" w:type="dxa"/>
            <w:vAlign w:val="center"/>
          </w:tcPr>
          <w:p w14:paraId="7442A08D">
            <w:pPr>
              <w:pStyle w:val="13"/>
            </w:pPr>
            <w:r>
              <w:t>预算执行</w:t>
            </w:r>
          </w:p>
        </w:tc>
        <w:tc>
          <w:tcPr>
            <w:tcW w:w="2268" w:type="dxa"/>
            <w:vAlign w:val="center"/>
          </w:tcPr>
          <w:p w14:paraId="50E3490E">
            <w:pPr>
              <w:pStyle w:val="13"/>
            </w:pPr>
            <w:r>
              <w:t>≥95%</w:t>
            </w:r>
          </w:p>
        </w:tc>
        <w:tc>
          <w:tcPr>
            <w:tcW w:w="1276" w:type="dxa"/>
            <w:vAlign w:val="center"/>
          </w:tcPr>
          <w:p w14:paraId="7F3CA02A">
            <w:pPr>
              <w:pStyle w:val="13"/>
            </w:pPr>
            <w:r>
              <w:t>幼儿园生均公用经费管理办法</w:t>
            </w:r>
          </w:p>
        </w:tc>
      </w:tr>
      <w:tr w14:paraId="5D1B7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76152"/>
        </w:tc>
        <w:tc>
          <w:tcPr>
            <w:tcW w:w="2268" w:type="dxa"/>
            <w:vAlign w:val="center"/>
          </w:tcPr>
          <w:p w14:paraId="1AA45BCE">
            <w:pPr>
              <w:pStyle w:val="13"/>
            </w:pPr>
            <w:r>
              <w:t>时效指标</w:t>
            </w:r>
          </w:p>
        </w:tc>
        <w:tc>
          <w:tcPr>
            <w:tcW w:w="2835" w:type="dxa"/>
            <w:vAlign w:val="center"/>
          </w:tcPr>
          <w:p w14:paraId="1EB90A0D">
            <w:pPr>
              <w:pStyle w:val="13"/>
            </w:pPr>
            <w:r>
              <w:t>资金支付率</w:t>
            </w:r>
          </w:p>
        </w:tc>
        <w:tc>
          <w:tcPr>
            <w:tcW w:w="5386" w:type="dxa"/>
            <w:vAlign w:val="center"/>
          </w:tcPr>
          <w:p w14:paraId="63075686">
            <w:pPr>
              <w:pStyle w:val="13"/>
            </w:pPr>
            <w:r>
              <w:t>按照序时进度完成资金支付</w:t>
            </w:r>
          </w:p>
        </w:tc>
        <w:tc>
          <w:tcPr>
            <w:tcW w:w="2268" w:type="dxa"/>
            <w:vAlign w:val="center"/>
          </w:tcPr>
          <w:p w14:paraId="439A479A">
            <w:pPr>
              <w:pStyle w:val="13"/>
            </w:pPr>
            <w:r>
              <w:t>≥100%</w:t>
            </w:r>
          </w:p>
        </w:tc>
        <w:tc>
          <w:tcPr>
            <w:tcW w:w="1276" w:type="dxa"/>
            <w:vAlign w:val="center"/>
          </w:tcPr>
          <w:p w14:paraId="44EFB29B">
            <w:pPr>
              <w:pStyle w:val="13"/>
            </w:pPr>
            <w:r>
              <w:t>幼儿园生均公用经费管理办法</w:t>
            </w:r>
          </w:p>
        </w:tc>
      </w:tr>
      <w:tr w14:paraId="67919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E357E"/>
        </w:tc>
        <w:tc>
          <w:tcPr>
            <w:tcW w:w="2268" w:type="dxa"/>
            <w:vAlign w:val="center"/>
          </w:tcPr>
          <w:p w14:paraId="64D2A5A3">
            <w:pPr>
              <w:pStyle w:val="13"/>
            </w:pPr>
            <w:r>
              <w:t>成本指标</w:t>
            </w:r>
          </w:p>
        </w:tc>
        <w:tc>
          <w:tcPr>
            <w:tcW w:w="2835" w:type="dxa"/>
            <w:vAlign w:val="center"/>
          </w:tcPr>
          <w:p w14:paraId="16DDABC0">
            <w:pPr>
              <w:pStyle w:val="13"/>
            </w:pPr>
            <w:r>
              <w:t>生均拨款标准</w:t>
            </w:r>
          </w:p>
        </w:tc>
        <w:tc>
          <w:tcPr>
            <w:tcW w:w="5386" w:type="dxa"/>
            <w:vAlign w:val="center"/>
          </w:tcPr>
          <w:p w14:paraId="27E99CD6">
            <w:pPr>
              <w:pStyle w:val="13"/>
            </w:pPr>
            <w:r>
              <w:t>学前经费600元/生/年</w:t>
            </w:r>
          </w:p>
        </w:tc>
        <w:tc>
          <w:tcPr>
            <w:tcW w:w="2268" w:type="dxa"/>
            <w:vAlign w:val="center"/>
          </w:tcPr>
          <w:p w14:paraId="7953C626">
            <w:pPr>
              <w:pStyle w:val="13"/>
            </w:pPr>
            <w:r>
              <w:t>600元</w:t>
            </w:r>
          </w:p>
        </w:tc>
        <w:tc>
          <w:tcPr>
            <w:tcW w:w="1276" w:type="dxa"/>
            <w:vAlign w:val="center"/>
          </w:tcPr>
          <w:p w14:paraId="047A97FD">
            <w:pPr>
              <w:pStyle w:val="13"/>
            </w:pPr>
            <w:r>
              <w:t>幼儿园生均公用经费管理办法</w:t>
            </w:r>
          </w:p>
        </w:tc>
      </w:tr>
      <w:tr w14:paraId="7F9FD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99DA95">
            <w:pPr>
              <w:pStyle w:val="12"/>
            </w:pPr>
            <w:r>
              <w:t>效益指标</w:t>
            </w:r>
          </w:p>
        </w:tc>
        <w:tc>
          <w:tcPr>
            <w:tcW w:w="2268" w:type="dxa"/>
            <w:vAlign w:val="center"/>
          </w:tcPr>
          <w:p w14:paraId="07E5FE63">
            <w:pPr>
              <w:pStyle w:val="13"/>
            </w:pPr>
            <w:r>
              <w:t>可持续影响指标</w:t>
            </w:r>
          </w:p>
        </w:tc>
        <w:tc>
          <w:tcPr>
            <w:tcW w:w="2835" w:type="dxa"/>
            <w:vAlign w:val="center"/>
          </w:tcPr>
          <w:p w14:paraId="77E73697">
            <w:pPr>
              <w:pStyle w:val="13"/>
            </w:pPr>
            <w:r>
              <w:t>教育发展水平明显好转</w:t>
            </w:r>
          </w:p>
        </w:tc>
        <w:tc>
          <w:tcPr>
            <w:tcW w:w="5386" w:type="dxa"/>
            <w:vAlign w:val="center"/>
          </w:tcPr>
          <w:p w14:paraId="32F83D59">
            <w:pPr>
              <w:pStyle w:val="13"/>
            </w:pPr>
            <w:r>
              <w:t>学生受教育年限</w:t>
            </w:r>
          </w:p>
        </w:tc>
        <w:tc>
          <w:tcPr>
            <w:tcW w:w="2268" w:type="dxa"/>
            <w:vAlign w:val="center"/>
          </w:tcPr>
          <w:p w14:paraId="0C9CFB49">
            <w:pPr>
              <w:pStyle w:val="13"/>
            </w:pPr>
            <w:r>
              <w:t>3年</w:t>
            </w:r>
          </w:p>
        </w:tc>
        <w:tc>
          <w:tcPr>
            <w:tcW w:w="1276" w:type="dxa"/>
            <w:vAlign w:val="center"/>
          </w:tcPr>
          <w:p w14:paraId="7CF47BEA">
            <w:pPr>
              <w:pStyle w:val="13"/>
            </w:pPr>
            <w:r>
              <w:t>幼儿园生均公用经费管理办法</w:t>
            </w:r>
          </w:p>
        </w:tc>
      </w:tr>
      <w:tr w14:paraId="31D6D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E69127">
            <w:pPr>
              <w:pStyle w:val="12"/>
            </w:pPr>
            <w:r>
              <w:t>满意度指标</w:t>
            </w:r>
          </w:p>
        </w:tc>
        <w:tc>
          <w:tcPr>
            <w:tcW w:w="2268" w:type="dxa"/>
            <w:vAlign w:val="center"/>
          </w:tcPr>
          <w:p w14:paraId="799E377C">
            <w:pPr>
              <w:pStyle w:val="13"/>
            </w:pPr>
            <w:r>
              <w:t>服务对象满意度指标</w:t>
            </w:r>
          </w:p>
        </w:tc>
        <w:tc>
          <w:tcPr>
            <w:tcW w:w="2835" w:type="dxa"/>
            <w:vAlign w:val="center"/>
          </w:tcPr>
          <w:p w14:paraId="3E78ED34">
            <w:pPr>
              <w:pStyle w:val="13"/>
            </w:pPr>
            <w:r>
              <w:t>受益学生家长及调查满意度</w:t>
            </w:r>
          </w:p>
        </w:tc>
        <w:tc>
          <w:tcPr>
            <w:tcW w:w="5386" w:type="dxa"/>
            <w:vAlign w:val="center"/>
          </w:tcPr>
          <w:p w14:paraId="04641398">
            <w:pPr>
              <w:pStyle w:val="13"/>
            </w:pPr>
            <w:r>
              <w:t>学生、教师及家长对学校保教保育工作满意度情况</w:t>
            </w:r>
          </w:p>
        </w:tc>
        <w:tc>
          <w:tcPr>
            <w:tcW w:w="2268" w:type="dxa"/>
            <w:vAlign w:val="center"/>
          </w:tcPr>
          <w:p w14:paraId="3C717F97">
            <w:pPr>
              <w:pStyle w:val="13"/>
            </w:pPr>
            <w:r>
              <w:t>≥95%</w:t>
            </w:r>
          </w:p>
        </w:tc>
        <w:tc>
          <w:tcPr>
            <w:tcW w:w="1276" w:type="dxa"/>
            <w:vAlign w:val="center"/>
          </w:tcPr>
          <w:p w14:paraId="28E31C06">
            <w:pPr>
              <w:pStyle w:val="13"/>
            </w:pPr>
            <w:r>
              <w:t>调查问卷</w:t>
            </w:r>
          </w:p>
        </w:tc>
      </w:tr>
    </w:tbl>
    <w:p w14:paraId="5228484C">
      <w:pPr>
        <w:sectPr>
          <w:pgSz w:w="16840" w:h="11900" w:orient="landscape"/>
          <w:pgMar w:top="1361" w:right="1020" w:bottom="1134" w:left="1020" w:header="720" w:footer="720" w:gutter="0"/>
          <w:cols w:space="720" w:num="1"/>
        </w:sectPr>
      </w:pPr>
    </w:p>
    <w:p w14:paraId="356476CA">
      <w:pPr>
        <w:spacing w:before="0" w:after="0"/>
        <w:ind w:firstLine="560"/>
        <w:jc w:val="left"/>
        <w:outlineLvl w:val="9"/>
      </w:pPr>
      <w:r>
        <w:rPr>
          <w:rFonts w:ascii="方正仿宋_GBK" w:hAnsi="方正仿宋_GBK" w:eastAsia="方正仿宋_GBK" w:cs="方正仿宋_GBK"/>
          <w:b/>
          <w:color w:val="000000"/>
          <w:sz w:val="28"/>
        </w:rPr>
        <w:t>186、县级资金/隆尧县乐嘉幼儿园公用经费绩效目标表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EC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4D60B">
            <w:pPr>
              <w:pStyle w:val="14"/>
            </w:pPr>
            <w:r>
              <w:t>单位：万元</w:t>
            </w:r>
          </w:p>
        </w:tc>
      </w:tr>
      <w:tr w14:paraId="3838C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68A68">
            <w:pPr>
              <w:pStyle w:val="11"/>
            </w:pPr>
            <w:r>
              <w:t>项目编码</w:t>
            </w:r>
          </w:p>
        </w:tc>
        <w:tc>
          <w:tcPr>
            <w:tcW w:w="5103" w:type="dxa"/>
            <w:gridSpan w:val="2"/>
            <w:vAlign w:val="center"/>
          </w:tcPr>
          <w:p w14:paraId="76A1CF0D">
            <w:pPr>
              <w:pStyle w:val="13"/>
            </w:pPr>
            <w:r>
              <w:t>13052525P00875610070D</w:t>
            </w:r>
          </w:p>
        </w:tc>
        <w:tc>
          <w:tcPr>
            <w:tcW w:w="2835" w:type="dxa"/>
            <w:vAlign w:val="center"/>
          </w:tcPr>
          <w:p w14:paraId="5D088AB6">
            <w:pPr>
              <w:pStyle w:val="11"/>
            </w:pPr>
            <w:r>
              <w:t>项目名称</w:t>
            </w:r>
          </w:p>
        </w:tc>
        <w:tc>
          <w:tcPr>
            <w:tcW w:w="6095" w:type="dxa"/>
            <w:gridSpan w:val="3"/>
            <w:vAlign w:val="center"/>
          </w:tcPr>
          <w:p w14:paraId="7606D213">
            <w:pPr>
              <w:pStyle w:val="13"/>
            </w:pPr>
            <w:r>
              <w:t>县级资金/隆尧县乐嘉幼儿园公用经费</w:t>
            </w:r>
          </w:p>
        </w:tc>
      </w:tr>
      <w:tr w14:paraId="166631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971BA">
            <w:pPr>
              <w:pStyle w:val="11"/>
            </w:pPr>
            <w:r>
              <w:t>预算规模及资金用途</w:t>
            </w:r>
          </w:p>
        </w:tc>
        <w:tc>
          <w:tcPr>
            <w:tcW w:w="2268" w:type="dxa"/>
            <w:vAlign w:val="center"/>
          </w:tcPr>
          <w:p w14:paraId="0939DB55">
            <w:pPr>
              <w:pStyle w:val="11"/>
            </w:pPr>
            <w:r>
              <w:t>预算数</w:t>
            </w:r>
          </w:p>
        </w:tc>
        <w:tc>
          <w:tcPr>
            <w:tcW w:w="2835" w:type="dxa"/>
            <w:vAlign w:val="center"/>
          </w:tcPr>
          <w:p w14:paraId="174F559F">
            <w:pPr>
              <w:pStyle w:val="13"/>
            </w:pPr>
            <w:r>
              <w:t>9.90</w:t>
            </w:r>
          </w:p>
        </w:tc>
        <w:tc>
          <w:tcPr>
            <w:tcW w:w="2835" w:type="dxa"/>
            <w:vAlign w:val="center"/>
          </w:tcPr>
          <w:p w14:paraId="72A6A5C1">
            <w:pPr>
              <w:pStyle w:val="11"/>
            </w:pPr>
            <w:r>
              <w:t>其中：财政    资金</w:t>
            </w:r>
          </w:p>
        </w:tc>
        <w:tc>
          <w:tcPr>
            <w:tcW w:w="2551" w:type="dxa"/>
            <w:vAlign w:val="center"/>
          </w:tcPr>
          <w:p w14:paraId="37AC8BA5">
            <w:pPr>
              <w:pStyle w:val="13"/>
            </w:pPr>
            <w:r>
              <w:t>9.90</w:t>
            </w:r>
          </w:p>
        </w:tc>
        <w:tc>
          <w:tcPr>
            <w:tcW w:w="2268" w:type="dxa"/>
            <w:vAlign w:val="center"/>
          </w:tcPr>
          <w:p w14:paraId="679CFBB3">
            <w:pPr>
              <w:pStyle w:val="11"/>
            </w:pPr>
            <w:r>
              <w:t>其他资金</w:t>
            </w:r>
          </w:p>
        </w:tc>
        <w:tc>
          <w:tcPr>
            <w:tcW w:w="1276" w:type="dxa"/>
            <w:vAlign w:val="center"/>
          </w:tcPr>
          <w:p w14:paraId="2283291A">
            <w:pPr>
              <w:pStyle w:val="13"/>
            </w:pPr>
            <w:r>
              <w:t xml:space="preserve"> </w:t>
            </w:r>
          </w:p>
        </w:tc>
      </w:tr>
      <w:tr w14:paraId="6662E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885765"/>
        </w:tc>
        <w:tc>
          <w:tcPr>
            <w:tcW w:w="14033" w:type="dxa"/>
            <w:gridSpan w:val="6"/>
            <w:vAlign w:val="center"/>
          </w:tcPr>
          <w:p w14:paraId="663558DB">
            <w:pPr>
              <w:pStyle w:val="13"/>
            </w:pPr>
            <w:r>
              <w:t>按季度分批次拨付安排公用经费资金，学校按照预算安排进行资金使用，保证资金正常支出</w:t>
            </w:r>
          </w:p>
        </w:tc>
      </w:tr>
      <w:tr w14:paraId="4B254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0CB84">
            <w:pPr>
              <w:pStyle w:val="11"/>
            </w:pPr>
            <w:r>
              <w:t>资金支出计划（%）</w:t>
            </w:r>
          </w:p>
        </w:tc>
        <w:tc>
          <w:tcPr>
            <w:tcW w:w="5103" w:type="dxa"/>
            <w:gridSpan w:val="2"/>
            <w:vAlign w:val="center"/>
          </w:tcPr>
          <w:p w14:paraId="5B1CAEE5">
            <w:pPr>
              <w:pStyle w:val="11"/>
            </w:pPr>
            <w:r>
              <w:t>3月底</w:t>
            </w:r>
          </w:p>
        </w:tc>
        <w:tc>
          <w:tcPr>
            <w:tcW w:w="2835" w:type="dxa"/>
            <w:vAlign w:val="center"/>
          </w:tcPr>
          <w:p w14:paraId="7F243F03">
            <w:pPr>
              <w:pStyle w:val="11"/>
            </w:pPr>
            <w:r>
              <w:t>6月底</w:t>
            </w:r>
          </w:p>
        </w:tc>
        <w:tc>
          <w:tcPr>
            <w:tcW w:w="2551" w:type="dxa"/>
            <w:vAlign w:val="center"/>
          </w:tcPr>
          <w:p w14:paraId="3AF1FD4B">
            <w:pPr>
              <w:pStyle w:val="11"/>
            </w:pPr>
            <w:r>
              <w:t>10月底</w:t>
            </w:r>
          </w:p>
        </w:tc>
        <w:tc>
          <w:tcPr>
            <w:tcW w:w="3544" w:type="dxa"/>
            <w:gridSpan w:val="2"/>
            <w:vAlign w:val="center"/>
          </w:tcPr>
          <w:p w14:paraId="0B5A3FB1">
            <w:pPr>
              <w:pStyle w:val="11"/>
            </w:pPr>
            <w:r>
              <w:t>12月底</w:t>
            </w:r>
          </w:p>
        </w:tc>
      </w:tr>
      <w:tr w14:paraId="21F9E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8CEE94"/>
        </w:tc>
        <w:tc>
          <w:tcPr>
            <w:tcW w:w="5103" w:type="dxa"/>
            <w:gridSpan w:val="2"/>
            <w:vAlign w:val="center"/>
          </w:tcPr>
          <w:p w14:paraId="4B23F0C1">
            <w:pPr>
              <w:pStyle w:val="12"/>
            </w:pPr>
            <w:r>
              <w:t xml:space="preserve"> </w:t>
            </w:r>
          </w:p>
        </w:tc>
        <w:tc>
          <w:tcPr>
            <w:tcW w:w="2835" w:type="dxa"/>
            <w:vAlign w:val="center"/>
          </w:tcPr>
          <w:p w14:paraId="3A61CB61">
            <w:pPr>
              <w:pStyle w:val="12"/>
            </w:pPr>
            <w:r>
              <w:t>50%</w:t>
            </w:r>
          </w:p>
        </w:tc>
        <w:tc>
          <w:tcPr>
            <w:tcW w:w="2551" w:type="dxa"/>
            <w:vAlign w:val="center"/>
          </w:tcPr>
          <w:p w14:paraId="0A0D2A51">
            <w:pPr>
              <w:pStyle w:val="12"/>
            </w:pPr>
            <w:r>
              <w:t>75%</w:t>
            </w:r>
          </w:p>
        </w:tc>
        <w:tc>
          <w:tcPr>
            <w:tcW w:w="3544" w:type="dxa"/>
            <w:gridSpan w:val="2"/>
            <w:vAlign w:val="center"/>
          </w:tcPr>
          <w:p w14:paraId="12A9C286">
            <w:pPr>
              <w:pStyle w:val="12"/>
            </w:pPr>
            <w:r>
              <w:t>100%</w:t>
            </w:r>
          </w:p>
        </w:tc>
      </w:tr>
      <w:tr w14:paraId="3AC4F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F131F1">
            <w:pPr>
              <w:pStyle w:val="11"/>
            </w:pPr>
            <w:r>
              <w:t>绩效目标</w:t>
            </w:r>
          </w:p>
        </w:tc>
        <w:tc>
          <w:tcPr>
            <w:tcW w:w="14033" w:type="dxa"/>
            <w:gridSpan w:val="6"/>
            <w:vAlign w:val="center"/>
          </w:tcPr>
          <w:p w14:paraId="10D1610E">
            <w:pPr>
              <w:pStyle w:val="13"/>
            </w:pPr>
            <w:r>
              <w:t>1.按季度分批次拨付安排公用经费资金，学校按照预算安排进行资金使用，保证资金正常支出。</w:t>
            </w:r>
          </w:p>
          <w:p w14:paraId="15EA0C50">
            <w:pPr>
              <w:pStyle w:val="13"/>
            </w:pPr>
          </w:p>
        </w:tc>
      </w:tr>
    </w:tbl>
    <w:p w14:paraId="6980F3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06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EF18C">
            <w:pPr>
              <w:pStyle w:val="11"/>
            </w:pPr>
            <w:r>
              <w:t>一级指标</w:t>
            </w:r>
          </w:p>
        </w:tc>
        <w:tc>
          <w:tcPr>
            <w:tcW w:w="2268" w:type="dxa"/>
            <w:vAlign w:val="center"/>
          </w:tcPr>
          <w:p w14:paraId="22780965">
            <w:pPr>
              <w:pStyle w:val="11"/>
            </w:pPr>
            <w:r>
              <w:t>二级指标</w:t>
            </w:r>
          </w:p>
        </w:tc>
        <w:tc>
          <w:tcPr>
            <w:tcW w:w="2835" w:type="dxa"/>
            <w:vAlign w:val="center"/>
          </w:tcPr>
          <w:p w14:paraId="4DD9ABF2">
            <w:pPr>
              <w:pStyle w:val="11"/>
            </w:pPr>
            <w:r>
              <w:t>三级指标</w:t>
            </w:r>
          </w:p>
        </w:tc>
        <w:tc>
          <w:tcPr>
            <w:tcW w:w="5386" w:type="dxa"/>
            <w:vAlign w:val="center"/>
          </w:tcPr>
          <w:p w14:paraId="4A34DC24">
            <w:pPr>
              <w:pStyle w:val="11"/>
            </w:pPr>
            <w:r>
              <w:t>绩效指标描述</w:t>
            </w:r>
          </w:p>
        </w:tc>
        <w:tc>
          <w:tcPr>
            <w:tcW w:w="2268" w:type="dxa"/>
            <w:vAlign w:val="center"/>
          </w:tcPr>
          <w:p w14:paraId="531B3FDB">
            <w:pPr>
              <w:pStyle w:val="11"/>
            </w:pPr>
            <w:r>
              <w:t>指标值</w:t>
            </w:r>
          </w:p>
        </w:tc>
        <w:tc>
          <w:tcPr>
            <w:tcW w:w="1276" w:type="dxa"/>
            <w:vAlign w:val="center"/>
          </w:tcPr>
          <w:p w14:paraId="591E7807">
            <w:pPr>
              <w:pStyle w:val="11"/>
            </w:pPr>
            <w:r>
              <w:t>指标值确定依据</w:t>
            </w:r>
          </w:p>
        </w:tc>
      </w:tr>
      <w:tr w14:paraId="2C7A0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93FBB">
            <w:pPr>
              <w:pStyle w:val="12"/>
            </w:pPr>
            <w:r>
              <w:t>产出指标</w:t>
            </w:r>
          </w:p>
        </w:tc>
        <w:tc>
          <w:tcPr>
            <w:tcW w:w="2268" w:type="dxa"/>
            <w:vAlign w:val="center"/>
          </w:tcPr>
          <w:p w14:paraId="36D31532">
            <w:pPr>
              <w:pStyle w:val="13"/>
            </w:pPr>
            <w:r>
              <w:t>数量指标</w:t>
            </w:r>
          </w:p>
        </w:tc>
        <w:tc>
          <w:tcPr>
            <w:tcW w:w="2835" w:type="dxa"/>
            <w:vAlign w:val="center"/>
          </w:tcPr>
          <w:p w14:paraId="3D1AE79F">
            <w:pPr>
              <w:pStyle w:val="13"/>
            </w:pPr>
            <w:r>
              <w:t>适龄在校生</w:t>
            </w:r>
          </w:p>
        </w:tc>
        <w:tc>
          <w:tcPr>
            <w:tcW w:w="5386" w:type="dxa"/>
            <w:vAlign w:val="center"/>
          </w:tcPr>
          <w:p w14:paraId="44A4FA22">
            <w:pPr>
              <w:pStyle w:val="13"/>
            </w:pPr>
            <w:r>
              <w:t>辖区内适龄儿童全覆盖</w:t>
            </w:r>
          </w:p>
        </w:tc>
        <w:tc>
          <w:tcPr>
            <w:tcW w:w="2268" w:type="dxa"/>
            <w:vAlign w:val="center"/>
          </w:tcPr>
          <w:p w14:paraId="1D682423">
            <w:pPr>
              <w:pStyle w:val="13"/>
            </w:pPr>
            <w:r>
              <w:t>220人</w:t>
            </w:r>
          </w:p>
        </w:tc>
        <w:tc>
          <w:tcPr>
            <w:tcW w:w="1276" w:type="dxa"/>
            <w:vAlign w:val="center"/>
          </w:tcPr>
          <w:p w14:paraId="56ABA170">
            <w:pPr>
              <w:pStyle w:val="13"/>
            </w:pPr>
            <w:r>
              <w:t>幼儿园生均公用经费管理办法</w:t>
            </w:r>
          </w:p>
        </w:tc>
      </w:tr>
      <w:tr w14:paraId="71B49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5FA1A"/>
        </w:tc>
        <w:tc>
          <w:tcPr>
            <w:tcW w:w="2268" w:type="dxa"/>
            <w:vAlign w:val="center"/>
          </w:tcPr>
          <w:p w14:paraId="3BF347F2">
            <w:pPr>
              <w:pStyle w:val="13"/>
            </w:pPr>
            <w:r>
              <w:t>质量指标</w:t>
            </w:r>
          </w:p>
        </w:tc>
        <w:tc>
          <w:tcPr>
            <w:tcW w:w="2835" w:type="dxa"/>
            <w:vAlign w:val="center"/>
          </w:tcPr>
          <w:p w14:paraId="4E53121E">
            <w:pPr>
              <w:pStyle w:val="13"/>
            </w:pPr>
            <w:r>
              <w:t>预算控制率</w:t>
            </w:r>
          </w:p>
        </w:tc>
        <w:tc>
          <w:tcPr>
            <w:tcW w:w="5386" w:type="dxa"/>
            <w:vAlign w:val="center"/>
          </w:tcPr>
          <w:p w14:paraId="2274AE22">
            <w:pPr>
              <w:pStyle w:val="13"/>
            </w:pPr>
            <w:r>
              <w:t>预算执行</w:t>
            </w:r>
          </w:p>
        </w:tc>
        <w:tc>
          <w:tcPr>
            <w:tcW w:w="2268" w:type="dxa"/>
            <w:vAlign w:val="center"/>
          </w:tcPr>
          <w:p w14:paraId="30238E02">
            <w:pPr>
              <w:pStyle w:val="13"/>
            </w:pPr>
            <w:r>
              <w:t>≥95%</w:t>
            </w:r>
          </w:p>
        </w:tc>
        <w:tc>
          <w:tcPr>
            <w:tcW w:w="1276" w:type="dxa"/>
            <w:vAlign w:val="center"/>
          </w:tcPr>
          <w:p w14:paraId="05972F28">
            <w:pPr>
              <w:pStyle w:val="13"/>
            </w:pPr>
            <w:r>
              <w:t>幼儿园生均公用经费管理办法</w:t>
            </w:r>
          </w:p>
        </w:tc>
      </w:tr>
      <w:tr w14:paraId="4833A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B3323"/>
        </w:tc>
        <w:tc>
          <w:tcPr>
            <w:tcW w:w="2268" w:type="dxa"/>
            <w:vAlign w:val="center"/>
          </w:tcPr>
          <w:p w14:paraId="63F7C529">
            <w:pPr>
              <w:pStyle w:val="13"/>
            </w:pPr>
            <w:r>
              <w:t>时效指标</w:t>
            </w:r>
          </w:p>
        </w:tc>
        <w:tc>
          <w:tcPr>
            <w:tcW w:w="2835" w:type="dxa"/>
            <w:vAlign w:val="center"/>
          </w:tcPr>
          <w:p w14:paraId="0A6EACF8">
            <w:pPr>
              <w:pStyle w:val="13"/>
            </w:pPr>
            <w:r>
              <w:t>资金支付率</w:t>
            </w:r>
          </w:p>
        </w:tc>
        <w:tc>
          <w:tcPr>
            <w:tcW w:w="5386" w:type="dxa"/>
            <w:vAlign w:val="center"/>
          </w:tcPr>
          <w:p w14:paraId="0CD58580">
            <w:pPr>
              <w:pStyle w:val="13"/>
            </w:pPr>
            <w:r>
              <w:t>按照序时进度完成资金支付</w:t>
            </w:r>
          </w:p>
        </w:tc>
        <w:tc>
          <w:tcPr>
            <w:tcW w:w="2268" w:type="dxa"/>
            <w:vAlign w:val="center"/>
          </w:tcPr>
          <w:p w14:paraId="047EF68C">
            <w:pPr>
              <w:pStyle w:val="13"/>
            </w:pPr>
            <w:r>
              <w:t>≥100%</w:t>
            </w:r>
          </w:p>
        </w:tc>
        <w:tc>
          <w:tcPr>
            <w:tcW w:w="1276" w:type="dxa"/>
            <w:vAlign w:val="center"/>
          </w:tcPr>
          <w:p w14:paraId="0DF3CE9B">
            <w:pPr>
              <w:pStyle w:val="13"/>
            </w:pPr>
            <w:r>
              <w:t>幼儿园生均公用经费管理办法</w:t>
            </w:r>
          </w:p>
        </w:tc>
      </w:tr>
      <w:tr w14:paraId="10032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7E0DD"/>
        </w:tc>
        <w:tc>
          <w:tcPr>
            <w:tcW w:w="2268" w:type="dxa"/>
            <w:vAlign w:val="center"/>
          </w:tcPr>
          <w:p w14:paraId="6B5F9BAD">
            <w:pPr>
              <w:pStyle w:val="13"/>
            </w:pPr>
            <w:r>
              <w:t>成本指标</w:t>
            </w:r>
          </w:p>
        </w:tc>
        <w:tc>
          <w:tcPr>
            <w:tcW w:w="2835" w:type="dxa"/>
            <w:vAlign w:val="center"/>
          </w:tcPr>
          <w:p w14:paraId="4224FC6A">
            <w:pPr>
              <w:pStyle w:val="13"/>
            </w:pPr>
            <w:r>
              <w:t>生均拨款标准</w:t>
            </w:r>
          </w:p>
        </w:tc>
        <w:tc>
          <w:tcPr>
            <w:tcW w:w="5386" w:type="dxa"/>
            <w:vAlign w:val="center"/>
          </w:tcPr>
          <w:p w14:paraId="1F288F93">
            <w:pPr>
              <w:pStyle w:val="13"/>
            </w:pPr>
            <w:r>
              <w:t>学前：600元/生/年</w:t>
            </w:r>
          </w:p>
        </w:tc>
        <w:tc>
          <w:tcPr>
            <w:tcW w:w="2268" w:type="dxa"/>
            <w:vAlign w:val="center"/>
          </w:tcPr>
          <w:p w14:paraId="148B86B8">
            <w:pPr>
              <w:pStyle w:val="13"/>
            </w:pPr>
            <w:r>
              <w:t>600元</w:t>
            </w:r>
          </w:p>
        </w:tc>
        <w:tc>
          <w:tcPr>
            <w:tcW w:w="1276" w:type="dxa"/>
            <w:vAlign w:val="center"/>
          </w:tcPr>
          <w:p w14:paraId="084A0FAD">
            <w:pPr>
              <w:pStyle w:val="13"/>
            </w:pPr>
            <w:r>
              <w:t>幼儿园生均公用经费管理办法</w:t>
            </w:r>
          </w:p>
        </w:tc>
      </w:tr>
      <w:tr w14:paraId="16F3A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221E1A">
            <w:pPr>
              <w:pStyle w:val="12"/>
            </w:pPr>
            <w:r>
              <w:t>效益指标</w:t>
            </w:r>
          </w:p>
        </w:tc>
        <w:tc>
          <w:tcPr>
            <w:tcW w:w="2268" w:type="dxa"/>
            <w:vAlign w:val="center"/>
          </w:tcPr>
          <w:p w14:paraId="167098F6">
            <w:pPr>
              <w:pStyle w:val="13"/>
            </w:pPr>
            <w:r>
              <w:t>可持续影响指标</w:t>
            </w:r>
          </w:p>
        </w:tc>
        <w:tc>
          <w:tcPr>
            <w:tcW w:w="2835" w:type="dxa"/>
            <w:vAlign w:val="center"/>
          </w:tcPr>
          <w:p w14:paraId="2F41202A">
            <w:pPr>
              <w:pStyle w:val="13"/>
            </w:pPr>
            <w:r>
              <w:t>教育发展水平明显好转</w:t>
            </w:r>
          </w:p>
        </w:tc>
        <w:tc>
          <w:tcPr>
            <w:tcW w:w="5386" w:type="dxa"/>
            <w:vAlign w:val="center"/>
          </w:tcPr>
          <w:p w14:paraId="2BC8B126">
            <w:pPr>
              <w:pStyle w:val="13"/>
            </w:pPr>
            <w:r>
              <w:t>学生受教育年限</w:t>
            </w:r>
          </w:p>
        </w:tc>
        <w:tc>
          <w:tcPr>
            <w:tcW w:w="2268" w:type="dxa"/>
            <w:vAlign w:val="center"/>
          </w:tcPr>
          <w:p w14:paraId="4B052043">
            <w:pPr>
              <w:pStyle w:val="13"/>
            </w:pPr>
            <w:r>
              <w:t>3年</w:t>
            </w:r>
          </w:p>
        </w:tc>
        <w:tc>
          <w:tcPr>
            <w:tcW w:w="1276" w:type="dxa"/>
            <w:vAlign w:val="center"/>
          </w:tcPr>
          <w:p w14:paraId="5C7CDC3D">
            <w:pPr>
              <w:pStyle w:val="13"/>
            </w:pPr>
            <w:r>
              <w:t>幼儿园生均公用经费管理办法</w:t>
            </w:r>
          </w:p>
        </w:tc>
      </w:tr>
      <w:tr w14:paraId="4551E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D485E3">
            <w:pPr>
              <w:pStyle w:val="12"/>
            </w:pPr>
            <w:r>
              <w:t>满意度指标</w:t>
            </w:r>
          </w:p>
        </w:tc>
        <w:tc>
          <w:tcPr>
            <w:tcW w:w="2268" w:type="dxa"/>
            <w:vAlign w:val="center"/>
          </w:tcPr>
          <w:p w14:paraId="79C070E8">
            <w:pPr>
              <w:pStyle w:val="13"/>
            </w:pPr>
            <w:r>
              <w:t>服务对象满意度指标</w:t>
            </w:r>
          </w:p>
        </w:tc>
        <w:tc>
          <w:tcPr>
            <w:tcW w:w="2835" w:type="dxa"/>
            <w:vAlign w:val="center"/>
          </w:tcPr>
          <w:p w14:paraId="0FCF304C">
            <w:pPr>
              <w:pStyle w:val="13"/>
            </w:pPr>
            <w:r>
              <w:t>受益学生家长及调查满意度</w:t>
            </w:r>
          </w:p>
        </w:tc>
        <w:tc>
          <w:tcPr>
            <w:tcW w:w="5386" w:type="dxa"/>
            <w:vAlign w:val="center"/>
          </w:tcPr>
          <w:p w14:paraId="260126D0">
            <w:pPr>
              <w:pStyle w:val="13"/>
            </w:pPr>
            <w:r>
              <w:t>学生、教师及家长对学校保教保育工作满意度情况</w:t>
            </w:r>
          </w:p>
        </w:tc>
        <w:tc>
          <w:tcPr>
            <w:tcW w:w="2268" w:type="dxa"/>
            <w:vAlign w:val="center"/>
          </w:tcPr>
          <w:p w14:paraId="2765071C">
            <w:pPr>
              <w:pStyle w:val="13"/>
            </w:pPr>
            <w:r>
              <w:t>≥95%</w:t>
            </w:r>
          </w:p>
        </w:tc>
        <w:tc>
          <w:tcPr>
            <w:tcW w:w="1276" w:type="dxa"/>
            <w:vAlign w:val="center"/>
          </w:tcPr>
          <w:p w14:paraId="31424C0E">
            <w:pPr>
              <w:pStyle w:val="13"/>
            </w:pPr>
            <w:r>
              <w:t>调查问卷</w:t>
            </w:r>
          </w:p>
          <w:p w14:paraId="0B4B5EAD">
            <w:pPr>
              <w:pStyle w:val="13"/>
            </w:pPr>
          </w:p>
        </w:tc>
      </w:tr>
    </w:tbl>
    <w:p w14:paraId="62A12E09">
      <w:pPr>
        <w:sectPr>
          <w:pgSz w:w="16840" w:h="11900" w:orient="landscape"/>
          <w:pgMar w:top="1361" w:right="1020" w:bottom="1134" w:left="1020" w:header="720" w:footer="720" w:gutter="0"/>
          <w:cols w:space="720" w:num="1"/>
        </w:sectPr>
      </w:pPr>
    </w:p>
    <w:p w14:paraId="79AEE39F">
      <w:pPr>
        <w:spacing w:before="0" w:after="0"/>
        <w:ind w:firstLine="560"/>
        <w:jc w:val="left"/>
        <w:outlineLvl w:val="9"/>
      </w:pPr>
      <w:r>
        <w:rPr>
          <w:rFonts w:ascii="方正仿宋_GBK" w:hAnsi="方正仿宋_GBK" w:eastAsia="方正仿宋_GBK" w:cs="方正仿宋_GBK"/>
          <w:b/>
          <w:color w:val="000000"/>
          <w:sz w:val="28"/>
        </w:rPr>
        <w:t>187、县级资金/隆尧县乐学幼儿园公用经费绩效目标表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D1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76844">
            <w:pPr>
              <w:pStyle w:val="14"/>
            </w:pPr>
            <w:r>
              <w:t>单位：万元</w:t>
            </w:r>
          </w:p>
        </w:tc>
      </w:tr>
      <w:tr w14:paraId="4E750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A26E0">
            <w:pPr>
              <w:pStyle w:val="11"/>
            </w:pPr>
            <w:r>
              <w:t>项目编码</w:t>
            </w:r>
          </w:p>
        </w:tc>
        <w:tc>
          <w:tcPr>
            <w:tcW w:w="5103" w:type="dxa"/>
            <w:gridSpan w:val="2"/>
            <w:vAlign w:val="center"/>
          </w:tcPr>
          <w:p w14:paraId="3A7080DD">
            <w:pPr>
              <w:pStyle w:val="13"/>
            </w:pPr>
            <w:r>
              <w:t>13052525P00875610082G</w:t>
            </w:r>
          </w:p>
        </w:tc>
        <w:tc>
          <w:tcPr>
            <w:tcW w:w="2835" w:type="dxa"/>
            <w:vAlign w:val="center"/>
          </w:tcPr>
          <w:p w14:paraId="5425A5BD">
            <w:pPr>
              <w:pStyle w:val="11"/>
            </w:pPr>
            <w:r>
              <w:t>项目名称</w:t>
            </w:r>
          </w:p>
        </w:tc>
        <w:tc>
          <w:tcPr>
            <w:tcW w:w="6095" w:type="dxa"/>
            <w:gridSpan w:val="3"/>
            <w:vAlign w:val="center"/>
          </w:tcPr>
          <w:p w14:paraId="7E0EBF10">
            <w:pPr>
              <w:pStyle w:val="13"/>
            </w:pPr>
            <w:r>
              <w:t>县级资金/隆尧县乐学幼儿园公用经费</w:t>
            </w:r>
          </w:p>
        </w:tc>
      </w:tr>
      <w:tr w14:paraId="0AD98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44177">
            <w:pPr>
              <w:pStyle w:val="11"/>
            </w:pPr>
            <w:r>
              <w:t>预算规模及资金用途</w:t>
            </w:r>
          </w:p>
        </w:tc>
        <w:tc>
          <w:tcPr>
            <w:tcW w:w="2268" w:type="dxa"/>
            <w:vAlign w:val="center"/>
          </w:tcPr>
          <w:p w14:paraId="719EA3BE">
            <w:pPr>
              <w:pStyle w:val="11"/>
            </w:pPr>
            <w:r>
              <w:t>预算数</w:t>
            </w:r>
          </w:p>
        </w:tc>
        <w:tc>
          <w:tcPr>
            <w:tcW w:w="2835" w:type="dxa"/>
            <w:vAlign w:val="center"/>
          </w:tcPr>
          <w:p w14:paraId="0CF66F68">
            <w:pPr>
              <w:pStyle w:val="13"/>
            </w:pPr>
            <w:r>
              <w:t>2.34</w:t>
            </w:r>
          </w:p>
        </w:tc>
        <w:tc>
          <w:tcPr>
            <w:tcW w:w="2835" w:type="dxa"/>
            <w:vAlign w:val="center"/>
          </w:tcPr>
          <w:p w14:paraId="16230EDD">
            <w:pPr>
              <w:pStyle w:val="11"/>
            </w:pPr>
            <w:r>
              <w:t>其中：财政    资金</w:t>
            </w:r>
          </w:p>
        </w:tc>
        <w:tc>
          <w:tcPr>
            <w:tcW w:w="2551" w:type="dxa"/>
            <w:vAlign w:val="center"/>
          </w:tcPr>
          <w:p w14:paraId="122068DD">
            <w:pPr>
              <w:pStyle w:val="13"/>
            </w:pPr>
            <w:r>
              <w:t>2.34</w:t>
            </w:r>
          </w:p>
        </w:tc>
        <w:tc>
          <w:tcPr>
            <w:tcW w:w="2268" w:type="dxa"/>
            <w:vAlign w:val="center"/>
          </w:tcPr>
          <w:p w14:paraId="4455860E">
            <w:pPr>
              <w:pStyle w:val="11"/>
            </w:pPr>
            <w:r>
              <w:t>其他资金</w:t>
            </w:r>
          </w:p>
        </w:tc>
        <w:tc>
          <w:tcPr>
            <w:tcW w:w="1276" w:type="dxa"/>
            <w:vAlign w:val="center"/>
          </w:tcPr>
          <w:p w14:paraId="5718BB6F">
            <w:pPr>
              <w:pStyle w:val="13"/>
            </w:pPr>
            <w:r>
              <w:t xml:space="preserve"> </w:t>
            </w:r>
          </w:p>
        </w:tc>
      </w:tr>
      <w:tr w14:paraId="6AF8D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84B9BB"/>
        </w:tc>
        <w:tc>
          <w:tcPr>
            <w:tcW w:w="14033" w:type="dxa"/>
            <w:gridSpan w:val="6"/>
            <w:vAlign w:val="center"/>
          </w:tcPr>
          <w:p w14:paraId="41A61566">
            <w:pPr>
              <w:pStyle w:val="13"/>
            </w:pPr>
            <w:r>
              <w:t>按季度分批次拨付安排公用经费资金，学校按照预算安排进行资金使用，保证资金正常支出。</w:t>
            </w:r>
            <w:r>
              <w:tab/>
            </w:r>
            <w:r>
              <w:tab/>
            </w:r>
            <w:r>
              <w:tab/>
            </w:r>
            <w:r>
              <w:tab/>
            </w:r>
            <w:r>
              <w:tab/>
            </w:r>
            <w:r>
              <w:tab/>
            </w:r>
          </w:p>
          <w:p w14:paraId="099CACA6">
            <w:pPr>
              <w:pStyle w:val="13"/>
            </w:pPr>
          </w:p>
        </w:tc>
      </w:tr>
      <w:tr w14:paraId="39145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FE866">
            <w:pPr>
              <w:pStyle w:val="11"/>
            </w:pPr>
            <w:r>
              <w:t>资金支出计划（%）</w:t>
            </w:r>
          </w:p>
        </w:tc>
        <w:tc>
          <w:tcPr>
            <w:tcW w:w="5103" w:type="dxa"/>
            <w:gridSpan w:val="2"/>
            <w:vAlign w:val="center"/>
          </w:tcPr>
          <w:p w14:paraId="28F0F28F">
            <w:pPr>
              <w:pStyle w:val="11"/>
            </w:pPr>
            <w:r>
              <w:t>3月底</w:t>
            </w:r>
          </w:p>
        </w:tc>
        <w:tc>
          <w:tcPr>
            <w:tcW w:w="2835" w:type="dxa"/>
            <w:vAlign w:val="center"/>
          </w:tcPr>
          <w:p w14:paraId="6241D77A">
            <w:pPr>
              <w:pStyle w:val="11"/>
            </w:pPr>
            <w:r>
              <w:t>6月底</w:t>
            </w:r>
          </w:p>
        </w:tc>
        <w:tc>
          <w:tcPr>
            <w:tcW w:w="2551" w:type="dxa"/>
            <w:vAlign w:val="center"/>
          </w:tcPr>
          <w:p w14:paraId="1DE46E68">
            <w:pPr>
              <w:pStyle w:val="11"/>
            </w:pPr>
            <w:r>
              <w:t>10月底</w:t>
            </w:r>
          </w:p>
        </w:tc>
        <w:tc>
          <w:tcPr>
            <w:tcW w:w="3544" w:type="dxa"/>
            <w:gridSpan w:val="2"/>
            <w:vAlign w:val="center"/>
          </w:tcPr>
          <w:p w14:paraId="4E0895C5">
            <w:pPr>
              <w:pStyle w:val="11"/>
            </w:pPr>
            <w:r>
              <w:t>12月底</w:t>
            </w:r>
          </w:p>
        </w:tc>
      </w:tr>
      <w:tr w14:paraId="66A22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4EBFD5"/>
        </w:tc>
        <w:tc>
          <w:tcPr>
            <w:tcW w:w="5103" w:type="dxa"/>
            <w:gridSpan w:val="2"/>
            <w:vAlign w:val="center"/>
          </w:tcPr>
          <w:p w14:paraId="6EA0A7AA">
            <w:pPr>
              <w:pStyle w:val="12"/>
            </w:pPr>
            <w:r>
              <w:t xml:space="preserve"> </w:t>
            </w:r>
          </w:p>
        </w:tc>
        <w:tc>
          <w:tcPr>
            <w:tcW w:w="2835" w:type="dxa"/>
            <w:vAlign w:val="center"/>
          </w:tcPr>
          <w:p w14:paraId="7DB09D48">
            <w:pPr>
              <w:pStyle w:val="12"/>
            </w:pPr>
            <w:r>
              <w:t>50%</w:t>
            </w:r>
          </w:p>
        </w:tc>
        <w:tc>
          <w:tcPr>
            <w:tcW w:w="2551" w:type="dxa"/>
            <w:vAlign w:val="center"/>
          </w:tcPr>
          <w:p w14:paraId="00647B63">
            <w:pPr>
              <w:pStyle w:val="12"/>
            </w:pPr>
            <w:r>
              <w:t>75%</w:t>
            </w:r>
          </w:p>
        </w:tc>
        <w:tc>
          <w:tcPr>
            <w:tcW w:w="3544" w:type="dxa"/>
            <w:gridSpan w:val="2"/>
            <w:vAlign w:val="center"/>
          </w:tcPr>
          <w:p w14:paraId="6B2A5A5B">
            <w:pPr>
              <w:pStyle w:val="12"/>
            </w:pPr>
            <w:r>
              <w:t>100%</w:t>
            </w:r>
          </w:p>
        </w:tc>
      </w:tr>
      <w:tr w14:paraId="45794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B61C2">
            <w:pPr>
              <w:pStyle w:val="11"/>
            </w:pPr>
            <w:r>
              <w:t>绩效目标</w:t>
            </w:r>
          </w:p>
        </w:tc>
        <w:tc>
          <w:tcPr>
            <w:tcW w:w="14033" w:type="dxa"/>
            <w:gridSpan w:val="6"/>
            <w:vAlign w:val="center"/>
          </w:tcPr>
          <w:p w14:paraId="1B52CCBE">
            <w:pPr>
              <w:pStyle w:val="13"/>
            </w:pPr>
            <w:r>
              <w:t>1.按季度分批次拨付安排公用经费资金，学校按照预算安排进行资金使用，保证资金正常支出。</w:t>
            </w:r>
          </w:p>
        </w:tc>
      </w:tr>
    </w:tbl>
    <w:p w14:paraId="6FFB54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8F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DCDE4">
            <w:pPr>
              <w:pStyle w:val="11"/>
            </w:pPr>
            <w:r>
              <w:t>一级指标</w:t>
            </w:r>
          </w:p>
        </w:tc>
        <w:tc>
          <w:tcPr>
            <w:tcW w:w="2268" w:type="dxa"/>
            <w:vAlign w:val="center"/>
          </w:tcPr>
          <w:p w14:paraId="0665446E">
            <w:pPr>
              <w:pStyle w:val="11"/>
            </w:pPr>
            <w:r>
              <w:t>二级指标</w:t>
            </w:r>
          </w:p>
        </w:tc>
        <w:tc>
          <w:tcPr>
            <w:tcW w:w="2835" w:type="dxa"/>
            <w:vAlign w:val="center"/>
          </w:tcPr>
          <w:p w14:paraId="4427DBB2">
            <w:pPr>
              <w:pStyle w:val="11"/>
            </w:pPr>
            <w:r>
              <w:t>三级指标</w:t>
            </w:r>
          </w:p>
        </w:tc>
        <w:tc>
          <w:tcPr>
            <w:tcW w:w="5386" w:type="dxa"/>
            <w:vAlign w:val="center"/>
          </w:tcPr>
          <w:p w14:paraId="5AB40E22">
            <w:pPr>
              <w:pStyle w:val="11"/>
            </w:pPr>
            <w:r>
              <w:t>绩效指标描述</w:t>
            </w:r>
          </w:p>
        </w:tc>
        <w:tc>
          <w:tcPr>
            <w:tcW w:w="2268" w:type="dxa"/>
            <w:vAlign w:val="center"/>
          </w:tcPr>
          <w:p w14:paraId="105271B7">
            <w:pPr>
              <w:pStyle w:val="11"/>
            </w:pPr>
            <w:r>
              <w:t>指标值</w:t>
            </w:r>
          </w:p>
        </w:tc>
        <w:tc>
          <w:tcPr>
            <w:tcW w:w="1276" w:type="dxa"/>
            <w:vAlign w:val="center"/>
          </w:tcPr>
          <w:p w14:paraId="56193691">
            <w:pPr>
              <w:pStyle w:val="11"/>
            </w:pPr>
            <w:r>
              <w:t>指标值确定依据</w:t>
            </w:r>
          </w:p>
        </w:tc>
      </w:tr>
      <w:tr w14:paraId="2A406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F8DD5">
            <w:pPr>
              <w:pStyle w:val="12"/>
            </w:pPr>
            <w:r>
              <w:t>产出指标</w:t>
            </w:r>
          </w:p>
        </w:tc>
        <w:tc>
          <w:tcPr>
            <w:tcW w:w="2268" w:type="dxa"/>
            <w:vAlign w:val="center"/>
          </w:tcPr>
          <w:p w14:paraId="714C25A7">
            <w:pPr>
              <w:pStyle w:val="13"/>
            </w:pPr>
            <w:r>
              <w:t>数量指标</w:t>
            </w:r>
          </w:p>
        </w:tc>
        <w:tc>
          <w:tcPr>
            <w:tcW w:w="2835" w:type="dxa"/>
            <w:vAlign w:val="center"/>
          </w:tcPr>
          <w:p w14:paraId="4D5FF051">
            <w:pPr>
              <w:pStyle w:val="13"/>
            </w:pPr>
            <w:r>
              <w:t>适龄在校生</w:t>
            </w:r>
          </w:p>
        </w:tc>
        <w:tc>
          <w:tcPr>
            <w:tcW w:w="5386" w:type="dxa"/>
            <w:vAlign w:val="center"/>
          </w:tcPr>
          <w:p w14:paraId="099FB664">
            <w:pPr>
              <w:pStyle w:val="13"/>
            </w:pPr>
            <w:r>
              <w:t>辖区内适龄儿童全覆盖</w:t>
            </w:r>
          </w:p>
        </w:tc>
        <w:tc>
          <w:tcPr>
            <w:tcW w:w="2268" w:type="dxa"/>
            <w:vAlign w:val="center"/>
          </w:tcPr>
          <w:p w14:paraId="08EA5EEA">
            <w:pPr>
              <w:pStyle w:val="13"/>
            </w:pPr>
            <w:r>
              <w:t>52人</w:t>
            </w:r>
          </w:p>
        </w:tc>
        <w:tc>
          <w:tcPr>
            <w:tcW w:w="1276" w:type="dxa"/>
            <w:vAlign w:val="center"/>
          </w:tcPr>
          <w:p w14:paraId="2E30553F">
            <w:pPr>
              <w:pStyle w:val="13"/>
            </w:pPr>
            <w:r>
              <w:t>幼儿园生均公用经费管理办法</w:t>
            </w:r>
          </w:p>
        </w:tc>
      </w:tr>
      <w:tr w14:paraId="22490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C90A0"/>
        </w:tc>
        <w:tc>
          <w:tcPr>
            <w:tcW w:w="2268" w:type="dxa"/>
            <w:vAlign w:val="center"/>
          </w:tcPr>
          <w:p w14:paraId="7E8203E5">
            <w:pPr>
              <w:pStyle w:val="13"/>
            </w:pPr>
            <w:r>
              <w:t>质量指标</w:t>
            </w:r>
          </w:p>
        </w:tc>
        <w:tc>
          <w:tcPr>
            <w:tcW w:w="2835" w:type="dxa"/>
            <w:vAlign w:val="center"/>
          </w:tcPr>
          <w:p w14:paraId="1C4FFA4E">
            <w:pPr>
              <w:pStyle w:val="13"/>
            </w:pPr>
            <w:r>
              <w:t>预算控制率</w:t>
            </w:r>
          </w:p>
        </w:tc>
        <w:tc>
          <w:tcPr>
            <w:tcW w:w="5386" w:type="dxa"/>
            <w:vAlign w:val="center"/>
          </w:tcPr>
          <w:p w14:paraId="0A37F64A">
            <w:pPr>
              <w:pStyle w:val="13"/>
            </w:pPr>
            <w:r>
              <w:t>预算执行</w:t>
            </w:r>
          </w:p>
        </w:tc>
        <w:tc>
          <w:tcPr>
            <w:tcW w:w="2268" w:type="dxa"/>
            <w:vAlign w:val="center"/>
          </w:tcPr>
          <w:p w14:paraId="63359AAC">
            <w:pPr>
              <w:pStyle w:val="13"/>
            </w:pPr>
            <w:r>
              <w:t>≥95%</w:t>
            </w:r>
          </w:p>
        </w:tc>
        <w:tc>
          <w:tcPr>
            <w:tcW w:w="1276" w:type="dxa"/>
            <w:vAlign w:val="center"/>
          </w:tcPr>
          <w:p w14:paraId="3401938F">
            <w:pPr>
              <w:pStyle w:val="13"/>
            </w:pPr>
            <w:r>
              <w:t>幼儿园生均公用经费管理办法</w:t>
            </w:r>
          </w:p>
        </w:tc>
      </w:tr>
      <w:tr w14:paraId="23931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A3FDE"/>
        </w:tc>
        <w:tc>
          <w:tcPr>
            <w:tcW w:w="2268" w:type="dxa"/>
            <w:vAlign w:val="center"/>
          </w:tcPr>
          <w:p w14:paraId="69587406">
            <w:pPr>
              <w:pStyle w:val="13"/>
            </w:pPr>
            <w:r>
              <w:t>时效指标</w:t>
            </w:r>
          </w:p>
        </w:tc>
        <w:tc>
          <w:tcPr>
            <w:tcW w:w="2835" w:type="dxa"/>
            <w:vAlign w:val="center"/>
          </w:tcPr>
          <w:p w14:paraId="03CA64E3">
            <w:pPr>
              <w:pStyle w:val="13"/>
            </w:pPr>
            <w:r>
              <w:t>资金支付率</w:t>
            </w:r>
          </w:p>
        </w:tc>
        <w:tc>
          <w:tcPr>
            <w:tcW w:w="5386" w:type="dxa"/>
            <w:vAlign w:val="center"/>
          </w:tcPr>
          <w:p w14:paraId="5CC89494">
            <w:pPr>
              <w:pStyle w:val="13"/>
            </w:pPr>
            <w:r>
              <w:t>按照序时进度完成资金支付</w:t>
            </w:r>
          </w:p>
        </w:tc>
        <w:tc>
          <w:tcPr>
            <w:tcW w:w="2268" w:type="dxa"/>
            <w:vAlign w:val="center"/>
          </w:tcPr>
          <w:p w14:paraId="079A748B">
            <w:pPr>
              <w:pStyle w:val="13"/>
            </w:pPr>
            <w:r>
              <w:t>≥100%</w:t>
            </w:r>
          </w:p>
        </w:tc>
        <w:tc>
          <w:tcPr>
            <w:tcW w:w="1276" w:type="dxa"/>
            <w:vAlign w:val="center"/>
          </w:tcPr>
          <w:p w14:paraId="30EC0AFE">
            <w:pPr>
              <w:pStyle w:val="13"/>
            </w:pPr>
            <w:r>
              <w:t>幼儿园生均公用经费管理办法</w:t>
            </w:r>
          </w:p>
        </w:tc>
      </w:tr>
      <w:tr w14:paraId="462A8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D6B3"/>
        </w:tc>
        <w:tc>
          <w:tcPr>
            <w:tcW w:w="2268" w:type="dxa"/>
            <w:vAlign w:val="center"/>
          </w:tcPr>
          <w:p w14:paraId="08B96C84">
            <w:pPr>
              <w:pStyle w:val="13"/>
            </w:pPr>
            <w:r>
              <w:t>成本指标</w:t>
            </w:r>
          </w:p>
        </w:tc>
        <w:tc>
          <w:tcPr>
            <w:tcW w:w="2835" w:type="dxa"/>
            <w:vAlign w:val="center"/>
          </w:tcPr>
          <w:p w14:paraId="5D273C6E">
            <w:pPr>
              <w:pStyle w:val="13"/>
            </w:pPr>
            <w:r>
              <w:t>生均拨款标准</w:t>
            </w:r>
          </w:p>
        </w:tc>
        <w:tc>
          <w:tcPr>
            <w:tcW w:w="5386" w:type="dxa"/>
            <w:vAlign w:val="center"/>
          </w:tcPr>
          <w:p w14:paraId="68F5E420">
            <w:pPr>
              <w:pStyle w:val="13"/>
            </w:pPr>
            <w:r>
              <w:t>学前经费600元/生/年</w:t>
            </w:r>
          </w:p>
        </w:tc>
        <w:tc>
          <w:tcPr>
            <w:tcW w:w="2268" w:type="dxa"/>
            <w:vAlign w:val="center"/>
          </w:tcPr>
          <w:p w14:paraId="22D5D7C5">
            <w:pPr>
              <w:pStyle w:val="13"/>
            </w:pPr>
            <w:r>
              <w:t>600元</w:t>
            </w:r>
          </w:p>
        </w:tc>
        <w:tc>
          <w:tcPr>
            <w:tcW w:w="1276" w:type="dxa"/>
            <w:vAlign w:val="center"/>
          </w:tcPr>
          <w:p w14:paraId="78DEE36E">
            <w:pPr>
              <w:pStyle w:val="13"/>
            </w:pPr>
            <w:r>
              <w:t>幼儿园生均公用经费管理办法</w:t>
            </w:r>
          </w:p>
        </w:tc>
      </w:tr>
      <w:tr w14:paraId="432E9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844992">
            <w:pPr>
              <w:pStyle w:val="12"/>
            </w:pPr>
            <w:r>
              <w:t>效益指标</w:t>
            </w:r>
          </w:p>
        </w:tc>
        <w:tc>
          <w:tcPr>
            <w:tcW w:w="2268" w:type="dxa"/>
            <w:vAlign w:val="center"/>
          </w:tcPr>
          <w:p w14:paraId="0276A969">
            <w:pPr>
              <w:pStyle w:val="13"/>
            </w:pPr>
            <w:r>
              <w:t>可持续影响指标</w:t>
            </w:r>
          </w:p>
        </w:tc>
        <w:tc>
          <w:tcPr>
            <w:tcW w:w="2835" w:type="dxa"/>
            <w:vAlign w:val="center"/>
          </w:tcPr>
          <w:p w14:paraId="3EBCEDE4">
            <w:pPr>
              <w:pStyle w:val="13"/>
            </w:pPr>
            <w:r>
              <w:t>教育发展水平明显好转</w:t>
            </w:r>
          </w:p>
        </w:tc>
        <w:tc>
          <w:tcPr>
            <w:tcW w:w="5386" w:type="dxa"/>
            <w:vAlign w:val="center"/>
          </w:tcPr>
          <w:p w14:paraId="0350D6B8">
            <w:pPr>
              <w:pStyle w:val="13"/>
            </w:pPr>
            <w:r>
              <w:t>学生受教育年限</w:t>
            </w:r>
          </w:p>
        </w:tc>
        <w:tc>
          <w:tcPr>
            <w:tcW w:w="2268" w:type="dxa"/>
            <w:vAlign w:val="center"/>
          </w:tcPr>
          <w:p w14:paraId="5B4F5620">
            <w:pPr>
              <w:pStyle w:val="13"/>
            </w:pPr>
            <w:r>
              <w:t>3年</w:t>
            </w:r>
          </w:p>
        </w:tc>
        <w:tc>
          <w:tcPr>
            <w:tcW w:w="1276" w:type="dxa"/>
            <w:vAlign w:val="center"/>
          </w:tcPr>
          <w:p w14:paraId="1A4868FF">
            <w:pPr>
              <w:pStyle w:val="13"/>
            </w:pPr>
            <w:r>
              <w:t>幼儿园生均公用经费管理办法</w:t>
            </w:r>
          </w:p>
        </w:tc>
      </w:tr>
      <w:tr w14:paraId="1DC52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17EB18">
            <w:pPr>
              <w:pStyle w:val="12"/>
            </w:pPr>
            <w:r>
              <w:t>满意度指标</w:t>
            </w:r>
          </w:p>
        </w:tc>
        <w:tc>
          <w:tcPr>
            <w:tcW w:w="2268" w:type="dxa"/>
            <w:vAlign w:val="center"/>
          </w:tcPr>
          <w:p w14:paraId="5D2BFBDE">
            <w:pPr>
              <w:pStyle w:val="13"/>
            </w:pPr>
            <w:r>
              <w:t>服务对象满意度指标</w:t>
            </w:r>
          </w:p>
        </w:tc>
        <w:tc>
          <w:tcPr>
            <w:tcW w:w="2835" w:type="dxa"/>
            <w:vAlign w:val="center"/>
          </w:tcPr>
          <w:p w14:paraId="2639D972">
            <w:pPr>
              <w:pStyle w:val="13"/>
            </w:pPr>
            <w:r>
              <w:t>受益学生家长及调查满意度</w:t>
            </w:r>
          </w:p>
        </w:tc>
        <w:tc>
          <w:tcPr>
            <w:tcW w:w="5386" w:type="dxa"/>
            <w:vAlign w:val="center"/>
          </w:tcPr>
          <w:p w14:paraId="77D3D38F">
            <w:pPr>
              <w:pStyle w:val="13"/>
            </w:pPr>
            <w:r>
              <w:t>学生、教师及家长对学校保教保育工作满意度情况</w:t>
            </w:r>
          </w:p>
        </w:tc>
        <w:tc>
          <w:tcPr>
            <w:tcW w:w="2268" w:type="dxa"/>
            <w:vAlign w:val="center"/>
          </w:tcPr>
          <w:p w14:paraId="6CD1E103">
            <w:pPr>
              <w:pStyle w:val="13"/>
            </w:pPr>
            <w:r>
              <w:t>≥95%</w:t>
            </w:r>
          </w:p>
        </w:tc>
        <w:tc>
          <w:tcPr>
            <w:tcW w:w="1276" w:type="dxa"/>
            <w:vAlign w:val="center"/>
          </w:tcPr>
          <w:p w14:paraId="13AA80A6">
            <w:pPr>
              <w:pStyle w:val="13"/>
            </w:pPr>
            <w:r>
              <w:t>调查问卷</w:t>
            </w:r>
          </w:p>
        </w:tc>
      </w:tr>
    </w:tbl>
    <w:p w14:paraId="281A8EA1">
      <w:pPr>
        <w:sectPr>
          <w:pgSz w:w="16840" w:h="11900" w:orient="landscape"/>
          <w:pgMar w:top="1361" w:right="1020" w:bottom="1134" w:left="1020" w:header="720" w:footer="720" w:gutter="0"/>
          <w:cols w:space="720" w:num="1"/>
        </w:sectPr>
      </w:pPr>
    </w:p>
    <w:p w14:paraId="3C34E4B2">
      <w:pPr>
        <w:spacing w:before="0" w:after="0"/>
        <w:ind w:firstLine="560"/>
        <w:jc w:val="left"/>
        <w:outlineLvl w:val="9"/>
      </w:pPr>
      <w:r>
        <w:rPr>
          <w:rFonts w:ascii="方正仿宋_GBK" w:hAnsi="方正仿宋_GBK" w:eastAsia="方正仿宋_GBK" w:cs="方正仿宋_GBK"/>
          <w:b/>
          <w:color w:val="000000"/>
          <w:sz w:val="28"/>
        </w:rPr>
        <w:t>188、县级资金/隆尧县明星幼儿园公用经费绩效目标表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97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BA8A1">
            <w:pPr>
              <w:pStyle w:val="14"/>
            </w:pPr>
            <w:r>
              <w:t>单位：万元</w:t>
            </w:r>
          </w:p>
        </w:tc>
      </w:tr>
      <w:tr w14:paraId="6F6C0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3755F5">
            <w:pPr>
              <w:pStyle w:val="11"/>
            </w:pPr>
            <w:r>
              <w:t>项目编码</w:t>
            </w:r>
          </w:p>
        </w:tc>
        <w:tc>
          <w:tcPr>
            <w:tcW w:w="5103" w:type="dxa"/>
            <w:gridSpan w:val="2"/>
            <w:vAlign w:val="center"/>
          </w:tcPr>
          <w:p w14:paraId="217D5068">
            <w:pPr>
              <w:pStyle w:val="13"/>
            </w:pPr>
            <w:r>
              <w:t>13052525P00875610055P</w:t>
            </w:r>
          </w:p>
        </w:tc>
        <w:tc>
          <w:tcPr>
            <w:tcW w:w="2835" w:type="dxa"/>
            <w:vAlign w:val="center"/>
          </w:tcPr>
          <w:p w14:paraId="495CE98E">
            <w:pPr>
              <w:pStyle w:val="11"/>
            </w:pPr>
            <w:r>
              <w:t>项目名称</w:t>
            </w:r>
          </w:p>
        </w:tc>
        <w:tc>
          <w:tcPr>
            <w:tcW w:w="6095" w:type="dxa"/>
            <w:gridSpan w:val="3"/>
            <w:vAlign w:val="center"/>
          </w:tcPr>
          <w:p w14:paraId="7D180EE2">
            <w:pPr>
              <w:pStyle w:val="13"/>
            </w:pPr>
            <w:r>
              <w:t>县级资金/隆尧县明星幼儿园公用经费</w:t>
            </w:r>
          </w:p>
        </w:tc>
      </w:tr>
      <w:tr w14:paraId="35970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03244">
            <w:pPr>
              <w:pStyle w:val="11"/>
            </w:pPr>
            <w:r>
              <w:t>预算规模及资金用途</w:t>
            </w:r>
          </w:p>
        </w:tc>
        <w:tc>
          <w:tcPr>
            <w:tcW w:w="2268" w:type="dxa"/>
            <w:vAlign w:val="center"/>
          </w:tcPr>
          <w:p w14:paraId="68B41DE2">
            <w:pPr>
              <w:pStyle w:val="11"/>
            </w:pPr>
            <w:r>
              <w:t>预算数</w:t>
            </w:r>
          </w:p>
        </w:tc>
        <w:tc>
          <w:tcPr>
            <w:tcW w:w="2835" w:type="dxa"/>
            <w:vAlign w:val="center"/>
          </w:tcPr>
          <w:p w14:paraId="3D6E290A">
            <w:pPr>
              <w:pStyle w:val="13"/>
            </w:pPr>
            <w:r>
              <w:t>1.94</w:t>
            </w:r>
          </w:p>
        </w:tc>
        <w:tc>
          <w:tcPr>
            <w:tcW w:w="2835" w:type="dxa"/>
            <w:vAlign w:val="center"/>
          </w:tcPr>
          <w:p w14:paraId="2672D7CF">
            <w:pPr>
              <w:pStyle w:val="11"/>
            </w:pPr>
            <w:r>
              <w:t>其中：财政    资金</w:t>
            </w:r>
          </w:p>
        </w:tc>
        <w:tc>
          <w:tcPr>
            <w:tcW w:w="2551" w:type="dxa"/>
            <w:vAlign w:val="center"/>
          </w:tcPr>
          <w:p w14:paraId="01258201">
            <w:pPr>
              <w:pStyle w:val="13"/>
            </w:pPr>
            <w:r>
              <w:t>1.94</w:t>
            </w:r>
          </w:p>
        </w:tc>
        <w:tc>
          <w:tcPr>
            <w:tcW w:w="2268" w:type="dxa"/>
            <w:vAlign w:val="center"/>
          </w:tcPr>
          <w:p w14:paraId="355B7C42">
            <w:pPr>
              <w:pStyle w:val="11"/>
            </w:pPr>
            <w:r>
              <w:t>其他资金</w:t>
            </w:r>
          </w:p>
        </w:tc>
        <w:tc>
          <w:tcPr>
            <w:tcW w:w="1276" w:type="dxa"/>
            <w:vAlign w:val="center"/>
          </w:tcPr>
          <w:p w14:paraId="0E77B739">
            <w:pPr>
              <w:pStyle w:val="13"/>
            </w:pPr>
            <w:r>
              <w:t xml:space="preserve"> </w:t>
            </w:r>
          </w:p>
        </w:tc>
      </w:tr>
      <w:tr w14:paraId="0A05D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FE64D"/>
        </w:tc>
        <w:tc>
          <w:tcPr>
            <w:tcW w:w="14033" w:type="dxa"/>
            <w:gridSpan w:val="6"/>
            <w:vAlign w:val="center"/>
          </w:tcPr>
          <w:p w14:paraId="21E4CE89">
            <w:pPr>
              <w:pStyle w:val="13"/>
            </w:pPr>
            <w:r>
              <w:t>按季度分批次拨付安排公用经费资金，学校按照预算安排进行资金使用，保证资金正常支出。</w:t>
            </w:r>
          </w:p>
        </w:tc>
      </w:tr>
      <w:tr w14:paraId="1CAE9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4F192">
            <w:pPr>
              <w:pStyle w:val="11"/>
            </w:pPr>
            <w:r>
              <w:t>资金支出计划（%）</w:t>
            </w:r>
          </w:p>
        </w:tc>
        <w:tc>
          <w:tcPr>
            <w:tcW w:w="5103" w:type="dxa"/>
            <w:gridSpan w:val="2"/>
            <w:vAlign w:val="center"/>
          </w:tcPr>
          <w:p w14:paraId="72266317">
            <w:pPr>
              <w:pStyle w:val="11"/>
            </w:pPr>
            <w:r>
              <w:t>3月底</w:t>
            </w:r>
          </w:p>
        </w:tc>
        <w:tc>
          <w:tcPr>
            <w:tcW w:w="2835" w:type="dxa"/>
            <w:vAlign w:val="center"/>
          </w:tcPr>
          <w:p w14:paraId="19392E93">
            <w:pPr>
              <w:pStyle w:val="11"/>
            </w:pPr>
            <w:r>
              <w:t>6月底</w:t>
            </w:r>
          </w:p>
        </w:tc>
        <w:tc>
          <w:tcPr>
            <w:tcW w:w="2551" w:type="dxa"/>
            <w:vAlign w:val="center"/>
          </w:tcPr>
          <w:p w14:paraId="75B75402">
            <w:pPr>
              <w:pStyle w:val="11"/>
            </w:pPr>
            <w:r>
              <w:t>10月底</w:t>
            </w:r>
          </w:p>
        </w:tc>
        <w:tc>
          <w:tcPr>
            <w:tcW w:w="3544" w:type="dxa"/>
            <w:gridSpan w:val="2"/>
            <w:vAlign w:val="center"/>
          </w:tcPr>
          <w:p w14:paraId="71D65F1F">
            <w:pPr>
              <w:pStyle w:val="11"/>
            </w:pPr>
            <w:r>
              <w:t>12月底</w:t>
            </w:r>
          </w:p>
        </w:tc>
      </w:tr>
      <w:tr w14:paraId="27614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50F2D"/>
        </w:tc>
        <w:tc>
          <w:tcPr>
            <w:tcW w:w="5103" w:type="dxa"/>
            <w:gridSpan w:val="2"/>
            <w:vAlign w:val="center"/>
          </w:tcPr>
          <w:p w14:paraId="46B808B0">
            <w:pPr>
              <w:pStyle w:val="12"/>
            </w:pPr>
            <w:r>
              <w:t xml:space="preserve"> </w:t>
            </w:r>
          </w:p>
        </w:tc>
        <w:tc>
          <w:tcPr>
            <w:tcW w:w="2835" w:type="dxa"/>
            <w:vAlign w:val="center"/>
          </w:tcPr>
          <w:p w14:paraId="7A267B03">
            <w:pPr>
              <w:pStyle w:val="12"/>
            </w:pPr>
            <w:r>
              <w:t>50%</w:t>
            </w:r>
          </w:p>
        </w:tc>
        <w:tc>
          <w:tcPr>
            <w:tcW w:w="2551" w:type="dxa"/>
            <w:vAlign w:val="center"/>
          </w:tcPr>
          <w:p w14:paraId="7C773107">
            <w:pPr>
              <w:pStyle w:val="12"/>
            </w:pPr>
            <w:r>
              <w:t>75%</w:t>
            </w:r>
          </w:p>
        </w:tc>
        <w:tc>
          <w:tcPr>
            <w:tcW w:w="3544" w:type="dxa"/>
            <w:gridSpan w:val="2"/>
            <w:vAlign w:val="center"/>
          </w:tcPr>
          <w:p w14:paraId="6E1C8431">
            <w:pPr>
              <w:pStyle w:val="12"/>
            </w:pPr>
            <w:r>
              <w:t>100%</w:t>
            </w:r>
          </w:p>
        </w:tc>
      </w:tr>
      <w:tr w14:paraId="03978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8EF48">
            <w:pPr>
              <w:pStyle w:val="11"/>
            </w:pPr>
            <w:r>
              <w:t>绩效目标</w:t>
            </w:r>
          </w:p>
        </w:tc>
        <w:tc>
          <w:tcPr>
            <w:tcW w:w="14033" w:type="dxa"/>
            <w:gridSpan w:val="6"/>
            <w:vAlign w:val="center"/>
          </w:tcPr>
          <w:p w14:paraId="1C25BB5D">
            <w:pPr>
              <w:pStyle w:val="13"/>
            </w:pPr>
            <w:r>
              <w:t>1.按季度分批次拨付安排公用经费资金，学校按照预算安排进行资金使用，保证资金正常支出。</w:t>
            </w:r>
          </w:p>
        </w:tc>
      </w:tr>
    </w:tbl>
    <w:p w14:paraId="5F586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AD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11177">
            <w:pPr>
              <w:pStyle w:val="11"/>
            </w:pPr>
            <w:r>
              <w:t>一级指标</w:t>
            </w:r>
          </w:p>
        </w:tc>
        <w:tc>
          <w:tcPr>
            <w:tcW w:w="2268" w:type="dxa"/>
            <w:vAlign w:val="center"/>
          </w:tcPr>
          <w:p w14:paraId="3A81F47D">
            <w:pPr>
              <w:pStyle w:val="11"/>
            </w:pPr>
            <w:r>
              <w:t>二级指标</w:t>
            </w:r>
          </w:p>
        </w:tc>
        <w:tc>
          <w:tcPr>
            <w:tcW w:w="2835" w:type="dxa"/>
            <w:vAlign w:val="center"/>
          </w:tcPr>
          <w:p w14:paraId="0ADAD44C">
            <w:pPr>
              <w:pStyle w:val="11"/>
            </w:pPr>
            <w:r>
              <w:t>三级指标</w:t>
            </w:r>
          </w:p>
        </w:tc>
        <w:tc>
          <w:tcPr>
            <w:tcW w:w="5386" w:type="dxa"/>
            <w:vAlign w:val="center"/>
          </w:tcPr>
          <w:p w14:paraId="0D372829">
            <w:pPr>
              <w:pStyle w:val="11"/>
            </w:pPr>
            <w:r>
              <w:t>绩效指标描述</w:t>
            </w:r>
          </w:p>
        </w:tc>
        <w:tc>
          <w:tcPr>
            <w:tcW w:w="2268" w:type="dxa"/>
            <w:vAlign w:val="center"/>
          </w:tcPr>
          <w:p w14:paraId="613D79BC">
            <w:pPr>
              <w:pStyle w:val="11"/>
            </w:pPr>
            <w:r>
              <w:t>指标值</w:t>
            </w:r>
          </w:p>
        </w:tc>
        <w:tc>
          <w:tcPr>
            <w:tcW w:w="1276" w:type="dxa"/>
            <w:vAlign w:val="center"/>
          </w:tcPr>
          <w:p w14:paraId="36408CA7">
            <w:pPr>
              <w:pStyle w:val="11"/>
            </w:pPr>
            <w:r>
              <w:t>指标值确定依据</w:t>
            </w:r>
          </w:p>
        </w:tc>
      </w:tr>
      <w:tr w14:paraId="216C9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C3DC7">
            <w:pPr>
              <w:pStyle w:val="12"/>
            </w:pPr>
            <w:r>
              <w:t>产出指标</w:t>
            </w:r>
          </w:p>
        </w:tc>
        <w:tc>
          <w:tcPr>
            <w:tcW w:w="2268" w:type="dxa"/>
            <w:vAlign w:val="center"/>
          </w:tcPr>
          <w:p w14:paraId="51F7CB6E">
            <w:pPr>
              <w:pStyle w:val="13"/>
            </w:pPr>
            <w:r>
              <w:t>数量指标</w:t>
            </w:r>
          </w:p>
        </w:tc>
        <w:tc>
          <w:tcPr>
            <w:tcW w:w="2835" w:type="dxa"/>
            <w:vAlign w:val="center"/>
          </w:tcPr>
          <w:p w14:paraId="63021243">
            <w:pPr>
              <w:pStyle w:val="13"/>
            </w:pPr>
            <w:r>
              <w:t>适龄在校生</w:t>
            </w:r>
          </w:p>
        </w:tc>
        <w:tc>
          <w:tcPr>
            <w:tcW w:w="5386" w:type="dxa"/>
            <w:vAlign w:val="center"/>
          </w:tcPr>
          <w:p w14:paraId="7846058E">
            <w:pPr>
              <w:pStyle w:val="13"/>
            </w:pPr>
            <w:r>
              <w:t>辖区内适龄儿童全覆盖</w:t>
            </w:r>
          </w:p>
        </w:tc>
        <w:tc>
          <w:tcPr>
            <w:tcW w:w="2268" w:type="dxa"/>
            <w:vAlign w:val="center"/>
          </w:tcPr>
          <w:p w14:paraId="2EA452EF">
            <w:pPr>
              <w:pStyle w:val="13"/>
            </w:pPr>
            <w:r>
              <w:t>43人</w:t>
            </w:r>
          </w:p>
        </w:tc>
        <w:tc>
          <w:tcPr>
            <w:tcW w:w="1276" w:type="dxa"/>
            <w:vAlign w:val="center"/>
          </w:tcPr>
          <w:p w14:paraId="741F7AC0">
            <w:pPr>
              <w:pStyle w:val="13"/>
            </w:pPr>
            <w:r>
              <w:t>幼儿园生均公用经费管理办法</w:t>
            </w:r>
          </w:p>
        </w:tc>
      </w:tr>
      <w:tr w14:paraId="068C7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476BA"/>
        </w:tc>
        <w:tc>
          <w:tcPr>
            <w:tcW w:w="2268" w:type="dxa"/>
            <w:vAlign w:val="center"/>
          </w:tcPr>
          <w:p w14:paraId="47291102">
            <w:pPr>
              <w:pStyle w:val="13"/>
            </w:pPr>
            <w:r>
              <w:t>质量指标</w:t>
            </w:r>
          </w:p>
        </w:tc>
        <w:tc>
          <w:tcPr>
            <w:tcW w:w="2835" w:type="dxa"/>
            <w:vAlign w:val="center"/>
          </w:tcPr>
          <w:p w14:paraId="39DB46A0">
            <w:pPr>
              <w:pStyle w:val="13"/>
            </w:pPr>
            <w:r>
              <w:t>预算控制率</w:t>
            </w:r>
          </w:p>
        </w:tc>
        <w:tc>
          <w:tcPr>
            <w:tcW w:w="5386" w:type="dxa"/>
            <w:vAlign w:val="center"/>
          </w:tcPr>
          <w:p w14:paraId="6356DCE8">
            <w:pPr>
              <w:pStyle w:val="13"/>
            </w:pPr>
            <w:r>
              <w:t>预算执行</w:t>
            </w:r>
          </w:p>
        </w:tc>
        <w:tc>
          <w:tcPr>
            <w:tcW w:w="2268" w:type="dxa"/>
            <w:vAlign w:val="center"/>
          </w:tcPr>
          <w:p w14:paraId="317015D3">
            <w:pPr>
              <w:pStyle w:val="13"/>
            </w:pPr>
            <w:r>
              <w:t>≥95%</w:t>
            </w:r>
          </w:p>
        </w:tc>
        <w:tc>
          <w:tcPr>
            <w:tcW w:w="1276" w:type="dxa"/>
            <w:vAlign w:val="center"/>
          </w:tcPr>
          <w:p w14:paraId="09650893">
            <w:pPr>
              <w:pStyle w:val="13"/>
            </w:pPr>
            <w:r>
              <w:t>幼儿园生均公用经费管理办法</w:t>
            </w:r>
          </w:p>
        </w:tc>
      </w:tr>
      <w:tr w14:paraId="13D4C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B5EFB"/>
        </w:tc>
        <w:tc>
          <w:tcPr>
            <w:tcW w:w="2268" w:type="dxa"/>
            <w:vAlign w:val="center"/>
          </w:tcPr>
          <w:p w14:paraId="3826AFA0">
            <w:pPr>
              <w:pStyle w:val="13"/>
            </w:pPr>
            <w:r>
              <w:t>时效指标</w:t>
            </w:r>
          </w:p>
        </w:tc>
        <w:tc>
          <w:tcPr>
            <w:tcW w:w="2835" w:type="dxa"/>
            <w:vAlign w:val="center"/>
          </w:tcPr>
          <w:p w14:paraId="0A5DB7F0">
            <w:pPr>
              <w:pStyle w:val="13"/>
            </w:pPr>
            <w:r>
              <w:t>资金支付率</w:t>
            </w:r>
          </w:p>
        </w:tc>
        <w:tc>
          <w:tcPr>
            <w:tcW w:w="5386" w:type="dxa"/>
            <w:vAlign w:val="center"/>
          </w:tcPr>
          <w:p w14:paraId="04162635">
            <w:pPr>
              <w:pStyle w:val="13"/>
            </w:pPr>
            <w:r>
              <w:t>按照序时进度完成资金支付</w:t>
            </w:r>
          </w:p>
        </w:tc>
        <w:tc>
          <w:tcPr>
            <w:tcW w:w="2268" w:type="dxa"/>
            <w:vAlign w:val="center"/>
          </w:tcPr>
          <w:p w14:paraId="5C50D869">
            <w:pPr>
              <w:pStyle w:val="13"/>
            </w:pPr>
            <w:r>
              <w:t>≥100%</w:t>
            </w:r>
          </w:p>
        </w:tc>
        <w:tc>
          <w:tcPr>
            <w:tcW w:w="1276" w:type="dxa"/>
            <w:vAlign w:val="center"/>
          </w:tcPr>
          <w:p w14:paraId="34B2C781">
            <w:pPr>
              <w:pStyle w:val="13"/>
            </w:pPr>
            <w:r>
              <w:t>幼儿园生均公用经费管理办法</w:t>
            </w:r>
          </w:p>
        </w:tc>
      </w:tr>
      <w:tr w14:paraId="4B87E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227B0"/>
        </w:tc>
        <w:tc>
          <w:tcPr>
            <w:tcW w:w="2268" w:type="dxa"/>
            <w:vAlign w:val="center"/>
          </w:tcPr>
          <w:p w14:paraId="26CD18B7">
            <w:pPr>
              <w:pStyle w:val="13"/>
            </w:pPr>
            <w:r>
              <w:t>成本指标</w:t>
            </w:r>
          </w:p>
        </w:tc>
        <w:tc>
          <w:tcPr>
            <w:tcW w:w="2835" w:type="dxa"/>
            <w:vAlign w:val="center"/>
          </w:tcPr>
          <w:p w14:paraId="633FABF1">
            <w:pPr>
              <w:pStyle w:val="13"/>
            </w:pPr>
            <w:r>
              <w:t>生均拨款标准</w:t>
            </w:r>
          </w:p>
        </w:tc>
        <w:tc>
          <w:tcPr>
            <w:tcW w:w="5386" w:type="dxa"/>
            <w:vAlign w:val="center"/>
          </w:tcPr>
          <w:p w14:paraId="25DCC193">
            <w:pPr>
              <w:pStyle w:val="13"/>
            </w:pPr>
            <w:r>
              <w:t>学前经费600元/生/年</w:t>
            </w:r>
          </w:p>
        </w:tc>
        <w:tc>
          <w:tcPr>
            <w:tcW w:w="2268" w:type="dxa"/>
            <w:vAlign w:val="center"/>
          </w:tcPr>
          <w:p w14:paraId="1A11E7F9">
            <w:pPr>
              <w:pStyle w:val="13"/>
            </w:pPr>
            <w:r>
              <w:t>600元</w:t>
            </w:r>
          </w:p>
        </w:tc>
        <w:tc>
          <w:tcPr>
            <w:tcW w:w="1276" w:type="dxa"/>
            <w:vAlign w:val="center"/>
          </w:tcPr>
          <w:p w14:paraId="123C3645">
            <w:pPr>
              <w:pStyle w:val="13"/>
            </w:pPr>
            <w:r>
              <w:t>幼儿园生均公用经费管理办法</w:t>
            </w:r>
          </w:p>
        </w:tc>
      </w:tr>
      <w:tr w14:paraId="56D7A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08B039">
            <w:pPr>
              <w:pStyle w:val="12"/>
            </w:pPr>
            <w:r>
              <w:t>效益指标</w:t>
            </w:r>
          </w:p>
        </w:tc>
        <w:tc>
          <w:tcPr>
            <w:tcW w:w="2268" w:type="dxa"/>
            <w:vAlign w:val="center"/>
          </w:tcPr>
          <w:p w14:paraId="20F61F40">
            <w:pPr>
              <w:pStyle w:val="13"/>
            </w:pPr>
            <w:r>
              <w:t>可持续影响指标</w:t>
            </w:r>
          </w:p>
        </w:tc>
        <w:tc>
          <w:tcPr>
            <w:tcW w:w="2835" w:type="dxa"/>
            <w:vAlign w:val="center"/>
          </w:tcPr>
          <w:p w14:paraId="524F542C">
            <w:pPr>
              <w:pStyle w:val="13"/>
            </w:pPr>
            <w:r>
              <w:t>教育发展水平明显好转</w:t>
            </w:r>
          </w:p>
        </w:tc>
        <w:tc>
          <w:tcPr>
            <w:tcW w:w="5386" w:type="dxa"/>
            <w:vAlign w:val="center"/>
          </w:tcPr>
          <w:p w14:paraId="574DFDD8">
            <w:pPr>
              <w:pStyle w:val="13"/>
            </w:pPr>
            <w:r>
              <w:t>学生受教育年限</w:t>
            </w:r>
          </w:p>
        </w:tc>
        <w:tc>
          <w:tcPr>
            <w:tcW w:w="2268" w:type="dxa"/>
            <w:vAlign w:val="center"/>
          </w:tcPr>
          <w:p w14:paraId="4F157B6B">
            <w:pPr>
              <w:pStyle w:val="13"/>
            </w:pPr>
            <w:r>
              <w:t>3年</w:t>
            </w:r>
          </w:p>
        </w:tc>
        <w:tc>
          <w:tcPr>
            <w:tcW w:w="1276" w:type="dxa"/>
            <w:vAlign w:val="center"/>
          </w:tcPr>
          <w:p w14:paraId="69E846DA">
            <w:pPr>
              <w:pStyle w:val="13"/>
            </w:pPr>
            <w:r>
              <w:t>幼儿园生均公用经费管理办法</w:t>
            </w:r>
          </w:p>
        </w:tc>
      </w:tr>
      <w:tr w14:paraId="3F391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E1829">
            <w:pPr>
              <w:pStyle w:val="12"/>
            </w:pPr>
            <w:r>
              <w:t>满意度指标</w:t>
            </w:r>
          </w:p>
        </w:tc>
        <w:tc>
          <w:tcPr>
            <w:tcW w:w="2268" w:type="dxa"/>
            <w:vAlign w:val="center"/>
          </w:tcPr>
          <w:p w14:paraId="6196CC4B">
            <w:pPr>
              <w:pStyle w:val="13"/>
            </w:pPr>
            <w:r>
              <w:t>服务对象满意度指标</w:t>
            </w:r>
          </w:p>
        </w:tc>
        <w:tc>
          <w:tcPr>
            <w:tcW w:w="2835" w:type="dxa"/>
            <w:vAlign w:val="center"/>
          </w:tcPr>
          <w:p w14:paraId="7877F329">
            <w:pPr>
              <w:pStyle w:val="13"/>
            </w:pPr>
            <w:r>
              <w:t>受益学生家长及调查满意度</w:t>
            </w:r>
          </w:p>
        </w:tc>
        <w:tc>
          <w:tcPr>
            <w:tcW w:w="5386" w:type="dxa"/>
            <w:vAlign w:val="center"/>
          </w:tcPr>
          <w:p w14:paraId="697E131C">
            <w:pPr>
              <w:pStyle w:val="13"/>
            </w:pPr>
            <w:r>
              <w:t>学生、教师及家长对学校保教保育工作满意度情况</w:t>
            </w:r>
          </w:p>
        </w:tc>
        <w:tc>
          <w:tcPr>
            <w:tcW w:w="2268" w:type="dxa"/>
            <w:vAlign w:val="center"/>
          </w:tcPr>
          <w:p w14:paraId="249E917D">
            <w:pPr>
              <w:pStyle w:val="13"/>
            </w:pPr>
            <w:r>
              <w:t>≥95%</w:t>
            </w:r>
          </w:p>
        </w:tc>
        <w:tc>
          <w:tcPr>
            <w:tcW w:w="1276" w:type="dxa"/>
            <w:vAlign w:val="center"/>
          </w:tcPr>
          <w:p w14:paraId="0DB2A272">
            <w:pPr>
              <w:pStyle w:val="13"/>
            </w:pPr>
            <w:r>
              <w:t>调查问卷</w:t>
            </w:r>
          </w:p>
        </w:tc>
      </w:tr>
    </w:tbl>
    <w:p w14:paraId="69A6BB80">
      <w:pPr>
        <w:sectPr>
          <w:pgSz w:w="16840" w:h="11900" w:orient="landscape"/>
          <w:pgMar w:top="1361" w:right="1020" w:bottom="1134" w:left="1020" w:header="720" w:footer="720" w:gutter="0"/>
          <w:cols w:space="720" w:num="1"/>
        </w:sectPr>
      </w:pPr>
    </w:p>
    <w:p w14:paraId="42082DEC">
      <w:pPr>
        <w:spacing w:before="0" w:after="0"/>
        <w:ind w:firstLine="560"/>
        <w:jc w:val="left"/>
        <w:outlineLvl w:val="9"/>
      </w:pPr>
      <w:r>
        <w:rPr>
          <w:rFonts w:ascii="方正仿宋_GBK" w:hAnsi="方正仿宋_GBK" w:eastAsia="方正仿宋_GBK" w:cs="方正仿宋_GBK"/>
          <w:b/>
          <w:color w:val="000000"/>
          <w:sz w:val="28"/>
        </w:rPr>
        <w:t>189、县级资金/隆尧县彭村宏星幼儿园公用经费绩效目标表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31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E4FDA">
            <w:pPr>
              <w:pStyle w:val="14"/>
            </w:pPr>
            <w:r>
              <w:t>单位：万元</w:t>
            </w:r>
          </w:p>
        </w:tc>
      </w:tr>
      <w:tr w14:paraId="2C925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08565">
            <w:pPr>
              <w:pStyle w:val="11"/>
            </w:pPr>
            <w:r>
              <w:t>项目编码</w:t>
            </w:r>
          </w:p>
        </w:tc>
        <w:tc>
          <w:tcPr>
            <w:tcW w:w="5103" w:type="dxa"/>
            <w:gridSpan w:val="2"/>
            <w:vAlign w:val="center"/>
          </w:tcPr>
          <w:p w14:paraId="7F3BB4D2">
            <w:pPr>
              <w:pStyle w:val="13"/>
            </w:pPr>
            <w:r>
              <w:t>13052525P008756100640</w:t>
            </w:r>
          </w:p>
        </w:tc>
        <w:tc>
          <w:tcPr>
            <w:tcW w:w="2835" w:type="dxa"/>
            <w:vAlign w:val="center"/>
          </w:tcPr>
          <w:p w14:paraId="5931A471">
            <w:pPr>
              <w:pStyle w:val="11"/>
            </w:pPr>
            <w:r>
              <w:t>项目名称</w:t>
            </w:r>
          </w:p>
        </w:tc>
        <w:tc>
          <w:tcPr>
            <w:tcW w:w="6095" w:type="dxa"/>
            <w:gridSpan w:val="3"/>
            <w:vAlign w:val="center"/>
          </w:tcPr>
          <w:p w14:paraId="17728AAF">
            <w:pPr>
              <w:pStyle w:val="13"/>
            </w:pPr>
            <w:r>
              <w:t>县级资金/隆尧县彭村宏星幼儿园公用经费</w:t>
            </w:r>
          </w:p>
        </w:tc>
      </w:tr>
      <w:tr w14:paraId="70FEC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533EF">
            <w:pPr>
              <w:pStyle w:val="11"/>
            </w:pPr>
            <w:r>
              <w:t>预算规模及资金用途</w:t>
            </w:r>
          </w:p>
        </w:tc>
        <w:tc>
          <w:tcPr>
            <w:tcW w:w="2268" w:type="dxa"/>
            <w:vAlign w:val="center"/>
          </w:tcPr>
          <w:p w14:paraId="085112CD">
            <w:pPr>
              <w:pStyle w:val="11"/>
            </w:pPr>
            <w:r>
              <w:t>预算数</w:t>
            </w:r>
          </w:p>
        </w:tc>
        <w:tc>
          <w:tcPr>
            <w:tcW w:w="2835" w:type="dxa"/>
            <w:vAlign w:val="center"/>
          </w:tcPr>
          <w:p w14:paraId="080F966A">
            <w:pPr>
              <w:pStyle w:val="13"/>
            </w:pPr>
            <w:r>
              <w:t>1.53</w:t>
            </w:r>
          </w:p>
        </w:tc>
        <w:tc>
          <w:tcPr>
            <w:tcW w:w="2835" w:type="dxa"/>
            <w:vAlign w:val="center"/>
          </w:tcPr>
          <w:p w14:paraId="087C0DBE">
            <w:pPr>
              <w:pStyle w:val="11"/>
            </w:pPr>
            <w:r>
              <w:t>其中：财政    资金</w:t>
            </w:r>
          </w:p>
        </w:tc>
        <w:tc>
          <w:tcPr>
            <w:tcW w:w="2551" w:type="dxa"/>
            <w:vAlign w:val="center"/>
          </w:tcPr>
          <w:p w14:paraId="0058B1D2">
            <w:pPr>
              <w:pStyle w:val="13"/>
            </w:pPr>
            <w:r>
              <w:t>1.53</w:t>
            </w:r>
          </w:p>
        </w:tc>
        <w:tc>
          <w:tcPr>
            <w:tcW w:w="2268" w:type="dxa"/>
            <w:vAlign w:val="center"/>
          </w:tcPr>
          <w:p w14:paraId="6779CA13">
            <w:pPr>
              <w:pStyle w:val="11"/>
            </w:pPr>
            <w:r>
              <w:t>其他资金</w:t>
            </w:r>
          </w:p>
        </w:tc>
        <w:tc>
          <w:tcPr>
            <w:tcW w:w="1276" w:type="dxa"/>
            <w:vAlign w:val="center"/>
          </w:tcPr>
          <w:p w14:paraId="170CFABD">
            <w:pPr>
              <w:pStyle w:val="13"/>
            </w:pPr>
            <w:r>
              <w:t xml:space="preserve"> </w:t>
            </w:r>
          </w:p>
        </w:tc>
      </w:tr>
      <w:tr w14:paraId="2F9F7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30F4A9"/>
        </w:tc>
        <w:tc>
          <w:tcPr>
            <w:tcW w:w="14033" w:type="dxa"/>
            <w:gridSpan w:val="6"/>
            <w:vAlign w:val="center"/>
          </w:tcPr>
          <w:p w14:paraId="7FD7FD4A">
            <w:pPr>
              <w:pStyle w:val="13"/>
            </w:pPr>
            <w:r>
              <w:t>按季度分批次拨付安排公用经费资金，学校按照预算安排进行资金使用，保证资金正常支出。</w:t>
            </w:r>
          </w:p>
        </w:tc>
      </w:tr>
      <w:tr w14:paraId="09AA4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DF255">
            <w:pPr>
              <w:pStyle w:val="11"/>
            </w:pPr>
            <w:r>
              <w:t>资金支出计划（%）</w:t>
            </w:r>
          </w:p>
        </w:tc>
        <w:tc>
          <w:tcPr>
            <w:tcW w:w="5103" w:type="dxa"/>
            <w:gridSpan w:val="2"/>
            <w:vAlign w:val="center"/>
          </w:tcPr>
          <w:p w14:paraId="3B590605">
            <w:pPr>
              <w:pStyle w:val="11"/>
            </w:pPr>
            <w:r>
              <w:t>3月底</w:t>
            </w:r>
          </w:p>
        </w:tc>
        <w:tc>
          <w:tcPr>
            <w:tcW w:w="2835" w:type="dxa"/>
            <w:vAlign w:val="center"/>
          </w:tcPr>
          <w:p w14:paraId="0837F866">
            <w:pPr>
              <w:pStyle w:val="11"/>
            </w:pPr>
            <w:r>
              <w:t>6月底</w:t>
            </w:r>
          </w:p>
        </w:tc>
        <w:tc>
          <w:tcPr>
            <w:tcW w:w="2551" w:type="dxa"/>
            <w:vAlign w:val="center"/>
          </w:tcPr>
          <w:p w14:paraId="36A03BE4">
            <w:pPr>
              <w:pStyle w:val="11"/>
            </w:pPr>
            <w:r>
              <w:t>10月底</w:t>
            </w:r>
          </w:p>
        </w:tc>
        <w:tc>
          <w:tcPr>
            <w:tcW w:w="3544" w:type="dxa"/>
            <w:gridSpan w:val="2"/>
            <w:vAlign w:val="center"/>
          </w:tcPr>
          <w:p w14:paraId="5A88C941">
            <w:pPr>
              <w:pStyle w:val="11"/>
            </w:pPr>
            <w:r>
              <w:t>12月底</w:t>
            </w:r>
          </w:p>
        </w:tc>
      </w:tr>
      <w:tr w14:paraId="28AC6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784A0"/>
        </w:tc>
        <w:tc>
          <w:tcPr>
            <w:tcW w:w="5103" w:type="dxa"/>
            <w:gridSpan w:val="2"/>
            <w:vAlign w:val="center"/>
          </w:tcPr>
          <w:p w14:paraId="3D7A1D6F">
            <w:pPr>
              <w:pStyle w:val="12"/>
            </w:pPr>
            <w:r>
              <w:t xml:space="preserve"> </w:t>
            </w:r>
          </w:p>
        </w:tc>
        <w:tc>
          <w:tcPr>
            <w:tcW w:w="2835" w:type="dxa"/>
            <w:vAlign w:val="center"/>
          </w:tcPr>
          <w:p w14:paraId="48807498">
            <w:pPr>
              <w:pStyle w:val="12"/>
            </w:pPr>
            <w:r>
              <w:t>50%</w:t>
            </w:r>
          </w:p>
        </w:tc>
        <w:tc>
          <w:tcPr>
            <w:tcW w:w="2551" w:type="dxa"/>
            <w:vAlign w:val="center"/>
          </w:tcPr>
          <w:p w14:paraId="40F3A197">
            <w:pPr>
              <w:pStyle w:val="12"/>
            </w:pPr>
            <w:r>
              <w:t>75%</w:t>
            </w:r>
          </w:p>
        </w:tc>
        <w:tc>
          <w:tcPr>
            <w:tcW w:w="3544" w:type="dxa"/>
            <w:gridSpan w:val="2"/>
            <w:vAlign w:val="center"/>
          </w:tcPr>
          <w:p w14:paraId="2EE96461">
            <w:pPr>
              <w:pStyle w:val="12"/>
            </w:pPr>
            <w:r>
              <w:t>100%</w:t>
            </w:r>
          </w:p>
        </w:tc>
      </w:tr>
      <w:tr w14:paraId="64FCE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317BF">
            <w:pPr>
              <w:pStyle w:val="11"/>
            </w:pPr>
            <w:r>
              <w:t>绩效目标</w:t>
            </w:r>
          </w:p>
        </w:tc>
        <w:tc>
          <w:tcPr>
            <w:tcW w:w="14033" w:type="dxa"/>
            <w:gridSpan w:val="6"/>
            <w:vAlign w:val="center"/>
          </w:tcPr>
          <w:p w14:paraId="5187CAA8">
            <w:pPr>
              <w:pStyle w:val="13"/>
            </w:pPr>
            <w:r>
              <w:t>1.按季度分批次拨付安排公用经费资金，学校按照预算安排进行资金使用，保证资金正常支出。</w:t>
            </w:r>
          </w:p>
        </w:tc>
      </w:tr>
    </w:tbl>
    <w:p w14:paraId="14751D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7E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E4C5A">
            <w:pPr>
              <w:pStyle w:val="11"/>
            </w:pPr>
            <w:r>
              <w:t>一级指标</w:t>
            </w:r>
          </w:p>
        </w:tc>
        <w:tc>
          <w:tcPr>
            <w:tcW w:w="2268" w:type="dxa"/>
            <w:vAlign w:val="center"/>
          </w:tcPr>
          <w:p w14:paraId="29BC715A">
            <w:pPr>
              <w:pStyle w:val="11"/>
            </w:pPr>
            <w:r>
              <w:t>二级指标</w:t>
            </w:r>
          </w:p>
        </w:tc>
        <w:tc>
          <w:tcPr>
            <w:tcW w:w="2835" w:type="dxa"/>
            <w:vAlign w:val="center"/>
          </w:tcPr>
          <w:p w14:paraId="2ABD7C4A">
            <w:pPr>
              <w:pStyle w:val="11"/>
            </w:pPr>
            <w:r>
              <w:t>三级指标</w:t>
            </w:r>
          </w:p>
        </w:tc>
        <w:tc>
          <w:tcPr>
            <w:tcW w:w="5386" w:type="dxa"/>
            <w:vAlign w:val="center"/>
          </w:tcPr>
          <w:p w14:paraId="36749848">
            <w:pPr>
              <w:pStyle w:val="11"/>
            </w:pPr>
            <w:r>
              <w:t>绩效指标描述</w:t>
            </w:r>
          </w:p>
        </w:tc>
        <w:tc>
          <w:tcPr>
            <w:tcW w:w="2268" w:type="dxa"/>
            <w:vAlign w:val="center"/>
          </w:tcPr>
          <w:p w14:paraId="06E3D844">
            <w:pPr>
              <w:pStyle w:val="11"/>
            </w:pPr>
            <w:r>
              <w:t>指标值</w:t>
            </w:r>
          </w:p>
        </w:tc>
        <w:tc>
          <w:tcPr>
            <w:tcW w:w="1276" w:type="dxa"/>
            <w:vAlign w:val="center"/>
          </w:tcPr>
          <w:p w14:paraId="2FC605B3">
            <w:pPr>
              <w:pStyle w:val="11"/>
            </w:pPr>
            <w:r>
              <w:t>指标值确定依据</w:t>
            </w:r>
          </w:p>
        </w:tc>
      </w:tr>
      <w:tr w14:paraId="2E6CC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C2D31">
            <w:pPr>
              <w:pStyle w:val="12"/>
            </w:pPr>
            <w:r>
              <w:t>产出指标</w:t>
            </w:r>
          </w:p>
        </w:tc>
        <w:tc>
          <w:tcPr>
            <w:tcW w:w="2268" w:type="dxa"/>
            <w:vAlign w:val="center"/>
          </w:tcPr>
          <w:p w14:paraId="40D5765C">
            <w:pPr>
              <w:pStyle w:val="13"/>
            </w:pPr>
            <w:r>
              <w:t>数量指标</w:t>
            </w:r>
          </w:p>
        </w:tc>
        <w:tc>
          <w:tcPr>
            <w:tcW w:w="2835" w:type="dxa"/>
            <w:vAlign w:val="center"/>
          </w:tcPr>
          <w:p w14:paraId="28B82BDE">
            <w:pPr>
              <w:pStyle w:val="13"/>
            </w:pPr>
            <w:r>
              <w:t>适龄在校生</w:t>
            </w:r>
          </w:p>
        </w:tc>
        <w:tc>
          <w:tcPr>
            <w:tcW w:w="5386" w:type="dxa"/>
            <w:vAlign w:val="center"/>
          </w:tcPr>
          <w:p w14:paraId="3195CD80">
            <w:pPr>
              <w:pStyle w:val="13"/>
            </w:pPr>
            <w:r>
              <w:t>辖区内适龄儿童全覆盖</w:t>
            </w:r>
          </w:p>
        </w:tc>
        <w:tc>
          <w:tcPr>
            <w:tcW w:w="2268" w:type="dxa"/>
            <w:vAlign w:val="center"/>
          </w:tcPr>
          <w:p w14:paraId="2708B9CE">
            <w:pPr>
              <w:pStyle w:val="13"/>
            </w:pPr>
            <w:r>
              <w:t>34人</w:t>
            </w:r>
          </w:p>
        </w:tc>
        <w:tc>
          <w:tcPr>
            <w:tcW w:w="1276" w:type="dxa"/>
            <w:vAlign w:val="center"/>
          </w:tcPr>
          <w:p w14:paraId="0844FF01">
            <w:pPr>
              <w:pStyle w:val="13"/>
            </w:pPr>
            <w:r>
              <w:t>幼儿园生均公用经费管理办法</w:t>
            </w:r>
          </w:p>
        </w:tc>
      </w:tr>
      <w:tr w14:paraId="448B8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D4C22"/>
        </w:tc>
        <w:tc>
          <w:tcPr>
            <w:tcW w:w="2268" w:type="dxa"/>
            <w:vAlign w:val="center"/>
          </w:tcPr>
          <w:p w14:paraId="3A4CE80A">
            <w:pPr>
              <w:pStyle w:val="13"/>
            </w:pPr>
            <w:r>
              <w:t>质量指标</w:t>
            </w:r>
          </w:p>
        </w:tc>
        <w:tc>
          <w:tcPr>
            <w:tcW w:w="2835" w:type="dxa"/>
            <w:vAlign w:val="center"/>
          </w:tcPr>
          <w:p w14:paraId="5F421B86">
            <w:pPr>
              <w:pStyle w:val="13"/>
            </w:pPr>
            <w:r>
              <w:t>预算控制率</w:t>
            </w:r>
          </w:p>
        </w:tc>
        <w:tc>
          <w:tcPr>
            <w:tcW w:w="5386" w:type="dxa"/>
            <w:vAlign w:val="center"/>
          </w:tcPr>
          <w:p w14:paraId="3C99F32E">
            <w:pPr>
              <w:pStyle w:val="13"/>
            </w:pPr>
            <w:r>
              <w:t>预算执行</w:t>
            </w:r>
          </w:p>
        </w:tc>
        <w:tc>
          <w:tcPr>
            <w:tcW w:w="2268" w:type="dxa"/>
            <w:vAlign w:val="center"/>
          </w:tcPr>
          <w:p w14:paraId="34FB6949">
            <w:pPr>
              <w:pStyle w:val="13"/>
            </w:pPr>
            <w:r>
              <w:t>≥95%</w:t>
            </w:r>
          </w:p>
        </w:tc>
        <w:tc>
          <w:tcPr>
            <w:tcW w:w="1276" w:type="dxa"/>
            <w:vAlign w:val="center"/>
          </w:tcPr>
          <w:p w14:paraId="52EB645A">
            <w:pPr>
              <w:pStyle w:val="13"/>
            </w:pPr>
            <w:r>
              <w:t>幼儿园生均公用经费管理办法</w:t>
            </w:r>
          </w:p>
        </w:tc>
      </w:tr>
      <w:tr w14:paraId="2D55D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3BC45"/>
        </w:tc>
        <w:tc>
          <w:tcPr>
            <w:tcW w:w="2268" w:type="dxa"/>
            <w:vAlign w:val="center"/>
          </w:tcPr>
          <w:p w14:paraId="6A6A06F8">
            <w:pPr>
              <w:pStyle w:val="13"/>
            </w:pPr>
            <w:r>
              <w:t>时效指标</w:t>
            </w:r>
          </w:p>
        </w:tc>
        <w:tc>
          <w:tcPr>
            <w:tcW w:w="2835" w:type="dxa"/>
            <w:vAlign w:val="center"/>
          </w:tcPr>
          <w:p w14:paraId="75BE8237">
            <w:pPr>
              <w:pStyle w:val="13"/>
            </w:pPr>
            <w:r>
              <w:t>资金支付率</w:t>
            </w:r>
          </w:p>
        </w:tc>
        <w:tc>
          <w:tcPr>
            <w:tcW w:w="5386" w:type="dxa"/>
            <w:vAlign w:val="center"/>
          </w:tcPr>
          <w:p w14:paraId="49435181">
            <w:pPr>
              <w:pStyle w:val="13"/>
            </w:pPr>
            <w:r>
              <w:t>按照序时进度完成资金支付</w:t>
            </w:r>
          </w:p>
        </w:tc>
        <w:tc>
          <w:tcPr>
            <w:tcW w:w="2268" w:type="dxa"/>
            <w:vAlign w:val="center"/>
          </w:tcPr>
          <w:p w14:paraId="60E7751A">
            <w:pPr>
              <w:pStyle w:val="13"/>
            </w:pPr>
            <w:r>
              <w:t>≥100%</w:t>
            </w:r>
          </w:p>
        </w:tc>
        <w:tc>
          <w:tcPr>
            <w:tcW w:w="1276" w:type="dxa"/>
            <w:vAlign w:val="center"/>
          </w:tcPr>
          <w:p w14:paraId="071C1767">
            <w:pPr>
              <w:pStyle w:val="13"/>
            </w:pPr>
            <w:r>
              <w:t>幼儿园生均公用经费管理办法</w:t>
            </w:r>
          </w:p>
        </w:tc>
      </w:tr>
      <w:tr w14:paraId="31AEB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556DFDA6"/>
        </w:tc>
        <w:tc>
          <w:tcPr>
            <w:tcW w:w="2268" w:type="dxa"/>
            <w:vAlign w:val="center"/>
          </w:tcPr>
          <w:p w14:paraId="7CDD0499">
            <w:pPr>
              <w:pStyle w:val="13"/>
            </w:pPr>
            <w:r>
              <w:t>成本指标</w:t>
            </w:r>
          </w:p>
        </w:tc>
        <w:tc>
          <w:tcPr>
            <w:tcW w:w="2835" w:type="dxa"/>
            <w:vAlign w:val="center"/>
          </w:tcPr>
          <w:p w14:paraId="2B686969">
            <w:pPr>
              <w:pStyle w:val="13"/>
            </w:pPr>
            <w:r>
              <w:t>生均拨款标准</w:t>
            </w:r>
          </w:p>
        </w:tc>
        <w:tc>
          <w:tcPr>
            <w:tcW w:w="5386" w:type="dxa"/>
            <w:vAlign w:val="center"/>
          </w:tcPr>
          <w:p w14:paraId="312F9204">
            <w:pPr>
              <w:pStyle w:val="13"/>
            </w:pPr>
            <w:r>
              <w:t>学前经费600元/生/年</w:t>
            </w:r>
          </w:p>
        </w:tc>
        <w:tc>
          <w:tcPr>
            <w:tcW w:w="2268" w:type="dxa"/>
            <w:vAlign w:val="center"/>
          </w:tcPr>
          <w:p w14:paraId="752075FA">
            <w:pPr>
              <w:pStyle w:val="13"/>
            </w:pPr>
            <w:r>
              <w:t>600元</w:t>
            </w:r>
          </w:p>
        </w:tc>
        <w:tc>
          <w:tcPr>
            <w:tcW w:w="1276" w:type="dxa"/>
            <w:vAlign w:val="center"/>
          </w:tcPr>
          <w:p w14:paraId="6D708C86">
            <w:pPr>
              <w:pStyle w:val="13"/>
            </w:pPr>
            <w:r>
              <w:t>幼儿园生均公用经费管理办法</w:t>
            </w:r>
          </w:p>
        </w:tc>
      </w:tr>
      <w:tr w14:paraId="7745E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EABEE5">
            <w:pPr>
              <w:pStyle w:val="12"/>
            </w:pPr>
            <w:r>
              <w:t>效益指标</w:t>
            </w:r>
          </w:p>
        </w:tc>
        <w:tc>
          <w:tcPr>
            <w:tcW w:w="2268" w:type="dxa"/>
            <w:vAlign w:val="center"/>
          </w:tcPr>
          <w:p w14:paraId="51B13EAB">
            <w:pPr>
              <w:pStyle w:val="13"/>
            </w:pPr>
            <w:r>
              <w:t>可持续影响指标</w:t>
            </w:r>
          </w:p>
        </w:tc>
        <w:tc>
          <w:tcPr>
            <w:tcW w:w="2835" w:type="dxa"/>
            <w:vAlign w:val="center"/>
          </w:tcPr>
          <w:p w14:paraId="2BAF8FAF">
            <w:pPr>
              <w:pStyle w:val="13"/>
            </w:pPr>
            <w:r>
              <w:t>教育发展水平明显好转</w:t>
            </w:r>
          </w:p>
        </w:tc>
        <w:tc>
          <w:tcPr>
            <w:tcW w:w="5386" w:type="dxa"/>
            <w:vAlign w:val="center"/>
          </w:tcPr>
          <w:p w14:paraId="26E74478">
            <w:pPr>
              <w:pStyle w:val="13"/>
            </w:pPr>
            <w:r>
              <w:t>学生受教育年限</w:t>
            </w:r>
          </w:p>
        </w:tc>
        <w:tc>
          <w:tcPr>
            <w:tcW w:w="2268" w:type="dxa"/>
            <w:vAlign w:val="center"/>
          </w:tcPr>
          <w:p w14:paraId="3B25DD3B">
            <w:pPr>
              <w:pStyle w:val="13"/>
            </w:pPr>
            <w:r>
              <w:t>3年</w:t>
            </w:r>
          </w:p>
        </w:tc>
        <w:tc>
          <w:tcPr>
            <w:tcW w:w="1276" w:type="dxa"/>
            <w:vAlign w:val="center"/>
          </w:tcPr>
          <w:p w14:paraId="4B1B8F55">
            <w:pPr>
              <w:pStyle w:val="13"/>
            </w:pPr>
            <w:r>
              <w:t>幼儿园生均公用经费管理办法</w:t>
            </w:r>
          </w:p>
        </w:tc>
      </w:tr>
      <w:tr w14:paraId="71CAC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DFF44">
            <w:pPr>
              <w:pStyle w:val="12"/>
            </w:pPr>
            <w:r>
              <w:t>满意度指标</w:t>
            </w:r>
          </w:p>
        </w:tc>
        <w:tc>
          <w:tcPr>
            <w:tcW w:w="2268" w:type="dxa"/>
            <w:vAlign w:val="center"/>
          </w:tcPr>
          <w:p w14:paraId="699344D7">
            <w:pPr>
              <w:pStyle w:val="13"/>
            </w:pPr>
            <w:r>
              <w:t>服务对象满意度指标</w:t>
            </w:r>
          </w:p>
        </w:tc>
        <w:tc>
          <w:tcPr>
            <w:tcW w:w="2835" w:type="dxa"/>
            <w:vAlign w:val="center"/>
          </w:tcPr>
          <w:p w14:paraId="62B5599E">
            <w:pPr>
              <w:pStyle w:val="13"/>
            </w:pPr>
            <w:r>
              <w:t>受益学生家长及调查满意度</w:t>
            </w:r>
          </w:p>
        </w:tc>
        <w:tc>
          <w:tcPr>
            <w:tcW w:w="5386" w:type="dxa"/>
            <w:vAlign w:val="center"/>
          </w:tcPr>
          <w:p w14:paraId="559314DE">
            <w:pPr>
              <w:pStyle w:val="13"/>
            </w:pPr>
            <w:r>
              <w:t>学生、教师及家长对学校保教保育工作满意度情况</w:t>
            </w:r>
          </w:p>
        </w:tc>
        <w:tc>
          <w:tcPr>
            <w:tcW w:w="2268" w:type="dxa"/>
            <w:vAlign w:val="center"/>
          </w:tcPr>
          <w:p w14:paraId="2B478DFF">
            <w:pPr>
              <w:pStyle w:val="13"/>
            </w:pPr>
            <w:r>
              <w:t>≥95%</w:t>
            </w:r>
          </w:p>
        </w:tc>
        <w:tc>
          <w:tcPr>
            <w:tcW w:w="1276" w:type="dxa"/>
            <w:vAlign w:val="center"/>
          </w:tcPr>
          <w:p w14:paraId="2D482F1D">
            <w:pPr>
              <w:pStyle w:val="13"/>
            </w:pPr>
            <w:r>
              <w:t>调查问卷</w:t>
            </w:r>
          </w:p>
        </w:tc>
      </w:tr>
    </w:tbl>
    <w:p w14:paraId="219EB0DB">
      <w:pPr>
        <w:sectPr>
          <w:pgSz w:w="16840" w:h="11900" w:orient="landscape"/>
          <w:pgMar w:top="1361" w:right="1020" w:bottom="1134" w:left="1020" w:header="720" w:footer="720" w:gutter="0"/>
          <w:cols w:space="720" w:num="1"/>
        </w:sectPr>
      </w:pPr>
    </w:p>
    <w:p w14:paraId="729829FD">
      <w:pPr>
        <w:spacing w:before="0" w:after="0"/>
        <w:ind w:firstLine="560"/>
        <w:jc w:val="left"/>
        <w:outlineLvl w:val="9"/>
      </w:pPr>
      <w:r>
        <w:rPr>
          <w:rFonts w:ascii="方正仿宋_GBK" w:hAnsi="方正仿宋_GBK" w:eastAsia="方正仿宋_GBK" w:cs="方正仿宋_GBK"/>
          <w:b/>
          <w:color w:val="000000"/>
          <w:sz w:val="28"/>
        </w:rPr>
        <w:t>190、县级资金/隆尧县七色光幼儿园公用经费绩效目标表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6D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1EA83">
            <w:pPr>
              <w:pStyle w:val="14"/>
            </w:pPr>
            <w:r>
              <w:t>单位：万元</w:t>
            </w:r>
          </w:p>
        </w:tc>
      </w:tr>
      <w:tr w14:paraId="08FB4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99A6A8">
            <w:pPr>
              <w:pStyle w:val="11"/>
            </w:pPr>
            <w:r>
              <w:t>项目编码</w:t>
            </w:r>
          </w:p>
        </w:tc>
        <w:tc>
          <w:tcPr>
            <w:tcW w:w="5103" w:type="dxa"/>
            <w:gridSpan w:val="2"/>
            <w:vAlign w:val="center"/>
          </w:tcPr>
          <w:p w14:paraId="77D8E15C">
            <w:pPr>
              <w:pStyle w:val="13"/>
            </w:pPr>
            <w:r>
              <w:t>13052525P00875610052W</w:t>
            </w:r>
          </w:p>
        </w:tc>
        <w:tc>
          <w:tcPr>
            <w:tcW w:w="2835" w:type="dxa"/>
            <w:vAlign w:val="center"/>
          </w:tcPr>
          <w:p w14:paraId="011EDD3E">
            <w:pPr>
              <w:pStyle w:val="11"/>
            </w:pPr>
            <w:r>
              <w:t>项目名称</w:t>
            </w:r>
          </w:p>
        </w:tc>
        <w:tc>
          <w:tcPr>
            <w:tcW w:w="6095" w:type="dxa"/>
            <w:gridSpan w:val="3"/>
            <w:vAlign w:val="center"/>
          </w:tcPr>
          <w:p w14:paraId="0024A6A3">
            <w:pPr>
              <w:pStyle w:val="13"/>
            </w:pPr>
            <w:r>
              <w:t>县级资金/隆尧县七色光幼儿园公用经费</w:t>
            </w:r>
          </w:p>
        </w:tc>
      </w:tr>
      <w:tr w14:paraId="4A79D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C2515">
            <w:pPr>
              <w:pStyle w:val="11"/>
            </w:pPr>
            <w:r>
              <w:t>预算规模及资金用途</w:t>
            </w:r>
          </w:p>
        </w:tc>
        <w:tc>
          <w:tcPr>
            <w:tcW w:w="2268" w:type="dxa"/>
            <w:vAlign w:val="center"/>
          </w:tcPr>
          <w:p w14:paraId="4D516FE2">
            <w:pPr>
              <w:pStyle w:val="11"/>
            </w:pPr>
            <w:r>
              <w:t>预算数</w:t>
            </w:r>
          </w:p>
        </w:tc>
        <w:tc>
          <w:tcPr>
            <w:tcW w:w="2835" w:type="dxa"/>
            <w:vAlign w:val="center"/>
          </w:tcPr>
          <w:p w14:paraId="4F7E6196">
            <w:pPr>
              <w:pStyle w:val="13"/>
            </w:pPr>
            <w:r>
              <w:t>3.20</w:t>
            </w:r>
          </w:p>
        </w:tc>
        <w:tc>
          <w:tcPr>
            <w:tcW w:w="2835" w:type="dxa"/>
            <w:vAlign w:val="center"/>
          </w:tcPr>
          <w:p w14:paraId="0963CF49">
            <w:pPr>
              <w:pStyle w:val="11"/>
            </w:pPr>
            <w:r>
              <w:t>其中：财政    资金</w:t>
            </w:r>
          </w:p>
        </w:tc>
        <w:tc>
          <w:tcPr>
            <w:tcW w:w="2551" w:type="dxa"/>
            <w:vAlign w:val="center"/>
          </w:tcPr>
          <w:p w14:paraId="5028A3BE">
            <w:pPr>
              <w:pStyle w:val="13"/>
            </w:pPr>
            <w:r>
              <w:t>3.20</w:t>
            </w:r>
          </w:p>
        </w:tc>
        <w:tc>
          <w:tcPr>
            <w:tcW w:w="2268" w:type="dxa"/>
            <w:vAlign w:val="center"/>
          </w:tcPr>
          <w:p w14:paraId="47B82163">
            <w:pPr>
              <w:pStyle w:val="11"/>
            </w:pPr>
            <w:r>
              <w:t>其他资金</w:t>
            </w:r>
          </w:p>
        </w:tc>
        <w:tc>
          <w:tcPr>
            <w:tcW w:w="1276" w:type="dxa"/>
            <w:vAlign w:val="center"/>
          </w:tcPr>
          <w:p w14:paraId="23116CCF">
            <w:pPr>
              <w:pStyle w:val="13"/>
            </w:pPr>
            <w:r>
              <w:t xml:space="preserve"> </w:t>
            </w:r>
          </w:p>
        </w:tc>
      </w:tr>
      <w:tr w14:paraId="572AF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E51EBA"/>
        </w:tc>
        <w:tc>
          <w:tcPr>
            <w:tcW w:w="14033" w:type="dxa"/>
            <w:gridSpan w:val="6"/>
            <w:vAlign w:val="center"/>
          </w:tcPr>
          <w:p w14:paraId="7C0D4D17">
            <w:pPr>
              <w:pStyle w:val="13"/>
            </w:pPr>
            <w:r>
              <w:t>按季度分批次拨付安排公用经费资金，学校按照预算安排进行资金使用，保证资金正常支出。</w:t>
            </w:r>
          </w:p>
        </w:tc>
      </w:tr>
      <w:tr w14:paraId="38061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78078">
            <w:pPr>
              <w:pStyle w:val="11"/>
            </w:pPr>
            <w:r>
              <w:t>资金支出计划（%）</w:t>
            </w:r>
          </w:p>
        </w:tc>
        <w:tc>
          <w:tcPr>
            <w:tcW w:w="5103" w:type="dxa"/>
            <w:gridSpan w:val="2"/>
            <w:vAlign w:val="center"/>
          </w:tcPr>
          <w:p w14:paraId="50D7FA91">
            <w:pPr>
              <w:pStyle w:val="11"/>
            </w:pPr>
            <w:r>
              <w:t>3月底</w:t>
            </w:r>
          </w:p>
        </w:tc>
        <w:tc>
          <w:tcPr>
            <w:tcW w:w="2835" w:type="dxa"/>
            <w:vAlign w:val="center"/>
          </w:tcPr>
          <w:p w14:paraId="02E1D5AF">
            <w:pPr>
              <w:pStyle w:val="11"/>
            </w:pPr>
            <w:r>
              <w:t>6月底</w:t>
            </w:r>
          </w:p>
        </w:tc>
        <w:tc>
          <w:tcPr>
            <w:tcW w:w="2551" w:type="dxa"/>
            <w:vAlign w:val="center"/>
          </w:tcPr>
          <w:p w14:paraId="7F0AE9C7">
            <w:pPr>
              <w:pStyle w:val="11"/>
            </w:pPr>
            <w:r>
              <w:t>10月底</w:t>
            </w:r>
          </w:p>
        </w:tc>
        <w:tc>
          <w:tcPr>
            <w:tcW w:w="3544" w:type="dxa"/>
            <w:gridSpan w:val="2"/>
            <w:vAlign w:val="center"/>
          </w:tcPr>
          <w:p w14:paraId="2FB7B836">
            <w:pPr>
              <w:pStyle w:val="11"/>
            </w:pPr>
            <w:r>
              <w:t>12月底</w:t>
            </w:r>
          </w:p>
        </w:tc>
      </w:tr>
      <w:tr w14:paraId="0B738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272085"/>
        </w:tc>
        <w:tc>
          <w:tcPr>
            <w:tcW w:w="5103" w:type="dxa"/>
            <w:gridSpan w:val="2"/>
            <w:vAlign w:val="center"/>
          </w:tcPr>
          <w:p w14:paraId="7EEF57C8">
            <w:pPr>
              <w:pStyle w:val="12"/>
            </w:pPr>
            <w:r>
              <w:t xml:space="preserve"> </w:t>
            </w:r>
          </w:p>
        </w:tc>
        <w:tc>
          <w:tcPr>
            <w:tcW w:w="2835" w:type="dxa"/>
            <w:vAlign w:val="center"/>
          </w:tcPr>
          <w:p w14:paraId="594CEDA3">
            <w:pPr>
              <w:pStyle w:val="12"/>
            </w:pPr>
            <w:r>
              <w:t>50%</w:t>
            </w:r>
          </w:p>
        </w:tc>
        <w:tc>
          <w:tcPr>
            <w:tcW w:w="2551" w:type="dxa"/>
            <w:vAlign w:val="center"/>
          </w:tcPr>
          <w:p w14:paraId="29ADFBB1">
            <w:pPr>
              <w:pStyle w:val="12"/>
            </w:pPr>
            <w:r>
              <w:t>75%</w:t>
            </w:r>
          </w:p>
        </w:tc>
        <w:tc>
          <w:tcPr>
            <w:tcW w:w="3544" w:type="dxa"/>
            <w:gridSpan w:val="2"/>
            <w:vAlign w:val="center"/>
          </w:tcPr>
          <w:p w14:paraId="256482E0">
            <w:pPr>
              <w:pStyle w:val="12"/>
            </w:pPr>
            <w:r>
              <w:t>100%</w:t>
            </w:r>
          </w:p>
        </w:tc>
      </w:tr>
      <w:tr w14:paraId="680E1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07F20E">
            <w:pPr>
              <w:pStyle w:val="11"/>
            </w:pPr>
            <w:r>
              <w:t>绩效目标</w:t>
            </w:r>
          </w:p>
        </w:tc>
        <w:tc>
          <w:tcPr>
            <w:tcW w:w="14033" w:type="dxa"/>
            <w:gridSpan w:val="6"/>
            <w:vAlign w:val="center"/>
          </w:tcPr>
          <w:p w14:paraId="04CB2514">
            <w:pPr>
              <w:pStyle w:val="13"/>
            </w:pPr>
            <w:r>
              <w:t>1.按季度分批次拨付安排公用经费资金，学校按照预算安排进行资金使用，保证资金正常支出。</w:t>
            </w:r>
          </w:p>
        </w:tc>
      </w:tr>
    </w:tbl>
    <w:p w14:paraId="15B3F4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3B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F38FE">
            <w:pPr>
              <w:pStyle w:val="11"/>
            </w:pPr>
            <w:r>
              <w:t>一级指标</w:t>
            </w:r>
          </w:p>
        </w:tc>
        <w:tc>
          <w:tcPr>
            <w:tcW w:w="2268" w:type="dxa"/>
            <w:vAlign w:val="center"/>
          </w:tcPr>
          <w:p w14:paraId="674EF0C7">
            <w:pPr>
              <w:pStyle w:val="11"/>
            </w:pPr>
            <w:r>
              <w:t>二级指标</w:t>
            </w:r>
          </w:p>
        </w:tc>
        <w:tc>
          <w:tcPr>
            <w:tcW w:w="2835" w:type="dxa"/>
            <w:vAlign w:val="center"/>
          </w:tcPr>
          <w:p w14:paraId="52367754">
            <w:pPr>
              <w:pStyle w:val="11"/>
            </w:pPr>
            <w:r>
              <w:t>三级指标</w:t>
            </w:r>
          </w:p>
        </w:tc>
        <w:tc>
          <w:tcPr>
            <w:tcW w:w="5386" w:type="dxa"/>
            <w:vAlign w:val="center"/>
          </w:tcPr>
          <w:p w14:paraId="0316F381">
            <w:pPr>
              <w:pStyle w:val="11"/>
            </w:pPr>
            <w:r>
              <w:t>绩效指标描述</w:t>
            </w:r>
          </w:p>
        </w:tc>
        <w:tc>
          <w:tcPr>
            <w:tcW w:w="2268" w:type="dxa"/>
            <w:vAlign w:val="center"/>
          </w:tcPr>
          <w:p w14:paraId="46EF65FC">
            <w:pPr>
              <w:pStyle w:val="11"/>
            </w:pPr>
            <w:r>
              <w:t>指标值</w:t>
            </w:r>
          </w:p>
        </w:tc>
        <w:tc>
          <w:tcPr>
            <w:tcW w:w="1276" w:type="dxa"/>
            <w:vAlign w:val="center"/>
          </w:tcPr>
          <w:p w14:paraId="57D7EBF3">
            <w:pPr>
              <w:pStyle w:val="11"/>
            </w:pPr>
            <w:r>
              <w:t>指标值确定依据</w:t>
            </w:r>
          </w:p>
        </w:tc>
      </w:tr>
      <w:tr w14:paraId="69189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BEA82">
            <w:pPr>
              <w:pStyle w:val="12"/>
            </w:pPr>
            <w:r>
              <w:t>产出指标</w:t>
            </w:r>
          </w:p>
        </w:tc>
        <w:tc>
          <w:tcPr>
            <w:tcW w:w="2268" w:type="dxa"/>
            <w:vAlign w:val="center"/>
          </w:tcPr>
          <w:p w14:paraId="64028C6F">
            <w:pPr>
              <w:pStyle w:val="13"/>
            </w:pPr>
            <w:r>
              <w:t>数量指标</w:t>
            </w:r>
          </w:p>
        </w:tc>
        <w:tc>
          <w:tcPr>
            <w:tcW w:w="2835" w:type="dxa"/>
            <w:vAlign w:val="center"/>
          </w:tcPr>
          <w:p w14:paraId="3111D477">
            <w:pPr>
              <w:pStyle w:val="13"/>
            </w:pPr>
            <w:r>
              <w:t>适龄在校生</w:t>
            </w:r>
          </w:p>
        </w:tc>
        <w:tc>
          <w:tcPr>
            <w:tcW w:w="5386" w:type="dxa"/>
            <w:vAlign w:val="center"/>
          </w:tcPr>
          <w:p w14:paraId="7E22FF3F">
            <w:pPr>
              <w:pStyle w:val="13"/>
            </w:pPr>
            <w:r>
              <w:t>辖区内适龄儿童全覆盖</w:t>
            </w:r>
          </w:p>
        </w:tc>
        <w:tc>
          <w:tcPr>
            <w:tcW w:w="2268" w:type="dxa"/>
            <w:vAlign w:val="center"/>
          </w:tcPr>
          <w:p w14:paraId="1F79C9A5">
            <w:pPr>
              <w:pStyle w:val="13"/>
            </w:pPr>
            <w:r>
              <w:t>71人</w:t>
            </w:r>
          </w:p>
        </w:tc>
        <w:tc>
          <w:tcPr>
            <w:tcW w:w="1276" w:type="dxa"/>
            <w:vAlign w:val="center"/>
          </w:tcPr>
          <w:p w14:paraId="7FD4C327">
            <w:pPr>
              <w:pStyle w:val="13"/>
            </w:pPr>
            <w:r>
              <w:t>幼儿园生均公用经费管理办法</w:t>
            </w:r>
          </w:p>
        </w:tc>
      </w:tr>
      <w:tr w14:paraId="1AB87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E8E32"/>
        </w:tc>
        <w:tc>
          <w:tcPr>
            <w:tcW w:w="2268" w:type="dxa"/>
            <w:vAlign w:val="center"/>
          </w:tcPr>
          <w:p w14:paraId="5941A203">
            <w:pPr>
              <w:pStyle w:val="13"/>
            </w:pPr>
            <w:r>
              <w:t>质量指标</w:t>
            </w:r>
          </w:p>
        </w:tc>
        <w:tc>
          <w:tcPr>
            <w:tcW w:w="2835" w:type="dxa"/>
            <w:vAlign w:val="center"/>
          </w:tcPr>
          <w:p w14:paraId="1AECE4CB">
            <w:pPr>
              <w:pStyle w:val="13"/>
            </w:pPr>
            <w:r>
              <w:t>预算控制率</w:t>
            </w:r>
          </w:p>
        </w:tc>
        <w:tc>
          <w:tcPr>
            <w:tcW w:w="5386" w:type="dxa"/>
            <w:vAlign w:val="center"/>
          </w:tcPr>
          <w:p w14:paraId="234F0F25">
            <w:pPr>
              <w:pStyle w:val="13"/>
            </w:pPr>
            <w:r>
              <w:t>预算执行</w:t>
            </w:r>
          </w:p>
        </w:tc>
        <w:tc>
          <w:tcPr>
            <w:tcW w:w="2268" w:type="dxa"/>
            <w:vAlign w:val="center"/>
          </w:tcPr>
          <w:p w14:paraId="2B387DD4">
            <w:pPr>
              <w:pStyle w:val="13"/>
            </w:pPr>
            <w:r>
              <w:t>≥95%</w:t>
            </w:r>
          </w:p>
        </w:tc>
        <w:tc>
          <w:tcPr>
            <w:tcW w:w="1276" w:type="dxa"/>
            <w:vAlign w:val="center"/>
          </w:tcPr>
          <w:p w14:paraId="754D18FE">
            <w:pPr>
              <w:pStyle w:val="13"/>
            </w:pPr>
            <w:r>
              <w:t>幼儿园生均公用经费管理办法</w:t>
            </w:r>
          </w:p>
        </w:tc>
      </w:tr>
      <w:tr w14:paraId="1E892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1F537"/>
        </w:tc>
        <w:tc>
          <w:tcPr>
            <w:tcW w:w="2268" w:type="dxa"/>
            <w:vAlign w:val="center"/>
          </w:tcPr>
          <w:p w14:paraId="286529CE">
            <w:pPr>
              <w:pStyle w:val="13"/>
            </w:pPr>
            <w:r>
              <w:t>时效指标</w:t>
            </w:r>
          </w:p>
        </w:tc>
        <w:tc>
          <w:tcPr>
            <w:tcW w:w="2835" w:type="dxa"/>
            <w:vAlign w:val="center"/>
          </w:tcPr>
          <w:p w14:paraId="3A24A212">
            <w:pPr>
              <w:pStyle w:val="13"/>
            </w:pPr>
            <w:r>
              <w:t>资金支付率</w:t>
            </w:r>
          </w:p>
        </w:tc>
        <w:tc>
          <w:tcPr>
            <w:tcW w:w="5386" w:type="dxa"/>
            <w:vAlign w:val="center"/>
          </w:tcPr>
          <w:p w14:paraId="15F9B45C">
            <w:pPr>
              <w:pStyle w:val="13"/>
            </w:pPr>
            <w:r>
              <w:t>按照序时进度完成资金支付</w:t>
            </w:r>
          </w:p>
        </w:tc>
        <w:tc>
          <w:tcPr>
            <w:tcW w:w="2268" w:type="dxa"/>
            <w:vAlign w:val="center"/>
          </w:tcPr>
          <w:p w14:paraId="765D5966">
            <w:pPr>
              <w:pStyle w:val="13"/>
            </w:pPr>
            <w:r>
              <w:t>≥100%</w:t>
            </w:r>
          </w:p>
        </w:tc>
        <w:tc>
          <w:tcPr>
            <w:tcW w:w="1276" w:type="dxa"/>
            <w:vAlign w:val="center"/>
          </w:tcPr>
          <w:p w14:paraId="7FB87E76">
            <w:pPr>
              <w:pStyle w:val="13"/>
            </w:pPr>
            <w:r>
              <w:t>幼儿园生均公用经费管理办法</w:t>
            </w:r>
          </w:p>
        </w:tc>
      </w:tr>
      <w:tr w14:paraId="79CC3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3EB4A"/>
        </w:tc>
        <w:tc>
          <w:tcPr>
            <w:tcW w:w="2268" w:type="dxa"/>
            <w:vAlign w:val="center"/>
          </w:tcPr>
          <w:p w14:paraId="5D6D36EE">
            <w:pPr>
              <w:pStyle w:val="13"/>
            </w:pPr>
            <w:r>
              <w:t>成本指标</w:t>
            </w:r>
          </w:p>
        </w:tc>
        <w:tc>
          <w:tcPr>
            <w:tcW w:w="2835" w:type="dxa"/>
            <w:vAlign w:val="center"/>
          </w:tcPr>
          <w:p w14:paraId="2BC1F4D0">
            <w:pPr>
              <w:pStyle w:val="13"/>
            </w:pPr>
            <w:r>
              <w:t>生均拨款标准</w:t>
            </w:r>
          </w:p>
        </w:tc>
        <w:tc>
          <w:tcPr>
            <w:tcW w:w="5386" w:type="dxa"/>
            <w:vAlign w:val="center"/>
          </w:tcPr>
          <w:p w14:paraId="352B954B">
            <w:pPr>
              <w:pStyle w:val="13"/>
            </w:pPr>
            <w:r>
              <w:t>学前经费600元/生/年</w:t>
            </w:r>
          </w:p>
        </w:tc>
        <w:tc>
          <w:tcPr>
            <w:tcW w:w="2268" w:type="dxa"/>
            <w:vAlign w:val="center"/>
          </w:tcPr>
          <w:p w14:paraId="1350A382">
            <w:pPr>
              <w:pStyle w:val="13"/>
            </w:pPr>
            <w:r>
              <w:t>600元</w:t>
            </w:r>
          </w:p>
        </w:tc>
        <w:tc>
          <w:tcPr>
            <w:tcW w:w="1276" w:type="dxa"/>
            <w:vAlign w:val="center"/>
          </w:tcPr>
          <w:p w14:paraId="32B7928A">
            <w:pPr>
              <w:pStyle w:val="13"/>
            </w:pPr>
            <w:r>
              <w:t>幼儿园生均公用经费管理办法</w:t>
            </w:r>
          </w:p>
        </w:tc>
      </w:tr>
      <w:tr w14:paraId="2B502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3728EB">
            <w:pPr>
              <w:pStyle w:val="12"/>
            </w:pPr>
            <w:r>
              <w:t>效益指标</w:t>
            </w:r>
          </w:p>
        </w:tc>
        <w:tc>
          <w:tcPr>
            <w:tcW w:w="2268" w:type="dxa"/>
            <w:vAlign w:val="center"/>
          </w:tcPr>
          <w:p w14:paraId="65F992FC">
            <w:pPr>
              <w:pStyle w:val="13"/>
            </w:pPr>
            <w:r>
              <w:t>可持续影响指标</w:t>
            </w:r>
          </w:p>
        </w:tc>
        <w:tc>
          <w:tcPr>
            <w:tcW w:w="2835" w:type="dxa"/>
            <w:vAlign w:val="center"/>
          </w:tcPr>
          <w:p w14:paraId="05375EC1">
            <w:pPr>
              <w:pStyle w:val="13"/>
            </w:pPr>
            <w:r>
              <w:t>教育发展水平明显好转</w:t>
            </w:r>
          </w:p>
        </w:tc>
        <w:tc>
          <w:tcPr>
            <w:tcW w:w="5386" w:type="dxa"/>
            <w:vAlign w:val="center"/>
          </w:tcPr>
          <w:p w14:paraId="3D3E0299">
            <w:pPr>
              <w:pStyle w:val="13"/>
            </w:pPr>
            <w:r>
              <w:t>学生受教育年限</w:t>
            </w:r>
          </w:p>
        </w:tc>
        <w:tc>
          <w:tcPr>
            <w:tcW w:w="2268" w:type="dxa"/>
            <w:vAlign w:val="center"/>
          </w:tcPr>
          <w:p w14:paraId="0E97CFE1">
            <w:pPr>
              <w:pStyle w:val="13"/>
            </w:pPr>
            <w:r>
              <w:t>3年</w:t>
            </w:r>
          </w:p>
        </w:tc>
        <w:tc>
          <w:tcPr>
            <w:tcW w:w="1276" w:type="dxa"/>
            <w:vAlign w:val="center"/>
          </w:tcPr>
          <w:p w14:paraId="104A17AA">
            <w:pPr>
              <w:pStyle w:val="13"/>
            </w:pPr>
            <w:r>
              <w:t>幼儿园生均公用经费管理办法</w:t>
            </w:r>
          </w:p>
        </w:tc>
      </w:tr>
      <w:tr w14:paraId="04DC7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BF858A">
            <w:pPr>
              <w:pStyle w:val="12"/>
            </w:pPr>
            <w:r>
              <w:t>满意度指标</w:t>
            </w:r>
          </w:p>
        </w:tc>
        <w:tc>
          <w:tcPr>
            <w:tcW w:w="2268" w:type="dxa"/>
            <w:vAlign w:val="center"/>
          </w:tcPr>
          <w:p w14:paraId="27BB5535">
            <w:pPr>
              <w:pStyle w:val="13"/>
            </w:pPr>
            <w:r>
              <w:t>服务对象满意度指标</w:t>
            </w:r>
          </w:p>
        </w:tc>
        <w:tc>
          <w:tcPr>
            <w:tcW w:w="2835" w:type="dxa"/>
            <w:vAlign w:val="center"/>
          </w:tcPr>
          <w:p w14:paraId="5A167557">
            <w:pPr>
              <w:pStyle w:val="13"/>
            </w:pPr>
            <w:r>
              <w:t>受益学生家长及调查满意度</w:t>
            </w:r>
          </w:p>
        </w:tc>
        <w:tc>
          <w:tcPr>
            <w:tcW w:w="5386" w:type="dxa"/>
            <w:vAlign w:val="center"/>
          </w:tcPr>
          <w:p w14:paraId="379C77B8">
            <w:pPr>
              <w:pStyle w:val="13"/>
            </w:pPr>
            <w:r>
              <w:t>学生、教师及家长对学校保教保育工作满意度情况</w:t>
            </w:r>
          </w:p>
        </w:tc>
        <w:tc>
          <w:tcPr>
            <w:tcW w:w="2268" w:type="dxa"/>
            <w:vAlign w:val="center"/>
          </w:tcPr>
          <w:p w14:paraId="0D0A6A69">
            <w:pPr>
              <w:pStyle w:val="13"/>
            </w:pPr>
            <w:r>
              <w:t>≥95%</w:t>
            </w:r>
          </w:p>
        </w:tc>
        <w:tc>
          <w:tcPr>
            <w:tcW w:w="1276" w:type="dxa"/>
            <w:vAlign w:val="center"/>
          </w:tcPr>
          <w:p w14:paraId="3F69EB9C">
            <w:pPr>
              <w:pStyle w:val="13"/>
            </w:pPr>
            <w:r>
              <w:t>调查问卷</w:t>
            </w:r>
          </w:p>
        </w:tc>
      </w:tr>
    </w:tbl>
    <w:p w14:paraId="2374ACE0">
      <w:pPr>
        <w:sectPr>
          <w:pgSz w:w="16840" w:h="11900" w:orient="landscape"/>
          <w:pgMar w:top="1361" w:right="1020" w:bottom="1134" w:left="1020" w:header="720" w:footer="720" w:gutter="0"/>
          <w:cols w:space="720" w:num="1"/>
        </w:sectPr>
      </w:pPr>
    </w:p>
    <w:p w14:paraId="3DACFA05">
      <w:pPr>
        <w:spacing w:before="0" w:after="0"/>
        <w:ind w:firstLine="560"/>
        <w:jc w:val="left"/>
        <w:outlineLvl w:val="9"/>
      </w:pPr>
      <w:r>
        <w:rPr>
          <w:rFonts w:ascii="方正仿宋_GBK" w:hAnsi="方正仿宋_GBK" w:eastAsia="方正仿宋_GBK" w:cs="方正仿宋_GBK"/>
          <w:b/>
          <w:color w:val="000000"/>
          <w:sz w:val="28"/>
        </w:rPr>
        <w:t>191、县级资金/隆尧县启明星幼儿园公用经费绩效目标表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45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9F593">
            <w:pPr>
              <w:pStyle w:val="14"/>
            </w:pPr>
            <w:r>
              <w:t>单位：万元</w:t>
            </w:r>
          </w:p>
        </w:tc>
      </w:tr>
      <w:tr w14:paraId="0F9F2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93D56">
            <w:pPr>
              <w:pStyle w:val="11"/>
            </w:pPr>
            <w:r>
              <w:t>项目编码</w:t>
            </w:r>
          </w:p>
        </w:tc>
        <w:tc>
          <w:tcPr>
            <w:tcW w:w="5103" w:type="dxa"/>
            <w:gridSpan w:val="2"/>
            <w:vAlign w:val="center"/>
          </w:tcPr>
          <w:p w14:paraId="651F225B">
            <w:pPr>
              <w:pStyle w:val="13"/>
            </w:pPr>
            <w:r>
              <w:t>13052525P00875610063C</w:t>
            </w:r>
          </w:p>
        </w:tc>
        <w:tc>
          <w:tcPr>
            <w:tcW w:w="2835" w:type="dxa"/>
            <w:vAlign w:val="center"/>
          </w:tcPr>
          <w:p w14:paraId="626FF32B">
            <w:pPr>
              <w:pStyle w:val="11"/>
            </w:pPr>
            <w:r>
              <w:t>项目名称</w:t>
            </w:r>
          </w:p>
        </w:tc>
        <w:tc>
          <w:tcPr>
            <w:tcW w:w="6095" w:type="dxa"/>
            <w:gridSpan w:val="3"/>
            <w:vAlign w:val="center"/>
          </w:tcPr>
          <w:p w14:paraId="3C38748E">
            <w:pPr>
              <w:pStyle w:val="13"/>
            </w:pPr>
            <w:r>
              <w:t>县级资金/隆尧县启明星幼儿园公用经费</w:t>
            </w:r>
          </w:p>
        </w:tc>
      </w:tr>
      <w:tr w14:paraId="409C5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FCD1B">
            <w:pPr>
              <w:pStyle w:val="11"/>
            </w:pPr>
            <w:r>
              <w:t>预算规模及资金用途</w:t>
            </w:r>
          </w:p>
        </w:tc>
        <w:tc>
          <w:tcPr>
            <w:tcW w:w="2268" w:type="dxa"/>
            <w:vAlign w:val="center"/>
          </w:tcPr>
          <w:p w14:paraId="76300018">
            <w:pPr>
              <w:pStyle w:val="11"/>
            </w:pPr>
            <w:r>
              <w:t>预算数</w:t>
            </w:r>
          </w:p>
        </w:tc>
        <w:tc>
          <w:tcPr>
            <w:tcW w:w="2835" w:type="dxa"/>
            <w:vAlign w:val="center"/>
          </w:tcPr>
          <w:p w14:paraId="32EFB481">
            <w:pPr>
              <w:pStyle w:val="13"/>
            </w:pPr>
            <w:r>
              <w:t>2.48</w:t>
            </w:r>
          </w:p>
        </w:tc>
        <w:tc>
          <w:tcPr>
            <w:tcW w:w="2835" w:type="dxa"/>
            <w:vAlign w:val="center"/>
          </w:tcPr>
          <w:p w14:paraId="2C1A2E78">
            <w:pPr>
              <w:pStyle w:val="11"/>
            </w:pPr>
            <w:r>
              <w:t>其中：财政    资金</w:t>
            </w:r>
          </w:p>
        </w:tc>
        <w:tc>
          <w:tcPr>
            <w:tcW w:w="2551" w:type="dxa"/>
            <w:vAlign w:val="center"/>
          </w:tcPr>
          <w:p w14:paraId="4289F229">
            <w:pPr>
              <w:pStyle w:val="13"/>
            </w:pPr>
            <w:r>
              <w:t>2.48</w:t>
            </w:r>
          </w:p>
        </w:tc>
        <w:tc>
          <w:tcPr>
            <w:tcW w:w="2268" w:type="dxa"/>
            <w:vAlign w:val="center"/>
          </w:tcPr>
          <w:p w14:paraId="70974F57">
            <w:pPr>
              <w:pStyle w:val="11"/>
            </w:pPr>
            <w:r>
              <w:t>其他资金</w:t>
            </w:r>
          </w:p>
        </w:tc>
        <w:tc>
          <w:tcPr>
            <w:tcW w:w="1276" w:type="dxa"/>
            <w:vAlign w:val="center"/>
          </w:tcPr>
          <w:p w14:paraId="42A82A4E">
            <w:pPr>
              <w:pStyle w:val="13"/>
            </w:pPr>
            <w:r>
              <w:t xml:space="preserve"> </w:t>
            </w:r>
          </w:p>
        </w:tc>
      </w:tr>
      <w:tr w14:paraId="77990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F9EBC2"/>
        </w:tc>
        <w:tc>
          <w:tcPr>
            <w:tcW w:w="14033" w:type="dxa"/>
            <w:gridSpan w:val="6"/>
            <w:vAlign w:val="center"/>
          </w:tcPr>
          <w:p w14:paraId="30B134D5">
            <w:pPr>
              <w:pStyle w:val="13"/>
            </w:pPr>
            <w:r>
              <w:t>按季度分批次拨付安排公用经费资金，学校按照预算安排进行资金使用，保证资金正常支出</w:t>
            </w:r>
          </w:p>
        </w:tc>
      </w:tr>
      <w:tr w14:paraId="4774C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55893">
            <w:pPr>
              <w:pStyle w:val="11"/>
            </w:pPr>
            <w:r>
              <w:t>资金支出计划（%）</w:t>
            </w:r>
          </w:p>
        </w:tc>
        <w:tc>
          <w:tcPr>
            <w:tcW w:w="5103" w:type="dxa"/>
            <w:gridSpan w:val="2"/>
            <w:vAlign w:val="center"/>
          </w:tcPr>
          <w:p w14:paraId="6A11664B">
            <w:pPr>
              <w:pStyle w:val="11"/>
            </w:pPr>
            <w:r>
              <w:t>3月底</w:t>
            </w:r>
          </w:p>
        </w:tc>
        <w:tc>
          <w:tcPr>
            <w:tcW w:w="2835" w:type="dxa"/>
            <w:vAlign w:val="center"/>
          </w:tcPr>
          <w:p w14:paraId="78FF51CE">
            <w:pPr>
              <w:pStyle w:val="11"/>
            </w:pPr>
            <w:r>
              <w:t>6月底</w:t>
            </w:r>
          </w:p>
        </w:tc>
        <w:tc>
          <w:tcPr>
            <w:tcW w:w="2551" w:type="dxa"/>
            <w:vAlign w:val="center"/>
          </w:tcPr>
          <w:p w14:paraId="0B91AAFD">
            <w:pPr>
              <w:pStyle w:val="11"/>
            </w:pPr>
            <w:r>
              <w:t>10月底</w:t>
            </w:r>
          </w:p>
        </w:tc>
        <w:tc>
          <w:tcPr>
            <w:tcW w:w="3544" w:type="dxa"/>
            <w:gridSpan w:val="2"/>
            <w:vAlign w:val="center"/>
          </w:tcPr>
          <w:p w14:paraId="4A896269">
            <w:pPr>
              <w:pStyle w:val="11"/>
            </w:pPr>
            <w:r>
              <w:t>12月底</w:t>
            </w:r>
          </w:p>
        </w:tc>
      </w:tr>
      <w:tr w14:paraId="53E33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FE0873"/>
        </w:tc>
        <w:tc>
          <w:tcPr>
            <w:tcW w:w="5103" w:type="dxa"/>
            <w:gridSpan w:val="2"/>
            <w:vAlign w:val="center"/>
          </w:tcPr>
          <w:p w14:paraId="21530DFE">
            <w:pPr>
              <w:pStyle w:val="12"/>
            </w:pPr>
            <w:r>
              <w:t xml:space="preserve"> </w:t>
            </w:r>
          </w:p>
        </w:tc>
        <w:tc>
          <w:tcPr>
            <w:tcW w:w="2835" w:type="dxa"/>
            <w:vAlign w:val="center"/>
          </w:tcPr>
          <w:p w14:paraId="3CC742D1">
            <w:pPr>
              <w:pStyle w:val="12"/>
            </w:pPr>
            <w:r>
              <w:t>50%</w:t>
            </w:r>
          </w:p>
        </w:tc>
        <w:tc>
          <w:tcPr>
            <w:tcW w:w="2551" w:type="dxa"/>
            <w:vAlign w:val="center"/>
          </w:tcPr>
          <w:p w14:paraId="5BD46133">
            <w:pPr>
              <w:pStyle w:val="12"/>
            </w:pPr>
            <w:r>
              <w:t>75%</w:t>
            </w:r>
          </w:p>
        </w:tc>
        <w:tc>
          <w:tcPr>
            <w:tcW w:w="3544" w:type="dxa"/>
            <w:gridSpan w:val="2"/>
            <w:vAlign w:val="center"/>
          </w:tcPr>
          <w:p w14:paraId="7EA4C648">
            <w:pPr>
              <w:pStyle w:val="12"/>
            </w:pPr>
            <w:r>
              <w:t>100%</w:t>
            </w:r>
          </w:p>
        </w:tc>
      </w:tr>
      <w:tr w14:paraId="53F6F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18F2DF">
            <w:pPr>
              <w:pStyle w:val="11"/>
            </w:pPr>
            <w:r>
              <w:t>绩效目标</w:t>
            </w:r>
          </w:p>
        </w:tc>
        <w:tc>
          <w:tcPr>
            <w:tcW w:w="14033" w:type="dxa"/>
            <w:gridSpan w:val="6"/>
            <w:vAlign w:val="center"/>
          </w:tcPr>
          <w:p w14:paraId="663490C5">
            <w:pPr>
              <w:pStyle w:val="13"/>
            </w:pPr>
            <w:r>
              <w:t>1.按季度分批次拨付安排公用经费资金，学校按照预算安排进行资金使用，保证资金正常支出。</w:t>
            </w:r>
            <w:r>
              <w:tab/>
            </w:r>
            <w:r>
              <w:tab/>
            </w:r>
            <w:r>
              <w:tab/>
            </w:r>
            <w:r>
              <w:tab/>
            </w:r>
            <w:r>
              <w:tab/>
            </w:r>
            <w:r>
              <w:tab/>
            </w:r>
          </w:p>
          <w:p w14:paraId="727E92B8">
            <w:pPr>
              <w:pStyle w:val="13"/>
            </w:pPr>
          </w:p>
        </w:tc>
      </w:tr>
    </w:tbl>
    <w:p w14:paraId="732CE6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E4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91FAE">
            <w:pPr>
              <w:pStyle w:val="11"/>
            </w:pPr>
            <w:r>
              <w:t>一级指标</w:t>
            </w:r>
          </w:p>
        </w:tc>
        <w:tc>
          <w:tcPr>
            <w:tcW w:w="2268" w:type="dxa"/>
            <w:vAlign w:val="center"/>
          </w:tcPr>
          <w:p w14:paraId="7FD62191">
            <w:pPr>
              <w:pStyle w:val="11"/>
            </w:pPr>
            <w:r>
              <w:t>二级指标</w:t>
            </w:r>
          </w:p>
        </w:tc>
        <w:tc>
          <w:tcPr>
            <w:tcW w:w="2835" w:type="dxa"/>
            <w:vAlign w:val="center"/>
          </w:tcPr>
          <w:p w14:paraId="57C6DA66">
            <w:pPr>
              <w:pStyle w:val="11"/>
            </w:pPr>
            <w:r>
              <w:t>三级指标</w:t>
            </w:r>
          </w:p>
        </w:tc>
        <w:tc>
          <w:tcPr>
            <w:tcW w:w="5386" w:type="dxa"/>
            <w:vAlign w:val="center"/>
          </w:tcPr>
          <w:p w14:paraId="0D6C3B7A">
            <w:pPr>
              <w:pStyle w:val="11"/>
            </w:pPr>
            <w:r>
              <w:t>绩效指标描述</w:t>
            </w:r>
          </w:p>
        </w:tc>
        <w:tc>
          <w:tcPr>
            <w:tcW w:w="2268" w:type="dxa"/>
            <w:vAlign w:val="center"/>
          </w:tcPr>
          <w:p w14:paraId="353DEDBD">
            <w:pPr>
              <w:pStyle w:val="11"/>
            </w:pPr>
            <w:r>
              <w:t>指标值</w:t>
            </w:r>
          </w:p>
        </w:tc>
        <w:tc>
          <w:tcPr>
            <w:tcW w:w="1276" w:type="dxa"/>
            <w:vAlign w:val="center"/>
          </w:tcPr>
          <w:p w14:paraId="6937731A">
            <w:pPr>
              <w:pStyle w:val="11"/>
            </w:pPr>
            <w:r>
              <w:t>指标值确定依据</w:t>
            </w:r>
          </w:p>
        </w:tc>
      </w:tr>
      <w:tr w14:paraId="16472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B92DF">
            <w:pPr>
              <w:pStyle w:val="12"/>
            </w:pPr>
            <w:r>
              <w:t>产出指标</w:t>
            </w:r>
          </w:p>
        </w:tc>
        <w:tc>
          <w:tcPr>
            <w:tcW w:w="2268" w:type="dxa"/>
            <w:vAlign w:val="center"/>
          </w:tcPr>
          <w:p w14:paraId="57F22F21">
            <w:pPr>
              <w:pStyle w:val="13"/>
            </w:pPr>
            <w:r>
              <w:t>数量指标</w:t>
            </w:r>
          </w:p>
        </w:tc>
        <w:tc>
          <w:tcPr>
            <w:tcW w:w="2835" w:type="dxa"/>
            <w:vAlign w:val="center"/>
          </w:tcPr>
          <w:p w14:paraId="44D67F23">
            <w:pPr>
              <w:pStyle w:val="13"/>
            </w:pPr>
            <w:r>
              <w:t>适龄在校生</w:t>
            </w:r>
          </w:p>
        </w:tc>
        <w:tc>
          <w:tcPr>
            <w:tcW w:w="5386" w:type="dxa"/>
            <w:vAlign w:val="center"/>
          </w:tcPr>
          <w:p w14:paraId="79CEB97C">
            <w:pPr>
              <w:pStyle w:val="13"/>
            </w:pPr>
            <w:r>
              <w:t>辖区内适龄儿童全覆盖</w:t>
            </w:r>
          </w:p>
        </w:tc>
        <w:tc>
          <w:tcPr>
            <w:tcW w:w="2268" w:type="dxa"/>
            <w:vAlign w:val="center"/>
          </w:tcPr>
          <w:p w14:paraId="6249C47D">
            <w:pPr>
              <w:pStyle w:val="13"/>
            </w:pPr>
            <w:r>
              <w:t>55人</w:t>
            </w:r>
          </w:p>
        </w:tc>
        <w:tc>
          <w:tcPr>
            <w:tcW w:w="1276" w:type="dxa"/>
            <w:vAlign w:val="center"/>
          </w:tcPr>
          <w:p w14:paraId="4A642796">
            <w:pPr>
              <w:pStyle w:val="13"/>
            </w:pPr>
            <w:r>
              <w:t>幼儿园生均公用经费管理办法</w:t>
            </w:r>
          </w:p>
        </w:tc>
      </w:tr>
      <w:tr w14:paraId="14A06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24360"/>
        </w:tc>
        <w:tc>
          <w:tcPr>
            <w:tcW w:w="2268" w:type="dxa"/>
            <w:vAlign w:val="center"/>
          </w:tcPr>
          <w:p w14:paraId="21C84376">
            <w:pPr>
              <w:pStyle w:val="13"/>
            </w:pPr>
            <w:r>
              <w:t>质量指标</w:t>
            </w:r>
          </w:p>
        </w:tc>
        <w:tc>
          <w:tcPr>
            <w:tcW w:w="2835" w:type="dxa"/>
            <w:vAlign w:val="center"/>
          </w:tcPr>
          <w:p w14:paraId="7614016C">
            <w:pPr>
              <w:pStyle w:val="13"/>
            </w:pPr>
            <w:r>
              <w:t>预算控制率</w:t>
            </w:r>
          </w:p>
        </w:tc>
        <w:tc>
          <w:tcPr>
            <w:tcW w:w="5386" w:type="dxa"/>
            <w:vAlign w:val="center"/>
          </w:tcPr>
          <w:p w14:paraId="0904AEBA">
            <w:pPr>
              <w:pStyle w:val="13"/>
            </w:pPr>
            <w:r>
              <w:t>预算执行</w:t>
            </w:r>
          </w:p>
        </w:tc>
        <w:tc>
          <w:tcPr>
            <w:tcW w:w="2268" w:type="dxa"/>
            <w:vAlign w:val="center"/>
          </w:tcPr>
          <w:p w14:paraId="39C960EB">
            <w:pPr>
              <w:pStyle w:val="13"/>
            </w:pPr>
            <w:r>
              <w:t>≥95%</w:t>
            </w:r>
          </w:p>
        </w:tc>
        <w:tc>
          <w:tcPr>
            <w:tcW w:w="1276" w:type="dxa"/>
            <w:vAlign w:val="center"/>
          </w:tcPr>
          <w:p w14:paraId="5C19E539">
            <w:pPr>
              <w:pStyle w:val="13"/>
            </w:pPr>
            <w:r>
              <w:t>幼儿园生均公用经费管理办法</w:t>
            </w:r>
          </w:p>
        </w:tc>
      </w:tr>
      <w:tr w14:paraId="758B2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7FB3B"/>
        </w:tc>
        <w:tc>
          <w:tcPr>
            <w:tcW w:w="2268" w:type="dxa"/>
            <w:vAlign w:val="center"/>
          </w:tcPr>
          <w:p w14:paraId="62B65F8F">
            <w:pPr>
              <w:pStyle w:val="13"/>
            </w:pPr>
            <w:r>
              <w:t>时效指标</w:t>
            </w:r>
          </w:p>
        </w:tc>
        <w:tc>
          <w:tcPr>
            <w:tcW w:w="2835" w:type="dxa"/>
            <w:vAlign w:val="center"/>
          </w:tcPr>
          <w:p w14:paraId="44B7C170">
            <w:pPr>
              <w:pStyle w:val="13"/>
            </w:pPr>
            <w:r>
              <w:t>资金支付率</w:t>
            </w:r>
          </w:p>
        </w:tc>
        <w:tc>
          <w:tcPr>
            <w:tcW w:w="5386" w:type="dxa"/>
            <w:vAlign w:val="center"/>
          </w:tcPr>
          <w:p w14:paraId="24AA60E8">
            <w:pPr>
              <w:pStyle w:val="13"/>
            </w:pPr>
            <w:r>
              <w:t>按照序时进度完成资金支付</w:t>
            </w:r>
          </w:p>
        </w:tc>
        <w:tc>
          <w:tcPr>
            <w:tcW w:w="2268" w:type="dxa"/>
            <w:vAlign w:val="center"/>
          </w:tcPr>
          <w:p w14:paraId="5DADCD56">
            <w:pPr>
              <w:pStyle w:val="13"/>
            </w:pPr>
            <w:r>
              <w:t>≥100%</w:t>
            </w:r>
          </w:p>
        </w:tc>
        <w:tc>
          <w:tcPr>
            <w:tcW w:w="1276" w:type="dxa"/>
            <w:vAlign w:val="center"/>
          </w:tcPr>
          <w:p w14:paraId="6DC18924">
            <w:pPr>
              <w:pStyle w:val="13"/>
            </w:pPr>
            <w:r>
              <w:t>幼儿园生均公用经费管理办法</w:t>
            </w:r>
          </w:p>
        </w:tc>
      </w:tr>
      <w:tr w14:paraId="49AA4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67FB2"/>
        </w:tc>
        <w:tc>
          <w:tcPr>
            <w:tcW w:w="2268" w:type="dxa"/>
            <w:vAlign w:val="center"/>
          </w:tcPr>
          <w:p w14:paraId="06D34204">
            <w:pPr>
              <w:pStyle w:val="13"/>
            </w:pPr>
            <w:r>
              <w:t>成本指标</w:t>
            </w:r>
          </w:p>
        </w:tc>
        <w:tc>
          <w:tcPr>
            <w:tcW w:w="2835" w:type="dxa"/>
            <w:vAlign w:val="center"/>
          </w:tcPr>
          <w:p w14:paraId="5431B116">
            <w:pPr>
              <w:pStyle w:val="13"/>
            </w:pPr>
            <w:r>
              <w:t>生均拨款标准</w:t>
            </w:r>
          </w:p>
        </w:tc>
        <w:tc>
          <w:tcPr>
            <w:tcW w:w="5386" w:type="dxa"/>
            <w:vAlign w:val="center"/>
          </w:tcPr>
          <w:p w14:paraId="19E8F894">
            <w:pPr>
              <w:pStyle w:val="13"/>
            </w:pPr>
            <w:r>
              <w:t>学前经费600元/生/年</w:t>
            </w:r>
          </w:p>
        </w:tc>
        <w:tc>
          <w:tcPr>
            <w:tcW w:w="2268" w:type="dxa"/>
            <w:vAlign w:val="center"/>
          </w:tcPr>
          <w:p w14:paraId="0437C52B">
            <w:pPr>
              <w:pStyle w:val="13"/>
            </w:pPr>
            <w:r>
              <w:t>600元</w:t>
            </w:r>
          </w:p>
        </w:tc>
        <w:tc>
          <w:tcPr>
            <w:tcW w:w="1276" w:type="dxa"/>
            <w:vAlign w:val="center"/>
          </w:tcPr>
          <w:p w14:paraId="3EB77103">
            <w:pPr>
              <w:pStyle w:val="13"/>
            </w:pPr>
            <w:r>
              <w:t>幼儿园生均公用经费管理办法</w:t>
            </w:r>
          </w:p>
        </w:tc>
      </w:tr>
      <w:tr w14:paraId="38E9E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F1AC7">
            <w:pPr>
              <w:pStyle w:val="12"/>
            </w:pPr>
            <w:r>
              <w:t>效益指标</w:t>
            </w:r>
          </w:p>
        </w:tc>
        <w:tc>
          <w:tcPr>
            <w:tcW w:w="2268" w:type="dxa"/>
            <w:vAlign w:val="center"/>
          </w:tcPr>
          <w:p w14:paraId="4163A5A8">
            <w:pPr>
              <w:pStyle w:val="13"/>
            </w:pPr>
            <w:r>
              <w:t>可持续影响指标</w:t>
            </w:r>
          </w:p>
        </w:tc>
        <w:tc>
          <w:tcPr>
            <w:tcW w:w="2835" w:type="dxa"/>
            <w:vAlign w:val="center"/>
          </w:tcPr>
          <w:p w14:paraId="6AA7A457">
            <w:pPr>
              <w:pStyle w:val="13"/>
            </w:pPr>
            <w:r>
              <w:t>教育发展水平明显好转</w:t>
            </w:r>
          </w:p>
        </w:tc>
        <w:tc>
          <w:tcPr>
            <w:tcW w:w="5386" w:type="dxa"/>
            <w:vAlign w:val="center"/>
          </w:tcPr>
          <w:p w14:paraId="70EF8F8B">
            <w:pPr>
              <w:pStyle w:val="13"/>
            </w:pPr>
            <w:r>
              <w:t>学生受教育年限</w:t>
            </w:r>
          </w:p>
        </w:tc>
        <w:tc>
          <w:tcPr>
            <w:tcW w:w="2268" w:type="dxa"/>
            <w:vAlign w:val="center"/>
          </w:tcPr>
          <w:p w14:paraId="54860381">
            <w:pPr>
              <w:pStyle w:val="13"/>
            </w:pPr>
            <w:r>
              <w:t>3年</w:t>
            </w:r>
          </w:p>
        </w:tc>
        <w:tc>
          <w:tcPr>
            <w:tcW w:w="1276" w:type="dxa"/>
            <w:vAlign w:val="center"/>
          </w:tcPr>
          <w:p w14:paraId="619A505D">
            <w:pPr>
              <w:pStyle w:val="13"/>
            </w:pPr>
            <w:r>
              <w:t>幼儿园生均公用经费管理办法</w:t>
            </w:r>
          </w:p>
        </w:tc>
      </w:tr>
      <w:tr w14:paraId="74528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0B3E8">
            <w:pPr>
              <w:pStyle w:val="12"/>
            </w:pPr>
            <w:r>
              <w:t>满意度指标</w:t>
            </w:r>
          </w:p>
        </w:tc>
        <w:tc>
          <w:tcPr>
            <w:tcW w:w="2268" w:type="dxa"/>
            <w:vAlign w:val="center"/>
          </w:tcPr>
          <w:p w14:paraId="763C725C">
            <w:pPr>
              <w:pStyle w:val="13"/>
            </w:pPr>
            <w:r>
              <w:t>服务对象满意度指标</w:t>
            </w:r>
          </w:p>
        </w:tc>
        <w:tc>
          <w:tcPr>
            <w:tcW w:w="2835" w:type="dxa"/>
            <w:vAlign w:val="center"/>
          </w:tcPr>
          <w:p w14:paraId="7C6C224E">
            <w:pPr>
              <w:pStyle w:val="13"/>
            </w:pPr>
            <w:r>
              <w:t>受益学生家长及调查满意度</w:t>
            </w:r>
          </w:p>
        </w:tc>
        <w:tc>
          <w:tcPr>
            <w:tcW w:w="5386" w:type="dxa"/>
            <w:vAlign w:val="center"/>
          </w:tcPr>
          <w:p w14:paraId="013B7F93">
            <w:pPr>
              <w:pStyle w:val="13"/>
            </w:pPr>
            <w:r>
              <w:t>学生、教师及家长对学校保教保育工作满意度情况</w:t>
            </w:r>
          </w:p>
        </w:tc>
        <w:tc>
          <w:tcPr>
            <w:tcW w:w="2268" w:type="dxa"/>
            <w:vAlign w:val="center"/>
          </w:tcPr>
          <w:p w14:paraId="63E99B84">
            <w:pPr>
              <w:pStyle w:val="13"/>
            </w:pPr>
            <w:r>
              <w:t>≥95%</w:t>
            </w:r>
          </w:p>
        </w:tc>
        <w:tc>
          <w:tcPr>
            <w:tcW w:w="1276" w:type="dxa"/>
            <w:vAlign w:val="center"/>
          </w:tcPr>
          <w:p w14:paraId="0F9AB5F9">
            <w:pPr>
              <w:pStyle w:val="13"/>
            </w:pPr>
            <w:r>
              <w:t>调查问卷</w:t>
            </w:r>
          </w:p>
        </w:tc>
      </w:tr>
    </w:tbl>
    <w:p w14:paraId="46ADDCFD">
      <w:pPr>
        <w:sectPr>
          <w:pgSz w:w="16840" w:h="11900" w:orient="landscape"/>
          <w:pgMar w:top="1361" w:right="1020" w:bottom="1134" w:left="1020" w:header="720" w:footer="720" w:gutter="0"/>
          <w:cols w:space="720" w:num="1"/>
        </w:sectPr>
      </w:pPr>
    </w:p>
    <w:p w14:paraId="40B62D20">
      <w:pPr>
        <w:spacing w:before="0" w:after="0"/>
        <w:ind w:firstLine="560"/>
        <w:jc w:val="left"/>
        <w:outlineLvl w:val="9"/>
      </w:pPr>
      <w:r>
        <w:rPr>
          <w:rFonts w:ascii="方正仿宋_GBK" w:hAnsi="方正仿宋_GBK" w:eastAsia="方正仿宋_GBK" w:cs="方正仿宋_GBK"/>
          <w:b/>
          <w:color w:val="000000"/>
          <w:sz w:val="28"/>
        </w:rPr>
        <w:t>192、县级资金/隆尧县启明幼儿园公用经费绩效目标表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54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94491">
            <w:pPr>
              <w:pStyle w:val="14"/>
            </w:pPr>
            <w:r>
              <w:t>单位：万元</w:t>
            </w:r>
          </w:p>
        </w:tc>
      </w:tr>
      <w:tr w14:paraId="48C69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E056EA">
            <w:pPr>
              <w:pStyle w:val="11"/>
            </w:pPr>
            <w:r>
              <w:t>项目编码</w:t>
            </w:r>
          </w:p>
        </w:tc>
        <w:tc>
          <w:tcPr>
            <w:tcW w:w="5103" w:type="dxa"/>
            <w:gridSpan w:val="2"/>
            <w:vAlign w:val="center"/>
          </w:tcPr>
          <w:p w14:paraId="272B595C">
            <w:pPr>
              <w:pStyle w:val="13"/>
            </w:pPr>
            <w:r>
              <w:t>13052525P008756100711</w:t>
            </w:r>
          </w:p>
        </w:tc>
        <w:tc>
          <w:tcPr>
            <w:tcW w:w="2835" w:type="dxa"/>
            <w:vAlign w:val="center"/>
          </w:tcPr>
          <w:p w14:paraId="41E7F5C0">
            <w:pPr>
              <w:pStyle w:val="11"/>
            </w:pPr>
            <w:r>
              <w:t>项目名称</w:t>
            </w:r>
          </w:p>
        </w:tc>
        <w:tc>
          <w:tcPr>
            <w:tcW w:w="6095" w:type="dxa"/>
            <w:gridSpan w:val="3"/>
            <w:vAlign w:val="center"/>
          </w:tcPr>
          <w:p w14:paraId="056D8B5F">
            <w:pPr>
              <w:pStyle w:val="13"/>
            </w:pPr>
            <w:r>
              <w:t>县级资金/隆尧县启明幼儿园公用经费</w:t>
            </w:r>
          </w:p>
        </w:tc>
      </w:tr>
      <w:tr w14:paraId="4AFAF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7585B">
            <w:pPr>
              <w:pStyle w:val="11"/>
            </w:pPr>
            <w:r>
              <w:t>预算规模及资金用途</w:t>
            </w:r>
          </w:p>
        </w:tc>
        <w:tc>
          <w:tcPr>
            <w:tcW w:w="2268" w:type="dxa"/>
            <w:vAlign w:val="center"/>
          </w:tcPr>
          <w:p w14:paraId="08D644D9">
            <w:pPr>
              <w:pStyle w:val="11"/>
            </w:pPr>
            <w:r>
              <w:t>预算数</w:t>
            </w:r>
          </w:p>
        </w:tc>
        <w:tc>
          <w:tcPr>
            <w:tcW w:w="2835" w:type="dxa"/>
            <w:vAlign w:val="center"/>
          </w:tcPr>
          <w:p w14:paraId="09A3DCFF">
            <w:pPr>
              <w:pStyle w:val="13"/>
            </w:pPr>
            <w:r>
              <w:t>4.37</w:t>
            </w:r>
          </w:p>
        </w:tc>
        <w:tc>
          <w:tcPr>
            <w:tcW w:w="2835" w:type="dxa"/>
            <w:vAlign w:val="center"/>
          </w:tcPr>
          <w:p w14:paraId="1E8C5C30">
            <w:pPr>
              <w:pStyle w:val="11"/>
            </w:pPr>
            <w:r>
              <w:t>其中：财政    资金</w:t>
            </w:r>
          </w:p>
        </w:tc>
        <w:tc>
          <w:tcPr>
            <w:tcW w:w="2551" w:type="dxa"/>
            <w:vAlign w:val="center"/>
          </w:tcPr>
          <w:p w14:paraId="3DC59E92">
            <w:pPr>
              <w:pStyle w:val="13"/>
            </w:pPr>
            <w:r>
              <w:t>4.37</w:t>
            </w:r>
          </w:p>
        </w:tc>
        <w:tc>
          <w:tcPr>
            <w:tcW w:w="2268" w:type="dxa"/>
            <w:vAlign w:val="center"/>
          </w:tcPr>
          <w:p w14:paraId="02162797">
            <w:pPr>
              <w:pStyle w:val="11"/>
            </w:pPr>
            <w:r>
              <w:t>其他资金</w:t>
            </w:r>
          </w:p>
        </w:tc>
        <w:tc>
          <w:tcPr>
            <w:tcW w:w="1276" w:type="dxa"/>
            <w:vAlign w:val="center"/>
          </w:tcPr>
          <w:p w14:paraId="20269382">
            <w:pPr>
              <w:pStyle w:val="13"/>
            </w:pPr>
            <w:r>
              <w:t xml:space="preserve"> </w:t>
            </w:r>
          </w:p>
        </w:tc>
      </w:tr>
      <w:tr w14:paraId="0B38F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955D68"/>
        </w:tc>
        <w:tc>
          <w:tcPr>
            <w:tcW w:w="14033" w:type="dxa"/>
            <w:gridSpan w:val="6"/>
            <w:vAlign w:val="center"/>
          </w:tcPr>
          <w:p w14:paraId="3979B6C3">
            <w:pPr>
              <w:pStyle w:val="13"/>
            </w:pPr>
            <w:r>
              <w:t>按季度分批次拨付安排公用经费资金，学校按照预算安排进行资金使用，保证资金正常支出。</w:t>
            </w:r>
          </w:p>
        </w:tc>
      </w:tr>
      <w:tr w14:paraId="433E3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5EB0D670">
            <w:pPr>
              <w:pStyle w:val="11"/>
            </w:pPr>
            <w:r>
              <w:t>资金支出计划（%）</w:t>
            </w:r>
          </w:p>
        </w:tc>
        <w:tc>
          <w:tcPr>
            <w:tcW w:w="5103" w:type="dxa"/>
            <w:gridSpan w:val="2"/>
            <w:vAlign w:val="center"/>
          </w:tcPr>
          <w:p w14:paraId="02BA1DEC">
            <w:pPr>
              <w:pStyle w:val="11"/>
            </w:pPr>
            <w:r>
              <w:t>3月底</w:t>
            </w:r>
          </w:p>
        </w:tc>
        <w:tc>
          <w:tcPr>
            <w:tcW w:w="2835" w:type="dxa"/>
            <w:vAlign w:val="center"/>
          </w:tcPr>
          <w:p w14:paraId="4D0C9143">
            <w:pPr>
              <w:pStyle w:val="11"/>
            </w:pPr>
            <w:r>
              <w:t>6月底</w:t>
            </w:r>
          </w:p>
        </w:tc>
        <w:tc>
          <w:tcPr>
            <w:tcW w:w="2551" w:type="dxa"/>
            <w:vAlign w:val="center"/>
          </w:tcPr>
          <w:p w14:paraId="68383494">
            <w:pPr>
              <w:pStyle w:val="11"/>
            </w:pPr>
            <w:r>
              <w:t>10月底</w:t>
            </w:r>
          </w:p>
        </w:tc>
        <w:tc>
          <w:tcPr>
            <w:tcW w:w="3544" w:type="dxa"/>
            <w:gridSpan w:val="2"/>
            <w:vAlign w:val="center"/>
          </w:tcPr>
          <w:p w14:paraId="242B0156">
            <w:pPr>
              <w:pStyle w:val="11"/>
            </w:pPr>
            <w:r>
              <w:t>12月底</w:t>
            </w:r>
          </w:p>
        </w:tc>
      </w:tr>
      <w:tr w14:paraId="77E4D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E1496"/>
        </w:tc>
        <w:tc>
          <w:tcPr>
            <w:tcW w:w="5103" w:type="dxa"/>
            <w:gridSpan w:val="2"/>
            <w:vAlign w:val="center"/>
          </w:tcPr>
          <w:p w14:paraId="208490E6">
            <w:pPr>
              <w:pStyle w:val="12"/>
            </w:pPr>
            <w:r>
              <w:t xml:space="preserve"> </w:t>
            </w:r>
          </w:p>
        </w:tc>
        <w:tc>
          <w:tcPr>
            <w:tcW w:w="2835" w:type="dxa"/>
            <w:vAlign w:val="center"/>
          </w:tcPr>
          <w:p w14:paraId="110A8A13">
            <w:pPr>
              <w:pStyle w:val="12"/>
            </w:pPr>
            <w:r>
              <w:t>50%</w:t>
            </w:r>
          </w:p>
        </w:tc>
        <w:tc>
          <w:tcPr>
            <w:tcW w:w="2551" w:type="dxa"/>
            <w:vAlign w:val="center"/>
          </w:tcPr>
          <w:p w14:paraId="5C42F79F">
            <w:pPr>
              <w:pStyle w:val="12"/>
            </w:pPr>
            <w:r>
              <w:t>75%</w:t>
            </w:r>
          </w:p>
        </w:tc>
        <w:tc>
          <w:tcPr>
            <w:tcW w:w="3544" w:type="dxa"/>
            <w:gridSpan w:val="2"/>
            <w:vAlign w:val="center"/>
          </w:tcPr>
          <w:p w14:paraId="37696A03">
            <w:pPr>
              <w:pStyle w:val="12"/>
            </w:pPr>
            <w:r>
              <w:t>100%</w:t>
            </w:r>
          </w:p>
        </w:tc>
      </w:tr>
      <w:tr w14:paraId="5FAC8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E7CC8">
            <w:pPr>
              <w:pStyle w:val="11"/>
            </w:pPr>
            <w:r>
              <w:t>绩效目标</w:t>
            </w:r>
          </w:p>
        </w:tc>
        <w:tc>
          <w:tcPr>
            <w:tcW w:w="14033" w:type="dxa"/>
            <w:gridSpan w:val="6"/>
            <w:vAlign w:val="center"/>
          </w:tcPr>
          <w:p w14:paraId="44DC9FD7">
            <w:pPr>
              <w:pStyle w:val="13"/>
            </w:pPr>
            <w:r>
              <w:t>1.按季度分批次拨付安排公用经费资金，学校按照预算安排进行资金使用，保证资金正常支出。</w:t>
            </w:r>
          </w:p>
        </w:tc>
      </w:tr>
    </w:tbl>
    <w:p w14:paraId="019B4B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1B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D8996">
            <w:pPr>
              <w:pStyle w:val="11"/>
            </w:pPr>
            <w:r>
              <w:t>一级指标</w:t>
            </w:r>
          </w:p>
        </w:tc>
        <w:tc>
          <w:tcPr>
            <w:tcW w:w="2268" w:type="dxa"/>
            <w:vAlign w:val="center"/>
          </w:tcPr>
          <w:p w14:paraId="36D77CDE">
            <w:pPr>
              <w:pStyle w:val="11"/>
            </w:pPr>
            <w:r>
              <w:t>二级指标</w:t>
            </w:r>
          </w:p>
        </w:tc>
        <w:tc>
          <w:tcPr>
            <w:tcW w:w="2835" w:type="dxa"/>
            <w:vAlign w:val="center"/>
          </w:tcPr>
          <w:p w14:paraId="537FFC55">
            <w:pPr>
              <w:pStyle w:val="11"/>
            </w:pPr>
            <w:r>
              <w:t>三级指标</w:t>
            </w:r>
          </w:p>
        </w:tc>
        <w:tc>
          <w:tcPr>
            <w:tcW w:w="5386" w:type="dxa"/>
            <w:vAlign w:val="center"/>
          </w:tcPr>
          <w:p w14:paraId="6BA69F12">
            <w:pPr>
              <w:pStyle w:val="11"/>
            </w:pPr>
            <w:r>
              <w:t>绩效指标描述</w:t>
            </w:r>
          </w:p>
        </w:tc>
        <w:tc>
          <w:tcPr>
            <w:tcW w:w="2268" w:type="dxa"/>
            <w:vAlign w:val="center"/>
          </w:tcPr>
          <w:p w14:paraId="375FC514">
            <w:pPr>
              <w:pStyle w:val="11"/>
            </w:pPr>
            <w:r>
              <w:t>指标值</w:t>
            </w:r>
          </w:p>
        </w:tc>
        <w:tc>
          <w:tcPr>
            <w:tcW w:w="1276" w:type="dxa"/>
            <w:vAlign w:val="center"/>
          </w:tcPr>
          <w:p w14:paraId="48AB734C">
            <w:pPr>
              <w:pStyle w:val="11"/>
            </w:pPr>
            <w:r>
              <w:t>指标值确定依据</w:t>
            </w:r>
          </w:p>
        </w:tc>
      </w:tr>
      <w:tr w14:paraId="02A32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6A25F">
            <w:pPr>
              <w:pStyle w:val="12"/>
            </w:pPr>
            <w:r>
              <w:t>产出指标</w:t>
            </w:r>
          </w:p>
        </w:tc>
        <w:tc>
          <w:tcPr>
            <w:tcW w:w="2268" w:type="dxa"/>
            <w:vAlign w:val="center"/>
          </w:tcPr>
          <w:p w14:paraId="486AF327">
            <w:pPr>
              <w:pStyle w:val="13"/>
            </w:pPr>
            <w:r>
              <w:t>数量指标</w:t>
            </w:r>
          </w:p>
        </w:tc>
        <w:tc>
          <w:tcPr>
            <w:tcW w:w="2835" w:type="dxa"/>
            <w:vAlign w:val="center"/>
          </w:tcPr>
          <w:p w14:paraId="7A33C8B6">
            <w:pPr>
              <w:pStyle w:val="13"/>
            </w:pPr>
            <w:r>
              <w:t>适龄在校生</w:t>
            </w:r>
          </w:p>
        </w:tc>
        <w:tc>
          <w:tcPr>
            <w:tcW w:w="5386" w:type="dxa"/>
            <w:vAlign w:val="center"/>
          </w:tcPr>
          <w:p w14:paraId="6A54980D">
            <w:pPr>
              <w:pStyle w:val="13"/>
            </w:pPr>
            <w:r>
              <w:t>辖区内适龄儿童全覆盖</w:t>
            </w:r>
          </w:p>
        </w:tc>
        <w:tc>
          <w:tcPr>
            <w:tcW w:w="2268" w:type="dxa"/>
            <w:vAlign w:val="center"/>
          </w:tcPr>
          <w:p w14:paraId="64698A70">
            <w:pPr>
              <w:pStyle w:val="13"/>
            </w:pPr>
            <w:r>
              <w:t>97人</w:t>
            </w:r>
          </w:p>
        </w:tc>
        <w:tc>
          <w:tcPr>
            <w:tcW w:w="1276" w:type="dxa"/>
            <w:vAlign w:val="center"/>
          </w:tcPr>
          <w:p w14:paraId="2F90BC10">
            <w:pPr>
              <w:pStyle w:val="13"/>
            </w:pPr>
            <w:r>
              <w:t>幼儿园生均公用经费管理办法</w:t>
            </w:r>
          </w:p>
        </w:tc>
      </w:tr>
      <w:tr w14:paraId="00C93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18E54"/>
        </w:tc>
        <w:tc>
          <w:tcPr>
            <w:tcW w:w="2268" w:type="dxa"/>
            <w:vAlign w:val="center"/>
          </w:tcPr>
          <w:p w14:paraId="544EC64C">
            <w:pPr>
              <w:pStyle w:val="13"/>
            </w:pPr>
            <w:r>
              <w:t>质量指标</w:t>
            </w:r>
          </w:p>
        </w:tc>
        <w:tc>
          <w:tcPr>
            <w:tcW w:w="2835" w:type="dxa"/>
            <w:vAlign w:val="center"/>
          </w:tcPr>
          <w:p w14:paraId="34EACEC5">
            <w:pPr>
              <w:pStyle w:val="13"/>
            </w:pPr>
            <w:r>
              <w:t>预算控制率</w:t>
            </w:r>
          </w:p>
        </w:tc>
        <w:tc>
          <w:tcPr>
            <w:tcW w:w="5386" w:type="dxa"/>
            <w:vAlign w:val="center"/>
          </w:tcPr>
          <w:p w14:paraId="3DFF50B9">
            <w:pPr>
              <w:pStyle w:val="13"/>
            </w:pPr>
            <w:r>
              <w:t>预算执行</w:t>
            </w:r>
          </w:p>
        </w:tc>
        <w:tc>
          <w:tcPr>
            <w:tcW w:w="2268" w:type="dxa"/>
            <w:vAlign w:val="center"/>
          </w:tcPr>
          <w:p w14:paraId="248D6176">
            <w:pPr>
              <w:pStyle w:val="13"/>
            </w:pPr>
            <w:r>
              <w:t>≥95%</w:t>
            </w:r>
          </w:p>
        </w:tc>
        <w:tc>
          <w:tcPr>
            <w:tcW w:w="1276" w:type="dxa"/>
            <w:vAlign w:val="center"/>
          </w:tcPr>
          <w:p w14:paraId="664FAB2E">
            <w:pPr>
              <w:pStyle w:val="13"/>
            </w:pPr>
            <w:r>
              <w:t>幼儿园生均公用经费管理办法</w:t>
            </w:r>
          </w:p>
        </w:tc>
      </w:tr>
      <w:tr w14:paraId="2F7B3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4D5E8"/>
        </w:tc>
        <w:tc>
          <w:tcPr>
            <w:tcW w:w="2268" w:type="dxa"/>
            <w:vAlign w:val="center"/>
          </w:tcPr>
          <w:p w14:paraId="40CB5FA4">
            <w:pPr>
              <w:pStyle w:val="13"/>
            </w:pPr>
            <w:r>
              <w:t>时效指标</w:t>
            </w:r>
          </w:p>
        </w:tc>
        <w:tc>
          <w:tcPr>
            <w:tcW w:w="2835" w:type="dxa"/>
            <w:vAlign w:val="center"/>
          </w:tcPr>
          <w:p w14:paraId="1E94C4B1">
            <w:pPr>
              <w:pStyle w:val="13"/>
            </w:pPr>
            <w:r>
              <w:t>资金支付率</w:t>
            </w:r>
          </w:p>
        </w:tc>
        <w:tc>
          <w:tcPr>
            <w:tcW w:w="5386" w:type="dxa"/>
            <w:vAlign w:val="center"/>
          </w:tcPr>
          <w:p w14:paraId="47A19053">
            <w:pPr>
              <w:pStyle w:val="13"/>
            </w:pPr>
            <w:r>
              <w:t>按照序时进度完成资金支付</w:t>
            </w:r>
          </w:p>
        </w:tc>
        <w:tc>
          <w:tcPr>
            <w:tcW w:w="2268" w:type="dxa"/>
            <w:vAlign w:val="center"/>
          </w:tcPr>
          <w:p w14:paraId="75A585C1">
            <w:pPr>
              <w:pStyle w:val="13"/>
            </w:pPr>
            <w:r>
              <w:t>≥100%</w:t>
            </w:r>
          </w:p>
        </w:tc>
        <w:tc>
          <w:tcPr>
            <w:tcW w:w="1276" w:type="dxa"/>
            <w:vAlign w:val="center"/>
          </w:tcPr>
          <w:p w14:paraId="5B97FAAC">
            <w:pPr>
              <w:pStyle w:val="13"/>
            </w:pPr>
            <w:r>
              <w:t>幼儿园生均公用经费管理办法</w:t>
            </w:r>
          </w:p>
        </w:tc>
      </w:tr>
      <w:tr w14:paraId="792EE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8BB63"/>
        </w:tc>
        <w:tc>
          <w:tcPr>
            <w:tcW w:w="2268" w:type="dxa"/>
            <w:vAlign w:val="center"/>
          </w:tcPr>
          <w:p w14:paraId="77F7B474">
            <w:pPr>
              <w:pStyle w:val="13"/>
            </w:pPr>
            <w:r>
              <w:t>成本指标</w:t>
            </w:r>
          </w:p>
        </w:tc>
        <w:tc>
          <w:tcPr>
            <w:tcW w:w="2835" w:type="dxa"/>
            <w:vAlign w:val="center"/>
          </w:tcPr>
          <w:p w14:paraId="490BDDAD">
            <w:pPr>
              <w:pStyle w:val="13"/>
            </w:pPr>
            <w:r>
              <w:t>生均拨款标准</w:t>
            </w:r>
          </w:p>
        </w:tc>
        <w:tc>
          <w:tcPr>
            <w:tcW w:w="5386" w:type="dxa"/>
            <w:vAlign w:val="center"/>
          </w:tcPr>
          <w:p w14:paraId="10D69502">
            <w:pPr>
              <w:pStyle w:val="13"/>
            </w:pPr>
            <w:r>
              <w:t>学前经费600元/生/年</w:t>
            </w:r>
          </w:p>
        </w:tc>
        <w:tc>
          <w:tcPr>
            <w:tcW w:w="2268" w:type="dxa"/>
            <w:vAlign w:val="center"/>
          </w:tcPr>
          <w:p w14:paraId="78BDB7C6">
            <w:pPr>
              <w:pStyle w:val="13"/>
            </w:pPr>
            <w:r>
              <w:t>600元</w:t>
            </w:r>
          </w:p>
        </w:tc>
        <w:tc>
          <w:tcPr>
            <w:tcW w:w="1276" w:type="dxa"/>
            <w:vAlign w:val="center"/>
          </w:tcPr>
          <w:p w14:paraId="531FACE8">
            <w:pPr>
              <w:pStyle w:val="13"/>
            </w:pPr>
            <w:r>
              <w:t>幼儿园生均公用经费管理办法</w:t>
            </w:r>
          </w:p>
        </w:tc>
      </w:tr>
      <w:tr w14:paraId="4F702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FB9184">
            <w:pPr>
              <w:pStyle w:val="12"/>
            </w:pPr>
            <w:r>
              <w:t>效益指标</w:t>
            </w:r>
          </w:p>
        </w:tc>
        <w:tc>
          <w:tcPr>
            <w:tcW w:w="2268" w:type="dxa"/>
            <w:vAlign w:val="center"/>
          </w:tcPr>
          <w:p w14:paraId="1E7C7FFE">
            <w:pPr>
              <w:pStyle w:val="13"/>
            </w:pPr>
            <w:r>
              <w:t>可持续影响指标</w:t>
            </w:r>
          </w:p>
        </w:tc>
        <w:tc>
          <w:tcPr>
            <w:tcW w:w="2835" w:type="dxa"/>
            <w:vAlign w:val="center"/>
          </w:tcPr>
          <w:p w14:paraId="2FE49F9D">
            <w:pPr>
              <w:pStyle w:val="13"/>
            </w:pPr>
            <w:r>
              <w:t>教育发展水平明显好转</w:t>
            </w:r>
          </w:p>
        </w:tc>
        <w:tc>
          <w:tcPr>
            <w:tcW w:w="5386" w:type="dxa"/>
            <w:vAlign w:val="center"/>
          </w:tcPr>
          <w:p w14:paraId="0D0F1CF7">
            <w:pPr>
              <w:pStyle w:val="13"/>
            </w:pPr>
            <w:r>
              <w:t>学生受教育年限</w:t>
            </w:r>
          </w:p>
        </w:tc>
        <w:tc>
          <w:tcPr>
            <w:tcW w:w="2268" w:type="dxa"/>
            <w:vAlign w:val="center"/>
          </w:tcPr>
          <w:p w14:paraId="4A3047D0">
            <w:pPr>
              <w:pStyle w:val="13"/>
            </w:pPr>
            <w:r>
              <w:t>3年</w:t>
            </w:r>
          </w:p>
        </w:tc>
        <w:tc>
          <w:tcPr>
            <w:tcW w:w="1276" w:type="dxa"/>
            <w:vAlign w:val="center"/>
          </w:tcPr>
          <w:p w14:paraId="4CFA1566">
            <w:pPr>
              <w:pStyle w:val="13"/>
            </w:pPr>
            <w:r>
              <w:t>幼儿园生均公用经费管理办法</w:t>
            </w:r>
          </w:p>
        </w:tc>
      </w:tr>
      <w:tr w14:paraId="1DDB3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1D1965">
            <w:pPr>
              <w:pStyle w:val="12"/>
            </w:pPr>
            <w:r>
              <w:t>满意度指标</w:t>
            </w:r>
          </w:p>
        </w:tc>
        <w:tc>
          <w:tcPr>
            <w:tcW w:w="2268" w:type="dxa"/>
            <w:vAlign w:val="center"/>
          </w:tcPr>
          <w:p w14:paraId="78D9E9C8">
            <w:pPr>
              <w:pStyle w:val="13"/>
            </w:pPr>
            <w:r>
              <w:t>服务对象满意度指标</w:t>
            </w:r>
          </w:p>
        </w:tc>
        <w:tc>
          <w:tcPr>
            <w:tcW w:w="2835" w:type="dxa"/>
            <w:vAlign w:val="center"/>
          </w:tcPr>
          <w:p w14:paraId="387CA39A">
            <w:pPr>
              <w:pStyle w:val="13"/>
            </w:pPr>
            <w:r>
              <w:t>受益学生家长及调查满意度</w:t>
            </w:r>
          </w:p>
        </w:tc>
        <w:tc>
          <w:tcPr>
            <w:tcW w:w="5386" w:type="dxa"/>
            <w:vAlign w:val="center"/>
          </w:tcPr>
          <w:p w14:paraId="3E3CE107">
            <w:pPr>
              <w:pStyle w:val="13"/>
            </w:pPr>
            <w:r>
              <w:t>学生、教师及家长对学校保教保育工作满意度情况</w:t>
            </w:r>
          </w:p>
        </w:tc>
        <w:tc>
          <w:tcPr>
            <w:tcW w:w="2268" w:type="dxa"/>
            <w:vAlign w:val="center"/>
          </w:tcPr>
          <w:p w14:paraId="2C8DE766">
            <w:pPr>
              <w:pStyle w:val="13"/>
            </w:pPr>
            <w:r>
              <w:t>≥95%</w:t>
            </w:r>
          </w:p>
        </w:tc>
        <w:tc>
          <w:tcPr>
            <w:tcW w:w="1276" w:type="dxa"/>
            <w:vAlign w:val="center"/>
          </w:tcPr>
          <w:p w14:paraId="593A16F7">
            <w:pPr>
              <w:pStyle w:val="13"/>
            </w:pPr>
            <w:r>
              <w:t>调查问卷</w:t>
            </w:r>
          </w:p>
        </w:tc>
      </w:tr>
    </w:tbl>
    <w:p w14:paraId="7DE152AF">
      <w:pPr>
        <w:sectPr>
          <w:pgSz w:w="16840" w:h="11900" w:orient="landscape"/>
          <w:pgMar w:top="1361" w:right="1020" w:bottom="1134" w:left="1020" w:header="720" w:footer="720" w:gutter="0"/>
          <w:cols w:space="720" w:num="1"/>
        </w:sectPr>
      </w:pPr>
    </w:p>
    <w:p w14:paraId="3C15B00E">
      <w:pPr>
        <w:spacing w:before="0" w:after="0"/>
        <w:ind w:firstLine="560"/>
        <w:jc w:val="left"/>
        <w:outlineLvl w:val="9"/>
      </w:pPr>
      <w:r>
        <w:rPr>
          <w:rFonts w:ascii="方正仿宋_GBK" w:hAnsi="方正仿宋_GBK" w:eastAsia="方正仿宋_GBK" w:cs="方正仿宋_GBK"/>
          <w:b/>
          <w:color w:val="000000"/>
          <w:sz w:val="28"/>
        </w:rPr>
        <w:t>193、县级资金/隆尧县启智幼儿园公用经费绩效目标表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D6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9589F">
            <w:pPr>
              <w:pStyle w:val="14"/>
            </w:pPr>
            <w:r>
              <w:t>单位：万元</w:t>
            </w:r>
          </w:p>
        </w:tc>
      </w:tr>
      <w:tr w14:paraId="1EEF3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309E66B9">
            <w:pPr>
              <w:pStyle w:val="11"/>
            </w:pPr>
            <w:r>
              <w:t>项目编码</w:t>
            </w:r>
          </w:p>
        </w:tc>
        <w:tc>
          <w:tcPr>
            <w:tcW w:w="5103" w:type="dxa"/>
            <w:gridSpan w:val="2"/>
            <w:vAlign w:val="center"/>
          </w:tcPr>
          <w:p w14:paraId="1B2E3C72">
            <w:pPr>
              <w:pStyle w:val="13"/>
            </w:pPr>
            <w:r>
              <w:t>13052525P008756100667</w:t>
            </w:r>
          </w:p>
        </w:tc>
        <w:tc>
          <w:tcPr>
            <w:tcW w:w="2835" w:type="dxa"/>
            <w:vAlign w:val="center"/>
          </w:tcPr>
          <w:p w14:paraId="0BAA1D94">
            <w:pPr>
              <w:pStyle w:val="11"/>
            </w:pPr>
            <w:r>
              <w:t>项目名称</w:t>
            </w:r>
          </w:p>
        </w:tc>
        <w:tc>
          <w:tcPr>
            <w:tcW w:w="6095" w:type="dxa"/>
            <w:gridSpan w:val="3"/>
            <w:vAlign w:val="center"/>
          </w:tcPr>
          <w:p w14:paraId="662C2B3B">
            <w:pPr>
              <w:pStyle w:val="13"/>
            </w:pPr>
            <w:r>
              <w:t>县级资金/隆尧县启智幼儿园公用经费</w:t>
            </w:r>
          </w:p>
        </w:tc>
      </w:tr>
      <w:tr w14:paraId="7EB09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5094D">
            <w:pPr>
              <w:pStyle w:val="11"/>
            </w:pPr>
            <w:r>
              <w:t>预算规模及资金用途</w:t>
            </w:r>
          </w:p>
        </w:tc>
        <w:tc>
          <w:tcPr>
            <w:tcW w:w="2268" w:type="dxa"/>
            <w:vAlign w:val="center"/>
          </w:tcPr>
          <w:p w14:paraId="74A598E7">
            <w:pPr>
              <w:pStyle w:val="11"/>
            </w:pPr>
            <w:r>
              <w:t>预算数</w:t>
            </w:r>
          </w:p>
        </w:tc>
        <w:tc>
          <w:tcPr>
            <w:tcW w:w="2835" w:type="dxa"/>
            <w:vAlign w:val="center"/>
          </w:tcPr>
          <w:p w14:paraId="675627DF">
            <w:pPr>
              <w:pStyle w:val="13"/>
            </w:pPr>
            <w:r>
              <w:t>7.47</w:t>
            </w:r>
          </w:p>
        </w:tc>
        <w:tc>
          <w:tcPr>
            <w:tcW w:w="2835" w:type="dxa"/>
            <w:vAlign w:val="center"/>
          </w:tcPr>
          <w:p w14:paraId="6EB3F868">
            <w:pPr>
              <w:pStyle w:val="11"/>
            </w:pPr>
            <w:r>
              <w:t>其中：财政    资金</w:t>
            </w:r>
          </w:p>
        </w:tc>
        <w:tc>
          <w:tcPr>
            <w:tcW w:w="2551" w:type="dxa"/>
            <w:vAlign w:val="center"/>
          </w:tcPr>
          <w:p w14:paraId="188A320B">
            <w:pPr>
              <w:pStyle w:val="13"/>
            </w:pPr>
            <w:r>
              <w:t>7.47</w:t>
            </w:r>
          </w:p>
        </w:tc>
        <w:tc>
          <w:tcPr>
            <w:tcW w:w="2268" w:type="dxa"/>
            <w:vAlign w:val="center"/>
          </w:tcPr>
          <w:p w14:paraId="4070DF9F">
            <w:pPr>
              <w:pStyle w:val="11"/>
            </w:pPr>
            <w:r>
              <w:t>其他资金</w:t>
            </w:r>
          </w:p>
        </w:tc>
        <w:tc>
          <w:tcPr>
            <w:tcW w:w="1276" w:type="dxa"/>
            <w:vAlign w:val="center"/>
          </w:tcPr>
          <w:p w14:paraId="1533DAF1">
            <w:pPr>
              <w:pStyle w:val="13"/>
            </w:pPr>
            <w:r>
              <w:t xml:space="preserve"> </w:t>
            </w:r>
          </w:p>
        </w:tc>
      </w:tr>
      <w:tr w14:paraId="27A0D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F3888"/>
        </w:tc>
        <w:tc>
          <w:tcPr>
            <w:tcW w:w="14033" w:type="dxa"/>
            <w:gridSpan w:val="6"/>
            <w:vAlign w:val="center"/>
          </w:tcPr>
          <w:p w14:paraId="7CD75428">
            <w:pPr>
              <w:pStyle w:val="13"/>
            </w:pPr>
            <w:r>
              <w:t>按季度分批次拨付安排公用经费资金，学校按照预算安排进行资金使用，保证资金正常支出。</w:t>
            </w:r>
          </w:p>
        </w:tc>
      </w:tr>
      <w:tr w14:paraId="6F001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664AA">
            <w:pPr>
              <w:pStyle w:val="11"/>
            </w:pPr>
            <w:r>
              <w:t>资金支出计划（%）</w:t>
            </w:r>
          </w:p>
        </w:tc>
        <w:tc>
          <w:tcPr>
            <w:tcW w:w="5103" w:type="dxa"/>
            <w:gridSpan w:val="2"/>
            <w:vAlign w:val="center"/>
          </w:tcPr>
          <w:p w14:paraId="08FAB513">
            <w:pPr>
              <w:pStyle w:val="11"/>
            </w:pPr>
            <w:r>
              <w:t>3月底</w:t>
            </w:r>
          </w:p>
        </w:tc>
        <w:tc>
          <w:tcPr>
            <w:tcW w:w="2835" w:type="dxa"/>
            <w:vAlign w:val="center"/>
          </w:tcPr>
          <w:p w14:paraId="57F6260A">
            <w:pPr>
              <w:pStyle w:val="11"/>
            </w:pPr>
            <w:r>
              <w:t>6月底</w:t>
            </w:r>
          </w:p>
        </w:tc>
        <w:tc>
          <w:tcPr>
            <w:tcW w:w="2551" w:type="dxa"/>
            <w:vAlign w:val="center"/>
          </w:tcPr>
          <w:p w14:paraId="3757468B">
            <w:pPr>
              <w:pStyle w:val="11"/>
            </w:pPr>
            <w:r>
              <w:t>10月底</w:t>
            </w:r>
          </w:p>
        </w:tc>
        <w:tc>
          <w:tcPr>
            <w:tcW w:w="3544" w:type="dxa"/>
            <w:gridSpan w:val="2"/>
            <w:vAlign w:val="center"/>
          </w:tcPr>
          <w:p w14:paraId="0BA720C0">
            <w:pPr>
              <w:pStyle w:val="11"/>
            </w:pPr>
            <w:r>
              <w:t>12月底</w:t>
            </w:r>
          </w:p>
        </w:tc>
      </w:tr>
      <w:tr w14:paraId="32446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444BBDDD"/>
        </w:tc>
        <w:tc>
          <w:tcPr>
            <w:tcW w:w="5103" w:type="dxa"/>
            <w:gridSpan w:val="2"/>
            <w:vAlign w:val="center"/>
          </w:tcPr>
          <w:p w14:paraId="4955F412">
            <w:pPr>
              <w:pStyle w:val="12"/>
            </w:pPr>
            <w:r>
              <w:t xml:space="preserve"> </w:t>
            </w:r>
          </w:p>
        </w:tc>
        <w:tc>
          <w:tcPr>
            <w:tcW w:w="2835" w:type="dxa"/>
            <w:vAlign w:val="center"/>
          </w:tcPr>
          <w:p w14:paraId="56CA125C">
            <w:pPr>
              <w:pStyle w:val="12"/>
            </w:pPr>
            <w:r>
              <w:t>50%</w:t>
            </w:r>
          </w:p>
        </w:tc>
        <w:tc>
          <w:tcPr>
            <w:tcW w:w="2551" w:type="dxa"/>
            <w:vAlign w:val="center"/>
          </w:tcPr>
          <w:p w14:paraId="771B0F04">
            <w:pPr>
              <w:pStyle w:val="12"/>
            </w:pPr>
            <w:r>
              <w:t>75%</w:t>
            </w:r>
          </w:p>
        </w:tc>
        <w:tc>
          <w:tcPr>
            <w:tcW w:w="3544" w:type="dxa"/>
            <w:gridSpan w:val="2"/>
            <w:vAlign w:val="center"/>
          </w:tcPr>
          <w:p w14:paraId="072EB2AD">
            <w:pPr>
              <w:pStyle w:val="12"/>
            </w:pPr>
            <w:r>
              <w:t>100%</w:t>
            </w:r>
          </w:p>
        </w:tc>
      </w:tr>
      <w:tr w14:paraId="10058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DC1C5">
            <w:pPr>
              <w:pStyle w:val="11"/>
            </w:pPr>
            <w:r>
              <w:t>绩效目标</w:t>
            </w:r>
          </w:p>
        </w:tc>
        <w:tc>
          <w:tcPr>
            <w:tcW w:w="14033" w:type="dxa"/>
            <w:gridSpan w:val="6"/>
            <w:vAlign w:val="center"/>
          </w:tcPr>
          <w:p w14:paraId="7D042221">
            <w:pPr>
              <w:pStyle w:val="13"/>
            </w:pPr>
            <w:r>
              <w:t>1.按季度分批次拨付安排公用经费资金，学校按照预算安排进行资金使用，保证资金正常支出。</w:t>
            </w:r>
          </w:p>
        </w:tc>
      </w:tr>
    </w:tbl>
    <w:p w14:paraId="132864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C3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5379B">
            <w:pPr>
              <w:pStyle w:val="11"/>
            </w:pPr>
            <w:r>
              <w:t>一级指标</w:t>
            </w:r>
          </w:p>
        </w:tc>
        <w:tc>
          <w:tcPr>
            <w:tcW w:w="2268" w:type="dxa"/>
            <w:vAlign w:val="center"/>
          </w:tcPr>
          <w:p w14:paraId="695BE200">
            <w:pPr>
              <w:pStyle w:val="11"/>
            </w:pPr>
            <w:r>
              <w:t>二级指标</w:t>
            </w:r>
          </w:p>
        </w:tc>
        <w:tc>
          <w:tcPr>
            <w:tcW w:w="2835" w:type="dxa"/>
            <w:vAlign w:val="center"/>
          </w:tcPr>
          <w:p w14:paraId="771F4F17">
            <w:pPr>
              <w:pStyle w:val="11"/>
            </w:pPr>
            <w:r>
              <w:t>三级指标</w:t>
            </w:r>
          </w:p>
        </w:tc>
        <w:tc>
          <w:tcPr>
            <w:tcW w:w="5386" w:type="dxa"/>
            <w:vAlign w:val="center"/>
          </w:tcPr>
          <w:p w14:paraId="3B05DBE0">
            <w:pPr>
              <w:pStyle w:val="11"/>
            </w:pPr>
            <w:r>
              <w:t>绩效指标描述</w:t>
            </w:r>
          </w:p>
        </w:tc>
        <w:tc>
          <w:tcPr>
            <w:tcW w:w="2268" w:type="dxa"/>
            <w:vAlign w:val="center"/>
          </w:tcPr>
          <w:p w14:paraId="65975A46">
            <w:pPr>
              <w:pStyle w:val="11"/>
            </w:pPr>
            <w:r>
              <w:t>指标值</w:t>
            </w:r>
          </w:p>
        </w:tc>
        <w:tc>
          <w:tcPr>
            <w:tcW w:w="1276" w:type="dxa"/>
            <w:vAlign w:val="center"/>
          </w:tcPr>
          <w:p w14:paraId="39D23766">
            <w:pPr>
              <w:pStyle w:val="11"/>
            </w:pPr>
            <w:r>
              <w:t>指标值确定依据</w:t>
            </w:r>
          </w:p>
        </w:tc>
      </w:tr>
      <w:tr w14:paraId="78CAC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C690F">
            <w:pPr>
              <w:pStyle w:val="12"/>
            </w:pPr>
            <w:r>
              <w:t>产出指标</w:t>
            </w:r>
          </w:p>
        </w:tc>
        <w:tc>
          <w:tcPr>
            <w:tcW w:w="2268" w:type="dxa"/>
            <w:vAlign w:val="center"/>
          </w:tcPr>
          <w:p w14:paraId="3DD48AEE">
            <w:pPr>
              <w:pStyle w:val="13"/>
            </w:pPr>
            <w:r>
              <w:t>数量指标</w:t>
            </w:r>
          </w:p>
        </w:tc>
        <w:tc>
          <w:tcPr>
            <w:tcW w:w="2835" w:type="dxa"/>
            <w:vAlign w:val="center"/>
          </w:tcPr>
          <w:p w14:paraId="64BEC588">
            <w:pPr>
              <w:pStyle w:val="13"/>
            </w:pPr>
            <w:r>
              <w:t>适龄在校生</w:t>
            </w:r>
          </w:p>
        </w:tc>
        <w:tc>
          <w:tcPr>
            <w:tcW w:w="5386" w:type="dxa"/>
            <w:vAlign w:val="center"/>
          </w:tcPr>
          <w:p w14:paraId="2332D844">
            <w:pPr>
              <w:pStyle w:val="13"/>
            </w:pPr>
            <w:r>
              <w:t>辖区内适龄儿童全覆盖</w:t>
            </w:r>
          </w:p>
        </w:tc>
        <w:tc>
          <w:tcPr>
            <w:tcW w:w="2268" w:type="dxa"/>
            <w:vAlign w:val="center"/>
          </w:tcPr>
          <w:p w14:paraId="22816399">
            <w:pPr>
              <w:pStyle w:val="13"/>
            </w:pPr>
            <w:r>
              <w:t>166人</w:t>
            </w:r>
          </w:p>
        </w:tc>
        <w:tc>
          <w:tcPr>
            <w:tcW w:w="1276" w:type="dxa"/>
            <w:vAlign w:val="center"/>
          </w:tcPr>
          <w:p w14:paraId="6979D04B">
            <w:pPr>
              <w:pStyle w:val="13"/>
            </w:pPr>
            <w:r>
              <w:t>幼儿园生均公用经费管理办法</w:t>
            </w:r>
          </w:p>
        </w:tc>
      </w:tr>
      <w:tr w14:paraId="4679D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2BBBD"/>
        </w:tc>
        <w:tc>
          <w:tcPr>
            <w:tcW w:w="2268" w:type="dxa"/>
            <w:vAlign w:val="center"/>
          </w:tcPr>
          <w:p w14:paraId="1744A675">
            <w:pPr>
              <w:pStyle w:val="13"/>
            </w:pPr>
            <w:r>
              <w:t>质量指标</w:t>
            </w:r>
          </w:p>
        </w:tc>
        <w:tc>
          <w:tcPr>
            <w:tcW w:w="2835" w:type="dxa"/>
            <w:vAlign w:val="center"/>
          </w:tcPr>
          <w:p w14:paraId="259734EB">
            <w:pPr>
              <w:pStyle w:val="13"/>
            </w:pPr>
            <w:r>
              <w:t>预算控制率</w:t>
            </w:r>
          </w:p>
        </w:tc>
        <w:tc>
          <w:tcPr>
            <w:tcW w:w="5386" w:type="dxa"/>
            <w:vAlign w:val="center"/>
          </w:tcPr>
          <w:p w14:paraId="5F46A7B9">
            <w:pPr>
              <w:pStyle w:val="13"/>
            </w:pPr>
            <w:r>
              <w:t>预算执行</w:t>
            </w:r>
          </w:p>
        </w:tc>
        <w:tc>
          <w:tcPr>
            <w:tcW w:w="2268" w:type="dxa"/>
            <w:vAlign w:val="center"/>
          </w:tcPr>
          <w:p w14:paraId="70697697">
            <w:pPr>
              <w:pStyle w:val="13"/>
            </w:pPr>
            <w:r>
              <w:t>≥95%</w:t>
            </w:r>
          </w:p>
        </w:tc>
        <w:tc>
          <w:tcPr>
            <w:tcW w:w="1276" w:type="dxa"/>
            <w:vAlign w:val="center"/>
          </w:tcPr>
          <w:p w14:paraId="75E2F76D">
            <w:pPr>
              <w:pStyle w:val="13"/>
            </w:pPr>
            <w:r>
              <w:t>幼儿园生均公用经费管理办法</w:t>
            </w:r>
          </w:p>
        </w:tc>
      </w:tr>
      <w:tr w14:paraId="6E226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06B51"/>
        </w:tc>
        <w:tc>
          <w:tcPr>
            <w:tcW w:w="2268" w:type="dxa"/>
            <w:vAlign w:val="center"/>
          </w:tcPr>
          <w:p w14:paraId="26624297">
            <w:pPr>
              <w:pStyle w:val="13"/>
            </w:pPr>
            <w:r>
              <w:t>时效指标</w:t>
            </w:r>
          </w:p>
        </w:tc>
        <w:tc>
          <w:tcPr>
            <w:tcW w:w="2835" w:type="dxa"/>
            <w:vAlign w:val="center"/>
          </w:tcPr>
          <w:p w14:paraId="505856C8">
            <w:pPr>
              <w:pStyle w:val="13"/>
            </w:pPr>
            <w:r>
              <w:t>资金支付率</w:t>
            </w:r>
          </w:p>
        </w:tc>
        <w:tc>
          <w:tcPr>
            <w:tcW w:w="5386" w:type="dxa"/>
            <w:vAlign w:val="center"/>
          </w:tcPr>
          <w:p w14:paraId="7C50E052">
            <w:pPr>
              <w:pStyle w:val="13"/>
            </w:pPr>
            <w:r>
              <w:t>按照序时进度完成资金支付</w:t>
            </w:r>
          </w:p>
        </w:tc>
        <w:tc>
          <w:tcPr>
            <w:tcW w:w="2268" w:type="dxa"/>
            <w:vAlign w:val="center"/>
          </w:tcPr>
          <w:p w14:paraId="12AB8130">
            <w:pPr>
              <w:pStyle w:val="13"/>
            </w:pPr>
            <w:r>
              <w:t>≥100%</w:t>
            </w:r>
          </w:p>
        </w:tc>
        <w:tc>
          <w:tcPr>
            <w:tcW w:w="1276" w:type="dxa"/>
            <w:vAlign w:val="center"/>
          </w:tcPr>
          <w:p w14:paraId="073776B2">
            <w:pPr>
              <w:pStyle w:val="13"/>
            </w:pPr>
            <w:r>
              <w:t>幼儿园生均公用经费管理办法</w:t>
            </w:r>
          </w:p>
        </w:tc>
      </w:tr>
      <w:tr w14:paraId="54434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4EED7"/>
        </w:tc>
        <w:tc>
          <w:tcPr>
            <w:tcW w:w="2268" w:type="dxa"/>
            <w:vAlign w:val="center"/>
          </w:tcPr>
          <w:p w14:paraId="7EEA75E6">
            <w:pPr>
              <w:pStyle w:val="13"/>
            </w:pPr>
            <w:r>
              <w:t>成本指标</w:t>
            </w:r>
          </w:p>
        </w:tc>
        <w:tc>
          <w:tcPr>
            <w:tcW w:w="2835" w:type="dxa"/>
            <w:vAlign w:val="center"/>
          </w:tcPr>
          <w:p w14:paraId="0C7AD9D9">
            <w:pPr>
              <w:pStyle w:val="13"/>
            </w:pPr>
            <w:r>
              <w:t>生均拨款标准</w:t>
            </w:r>
          </w:p>
        </w:tc>
        <w:tc>
          <w:tcPr>
            <w:tcW w:w="5386" w:type="dxa"/>
            <w:vAlign w:val="center"/>
          </w:tcPr>
          <w:p w14:paraId="1895697E">
            <w:pPr>
              <w:pStyle w:val="13"/>
            </w:pPr>
            <w:r>
              <w:t>学前经费600元/生/年</w:t>
            </w:r>
          </w:p>
        </w:tc>
        <w:tc>
          <w:tcPr>
            <w:tcW w:w="2268" w:type="dxa"/>
            <w:vAlign w:val="center"/>
          </w:tcPr>
          <w:p w14:paraId="6BED35E3">
            <w:pPr>
              <w:pStyle w:val="13"/>
            </w:pPr>
            <w:r>
              <w:t>600元</w:t>
            </w:r>
          </w:p>
        </w:tc>
        <w:tc>
          <w:tcPr>
            <w:tcW w:w="1276" w:type="dxa"/>
            <w:vAlign w:val="center"/>
          </w:tcPr>
          <w:p w14:paraId="4110D9DC">
            <w:pPr>
              <w:pStyle w:val="13"/>
            </w:pPr>
            <w:r>
              <w:t>幼儿园生均公用经费管理办法</w:t>
            </w:r>
          </w:p>
        </w:tc>
      </w:tr>
      <w:tr w14:paraId="0B6B1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5563FA">
            <w:pPr>
              <w:pStyle w:val="12"/>
            </w:pPr>
            <w:r>
              <w:t>效益指标</w:t>
            </w:r>
          </w:p>
        </w:tc>
        <w:tc>
          <w:tcPr>
            <w:tcW w:w="2268" w:type="dxa"/>
            <w:vAlign w:val="center"/>
          </w:tcPr>
          <w:p w14:paraId="515B107F">
            <w:pPr>
              <w:pStyle w:val="13"/>
            </w:pPr>
            <w:r>
              <w:t>可持续影响指标</w:t>
            </w:r>
          </w:p>
        </w:tc>
        <w:tc>
          <w:tcPr>
            <w:tcW w:w="2835" w:type="dxa"/>
            <w:vAlign w:val="center"/>
          </w:tcPr>
          <w:p w14:paraId="3393DBE4">
            <w:pPr>
              <w:pStyle w:val="13"/>
            </w:pPr>
            <w:r>
              <w:t>教育发展水平明显好转</w:t>
            </w:r>
          </w:p>
        </w:tc>
        <w:tc>
          <w:tcPr>
            <w:tcW w:w="5386" w:type="dxa"/>
            <w:vAlign w:val="center"/>
          </w:tcPr>
          <w:p w14:paraId="269AB752">
            <w:pPr>
              <w:pStyle w:val="13"/>
            </w:pPr>
            <w:r>
              <w:t>学生受教育年限</w:t>
            </w:r>
          </w:p>
        </w:tc>
        <w:tc>
          <w:tcPr>
            <w:tcW w:w="2268" w:type="dxa"/>
            <w:vAlign w:val="center"/>
          </w:tcPr>
          <w:p w14:paraId="56FAF113">
            <w:pPr>
              <w:pStyle w:val="13"/>
            </w:pPr>
            <w:r>
              <w:t>3年</w:t>
            </w:r>
          </w:p>
        </w:tc>
        <w:tc>
          <w:tcPr>
            <w:tcW w:w="1276" w:type="dxa"/>
            <w:vAlign w:val="center"/>
          </w:tcPr>
          <w:p w14:paraId="1D1ECF3E">
            <w:pPr>
              <w:pStyle w:val="13"/>
            </w:pPr>
            <w:r>
              <w:t>幼儿园生均公用经费管理办法</w:t>
            </w:r>
          </w:p>
        </w:tc>
      </w:tr>
      <w:tr w14:paraId="150E4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EFDF1">
            <w:pPr>
              <w:pStyle w:val="12"/>
            </w:pPr>
            <w:r>
              <w:t>满意度指标</w:t>
            </w:r>
          </w:p>
        </w:tc>
        <w:tc>
          <w:tcPr>
            <w:tcW w:w="2268" w:type="dxa"/>
            <w:vAlign w:val="center"/>
          </w:tcPr>
          <w:p w14:paraId="3D513776">
            <w:pPr>
              <w:pStyle w:val="13"/>
            </w:pPr>
            <w:r>
              <w:t>服务对象满意度指标</w:t>
            </w:r>
          </w:p>
        </w:tc>
        <w:tc>
          <w:tcPr>
            <w:tcW w:w="2835" w:type="dxa"/>
            <w:vAlign w:val="center"/>
          </w:tcPr>
          <w:p w14:paraId="4BC31403">
            <w:pPr>
              <w:pStyle w:val="13"/>
            </w:pPr>
            <w:r>
              <w:t>受益学生家长及调查满意度</w:t>
            </w:r>
          </w:p>
        </w:tc>
        <w:tc>
          <w:tcPr>
            <w:tcW w:w="5386" w:type="dxa"/>
            <w:vAlign w:val="center"/>
          </w:tcPr>
          <w:p w14:paraId="5FC497D4">
            <w:pPr>
              <w:pStyle w:val="13"/>
            </w:pPr>
            <w:r>
              <w:t>学生、教师及家长对学校保教保育工作满意度情况</w:t>
            </w:r>
          </w:p>
        </w:tc>
        <w:tc>
          <w:tcPr>
            <w:tcW w:w="2268" w:type="dxa"/>
            <w:vAlign w:val="center"/>
          </w:tcPr>
          <w:p w14:paraId="49F66F77">
            <w:pPr>
              <w:pStyle w:val="13"/>
            </w:pPr>
            <w:r>
              <w:t>≥95%</w:t>
            </w:r>
          </w:p>
        </w:tc>
        <w:tc>
          <w:tcPr>
            <w:tcW w:w="1276" w:type="dxa"/>
            <w:vAlign w:val="center"/>
          </w:tcPr>
          <w:p w14:paraId="4D2BF375">
            <w:pPr>
              <w:pStyle w:val="13"/>
            </w:pPr>
            <w:r>
              <w:rPr>
                <w:sz w:val="18"/>
                <w:szCs w:val="18"/>
              </w:rPr>
              <w:t>幼儿园生均公用经费管</w:t>
            </w:r>
            <w:r>
              <w:t>理办法</w:t>
            </w:r>
          </w:p>
        </w:tc>
      </w:tr>
    </w:tbl>
    <w:p w14:paraId="6D003525">
      <w:pPr>
        <w:sectPr>
          <w:pgSz w:w="16840" w:h="11900" w:orient="landscape"/>
          <w:pgMar w:top="1361" w:right="1020" w:bottom="1134" w:left="1020" w:header="720" w:footer="720" w:gutter="0"/>
          <w:cols w:space="720" w:num="1"/>
        </w:sectPr>
      </w:pPr>
    </w:p>
    <w:p w14:paraId="6DC9F93C">
      <w:pPr>
        <w:spacing w:before="0" w:after="0"/>
        <w:ind w:firstLine="560"/>
        <w:jc w:val="left"/>
        <w:outlineLvl w:val="9"/>
      </w:pPr>
      <w:r>
        <w:rPr>
          <w:rFonts w:ascii="方正仿宋_GBK" w:hAnsi="方正仿宋_GBK" w:eastAsia="方正仿宋_GBK" w:cs="方正仿宋_GBK"/>
          <w:b/>
          <w:color w:val="000000"/>
          <w:sz w:val="28"/>
        </w:rPr>
        <w:t>194、县级资金/隆尧县小博士幼儿园公用经费绩效目标表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93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D8570">
            <w:pPr>
              <w:pStyle w:val="14"/>
            </w:pPr>
            <w:r>
              <w:t>单位：万元</w:t>
            </w:r>
          </w:p>
        </w:tc>
      </w:tr>
      <w:tr w14:paraId="45503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8C26A">
            <w:pPr>
              <w:pStyle w:val="11"/>
            </w:pPr>
            <w:r>
              <w:t>项目编码</w:t>
            </w:r>
          </w:p>
        </w:tc>
        <w:tc>
          <w:tcPr>
            <w:tcW w:w="5103" w:type="dxa"/>
            <w:gridSpan w:val="2"/>
            <w:vAlign w:val="center"/>
          </w:tcPr>
          <w:p w14:paraId="64D219D3">
            <w:pPr>
              <w:pStyle w:val="13"/>
            </w:pPr>
            <w:r>
              <w:t>13052525P00875610072L</w:t>
            </w:r>
          </w:p>
        </w:tc>
        <w:tc>
          <w:tcPr>
            <w:tcW w:w="2835" w:type="dxa"/>
            <w:vAlign w:val="center"/>
          </w:tcPr>
          <w:p w14:paraId="1020FE3D">
            <w:pPr>
              <w:pStyle w:val="11"/>
            </w:pPr>
            <w:r>
              <w:t>项目名称</w:t>
            </w:r>
          </w:p>
        </w:tc>
        <w:tc>
          <w:tcPr>
            <w:tcW w:w="6095" w:type="dxa"/>
            <w:gridSpan w:val="3"/>
            <w:vAlign w:val="center"/>
          </w:tcPr>
          <w:p w14:paraId="207F7244">
            <w:pPr>
              <w:pStyle w:val="13"/>
            </w:pPr>
            <w:r>
              <w:t>县级资金/隆尧县小博士幼儿园公用经费</w:t>
            </w:r>
          </w:p>
        </w:tc>
      </w:tr>
      <w:tr w14:paraId="2CA11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657FE">
            <w:pPr>
              <w:pStyle w:val="11"/>
            </w:pPr>
            <w:r>
              <w:t>预算规模及资金用途</w:t>
            </w:r>
          </w:p>
        </w:tc>
        <w:tc>
          <w:tcPr>
            <w:tcW w:w="2268" w:type="dxa"/>
            <w:vAlign w:val="center"/>
          </w:tcPr>
          <w:p w14:paraId="3DCC8C2E">
            <w:pPr>
              <w:pStyle w:val="11"/>
            </w:pPr>
            <w:r>
              <w:t>预算数</w:t>
            </w:r>
          </w:p>
        </w:tc>
        <w:tc>
          <w:tcPr>
            <w:tcW w:w="2835" w:type="dxa"/>
            <w:vAlign w:val="center"/>
          </w:tcPr>
          <w:p w14:paraId="2BF4764D">
            <w:pPr>
              <w:pStyle w:val="13"/>
            </w:pPr>
            <w:r>
              <w:t>2.34</w:t>
            </w:r>
          </w:p>
        </w:tc>
        <w:tc>
          <w:tcPr>
            <w:tcW w:w="2835" w:type="dxa"/>
            <w:vAlign w:val="center"/>
          </w:tcPr>
          <w:p w14:paraId="0A676502">
            <w:pPr>
              <w:pStyle w:val="11"/>
            </w:pPr>
            <w:r>
              <w:t>其中：财政    资金</w:t>
            </w:r>
          </w:p>
        </w:tc>
        <w:tc>
          <w:tcPr>
            <w:tcW w:w="2551" w:type="dxa"/>
            <w:vAlign w:val="center"/>
          </w:tcPr>
          <w:p w14:paraId="54D08943">
            <w:pPr>
              <w:pStyle w:val="13"/>
            </w:pPr>
            <w:r>
              <w:t>2.34</w:t>
            </w:r>
          </w:p>
        </w:tc>
        <w:tc>
          <w:tcPr>
            <w:tcW w:w="2268" w:type="dxa"/>
            <w:vAlign w:val="center"/>
          </w:tcPr>
          <w:p w14:paraId="5EAC2D6E">
            <w:pPr>
              <w:pStyle w:val="11"/>
            </w:pPr>
            <w:r>
              <w:t>其他资金</w:t>
            </w:r>
          </w:p>
        </w:tc>
        <w:tc>
          <w:tcPr>
            <w:tcW w:w="1276" w:type="dxa"/>
            <w:vAlign w:val="center"/>
          </w:tcPr>
          <w:p w14:paraId="798B13BF">
            <w:pPr>
              <w:pStyle w:val="13"/>
            </w:pPr>
            <w:r>
              <w:t xml:space="preserve"> </w:t>
            </w:r>
          </w:p>
        </w:tc>
      </w:tr>
      <w:tr w14:paraId="20A16C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10B6F6"/>
        </w:tc>
        <w:tc>
          <w:tcPr>
            <w:tcW w:w="14033" w:type="dxa"/>
            <w:gridSpan w:val="6"/>
            <w:vAlign w:val="center"/>
          </w:tcPr>
          <w:p w14:paraId="29ACA481">
            <w:pPr>
              <w:pStyle w:val="13"/>
            </w:pPr>
            <w:r>
              <w:t>按季度分批次拨付安排公用经费资金，学校按照预算安排进行资金使用，保证资金正常支出。</w:t>
            </w:r>
          </w:p>
        </w:tc>
      </w:tr>
      <w:tr w14:paraId="3A923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A4880">
            <w:pPr>
              <w:pStyle w:val="11"/>
            </w:pPr>
            <w:r>
              <w:t>资金支出计划（%）</w:t>
            </w:r>
          </w:p>
        </w:tc>
        <w:tc>
          <w:tcPr>
            <w:tcW w:w="5103" w:type="dxa"/>
            <w:gridSpan w:val="2"/>
            <w:vAlign w:val="center"/>
          </w:tcPr>
          <w:p w14:paraId="747E42C1">
            <w:pPr>
              <w:pStyle w:val="11"/>
            </w:pPr>
            <w:r>
              <w:t>3月底</w:t>
            </w:r>
          </w:p>
        </w:tc>
        <w:tc>
          <w:tcPr>
            <w:tcW w:w="2835" w:type="dxa"/>
            <w:vAlign w:val="center"/>
          </w:tcPr>
          <w:p w14:paraId="1B930C30">
            <w:pPr>
              <w:pStyle w:val="11"/>
            </w:pPr>
            <w:r>
              <w:t>6月底</w:t>
            </w:r>
          </w:p>
        </w:tc>
        <w:tc>
          <w:tcPr>
            <w:tcW w:w="2551" w:type="dxa"/>
            <w:vAlign w:val="center"/>
          </w:tcPr>
          <w:p w14:paraId="62C3DBBE">
            <w:pPr>
              <w:pStyle w:val="11"/>
            </w:pPr>
            <w:r>
              <w:t>10月底</w:t>
            </w:r>
          </w:p>
        </w:tc>
        <w:tc>
          <w:tcPr>
            <w:tcW w:w="3544" w:type="dxa"/>
            <w:gridSpan w:val="2"/>
            <w:vAlign w:val="center"/>
          </w:tcPr>
          <w:p w14:paraId="5973BE23">
            <w:pPr>
              <w:pStyle w:val="11"/>
            </w:pPr>
            <w:r>
              <w:t>12月底</w:t>
            </w:r>
          </w:p>
        </w:tc>
      </w:tr>
      <w:tr w14:paraId="73489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4E11A"/>
        </w:tc>
        <w:tc>
          <w:tcPr>
            <w:tcW w:w="5103" w:type="dxa"/>
            <w:gridSpan w:val="2"/>
            <w:vAlign w:val="center"/>
          </w:tcPr>
          <w:p w14:paraId="2398C64E">
            <w:pPr>
              <w:pStyle w:val="12"/>
            </w:pPr>
            <w:r>
              <w:t xml:space="preserve"> </w:t>
            </w:r>
          </w:p>
        </w:tc>
        <w:tc>
          <w:tcPr>
            <w:tcW w:w="2835" w:type="dxa"/>
            <w:vAlign w:val="center"/>
          </w:tcPr>
          <w:p w14:paraId="25218C2B">
            <w:pPr>
              <w:pStyle w:val="12"/>
            </w:pPr>
            <w:r>
              <w:t>50%</w:t>
            </w:r>
          </w:p>
        </w:tc>
        <w:tc>
          <w:tcPr>
            <w:tcW w:w="2551" w:type="dxa"/>
            <w:vAlign w:val="center"/>
          </w:tcPr>
          <w:p w14:paraId="7CE1B82A">
            <w:pPr>
              <w:pStyle w:val="12"/>
            </w:pPr>
            <w:r>
              <w:t>75%</w:t>
            </w:r>
          </w:p>
        </w:tc>
        <w:tc>
          <w:tcPr>
            <w:tcW w:w="3544" w:type="dxa"/>
            <w:gridSpan w:val="2"/>
            <w:vAlign w:val="center"/>
          </w:tcPr>
          <w:p w14:paraId="610D53C2">
            <w:pPr>
              <w:pStyle w:val="12"/>
            </w:pPr>
            <w:r>
              <w:t>100%</w:t>
            </w:r>
          </w:p>
        </w:tc>
      </w:tr>
      <w:tr w14:paraId="72518F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0EE9E">
            <w:pPr>
              <w:pStyle w:val="11"/>
            </w:pPr>
            <w:r>
              <w:t>绩效目标</w:t>
            </w:r>
          </w:p>
        </w:tc>
        <w:tc>
          <w:tcPr>
            <w:tcW w:w="14033" w:type="dxa"/>
            <w:gridSpan w:val="6"/>
            <w:vAlign w:val="center"/>
          </w:tcPr>
          <w:p w14:paraId="1B7858A3">
            <w:pPr>
              <w:pStyle w:val="13"/>
            </w:pPr>
            <w:r>
              <w:t>1.按季度分批次拨付安排公用经费资金，学校按照预算安排进行资金使用，保证资金正常支出。</w:t>
            </w:r>
          </w:p>
        </w:tc>
      </w:tr>
    </w:tbl>
    <w:p w14:paraId="22F678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E54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5DAB9">
            <w:pPr>
              <w:pStyle w:val="11"/>
            </w:pPr>
            <w:r>
              <w:t>一级指标</w:t>
            </w:r>
          </w:p>
        </w:tc>
        <w:tc>
          <w:tcPr>
            <w:tcW w:w="2268" w:type="dxa"/>
            <w:vAlign w:val="center"/>
          </w:tcPr>
          <w:p w14:paraId="10B3F6ED">
            <w:pPr>
              <w:pStyle w:val="11"/>
            </w:pPr>
            <w:r>
              <w:t>二级指标</w:t>
            </w:r>
          </w:p>
        </w:tc>
        <w:tc>
          <w:tcPr>
            <w:tcW w:w="2835" w:type="dxa"/>
            <w:vAlign w:val="center"/>
          </w:tcPr>
          <w:p w14:paraId="5461C997">
            <w:pPr>
              <w:pStyle w:val="11"/>
            </w:pPr>
            <w:r>
              <w:t>三级指标</w:t>
            </w:r>
          </w:p>
        </w:tc>
        <w:tc>
          <w:tcPr>
            <w:tcW w:w="5386" w:type="dxa"/>
            <w:vAlign w:val="center"/>
          </w:tcPr>
          <w:p w14:paraId="64ED8796">
            <w:pPr>
              <w:pStyle w:val="11"/>
            </w:pPr>
            <w:r>
              <w:t>绩效指标描述</w:t>
            </w:r>
          </w:p>
        </w:tc>
        <w:tc>
          <w:tcPr>
            <w:tcW w:w="2268" w:type="dxa"/>
            <w:vAlign w:val="center"/>
          </w:tcPr>
          <w:p w14:paraId="79051B44">
            <w:pPr>
              <w:pStyle w:val="11"/>
            </w:pPr>
            <w:r>
              <w:t>指标值</w:t>
            </w:r>
          </w:p>
        </w:tc>
        <w:tc>
          <w:tcPr>
            <w:tcW w:w="1276" w:type="dxa"/>
            <w:vAlign w:val="center"/>
          </w:tcPr>
          <w:p w14:paraId="0DF230B3">
            <w:pPr>
              <w:pStyle w:val="11"/>
            </w:pPr>
            <w:r>
              <w:t>指标值确定依据</w:t>
            </w:r>
          </w:p>
        </w:tc>
      </w:tr>
      <w:tr w14:paraId="305B3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55358">
            <w:pPr>
              <w:pStyle w:val="12"/>
            </w:pPr>
            <w:r>
              <w:t>产出指标</w:t>
            </w:r>
          </w:p>
        </w:tc>
        <w:tc>
          <w:tcPr>
            <w:tcW w:w="2268" w:type="dxa"/>
            <w:vAlign w:val="center"/>
          </w:tcPr>
          <w:p w14:paraId="65329D92">
            <w:pPr>
              <w:pStyle w:val="13"/>
            </w:pPr>
            <w:r>
              <w:t>数量指标</w:t>
            </w:r>
          </w:p>
        </w:tc>
        <w:tc>
          <w:tcPr>
            <w:tcW w:w="2835" w:type="dxa"/>
            <w:vAlign w:val="center"/>
          </w:tcPr>
          <w:p w14:paraId="589FCC1B">
            <w:pPr>
              <w:pStyle w:val="13"/>
            </w:pPr>
            <w:r>
              <w:t>适龄在校生</w:t>
            </w:r>
          </w:p>
        </w:tc>
        <w:tc>
          <w:tcPr>
            <w:tcW w:w="5386" w:type="dxa"/>
            <w:vAlign w:val="center"/>
          </w:tcPr>
          <w:p w14:paraId="21261955">
            <w:pPr>
              <w:pStyle w:val="13"/>
            </w:pPr>
            <w:r>
              <w:t>辖区内适龄儿童全覆盖</w:t>
            </w:r>
          </w:p>
        </w:tc>
        <w:tc>
          <w:tcPr>
            <w:tcW w:w="2268" w:type="dxa"/>
            <w:vAlign w:val="center"/>
          </w:tcPr>
          <w:p w14:paraId="10287735">
            <w:pPr>
              <w:pStyle w:val="13"/>
            </w:pPr>
            <w:r>
              <w:t>52人</w:t>
            </w:r>
          </w:p>
        </w:tc>
        <w:tc>
          <w:tcPr>
            <w:tcW w:w="1276" w:type="dxa"/>
            <w:vAlign w:val="center"/>
          </w:tcPr>
          <w:p w14:paraId="69E32549">
            <w:pPr>
              <w:pStyle w:val="13"/>
            </w:pPr>
            <w:r>
              <w:t>幼儿园生均公用经费管理办法</w:t>
            </w:r>
          </w:p>
        </w:tc>
      </w:tr>
      <w:tr w14:paraId="51BD4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7788F"/>
        </w:tc>
        <w:tc>
          <w:tcPr>
            <w:tcW w:w="2268" w:type="dxa"/>
            <w:vAlign w:val="center"/>
          </w:tcPr>
          <w:p w14:paraId="2EBFB5DD">
            <w:pPr>
              <w:pStyle w:val="13"/>
            </w:pPr>
            <w:r>
              <w:t>质量指标</w:t>
            </w:r>
          </w:p>
        </w:tc>
        <w:tc>
          <w:tcPr>
            <w:tcW w:w="2835" w:type="dxa"/>
            <w:vAlign w:val="center"/>
          </w:tcPr>
          <w:p w14:paraId="05E031CC">
            <w:pPr>
              <w:pStyle w:val="13"/>
            </w:pPr>
            <w:r>
              <w:t>预算控制率</w:t>
            </w:r>
          </w:p>
        </w:tc>
        <w:tc>
          <w:tcPr>
            <w:tcW w:w="5386" w:type="dxa"/>
            <w:vAlign w:val="center"/>
          </w:tcPr>
          <w:p w14:paraId="51DB0CAA">
            <w:pPr>
              <w:pStyle w:val="13"/>
            </w:pPr>
            <w:r>
              <w:t>预算执行</w:t>
            </w:r>
          </w:p>
        </w:tc>
        <w:tc>
          <w:tcPr>
            <w:tcW w:w="2268" w:type="dxa"/>
            <w:vAlign w:val="center"/>
          </w:tcPr>
          <w:p w14:paraId="4C07FA11">
            <w:pPr>
              <w:pStyle w:val="13"/>
            </w:pPr>
            <w:r>
              <w:t>≥95%</w:t>
            </w:r>
          </w:p>
        </w:tc>
        <w:tc>
          <w:tcPr>
            <w:tcW w:w="1276" w:type="dxa"/>
            <w:vAlign w:val="center"/>
          </w:tcPr>
          <w:p w14:paraId="370ECADB">
            <w:pPr>
              <w:pStyle w:val="13"/>
            </w:pPr>
            <w:r>
              <w:t>幼儿园生均公用经费管理办法</w:t>
            </w:r>
          </w:p>
        </w:tc>
      </w:tr>
      <w:tr w14:paraId="01371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28D7C"/>
        </w:tc>
        <w:tc>
          <w:tcPr>
            <w:tcW w:w="2268" w:type="dxa"/>
            <w:vAlign w:val="center"/>
          </w:tcPr>
          <w:p w14:paraId="63EE5404">
            <w:pPr>
              <w:pStyle w:val="13"/>
            </w:pPr>
            <w:r>
              <w:t>时效指标</w:t>
            </w:r>
          </w:p>
        </w:tc>
        <w:tc>
          <w:tcPr>
            <w:tcW w:w="2835" w:type="dxa"/>
            <w:vAlign w:val="center"/>
          </w:tcPr>
          <w:p w14:paraId="27B1AD9C">
            <w:pPr>
              <w:pStyle w:val="13"/>
            </w:pPr>
            <w:r>
              <w:t>资金支付率</w:t>
            </w:r>
          </w:p>
        </w:tc>
        <w:tc>
          <w:tcPr>
            <w:tcW w:w="5386" w:type="dxa"/>
            <w:vAlign w:val="center"/>
          </w:tcPr>
          <w:p w14:paraId="0E93A375">
            <w:pPr>
              <w:pStyle w:val="13"/>
            </w:pPr>
            <w:r>
              <w:t>按照序时进度完成资金支付</w:t>
            </w:r>
          </w:p>
        </w:tc>
        <w:tc>
          <w:tcPr>
            <w:tcW w:w="2268" w:type="dxa"/>
            <w:vAlign w:val="center"/>
          </w:tcPr>
          <w:p w14:paraId="1CA16889">
            <w:pPr>
              <w:pStyle w:val="13"/>
            </w:pPr>
            <w:r>
              <w:t>≥100%</w:t>
            </w:r>
          </w:p>
        </w:tc>
        <w:tc>
          <w:tcPr>
            <w:tcW w:w="1276" w:type="dxa"/>
            <w:vAlign w:val="center"/>
          </w:tcPr>
          <w:p w14:paraId="7943FE95">
            <w:pPr>
              <w:pStyle w:val="13"/>
            </w:pPr>
            <w:r>
              <w:t>幼儿园生均公用经费管理办法</w:t>
            </w:r>
          </w:p>
        </w:tc>
      </w:tr>
      <w:tr w14:paraId="11988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A0B3B"/>
        </w:tc>
        <w:tc>
          <w:tcPr>
            <w:tcW w:w="2268" w:type="dxa"/>
            <w:vAlign w:val="center"/>
          </w:tcPr>
          <w:p w14:paraId="657B69CA">
            <w:pPr>
              <w:pStyle w:val="13"/>
            </w:pPr>
            <w:r>
              <w:t>成本指标</w:t>
            </w:r>
          </w:p>
        </w:tc>
        <w:tc>
          <w:tcPr>
            <w:tcW w:w="2835" w:type="dxa"/>
            <w:vAlign w:val="center"/>
          </w:tcPr>
          <w:p w14:paraId="223844F2">
            <w:pPr>
              <w:pStyle w:val="13"/>
            </w:pPr>
            <w:r>
              <w:t>生均拨款标准</w:t>
            </w:r>
          </w:p>
        </w:tc>
        <w:tc>
          <w:tcPr>
            <w:tcW w:w="5386" w:type="dxa"/>
            <w:vAlign w:val="center"/>
          </w:tcPr>
          <w:p w14:paraId="7EB8F843">
            <w:pPr>
              <w:pStyle w:val="13"/>
            </w:pPr>
            <w:r>
              <w:t>学前经费600元/生/年</w:t>
            </w:r>
          </w:p>
        </w:tc>
        <w:tc>
          <w:tcPr>
            <w:tcW w:w="2268" w:type="dxa"/>
            <w:vAlign w:val="center"/>
          </w:tcPr>
          <w:p w14:paraId="7FAE44A2">
            <w:pPr>
              <w:pStyle w:val="13"/>
            </w:pPr>
            <w:r>
              <w:t>600元</w:t>
            </w:r>
          </w:p>
        </w:tc>
        <w:tc>
          <w:tcPr>
            <w:tcW w:w="1276" w:type="dxa"/>
            <w:vAlign w:val="center"/>
          </w:tcPr>
          <w:p w14:paraId="7E196C16">
            <w:pPr>
              <w:pStyle w:val="13"/>
            </w:pPr>
            <w:r>
              <w:t>幼儿园生均公用经费管理办法</w:t>
            </w:r>
          </w:p>
        </w:tc>
      </w:tr>
      <w:tr w14:paraId="62139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BB5B4B">
            <w:pPr>
              <w:pStyle w:val="12"/>
            </w:pPr>
            <w:r>
              <w:t>效益指标</w:t>
            </w:r>
          </w:p>
        </w:tc>
        <w:tc>
          <w:tcPr>
            <w:tcW w:w="2268" w:type="dxa"/>
            <w:vAlign w:val="center"/>
          </w:tcPr>
          <w:p w14:paraId="3991DFD0">
            <w:pPr>
              <w:pStyle w:val="13"/>
            </w:pPr>
            <w:r>
              <w:t>可持续影响指标</w:t>
            </w:r>
          </w:p>
        </w:tc>
        <w:tc>
          <w:tcPr>
            <w:tcW w:w="2835" w:type="dxa"/>
            <w:vAlign w:val="center"/>
          </w:tcPr>
          <w:p w14:paraId="499C88B4">
            <w:pPr>
              <w:pStyle w:val="13"/>
            </w:pPr>
            <w:r>
              <w:t>教育发展水平明显好转</w:t>
            </w:r>
          </w:p>
        </w:tc>
        <w:tc>
          <w:tcPr>
            <w:tcW w:w="5386" w:type="dxa"/>
            <w:vAlign w:val="center"/>
          </w:tcPr>
          <w:p w14:paraId="65592A74">
            <w:pPr>
              <w:pStyle w:val="13"/>
            </w:pPr>
            <w:r>
              <w:t>学生受教育年限</w:t>
            </w:r>
          </w:p>
        </w:tc>
        <w:tc>
          <w:tcPr>
            <w:tcW w:w="2268" w:type="dxa"/>
            <w:vAlign w:val="center"/>
          </w:tcPr>
          <w:p w14:paraId="12309F71">
            <w:pPr>
              <w:pStyle w:val="13"/>
            </w:pPr>
            <w:r>
              <w:t>3年</w:t>
            </w:r>
          </w:p>
        </w:tc>
        <w:tc>
          <w:tcPr>
            <w:tcW w:w="1276" w:type="dxa"/>
            <w:vAlign w:val="center"/>
          </w:tcPr>
          <w:p w14:paraId="0CE29916">
            <w:pPr>
              <w:pStyle w:val="13"/>
            </w:pPr>
            <w:r>
              <w:t>幼儿园生均公用经费管理办法</w:t>
            </w:r>
          </w:p>
        </w:tc>
      </w:tr>
      <w:tr w14:paraId="418CD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1B7124">
            <w:pPr>
              <w:pStyle w:val="12"/>
            </w:pPr>
            <w:r>
              <w:t>满意度指标</w:t>
            </w:r>
          </w:p>
        </w:tc>
        <w:tc>
          <w:tcPr>
            <w:tcW w:w="2268" w:type="dxa"/>
            <w:vAlign w:val="center"/>
          </w:tcPr>
          <w:p w14:paraId="0C4F4948">
            <w:pPr>
              <w:pStyle w:val="13"/>
            </w:pPr>
            <w:r>
              <w:t>服务对象满意度指标</w:t>
            </w:r>
          </w:p>
        </w:tc>
        <w:tc>
          <w:tcPr>
            <w:tcW w:w="2835" w:type="dxa"/>
            <w:vAlign w:val="center"/>
          </w:tcPr>
          <w:p w14:paraId="0A641123">
            <w:pPr>
              <w:pStyle w:val="13"/>
            </w:pPr>
            <w:r>
              <w:t>受益学生家长及调查满意度</w:t>
            </w:r>
          </w:p>
        </w:tc>
        <w:tc>
          <w:tcPr>
            <w:tcW w:w="5386" w:type="dxa"/>
            <w:vAlign w:val="center"/>
          </w:tcPr>
          <w:p w14:paraId="7C2E1EBF">
            <w:pPr>
              <w:pStyle w:val="13"/>
            </w:pPr>
            <w:r>
              <w:t>学生、教师及家长对学校保教保育工作满意度情况</w:t>
            </w:r>
          </w:p>
        </w:tc>
        <w:tc>
          <w:tcPr>
            <w:tcW w:w="2268" w:type="dxa"/>
            <w:vAlign w:val="center"/>
          </w:tcPr>
          <w:p w14:paraId="3331F023">
            <w:pPr>
              <w:pStyle w:val="13"/>
            </w:pPr>
            <w:r>
              <w:t>≥95%</w:t>
            </w:r>
          </w:p>
        </w:tc>
        <w:tc>
          <w:tcPr>
            <w:tcW w:w="1276" w:type="dxa"/>
            <w:vAlign w:val="center"/>
          </w:tcPr>
          <w:p w14:paraId="2CFAA277">
            <w:pPr>
              <w:pStyle w:val="13"/>
            </w:pPr>
            <w:r>
              <w:t>调查问卷</w:t>
            </w:r>
          </w:p>
        </w:tc>
      </w:tr>
    </w:tbl>
    <w:p w14:paraId="21DCF872">
      <w:pPr>
        <w:sectPr>
          <w:pgSz w:w="16840" w:h="11900" w:orient="landscape"/>
          <w:pgMar w:top="1361" w:right="1020" w:bottom="1134" w:left="1020" w:header="720" w:footer="720" w:gutter="0"/>
          <w:cols w:space="720" w:num="1"/>
        </w:sectPr>
      </w:pPr>
    </w:p>
    <w:p w14:paraId="4CA44AB3">
      <w:pPr>
        <w:spacing w:before="0" w:after="0"/>
        <w:ind w:firstLine="560"/>
        <w:jc w:val="left"/>
        <w:outlineLvl w:val="9"/>
      </w:pPr>
      <w:r>
        <w:rPr>
          <w:rFonts w:ascii="方正仿宋_GBK" w:hAnsi="方正仿宋_GBK" w:eastAsia="方正仿宋_GBK" w:cs="方正仿宋_GBK"/>
          <w:b/>
          <w:color w:val="000000"/>
          <w:sz w:val="28"/>
        </w:rPr>
        <w:t>195、县级资金/隆尧县小叮当幼儿园公用经费绩效目标表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AC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20DAF">
            <w:pPr>
              <w:pStyle w:val="14"/>
            </w:pPr>
            <w:r>
              <w:t>单位：万元</w:t>
            </w:r>
          </w:p>
        </w:tc>
      </w:tr>
      <w:tr w14:paraId="3F5F6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3CBFEF">
            <w:pPr>
              <w:pStyle w:val="11"/>
            </w:pPr>
            <w:r>
              <w:t>项目编码</w:t>
            </w:r>
          </w:p>
        </w:tc>
        <w:tc>
          <w:tcPr>
            <w:tcW w:w="5103" w:type="dxa"/>
            <w:gridSpan w:val="2"/>
            <w:vAlign w:val="center"/>
          </w:tcPr>
          <w:p w14:paraId="4654EBB1">
            <w:pPr>
              <w:pStyle w:val="13"/>
            </w:pPr>
            <w:r>
              <w:t>13052525P00875610056B</w:t>
            </w:r>
          </w:p>
        </w:tc>
        <w:tc>
          <w:tcPr>
            <w:tcW w:w="2835" w:type="dxa"/>
            <w:vAlign w:val="center"/>
          </w:tcPr>
          <w:p w14:paraId="78FCF909">
            <w:pPr>
              <w:pStyle w:val="11"/>
            </w:pPr>
            <w:r>
              <w:t>项目名称</w:t>
            </w:r>
          </w:p>
        </w:tc>
        <w:tc>
          <w:tcPr>
            <w:tcW w:w="6095" w:type="dxa"/>
            <w:gridSpan w:val="3"/>
            <w:vAlign w:val="center"/>
          </w:tcPr>
          <w:p w14:paraId="10A09C5E">
            <w:pPr>
              <w:pStyle w:val="13"/>
            </w:pPr>
            <w:r>
              <w:t>县级资金/隆尧县小叮当幼儿园公用经费</w:t>
            </w:r>
          </w:p>
        </w:tc>
      </w:tr>
      <w:tr w14:paraId="74BA5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0E65E">
            <w:pPr>
              <w:pStyle w:val="11"/>
            </w:pPr>
            <w:r>
              <w:t>预算规模及资金用途</w:t>
            </w:r>
          </w:p>
        </w:tc>
        <w:tc>
          <w:tcPr>
            <w:tcW w:w="2268" w:type="dxa"/>
            <w:vAlign w:val="center"/>
          </w:tcPr>
          <w:p w14:paraId="542FC5DA">
            <w:pPr>
              <w:pStyle w:val="11"/>
            </w:pPr>
            <w:r>
              <w:t>预算数</w:t>
            </w:r>
          </w:p>
        </w:tc>
        <w:tc>
          <w:tcPr>
            <w:tcW w:w="2835" w:type="dxa"/>
            <w:vAlign w:val="center"/>
          </w:tcPr>
          <w:p w14:paraId="41B3EBB9">
            <w:pPr>
              <w:pStyle w:val="13"/>
            </w:pPr>
            <w:r>
              <w:t>2.88</w:t>
            </w:r>
          </w:p>
        </w:tc>
        <w:tc>
          <w:tcPr>
            <w:tcW w:w="2835" w:type="dxa"/>
            <w:vAlign w:val="center"/>
          </w:tcPr>
          <w:p w14:paraId="58F163DD">
            <w:pPr>
              <w:pStyle w:val="11"/>
            </w:pPr>
            <w:r>
              <w:t>其中：财政    资金</w:t>
            </w:r>
          </w:p>
        </w:tc>
        <w:tc>
          <w:tcPr>
            <w:tcW w:w="2551" w:type="dxa"/>
            <w:vAlign w:val="center"/>
          </w:tcPr>
          <w:p w14:paraId="7C08C155">
            <w:pPr>
              <w:pStyle w:val="13"/>
            </w:pPr>
            <w:r>
              <w:t>2.88</w:t>
            </w:r>
          </w:p>
        </w:tc>
        <w:tc>
          <w:tcPr>
            <w:tcW w:w="2268" w:type="dxa"/>
            <w:vAlign w:val="center"/>
          </w:tcPr>
          <w:p w14:paraId="60E73C7D">
            <w:pPr>
              <w:pStyle w:val="11"/>
            </w:pPr>
            <w:r>
              <w:t>其他资金</w:t>
            </w:r>
          </w:p>
        </w:tc>
        <w:tc>
          <w:tcPr>
            <w:tcW w:w="1276" w:type="dxa"/>
            <w:vAlign w:val="center"/>
          </w:tcPr>
          <w:p w14:paraId="6CC3A8F3">
            <w:pPr>
              <w:pStyle w:val="13"/>
            </w:pPr>
            <w:r>
              <w:t xml:space="preserve"> </w:t>
            </w:r>
          </w:p>
        </w:tc>
      </w:tr>
      <w:tr w14:paraId="487D2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C06FEB"/>
        </w:tc>
        <w:tc>
          <w:tcPr>
            <w:tcW w:w="14033" w:type="dxa"/>
            <w:gridSpan w:val="6"/>
            <w:vAlign w:val="center"/>
          </w:tcPr>
          <w:p w14:paraId="0E510F14">
            <w:pPr>
              <w:pStyle w:val="13"/>
            </w:pPr>
            <w:r>
              <w:t>按季度分批次拨付安排公用经费资金，学校按照预算安排进行资金使用，保证资金正常支出。</w:t>
            </w:r>
          </w:p>
        </w:tc>
      </w:tr>
      <w:tr w14:paraId="1D7B4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D4484">
            <w:pPr>
              <w:pStyle w:val="11"/>
            </w:pPr>
            <w:r>
              <w:t>资金支出计划（%）</w:t>
            </w:r>
          </w:p>
        </w:tc>
        <w:tc>
          <w:tcPr>
            <w:tcW w:w="5103" w:type="dxa"/>
            <w:gridSpan w:val="2"/>
            <w:vAlign w:val="center"/>
          </w:tcPr>
          <w:p w14:paraId="57B6C620">
            <w:pPr>
              <w:pStyle w:val="11"/>
            </w:pPr>
            <w:r>
              <w:t>3月底</w:t>
            </w:r>
          </w:p>
        </w:tc>
        <w:tc>
          <w:tcPr>
            <w:tcW w:w="2835" w:type="dxa"/>
            <w:vAlign w:val="center"/>
          </w:tcPr>
          <w:p w14:paraId="18ADC8AE">
            <w:pPr>
              <w:pStyle w:val="11"/>
            </w:pPr>
            <w:r>
              <w:t>6月底</w:t>
            </w:r>
          </w:p>
        </w:tc>
        <w:tc>
          <w:tcPr>
            <w:tcW w:w="2551" w:type="dxa"/>
            <w:vAlign w:val="center"/>
          </w:tcPr>
          <w:p w14:paraId="0CE1F42D">
            <w:pPr>
              <w:pStyle w:val="11"/>
            </w:pPr>
            <w:r>
              <w:t>10月底</w:t>
            </w:r>
          </w:p>
        </w:tc>
        <w:tc>
          <w:tcPr>
            <w:tcW w:w="3544" w:type="dxa"/>
            <w:gridSpan w:val="2"/>
            <w:vAlign w:val="center"/>
          </w:tcPr>
          <w:p w14:paraId="3AF6D3B0">
            <w:pPr>
              <w:pStyle w:val="11"/>
            </w:pPr>
            <w:r>
              <w:t>12月底</w:t>
            </w:r>
          </w:p>
        </w:tc>
      </w:tr>
      <w:tr w14:paraId="280DD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C56A44"/>
        </w:tc>
        <w:tc>
          <w:tcPr>
            <w:tcW w:w="5103" w:type="dxa"/>
            <w:gridSpan w:val="2"/>
            <w:vAlign w:val="center"/>
          </w:tcPr>
          <w:p w14:paraId="5005AB36">
            <w:pPr>
              <w:pStyle w:val="12"/>
            </w:pPr>
            <w:r>
              <w:t xml:space="preserve"> </w:t>
            </w:r>
          </w:p>
        </w:tc>
        <w:tc>
          <w:tcPr>
            <w:tcW w:w="2835" w:type="dxa"/>
            <w:vAlign w:val="center"/>
          </w:tcPr>
          <w:p w14:paraId="7C02B9AA">
            <w:pPr>
              <w:pStyle w:val="12"/>
            </w:pPr>
            <w:r>
              <w:t>50%</w:t>
            </w:r>
          </w:p>
        </w:tc>
        <w:tc>
          <w:tcPr>
            <w:tcW w:w="2551" w:type="dxa"/>
            <w:vAlign w:val="center"/>
          </w:tcPr>
          <w:p w14:paraId="6398F1FB">
            <w:pPr>
              <w:pStyle w:val="12"/>
            </w:pPr>
            <w:r>
              <w:t>75%</w:t>
            </w:r>
          </w:p>
        </w:tc>
        <w:tc>
          <w:tcPr>
            <w:tcW w:w="3544" w:type="dxa"/>
            <w:gridSpan w:val="2"/>
            <w:vAlign w:val="center"/>
          </w:tcPr>
          <w:p w14:paraId="4287259D">
            <w:pPr>
              <w:pStyle w:val="12"/>
            </w:pPr>
            <w:r>
              <w:t>100%</w:t>
            </w:r>
          </w:p>
        </w:tc>
      </w:tr>
      <w:tr w14:paraId="69F87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4435D2">
            <w:pPr>
              <w:pStyle w:val="11"/>
            </w:pPr>
            <w:r>
              <w:t>绩效目标</w:t>
            </w:r>
          </w:p>
        </w:tc>
        <w:tc>
          <w:tcPr>
            <w:tcW w:w="14033" w:type="dxa"/>
            <w:gridSpan w:val="6"/>
            <w:vAlign w:val="center"/>
          </w:tcPr>
          <w:p w14:paraId="5C946963">
            <w:pPr>
              <w:pStyle w:val="13"/>
            </w:pPr>
            <w:r>
              <w:t>1.按季度分批次拨付安排公用经费资金，学校按照预算安排进行资金使用，保证资金正常支出。</w:t>
            </w:r>
          </w:p>
        </w:tc>
      </w:tr>
    </w:tbl>
    <w:p w14:paraId="2DEA3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D3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2EBFB">
            <w:pPr>
              <w:pStyle w:val="11"/>
            </w:pPr>
            <w:r>
              <w:t>一级指标</w:t>
            </w:r>
          </w:p>
        </w:tc>
        <w:tc>
          <w:tcPr>
            <w:tcW w:w="2268" w:type="dxa"/>
            <w:vAlign w:val="center"/>
          </w:tcPr>
          <w:p w14:paraId="295DF71E">
            <w:pPr>
              <w:pStyle w:val="11"/>
            </w:pPr>
            <w:r>
              <w:t>二级指标</w:t>
            </w:r>
          </w:p>
        </w:tc>
        <w:tc>
          <w:tcPr>
            <w:tcW w:w="2835" w:type="dxa"/>
            <w:vAlign w:val="center"/>
          </w:tcPr>
          <w:p w14:paraId="6F33ADE3">
            <w:pPr>
              <w:pStyle w:val="11"/>
            </w:pPr>
            <w:r>
              <w:t>三级指标</w:t>
            </w:r>
          </w:p>
        </w:tc>
        <w:tc>
          <w:tcPr>
            <w:tcW w:w="5386" w:type="dxa"/>
            <w:vAlign w:val="center"/>
          </w:tcPr>
          <w:p w14:paraId="71F37A2D">
            <w:pPr>
              <w:pStyle w:val="11"/>
            </w:pPr>
            <w:r>
              <w:t>绩效指标描述</w:t>
            </w:r>
          </w:p>
        </w:tc>
        <w:tc>
          <w:tcPr>
            <w:tcW w:w="2268" w:type="dxa"/>
            <w:vAlign w:val="center"/>
          </w:tcPr>
          <w:p w14:paraId="6D5C5BCB">
            <w:pPr>
              <w:pStyle w:val="11"/>
            </w:pPr>
            <w:r>
              <w:t>指标值</w:t>
            </w:r>
          </w:p>
        </w:tc>
        <w:tc>
          <w:tcPr>
            <w:tcW w:w="1276" w:type="dxa"/>
            <w:vAlign w:val="center"/>
          </w:tcPr>
          <w:p w14:paraId="47DE781F">
            <w:pPr>
              <w:pStyle w:val="11"/>
            </w:pPr>
            <w:r>
              <w:t>指标值确定依据</w:t>
            </w:r>
          </w:p>
        </w:tc>
      </w:tr>
      <w:tr w14:paraId="422E4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D392F">
            <w:pPr>
              <w:pStyle w:val="12"/>
            </w:pPr>
            <w:r>
              <w:t>产出指标</w:t>
            </w:r>
          </w:p>
        </w:tc>
        <w:tc>
          <w:tcPr>
            <w:tcW w:w="2268" w:type="dxa"/>
            <w:vAlign w:val="center"/>
          </w:tcPr>
          <w:p w14:paraId="3596D5A7">
            <w:pPr>
              <w:pStyle w:val="13"/>
            </w:pPr>
            <w:r>
              <w:t>数量指标</w:t>
            </w:r>
          </w:p>
        </w:tc>
        <w:tc>
          <w:tcPr>
            <w:tcW w:w="2835" w:type="dxa"/>
            <w:vAlign w:val="center"/>
          </w:tcPr>
          <w:p w14:paraId="74C7B629">
            <w:pPr>
              <w:pStyle w:val="13"/>
            </w:pPr>
            <w:r>
              <w:t>适龄在校生</w:t>
            </w:r>
          </w:p>
        </w:tc>
        <w:tc>
          <w:tcPr>
            <w:tcW w:w="5386" w:type="dxa"/>
            <w:vAlign w:val="center"/>
          </w:tcPr>
          <w:p w14:paraId="013DF197">
            <w:pPr>
              <w:pStyle w:val="13"/>
            </w:pPr>
            <w:r>
              <w:t>辖区内适龄儿童全覆盖</w:t>
            </w:r>
          </w:p>
        </w:tc>
        <w:tc>
          <w:tcPr>
            <w:tcW w:w="2268" w:type="dxa"/>
            <w:vAlign w:val="center"/>
          </w:tcPr>
          <w:p w14:paraId="47B82E2E">
            <w:pPr>
              <w:pStyle w:val="13"/>
            </w:pPr>
            <w:r>
              <w:t>64人</w:t>
            </w:r>
          </w:p>
        </w:tc>
        <w:tc>
          <w:tcPr>
            <w:tcW w:w="1276" w:type="dxa"/>
            <w:vAlign w:val="center"/>
          </w:tcPr>
          <w:p w14:paraId="5FC1C6F4">
            <w:pPr>
              <w:pStyle w:val="13"/>
            </w:pPr>
            <w:r>
              <w:t>幼儿园生均公用经费管理办法</w:t>
            </w:r>
          </w:p>
        </w:tc>
      </w:tr>
      <w:tr w14:paraId="49B9D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6E417"/>
        </w:tc>
        <w:tc>
          <w:tcPr>
            <w:tcW w:w="2268" w:type="dxa"/>
            <w:vAlign w:val="center"/>
          </w:tcPr>
          <w:p w14:paraId="3058310D">
            <w:pPr>
              <w:pStyle w:val="13"/>
            </w:pPr>
            <w:r>
              <w:t>质量指标</w:t>
            </w:r>
          </w:p>
        </w:tc>
        <w:tc>
          <w:tcPr>
            <w:tcW w:w="2835" w:type="dxa"/>
            <w:vAlign w:val="center"/>
          </w:tcPr>
          <w:p w14:paraId="743091B4">
            <w:pPr>
              <w:pStyle w:val="13"/>
            </w:pPr>
            <w:r>
              <w:t>预算控制率</w:t>
            </w:r>
          </w:p>
        </w:tc>
        <w:tc>
          <w:tcPr>
            <w:tcW w:w="5386" w:type="dxa"/>
            <w:vAlign w:val="center"/>
          </w:tcPr>
          <w:p w14:paraId="417AAF92">
            <w:pPr>
              <w:pStyle w:val="13"/>
            </w:pPr>
            <w:r>
              <w:t>预算执行</w:t>
            </w:r>
          </w:p>
        </w:tc>
        <w:tc>
          <w:tcPr>
            <w:tcW w:w="2268" w:type="dxa"/>
            <w:vAlign w:val="center"/>
          </w:tcPr>
          <w:p w14:paraId="2256B1C4">
            <w:pPr>
              <w:pStyle w:val="13"/>
            </w:pPr>
            <w:r>
              <w:t>≥95%</w:t>
            </w:r>
          </w:p>
        </w:tc>
        <w:tc>
          <w:tcPr>
            <w:tcW w:w="1276" w:type="dxa"/>
            <w:vAlign w:val="center"/>
          </w:tcPr>
          <w:p w14:paraId="699B403E">
            <w:pPr>
              <w:pStyle w:val="13"/>
            </w:pPr>
            <w:r>
              <w:t>幼儿园生均公用经费管理办法</w:t>
            </w:r>
          </w:p>
        </w:tc>
      </w:tr>
      <w:tr w14:paraId="72152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7E33D"/>
        </w:tc>
        <w:tc>
          <w:tcPr>
            <w:tcW w:w="2268" w:type="dxa"/>
            <w:vAlign w:val="center"/>
          </w:tcPr>
          <w:p w14:paraId="47F5EA16">
            <w:pPr>
              <w:pStyle w:val="13"/>
            </w:pPr>
            <w:r>
              <w:t>时效指标</w:t>
            </w:r>
          </w:p>
        </w:tc>
        <w:tc>
          <w:tcPr>
            <w:tcW w:w="2835" w:type="dxa"/>
            <w:vAlign w:val="center"/>
          </w:tcPr>
          <w:p w14:paraId="012DCCAA">
            <w:pPr>
              <w:pStyle w:val="13"/>
            </w:pPr>
            <w:r>
              <w:t>资金支付率</w:t>
            </w:r>
          </w:p>
        </w:tc>
        <w:tc>
          <w:tcPr>
            <w:tcW w:w="5386" w:type="dxa"/>
            <w:vAlign w:val="center"/>
          </w:tcPr>
          <w:p w14:paraId="43E5509B">
            <w:pPr>
              <w:pStyle w:val="13"/>
            </w:pPr>
            <w:r>
              <w:t>按照序时进度完成资金支付</w:t>
            </w:r>
          </w:p>
        </w:tc>
        <w:tc>
          <w:tcPr>
            <w:tcW w:w="2268" w:type="dxa"/>
            <w:vAlign w:val="center"/>
          </w:tcPr>
          <w:p w14:paraId="75914D3E">
            <w:pPr>
              <w:pStyle w:val="13"/>
            </w:pPr>
            <w:r>
              <w:t>≥100%</w:t>
            </w:r>
          </w:p>
        </w:tc>
        <w:tc>
          <w:tcPr>
            <w:tcW w:w="1276" w:type="dxa"/>
            <w:vAlign w:val="center"/>
          </w:tcPr>
          <w:p w14:paraId="5DF755FD">
            <w:pPr>
              <w:pStyle w:val="13"/>
            </w:pPr>
            <w:r>
              <w:t>幼儿园生均公用经费管理办法</w:t>
            </w:r>
          </w:p>
        </w:tc>
      </w:tr>
      <w:tr w14:paraId="6FB07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9F9E4"/>
        </w:tc>
        <w:tc>
          <w:tcPr>
            <w:tcW w:w="2268" w:type="dxa"/>
            <w:vAlign w:val="center"/>
          </w:tcPr>
          <w:p w14:paraId="2C4AA4DA">
            <w:pPr>
              <w:pStyle w:val="13"/>
            </w:pPr>
            <w:r>
              <w:t>成本指标</w:t>
            </w:r>
          </w:p>
        </w:tc>
        <w:tc>
          <w:tcPr>
            <w:tcW w:w="2835" w:type="dxa"/>
            <w:vAlign w:val="center"/>
          </w:tcPr>
          <w:p w14:paraId="5D8CF34D">
            <w:pPr>
              <w:pStyle w:val="13"/>
            </w:pPr>
            <w:r>
              <w:t>生均拨款标准</w:t>
            </w:r>
          </w:p>
        </w:tc>
        <w:tc>
          <w:tcPr>
            <w:tcW w:w="5386" w:type="dxa"/>
            <w:vAlign w:val="center"/>
          </w:tcPr>
          <w:p w14:paraId="05A84EEB">
            <w:pPr>
              <w:pStyle w:val="13"/>
            </w:pPr>
            <w:r>
              <w:t>学前经费600元/生/年</w:t>
            </w:r>
          </w:p>
        </w:tc>
        <w:tc>
          <w:tcPr>
            <w:tcW w:w="2268" w:type="dxa"/>
            <w:vAlign w:val="center"/>
          </w:tcPr>
          <w:p w14:paraId="6F2F767B">
            <w:pPr>
              <w:pStyle w:val="13"/>
            </w:pPr>
            <w:r>
              <w:t>600元</w:t>
            </w:r>
          </w:p>
        </w:tc>
        <w:tc>
          <w:tcPr>
            <w:tcW w:w="1276" w:type="dxa"/>
            <w:vAlign w:val="center"/>
          </w:tcPr>
          <w:p w14:paraId="29291455">
            <w:pPr>
              <w:pStyle w:val="13"/>
            </w:pPr>
            <w:r>
              <w:t>幼儿园生均公用经费管理办法</w:t>
            </w:r>
          </w:p>
        </w:tc>
      </w:tr>
      <w:tr w14:paraId="4382F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228250CE">
            <w:pPr>
              <w:pStyle w:val="12"/>
            </w:pPr>
            <w:r>
              <w:t>效益指标</w:t>
            </w:r>
          </w:p>
        </w:tc>
        <w:tc>
          <w:tcPr>
            <w:tcW w:w="2268" w:type="dxa"/>
            <w:vAlign w:val="center"/>
          </w:tcPr>
          <w:p w14:paraId="5EA2DBD6">
            <w:pPr>
              <w:pStyle w:val="13"/>
            </w:pPr>
            <w:r>
              <w:t>可持续影响指标</w:t>
            </w:r>
          </w:p>
        </w:tc>
        <w:tc>
          <w:tcPr>
            <w:tcW w:w="2835" w:type="dxa"/>
            <w:vAlign w:val="center"/>
          </w:tcPr>
          <w:p w14:paraId="462A1A0B">
            <w:pPr>
              <w:pStyle w:val="13"/>
            </w:pPr>
            <w:r>
              <w:t>教育发展水平明显好转</w:t>
            </w:r>
          </w:p>
        </w:tc>
        <w:tc>
          <w:tcPr>
            <w:tcW w:w="5386" w:type="dxa"/>
            <w:vAlign w:val="center"/>
          </w:tcPr>
          <w:p w14:paraId="75C5BBBF">
            <w:pPr>
              <w:pStyle w:val="13"/>
            </w:pPr>
            <w:r>
              <w:t>学生受教育年限</w:t>
            </w:r>
          </w:p>
        </w:tc>
        <w:tc>
          <w:tcPr>
            <w:tcW w:w="2268" w:type="dxa"/>
            <w:vAlign w:val="center"/>
          </w:tcPr>
          <w:p w14:paraId="57EE6590">
            <w:pPr>
              <w:pStyle w:val="13"/>
            </w:pPr>
            <w:r>
              <w:t>3年</w:t>
            </w:r>
          </w:p>
        </w:tc>
        <w:tc>
          <w:tcPr>
            <w:tcW w:w="1276" w:type="dxa"/>
            <w:vAlign w:val="center"/>
          </w:tcPr>
          <w:p w14:paraId="175BCEF1">
            <w:pPr>
              <w:pStyle w:val="13"/>
            </w:pPr>
            <w:r>
              <w:t>幼儿园生均公用经费管理办法</w:t>
            </w:r>
          </w:p>
        </w:tc>
      </w:tr>
      <w:tr w14:paraId="5EB96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6B9EBD">
            <w:pPr>
              <w:pStyle w:val="12"/>
            </w:pPr>
            <w:r>
              <w:t>满意度指标</w:t>
            </w:r>
          </w:p>
        </w:tc>
        <w:tc>
          <w:tcPr>
            <w:tcW w:w="2268" w:type="dxa"/>
            <w:vAlign w:val="center"/>
          </w:tcPr>
          <w:p w14:paraId="5286C238">
            <w:pPr>
              <w:pStyle w:val="13"/>
            </w:pPr>
            <w:r>
              <w:t>服务对象满意度指标</w:t>
            </w:r>
          </w:p>
        </w:tc>
        <w:tc>
          <w:tcPr>
            <w:tcW w:w="2835" w:type="dxa"/>
            <w:vAlign w:val="center"/>
          </w:tcPr>
          <w:p w14:paraId="299CABA4">
            <w:pPr>
              <w:pStyle w:val="13"/>
            </w:pPr>
            <w:r>
              <w:t>受益学生家长及调查满意度</w:t>
            </w:r>
          </w:p>
        </w:tc>
        <w:tc>
          <w:tcPr>
            <w:tcW w:w="5386" w:type="dxa"/>
            <w:vAlign w:val="center"/>
          </w:tcPr>
          <w:p w14:paraId="128282E2">
            <w:pPr>
              <w:pStyle w:val="13"/>
            </w:pPr>
            <w:r>
              <w:t>学生、教师及家长对学校保教保育工作满意度情况</w:t>
            </w:r>
          </w:p>
        </w:tc>
        <w:tc>
          <w:tcPr>
            <w:tcW w:w="2268" w:type="dxa"/>
            <w:vAlign w:val="center"/>
          </w:tcPr>
          <w:p w14:paraId="5BD6D914">
            <w:pPr>
              <w:pStyle w:val="13"/>
            </w:pPr>
            <w:r>
              <w:t>≥95%</w:t>
            </w:r>
          </w:p>
        </w:tc>
        <w:tc>
          <w:tcPr>
            <w:tcW w:w="1276" w:type="dxa"/>
            <w:vAlign w:val="center"/>
          </w:tcPr>
          <w:p w14:paraId="3333F617">
            <w:pPr>
              <w:pStyle w:val="13"/>
            </w:pPr>
            <w:r>
              <w:t>调查问卷</w:t>
            </w:r>
          </w:p>
        </w:tc>
      </w:tr>
    </w:tbl>
    <w:p w14:paraId="198B03DB">
      <w:pPr>
        <w:sectPr>
          <w:pgSz w:w="16840" w:h="11900" w:orient="landscape"/>
          <w:pgMar w:top="1361" w:right="1020" w:bottom="1134" w:left="1020" w:header="720" w:footer="720" w:gutter="0"/>
          <w:cols w:space="720" w:num="1"/>
        </w:sectPr>
      </w:pPr>
    </w:p>
    <w:p w14:paraId="19E158AC">
      <w:pPr>
        <w:spacing w:before="0" w:after="0"/>
        <w:ind w:firstLine="560"/>
        <w:jc w:val="left"/>
        <w:outlineLvl w:val="9"/>
      </w:pPr>
      <w:r>
        <w:rPr>
          <w:rFonts w:ascii="方正仿宋_GBK" w:hAnsi="方正仿宋_GBK" w:eastAsia="方正仿宋_GBK" w:cs="方正仿宋_GBK"/>
          <w:b/>
          <w:color w:val="000000"/>
          <w:sz w:val="28"/>
        </w:rPr>
        <w:t>196、县级资金/隆尧县小风车幼儿园公用经费绩效目标表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95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58E31">
            <w:pPr>
              <w:pStyle w:val="14"/>
            </w:pPr>
            <w:r>
              <w:t>单位：万元</w:t>
            </w:r>
          </w:p>
        </w:tc>
      </w:tr>
      <w:tr w14:paraId="0BFFD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F5FE2">
            <w:pPr>
              <w:pStyle w:val="11"/>
            </w:pPr>
            <w:r>
              <w:t>项目编码</w:t>
            </w:r>
          </w:p>
        </w:tc>
        <w:tc>
          <w:tcPr>
            <w:tcW w:w="5103" w:type="dxa"/>
            <w:gridSpan w:val="2"/>
            <w:vAlign w:val="center"/>
          </w:tcPr>
          <w:p w14:paraId="1B76C233">
            <w:pPr>
              <w:pStyle w:val="13"/>
            </w:pPr>
            <w:r>
              <w:t>13052525P008756100596</w:t>
            </w:r>
          </w:p>
        </w:tc>
        <w:tc>
          <w:tcPr>
            <w:tcW w:w="2835" w:type="dxa"/>
            <w:vAlign w:val="center"/>
          </w:tcPr>
          <w:p w14:paraId="1F2B588B">
            <w:pPr>
              <w:pStyle w:val="11"/>
            </w:pPr>
            <w:r>
              <w:t>项目名称</w:t>
            </w:r>
          </w:p>
        </w:tc>
        <w:tc>
          <w:tcPr>
            <w:tcW w:w="6095" w:type="dxa"/>
            <w:gridSpan w:val="3"/>
            <w:vAlign w:val="center"/>
          </w:tcPr>
          <w:p w14:paraId="0D247FAE">
            <w:pPr>
              <w:pStyle w:val="13"/>
            </w:pPr>
            <w:r>
              <w:t>县级资金/隆尧县小风车幼儿园公用经费</w:t>
            </w:r>
          </w:p>
        </w:tc>
      </w:tr>
      <w:tr w14:paraId="2E3A6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33277">
            <w:pPr>
              <w:pStyle w:val="11"/>
            </w:pPr>
            <w:r>
              <w:t>预算规模及资金用途</w:t>
            </w:r>
          </w:p>
        </w:tc>
        <w:tc>
          <w:tcPr>
            <w:tcW w:w="2268" w:type="dxa"/>
            <w:vAlign w:val="center"/>
          </w:tcPr>
          <w:p w14:paraId="639B7A99">
            <w:pPr>
              <w:pStyle w:val="11"/>
            </w:pPr>
            <w:r>
              <w:t>预算数</w:t>
            </w:r>
          </w:p>
        </w:tc>
        <w:tc>
          <w:tcPr>
            <w:tcW w:w="2835" w:type="dxa"/>
            <w:vAlign w:val="center"/>
          </w:tcPr>
          <w:p w14:paraId="2674A5C6">
            <w:pPr>
              <w:pStyle w:val="13"/>
            </w:pPr>
            <w:r>
              <w:t>3.60</w:t>
            </w:r>
          </w:p>
        </w:tc>
        <w:tc>
          <w:tcPr>
            <w:tcW w:w="2835" w:type="dxa"/>
            <w:vAlign w:val="center"/>
          </w:tcPr>
          <w:p w14:paraId="04AB826E">
            <w:pPr>
              <w:pStyle w:val="11"/>
            </w:pPr>
            <w:r>
              <w:t>其中：财政    资金</w:t>
            </w:r>
          </w:p>
        </w:tc>
        <w:tc>
          <w:tcPr>
            <w:tcW w:w="2551" w:type="dxa"/>
            <w:vAlign w:val="center"/>
          </w:tcPr>
          <w:p w14:paraId="73DEB660">
            <w:pPr>
              <w:pStyle w:val="13"/>
            </w:pPr>
            <w:r>
              <w:t>3.60</w:t>
            </w:r>
          </w:p>
        </w:tc>
        <w:tc>
          <w:tcPr>
            <w:tcW w:w="2268" w:type="dxa"/>
            <w:vAlign w:val="center"/>
          </w:tcPr>
          <w:p w14:paraId="45B2E002">
            <w:pPr>
              <w:pStyle w:val="11"/>
            </w:pPr>
            <w:r>
              <w:t>其他资金</w:t>
            </w:r>
          </w:p>
        </w:tc>
        <w:tc>
          <w:tcPr>
            <w:tcW w:w="1276" w:type="dxa"/>
            <w:vAlign w:val="center"/>
          </w:tcPr>
          <w:p w14:paraId="491B8563">
            <w:pPr>
              <w:pStyle w:val="13"/>
            </w:pPr>
            <w:r>
              <w:t xml:space="preserve"> </w:t>
            </w:r>
          </w:p>
        </w:tc>
      </w:tr>
      <w:tr w14:paraId="1C345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1D436F"/>
        </w:tc>
        <w:tc>
          <w:tcPr>
            <w:tcW w:w="14033" w:type="dxa"/>
            <w:gridSpan w:val="6"/>
            <w:vAlign w:val="center"/>
          </w:tcPr>
          <w:p w14:paraId="7ABFC606">
            <w:pPr>
              <w:pStyle w:val="13"/>
            </w:pPr>
            <w:r>
              <w:t>按季度分批次拨付安排公用经费资金，学校按照预算安排进行资金使用，保证资金正常支出。</w:t>
            </w:r>
            <w:r>
              <w:tab/>
            </w:r>
            <w:r>
              <w:tab/>
            </w:r>
            <w:r>
              <w:tab/>
            </w:r>
            <w:r>
              <w:tab/>
            </w:r>
            <w:r>
              <w:tab/>
            </w:r>
            <w:r>
              <w:tab/>
            </w:r>
          </w:p>
          <w:p w14:paraId="524B2290">
            <w:pPr>
              <w:pStyle w:val="13"/>
            </w:pPr>
          </w:p>
        </w:tc>
      </w:tr>
      <w:tr w14:paraId="3B92B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8C6EE">
            <w:pPr>
              <w:pStyle w:val="11"/>
            </w:pPr>
            <w:r>
              <w:t>资金支出计划（%）</w:t>
            </w:r>
          </w:p>
        </w:tc>
        <w:tc>
          <w:tcPr>
            <w:tcW w:w="5103" w:type="dxa"/>
            <w:gridSpan w:val="2"/>
            <w:vAlign w:val="center"/>
          </w:tcPr>
          <w:p w14:paraId="6B8A9212">
            <w:pPr>
              <w:pStyle w:val="11"/>
            </w:pPr>
            <w:r>
              <w:t>3月底</w:t>
            </w:r>
          </w:p>
        </w:tc>
        <w:tc>
          <w:tcPr>
            <w:tcW w:w="2835" w:type="dxa"/>
            <w:vAlign w:val="center"/>
          </w:tcPr>
          <w:p w14:paraId="47F36D3F">
            <w:pPr>
              <w:pStyle w:val="11"/>
            </w:pPr>
            <w:r>
              <w:t>6月底</w:t>
            </w:r>
          </w:p>
        </w:tc>
        <w:tc>
          <w:tcPr>
            <w:tcW w:w="2551" w:type="dxa"/>
            <w:vAlign w:val="center"/>
          </w:tcPr>
          <w:p w14:paraId="246415FB">
            <w:pPr>
              <w:pStyle w:val="11"/>
            </w:pPr>
            <w:r>
              <w:t>10月底</w:t>
            </w:r>
          </w:p>
        </w:tc>
        <w:tc>
          <w:tcPr>
            <w:tcW w:w="3544" w:type="dxa"/>
            <w:gridSpan w:val="2"/>
            <w:vAlign w:val="center"/>
          </w:tcPr>
          <w:p w14:paraId="50CD0B3C">
            <w:pPr>
              <w:pStyle w:val="11"/>
            </w:pPr>
            <w:r>
              <w:t>12月底</w:t>
            </w:r>
          </w:p>
        </w:tc>
      </w:tr>
      <w:tr w14:paraId="62BFB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5FA76"/>
        </w:tc>
        <w:tc>
          <w:tcPr>
            <w:tcW w:w="5103" w:type="dxa"/>
            <w:gridSpan w:val="2"/>
            <w:vAlign w:val="center"/>
          </w:tcPr>
          <w:p w14:paraId="004E043A">
            <w:pPr>
              <w:pStyle w:val="12"/>
            </w:pPr>
            <w:r>
              <w:t xml:space="preserve"> </w:t>
            </w:r>
          </w:p>
        </w:tc>
        <w:tc>
          <w:tcPr>
            <w:tcW w:w="2835" w:type="dxa"/>
            <w:vAlign w:val="center"/>
          </w:tcPr>
          <w:p w14:paraId="47D1B5E3">
            <w:pPr>
              <w:pStyle w:val="12"/>
            </w:pPr>
            <w:r>
              <w:t>50%</w:t>
            </w:r>
          </w:p>
        </w:tc>
        <w:tc>
          <w:tcPr>
            <w:tcW w:w="2551" w:type="dxa"/>
            <w:vAlign w:val="center"/>
          </w:tcPr>
          <w:p w14:paraId="064A8590">
            <w:pPr>
              <w:pStyle w:val="12"/>
            </w:pPr>
            <w:r>
              <w:t>75%</w:t>
            </w:r>
          </w:p>
        </w:tc>
        <w:tc>
          <w:tcPr>
            <w:tcW w:w="3544" w:type="dxa"/>
            <w:gridSpan w:val="2"/>
            <w:vAlign w:val="center"/>
          </w:tcPr>
          <w:p w14:paraId="074CCAA8">
            <w:pPr>
              <w:pStyle w:val="12"/>
            </w:pPr>
            <w:r>
              <w:t>100%</w:t>
            </w:r>
          </w:p>
        </w:tc>
      </w:tr>
      <w:tr w14:paraId="59BDD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785D9">
            <w:pPr>
              <w:pStyle w:val="11"/>
            </w:pPr>
            <w:r>
              <w:t>绩效目标</w:t>
            </w:r>
          </w:p>
        </w:tc>
        <w:tc>
          <w:tcPr>
            <w:tcW w:w="14033" w:type="dxa"/>
            <w:gridSpan w:val="6"/>
            <w:vAlign w:val="center"/>
          </w:tcPr>
          <w:p w14:paraId="17967B05">
            <w:pPr>
              <w:pStyle w:val="13"/>
            </w:pPr>
            <w:r>
              <w:t>1.按季度分批次拨付安排公用经费资金，学校按照预算安排进行资金使用，保证资金正常支出。</w:t>
            </w:r>
          </w:p>
        </w:tc>
      </w:tr>
    </w:tbl>
    <w:p w14:paraId="6220EF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F0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47901">
            <w:pPr>
              <w:pStyle w:val="11"/>
            </w:pPr>
            <w:r>
              <w:t>一级指标</w:t>
            </w:r>
          </w:p>
        </w:tc>
        <w:tc>
          <w:tcPr>
            <w:tcW w:w="2268" w:type="dxa"/>
            <w:vAlign w:val="center"/>
          </w:tcPr>
          <w:p w14:paraId="69BDB026">
            <w:pPr>
              <w:pStyle w:val="11"/>
            </w:pPr>
            <w:r>
              <w:t>二级指标</w:t>
            </w:r>
          </w:p>
        </w:tc>
        <w:tc>
          <w:tcPr>
            <w:tcW w:w="2835" w:type="dxa"/>
            <w:vAlign w:val="center"/>
          </w:tcPr>
          <w:p w14:paraId="6930B26C">
            <w:pPr>
              <w:pStyle w:val="11"/>
            </w:pPr>
            <w:r>
              <w:t>三级指标</w:t>
            </w:r>
          </w:p>
        </w:tc>
        <w:tc>
          <w:tcPr>
            <w:tcW w:w="5386" w:type="dxa"/>
            <w:vAlign w:val="center"/>
          </w:tcPr>
          <w:p w14:paraId="01F92FC3">
            <w:pPr>
              <w:pStyle w:val="11"/>
            </w:pPr>
            <w:r>
              <w:t>绩效指标描述</w:t>
            </w:r>
          </w:p>
        </w:tc>
        <w:tc>
          <w:tcPr>
            <w:tcW w:w="2268" w:type="dxa"/>
            <w:vAlign w:val="center"/>
          </w:tcPr>
          <w:p w14:paraId="724CE52D">
            <w:pPr>
              <w:pStyle w:val="11"/>
            </w:pPr>
            <w:r>
              <w:t>指标值</w:t>
            </w:r>
          </w:p>
        </w:tc>
        <w:tc>
          <w:tcPr>
            <w:tcW w:w="1276" w:type="dxa"/>
            <w:vAlign w:val="center"/>
          </w:tcPr>
          <w:p w14:paraId="6D72A20A">
            <w:pPr>
              <w:pStyle w:val="11"/>
            </w:pPr>
            <w:r>
              <w:t>指标值确定依据</w:t>
            </w:r>
          </w:p>
        </w:tc>
      </w:tr>
      <w:tr w14:paraId="1E5F8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E637D">
            <w:pPr>
              <w:pStyle w:val="12"/>
            </w:pPr>
            <w:r>
              <w:t>产出指标</w:t>
            </w:r>
          </w:p>
        </w:tc>
        <w:tc>
          <w:tcPr>
            <w:tcW w:w="2268" w:type="dxa"/>
            <w:vAlign w:val="center"/>
          </w:tcPr>
          <w:p w14:paraId="059B68FF">
            <w:pPr>
              <w:pStyle w:val="13"/>
            </w:pPr>
            <w:r>
              <w:t>数量指标</w:t>
            </w:r>
          </w:p>
        </w:tc>
        <w:tc>
          <w:tcPr>
            <w:tcW w:w="2835" w:type="dxa"/>
            <w:vAlign w:val="center"/>
          </w:tcPr>
          <w:p w14:paraId="4A6780CF">
            <w:pPr>
              <w:pStyle w:val="13"/>
            </w:pPr>
            <w:r>
              <w:t>适龄在校生</w:t>
            </w:r>
          </w:p>
        </w:tc>
        <w:tc>
          <w:tcPr>
            <w:tcW w:w="5386" w:type="dxa"/>
            <w:vAlign w:val="center"/>
          </w:tcPr>
          <w:p w14:paraId="28CF0059">
            <w:pPr>
              <w:pStyle w:val="13"/>
            </w:pPr>
            <w:r>
              <w:t>辖区内适龄儿童全覆盖</w:t>
            </w:r>
          </w:p>
        </w:tc>
        <w:tc>
          <w:tcPr>
            <w:tcW w:w="2268" w:type="dxa"/>
            <w:vAlign w:val="center"/>
          </w:tcPr>
          <w:p w14:paraId="4D32FFD8">
            <w:pPr>
              <w:pStyle w:val="13"/>
            </w:pPr>
            <w:r>
              <w:t>80人</w:t>
            </w:r>
          </w:p>
        </w:tc>
        <w:tc>
          <w:tcPr>
            <w:tcW w:w="1276" w:type="dxa"/>
            <w:vAlign w:val="center"/>
          </w:tcPr>
          <w:p w14:paraId="73BC3FD9">
            <w:pPr>
              <w:pStyle w:val="13"/>
            </w:pPr>
            <w:r>
              <w:t>幼儿园生均公用经费管理办法</w:t>
            </w:r>
          </w:p>
        </w:tc>
      </w:tr>
      <w:tr w14:paraId="39848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DF4F8"/>
        </w:tc>
        <w:tc>
          <w:tcPr>
            <w:tcW w:w="2268" w:type="dxa"/>
            <w:vAlign w:val="center"/>
          </w:tcPr>
          <w:p w14:paraId="18D88F69">
            <w:pPr>
              <w:pStyle w:val="13"/>
            </w:pPr>
            <w:r>
              <w:t>质量指标</w:t>
            </w:r>
          </w:p>
        </w:tc>
        <w:tc>
          <w:tcPr>
            <w:tcW w:w="2835" w:type="dxa"/>
            <w:vAlign w:val="center"/>
          </w:tcPr>
          <w:p w14:paraId="007D331E">
            <w:pPr>
              <w:pStyle w:val="13"/>
            </w:pPr>
            <w:r>
              <w:t>预算控制率</w:t>
            </w:r>
          </w:p>
        </w:tc>
        <w:tc>
          <w:tcPr>
            <w:tcW w:w="5386" w:type="dxa"/>
            <w:vAlign w:val="center"/>
          </w:tcPr>
          <w:p w14:paraId="285DC34C">
            <w:pPr>
              <w:pStyle w:val="13"/>
            </w:pPr>
            <w:r>
              <w:t>预算执行</w:t>
            </w:r>
          </w:p>
        </w:tc>
        <w:tc>
          <w:tcPr>
            <w:tcW w:w="2268" w:type="dxa"/>
            <w:vAlign w:val="center"/>
          </w:tcPr>
          <w:p w14:paraId="50A6897B">
            <w:pPr>
              <w:pStyle w:val="13"/>
            </w:pPr>
            <w:r>
              <w:t>≥95%</w:t>
            </w:r>
          </w:p>
        </w:tc>
        <w:tc>
          <w:tcPr>
            <w:tcW w:w="1276" w:type="dxa"/>
            <w:vAlign w:val="center"/>
          </w:tcPr>
          <w:p w14:paraId="7295F86C">
            <w:pPr>
              <w:pStyle w:val="13"/>
            </w:pPr>
            <w:r>
              <w:t>幼儿园生均公用经费管理办法</w:t>
            </w:r>
          </w:p>
        </w:tc>
      </w:tr>
      <w:tr w14:paraId="43BA9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AA06A"/>
        </w:tc>
        <w:tc>
          <w:tcPr>
            <w:tcW w:w="2268" w:type="dxa"/>
            <w:vAlign w:val="center"/>
          </w:tcPr>
          <w:p w14:paraId="52255CA7">
            <w:pPr>
              <w:pStyle w:val="13"/>
            </w:pPr>
            <w:r>
              <w:t>时效指标</w:t>
            </w:r>
          </w:p>
        </w:tc>
        <w:tc>
          <w:tcPr>
            <w:tcW w:w="2835" w:type="dxa"/>
            <w:vAlign w:val="center"/>
          </w:tcPr>
          <w:p w14:paraId="719CEFF4">
            <w:pPr>
              <w:pStyle w:val="13"/>
            </w:pPr>
            <w:r>
              <w:t>资金支付率</w:t>
            </w:r>
          </w:p>
        </w:tc>
        <w:tc>
          <w:tcPr>
            <w:tcW w:w="5386" w:type="dxa"/>
            <w:vAlign w:val="center"/>
          </w:tcPr>
          <w:p w14:paraId="0F70FF44">
            <w:pPr>
              <w:pStyle w:val="13"/>
            </w:pPr>
            <w:r>
              <w:t>按照序时进度完成资金支付</w:t>
            </w:r>
          </w:p>
        </w:tc>
        <w:tc>
          <w:tcPr>
            <w:tcW w:w="2268" w:type="dxa"/>
            <w:vAlign w:val="center"/>
          </w:tcPr>
          <w:p w14:paraId="57156024">
            <w:pPr>
              <w:pStyle w:val="13"/>
            </w:pPr>
            <w:r>
              <w:t>≥100%</w:t>
            </w:r>
          </w:p>
        </w:tc>
        <w:tc>
          <w:tcPr>
            <w:tcW w:w="1276" w:type="dxa"/>
            <w:vAlign w:val="center"/>
          </w:tcPr>
          <w:p w14:paraId="247E0893">
            <w:pPr>
              <w:pStyle w:val="13"/>
            </w:pPr>
            <w:r>
              <w:t>幼儿园生均公用经费管理办法</w:t>
            </w:r>
          </w:p>
        </w:tc>
      </w:tr>
      <w:tr w14:paraId="1FCE9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59E76"/>
        </w:tc>
        <w:tc>
          <w:tcPr>
            <w:tcW w:w="2268" w:type="dxa"/>
            <w:vAlign w:val="center"/>
          </w:tcPr>
          <w:p w14:paraId="12E63039">
            <w:pPr>
              <w:pStyle w:val="13"/>
            </w:pPr>
            <w:r>
              <w:t>成本指标</w:t>
            </w:r>
          </w:p>
        </w:tc>
        <w:tc>
          <w:tcPr>
            <w:tcW w:w="2835" w:type="dxa"/>
            <w:vAlign w:val="center"/>
          </w:tcPr>
          <w:p w14:paraId="63F860BF">
            <w:pPr>
              <w:pStyle w:val="13"/>
            </w:pPr>
            <w:r>
              <w:t>生均拨款标准</w:t>
            </w:r>
          </w:p>
        </w:tc>
        <w:tc>
          <w:tcPr>
            <w:tcW w:w="5386" w:type="dxa"/>
            <w:vAlign w:val="center"/>
          </w:tcPr>
          <w:p w14:paraId="193AC50A">
            <w:pPr>
              <w:pStyle w:val="13"/>
            </w:pPr>
            <w:r>
              <w:t>学前经费600元/生/年</w:t>
            </w:r>
          </w:p>
        </w:tc>
        <w:tc>
          <w:tcPr>
            <w:tcW w:w="2268" w:type="dxa"/>
            <w:vAlign w:val="center"/>
          </w:tcPr>
          <w:p w14:paraId="27AA951F">
            <w:pPr>
              <w:pStyle w:val="13"/>
            </w:pPr>
            <w:r>
              <w:t>600元</w:t>
            </w:r>
          </w:p>
        </w:tc>
        <w:tc>
          <w:tcPr>
            <w:tcW w:w="1276" w:type="dxa"/>
            <w:vAlign w:val="center"/>
          </w:tcPr>
          <w:p w14:paraId="099B626B">
            <w:pPr>
              <w:pStyle w:val="13"/>
            </w:pPr>
            <w:r>
              <w:t>幼儿园生均公用经费管理办法</w:t>
            </w:r>
          </w:p>
        </w:tc>
      </w:tr>
      <w:tr w14:paraId="73239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4DE1CD">
            <w:pPr>
              <w:pStyle w:val="12"/>
            </w:pPr>
            <w:r>
              <w:t>效益指标</w:t>
            </w:r>
          </w:p>
        </w:tc>
        <w:tc>
          <w:tcPr>
            <w:tcW w:w="2268" w:type="dxa"/>
            <w:vAlign w:val="center"/>
          </w:tcPr>
          <w:p w14:paraId="552A4ECB">
            <w:pPr>
              <w:pStyle w:val="13"/>
            </w:pPr>
            <w:r>
              <w:t>可持续影响指标</w:t>
            </w:r>
          </w:p>
        </w:tc>
        <w:tc>
          <w:tcPr>
            <w:tcW w:w="2835" w:type="dxa"/>
            <w:vAlign w:val="center"/>
          </w:tcPr>
          <w:p w14:paraId="30809CEE">
            <w:pPr>
              <w:pStyle w:val="13"/>
            </w:pPr>
            <w:r>
              <w:t>教育发展水平明显好转</w:t>
            </w:r>
          </w:p>
        </w:tc>
        <w:tc>
          <w:tcPr>
            <w:tcW w:w="5386" w:type="dxa"/>
            <w:vAlign w:val="center"/>
          </w:tcPr>
          <w:p w14:paraId="6AF30748">
            <w:pPr>
              <w:pStyle w:val="13"/>
            </w:pPr>
            <w:r>
              <w:t>学生受教育年限</w:t>
            </w:r>
          </w:p>
        </w:tc>
        <w:tc>
          <w:tcPr>
            <w:tcW w:w="2268" w:type="dxa"/>
            <w:vAlign w:val="center"/>
          </w:tcPr>
          <w:p w14:paraId="41B27501">
            <w:pPr>
              <w:pStyle w:val="13"/>
            </w:pPr>
            <w:r>
              <w:t>3年</w:t>
            </w:r>
          </w:p>
        </w:tc>
        <w:tc>
          <w:tcPr>
            <w:tcW w:w="1276" w:type="dxa"/>
            <w:vAlign w:val="center"/>
          </w:tcPr>
          <w:p w14:paraId="6558C121">
            <w:pPr>
              <w:pStyle w:val="13"/>
            </w:pPr>
            <w:r>
              <w:t>幼儿园生均公用经费管理办法</w:t>
            </w:r>
          </w:p>
        </w:tc>
      </w:tr>
      <w:tr w14:paraId="22FBA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EC1F09">
            <w:pPr>
              <w:pStyle w:val="12"/>
            </w:pPr>
            <w:r>
              <w:t>满意度指标</w:t>
            </w:r>
          </w:p>
        </w:tc>
        <w:tc>
          <w:tcPr>
            <w:tcW w:w="2268" w:type="dxa"/>
            <w:vAlign w:val="center"/>
          </w:tcPr>
          <w:p w14:paraId="0DFF63A1">
            <w:pPr>
              <w:pStyle w:val="13"/>
            </w:pPr>
            <w:r>
              <w:t>服务对象满意度指标</w:t>
            </w:r>
          </w:p>
        </w:tc>
        <w:tc>
          <w:tcPr>
            <w:tcW w:w="2835" w:type="dxa"/>
            <w:vAlign w:val="center"/>
          </w:tcPr>
          <w:p w14:paraId="73A62179">
            <w:pPr>
              <w:pStyle w:val="13"/>
            </w:pPr>
            <w:r>
              <w:t>受益学生家长及调查满意度</w:t>
            </w:r>
          </w:p>
        </w:tc>
        <w:tc>
          <w:tcPr>
            <w:tcW w:w="5386" w:type="dxa"/>
            <w:vAlign w:val="center"/>
          </w:tcPr>
          <w:p w14:paraId="418692FC">
            <w:pPr>
              <w:pStyle w:val="13"/>
            </w:pPr>
            <w:r>
              <w:t>学生、教师及家长对学校保教保育工作满意度情况</w:t>
            </w:r>
          </w:p>
        </w:tc>
        <w:tc>
          <w:tcPr>
            <w:tcW w:w="2268" w:type="dxa"/>
            <w:vAlign w:val="center"/>
          </w:tcPr>
          <w:p w14:paraId="5980BC9D">
            <w:pPr>
              <w:pStyle w:val="13"/>
            </w:pPr>
            <w:r>
              <w:t>≥95%</w:t>
            </w:r>
          </w:p>
        </w:tc>
        <w:tc>
          <w:tcPr>
            <w:tcW w:w="1276" w:type="dxa"/>
            <w:vAlign w:val="center"/>
          </w:tcPr>
          <w:p w14:paraId="5253B653">
            <w:pPr>
              <w:pStyle w:val="13"/>
            </w:pPr>
            <w:r>
              <w:t>调查问卷</w:t>
            </w:r>
          </w:p>
        </w:tc>
      </w:tr>
    </w:tbl>
    <w:p w14:paraId="73B1B21D">
      <w:pPr>
        <w:sectPr>
          <w:pgSz w:w="16840" w:h="11900" w:orient="landscape"/>
          <w:pgMar w:top="1361" w:right="1020" w:bottom="1134" w:left="1020" w:header="720" w:footer="720" w:gutter="0"/>
          <w:cols w:space="720" w:num="1"/>
        </w:sectPr>
      </w:pPr>
    </w:p>
    <w:p w14:paraId="2D2F577B">
      <w:pPr>
        <w:spacing w:before="0" w:after="0"/>
        <w:ind w:firstLine="560"/>
        <w:jc w:val="left"/>
        <w:outlineLvl w:val="9"/>
      </w:pPr>
      <w:r>
        <w:rPr>
          <w:rFonts w:ascii="方正仿宋_GBK" w:hAnsi="方正仿宋_GBK" w:eastAsia="方正仿宋_GBK" w:cs="方正仿宋_GBK"/>
          <w:b/>
          <w:color w:val="000000"/>
          <w:sz w:val="28"/>
        </w:rPr>
        <w:t>197、县级资金/隆尧县星光幼儿园公用经费绩效目标表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4F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B5FF3">
            <w:pPr>
              <w:pStyle w:val="14"/>
            </w:pPr>
            <w:r>
              <w:t>单位：万元</w:t>
            </w:r>
          </w:p>
        </w:tc>
      </w:tr>
      <w:tr w14:paraId="5C7B5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EA0FC">
            <w:pPr>
              <w:pStyle w:val="11"/>
            </w:pPr>
            <w:r>
              <w:t>项目编码</w:t>
            </w:r>
          </w:p>
        </w:tc>
        <w:tc>
          <w:tcPr>
            <w:tcW w:w="5103" w:type="dxa"/>
            <w:gridSpan w:val="2"/>
            <w:vAlign w:val="center"/>
          </w:tcPr>
          <w:p w14:paraId="11A3F11E">
            <w:pPr>
              <w:pStyle w:val="13"/>
            </w:pPr>
            <w:r>
              <w:t>13052525P008756100615</w:t>
            </w:r>
          </w:p>
        </w:tc>
        <w:tc>
          <w:tcPr>
            <w:tcW w:w="2835" w:type="dxa"/>
            <w:vAlign w:val="center"/>
          </w:tcPr>
          <w:p w14:paraId="57D4488E">
            <w:pPr>
              <w:pStyle w:val="11"/>
            </w:pPr>
            <w:r>
              <w:t>项目名称</w:t>
            </w:r>
          </w:p>
        </w:tc>
        <w:tc>
          <w:tcPr>
            <w:tcW w:w="6095" w:type="dxa"/>
            <w:gridSpan w:val="3"/>
            <w:vAlign w:val="center"/>
          </w:tcPr>
          <w:p w14:paraId="3E7B1EB4">
            <w:pPr>
              <w:pStyle w:val="13"/>
            </w:pPr>
            <w:r>
              <w:t>县级资金/隆尧县星光幼儿园公用经费</w:t>
            </w:r>
          </w:p>
        </w:tc>
      </w:tr>
      <w:tr w14:paraId="3AEAA5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ED01D">
            <w:pPr>
              <w:pStyle w:val="11"/>
            </w:pPr>
            <w:r>
              <w:t>预算规模及资金用途</w:t>
            </w:r>
          </w:p>
        </w:tc>
        <w:tc>
          <w:tcPr>
            <w:tcW w:w="2268" w:type="dxa"/>
            <w:vAlign w:val="center"/>
          </w:tcPr>
          <w:p w14:paraId="187833C9">
            <w:pPr>
              <w:pStyle w:val="11"/>
            </w:pPr>
            <w:r>
              <w:t>预算数</w:t>
            </w:r>
          </w:p>
        </w:tc>
        <w:tc>
          <w:tcPr>
            <w:tcW w:w="2835" w:type="dxa"/>
            <w:vAlign w:val="center"/>
          </w:tcPr>
          <w:p w14:paraId="7D119BF0">
            <w:pPr>
              <w:pStyle w:val="13"/>
            </w:pPr>
            <w:r>
              <w:t>3.42</w:t>
            </w:r>
          </w:p>
        </w:tc>
        <w:tc>
          <w:tcPr>
            <w:tcW w:w="2835" w:type="dxa"/>
            <w:vAlign w:val="center"/>
          </w:tcPr>
          <w:p w14:paraId="028E852D">
            <w:pPr>
              <w:pStyle w:val="11"/>
            </w:pPr>
            <w:r>
              <w:t>其中：财政    资金</w:t>
            </w:r>
          </w:p>
        </w:tc>
        <w:tc>
          <w:tcPr>
            <w:tcW w:w="2551" w:type="dxa"/>
            <w:vAlign w:val="center"/>
          </w:tcPr>
          <w:p w14:paraId="3BE9834A">
            <w:pPr>
              <w:pStyle w:val="13"/>
            </w:pPr>
            <w:r>
              <w:t>3.42</w:t>
            </w:r>
          </w:p>
        </w:tc>
        <w:tc>
          <w:tcPr>
            <w:tcW w:w="2268" w:type="dxa"/>
            <w:vAlign w:val="center"/>
          </w:tcPr>
          <w:p w14:paraId="70D489D2">
            <w:pPr>
              <w:pStyle w:val="11"/>
            </w:pPr>
            <w:r>
              <w:t>其他资金</w:t>
            </w:r>
          </w:p>
        </w:tc>
        <w:tc>
          <w:tcPr>
            <w:tcW w:w="1276" w:type="dxa"/>
            <w:vAlign w:val="center"/>
          </w:tcPr>
          <w:p w14:paraId="7BB72658">
            <w:pPr>
              <w:pStyle w:val="13"/>
            </w:pPr>
            <w:r>
              <w:t xml:space="preserve"> </w:t>
            </w:r>
          </w:p>
        </w:tc>
      </w:tr>
      <w:tr w14:paraId="73923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9B84B9"/>
        </w:tc>
        <w:tc>
          <w:tcPr>
            <w:tcW w:w="14033" w:type="dxa"/>
            <w:gridSpan w:val="6"/>
            <w:vAlign w:val="center"/>
          </w:tcPr>
          <w:p w14:paraId="2A882DB4">
            <w:pPr>
              <w:pStyle w:val="13"/>
            </w:pPr>
            <w:r>
              <w:t>按季度分批次拨付安排公用经费资金，学校按照预算安排进行资金使用，保证资金正常支出.</w:t>
            </w:r>
          </w:p>
        </w:tc>
      </w:tr>
      <w:tr w14:paraId="08830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26D32">
            <w:pPr>
              <w:pStyle w:val="11"/>
            </w:pPr>
            <w:r>
              <w:t>资金支出计划（%）</w:t>
            </w:r>
          </w:p>
        </w:tc>
        <w:tc>
          <w:tcPr>
            <w:tcW w:w="5103" w:type="dxa"/>
            <w:gridSpan w:val="2"/>
            <w:vAlign w:val="center"/>
          </w:tcPr>
          <w:p w14:paraId="7F8C5B0A">
            <w:pPr>
              <w:pStyle w:val="11"/>
            </w:pPr>
            <w:r>
              <w:t>3月底</w:t>
            </w:r>
          </w:p>
        </w:tc>
        <w:tc>
          <w:tcPr>
            <w:tcW w:w="2835" w:type="dxa"/>
            <w:vAlign w:val="center"/>
          </w:tcPr>
          <w:p w14:paraId="0C1F5906">
            <w:pPr>
              <w:pStyle w:val="11"/>
            </w:pPr>
            <w:r>
              <w:t>6月底</w:t>
            </w:r>
          </w:p>
        </w:tc>
        <w:tc>
          <w:tcPr>
            <w:tcW w:w="2551" w:type="dxa"/>
            <w:vAlign w:val="center"/>
          </w:tcPr>
          <w:p w14:paraId="05FB3A76">
            <w:pPr>
              <w:pStyle w:val="11"/>
            </w:pPr>
            <w:r>
              <w:t>10月底</w:t>
            </w:r>
          </w:p>
        </w:tc>
        <w:tc>
          <w:tcPr>
            <w:tcW w:w="3544" w:type="dxa"/>
            <w:gridSpan w:val="2"/>
            <w:vAlign w:val="center"/>
          </w:tcPr>
          <w:p w14:paraId="79C820E2">
            <w:pPr>
              <w:pStyle w:val="11"/>
            </w:pPr>
            <w:r>
              <w:t>12月底</w:t>
            </w:r>
          </w:p>
        </w:tc>
      </w:tr>
      <w:tr w14:paraId="1B5DB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88E0E5"/>
        </w:tc>
        <w:tc>
          <w:tcPr>
            <w:tcW w:w="5103" w:type="dxa"/>
            <w:gridSpan w:val="2"/>
            <w:vAlign w:val="center"/>
          </w:tcPr>
          <w:p w14:paraId="70528D44">
            <w:pPr>
              <w:pStyle w:val="12"/>
            </w:pPr>
            <w:r>
              <w:t xml:space="preserve"> </w:t>
            </w:r>
          </w:p>
        </w:tc>
        <w:tc>
          <w:tcPr>
            <w:tcW w:w="2835" w:type="dxa"/>
            <w:vAlign w:val="center"/>
          </w:tcPr>
          <w:p w14:paraId="096271FE">
            <w:pPr>
              <w:pStyle w:val="12"/>
            </w:pPr>
            <w:r>
              <w:t>50%</w:t>
            </w:r>
          </w:p>
        </w:tc>
        <w:tc>
          <w:tcPr>
            <w:tcW w:w="2551" w:type="dxa"/>
            <w:vAlign w:val="center"/>
          </w:tcPr>
          <w:p w14:paraId="49287568">
            <w:pPr>
              <w:pStyle w:val="12"/>
            </w:pPr>
            <w:r>
              <w:t>75%</w:t>
            </w:r>
          </w:p>
        </w:tc>
        <w:tc>
          <w:tcPr>
            <w:tcW w:w="3544" w:type="dxa"/>
            <w:gridSpan w:val="2"/>
            <w:vAlign w:val="center"/>
          </w:tcPr>
          <w:p w14:paraId="70100D9C">
            <w:pPr>
              <w:pStyle w:val="12"/>
            </w:pPr>
            <w:r>
              <w:t>100%</w:t>
            </w:r>
          </w:p>
        </w:tc>
      </w:tr>
      <w:tr w14:paraId="715E4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5A8D8E">
            <w:pPr>
              <w:pStyle w:val="11"/>
            </w:pPr>
            <w:r>
              <w:t>绩效目标</w:t>
            </w:r>
          </w:p>
        </w:tc>
        <w:tc>
          <w:tcPr>
            <w:tcW w:w="14033" w:type="dxa"/>
            <w:gridSpan w:val="6"/>
            <w:vAlign w:val="center"/>
          </w:tcPr>
          <w:p w14:paraId="09E72700">
            <w:pPr>
              <w:pStyle w:val="13"/>
            </w:pPr>
            <w:r>
              <w:t>1.按季度分批次拨付安排公用经费资金，学校按照预算安排进行资金使用，保证资金正常支出.</w:t>
            </w:r>
          </w:p>
        </w:tc>
      </w:tr>
    </w:tbl>
    <w:p w14:paraId="19B80C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D6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1F3A3">
            <w:pPr>
              <w:pStyle w:val="11"/>
            </w:pPr>
            <w:r>
              <w:t>一级指标</w:t>
            </w:r>
          </w:p>
        </w:tc>
        <w:tc>
          <w:tcPr>
            <w:tcW w:w="2268" w:type="dxa"/>
            <w:vAlign w:val="center"/>
          </w:tcPr>
          <w:p w14:paraId="111C8BFF">
            <w:pPr>
              <w:pStyle w:val="11"/>
            </w:pPr>
            <w:r>
              <w:t>二级指标</w:t>
            </w:r>
          </w:p>
        </w:tc>
        <w:tc>
          <w:tcPr>
            <w:tcW w:w="2835" w:type="dxa"/>
            <w:vAlign w:val="center"/>
          </w:tcPr>
          <w:p w14:paraId="584406FF">
            <w:pPr>
              <w:pStyle w:val="11"/>
            </w:pPr>
            <w:r>
              <w:t>三级指标</w:t>
            </w:r>
          </w:p>
        </w:tc>
        <w:tc>
          <w:tcPr>
            <w:tcW w:w="5386" w:type="dxa"/>
            <w:vAlign w:val="center"/>
          </w:tcPr>
          <w:p w14:paraId="61839CBC">
            <w:pPr>
              <w:pStyle w:val="11"/>
            </w:pPr>
            <w:r>
              <w:t>绩效指标描述</w:t>
            </w:r>
          </w:p>
        </w:tc>
        <w:tc>
          <w:tcPr>
            <w:tcW w:w="2268" w:type="dxa"/>
            <w:vAlign w:val="center"/>
          </w:tcPr>
          <w:p w14:paraId="00CB42B3">
            <w:pPr>
              <w:pStyle w:val="11"/>
            </w:pPr>
            <w:r>
              <w:t>指标值</w:t>
            </w:r>
          </w:p>
        </w:tc>
        <w:tc>
          <w:tcPr>
            <w:tcW w:w="1276" w:type="dxa"/>
            <w:vAlign w:val="center"/>
          </w:tcPr>
          <w:p w14:paraId="5605E67B">
            <w:pPr>
              <w:pStyle w:val="11"/>
            </w:pPr>
            <w:r>
              <w:t>指标值确定依据</w:t>
            </w:r>
          </w:p>
        </w:tc>
      </w:tr>
      <w:tr w14:paraId="1D9F5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29FD3">
            <w:pPr>
              <w:pStyle w:val="12"/>
            </w:pPr>
            <w:r>
              <w:t>产出指标</w:t>
            </w:r>
          </w:p>
        </w:tc>
        <w:tc>
          <w:tcPr>
            <w:tcW w:w="2268" w:type="dxa"/>
            <w:vAlign w:val="center"/>
          </w:tcPr>
          <w:p w14:paraId="13018F26">
            <w:pPr>
              <w:pStyle w:val="13"/>
            </w:pPr>
            <w:r>
              <w:t>数量指标</w:t>
            </w:r>
          </w:p>
        </w:tc>
        <w:tc>
          <w:tcPr>
            <w:tcW w:w="2835" w:type="dxa"/>
            <w:vAlign w:val="center"/>
          </w:tcPr>
          <w:p w14:paraId="6E058C3C">
            <w:pPr>
              <w:pStyle w:val="13"/>
            </w:pPr>
            <w:r>
              <w:t>适龄在校生</w:t>
            </w:r>
          </w:p>
        </w:tc>
        <w:tc>
          <w:tcPr>
            <w:tcW w:w="5386" w:type="dxa"/>
            <w:vAlign w:val="center"/>
          </w:tcPr>
          <w:p w14:paraId="6AAAB9FA">
            <w:pPr>
              <w:pStyle w:val="13"/>
            </w:pPr>
            <w:r>
              <w:t>辖区内适龄儿童全覆盖</w:t>
            </w:r>
          </w:p>
        </w:tc>
        <w:tc>
          <w:tcPr>
            <w:tcW w:w="2268" w:type="dxa"/>
            <w:vAlign w:val="center"/>
          </w:tcPr>
          <w:p w14:paraId="137FBC8E">
            <w:pPr>
              <w:pStyle w:val="13"/>
            </w:pPr>
            <w:r>
              <w:t>76人</w:t>
            </w:r>
          </w:p>
        </w:tc>
        <w:tc>
          <w:tcPr>
            <w:tcW w:w="1276" w:type="dxa"/>
            <w:vAlign w:val="center"/>
          </w:tcPr>
          <w:p w14:paraId="55E9E060">
            <w:pPr>
              <w:pStyle w:val="13"/>
            </w:pPr>
            <w:r>
              <w:t>幼儿园生均公用经费管理办法</w:t>
            </w:r>
          </w:p>
        </w:tc>
      </w:tr>
      <w:tr w14:paraId="3A2D9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A6E85"/>
        </w:tc>
        <w:tc>
          <w:tcPr>
            <w:tcW w:w="2268" w:type="dxa"/>
            <w:vAlign w:val="center"/>
          </w:tcPr>
          <w:p w14:paraId="13594A93">
            <w:pPr>
              <w:pStyle w:val="13"/>
            </w:pPr>
            <w:r>
              <w:t>质量指标</w:t>
            </w:r>
          </w:p>
        </w:tc>
        <w:tc>
          <w:tcPr>
            <w:tcW w:w="2835" w:type="dxa"/>
            <w:vAlign w:val="center"/>
          </w:tcPr>
          <w:p w14:paraId="2F194057">
            <w:pPr>
              <w:pStyle w:val="13"/>
            </w:pPr>
            <w:r>
              <w:t>预算控制率</w:t>
            </w:r>
          </w:p>
        </w:tc>
        <w:tc>
          <w:tcPr>
            <w:tcW w:w="5386" w:type="dxa"/>
            <w:vAlign w:val="center"/>
          </w:tcPr>
          <w:p w14:paraId="38DD3A69">
            <w:pPr>
              <w:pStyle w:val="13"/>
            </w:pPr>
            <w:r>
              <w:t>预算执行</w:t>
            </w:r>
          </w:p>
        </w:tc>
        <w:tc>
          <w:tcPr>
            <w:tcW w:w="2268" w:type="dxa"/>
            <w:vAlign w:val="center"/>
          </w:tcPr>
          <w:p w14:paraId="253080D2">
            <w:pPr>
              <w:pStyle w:val="13"/>
            </w:pPr>
            <w:r>
              <w:t>≥95%</w:t>
            </w:r>
          </w:p>
        </w:tc>
        <w:tc>
          <w:tcPr>
            <w:tcW w:w="1276" w:type="dxa"/>
            <w:vAlign w:val="center"/>
          </w:tcPr>
          <w:p w14:paraId="35537907">
            <w:pPr>
              <w:pStyle w:val="13"/>
            </w:pPr>
            <w:r>
              <w:t>幼儿园生均公用经费管理办法</w:t>
            </w:r>
          </w:p>
        </w:tc>
      </w:tr>
      <w:tr w14:paraId="362EC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16922"/>
        </w:tc>
        <w:tc>
          <w:tcPr>
            <w:tcW w:w="2268" w:type="dxa"/>
            <w:vAlign w:val="center"/>
          </w:tcPr>
          <w:p w14:paraId="5E7749FD">
            <w:pPr>
              <w:pStyle w:val="13"/>
            </w:pPr>
            <w:r>
              <w:t>时效指标</w:t>
            </w:r>
          </w:p>
        </w:tc>
        <w:tc>
          <w:tcPr>
            <w:tcW w:w="2835" w:type="dxa"/>
            <w:vAlign w:val="center"/>
          </w:tcPr>
          <w:p w14:paraId="3151CB28">
            <w:pPr>
              <w:pStyle w:val="13"/>
            </w:pPr>
            <w:r>
              <w:t>资金支付率</w:t>
            </w:r>
          </w:p>
        </w:tc>
        <w:tc>
          <w:tcPr>
            <w:tcW w:w="5386" w:type="dxa"/>
            <w:vAlign w:val="center"/>
          </w:tcPr>
          <w:p w14:paraId="39246B0E">
            <w:pPr>
              <w:pStyle w:val="13"/>
            </w:pPr>
            <w:r>
              <w:t>按照序时进度完成资金支付</w:t>
            </w:r>
          </w:p>
        </w:tc>
        <w:tc>
          <w:tcPr>
            <w:tcW w:w="2268" w:type="dxa"/>
            <w:vAlign w:val="center"/>
          </w:tcPr>
          <w:p w14:paraId="2E3539A4">
            <w:pPr>
              <w:pStyle w:val="13"/>
            </w:pPr>
            <w:r>
              <w:t>≥100%</w:t>
            </w:r>
          </w:p>
        </w:tc>
        <w:tc>
          <w:tcPr>
            <w:tcW w:w="1276" w:type="dxa"/>
            <w:vAlign w:val="center"/>
          </w:tcPr>
          <w:p w14:paraId="232CAD77">
            <w:pPr>
              <w:pStyle w:val="13"/>
            </w:pPr>
            <w:r>
              <w:t>幼儿园生均公用经费管理办法</w:t>
            </w:r>
          </w:p>
        </w:tc>
      </w:tr>
      <w:tr w14:paraId="04868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8A6CB"/>
        </w:tc>
        <w:tc>
          <w:tcPr>
            <w:tcW w:w="2268" w:type="dxa"/>
            <w:vAlign w:val="center"/>
          </w:tcPr>
          <w:p w14:paraId="3D8BFC28">
            <w:pPr>
              <w:pStyle w:val="13"/>
            </w:pPr>
            <w:r>
              <w:t>成本指标</w:t>
            </w:r>
          </w:p>
        </w:tc>
        <w:tc>
          <w:tcPr>
            <w:tcW w:w="2835" w:type="dxa"/>
            <w:vAlign w:val="center"/>
          </w:tcPr>
          <w:p w14:paraId="15BAA020">
            <w:pPr>
              <w:pStyle w:val="13"/>
            </w:pPr>
            <w:r>
              <w:t>生均拨款标准</w:t>
            </w:r>
          </w:p>
        </w:tc>
        <w:tc>
          <w:tcPr>
            <w:tcW w:w="5386" w:type="dxa"/>
            <w:vAlign w:val="center"/>
          </w:tcPr>
          <w:p w14:paraId="583B30B4">
            <w:pPr>
              <w:pStyle w:val="13"/>
            </w:pPr>
            <w:r>
              <w:t>学前经费600元/生/年</w:t>
            </w:r>
          </w:p>
        </w:tc>
        <w:tc>
          <w:tcPr>
            <w:tcW w:w="2268" w:type="dxa"/>
            <w:vAlign w:val="center"/>
          </w:tcPr>
          <w:p w14:paraId="13C7D77E">
            <w:pPr>
              <w:pStyle w:val="13"/>
            </w:pPr>
            <w:r>
              <w:t>600元</w:t>
            </w:r>
          </w:p>
        </w:tc>
        <w:tc>
          <w:tcPr>
            <w:tcW w:w="1276" w:type="dxa"/>
            <w:vAlign w:val="center"/>
          </w:tcPr>
          <w:p w14:paraId="343DC21C">
            <w:pPr>
              <w:pStyle w:val="13"/>
            </w:pPr>
            <w:r>
              <w:t>幼儿园生均公用经费管理办法</w:t>
            </w:r>
          </w:p>
        </w:tc>
      </w:tr>
      <w:tr w14:paraId="07EBD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B8C7AE">
            <w:pPr>
              <w:pStyle w:val="12"/>
            </w:pPr>
            <w:r>
              <w:t>效益指标</w:t>
            </w:r>
          </w:p>
        </w:tc>
        <w:tc>
          <w:tcPr>
            <w:tcW w:w="2268" w:type="dxa"/>
            <w:vAlign w:val="center"/>
          </w:tcPr>
          <w:p w14:paraId="28FB3633">
            <w:pPr>
              <w:pStyle w:val="13"/>
            </w:pPr>
            <w:r>
              <w:t>可持续影响指标</w:t>
            </w:r>
          </w:p>
        </w:tc>
        <w:tc>
          <w:tcPr>
            <w:tcW w:w="2835" w:type="dxa"/>
            <w:vAlign w:val="center"/>
          </w:tcPr>
          <w:p w14:paraId="0F95EC90">
            <w:pPr>
              <w:pStyle w:val="13"/>
            </w:pPr>
            <w:r>
              <w:t>教育发展水平明显好转</w:t>
            </w:r>
          </w:p>
        </w:tc>
        <w:tc>
          <w:tcPr>
            <w:tcW w:w="5386" w:type="dxa"/>
            <w:vAlign w:val="center"/>
          </w:tcPr>
          <w:p w14:paraId="5567C2B0">
            <w:pPr>
              <w:pStyle w:val="13"/>
            </w:pPr>
            <w:r>
              <w:t>学生受教育年限</w:t>
            </w:r>
          </w:p>
        </w:tc>
        <w:tc>
          <w:tcPr>
            <w:tcW w:w="2268" w:type="dxa"/>
            <w:vAlign w:val="center"/>
          </w:tcPr>
          <w:p w14:paraId="69D5C26B">
            <w:pPr>
              <w:pStyle w:val="13"/>
            </w:pPr>
            <w:r>
              <w:t>3年</w:t>
            </w:r>
          </w:p>
        </w:tc>
        <w:tc>
          <w:tcPr>
            <w:tcW w:w="1276" w:type="dxa"/>
            <w:vAlign w:val="center"/>
          </w:tcPr>
          <w:p w14:paraId="7DC4CC9B">
            <w:pPr>
              <w:pStyle w:val="13"/>
            </w:pPr>
            <w:r>
              <w:t>幼儿园生均公用经费管理办法</w:t>
            </w:r>
          </w:p>
        </w:tc>
      </w:tr>
      <w:tr w14:paraId="1956C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4FB241">
            <w:pPr>
              <w:pStyle w:val="12"/>
            </w:pPr>
            <w:r>
              <w:t>满意度指标</w:t>
            </w:r>
          </w:p>
        </w:tc>
        <w:tc>
          <w:tcPr>
            <w:tcW w:w="2268" w:type="dxa"/>
            <w:vAlign w:val="center"/>
          </w:tcPr>
          <w:p w14:paraId="07DA856F">
            <w:pPr>
              <w:pStyle w:val="13"/>
            </w:pPr>
            <w:r>
              <w:t>服务对象满意度指标</w:t>
            </w:r>
          </w:p>
        </w:tc>
        <w:tc>
          <w:tcPr>
            <w:tcW w:w="2835" w:type="dxa"/>
            <w:vAlign w:val="center"/>
          </w:tcPr>
          <w:p w14:paraId="69AD827A">
            <w:pPr>
              <w:pStyle w:val="13"/>
            </w:pPr>
            <w:r>
              <w:t>受益学生家长及调查满意度</w:t>
            </w:r>
          </w:p>
        </w:tc>
        <w:tc>
          <w:tcPr>
            <w:tcW w:w="5386" w:type="dxa"/>
            <w:vAlign w:val="center"/>
          </w:tcPr>
          <w:p w14:paraId="086A5DB1">
            <w:pPr>
              <w:pStyle w:val="13"/>
            </w:pPr>
            <w:r>
              <w:t>学生、教师及家长对学校保教保育工作满意度情况</w:t>
            </w:r>
          </w:p>
        </w:tc>
        <w:tc>
          <w:tcPr>
            <w:tcW w:w="2268" w:type="dxa"/>
            <w:vAlign w:val="center"/>
          </w:tcPr>
          <w:p w14:paraId="4ADB7845">
            <w:pPr>
              <w:pStyle w:val="13"/>
            </w:pPr>
            <w:r>
              <w:t>≥95%</w:t>
            </w:r>
          </w:p>
        </w:tc>
        <w:tc>
          <w:tcPr>
            <w:tcW w:w="1276" w:type="dxa"/>
            <w:vAlign w:val="center"/>
          </w:tcPr>
          <w:p w14:paraId="4A85C396">
            <w:pPr>
              <w:pStyle w:val="13"/>
            </w:pPr>
            <w:r>
              <w:t>调查问卷</w:t>
            </w:r>
          </w:p>
        </w:tc>
      </w:tr>
    </w:tbl>
    <w:p w14:paraId="3D830659">
      <w:pPr>
        <w:sectPr>
          <w:pgSz w:w="16840" w:h="11900" w:orient="landscape"/>
          <w:pgMar w:top="1361" w:right="1020" w:bottom="1134" w:left="1020" w:header="720" w:footer="720" w:gutter="0"/>
          <w:cols w:space="720" w:num="1"/>
        </w:sectPr>
      </w:pPr>
    </w:p>
    <w:p w14:paraId="22E31502">
      <w:pPr>
        <w:spacing w:before="0" w:after="0"/>
        <w:ind w:firstLine="560"/>
        <w:jc w:val="left"/>
        <w:outlineLvl w:val="9"/>
      </w:pPr>
      <w:r>
        <w:rPr>
          <w:rFonts w:ascii="方正仿宋_GBK" w:hAnsi="方正仿宋_GBK" w:eastAsia="方正仿宋_GBK" w:cs="方正仿宋_GBK"/>
          <w:b/>
          <w:color w:val="000000"/>
          <w:sz w:val="28"/>
        </w:rPr>
        <w:t>198、县级资金/隆尧县杨家窑蓓蕾幼儿园公用经费绩效目标表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57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DA9E6">
            <w:pPr>
              <w:pStyle w:val="14"/>
            </w:pPr>
            <w:r>
              <w:t>单位：万元</w:t>
            </w:r>
          </w:p>
        </w:tc>
      </w:tr>
      <w:tr w14:paraId="0F79E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9E2AD">
            <w:pPr>
              <w:pStyle w:val="11"/>
            </w:pPr>
            <w:r>
              <w:t>项目编码</w:t>
            </w:r>
          </w:p>
        </w:tc>
        <w:tc>
          <w:tcPr>
            <w:tcW w:w="5103" w:type="dxa"/>
            <w:gridSpan w:val="2"/>
            <w:vAlign w:val="center"/>
          </w:tcPr>
          <w:p w14:paraId="31D722CB">
            <w:pPr>
              <w:pStyle w:val="13"/>
            </w:pPr>
            <w:r>
              <w:t>13052525P008756100738</w:t>
            </w:r>
          </w:p>
        </w:tc>
        <w:tc>
          <w:tcPr>
            <w:tcW w:w="2835" w:type="dxa"/>
            <w:vAlign w:val="center"/>
          </w:tcPr>
          <w:p w14:paraId="7623ED3C">
            <w:pPr>
              <w:pStyle w:val="11"/>
            </w:pPr>
            <w:r>
              <w:t>项目名称</w:t>
            </w:r>
          </w:p>
        </w:tc>
        <w:tc>
          <w:tcPr>
            <w:tcW w:w="6095" w:type="dxa"/>
            <w:gridSpan w:val="3"/>
            <w:vAlign w:val="center"/>
          </w:tcPr>
          <w:p w14:paraId="01628FF4">
            <w:pPr>
              <w:pStyle w:val="13"/>
            </w:pPr>
            <w:r>
              <w:t>县级资金/隆尧县杨家窑蓓蕾幼儿园公用经费</w:t>
            </w:r>
          </w:p>
        </w:tc>
      </w:tr>
      <w:tr w14:paraId="050E0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0D83E">
            <w:pPr>
              <w:pStyle w:val="11"/>
            </w:pPr>
            <w:r>
              <w:t>预算规模及资金用途</w:t>
            </w:r>
          </w:p>
        </w:tc>
        <w:tc>
          <w:tcPr>
            <w:tcW w:w="2268" w:type="dxa"/>
            <w:vAlign w:val="center"/>
          </w:tcPr>
          <w:p w14:paraId="7301F875">
            <w:pPr>
              <w:pStyle w:val="11"/>
            </w:pPr>
            <w:r>
              <w:t>预算数</w:t>
            </w:r>
          </w:p>
        </w:tc>
        <w:tc>
          <w:tcPr>
            <w:tcW w:w="2835" w:type="dxa"/>
            <w:vAlign w:val="center"/>
          </w:tcPr>
          <w:p w14:paraId="761D4EDF">
            <w:pPr>
              <w:pStyle w:val="13"/>
            </w:pPr>
            <w:r>
              <w:t>3.20</w:t>
            </w:r>
          </w:p>
        </w:tc>
        <w:tc>
          <w:tcPr>
            <w:tcW w:w="2835" w:type="dxa"/>
            <w:vAlign w:val="center"/>
          </w:tcPr>
          <w:p w14:paraId="384CFB0D">
            <w:pPr>
              <w:pStyle w:val="11"/>
            </w:pPr>
            <w:r>
              <w:t>其中：财政    资金</w:t>
            </w:r>
          </w:p>
        </w:tc>
        <w:tc>
          <w:tcPr>
            <w:tcW w:w="2551" w:type="dxa"/>
            <w:vAlign w:val="center"/>
          </w:tcPr>
          <w:p w14:paraId="02D303E5">
            <w:pPr>
              <w:pStyle w:val="13"/>
            </w:pPr>
            <w:r>
              <w:t>3.20</w:t>
            </w:r>
          </w:p>
        </w:tc>
        <w:tc>
          <w:tcPr>
            <w:tcW w:w="2268" w:type="dxa"/>
            <w:vAlign w:val="center"/>
          </w:tcPr>
          <w:p w14:paraId="5E6901D7">
            <w:pPr>
              <w:pStyle w:val="11"/>
            </w:pPr>
            <w:r>
              <w:t>其他资金</w:t>
            </w:r>
          </w:p>
        </w:tc>
        <w:tc>
          <w:tcPr>
            <w:tcW w:w="1276" w:type="dxa"/>
            <w:vAlign w:val="center"/>
          </w:tcPr>
          <w:p w14:paraId="16CAC2ED">
            <w:pPr>
              <w:pStyle w:val="13"/>
            </w:pPr>
            <w:r>
              <w:t xml:space="preserve"> </w:t>
            </w:r>
          </w:p>
        </w:tc>
      </w:tr>
      <w:tr w14:paraId="73A87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F58F20"/>
        </w:tc>
        <w:tc>
          <w:tcPr>
            <w:tcW w:w="14033" w:type="dxa"/>
            <w:gridSpan w:val="6"/>
            <w:vAlign w:val="center"/>
          </w:tcPr>
          <w:p w14:paraId="60A3AA7E">
            <w:pPr>
              <w:pStyle w:val="13"/>
            </w:pPr>
            <w:r>
              <w:t>按季度分批次拨付安排公用经费资金，学校按照预算安排进行资金使用，保证资金正常支出。</w:t>
            </w:r>
          </w:p>
        </w:tc>
      </w:tr>
      <w:tr w14:paraId="47288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65FF9">
            <w:pPr>
              <w:pStyle w:val="11"/>
            </w:pPr>
            <w:r>
              <w:t>资金支出计划（%）</w:t>
            </w:r>
          </w:p>
        </w:tc>
        <w:tc>
          <w:tcPr>
            <w:tcW w:w="5103" w:type="dxa"/>
            <w:gridSpan w:val="2"/>
            <w:vAlign w:val="center"/>
          </w:tcPr>
          <w:p w14:paraId="3DD8BAAA">
            <w:pPr>
              <w:pStyle w:val="11"/>
            </w:pPr>
            <w:r>
              <w:t>3月底</w:t>
            </w:r>
          </w:p>
        </w:tc>
        <w:tc>
          <w:tcPr>
            <w:tcW w:w="2835" w:type="dxa"/>
            <w:vAlign w:val="center"/>
          </w:tcPr>
          <w:p w14:paraId="51CBCB71">
            <w:pPr>
              <w:pStyle w:val="11"/>
            </w:pPr>
            <w:r>
              <w:t>6月底</w:t>
            </w:r>
          </w:p>
        </w:tc>
        <w:tc>
          <w:tcPr>
            <w:tcW w:w="2551" w:type="dxa"/>
            <w:vAlign w:val="center"/>
          </w:tcPr>
          <w:p w14:paraId="0A58D325">
            <w:pPr>
              <w:pStyle w:val="11"/>
            </w:pPr>
            <w:r>
              <w:t>10月底</w:t>
            </w:r>
          </w:p>
        </w:tc>
        <w:tc>
          <w:tcPr>
            <w:tcW w:w="3544" w:type="dxa"/>
            <w:gridSpan w:val="2"/>
            <w:vAlign w:val="center"/>
          </w:tcPr>
          <w:p w14:paraId="1DE7356C">
            <w:pPr>
              <w:pStyle w:val="11"/>
            </w:pPr>
            <w:r>
              <w:t>12月底</w:t>
            </w:r>
          </w:p>
        </w:tc>
      </w:tr>
      <w:tr w14:paraId="154E1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38071D"/>
        </w:tc>
        <w:tc>
          <w:tcPr>
            <w:tcW w:w="5103" w:type="dxa"/>
            <w:gridSpan w:val="2"/>
            <w:vAlign w:val="center"/>
          </w:tcPr>
          <w:p w14:paraId="041A6FAD">
            <w:pPr>
              <w:pStyle w:val="12"/>
            </w:pPr>
            <w:r>
              <w:t xml:space="preserve"> </w:t>
            </w:r>
          </w:p>
        </w:tc>
        <w:tc>
          <w:tcPr>
            <w:tcW w:w="2835" w:type="dxa"/>
            <w:vAlign w:val="center"/>
          </w:tcPr>
          <w:p w14:paraId="44BFFAC0">
            <w:pPr>
              <w:pStyle w:val="12"/>
            </w:pPr>
            <w:r>
              <w:t>50%</w:t>
            </w:r>
          </w:p>
        </w:tc>
        <w:tc>
          <w:tcPr>
            <w:tcW w:w="2551" w:type="dxa"/>
            <w:vAlign w:val="center"/>
          </w:tcPr>
          <w:p w14:paraId="7AD8FDCD">
            <w:pPr>
              <w:pStyle w:val="12"/>
            </w:pPr>
            <w:r>
              <w:t>75%</w:t>
            </w:r>
          </w:p>
        </w:tc>
        <w:tc>
          <w:tcPr>
            <w:tcW w:w="3544" w:type="dxa"/>
            <w:gridSpan w:val="2"/>
            <w:vAlign w:val="center"/>
          </w:tcPr>
          <w:p w14:paraId="71BF2BA3">
            <w:pPr>
              <w:pStyle w:val="12"/>
            </w:pPr>
            <w:r>
              <w:t>100%</w:t>
            </w:r>
          </w:p>
        </w:tc>
      </w:tr>
      <w:tr w14:paraId="7E19E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E6FA0">
            <w:pPr>
              <w:pStyle w:val="11"/>
            </w:pPr>
            <w:r>
              <w:t>绩效目标</w:t>
            </w:r>
          </w:p>
        </w:tc>
        <w:tc>
          <w:tcPr>
            <w:tcW w:w="14033" w:type="dxa"/>
            <w:gridSpan w:val="6"/>
            <w:vAlign w:val="center"/>
          </w:tcPr>
          <w:p w14:paraId="681522E5">
            <w:pPr>
              <w:pStyle w:val="13"/>
            </w:pPr>
            <w:r>
              <w:t>1.按季度分批次拨付安排公用经费资金，学校按照预算安排进行资金使用，保证资金正常支出。</w:t>
            </w:r>
          </w:p>
        </w:tc>
      </w:tr>
    </w:tbl>
    <w:p w14:paraId="5A3EA4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40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10A48">
            <w:pPr>
              <w:pStyle w:val="11"/>
            </w:pPr>
            <w:r>
              <w:t>一级指标</w:t>
            </w:r>
          </w:p>
        </w:tc>
        <w:tc>
          <w:tcPr>
            <w:tcW w:w="2268" w:type="dxa"/>
            <w:vAlign w:val="center"/>
          </w:tcPr>
          <w:p w14:paraId="42EB90E7">
            <w:pPr>
              <w:pStyle w:val="11"/>
            </w:pPr>
            <w:r>
              <w:t>二级指标</w:t>
            </w:r>
          </w:p>
        </w:tc>
        <w:tc>
          <w:tcPr>
            <w:tcW w:w="2835" w:type="dxa"/>
            <w:vAlign w:val="center"/>
          </w:tcPr>
          <w:p w14:paraId="0139101C">
            <w:pPr>
              <w:pStyle w:val="11"/>
            </w:pPr>
            <w:r>
              <w:t>三级指标</w:t>
            </w:r>
          </w:p>
        </w:tc>
        <w:tc>
          <w:tcPr>
            <w:tcW w:w="5386" w:type="dxa"/>
            <w:vAlign w:val="center"/>
          </w:tcPr>
          <w:p w14:paraId="6FA9F135">
            <w:pPr>
              <w:pStyle w:val="11"/>
            </w:pPr>
            <w:r>
              <w:t>绩效指标描述</w:t>
            </w:r>
          </w:p>
        </w:tc>
        <w:tc>
          <w:tcPr>
            <w:tcW w:w="2268" w:type="dxa"/>
            <w:vAlign w:val="center"/>
          </w:tcPr>
          <w:p w14:paraId="5AF0BAA1">
            <w:pPr>
              <w:pStyle w:val="11"/>
            </w:pPr>
            <w:r>
              <w:t>指标值</w:t>
            </w:r>
          </w:p>
        </w:tc>
        <w:tc>
          <w:tcPr>
            <w:tcW w:w="1276" w:type="dxa"/>
            <w:vAlign w:val="center"/>
          </w:tcPr>
          <w:p w14:paraId="07FFD65C">
            <w:pPr>
              <w:pStyle w:val="11"/>
            </w:pPr>
            <w:r>
              <w:t>指标值确定依据</w:t>
            </w:r>
          </w:p>
        </w:tc>
      </w:tr>
      <w:tr w14:paraId="3C987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44CBF">
            <w:pPr>
              <w:pStyle w:val="12"/>
            </w:pPr>
            <w:r>
              <w:t>产出指标</w:t>
            </w:r>
          </w:p>
        </w:tc>
        <w:tc>
          <w:tcPr>
            <w:tcW w:w="2268" w:type="dxa"/>
            <w:vAlign w:val="center"/>
          </w:tcPr>
          <w:p w14:paraId="144CAA6E">
            <w:pPr>
              <w:pStyle w:val="13"/>
            </w:pPr>
            <w:r>
              <w:t>数量指标</w:t>
            </w:r>
          </w:p>
        </w:tc>
        <w:tc>
          <w:tcPr>
            <w:tcW w:w="2835" w:type="dxa"/>
            <w:vAlign w:val="center"/>
          </w:tcPr>
          <w:p w14:paraId="55151C1A">
            <w:pPr>
              <w:pStyle w:val="13"/>
            </w:pPr>
            <w:r>
              <w:t>适龄在校生</w:t>
            </w:r>
          </w:p>
        </w:tc>
        <w:tc>
          <w:tcPr>
            <w:tcW w:w="5386" w:type="dxa"/>
            <w:vAlign w:val="center"/>
          </w:tcPr>
          <w:p w14:paraId="45DCD54E">
            <w:pPr>
              <w:pStyle w:val="13"/>
            </w:pPr>
            <w:r>
              <w:t>辖区内适龄儿童全覆盖</w:t>
            </w:r>
          </w:p>
        </w:tc>
        <w:tc>
          <w:tcPr>
            <w:tcW w:w="2268" w:type="dxa"/>
            <w:vAlign w:val="center"/>
          </w:tcPr>
          <w:p w14:paraId="5E82A03C">
            <w:pPr>
              <w:pStyle w:val="13"/>
            </w:pPr>
            <w:r>
              <w:t>71人</w:t>
            </w:r>
          </w:p>
        </w:tc>
        <w:tc>
          <w:tcPr>
            <w:tcW w:w="1276" w:type="dxa"/>
            <w:vAlign w:val="center"/>
          </w:tcPr>
          <w:p w14:paraId="3D16BCBE">
            <w:pPr>
              <w:pStyle w:val="13"/>
            </w:pPr>
            <w:r>
              <w:t>幼儿园生均公用经费管理办法</w:t>
            </w:r>
          </w:p>
        </w:tc>
      </w:tr>
      <w:tr w14:paraId="57083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05BFC"/>
        </w:tc>
        <w:tc>
          <w:tcPr>
            <w:tcW w:w="2268" w:type="dxa"/>
            <w:vAlign w:val="center"/>
          </w:tcPr>
          <w:p w14:paraId="469E5591">
            <w:pPr>
              <w:pStyle w:val="13"/>
            </w:pPr>
            <w:r>
              <w:t>质量指标</w:t>
            </w:r>
          </w:p>
        </w:tc>
        <w:tc>
          <w:tcPr>
            <w:tcW w:w="2835" w:type="dxa"/>
            <w:vAlign w:val="center"/>
          </w:tcPr>
          <w:p w14:paraId="2C15D4A4">
            <w:pPr>
              <w:pStyle w:val="13"/>
            </w:pPr>
            <w:r>
              <w:t>预算控制率</w:t>
            </w:r>
          </w:p>
        </w:tc>
        <w:tc>
          <w:tcPr>
            <w:tcW w:w="5386" w:type="dxa"/>
            <w:vAlign w:val="center"/>
          </w:tcPr>
          <w:p w14:paraId="7E0822B1">
            <w:pPr>
              <w:pStyle w:val="13"/>
            </w:pPr>
            <w:r>
              <w:t>预算执行</w:t>
            </w:r>
          </w:p>
        </w:tc>
        <w:tc>
          <w:tcPr>
            <w:tcW w:w="2268" w:type="dxa"/>
            <w:vAlign w:val="center"/>
          </w:tcPr>
          <w:p w14:paraId="16A4652A">
            <w:pPr>
              <w:pStyle w:val="13"/>
            </w:pPr>
            <w:r>
              <w:t>≥95%</w:t>
            </w:r>
          </w:p>
        </w:tc>
        <w:tc>
          <w:tcPr>
            <w:tcW w:w="1276" w:type="dxa"/>
            <w:vAlign w:val="center"/>
          </w:tcPr>
          <w:p w14:paraId="19C6E91B">
            <w:pPr>
              <w:pStyle w:val="13"/>
            </w:pPr>
            <w:r>
              <w:t>幼儿园生均公用经费管理办法</w:t>
            </w:r>
          </w:p>
        </w:tc>
      </w:tr>
      <w:tr w14:paraId="4E2BE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C321F"/>
        </w:tc>
        <w:tc>
          <w:tcPr>
            <w:tcW w:w="2268" w:type="dxa"/>
            <w:vAlign w:val="center"/>
          </w:tcPr>
          <w:p w14:paraId="611C6D82">
            <w:pPr>
              <w:pStyle w:val="13"/>
            </w:pPr>
            <w:r>
              <w:t>时效指标</w:t>
            </w:r>
          </w:p>
        </w:tc>
        <w:tc>
          <w:tcPr>
            <w:tcW w:w="2835" w:type="dxa"/>
            <w:vAlign w:val="center"/>
          </w:tcPr>
          <w:p w14:paraId="4EBB115E">
            <w:pPr>
              <w:pStyle w:val="13"/>
            </w:pPr>
            <w:r>
              <w:t>资金支付率</w:t>
            </w:r>
          </w:p>
        </w:tc>
        <w:tc>
          <w:tcPr>
            <w:tcW w:w="5386" w:type="dxa"/>
            <w:vAlign w:val="center"/>
          </w:tcPr>
          <w:p w14:paraId="2F889319">
            <w:pPr>
              <w:pStyle w:val="13"/>
            </w:pPr>
            <w:r>
              <w:t>按照序时进度完成资金支付</w:t>
            </w:r>
          </w:p>
        </w:tc>
        <w:tc>
          <w:tcPr>
            <w:tcW w:w="2268" w:type="dxa"/>
            <w:vAlign w:val="center"/>
          </w:tcPr>
          <w:p w14:paraId="2385367B">
            <w:pPr>
              <w:pStyle w:val="13"/>
            </w:pPr>
            <w:r>
              <w:t>≥100%</w:t>
            </w:r>
          </w:p>
        </w:tc>
        <w:tc>
          <w:tcPr>
            <w:tcW w:w="1276" w:type="dxa"/>
            <w:vAlign w:val="center"/>
          </w:tcPr>
          <w:p w14:paraId="64ABF7E1">
            <w:pPr>
              <w:pStyle w:val="13"/>
            </w:pPr>
            <w:r>
              <w:t>幼儿园生均公用经费管理办法</w:t>
            </w:r>
          </w:p>
        </w:tc>
      </w:tr>
      <w:tr w14:paraId="04278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FCBB9"/>
        </w:tc>
        <w:tc>
          <w:tcPr>
            <w:tcW w:w="2268" w:type="dxa"/>
            <w:vAlign w:val="center"/>
          </w:tcPr>
          <w:p w14:paraId="10ACBAFB">
            <w:pPr>
              <w:pStyle w:val="13"/>
            </w:pPr>
            <w:r>
              <w:t>成本指标</w:t>
            </w:r>
          </w:p>
        </w:tc>
        <w:tc>
          <w:tcPr>
            <w:tcW w:w="2835" w:type="dxa"/>
            <w:vAlign w:val="center"/>
          </w:tcPr>
          <w:p w14:paraId="15539E6D">
            <w:pPr>
              <w:pStyle w:val="13"/>
            </w:pPr>
            <w:r>
              <w:t>生均拨款标准</w:t>
            </w:r>
          </w:p>
        </w:tc>
        <w:tc>
          <w:tcPr>
            <w:tcW w:w="5386" w:type="dxa"/>
            <w:vAlign w:val="center"/>
          </w:tcPr>
          <w:p w14:paraId="71E6EA55">
            <w:pPr>
              <w:pStyle w:val="13"/>
            </w:pPr>
            <w:r>
              <w:t>学前经费600元/生/年</w:t>
            </w:r>
          </w:p>
        </w:tc>
        <w:tc>
          <w:tcPr>
            <w:tcW w:w="2268" w:type="dxa"/>
            <w:vAlign w:val="center"/>
          </w:tcPr>
          <w:p w14:paraId="3C7E2160">
            <w:pPr>
              <w:pStyle w:val="13"/>
            </w:pPr>
            <w:r>
              <w:t>600元</w:t>
            </w:r>
          </w:p>
        </w:tc>
        <w:tc>
          <w:tcPr>
            <w:tcW w:w="1276" w:type="dxa"/>
            <w:vAlign w:val="center"/>
          </w:tcPr>
          <w:p w14:paraId="472490A5">
            <w:pPr>
              <w:pStyle w:val="13"/>
            </w:pPr>
            <w:r>
              <w:t>幼儿园生均公用经费管理办法</w:t>
            </w:r>
          </w:p>
        </w:tc>
      </w:tr>
      <w:tr w14:paraId="49925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7BCC90EE">
            <w:pPr>
              <w:pStyle w:val="12"/>
            </w:pPr>
            <w:r>
              <w:t>效益指标</w:t>
            </w:r>
          </w:p>
        </w:tc>
        <w:tc>
          <w:tcPr>
            <w:tcW w:w="2268" w:type="dxa"/>
            <w:vAlign w:val="center"/>
          </w:tcPr>
          <w:p w14:paraId="70C3039C">
            <w:pPr>
              <w:pStyle w:val="13"/>
            </w:pPr>
            <w:r>
              <w:t>可持续影响指标</w:t>
            </w:r>
          </w:p>
        </w:tc>
        <w:tc>
          <w:tcPr>
            <w:tcW w:w="2835" w:type="dxa"/>
            <w:vAlign w:val="center"/>
          </w:tcPr>
          <w:p w14:paraId="34EE8E1C">
            <w:pPr>
              <w:pStyle w:val="13"/>
            </w:pPr>
            <w:r>
              <w:t>教育发展水平明显好转</w:t>
            </w:r>
          </w:p>
        </w:tc>
        <w:tc>
          <w:tcPr>
            <w:tcW w:w="5386" w:type="dxa"/>
            <w:vAlign w:val="center"/>
          </w:tcPr>
          <w:p w14:paraId="298EF0AB">
            <w:pPr>
              <w:pStyle w:val="13"/>
            </w:pPr>
            <w:r>
              <w:t>学生受教育年限</w:t>
            </w:r>
          </w:p>
        </w:tc>
        <w:tc>
          <w:tcPr>
            <w:tcW w:w="2268" w:type="dxa"/>
            <w:vAlign w:val="center"/>
          </w:tcPr>
          <w:p w14:paraId="7BE075CF">
            <w:pPr>
              <w:pStyle w:val="13"/>
            </w:pPr>
            <w:r>
              <w:t>3年</w:t>
            </w:r>
          </w:p>
        </w:tc>
        <w:tc>
          <w:tcPr>
            <w:tcW w:w="1276" w:type="dxa"/>
            <w:vAlign w:val="center"/>
          </w:tcPr>
          <w:p w14:paraId="4D40A3DB">
            <w:pPr>
              <w:pStyle w:val="13"/>
            </w:pPr>
            <w:r>
              <w:t>幼儿园生均公用经费管理办法</w:t>
            </w:r>
          </w:p>
        </w:tc>
      </w:tr>
      <w:tr w14:paraId="45CCE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30A349">
            <w:pPr>
              <w:pStyle w:val="12"/>
            </w:pPr>
            <w:r>
              <w:t>满意度指标</w:t>
            </w:r>
          </w:p>
        </w:tc>
        <w:tc>
          <w:tcPr>
            <w:tcW w:w="2268" w:type="dxa"/>
            <w:vAlign w:val="center"/>
          </w:tcPr>
          <w:p w14:paraId="280A6D10">
            <w:pPr>
              <w:pStyle w:val="13"/>
            </w:pPr>
            <w:r>
              <w:t>服务对象满意度指标</w:t>
            </w:r>
          </w:p>
        </w:tc>
        <w:tc>
          <w:tcPr>
            <w:tcW w:w="2835" w:type="dxa"/>
            <w:vAlign w:val="center"/>
          </w:tcPr>
          <w:p w14:paraId="240790E1">
            <w:pPr>
              <w:pStyle w:val="13"/>
            </w:pPr>
            <w:r>
              <w:t>受益学生家长及调查满意度</w:t>
            </w:r>
          </w:p>
        </w:tc>
        <w:tc>
          <w:tcPr>
            <w:tcW w:w="5386" w:type="dxa"/>
            <w:vAlign w:val="center"/>
          </w:tcPr>
          <w:p w14:paraId="27C7494F">
            <w:pPr>
              <w:pStyle w:val="13"/>
            </w:pPr>
            <w:r>
              <w:t>学生、教师及家长对学校保教保育工作满意度情况</w:t>
            </w:r>
          </w:p>
        </w:tc>
        <w:tc>
          <w:tcPr>
            <w:tcW w:w="2268" w:type="dxa"/>
            <w:vAlign w:val="center"/>
          </w:tcPr>
          <w:p w14:paraId="03B80186">
            <w:pPr>
              <w:pStyle w:val="13"/>
            </w:pPr>
            <w:r>
              <w:t>≥95%</w:t>
            </w:r>
          </w:p>
        </w:tc>
        <w:tc>
          <w:tcPr>
            <w:tcW w:w="1276" w:type="dxa"/>
            <w:vAlign w:val="center"/>
          </w:tcPr>
          <w:p w14:paraId="08CF5FA7">
            <w:pPr>
              <w:pStyle w:val="13"/>
            </w:pPr>
            <w:r>
              <w:t>调查问卷</w:t>
            </w:r>
          </w:p>
        </w:tc>
      </w:tr>
    </w:tbl>
    <w:p w14:paraId="0BAE228D">
      <w:pPr>
        <w:sectPr>
          <w:pgSz w:w="16840" w:h="11900" w:orient="landscape"/>
          <w:pgMar w:top="1361" w:right="1020" w:bottom="1134" w:left="1020" w:header="720" w:footer="720" w:gutter="0"/>
          <w:cols w:space="720" w:num="1"/>
        </w:sectPr>
      </w:pPr>
    </w:p>
    <w:p w14:paraId="04843A35">
      <w:pPr>
        <w:spacing w:before="0" w:after="0"/>
        <w:ind w:firstLine="560"/>
        <w:jc w:val="left"/>
        <w:outlineLvl w:val="9"/>
      </w:pPr>
      <w:r>
        <w:rPr>
          <w:rFonts w:ascii="方正仿宋_GBK" w:hAnsi="方正仿宋_GBK" w:eastAsia="方正仿宋_GBK" w:cs="方正仿宋_GBK"/>
          <w:b/>
          <w:color w:val="000000"/>
          <w:sz w:val="28"/>
        </w:rPr>
        <w:t>199、县级资金/隆尧县阳光幼儿园公用经费绩效目标表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CE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B1C9A">
            <w:pPr>
              <w:pStyle w:val="14"/>
            </w:pPr>
            <w:r>
              <w:t>单位：万元</w:t>
            </w:r>
          </w:p>
        </w:tc>
      </w:tr>
      <w:tr w14:paraId="7E8E4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C7E3A">
            <w:pPr>
              <w:pStyle w:val="11"/>
            </w:pPr>
            <w:r>
              <w:t>项目编码</w:t>
            </w:r>
          </w:p>
        </w:tc>
        <w:tc>
          <w:tcPr>
            <w:tcW w:w="5103" w:type="dxa"/>
            <w:gridSpan w:val="2"/>
            <w:vAlign w:val="center"/>
          </w:tcPr>
          <w:p w14:paraId="19F2F2A8">
            <w:pPr>
              <w:pStyle w:val="13"/>
            </w:pPr>
            <w:r>
              <w:t>13052525P00875610060H</w:t>
            </w:r>
          </w:p>
        </w:tc>
        <w:tc>
          <w:tcPr>
            <w:tcW w:w="2835" w:type="dxa"/>
            <w:vAlign w:val="center"/>
          </w:tcPr>
          <w:p w14:paraId="2E642D3E">
            <w:pPr>
              <w:pStyle w:val="11"/>
            </w:pPr>
            <w:r>
              <w:t>项目名称</w:t>
            </w:r>
          </w:p>
        </w:tc>
        <w:tc>
          <w:tcPr>
            <w:tcW w:w="6095" w:type="dxa"/>
            <w:gridSpan w:val="3"/>
            <w:vAlign w:val="center"/>
          </w:tcPr>
          <w:p w14:paraId="420951AC">
            <w:pPr>
              <w:pStyle w:val="13"/>
            </w:pPr>
            <w:r>
              <w:t>县级资金/隆尧县阳光幼儿园公用经费</w:t>
            </w:r>
          </w:p>
        </w:tc>
      </w:tr>
      <w:tr w14:paraId="7E392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826A6">
            <w:pPr>
              <w:pStyle w:val="11"/>
            </w:pPr>
            <w:r>
              <w:t>预算规模及资金用途</w:t>
            </w:r>
          </w:p>
        </w:tc>
        <w:tc>
          <w:tcPr>
            <w:tcW w:w="2268" w:type="dxa"/>
            <w:vAlign w:val="center"/>
          </w:tcPr>
          <w:p w14:paraId="32BA29EC">
            <w:pPr>
              <w:pStyle w:val="11"/>
            </w:pPr>
            <w:r>
              <w:t>预算数</w:t>
            </w:r>
          </w:p>
        </w:tc>
        <w:tc>
          <w:tcPr>
            <w:tcW w:w="2835" w:type="dxa"/>
            <w:vAlign w:val="center"/>
          </w:tcPr>
          <w:p w14:paraId="5321FEEF">
            <w:pPr>
              <w:pStyle w:val="13"/>
            </w:pPr>
            <w:r>
              <w:t>3.96</w:t>
            </w:r>
          </w:p>
        </w:tc>
        <w:tc>
          <w:tcPr>
            <w:tcW w:w="2835" w:type="dxa"/>
            <w:vAlign w:val="center"/>
          </w:tcPr>
          <w:p w14:paraId="7E60EEC3">
            <w:pPr>
              <w:pStyle w:val="11"/>
            </w:pPr>
            <w:r>
              <w:t>其中：财政    资金</w:t>
            </w:r>
          </w:p>
        </w:tc>
        <w:tc>
          <w:tcPr>
            <w:tcW w:w="2551" w:type="dxa"/>
            <w:vAlign w:val="center"/>
          </w:tcPr>
          <w:p w14:paraId="0EE40B2E">
            <w:pPr>
              <w:pStyle w:val="13"/>
            </w:pPr>
            <w:r>
              <w:t>3.96</w:t>
            </w:r>
          </w:p>
        </w:tc>
        <w:tc>
          <w:tcPr>
            <w:tcW w:w="2268" w:type="dxa"/>
            <w:vAlign w:val="center"/>
          </w:tcPr>
          <w:p w14:paraId="5E7D70F5">
            <w:pPr>
              <w:pStyle w:val="11"/>
            </w:pPr>
            <w:r>
              <w:t>其他资金</w:t>
            </w:r>
          </w:p>
        </w:tc>
        <w:tc>
          <w:tcPr>
            <w:tcW w:w="1276" w:type="dxa"/>
            <w:vAlign w:val="center"/>
          </w:tcPr>
          <w:p w14:paraId="7D57A663">
            <w:pPr>
              <w:pStyle w:val="13"/>
            </w:pPr>
            <w:r>
              <w:t xml:space="preserve"> </w:t>
            </w:r>
          </w:p>
        </w:tc>
      </w:tr>
      <w:tr w14:paraId="6130F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9ECC60"/>
        </w:tc>
        <w:tc>
          <w:tcPr>
            <w:tcW w:w="14033" w:type="dxa"/>
            <w:gridSpan w:val="6"/>
            <w:vAlign w:val="center"/>
          </w:tcPr>
          <w:p w14:paraId="04932DF1">
            <w:pPr>
              <w:pStyle w:val="13"/>
            </w:pPr>
            <w:r>
              <w:t>"按季度分批次拨付安排公用经费资金，学校按照预算安排进行资金使用，保证资金正常支出。</w:t>
            </w:r>
          </w:p>
          <w:p w14:paraId="189166D9">
            <w:pPr>
              <w:pStyle w:val="13"/>
            </w:pPr>
            <w:r>
              <w:t>"</w:t>
            </w:r>
            <w:r>
              <w:tab/>
            </w:r>
            <w:r>
              <w:tab/>
            </w:r>
            <w:r>
              <w:tab/>
            </w:r>
            <w:r>
              <w:tab/>
            </w:r>
            <w:r>
              <w:tab/>
            </w:r>
            <w:r>
              <w:tab/>
            </w:r>
          </w:p>
          <w:p w14:paraId="59086D83">
            <w:pPr>
              <w:pStyle w:val="13"/>
            </w:pPr>
          </w:p>
        </w:tc>
      </w:tr>
      <w:tr w14:paraId="7212A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A200E">
            <w:pPr>
              <w:pStyle w:val="11"/>
            </w:pPr>
            <w:r>
              <w:t>资金支出计划（%）</w:t>
            </w:r>
          </w:p>
        </w:tc>
        <w:tc>
          <w:tcPr>
            <w:tcW w:w="5103" w:type="dxa"/>
            <w:gridSpan w:val="2"/>
            <w:vAlign w:val="center"/>
          </w:tcPr>
          <w:p w14:paraId="45781B05">
            <w:pPr>
              <w:pStyle w:val="11"/>
            </w:pPr>
            <w:r>
              <w:t>3月底</w:t>
            </w:r>
          </w:p>
        </w:tc>
        <w:tc>
          <w:tcPr>
            <w:tcW w:w="2835" w:type="dxa"/>
            <w:vAlign w:val="center"/>
          </w:tcPr>
          <w:p w14:paraId="2AEF4B7C">
            <w:pPr>
              <w:pStyle w:val="11"/>
            </w:pPr>
            <w:r>
              <w:t>6月底</w:t>
            </w:r>
          </w:p>
        </w:tc>
        <w:tc>
          <w:tcPr>
            <w:tcW w:w="2551" w:type="dxa"/>
            <w:vAlign w:val="center"/>
          </w:tcPr>
          <w:p w14:paraId="44033A87">
            <w:pPr>
              <w:pStyle w:val="11"/>
            </w:pPr>
            <w:r>
              <w:t>10月底</w:t>
            </w:r>
          </w:p>
        </w:tc>
        <w:tc>
          <w:tcPr>
            <w:tcW w:w="3544" w:type="dxa"/>
            <w:gridSpan w:val="2"/>
            <w:vAlign w:val="center"/>
          </w:tcPr>
          <w:p w14:paraId="677C37F7">
            <w:pPr>
              <w:pStyle w:val="11"/>
            </w:pPr>
            <w:r>
              <w:t>12月底</w:t>
            </w:r>
          </w:p>
        </w:tc>
      </w:tr>
      <w:tr w14:paraId="6CDA3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31C57"/>
        </w:tc>
        <w:tc>
          <w:tcPr>
            <w:tcW w:w="5103" w:type="dxa"/>
            <w:gridSpan w:val="2"/>
            <w:vAlign w:val="center"/>
          </w:tcPr>
          <w:p w14:paraId="390A02D6">
            <w:pPr>
              <w:pStyle w:val="12"/>
            </w:pPr>
            <w:r>
              <w:t xml:space="preserve"> </w:t>
            </w:r>
          </w:p>
        </w:tc>
        <w:tc>
          <w:tcPr>
            <w:tcW w:w="2835" w:type="dxa"/>
            <w:vAlign w:val="center"/>
          </w:tcPr>
          <w:p w14:paraId="1B4B5629">
            <w:pPr>
              <w:pStyle w:val="12"/>
            </w:pPr>
            <w:r>
              <w:t>50%</w:t>
            </w:r>
          </w:p>
        </w:tc>
        <w:tc>
          <w:tcPr>
            <w:tcW w:w="2551" w:type="dxa"/>
            <w:vAlign w:val="center"/>
          </w:tcPr>
          <w:p w14:paraId="57F85C2E">
            <w:pPr>
              <w:pStyle w:val="12"/>
            </w:pPr>
            <w:r>
              <w:t>75%</w:t>
            </w:r>
          </w:p>
        </w:tc>
        <w:tc>
          <w:tcPr>
            <w:tcW w:w="3544" w:type="dxa"/>
            <w:gridSpan w:val="2"/>
            <w:vAlign w:val="center"/>
          </w:tcPr>
          <w:p w14:paraId="4FD9307C">
            <w:pPr>
              <w:pStyle w:val="12"/>
            </w:pPr>
            <w:r>
              <w:t>100%</w:t>
            </w:r>
          </w:p>
        </w:tc>
      </w:tr>
      <w:tr w14:paraId="682B1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431CA0">
            <w:pPr>
              <w:pStyle w:val="11"/>
            </w:pPr>
            <w:r>
              <w:t>绩效目标</w:t>
            </w:r>
          </w:p>
        </w:tc>
        <w:tc>
          <w:tcPr>
            <w:tcW w:w="14033" w:type="dxa"/>
            <w:gridSpan w:val="6"/>
            <w:vAlign w:val="center"/>
          </w:tcPr>
          <w:p w14:paraId="710B2955">
            <w:pPr>
              <w:pStyle w:val="13"/>
            </w:pPr>
            <w:r>
              <w:t>1.按季度分批次拨付安排公用经费资金，学校按照预算安排进行资金使用，保证资金正常支出。</w:t>
            </w:r>
          </w:p>
          <w:p w14:paraId="568370AE">
            <w:pPr>
              <w:pStyle w:val="13"/>
            </w:pPr>
          </w:p>
        </w:tc>
      </w:tr>
    </w:tbl>
    <w:p w14:paraId="0D57B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38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53ED0">
            <w:pPr>
              <w:pStyle w:val="11"/>
            </w:pPr>
            <w:r>
              <w:t>一级指标</w:t>
            </w:r>
          </w:p>
        </w:tc>
        <w:tc>
          <w:tcPr>
            <w:tcW w:w="2268" w:type="dxa"/>
            <w:vAlign w:val="center"/>
          </w:tcPr>
          <w:p w14:paraId="71B921A2">
            <w:pPr>
              <w:pStyle w:val="11"/>
            </w:pPr>
            <w:r>
              <w:t>二级指标</w:t>
            </w:r>
          </w:p>
        </w:tc>
        <w:tc>
          <w:tcPr>
            <w:tcW w:w="2835" w:type="dxa"/>
            <w:vAlign w:val="center"/>
          </w:tcPr>
          <w:p w14:paraId="20E196BA">
            <w:pPr>
              <w:pStyle w:val="11"/>
            </w:pPr>
            <w:r>
              <w:t>三级指标</w:t>
            </w:r>
          </w:p>
        </w:tc>
        <w:tc>
          <w:tcPr>
            <w:tcW w:w="5386" w:type="dxa"/>
            <w:vAlign w:val="center"/>
          </w:tcPr>
          <w:p w14:paraId="1A088022">
            <w:pPr>
              <w:pStyle w:val="11"/>
            </w:pPr>
            <w:r>
              <w:t>绩效指标描述</w:t>
            </w:r>
          </w:p>
        </w:tc>
        <w:tc>
          <w:tcPr>
            <w:tcW w:w="2268" w:type="dxa"/>
            <w:vAlign w:val="center"/>
          </w:tcPr>
          <w:p w14:paraId="6081026A">
            <w:pPr>
              <w:pStyle w:val="11"/>
            </w:pPr>
            <w:r>
              <w:t>指标值</w:t>
            </w:r>
          </w:p>
        </w:tc>
        <w:tc>
          <w:tcPr>
            <w:tcW w:w="1276" w:type="dxa"/>
            <w:vAlign w:val="center"/>
          </w:tcPr>
          <w:p w14:paraId="01CD7243">
            <w:pPr>
              <w:pStyle w:val="11"/>
            </w:pPr>
            <w:r>
              <w:t>指标值确定依据</w:t>
            </w:r>
          </w:p>
        </w:tc>
      </w:tr>
      <w:tr w14:paraId="49452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AD37A">
            <w:pPr>
              <w:pStyle w:val="12"/>
            </w:pPr>
            <w:r>
              <w:t>产出指标</w:t>
            </w:r>
          </w:p>
        </w:tc>
        <w:tc>
          <w:tcPr>
            <w:tcW w:w="2268" w:type="dxa"/>
            <w:vAlign w:val="center"/>
          </w:tcPr>
          <w:p w14:paraId="0581B203">
            <w:pPr>
              <w:pStyle w:val="13"/>
            </w:pPr>
            <w:r>
              <w:t>数量指标</w:t>
            </w:r>
          </w:p>
        </w:tc>
        <w:tc>
          <w:tcPr>
            <w:tcW w:w="2835" w:type="dxa"/>
            <w:vAlign w:val="center"/>
          </w:tcPr>
          <w:p w14:paraId="7408BC24">
            <w:pPr>
              <w:pStyle w:val="13"/>
            </w:pPr>
            <w:r>
              <w:t>适龄在校生</w:t>
            </w:r>
          </w:p>
        </w:tc>
        <w:tc>
          <w:tcPr>
            <w:tcW w:w="5386" w:type="dxa"/>
            <w:vAlign w:val="center"/>
          </w:tcPr>
          <w:p w14:paraId="4204EC2A">
            <w:pPr>
              <w:pStyle w:val="13"/>
            </w:pPr>
            <w:r>
              <w:t>辖区内适龄儿童全覆盖</w:t>
            </w:r>
          </w:p>
        </w:tc>
        <w:tc>
          <w:tcPr>
            <w:tcW w:w="2268" w:type="dxa"/>
            <w:vAlign w:val="center"/>
          </w:tcPr>
          <w:p w14:paraId="610B6645">
            <w:pPr>
              <w:pStyle w:val="13"/>
            </w:pPr>
            <w:r>
              <w:t>88人</w:t>
            </w:r>
          </w:p>
        </w:tc>
        <w:tc>
          <w:tcPr>
            <w:tcW w:w="1276" w:type="dxa"/>
            <w:vAlign w:val="center"/>
          </w:tcPr>
          <w:p w14:paraId="1EFD8EF5">
            <w:pPr>
              <w:pStyle w:val="13"/>
            </w:pPr>
            <w:r>
              <w:t>幼儿园生均公用经费管理办法</w:t>
            </w:r>
          </w:p>
        </w:tc>
      </w:tr>
      <w:tr w14:paraId="797DA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B133E"/>
        </w:tc>
        <w:tc>
          <w:tcPr>
            <w:tcW w:w="2268" w:type="dxa"/>
            <w:vAlign w:val="center"/>
          </w:tcPr>
          <w:p w14:paraId="1A52B5FC">
            <w:pPr>
              <w:pStyle w:val="13"/>
            </w:pPr>
            <w:r>
              <w:t>质量指标</w:t>
            </w:r>
          </w:p>
        </w:tc>
        <w:tc>
          <w:tcPr>
            <w:tcW w:w="2835" w:type="dxa"/>
            <w:vAlign w:val="center"/>
          </w:tcPr>
          <w:p w14:paraId="4640A502">
            <w:pPr>
              <w:pStyle w:val="13"/>
            </w:pPr>
            <w:r>
              <w:t>预算控制率</w:t>
            </w:r>
          </w:p>
        </w:tc>
        <w:tc>
          <w:tcPr>
            <w:tcW w:w="5386" w:type="dxa"/>
            <w:vAlign w:val="center"/>
          </w:tcPr>
          <w:p w14:paraId="49793A64">
            <w:pPr>
              <w:pStyle w:val="13"/>
            </w:pPr>
            <w:r>
              <w:t>预算执行</w:t>
            </w:r>
          </w:p>
        </w:tc>
        <w:tc>
          <w:tcPr>
            <w:tcW w:w="2268" w:type="dxa"/>
            <w:vAlign w:val="center"/>
          </w:tcPr>
          <w:p w14:paraId="75F0CCE8">
            <w:pPr>
              <w:pStyle w:val="13"/>
            </w:pPr>
            <w:r>
              <w:t>≥95%</w:t>
            </w:r>
          </w:p>
        </w:tc>
        <w:tc>
          <w:tcPr>
            <w:tcW w:w="1276" w:type="dxa"/>
            <w:vAlign w:val="center"/>
          </w:tcPr>
          <w:p w14:paraId="48FA4F19">
            <w:pPr>
              <w:pStyle w:val="13"/>
            </w:pPr>
            <w:r>
              <w:t>幼儿园生均公用经费管理办法</w:t>
            </w:r>
          </w:p>
        </w:tc>
      </w:tr>
      <w:tr w14:paraId="0A4CA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72461"/>
        </w:tc>
        <w:tc>
          <w:tcPr>
            <w:tcW w:w="2268" w:type="dxa"/>
            <w:vAlign w:val="center"/>
          </w:tcPr>
          <w:p w14:paraId="7DC07A89">
            <w:pPr>
              <w:pStyle w:val="13"/>
            </w:pPr>
            <w:r>
              <w:t>时效指标</w:t>
            </w:r>
          </w:p>
        </w:tc>
        <w:tc>
          <w:tcPr>
            <w:tcW w:w="2835" w:type="dxa"/>
            <w:vAlign w:val="center"/>
          </w:tcPr>
          <w:p w14:paraId="26BBA3DC">
            <w:pPr>
              <w:pStyle w:val="13"/>
            </w:pPr>
            <w:r>
              <w:t>资金支付率</w:t>
            </w:r>
          </w:p>
        </w:tc>
        <w:tc>
          <w:tcPr>
            <w:tcW w:w="5386" w:type="dxa"/>
            <w:vAlign w:val="center"/>
          </w:tcPr>
          <w:p w14:paraId="2A60B983">
            <w:pPr>
              <w:pStyle w:val="13"/>
            </w:pPr>
            <w:r>
              <w:t>按照序时进度完成资金支付</w:t>
            </w:r>
          </w:p>
        </w:tc>
        <w:tc>
          <w:tcPr>
            <w:tcW w:w="2268" w:type="dxa"/>
            <w:vAlign w:val="center"/>
          </w:tcPr>
          <w:p w14:paraId="24F9A20F">
            <w:pPr>
              <w:pStyle w:val="13"/>
            </w:pPr>
            <w:r>
              <w:t>≥100%</w:t>
            </w:r>
          </w:p>
        </w:tc>
        <w:tc>
          <w:tcPr>
            <w:tcW w:w="1276" w:type="dxa"/>
            <w:vAlign w:val="center"/>
          </w:tcPr>
          <w:p w14:paraId="0A333E8F">
            <w:pPr>
              <w:pStyle w:val="13"/>
            </w:pPr>
            <w:r>
              <w:t>幼儿园生均公用经费管理办法</w:t>
            </w:r>
          </w:p>
        </w:tc>
      </w:tr>
      <w:tr w14:paraId="69213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A51DA"/>
        </w:tc>
        <w:tc>
          <w:tcPr>
            <w:tcW w:w="2268" w:type="dxa"/>
            <w:vAlign w:val="center"/>
          </w:tcPr>
          <w:p w14:paraId="687E0F30">
            <w:pPr>
              <w:pStyle w:val="13"/>
            </w:pPr>
            <w:r>
              <w:t>成本指标</w:t>
            </w:r>
          </w:p>
        </w:tc>
        <w:tc>
          <w:tcPr>
            <w:tcW w:w="2835" w:type="dxa"/>
            <w:vAlign w:val="center"/>
          </w:tcPr>
          <w:p w14:paraId="4DA5F34C">
            <w:pPr>
              <w:pStyle w:val="13"/>
            </w:pPr>
            <w:r>
              <w:t>生均拨款标准</w:t>
            </w:r>
          </w:p>
        </w:tc>
        <w:tc>
          <w:tcPr>
            <w:tcW w:w="5386" w:type="dxa"/>
            <w:vAlign w:val="center"/>
          </w:tcPr>
          <w:p w14:paraId="3B1CDEE3">
            <w:pPr>
              <w:pStyle w:val="13"/>
            </w:pPr>
            <w:r>
              <w:t>学前经费600元/生/年</w:t>
            </w:r>
          </w:p>
        </w:tc>
        <w:tc>
          <w:tcPr>
            <w:tcW w:w="2268" w:type="dxa"/>
            <w:vAlign w:val="center"/>
          </w:tcPr>
          <w:p w14:paraId="2B0283D6">
            <w:pPr>
              <w:pStyle w:val="13"/>
            </w:pPr>
            <w:r>
              <w:t>600元</w:t>
            </w:r>
          </w:p>
        </w:tc>
        <w:tc>
          <w:tcPr>
            <w:tcW w:w="1276" w:type="dxa"/>
            <w:vAlign w:val="center"/>
          </w:tcPr>
          <w:p w14:paraId="161ACC0C">
            <w:pPr>
              <w:pStyle w:val="13"/>
            </w:pPr>
            <w:r>
              <w:t>幼儿园生均公用经费管理办法</w:t>
            </w:r>
          </w:p>
        </w:tc>
      </w:tr>
      <w:tr w14:paraId="59BBE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ADD590">
            <w:pPr>
              <w:pStyle w:val="12"/>
            </w:pPr>
            <w:r>
              <w:t>效益指标</w:t>
            </w:r>
          </w:p>
        </w:tc>
        <w:tc>
          <w:tcPr>
            <w:tcW w:w="2268" w:type="dxa"/>
            <w:vAlign w:val="center"/>
          </w:tcPr>
          <w:p w14:paraId="2913406F">
            <w:pPr>
              <w:pStyle w:val="13"/>
            </w:pPr>
            <w:r>
              <w:t>可持续影响指标</w:t>
            </w:r>
          </w:p>
        </w:tc>
        <w:tc>
          <w:tcPr>
            <w:tcW w:w="2835" w:type="dxa"/>
            <w:vAlign w:val="center"/>
          </w:tcPr>
          <w:p w14:paraId="3AF19F23">
            <w:pPr>
              <w:pStyle w:val="13"/>
            </w:pPr>
            <w:r>
              <w:t>教育发展水平明显好转</w:t>
            </w:r>
          </w:p>
        </w:tc>
        <w:tc>
          <w:tcPr>
            <w:tcW w:w="5386" w:type="dxa"/>
            <w:vAlign w:val="center"/>
          </w:tcPr>
          <w:p w14:paraId="3630E35C">
            <w:pPr>
              <w:pStyle w:val="13"/>
            </w:pPr>
            <w:r>
              <w:t>学生受教育年限</w:t>
            </w:r>
          </w:p>
        </w:tc>
        <w:tc>
          <w:tcPr>
            <w:tcW w:w="2268" w:type="dxa"/>
            <w:vAlign w:val="center"/>
          </w:tcPr>
          <w:p w14:paraId="4F8007A6">
            <w:pPr>
              <w:pStyle w:val="13"/>
            </w:pPr>
            <w:r>
              <w:t>3年</w:t>
            </w:r>
          </w:p>
        </w:tc>
        <w:tc>
          <w:tcPr>
            <w:tcW w:w="1276" w:type="dxa"/>
            <w:vAlign w:val="center"/>
          </w:tcPr>
          <w:p w14:paraId="7DF82266">
            <w:pPr>
              <w:pStyle w:val="13"/>
            </w:pPr>
            <w:r>
              <w:t>幼儿园生均公用经费管理办法</w:t>
            </w:r>
          </w:p>
        </w:tc>
      </w:tr>
      <w:tr w14:paraId="517AD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7BE15C">
            <w:pPr>
              <w:pStyle w:val="12"/>
            </w:pPr>
            <w:r>
              <w:t>满意度指标</w:t>
            </w:r>
          </w:p>
        </w:tc>
        <w:tc>
          <w:tcPr>
            <w:tcW w:w="2268" w:type="dxa"/>
            <w:vAlign w:val="center"/>
          </w:tcPr>
          <w:p w14:paraId="3A756214">
            <w:pPr>
              <w:pStyle w:val="13"/>
            </w:pPr>
            <w:r>
              <w:t>服务对象满意度指标</w:t>
            </w:r>
          </w:p>
        </w:tc>
        <w:tc>
          <w:tcPr>
            <w:tcW w:w="2835" w:type="dxa"/>
            <w:vAlign w:val="center"/>
          </w:tcPr>
          <w:p w14:paraId="336D4D0B">
            <w:pPr>
              <w:pStyle w:val="13"/>
            </w:pPr>
            <w:r>
              <w:t>受益学生家长及调查满意度</w:t>
            </w:r>
          </w:p>
        </w:tc>
        <w:tc>
          <w:tcPr>
            <w:tcW w:w="5386" w:type="dxa"/>
            <w:vAlign w:val="center"/>
          </w:tcPr>
          <w:p w14:paraId="1209ECA6">
            <w:pPr>
              <w:pStyle w:val="13"/>
            </w:pPr>
            <w:r>
              <w:t>学生、教师及家长对学校保教保育工作满意度情况</w:t>
            </w:r>
          </w:p>
        </w:tc>
        <w:tc>
          <w:tcPr>
            <w:tcW w:w="2268" w:type="dxa"/>
            <w:vAlign w:val="center"/>
          </w:tcPr>
          <w:p w14:paraId="4FF2B8A7">
            <w:pPr>
              <w:pStyle w:val="13"/>
            </w:pPr>
            <w:r>
              <w:t>≥95%</w:t>
            </w:r>
          </w:p>
        </w:tc>
        <w:tc>
          <w:tcPr>
            <w:tcW w:w="1276" w:type="dxa"/>
            <w:vAlign w:val="center"/>
          </w:tcPr>
          <w:p w14:paraId="203481EA">
            <w:pPr>
              <w:pStyle w:val="13"/>
            </w:pPr>
            <w:r>
              <w:t>幼儿园生均公用经费管理办法</w:t>
            </w:r>
          </w:p>
        </w:tc>
      </w:tr>
    </w:tbl>
    <w:p w14:paraId="0EE3C2D0">
      <w:pPr>
        <w:sectPr>
          <w:pgSz w:w="16840" w:h="11900" w:orient="landscape"/>
          <w:pgMar w:top="1361" w:right="1020" w:bottom="1134" w:left="1020" w:header="720" w:footer="720" w:gutter="0"/>
          <w:cols w:space="720" w:num="1"/>
        </w:sectPr>
      </w:pPr>
    </w:p>
    <w:p w14:paraId="13B430E1">
      <w:pPr>
        <w:spacing w:before="0" w:after="0"/>
        <w:ind w:firstLine="560"/>
        <w:jc w:val="left"/>
        <w:outlineLvl w:val="9"/>
      </w:pPr>
      <w:r>
        <w:rPr>
          <w:rFonts w:ascii="方正仿宋_GBK" w:hAnsi="方正仿宋_GBK" w:eastAsia="方正仿宋_GBK" w:cs="方正仿宋_GBK"/>
          <w:b/>
          <w:color w:val="000000"/>
          <w:sz w:val="28"/>
        </w:rPr>
        <w:t>200、县级资金/隆尧县艺星幼儿园公用经费绩效目标表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2D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3897B">
            <w:pPr>
              <w:pStyle w:val="14"/>
            </w:pPr>
            <w:r>
              <w:t>单位：万元</w:t>
            </w:r>
          </w:p>
        </w:tc>
      </w:tr>
      <w:tr w14:paraId="451AF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C40BA5">
            <w:pPr>
              <w:pStyle w:val="11"/>
            </w:pPr>
            <w:r>
              <w:t>项目编码</w:t>
            </w:r>
          </w:p>
        </w:tc>
        <w:tc>
          <w:tcPr>
            <w:tcW w:w="5103" w:type="dxa"/>
            <w:gridSpan w:val="2"/>
            <w:vAlign w:val="center"/>
          </w:tcPr>
          <w:p w14:paraId="2EF935EA">
            <w:pPr>
              <w:pStyle w:val="13"/>
            </w:pPr>
            <w:r>
              <w:t>13052525P00875610049A</w:t>
            </w:r>
          </w:p>
        </w:tc>
        <w:tc>
          <w:tcPr>
            <w:tcW w:w="2835" w:type="dxa"/>
            <w:vAlign w:val="center"/>
          </w:tcPr>
          <w:p w14:paraId="052F87E7">
            <w:pPr>
              <w:pStyle w:val="11"/>
            </w:pPr>
            <w:r>
              <w:t>项目名称</w:t>
            </w:r>
          </w:p>
        </w:tc>
        <w:tc>
          <w:tcPr>
            <w:tcW w:w="6095" w:type="dxa"/>
            <w:gridSpan w:val="3"/>
            <w:vAlign w:val="center"/>
          </w:tcPr>
          <w:p w14:paraId="1350F035">
            <w:pPr>
              <w:pStyle w:val="13"/>
            </w:pPr>
            <w:r>
              <w:t>县级资金/隆尧县艺星幼儿园公用经费</w:t>
            </w:r>
          </w:p>
        </w:tc>
      </w:tr>
      <w:tr w14:paraId="1655F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FBA83">
            <w:pPr>
              <w:pStyle w:val="11"/>
            </w:pPr>
            <w:r>
              <w:t>预算规模及资金用途</w:t>
            </w:r>
          </w:p>
        </w:tc>
        <w:tc>
          <w:tcPr>
            <w:tcW w:w="2268" w:type="dxa"/>
            <w:vAlign w:val="center"/>
          </w:tcPr>
          <w:p w14:paraId="576FE3DE">
            <w:pPr>
              <w:pStyle w:val="11"/>
            </w:pPr>
            <w:r>
              <w:t>预算数</w:t>
            </w:r>
          </w:p>
        </w:tc>
        <w:tc>
          <w:tcPr>
            <w:tcW w:w="2835" w:type="dxa"/>
            <w:vAlign w:val="center"/>
          </w:tcPr>
          <w:p w14:paraId="561AA382">
            <w:pPr>
              <w:pStyle w:val="13"/>
            </w:pPr>
            <w:r>
              <w:t>10.08</w:t>
            </w:r>
          </w:p>
        </w:tc>
        <w:tc>
          <w:tcPr>
            <w:tcW w:w="2835" w:type="dxa"/>
            <w:vAlign w:val="center"/>
          </w:tcPr>
          <w:p w14:paraId="598585B9">
            <w:pPr>
              <w:pStyle w:val="11"/>
            </w:pPr>
            <w:r>
              <w:t>其中：财政    资金</w:t>
            </w:r>
          </w:p>
        </w:tc>
        <w:tc>
          <w:tcPr>
            <w:tcW w:w="2551" w:type="dxa"/>
            <w:vAlign w:val="center"/>
          </w:tcPr>
          <w:p w14:paraId="7392B01E">
            <w:pPr>
              <w:pStyle w:val="13"/>
            </w:pPr>
            <w:r>
              <w:t>10.08</w:t>
            </w:r>
          </w:p>
        </w:tc>
        <w:tc>
          <w:tcPr>
            <w:tcW w:w="2268" w:type="dxa"/>
            <w:vAlign w:val="center"/>
          </w:tcPr>
          <w:p w14:paraId="66152702">
            <w:pPr>
              <w:pStyle w:val="11"/>
            </w:pPr>
            <w:r>
              <w:t>其他资金</w:t>
            </w:r>
          </w:p>
        </w:tc>
        <w:tc>
          <w:tcPr>
            <w:tcW w:w="1276" w:type="dxa"/>
            <w:vAlign w:val="center"/>
          </w:tcPr>
          <w:p w14:paraId="68795F8C">
            <w:pPr>
              <w:pStyle w:val="13"/>
            </w:pPr>
            <w:r>
              <w:t xml:space="preserve"> </w:t>
            </w:r>
          </w:p>
        </w:tc>
      </w:tr>
      <w:tr w14:paraId="3FFCE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FD085"/>
        </w:tc>
        <w:tc>
          <w:tcPr>
            <w:tcW w:w="14033" w:type="dxa"/>
            <w:gridSpan w:val="6"/>
            <w:vAlign w:val="center"/>
          </w:tcPr>
          <w:p w14:paraId="3E9420B3">
            <w:pPr>
              <w:pStyle w:val="13"/>
            </w:pPr>
            <w:r>
              <w:t>按季度分批次拨付安排公用经费资金，学校按照预算安排进行资金使用，保证资金正常支出</w:t>
            </w:r>
          </w:p>
        </w:tc>
      </w:tr>
      <w:tr w14:paraId="5B3A8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97366">
            <w:pPr>
              <w:pStyle w:val="11"/>
            </w:pPr>
            <w:r>
              <w:t>资金支出计划（%）</w:t>
            </w:r>
          </w:p>
        </w:tc>
        <w:tc>
          <w:tcPr>
            <w:tcW w:w="5103" w:type="dxa"/>
            <w:gridSpan w:val="2"/>
            <w:vAlign w:val="center"/>
          </w:tcPr>
          <w:p w14:paraId="37E44734">
            <w:pPr>
              <w:pStyle w:val="11"/>
            </w:pPr>
            <w:r>
              <w:t>3月底</w:t>
            </w:r>
          </w:p>
        </w:tc>
        <w:tc>
          <w:tcPr>
            <w:tcW w:w="2835" w:type="dxa"/>
            <w:vAlign w:val="center"/>
          </w:tcPr>
          <w:p w14:paraId="4443B725">
            <w:pPr>
              <w:pStyle w:val="11"/>
            </w:pPr>
            <w:r>
              <w:t>6月底</w:t>
            </w:r>
          </w:p>
        </w:tc>
        <w:tc>
          <w:tcPr>
            <w:tcW w:w="2551" w:type="dxa"/>
            <w:vAlign w:val="center"/>
          </w:tcPr>
          <w:p w14:paraId="44042537">
            <w:pPr>
              <w:pStyle w:val="11"/>
            </w:pPr>
            <w:r>
              <w:t>10月底</w:t>
            </w:r>
          </w:p>
        </w:tc>
        <w:tc>
          <w:tcPr>
            <w:tcW w:w="3544" w:type="dxa"/>
            <w:gridSpan w:val="2"/>
            <w:vAlign w:val="center"/>
          </w:tcPr>
          <w:p w14:paraId="42854225">
            <w:pPr>
              <w:pStyle w:val="11"/>
            </w:pPr>
            <w:r>
              <w:t>12月底</w:t>
            </w:r>
          </w:p>
        </w:tc>
      </w:tr>
      <w:tr w14:paraId="48065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8A789"/>
        </w:tc>
        <w:tc>
          <w:tcPr>
            <w:tcW w:w="5103" w:type="dxa"/>
            <w:gridSpan w:val="2"/>
            <w:vAlign w:val="center"/>
          </w:tcPr>
          <w:p w14:paraId="10B8ED56">
            <w:pPr>
              <w:pStyle w:val="12"/>
            </w:pPr>
            <w:r>
              <w:t xml:space="preserve"> </w:t>
            </w:r>
          </w:p>
        </w:tc>
        <w:tc>
          <w:tcPr>
            <w:tcW w:w="2835" w:type="dxa"/>
            <w:vAlign w:val="center"/>
          </w:tcPr>
          <w:p w14:paraId="01F493EF">
            <w:pPr>
              <w:pStyle w:val="12"/>
            </w:pPr>
            <w:r>
              <w:t>50%</w:t>
            </w:r>
          </w:p>
        </w:tc>
        <w:tc>
          <w:tcPr>
            <w:tcW w:w="2551" w:type="dxa"/>
            <w:vAlign w:val="center"/>
          </w:tcPr>
          <w:p w14:paraId="388BC9B2">
            <w:pPr>
              <w:pStyle w:val="12"/>
            </w:pPr>
            <w:r>
              <w:t>75%</w:t>
            </w:r>
          </w:p>
        </w:tc>
        <w:tc>
          <w:tcPr>
            <w:tcW w:w="3544" w:type="dxa"/>
            <w:gridSpan w:val="2"/>
            <w:vAlign w:val="center"/>
          </w:tcPr>
          <w:p w14:paraId="30FBECE0">
            <w:pPr>
              <w:pStyle w:val="12"/>
            </w:pPr>
            <w:r>
              <w:t>100%</w:t>
            </w:r>
          </w:p>
        </w:tc>
      </w:tr>
      <w:tr w14:paraId="158E3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7C578B">
            <w:pPr>
              <w:pStyle w:val="11"/>
            </w:pPr>
            <w:r>
              <w:t>绩效目标</w:t>
            </w:r>
          </w:p>
        </w:tc>
        <w:tc>
          <w:tcPr>
            <w:tcW w:w="14033" w:type="dxa"/>
            <w:gridSpan w:val="6"/>
            <w:vAlign w:val="center"/>
          </w:tcPr>
          <w:p w14:paraId="18885B91">
            <w:pPr>
              <w:pStyle w:val="13"/>
            </w:pPr>
            <w:r>
              <w:t>1.按季度分批次拨付安排公用经费资金，学校按照预算安排进行资金使用，保证资金正常支出。</w:t>
            </w:r>
          </w:p>
        </w:tc>
      </w:tr>
    </w:tbl>
    <w:p w14:paraId="607907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F3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4A9FB">
            <w:pPr>
              <w:pStyle w:val="11"/>
            </w:pPr>
            <w:r>
              <w:t>一级指标</w:t>
            </w:r>
          </w:p>
        </w:tc>
        <w:tc>
          <w:tcPr>
            <w:tcW w:w="2268" w:type="dxa"/>
            <w:vAlign w:val="center"/>
          </w:tcPr>
          <w:p w14:paraId="764B4AC1">
            <w:pPr>
              <w:pStyle w:val="11"/>
            </w:pPr>
            <w:r>
              <w:t>二级指标</w:t>
            </w:r>
          </w:p>
        </w:tc>
        <w:tc>
          <w:tcPr>
            <w:tcW w:w="2835" w:type="dxa"/>
            <w:vAlign w:val="center"/>
          </w:tcPr>
          <w:p w14:paraId="4D7A4718">
            <w:pPr>
              <w:pStyle w:val="11"/>
            </w:pPr>
            <w:r>
              <w:t>三级指标</w:t>
            </w:r>
          </w:p>
        </w:tc>
        <w:tc>
          <w:tcPr>
            <w:tcW w:w="5386" w:type="dxa"/>
            <w:vAlign w:val="center"/>
          </w:tcPr>
          <w:p w14:paraId="481BD705">
            <w:pPr>
              <w:pStyle w:val="11"/>
            </w:pPr>
            <w:r>
              <w:t>绩效指标描述</w:t>
            </w:r>
          </w:p>
        </w:tc>
        <w:tc>
          <w:tcPr>
            <w:tcW w:w="2268" w:type="dxa"/>
            <w:vAlign w:val="center"/>
          </w:tcPr>
          <w:p w14:paraId="1EC7AC78">
            <w:pPr>
              <w:pStyle w:val="11"/>
            </w:pPr>
            <w:r>
              <w:t>指标值</w:t>
            </w:r>
          </w:p>
        </w:tc>
        <w:tc>
          <w:tcPr>
            <w:tcW w:w="1276" w:type="dxa"/>
            <w:vAlign w:val="center"/>
          </w:tcPr>
          <w:p w14:paraId="0982E23A">
            <w:pPr>
              <w:pStyle w:val="11"/>
            </w:pPr>
            <w:r>
              <w:t>指标值确定依据</w:t>
            </w:r>
          </w:p>
        </w:tc>
      </w:tr>
      <w:tr w14:paraId="5C763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1D52A">
            <w:pPr>
              <w:pStyle w:val="12"/>
            </w:pPr>
            <w:r>
              <w:t>产出指标</w:t>
            </w:r>
          </w:p>
        </w:tc>
        <w:tc>
          <w:tcPr>
            <w:tcW w:w="2268" w:type="dxa"/>
            <w:vAlign w:val="center"/>
          </w:tcPr>
          <w:p w14:paraId="60928DC2">
            <w:pPr>
              <w:pStyle w:val="13"/>
            </w:pPr>
            <w:r>
              <w:t>数量指标</w:t>
            </w:r>
          </w:p>
        </w:tc>
        <w:tc>
          <w:tcPr>
            <w:tcW w:w="2835" w:type="dxa"/>
            <w:vAlign w:val="center"/>
          </w:tcPr>
          <w:p w14:paraId="56760C9D">
            <w:pPr>
              <w:pStyle w:val="13"/>
            </w:pPr>
            <w:r>
              <w:t>适龄在校生</w:t>
            </w:r>
          </w:p>
        </w:tc>
        <w:tc>
          <w:tcPr>
            <w:tcW w:w="5386" w:type="dxa"/>
            <w:vAlign w:val="center"/>
          </w:tcPr>
          <w:p w14:paraId="080F9CC9">
            <w:pPr>
              <w:pStyle w:val="13"/>
            </w:pPr>
            <w:r>
              <w:t>辖区内适龄儿童全覆盖</w:t>
            </w:r>
          </w:p>
        </w:tc>
        <w:tc>
          <w:tcPr>
            <w:tcW w:w="2268" w:type="dxa"/>
            <w:vAlign w:val="center"/>
          </w:tcPr>
          <w:p w14:paraId="5C54A991">
            <w:pPr>
              <w:pStyle w:val="13"/>
            </w:pPr>
            <w:r>
              <w:t>224人</w:t>
            </w:r>
          </w:p>
        </w:tc>
        <w:tc>
          <w:tcPr>
            <w:tcW w:w="1276" w:type="dxa"/>
            <w:vAlign w:val="center"/>
          </w:tcPr>
          <w:p w14:paraId="69336212">
            <w:pPr>
              <w:pStyle w:val="13"/>
            </w:pPr>
            <w:r>
              <w:t>幼儿园生均公用经费管理办法</w:t>
            </w:r>
          </w:p>
        </w:tc>
      </w:tr>
      <w:tr w14:paraId="5091C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C03F3"/>
        </w:tc>
        <w:tc>
          <w:tcPr>
            <w:tcW w:w="2268" w:type="dxa"/>
            <w:vAlign w:val="center"/>
          </w:tcPr>
          <w:p w14:paraId="6CAE1F26">
            <w:pPr>
              <w:pStyle w:val="13"/>
            </w:pPr>
            <w:r>
              <w:t>质量指标</w:t>
            </w:r>
          </w:p>
        </w:tc>
        <w:tc>
          <w:tcPr>
            <w:tcW w:w="2835" w:type="dxa"/>
            <w:vAlign w:val="center"/>
          </w:tcPr>
          <w:p w14:paraId="164AEC1D">
            <w:pPr>
              <w:pStyle w:val="13"/>
            </w:pPr>
            <w:r>
              <w:t>预算控制率</w:t>
            </w:r>
          </w:p>
        </w:tc>
        <w:tc>
          <w:tcPr>
            <w:tcW w:w="5386" w:type="dxa"/>
            <w:vAlign w:val="center"/>
          </w:tcPr>
          <w:p w14:paraId="7EB684AA">
            <w:pPr>
              <w:pStyle w:val="13"/>
            </w:pPr>
            <w:r>
              <w:t>预算执行</w:t>
            </w:r>
          </w:p>
        </w:tc>
        <w:tc>
          <w:tcPr>
            <w:tcW w:w="2268" w:type="dxa"/>
            <w:vAlign w:val="center"/>
          </w:tcPr>
          <w:p w14:paraId="5AD35455">
            <w:pPr>
              <w:pStyle w:val="13"/>
            </w:pPr>
            <w:r>
              <w:t>≥95%</w:t>
            </w:r>
          </w:p>
        </w:tc>
        <w:tc>
          <w:tcPr>
            <w:tcW w:w="1276" w:type="dxa"/>
            <w:vAlign w:val="center"/>
          </w:tcPr>
          <w:p w14:paraId="79CF8F93">
            <w:pPr>
              <w:pStyle w:val="13"/>
            </w:pPr>
            <w:r>
              <w:t>幼儿园生均公用经费管理办法</w:t>
            </w:r>
          </w:p>
        </w:tc>
      </w:tr>
      <w:tr w14:paraId="15757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AACAA"/>
        </w:tc>
        <w:tc>
          <w:tcPr>
            <w:tcW w:w="2268" w:type="dxa"/>
            <w:vAlign w:val="center"/>
          </w:tcPr>
          <w:p w14:paraId="7560459D">
            <w:pPr>
              <w:pStyle w:val="13"/>
            </w:pPr>
            <w:r>
              <w:t>时效指标</w:t>
            </w:r>
          </w:p>
        </w:tc>
        <w:tc>
          <w:tcPr>
            <w:tcW w:w="2835" w:type="dxa"/>
            <w:vAlign w:val="center"/>
          </w:tcPr>
          <w:p w14:paraId="1B3F585E">
            <w:pPr>
              <w:pStyle w:val="13"/>
            </w:pPr>
            <w:r>
              <w:t>资金支付率</w:t>
            </w:r>
          </w:p>
        </w:tc>
        <w:tc>
          <w:tcPr>
            <w:tcW w:w="5386" w:type="dxa"/>
            <w:vAlign w:val="center"/>
          </w:tcPr>
          <w:p w14:paraId="3A3D5889">
            <w:pPr>
              <w:pStyle w:val="13"/>
            </w:pPr>
            <w:r>
              <w:t>按照序时进度完成资金支付</w:t>
            </w:r>
          </w:p>
        </w:tc>
        <w:tc>
          <w:tcPr>
            <w:tcW w:w="2268" w:type="dxa"/>
            <w:vAlign w:val="center"/>
          </w:tcPr>
          <w:p w14:paraId="4EE5C91A">
            <w:pPr>
              <w:pStyle w:val="13"/>
            </w:pPr>
            <w:r>
              <w:t>≥100%</w:t>
            </w:r>
          </w:p>
        </w:tc>
        <w:tc>
          <w:tcPr>
            <w:tcW w:w="1276" w:type="dxa"/>
            <w:vAlign w:val="center"/>
          </w:tcPr>
          <w:p w14:paraId="2289B63F">
            <w:pPr>
              <w:pStyle w:val="13"/>
            </w:pPr>
            <w:r>
              <w:t>幼儿园生均公用经费管理办法</w:t>
            </w:r>
          </w:p>
        </w:tc>
      </w:tr>
      <w:tr w14:paraId="05EF1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77254"/>
        </w:tc>
        <w:tc>
          <w:tcPr>
            <w:tcW w:w="2268" w:type="dxa"/>
            <w:vAlign w:val="center"/>
          </w:tcPr>
          <w:p w14:paraId="653F7FA1">
            <w:pPr>
              <w:pStyle w:val="13"/>
            </w:pPr>
            <w:r>
              <w:t>成本指标</w:t>
            </w:r>
          </w:p>
        </w:tc>
        <w:tc>
          <w:tcPr>
            <w:tcW w:w="2835" w:type="dxa"/>
            <w:vAlign w:val="center"/>
          </w:tcPr>
          <w:p w14:paraId="27D5CF4C">
            <w:pPr>
              <w:pStyle w:val="13"/>
            </w:pPr>
            <w:r>
              <w:t>生均拨款标准</w:t>
            </w:r>
          </w:p>
        </w:tc>
        <w:tc>
          <w:tcPr>
            <w:tcW w:w="5386" w:type="dxa"/>
            <w:vAlign w:val="center"/>
          </w:tcPr>
          <w:p w14:paraId="0D54B4DB">
            <w:pPr>
              <w:pStyle w:val="13"/>
            </w:pPr>
            <w:r>
              <w:t>学前经费600元/生/年</w:t>
            </w:r>
          </w:p>
        </w:tc>
        <w:tc>
          <w:tcPr>
            <w:tcW w:w="2268" w:type="dxa"/>
            <w:vAlign w:val="center"/>
          </w:tcPr>
          <w:p w14:paraId="0AB8172F">
            <w:pPr>
              <w:pStyle w:val="13"/>
            </w:pPr>
            <w:r>
              <w:t>600元</w:t>
            </w:r>
          </w:p>
        </w:tc>
        <w:tc>
          <w:tcPr>
            <w:tcW w:w="1276" w:type="dxa"/>
            <w:vAlign w:val="center"/>
          </w:tcPr>
          <w:p w14:paraId="624D5AC9">
            <w:pPr>
              <w:pStyle w:val="13"/>
            </w:pPr>
            <w:r>
              <w:t>幼儿园生均公用经费管理办法</w:t>
            </w:r>
          </w:p>
        </w:tc>
      </w:tr>
      <w:tr w14:paraId="165B7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CD6286">
            <w:pPr>
              <w:pStyle w:val="12"/>
            </w:pPr>
            <w:r>
              <w:t>效益指标</w:t>
            </w:r>
          </w:p>
        </w:tc>
        <w:tc>
          <w:tcPr>
            <w:tcW w:w="2268" w:type="dxa"/>
            <w:vAlign w:val="center"/>
          </w:tcPr>
          <w:p w14:paraId="54F04099">
            <w:pPr>
              <w:pStyle w:val="13"/>
            </w:pPr>
            <w:r>
              <w:t>可持续影响指标</w:t>
            </w:r>
          </w:p>
        </w:tc>
        <w:tc>
          <w:tcPr>
            <w:tcW w:w="2835" w:type="dxa"/>
            <w:vAlign w:val="center"/>
          </w:tcPr>
          <w:p w14:paraId="6BAC35C1">
            <w:pPr>
              <w:pStyle w:val="13"/>
            </w:pPr>
            <w:r>
              <w:t>教育发展水平明显好转</w:t>
            </w:r>
          </w:p>
        </w:tc>
        <w:tc>
          <w:tcPr>
            <w:tcW w:w="5386" w:type="dxa"/>
            <w:vAlign w:val="center"/>
          </w:tcPr>
          <w:p w14:paraId="7D99DEBF">
            <w:pPr>
              <w:pStyle w:val="13"/>
            </w:pPr>
            <w:r>
              <w:t>学生受教育年限</w:t>
            </w:r>
          </w:p>
        </w:tc>
        <w:tc>
          <w:tcPr>
            <w:tcW w:w="2268" w:type="dxa"/>
            <w:vAlign w:val="center"/>
          </w:tcPr>
          <w:p w14:paraId="5A970F3B">
            <w:pPr>
              <w:pStyle w:val="13"/>
            </w:pPr>
            <w:r>
              <w:t>3年</w:t>
            </w:r>
          </w:p>
        </w:tc>
        <w:tc>
          <w:tcPr>
            <w:tcW w:w="1276" w:type="dxa"/>
            <w:vAlign w:val="center"/>
          </w:tcPr>
          <w:p w14:paraId="334309B3">
            <w:pPr>
              <w:pStyle w:val="13"/>
            </w:pPr>
            <w:r>
              <w:t>幼儿园生均公用经费管理办法</w:t>
            </w:r>
          </w:p>
        </w:tc>
      </w:tr>
      <w:tr w14:paraId="393F1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6A7EDB">
            <w:pPr>
              <w:pStyle w:val="12"/>
            </w:pPr>
            <w:r>
              <w:t>满意度指标</w:t>
            </w:r>
          </w:p>
        </w:tc>
        <w:tc>
          <w:tcPr>
            <w:tcW w:w="2268" w:type="dxa"/>
            <w:vAlign w:val="center"/>
          </w:tcPr>
          <w:p w14:paraId="764A1D93">
            <w:pPr>
              <w:pStyle w:val="13"/>
            </w:pPr>
            <w:r>
              <w:t>服务对象满意度指标</w:t>
            </w:r>
          </w:p>
        </w:tc>
        <w:tc>
          <w:tcPr>
            <w:tcW w:w="2835" w:type="dxa"/>
            <w:vAlign w:val="center"/>
          </w:tcPr>
          <w:p w14:paraId="67898BA3">
            <w:pPr>
              <w:pStyle w:val="13"/>
            </w:pPr>
            <w:r>
              <w:t>受益学生家长及调查满意度</w:t>
            </w:r>
          </w:p>
        </w:tc>
        <w:tc>
          <w:tcPr>
            <w:tcW w:w="5386" w:type="dxa"/>
            <w:vAlign w:val="center"/>
          </w:tcPr>
          <w:p w14:paraId="0C53F67D">
            <w:pPr>
              <w:pStyle w:val="13"/>
            </w:pPr>
            <w:r>
              <w:t>学生、教师及家长对学校保教保育工作满意度情况</w:t>
            </w:r>
          </w:p>
        </w:tc>
        <w:tc>
          <w:tcPr>
            <w:tcW w:w="2268" w:type="dxa"/>
            <w:vAlign w:val="center"/>
          </w:tcPr>
          <w:p w14:paraId="0EADFFC8">
            <w:pPr>
              <w:pStyle w:val="13"/>
            </w:pPr>
            <w:r>
              <w:t>≥95%</w:t>
            </w:r>
          </w:p>
        </w:tc>
        <w:tc>
          <w:tcPr>
            <w:tcW w:w="1276" w:type="dxa"/>
            <w:vAlign w:val="center"/>
          </w:tcPr>
          <w:p w14:paraId="45E315A3">
            <w:pPr>
              <w:pStyle w:val="13"/>
            </w:pPr>
            <w:r>
              <w:t>调查问卷</w:t>
            </w:r>
          </w:p>
        </w:tc>
      </w:tr>
    </w:tbl>
    <w:p w14:paraId="7555F85F">
      <w:pPr>
        <w:sectPr>
          <w:pgSz w:w="16840" w:h="11900" w:orient="landscape"/>
          <w:pgMar w:top="1361" w:right="1020" w:bottom="1134" w:left="1020" w:header="720" w:footer="720" w:gutter="0"/>
          <w:cols w:space="720" w:num="1"/>
        </w:sectPr>
      </w:pPr>
    </w:p>
    <w:p w14:paraId="70F6E3A5">
      <w:pPr>
        <w:spacing w:before="0" w:after="0"/>
        <w:ind w:firstLine="560"/>
        <w:jc w:val="left"/>
        <w:outlineLvl w:val="9"/>
      </w:pPr>
      <w:r>
        <w:rPr>
          <w:rFonts w:ascii="方正仿宋_GBK" w:hAnsi="方正仿宋_GBK" w:eastAsia="方正仿宋_GBK" w:cs="方正仿宋_GBK"/>
          <w:b/>
          <w:color w:val="000000"/>
          <w:sz w:val="28"/>
        </w:rPr>
        <w:t>201、县级资金/隆尧县艺鑫幼儿园公用经费绩效目标表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55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1D213">
            <w:pPr>
              <w:pStyle w:val="14"/>
            </w:pPr>
            <w:r>
              <w:t>单位：万元</w:t>
            </w:r>
          </w:p>
        </w:tc>
      </w:tr>
      <w:tr w14:paraId="42F6E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249FB">
            <w:pPr>
              <w:pStyle w:val="11"/>
            </w:pPr>
            <w:r>
              <w:t>项目编码</w:t>
            </w:r>
          </w:p>
        </w:tc>
        <w:tc>
          <w:tcPr>
            <w:tcW w:w="5103" w:type="dxa"/>
            <w:gridSpan w:val="2"/>
            <w:vAlign w:val="center"/>
          </w:tcPr>
          <w:p w14:paraId="6F412123">
            <w:pPr>
              <w:pStyle w:val="13"/>
            </w:pPr>
            <w:r>
              <w:t>13052525P008756100544</w:t>
            </w:r>
          </w:p>
        </w:tc>
        <w:tc>
          <w:tcPr>
            <w:tcW w:w="2835" w:type="dxa"/>
            <w:vAlign w:val="center"/>
          </w:tcPr>
          <w:p w14:paraId="77769638">
            <w:pPr>
              <w:pStyle w:val="11"/>
            </w:pPr>
            <w:r>
              <w:t>项目名称</w:t>
            </w:r>
          </w:p>
        </w:tc>
        <w:tc>
          <w:tcPr>
            <w:tcW w:w="6095" w:type="dxa"/>
            <w:gridSpan w:val="3"/>
            <w:vAlign w:val="center"/>
          </w:tcPr>
          <w:p w14:paraId="50C25E9A">
            <w:pPr>
              <w:pStyle w:val="13"/>
            </w:pPr>
            <w:r>
              <w:t>县级资金/隆尧县艺鑫幼儿园公用经费</w:t>
            </w:r>
          </w:p>
        </w:tc>
      </w:tr>
      <w:tr w14:paraId="45C2D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34416">
            <w:pPr>
              <w:pStyle w:val="11"/>
            </w:pPr>
            <w:r>
              <w:t>预算规模及资金用途</w:t>
            </w:r>
          </w:p>
        </w:tc>
        <w:tc>
          <w:tcPr>
            <w:tcW w:w="2268" w:type="dxa"/>
            <w:vAlign w:val="center"/>
          </w:tcPr>
          <w:p w14:paraId="60C70F57">
            <w:pPr>
              <w:pStyle w:val="11"/>
            </w:pPr>
            <w:r>
              <w:t>预算数</w:t>
            </w:r>
          </w:p>
        </w:tc>
        <w:tc>
          <w:tcPr>
            <w:tcW w:w="2835" w:type="dxa"/>
            <w:vAlign w:val="center"/>
          </w:tcPr>
          <w:p w14:paraId="0B4D522D">
            <w:pPr>
              <w:pStyle w:val="13"/>
            </w:pPr>
            <w:r>
              <w:t>4.64</w:t>
            </w:r>
          </w:p>
        </w:tc>
        <w:tc>
          <w:tcPr>
            <w:tcW w:w="2835" w:type="dxa"/>
            <w:vAlign w:val="center"/>
          </w:tcPr>
          <w:p w14:paraId="4F34F574">
            <w:pPr>
              <w:pStyle w:val="11"/>
            </w:pPr>
            <w:r>
              <w:t>其中：财政    资金</w:t>
            </w:r>
          </w:p>
        </w:tc>
        <w:tc>
          <w:tcPr>
            <w:tcW w:w="2551" w:type="dxa"/>
            <w:vAlign w:val="center"/>
          </w:tcPr>
          <w:p w14:paraId="6FC7837A">
            <w:pPr>
              <w:pStyle w:val="13"/>
            </w:pPr>
            <w:r>
              <w:t>4.64</w:t>
            </w:r>
          </w:p>
        </w:tc>
        <w:tc>
          <w:tcPr>
            <w:tcW w:w="2268" w:type="dxa"/>
            <w:vAlign w:val="center"/>
          </w:tcPr>
          <w:p w14:paraId="11DB7255">
            <w:pPr>
              <w:pStyle w:val="11"/>
            </w:pPr>
            <w:r>
              <w:t>其他资金</w:t>
            </w:r>
          </w:p>
        </w:tc>
        <w:tc>
          <w:tcPr>
            <w:tcW w:w="1276" w:type="dxa"/>
            <w:vAlign w:val="center"/>
          </w:tcPr>
          <w:p w14:paraId="5328DEBB">
            <w:pPr>
              <w:pStyle w:val="13"/>
            </w:pPr>
            <w:r>
              <w:t xml:space="preserve"> </w:t>
            </w:r>
          </w:p>
        </w:tc>
      </w:tr>
      <w:tr w14:paraId="32FD5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FBCF3"/>
        </w:tc>
        <w:tc>
          <w:tcPr>
            <w:tcW w:w="14033" w:type="dxa"/>
            <w:gridSpan w:val="6"/>
            <w:vAlign w:val="center"/>
          </w:tcPr>
          <w:p w14:paraId="0D0AB65F">
            <w:pPr>
              <w:pStyle w:val="13"/>
            </w:pPr>
            <w:r>
              <w:t>按季度分批次拨付安排公用经费资金，学校按照预算安排进行资金使用，保证资金正常支出。</w:t>
            </w:r>
          </w:p>
        </w:tc>
      </w:tr>
      <w:tr w14:paraId="7386B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03DA3">
            <w:pPr>
              <w:pStyle w:val="11"/>
            </w:pPr>
            <w:r>
              <w:t>资金支出计划（%）</w:t>
            </w:r>
          </w:p>
        </w:tc>
        <w:tc>
          <w:tcPr>
            <w:tcW w:w="5103" w:type="dxa"/>
            <w:gridSpan w:val="2"/>
            <w:vAlign w:val="center"/>
          </w:tcPr>
          <w:p w14:paraId="08241B7F">
            <w:pPr>
              <w:pStyle w:val="11"/>
            </w:pPr>
            <w:r>
              <w:t>3月底</w:t>
            </w:r>
          </w:p>
        </w:tc>
        <w:tc>
          <w:tcPr>
            <w:tcW w:w="2835" w:type="dxa"/>
            <w:vAlign w:val="center"/>
          </w:tcPr>
          <w:p w14:paraId="40430DB3">
            <w:pPr>
              <w:pStyle w:val="11"/>
            </w:pPr>
            <w:r>
              <w:t>6月底</w:t>
            </w:r>
          </w:p>
        </w:tc>
        <w:tc>
          <w:tcPr>
            <w:tcW w:w="2551" w:type="dxa"/>
            <w:vAlign w:val="center"/>
          </w:tcPr>
          <w:p w14:paraId="1CD352F9">
            <w:pPr>
              <w:pStyle w:val="11"/>
            </w:pPr>
            <w:r>
              <w:t>10月底</w:t>
            </w:r>
          </w:p>
        </w:tc>
        <w:tc>
          <w:tcPr>
            <w:tcW w:w="3544" w:type="dxa"/>
            <w:gridSpan w:val="2"/>
            <w:vAlign w:val="center"/>
          </w:tcPr>
          <w:p w14:paraId="2FAD497C">
            <w:pPr>
              <w:pStyle w:val="11"/>
            </w:pPr>
            <w:r>
              <w:t>12月底</w:t>
            </w:r>
          </w:p>
        </w:tc>
      </w:tr>
      <w:tr w14:paraId="32F86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8045B2"/>
        </w:tc>
        <w:tc>
          <w:tcPr>
            <w:tcW w:w="5103" w:type="dxa"/>
            <w:gridSpan w:val="2"/>
            <w:vAlign w:val="center"/>
          </w:tcPr>
          <w:p w14:paraId="199CE287">
            <w:pPr>
              <w:pStyle w:val="12"/>
            </w:pPr>
            <w:r>
              <w:t xml:space="preserve"> </w:t>
            </w:r>
          </w:p>
        </w:tc>
        <w:tc>
          <w:tcPr>
            <w:tcW w:w="2835" w:type="dxa"/>
            <w:vAlign w:val="center"/>
          </w:tcPr>
          <w:p w14:paraId="78DD32B4">
            <w:pPr>
              <w:pStyle w:val="12"/>
            </w:pPr>
            <w:r>
              <w:t>50%</w:t>
            </w:r>
          </w:p>
        </w:tc>
        <w:tc>
          <w:tcPr>
            <w:tcW w:w="2551" w:type="dxa"/>
            <w:vAlign w:val="center"/>
          </w:tcPr>
          <w:p w14:paraId="442CFC9E">
            <w:pPr>
              <w:pStyle w:val="12"/>
            </w:pPr>
            <w:r>
              <w:t>75%</w:t>
            </w:r>
          </w:p>
        </w:tc>
        <w:tc>
          <w:tcPr>
            <w:tcW w:w="3544" w:type="dxa"/>
            <w:gridSpan w:val="2"/>
            <w:vAlign w:val="center"/>
          </w:tcPr>
          <w:p w14:paraId="3518883F">
            <w:pPr>
              <w:pStyle w:val="12"/>
            </w:pPr>
            <w:r>
              <w:t>100%</w:t>
            </w:r>
          </w:p>
        </w:tc>
      </w:tr>
      <w:tr w14:paraId="5F5FD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674C7">
            <w:pPr>
              <w:pStyle w:val="11"/>
            </w:pPr>
            <w:r>
              <w:t>绩效目标</w:t>
            </w:r>
          </w:p>
        </w:tc>
        <w:tc>
          <w:tcPr>
            <w:tcW w:w="14033" w:type="dxa"/>
            <w:gridSpan w:val="6"/>
            <w:vAlign w:val="center"/>
          </w:tcPr>
          <w:p w14:paraId="767A3F67">
            <w:pPr>
              <w:pStyle w:val="13"/>
            </w:pPr>
            <w:r>
              <w:t>1.按季度分批次拨付安排公用经费资金，学校按照预算安排进行资金使用，保证资金正常支出。</w:t>
            </w:r>
          </w:p>
        </w:tc>
      </w:tr>
    </w:tbl>
    <w:p w14:paraId="61F83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07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EADF0">
            <w:pPr>
              <w:pStyle w:val="11"/>
            </w:pPr>
            <w:r>
              <w:t>一级指标</w:t>
            </w:r>
          </w:p>
        </w:tc>
        <w:tc>
          <w:tcPr>
            <w:tcW w:w="2268" w:type="dxa"/>
            <w:vAlign w:val="center"/>
          </w:tcPr>
          <w:p w14:paraId="1E1F524B">
            <w:pPr>
              <w:pStyle w:val="11"/>
            </w:pPr>
            <w:r>
              <w:t>二级指标</w:t>
            </w:r>
          </w:p>
        </w:tc>
        <w:tc>
          <w:tcPr>
            <w:tcW w:w="2835" w:type="dxa"/>
            <w:vAlign w:val="center"/>
          </w:tcPr>
          <w:p w14:paraId="3B9F54E3">
            <w:pPr>
              <w:pStyle w:val="11"/>
            </w:pPr>
            <w:r>
              <w:t>三级指标</w:t>
            </w:r>
          </w:p>
        </w:tc>
        <w:tc>
          <w:tcPr>
            <w:tcW w:w="5386" w:type="dxa"/>
            <w:vAlign w:val="center"/>
          </w:tcPr>
          <w:p w14:paraId="785E4EAE">
            <w:pPr>
              <w:pStyle w:val="11"/>
            </w:pPr>
            <w:r>
              <w:t>绩效指标描述</w:t>
            </w:r>
          </w:p>
        </w:tc>
        <w:tc>
          <w:tcPr>
            <w:tcW w:w="2268" w:type="dxa"/>
            <w:vAlign w:val="center"/>
          </w:tcPr>
          <w:p w14:paraId="1754C6CC">
            <w:pPr>
              <w:pStyle w:val="11"/>
            </w:pPr>
            <w:r>
              <w:t>指标值</w:t>
            </w:r>
          </w:p>
        </w:tc>
        <w:tc>
          <w:tcPr>
            <w:tcW w:w="1276" w:type="dxa"/>
            <w:vAlign w:val="center"/>
          </w:tcPr>
          <w:p w14:paraId="1E2D9401">
            <w:pPr>
              <w:pStyle w:val="11"/>
            </w:pPr>
            <w:r>
              <w:t>指标值确定依据</w:t>
            </w:r>
          </w:p>
        </w:tc>
      </w:tr>
      <w:tr w14:paraId="53125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F9CDB">
            <w:pPr>
              <w:pStyle w:val="12"/>
            </w:pPr>
            <w:r>
              <w:t>产出指标</w:t>
            </w:r>
          </w:p>
        </w:tc>
        <w:tc>
          <w:tcPr>
            <w:tcW w:w="2268" w:type="dxa"/>
            <w:vAlign w:val="center"/>
          </w:tcPr>
          <w:p w14:paraId="256A0A33">
            <w:pPr>
              <w:pStyle w:val="13"/>
            </w:pPr>
            <w:r>
              <w:t>数量指标</w:t>
            </w:r>
          </w:p>
        </w:tc>
        <w:tc>
          <w:tcPr>
            <w:tcW w:w="2835" w:type="dxa"/>
            <w:vAlign w:val="center"/>
          </w:tcPr>
          <w:p w14:paraId="726DB328">
            <w:pPr>
              <w:pStyle w:val="13"/>
            </w:pPr>
            <w:r>
              <w:t>适龄在校生</w:t>
            </w:r>
          </w:p>
        </w:tc>
        <w:tc>
          <w:tcPr>
            <w:tcW w:w="5386" w:type="dxa"/>
            <w:vAlign w:val="center"/>
          </w:tcPr>
          <w:p w14:paraId="12B97D01">
            <w:pPr>
              <w:pStyle w:val="13"/>
            </w:pPr>
            <w:r>
              <w:t>辖区内适龄儿童全覆盖</w:t>
            </w:r>
          </w:p>
        </w:tc>
        <w:tc>
          <w:tcPr>
            <w:tcW w:w="2268" w:type="dxa"/>
            <w:vAlign w:val="center"/>
          </w:tcPr>
          <w:p w14:paraId="34D68F63">
            <w:pPr>
              <w:pStyle w:val="13"/>
            </w:pPr>
            <w:r>
              <w:t>103人</w:t>
            </w:r>
          </w:p>
        </w:tc>
        <w:tc>
          <w:tcPr>
            <w:tcW w:w="1276" w:type="dxa"/>
            <w:vAlign w:val="center"/>
          </w:tcPr>
          <w:p w14:paraId="68DA6BF9">
            <w:pPr>
              <w:pStyle w:val="13"/>
            </w:pPr>
            <w:r>
              <w:t>幼儿园生均公用经费管理办法</w:t>
            </w:r>
          </w:p>
        </w:tc>
      </w:tr>
      <w:tr w14:paraId="15B56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1D379"/>
        </w:tc>
        <w:tc>
          <w:tcPr>
            <w:tcW w:w="2268" w:type="dxa"/>
            <w:vAlign w:val="center"/>
          </w:tcPr>
          <w:p w14:paraId="2A48E814">
            <w:pPr>
              <w:pStyle w:val="13"/>
            </w:pPr>
            <w:r>
              <w:t>质量指标</w:t>
            </w:r>
          </w:p>
        </w:tc>
        <w:tc>
          <w:tcPr>
            <w:tcW w:w="2835" w:type="dxa"/>
            <w:vAlign w:val="center"/>
          </w:tcPr>
          <w:p w14:paraId="6EA50C67">
            <w:pPr>
              <w:pStyle w:val="13"/>
            </w:pPr>
            <w:r>
              <w:t>预算控制率</w:t>
            </w:r>
          </w:p>
        </w:tc>
        <w:tc>
          <w:tcPr>
            <w:tcW w:w="5386" w:type="dxa"/>
            <w:vAlign w:val="center"/>
          </w:tcPr>
          <w:p w14:paraId="53C7E3F0">
            <w:pPr>
              <w:pStyle w:val="13"/>
            </w:pPr>
            <w:r>
              <w:t>预算执行</w:t>
            </w:r>
          </w:p>
        </w:tc>
        <w:tc>
          <w:tcPr>
            <w:tcW w:w="2268" w:type="dxa"/>
            <w:vAlign w:val="center"/>
          </w:tcPr>
          <w:p w14:paraId="227CAB47">
            <w:pPr>
              <w:pStyle w:val="13"/>
            </w:pPr>
            <w:r>
              <w:t>≥95%</w:t>
            </w:r>
          </w:p>
        </w:tc>
        <w:tc>
          <w:tcPr>
            <w:tcW w:w="1276" w:type="dxa"/>
            <w:vAlign w:val="center"/>
          </w:tcPr>
          <w:p w14:paraId="48C2A4A4">
            <w:pPr>
              <w:pStyle w:val="13"/>
            </w:pPr>
            <w:r>
              <w:t>幼儿园生均公用经费管理办法</w:t>
            </w:r>
          </w:p>
        </w:tc>
      </w:tr>
      <w:tr w14:paraId="6B386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359B7"/>
        </w:tc>
        <w:tc>
          <w:tcPr>
            <w:tcW w:w="2268" w:type="dxa"/>
            <w:vAlign w:val="center"/>
          </w:tcPr>
          <w:p w14:paraId="2FBA828F">
            <w:pPr>
              <w:pStyle w:val="13"/>
            </w:pPr>
            <w:r>
              <w:t>时效指标</w:t>
            </w:r>
          </w:p>
        </w:tc>
        <w:tc>
          <w:tcPr>
            <w:tcW w:w="2835" w:type="dxa"/>
            <w:vAlign w:val="center"/>
          </w:tcPr>
          <w:p w14:paraId="193EB7AA">
            <w:pPr>
              <w:pStyle w:val="13"/>
            </w:pPr>
            <w:r>
              <w:t>资金支付率</w:t>
            </w:r>
          </w:p>
        </w:tc>
        <w:tc>
          <w:tcPr>
            <w:tcW w:w="5386" w:type="dxa"/>
            <w:vAlign w:val="center"/>
          </w:tcPr>
          <w:p w14:paraId="20FA2F8F">
            <w:pPr>
              <w:pStyle w:val="13"/>
            </w:pPr>
            <w:r>
              <w:t>按照序时进度完成资金支付</w:t>
            </w:r>
          </w:p>
        </w:tc>
        <w:tc>
          <w:tcPr>
            <w:tcW w:w="2268" w:type="dxa"/>
            <w:vAlign w:val="center"/>
          </w:tcPr>
          <w:p w14:paraId="407C9DB9">
            <w:pPr>
              <w:pStyle w:val="13"/>
            </w:pPr>
            <w:r>
              <w:t>≥100%</w:t>
            </w:r>
          </w:p>
        </w:tc>
        <w:tc>
          <w:tcPr>
            <w:tcW w:w="1276" w:type="dxa"/>
            <w:vAlign w:val="center"/>
          </w:tcPr>
          <w:p w14:paraId="1A58ACB9">
            <w:pPr>
              <w:pStyle w:val="13"/>
            </w:pPr>
            <w:r>
              <w:t>幼儿园生均公用经费管理办法</w:t>
            </w:r>
          </w:p>
        </w:tc>
      </w:tr>
      <w:tr w14:paraId="3C162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5D029"/>
        </w:tc>
        <w:tc>
          <w:tcPr>
            <w:tcW w:w="2268" w:type="dxa"/>
            <w:vAlign w:val="center"/>
          </w:tcPr>
          <w:p w14:paraId="4269F745">
            <w:pPr>
              <w:pStyle w:val="13"/>
            </w:pPr>
            <w:r>
              <w:t>成本指标</w:t>
            </w:r>
          </w:p>
        </w:tc>
        <w:tc>
          <w:tcPr>
            <w:tcW w:w="2835" w:type="dxa"/>
            <w:vAlign w:val="center"/>
          </w:tcPr>
          <w:p w14:paraId="6C384B14">
            <w:pPr>
              <w:pStyle w:val="13"/>
            </w:pPr>
            <w:r>
              <w:t>生均拨款标准</w:t>
            </w:r>
          </w:p>
        </w:tc>
        <w:tc>
          <w:tcPr>
            <w:tcW w:w="5386" w:type="dxa"/>
            <w:vAlign w:val="center"/>
          </w:tcPr>
          <w:p w14:paraId="773BAFC3">
            <w:pPr>
              <w:pStyle w:val="13"/>
            </w:pPr>
            <w:r>
              <w:t>学前经费600元/生/年</w:t>
            </w:r>
          </w:p>
        </w:tc>
        <w:tc>
          <w:tcPr>
            <w:tcW w:w="2268" w:type="dxa"/>
            <w:vAlign w:val="center"/>
          </w:tcPr>
          <w:p w14:paraId="1823B131">
            <w:pPr>
              <w:pStyle w:val="13"/>
            </w:pPr>
            <w:r>
              <w:t>600元</w:t>
            </w:r>
          </w:p>
        </w:tc>
        <w:tc>
          <w:tcPr>
            <w:tcW w:w="1276" w:type="dxa"/>
            <w:vAlign w:val="center"/>
          </w:tcPr>
          <w:p w14:paraId="3AFB7793">
            <w:pPr>
              <w:pStyle w:val="13"/>
            </w:pPr>
            <w:r>
              <w:t>幼儿园生均公用经费管理办法</w:t>
            </w:r>
          </w:p>
        </w:tc>
      </w:tr>
      <w:tr w14:paraId="73215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D754F1">
            <w:pPr>
              <w:pStyle w:val="12"/>
            </w:pPr>
            <w:r>
              <w:t>效益指标</w:t>
            </w:r>
          </w:p>
        </w:tc>
        <w:tc>
          <w:tcPr>
            <w:tcW w:w="2268" w:type="dxa"/>
            <w:vAlign w:val="center"/>
          </w:tcPr>
          <w:p w14:paraId="5DC9EBC5">
            <w:pPr>
              <w:pStyle w:val="13"/>
            </w:pPr>
            <w:r>
              <w:t>可持续影响指标</w:t>
            </w:r>
          </w:p>
        </w:tc>
        <w:tc>
          <w:tcPr>
            <w:tcW w:w="2835" w:type="dxa"/>
            <w:vAlign w:val="center"/>
          </w:tcPr>
          <w:p w14:paraId="5627096B">
            <w:pPr>
              <w:pStyle w:val="13"/>
            </w:pPr>
            <w:r>
              <w:t>教育发展水平明显好转</w:t>
            </w:r>
          </w:p>
        </w:tc>
        <w:tc>
          <w:tcPr>
            <w:tcW w:w="5386" w:type="dxa"/>
            <w:vAlign w:val="center"/>
          </w:tcPr>
          <w:p w14:paraId="4608F056">
            <w:pPr>
              <w:pStyle w:val="13"/>
            </w:pPr>
            <w:r>
              <w:t>学生受教育年限</w:t>
            </w:r>
          </w:p>
        </w:tc>
        <w:tc>
          <w:tcPr>
            <w:tcW w:w="2268" w:type="dxa"/>
            <w:vAlign w:val="center"/>
          </w:tcPr>
          <w:p w14:paraId="09C913F2">
            <w:pPr>
              <w:pStyle w:val="13"/>
            </w:pPr>
            <w:r>
              <w:t>3年</w:t>
            </w:r>
          </w:p>
        </w:tc>
        <w:tc>
          <w:tcPr>
            <w:tcW w:w="1276" w:type="dxa"/>
            <w:vAlign w:val="center"/>
          </w:tcPr>
          <w:p w14:paraId="50389AFE">
            <w:pPr>
              <w:pStyle w:val="13"/>
            </w:pPr>
            <w:r>
              <w:t>幼儿园生均公用经费管理办法</w:t>
            </w:r>
          </w:p>
        </w:tc>
      </w:tr>
      <w:tr w14:paraId="30BDA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765857">
            <w:pPr>
              <w:pStyle w:val="12"/>
            </w:pPr>
            <w:r>
              <w:t>满意度指标</w:t>
            </w:r>
          </w:p>
        </w:tc>
        <w:tc>
          <w:tcPr>
            <w:tcW w:w="2268" w:type="dxa"/>
            <w:vAlign w:val="center"/>
          </w:tcPr>
          <w:p w14:paraId="767552CD">
            <w:pPr>
              <w:pStyle w:val="13"/>
            </w:pPr>
            <w:r>
              <w:t>服务对象满意度指标</w:t>
            </w:r>
          </w:p>
        </w:tc>
        <w:tc>
          <w:tcPr>
            <w:tcW w:w="2835" w:type="dxa"/>
            <w:vAlign w:val="center"/>
          </w:tcPr>
          <w:p w14:paraId="75DB276C">
            <w:pPr>
              <w:pStyle w:val="13"/>
            </w:pPr>
            <w:r>
              <w:t>受益学生家长及调查满意度</w:t>
            </w:r>
          </w:p>
        </w:tc>
        <w:tc>
          <w:tcPr>
            <w:tcW w:w="5386" w:type="dxa"/>
            <w:vAlign w:val="center"/>
          </w:tcPr>
          <w:p w14:paraId="2BD9A195">
            <w:pPr>
              <w:pStyle w:val="13"/>
            </w:pPr>
            <w:r>
              <w:t>学生、教师及家长对学校保教保育工作满意度情况</w:t>
            </w:r>
          </w:p>
        </w:tc>
        <w:tc>
          <w:tcPr>
            <w:tcW w:w="2268" w:type="dxa"/>
            <w:vAlign w:val="center"/>
          </w:tcPr>
          <w:p w14:paraId="06B37D60">
            <w:pPr>
              <w:pStyle w:val="13"/>
            </w:pPr>
            <w:r>
              <w:t>≥95%</w:t>
            </w:r>
          </w:p>
        </w:tc>
        <w:tc>
          <w:tcPr>
            <w:tcW w:w="1276" w:type="dxa"/>
            <w:vAlign w:val="center"/>
          </w:tcPr>
          <w:p w14:paraId="01E49310">
            <w:pPr>
              <w:pStyle w:val="13"/>
            </w:pPr>
            <w:r>
              <w:t>调查问卷</w:t>
            </w:r>
          </w:p>
        </w:tc>
      </w:tr>
    </w:tbl>
    <w:p w14:paraId="5EBE2964">
      <w:pPr>
        <w:sectPr>
          <w:pgSz w:w="16840" w:h="11900" w:orient="landscape"/>
          <w:pgMar w:top="1361" w:right="1020" w:bottom="1134" w:left="1020" w:header="720" w:footer="720" w:gutter="0"/>
          <w:cols w:space="720" w:num="1"/>
        </w:sectPr>
      </w:pPr>
    </w:p>
    <w:p w14:paraId="2986C385">
      <w:pPr>
        <w:spacing w:before="0" w:after="0"/>
        <w:ind w:firstLine="560"/>
        <w:jc w:val="left"/>
        <w:outlineLvl w:val="9"/>
      </w:pPr>
      <w:r>
        <w:rPr>
          <w:rFonts w:ascii="方正仿宋_GBK" w:hAnsi="方正仿宋_GBK" w:eastAsia="方正仿宋_GBK" w:cs="方正仿宋_GBK"/>
          <w:b/>
          <w:color w:val="000000"/>
          <w:sz w:val="28"/>
        </w:rPr>
        <w:t>202、县级资金/隆尧县育苗幼儿园公用经费绩效目标表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1B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78C42">
            <w:pPr>
              <w:pStyle w:val="14"/>
            </w:pPr>
            <w:r>
              <w:t>单位：万元</w:t>
            </w:r>
          </w:p>
        </w:tc>
      </w:tr>
      <w:tr w14:paraId="731D7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D2BBE">
            <w:pPr>
              <w:pStyle w:val="11"/>
            </w:pPr>
            <w:r>
              <w:t>项目编码</w:t>
            </w:r>
          </w:p>
        </w:tc>
        <w:tc>
          <w:tcPr>
            <w:tcW w:w="5103" w:type="dxa"/>
            <w:gridSpan w:val="2"/>
            <w:vAlign w:val="center"/>
          </w:tcPr>
          <w:p w14:paraId="7CB6279B">
            <w:pPr>
              <w:pStyle w:val="13"/>
            </w:pPr>
            <w:r>
              <w:t>13052525P00875610074U</w:t>
            </w:r>
          </w:p>
        </w:tc>
        <w:tc>
          <w:tcPr>
            <w:tcW w:w="2835" w:type="dxa"/>
            <w:vAlign w:val="center"/>
          </w:tcPr>
          <w:p w14:paraId="57FCB421">
            <w:pPr>
              <w:pStyle w:val="11"/>
            </w:pPr>
            <w:r>
              <w:t>项目名称</w:t>
            </w:r>
          </w:p>
        </w:tc>
        <w:tc>
          <w:tcPr>
            <w:tcW w:w="6095" w:type="dxa"/>
            <w:gridSpan w:val="3"/>
            <w:vAlign w:val="center"/>
          </w:tcPr>
          <w:p w14:paraId="7BC8A228">
            <w:pPr>
              <w:pStyle w:val="13"/>
            </w:pPr>
            <w:r>
              <w:t>县级资金/隆尧县育苗幼儿园公用经费</w:t>
            </w:r>
          </w:p>
        </w:tc>
      </w:tr>
      <w:tr w14:paraId="43807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59471754">
            <w:pPr>
              <w:pStyle w:val="11"/>
            </w:pPr>
            <w:r>
              <w:t>预算规模及资金用途</w:t>
            </w:r>
          </w:p>
        </w:tc>
        <w:tc>
          <w:tcPr>
            <w:tcW w:w="2268" w:type="dxa"/>
            <w:vAlign w:val="center"/>
          </w:tcPr>
          <w:p w14:paraId="47C14667">
            <w:pPr>
              <w:pStyle w:val="11"/>
            </w:pPr>
            <w:r>
              <w:t>预算数</w:t>
            </w:r>
          </w:p>
        </w:tc>
        <w:tc>
          <w:tcPr>
            <w:tcW w:w="2835" w:type="dxa"/>
            <w:vAlign w:val="center"/>
          </w:tcPr>
          <w:p w14:paraId="2487C0A4">
            <w:pPr>
              <w:pStyle w:val="13"/>
            </w:pPr>
            <w:r>
              <w:t>1.89</w:t>
            </w:r>
          </w:p>
        </w:tc>
        <w:tc>
          <w:tcPr>
            <w:tcW w:w="2835" w:type="dxa"/>
            <w:vAlign w:val="center"/>
          </w:tcPr>
          <w:p w14:paraId="687B4F6D">
            <w:pPr>
              <w:pStyle w:val="11"/>
            </w:pPr>
            <w:r>
              <w:t>其中：财政    资金</w:t>
            </w:r>
          </w:p>
        </w:tc>
        <w:tc>
          <w:tcPr>
            <w:tcW w:w="2551" w:type="dxa"/>
            <w:vAlign w:val="center"/>
          </w:tcPr>
          <w:p w14:paraId="004973DC">
            <w:pPr>
              <w:pStyle w:val="13"/>
            </w:pPr>
            <w:r>
              <w:t>1.89</w:t>
            </w:r>
          </w:p>
        </w:tc>
        <w:tc>
          <w:tcPr>
            <w:tcW w:w="2268" w:type="dxa"/>
            <w:vAlign w:val="center"/>
          </w:tcPr>
          <w:p w14:paraId="142DE0D7">
            <w:pPr>
              <w:pStyle w:val="11"/>
            </w:pPr>
            <w:r>
              <w:t>其他资金</w:t>
            </w:r>
          </w:p>
        </w:tc>
        <w:tc>
          <w:tcPr>
            <w:tcW w:w="1276" w:type="dxa"/>
            <w:vAlign w:val="center"/>
          </w:tcPr>
          <w:p w14:paraId="47C15234">
            <w:pPr>
              <w:pStyle w:val="13"/>
            </w:pPr>
            <w:r>
              <w:t xml:space="preserve"> </w:t>
            </w:r>
          </w:p>
        </w:tc>
      </w:tr>
      <w:tr w14:paraId="523E7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409E03C7"/>
        </w:tc>
        <w:tc>
          <w:tcPr>
            <w:tcW w:w="14033" w:type="dxa"/>
            <w:gridSpan w:val="6"/>
            <w:vAlign w:val="center"/>
          </w:tcPr>
          <w:p w14:paraId="2455DAD8">
            <w:pPr>
              <w:pStyle w:val="13"/>
            </w:pPr>
            <w:r>
              <w:t>按季度分批次拨付安排公用经费资金，学校按照预算安排进行资金使用，保证资金正常支出。</w:t>
            </w:r>
          </w:p>
        </w:tc>
      </w:tr>
      <w:tr w14:paraId="692C7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5A228">
            <w:pPr>
              <w:pStyle w:val="11"/>
            </w:pPr>
            <w:r>
              <w:t>资金支出计划（%）</w:t>
            </w:r>
          </w:p>
        </w:tc>
        <w:tc>
          <w:tcPr>
            <w:tcW w:w="5103" w:type="dxa"/>
            <w:gridSpan w:val="2"/>
            <w:vAlign w:val="center"/>
          </w:tcPr>
          <w:p w14:paraId="428AB2D4">
            <w:pPr>
              <w:pStyle w:val="11"/>
            </w:pPr>
            <w:r>
              <w:t>3月底</w:t>
            </w:r>
          </w:p>
        </w:tc>
        <w:tc>
          <w:tcPr>
            <w:tcW w:w="2835" w:type="dxa"/>
            <w:vAlign w:val="center"/>
          </w:tcPr>
          <w:p w14:paraId="1AB27BBF">
            <w:pPr>
              <w:pStyle w:val="11"/>
            </w:pPr>
            <w:r>
              <w:t>6月底</w:t>
            </w:r>
          </w:p>
        </w:tc>
        <w:tc>
          <w:tcPr>
            <w:tcW w:w="2551" w:type="dxa"/>
            <w:vAlign w:val="center"/>
          </w:tcPr>
          <w:p w14:paraId="570D6160">
            <w:pPr>
              <w:pStyle w:val="11"/>
            </w:pPr>
            <w:r>
              <w:t>10月底</w:t>
            </w:r>
          </w:p>
        </w:tc>
        <w:tc>
          <w:tcPr>
            <w:tcW w:w="3544" w:type="dxa"/>
            <w:gridSpan w:val="2"/>
            <w:vAlign w:val="center"/>
          </w:tcPr>
          <w:p w14:paraId="437DA6E4">
            <w:pPr>
              <w:pStyle w:val="11"/>
            </w:pPr>
            <w:r>
              <w:t>12月底</w:t>
            </w:r>
          </w:p>
        </w:tc>
      </w:tr>
      <w:tr w14:paraId="6558D6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4AE20"/>
        </w:tc>
        <w:tc>
          <w:tcPr>
            <w:tcW w:w="5103" w:type="dxa"/>
            <w:gridSpan w:val="2"/>
            <w:vAlign w:val="center"/>
          </w:tcPr>
          <w:p w14:paraId="566CC831">
            <w:pPr>
              <w:pStyle w:val="12"/>
            </w:pPr>
            <w:r>
              <w:t xml:space="preserve"> </w:t>
            </w:r>
          </w:p>
        </w:tc>
        <w:tc>
          <w:tcPr>
            <w:tcW w:w="2835" w:type="dxa"/>
            <w:vAlign w:val="center"/>
          </w:tcPr>
          <w:p w14:paraId="2F4D4608">
            <w:pPr>
              <w:pStyle w:val="12"/>
            </w:pPr>
            <w:r>
              <w:t>50%</w:t>
            </w:r>
          </w:p>
        </w:tc>
        <w:tc>
          <w:tcPr>
            <w:tcW w:w="2551" w:type="dxa"/>
            <w:vAlign w:val="center"/>
          </w:tcPr>
          <w:p w14:paraId="14F02C39">
            <w:pPr>
              <w:pStyle w:val="12"/>
            </w:pPr>
            <w:r>
              <w:t>75%</w:t>
            </w:r>
          </w:p>
        </w:tc>
        <w:tc>
          <w:tcPr>
            <w:tcW w:w="3544" w:type="dxa"/>
            <w:gridSpan w:val="2"/>
            <w:vAlign w:val="center"/>
          </w:tcPr>
          <w:p w14:paraId="1A6E7AB5">
            <w:pPr>
              <w:pStyle w:val="12"/>
            </w:pPr>
            <w:r>
              <w:t>100%</w:t>
            </w:r>
          </w:p>
        </w:tc>
      </w:tr>
      <w:tr w14:paraId="126FF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D2419">
            <w:pPr>
              <w:pStyle w:val="11"/>
            </w:pPr>
            <w:r>
              <w:t>绩效目标</w:t>
            </w:r>
          </w:p>
        </w:tc>
        <w:tc>
          <w:tcPr>
            <w:tcW w:w="14033" w:type="dxa"/>
            <w:gridSpan w:val="6"/>
            <w:vAlign w:val="center"/>
          </w:tcPr>
          <w:p w14:paraId="1F1A1347">
            <w:pPr>
              <w:pStyle w:val="13"/>
            </w:pPr>
            <w:r>
              <w:t>1.按季度分批次拨付安排公用经费资金，学校按照预算安排进行资金使用，保证资金正常支出。</w:t>
            </w:r>
          </w:p>
        </w:tc>
      </w:tr>
    </w:tbl>
    <w:p w14:paraId="0ECFF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1D1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E3A097">
            <w:pPr>
              <w:pStyle w:val="11"/>
            </w:pPr>
            <w:r>
              <w:t>一级指标</w:t>
            </w:r>
          </w:p>
        </w:tc>
        <w:tc>
          <w:tcPr>
            <w:tcW w:w="2268" w:type="dxa"/>
            <w:vAlign w:val="center"/>
          </w:tcPr>
          <w:p w14:paraId="7048AEA8">
            <w:pPr>
              <w:pStyle w:val="11"/>
            </w:pPr>
            <w:r>
              <w:t>二级指标</w:t>
            </w:r>
          </w:p>
        </w:tc>
        <w:tc>
          <w:tcPr>
            <w:tcW w:w="2835" w:type="dxa"/>
            <w:vAlign w:val="center"/>
          </w:tcPr>
          <w:p w14:paraId="471579C1">
            <w:pPr>
              <w:pStyle w:val="11"/>
            </w:pPr>
            <w:r>
              <w:t>三级指标</w:t>
            </w:r>
          </w:p>
        </w:tc>
        <w:tc>
          <w:tcPr>
            <w:tcW w:w="5386" w:type="dxa"/>
            <w:vAlign w:val="center"/>
          </w:tcPr>
          <w:p w14:paraId="392D1B0B">
            <w:pPr>
              <w:pStyle w:val="11"/>
            </w:pPr>
            <w:r>
              <w:t>绩效指标描述</w:t>
            </w:r>
          </w:p>
        </w:tc>
        <w:tc>
          <w:tcPr>
            <w:tcW w:w="2268" w:type="dxa"/>
            <w:vAlign w:val="center"/>
          </w:tcPr>
          <w:p w14:paraId="76D82F3D">
            <w:pPr>
              <w:pStyle w:val="11"/>
            </w:pPr>
            <w:r>
              <w:t>指标值</w:t>
            </w:r>
          </w:p>
        </w:tc>
        <w:tc>
          <w:tcPr>
            <w:tcW w:w="1276" w:type="dxa"/>
            <w:vAlign w:val="center"/>
          </w:tcPr>
          <w:p w14:paraId="1433A4D1">
            <w:pPr>
              <w:pStyle w:val="11"/>
            </w:pPr>
            <w:r>
              <w:t>指标值确定依据</w:t>
            </w:r>
          </w:p>
        </w:tc>
      </w:tr>
      <w:tr w14:paraId="0F04C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F64B8">
            <w:pPr>
              <w:pStyle w:val="12"/>
            </w:pPr>
            <w:r>
              <w:t>产出指标</w:t>
            </w:r>
          </w:p>
        </w:tc>
        <w:tc>
          <w:tcPr>
            <w:tcW w:w="2268" w:type="dxa"/>
            <w:vAlign w:val="center"/>
          </w:tcPr>
          <w:p w14:paraId="50C6171A">
            <w:pPr>
              <w:pStyle w:val="13"/>
            </w:pPr>
            <w:r>
              <w:t>数量指标</w:t>
            </w:r>
          </w:p>
        </w:tc>
        <w:tc>
          <w:tcPr>
            <w:tcW w:w="2835" w:type="dxa"/>
            <w:vAlign w:val="center"/>
          </w:tcPr>
          <w:p w14:paraId="029D2701">
            <w:pPr>
              <w:pStyle w:val="13"/>
            </w:pPr>
            <w:r>
              <w:t>适龄在校生</w:t>
            </w:r>
          </w:p>
        </w:tc>
        <w:tc>
          <w:tcPr>
            <w:tcW w:w="5386" w:type="dxa"/>
            <w:vAlign w:val="center"/>
          </w:tcPr>
          <w:p w14:paraId="2762436E">
            <w:pPr>
              <w:pStyle w:val="13"/>
            </w:pPr>
            <w:r>
              <w:t>辖区内适龄儿童全覆盖</w:t>
            </w:r>
          </w:p>
        </w:tc>
        <w:tc>
          <w:tcPr>
            <w:tcW w:w="2268" w:type="dxa"/>
            <w:vAlign w:val="center"/>
          </w:tcPr>
          <w:p w14:paraId="3DFEA6B1">
            <w:pPr>
              <w:pStyle w:val="13"/>
            </w:pPr>
            <w:r>
              <w:t>42人</w:t>
            </w:r>
          </w:p>
        </w:tc>
        <w:tc>
          <w:tcPr>
            <w:tcW w:w="1276" w:type="dxa"/>
            <w:vAlign w:val="center"/>
          </w:tcPr>
          <w:p w14:paraId="5166586E">
            <w:pPr>
              <w:pStyle w:val="13"/>
            </w:pPr>
            <w:r>
              <w:t>幼儿园生均公用经费管理办法</w:t>
            </w:r>
          </w:p>
        </w:tc>
      </w:tr>
      <w:tr w14:paraId="3EA78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97CB4"/>
        </w:tc>
        <w:tc>
          <w:tcPr>
            <w:tcW w:w="2268" w:type="dxa"/>
            <w:vAlign w:val="center"/>
          </w:tcPr>
          <w:p w14:paraId="3EABF95B">
            <w:pPr>
              <w:pStyle w:val="13"/>
            </w:pPr>
            <w:r>
              <w:t>质量指标</w:t>
            </w:r>
          </w:p>
        </w:tc>
        <w:tc>
          <w:tcPr>
            <w:tcW w:w="2835" w:type="dxa"/>
            <w:vAlign w:val="center"/>
          </w:tcPr>
          <w:p w14:paraId="4F63FDAD">
            <w:pPr>
              <w:pStyle w:val="13"/>
            </w:pPr>
            <w:r>
              <w:t>预算控制率</w:t>
            </w:r>
          </w:p>
        </w:tc>
        <w:tc>
          <w:tcPr>
            <w:tcW w:w="5386" w:type="dxa"/>
            <w:vAlign w:val="center"/>
          </w:tcPr>
          <w:p w14:paraId="6648DBD7">
            <w:pPr>
              <w:pStyle w:val="13"/>
            </w:pPr>
            <w:r>
              <w:t>预算执行</w:t>
            </w:r>
          </w:p>
        </w:tc>
        <w:tc>
          <w:tcPr>
            <w:tcW w:w="2268" w:type="dxa"/>
            <w:vAlign w:val="center"/>
          </w:tcPr>
          <w:p w14:paraId="38F10976">
            <w:pPr>
              <w:pStyle w:val="13"/>
            </w:pPr>
            <w:r>
              <w:t>≥95%</w:t>
            </w:r>
          </w:p>
        </w:tc>
        <w:tc>
          <w:tcPr>
            <w:tcW w:w="1276" w:type="dxa"/>
            <w:vAlign w:val="center"/>
          </w:tcPr>
          <w:p w14:paraId="77A98976">
            <w:pPr>
              <w:pStyle w:val="13"/>
            </w:pPr>
            <w:r>
              <w:t>幼儿园生均公用经费管理办法</w:t>
            </w:r>
          </w:p>
        </w:tc>
      </w:tr>
      <w:tr w14:paraId="3B8F7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64CC8"/>
        </w:tc>
        <w:tc>
          <w:tcPr>
            <w:tcW w:w="2268" w:type="dxa"/>
            <w:vAlign w:val="center"/>
          </w:tcPr>
          <w:p w14:paraId="37A00B85">
            <w:pPr>
              <w:pStyle w:val="13"/>
            </w:pPr>
            <w:r>
              <w:t>时效指标</w:t>
            </w:r>
          </w:p>
        </w:tc>
        <w:tc>
          <w:tcPr>
            <w:tcW w:w="2835" w:type="dxa"/>
            <w:vAlign w:val="center"/>
          </w:tcPr>
          <w:p w14:paraId="3CE69FFD">
            <w:pPr>
              <w:pStyle w:val="13"/>
            </w:pPr>
            <w:r>
              <w:t>资金支付率</w:t>
            </w:r>
          </w:p>
        </w:tc>
        <w:tc>
          <w:tcPr>
            <w:tcW w:w="5386" w:type="dxa"/>
            <w:vAlign w:val="center"/>
          </w:tcPr>
          <w:p w14:paraId="646EF367">
            <w:pPr>
              <w:pStyle w:val="13"/>
            </w:pPr>
            <w:r>
              <w:t>按照序时进度完成资金支付</w:t>
            </w:r>
          </w:p>
        </w:tc>
        <w:tc>
          <w:tcPr>
            <w:tcW w:w="2268" w:type="dxa"/>
            <w:vAlign w:val="center"/>
          </w:tcPr>
          <w:p w14:paraId="38DE6719">
            <w:pPr>
              <w:pStyle w:val="13"/>
            </w:pPr>
            <w:r>
              <w:t>≥100%</w:t>
            </w:r>
          </w:p>
        </w:tc>
        <w:tc>
          <w:tcPr>
            <w:tcW w:w="1276" w:type="dxa"/>
            <w:vAlign w:val="center"/>
          </w:tcPr>
          <w:p w14:paraId="024DB34D">
            <w:pPr>
              <w:pStyle w:val="13"/>
            </w:pPr>
            <w:r>
              <w:t>幼儿园生均公用经费管理办法</w:t>
            </w:r>
          </w:p>
        </w:tc>
      </w:tr>
      <w:tr w14:paraId="175F1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B6BB5"/>
        </w:tc>
        <w:tc>
          <w:tcPr>
            <w:tcW w:w="2268" w:type="dxa"/>
            <w:vAlign w:val="center"/>
          </w:tcPr>
          <w:p w14:paraId="0399FE53">
            <w:pPr>
              <w:pStyle w:val="13"/>
            </w:pPr>
            <w:r>
              <w:t>成本指标</w:t>
            </w:r>
          </w:p>
        </w:tc>
        <w:tc>
          <w:tcPr>
            <w:tcW w:w="2835" w:type="dxa"/>
            <w:vAlign w:val="center"/>
          </w:tcPr>
          <w:p w14:paraId="133A942D">
            <w:pPr>
              <w:pStyle w:val="13"/>
            </w:pPr>
            <w:r>
              <w:t>生均拨款标准</w:t>
            </w:r>
          </w:p>
        </w:tc>
        <w:tc>
          <w:tcPr>
            <w:tcW w:w="5386" w:type="dxa"/>
            <w:vAlign w:val="center"/>
          </w:tcPr>
          <w:p w14:paraId="0691314E">
            <w:pPr>
              <w:pStyle w:val="13"/>
            </w:pPr>
            <w:r>
              <w:t>学前经费600元/生/年</w:t>
            </w:r>
          </w:p>
        </w:tc>
        <w:tc>
          <w:tcPr>
            <w:tcW w:w="2268" w:type="dxa"/>
            <w:vAlign w:val="center"/>
          </w:tcPr>
          <w:p w14:paraId="4FBE6514">
            <w:pPr>
              <w:pStyle w:val="13"/>
            </w:pPr>
            <w:r>
              <w:t>600元</w:t>
            </w:r>
          </w:p>
        </w:tc>
        <w:tc>
          <w:tcPr>
            <w:tcW w:w="1276" w:type="dxa"/>
            <w:vAlign w:val="center"/>
          </w:tcPr>
          <w:p w14:paraId="067C3A69">
            <w:pPr>
              <w:pStyle w:val="13"/>
            </w:pPr>
            <w:r>
              <w:t>幼儿园生均公用经费管理办法</w:t>
            </w:r>
          </w:p>
        </w:tc>
      </w:tr>
      <w:tr w14:paraId="3ACD4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AEB51">
            <w:pPr>
              <w:pStyle w:val="12"/>
            </w:pPr>
            <w:r>
              <w:t>效益指标</w:t>
            </w:r>
          </w:p>
        </w:tc>
        <w:tc>
          <w:tcPr>
            <w:tcW w:w="2268" w:type="dxa"/>
            <w:vAlign w:val="center"/>
          </w:tcPr>
          <w:p w14:paraId="4236D63B">
            <w:pPr>
              <w:pStyle w:val="13"/>
            </w:pPr>
            <w:r>
              <w:t>可持续影响指标</w:t>
            </w:r>
          </w:p>
        </w:tc>
        <w:tc>
          <w:tcPr>
            <w:tcW w:w="2835" w:type="dxa"/>
            <w:vAlign w:val="center"/>
          </w:tcPr>
          <w:p w14:paraId="731481D2">
            <w:pPr>
              <w:pStyle w:val="13"/>
            </w:pPr>
            <w:r>
              <w:t>教育发展水平明显好转</w:t>
            </w:r>
          </w:p>
        </w:tc>
        <w:tc>
          <w:tcPr>
            <w:tcW w:w="5386" w:type="dxa"/>
            <w:vAlign w:val="center"/>
          </w:tcPr>
          <w:p w14:paraId="17EAA0E5">
            <w:pPr>
              <w:pStyle w:val="13"/>
            </w:pPr>
            <w:r>
              <w:t>学生受教育年限</w:t>
            </w:r>
          </w:p>
        </w:tc>
        <w:tc>
          <w:tcPr>
            <w:tcW w:w="2268" w:type="dxa"/>
            <w:vAlign w:val="center"/>
          </w:tcPr>
          <w:p w14:paraId="794FC3B0">
            <w:pPr>
              <w:pStyle w:val="13"/>
            </w:pPr>
            <w:r>
              <w:t>3年</w:t>
            </w:r>
          </w:p>
        </w:tc>
        <w:tc>
          <w:tcPr>
            <w:tcW w:w="1276" w:type="dxa"/>
            <w:vAlign w:val="center"/>
          </w:tcPr>
          <w:p w14:paraId="544ADB2D">
            <w:pPr>
              <w:pStyle w:val="13"/>
            </w:pPr>
            <w:r>
              <w:t>幼儿园生均公用经费管理办法</w:t>
            </w:r>
          </w:p>
        </w:tc>
      </w:tr>
      <w:tr w14:paraId="42E00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5B05ACA6">
            <w:pPr>
              <w:pStyle w:val="12"/>
            </w:pPr>
            <w:r>
              <w:t>满意度指标</w:t>
            </w:r>
          </w:p>
        </w:tc>
        <w:tc>
          <w:tcPr>
            <w:tcW w:w="2268" w:type="dxa"/>
            <w:vAlign w:val="center"/>
          </w:tcPr>
          <w:p w14:paraId="6FE2ABE7">
            <w:pPr>
              <w:pStyle w:val="13"/>
            </w:pPr>
            <w:r>
              <w:t>服务对象满意度指标</w:t>
            </w:r>
          </w:p>
        </w:tc>
        <w:tc>
          <w:tcPr>
            <w:tcW w:w="2835" w:type="dxa"/>
            <w:vAlign w:val="center"/>
          </w:tcPr>
          <w:p w14:paraId="5BE87651">
            <w:pPr>
              <w:pStyle w:val="13"/>
            </w:pPr>
            <w:r>
              <w:t>受益学生家长及调查满意度</w:t>
            </w:r>
          </w:p>
        </w:tc>
        <w:tc>
          <w:tcPr>
            <w:tcW w:w="5386" w:type="dxa"/>
            <w:vAlign w:val="center"/>
          </w:tcPr>
          <w:p w14:paraId="3E02C8FC">
            <w:pPr>
              <w:pStyle w:val="13"/>
            </w:pPr>
            <w:r>
              <w:t>学生、教师及家长对学校保教保育工作满意度情况</w:t>
            </w:r>
          </w:p>
        </w:tc>
        <w:tc>
          <w:tcPr>
            <w:tcW w:w="2268" w:type="dxa"/>
            <w:vAlign w:val="center"/>
          </w:tcPr>
          <w:p w14:paraId="2CC56BF4">
            <w:pPr>
              <w:pStyle w:val="13"/>
            </w:pPr>
            <w:r>
              <w:t>≥95%</w:t>
            </w:r>
          </w:p>
        </w:tc>
        <w:tc>
          <w:tcPr>
            <w:tcW w:w="1276" w:type="dxa"/>
            <w:vAlign w:val="center"/>
          </w:tcPr>
          <w:p w14:paraId="4433A223">
            <w:pPr>
              <w:pStyle w:val="13"/>
            </w:pPr>
            <w:r>
              <w:t>调查问卷</w:t>
            </w:r>
          </w:p>
        </w:tc>
      </w:tr>
    </w:tbl>
    <w:p w14:paraId="3F26EA5C">
      <w:pPr>
        <w:sectPr>
          <w:pgSz w:w="16840" w:h="11900" w:orient="landscape"/>
          <w:pgMar w:top="1361" w:right="1020" w:bottom="1134" w:left="1020" w:header="720" w:footer="720" w:gutter="0"/>
          <w:cols w:space="720" w:num="1"/>
        </w:sectPr>
      </w:pPr>
    </w:p>
    <w:p w14:paraId="60F559C1">
      <w:pPr>
        <w:spacing w:before="0" w:after="0"/>
        <w:ind w:firstLine="560"/>
        <w:jc w:val="left"/>
        <w:outlineLvl w:val="9"/>
      </w:pPr>
      <w:r>
        <w:rPr>
          <w:rFonts w:ascii="方正仿宋_GBK" w:hAnsi="方正仿宋_GBK" w:eastAsia="方正仿宋_GBK" w:cs="方正仿宋_GBK"/>
          <w:b/>
          <w:color w:val="000000"/>
          <w:sz w:val="28"/>
        </w:rPr>
        <w:t>203、县级资金/隆尧县紫荆幼儿园公用经费绩效目标表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AF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A8146">
            <w:pPr>
              <w:pStyle w:val="14"/>
            </w:pPr>
            <w:r>
              <w:t>单位：万元</w:t>
            </w:r>
          </w:p>
        </w:tc>
      </w:tr>
      <w:tr w14:paraId="109CE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37549F">
            <w:pPr>
              <w:pStyle w:val="11"/>
            </w:pPr>
            <w:r>
              <w:t>项目编码</w:t>
            </w:r>
          </w:p>
        </w:tc>
        <w:tc>
          <w:tcPr>
            <w:tcW w:w="5103" w:type="dxa"/>
            <w:gridSpan w:val="2"/>
            <w:vAlign w:val="center"/>
          </w:tcPr>
          <w:p w14:paraId="4A38A267">
            <w:pPr>
              <w:pStyle w:val="13"/>
            </w:pPr>
            <w:r>
              <w:t>13052525P00875610077N</w:t>
            </w:r>
          </w:p>
        </w:tc>
        <w:tc>
          <w:tcPr>
            <w:tcW w:w="2835" w:type="dxa"/>
            <w:vAlign w:val="center"/>
          </w:tcPr>
          <w:p w14:paraId="0053B979">
            <w:pPr>
              <w:pStyle w:val="11"/>
            </w:pPr>
            <w:r>
              <w:t>项目名称</w:t>
            </w:r>
          </w:p>
        </w:tc>
        <w:tc>
          <w:tcPr>
            <w:tcW w:w="6095" w:type="dxa"/>
            <w:gridSpan w:val="3"/>
            <w:vAlign w:val="center"/>
          </w:tcPr>
          <w:p w14:paraId="37FB7F68">
            <w:pPr>
              <w:pStyle w:val="13"/>
            </w:pPr>
            <w:r>
              <w:t>县级资金/隆尧县紫荆幼儿园公用经费</w:t>
            </w:r>
          </w:p>
        </w:tc>
      </w:tr>
      <w:tr w14:paraId="7C9B1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B60D5">
            <w:pPr>
              <w:pStyle w:val="11"/>
            </w:pPr>
            <w:r>
              <w:t>预算规模及资金用途</w:t>
            </w:r>
          </w:p>
        </w:tc>
        <w:tc>
          <w:tcPr>
            <w:tcW w:w="2268" w:type="dxa"/>
            <w:vAlign w:val="center"/>
          </w:tcPr>
          <w:p w14:paraId="2EC3A3C4">
            <w:pPr>
              <w:pStyle w:val="11"/>
            </w:pPr>
            <w:r>
              <w:t>预算数</w:t>
            </w:r>
          </w:p>
        </w:tc>
        <w:tc>
          <w:tcPr>
            <w:tcW w:w="2835" w:type="dxa"/>
            <w:vAlign w:val="center"/>
          </w:tcPr>
          <w:p w14:paraId="36630BE9">
            <w:pPr>
              <w:pStyle w:val="13"/>
            </w:pPr>
            <w:r>
              <w:t>1.13</w:t>
            </w:r>
          </w:p>
        </w:tc>
        <w:tc>
          <w:tcPr>
            <w:tcW w:w="2835" w:type="dxa"/>
            <w:vAlign w:val="center"/>
          </w:tcPr>
          <w:p w14:paraId="409FAEE8">
            <w:pPr>
              <w:pStyle w:val="11"/>
            </w:pPr>
            <w:r>
              <w:t>其中：财政    资金</w:t>
            </w:r>
          </w:p>
        </w:tc>
        <w:tc>
          <w:tcPr>
            <w:tcW w:w="2551" w:type="dxa"/>
            <w:vAlign w:val="center"/>
          </w:tcPr>
          <w:p w14:paraId="4FBDDDE3">
            <w:pPr>
              <w:pStyle w:val="13"/>
            </w:pPr>
            <w:r>
              <w:t>1.13</w:t>
            </w:r>
          </w:p>
        </w:tc>
        <w:tc>
          <w:tcPr>
            <w:tcW w:w="2268" w:type="dxa"/>
            <w:vAlign w:val="center"/>
          </w:tcPr>
          <w:p w14:paraId="7132EC75">
            <w:pPr>
              <w:pStyle w:val="11"/>
            </w:pPr>
            <w:r>
              <w:t>其他资金</w:t>
            </w:r>
          </w:p>
        </w:tc>
        <w:tc>
          <w:tcPr>
            <w:tcW w:w="1276" w:type="dxa"/>
            <w:vAlign w:val="center"/>
          </w:tcPr>
          <w:p w14:paraId="15644D36">
            <w:pPr>
              <w:pStyle w:val="13"/>
            </w:pPr>
            <w:r>
              <w:t xml:space="preserve"> </w:t>
            </w:r>
          </w:p>
        </w:tc>
      </w:tr>
      <w:tr w14:paraId="6B229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389AB"/>
        </w:tc>
        <w:tc>
          <w:tcPr>
            <w:tcW w:w="14033" w:type="dxa"/>
            <w:gridSpan w:val="6"/>
            <w:vAlign w:val="center"/>
          </w:tcPr>
          <w:p w14:paraId="667CAAA0">
            <w:pPr>
              <w:pStyle w:val="13"/>
            </w:pPr>
            <w:r>
              <w:t>按季度分批次拨付安排公用经费资金，学校按照预算安排进行资金使用，保证资金正常支出。</w:t>
            </w:r>
          </w:p>
        </w:tc>
      </w:tr>
      <w:tr w14:paraId="239B8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B5F6E">
            <w:pPr>
              <w:pStyle w:val="11"/>
            </w:pPr>
            <w:r>
              <w:t>资金支出计划（%）</w:t>
            </w:r>
          </w:p>
        </w:tc>
        <w:tc>
          <w:tcPr>
            <w:tcW w:w="5103" w:type="dxa"/>
            <w:gridSpan w:val="2"/>
            <w:vAlign w:val="center"/>
          </w:tcPr>
          <w:p w14:paraId="4E10ADD9">
            <w:pPr>
              <w:pStyle w:val="11"/>
            </w:pPr>
            <w:r>
              <w:t>3月底</w:t>
            </w:r>
          </w:p>
        </w:tc>
        <w:tc>
          <w:tcPr>
            <w:tcW w:w="2835" w:type="dxa"/>
            <w:vAlign w:val="center"/>
          </w:tcPr>
          <w:p w14:paraId="7DF23498">
            <w:pPr>
              <w:pStyle w:val="11"/>
            </w:pPr>
            <w:r>
              <w:t>6月底</w:t>
            </w:r>
          </w:p>
        </w:tc>
        <w:tc>
          <w:tcPr>
            <w:tcW w:w="2551" w:type="dxa"/>
            <w:vAlign w:val="center"/>
          </w:tcPr>
          <w:p w14:paraId="1214ACC7">
            <w:pPr>
              <w:pStyle w:val="11"/>
            </w:pPr>
            <w:r>
              <w:t>10月底</w:t>
            </w:r>
          </w:p>
        </w:tc>
        <w:tc>
          <w:tcPr>
            <w:tcW w:w="3544" w:type="dxa"/>
            <w:gridSpan w:val="2"/>
            <w:vAlign w:val="center"/>
          </w:tcPr>
          <w:p w14:paraId="7C48E8D1">
            <w:pPr>
              <w:pStyle w:val="11"/>
            </w:pPr>
            <w:r>
              <w:t>12月底</w:t>
            </w:r>
          </w:p>
        </w:tc>
      </w:tr>
      <w:tr w14:paraId="2A7BE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C935C"/>
        </w:tc>
        <w:tc>
          <w:tcPr>
            <w:tcW w:w="5103" w:type="dxa"/>
            <w:gridSpan w:val="2"/>
            <w:vAlign w:val="center"/>
          </w:tcPr>
          <w:p w14:paraId="30D4FF04">
            <w:pPr>
              <w:pStyle w:val="12"/>
            </w:pPr>
            <w:r>
              <w:t xml:space="preserve"> </w:t>
            </w:r>
          </w:p>
        </w:tc>
        <w:tc>
          <w:tcPr>
            <w:tcW w:w="2835" w:type="dxa"/>
            <w:vAlign w:val="center"/>
          </w:tcPr>
          <w:p w14:paraId="1753E8BC">
            <w:pPr>
              <w:pStyle w:val="12"/>
            </w:pPr>
            <w:r>
              <w:t>50%</w:t>
            </w:r>
          </w:p>
        </w:tc>
        <w:tc>
          <w:tcPr>
            <w:tcW w:w="2551" w:type="dxa"/>
            <w:vAlign w:val="center"/>
          </w:tcPr>
          <w:p w14:paraId="7EC1D5FB">
            <w:pPr>
              <w:pStyle w:val="12"/>
            </w:pPr>
            <w:r>
              <w:t>75%</w:t>
            </w:r>
          </w:p>
        </w:tc>
        <w:tc>
          <w:tcPr>
            <w:tcW w:w="3544" w:type="dxa"/>
            <w:gridSpan w:val="2"/>
            <w:vAlign w:val="center"/>
          </w:tcPr>
          <w:p w14:paraId="022C5C1A">
            <w:pPr>
              <w:pStyle w:val="12"/>
            </w:pPr>
            <w:r>
              <w:t>100%</w:t>
            </w:r>
          </w:p>
        </w:tc>
      </w:tr>
      <w:tr w14:paraId="7018C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8F2E1">
            <w:pPr>
              <w:pStyle w:val="11"/>
            </w:pPr>
            <w:r>
              <w:t>绩效目标</w:t>
            </w:r>
          </w:p>
        </w:tc>
        <w:tc>
          <w:tcPr>
            <w:tcW w:w="14033" w:type="dxa"/>
            <w:gridSpan w:val="6"/>
            <w:vAlign w:val="center"/>
          </w:tcPr>
          <w:p w14:paraId="07AD7A7D">
            <w:pPr>
              <w:pStyle w:val="13"/>
            </w:pPr>
            <w:r>
              <w:t>1.按季度分批次拨付安排公用经费资金，学校按照预算安排进行资金使用，保证资金正常支出。</w:t>
            </w:r>
          </w:p>
        </w:tc>
      </w:tr>
    </w:tbl>
    <w:p w14:paraId="4FDD5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4F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7A4A7">
            <w:pPr>
              <w:pStyle w:val="11"/>
            </w:pPr>
            <w:r>
              <w:t>一级指标</w:t>
            </w:r>
          </w:p>
        </w:tc>
        <w:tc>
          <w:tcPr>
            <w:tcW w:w="2268" w:type="dxa"/>
            <w:vAlign w:val="center"/>
          </w:tcPr>
          <w:p w14:paraId="25BD8468">
            <w:pPr>
              <w:pStyle w:val="11"/>
            </w:pPr>
            <w:r>
              <w:t>二级指标</w:t>
            </w:r>
          </w:p>
        </w:tc>
        <w:tc>
          <w:tcPr>
            <w:tcW w:w="2835" w:type="dxa"/>
            <w:vAlign w:val="center"/>
          </w:tcPr>
          <w:p w14:paraId="09BC331D">
            <w:pPr>
              <w:pStyle w:val="11"/>
            </w:pPr>
            <w:r>
              <w:t>三级指标</w:t>
            </w:r>
          </w:p>
        </w:tc>
        <w:tc>
          <w:tcPr>
            <w:tcW w:w="5386" w:type="dxa"/>
            <w:vAlign w:val="center"/>
          </w:tcPr>
          <w:p w14:paraId="1E2798A1">
            <w:pPr>
              <w:pStyle w:val="11"/>
            </w:pPr>
            <w:r>
              <w:t>绩效指标描述</w:t>
            </w:r>
          </w:p>
        </w:tc>
        <w:tc>
          <w:tcPr>
            <w:tcW w:w="2268" w:type="dxa"/>
            <w:vAlign w:val="center"/>
          </w:tcPr>
          <w:p w14:paraId="5BCEB22D">
            <w:pPr>
              <w:pStyle w:val="11"/>
            </w:pPr>
            <w:r>
              <w:t>指标值</w:t>
            </w:r>
          </w:p>
        </w:tc>
        <w:tc>
          <w:tcPr>
            <w:tcW w:w="1276" w:type="dxa"/>
            <w:vAlign w:val="center"/>
          </w:tcPr>
          <w:p w14:paraId="50644CBF">
            <w:pPr>
              <w:pStyle w:val="11"/>
            </w:pPr>
            <w:r>
              <w:t>指标值确定依据</w:t>
            </w:r>
          </w:p>
        </w:tc>
      </w:tr>
      <w:tr w14:paraId="3A09B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54258">
            <w:pPr>
              <w:pStyle w:val="12"/>
            </w:pPr>
            <w:r>
              <w:t>产出指标</w:t>
            </w:r>
          </w:p>
        </w:tc>
        <w:tc>
          <w:tcPr>
            <w:tcW w:w="2268" w:type="dxa"/>
            <w:vAlign w:val="center"/>
          </w:tcPr>
          <w:p w14:paraId="09C70044">
            <w:pPr>
              <w:pStyle w:val="13"/>
            </w:pPr>
            <w:r>
              <w:t>数量指标</w:t>
            </w:r>
          </w:p>
        </w:tc>
        <w:tc>
          <w:tcPr>
            <w:tcW w:w="2835" w:type="dxa"/>
            <w:vAlign w:val="center"/>
          </w:tcPr>
          <w:p w14:paraId="79D75759">
            <w:pPr>
              <w:pStyle w:val="13"/>
            </w:pPr>
            <w:r>
              <w:t>适龄在校生</w:t>
            </w:r>
          </w:p>
        </w:tc>
        <w:tc>
          <w:tcPr>
            <w:tcW w:w="5386" w:type="dxa"/>
            <w:vAlign w:val="center"/>
          </w:tcPr>
          <w:p w14:paraId="0ED1FF11">
            <w:pPr>
              <w:pStyle w:val="13"/>
            </w:pPr>
            <w:r>
              <w:t>辖区内适龄儿童全覆盖</w:t>
            </w:r>
          </w:p>
        </w:tc>
        <w:tc>
          <w:tcPr>
            <w:tcW w:w="2268" w:type="dxa"/>
            <w:vAlign w:val="center"/>
          </w:tcPr>
          <w:p w14:paraId="1161403D">
            <w:pPr>
              <w:pStyle w:val="13"/>
            </w:pPr>
            <w:r>
              <w:t>25人</w:t>
            </w:r>
          </w:p>
        </w:tc>
        <w:tc>
          <w:tcPr>
            <w:tcW w:w="1276" w:type="dxa"/>
            <w:vAlign w:val="center"/>
          </w:tcPr>
          <w:p w14:paraId="643C2CB0">
            <w:pPr>
              <w:pStyle w:val="13"/>
            </w:pPr>
            <w:r>
              <w:t>幼儿园生均公用经费管理办法</w:t>
            </w:r>
          </w:p>
        </w:tc>
      </w:tr>
      <w:tr w14:paraId="18A0D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21DD1"/>
        </w:tc>
        <w:tc>
          <w:tcPr>
            <w:tcW w:w="2268" w:type="dxa"/>
            <w:vAlign w:val="center"/>
          </w:tcPr>
          <w:p w14:paraId="7725A457">
            <w:pPr>
              <w:pStyle w:val="13"/>
            </w:pPr>
            <w:r>
              <w:t>质量指标</w:t>
            </w:r>
          </w:p>
        </w:tc>
        <w:tc>
          <w:tcPr>
            <w:tcW w:w="2835" w:type="dxa"/>
            <w:vAlign w:val="center"/>
          </w:tcPr>
          <w:p w14:paraId="5F2AC72A">
            <w:pPr>
              <w:pStyle w:val="13"/>
            </w:pPr>
            <w:r>
              <w:t>预算控制率</w:t>
            </w:r>
          </w:p>
        </w:tc>
        <w:tc>
          <w:tcPr>
            <w:tcW w:w="5386" w:type="dxa"/>
            <w:vAlign w:val="center"/>
          </w:tcPr>
          <w:p w14:paraId="73710AF1">
            <w:pPr>
              <w:pStyle w:val="13"/>
            </w:pPr>
            <w:r>
              <w:t>预算执行</w:t>
            </w:r>
          </w:p>
        </w:tc>
        <w:tc>
          <w:tcPr>
            <w:tcW w:w="2268" w:type="dxa"/>
            <w:vAlign w:val="center"/>
          </w:tcPr>
          <w:p w14:paraId="2192DA96">
            <w:pPr>
              <w:pStyle w:val="13"/>
            </w:pPr>
            <w:r>
              <w:t>≥95%</w:t>
            </w:r>
          </w:p>
        </w:tc>
        <w:tc>
          <w:tcPr>
            <w:tcW w:w="1276" w:type="dxa"/>
            <w:vAlign w:val="center"/>
          </w:tcPr>
          <w:p w14:paraId="04C38F7C">
            <w:pPr>
              <w:pStyle w:val="13"/>
            </w:pPr>
            <w:r>
              <w:t>幼儿园生均公用经费管理办法</w:t>
            </w:r>
          </w:p>
        </w:tc>
      </w:tr>
      <w:tr w14:paraId="46353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E645D"/>
        </w:tc>
        <w:tc>
          <w:tcPr>
            <w:tcW w:w="2268" w:type="dxa"/>
            <w:vAlign w:val="center"/>
          </w:tcPr>
          <w:p w14:paraId="31DA4CDC">
            <w:pPr>
              <w:pStyle w:val="13"/>
            </w:pPr>
            <w:r>
              <w:t>时效指标</w:t>
            </w:r>
          </w:p>
        </w:tc>
        <w:tc>
          <w:tcPr>
            <w:tcW w:w="2835" w:type="dxa"/>
            <w:vAlign w:val="center"/>
          </w:tcPr>
          <w:p w14:paraId="4E04D27B">
            <w:pPr>
              <w:pStyle w:val="13"/>
            </w:pPr>
            <w:r>
              <w:t>资金支付率</w:t>
            </w:r>
          </w:p>
        </w:tc>
        <w:tc>
          <w:tcPr>
            <w:tcW w:w="5386" w:type="dxa"/>
            <w:vAlign w:val="center"/>
          </w:tcPr>
          <w:p w14:paraId="2174D7A9">
            <w:pPr>
              <w:pStyle w:val="13"/>
            </w:pPr>
            <w:r>
              <w:t>按照序时进度完成资金支付</w:t>
            </w:r>
          </w:p>
        </w:tc>
        <w:tc>
          <w:tcPr>
            <w:tcW w:w="2268" w:type="dxa"/>
            <w:vAlign w:val="center"/>
          </w:tcPr>
          <w:p w14:paraId="48D32DB3">
            <w:pPr>
              <w:pStyle w:val="13"/>
            </w:pPr>
            <w:r>
              <w:t>≥100%</w:t>
            </w:r>
          </w:p>
        </w:tc>
        <w:tc>
          <w:tcPr>
            <w:tcW w:w="1276" w:type="dxa"/>
            <w:vAlign w:val="center"/>
          </w:tcPr>
          <w:p w14:paraId="4B48DF44">
            <w:pPr>
              <w:pStyle w:val="13"/>
            </w:pPr>
            <w:r>
              <w:t>幼儿园生均公用经费管理办法</w:t>
            </w:r>
          </w:p>
        </w:tc>
      </w:tr>
      <w:tr w14:paraId="05DB7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29E75"/>
        </w:tc>
        <w:tc>
          <w:tcPr>
            <w:tcW w:w="2268" w:type="dxa"/>
            <w:vAlign w:val="center"/>
          </w:tcPr>
          <w:p w14:paraId="583272D4">
            <w:pPr>
              <w:pStyle w:val="13"/>
            </w:pPr>
            <w:r>
              <w:t>成本指标</w:t>
            </w:r>
          </w:p>
        </w:tc>
        <w:tc>
          <w:tcPr>
            <w:tcW w:w="2835" w:type="dxa"/>
            <w:vAlign w:val="center"/>
          </w:tcPr>
          <w:p w14:paraId="14DA8D02">
            <w:pPr>
              <w:pStyle w:val="13"/>
            </w:pPr>
            <w:r>
              <w:t>生均拨款标准</w:t>
            </w:r>
          </w:p>
        </w:tc>
        <w:tc>
          <w:tcPr>
            <w:tcW w:w="5386" w:type="dxa"/>
            <w:vAlign w:val="center"/>
          </w:tcPr>
          <w:p w14:paraId="2D14EF70">
            <w:pPr>
              <w:pStyle w:val="13"/>
            </w:pPr>
            <w:r>
              <w:t>学前经费600元/生/年</w:t>
            </w:r>
          </w:p>
        </w:tc>
        <w:tc>
          <w:tcPr>
            <w:tcW w:w="2268" w:type="dxa"/>
            <w:vAlign w:val="center"/>
          </w:tcPr>
          <w:p w14:paraId="1B43B59A">
            <w:pPr>
              <w:pStyle w:val="13"/>
            </w:pPr>
            <w:r>
              <w:t>600元</w:t>
            </w:r>
          </w:p>
        </w:tc>
        <w:tc>
          <w:tcPr>
            <w:tcW w:w="1276" w:type="dxa"/>
            <w:vAlign w:val="center"/>
          </w:tcPr>
          <w:p w14:paraId="099E7E28">
            <w:pPr>
              <w:pStyle w:val="13"/>
            </w:pPr>
            <w:r>
              <w:t>幼儿园生均公用经费管理办法</w:t>
            </w:r>
          </w:p>
        </w:tc>
      </w:tr>
      <w:tr w14:paraId="7E6A4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1A78CD">
            <w:pPr>
              <w:pStyle w:val="12"/>
            </w:pPr>
            <w:r>
              <w:t>效益指标</w:t>
            </w:r>
          </w:p>
        </w:tc>
        <w:tc>
          <w:tcPr>
            <w:tcW w:w="2268" w:type="dxa"/>
            <w:vAlign w:val="center"/>
          </w:tcPr>
          <w:p w14:paraId="3E9350CA">
            <w:pPr>
              <w:pStyle w:val="13"/>
            </w:pPr>
            <w:r>
              <w:t>可持续影响指标</w:t>
            </w:r>
          </w:p>
        </w:tc>
        <w:tc>
          <w:tcPr>
            <w:tcW w:w="2835" w:type="dxa"/>
            <w:vAlign w:val="center"/>
          </w:tcPr>
          <w:p w14:paraId="7C170A4E">
            <w:pPr>
              <w:pStyle w:val="13"/>
            </w:pPr>
            <w:r>
              <w:t>教育发展水平明显好转</w:t>
            </w:r>
          </w:p>
        </w:tc>
        <w:tc>
          <w:tcPr>
            <w:tcW w:w="5386" w:type="dxa"/>
            <w:vAlign w:val="center"/>
          </w:tcPr>
          <w:p w14:paraId="4504495C">
            <w:pPr>
              <w:pStyle w:val="13"/>
            </w:pPr>
            <w:r>
              <w:t>学生受教育年限</w:t>
            </w:r>
          </w:p>
        </w:tc>
        <w:tc>
          <w:tcPr>
            <w:tcW w:w="2268" w:type="dxa"/>
            <w:vAlign w:val="center"/>
          </w:tcPr>
          <w:p w14:paraId="19ECF8C8">
            <w:pPr>
              <w:pStyle w:val="13"/>
            </w:pPr>
            <w:r>
              <w:t>3年</w:t>
            </w:r>
          </w:p>
        </w:tc>
        <w:tc>
          <w:tcPr>
            <w:tcW w:w="1276" w:type="dxa"/>
            <w:vAlign w:val="center"/>
          </w:tcPr>
          <w:p w14:paraId="1CE5E891">
            <w:pPr>
              <w:pStyle w:val="13"/>
            </w:pPr>
            <w:r>
              <w:t>幼儿园生均公用经费管理办法</w:t>
            </w:r>
          </w:p>
        </w:tc>
      </w:tr>
      <w:tr w14:paraId="2336B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8AAB1B">
            <w:pPr>
              <w:pStyle w:val="12"/>
            </w:pPr>
            <w:r>
              <w:t>满意度指标</w:t>
            </w:r>
          </w:p>
        </w:tc>
        <w:tc>
          <w:tcPr>
            <w:tcW w:w="2268" w:type="dxa"/>
            <w:vAlign w:val="center"/>
          </w:tcPr>
          <w:p w14:paraId="50E76911">
            <w:pPr>
              <w:pStyle w:val="13"/>
            </w:pPr>
            <w:r>
              <w:t>服务对象满意度指标</w:t>
            </w:r>
          </w:p>
        </w:tc>
        <w:tc>
          <w:tcPr>
            <w:tcW w:w="2835" w:type="dxa"/>
            <w:vAlign w:val="center"/>
          </w:tcPr>
          <w:p w14:paraId="5A504777">
            <w:pPr>
              <w:pStyle w:val="13"/>
            </w:pPr>
            <w:r>
              <w:t>受益学生家长及调查满意度</w:t>
            </w:r>
          </w:p>
        </w:tc>
        <w:tc>
          <w:tcPr>
            <w:tcW w:w="5386" w:type="dxa"/>
            <w:vAlign w:val="center"/>
          </w:tcPr>
          <w:p w14:paraId="059188C5">
            <w:pPr>
              <w:pStyle w:val="13"/>
            </w:pPr>
            <w:r>
              <w:t>学生、教师及家长对学校保教保育工作满意度情况</w:t>
            </w:r>
          </w:p>
        </w:tc>
        <w:tc>
          <w:tcPr>
            <w:tcW w:w="2268" w:type="dxa"/>
            <w:vAlign w:val="center"/>
          </w:tcPr>
          <w:p w14:paraId="27A0D3E0">
            <w:pPr>
              <w:pStyle w:val="13"/>
            </w:pPr>
            <w:r>
              <w:t>≥95%</w:t>
            </w:r>
          </w:p>
        </w:tc>
        <w:tc>
          <w:tcPr>
            <w:tcW w:w="1276" w:type="dxa"/>
            <w:vAlign w:val="center"/>
          </w:tcPr>
          <w:p w14:paraId="203F7282">
            <w:pPr>
              <w:pStyle w:val="13"/>
            </w:pPr>
            <w:r>
              <w:t>调查问卷</w:t>
            </w:r>
          </w:p>
        </w:tc>
      </w:tr>
    </w:tbl>
    <w:p w14:paraId="4FE30F0D">
      <w:pPr>
        <w:sectPr>
          <w:pgSz w:w="16840" w:h="11900" w:orient="landscape"/>
          <w:pgMar w:top="1361" w:right="1020" w:bottom="1134" w:left="1020" w:header="720" w:footer="720" w:gutter="0"/>
          <w:cols w:space="720" w:num="1"/>
        </w:sectPr>
      </w:pPr>
    </w:p>
    <w:p w14:paraId="3086C683">
      <w:pPr>
        <w:spacing w:before="0" w:after="0"/>
        <w:ind w:firstLine="560"/>
        <w:jc w:val="left"/>
        <w:outlineLvl w:val="9"/>
      </w:pPr>
      <w:r>
        <w:rPr>
          <w:rFonts w:ascii="方正仿宋_GBK" w:hAnsi="方正仿宋_GBK" w:eastAsia="方正仿宋_GBK" w:cs="方正仿宋_GBK"/>
          <w:b/>
          <w:color w:val="000000"/>
          <w:sz w:val="28"/>
        </w:rPr>
        <w:t>204、县级资金/隆尧县蓓乐吉幼儿园公用经费绩效目标表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D4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7419D">
            <w:pPr>
              <w:pStyle w:val="14"/>
            </w:pPr>
            <w:r>
              <w:t>单位：万元</w:t>
            </w:r>
          </w:p>
        </w:tc>
      </w:tr>
      <w:tr w14:paraId="70173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0DD811">
            <w:pPr>
              <w:pStyle w:val="11"/>
            </w:pPr>
            <w:r>
              <w:t>项目编码</w:t>
            </w:r>
          </w:p>
        </w:tc>
        <w:tc>
          <w:tcPr>
            <w:tcW w:w="5103" w:type="dxa"/>
            <w:gridSpan w:val="2"/>
            <w:vAlign w:val="center"/>
          </w:tcPr>
          <w:p w14:paraId="4FD61839">
            <w:pPr>
              <w:pStyle w:val="13"/>
            </w:pPr>
            <w:r>
              <w:t>13052525P00875610067T</w:t>
            </w:r>
          </w:p>
        </w:tc>
        <w:tc>
          <w:tcPr>
            <w:tcW w:w="2835" w:type="dxa"/>
            <w:vAlign w:val="center"/>
          </w:tcPr>
          <w:p w14:paraId="62C930A6">
            <w:pPr>
              <w:pStyle w:val="11"/>
            </w:pPr>
            <w:r>
              <w:t>项目名称</w:t>
            </w:r>
          </w:p>
        </w:tc>
        <w:tc>
          <w:tcPr>
            <w:tcW w:w="6095" w:type="dxa"/>
            <w:gridSpan w:val="3"/>
            <w:vAlign w:val="center"/>
          </w:tcPr>
          <w:p w14:paraId="0EB1709F">
            <w:pPr>
              <w:pStyle w:val="13"/>
            </w:pPr>
            <w:r>
              <w:t>县级资金/隆尧县蓓乐吉幼儿园公用经费</w:t>
            </w:r>
          </w:p>
        </w:tc>
      </w:tr>
      <w:tr w14:paraId="3623B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E310C">
            <w:pPr>
              <w:pStyle w:val="11"/>
            </w:pPr>
            <w:r>
              <w:t>预算规模及资金用途</w:t>
            </w:r>
          </w:p>
        </w:tc>
        <w:tc>
          <w:tcPr>
            <w:tcW w:w="2268" w:type="dxa"/>
            <w:vAlign w:val="center"/>
          </w:tcPr>
          <w:p w14:paraId="320C9F50">
            <w:pPr>
              <w:pStyle w:val="11"/>
            </w:pPr>
            <w:r>
              <w:t>预算数</w:t>
            </w:r>
          </w:p>
        </w:tc>
        <w:tc>
          <w:tcPr>
            <w:tcW w:w="2835" w:type="dxa"/>
            <w:vAlign w:val="center"/>
          </w:tcPr>
          <w:p w14:paraId="3311A97A">
            <w:pPr>
              <w:pStyle w:val="13"/>
            </w:pPr>
            <w:r>
              <w:t>6.53</w:t>
            </w:r>
          </w:p>
        </w:tc>
        <w:tc>
          <w:tcPr>
            <w:tcW w:w="2835" w:type="dxa"/>
            <w:vAlign w:val="center"/>
          </w:tcPr>
          <w:p w14:paraId="096605BB">
            <w:pPr>
              <w:pStyle w:val="11"/>
            </w:pPr>
            <w:r>
              <w:t>其中：财政    资金</w:t>
            </w:r>
          </w:p>
        </w:tc>
        <w:tc>
          <w:tcPr>
            <w:tcW w:w="2551" w:type="dxa"/>
            <w:vAlign w:val="center"/>
          </w:tcPr>
          <w:p w14:paraId="66B57BC6">
            <w:pPr>
              <w:pStyle w:val="13"/>
            </w:pPr>
            <w:r>
              <w:t>6.53</w:t>
            </w:r>
          </w:p>
        </w:tc>
        <w:tc>
          <w:tcPr>
            <w:tcW w:w="2268" w:type="dxa"/>
            <w:vAlign w:val="center"/>
          </w:tcPr>
          <w:p w14:paraId="3A523644">
            <w:pPr>
              <w:pStyle w:val="11"/>
            </w:pPr>
            <w:r>
              <w:t>其他资金</w:t>
            </w:r>
          </w:p>
        </w:tc>
        <w:tc>
          <w:tcPr>
            <w:tcW w:w="1276" w:type="dxa"/>
            <w:vAlign w:val="center"/>
          </w:tcPr>
          <w:p w14:paraId="1CAA89C3">
            <w:pPr>
              <w:pStyle w:val="13"/>
            </w:pPr>
            <w:r>
              <w:t xml:space="preserve"> </w:t>
            </w:r>
          </w:p>
        </w:tc>
      </w:tr>
      <w:tr w14:paraId="2A329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11FA81"/>
        </w:tc>
        <w:tc>
          <w:tcPr>
            <w:tcW w:w="14033" w:type="dxa"/>
            <w:gridSpan w:val="6"/>
            <w:vAlign w:val="center"/>
          </w:tcPr>
          <w:p w14:paraId="5941FD8A">
            <w:pPr>
              <w:pStyle w:val="13"/>
            </w:pPr>
            <w:r>
              <w:t>按季度分批次拨付安排公用经费资金，学校按照预算安排进行资金使用，保证资金正常支出。</w:t>
            </w:r>
            <w:r>
              <w:tab/>
            </w:r>
            <w:r>
              <w:tab/>
            </w:r>
            <w:r>
              <w:tab/>
            </w:r>
            <w:r>
              <w:tab/>
            </w:r>
            <w:r>
              <w:tab/>
            </w:r>
            <w:r>
              <w:tab/>
            </w:r>
          </w:p>
          <w:p w14:paraId="05529681">
            <w:pPr>
              <w:pStyle w:val="13"/>
            </w:pPr>
          </w:p>
        </w:tc>
      </w:tr>
      <w:tr w14:paraId="404CF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CDF90">
            <w:pPr>
              <w:pStyle w:val="11"/>
            </w:pPr>
            <w:r>
              <w:t>资金支出计划（%）</w:t>
            </w:r>
          </w:p>
        </w:tc>
        <w:tc>
          <w:tcPr>
            <w:tcW w:w="5103" w:type="dxa"/>
            <w:gridSpan w:val="2"/>
            <w:vAlign w:val="center"/>
          </w:tcPr>
          <w:p w14:paraId="1A5848E1">
            <w:pPr>
              <w:pStyle w:val="11"/>
            </w:pPr>
            <w:r>
              <w:t>3月底</w:t>
            </w:r>
          </w:p>
        </w:tc>
        <w:tc>
          <w:tcPr>
            <w:tcW w:w="2835" w:type="dxa"/>
            <w:vAlign w:val="center"/>
          </w:tcPr>
          <w:p w14:paraId="397BBF08">
            <w:pPr>
              <w:pStyle w:val="11"/>
            </w:pPr>
            <w:r>
              <w:t>6月底</w:t>
            </w:r>
          </w:p>
        </w:tc>
        <w:tc>
          <w:tcPr>
            <w:tcW w:w="2551" w:type="dxa"/>
            <w:vAlign w:val="center"/>
          </w:tcPr>
          <w:p w14:paraId="77599319">
            <w:pPr>
              <w:pStyle w:val="11"/>
            </w:pPr>
            <w:r>
              <w:t>10月底</w:t>
            </w:r>
          </w:p>
        </w:tc>
        <w:tc>
          <w:tcPr>
            <w:tcW w:w="3544" w:type="dxa"/>
            <w:gridSpan w:val="2"/>
            <w:vAlign w:val="center"/>
          </w:tcPr>
          <w:p w14:paraId="14C17CDA">
            <w:pPr>
              <w:pStyle w:val="11"/>
            </w:pPr>
            <w:r>
              <w:t>12月底</w:t>
            </w:r>
          </w:p>
        </w:tc>
      </w:tr>
      <w:tr w14:paraId="43117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56908D"/>
        </w:tc>
        <w:tc>
          <w:tcPr>
            <w:tcW w:w="5103" w:type="dxa"/>
            <w:gridSpan w:val="2"/>
            <w:vAlign w:val="center"/>
          </w:tcPr>
          <w:p w14:paraId="21E4CDCB">
            <w:pPr>
              <w:pStyle w:val="12"/>
            </w:pPr>
            <w:r>
              <w:t xml:space="preserve"> </w:t>
            </w:r>
          </w:p>
        </w:tc>
        <w:tc>
          <w:tcPr>
            <w:tcW w:w="2835" w:type="dxa"/>
            <w:vAlign w:val="center"/>
          </w:tcPr>
          <w:p w14:paraId="4D047582">
            <w:pPr>
              <w:pStyle w:val="12"/>
            </w:pPr>
            <w:r>
              <w:t>50%</w:t>
            </w:r>
          </w:p>
        </w:tc>
        <w:tc>
          <w:tcPr>
            <w:tcW w:w="2551" w:type="dxa"/>
            <w:vAlign w:val="center"/>
          </w:tcPr>
          <w:p w14:paraId="7D4712F0">
            <w:pPr>
              <w:pStyle w:val="12"/>
            </w:pPr>
            <w:r>
              <w:t>75%</w:t>
            </w:r>
          </w:p>
        </w:tc>
        <w:tc>
          <w:tcPr>
            <w:tcW w:w="3544" w:type="dxa"/>
            <w:gridSpan w:val="2"/>
            <w:vAlign w:val="center"/>
          </w:tcPr>
          <w:p w14:paraId="08D83B5E">
            <w:pPr>
              <w:pStyle w:val="12"/>
            </w:pPr>
            <w:r>
              <w:t>100%</w:t>
            </w:r>
          </w:p>
        </w:tc>
      </w:tr>
      <w:tr w14:paraId="40AF8F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C0211">
            <w:pPr>
              <w:pStyle w:val="11"/>
            </w:pPr>
            <w:r>
              <w:t>绩效目标</w:t>
            </w:r>
          </w:p>
        </w:tc>
        <w:tc>
          <w:tcPr>
            <w:tcW w:w="14033" w:type="dxa"/>
            <w:gridSpan w:val="6"/>
            <w:vAlign w:val="center"/>
          </w:tcPr>
          <w:p w14:paraId="25086228">
            <w:pPr>
              <w:pStyle w:val="13"/>
            </w:pPr>
            <w:r>
              <w:t>1.按季度分批次拨付安排公用经费资金，学校按照预算安排进行资金使用，保证资金正常支出。</w:t>
            </w:r>
          </w:p>
        </w:tc>
      </w:tr>
    </w:tbl>
    <w:p w14:paraId="4A8C1B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EC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94133">
            <w:pPr>
              <w:pStyle w:val="11"/>
            </w:pPr>
            <w:r>
              <w:t>一级指标</w:t>
            </w:r>
          </w:p>
        </w:tc>
        <w:tc>
          <w:tcPr>
            <w:tcW w:w="2268" w:type="dxa"/>
            <w:vAlign w:val="center"/>
          </w:tcPr>
          <w:p w14:paraId="2BB882E9">
            <w:pPr>
              <w:pStyle w:val="11"/>
            </w:pPr>
            <w:r>
              <w:t>二级指标</w:t>
            </w:r>
          </w:p>
        </w:tc>
        <w:tc>
          <w:tcPr>
            <w:tcW w:w="2835" w:type="dxa"/>
            <w:vAlign w:val="center"/>
          </w:tcPr>
          <w:p w14:paraId="61C841B7">
            <w:pPr>
              <w:pStyle w:val="11"/>
            </w:pPr>
            <w:r>
              <w:t>三级指标</w:t>
            </w:r>
          </w:p>
        </w:tc>
        <w:tc>
          <w:tcPr>
            <w:tcW w:w="5386" w:type="dxa"/>
            <w:vAlign w:val="center"/>
          </w:tcPr>
          <w:p w14:paraId="67AF4D74">
            <w:pPr>
              <w:pStyle w:val="11"/>
            </w:pPr>
            <w:r>
              <w:t>绩效指标描述</w:t>
            </w:r>
          </w:p>
        </w:tc>
        <w:tc>
          <w:tcPr>
            <w:tcW w:w="2268" w:type="dxa"/>
            <w:vAlign w:val="center"/>
          </w:tcPr>
          <w:p w14:paraId="5DA0FCE0">
            <w:pPr>
              <w:pStyle w:val="11"/>
            </w:pPr>
            <w:r>
              <w:t>指标值</w:t>
            </w:r>
          </w:p>
        </w:tc>
        <w:tc>
          <w:tcPr>
            <w:tcW w:w="1276" w:type="dxa"/>
            <w:vAlign w:val="center"/>
          </w:tcPr>
          <w:p w14:paraId="4B39BB8A">
            <w:pPr>
              <w:pStyle w:val="11"/>
            </w:pPr>
            <w:r>
              <w:t>指标值确定依据</w:t>
            </w:r>
          </w:p>
        </w:tc>
      </w:tr>
      <w:tr w14:paraId="50EE9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3B107">
            <w:pPr>
              <w:pStyle w:val="12"/>
            </w:pPr>
            <w:r>
              <w:t>产出指标</w:t>
            </w:r>
          </w:p>
        </w:tc>
        <w:tc>
          <w:tcPr>
            <w:tcW w:w="2268" w:type="dxa"/>
            <w:vAlign w:val="center"/>
          </w:tcPr>
          <w:p w14:paraId="0C023C77">
            <w:pPr>
              <w:pStyle w:val="13"/>
            </w:pPr>
            <w:r>
              <w:t>数量指标</w:t>
            </w:r>
          </w:p>
        </w:tc>
        <w:tc>
          <w:tcPr>
            <w:tcW w:w="2835" w:type="dxa"/>
            <w:vAlign w:val="center"/>
          </w:tcPr>
          <w:p w14:paraId="1A2B3A36">
            <w:pPr>
              <w:pStyle w:val="13"/>
            </w:pPr>
            <w:r>
              <w:t>适龄在校生</w:t>
            </w:r>
          </w:p>
        </w:tc>
        <w:tc>
          <w:tcPr>
            <w:tcW w:w="5386" w:type="dxa"/>
            <w:vAlign w:val="center"/>
          </w:tcPr>
          <w:p w14:paraId="57266903">
            <w:pPr>
              <w:pStyle w:val="13"/>
            </w:pPr>
            <w:r>
              <w:t>辖区内适龄儿童全覆盖</w:t>
            </w:r>
          </w:p>
        </w:tc>
        <w:tc>
          <w:tcPr>
            <w:tcW w:w="2268" w:type="dxa"/>
            <w:vAlign w:val="center"/>
          </w:tcPr>
          <w:p w14:paraId="471D5D31">
            <w:pPr>
              <w:pStyle w:val="13"/>
            </w:pPr>
            <w:r>
              <w:t>145人</w:t>
            </w:r>
          </w:p>
        </w:tc>
        <w:tc>
          <w:tcPr>
            <w:tcW w:w="1276" w:type="dxa"/>
            <w:vAlign w:val="center"/>
          </w:tcPr>
          <w:p w14:paraId="0E362D32">
            <w:pPr>
              <w:pStyle w:val="13"/>
            </w:pPr>
            <w:r>
              <w:t>幼儿园生均公用经费管理办法</w:t>
            </w:r>
          </w:p>
        </w:tc>
      </w:tr>
      <w:tr w14:paraId="29524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22AD6"/>
        </w:tc>
        <w:tc>
          <w:tcPr>
            <w:tcW w:w="2268" w:type="dxa"/>
            <w:vAlign w:val="center"/>
          </w:tcPr>
          <w:p w14:paraId="59199AD8">
            <w:pPr>
              <w:pStyle w:val="13"/>
            </w:pPr>
            <w:r>
              <w:t>质量指标</w:t>
            </w:r>
          </w:p>
        </w:tc>
        <w:tc>
          <w:tcPr>
            <w:tcW w:w="2835" w:type="dxa"/>
            <w:vAlign w:val="center"/>
          </w:tcPr>
          <w:p w14:paraId="6731348F">
            <w:pPr>
              <w:pStyle w:val="13"/>
            </w:pPr>
            <w:r>
              <w:t>预算控制率</w:t>
            </w:r>
          </w:p>
        </w:tc>
        <w:tc>
          <w:tcPr>
            <w:tcW w:w="5386" w:type="dxa"/>
            <w:vAlign w:val="center"/>
          </w:tcPr>
          <w:p w14:paraId="7999A27C">
            <w:pPr>
              <w:pStyle w:val="13"/>
            </w:pPr>
            <w:r>
              <w:t>预算执行</w:t>
            </w:r>
          </w:p>
        </w:tc>
        <w:tc>
          <w:tcPr>
            <w:tcW w:w="2268" w:type="dxa"/>
            <w:vAlign w:val="center"/>
          </w:tcPr>
          <w:p w14:paraId="37D13CD0">
            <w:pPr>
              <w:pStyle w:val="13"/>
            </w:pPr>
            <w:r>
              <w:t>≥95%</w:t>
            </w:r>
          </w:p>
        </w:tc>
        <w:tc>
          <w:tcPr>
            <w:tcW w:w="1276" w:type="dxa"/>
            <w:vAlign w:val="center"/>
          </w:tcPr>
          <w:p w14:paraId="46C860D6">
            <w:pPr>
              <w:pStyle w:val="13"/>
            </w:pPr>
            <w:r>
              <w:t>幼儿园生均公用经费管理办法</w:t>
            </w:r>
          </w:p>
        </w:tc>
      </w:tr>
      <w:tr w14:paraId="4C723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9B2C5"/>
        </w:tc>
        <w:tc>
          <w:tcPr>
            <w:tcW w:w="2268" w:type="dxa"/>
            <w:vAlign w:val="center"/>
          </w:tcPr>
          <w:p w14:paraId="59022FB3">
            <w:pPr>
              <w:pStyle w:val="13"/>
            </w:pPr>
            <w:r>
              <w:t>时效指标</w:t>
            </w:r>
          </w:p>
        </w:tc>
        <w:tc>
          <w:tcPr>
            <w:tcW w:w="2835" w:type="dxa"/>
            <w:vAlign w:val="center"/>
          </w:tcPr>
          <w:p w14:paraId="77EE5C85">
            <w:pPr>
              <w:pStyle w:val="13"/>
            </w:pPr>
            <w:r>
              <w:t>资金支付率</w:t>
            </w:r>
          </w:p>
        </w:tc>
        <w:tc>
          <w:tcPr>
            <w:tcW w:w="5386" w:type="dxa"/>
            <w:vAlign w:val="center"/>
          </w:tcPr>
          <w:p w14:paraId="007BD942">
            <w:pPr>
              <w:pStyle w:val="13"/>
            </w:pPr>
            <w:r>
              <w:t>按照序时进度完成资金支付</w:t>
            </w:r>
          </w:p>
        </w:tc>
        <w:tc>
          <w:tcPr>
            <w:tcW w:w="2268" w:type="dxa"/>
            <w:vAlign w:val="center"/>
          </w:tcPr>
          <w:p w14:paraId="01D83100">
            <w:pPr>
              <w:pStyle w:val="13"/>
            </w:pPr>
            <w:r>
              <w:t>≥100%</w:t>
            </w:r>
          </w:p>
        </w:tc>
        <w:tc>
          <w:tcPr>
            <w:tcW w:w="1276" w:type="dxa"/>
            <w:vAlign w:val="center"/>
          </w:tcPr>
          <w:p w14:paraId="7209F17A">
            <w:pPr>
              <w:pStyle w:val="13"/>
            </w:pPr>
            <w:r>
              <w:t>幼儿园生均公用经费管理办法</w:t>
            </w:r>
          </w:p>
        </w:tc>
      </w:tr>
      <w:tr w14:paraId="220E2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FCEEA"/>
        </w:tc>
        <w:tc>
          <w:tcPr>
            <w:tcW w:w="2268" w:type="dxa"/>
            <w:vAlign w:val="center"/>
          </w:tcPr>
          <w:p w14:paraId="75E17C06">
            <w:pPr>
              <w:pStyle w:val="13"/>
            </w:pPr>
            <w:r>
              <w:t>成本指标</w:t>
            </w:r>
          </w:p>
        </w:tc>
        <w:tc>
          <w:tcPr>
            <w:tcW w:w="2835" w:type="dxa"/>
            <w:vAlign w:val="center"/>
          </w:tcPr>
          <w:p w14:paraId="70F10D07">
            <w:pPr>
              <w:pStyle w:val="13"/>
            </w:pPr>
            <w:r>
              <w:t>生均拨款标准</w:t>
            </w:r>
          </w:p>
        </w:tc>
        <w:tc>
          <w:tcPr>
            <w:tcW w:w="5386" w:type="dxa"/>
            <w:vAlign w:val="center"/>
          </w:tcPr>
          <w:p w14:paraId="266BA36C">
            <w:pPr>
              <w:pStyle w:val="13"/>
            </w:pPr>
            <w:r>
              <w:t>学前经费600元/生/年</w:t>
            </w:r>
          </w:p>
        </w:tc>
        <w:tc>
          <w:tcPr>
            <w:tcW w:w="2268" w:type="dxa"/>
            <w:vAlign w:val="center"/>
          </w:tcPr>
          <w:p w14:paraId="2A71EF02">
            <w:pPr>
              <w:pStyle w:val="13"/>
            </w:pPr>
            <w:r>
              <w:t>600元</w:t>
            </w:r>
          </w:p>
        </w:tc>
        <w:tc>
          <w:tcPr>
            <w:tcW w:w="1276" w:type="dxa"/>
            <w:vAlign w:val="center"/>
          </w:tcPr>
          <w:p w14:paraId="03790AC1">
            <w:pPr>
              <w:pStyle w:val="13"/>
            </w:pPr>
            <w:r>
              <w:t>幼儿园生均公用经费管理办法</w:t>
            </w:r>
          </w:p>
        </w:tc>
      </w:tr>
      <w:tr w14:paraId="09613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ECE338">
            <w:pPr>
              <w:pStyle w:val="12"/>
            </w:pPr>
            <w:r>
              <w:t>效益指标</w:t>
            </w:r>
          </w:p>
        </w:tc>
        <w:tc>
          <w:tcPr>
            <w:tcW w:w="2268" w:type="dxa"/>
            <w:vAlign w:val="center"/>
          </w:tcPr>
          <w:p w14:paraId="2BAF60FB">
            <w:pPr>
              <w:pStyle w:val="13"/>
            </w:pPr>
            <w:r>
              <w:t>可持续影响指标</w:t>
            </w:r>
          </w:p>
        </w:tc>
        <w:tc>
          <w:tcPr>
            <w:tcW w:w="2835" w:type="dxa"/>
            <w:vAlign w:val="center"/>
          </w:tcPr>
          <w:p w14:paraId="49DD7836">
            <w:pPr>
              <w:pStyle w:val="13"/>
            </w:pPr>
            <w:r>
              <w:t>教育发展水平明显好转</w:t>
            </w:r>
          </w:p>
        </w:tc>
        <w:tc>
          <w:tcPr>
            <w:tcW w:w="5386" w:type="dxa"/>
            <w:vAlign w:val="center"/>
          </w:tcPr>
          <w:p w14:paraId="24DAD35E">
            <w:pPr>
              <w:pStyle w:val="13"/>
            </w:pPr>
            <w:r>
              <w:t>学生受教育年限</w:t>
            </w:r>
          </w:p>
        </w:tc>
        <w:tc>
          <w:tcPr>
            <w:tcW w:w="2268" w:type="dxa"/>
            <w:vAlign w:val="center"/>
          </w:tcPr>
          <w:p w14:paraId="49CB2773">
            <w:pPr>
              <w:pStyle w:val="13"/>
            </w:pPr>
            <w:r>
              <w:t>3年</w:t>
            </w:r>
          </w:p>
        </w:tc>
        <w:tc>
          <w:tcPr>
            <w:tcW w:w="1276" w:type="dxa"/>
            <w:vAlign w:val="center"/>
          </w:tcPr>
          <w:p w14:paraId="61FCEB72">
            <w:pPr>
              <w:pStyle w:val="13"/>
            </w:pPr>
            <w:r>
              <w:t>幼儿园生均公用经费管理办法</w:t>
            </w:r>
          </w:p>
        </w:tc>
      </w:tr>
      <w:tr w14:paraId="04932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2AEB0">
            <w:pPr>
              <w:pStyle w:val="12"/>
            </w:pPr>
            <w:r>
              <w:t>满意度指标</w:t>
            </w:r>
          </w:p>
        </w:tc>
        <w:tc>
          <w:tcPr>
            <w:tcW w:w="2268" w:type="dxa"/>
            <w:vAlign w:val="center"/>
          </w:tcPr>
          <w:p w14:paraId="187B0D4A">
            <w:pPr>
              <w:pStyle w:val="13"/>
            </w:pPr>
            <w:r>
              <w:t>服务对象满意度指标</w:t>
            </w:r>
          </w:p>
        </w:tc>
        <w:tc>
          <w:tcPr>
            <w:tcW w:w="2835" w:type="dxa"/>
            <w:vAlign w:val="center"/>
          </w:tcPr>
          <w:p w14:paraId="165DAD52">
            <w:pPr>
              <w:pStyle w:val="13"/>
            </w:pPr>
            <w:r>
              <w:t>受益学生家长及调查满意度</w:t>
            </w:r>
          </w:p>
        </w:tc>
        <w:tc>
          <w:tcPr>
            <w:tcW w:w="5386" w:type="dxa"/>
            <w:vAlign w:val="center"/>
          </w:tcPr>
          <w:p w14:paraId="5E78A1E6">
            <w:pPr>
              <w:pStyle w:val="13"/>
            </w:pPr>
            <w:r>
              <w:t>学生、教师及家长对学校保教保育工作满意度情况</w:t>
            </w:r>
          </w:p>
        </w:tc>
        <w:tc>
          <w:tcPr>
            <w:tcW w:w="2268" w:type="dxa"/>
            <w:vAlign w:val="center"/>
          </w:tcPr>
          <w:p w14:paraId="501BAF07">
            <w:pPr>
              <w:pStyle w:val="13"/>
            </w:pPr>
            <w:r>
              <w:t>≥95%</w:t>
            </w:r>
          </w:p>
        </w:tc>
        <w:tc>
          <w:tcPr>
            <w:tcW w:w="1276" w:type="dxa"/>
            <w:vAlign w:val="center"/>
          </w:tcPr>
          <w:p w14:paraId="37B6AC2D">
            <w:pPr>
              <w:pStyle w:val="13"/>
            </w:pPr>
            <w:r>
              <w:t>调查问卷</w:t>
            </w:r>
          </w:p>
        </w:tc>
      </w:tr>
    </w:tbl>
    <w:p w14:paraId="3A6E8293">
      <w:pPr>
        <w:sectPr>
          <w:pgSz w:w="16840" w:h="11900" w:orient="landscape"/>
          <w:pgMar w:top="1361" w:right="1020" w:bottom="1134" w:left="1020" w:header="720" w:footer="720" w:gutter="0"/>
          <w:cols w:space="720" w:num="1"/>
        </w:sectPr>
      </w:pPr>
    </w:p>
    <w:p w14:paraId="342249E8">
      <w:pPr>
        <w:spacing w:before="0" w:after="0"/>
        <w:ind w:firstLine="560"/>
        <w:jc w:val="left"/>
        <w:outlineLvl w:val="9"/>
      </w:pPr>
      <w:r>
        <w:rPr>
          <w:rFonts w:ascii="方正仿宋_GBK" w:hAnsi="方正仿宋_GBK" w:eastAsia="方正仿宋_GBK" w:cs="方正仿宋_GBK"/>
          <w:b/>
          <w:color w:val="000000"/>
          <w:sz w:val="28"/>
        </w:rPr>
        <w:t>205、学校占地补偿款绩效目标表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6E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A3C31">
            <w:pPr>
              <w:pStyle w:val="14"/>
            </w:pPr>
            <w:r>
              <w:t>单位：万元</w:t>
            </w:r>
          </w:p>
        </w:tc>
      </w:tr>
      <w:tr w14:paraId="060A8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5B38B">
            <w:pPr>
              <w:pStyle w:val="11"/>
            </w:pPr>
            <w:r>
              <w:t>项目编码</w:t>
            </w:r>
          </w:p>
        </w:tc>
        <w:tc>
          <w:tcPr>
            <w:tcW w:w="5103" w:type="dxa"/>
            <w:gridSpan w:val="2"/>
            <w:vAlign w:val="center"/>
          </w:tcPr>
          <w:p w14:paraId="0F67A692">
            <w:pPr>
              <w:pStyle w:val="13"/>
            </w:pPr>
            <w:r>
              <w:t>13052525P00875610089R</w:t>
            </w:r>
          </w:p>
        </w:tc>
        <w:tc>
          <w:tcPr>
            <w:tcW w:w="2835" w:type="dxa"/>
            <w:vAlign w:val="center"/>
          </w:tcPr>
          <w:p w14:paraId="754CBB5D">
            <w:pPr>
              <w:pStyle w:val="11"/>
            </w:pPr>
            <w:r>
              <w:t>项目名称</w:t>
            </w:r>
          </w:p>
        </w:tc>
        <w:tc>
          <w:tcPr>
            <w:tcW w:w="6095" w:type="dxa"/>
            <w:gridSpan w:val="3"/>
            <w:vAlign w:val="center"/>
          </w:tcPr>
          <w:p w14:paraId="03A10097">
            <w:pPr>
              <w:pStyle w:val="13"/>
            </w:pPr>
            <w:r>
              <w:t>学校占地补偿款</w:t>
            </w:r>
          </w:p>
        </w:tc>
      </w:tr>
      <w:tr w14:paraId="0EAAEA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AFB46">
            <w:pPr>
              <w:pStyle w:val="11"/>
            </w:pPr>
            <w:r>
              <w:t>预算规模及资金用途</w:t>
            </w:r>
          </w:p>
        </w:tc>
        <w:tc>
          <w:tcPr>
            <w:tcW w:w="2268" w:type="dxa"/>
            <w:vAlign w:val="center"/>
          </w:tcPr>
          <w:p w14:paraId="4142A995">
            <w:pPr>
              <w:pStyle w:val="11"/>
            </w:pPr>
            <w:r>
              <w:t>预算数</w:t>
            </w:r>
          </w:p>
        </w:tc>
        <w:tc>
          <w:tcPr>
            <w:tcW w:w="2835" w:type="dxa"/>
            <w:vAlign w:val="center"/>
          </w:tcPr>
          <w:p w14:paraId="3F739805">
            <w:pPr>
              <w:pStyle w:val="13"/>
            </w:pPr>
            <w:r>
              <w:t>42.87</w:t>
            </w:r>
          </w:p>
        </w:tc>
        <w:tc>
          <w:tcPr>
            <w:tcW w:w="2835" w:type="dxa"/>
            <w:vAlign w:val="center"/>
          </w:tcPr>
          <w:p w14:paraId="6B71D115">
            <w:pPr>
              <w:pStyle w:val="11"/>
            </w:pPr>
            <w:r>
              <w:t>其中：财政    资金</w:t>
            </w:r>
          </w:p>
        </w:tc>
        <w:tc>
          <w:tcPr>
            <w:tcW w:w="2551" w:type="dxa"/>
            <w:vAlign w:val="center"/>
          </w:tcPr>
          <w:p w14:paraId="1BB30380">
            <w:pPr>
              <w:pStyle w:val="13"/>
            </w:pPr>
            <w:r>
              <w:t>42.87</w:t>
            </w:r>
          </w:p>
        </w:tc>
        <w:tc>
          <w:tcPr>
            <w:tcW w:w="2268" w:type="dxa"/>
            <w:vAlign w:val="center"/>
          </w:tcPr>
          <w:p w14:paraId="692E93C9">
            <w:pPr>
              <w:pStyle w:val="11"/>
            </w:pPr>
            <w:r>
              <w:t>其他资金</w:t>
            </w:r>
          </w:p>
        </w:tc>
        <w:tc>
          <w:tcPr>
            <w:tcW w:w="1276" w:type="dxa"/>
            <w:vAlign w:val="center"/>
          </w:tcPr>
          <w:p w14:paraId="030FCE08">
            <w:pPr>
              <w:pStyle w:val="13"/>
            </w:pPr>
            <w:r>
              <w:t xml:space="preserve"> </w:t>
            </w:r>
          </w:p>
        </w:tc>
      </w:tr>
      <w:tr w14:paraId="0691D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EE782"/>
        </w:tc>
        <w:tc>
          <w:tcPr>
            <w:tcW w:w="14033" w:type="dxa"/>
            <w:gridSpan w:val="6"/>
            <w:vAlign w:val="center"/>
          </w:tcPr>
          <w:p w14:paraId="7EECA720">
            <w:pPr>
              <w:pStyle w:val="13"/>
            </w:pPr>
            <w:r>
              <w:t>用于十一所学校占地补偿</w:t>
            </w:r>
            <w:r>
              <w:tab/>
            </w:r>
            <w:r>
              <w:tab/>
            </w:r>
            <w:r>
              <w:tab/>
            </w:r>
            <w:r>
              <w:tab/>
            </w:r>
            <w:r>
              <w:tab/>
            </w:r>
            <w:r>
              <w:tab/>
            </w:r>
          </w:p>
          <w:p w14:paraId="1C0AF7E7">
            <w:pPr>
              <w:pStyle w:val="13"/>
            </w:pPr>
          </w:p>
        </w:tc>
      </w:tr>
      <w:tr w14:paraId="096B8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F3897">
            <w:pPr>
              <w:pStyle w:val="11"/>
            </w:pPr>
            <w:r>
              <w:t>资金支出计划（%）</w:t>
            </w:r>
          </w:p>
        </w:tc>
        <w:tc>
          <w:tcPr>
            <w:tcW w:w="5103" w:type="dxa"/>
            <w:gridSpan w:val="2"/>
            <w:vAlign w:val="center"/>
          </w:tcPr>
          <w:p w14:paraId="028CE722">
            <w:pPr>
              <w:pStyle w:val="11"/>
            </w:pPr>
            <w:r>
              <w:t>3月底</w:t>
            </w:r>
          </w:p>
        </w:tc>
        <w:tc>
          <w:tcPr>
            <w:tcW w:w="2835" w:type="dxa"/>
            <w:vAlign w:val="center"/>
          </w:tcPr>
          <w:p w14:paraId="56E8106F">
            <w:pPr>
              <w:pStyle w:val="11"/>
            </w:pPr>
            <w:r>
              <w:t>6月底</w:t>
            </w:r>
          </w:p>
        </w:tc>
        <w:tc>
          <w:tcPr>
            <w:tcW w:w="2551" w:type="dxa"/>
            <w:vAlign w:val="center"/>
          </w:tcPr>
          <w:p w14:paraId="02F42F12">
            <w:pPr>
              <w:pStyle w:val="11"/>
            </w:pPr>
            <w:r>
              <w:t>10月底</w:t>
            </w:r>
          </w:p>
        </w:tc>
        <w:tc>
          <w:tcPr>
            <w:tcW w:w="3544" w:type="dxa"/>
            <w:gridSpan w:val="2"/>
            <w:vAlign w:val="center"/>
          </w:tcPr>
          <w:p w14:paraId="7D6C7231">
            <w:pPr>
              <w:pStyle w:val="11"/>
            </w:pPr>
            <w:r>
              <w:t>12月底</w:t>
            </w:r>
          </w:p>
        </w:tc>
      </w:tr>
      <w:tr w14:paraId="2B9BB2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793FC8"/>
        </w:tc>
        <w:tc>
          <w:tcPr>
            <w:tcW w:w="5103" w:type="dxa"/>
            <w:gridSpan w:val="2"/>
            <w:vAlign w:val="center"/>
          </w:tcPr>
          <w:p w14:paraId="664EE3E6">
            <w:pPr>
              <w:pStyle w:val="12"/>
            </w:pPr>
            <w:r>
              <w:t xml:space="preserve"> </w:t>
            </w:r>
          </w:p>
        </w:tc>
        <w:tc>
          <w:tcPr>
            <w:tcW w:w="2835" w:type="dxa"/>
            <w:vAlign w:val="center"/>
          </w:tcPr>
          <w:p w14:paraId="42A7D2BD">
            <w:pPr>
              <w:pStyle w:val="12"/>
            </w:pPr>
            <w:r>
              <w:t>50%</w:t>
            </w:r>
          </w:p>
        </w:tc>
        <w:tc>
          <w:tcPr>
            <w:tcW w:w="2551" w:type="dxa"/>
            <w:vAlign w:val="center"/>
          </w:tcPr>
          <w:p w14:paraId="10E506FF">
            <w:pPr>
              <w:pStyle w:val="12"/>
            </w:pPr>
            <w:r>
              <w:t>75%</w:t>
            </w:r>
          </w:p>
        </w:tc>
        <w:tc>
          <w:tcPr>
            <w:tcW w:w="3544" w:type="dxa"/>
            <w:gridSpan w:val="2"/>
            <w:vAlign w:val="center"/>
          </w:tcPr>
          <w:p w14:paraId="7D3BDC92">
            <w:pPr>
              <w:pStyle w:val="12"/>
            </w:pPr>
            <w:r>
              <w:t>100%</w:t>
            </w:r>
          </w:p>
        </w:tc>
      </w:tr>
      <w:tr w14:paraId="1FE68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784D3E">
            <w:pPr>
              <w:pStyle w:val="11"/>
            </w:pPr>
            <w:r>
              <w:t>绩效目标</w:t>
            </w:r>
          </w:p>
        </w:tc>
        <w:tc>
          <w:tcPr>
            <w:tcW w:w="14033" w:type="dxa"/>
            <w:gridSpan w:val="6"/>
            <w:vAlign w:val="center"/>
          </w:tcPr>
          <w:p w14:paraId="7E163970">
            <w:pPr>
              <w:pStyle w:val="13"/>
            </w:pPr>
            <w:r>
              <w:t>1.用于十一所学校占地补偿</w:t>
            </w:r>
          </w:p>
        </w:tc>
      </w:tr>
    </w:tbl>
    <w:p w14:paraId="1535D2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7B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F468287">
            <w:pPr>
              <w:pStyle w:val="11"/>
            </w:pPr>
            <w:r>
              <w:t>一级指标</w:t>
            </w:r>
          </w:p>
        </w:tc>
        <w:tc>
          <w:tcPr>
            <w:tcW w:w="2268" w:type="dxa"/>
            <w:vAlign w:val="center"/>
          </w:tcPr>
          <w:p w14:paraId="217361AB">
            <w:pPr>
              <w:pStyle w:val="11"/>
            </w:pPr>
            <w:r>
              <w:t>二级指标</w:t>
            </w:r>
          </w:p>
        </w:tc>
        <w:tc>
          <w:tcPr>
            <w:tcW w:w="2835" w:type="dxa"/>
            <w:vAlign w:val="center"/>
          </w:tcPr>
          <w:p w14:paraId="1C81512A">
            <w:pPr>
              <w:pStyle w:val="11"/>
            </w:pPr>
            <w:r>
              <w:t>三级指标</w:t>
            </w:r>
          </w:p>
        </w:tc>
        <w:tc>
          <w:tcPr>
            <w:tcW w:w="5386" w:type="dxa"/>
            <w:vAlign w:val="center"/>
          </w:tcPr>
          <w:p w14:paraId="59FD0BF6">
            <w:pPr>
              <w:pStyle w:val="11"/>
            </w:pPr>
            <w:r>
              <w:t>绩效指标描述</w:t>
            </w:r>
          </w:p>
        </w:tc>
        <w:tc>
          <w:tcPr>
            <w:tcW w:w="2268" w:type="dxa"/>
            <w:vAlign w:val="center"/>
          </w:tcPr>
          <w:p w14:paraId="05FFAD58">
            <w:pPr>
              <w:pStyle w:val="11"/>
            </w:pPr>
            <w:r>
              <w:t>指标值</w:t>
            </w:r>
          </w:p>
        </w:tc>
        <w:tc>
          <w:tcPr>
            <w:tcW w:w="1276" w:type="dxa"/>
            <w:vAlign w:val="center"/>
          </w:tcPr>
          <w:p w14:paraId="773FEE90">
            <w:pPr>
              <w:pStyle w:val="11"/>
            </w:pPr>
            <w:r>
              <w:t>指标值确定依据</w:t>
            </w:r>
          </w:p>
        </w:tc>
      </w:tr>
      <w:tr w14:paraId="05709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7CE24">
            <w:pPr>
              <w:pStyle w:val="12"/>
            </w:pPr>
            <w:r>
              <w:t>产出指标</w:t>
            </w:r>
          </w:p>
        </w:tc>
        <w:tc>
          <w:tcPr>
            <w:tcW w:w="2268" w:type="dxa"/>
            <w:vAlign w:val="center"/>
          </w:tcPr>
          <w:p w14:paraId="722F39A8">
            <w:pPr>
              <w:pStyle w:val="13"/>
            </w:pPr>
            <w:r>
              <w:t>数量指标</w:t>
            </w:r>
          </w:p>
        </w:tc>
        <w:tc>
          <w:tcPr>
            <w:tcW w:w="2835" w:type="dxa"/>
            <w:vAlign w:val="center"/>
          </w:tcPr>
          <w:p w14:paraId="3E0986B3">
            <w:pPr>
              <w:pStyle w:val="13"/>
            </w:pPr>
            <w:r>
              <w:t>占地学校数量</w:t>
            </w:r>
          </w:p>
        </w:tc>
        <w:tc>
          <w:tcPr>
            <w:tcW w:w="5386" w:type="dxa"/>
            <w:vAlign w:val="center"/>
          </w:tcPr>
          <w:p w14:paraId="29D9AEEC">
            <w:pPr>
              <w:pStyle w:val="13"/>
            </w:pPr>
            <w:r>
              <w:t>涉及占地学校数量</w:t>
            </w:r>
          </w:p>
        </w:tc>
        <w:tc>
          <w:tcPr>
            <w:tcW w:w="2268" w:type="dxa"/>
            <w:vAlign w:val="center"/>
          </w:tcPr>
          <w:p w14:paraId="41071CF6">
            <w:pPr>
              <w:pStyle w:val="13"/>
            </w:pPr>
            <w:r>
              <w:t>11所</w:t>
            </w:r>
          </w:p>
        </w:tc>
        <w:tc>
          <w:tcPr>
            <w:tcW w:w="1276" w:type="dxa"/>
            <w:vAlign w:val="center"/>
          </w:tcPr>
          <w:p w14:paraId="23AC79CF">
            <w:pPr>
              <w:pStyle w:val="13"/>
            </w:pPr>
            <w:r>
              <w:t>租地协议</w:t>
            </w:r>
          </w:p>
        </w:tc>
      </w:tr>
      <w:tr w14:paraId="59469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F5CA1"/>
        </w:tc>
        <w:tc>
          <w:tcPr>
            <w:tcW w:w="2268" w:type="dxa"/>
            <w:vAlign w:val="center"/>
          </w:tcPr>
          <w:p w14:paraId="1769EEA8">
            <w:pPr>
              <w:pStyle w:val="13"/>
            </w:pPr>
            <w:r>
              <w:t>质量指标</w:t>
            </w:r>
          </w:p>
        </w:tc>
        <w:tc>
          <w:tcPr>
            <w:tcW w:w="2835" w:type="dxa"/>
            <w:vAlign w:val="center"/>
          </w:tcPr>
          <w:p w14:paraId="64A842A0">
            <w:pPr>
              <w:pStyle w:val="13"/>
            </w:pPr>
            <w:r>
              <w:t>预算执行率</w:t>
            </w:r>
          </w:p>
        </w:tc>
        <w:tc>
          <w:tcPr>
            <w:tcW w:w="5386" w:type="dxa"/>
            <w:vAlign w:val="center"/>
          </w:tcPr>
          <w:p w14:paraId="442C2D4A">
            <w:pPr>
              <w:pStyle w:val="13"/>
            </w:pPr>
            <w:r>
              <w:t>占地补偿资金预算执行情况</w:t>
            </w:r>
          </w:p>
        </w:tc>
        <w:tc>
          <w:tcPr>
            <w:tcW w:w="2268" w:type="dxa"/>
            <w:vAlign w:val="center"/>
          </w:tcPr>
          <w:p w14:paraId="1207E523">
            <w:pPr>
              <w:pStyle w:val="13"/>
            </w:pPr>
            <w:r>
              <w:t>≥98%</w:t>
            </w:r>
          </w:p>
        </w:tc>
        <w:tc>
          <w:tcPr>
            <w:tcW w:w="1276" w:type="dxa"/>
            <w:vAlign w:val="center"/>
          </w:tcPr>
          <w:p w14:paraId="001ACDC3">
            <w:pPr>
              <w:pStyle w:val="13"/>
            </w:pPr>
            <w:r>
              <w:t>租地协议</w:t>
            </w:r>
          </w:p>
        </w:tc>
      </w:tr>
      <w:tr w14:paraId="4CB70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22D57"/>
        </w:tc>
        <w:tc>
          <w:tcPr>
            <w:tcW w:w="2268" w:type="dxa"/>
            <w:vAlign w:val="center"/>
          </w:tcPr>
          <w:p w14:paraId="05A70708">
            <w:pPr>
              <w:pStyle w:val="13"/>
            </w:pPr>
            <w:r>
              <w:t>时效指标</w:t>
            </w:r>
          </w:p>
        </w:tc>
        <w:tc>
          <w:tcPr>
            <w:tcW w:w="2835" w:type="dxa"/>
            <w:vAlign w:val="center"/>
          </w:tcPr>
          <w:p w14:paraId="2151AF01">
            <w:pPr>
              <w:pStyle w:val="13"/>
            </w:pPr>
            <w:r>
              <w:t>项目完成时限</w:t>
            </w:r>
          </w:p>
        </w:tc>
        <w:tc>
          <w:tcPr>
            <w:tcW w:w="5386" w:type="dxa"/>
            <w:vAlign w:val="center"/>
          </w:tcPr>
          <w:p w14:paraId="6AAE1A1A">
            <w:pPr>
              <w:pStyle w:val="13"/>
            </w:pPr>
            <w:r>
              <w:t>占地补偿资金支付周期</w:t>
            </w:r>
          </w:p>
        </w:tc>
        <w:tc>
          <w:tcPr>
            <w:tcW w:w="2268" w:type="dxa"/>
            <w:vAlign w:val="center"/>
          </w:tcPr>
          <w:p w14:paraId="36A06FEA">
            <w:pPr>
              <w:pStyle w:val="13"/>
            </w:pPr>
            <w:r>
              <w:t>12月</w:t>
            </w:r>
          </w:p>
        </w:tc>
        <w:tc>
          <w:tcPr>
            <w:tcW w:w="1276" w:type="dxa"/>
            <w:vAlign w:val="center"/>
          </w:tcPr>
          <w:p w14:paraId="2A12FEBC">
            <w:pPr>
              <w:pStyle w:val="13"/>
            </w:pPr>
            <w:r>
              <w:t>租地协议</w:t>
            </w:r>
          </w:p>
        </w:tc>
      </w:tr>
      <w:tr w14:paraId="11825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47683840"/>
        </w:tc>
        <w:tc>
          <w:tcPr>
            <w:tcW w:w="2268" w:type="dxa"/>
            <w:vAlign w:val="center"/>
          </w:tcPr>
          <w:p w14:paraId="742A16A1">
            <w:pPr>
              <w:pStyle w:val="13"/>
            </w:pPr>
            <w:r>
              <w:t>成本指标</w:t>
            </w:r>
          </w:p>
        </w:tc>
        <w:tc>
          <w:tcPr>
            <w:tcW w:w="2835" w:type="dxa"/>
            <w:vAlign w:val="center"/>
          </w:tcPr>
          <w:p w14:paraId="7128771E">
            <w:pPr>
              <w:pStyle w:val="13"/>
            </w:pPr>
            <w:r>
              <w:t>项目资金</w:t>
            </w:r>
          </w:p>
        </w:tc>
        <w:tc>
          <w:tcPr>
            <w:tcW w:w="5386" w:type="dxa"/>
            <w:vAlign w:val="center"/>
          </w:tcPr>
          <w:p w14:paraId="61E867B5">
            <w:pPr>
              <w:pStyle w:val="13"/>
            </w:pPr>
            <w:r>
              <w:t>占地补偿项目总资金</w:t>
            </w:r>
          </w:p>
        </w:tc>
        <w:tc>
          <w:tcPr>
            <w:tcW w:w="2268" w:type="dxa"/>
            <w:vAlign w:val="center"/>
          </w:tcPr>
          <w:p w14:paraId="5A973845">
            <w:pPr>
              <w:pStyle w:val="13"/>
            </w:pPr>
            <w:r>
              <w:t>≤42.87万元</w:t>
            </w:r>
          </w:p>
        </w:tc>
        <w:tc>
          <w:tcPr>
            <w:tcW w:w="1276" w:type="dxa"/>
            <w:vAlign w:val="center"/>
          </w:tcPr>
          <w:p w14:paraId="616EEE58">
            <w:pPr>
              <w:pStyle w:val="13"/>
            </w:pPr>
            <w:r>
              <w:t>租地协议</w:t>
            </w:r>
          </w:p>
        </w:tc>
      </w:tr>
      <w:tr w14:paraId="161FF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F22D9A">
            <w:pPr>
              <w:pStyle w:val="12"/>
            </w:pPr>
            <w:r>
              <w:t>效益指标</w:t>
            </w:r>
          </w:p>
        </w:tc>
        <w:tc>
          <w:tcPr>
            <w:tcW w:w="2268" w:type="dxa"/>
            <w:vAlign w:val="center"/>
          </w:tcPr>
          <w:p w14:paraId="5A449236">
            <w:pPr>
              <w:pStyle w:val="13"/>
            </w:pPr>
            <w:r>
              <w:t>可持续影响指标</w:t>
            </w:r>
          </w:p>
        </w:tc>
        <w:tc>
          <w:tcPr>
            <w:tcW w:w="2835" w:type="dxa"/>
            <w:vAlign w:val="center"/>
          </w:tcPr>
          <w:p w14:paraId="79FD47B3">
            <w:pPr>
              <w:pStyle w:val="13"/>
            </w:pPr>
            <w:r>
              <w:t>项目对学校正常运转影响</w:t>
            </w:r>
          </w:p>
        </w:tc>
        <w:tc>
          <w:tcPr>
            <w:tcW w:w="5386" w:type="dxa"/>
            <w:vAlign w:val="center"/>
          </w:tcPr>
          <w:p w14:paraId="7391D6FE">
            <w:pPr>
              <w:pStyle w:val="13"/>
            </w:pPr>
            <w:r>
              <w:t>占地对学校正常运转影响时效</w:t>
            </w:r>
          </w:p>
        </w:tc>
        <w:tc>
          <w:tcPr>
            <w:tcW w:w="2268" w:type="dxa"/>
            <w:vAlign w:val="center"/>
          </w:tcPr>
          <w:p w14:paraId="0A975C6E">
            <w:pPr>
              <w:pStyle w:val="13"/>
            </w:pPr>
            <w:r>
              <w:t>1年</w:t>
            </w:r>
          </w:p>
        </w:tc>
        <w:tc>
          <w:tcPr>
            <w:tcW w:w="1276" w:type="dxa"/>
            <w:vAlign w:val="center"/>
          </w:tcPr>
          <w:p w14:paraId="2CAF0DC4">
            <w:pPr>
              <w:pStyle w:val="13"/>
            </w:pPr>
            <w:r>
              <w:t>租地协议</w:t>
            </w:r>
          </w:p>
        </w:tc>
      </w:tr>
      <w:tr w14:paraId="6FF76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17B59F">
            <w:pPr>
              <w:pStyle w:val="12"/>
            </w:pPr>
            <w:r>
              <w:t>满意度指标</w:t>
            </w:r>
          </w:p>
        </w:tc>
        <w:tc>
          <w:tcPr>
            <w:tcW w:w="2268" w:type="dxa"/>
            <w:vAlign w:val="center"/>
          </w:tcPr>
          <w:p w14:paraId="4812F1E4">
            <w:pPr>
              <w:pStyle w:val="13"/>
            </w:pPr>
            <w:r>
              <w:t>服务对象满意度指标</w:t>
            </w:r>
          </w:p>
        </w:tc>
        <w:tc>
          <w:tcPr>
            <w:tcW w:w="2835" w:type="dxa"/>
            <w:vAlign w:val="center"/>
          </w:tcPr>
          <w:p w14:paraId="1CDB34B8">
            <w:pPr>
              <w:pStyle w:val="13"/>
            </w:pPr>
            <w:r>
              <w:t>占地双方满意度</w:t>
            </w:r>
          </w:p>
        </w:tc>
        <w:tc>
          <w:tcPr>
            <w:tcW w:w="5386" w:type="dxa"/>
            <w:vAlign w:val="center"/>
          </w:tcPr>
          <w:p w14:paraId="71F55E2D">
            <w:pPr>
              <w:pStyle w:val="13"/>
            </w:pPr>
            <w:r>
              <w:t>学校和出租方满意度</w:t>
            </w:r>
          </w:p>
        </w:tc>
        <w:tc>
          <w:tcPr>
            <w:tcW w:w="2268" w:type="dxa"/>
            <w:vAlign w:val="center"/>
          </w:tcPr>
          <w:p w14:paraId="18390F28">
            <w:pPr>
              <w:pStyle w:val="13"/>
            </w:pPr>
            <w:r>
              <w:t>≥95%</w:t>
            </w:r>
          </w:p>
        </w:tc>
        <w:tc>
          <w:tcPr>
            <w:tcW w:w="1276" w:type="dxa"/>
            <w:vAlign w:val="center"/>
          </w:tcPr>
          <w:p w14:paraId="2E1A40ED">
            <w:pPr>
              <w:pStyle w:val="13"/>
            </w:pPr>
            <w:r>
              <w:t>租地协议</w:t>
            </w:r>
          </w:p>
        </w:tc>
      </w:tr>
    </w:tbl>
    <w:p w14:paraId="3C236D1F">
      <w:pPr>
        <w:sectPr>
          <w:pgSz w:w="16840" w:h="11900" w:orient="landscape"/>
          <w:pgMar w:top="1361" w:right="1020" w:bottom="1134" w:left="1020" w:header="720" w:footer="720" w:gutter="0"/>
          <w:cols w:space="720" w:num="1"/>
        </w:sectPr>
      </w:pPr>
    </w:p>
    <w:p w14:paraId="28FB5190">
      <w:pPr>
        <w:spacing w:before="0" w:after="0"/>
        <w:ind w:firstLine="560"/>
        <w:jc w:val="left"/>
        <w:outlineLvl w:val="9"/>
      </w:pPr>
      <w:r>
        <w:rPr>
          <w:rFonts w:ascii="方正仿宋_GBK" w:hAnsi="方正仿宋_GBK" w:eastAsia="方正仿宋_GBK" w:cs="方正仿宋_GBK"/>
          <w:b/>
          <w:color w:val="000000"/>
          <w:sz w:val="28"/>
        </w:rPr>
        <w:t>206、中小学幼儿园安保经费绩效目标表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4A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80E15">
            <w:pPr>
              <w:pStyle w:val="14"/>
            </w:pPr>
            <w:r>
              <w:t>单位：万元</w:t>
            </w:r>
          </w:p>
        </w:tc>
      </w:tr>
      <w:tr w14:paraId="1B153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29FAE">
            <w:pPr>
              <w:pStyle w:val="11"/>
            </w:pPr>
            <w:r>
              <w:t>项目编码</w:t>
            </w:r>
          </w:p>
        </w:tc>
        <w:tc>
          <w:tcPr>
            <w:tcW w:w="5103" w:type="dxa"/>
            <w:gridSpan w:val="2"/>
            <w:vAlign w:val="center"/>
          </w:tcPr>
          <w:p w14:paraId="475AC8F1">
            <w:pPr>
              <w:pStyle w:val="13"/>
            </w:pPr>
            <w:r>
              <w:t>13052524P00875610033A</w:t>
            </w:r>
          </w:p>
        </w:tc>
        <w:tc>
          <w:tcPr>
            <w:tcW w:w="2835" w:type="dxa"/>
            <w:vAlign w:val="center"/>
          </w:tcPr>
          <w:p w14:paraId="37CE38AB">
            <w:pPr>
              <w:pStyle w:val="11"/>
            </w:pPr>
            <w:r>
              <w:t>项目名称</w:t>
            </w:r>
          </w:p>
        </w:tc>
        <w:tc>
          <w:tcPr>
            <w:tcW w:w="6095" w:type="dxa"/>
            <w:gridSpan w:val="3"/>
            <w:vAlign w:val="center"/>
          </w:tcPr>
          <w:p w14:paraId="51030CA7">
            <w:pPr>
              <w:pStyle w:val="13"/>
            </w:pPr>
            <w:r>
              <w:t>中小学幼儿园安保经费</w:t>
            </w:r>
          </w:p>
        </w:tc>
      </w:tr>
      <w:tr w14:paraId="443F2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8167E">
            <w:pPr>
              <w:pStyle w:val="11"/>
            </w:pPr>
            <w:r>
              <w:t>预算规模及资金用途</w:t>
            </w:r>
          </w:p>
        </w:tc>
        <w:tc>
          <w:tcPr>
            <w:tcW w:w="2268" w:type="dxa"/>
            <w:vAlign w:val="center"/>
          </w:tcPr>
          <w:p w14:paraId="383C70DF">
            <w:pPr>
              <w:pStyle w:val="11"/>
            </w:pPr>
            <w:r>
              <w:t>预算数</w:t>
            </w:r>
          </w:p>
        </w:tc>
        <w:tc>
          <w:tcPr>
            <w:tcW w:w="2835" w:type="dxa"/>
            <w:vAlign w:val="center"/>
          </w:tcPr>
          <w:p w14:paraId="29C06D58">
            <w:pPr>
              <w:pStyle w:val="13"/>
            </w:pPr>
            <w:r>
              <w:t>289.64</w:t>
            </w:r>
          </w:p>
        </w:tc>
        <w:tc>
          <w:tcPr>
            <w:tcW w:w="2835" w:type="dxa"/>
            <w:vAlign w:val="center"/>
          </w:tcPr>
          <w:p w14:paraId="488FA931">
            <w:pPr>
              <w:pStyle w:val="11"/>
            </w:pPr>
            <w:r>
              <w:t>其中：财政    资金</w:t>
            </w:r>
          </w:p>
        </w:tc>
        <w:tc>
          <w:tcPr>
            <w:tcW w:w="2551" w:type="dxa"/>
            <w:vAlign w:val="center"/>
          </w:tcPr>
          <w:p w14:paraId="0068CF07">
            <w:pPr>
              <w:pStyle w:val="13"/>
            </w:pPr>
            <w:r>
              <w:t>289.64</w:t>
            </w:r>
          </w:p>
        </w:tc>
        <w:tc>
          <w:tcPr>
            <w:tcW w:w="2268" w:type="dxa"/>
            <w:vAlign w:val="center"/>
          </w:tcPr>
          <w:p w14:paraId="656D7687">
            <w:pPr>
              <w:pStyle w:val="11"/>
            </w:pPr>
            <w:r>
              <w:t>其他资金</w:t>
            </w:r>
          </w:p>
        </w:tc>
        <w:tc>
          <w:tcPr>
            <w:tcW w:w="1276" w:type="dxa"/>
            <w:vAlign w:val="center"/>
          </w:tcPr>
          <w:p w14:paraId="2429459D">
            <w:pPr>
              <w:pStyle w:val="13"/>
            </w:pPr>
            <w:r>
              <w:t xml:space="preserve"> </w:t>
            </w:r>
          </w:p>
        </w:tc>
      </w:tr>
      <w:tr w14:paraId="1EDB5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B96826"/>
        </w:tc>
        <w:tc>
          <w:tcPr>
            <w:tcW w:w="14033" w:type="dxa"/>
            <w:gridSpan w:val="6"/>
            <w:vAlign w:val="center"/>
          </w:tcPr>
          <w:p w14:paraId="02143B74">
            <w:pPr>
              <w:pStyle w:val="13"/>
            </w:pPr>
            <w:r>
              <w:t>保障教职员工、在校学生安全及学校财产安全。</w:t>
            </w:r>
          </w:p>
        </w:tc>
      </w:tr>
      <w:tr w14:paraId="1D8F0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4242D">
            <w:pPr>
              <w:pStyle w:val="11"/>
            </w:pPr>
            <w:r>
              <w:t>资金支出计划（%）</w:t>
            </w:r>
          </w:p>
        </w:tc>
        <w:tc>
          <w:tcPr>
            <w:tcW w:w="5103" w:type="dxa"/>
            <w:gridSpan w:val="2"/>
            <w:vAlign w:val="center"/>
          </w:tcPr>
          <w:p w14:paraId="1AF0126E">
            <w:pPr>
              <w:pStyle w:val="11"/>
            </w:pPr>
            <w:r>
              <w:t>3月底</w:t>
            </w:r>
          </w:p>
        </w:tc>
        <w:tc>
          <w:tcPr>
            <w:tcW w:w="2835" w:type="dxa"/>
            <w:vAlign w:val="center"/>
          </w:tcPr>
          <w:p w14:paraId="5F7B222C">
            <w:pPr>
              <w:pStyle w:val="11"/>
            </w:pPr>
            <w:r>
              <w:t>6月底</w:t>
            </w:r>
          </w:p>
        </w:tc>
        <w:tc>
          <w:tcPr>
            <w:tcW w:w="2551" w:type="dxa"/>
            <w:vAlign w:val="center"/>
          </w:tcPr>
          <w:p w14:paraId="31CBBB99">
            <w:pPr>
              <w:pStyle w:val="11"/>
            </w:pPr>
            <w:r>
              <w:t>10月底</w:t>
            </w:r>
          </w:p>
        </w:tc>
        <w:tc>
          <w:tcPr>
            <w:tcW w:w="3544" w:type="dxa"/>
            <w:gridSpan w:val="2"/>
            <w:vAlign w:val="center"/>
          </w:tcPr>
          <w:p w14:paraId="1F4D1983">
            <w:pPr>
              <w:pStyle w:val="11"/>
            </w:pPr>
            <w:r>
              <w:t>12月底</w:t>
            </w:r>
          </w:p>
        </w:tc>
      </w:tr>
      <w:tr w14:paraId="65D48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1ED7F"/>
        </w:tc>
        <w:tc>
          <w:tcPr>
            <w:tcW w:w="5103" w:type="dxa"/>
            <w:gridSpan w:val="2"/>
            <w:vAlign w:val="center"/>
          </w:tcPr>
          <w:p w14:paraId="48D5D11E">
            <w:pPr>
              <w:pStyle w:val="12"/>
            </w:pPr>
            <w:r>
              <w:t>25%</w:t>
            </w:r>
          </w:p>
        </w:tc>
        <w:tc>
          <w:tcPr>
            <w:tcW w:w="2835" w:type="dxa"/>
            <w:vAlign w:val="center"/>
          </w:tcPr>
          <w:p w14:paraId="73C02783">
            <w:pPr>
              <w:pStyle w:val="12"/>
            </w:pPr>
            <w:r>
              <w:t>50%</w:t>
            </w:r>
          </w:p>
        </w:tc>
        <w:tc>
          <w:tcPr>
            <w:tcW w:w="2551" w:type="dxa"/>
            <w:vAlign w:val="center"/>
          </w:tcPr>
          <w:p w14:paraId="5FED72DA">
            <w:pPr>
              <w:pStyle w:val="12"/>
            </w:pPr>
            <w:r>
              <w:t>75%</w:t>
            </w:r>
          </w:p>
        </w:tc>
        <w:tc>
          <w:tcPr>
            <w:tcW w:w="3544" w:type="dxa"/>
            <w:gridSpan w:val="2"/>
            <w:vAlign w:val="center"/>
          </w:tcPr>
          <w:p w14:paraId="0548DBDC">
            <w:pPr>
              <w:pStyle w:val="12"/>
            </w:pPr>
            <w:r>
              <w:t>100%</w:t>
            </w:r>
          </w:p>
        </w:tc>
      </w:tr>
      <w:tr w14:paraId="38ECB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BAE74">
            <w:pPr>
              <w:pStyle w:val="11"/>
            </w:pPr>
            <w:r>
              <w:t>绩效目标</w:t>
            </w:r>
          </w:p>
        </w:tc>
        <w:tc>
          <w:tcPr>
            <w:tcW w:w="14033" w:type="dxa"/>
            <w:gridSpan w:val="6"/>
            <w:vAlign w:val="center"/>
          </w:tcPr>
          <w:p w14:paraId="5097C87E">
            <w:pPr>
              <w:pStyle w:val="13"/>
            </w:pPr>
            <w:r>
              <w:t>1.按规定拨付安保费289.642万元，资金拨付率达到100%。</w:t>
            </w:r>
            <w:r>
              <w:tab/>
            </w:r>
            <w:r>
              <w:tab/>
            </w:r>
            <w:r>
              <w:tab/>
            </w:r>
          </w:p>
          <w:p w14:paraId="20FF2A0C">
            <w:pPr>
              <w:pStyle w:val="13"/>
            </w:pPr>
            <w:r>
              <w:t>2.保障教职员工、在校学生安全及学校财产安全</w:t>
            </w:r>
            <w:r>
              <w:tab/>
            </w:r>
            <w:r>
              <w:tab/>
            </w:r>
            <w:r>
              <w:tab/>
            </w:r>
          </w:p>
        </w:tc>
      </w:tr>
    </w:tbl>
    <w:p w14:paraId="2CF546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BD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B02DA">
            <w:pPr>
              <w:pStyle w:val="11"/>
            </w:pPr>
            <w:r>
              <w:t>一级指标</w:t>
            </w:r>
          </w:p>
        </w:tc>
        <w:tc>
          <w:tcPr>
            <w:tcW w:w="2268" w:type="dxa"/>
            <w:vAlign w:val="center"/>
          </w:tcPr>
          <w:p w14:paraId="2B5EA22A">
            <w:pPr>
              <w:pStyle w:val="11"/>
            </w:pPr>
            <w:r>
              <w:t>二级指标</w:t>
            </w:r>
          </w:p>
        </w:tc>
        <w:tc>
          <w:tcPr>
            <w:tcW w:w="2835" w:type="dxa"/>
            <w:vAlign w:val="center"/>
          </w:tcPr>
          <w:p w14:paraId="3392AF73">
            <w:pPr>
              <w:pStyle w:val="11"/>
            </w:pPr>
            <w:r>
              <w:t>三级指标</w:t>
            </w:r>
          </w:p>
        </w:tc>
        <w:tc>
          <w:tcPr>
            <w:tcW w:w="5386" w:type="dxa"/>
            <w:vAlign w:val="center"/>
          </w:tcPr>
          <w:p w14:paraId="119021B6">
            <w:pPr>
              <w:pStyle w:val="11"/>
            </w:pPr>
            <w:r>
              <w:t>绩效指标描述</w:t>
            </w:r>
          </w:p>
        </w:tc>
        <w:tc>
          <w:tcPr>
            <w:tcW w:w="2268" w:type="dxa"/>
            <w:vAlign w:val="center"/>
          </w:tcPr>
          <w:p w14:paraId="0A09D7CC">
            <w:pPr>
              <w:pStyle w:val="11"/>
            </w:pPr>
            <w:r>
              <w:t>指标值</w:t>
            </w:r>
          </w:p>
        </w:tc>
        <w:tc>
          <w:tcPr>
            <w:tcW w:w="1276" w:type="dxa"/>
            <w:vAlign w:val="center"/>
          </w:tcPr>
          <w:p w14:paraId="6E3D04D2">
            <w:pPr>
              <w:pStyle w:val="11"/>
            </w:pPr>
            <w:r>
              <w:t>指标值确定依据</w:t>
            </w:r>
          </w:p>
        </w:tc>
      </w:tr>
      <w:tr w14:paraId="6361E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3156B">
            <w:pPr>
              <w:pStyle w:val="12"/>
            </w:pPr>
            <w:r>
              <w:t>产出指标</w:t>
            </w:r>
          </w:p>
        </w:tc>
        <w:tc>
          <w:tcPr>
            <w:tcW w:w="2268" w:type="dxa"/>
            <w:vAlign w:val="center"/>
          </w:tcPr>
          <w:p w14:paraId="4780E549">
            <w:pPr>
              <w:pStyle w:val="13"/>
            </w:pPr>
            <w:r>
              <w:t>数量指标</w:t>
            </w:r>
          </w:p>
        </w:tc>
        <w:tc>
          <w:tcPr>
            <w:tcW w:w="2835" w:type="dxa"/>
            <w:vAlign w:val="center"/>
          </w:tcPr>
          <w:p w14:paraId="6720F04E">
            <w:pPr>
              <w:pStyle w:val="13"/>
            </w:pPr>
            <w:r>
              <w:t>学校配备保安数</w:t>
            </w:r>
          </w:p>
        </w:tc>
        <w:tc>
          <w:tcPr>
            <w:tcW w:w="5386" w:type="dxa"/>
            <w:vAlign w:val="center"/>
          </w:tcPr>
          <w:p w14:paraId="59DDD02C">
            <w:pPr>
              <w:pStyle w:val="13"/>
            </w:pPr>
            <w:r>
              <w:t>配备保安人数</w:t>
            </w:r>
          </w:p>
        </w:tc>
        <w:tc>
          <w:tcPr>
            <w:tcW w:w="2268" w:type="dxa"/>
            <w:vAlign w:val="center"/>
          </w:tcPr>
          <w:p w14:paraId="33FB3FA9">
            <w:pPr>
              <w:pStyle w:val="13"/>
            </w:pPr>
            <w:r>
              <w:t>≥131人</w:t>
            </w:r>
          </w:p>
        </w:tc>
        <w:tc>
          <w:tcPr>
            <w:tcW w:w="1276" w:type="dxa"/>
            <w:vAlign w:val="center"/>
          </w:tcPr>
          <w:p w14:paraId="50135CD7">
            <w:pPr>
              <w:pStyle w:val="13"/>
            </w:pPr>
            <w:r>
              <w:t>校园安保条例</w:t>
            </w:r>
          </w:p>
        </w:tc>
      </w:tr>
      <w:tr w14:paraId="3139A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9636A"/>
        </w:tc>
        <w:tc>
          <w:tcPr>
            <w:tcW w:w="2268" w:type="dxa"/>
            <w:vAlign w:val="center"/>
          </w:tcPr>
          <w:p w14:paraId="4931D303">
            <w:pPr>
              <w:pStyle w:val="13"/>
            </w:pPr>
            <w:r>
              <w:t>质量指标</w:t>
            </w:r>
          </w:p>
        </w:tc>
        <w:tc>
          <w:tcPr>
            <w:tcW w:w="2835" w:type="dxa"/>
            <w:vAlign w:val="center"/>
          </w:tcPr>
          <w:p w14:paraId="0930DA5A">
            <w:pPr>
              <w:pStyle w:val="13"/>
            </w:pPr>
            <w:r>
              <w:t>完成率</w:t>
            </w:r>
          </w:p>
        </w:tc>
        <w:tc>
          <w:tcPr>
            <w:tcW w:w="5386" w:type="dxa"/>
            <w:vAlign w:val="center"/>
          </w:tcPr>
          <w:p w14:paraId="1A2F69BA">
            <w:pPr>
              <w:pStyle w:val="13"/>
            </w:pPr>
            <w:r>
              <w:t>完成率</w:t>
            </w:r>
          </w:p>
        </w:tc>
        <w:tc>
          <w:tcPr>
            <w:tcW w:w="2268" w:type="dxa"/>
            <w:vAlign w:val="center"/>
          </w:tcPr>
          <w:p w14:paraId="6751B056">
            <w:pPr>
              <w:pStyle w:val="13"/>
            </w:pPr>
            <w:r>
              <w:t>≥100%</w:t>
            </w:r>
          </w:p>
        </w:tc>
        <w:tc>
          <w:tcPr>
            <w:tcW w:w="1276" w:type="dxa"/>
            <w:vAlign w:val="center"/>
          </w:tcPr>
          <w:p w14:paraId="750EE1C6">
            <w:pPr>
              <w:pStyle w:val="13"/>
            </w:pPr>
            <w:r>
              <w:t>校园安保条例</w:t>
            </w:r>
          </w:p>
        </w:tc>
      </w:tr>
      <w:tr w14:paraId="3576C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81BB3"/>
        </w:tc>
        <w:tc>
          <w:tcPr>
            <w:tcW w:w="2268" w:type="dxa"/>
            <w:vAlign w:val="center"/>
          </w:tcPr>
          <w:p w14:paraId="41F8C1D0">
            <w:pPr>
              <w:pStyle w:val="13"/>
            </w:pPr>
            <w:r>
              <w:t>时效指标</w:t>
            </w:r>
          </w:p>
        </w:tc>
        <w:tc>
          <w:tcPr>
            <w:tcW w:w="2835" w:type="dxa"/>
            <w:vAlign w:val="center"/>
          </w:tcPr>
          <w:p w14:paraId="53BFA88C">
            <w:pPr>
              <w:pStyle w:val="13"/>
            </w:pPr>
            <w:r>
              <w:t>经费拨付完成率</w:t>
            </w:r>
          </w:p>
        </w:tc>
        <w:tc>
          <w:tcPr>
            <w:tcW w:w="5386" w:type="dxa"/>
            <w:vAlign w:val="center"/>
          </w:tcPr>
          <w:p w14:paraId="4F19C145">
            <w:pPr>
              <w:pStyle w:val="13"/>
            </w:pPr>
            <w:r>
              <w:t>经费拨付完成率达到需时进度</w:t>
            </w:r>
          </w:p>
        </w:tc>
        <w:tc>
          <w:tcPr>
            <w:tcW w:w="2268" w:type="dxa"/>
            <w:vAlign w:val="center"/>
          </w:tcPr>
          <w:p w14:paraId="2C192870">
            <w:pPr>
              <w:pStyle w:val="13"/>
            </w:pPr>
            <w:r>
              <w:t>≤100%</w:t>
            </w:r>
          </w:p>
        </w:tc>
        <w:tc>
          <w:tcPr>
            <w:tcW w:w="1276" w:type="dxa"/>
            <w:vAlign w:val="center"/>
          </w:tcPr>
          <w:p w14:paraId="0DD50021">
            <w:pPr>
              <w:pStyle w:val="13"/>
            </w:pPr>
            <w:r>
              <w:t>校园安保条例</w:t>
            </w:r>
          </w:p>
        </w:tc>
      </w:tr>
      <w:tr w14:paraId="6F5A0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B5E8A"/>
        </w:tc>
        <w:tc>
          <w:tcPr>
            <w:tcW w:w="2268" w:type="dxa"/>
            <w:vAlign w:val="center"/>
          </w:tcPr>
          <w:p w14:paraId="5B76CDD1">
            <w:pPr>
              <w:pStyle w:val="13"/>
            </w:pPr>
            <w:r>
              <w:t>成本指标</w:t>
            </w:r>
          </w:p>
        </w:tc>
        <w:tc>
          <w:tcPr>
            <w:tcW w:w="2835" w:type="dxa"/>
            <w:vAlign w:val="center"/>
          </w:tcPr>
          <w:p w14:paraId="44956081">
            <w:pPr>
              <w:pStyle w:val="13"/>
            </w:pPr>
            <w:r>
              <w:t>不超预算</w:t>
            </w:r>
          </w:p>
        </w:tc>
        <w:tc>
          <w:tcPr>
            <w:tcW w:w="5386" w:type="dxa"/>
            <w:vAlign w:val="center"/>
          </w:tcPr>
          <w:p w14:paraId="1AD30682">
            <w:pPr>
              <w:pStyle w:val="13"/>
            </w:pPr>
            <w:r>
              <w:t>不超预算</w:t>
            </w:r>
          </w:p>
        </w:tc>
        <w:tc>
          <w:tcPr>
            <w:tcW w:w="2268" w:type="dxa"/>
            <w:vAlign w:val="center"/>
          </w:tcPr>
          <w:p w14:paraId="15521166">
            <w:pPr>
              <w:pStyle w:val="13"/>
            </w:pPr>
            <w:r>
              <w:t>≤289.64万元</w:t>
            </w:r>
          </w:p>
        </w:tc>
        <w:tc>
          <w:tcPr>
            <w:tcW w:w="1276" w:type="dxa"/>
            <w:vAlign w:val="center"/>
          </w:tcPr>
          <w:p w14:paraId="4C563E65">
            <w:pPr>
              <w:pStyle w:val="13"/>
            </w:pPr>
            <w:r>
              <w:t>校园安保条例</w:t>
            </w:r>
          </w:p>
        </w:tc>
      </w:tr>
      <w:tr w14:paraId="1936D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567270">
            <w:pPr>
              <w:pStyle w:val="12"/>
            </w:pPr>
            <w:r>
              <w:t>效益指标</w:t>
            </w:r>
          </w:p>
        </w:tc>
        <w:tc>
          <w:tcPr>
            <w:tcW w:w="2268" w:type="dxa"/>
            <w:vAlign w:val="center"/>
          </w:tcPr>
          <w:p w14:paraId="6CF685A2">
            <w:pPr>
              <w:pStyle w:val="13"/>
            </w:pPr>
            <w:r>
              <w:t>可持续影响指标</w:t>
            </w:r>
          </w:p>
        </w:tc>
        <w:tc>
          <w:tcPr>
            <w:tcW w:w="2835" w:type="dxa"/>
            <w:vAlign w:val="center"/>
          </w:tcPr>
          <w:p w14:paraId="3DC0CA52">
            <w:pPr>
              <w:pStyle w:val="13"/>
            </w:pPr>
            <w:r>
              <w:t>小学学生入学率</w:t>
            </w:r>
          </w:p>
        </w:tc>
        <w:tc>
          <w:tcPr>
            <w:tcW w:w="5386" w:type="dxa"/>
            <w:vAlign w:val="center"/>
          </w:tcPr>
          <w:p w14:paraId="439E1CA1">
            <w:pPr>
              <w:pStyle w:val="13"/>
            </w:pPr>
            <w:r>
              <w:t>小学义务教育阶段学生入学率</w:t>
            </w:r>
          </w:p>
        </w:tc>
        <w:tc>
          <w:tcPr>
            <w:tcW w:w="2268" w:type="dxa"/>
            <w:vAlign w:val="center"/>
          </w:tcPr>
          <w:p w14:paraId="7B89F78B">
            <w:pPr>
              <w:pStyle w:val="13"/>
            </w:pPr>
            <w:r>
              <w:t>≥100%</w:t>
            </w:r>
          </w:p>
        </w:tc>
        <w:tc>
          <w:tcPr>
            <w:tcW w:w="1276" w:type="dxa"/>
            <w:vAlign w:val="center"/>
          </w:tcPr>
          <w:p w14:paraId="1FA4DD3C">
            <w:pPr>
              <w:pStyle w:val="13"/>
            </w:pPr>
            <w:r>
              <w:t>校园安保条例</w:t>
            </w:r>
          </w:p>
        </w:tc>
      </w:tr>
      <w:tr w14:paraId="3222E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11E58D">
            <w:pPr>
              <w:pStyle w:val="12"/>
            </w:pPr>
            <w:r>
              <w:t>满意度指标</w:t>
            </w:r>
          </w:p>
        </w:tc>
        <w:tc>
          <w:tcPr>
            <w:tcW w:w="2268" w:type="dxa"/>
            <w:vAlign w:val="center"/>
          </w:tcPr>
          <w:p w14:paraId="53660930">
            <w:pPr>
              <w:pStyle w:val="13"/>
            </w:pPr>
            <w:r>
              <w:t>服务对象满意度指标</w:t>
            </w:r>
          </w:p>
        </w:tc>
        <w:tc>
          <w:tcPr>
            <w:tcW w:w="2835" w:type="dxa"/>
            <w:vAlign w:val="center"/>
          </w:tcPr>
          <w:p w14:paraId="5A1D16F8">
            <w:pPr>
              <w:pStyle w:val="13"/>
            </w:pPr>
            <w:r>
              <w:t>服务对象满意度</w:t>
            </w:r>
          </w:p>
        </w:tc>
        <w:tc>
          <w:tcPr>
            <w:tcW w:w="5386" w:type="dxa"/>
            <w:vAlign w:val="center"/>
          </w:tcPr>
          <w:p w14:paraId="64A6CC0B">
            <w:pPr>
              <w:pStyle w:val="13"/>
            </w:pPr>
            <w:r>
              <w:t>学生和家长满意度</w:t>
            </w:r>
          </w:p>
        </w:tc>
        <w:tc>
          <w:tcPr>
            <w:tcW w:w="2268" w:type="dxa"/>
            <w:vAlign w:val="center"/>
          </w:tcPr>
          <w:p w14:paraId="3546BE0C">
            <w:pPr>
              <w:pStyle w:val="13"/>
            </w:pPr>
            <w:r>
              <w:t>≥95%</w:t>
            </w:r>
          </w:p>
        </w:tc>
        <w:tc>
          <w:tcPr>
            <w:tcW w:w="1276" w:type="dxa"/>
            <w:vAlign w:val="center"/>
          </w:tcPr>
          <w:p w14:paraId="28023C19">
            <w:pPr>
              <w:pStyle w:val="13"/>
            </w:pPr>
            <w:r>
              <w:t>调查问卷</w:t>
            </w:r>
          </w:p>
        </w:tc>
      </w:tr>
    </w:tbl>
    <w:p w14:paraId="0995E168">
      <w:pPr>
        <w:sectPr>
          <w:pgSz w:w="16840" w:h="11900" w:orient="landscape"/>
          <w:pgMar w:top="1361" w:right="1020" w:bottom="1134" w:left="1020" w:header="720" w:footer="720" w:gutter="0"/>
          <w:cols w:space="720" w:num="1"/>
        </w:sectPr>
      </w:pPr>
    </w:p>
    <w:p w14:paraId="0752A625">
      <w:pPr>
        <w:spacing w:before="10" w:after="10" w:line="240" w:lineRule="auto"/>
        <w:ind w:firstLine="640"/>
        <w:jc w:val="left"/>
        <w:outlineLvl w:val="5"/>
      </w:pPr>
      <w:r>
        <w:rPr>
          <w:rFonts w:ascii="黑体" w:hAnsi="黑体" w:eastAsia="黑体" w:cs="黑体"/>
          <w:color w:val="000000"/>
          <w:sz w:val="32"/>
        </w:rPr>
        <w:t>六、政府采购预算情况</w:t>
      </w:r>
    </w:p>
    <w:p w14:paraId="57395E6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AE0B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91B5A33">
            <w:pPr>
              <w:pStyle w:val="8"/>
            </w:pPr>
            <w:r>
              <w:t>360001隆尧县教育局本级</w:t>
            </w:r>
          </w:p>
        </w:tc>
        <w:tc>
          <w:tcPr>
            <w:tcW w:w="7712" w:type="dxa"/>
            <w:gridSpan w:val="8"/>
            <w:tcBorders>
              <w:top w:val="single" w:color="FFFFFF" w:sz="6" w:space="0"/>
              <w:left w:val="single" w:color="FFFFFF" w:sz="6" w:space="0"/>
              <w:right w:val="single" w:color="FFFFFF" w:sz="6" w:space="0"/>
            </w:tcBorders>
            <w:vAlign w:val="center"/>
          </w:tcPr>
          <w:p w14:paraId="4EA47CA0">
            <w:pPr>
              <w:pStyle w:val="22"/>
            </w:pPr>
            <w:r>
              <w:t>单位：万元</w:t>
            </w:r>
          </w:p>
        </w:tc>
      </w:tr>
      <w:tr w14:paraId="538F1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8F71F50">
            <w:pPr>
              <w:pStyle w:val="11"/>
            </w:pPr>
            <w:r>
              <w:t>政府采购项目来源</w:t>
            </w:r>
          </w:p>
        </w:tc>
        <w:tc>
          <w:tcPr>
            <w:tcW w:w="1134" w:type="dxa"/>
            <w:vMerge w:val="restart"/>
            <w:vAlign w:val="center"/>
          </w:tcPr>
          <w:p w14:paraId="3A1B1BB3">
            <w:pPr>
              <w:pStyle w:val="11"/>
            </w:pPr>
            <w:r>
              <w:t>采购物品名称</w:t>
            </w:r>
          </w:p>
        </w:tc>
        <w:tc>
          <w:tcPr>
            <w:tcW w:w="1134" w:type="dxa"/>
            <w:vMerge w:val="restart"/>
            <w:vAlign w:val="center"/>
          </w:tcPr>
          <w:p w14:paraId="75B70C14">
            <w:pPr>
              <w:pStyle w:val="11"/>
            </w:pPr>
            <w:r>
              <w:t>政府采购目录序号</w:t>
            </w:r>
          </w:p>
        </w:tc>
        <w:tc>
          <w:tcPr>
            <w:tcW w:w="709" w:type="dxa"/>
            <w:vMerge w:val="restart"/>
            <w:vAlign w:val="center"/>
          </w:tcPr>
          <w:p w14:paraId="02E82664">
            <w:pPr>
              <w:pStyle w:val="11"/>
            </w:pPr>
            <w:r>
              <w:t>计量  单位</w:t>
            </w:r>
          </w:p>
        </w:tc>
        <w:tc>
          <w:tcPr>
            <w:tcW w:w="850" w:type="dxa"/>
            <w:vMerge w:val="restart"/>
            <w:vAlign w:val="center"/>
          </w:tcPr>
          <w:p w14:paraId="0C1B5912">
            <w:pPr>
              <w:pStyle w:val="11"/>
            </w:pPr>
            <w:r>
              <w:t>数量</w:t>
            </w:r>
          </w:p>
        </w:tc>
        <w:tc>
          <w:tcPr>
            <w:tcW w:w="850" w:type="dxa"/>
            <w:vMerge w:val="restart"/>
            <w:vAlign w:val="center"/>
          </w:tcPr>
          <w:p w14:paraId="3BC66847">
            <w:pPr>
              <w:pStyle w:val="11"/>
            </w:pPr>
            <w:r>
              <w:t>单价</w:t>
            </w:r>
          </w:p>
        </w:tc>
        <w:tc>
          <w:tcPr>
            <w:tcW w:w="6748" w:type="dxa"/>
            <w:gridSpan w:val="7"/>
            <w:vAlign w:val="center"/>
          </w:tcPr>
          <w:p w14:paraId="1D460752">
            <w:pPr>
              <w:pStyle w:val="11"/>
            </w:pPr>
            <w:r>
              <w:t>政府采购金额（当年部门预算安排资金）</w:t>
            </w:r>
          </w:p>
        </w:tc>
        <w:tc>
          <w:tcPr>
            <w:tcW w:w="964" w:type="dxa"/>
            <w:vMerge w:val="restart"/>
            <w:vAlign w:val="center"/>
          </w:tcPr>
          <w:p w14:paraId="54804EC4">
            <w:pPr>
              <w:pStyle w:val="11"/>
            </w:pPr>
            <w:r>
              <w:t>2025年  预留中  小微企  业份额</w:t>
            </w:r>
          </w:p>
        </w:tc>
      </w:tr>
      <w:tr w14:paraId="42B84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ACCB75E">
            <w:pPr>
              <w:pStyle w:val="11"/>
            </w:pPr>
            <w:r>
              <w:t>项目名称</w:t>
            </w:r>
          </w:p>
        </w:tc>
        <w:tc>
          <w:tcPr>
            <w:tcW w:w="964" w:type="dxa"/>
            <w:vAlign w:val="center"/>
          </w:tcPr>
          <w:p w14:paraId="160C0816">
            <w:pPr>
              <w:pStyle w:val="11"/>
            </w:pPr>
            <w:r>
              <w:t>预算    资金</w:t>
            </w:r>
          </w:p>
        </w:tc>
        <w:tc>
          <w:tcPr>
            <w:tcW w:w="1134" w:type="dxa"/>
            <w:vMerge w:val="continue"/>
          </w:tcPr>
          <w:p w14:paraId="0167874E"/>
        </w:tc>
        <w:tc>
          <w:tcPr>
            <w:tcW w:w="1134" w:type="dxa"/>
            <w:vMerge w:val="continue"/>
          </w:tcPr>
          <w:p w14:paraId="4177DA71"/>
        </w:tc>
        <w:tc>
          <w:tcPr>
            <w:tcW w:w="709" w:type="dxa"/>
            <w:vMerge w:val="continue"/>
          </w:tcPr>
          <w:p w14:paraId="78C301D8"/>
        </w:tc>
        <w:tc>
          <w:tcPr>
            <w:tcW w:w="850" w:type="dxa"/>
            <w:vMerge w:val="continue"/>
          </w:tcPr>
          <w:p w14:paraId="29D1EBC3"/>
        </w:tc>
        <w:tc>
          <w:tcPr>
            <w:tcW w:w="850" w:type="dxa"/>
            <w:vMerge w:val="continue"/>
          </w:tcPr>
          <w:p w14:paraId="6D750C68"/>
        </w:tc>
        <w:tc>
          <w:tcPr>
            <w:tcW w:w="964" w:type="dxa"/>
            <w:vAlign w:val="center"/>
          </w:tcPr>
          <w:p w14:paraId="32CA26E0">
            <w:pPr>
              <w:pStyle w:val="11"/>
            </w:pPr>
            <w:r>
              <w:t>合计</w:t>
            </w:r>
          </w:p>
        </w:tc>
        <w:tc>
          <w:tcPr>
            <w:tcW w:w="964" w:type="dxa"/>
            <w:vAlign w:val="center"/>
          </w:tcPr>
          <w:p w14:paraId="6AB490AF">
            <w:pPr>
              <w:pStyle w:val="11"/>
            </w:pPr>
            <w:r>
              <w:t>一般公共预算拨款</w:t>
            </w:r>
          </w:p>
        </w:tc>
        <w:tc>
          <w:tcPr>
            <w:tcW w:w="964" w:type="dxa"/>
            <w:vAlign w:val="center"/>
          </w:tcPr>
          <w:p w14:paraId="374A34C8">
            <w:pPr>
              <w:pStyle w:val="11"/>
            </w:pPr>
            <w:r>
              <w:t>基金预算拨款</w:t>
            </w:r>
          </w:p>
        </w:tc>
        <w:tc>
          <w:tcPr>
            <w:tcW w:w="964" w:type="dxa"/>
            <w:vAlign w:val="center"/>
          </w:tcPr>
          <w:p w14:paraId="0D6D6C03">
            <w:pPr>
              <w:pStyle w:val="11"/>
            </w:pPr>
            <w:r>
              <w:t>国有资本经营预算拨款</w:t>
            </w:r>
          </w:p>
        </w:tc>
        <w:tc>
          <w:tcPr>
            <w:tcW w:w="964" w:type="dxa"/>
            <w:vAlign w:val="center"/>
          </w:tcPr>
          <w:p w14:paraId="730ECDB2">
            <w:pPr>
              <w:pStyle w:val="11"/>
            </w:pPr>
            <w:r>
              <w:t>财政专户核拨</w:t>
            </w:r>
          </w:p>
        </w:tc>
        <w:tc>
          <w:tcPr>
            <w:tcW w:w="964" w:type="dxa"/>
            <w:vAlign w:val="center"/>
          </w:tcPr>
          <w:p w14:paraId="4BE74281">
            <w:pPr>
              <w:pStyle w:val="11"/>
            </w:pPr>
            <w:r>
              <w:t>单位    资金</w:t>
            </w:r>
          </w:p>
        </w:tc>
        <w:tc>
          <w:tcPr>
            <w:tcW w:w="964" w:type="dxa"/>
            <w:vAlign w:val="center"/>
          </w:tcPr>
          <w:p w14:paraId="352E20AF">
            <w:pPr>
              <w:pStyle w:val="11"/>
            </w:pPr>
            <w:r>
              <w:t>上年结转结余</w:t>
            </w:r>
          </w:p>
        </w:tc>
        <w:tc>
          <w:tcPr>
            <w:tcW w:w="964" w:type="dxa"/>
            <w:vMerge w:val="continue"/>
          </w:tcPr>
          <w:p w14:paraId="322E8852"/>
        </w:tc>
      </w:tr>
      <w:tr w14:paraId="50FEC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85443B8">
            <w:pPr>
              <w:pStyle w:val="15"/>
            </w:pPr>
            <w:r>
              <w:t>合  计</w:t>
            </w:r>
          </w:p>
        </w:tc>
        <w:tc>
          <w:tcPr>
            <w:tcW w:w="964" w:type="dxa"/>
            <w:vAlign w:val="center"/>
          </w:tcPr>
          <w:p w14:paraId="6ED1DC5B">
            <w:pPr>
              <w:pStyle w:val="16"/>
            </w:pPr>
          </w:p>
        </w:tc>
        <w:tc>
          <w:tcPr>
            <w:tcW w:w="1134" w:type="dxa"/>
            <w:vAlign w:val="center"/>
          </w:tcPr>
          <w:p w14:paraId="051BCE0F">
            <w:pPr>
              <w:pStyle w:val="17"/>
            </w:pPr>
          </w:p>
        </w:tc>
        <w:tc>
          <w:tcPr>
            <w:tcW w:w="1134" w:type="dxa"/>
            <w:vAlign w:val="center"/>
          </w:tcPr>
          <w:p w14:paraId="24FD61E6">
            <w:pPr>
              <w:pStyle w:val="17"/>
            </w:pPr>
          </w:p>
        </w:tc>
        <w:tc>
          <w:tcPr>
            <w:tcW w:w="709" w:type="dxa"/>
            <w:vAlign w:val="center"/>
          </w:tcPr>
          <w:p w14:paraId="41EBEADC">
            <w:pPr>
              <w:pStyle w:val="15"/>
            </w:pPr>
          </w:p>
        </w:tc>
        <w:tc>
          <w:tcPr>
            <w:tcW w:w="850" w:type="dxa"/>
            <w:vAlign w:val="center"/>
          </w:tcPr>
          <w:p w14:paraId="4865D858">
            <w:pPr>
              <w:pStyle w:val="16"/>
            </w:pPr>
          </w:p>
        </w:tc>
        <w:tc>
          <w:tcPr>
            <w:tcW w:w="850" w:type="dxa"/>
            <w:vAlign w:val="center"/>
          </w:tcPr>
          <w:p w14:paraId="51786E48">
            <w:pPr>
              <w:pStyle w:val="16"/>
            </w:pPr>
          </w:p>
        </w:tc>
        <w:tc>
          <w:tcPr>
            <w:tcW w:w="964" w:type="dxa"/>
            <w:vAlign w:val="center"/>
          </w:tcPr>
          <w:p w14:paraId="300BF750">
            <w:pPr>
              <w:pStyle w:val="16"/>
            </w:pPr>
            <w:r>
              <w:t>395.00</w:t>
            </w:r>
          </w:p>
        </w:tc>
        <w:tc>
          <w:tcPr>
            <w:tcW w:w="964" w:type="dxa"/>
            <w:vAlign w:val="center"/>
          </w:tcPr>
          <w:p w14:paraId="2BBF9E96">
            <w:pPr>
              <w:pStyle w:val="16"/>
            </w:pPr>
            <w:r>
              <w:t>395.00</w:t>
            </w:r>
          </w:p>
        </w:tc>
        <w:tc>
          <w:tcPr>
            <w:tcW w:w="964" w:type="dxa"/>
            <w:vAlign w:val="center"/>
          </w:tcPr>
          <w:p w14:paraId="45A8388C">
            <w:pPr>
              <w:pStyle w:val="16"/>
            </w:pPr>
          </w:p>
        </w:tc>
        <w:tc>
          <w:tcPr>
            <w:tcW w:w="964" w:type="dxa"/>
            <w:vAlign w:val="center"/>
          </w:tcPr>
          <w:p w14:paraId="6CF4B327">
            <w:pPr>
              <w:pStyle w:val="16"/>
            </w:pPr>
          </w:p>
        </w:tc>
        <w:tc>
          <w:tcPr>
            <w:tcW w:w="964" w:type="dxa"/>
            <w:vAlign w:val="center"/>
          </w:tcPr>
          <w:p w14:paraId="4178FEC8">
            <w:pPr>
              <w:pStyle w:val="16"/>
            </w:pPr>
          </w:p>
        </w:tc>
        <w:tc>
          <w:tcPr>
            <w:tcW w:w="964" w:type="dxa"/>
            <w:vAlign w:val="center"/>
          </w:tcPr>
          <w:p w14:paraId="3D175F51">
            <w:pPr>
              <w:pStyle w:val="16"/>
            </w:pPr>
          </w:p>
        </w:tc>
        <w:tc>
          <w:tcPr>
            <w:tcW w:w="964" w:type="dxa"/>
            <w:vAlign w:val="center"/>
          </w:tcPr>
          <w:p w14:paraId="591BBCC4">
            <w:pPr>
              <w:pStyle w:val="16"/>
            </w:pPr>
          </w:p>
        </w:tc>
        <w:tc>
          <w:tcPr>
            <w:tcW w:w="964" w:type="dxa"/>
            <w:vAlign w:val="center"/>
          </w:tcPr>
          <w:p w14:paraId="0F2CBAE7">
            <w:pPr>
              <w:pStyle w:val="16"/>
            </w:pPr>
            <w:r>
              <w:t>395.00</w:t>
            </w:r>
          </w:p>
        </w:tc>
      </w:tr>
      <w:tr w14:paraId="491C4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E2507AE">
            <w:pPr>
              <w:pStyle w:val="15"/>
            </w:pPr>
            <w:r>
              <w:t>隆尧县教育局本级小计</w:t>
            </w:r>
          </w:p>
        </w:tc>
        <w:tc>
          <w:tcPr>
            <w:tcW w:w="964" w:type="dxa"/>
            <w:vAlign w:val="center"/>
          </w:tcPr>
          <w:p w14:paraId="7815FDDB">
            <w:pPr>
              <w:pStyle w:val="16"/>
            </w:pPr>
          </w:p>
        </w:tc>
        <w:tc>
          <w:tcPr>
            <w:tcW w:w="1134" w:type="dxa"/>
            <w:vAlign w:val="center"/>
          </w:tcPr>
          <w:p w14:paraId="798BBABA">
            <w:pPr>
              <w:pStyle w:val="17"/>
            </w:pPr>
          </w:p>
        </w:tc>
        <w:tc>
          <w:tcPr>
            <w:tcW w:w="1134" w:type="dxa"/>
            <w:vAlign w:val="center"/>
          </w:tcPr>
          <w:p w14:paraId="74A3A4BF">
            <w:pPr>
              <w:pStyle w:val="17"/>
            </w:pPr>
          </w:p>
        </w:tc>
        <w:tc>
          <w:tcPr>
            <w:tcW w:w="709" w:type="dxa"/>
            <w:vAlign w:val="center"/>
          </w:tcPr>
          <w:p w14:paraId="493762B8">
            <w:pPr>
              <w:pStyle w:val="15"/>
            </w:pPr>
          </w:p>
        </w:tc>
        <w:tc>
          <w:tcPr>
            <w:tcW w:w="850" w:type="dxa"/>
            <w:vAlign w:val="center"/>
          </w:tcPr>
          <w:p w14:paraId="45F0FA54">
            <w:pPr>
              <w:pStyle w:val="16"/>
            </w:pPr>
          </w:p>
        </w:tc>
        <w:tc>
          <w:tcPr>
            <w:tcW w:w="850" w:type="dxa"/>
            <w:vAlign w:val="center"/>
          </w:tcPr>
          <w:p w14:paraId="2243E233">
            <w:pPr>
              <w:pStyle w:val="16"/>
            </w:pPr>
          </w:p>
        </w:tc>
        <w:tc>
          <w:tcPr>
            <w:tcW w:w="964" w:type="dxa"/>
            <w:vAlign w:val="center"/>
          </w:tcPr>
          <w:p w14:paraId="066E7781">
            <w:pPr>
              <w:pStyle w:val="16"/>
            </w:pPr>
            <w:r>
              <w:t>395.00</w:t>
            </w:r>
          </w:p>
        </w:tc>
        <w:tc>
          <w:tcPr>
            <w:tcW w:w="964" w:type="dxa"/>
            <w:vAlign w:val="center"/>
          </w:tcPr>
          <w:p w14:paraId="62C8CD08">
            <w:pPr>
              <w:pStyle w:val="16"/>
            </w:pPr>
            <w:r>
              <w:t>395.00</w:t>
            </w:r>
          </w:p>
        </w:tc>
        <w:tc>
          <w:tcPr>
            <w:tcW w:w="964" w:type="dxa"/>
            <w:vAlign w:val="center"/>
          </w:tcPr>
          <w:p w14:paraId="67CFB70E">
            <w:pPr>
              <w:pStyle w:val="16"/>
            </w:pPr>
          </w:p>
        </w:tc>
        <w:tc>
          <w:tcPr>
            <w:tcW w:w="964" w:type="dxa"/>
            <w:vAlign w:val="center"/>
          </w:tcPr>
          <w:p w14:paraId="2569D343">
            <w:pPr>
              <w:pStyle w:val="16"/>
            </w:pPr>
          </w:p>
        </w:tc>
        <w:tc>
          <w:tcPr>
            <w:tcW w:w="964" w:type="dxa"/>
            <w:vAlign w:val="center"/>
          </w:tcPr>
          <w:p w14:paraId="6E1FBBA8">
            <w:pPr>
              <w:pStyle w:val="16"/>
            </w:pPr>
          </w:p>
        </w:tc>
        <w:tc>
          <w:tcPr>
            <w:tcW w:w="964" w:type="dxa"/>
            <w:vAlign w:val="center"/>
          </w:tcPr>
          <w:p w14:paraId="0BDE5FF8">
            <w:pPr>
              <w:pStyle w:val="16"/>
            </w:pPr>
          </w:p>
        </w:tc>
        <w:tc>
          <w:tcPr>
            <w:tcW w:w="964" w:type="dxa"/>
            <w:vAlign w:val="center"/>
          </w:tcPr>
          <w:p w14:paraId="25C97028">
            <w:pPr>
              <w:pStyle w:val="16"/>
            </w:pPr>
          </w:p>
        </w:tc>
        <w:tc>
          <w:tcPr>
            <w:tcW w:w="964" w:type="dxa"/>
            <w:vAlign w:val="center"/>
          </w:tcPr>
          <w:p w14:paraId="6F189994">
            <w:pPr>
              <w:pStyle w:val="16"/>
            </w:pPr>
            <w:r>
              <w:t>395.00</w:t>
            </w:r>
          </w:p>
        </w:tc>
      </w:tr>
      <w:tr w14:paraId="69625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56BB06">
            <w:pPr>
              <w:pStyle w:val="13"/>
            </w:pPr>
            <w:r>
              <w:t>冀财预[2024]54号/提前下达/革命老区/实验小学等10个学校护眼灯改造项目</w:t>
            </w:r>
          </w:p>
        </w:tc>
        <w:tc>
          <w:tcPr>
            <w:tcW w:w="964" w:type="dxa"/>
            <w:vAlign w:val="center"/>
          </w:tcPr>
          <w:p w14:paraId="30C643FE">
            <w:pPr>
              <w:pStyle w:val="14"/>
            </w:pPr>
            <w:r>
              <w:t>395.00</w:t>
            </w:r>
          </w:p>
        </w:tc>
        <w:tc>
          <w:tcPr>
            <w:tcW w:w="1134" w:type="dxa"/>
            <w:vAlign w:val="center"/>
          </w:tcPr>
          <w:p w14:paraId="362AB1D4">
            <w:pPr>
              <w:pStyle w:val="13"/>
            </w:pPr>
            <w:r>
              <w:t>室内照明灯具</w:t>
            </w:r>
          </w:p>
        </w:tc>
        <w:tc>
          <w:tcPr>
            <w:tcW w:w="1134" w:type="dxa"/>
            <w:vAlign w:val="center"/>
          </w:tcPr>
          <w:p w14:paraId="01A3283F">
            <w:pPr>
              <w:pStyle w:val="13"/>
            </w:pPr>
            <w:r>
              <w:t>A02061908</w:t>
            </w:r>
          </w:p>
        </w:tc>
        <w:tc>
          <w:tcPr>
            <w:tcW w:w="709" w:type="dxa"/>
            <w:vAlign w:val="center"/>
          </w:tcPr>
          <w:p w14:paraId="7969E1E5">
            <w:pPr>
              <w:pStyle w:val="12"/>
            </w:pPr>
            <w:r>
              <w:t>万元</w:t>
            </w:r>
          </w:p>
        </w:tc>
        <w:tc>
          <w:tcPr>
            <w:tcW w:w="850" w:type="dxa"/>
            <w:vAlign w:val="center"/>
          </w:tcPr>
          <w:p w14:paraId="3DE6CFE3">
            <w:pPr>
              <w:pStyle w:val="14"/>
            </w:pPr>
            <w:r>
              <w:t>1</w:t>
            </w:r>
          </w:p>
        </w:tc>
        <w:tc>
          <w:tcPr>
            <w:tcW w:w="850" w:type="dxa"/>
            <w:vAlign w:val="center"/>
          </w:tcPr>
          <w:p w14:paraId="0B0B871A">
            <w:pPr>
              <w:pStyle w:val="14"/>
            </w:pPr>
            <w:r>
              <w:t>395.00</w:t>
            </w:r>
          </w:p>
        </w:tc>
        <w:tc>
          <w:tcPr>
            <w:tcW w:w="964" w:type="dxa"/>
            <w:vAlign w:val="center"/>
          </w:tcPr>
          <w:p w14:paraId="1DBC6CF3">
            <w:pPr>
              <w:pStyle w:val="14"/>
            </w:pPr>
            <w:r>
              <w:t>395.00</w:t>
            </w:r>
          </w:p>
        </w:tc>
        <w:tc>
          <w:tcPr>
            <w:tcW w:w="964" w:type="dxa"/>
            <w:vAlign w:val="center"/>
          </w:tcPr>
          <w:p w14:paraId="6DCE3ADC">
            <w:pPr>
              <w:pStyle w:val="14"/>
            </w:pPr>
            <w:r>
              <w:t>395.00</w:t>
            </w:r>
          </w:p>
        </w:tc>
        <w:tc>
          <w:tcPr>
            <w:tcW w:w="964" w:type="dxa"/>
            <w:vAlign w:val="center"/>
          </w:tcPr>
          <w:p w14:paraId="60FE7F7C">
            <w:pPr>
              <w:pStyle w:val="14"/>
            </w:pPr>
          </w:p>
        </w:tc>
        <w:tc>
          <w:tcPr>
            <w:tcW w:w="964" w:type="dxa"/>
            <w:vAlign w:val="center"/>
          </w:tcPr>
          <w:p w14:paraId="5BFDAFDD">
            <w:pPr>
              <w:pStyle w:val="14"/>
            </w:pPr>
          </w:p>
        </w:tc>
        <w:tc>
          <w:tcPr>
            <w:tcW w:w="964" w:type="dxa"/>
            <w:vAlign w:val="center"/>
          </w:tcPr>
          <w:p w14:paraId="65A03BD1">
            <w:pPr>
              <w:pStyle w:val="14"/>
            </w:pPr>
          </w:p>
        </w:tc>
        <w:tc>
          <w:tcPr>
            <w:tcW w:w="964" w:type="dxa"/>
            <w:vAlign w:val="center"/>
          </w:tcPr>
          <w:p w14:paraId="7FD68B57">
            <w:pPr>
              <w:pStyle w:val="14"/>
            </w:pPr>
          </w:p>
        </w:tc>
        <w:tc>
          <w:tcPr>
            <w:tcW w:w="964" w:type="dxa"/>
            <w:vAlign w:val="center"/>
          </w:tcPr>
          <w:p w14:paraId="23AD57D9">
            <w:pPr>
              <w:pStyle w:val="14"/>
            </w:pPr>
          </w:p>
        </w:tc>
        <w:tc>
          <w:tcPr>
            <w:tcW w:w="964" w:type="dxa"/>
            <w:vAlign w:val="center"/>
          </w:tcPr>
          <w:p w14:paraId="73995AFD">
            <w:pPr>
              <w:pStyle w:val="14"/>
            </w:pPr>
            <w:r>
              <w:t>395.00</w:t>
            </w:r>
          </w:p>
        </w:tc>
      </w:tr>
    </w:tbl>
    <w:p w14:paraId="08B8458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51C827">
      <w:pPr>
        <w:spacing w:before="0" w:after="0"/>
        <w:ind w:firstLine="640"/>
        <w:jc w:val="left"/>
        <w:outlineLvl w:val="9"/>
      </w:pPr>
      <w:r>
        <w:rPr>
          <w:rFonts w:ascii="Times New Roman" w:hAnsi="Times New Roman" w:eastAsia="方正仿宋_GBK" w:cs="Times New Roman"/>
          <w:color w:val="000000"/>
          <w:sz w:val="32"/>
        </w:rPr>
        <w:t xml:space="preserve"> </w:t>
      </w:r>
    </w:p>
    <w:p w14:paraId="51D4F20E">
      <w:pPr>
        <w:spacing w:before="10" w:after="10" w:line="240" w:lineRule="auto"/>
        <w:ind w:firstLine="640"/>
        <w:jc w:val="left"/>
        <w:outlineLvl w:val="5"/>
        <w:rPr>
          <w:rFonts w:ascii="黑体" w:hAnsi="黑体" w:eastAsia="黑体" w:cs="黑体"/>
          <w:color w:val="000000"/>
          <w:sz w:val="32"/>
        </w:rPr>
      </w:pPr>
    </w:p>
    <w:p w14:paraId="34399898">
      <w:pPr>
        <w:spacing w:before="10" w:after="10" w:line="240" w:lineRule="auto"/>
        <w:ind w:firstLine="640"/>
        <w:jc w:val="left"/>
        <w:outlineLvl w:val="5"/>
        <w:rPr>
          <w:rFonts w:ascii="黑体" w:hAnsi="黑体" w:eastAsia="黑体" w:cs="黑体"/>
          <w:color w:val="000000"/>
          <w:sz w:val="32"/>
        </w:rPr>
      </w:pPr>
    </w:p>
    <w:p w14:paraId="30911457">
      <w:pPr>
        <w:spacing w:before="10" w:after="10" w:line="240" w:lineRule="auto"/>
        <w:ind w:firstLine="640"/>
        <w:jc w:val="left"/>
        <w:outlineLvl w:val="5"/>
        <w:rPr>
          <w:rFonts w:ascii="黑体" w:hAnsi="黑体" w:eastAsia="黑体" w:cs="黑体"/>
          <w:color w:val="000000"/>
          <w:sz w:val="32"/>
        </w:rPr>
      </w:pPr>
    </w:p>
    <w:p w14:paraId="4CECBCE6">
      <w:pPr>
        <w:spacing w:before="10" w:after="10" w:line="240" w:lineRule="auto"/>
        <w:ind w:firstLine="640"/>
        <w:jc w:val="left"/>
        <w:outlineLvl w:val="5"/>
        <w:rPr>
          <w:rFonts w:ascii="黑体" w:hAnsi="黑体" w:eastAsia="黑体" w:cs="黑体"/>
          <w:color w:val="000000"/>
          <w:sz w:val="32"/>
        </w:rPr>
      </w:pPr>
    </w:p>
    <w:p w14:paraId="1273EEC9">
      <w:pPr>
        <w:spacing w:before="10" w:after="10" w:line="240" w:lineRule="auto"/>
        <w:ind w:firstLine="640"/>
        <w:jc w:val="left"/>
        <w:outlineLvl w:val="5"/>
        <w:rPr>
          <w:rFonts w:ascii="黑体" w:hAnsi="黑体" w:eastAsia="黑体" w:cs="黑体"/>
          <w:color w:val="000000"/>
          <w:sz w:val="32"/>
        </w:rPr>
      </w:pPr>
    </w:p>
    <w:p w14:paraId="5CBD1A8B">
      <w:pPr>
        <w:spacing w:before="10" w:after="10" w:line="240" w:lineRule="auto"/>
        <w:ind w:firstLine="640"/>
        <w:jc w:val="left"/>
        <w:outlineLvl w:val="5"/>
        <w:rPr>
          <w:rFonts w:ascii="黑体" w:hAnsi="黑体" w:eastAsia="黑体" w:cs="黑体"/>
          <w:color w:val="000000"/>
          <w:sz w:val="32"/>
        </w:rPr>
      </w:pPr>
    </w:p>
    <w:p w14:paraId="070E140E">
      <w:pPr>
        <w:spacing w:before="10" w:after="10" w:line="240" w:lineRule="auto"/>
        <w:ind w:firstLine="640"/>
        <w:jc w:val="left"/>
        <w:outlineLvl w:val="5"/>
        <w:rPr>
          <w:rFonts w:ascii="黑体" w:hAnsi="黑体" w:eastAsia="黑体" w:cs="黑体"/>
          <w:color w:val="000000"/>
          <w:sz w:val="32"/>
        </w:rPr>
      </w:pPr>
    </w:p>
    <w:p w14:paraId="478D063A">
      <w:pPr>
        <w:spacing w:before="10" w:after="10" w:line="240" w:lineRule="auto"/>
        <w:ind w:firstLine="640"/>
        <w:jc w:val="left"/>
        <w:outlineLvl w:val="5"/>
      </w:pPr>
      <w:r>
        <w:rPr>
          <w:rFonts w:ascii="黑体" w:hAnsi="黑体" w:eastAsia="黑体" w:cs="黑体"/>
          <w:color w:val="000000"/>
          <w:sz w:val="32"/>
        </w:rPr>
        <w:t>七、国有资产信息</w:t>
      </w:r>
    </w:p>
    <w:p w14:paraId="53A88269">
      <w:pPr>
        <w:spacing w:before="0" w:after="0" w:line="500" w:lineRule="exact"/>
        <w:ind w:firstLine="560"/>
        <w:jc w:val="left"/>
        <w:outlineLvl w:val="9"/>
      </w:pPr>
      <w:r>
        <w:rPr>
          <w:rFonts w:ascii="Times New Roman" w:hAnsi="Times New Roman" w:eastAsia="方正仿宋_GBK" w:cs="Times New Roman"/>
          <w:b w:val="0"/>
          <w:color w:val="000000"/>
          <w:sz w:val="28"/>
        </w:rPr>
        <w:t>隆尧县教育局本级上年末固定资产金额为437.48万元（详见下表）。本年度拟购置固定资产总额为4.00万元，已按要求列入政府采购预算，详见政府采购预算表。</w:t>
      </w:r>
    </w:p>
    <w:p w14:paraId="28ECD9C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F275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68B99F8">
            <w:pPr>
              <w:pStyle w:val="8"/>
            </w:pPr>
            <w:r>
              <w:t>360001隆尧县教育局本级</w:t>
            </w:r>
          </w:p>
        </w:tc>
        <w:tc>
          <w:tcPr>
            <w:tcW w:w="5670" w:type="dxa"/>
            <w:gridSpan w:val="2"/>
            <w:tcBorders>
              <w:top w:val="single" w:color="FFFFFF" w:sz="6" w:space="0"/>
              <w:left w:val="single" w:color="FFFFFF" w:sz="6" w:space="0"/>
              <w:right w:val="single" w:color="FFFFFF" w:sz="6" w:space="0"/>
            </w:tcBorders>
            <w:vAlign w:val="center"/>
          </w:tcPr>
          <w:p w14:paraId="12D5A033">
            <w:pPr>
              <w:pStyle w:val="10"/>
            </w:pPr>
            <w:r>
              <w:t>截止时间：2024-12-31</w:t>
            </w:r>
          </w:p>
        </w:tc>
      </w:tr>
      <w:tr w14:paraId="57546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874CD41">
            <w:pPr>
              <w:pStyle w:val="11"/>
            </w:pPr>
            <w:r>
              <w:t>项   目</w:t>
            </w:r>
          </w:p>
        </w:tc>
        <w:tc>
          <w:tcPr>
            <w:tcW w:w="2835" w:type="dxa"/>
            <w:vAlign w:val="center"/>
          </w:tcPr>
          <w:p w14:paraId="6E234BDB">
            <w:pPr>
              <w:pStyle w:val="11"/>
            </w:pPr>
            <w:r>
              <w:t>数量</w:t>
            </w:r>
          </w:p>
        </w:tc>
        <w:tc>
          <w:tcPr>
            <w:tcW w:w="2835" w:type="dxa"/>
            <w:vAlign w:val="center"/>
          </w:tcPr>
          <w:p w14:paraId="66022831">
            <w:pPr>
              <w:pStyle w:val="11"/>
            </w:pPr>
            <w:r>
              <w:t>价值（金额单位：万元）</w:t>
            </w:r>
          </w:p>
        </w:tc>
      </w:tr>
      <w:tr w14:paraId="6CAD4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4418C6">
            <w:pPr>
              <w:pStyle w:val="13"/>
            </w:pPr>
            <w:r>
              <w:t>资产总额</w:t>
            </w:r>
          </w:p>
        </w:tc>
        <w:tc>
          <w:tcPr>
            <w:tcW w:w="2835" w:type="dxa"/>
            <w:vAlign w:val="center"/>
          </w:tcPr>
          <w:p w14:paraId="395869B5">
            <w:pPr>
              <w:pStyle w:val="12"/>
            </w:pPr>
          </w:p>
        </w:tc>
        <w:tc>
          <w:tcPr>
            <w:tcW w:w="2835" w:type="dxa"/>
            <w:vAlign w:val="center"/>
          </w:tcPr>
          <w:p w14:paraId="141C6D04">
            <w:pPr>
              <w:pStyle w:val="14"/>
            </w:pPr>
            <w:r>
              <w:t>437.48</w:t>
            </w:r>
          </w:p>
        </w:tc>
      </w:tr>
      <w:tr w14:paraId="611EC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C5E200">
            <w:pPr>
              <w:pStyle w:val="13"/>
            </w:pPr>
            <w:r>
              <w:t>1、房屋（平方米）</w:t>
            </w:r>
          </w:p>
        </w:tc>
        <w:tc>
          <w:tcPr>
            <w:tcW w:w="2835" w:type="dxa"/>
            <w:vAlign w:val="center"/>
          </w:tcPr>
          <w:p w14:paraId="44EB08A5">
            <w:pPr>
              <w:pStyle w:val="12"/>
            </w:pPr>
            <w:r>
              <w:t>3314</w:t>
            </w:r>
          </w:p>
        </w:tc>
        <w:tc>
          <w:tcPr>
            <w:tcW w:w="2835" w:type="dxa"/>
            <w:vAlign w:val="center"/>
          </w:tcPr>
          <w:p w14:paraId="7E05D189">
            <w:pPr>
              <w:pStyle w:val="14"/>
            </w:pPr>
            <w:r>
              <w:t>253.00</w:t>
            </w:r>
          </w:p>
        </w:tc>
      </w:tr>
      <w:tr w14:paraId="4BA0B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369637">
            <w:pPr>
              <w:pStyle w:val="13"/>
            </w:pPr>
            <w:r>
              <w:t>　　其中：办公用房（平方米）</w:t>
            </w:r>
          </w:p>
        </w:tc>
        <w:tc>
          <w:tcPr>
            <w:tcW w:w="2835" w:type="dxa"/>
            <w:vAlign w:val="center"/>
          </w:tcPr>
          <w:p w14:paraId="6AF6105A">
            <w:pPr>
              <w:pStyle w:val="12"/>
            </w:pPr>
            <w:r>
              <w:t>2860</w:t>
            </w:r>
          </w:p>
        </w:tc>
        <w:tc>
          <w:tcPr>
            <w:tcW w:w="2835" w:type="dxa"/>
            <w:vAlign w:val="center"/>
          </w:tcPr>
          <w:p w14:paraId="18BB28B1">
            <w:pPr>
              <w:pStyle w:val="14"/>
            </w:pPr>
            <w:r>
              <w:t>218.34</w:t>
            </w:r>
          </w:p>
        </w:tc>
      </w:tr>
      <w:tr w14:paraId="6E1AA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1541DB">
            <w:pPr>
              <w:pStyle w:val="13"/>
            </w:pPr>
            <w:r>
              <w:t>2、车辆（台、辆）</w:t>
            </w:r>
          </w:p>
        </w:tc>
        <w:tc>
          <w:tcPr>
            <w:tcW w:w="2835" w:type="dxa"/>
            <w:vAlign w:val="center"/>
          </w:tcPr>
          <w:p w14:paraId="3AADD515">
            <w:pPr>
              <w:pStyle w:val="12"/>
            </w:pPr>
          </w:p>
        </w:tc>
        <w:tc>
          <w:tcPr>
            <w:tcW w:w="2835" w:type="dxa"/>
            <w:vAlign w:val="center"/>
          </w:tcPr>
          <w:p w14:paraId="163B8F0D">
            <w:pPr>
              <w:pStyle w:val="14"/>
            </w:pPr>
          </w:p>
        </w:tc>
      </w:tr>
      <w:tr w14:paraId="153E9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D554EA">
            <w:pPr>
              <w:pStyle w:val="13"/>
            </w:pPr>
            <w:r>
              <w:t>3、单价在20万元以上的设备</w:t>
            </w:r>
          </w:p>
        </w:tc>
        <w:tc>
          <w:tcPr>
            <w:tcW w:w="2835" w:type="dxa"/>
            <w:vAlign w:val="center"/>
          </w:tcPr>
          <w:p w14:paraId="52D3A80F">
            <w:pPr>
              <w:pStyle w:val="12"/>
            </w:pPr>
          </w:p>
        </w:tc>
        <w:tc>
          <w:tcPr>
            <w:tcW w:w="2835" w:type="dxa"/>
            <w:vAlign w:val="center"/>
          </w:tcPr>
          <w:p w14:paraId="6D73CDF3">
            <w:pPr>
              <w:pStyle w:val="14"/>
            </w:pPr>
          </w:p>
        </w:tc>
      </w:tr>
      <w:tr w14:paraId="2C8B0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C871C3">
            <w:pPr>
              <w:pStyle w:val="13"/>
            </w:pPr>
            <w:r>
              <w:t>4、其他固定资产</w:t>
            </w:r>
          </w:p>
        </w:tc>
        <w:tc>
          <w:tcPr>
            <w:tcW w:w="2835" w:type="dxa"/>
            <w:vAlign w:val="center"/>
          </w:tcPr>
          <w:p w14:paraId="67C83BDF">
            <w:pPr>
              <w:pStyle w:val="12"/>
            </w:pPr>
            <w:r>
              <w:t>5446</w:t>
            </w:r>
          </w:p>
        </w:tc>
        <w:tc>
          <w:tcPr>
            <w:tcW w:w="2835" w:type="dxa"/>
            <w:vAlign w:val="center"/>
          </w:tcPr>
          <w:p w14:paraId="72FDB9EE">
            <w:pPr>
              <w:pStyle w:val="14"/>
            </w:pPr>
            <w:r>
              <w:t>184.48</w:t>
            </w:r>
          </w:p>
        </w:tc>
      </w:tr>
    </w:tbl>
    <w:p w14:paraId="7BE1F026">
      <w:pPr>
        <w:spacing w:before="0" w:after="0"/>
        <w:ind w:firstLine="640"/>
        <w:jc w:val="left"/>
        <w:outlineLvl w:val="9"/>
      </w:pPr>
      <w:r>
        <w:rPr>
          <w:rFonts w:ascii="Times New Roman" w:hAnsi="Times New Roman" w:eastAsia="方正仿宋_GBK" w:cs="Times New Roman"/>
          <w:color w:val="000000"/>
          <w:sz w:val="32"/>
        </w:rPr>
        <w:t xml:space="preserve"> </w:t>
      </w:r>
    </w:p>
    <w:p w14:paraId="3BD669E7">
      <w:pPr>
        <w:spacing w:before="10" w:after="10" w:line="240" w:lineRule="auto"/>
        <w:ind w:firstLine="640"/>
        <w:jc w:val="left"/>
        <w:outlineLvl w:val="5"/>
      </w:pPr>
      <w:r>
        <w:rPr>
          <w:rFonts w:ascii="黑体" w:hAnsi="黑体" w:eastAsia="黑体" w:cs="黑体"/>
          <w:color w:val="000000"/>
          <w:sz w:val="32"/>
        </w:rPr>
        <w:t>八、名词解释</w:t>
      </w:r>
    </w:p>
    <w:p w14:paraId="66829E0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DB28F0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3F06C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11687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6347A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CAAD7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96EBF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FB4FD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C4B0A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08A76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AEE65F">
      <w:pPr>
        <w:spacing w:before="10" w:after="10" w:line="240" w:lineRule="auto"/>
        <w:ind w:firstLine="640"/>
        <w:jc w:val="left"/>
        <w:outlineLvl w:val="5"/>
      </w:pPr>
      <w:r>
        <w:rPr>
          <w:rFonts w:ascii="黑体" w:hAnsi="黑体" w:eastAsia="黑体" w:cs="黑体"/>
          <w:color w:val="000000"/>
          <w:sz w:val="32"/>
        </w:rPr>
        <w:t>九、其他需要说明的事项</w:t>
      </w:r>
    </w:p>
    <w:p w14:paraId="43ACD9C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B5B14EE">
      <w:pPr>
        <w:spacing w:before="0" w:after="0"/>
        <w:ind w:firstLine="0"/>
        <w:jc w:val="center"/>
        <w:outlineLvl w:val="3"/>
      </w:pPr>
      <w:bookmarkStart w:id="2" w:name="_Toc_4_4_0000000022"/>
      <w:r>
        <w:rPr>
          <w:rFonts w:ascii="方正小标宋_GBK" w:hAnsi="方正小标宋_GBK" w:eastAsia="方正小标宋_GBK" w:cs="方正小标宋_GBK"/>
          <w:b w:val="0"/>
          <w:color w:val="000000"/>
          <w:sz w:val="44"/>
        </w:rPr>
        <w:t>二、河北隆尧第一中学收支预算</w:t>
      </w:r>
      <w:bookmarkEnd w:id="2"/>
    </w:p>
    <w:p w14:paraId="2323A4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F08C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306A65">
            <w:pPr>
              <w:pStyle w:val="8"/>
            </w:pPr>
            <w:r>
              <w:t>360003河北隆尧第一中学</w:t>
            </w:r>
          </w:p>
        </w:tc>
        <w:tc>
          <w:tcPr>
            <w:tcW w:w="2126" w:type="dxa"/>
            <w:tcBorders>
              <w:top w:val="single" w:color="FFFFFF" w:sz="6" w:space="0"/>
              <w:left w:val="single" w:color="FFFFFF" w:sz="6" w:space="0"/>
              <w:right w:val="single" w:color="FFFFFF" w:sz="6" w:space="0"/>
            </w:tcBorders>
            <w:vAlign w:val="center"/>
          </w:tcPr>
          <w:p w14:paraId="116A2918">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C2D43F0">
            <w:pPr>
              <w:pStyle w:val="10"/>
            </w:pPr>
            <w:r>
              <w:t>单位：万元</w:t>
            </w:r>
          </w:p>
        </w:tc>
      </w:tr>
      <w:tr w14:paraId="616D7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B5A7A2">
            <w:pPr>
              <w:pStyle w:val="11"/>
            </w:pPr>
            <w:r>
              <w:t>序号</w:t>
            </w:r>
          </w:p>
        </w:tc>
        <w:tc>
          <w:tcPr>
            <w:tcW w:w="6661" w:type="dxa"/>
            <w:gridSpan w:val="2"/>
            <w:vAlign w:val="center"/>
          </w:tcPr>
          <w:p w14:paraId="5E7902CB">
            <w:pPr>
              <w:pStyle w:val="11"/>
            </w:pPr>
            <w:r>
              <w:t>收入</w:t>
            </w:r>
          </w:p>
        </w:tc>
        <w:tc>
          <w:tcPr>
            <w:tcW w:w="6661" w:type="dxa"/>
            <w:gridSpan w:val="2"/>
            <w:vAlign w:val="center"/>
          </w:tcPr>
          <w:p w14:paraId="39BB3261">
            <w:pPr>
              <w:pStyle w:val="11"/>
            </w:pPr>
            <w:r>
              <w:t>支出</w:t>
            </w:r>
          </w:p>
        </w:tc>
      </w:tr>
      <w:tr w14:paraId="12DB6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E09ED"/>
        </w:tc>
        <w:tc>
          <w:tcPr>
            <w:tcW w:w="4535" w:type="dxa"/>
            <w:vAlign w:val="center"/>
          </w:tcPr>
          <w:p w14:paraId="5E54D8AC">
            <w:pPr>
              <w:pStyle w:val="11"/>
            </w:pPr>
            <w:r>
              <w:t>项  目</w:t>
            </w:r>
          </w:p>
        </w:tc>
        <w:tc>
          <w:tcPr>
            <w:tcW w:w="2126" w:type="dxa"/>
            <w:vAlign w:val="center"/>
          </w:tcPr>
          <w:p w14:paraId="327E5812">
            <w:pPr>
              <w:pStyle w:val="11"/>
            </w:pPr>
            <w:r>
              <w:t>预算数</w:t>
            </w:r>
          </w:p>
        </w:tc>
        <w:tc>
          <w:tcPr>
            <w:tcW w:w="4535" w:type="dxa"/>
            <w:vAlign w:val="center"/>
          </w:tcPr>
          <w:p w14:paraId="5C8AA040">
            <w:pPr>
              <w:pStyle w:val="11"/>
            </w:pPr>
            <w:r>
              <w:t>项  目</w:t>
            </w:r>
          </w:p>
        </w:tc>
        <w:tc>
          <w:tcPr>
            <w:tcW w:w="2126" w:type="dxa"/>
            <w:vAlign w:val="center"/>
          </w:tcPr>
          <w:p w14:paraId="0FD305BF">
            <w:pPr>
              <w:pStyle w:val="11"/>
            </w:pPr>
            <w:r>
              <w:t>预算数</w:t>
            </w:r>
          </w:p>
        </w:tc>
      </w:tr>
      <w:tr w14:paraId="61C3E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F62C0E">
            <w:pPr>
              <w:pStyle w:val="11"/>
            </w:pPr>
            <w:r>
              <w:t>栏次</w:t>
            </w:r>
          </w:p>
        </w:tc>
        <w:tc>
          <w:tcPr>
            <w:tcW w:w="4535" w:type="dxa"/>
            <w:vAlign w:val="center"/>
          </w:tcPr>
          <w:p w14:paraId="336FCD6D">
            <w:pPr>
              <w:pStyle w:val="11"/>
            </w:pPr>
            <w:r>
              <w:t>1</w:t>
            </w:r>
          </w:p>
        </w:tc>
        <w:tc>
          <w:tcPr>
            <w:tcW w:w="2126" w:type="dxa"/>
            <w:vAlign w:val="center"/>
          </w:tcPr>
          <w:p w14:paraId="0AE80D65">
            <w:pPr>
              <w:pStyle w:val="11"/>
            </w:pPr>
            <w:r>
              <w:t>2</w:t>
            </w:r>
          </w:p>
        </w:tc>
        <w:tc>
          <w:tcPr>
            <w:tcW w:w="4535" w:type="dxa"/>
            <w:vAlign w:val="center"/>
          </w:tcPr>
          <w:p w14:paraId="60E7997E">
            <w:pPr>
              <w:pStyle w:val="11"/>
            </w:pPr>
            <w:r>
              <w:t>3</w:t>
            </w:r>
          </w:p>
        </w:tc>
        <w:tc>
          <w:tcPr>
            <w:tcW w:w="2126" w:type="dxa"/>
            <w:vAlign w:val="center"/>
          </w:tcPr>
          <w:p w14:paraId="7921269B">
            <w:pPr>
              <w:pStyle w:val="11"/>
            </w:pPr>
            <w:r>
              <w:t>4</w:t>
            </w:r>
          </w:p>
        </w:tc>
      </w:tr>
      <w:tr w14:paraId="19216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AA3FF">
            <w:pPr>
              <w:pStyle w:val="12"/>
            </w:pPr>
            <w:r>
              <w:t>1</w:t>
            </w:r>
          </w:p>
        </w:tc>
        <w:tc>
          <w:tcPr>
            <w:tcW w:w="4535" w:type="dxa"/>
            <w:vAlign w:val="center"/>
          </w:tcPr>
          <w:p w14:paraId="43DC3C2F">
            <w:pPr>
              <w:pStyle w:val="13"/>
            </w:pPr>
            <w:r>
              <w:t>一、一般公共预算拨款收入</w:t>
            </w:r>
          </w:p>
        </w:tc>
        <w:tc>
          <w:tcPr>
            <w:tcW w:w="2126" w:type="dxa"/>
            <w:vAlign w:val="center"/>
          </w:tcPr>
          <w:p w14:paraId="2A401EB2">
            <w:pPr>
              <w:pStyle w:val="14"/>
            </w:pPr>
            <w:r>
              <w:t>5298.37</w:t>
            </w:r>
          </w:p>
        </w:tc>
        <w:tc>
          <w:tcPr>
            <w:tcW w:w="4535" w:type="dxa"/>
            <w:vAlign w:val="center"/>
          </w:tcPr>
          <w:p w14:paraId="6AF1152F">
            <w:pPr>
              <w:pStyle w:val="13"/>
            </w:pPr>
            <w:r>
              <w:t>一、一般公共服务支出</w:t>
            </w:r>
          </w:p>
        </w:tc>
        <w:tc>
          <w:tcPr>
            <w:tcW w:w="2126" w:type="dxa"/>
            <w:vAlign w:val="center"/>
          </w:tcPr>
          <w:p w14:paraId="6361233D">
            <w:pPr>
              <w:pStyle w:val="14"/>
            </w:pPr>
          </w:p>
        </w:tc>
      </w:tr>
      <w:tr w14:paraId="68BAA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AE1A0">
            <w:pPr>
              <w:pStyle w:val="12"/>
            </w:pPr>
            <w:r>
              <w:t>2</w:t>
            </w:r>
          </w:p>
        </w:tc>
        <w:tc>
          <w:tcPr>
            <w:tcW w:w="4535" w:type="dxa"/>
            <w:vAlign w:val="center"/>
          </w:tcPr>
          <w:p w14:paraId="73724CF2">
            <w:pPr>
              <w:pStyle w:val="13"/>
            </w:pPr>
            <w:r>
              <w:t>二、政府性基金预算拨款收入</w:t>
            </w:r>
          </w:p>
        </w:tc>
        <w:tc>
          <w:tcPr>
            <w:tcW w:w="2126" w:type="dxa"/>
            <w:vAlign w:val="center"/>
          </w:tcPr>
          <w:p w14:paraId="34C48F7D">
            <w:pPr>
              <w:pStyle w:val="14"/>
            </w:pPr>
          </w:p>
        </w:tc>
        <w:tc>
          <w:tcPr>
            <w:tcW w:w="4535" w:type="dxa"/>
            <w:vAlign w:val="center"/>
          </w:tcPr>
          <w:p w14:paraId="1ACFB95D">
            <w:pPr>
              <w:pStyle w:val="13"/>
            </w:pPr>
            <w:r>
              <w:t>二、外交支出</w:t>
            </w:r>
          </w:p>
        </w:tc>
        <w:tc>
          <w:tcPr>
            <w:tcW w:w="2126" w:type="dxa"/>
            <w:vAlign w:val="center"/>
          </w:tcPr>
          <w:p w14:paraId="0237DF55">
            <w:pPr>
              <w:pStyle w:val="14"/>
            </w:pPr>
          </w:p>
        </w:tc>
      </w:tr>
      <w:tr w14:paraId="058EF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6CB26">
            <w:pPr>
              <w:pStyle w:val="12"/>
            </w:pPr>
            <w:r>
              <w:t>3</w:t>
            </w:r>
          </w:p>
        </w:tc>
        <w:tc>
          <w:tcPr>
            <w:tcW w:w="4535" w:type="dxa"/>
            <w:vAlign w:val="center"/>
          </w:tcPr>
          <w:p w14:paraId="6A44415C">
            <w:pPr>
              <w:pStyle w:val="13"/>
            </w:pPr>
            <w:r>
              <w:t>三、国有资本经营预算拨款收入</w:t>
            </w:r>
          </w:p>
        </w:tc>
        <w:tc>
          <w:tcPr>
            <w:tcW w:w="2126" w:type="dxa"/>
            <w:vAlign w:val="center"/>
          </w:tcPr>
          <w:p w14:paraId="0523C979">
            <w:pPr>
              <w:pStyle w:val="14"/>
            </w:pPr>
          </w:p>
        </w:tc>
        <w:tc>
          <w:tcPr>
            <w:tcW w:w="4535" w:type="dxa"/>
            <w:vAlign w:val="center"/>
          </w:tcPr>
          <w:p w14:paraId="07F7E703">
            <w:pPr>
              <w:pStyle w:val="13"/>
            </w:pPr>
            <w:r>
              <w:t>三、国防支出</w:t>
            </w:r>
          </w:p>
        </w:tc>
        <w:tc>
          <w:tcPr>
            <w:tcW w:w="2126" w:type="dxa"/>
            <w:vAlign w:val="center"/>
          </w:tcPr>
          <w:p w14:paraId="4A1089DA">
            <w:pPr>
              <w:pStyle w:val="14"/>
            </w:pPr>
          </w:p>
        </w:tc>
      </w:tr>
      <w:tr w14:paraId="6D048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137BE">
            <w:pPr>
              <w:pStyle w:val="12"/>
            </w:pPr>
            <w:r>
              <w:t>4</w:t>
            </w:r>
          </w:p>
        </w:tc>
        <w:tc>
          <w:tcPr>
            <w:tcW w:w="4535" w:type="dxa"/>
            <w:vAlign w:val="center"/>
          </w:tcPr>
          <w:p w14:paraId="382F182F">
            <w:pPr>
              <w:pStyle w:val="13"/>
            </w:pPr>
            <w:r>
              <w:t>四、财政专户管理资金收入</w:t>
            </w:r>
          </w:p>
        </w:tc>
        <w:tc>
          <w:tcPr>
            <w:tcW w:w="2126" w:type="dxa"/>
            <w:vAlign w:val="center"/>
          </w:tcPr>
          <w:p w14:paraId="4A0B77D6">
            <w:pPr>
              <w:pStyle w:val="14"/>
            </w:pPr>
            <w:r>
              <w:t>849.28</w:t>
            </w:r>
          </w:p>
        </w:tc>
        <w:tc>
          <w:tcPr>
            <w:tcW w:w="4535" w:type="dxa"/>
            <w:vAlign w:val="center"/>
          </w:tcPr>
          <w:p w14:paraId="258FEAD6">
            <w:pPr>
              <w:pStyle w:val="13"/>
            </w:pPr>
            <w:r>
              <w:t>四、公共安全支出</w:t>
            </w:r>
          </w:p>
        </w:tc>
        <w:tc>
          <w:tcPr>
            <w:tcW w:w="2126" w:type="dxa"/>
            <w:vAlign w:val="center"/>
          </w:tcPr>
          <w:p w14:paraId="36A88B49">
            <w:pPr>
              <w:pStyle w:val="14"/>
            </w:pPr>
          </w:p>
        </w:tc>
      </w:tr>
      <w:tr w14:paraId="0AE48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7D5A7">
            <w:pPr>
              <w:pStyle w:val="12"/>
            </w:pPr>
            <w:r>
              <w:t>5</w:t>
            </w:r>
          </w:p>
        </w:tc>
        <w:tc>
          <w:tcPr>
            <w:tcW w:w="4535" w:type="dxa"/>
            <w:vAlign w:val="center"/>
          </w:tcPr>
          <w:p w14:paraId="66763BF6">
            <w:pPr>
              <w:pStyle w:val="13"/>
            </w:pPr>
            <w:r>
              <w:t>五、单位资金</w:t>
            </w:r>
          </w:p>
        </w:tc>
        <w:tc>
          <w:tcPr>
            <w:tcW w:w="2126" w:type="dxa"/>
            <w:vAlign w:val="center"/>
          </w:tcPr>
          <w:p w14:paraId="29B98D1A">
            <w:pPr>
              <w:pStyle w:val="14"/>
            </w:pPr>
          </w:p>
        </w:tc>
        <w:tc>
          <w:tcPr>
            <w:tcW w:w="4535" w:type="dxa"/>
            <w:vAlign w:val="center"/>
          </w:tcPr>
          <w:p w14:paraId="3CEDD683">
            <w:pPr>
              <w:pStyle w:val="13"/>
            </w:pPr>
            <w:r>
              <w:t>五、教育支出</w:t>
            </w:r>
          </w:p>
        </w:tc>
        <w:tc>
          <w:tcPr>
            <w:tcW w:w="2126" w:type="dxa"/>
            <w:vAlign w:val="center"/>
          </w:tcPr>
          <w:p w14:paraId="4B3A8FDE">
            <w:pPr>
              <w:pStyle w:val="14"/>
            </w:pPr>
            <w:r>
              <w:t>6324.26</w:t>
            </w:r>
          </w:p>
        </w:tc>
      </w:tr>
      <w:tr w14:paraId="44E9B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6BF68">
            <w:pPr>
              <w:pStyle w:val="12"/>
            </w:pPr>
            <w:r>
              <w:t>6</w:t>
            </w:r>
          </w:p>
        </w:tc>
        <w:tc>
          <w:tcPr>
            <w:tcW w:w="4535" w:type="dxa"/>
            <w:vAlign w:val="center"/>
          </w:tcPr>
          <w:p w14:paraId="02B3B415">
            <w:pPr>
              <w:pStyle w:val="13"/>
            </w:pPr>
          </w:p>
        </w:tc>
        <w:tc>
          <w:tcPr>
            <w:tcW w:w="2126" w:type="dxa"/>
            <w:vAlign w:val="center"/>
          </w:tcPr>
          <w:p w14:paraId="4F8E9A35">
            <w:pPr>
              <w:pStyle w:val="14"/>
            </w:pPr>
          </w:p>
        </w:tc>
        <w:tc>
          <w:tcPr>
            <w:tcW w:w="4535" w:type="dxa"/>
            <w:vAlign w:val="center"/>
          </w:tcPr>
          <w:p w14:paraId="69F0258E">
            <w:pPr>
              <w:pStyle w:val="13"/>
            </w:pPr>
            <w:r>
              <w:t>六、科学技术支出</w:t>
            </w:r>
          </w:p>
        </w:tc>
        <w:tc>
          <w:tcPr>
            <w:tcW w:w="2126" w:type="dxa"/>
            <w:vAlign w:val="center"/>
          </w:tcPr>
          <w:p w14:paraId="6C1F5196">
            <w:pPr>
              <w:pStyle w:val="14"/>
            </w:pPr>
          </w:p>
        </w:tc>
      </w:tr>
      <w:tr w14:paraId="00B94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3D93D">
            <w:pPr>
              <w:pStyle w:val="12"/>
            </w:pPr>
            <w:r>
              <w:t>7</w:t>
            </w:r>
          </w:p>
        </w:tc>
        <w:tc>
          <w:tcPr>
            <w:tcW w:w="4535" w:type="dxa"/>
            <w:vAlign w:val="center"/>
          </w:tcPr>
          <w:p w14:paraId="3912AFCB">
            <w:pPr>
              <w:pStyle w:val="13"/>
            </w:pPr>
          </w:p>
        </w:tc>
        <w:tc>
          <w:tcPr>
            <w:tcW w:w="2126" w:type="dxa"/>
            <w:vAlign w:val="center"/>
          </w:tcPr>
          <w:p w14:paraId="602F1CF9">
            <w:pPr>
              <w:pStyle w:val="14"/>
            </w:pPr>
          </w:p>
        </w:tc>
        <w:tc>
          <w:tcPr>
            <w:tcW w:w="4535" w:type="dxa"/>
            <w:vAlign w:val="center"/>
          </w:tcPr>
          <w:p w14:paraId="7A2ACE09">
            <w:pPr>
              <w:pStyle w:val="13"/>
            </w:pPr>
            <w:r>
              <w:t>七、文化旅游体育与传媒支出</w:t>
            </w:r>
          </w:p>
        </w:tc>
        <w:tc>
          <w:tcPr>
            <w:tcW w:w="2126" w:type="dxa"/>
            <w:vAlign w:val="center"/>
          </w:tcPr>
          <w:p w14:paraId="68B80351">
            <w:pPr>
              <w:pStyle w:val="14"/>
            </w:pPr>
          </w:p>
        </w:tc>
      </w:tr>
      <w:tr w14:paraId="4E5B3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3B2DC">
            <w:pPr>
              <w:pStyle w:val="12"/>
            </w:pPr>
            <w:r>
              <w:t>8</w:t>
            </w:r>
          </w:p>
        </w:tc>
        <w:tc>
          <w:tcPr>
            <w:tcW w:w="4535" w:type="dxa"/>
            <w:vAlign w:val="center"/>
          </w:tcPr>
          <w:p w14:paraId="6036DE2F">
            <w:pPr>
              <w:pStyle w:val="13"/>
            </w:pPr>
          </w:p>
        </w:tc>
        <w:tc>
          <w:tcPr>
            <w:tcW w:w="2126" w:type="dxa"/>
            <w:vAlign w:val="center"/>
          </w:tcPr>
          <w:p w14:paraId="0870A0ED">
            <w:pPr>
              <w:pStyle w:val="14"/>
            </w:pPr>
          </w:p>
        </w:tc>
        <w:tc>
          <w:tcPr>
            <w:tcW w:w="4535" w:type="dxa"/>
            <w:vAlign w:val="center"/>
          </w:tcPr>
          <w:p w14:paraId="59409C84">
            <w:pPr>
              <w:pStyle w:val="13"/>
            </w:pPr>
            <w:r>
              <w:t>八、社会保障和就业支出</w:t>
            </w:r>
          </w:p>
        </w:tc>
        <w:tc>
          <w:tcPr>
            <w:tcW w:w="2126" w:type="dxa"/>
            <w:vAlign w:val="center"/>
          </w:tcPr>
          <w:p w14:paraId="2A8DB124">
            <w:pPr>
              <w:pStyle w:val="14"/>
            </w:pPr>
            <w:r>
              <w:t>9.85</w:t>
            </w:r>
          </w:p>
        </w:tc>
      </w:tr>
      <w:tr w14:paraId="21E88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C3608">
            <w:pPr>
              <w:pStyle w:val="12"/>
            </w:pPr>
            <w:r>
              <w:t>9</w:t>
            </w:r>
          </w:p>
        </w:tc>
        <w:tc>
          <w:tcPr>
            <w:tcW w:w="4535" w:type="dxa"/>
            <w:vAlign w:val="center"/>
          </w:tcPr>
          <w:p w14:paraId="206B550F">
            <w:pPr>
              <w:pStyle w:val="13"/>
            </w:pPr>
          </w:p>
        </w:tc>
        <w:tc>
          <w:tcPr>
            <w:tcW w:w="2126" w:type="dxa"/>
            <w:vAlign w:val="center"/>
          </w:tcPr>
          <w:p w14:paraId="141353D8">
            <w:pPr>
              <w:pStyle w:val="14"/>
            </w:pPr>
          </w:p>
        </w:tc>
        <w:tc>
          <w:tcPr>
            <w:tcW w:w="4535" w:type="dxa"/>
            <w:vAlign w:val="center"/>
          </w:tcPr>
          <w:p w14:paraId="4A0BC6B8">
            <w:pPr>
              <w:pStyle w:val="13"/>
            </w:pPr>
            <w:r>
              <w:t>九、社会保险基金支出</w:t>
            </w:r>
          </w:p>
        </w:tc>
        <w:tc>
          <w:tcPr>
            <w:tcW w:w="2126" w:type="dxa"/>
            <w:vAlign w:val="center"/>
          </w:tcPr>
          <w:p w14:paraId="1D77F749">
            <w:pPr>
              <w:pStyle w:val="14"/>
            </w:pPr>
          </w:p>
        </w:tc>
      </w:tr>
      <w:tr w14:paraId="1547C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0B663">
            <w:pPr>
              <w:pStyle w:val="12"/>
            </w:pPr>
            <w:r>
              <w:t>10</w:t>
            </w:r>
          </w:p>
        </w:tc>
        <w:tc>
          <w:tcPr>
            <w:tcW w:w="4535" w:type="dxa"/>
            <w:vAlign w:val="center"/>
          </w:tcPr>
          <w:p w14:paraId="0D7D70CA">
            <w:pPr>
              <w:pStyle w:val="13"/>
            </w:pPr>
          </w:p>
        </w:tc>
        <w:tc>
          <w:tcPr>
            <w:tcW w:w="2126" w:type="dxa"/>
            <w:vAlign w:val="center"/>
          </w:tcPr>
          <w:p w14:paraId="381BA534">
            <w:pPr>
              <w:pStyle w:val="14"/>
            </w:pPr>
          </w:p>
        </w:tc>
        <w:tc>
          <w:tcPr>
            <w:tcW w:w="4535" w:type="dxa"/>
            <w:vAlign w:val="center"/>
          </w:tcPr>
          <w:p w14:paraId="3F646D14">
            <w:pPr>
              <w:pStyle w:val="13"/>
            </w:pPr>
            <w:r>
              <w:t>十、卫生健康支出</w:t>
            </w:r>
          </w:p>
        </w:tc>
        <w:tc>
          <w:tcPr>
            <w:tcW w:w="2126" w:type="dxa"/>
            <w:vAlign w:val="center"/>
          </w:tcPr>
          <w:p w14:paraId="0D895B8B">
            <w:pPr>
              <w:pStyle w:val="14"/>
            </w:pPr>
          </w:p>
        </w:tc>
      </w:tr>
      <w:tr w14:paraId="5DBE1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D70D9">
            <w:pPr>
              <w:pStyle w:val="12"/>
            </w:pPr>
            <w:r>
              <w:t>11</w:t>
            </w:r>
          </w:p>
        </w:tc>
        <w:tc>
          <w:tcPr>
            <w:tcW w:w="4535" w:type="dxa"/>
            <w:vAlign w:val="center"/>
          </w:tcPr>
          <w:p w14:paraId="5872E43C">
            <w:pPr>
              <w:pStyle w:val="13"/>
            </w:pPr>
          </w:p>
        </w:tc>
        <w:tc>
          <w:tcPr>
            <w:tcW w:w="2126" w:type="dxa"/>
            <w:vAlign w:val="center"/>
          </w:tcPr>
          <w:p w14:paraId="7033B877">
            <w:pPr>
              <w:pStyle w:val="14"/>
            </w:pPr>
          </w:p>
        </w:tc>
        <w:tc>
          <w:tcPr>
            <w:tcW w:w="4535" w:type="dxa"/>
            <w:vAlign w:val="center"/>
          </w:tcPr>
          <w:p w14:paraId="17678AEE">
            <w:pPr>
              <w:pStyle w:val="13"/>
            </w:pPr>
            <w:r>
              <w:t>十一、节能环保支出</w:t>
            </w:r>
          </w:p>
        </w:tc>
        <w:tc>
          <w:tcPr>
            <w:tcW w:w="2126" w:type="dxa"/>
            <w:vAlign w:val="center"/>
          </w:tcPr>
          <w:p w14:paraId="5F57F556">
            <w:pPr>
              <w:pStyle w:val="14"/>
            </w:pPr>
          </w:p>
        </w:tc>
      </w:tr>
      <w:tr w14:paraId="6E687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3EFD2">
            <w:pPr>
              <w:pStyle w:val="12"/>
            </w:pPr>
            <w:r>
              <w:t>12</w:t>
            </w:r>
          </w:p>
        </w:tc>
        <w:tc>
          <w:tcPr>
            <w:tcW w:w="4535" w:type="dxa"/>
            <w:vAlign w:val="center"/>
          </w:tcPr>
          <w:p w14:paraId="697D78C5">
            <w:pPr>
              <w:pStyle w:val="13"/>
            </w:pPr>
          </w:p>
        </w:tc>
        <w:tc>
          <w:tcPr>
            <w:tcW w:w="2126" w:type="dxa"/>
            <w:vAlign w:val="center"/>
          </w:tcPr>
          <w:p w14:paraId="0C30AE09">
            <w:pPr>
              <w:pStyle w:val="14"/>
            </w:pPr>
          </w:p>
        </w:tc>
        <w:tc>
          <w:tcPr>
            <w:tcW w:w="4535" w:type="dxa"/>
            <w:vAlign w:val="center"/>
          </w:tcPr>
          <w:p w14:paraId="2F463C83">
            <w:pPr>
              <w:pStyle w:val="13"/>
            </w:pPr>
            <w:r>
              <w:t>十二、城乡社区支出</w:t>
            </w:r>
          </w:p>
        </w:tc>
        <w:tc>
          <w:tcPr>
            <w:tcW w:w="2126" w:type="dxa"/>
            <w:vAlign w:val="center"/>
          </w:tcPr>
          <w:p w14:paraId="13E20254">
            <w:pPr>
              <w:pStyle w:val="14"/>
            </w:pPr>
          </w:p>
        </w:tc>
      </w:tr>
      <w:tr w14:paraId="2E60F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F0D71">
            <w:pPr>
              <w:pStyle w:val="12"/>
            </w:pPr>
            <w:r>
              <w:t>13</w:t>
            </w:r>
          </w:p>
        </w:tc>
        <w:tc>
          <w:tcPr>
            <w:tcW w:w="4535" w:type="dxa"/>
            <w:vAlign w:val="center"/>
          </w:tcPr>
          <w:p w14:paraId="2AB649E8">
            <w:pPr>
              <w:pStyle w:val="13"/>
            </w:pPr>
          </w:p>
        </w:tc>
        <w:tc>
          <w:tcPr>
            <w:tcW w:w="2126" w:type="dxa"/>
            <w:vAlign w:val="center"/>
          </w:tcPr>
          <w:p w14:paraId="001F3198">
            <w:pPr>
              <w:pStyle w:val="14"/>
            </w:pPr>
          </w:p>
        </w:tc>
        <w:tc>
          <w:tcPr>
            <w:tcW w:w="4535" w:type="dxa"/>
            <w:vAlign w:val="center"/>
          </w:tcPr>
          <w:p w14:paraId="20E7317B">
            <w:pPr>
              <w:pStyle w:val="13"/>
            </w:pPr>
            <w:r>
              <w:t>十三、农林水支出</w:t>
            </w:r>
          </w:p>
        </w:tc>
        <w:tc>
          <w:tcPr>
            <w:tcW w:w="2126" w:type="dxa"/>
            <w:vAlign w:val="center"/>
          </w:tcPr>
          <w:p w14:paraId="134449FC">
            <w:pPr>
              <w:pStyle w:val="14"/>
            </w:pPr>
          </w:p>
        </w:tc>
      </w:tr>
      <w:tr w14:paraId="4FA79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1CBF9">
            <w:pPr>
              <w:pStyle w:val="12"/>
            </w:pPr>
            <w:r>
              <w:t>14</w:t>
            </w:r>
          </w:p>
        </w:tc>
        <w:tc>
          <w:tcPr>
            <w:tcW w:w="4535" w:type="dxa"/>
            <w:vAlign w:val="center"/>
          </w:tcPr>
          <w:p w14:paraId="75B6BA10">
            <w:pPr>
              <w:pStyle w:val="13"/>
            </w:pPr>
          </w:p>
        </w:tc>
        <w:tc>
          <w:tcPr>
            <w:tcW w:w="2126" w:type="dxa"/>
            <w:vAlign w:val="center"/>
          </w:tcPr>
          <w:p w14:paraId="3E5F0F77">
            <w:pPr>
              <w:pStyle w:val="14"/>
            </w:pPr>
          </w:p>
        </w:tc>
        <w:tc>
          <w:tcPr>
            <w:tcW w:w="4535" w:type="dxa"/>
            <w:vAlign w:val="center"/>
          </w:tcPr>
          <w:p w14:paraId="51654652">
            <w:pPr>
              <w:pStyle w:val="13"/>
            </w:pPr>
            <w:r>
              <w:t>十四、交通运输支出</w:t>
            </w:r>
          </w:p>
        </w:tc>
        <w:tc>
          <w:tcPr>
            <w:tcW w:w="2126" w:type="dxa"/>
            <w:vAlign w:val="center"/>
          </w:tcPr>
          <w:p w14:paraId="094ED2F9">
            <w:pPr>
              <w:pStyle w:val="14"/>
            </w:pPr>
          </w:p>
        </w:tc>
      </w:tr>
      <w:tr w14:paraId="47769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FE12A">
            <w:pPr>
              <w:pStyle w:val="12"/>
            </w:pPr>
            <w:r>
              <w:t>15</w:t>
            </w:r>
          </w:p>
        </w:tc>
        <w:tc>
          <w:tcPr>
            <w:tcW w:w="4535" w:type="dxa"/>
            <w:vAlign w:val="center"/>
          </w:tcPr>
          <w:p w14:paraId="21B9B910">
            <w:pPr>
              <w:pStyle w:val="13"/>
            </w:pPr>
          </w:p>
        </w:tc>
        <w:tc>
          <w:tcPr>
            <w:tcW w:w="2126" w:type="dxa"/>
            <w:vAlign w:val="center"/>
          </w:tcPr>
          <w:p w14:paraId="0713C7C2">
            <w:pPr>
              <w:pStyle w:val="14"/>
            </w:pPr>
          </w:p>
        </w:tc>
        <w:tc>
          <w:tcPr>
            <w:tcW w:w="4535" w:type="dxa"/>
            <w:vAlign w:val="center"/>
          </w:tcPr>
          <w:p w14:paraId="37470B9F">
            <w:pPr>
              <w:pStyle w:val="13"/>
            </w:pPr>
            <w:r>
              <w:t>十五、资源勘探工业信息等支出</w:t>
            </w:r>
          </w:p>
        </w:tc>
        <w:tc>
          <w:tcPr>
            <w:tcW w:w="2126" w:type="dxa"/>
            <w:vAlign w:val="center"/>
          </w:tcPr>
          <w:p w14:paraId="74556608">
            <w:pPr>
              <w:pStyle w:val="14"/>
            </w:pPr>
          </w:p>
        </w:tc>
      </w:tr>
      <w:tr w14:paraId="42DCF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103AB">
            <w:pPr>
              <w:pStyle w:val="12"/>
            </w:pPr>
            <w:r>
              <w:t>16</w:t>
            </w:r>
          </w:p>
        </w:tc>
        <w:tc>
          <w:tcPr>
            <w:tcW w:w="4535" w:type="dxa"/>
            <w:vAlign w:val="center"/>
          </w:tcPr>
          <w:p w14:paraId="2CCADE01">
            <w:pPr>
              <w:pStyle w:val="13"/>
            </w:pPr>
          </w:p>
        </w:tc>
        <w:tc>
          <w:tcPr>
            <w:tcW w:w="2126" w:type="dxa"/>
            <w:vAlign w:val="center"/>
          </w:tcPr>
          <w:p w14:paraId="456D0724">
            <w:pPr>
              <w:pStyle w:val="14"/>
            </w:pPr>
          </w:p>
        </w:tc>
        <w:tc>
          <w:tcPr>
            <w:tcW w:w="4535" w:type="dxa"/>
            <w:vAlign w:val="center"/>
          </w:tcPr>
          <w:p w14:paraId="64B50828">
            <w:pPr>
              <w:pStyle w:val="13"/>
            </w:pPr>
            <w:r>
              <w:t>十六、商业服务业等支出</w:t>
            </w:r>
          </w:p>
        </w:tc>
        <w:tc>
          <w:tcPr>
            <w:tcW w:w="2126" w:type="dxa"/>
            <w:vAlign w:val="center"/>
          </w:tcPr>
          <w:p w14:paraId="09F4CACE">
            <w:pPr>
              <w:pStyle w:val="14"/>
            </w:pPr>
          </w:p>
        </w:tc>
      </w:tr>
      <w:tr w14:paraId="34671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DFEC6">
            <w:pPr>
              <w:pStyle w:val="12"/>
            </w:pPr>
            <w:r>
              <w:t>17</w:t>
            </w:r>
          </w:p>
        </w:tc>
        <w:tc>
          <w:tcPr>
            <w:tcW w:w="4535" w:type="dxa"/>
            <w:vAlign w:val="center"/>
          </w:tcPr>
          <w:p w14:paraId="292C7908">
            <w:pPr>
              <w:pStyle w:val="13"/>
            </w:pPr>
          </w:p>
        </w:tc>
        <w:tc>
          <w:tcPr>
            <w:tcW w:w="2126" w:type="dxa"/>
            <w:vAlign w:val="center"/>
          </w:tcPr>
          <w:p w14:paraId="5C20667B">
            <w:pPr>
              <w:pStyle w:val="14"/>
            </w:pPr>
          </w:p>
        </w:tc>
        <w:tc>
          <w:tcPr>
            <w:tcW w:w="4535" w:type="dxa"/>
            <w:vAlign w:val="center"/>
          </w:tcPr>
          <w:p w14:paraId="389298D9">
            <w:pPr>
              <w:pStyle w:val="13"/>
            </w:pPr>
            <w:r>
              <w:t>十七、金融支出</w:t>
            </w:r>
          </w:p>
        </w:tc>
        <w:tc>
          <w:tcPr>
            <w:tcW w:w="2126" w:type="dxa"/>
            <w:vAlign w:val="center"/>
          </w:tcPr>
          <w:p w14:paraId="54A4BFE7">
            <w:pPr>
              <w:pStyle w:val="14"/>
            </w:pPr>
          </w:p>
        </w:tc>
      </w:tr>
      <w:tr w14:paraId="62323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01CD9">
            <w:pPr>
              <w:pStyle w:val="12"/>
            </w:pPr>
            <w:r>
              <w:t>18</w:t>
            </w:r>
          </w:p>
        </w:tc>
        <w:tc>
          <w:tcPr>
            <w:tcW w:w="4535" w:type="dxa"/>
            <w:vAlign w:val="center"/>
          </w:tcPr>
          <w:p w14:paraId="47F0CF23">
            <w:pPr>
              <w:pStyle w:val="13"/>
            </w:pPr>
          </w:p>
        </w:tc>
        <w:tc>
          <w:tcPr>
            <w:tcW w:w="2126" w:type="dxa"/>
            <w:vAlign w:val="center"/>
          </w:tcPr>
          <w:p w14:paraId="76C5D10D">
            <w:pPr>
              <w:pStyle w:val="14"/>
            </w:pPr>
          </w:p>
        </w:tc>
        <w:tc>
          <w:tcPr>
            <w:tcW w:w="4535" w:type="dxa"/>
            <w:vAlign w:val="center"/>
          </w:tcPr>
          <w:p w14:paraId="78D9BA22">
            <w:pPr>
              <w:pStyle w:val="13"/>
            </w:pPr>
            <w:r>
              <w:t>十八、援助其他地区支出</w:t>
            </w:r>
          </w:p>
        </w:tc>
        <w:tc>
          <w:tcPr>
            <w:tcW w:w="2126" w:type="dxa"/>
            <w:vAlign w:val="center"/>
          </w:tcPr>
          <w:p w14:paraId="63E226DE">
            <w:pPr>
              <w:pStyle w:val="14"/>
            </w:pPr>
          </w:p>
        </w:tc>
      </w:tr>
      <w:tr w14:paraId="310B0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8A7D3">
            <w:pPr>
              <w:pStyle w:val="12"/>
            </w:pPr>
            <w:r>
              <w:t>19</w:t>
            </w:r>
          </w:p>
        </w:tc>
        <w:tc>
          <w:tcPr>
            <w:tcW w:w="4535" w:type="dxa"/>
            <w:vAlign w:val="center"/>
          </w:tcPr>
          <w:p w14:paraId="513A02DD">
            <w:pPr>
              <w:pStyle w:val="13"/>
            </w:pPr>
          </w:p>
        </w:tc>
        <w:tc>
          <w:tcPr>
            <w:tcW w:w="2126" w:type="dxa"/>
            <w:vAlign w:val="center"/>
          </w:tcPr>
          <w:p w14:paraId="7DDA8326">
            <w:pPr>
              <w:pStyle w:val="14"/>
            </w:pPr>
          </w:p>
        </w:tc>
        <w:tc>
          <w:tcPr>
            <w:tcW w:w="4535" w:type="dxa"/>
            <w:vAlign w:val="center"/>
          </w:tcPr>
          <w:p w14:paraId="7CB96916">
            <w:pPr>
              <w:pStyle w:val="13"/>
            </w:pPr>
            <w:r>
              <w:t>十九、自然资源海洋气象等支出</w:t>
            </w:r>
          </w:p>
        </w:tc>
        <w:tc>
          <w:tcPr>
            <w:tcW w:w="2126" w:type="dxa"/>
            <w:vAlign w:val="center"/>
          </w:tcPr>
          <w:p w14:paraId="038C6ADC">
            <w:pPr>
              <w:pStyle w:val="14"/>
            </w:pPr>
          </w:p>
        </w:tc>
      </w:tr>
      <w:tr w14:paraId="30192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6BF5C">
            <w:pPr>
              <w:pStyle w:val="12"/>
            </w:pPr>
            <w:r>
              <w:t>20</w:t>
            </w:r>
          </w:p>
        </w:tc>
        <w:tc>
          <w:tcPr>
            <w:tcW w:w="4535" w:type="dxa"/>
            <w:vAlign w:val="center"/>
          </w:tcPr>
          <w:p w14:paraId="21B66C85">
            <w:pPr>
              <w:pStyle w:val="13"/>
            </w:pPr>
          </w:p>
        </w:tc>
        <w:tc>
          <w:tcPr>
            <w:tcW w:w="2126" w:type="dxa"/>
            <w:vAlign w:val="center"/>
          </w:tcPr>
          <w:p w14:paraId="1491E67B">
            <w:pPr>
              <w:pStyle w:val="14"/>
            </w:pPr>
          </w:p>
        </w:tc>
        <w:tc>
          <w:tcPr>
            <w:tcW w:w="4535" w:type="dxa"/>
            <w:vAlign w:val="center"/>
          </w:tcPr>
          <w:p w14:paraId="2E715FDD">
            <w:pPr>
              <w:pStyle w:val="13"/>
            </w:pPr>
            <w:r>
              <w:t>二十、住房保障支出</w:t>
            </w:r>
          </w:p>
        </w:tc>
        <w:tc>
          <w:tcPr>
            <w:tcW w:w="2126" w:type="dxa"/>
            <w:vAlign w:val="center"/>
          </w:tcPr>
          <w:p w14:paraId="2E58C162">
            <w:pPr>
              <w:pStyle w:val="14"/>
            </w:pPr>
          </w:p>
        </w:tc>
      </w:tr>
      <w:tr w14:paraId="7BD93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C9BEB">
            <w:pPr>
              <w:pStyle w:val="12"/>
            </w:pPr>
            <w:r>
              <w:t>21</w:t>
            </w:r>
          </w:p>
        </w:tc>
        <w:tc>
          <w:tcPr>
            <w:tcW w:w="4535" w:type="dxa"/>
            <w:vAlign w:val="center"/>
          </w:tcPr>
          <w:p w14:paraId="55AC5713">
            <w:pPr>
              <w:pStyle w:val="13"/>
            </w:pPr>
          </w:p>
        </w:tc>
        <w:tc>
          <w:tcPr>
            <w:tcW w:w="2126" w:type="dxa"/>
            <w:vAlign w:val="center"/>
          </w:tcPr>
          <w:p w14:paraId="48529DD6">
            <w:pPr>
              <w:pStyle w:val="14"/>
            </w:pPr>
          </w:p>
        </w:tc>
        <w:tc>
          <w:tcPr>
            <w:tcW w:w="4535" w:type="dxa"/>
            <w:vAlign w:val="center"/>
          </w:tcPr>
          <w:p w14:paraId="562AA4E5">
            <w:pPr>
              <w:pStyle w:val="13"/>
            </w:pPr>
            <w:r>
              <w:t>二十一、粮油物资储备支出</w:t>
            </w:r>
          </w:p>
        </w:tc>
        <w:tc>
          <w:tcPr>
            <w:tcW w:w="2126" w:type="dxa"/>
            <w:vAlign w:val="center"/>
          </w:tcPr>
          <w:p w14:paraId="2DD191F0">
            <w:pPr>
              <w:pStyle w:val="14"/>
            </w:pPr>
          </w:p>
        </w:tc>
      </w:tr>
      <w:tr w14:paraId="53A0D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09BD4">
            <w:pPr>
              <w:pStyle w:val="12"/>
            </w:pPr>
            <w:r>
              <w:t>22</w:t>
            </w:r>
          </w:p>
        </w:tc>
        <w:tc>
          <w:tcPr>
            <w:tcW w:w="4535" w:type="dxa"/>
            <w:vAlign w:val="center"/>
          </w:tcPr>
          <w:p w14:paraId="0F52136B">
            <w:pPr>
              <w:pStyle w:val="13"/>
            </w:pPr>
          </w:p>
        </w:tc>
        <w:tc>
          <w:tcPr>
            <w:tcW w:w="2126" w:type="dxa"/>
            <w:vAlign w:val="center"/>
          </w:tcPr>
          <w:p w14:paraId="6C86D8B3">
            <w:pPr>
              <w:pStyle w:val="14"/>
            </w:pPr>
          </w:p>
        </w:tc>
        <w:tc>
          <w:tcPr>
            <w:tcW w:w="4535" w:type="dxa"/>
            <w:vAlign w:val="center"/>
          </w:tcPr>
          <w:p w14:paraId="3B530C08">
            <w:pPr>
              <w:pStyle w:val="13"/>
            </w:pPr>
            <w:r>
              <w:t>二十二、国有资本经营预算支出</w:t>
            </w:r>
          </w:p>
        </w:tc>
        <w:tc>
          <w:tcPr>
            <w:tcW w:w="2126" w:type="dxa"/>
            <w:vAlign w:val="center"/>
          </w:tcPr>
          <w:p w14:paraId="522007A9">
            <w:pPr>
              <w:pStyle w:val="14"/>
            </w:pPr>
          </w:p>
        </w:tc>
      </w:tr>
      <w:tr w14:paraId="0DAB7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441E9">
            <w:pPr>
              <w:pStyle w:val="12"/>
            </w:pPr>
            <w:r>
              <w:t>23</w:t>
            </w:r>
          </w:p>
        </w:tc>
        <w:tc>
          <w:tcPr>
            <w:tcW w:w="4535" w:type="dxa"/>
            <w:vAlign w:val="center"/>
          </w:tcPr>
          <w:p w14:paraId="3DC88F85">
            <w:pPr>
              <w:pStyle w:val="13"/>
            </w:pPr>
          </w:p>
        </w:tc>
        <w:tc>
          <w:tcPr>
            <w:tcW w:w="2126" w:type="dxa"/>
            <w:vAlign w:val="center"/>
          </w:tcPr>
          <w:p w14:paraId="57521FC3">
            <w:pPr>
              <w:pStyle w:val="14"/>
            </w:pPr>
          </w:p>
        </w:tc>
        <w:tc>
          <w:tcPr>
            <w:tcW w:w="4535" w:type="dxa"/>
            <w:vAlign w:val="center"/>
          </w:tcPr>
          <w:p w14:paraId="75ADD35C">
            <w:pPr>
              <w:pStyle w:val="13"/>
            </w:pPr>
            <w:r>
              <w:t>二十三、灾害防治及应急管理支出</w:t>
            </w:r>
          </w:p>
        </w:tc>
        <w:tc>
          <w:tcPr>
            <w:tcW w:w="2126" w:type="dxa"/>
            <w:vAlign w:val="center"/>
          </w:tcPr>
          <w:p w14:paraId="6F62B309">
            <w:pPr>
              <w:pStyle w:val="14"/>
            </w:pPr>
          </w:p>
        </w:tc>
      </w:tr>
      <w:tr w14:paraId="5B47E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E83D3">
            <w:pPr>
              <w:pStyle w:val="12"/>
            </w:pPr>
            <w:r>
              <w:t>24</w:t>
            </w:r>
          </w:p>
        </w:tc>
        <w:tc>
          <w:tcPr>
            <w:tcW w:w="4535" w:type="dxa"/>
            <w:vAlign w:val="center"/>
          </w:tcPr>
          <w:p w14:paraId="3FDAF04E">
            <w:pPr>
              <w:pStyle w:val="13"/>
            </w:pPr>
          </w:p>
        </w:tc>
        <w:tc>
          <w:tcPr>
            <w:tcW w:w="2126" w:type="dxa"/>
            <w:vAlign w:val="center"/>
          </w:tcPr>
          <w:p w14:paraId="5B224197">
            <w:pPr>
              <w:pStyle w:val="14"/>
            </w:pPr>
          </w:p>
        </w:tc>
        <w:tc>
          <w:tcPr>
            <w:tcW w:w="4535" w:type="dxa"/>
            <w:vAlign w:val="center"/>
          </w:tcPr>
          <w:p w14:paraId="21681838">
            <w:pPr>
              <w:pStyle w:val="13"/>
            </w:pPr>
            <w:r>
              <w:t>二十四、预备费</w:t>
            </w:r>
          </w:p>
        </w:tc>
        <w:tc>
          <w:tcPr>
            <w:tcW w:w="2126" w:type="dxa"/>
            <w:vAlign w:val="center"/>
          </w:tcPr>
          <w:p w14:paraId="5BAEAFE3">
            <w:pPr>
              <w:pStyle w:val="14"/>
            </w:pPr>
          </w:p>
        </w:tc>
      </w:tr>
      <w:tr w14:paraId="5F38F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C8068">
            <w:pPr>
              <w:pStyle w:val="12"/>
            </w:pPr>
            <w:r>
              <w:t>25</w:t>
            </w:r>
          </w:p>
        </w:tc>
        <w:tc>
          <w:tcPr>
            <w:tcW w:w="4535" w:type="dxa"/>
            <w:vAlign w:val="center"/>
          </w:tcPr>
          <w:p w14:paraId="640D8ACC">
            <w:pPr>
              <w:pStyle w:val="13"/>
            </w:pPr>
          </w:p>
        </w:tc>
        <w:tc>
          <w:tcPr>
            <w:tcW w:w="2126" w:type="dxa"/>
            <w:vAlign w:val="center"/>
          </w:tcPr>
          <w:p w14:paraId="5847FFFC">
            <w:pPr>
              <w:pStyle w:val="14"/>
            </w:pPr>
          </w:p>
        </w:tc>
        <w:tc>
          <w:tcPr>
            <w:tcW w:w="4535" w:type="dxa"/>
            <w:vAlign w:val="center"/>
          </w:tcPr>
          <w:p w14:paraId="439E2DB2">
            <w:pPr>
              <w:pStyle w:val="13"/>
            </w:pPr>
            <w:r>
              <w:t>二十五、其他支出</w:t>
            </w:r>
          </w:p>
        </w:tc>
        <w:tc>
          <w:tcPr>
            <w:tcW w:w="2126" w:type="dxa"/>
            <w:vAlign w:val="center"/>
          </w:tcPr>
          <w:p w14:paraId="5C21211A">
            <w:pPr>
              <w:pStyle w:val="14"/>
            </w:pPr>
          </w:p>
        </w:tc>
      </w:tr>
      <w:tr w14:paraId="16F7B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75389">
            <w:pPr>
              <w:pStyle w:val="12"/>
            </w:pPr>
            <w:r>
              <w:t>26</w:t>
            </w:r>
          </w:p>
        </w:tc>
        <w:tc>
          <w:tcPr>
            <w:tcW w:w="4535" w:type="dxa"/>
            <w:vAlign w:val="center"/>
          </w:tcPr>
          <w:p w14:paraId="179DBE64">
            <w:pPr>
              <w:pStyle w:val="13"/>
            </w:pPr>
          </w:p>
        </w:tc>
        <w:tc>
          <w:tcPr>
            <w:tcW w:w="2126" w:type="dxa"/>
            <w:vAlign w:val="center"/>
          </w:tcPr>
          <w:p w14:paraId="32ED4223">
            <w:pPr>
              <w:pStyle w:val="14"/>
            </w:pPr>
          </w:p>
        </w:tc>
        <w:tc>
          <w:tcPr>
            <w:tcW w:w="4535" w:type="dxa"/>
            <w:vAlign w:val="center"/>
          </w:tcPr>
          <w:p w14:paraId="2E6C8035">
            <w:pPr>
              <w:pStyle w:val="13"/>
            </w:pPr>
            <w:r>
              <w:t>二十六、转移性支出</w:t>
            </w:r>
          </w:p>
        </w:tc>
        <w:tc>
          <w:tcPr>
            <w:tcW w:w="2126" w:type="dxa"/>
            <w:vAlign w:val="center"/>
          </w:tcPr>
          <w:p w14:paraId="34FEDA85">
            <w:pPr>
              <w:pStyle w:val="14"/>
            </w:pPr>
          </w:p>
        </w:tc>
      </w:tr>
      <w:tr w14:paraId="47253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4CB54">
            <w:pPr>
              <w:pStyle w:val="12"/>
            </w:pPr>
            <w:r>
              <w:t>27</w:t>
            </w:r>
          </w:p>
        </w:tc>
        <w:tc>
          <w:tcPr>
            <w:tcW w:w="4535" w:type="dxa"/>
            <w:vAlign w:val="center"/>
          </w:tcPr>
          <w:p w14:paraId="592FECD3">
            <w:pPr>
              <w:pStyle w:val="13"/>
            </w:pPr>
          </w:p>
        </w:tc>
        <w:tc>
          <w:tcPr>
            <w:tcW w:w="2126" w:type="dxa"/>
            <w:vAlign w:val="center"/>
          </w:tcPr>
          <w:p w14:paraId="1ED58D01">
            <w:pPr>
              <w:pStyle w:val="14"/>
            </w:pPr>
          </w:p>
        </w:tc>
        <w:tc>
          <w:tcPr>
            <w:tcW w:w="4535" w:type="dxa"/>
            <w:vAlign w:val="center"/>
          </w:tcPr>
          <w:p w14:paraId="75B3B80E">
            <w:pPr>
              <w:pStyle w:val="13"/>
            </w:pPr>
            <w:r>
              <w:t>二十七、债务还本支出</w:t>
            </w:r>
          </w:p>
        </w:tc>
        <w:tc>
          <w:tcPr>
            <w:tcW w:w="2126" w:type="dxa"/>
            <w:vAlign w:val="center"/>
          </w:tcPr>
          <w:p w14:paraId="36206C4B">
            <w:pPr>
              <w:pStyle w:val="14"/>
            </w:pPr>
          </w:p>
        </w:tc>
      </w:tr>
      <w:tr w14:paraId="17F4D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4347D">
            <w:pPr>
              <w:pStyle w:val="12"/>
            </w:pPr>
            <w:r>
              <w:t>28</w:t>
            </w:r>
          </w:p>
        </w:tc>
        <w:tc>
          <w:tcPr>
            <w:tcW w:w="4535" w:type="dxa"/>
            <w:vAlign w:val="center"/>
          </w:tcPr>
          <w:p w14:paraId="265C9D0D">
            <w:pPr>
              <w:pStyle w:val="13"/>
            </w:pPr>
          </w:p>
        </w:tc>
        <w:tc>
          <w:tcPr>
            <w:tcW w:w="2126" w:type="dxa"/>
            <w:vAlign w:val="center"/>
          </w:tcPr>
          <w:p w14:paraId="5BF07947">
            <w:pPr>
              <w:pStyle w:val="14"/>
            </w:pPr>
          </w:p>
        </w:tc>
        <w:tc>
          <w:tcPr>
            <w:tcW w:w="4535" w:type="dxa"/>
            <w:vAlign w:val="center"/>
          </w:tcPr>
          <w:p w14:paraId="28739718">
            <w:pPr>
              <w:pStyle w:val="13"/>
            </w:pPr>
            <w:r>
              <w:t>二十八、债务付息支出</w:t>
            </w:r>
          </w:p>
        </w:tc>
        <w:tc>
          <w:tcPr>
            <w:tcW w:w="2126" w:type="dxa"/>
            <w:vAlign w:val="center"/>
          </w:tcPr>
          <w:p w14:paraId="6D2C63B4">
            <w:pPr>
              <w:pStyle w:val="14"/>
            </w:pPr>
          </w:p>
        </w:tc>
      </w:tr>
      <w:tr w14:paraId="2DA6C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96E8C">
            <w:pPr>
              <w:pStyle w:val="12"/>
            </w:pPr>
            <w:r>
              <w:t>29</w:t>
            </w:r>
          </w:p>
        </w:tc>
        <w:tc>
          <w:tcPr>
            <w:tcW w:w="4535" w:type="dxa"/>
            <w:vAlign w:val="center"/>
          </w:tcPr>
          <w:p w14:paraId="4FE2D181">
            <w:pPr>
              <w:pStyle w:val="13"/>
            </w:pPr>
          </w:p>
        </w:tc>
        <w:tc>
          <w:tcPr>
            <w:tcW w:w="2126" w:type="dxa"/>
            <w:vAlign w:val="center"/>
          </w:tcPr>
          <w:p w14:paraId="04CEC58E">
            <w:pPr>
              <w:pStyle w:val="14"/>
            </w:pPr>
          </w:p>
        </w:tc>
        <w:tc>
          <w:tcPr>
            <w:tcW w:w="4535" w:type="dxa"/>
            <w:vAlign w:val="center"/>
          </w:tcPr>
          <w:p w14:paraId="26808767">
            <w:pPr>
              <w:pStyle w:val="13"/>
            </w:pPr>
            <w:r>
              <w:t>二十九、债务发行费用支出</w:t>
            </w:r>
          </w:p>
        </w:tc>
        <w:tc>
          <w:tcPr>
            <w:tcW w:w="2126" w:type="dxa"/>
            <w:vAlign w:val="center"/>
          </w:tcPr>
          <w:p w14:paraId="46E99DFF">
            <w:pPr>
              <w:pStyle w:val="14"/>
            </w:pPr>
          </w:p>
        </w:tc>
      </w:tr>
      <w:tr w14:paraId="3814B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ECB05">
            <w:pPr>
              <w:pStyle w:val="12"/>
            </w:pPr>
            <w:r>
              <w:t>30</w:t>
            </w:r>
          </w:p>
        </w:tc>
        <w:tc>
          <w:tcPr>
            <w:tcW w:w="4535" w:type="dxa"/>
            <w:vAlign w:val="center"/>
          </w:tcPr>
          <w:p w14:paraId="260DC135">
            <w:pPr>
              <w:pStyle w:val="13"/>
            </w:pPr>
          </w:p>
        </w:tc>
        <w:tc>
          <w:tcPr>
            <w:tcW w:w="2126" w:type="dxa"/>
            <w:vAlign w:val="center"/>
          </w:tcPr>
          <w:p w14:paraId="790237E6">
            <w:pPr>
              <w:pStyle w:val="14"/>
            </w:pPr>
          </w:p>
        </w:tc>
        <w:tc>
          <w:tcPr>
            <w:tcW w:w="4535" w:type="dxa"/>
            <w:vAlign w:val="center"/>
          </w:tcPr>
          <w:p w14:paraId="130C6A2D">
            <w:pPr>
              <w:pStyle w:val="13"/>
            </w:pPr>
            <w:r>
              <w:t>三十、抗疫特别国债安排的支出</w:t>
            </w:r>
          </w:p>
        </w:tc>
        <w:tc>
          <w:tcPr>
            <w:tcW w:w="2126" w:type="dxa"/>
            <w:vAlign w:val="center"/>
          </w:tcPr>
          <w:p w14:paraId="64D672B0">
            <w:pPr>
              <w:pStyle w:val="14"/>
            </w:pPr>
          </w:p>
        </w:tc>
      </w:tr>
      <w:tr w14:paraId="39835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FC274">
            <w:pPr>
              <w:pStyle w:val="12"/>
            </w:pPr>
            <w:r>
              <w:t>31</w:t>
            </w:r>
          </w:p>
        </w:tc>
        <w:tc>
          <w:tcPr>
            <w:tcW w:w="4535" w:type="dxa"/>
            <w:vAlign w:val="center"/>
          </w:tcPr>
          <w:p w14:paraId="5BD25398">
            <w:pPr>
              <w:pStyle w:val="13"/>
            </w:pPr>
          </w:p>
        </w:tc>
        <w:tc>
          <w:tcPr>
            <w:tcW w:w="2126" w:type="dxa"/>
            <w:vAlign w:val="center"/>
          </w:tcPr>
          <w:p w14:paraId="0C0087C1">
            <w:pPr>
              <w:pStyle w:val="14"/>
            </w:pPr>
          </w:p>
        </w:tc>
        <w:tc>
          <w:tcPr>
            <w:tcW w:w="4535" w:type="dxa"/>
            <w:vAlign w:val="center"/>
          </w:tcPr>
          <w:p w14:paraId="0645D770">
            <w:pPr>
              <w:pStyle w:val="13"/>
            </w:pPr>
            <w:r>
              <w:t>三十一、人行科目</w:t>
            </w:r>
          </w:p>
        </w:tc>
        <w:tc>
          <w:tcPr>
            <w:tcW w:w="2126" w:type="dxa"/>
            <w:vAlign w:val="center"/>
          </w:tcPr>
          <w:p w14:paraId="6BF0BFC6">
            <w:pPr>
              <w:pStyle w:val="14"/>
            </w:pPr>
          </w:p>
        </w:tc>
      </w:tr>
      <w:tr w14:paraId="6E13C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0F1F9">
            <w:pPr>
              <w:pStyle w:val="12"/>
            </w:pPr>
            <w:r>
              <w:t>32</w:t>
            </w:r>
          </w:p>
        </w:tc>
        <w:tc>
          <w:tcPr>
            <w:tcW w:w="4535" w:type="dxa"/>
            <w:vAlign w:val="center"/>
          </w:tcPr>
          <w:p w14:paraId="02ED1EA6">
            <w:pPr>
              <w:pStyle w:val="15"/>
            </w:pPr>
            <w:r>
              <w:t>本年收入合计</w:t>
            </w:r>
          </w:p>
        </w:tc>
        <w:tc>
          <w:tcPr>
            <w:tcW w:w="2126" w:type="dxa"/>
            <w:vAlign w:val="center"/>
          </w:tcPr>
          <w:p w14:paraId="663DC7A3">
            <w:pPr>
              <w:pStyle w:val="16"/>
              <w:rPr>
                <w:rFonts w:hint="default" w:eastAsia="方正书宋_GBK"/>
                <w:lang w:val="en-US" w:eastAsia="zh-CN"/>
              </w:rPr>
            </w:pPr>
            <w:r>
              <w:rPr>
                <w:rFonts w:hint="eastAsia"/>
                <w:lang w:val="en-US" w:eastAsia="zh-CN"/>
              </w:rPr>
              <w:t>6147.65</w:t>
            </w:r>
          </w:p>
        </w:tc>
        <w:tc>
          <w:tcPr>
            <w:tcW w:w="4535" w:type="dxa"/>
            <w:vAlign w:val="center"/>
          </w:tcPr>
          <w:p w14:paraId="1EBA944B">
            <w:pPr>
              <w:pStyle w:val="15"/>
            </w:pPr>
            <w:r>
              <w:t>本年支出合计</w:t>
            </w:r>
          </w:p>
        </w:tc>
        <w:tc>
          <w:tcPr>
            <w:tcW w:w="2126" w:type="dxa"/>
            <w:vAlign w:val="center"/>
          </w:tcPr>
          <w:p w14:paraId="33C7E4A5">
            <w:pPr>
              <w:pStyle w:val="16"/>
            </w:pPr>
            <w:r>
              <w:t>6334.11</w:t>
            </w:r>
          </w:p>
        </w:tc>
      </w:tr>
      <w:tr w14:paraId="50239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71072">
            <w:pPr>
              <w:pStyle w:val="12"/>
            </w:pPr>
            <w:r>
              <w:t>33</w:t>
            </w:r>
          </w:p>
        </w:tc>
        <w:tc>
          <w:tcPr>
            <w:tcW w:w="4535" w:type="dxa"/>
            <w:vAlign w:val="center"/>
          </w:tcPr>
          <w:p w14:paraId="00851510">
            <w:pPr>
              <w:pStyle w:val="13"/>
            </w:pPr>
            <w:r>
              <w:t>上年结转结余</w:t>
            </w:r>
          </w:p>
        </w:tc>
        <w:tc>
          <w:tcPr>
            <w:tcW w:w="2126" w:type="dxa"/>
            <w:vAlign w:val="center"/>
          </w:tcPr>
          <w:p w14:paraId="66546E9A">
            <w:pPr>
              <w:pStyle w:val="14"/>
            </w:pPr>
            <w:r>
              <w:t>186.47</w:t>
            </w:r>
          </w:p>
        </w:tc>
        <w:tc>
          <w:tcPr>
            <w:tcW w:w="4535" w:type="dxa"/>
            <w:vAlign w:val="center"/>
          </w:tcPr>
          <w:p w14:paraId="7F940D09">
            <w:pPr>
              <w:pStyle w:val="13"/>
            </w:pPr>
            <w:r>
              <w:t>年终结转结余</w:t>
            </w:r>
          </w:p>
        </w:tc>
        <w:tc>
          <w:tcPr>
            <w:tcW w:w="2126" w:type="dxa"/>
            <w:vAlign w:val="center"/>
          </w:tcPr>
          <w:p w14:paraId="43486FAB">
            <w:pPr>
              <w:pStyle w:val="14"/>
              <w:rPr>
                <w:rFonts w:hint="eastAsia" w:eastAsia="方正书宋_GBK"/>
                <w:lang w:val="en-US" w:eastAsia="zh-CN"/>
              </w:rPr>
            </w:pPr>
            <w:r>
              <w:rPr>
                <w:rFonts w:hint="eastAsia"/>
                <w:lang w:val="en-US" w:eastAsia="zh-CN"/>
              </w:rPr>
              <w:t>0</w:t>
            </w:r>
          </w:p>
        </w:tc>
      </w:tr>
      <w:tr w14:paraId="7940C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AF5BC">
            <w:pPr>
              <w:pStyle w:val="12"/>
            </w:pPr>
            <w:r>
              <w:t>34</w:t>
            </w:r>
          </w:p>
        </w:tc>
        <w:tc>
          <w:tcPr>
            <w:tcW w:w="4535" w:type="dxa"/>
            <w:vAlign w:val="center"/>
          </w:tcPr>
          <w:p w14:paraId="7B19E12F">
            <w:pPr>
              <w:pStyle w:val="15"/>
            </w:pPr>
            <w:r>
              <w:t>收入总计</w:t>
            </w:r>
          </w:p>
        </w:tc>
        <w:tc>
          <w:tcPr>
            <w:tcW w:w="2126" w:type="dxa"/>
            <w:vAlign w:val="center"/>
          </w:tcPr>
          <w:p w14:paraId="1BCCDBE4">
            <w:pPr>
              <w:pStyle w:val="16"/>
            </w:pPr>
            <w:r>
              <w:t>6334.11</w:t>
            </w:r>
          </w:p>
        </w:tc>
        <w:tc>
          <w:tcPr>
            <w:tcW w:w="4535" w:type="dxa"/>
            <w:vAlign w:val="center"/>
          </w:tcPr>
          <w:p w14:paraId="204AF2FB">
            <w:pPr>
              <w:pStyle w:val="15"/>
            </w:pPr>
            <w:r>
              <w:t>支出总计</w:t>
            </w:r>
          </w:p>
        </w:tc>
        <w:tc>
          <w:tcPr>
            <w:tcW w:w="2126" w:type="dxa"/>
            <w:vAlign w:val="center"/>
          </w:tcPr>
          <w:p w14:paraId="115086D4">
            <w:pPr>
              <w:pStyle w:val="16"/>
            </w:pPr>
            <w:r>
              <w:t>6334.11</w:t>
            </w:r>
          </w:p>
        </w:tc>
      </w:tr>
    </w:tbl>
    <w:p w14:paraId="0AF50946">
      <w:pPr>
        <w:sectPr>
          <w:pgSz w:w="16840" w:h="11900" w:orient="landscape"/>
          <w:pgMar w:top="1361" w:right="1020" w:bottom="1134" w:left="1020" w:header="720" w:footer="720" w:gutter="0"/>
          <w:cols w:space="720" w:num="1"/>
        </w:sectPr>
      </w:pPr>
    </w:p>
    <w:p w14:paraId="3C59F1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0C5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D91037">
            <w:pPr>
              <w:pStyle w:val="8"/>
            </w:pPr>
            <w:r>
              <w:t>360003河北隆尧第一中学</w:t>
            </w:r>
          </w:p>
        </w:tc>
        <w:tc>
          <w:tcPr>
            <w:tcW w:w="3402" w:type="dxa"/>
            <w:gridSpan w:val="3"/>
            <w:tcBorders>
              <w:top w:val="single" w:color="FFFFFF" w:sz="6" w:space="0"/>
              <w:left w:val="single" w:color="FFFFFF" w:sz="6" w:space="0"/>
              <w:right w:val="single" w:color="FFFFFF" w:sz="6" w:space="0"/>
            </w:tcBorders>
            <w:vAlign w:val="center"/>
          </w:tcPr>
          <w:p w14:paraId="2D4A7A4C">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D1E7778">
            <w:pPr>
              <w:pStyle w:val="10"/>
            </w:pPr>
            <w:r>
              <w:t>单位：万元</w:t>
            </w:r>
          </w:p>
        </w:tc>
      </w:tr>
      <w:tr w14:paraId="0D6E3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A56907">
            <w:pPr>
              <w:pStyle w:val="11"/>
            </w:pPr>
            <w:r>
              <w:t>序号</w:t>
            </w:r>
          </w:p>
        </w:tc>
        <w:tc>
          <w:tcPr>
            <w:tcW w:w="2551" w:type="dxa"/>
            <w:gridSpan w:val="2"/>
            <w:vAlign w:val="center"/>
          </w:tcPr>
          <w:p w14:paraId="20B2354C">
            <w:pPr>
              <w:pStyle w:val="11"/>
            </w:pPr>
            <w:r>
              <w:t>功能分类科目</w:t>
            </w:r>
          </w:p>
        </w:tc>
        <w:tc>
          <w:tcPr>
            <w:tcW w:w="1134" w:type="dxa"/>
            <w:vMerge w:val="restart"/>
            <w:vAlign w:val="center"/>
          </w:tcPr>
          <w:p w14:paraId="688B926F">
            <w:pPr>
              <w:pStyle w:val="11"/>
            </w:pPr>
            <w:r>
              <w:t>合计</w:t>
            </w:r>
          </w:p>
        </w:tc>
        <w:tc>
          <w:tcPr>
            <w:tcW w:w="9072" w:type="dxa"/>
            <w:gridSpan w:val="8"/>
            <w:vAlign w:val="center"/>
          </w:tcPr>
          <w:p w14:paraId="17FA7B57">
            <w:pPr>
              <w:pStyle w:val="11"/>
            </w:pPr>
            <w:r>
              <w:t>本年收入</w:t>
            </w:r>
          </w:p>
        </w:tc>
        <w:tc>
          <w:tcPr>
            <w:tcW w:w="1134" w:type="dxa"/>
            <w:vMerge w:val="restart"/>
            <w:vAlign w:val="center"/>
          </w:tcPr>
          <w:p w14:paraId="6C216AB8">
            <w:pPr>
              <w:pStyle w:val="11"/>
            </w:pPr>
            <w:r>
              <w:t>上年结转</w:t>
            </w:r>
          </w:p>
        </w:tc>
      </w:tr>
      <w:tr w14:paraId="33695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7BE66F"/>
        </w:tc>
        <w:tc>
          <w:tcPr>
            <w:tcW w:w="992" w:type="dxa"/>
            <w:vAlign w:val="center"/>
          </w:tcPr>
          <w:p w14:paraId="0D9C68EE">
            <w:pPr>
              <w:pStyle w:val="11"/>
            </w:pPr>
            <w:r>
              <w:t>科目    编码</w:t>
            </w:r>
          </w:p>
        </w:tc>
        <w:tc>
          <w:tcPr>
            <w:tcW w:w="1559" w:type="dxa"/>
            <w:vAlign w:val="center"/>
          </w:tcPr>
          <w:p w14:paraId="67386DC7">
            <w:pPr>
              <w:pStyle w:val="11"/>
            </w:pPr>
            <w:r>
              <w:t>科目名称</w:t>
            </w:r>
          </w:p>
        </w:tc>
        <w:tc>
          <w:tcPr>
            <w:tcW w:w="1134" w:type="dxa"/>
            <w:vMerge w:val="continue"/>
          </w:tcPr>
          <w:p w14:paraId="491B9A46"/>
        </w:tc>
        <w:tc>
          <w:tcPr>
            <w:tcW w:w="1134" w:type="dxa"/>
            <w:vAlign w:val="center"/>
          </w:tcPr>
          <w:p w14:paraId="5B1EA237">
            <w:pPr>
              <w:pStyle w:val="11"/>
            </w:pPr>
            <w:r>
              <w:t>小计</w:t>
            </w:r>
          </w:p>
        </w:tc>
        <w:tc>
          <w:tcPr>
            <w:tcW w:w="1134" w:type="dxa"/>
            <w:vAlign w:val="center"/>
          </w:tcPr>
          <w:p w14:paraId="0098C40A">
            <w:pPr>
              <w:pStyle w:val="11"/>
            </w:pPr>
            <w:r>
              <w:t>财政拨款 收入</w:t>
            </w:r>
          </w:p>
        </w:tc>
        <w:tc>
          <w:tcPr>
            <w:tcW w:w="1134" w:type="dxa"/>
            <w:vAlign w:val="center"/>
          </w:tcPr>
          <w:p w14:paraId="3D5A2352">
            <w:pPr>
              <w:pStyle w:val="11"/>
            </w:pPr>
            <w:r>
              <w:t>财政专户 收入</w:t>
            </w:r>
          </w:p>
        </w:tc>
        <w:tc>
          <w:tcPr>
            <w:tcW w:w="1134" w:type="dxa"/>
            <w:vAlign w:val="center"/>
          </w:tcPr>
          <w:p w14:paraId="16FCAB8F">
            <w:pPr>
              <w:pStyle w:val="11"/>
            </w:pPr>
            <w:r>
              <w:t>事业收入</w:t>
            </w:r>
          </w:p>
        </w:tc>
        <w:tc>
          <w:tcPr>
            <w:tcW w:w="1134" w:type="dxa"/>
            <w:vAlign w:val="center"/>
          </w:tcPr>
          <w:p w14:paraId="4624A4BD">
            <w:pPr>
              <w:pStyle w:val="11"/>
            </w:pPr>
            <w:r>
              <w:t>经营收入</w:t>
            </w:r>
          </w:p>
        </w:tc>
        <w:tc>
          <w:tcPr>
            <w:tcW w:w="1134" w:type="dxa"/>
            <w:vAlign w:val="center"/>
          </w:tcPr>
          <w:p w14:paraId="0BB44373">
            <w:pPr>
              <w:pStyle w:val="11"/>
            </w:pPr>
            <w:r>
              <w:t>上级补助收入</w:t>
            </w:r>
          </w:p>
        </w:tc>
        <w:tc>
          <w:tcPr>
            <w:tcW w:w="1134" w:type="dxa"/>
            <w:vAlign w:val="center"/>
          </w:tcPr>
          <w:p w14:paraId="35F9B349">
            <w:pPr>
              <w:pStyle w:val="11"/>
            </w:pPr>
            <w:r>
              <w:t>附属单位上缴收入</w:t>
            </w:r>
          </w:p>
        </w:tc>
        <w:tc>
          <w:tcPr>
            <w:tcW w:w="1134" w:type="dxa"/>
            <w:vAlign w:val="center"/>
          </w:tcPr>
          <w:p w14:paraId="7CC99F8C">
            <w:pPr>
              <w:pStyle w:val="11"/>
            </w:pPr>
            <w:r>
              <w:t>其他收入</w:t>
            </w:r>
          </w:p>
        </w:tc>
        <w:tc>
          <w:tcPr>
            <w:tcW w:w="1134" w:type="dxa"/>
            <w:vMerge w:val="continue"/>
          </w:tcPr>
          <w:p w14:paraId="63ED7C7A"/>
        </w:tc>
      </w:tr>
      <w:tr w14:paraId="5D783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B1A51B">
            <w:pPr>
              <w:pStyle w:val="11"/>
            </w:pPr>
            <w:r>
              <w:t>栏次</w:t>
            </w:r>
          </w:p>
        </w:tc>
        <w:tc>
          <w:tcPr>
            <w:tcW w:w="992" w:type="dxa"/>
            <w:vAlign w:val="center"/>
          </w:tcPr>
          <w:p w14:paraId="7BB5700A">
            <w:pPr>
              <w:pStyle w:val="11"/>
            </w:pPr>
            <w:r>
              <w:t>1</w:t>
            </w:r>
          </w:p>
        </w:tc>
        <w:tc>
          <w:tcPr>
            <w:tcW w:w="1559" w:type="dxa"/>
            <w:vAlign w:val="center"/>
          </w:tcPr>
          <w:p w14:paraId="7B15C9CE">
            <w:pPr>
              <w:pStyle w:val="11"/>
            </w:pPr>
            <w:r>
              <w:t>2</w:t>
            </w:r>
          </w:p>
        </w:tc>
        <w:tc>
          <w:tcPr>
            <w:tcW w:w="1134" w:type="dxa"/>
            <w:vAlign w:val="center"/>
          </w:tcPr>
          <w:p w14:paraId="24DE1137">
            <w:pPr>
              <w:pStyle w:val="11"/>
            </w:pPr>
            <w:r>
              <w:t>3</w:t>
            </w:r>
          </w:p>
        </w:tc>
        <w:tc>
          <w:tcPr>
            <w:tcW w:w="1134" w:type="dxa"/>
            <w:vAlign w:val="center"/>
          </w:tcPr>
          <w:p w14:paraId="19BAC0CC">
            <w:pPr>
              <w:pStyle w:val="11"/>
            </w:pPr>
            <w:r>
              <w:t>4</w:t>
            </w:r>
          </w:p>
        </w:tc>
        <w:tc>
          <w:tcPr>
            <w:tcW w:w="1134" w:type="dxa"/>
            <w:vAlign w:val="center"/>
          </w:tcPr>
          <w:p w14:paraId="2F056E15">
            <w:pPr>
              <w:pStyle w:val="11"/>
            </w:pPr>
            <w:r>
              <w:t>5</w:t>
            </w:r>
          </w:p>
        </w:tc>
        <w:tc>
          <w:tcPr>
            <w:tcW w:w="1134" w:type="dxa"/>
            <w:vAlign w:val="center"/>
          </w:tcPr>
          <w:p w14:paraId="0BA10478">
            <w:pPr>
              <w:pStyle w:val="11"/>
            </w:pPr>
            <w:r>
              <w:t>6</w:t>
            </w:r>
          </w:p>
        </w:tc>
        <w:tc>
          <w:tcPr>
            <w:tcW w:w="1134" w:type="dxa"/>
            <w:vAlign w:val="center"/>
          </w:tcPr>
          <w:p w14:paraId="29677E3B">
            <w:pPr>
              <w:pStyle w:val="11"/>
            </w:pPr>
            <w:r>
              <w:t>7</w:t>
            </w:r>
          </w:p>
        </w:tc>
        <w:tc>
          <w:tcPr>
            <w:tcW w:w="1134" w:type="dxa"/>
            <w:vAlign w:val="center"/>
          </w:tcPr>
          <w:p w14:paraId="2891D487">
            <w:pPr>
              <w:pStyle w:val="11"/>
            </w:pPr>
            <w:r>
              <w:t>8</w:t>
            </w:r>
          </w:p>
        </w:tc>
        <w:tc>
          <w:tcPr>
            <w:tcW w:w="1134" w:type="dxa"/>
            <w:vAlign w:val="center"/>
          </w:tcPr>
          <w:p w14:paraId="67EE0DF8">
            <w:pPr>
              <w:pStyle w:val="11"/>
            </w:pPr>
            <w:r>
              <w:t>9</w:t>
            </w:r>
          </w:p>
        </w:tc>
        <w:tc>
          <w:tcPr>
            <w:tcW w:w="1134" w:type="dxa"/>
            <w:vAlign w:val="center"/>
          </w:tcPr>
          <w:p w14:paraId="64426379">
            <w:pPr>
              <w:pStyle w:val="11"/>
            </w:pPr>
            <w:r>
              <w:t>10</w:t>
            </w:r>
          </w:p>
        </w:tc>
        <w:tc>
          <w:tcPr>
            <w:tcW w:w="1134" w:type="dxa"/>
            <w:vAlign w:val="center"/>
          </w:tcPr>
          <w:p w14:paraId="384CD4D8">
            <w:pPr>
              <w:pStyle w:val="11"/>
            </w:pPr>
            <w:r>
              <w:t>11</w:t>
            </w:r>
          </w:p>
        </w:tc>
        <w:tc>
          <w:tcPr>
            <w:tcW w:w="1134" w:type="dxa"/>
            <w:vAlign w:val="center"/>
          </w:tcPr>
          <w:p w14:paraId="7DEA02C8">
            <w:pPr>
              <w:pStyle w:val="11"/>
            </w:pPr>
            <w:r>
              <w:t>12</w:t>
            </w:r>
          </w:p>
        </w:tc>
      </w:tr>
      <w:tr w14:paraId="635F3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7D2A6F">
            <w:pPr>
              <w:pStyle w:val="12"/>
            </w:pPr>
            <w:r>
              <w:t>1</w:t>
            </w:r>
          </w:p>
        </w:tc>
        <w:tc>
          <w:tcPr>
            <w:tcW w:w="992" w:type="dxa"/>
            <w:vAlign w:val="center"/>
          </w:tcPr>
          <w:p w14:paraId="0EC064D6">
            <w:pPr>
              <w:pStyle w:val="17"/>
            </w:pPr>
          </w:p>
        </w:tc>
        <w:tc>
          <w:tcPr>
            <w:tcW w:w="1559" w:type="dxa"/>
            <w:vAlign w:val="center"/>
          </w:tcPr>
          <w:p w14:paraId="159FB44D">
            <w:pPr>
              <w:pStyle w:val="15"/>
            </w:pPr>
            <w:r>
              <w:t>合计</w:t>
            </w:r>
          </w:p>
        </w:tc>
        <w:tc>
          <w:tcPr>
            <w:tcW w:w="1134" w:type="dxa"/>
            <w:vAlign w:val="center"/>
          </w:tcPr>
          <w:p w14:paraId="00F10369">
            <w:pPr>
              <w:pStyle w:val="16"/>
            </w:pPr>
            <w:r>
              <w:t>6334.11</w:t>
            </w:r>
          </w:p>
        </w:tc>
        <w:tc>
          <w:tcPr>
            <w:tcW w:w="1134" w:type="dxa"/>
            <w:vAlign w:val="center"/>
          </w:tcPr>
          <w:p w14:paraId="3475A166">
            <w:pPr>
              <w:pStyle w:val="16"/>
            </w:pPr>
            <w:r>
              <w:t>6147.65</w:t>
            </w:r>
          </w:p>
        </w:tc>
        <w:tc>
          <w:tcPr>
            <w:tcW w:w="1134" w:type="dxa"/>
            <w:vAlign w:val="center"/>
          </w:tcPr>
          <w:p w14:paraId="58BC1CA4">
            <w:pPr>
              <w:pStyle w:val="16"/>
            </w:pPr>
            <w:r>
              <w:t>5298.37</w:t>
            </w:r>
          </w:p>
        </w:tc>
        <w:tc>
          <w:tcPr>
            <w:tcW w:w="1134" w:type="dxa"/>
            <w:vAlign w:val="center"/>
          </w:tcPr>
          <w:p w14:paraId="6CADF812">
            <w:pPr>
              <w:pStyle w:val="16"/>
            </w:pPr>
            <w:r>
              <w:t>849.28</w:t>
            </w:r>
          </w:p>
        </w:tc>
        <w:tc>
          <w:tcPr>
            <w:tcW w:w="1134" w:type="dxa"/>
            <w:vAlign w:val="center"/>
          </w:tcPr>
          <w:p w14:paraId="1865BA2D">
            <w:pPr>
              <w:pStyle w:val="16"/>
            </w:pPr>
          </w:p>
        </w:tc>
        <w:tc>
          <w:tcPr>
            <w:tcW w:w="1134" w:type="dxa"/>
            <w:vAlign w:val="center"/>
          </w:tcPr>
          <w:p w14:paraId="463C45F2">
            <w:pPr>
              <w:pStyle w:val="16"/>
            </w:pPr>
          </w:p>
        </w:tc>
        <w:tc>
          <w:tcPr>
            <w:tcW w:w="1134" w:type="dxa"/>
            <w:vAlign w:val="center"/>
          </w:tcPr>
          <w:p w14:paraId="200367FF">
            <w:pPr>
              <w:pStyle w:val="16"/>
            </w:pPr>
          </w:p>
        </w:tc>
        <w:tc>
          <w:tcPr>
            <w:tcW w:w="1134" w:type="dxa"/>
            <w:vAlign w:val="center"/>
          </w:tcPr>
          <w:p w14:paraId="374AE301">
            <w:pPr>
              <w:pStyle w:val="16"/>
            </w:pPr>
          </w:p>
        </w:tc>
        <w:tc>
          <w:tcPr>
            <w:tcW w:w="1134" w:type="dxa"/>
            <w:vAlign w:val="center"/>
          </w:tcPr>
          <w:p w14:paraId="42193FAA">
            <w:pPr>
              <w:pStyle w:val="16"/>
            </w:pPr>
          </w:p>
        </w:tc>
        <w:tc>
          <w:tcPr>
            <w:tcW w:w="1134" w:type="dxa"/>
            <w:vAlign w:val="center"/>
          </w:tcPr>
          <w:p w14:paraId="3C7792DE">
            <w:pPr>
              <w:pStyle w:val="16"/>
            </w:pPr>
            <w:r>
              <w:t>186.47</w:t>
            </w:r>
          </w:p>
        </w:tc>
      </w:tr>
      <w:tr w14:paraId="0874F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42289E">
            <w:pPr>
              <w:pStyle w:val="12"/>
            </w:pPr>
            <w:r>
              <w:t>2</w:t>
            </w:r>
          </w:p>
        </w:tc>
        <w:tc>
          <w:tcPr>
            <w:tcW w:w="992" w:type="dxa"/>
            <w:vAlign w:val="center"/>
          </w:tcPr>
          <w:p w14:paraId="23AB9C8C">
            <w:pPr>
              <w:pStyle w:val="13"/>
            </w:pPr>
            <w:r>
              <w:t>205</w:t>
            </w:r>
          </w:p>
        </w:tc>
        <w:tc>
          <w:tcPr>
            <w:tcW w:w="1559" w:type="dxa"/>
            <w:vAlign w:val="center"/>
          </w:tcPr>
          <w:p w14:paraId="3BD2AE78">
            <w:pPr>
              <w:pStyle w:val="13"/>
            </w:pPr>
            <w:r>
              <w:t>教育支出</w:t>
            </w:r>
          </w:p>
        </w:tc>
        <w:tc>
          <w:tcPr>
            <w:tcW w:w="1134" w:type="dxa"/>
            <w:vAlign w:val="center"/>
          </w:tcPr>
          <w:p w14:paraId="10EB14CD">
            <w:pPr>
              <w:pStyle w:val="14"/>
            </w:pPr>
            <w:r>
              <w:t>6324.26</w:t>
            </w:r>
          </w:p>
        </w:tc>
        <w:tc>
          <w:tcPr>
            <w:tcW w:w="1134" w:type="dxa"/>
            <w:vAlign w:val="center"/>
          </w:tcPr>
          <w:p w14:paraId="7801496E">
            <w:pPr>
              <w:pStyle w:val="14"/>
            </w:pPr>
            <w:r>
              <w:t>6137.80</w:t>
            </w:r>
          </w:p>
        </w:tc>
        <w:tc>
          <w:tcPr>
            <w:tcW w:w="1134" w:type="dxa"/>
            <w:vAlign w:val="center"/>
          </w:tcPr>
          <w:p w14:paraId="0F3AC8A6">
            <w:pPr>
              <w:pStyle w:val="14"/>
            </w:pPr>
            <w:r>
              <w:t>5288.52</w:t>
            </w:r>
          </w:p>
        </w:tc>
        <w:tc>
          <w:tcPr>
            <w:tcW w:w="1134" w:type="dxa"/>
            <w:vAlign w:val="center"/>
          </w:tcPr>
          <w:p w14:paraId="55F38DDF">
            <w:pPr>
              <w:pStyle w:val="14"/>
            </w:pPr>
            <w:r>
              <w:t>849.28</w:t>
            </w:r>
          </w:p>
        </w:tc>
        <w:tc>
          <w:tcPr>
            <w:tcW w:w="1134" w:type="dxa"/>
            <w:vAlign w:val="center"/>
          </w:tcPr>
          <w:p w14:paraId="3E7311B0">
            <w:pPr>
              <w:pStyle w:val="14"/>
            </w:pPr>
          </w:p>
        </w:tc>
        <w:tc>
          <w:tcPr>
            <w:tcW w:w="1134" w:type="dxa"/>
            <w:vAlign w:val="center"/>
          </w:tcPr>
          <w:p w14:paraId="3DB9B070">
            <w:pPr>
              <w:pStyle w:val="14"/>
            </w:pPr>
          </w:p>
        </w:tc>
        <w:tc>
          <w:tcPr>
            <w:tcW w:w="1134" w:type="dxa"/>
            <w:vAlign w:val="center"/>
          </w:tcPr>
          <w:p w14:paraId="4630F607">
            <w:pPr>
              <w:pStyle w:val="14"/>
            </w:pPr>
          </w:p>
        </w:tc>
        <w:tc>
          <w:tcPr>
            <w:tcW w:w="1134" w:type="dxa"/>
            <w:vAlign w:val="center"/>
          </w:tcPr>
          <w:p w14:paraId="674A9097">
            <w:pPr>
              <w:pStyle w:val="14"/>
            </w:pPr>
          </w:p>
        </w:tc>
        <w:tc>
          <w:tcPr>
            <w:tcW w:w="1134" w:type="dxa"/>
            <w:vAlign w:val="center"/>
          </w:tcPr>
          <w:p w14:paraId="495248CD">
            <w:pPr>
              <w:pStyle w:val="14"/>
            </w:pPr>
          </w:p>
        </w:tc>
        <w:tc>
          <w:tcPr>
            <w:tcW w:w="1134" w:type="dxa"/>
            <w:vAlign w:val="center"/>
          </w:tcPr>
          <w:p w14:paraId="217A6740">
            <w:pPr>
              <w:pStyle w:val="14"/>
            </w:pPr>
            <w:r>
              <w:t>186.47</w:t>
            </w:r>
          </w:p>
        </w:tc>
      </w:tr>
      <w:tr w14:paraId="0BA06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0CA62A">
            <w:pPr>
              <w:pStyle w:val="12"/>
            </w:pPr>
            <w:r>
              <w:t>3</w:t>
            </w:r>
          </w:p>
        </w:tc>
        <w:tc>
          <w:tcPr>
            <w:tcW w:w="992" w:type="dxa"/>
            <w:vAlign w:val="center"/>
          </w:tcPr>
          <w:p w14:paraId="49A94B81">
            <w:pPr>
              <w:pStyle w:val="13"/>
            </w:pPr>
            <w:r>
              <w:t>20502</w:t>
            </w:r>
          </w:p>
        </w:tc>
        <w:tc>
          <w:tcPr>
            <w:tcW w:w="1559" w:type="dxa"/>
            <w:vAlign w:val="center"/>
          </w:tcPr>
          <w:p w14:paraId="572E9A04">
            <w:pPr>
              <w:pStyle w:val="13"/>
            </w:pPr>
            <w:r>
              <w:t>普通教育</w:t>
            </w:r>
          </w:p>
        </w:tc>
        <w:tc>
          <w:tcPr>
            <w:tcW w:w="1134" w:type="dxa"/>
            <w:vAlign w:val="center"/>
          </w:tcPr>
          <w:p w14:paraId="493DD06B">
            <w:pPr>
              <w:pStyle w:val="14"/>
            </w:pPr>
            <w:r>
              <w:t>6324.26</w:t>
            </w:r>
          </w:p>
        </w:tc>
        <w:tc>
          <w:tcPr>
            <w:tcW w:w="1134" w:type="dxa"/>
            <w:vAlign w:val="center"/>
          </w:tcPr>
          <w:p w14:paraId="15587200">
            <w:pPr>
              <w:pStyle w:val="14"/>
            </w:pPr>
            <w:r>
              <w:t>6137.80</w:t>
            </w:r>
          </w:p>
        </w:tc>
        <w:tc>
          <w:tcPr>
            <w:tcW w:w="1134" w:type="dxa"/>
            <w:vAlign w:val="center"/>
          </w:tcPr>
          <w:p w14:paraId="711E8724">
            <w:pPr>
              <w:pStyle w:val="14"/>
            </w:pPr>
            <w:r>
              <w:t>5288.52</w:t>
            </w:r>
          </w:p>
        </w:tc>
        <w:tc>
          <w:tcPr>
            <w:tcW w:w="1134" w:type="dxa"/>
            <w:vAlign w:val="center"/>
          </w:tcPr>
          <w:p w14:paraId="7B21C402">
            <w:pPr>
              <w:pStyle w:val="14"/>
            </w:pPr>
            <w:r>
              <w:t>849.28</w:t>
            </w:r>
          </w:p>
        </w:tc>
        <w:tc>
          <w:tcPr>
            <w:tcW w:w="1134" w:type="dxa"/>
            <w:vAlign w:val="center"/>
          </w:tcPr>
          <w:p w14:paraId="2653A6BE">
            <w:pPr>
              <w:pStyle w:val="14"/>
            </w:pPr>
          </w:p>
        </w:tc>
        <w:tc>
          <w:tcPr>
            <w:tcW w:w="1134" w:type="dxa"/>
            <w:vAlign w:val="center"/>
          </w:tcPr>
          <w:p w14:paraId="1B703022">
            <w:pPr>
              <w:pStyle w:val="14"/>
            </w:pPr>
          </w:p>
        </w:tc>
        <w:tc>
          <w:tcPr>
            <w:tcW w:w="1134" w:type="dxa"/>
            <w:vAlign w:val="center"/>
          </w:tcPr>
          <w:p w14:paraId="65B91AFC">
            <w:pPr>
              <w:pStyle w:val="14"/>
            </w:pPr>
          </w:p>
        </w:tc>
        <w:tc>
          <w:tcPr>
            <w:tcW w:w="1134" w:type="dxa"/>
            <w:vAlign w:val="center"/>
          </w:tcPr>
          <w:p w14:paraId="66F1CEBE">
            <w:pPr>
              <w:pStyle w:val="14"/>
            </w:pPr>
          </w:p>
        </w:tc>
        <w:tc>
          <w:tcPr>
            <w:tcW w:w="1134" w:type="dxa"/>
            <w:vAlign w:val="center"/>
          </w:tcPr>
          <w:p w14:paraId="48411138">
            <w:pPr>
              <w:pStyle w:val="14"/>
            </w:pPr>
          </w:p>
        </w:tc>
        <w:tc>
          <w:tcPr>
            <w:tcW w:w="1134" w:type="dxa"/>
            <w:vAlign w:val="center"/>
          </w:tcPr>
          <w:p w14:paraId="76F9666E">
            <w:pPr>
              <w:pStyle w:val="14"/>
            </w:pPr>
            <w:r>
              <w:t>186.47</w:t>
            </w:r>
          </w:p>
        </w:tc>
      </w:tr>
      <w:tr w14:paraId="5B412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9A11F4">
            <w:pPr>
              <w:pStyle w:val="12"/>
            </w:pPr>
            <w:r>
              <w:t>4</w:t>
            </w:r>
          </w:p>
        </w:tc>
        <w:tc>
          <w:tcPr>
            <w:tcW w:w="992" w:type="dxa"/>
            <w:vAlign w:val="center"/>
          </w:tcPr>
          <w:p w14:paraId="4C955187">
            <w:pPr>
              <w:pStyle w:val="13"/>
            </w:pPr>
            <w:r>
              <w:t>2050204</w:t>
            </w:r>
          </w:p>
        </w:tc>
        <w:tc>
          <w:tcPr>
            <w:tcW w:w="1559" w:type="dxa"/>
            <w:vAlign w:val="center"/>
          </w:tcPr>
          <w:p w14:paraId="09710E17">
            <w:pPr>
              <w:pStyle w:val="13"/>
            </w:pPr>
            <w:r>
              <w:t>高中教育</w:t>
            </w:r>
          </w:p>
        </w:tc>
        <w:tc>
          <w:tcPr>
            <w:tcW w:w="1134" w:type="dxa"/>
            <w:vAlign w:val="center"/>
          </w:tcPr>
          <w:p w14:paraId="1BFA2A8A">
            <w:pPr>
              <w:pStyle w:val="14"/>
            </w:pPr>
            <w:r>
              <w:t>6324.26</w:t>
            </w:r>
          </w:p>
        </w:tc>
        <w:tc>
          <w:tcPr>
            <w:tcW w:w="1134" w:type="dxa"/>
            <w:vAlign w:val="center"/>
          </w:tcPr>
          <w:p w14:paraId="2A586BD2">
            <w:pPr>
              <w:pStyle w:val="14"/>
            </w:pPr>
            <w:r>
              <w:t>6137.80</w:t>
            </w:r>
          </w:p>
        </w:tc>
        <w:tc>
          <w:tcPr>
            <w:tcW w:w="1134" w:type="dxa"/>
            <w:vAlign w:val="center"/>
          </w:tcPr>
          <w:p w14:paraId="52A660DE">
            <w:pPr>
              <w:pStyle w:val="14"/>
            </w:pPr>
            <w:r>
              <w:t>5288.52</w:t>
            </w:r>
          </w:p>
        </w:tc>
        <w:tc>
          <w:tcPr>
            <w:tcW w:w="1134" w:type="dxa"/>
            <w:vAlign w:val="center"/>
          </w:tcPr>
          <w:p w14:paraId="6CE242F1">
            <w:pPr>
              <w:pStyle w:val="14"/>
            </w:pPr>
            <w:r>
              <w:t>849.28</w:t>
            </w:r>
          </w:p>
        </w:tc>
        <w:tc>
          <w:tcPr>
            <w:tcW w:w="1134" w:type="dxa"/>
            <w:vAlign w:val="center"/>
          </w:tcPr>
          <w:p w14:paraId="18A0385D">
            <w:pPr>
              <w:pStyle w:val="14"/>
            </w:pPr>
          </w:p>
        </w:tc>
        <w:tc>
          <w:tcPr>
            <w:tcW w:w="1134" w:type="dxa"/>
            <w:vAlign w:val="center"/>
          </w:tcPr>
          <w:p w14:paraId="7C9551C8">
            <w:pPr>
              <w:pStyle w:val="14"/>
            </w:pPr>
          </w:p>
        </w:tc>
        <w:tc>
          <w:tcPr>
            <w:tcW w:w="1134" w:type="dxa"/>
            <w:vAlign w:val="center"/>
          </w:tcPr>
          <w:p w14:paraId="4393C17D">
            <w:pPr>
              <w:pStyle w:val="14"/>
            </w:pPr>
          </w:p>
        </w:tc>
        <w:tc>
          <w:tcPr>
            <w:tcW w:w="1134" w:type="dxa"/>
            <w:vAlign w:val="center"/>
          </w:tcPr>
          <w:p w14:paraId="6C23A596">
            <w:pPr>
              <w:pStyle w:val="14"/>
            </w:pPr>
          </w:p>
        </w:tc>
        <w:tc>
          <w:tcPr>
            <w:tcW w:w="1134" w:type="dxa"/>
            <w:vAlign w:val="center"/>
          </w:tcPr>
          <w:p w14:paraId="6E15D072">
            <w:pPr>
              <w:pStyle w:val="14"/>
            </w:pPr>
          </w:p>
        </w:tc>
        <w:tc>
          <w:tcPr>
            <w:tcW w:w="1134" w:type="dxa"/>
            <w:vAlign w:val="center"/>
          </w:tcPr>
          <w:p w14:paraId="3E5EA491">
            <w:pPr>
              <w:pStyle w:val="14"/>
            </w:pPr>
            <w:r>
              <w:t>186.47</w:t>
            </w:r>
          </w:p>
        </w:tc>
      </w:tr>
      <w:tr w14:paraId="45F31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64162B">
            <w:pPr>
              <w:pStyle w:val="12"/>
            </w:pPr>
            <w:r>
              <w:t>5</w:t>
            </w:r>
          </w:p>
        </w:tc>
        <w:tc>
          <w:tcPr>
            <w:tcW w:w="992" w:type="dxa"/>
            <w:vAlign w:val="center"/>
          </w:tcPr>
          <w:p w14:paraId="0EF4323F">
            <w:pPr>
              <w:pStyle w:val="13"/>
            </w:pPr>
            <w:r>
              <w:t>208</w:t>
            </w:r>
          </w:p>
        </w:tc>
        <w:tc>
          <w:tcPr>
            <w:tcW w:w="1559" w:type="dxa"/>
            <w:vAlign w:val="center"/>
          </w:tcPr>
          <w:p w14:paraId="057AE886">
            <w:pPr>
              <w:pStyle w:val="13"/>
            </w:pPr>
            <w:r>
              <w:t>社会保障和就业支出</w:t>
            </w:r>
          </w:p>
        </w:tc>
        <w:tc>
          <w:tcPr>
            <w:tcW w:w="1134" w:type="dxa"/>
            <w:vAlign w:val="center"/>
          </w:tcPr>
          <w:p w14:paraId="360CD51E">
            <w:pPr>
              <w:pStyle w:val="14"/>
            </w:pPr>
            <w:r>
              <w:t>9.85</w:t>
            </w:r>
          </w:p>
        </w:tc>
        <w:tc>
          <w:tcPr>
            <w:tcW w:w="1134" w:type="dxa"/>
            <w:vAlign w:val="center"/>
          </w:tcPr>
          <w:p w14:paraId="12B1221E">
            <w:pPr>
              <w:pStyle w:val="14"/>
            </w:pPr>
            <w:r>
              <w:t>9.85</w:t>
            </w:r>
          </w:p>
        </w:tc>
        <w:tc>
          <w:tcPr>
            <w:tcW w:w="1134" w:type="dxa"/>
            <w:vAlign w:val="center"/>
          </w:tcPr>
          <w:p w14:paraId="248F4E99">
            <w:pPr>
              <w:pStyle w:val="14"/>
            </w:pPr>
            <w:r>
              <w:t>9.85</w:t>
            </w:r>
          </w:p>
        </w:tc>
        <w:tc>
          <w:tcPr>
            <w:tcW w:w="1134" w:type="dxa"/>
            <w:vAlign w:val="center"/>
          </w:tcPr>
          <w:p w14:paraId="1CEFB42D">
            <w:pPr>
              <w:pStyle w:val="14"/>
            </w:pPr>
          </w:p>
        </w:tc>
        <w:tc>
          <w:tcPr>
            <w:tcW w:w="1134" w:type="dxa"/>
            <w:vAlign w:val="center"/>
          </w:tcPr>
          <w:p w14:paraId="492F3754">
            <w:pPr>
              <w:pStyle w:val="14"/>
            </w:pPr>
          </w:p>
        </w:tc>
        <w:tc>
          <w:tcPr>
            <w:tcW w:w="1134" w:type="dxa"/>
            <w:vAlign w:val="center"/>
          </w:tcPr>
          <w:p w14:paraId="5945633E">
            <w:pPr>
              <w:pStyle w:val="14"/>
            </w:pPr>
          </w:p>
        </w:tc>
        <w:tc>
          <w:tcPr>
            <w:tcW w:w="1134" w:type="dxa"/>
            <w:vAlign w:val="center"/>
          </w:tcPr>
          <w:p w14:paraId="0703BB92">
            <w:pPr>
              <w:pStyle w:val="14"/>
            </w:pPr>
          </w:p>
        </w:tc>
        <w:tc>
          <w:tcPr>
            <w:tcW w:w="1134" w:type="dxa"/>
            <w:vAlign w:val="center"/>
          </w:tcPr>
          <w:p w14:paraId="72B73C11">
            <w:pPr>
              <w:pStyle w:val="14"/>
            </w:pPr>
          </w:p>
        </w:tc>
        <w:tc>
          <w:tcPr>
            <w:tcW w:w="1134" w:type="dxa"/>
            <w:vAlign w:val="center"/>
          </w:tcPr>
          <w:p w14:paraId="69425141">
            <w:pPr>
              <w:pStyle w:val="14"/>
            </w:pPr>
          </w:p>
        </w:tc>
        <w:tc>
          <w:tcPr>
            <w:tcW w:w="1134" w:type="dxa"/>
            <w:vAlign w:val="center"/>
          </w:tcPr>
          <w:p w14:paraId="33E5EC07">
            <w:pPr>
              <w:pStyle w:val="14"/>
            </w:pPr>
          </w:p>
        </w:tc>
      </w:tr>
      <w:tr w14:paraId="0CE2F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C641D1">
            <w:pPr>
              <w:pStyle w:val="12"/>
            </w:pPr>
            <w:r>
              <w:t>6</w:t>
            </w:r>
          </w:p>
        </w:tc>
        <w:tc>
          <w:tcPr>
            <w:tcW w:w="992" w:type="dxa"/>
            <w:vAlign w:val="center"/>
          </w:tcPr>
          <w:p w14:paraId="3B48C910">
            <w:pPr>
              <w:pStyle w:val="13"/>
            </w:pPr>
            <w:r>
              <w:t>20805</w:t>
            </w:r>
          </w:p>
        </w:tc>
        <w:tc>
          <w:tcPr>
            <w:tcW w:w="1559" w:type="dxa"/>
            <w:vAlign w:val="center"/>
          </w:tcPr>
          <w:p w14:paraId="5B1943D8">
            <w:pPr>
              <w:pStyle w:val="13"/>
            </w:pPr>
            <w:r>
              <w:t>行政事业单位养老支出</w:t>
            </w:r>
          </w:p>
        </w:tc>
        <w:tc>
          <w:tcPr>
            <w:tcW w:w="1134" w:type="dxa"/>
            <w:vAlign w:val="center"/>
          </w:tcPr>
          <w:p w14:paraId="34842D0C">
            <w:pPr>
              <w:pStyle w:val="14"/>
            </w:pPr>
            <w:r>
              <w:t>9.85</w:t>
            </w:r>
          </w:p>
        </w:tc>
        <w:tc>
          <w:tcPr>
            <w:tcW w:w="1134" w:type="dxa"/>
            <w:vAlign w:val="center"/>
          </w:tcPr>
          <w:p w14:paraId="0161CE3E">
            <w:pPr>
              <w:pStyle w:val="14"/>
            </w:pPr>
            <w:r>
              <w:t>9.85</w:t>
            </w:r>
          </w:p>
        </w:tc>
        <w:tc>
          <w:tcPr>
            <w:tcW w:w="1134" w:type="dxa"/>
            <w:vAlign w:val="center"/>
          </w:tcPr>
          <w:p w14:paraId="74B5C26D">
            <w:pPr>
              <w:pStyle w:val="14"/>
            </w:pPr>
            <w:r>
              <w:t>9.85</w:t>
            </w:r>
          </w:p>
        </w:tc>
        <w:tc>
          <w:tcPr>
            <w:tcW w:w="1134" w:type="dxa"/>
            <w:vAlign w:val="center"/>
          </w:tcPr>
          <w:p w14:paraId="3C8CAC3A">
            <w:pPr>
              <w:pStyle w:val="14"/>
            </w:pPr>
          </w:p>
        </w:tc>
        <w:tc>
          <w:tcPr>
            <w:tcW w:w="1134" w:type="dxa"/>
            <w:vAlign w:val="center"/>
          </w:tcPr>
          <w:p w14:paraId="724AB3EF">
            <w:pPr>
              <w:pStyle w:val="14"/>
            </w:pPr>
          </w:p>
        </w:tc>
        <w:tc>
          <w:tcPr>
            <w:tcW w:w="1134" w:type="dxa"/>
            <w:vAlign w:val="center"/>
          </w:tcPr>
          <w:p w14:paraId="4B2A7DC6">
            <w:pPr>
              <w:pStyle w:val="14"/>
            </w:pPr>
          </w:p>
        </w:tc>
        <w:tc>
          <w:tcPr>
            <w:tcW w:w="1134" w:type="dxa"/>
            <w:vAlign w:val="center"/>
          </w:tcPr>
          <w:p w14:paraId="1AACC1A9">
            <w:pPr>
              <w:pStyle w:val="14"/>
            </w:pPr>
          </w:p>
        </w:tc>
        <w:tc>
          <w:tcPr>
            <w:tcW w:w="1134" w:type="dxa"/>
            <w:vAlign w:val="center"/>
          </w:tcPr>
          <w:p w14:paraId="230B1572">
            <w:pPr>
              <w:pStyle w:val="14"/>
            </w:pPr>
          </w:p>
        </w:tc>
        <w:tc>
          <w:tcPr>
            <w:tcW w:w="1134" w:type="dxa"/>
            <w:vAlign w:val="center"/>
          </w:tcPr>
          <w:p w14:paraId="2FB142D9">
            <w:pPr>
              <w:pStyle w:val="14"/>
            </w:pPr>
          </w:p>
        </w:tc>
        <w:tc>
          <w:tcPr>
            <w:tcW w:w="1134" w:type="dxa"/>
            <w:vAlign w:val="center"/>
          </w:tcPr>
          <w:p w14:paraId="05A83E71">
            <w:pPr>
              <w:pStyle w:val="14"/>
            </w:pPr>
          </w:p>
        </w:tc>
      </w:tr>
      <w:tr w14:paraId="1AB6F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2F10F7">
            <w:pPr>
              <w:pStyle w:val="12"/>
            </w:pPr>
            <w:r>
              <w:t>7</w:t>
            </w:r>
          </w:p>
        </w:tc>
        <w:tc>
          <w:tcPr>
            <w:tcW w:w="992" w:type="dxa"/>
            <w:vAlign w:val="center"/>
          </w:tcPr>
          <w:p w14:paraId="23D68BA0">
            <w:pPr>
              <w:pStyle w:val="13"/>
            </w:pPr>
            <w:r>
              <w:t>2080502</w:t>
            </w:r>
          </w:p>
        </w:tc>
        <w:tc>
          <w:tcPr>
            <w:tcW w:w="1559" w:type="dxa"/>
            <w:vAlign w:val="center"/>
          </w:tcPr>
          <w:p w14:paraId="75E3EDEF">
            <w:pPr>
              <w:pStyle w:val="13"/>
            </w:pPr>
            <w:r>
              <w:t>事业单位离退休</w:t>
            </w:r>
          </w:p>
        </w:tc>
        <w:tc>
          <w:tcPr>
            <w:tcW w:w="1134" w:type="dxa"/>
            <w:vAlign w:val="center"/>
          </w:tcPr>
          <w:p w14:paraId="20BCF539">
            <w:pPr>
              <w:pStyle w:val="14"/>
            </w:pPr>
            <w:r>
              <w:t>9.85</w:t>
            </w:r>
          </w:p>
        </w:tc>
        <w:tc>
          <w:tcPr>
            <w:tcW w:w="1134" w:type="dxa"/>
            <w:vAlign w:val="center"/>
          </w:tcPr>
          <w:p w14:paraId="52BBDA3A">
            <w:pPr>
              <w:pStyle w:val="14"/>
            </w:pPr>
            <w:r>
              <w:t>9.85</w:t>
            </w:r>
          </w:p>
        </w:tc>
        <w:tc>
          <w:tcPr>
            <w:tcW w:w="1134" w:type="dxa"/>
            <w:vAlign w:val="center"/>
          </w:tcPr>
          <w:p w14:paraId="26BBBD26">
            <w:pPr>
              <w:pStyle w:val="14"/>
            </w:pPr>
            <w:r>
              <w:t>9.85</w:t>
            </w:r>
          </w:p>
        </w:tc>
        <w:tc>
          <w:tcPr>
            <w:tcW w:w="1134" w:type="dxa"/>
            <w:vAlign w:val="center"/>
          </w:tcPr>
          <w:p w14:paraId="44C8EE4F">
            <w:pPr>
              <w:pStyle w:val="14"/>
            </w:pPr>
          </w:p>
        </w:tc>
        <w:tc>
          <w:tcPr>
            <w:tcW w:w="1134" w:type="dxa"/>
            <w:vAlign w:val="center"/>
          </w:tcPr>
          <w:p w14:paraId="247AE1FC">
            <w:pPr>
              <w:pStyle w:val="14"/>
            </w:pPr>
          </w:p>
        </w:tc>
        <w:tc>
          <w:tcPr>
            <w:tcW w:w="1134" w:type="dxa"/>
            <w:vAlign w:val="center"/>
          </w:tcPr>
          <w:p w14:paraId="4EFC075F">
            <w:pPr>
              <w:pStyle w:val="14"/>
            </w:pPr>
          </w:p>
        </w:tc>
        <w:tc>
          <w:tcPr>
            <w:tcW w:w="1134" w:type="dxa"/>
            <w:vAlign w:val="center"/>
          </w:tcPr>
          <w:p w14:paraId="443448C7">
            <w:pPr>
              <w:pStyle w:val="14"/>
            </w:pPr>
          </w:p>
        </w:tc>
        <w:tc>
          <w:tcPr>
            <w:tcW w:w="1134" w:type="dxa"/>
            <w:vAlign w:val="center"/>
          </w:tcPr>
          <w:p w14:paraId="53ECC1F6">
            <w:pPr>
              <w:pStyle w:val="14"/>
            </w:pPr>
          </w:p>
        </w:tc>
        <w:tc>
          <w:tcPr>
            <w:tcW w:w="1134" w:type="dxa"/>
            <w:vAlign w:val="center"/>
          </w:tcPr>
          <w:p w14:paraId="4FAA337A">
            <w:pPr>
              <w:pStyle w:val="14"/>
            </w:pPr>
          </w:p>
        </w:tc>
        <w:tc>
          <w:tcPr>
            <w:tcW w:w="1134" w:type="dxa"/>
            <w:vAlign w:val="center"/>
          </w:tcPr>
          <w:p w14:paraId="2ADF2BA8">
            <w:pPr>
              <w:pStyle w:val="14"/>
            </w:pPr>
          </w:p>
        </w:tc>
      </w:tr>
    </w:tbl>
    <w:p w14:paraId="62181263">
      <w:pPr>
        <w:sectPr>
          <w:pgSz w:w="16840" w:h="11900" w:orient="landscape"/>
          <w:pgMar w:top="1361" w:right="1020" w:bottom="1134" w:left="1020" w:header="720" w:footer="720" w:gutter="0"/>
          <w:cols w:space="720" w:num="1"/>
        </w:sectPr>
      </w:pPr>
    </w:p>
    <w:p w14:paraId="140DAF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5A6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1878F6">
            <w:pPr>
              <w:pStyle w:val="8"/>
            </w:pPr>
            <w:r>
              <w:t>360003河北隆尧第一中学</w:t>
            </w:r>
          </w:p>
        </w:tc>
        <w:tc>
          <w:tcPr>
            <w:tcW w:w="2722" w:type="dxa"/>
            <w:gridSpan w:val="2"/>
            <w:tcBorders>
              <w:top w:val="single" w:color="FFFFFF" w:sz="6" w:space="0"/>
              <w:left w:val="single" w:color="FFFFFF" w:sz="6" w:space="0"/>
              <w:right w:val="single" w:color="FFFFFF" w:sz="6" w:space="0"/>
            </w:tcBorders>
            <w:vAlign w:val="center"/>
          </w:tcPr>
          <w:p w14:paraId="2E309123">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9B28EE4">
            <w:pPr>
              <w:pStyle w:val="10"/>
            </w:pPr>
            <w:r>
              <w:t>单位：万元</w:t>
            </w:r>
          </w:p>
        </w:tc>
      </w:tr>
      <w:tr w14:paraId="1BB52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5415F2">
            <w:pPr>
              <w:pStyle w:val="11"/>
            </w:pPr>
            <w:r>
              <w:t>序号</w:t>
            </w:r>
          </w:p>
        </w:tc>
        <w:tc>
          <w:tcPr>
            <w:tcW w:w="5527" w:type="dxa"/>
            <w:gridSpan w:val="2"/>
            <w:vAlign w:val="center"/>
          </w:tcPr>
          <w:p w14:paraId="3694C2F6">
            <w:pPr>
              <w:pStyle w:val="11"/>
            </w:pPr>
            <w:r>
              <w:t>功能分类科目</w:t>
            </w:r>
          </w:p>
        </w:tc>
        <w:tc>
          <w:tcPr>
            <w:tcW w:w="1361" w:type="dxa"/>
            <w:vMerge w:val="restart"/>
            <w:vAlign w:val="center"/>
          </w:tcPr>
          <w:p w14:paraId="64E0511D">
            <w:pPr>
              <w:pStyle w:val="11"/>
            </w:pPr>
            <w:r>
              <w:t>合计</w:t>
            </w:r>
          </w:p>
        </w:tc>
        <w:tc>
          <w:tcPr>
            <w:tcW w:w="1361" w:type="dxa"/>
            <w:vMerge w:val="restart"/>
            <w:vAlign w:val="center"/>
          </w:tcPr>
          <w:p w14:paraId="400FC602">
            <w:pPr>
              <w:pStyle w:val="11"/>
            </w:pPr>
            <w:r>
              <w:t>基本支出</w:t>
            </w:r>
          </w:p>
        </w:tc>
        <w:tc>
          <w:tcPr>
            <w:tcW w:w="1361" w:type="dxa"/>
            <w:vMerge w:val="restart"/>
            <w:vAlign w:val="center"/>
          </w:tcPr>
          <w:p w14:paraId="0100923F">
            <w:pPr>
              <w:pStyle w:val="11"/>
            </w:pPr>
            <w:r>
              <w:t>项目支出</w:t>
            </w:r>
          </w:p>
        </w:tc>
        <w:tc>
          <w:tcPr>
            <w:tcW w:w="1361" w:type="dxa"/>
            <w:vMerge w:val="restart"/>
            <w:vAlign w:val="center"/>
          </w:tcPr>
          <w:p w14:paraId="669F7262">
            <w:pPr>
              <w:pStyle w:val="11"/>
            </w:pPr>
            <w:r>
              <w:t>经营支出</w:t>
            </w:r>
          </w:p>
        </w:tc>
        <w:tc>
          <w:tcPr>
            <w:tcW w:w="1361" w:type="dxa"/>
            <w:vMerge w:val="restart"/>
            <w:vAlign w:val="center"/>
          </w:tcPr>
          <w:p w14:paraId="2FD5837E">
            <w:pPr>
              <w:pStyle w:val="11"/>
            </w:pPr>
            <w:r>
              <w:t>上解上级     支出</w:t>
            </w:r>
          </w:p>
        </w:tc>
        <w:tc>
          <w:tcPr>
            <w:tcW w:w="1361" w:type="dxa"/>
            <w:vMerge w:val="restart"/>
            <w:vAlign w:val="center"/>
          </w:tcPr>
          <w:p w14:paraId="4BE64B99">
            <w:pPr>
              <w:pStyle w:val="11"/>
            </w:pPr>
            <w:r>
              <w:t>对附属单位补助支出</w:t>
            </w:r>
          </w:p>
        </w:tc>
      </w:tr>
      <w:tr w14:paraId="719BD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EEA2A5"/>
        </w:tc>
        <w:tc>
          <w:tcPr>
            <w:tcW w:w="992" w:type="dxa"/>
            <w:vAlign w:val="center"/>
          </w:tcPr>
          <w:p w14:paraId="1382D264">
            <w:pPr>
              <w:pStyle w:val="11"/>
            </w:pPr>
            <w:r>
              <w:t>科目    编码</w:t>
            </w:r>
          </w:p>
        </w:tc>
        <w:tc>
          <w:tcPr>
            <w:tcW w:w="4535" w:type="dxa"/>
            <w:vAlign w:val="center"/>
          </w:tcPr>
          <w:p w14:paraId="434BD19C">
            <w:pPr>
              <w:pStyle w:val="11"/>
            </w:pPr>
            <w:r>
              <w:t>科目名称</w:t>
            </w:r>
          </w:p>
        </w:tc>
        <w:tc>
          <w:tcPr>
            <w:tcW w:w="1361" w:type="dxa"/>
            <w:vMerge w:val="continue"/>
          </w:tcPr>
          <w:p w14:paraId="630EF82C"/>
        </w:tc>
        <w:tc>
          <w:tcPr>
            <w:tcW w:w="1361" w:type="dxa"/>
            <w:vMerge w:val="continue"/>
          </w:tcPr>
          <w:p w14:paraId="4E526259"/>
        </w:tc>
        <w:tc>
          <w:tcPr>
            <w:tcW w:w="1361" w:type="dxa"/>
            <w:vMerge w:val="continue"/>
          </w:tcPr>
          <w:p w14:paraId="1968BA97"/>
        </w:tc>
        <w:tc>
          <w:tcPr>
            <w:tcW w:w="1361" w:type="dxa"/>
            <w:vMerge w:val="continue"/>
          </w:tcPr>
          <w:p w14:paraId="72B49346"/>
        </w:tc>
        <w:tc>
          <w:tcPr>
            <w:tcW w:w="1361" w:type="dxa"/>
            <w:vMerge w:val="continue"/>
          </w:tcPr>
          <w:p w14:paraId="5CFB43B7"/>
        </w:tc>
        <w:tc>
          <w:tcPr>
            <w:tcW w:w="1361" w:type="dxa"/>
            <w:vMerge w:val="continue"/>
          </w:tcPr>
          <w:p w14:paraId="65E620D1"/>
        </w:tc>
      </w:tr>
      <w:tr w14:paraId="002DD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74998">
            <w:pPr>
              <w:pStyle w:val="11"/>
            </w:pPr>
            <w:r>
              <w:t>栏次</w:t>
            </w:r>
          </w:p>
        </w:tc>
        <w:tc>
          <w:tcPr>
            <w:tcW w:w="992" w:type="dxa"/>
            <w:vAlign w:val="center"/>
          </w:tcPr>
          <w:p w14:paraId="60CF7261">
            <w:pPr>
              <w:pStyle w:val="11"/>
            </w:pPr>
            <w:r>
              <w:t>1</w:t>
            </w:r>
          </w:p>
        </w:tc>
        <w:tc>
          <w:tcPr>
            <w:tcW w:w="4535" w:type="dxa"/>
            <w:vAlign w:val="center"/>
          </w:tcPr>
          <w:p w14:paraId="17627374">
            <w:pPr>
              <w:pStyle w:val="11"/>
            </w:pPr>
            <w:r>
              <w:t>2</w:t>
            </w:r>
          </w:p>
        </w:tc>
        <w:tc>
          <w:tcPr>
            <w:tcW w:w="1361" w:type="dxa"/>
            <w:vAlign w:val="center"/>
          </w:tcPr>
          <w:p w14:paraId="04BFBFA3">
            <w:pPr>
              <w:pStyle w:val="11"/>
            </w:pPr>
            <w:r>
              <w:t>3</w:t>
            </w:r>
          </w:p>
        </w:tc>
        <w:tc>
          <w:tcPr>
            <w:tcW w:w="1361" w:type="dxa"/>
            <w:vAlign w:val="center"/>
          </w:tcPr>
          <w:p w14:paraId="0C84F29B">
            <w:pPr>
              <w:pStyle w:val="11"/>
            </w:pPr>
            <w:r>
              <w:t>4</w:t>
            </w:r>
          </w:p>
        </w:tc>
        <w:tc>
          <w:tcPr>
            <w:tcW w:w="1361" w:type="dxa"/>
            <w:vAlign w:val="center"/>
          </w:tcPr>
          <w:p w14:paraId="5DF3CB3F">
            <w:pPr>
              <w:pStyle w:val="11"/>
            </w:pPr>
            <w:r>
              <w:t>5</w:t>
            </w:r>
          </w:p>
        </w:tc>
        <w:tc>
          <w:tcPr>
            <w:tcW w:w="1361" w:type="dxa"/>
            <w:vAlign w:val="center"/>
          </w:tcPr>
          <w:p w14:paraId="70B6C926">
            <w:pPr>
              <w:pStyle w:val="11"/>
            </w:pPr>
            <w:r>
              <w:t>6</w:t>
            </w:r>
          </w:p>
        </w:tc>
        <w:tc>
          <w:tcPr>
            <w:tcW w:w="1361" w:type="dxa"/>
            <w:vAlign w:val="center"/>
          </w:tcPr>
          <w:p w14:paraId="415164AD">
            <w:pPr>
              <w:pStyle w:val="11"/>
            </w:pPr>
            <w:r>
              <w:t>7</w:t>
            </w:r>
          </w:p>
        </w:tc>
        <w:tc>
          <w:tcPr>
            <w:tcW w:w="1361" w:type="dxa"/>
            <w:vAlign w:val="center"/>
          </w:tcPr>
          <w:p w14:paraId="2F4230AB">
            <w:pPr>
              <w:pStyle w:val="11"/>
            </w:pPr>
            <w:r>
              <w:t>8</w:t>
            </w:r>
          </w:p>
        </w:tc>
      </w:tr>
      <w:tr w14:paraId="40DFD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657B3">
            <w:pPr>
              <w:pStyle w:val="12"/>
            </w:pPr>
            <w:r>
              <w:t>1</w:t>
            </w:r>
          </w:p>
        </w:tc>
        <w:tc>
          <w:tcPr>
            <w:tcW w:w="992" w:type="dxa"/>
            <w:vAlign w:val="center"/>
          </w:tcPr>
          <w:p w14:paraId="7B24E4EF">
            <w:pPr>
              <w:pStyle w:val="17"/>
            </w:pPr>
          </w:p>
        </w:tc>
        <w:tc>
          <w:tcPr>
            <w:tcW w:w="4535" w:type="dxa"/>
            <w:vAlign w:val="center"/>
          </w:tcPr>
          <w:p w14:paraId="7FDCCD2B">
            <w:pPr>
              <w:pStyle w:val="15"/>
            </w:pPr>
            <w:r>
              <w:t>合计</w:t>
            </w:r>
          </w:p>
        </w:tc>
        <w:tc>
          <w:tcPr>
            <w:tcW w:w="1361" w:type="dxa"/>
            <w:vAlign w:val="center"/>
          </w:tcPr>
          <w:p w14:paraId="2CE7AB2F">
            <w:pPr>
              <w:pStyle w:val="16"/>
            </w:pPr>
            <w:r>
              <w:t>6334.11</w:t>
            </w:r>
          </w:p>
        </w:tc>
        <w:tc>
          <w:tcPr>
            <w:tcW w:w="1361" w:type="dxa"/>
            <w:vAlign w:val="center"/>
          </w:tcPr>
          <w:p w14:paraId="764872C9">
            <w:pPr>
              <w:pStyle w:val="16"/>
            </w:pPr>
            <w:r>
              <w:t>4275.60</w:t>
            </w:r>
          </w:p>
        </w:tc>
        <w:tc>
          <w:tcPr>
            <w:tcW w:w="1361" w:type="dxa"/>
            <w:vAlign w:val="center"/>
          </w:tcPr>
          <w:p w14:paraId="6A347CF5">
            <w:pPr>
              <w:pStyle w:val="16"/>
            </w:pPr>
            <w:r>
              <w:t>2058.52</w:t>
            </w:r>
          </w:p>
        </w:tc>
        <w:tc>
          <w:tcPr>
            <w:tcW w:w="1361" w:type="dxa"/>
            <w:vAlign w:val="center"/>
          </w:tcPr>
          <w:p w14:paraId="0013985D">
            <w:pPr>
              <w:pStyle w:val="16"/>
            </w:pPr>
          </w:p>
        </w:tc>
        <w:tc>
          <w:tcPr>
            <w:tcW w:w="1361" w:type="dxa"/>
            <w:vAlign w:val="center"/>
          </w:tcPr>
          <w:p w14:paraId="24F2DEBC">
            <w:pPr>
              <w:pStyle w:val="16"/>
            </w:pPr>
          </w:p>
        </w:tc>
        <w:tc>
          <w:tcPr>
            <w:tcW w:w="1361" w:type="dxa"/>
            <w:vAlign w:val="center"/>
          </w:tcPr>
          <w:p w14:paraId="4502D92A">
            <w:pPr>
              <w:pStyle w:val="16"/>
            </w:pPr>
          </w:p>
        </w:tc>
      </w:tr>
      <w:tr w14:paraId="71B62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4D7BF">
            <w:pPr>
              <w:pStyle w:val="12"/>
            </w:pPr>
            <w:r>
              <w:t>2</w:t>
            </w:r>
          </w:p>
        </w:tc>
        <w:tc>
          <w:tcPr>
            <w:tcW w:w="992" w:type="dxa"/>
            <w:vAlign w:val="center"/>
          </w:tcPr>
          <w:p w14:paraId="523F01D7">
            <w:pPr>
              <w:pStyle w:val="13"/>
            </w:pPr>
            <w:r>
              <w:t>205</w:t>
            </w:r>
          </w:p>
        </w:tc>
        <w:tc>
          <w:tcPr>
            <w:tcW w:w="4535" w:type="dxa"/>
            <w:vAlign w:val="center"/>
          </w:tcPr>
          <w:p w14:paraId="6A4B4D5C">
            <w:pPr>
              <w:pStyle w:val="13"/>
            </w:pPr>
            <w:r>
              <w:t>教育支出</w:t>
            </w:r>
          </w:p>
        </w:tc>
        <w:tc>
          <w:tcPr>
            <w:tcW w:w="1361" w:type="dxa"/>
            <w:vAlign w:val="center"/>
          </w:tcPr>
          <w:p w14:paraId="034B8200">
            <w:pPr>
              <w:pStyle w:val="14"/>
            </w:pPr>
            <w:r>
              <w:t>6324.26</w:t>
            </w:r>
          </w:p>
        </w:tc>
        <w:tc>
          <w:tcPr>
            <w:tcW w:w="1361" w:type="dxa"/>
            <w:vAlign w:val="center"/>
          </w:tcPr>
          <w:p w14:paraId="1B8AE0AB">
            <w:pPr>
              <w:pStyle w:val="14"/>
            </w:pPr>
            <w:r>
              <w:t>4265.75</w:t>
            </w:r>
          </w:p>
        </w:tc>
        <w:tc>
          <w:tcPr>
            <w:tcW w:w="1361" w:type="dxa"/>
            <w:vAlign w:val="center"/>
          </w:tcPr>
          <w:p w14:paraId="740318E7">
            <w:pPr>
              <w:pStyle w:val="14"/>
            </w:pPr>
            <w:r>
              <w:t>2058.52</w:t>
            </w:r>
          </w:p>
        </w:tc>
        <w:tc>
          <w:tcPr>
            <w:tcW w:w="1361" w:type="dxa"/>
            <w:vAlign w:val="center"/>
          </w:tcPr>
          <w:p w14:paraId="48C6189E">
            <w:pPr>
              <w:pStyle w:val="14"/>
            </w:pPr>
          </w:p>
        </w:tc>
        <w:tc>
          <w:tcPr>
            <w:tcW w:w="1361" w:type="dxa"/>
            <w:vAlign w:val="center"/>
          </w:tcPr>
          <w:p w14:paraId="1D3CB5A7">
            <w:pPr>
              <w:pStyle w:val="14"/>
            </w:pPr>
          </w:p>
        </w:tc>
        <w:tc>
          <w:tcPr>
            <w:tcW w:w="1361" w:type="dxa"/>
            <w:vAlign w:val="center"/>
          </w:tcPr>
          <w:p w14:paraId="1AFA8750">
            <w:pPr>
              <w:pStyle w:val="14"/>
            </w:pPr>
          </w:p>
        </w:tc>
      </w:tr>
      <w:tr w14:paraId="0B08F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3ED39">
            <w:pPr>
              <w:pStyle w:val="12"/>
            </w:pPr>
            <w:r>
              <w:t>3</w:t>
            </w:r>
          </w:p>
        </w:tc>
        <w:tc>
          <w:tcPr>
            <w:tcW w:w="992" w:type="dxa"/>
            <w:vAlign w:val="center"/>
          </w:tcPr>
          <w:p w14:paraId="71C1B235">
            <w:pPr>
              <w:pStyle w:val="13"/>
            </w:pPr>
            <w:r>
              <w:t>20502</w:t>
            </w:r>
          </w:p>
        </w:tc>
        <w:tc>
          <w:tcPr>
            <w:tcW w:w="4535" w:type="dxa"/>
            <w:vAlign w:val="center"/>
          </w:tcPr>
          <w:p w14:paraId="61F3DBB2">
            <w:pPr>
              <w:pStyle w:val="13"/>
            </w:pPr>
            <w:r>
              <w:t>普通教育</w:t>
            </w:r>
          </w:p>
        </w:tc>
        <w:tc>
          <w:tcPr>
            <w:tcW w:w="1361" w:type="dxa"/>
            <w:vAlign w:val="center"/>
          </w:tcPr>
          <w:p w14:paraId="4FD3AF98">
            <w:pPr>
              <w:pStyle w:val="14"/>
            </w:pPr>
            <w:r>
              <w:t>6324.26</w:t>
            </w:r>
          </w:p>
        </w:tc>
        <w:tc>
          <w:tcPr>
            <w:tcW w:w="1361" w:type="dxa"/>
            <w:vAlign w:val="center"/>
          </w:tcPr>
          <w:p w14:paraId="143884D5">
            <w:pPr>
              <w:pStyle w:val="14"/>
            </w:pPr>
            <w:r>
              <w:t>4265.75</w:t>
            </w:r>
          </w:p>
        </w:tc>
        <w:tc>
          <w:tcPr>
            <w:tcW w:w="1361" w:type="dxa"/>
            <w:vAlign w:val="center"/>
          </w:tcPr>
          <w:p w14:paraId="1A7FEBC0">
            <w:pPr>
              <w:pStyle w:val="14"/>
            </w:pPr>
            <w:r>
              <w:t>2058.52</w:t>
            </w:r>
          </w:p>
        </w:tc>
        <w:tc>
          <w:tcPr>
            <w:tcW w:w="1361" w:type="dxa"/>
            <w:vAlign w:val="center"/>
          </w:tcPr>
          <w:p w14:paraId="5EE8A5E6">
            <w:pPr>
              <w:pStyle w:val="14"/>
            </w:pPr>
          </w:p>
        </w:tc>
        <w:tc>
          <w:tcPr>
            <w:tcW w:w="1361" w:type="dxa"/>
            <w:vAlign w:val="center"/>
          </w:tcPr>
          <w:p w14:paraId="447E1C56">
            <w:pPr>
              <w:pStyle w:val="14"/>
            </w:pPr>
          </w:p>
        </w:tc>
        <w:tc>
          <w:tcPr>
            <w:tcW w:w="1361" w:type="dxa"/>
            <w:vAlign w:val="center"/>
          </w:tcPr>
          <w:p w14:paraId="598D459B">
            <w:pPr>
              <w:pStyle w:val="14"/>
            </w:pPr>
          </w:p>
        </w:tc>
      </w:tr>
      <w:tr w14:paraId="321F2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597AB">
            <w:pPr>
              <w:pStyle w:val="12"/>
            </w:pPr>
            <w:r>
              <w:t>4</w:t>
            </w:r>
          </w:p>
        </w:tc>
        <w:tc>
          <w:tcPr>
            <w:tcW w:w="992" w:type="dxa"/>
            <w:vAlign w:val="center"/>
          </w:tcPr>
          <w:p w14:paraId="4E97C90C">
            <w:pPr>
              <w:pStyle w:val="13"/>
            </w:pPr>
            <w:r>
              <w:t>2050204</w:t>
            </w:r>
          </w:p>
        </w:tc>
        <w:tc>
          <w:tcPr>
            <w:tcW w:w="4535" w:type="dxa"/>
            <w:vAlign w:val="center"/>
          </w:tcPr>
          <w:p w14:paraId="3A236B69">
            <w:pPr>
              <w:pStyle w:val="13"/>
            </w:pPr>
            <w:r>
              <w:t>高中教育</w:t>
            </w:r>
          </w:p>
        </w:tc>
        <w:tc>
          <w:tcPr>
            <w:tcW w:w="1361" w:type="dxa"/>
            <w:vAlign w:val="center"/>
          </w:tcPr>
          <w:p w14:paraId="6EE8C515">
            <w:pPr>
              <w:pStyle w:val="14"/>
            </w:pPr>
            <w:r>
              <w:t>6324.26</w:t>
            </w:r>
          </w:p>
        </w:tc>
        <w:tc>
          <w:tcPr>
            <w:tcW w:w="1361" w:type="dxa"/>
            <w:vAlign w:val="center"/>
          </w:tcPr>
          <w:p w14:paraId="59356C39">
            <w:pPr>
              <w:pStyle w:val="14"/>
            </w:pPr>
            <w:r>
              <w:t>4265.75</w:t>
            </w:r>
          </w:p>
        </w:tc>
        <w:tc>
          <w:tcPr>
            <w:tcW w:w="1361" w:type="dxa"/>
            <w:vAlign w:val="center"/>
          </w:tcPr>
          <w:p w14:paraId="08B4D3AE">
            <w:pPr>
              <w:pStyle w:val="14"/>
            </w:pPr>
            <w:r>
              <w:t>2058.52</w:t>
            </w:r>
          </w:p>
        </w:tc>
        <w:tc>
          <w:tcPr>
            <w:tcW w:w="1361" w:type="dxa"/>
            <w:vAlign w:val="center"/>
          </w:tcPr>
          <w:p w14:paraId="615FDCEE">
            <w:pPr>
              <w:pStyle w:val="14"/>
            </w:pPr>
          </w:p>
        </w:tc>
        <w:tc>
          <w:tcPr>
            <w:tcW w:w="1361" w:type="dxa"/>
            <w:vAlign w:val="center"/>
          </w:tcPr>
          <w:p w14:paraId="1FD37347">
            <w:pPr>
              <w:pStyle w:val="14"/>
            </w:pPr>
          </w:p>
        </w:tc>
        <w:tc>
          <w:tcPr>
            <w:tcW w:w="1361" w:type="dxa"/>
            <w:vAlign w:val="center"/>
          </w:tcPr>
          <w:p w14:paraId="0A25743F">
            <w:pPr>
              <w:pStyle w:val="14"/>
            </w:pPr>
          </w:p>
        </w:tc>
      </w:tr>
      <w:tr w14:paraId="1E58A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4B71B">
            <w:pPr>
              <w:pStyle w:val="12"/>
            </w:pPr>
            <w:r>
              <w:t>5</w:t>
            </w:r>
          </w:p>
        </w:tc>
        <w:tc>
          <w:tcPr>
            <w:tcW w:w="992" w:type="dxa"/>
            <w:vAlign w:val="center"/>
          </w:tcPr>
          <w:p w14:paraId="3C037A2B">
            <w:pPr>
              <w:pStyle w:val="13"/>
            </w:pPr>
            <w:r>
              <w:t>208</w:t>
            </w:r>
          </w:p>
        </w:tc>
        <w:tc>
          <w:tcPr>
            <w:tcW w:w="4535" w:type="dxa"/>
            <w:vAlign w:val="center"/>
          </w:tcPr>
          <w:p w14:paraId="083C81E1">
            <w:pPr>
              <w:pStyle w:val="13"/>
            </w:pPr>
            <w:r>
              <w:t>社会保障和就业支出</w:t>
            </w:r>
          </w:p>
        </w:tc>
        <w:tc>
          <w:tcPr>
            <w:tcW w:w="1361" w:type="dxa"/>
            <w:vAlign w:val="center"/>
          </w:tcPr>
          <w:p w14:paraId="70062DE5">
            <w:pPr>
              <w:pStyle w:val="14"/>
            </w:pPr>
            <w:r>
              <w:t>9.85</w:t>
            </w:r>
          </w:p>
        </w:tc>
        <w:tc>
          <w:tcPr>
            <w:tcW w:w="1361" w:type="dxa"/>
            <w:vAlign w:val="center"/>
          </w:tcPr>
          <w:p w14:paraId="3D534FA6">
            <w:pPr>
              <w:pStyle w:val="14"/>
            </w:pPr>
            <w:r>
              <w:t>9.85</w:t>
            </w:r>
          </w:p>
        </w:tc>
        <w:tc>
          <w:tcPr>
            <w:tcW w:w="1361" w:type="dxa"/>
            <w:vAlign w:val="center"/>
          </w:tcPr>
          <w:p w14:paraId="5ECF7E74">
            <w:pPr>
              <w:pStyle w:val="14"/>
            </w:pPr>
          </w:p>
        </w:tc>
        <w:tc>
          <w:tcPr>
            <w:tcW w:w="1361" w:type="dxa"/>
            <w:vAlign w:val="center"/>
          </w:tcPr>
          <w:p w14:paraId="1B6D2918">
            <w:pPr>
              <w:pStyle w:val="14"/>
            </w:pPr>
          </w:p>
        </w:tc>
        <w:tc>
          <w:tcPr>
            <w:tcW w:w="1361" w:type="dxa"/>
            <w:vAlign w:val="center"/>
          </w:tcPr>
          <w:p w14:paraId="055743D7">
            <w:pPr>
              <w:pStyle w:val="14"/>
            </w:pPr>
          </w:p>
        </w:tc>
        <w:tc>
          <w:tcPr>
            <w:tcW w:w="1361" w:type="dxa"/>
            <w:vAlign w:val="center"/>
          </w:tcPr>
          <w:p w14:paraId="0395E721">
            <w:pPr>
              <w:pStyle w:val="14"/>
            </w:pPr>
          </w:p>
        </w:tc>
      </w:tr>
      <w:tr w14:paraId="06873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587D087">
            <w:pPr>
              <w:pStyle w:val="12"/>
            </w:pPr>
            <w:r>
              <w:t>6</w:t>
            </w:r>
          </w:p>
        </w:tc>
        <w:tc>
          <w:tcPr>
            <w:tcW w:w="992" w:type="dxa"/>
            <w:vAlign w:val="center"/>
          </w:tcPr>
          <w:p w14:paraId="5FA145E2">
            <w:pPr>
              <w:pStyle w:val="13"/>
            </w:pPr>
            <w:r>
              <w:t>20805</w:t>
            </w:r>
          </w:p>
        </w:tc>
        <w:tc>
          <w:tcPr>
            <w:tcW w:w="4535" w:type="dxa"/>
            <w:vAlign w:val="center"/>
          </w:tcPr>
          <w:p w14:paraId="432EEE8F">
            <w:pPr>
              <w:pStyle w:val="13"/>
            </w:pPr>
            <w:r>
              <w:t>行政事业单位养老支出</w:t>
            </w:r>
          </w:p>
        </w:tc>
        <w:tc>
          <w:tcPr>
            <w:tcW w:w="1361" w:type="dxa"/>
            <w:vAlign w:val="center"/>
          </w:tcPr>
          <w:p w14:paraId="789C5280">
            <w:pPr>
              <w:pStyle w:val="14"/>
            </w:pPr>
            <w:r>
              <w:t>9.85</w:t>
            </w:r>
          </w:p>
        </w:tc>
        <w:tc>
          <w:tcPr>
            <w:tcW w:w="1361" w:type="dxa"/>
            <w:vAlign w:val="center"/>
          </w:tcPr>
          <w:p w14:paraId="038E4C93">
            <w:pPr>
              <w:pStyle w:val="14"/>
            </w:pPr>
            <w:r>
              <w:t>9.85</w:t>
            </w:r>
          </w:p>
        </w:tc>
        <w:tc>
          <w:tcPr>
            <w:tcW w:w="1361" w:type="dxa"/>
            <w:vAlign w:val="center"/>
          </w:tcPr>
          <w:p w14:paraId="0B7F71CE">
            <w:pPr>
              <w:pStyle w:val="14"/>
            </w:pPr>
          </w:p>
        </w:tc>
        <w:tc>
          <w:tcPr>
            <w:tcW w:w="1361" w:type="dxa"/>
            <w:vAlign w:val="center"/>
          </w:tcPr>
          <w:p w14:paraId="163A7BB2">
            <w:pPr>
              <w:pStyle w:val="14"/>
            </w:pPr>
          </w:p>
        </w:tc>
        <w:tc>
          <w:tcPr>
            <w:tcW w:w="1361" w:type="dxa"/>
            <w:vAlign w:val="center"/>
          </w:tcPr>
          <w:p w14:paraId="4B8DC760">
            <w:pPr>
              <w:pStyle w:val="14"/>
            </w:pPr>
          </w:p>
        </w:tc>
        <w:tc>
          <w:tcPr>
            <w:tcW w:w="1361" w:type="dxa"/>
            <w:vAlign w:val="center"/>
          </w:tcPr>
          <w:p w14:paraId="4C804A4F">
            <w:pPr>
              <w:pStyle w:val="14"/>
            </w:pPr>
          </w:p>
        </w:tc>
      </w:tr>
      <w:tr w14:paraId="137C8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A07D7">
            <w:pPr>
              <w:pStyle w:val="12"/>
            </w:pPr>
            <w:r>
              <w:t>7</w:t>
            </w:r>
          </w:p>
        </w:tc>
        <w:tc>
          <w:tcPr>
            <w:tcW w:w="992" w:type="dxa"/>
            <w:vAlign w:val="center"/>
          </w:tcPr>
          <w:p w14:paraId="541F0ABC">
            <w:pPr>
              <w:pStyle w:val="13"/>
            </w:pPr>
            <w:r>
              <w:t>2080502</w:t>
            </w:r>
          </w:p>
        </w:tc>
        <w:tc>
          <w:tcPr>
            <w:tcW w:w="4535" w:type="dxa"/>
            <w:vAlign w:val="center"/>
          </w:tcPr>
          <w:p w14:paraId="054535F8">
            <w:pPr>
              <w:pStyle w:val="13"/>
            </w:pPr>
            <w:r>
              <w:t>事业单位离退休</w:t>
            </w:r>
          </w:p>
        </w:tc>
        <w:tc>
          <w:tcPr>
            <w:tcW w:w="1361" w:type="dxa"/>
            <w:vAlign w:val="center"/>
          </w:tcPr>
          <w:p w14:paraId="74D39329">
            <w:pPr>
              <w:pStyle w:val="14"/>
            </w:pPr>
            <w:r>
              <w:t>9.85</w:t>
            </w:r>
          </w:p>
        </w:tc>
        <w:tc>
          <w:tcPr>
            <w:tcW w:w="1361" w:type="dxa"/>
            <w:vAlign w:val="center"/>
          </w:tcPr>
          <w:p w14:paraId="3DFFAE9E">
            <w:pPr>
              <w:pStyle w:val="14"/>
            </w:pPr>
            <w:r>
              <w:t>9.85</w:t>
            </w:r>
          </w:p>
        </w:tc>
        <w:tc>
          <w:tcPr>
            <w:tcW w:w="1361" w:type="dxa"/>
            <w:vAlign w:val="center"/>
          </w:tcPr>
          <w:p w14:paraId="5902E4F6">
            <w:pPr>
              <w:pStyle w:val="14"/>
            </w:pPr>
          </w:p>
        </w:tc>
        <w:tc>
          <w:tcPr>
            <w:tcW w:w="1361" w:type="dxa"/>
            <w:vAlign w:val="center"/>
          </w:tcPr>
          <w:p w14:paraId="0E17C97C">
            <w:pPr>
              <w:pStyle w:val="14"/>
            </w:pPr>
          </w:p>
        </w:tc>
        <w:tc>
          <w:tcPr>
            <w:tcW w:w="1361" w:type="dxa"/>
            <w:vAlign w:val="center"/>
          </w:tcPr>
          <w:p w14:paraId="5E813A11">
            <w:pPr>
              <w:pStyle w:val="14"/>
            </w:pPr>
          </w:p>
        </w:tc>
        <w:tc>
          <w:tcPr>
            <w:tcW w:w="1361" w:type="dxa"/>
            <w:vAlign w:val="center"/>
          </w:tcPr>
          <w:p w14:paraId="7D688F32">
            <w:pPr>
              <w:pStyle w:val="14"/>
            </w:pPr>
          </w:p>
        </w:tc>
      </w:tr>
    </w:tbl>
    <w:p w14:paraId="25580F9D">
      <w:pPr>
        <w:sectPr>
          <w:pgSz w:w="16840" w:h="11900" w:orient="landscape"/>
          <w:pgMar w:top="1361" w:right="1020" w:bottom="1134" w:left="1020" w:header="720" w:footer="720" w:gutter="0"/>
          <w:cols w:space="720" w:num="1"/>
        </w:sectPr>
      </w:pPr>
    </w:p>
    <w:p w14:paraId="4C29DE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0E8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81B16F">
            <w:pPr>
              <w:pStyle w:val="8"/>
            </w:pPr>
            <w:r>
              <w:t>360003河北隆尧第一中学</w:t>
            </w:r>
          </w:p>
        </w:tc>
        <w:tc>
          <w:tcPr>
            <w:tcW w:w="3402" w:type="dxa"/>
            <w:tcBorders>
              <w:top w:val="single" w:color="FFFFFF" w:sz="6" w:space="0"/>
              <w:left w:val="single" w:color="FFFFFF" w:sz="6" w:space="0"/>
              <w:right w:val="single" w:color="FFFFFF" w:sz="6" w:space="0"/>
            </w:tcBorders>
            <w:vAlign w:val="center"/>
          </w:tcPr>
          <w:p w14:paraId="758665F1">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071C2A2">
            <w:pPr>
              <w:pStyle w:val="10"/>
            </w:pPr>
            <w:r>
              <w:t>单位：万元</w:t>
            </w:r>
          </w:p>
        </w:tc>
      </w:tr>
      <w:tr w14:paraId="05B7E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4B3A39">
            <w:pPr>
              <w:pStyle w:val="11"/>
            </w:pPr>
            <w:r>
              <w:t>序号</w:t>
            </w:r>
          </w:p>
        </w:tc>
        <w:tc>
          <w:tcPr>
            <w:tcW w:w="4876" w:type="dxa"/>
            <w:gridSpan w:val="2"/>
            <w:vAlign w:val="center"/>
          </w:tcPr>
          <w:p w14:paraId="6F94105A">
            <w:pPr>
              <w:pStyle w:val="11"/>
            </w:pPr>
            <w:r>
              <w:t>收入</w:t>
            </w:r>
          </w:p>
        </w:tc>
        <w:tc>
          <w:tcPr>
            <w:tcW w:w="9298" w:type="dxa"/>
            <w:gridSpan w:val="5"/>
            <w:vAlign w:val="center"/>
          </w:tcPr>
          <w:p w14:paraId="0BD1528C">
            <w:pPr>
              <w:pStyle w:val="11"/>
            </w:pPr>
            <w:r>
              <w:t>支出</w:t>
            </w:r>
          </w:p>
        </w:tc>
      </w:tr>
      <w:tr w14:paraId="2B302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8AAE84"/>
        </w:tc>
        <w:tc>
          <w:tcPr>
            <w:tcW w:w="3402" w:type="dxa"/>
            <w:vAlign w:val="center"/>
          </w:tcPr>
          <w:p w14:paraId="3F00388D">
            <w:pPr>
              <w:pStyle w:val="11"/>
            </w:pPr>
            <w:r>
              <w:t>项  目</w:t>
            </w:r>
          </w:p>
        </w:tc>
        <w:tc>
          <w:tcPr>
            <w:tcW w:w="1474" w:type="dxa"/>
            <w:vAlign w:val="center"/>
          </w:tcPr>
          <w:p w14:paraId="0E7E6065">
            <w:pPr>
              <w:pStyle w:val="11"/>
            </w:pPr>
            <w:r>
              <w:t>金额</w:t>
            </w:r>
          </w:p>
        </w:tc>
        <w:tc>
          <w:tcPr>
            <w:tcW w:w="3402" w:type="dxa"/>
            <w:vAlign w:val="center"/>
          </w:tcPr>
          <w:p w14:paraId="0327F5ED">
            <w:pPr>
              <w:pStyle w:val="11"/>
            </w:pPr>
            <w:r>
              <w:t>项  目</w:t>
            </w:r>
          </w:p>
        </w:tc>
        <w:tc>
          <w:tcPr>
            <w:tcW w:w="1474" w:type="dxa"/>
            <w:vAlign w:val="center"/>
          </w:tcPr>
          <w:p w14:paraId="41951686">
            <w:pPr>
              <w:pStyle w:val="11"/>
            </w:pPr>
            <w:r>
              <w:t>合计</w:t>
            </w:r>
          </w:p>
        </w:tc>
        <w:tc>
          <w:tcPr>
            <w:tcW w:w="1474" w:type="dxa"/>
            <w:vAlign w:val="center"/>
          </w:tcPr>
          <w:p w14:paraId="28CD6E19">
            <w:pPr>
              <w:pStyle w:val="11"/>
            </w:pPr>
            <w:r>
              <w:t>一般公共预算财政拨款</w:t>
            </w:r>
          </w:p>
        </w:tc>
        <w:tc>
          <w:tcPr>
            <w:tcW w:w="1474" w:type="dxa"/>
            <w:vAlign w:val="center"/>
          </w:tcPr>
          <w:p w14:paraId="2B7724C0">
            <w:pPr>
              <w:pStyle w:val="11"/>
            </w:pPr>
            <w:r>
              <w:t>政府性基金预算财政    拨款</w:t>
            </w:r>
          </w:p>
        </w:tc>
        <w:tc>
          <w:tcPr>
            <w:tcW w:w="1474" w:type="dxa"/>
            <w:vAlign w:val="center"/>
          </w:tcPr>
          <w:p w14:paraId="3F48567D">
            <w:pPr>
              <w:pStyle w:val="11"/>
            </w:pPr>
            <w:r>
              <w:t>国有资本经营预算财政拨款</w:t>
            </w:r>
          </w:p>
        </w:tc>
      </w:tr>
      <w:tr w14:paraId="7D21B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28D9C3">
            <w:pPr>
              <w:pStyle w:val="11"/>
            </w:pPr>
            <w:r>
              <w:t>栏次</w:t>
            </w:r>
          </w:p>
        </w:tc>
        <w:tc>
          <w:tcPr>
            <w:tcW w:w="3402" w:type="dxa"/>
            <w:vAlign w:val="center"/>
          </w:tcPr>
          <w:p w14:paraId="7957EA35">
            <w:pPr>
              <w:pStyle w:val="11"/>
            </w:pPr>
            <w:r>
              <w:t>1</w:t>
            </w:r>
          </w:p>
        </w:tc>
        <w:tc>
          <w:tcPr>
            <w:tcW w:w="1474" w:type="dxa"/>
            <w:vAlign w:val="center"/>
          </w:tcPr>
          <w:p w14:paraId="5CA8DF0C">
            <w:pPr>
              <w:pStyle w:val="11"/>
            </w:pPr>
            <w:r>
              <w:t>2</w:t>
            </w:r>
          </w:p>
        </w:tc>
        <w:tc>
          <w:tcPr>
            <w:tcW w:w="3402" w:type="dxa"/>
            <w:vAlign w:val="center"/>
          </w:tcPr>
          <w:p w14:paraId="24BA843E">
            <w:pPr>
              <w:pStyle w:val="11"/>
            </w:pPr>
            <w:r>
              <w:t>3</w:t>
            </w:r>
          </w:p>
        </w:tc>
        <w:tc>
          <w:tcPr>
            <w:tcW w:w="1474" w:type="dxa"/>
            <w:vAlign w:val="center"/>
          </w:tcPr>
          <w:p w14:paraId="56DC7102">
            <w:pPr>
              <w:pStyle w:val="11"/>
            </w:pPr>
            <w:r>
              <w:t>4</w:t>
            </w:r>
          </w:p>
        </w:tc>
        <w:tc>
          <w:tcPr>
            <w:tcW w:w="1474" w:type="dxa"/>
            <w:vAlign w:val="center"/>
          </w:tcPr>
          <w:p w14:paraId="7A054161">
            <w:pPr>
              <w:pStyle w:val="11"/>
            </w:pPr>
            <w:r>
              <w:t>5</w:t>
            </w:r>
          </w:p>
        </w:tc>
        <w:tc>
          <w:tcPr>
            <w:tcW w:w="1474" w:type="dxa"/>
            <w:vAlign w:val="center"/>
          </w:tcPr>
          <w:p w14:paraId="11A2D2D8">
            <w:pPr>
              <w:pStyle w:val="11"/>
            </w:pPr>
            <w:r>
              <w:t>6</w:t>
            </w:r>
          </w:p>
        </w:tc>
        <w:tc>
          <w:tcPr>
            <w:tcW w:w="1474" w:type="dxa"/>
            <w:vAlign w:val="center"/>
          </w:tcPr>
          <w:p w14:paraId="4883805C">
            <w:pPr>
              <w:pStyle w:val="11"/>
            </w:pPr>
            <w:r>
              <w:t>7</w:t>
            </w:r>
          </w:p>
        </w:tc>
      </w:tr>
      <w:tr w14:paraId="49DD8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63D73">
            <w:pPr>
              <w:pStyle w:val="12"/>
            </w:pPr>
            <w:r>
              <w:t>1</w:t>
            </w:r>
          </w:p>
        </w:tc>
        <w:tc>
          <w:tcPr>
            <w:tcW w:w="3402" w:type="dxa"/>
            <w:vAlign w:val="center"/>
          </w:tcPr>
          <w:p w14:paraId="21A1B7DD">
            <w:pPr>
              <w:pStyle w:val="13"/>
            </w:pPr>
            <w:r>
              <w:t>一、一般公共预算拨款</w:t>
            </w:r>
          </w:p>
        </w:tc>
        <w:tc>
          <w:tcPr>
            <w:tcW w:w="1474" w:type="dxa"/>
            <w:vAlign w:val="center"/>
          </w:tcPr>
          <w:p w14:paraId="1B9B0277">
            <w:pPr>
              <w:pStyle w:val="14"/>
            </w:pPr>
            <w:r>
              <w:t>5298.37</w:t>
            </w:r>
          </w:p>
        </w:tc>
        <w:tc>
          <w:tcPr>
            <w:tcW w:w="3402" w:type="dxa"/>
            <w:vAlign w:val="center"/>
          </w:tcPr>
          <w:p w14:paraId="486EE7E8">
            <w:pPr>
              <w:pStyle w:val="13"/>
            </w:pPr>
            <w:r>
              <w:t>一、一般公共服务支出</w:t>
            </w:r>
          </w:p>
        </w:tc>
        <w:tc>
          <w:tcPr>
            <w:tcW w:w="1474" w:type="dxa"/>
            <w:vAlign w:val="center"/>
          </w:tcPr>
          <w:p w14:paraId="25FDB933">
            <w:pPr>
              <w:pStyle w:val="14"/>
            </w:pPr>
          </w:p>
        </w:tc>
        <w:tc>
          <w:tcPr>
            <w:tcW w:w="1474" w:type="dxa"/>
            <w:vAlign w:val="center"/>
          </w:tcPr>
          <w:p w14:paraId="4E61E2A0">
            <w:pPr>
              <w:pStyle w:val="14"/>
            </w:pPr>
          </w:p>
        </w:tc>
        <w:tc>
          <w:tcPr>
            <w:tcW w:w="1474" w:type="dxa"/>
            <w:vAlign w:val="center"/>
          </w:tcPr>
          <w:p w14:paraId="480F453B">
            <w:pPr>
              <w:pStyle w:val="14"/>
            </w:pPr>
          </w:p>
        </w:tc>
        <w:tc>
          <w:tcPr>
            <w:tcW w:w="1474" w:type="dxa"/>
            <w:vAlign w:val="center"/>
          </w:tcPr>
          <w:p w14:paraId="341F831F">
            <w:pPr>
              <w:pStyle w:val="14"/>
            </w:pPr>
          </w:p>
        </w:tc>
      </w:tr>
      <w:tr w14:paraId="4B69E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F6C18">
            <w:pPr>
              <w:pStyle w:val="12"/>
            </w:pPr>
            <w:r>
              <w:t>2</w:t>
            </w:r>
          </w:p>
        </w:tc>
        <w:tc>
          <w:tcPr>
            <w:tcW w:w="3402" w:type="dxa"/>
            <w:vAlign w:val="center"/>
          </w:tcPr>
          <w:p w14:paraId="714AB868">
            <w:pPr>
              <w:pStyle w:val="13"/>
            </w:pPr>
            <w:r>
              <w:t>二、政府性基金预算拨款</w:t>
            </w:r>
          </w:p>
        </w:tc>
        <w:tc>
          <w:tcPr>
            <w:tcW w:w="1474" w:type="dxa"/>
            <w:vAlign w:val="center"/>
          </w:tcPr>
          <w:p w14:paraId="69C7588A">
            <w:pPr>
              <w:pStyle w:val="14"/>
            </w:pPr>
          </w:p>
        </w:tc>
        <w:tc>
          <w:tcPr>
            <w:tcW w:w="3402" w:type="dxa"/>
            <w:vAlign w:val="center"/>
          </w:tcPr>
          <w:p w14:paraId="606CAFF2">
            <w:pPr>
              <w:pStyle w:val="13"/>
            </w:pPr>
            <w:r>
              <w:t>二、外交支出</w:t>
            </w:r>
          </w:p>
        </w:tc>
        <w:tc>
          <w:tcPr>
            <w:tcW w:w="1474" w:type="dxa"/>
            <w:vAlign w:val="center"/>
          </w:tcPr>
          <w:p w14:paraId="102026D0">
            <w:pPr>
              <w:pStyle w:val="14"/>
            </w:pPr>
          </w:p>
        </w:tc>
        <w:tc>
          <w:tcPr>
            <w:tcW w:w="1474" w:type="dxa"/>
            <w:vAlign w:val="center"/>
          </w:tcPr>
          <w:p w14:paraId="223B26F1">
            <w:pPr>
              <w:pStyle w:val="14"/>
            </w:pPr>
          </w:p>
        </w:tc>
        <w:tc>
          <w:tcPr>
            <w:tcW w:w="1474" w:type="dxa"/>
            <w:vAlign w:val="center"/>
          </w:tcPr>
          <w:p w14:paraId="7CD997F1">
            <w:pPr>
              <w:pStyle w:val="14"/>
            </w:pPr>
          </w:p>
        </w:tc>
        <w:tc>
          <w:tcPr>
            <w:tcW w:w="1474" w:type="dxa"/>
            <w:vAlign w:val="center"/>
          </w:tcPr>
          <w:p w14:paraId="089EF493">
            <w:pPr>
              <w:pStyle w:val="14"/>
            </w:pPr>
          </w:p>
        </w:tc>
      </w:tr>
      <w:tr w14:paraId="7EF39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347D9">
            <w:pPr>
              <w:pStyle w:val="12"/>
            </w:pPr>
            <w:r>
              <w:t>3</w:t>
            </w:r>
          </w:p>
        </w:tc>
        <w:tc>
          <w:tcPr>
            <w:tcW w:w="3402" w:type="dxa"/>
            <w:vAlign w:val="center"/>
          </w:tcPr>
          <w:p w14:paraId="7AF1038D">
            <w:pPr>
              <w:pStyle w:val="13"/>
            </w:pPr>
            <w:r>
              <w:t>三、国有资本经营预算拨款</w:t>
            </w:r>
          </w:p>
        </w:tc>
        <w:tc>
          <w:tcPr>
            <w:tcW w:w="1474" w:type="dxa"/>
            <w:vAlign w:val="center"/>
          </w:tcPr>
          <w:p w14:paraId="208B0397">
            <w:pPr>
              <w:pStyle w:val="14"/>
            </w:pPr>
          </w:p>
        </w:tc>
        <w:tc>
          <w:tcPr>
            <w:tcW w:w="3402" w:type="dxa"/>
            <w:vAlign w:val="center"/>
          </w:tcPr>
          <w:p w14:paraId="70EBB699">
            <w:pPr>
              <w:pStyle w:val="13"/>
            </w:pPr>
            <w:r>
              <w:t>三、国防支出</w:t>
            </w:r>
          </w:p>
        </w:tc>
        <w:tc>
          <w:tcPr>
            <w:tcW w:w="1474" w:type="dxa"/>
            <w:vAlign w:val="center"/>
          </w:tcPr>
          <w:p w14:paraId="4E194E45">
            <w:pPr>
              <w:pStyle w:val="14"/>
            </w:pPr>
          </w:p>
        </w:tc>
        <w:tc>
          <w:tcPr>
            <w:tcW w:w="1474" w:type="dxa"/>
            <w:vAlign w:val="center"/>
          </w:tcPr>
          <w:p w14:paraId="1611A8FD">
            <w:pPr>
              <w:pStyle w:val="14"/>
            </w:pPr>
          </w:p>
        </w:tc>
        <w:tc>
          <w:tcPr>
            <w:tcW w:w="1474" w:type="dxa"/>
            <w:vAlign w:val="center"/>
          </w:tcPr>
          <w:p w14:paraId="3977C4BB">
            <w:pPr>
              <w:pStyle w:val="14"/>
            </w:pPr>
          </w:p>
        </w:tc>
        <w:tc>
          <w:tcPr>
            <w:tcW w:w="1474" w:type="dxa"/>
            <w:vAlign w:val="center"/>
          </w:tcPr>
          <w:p w14:paraId="312CCB77">
            <w:pPr>
              <w:pStyle w:val="14"/>
            </w:pPr>
          </w:p>
        </w:tc>
      </w:tr>
      <w:tr w14:paraId="71637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EF031">
            <w:pPr>
              <w:pStyle w:val="12"/>
            </w:pPr>
            <w:r>
              <w:t>4</w:t>
            </w:r>
          </w:p>
        </w:tc>
        <w:tc>
          <w:tcPr>
            <w:tcW w:w="3402" w:type="dxa"/>
            <w:vAlign w:val="center"/>
          </w:tcPr>
          <w:p w14:paraId="29CC00A4">
            <w:pPr>
              <w:pStyle w:val="13"/>
            </w:pPr>
          </w:p>
        </w:tc>
        <w:tc>
          <w:tcPr>
            <w:tcW w:w="1474" w:type="dxa"/>
            <w:vAlign w:val="center"/>
          </w:tcPr>
          <w:p w14:paraId="36947242">
            <w:pPr>
              <w:pStyle w:val="14"/>
            </w:pPr>
          </w:p>
        </w:tc>
        <w:tc>
          <w:tcPr>
            <w:tcW w:w="3402" w:type="dxa"/>
            <w:vAlign w:val="center"/>
          </w:tcPr>
          <w:p w14:paraId="21F8AC96">
            <w:pPr>
              <w:pStyle w:val="13"/>
            </w:pPr>
            <w:r>
              <w:t>四、公共安全支出</w:t>
            </w:r>
          </w:p>
        </w:tc>
        <w:tc>
          <w:tcPr>
            <w:tcW w:w="1474" w:type="dxa"/>
            <w:vAlign w:val="center"/>
          </w:tcPr>
          <w:p w14:paraId="13C370D8">
            <w:pPr>
              <w:pStyle w:val="14"/>
            </w:pPr>
          </w:p>
        </w:tc>
        <w:tc>
          <w:tcPr>
            <w:tcW w:w="1474" w:type="dxa"/>
            <w:vAlign w:val="center"/>
          </w:tcPr>
          <w:p w14:paraId="46866764">
            <w:pPr>
              <w:pStyle w:val="14"/>
            </w:pPr>
          </w:p>
        </w:tc>
        <w:tc>
          <w:tcPr>
            <w:tcW w:w="1474" w:type="dxa"/>
            <w:vAlign w:val="center"/>
          </w:tcPr>
          <w:p w14:paraId="6E03A152">
            <w:pPr>
              <w:pStyle w:val="14"/>
            </w:pPr>
          </w:p>
        </w:tc>
        <w:tc>
          <w:tcPr>
            <w:tcW w:w="1474" w:type="dxa"/>
            <w:vAlign w:val="center"/>
          </w:tcPr>
          <w:p w14:paraId="28106969">
            <w:pPr>
              <w:pStyle w:val="14"/>
            </w:pPr>
          </w:p>
        </w:tc>
      </w:tr>
      <w:tr w14:paraId="74A18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47F89">
            <w:pPr>
              <w:pStyle w:val="12"/>
            </w:pPr>
            <w:r>
              <w:t>5</w:t>
            </w:r>
          </w:p>
        </w:tc>
        <w:tc>
          <w:tcPr>
            <w:tcW w:w="3402" w:type="dxa"/>
            <w:vAlign w:val="center"/>
          </w:tcPr>
          <w:p w14:paraId="7CA395BA">
            <w:pPr>
              <w:pStyle w:val="13"/>
            </w:pPr>
          </w:p>
        </w:tc>
        <w:tc>
          <w:tcPr>
            <w:tcW w:w="1474" w:type="dxa"/>
            <w:vAlign w:val="center"/>
          </w:tcPr>
          <w:p w14:paraId="6D70A52E">
            <w:pPr>
              <w:pStyle w:val="14"/>
            </w:pPr>
          </w:p>
        </w:tc>
        <w:tc>
          <w:tcPr>
            <w:tcW w:w="3402" w:type="dxa"/>
            <w:vAlign w:val="center"/>
          </w:tcPr>
          <w:p w14:paraId="61CA0210">
            <w:pPr>
              <w:pStyle w:val="13"/>
            </w:pPr>
            <w:r>
              <w:t>五、教育支出</w:t>
            </w:r>
          </w:p>
        </w:tc>
        <w:tc>
          <w:tcPr>
            <w:tcW w:w="1474" w:type="dxa"/>
            <w:vAlign w:val="center"/>
          </w:tcPr>
          <w:p w14:paraId="4305299C">
            <w:pPr>
              <w:pStyle w:val="14"/>
            </w:pPr>
            <w:r>
              <w:t>5474.99</w:t>
            </w:r>
          </w:p>
        </w:tc>
        <w:tc>
          <w:tcPr>
            <w:tcW w:w="1474" w:type="dxa"/>
            <w:vAlign w:val="center"/>
          </w:tcPr>
          <w:p w14:paraId="48DD70E2">
            <w:pPr>
              <w:pStyle w:val="14"/>
            </w:pPr>
            <w:r>
              <w:t>5474.99</w:t>
            </w:r>
          </w:p>
        </w:tc>
        <w:tc>
          <w:tcPr>
            <w:tcW w:w="1474" w:type="dxa"/>
            <w:vAlign w:val="center"/>
          </w:tcPr>
          <w:p w14:paraId="50758D22">
            <w:pPr>
              <w:pStyle w:val="14"/>
            </w:pPr>
          </w:p>
        </w:tc>
        <w:tc>
          <w:tcPr>
            <w:tcW w:w="1474" w:type="dxa"/>
            <w:vAlign w:val="center"/>
          </w:tcPr>
          <w:p w14:paraId="44BB54F2">
            <w:pPr>
              <w:pStyle w:val="14"/>
            </w:pPr>
          </w:p>
        </w:tc>
      </w:tr>
      <w:tr w14:paraId="597FF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1DFF0">
            <w:pPr>
              <w:pStyle w:val="12"/>
            </w:pPr>
            <w:r>
              <w:t>6</w:t>
            </w:r>
          </w:p>
        </w:tc>
        <w:tc>
          <w:tcPr>
            <w:tcW w:w="3402" w:type="dxa"/>
            <w:vAlign w:val="center"/>
          </w:tcPr>
          <w:p w14:paraId="380AF3C2">
            <w:pPr>
              <w:pStyle w:val="13"/>
            </w:pPr>
          </w:p>
        </w:tc>
        <w:tc>
          <w:tcPr>
            <w:tcW w:w="1474" w:type="dxa"/>
            <w:vAlign w:val="center"/>
          </w:tcPr>
          <w:p w14:paraId="33A28A52">
            <w:pPr>
              <w:pStyle w:val="14"/>
            </w:pPr>
          </w:p>
        </w:tc>
        <w:tc>
          <w:tcPr>
            <w:tcW w:w="3402" w:type="dxa"/>
            <w:vAlign w:val="center"/>
          </w:tcPr>
          <w:p w14:paraId="2E4AF73F">
            <w:pPr>
              <w:pStyle w:val="13"/>
            </w:pPr>
            <w:r>
              <w:t>六、科学技术支出</w:t>
            </w:r>
          </w:p>
        </w:tc>
        <w:tc>
          <w:tcPr>
            <w:tcW w:w="1474" w:type="dxa"/>
            <w:vAlign w:val="center"/>
          </w:tcPr>
          <w:p w14:paraId="0296CD8F">
            <w:pPr>
              <w:pStyle w:val="14"/>
            </w:pPr>
          </w:p>
        </w:tc>
        <w:tc>
          <w:tcPr>
            <w:tcW w:w="1474" w:type="dxa"/>
            <w:vAlign w:val="center"/>
          </w:tcPr>
          <w:p w14:paraId="63A0A309">
            <w:pPr>
              <w:pStyle w:val="14"/>
            </w:pPr>
          </w:p>
        </w:tc>
        <w:tc>
          <w:tcPr>
            <w:tcW w:w="1474" w:type="dxa"/>
            <w:vAlign w:val="center"/>
          </w:tcPr>
          <w:p w14:paraId="21503700">
            <w:pPr>
              <w:pStyle w:val="14"/>
            </w:pPr>
          </w:p>
        </w:tc>
        <w:tc>
          <w:tcPr>
            <w:tcW w:w="1474" w:type="dxa"/>
            <w:vAlign w:val="center"/>
          </w:tcPr>
          <w:p w14:paraId="297F3A11">
            <w:pPr>
              <w:pStyle w:val="14"/>
            </w:pPr>
          </w:p>
        </w:tc>
      </w:tr>
      <w:tr w14:paraId="2C9A4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2EE4C">
            <w:pPr>
              <w:pStyle w:val="12"/>
            </w:pPr>
            <w:r>
              <w:t>7</w:t>
            </w:r>
          </w:p>
        </w:tc>
        <w:tc>
          <w:tcPr>
            <w:tcW w:w="3402" w:type="dxa"/>
            <w:vAlign w:val="center"/>
          </w:tcPr>
          <w:p w14:paraId="5FEF05B2">
            <w:pPr>
              <w:pStyle w:val="13"/>
            </w:pPr>
          </w:p>
        </w:tc>
        <w:tc>
          <w:tcPr>
            <w:tcW w:w="1474" w:type="dxa"/>
            <w:vAlign w:val="center"/>
          </w:tcPr>
          <w:p w14:paraId="4EBF0AD9">
            <w:pPr>
              <w:pStyle w:val="14"/>
            </w:pPr>
          </w:p>
        </w:tc>
        <w:tc>
          <w:tcPr>
            <w:tcW w:w="3402" w:type="dxa"/>
            <w:vAlign w:val="center"/>
          </w:tcPr>
          <w:p w14:paraId="6FFCD3C5">
            <w:pPr>
              <w:pStyle w:val="13"/>
            </w:pPr>
            <w:r>
              <w:t>七、文化旅游体育与传媒支出</w:t>
            </w:r>
          </w:p>
        </w:tc>
        <w:tc>
          <w:tcPr>
            <w:tcW w:w="1474" w:type="dxa"/>
            <w:vAlign w:val="center"/>
          </w:tcPr>
          <w:p w14:paraId="6EC058E3">
            <w:pPr>
              <w:pStyle w:val="14"/>
            </w:pPr>
          </w:p>
        </w:tc>
        <w:tc>
          <w:tcPr>
            <w:tcW w:w="1474" w:type="dxa"/>
            <w:vAlign w:val="center"/>
          </w:tcPr>
          <w:p w14:paraId="3DE71188">
            <w:pPr>
              <w:pStyle w:val="14"/>
            </w:pPr>
          </w:p>
        </w:tc>
        <w:tc>
          <w:tcPr>
            <w:tcW w:w="1474" w:type="dxa"/>
            <w:vAlign w:val="center"/>
          </w:tcPr>
          <w:p w14:paraId="1B97161D">
            <w:pPr>
              <w:pStyle w:val="14"/>
            </w:pPr>
          </w:p>
        </w:tc>
        <w:tc>
          <w:tcPr>
            <w:tcW w:w="1474" w:type="dxa"/>
            <w:vAlign w:val="center"/>
          </w:tcPr>
          <w:p w14:paraId="0F981AA5">
            <w:pPr>
              <w:pStyle w:val="14"/>
            </w:pPr>
          </w:p>
        </w:tc>
      </w:tr>
      <w:tr w14:paraId="05A10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99B3D">
            <w:pPr>
              <w:pStyle w:val="12"/>
            </w:pPr>
            <w:r>
              <w:t>8</w:t>
            </w:r>
          </w:p>
        </w:tc>
        <w:tc>
          <w:tcPr>
            <w:tcW w:w="3402" w:type="dxa"/>
            <w:vAlign w:val="center"/>
          </w:tcPr>
          <w:p w14:paraId="0D0A7182">
            <w:pPr>
              <w:pStyle w:val="13"/>
            </w:pPr>
          </w:p>
        </w:tc>
        <w:tc>
          <w:tcPr>
            <w:tcW w:w="1474" w:type="dxa"/>
            <w:vAlign w:val="center"/>
          </w:tcPr>
          <w:p w14:paraId="646441DD">
            <w:pPr>
              <w:pStyle w:val="14"/>
            </w:pPr>
          </w:p>
        </w:tc>
        <w:tc>
          <w:tcPr>
            <w:tcW w:w="3402" w:type="dxa"/>
            <w:vAlign w:val="center"/>
          </w:tcPr>
          <w:p w14:paraId="2E46D7C2">
            <w:pPr>
              <w:pStyle w:val="13"/>
            </w:pPr>
            <w:r>
              <w:t>八、社会保障和就业支出</w:t>
            </w:r>
          </w:p>
        </w:tc>
        <w:tc>
          <w:tcPr>
            <w:tcW w:w="1474" w:type="dxa"/>
            <w:vAlign w:val="center"/>
          </w:tcPr>
          <w:p w14:paraId="4E7281A3">
            <w:pPr>
              <w:pStyle w:val="14"/>
            </w:pPr>
            <w:r>
              <w:t>9.85</w:t>
            </w:r>
          </w:p>
        </w:tc>
        <w:tc>
          <w:tcPr>
            <w:tcW w:w="1474" w:type="dxa"/>
            <w:vAlign w:val="center"/>
          </w:tcPr>
          <w:p w14:paraId="6DDA16C5">
            <w:pPr>
              <w:pStyle w:val="14"/>
            </w:pPr>
            <w:r>
              <w:t>9.85</w:t>
            </w:r>
          </w:p>
        </w:tc>
        <w:tc>
          <w:tcPr>
            <w:tcW w:w="1474" w:type="dxa"/>
            <w:vAlign w:val="center"/>
          </w:tcPr>
          <w:p w14:paraId="2EED85C1">
            <w:pPr>
              <w:pStyle w:val="14"/>
            </w:pPr>
          </w:p>
        </w:tc>
        <w:tc>
          <w:tcPr>
            <w:tcW w:w="1474" w:type="dxa"/>
            <w:vAlign w:val="center"/>
          </w:tcPr>
          <w:p w14:paraId="05FF7E34">
            <w:pPr>
              <w:pStyle w:val="14"/>
            </w:pPr>
          </w:p>
        </w:tc>
      </w:tr>
      <w:tr w14:paraId="1F24E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6CCC6">
            <w:pPr>
              <w:pStyle w:val="12"/>
            </w:pPr>
            <w:r>
              <w:t>9</w:t>
            </w:r>
          </w:p>
        </w:tc>
        <w:tc>
          <w:tcPr>
            <w:tcW w:w="3402" w:type="dxa"/>
            <w:vAlign w:val="center"/>
          </w:tcPr>
          <w:p w14:paraId="5C1715D4">
            <w:pPr>
              <w:pStyle w:val="13"/>
            </w:pPr>
          </w:p>
        </w:tc>
        <w:tc>
          <w:tcPr>
            <w:tcW w:w="1474" w:type="dxa"/>
            <w:vAlign w:val="center"/>
          </w:tcPr>
          <w:p w14:paraId="3D7E71EF">
            <w:pPr>
              <w:pStyle w:val="14"/>
            </w:pPr>
          </w:p>
        </w:tc>
        <w:tc>
          <w:tcPr>
            <w:tcW w:w="3402" w:type="dxa"/>
            <w:vAlign w:val="center"/>
          </w:tcPr>
          <w:p w14:paraId="6EB62A3C">
            <w:pPr>
              <w:pStyle w:val="13"/>
            </w:pPr>
            <w:r>
              <w:t>九、社会保险基金支出</w:t>
            </w:r>
          </w:p>
        </w:tc>
        <w:tc>
          <w:tcPr>
            <w:tcW w:w="1474" w:type="dxa"/>
            <w:vAlign w:val="center"/>
          </w:tcPr>
          <w:p w14:paraId="3F64E2E1">
            <w:pPr>
              <w:pStyle w:val="14"/>
            </w:pPr>
          </w:p>
        </w:tc>
        <w:tc>
          <w:tcPr>
            <w:tcW w:w="1474" w:type="dxa"/>
            <w:vAlign w:val="center"/>
          </w:tcPr>
          <w:p w14:paraId="3D2804CC">
            <w:pPr>
              <w:pStyle w:val="14"/>
            </w:pPr>
          </w:p>
        </w:tc>
        <w:tc>
          <w:tcPr>
            <w:tcW w:w="1474" w:type="dxa"/>
            <w:vAlign w:val="center"/>
          </w:tcPr>
          <w:p w14:paraId="48DA34A2">
            <w:pPr>
              <w:pStyle w:val="14"/>
            </w:pPr>
          </w:p>
        </w:tc>
        <w:tc>
          <w:tcPr>
            <w:tcW w:w="1474" w:type="dxa"/>
            <w:vAlign w:val="center"/>
          </w:tcPr>
          <w:p w14:paraId="6FFE19BE">
            <w:pPr>
              <w:pStyle w:val="14"/>
            </w:pPr>
          </w:p>
        </w:tc>
      </w:tr>
      <w:tr w14:paraId="69C7F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C8275">
            <w:pPr>
              <w:pStyle w:val="12"/>
            </w:pPr>
            <w:r>
              <w:t>10</w:t>
            </w:r>
          </w:p>
        </w:tc>
        <w:tc>
          <w:tcPr>
            <w:tcW w:w="3402" w:type="dxa"/>
            <w:vAlign w:val="center"/>
          </w:tcPr>
          <w:p w14:paraId="03C89AEF">
            <w:pPr>
              <w:pStyle w:val="13"/>
            </w:pPr>
          </w:p>
        </w:tc>
        <w:tc>
          <w:tcPr>
            <w:tcW w:w="1474" w:type="dxa"/>
            <w:vAlign w:val="center"/>
          </w:tcPr>
          <w:p w14:paraId="09F45892">
            <w:pPr>
              <w:pStyle w:val="14"/>
            </w:pPr>
          </w:p>
        </w:tc>
        <w:tc>
          <w:tcPr>
            <w:tcW w:w="3402" w:type="dxa"/>
            <w:vAlign w:val="center"/>
          </w:tcPr>
          <w:p w14:paraId="32D11E89">
            <w:pPr>
              <w:pStyle w:val="13"/>
            </w:pPr>
            <w:r>
              <w:t>十、卫生健康支出</w:t>
            </w:r>
          </w:p>
        </w:tc>
        <w:tc>
          <w:tcPr>
            <w:tcW w:w="1474" w:type="dxa"/>
            <w:vAlign w:val="center"/>
          </w:tcPr>
          <w:p w14:paraId="1994DA5C">
            <w:pPr>
              <w:pStyle w:val="14"/>
            </w:pPr>
          </w:p>
        </w:tc>
        <w:tc>
          <w:tcPr>
            <w:tcW w:w="1474" w:type="dxa"/>
            <w:vAlign w:val="center"/>
          </w:tcPr>
          <w:p w14:paraId="77BB92FF">
            <w:pPr>
              <w:pStyle w:val="14"/>
            </w:pPr>
          </w:p>
        </w:tc>
        <w:tc>
          <w:tcPr>
            <w:tcW w:w="1474" w:type="dxa"/>
            <w:vAlign w:val="center"/>
          </w:tcPr>
          <w:p w14:paraId="0E722FFB">
            <w:pPr>
              <w:pStyle w:val="14"/>
            </w:pPr>
          </w:p>
        </w:tc>
        <w:tc>
          <w:tcPr>
            <w:tcW w:w="1474" w:type="dxa"/>
            <w:vAlign w:val="center"/>
          </w:tcPr>
          <w:p w14:paraId="316A6183">
            <w:pPr>
              <w:pStyle w:val="14"/>
            </w:pPr>
          </w:p>
        </w:tc>
      </w:tr>
      <w:tr w14:paraId="762BE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61A38">
            <w:pPr>
              <w:pStyle w:val="12"/>
            </w:pPr>
            <w:r>
              <w:t>11</w:t>
            </w:r>
          </w:p>
        </w:tc>
        <w:tc>
          <w:tcPr>
            <w:tcW w:w="3402" w:type="dxa"/>
            <w:vAlign w:val="center"/>
          </w:tcPr>
          <w:p w14:paraId="0A8E3E0F">
            <w:pPr>
              <w:pStyle w:val="13"/>
            </w:pPr>
          </w:p>
        </w:tc>
        <w:tc>
          <w:tcPr>
            <w:tcW w:w="1474" w:type="dxa"/>
            <w:vAlign w:val="center"/>
          </w:tcPr>
          <w:p w14:paraId="22174D17">
            <w:pPr>
              <w:pStyle w:val="14"/>
            </w:pPr>
          </w:p>
        </w:tc>
        <w:tc>
          <w:tcPr>
            <w:tcW w:w="3402" w:type="dxa"/>
            <w:vAlign w:val="center"/>
          </w:tcPr>
          <w:p w14:paraId="16F673A6">
            <w:pPr>
              <w:pStyle w:val="13"/>
            </w:pPr>
            <w:r>
              <w:t>十一、节能环保支出</w:t>
            </w:r>
          </w:p>
        </w:tc>
        <w:tc>
          <w:tcPr>
            <w:tcW w:w="1474" w:type="dxa"/>
            <w:vAlign w:val="center"/>
          </w:tcPr>
          <w:p w14:paraId="2DDDCB0A">
            <w:pPr>
              <w:pStyle w:val="14"/>
            </w:pPr>
          </w:p>
        </w:tc>
        <w:tc>
          <w:tcPr>
            <w:tcW w:w="1474" w:type="dxa"/>
            <w:vAlign w:val="center"/>
          </w:tcPr>
          <w:p w14:paraId="2B96D788">
            <w:pPr>
              <w:pStyle w:val="14"/>
            </w:pPr>
          </w:p>
        </w:tc>
        <w:tc>
          <w:tcPr>
            <w:tcW w:w="1474" w:type="dxa"/>
            <w:vAlign w:val="center"/>
          </w:tcPr>
          <w:p w14:paraId="44158AB0">
            <w:pPr>
              <w:pStyle w:val="14"/>
            </w:pPr>
          </w:p>
        </w:tc>
        <w:tc>
          <w:tcPr>
            <w:tcW w:w="1474" w:type="dxa"/>
            <w:vAlign w:val="center"/>
          </w:tcPr>
          <w:p w14:paraId="0ED25997">
            <w:pPr>
              <w:pStyle w:val="14"/>
            </w:pPr>
          </w:p>
        </w:tc>
      </w:tr>
      <w:tr w14:paraId="63EF5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BE920">
            <w:pPr>
              <w:pStyle w:val="12"/>
            </w:pPr>
            <w:r>
              <w:t>12</w:t>
            </w:r>
          </w:p>
        </w:tc>
        <w:tc>
          <w:tcPr>
            <w:tcW w:w="3402" w:type="dxa"/>
            <w:vAlign w:val="center"/>
          </w:tcPr>
          <w:p w14:paraId="2258C0FA">
            <w:pPr>
              <w:pStyle w:val="13"/>
            </w:pPr>
          </w:p>
        </w:tc>
        <w:tc>
          <w:tcPr>
            <w:tcW w:w="1474" w:type="dxa"/>
            <w:vAlign w:val="center"/>
          </w:tcPr>
          <w:p w14:paraId="344B5B25">
            <w:pPr>
              <w:pStyle w:val="14"/>
            </w:pPr>
          </w:p>
        </w:tc>
        <w:tc>
          <w:tcPr>
            <w:tcW w:w="3402" w:type="dxa"/>
            <w:vAlign w:val="center"/>
          </w:tcPr>
          <w:p w14:paraId="3D58B732">
            <w:pPr>
              <w:pStyle w:val="13"/>
            </w:pPr>
            <w:r>
              <w:t>十二、城乡社区支出</w:t>
            </w:r>
          </w:p>
        </w:tc>
        <w:tc>
          <w:tcPr>
            <w:tcW w:w="1474" w:type="dxa"/>
            <w:vAlign w:val="center"/>
          </w:tcPr>
          <w:p w14:paraId="47389E2E">
            <w:pPr>
              <w:pStyle w:val="14"/>
            </w:pPr>
          </w:p>
        </w:tc>
        <w:tc>
          <w:tcPr>
            <w:tcW w:w="1474" w:type="dxa"/>
            <w:vAlign w:val="center"/>
          </w:tcPr>
          <w:p w14:paraId="339B76E6">
            <w:pPr>
              <w:pStyle w:val="14"/>
            </w:pPr>
          </w:p>
        </w:tc>
        <w:tc>
          <w:tcPr>
            <w:tcW w:w="1474" w:type="dxa"/>
            <w:vAlign w:val="center"/>
          </w:tcPr>
          <w:p w14:paraId="1330B103">
            <w:pPr>
              <w:pStyle w:val="14"/>
            </w:pPr>
          </w:p>
        </w:tc>
        <w:tc>
          <w:tcPr>
            <w:tcW w:w="1474" w:type="dxa"/>
            <w:vAlign w:val="center"/>
          </w:tcPr>
          <w:p w14:paraId="1356A4E6">
            <w:pPr>
              <w:pStyle w:val="14"/>
            </w:pPr>
          </w:p>
        </w:tc>
      </w:tr>
      <w:tr w14:paraId="23884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98F1D">
            <w:pPr>
              <w:pStyle w:val="12"/>
            </w:pPr>
            <w:r>
              <w:t>13</w:t>
            </w:r>
          </w:p>
        </w:tc>
        <w:tc>
          <w:tcPr>
            <w:tcW w:w="3402" w:type="dxa"/>
            <w:vAlign w:val="center"/>
          </w:tcPr>
          <w:p w14:paraId="51751303">
            <w:pPr>
              <w:pStyle w:val="13"/>
            </w:pPr>
          </w:p>
        </w:tc>
        <w:tc>
          <w:tcPr>
            <w:tcW w:w="1474" w:type="dxa"/>
            <w:vAlign w:val="center"/>
          </w:tcPr>
          <w:p w14:paraId="20F125C3">
            <w:pPr>
              <w:pStyle w:val="14"/>
            </w:pPr>
          </w:p>
        </w:tc>
        <w:tc>
          <w:tcPr>
            <w:tcW w:w="3402" w:type="dxa"/>
            <w:vAlign w:val="center"/>
          </w:tcPr>
          <w:p w14:paraId="39F17EAC">
            <w:pPr>
              <w:pStyle w:val="13"/>
            </w:pPr>
            <w:r>
              <w:t>十三、农林水支出</w:t>
            </w:r>
          </w:p>
        </w:tc>
        <w:tc>
          <w:tcPr>
            <w:tcW w:w="1474" w:type="dxa"/>
            <w:vAlign w:val="center"/>
          </w:tcPr>
          <w:p w14:paraId="54839B19">
            <w:pPr>
              <w:pStyle w:val="14"/>
            </w:pPr>
          </w:p>
        </w:tc>
        <w:tc>
          <w:tcPr>
            <w:tcW w:w="1474" w:type="dxa"/>
            <w:vAlign w:val="center"/>
          </w:tcPr>
          <w:p w14:paraId="225D8CEC">
            <w:pPr>
              <w:pStyle w:val="14"/>
            </w:pPr>
          </w:p>
        </w:tc>
        <w:tc>
          <w:tcPr>
            <w:tcW w:w="1474" w:type="dxa"/>
            <w:vAlign w:val="center"/>
          </w:tcPr>
          <w:p w14:paraId="21F3B7B1">
            <w:pPr>
              <w:pStyle w:val="14"/>
            </w:pPr>
          </w:p>
        </w:tc>
        <w:tc>
          <w:tcPr>
            <w:tcW w:w="1474" w:type="dxa"/>
            <w:vAlign w:val="center"/>
          </w:tcPr>
          <w:p w14:paraId="1029863B">
            <w:pPr>
              <w:pStyle w:val="14"/>
            </w:pPr>
          </w:p>
        </w:tc>
      </w:tr>
      <w:tr w14:paraId="1E68E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1D4CB">
            <w:pPr>
              <w:pStyle w:val="12"/>
            </w:pPr>
            <w:r>
              <w:t>14</w:t>
            </w:r>
          </w:p>
        </w:tc>
        <w:tc>
          <w:tcPr>
            <w:tcW w:w="3402" w:type="dxa"/>
            <w:vAlign w:val="center"/>
          </w:tcPr>
          <w:p w14:paraId="55C1D539">
            <w:pPr>
              <w:pStyle w:val="13"/>
            </w:pPr>
          </w:p>
        </w:tc>
        <w:tc>
          <w:tcPr>
            <w:tcW w:w="1474" w:type="dxa"/>
            <w:vAlign w:val="center"/>
          </w:tcPr>
          <w:p w14:paraId="3BE88192">
            <w:pPr>
              <w:pStyle w:val="14"/>
            </w:pPr>
          </w:p>
        </w:tc>
        <w:tc>
          <w:tcPr>
            <w:tcW w:w="3402" w:type="dxa"/>
            <w:vAlign w:val="center"/>
          </w:tcPr>
          <w:p w14:paraId="30A60A48">
            <w:pPr>
              <w:pStyle w:val="13"/>
            </w:pPr>
            <w:r>
              <w:t>十四、交通运输支出</w:t>
            </w:r>
          </w:p>
        </w:tc>
        <w:tc>
          <w:tcPr>
            <w:tcW w:w="1474" w:type="dxa"/>
            <w:vAlign w:val="center"/>
          </w:tcPr>
          <w:p w14:paraId="23DE6A64">
            <w:pPr>
              <w:pStyle w:val="14"/>
            </w:pPr>
          </w:p>
        </w:tc>
        <w:tc>
          <w:tcPr>
            <w:tcW w:w="1474" w:type="dxa"/>
            <w:vAlign w:val="center"/>
          </w:tcPr>
          <w:p w14:paraId="07897A19">
            <w:pPr>
              <w:pStyle w:val="14"/>
            </w:pPr>
          </w:p>
        </w:tc>
        <w:tc>
          <w:tcPr>
            <w:tcW w:w="1474" w:type="dxa"/>
            <w:vAlign w:val="center"/>
          </w:tcPr>
          <w:p w14:paraId="277A8DA0">
            <w:pPr>
              <w:pStyle w:val="14"/>
            </w:pPr>
          </w:p>
        </w:tc>
        <w:tc>
          <w:tcPr>
            <w:tcW w:w="1474" w:type="dxa"/>
            <w:vAlign w:val="center"/>
          </w:tcPr>
          <w:p w14:paraId="196418FA">
            <w:pPr>
              <w:pStyle w:val="14"/>
            </w:pPr>
          </w:p>
        </w:tc>
      </w:tr>
      <w:tr w14:paraId="1DE3B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3493D">
            <w:pPr>
              <w:pStyle w:val="12"/>
            </w:pPr>
            <w:r>
              <w:t>15</w:t>
            </w:r>
          </w:p>
        </w:tc>
        <w:tc>
          <w:tcPr>
            <w:tcW w:w="3402" w:type="dxa"/>
            <w:vAlign w:val="center"/>
          </w:tcPr>
          <w:p w14:paraId="74184587">
            <w:pPr>
              <w:pStyle w:val="13"/>
            </w:pPr>
          </w:p>
        </w:tc>
        <w:tc>
          <w:tcPr>
            <w:tcW w:w="1474" w:type="dxa"/>
            <w:vAlign w:val="center"/>
          </w:tcPr>
          <w:p w14:paraId="37BB7DF7">
            <w:pPr>
              <w:pStyle w:val="14"/>
            </w:pPr>
          </w:p>
        </w:tc>
        <w:tc>
          <w:tcPr>
            <w:tcW w:w="3402" w:type="dxa"/>
            <w:vAlign w:val="center"/>
          </w:tcPr>
          <w:p w14:paraId="355D2306">
            <w:pPr>
              <w:pStyle w:val="13"/>
            </w:pPr>
            <w:r>
              <w:t>十五、资源勘探工业信息等支出</w:t>
            </w:r>
          </w:p>
        </w:tc>
        <w:tc>
          <w:tcPr>
            <w:tcW w:w="1474" w:type="dxa"/>
            <w:vAlign w:val="center"/>
          </w:tcPr>
          <w:p w14:paraId="579AB66E">
            <w:pPr>
              <w:pStyle w:val="14"/>
            </w:pPr>
          </w:p>
        </w:tc>
        <w:tc>
          <w:tcPr>
            <w:tcW w:w="1474" w:type="dxa"/>
            <w:vAlign w:val="center"/>
          </w:tcPr>
          <w:p w14:paraId="72645B8B">
            <w:pPr>
              <w:pStyle w:val="14"/>
            </w:pPr>
          </w:p>
        </w:tc>
        <w:tc>
          <w:tcPr>
            <w:tcW w:w="1474" w:type="dxa"/>
            <w:vAlign w:val="center"/>
          </w:tcPr>
          <w:p w14:paraId="08225F82">
            <w:pPr>
              <w:pStyle w:val="14"/>
            </w:pPr>
          </w:p>
        </w:tc>
        <w:tc>
          <w:tcPr>
            <w:tcW w:w="1474" w:type="dxa"/>
            <w:vAlign w:val="center"/>
          </w:tcPr>
          <w:p w14:paraId="5D5E50FE">
            <w:pPr>
              <w:pStyle w:val="14"/>
            </w:pPr>
          </w:p>
        </w:tc>
      </w:tr>
      <w:tr w14:paraId="48507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6B855">
            <w:pPr>
              <w:pStyle w:val="12"/>
            </w:pPr>
            <w:r>
              <w:t>16</w:t>
            </w:r>
          </w:p>
        </w:tc>
        <w:tc>
          <w:tcPr>
            <w:tcW w:w="3402" w:type="dxa"/>
            <w:vAlign w:val="center"/>
          </w:tcPr>
          <w:p w14:paraId="4A18B44D">
            <w:pPr>
              <w:pStyle w:val="13"/>
            </w:pPr>
          </w:p>
        </w:tc>
        <w:tc>
          <w:tcPr>
            <w:tcW w:w="1474" w:type="dxa"/>
            <w:vAlign w:val="center"/>
          </w:tcPr>
          <w:p w14:paraId="05660DC8">
            <w:pPr>
              <w:pStyle w:val="14"/>
            </w:pPr>
          </w:p>
        </w:tc>
        <w:tc>
          <w:tcPr>
            <w:tcW w:w="3402" w:type="dxa"/>
            <w:vAlign w:val="center"/>
          </w:tcPr>
          <w:p w14:paraId="58D45C34">
            <w:pPr>
              <w:pStyle w:val="13"/>
            </w:pPr>
            <w:r>
              <w:t>十六、商业服务业等支出</w:t>
            </w:r>
          </w:p>
        </w:tc>
        <w:tc>
          <w:tcPr>
            <w:tcW w:w="1474" w:type="dxa"/>
            <w:vAlign w:val="center"/>
          </w:tcPr>
          <w:p w14:paraId="7FE9932D">
            <w:pPr>
              <w:pStyle w:val="14"/>
            </w:pPr>
          </w:p>
        </w:tc>
        <w:tc>
          <w:tcPr>
            <w:tcW w:w="1474" w:type="dxa"/>
            <w:vAlign w:val="center"/>
          </w:tcPr>
          <w:p w14:paraId="27B943B3">
            <w:pPr>
              <w:pStyle w:val="14"/>
            </w:pPr>
          </w:p>
        </w:tc>
        <w:tc>
          <w:tcPr>
            <w:tcW w:w="1474" w:type="dxa"/>
            <w:vAlign w:val="center"/>
          </w:tcPr>
          <w:p w14:paraId="55E16686">
            <w:pPr>
              <w:pStyle w:val="14"/>
            </w:pPr>
          </w:p>
        </w:tc>
        <w:tc>
          <w:tcPr>
            <w:tcW w:w="1474" w:type="dxa"/>
            <w:vAlign w:val="center"/>
          </w:tcPr>
          <w:p w14:paraId="6455AC1B">
            <w:pPr>
              <w:pStyle w:val="14"/>
            </w:pPr>
          </w:p>
        </w:tc>
      </w:tr>
      <w:tr w14:paraId="2B269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7D1FE">
            <w:pPr>
              <w:pStyle w:val="12"/>
            </w:pPr>
            <w:r>
              <w:t>17</w:t>
            </w:r>
          </w:p>
        </w:tc>
        <w:tc>
          <w:tcPr>
            <w:tcW w:w="3402" w:type="dxa"/>
            <w:vAlign w:val="center"/>
          </w:tcPr>
          <w:p w14:paraId="41E50CFB">
            <w:pPr>
              <w:pStyle w:val="13"/>
            </w:pPr>
          </w:p>
        </w:tc>
        <w:tc>
          <w:tcPr>
            <w:tcW w:w="1474" w:type="dxa"/>
            <w:vAlign w:val="center"/>
          </w:tcPr>
          <w:p w14:paraId="3D67982D">
            <w:pPr>
              <w:pStyle w:val="14"/>
            </w:pPr>
          </w:p>
        </w:tc>
        <w:tc>
          <w:tcPr>
            <w:tcW w:w="3402" w:type="dxa"/>
            <w:vAlign w:val="center"/>
          </w:tcPr>
          <w:p w14:paraId="1C7B9F71">
            <w:pPr>
              <w:pStyle w:val="13"/>
            </w:pPr>
            <w:r>
              <w:t>十七、金融支出</w:t>
            </w:r>
          </w:p>
        </w:tc>
        <w:tc>
          <w:tcPr>
            <w:tcW w:w="1474" w:type="dxa"/>
            <w:vAlign w:val="center"/>
          </w:tcPr>
          <w:p w14:paraId="4FFFD4DC">
            <w:pPr>
              <w:pStyle w:val="14"/>
            </w:pPr>
          </w:p>
        </w:tc>
        <w:tc>
          <w:tcPr>
            <w:tcW w:w="1474" w:type="dxa"/>
            <w:vAlign w:val="center"/>
          </w:tcPr>
          <w:p w14:paraId="7B80E60A">
            <w:pPr>
              <w:pStyle w:val="14"/>
            </w:pPr>
          </w:p>
        </w:tc>
        <w:tc>
          <w:tcPr>
            <w:tcW w:w="1474" w:type="dxa"/>
            <w:vAlign w:val="center"/>
          </w:tcPr>
          <w:p w14:paraId="4AF2B202">
            <w:pPr>
              <w:pStyle w:val="14"/>
            </w:pPr>
          </w:p>
        </w:tc>
        <w:tc>
          <w:tcPr>
            <w:tcW w:w="1474" w:type="dxa"/>
            <w:vAlign w:val="center"/>
          </w:tcPr>
          <w:p w14:paraId="17299CC5">
            <w:pPr>
              <w:pStyle w:val="14"/>
            </w:pPr>
          </w:p>
        </w:tc>
      </w:tr>
      <w:tr w14:paraId="1B012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C9A2C">
            <w:pPr>
              <w:pStyle w:val="12"/>
            </w:pPr>
            <w:r>
              <w:t>18</w:t>
            </w:r>
          </w:p>
        </w:tc>
        <w:tc>
          <w:tcPr>
            <w:tcW w:w="3402" w:type="dxa"/>
            <w:vAlign w:val="center"/>
          </w:tcPr>
          <w:p w14:paraId="512DED18">
            <w:pPr>
              <w:pStyle w:val="13"/>
            </w:pPr>
          </w:p>
        </w:tc>
        <w:tc>
          <w:tcPr>
            <w:tcW w:w="1474" w:type="dxa"/>
            <w:vAlign w:val="center"/>
          </w:tcPr>
          <w:p w14:paraId="1862F0FE">
            <w:pPr>
              <w:pStyle w:val="14"/>
            </w:pPr>
          </w:p>
        </w:tc>
        <w:tc>
          <w:tcPr>
            <w:tcW w:w="3402" w:type="dxa"/>
            <w:vAlign w:val="center"/>
          </w:tcPr>
          <w:p w14:paraId="0000E874">
            <w:pPr>
              <w:pStyle w:val="13"/>
            </w:pPr>
            <w:r>
              <w:t>十八、援助其他地区支出</w:t>
            </w:r>
          </w:p>
        </w:tc>
        <w:tc>
          <w:tcPr>
            <w:tcW w:w="1474" w:type="dxa"/>
            <w:vAlign w:val="center"/>
          </w:tcPr>
          <w:p w14:paraId="007F03E6">
            <w:pPr>
              <w:pStyle w:val="14"/>
            </w:pPr>
          </w:p>
        </w:tc>
        <w:tc>
          <w:tcPr>
            <w:tcW w:w="1474" w:type="dxa"/>
            <w:vAlign w:val="center"/>
          </w:tcPr>
          <w:p w14:paraId="02926D79">
            <w:pPr>
              <w:pStyle w:val="14"/>
            </w:pPr>
          </w:p>
        </w:tc>
        <w:tc>
          <w:tcPr>
            <w:tcW w:w="1474" w:type="dxa"/>
            <w:vAlign w:val="center"/>
          </w:tcPr>
          <w:p w14:paraId="0DF3527E">
            <w:pPr>
              <w:pStyle w:val="14"/>
            </w:pPr>
          </w:p>
        </w:tc>
        <w:tc>
          <w:tcPr>
            <w:tcW w:w="1474" w:type="dxa"/>
            <w:vAlign w:val="center"/>
          </w:tcPr>
          <w:p w14:paraId="1F9DE5C8">
            <w:pPr>
              <w:pStyle w:val="14"/>
            </w:pPr>
          </w:p>
        </w:tc>
      </w:tr>
      <w:tr w14:paraId="031EF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AD116">
            <w:pPr>
              <w:pStyle w:val="12"/>
            </w:pPr>
            <w:r>
              <w:t>19</w:t>
            </w:r>
          </w:p>
        </w:tc>
        <w:tc>
          <w:tcPr>
            <w:tcW w:w="3402" w:type="dxa"/>
            <w:vAlign w:val="center"/>
          </w:tcPr>
          <w:p w14:paraId="30A09500">
            <w:pPr>
              <w:pStyle w:val="13"/>
            </w:pPr>
          </w:p>
        </w:tc>
        <w:tc>
          <w:tcPr>
            <w:tcW w:w="1474" w:type="dxa"/>
            <w:vAlign w:val="center"/>
          </w:tcPr>
          <w:p w14:paraId="7C224E18">
            <w:pPr>
              <w:pStyle w:val="14"/>
            </w:pPr>
          </w:p>
        </w:tc>
        <w:tc>
          <w:tcPr>
            <w:tcW w:w="3402" w:type="dxa"/>
            <w:vAlign w:val="center"/>
          </w:tcPr>
          <w:p w14:paraId="30467E42">
            <w:pPr>
              <w:pStyle w:val="13"/>
            </w:pPr>
            <w:r>
              <w:t>十九、自然资源海洋气象等支出</w:t>
            </w:r>
          </w:p>
        </w:tc>
        <w:tc>
          <w:tcPr>
            <w:tcW w:w="1474" w:type="dxa"/>
            <w:vAlign w:val="center"/>
          </w:tcPr>
          <w:p w14:paraId="1B0F3DCC">
            <w:pPr>
              <w:pStyle w:val="14"/>
            </w:pPr>
          </w:p>
        </w:tc>
        <w:tc>
          <w:tcPr>
            <w:tcW w:w="1474" w:type="dxa"/>
            <w:vAlign w:val="center"/>
          </w:tcPr>
          <w:p w14:paraId="0B202090">
            <w:pPr>
              <w:pStyle w:val="14"/>
            </w:pPr>
          </w:p>
        </w:tc>
        <w:tc>
          <w:tcPr>
            <w:tcW w:w="1474" w:type="dxa"/>
            <w:vAlign w:val="center"/>
          </w:tcPr>
          <w:p w14:paraId="15BDF5D1">
            <w:pPr>
              <w:pStyle w:val="14"/>
            </w:pPr>
          </w:p>
        </w:tc>
        <w:tc>
          <w:tcPr>
            <w:tcW w:w="1474" w:type="dxa"/>
            <w:vAlign w:val="center"/>
          </w:tcPr>
          <w:p w14:paraId="0E9A3EFE">
            <w:pPr>
              <w:pStyle w:val="14"/>
            </w:pPr>
          </w:p>
        </w:tc>
      </w:tr>
      <w:tr w14:paraId="76667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9EFF8">
            <w:pPr>
              <w:pStyle w:val="12"/>
            </w:pPr>
            <w:r>
              <w:t>20</w:t>
            </w:r>
          </w:p>
        </w:tc>
        <w:tc>
          <w:tcPr>
            <w:tcW w:w="3402" w:type="dxa"/>
            <w:vAlign w:val="center"/>
          </w:tcPr>
          <w:p w14:paraId="57FC15DF">
            <w:pPr>
              <w:pStyle w:val="13"/>
            </w:pPr>
          </w:p>
        </w:tc>
        <w:tc>
          <w:tcPr>
            <w:tcW w:w="1474" w:type="dxa"/>
            <w:vAlign w:val="center"/>
          </w:tcPr>
          <w:p w14:paraId="79121178">
            <w:pPr>
              <w:pStyle w:val="14"/>
            </w:pPr>
          </w:p>
        </w:tc>
        <w:tc>
          <w:tcPr>
            <w:tcW w:w="3402" w:type="dxa"/>
            <w:vAlign w:val="center"/>
          </w:tcPr>
          <w:p w14:paraId="3A849814">
            <w:pPr>
              <w:pStyle w:val="13"/>
            </w:pPr>
            <w:r>
              <w:t>二十、住房保障支出</w:t>
            </w:r>
          </w:p>
        </w:tc>
        <w:tc>
          <w:tcPr>
            <w:tcW w:w="1474" w:type="dxa"/>
            <w:vAlign w:val="center"/>
          </w:tcPr>
          <w:p w14:paraId="1DD8158B">
            <w:pPr>
              <w:pStyle w:val="14"/>
            </w:pPr>
          </w:p>
        </w:tc>
        <w:tc>
          <w:tcPr>
            <w:tcW w:w="1474" w:type="dxa"/>
            <w:vAlign w:val="center"/>
          </w:tcPr>
          <w:p w14:paraId="7A878A12">
            <w:pPr>
              <w:pStyle w:val="14"/>
            </w:pPr>
          </w:p>
        </w:tc>
        <w:tc>
          <w:tcPr>
            <w:tcW w:w="1474" w:type="dxa"/>
            <w:vAlign w:val="center"/>
          </w:tcPr>
          <w:p w14:paraId="40CD734B">
            <w:pPr>
              <w:pStyle w:val="14"/>
            </w:pPr>
          </w:p>
        </w:tc>
        <w:tc>
          <w:tcPr>
            <w:tcW w:w="1474" w:type="dxa"/>
            <w:vAlign w:val="center"/>
          </w:tcPr>
          <w:p w14:paraId="192BE4FF">
            <w:pPr>
              <w:pStyle w:val="14"/>
            </w:pPr>
          </w:p>
        </w:tc>
      </w:tr>
      <w:tr w14:paraId="1F4ED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CC94E">
            <w:pPr>
              <w:pStyle w:val="12"/>
            </w:pPr>
            <w:r>
              <w:t>21</w:t>
            </w:r>
          </w:p>
        </w:tc>
        <w:tc>
          <w:tcPr>
            <w:tcW w:w="3402" w:type="dxa"/>
            <w:vAlign w:val="center"/>
          </w:tcPr>
          <w:p w14:paraId="4E7CA618">
            <w:pPr>
              <w:pStyle w:val="13"/>
            </w:pPr>
          </w:p>
        </w:tc>
        <w:tc>
          <w:tcPr>
            <w:tcW w:w="1474" w:type="dxa"/>
            <w:vAlign w:val="center"/>
          </w:tcPr>
          <w:p w14:paraId="4DBD6B62">
            <w:pPr>
              <w:pStyle w:val="14"/>
            </w:pPr>
          </w:p>
        </w:tc>
        <w:tc>
          <w:tcPr>
            <w:tcW w:w="3402" w:type="dxa"/>
            <w:vAlign w:val="center"/>
          </w:tcPr>
          <w:p w14:paraId="4522D564">
            <w:pPr>
              <w:pStyle w:val="13"/>
            </w:pPr>
            <w:r>
              <w:t>二十一、粮油物资储备支出</w:t>
            </w:r>
          </w:p>
        </w:tc>
        <w:tc>
          <w:tcPr>
            <w:tcW w:w="1474" w:type="dxa"/>
            <w:vAlign w:val="center"/>
          </w:tcPr>
          <w:p w14:paraId="3F1CD8B3">
            <w:pPr>
              <w:pStyle w:val="14"/>
            </w:pPr>
          </w:p>
        </w:tc>
        <w:tc>
          <w:tcPr>
            <w:tcW w:w="1474" w:type="dxa"/>
            <w:vAlign w:val="center"/>
          </w:tcPr>
          <w:p w14:paraId="0CD1D65A">
            <w:pPr>
              <w:pStyle w:val="14"/>
            </w:pPr>
          </w:p>
        </w:tc>
        <w:tc>
          <w:tcPr>
            <w:tcW w:w="1474" w:type="dxa"/>
            <w:vAlign w:val="center"/>
          </w:tcPr>
          <w:p w14:paraId="49946387">
            <w:pPr>
              <w:pStyle w:val="14"/>
            </w:pPr>
          </w:p>
        </w:tc>
        <w:tc>
          <w:tcPr>
            <w:tcW w:w="1474" w:type="dxa"/>
            <w:vAlign w:val="center"/>
          </w:tcPr>
          <w:p w14:paraId="5D987F79">
            <w:pPr>
              <w:pStyle w:val="14"/>
            </w:pPr>
          </w:p>
        </w:tc>
      </w:tr>
      <w:tr w14:paraId="57F9F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B9382">
            <w:pPr>
              <w:pStyle w:val="12"/>
            </w:pPr>
            <w:r>
              <w:t>22</w:t>
            </w:r>
          </w:p>
        </w:tc>
        <w:tc>
          <w:tcPr>
            <w:tcW w:w="3402" w:type="dxa"/>
            <w:vAlign w:val="center"/>
          </w:tcPr>
          <w:p w14:paraId="77DFC871">
            <w:pPr>
              <w:pStyle w:val="13"/>
            </w:pPr>
          </w:p>
        </w:tc>
        <w:tc>
          <w:tcPr>
            <w:tcW w:w="1474" w:type="dxa"/>
            <w:vAlign w:val="center"/>
          </w:tcPr>
          <w:p w14:paraId="72039805">
            <w:pPr>
              <w:pStyle w:val="14"/>
            </w:pPr>
          </w:p>
        </w:tc>
        <w:tc>
          <w:tcPr>
            <w:tcW w:w="3402" w:type="dxa"/>
            <w:vAlign w:val="center"/>
          </w:tcPr>
          <w:p w14:paraId="36F943A5">
            <w:pPr>
              <w:pStyle w:val="13"/>
            </w:pPr>
            <w:r>
              <w:t>二十二、国有资本经营预算支出</w:t>
            </w:r>
          </w:p>
        </w:tc>
        <w:tc>
          <w:tcPr>
            <w:tcW w:w="1474" w:type="dxa"/>
            <w:vAlign w:val="center"/>
          </w:tcPr>
          <w:p w14:paraId="7C41868A">
            <w:pPr>
              <w:pStyle w:val="14"/>
            </w:pPr>
          </w:p>
        </w:tc>
        <w:tc>
          <w:tcPr>
            <w:tcW w:w="1474" w:type="dxa"/>
            <w:vAlign w:val="center"/>
          </w:tcPr>
          <w:p w14:paraId="19E498AC">
            <w:pPr>
              <w:pStyle w:val="14"/>
            </w:pPr>
          </w:p>
        </w:tc>
        <w:tc>
          <w:tcPr>
            <w:tcW w:w="1474" w:type="dxa"/>
            <w:vAlign w:val="center"/>
          </w:tcPr>
          <w:p w14:paraId="4ECED78B">
            <w:pPr>
              <w:pStyle w:val="14"/>
            </w:pPr>
          </w:p>
        </w:tc>
        <w:tc>
          <w:tcPr>
            <w:tcW w:w="1474" w:type="dxa"/>
            <w:vAlign w:val="center"/>
          </w:tcPr>
          <w:p w14:paraId="51C62EFA">
            <w:pPr>
              <w:pStyle w:val="14"/>
            </w:pPr>
          </w:p>
        </w:tc>
      </w:tr>
      <w:tr w14:paraId="340B9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71F3E">
            <w:pPr>
              <w:pStyle w:val="12"/>
            </w:pPr>
            <w:r>
              <w:t>23</w:t>
            </w:r>
          </w:p>
        </w:tc>
        <w:tc>
          <w:tcPr>
            <w:tcW w:w="3402" w:type="dxa"/>
            <w:vAlign w:val="center"/>
          </w:tcPr>
          <w:p w14:paraId="01D76A79">
            <w:pPr>
              <w:pStyle w:val="13"/>
            </w:pPr>
          </w:p>
        </w:tc>
        <w:tc>
          <w:tcPr>
            <w:tcW w:w="1474" w:type="dxa"/>
            <w:vAlign w:val="center"/>
          </w:tcPr>
          <w:p w14:paraId="47A133C6">
            <w:pPr>
              <w:pStyle w:val="14"/>
            </w:pPr>
          </w:p>
        </w:tc>
        <w:tc>
          <w:tcPr>
            <w:tcW w:w="3402" w:type="dxa"/>
            <w:vAlign w:val="center"/>
          </w:tcPr>
          <w:p w14:paraId="740403E6">
            <w:pPr>
              <w:pStyle w:val="13"/>
            </w:pPr>
            <w:r>
              <w:t>二十三、灾害防治及应急管理支出</w:t>
            </w:r>
          </w:p>
        </w:tc>
        <w:tc>
          <w:tcPr>
            <w:tcW w:w="1474" w:type="dxa"/>
            <w:vAlign w:val="center"/>
          </w:tcPr>
          <w:p w14:paraId="4546DDB7">
            <w:pPr>
              <w:pStyle w:val="14"/>
            </w:pPr>
          </w:p>
        </w:tc>
        <w:tc>
          <w:tcPr>
            <w:tcW w:w="1474" w:type="dxa"/>
            <w:vAlign w:val="center"/>
          </w:tcPr>
          <w:p w14:paraId="3EDF4C90">
            <w:pPr>
              <w:pStyle w:val="14"/>
            </w:pPr>
          </w:p>
        </w:tc>
        <w:tc>
          <w:tcPr>
            <w:tcW w:w="1474" w:type="dxa"/>
            <w:vAlign w:val="center"/>
          </w:tcPr>
          <w:p w14:paraId="391D24C5">
            <w:pPr>
              <w:pStyle w:val="14"/>
            </w:pPr>
          </w:p>
        </w:tc>
        <w:tc>
          <w:tcPr>
            <w:tcW w:w="1474" w:type="dxa"/>
            <w:vAlign w:val="center"/>
          </w:tcPr>
          <w:p w14:paraId="01F69261">
            <w:pPr>
              <w:pStyle w:val="14"/>
            </w:pPr>
          </w:p>
        </w:tc>
      </w:tr>
      <w:tr w14:paraId="75373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615EB">
            <w:pPr>
              <w:pStyle w:val="12"/>
            </w:pPr>
            <w:r>
              <w:t>24</w:t>
            </w:r>
          </w:p>
        </w:tc>
        <w:tc>
          <w:tcPr>
            <w:tcW w:w="3402" w:type="dxa"/>
            <w:vAlign w:val="center"/>
          </w:tcPr>
          <w:p w14:paraId="7EE21B28">
            <w:pPr>
              <w:pStyle w:val="13"/>
            </w:pPr>
          </w:p>
        </w:tc>
        <w:tc>
          <w:tcPr>
            <w:tcW w:w="1474" w:type="dxa"/>
            <w:vAlign w:val="center"/>
          </w:tcPr>
          <w:p w14:paraId="234F3A0E">
            <w:pPr>
              <w:pStyle w:val="14"/>
            </w:pPr>
          </w:p>
        </w:tc>
        <w:tc>
          <w:tcPr>
            <w:tcW w:w="3402" w:type="dxa"/>
            <w:vAlign w:val="center"/>
          </w:tcPr>
          <w:p w14:paraId="2682BE31">
            <w:pPr>
              <w:pStyle w:val="13"/>
            </w:pPr>
            <w:r>
              <w:t>二十四、预备费</w:t>
            </w:r>
          </w:p>
        </w:tc>
        <w:tc>
          <w:tcPr>
            <w:tcW w:w="1474" w:type="dxa"/>
            <w:vAlign w:val="center"/>
          </w:tcPr>
          <w:p w14:paraId="3F8A5EC1">
            <w:pPr>
              <w:pStyle w:val="14"/>
            </w:pPr>
          </w:p>
        </w:tc>
        <w:tc>
          <w:tcPr>
            <w:tcW w:w="1474" w:type="dxa"/>
            <w:vAlign w:val="center"/>
          </w:tcPr>
          <w:p w14:paraId="5BF9179A">
            <w:pPr>
              <w:pStyle w:val="14"/>
            </w:pPr>
          </w:p>
        </w:tc>
        <w:tc>
          <w:tcPr>
            <w:tcW w:w="1474" w:type="dxa"/>
            <w:vAlign w:val="center"/>
          </w:tcPr>
          <w:p w14:paraId="4695F5B8">
            <w:pPr>
              <w:pStyle w:val="14"/>
            </w:pPr>
          </w:p>
        </w:tc>
        <w:tc>
          <w:tcPr>
            <w:tcW w:w="1474" w:type="dxa"/>
            <w:vAlign w:val="center"/>
          </w:tcPr>
          <w:p w14:paraId="6CCFE97C">
            <w:pPr>
              <w:pStyle w:val="14"/>
            </w:pPr>
          </w:p>
        </w:tc>
      </w:tr>
      <w:tr w14:paraId="2F4ED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280B2">
            <w:pPr>
              <w:pStyle w:val="12"/>
            </w:pPr>
            <w:r>
              <w:t>25</w:t>
            </w:r>
          </w:p>
        </w:tc>
        <w:tc>
          <w:tcPr>
            <w:tcW w:w="3402" w:type="dxa"/>
            <w:vAlign w:val="center"/>
          </w:tcPr>
          <w:p w14:paraId="0785F1C7">
            <w:pPr>
              <w:pStyle w:val="13"/>
            </w:pPr>
          </w:p>
        </w:tc>
        <w:tc>
          <w:tcPr>
            <w:tcW w:w="1474" w:type="dxa"/>
            <w:vAlign w:val="center"/>
          </w:tcPr>
          <w:p w14:paraId="0D951066">
            <w:pPr>
              <w:pStyle w:val="14"/>
            </w:pPr>
          </w:p>
        </w:tc>
        <w:tc>
          <w:tcPr>
            <w:tcW w:w="3402" w:type="dxa"/>
            <w:vAlign w:val="center"/>
          </w:tcPr>
          <w:p w14:paraId="444EE6E2">
            <w:pPr>
              <w:pStyle w:val="13"/>
            </w:pPr>
            <w:r>
              <w:t>二十五、其他支出</w:t>
            </w:r>
          </w:p>
        </w:tc>
        <w:tc>
          <w:tcPr>
            <w:tcW w:w="1474" w:type="dxa"/>
            <w:vAlign w:val="center"/>
          </w:tcPr>
          <w:p w14:paraId="2461E137">
            <w:pPr>
              <w:pStyle w:val="14"/>
            </w:pPr>
          </w:p>
        </w:tc>
        <w:tc>
          <w:tcPr>
            <w:tcW w:w="1474" w:type="dxa"/>
            <w:vAlign w:val="center"/>
          </w:tcPr>
          <w:p w14:paraId="069CA4AA">
            <w:pPr>
              <w:pStyle w:val="14"/>
            </w:pPr>
          </w:p>
        </w:tc>
        <w:tc>
          <w:tcPr>
            <w:tcW w:w="1474" w:type="dxa"/>
            <w:vAlign w:val="center"/>
          </w:tcPr>
          <w:p w14:paraId="5BF5C0FC">
            <w:pPr>
              <w:pStyle w:val="14"/>
            </w:pPr>
          </w:p>
        </w:tc>
        <w:tc>
          <w:tcPr>
            <w:tcW w:w="1474" w:type="dxa"/>
            <w:vAlign w:val="center"/>
          </w:tcPr>
          <w:p w14:paraId="6C015E02">
            <w:pPr>
              <w:pStyle w:val="14"/>
            </w:pPr>
          </w:p>
        </w:tc>
      </w:tr>
      <w:tr w14:paraId="276A8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1485C">
            <w:pPr>
              <w:pStyle w:val="12"/>
            </w:pPr>
            <w:r>
              <w:t>26</w:t>
            </w:r>
          </w:p>
        </w:tc>
        <w:tc>
          <w:tcPr>
            <w:tcW w:w="3402" w:type="dxa"/>
            <w:vAlign w:val="center"/>
          </w:tcPr>
          <w:p w14:paraId="637C851B">
            <w:pPr>
              <w:pStyle w:val="13"/>
            </w:pPr>
          </w:p>
        </w:tc>
        <w:tc>
          <w:tcPr>
            <w:tcW w:w="1474" w:type="dxa"/>
            <w:vAlign w:val="center"/>
          </w:tcPr>
          <w:p w14:paraId="3397CB43">
            <w:pPr>
              <w:pStyle w:val="14"/>
            </w:pPr>
          </w:p>
        </w:tc>
        <w:tc>
          <w:tcPr>
            <w:tcW w:w="3402" w:type="dxa"/>
            <w:vAlign w:val="center"/>
          </w:tcPr>
          <w:p w14:paraId="6F5CAF51">
            <w:pPr>
              <w:pStyle w:val="13"/>
            </w:pPr>
            <w:r>
              <w:t>二十六、转移性支出</w:t>
            </w:r>
          </w:p>
        </w:tc>
        <w:tc>
          <w:tcPr>
            <w:tcW w:w="1474" w:type="dxa"/>
            <w:vAlign w:val="center"/>
          </w:tcPr>
          <w:p w14:paraId="7D223E09">
            <w:pPr>
              <w:pStyle w:val="14"/>
            </w:pPr>
          </w:p>
        </w:tc>
        <w:tc>
          <w:tcPr>
            <w:tcW w:w="1474" w:type="dxa"/>
            <w:vAlign w:val="center"/>
          </w:tcPr>
          <w:p w14:paraId="5BDDEEA1">
            <w:pPr>
              <w:pStyle w:val="14"/>
            </w:pPr>
          </w:p>
        </w:tc>
        <w:tc>
          <w:tcPr>
            <w:tcW w:w="1474" w:type="dxa"/>
            <w:vAlign w:val="center"/>
          </w:tcPr>
          <w:p w14:paraId="6B31F92E">
            <w:pPr>
              <w:pStyle w:val="14"/>
            </w:pPr>
          </w:p>
        </w:tc>
        <w:tc>
          <w:tcPr>
            <w:tcW w:w="1474" w:type="dxa"/>
            <w:vAlign w:val="center"/>
          </w:tcPr>
          <w:p w14:paraId="7D63D1AB">
            <w:pPr>
              <w:pStyle w:val="14"/>
            </w:pPr>
          </w:p>
        </w:tc>
      </w:tr>
      <w:tr w14:paraId="506CB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EE85A">
            <w:pPr>
              <w:pStyle w:val="12"/>
            </w:pPr>
            <w:r>
              <w:t>27</w:t>
            </w:r>
          </w:p>
        </w:tc>
        <w:tc>
          <w:tcPr>
            <w:tcW w:w="3402" w:type="dxa"/>
            <w:vAlign w:val="center"/>
          </w:tcPr>
          <w:p w14:paraId="2A27A436">
            <w:pPr>
              <w:pStyle w:val="13"/>
            </w:pPr>
          </w:p>
        </w:tc>
        <w:tc>
          <w:tcPr>
            <w:tcW w:w="1474" w:type="dxa"/>
            <w:vAlign w:val="center"/>
          </w:tcPr>
          <w:p w14:paraId="48EBA04E">
            <w:pPr>
              <w:pStyle w:val="14"/>
            </w:pPr>
          </w:p>
        </w:tc>
        <w:tc>
          <w:tcPr>
            <w:tcW w:w="3402" w:type="dxa"/>
            <w:vAlign w:val="center"/>
          </w:tcPr>
          <w:p w14:paraId="767A0F71">
            <w:pPr>
              <w:pStyle w:val="13"/>
            </w:pPr>
            <w:r>
              <w:t>二十七、债务还本支出</w:t>
            </w:r>
          </w:p>
        </w:tc>
        <w:tc>
          <w:tcPr>
            <w:tcW w:w="1474" w:type="dxa"/>
            <w:vAlign w:val="center"/>
          </w:tcPr>
          <w:p w14:paraId="4FF8F46E">
            <w:pPr>
              <w:pStyle w:val="14"/>
            </w:pPr>
          </w:p>
        </w:tc>
        <w:tc>
          <w:tcPr>
            <w:tcW w:w="1474" w:type="dxa"/>
            <w:vAlign w:val="center"/>
          </w:tcPr>
          <w:p w14:paraId="50383EFB">
            <w:pPr>
              <w:pStyle w:val="14"/>
            </w:pPr>
          </w:p>
        </w:tc>
        <w:tc>
          <w:tcPr>
            <w:tcW w:w="1474" w:type="dxa"/>
            <w:vAlign w:val="center"/>
          </w:tcPr>
          <w:p w14:paraId="49F117DF">
            <w:pPr>
              <w:pStyle w:val="14"/>
            </w:pPr>
          </w:p>
        </w:tc>
        <w:tc>
          <w:tcPr>
            <w:tcW w:w="1474" w:type="dxa"/>
            <w:vAlign w:val="center"/>
          </w:tcPr>
          <w:p w14:paraId="4F69688F">
            <w:pPr>
              <w:pStyle w:val="14"/>
            </w:pPr>
          </w:p>
        </w:tc>
      </w:tr>
      <w:tr w14:paraId="6ABD3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379D0">
            <w:pPr>
              <w:pStyle w:val="12"/>
            </w:pPr>
            <w:r>
              <w:t>28</w:t>
            </w:r>
          </w:p>
        </w:tc>
        <w:tc>
          <w:tcPr>
            <w:tcW w:w="3402" w:type="dxa"/>
            <w:vAlign w:val="center"/>
          </w:tcPr>
          <w:p w14:paraId="00E8121C">
            <w:pPr>
              <w:pStyle w:val="13"/>
            </w:pPr>
          </w:p>
        </w:tc>
        <w:tc>
          <w:tcPr>
            <w:tcW w:w="1474" w:type="dxa"/>
            <w:vAlign w:val="center"/>
          </w:tcPr>
          <w:p w14:paraId="10A595A1">
            <w:pPr>
              <w:pStyle w:val="14"/>
            </w:pPr>
          </w:p>
        </w:tc>
        <w:tc>
          <w:tcPr>
            <w:tcW w:w="3402" w:type="dxa"/>
            <w:vAlign w:val="center"/>
          </w:tcPr>
          <w:p w14:paraId="52218A7C">
            <w:pPr>
              <w:pStyle w:val="13"/>
            </w:pPr>
            <w:r>
              <w:t>二十八、债务付息支出</w:t>
            </w:r>
          </w:p>
        </w:tc>
        <w:tc>
          <w:tcPr>
            <w:tcW w:w="1474" w:type="dxa"/>
            <w:vAlign w:val="center"/>
          </w:tcPr>
          <w:p w14:paraId="56344D15">
            <w:pPr>
              <w:pStyle w:val="14"/>
            </w:pPr>
          </w:p>
        </w:tc>
        <w:tc>
          <w:tcPr>
            <w:tcW w:w="1474" w:type="dxa"/>
            <w:vAlign w:val="center"/>
          </w:tcPr>
          <w:p w14:paraId="7C04DEB3">
            <w:pPr>
              <w:pStyle w:val="14"/>
            </w:pPr>
          </w:p>
        </w:tc>
        <w:tc>
          <w:tcPr>
            <w:tcW w:w="1474" w:type="dxa"/>
            <w:vAlign w:val="center"/>
          </w:tcPr>
          <w:p w14:paraId="68DF0DFF">
            <w:pPr>
              <w:pStyle w:val="14"/>
            </w:pPr>
          </w:p>
        </w:tc>
        <w:tc>
          <w:tcPr>
            <w:tcW w:w="1474" w:type="dxa"/>
            <w:vAlign w:val="center"/>
          </w:tcPr>
          <w:p w14:paraId="2B0C5F7C">
            <w:pPr>
              <w:pStyle w:val="14"/>
            </w:pPr>
          </w:p>
        </w:tc>
      </w:tr>
      <w:tr w14:paraId="080FC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26E46">
            <w:pPr>
              <w:pStyle w:val="12"/>
            </w:pPr>
            <w:r>
              <w:t>29</w:t>
            </w:r>
          </w:p>
        </w:tc>
        <w:tc>
          <w:tcPr>
            <w:tcW w:w="3402" w:type="dxa"/>
            <w:vAlign w:val="center"/>
          </w:tcPr>
          <w:p w14:paraId="387FE542">
            <w:pPr>
              <w:pStyle w:val="13"/>
            </w:pPr>
          </w:p>
        </w:tc>
        <w:tc>
          <w:tcPr>
            <w:tcW w:w="1474" w:type="dxa"/>
            <w:vAlign w:val="center"/>
          </w:tcPr>
          <w:p w14:paraId="6AD616FC">
            <w:pPr>
              <w:pStyle w:val="14"/>
            </w:pPr>
          </w:p>
        </w:tc>
        <w:tc>
          <w:tcPr>
            <w:tcW w:w="3402" w:type="dxa"/>
            <w:vAlign w:val="center"/>
          </w:tcPr>
          <w:p w14:paraId="2ED7A325">
            <w:pPr>
              <w:pStyle w:val="13"/>
            </w:pPr>
            <w:r>
              <w:t>二十九、债务发行费用支出</w:t>
            </w:r>
          </w:p>
        </w:tc>
        <w:tc>
          <w:tcPr>
            <w:tcW w:w="1474" w:type="dxa"/>
            <w:vAlign w:val="center"/>
          </w:tcPr>
          <w:p w14:paraId="215822CE">
            <w:pPr>
              <w:pStyle w:val="14"/>
            </w:pPr>
          </w:p>
        </w:tc>
        <w:tc>
          <w:tcPr>
            <w:tcW w:w="1474" w:type="dxa"/>
            <w:vAlign w:val="center"/>
          </w:tcPr>
          <w:p w14:paraId="43B9DC32">
            <w:pPr>
              <w:pStyle w:val="14"/>
            </w:pPr>
          </w:p>
        </w:tc>
        <w:tc>
          <w:tcPr>
            <w:tcW w:w="1474" w:type="dxa"/>
            <w:vAlign w:val="center"/>
          </w:tcPr>
          <w:p w14:paraId="316A36D6">
            <w:pPr>
              <w:pStyle w:val="14"/>
            </w:pPr>
          </w:p>
        </w:tc>
        <w:tc>
          <w:tcPr>
            <w:tcW w:w="1474" w:type="dxa"/>
            <w:vAlign w:val="center"/>
          </w:tcPr>
          <w:p w14:paraId="63967305">
            <w:pPr>
              <w:pStyle w:val="14"/>
            </w:pPr>
          </w:p>
        </w:tc>
      </w:tr>
      <w:tr w14:paraId="30398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1D99C">
            <w:pPr>
              <w:pStyle w:val="12"/>
            </w:pPr>
            <w:r>
              <w:t>30</w:t>
            </w:r>
          </w:p>
        </w:tc>
        <w:tc>
          <w:tcPr>
            <w:tcW w:w="3402" w:type="dxa"/>
            <w:vAlign w:val="center"/>
          </w:tcPr>
          <w:p w14:paraId="20BF63C8">
            <w:pPr>
              <w:pStyle w:val="13"/>
            </w:pPr>
          </w:p>
        </w:tc>
        <w:tc>
          <w:tcPr>
            <w:tcW w:w="1474" w:type="dxa"/>
            <w:vAlign w:val="center"/>
          </w:tcPr>
          <w:p w14:paraId="3712AAA1">
            <w:pPr>
              <w:pStyle w:val="14"/>
            </w:pPr>
          </w:p>
        </w:tc>
        <w:tc>
          <w:tcPr>
            <w:tcW w:w="3402" w:type="dxa"/>
            <w:vAlign w:val="center"/>
          </w:tcPr>
          <w:p w14:paraId="1BFEB4D6">
            <w:pPr>
              <w:pStyle w:val="13"/>
            </w:pPr>
            <w:r>
              <w:t>三十、抗疫特别国债安排的支出</w:t>
            </w:r>
          </w:p>
        </w:tc>
        <w:tc>
          <w:tcPr>
            <w:tcW w:w="1474" w:type="dxa"/>
            <w:vAlign w:val="center"/>
          </w:tcPr>
          <w:p w14:paraId="0D94C5C7">
            <w:pPr>
              <w:pStyle w:val="14"/>
            </w:pPr>
          </w:p>
        </w:tc>
        <w:tc>
          <w:tcPr>
            <w:tcW w:w="1474" w:type="dxa"/>
            <w:vAlign w:val="center"/>
          </w:tcPr>
          <w:p w14:paraId="530D1F4B">
            <w:pPr>
              <w:pStyle w:val="14"/>
            </w:pPr>
          </w:p>
        </w:tc>
        <w:tc>
          <w:tcPr>
            <w:tcW w:w="1474" w:type="dxa"/>
            <w:vAlign w:val="center"/>
          </w:tcPr>
          <w:p w14:paraId="29054562">
            <w:pPr>
              <w:pStyle w:val="14"/>
            </w:pPr>
          </w:p>
        </w:tc>
        <w:tc>
          <w:tcPr>
            <w:tcW w:w="1474" w:type="dxa"/>
            <w:vAlign w:val="center"/>
          </w:tcPr>
          <w:p w14:paraId="478C0525">
            <w:pPr>
              <w:pStyle w:val="14"/>
            </w:pPr>
          </w:p>
        </w:tc>
      </w:tr>
      <w:tr w14:paraId="070B9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65030">
            <w:pPr>
              <w:pStyle w:val="12"/>
            </w:pPr>
            <w:r>
              <w:t>31</w:t>
            </w:r>
          </w:p>
        </w:tc>
        <w:tc>
          <w:tcPr>
            <w:tcW w:w="3402" w:type="dxa"/>
            <w:vAlign w:val="center"/>
          </w:tcPr>
          <w:p w14:paraId="2D3FB754">
            <w:pPr>
              <w:pStyle w:val="13"/>
            </w:pPr>
          </w:p>
        </w:tc>
        <w:tc>
          <w:tcPr>
            <w:tcW w:w="1474" w:type="dxa"/>
            <w:vAlign w:val="center"/>
          </w:tcPr>
          <w:p w14:paraId="4E19F34B">
            <w:pPr>
              <w:pStyle w:val="14"/>
            </w:pPr>
          </w:p>
        </w:tc>
        <w:tc>
          <w:tcPr>
            <w:tcW w:w="3402" w:type="dxa"/>
            <w:vAlign w:val="center"/>
          </w:tcPr>
          <w:p w14:paraId="03E0C7ED">
            <w:pPr>
              <w:pStyle w:val="13"/>
            </w:pPr>
            <w:r>
              <w:t>三十一、人行科目</w:t>
            </w:r>
          </w:p>
        </w:tc>
        <w:tc>
          <w:tcPr>
            <w:tcW w:w="1474" w:type="dxa"/>
            <w:vAlign w:val="center"/>
          </w:tcPr>
          <w:p w14:paraId="4F18C872">
            <w:pPr>
              <w:pStyle w:val="14"/>
            </w:pPr>
          </w:p>
        </w:tc>
        <w:tc>
          <w:tcPr>
            <w:tcW w:w="1474" w:type="dxa"/>
            <w:vAlign w:val="center"/>
          </w:tcPr>
          <w:p w14:paraId="49FC75B2">
            <w:pPr>
              <w:pStyle w:val="14"/>
            </w:pPr>
          </w:p>
        </w:tc>
        <w:tc>
          <w:tcPr>
            <w:tcW w:w="1474" w:type="dxa"/>
            <w:vAlign w:val="center"/>
          </w:tcPr>
          <w:p w14:paraId="2C03127F">
            <w:pPr>
              <w:pStyle w:val="14"/>
            </w:pPr>
          </w:p>
        </w:tc>
        <w:tc>
          <w:tcPr>
            <w:tcW w:w="1474" w:type="dxa"/>
            <w:vAlign w:val="center"/>
          </w:tcPr>
          <w:p w14:paraId="38065D86">
            <w:pPr>
              <w:pStyle w:val="14"/>
            </w:pPr>
          </w:p>
        </w:tc>
      </w:tr>
      <w:tr w14:paraId="6009B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88163">
            <w:pPr>
              <w:pStyle w:val="12"/>
            </w:pPr>
            <w:r>
              <w:t>32</w:t>
            </w:r>
          </w:p>
        </w:tc>
        <w:tc>
          <w:tcPr>
            <w:tcW w:w="3402" w:type="dxa"/>
            <w:vAlign w:val="center"/>
          </w:tcPr>
          <w:p w14:paraId="6695C8EE">
            <w:pPr>
              <w:pStyle w:val="15"/>
            </w:pPr>
            <w:r>
              <w:t>本年收入合计</w:t>
            </w:r>
          </w:p>
        </w:tc>
        <w:tc>
          <w:tcPr>
            <w:tcW w:w="1474" w:type="dxa"/>
            <w:vAlign w:val="center"/>
          </w:tcPr>
          <w:p w14:paraId="05BD3DAF">
            <w:pPr>
              <w:pStyle w:val="16"/>
            </w:pPr>
            <w:r>
              <w:t>5298.37</w:t>
            </w:r>
          </w:p>
        </w:tc>
        <w:tc>
          <w:tcPr>
            <w:tcW w:w="3402" w:type="dxa"/>
            <w:vAlign w:val="center"/>
          </w:tcPr>
          <w:p w14:paraId="239C4A02">
            <w:pPr>
              <w:pStyle w:val="15"/>
            </w:pPr>
            <w:r>
              <w:t>本年支出合计</w:t>
            </w:r>
          </w:p>
        </w:tc>
        <w:tc>
          <w:tcPr>
            <w:tcW w:w="1474" w:type="dxa"/>
            <w:vAlign w:val="center"/>
          </w:tcPr>
          <w:p w14:paraId="7E2FCCED">
            <w:pPr>
              <w:pStyle w:val="16"/>
            </w:pPr>
            <w:r>
              <w:t>5484.84</w:t>
            </w:r>
          </w:p>
        </w:tc>
        <w:tc>
          <w:tcPr>
            <w:tcW w:w="1474" w:type="dxa"/>
            <w:vAlign w:val="center"/>
          </w:tcPr>
          <w:p w14:paraId="5020DCAB">
            <w:pPr>
              <w:pStyle w:val="16"/>
            </w:pPr>
            <w:r>
              <w:t>5484.84</w:t>
            </w:r>
          </w:p>
        </w:tc>
        <w:tc>
          <w:tcPr>
            <w:tcW w:w="1474" w:type="dxa"/>
            <w:vAlign w:val="center"/>
          </w:tcPr>
          <w:p w14:paraId="2662FA3E">
            <w:pPr>
              <w:pStyle w:val="16"/>
            </w:pPr>
          </w:p>
        </w:tc>
        <w:tc>
          <w:tcPr>
            <w:tcW w:w="1474" w:type="dxa"/>
            <w:vAlign w:val="center"/>
          </w:tcPr>
          <w:p w14:paraId="5D92E184">
            <w:pPr>
              <w:pStyle w:val="16"/>
            </w:pPr>
          </w:p>
        </w:tc>
      </w:tr>
      <w:tr w14:paraId="3F035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8205F">
            <w:pPr>
              <w:pStyle w:val="12"/>
            </w:pPr>
            <w:r>
              <w:t>33</w:t>
            </w:r>
          </w:p>
        </w:tc>
        <w:tc>
          <w:tcPr>
            <w:tcW w:w="3402" w:type="dxa"/>
            <w:vAlign w:val="center"/>
          </w:tcPr>
          <w:p w14:paraId="63050B31">
            <w:pPr>
              <w:pStyle w:val="13"/>
            </w:pPr>
            <w:r>
              <w:t>年初财政拨款结转和结余</w:t>
            </w:r>
          </w:p>
        </w:tc>
        <w:tc>
          <w:tcPr>
            <w:tcW w:w="1474" w:type="dxa"/>
            <w:vAlign w:val="center"/>
          </w:tcPr>
          <w:p w14:paraId="7AA23211">
            <w:pPr>
              <w:pStyle w:val="14"/>
            </w:pPr>
            <w:r>
              <w:t>186.47</w:t>
            </w:r>
          </w:p>
        </w:tc>
        <w:tc>
          <w:tcPr>
            <w:tcW w:w="3402" w:type="dxa"/>
            <w:vAlign w:val="center"/>
          </w:tcPr>
          <w:p w14:paraId="797A3003">
            <w:pPr>
              <w:pStyle w:val="13"/>
            </w:pPr>
            <w:r>
              <w:t>年末财政拨款结转和结余</w:t>
            </w:r>
          </w:p>
        </w:tc>
        <w:tc>
          <w:tcPr>
            <w:tcW w:w="1474" w:type="dxa"/>
            <w:vAlign w:val="center"/>
          </w:tcPr>
          <w:p w14:paraId="79E2D25E">
            <w:pPr>
              <w:pStyle w:val="14"/>
            </w:pPr>
          </w:p>
        </w:tc>
        <w:tc>
          <w:tcPr>
            <w:tcW w:w="1474" w:type="dxa"/>
            <w:vAlign w:val="center"/>
          </w:tcPr>
          <w:p w14:paraId="45754320">
            <w:pPr>
              <w:pStyle w:val="14"/>
            </w:pPr>
          </w:p>
        </w:tc>
        <w:tc>
          <w:tcPr>
            <w:tcW w:w="1474" w:type="dxa"/>
            <w:vAlign w:val="center"/>
          </w:tcPr>
          <w:p w14:paraId="55567AAF">
            <w:pPr>
              <w:pStyle w:val="14"/>
            </w:pPr>
          </w:p>
        </w:tc>
        <w:tc>
          <w:tcPr>
            <w:tcW w:w="1474" w:type="dxa"/>
            <w:vAlign w:val="center"/>
          </w:tcPr>
          <w:p w14:paraId="21CA542E">
            <w:pPr>
              <w:pStyle w:val="14"/>
            </w:pPr>
          </w:p>
        </w:tc>
      </w:tr>
      <w:tr w14:paraId="0D7E5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FA945">
            <w:pPr>
              <w:pStyle w:val="12"/>
            </w:pPr>
            <w:r>
              <w:t>34</w:t>
            </w:r>
          </w:p>
        </w:tc>
        <w:tc>
          <w:tcPr>
            <w:tcW w:w="3402" w:type="dxa"/>
            <w:vAlign w:val="center"/>
          </w:tcPr>
          <w:p w14:paraId="76F40A77">
            <w:pPr>
              <w:pStyle w:val="13"/>
            </w:pPr>
            <w:r>
              <w:t>一、一般公共预算拨款</w:t>
            </w:r>
          </w:p>
        </w:tc>
        <w:tc>
          <w:tcPr>
            <w:tcW w:w="1474" w:type="dxa"/>
            <w:vAlign w:val="center"/>
          </w:tcPr>
          <w:p w14:paraId="4413D003">
            <w:pPr>
              <w:pStyle w:val="14"/>
            </w:pPr>
            <w:r>
              <w:t>186.47</w:t>
            </w:r>
          </w:p>
        </w:tc>
        <w:tc>
          <w:tcPr>
            <w:tcW w:w="3402" w:type="dxa"/>
            <w:vAlign w:val="center"/>
          </w:tcPr>
          <w:p w14:paraId="7566A2E9">
            <w:pPr>
              <w:pStyle w:val="13"/>
            </w:pPr>
          </w:p>
        </w:tc>
        <w:tc>
          <w:tcPr>
            <w:tcW w:w="1474" w:type="dxa"/>
            <w:vAlign w:val="center"/>
          </w:tcPr>
          <w:p w14:paraId="0B1129CF">
            <w:pPr>
              <w:pStyle w:val="14"/>
            </w:pPr>
          </w:p>
        </w:tc>
        <w:tc>
          <w:tcPr>
            <w:tcW w:w="1474" w:type="dxa"/>
            <w:vAlign w:val="center"/>
          </w:tcPr>
          <w:p w14:paraId="7829FA89">
            <w:pPr>
              <w:pStyle w:val="14"/>
            </w:pPr>
          </w:p>
        </w:tc>
        <w:tc>
          <w:tcPr>
            <w:tcW w:w="1474" w:type="dxa"/>
            <w:vAlign w:val="center"/>
          </w:tcPr>
          <w:p w14:paraId="59FD239A">
            <w:pPr>
              <w:pStyle w:val="14"/>
            </w:pPr>
          </w:p>
        </w:tc>
        <w:tc>
          <w:tcPr>
            <w:tcW w:w="1474" w:type="dxa"/>
            <w:vAlign w:val="center"/>
          </w:tcPr>
          <w:p w14:paraId="491FEC45">
            <w:pPr>
              <w:pStyle w:val="14"/>
            </w:pPr>
          </w:p>
        </w:tc>
      </w:tr>
      <w:tr w14:paraId="40051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D3BAB">
            <w:pPr>
              <w:pStyle w:val="12"/>
            </w:pPr>
            <w:r>
              <w:t>35</w:t>
            </w:r>
          </w:p>
        </w:tc>
        <w:tc>
          <w:tcPr>
            <w:tcW w:w="3402" w:type="dxa"/>
            <w:vAlign w:val="center"/>
          </w:tcPr>
          <w:p w14:paraId="1C6250C9">
            <w:pPr>
              <w:pStyle w:val="13"/>
            </w:pPr>
            <w:r>
              <w:t>二、政府性基金预算拨款</w:t>
            </w:r>
          </w:p>
        </w:tc>
        <w:tc>
          <w:tcPr>
            <w:tcW w:w="1474" w:type="dxa"/>
            <w:vAlign w:val="center"/>
          </w:tcPr>
          <w:p w14:paraId="39DF7441">
            <w:pPr>
              <w:pStyle w:val="14"/>
            </w:pPr>
          </w:p>
        </w:tc>
        <w:tc>
          <w:tcPr>
            <w:tcW w:w="3402" w:type="dxa"/>
            <w:vAlign w:val="center"/>
          </w:tcPr>
          <w:p w14:paraId="68EB7BD1">
            <w:pPr>
              <w:pStyle w:val="13"/>
            </w:pPr>
          </w:p>
        </w:tc>
        <w:tc>
          <w:tcPr>
            <w:tcW w:w="1474" w:type="dxa"/>
            <w:vAlign w:val="center"/>
          </w:tcPr>
          <w:p w14:paraId="34CED5A4">
            <w:pPr>
              <w:pStyle w:val="14"/>
            </w:pPr>
          </w:p>
        </w:tc>
        <w:tc>
          <w:tcPr>
            <w:tcW w:w="1474" w:type="dxa"/>
            <w:vAlign w:val="center"/>
          </w:tcPr>
          <w:p w14:paraId="5BF7EAD2">
            <w:pPr>
              <w:pStyle w:val="14"/>
            </w:pPr>
          </w:p>
        </w:tc>
        <w:tc>
          <w:tcPr>
            <w:tcW w:w="1474" w:type="dxa"/>
            <w:vAlign w:val="center"/>
          </w:tcPr>
          <w:p w14:paraId="52E60256">
            <w:pPr>
              <w:pStyle w:val="14"/>
            </w:pPr>
          </w:p>
        </w:tc>
        <w:tc>
          <w:tcPr>
            <w:tcW w:w="1474" w:type="dxa"/>
            <w:vAlign w:val="center"/>
          </w:tcPr>
          <w:p w14:paraId="1C1E8484">
            <w:pPr>
              <w:pStyle w:val="14"/>
            </w:pPr>
          </w:p>
        </w:tc>
      </w:tr>
      <w:tr w14:paraId="7A376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CD814">
            <w:pPr>
              <w:pStyle w:val="12"/>
            </w:pPr>
            <w:r>
              <w:t>36</w:t>
            </w:r>
          </w:p>
        </w:tc>
        <w:tc>
          <w:tcPr>
            <w:tcW w:w="3402" w:type="dxa"/>
            <w:vAlign w:val="center"/>
          </w:tcPr>
          <w:p w14:paraId="5EA48050">
            <w:pPr>
              <w:pStyle w:val="13"/>
            </w:pPr>
            <w:r>
              <w:t>三、国有资本经营预算拨款</w:t>
            </w:r>
          </w:p>
        </w:tc>
        <w:tc>
          <w:tcPr>
            <w:tcW w:w="1474" w:type="dxa"/>
            <w:vAlign w:val="center"/>
          </w:tcPr>
          <w:p w14:paraId="1E43B97D">
            <w:pPr>
              <w:pStyle w:val="14"/>
            </w:pPr>
          </w:p>
        </w:tc>
        <w:tc>
          <w:tcPr>
            <w:tcW w:w="3402" w:type="dxa"/>
            <w:vAlign w:val="center"/>
          </w:tcPr>
          <w:p w14:paraId="380B9624">
            <w:pPr>
              <w:pStyle w:val="13"/>
            </w:pPr>
          </w:p>
        </w:tc>
        <w:tc>
          <w:tcPr>
            <w:tcW w:w="1474" w:type="dxa"/>
            <w:vAlign w:val="center"/>
          </w:tcPr>
          <w:p w14:paraId="204C4860">
            <w:pPr>
              <w:pStyle w:val="14"/>
            </w:pPr>
          </w:p>
        </w:tc>
        <w:tc>
          <w:tcPr>
            <w:tcW w:w="1474" w:type="dxa"/>
            <w:vAlign w:val="center"/>
          </w:tcPr>
          <w:p w14:paraId="1CC7CF58">
            <w:pPr>
              <w:pStyle w:val="14"/>
            </w:pPr>
          </w:p>
        </w:tc>
        <w:tc>
          <w:tcPr>
            <w:tcW w:w="1474" w:type="dxa"/>
            <w:vAlign w:val="center"/>
          </w:tcPr>
          <w:p w14:paraId="0E34187D">
            <w:pPr>
              <w:pStyle w:val="14"/>
            </w:pPr>
          </w:p>
        </w:tc>
        <w:tc>
          <w:tcPr>
            <w:tcW w:w="1474" w:type="dxa"/>
            <w:vAlign w:val="center"/>
          </w:tcPr>
          <w:p w14:paraId="24AA8FE0">
            <w:pPr>
              <w:pStyle w:val="14"/>
            </w:pPr>
          </w:p>
        </w:tc>
      </w:tr>
      <w:tr w14:paraId="1A7FF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0BC8D">
            <w:pPr>
              <w:pStyle w:val="12"/>
            </w:pPr>
            <w:r>
              <w:t>37</w:t>
            </w:r>
          </w:p>
        </w:tc>
        <w:tc>
          <w:tcPr>
            <w:tcW w:w="3402" w:type="dxa"/>
            <w:vAlign w:val="center"/>
          </w:tcPr>
          <w:p w14:paraId="76041885">
            <w:pPr>
              <w:pStyle w:val="15"/>
            </w:pPr>
            <w:r>
              <w:t>收入总计</w:t>
            </w:r>
          </w:p>
        </w:tc>
        <w:tc>
          <w:tcPr>
            <w:tcW w:w="1474" w:type="dxa"/>
            <w:vAlign w:val="center"/>
          </w:tcPr>
          <w:p w14:paraId="1FAF987F">
            <w:pPr>
              <w:pStyle w:val="16"/>
            </w:pPr>
            <w:r>
              <w:t>5484.84</w:t>
            </w:r>
          </w:p>
        </w:tc>
        <w:tc>
          <w:tcPr>
            <w:tcW w:w="3402" w:type="dxa"/>
            <w:vAlign w:val="center"/>
          </w:tcPr>
          <w:p w14:paraId="4D2E8FD5">
            <w:pPr>
              <w:pStyle w:val="15"/>
            </w:pPr>
            <w:r>
              <w:t>支出总计</w:t>
            </w:r>
          </w:p>
        </w:tc>
        <w:tc>
          <w:tcPr>
            <w:tcW w:w="1474" w:type="dxa"/>
            <w:vAlign w:val="center"/>
          </w:tcPr>
          <w:p w14:paraId="54B815BF">
            <w:pPr>
              <w:pStyle w:val="16"/>
            </w:pPr>
            <w:r>
              <w:t>5484.84</w:t>
            </w:r>
          </w:p>
        </w:tc>
        <w:tc>
          <w:tcPr>
            <w:tcW w:w="1474" w:type="dxa"/>
            <w:vAlign w:val="center"/>
          </w:tcPr>
          <w:p w14:paraId="78A51C79">
            <w:pPr>
              <w:pStyle w:val="16"/>
            </w:pPr>
            <w:r>
              <w:t>5484.84</w:t>
            </w:r>
          </w:p>
        </w:tc>
        <w:tc>
          <w:tcPr>
            <w:tcW w:w="1474" w:type="dxa"/>
            <w:vAlign w:val="center"/>
          </w:tcPr>
          <w:p w14:paraId="591674D6">
            <w:pPr>
              <w:pStyle w:val="16"/>
            </w:pPr>
          </w:p>
        </w:tc>
        <w:tc>
          <w:tcPr>
            <w:tcW w:w="1474" w:type="dxa"/>
            <w:vAlign w:val="center"/>
          </w:tcPr>
          <w:p w14:paraId="3FFBD456">
            <w:pPr>
              <w:pStyle w:val="16"/>
            </w:pPr>
          </w:p>
        </w:tc>
      </w:tr>
    </w:tbl>
    <w:p w14:paraId="506C0742">
      <w:pPr>
        <w:sectPr>
          <w:pgSz w:w="16840" w:h="11900" w:orient="landscape"/>
          <w:pgMar w:top="1361" w:right="1020" w:bottom="1134" w:left="1020" w:header="720" w:footer="720" w:gutter="0"/>
          <w:cols w:space="720" w:num="1"/>
        </w:sectPr>
      </w:pPr>
    </w:p>
    <w:p w14:paraId="310834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C3F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CD257E">
            <w:pPr>
              <w:pStyle w:val="8"/>
            </w:pPr>
            <w:r>
              <w:t>360003河北隆尧第一中学</w:t>
            </w:r>
          </w:p>
        </w:tc>
        <w:tc>
          <w:tcPr>
            <w:tcW w:w="2551" w:type="dxa"/>
            <w:tcBorders>
              <w:top w:val="single" w:color="FFFFFF" w:sz="6" w:space="0"/>
              <w:left w:val="single" w:color="FFFFFF" w:sz="6" w:space="0"/>
              <w:right w:val="single" w:color="FFFFFF" w:sz="6" w:space="0"/>
            </w:tcBorders>
            <w:vAlign w:val="center"/>
          </w:tcPr>
          <w:p w14:paraId="1C7B19D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6A401AD">
            <w:pPr>
              <w:pStyle w:val="10"/>
            </w:pPr>
            <w:r>
              <w:t>单位：万元</w:t>
            </w:r>
          </w:p>
        </w:tc>
      </w:tr>
      <w:tr w14:paraId="6869D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219A80">
            <w:pPr>
              <w:pStyle w:val="11"/>
            </w:pPr>
            <w:r>
              <w:t>序号</w:t>
            </w:r>
          </w:p>
        </w:tc>
        <w:tc>
          <w:tcPr>
            <w:tcW w:w="5726" w:type="dxa"/>
            <w:gridSpan w:val="2"/>
            <w:vAlign w:val="center"/>
          </w:tcPr>
          <w:p w14:paraId="0B4BFFF8">
            <w:pPr>
              <w:pStyle w:val="11"/>
            </w:pPr>
            <w:r>
              <w:t>功能分类科目</w:t>
            </w:r>
          </w:p>
        </w:tc>
        <w:tc>
          <w:tcPr>
            <w:tcW w:w="2551" w:type="dxa"/>
            <w:vMerge w:val="restart"/>
            <w:vAlign w:val="center"/>
          </w:tcPr>
          <w:p w14:paraId="5A5B8783">
            <w:pPr>
              <w:pStyle w:val="11"/>
            </w:pPr>
            <w:r>
              <w:t>合计</w:t>
            </w:r>
          </w:p>
        </w:tc>
        <w:tc>
          <w:tcPr>
            <w:tcW w:w="2551" w:type="dxa"/>
            <w:vMerge w:val="restart"/>
            <w:vAlign w:val="center"/>
          </w:tcPr>
          <w:p w14:paraId="3E23C98E">
            <w:pPr>
              <w:pStyle w:val="11"/>
            </w:pPr>
            <w:r>
              <w:t>基本支出</w:t>
            </w:r>
          </w:p>
        </w:tc>
        <w:tc>
          <w:tcPr>
            <w:tcW w:w="2551" w:type="dxa"/>
            <w:vMerge w:val="restart"/>
            <w:vAlign w:val="center"/>
          </w:tcPr>
          <w:p w14:paraId="13901228">
            <w:pPr>
              <w:pStyle w:val="11"/>
            </w:pPr>
            <w:r>
              <w:t>项目支出</w:t>
            </w:r>
          </w:p>
        </w:tc>
      </w:tr>
      <w:tr w14:paraId="378D6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02C7D1"/>
        </w:tc>
        <w:tc>
          <w:tcPr>
            <w:tcW w:w="1191" w:type="dxa"/>
            <w:vAlign w:val="center"/>
          </w:tcPr>
          <w:p w14:paraId="3CD181F0">
            <w:pPr>
              <w:pStyle w:val="11"/>
            </w:pPr>
            <w:r>
              <w:t>科目编码</w:t>
            </w:r>
          </w:p>
        </w:tc>
        <w:tc>
          <w:tcPr>
            <w:tcW w:w="4535" w:type="dxa"/>
            <w:vAlign w:val="center"/>
          </w:tcPr>
          <w:p w14:paraId="6A5D7AD5">
            <w:pPr>
              <w:pStyle w:val="11"/>
            </w:pPr>
            <w:r>
              <w:t>科目名称</w:t>
            </w:r>
          </w:p>
        </w:tc>
        <w:tc>
          <w:tcPr>
            <w:tcW w:w="2551" w:type="dxa"/>
            <w:vMerge w:val="continue"/>
          </w:tcPr>
          <w:p w14:paraId="62C6F02F"/>
        </w:tc>
        <w:tc>
          <w:tcPr>
            <w:tcW w:w="2551" w:type="dxa"/>
            <w:vMerge w:val="continue"/>
          </w:tcPr>
          <w:p w14:paraId="06AA4A99"/>
        </w:tc>
        <w:tc>
          <w:tcPr>
            <w:tcW w:w="2551" w:type="dxa"/>
            <w:vMerge w:val="continue"/>
          </w:tcPr>
          <w:p w14:paraId="55D37D7A"/>
        </w:tc>
      </w:tr>
      <w:tr w14:paraId="43C1B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61E572">
            <w:pPr>
              <w:pStyle w:val="11"/>
            </w:pPr>
            <w:r>
              <w:t>栏次</w:t>
            </w:r>
          </w:p>
        </w:tc>
        <w:tc>
          <w:tcPr>
            <w:tcW w:w="1191" w:type="dxa"/>
            <w:vAlign w:val="center"/>
          </w:tcPr>
          <w:p w14:paraId="111B060E">
            <w:pPr>
              <w:pStyle w:val="11"/>
            </w:pPr>
            <w:r>
              <w:t>1</w:t>
            </w:r>
          </w:p>
        </w:tc>
        <w:tc>
          <w:tcPr>
            <w:tcW w:w="4535" w:type="dxa"/>
            <w:vAlign w:val="center"/>
          </w:tcPr>
          <w:p w14:paraId="2B8E2DCE">
            <w:pPr>
              <w:pStyle w:val="11"/>
            </w:pPr>
            <w:r>
              <w:t>2</w:t>
            </w:r>
          </w:p>
        </w:tc>
        <w:tc>
          <w:tcPr>
            <w:tcW w:w="2551" w:type="dxa"/>
            <w:vAlign w:val="center"/>
          </w:tcPr>
          <w:p w14:paraId="3311B26B">
            <w:pPr>
              <w:pStyle w:val="11"/>
            </w:pPr>
            <w:r>
              <w:t>3</w:t>
            </w:r>
          </w:p>
        </w:tc>
        <w:tc>
          <w:tcPr>
            <w:tcW w:w="2551" w:type="dxa"/>
            <w:vAlign w:val="center"/>
          </w:tcPr>
          <w:p w14:paraId="68FA4C0D">
            <w:pPr>
              <w:pStyle w:val="11"/>
            </w:pPr>
            <w:r>
              <w:t>4</w:t>
            </w:r>
          </w:p>
        </w:tc>
        <w:tc>
          <w:tcPr>
            <w:tcW w:w="2551" w:type="dxa"/>
            <w:vAlign w:val="center"/>
          </w:tcPr>
          <w:p w14:paraId="786FC1F5">
            <w:pPr>
              <w:pStyle w:val="11"/>
            </w:pPr>
            <w:r>
              <w:t>5</w:t>
            </w:r>
          </w:p>
        </w:tc>
      </w:tr>
      <w:tr w14:paraId="6FD24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2567F">
            <w:pPr>
              <w:pStyle w:val="12"/>
            </w:pPr>
            <w:r>
              <w:t>1</w:t>
            </w:r>
          </w:p>
        </w:tc>
        <w:tc>
          <w:tcPr>
            <w:tcW w:w="1191" w:type="dxa"/>
            <w:vAlign w:val="center"/>
          </w:tcPr>
          <w:p w14:paraId="4CB56CDE">
            <w:pPr>
              <w:pStyle w:val="17"/>
            </w:pPr>
          </w:p>
        </w:tc>
        <w:tc>
          <w:tcPr>
            <w:tcW w:w="4535" w:type="dxa"/>
            <w:vAlign w:val="center"/>
          </w:tcPr>
          <w:p w14:paraId="307F8CCE">
            <w:pPr>
              <w:pStyle w:val="15"/>
            </w:pPr>
            <w:r>
              <w:t>合计</w:t>
            </w:r>
          </w:p>
        </w:tc>
        <w:tc>
          <w:tcPr>
            <w:tcW w:w="2551" w:type="dxa"/>
            <w:vAlign w:val="center"/>
          </w:tcPr>
          <w:p w14:paraId="1AA2A17E">
            <w:pPr>
              <w:pStyle w:val="16"/>
            </w:pPr>
            <w:r>
              <w:t>5484.84</w:t>
            </w:r>
          </w:p>
        </w:tc>
        <w:tc>
          <w:tcPr>
            <w:tcW w:w="2551" w:type="dxa"/>
            <w:vAlign w:val="center"/>
          </w:tcPr>
          <w:p w14:paraId="353633C1">
            <w:pPr>
              <w:pStyle w:val="16"/>
            </w:pPr>
            <w:r>
              <w:t>4275.60</w:t>
            </w:r>
          </w:p>
        </w:tc>
        <w:tc>
          <w:tcPr>
            <w:tcW w:w="2551" w:type="dxa"/>
            <w:vAlign w:val="center"/>
          </w:tcPr>
          <w:p w14:paraId="600C9272">
            <w:pPr>
              <w:pStyle w:val="16"/>
            </w:pPr>
            <w:r>
              <w:t>1209.24</w:t>
            </w:r>
          </w:p>
        </w:tc>
      </w:tr>
      <w:tr w14:paraId="043BF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F0313">
            <w:pPr>
              <w:pStyle w:val="12"/>
            </w:pPr>
            <w:r>
              <w:t>2</w:t>
            </w:r>
          </w:p>
        </w:tc>
        <w:tc>
          <w:tcPr>
            <w:tcW w:w="1191" w:type="dxa"/>
            <w:vAlign w:val="center"/>
          </w:tcPr>
          <w:p w14:paraId="0DCCF143">
            <w:pPr>
              <w:pStyle w:val="13"/>
            </w:pPr>
            <w:r>
              <w:t>205</w:t>
            </w:r>
          </w:p>
        </w:tc>
        <w:tc>
          <w:tcPr>
            <w:tcW w:w="4535" w:type="dxa"/>
            <w:vAlign w:val="center"/>
          </w:tcPr>
          <w:p w14:paraId="40D3E7C3">
            <w:pPr>
              <w:pStyle w:val="13"/>
            </w:pPr>
            <w:r>
              <w:t>教育支出</w:t>
            </w:r>
          </w:p>
        </w:tc>
        <w:tc>
          <w:tcPr>
            <w:tcW w:w="2551" w:type="dxa"/>
            <w:vAlign w:val="center"/>
          </w:tcPr>
          <w:p w14:paraId="151B22FC">
            <w:pPr>
              <w:pStyle w:val="14"/>
            </w:pPr>
            <w:r>
              <w:t>5474.99</w:t>
            </w:r>
          </w:p>
        </w:tc>
        <w:tc>
          <w:tcPr>
            <w:tcW w:w="2551" w:type="dxa"/>
            <w:vAlign w:val="center"/>
          </w:tcPr>
          <w:p w14:paraId="1C4A0E73">
            <w:pPr>
              <w:pStyle w:val="14"/>
            </w:pPr>
            <w:r>
              <w:t>4265.75</w:t>
            </w:r>
          </w:p>
        </w:tc>
        <w:tc>
          <w:tcPr>
            <w:tcW w:w="2551" w:type="dxa"/>
            <w:vAlign w:val="center"/>
          </w:tcPr>
          <w:p w14:paraId="789D9C49">
            <w:pPr>
              <w:pStyle w:val="14"/>
            </w:pPr>
            <w:r>
              <w:t>1209.24</w:t>
            </w:r>
          </w:p>
        </w:tc>
      </w:tr>
      <w:tr w14:paraId="68B1C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BEE5F">
            <w:pPr>
              <w:pStyle w:val="12"/>
            </w:pPr>
            <w:r>
              <w:t>3</w:t>
            </w:r>
          </w:p>
        </w:tc>
        <w:tc>
          <w:tcPr>
            <w:tcW w:w="1191" w:type="dxa"/>
            <w:vAlign w:val="center"/>
          </w:tcPr>
          <w:p w14:paraId="2FCE51D3">
            <w:pPr>
              <w:pStyle w:val="13"/>
            </w:pPr>
            <w:r>
              <w:t>20502</w:t>
            </w:r>
          </w:p>
        </w:tc>
        <w:tc>
          <w:tcPr>
            <w:tcW w:w="4535" w:type="dxa"/>
            <w:vAlign w:val="center"/>
          </w:tcPr>
          <w:p w14:paraId="259E9D6A">
            <w:pPr>
              <w:pStyle w:val="13"/>
            </w:pPr>
            <w:r>
              <w:t>普通教育</w:t>
            </w:r>
          </w:p>
        </w:tc>
        <w:tc>
          <w:tcPr>
            <w:tcW w:w="2551" w:type="dxa"/>
            <w:vAlign w:val="center"/>
          </w:tcPr>
          <w:p w14:paraId="05D25B35">
            <w:pPr>
              <w:pStyle w:val="14"/>
            </w:pPr>
            <w:r>
              <w:t>5474.99</w:t>
            </w:r>
          </w:p>
        </w:tc>
        <w:tc>
          <w:tcPr>
            <w:tcW w:w="2551" w:type="dxa"/>
            <w:vAlign w:val="center"/>
          </w:tcPr>
          <w:p w14:paraId="4F0B60AE">
            <w:pPr>
              <w:pStyle w:val="14"/>
            </w:pPr>
            <w:r>
              <w:t>4265.75</w:t>
            </w:r>
          </w:p>
        </w:tc>
        <w:tc>
          <w:tcPr>
            <w:tcW w:w="2551" w:type="dxa"/>
            <w:vAlign w:val="center"/>
          </w:tcPr>
          <w:p w14:paraId="67EB23EB">
            <w:pPr>
              <w:pStyle w:val="14"/>
            </w:pPr>
            <w:r>
              <w:t>1209.24</w:t>
            </w:r>
          </w:p>
        </w:tc>
      </w:tr>
      <w:tr w14:paraId="18132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326E8">
            <w:pPr>
              <w:pStyle w:val="12"/>
            </w:pPr>
            <w:r>
              <w:t>4</w:t>
            </w:r>
          </w:p>
        </w:tc>
        <w:tc>
          <w:tcPr>
            <w:tcW w:w="1191" w:type="dxa"/>
            <w:vAlign w:val="center"/>
          </w:tcPr>
          <w:p w14:paraId="06AC51C2">
            <w:pPr>
              <w:pStyle w:val="13"/>
            </w:pPr>
            <w:r>
              <w:t>2050204</w:t>
            </w:r>
          </w:p>
        </w:tc>
        <w:tc>
          <w:tcPr>
            <w:tcW w:w="4535" w:type="dxa"/>
            <w:vAlign w:val="center"/>
          </w:tcPr>
          <w:p w14:paraId="3CD8395B">
            <w:pPr>
              <w:pStyle w:val="13"/>
            </w:pPr>
            <w:r>
              <w:t>高中教育</w:t>
            </w:r>
          </w:p>
        </w:tc>
        <w:tc>
          <w:tcPr>
            <w:tcW w:w="2551" w:type="dxa"/>
            <w:vAlign w:val="center"/>
          </w:tcPr>
          <w:p w14:paraId="39D3B866">
            <w:pPr>
              <w:pStyle w:val="14"/>
            </w:pPr>
            <w:r>
              <w:t>5474.99</w:t>
            </w:r>
          </w:p>
        </w:tc>
        <w:tc>
          <w:tcPr>
            <w:tcW w:w="2551" w:type="dxa"/>
            <w:vAlign w:val="center"/>
          </w:tcPr>
          <w:p w14:paraId="3284BCB5">
            <w:pPr>
              <w:pStyle w:val="14"/>
            </w:pPr>
            <w:r>
              <w:t>4265.75</w:t>
            </w:r>
          </w:p>
        </w:tc>
        <w:tc>
          <w:tcPr>
            <w:tcW w:w="2551" w:type="dxa"/>
            <w:vAlign w:val="center"/>
          </w:tcPr>
          <w:p w14:paraId="39EAB5D9">
            <w:pPr>
              <w:pStyle w:val="14"/>
            </w:pPr>
            <w:r>
              <w:t>1209.24</w:t>
            </w:r>
          </w:p>
        </w:tc>
      </w:tr>
      <w:tr w14:paraId="463FA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88770">
            <w:pPr>
              <w:pStyle w:val="12"/>
            </w:pPr>
            <w:r>
              <w:t>5</w:t>
            </w:r>
          </w:p>
        </w:tc>
        <w:tc>
          <w:tcPr>
            <w:tcW w:w="1191" w:type="dxa"/>
            <w:vAlign w:val="center"/>
          </w:tcPr>
          <w:p w14:paraId="651B2869">
            <w:pPr>
              <w:pStyle w:val="13"/>
            </w:pPr>
            <w:r>
              <w:t>208</w:t>
            </w:r>
          </w:p>
        </w:tc>
        <w:tc>
          <w:tcPr>
            <w:tcW w:w="4535" w:type="dxa"/>
            <w:vAlign w:val="center"/>
          </w:tcPr>
          <w:p w14:paraId="3421312F">
            <w:pPr>
              <w:pStyle w:val="13"/>
            </w:pPr>
            <w:r>
              <w:t>社会保障和就业支出</w:t>
            </w:r>
          </w:p>
        </w:tc>
        <w:tc>
          <w:tcPr>
            <w:tcW w:w="2551" w:type="dxa"/>
            <w:vAlign w:val="center"/>
          </w:tcPr>
          <w:p w14:paraId="5AB2B896">
            <w:pPr>
              <w:pStyle w:val="14"/>
            </w:pPr>
            <w:r>
              <w:t>9.85</w:t>
            </w:r>
          </w:p>
        </w:tc>
        <w:tc>
          <w:tcPr>
            <w:tcW w:w="2551" w:type="dxa"/>
            <w:vAlign w:val="center"/>
          </w:tcPr>
          <w:p w14:paraId="1330D150">
            <w:pPr>
              <w:pStyle w:val="14"/>
            </w:pPr>
            <w:r>
              <w:t>9.85</w:t>
            </w:r>
          </w:p>
        </w:tc>
        <w:tc>
          <w:tcPr>
            <w:tcW w:w="2551" w:type="dxa"/>
            <w:vAlign w:val="center"/>
          </w:tcPr>
          <w:p w14:paraId="1EF7F72A">
            <w:pPr>
              <w:pStyle w:val="14"/>
            </w:pPr>
          </w:p>
        </w:tc>
      </w:tr>
      <w:tr w14:paraId="681B6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49C25">
            <w:pPr>
              <w:pStyle w:val="12"/>
            </w:pPr>
            <w:r>
              <w:t>6</w:t>
            </w:r>
          </w:p>
        </w:tc>
        <w:tc>
          <w:tcPr>
            <w:tcW w:w="1191" w:type="dxa"/>
            <w:vAlign w:val="center"/>
          </w:tcPr>
          <w:p w14:paraId="68B3C21D">
            <w:pPr>
              <w:pStyle w:val="13"/>
            </w:pPr>
            <w:r>
              <w:t>20805</w:t>
            </w:r>
          </w:p>
        </w:tc>
        <w:tc>
          <w:tcPr>
            <w:tcW w:w="4535" w:type="dxa"/>
            <w:vAlign w:val="center"/>
          </w:tcPr>
          <w:p w14:paraId="2F9CB297">
            <w:pPr>
              <w:pStyle w:val="13"/>
            </w:pPr>
            <w:r>
              <w:t>行政事业单位养老支出</w:t>
            </w:r>
          </w:p>
        </w:tc>
        <w:tc>
          <w:tcPr>
            <w:tcW w:w="2551" w:type="dxa"/>
            <w:vAlign w:val="center"/>
          </w:tcPr>
          <w:p w14:paraId="5BAF86B5">
            <w:pPr>
              <w:pStyle w:val="14"/>
            </w:pPr>
            <w:r>
              <w:t>9.85</w:t>
            </w:r>
          </w:p>
        </w:tc>
        <w:tc>
          <w:tcPr>
            <w:tcW w:w="2551" w:type="dxa"/>
            <w:vAlign w:val="center"/>
          </w:tcPr>
          <w:p w14:paraId="6C7291B7">
            <w:pPr>
              <w:pStyle w:val="14"/>
            </w:pPr>
            <w:r>
              <w:t>9.85</w:t>
            </w:r>
          </w:p>
        </w:tc>
        <w:tc>
          <w:tcPr>
            <w:tcW w:w="2551" w:type="dxa"/>
            <w:vAlign w:val="center"/>
          </w:tcPr>
          <w:p w14:paraId="095C96D0">
            <w:pPr>
              <w:pStyle w:val="14"/>
            </w:pPr>
          </w:p>
        </w:tc>
      </w:tr>
      <w:tr w14:paraId="1E0D1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FAB8D">
            <w:pPr>
              <w:pStyle w:val="12"/>
            </w:pPr>
            <w:r>
              <w:t>7</w:t>
            </w:r>
          </w:p>
        </w:tc>
        <w:tc>
          <w:tcPr>
            <w:tcW w:w="1191" w:type="dxa"/>
            <w:vAlign w:val="center"/>
          </w:tcPr>
          <w:p w14:paraId="3BFE4FAE">
            <w:pPr>
              <w:pStyle w:val="13"/>
            </w:pPr>
            <w:r>
              <w:t>2080502</w:t>
            </w:r>
          </w:p>
        </w:tc>
        <w:tc>
          <w:tcPr>
            <w:tcW w:w="4535" w:type="dxa"/>
            <w:vAlign w:val="center"/>
          </w:tcPr>
          <w:p w14:paraId="7CFE1D58">
            <w:pPr>
              <w:pStyle w:val="13"/>
            </w:pPr>
            <w:r>
              <w:t>事业单位离退休</w:t>
            </w:r>
          </w:p>
        </w:tc>
        <w:tc>
          <w:tcPr>
            <w:tcW w:w="2551" w:type="dxa"/>
            <w:vAlign w:val="center"/>
          </w:tcPr>
          <w:p w14:paraId="0D9A3D4E">
            <w:pPr>
              <w:pStyle w:val="14"/>
            </w:pPr>
            <w:r>
              <w:t>9.85</w:t>
            </w:r>
          </w:p>
        </w:tc>
        <w:tc>
          <w:tcPr>
            <w:tcW w:w="2551" w:type="dxa"/>
            <w:vAlign w:val="center"/>
          </w:tcPr>
          <w:p w14:paraId="05F261D4">
            <w:pPr>
              <w:pStyle w:val="14"/>
            </w:pPr>
            <w:r>
              <w:t>9.85</w:t>
            </w:r>
          </w:p>
        </w:tc>
        <w:tc>
          <w:tcPr>
            <w:tcW w:w="2551" w:type="dxa"/>
            <w:vAlign w:val="center"/>
          </w:tcPr>
          <w:p w14:paraId="6A3FB8E4">
            <w:pPr>
              <w:pStyle w:val="14"/>
            </w:pPr>
          </w:p>
        </w:tc>
      </w:tr>
    </w:tbl>
    <w:p w14:paraId="7E88AD7D">
      <w:pPr>
        <w:sectPr>
          <w:pgSz w:w="16840" w:h="11900" w:orient="landscape"/>
          <w:pgMar w:top="1361" w:right="1020" w:bottom="1134" w:left="1020" w:header="720" w:footer="720" w:gutter="0"/>
          <w:cols w:space="720" w:num="1"/>
        </w:sectPr>
      </w:pPr>
    </w:p>
    <w:p w14:paraId="60CD2A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B1F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15A59C">
            <w:pPr>
              <w:pStyle w:val="8"/>
            </w:pPr>
            <w:r>
              <w:t>360003河北隆尧第一中学</w:t>
            </w:r>
          </w:p>
        </w:tc>
        <w:tc>
          <w:tcPr>
            <w:tcW w:w="2551" w:type="dxa"/>
            <w:tcBorders>
              <w:top w:val="single" w:color="FFFFFF" w:sz="6" w:space="0"/>
              <w:left w:val="single" w:color="FFFFFF" w:sz="6" w:space="0"/>
              <w:right w:val="single" w:color="FFFFFF" w:sz="6" w:space="0"/>
            </w:tcBorders>
            <w:vAlign w:val="center"/>
          </w:tcPr>
          <w:p w14:paraId="61ADCCD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D45AE64">
            <w:pPr>
              <w:pStyle w:val="10"/>
            </w:pPr>
            <w:r>
              <w:t>单位：万元</w:t>
            </w:r>
          </w:p>
        </w:tc>
      </w:tr>
      <w:tr w14:paraId="39E37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80D0F">
            <w:pPr>
              <w:pStyle w:val="11"/>
            </w:pPr>
            <w:r>
              <w:t>序号</w:t>
            </w:r>
          </w:p>
        </w:tc>
        <w:tc>
          <w:tcPr>
            <w:tcW w:w="5726" w:type="dxa"/>
            <w:gridSpan w:val="2"/>
            <w:vAlign w:val="center"/>
          </w:tcPr>
          <w:p w14:paraId="1061B93F">
            <w:pPr>
              <w:pStyle w:val="11"/>
            </w:pPr>
            <w:r>
              <w:t>支出部门经济分类科目</w:t>
            </w:r>
          </w:p>
        </w:tc>
        <w:tc>
          <w:tcPr>
            <w:tcW w:w="7653" w:type="dxa"/>
            <w:gridSpan w:val="3"/>
            <w:vAlign w:val="center"/>
          </w:tcPr>
          <w:p w14:paraId="1D519322">
            <w:pPr>
              <w:pStyle w:val="11"/>
            </w:pPr>
            <w:r>
              <w:t>一般公共预算基本支出</w:t>
            </w:r>
          </w:p>
        </w:tc>
      </w:tr>
      <w:tr w14:paraId="0D82D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283C9"/>
        </w:tc>
        <w:tc>
          <w:tcPr>
            <w:tcW w:w="1191" w:type="dxa"/>
            <w:vAlign w:val="center"/>
          </w:tcPr>
          <w:p w14:paraId="4AD01ABE">
            <w:pPr>
              <w:pStyle w:val="11"/>
            </w:pPr>
            <w:r>
              <w:t>科目编码</w:t>
            </w:r>
          </w:p>
        </w:tc>
        <w:tc>
          <w:tcPr>
            <w:tcW w:w="4535" w:type="dxa"/>
            <w:vAlign w:val="center"/>
          </w:tcPr>
          <w:p w14:paraId="5299498F">
            <w:pPr>
              <w:pStyle w:val="11"/>
            </w:pPr>
            <w:r>
              <w:t>科目名称</w:t>
            </w:r>
          </w:p>
        </w:tc>
        <w:tc>
          <w:tcPr>
            <w:tcW w:w="2551" w:type="dxa"/>
            <w:vAlign w:val="center"/>
          </w:tcPr>
          <w:p w14:paraId="557C7EB9">
            <w:pPr>
              <w:pStyle w:val="11"/>
            </w:pPr>
            <w:r>
              <w:t>合计</w:t>
            </w:r>
          </w:p>
        </w:tc>
        <w:tc>
          <w:tcPr>
            <w:tcW w:w="2551" w:type="dxa"/>
            <w:vAlign w:val="center"/>
          </w:tcPr>
          <w:p w14:paraId="59A1635B">
            <w:pPr>
              <w:pStyle w:val="11"/>
            </w:pPr>
            <w:r>
              <w:t>人员经费</w:t>
            </w:r>
          </w:p>
        </w:tc>
        <w:tc>
          <w:tcPr>
            <w:tcW w:w="2551" w:type="dxa"/>
            <w:vAlign w:val="center"/>
          </w:tcPr>
          <w:p w14:paraId="2FCA1021">
            <w:pPr>
              <w:pStyle w:val="11"/>
            </w:pPr>
            <w:r>
              <w:t>公用经费</w:t>
            </w:r>
          </w:p>
        </w:tc>
      </w:tr>
      <w:tr w14:paraId="7F546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8343B8">
            <w:pPr>
              <w:pStyle w:val="11"/>
            </w:pPr>
            <w:r>
              <w:t>栏次</w:t>
            </w:r>
          </w:p>
        </w:tc>
        <w:tc>
          <w:tcPr>
            <w:tcW w:w="1191" w:type="dxa"/>
            <w:vAlign w:val="center"/>
          </w:tcPr>
          <w:p w14:paraId="20571149">
            <w:pPr>
              <w:pStyle w:val="11"/>
            </w:pPr>
            <w:r>
              <w:t>1</w:t>
            </w:r>
          </w:p>
        </w:tc>
        <w:tc>
          <w:tcPr>
            <w:tcW w:w="4535" w:type="dxa"/>
            <w:vAlign w:val="center"/>
          </w:tcPr>
          <w:p w14:paraId="70D2F0CA">
            <w:pPr>
              <w:pStyle w:val="11"/>
            </w:pPr>
            <w:r>
              <w:t>2</w:t>
            </w:r>
          </w:p>
        </w:tc>
        <w:tc>
          <w:tcPr>
            <w:tcW w:w="2551" w:type="dxa"/>
            <w:vAlign w:val="center"/>
          </w:tcPr>
          <w:p w14:paraId="7D68CBE8">
            <w:pPr>
              <w:pStyle w:val="11"/>
            </w:pPr>
            <w:r>
              <w:t>3</w:t>
            </w:r>
          </w:p>
        </w:tc>
        <w:tc>
          <w:tcPr>
            <w:tcW w:w="2551" w:type="dxa"/>
            <w:vAlign w:val="center"/>
          </w:tcPr>
          <w:p w14:paraId="4CA03D96">
            <w:pPr>
              <w:pStyle w:val="11"/>
            </w:pPr>
            <w:r>
              <w:t>4</w:t>
            </w:r>
          </w:p>
        </w:tc>
        <w:tc>
          <w:tcPr>
            <w:tcW w:w="2551" w:type="dxa"/>
            <w:vAlign w:val="center"/>
          </w:tcPr>
          <w:p w14:paraId="512444BC">
            <w:pPr>
              <w:pStyle w:val="11"/>
            </w:pPr>
            <w:r>
              <w:t>5</w:t>
            </w:r>
          </w:p>
        </w:tc>
      </w:tr>
      <w:tr w14:paraId="30AB6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9E811">
            <w:pPr>
              <w:pStyle w:val="12"/>
            </w:pPr>
            <w:r>
              <w:t>1</w:t>
            </w:r>
          </w:p>
        </w:tc>
        <w:tc>
          <w:tcPr>
            <w:tcW w:w="1191" w:type="dxa"/>
            <w:vAlign w:val="center"/>
          </w:tcPr>
          <w:p w14:paraId="5E59462E">
            <w:pPr>
              <w:pStyle w:val="17"/>
            </w:pPr>
          </w:p>
        </w:tc>
        <w:tc>
          <w:tcPr>
            <w:tcW w:w="4535" w:type="dxa"/>
            <w:vAlign w:val="center"/>
          </w:tcPr>
          <w:p w14:paraId="18FEE342">
            <w:pPr>
              <w:pStyle w:val="15"/>
            </w:pPr>
            <w:r>
              <w:t>合计</w:t>
            </w:r>
          </w:p>
        </w:tc>
        <w:tc>
          <w:tcPr>
            <w:tcW w:w="2551" w:type="dxa"/>
            <w:vAlign w:val="center"/>
          </w:tcPr>
          <w:p w14:paraId="37F1E098">
            <w:pPr>
              <w:pStyle w:val="16"/>
            </w:pPr>
            <w:r>
              <w:t>4275.60</w:t>
            </w:r>
          </w:p>
        </w:tc>
        <w:tc>
          <w:tcPr>
            <w:tcW w:w="2551" w:type="dxa"/>
            <w:vAlign w:val="center"/>
          </w:tcPr>
          <w:p w14:paraId="731DD9E6">
            <w:pPr>
              <w:pStyle w:val="16"/>
            </w:pPr>
            <w:r>
              <w:t>4275.60</w:t>
            </w:r>
          </w:p>
        </w:tc>
        <w:tc>
          <w:tcPr>
            <w:tcW w:w="2551" w:type="dxa"/>
            <w:vAlign w:val="center"/>
          </w:tcPr>
          <w:p w14:paraId="06D770FE">
            <w:pPr>
              <w:pStyle w:val="16"/>
            </w:pPr>
          </w:p>
        </w:tc>
      </w:tr>
      <w:tr w14:paraId="7B4C1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41C77">
            <w:pPr>
              <w:pStyle w:val="12"/>
            </w:pPr>
            <w:r>
              <w:t>2</w:t>
            </w:r>
          </w:p>
        </w:tc>
        <w:tc>
          <w:tcPr>
            <w:tcW w:w="1191" w:type="dxa"/>
            <w:vAlign w:val="center"/>
          </w:tcPr>
          <w:p w14:paraId="3FF684D8">
            <w:pPr>
              <w:pStyle w:val="13"/>
            </w:pPr>
            <w:r>
              <w:t>301</w:t>
            </w:r>
          </w:p>
        </w:tc>
        <w:tc>
          <w:tcPr>
            <w:tcW w:w="4535" w:type="dxa"/>
            <w:vAlign w:val="center"/>
          </w:tcPr>
          <w:p w14:paraId="16F89549">
            <w:pPr>
              <w:pStyle w:val="13"/>
            </w:pPr>
            <w:r>
              <w:t>工资福利支出</w:t>
            </w:r>
          </w:p>
        </w:tc>
        <w:tc>
          <w:tcPr>
            <w:tcW w:w="2551" w:type="dxa"/>
            <w:vAlign w:val="center"/>
          </w:tcPr>
          <w:p w14:paraId="0E7992A3">
            <w:pPr>
              <w:pStyle w:val="14"/>
            </w:pPr>
            <w:r>
              <w:t>4144.08</w:t>
            </w:r>
          </w:p>
        </w:tc>
        <w:tc>
          <w:tcPr>
            <w:tcW w:w="2551" w:type="dxa"/>
            <w:vAlign w:val="center"/>
          </w:tcPr>
          <w:p w14:paraId="2E57B930">
            <w:pPr>
              <w:pStyle w:val="14"/>
            </w:pPr>
            <w:r>
              <w:t>4144.08</w:t>
            </w:r>
          </w:p>
        </w:tc>
        <w:tc>
          <w:tcPr>
            <w:tcW w:w="2551" w:type="dxa"/>
            <w:vAlign w:val="center"/>
          </w:tcPr>
          <w:p w14:paraId="22BE3E37">
            <w:pPr>
              <w:pStyle w:val="14"/>
            </w:pPr>
          </w:p>
        </w:tc>
      </w:tr>
      <w:tr w14:paraId="0598B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A33C7">
            <w:pPr>
              <w:pStyle w:val="12"/>
            </w:pPr>
            <w:r>
              <w:t>3</w:t>
            </w:r>
          </w:p>
        </w:tc>
        <w:tc>
          <w:tcPr>
            <w:tcW w:w="1191" w:type="dxa"/>
            <w:vAlign w:val="center"/>
          </w:tcPr>
          <w:p w14:paraId="665F0E5B">
            <w:pPr>
              <w:pStyle w:val="13"/>
            </w:pPr>
            <w:r>
              <w:t>30101</w:t>
            </w:r>
          </w:p>
        </w:tc>
        <w:tc>
          <w:tcPr>
            <w:tcW w:w="4535" w:type="dxa"/>
            <w:vAlign w:val="center"/>
          </w:tcPr>
          <w:p w14:paraId="6FEA5DA8">
            <w:pPr>
              <w:pStyle w:val="13"/>
            </w:pPr>
            <w:r>
              <w:t>基本工资</w:t>
            </w:r>
          </w:p>
        </w:tc>
        <w:tc>
          <w:tcPr>
            <w:tcW w:w="2551" w:type="dxa"/>
            <w:vAlign w:val="center"/>
          </w:tcPr>
          <w:p w14:paraId="405543D4">
            <w:pPr>
              <w:pStyle w:val="14"/>
            </w:pPr>
            <w:r>
              <w:t>2064.08</w:t>
            </w:r>
          </w:p>
        </w:tc>
        <w:tc>
          <w:tcPr>
            <w:tcW w:w="2551" w:type="dxa"/>
            <w:vAlign w:val="center"/>
          </w:tcPr>
          <w:p w14:paraId="10CEAC9F">
            <w:pPr>
              <w:pStyle w:val="14"/>
            </w:pPr>
            <w:r>
              <w:t>2064.08</w:t>
            </w:r>
          </w:p>
        </w:tc>
        <w:tc>
          <w:tcPr>
            <w:tcW w:w="2551" w:type="dxa"/>
            <w:vAlign w:val="center"/>
          </w:tcPr>
          <w:p w14:paraId="170A25E9">
            <w:pPr>
              <w:pStyle w:val="14"/>
            </w:pPr>
          </w:p>
        </w:tc>
      </w:tr>
      <w:tr w14:paraId="446CB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D21BF">
            <w:pPr>
              <w:pStyle w:val="12"/>
            </w:pPr>
            <w:r>
              <w:t>4</w:t>
            </w:r>
          </w:p>
        </w:tc>
        <w:tc>
          <w:tcPr>
            <w:tcW w:w="1191" w:type="dxa"/>
            <w:vAlign w:val="center"/>
          </w:tcPr>
          <w:p w14:paraId="27E3F002">
            <w:pPr>
              <w:pStyle w:val="13"/>
            </w:pPr>
            <w:r>
              <w:t>30102</w:t>
            </w:r>
          </w:p>
        </w:tc>
        <w:tc>
          <w:tcPr>
            <w:tcW w:w="4535" w:type="dxa"/>
            <w:vAlign w:val="center"/>
          </w:tcPr>
          <w:p w14:paraId="210DE71D">
            <w:pPr>
              <w:pStyle w:val="13"/>
            </w:pPr>
            <w:r>
              <w:t>津贴补贴</w:t>
            </w:r>
          </w:p>
        </w:tc>
        <w:tc>
          <w:tcPr>
            <w:tcW w:w="2551" w:type="dxa"/>
            <w:vAlign w:val="center"/>
          </w:tcPr>
          <w:p w14:paraId="7DD8DF11">
            <w:pPr>
              <w:pStyle w:val="14"/>
            </w:pPr>
            <w:r>
              <w:t>58.37</w:t>
            </w:r>
          </w:p>
        </w:tc>
        <w:tc>
          <w:tcPr>
            <w:tcW w:w="2551" w:type="dxa"/>
            <w:vAlign w:val="center"/>
          </w:tcPr>
          <w:p w14:paraId="4B0CE65D">
            <w:pPr>
              <w:pStyle w:val="14"/>
            </w:pPr>
            <w:r>
              <w:t>58.37</w:t>
            </w:r>
          </w:p>
        </w:tc>
        <w:tc>
          <w:tcPr>
            <w:tcW w:w="2551" w:type="dxa"/>
            <w:vAlign w:val="center"/>
          </w:tcPr>
          <w:p w14:paraId="7132357C">
            <w:pPr>
              <w:pStyle w:val="14"/>
            </w:pPr>
          </w:p>
        </w:tc>
      </w:tr>
      <w:tr w14:paraId="26BD0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60DD8">
            <w:pPr>
              <w:pStyle w:val="12"/>
            </w:pPr>
            <w:r>
              <w:t>5</w:t>
            </w:r>
          </w:p>
        </w:tc>
        <w:tc>
          <w:tcPr>
            <w:tcW w:w="1191" w:type="dxa"/>
            <w:vAlign w:val="center"/>
          </w:tcPr>
          <w:p w14:paraId="5AE24C2C">
            <w:pPr>
              <w:pStyle w:val="13"/>
            </w:pPr>
            <w:r>
              <w:t>30103</w:t>
            </w:r>
          </w:p>
        </w:tc>
        <w:tc>
          <w:tcPr>
            <w:tcW w:w="4535" w:type="dxa"/>
            <w:vAlign w:val="center"/>
          </w:tcPr>
          <w:p w14:paraId="05178F1E">
            <w:pPr>
              <w:pStyle w:val="13"/>
            </w:pPr>
            <w:r>
              <w:t>奖金</w:t>
            </w:r>
          </w:p>
        </w:tc>
        <w:tc>
          <w:tcPr>
            <w:tcW w:w="2551" w:type="dxa"/>
            <w:vAlign w:val="center"/>
          </w:tcPr>
          <w:p w14:paraId="529694D2">
            <w:pPr>
              <w:pStyle w:val="14"/>
            </w:pPr>
            <w:r>
              <w:t>141.03</w:t>
            </w:r>
          </w:p>
        </w:tc>
        <w:tc>
          <w:tcPr>
            <w:tcW w:w="2551" w:type="dxa"/>
            <w:vAlign w:val="center"/>
          </w:tcPr>
          <w:p w14:paraId="36A0BB6B">
            <w:pPr>
              <w:pStyle w:val="14"/>
            </w:pPr>
            <w:r>
              <w:t>141.03</w:t>
            </w:r>
          </w:p>
        </w:tc>
        <w:tc>
          <w:tcPr>
            <w:tcW w:w="2551" w:type="dxa"/>
            <w:vAlign w:val="center"/>
          </w:tcPr>
          <w:p w14:paraId="20C2B021">
            <w:pPr>
              <w:pStyle w:val="14"/>
            </w:pPr>
          </w:p>
        </w:tc>
      </w:tr>
      <w:tr w14:paraId="6038F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D0D5F">
            <w:pPr>
              <w:pStyle w:val="12"/>
            </w:pPr>
            <w:r>
              <w:t>6</w:t>
            </w:r>
          </w:p>
        </w:tc>
        <w:tc>
          <w:tcPr>
            <w:tcW w:w="1191" w:type="dxa"/>
            <w:vAlign w:val="center"/>
          </w:tcPr>
          <w:p w14:paraId="2AF29058">
            <w:pPr>
              <w:pStyle w:val="13"/>
            </w:pPr>
            <w:r>
              <w:t>30107</w:t>
            </w:r>
          </w:p>
        </w:tc>
        <w:tc>
          <w:tcPr>
            <w:tcW w:w="4535" w:type="dxa"/>
            <w:vAlign w:val="center"/>
          </w:tcPr>
          <w:p w14:paraId="5D8670CC">
            <w:pPr>
              <w:pStyle w:val="13"/>
            </w:pPr>
            <w:r>
              <w:t>绩效工资</w:t>
            </w:r>
          </w:p>
        </w:tc>
        <w:tc>
          <w:tcPr>
            <w:tcW w:w="2551" w:type="dxa"/>
            <w:vAlign w:val="center"/>
          </w:tcPr>
          <w:p w14:paraId="7A513907">
            <w:pPr>
              <w:pStyle w:val="14"/>
            </w:pPr>
            <w:r>
              <w:t>938.01</w:t>
            </w:r>
          </w:p>
        </w:tc>
        <w:tc>
          <w:tcPr>
            <w:tcW w:w="2551" w:type="dxa"/>
            <w:vAlign w:val="center"/>
          </w:tcPr>
          <w:p w14:paraId="6D72CE27">
            <w:pPr>
              <w:pStyle w:val="14"/>
            </w:pPr>
            <w:r>
              <w:t>938.01</w:t>
            </w:r>
          </w:p>
        </w:tc>
        <w:tc>
          <w:tcPr>
            <w:tcW w:w="2551" w:type="dxa"/>
            <w:vAlign w:val="center"/>
          </w:tcPr>
          <w:p w14:paraId="4945D61B">
            <w:pPr>
              <w:pStyle w:val="14"/>
            </w:pPr>
          </w:p>
        </w:tc>
      </w:tr>
      <w:tr w14:paraId="55BDA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8FBC1">
            <w:pPr>
              <w:pStyle w:val="12"/>
            </w:pPr>
            <w:r>
              <w:t>7</w:t>
            </w:r>
          </w:p>
        </w:tc>
        <w:tc>
          <w:tcPr>
            <w:tcW w:w="1191" w:type="dxa"/>
            <w:vAlign w:val="center"/>
          </w:tcPr>
          <w:p w14:paraId="30A7F9F3">
            <w:pPr>
              <w:pStyle w:val="13"/>
            </w:pPr>
            <w:r>
              <w:t>30108</w:t>
            </w:r>
          </w:p>
        </w:tc>
        <w:tc>
          <w:tcPr>
            <w:tcW w:w="4535" w:type="dxa"/>
            <w:vAlign w:val="center"/>
          </w:tcPr>
          <w:p w14:paraId="15BC80BF">
            <w:pPr>
              <w:pStyle w:val="13"/>
            </w:pPr>
            <w:r>
              <w:t>机关事业单位基本养老保险缴费</w:t>
            </w:r>
          </w:p>
        </w:tc>
        <w:tc>
          <w:tcPr>
            <w:tcW w:w="2551" w:type="dxa"/>
            <w:vAlign w:val="center"/>
          </w:tcPr>
          <w:p w14:paraId="1EA65F79">
            <w:pPr>
              <w:pStyle w:val="14"/>
            </w:pPr>
            <w:r>
              <w:t>406.97</w:t>
            </w:r>
          </w:p>
        </w:tc>
        <w:tc>
          <w:tcPr>
            <w:tcW w:w="2551" w:type="dxa"/>
            <w:vAlign w:val="center"/>
          </w:tcPr>
          <w:p w14:paraId="6164D088">
            <w:pPr>
              <w:pStyle w:val="14"/>
            </w:pPr>
            <w:r>
              <w:t>406.97</w:t>
            </w:r>
          </w:p>
        </w:tc>
        <w:tc>
          <w:tcPr>
            <w:tcW w:w="2551" w:type="dxa"/>
            <w:vAlign w:val="center"/>
          </w:tcPr>
          <w:p w14:paraId="1BE6EFBB">
            <w:pPr>
              <w:pStyle w:val="14"/>
            </w:pPr>
          </w:p>
        </w:tc>
      </w:tr>
      <w:tr w14:paraId="428C3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A2885">
            <w:pPr>
              <w:pStyle w:val="12"/>
            </w:pPr>
            <w:r>
              <w:t>8</w:t>
            </w:r>
          </w:p>
        </w:tc>
        <w:tc>
          <w:tcPr>
            <w:tcW w:w="1191" w:type="dxa"/>
            <w:vAlign w:val="center"/>
          </w:tcPr>
          <w:p w14:paraId="26E58E46">
            <w:pPr>
              <w:pStyle w:val="13"/>
            </w:pPr>
            <w:r>
              <w:t>30110</w:t>
            </w:r>
          </w:p>
        </w:tc>
        <w:tc>
          <w:tcPr>
            <w:tcW w:w="4535" w:type="dxa"/>
            <w:vAlign w:val="center"/>
          </w:tcPr>
          <w:p w14:paraId="0C3338F5">
            <w:pPr>
              <w:pStyle w:val="13"/>
            </w:pPr>
            <w:r>
              <w:t>职工基本医疗保险缴费</w:t>
            </w:r>
          </w:p>
        </w:tc>
        <w:tc>
          <w:tcPr>
            <w:tcW w:w="2551" w:type="dxa"/>
            <w:vAlign w:val="center"/>
          </w:tcPr>
          <w:p w14:paraId="700CA6BD">
            <w:pPr>
              <w:pStyle w:val="14"/>
            </w:pPr>
            <w:r>
              <w:t>194.74</w:t>
            </w:r>
          </w:p>
        </w:tc>
        <w:tc>
          <w:tcPr>
            <w:tcW w:w="2551" w:type="dxa"/>
            <w:vAlign w:val="center"/>
          </w:tcPr>
          <w:p w14:paraId="42AFD67C">
            <w:pPr>
              <w:pStyle w:val="14"/>
            </w:pPr>
            <w:r>
              <w:t>194.74</w:t>
            </w:r>
          </w:p>
        </w:tc>
        <w:tc>
          <w:tcPr>
            <w:tcW w:w="2551" w:type="dxa"/>
            <w:vAlign w:val="center"/>
          </w:tcPr>
          <w:p w14:paraId="70DE2A03">
            <w:pPr>
              <w:pStyle w:val="14"/>
            </w:pPr>
          </w:p>
        </w:tc>
      </w:tr>
      <w:tr w14:paraId="199E5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38BFE">
            <w:pPr>
              <w:pStyle w:val="12"/>
            </w:pPr>
            <w:r>
              <w:t>9</w:t>
            </w:r>
          </w:p>
        </w:tc>
        <w:tc>
          <w:tcPr>
            <w:tcW w:w="1191" w:type="dxa"/>
            <w:vAlign w:val="center"/>
          </w:tcPr>
          <w:p w14:paraId="644E0AF3">
            <w:pPr>
              <w:pStyle w:val="13"/>
            </w:pPr>
            <w:r>
              <w:t>30112</w:t>
            </w:r>
          </w:p>
        </w:tc>
        <w:tc>
          <w:tcPr>
            <w:tcW w:w="4535" w:type="dxa"/>
            <w:vAlign w:val="center"/>
          </w:tcPr>
          <w:p w14:paraId="0CECED35">
            <w:pPr>
              <w:pStyle w:val="13"/>
            </w:pPr>
            <w:r>
              <w:t>其他社会保障缴费</w:t>
            </w:r>
          </w:p>
        </w:tc>
        <w:tc>
          <w:tcPr>
            <w:tcW w:w="2551" w:type="dxa"/>
            <w:vAlign w:val="center"/>
          </w:tcPr>
          <w:p w14:paraId="67600EA5">
            <w:pPr>
              <w:pStyle w:val="14"/>
            </w:pPr>
            <w:r>
              <w:t>22.27</w:t>
            </w:r>
          </w:p>
        </w:tc>
        <w:tc>
          <w:tcPr>
            <w:tcW w:w="2551" w:type="dxa"/>
            <w:vAlign w:val="center"/>
          </w:tcPr>
          <w:p w14:paraId="2653ADD6">
            <w:pPr>
              <w:pStyle w:val="14"/>
            </w:pPr>
            <w:r>
              <w:t>22.27</w:t>
            </w:r>
          </w:p>
        </w:tc>
        <w:tc>
          <w:tcPr>
            <w:tcW w:w="2551" w:type="dxa"/>
            <w:vAlign w:val="center"/>
          </w:tcPr>
          <w:p w14:paraId="3C2043C0">
            <w:pPr>
              <w:pStyle w:val="14"/>
            </w:pPr>
          </w:p>
        </w:tc>
      </w:tr>
      <w:tr w14:paraId="5CFA7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4A755">
            <w:pPr>
              <w:pStyle w:val="12"/>
            </w:pPr>
            <w:r>
              <w:t>10</w:t>
            </w:r>
          </w:p>
        </w:tc>
        <w:tc>
          <w:tcPr>
            <w:tcW w:w="1191" w:type="dxa"/>
            <w:vAlign w:val="center"/>
          </w:tcPr>
          <w:p w14:paraId="256F26AD">
            <w:pPr>
              <w:pStyle w:val="13"/>
            </w:pPr>
            <w:r>
              <w:t>30113</w:t>
            </w:r>
          </w:p>
        </w:tc>
        <w:tc>
          <w:tcPr>
            <w:tcW w:w="4535" w:type="dxa"/>
            <w:vAlign w:val="center"/>
          </w:tcPr>
          <w:p w14:paraId="72C34BC0">
            <w:pPr>
              <w:pStyle w:val="13"/>
            </w:pPr>
            <w:r>
              <w:t>住房公积金</w:t>
            </w:r>
          </w:p>
        </w:tc>
        <w:tc>
          <w:tcPr>
            <w:tcW w:w="2551" w:type="dxa"/>
            <w:vAlign w:val="center"/>
          </w:tcPr>
          <w:p w14:paraId="60686D3E">
            <w:pPr>
              <w:pStyle w:val="14"/>
            </w:pPr>
            <w:r>
              <w:t>318.59</w:t>
            </w:r>
          </w:p>
        </w:tc>
        <w:tc>
          <w:tcPr>
            <w:tcW w:w="2551" w:type="dxa"/>
            <w:vAlign w:val="center"/>
          </w:tcPr>
          <w:p w14:paraId="3E35C858">
            <w:pPr>
              <w:pStyle w:val="14"/>
            </w:pPr>
            <w:r>
              <w:t>318.59</w:t>
            </w:r>
          </w:p>
        </w:tc>
        <w:tc>
          <w:tcPr>
            <w:tcW w:w="2551" w:type="dxa"/>
            <w:vAlign w:val="center"/>
          </w:tcPr>
          <w:p w14:paraId="1EABD82E">
            <w:pPr>
              <w:pStyle w:val="14"/>
            </w:pPr>
          </w:p>
        </w:tc>
      </w:tr>
      <w:tr w14:paraId="095F1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D0331">
            <w:pPr>
              <w:pStyle w:val="12"/>
            </w:pPr>
            <w:r>
              <w:t>11</w:t>
            </w:r>
          </w:p>
        </w:tc>
        <w:tc>
          <w:tcPr>
            <w:tcW w:w="1191" w:type="dxa"/>
            <w:vAlign w:val="center"/>
          </w:tcPr>
          <w:p w14:paraId="07168823">
            <w:pPr>
              <w:pStyle w:val="13"/>
            </w:pPr>
            <w:r>
              <w:t>303</w:t>
            </w:r>
          </w:p>
        </w:tc>
        <w:tc>
          <w:tcPr>
            <w:tcW w:w="4535" w:type="dxa"/>
            <w:vAlign w:val="center"/>
          </w:tcPr>
          <w:p w14:paraId="183B5714">
            <w:pPr>
              <w:pStyle w:val="13"/>
            </w:pPr>
            <w:r>
              <w:t>对个人和家庭的补助</w:t>
            </w:r>
          </w:p>
        </w:tc>
        <w:tc>
          <w:tcPr>
            <w:tcW w:w="2551" w:type="dxa"/>
            <w:vAlign w:val="center"/>
          </w:tcPr>
          <w:p w14:paraId="17E7B18B">
            <w:pPr>
              <w:pStyle w:val="14"/>
            </w:pPr>
            <w:r>
              <w:t>131.52</w:t>
            </w:r>
          </w:p>
        </w:tc>
        <w:tc>
          <w:tcPr>
            <w:tcW w:w="2551" w:type="dxa"/>
            <w:vAlign w:val="center"/>
          </w:tcPr>
          <w:p w14:paraId="635527BE">
            <w:pPr>
              <w:pStyle w:val="14"/>
            </w:pPr>
            <w:r>
              <w:t>131.52</w:t>
            </w:r>
          </w:p>
        </w:tc>
        <w:tc>
          <w:tcPr>
            <w:tcW w:w="2551" w:type="dxa"/>
            <w:vAlign w:val="center"/>
          </w:tcPr>
          <w:p w14:paraId="30AFA868">
            <w:pPr>
              <w:pStyle w:val="14"/>
            </w:pPr>
          </w:p>
        </w:tc>
      </w:tr>
      <w:tr w14:paraId="77A56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7D509">
            <w:pPr>
              <w:pStyle w:val="12"/>
            </w:pPr>
            <w:r>
              <w:t>12</w:t>
            </w:r>
          </w:p>
        </w:tc>
        <w:tc>
          <w:tcPr>
            <w:tcW w:w="1191" w:type="dxa"/>
            <w:vAlign w:val="center"/>
          </w:tcPr>
          <w:p w14:paraId="37ED9608">
            <w:pPr>
              <w:pStyle w:val="13"/>
            </w:pPr>
            <w:r>
              <w:t>30301</w:t>
            </w:r>
          </w:p>
        </w:tc>
        <w:tc>
          <w:tcPr>
            <w:tcW w:w="4535" w:type="dxa"/>
            <w:vAlign w:val="center"/>
          </w:tcPr>
          <w:p w14:paraId="5766CE96">
            <w:pPr>
              <w:pStyle w:val="13"/>
            </w:pPr>
            <w:r>
              <w:t>离休费</w:t>
            </w:r>
          </w:p>
        </w:tc>
        <w:tc>
          <w:tcPr>
            <w:tcW w:w="2551" w:type="dxa"/>
            <w:vAlign w:val="center"/>
          </w:tcPr>
          <w:p w14:paraId="14D7B995">
            <w:pPr>
              <w:pStyle w:val="14"/>
            </w:pPr>
            <w:r>
              <w:t>9.85</w:t>
            </w:r>
          </w:p>
        </w:tc>
        <w:tc>
          <w:tcPr>
            <w:tcW w:w="2551" w:type="dxa"/>
            <w:vAlign w:val="center"/>
          </w:tcPr>
          <w:p w14:paraId="2199EE41">
            <w:pPr>
              <w:pStyle w:val="14"/>
            </w:pPr>
            <w:r>
              <w:t>9.85</w:t>
            </w:r>
          </w:p>
        </w:tc>
        <w:tc>
          <w:tcPr>
            <w:tcW w:w="2551" w:type="dxa"/>
            <w:vAlign w:val="center"/>
          </w:tcPr>
          <w:p w14:paraId="109CAB8D">
            <w:pPr>
              <w:pStyle w:val="14"/>
            </w:pPr>
          </w:p>
        </w:tc>
      </w:tr>
      <w:tr w14:paraId="22F27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71F14">
            <w:pPr>
              <w:pStyle w:val="12"/>
            </w:pPr>
            <w:r>
              <w:t>13</w:t>
            </w:r>
          </w:p>
        </w:tc>
        <w:tc>
          <w:tcPr>
            <w:tcW w:w="1191" w:type="dxa"/>
            <w:vAlign w:val="center"/>
          </w:tcPr>
          <w:p w14:paraId="4E152BF5">
            <w:pPr>
              <w:pStyle w:val="13"/>
            </w:pPr>
            <w:r>
              <w:t>30302</w:t>
            </w:r>
          </w:p>
        </w:tc>
        <w:tc>
          <w:tcPr>
            <w:tcW w:w="4535" w:type="dxa"/>
            <w:vAlign w:val="center"/>
          </w:tcPr>
          <w:p w14:paraId="500965B8">
            <w:pPr>
              <w:pStyle w:val="13"/>
            </w:pPr>
            <w:r>
              <w:t>退休费</w:t>
            </w:r>
          </w:p>
        </w:tc>
        <w:tc>
          <w:tcPr>
            <w:tcW w:w="2551" w:type="dxa"/>
            <w:vAlign w:val="center"/>
          </w:tcPr>
          <w:p w14:paraId="6F0946EB">
            <w:pPr>
              <w:pStyle w:val="14"/>
            </w:pPr>
            <w:r>
              <w:t>114.03</w:t>
            </w:r>
          </w:p>
        </w:tc>
        <w:tc>
          <w:tcPr>
            <w:tcW w:w="2551" w:type="dxa"/>
            <w:vAlign w:val="center"/>
          </w:tcPr>
          <w:p w14:paraId="508D3768">
            <w:pPr>
              <w:pStyle w:val="14"/>
            </w:pPr>
            <w:r>
              <w:t>114.03</w:t>
            </w:r>
          </w:p>
        </w:tc>
        <w:tc>
          <w:tcPr>
            <w:tcW w:w="2551" w:type="dxa"/>
            <w:vAlign w:val="center"/>
          </w:tcPr>
          <w:p w14:paraId="21C5F8EE">
            <w:pPr>
              <w:pStyle w:val="14"/>
            </w:pPr>
          </w:p>
        </w:tc>
      </w:tr>
      <w:tr w14:paraId="490D5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EA9F5">
            <w:pPr>
              <w:pStyle w:val="12"/>
            </w:pPr>
            <w:r>
              <w:t>14</w:t>
            </w:r>
          </w:p>
        </w:tc>
        <w:tc>
          <w:tcPr>
            <w:tcW w:w="1191" w:type="dxa"/>
            <w:vAlign w:val="center"/>
          </w:tcPr>
          <w:p w14:paraId="62604545">
            <w:pPr>
              <w:pStyle w:val="13"/>
            </w:pPr>
            <w:r>
              <w:t>30305</w:t>
            </w:r>
          </w:p>
        </w:tc>
        <w:tc>
          <w:tcPr>
            <w:tcW w:w="4535" w:type="dxa"/>
            <w:vAlign w:val="center"/>
          </w:tcPr>
          <w:p w14:paraId="0C2DE7A2">
            <w:pPr>
              <w:pStyle w:val="13"/>
            </w:pPr>
            <w:r>
              <w:t>生活补助</w:t>
            </w:r>
          </w:p>
        </w:tc>
        <w:tc>
          <w:tcPr>
            <w:tcW w:w="2551" w:type="dxa"/>
            <w:vAlign w:val="center"/>
          </w:tcPr>
          <w:p w14:paraId="69B00024">
            <w:pPr>
              <w:pStyle w:val="14"/>
            </w:pPr>
            <w:r>
              <w:t>7.63</w:t>
            </w:r>
          </w:p>
        </w:tc>
        <w:tc>
          <w:tcPr>
            <w:tcW w:w="2551" w:type="dxa"/>
            <w:vAlign w:val="center"/>
          </w:tcPr>
          <w:p w14:paraId="693F4B93">
            <w:pPr>
              <w:pStyle w:val="14"/>
            </w:pPr>
            <w:r>
              <w:t>7.63</w:t>
            </w:r>
          </w:p>
        </w:tc>
        <w:tc>
          <w:tcPr>
            <w:tcW w:w="2551" w:type="dxa"/>
            <w:vAlign w:val="center"/>
          </w:tcPr>
          <w:p w14:paraId="09387B79">
            <w:pPr>
              <w:pStyle w:val="14"/>
            </w:pPr>
          </w:p>
        </w:tc>
      </w:tr>
    </w:tbl>
    <w:p w14:paraId="0803CDCB">
      <w:pPr>
        <w:sectPr>
          <w:pgSz w:w="16840" w:h="11900" w:orient="landscape"/>
          <w:pgMar w:top="1361" w:right="1020" w:bottom="1134" w:left="1020" w:header="720" w:footer="720" w:gutter="0"/>
          <w:cols w:space="720" w:num="1"/>
        </w:sectPr>
      </w:pPr>
    </w:p>
    <w:p w14:paraId="77BE46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798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2F723E">
            <w:pPr>
              <w:pStyle w:val="8"/>
            </w:pPr>
            <w:r>
              <w:t>360003河北隆尧第一中学</w:t>
            </w:r>
          </w:p>
        </w:tc>
        <w:tc>
          <w:tcPr>
            <w:tcW w:w="2551" w:type="dxa"/>
            <w:tcBorders>
              <w:top w:val="single" w:color="FFFFFF" w:sz="6" w:space="0"/>
              <w:left w:val="single" w:color="FFFFFF" w:sz="6" w:space="0"/>
              <w:right w:val="single" w:color="FFFFFF" w:sz="6" w:space="0"/>
            </w:tcBorders>
            <w:vAlign w:val="center"/>
          </w:tcPr>
          <w:p w14:paraId="473A297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992880A">
            <w:pPr>
              <w:pStyle w:val="10"/>
            </w:pPr>
            <w:r>
              <w:t>单位：万元</w:t>
            </w:r>
          </w:p>
        </w:tc>
      </w:tr>
      <w:tr w14:paraId="5D560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8669F">
            <w:pPr>
              <w:pStyle w:val="11"/>
            </w:pPr>
            <w:r>
              <w:t>序号</w:t>
            </w:r>
          </w:p>
        </w:tc>
        <w:tc>
          <w:tcPr>
            <w:tcW w:w="5726" w:type="dxa"/>
            <w:gridSpan w:val="2"/>
            <w:vAlign w:val="center"/>
          </w:tcPr>
          <w:p w14:paraId="4CF20AEA">
            <w:pPr>
              <w:pStyle w:val="11"/>
            </w:pPr>
            <w:r>
              <w:t>功能分类科目</w:t>
            </w:r>
          </w:p>
        </w:tc>
        <w:tc>
          <w:tcPr>
            <w:tcW w:w="2551" w:type="dxa"/>
            <w:vMerge w:val="restart"/>
            <w:vAlign w:val="center"/>
          </w:tcPr>
          <w:p w14:paraId="078E116D">
            <w:pPr>
              <w:pStyle w:val="11"/>
            </w:pPr>
            <w:r>
              <w:t>合计</w:t>
            </w:r>
          </w:p>
        </w:tc>
        <w:tc>
          <w:tcPr>
            <w:tcW w:w="2551" w:type="dxa"/>
            <w:vMerge w:val="restart"/>
            <w:vAlign w:val="center"/>
          </w:tcPr>
          <w:p w14:paraId="3A711738">
            <w:pPr>
              <w:pStyle w:val="11"/>
            </w:pPr>
            <w:r>
              <w:t>基本支出</w:t>
            </w:r>
          </w:p>
        </w:tc>
        <w:tc>
          <w:tcPr>
            <w:tcW w:w="2551" w:type="dxa"/>
            <w:vMerge w:val="restart"/>
            <w:vAlign w:val="center"/>
          </w:tcPr>
          <w:p w14:paraId="77EFA253">
            <w:pPr>
              <w:pStyle w:val="11"/>
            </w:pPr>
            <w:r>
              <w:t>项目支出</w:t>
            </w:r>
          </w:p>
        </w:tc>
      </w:tr>
      <w:tr w14:paraId="411A5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83ACCD"/>
        </w:tc>
        <w:tc>
          <w:tcPr>
            <w:tcW w:w="1191" w:type="dxa"/>
            <w:vAlign w:val="center"/>
          </w:tcPr>
          <w:p w14:paraId="757B2F24">
            <w:pPr>
              <w:pStyle w:val="11"/>
            </w:pPr>
            <w:r>
              <w:t>科目编码</w:t>
            </w:r>
          </w:p>
        </w:tc>
        <w:tc>
          <w:tcPr>
            <w:tcW w:w="4535" w:type="dxa"/>
            <w:vAlign w:val="center"/>
          </w:tcPr>
          <w:p w14:paraId="6B82A9CA">
            <w:pPr>
              <w:pStyle w:val="11"/>
            </w:pPr>
            <w:r>
              <w:t>科目名称</w:t>
            </w:r>
          </w:p>
        </w:tc>
        <w:tc>
          <w:tcPr>
            <w:tcW w:w="2551" w:type="dxa"/>
            <w:vMerge w:val="continue"/>
          </w:tcPr>
          <w:p w14:paraId="04D5E706"/>
        </w:tc>
        <w:tc>
          <w:tcPr>
            <w:tcW w:w="2551" w:type="dxa"/>
            <w:vMerge w:val="continue"/>
          </w:tcPr>
          <w:p w14:paraId="643512D3"/>
        </w:tc>
        <w:tc>
          <w:tcPr>
            <w:tcW w:w="2551" w:type="dxa"/>
            <w:vMerge w:val="continue"/>
          </w:tcPr>
          <w:p w14:paraId="22339647"/>
        </w:tc>
      </w:tr>
      <w:tr w14:paraId="341EA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C1F442">
            <w:pPr>
              <w:pStyle w:val="11"/>
            </w:pPr>
            <w:r>
              <w:t>栏次</w:t>
            </w:r>
          </w:p>
        </w:tc>
        <w:tc>
          <w:tcPr>
            <w:tcW w:w="1191" w:type="dxa"/>
            <w:vAlign w:val="center"/>
          </w:tcPr>
          <w:p w14:paraId="095681BF">
            <w:pPr>
              <w:pStyle w:val="11"/>
            </w:pPr>
            <w:r>
              <w:t>1</w:t>
            </w:r>
          </w:p>
        </w:tc>
        <w:tc>
          <w:tcPr>
            <w:tcW w:w="4535" w:type="dxa"/>
            <w:vAlign w:val="center"/>
          </w:tcPr>
          <w:p w14:paraId="26A9D2E2">
            <w:pPr>
              <w:pStyle w:val="11"/>
            </w:pPr>
            <w:r>
              <w:t>2</w:t>
            </w:r>
          </w:p>
        </w:tc>
        <w:tc>
          <w:tcPr>
            <w:tcW w:w="2551" w:type="dxa"/>
            <w:vAlign w:val="center"/>
          </w:tcPr>
          <w:p w14:paraId="2387BC4D">
            <w:pPr>
              <w:pStyle w:val="11"/>
            </w:pPr>
            <w:r>
              <w:t>3</w:t>
            </w:r>
          </w:p>
        </w:tc>
        <w:tc>
          <w:tcPr>
            <w:tcW w:w="2551" w:type="dxa"/>
            <w:vAlign w:val="center"/>
          </w:tcPr>
          <w:p w14:paraId="7F292ADB">
            <w:pPr>
              <w:pStyle w:val="11"/>
            </w:pPr>
            <w:r>
              <w:t>4</w:t>
            </w:r>
          </w:p>
        </w:tc>
        <w:tc>
          <w:tcPr>
            <w:tcW w:w="2551" w:type="dxa"/>
            <w:vAlign w:val="center"/>
          </w:tcPr>
          <w:p w14:paraId="634F89D8">
            <w:pPr>
              <w:pStyle w:val="11"/>
            </w:pPr>
            <w:r>
              <w:t>5</w:t>
            </w:r>
          </w:p>
        </w:tc>
      </w:tr>
      <w:tr w14:paraId="233FC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8FBD9">
            <w:pPr>
              <w:pStyle w:val="12"/>
            </w:pPr>
          </w:p>
        </w:tc>
        <w:tc>
          <w:tcPr>
            <w:tcW w:w="1191" w:type="dxa"/>
            <w:vAlign w:val="center"/>
          </w:tcPr>
          <w:p w14:paraId="5C598A51">
            <w:pPr>
              <w:pStyle w:val="13"/>
            </w:pPr>
          </w:p>
        </w:tc>
        <w:tc>
          <w:tcPr>
            <w:tcW w:w="4535" w:type="dxa"/>
            <w:vAlign w:val="center"/>
          </w:tcPr>
          <w:p w14:paraId="7349AF8D">
            <w:pPr>
              <w:pStyle w:val="13"/>
            </w:pPr>
          </w:p>
        </w:tc>
        <w:tc>
          <w:tcPr>
            <w:tcW w:w="2551" w:type="dxa"/>
            <w:vAlign w:val="center"/>
          </w:tcPr>
          <w:p w14:paraId="62287620">
            <w:pPr>
              <w:pStyle w:val="14"/>
            </w:pPr>
          </w:p>
        </w:tc>
        <w:tc>
          <w:tcPr>
            <w:tcW w:w="2551" w:type="dxa"/>
            <w:vAlign w:val="center"/>
          </w:tcPr>
          <w:p w14:paraId="1D957F3E">
            <w:pPr>
              <w:pStyle w:val="14"/>
            </w:pPr>
          </w:p>
        </w:tc>
        <w:tc>
          <w:tcPr>
            <w:tcW w:w="2551" w:type="dxa"/>
            <w:vAlign w:val="center"/>
          </w:tcPr>
          <w:p w14:paraId="2C175E89">
            <w:pPr>
              <w:pStyle w:val="14"/>
            </w:pPr>
          </w:p>
        </w:tc>
      </w:tr>
    </w:tbl>
    <w:p w14:paraId="4D1B59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18AF7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599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09023E">
            <w:pPr>
              <w:pStyle w:val="8"/>
            </w:pPr>
            <w:r>
              <w:t>360003河北隆尧第一中学</w:t>
            </w:r>
          </w:p>
        </w:tc>
        <w:tc>
          <w:tcPr>
            <w:tcW w:w="2551" w:type="dxa"/>
            <w:tcBorders>
              <w:top w:val="single" w:color="FFFFFF" w:sz="6" w:space="0"/>
              <w:left w:val="single" w:color="FFFFFF" w:sz="6" w:space="0"/>
              <w:right w:val="single" w:color="FFFFFF" w:sz="6" w:space="0"/>
            </w:tcBorders>
            <w:vAlign w:val="center"/>
          </w:tcPr>
          <w:p w14:paraId="6383FF5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15997A1">
            <w:pPr>
              <w:pStyle w:val="10"/>
            </w:pPr>
            <w:r>
              <w:t>单位：万元</w:t>
            </w:r>
          </w:p>
        </w:tc>
      </w:tr>
      <w:tr w14:paraId="1AAA3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8DBC2">
            <w:pPr>
              <w:pStyle w:val="11"/>
            </w:pPr>
            <w:r>
              <w:t>序号</w:t>
            </w:r>
          </w:p>
        </w:tc>
        <w:tc>
          <w:tcPr>
            <w:tcW w:w="5726" w:type="dxa"/>
            <w:gridSpan w:val="2"/>
            <w:vAlign w:val="center"/>
          </w:tcPr>
          <w:p w14:paraId="457DB15D">
            <w:pPr>
              <w:pStyle w:val="11"/>
            </w:pPr>
            <w:r>
              <w:t>功能分类科目</w:t>
            </w:r>
          </w:p>
        </w:tc>
        <w:tc>
          <w:tcPr>
            <w:tcW w:w="2551" w:type="dxa"/>
            <w:vMerge w:val="restart"/>
            <w:vAlign w:val="center"/>
          </w:tcPr>
          <w:p w14:paraId="0C8DDBF3">
            <w:pPr>
              <w:pStyle w:val="11"/>
            </w:pPr>
            <w:r>
              <w:t>合计</w:t>
            </w:r>
          </w:p>
        </w:tc>
        <w:tc>
          <w:tcPr>
            <w:tcW w:w="2551" w:type="dxa"/>
            <w:vMerge w:val="restart"/>
            <w:vAlign w:val="center"/>
          </w:tcPr>
          <w:p w14:paraId="1F9946E6">
            <w:pPr>
              <w:pStyle w:val="11"/>
            </w:pPr>
            <w:r>
              <w:t>基本支出</w:t>
            </w:r>
          </w:p>
        </w:tc>
        <w:tc>
          <w:tcPr>
            <w:tcW w:w="2551" w:type="dxa"/>
            <w:vMerge w:val="restart"/>
            <w:vAlign w:val="center"/>
          </w:tcPr>
          <w:p w14:paraId="47E8CA4D">
            <w:pPr>
              <w:pStyle w:val="11"/>
            </w:pPr>
            <w:r>
              <w:t>项目支出</w:t>
            </w:r>
          </w:p>
        </w:tc>
      </w:tr>
      <w:tr w14:paraId="1BBB1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1C3B2D"/>
        </w:tc>
        <w:tc>
          <w:tcPr>
            <w:tcW w:w="1191" w:type="dxa"/>
            <w:vAlign w:val="center"/>
          </w:tcPr>
          <w:p w14:paraId="2B03FC66">
            <w:pPr>
              <w:pStyle w:val="11"/>
            </w:pPr>
            <w:r>
              <w:t>科目编码</w:t>
            </w:r>
          </w:p>
        </w:tc>
        <w:tc>
          <w:tcPr>
            <w:tcW w:w="4535" w:type="dxa"/>
            <w:vAlign w:val="center"/>
          </w:tcPr>
          <w:p w14:paraId="0C21D854">
            <w:pPr>
              <w:pStyle w:val="11"/>
            </w:pPr>
            <w:r>
              <w:t>科目名称</w:t>
            </w:r>
          </w:p>
        </w:tc>
        <w:tc>
          <w:tcPr>
            <w:tcW w:w="2551" w:type="dxa"/>
            <w:vMerge w:val="continue"/>
          </w:tcPr>
          <w:p w14:paraId="4E510D20"/>
        </w:tc>
        <w:tc>
          <w:tcPr>
            <w:tcW w:w="2551" w:type="dxa"/>
            <w:vMerge w:val="continue"/>
          </w:tcPr>
          <w:p w14:paraId="537E55B1"/>
        </w:tc>
        <w:tc>
          <w:tcPr>
            <w:tcW w:w="2551" w:type="dxa"/>
            <w:vMerge w:val="continue"/>
          </w:tcPr>
          <w:p w14:paraId="174E48BD"/>
        </w:tc>
      </w:tr>
      <w:tr w14:paraId="65C7C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5AD013">
            <w:pPr>
              <w:pStyle w:val="11"/>
            </w:pPr>
            <w:r>
              <w:t>栏次</w:t>
            </w:r>
          </w:p>
        </w:tc>
        <w:tc>
          <w:tcPr>
            <w:tcW w:w="1191" w:type="dxa"/>
            <w:vAlign w:val="center"/>
          </w:tcPr>
          <w:p w14:paraId="5E101191">
            <w:pPr>
              <w:pStyle w:val="11"/>
            </w:pPr>
            <w:r>
              <w:t>1</w:t>
            </w:r>
          </w:p>
        </w:tc>
        <w:tc>
          <w:tcPr>
            <w:tcW w:w="4535" w:type="dxa"/>
            <w:vAlign w:val="center"/>
          </w:tcPr>
          <w:p w14:paraId="765B9564">
            <w:pPr>
              <w:pStyle w:val="11"/>
            </w:pPr>
            <w:r>
              <w:t>2</w:t>
            </w:r>
          </w:p>
        </w:tc>
        <w:tc>
          <w:tcPr>
            <w:tcW w:w="2551" w:type="dxa"/>
            <w:vAlign w:val="center"/>
          </w:tcPr>
          <w:p w14:paraId="7847E94F">
            <w:pPr>
              <w:pStyle w:val="11"/>
            </w:pPr>
            <w:r>
              <w:t>3</w:t>
            </w:r>
          </w:p>
        </w:tc>
        <w:tc>
          <w:tcPr>
            <w:tcW w:w="2551" w:type="dxa"/>
            <w:vAlign w:val="center"/>
          </w:tcPr>
          <w:p w14:paraId="7A8B378B">
            <w:pPr>
              <w:pStyle w:val="11"/>
            </w:pPr>
            <w:r>
              <w:t>4</w:t>
            </w:r>
          </w:p>
        </w:tc>
        <w:tc>
          <w:tcPr>
            <w:tcW w:w="2551" w:type="dxa"/>
            <w:vAlign w:val="center"/>
          </w:tcPr>
          <w:p w14:paraId="32AEB8B9">
            <w:pPr>
              <w:pStyle w:val="11"/>
            </w:pPr>
            <w:r>
              <w:t>5</w:t>
            </w:r>
          </w:p>
        </w:tc>
      </w:tr>
      <w:tr w14:paraId="7E7E7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67CB8">
            <w:pPr>
              <w:pStyle w:val="12"/>
            </w:pPr>
          </w:p>
        </w:tc>
        <w:tc>
          <w:tcPr>
            <w:tcW w:w="1191" w:type="dxa"/>
            <w:vAlign w:val="center"/>
          </w:tcPr>
          <w:p w14:paraId="1B3CF9C7">
            <w:pPr>
              <w:pStyle w:val="13"/>
            </w:pPr>
          </w:p>
        </w:tc>
        <w:tc>
          <w:tcPr>
            <w:tcW w:w="4535" w:type="dxa"/>
            <w:vAlign w:val="center"/>
          </w:tcPr>
          <w:p w14:paraId="6F8BB3B4">
            <w:pPr>
              <w:pStyle w:val="13"/>
            </w:pPr>
          </w:p>
        </w:tc>
        <w:tc>
          <w:tcPr>
            <w:tcW w:w="2551" w:type="dxa"/>
            <w:vAlign w:val="center"/>
          </w:tcPr>
          <w:p w14:paraId="42A4378B">
            <w:pPr>
              <w:pStyle w:val="14"/>
            </w:pPr>
          </w:p>
        </w:tc>
        <w:tc>
          <w:tcPr>
            <w:tcW w:w="2551" w:type="dxa"/>
            <w:vAlign w:val="center"/>
          </w:tcPr>
          <w:p w14:paraId="0D4C7E2A">
            <w:pPr>
              <w:pStyle w:val="14"/>
            </w:pPr>
          </w:p>
        </w:tc>
        <w:tc>
          <w:tcPr>
            <w:tcW w:w="2551" w:type="dxa"/>
            <w:vAlign w:val="center"/>
          </w:tcPr>
          <w:p w14:paraId="0A30F03D">
            <w:pPr>
              <w:pStyle w:val="14"/>
            </w:pPr>
          </w:p>
        </w:tc>
      </w:tr>
    </w:tbl>
    <w:p w14:paraId="406A8D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C2E7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404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18F1EC">
            <w:pPr>
              <w:pStyle w:val="8"/>
            </w:pPr>
            <w:r>
              <w:t>360003河北隆尧第一中学</w:t>
            </w:r>
          </w:p>
        </w:tc>
        <w:tc>
          <w:tcPr>
            <w:tcW w:w="2381" w:type="dxa"/>
            <w:tcBorders>
              <w:top w:val="single" w:color="FFFFFF" w:sz="6" w:space="0"/>
              <w:left w:val="single" w:color="FFFFFF" w:sz="6" w:space="0"/>
              <w:right w:val="single" w:color="FFFFFF" w:sz="6" w:space="0"/>
            </w:tcBorders>
            <w:vAlign w:val="center"/>
          </w:tcPr>
          <w:p w14:paraId="2A973D14">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09E908B">
            <w:pPr>
              <w:pStyle w:val="10"/>
            </w:pPr>
            <w:r>
              <w:t>单位：万元</w:t>
            </w:r>
          </w:p>
        </w:tc>
      </w:tr>
      <w:tr w14:paraId="5427E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BC3F73">
            <w:pPr>
              <w:pStyle w:val="11"/>
            </w:pPr>
            <w:r>
              <w:t>序号</w:t>
            </w:r>
          </w:p>
        </w:tc>
        <w:tc>
          <w:tcPr>
            <w:tcW w:w="3798" w:type="dxa"/>
            <w:vMerge w:val="restart"/>
            <w:vAlign w:val="center"/>
          </w:tcPr>
          <w:p w14:paraId="0788A159">
            <w:pPr>
              <w:pStyle w:val="11"/>
            </w:pPr>
            <w:r>
              <w:t>项  目</w:t>
            </w:r>
          </w:p>
        </w:tc>
        <w:tc>
          <w:tcPr>
            <w:tcW w:w="9524" w:type="dxa"/>
            <w:gridSpan w:val="4"/>
            <w:vAlign w:val="center"/>
          </w:tcPr>
          <w:p w14:paraId="52D5F0ED">
            <w:pPr>
              <w:pStyle w:val="11"/>
            </w:pPr>
            <w:r>
              <w:t>资 金 性 质</w:t>
            </w:r>
          </w:p>
        </w:tc>
      </w:tr>
      <w:tr w14:paraId="6AC66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E38524"/>
        </w:tc>
        <w:tc>
          <w:tcPr>
            <w:tcW w:w="3798" w:type="dxa"/>
            <w:vMerge w:val="continue"/>
          </w:tcPr>
          <w:p w14:paraId="6FE76441"/>
        </w:tc>
        <w:tc>
          <w:tcPr>
            <w:tcW w:w="2381" w:type="dxa"/>
            <w:vAlign w:val="center"/>
          </w:tcPr>
          <w:p w14:paraId="1F941D8D">
            <w:pPr>
              <w:pStyle w:val="11"/>
            </w:pPr>
            <w:r>
              <w:t>合计</w:t>
            </w:r>
          </w:p>
        </w:tc>
        <w:tc>
          <w:tcPr>
            <w:tcW w:w="2381" w:type="dxa"/>
            <w:vAlign w:val="center"/>
          </w:tcPr>
          <w:p w14:paraId="45AEBEC5">
            <w:pPr>
              <w:pStyle w:val="11"/>
            </w:pPr>
            <w:r>
              <w:t>一般公共预算              财政拨款</w:t>
            </w:r>
          </w:p>
        </w:tc>
        <w:tc>
          <w:tcPr>
            <w:tcW w:w="2381" w:type="dxa"/>
            <w:vAlign w:val="center"/>
          </w:tcPr>
          <w:p w14:paraId="6AE4A6EF">
            <w:pPr>
              <w:pStyle w:val="11"/>
            </w:pPr>
            <w:r>
              <w:t>政府性基金                  预算拨款</w:t>
            </w:r>
          </w:p>
        </w:tc>
        <w:tc>
          <w:tcPr>
            <w:tcW w:w="2381" w:type="dxa"/>
            <w:vAlign w:val="center"/>
          </w:tcPr>
          <w:p w14:paraId="2C0F7D59">
            <w:pPr>
              <w:pStyle w:val="11"/>
            </w:pPr>
            <w:r>
              <w:t>国有资本经营              预算财政拨款</w:t>
            </w:r>
          </w:p>
        </w:tc>
      </w:tr>
      <w:tr w14:paraId="65770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9D1D4C">
            <w:pPr>
              <w:pStyle w:val="11"/>
            </w:pPr>
            <w:r>
              <w:t>栏次</w:t>
            </w:r>
          </w:p>
        </w:tc>
        <w:tc>
          <w:tcPr>
            <w:tcW w:w="3798" w:type="dxa"/>
            <w:vAlign w:val="center"/>
          </w:tcPr>
          <w:p w14:paraId="1AD174BB">
            <w:pPr>
              <w:pStyle w:val="11"/>
            </w:pPr>
            <w:r>
              <w:t>1</w:t>
            </w:r>
          </w:p>
        </w:tc>
        <w:tc>
          <w:tcPr>
            <w:tcW w:w="2381" w:type="dxa"/>
            <w:vAlign w:val="center"/>
          </w:tcPr>
          <w:p w14:paraId="64E89E14">
            <w:pPr>
              <w:pStyle w:val="11"/>
            </w:pPr>
            <w:r>
              <w:t>2</w:t>
            </w:r>
          </w:p>
        </w:tc>
        <w:tc>
          <w:tcPr>
            <w:tcW w:w="2381" w:type="dxa"/>
            <w:vAlign w:val="center"/>
          </w:tcPr>
          <w:p w14:paraId="34696DDF">
            <w:pPr>
              <w:pStyle w:val="11"/>
            </w:pPr>
            <w:r>
              <w:t>3</w:t>
            </w:r>
          </w:p>
        </w:tc>
        <w:tc>
          <w:tcPr>
            <w:tcW w:w="2381" w:type="dxa"/>
            <w:vAlign w:val="center"/>
          </w:tcPr>
          <w:p w14:paraId="1518B611">
            <w:pPr>
              <w:pStyle w:val="11"/>
            </w:pPr>
            <w:r>
              <w:t>4</w:t>
            </w:r>
          </w:p>
        </w:tc>
        <w:tc>
          <w:tcPr>
            <w:tcW w:w="2381" w:type="dxa"/>
            <w:vAlign w:val="center"/>
          </w:tcPr>
          <w:p w14:paraId="26967766">
            <w:pPr>
              <w:pStyle w:val="11"/>
            </w:pPr>
            <w:r>
              <w:t>5</w:t>
            </w:r>
          </w:p>
        </w:tc>
      </w:tr>
      <w:tr w14:paraId="48486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55464B">
            <w:pPr>
              <w:pStyle w:val="12"/>
            </w:pPr>
          </w:p>
        </w:tc>
        <w:tc>
          <w:tcPr>
            <w:tcW w:w="3798" w:type="dxa"/>
            <w:vAlign w:val="center"/>
          </w:tcPr>
          <w:p w14:paraId="51334568">
            <w:pPr>
              <w:pStyle w:val="13"/>
            </w:pPr>
          </w:p>
        </w:tc>
        <w:tc>
          <w:tcPr>
            <w:tcW w:w="2381" w:type="dxa"/>
            <w:vAlign w:val="center"/>
          </w:tcPr>
          <w:p w14:paraId="39A52B1A">
            <w:pPr>
              <w:pStyle w:val="14"/>
            </w:pPr>
          </w:p>
        </w:tc>
        <w:tc>
          <w:tcPr>
            <w:tcW w:w="2381" w:type="dxa"/>
            <w:vAlign w:val="center"/>
          </w:tcPr>
          <w:p w14:paraId="0E67138F">
            <w:pPr>
              <w:pStyle w:val="14"/>
            </w:pPr>
          </w:p>
        </w:tc>
        <w:tc>
          <w:tcPr>
            <w:tcW w:w="2381" w:type="dxa"/>
            <w:vAlign w:val="center"/>
          </w:tcPr>
          <w:p w14:paraId="453AE220">
            <w:pPr>
              <w:pStyle w:val="14"/>
            </w:pPr>
          </w:p>
        </w:tc>
        <w:tc>
          <w:tcPr>
            <w:tcW w:w="2381" w:type="dxa"/>
            <w:vAlign w:val="center"/>
          </w:tcPr>
          <w:p w14:paraId="77F64D11">
            <w:pPr>
              <w:pStyle w:val="14"/>
            </w:pPr>
          </w:p>
        </w:tc>
      </w:tr>
    </w:tbl>
    <w:p w14:paraId="3F58A53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7C595B9">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河北隆尧第一中学2025年单位预算信息公开情况说明</w:t>
      </w:r>
    </w:p>
    <w:p w14:paraId="1263062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按照《中华人民共和国预算法》、《地方预决算公开操作规程》和《关于进一步推进预算公开工作的实施意见》规定，现将河北隆尧第一中学2025年单位预算公开如下：</w:t>
      </w:r>
    </w:p>
    <w:p w14:paraId="3571661E">
      <w:pPr>
        <w:spacing w:before="10" w:after="10" w:line="240" w:lineRule="auto"/>
        <w:ind w:firstLine="640"/>
        <w:jc w:val="left"/>
        <w:outlineLvl w:val="5"/>
      </w:pPr>
      <w:r>
        <w:rPr>
          <w:rFonts w:ascii="黑体" w:hAnsi="黑体" w:eastAsia="黑体" w:cs="黑体"/>
          <w:color w:val="000000"/>
          <w:sz w:val="32"/>
        </w:rPr>
        <w:t>一、单位职责及机构设置情况</w:t>
      </w:r>
    </w:p>
    <w:p w14:paraId="213F2F30">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11BB1F44">
      <w:pPr>
        <w:pStyle w:val="18"/>
        <w:keepNext w:val="0"/>
        <w:keepLines w:val="0"/>
        <w:pageBreakBefore w:val="0"/>
        <w:widowControl/>
        <w:kinsoku/>
        <w:wordWrap/>
        <w:overflowPunct/>
        <w:topLinePunct w:val="0"/>
        <w:autoSpaceDE/>
        <w:autoSpaceDN/>
        <w:bidi w:val="0"/>
        <w:adjustRightInd/>
        <w:snapToGrid/>
        <w:spacing w:before="0" w:after="0" w:line="520" w:lineRule="exact"/>
        <w:textAlignment w:val="auto"/>
      </w:pPr>
      <w:r>
        <w:t>宣传贯彻执行党和国家的教育方针、教育政策、教育法律和法规，贯彻执行上级教育行政单位的各项规章制度，开展高中阶段教育工作：德育为首、全面育人加强社会主义核心价值的教育，提高学生综合素质，促进学生德、智、体、美、劳全面发展；加强学生安全教育和管理，确保学生身心健康，加强教室队伍建设和管理，提高教室专业素养，为教育教学工作提供保障。</w:t>
      </w:r>
    </w:p>
    <w:p w14:paraId="6C6FFA51">
      <w:pPr>
        <w:pStyle w:val="18"/>
        <w:keepNext w:val="0"/>
        <w:keepLines w:val="0"/>
        <w:pageBreakBefore w:val="0"/>
        <w:widowControl/>
        <w:kinsoku/>
        <w:wordWrap/>
        <w:overflowPunct/>
        <w:topLinePunct w:val="0"/>
        <w:autoSpaceDE/>
        <w:autoSpaceDN/>
        <w:bidi w:val="0"/>
        <w:adjustRightInd/>
        <w:snapToGrid/>
        <w:spacing w:before="0" w:after="0" w:line="520" w:lineRule="exact"/>
        <w:textAlignment w:val="auto"/>
      </w:pPr>
      <w:r>
        <w:t>河北隆尧第一中学设15个股级内设机构：办公室、教导处、教研处、招生升学处、学工处、艺体部、团委、总务处、法制安全处、高一年级一部、高一年级二部、高二年级一部、高二年级二部、高三年级一部、高三级二部。</w:t>
      </w:r>
    </w:p>
    <w:p w14:paraId="4C07CC8B">
      <w:pPr>
        <w:pStyle w:val="18"/>
        <w:keepNext w:val="0"/>
        <w:keepLines w:val="0"/>
        <w:pageBreakBefore w:val="0"/>
        <w:widowControl/>
        <w:kinsoku/>
        <w:wordWrap/>
        <w:overflowPunct/>
        <w:topLinePunct w:val="0"/>
        <w:autoSpaceDE/>
        <w:autoSpaceDN/>
        <w:bidi w:val="0"/>
        <w:adjustRightInd/>
        <w:snapToGrid/>
        <w:spacing w:before="0" w:after="0" w:line="520" w:lineRule="exact"/>
        <w:textAlignment w:val="auto"/>
        <w:rPr>
          <w:rFonts w:ascii="方正楷体_GBK" w:hAnsi="方正楷体_GBK" w:eastAsia="方正楷体_GBK" w:cs="方正楷体_GBK"/>
          <w:b/>
          <w:color w:val="000000"/>
          <w:sz w:val="32"/>
        </w:rPr>
      </w:pPr>
      <w:r>
        <w:t xml:space="preserve">河北隆尧第一中学事业编制330名，其中，校长1名（正科级），副校长5名（副科级）；经费形式为财政性资金基本保证。 </w:t>
      </w:r>
    </w:p>
    <w:p w14:paraId="737A180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9804D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AE4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E1BED3">
            <w:pPr>
              <w:pStyle w:val="11"/>
            </w:pPr>
            <w:r>
              <w:t>单位名称</w:t>
            </w:r>
          </w:p>
        </w:tc>
        <w:tc>
          <w:tcPr>
            <w:tcW w:w="1843" w:type="dxa"/>
            <w:vAlign w:val="center"/>
          </w:tcPr>
          <w:p w14:paraId="01AE65BD">
            <w:pPr>
              <w:pStyle w:val="11"/>
            </w:pPr>
            <w:r>
              <w:t>单位性质</w:t>
            </w:r>
          </w:p>
        </w:tc>
        <w:tc>
          <w:tcPr>
            <w:tcW w:w="2126" w:type="dxa"/>
            <w:vAlign w:val="center"/>
          </w:tcPr>
          <w:p w14:paraId="086305A9">
            <w:pPr>
              <w:pStyle w:val="11"/>
            </w:pPr>
            <w:r>
              <w:t>单位规格</w:t>
            </w:r>
          </w:p>
        </w:tc>
        <w:tc>
          <w:tcPr>
            <w:tcW w:w="3827" w:type="dxa"/>
            <w:vAlign w:val="center"/>
          </w:tcPr>
          <w:p w14:paraId="333D3E95">
            <w:pPr>
              <w:pStyle w:val="11"/>
            </w:pPr>
            <w:r>
              <w:t>经费保障形式</w:t>
            </w:r>
          </w:p>
        </w:tc>
      </w:tr>
      <w:tr w14:paraId="07E9C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800CAA">
            <w:pPr>
              <w:pStyle w:val="13"/>
            </w:pPr>
            <w:r>
              <w:t>河北隆尧第一中学</w:t>
            </w:r>
          </w:p>
        </w:tc>
        <w:tc>
          <w:tcPr>
            <w:tcW w:w="1843" w:type="dxa"/>
            <w:vAlign w:val="center"/>
          </w:tcPr>
          <w:p w14:paraId="4B789554">
            <w:pPr>
              <w:pStyle w:val="12"/>
            </w:pPr>
            <w:r>
              <w:t>事业</w:t>
            </w:r>
          </w:p>
        </w:tc>
        <w:tc>
          <w:tcPr>
            <w:tcW w:w="2126" w:type="dxa"/>
            <w:vAlign w:val="center"/>
          </w:tcPr>
          <w:p w14:paraId="2E42078B">
            <w:pPr>
              <w:pStyle w:val="12"/>
            </w:pPr>
            <w:r>
              <w:t>正科级</w:t>
            </w:r>
          </w:p>
        </w:tc>
        <w:tc>
          <w:tcPr>
            <w:tcW w:w="3827" w:type="dxa"/>
            <w:vAlign w:val="center"/>
          </w:tcPr>
          <w:p w14:paraId="2AC261B4">
            <w:pPr>
              <w:pStyle w:val="12"/>
            </w:pPr>
            <w:r>
              <w:t>财政性资金基本保证</w:t>
            </w:r>
          </w:p>
        </w:tc>
      </w:tr>
    </w:tbl>
    <w:p w14:paraId="15415E54">
      <w:pPr>
        <w:spacing w:before="10" w:after="10" w:line="240" w:lineRule="auto"/>
        <w:ind w:firstLine="640"/>
        <w:jc w:val="left"/>
        <w:outlineLvl w:val="5"/>
      </w:pPr>
      <w:r>
        <w:rPr>
          <w:rFonts w:ascii="黑体" w:hAnsi="黑体" w:eastAsia="黑体" w:cs="黑体"/>
          <w:color w:val="000000"/>
          <w:sz w:val="32"/>
        </w:rPr>
        <w:t>二、单位预算安排的总体情况</w:t>
      </w:r>
    </w:p>
    <w:p w14:paraId="70664D54">
      <w:pPr>
        <w:pStyle w:val="19"/>
      </w:pPr>
      <w:r>
        <w:t>按照预算管理有关规定，单位预算的编制实行综合预算管理，即全部收入和支出都反映的预算中。河北隆尧第一中学的收支包含在单位预算中。</w:t>
      </w:r>
    </w:p>
    <w:p w14:paraId="017B759F">
      <w:pPr>
        <w:pStyle w:val="19"/>
      </w:pPr>
      <w:r>
        <w:t>1、收入说明</w:t>
      </w:r>
    </w:p>
    <w:p w14:paraId="1EC251E2">
      <w:pPr>
        <w:pStyle w:val="19"/>
      </w:pPr>
      <w:r>
        <w:t>反映本单位当年全部收入。2025年预算收入6334.11万元，其中：一般公共预算收入5298.37万元，基金预算收入0万元，财政专户收入849.28万元，单位资金收入0万元，上年结转结余186.47万元。</w:t>
      </w:r>
    </w:p>
    <w:p w14:paraId="6452632E">
      <w:pPr>
        <w:pStyle w:val="19"/>
      </w:pPr>
      <w:r>
        <w:t>2、支出说明</w:t>
      </w:r>
    </w:p>
    <w:p w14:paraId="7FD90BD3">
      <w:pPr>
        <w:pStyle w:val="19"/>
      </w:pPr>
      <w:r>
        <w:t>收支预算总表支出栏、基本支出表、项目支出表按经济分类和支出功能分类科目编制，反映我单位单位预算中支出预算的总体情况。2025年单位支出预算为6334.11万元，其中基本支出4275.6万元；项目支出2058.52万元，主要包括高中教育6324.28万元、事业单位离退休费9.85万元。</w:t>
      </w:r>
    </w:p>
    <w:p w14:paraId="5154D17D">
      <w:pPr>
        <w:pStyle w:val="19"/>
      </w:pPr>
      <w:r>
        <w:t>3、比上年增减情况</w:t>
      </w:r>
    </w:p>
    <w:p w14:paraId="5C4F3AE6">
      <w:pPr>
        <w:pStyle w:val="19"/>
      </w:pPr>
      <w:r>
        <w:t>2025年部门预算收支安排6334.11万元，较2024年预算增加541.69万元。其中基本支出增加639.66万元，项目支出减少97.96万元。</w:t>
      </w:r>
    </w:p>
    <w:p w14:paraId="3C4FA49C">
      <w:pPr>
        <w:spacing w:before="10" w:after="10" w:line="240" w:lineRule="auto"/>
        <w:ind w:firstLine="640"/>
        <w:jc w:val="left"/>
        <w:outlineLvl w:val="5"/>
      </w:pPr>
      <w:r>
        <w:rPr>
          <w:rFonts w:ascii="黑体" w:hAnsi="黑体" w:eastAsia="黑体" w:cs="黑体"/>
          <w:color w:val="000000"/>
          <w:sz w:val="32"/>
        </w:rPr>
        <w:t>三、机关运行经费安排情况</w:t>
      </w:r>
    </w:p>
    <w:p w14:paraId="1CB1DB60">
      <w:pPr>
        <w:pStyle w:val="20"/>
      </w:pPr>
      <w:r>
        <w:t>2024年，我单位按学生安排公用经费，无机关运行经费。</w:t>
      </w:r>
    </w:p>
    <w:p w14:paraId="5CB6D27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0A85F18">
      <w:pPr>
        <w:pStyle w:val="21"/>
      </w:pPr>
      <w:r>
        <w:t>2024年，我单位未安排三公经费。</w:t>
      </w:r>
    </w:p>
    <w:p w14:paraId="2295D38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994F18C">
      <w:pPr>
        <w:spacing w:before="0" w:after="0"/>
        <w:ind w:firstLine="560"/>
        <w:jc w:val="left"/>
        <w:outlineLvl w:val="9"/>
      </w:pPr>
      <w:r>
        <w:rPr>
          <w:rFonts w:ascii="方正仿宋_GBK" w:hAnsi="方正仿宋_GBK" w:eastAsia="方正仿宋_GBK" w:cs="方正仿宋_GBK"/>
          <w:b/>
          <w:color w:val="000000"/>
          <w:sz w:val="28"/>
        </w:rPr>
        <w:t>1、冀财教[2023]152号/省级/2024年普通高中资金/改善办学条件/一中主教学楼门窗墙面厕所改造工程绩效目标表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28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4B17B">
            <w:pPr>
              <w:pStyle w:val="14"/>
            </w:pPr>
            <w:r>
              <w:t>单位：万元</w:t>
            </w:r>
          </w:p>
        </w:tc>
      </w:tr>
      <w:tr w14:paraId="084FD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52D81">
            <w:pPr>
              <w:pStyle w:val="11"/>
            </w:pPr>
            <w:r>
              <w:t>项目编码</w:t>
            </w:r>
          </w:p>
        </w:tc>
        <w:tc>
          <w:tcPr>
            <w:tcW w:w="5103" w:type="dxa"/>
            <w:gridSpan w:val="2"/>
            <w:vAlign w:val="center"/>
          </w:tcPr>
          <w:p w14:paraId="67ED2BD1">
            <w:pPr>
              <w:pStyle w:val="13"/>
            </w:pPr>
            <w:r>
              <w:t>13052524P00000611090T</w:t>
            </w:r>
          </w:p>
        </w:tc>
        <w:tc>
          <w:tcPr>
            <w:tcW w:w="2835" w:type="dxa"/>
            <w:vAlign w:val="center"/>
          </w:tcPr>
          <w:p w14:paraId="09FF6898">
            <w:pPr>
              <w:pStyle w:val="11"/>
            </w:pPr>
            <w:r>
              <w:t>项目名称</w:t>
            </w:r>
          </w:p>
        </w:tc>
        <w:tc>
          <w:tcPr>
            <w:tcW w:w="6095" w:type="dxa"/>
            <w:gridSpan w:val="3"/>
            <w:vAlign w:val="center"/>
          </w:tcPr>
          <w:p w14:paraId="178BA203">
            <w:pPr>
              <w:pStyle w:val="13"/>
            </w:pPr>
            <w:r>
              <w:t>冀财教[2023]152号/省级/2024年普通高中资金/改善办学条件/一中主教学楼门窗墙面厕所改造工程</w:t>
            </w:r>
          </w:p>
        </w:tc>
      </w:tr>
      <w:tr w14:paraId="34479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5738A">
            <w:pPr>
              <w:pStyle w:val="11"/>
            </w:pPr>
            <w:r>
              <w:t>预算规模及资金用途</w:t>
            </w:r>
          </w:p>
        </w:tc>
        <w:tc>
          <w:tcPr>
            <w:tcW w:w="2268" w:type="dxa"/>
            <w:vAlign w:val="center"/>
          </w:tcPr>
          <w:p w14:paraId="0F5EA053">
            <w:pPr>
              <w:pStyle w:val="11"/>
            </w:pPr>
            <w:r>
              <w:t>预算数</w:t>
            </w:r>
          </w:p>
        </w:tc>
        <w:tc>
          <w:tcPr>
            <w:tcW w:w="2835" w:type="dxa"/>
            <w:vAlign w:val="center"/>
          </w:tcPr>
          <w:p w14:paraId="72BDDA16">
            <w:pPr>
              <w:pStyle w:val="13"/>
            </w:pPr>
            <w:r>
              <w:t>37.47</w:t>
            </w:r>
          </w:p>
        </w:tc>
        <w:tc>
          <w:tcPr>
            <w:tcW w:w="2835" w:type="dxa"/>
            <w:vAlign w:val="center"/>
          </w:tcPr>
          <w:p w14:paraId="48CB389F">
            <w:pPr>
              <w:pStyle w:val="11"/>
            </w:pPr>
            <w:r>
              <w:t>其中：财政    资金</w:t>
            </w:r>
          </w:p>
        </w:tc>
        <w:tc>
          <w:tcPr>
            <w:tcW w:w="2551" w:type="dxa"/>
            <w:vAlign w:val="center"/>
          </w:tcPr>
          <w:p w14:paraId="79E86AC6">
            <w:pPr>
              <w:pStyle w:val="13"/>
            </w:pPr>
            <w:r>
              <w:t>37.47</w:t>
            </w:r>
          </w:p>
        </w:tc>
        <w:tc>
          <w:tcPr>
            <w:tcW w:w="2268" w:type="dxa"/>
            <w:vAlign w:val="center"/>
          </w:tcPr>
          <w:p w14:paraId="0C81BC7D">
            <w:pPr>
              <w:pStyle w:val="11"/>
            </w:pPr>
            <w:r>
              <w:t>其他资金</w:t>
            </w:r>
          </w:p>
        </w:tc>
        <w:tc>
          <w:tcPr>
            <w:tcW w:w="1276" w:type="dxa"/>
            <w:vAlign w:val="center"/>
          </w:tcPr>
          <w:p w14:paraId="41B3CBE6">
            <w:pPr>
              <w:pStyle w:val="13"/>
            </w:pPr>
            <w:r>
              <w:t xml:space="preserve"> </w:t>
            </w:r>
          </w:p>
        </w:tc>
      </w:tr>
      <w:tr w14:paraId="6D489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88694"/>
        </w:tc>
        <w:tc>
          <w:tcPr>
            <w:tcW w:w="14033" w:type="dxa"/>
            <w:gridSpan w:val="6"/>
            <w:vAlign w:val="center"/>
          </w:tcPr>
          <w:p w14:paraId="26B20BD8">
            <w:pPr>
              <w:pStyle w:val="13"/>
            </w:pPr>
            <w:r>
              <w:t>落实全国中小学校舍改造实施规划，完善学校整体面貌和教育设施</w:t>
            </w:r>
          </w:p>
        </w:tc>
      </w:tr>
      <w:tr w14:paraId="51C9E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202C8">
            <w:pPr>
              <w:pStyle w:val="11"/>
            </w:pPr>
            <w:r>
              <w:t>资金支出计划（%）</w:t>
            </w:r>
          </w:p>
        </w:tc>
        <w:tc>
          <w:tcPr>
            <w:tcW w:w="5103" w:type="dxa"/>
            <w:gridSpan w:val="2"/>
            <w:vAlign w:val="center"/>
          </w:tcPr>
          <w:p w14:paraId="375627A9">
            <w:pPr>
              <w:pStyle w:val="11"/>
            </w:pPr>
            <w:r>
              <w:t>3月底</w:t>
            </w:r>
          </w:p>
        </w:tc>
        <w:tc>
          <w:tcPr>
            <w:tcW w:w="2835" w:type="dxa"/>
            <w:vAlign w:val="center"/>
          </w:tcPr>
          <w:p w14:paraId="7DF4391E">
            <w:pPr>
              <w:pStyle w:val="11"/>
            </w:pPr>
            <w:r>
              <w:t>6月底</w:t>
            </w:r>
          </w:p>
        </w:tc>
        <w:tc>
          <w:tcPr>
            <w:tcW w:w="2551" w:type="dxa"/>
            <w:vAlign w:val="center"/>
          </w:tcPr>
          <w:p w14:paraId="395A7BE6">
            <w:pPr>
              <w:pStyle w:val="11"/>
            </w:pPr>
            <w:r>
              <w:t>10月底</w:t>
            </w:r>
          </w:p>
        </w:tc>
        <w:tc>
          <w:tcPr>
            <w:tcW w:w="3544" w:type="dxa"/>
            <w:gridSpan w:val="2"/>
            <w:vAlign w:val="center"/>
          </w:tcPr>
          <w:p w14:paraId="46727468">
            <w:pPr>
              <w:pStyle w:val="11"/>
            </w:pPr>
            <w:r>
              <w:t>12月底</w:t>
            </w:r>
          </w:p>
        </w:tc>
      </w:tr>
      <w:tr w14:paraId="7CFD4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625709"/>
        </w:tc>
        <w:tc>
          <w:tcPr>
            <w:tcW w:w="5103" w:type="dxa"/>
            <w:gridSpan w:val="2"/>
            <w:vAlign w:val="center"/>
          </w:tcPr>
          <w:p w14:paraId="5E660278">
            <w:pPr>
              <w:pStyle w:val="12"/>
            </w:pPr>
            <w:r>
              <w:t xml:space="preserve"> </w:t>
            </w:r>
          </w:p>
        </w:tc>
        <w:tc>
          <w:tcPr>
            <w:tcW w:w="2835" w:type="dxa"/>
            <w:vAlign w:val="center"/>
          </w:tcPr>
          <w:p w14:paraId="115C1044">
            <w:pPr>
              <w:pStyle w:val="12"/>
            </w:pPr>
            <w:r>
              <w:t xml:space="preserve"> </w:t>
            </w:r>
          </w:p>
        </w:tc>
        <w:tc>
          <w:tcPr>
            <w:tcW w:w="2551" w:type="dxa"/>
            <w:vAlign w:val="center"/>
          </w:tcPr>
          <w:p w14:paraId="55B8BA79">
            <w:pPr>
              <w:pStyle w:val="12"/>
            </w:pPr>
            <w:r>
              <w:t xml:space="preserve"> </w:t>
            </w:r>
          </w:p>
        </w:tc>
        <w:tc>
          <w:tcPr>
            <w:tcW w:w="3544" w:type="dxa"/>
            <w:gridSpan w:val="2"/>
            <w:vAlign w:val="center"/>
          </w:tcPr>
          <w:p w14:paraId="2E28AA0F">
            <w:pPr>
              <w:pStyle w:val="12"/>
            </w:pPr>
            <w:r>
              <w:t>100%</w:t>
            </w:r>
          </w:p>
        </w:tc>
      </w:tr>
      <w:tr w14:paraId="08C1A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B9DD5">
            <w:pPr>
              <w:pStyle w:val="11"/>
            </w:pPr>
            <w:r>
              <w:t>绩效目标</w:t>
            </w:r>
          </w:p>
        </w:tc>
        <w:tc>
          <w:tcPr>
            <w:tcW w:w="14033" w:type="dxa"/>
            <w:gridSpan w:val="6"/>
            <w:vAlign w:val="center"/>
          </w:tcPr>
          <w:p w14:paraId="000A729C">
            <w:pPr>
              <w:pStyle w:val="13"/>
            </w:pPr>
            <w:r>
              <w:t>1.落实全国中小学校舍改造实施规划，完善学校整体面貌和教育设施</w:t>
            </w:r>
          </w:p>
          <w:p w14:paraId="627321C3">
            <w:pPr>
              <w:pStyle w:val="13"/>
            </w:pPr>
            <w:r>
              <w:t>2.改善普通高中办学条件，进一步提升高中教育质量</w:t>
            </w:r>
          </w:p>
          <w:p w14:paraId="5DC99BA3">
            <w:pPr>
              <w:pStyle w:val="13"/>
            </w:pPr>
            <w:r>
              <w:t>3.按时拨付资金710000元，资金拨付率达到100%</w:t>
            </w:r>
          </w:p>
        </w:tc>
      </w:tr>
    </w:tbl>
    <w:p w14:paraId="297DD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711BC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B7D4A">
            <w:pPr>
              <w:pStyle w:val="11"/>
            </w:pPr>
            <w:r>
              <w:t>一级指标</w:t>
            </w:r>
          </w:p>
        </w:tc>
        <w:tc>
          <w:tcPr>
            <w:tcW w:w="2268" w:type="dxa"/>
            <w:vAlign w:val="center"/>
          </w:tcPr>
          <w:p w14:paraId="752463C4">
            <w:pPr>
              <w:pStyle w:val="11"/>
            </w:pPr>
            <w:r>
              <w:t>二级指标</w:t>
            </w:r>
          </w:p>
        </w:tc>
        <w:tc>
          <w:tcPr>
            <w:tcW w:w="2835" w:type="dxa"/>
            <w:vAlign w:val="center"/>
          </w:tcPr>
          <w:p w14:paraId="74A04439">
            <w:pPr>
              <w:pStyle w:val="11"/>
            </w:pPr>
            <w:r>
              <w:t>三级指标</w:t>
            </w:r>
          </w:p>
        </w:tc>
        <w:tc>
          <w:tcPr>
            <w:tcW w:w="5386" w:type="dxa"/>
            <w:vAlign w:val="center"/>
          </w:tcPr>
          <w:p w14:paraId="6207353B">
            <w:pPr>
              <w:pStyle w:val="11"/>
            </w:pPr>
            <w:r>
              <w:t>绩效指标描述</w:t>
            </w:r>
          </w:p>
        </w:tc>
        <w:tc>
          <w:tcPr>
            <w:tcW w:w="1673" w:type="dxa"/>
            <w:vAlign w:val="center"/>
          </w:tcPr>
          <w:p w14:paraId="49997A45">
            <w:pPr>
              <w:pStyle w:val="11"/>
            </w:pPr>
            <w:r>
              <w:t>指标值</w:t>
            </w:r>
          </w:p>
        </w:tc>
        <w:tc>
          <w:tcPr>
            <w:tcW w:w="1871" w:type="dxa"/>
            <w:vAlign w:val="center"/>
          </w:tcPr>
          <w:p w14:paraId="1ED15A66">
            <w:pPr>
              <w:pStyle w:val="11"/>
            </w:pPr>
            <w:r>
              <w:t>指标值确定依据</w:t>
            </w:r>
          </w:p>
        </w:tc>
      </w:tr>
      <w:tr w14:paraId="4E7ED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8EA6C">
            <w:pPr>
              <w:pStyle w:val="12"/>
            </w:pPr>
            <w:r>
              <w:t>产出指标</w:t>
            </w:r>
          </w:p>
        </w:tc>
        <w:tc>
          <w:tcPr>
            <w:tcW w:w="2268" w:type="dxa"/>
            <w:vAlign w:val="center"/>
          </w:tcPr>
          <w:p w14:paraId="5109BEE3">
            <w:pPr>
              <w:pStyle w:val="13"/>
            </w:pPr>
            <w:r>
              <w:t>数量指标</w:t>
            </w:r>
          </w:p>
        </w:tc>
        <w:tc>
          <w:tcPr>
            <w:tcW w:w="2835" w:type="dxa"/>
            <w:vAlign w:val="center"/>
          </w:tcPr>
          <w:p w14:paraId="5FD32FD4">
            <w:pPr>
              <w:pStyle w:val="13"/>
            </w:pPr>
            <w:r>
              <w:t>普通高中新建、改扩建校舍面积</w:t>
            </w:r>
          </w:p>
        </w:tc>
        <w:tc>
          <w:tcPr>
            <w:tcW w:w="5386" w:type="dxa"/>
            <w:vAlign w:val="center"/>
          </w:tcPr>
          <w:p w14:paraId="468BB806">
            <w:pPr>
              <w:pStyle w:val="13"/>
            </w:pPr>
            <w:r>
              <w:t>主教学楼地面改造工程面积</w:t>
            </w:r>
          </w:p>
        </w:tc>
        <w:tc>
          <w:tcPr>
            <w:tcW w:w="1673" w:type="dxa"/>
            <w:vAlign w:val="center"/>
          </w:tcPr>
          <w:p w14:paraId="7D76CB91">
            <w:pPr>
              <w:pStyle w:val="13"/>
            </w:pPr>
            <w:r>
              <w:t>≥3178平方米</w:t>
            </w:r>
          </w:p>
        </w:tc>
        <w:tc>
          <w:tcPr>
            <w:tcW w:w="1871" w:type="dxa"/>
            <w:vAlign w:val="center"/>
          </w:tcPr>
          <w:p w14:paraId="182A59AA">
            <w:pPr>
              <w:pStyle w:val="13"/>
            </w:pPr>
            <w:r>
              <w:t>可行性研究报告</w:t>
            </w:r>
          </w:p>
        </w:tc>
      </w:tr>
      <w:tr w14:paraId="1ADB3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6D809"/>
        </w:tc>
        <w:tc>
          <w:tcPr>
            <w:tcW w:w="2268" w:type="dxa"/>
            <w:vAlign w:val="center"/>
          </w:tcPr>
          <w:p w14:paraId="35E7F0E1">
            <w:pPr>
              <w:pStyle w:val="13"/>
            </w:pPr>
            <w:r>
              <w:t>质量指标</w:t>
            </w:r>
          </w:p>
        </w:tc>
        <w:tc>
          <w:tcPr>
            <w:tcW w:w="2835" w:type="dxa"/>
            <w:vAlign w:val="center"/>
          </w:tcPr>
          <w:p w14:paraId="2BF044EB">
            <w:pPr>
              <w:pStyle w:val="13"/>
            </w:pPr>
            <w:r>
              <w:t>新建、改扩建工程验收合格率</w:t>
            </w:r>
          </w:p>
        </w:tc>
        <w:tc>
          <w:tcPr>
            <w:tcW w:w="5386" w:type="dxa"/>
            <w:vAlign w:val="center"/>
          </w:tcPr>
          <w:p w14:paraId="31DFB901">
            <w:pPr>
              <w:pStyle w:val="13"/>
            </w:pPr>
            <w:r>
              <w:t>新建工程验收合格数量与新建工程数量之比</w:t>
            </w:r>
          </w:p>
        </w:tc>
        <w:tc>
          <w:tcPr>
            <w:tcW w:w="1673" w:type="dxa"/>
            <w:vAlign w:val="center"/>
          </w:tcPr>
          <w:p w14:paraId="58E3D8DD">
            <w:pPr>
              <w:pStyle w:val="13"/>
            </w:pPr>
            <w:r>
              <w:t>≥100%</w:t>
            </w:r>
          </w:p>
        </w:tc>
        <w:tc>
          <w:tcPr>
            <w:tcW w:w="1871" w:type="dxa"/>
            <w:vAlign w:val="center"/>
          </w:tcPr>
          <w:p w14:paraId="54EFAB00">
            <w:pPr>
              <w:pStyle w:val="13"/>
            </w:pPr>
            <w:r>
              <w:t>可行性研究报告</w:t>
            </w:r>
          </w:p>
        </w:tc>
      </w:tr>
      <w:tr w14:paraId="7F990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ADA77"/>
        </w:tc>
        <w:tc>
          <w:tcPr>
            <w:tcW w:w="2268" w:type="dxa"/>
            <w:vAlign w:val="center"/>
          </w:tcPr>
          <w:p w14:paraId="790248B0">
            <w:pPr>
              <w:pStyle w:val="13"/>
            </w:pPr>
            <w:r>
              <w:t>时效指标</w:t>
            </w:r>
          </w:p>
        </w:tc>
        <w:tc>
          <w:tcPr>
            <w:tcW w:w="2835" w:type="dxa"/>
            <w:vAlign w:val="center"/>
          </w:tcPr>
          <w:p w14:paraId="6E2F8C7F">
            <w:pPr>
              <w:pStyle w:val="13"/>
            </w:pPr>
            <w:r>
              <w:t>宿舍改造工程按期完成率</w:t>
            </w:r>
          </w:p>
        </w:tc>
        <w:tc>
          <w:tcPr>
            <w:tcW w:w="5386" w:type="dxa"/>
            <w:vAlign w:val="center"/>
          </w:tcPr>
          <w:p w14:paraId="300DD49D">
            <w:pPr>
              <w:pStyle w:val="13"/>
            </w:pPr>
            <w:r>
              <w:t>工程按时完工率</w:t>
            </w:r>
          </w:p>
        </w:tc>
        <w:tc>
          <w:tcPr>
            <w:tcW w:w="1673" w:type="dxa"/>
            <w:vAlign w:val="center"/>
          </w:tcPr>
          <w:p w14:paraId="6DFF0C51">
            <w:pPr>
              <w:pStyle w:val="13"/>
            </w:pPr>
            <w:r>
              <w:t>100%</w:t>
            </w:r>
          </w:p>
        </w:tc>
        <w:tc>
          <w:tcPr>
            <w:tcW w:w="1871" w:type="dxa"/>
            <w:vAlign w:val="center"/>
          </w:tcPr>
          <w:p w14:paraId="04669C86">
            <w:pPr>
              <w:pStyle w:val="13"/>
            </w:pPr>
            <w:r>
              <w:t>结合项目实际情况</w:t>
            </w:r>
          </w:p>
        </w:tc>
      </w:tr>
      <w:tr w14:paraId="11D07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69BD9"/>
        </w:tc>
        <w:tc>
          <w:tcPr>
            <w:tcW w:w="2268" w:type="dxa"/>
            <w:vAlign w:val="center"/>
          </w:tcPr>
          <w:p w14:paraId="3192A6E3">
            <w:pPr>
              <w:pStyle w:val="13"/>
            </w:pPr>
            <w:r>
              <w:t>成本指标</w:t>
            </w:r>
          </w:p>
        </w:tc>
        <w:tc>
          <w:tcPr>
            <w:tcW w:w="2835" w:type="dxa"/>
            <w:vAlign w:val="center"/>
          </w:tcPr>
          <w:p w14:paraId="7DDED150">
            <w:pPr>
              <w:pStyle w:val="13"/>
            </w:pPr>
            <w:r>
              <w:t>设施修缮成本</w:t>
            </w:r>
          </w:p>
        </w:tc>
        <w:tc>
          <w:tcPr>
            <w:tcW w:w="5386" w:type="dxa"/>
            <w:vAlign w:val="center"/>
          </w:tcPr>
          <w:p w14:paraId="4615D978">
            <w:pPr>
              <w:pStyle w:val="13"/>
            </w:pPr>
            <w:r>
              <w:t>实行政府采购招投标</w:t>
            </w:r>
          </w:p>
        </w:tc>
        <w:tc>
          <w:tcPr>
            <w:tcW w:w="1673" w:type="dxa"/>
            <w:vAlign w:val="center"/>
          </w:tcPr>
          <w:p w14:paraId="6490DA57">
            <w:pPr>
              <w:pStyle w:val="13"/>
            </w:pPr>
            <w:r>
              <w:t>≤71万元</w:t>
            </w:r>
          </w:p>
        </w:tc>
        <w:tc>
          <w:tcPr>
            <w:tcW w:w="1871" w:type="dxa"/>
            <w:vAlign w:val="center"/>
          </w:tcPr>
          <w:p w14:paraId="143B0212">
            <w:pPr>
              <w:pStyle w:val="13"/>
            </w:pPr>
            <w:r>
              <w:t>结合项目实际情况</w:t>
            </w:r>
          </w:p>
        </w:tc>
      </w:tr>
      <w:tr w14:paraId="6747E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0B08D">
            <w:pPr>
              <w:pStyle w:val="12"/>
            </w:pPr>
            <w:r>
              <w:t>效益指标</w:t>
            </w:r>
          </w:p>
        </w:tc>
        <w:tc>
          <w:tcPr>
            <w:tcW w:w="2268" w:type="dxa"/>
            <w:vAlign w:val="center"/>
          </w:tcPr>
          <w:p w14:paraId="7143481E">
            <w:pPr>
              <w:pStyle w:val="13"/>
            </w:pPr>
            <w:r>
              <w:t>经济效益指标</w:t>
            </w:r>
          </w:p>
        </w:tc>
        <w:tc>
          <w:tcPr>
            <w:tcW w:w="2835" w:type="dxa"/>
            <w:vAlign w:val="center"/>
          </w:tcPr>
          <w:p w14:paraId="0C5BCB86">
            <w:pPr>
              <w:pStyle w:val="13"/>
            </w:pPr>
            <w:r>
              <w:t>高中教育毛入学率</w:t>
            </w:r>
          </w:p>
        </w:tc>
        <w:tc>
          <w:tcPr>
            <w:tcW w:w="5386" w:type="dxa"/>
            <w:vAlign w:val="center"/>
          </w:tcPr>
          <w:p w14:paraId="6B76FB22">
            <w:pPr>
              <w:pStyle w:val="13"/>
            </w:pPr>
            <w:r>
              <w:t>大幅度提升高中阶段毛入学率</w:t>
            </w:r>
          </w:p>
        </w:tc>
        <w:tc>
          <w:tcPr>
            <w:tcW w:w="1673" w:type="dxa"/>
            <w:vAlign w:val="center"/>
          </w:tcPr>
          <w:p w14:paraId="34B174FC">
            <w:pPr>
              <w:pStyle w:val="13"/>
            </w:pPr>
            <w:r>
              <w:t>≥90%</w:t>
            </w:r>
          </w:p>
        </w:tc>
        <w:tc>
          <w:tcPr>
            <w:tcW w:w="1871" w:type="dxa"/>
            <w:vAlign w:val="center"/>
          </w:tcPr>
          <w:p w14:paraId="1D92D65E">
            <w:pPr>
              <w:pStyle w:val="13"/>
            </w:pPr>
            <w:r>
              <w:t>可行性研究报告</w:t>
            </w:r>
          </w:p>
        </w:tc>
      </w:tr>
      <w:tr w14:paraId="0B679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6313B"/>
        </w:tc>
        <w:tc>
          <w:tcPr>
            <w:tcW w:w="2268" w:type="dxa"/>
            <w:vAlign w:val="center"/>
          </w:tcPr>
          <w:p w14:paraId="321D246E">
            <w:pPr>
              <w:pStyle w:val="13"/>
            </w:pPr>
            <w:r>
              <w:t>社会效益指标</w:t>
            </w:r>
          </w:p>
        </w:tc>
        <w:tc>
          <w:tcPr>
            <w:tcW w:w="2835" w:type="dxa"/>
            <w:vAlign w:val="center"/>
          </w:tcPr>
          <w:p w14:paraId="6E2EB684">
            <w:pPr>
              <w:pStyle w:val="13"/>
            </w:pPr>
            <w:r>
              <w:t>受益人数</w:t>
            </w:r>
          </w:p>
        </w:tc>
        <w:tc>
          <w:tcPr>
            <w:tcW w:w="5386" w:type="dxa"/>
            <w:vAlign w:val="center"/>
          </w:tcPr>
          <w:p w14:paraId="3BE956C0">
            <w:pPr>
              <w:pStyle w:val="13"/>
            </w:pPr>
            <w:r>
              <w:t>受益学生人数</w:t>
            </w:r>
          </w:p>
        </w:tc>
        <w:tc>
          <w:tcPr>
            <w:tcW w:w="1673" w:type="dxa"/>
            <w:vAlign w:val="center"/>
          </w:tcPr>
          <w:p w14:paraId="35EAF259">
            <w:pPr>
              <w:pStyle w:val="13"/>
            </w:pPr>
            <w:r>
              <w:t>≥1380人</w:t>
            </w:r>
          </w:p>
        </w:tc>
        <w:tc>
          <w:tcPr>
            <w:tcW w:w="1871" w:type="dxa"/>
            <w:vAlign w:val="center"/>
          </w:tcPr>
          <w:p w14:paraId="0075C127">
            <w:pPr>
              <w:pStyle w:val="13"/>
            </w:pPr>
            <w:r>
              <w:t>可行性研究报告</w:t>
            </w:r>
          </w:p>
        </w:tc>
      </w:tr>
      <w:tr w14:paraId="24C77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FA559"/>
        </w:tc>
        <w:tc>
          <w:tcPr>
            <w:tcW w:w="2268" w:type="dxa"/>
            <w:vAlign w:val="center"/>
          </w:tcPr>
          <w:p w14:paraId="026D2717">
            <w:pPr>
              <w:pStyle w:val="13"/>
            </w:pPr>
            <w:r>
              <w:t>可持续影响指标</w:t>
            </w:r>
          </w:p>
        </w:tc>
        <w:tc>
          <w:tcPr>
            <w:tcW w:w="2835" w:type="dxa"/>
            <w:vAlign w:val="center"/>
          </w:tcPr>
          <w:p w14:paraId="06F3C18B">
            <w:pPr>
              <w:pStyle w:val="13"/>
            </w:pPr>
            <w:r>
              <w:t>校舍使用年限</w:t>
            </w:r>
          </w:p>
        </w:tc>
        <w:tc>
          <w:tcPr>
            <w:tcW w:w="5386" w:type="dxa"/>
            <w:vAlign w:val="center"/>
          </w:tcPr>
          <w:p w14:paraId="60084D8B">
            <w:pPr>
              <w:pStyle w:val="13"/>
            </w:pPr>
            <w:r>
              <w:t>提高校舍使用年限</w:t>
            </w:r>
          </w:p>
        </w:tc>
        <w:tc>
          <w:tcPr>
            <w:tcW w:w="1673" w:type="dxa"/>
            <w:vAlign w:val="center"/>
          </w:tcPr>
          <w:p w14:paraId="6599C1D9">
            <w:pPr>
              <w:pStyle w:val="13"/>
            </w:pPr>
            <w:r>
              <w:t>≥50年</w:t>
            </w:r>
          </w:p>
        </w:tc>
        <w:tc>
          <w:tcPr>
            <w:tcW w:w="1871" w:type="dxa"/>
            <w:vAlign w:val="center"/>
          </w:tcPr>
          <w:p w14:paraId="2C260AD3">
            <w:pPr>
              <w:pStyle w:val="13"/>
            </w:pPr>
            <w:r>
              <w:t>可行性研究报告</w:t>
            </w:r>
          </w:p>
        </w:tc>
      </w:tr>
      <w:tr w14:paraId="42D8E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CCBF76">
            <w:pPr>
              <w:pStyle w:val="12"/>
            </w:pPr>
            <w:r>
              <w:t>满意度指标</w:t>
            </w:r>
          </w:p>
        </w:tc>
        <w:tc>
          <w:tcPr>
            <w:tcW w:w="2268" w:type="dxa"/>
            <w:vAlign w:val="center"/>
          </w:tcPr>
          <w:p w14:paraId="7A5784FF">
            <w:pPr>
              <w:pStyle w:val="13"/>
            </w:pPr>
            <w:r>
              <w:t>服务对象满意度指标</w:t>
            </w:r>
          </w:p>
        </w:tc>
        <w:tc>
          <w:tcPr>
            <w:tcW w:w="2835" w:type="dxa"/>
            <w:vAlign w:val="center"/>
          </w:tcPr>
          <w:p w14:paraId="38890ED2">
            <w:pPr>
              <w:pStyle w:val="13"/>
            </w:pPr>
            <w:r>
              <w:t>学生和学生家长满意度</w:t>
            </w:r>
          </w:p>
        </w:tc>
        <w:tc>
          <w:tcPr>
            <w:tcW w:w="5386" w:type="dxa"/>
            <w:vAlign w:val="center"/>
          </w:tcPr>
          <w:p w14:paraId="42DDA856">
            <w:pPr>
              <w:pStyle w:val="13"/>
            </w:pPr>
            <w:r>
              <w:t>大幅提高学生和学生家长满意度</w:t>
            </w:r>
          </w:p>
        </w:tc>
        <w:tc>
          <w:tcPr>
            <w:tcW w:w="1673" w:type="dxa"/>
            <w:vAlign w:val="center"/>
          </w:tcPr>
          <w:p w14:paraId="78E999B2">
            <w:pPr>
              <w:pStyle w:val="13"/>
            </w:pPr>
            <w:r>
              <w:t>≥95%</w:t>
            </w:r>
          </w:p>
        </w:tc>
        <w:tc>
          <w:tcPr>
            <w:tcW w:w="1871" w:type="dxa"/>
            <w:vAlign w:val="center"/>
          </w:tcPr>
          <w:p w14:paraId="67B12877">
            <w:pPr>
              <w:pStyle w:val="13"/>
            </w:pPr>
            <w:r>
              <w:t>可行性研究报告</w:t>
            </w:r>
          </w:p>
        </w:tc>
      </w:tr>
    </w:tbl>
    <w:p w14:paraId="23B44F18">
      <w:pPr>
        <w:sectPr>
          <w:pgSz w:w="16840" w:h="11900" w:orient="landscape"/>
          <w:pgMar w:top="1361" w:right="1020" w:bottom="1134" w:left="1020" w:header="720" w:footer="720" w:gutter="0"/>
          <w:cols w:space="720" w:num="1"/>
        </w:sectPr>
      </w:pPr>
    </w:p>
    <w:p w14:paraId="72FDED43">
      <w:pPr>
        <w:spacing w:before="0" w:after="0"/>
        <w:ind w:firstLine="560"/>
        <w:jc w:val="left"/>
        <w:outlineLvl w:val="9"/>
      </w:pPr>
      <w:r>
        <w:rPr>
          <w:rFonts w:ascii="方正仿宋_GBK" w:hAnsi="方正仿宋_GBK" w:eastAsia="方正仿宋_GBK" w:cs="方正仿宋_GBK"/>
          <w:b/>
          <w:color w:val="000000"/>
          <w:sz w:val="28"/>
        </w:rPr>
        <w:t>2、冀财教[2023]155号/中央/2024年高中改善办学条件/一中主教学楼地面改造工程绩效目标表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3A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A673E">
            <w:pPr>
              <w:pStyle w:val="14"/>
            </w:pPr>
            <w:r>
              <w:t>单位：万元</w:t>
            </w:r>
          </w:p>
        </w:tc>
      </w:tr>
      <w:tr w14:paraId="7E285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A92E63">
            <w:pPr>
              <w:pStyle w:val="11"/>
            </w:pPr>
            <w:r>
              <w:t>项目编码</w:t>
            </w:r>
          </w:p>
        </w:tc>
        <w:tc>
          <w:tcPr>
            <w:tcW w:w="5103" w:type="dxa"/>
            <w:gridSpan w:val="2"/>
            <w:vAlign w:val="center"/>
          </w:tcPr>
          <w:p w14:paraId="121CF7ED">
            <w:pPr>
              <w:pStyle w:val="13"/>
            </w:pPr>
            <w:r>
              <w:t>13052524P00000611199L</w:t>
            </w:r>
          </w:p>
        </w:tc>
        <w:tc>
          <w:tcPr>
            <w:tcW w:w="2835" w:type="dxa"/>
            <w:vAlign w:val="center"/>
          </w:tcPr>
          <w:p w14:paraId="6BD2EECB">
            <w:pPr>
              <w:pStyle w:val="11"/>
            </w:pPr>
            <w:r>
              <w:t>项目名称</w:t>
            </w:r>
          </w:p>
        </w:tc>
        <w:tc>
          <w:tcPr>
            <w:tcW w:w="6095" w:type="dxa"/>
            <w:gridSpan w:val="3"/>
            <w:vAlign w:val="center"/>
          </w:tcPr>
          <w:p w14:paraId="465C86E5">
            <w:pPr>
              <w:pStyle w:val="13"/>
            </w:pPr>
            <w:r>
              <w:t>冀财教[2023]155号/中央/2024年高中改善办学条件/一中主教学楼地面改造工程</w:t>
            </w:r>
          </w:p>
        </w:tc>
      </w:tr>
      <w:tr w14:paraId="49904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71E46EC6">
            <w:pPr>
              <w:pStyle w:val="11"/>
            </w:pPr>
            <w:r>
              <w:t>预算规模及资金用途</w:t>
            </w:r>
          </w:p>
        </w:tc>
        <w:tc>
          <w:tcPr>
            <w:tcW w:w="2268" w:type="dxa"/>
            <w:vAlign w:val="center"/>
          </w:tcPr>
          <w:p w14:paraId="0885ABE4">
            <w:pPr>
              <w:pStyle w:val="11"/>
            </w:pPr>
            <w:r>
              <w:t>预算数</w:t>
            </w:r>
          </w:p>
        </w:tc>
        <w:tc>
          <w:tcPr>
            <w:tcW w:w="2835" w:type="dxa"/>
            <w:vAlign w:val="center"/>
          </w:tcPr>
          <w:p w14:paraId="160FD2E2">
            <w:pPr>
              <w:pStyle w:val="13"/>
            </w:pPr>
            <w:r>
              <w:t>67.08</w:t>
            </w:r>
          </w:p>
        </w:tc>
        <w:tc>
          <w:tcPr>
            <w:tcW w:w="2835" w:type="dxa"/>
            <w:vAlign w:val="center"/>
          </w:tcPr>
          <w:p w14:paraId="34BE122B">
            <w:pPr>
              <w:pStyle w:val="11"/>
            </w:pPr>
            <w:r>
              <w:t>其中：财政    资金</w:t>
            </w:r>
          </w:p>
        </w:tc>
        <w:tc>
          <w:tcPr>
            <w:tcW w:w="2551" w:type="dxa"/>
            <w:vAlign w:val="center"/>
          </w:tcPr>
          <w:p w14:paraId="45555A2A">
            <w:pPr>
              <w:pStyle w:val="13"/>
            </w:pPr>
            <w:r>
              <w:t>67.08</w:t>
            </w:r>
          </w:p>
        </w:tc>
        <w:tc>
          <w:tcPr>
            <w:tcW w:w="2268" w:type="dxa"/>
            <w:vAlign w:val="center"/>
          </w:tcPr>
          <w:p w14:paraId="1388324F">
            <w:pPr>
              <w:pStyle w:val="11"/>
            </w:pPr>
            <w:r>
              <w:t>其他资金</w:t>
            </w:r>
          </w:p>
        </w:tc>
        <w:tc>
          <w:tcPr>
            <w:tcW w:w="1276" w:type="dxa"/>
            <w:vAlign w:val="center"/>
          </w:tcPr>
          <w:p w14:paraId="77EA4BF6">
            <w:pPr>
              <w:pStyle w:val="13"/>
            </w:pPr>
            <w:r>
              <w:t xml:space="preserve"> </w:t>
            </w:r>
          </w:p>
        </w:tc>
      </w:tr>
      <w:tr w14:paraId="69C80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AA8E46"/>
        </w:tc>
        <w:tc>
          <w:tcPr>
            <w:tcW w:w="14033" w:type="dxa"/>
            <w:gridSpan w:val="6"/>
            <w:vAlign w:val="center"/>
          </w:tcPr>
          <w:p w14:paraId="26B8B898">
            <w:pPr>
              <w:pStyle w:val="13"/>
            </w:pPr>
            <w:r>
              <w:t>落实全国中小学校舍改造实施规划，完善学校整体面貌和教育设施</w:t>
            </w:r>
          </w:p>
        </w:tc>
      </w:tr>
      <w:tr w14:paraId="5A75E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C32F4">
            <w:pPr>
              <w:pStyle w:val="11"/>
            </w:pPr>
            <w:r>
              <w:t>资金支出计划（%）</w:t>
            </w:r>
          </w:p>
        </w:tc>
        <w:tc>
          <w:tcPr>
            <w:tcW w:w="5103" w:type="dxa"/>
            <w:gridSpan w:val="2"/>
            <w:vAlign w:val="center"/>
          </w:tcPr>
          <w:p w14:paraId="1F9DCA2E">
            <w:pPr>
              <w:pStyle w:val="11"/>
            </w:pPr>
            <w:r>
              <w:t>3月底</w:t>
            </w:r>
          </w:p>
        </w:tc>
        <w:tc>
          <w:tcPr>
            <w:tcW w:w="2835" w:type="dxa"/>
            <w:vAlign w:val="center"/>
          </w:tcPr>
          <w:p w14:paraId="7328535F">
            <w:pPr>
              <w:pStyle w:val="11"/>
            </w:pPr>
            <w:r>
              <w:t>6月底</w:t>
            </w:r>
          </w:p>
        </w:tc>
        <w:tc>
          <w:tcPr>
            <w:tcW w:w="2551" w:type="dxa"/>
            <w:vAlign w:val="center"/>
          </w:tcPr>
          <w:p w14:paraId="643A2E30">
            <w:pPr>
              <w:pStyle w:val="11"/>
            </w:pPr>
            <w:r>
              <w:t>10月底</w:t>
            </w:r>
          </w:p>
        </w:tc>
        <w:tc>
          <w:tcPr>
            <w:tcW w:w="3544" w:type="dxa"/>
            <w:gridSpan w:val="2"/>
            <w:vAlign w:val="center"/>
          </w:tcPr>
          <w:p w14:paraId="4D22424D">
            <w:pPr>
              <w:pStyle w:val="11"/>
            </w:pPr>
            <w:r>
              <w:t>12月底</w:t>
            </w:r>
          </w:p>
        </w:tc>
      </w:tr>
      <w:tr w14:paraId="023EF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50AB4"/>
        </w:tc>
        <w:tc>
          <w:tcPr>
            <w:tcW w:w="5103" w:type="dxa"/>
            <w:gridSpan w:val="2"/>
            <w:vAlign w:val="center"/>
          </w:tcPr>
          <w:p w14:paraId="44031CD8">
            <w:pPr>
              <w:pStyle w:val="12"/>
            </w:pPr>
            <w:r>
              <w:t xml:space="preserve"> </w:t>
            </w:r>
          </w:p>
        </w:tc>
        <w:tc>
          <w:tcPr>
            <w:tcW w:w="2835" w:type="dxa"/>
            <w:vAlign w:val="center"/>
          </w:tcPr>
          <w:p w14:paraId="33D0538E">
            <w:pPr>
              <w:pStyle w:val="12"/>
            </w:pPr>
            <w:r>
              <w:t xml:space="preserve"> </w:t>
            </w:r>
          </w:p>
        </w:tc>
        <w:tc>
          <w:tcPr>
            <w:tcW w:w="2551" w:type="dxa"/>
            <w:vAlign w:val="center"/>
          </w:tcPr>
          <w:p w14:paraId="39FBA860">
            <w:pPr>
              <w:pStyle w:val="12"/>
            </w:pPr>
            <w:r>
              <w:t xml:space="preserve"> </w:t>
            </w:r>
          </w:p>
        </w:tc>
        <w:tc>
          <w:tcPr>
            <w:tcW w:w="3544" w:type="dxa"/>
            <w:gridSpan w:val="2"/>
            <w:vAlign w:val="center"/>
          </w:tcPr>
          <w:p w14:paraId="16922657">
            <w:pPr>
              <w:pStyle w:val="12"/>
            </w:pPr>
            <w:r>
              <w:t>100%</w:t>
            </w:r>
          </w:p>
        </w:tc>
      </w:tr>
      <w:tr w14:paraId="3CB28A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2726D375">
            <w:pPr>
              <w:pStyle w:val="11"/>
            </w:pPr>
            <w:r>
              <w:t>绩效目标</w:t>
            </w:r>
          </w:p>
        </w:tc>
        <w:tc>
          <w:tcPr>
            <w:tcW w:w="14033" w:type="dxa"/>
            <w:gridSpan w:val="6"/>
            <w:vAlign w:val="center"/>
          </w:tcPr>
          <w:p w14:paraId="2C52971E">
            <w:pPr>
              <w:pStyle w:val="13"/>
            </w:pPr>
            <w:r>
              <w:t>1.落实全国中小学校舍改造实施规划，完善学校整体面貌和教育设施</w:t>
            </w:r>
          </w:p>
          <w:p w14:paraId="4744B331">
            <w:pPr>
              <w:pStyle w:val="13"/>
            </w:pPr>
            <w:r>
              <w:t>2.改善普通高中办学条件，进一步提升高中教育质量</w:t>
            </w:r>
          </w:p>
          <w:p w14:paraId="41F3DEAE">
            <w:pPr>
              <w:pStyle w:val="13"/>
            </w:pPr>
            <w:r>
              <w:t>3.按时拨付资金1228000元，资金拨付率达到100%</w:t>
            </w:r>
          </w:p>
        </w:tc>
      </w:tr>
    </w:tbl>
    <w:p w14:paraId="42A00E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14:paraId="636B6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14B36">
            <w:pPr>
              <w:pStyle w:val="11"/>
            </w:pPr>
            <w:r>
              <w:t>一级指标</w:t>
            </w:r>
          </w:p>
        </w:tc>
        <w:tc>
          <w:tcPr>
            <w:tcW w:w="2268" w:type="dxa"/>
            <w:vAlign w:val="center"/>
          </w:tcPr>
          <w:p w14:paraId="7F578AA3">
            <w:pPr>
              <w:pStyle w:val="11"/>
            </w:pPr>
            <w:r>
              <w:t>二级指标</w:t>
            </w:r>
          </w:p>
        </w:tc>
        <w:tc>
          <w:tcPr>
            <w:tcW w:w="2835" w:type="dxa"/>
            <w:vAlign w:val="center"/>
          </w:tcPr>
          <w:p w14:paraId="201F2DE5">
            <w:pPr>
              <w:pStyle w:val="11"/>
            </w:pPr>
            <w:r>
              <w:t>三级指标</w:t>
            </w:r>
          </w:p>
        </w:tc>
        <w:tc>
          <w:tcPr>
            <w:tcW w:w="5386" w:type="dxa"/>
            <w:vAlign w:val="center"/>
          </w:tcPr>
          <w:p w14:paraId="20D19FDE">
            <w:pPr>
              <w:pStyle w:val="11"/>
            </w:pPr>
            <w:r>
              <w:t>绩效指标描述</w:t>
            </w:r>
          </w:p>
        </w:tc>
        <w:tc>
          <w:tcPr>
            <w:tcW w:w="1853" w:type="dxa"/>
            <w:vAlign w:val="center"/>
          </w:tcPr>
          <w:p w14:paraId="0A87E1E0">
            <w:pPr>
              <w:pStyle w:val="11"/>
            </w:pPr>
            <w:r>
              <w:t>指标值</w:t>
            </w:r>
          </w:p>
        </w:tc>
        <w:tc>
          <w:tcPr>
            <w:tcW w:w="1691" w:type="dxa"/>
            <w:vAlign w:val="center"/>
          </w:tcPr>
          <w:p w14:paraId="695CCDFF">
            <w:pPr>
              <w:pStyle w:val="11"/>
            </w:pPr>
            <w:r>
              <w:t>指标值确定依据</w:t>
            </w:r>
          </w:p>
        </w:tc>
      </w:tr>
      <w:tr w14:paraId="791CE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46C8D">
            <w:pPr>
              <w:pStyle w:val="12"/>
            </w:pPr>
            <w:r>
              <w:t>产出指标</w:t>
            </w:r>
          </w:p>
        </w:tc>
        <w:tc>
          <w:tcPr>
            <w:tcW w:w="2268" w:type="dxa"/>
            <w:vAlign w:val="center"/>
          </w:tcPr>
          <w:p w14:paraId="2D65E879">
            <w:pPr>
              <w:pStyle w:val="13"/>
            </w:pPr>
            <w:r>
              <w:t>数量指标</w:t>
            </w:r>
          </w:p>
        </w:tc>
        <w:tc>
          <w:tcPr>
            <w:tcW w:w="2835" w:type="dxa"/>
            <w:vAlign w:val="center"/>
          </w:tcPr>
          <w:p w14:paraId="79538FEA">
            <w:pPr>
              <w:pStyle w:val="13"/>
            </w:pPr>
            <w:r>
              <w:t>普通高中新建、改扩建校舍面积</w:t>
            </w:r>
          </w:p>
        </w:tc>
        <w:tc>
          <w:tcPr>
            <w:tcW w:w="5386" w:type="dxa"/>
            <w:vAlign w:val="center"/>
          </w:tcPr>
          <w:p w14:paraId="36F8BFAB">
            <w:pPr>
              <w:pStyle w:val="13"/>
            </w:pPr>
            <w:r>
              <w:t>主教学楼地面改造工程面积</w:t>
            </w:r>
          </w:p>
        </w:tc>
        <w:tc>
          <w:tcPr>
            <w:tcW w:w="1853" w:type="dxa"/>
            <w:vAlign w:val="center"/>
          </w:tcPr>
          <w:p w14:paraId="57A948E1">
            <w:pPr>
              <w:pStyle w:val="13"/>
            </w:pPr>
            <w:r>
              <w:t>7675平方米</w:t>
            </w:r>
          </w:p>
        </w:tc>
        <w:tc>
          <w:tcPr>
            <w:tcW w:w="1691" w:type="dxa"/>
            <w:vAlign w:val="center"/>
          </w:tcPr>
          <w:p w14:paraId="00F08529">
            <w:pPr>
              <w:pStyle w:val="13"/>
            </w:pPr>
            <w:r>
              <w:t>可行性研究报告</w:t>
            </w:r>
          </w:p>
        </w:tc>
      </w:tr>
      <w:tr w14:paraId="7D450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9BD52"/>
        </w:tc>
        <w:tc>
          <w:tcPr>
            <w:tcW w:w="2268" w:type="dxa"/>
            <w:vAlign w:val="center"/>
          </w:tcPr>
          <w:p w14:paraId="45E1DD27">
            <w:pPr>
              <w:pStyle w:val="13"/>
            </w:pPr>
            <w:r>
              <w:t>质量指标</w:t>
            </w:r>
          </w:p>
        </w:tc>
        <w:tc>
          <w:tcPr>
            <w:tcW w:w="2835" w:type="dxa"/>
            <w:vAlign w:val="center"/>
          </w:tcPr>
          <w:p w14:paraId="148A48F5">
            <w:pPr>
              <w:pStyle w:val="13"/>
            </w:pPr>
            <w:r>
              <w:t>新建、改扩建工程验收合格率</w:t>
            </w:r>
          </w:p>
        </w:tc>
        <w:tc>
          <w:tcPr>
            <w:tcW w:w="5386" w:type="dxa"/>
            <w:vAlign w:val="center"/>
          </w:tcPr>
          <w:p w14:paraId="538B7D41">
            <w:pPr>
              <w:pStyle w:val="13"/>
            </w:pPr>
            <w:r>
              <w:t>新建工程验收合格数量与新建工程数量之比</w:t>
            </w:r>
          </w:p>
        </w:tc>
        <w:tc>
          <w:tcPr>
            <w:tcW w:w="1853" w:type="dxa"/>
            <w:vAlign w:val="center"/>
          </w:tcPr>
          <w:p w14:paraId="2B833555">
            <w:pPr>
              <w:pStyle w:val="13"/>
            </w:pPr>
            <w:r>
              <w:t>≥100%</w:t>
            </w:r>
          </w:p>
        </w:tc>
        <w:tc>
          <w:tcPr>
            <w:tcW w:w="1691" w:type="dxa"/>
            <w:vAlign w:val="center"/>
          </w:tcPr>
          <w:p w14:paraId="012E5006">
            <w:pPr>
              <w:pStyle w:val="13"/>
            </w:pPr>
            <w:r>
              <w:t>可行性研究报告</w:t>
            </w:r>
          </w:p>
        </w:tc>
      </w:tr>
      <w:tr w14:paraId="4663A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462E1"/>
        </w:tc>
        <w:tc>
          <w:tcPr>
            <w:tcW w:w="2268" w:type="dxa"/>
            <w:vAlign w:val="center"/>
          </w:tcPr>
          <w:p w14:paraId="33A8830C">
            <w:pPr>
              <w:pStyle w:val="13"/>
            </w:pPr>
            <w:r>
              <w:t>时效指标</w:t>
            </w:r>
          </w:p>
        </w:tc>
        <w:tc>
          <w:tcPr>
            <w:tcW w:w="2835" w:type="dxa"/>
            <w:vAlign w:val="center"/>
          </w:tcPr>
          <w:p w14:paraId="1053BC2C">
            <w:pPr>
              <w:pStyle w:val="13"/>
            </w:pPr>
            <w:r>
              <w:t>宿舍改造工程按期完成率</w:t>
            </w:r>
          </w:p>
        </w:tc>
        <w:tc>
          <w:tcPr>
            <w:tcW w:w="5386" w:type="dxa"/>
            <w:vAlign w:val="center"/>
          </w:tcPr>
          <w:p w14:paraId="237B8068">
            <w:pPr>
              <w:pStyle w:val="13"/>
            </w:pPr>
            <w:r>
              <w:t>工程按时完工率</w:t>
            </w:r>
          </w:p>
        </w:tc>
        <w:tc>
          <w:tcPr>
            <w:tcW w:w="1853" w:type="dxa"/>
            <w:vAlign w:val="center"/>
          </w:tcPr>
          <w:p w14:paraId="47231650">
            <w:pPr>
              <w:pStyle w:val="13"/>
            </w:pPr>
            <w:r>
              <w:t>100%</w:t>
            </w:r>
          </w:p>
        </w:tc>
        <w:tc>
          <w:tcPr>
            <w:tcW w:w="1691" w:type="dxa"/>
            <w:vAlign w:val="center"/>
          </w:tcPr>
          <w:p w14:paraId="621E0B69">
            <w:pPr>
              <w:pStyle w:val="13"/>
            </w:pPr>
            <w:r>
              <w:t>结合项目实际情况</w:t>
            </w:r>
          </w:p>
        </w:tc>
      </w:tr>
      <w:tr w14:paraId="729B6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76291"/>
        </w:tc>
        <w:tc>
          <w:tcPr>
            <w:tcW w:w="2268" w:type="dxa"/>
            <w:vAlign w:val="center"/>
          </w:tcPr>
          <w:p w14:paraId="029C0730">
            <w:pPr>
              <w:pStyle w:val="13"/>
            </w:pPr>
            <w:r>
              <w:t>成本指标</w:t>
            </w:r>
          </w:p>
        </w:tc>
        <w:tc>
          <w:tcPr>
            <w:tcW w:w="2835" w:type="dxa"/>
            <w:vAlign w:val="center"/>
          </w:tcPr>
          <w:p w14:paraId="2069EA5F">
            <w:pPr>
              <w:pStyle w:val="13"/>
            </w:pPr>
            <w:r>
              <w:t>设施修缮成本</w:t>
            </w:r>
          </w:p>
        </w:tc>
        <w:tc>
          <w:tcPr>
            <w:tcW w:w="5386" w:type="dxa"/>
            <w:vAlign w:val="center"/>
          </w:tcPr>
          <w:p w14:paraId="0E36B63D">
            <w:pPr>
              <w:pStyle w:val="13"/>
            </w:pPr>
            <w:r>
              <w:t>实行政府采购招投标</w:t>
            </w:r>
          </w:p>
        </w:tc>
        <w:tc>
          <w:tcPr>
            <w:tcW w:w="1853" w:type="dxa"/>
            <w:vAlign w:val="center"/>
          </w:tcPr>
          <w:p w14:paraId="4801D7C0">
            <w:pPr>
              <w:pStyle w:val="13"/>
            </w:pPr>
            <w:r>
              <w:t>≤122.8万元</w:t>
            </w:r>
          </w:p>
        </w:tc>
        <w:tc>
          <w:tcPr>
            <w:tcW w:w="1691" w:type="dxa"/>
            <w:vAlign w:val="center"/>
          </w:tcPr>
          <w:p w14:paraId="3B6553AC">
            <w:pPr>
              <w:pStyle w:val="13"/>
            </w:pPr>
            <w:r>
              <w:t>结合项目实际情况</w:t>
            </w:r>
          </w:p>
        </w:tc>
      </w:tr>
      <w:tr w14:paraId="7AFB0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78B33">
            <w:pPr>
              <w:pStyle w:val="12"/>
            </w:pPr>
            <w:r>
              <w:t>效益指标</w:t>
            </w:r>
          </w:p>
        </w:tc>
        <w:tc>
          <w:tcPr>
            <w:tcW w:w="2268" w:type="dxa"/>
            <w:vAlign w:val="center"/>
          </w:tcPr>
          <w:p w14:paraId="729D788A">
            <w:pPr>
              <w:pStyle w:val="13"/>
            </w:pPr>
            <w:r>
              <w:t>经济效益指标</w:t>
            </w:r>
          </w:p>
        </w:tc>
        <w:tc>
          <w:tcPr>
            <w:tcW w:w="2835" w:type="dxa"/>
            <w:vAlign w:val="center"/>
          </w:tcPr>
          <w:p w14:paraId="45746BEA">
            <w:pPr>
              <w:pStyle w:val="13"/>
            </w:pPr>
            <w:r>
              <w:t>高中教育毛入学率</w:t>
            </w:r>
          </w:p>
        </w:tc>
        <w:tc>
          <w:tcPr>
            <w:tcW w:w="5386" w:type="dxa"/>
            <w:vAlign w:val="center"/>
          </w:tcPr>
          <w:p w14:paraId="1F068E4C">
            <w:pPr>
              <w:pStyle w:val="13"/>
            </w:pPr>
            <w:r>
              <w:t>大幅度提升高中阶段毛入学率</w:t>
            </w:r>
          </w:p>
        </w:tc>
        <w:tc>
          <w:tcPr>
            <w:tcW w:w="1853" w:type="dxa"/>
            <w:vAlign w:val="center"/>
          </w:tcPr>
          <w:p w14:paraId="4442E1BF">
            <w:pPr>
              <w:pStyle w:val="13"/>
            </w:pPr>
            <w:r>
              <w:t>≥90%</w:t>
            </w:r>
          </w:p>
        </w:tc>
        <w:tc>
          <w:tcPr>
            <w:tcW w:w="1691" w:type="dxa"/>
            <w:vAlign w:val="center"/>
          </w:tcPr>
          <w:p w14:paraId="4ABC80BC">
            <w:pPr>
              <w:pStyle w:val="13"/>
            </w:pPr>
            <w:r>
              <w:t>可行性研究报告</w:t>
            </w:r>
          </w:p>
        </w:tc>
      </w:tr>
      <w:tr w14:paraId="3804A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D0D31"/>
        </w:tc>
        <w:tc>
          <w:tcPr>
            <w:tcW w:w="2268" w:type="dxa"/>
            <w:vAlign w:val="center"/>
          </w:tcPr>
          <w:p w14:paraId="03C8B6F7">
            <w:pPr>
              <w:pStyle w:val="13"/>
            </w:pPr>
            <w:r>
              <w:t>社会效益指标</w:t>
            </w:r>
          </w:p>
        </w:tc>
        <w:tc>
          <w:tcPr>
            <w:tcW w:w="2835" w:type="dxa"/>
            <w:vAlign w:val="center"/>
          </w:tcPr>
          <w:p w14:paraId="3B253525">
            <w:pPr>
              <w:pStyle w:val="13"/>
            </w:pPr>
            <w:r>
              <w:t>受益人数</w:t>
            </w:r>
          </w:p>
        </w:tc>
        <w:tc>
          <w:tcPr>
            <w:tcW w:w="5386" w:type="dxa"/>
            <w:vAlign w:val="center"/>
          </w:tcPr>
          <w:p w14:paraId="52C35238">
            <w:pPr>
              <w:pStyle w:val="13"/>
            </w:pPr>
            <w:r>
              <w:t>受益学生人数</w:t>
            </w:r>
          </w:p>
        </w:tc>
        <w:tc>
          <w:tcPr>
            <w:tcW w:w="1853" w:type="dxa"/>
            <w:vAlign w:val="center"/>
          </w:tcPr>
          <w:p w14:paraId="5FED3617">
            <w:pPr>
              <w:pStyle w:val="13"/>
            </w:pPr>
            <w:r>
              <w:t>≥1380人</w:t>
            </w:r>
          </w:p>
        </w:tc>
        <w:tc>
          <w:tcPr>
            <w:tcW w:w="1691" w:type="dxa"/>
            <w:vAlign w:val="center"/>
          </w:tcPr>
          <w:p w14:paraId="4A053E4E">
            <w:pPr>
              <w:pStyle w:val="13"/>
            </w:pPr>
            <w:r>
              <w:t>可行性研究报告</w:t>
            </w:r>
          </w:p>
        </w:tc>
      </w:tr>
      <w:tr w14:paraId="47276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F98BC"/>
        </w:tc>
        <w:tc>
          <w:tcPr>
            <w:tcW w:w="2268" w:type="dxa"/>
            <w:vAlign w:val="center"/>
          </w:tcPr>
          <w:p w14:paraId="459FBFC5">
            <w:pPr>
              <w:pStyle w:val="13"/>
            </w:pPr>
            <w:r>
              <w:t>可持续影响指标</w:t>
            </w:r>
          </w:p>
        </w:tc>
        <w:tc>
          <w:tcPr>
            <w:tcW w:w="2835" w:type="dxa"/>
            <w:vAlign w:val="center"/>
          </w:tcPr>
          <w:p w14:paraId="3D0463BC">
            <w:pPr>
              <w:pStyle w:val="13"/>
            </w:pPr>
            <w:r>
              <w:t>校舍使用年限</w:t>
            </w:r>
          </w:p>
        </w:tc>
        <w:tc>
          <w:tcPr>
            <w:tcW w:w="5386" w:type="dxa"/>
            <w:vAlign w:val="center"/>
          </w:tcPr>
          <w:p w14:paraId="084BF828">
            <w:pPr>
              <w:pStyle w:val="13"/>
            </w:pPr>
            <w:r>
              <w:t>提高校舍使用年限</w:t>
            </w:r>
          </w:p>
        </w:tc>
        <w:tc>
          <w:tcPr>
            <w:tcW w:w="1853" w:type="dxa"/>
            <w:vAlign w:val="center"/>
          </w:tcPr>
          <w:p w14:paraId="3EE0AE0E">
            <w:pPr>
              <w:pStyle w:val="13"/>
            </w:pPr>
            <w:r>
              <w:t>≥50年</w:t>
            </w:r>
          </w:p>
        </w:tc>
        <w:tc>
          <w:tcPr>
            <w:tcW w:w="1691" w:type="dxa"/>
            <w:vAlign w:val="center"/>
          </w:tcPr>
          <w:p w14:paraId="43844AB1">
            <w:pPr>
              <w:pStyle w:val="13"/>
            </w:pPr>
            <w:r>
              <w:t>可行性研究报告</w:t>
            </w:r>
          </w:p>
        </w:tc>
      </w:tr>
      <w:tr w14:paraId="7B201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847BF">
            <w:pPr>
              <w:pStyle w:val="12"/>
            </w:pPr>
            <w:r>
              <w:t>满意度指标</w:t>
            </w:r>
          </w:p>
        </w:tc>
        <w:tc>
          <w:tcPr>
            <w:tcW w:w="2268" w:type="dxa"/>
            <w:vAlign w:val="center"/>
          </w:tcPr>
          <w:p w14:paraId="2A27CEA3">
            <w:pPr>
              <w:pStyle w:val="13"/>
            </w:pPr>
            <w:r>
              <w:t>服务对象满意度指标</w:t>
            </w:r>
          </w:p>
        </w:tc>
        <w:tc>
          <w:tcPr>
            <w:tcW w:w="2835" w:type="dxa"/>
            <w:vAlign w:val="center"/>
          </w:tcPr>
          <w:p w14:paraId="5C6E54A5">
            <w:pPr>
              <w:pStyle w:val="13"/>
            </w:pPr>
            <w:r>
              <w:t>学生和学生家长满意度</w:t>
            </w:r>
          </w:p>
        </w:tc>
        <w:tc>
          <w:tcPr>
            <w:tcW w:w="5386" w:type="dxa"/>
            <w:vAlign w:val="center"/>
          </w:tcPr>
          <w:p w14:paraId="38F419F4">
            <w:pPr>
              <w:pStyle w:val="13"/>
            </w:pPr>
            <w:r>
              <w:t>大幅提高学生和学生家长满意度</w:t>
            </w:r>
          </w:p>
        </w:tc>
        <w:tc>
          <w:tcPr>
            <w:tcW w:w="1853" w:type="dxa"/>
            <w:vAlign w:val="center"/>
          </w:tcPr>
          <w:p w14:paraId="6A73E488">
            <w:pPr>
              <w:pStyle w:val="13"/>
            </w:pPr>
            <w:r>
              <w:t>≥95%</w:t>
            </w:r>
          </w:p>
        </w:tc>
        <w:tc>
          <w:tcPr>
            <w:tcW w:w="1691" w:type="dxa"/>
            <w:vAlign w:val="center"/>
          </w:tcPr>
          <w:p w14:paraId="6D777678">
            <w:pPr>
              <w:pStyle w:val="13"/>
            </w:pPr>
            <w:r>
              <w:t>可行性研究报告</w:t>
            </w:r>
          </w:p>
        </w:tc>
      </w:tr>
    </w:tbl>
    <w:p w14:paraId="1914899D">
      <w:pPr>
        <w:sectPr>
          <w:pgSz w:w="16840" w:h="11900" w:orient="landscape"/>
          <w:pgMar w:top="1361" w:right="1020" w:bottom="1134" w:left="1020" w:header="720" w:footer="720" w:gutter="0"/>
          <w:cols w:space="720" w:num="1"/>
        </w:sectPr>
      </w:pPr>
    </w:p>
    <w:p w14:paraId="796B82B9">
      <w:pPr>
        <w:spacing w:before="0" w:after="0"/>
        <w:ind w:firstLine="560"/>
        <w:jc w:val="left"/>
        <w:outlineLvl w:val="9"/>
      </w:pPr>
      <w:r>
        <w:rPr>
          <w:rFonts w:ascii="方正仿宋_GBK" w:hAnsi="方正仿宋_GBK" w:eastAsia="方正仿宋_GBK" w:cs="方正仿宋_GBK"/>
          <w:b/>
          <w:color w:val="000000"/>
          <w:sz w:val="28"/>
        </w:rPr>
        <w:t>3、冀财教[2023]155号/中央/2024年高中改善办学条件/一中主教学楼空气能安装项目绩效目标表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0C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FF0BA">
            <w:pPr>
              <w:pStyle w:val="14"/>
            </w:pPr>
            <w:r>
              <w:t>单位：万元</w:t>
            </w:r>
          </w:p>
        </w:tc>
      </w:tr>
      <w:tr w14:paraId="52D00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65191">
            <w:pPr>
              <w:pStyle w:val="11"/>
            </w:pPr>
            <w:r>
              <w:t>项目编码</w:t>
            </w:r>
          </w:p>
        </w:tc>
        <w:tc>
          <w:tcPr>
            <w:tcW w:w="5103" w:type="dxa"/>
            <w:gridSpan w:val="2"/>
            <w:vAlign w:val="center"/>
          </w:tcPr>
          <w:p w14:paraId="198BD54F">
            <w:pPr>
              <w:pStyle w:val="13"/>
            </w:pPr>
            <w:r>
              <w:t>13052524P00000611200J</w:t>
            </w:r>
          </w:p>
        </w:tc>
        <w:tc>
          <w:tcPr>
            <w:tcW w:w="2835" w:type="dxa"/>
            <w:vAlign w:val="center"/>
          </w:tcPr>
          <w:p w14:paraId="4748AB29">
            <w:pPr>
              <w:pStyle w:val="11"/>
            </w:pPr>
            <w:r>
              <w:t>项目名称</w:t>
            </w:r>
          </w:p>
        </w:tc>
        <w:tc>
          <w:tcPr>
            <w:tcW w:w="6095" w:type="dxa"/>
            <w:gridSpan w:val="3"/>
            <w:vAlign w:val="center"/>
          </w:tcPr>
          <w:p w14:paraId="78A97A06">
            <w:pPr>
              <w:pStyle w:val="13"/>
            </w:pPr>
            <w:r>
              <w:t>冀财教[2023]155号/中央/2024年高中改善办学条件/一中主教学楼空气能安装项目</w:t>
            </w:r>
          </w:p>
        </w:tc>
      </w:tr>
      <w:tr w14:paraId="7BF42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B93B8">
            <w:pPr>
              <w:pStyle w:val="11"/>
            </w:pPr>
            <w:r>
              <w:t>预算规模及资金用途</w:t>
            </w:r>
          </w:p>
        </w:tc>
        <w:tc>
          <w:tcPr>
            <w:tcW w:w="2268" w:type="dxa"/>
            <w:vAlign w:val="center"/>
          </w:tcPr>
          <w:p w14:paraId="6F6E69A1">
            <w:pPr>
              <w:pStyle w:val="11"/>
            </w:pPr>
            <w:r>
              <w:t>预算数</w:t>
            </w:r>
          </w:p>
        </w:tc>
        <w:tc>
          <w:tcPr>
            <w:tcW w:w="2835" w:type="dxa"/>
            <w:vAlign w:val="center"/>
          </w:tcPr>
          <w:p w14:paraId="66611CA1">
            <w:pPr>
              <w:pStyle w:val="13"/>
            </w:pPr>
            <w:r>
              <w:t>81.91</w:t>
            </w:r>
          </w:p>
        </w:tc>
        <w:tc>
          <w:tcPr>
            <w:tcW w:w="2835" w:type="dxa"/>
            <w:vAlign w:val="center"/>
          </w:tcPr>
          <w:p w14:paraId="537032A7">
            <w:pPr>
              <w:pStyle w:val="11"/>
            </w:pPr>
            <w:r>
              <w:t>其中：财政    资金</w:t>
            </w:r>
          </w:p>
        </w:tc>
        <w:tc>
          <w:tcPr>
            <w:tcW w:w="2551" w:type="dxa"/>
            <w:vAlign w:val="center"/>
          </w:tcPr>
          <w:p w14:paraId="7F1D4A5B">
            <w:pPr>
              <w:pStyle w:val="13"/>
            </w:pPr>
            <w:r>
              <w:t>81.91</w:t>
            </w:r>
          </w:p>
        </w:tc>
        <w:tc>
          <w:tcPr>
            <w:tcW w:w="2268" w:type="dxa"/>
            <w:vAlign w:val="center"/>
          </w:tcPr>
          <w:p w14:paraId="6C1F6BE1">
            <w:pPr>
              <w:pStyle w:val="11"/>
            </w:pPr>
            <w:r>
              <w:t>其他资金</w:t>
            </w:r>
          </w:p>
        </w:tc>
        <w:tc>
          <w:tcPr>
            <w:tcW w:w="1276" w:type="dxa"/>
            <w:vAlign w:val="center"/>
          </w:tcPr>
          <w:p w14:paraId="1DB57AA5">
            <w:pPr>
              <w:pStyle w:val="13"/>
            </w:pPr>
            <w:r>
              <w:t xml:space="preserve"> </w:t>
            </w:r>
          </w:p>
        </w:tc>
      </w:tr>
      <w:tr w14:paraId="56E0A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73E8446"/>
        </w:tc>
        <w:tc>
          <w:tcPr>
            <w:tcW w:w="14033" w:type="dxa"/>
            <w:gridSpan w:val="6"/>
            <w:vAlign w:val="center"/>
          </w:tcPr>
          <w:p w14:paraId="71ED75ED">
            <w:pPr>
              <w:pStyle w:val="13"/>
            </w:pPr>
            <w:r>
              <w:t>落实全国中小学校舍改造实施规划，完善学校整体面貌和教育设施</w:t>
            </w:r>
          </w:p>
        </w:tc>
      </w:tr>
      <w:tr w14:paraId="7C6E6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56D16">
            <w:pPr>
              <w:pStyle w:val="11"/>
            </w:pPr>
            <w:r>
              <w:t>资金支出计划（%）</w:t>
            </w:r>
          </w:p>
        </w:tc>
        <w:tc>
          <w:tcPr>
            <w:tcW w:w="5103" w:type="dxa"/>
            <w:gridSpan w:val="2"/>
            <w:vAlign w:val="center"/>
          </w:tcPr>
          <w:p w14:paraId="2909BF3C">
            <w:pPr>
              <w:pStyle w:val="11"/>
            </w:pPr>
            <w:r>
              <w:t>3月底</w:t>
            </w:r>
          </w:p>
        </w:tc>
        <w:tc>
          <w:tcPr>
            <w:tcW w:w="2835" w:type="dxa"/>
            <w:vAlign w:val="center"/>
          </w:tcPr>
          <w:p w14:paraId="63EE478E">
            <w:pPr>
              <w:pStyle w:val="11"/>
            </w:pPr>
            <w:r>
              <w:t>6月底</w:t>
            </w:r>
          </w:p>
        </w:tc>
        <w:tc>
          <w:tcPr>
            <w:tcW w:w="2551" w:type="dxa"/>
            <w:vAlign w:val="center"/>
          </w:tcPr>
          <w:p w14:paraId="4770739E">
            <w:pPr>
              <w:pStyle w:val="11"/>
            </w:pPr>
            <w:r>
              <w:t>10月底</w:t>
            </w:r>
          </w:p>
        </w:tc>
        <w:tc>
          <w:tcPr>
            <w:tcW w:w="3544" w:type="dxa"/>
            <w:gridSpan w:val="2"/>
            <w:vAlign w:val="center"/>
          </w:tcPr>
          <w:p w14:paraId="4CDF79F9">
            <w:pPr>
              <w:pStyle w:val="11"/>
            </w:pPr>
            <w:r>
              <w:t>12月底</w:t>
            </w:r>
          </w:p>
        </w:tc>
      </w:tr>
      <w:tr w14:paraId="7525A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985862"/>
        </w:tc>
        <w:tc>
          <w:tcPr>
            <w:tcW w:w="5103" w:type="dxa"/>
            <w:gridSpan w:val="2"/>
            <w:vAlign w:val="center"/>
          </w:tcPr>
          <w:p w14:paraId="4A791C3C">
            <w:pPr>
              <w:pStyle w:val="12"/>
            </w:pPr>
            <w:r>
              <w:t xml:space="preserve"> </w:t>
            </w:r>
          </w:p>
        </w:tc>
        <w:tc>
          <w:tcPr>
            <w:tcW w:w="2835" w:type="dxa"/>
            <w:vAlign w:val="center"/>
          </w:tcPr>
          <w:p w14:paraId="7284E1B7">
            <w:pPr>
              <w:pStyle w:val="12"/>
            </w:pPr>
            <w:r>
              <w:t xml:space="preserve"> </w:t>
            </w:r>
          </w:p>
        </w:tc>
        <w:tc>
          <w:tcPr>
            <w:tcW w:w="2551" w:type="dxa"/>
            <w:vAlign w:val="center"/>
          </w:tcPr>
          <w:p w14:paraId="060F6422">
            <w:pPr>
              <w:pStyle w:val="12"/>
            </w:pPr>
            <w:r>
              <w:t xml:space="preserve"> </w:t>
            </w:r>
          </w:p>
        </w:tc>
        <w:tc>
          <w:tcPr>
            <w:tcW w:w="3544" w:type="dxa"/>
            <w:gridSpan w:val="2"/>
            <w:vAlign w:val="center"/>
          </w:tcPr>
          <w:p w14:paraId="0FDFE89C">
            <w:pPr>
              <w:pStyle w:val="12"/>
            </w:pPr>
            <w:r>
              <w:t>100%</w:t>
            </w:r>
          </w:p>
        </w:tc>
      </w:tr>
      <w:tr w14:paraId="61F8B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8C4BA9">
            <w:pPr>
              <w:pStyle w:val="11"/>
            </w:pPr>
            <w:r>
              <w:t>绩效目标</w:t>
            </w:r>
          </w:p>
        </w:tc>
        <w:tc>
          <w:tcPr>
            <w:tcW w:w="14033" w:type="dxa"/>
            <w:gridSpan w:val="6"/>
            <w:vAlign w:val="center"/>
          </w:tcPr>
          <w:p w14:paraId="520BD8E2">
            <w:pPr>
              <w:pStyle w:val="13"/>
            </w:pPr>
            <w:r>
              <w:t>1.落实全国中小学校舍改造实施规划，完善学校整体面貌和教育设施</w:t>
            </w:r>
          </w:p>
          <w:p w14:paraId="77A45356">
            <w:pPr>
              <w:pStyle w:val="13"/>
            </w:pPr>
            <w:r>
              <w:t>2.改善普通高中办学条件，提高教学质量</w:t>
            </w:r>
          </w:p>
          <w:p w14:paraId="1D6B7A5A">
            <w:pPr>
              <w:pStyle w:val="13"/>
            </w:pPr>
            <w:r>
              <w:t>3.按时拨付资金1612000元，资金拨付率达到100%</w:t>
            </w:r>
          </w:p>
        </w:tc>
      </w:tr>
    </w:tbl>
    <w:p w14:paraId="1B942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14:paraId="79B30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28FE3">
            <w:pPr>
              <w:pStyle w:val="11"/>
            </w:pPr>
            <w:r>
              <w:t>一级指标</w:t>
            </w:r>
          </w:p>
        </w:tc>
        <w:tc>
          <w:tcPr>
            <w:tcW w:w="2268" w:type="dxa"/>
            <w:vAlign w:val="center"/>
          </w:tcPr>
          <w:p w14:paraId="30D06089">
            <w:pPr>
              <w:pStyle w:val="11"/>
            </w:pPr>
            <w:r>
              <w:t>二级指标</w:t>
            </w:r>
          </w:p>
        </w:tc>
        <w:tc>
          <w:tcPr>
            <w:tcW w:w="2835" w:type="dxa"/>
            <w:vAlign w:val="center"/>
          </w:tcPr>
          <w:p w14:paraId="31A6D43A">
            <w:pPr>
              <w:pStyle w:val="11"/>
            </w:pPr>
            <w:r>
              <w:t>三级指标</w:t>
            </w:r>
          </w:p>
        </w:tc>
        <w:tc>
          <w:tcPr>
            <w:tcW w:w="5386" w:type="dxa"/>
            <w:vAlign w:val="center"/>
          </w:tcPr>
          <w:p w14:paraId="3C910F62">
            <w:pPr>
              <w:pStyle w:val="11"/>
            </w:pPr>
            <w:r>
              <w:t>绩效指标描述</w:t>
            </w:r>
          </w:p>
        </w:tc>
        <w:tc>
          <w:tcPr>
            <w:tcW w:w="1658" w:type="dxa"/>
            <w:vAlign w:val="center"/>
          </w:tcPr>
          <w:p w14:paraId="0BD161FF">
            <w:pPr>
              <w:pStyle w:val="11"/>
            </w:pPr>
            <w:r>
              <w:t>指标值</w:t>
            </w:r>
          </w:p>
        </w:tc>
        <w:tc>
          <w:tcPr>
            <w:tcW w:w="1886" w:type="dxa"/>
            <w:vAlign w:val="center"/>
          </w:tcPr>
          <w:p w14:paraId="10788737">
            <w:pPr>
              <w:pStyle w:val="11"/>
            </w:pPr>
            <w:r>
              <w:t>指标值确定依据</w:t>
            </w:r>
          </w:p>
        </w:tc>
      </w:tr>
      <w:tr w14:paraId="35DE1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34F0B">
            <w:pPr>
              <w:pStyle w:val="12"/>
            </w:pPr>
            <w:r>
              <w:t>产出指标</w:t>
            </w:r>
          </w:p>
        </w:tc>
        <w:tc>
          <w:tcPr>
            <w:tcW w:w="2268" w:type="dxa"/>
            <w:vAlign w:val="center"/>
          </w:tcPr>
          <w:p w14:paraId="0F604422">
            <w:pPr>
              <w:pStyle w:val="13"/>
            </w:pPr>
            <w:r>
              <w:t>数量指标</w:t>
            </w:r>
          </w:p>
        </w:tc>
        <w:tc>
          <w:tcPr>
            <w:tcW w:w="2835" w:type="dxa"/>
            <w:vAlign w:val="center"/>
          </w:tcPr>
          <w:p w14:paraId="08299445">
            <w:pPr>
              <w:pStyle w:val="13"/>
            </w:pPr>
            <w:r>
              <w:t>主教学楼空气能数量</w:t>
            </w:r>
          </w:p>
        </w:tc>
        <w:tc>
          <w:tcPr>
            <w:tcW w:w="5386" w:type="dxa"/>
            <w:vAlign w:val="center"/>
          </w:tcPr>
          <w:p w14:paraId="66A211A3">
            <w:pPr>
              <w:pStyle w:val="13"/>
            </w:pPr>
            <w:r>
              <w:t>主教学楼空气能系统数量</w:t>
            </w:r>
          </w:p>
        </w:tc>
        <w:tc>
          <w:tcPr>
            <w:tcW w:w="1658" w:type="dxa"/>
            <w:vAlign w:val="center"/>
          </w:tcPr>
          <w:p w14:paraId="1F68F6EC">
            <w:pPr>
              <w:pStyle w:val="13"/>
            </w:pPr>
            <w:r>
              <w:t>6套</w:t>
            </w:r>
          </w:p>
        </w:tc>
        <w:tc>
          <w:tcPr>
            <w:tcW w:w="1886" w:type="dxa"/>
            <w:vAlign w:val="center"/>
          </w:tcPr>
          <w:p w14:paraId="28A26761">
            <w:pPr>
              <w:pStyle w:val="13"/>
            </w:pPr>
            <w:r>
              <w:t>可行性研究报告</w:t>
            </w:r>
          </w:p>
        </w:tc>
      </w:tr>
      <w:tr w14:paraId="52270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A246C"/>
        </w:tc>
        <w:tc>
          <w:tcPr>
            <w:tcW w:w="2268" w:type="dxa"/>
            <w:vAlign w:val="center"/>
          </w:tcPr>
          <w:p w14:paraId="4AC5F933">
            <w:pPr>
              <w:pStyle w:val="13"/>
            </w:pPr>
            <w:r>
              <w:t>质量指标</w:t>
            </w:r>
          </w:p>
        </w:tc>
        <w:tc>
          <w:tcPr>
            <w:tcW w:w="2835" w:type="dxa"/>
            <w:vAlign w:val="center"/>
          </w:tcPr>
          <w:p w14:paraId="147E6163">
            <w:pPr>
              <w:pStyle w:val="13"/>
            </w:pPr>
            <w:r>
              <w:t>项目工程质量合格率</w:t>
            </w:r>
          </w:p>
        </w:tc>
        <w:tc>
          <w:tcPr>
            <w:tcW w:w="5386" w:type="dxa"/>
            <w:vAlign w:val="center"/>
          </w:tcPr>
          <w:p w14:paraId="531B34B0">
            <w:pPr>
              <w:pStyle w:val="13"/>
            </w:pPr>
            <w:r>
              <w:t>主教学楼空气能质量合格率</w:t>
            </w:r>
          </w:p>
        </w:tc>
        <w:tc>
          <w:tcPr>
            <w:tcW w:w="1658" w:type="dxa"/>
            <w:vAlign w:val="center"/>
          </w:tcPr>
          <w:p w14:paraId="6798F2BA">
            <w:pPr>
              <w:pStyle w:val="13"/>
            </w:pPr>
            <w:r>
              <w:t>≥100%</w:t>
            </w:r>
          </w:p>
        </w:tc>
        <w:tc>
          <w:tcPr>
            <w:tcW w:w="1886" w:type="dxa"/>
            <w:vAlign w:val="center"/>
          </w:tcPr>
          <w:p w14:paraId="4CD79BDB">
            <w:pPr>
              <w:pStyle w:val="13"/>
            </w:pPr>
            <w:r>
              <w:t>可行性研究报告</w:t>
            </w:r>
          </w:p>
        </w:tc>
      </w:tr>
      <w:tr w14:paraId="0725F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8EA5C"/>
        </w:tc>
        <w:tc>
          <w:tcPr>
            <w:tcW w:w="2268" w:type="dxa"/>
            <w:vAlign w:val="center"/>
          </w:tcPr>
          <w:p w14:paraId="39B634E8">
            <w:pPr>
              <w:pStyle w:val="13"/>
            </w:pPr>
            <w:r>
              <w:t>时效指标</w:t>
            </w:r>
          </w:p>
        </w:tc>
        <w:tc>
          <w:tcPr>
            <w:tcW w:w="2835" w:type="dxa"/>
            <w:vAlign w:val="center"/>
          </w:tcPr>
          <w:p w14:paraId="06DFA960">
            <w:pPr>
              <w:pStyle w:val="13"/>
            </w:pPr>
            <w:r>
              <w:t>主教学楼空气能工程按期完成率</w:t>
            </w:r>
          </w:p>
        </w:tc>
        <w:tc>
          <w:tcPr>
            <w:tcW w:w="5386" w:type="dxa"/>
            <w:vAlign w:val="center"/>
          </w:tcPr>
          <w:p w14:paraId="4A335252">
            <w:pPr>
              <w:pStyle w:val="13"/>
            </w:pPr>
            <w:r>
              <w:t>工程按时完工率</w:t>
            </w:r>
          </w:p>
        </w:tc>
        <w:tc>
          <w:tcPr>
            <w:tcW w:w="1658" w:type="dxa"/>
            <w:vAlign w:val="center"/>
          </w:tcPr>
          <w:p w14:paraId="5BE5A407">
            <w:pPr>
              <w:pStyle w:val="13"/>
            </w:pPr>
            <w:r>
              <w:t>100%</w:t>
            </w:r>
          </w:p>
        </w:tc>
        <w:tc>
          <w:tcPr>
            <w:tcW w:w="1886" w:type="dxa"/>
            <w:vAlign w:val="center"/>
          </w:tcPr>
          <w:p w14:paraId="2771DE2B">
            <w:pPr>
              <w:pStyle w:val="13"/>
            </w:pPr>
            <w:r>
              <w:t>结合项目实际情况</w:t>
            </w:r>
          </w:p>
        </w:tc>
      </w:tr>
      <w:tr w14:paraId="32F8B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44728"/>
        </w:tc>
        <w:tc>
          <w:tcPr>
            <w:tcW w:w="2268" w:type="dxa"/>
            <w:vAlign w:val="center"/>
          </w:tcPr>
          <w:p w14:paraId="631C5461">
            <w:pPr>
              <w:pStyle w:val="13"/>
            </w:pPr>
            <w:r>
              <w:t>成本指标</w:t>
            </w:r>
          </w:p>
        </w:tc>
        <w:tc>
          <w:tcPr>
            <w:tcW w:w="2835" w:type="dxa"/>
            <w:vAlign w:val="center"/>
          </w:tcPr>
          <w:p w14:paraId="733EB3F4">
            <w:pPr>
              <w:pStyle w:val="13"/>
            </w:pPr>
            <w:r>
              <w:t>主教学楼空气能安装成本</w:t>
            </w:r>
          </w:p>
        </w:tc>
        <w:tc>
          <w:tcPr>
            <w:tcW w:w="5386" w:type="dxa"/>
            <w:vAlign w:val="center"/>
          </w:tcPr>
          <w:p w14:paraId="0F174E7D">
            <w:pPr>
              <w:pStyle w:val="13"/>
            </w:pPr>
            <w:r>
              <w:t>实行政府采购招投标</w:t>
            </w:r>
          </w:p>
        </w:tc>
        <w:tc>
          <w:tcPr>
            <w:tcW w:w="1658" w:type="dxa"/>
            <w:vAlign w:val="center"/>
          </w:tcPr>
          <w:p w14:paraId="386E29FB">
            <w:pPr>
              <w:pStyle w:val="13"/>
            </w:pPr>
            <w:r>
              <w:t>≤161.2万元</w:t>
            </w:r>
          </w:p>
        </w:tc>
        <w:tc>
          <w:tcPr>
            <w:tcW w:w="1886" w:type="dxa"/>
            <w:vAlign w:val="center"/>
          </w:tcPr>
          <w:p w14:paraId="1CD91345">
            <w:pPr>
              <w:pStyle w:val="13"/>
            </w:pPr>
            <w:r>
              <w:t>结合项目实际情况</w:t>
            </w:r>
          </w:p>
        </w:tc>
      </w:tr>
      <w:tr w14:paraId="4A6E5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EA965">
            <w:pPr>
              <w:pStyle w:val="12"/>
            </w:pPr>
            <w:r>
              <w:t>效益指标</w:t>
            </w:r>
          </w:p>
        </w:tc>
        <w:tc>
          <w:tcPr>
            <w:tcW w:w="2268" w:type="dxa"/>
            <w:vAlign w:val="center"/>
          </w:tcPr>
          <w:p w14:paraId="1605E534">
            <w:pPr>
              <w:pStyle w:val="13"/>
            </w:pPr>
            <w:r>
              <w:t>经济效益指标</w:t>
            </w:r>
          </w:p>
        </w:tc>
        <w:tc>
          <w:tcPr>
            <w:tcW w:w="2835" w:type="dxa"/>
            <w:vAlign w:val="center"/>
          </w:tcPr>
          <w:p w14:paraId="0A6C6195">
            <w:pPr>
              <w:pStyle w:val="13"/>
            </w:pPr>
            <w:r>
              <w:t>高中教育毛入学率</w:t>
            </w:r>
          </w:p>
        </w:tc>
        <w:tc>
          <w:tcPr>
            <w:tcW w:w="5386" w:type="dxa"/>
            <w:vAlign w:val="center"/>
          </w:tcPr>
          <w:p w14:paraId="6CAFD683">
            <w:pPr>
              <w:pStyle w:val="13"/>
            </w:pPr>
            <w:r>
              <w:t>大幅度提升高中阶段毛入学率</w:t>
            </w:r>
          </w:p>
        </w:tc>
        <w:tc>
          <w:tcPr>
            <w:tcW w:w="1658" w:type="dxa"/>
            <w:vAlign w:val="center"/>
          </w:tcPr>
          <w:p w14:paraId="44F22460">
            <w:pPr>
              <w:pStyle w:val="13"/>
            </w:pPr>
            <w:r>
              <w:t>≥90%</w:t>
            </w:r>
          </w:p>
        </w:tc>
        <w:tc>
          <w:tcPr>
            <w:tcW w:w="1886" w:type="dxa"/>
            <w:vAlign w:val="center"/>
          </w:tcPr>
          <w:p w14:paraId="21574AB6">
            <w:pPr>
              <w:pStyle w:val="13"/>
            </w:pPr>
            <w:r>
              <w:t>可行性研究报告</w:t>
            </w:r>
          </w:p>
        </w:tc>
      </w:tr>
      <w:tr w14:paraId="03CAE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321D4"/>
        </w:tc>
        <w:tc>
          <w:tcPr>
            <w:tcW w:w="2268" w:type="dxa"/>
            <w:vAlign w:val="center"/>
          </w:tcPr>
          <w:p w14:paraId="7441DF3C">
            <w:pPr>
              <w:pStyle w:val="13"/>
            </w:pPr>
            <w:r>
              <w:t>社会效益指标</w:t>
            </w:r>
          </w:p>
        </w:tc>
        <w:tc>
          <w:tcPr>
            <w:tcW w:w="2835" w:type="dxa"/>
            <w:vAlign w:val="center"/>
          </w:tcPr>
          <w:p w14:paraId="7DA07E8A">
            <w:pPr>
              <w:pStyle w:val="13"/>
            </w:pPr>
            <w:r>
              <w:t>受益人数</w:t>
            </w:r>
          </w:p>
        </w:tc>
        <w:tc>
          <w:tcPr>
            <w:tcW w:w="5386" w:type="dxa"/>
            <w:vAlign w:val="center"/>
          </w:tcPr>
          <w:p w14:paraId="6DAE16B6">
            <w:pPr>
              <w:pStyle w:val="13"/>
            </w:pPr>
            <w:r>
              <w:t>受益学生人数</w:t>
            </w:r>
          </w:p>
        </w:tc>
        <w:tc>
          <w:tcPr>
            <w:tcW w:w="1658" w:type="dxa"/>
            <w:vAlign w:val="center"/>
          </w:tcPr>
          <w:p w14:paraId="5654DDB2">
            <w:pPr>
              <w:pStyle w:val="13"/>
            </w:pPr>
            <w:r>
              <w:t>≥1380人</w:t>
            </w:r>
          </w:p>
        </w:tc>
        <w:tc>
          <w:tcPr>
            <w:tcW w:w="1886" w:type="dxa"/>
            <w:vAlign w:val="center"/>
          </w:tcPr>
          <w:p w14:paraId="5C21858E">
            <w:pPr>
              <w:pStyle w:val="13"/>
            </w:pPr>
            <w:r>
              <w:t>可行性研究报告</w:t>
            </w:r>
          </w:p>
        </w:tc>
      </w:tr>
      <w:tr w14:paraId="4F7AC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E3028"/>
        </w:tc>
        <w:tc>
          <w:tcPr>
            <w:tcW w:w="2268" w:type="dxa"/>
            <w:vAlign w:val="center"/>
          </w:tcPr>
          <w:p w14:paraId="25D77B21">
            <w:pPr>
              <w:pStyle w:val="13"/>
            </w:pPr>
            <w:r>
              <w:t>可持续影响指标</w:t>
            </w:r>
          </w:p>
        </w:tc>
        <w:tc>
          <w:tcPr>
            <w:tcW w:w="2835" w:type="dxa"/>
            <w:vAlign w:val="center"/>
          </w:tcPr>
          <w:p w14:paraId="69641821">
            <w:pPr>
              <w:pStyle w:val="13"/>
            </w:pPr>
            <w:r>
              <w:t>校舍使用年限</w:t>
            </w:r>
          </w:p>
        </w:tc>
        <w:tc>
          <w:tcPr>
            <w:tcW w:w="5386" w:type="dxa"/>
            <w:vAlign w:val="center"/>
          </w:tcPr>
          <w:p w14:paraId="47303BD4">
            <w:pPr>
              <w:pStyle w:val="13"/>
            </w:pPr>
            <w:r>
              <w:t>提高校舍使用年限</w:t>
            </w:r>
          </w:p>
        </w:tc>
        <w:tc>
          <w:tcPr>
            <w:tcW w:w="1658" w:type="dxa"/>
            <w:vAlign w:val="center"/>
          </w:tcPr>
          <w:p w14:paraId="084966EB">
            <w:pPr>
              <w:pStyle w:val="13"/>
            </w:pPr>
            <w:r>
              <w:t>≥50年</w:t>
            </w:r>
          </w:p>
        </w:tc>
        <w:tc>
          <w:tcPr>
            <w:tcW w:w="1886" w:type="dxa"/>
            <w:vAlign w:val="center"/>
          </w:tcPr>
          <w:p w14:paraId="3612C6DE">
            <w:pPr>
              <w:pStyle w:val="13"/>
            </w:pPr>
            <w:r>
              <w:t>可行性研究报告</w:t>
            </w:r>
          </w:p>
        </w:tc>
      </w:tr>
      <w:tr w14:paraId="19444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8FBD79">
            <w:pPr>
              <w:pStyle w:val="12"/>
            </w:pPr>
            <w:r>
              <w:t>满意度指标</w:t>
            </w:r>
          </w:p>
        </w:tc>
        <w:tc>
          <w:tcPr>
            <w:tcW w:w="2268" w:type="dxa"/>
            <w:vAlign w:val="center"/>
          </w:tcPr>
          <w:p w14:paraId="4D2C02A3">
            <w:pPr>
              <w:pStyle w:val="13"/>
            </w:pPr>
            <w:r>
              <w:t>服务对象满意度指标</w:t>
            </w:r>
          </w:p>
        </w:tc>
        <w:tc>
          <w:tcPr>
            <w:tcW w:w="2835" w:type="dxa"/>
            <w:vAlign w:val="center"/>
          </w:tcPr>
          <w:p w14:paraId="35B30A39">
            <w:pPr>
              <w:pStyle w:val="13"/>
            </w:pPr>
            <w:r>
              <w:t>学生和学生家长满意度</w:t>
            </w:r>
          </w:p>
        </w:tc>
        <w:tc>
          <w:tcPr>
            <w:tcW w:w="5386" w:type="dxa"/>
            <w:vAlign w:val="center"/>
          </w:tcPr>
          <w:p w14:paraId="4A2E0B0D">
            <w:pPr>
              <w:pStyle w:val="13"/>
            </w:pPr>
            <w:r>
              <w:t>大幅提高学生和学生家长满意度</w:t>
            </w:r>
          </w:p>
        </w:tc>
        <w:tc>
          <w:tcPr>
            <w:tcW w:w="1658" w:type="dxa"/>
            <w:vAlign w:val="center"/>
          </w:tcPr>
          <w:p w14:paraId="587CB1D7">
            <w:pPr>
              <w:pStyle w:val="13"/>
            </w:pPr>
            <w:r>
              <w:t>≥95%</w:t>
            </w:r>
          </w:p>
        </w:tc>
        <w:tc>
          <w:tcPr>
            <w:tcW w:w="1886" w:type="dxa"/>
            <w:vAlign w:val="center"/>
          </w:tcPr>
          <w:p w14:paraId="22A5AF6A">
            <w:pPr>
              <w:pStyle w:val="13"/>
            </w:pPr>
            <w:r>
              <w:t>调查问卷</w:t>
            </w:r>
          </w:p>
        </w:tc>
      </w:tr>
    </w:tbl>
    <w:p w14:paraId="00C0081D">
      <w:pPr>
        <w:sectPr>
          <w:pgSz w:w="16840" w:h="11900" w:orient="landscape"/>
          <w:pgMar w:top="1361" w:right="1020" w:bottom="1134" w:left="1020" w:header="720" w:footer="720" w:gutter="0"/>
          <w:cols w:space="720" w:num="1"/>
        </w:sectPr>
      </w:pPr>
    </w:p>
    <w:p w14:paraId="3A22AB33">
      <w:pPr>
        <w:spacing w:before="0" w:after="0"/>
        <w:ind w:firstLine="560"/>
        <w:jc w:val="left"/>
        <w:outlineLvl w:val="9"/>
      </w:pPr>
      <w:r>
        <w:rPr>
          <w:rFonts w:ascii="方正仿宋_GBK" w:hAnsi="方正仿宋_GBK" w:eastAsia="方正仿宋_GBK" w:cs="方正仿宋_GBK"/>
          <w:b/>
          <w:color w:val="000000"/>
          <w:sz w:val="28"/>
        </w:rPr>
        <w:t>4、冀财教[2024]118号/中央/2025年改善办学条件/一中防欺凌设备购置绩效目标表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41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B5DAC">
            <w:pPr>
              <w:pStyle w:val="14"/>
            </w:pPr>
            <w:r>
              <w:t>单位：万元</w:t>
            </w:r>
          </w:p>
        </w:tc>
      </w:tr>
      <w:tr w14:paraId="48599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3F81CAE8">
            <w:pPr>
              <w:pStyle w:val="11"/>
            </w:pPr>
            <w:r>
              <w:t>项目编码</w:t>
            </w:r>
          </w:p>
        </w:tc>
        <w:tc>
          <w:tcPr>
            <w:tcW w:w="5103" w:type="dxa"/>
            <w:gridSpan w:val="2"/>
            <w:vAlign w:val="center"/>
          </w:tcPr>
          <w:p w14:paraId="4AE214D7">
            <w:pPr>
              <w:pStyle w:val="13"/>
            </w:pPr>
            <w:r>
              <w:t>13052525P008771100010</w:t>
            </w:r>
          </w:p>
        </w:tc>
        <w:tc>
          <w:tcPr>
            <w:tcW w:w="2835" w:type="dxa"/>
            <w:vAlign w:val="center"/>
          </w:tcPr>
          <w:p w14:paraId="3EE1B411">
            <w:pPr>
              <w:pStyle w:val="11"/>
            </w:pPr>
            <w:r>
              <w:t>项目名称</w:t>
            </w:r>
          </w:p>
        </w:tc>
        <w:tc>
          <w:tcPr>
            <w:tcW w:w="6095" w:type="dxa"/>
            <w:gridSpan w:val="3"/>
            <w:vAlign w:val="center"/>
          </w:tcPr>
          <w:p w14:paraId="299D4410">
            <w:pPr>
              <w:pStyle w:val="13"/>
            </w:pPr>
            <w:r>
              <w:t>冀财教[2024]118号/中央/2025年改善办学条件/一中防欺凌设备购置</w:t>
            </w:r>
          </w:p>
        </w:tc>
      </w:tr>
      <w:tr w14:paraId="08FA4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45E7E">
            <w:pPr>
              <w:pStyle w:val="11"/>
            </w:pPr>
            <w:r>
              <w:t>预算规模及资金用途</w:t>
            </w:r>
          </w:p>
        </w:tc>
        <w:tc>
          <w:tcPr>
            <w:tcW w:w="2268" w:type="dxa"/>
            <w:vAlign w:val="center"/>
          </w:tcPr>
          <w:p w14:paraId="24408EA7">
            <w:pPr>
              <w:pStyle w:val="11"/>
            </w:pPr>
            <w:r>
              <w:t>预算数</w:t>
            </w:r>
          </w:p>
        </w:tc>
        <w:tc>
          <w:tcPr>
            <w:tcW w:w="2835" w:type="dxa"/>
            <w:vAlign w:val="center"/>
          </w:tcPr>
          <w:p w14:paraId="7E63BC12">
            <w:pPr>
              <w:pStyle w:val="13"/>
            </w:pPr>
            <w:r>
              <w:t>91.00</w:t>
            </w:r>
          </w:p>
        </w:tc>
        <w:tc>
          <w:tcPr>
            <w:tcW w:w="2835" w:type="dxa"/>
            <w:vAlign w:val="center"/>
          </w:tcPr>
          <w:p w14:paraId="4CDDEA07">
            <w:pPr>
              <w:pStyle w:val="11"/>
            </w:pPr>
            <w:r>
              <w:t>其中：财政    资金</w:t>
            </w:r>
          </w:p>
        </w:tc>
        <w:tc>
          <w:tcPr>
            <w:tcW w:w="2551" w:type="dxa"/>
            <w:vAlign w:val="center"/>
          </w:tcPr>
          <w:p w14:paraId="0550FD7C">
            <w:pPr>
              <w:pStyle w:val="13"/>
            </w:pPr>
            <w:r>
              <w:t>91.00</w:t>
            </w:r>
          </w:p>
        </w:tc>
        <w:tc>
          <w:tcPr>
            <w:tcW w:w="2268" w:type="dxa"/>
            <w:vAlign w:val="center"/>
          </w:tcPr>
          <w:p w14:paraId="38E12CC1">
            <w:pPr>
              <w:pStyle w:val="11"/>
            </w:pPr>
            <w:r>
              <w:t>其他资金</w:t>
            </w:r>
          </w:p>
        </w:tc>
        <w:tc>
          <w:tcPr>
            <w:tcW w:w="1276" w:type="dxa"/>
            <w:vAlign w:val="center"/>
          </w:tcPr>
          <w:p w14:paraId="20780A3C">
            <w:pPr>
              <w:pStyle w:val="13"/>
            </w:pPr>
            <w:r>
              <w:t xml:space="preserve"> </w:t>
            </w:r>
          </w:p>
        </w:tc>
      </w:tr>
      <w:tr w14:paraId="307B1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0B3C86"/>
        </w:tc>
        <w:tc>
          <w:tcPr>
            <w:tcW w:w="14033" w:type="dxa"/>
            <w:gridSpan w:val="6"/>
            <w:vAlign w:val="center"/>
          </w:tcPr>
          <w:p w14:paraId="7C90B0DE">
            <w:pPr>
              <w:pStyle w:val="13"/>
            </w:pPr>
            <w:r>
              <w:t>预防校园欺凌，营造和谐校园，有助于维护教育公平</w:t>
            </w:r>
          </w:p>
        </w:tc>
      </w:tr>
      <w:tr w14:paraId="2D865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9E45C">
            <w:pPr>
              <w:pStyle w:val="11"/>
            </w:pPr>
            <w:r>
              <w:t>资金支出计划（%）</w:t>
            </w:r>
          </w:p>
        </w:tc>
        <w:tc>
          <w:tcPr>
            <w:tcW w:w="5103" w:type="dxa"/>
            <w:gridSpan w:val="2"/>
            <w:vAlign w:val="center"/>
          </w:tcPr>
          <w:p w14:paraId="45DF8437">
            <w:pPr>
              <w:pStyle w:val="11"/>
            </w:pPr>
            <w:r>
              <w:t>3月底</w:t>
            </w:r>
          </w:p>
        </w:tc>
        <w:tc>
          <w:tcPr>
            <w:tcW w:w="2835" w:type="dxa"/>
            <w:vAlign w:val="center"/>
          </w:tcPr>
          <w:p w14:paraId="649ABE27">
            <w:pPr>
              <w:pStyle w:val="11"/>
            </w:pPr>
            <w:r>
              <w:t>6月底</w:t>
            </w:r>
          </w:p>
        </w:tc>
        <w:tc>
          <w:tcPr>
            <w:tcW w:w="2551" w:type="dxa"/>
            <w:vAlign w:val="center"/>
          </w:tcPr>
          <w:p w14:paraId="362A70C6">
            <w:pPr>
              <w:pStyle w:val="11"/>
            </w:pPr>
            <w:r>
              <w:t>10月底</w:t>
            </w:r>
          </w:p>
        </w:tc>
        <w:tc>
          <w:tcPr>
            <w:tcW w:w="3544" w:type="dxa"/>
            <w:gridSpan w:val="2"/>
            <w:vAlign w:val="center"/>
          </w:tcPr>
          <w:p w14:paraId="0547CD40">
            <w:pPr>
              <w:pStyle w:val="11"/>
            </w:pPr>
            <w:r>
              <w:t>12月底</w:t>
            </w:r>
          </w:p>
        </w:tc>
      </w:tr>
      <w:tr w14:paraId="24EC0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72943"/>
        </w:tc>
        <w:tc>
          <w:tcPr>
            <w:tcW w:w="5103" w:type="dxa"/>
            <w:gridSpan w:val="2"/>
            <w:vAlign w:val="center"/>
          </w:tcPr>
          <w:p w14:paraId="3BA4B0EB">
            <w:pPr>
              <w:pStyle w:val="12"/>
            </w:pPr>
            <w:r>
              <w:t xml:space="preserve"> </w:t>
            </w:r>
          </w:p>
        </w:tc>
        <w:tc>
          <w:tcPr>
            <w:tcW w:w="2835" w:type="dxa"/>
            <w:vAlign w:val="center"/>
          </w:tcPr>
          <w:p w14:paraId="10AD0EF4">
            <w:pPr>
              <w:pStyle w:val="12"/>
            </w:pPr>
            <w:r>
              <w:t xml:space="preserve"> </w:t>
            </w:r>
          </w:p>
        </w:tc>
        <w:tc>
          <w:tcPr>
            <w:tcW w:w="2551" w:type="dxa"/>
            <w:vAlign w:val="center"/>
          </w:tcPr>
          <w:p w14:paraId="09E9BD2C">
            <w:pPr>
              <w:pStyle w:val="12"/>
            </w:pPr>
            <w:r>
              <w:t>100%</w:t>
            </w:r>
          </w:p>
        </w:tc>
        <w:tc>
          <w:tcPr>
            <w:tcW w:w="3544" w:type="dxa"/>
            <w:gridSpan w:val="2"/>
            <w:vAlign w:val="center"/>
          </w:tcPr>
          <w:p w14:paraId="6A4221A8">
            <w:pPr>
              <w:pStyle w:val="12"/>
            </w:pPr>
            <w:r>
              <w:t xml:space="preserve"> </w:t>
            </w:r>
          </w:p>
        </w:tc>
      </w:tr>
      <w:tr w14:paraId="444F0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F7E5B">
            <w:pPr>
              <w:pStyle w:val="11"/>
            </w:pPr>
            <w:r>
              <w:t>绩效目标</w:t>
            </w:r>
          </w:p>
        </w:tc>
        <w:tc>
          <w:tcPr>
            <w:tcW w:w="14033" w:type="dxa"/>
            <w:gridSpan w:val="6"/>
            <w:vAlign w:val="center"/>
          </w:tcPr>
          <w:p w14:paraId="734544FF">
            <w:pPr>
              <w:pStyle w:val="13"/>
            </w:pPr>
            <w:r>
              <w:t>1.按时拨付资金910000元，资金拨付率达到100%</w:t>
            </w:r>
          </w:p>
          <w:p w14:paraId="5F5A788D">
            <w:pPr>
              <w:pStyle w:val="13"/>
            </w:pPr>
            <w:r>
              <w:t>2.预防校园欺凌，营造和谐校园</w:t>
            </w:r>
          </w:p>
          <w:p w14:paraId="56F757CD">
            <w:pPr>
              <w:pStyle w:val="13"/>
            </w:pPr>
            <w:r>
              <w:t>3.有助于维护教育公平，养学生的良好品德</w:t>
            </w:r>
          </w:p>
        </w:tc>
      </w:tr>
    </w:tbl>
    <w:p w14:paraId="5D421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6A9C9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AE363">
            <w:pPr>
              <w:pStyle w:val="11"/>
            </w:pPr>
            <w:r>
              <w:t>一级指标</w:t>
            </w:r>
          </w:p>
        </w:tc>
        <w:tc>
          <w:tcPr>
            <w:tcW w:w="2268" w:type="dxa"/>
            <w:vAlign w:val="center"/>
          </w:tcPr>
          <w:p w14:paraId="5A0172C8">
            <w:pPr>
              <w:pStyle w:val="11"/>
            </w:pPr>
            <w:r>
              <w:t>二级指标</w:t>
            </w:r>
          </w:p>
        </w:tc>
        <w:tc>
          <w:tcPr>
            <w:tcW w:w="2835" w:type="dxa"/>
            <w:vAlign w:val="center"/>
          </w:tcPr>
          <w:p w14:paraId="080F0E12">
            <w:pPr>
              <w:pStyle w:val="11"/>
            </w:pPr>
            <w:r>
              <w:t>三级指标</w:t>
            </w:r>
          </w:p>
        </w:tc>
        <w:tc>
          <w:tcPr>
            <w:tcW w:w="5386" w:type="dxa"/>
            <w:vAlign w:val="center"/>
          </w:tcPr>
          <w:p w14:paraId="0C2FD59D">
            <w:pPr>
              <w:pStyle w:val="11"/>
            </w:pPr>
            <w:r>
              <w:t>绩效指标描述</w:t>
            </w:r>
          </w:p>
        </w:tc>
        <w:tc>
          <w:tcPr>
            <w:tcW w:w="1613" w:type="dxa"/>
            <w:vAlign w:val="center"/>
          </w:tcPr>
          <w:p w14:paraId="29993B9F">
            <w:pPr>
              <w:pStyle w:val="11"/>
            </w:pPr>
            <w:r>
              <w:t>指标值</w:t>
            </w:r>
          </w:p>
        </w:tc>
        <w:tc>
          <w:tcPr>
            <w:tcW w:w="1931" w:type="dxa"/>
            <w:vAlign w:val="center"/>
          </w:tcPr>
          <w:p w14:paraId="2EE312AF">
            <w:pPr>
              <w:pStyle w:val="11"/>
            </w:pPr>
            <w:r>
              <w:t>指标值确定依据</w:t>
            </w:r>
          </w:p>
        </w:tc>
      </w:tr>
      <w:tr w14:paraId="2B043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505E1">
            <w:pPr>
              <w:pStyle w:val="12"/>
            </w:pPr>
            <w:r>
              <w:t>产出指标</w:t>
            </w:r>
          </w:p>
        </w:tc>
        <w:tc>
          <w:tcPr>
            <w:tcW w:w="2268" w:type="dxa"/>
            <w:vAlign w:val="center"/>
          </w:tcPr>
          <w:p w14:paraId="60437C88">
            <w:pPr>
              <w:pStyle w:val="13"/>
            </w:pPr>
            <w:r>
              <w:t>数量指标</w:t>
            </w:r>
          </w:p>
        </w:tc>
        <w:tc>
          <w:tcPr>
            <w:tcW w:w="2835" w:type="dxa"/>
            <w:vAlign w:val="center"/>
          </w:tcPr>
          <w:p w14:paraId="01AB8AEC">
            <w:pPr>
              <w:pStyle w:val="13"/>
            </w:pPr>
            <w:r>
              <w:t>防欺凌设备采购</w:t>
            </w:r>
          </w:p>
        </w:tc>
        <w:tc>
          <w:tcPr>
            <w:tcW w:w="5386" w:type="dxa"/>
            <w:vAlign w:val="center"/>
          </w:tcPr>
          <w:p w14:paraId="52CA9941">
            <w:pPr>
              <w:pStyle w:val="13"/>
            </w:pPr>
            <w:r>
              <w:t>防欺凌设备采购项目</w:t>
            </w:r>
          </w:p>
        </w:tc>
        <w:tc>
          <w:tcPr>
            <w:tcW w:w="1613" w:type="dxa"/>
            <w:vAlign w:val="center"/>
          </w:tcPr>
          <w:p w14:paraId="0FA5782D">
            <w:pPr>
              <w:pStyle w:val="13"/>
            </w:pPr>
            <w:r>
              <w:t>1项</w:t>
            </w:r>
          </w:p>
        </w:tc>
        <w:tc>
          <w:tcPr>
            <w:tcW w:w="1931" w:type="dxa"/>
            <w:vAlign w:val="center"/>
          </w:tcPr>
          <w:p w14:paraId="03C82D85">
            <w:pPr>
              <w:pStyle w:val="13"/>
            </w:pPr>
            <w:r>
              <w:t>可行性研究报告</w:t>
            </w:r>
          </w:p>
        </w:tc>
      </w:tr>
      <w:tr w14:paraId="34DDE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41AD9"/>
        </w:tc>
        <w:tc>
          <w:tcPr>
            <w:tcW w:w="2268" w:type="dxa"/>
            <w:vAlign w:val="center"/>
          </w:tcPr>
          <w:p w14:paraId="64B0D3C3">
            <w:pPr>
              <w:pStyle w:val="13"/>
            </w:pPr>
            <w:r>
              <w:t>质量指标</w:t>
            </w:r>
          </w:p>
        </w:tc>
        <w:tc>
          <w:tcPr>
            <w:tcW w:w="2835" w:type="dxa"/>
            <w:vAlign w:val="center"/>
          </w:tcPr>
          <w:p w14:paraId="0E0A8B69">
            <w:pPr>
              <w:pStyle w:val="13"/>
            </w:pPr>
            <w:r>
              <w:t>项目工程质量合格率</w:t>
            </w:r>
          </w:p>
        </w:tc>
        <w:tc>
          <w:tcPr>
            <w:tcW w:w="5386" w:type="dxa"/>
            <w:vAlign w:val="center"/>
          </w:tcPr>
          <w:p w14:paraId="78D580BC">
            <w:pPr>
              <w:pStyle w:val="13"/>
            </w:pPr>
            <w:r>
              <w:t>防欺凌设备质量合格率</w:t>
            </w:r>
          </w:p>
        </w:tc>
        <w:tc>
          <w:tcPr>
            <w:tcW w:w="1613" w:type="dxa"/>
            <w:vAlign w:val="center"/>
          </w:tcPr>
          <w:p w14:paraId="41E278E4">
            <w:pPr>
              <w:pStyle w:val="13"/>
            </w:pPr>
            <w:r>
              <w:t>≥100%</w:t>
            </w:r>
          </w:p>
        </w:tc>
        <w:tc>
          <w:tcPr>
            <w:tcW w:w="1931" w:type="dxa"/>
            <w:vAlign w:val="center"/>
          </w:tcPr>
          <w:p w14:paraId="09799D74">
            <w:pPr>
              <w:pStyle w:val="13"/>
            </w:pPr>
            <w:r>
              <w:t>可行性研究报告</w:t>
            </w:r>
          </w:p>
        </w:tc>
      </w:tr>
      <w:tr w14:paraId="124E6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F0256"/>
        </w:tc>
        <w:tc>
          <w:tcPr>
            <w:tcW w:w="2268" w:type="dxa"/>
            <w:vAlign w:val="center"/>
          </w:tcPr>
          <w:p w14:paraId="0D9BE6DA">
            <w:pPr>
              <w:pStyle w:val="13"/>
            </w:pPr>
            <w:r>
              <w:t>时效指标</w:t>
            </w:r>
          </w:p>
        </w:tc>
        <w:tc>
          <w:tcPr>
            <w:tcW w:w="2835" w:type="dxa"/>
            <w:vAlign w:val="center"/>
          </w:tcPr>
          <w:p w14:paraId="67AFCD80">
            <w:pPr>
              <w:pStyle w:val="13"/>
            </w:pPr>
            <w:r>
              <w:t>防欺凌设备项目按时完成率</w:t>
            </w:r>
          </w:p>
        </w:tc>
        <w:tc>
          <w:tcPr>
            <w:tcW w:w="5386" w:type="dxa"/>
            <w:vAlign w:val="center"/>
          </w:tcPr>
          <w:p w14:paraId="755F1303">
            <w:pPr>
              <w:pStyle w:val="13"/>
            </w:pPr>
            <w:r>
              <w:t>工程按时完工率</w:t>
            </w:r>
          </w:p>
        </w:tc>
        <w:tc>
          <w:tcPr>
            <w:tcW w:w="1613" w:type="dxa"/>
            <w:vAlign w:val="center"/>
          </w:tcPr>
          <w:p w14:paraId="11499B3E">
            <w:pPr>
              <w:pStyle w:val="13"/>
            </w:pPr>
            <w:r>
              <w:t>100%</w:t>
            </w:r>
          </w:p>
        </w:tc>
        <w:tc>
          <w:tcPr>
            <w:tcW w:w="1931" w:type="dxa"/>
            <w:vAlign w:val="center"/>
          </w:tcPr>
          <w:p w14:paraId="20A83F2E">
            <w:pPr>
              <w:pStyle w:val="13"/>
            </w:pPr>
            <w:r>
              <w:t>结合项目实际情况</w:t>
            </w:r>
          </w:p>
        </w:tc>
      </w:tr>
      <w:tr w14:paraId="04FA8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A488B"/>
        </w:tc>
        <w:tc>
          <w:tcPr>
            <w:tcW w:w="2268" w:type="dxa"/>
            <w:vAlign w:val="center"/>
          </w:tcPr>
          <w:p w14:paraId="1D7C57C7">
            <w:pPr>
              <w:pStyle w:val="13"/>
            </w:pPr>
            <w:r>
              <w:t>成本指标</w:t>
            </w:r>
          </w:p>
        </w:tc>
        <w:tc>
          <w:tcPr>
            <w:tcW w:w="2835" w:type="dxa"/>
            <w:vAlign w:val="center"/>
          </w:tcPr>
          <w:p w14:paraId="701D5035">
            <w:pPr>
              <w:pStyle w:val="13"/>
            </w:pPr>
            <w:r>
              <w:t>防欺凌设备采购成本</w:t>
            </w:r>
          </w:p>
        </w:tc>
        <w:tc>
          <w:tcPr>
            <w:tcW w:w="5386" w:type="dxa"/>
            <w:vAlign w:val="center"/>
          </w:tcPr>
          <w:p w14:paraId="246DF74B">
            <w:pPr>
              <w:pStyle w:val="13"/>
            </w:pPr>
            <w:r>
              <w:t>实行政府采购招投标</w:t>
            </w:r>
          </w:p>
        </w:tc>
        <w:tc>
          <w:tcPr>
            <w:tcW w:w="1613" w:type="dxa"/>
            <w:vAlign w:val="center"/>
          </w:tcPr>
          <w:p w14:paraId="357094D3">
            <w:pPr>
              <w:pStyle w:val="13"/>
            </w:pPr>
            <w:r>
              <w:t>≤91万元</w:t>
            </w:r>
          </w:p>
        </w:tc>
        <w:tc>
          <w:tcPr>
            <w:tcW w:w="1931" w:type="dxa"/>
            <w:vAlign w:val="center"/>
          </w:tcPr>
          <w:p w14:paraId="059189CF">
            <w:pPr>
              <w:pStyle w:val="13"/>
            </w:pPr>
            <w:r>
              <w:t>结合项目实际情况</w:t>
            </w:r>
          </w:p>
        </w:tc>
      </w:tr>
      <w:tr w14:paraId="0DFC6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00A3A">
            <w:pPr>
              <w:pStyle w:val="12"/>
            </w:pPr>
            <w:r>
              <w:t>效益指标</w:t>
            </w:r>
          </w:p>
        </w:tc>
        <w:tc>
          <w:tcPr>
            <w:tcW w:w="2268" w:type="dxa"/>
            <w:vAlign w:val="center"/>
          </w:tcPr>
          <w:p w14:paraId="75B8F635">
            <w:pPr>
              <w:pStyle w:val="13"/>
            </w:pPr>
            <w:r>
              <w:t>经济效益指标</w:t>
            </w:r>
          </w:p>
        </w:tc>
        <w:tc>
          <w:tcPr>
            <w:tcW w:w="2835" w:type="dxa"/>
            <w:vAlign w:val="center"/>
          </w:tcPr>
          <w:p w14:paraId="7D9A1FCF">
            <w:pPr>
              <w:pStyle w:val="13"/>
            </w:pPr>
            <w:r>
              <w:t>高中教育毛入学率</w:t>
            </w:r>
          </w:p>
        </w:tc>
        <w:tc>
          <w:tcPr>
            <w:tcW w:w="5386" w:type="dxa"/>
            <w:vAlign w:val="center"/>
          </w:tcPr>
          <w:p w14:paraId="3ACFB214">
            <w:pPr>
              <w:pStyle w:val="13"/>
            </w:pPr>
            <w:r>
              <w:t>大幅度提升高中阶段毛入学率</w:t>
            </w:r>
          </w:p>
        </w:tc>
        <w:tc>
          <w:tcPr>
            <w:tcW w:w="1613" w:type="dxa"/>
            <w:vAlign w:val="center"/>
          </w:tcPr>
          <w:p w14:paraId="1A7203A6">
            <w:pPr>
              <w:pStyle w:val="13"/>
            </w:pPr>
            <w:r>
              <w:t>≥90%</w:t>
            </w:r>
          </w:p>
        </w:tc>
        <w:tc>
          <w:tcPr>
            <w:tcW w:w="1931" w:type="dxa"/>
            <w:vAlign w:val="center"/>
          </w:tcPr>
          <w:p w14:paraId="1E9E225D">
            <w:pPr>
              <w:pStyle w:val="13"/>
            </w:pPr>
            <w:r>
              <w:t>可行性研究报告</w:t>
            </w:r>
          </w:p>
        </w:tc>
      </w:tr>
      <w:tr w14:paraId="12ECB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08EE6"/>
        </w:tc>
        <w:tc>
          <w:tcPr>
            <w:tcW w:w="2268" w:type="dxa"/>
            <w:vAlign w:val="center"/>
          </w:tcPr>
          <w:p w14:paraId="0DF1CF7D">
            <w:pPr>
              <w:pStyle w:val="13"/>
            </w:pPr>
            <w:r>
              <w:t>社会效益指标</w:t>
            </w:r>
          </w:p>
        </w:tc>
        <w:tc>
          <w:tcPr>
            <w:tcW w:w="2835" w:type="dxa"/>
            <w:vAlign w:val="center"/>
          </w:tcPr>
          <w:p w14:paraId="06B3D647">
            <w:pPr>
              <w:pStyle w:val="13"/>
            </w:pPr>
            <w:r>
              <w:t>受益人数</w:t>
            </w:r>
          </w:p>
        </w:tc>
        <w:tc>
          <w:tcPr>
            <w:tcW w:w="5386" w:type="dxa"/>
            <w:vAlign w:val="center"/>
          </w:tcPr>
          <w:p w14:paraId="06AD3666">
            <w:pPr>
              <w:pStyle w:val="13"/>
            </w:pPr>
            <w:r>
              <w:t>受益学生人数</w:t>
            </w:r>
          </w:p>
        </w:tc>
        <w:tc>
          <w:tcPr>
            <w:tcW w:w="1613" w:type="dxa"/>
            <w:vAlign w:val="center"/>
          </w:tcPr>
          <w:p w14:paraId="0A8D0AB8">
            <w:pPr>
              <w:pStyle w:val="13"/>
            </w:pPr>
            <w:r>
              <w:t>≥4399人</w:t>
            </w:r>
          </w:p>
        </w:tc>
        <w:tc>
          <w:tcPr>
            <w:tcW w:w="1931" w:type="dxa"/>
            <w:vAlign w:val="center"/>
          </w:tcPr>
          <w:p w14:paraId="01658B53">
            <w:pPr>
              <w:pStyle w:val="13"/>
            </w:pPr>
            <w:r>
              <w:t>可行性研究报告</w:t>
            </w:r>
          </w:p>
        </w:tc>
      </w:tr>
      <w:tr w14:paraId="5DFD2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0F397"/>
        </w:tc>
        <w:tc>
          <w:tcPr>
            <w:tcW w:w="2268" w:type="dxa"/>
            <w:vAlign w:val="center"/>
          </w:tcPr>
          <w:p w14:paraId="4F95C94D">
            <w:pPr>
              <w:pStyle w:val="13"/>
            </w:pPr>
            <w:r>
              <w:t>可持续影响指标</w:t>
            </w:r>
          </w:p>
        </w:tc>
        <w:tc>
          <w:tcPr>
            <w:tcW w:w="2835" w:type="dxa"/>
            <w:vAlign w:val="center"/>
          </w:tcPr>
          <w:p w14:paraId="5D8D64E0">
            <w:pPr>
              <w:pStyle w:val="13"/>
            </w:pPr>
            <w:r>
              <w:t>设备使用年限</w:t>
            </w:r>
          </w:p>
        </w:tc>
        <w:tc>
          <w:tcPr>
            <w:tcW w:w="5386" w:type="dxa"/>
            <w:vAlign w:val="center"/>
          </w:tcPr>
          <w:p w14:paraId="681B5451">
            <w:pPr>
              <w:pStyle w:val="13"/>
            </w:pPr>
            <w:r>
              <w:t>提高设备使用年限</w:t>
            </w:r>
          </w:p>
        </w:tc>
        <w:tc>
          <w:tcPr>
            <w:tcW w:w="1613" w:type="dxa"/>
            <w:vAlign w:val="center"/>
          </w:tcPr>
          <w:p w14:paraId="4018726C">
            <w:pPr>
              <w:pStyle w:val="13"/>
            </w:pPr>
            <w:r>
              <w:t>≥10年</w:t>
            </w:r>
          </w:p>
        </w:tc>
        <w:tc>
          <w:tcPr>
            <w:tcW w:w="1931" w:type="dxa"/>
            <w:vAlign w:val="center"/>
          </w:tcPr>
          <w:p w14:paraId="4490018D">
            <w:pPr>
              <w:pStyle w:val="13"/>
            </w:pPr>
            <w:r>
              <w:t>可行性研究报告</w:t>
            </w:r>
          </w:p>
        </w:tc>
      </w:tr>
      <w:tr w14:paraId="02149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14ACB">
            <w:pPr>
              <w:pStyle w:val="12"/>
            </w:pPr>
            <w:r>
              <w:t>满意度指标</w:t>
            </w:r>
          </w:p>
        </w:tc>
        <w:tc>
          <w:tcPr>
            <w:tcW w:w="2268" w:type="dxa"/>
            <w:vAlign w:val="center"/>
          </w:tcPr>
          <w:p w14:paraId="65D3C584">
            <w:pPr>
              <w:pStyle w:val="13"/>
            </w:pPr>
            <w:r>
              <w:t>服务对象满意度指标</w:t>
            </w:r>
          </w:p>
        </w:tc>
        <w:tc>
          <w:tcPr>
            <w:tcW w:w="2835" w:type="dxa"/>
            <w:vAlign w:val="center"/>
          </w:tcPr>
          <w:p w14:paraId="42A56EA0">
            <w:pPr>
              <w:pStyle w:val="13"/>
            </w:pPr>
            <w:r>
              <w:t>学生和学生家长满意度</w:t>
            </w:r>
          </w:p>
        </w:tc>
        <w:tc>
          <w:tcPr>
            <w:tcW w:w="5386" w:type="dxa"/>
            <w:vAlign w:val="center"/>
          </w:tcPr>
          <w:p w14:paraId="0869C3BC">
            <w:pPr>
              <w:pStyle w:val="13"/>
            </w:pPr>
            <w:r>
              <w:t>大幅提高学生和学生家长满意度</w:t>
            </w:r>
          </w:p>
        </w:tc>
        <w:tc>
          <w:tcPr>
            <w:tcW w:w="1613" w:type="dxa"/>
            <w:vAlign w:val="center"/>
          </w:tcPr>
          <w:p w14:paraId="62594C12">
            <w:pPr>
              <w:pStyle w:val="13"/>
            </w:pPr>
            <w:r>
              <w:t>≥95%</w:t>
            </w:r>
          </w:p>
        </w:tc>
        <w:tc>
          <w:tcPr>
            <w:tcW w:w="1931" w:type="dxa"/>
            <w:vAlign w:val="center"/>
          </w:tcPr>
          <w:p w14:paraId="69BFC140">
            <w:pPr>
              <w:pStyle w:val="13"/>
            </w:pPr>
            <w:r>
              <w:t>调查问卷</w:t>
            </w:r>
          </w:p>
        </w:tc>
      </w:tr>
    </w:tbl>
    <w:p w14:paraId="13C9D8A8">
      <w:pPr>
        <w:sectPr>
          <w:pgSz w:w="16840" w:h="11900" w:orient="landscape"/>
          <w:pgMar w:top="1361" w:right="1020" w:bottom="1134" w:left="1020" w:header="720" w:footer="720" w:gutter="0"/>
          <w:cols w:space="720" w:num="1"/>
        </w:sectPr>
      </w:pPr>
    </w:p>
    <w:p w14:paraId="02F631D6">
      <w:pPr>
        <w:spacing w:before="0" w:after="0"/>
        <w:ind w:firstLine="560"/>
        <w:jc w:val="left"/>
        <w:outlineLvl w:val="9"/>
      </w:pPr>
      <w:r>
        <w:rPr>
          <w:rFonts w:ascii="方正仿宋_GBK" w:hAnsi="方正仿宋_GBK" w:eastAsia="方正仿宋_GBK" w:cs="方正仿宋_GBK"/>
          <w:b/>
          <w:color w:val="000000"/>
          <w:sz w:val="28"/>
        </w:rPr>
        <w:t>5、冀财教[2024]118号/中央/2025年改善办学条件/一中智慧巡课系统购置项目绩效目标表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74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7C627">
            <w:pPr>
              <w:pStyle w:val="14"/>
            </w:pPr>
            <w:r>
              <w:t>单位：万元</w:t>
            </w:r>
          </w:p>
        </w:tc>
      </w:tr>
      <w:tr w14:paraId="64F60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FBCAE">
            <w:pPr>
              <w:pStyle w:val="11"/>
            </w:pPr>
            <w:r>
              <w:t>项目编码</w:t>
            </w:r>
          </w:p>
        </w:tc>
        <w:tc>
          <w:tcPr>
            <w:tcW w:w="5103" w:type="dxa"/>
            <w:gridSpan w:val="2"/>
            <w:vAlign w:val="center"/>
          </w:tcPr>
          <w:p w14:paraId="359F34BF">
            <w:pPr>
              <w:pStyle w:val="13"/>
            </w:pPr>
            <w:r>
              <w:t>13052525P00877110002K</w:t>
            </w:r>
          </w:p>
        </w:tc>
        <w:tc>
          <w:tcPr>
            <w:tcW w:w="2835" w:type="dxa"/>
            <w:vAlign w:val="center"/>
          </w:tcPr>
          <w:p w14:paraId="537B248C">
            <w:pPr>
              <w:pStyle w:val="11"/>
            </w:pPr>
            <w:r>
              <w:t>项目名称</w:t>
            </w:r>
          </w:p>
        </w:tc>
        <w:tc>
          <w:tcPr>
            <w:tcW w:w="6095" w:type="dxa"/>
            <w:gridSpan w:val="3"/>
            <w:vAlign w:val="center"/>
          </w:tcPr>
          <w:p w14:paraId="2E86642C">
            <w:pPr>
              <w:pStyle w:val="13"/>
            </w:pPr>
            <w:r>
              <w:t>冀财教[2024]118号/中央/2025年改善办学条件/一中智慧巡课系统购置项目</w:t>
            </w:r>
          </w:p>
        </w:tc>
      </w:tr>
      <w:tr w14:paraId="18524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A2FF9">
            <w:pPr>
              <w:pStyle w:val="11"/>
            </w:pPr>
            <w:r>
              <w:t>预算规模及资金用途</w:t>
            </w:r>
          </w:p>
        </w:tc>
        <w:tc>
          <w:tcPr>
            <w:tcW w:w="2268" w:type="dxa"/>
            <w:vAlign w:val="center"/>
          </w:tcPr>
          <w:p w14:paraId="350469F4">
            <w:pPr>
              <w:pStyle w:val="11"/>
            </w:pPr>
            <w:r>
              <w:t>预算数</w:t>
            </w:r>
          </w:p>
        </w:tc>
        <w:tc>
          <w:tcPr>
            <w:tcW w:w="2835" w:type="dxa"/>
            <w:vAlign w:val="center"/>
          </w:tcPr>
          <w:p w14:paraId="2076DA48">
            <w:pPr>
              <w:pStyle w:val="13"/>
            </w:pPr>
            <w:r>
              <w:t>210.00</w:t>
            </w:r>
          </w:p>
        </w:tc>
        <w:tc>
          <w:tcPr>
            <w:tcW w:w="2835" w:type="dxa"/>
            <w:vAlign w:val="center"/>
          </w:tcPr>
          <w:p w14:paraId="3CD089D7">
            <w:pPr>
              <w:pStyle w:val="11"/>
            </w:pPr>
            <w:r>
              <w:t>其中：财政    资金</w:t>
            </w:r>
          </w:p>
        </w:tc>
        <w:tc>
          <w:tcPr>
            <w:tcW w:w="2551" w:type="dxa"/>
            <w:vAlign w:val="center"/>
          </w:tcPr>
          <w:p w14:paraId="21DBCE9E">
            <w:pPr>
              <w:pStyle w:val="13"/>
            </w:pPr>
            <w:r>
              <w:t>210.00</w:t>
            </w:r>
          </w:p>
        </w:tc>
        <w:tc>
          <w:tcPr>
            <w:tcW w:w="2268" w:type="dxa"/>
            <w:vAlign w:val="center"/>
          </w:tcPr>
          <w:p w14:paraId="7BD51A91">
            <w:pPr>
              <w:pStyle w:val="11"/>
            </w:pPr>
            <w:r>
              <w:t>其他资金</w:t>
            </w:r>
          </w:p>
        </w:tc>
        <w:tc>
          <w:tcPr>
            <w:tcW w:w="1276" w:type="dxa"/>
            <w:vAlign w:val="center"/>
          </w:tcPr>
          <w:p w14:paraId="2E279A79">
            <w:pPr>
              <w:pStyle w:val="13"/>
            </w:pPr>
            <w:r>
              <w:t xml:space="preserve"> </w:t>
            </w:r>
          </w:p>
        </w:tc>
      </w:tr>
      <w:tr w14:paraId="5DDD4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DA6245"/>
        </w:tc>
        <w:tc>
          <w:tcPr>
            <w:tcW w:w="14033" w:type="dxa"/>
            <w:gridSpan w:val="6"/>
            <w:vAlign w:val="center"/>
          </w:tcPr>
          <w:p w14:paraId="48B84556">
            <w:pPr>
              <w:pStyle w:val="13"/>
            </w:pPr>
            <w:r>
              <w:t>提高教育教学水平和教育教学环境，保证正常教学活动正常开展</w:t>
            </w:r>
          </w:p>
        </w:tc>
      </w:tr>
      <w:tr w14:paraId="5F817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5DCF1">
            <w:pPr>
              <w:pStyle w:val="11"/>
            </w:pPr>
            <w:r>
              <w:t>资金支出计划（%）</w:t>
            </w:r>
          </w:p>
        </w:tc>
        <w:tc>
          <w:tcPr>
            <w:tcW w:w="5103" w:type="dxa"/>
            <w:gridSpan w:val="2"/>
            <w:vAlign w:val="center"/>
          </w:tcPr>
          <w:p w14:paraId="7C56F969">
            <w:pPr>
              <w:pStyle w:val="11"/>
            </w:pPr>
            <w:r>
              <w:t>3月底</w:t>
            </w:r>
          </w:p>
        </w:tc>
        <w:tc>
          <w:tcPr>
            <w:tcW w:w="2835" w:type="dxa"/>
            <w:vAlign w:val="center"/>
          </w:tcPr>
          <w:p w14:paraId="0AC805B6">
            <w:pPr>
              <w:pStyle w:val="11"/>
            </w:pPr>
            <w:r>
              <w:t>6月底</w:t>
            </w:r>
          </w:p>
        </w:tc>
        <w:tc>
          <w:tcPr>
            <w:tcW w:w="2551" w:type="dxa"/>
            <w:vAlign w:val="center"/>
          </w:tcPr>
          <w:p w14:paraId="06BC015A">
            <w:pPr>
              <w:pStyle w:val="11"/>
            </w:pPr>
            <w:r>
              <w:t>10月底</w:t>
            </w:r>
          </w:p>
        </w:tc>
        <w:tc>
          <w:tcPr>
            <w:tcW w:w="3544" w:type="dxa"/>
            <w:gridSpan w:val="2"/>
            <w:vAlign w:val="center"/>
          </w:tcPr>
          <w:p w14:paraId="75D6B184">
            <w:pPr>
              <w:pStyle w:val="11"/>
            </w:pPr>
            <w:r>
              <w:t>12月底</w:t>
            </w:r>
          </w:p>
        </w:tc>
      </w:tr>
      <w:tr w14:paraId="3C624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823F82"/>
        </w:tc>
        <w:tc>
          <w:tcPr>
            <w:tcW w:w="5103" w:type="dxa"/>
            <w:gridSpan w:val="2"/>
            <w:vAlign w:val="center"/>
          </w:tcPr>
          <w:p w14:paraId="0E936263">
            <w:pPr>
              <w:pStyle w:val="12"/>
            </w:pPr>
            <w:r>
              <w:t xml:space="preserve"> </w:t>
            </w:r>
          </w:p>
        </w:tc>
        <w:tc>
          <w:tcPr>
            <w:tcW w:w="2835" w:type="dxa"/>
            <w:vAlign w:val="center"/>
          </w:tcPr>
          <w:p w14:paraId="2F8BE4BA">
            <w:pPr>
              <w:pStyle w:val="12"/>
            </w:pPr>
            <w:r>
              <w:t xml:space="preserve"> </w:t>
            </w:r>
          </w:p>
        </w:tc>
        <w:tc>
          <w:tcPr>
            <w:tcW w:w="2551" w:type="dxa"/>
            <w:vAlign w:val="center"/>
          </w:tcPr>
          <w:p w14:paraId="53F2BDF4">
            <w:pPr>
              <w:pStyle w:val="12"/>
            </w:pPr>
            <w:r>
              <w:t>100%</w:t>
            </w:r>
          </w:p>
        </w:tc>
        <w:tc>
          <w:tcPr>
            <w:tcW w:w="3544" w:type="dxa"/>
            <w:gridSpan w:val="2"/>
            <w:vAlign w:val="center"/>
          </w:tcPr>
          <w:p w14:paraId="441D5087">
            <w:pPr>
              <w:pStyle w:val="12"/>
            </w:pPr>
            <w:r>
              <w:t xml:space="preserve"> </w:t>
            </w:r>
          </w:p>
        </w:tc>
      </w:tr>
      <w:tr w14:paraId="42503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0BC4C1">
            <w:pPr>
              <w:pStyle w:val="11"/>
            </w:pPr>
            <w:r>
              <w:t>绩效目标</w:t>
            </w:r>
          </w:p>
        </w:tc>
        <w:tc>
          <w:tcPr>
            <w:tcW w:w="14033" w:type="dxa"/>
            <w:gridSpan w:val="6"/>
            <w:vAlign w:val="center"/>
          </w:tcPr>
          <w:p w14:paraId="2832D03E">
            <w:pPr>
              <w:pStyle w:val="13"/>
            </w:pPr>
            <w:r>
              <w:t>1.按时拨付资金2100000元，资金拨付率达到100%</w:t>
            </w:r>
          </w:p>
          <w:p w14:paraId="15BC53D4">
            <w:pPr>
              <w:pStyle w:val="13"/>
              <w:rPr>
                <w:rFonts w:hint="eastAsia" w:eastAsia="方正书宋_GBK"/>
                <w:lang w:val="en-US" w:eastAsia="zh-CN"/>
              </w:rPr>
            </w:pPr>
            <w:r>
              <w:t>2.提高教育教学水平和教育教学环境，保证正常教学活动正常开展</w:t>
            </w:r>
            <w:r>
              <w:rPr>
                <w:rFonts w:hint="eastAsia"/>
                <w:lang w:val="en-US" w:eastAsia="zh-CN"/>
              </w:rPr>
              <w:t xml:space="preserve"> </w:t>
            </w:r>
          </w:p>
          <w:p w14:paraId="53E883BD">
            <w:pPr>
              <w:pStyle w:val="13"/>
            </w:pPr>
            <w:r>
              <w:t>3.提高学生学习积极性，充分发挥学生主观能动性</w:t>
            </w:r>
          </w:p>
        </w:tc>
      </w:tr>
    </w:tbl>
    <w:p w14:paraId="4ED5C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0FF6D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31B5D">
            <w:pPr>
              <w:pStyle w:val="11"/>
            </w:pPr>
            <w:r>
              <w:t>一级指标</w:t>
            </w:r>
          </w:p>
        </w:tc>
        <w:tc>
          <w:tcPr>
            <w:tcW w:w="2268" w:type="dxa"/>
            <w:vAlign w:val="center"/>
          </w:tcPr>
          <w:p w14:paraId="02216908">
            <w:pPr>
              <w:pStyle w:val="11"/>
            </w:pPr>
            <w:r>
              <w:t>二级指标</w:t>
            </w:r>
          </w:p>
        </w:tc>
        <w:tc>
          <w:tcPr>
            <w:tcW w:w="2835" w:type="dxa"/>
            <w:vAlign w:val="center"/>
          </w:tcPr>
          <w:p w14:paraId="417617B8">
            <w:pPr>
              <w:pStyle w:val="11"/>
            </w:pPr>
            <w:r>
              <w:t>三级指标</w:t>
            </w:r>
          </w:p>
        </w:tc>
        <w:tc>
          <w:tcPr>
            <w:tcW w:w="5386" w:type="dxa"/>
            <w:vAlign w:val="center"/>
          </w:tcPr>
          <w:p w14:paraId="4A5806EF">
            <w:pPr>
              <w:pStyle w:val="11"/>
            </w:pPr>
            <w:r>
              <w:t>绩效指标描述</w:t>
            </w:r>
          </w:p>
        </w:tc>
        <w:tc>
          <w:tcPr>
            <w:tcW w:w="1673" w:type="dxa"/>
            <w:vAlign w:val="center"/>
          </w:tcPr>
          <w:p w14:paraId="6545789C">
            <w:pPr>
              <w:pStyle w:val="11"/>
            </w:pPr>
            <w:r>
              <w:t>指标值</w:t>
            </w:r>
          </w:p>
        </w:tc>
        <w:tc>
          <w:tcPr>
            <w:tcW w:w="1871" w:type="dxa"/>
            <w:vAlign w:val="center"/>
          </w:tcPr>
          <w:p w14:paraId="67EAC423">
            <w:pPr>
              <w:pStyle w:val="11"/>
            </w:pPr>
            <w:r>
              <w:t>指标值确定依据</w:t>
            </w:r>
          </w:p>
        </w:tc>
      </w:tr>
      <w:tr w14:paraId="0E19F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BAE00">
            <w:pPr>
              <w:pStyle w:val="12"/>
            </w:pPr>
            <w:r>
              <w:t>产出指标</w:t>
            </w:r>
          </w:p>
        </w:tc>
        <w:tc>
          <w:tcPr>
            <w:tcW w:w="2268" w:type="dxa"/>
            <w:vAlign w:val="center"/>
          </w:tcPr>
          <w:p w14:paraId="186673EF">
            <w:pPr>
              <w:pStyle w:val="13"/>
            </w:pPr>
            <w:r>
              <w:t>数量指标</w:t>
            </w:r>
          </w:p>
        </w:tc>
        <w:tc>
          <w:tcPr>
            <w:tcW w:w="2835" w:type="dxa"/>
            <w:vAlign w:val="center"/>
          </w:tcPr>
          <w:p w14:paraId="5AC25FFE">
            <w:pPr>
              <w:pStyle w:val="13"/>
            </w:pPr>
            <w:r>
              <w:t>智慧巡课设备采购</w:t>
            </w:r>
          </w:p>
        </w:tc>
        <w:tc>
          <w:tcPr>
            <w:tcW w:w="5386" w:type="dxa"/>
            <w:vAlign w:val="center"/>
          </w:tcPr>
          <w:p w14:paraId="7947F817">
            <w:pPr>
              <w:pStyle w:val="13"/>
            </w:pPr>
            <w:r>
              <w:t>智慧巡课设备采购项目</w:t>
            </w:r>
          </w:p>
        </w:tc>
        <w:tc>
          <w:tcPr>
            <w:tcW w:w="1673" w:type="dxa"/>
            <w:vAlign w:val="center"/>
          </w:tcPr>
          <w:p w14:paraId="57FB830C">
            <w:pPr>
              <w:pStyle w:val="13"/>
            </w:pPr>
            <w:r>
              <w:t>1项</w:t>
            </w:r>
          </w:p>
        </w:tc>
        <w:tc>
          <w:tcPr>
            <w:tcW w:w="1871" w:type="dxa"/>
            <w:vAlign w:val="center"/>
          </w:tcPr>
          <w:p w14:paraId="5DC6E6F5">
            <w:pPr>
              <w:pStyle w:val="13"/>
            </w:pPr>
            <w:r>
              <w:t>可行性研究报告</w:t>
            </w:r>
          </w:p>
        </w:tc>
      </w:tr>
      <w:tr w14:paraId="5386F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903AA"/>
        </w:tc>
        <w:tc>
          <w:tcPr>
            <w:tcW w:w="2268" w:type="dxa"/>
            <w:vAlign w:val="center"/>
          </w:tcPr>
          <w:p w14:paraId="10E5E8E0">
            <w:pPr>
              <w:pStyle w:val="13"/>
            </w:pPr>
            <w:r>
              <w:t>质量指标</w:t>
            </w:r>
          </w:p>
        </w:tc>
        <w:tc>
          <w:tcPr>
            <w:tcW w:w="2835" w:type="dxa"/>
            <w:vAlign w:val="center"/>
          </w:tcPr>
          <w:p w14:paraId="38E7C519">
            <w:pPr>
              <w:pStyle w:val="13"/>
            </w:pPr>
            <w:r>
              <w:t>项目工程质量合格率</w:t>
            </w:r>
          </w:p>
        </w:tc>
        <w:tc>
          <w:tcPr>
            <w:tcW w:w="5386" w:type="dxa"/>
            <w:vAlign w:val="center"/>
          </w:tcPr>
          <w:p w14:paraId="45B1938A">
            <w:pPr>
              <w:pStyle w:val="13"/>
            </w:pPr>
            <w:r>
              <w:t>智慧巡课设备质量合格率</w:t>
            </w:r>
          </w:p>
        </w:tc>
        <w:tc>
          <w:tcPr>
            <w:tcW w:w="1673" w:type="dxa"/>
            <w:vAlign w:val="center"/>
          </w:tcPr>
          <w:p w14:paraId="1D49DB4C">
            <w:pPr>
              <w:pStyle w:val="13"/>
            </w:pPr>
            <w:r>
              <w:t>≥100%</w:t>
            </w:r>
          </w:p>
        </w:tc>
        <w:tc>
          <w:tcPr>
            <w:tcW w:w="1871" w:type="dxa"/>
            <w:vAlign w:val="center"/>
          </w:tcPr>
          <w:p w14:paraId="4EC7CA88">
            <w:pPr>
              <w:pStyle w:val="13"/>
            </w:pPr>
            <w:r>
              <w:t>可行性研究报告</w:t>
            </w:r>
          </w:p>
        </w:tc>
      </w:tr>
      <w:tr w14:paraId="2FC9A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F1533"/>
        </w:tc>
        <w:tc>
          <w:tcPr>
            <w:tcW w:w="2268" w:type="dxa"/>
            <w:vAlign w:val="center"/>
          </w:tcPr>
          <w:p w14:paraId="232F563B">
            <w:pPr>
              <w:pStyle w:val="13"/>
            </w:pPr>
            <w:r>
              <w:t>时效指标</w:t>
            </w:r>
          </w:p>
        </w:tc>
        <w:tc>
          <w:tcPr>
            <w:tcW w:w="2835" w:type="dxa"/>
            <w:vAlign w:val="center"/>
          </w:tcPr>
          <w:p w14:paraId="63C2FBE5">
            <w:pPr>
              <w:pStyle w:val="13"/>
            </w:pPr>
            <w:r>
              <w:t>智慧巡课设备项目按时完成率</w:t>
            </w:r>
          </w:p>
        </w:tc>
        <w:tc>
          <w:tcPr>
            <w:tcW w:w="5386" w:type="dxa"/>
            <w:vAlign w:val="center"/>
          </w:tcPr>
          <w:p w14:paraId="5025A015">
            <w:pPr>
              <w:pStyle w:val="13"/>
            </w:pPr>
            <w:r>
              <w:t>工程按时完工率</w:t>
            </w:r>
          </w:p>
        </w:tc>
        <w:tc>
          <w:tcPr>
            <w:tcW w:w="1673" w:type="dxa"/>
            <w:vAlign w:val="center"/>
          </w:tcPr>
          <w:p w14:paraId="22B9A03A">
            <w:pPr>
              <w:pStyle w:val="13"/>
            </w:pPr>
            <w:r>
              <w:t>100%</w:t>
            </w:r>
          </w:p>
        </w:tc>
        <w:tc>
          <w:tcPr>
            <w:tcW w:w="1871" w:type="dxa"/>
            <w:vAlign w:val="center"/>
          </w:tcPr>
          <w:p w14:paraId="266CE3DC">
            <w:pPr>
              <w:pStyle w:val="13"/>
            </w:pPr>
            <w:r>
              <w:t>结合项目实际情况</w:t>
            </w:r>
          </w:p>
        </w:tc>
      </w:tr>
      <w:tr w14:paraId="344D6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DBA35"/>
        </w:tc>
        <w:tc>
          <w:tcPr>
            <w:tcW w:w="2268" w:type="dxa"/>
            <w:vAlign w:val="center"/>
          </w:tcPr>
          <w:p w14:paraId="6A1A9783">
            <w:pPr>
              <w:pStyle w:val="13"/>
            </w:pPr>
            <w:r>
              <w:t>成本指标</w:t>
            </w:r>
          </w:p>
        </w:tc>
        <w:tc>
          <w:tcPr>
            <w:tcW w:w="2835" w:type="dxa"/>
            <w:vAlign w:val="center"/>
          </w:tcPr>
          <w:p w14:paraId="0AE64F77">
            <w:pPr>
              <w:pStyle w:val="13"/>
            </w:pPr>
            <w:r>
              <w:t>智慧巡课设备采购成本</w:t>
            </w:r>
          </w:p>
        </w:tc>
        <w:tc>
          <w:tcPr>
            <w:tcW w:w="5386" w:type="dxa"/>
            <w:vAlign w:val="center"/>
          </w:tcPr>
          <w:p w14:paraId="761101E7">
            <w:pPr>
              <w:pStyle w:val="13"/>
            </w:pPr>
            <w:r>
              <w:t>实行政府采购招投标</w:t>
            </w:r>
          </w:p>
        </w:tc>
        <w:tc>
          <w:tcPr>
            <w:tcW w:w="1673" w:type="dxa"/>
            <w:vAlign w:val="center"/>
          </w:tcPr>
          <w:p w14:paraId="3BAE0F98">
            <w:pPr>
              <w:pStyle w:val="13"/>
            </w:pPr>
            <w:r>
              <w:t>≤210万元</w:t>
            </w:r>
          </w:p>
        </w:tc>
        <w:tc>
          <w:tcPr>
            <w:tcW w:w="1871" w:type="dxa"/>
            <w:vAlign w:val="center"/>
          </w:tcPr>
          <w:p w14:paraId="42B46A8E">
            <w:pPr>
              <w:pStyle w:val="13"/>
            </w:pPr>
            <w:r>
              <w:t>结合项目实际情况</w:t>
            </w:r>
          </w:p>
        </w:tc>
      </w:tr>
      <w:tr w14:paraId="42D95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DCEF5">
            <w:pPr>
              <w:pStyle w:val="12"/>
            </w:pPr>
            <w:r>
              <w:t>效益指标</w:t>
            </w:r>
          </w:p>
        </w:tc>
        <w:tc>
          <w:tcPr>
            <w:tcW w:w="2268" w:type="dxa"/>
            <w:vAlign w:val="center"/>
          </w:tcPr>
          <w:p w14:paraId="24D7CFDE">
            <w:pPr>
              <w:pStyle w:val="13"/>
            </w:pPr>
            <w:r>
              <w:t>经济效益指标</w:t>
            </w:r>
          </w:p>
        </w:tc>
        <w:tc>
          <w:tcPr>
            <w:tcW w:w="2835" w:type="dxa"/>
            <w:vAlign w:val="center"/>
          </w:tcPr>
          <w:p w14:paraId="7AC6E7A1">
            <w:pPr>
              <w:pStyle w:val="13"/>
            </w:pPr>
            <w:r>
              <w:t>高中教育毛入学率</w:t>
            </w:r>
          </w:p>
        </w:tc>
        <w:tc>
          <w:tcPr>
            <w:tcW w:w="5386" w:type="dxa"/>
            <w:vAlign w:val="center"/>
          </w:tcPr>
          <w:p w14:paraId="53BE546E">
            <w:pPr>
              <w:pStyle w:val="13"/>
            </w:pPr>
            <w:r>
              <w:t>大幅度提升高中阶段毛入学率</w:t>
            </w:r>
          </w:p>
        </w:tc>
        <w:tc>
          <w:tcPr>
            <w:tcW w:w="1673" w:type="dxa"/>
            <w:vAlign w:val="center"/>
          </w:tcPr>
          <w:p w14:paraId="58E5ACB8">
            <w:pPr>
              <w:pStyle w:val="13"/>
            </w:pPr>
            <w:r>
              <w:t>≥90%</w:t>
            </w:r>
          </w:p>
        </w:tc>
        <w:tc>
          <w:tcPr>
            <w:tcW w:w="1871" w:type="dxa"/>
            <w:vAlign w:val="center"/>
          </w:tcPr>
          <w:p w14:paraId="6340E5B9">
            <w:pPr>
              <w:pStyle w:val="13"/>
            </w:pPr>
            <w:r>
              <w:t>可行性研究报告</w:t>
            </w:r>
          </w:p>
        </w:tc>
      </w:tr>
      <w:tr w14:paraId="5C58F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34467"/>
        </w:tc>
        <w:tc>
          <w:tcPr>
            <w:tcW w:w="2268" w:type="dxa"/>
            <w:vAlign w:val="center"/>
          </w:tcPr>
          <w:p w14:paraId="6BA396F9">
            <w:pPr>
              <w:pStyle w:val="13"/>
            </w:pPr>
            <w:r>
              <w:t>社会效益指标</w:t>
            </w:r>
          </w:p>
        </w:tc>
        <w:tc>
          <w:tcPr>
            <w:tcW w:w="2835" w:type="dxa"/>
            <w:vAlign w:val="center"/>
          </w:tcPr>
          <w:p w14:paraId="379C0DB8">
            <w:pPr>
              <w:pStyle w:val="13"/>
            </w:pPr>
            <w:r>
              <w:t>受益人数</w:t>
            </w:r>
          </w:p>
        </w:tc>
        <w:tc>
          <w:tcPr>
            <w:tcW w:w="5386" w:type="dxa"/>
            <w:vAlign w:val="center"/>
          </w:tcPr>
          <w:p w14:paraId="7ECAB993">
            <w:pPr>
              <w:pStyle w:val="13"/>
            </w:pPr>
            <w:r>
              <w:t>受益学生人数</w:t>
            </w:r>
          </w:p>
        </w:tc>
        <w:tc>
          <w:tcPr>
            <w:tcW w:w="1673" w:type="dxa"/>
            <w:vAlign w:val="center"/>
          </w:tcPr>
          <w:p w14:paraId="31E343D9">
            <w:pPr>
              <w:pStyle w:val="13"/>
            </w:pPr>
            <w:r>
              <w:t>≥4399人</w:t>
            </w:r>
          </w:p>
        </w:tc>
        <w:tc>
          <w:tcPr>
            <w:tcW w:w="1871" w:type="dxa"/>
            <w:vAlign w:val="center"/>
          </w:tcPr>
          <w:p w14:paraId="0C35B05E">
            <w:pPr>
              <w:pStyle w:val="13"/>
            </w:pPr>
            <w:r>
              <w:t>可行性研究报告</w:t>
            </w:r>
          </w:p>
        </w:tc>
      </w:tr>
      <w:tr w14:paraId="39082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0769F"/>
        </w:tc>
        <w:tc>
          <w:tcPr>
            <w:tcW w:w="2268" w:type="dxa"/>
            <w:vAlign w:val="center"/>
          </w:tcPr>
          <w:p w14:paraId="7AA3DFC0">
            <w:pPr>
              <w:pStyle w:val="13"/>
            </w:pPr>
            <w:r>
              <w:t>可持续影响指标</w:t>
            </w:r>
          </w:p>
        </w:tc>
        <w:tc>
          <w:tcPr>
            <w:tcW w:w="2835" w:type="dxa"/>
            <w:vAlign w:val="center"/>
          </w:tcPr>
          <w:p w14:paraId="2818C255">
            <w:pPr>
              <w:pStyle w:val="13"/>
            </w:pPr>
            <w:r>
              <w:t>设备使用年限</w:t>
            </w:r>
          </w:p>
        </w:tc>
        <w:tc>
          <w:tcPr>
            <w:tcW w:w="5386" w:type="dxa"/>
            <w:vAlign w:val="center"/>
          </w:tcPr>
          <w:p w14:paraId="7FD3A3CF">
            <w:pPr>
              <w:pStyle w:val="13"/>
            </w:pPr>
            <w:r>
              <w:t>提高设备使用年限</w:t>
            </w:r>
          </w:p>
        </w:tc>
        <w:tc>
          <w:tcPr>
            <w:tcW w:w="1673" w:type="dxa"/>
            <w:vAlign w:val="center"/>
          </w:tcPr>
          <w:p w14:paraId="12AB2994">
            <w:pPr>
              <w:pStyle w:val="13"/>
            </w:pPr>
            <w:r>
              <w:t>≥10年</w:t>
            </w:r>
          </w:p>
        </w:tc>
        <w:tc>
          <w:tcPr>
            <w:tcW w:w="1871" w:type="dxa"/>
            <w:vAlign w:val="center"/>
          </w:tcPr>
          <w:p w14:paraId="483E5A05">
            <w:pPr>
              <w:pStyle w:val="13"/>
            </w:pPr>
            <w:r>
              <w:t>可行性研究报告</w:t>
            </w:r>
          </w:p>
        </w:tc>
      </w:tr>
      <w:tr w14:paraId="764C1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668CC7">
            <w:pPr>
              <w:pStyle w:val="12"/>
            </w:pPr>
            <w:r>
              <w:t>满意度指标</w:t>
            </w:r>
          </w:p>
        </w:tc>
        <w:tc>
          <w:tcPr>
            <w:tcW w:w="2268" w:type="dxa"/>
            <w:vAlign w:val="center"/>
          </w:tcPr>
          <w:p w14:paraId="108D9FB5">
            <w:pPr>
              <w:pStyle w:val="13"/>
            </w:pPr>
            <w:r>
              <w:t>服务对象满意度指标</w:t>
            </w:r>
          </w:p>
        </w:tc>
        <w:tc>
          <w:tcPr>
            <w:tcW w:w="2835" w:type="dxa"/>
            <w:vAlign w:val="center"/>
          </w:tcPr>
          <w:p w14:paraId="4DFFE1B2">
            <w:pPr>
              <w:pStyle w:val="13"/>
            </w:pPr>
            <w:r>
              <w:t>学生和学生家长满意度</w:t>
            </w:r>
          </w:p>
        </w:tc>
        <w:tc>
          <w:tcPr>
            <w:tcW w:w="5386" w:type="dxa"/>
            <w:vAlign w:val="center"/>
          </w:tcPr>
          <w:p w14:paraId="484EF277">
            <w:pPr>
              <w:pStyle w:val="13"/>
            </w:pPr>
            <w:r>
              <w:t>大幅提高学生和学生家长满意度</w:t>
            </w:r>
          </w:p>
        </w:tc>
        <w:tc>
          <w:tcPr>
            <w:tcW w:w="1673" w:type="dxa"/>
            <w:vAlign w:val="center"/>
          </w:tcPr>
          <w:p w14:paraId="38B9F86D">
            <w:pPr>
              <w:pStyle w:val="13"/>
            </w:pPr>
            <w:r>
              <w:t>≥95%</w:t>
            </w:r>
          </w:p>
        </w:tc>
        <w:tc>
          <w:tcPr>
            <w:tcW w:w="1871" w:type="dxa"/>
            <w:vAlign w:val="center"/>
          </w:tcPr>
          <w:p w14:paraId="5D7039A1">
            <w:pPr>
              <w:pStyle w:val="13"/>
            </w:pPr>
            <w:r>
              <w:t>调查问卷</w:t>
            </w:r>
          </w:p>
        </w:tc>
      </w:tr>
    </w:tbl>
    <w:p w14:paraId="59E4DAD6">
      <w:pPr>
        <w:sectPr>
          <w:pgSz w:w="16840" w:h="11900" w:orient="landscape"/>
          <w:pgMar w:top="1361" w:right="1020" w:bottom="1134" w:left="1020" w:header="720" w:footer="720" w:gutter="0"/>
          <w:cols w:space="720" w:num="1"/>
        </w:sectPr>
      </w:pPr>
    </w:p>
    <w:p w14:paraId="009AB586">
      <w:pPr>
        <w:spacing w:before="0" w:after="0"/>
        <w:ind w:firstLine="560"/>
        <w:jc w:val="left"/>
        <w:outlineLvl w:val="9"/>
      </w:pPr>
      <w:r>
        <w:rPr>
          <w:rFonts w:ascii="方正仿宋_GBK" w:hAnsi="方正仿宋_GBK" w:eastAsia="方正仿宋_GBK" w:cs="方正仿宋_GBK"/>
          <w:b/>
          <w:color w:val="000000"/>
          <w:sz w:val="28"/>
        </w:rPr>
        <w:t>6、冀财教[2024]125号/中央/2025年学生资助/普通高中三免（一中高中）建档立卡绩效目标表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BAC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06EF3">
            <w:pPr>
              <w:pStyle w:val="14"/>
            </w:pPr>
            <w:r>
              <w:t>单位：万元</w:t>
            </w:r>
          </w:p>
        </w:tc>
      </w:tr>
      <w:tr w14:paraId="358C9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90CD2">
            <w:pPr>
              <w:pStyle w:val="11"/>
            </w:pPr>
            <w:r>
              <w:t>项目编码</w:t>
            </w:r>
          </w:p>
        </w:tc>
        <w:tc>
          <w:tcPr>
            <w:tcW w:w="5103" w:type="dxa"/>
            <w:gridSpan w:val="2"/>
            <w:vAlign w:val="center"/>
          </w:tcPr>
          <w:p w14:paraId="78C5974C">
            <w:pPr>
              <w:pStyle w:val="13"/>
            </w:pPr>
            <w:r>
              <w:t>13052525P00001210030F</w:t>
            </w:r>
          </w:p>
        </w:tc>
        <w:tc>
          <w:tcPr>
            <w:tcW w:w="2835" w:type="dxa"/>
            <w:vAlign w:val="center"/>
          </w:tcPr>
          <w:p w14:paraId="242D2E9F">
            <w:pPr>
              <w:pStyle w:val="11"/>
            </w:pPr>
            <w:r>
              <w:t>项目名称</w:t>
            </w:r>
          </w:p>
        </w:tc>
        <w:tc>
          <w:tcPr>
            <w:tcW w:w="6095" w:type="dxa"/>
            <w:gridSpan w:val="3"/>
            <w:vAlign w:val="center"/>
          </w:tcPr>
          <w:p w14:paraId="1852C4C2">
            <w:pPr>
              <w:pStyle w:val="13"/>
            </w:pPr>
            <w:r>
              <w:t>冀财教[2024]125号/中央/2025年学生资助/普通高中三免（一中高中）建档立卡</w:t>
            </w:r>
          </w:p>
        </w:tc>
      </w:tr>
      <w:tr w14:paraId="1D104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EAFC3">
            <w:pPr>
              <w:pStyle w:val="11"/>
            </w:pPr>
            <w:r>
              <w:t>预算规模及资金用途</w:t>
            </w:r>
          </w:p>
        </w:tc>
        <w:tc>
          <w:tcPr>
            <w:tcW w:w="2268" w:type="dxa"/>
            <w:vAlign w:val="center"/>
          </w:tcPr>
          <w:p w14:paraId="127EE301">
            <w:pPr>
              <w:pStyle w:val="11"/>
            </w:pPr>
            <w:r>
              <w:t>预算数</w:t>
            </w:r>
          </w:p>
        </w:tc>
        <w:tc>
          <w:tcPr>
            <w:tcW w:w="2835" w:type="dxa"/>
            <w:vAlign w:val="center"/>
          </w:tcPr>
          <w:p w14:paraId="09465D24">
            <w:pPr>
              <w:pStyle w:val="13"/>
            </w:pPr>
            <w:r>
              <w:t>10.00</w:t>
            </w:r>
          </w:p>
        </w:tc>
        <w:tc>
          <w:tcPr>
            <w:tcW w:w="2835" w:type="dxa"/>
            <w:vAlign w:val="center"/>
          </w:tcPr>
          <w:p w14:paraId="0ED0A3E1">
            <w:pPr>
              <w:pStyle w:val="11"/>
            </w:pPr>
            <w:r>
              <w:t>其中：财政    资金</w:t>
            </w:r>
          </w:p>
        </w:tc>
        <w:tc>
          <w:tcPr>
            <w:tcW w:w="2551" w:type="dxa"/>
            <w:vAlign w:val="center"/>
          </w:tcPr>
          <w:p w14:paraId="51B4275A">
            <w:pPr>
              <w:pStyle w:val="13"/>
            </w:pPr>
            <w:r>
              <w:t>10.00</w:t>
            </w:r>
          </w:p>
        </w:tc>
        <w:tc>
          <w:tcPr>
            <w:tcW w:w="2268" w:type="dxa"/>
            <w:vAlign w:val="center"/>
          </w:tcPr>
          <w:p w14:paraId="02562E30">
            <w:pPr>
              <w:pStyle w:val="11"/>
            </w:pPr>
            <w:r>
              <w:t>其他资金</w:t>
            </w:r>
          </w:p>
        </w:tc>
        <w:tc>
          <w:tcPr>
            <w:tcW w:w="1276" w:type="dxa"/>
            <w:vAlign w:val="center"/>
          </w:tcPr>
          <w:p w14:paraId="1312FE4D">
            <w:pPr>
              <w:pStyle w:val="13"/>
            </w:pPr>
            <w:r>
              <w:t xml:space="preserve"> </w:t>
            </w:r>
          </w:p>
        </w:tc>
      </w:tr>
      <w:tr w14:paraId="5EF1E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275868"/>
        </w:tc>
        <w:tc>
          <w:tcPr>
            <w:tcW w:w="14033" w:type="dxa"/>
            <w:gridSpan w:val="6"/>
            <w:vAlign w:val="center"/>
          </w:tcPr>
          <w:p w14:paraId="2F6ADA56">
            <w:pPr>
              <w:pStyle w:val="13"/>
            </w:pPr>
            <w:r>
              <w:t>深入宣传学生免学费政策，落实普通高中建档立卡家庭困难学生免除学杂费政策。</w:t>
            </w:r>
          </w:p>
        </w:tc>
      </w:tr>
      <w:tr w14:paraId="6FF02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AE576">
            <w:pPr>
              <w:pStyle w:val="11"/>
            </w:pPr>
            <w:r>
              <w:t>资金支出计划（%）</w:t>
            </w:r>
          </w:p>
        </w:tc>
        <w:tc>
          <w:tcPr>
            <w:tcW w:w="5103" w:type="dxa"/>
            <w:gridSpan w:val="2"/>
            <w:vAlign w:val="center"/>
          </w:tcPr>
          <w:p w14:paraId="3A151F54">
            <w:pPr>
              <w:pStyle w:val="11"/>
            </w:pPr>
            <w:r>
              <w:t>3月底</w:t>
            </w:r>
          </w:p>
        </w:tc>
        <w:tc>
          <w:tcPr>
            <w:tcW w:w="2835" w:type="dxa"/>
            <w:vAlign w:val="center"/>
          </w:tcPr>
          <w:p w14:paraId="68CF17A2">
            <w:pPr>
              <w:pStyle w:val="11"/>
            </w:pPr>
            <w:r>
              <w:t>6月底</w:t>
            </w:r>
          </w:p>
        </w:tc>
        <w:tc>
          <w:tcPr>
            <w:tcW w:w="2551" w:type="dxa"/>
            <w:vAlign w:val="center"/>
          </w:tcPr>
          <w:p w14:paraId="2F5E8924">
            <w:pPr>
              <w:pStyle w:val="11"/>
            </w:pPr>
            <w:r>
              <w:t>10月底</w:t>
            </w:r>
          </w:p>
        </w:tc>
        <w:tc>
          <w:tcPr>
            <w:tcW w:w="3544" w:type="dxa"/>
            <w:gridSpan w:val="2"/>
            <w:vAlign w:val="center"/>
          </w:tcPr>
          <w:p w14:paraId="70027B68">
            <w:pPr>
              <w:pStyle w:val="11"/>
            </w:pPr>
            <w:r>
              <w:t>12月底</w:t>
            </w:r>
          </w:p>
        </w:tc>
      </w:tr>
      <w:tr w14:paraId="142E5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B6FE9"/>
        </w:tc>
        <w:tc>
          <w:tcPr>
            <w:tcW w:w="5103" w:type="dxa"/>
            <w:gridSpan w:val="2"/>
            <w:vAlign w:val="center"/>
          </w:tcPr>
          <w:p w14:paraId="749386FA">
            <w:pPr>
              <w:pStyle w:val="12"/>
            </w:pPr>
            <w:r>
              <w:t xml:space="preserve"> </w:t>
            </w:r>
          </w:p>
        </w:tc>
        <w:tc>
          <w:tcPr>
            <w:tcW w:w="2835" w:type="dxa"/>
            <w:vAlign w:val="center"/>
          </w:tcPr>
          <w:p w14:paraId="0CA0F829">
            <w:pPr>
              <w:pStyle w:val="12"/>
            </w:pPr>
            <w:r>
              <w:t xml:space="preserve"> </w:t>
            </w:r>
          </w:p>
        </w:tc>
        <w:tc>
          <w:tcPr>
            <w:tcW w:w="2551" w:type="dxa"/>
            <w:vAlign w:val="center"/>
          </w:tcPr>
          <w:p w14:paraId="783735A6">
            <w:pPr>
              <w:pStyle w:val="12"/>
            </w:pPr>
            <w:r>
              <w:t xml:space="preserve"> </w:t>
            </w:r>
          </w:p>
        </w:tc>
        <w:tc>
          <w:tcPr>
            <w:tcW w:w="3544" w:type="dxa"/>
            <w:gridSpan w:val="2"/>
            <w:vAlign w:val="center"/>
          </w:tcPr>
          <w:p w14:paraId="271CF9FE">
            <w:pPr>
              <w:pStyle w:val="12"/>
            </w:pPr>
            <w:r>
              <w:t>100%</w:t>
            </w:r>
          </w:p>
        </w:tc>
      </w:tr>
      <w:tr w14:paraId="1E3C7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07EC76">
            <w:pPr>
              <w:pStyle w:val="11"/>
            </w:pPr>
            <w:r>
              <w:t>绩效目标</w:t>
            </w:r>
          </w:p>
        </w:tc>
        <w:tc>
          <w:tcPr>
            <w:tcW w:w="14033" w:type="dxa"/>
            <w:gridSpan w:val="6"/>
            <w:vAlign w:val="center"/>
          </w:tcPr>
          <w:p w14:paraId="6B0C4352">
            <w:pPr>
              <w:pStyle w:val="13"/>
            </w:pPr>
            <w:r>
              <w:t>1.中央补助资金100000元，改善学校办学条件，普通高中教育招生增加，学生流失率下降，促进教育均衡发展</w:t>
            </w:r>
          </w:p>
          <w:p w14:paraId="76FF51E4">
            <w:pPr>
              <w:pStyle w:val="13"/>
            </w:pPr>
            <w:r>
              <w:t>2.深入宣传学生免学费政策，落实普通高中建档立卡家庭困难学生免除学杂费政策</w:t>
            </w:r>
          </w:p>
          <w:p w14:paraId="1FE12015">
            <w:pPr>
              <w:pStyle w:val="13"/>
            </w:pPr>
            <w:r>
              <w:t>3.减轻农民负担，增强普通高中教育的吸引力，加快县域经济发展</w:t>
            </w:r>
          </w:p>
        </w:tc>
      </w:tr>
    </w:tbl>
    <w:p w14:paraId="062333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74"/>
        <w:gridCol w:w="1110"/>
        <w:gridCol w:w="2846"/>
      </w:tblGrid>
      <w:tr w14:paraId="47348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83823">
            <w:pPr>
              <w:pStyle w:val="11"/>
            </w:pPr>
            <w:r>
              <w:t>一级指标</w:t>
            </w:r>
          </w:p>
        </w:tc>
        <w:tc>
          <w:tcPr>
            <w:tcW w:w="2268" w:type="dxa"/>
            <w:vAlign w:val="center"/>
          </w:tcPr>
          <w:p w14:paraId="4713E6C0">
            <w:pPr>
              <w:pStyle w:val="11"/>
            </w:pPr>
            <w:r>
              <w:t>二级指标</w:t>
            </w:r>
          </w:p>
        </w:tc>
        <w:tc>
          <w:tcPr>
            <w:tcW w:w="2835" w:type="dxa"/>
            <w:vAlign w:val="center"/>
          </w:tcPr>
          <w:p w14:paraId="61E011DB">
            <w:pPr>
              <w:pStyle w:val="11"/>
            </w:pPr>
            <w:r>
              <w:t>三级指标</w:t>
            </w:r>
          </w:p>
        </w:tc>
        <w:tc>
          <w:tcPr>
            <w:tcW w:w="4974" w:type="dxa"/>
            <w:vAlign w:val="center"/>
          </w:tcPr>
          <w:p w14:paraId="6DFBE075">
            <w:pPr>
              <w:pStyle w:val="11"/>
            </w:pPr>
            <w:r>
              <w:t>绩效指标描述</w:t>
            </w:r>
          </w:p>
        </w:tc>
        <w:tc>
          <w:tcPr>
            <w:tcW w:w="1110" w:type="dxa"/>
            <w:vAlign w:val="center"/>
          </w:tcPr>
          <w:p w14:paraId="4188B90F">
            <w:pPr>
              <w:pStyle w:val="11"/>
            </w:pPr>
            <w:r>
              <w:t>指标值</w:t>
            </w:r>
          </w:p>
        </w:tc>
        <w:tc>
          <w:tcPr>
            <w:tcW w:w="2846" w:type="dxa"/>
            <w:vAlign w:val="center"/>
          </w:tcPr>
          <w:p w14:paraId="071D02FF">
            <w:pPr>
              <w:pStyle w:val="11"/>
            </w:pPr>
            <w:r>
              <w:t>指标值确定依据</w:t>
            </w:r>
          </w:p>
        </w:tc>
      </w:tr>
      <w:tr w14:paraId="079CC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B2D28">
            <w:pPr>
              <w:pStyle w:val="12"/>
            </w:pPr>
            <w:r>
              <w:t>产出指标</w:t>
            </w:r>
          </w:p>
        </w:tc>
        <w:tc>
          <w:tcPr>
            <w:tcW w:w="2268" w:type="dxa"/>
            <w:vAlign w:val="center"/>
          </w:tcPr>
          <w:p w14:paraId="185CB71B">
            <w:pPr>
              <w:pStyle w:val="13"/>
            </w:pPr>
            <w:r>
              <w:t>数量指标</w:t>
            </w:r>
          </w:p>
        </w:tc>
        <w:tc>
          <w:tcPr>
            <w:tcW w:w="2835" w:type="dxa"/>
            <w:vAlign w:val="center"/>
          </w:tcPr>
          <w:p w14:paraId="7A4DACF3">
            <w:pPr>
              <w:pStyle w:val="13"/>
            </w:pPr>
            <w:r>
              <w:t>普通高中资助人数</w:t>
            </w:r>
          </w:p>
        </w:tc>
        <w:tc>
          <w:tcPr>
            <w:tcW w:w="4974" w:type="dxa"/>
            <w:vAlign w:val="center"/>
          </w:tcPr>
          <w:p w14:paraId="03DE4BD4">
            <w:pPr>
              <w:pStyle w:val="13"/>
            </w:pPr>
            <w:r>
              <w:t>在我校就读具有正式注册学籍的建档立卡家庭学生</w:t>
            </w:r>
          </w:p>
        </w:tc>
        <w:tc>
          <w:tcPr>
            <w:tcW w:w="1110" w:type="dxa"/>
            <w:vAlign w:val="center"/>
          </w:tcPr>
          <w:p w14:paraId="721D52AB">
            <w:pPr>
              <w:pStyle w:val="13"/>
            </w:pPr>
            <w:r>
              <w:t>≥248人</w:t>
            </w:r>
          </w:p>
        </w:tc>
        <w:tc>
          <w:tcPr>
            <w:tcW w:w="2846" w:type="dxa"/>
            <w:vAlign w:val="center"/>
          </w:tcPr>
          <w:p w14:paraId="369F3B0E">
            <w:pPr>
              <w:pStyle w:val="13"/>
            </w:pPr>
            <w:r>
              <w:t>年度预算</w:t>
            </w:r>
          </w:p>
        </w:tc>
      </w:tr>
      <w:tr w14:paraId="20FB7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1D4D8"/>
        </w:tc>
        <w:tc>
          <w:tcPr>
            <w:tcW w:w="2268" w:type="dxa"/>
            <w:vAlign w:val="center"/>
          </w:tcPr>
          <w:p w14:paraId="1497A8FE">
            <w:pPr>
              <w:pStyle w:val="13"/>
            </w:pPr>
            <w:r>
              <w:t>质量指标</w:t>
            </w:r>
          </w:p>
        </w:tc>
        <w:tc>
          <w:tcPr>
            <w:tcW w:w="2835" w:type="dxa"/>
            <w:vAlign w:val="center"/>
          </w:tcPr>
          <w:p w14:paraId="772F8D84">
            <w:pPr>
              <w:pStyle w:val="13"/>
            </w:pPr>
            <w:r>
              <w:t>成立评审小组</w:t>
            </w:r>
          </w:p>
        </w:tc>
        <w:tc>
          <w:tcPr>
            <w:tcW w:w="4974" w:type="dxa"/>
            <w:vAlign w:val="center"/>
          </w:tcPr>
          <w:p w14:paraId="3C064D92">
            <w:pPr>
              <w:pStyle w:val="13"/>
            </w:pPr>
            <w:r>
              <w:t>成立普通高中贫困资助评审小组，建立监督检查制度</w:t>
            </w:r>
          </w:p>
        </w:tc>
        <w:tc>
          <w:tcPr>
            <w:tcW w:w="1110" w:type="dxa"/>
            <w:vAlign w:val="center"/>
          </w:tcPr>
          <w:p w14:paraId="74388192">
            <w:pPr>
              <w:pStyle w:val="13"/>
            </w:pPr>
            <w:r>
              <w:t>1小组</w:t>
            </w:r>
          </w:p>
        </w:tc>
        <w:tc>
          <w:tcPr>
            <w:tcW w:w="2846" w:type="dxa"/>
            <w:vAlign w:val="center"/>
          </w:tcPr>
          <w:p w14:paraId="705D884F">
            <w:pPr>
              <w:pStyle w:val="13"/>
            </w:pPr>
            <w:r>
              <w:t>河北省建档立卡家庭经济困难学生资助管理暂行办法</w:t>
            </w:r>
          </w:p>
        </w:tc>
      </w:tr>
      <w:tr w14:paraId="2A0ED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73C14"/>
        </w:tc>
        <w:tc>
          <w:tcPr>
            <w:tcW w:w="2268" w:type="dxa"/>
            <w:vAlign w:val="center"/>
          </w:tcPr>
          <w:p w14:paraId="60DEF256">
            <w:pPr>
              <w:pStyle w:val="13"/>
            </w:pPr>
            <w:r>
              <w:t>时效指标</w:t>
            </w:r>
          </w:p>
        </w:tc>
        <w:tc>
          <w:tcPr>
            <w:tcW w:w="2835" w:type="dxa"/>
            <w:vAlign w:val="center"/>
          </w:tcPr>
          <w:p w14:paraId="763E4DFD">
            <w:pPr>
              <w:pStyle w:val="13"/>
            </w:pPr>
            <w:r>
              <w:t>补助资金到位</w:t>
            </w:r>
          </w:p>
        </w:tc>
        <w:tc>
          <w:tcPr>
            <w:tcW w:w="4974" w:type="dxa"/>
            <w:vAlign w:val="center"/>
          </w:tcPr>
          <w:p w14:paraId="2C191C2B">
            <w:pPr>
              <w:pStyle w:val="13"/>
            </w:pPr>
            <w:r>
              <w:t>补助资金到位及时率</w:t>
            </w:r>
          </w:p>
        </w:tc>
        <w:tc>
          <w:tcPr>
            <w:tcW w:w="1110" w:type="dxa"/>
            <w:vAlign w:val="center"/>
          </w:tcPr>
          <w:p w14:paraId="31820BAF">
            <w:pPr>
              <w:pStyle w:val="13"/>
            </w:pPr>
            <w:r>
              <w:t>≥100%</w:t>
            </w:r>
          </w:p>
        </w:tc>
        <w:tc>
          <w:tcPr>
            <w:tcW w:w="2846" w:type="dxa"/>
            <w:vAlign w:val="center"/>
          </w:tcPr>
          <w:p w14:paraId="0327CEB9">
            <w:pPr>
              <w:pStyle w:val="13"/>
            </w:pPr>
            <w:r>
              <w:t>河北省建档立卡家庭经济困难学生资助管理暂行办法</w:t>
            </w:r>
          </w:p>
        </w:tc>
      </w:tr>
      <w:tr w14:paraId="45A41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17F25"/>
        </w:tc>
        <w:tc>
          <w:tcPr>
            <w:tcW w:w="2268" w:type="dxa"/>
            <w:vAlign w:val="center"/>
          </w:tcPr>
          <w:p w14:paraId="5EC62588">
            <w:pPr>
              <w:pStyle w:val="13"/>
            </w:pPr>
            <w:r>
              <w:t>成本指标</w:t>
            </w:r>
          </w:p>
        </w:tc>
        <w:tc>
          <w:tcPr>
            <w:tcW w:w="2835" w:type="dxa"/>
            <w:vAlign w:val="center"/>
          </w:tcPr>
          <w:p w14:paraId="6DA94FD7">
            <w:pPr>
              <w:pStyle w:val="13"/>
            </w:pPr>
            <w:r>
              <w:t>普通高中建档立卡学生减免标准</w:t>
            </w:r>
          </w:p>
        </w:tc>
        <w:tc>
          <w:tcPr>
            <w:tcW w:w="4974" w:type="dxa"/>
            <w:vAlign w:val="center"/>
          </w:tcPr>
          <w:p w14:paraId="1F16F134">
            <w:pPr>
              <w:pStyle w:val="13"/>
            </w:pPr>
            <w:r>
              <w:t>学费1600元/生/年；住宿费500元/生/年；书费300元/生/年</w:t>
            </w:r>
          </w:p>
        </w:tc>
        <w:tc>
          <w:tcPr>
            <w:tcW w:w="1110" w:type="dxa"/>
            <w:vAlign w:val="center"/>
          </w:tcPr>
          <w:p w14:paraId="7F0527D5">
            <w:pPr>
              <w:pStyle w:val="13"/>
            </w:pPr>
            <w:r>
              <w:t>2800元</w:t>
            </w:r>
          </w:p>
        </w:tc>
        <w:tc>
          <w:tcPr>
            <w:tcW w:w="2846" w:type="dxa"/>
            <w:vAlign w:val="center"/>
          </w:tcPr>
          <w:p w14:paraId="33823346">
            <w:pPr>
              <w:pStyle w:val="13"/>
            </w:pPr>
            <w:r>
              <w:t>河北省建档立卡家庭经济困难学生资助管理暂行办法</w:t>
            </w:r>
          </w:p>
        </w:tc>
      </w:tr>
      <w:tr w14:paraId="4EA3A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CA57C">
            <w:pPr>
              <w:pStyle w:val="12"/>
            </w:pPr>
            <w:r>
              <w:t>效益指标</w:t>
            </w:r>
          </w:p>
        </w:tc>
        <w:tc>
          <w:tcPr>
            <w:tcW w:w="2268" w:type="dxa"/>
            <w:vAlign w:val="center"/>
          </w:tcPr>
          <w:p w14:paraId="0CB8A5F2">
            <w:pPr>
              <w:pStyle w:val="13"/>
            </w:pPr>
            <w:r>
              <w:t>经济效益指标</w:t>
            </w:r>
          </w:p>
        </w:tc>
        <w:tc>
          <w:tcPr>
            <w:tcW w:w="2835" w:type="dxa"/>
            <w:vAlign w:val="center"/>
          </w:tcPr>
          <w:p w14:paraId="5E60F360">
            <w:pPr>
              <w:pStyle w:val="13"/>
            </w:pPr>
            <w:r>
              <w:t>减轻家庭负担</w:t>
            </w:r>
          </w:p>
        </w:tc>
        <w:tc>
          <w:tcPr>
            <w:tcW w:w="4974" w:type="dxa"/>
            <w:vAlign w:val="center"/>
          </w:tcPr>
          <w:p w14:paraId="70FAF81B">
            <w:pPr>
              <w:pStyle w:val="13"/>
            </w:pPr>
            <w:r>
              <w:t>减轻建档立卡家庭学生家长经济负担</w:t>
            </w:r>
          </w:p>
        </w:tc>
        <w:tc>
          <w:tcPr>
            <w:tcW w:w="1110" w:type="dxa"/>
            <w:vAlign w:val="center"/>
          </w:tcPr>
          <w:p w14:paraId="6FDC0930">
            <w:pPr>
              <w:pStyle w:val="13"/>
            </w:pPr>
            <w:r>
              <w:t>减轻</w:t>
            </w:r>
          </w:p>
        </w:tc>
        <w:tc>
          <w:tcPr>
            <w:tcW w:w="2846" w:type="dxa"/>
            <w:vAlign w:val="center"/>
          </w:tcPr>
          <w:p w14:paraId="2D4E93C1">
            <w:pPr>
              <w:pStyle w:val="13"/>
            </w:pPr>
            <w:r>
              <w:t>河北省建档立卡家庭经济困难学生资助管理暂行办法</w:t>
            </w:r>
          </w:p>
        </w:tc>
      </w:tr>
      <w:tr w14:paraId="5E648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3E0D4"/>
        </w:tc>
        <w:tc>
          <w:tcPr>
            <w:tcW w:w="2268" w:type="dxa"/>
            <w:vAlign w:val="center"/>
          </w:tcPr>
          <w:p w14:paraId="7833CFA8">
            <w:pPr>
              <w:pStyle w:val="13"/>
            </w:pPr>
            <w:r>
              <w:t>可持续影响指标</w:t>
            </w:r>
          </w:p>
        </w:tc>
        <w:tc>
          <w:tcPr>
            <w:tcW w:w="2835" w:type="dxa"/>
            <w:vAlign w:val="center"/>
          </w:tcPr>
          <w:p w14:paraId="6D8D0450">
            <w:pPr>
              <w:pStyle w:val="13"/>
            </w:pPr>
            <w:r>
              <w:t>高中运转</w:t>
            </w:r>
          </w:p>
        </w:tc>
        <w:tc>
          <w:tcPr>
            <w:tcW w:w="4974" w:type="dxa"/>
            <w:vAlign w:val="center"/>
          </w:tcPr>
          <w:p w14:paraId="6D141F8F">
            <w:pPr>
              <w:pStyle w:val="13"/>
            </w:pPr>
            <w:r>
              <w:t>高中生受教育年限</w:t>
            </w:r>
          </w:p>
        </w:tc>
        <w:tc>
          <w:tcPr>
            <w:tcW w:w="1110" w:type="dxa"/>
            <w:vAlign w:val="center"/>
          </w:tcPr>
          <w:p w14:paraId="0A11919F">
            <w:pPr>
              <w:pStyle w:val="13"/>
            </w:pPr>
            <w:r>
              <w:t>3年</w:t>
            </w:r>
          </w:p>
        </w:tc>
        <w:tc>
          <w:tcPr>
            <w:tcW w:w="2846" w:type="dxa"/>
            <w:vAlign w:val="center"/>
          </w:tcPr>
          <w:p w14:paraId="04819A23">
            <w:pPr>
              <w:pStyle w:val="13"/>
            </w:pPr>
            <w:r>
              <w:t>河北省建档立卡家庭经济困难学生资助管理暂行办法</w:t>
            </w:r>
          </w:p>
        </w:tc>
      </w:tr>
      <w:tr w14:paraId="4564A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552F1F">
            <w:pPr>
              <w:pStyle w:val="12"/>
            </w:pPr>
            <w:r>
              <w:t>满意度指标</w:t>
            </w:r>
          </w:p>
        </w:tc>
        <w:tc>
          <w:tcPr>
            <w:tcW w:w="2268" w:type="dxa"/>
            <w:vAlign w:val="center"/>
          </w:tcPr>
          <w:p w14:paraId="7815FACB">
            <w:pPr>
              <w:pStyle w:val="13"/>
            </w:pPr>
            <w:r>
              <w:t>服务对象满意度指标</w:t>
            </w:r>
          </w:p>
        </w:tc>
        <w:tc>
          <w:tcPr>
            <w:tcW w:w="2835" w:type="dxa"/>
            <w:vAlign w:val="center"/>
          </w:tcPr>
          <w:p w14:paraId="5F08125F">
            <w:pPr>
              <w:pStyle w:val="13"/>
            </w:pPr>
            <w:r>
              <w:t>提升幸福指数</w:t>
            </w:r>
          </w:p>
        </w:tc>
        <w:tc>
          <w:tcPr>
            <w:tcW w:w="4974" w:type="dxa"/>
            <w:vAlign w:val="center"/>
          </w:tcPr>
          <w:p w14:paraId="42E7B93C">
            <w:pPr>
              <w:pStyle w:val="13"/>
            </w:pPr>
            <w:r>
              <w:t>提升建档立卡贫困家庭学生幸福指数</w:t>
            </w:r>
          </w:p>
          <w:p w14:paraId="500C0042">
            <w:pPr>
              <w:pStyle w:val="13"/>
            </w:pPr>
            <w:r>
              <w:t>家长学生满意</w:t>
            </w:r>
          </w:p>
        </w:tc>
        <w:tc>
          <w:tcPr>
            <w:tcW w:w="1110" w:type="dxa"/>
            <w:vAlign w:val="center"/>
          </w:tcPr>
          <w:p w14:paraId="7C1E8B10">
            <w:pPr>
              <w:pStyle w:val="13"/>
            </w:pPr>
            <w:r>
              <w:t>≥98%</w:t>
            </w:r>
          </w:p>
        </w:tc>
        <w:tc>
          <w:tcPr>
            <w:tcW w:w="2846" w:type="dxa"/>
            <w:vAlign w:val="center"/>
          </w:tcPr>
          <w:p w14:paraId="51F341EE">
            <w:pPr>
              <w:pStyle w:val="13"/>
            </w:pPr>
            <w:r>
              <w:t>河北省建档立卡家庭经济困难学生资助管理暂行办法</w:t>
            </w:r>
          </w:p>
        </w:tc>
      </w:tr>
    </w:tbl>
    <w:p w14:paraId="18AEFF02">
      <w:pPr>
        <w:sectPr>
          <w:pgSz w:w="16840" w:h="11900" w:orient="landscape"/>
          <w:pgMar w:top="1361" w:right="1020" w:bottom="1134" w:left="1020" w:header="720" w:footer="720" w:gutter="0"/>
          <w:cols w:space="720" w:num="1"/>
        </w:sectPr>
      </w:pPr>
    </w:p>
    <w:p w14:paraId="46FBE336">
      <w:pPr>
        <w:spacing w:before="0" w:after="0"/>
        <w:ind w:firstLine="560"/>
        <w:jc w:val="left"/>
        <w:outlineLvl w:val="9"/>
      </w:pPr>
      <w:r>
        <w:rPr>
          <w:rFonts w:ascii="方正仿宋_GBK" w:hAnsi="方正仿宋_GBK" w:eastAsia="方正仿宋_GBK" w:cs="方正仿宋_GBK"/>
          <w:b/>
          <w:color w:val="000000"/>
          <w:sz w:val="28"/>
        </w:rPr>
        <w:t>7、冀财教[2024]125号/中央/2025年学生资助/普通高中助学金（一中高中）</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57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CA071">
            <w:pPr>
              <w:pStyle w:val="14"/>
            </w:pPr>
            <w:r>
              <w:t>单位：万元</w:t>
            </w:r>
          </w:p>
        </w:tc>
      </w:tr>
      <w:tr w14:paraId="5422B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58F8E">
            <w:pPr>
              <w:pStyle w:val="11"/>
            </w:pPr>
            <w:r>
              <w:t>项目编码</w:t>
            </w:r>
          </w:p>
        </w:tc>
        <w:tc>
          <w:tcPr>
            <w:tcW w:w="5103" w:type="dxa"/>
            <w:gridSpan w:val="2"/>
            <w:vAlign w:val="center"/>
          </w:tcPr>
          <w:p w14:paraId="0AFD7A1A">
            <w:pPr>
              <w:pStyle w:val="13"/>
            </w:pPr>
            <w:r>
              <w:t>13052525P00001210035H</w:t>
            </w:r>
          </w:p>
        </w:tc>
        <w:tc>
          <w:tcPr>
            <w:tcW w:w="2835" w:type="dxa"/>
            <w:vAlign w:val="center"/>
          </w:tcPr>
          <w:p w14:paraId="1E6CAB4C">
            <w:pPr>
              <w:pStyle w:val="11"/>
            </w:pPr>
            <w:r>
              <w:t>项目名称</w:t>
            </w:r>
          </w:p>
        </w:tc>
        <w:tc>
          <w:tcPr>
            <w:tcW w:w="6095" w:type="dxa"/>
            <w:gridSpan w:val="3"/>
            <w:vAlign w:val="center"/>
          </w:tcPr>
          <w:p w14:paraId="03FA64FB">
            <w:pPr>
              <w:pStyle w:val="13"/>
            </w:pPr>
            <w:r>
              <w:t>冀财教[2024]125号/中央/2025年学生资助/普通高中助学金（一中高中）</w:t>
            </w:r>
            <w:r>
              <w:tab/>
            </w:r>
          </w:p>
        </w:tc>
      </w:tr>
      <w:tr w14:paraId="7795E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9823E">
            <w:pPr>
              <w:pStyle w:val="11"/>
            </w:pPr>
            <w:r>
              <w:t>预算规模及资金用途</w:t>
            </w:r>
          </w:p>
        </w:tc>
        <w:tc>
          <w:tcPr>
            <w:tcW w:w="2268" w:type="dxa"/>
            <w:vAlign w:val="center"/>
          </w:tcPr>
          <w:p w14:paraId="57936B8C">
            <w:pPr>
              <w:pStyle w:val="11"/>
            </w:pPr>
            <w:r>
              <w:t>预算数</w:t>
            </w:r>
          </w:p>
        </w:tc>
        <w:tc>
          <w:tcPr>
            <w:tcW w:w="2835" w:type="dxa"/>
            <w:vAlign w:val="center"/>
          </w:tcPr>
          <w:p w14:paraId="0741C984">
            <w:pPr>
              <w:pStyle w:val="13"/>
            </w:pPr>
            <w:r>
              <w:t>82.00</w:t>
            </w:r>
          </w:p>
        </w:tc>
        <w:tc>
          <w:tcPr>
            <w:tcW w:w="2835" w:type="dxa"/>
            <w:vAlign w:val="center"/>
          </w:tcPr>
          <w:p w14:paraId="028D33B9">
            <w:pPr>
              <w:pStyle w:val="11"/>
            </w:pPr>
            <w:r>
              <w:t>其中：财政    资金</w:t>
            </w:r>
          </w:p>
        </w:tc>
        <w:tc>
          <w:tcPr>
            <w:tcW w:w="2551" w:type="dxa"/>
            <w:vAlign w:val="center"/>
          </w:tcPr>
          <w:p w14:paraId="2A68E041">
            <w:pPr>
              <w:pStyle w:val="13"/>
            </w:pPr>
            <w:r>
              <w:t>82.00</w:t>
            </w:r>
          </w:p>
        </w:tc>
        <w:tc>
          <w:tcPr>
            <w:tcW w:w="2268" w:type="dxa"/>
            <w:vAlign w:val="center"/>
          </w:tcPr>
          <w:p w14:paraId="11F9DC32">
            <w:pPr>
              <w:pStyle w:val="11"/>
            </w:pPr>
            <w:r>
              <w:t>其他资金</w:t>
            </w:r>
          </w:p>
        </w:tc>
        <w:tc>
          <w:tcPr>
            <w:tcW w:w="1276" w:type="dxa"/>
            <w:vAlign w:val="center"/>
          </w:tcPr>
          <w:p w14:paraId="0DC327B2">
            <w:pPr>
              <w:pStyle w:val="13"/>
            </w:pPr>
            <w:r>
              <w:t xml:space="preserve"> </w:t>
            </w:r>
          </w:p>
        </w:tc>
      </w:tr>
      <w:tr w14:paraId="3F662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9DD361"/>
        </w:tc>
        <w:tc>
          <w:tcPr>
            <w:tcW w:w="14033" w:type="dxa"/>
            <w:gridSpan w:val="6"/>
            <w:vAlign w:val="center"/>
          </w:tcPr>
          <w:p w14:paraId="0B91D3E8">
            <w:pPr>
              <w:pStyle w:val="13"/>
            </w:pPr>
            <w:r>
              <w:t>及时发放资助资金，确保贫困家庭学生得到资助，不因贫困失学辍学。</w:t>
            </w:r>
          </w:p>
        </w:tc>
      </w:tr>
      <w:tr w14:paraId="443D5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62A71">
            <w:pPr>
              <w:pStyle w:val="11"/>
            </w:pPr>
            <w:r>
              <w:t>资金支出计划（%）</w:t>
            </w:r>
          </w:p>
        </w:tc>
        <w:tc>
          <w:tcPr>
            <w:tcW w:w="5103" w:type="dxa"/>
            <w:gridSpan w:val="2"/>
            <w:vAlign w:val="center"/>
          </w:tcPr>
          <w:p w14:paraId="7F618907">
            <w:pPr>
              <w:pStyle w:val="11"/>
            </w:pPr>
            <w:r>
              <w:t>3月底</w:t>
            </w:r>
          </w:p>
        </w:tc>
        <w:tc>
          <w:tcPr>
            <w:tcW w:w="2835" w:type="dxa"/>
            <w:vAlign w:val="center"/>
          </w:tcPr>
          <w:p w14:paraId="206CC3AC">
            <w:pPr>
              <w:pStyle w:val="11"/>
            </w:pPr>
            <w:r>
              <w:t>6月底</w:t>
            </w:r>
          </w:p>
        </w:tc>
        <w:tc>
          <w:tcPr>
            <w:tcW w:w="2551" w:type="dxa"/>
            <w:vAlign w:val="center"/>
          </w:tcPr>
          <w:p w14:paraId="7DE8CD23">
            <w:pPr>
              <w:pStyle w:val="11"/>
            </w:pPr>
            <w:r>
              <w:t>10月底</w:t>
            </w:r>
          </w:p>
        </w:tc>
        <w:tc>
          <w:tcPr>
            <w:tcW w:w="3544" w:type="dxa"/>
            <w:gridSpan w:val="2"/>
            <w:vAlign w:val="center"/>
          </w:tcPr>
          <w:p w14:paraId="3A34B90B">
            <w:pPr>
              <w:pStyle w:val="11"/>
            </w:pPr>
            <w:r>
              <w:t>12月底</w:t>
            </w:r>
          </w:p>
        </w:tc>
      </w:tr>
      <w:tr w14:paraId="0ABD5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C3E5D"/>
        </w:tc>
        <w:tc>
          <w:tcPr>
            <w:tcW w:w="5103" w:type="dxa"/>
            <w:gridSpan w:val="2"/>
            <w:vAlign w:val="center"/>
          </w:tcPr>
          <w:p w14:paraId="03EAEA96">
            <w:pPr>
              <w:pStyle w:val="12"/>
            </w:pPr>
            <w:r>
              <w:t xml:space="preserve"> </w:t>
            </w:r>
          </w:p>
        </w:tc>
        <w:tc>
          <w:tcPr>
            <w:tcW w:w="2835" w:type="dxa"/>
            <w:vAlign w:val="center"/>
          </w:tcPr>
          <w:p w14:paraId="6C09A592">
            <w:pPr>
              <w:pStyle w:val="12"/>
            </w:pPr>
            <w:r>
              <w:t>50%</w:t>
            </w:r>
          </w:p>
        </w:tc>
        <w:tc>
          <w:tcPr>
            <w:tcW w:w="2551" w:type="dxa"/>
            <w:vAlign w:val="center"/>
          </w:tcPr>
          <w:p w14:paraId="39B4B274">
            <w:pPr>
              <w:pStyle w:val="12"/>
            </w:pPr>
            <w:r>
              <w:t xml:space="preserve"> </w:t>
            </w:r>
          </w:p>
        </w:tc>
        <w:tc>
          <w:tcPr>
            <w:tcW w:w="3544" w:type="dxa"/>
            <w:gridSpan w:val="2"/>
            <w:vAlign w:val="center"/>
          </w:tcPr>
          <w:p w14:paraId="754A729D">
            <w:pPr>
              <w:pStyle w:val="12"/>
            </w:pPr>
            <w:r>
              <w:t>100%</w:t>
            </w:r>
          </w:p>
        </w:tc>
      </w:tr>
      <w:tr w14:paraId="1AEA4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280D6E">
            <w:pPr>
              <w:pStyle w:val="11"/>
            </w:pPr>
            <w:r>
              <w:t>绩效目标</w:t>
            </w:r>
          </w:p>
        </w:tc>
        <w:tc>
          <w:tcPr>
            <w:tcW w:w="14033" w:type="dxa"/>
            <w:gridSpan w:val="6"/>
            <w:vAlign w:val="center"/>
          </w:tcPr>
          <w:p w14:paraId="04259967">
            <w:pPr>
              <w:pStyle w:val="13"/>
            </w:pPr>
            <w:r>
              <w:t>1.及时发放资助资金，确保贫困家庭学生得到资助，不因贫困失学辍学</w:t>
            </w:r>
          </w:p>
          <w:p w14:paraId="05DD3ED3">
            <w:pPr>
              <w:pStyle w:val="13"/>
            </w:pPr>
            <w:r>
              <w:t>2.深入宣传学生资助政策，落实河北省普通高中国家助学金管理办法</w:t>
            </w:r>
          </w:p>
          <w:p w14:paraId="04675003">
            <w:pPr>
              <w:pStyle w:val="13"/>
            </w:pPr>
            <w:r>
              <w:t>3.优先资助建档立卡家庭学生、孤残学生、父母丧失劳动能力学生、少数民族学生、烈士子女与单亲家庭经济困难学生、低保、特困救助、突发致贫学生</w:t>
            </w:r>
          </w:p>
        </w:tc>
      </w:tr>
    </w:tbl>
    <w:p w14:paraId="64817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118"/>
        <w:gridCol w:w="2426"/>
      </w:tblGrid>
      <w:tr w14:paraId="325BF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15E05">
            <w:pPr>
              <w:pStyle w:val="11"/>
            </w:pPr>
            <w:r>
              <w:t>一级指标</w:t>
            </w:r>
          </w:p>
        </w:tc>
        <w:tc>
          <w:tcPr>
            <w:tcW w:w="2268" w:type="dxa"/>
            <w:vAlign w:val="center"/>
          </w:tcPr>
          <w:p w14:paraId="61893B6E">
            <w:pPr>
              <w:pStyle w:val="11"/>
            </w:pPr>
            <w:r>
              <w:t>二级指标</w:t>
            </w:r>
          </w:p>
        </w:tc>
        <w:tc>
          <w:tcPr>
            <w:tcW w:w="2835" w:type="dxa"/>
            <w:vAlign w:val="center"/>
          </w:tcPr>
          <w:p w14:paraId="1961D776">
            <w:pPr>
              <w:pStyle w:val="11"/>
            </w:pPr>
            <w:r>
              <w:t>三级指标</w:t>
            </w:r>
          </w:p>
        </w:tc>
        <w:tc>
          <w:tcPr>
            <w:tcW w:w="5386" w:type="dxa"/>
            <w:vAlign w:val="center"/>
          </w:tcPr>
          <w:p w14:paraId="536F2390">
            <w:pPr>
              <w:pStyle w:val="11"/>
            </w:pPr>
            <w:r>
              <w:t>绩效指标描述</w:t>
            </w:r>
          </w:p>
        </w:tc>
        <w:tc>
          <w:tcPr>
            <w:tcW w:w="1118" w:type="dxa"/>
            <w:vAlign w:val="center"/>
          </w:tcPr>
          <w:p w14:paraId="554682B3">
            <w:pPr>
              <w:pStyle w:val="11"/>
            </w:pPr>
            <w:r>
              <w:t>指标值</w:t>
            </w:r>
          </w:p>
        </w:tc>
        <w:tc>
          <w:tcPr>
            <w:tcW w:w="2426" w:type="dxa"/>
            <w:vAlign w:val="center"/>
          </w:tcPr>
          <w:p w14:paraId="1CDAF731">
            <w:pPr>
              <w:pStyle w:val="11"/>
            </w:pPr>
            <w:r>
              <w:t>指标值确定依据</w:t>
            </w:r>
          </w:p>
        </w:tc>
      </w:tr>
      <w:tr w14:paraId="30E2E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DAE04">
            <w:pPr>
              <w:pStyle w:val="12"/>
            </w:pPr>
            <w:r>
              <w:t>产出指标</w:t>
            </w:r>
          </w:p>
        </w:tc>
        <w:tc>
          <w:tcPr>
            <w:tcW w:w="2268" w:type="dxa"/>
            <w:vAlign w:val="center"/>
          </w:tcPr>
          <w:p w14:paraId="51DFCE32">
            <w:pPr>
              <w:pStyle w:val="13"/>
            </w:pPr>
            <w:r>
              <w:t>数量指标</w:t>
            </w:r>
          </w:p>
        </w:tc>
        <w:tc>
          <w:tcPr>
            <w:tcW w:w="2835" w:type="dxa"/>
            <w:vAlign w:val="center"/>
          </w:tcPr>
          <w:p w14:paraId="5B766200">
            <w:pPr>
              <w:pStyle w:val="13"/>
            </w:pPr>
            <w:r>
              <w:t>普通高中资助人数</w:t>
            </w:r>
          </w:p>
        </w:tc>
        <w:tc>
          <w:tcPr>
            <w:tcW w:w="5386" w:type="dxa"/>
            <w:vAlign w:val="center"/>
          </w:tcPr>
          <w:p w14:paraId="658E11F9">
            <w:pPr>
              <w:pStyle w:val="13"/>
            </w:pPr>
            <w:r>
              <w:t>普通高中助学受资助人数约占普通高中在校生总数的18%</w:t>
            </w:r>
          </w:p>
        </w:tc>
        <w:tc>
          <w:tcPr>
            <w:tcW w:w="1118" w:type="dxa"/>
            <w:vAlign w:val="center"/>
          </w:tcPr>
          <w:p w14:paraId="1308E2FC">
            <w:pPr>
              <w:pStyle w:val="13"/>
            </w:pPr>
            <w:r>
              <w:t>≥770人</w:t>
            </w:r>
          </w:p>
        </w:tc>
        <w:tc>
          <w:tcPr>
            <w:tcW w:w="2426" w:type="dxa"/>
            <w:vAlign w:val="center"/>
          </w:tcPr>
          <w:p w14:paraId="3D349354">
            <w:pPr>
              <w:pStyle w:val="13"/>
            </w:pPr>
            <w:r>
              <w:t>年度预算</w:t>
            </w:r>
          </w:p>
        </w:tc>
      </w:tr>
      <w:tr w14:paraId="15814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E6509"/>
        </w:tc>
        <w:tc>
          <w:tcPr>
            <w:tcW w:w="2268" w:type="dxa"/>
            <w:vAlign w:val="center"/>
          </w:tcPr>
          <w:p w14:paraId="1A29D26D">
            <w:pPr>
              <w:pStyle w:val="13"/>
            </w:pPr>
            <w:r>
              <w:t>质量指标</w:t>
            </w:r>
          </w:p>
        </w:tc>
        <w:tc>
          <w:tcPr>
            <w:tcW w:w="2835" w:type="dxa"/>
            <w:vAlign w:val="center"/>
          </w:tcPr>
          <w:p w14:paraId="6AA37011">
            <w:pPr>
              <w:pStyle w:val="13"/>
            </w:pPr>
            <w:r>
              <w:t>成立评审小组</w:t>
            </w:r>
          </w:p>
        </w:tc>
        <w:tc>
          <w:tcPr>
            <w:tcW w:w="5386" w:type="dxa"/>
            <w:vAlign w:val="center"/>
          </w:tcPr>
          <w:p w14:paraId="150A65FE">
            <w:pPr>
              <w:pStyle w:val="13"/>
            </w:pPr>
            <w:r>
              <w:t>成立普高助学金评审小组建立监督检查制度</w:t>
            </w:r>
          </w:p>
        </w:tc>
        <w:tc>
          <w:tcPr>
            <w:tcW w:w="1118" w:type="dxa"/>
            <w:vAlign w:val="center"/>
          </w:tcPr>
          <w:p w14:paraId="777BF47A">
            <w:pPr>
              <w:pStyle w:val="13"/>
            </w:pPr>
            <w:r>
              <w:t>1组</w:t>
            </w:r>
          </w:p>
        </w:tc>
        <w:tc>
          <w:tcPr>
            <w:tcW w:w="2426" w:type="dxa"/>
            <w:vAlign w:val="center"/>
          </w:tcPr>
          <w:p w14:paraId="5039A97B">
            <w:pPr>
              <w:pStyle w:val="13"/>
            </w:pPr>
            <w:r>
              <w:t>隆尧县普通高中国家助学金管理办法</w:t>
            </w:r>
          </w:p>
        </w:tc>
      </w:tr>
      <w:tr w14:paraId="748BB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2B2B8"/>
        </w:tc>
        <w:tc>
          <w:tcPr>
            <w:tcW w:w="2268" w:type="dxa"/>
            <w:vAlign w:val="center"/>
          </w:tcPr>
          <w:p w14:paraId="27E6A0D3">
            <w:pPr>
              <w:pStyle w:val="13"/>
            </w:pPr>
            <w:r>
              <w:t>时效指标</w:t>
            </w:r>
          </w:p>
        </w:tc>
        <w:tc>
          <w:tcPr>
            <w:tcW w:w="2835" w:type="dxa"/>
            <w:vAlign w:val="center"/>
          </w:tcPr>
          <w:p w14:paraId="6595EB00">
            <w:pPr>
              <w:pStyle w:val="13"/>
            </w:pPr>
            <w:r>
              <w:t>补助资金到位</w:t>
            </w:r>
          </w:p>
        </w:tc>
        <w:tc>
          <w:tcPr>
            <w:tcW w:w="5386" w:type="dxa"/>
            <w:vAlign w:val="center"/>
          </w:tcPr>
          <w:p w14:paraId="451572EA">
            <w:pPr>
              <w:pStyle w:val="13"/>
            </w:pPr>
            <w:r>
              <w:t>补助资金及时足额到位率</w:t>
            </w:r>
          </w:p>
        </w:tc>
        <w:tc>
          <w:tcPr>
            <w:tcW w:w="1118" w:type="dxa"/>
            <w:vAlign w:val="center"/>
          </w:tcPr>
          <w:p w14:paraId="27C99702">
            <w:pPr>
              <w:pStyle w:val="13"/>
            </w:pPr>
            <w:r>
              <w:t>≥100%</w:t>
            </w:r>
          </w:p>
        </w:tc>
        <w:tc>
          <w:tcPr>
            <w:tcW w:w="2426" w:type="dxa"/>
            <w:vAlign w:val="center"/>
          </w:tcPr>
          <w:p w14:paraId="1582C87B">
            <w:pPr>
              <w:pStyle w:val="13"/>
            </w:pPr>
            <w:r>
              <w:t>隆尧县普通高中国家助学金管理办法</w:t>
            </w:r>
          </w:p>
        </w:tc>
      </w:tr>
      <w:tr w14:paraId="30E06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6EFC3"/>
        </w:tc>
        <w:tc>
          <w:tcPr>
            <w:tcW w:w="2268" w:type="dxa"/>
            <w:vAlign w:val="center"/>
          </w:tcPr>
          <w:p w14:paraId="0D1928A9">
            <w:pPr>
              <w:pStyle w:val="13"/>
            </w:pPr>
            <w:r>
              <w:t>成本指标</w:t>
            </w:r>
          </w:p>
        </w:tc>
        <w:tc>
          <w:tcPr>
            <w:tcW w:w="2835" w:type="dxa"/>
            <w:vAlign w:val="center"/>
          </w:tcPr>
          <w:p w14:paraId="64D247D8">
            <w:pPr>
              <w:pStyle w:val="13"/>
            </w:pPr>
            <w:r>
              <w:t>普高国家助学金标准</w:t>
            </w:r>
          </w:p>
        </w:tc>
        <w:tc>
          <w:tcPr>
            <w:tcW w:w="5386" w:type="dxa"/>
            <w:vAlign w:val="center"/>
          </w:tcPr>
          <w:p w14:paraId="5506B3B9">
            <w:pPr>
              <w:pStyle w:val="13"/>
            </w:pPr>
            <w:r>
              <w:t>普高国家助学金资助标准2300元/生/年</w:t>
            </w:r>
          </w:p>
        </w:tc>
        <w:tc>
          <w:tcPr>
            <w:tcW w:w="1118" w:type="dxa"/>
            <w:vAlign w:val="center"/>
          </w:tcPr>
          <w:p w14:paraId="495BA7CD">
            <w:pPr>
              <w:pStyle w:val="13"/>
            </w:pPr>
            <w:r>
              <w:t>2300元</w:t>
            </w:r>
          </w:p>
        </w:tc>
        <w:tc>
          <w:tcPr>
            <w:tcW w:w="2426" w:type="dxa"/>
            <w:vAlign w:val="center"/>
          </w:tcPr>
          <w:p w14:paraId="24AAEC73">
            <w:pPr>
              <w:pStyle w:val="13"/>
            </w:pPr>
            <w:r>
              <w:t>隆尧县普通高中国家助学金管理办法</w:t>
            </w:r>
          </w:p>
        </w:tc>
      </w:tr>
      <w:tr w14:paraId="0C7B4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D7DCF">
            <w:pPr>
              <w:pStyle w:val="12"/>
            </w:pPr>
            <w:r>
              <w:t>效益指标</w:t>
            </w:r>
          </w:p>
        </w:tc>
        <w:tc>
          <w:tcPr>
            <w:tcW w:w="2268" w:type="dxa"/>
            <w:vAlign w:val="center"/>
          </w:tcPr>
          <w:p w14:paraId="3EF40346">
            <w:pPr>
              <w:pStyle w:val="13"/>
            </w:pPr>
            <w:r>
              <w:t>经济效益指标</w:t>
            </w:r>
          </w:p>
        </w:tc>
        <w:tc>
          <w:tcPr>
            <w:tcW w:w="2835" w:type="dxa"/>
            <w:vAlign w:val="center"/>
          </w:tcPr>
          <w:p w14:paraId="1ACDA602">
            <w:pPr>
              <w:pStyle w:val="13"/>
            </w:pPr>
            <w:r>
              <w:t>减轻家庭负担</w:t>
            </w:r>
          </w:p>
        </w:tc>
        <w:tc>
          <w:tcPr>
            <w:tcW w:w="5386" w:type="dxa"/>
            <w:vAlign w:val="center"/>
          </w:tcPr>
          <w:p w14:paraId="776F3BC3">
            <w:pPr>
              <w:pStyle w:val="13"/>
            </w:pPr>
            <w:r>
              <w:t>减轻建档立卡家庭学生家长经济负担</w:t>
            </w:r>
          </w:p>
        </w:tc>
        <w:tc>
          <w:tcPr>
            <w:tcW w:w="1118" w:type="dxa"/>
            <w:vAlign w:val="center"/>
          </w:tcPr>
          <w:p w14:paraId="5EE5BF95">
            <w:pPr>
              <w:pStyle w:val="13"/>
            </w:pPr>
            <w:r>
              <w:t>减轻</w:t>
            </w:r>
          </w:p>
        </w:tc>
        <w:tc>
          <w:tcPr>
            <w:tcW w:w="2426" w:type="dxa"/>
            <w:vAlign w:val="center"/>
          </w:tcPr>
          <w:p w14:paraId="76FF346A">
            <w:pPr>
              <w:pStyle w:val="13"/>
            </w:pPr>
            <w:r>
              <w:t>隆尧县普通高中国家助学金管理办法</w:t>
            </w:r>
          </w:p>
        </w:tc>
      </w:tr>
      <w:tr w14:paraId="04A03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E5790"/>
        </w:tc>
        <w:tc>
          <w:tcPr>
            <w:tcW w:w="2268" w:type="dxa"/>
            <w:vAlign w:val="center"/>
          </w:tcPr>
          <w:p w14:paraId="4C38C878">
            <w:pPr>
              <w:pStyle w:val="13"/>
            </w:pPr>
            <w:r>
              <w:t>可持续影响指标</w:t>
            </w:r>
          </w:p>
        </w:tc>
        <w:tc>
          <w:tcPr>
            <w:tcW w:w="2835" w:type="dxa"/>
            <w:vAlign w:val="center"/>
          </w:tcPr>
          <w:p w14:paraId="3DF406F5">
            <w:pPr>
              <w:pStyle w:val="13"/>
            </w:pPr>
            <w:r>
              <w:t>高中运转</w:t>
            </w:r>
          </w:p>
        </w:tc>
        <w:tc>
          <w:tcPr>
            <w:tcW w:w="5386" w:type="dxa"/>
            <w:vAlign w:val="center"/>
          </w:tcPr>
          <w:p w14:paraId="14789242">
            <w:pPr>
              <w:pStyle w:val="13"/>
            </w:pPr>
            <w:r>
              <w:t>高中生受教育年限</w:t>
            </w:r>
          </w:p>
        </w:tc>
        <w:tc>
          <w:tcPr>
            <w:tcW w:w="1118" w:type="dxa"/>
            <w:vAlign w:val="center"/>
          </w:tcPr>
          <w:p w14:paraId="58EA16CF">
            <w:pPr>
              <w:pStyle w:val="13"/>
            </w:pPr>
            <w:r>
              <w:t>3年</w:t>
            </w:r>
          </w:p>
        </w:tc>
        <w:tc>
          <w:tcPr>
            <w:tcW w:w="2426" w:type="dxa"/>
            <w:vAlign w:val="center"/>
          </w:tcPr>
          <w:p w14:paraId="1EC1CE73">
            <w:pPr>
              <w:pStyle w:val="13"/>
            </w:pPr>
            <w:r>
              <w:t>隆尧县普通高中国家助学金管理办法</w:t>
            </w:r>
          </w:p>
        </w:tc>
      </w:tr>
      <w:tr w14:paraId="5383A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E49887">
            <w:pPr>
              <w:pStyle w:val="12"/>
            </w:pPr>
            <w:r>
              <w:t>满意度指标</w:t>
            </w:r>
          </w:p>
        </w:tc>
        <w:tc>
          <w:tcPr>
            <w:tcW w:w="2268" w:type="dxa"/>
            <w:vAlign w:val="center"/>
          </w:tcPr>
          <w:p w14:paraId="6A3F68AA">
            <w:pPr>
              <w:pStyle w:val="13"/>
            </w:pPr>
            <w:r>
              <w:t>服务对象满意度指标</w:t>
            </w:r>
          </w:p>
        </w:tc>
        <w:tc>
          <w:tcPr>
            <w:tcW w:w="2835" w:type="dxa"/>
            <w:vAlign w:val="center"/>
          </w:tcPr>
          <w:p w14:paraId="1956940A">
            <w:pPr>
              <w:pStyle w:val="13"/>
            </w:pPr>
            <w:r>
              <w:t>提升幸福指数</w:t>
            </w:r>
          </w:p>
        </w:tc>
        <w:tc>
          <w:tcPr>
            <w:tcW w:w="5386" w:type="dxa"/>
            <w:vAlign w:val="center"/>
          </w:tcPr>
          <w:p w14:paraId="67BE763E">
            <w:pPr>
              <w:pStyle w:val="13"/>
            </w:pPr>
            <w:r>
              <w:t>提升建档立卡贫困家庭学生幸福指数</w:t>
            </w:r>
          </w:p>
          <w:p w14:paraId="62C7CE0A">
            <w:pPr>
              <w:pStyle w:val="13"/>
            </w:pPr>
            <w:r>
              <w:t>家长学生满意</w:t>
            </w:r>
          </w:p>
        </w:tc>
        <w:tc>
          <w:tcPr>
            <w:tcW w:w="1118" w:type="dxa"/>
            <w:vAlign w:val="center"/>
          </w:tcPr>
          <w:p w14:paraId="2EEFDB1D">
            <w:pPr>
              <w:pStyle w:val="13"/>
            </w:pPr>
            <w:r>
              <w:t>≥98%</w:t>
            </w:r>
          </w:p>
        </w:tc>
        <w:tc>
          <w:tcPr>
            <w:tcW w:w="2426" w:type="dxa"/>
            <w:vAlign w:val="center"/>
          </w:tcPr>
          <w:p w14:paraId="71C9C669">
            <w:pPr>
              <w:pStyle w:val="13"/>
            </w:pPr>
            <w:r>
              <w:t>隆尧县普通高中国家助学金管理办法</w:t>
            </w:r>
          </w:p>
        </w:tc>
      </w:tr>
    </w:tbl>
    <w:p w14:paraId="2A7F8BF5">
      <w:pPr>
        <w:sectPr>
          <w:pgSz w:w="16840" w:h="11900" w:orient="landscape"/>
          <w:pgMar w:top="1361" w:right="1020" w:bottom="1134" w:left="1020" w:header="720" w:footer="720" w:gutter="0"/>
          <w:cols w:space="720" w:num="1"/>
        </w:sectPr>
      </w:pPr>
    </w:p>
    <w:p w14:paraId="78CCCF01">
      <w:pPr>
        <w:spacing w:before="0" w:after="0"/>
        <w:ind w:firstLine="560"/>
        <w:jc w:val="left"/>
        <w:outlineLvl w:val="9"/>
      </w:pPr>
      <w:r>
        <w:rPr>
          <w:rFonts w:ascii="方正仿宋_GBK" w:hAnsi="方正仿宋_GBK" w:eastAsia="方正仿宋_GBK" w:cs="方正仿宋_GBK"/>
          <w:b/>
          <w:color w:val="000000"/>
          <w:sz w:val="28"/>
        </w:rPr>
        <w:t>8、冀财教[2024]137号/省级/2025年改善办学条件/一中消防预警设备购置项目绩效目标表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5A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58B1F">
            <w:pPr>
              <w:pStyle w:val="14"/>
            </w:pPr>
            <w:r>
              <w:t>单位：万元</w:t>
            </w:r>
          </w:p>
        </w:tc>
      </w:tr>
      <w:tr w14:paraId="0F883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7B091">
            <w:pPr>
              <w:pStyle w:val="11"/>
            </w:pPr>
            <w:r>
              <w:t>项目编码</w:t>
            </w:r>
          </w:p>
        </w:tc>
        <w:tc>
          <w:tcPr>
            <w:tcW w:w="5103" w:type="dxa"/>
            <w:gridSpan w:val="2"/>
            <w:vAlign w:val="center"/>
          </w:tcPr>
          <w:p w14:paraId="3CB2A065">
            <w:pPr>
              <w:pStyle w:val="13"/>
            </w:pPr>
            <w:r>
              <w:t>13052525P008771100037</w:t>
            </w:r>
          </w:p>
        </w:tc>
        <w:tc>
          <w:tcPr>
            <w:tcW w:w="2835" w:type="dxa"/>
            <w:vAlign w:val="center"/>
          </w:tcPr>
          <w:p w14:paraId="65B8B036">
            <w:pPr>
              <w:pStyle w:val="11"/>
            </w:pPr>
            <w:r>
              <w:t>项目名称</w:t>
            </w:r>
          </w:p>
        </w:tc>
        <w:tc>
          <w:tcPr>
            <w:tcW w:w="6095" w:type="dxa"/>
            <w:gridSpan w:val="3"/>
            <w:vAlign w:val="center"/>
          </w:tcPr>
          <w:p w14:paraId="687D7901">
            <w:pPr>
              <w:pStyle w:val="13"/>
            </w:pPr>
            <w:r>
              <w:t>冀财教[2024]137号/省级/2025年改善办学条件/一中消防预警设备购置项目</w:t>
            </w:r>
          </w:p>
        </w:tc>
      </w:tr>
      <w:tr w14:paraId="71BE5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0508C">
            <w:pPr>
              <w:pStyle w:val="11"/>
            </w:pPr>
            <w:r>
              <w:t>预算规模及资金用途</w:t>
            </w:r>
          </w:p>
        </w:tc>
        <w:tc>
          <w:tcPr>
            <w:tcW w:w="2268" w:type="dxa"/>
            <w:vAlign w:val="center"/>
          </w:tcPr>
          <w:p w14:paraId="119C8F7A">
            <w:pPr>
              <w:pStyle w:val="11"/>
            </w:pPr>
            <w:r>
              <w:t>预算数</w:t>
            </w:r>
          </w:p>
        </w:tc>
        <w:tc>
          <w:tcPr>
            <w:tcW w:w="2835" w:type="dxa"/>
            <w:vAlign w:val="center"/>
          </w:tcPr>
          <w:p w14:paraId="79731BFE">
            <w:pPr>
              <w:pStyle w:val="13"/>
            </w:pPr>
            <w:r>
              <w:t>67.00</w:t>
            </w:r>
          </w:p>
        </w:tc>
        <w:tc>
          <w:tcPr>
            <w:tcW w:w="2835" w:type="dxa"/>
            <w:vAlign w:val="center"/>
          </w:tcPr>
          <w:p w14:paraId="3F997B53">
            <w:pPr>
              <w:pStyle w:val="11"/>
            </w:pPr>
            <w:r>
              <w:t>其中：财政    资金</w:t>
            </w:r>
          </w:p>
        </w:tc>
        <w:tc>
          <w:tcPr>
            <w:tcW w:w="2551" w:type="dxa"/>
            <w:vAlign w:val="center"/>
          </w:tcPr>
          <w:p w14:paraId="638FBFF5">
            <w:pPr>
              <w:pStyle w:val="13"/>
            </w:pPr>
            <w:r>
              <w:t>67.00</w:t>
            </w:r>
          </w:p>
        </w:tc>
        <w:tc>
          <w:tcPr>
            <w:tcW w:w="2268" w:type="dxa"/>
            <w:vAlign w:val="center"/>
          </w:tcPr>
          <w:p w14:paraId="4BC9DA3E">
            <w:pPr>
              <w:pStyle w:val="11"/>
            </w:pPr>
            <w:r>
              <w:t>其他资金</w:t>
            </w:r>
          </w:p>
        </w:tc>
        <w:tc>
          <w:tcPr>
            <w:tcW w:w="1276" w:type="dxa"/>
            <w:vAlign w:val="center"/>
          </w:tcPr>
          <w:p w14:paraId="376BB132">
            <w:pPr>
              <w:pStyle w:val="13"/>
            </w:pPr>
            <w:r>
              <w:t xml:space="preserve"> </w:t>
            </w:r>
          </w:p>
        </w:tc>
      </w:tr>
      <w:tr w14:paraId="1B410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E344E"/>
        </w:tc>
        <w:tc>
          <w:tcPr>
            <w:tcW w:w="14033" w:type="dxa"/>
            <w:gridSpan w:val="6"/>
            <w:vAlign w:val="center"/>
          </w:tcPr>
          <w:p w14:paraId="50DEE649">
            <w:pPr>
              <w:pStyle w:val="13"/>
            </w:pPr>
            <w:r>
              <w:t>有效减少火灾发生的可能性避免人员伤亡</w:t>
            </w:r>
          </w:p>
        </w:tc>
      </w:tr>
      <w:tr w14:paraId="3A905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7E7D9">
            <w:pPr>
              <w:pStyle w:val="11"/>
            </w:pPr>
            <w:r>
              <w:t>资金支出计划（%）</w:t>
            </w:r>
          </w:p>
        </w:tc>
        <w:tc>
          <w:tcPr>
            <w:tcW w:w="5103" w:type="dxa"/>
            <w:gridSpan w:val="2"/>
            <w:vAlign w:val="center"/>
          </w:tcPr>
          <w:p w14:paraId="72D179BA">
            <w:pPr>
              <w:pStyle w:val="11"/>
            </w:pPr>
            <w:r>
              <w:t>3月底</w:t>
            </w:r>
          </w:p>
        </w:tc>
        <w:tc>
          <w:tcPr>
            <w:tcW w:w="2835" w:type="dxa"/>
            <w:vAlign w:val="center"/>
          </w:tcPr>
          <w:p w14:paraId="435AE0FD">
            <w:pPr>
              <w:pStyle w:val="11"/>
            </w:pPr>
            <w:r>
              <w:t>6月底</w:t>
            </w:r>
          </w:p>
        </w:tc>
        <w:tc>
          <w:tcPr>
            <w:tcW w:w="2551" w:type="dxa"/>
            <w:vAlign w:val="center"/>
          </w:tcPr>
          <w:p w14:paraId="17D96B3F">
            <w:pPr>
              <w:pStyle w:val="11"/>
            </w:pPr>
            <w:r>
              <w:t>10月底</w:t>
            </w:r>
          </w:p>
        </w:tc>
        <w:tc>
          <w:tcPr>
            <w:tcW w:w="3544" w:type="dxa"/>
            <w:gridSpan w:val="2"/>
            <w:vAlign w:val="center"/>
          </w:tcPr>
          <w:p w14:paraId="2B0B381B">
            <w:pPr>
              <w:pStyle w:val="11"/>
            </w:pPr>
            <w:r>
              <w:t>12月底</w:t>
            </w:r>
          </w:p>
        </w:tc>
      </w:tr>
      <w:tr w14:paraId="29B98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BA2F16"/>
        </w:tc>
        <w:tc>
          <w:tcPr>
            <w:tcW w:w="5103" w:type="dxa"/>
            <w:gridSpan w:val="2"/>
            <w:vAlign w:val="center"/>
          </w:tcPr>
          <w:p w14:paraId="054BD7EB">
            <w:pPr>
              <w:pStyle w:val="12"/>
            </w:pPr>
            <w:r>
              <w:t xml:space="preserve"> </w:t>
            </w:r>
          </w:p>
        </w:tc>
        <w:tc>
          <w:tcPr>
            <w:tcW w:w="2835" w:type="dxa"/>
            <w:vAlign w:val="center"/>
          </w:tcPr>
          <w:p w14:paraId="4D0358C3">
            <w:pPr>
              <w:pStyle w:val="12"/>
            </w:pPr>
            <w:r>
              <w:t xml:space="preserve"> </w:t>
            </w:r>
          </w:p>
        </w:tc>
        <w:tc>
          <w:tcPr>
            <w:tcW w:w="2551" w:type="dxa"/>
            <w:vAlign w:val="center"/>
          </w:tcPr>
          <w:p w14:paraId="5DA550A9">
            <w:pPr>
              <w:pStyle w:val="12"/>
            </w:pPr>
            <w:r>
              <w:t>100%</w:t>
            </w:r>
          </w:p>
        </w:tc>
        <w:tc>
          <w:tcPr>
            <w:tcW w:w="3544" w:type="dxa"/>
            <w:gridSpan w:val="2"/>
            <w:vAlign w:val="center"/>
          </w:tcPr>
          <w:p w14:paraId="540B26D7">
            <w:pPr>
              <w:pStyle w:val="12"/>
            </w:pPr>
            <w:r>
              <w:t xml:space="preserve"> </w:t>
            </w:r>
          </w:p>
        </w:tc>
      </w:tr>
      <w:tr w14:paraId="5894F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0C6C1">
            <w:pPr>
              <w:pStyle w:val="11"/>
            </w:pPr>
            <w:r>
              <w:t>绩效目标</w:t>
            </w:r>
          </w:p>
        </w:tc>
        <w:tc>
          <w:tcPr>
            <w:tcW w:w="14033" w:type="dxa"/>
            <w:gridSpan w:val="6"/>
            <w:vAlign w:val="center"/>
          </w:tcPr>
          <w:p w14:paraId="1AD6DBEB">
            <w:pPr>
              <w:pStyle w:val="13"/>
            </w:pPr>
            <w:r>
              <w:t>1.有效减少火灾发生的可能性</w:t>
            </w:r>
          </w:p>
          <w:p w14:paraId="1579EC93">
            <w:pPr>
              <w:pStyle w:val="13"/>
            </w:pPr>
            <w:r>
              <w:t>2.按时拨付资金670000元，资金拨付率达到100%</w:t>
            </w:r>
          </w:p>
          <w:p w14:paraId="2E58E4AD">
            <w:pPr>
              <w:pStyle w:val="13"/>
            </w:pPr>
            <w:r>
              <w:t>3.火灾发生时能够及时发现并避免人员伤亡</w:t>
            </w:r>
          </w:p>
        </w:tc>
      </w:tr>
    </w:tbl>
    <w:p w14:paraId="571B4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14:paraId="13197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AD4CD">
            <w:pPr>
              <w:pStyle w:val="11"/>
            </w:pPr>
            <w:r>
              <w:t>一级指标</w:t>
            </w:r>
          </w:p>
        </w:tc>
        <w:tc>
          <w:tcPr>
            <w:tcW w:w="2268" w:type="dxa"/>
            <w:vAlign w:val="center"/>
          </w:tcPr>
          <w:p w14:paraId="27F727F7">
            <w:pPr>
              <w:pStyle w:val="11"/>
            </w:pPr>
            <w:r>
              <w:t>二级指标</w:t>
            </w:r>
          </w:p>
        </w:tc>
        <w:tc>
          <w:tcPr>
            <w:tcW w:w="2835" w:type="dxa"/>
            <w:vAlign w:val="center"/>
          </w:tcPr>
          <w:p w14:paraId="5C7B357F">
            <w:pPr>
              <w:pStyle w:val="11"/>
            </w:pPr>
            <w:r>
              <w:t>三级指标</w:t>
            </w:r>
          </w:p>
        </w:tc>
        <w:tc>
          <w:tcPr>
            <w:tcW w:w="5386" w:type="dxa"/>
            <w:vAlign w:val="center"/>
          </w:tcPr>
          <w:p w14:paraId="08901F93">
            <w:pPr>
              <w:pStyle w:val="11"/>
            </w:pPr>
            <w:r>
              <w:t>绩效指标描述</w:t>
            </w:r>
          </w:p>
        </w:tc>
        <w:tc>
          <w:tcPr>
            <w:tcW w:w="1658" w:type="dxa"/>
            <w:vAlign w:val="center"/>
          </w:tcPr>
          <w:p w14:paraId="47766844">
            <w:pPr>
              <w:pStyle w:val="11"/>
            </w:pPr>
            <w:r>
              <w:t>指标值</w:t>
            </w:r>
          </w:p>
        </w:tc>
        <w:tc>
          <w:tcPr>
            <w:tcW w:w="1886" w:type="dxa"/>
            <w:vAlign w:val="center"/>
          </w:tcPr>
          <w:p w14:paraId="37A13F9D">
            <w:pPr>
              <w:pStyle w:val="11"/>
            </w:pPr>
            <w:r>
              <w:t>指标值确定依据</w:t>
            </w:r>
          </w:p>
        </w:tc>
      </w:tr>
      <w:tr w14:paraId="588A2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5AB61">
            <w:pPr>
              <w:pStyle w:val="12"/>
            </w:pPr>
            <w:r>
              <w:t>产出指标</w:t>
            </w:r>
          </w:p>
        </w:tc>
        <w:tc>
          <w:tcPr>
            <w:tcW w:w="2268" w:type="dxa"/>
            <w:vAlign w:val="center"/>
          </w:tcPr>
          <w:p w14:paraId="5E024F9F">
            <w:pPr>
              <w:pStyle w:val="13"/>
            </w:pPr>
            <w:r>
              <w:t>数量指标</w:t>
            </w:r>
          </w:p>
        </w:tc>
        <w:tc>
          <w:tcPr>
            <w:tcW w:w="2835" w:type="dxa"/>
            <w:vAlign w:val="center"/>
          </w:tcPr>
          <w:p w14:paraId="78B9C67A">
            <w:pPr>
              <w:pStyle w:val="13"/>
            </w:pPr>
            <w:r>
              <w:t>消防预警设备采购</w:t>
            </w:r>
          </w:p>
        </w:tc>
        <w:tc>
          <w:tcPr>
            <w:tcW w:w="5386" w:type="dxa"/>
            <w:vAlign w:val="center"/>
          </w:tcPr>
          <w:p w14:paraId="7E58FD65">
            <w:pPr>
              <w:pStyle w:val="13"/>
            </w:pPr>
            <w:r>
              <w:t>消防预警设备采购项目</w:t>
            </w:r>
          </w:p>
        </w:tc>
        <w:tc>
          <w:tcPr>
            <w:tcW w:w="1658" w:type="dxa"/>
            <w:vAlign w:val="center"/>
          </w:tcPr>
          <w:p w14:paraId="1D4EB8CB">
            <w:pPr>
              <w:pStyle w:val="13"/>
            </w:pPr>
            <w:r>
              <w:t>1项</w:t>
            </w:r>
          </w:p>
        </w:tc>
        <w:tc>
          <w:tcPr>
            <w:tcW w:w="1886" w:type="dxa"/>
            <w:vAlign w:val="center"/>
          </w:tcPr>
          <w:p w14:paraId="28F07F4B">
            <w:pPr>
              <w:pStyle w:val="13"/>
            </w:pPr>
            <w:r>
              <w:t>可行性研究报告</w:t>
            </w:r>
          </w:p>
        </w:tc>
      </w:tr>
      <w:tr w14:paraId="33256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C14F1"/>
        </w:tc>
        <w:tc>
          <w:tcPr>
            <w:tcW w:w="2268" w:type="dxa"/>
            <w:vAlign w:val="center"/>
          </w:tcPr>
          <w:p w14:paraId="7138A38D">
            <w:pPr>
              <w:pStyle w:val="13"/>
            </w:pPr>
            <w:r>
              <w:t>质量指标</w:t>
            </w:r>
          </w:p>
        </w:tc>
        <w:tc>
          <w:tcPr>
            <w:tcW w:w="2835" w:type="dxa"/>
            <w:vAlign w:val="center"/>
          </w:tcPr>
          <w:p w14:paraId="586744A0">
            <w:pPr>
              <w:pStyle w:val="13"/>
            </w:pPr>
            <w:r>
              <w:t>项目工程质量合格率</w:t>
            </w:r>
          </w:p>
        </w:tc>
        <w:tc>
          <w:tcPr>
            <w:tcW w:w="5386" w:type="dxa"/>
            <w:vAlign w:val="center"/>
          </w:tcPr>
          <w:p w14:paraId="315DCF1B">
            <w:pPr>
              <w:pStyle w:val="13"/>
            </w:pPr>
            <w:r>
              <w:t>消防预警设备质量合格率</w:t>
            </w:r>
          </w:p>
        </w:tc>
        <w:tc>
          <w:tcPr>
            <w:tcW w:w="1658" w:type="dxa"/>
            <w:vAlign w:val="center"/>
          </w:tcPr>
          <w:p w14:paraId="7416F29A">
            <w:pPr>
              <w:pStyle w:val="13"/>
            </w:pPr>
            <w:r>
              <w:t>≥100%</w:t>
            </w:r>
          </w:p>
        </w:tc>
        <w:tc>
          <w:tcPr>
            <w:tcW w:w="1886" w:type="dxa"/>
            <w:vAlign w:val="center"/>
          </w:tcPr>
          <w:p w14:paraId="45436701">
            <w:pPr>
              <w:pStyle w:val="13"/>
            </w:pPr>
            <w:r>
              <w:t>可行性研究报告</w:t>
            </w:r>
          </w:p>
        </w:tc>
      </w:tr>
      <w:tr w14:paraId="509F3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B52F7"/>
        </w:tc>
        <w:tc>
          <w:tcPr>
            <w:tcW w:w="2268" w:type="dxa"/>
            <w:vAlign w:val="center"/>
          </w:tcPr>
          <w:p w14:paraId="1D928B2B">
            <w:pPr>
              <w:pStyle w:val="13"/>
            </w:pPr>
            <w:r>
              <w:t>时效指标</w:t>
            </w:r>
          </w:p>
        </w:tc>
        <w:tc>
          <w:tcPr>
            <w:tcW w:w="2835" w:type="dxa"/>
            <w:vAlign w:val="center"/>
          </w:tcPr>
          <w:p w14:paraId="2C7D7FE2">
            <w:pPr>
              <w:pStyle w:val="13"/>
            </w:pPr>
            <w:r>
              <w:t>消防预警设备项目按时完成率</w:t>
            </w:r>
          </w:p>
        </w:tc>
        <w:tc>
          <w:tcPr>
            <w:tcW w:w="5386" w:type="dxa"/>
            <w:vAlign w:val="center"/>
          </w:tcPr>
          <w:p w14:paraId="205CE2C1">
            <w:pPr>
              <w:pStyle w:val="13"/>
            </w:pPr>
            <w:r>
              <w:t>工程按时完工率</w:t>
            </w:r>
          </w:p>
        </w:tc>
        <w:tc>
          <w:tcPr>
            <w:tcW w:w="1658" w:type="dxa"/>
            <w:vAlign w:val="center"/>
          </w:tcPr>
          <w:p w14:paraId="10387D21">
            <w:pPr>
              <w:pStyle w:val="13"/>
            </w:pPr>
            <w:r>
              <w:t>100%</w:t>
            </w:r>
          </w:p>
        </w:tc>
        <w:tc>
          <w:tcPr>
            <w:tcW w:w="1886" w:type="dxa"/>
            <w:vAlign w:val="center"/>
          </w:tcPr>
          <w:p w14:paraId="7F702AB7">
            <w:pPr>
              <w:pStyle w:val="13"/>
            </w:pPr>
            <w:r>
              <w:t>结合项目实际情况</w:t>
            </w:r>
          </w:p>
        </w:tc>
      </w:tr>
      <w:tr w14:paraId="57CFC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C4E1B"/>
        </w:tc>
        <w:tc>
          <w:tcPr>
            <w:tcW w:w="2268" w:type="dxa"/>
            <w:vAlign w:val="center"/>
          </w:tcPr>
          <w:p w14:paraId="0CC0BFE9">
            <w:pPr>
              <w:pStyle w:val="13"/>
            </w:pPr>
            <w:r>
              <w:t>成本指标</w:t>
            </w:r>
          </w:p>
        </w:tc>
        <w:tc>
          <w:tcPr>
            <w:tcW w:w="2835" w:type="dxa"/>
            <w:vAlign w:val="center"/>
          </w:tcPr>
          <w:p w14:paraId="23133000">
            <w:pPr>
              <w:pStyle w:val="13"/>
            </w:pPr>
            <w:r>
              <w:t>消防预警设备采购成本</w:t>
            </w:r>
          </w:p>
        </w:tc>
        <w:tc>
          <w:tcPr>
            <w:tcW w:w="5386" w:type="dxa"/>
            <w:vAlign w:val="center"/>
          </w:tcPr>
          <w:p w14:paraId="7A178630">
            <w:pPr>
              <w:pStyle w:val="13"/>
            </w:pPr>
            <w:r>
              <w:t>实行政府采购招投标</w:t>
            </w:r>
          </w:p>
        </w:tc>
        <w:tc>
          <w:tcPr>
            <w:tcW w:w="1658" w:type="dxa"/>
            <w:vAlign w:val="center"/>
          </w:tcPr>
          <w:p w14:paraId="28BD53D0">
            <w:pPr>
              <w:pStyle w:val="13"/>
            </w:pPr>
            <w:r>
              <w:t>≤67万元</w:t>
            </w:r>
          </w:p>
        </w:tc>
        <w:tc>
          <w:tcPr>
            <w:tcW w:w="1886" w:type="dxa"/>
            <w:vAlign w:val="center"/>
          </w:tcPr>
          <w:p w14:paraId="599DF1BB">
            <w:pPr>
              <w:pStyle w:val="13"/>
            </w:pPr>
            <w:r>
              <w:t>结合项目实际情况</w:t>
            </w:r>
          </w:p>
        </w:tc>
      </w:tr>
      <w:tr w14:paraId="4ADC2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53680">
            <w:pPr>
              <w:pStyle w:val="12"/>
            </w:pPr>
            <w:r>
              <w:t>效益指标</w:t>
            </w:r>
          </w:p>
        </w:tc>
        <w:tc>
          <w:tcPr>
            <w:tcW w:w="2268" w:type="dxa"/>
            <w:vAlign w:val="center"/>
          </w:tcPr>
          <w:p w14:paraId="39A6A72E">
            <w:pPr>
              <w:pStyle w:val="13"/>
            </w:pPr>
            <w:r>
              <w:t>经济效益指标</w:t>
            </w:r>
          </w:p>
        </w:tc>
        <w:tc>
          <w:tcPr>
            <w:tcW w:w="2835" w:type="dxa"/>
            <w:vAlign w:val="center"/>
          </w:tcPr>
          <w:p w14:paraId="7CEB5054">
            <w:pPr>
              <w:pStyle w:val="13"/>
            </w:pPr>
            <w:r>
              <w:t>高中教育毛入学率</w:t>
            </w:r>
          </w:p>
        </w:tc>
        <w:tc>
          <w:tcPr>
            <w:tcW w:w="5386" w:type="dxa"/>
            <w:vAlign w:val="center"/>
          </w:tcPr>
          <w:p w14:paraId="603B8687">
            <w:pPr>
              <w:pStyle w:val="13"/>
            </w:pPr>
            <w:r>
              <w:t>大幅度提升高中阶段毛入学率</w:t>
            </w:r>
          </w:p>
        </w:tc>
        <w:tc>
          <w:tcPr>
            <w:tcW w:w="1658" w:type="dxa"/>
            <w:vAlign w:val="center"/>
          </w:tcPr>
          <w:p w14:paraId="5E3E8E22">
            <w:pPr>
              <w:pStyle w:val="13"/>
            </w:pPr>
            <w:r>
              <w:t>≥90%</w:t>
            </w:r>
          </w:p>
        </w:tc>
        <w:tc>
          <w:tcPr>
            <w:tcW w:w="1886" w:type="dxa"/>
            <w:vAlign w:val="center"/>
          </w:tcPr>
          <w:p w14:paraId="270AE3E9">
            <w:pPr>
              <w:pStyle w:val="13"/>
            </w:pPr>
            <w:r>
              <w:t>可行性研究报告</w:t>
            </w:r>
          </w:p>
        </w:tc>
      </w:tr>
      <w:tr w14:paraId="15D4B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8D17"/>
        </w:tc>
        <w:tc>
          <w:tcPr>
            <w:tcW w:w="2268" w:type="dxa"/>
            <w:vAlign w:val="center"/>
          </w:tcPr>
          <w:p w14:paraId="153BBC70">
            <w:pPr>
              <w:pStyle w:val="13"/>
            </w:pPr>
            <w:r>
              <w:t>社会效益指标</w:t>
            </w:r>
          </w:p>
        </w:tc>
        <w:tc>
          <w:tcPr>
            <w:tcW w:w="2835" w:type="dxa"/>
            <w:vAlign w:val="center"/>
          </w:tcPr>
          <w:p w14:paraId="3050FAE3">
            <w:pPr>
              <w:pStyle w:val="13"/>
            </w:pPr>
            <w:r>
              <w:t>受益人数</w:t>
            </w:r>
          </w:p>
        </w:tc>
        <w:tc>
          <w:tcPr>
            <w:tcW w:w="5386" w:type="dxa"/>
            <w:vAlign w:val="center"/>
          </w:tcPr>
          <w:p w14:paraId="4E56B4E6">
            <w:pPr>
              <w:pStyle w:val="13"/>
            </w:pPr>
            <w:r>
              <w:t>受益学生人数</w:t>
            </w:r>
          </w:p>
        </w:tc>
        <w:tc>
          <w:tcPr>
            <w:tcW w:w="1658" w:type="dxa"/>
            <w:vAlign w:val="center"/>
          </w:tcPr>
          <w:p w14:paraId="12BE6D18">
            <w:pPr>
              <w:pStyle w:val="13"/>
            </w:pPr>
            <w:r>
              <w:t>≥4399人</w:t>
            </w:r>
          </w:p>
        </w:tc>
        <w:tc>
          <w:tcPr>
            <w:tcW w:w="1886" w:type="dxa"/>
            <w:vAlign w:val="center"/>
          </w:tcPr>
          <w:p w14:paraId="74686273">
            <w:pPr>
              <w:pStyle w:val="13"/>
            </w:pPr>
            <w:r>
              <w:t>可行性研究报告</w:t>
            </w:r>
          </w:p>
        </w:tc>
      </w:tr>
      <w:tr w14:paraId="36691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A045A"/>
        </w:tc>
        <w:tc>
          <w:tcPr>
            <w:tcW w:w="2268" w:type="dxa"/>
            <w:vAlign w:val="center"/>
          </w:tcPr>
          <w:p w14:paraId="650258E2">
            <w:pPr>
              <w:pStyle w:val="13"/>
            </w:pPr>
            <w:r>
              <w:t>可持续影响指标</w:t>
            </w:r>
          </w:p>
        </w:tc>
        <w:tc>
          <w:tcPr>
            <w:tcW w:w="2835" w:type="dxa"/>
            <w:vAlign w:val="center"/>
          </w:tcPr>
          <w:p w14:paraId="1DF562CE">
            <w:pPr>
              <w:pStyle w:val="13"/>
            </w:pPr>
            <w:r>
              <w:t>设备使用年限</w:t>
            </w:r>
          </w:p>
        </w:tc>
        <w:tc>
          <w:tcPr>
            <w:tcW w:w="5386" w:type="dxa"/>
            <w:vAlign w:val="center"/>
          </w:tcPr>
          <w:p w14:paraId="099557BB">
            <w:pPr>
              <w:pStyle w:val="13"/>
            </w:pPr>
            <w:r>
              <w:t>提高设备使用年限</w:t>
            </w:r>
          </w:p>
        </w:tc>
        <w:tc>
          <w:tcPr>
            <w:tcW w:w="1658" w:type="dxa"/>
            <w:vAlign w:val="center"/>
          </w:tcPr>
          <w:p w14:paraId="03636267">
            <w:pPr>
              <w:pStyle w:val="13"/>
            </w:pPr>
            <w:r>
              <w:t>≥10年</w:t>
            </w:r>
          </w:p>
        </w:tc>
        <w:tc>
          <w:tcPr>
            <w:tcW w:w="1886" w:type="dxa"/>
            <w:vAlign w:val="center"/>
          </w:tcPr>
          <w:p w14:paraId="57DE6057">
            <w:pPr>
              <w:pStyle w:val="13"/>
            </w:pPr>
            <w:r>
              <w:t>可行性研究报告</w:t>
            </w:r>
          </w:p>
        </w:tc>
      </w:tr>
      <w:tr w14:paraId="21999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05C57C">
            <w:pPr>
              <w:pStyle w:val="12"/>
            </w:pPr>
            <w:r>
              <w:t>满意度指标</w:t>
            </w:r>
          </w:p>
        </w:tc>
        <w:tc>
          <w:tcPr>
            <w:tcW w:w="2268" w:type="dxa"/>
            <w:vAlign w:val="center"/>
          </w:tcPr>
          <w:p w14:paraId="766580C8">
            <w:pPr>
              <w:pStyle w:val="13"/>
            </w:pPr>
            <w:r>
              <w:t>服务对象满意度指标</w:t>
            </w:r>
          </w:p>
        </w:tc>
        <w:tc>
          <w:tcPr>
            <w:tcW w:w="2835" w:type="dxa"/>
            <w:vAlign w:val="center"/>
          </w:tcPr>
          <w:p w14:paraId="625C8956">
            <w:pPr>
              <w:pStyle w:val="13"/>
            </w:pPr>
            <w:r>
              <w:t>学生和学生家长满意度</w:t>
            </w:r>
          </w:p>
        </w:tc>
        <w:tc>
          <w:tcPr>
            <w:tcW w:w="5386" w:type="dxa"/>
            <w:vAlign w:val="center"/>
          </w:tcPr>
          <w:p w14:paraId="0B5DF124">
            <w:pPr>
              <w:pStyle w:val="13"/>
            </w:pPr>
            <w:r>
              <w:t>大幅提高学生和学生家长满意度</w:t>
            </w:r>
          </w:p>
        </w:tc>
        <w:tc>
          <w:tcPr>
            <w:tcW w:w="1658" w:type="dxa"/>
            <w:vAlign w:val="center"/>
          </w:tcPr>
          <w:p w14:paraId="6CC546CF">
            <w:pPr>
              <w:pStyle w:val="13"/>
            </w:pPr>
            <w:r>
              <w:t>≥95%</w:t>
            </w:r>
          </w:p>
        </w:tc>
        <w:tc>
          <w:tcPr>
            <w:tcW w:w="1886" w:type="dxa"/>
            <w:vAlign w:val="center"/>
          </w:tcPr>
          <w:p w14:paraId="2BA85D20">
            <w:pPr>
              <w:pStyle w:val="13"/>
            </w:pPr>
            <w:r>
              <w:t>调查问卷</w:t>
            </w:r>
          </w:p>
        </w:tc>
      </w:tr>
    </w:tbl>
    <w:p w14:paraId="5221713B">
      <w:pPr>
        <w:sectPr>
          <w:pgSz w:w="16840" w:h="11900" w:orient="landscape"/>
          <w:pgMar w:top="1361" w:right="1020" w:bottom="1134" w:left="1020" w:header="720" w:footer="720" w:gutter="0"/>
          <w:cols w:space="720" w:num="1"/>
        </w:sectPr>
      </w:pPr>
    </w:p>
    <w:p w14:paraId="30F2E021">
      <w:pPr>
        <w:spacing w:before="0" w:after="0"/>
        <w:ind w:firstLine="560"/>
        <w:jc w:val="left"/>
        <w:outlineLvl w:val="9"/>
      </w:pPr>
      <w:r>
        <w:rPr>
          <w:rFonts w:ascii="方正仿宋_GBK" w:hAnsi="方正仿宋_GBK" w:eastAsia="方正仿宋_GBK" w:cs="方正仿宋_GBK"/>
          <w:b/>
          <w:color w:val="000000"/>
          <w:sz w:val="28"/>
        </w:rPr>
        <w:t>9、冀财教[2024]137号/省级/2025年普通高中资金/普通高中三免（一中高中）建档立卡绩效目标表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20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D801E">
            <w:pPr>
              <w:pStyle w:val="14"/>
            </w:pPr>
            <w:r>
              <w:t>单位：万元</w:t>
            </w:r>
          </w:p>
        </w:tc>
      </w:tr>
      <w:tr w14:paraId="0B5B6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999468">
            <w:pPr>
              <w:pStyle w:val="11"/>
            </w:pPr>
            <w:r>
              <w:t>项目编码</w:t>
            </w:r>
          </w:p>
        </w:tc>
        <w:tc>
          <w:tcPr>
            <w:tcW w:w="5103" w:type="dxa"/>
            <w:gridSpan w:val="2"/>
            <w:vAlign w:val="center"/>
          </w:tcPr>
          <w:p w14:paraId="7ED2B19A">
            <w:pPr>
              <w:pStyle w:val="13"/>
            </w:pPr>
            <w:r>
              <w:t>13052525P00001210028G</w:t>
            </w:r>
          </w:p>
        </w:tc>
        <w:tc>
          <w:tcPr>
            <w:tcW w:w="2835" w:type="dxa"/>
            <w:vAlign w:val="center"/>
          </w:tcPr>
          <w:p w14:paraId="11A38E44">
            <w:pPr>
              <w:pStyle w:val="11"/>
            </w:pPr>
            <w:r>
              <w:t>项目名称</w:t>
            </w:r>
          </w:p>
        </w:tc>
        <w:tc>
          <w:tcPr>
            <w:tcW w:w="6095" w:type="dxa"/>
            <w:gridSpan w:val="3"/>
            <w:vAlign w:val="center"/>
          </w:tcPr>
          <w:p w14:paraId="4F973FE6">
            <w:pPr>
              <w:pStyle w:val="13"/>
            </w:pPr>
            <w:r>
              <w:t>冀财教[2024]137号/省级/2025年普通高中资金/普通高中三免（一中高中）建档立卡</w:t>
            </w:r>
          </w:p>
        </w:tc>
      </w:tr>
      <w:tr w14:paraId="30F93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52415">
            <w:pPr>
              <w:pStyle w:val="11"/>
            </w:pPr>
            <w:r>
              <w:t>预算规模及资金用途</w:t>
            </w:r>
          </w:p>
        </w:tc>
        <w:tc>
          <w:tcPr>
            <w:tcW w:w="2268" w:type="dxa"/>
            <w:vAlign w:val="center"/>
          </w:tcPr>
          <w:p w14:paraId="63C2A47B">
            <w:pPr>
              <w:pStyle w:val="11"/>
            </w:pPr>
            <w:r>
              <w:t>预算数</w:t>
            </w:r>
          </w:p>
        </w:tc>
        <w:tc>
          <w:tcPr>
            <w:tcW w:w="2835" w:type="dxa"/>
            <w:vAlign w:val="center"/>
          </w:tcPr>
          <w:p w14:paraId="6E7B918E">
            <w:pPr>
              <w:pStyle w:val="13"/>
            </w:pPr>
            <w:r>
              <w:t>37.00</w:t>
            </w:r>
          </w:p>
        </w:tc>
        <w:tc>
          <w:tcPr>
            <w:tcW w:w="2835" w:type="dxa"/>
            <w:vAlign w:val="center"/>
          </w:tcPr>
          <w:p w14:paraId="5673DF14">
            <w:pPr>
              <w:pStyle w:val="11"/>
            </w:pPr>
            <w:r>
              <w:t>其中：财政    资金</w:t>
            </w:r>
          </w:p>
        </w:tc>
        <w:tc>
          <w:tcPr>
            <w:tcW w:w="2551" w:type="dxa"/>
            <w:vAlign w:val="center"/>
          </w:tcPr>
          <w:p w14:paraId="2FD3E3B6">
            <w:pPr>
              <w:pStyle w:val="13"/>
            </w:pPr>
            <w:r>
              <w:t>37.00</w:t>
            </w:r>
          </w:p>
        </w:tc>
        <w:tc>
          <w:tcPr>
            <w:tcW w:w="2268" w:type="dxa"/>
            <w:vAlign w:val="center"/>
          </w:tcPr>
          <w:p w14:paraId="087A9734">
            <w:pPr>
              <w:pStyle w:val="11"/>
            </w:pPr>
            <w:r>
              <w:t>其他资金</w:t>
            </w:r>
          </w:p>
        </w:tc>
        <w:tc>
          <w:tcPr>
            <w:tcW w:w="1276" w:type="dxa"/>
            <w:vAlign w:val="center"/>
          </w:tcPr>
          <w:p w14:paraId="70C14A87">
            <w:pPr>
              <w:pStyle w:val="13"/>
            </w:pPr>
            <w:r>
              <w:t xml:space="preserve"> </w:t>
            </w:r>
          </w:p>
        </w:tc>
      </w:tr>
      <w:tr w14:paraId="22405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03D02"/>
        </w:tc>
        <w:tc>
          <w:tcPr>
            <w:tcW w:w="14033" w:type="dxa"/>
            <w:gridSpan w:val="6"/>
            <w:vAlign w:val="center"/>
          </w:tcPr>
          <w:p w14:paraId="21A30B89">
            <w:pPr>
              <w:pStyle w:val="13"/>
            </w:pPr>
            <w:r>
              <w:t>深入宣传学生免学费政策，落实普通高中建档立卡家庭困难学生免除学杂费政策。</w:t>
            </w:r>
          </w:p>
        </w:tc>
      </w:tr>
      <w:tr w14:paraId="2B3BB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8E2F4">
            <w:pPr>
              <w:pStyle w:val="11"/>
            </w:pPr>
            <w:r>
              <w:t>资金支出计划（%）</w:t>
            </w:r>
          </w:p>
        </w:tc>
        <w:tc>
          <w:tcPr>
            <w:tcW w:w="5103" w:type="dxa"/>
            <w:gridSpan w:val="2"/>
            <w:vAlign w:val="center"/>
          </w:tcPr>
          <w:p w14:paraId="1B0F31A9">
            <w:pPr>
              <w:pStyle w:val="11"/>
            </w:pPr>
            <w:r>
              <w:t>3月底</w:t>
            </w:r>
          </w:p>
        </w:tc>
        <w:tc>
          <w:tcPr>
            <w:tcW w:w="2835" w:type="dxa"/>
            <w:vAlign w:val="center"/>
          </w:tcPr>
          <w:p w14:paraId="03769DFE">
            <w:pPr>
              <w:pStyle w:val="11"/>
            </w:pPr>
            <w:r>
              <w:t>6月底</w:t>
            </w:r>
          </w:p>
        </w:tc>
        <w:tc>
          <w:tcPr>
            <w:tcW w:w="2551" w:type="dxa"/>
            <w:vAlign w:val="center"/>
          </w:tcPr>
          <w:p w14:paraId="086E4660">
            <w:pPr>
              <w:pStyle w:val="11"/>
            </w:pPr>
            <w:r>
              <w:t>10月底</w:t>
            </w:r>
          </w:p>
        </w:tc>
        <w:tc>
          <w:tcPr>
            <w:tcW w:w="3544" w:type="dxa"/>
            <w:gridSpan w:val="2"/>
            <w:vAlign w:val="center"/>
          </w:tcPr>
          <w:p w14:paraId="611989F9">
            <w:pPr>
              <w:pStyle w:val="11"/>
            </w:pPr>
            <w:r>
              <w:t>12月底</w:t>
            </w:r>
          </w:p>
        </w:tc>
      </w:tr>
      <w:tr w14:paraId="3682F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883E8"/>
        </w:tc>
        <w:tc>
          <w:tcPr>
            <w:tcW w:w="5103" w:type="dxa"/>
            <w:gridSpan w:val="2"/>
            <w:vAlign w:val="center"/>
          </w:tcPr>
          <w:p w14:paraId="2ADB9CDE">
            <w:pPr>
              <w:pStyle w:val="12"/>
            </w:pPr>
            <w:r>
              <w:t xml:space="preserve"> </w:t>
            </w:r>
          </w:p>
        </w:tc>
        <w:tc>
          <w:tcPr>
            <w:tcW w:w="2835" w:type="dxa"/>
            <w:vAlign w:val="center"/>
          </w:tcPr>
          <w:p w14:paraId="7EC7C5FD">
            <w:pPr>
              <w:pStyle w:val="12"/>
            </w:pPr>
            <w:r>
              <w:t xml:space="preserve"> </w:t>
            </w:r>
          </w:p>
        </w:tc>
        <w:tc>
          <w:tcPr>
            <w:tcW w:w="2551" w:type="dxa"/>
            <w:vAlign w:val="center"/>
          </w:tcPr>
          <w:p w14:paraId="457034C6">
            <w:pPr>
              <w:pStyle w:val="12"/>
            </w:pPr>
            <w:r>
              <w:t xml:space="preserve"> </w:t>
            </w:r>
          </w:p>
        </w:tc>
        <w:tc>
          <w:tcPr>
            <w:tcW w:w="3544" w:type="dxa"/>
            <w:gridSpan w:val="2"/>
            <w:vAlign w:val="center"/>
          </w:tcPr>
          <w:p w14:paraId="141DA7D5">
            <w:pPr>
              <w:pStyle w:val="12"/>
            </w:pPr>
            <w:r>
              <w:t>100%</w:t>
            </w:r>
          </w:p>
        </w:tc>
      </w:tr>
      <w:tr w14:paraId="3D460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42701">
            <w:pPr>
              <w:pStyle w:val="11"/>
            </w:pPr>
            <w:r>
              <w:t>绩效目标</w:t>
            </w:r>
          </w:p>
        </w:tc>
        <w:tc>
          <w:tcPr>
            <w:tcW w:w="14033" w:type="dxa"/>
            <w:gridSpan w:val="6"/>
            <w:vAlign w:val="center"/>
          </w:tcPr>
          <w:p w14:paraId="35F40FF5">
            <w:pPr>
              <w:pStyle w:val="13"/>
            </w:pPr>
            <w:r>
              <w:t>1.深入宣传学生免学费政策，落实普通高中建档立卡家庭困难学生免除学杂费政策</w:t>
            </w:r>
          </w:p>
          <w:p w14:paraId="53F3CD44">
            <w:pPr>
              <w:pStyle w:val="13"/>
            </w:pPr>
            <w:r>
              <w:t>2.减轻农民负担，增强普通高中教育的吸引力，加快县域经济发展</w:t>
            </w:r>
          </w:p>
          <w:p w14:paraId="5E32B395">
            <w:pPr>
              <w:pStyle w:val="13"/>
            </w:pPr>
            <w:r>
              <w:t>3.省级补助资金370000元，改善学校办学条件，普通高中教育招生增加，学生流失率下降，促进教育均衡发展</w:t>
            </w:r>
          </w:p>
        </w:tc>
      </w:tr>
    </w:tbl>
    <w:p w14:paraId="693B7F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29"/>
        <w:gridCol w:w="1515"/>
        <w:gridCol w:w="3386"/>
      </w:tblGrid>
      <w:tr w14:paraId="64AD4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E4CB6">
            <w:pPr>
              <w:pStyle w:val="11"/>
            </w:pPr>
            <w:r>
              <w:t>一级指标</w:t>
            </w:r>
          </w:p>
        </w:tc>
        <w:tc>
          <w:tcPr>
            <w:tcW w:w="2268" w:type="dxa"/>
            <w:vAlign w:val="center"/>
          </w:tcPr>
          <w:p w14:paraId="4A72D906">
            <w:pPr>
              <w:pStyle w:val="11"/>
            </w:pPr>
            <w:r>
              <w:t>二级指标</w:t>
            </w:r>
          </w:p>
        </w:tc>
        <w:tc>
          <w:tcPr>
            <w:tcW w:w="2835" w:type="dxa"/>
            <w:vAlign w:val="center"/>
          </w:tcPr>
          <w:p w14:paraId="26D740FD">
            <w:pPr>
              <w:pStyle w:val="11"/>
            </w:pPr>
            <w:r>
              <w:t>三级指标</w:t>
            </w:r>
          </w:p>
        </w:tc>
        <w:tc>
          <w:tcPr>
            <w:tcW w:w="4029" w:type="dxa"/>
            <w:vAlign w:val="center"/>
          </w:tcPr>
          <w:p w14:paraId="6CC8DAB1">
            <w:pPr>
              <w:pStyle w:val="11"/>
            </w:pPr>
            <w:r>
              <w:t>绩效指标描述</w:t>
            </w:r>
          </w:p>
        </w:tc>
        <w:tc>
          <w:tcPr>
            <w:tcW w:w="1515" w:type="dxa"/>
            <w:vAlign w:val="center"/>
          </w:tcPr>
          <w:p w14:paraId="17B9D847">
            <w:pPr>
              <w:pStyle w:val="11"/>
            </w:pPr>
            <w:r>
              <w:t>指标值</w:t>
            </w:r>
          </w:p>
        </w:tc>
        <w:tc>
          <w:tcPr>
            <w:tcW w:w="3386" w:type="dxa"/>
            <w:vAlign w:val="center"/>
          </w:tcPr>
          <w:p w14:paraId="0F0DA05B">
            <w:pPr>
              <w:pStyle w:val="11"/>
            </w:pPr>
            <w:r>
              <w:t>指标值确定依据</w:t>
            </w:r>
          </w:p>
        </w:tc>
      </w:tr>
      <w:tr w14:paraId="4C37D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D11E6">
            <w:pPr>
              <w:pStyle w:val="12"/>
            </w:pPr>
            <w:r>
              <w:t>产出指标</w:t>
            </w:r>
          </w:p>
        </w:tc>
        <w:tc>
          <w:tcPr>
            <w:tcW w:w="2268" w:type="dxa"/>
            <w:vAlign w:val="center"/>
          </w:tcPr>
          <w:p w14:paraId="708E13FE">
            <w:pPr>
              <w:pStyle w:val="13"/>
            </w:pPr>
            <w:r>
              <w:t>数量指标</w:t>
            </w:r>
          </w:p>
        </w:tc>
        <w:tc>
          <w:tcPr>
            <w:tcW w:w="2835" w:type="dxa"/>
            <w:vAlign w:val="center"/>
          </w:tcPr>
          <w:p w14:paraId="2C8701FA">
            <w:pPr>
              <w:pStyle w:val="13"/>
            </w:pPr>
            <w:r>
              <w:t>普通高中资助人数</w:t>
            </w:r>
          </w:p>
        </w:tc>
        <w:tc>
          <w:tcPr>
            <w:tcW w:w="4029" w:type="dxa"/>
            <w:vAlign w:val="center"/>
          </w:tcPr>
          <w:p w14:paraId="5BEB0625">
            <w:pPr>
              <w:pStyle w:val="13"/>
            </w:pPr>
            <w:r>
              <w:t>在我校就读具有正式注册学籍的建档立卡家庭学生</w:t>
            </w:r>
          </w:p>
        </w:tc>
        <w:tc>
          <w:tcPr>
            <w:tcW w:w="1515" w:type="dxa"/>
            <w:vAlign w:val="center"/>
          </w:tcPr>
          <w:p w14:paraId="2AF59465">
            <w:pPr>
              <w:pStyle w:val="13"/>
            </w:pPr>
            <w:r>
              <w:t>≥248人</w:t>
            </w:r>
          </w:p>
        </w:tc>
        <w:tc>
          <w:tcPr>
            <w:tcW w:w="3386" w:type="dxa"/>
            <w:vAlign w:val="center"/>
          </w:tcPr>
          <w:p w14:paraId="472E467D">
            <w:pPr>
              <w:pStyle w:val="13"/>
            </w:pPr>
            <w:r>
              <w:t>年度预算</w:t>
            </w:r>
          </w:p>
        </w:tc>
      </w:tr>
      <w:tr w14:paraId="36977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D613E"/>
        </w:tc>
        <w:tc>
          <w:tcPr>
            <w:tcW w:w="2268" w:type="dxa"/>
            <w:vAlign w:val="center"/>
          </w:tcPr>
          <w:p w14:paraId="4413805B">
            <w:pPr>
              <w:pStyle w:val="13"/>
            </w:pPr>
            <w:r>
              <w:t>质量指标</w:t>
            </w:r>
          </w:p>
        </w:tc>
        <w:tc>
          <w:tcPr>
            <w:tcW w:w="2835" w:type="dxa"/>
            <w:vAlign w:val="center"/>
          </w:tcPr>
          <w:p w14:paraId="63CA613E">
            <w:pPr>
              <w:pStyle w:val="13"/>
            </w:pPr>
            <w:r>
              <w:t>成立评审小组</w:t>
            </w:r>
          </w:p>
        </w:tc>
        <w:tc>
          <w:tcPr>
            <w:tcW w:w="4029" w:type="dxa"/>
            <w:vAlign w:val="center"/>
          </w:tcPr>
          <w:p w14:paraId="6CEE698B">
            <w:pPr>
              <w:pStyle w:val="13"/>
            </w:pPr>
            <w:r>
              <w:t>成立普通高中贫困资助评审小组，建立监督检查制度</w:t>
            </w:r>
          </w:p>
        </w:tc>
        <w:tc>
          <w:tcPr>
            <w:tcW w:w="1515" w:type="dxa"/>
            <w:vAlign w:val="center"/>
          </w:tcPr>
          <w:p w14:paraId="6084D733">
            <w:pPr>
              <w:pStyle w:val="13"/>
            </w:pPr>
            <w:r>
              <w:t>1小组</w:t>
            </w:r>
          </w:p>
        </w:tc>
        <w:tc>
          <w:tcPr>
            <w:tcW w:w="3386" w:type="dxa"/>
            <w:vAlign w:val="center"/>
          </w:tcPr>
          <w:p w14:paraId="7EF10B9F">
            <w:pPr>
              <w:pStyle w:val="13"/>
            </w:pPr>
            <w:r>
              <w:t>河北省建档立卡家庭经济困难学生资助管理暂行办法</w:t>
            </w:r>
          </w:p>
        </w:tc>
      </w:tr>
      <w:tr w14:paraId="2F748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5559304"/>
        </w:tc>
        <w:tc>
          <w:tcPr>
            <w:tcW w:w="2268" w:type="dxa"/>
            <w:vAlign w:val="center"/>
          </w:tcPr>
          <w:p w14:paraId="22CC9CCE">
            <w:pPr>
              <w:pStyle w:val="13"/>
            </w:pPr>
            <w:r>
              <w:t>时效指标</w:t>
            </w:r>
          </w:p>
        </w:tc>
        <w:tc>
          <w:tcPr>
            <w:tcW w:w="2835" w:type="dxa"/>
            <w:vAlign w:val="center"/>
          </w:tcPr>
          <w:p w14:paraId="3E2C720E">
            <w:pPr>
              <w:pStyle w:val="13"/>
            </w:pPr>
            <w:r>
              <w:t>补助资金到位</w:t>
            </w:r>
          </w:p>
        </w:tc>
        <w:tc>
          <w:tcPr>
            <w:tcW w:w="4029" w:type="dxa"/>
            <w:vAlign w:val="center"/>
          </w:tcPr>
          <w:p w14:paraId="53095938">
            <w:pPr>
              <w:pStyle w:val="13"/>
            </w:pPr>
            <w:r>
              <w:t>补助资金到位及时率</w:t>
            </w:r>
          </w:p>
        </w:tc>
        <w:tc>
          <w:tcPr>
            <w:tcW w:w="1515" w:type="dxa"/>
            <w:vAlign w:val="center"/>
          </w:tcPr>
          <w:p w14:paraId="0ACB7974">
            <w:pPr>
              <w:pStyle w:val="13"/>
            </w:pPr>
            <w:r>
              <w:t>≥100%</w:t>
            </w:r>
          </w:p>
        </w:tc>
        <w:tc>
          <w:tcPr>
            <w:tcW w:w="3386" w:type="dxa"/>
            <w:vAlign w:val="center"/>
          </w:tcPr>
          <w:p w14:paraId="3E36D512">
            <w:pPr>
              <w:pStyle w:val="13"/>
            </w:pPr>
            <w:r>
              <w:t>河北省建档立卡家庭经济困难学生资助管理暂行办法</w:t>
            </w:r>
          </w:p>
        </w:tc>
      </w:tr>
      <w:tr w14:paraId="1CFD3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329E5"/>
        </w:tc>
        <w:tc>
          <w:tcPr>
            <w:tcW w:w="2268" w:type="dxa"/>
            <w:vAlign w:val="center"/>
          </w:tcPr>
          <w:p w14:paraId="7F60D623">
            <w:pPr>
              <w:pStyle w:val="13"/>
            </w:pPr>
            <w:r>
              <w:t>成本指标</w:t>
            </w:r>
          </w:p>
        </w:tc>
        <w:tc>
          <w:tcPr>
            <w:tcW w:w="2835" w:type="dxa"/>
            <w:vAlign w:val="center"/>
          </w:tcPr>
          <w:p w14:paraId="36CB8FDF">
            <w:pPr>
              <w:pStyle w:val="13"/>
            </w:pPr>
            <w:r>
              <w:t>普通高中建档立卡学生减免标准</w:t>
            </w:r>
          </w:p>
        </w:tc>
        <w:tc>
          <w:tcPr>
            <w:tcW w:w="4029" w:type="dxa"/>
            <w:vAlign w:val="center"/>
          </w:tcPr>
          <w:p w14:paraId="62CCE188">
            <w:pPr>
              <w:pStyle w:val="13"/>
            </w:pPr>
            <w:r>
              <w:t>学费1600元/生/年；住宿费500元/生/年；书费300元/生/年</w:t>
            </w:r>
          </w:p>
        </w:tc>
        <w:tc>
          <w:tcPr>
            <w:tcW w:w="1515" w:type="dxa"/>
            <w:vAlign w:val="center"/>
          </w:tcPr>
          <w:p w14:paraId="1EEC07C3">
            <w:pPr>
              <w:pStyle w:val="13"/>
            </w:pPr>
            <w:r>
              <w:t>2800元</w:t>
            </w:r>
          </w:p>
        </w:tc>
        <w:tc>
          <w:tcPr>
            <w:tcW w:w="3386" w:type="dxa"/>
            <w:vAlign w:val="center"/>
          </w:tcPr>
          <w:p w14:paraId="44159472">
            <w:pPr>
              <w:pStyle w:val="13"/>
            </w:pPr>
            <w:r>
              <w:t>河北省建档立卡家庭经济困难学生资助管理暂行办法</w:t>
            </w:r>
          </w:p>
        </w:tc>
      </w:tr>
      <w:tr w14:paraId="170C1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6D222">
            <w:pPr>
              <w:pStyle w:val="12"/>
            </w:pPr>
            <w:r>
              <w:t>效益指标</w:t>
            </w:r>
          </w:p>
        </w:tc>
        <w:tc>
          <w:tcPr>
            <w:tcW w:w="2268" w:type="dxa"/>
            <w:vAlign w:val="center"/>
          </w:tcPr>
          <w:p w14:paraId="2D0C598A">
            <w:pPr>
              <w:pStyle w:val="13"/>
            </w:pPr>
            <w:r>
              <w:t>经济效益指标</w:t>
            </w:r>
          </w:p>
        </w:tc>
        <w:tc>
          <w:tcPr>
            <w:tcW w:w="2835" w:type="dxa"/>
            <w:vAlign w:val="center"/>
          </w:tcPr>
          <w:p w14:paraId="4E1479CC">
            <w:pPr>
              <w:pStyle w:val="13"/>
            </w:pPr>
            <w:r>
              <w:t>减轻家庭负担</w:t>
            </w:r>
          </w:p>
        </w:tc>
        <w:tc>
          <w:tcPr>
            <w:tcW w:w="4029" w:type="dxa"/>
            <w:vAlign w:val="center"/>
          </w:tcPr>
          <w:p w14:paraId="6E976D32">
            <w:pPr>
              <w:pStyle w:val="13"/>
            </w:pPr>
            <w:r>
              <w:t>减轻建档立卡家庭学生家长经济负担</w:t>
            </w:r>
          </w:p>
        </w:tc>
        <w:tc>
          <w:tcPr>
            <w:tcW w:w="1515" w:type="dxa"/>
            <w:vAlign w:val="center"/>
          </w:tcPr>
          <w:p w14:paraId="6334C4B7">
            <w:pPr>
              <w:pStyle w:val="13"/>
            </w:pPr>
            <w:r>
              <w:t>减轻</w:t>
            </w:r>
          </w:p>
        </w:tc>
        <w:tc>
          <w:tcPr>
            <w:tcW w:w="3386" w:type="dxa"/>
            <w:vAlign w:val="center"/>
          </w:tcPr>
          <w:p w14:paraId="30BC49CD">
            <w:pPr>
              <w:pStyle w:val="13"/>
            </w:pPr>
            <w:r>
              <w:t>河北省建档立卡家庭经济困难学生资助管理暂行办法</w:t>
            </w:r>
          </w:p>
        </w:tc>
      </w:tr>
      <w:tr w14:paraId="0C0BB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7F63C"/>
        </w:tc>
        <w:tc>
          <w:tcPr>
            <w:tcW w:w="2268" w:type="dxa"/>
            <w:vAlign w:val="center"/>
          </w:tcPr>
          <w:p w14:paraId="7BE94884">
            <w:pPr>
              <w:pStyle w:val="13"/>
            </w:pPr>
            <w:r>
              <w:t>可持续影响指标</w:t>
            </w:r>
          </w:p>
        </w:tc>
        <w:tc>
          <w:tcPr>
            <w:tcW w:w="2835" w:type="dxa"/>
            <w:vAlign w:val="center"/>
          </w:tcPr>
          <w:p w14:paraId="25C220BA">
            <w:pPr>
              <w:pStyle w:val="13"/>
            </w:pPr>
            <w:r>
              <w:t>高中运转</w:t>
            </w:r>
          </w:p>
        </w:tc>
        <w:tc>
          <w:tcPr>
            <w:tcW w:w="4029" w:type="dxa"/>
            <w:vAlign w:val="center"/>
          </w:tcPr>
          <w:p w14:paraId="7E2C2331">
            <w:pPr>
              <w:pStyle w:val="13"/>
            </w:pPr>
            <w:r>
              <w:t>高中生受教育年限</w:t>
            </w:r>
          </w:p>
        </w:tc>
        <w:tc>
          <w:tcPr>
            <w:tcW w:w="1515" w:type="dxa"/>
            <w:vAlign w:val="center"/>
          </w:tcPr>
          <w:p w14:paraId="0EA1A9B3">
            <w:pPr>
              <w:pStyle w:val="13"/>
            </w:pPr>
            <w:r>
              <w:t>3年</w:t>
            </w:r>
          </w:p>
        </w:tc>
        <w:tc>
          <w:tcPr>
            <w:tcW w:w="3386" w:type="dxa"/>
            <w:vAlign w:val="center"/>
          </w:tcPr>
          <w:p w14:paraId="2FAFAD07">
            <w:pPr>
              <w:pStyle w:val="13"/>
            </w:pPr>
            <w:r>
              <w:t>河北省建档立卡家庭经济困难学生资助管理暂行办法</w:t>
            </w:r>
          </w:p>
        </w:tc>
      </w:tr>
      <w:tr w14:paraId="32093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036BD1">
            <w:pPr>
              <w:pStyle w:val="12"/>
            </w:pPr>
            <w:r>
              <w:t>满意度指标</w:t>
            </w:r>
          </w:p>
        </w:tc>
        <w:tc>
          <w:tcPr>
            <w:tcW w:w="2268" w:type="dxa"/>
            <w:vAlign w:val="center"/>
          </w:tcPr>
          <w:p w14:paraId="00DD8DB4">
            <w:pPr>
              <w:pStyle w:val="13"/>
            </w:pPr>
            <w:r>
              <w:t>服务对象满意度指标</w:t>
            </w:r>
          </w:p>
        </w:tc>
        <w:tc>
          <w:tcPr>
            <w:tcW w:w="2835" w:type="dxa"/>
            <w:vAlign w:val="center"/>
          </w:tcPr>
          <w:p w14:paraId="10AB31B3">
            <w:pPr>
              <w:pStyle w:val="13"/>
            </w:pPr>
            <w:r>
              <w:t>提升幸福指数</w:t>
            </w:r>
          </w:p>
        </w:tc>
        <w:tc>
          <w:tcPr>
            <w:tcW w:w="4029" w:type="dxa"/>
            <w:vAlign w:val="center"/>
          </w:tcPr>
          <w:p w14:paraId="50417845">
            <w:pPr>
              <w:pStyle w:val="13"/>
            </w:pPr>
            <w:r>
              <w:t>提升建档立卡贫困家庭学生幸福指数</w:t>
            </w:r>
          </w:p>
          <w:p w14:paraId="1CE13808">
            <w:pPr>
              <w:pStyle w:val="13"/>
            </w:pPr>
            <w:r>
              <w:t>家长学生满意</w:t>
            </w:r>
          </w:p>
        </w:tc>
        <w:tc>
          <w:tcPr>
            <w:tcW w:w="1515" w:type="dxa"/>
            <w:vAlign w:val="center"/>
          </w:tcPr>
          <w:p w14:paraId="4DBB1C1B">
            <w:pPr>
              <w:pStyle w:val="13"/>
            </w:pPr>
            <w:r>
              <w:t>≥98%</w:t>
            </w:r>
          </w:p>
        </w:tc>
        <w:tc>
          <w:tcPr>
            <w:tcW w:w="3386" w:type="dxa"/>
            <w:vAlign w:val="center"/>
          </w:tcPr>
          <w:p w14:paraId="6E953954">
            <w:pPr>
              <w:pStyle w:val="13"/>
            </w:pPr>
            <w:r>
              <w:t>河北省建档立卡家庭经济困难学生资助管理暂行办法</w:t>
            </w:r>
          </w:p>
        </w:tc>
      </w:tr>
    </w:tbl>
    <w:p w14:paraId="7073E6CC">
      <w:pPr>
        <w:sectPr>
          <w:pgSz w:w="16840" w:h="11900" w:orient="landscape"/>
          <w:pgMar w:top="1361" w:right="1020" w:bottom="1134" w:left="1020" w:header="720" w:footer="720" w:gutter="0"/>
          <w:cols w:space="720" w:num="1"/>
        </w:sectPr>
      </w:pPr>
    </w:p>
    <w:p w14:paraId="3BA3E590">
      <w:pPr>
        <w:spacing w:before="0" w:after="0"/>
        <w:ind w:firstLine="560"/>
        <w:jc w:val="left"/>
        <w:outlineLvl w:val="9"/>
      </w:pPr>
      <w:r>
        <w:rPr>
          <w:rFonts w:ascii="方正仿宋_GBK" w:hAnsi="方正仿宋_GBK" w:eastAsia="方正仿宋_GBK" w:cs="方正仿宋_GBK"/>
          <w:b/>
          <w:color w:val="000000"/>
          <w:sz w:val="28"/>
        </w:rPr>
        <w:t>10、冀财教[2024]137号/省级/2025年普通高中资金/普通高中助学金（一中高中）</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B8F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65D38">
            <w:pPr>
              <w:pStyle w:val="14"/>
            </w:pPr>
            <w:r>
              <w:t>单位：万元</w:t>
            </w:r>
          </w:p>
        </w:tc>
      </w:tr>
      <w:tr w14:paraId="72F46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3E02FA">
            <w:pPr>
              <w:pStyle w:val="11"/>
            </w:pPr>
            <w:r>
              <w:t>项目编码</w:t>
            </w:r>
          </w:p>
        </w:tc>
        <w:tc>
          <w:tcPr>
            <w:tcW w:w="5103" w:type="dxa"/>
            <w:gridSpan w:val="2"/>
            <w:vAlign w:val="center"/>
          </w:tcPr>
          <w:p w14:paraId="152103A0">
            <w:pPr>
              <w:pStyle w:val="13"/>
            </w:pPr>
            <w:r>
              <w:t>13052525P00001210022T</w:t>
            </w:r>
          </w:p>
        </w:tc>
        <w:tc>
          <w:tcPr>
            <w:tcW w:w="2835" w:type="dxa"/>
            <w:vAlign w:val="center"/>
          </w:tcPr>
          <w:p w14:paraId="6735E894">
            <w:pPr>
              <w:pStyle w:val="11"/>
            </w:pPr>
            <w:r>
              <w:t>项目名称</w:t>
            </w:r>
          </w:p>
        </w:tc>
        <w:tc>
          <w:tcPr>
            <w:tcW w:w="6095" w:type="dxa"/>
            <w:gridSpan w:val="3"/>
            <w:vAlign w:val="center"/>
          </w:tcPr>
          <w:p w14:paraId="45766726">
            <w:pPr>
              <w:pStyle w:val="13"/>
            </w:pPr>
            <w:r>
              <w:t>冀财教[2024]137号/省级/2025年普通高中资金/普通高中助学金（一中高中）</w:t>
            </w:r>
            <w:r>
              <w:tab/>
            </w:r>
            <w:r>
              <w:tab/>
            </w:r>
            <w:r>
              <w:tab/>
            </w:r>
          </w:p>
        </w:tc>
      </w:tr>
      <w:tr w14:paraId="00441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B8621">
            <w:pPr>
              <w:pStyle w:val="11"/>
            </w:pPr>
            <w:r>
              <w:t>预算规模及资金用途</w:t>
            </w:r>
          </w:p>
        </w:tc>
        <w:tc>
          <w:tcPr>
            <w:tcW w:w="2268" w:type="dxa"/>
            <w:vAlign w:val="center"/>
          </w:tcPr>
          <w:p w14:paraId="0F0C41D8">
            <w:pPr>
              <w:pStyle w:val="11"/>
            </w:pPr>
            <w:r>
              <w:t>预算数</w:t>
            </w:r>
          </w:p>
        </w:tc>
        <w:tc>
          <w:tcPr>
            <w:tcW w:w="2835" w:type="dxa"/>
            <w:vAlign w:val="center"/>
          </w:tcPr>
          <w:p w14:paraId="2006AFC5">
            <w:pPr>
              <w:pStyle w:val="13"/>
            </w:pPr>
            <w:r>
              <w:t>35.00</w:t>
            </w:r>
          </w:p>
        </w:tc>
        <w:tc>
          <w:tcPr>
            <w:tcW w:w="2835" w:type="dxa"/>
            <w:vAlign w:val="center"/>
          </w:tcPr>
          <w:p w14:paraId="335E0086">
            <w:pPr>
              <w:pStyle w:val="11"/>
            </w:pPr>
            <w:r>
              <w:t>其中：财政    资金</w:t>
            </w:r>
          </w:p>
        </w:tc>
        <w:tc>
          <w:tcPr>
            <w:tcW w:w="2551" w:type="dxa"/>
            <w:vAlign w:val="center"/>
          </w:tcPr>
          <w:p w14:paraId="23278411">
            <w:pPr>
              <w:pStyle w:val="13"/>
            </w:pPr>
            <w:r>
              <w:t>35.00</w:t>
            </w:r>
          </w:p>
        </w:tc>
        <w:tc>
          <w:tcPr>
            <w:tcW w:w="2268" w:type="dxa"/>
            <w:vAlign w:val="center"/>
          </w:tcPr>
          <w:p w14:paraId="2AB8E0CC">
            <w:pPr>
              <w:pStyle w:val="11"/>
            </w:pPr>
            <w:r>
              <w:t>其他资金</w:t>
            </w:r>
          </w:p>
        </w:tc>
        <w:tc>
          <w:tcPr>
            <w:tcW w:w="1276" w:type="dxa"/>
            <w:vAlign w:val="center"/>
          </w:tcPr>
          <w:p w14:paraId="19C1B0F8">
            <w:pPr>
              <w:pStyle w:val="13"/>
            </w:pPr>
            <w:r>
              <w:t xml:space="preserve"> </w:t>
            </w:r>
          </w:p>
        </w:tc>
      </w:tr>
      <w:tr w14:paraId="1FC4C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79A3C"/>
        </w:tc>
        <w:tc>
          <w:tcPr>
            <w:tcW w:w="14033" w:type="dxa"/>
            <w:gridSpan w:val="6"/>
            <w:vAlign w:val="center"/>
          </w:tcPr>
          <w:p w14:paraId="3AE67A7A">
            <w:pPr>
              <w:pStyle w:val="13"/>
            </w:pPr>
            <w:r>
              <w:t>及时发放资助资金，确保贫困家庭学生得到资助，不因贫困失学辍学。</w:t>
            </w:r>
          </w:p>
        </w:tc>
      </w:tr>
      <w:tr w14:paraId="6EE8A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B4CBA">
            <w:pPr>
              <w:pStyle w:val="11"/>
            </w:pPr>
            <w:r>
              <w:t>资金支出计划（%）</w:t>
            </w:r>
          </w:p>
        </w:tc>
        <w:tc>
          <w:tcPr>
            <w:tcW w:w="5103" w:type="dxa"/>
            <w:gridSpan w:val="2"/>
            <w:vAlign w:val="center"/>
          </w:tcPr>
          <w:p w14:paraId="34F6802F">
            <w:pPr>
              <w:pStyle w:val="11"/>
            </w:pPr>
            <w:r>
              <w:t>3月底</w:t>
            </w:r>
          </w:p>
        </w:tc>
        <w:tc>
          <w:tcPr>
            <w:tcW w:w="2835" w:type="dxa"/>
            <w:vAlign w:val="center"/>
          </w:tcPr>
          <w:p w14:paraId="1EA5427E">
            <w:pPr>
              <w:pStyle w:val="11"/>
            </w:pPr>
            <w:r>
              <w:t>6月底</w:t>
            </w:r>
          </w:p>
        </w:tc>
        <w:tc>
          <w:tcPr>
            <w:tcW w:w="2551" w:type="dxa"/>
            <w:vAlign w:val="center"/>
          </w:tcPr>
          <w:p w14:paraId="74872AC3">
            <w:pPr>
              <w:pStyle w:val="11"/>
            </w:pPr>
            <w:r>
              <w:t>10月底</w:t>
            </w:r>
          </w:p>
        </w:tc>
        <w:tc>
          <w:tcPr>
            <w:tcW w:w="3544" w:type="dxa"/>
            <w:gridSpan w:val="2"/>
            <w:vAlign w:val="center"/>
          </w:tcPr>
          <w:p w14:paraId="4D0D73B4">
            <w:pPr>
              <w:pStyle w:val="11"/>
            </w:pPr>
            <w:r>
              <w:t>12月底</w:t>
            </w:r>
          </w:p>
        </w:tc>
      </w:tr>
      <w:tr w14:paraId="2056E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3BCABB"/>
        </w:tc>
        <w:tc>
          <w:tcPr>
            <w:tcW w:w="5103" w:type="dxa"/>
            <w:gridSpan w:val="2"/>
            <w:vAlign w:val="center"/>
          </w:tcPr>
          <w:p w14:paraId="188D3C11">
            <w:pPr>
              <w:pStyle w:val="12"/>
            </w:pPr>
            <w:r>
              <w:t xml:space="preserve"> </w:t>
            </w:r>
          </w:p>
        </w:tc>
        <w:tc>
          <w:tcPr>
            <w:tcW w:w="2835" w:type="dxa"/>
            <w:vAlign w:val="center"/>
          </w:tcPr>
          <w:p w14:paraId="3DB5531B">
            <w:pPr>
              <w:pStyle w:val="12"/>
            </w:pPr>
            <w:r>
              <w:t>50%</w:t>
            </w:r>
          </w:p>
        </w:tc>
        <w:tc>
          <w:tcPr>
            <w:tcW w:w="2551" w:type="dxa"/>
            <w:vAlign w:val="center"/>
          </w:tcPr>
          <w:p w14:paraId="2B5B8DD4">
            <w:pPr>
              <w:pStyle w:val="12"/>
            </w:pPr>
            <w:r>
              <w:t>100%</w:t>
            </w:r>
          </w:p>
        </w:tc>
        <w:tc>
          <w:tcPr>
            <w:tcW w:w="3544" w:type="dxa"/>
            <w:gridSpan w:val="2"/>
            <w:vAlign w:val="center"/>
          </w:tcPr>
          <w:p w14:paraId="72AED58D">
            <w:pPr>
              <w:pStyle w:val="12"/>
            </w:pPr>
            <w:r>
              <w:t>100%</w:t>
            </w:r>
          </w:p>
        </w:tc>
      </w:tr>
      <w:tr w14:paraId="68663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58F9F3">
            <w:pPr>
              <w:pStyle w:val="11"/>
            </w:pPr>
            <w:r>
              <w:t>绩效目标</w:t>
            </w:r>
          </w:p>
        </w:tc>
        <w:tc>
          <w:tcPr>
            <w:tcW w:w="14033" w:type="dxa"/>
            <w:gridSpan w:val="6"/>
            <w:vAlign w:val="center"/>
          </w:tcPr>
          <w:p w14:paraId="0084EBEF">
            <w:pPr>
              <w:pStyle w:val="13"/>
            </w:pPr>
            <w:r>
              <w:t>1.及时发放资助资金，确保贫困家庭学生得到资助，不因贫困失学辍学</w:t>
            </w:r>
          </w:p>
          <w:p w14:paraId="1F6DA76E">
            <w:pPr>
              <w:pStyle w:val="13"/>
            </w:pPr>
            <w:r>
              <w:t>2.深入宣传学生资助政策，落实河北省普通高中国家助学金管理办法</w:t>
            </w:r>
          </w:p>
          <w:p w14:paraId="5E29D5C3">
            <w:pPr>
              <w:pStyle w:val="13"/>
            </w:pPr>
            <w:r>
              <w:t>3.优先资助建档立卡家庭学生、孤残学生、父母丧失劳动能力学生、少数民族学生、烈士子女与单亲家庭经济困难学生、低保、特困救助、突发致贫学生</w:t>
            </w:r>
          </w:p>
        </w:tc>
      </w:tr>
    </w:tbl>
    <w:p w14:paraId="0BDBE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88"/>
        <w:gridCol w:w="2156"/>
      </w:tblGrid>
      <w:tr w14:paraId="4968C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908FE">
            <w:pPr>
              <w:pStyle w:val="11"/>
            </w:pPr>
            <w:r>
              <w:t>一级指标</w:t>
            </w:r>
          </w:p>
        </w:tc>
        <w:tc>
          <w:tcPr>
            <w:tcW w:w="2268" w:type="dxa"/>
            <w:vAlign w:val="center"/>
          </w:tcPr>
          <w:p w14:paraId="554837DA">
            <w:pPr>
              <w:pStyle w:val="11"/>
            </w:pPr>
            <w:r>
              <w:t>二级指标</w:t>
            </w:r>
          </w:p>
        </w:tc>
        <w:tc>
          <w:tcPr>
            <w:tcW w:w="2835" w:type="dxa"/>
            <w:vAlign w:val="center"/>
          </w:tcPr>
          <w:p w14:paraId="1868D5EF">
            <w:pPr>
              <w:pStyle w:val="11"/>
            </w:pPr>
            <w:r>
              <w:t>三级指标</w:t>
            </w:r>
          </w:p>
        </w:tc>
        <w:tc>
          <w:tcPr>
            <w:tcW w:w="5386" w:type="dxa"/>
            <w:vAlign w:val="center"/>
          </w:tcPr>
          <w:p w14:paraId="6FC69687">
            <w:pPr>
              <w:pStyle w:val="11"/>
            </w:pPr>
            <w:r>
              <w:t>绩效指标描述</w:t>
            </w:r>
          </w:p>
        </w:tc>
        <w:tc>
          <w:tcPr>
            <w:tcW w:w="1388" w:type="dxa"/>
            <w:vAlign w:val="center"/>
          </w:tcPr>
          <w:p w14:paraId="30235FEC">
            <w:pPr>
              <w:pStyle w:val="11"/>
            </w:pPr>
            <w:r>
              <w:t>指标值</w:t>
            </w:r>
          </w:p>
        </w:tc>
        <w:tc>
          <w:tcPr>
            <w:tcW w:w="2156" w:type="dxa"/>
            <w:vAlign w:val="center"/>
          </w:tcPr>
          <w:p w14:paraId="31C8EAAA">
            <w:pPr>
              <w:pStyle w:val="11"/>
            </w:pPr>
            <w:r>
              <w:t>指标值确定依据</w:t>
            </w:r>
          </w:p>
        </w:tc>
      </w:tr>
      <w:tr w14:paraId="2933D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92F10">
            <w:pPr>
              <w:pStyle w:val="12"/>
            </w:pPr>
            <w:r>
              <w:t>产出指标</w:t>
            </w:r>
          </w:p>
        </w:tc>
        <w:tc>
          <w:tcPr>
            <w:tcW w:w="2268" w:type="dxa"/>
            <w:vAlign w:val="center"/>
          </w:tcPr>
          <w:p w14:paraId="110FE990">
            <w:pPr>
              <w:pStyle w:val="13"/>
            </w:pPr>
            <w:r>
              <w:t>数量指标</w:t>
            </w:r>
          </w:p>
        </w:tc>
        <w:tc>
          <w:tcPr>
            <w:tcW w:w="2835" w:type="dxa"/>
            <w:vAlign w:val="center"/>
          </w:tcPr>
          <w:p w14:paraId="289252A8">
            <w:pPr>
              <w:pStyle w:val="13"/>
            </w:pPr>
            <w:r>
              <w:t>普通高中资助人数</w:t>
            </w:r>
          </w:p>
        </w:tc>
        <w:tc>
          <w:tcPr>
            <w:tcW w:w="5386" w:type="dxa"/>
            <w:vAlign w:val="center"/>
          </w:tcPr>
          <w:p w14:paraId="2C50EE0E">
            <w:pPr>
              <w:pStyle w:val="13"/>
            </w:pPr>
            <w:r>
              <w:t>普通高中助学受资助人数约占普通高中在校生总数的18%</w:t>
            </w:r>
          </w:p>
        </w:tc>
        <w:tc>
          <w:tcPr>
            <w:tcW w:w="1388" w:type="dxa"/>
            <w:vAlign w:val="center"/>
          </w:tcPr>
          <w:p w14:paraId="70214372">
            <w:pPr>
              <w:pStyle w:val="13"/>
            </w:pPr>
            <w:r>
              <w:t>≥770人</w:t>
            </w:r>
          </w:p>
        </w:tc>
        <w:tc>
          <w:tcPr>
            <w:tcW w:w="2156" w:type="dxa"/>
            <w:vAlign w:val="center"/>
          </w:tcPr>
          <w:p w14:paraId="56B0DA0E">
            <w:pPr>
              <w:pStyle w:val="13"/>
            </w:pPr>
            <w:r>
              <w:t>年度预算</w:t>
            </w:r>
          </w:p>
        </w:tc>
      </w:tr>
      <w:tr w14:paraId="337E8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70EBD"/>
        </w:tc>
        <w:tc>
          <w:tcPr>
            <w:tcW w:w="2268" w:type="dxa"/>
            <w:vAlign w:val="center"/>
          </w:tcPr>
          <w:p w14:paraId="76E46084">
            <w:pPr>
              <w:pStyle w:val="13"/>
            </w:pPr>
            <w:r>
              <w:t>质量指标</w:t>
            </w:r>
          </w:p>
        </w:tc>
        <w:tc>
          <w:tcPr>
            <w:tcW w:w="2835" w:type="dxa"/>
            <w:vAlign w:val="center"/>
          </w:tcPr>
          <w:p w14:paraId="464194BC">
            <w:pPr>
              <w:pStyle w:val="13"/>
            </w:pPr>
            <w:r>
              <w:t>成立评审小组</w:t>
            </w:r>
          </w:p>
        </w:tc>
        <w:tc>
          <w:tcPr>
            <w:tcW w:w="5386" w:type="dxa"/>
            <w:vAlign w:val="center"/>
          </w:tcPr>
          <w:p w14:paraId="6D6CDF69">
            <w:pPr>
              <w:pStyle w:val="13"/>
            </w:pPr>
            <w:r>
              <w:t>成立普高助学金评审小组建立监督检查制度</w:t>
            </w:r>
          </w:p>
        </w:tc>
        <w:tc>
          <w:tcPr>
            <w:tcW w:w="1388" w:type="dxa"/>
            <w:vAlign w:val="center"/>
          </w:tcPr>
          <w:p w14:paraId="6E38D682">
            <w:pPr>
              <w:pStyle w:val="13"/>
            </w:pPr>
            <w:r>
              <w:t>1组</w:t>
            </w:r>
          </w:p>
        </w:tc>
        <w:tc>
          <w:tcPr>
            <w:tcW w:w="2156" w:type="dxa"/>
            <w:vAlign w:val="center"/>
          </w:tcPr>
          <w:p w14:paraId="5877F341">
            <w:pPr>
              <w:pStyle w:val="13"/>
            </w:pPr>
            <w:r>
              <w:t>隆尧县普通高中国家助学金管理办法</w:t>
            </w:r>
          </w:p>
        </w:tc>
      </w:tr>
      <w:tr w14:paraId="625FE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03EF1"/>
        </w:tc>
        <w:tc>
          <w:tcPr>
            <w:tcW w:w="2268" w:type="dxa"/>
            <w:vAlign w:val="center"/>
          </w:tcPr>
          <w:p w14:paraId="5213EBA2">
            <w:pPr>
              <w:pStyle w:val="13"/>
            </w:pPr>
            <w:r>
              <w:t>时效指标</w:t>
            </w:r>
          </w:p>
        </w:tc>
        <w:tc>
          <w:tcPr>
            <w:tcW w:w="2835" w:type="dxa"/>
            <w:vAlign w:val="center"/>
          </w:tcPr>
          <w:p w14:paraId="57EE797C">
            <w:pPr>
              <w:pStyle w:val="13"/>
            </w:pPr>
            <w:r>
              <w:t>补助资金到位</w:t>
            </w:r>
          </w:p>
        </w:tc>
        <w:tc>
          <w:tcPr>
            <w:tcW w:w="5386" w:type="dxa"/>
            <w:vAlign w:val="center"/>
          </w:tcPr>
          <w:p w14:paraId="5B3AB8B5">
            <w:pPr>
              <w:pStyle w:val="13"/>
            </w:pPr>
            <w:r>
              <w:t>补助资金及时足额到位率</w:t>
            </w:r>
          </w:p>
        </w:tc>
        <w:tc>
          <w:tcPr>
            <w:tcW w:w="1388" w:type="dxa"/>
            <w:vAlign w:val="center"/>
          </w:tcPr>
          <w:p w14:paraId="5D5D3AE7">
            <w:pPr>
              <w:pStyle w:val="13"/>
            </w:pPr>
            <w:r>
              <w:t>≥100%</w:t>
            </w:r>
          </w:p>
        </w:tc>
        <w:tc>
          <w:tcPr>
            <w:tcW w:w="2156" w:type="dxa"/>
            <w:vAlign w:val="center"/>
          </w:tcPr>
          <w:p w14:paraId="46D705A4">
            <w:pPr>
              <w:pStyle w:val="13"/>
            </w:pPr>
            <w:r>
              <w:t>隆尧县普通高中国家助学金管理办法</w:t>
            </w:r>
          </w:p>
        </w:tc>
      </w:tr>
      <w:tr w14:paraId="15F07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76802"/>
        </w:tc>
        <w:tc>
          <w:tcPr>
            <w:tcW w:w="2268" w:type="dxa"/>
            <w:vAlign w:val="center"/>
          </w:tcPr>
          <w:p w14:paraId="19349D62">
            <w:pPr>
              <w:pStyle w:val="13"/>
            </w:pPr>
            <w:r>
              <w:t>成本指标</w:t>
            </w:r>
          </w:p>
        </w:tc>
        <w:tc>
          <w:tcPr>
            <w:tcW w:w="2835" w:type="dxa"/>
            <w:vAlign w:val="center"/>
          </w:tcPr>
          <w:p w14:paraId="2A784113">
            <w:pPr>
              <w:pStyle w:val="13"/>
            </w:pPr>
            <w:r>
              <w:t>普高国家助学金标准</w:t>
            </w:r>
          </w:p>
        </w:tc>
        <w:tc>
          <w:tcPr>
            <w:tcW w:w="5386" w:type="dxa"/>
            <w:vAlign w:val="center"/>
          </w:tcPr>
          <w:p w14:paraId="7B8BD273">
            <w:pPr>
              <w:pStyle w:val="13"/>
            </w:pPr>
            <w:r>
              <w:t>普高国家助学金资助标准2300元/生/年</w:t>
            </w:r>
          </w:p>
        </w:tc>
        <w:tc>
          <w:tcPr>
            <w:tcW w:w="1388" w:type="dxa"/>
            <w:vAlign w:val="center"/>
          </w:tcPr>
          <w:p w14:paraId="54DA416D">
            <w:pPr>
              <w:pStyle w:val="13"/>
            </w:pPr>
            <w:r>
              <w:t>2300元</w:t>
            </w:r>
          </w:p>
        </w:tc>
        <w:tc>
          <w:tcPr>
            <w:tcW w:w="2156" w:type="dxa"/>
            <w:vAlign w:val="center"/>
          </w:tcPr>
          <w:p w14:paraId="2E11FA8F">
            <w:pPr>
              <w:pStyle w:val="13"/>
            </w:pPr>
            <w:r>
              <w:t>隆尧县普通高中国家助学金管理办法</w:t>
            </w:r>
          </w:p>
        </w:tc>
      </w:tr>
      <w:tr w14:paraId="3DB52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03750">
            <w:pPr>
              <w:pStyle w:val="12"/>
            </w:pPr>
            <w:r>
              <w:t>效益指标</w:t>
            </w:r>
          </w:p>
        </w:tc>
        <w:tc>
          <w:tcPr>
            <w:tcW w:w="2268" w:type="dxa"/>
            <w:vAlign w:val="center"/>
          </w:tcPr>
          <w:p w14:paraId="74AF6CD6">
            <w:pPr>
              <w:pStyle w:val="13"/>
            </w:pPr>
            <w:r>
              <w:t>经济效益指标</w:t>
            </w:r>
          </w:p>
        </w:tc>
        <w:tc>
          <w:tcPr>
            <w:tcW w:w="2835" w:type="dxa"/>
            <w:vAlign w:val="center"/>
          </w:tcPr>
          <w:p w14:paraId="2D729EF5">
            <w:pPr>
              <w:pStyle w:val="13"/>
            </w:pPr>
            <w:r>
              <w:t>减轻家庭负担</w:t>
            </w:r>
          </w:p>
        </w:tc>
        <w:tc>
          <w:tcPr>
            <w:tcW w:w="5386" w:type="dxa"/>
            <w:vAlign w:val="center"/>
          </w:tcPr>
          <w:p w14:paraId="722DECE6">
            <w:pPr>
              <w:pStyle w:val="13"/>
            </w:pPr>
            <w:r>
              <w:t>减轻建档立卡家庭学生家长经济负担</w:t>
            </w:r>
          </w:p>
        </w:tc>
        <w:tc>
          <w:tcPr>
            <w:tcW w:w="1388" w:type="dxa"/>
            <w:vAlign w:val="center"/>
          </w:tcPr>
          <w:p w14:paraId="065A4051">
            <w:pPr>
              <w:pStyle w:val="13"/>
            </w:pPr>
            <w:r>
              <w:t>减轻</w:t>
            </w:r>
          </w:p>
        </w:tc>
        <w:tc>
          <w:tcPr>
            <w:tcW w:w="2156" w:type="dxa"/>
            <w:vAlign w:val="center"/>
          </w:tcPr>
          <w:p w14:paraId="2B9083D5">
            <w:pPr>
              <w:pStyle w:val="13"/>
            </w:pPr>
            <w:r>
              <w:t>隆尧县普通高中国家助学金管理办法</w:t>
            </w:r>
          </w:p>
        </w:tc>
      </w:tr>
      <w:tr w14:paraId="1652E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1E429"/>
        </w:tc>
        <w:tc>
          <w:tcPr>
            <w:tcW w:w="2268" w:type="dxa"/>
            <w:vAlign w:val="center"/>
          </w:tcPr>
          <w:p w14:paraId="6F185A2A">
            <w:pPr>
              <w:pStyle w:val="13"/>
            </w:pPr>
            <w:r>
              <w:t>可持续影响指标</w:t>
            </w:r>
          </w:p>
        </w:tc>
        <w:tc>
          <w:tcPr>
            <w:tcW w:w="2835" w:type="dxa"/>
            <w:vAlign w:val="center"/>
          </w:tcPr>
          <w:p w14:paraId="65069452">
            <w:pPr>
              <w:pStyle w:val="13"/>
            </w:pPr>
            <w:r>
              <w:t>高中运转</w:t>
            </w:r>
          </w:p>
        </w:tc>
        <w:tc>
          <w:tcPr>
            <w:tcW w:w="5386" w:type="dxa"/>
            <w:vAlign w:val="center"/>
          </w:tcPr>
          <w:p w14:paraId="3E44FE5B">
            <w:pPr>
              <w:pStyle w:val="13"/>
            </w:pPr>
            <w:r>
              <w:t>高中生受教育年限</w:t>
            </w:r>
          </w:p>
        </w:tc>
        <w:tc>
          <w:tcPr>
            <w:tcW w:w="1388" w:type="dxa"/>
            <w:vAlign w:val="center"/>
          </w:tcPr>
          <w:p w14:paraId="66E563D2">
            <w:pPr>
              <w:pStyle w:val="13"/>
            </w:pPr>
            <w:r>
              <w:t>3年</w:t>
            </w:r>
          </w:p>
        </w:tc>
        <w:tc>
          <w:tcPr>
            <w:tcW w:w="2156" w:type="dxa"/>
            <w:vAlign w:val="center"/>
          </w:tcPr>
          <w:p w14:paraId="2D26B8A8">
            <w:pPr>
              <w:pStyle w:val="13"/>
            </w:pPr>
            <w:r>
              <w:t>隆尧县普通高中国家助学金管理办法</w:t>
            </w:r>
          </w:p>
        </w:tc>
      </w:tr>
      <w:tr w14:paraId="1EBE8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D6C0B2">
            <w:pPr>
              <w:pStyle w:val="12"/>
            </w:pPr>
            <w:r>
              <w:t>满意度指标</w:t>
            </w:r>
          </w:p>
        </w:tc>
        <w:tc>
          <w:tcPr>
            <w:tcW w:w="2268" w:type="dxa"/>
            <w:vAlign w:val="center"/>
          </w:tcPr>
          <w:p w14:paraId="7C97E215">
            <w:pPr>
              <w:pStyle w:val="13"/>
            </w:pPr>
            <w:r>
              <w:t>服务对象满意度指标</w:t>
            </w:r>
          </w:p>
        </w:tc>
        <w:tc>
          <w:tcPr>
            <w:tcW w:w="2835" w:type="dxa"/>
            <w:vAlign w:val="center"/>
          </w:tcPr>
          <w:p w14:paraId="0E68FAB3">
            <w:pPr>
              <w:pStyle w:val="13"/>
            </w:pPr>
            <w:r>
              <w:t>提升幸福指数</w:t>
            </w:r>
          </w:p>
        </w:tc>
        <w:tc>
          <w:tcPr>
            <w:tcW w:w="5386" w:type="dxa"/>
            <w:vAlign w:val="center"/>
          </w:tcPr>
          <w:p w14:paraId="757C6285">
            <w:pPr>
              <w:pStyle w:val="13"/>
            </w:pPr>
            <w:r>
              <w:t>提升建档立卡贫困家庭学生幸福指数</w:t>
            </w:r>
          </w:p>
          <w:p w14:paraId="396FFCE3">
            <w:pPr>
              <w:pStyle w:val="13"/>
            </w:pPr>
            <w:r>
              <w:t>家长学生满意</w:t>
            </w:r>
          </w:p>
        </w:tc>
        <w:tc>
          <w:tcPr>
            <w:tcW w:w="1388" w:type="dxa"/>
            <w:vAlign w:val="center"/>
          </w:tcPr>
          <w:p w14:paraId="7F1A0BB6">
            <w:pPr>
              <w:pStyle w:val="13"/>
            </w:pPr>
            <w:r>
              <w:t>≥98%</w:t>
            </w:r>
          </w:p>
        </w:tc>
        <w:tc>
          <w:tcPr>
            <w:tcW w:w="2156" w:type="dxa"/>
            <w:vAlign w:val="center"/>
          </w:tcPr>
          <w:p w14:paraId="739FE6EE">
            <w:pPr>
              <w:pStyle w:val="13"/>
            </w:pPr>
            <w:r>
              <w:t>隆尧县普通高中国家助学金管理办法</w:t>
            </w:r>
          </w:p>
        </w:tc>
      </w:tr>
    </w:tbl>
    <w:p w14:paraId="36254484">
      <w:pPr>
        <w:sectPr>
          <w:pgSz w:w="16840" w:h="11900" w:orient="landscape"/>
          <w:pgMar w:top="1361" w:right="1020" w:bottom="1134" w:left="1020" w:header="720" w:footer="720" w:gutter="0"/>
          <w:cols w:space="720" w:num="1"/>
        </w:sectPr>
      </w:pPr>
    </w:p>
    <w:p w14:paraId="63BF7D02">
      <w:pPr>
        <w:spacing w:before="0" w:after="0"/>
        <w:ind w:firstLine="560"/>
        <w:jc w:val="left"/>
        <w:outlineLvl w:val="9"/>
      </w:pPr>
      <w:r>
        <w:rPr>
          <w:rFonts w:ascii="方正仿宋_GBK" w:hAnsi="方正仿宋_GBK" w:eastAsia="方正仿宋_GBK" w:cs="方正仿宋_GBK"/>
          <w:b/>
          <w:color w:val="000000"/>
          <w:sz w:val="28"/>
        </w:rPr>
        <w:t>11、普通高中公用经费/隆尧一中绩效目标表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80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D3DF1">
            <w:pPr>
              <w:pStyle w:val="14"/>
            </w:pPr>
            <w:r>
              <w:t>单位：万元</w:t>
            </w:r>
          </w:p>
        </w:tc>
      </w:tr>
      <w:tr w14:paraId="17E1A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24FD7A">
            <w:pPr>
              <w:pStyle w:val="11"/>
            </w:pPr>
            <w:r>
              <w:t>项目编码</w:t>
            </w:r>
          </w:p>
        </w:tc>
        <w:tc>
          <w:tcPr>
            <w:tcW w:w="5103" w:type="dxa"/>
            <w:gridSpan w:val="2"/>
            <w:vAlign w:val="center"/>
          </w:tcPr>
          <w:p w14:paraId="32008F59">
            <w:pPr>
              <w:pStyle w:val="13"/>
            </w:pPr>
            <w:r>
              <w:t>13052525P008758100019</w:t>
            </w:r>
          </w:p>
        </w:tc>
        <w:tc>
          <w:tcPr>
            <w:tcW w:w="2835" w:type="dxa"/>
            <w:vAlign w:val="center"/>
          </w:tcPr>
          <w:p w14:paraId="0DBF1E2D">
            <w:pPr>
              <w:pStyle w:val="11"/>
            </w:pPr>
            <w:r>
              <w:t>项目名称</w:t>
            </w:r>
          </w:p>
        </w:tc>
        <w:tc>
          <w:tcPr>
            <w:tcW w:w="6095" w:type="dxa"/>
            <w:gridSpan w:val="3"/>
            <w:vAlign w:val="center"/>
          </w:tcPr>
          <w:p w14:paraId="5C59CD1A">
            <w:pPr>
              <w:pStyle w:val="13"/>
            </w:pPr>
            <w:r>
              <w:t>普通高中公用经费/隆尧一中</w:t>
            </w:r>
          </w:p>
        </w:tc>
      </w:tr>
      <w:tr w14:paraId="251E1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77AEA">
            <w:pPr>
              <w:pStyle w:val="11"/>
            </w:pPr>
            <w:r>
              <w:t>预算规模及资金用途</w:t>
            </w:r>
          </w:p>
        </w:tc>
        <w:tc>
          <w:tcPr>
            <w:tcW w:w="2268" w:type="dxa"/>
            <w:vAlign w:val="center"/>
          </w:tcPr>
          <w:p w14:paraId="715B4352">
            <w:pPr>
              <w:pStyle w:val="11"/>
            </w:pPr>
            <w:r>
              <w:t>预算数</w:t>
            </w:r>
          </w:p>
        </w:tc>
        <w:tc>
          <w:tcPr>
            <w:tcW w:w="2835" w:type="dxa"/>
            <w:vAlign w:val="center"/>
          </w:tcPr>
          <w:p w14:paraId="6E423028">
            <w:pPr>
              <w:pStyle w:val="13"/>
            </w:pPr>
            <w:r>
              <w:t>439.90</w:t>
            </w:r>
          </w:p>
        </w:tc>
        <w:tc>
          <w:tcPr>
            <w:tcW w:w="2835" w:type="dxa"/>
            <w:vAlign w:val="center"/>
          </w:tcPr>
          <w:p w14:paraId="7C660320">
            <w:pPr>
              <w:pStyle w:val="11"/>
            </w:pPr>
            <w:r>
              <w:t>其中：财政    资金</w:t>
            </w:r>
          </w:p>
        </w:tc>
        <w:tc>
          <w:tcPr>
            <w:tcW w:w="2551" w:type="dxa"/>
            <w:vAlign w:val="center"/>
          </w:tcPr>
          <w:p w14:paraId="1EA6C15E">
            <w:pPr>
              <w:pStyle w:val="13"/>
            </w:pPr>
            <w:r>
              <w:t>439.90</w:t>
            </w:r>
          </w:p>
        </w:tc>
        <w:tc>
          <w:tcPr>
            <w:tcW w:w="2268" w:type="dxa"/>
            <w:vAlign w:val="center"/>
          </w:tcPr>
          <w:p w14:paraId="3C007C64">
            <w:pPr>
              <w:pStyle w:val="11"/>
            </w:pPr>
            <w:r>
              <w:t>其他资金</w:t>
            </w:r>
          </w:p>
        </w:tc>
        <w:tc>
          <w:tcPr>
            <w:tcW w:w="1276" w:type="dxa"/>
            <w:vAlign w:val="center"/>
          </w:tcPr>
          <w:p w14:paraId="0DF18071">
            <w:pPr>
              <w:pStyle w:val="13"/>
            </w:pPr>
            <w:r>
              <w:t xml:space="preserve"> </w:t>
            </w:r>
          </w:p>
        </w:tc>
      </w:tr>
      <w:tr w14:paraId="6F593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FFB2E0"/>
        </w:tc>
        <w:tc>
          <w:tcPr>
            <w:tcW w:w="14033" w:type="dxa"/>
            <w:gridSpan w:val="6"/>
            <w:vAlign w:val="center"/>
          </w:tcPr>
          <w:p w14:paraId="6151E887">
            <w:pPr>
              <w:pStyle w:val="13"/>
            </w:pPr>
            <w:r>
              <w:t>保障高中教育学校正常运转，提高教学质量</w:t>
            </w:r>
          </w:p>
        </w:tc>
      </w:tr>
      <w:tr w14:paraId="29101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B6F68">
            <w:pPr>
              <w:pStyle w:val="11"/>
            </w:pPr>
            <w:r>
              <w:t>资金支出计划（%）</w:t>
            </w:r>
          </w:p>
        </w:tc>
        <w:tc>
          <w:tcPr>
            <w:tcW w:w="5103" w:type="dxa"/>
            <w:gridSpan w:val="2"/>
            <w:vAlign w:val="center"/>
          </w:tcPr>
          <w:p w14:paraId="08FDAF94">
            <w:pPr>
              <w:pStyle w:val="11"/>
            </w:pPr>
            <w:r>
              <w:t>3月底</w:t>
            </w:r>
          </w:p>
        </w:tc>
        <w:tc>
          <w:tcPr>
            <w:tcW w:w="2835" w:type="dxa"/>
            <w:vAlign w:val="center"/>
          </w:tcPr>
          <w:p w14:paraId="51ED4CF0">
            <w:pPr>
              <w:pStyle w:val="11"/>
            </w:pPr>
            <w:r>
              <w:t>6月底</w:t>
            </w:r>
          </w:p>
        </w:tc>
        <w:tc>
          <w:tcPr>
            <w:tcW w:w="2551" w:type="dxa"/>
            <w:vAlign w:val="center"/>
          </w:tcPr>
          <w:p w14:paraId="3038BECD">
            <w:pPr>
              <w:pStyle w:val="11"/>
            </w:pPr>
            <w:r>
              <w:t>10月底</w:t>
            </w:r>
          </w:p>
        </w:tc>
        <w:tc>
          <w:tcPr>
            <w:tcW w:w="3544" w:type="dxa"/>
            <w:gridSpan w:val="2"/>
            <w:vAlign w:val="center"/>
          </w:tcPr>
          <w:p w14:paraId="4828EC74">
            <w:pPr>
              <w:pStyle w:val="11"/>
            </w:pPr>
            <w:r>
              <w:t>12月底</w:t>
            </w:r>
          </w:p>
        </w:tc>
      </w:tr>
      <w:tr w14:paraId="2D1B5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29C04E"/>
        </w:tc>
        <w:tc>
          <w:tcPr>
            <w:tcW w:w="5103" w:type="dxa"/>
            <w:gridSpan w:val="2"/>
            <w:vAlign w:val="center"/>
          </w:tcPr>
          <w:p w14:paraId="10286D97">
            <w:pPr>
              <w:pStyle w:val="12"/>
            </w:pPr>
            <w:r>
              <w:t>25%</w:t>
            </w:r>
          </w:p>
        </w:tc>
        <w:tc>
          <w:tcPr>
            <w:tcW w:w="2835" w:type="dxa"/>
            <w:vAlign w:val="center"/>
          </w:tcPr>
          <w:p w14:paraId="490A5B46">
            <w:pPr>
              <w:pStyle w:val="12"/>
            </w:pPr>
            <w:r>
              <w:t>50%</w:t>
            </w:r>
          </w:p>
        </w:tc>
        <w:tc>
          <w:tcPr>
            <w:tcW w:w="2551" w:type="dxa"/>
            <w:vAlign w:val="center"/>
          </w:tcPr>
          <w:p w14:paraId="7FC48B18">
            <w:pPr>
              <w:pStyle w:val="12"/>
            </w:pPr>
            <w:r>
              <w:t>75%</w:t>
            </w:r>
          </w:p>
        </w:tc>
        <w:tc>
          <w:tcPr>
            <w:tcW w:w="3544" w:type="dxa"/>
            <w:gridSpan w:val="2"/>
            <w:vAlign w:val="center"/>
          </w:tcPr>
          <w:p w14:paraId="2C34F476">
            <w:pPr>
              <w:pStyle w:val="12"/>
            </w:pPr>
            <w:r>
              <w:t>100%</w:t>
            </w:r>
          </w:p>
        </w:tc>
      </w:tr>
      <w:tr w14:paraId="1C882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2903E">
            <w:pPr>
              <w:pStyle w:val="11"/>
            </w:pPr>
            <w:r>
              <w:t>绩效目标</w:t>
            </w:r>
          </w:p>
        </w:tc>
        <w:tc>
          <w:tcPr>
            <w:tcW w:w="14033" w:type="dxa"/>
            <w:gridSpan w:val="6"/>
            <w:vAlign w:val="center"/>
          </w:tcPr>
          <w:p w14:paraId="56390EBB">
            <w:pPr>
              <w:pStyle w:val="13"/>
            </w:pPr>
            <w:r>
              <w:t>1.按规定拨付公用经费资金4399000元，资金拨付率达到100%</w:t>
            </w:r>
          </w:p>
          <w:p w14:paraId="55569F5D">
            <w:pPr>
              <w:pStyle w:val="13"/>
            </w:pPr>
            <w:r>
              <w:t>2.保障高中教育学校正常运转，提高教学质量</w:t>
            </w:r>
          </w:p>
          <w:p w14:paraId="0F8C59B5">
            <w:pPr>
              <w:pStyle w:val="13"/>
            </w:pPr>
            <w:r>
              <w:t>3.完成教育教学活动和其他日常工作任务等方面的费用支出。</w:t>
            </w:r>
          </w:p>
        </w:tc>
      </w:tr>
    </w:tbl>
    <w:p w14:paraId="5DF7D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208"/>
        <w:gridCol w:w="2336"/>
      </w:tblGrid>
      <w:tr w14:paraId="6BE04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69E18">
            <w:pPr>
              <w:pStyle w:val="11"/>
            </w:pPr>
            <w:r>
              <w:t>一级指标</w:t>
            </w:r>
          </w:p>
        </w:tc>
        <w:tc>
          <w:tcPr>
            <w:tcW w:w="2268" w:type="dxa"/>
            <w:vAlign w:val="center"/>
          </w:tcPr>
          <w:p w14:paraId="053A3E61">
            <w:pPr>
              <w:pStyle w:val="11"/>
            </w:pPr>
            <w:r>
              <w:t>二级指标</w:t>
            </w:r>
          </w:p>
        </w:tc>
        <w:tc>
          <w:tcPr>
            <w:tcW w:w="2835" w:type="dxa"/>
            <w:vAlign w:val="center"/>
          </w:tcPr>
          <w:p w14:paraId="0BD60651">
            <w:pPr>
              <w:pStyle w:val="11"/>
            </w:pPr>
            <w:r>
              <w:t>三级指标</w:t>
            </w:r>
          </w:p>
        </w:tc>
        <w:tc>
          <w:tcPr>
            <w:tcW w:w="5386" w:type="dxa"/>
            <w:vAlign w:val="center"/>
          </w:tcPr>
          <w:p w14:paraId="4662D46A">
            <w:pPr>
              <w:pStyle w:val="11"/>
            </w:pPr>
            <w:r>
              <w:t>绩效指标描述</w:t>
            </w:r>
          </w:p>
        </w:tc>
        <w:tc>
          <w:tcPr>
            <w:tcW w:w="1208" w:type="dxa"/>
            <w:vAlign w:val="center"/>
          </w:tcPr>
          <w:p w14:paraId="3C4310C7">
            <w:pPr>
              <w:pStyle w:val="11"/>
            </w:pPr>
            <w:r>
              <w:t>指标值</w:t>
            </w:r>
          </w:p>
        </w:tc>
        <w:tc>
          <w:tcPr>
            <w:tcW w:w="2336" w:type="dxa"/>
            <w:vAlign w:val="center"/>
          </w:tcPr>
          <w:p w14:paraId="4F28EC59">
            <w:pPr>
              <w:pStyle w:val="11"/>
            </w:pPr>
            <w:r>
              <w:t>指标值确定依据</w:t>
            </w:r>
          </w:p>
        </w:tc>
      </w:tr>
      <w:tr w14:paraId="7ED68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C96B6">
            <w:pPr>
              <w:pStyle w:val="12"/>
            </w:pPr>
            <w:r>
              <w:t>产出指标</w:t>
            </w:r>
          </w:p>
        </w:tc>
        <w:tc>
          <w:tcPr>
            <w:tcW w:w="2268" w:type="dxa"/>
            <w:vAlign w:val="center"/>
          </w:tcPr>
          <w:p w14:paraId="64F71ED1">
            <w:pPr>
              <w:pStyle w:val="13"/>
            </w:pPr>
            <w:r>
              <w:t>数量指标</w:t>
            </w:r>
          </w:p>
        </w:tc>
        <w:tc>
          <w:tcPr>
            <w:tcW w:w="2835" w:type="dxa"/>
            <w:vAlign w:val="center"/>
          </w:tcPr>
          <w:p w14:paraId="493D2D2E">
            <w:pPr>
              <w:pStyle w:val="13"/>
            </w:pPr>
            <w:r>
              <w:t>在校生</w:t>
            </w:r>
          </w:p>
        </w:tc>
        <w:tc>
          <w:tcPr>
            <w:tcW w:w="5386" w:type="dxa"/>
            <w:vAlign w:val="center"/>
          </w:tcPr>
          <w:p w14:paraId="478D8231">
            <w:pPr>
              <w:pStyle w:val="13"/>
            </w:pPr>
            <w:r>
              <w:t>学校实际注册学籍人数</w:t>
            </w:r>
          </w:p>
        </w:tc>
        <w:tc>
          <w:tcPr>
            <w:tcW w:w="1208" w:type="dxa"/>
            <w:vAlign w:val="center"/>
          </w:tcPr>
          <w:p w14:paraId="7A7B9518">
            <w:pPr>
              <w:pStyle w:val="13"/>
            </w:pPr>
            <w:r>
              <w:t>4399人</w:t>
            </w:r>
          </w:p>
        </w:tc>
        <w:tc>
          <w:tcPr>
            <w:tcW w:w="2336" w:type="dxa"/>
            <w:vAlign w:val="center"/>
          </w:tcPr>
          <w:p w14:paraId="4790E30B">
            <w:pPr>
              <w:pStyle w:val="13"/>
            </w:pPr>
            <w:r>
              <w:t>普通高中公用经费管理办法</w:t>
            </w:r>
          </w:p>
        </w:tc>
      </w:tr>
      <w:tr w14:paraId="2158D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27E02"/>
        </w:tc>
        <w:tc>
          <w:tcPr>
            <w:tcW w:w="2268" w:type="dxa"/>
            <w:vAlign w:val="center"/>
          </w:tcPr>
          <w:p w14:paraId="3B73C239">
            <w:pPr>
              <w:pStyle w:val="13"/>
            </w:pPr>
            <w:r>
              <w:t>质量指标</w:t>
            </w:r>
          </w:p>
        </w:tc>
        <w:tc>
          <w:tcPr>
            <w:tcW w:w="2835" w:type="dxa"/>
            <w:vAlign w:val="center"/>
          </w:tcPr>
          <w:p w14:paraId="461BFA9A">
            <w:pPr>
              <w:pStyle w:val="13"/>
            </w:pPr>
            <w:r>
              <w:t>提升办学质量</w:t>
            </w:r>
          </w:p>
        </w:tc>
        <w:tc>
          <w:tcPr>
            <w:tcW w:w="5386" w:type="dxa"/>
            <w:vAlign w:val="center"/>
          </w:tcPr>
          <w:p w14:paraId="4E43DF7C">
            <w:pPr>
              <w:pStyle w:val="13"/>
            </w:pPr>
            <w:r>
              <w:t>按学校实际工作运转需求，按季度办理资金拨付</w:t>
            </w:r>
          </w:p>
        </w:tc>
        <w:tc>
          <w:tcPr>
            <w:tcW w:w="1208" w:type="dxa"/>
            <w:vAlign w:val="center"/>
          </w:tcPr>
          <w:p w14:paraId="1E8A6E92">
            <w:pPr>
              <w:pStyle w:val="13"/>
            </w:pPr>
            <w:r>
              <w:t>≥100%</w:t>
            </w:r>
          </w:p>
        </w:tc>
        <w:tc>
          <w:tcPr>
            <w:tcW w:w="2336" w:type="dxa"/>
            <w:vAlign w:val="center"/>
          </w:tcPr>
          <w:p w14:paraId="6F66A38E">
            <w:pPr>
              <w:pStyle w:val="13"/>
            </w:pPr>
            <w:r>
              <w:t>普通高中公用经费管理办法</w:t>
            </w:r>
          </w:p>
        </w:tc>
      </w:tr>
      <w:tr w14:paraId="27FDF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7E42F"/>
        </w:tc>
        <w:tc>
          <w:tcPr>
            <w:tcW w:w="2268" w:type="dxa"/>
            <w:vAlign w:val="center"/>
          </w:tcPr>
          <w:p w14:paraId="22A2A370">
            <w:pPr>
              <w:pStyle w:val="13"/>
            </w:pPr>
            <w:r>
              <w:t>时效指标</w:t>
            </w:r>
          </w:p>
        </w:tc>
        <w:tc>
          <w:tcPr>
            <w:tcW w:w="2835" w:type="dxa"/>
            <w:vAlign w:val="center"/>
          </w:tcPr>
          <w:p w14:paraId="79BB165B">
            <w:pPr>
              <w:pStyle w:val="13"/>
            </w:pPr>
            <w:r>
              <w:t>资金支付率</w:t>
            </w:r>
          </w:p>
        </w:tc>
        <w:tc>
          <w:tcPr>
            <w:tcW w:w="5386" w:type="dxa"/>
            <w:vAlign w:val="center"/>
          </w:tcPr>
          <w:p w14:paraId="5E575961">
            <w:pPr>
              <w:pStyle w:val="13"/>
            </w:pPr>
            <w:r>
              <w:t>按照项目进度完成资金支付</w:t>
            </w:r>
          </w:p>
        </w:tc>
        <w:tc>
          <w:tcPr>
            <w:tcW w:w="1208" w:type="dxa"/>
            <w:vAlign w:val="center"/>
          </w:tcPr>
          <w:p w14:paraId="128D7B12">
            <w:pPr>
              <w:pStyle w:val="13"/>
            </w:pPr>
            <w:r>
              <w:t>≥100%</w:t>
            </w:r>
          </w:p>
        </w:tc>
        <w:tc>
          <w:tcPr>
            <w:tcW w:w="2336" w:type="dxa"/>
            <w:vAlign w:val="center"/>
          </w:tcPr>
          <w:p w14:paraId="071A5277">
            <w:pPr>
              <w:pStyle w:val="13"/>
            </w:pPr>
            <w:r>
              <w:t>普通高中公用经费管理办法</w:t>
            </w:r>
          </w:p>
        </w:tc>
      </w:tr>
      <w:tr w14:paraId="51BC4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686C5"/>
        </w:tc>
        <w:tc>
          <w:tcPr>
            <w:tcW w:w="2268" w:type="dxa"/>
            <w:vAlign w:val="center"/>
          </w:tcPr>
          <w:p w14:paraId="5DD6841D">
            <w:pPr>
              <w:pStyle w:val="13"/>
            </w:pPr>
            <w:r>
              <w:t>成本指标</w:t>
            </w:r>
          </w:p>
        </w:tc>
        <w:tc>
          <w:tcPr>
            <w:tcW w:w="2835" w:type="dxa"/>
            <w:vAlign w:val="center"/>
          </w:tcPr>
          <w:p w14:paraId="24DB3D1F">
            <w:pPr>
              <w:pStyle w:val="13"/>
            </w:pPr>
            <w:r>
              <w:t>生均财政投入</w:t>
            </w:r>
          </w:p>
        </w:tc>
        <w:tc>
          <w:tcPr>
            <w:tcW w:w="5386" w:type="dxa"/>
            <w:vAlign w:val="center"/>
          </w:tcPr>
          <w:p w14:paraId="005F9DA6">
            <w:pPr>
              <w:pStyle w:val="13"/>
            </w:pPr>
            <w:r>
              <w:t>普通高中最低标准</w:t>
            </w:r>
          </w:p>
        </w:tc>
        <w:tc>
          <w:tcPr>
            <w:tcW w:w="1208" w:type="dxa"/>
            <w:vAlign w:val="center"/>
          </w:tcPr>
          <w:p w14:paraId="497060B4">
            <w:pPr>
              <w:pStyle w:val="13"/>
            </w:pPr>
            <w:r>
              <w:t>500元/人/学期</w:t>
            </w:r>
          </w:p>
        </w:tc>
        <w:tc>
          <w:tcPr>
            <w:tcW w:w="2336" w:type="dxa"/>
            <w:vAlign w:val="center"/>
          </w:tcPr>
          <w:p w14:paraId="5F3B822A">
            <w:pPr>
              <w:pStyle w:val="13"/>
            </w:pPr>
            <w:r>
              <w:t>冀教基【2019】30号</w:t>
            </w:r>
          </w:p>
        </w:tc>
      </w:tr>
      <w:tr w14:paraId="0314B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E94ACA">
            <w:pPr>
              <w:pStyle w:val="12"/>
            </w:pPr>
            <w:r>
              <w:t>效益指标</w:t>
            </w:r>
          </w:p>
        </w:tc>
        <w:tc>
          <w:tcPr>
            <w:tcW w:w="2268" w:type="dxa"/>
            <w:vAlign w:val="center"/>
          </w:tcPr>
          <w:p w14:paraId="6D8B4E12">
            <w:pPr>
              <w:pStyle w:val="13"/>
            </w:pPr>
            <w:r>
              <w:t>社会效益指标</w:t>
            </w:r>
          </w:p>
        </w:tc>
        <w:tc>
          <w:tcPr>
            <w:tcW w:w="2835" w:type="dxa"/>
            <w:vAlign w:val="center"/>
          </w:tcPr>
          <w:p w14:paraId="074123F5">
            <w:pPr>
              <w:pStyle w:val="13"/>
            </w:pPr>
            <w:r>
              <w:t>学校办学能力提升</w:t>
            </w:r>
          </w:p>
        </w:tc>
        <w:tc>
          <w:tcPr>
            <w:tcW w:w="5386" w:type="dxa"/>
            <w:vAlign w:val="center"/>
          </w:tcPr>
          <w:p w14:paraId="2E590BD6">
            <w:pPr>
              <w:pStyle w:val="13"/>
            </w:pPr>
            <w:r>
              <w:t>改善教学条件，提高学生和家长满意度，提高优生率</w:t>
            </w:r>
          </w:p>
        </w:tc>
        <w:tc>
          <w:tcPr>
            <w:tcW w:w="1208" w:type="dxa"/>
            <w:vAlign w:val="center"/>
          </w:tcPr>
          <w:p w14:paraId="4B7665C6">
            <w:pPr>
              <w:pStyle w:val="13"/>
            </w:pPr>
            <w:r>
              <w:t>≥90%</w:t>
            </w:r>
          </w:p>
        </w:tc>
        <w:tc>
          <w:tcPr>
            <w:tcW w:w="2336" w:type="dxa"/>
            <w:vAlign w:val="center"/>
          </w:tcPr>
          <w:p w14:paraId="77607A25">
            <w:pPr>
              <w:pStyle w:val="13"/>
            </w:pPr>
            <w:r>
              <w:t>普通高中公用经费管理办法</w:t>
            </w:r>
          </w:p>
        </w:tc>
      </w:tr>
      <w:tr w14:paraId="41C22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5CACF3F1">
            <w:pPr>
              <w:pStyle w:val="12"/>
            </w:pPr>
            <w:r>
              <w:t>满意度指标</w:t>
            </w:r>
          </w:p>
        </w:tc>
        <w:tc>
          <w:tcPr>
            <w:tcW w:w="2268" w:type="dxa"/>
            <w:vAlign w:val="center"/>
          </w:tcPr>
          <w:p w14:paraId="7419F8BB">
            <w:pPr>
              <w:pStyle w:val="13"/>
            </w:pPr>
            <w:r>
              <w:t>服务对象满意度指标</w:t>
            </w:r>
          </w:p>
        </w:tc>
        <w:tc>
          <w:tcPr>
            <w:tcW w:w="2835" w:type="dxa"/>
            <w:vAlign w:val="center"/>
          </w:tcPr>
          <w:p w14:paraId="38FE68E8">
            <w:pPr>
              <w:pStyle w:val="13"/>
            </w:pPr>
            <w:r>
              <w:t>受益学生家长及调查满意度</w:t>
            </w:r>
          </w:p>
        </w:tc>
        <w:tc>
          <w:tcPr>
            <w:tcW w:w="5386" w:type="dxa"/>
            <w:vAlign w:val="center"/>
          </w:tcPr>
          <w:p w14:paraId="67EE6846">
            <w:pPr>
              <w:pStyle w:val="13"/>
            </w:pPr>
            <w:r>
              <w:t>学生、教师及家长对学校工作满意度情况</w:t>
            </w:r>
          </w:p>
        </w:tc>
        <w:tc>
          <w:tcPr>
            <w:tcW w:w="1208" w:type="dxa"/>
            <w:vAlign w:val="center"/>
          </w:tcPr>
          <w:p w14:paraId="567C8A93">
            <w:pPr>
              <w:pStyle w:val="13"/>
            </w:pPr>
            <w:r>
              <w:t>≥98%</w:t>
            </w:r>
          </w:p>
        </w:tc>
        <w:tc>
          <w:tcPr>
            <w:tcW w:w="2336" w:type="dxa"/>
            <w:vAlign w:val="center"/>
          </w:tcPr>
          <w:p w14:paraId="3288BA17">
            <w:pPr>
              <w:pStyle w:val="13"/>
            </w:pPr>
            <w:r>
              <w:t>普通高中公用经费管理办法</w:t>
            </w:r>
          </w:p>
        </w:tc>
      </w:tr>
    </w:tbl>
    <w:p w14:paraId="446F713C">
      <w:pPr>
        <w:sectPr>
          <w:pgSz w:w="16840" w:h="11900" w:orient="landscape"/>
          <w:pgMar w:top="1361" w:right="1020" w:bottom="1134" w:left="1020" w:header="720" w:footer="720" w:gutter="0"/>
          <w:cols w:space="720" w:num="1"/>
        </w:sectPr>
      </w:pPr>
    </w:p>
    <w:p w14:paraId="79657D31">
      <w:pPr>
        <w:spacing w:before="0" w:after="0"/>
        <w:ind w:firstLine="560"/>
        <w:jc w:val="left"/>
        <w:outlineLvl w:val="9"/>
      </w:pPr>
      <w:r>
        <w:rPr>
          <w:rFonts w:ascii="方正仿宋_GBK" w:hAnsi="方正仿宋_GBK" w:eastAsia="方正仿宋_GBK" w:cs="方正仿宋_GBK"/>
          <w:b/>
          <w:color w:val="000000"/>
          <w:sz w:val="28"/>
        </w:rPr>
        <w:t>12、普通高中专项经费/隆尧一中绩效目标表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BC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FFFB0">
            <w:pPr>
              <w:pStyle w:val="14"/>
            </w:pPr>
            <w:r>
              <w:t>单位：万元</w:t>
            </w:r>
          </w:p>
        </w:tc>
      </w:tr>
      <w:tr w14:paraId="7F9A9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53345">
            <w:pPr>
              <w:pStyle w:val="11"/>
            </w:pPr>
            <w:r>
              <w:t>项目编码</w:t>
            </w:r>
          </w:p>
        </w:tc>
        <w:tc>
          <w:tcPr>
            <w:tcW w:w="5103" w:type="dxa"/>
            <w:gridSpan w:val="2"/>
            <w:vAlign w:val="center"/>
          </w:tcPr>
          <w:p w14:paraId="1A31D6D3">
            <w:pPr>
              <w:pStyle w:val="13"/>
            </w:pPr>
            <w:r>
              <w:t>13052525P00875610211C</w:t>
            </w:r>
          </w:p>
        </w:tc>
        <w:tc>
          <w:tcPr>
            <w:tcW w:w="2835" w:type="dxa"/>
            <w:vAlign w:val="center"/>
          </w:tcPr>
          <w:p w14:paraId="655ADC61">
            <w:pPr>
              <w:pStyle w:val="11"/>
            </w:pPr>
            <w:r>
              <w:t>项目名称</w:t>
            </w:r>
          </w:p>
        </w:tc>
        <w:tc>
          <w:tcPr>
            <w:tcW w:w="6095" w:type="dxa"/>
            <w:gridSpan w:val="3"/>
            <w:vAlign w:val="center"/>
          </w:tcPr>
          <w:p w14:paraId="560EE359">
            <w:pPr>
              <w:pStyle w:val="13"/>
            </w:pPr>
            <w:r>
              <w:t>普通高中专项经费/隆尧一中</w:t>
            </w:r>
          </w:p>
        </w:tc>
      </w:tr>
      <w:tr w14:paraId="78CC7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82C25">
            <w:pPr>
              <w:pStyle w:val="11"/>
            </w:pPr>
            <w:r>
              <w:t>预算规模及资金用途</w:t>
            </w:r>
          </w:p>
        </w:tc>
        <w:tc>
          <w:tcPr>
            <w:tcW w:w="2268" w:type="dxa"/>
            <w:vAlign w:val="center"/>
          </w:tcPr>
          <w:p w14:paraId="4FB9ADD5">
            <w:pPr>
              <w:pStyle w:val="11"/>
            </w:pPr>
            <w:r>
              <w:t>预算数</w:t>
            </w:r>
          </w:p>
        </w:tc>
        <w:tc>
          <w:tcPr>
            <w:tcW w:w="2835" w:type="dxa"/>
            <w:vAlign w:val="center"/>
          </w:tcPr>
          <w:p w14:paraId="180EB265">
            <w:pPr>
              <w:pStyle w:val="13"/>
            </w:pPr>
            <w:r>
              <w:t>849.28</w:t>
            </w:r>
          </w:p>
        </w:tc>
        <w:tc>
          <w:tcPr>
            <w:tcW w:w="2835" w:type="dxa"/>
            <w:vAlign w:val="center"/>
          </w:tcPr>
          <w:p w14:paraId="196428A6">
            <w:pPr>
              <w:pStyle w:val="11"/>
            </w:pPr>
            <w:r>
              <w:t>其中：财政    资金</w:t>
            </w:r>
          </w:p>
        </w:tc>
        <w:tc>
          <w:tcPr>
            <w:tcW w:w="2551" w:type="dxa"/>
            <w:vAlign w:val="center"/>
          </w:tcPr>
          <w:p w14:paraId="69D6F8F7">
            <w:pPr>
              <w:pStyle w:val="13"/>
            </w:pPr>
            <w:r>
              <w:t>849.28</w:t>
            </w:r>
          </w:p>
        </w:tc>
        <w:tc>
          <w:tcPr>
            <w:tcW w:w="2268" w:type="dxa"/>
            <w:vAlign w:val="center"/>
          </w:tcPr>
          <w:p w14:paraId="11603C17">
            <w:pPr>
              <w:pStyle w:val="11"/>
            </w:pPr>
            <w:r>
              <w:t>其他资金</w:t>
            </w:r>
          </w:p>
        </w:tc>
        <w:tc>
          <w:tcPr>
            <w:tcW w:w="1276" w:type="dxa"/>
            <w:vAlign w:val="center"/>
          </w:tcPr>
          <w:p w14:paraId="2567A6CC">
            <w:pPr>
              <w:pStyle w:val="13"/>
            </w:pPr>
            <w:r>
              <w:t xml:space="preserve"> </w:t>
            </w:r>
          </w:p>
        </w:tc>
      </w:tr>
      <w:tr w14:paraId="6D38B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C72624"/>
        </w:tc>
        <w:tc>
          <w:tcPr>
            <w:tcW w:w="14033" w:type="dxa"/>
            <w:gridSpan w:val="6"/>
            <w:vAlign w:val="center"/>
          </w:tcPr>
          <w:p w14:paraId="568BB759">
            <w:pPr>
              <w:pStyle w:val="13"/>
            </w:pPr>
            <w:r>
              <w:t>维持学校正常运转和保持正常教育教学秩序。</w:t>
            </w:r>
          </w:p>
        </w:tc>
      </w:tr>
      <w:tr w14:paraId="726C0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6B793">
            <w:pPr>
              <w:pStyle w:val="11"/>
            </w:pPr>
            <w:r>
              <w:t>资金支出计划（%）</w:t>
            </w:r>
          </w:p>
        </w:tc>
        <w:tc>
          <w:tcPr>
            <w:tcW w:w="5103" w:type="dxa"/>
            <w:gridSpan w:val="2"/>
            <w:vAlign w:val="center"/>
          </w:tcPr>
          <w:p w14:paraId="7A10F6BA">
            <w:pPr>
              <w:pStyle w:val="11"/>
            </w:pPr>
            <w:r>
              <w:t>3月底</w:t>
            </w:r>
          </w:p>
        </w:tc>
        <w:tc>
          <w:tcPr>
            <w:tcW w:w="2835" w:type="dxa"/>
            <w:vAlign w:val="center"/>
          </w:tcPr>
          <w:p w14:paraId="108C4DAE">
            <w:pPr>
              <w:pStyle w:val="11"/>
            </w:pPr>
            <w:r>
              <w:t>6月底</w:t>
            </w:r>
          </w:p>
        </w:tc>
        <w:tc>
          <w:tcPr>
            <w:tcW w:w="2551" w:type="dxa"/>
            <w:vAlign w:val="center"/>
          </w:tcPr>
          <w:p w14:paraId="3A0C46BA">
            <w:pPr>
              <w:pStyle w:val="11"/>
            </w:pPr>
            <w:r>
              <w:t>10月底</w:t>
            </w:r>
          </w:p>
        </w:tc>
        <w:tc>
          <w:tcPr>
            <w:tcW w:w="3544" w:type="dxa"/>
            <w:gridSpan w:val="2"/>
            <w:vAlign w:val="center"/>
          </w:tcPr>
          <w:p w14:paraId="7150FBF4">
            <w:pPr>
              <w:pStyle w:val="11"/>
            </w:pPr>
            <w:r>
              <w:t>12月底</w:t>
            </w:r>
          </w:p>
        </w:tc>
      </w:tr>
      <w:tr w14:paraId="44230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471341"/>
        </w:tc>
        <w:tc>
          <w:tcPr>
            <w:tcW w:w="5103" w:type="dxa"/>
            <w:gridSpan w:val="2"/>
            <w:vAlign w:val="center"/>
          </w:tcPr>
          <w:p w14:paraId="3253D523">
            <w:pPr>
              <w:pStyle w:val="12"/>
            </w:pPr>
            <w:r>
              <w:t>25%</w:t>
            </w:r>
          </w:p>
        </w:tc>
        <w:tc>
          <w:tcPr>
            <w:tcW w:w="2835" w:type="dxa"/>
            <w:vAlign w:val="center"/>
          </w:tcPr>
          <w:p w14:paraId="43667530">
            <w:pPr>
              <w:pStyle w:val="12"/>
            </w:pPr>
            <w:r>
              <w:t>50%</w:t>
            </w:r>
          </w:p>
        </w:tc>
        <w:tc>
          <w:tcPr>
            <w:tcW w:w="2551" w:type="dxa"/>
            <w:vAlign w:val="center"/>
          </w:tcPr>
          <w:p w14:paraId="1D238496">
            <w:pPr>
              <w:pStyle w:val="12"/>
            </w:pPr>
            <w:r>
              <w:t>75%</w:t>
            </w:r>
          </w:p>
        </w:tc>
        <w:tc>
          <w:tcPr>
            <w:tcW w:w="3544" w:type="dxa"/>
            <w:gridSpan w:val="2"/>
            <w:vAlign w:val="center"/>
          </w:tcPr>
          <w:p w14:paraId="1674AB87">
            <w:pPr>
              <w:pStyle w:val="12"/>
            </w:pPr>
            <w:r>
              <w:t>100%</w:t>
            </w:r>
          </w:p>
        </w:tc>
      </w:tr>
      <w:tr w14:paraId="6A69D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E5BB6">
            <w:pPr>
              <w:pStyle w:val="11"/>
            </w:pPr>
            <w:r>
              <w:t>绩效目标</w:t>
            </w:r>
          </w:p>
        </w:tc>
        <w:tc>
          <w:tcPr>
            <w:tcW w:w="14033" w:type="dxa"/>
            <w:gridSpan w:val="6"/>
            <w:vAlign w:val="center"/>
          </w:tcPr>
          <w:p w14:paraId="63C8B942">
            <w:pPr>
              <w:pStyle w:val="13"/>
            </w:pPr>
            <w:r>
              <w:t>1.维持学校正常运转和保持正常教育教学秩序，保证经费合理支出。</w:t>
            </w:r>
          </w:p>
          <w:p w14:paraId="37EC06F4">
            <w:pPr>
              <w:pStyle w:val="13"/>
            </w:pPr>
            <w:r>
              <w:t>2.按实际收取数额上缴入户，资金拨付率达到100%</w:t>
            </w:r>
          </w:p>
          <w:p w14:paraId="1A8FE39F">
            <w:pPr>
              <w:pStyle w:val="13"/>
            </w:pPr>
            <w:r>
              <w:t>3.按时完成学住费收缴并全额上缴财政专户。</w:t>
            </w:r>
          </w:p>
        </w:tc>
      </w:tr>
    </w:tbl>
    <w:p w14:paraId="65854D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18"/>
        <w:gridCol w:w="2126"/>
      </w:tblGrid>
      <w:tr w14:paraId="23D5E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FDC33">
            <w:pPr>
              <w:pStyle w:val="11"/>
            </w:pPr>
            <w:r>
              <w:t>一级指标</w:t>
            </w:r>
          </w:p>
        </w:tc>
        <w:tc>
          <w:tcPr>
            <w:tcW w:w="2268" w:type="dxa"/>
            <w:vAlign w:val="center"/>
          </w:tcPr>
          <w:p w14:paraId="772649A0">
            <w:pPr>
              <w:pStyle w:val="11"/>
            </w:pPr>
            <w:r>
              <w:t>二级指标</w:t>
            </w:r>
          </w:p>
        </w:tc>
        <w:tc>
          <w:tcPr>
            <w:tcW w:w="2835" w:type="dxa"/>
            <w:vAlign w:val="center"/>
          </w:tcPr>
          <w:p w14:paraId="03F6DAAF">
            <w:pPr>
              <w:pStyle w:val="11"/>
            </w:pPr>
            <w:r>
              <w:t>三级指标</w:t>
            </w:r>
          </w:p>
        </w:tc>
        <w:tc>
          <w:tcPr>
            <w:tcW w:w="5386" w:type="dxa"/>
            <w:vAlign w:val="center"/>
          </w:tcPr>
          <w:p w14:paraId="2F143D28">
            <w:pPr>
              <w:pStyle w:val="11"/>
            </w:pPr>
            <w:r>
              <w:t>绩效指标描述</w:t>
            </w:r>
          </w:p>
        </w:tc>
        <w:tc>
          <w:tcPr>
            <w:tcW w:w="1418" w:type="dxa"/>
            <w:vAlign w:val="center"/>
          </w:tcPr>
          <w:p w14:paraId="59D1B6F5">
            <w:pPr>
              <w:pStyle w:val="11"/>
            </w:pPr>
            <w:r>
              <w:t>指标值</w:t>
            </w:r>
          </w:p>
        </w:tc>
        <w:tc>
          <w:tcPr>
            <w:tcW w:w="2126" w:type="dxa"/>
            <w:vAlign w:val="center"/>
          </w:tcPr>
          <w:p w14:paraId="061C4922">
            <w:pPr>
              <w:pStyle w:val="11"/>
            </w:pPr>
            <w:r>
              <w:t>指标值确定依据</w:t>
            </w:r>
          </w:p>
        </w:tc>
      </w:tr>
      <w:tr w14:paraId="51D24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A6A57">
            <w:pPr>
              <w:pStyle w:val="12"/>
            </w:pPr>
            <w:r>
              <w:t>产出指标</w:t>
            </w:r>
          </w:p>
        </w:tc>
        <w:tc>
          <w:tcPr>
            <w:tcW w:w="2268" w:type="dxa"/>
            <w:vAlign w:val="center"/>
          </w:tcPr>
          <w:p w14:paraId="57810707">
            <w:pPr>
              <w:pStyle w:val="13"/>
            </w:pPr>
            <w:r>
              <w:t>数量指标</w:t>
            </w:r>
          </w:p>
        </w:tc>
        <w:tc>
          <w:tcPr>
            <w:tcW w:w="2835" w:type="dxa"/>
            <w:vAlign w:val="center"/>
          </w:tcPr>
          <w:p w14:paraId="6C84348F">
            <w:pPr>
              <w:pStyle w:val="13"/>
            </w:pPr>
            <w:r>
              <w:t>在校生</w:t>
            </w:r>
          </w:p>
        </w:tc>
        <w:tc>
          <w:tcPr>
            <w:tcW w:w="5386" w:type="dxa"/>
            <w:vAlign w:val="center"/>
          </w:tcPr>
          <w:p w14:paraId="2D85FBC5">
            <w:pPr>
              <w:pStyle w:val="13"/>
            </w:pPr>
            <w:r>
              <w:t>实际注册学籍人数</w:t>
            </w:r>
          </w:p>
        </w:tc>
        <w:tc>
          <w:tcPr>
            <w:tcW w:w="1418" w:type="dxa"/>
            <w:vAlign w:val="center"/>
          </w:tcPr>
          <w:p w14:paraId="50669526">
            <w:pPr>
              <w:pStyle w:val="13"/>
            </w:pPr>
            <w:r>
              <w:t>≥4399人</w:t>
            </w:r>
          </w:p>
        </w:tc>
        <w:tc>
          <w:tcPr>
            <w:tcW w:w="2126" w:type="dxa"/>
            <w:vAlign w:val="center"/>
          </w:tcPr>
          <w:p w14:paraId="051E77CF">
            <w:pPr>
              <w:pStyle w:val="13"/>
            </w:pPr>
            <w:r>
              <w:t>普通高中专项资金管理办法</w:t>
            </w:r>
          </w:p>
        </w:tc>
      </w:tr>
      <w:tr w14:paraId="3357B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12A75"/>
        </w:tc>
        <w:tc>
          <w:tcPr>
            <w:tcW w:w="2268" w:type="dxa"/>
            <w:vAlign w:val="center"/>
          </w:tcPr>
          <w:p w14:paraId="22AB3A30">
            <w:pPr>
              <w:pStyle w:val="13"/>
            </w:pPr>
            <w:r>
              <w:t>质量指标</w:t>
            </w:r>
          </w:p>
        </w:tc>
        <w:tc>
          <w:tcPr>
            <w:tcW w:w="2835" w:type="dxa"/>
            <w:vAlign w:val="center"/>
          </w:tcPr>
          <w:p w14:paraId="49662CAC">
            <w:pPr>
              <w:pStyle w:val="13"/>
            </w:pPr>
            <w:r>
              <w:t>按学期上缴财政专户完成率</w:t>
            </w:r>
          </w:p>
        </w:tc>
        <w:tc>
          <w:tcPr>
            <w:tcW w:w="5386" w:type="dxa"/>
            <w:vAlign w:val="center"/>
          </w:tcPr>
          <w:p w14:paraId="7DDA739C">
            <w:pPr>
              <w:pStyle w:val="13"/>
            </w:pPr>
            <w:r>
              <w:t>按学期完成学费、住宿费上缴财政专户</w:t>
            </w:r>
          </w:p>
        </w:tc>
        <w:tc>
          <w:tcPr>
            <w:tcW w:w="1418" w:type="dxa"/>
            <w:vAlign w:val="center"/>
          </w:tcPr>
          <w:p w14:paraId="3996696B">
            <w:pPr>
              <w:pStyle w:val="13"/>
            </w:pPr>
            <w:r>
              <w:t>≥849.27万元</w:t>
            </w:r>
          </w:p>
        </w:tc>
        <w:tc>
          <w:tcPr>
            <w:tcW w:w="2126" w:type="dxa"/>
            <w:vAlign w:val="center"/>
          </w:tcPr>
          <w:p w14:paraId="4FD3A05C">
            <w:pPr>
              <w:pStyle w:val="13"/>
            </w:pPr>
            <w:r>
              <w:t>普通高中专项资金管理办法</w:t>
            </w:r>
          </w:p>
        </w:tc>
      </w:tr>
      <w:tr w14:paraId="6DA04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211C2"/>
        </w:tc>
        <w:tc>
          <w:tcPr>
            <w:tcW w:w="2268" w:type="dxa"/>
            <w:vAlign w:val="center"/>
          </w:tcPr>
          <w:p w14:paraId="60B79C3B">
            <w:pPr>
              <w:pStyle w:val="13"/>
            </w:pPr>
            <w:r>
              <w:t>时效指标</w:t>
            </w:r>
          </w:p>
        </w:tc>
        <w:tc>
          <w:tcPr>
            <w:tcW w:w="2835" w:type="dxa"/>
            <w:vAlign w:val="center"/>
          </w:tcPr>
          <w:p w14:paraId="21A69013">
            <w:pPr>
              <w:pStyle w:val="13"/>
            </w:pPr>
            <w:r>
              <w:t>资金支付率</w:t>
            </w:r>
          </w:p>
        </w:tc>
        <w:tc>
          <w:tcPr>
            <w:tcW w:w="5386" w:type="dxa"/>
            <w:vAlign w:val="center"/>
          </w:tcPr>
          <w:p w14:paraId="0C4FA155">
            <w:pPr>
              <w:pStyle w:val="13"/>
            </w:pPr>
            <w:r>
              <w:t>自2024年1月起至2024年12月</w:t>
            </w:r>
          </w:p>
        </w:tc>
        <w:tc>
          <w:tcPr>
            <w:tcW w:w="1418" w:type="dxa"/>
            <w:vAlign w:val="center"/>
          </w:tcPr>
          <w:p w14:paraId="5C3B8B2E">
            <w:pPr>
              <w:pStyle w:val="13"/>
            </w:pPr>
            <w:r>
              <w:t>≥100%</w:t>
            </w:r>
          </w:p>
        </w:tc>
        <w:tc>
          <w:tcPr>
            <w:tcW w:w="2126" w:type="dxa"/>
            <w:vAlign w:val="center"/>
          </w:tcPr>
          <w:p w14:paraId="4B15F5B9">
            <w:pPr>
              <w:pStyle w:val="13"/>
            </w:pPr>
            <w:r>
              <w:t>普通高中专项资金管理办法</w:t>
            </w:r>
          </w:p>
        </w:tc>
      </w:tr>
      <w:tr w14:paraId="04752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3107F"/>
        </w:tc>
        <w:tc>
          <w:tcPr>
            <w:tcW w:w="2268" w:type="dxa"/>
            <w:vAlign w:val="center"/>
          </w:tcPr>
          <w:p w14:paraId="170E80AD">
            <w:pPr>
              <w:pStyle w:val="13"/>
            </w:pPr>
            <w:r>
              <w:t>成本指标</w:t>
            </w:r>
          </w:p>
        </w:tc>
        <w:tc>
          <w:tcPr>
            <w:tcW w:w="2835" w:type="dxa"/>
            <w:vAlign w:val="center"/>
          </w:tcPr>
          <w:p w14:paraId="0CFA4E61">
            <w:pPr>
              <w:pStyle w:val="13"/>
            </w:pPr>
            <w:r>
              <w:t>收费标准</w:t>
            </w:r>
          </w:p>
        </w:tc>
        <w:tc>
          <w:tcPr>
            <w:tcW w:w="5386" w:type="dxa"/>
            <w:vAlign w:val="center"/>
          </w:tcPr>
          <w:p w14:paraId="5101104F">
            <w:pPr>
              <w:pStyle w:val="13"/>
            </w:pPr>
            <w:r>
              <w:t>按规定收费</w:t>
            </w:r>
          </w:p>
        </w:tc>
        <w:tc>
          <w:tcPr>
            <w:tcW w:w="1418" w:type="dxa"/>
            <w:vAlign w:val="center"/>
          </w:tcPr>
          <w:p w14:paraId="272747FA">
            <w:pPr>
              <w:pStyle w:val="13"/>
            </w:pPr>
            <w:r>
              <w:t>≥875元</w:t>
            </w:r>
          </w:p>
        </w:tc>
        <w:tc>
          <w:tcPr>
            <w:tcW w:w="2126" w:type="dxa"/>
            <w:vAlign w:val="center"/>
          </w:tcPr>
          <w:p w14:paraId="545710FF">
            <w:pPr>
              <w:pStyle w:val="13"/>
            </w:pPr>
            <w:r>
              <w:t>邢价行费【2016】27号、隆发改价格【2021】2号</w:t>
            </w:r>
          </w:p>
        </w:tc>
      </w:tr>
      <w:tr w14:paraId="51DED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DDC76">
            <w:pPr>
              <w:pStyle w:val="12"/>
            </w:pPr>
            <w:r>
              <w:t>效益指标</w:t>
            </w:r>
          </w:p>
        </w:tc>
        <w:tc>
          <w:tcPr>
            <w:tcW w:w="2268" w:type="dxa"/>
            <w:vAlign w:val="center"/>
          </w:tcPr>
          <w:p w14:paraId="40441536">
            <w:pPr>
              <w:pStyle w:val="13"/>
            </w:pPr>
            <w:r>
              <w:t>社会效益指标</w:t>
            </w:r>
          </w:p>
        </w:tc>
        <w:tc>
          <w:tcPr>
            <w:tcW w:w="2835" w:type="dxa"/>
            <w:vAlign w:val="center"/>
          </w:tcPr>
          <w:p w14:paraId="244E3599">
            <w:pPr>
              <w:pStyle w:val="13"/>
            </w:pPr>
            <w:r>
              <w:t>学生毛入学率</w:t>
            </w:r>
          </w:p>
        </w:tc>
        <w:tc>
          <w:tcPr>
            <w:tcW w:w="5386" w:type="dxa"/>
            <w:vAlign w:val="center"/>
          </w:tcPr>
          <w:p w14:paraId="5123EFFF">
            <w:pPr>
              <w:pStyle w:val="13"/>
            </w:pPr>
            <w:r>
              <w:t>提高学生毛入学率和优生比例</w:t>
            </w:r>
          </w:p>
        </w:tc>
        <w:tc>
          <w:tcPr>
            <w:tcW w:w="1418" w:type="dxa"/>
            <w:vAlign w:val="center"/>
          </w:tcPr>
          <w:p w14:paraId="41139C20">
            <w:pPr>
              <w:pStyle w:val="13"/>
            </w:pPr>
            <w:r>
              <w:t>≥90%</w:t>
            </w:r>
          </w:p>
        </w:tc>
        <w:tc>
          <w:tcPr>
            <w:tcW w:w="2126" w:type="dxa"/>
            <w:vAlign w:val="center"/>
          </w:tcPr>
          <w:p w14:paraId="4C5FC155">
            <w:pPr>
              <w:pStyle w:val="13"/>
            </w:pPr>
            <w:r>
              <w:t>学校招生计划</w:t>
            </w:r>
          </w:p>
        </w:tc>
      </w:tr>
      <w:tr w14:paraId="732D6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980993">
            <w:pPr>
              <w:pStyle w:val="12"/>
            </w:pPr>
            <w:r>
              <w:t>满意度指标</w:t>
            </w:r>
          </w:p>
        </w:tc>
        <w:tc>
          <w:tcPr>
            <w:tcW w:w="2268" w:type="dxa"/>
            <w:vAlign w:val="center"/>
          </w:tcPr>
          <w:p w14:paraId="219FF5D1">
            <w:pPr>
              <w:pStyle w:val="13"/>
            </w:pPr>
            <w:r>
              <w:t>服务对象满意度指标</w:t>
            </w:r>
          </w:p>
        </w:tc>
        <w:tc>
          <w:tcPr>
            <w:tcW w:w="2835" w:type="dxa"/>
            <w:vAlign w:val="center"/>
          </w:tcPr>
          <w:p w14:paraId="2B917740">
            <w:pPr>
              <w:pStyle w:val="13"/>
            </w:pPr>
            <w:r>
              <w:t>学生和教师满意度</w:t>
            </w:r>
          </w:p>
        </w:tc>
        <w:tc>
          <w:tcPr>
            <w:tcW w:w="5386" w:type="dxa"/>
            <w:vAlign w:val="center"/>
          </w:tcPr>
          <w:p w14:paraId="05E352D3">
            <w:pPr>
              <w:pStyle w:val="13"/>
            </w:pPr>
            <w:r>
              <w:t>提高学生和教师满意度</w:t>
            </w:r>
          </w:p>
        </w:tc>
        <w:tc>
          <w:tcPr>
            <w:tcW w:w="1418" w:type="dxa"/>
            <w:vAlign w:val="center"/>
          </w:tcPr>
          <w:p w14:paraId="59BC4149">
            <w:pPr>
              <w:pStyle w:val="13"/>
            </w:pPr>
            <w:r>
              <w:t>≥95%</w:t>
            </w:r>
          </w:p>
        </w:tc>
        <w:tc>
          <w:tcPr>
            <w:tcW w:w="2126" w:type="dxa"/>
            <w:vAlign w:val="center"/>
          </w:tcPr>
          <w:p w14:paraId="6BAE514F">
            <w:pPr>
              <w:pStyle w:val="13"/>
            </w:pPr>
            <w:r>
              <w:t>普通高中专项资金管理办法</w:t>
            </w:r>
          </w:p>
        </w:tc>
      </w:tr>
    </w:tbl>
    <w:p w14:paraId="3D9D0D67">
      <w:pPr>
        <w:sectPr>
          <w:pgSz w:w="16840" w:h="11900" w:orient="landscape"/>
          <w:pgMar w:top="1361" w:right="1020" w:bottom="1134" w:left="1020" w:header="720" w:footer="720" w:gutter="0"/>
          <w:cols w:space="720" w:num="1"/>
        </w:sectPr>
      </w:pPr>
    </w:p>
    <w:p w14:paraId="2DF3573B">
      <w:pPr>
        <w:spacing w:before="0" w:after="0"/>
        <w:ind w:firstLine="560"/>
        <w:jc w:val="left"/>
        <w:outlineLvl w:val="9"/>
      </w:pPr>
      <w:r>
        <w:rPr>
          <w:rFonts w:ascii="方正仿宋_GBK" w:hAnsi="方正仿宋_GBK" w:eastAsia="方正仿宋_GBK" w:cs="方正仿宋_GBK"/>
          <w:b/>
          <w:color w:val="000000"/>
          <w:sz w:val="28"/>
        </w:rPr>
        <w:t>13、上年盘活/冀财教[2022]141号/中央/2023年高中改善办学条件/一中2号宿舍楼改造工程绩效目标表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5B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39BB0">
            <w:pPr>
              <w:pStyle w:val="14"/>
            </w:pPr>
            <w:r>
              <w:t>单位：万元</w:t>
            </w:r>
          </w:p>
        </w:tc>
      </w:tr>
      <w:tr w14:paraId="709A2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B16EE">
            <w:pPr>
              <w:pStyle w:val="11"/>
            </w:pPr>
            <w:r>
              <w:t>项目编码</w:t>
            </w:r>
          </w:p>
        </w:tc>
        <w:tc>
          <w:tcPr>
            <w:tcW w:w="5103" w:type="dxa"/>
            <w:gridSpan w:val="2"/>
            <w:vAlign w:val="center"/>
          </w:tcPr>
          <w:p w14:paraId="389D79D7">
            <w:pPr>
              <w:pStyle w:val="13"/>
            </w:pPr>
            <w:r>
              <w:t>13052525P00875610198B</w:t>
            </w:r>
          </w:p>
        </w:tc>
        <w:tc>
          <w:tcPr>
            <w:tcW w:w="2835" w:type="dxa"/>
            <w:vAlign w:val="center"/>
          </w:tcPr>
          <w:p w14:paraId="4B1173DD">
            <w:pPr>
              <w:pStyle w:val="11"/>
            </w:pPr>
            <w:r>
              <w:t>项目名称</w:t>
            </w:r>
          </w:p>
        </w:tc>
        <w:tc>
          <w:tcPr>
            <w:tcW w:w="6095" w:type="dxa"/>
            <w:gridSpan w:val="3"/>
            <w:vAlign w:val="center"/>
          </w:tcPr>
          <w:p w14:paraId="3EDB8F35">
            <w:pPr>
              <w:pStyle w:val="13"/>
            </w:pPr>
            <w:r>
              <w:t>上年盘活/冀财教[2022]141号/中央/2023年高中改善办学条件/一中2号宿舍楼改造工程</w:t>
            </w:r>
          </w:p>
        </w:tc>
      </w:tr>
      <w:tr w14:paraId="7138B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0FC25">
            <w:pPr>
              <w:pStyle w:val="11"/>
            </w:pPr>
            <w:r>
              <w:t>预算规模及资金用途</w:t>
            </w:r>
          </w:p>
        </w:tc>
        <w:tc>
          <w:tcPr>
            <w:tcW w:w="2268" w:type="dxa"/>
            <w:vAlign w:val="center"/>
          </w:tcPr>
          <w:p w14:paraId="446A31B4">
            <w:pPr>
              <w:pStyle w:val="11"/>
            </w:pPr>
            <w:r>
              <w:t>预算数</w:t>
            </w:r>
          </w:p>
        </w:tc>
        <w:tc>
          <w:tcPr>
            <w:tcW w:w="2835" w:type="dxa"/>
            <w:vAlign w:val="center"/>
          </w:tcPr>
          <w:p w14:paraId="7B78215C">
            <w:pPr>
              <w:pStyle w:val="13"/>
            </w:pPr>
            <w:r>
              <w:t>2.84</w:t>
            </w:r>
          </w:p>
        </w:tc>
        <w:tc>
          <w:tcPr>
            <w:tcW w:w="2835" w:type="dxa"/>
            <w:vAlign w:val="center"/>
          </w:tcPr>
          <w:p w14:paraId="566064DB">
            <w:pPr>
              <w:pStyle w:val="11"/>
            </w:pPr>
            <w:r>
              <w:t>其中：财政    资金</w:t>
            </w:r>
          </w:p>
        </w:tc>
        <w:tc>
          <w:tcPr>
            <w:tcW w:w="2551" w:type="dxa"/>
            <w:vAlign w:val="center"/>
          </w:tcPr>
          <w:p w14:paraId="67EAC1F3">
            <w:pPr>
              <w:pStyle w:val="13"/>
            </w:pPr>
            <w:r>
              <w:t>2.84</w:t>
            </w:r>
          </w:p>
        </w:tc>
        <w:tc>
          <w:tcPr>
            <w:tcW w:w="2268" w:type="dxa"/>
            <w:vAlign w:val="center"/>
          </w:tcPr>
          <w:p w14:paraId="41183114">
            <w:pPr>
              <w:pStyle w:val="11"/>
            </w:pPr>
            <w:r>
              <w:t>其他资金</w:t>
            </w:r>
          </w:p>
        </w:tc>
        <w:tc>
          <w:tcPr>
            <w:tcW w:w="1276" w:type="dxa"/>
            <w:vAlign w:val="center"/>
          </w:tcPr>
          <w:p w14:paraId="18E38C7D">
            <w:pPr>
              <w:pStyle w:val="13"/>
            </w:pPr>
            <w:r>
              <w:t xml:space="preserve"> </w:t>
            </w:r>
          </w:p>
        </w:tc>
      </w:tr>
      <w:tr w14:paraId="3417F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9D6673"/>
        </w:tc>
        <w:tc>
          <w:tcPr>
            <w:tcW w:w="14033" w:type="dxa"/>
            <w:gridSpan w:val="6"/>
            <w:vAlign w:val="center"/>
          </w:tcPr>
          <w:p w14:paraId="01DF6609">
            <w:pPr>
              <w:pStyle w:val="13"/>
            </w:pPr>
            <w:r>
              <w:t>改善普通高中办学条件，进一步提升高中教育质量</w:t>
            </w:r>
          </w:p>
        </w:tc>
      </w:tr>
      <w:tr w14:paraId="26E40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44615">
            <w:pPr>
              <w:pStyle w:val="11"/>
            </w:pPr>
            <w:r>
              <w:t>资金支出计划（%）</w:t>
            </w:r>
          </w:p>
        </w:tc>
        <w:tc>
          <w:tcPr>
            <w:tcW w:w="5103" w:type="dxa"/>
            <w:gridSpan w:val="2"/>
            <w:vAlign w:val="center"/>
          </w:tcPr>
          <w:p w14:paraId="2BE43CD8">
            <w:pPr>
              <w:pStyle w:val="11"/>
            </w:pPr>
            <w:r>
              <w:t>3月底</w:t>
            </w:r>
          </w:p>
        </w:tc>
        <w:tc>
          <w:tcPr>
            <w:tcW w:w="2835" w:type="dxa"/>
            <w:vAlign w:val="center"/>
          </w:tcPr>
          <w:p w14:paraId="3A4E8FC4">
            <w:pPr>
              <w:pStyle w:val="11"/>
            </w:pPr>
            <w:r>
              <w:t>6月底</w:t>
            </w:r>
          </w:p>
        </w:tc>
        <w:tc>
          <w:tcPr>
            <w:tcW w:w="2551" w:type="dxa"/>
            <w:vAlign w:val="center"/>
          </w:tcPr>
          <w:p w14:paraId="41C68FD7">
            <w:pPr>
              <w:pStyle w:val="11"/>
            </w:pPr>
            <w:r>
              <w:t>10月底</w:t>
            </w:r>
          </w:p>
        </w:tc>
        <w:tc>
          <w:tcPr>
            <w:tcW w:w="3544" w:type="dxa"/>
            <w:gridSpan w:val="2"/>
            <w:vAlign w:val="center"/>
          </w:tcPr>
          <w:p w14:paraId="01AC09E0">
            <w:pPr>
              <w:pStyle w:val="11"/>
            </w:pPr>
            <w:r>
              <w:t>12月底</w:t>
            </w:r>
          </w:p>
        </w:tc>
      </w:tr>
      <w:tr w14:paraId="7B50C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B21D00"/>
        </w:tc>
        <w:tc>
          <w:tcPr>
            <w:tcW w:w="5103" w:type="dxa"/>
            <w:gridSpan w:val="2"/>
            <w:vAlign w:val="center"/>
          </w:tcPr>
          <w:p w14:paraId="3E7C1D57">
            <w:pPr>
              <w:pStyle w:val="12"/>
            </w:pPr>
            <w:r>
              <w:t xml:space="preserve"> </w:t>
            </w:r>
          </w:p>
        </w:tc>
        <w:tc>
          <w:tcPr>
            <w:tcW w:w="2835" w:type="dxa"/>
            <w:vAlign w:val="center"/>
          </w:tcPr>
          <w:p w14:paraId="177B695F">
            <w:pPr>
              <w:pStyle w:val="12"/>
            </w:pPr>
            <w:r>
              <w:t xml:space="preserve"> </w:t>
            </w:r>
          </w:p>
        </w:tc>
        <w:tc>
          <w:tcPr>
            <w:tcW w:w="2551" w:type="dxa"/>
            <w:vAlign w:val="center"/>
          </w:tcPr>
          <w:p w14:paraId="26F80226">
            <w:pPr>
              <w:pStyle w:val="12"/>
            </w:pPr>
            <w:r>
              <w:t xml:space="preserve"> </w:t>
            </w:r>
          </w:p>
        </w:tc>
        <w:tc>
          <w:tcPr>
            <w:tcW w:w="3544" w:type="dxa"/>
            <w:gridSpan w:val="2"/>
            <w:vAlign w:val="center"/>
          </w:tcPr>
          <w:p w14:paraId="4F84E82D">
            <w:pPr>
              <w:pStyle w:val="12"/>
            </w:pPr>
            <w:r>
              <w:t>100%</w:t>
            </w:r>
          </w:p>
        </w:tc>
      </w:tr>
      <w:tr w14:paraId="2AFE7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A38B09">
            <w:pPr>
              <w:pStyle w:val="11"/>
            </w:pPr>
            <w:r>
              <w:t>绩效目标</w:t>
            </w:r>
          </w:p>
        </w:tc>
        <w:tc>
          <w:tcPr>
            <w:tcW w:w="14033" w:type="dxa"/>
            <w:gridSpan w:val="6"/>
            <w:vAlign w:val="center"/>
          </w:tcPr>
          <w:p w14:paraId="66658A13">
            <w:pPr>
              <w:pStyle w:val="13"/>
            </w:pPr>
            <w:r>
              <w:t>1.改善普通高中办学条件，进一步提升高中教育质量</w:t>
            </w:r>
          </w:p>
          <w:p w14:paraId="489677A6">
            <w:pPr>
              <w:pStyle w:val="13"/>
            </w:pPr>
            <w:r>
              <w:t>2.按时拨付资金28375.91元，资金拨付率达到100%</w:t>
            </w:r>
          </w:p>
          <w:p w14:paraId="0DD8CFEF">
            <w:pPr>
              <w:pStyle w:val="13"/>
            </w:pPr>
            <w:r>
              <w:t>3.落实全国中小学校舍改造实施规划，完善学校整体面貌和教育设施</w:t>
            </w:r>
          </w:p>
        </w:tc>
      </w:tr>
    </w:tbl>
    <w:p w14:paraId="2C5566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64"/>
        <w:gridCol w:w="2265"/>
        <w:gridCol w:w="2201"/>
      </w:tblGrid>
      <w:tr w14:paraId="53540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C2CED">
            <w:pPr>
              <w:pStyle w:val="11"/>
            </w:pPr>
            <w:r>
              <w:t>一级指标</w:t>
            </w:r>
          </w:p>
        </w:tc>
        <w:tc>
          <w:tcPr>
            <w:tcW w:w="2268" w:type="dxa"/>
            <w:vAlign w:val="center"/>
          </w:tcPr>
          <w:p w14:paraId="5CDBA726">
            <w:pPr>
              <w:pStyle w:val="11"/>
            </w:pPr>
            <w:r>
              <w:t>二级指标</w:t>
            </w:r>
          </w:p>
        </w:tc>
        <w:tc>
          <w:tcPr>
            <w:tcW w:w="2835" w:type="dxa"/>
            <w:vAlign w:val="center"/>
          </w:tcPr>
          <w:p w14:paraId="470477B5">
            <w:pPr>
              <w:pStyle w:val="11"/>
            </w:pPr>
            <w:r>
              <w:t>三级指标</w:t>
            </w:r>
          </w:p>
        </w:tc>
        <w:tc>
          <w:tcPr>
            <w:tcW w:w="4464" w:type="dxa"/>
            <w:vAlign w:val="center"/>
          </w:tcPr>
          <w:p w14:paraId="00639842">
            <w:pPr>
              <w:pStyle w:val="11"/>
            </w:pPr>
            <w:r>
              <w:t>绩效指标描述</w:t>
            </w:r>
          </w:p>
        </w:tc>
        <w:tc>
          <w:tcPr>
            <w:tcW w:w="2265" w:type="dxa"/>
            <w:vAlign w:val="center"/>
          </w:tcPr>
          <w:p w14:paraId="3BA772AC">
            <w:pPr>
              <w:pStyle w:val="11"/>
            </w:pPr>
            <w:r>
              <w:t>指标值</w:t>
            </w:r>
          </w:p>
        </w:tc>
        <w:tc>
          <w:tcPr>
            <w:tcW w:w="2201" w:type="dxa"/>
            <w:vAlign w:val="center"/>
          </w:tcPr>
          <w:p w14:paraId="7E8BA28D">
            <w:pPr>
              <w:pStyle w:val="11"/>
            </w:pPr>
            <w:r>
              <w:t>指标值确定依据</w:t>
            </w:r>
          </w:p>
        </w:tc>
      </w:tr>
      <w:tr w14:paraId="238D3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E0100">
            <w:pPr>
              <w:pStyle w:val="12"/>
            </w:pPr>
            <w:r>
              <w:t>产出指标</w:t>
            </w:r>
          </w:p>
        </w:tc>
        <w:tc>
          <w:tcPr>
            <w:tcW w:w="2268" w:type="dxa"/>
            <w:vAlign w:val="center"/>
          </w:tcPr>
          <w:p w14:paraId="2F2834B8">
            <w:pPr>
              <w:pStyle w:val="13"/>
            </w:pPr>
            <w:r>
              <w:t>数量指标</w:t>
            </w:r>
          </w:p>
        </w:tc>
        <w:tc>
          <w:tcPr>
            <w:tcW w:w="2835" w:type="dxa"/>
            <w:vAlign w:val="center"/>
          </w:tcPr>
          <w:p w14:paraId="227F4323">
            <w:pPr>
              <w:pStyle w:val="13"/>
            </w:pPr>
            <w:r>
              <w:t>普通高中新建、改扩建校舍面积</w:t>
            </w:r>
          </w:p>
        </w:tc>
        <w:tc>
          <w:tcPr>
            <w:tcW w:w="4464" w:type="dxa"/>
            <w:vAlign w:val="center"/>
          </w:tcPr>
          <w:p w14:paraId="1BA5250D">
            <w:pPr>
              <w:pStyle w:val="13"/>
            </w:pPr>
            <w:r>
              <w:t>2号宿舍楼改扩建面积</w:t>
            </w:r>
          </w:p>
        </w:tc>
        <w:tc>
          <w:tcPr>
            <w:tcW w:w="2265" w:type="dxa"/>
            <w:vAlign w:val="center"/>
          </w:tcPr>
          <w:p w14:paraId="44D9DD1E">
            <w:pPr>
              <w:pStyle w:val="13"/>
            </w:pPr>
            <w:r>
              <w:t>2450平方米</w:t>
            </w:r>
          </w:p>
        </w:tc>
        <w:tc>
          <w:tcPr>
            <w:tcW w:w="2201" w:type="dxa"/>
            <w:vAlign w:val="center"/>
          </w:tcPr>
          <w:p w14:paraId="0DBA6ABA">
            <w:pPr>
              <w:pStyle w:val="13"/>
            </w:pPr>
            <w:r>
              <w:t>可行性研究报告</w:t>
            </w:r>
          </w:p>
        </w:tc>
      </w:tr>
      <w:tr w14:paraId="49367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E372E"/>
        </w:tc>
        <w:tc>
          <w:tcPr>
            <w:tcW w:w="2268" w:type="dxa"/>
            <w:vAlign w:val="center"/>
          </w:tcPr>
          <w:p w14:paraId="7DEB6874">
            <w:pPr>
              <w:pStyle w:val="13"/>
            </w:pPr>
            <w:r>
              <w:t>质量指标</w:t>
            </w:r>
          </w:p>
        </w:tc>
        <w:tc>
          <w:tcPr>
            <w:tcW w:w="2835" w:type="dxa"/>
            <w:vAlign w:val="center"/>
          </w:tcPr>
          <w:p w14:paraId="1ED2366C">
            <w:pPr>
              <w:pStyle w:val="13"/>
            </w:pPr>
            <w:r>
              <w:t>新建、改扩建工程验收合格率</w:t>
            </w:r>
          </w:p>
        </w:tc>
        <w:tc>
          <w:tcPr>
            <w:tcW w:w="4464" w:type="dxa"/>
            <w:vAlign w:val="center"/>
          </w:tcPr>
          <w:p w14:paraId="17ECCE34">
            <w:pPr>
              <w:pStyle w:val="13"/>
            </w:pPr>
            <w:r>
              <w:t>新建工程验收合格数量与新建工程数量之比</w:t>
            </w:r>
          </w:p>
        </w:tc>
        <w:tc>
          <w:tcPr>
            <w:tcW w:w="2265" w:type="dxa"/>
            <w:vAlign w:val="center"/>
          </w:tcPr>
          <w:p w14:paraId="229B889F">
            <w:pPr>
              <w:pStyle w:val="13"/>
            </w:pPr>
            <w:r>
              <w:t>≥100%</w:t>
            </w:r>
          </w:p>
        </w:tc>
        <w:tc>
          <w:tcPr>
            <w:tcW w:w="2201" w:type="dxa"/>
            <w:vAlign w:val="center"/>
          </w:tcPr>
          <w:p w14:paraId="119CBA79">
            <w:pPr>
              <w:pStyle w:val="13"/>
            </w:pPr>
            <w:r>
              <w:t>可行性研究报告</w:t>
            </w:r>
          </w:p>
        </w:tc>
      </w:tr>
      <w:tr w14:paraId="6C666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8FBAD"/>
        </w:tc>
        <w:tc>
          <w:tcPr>
            <w:tcW w:w="2268" w:type="dxa"/>
            <w:vAlign w:val="center"/>
          </w:tcPr>
          <w:p w14:paraId="0642551E">
            <w:pPr>
              <w:pStyle w:val="13"/>
            </w:pPr>
            <w:r>
              <w:t>时效指标</w:t>
            </w:r>
          </w:p>
        </w:tc>
        <w:tc>
          <w:tcPr>
            <w:tcW w:w="2835" w:type="dxa"/>
            <w:vAlign w:val="center"/>
          </w:tcPr>
          <w:p w14:paraId="7EE634F0">
            <w:pPr>
              <w:pStyle w:val="13"/>
            </w:pPr>
            <w:r>
              <w:t>宿舍改造工程按期完成率</w:t>
            </w:r>
          </w:p>
        </w:tc>
        <w:tc>
          <w:tcPr>
            <w:tcW w:w="4464" w:type="dxa"/>
            <w:vAlign w:val="center"/>
          </w:tcPr>
          <w:p w14:paraId="7BD648A1">
            <w:pPr>
              <w:pStyle w:val="13"/>
            </w:pPr>
            <w:r>
              <w:t>工程按时完工</w:t>
            </w:r>
          </w:p>
        </w:tc>
        <w:tc>
          <w:tcPr>
            <w:tcW w:w="2265" w:type="dxa"/>
            <w:vAlign w:val="center"/>
          </w:tcPr>
          <w:p w14:paraId="0D85974F">
            <w:pPr>
              <w:pStyle w:val="13"/>
            </w:pPr>
            <w:r>
              <w:t>2023年12月完成项目实施与验收</w:t>
            </w:r>
          </w:p>
        </w:tc>
        <w:tc>
          <w:tcPr>
            <w:tcW w:w="2201" w:type="dxa"/>
            <w:vAlign w:val="center"/>
          </w:tcPr>
          <w:p w14:paraId="03094558">
            <w:pPr>
              <w:pStyle w:val="13"/>
            </w:pPr>
            <w:r>
              <w:t>结合项目实际情况</w:t>
            </w:r>
          </w:p>
        </w:tc>
      </w:tr>
      <w:tr w14:paraId="59106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C2D3B"/>
        </w:tc>
        <w:tc>
          <w:tcPr>
            <w:tcW w:w="2268" w:type="dxa"/>
            <w:vAlign w:val="center"/>
          </w:tcPr>
          <w:p w14:paraId="3642231D">
            <w:pPr>
              <w:pStyle w:val="13"/>
            </w:pPr>
            <w:r>
              <w:t>成本指标</w:t>
            </w:r>
          </w:p>
        </w:tc>
        <w:tc>
          <w:tcPr>
            <w:tcW w:w="2835" w:type="dxa"/>
            <w:vAlign w:val="center"/>
          </w:tcPr>
          <w:p w14:paraId="6BCEC935">
            <w:pPr>
              <w:pStyle w:val="13"/>
            </w:pPr>
            <w:r>
              <w:t>设施修缮成本</w:t>
            </w:r>
          </w:p>
        </w:tc>
        <w:tc>
          <w:tcPr>
            <w:tcW w:w="4464" w:type="dxa"/>
            <w:vAlign w:val="center"/>
          </w:tcPr>
          <w:p w14:paraId="3AE84746">
            <w:pPr>
              <w:pStyle w:val="13"/>
            </w:pPr>
            <w:r>
              <w:t>实行政府采购招投标</w:t>
            </w:r>
          </w:p>
        </w:tc>
        <w:tc>
          <w:tcPr>
            <w:tcW w:w="2265" w:type="dxa"/>
            <w:vAlign w:val="center"/>
          </w:tcPr>
          <w:p w14:paraId="1A73FA92">
            <w:pPr>
              <w:pStyle w:val="13"/>
            </w:pPr>
            <w:r>
              <w:t>95万元</w:t>
            </w:r>
          </w:p>
        </w:tc>
        <w:tc>
          <w:tcPr>
            <w:tcW w:w="2201" w:type="dxa"/>
            <w:vAlign w:val="center"/>
          </w:tcPr>
          <w:p w14:paraId="150C9254">
            <w:pPr>
              <w:pStyle w:val="13"/>
            </w:pPr>
            <w:r>
              <w:t>结合项目实际情况</w:t>
            </w:r>
          </w:p>
        </w:tc>
      </w:tr>
      <w:tr w14:paraId="0E381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A5E60">
            <w:pPr>
              <w:pStyle w:val="12"/>
            </w:pPr>
            <w:r>
              <w:t>效益指标</w:t>
            </w:r>
          </w:p>
        </w:tc>
        <w:tc>
          <w:tcPr>
            <w:tcW w:w="2268" w:type="dxa"/>
            <w:vAlign w:val="center"/>
          </w:tcPr>
          <w:p w14:paraId="53C5B730">
            <w:pPr>
              <w:pStyle w:val="13"/>
            </w:pPr>
            <w:r>
              <w:t>经济效益指标</w:t>
            </w:r>
          </w:p>
        </w:tc>
        <w:tc>
          <w:tcPr>
            <w:tcW w:w="2835" w:type="dxa"/>
            <w:vAlign w:val="center"/>
          </w:tcPr>
          <w:p w14:paraId="1C01661D">
            <w:pPr>
              <w:pStyle w:val="13"/>
            </w:pPr>
            <w:r>
              <w:t>高中教育毛入学率</w:t>
            </w:r>
          </w:p>
        </w:tc>
        <w:tc>
          <w:tcPr>
            <w:tcW w:w="4464" w:type="dxa"/>
            <w:vAlign w:val="center"/>
          </w:tcPr>
          <w:p w14:paraId="54C5F128">
            <w:pPr>
              <w:pStyle w:val="13"/>
            </w:pPr>
            <w:r>
              <w:t>大幅度提升高中阶段毛入学率</w:t>
            </w:r>
          </w:p>
        </w:tc>
        <w:tc>
          <w:tcPr>
            <w:tcW w:w="2265" w:type="dxa"/>
            <w:vAlign w:val="center"/>
          </w:tcPr>
          <w:p w14:paraId="051AFA39">
            <w:pPr>
              <w:pStyle w:val="13"/>
            </w:pPr>
            <w:r>
              <w:t>≥90%</w:t>
            </w:r>
          </w:p>
        </w:tc>
        <w:tc>
          <w:tcPr>
            <w:tcW w:w="2201" w:type="dxa"/>
            <w:vAlign w:val="center"/>
          </w:tcPr>
          <w:p w14:paraId="2FD4593E">
            <w:pPr>
              <w:pStyle w:val="13"/>
            </w:pPr>
            <w:r>
              <w:t>可行性研究报告</w:t>
            </w:r>
          </w:p>
        </w:tc>
      </w:tr>
      <w:tr w14:paraId="2731F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05ED7"/>
        </w:tc>
        <w:tc>
          <w:tcPr>
            <w:tcW w:w="2268" w:type="dxa"/>
            <w:vAlign w:val="center"/>
          </w:tcPr>
          <w:p w14:paraId="38801838">
            <w:pPr>
              <w:pStyle w:val="13"/>
            </w:pPr>
            <w:r>
              <w:t>社会效益指标</w:t>
            </w:r>
          </w:p>
        </w:tc>
        <w:tc>
          <w:tcPr>
            <w:tcW w:w="2835" w:type="dxa"/>
            <w:vAlign w:val="center"/>
          </w:tcPr>
          <w:p w14:paraId="287E481D">
            <w:pPr>
              <w:pStyle w:val="13"/>
            </w:pPr>
            <w:r>
              <w:t>受益人数</w:t>
            </w:r>
          </w:p>
        </w:tc>
        <w:tc>
          <w:tcPr>
            <w:tcW w:w="4464" w:type="dxa"/>
            <w:vAlign w:val="center"/>
          </w:tcPr>
          <w:p w14:paraId="04F2DBFB">
            <w:pPr>
              <w:pStyle w:val="13"/>
            </w:pPr>
            <w:r>
              <w:t>收益学生人数760人</w:t>
            </w:r>
          </w:p>
        </w:tc>
        <w:tc>
          <w:tcPr>
            <w:tcW w:w="2265" w:type="dxa"/>
            <w:vAlign w:val="center"/>
          </w:tcPr>
          <w:p w14:paraId="5F67FC7D">
            <w:pPr>
              <w:pStyle w:val="13"/>
            </w:pPr>
            <w:r>
              <w:t>≥760人</w:t>
            </w:r>
          </w:p>
        </w:tc>
        <w:tc>
          <w:tcPr>
            <w:tcW w:w="2201" w:type="dxa"/>
            <w:vAlign w:val="center"/>
          </w:tcPr>
          <w:p w14:paraId="47565E48">
            <w:pPr>
              <w:pStyle w:val="13"/>
            </w:pPr>
            <w:r>
              <w:t>可行性研究报告</w:t>
            </w:r>
          </w:p>
        </w:tc>
      </w:tr>
      <w:tr w14:paraId="10A0B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38E7E"/>
        </w:tc>
        <w:tc>
          <w:tcPr>
            <w:tcW w:w="2268" w:type="dxa"/>
            <w:vAlign w:val="center"/>
          </w:tcPr>
          <w:p w14:paraId="76EC5696">
            <w:pPr>
              <w:pStyle w:val="13"/>
            </w:pPr>
            <w:r>
              <w:t>可持续影响指标</w:t>
            </w:r>
          </w:p>
        </w:tc>
        <w:tc>
          <w:tcPr>
            <w:tcW w:w="2835" w:type="dxa"/>
            <w:vAlign w:val="center"/>
          </w:tcPr>
          <w:p w14:paraId="75544592">
            <w:pPr>
              <w:pStyle w:val="13"/>
            </w:pPr>
            <w:r>
              <w:t>校舍使用年限</w:t>
            </w:r>
          </w:p>
        </w:tc>
        <w:tc>
          <w:tcPr>
            <w:tcW w:w="4464" w:type="dxa"/>
            <w:vAlign w:val="center"/>
          </w:tcPr>
          <w:p w14:paraId="3A58AB72">
            <w:pPr>
              <w:pStyle w:val="13"/>
            </w:pPr>
            <w:r>
              <w:t>提高校舍使用年限</w:t>
            </w:r>
          </w:p>
        </w:tc>
        <w:tc>
          <w:tcPr>
            <w:tcW w:w="2265" w:type="dxa"/>
            <w:vAlign w:val="center"/>
          </w:tcPr>
          <w:p w14:paraId="68DF192A">
            <w:pPr>
              <w:pStyle w:val="13"/>
            </w:pPr>
            <w:r>
              <w:t>≥50年</w:t>
            </w:r>
          </w:p>
        </w:tc>
        <w:tc>
          <w:tcPr>
            <w:tcW w:w="2201" w:type="dxa"/>
            <w:vAlign w:val="center"/>
          </w:tcPr>
          <w:p w14:paraId="229817BE">
            <w:pPr>
              <w:pStyle w:val="13"/>
            </w:pPr>
            <w:r>
              <w:t>可行性研究报告</w:t>
            </w:r>
          </w:p>
        </w:tc>
      </w:tr>
      <w:tr w14:paraId="0F1F0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9C7013">
            <w:pPr>
              <w:pStyle w:val="12"/>
            </w:pPr>
            <w:r>
              <w:t>满意度指标</w:t>
            </w:r>
          </w:p>
        </w:tc>
        <w:tc>
          <w:tcPr>
            <w:tcW w:w="2268" w:type="dxa"/>
            <w:vAlign w:val="center"/>
          </w:tcPr>
          <w:p w14:paraId="31A97554">
            <w:pPr>
              <w:pStyle w:val="13"/>
            </w:pPr>
            <w:r>
              <w:t>服务对象满意度指标</w:t>
            </w:r>
          </w:p>
        </w:tc>
        <w:tc>
          <w:tcPr>
            <w:tcW w:w="2835" w:type="dxa"/>
            <w:vAlign w:val="center"/>
          </w:tcPr>
          <w:p w14:paraId="37E52381">
            <w:pPr>
              <w:pStyle w:val="13"/>
            </w:pPr>
            <w:r>
              <w:t>学生和学生家长满意度</w:t>
            </w:r>
          </w:p>
        </w:tc>
        <w:tc>
          <w:tcPr>
            <w:tcW w:w="4464" w:type="dxa"/>
            <w:vAlign w:val="center"/>
          </w:tcPr>
          <w:p w14:paraId="7B1417C9">
            <w:pPr>
              <w:pStyle w:val="13"/>
            </w:pPr>
            <w:r>
              <w:t>大幅提高学生和学生家长满意度</w:t>
            </w:r>
          </w:p>
        </w:tc>
        <w:tc>
          <w:tcPr>
            <w:tcW w:w="2265" w:type="dxa"/>
            <w:vAlign w:val="center"/>
          </w:tcPr>
          <w:p w14:paraId="03558FC7">
            <w:pPr>
              <w:pStyle w:val="13"/>
            </w:pPr>
            <w:r>
              <w:t>≥95%</w:t>
            </w:r>
          </w:p>
        </w:tc>
        <w:tc>
          <w:tcPr>
            <w:tcW w:w="2201" w:type="dxa"/>
            <w:vAlign w:val="center"/>
          </w:tcPr>
          <w:p w14:paraId="05D20CA7">
            <w:pPr>
              <w:pStyle w:val="13"/>
            </w:pPr>
            <w:r>
              <w:t>可行性研究报告</w:t>
            </w:r>
          </w:p>
        </w:tc>
      </w:tr>
    </w:tbl>
    <w:p w14:paraId="3D8DB184">
      <w:pPr>
        <w:sectPr>
          <w:pgSz w:w="16840" w:h="11900" w:orient="landscape"/>
          <w:pgMar w:top="1361" w:right="1020" w:bottom="1134" w:left="1020" w:header="720" w:footer="720" w:gutter="0"/>
          <w:cols w:space="720" w:num="1"/>
        </w:sectPr>
      </w:pPr>
    </w:p>
    <w:p w14:paraId="37C7BF1E">
      <w:pPr>
        <w:spacing w:before="0" w:after="0"/>
        <w:ind w:firstLine="560"/>
        <w:jc w:val="left"/>
        <w:outlineLvl w:val="9"/>
      </w:pPr>
      <w:r>
        <w:rPr>
          <w:rFonts w:ascii="方正仿宋_GBK" w:hAnsi="方正仿宋_GBK" w:eastAsia="方正仿宋_GBK" w:cs="方正仿宋_GBK"/>
          <w:b/>
          <w:color w:val="000000"/>
          <w:sz w:val="28"/>
        </w:rPr>
        <w:t>14、上年盘活/冀财教[2022]163号/省级/2023年普通高中资金/改善办学条件/一中学术报告厅改造工程绩效目标表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07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79226">
            <w:pPr>
              <w:pStyle w:val="14"/>
            </w:pPr>
            <w:r>
              <w:t>单位：万元</w:t>
            </w:r>
          </w:p>
        </w:tc>
      </w:tr>
      <w:tr w14:paraId="755A4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5EAB8E">
            <w:pPr>
              <w:pStyle w:val="11"/>
            </w:pPr>
            <w:r>
              <w:t>项目编码</w:t>
            </w:r>
          </w:p>
        </w:tc>
        <w:tc>
          <w:tcPr>
            <w:tcW w:w="5103" w:type="dxa"/>
            <w:gridSpan w:val="2"/>
            <w:vAlign w:val="center"/>
          </w:tcPr>
          <w:p w14:paraId="46422F5B">
            <w:pPr>
              <w:pStyle w:val="13"/>
            </w:pPr>
            <w:r>
              <w:t>13052525P00875610197P</w:t>
            </w:r>
          </w:p>
        </w:tc>
        <w:tc>
          <w:tcPr>
            <w:tcW w:w="2835" w:type="dxa"/>
            <w:vAlign w:val="center"/>
          </w:tcPr>
          <w:p w14:paraId="61BE9BCF">
            <w:pPr>
              <w:pStyle w:val="11"/>
            </w:pPr>
            <w:r>
              <w:t>项目名称</w:t>
            </w:r>
          </w:p>
        </w:tc>
        <w:tc>
          <w:tcPr>
            <w:tcW w:w="6095" w:type="dxa"/>
            <w:gridSpan w:val="3"/>
            <w:vAlign w:val="center"/>
          </w:tcPr>
          <w:p w14:paraId="16A37812">
            <w:pPr>
              <w:pStyle w:val="13"/>
            </w:pPr>
            <w:r>
              <w:t>上年盘活/冀财教[2022]163号/省级/2023年普通高中资金/改善办学条件/一中学术报告厅改造工程</w:t>
            </w:r>
          </w:p>
        </w:tc>
      </w:tr>
      <w:tr w14:paraId="235E4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12AD3">
            <w:pPr>
              <w:pStyle w:val="11"/>
            </w:pPr>
            <w:r>
              <w:t>预算规模及资金用途</w:t>
            </w:r>
          </w:p>
        </w:tc>
        <w:tc>
          <w:tcPr>
            <w:tcW w:w="2268" w:type="dxa"/>
            <w:vAlign w:val="center"/>
          </w:tcPr>
          <w:p w14:paraId="3294568D">
            <w:pPr>
              <w:pStyle w:val="11"/>
            </w:pPr>
            <w:r>
              <w:t>预算数</w:t>
            </w:r>
          </w:p>
        </w:tc>
        <w:tc>
          <w:tcPr>
            <w:tcW w:w="2835" w:type="dxa"/>
            <w:vAlign w:val="center"/>
          </w:tcPr>
          <w:p w14:paraId="3F94D319">
            <w:pPr>
              <w:pStyle w:val="13"/>
            </w:pPr>
            <w:r>
              <w:t>1.56</w:t>
            </w:r>
          </w:p>
        </w:tc>
        <w:tc>
          <w:tcPr>
            <w:tcW w:w="2835" w:type="dxa"/>
            <w:vAlign w:val="center"/>
          </w:tcPr>
          <w:p w14:paraId="3C35805A">
            <w:pPr>
              <w:pStyle w:val="11"/>
            </w:pPr>
            <w:r>
              <w:t>其中：财政    资金</w:t>
            </w:r>
          </w:p>
        </w:tc>
        <w:tc>
          <w:tcPr>
            <w:tcW w:w="2551" w:type="dxa"/>
            <w:vAlign w:val="center"/>
          </w:tcPr>
          <w:p w14:paraId="5B9BB9C1">
            <w:pPr>
              <w:pStyle w:val="13"/>
            </w:pPr>
            <w:r>
              <w:t>1.56</w:t>
            </w:r>
          </w:p>
        </w:tc>
        <w:tc>
          <w:tcPr>
            <w:tcW w:w="2268" w:type="dxa"/>
            <w:vAlign w:val="center"/>
          </w:tcPr>
          <w:p w14:paraId="035D8C11">
            <w:pPr>
              <w:pStyle w:val="11"/>
            </w:pPr>
            <w:r>
              <w:t>其他资金</w:t>
            </w:r>
          </w:p>
        </w:tc>
        <w:tc>
          <w:tcPr>
            <w:tcW w:w="1276" w:type="dxa"/>
            <w:vAlign w:val="center"/>
          </w:tcPr>
          <w:p w14:paraId="60B89E1A">
            <w:pPr>
              <w:pStyle w:val="13"/>
            </w:pPr>
            <w:r>
              <w:t xml:space="preserve"> </w:t>
            </w:r>
          </w:p>
        </w:tc>
      </w:tr>
      <w:tr w14:paraId="7F801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267E6B"/>
        </w:tc>
        <w:tc>
          <w:tcPr>
            <w:tcW w:w="14033" w:type="dxa"/>
            <w:gridSpan w:val="6"/>
            <w:vAlign w:val="center"/>
          </w:tcPr>
          <w:p w14:paraId="7AC1AEA1">
            <w:pPr>
              <w:pStyle w:val="13"/>
            </w:pPr>
            <w:r>
              <w:t>改善普通高中办学条件，进一步提升高中教育质量</w:t>
            </w:r>
          </w:p>
        </w:tc>
      </w:tr>
      <w:tr w14:paraId="5A5AE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B90EC">
            <w:pPr>
              <w:pStyle w:val="11"/>
            </w:pPr>
            <w:r>
              <w:t>资金支出计划（%）</w:t>
            </w:r>
          </w:p>
        </w:tc>
        <w:tc>
          <w:tcPr>
            <w:tcW w:w="5103" w:type="dxa"/>
            <w:gridSpan w:val="2"/>
            <w:vAlign w:val="center"/>
          </w:tcPr>
          <w:p w14:paraId="2BC9440A">
            <w:pPr>
              <w:pStyle w:val="11"/>
            </w:pPr>
            <w:r>
              <w:t>3月底</w:t>
            </w:r>
          </w:p>
        </w:tc>
        <w:tc>
          <w:tcPr>
            <w:tcW w:w="2835" w:type="dxa"/>
            <w:vAlign w:val="center"/>
          </w:tcPr>
          <w:p w14:paraId="47B6D009">
            <w:pPr>
              <w:pStyle w:val="11"/>
            </w:pPr>
            <w:r>
              <w:t>6月底</w:t>
            </w:r>
          </w:p>
        </w:tc>
        <w:tc>
          <w:tcPr>
            <w:tcW w:w="2551" w:type="dxa"/>
            <w:vAlign w:val="center"/>
          </w:tcPr>
          <w:p w14:paraId="44D5596B">
            <w:pPr>
              <w:pStyle w:val="11"/>
            </w:pPr>
            <w:r>
              <w:t>10月底</w:t>
            </w:r>
          </w:p>
        </w:tc>
        <w:tc>
          <w:tcPr>
            <w:tcW w:w="3544" w:type="dxa"/>
            <w:gridSpan w:val="2"/>
            <w:vAlign w:val="center"/>
          </w:tcPr>
          <w:p w14:paraId="71D98303">
            <w:pPr>
              <w:pStyle w:val="11"/>
            </w:pPr>
            <w:r>
              <w:t>12月底</w:t>
            </w:r>
          </w:p>
        </w:tc>
      </w:tr>
      <w:tr w14:paraId="62D64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74717"/>
        </w:tc>
        <w:tc>
          <w:tcPr>
            <w:tcW w:w="5103" w:type="dxa"/>
            <w:gridSpan w:val="2"/>
            <w:vAlign w:val="center"/>
          </w:tcPr>
          <w:p w14:paraId="3E9E3AE0">
            <w:pPr>
              <w:pStyle w:val="12"/>
            </w:pPr>
            <w:r>
              <w:t xml:space="preserve"> </w:t>
            </w:r>
          </w:p>
        </w:tc>
        <w:tc>
          <w:tcPr>
            <w:tcW w:w="2835" w:type="dxa"/>
            <w:vAlign w:val="center"/>
          </w:tcPr>
          <w:p w14:paraId="57D68F2F">
            <w:pPr>
              <w:pStyle w:val="12"/>
            </w:pPr>
            <w:r>
              <w:t xml:space="preserve"> </w:t>
            </w:r>
          </w:p>
        </w:tc>
        <w:tc>
          <w:tcPr>
            <w:tcW w:w="2551" w:type="dxa"/>
            <w:vAlign w:val="center"/>
          </w:tcPr>
          <w:p w14:paraId="07F00F52">
            <w:pPr>
              <w:pStyle w:val="12"/>
            </w:pPr>
            <w:r>
              <w:t xml:space="preserve"> </w:t>
            </w:r>
          </w:p>
        </w:tc>
        <w:tc>
          <w:tcPr>
            <w:tcW w:w="3544" w:type="dxa"/>
            <w:gridSpan w:val="2"/>
            <w:vAlign w:val="center"/>
          </w:tcPr>
          <w:p w14:paraId="429E6038">
            <w:pPr>
              <w:pStyle w:val="12"/>
            </w:pPr>
            <w:r>
              <w:t>100%</w:t>
            </w:r>
          </w:p>
        </w:tc>
      </w:tr>
      <w:tr w14:paraId="52293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F4591">
            <w:pPr>
              <w:pStyle w:val="11"/>
            </w:pPr>
            <w:r>
              <w:t>绩效目标</w:t>
            </w:r>
          </w:p>
        </w:tc>
        <w:tc>
          <w:tcPr>
            <w:tcW w:w="14033" w:type="dxa"/>
            <w:gridSpan w:val="6"/>
            <w:vAlign w:val="center"/>
          </w:tcPr>
          <w:p w14:paraId="4E7A4435">
            <w:pPr>
              <w:pStyle w:val="13"/>
            </w:pPr>
            <w:r>
              <w:t>1.改善普通高中办学条件，进一步提升高中教育质量</w:t>
            </w:r>
          </w:p>
          <w:p w14:paraId="4B29961D">
            <w:pPr>
              <w:pStyle w:val="13"/>
            </w:pPr>
            <w:r>
              <w:t>2.按时拨付资金15591.52元，资金拨付率达到100%</w:t>
            </w:r>
          </w:p>
          <w:p w14:paraId="56906D5C">
            <w:pPr>
              <w:pStyle w:val="13"/>
            </w:pPr>
            <w:r>
              <w:t>3.落实全国中小学校舍改造实施规划，完善学校整体面貌和教育设施</w:t>
            </w:r>
          </w:p>
        </w:tc>
      </w:tr>
    </w:tbl>
    <w:p w14:paraId="030676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329"/>
        <w:gridCol w:w="2715"/>
        <w:gridCol w:w="1886"/>
      </w:tblGrid>
      <w:tr w14:paraId="2A105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C8E8E">
            <w:pPr>
              <w:pStyle w:val="11"/>
            </w:pPr>
            <w:r>
              <w:t>一级指标</w:t>
            </w:r>
          </w:p>
        </w:tc>
        <w:tc>
          <w:tcPr>
            <w:tcW w:w="2268" w:type="dxa"/>
            <w:vAlign w:val="center"/>
          </w:tcPr>
          <w:p w14:paraId="4EFF9C64">
            <w:pPr>
              <w:pStyle w:val="11"/>
            </w:pPr>
            <w:r>
              <w:t>二级指标</w:t>
            </w:r>
          </w:p>
        </w:tc>
        <w:tc>
          <w:tcPr>
            <w:tcW w:w="2835" w:type="dxa"/>
            <w:vAlign w:val="center"/>
          </w:tcPr>
          <w:p w14:paraId="13B7B7DC">
            <w:pPr>
              <w:pStyle w:val="11"/>
            </w:pPr>
            <w:r>
              <w:t>三级指标</w:t>
            </w:r>
          </w:p>
        </w:tc>
        <w:tc>
          <w:tcPr>
            <w:tcW w:w="4329" w:type="dxa"/>
            <w:vAlign w:val="center"/>
          </w:tcPr>
          <w:p w14:paraId="69975221">
            <w:pPr>
              <w:pStyle w:val="11"/>
            </w:pPr>
            <w:r>
              <w:t>绩效指标描述</w:t>
            </w:r>
          </w:p>
        </w:tc>
        <w:tc>
          <w:tcPr>
            <w:tcW w:w="2715" w:type="dxa"/>
            <w:vAlign w:val="center"/>
          </w:tcPr>
          <w:p w14:paraId="3C5FCD6D">
            <w:pPr>
              <w:pStyle w:val="11"/>
            </w:pPr>
            <w:r>
              <w:t>指标值</w:t>
            </w:r>
          </w:p>
        </w:tc>
        <w:tc>
          <w:tcPr>
            <w:tcW w:w="1886" w:type="dxa"/>
            <w:vAlign w:val="center"/>
          </w:tcPr>
          <w:p w14:paraId="1F5F5086">
            <w:pPr>
              <w:pStyle w:val="11"/>
            </w:pPr>
            <w:r>
              <w:t>指标值确定依据</w:t>
            </w:r>
          </w:p>
        </w:tc>
      </w:tr>
      <w:tr w14:paraId="5BB2A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0A705">
            <w:pPr>
              <w:pStyle w:val="12"/>
            </w:pPr>
            <w:r>
              <w:t>产出指标</w:t>
            </w:r>
          </w:p>
        </w:tc>
        <w:tc>
          <w:tcPr>
            <w:tcW w:w="2268" w:type="dxa"/>
            <w:vAlign w:val="center"/>
          </w:tcPr>
          <w:p w14:paraId="1879DBB1">
            <w:pPr>
              <w:pStyle w:val="13"/>
            </w:pPr>
            <w:r>
              <w:t>数量指标</w:t>
            </w:r>
          </w:p>
        </w:tc>
        <w:tc>
          <w:tcPr>
            <w:tcW w:w="2835" w:type="dxa"/>
            <w:vAlign w:val="center"/>
          </w:tcPr>
          <w:p w14:paraId="739DE9BE">
            <w:pPr>
              <w:pStyle w:val="13"/>
            </w:pPr>
            <w:r>
              <w:t>普通高中新建、改扩建校舍面积</w:t>
            </w:r>
          </w:p>
        </w:tc>
        <w:tc>
          <w:tcPr>
            <w:tcW w:w="4329" w:type="dxa"/>
            <w:vAlign w:val="center"/>
          </w:tcPr>
          <w:p w14:paraId="65059762">
            <w:pPr>
              <w:pStyle w:val="13"/>
            </w:pPr>
            <w:r>
              <w:t>学术报告厅改扩建面积</w:t>
            </w:r>
          </w:p>
        </w:tc>
        <w:tc>
          <w:tcPr>
            <w:tcW w:w="2715" w:type="dxa"/>
            <w:vAlign w:val="center"/>
          </w:tcPr>
          <w:p w14:paraId="1B66D4FE">
            <w:pPr>
              <w:pStyle w:val="13"/>
            </w:pPr>
            <w:r>
              <w:t>≥506.25平方米</w:t>
            </w:r>
          </w:p>
        </w:tc>
        <w:tc>
          <w:tcPr>
            <w:tcW w:w="1886" w:type="dxa"/>
            <w:vAlign w:val="center"/>
          </w:tcPr>
          <w:p w14:paraId="15E09F0F">
            <w:pPr>
              <w:pStyle w:val="13"/>
            </w:pPr>
            <w:r>
              <w:t>可行性研究报告</w:t>
            </w:r>
          </w:p>
        </w:tc>
      </w:tr>
      <w:tr w14:paraId="67C90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6012A"/>
        </w:tc>
        <w:tc>
          <w:tcPr>
            <w:tcW w:w="2268" w:type="dxa"/>
            <w:vAlign w:val="center"/>
          </w:tcPr>
          <w:p w14:paraId="62E6161E">
            <w:pPr>
              <w:pStyle w:val="13"/>
            </w:pPr>
            <w:r>
              <w:t>质量指标</w:t>
            </w:r>
          </w:p>
        </w:tc>
        <w:tc>
          <w:tcPr>
            <w:tcW w:w="2835" w:type="dxa"/>
            <w:vAlign w:val="center"/>
          </w:tcPr>
          <w:p w14:paraId="58BFB611">
            <w:pPr>
              <w:pStyle w:val="13"/>
            </w:pPr>
            <w:r>
              <w:t>项目工程质量合格率</w:t>
            </w:r>
          </w:p>
        </w:tc>
        <w:tc>
          <w:tcPr>
            <w:tcW w:w="4329" w:type="dxa"/>
            <w:vAlign w:val="center"/>
          </w:tcPr>
          <w:p w14:paraId="264EF803">
            <w:pPr>
              <w:pStyle w:val="13"/>
            </w:pPr>
            <w:r>
              <w:t>学术报考厅改扩建工程质量合格率</w:t>
            </w:r>
          </w:p>
        </w:tc>
        <w:tc>
          <w:tcPr>
            <w:tcW w:w="2715" w:type="dxa"/>
            <w:vAlign w:val="center"/>
          </w:tcPr>
          <w:p w14:paraId="015E18F0">
            <w:pPr>
              <w:pStyle w:val="13"/>
            </w:pPr>
            <w:r>
              <w:t>≥100%</w:t>
            </w:r>
          </w:p>
        </w:tc>
        <w:tc>
          <w:tcPr>
            <w:tcW w:w="1886" w:type="dxa"/>
            <w:vAlign w:val="center"/>
          </w:tcPr>
          <w:p w14:paraId="5A37FDF1">
            <w:pPr>
              <w:pStyle w:val="13"/>
            </w:pPr>
            <w:r>
              <w:t>可行性研究报告</w:t>
            </w:r>
          </w:p>
        </w:tc>
      </w:tr>
      <w:tr w14:paraId="3A66D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3741F"/>
        </w:tc>
        <w:tc>
          <w:tcPr>
            <w:tcW w:w="2268" w:type="dxa"/>
            <w:vAlign w:val="center"/>
          </w:tcPr>
          <w:p w14:paraId="4E2165E3">
            <w:pPr>
              <w:pStyle w:val="13"/>
            </w:pPr>
            <w:r>
              <w:t>时效指标</w:t>
            </w:r>
          </w:p>
        </w:tc>
        <w:tc>
          <w:tcPr>
            <w:tcW w:w="2835" w:type="dxa"/>
            <w:vAlign w:val="center"/>
          </w:tcPr>
          <w:p w14:paraId="3E08746C">
            <w:pPr>
              <w:pStyle w:val="13"/>
            </w:pPr>
            <w:r>
              <w:t>校舍、操场改造工程按期完成率</w:t>
            </w:r>
          </w:p>
        </w:tc>
        <w:tc>
          <w:tcPr>
            <w:tcW w:w="4329" w:type="dxa"/>
            <w:vAlign w:val="center"/>
          </w:tcPr>
          <w:p w14:paraId="4C2A39DD">
            <w:pPr>
              <w:pStyle w:val="13"/>
            </w:pPr>
            <w:r>
              <w:t>工程按时完工</w:t>
            </w:r>
          </w:p>
        </w:tc>
        <w:tc>
          <w:tcPr>
            <w:tcW w:w="2715" w:type="dxa"/>
            <w:vAlign w:val="center"/>
          </w:tcPr>
          <w:p w14:paraId="655FD7D7">
            <w:pPr>
              <w:pStyle w:val="13"/>
            </w:pPr>
            <w:r>
              <w:t>2023年12月完成项目实施与验收</w:t>
            </w:r>
          </w:p>
        </w:tc>
        <w:tc>
          <w:tcPr>
            <w:tcW w:w="1886" w:type="dxa"/>
            <w:vAlign w:val="center"/>
          </w:tcPr>
          <w:p w14:paraId="6202A7AF">
            <w:pPr>
              <w:pStyle w:val="13"/>
            </w:pPr>
            <w:r>
              <w:t>结合项目实际情况</w:t>
            </w:r>
          </w:p>
        </w:tc>
      </w:tr>
      <w:tr w14:paraId="4248B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9B9C4"/>
        </w:tc>
        <w:tc>
          <w:tcPr>
            <w:tcW w:w="2268" w:type="dxa"/>
            <w:vAlign w:val="center"/>
          </w:tcPr>
          <w:p w14:paraId="344215BE">
            <w:pPr>
              <w:pStyle w:val="13"/>
            </w:pPr>
            <w:r>
              <w:t>成本指标</w:t>
            </w:r>
          </w:p>
        </w:tc>
        <w:tc>
          <w:tcPr>
            <w:tcW w:w="2835" w:type="dxa"/>
            <w:vAlign w:val="center"/>
          </w:tcPr>
          <w:p w14:paraId="2AEBF3AE">
            <w:pPr>
              <w:pStyle w:val="13"/>
            </w:pPr>
            <w:r>
              <w:t>设施修缮成本</w:t>
            </w:r>
          </w:p>
        </w:tc>
        <w:tc>
          <w:tcPr>
            <w:tcW w:w="4329" w:type="dxa"/>
            <w:vAlign w:val="center"/>
          </w:tcPr>
          <w:p w14:paraId="3A62D093">
            <w:pPr>
              <w:pStyle w:val="13"/>
            </w:pPr>
            <w:r>
              <w:t>实行政府采购招投标</w:t>
            </w:r>
          </w:p>
        </w:tc>
        <w:tc>
          <w:tcPr>
            <w:tcW w:w="2715" w:type="dxa"/>
            <w:vAlign w:val="center"/>
          </w:tcPr>
          <w:p w14:paraId="02AD1A6B">
            <w:pPr>
              <w:pStyle w:val="13"/>
            </w:pPr>
            <w:r>
              <w:t>≤63万元</w:t>
            </w:r>
          </w:p>
        </w:tc>
        <w:tc>
          <w:tcPr>
            <w:tcW w:w="1886" w:type="dxa"/>
            <w:vAlign w:val="center"/>
          </w:tcPr>
          <w:p w14:paraId="227C7B81">
            <w:pPr>
              <w:pStyle w:val="13"/>
            </w:pPr>
            <w:r>
              <w:t>结合项目实际情况</w:t>
            </w:r>
          </w:p>
        </w:tc>
      </w:tr>
      <w:tr w14:paraId="359BF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7E437">
            <w:pPr>
              <w:pStyle w:val="12"/>
            </w:pPr>
            <w:r>
              <w:t>效益指标</w:t>
            </w:r>
          </w:p>
        </w:tc>
        <w:tc>
          <w:tcPr>
            <w:tcW w:w="2268" w:type="dxa"/>
            <w:vAlign w:val="center"/>
          </w:tcPr>
          <w:p w14:paraId="113FF55F">
            <w:pPr>
              <w:pStyle w:val="13"/>
            </w:pPr>
            <w:r>
              <w:t>经济效益指标</w:t>
            </w:r>
          </w:p>
        </w:tc>
        <w:tc>
          <w:tcPr>
            <w:tcW w:w="2835" w:type="dxa"/>
            <w:vAlign w:val="center"/>
          </w:tcPr>
          <w:p w14:paraId="4891F4B1">
            <w:pPr>
              <w:pStyle w:val="13"/>
            </w:pPr>
            <w:r>
              <w:t>高中教育毛入学率</w:t>
            </w:r>
          </w:p>
        </w:tc>
        <w:tc>
          <w:tcPr>
            <w:tcW w:w="4329" w:type="dxa"/>
            <w:vAlign w:val="center"/>
          </w:tcPr>
          <w:p w14:paraId="4D3C47AB">
            <w:pPr>
              <w:pStyle w:val="13"/>
            </w:pPr>
            <w:r>
              <w:t>大幅度提升高中阶段毛入学率</w:t>
            </w:r>
          </w:p>
        </w:tc>
        <w:tc>
          <w:tcPr>
            <w:tcW w:w="2715" w:type="dxa"/>
            <w:vAlign w:val="center"/>
          </w:tcPr>
          <w:p w14:paraId="6CF3D46F">
            <w:pPr>
              <w:pStyle w:val="13"/>
            </w:pPr>
            <w:r>
              <w:t>≥90%</w:t>
            </w:r>
          </w:p>
        </w:tc>
        <w:tc>
          <w:tcPr>
            <w:tcW w:w="1886" w:type="dxa"/>
            <w:vAlign w:val="center"/>
          </w:tcPr>
          <w:p w14:paraId="0F249649">
            <w:pPr>
              <w:pStyle w:val="13"/>
            </w:pPr>
            <w:r>
              <w:t>可行性研究报告</w:t>
            </w:r>
          </w:p>
        </w:tc>
      </w:tr>
      <w:tr w14:paraId="4B846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25DCD"/>
        </w:tc>
        <w:tc>
          <w:tcPr>
            <w:tcW w:w="2268" w:type="dxa"/>
            <w:vAlign w:val="center"/>
          </w:tcPr>
          <w:p w14:paraId="51B4A81C">
            <w:pPr>
              <w:pStyle w:val="13"/>
            </w:pPr>
            <w:r>
              <w:t>社会效益指标</w:t>
            </w:r>
          </w:p>
        </w:tc>
        <w:tc>
          <w:tcPr>
            <w:tcW w:w="2835" w:type="dxa"/>
            <w:vAlign w:val="center"/>
          </w:tcPr>
          <w:p w14:paraId="361E2E64">
            <w:pPr>
              <w:pStyle w:val="13"/>
            </w:pPr>
            <w:r>
              <w:t>受益人数</w:t>
            </w:r>
          </w:p>
        </w:tc>
        <w:tc>
          <w:tcPr>
            <w:tcW w:w="4329" w:type="dxa"/>
            <w:vAlign w:val="center"/>
          </w:tcPr>
          <w:p w14:paraId="05C5BA28">
            <w:pPr>
              <w:pStyle w:val="13"/>
            </w:pPr>
            <w:r>
              <w:t>收益学生人数400</w:t>
            </w:r>
          </w:p>
        </w:tc>
        <w:tc>
          <w:tcPr>
            <w:tcW w:w="2715" w:type="dxa"/>
            <w:vAlign w:val="center"/>
          </w:tcPr>
          <w:p w14:paraId="434809D2">
            <w:pPr>
              <w:pStyle w:val="13"/>
            </w:pPr>
            <w:r>
              <w:t>≥400人</w:t>
            </w:r>
          </w:p>
        </w:tc>
        <w:tc>
          <w:tcPr>
            <w:tcW w:w="1886" w:type="dxa"/>
            <w:vAlign w:val="center"/>
          </w:tcPr>
          <w:p w14:paraId="525BCD65">
            <w:pPr>
              <w:pStyle w:val="13"/>
            </w:pPr>
            <w:r>
              <w:t>可行性研究报告</w:t>
            </w:r>
          </w:p>
        </w:tc>
      </w:tr>
      <w:tr w14:paraId="516D1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75127"/>
        </w:tc>
        <w:tc>
          <w:tcPr>
            <w:tcW w:w="2268" w:type="dxa"/>
            <w:vAlign w:val="center"/>
          </w:tcPr>
          <w:p w14:paraId="6482AD8C">
            <w:pPr>
              <w:pStyle w:val="13"/>
            </w:pPr>
            <w:r>
              <w:t>可持续影响指标</w:t>
            </w:r>
          </w:p>
        </w:tc>
        <w:tc>
          <w:tcPr>
            <w:tcW w:w="2835" w:type="dxa"/>
            <w:vAlign w:val="center"/>
          </w:tcPr>
          <w:p w14:paraId="4F2E050A">
            <w:pPr>
              <w:pStyle w:val="13"/>
            </w:pPr>
            <w:r>
              <w:t>校舍使用年限</w:t>
            </w:r>
          </w:p>
        </w:tc>
        <w:tc>
          <w:tcPr>
            <w:tcW w:w="4329" w:type="dxa"/>
            <w:vAlign w:val="center"/>
          </w:tcPr>
          <w:p w14:paraId="3571A670">
            <w:pPr>
              <w:pStyle w:val="13"/>
            </w:pPr>
            <w:r>
              <w:t>提高校舍使用年限</w:t>
            </w:r>
          </w:p>
        </w:tc>
        <w:tc>
          <w:tcPr>
            <w:tcW w:w="2715" w:type="dxa"/>
            <w:vAlign w:val="center"/>
          </w:tcPr>
          <w:p w14:paraId="29C8C185">
            <w:pPr>
              <w:pStyle w:val="13"/>
            </w:pPr>
            <w:r>
              <w:t>≥50年</w:t>
            </w:r>
          </w:p>
        </w:tc>
        <w:tc>
          <w:tcPr>
            <w:tcW w:w="1886" w:type="dxa"/>
            <w:vAlign w:val="center"/>
          </w:tcPr>
          <w:p w14:paraId="40FC09A8">
            <w:pPr>
              <w:pStyle w:val="13"/>
            </w:pPr>
            <w:r>
              <w:t>可行性研究报告</w:t>
            </w:r>
          </w:p>
        </w:tc>
      </w:tr>
      <w:tr w14:paraId="35863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01839E">
            <w:pPr>
              <w:pStyle w:val="12"/>
            </w:pPr>
            <w:r>
              <w:t>满意度指标</w:t>
            </w:r>
          </w:p>
        </w:tc>
        <w:tc>
          <w:tcPr>
            <w:tcW w:w="2268" w:type="dxa"/>
            <w:vAlign w:val="center"/>
          </w:tcPr>
          <w:p w14:paraId="4DA65702">
            <w:pPr>
              <w:pStyle w:val="13"/>
            </w:pPr>
            <w:r>
              <w:t>服务对象满意度指标</w:t>
            </w:r>
          </w:p>
        </w:tc>
        <w:tc>
          <w:tcPr>
            <w:tcW w:w="2835" w:type="dxa"/>
            <w:vAlign w:val="center"/>
          </w:tcPr>
          <w:p w14:paraId="6BDCA94F">
            <w:pPr>
              <w:pStyle w:val="13"/>
            </w:pPr>
            <w:r>
              <w:t>学生和学生家长满意度</w:t>
            </w:r>
          </w:p>
        </w:tc>
        <w:tc>
          <w:tcPr>
            <w:tcW w:w="4329" w:type="dxa"/>
            <w:vAlign w:val="center"/>
          </w:tcPr>
          <w:p w14:paraId="25F9CB35">
            <w:pPr>
              <w:pStyle w:val="13"/>
            </w:pPr>
            <w:r>
              <w:t>大幅提高学生和学生家长满意度</w:t>
            </w:r>
          </w:p>
        </w:tc>
        <w:tc>
          <w:tcPr>
            <w:tcW w:w="2715" w:type="dxa"/>
            <w:vAlign w:val="center"/>
          </w:tcPr>
          <w:p w14:paraId="3CA3FCBD">
            <w:pPr>
              <w:pStyle w:val="13"/>
            </w:pPr>
            <w:r>
              <w:t>≥95%</w:t>
            </w:r>
          </w:p>
        </w:tc>
        <w:tc>
          <w:tcPr>
            <w:tcW w:w="1886" w:type="dxa"/>
            <w:vAlign w:val="center"/>
          </w:tcPr>
          <w:p w14:paraId="5615952B">
            <w:pPr>
              <w:pStyle w:val="13"/>
            </w:pPr>
            <w:r>
              <w:t>结合项目实际情况</w:t>
            </w:r>
          </w:p>
        </w:tc>
      </w:tr>
    </w:tbl>
    <w:p w14:paraId="4520888E">
      <w:pPr>
        <w:sectPr>
          <w:pgSz w:w="16840" w:h="11900" w:orient="landscape"/>
          <w:pgMar w:top="1361" w:right="1020" w:bottom="1134" w:left="1020" w:header="720" w:footer="720" w:gutter="0"/>
          <w:cols w:space="720" w:num="1"/>
        </w:sectPr>
      </w:pPr>
    </w:p>
    <w:p w14:paraId="46D50BA0">
      <w:pPr>
        <w:spacing w:before="0" w:after="0"/>
        <w:ind w:firstLine="560"/>
        <w:jc w:val="left"/>
        <w:outlineLvl w:val="9"/>
      </w:pPr>
      <w:r>
        <w:rPr>
          <w:rFonts w:ascii="方正仿宋_GBK" w:hAnsi="方正仿宋_GBK" w:eastAsia="方正仿宋_GBK" w:cs="方正仿宋_GBK"/>
          <w:b/>
          <w:color w:val="000000"/>
          <w:sz w:val="28"/>
        </w:rPr>
        <w:t>15、上年盘活/冀财教[2023]64号/中央/2023年改善普通高中学校办学条/一中食堂改造绩效目标表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29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83C66">
            <w:pPr>
              <w:pStyle w:val="14"/>
            </w:pPr>
            <w:r>
              <w:t>单位：万元</w:t>
            </w:r>
          </w:p>
        </w:tc>
      </w:tr>
      <w:tr w14:paraId="21446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C5E0E6">
            <w:pPr>
              <w:pStyle w:val="11"/>
            </w:pPr>
            <w:r>
              <w:t>项目编码</w:t>
            </w:r>
          </w:p>
        </w:tc>
        <w:tc>
          <w:tcPr>
            <w:tcW w:w="5103" w:type="dxa"/>
            <w:gridSpan w:val="2"/>
            <w:vAlign w:val="center"/>
          </w:tcPr>
          <w:p w14:paraId="37EA2E0E">
            <w:pPr>
              <w:pStyle w:val="13"/>
            </w:pPr>
            <w:r>
              <w:t>13052525P00875610199Y</w:t>
            </w:r>
          </w:p>
        </w:tc>
        <w:tc>
          <w:tcPr>
            <w:tcW w:w="2835" w:type="dxa"/>
            <w:vAlign w:val="center"/>
          </w:tcPr>
          <w:p w14:paraId="26D27033">
            <w:pPr>
              <w:pStyle w:val="11"/>
            </w:pPr>
            <w:r>
              <w:t>项目名称</w:t>
            </w:r>
          </w:p>
        </w:tc>
        <w:tc>
          <w:tcPr>
            <w:tcW w:w="6095" w:type="dxa"/>
            <w:gridSpan w:val="3"/>
            <w:vAlign w:val="center"/>
          </w:tcPr>
          <w:p w14:paraId="5B09ADB2">
            <w:pPr>
              <w:pStyle w:val="13"/>
            </w:pPr>
            <w:r>
              <w:t>上年盘活/冀财教[2023]64号/中央/2023年改善普通高中学校办学条/一中食堂改造</w:t>
            </w:r>
          </w:p>
        </w:tc>
      </w:tr>
      <w:tr w14:paraId="5EDDE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4E714">
            <w:pPr>
              <w:pStyle w:val="11"/>
            </w:pPr>
            <w:r>
              <w:t>预算规模及资金用途</w:t>
            </w:r>
          </w:p>
        </w:tc>
        <w:tc>
          <w:tcPr>
            <w:tcW w:w="2268" w:type="dxa"/>
            <w:vAlign w:val="center"/>
          </w:tcPr>
          <w:p w14:paraId="0487115C">
            <w:pPr>
              <w:pStyle w:val="11"/>
            </w:pPr>
            <w:r>
              <w:t>预算数</w:t>
            </w:r>
          </w:p>
        </w:tc>
        <w:tc>
          <w:tcPr>
            <w:tcW w:w="2835" w:type="dxa"/>
            <w:vAlign w:val="center"/>
          </w:tcPr>
          <w:p w14:paraId="3E037CAB">
            <w:pPr>
              <w:pStyle w:val="13"/>
            </w:pPr>
            <w:r>
              <w:t>4.11</w:t>
            </w:r>
          </w:p>
        </w:tc>
        <w:tc>
          <w:tcPr>
            <w:tcW w:w="2835" w:type="dxa"/>
            <w:vAlign w:val="center"/>
          </w:tcPr>
          <w:p w14:paraId="7025D0AF">
            <w:pPr>
              <w:pStyle w:val="11"/>
            </w:pPr>
            <w:r>
              <w:t>其中：财政    资金</w:t>
            </w:r>
          </w:p>
        </w:tc>
        <w:tc>
          <w:tcPr>
            <w:tcW w:w="2551" w:type="dxa"/>
            <w:vAlign w:val="center"/>
          </w:tcPr>
          <w:p w14:paraId="33C0739D">
            <w:pPr>
              <w:pStyle w:val="13"/>
            </w:pPr>
            <w:r>
              <w:t>4.11</w:t>
            </w:r>
          </w:p>
        </w:tc>
        <w:tc>
          <w:tcPr>
            <w:tcW w:w="2268" w:type="dxa"/>
            <w:vAlign w:val="center"/>
          </w:tcPr>
          <w:p w14:paraId="74B5D8DC">
            <w:pPr>
              <w:pStyle w:val="11"/>
            </w:pPr>
            <w:r>
              <w:t>其他资金</w:t>
            </w:r>
          </w:p>
        </w:tc>
        <w:tc>
          <w:tcPr>
            <w:tcW w:w="1276" w:type="dxa"/>
            <w:vAlign w:val="center"/>
          </w:tcPr>
          <w:p w14:paraId="3B6BBC94">
            <w:pPr>
              <w:pStyle w:val="13"/>
            </w:pPr>
            <w:r>
              <w:t xml:space="preserve"> </w:t>
            </w:r>
          </w:p>
        </w:tc>
      </w:tr>
      <w:tr w14:paraId="041A0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BDBBB"/>
        </w:tc>
        <w:tc>
          <w:tcPr>
            <w:tcW w:w="14033" w:type="dxa"/>
            <w:gridSpan w:val="6"/>
            <w:vAlign w:val="center"/>
          </w:tcPr>
          <w:p w14:paraId="3F7A8CED">
            <w:pPr>
              <w:pStyle w:val="13"/>
            </w:pPr>
            <w:r>
              <w:t>改善普通高中办学条件，进一步提升高中教育质量</w:t>
            </w:r>
          </w:p>
        </w:tc>
      </w:tr>
      <w:tr w14:paraId="1BD44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62FE3">
            <w:pPr>
              <w:pStyle w:val="11"/>
            </w:pPr>
            <w:r>
              <w:t>资金支出计划（%）</w:t>
            </w:r>
          </w:p>
        </w:tc>
        <w:tc>
          <w:tcPr>
            <w:tcW w:w="5103" w:type="dxa"/>
            <w:gridSpan w:val="2"/>
            <w:vAlign w:val="center"/>
          </w:tcPr>
          <w:p w14:paraId="15FFB946">
            <w:pPr>
              <w:pStyle w:val="11"/>
            </w:pPr>
            <w:r>
              <w:t>3月底</w:t>
            </w:r>
          </w:p>
        </w:tc>
        <w:tc>
          <w:tcPr>
            <w:tcW w:w="2835" w:type="dxa"/>
            <w:vAlign w:val="center"/>
          </w:tcPr>
          <w:p w14:paraId="1DB99AA2">
            <w:pPr>
              <w:pStyle w:val="11"/>
            </w:pPr>
            <w:r>
              <w:t>6月底</w:t>
            </w:r>
          </w:p>
        </w:tc>
        <w:tc>
          <w:tcPr>
            <w:tcW w:w="2551" w:type="dxa"/>
            <w:vAlign w:val="center"/>
          </w:tcPr>
          <w:p w14:paraId="5685BCF3">
            <w:pPr>
              <w:pStyle w:val="11"/>
            </w:pPr>
            <w:r>
              <w:t>10月底</w:t>
            </w:r>
          </w:p>
        </w:tc>
        <w:tc>
          <w:tcPr>
            <w:tcW w:w="3544" w:type="dxa"/>
            <w:gridSpan w:val="2"/>
            <w:vAlign w:val="center"/>
          </w:tcPr>
          <w:p w14:paraId="431EFAAF">
            <w:pPr>
              <w:pStyle w:val="11"/>
            </w:pPr>
            <w:r>
              <w:t>12月底</w:t>
            </w:r>
          </w:p>
        </w:tc>
      </w:tr>
      <w:tr w14:paraId="34B5E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A5B69"/>
        </w:tc>
        <w:tc>
          <w:tcPr>
            <w:tcW w:w="5103" w:type="dxa"/>
            <w:gridSpan w:val="2"/>
            <w:vAlign w:val="center"/>
          </w:tcPr>
          <w:p w14:paraId="7A24C596">
            <w:pPr>
              <w:pStyle w:val="12"/>
            </w:pPr>
            <w:r>
              <w:t xml:space="preserve"> </w:t>
            </w:r>
          </w:p>
        </w:tc>
        <w:tc>
          <w:tcPr>
            <w:tcW w:w="2835" w:type="dxa"/>
            <w:vAlign w:val="center"/>
          </w:tcPr>
          <w:p w14:paraId="139E96AF">
            <w:pPr>
              <w:pStyle w:val="12"/>
            </w:pPr>
            <w:r>
              <w:t xml:space="preserve"> </w:t>
            </w:r>
          </w:p>
        </w:tc>
        <w:tc>
          <w:tcPr>
            <w:tcW w:w="2551" w:type="dxa"/>
            <w:vAlign w:val="center"/>
          </w:tcPr>
          <w:p w14:paraId="4CCE076D">
            <w:pPr>
              <w:pStyle w:val="12"/>
            </w:pPr>
            <w:r>
              <w:t xml:space="preserve"> </w:t>
            </w:r>
          </w:p>
        </w:tc>
        <w:tc>
          <w:tcPr>
            <w:tcW w:w="3544" w:type="dxa"/>
            <w:gridSpan w:val="2"/>
            <w:vAlign w:val="center"/>
          </w:tcPr>
          <w:p w14:paraId="7BCFA68C">
            <w:pPr>
              <w:pStyle w:val="12"/>
            </w:pPr>
            <w:r>
              <w:t>100%</w:t>
            </w:r>
          </w:p>
        </w:tc>
      </w:tr>
      <w:tr w14:paraId="416AD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A07CF">
            <w:pPr>
              <w:pStyle w:val="11"/>
            </w:pPr>
            <w:r>
              <w:t>绩效目标</w:t>
            </w:r>
          </w:p>
        </w:tc>
        <w:tc>
          <w:tcPr>
            <w:tcW w:w="14033" w:type="dxa"/>
            <w:gridSpan w:val="6"/>
            <w:vAlign w:val="center"/>
          </w:tcPr>
          <w:p w14:paraId="2BCFB451">
            <w:pPr>
              <w:pStyle w:val="13"/>
            </w:pPr>
            <w:r>
              <w:t>1.改善普通高中办学条件，进一步提升高中教育质量</w:t>
            </w:r>
          </w:p>
          <w:p w14:paraId="476E0E51">
            <w:pPr>
              <w:pStyle w:val="13"/>
            </w:pPr>
            <w:r>
              <w:t>2.按时项目进度拨付资金，资金拨付率达到98%</w:t>
            </w:r>
          </w:p>
          <w:p w14:paraId="27E4581B">
            <w:pPr>
              <w:pStyle w:val="13"/>
            </w:pPr>
            <w:r>
              <w:t>3.落实全国中小学校舍改造实施规划，完善学校整体面貌和教育设施</w:t>
            </w:r>
          </w:p>
        </w:tc>
      </w:tr>
    </w:tbl>
    <w:p w14:paraId="3692D6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4B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E9A48">
            <w:pPr>
              <w:pStyle w:val="11"/>
            </w:pPr>
            <w:r>
              <w:t>一级指标</w:t>
            </w:r>
          </w:p>
        </w:tc>
        <w:tc>
          <w:tcPr>
            <w:tcW w:w="2268" w:type="dxa"/>
            <w:vAlign w:val="center"/>
          </w:tcPr>
          <w:p w14:paraId="73AC8B69">
            <w:pPr>
              <w:pStyle w:val="11"/>
            </w:pPr>
            <w:r>
              <w:t>二级指标</w:t>
            </w:r>
          </w:p>
        </w:tc>
        <w:tc>
          <w:tcPr>
            <w:tcW w:w="2835" w:type="dxa"/>
            <w:vAlign w:val="center"/>
          </w:tcPr>
          <w:p w14:paraId="319D8A2C">
            <w:pPr>
              <w:pStyle w:val="11"/>
            </w:pPr>
            <w:r>
              <w:t>三级指标</w:t>
            </w:r>
          </w:p>
        </w:tc>
        <w:tc>
          <w:tcPr>
            <w:tcW w:w="5386" w:type="dxa"/>
            <w:vAlign w:val="center"/>
          </w:tcPr>
          <w:p w14:paraId="49526A2D">
            <w:pPr>
              <w:pStyle w:val="11"/>
            </w:pPr>
            <w:r>
              <w:t>绩效指标描述</w:t>
            </w:r>
          </w:p>
        </w:tc>
        <w:tc>
          <w:tcPr>
            <w:tcW w:w="2268" w:type="dxa"/>
            <w:vAlign w:val="center"/>
          </w:tcPr>
          <w:p w14:paraId="113C8212">
            <w:pPr>
              <w:pStyle w:val="11"/>
            </w:pPr>
            <w:r>
              <w:t>指标值</w:t>
            </w:r>
          </w:p>
        </w:tc>
        <w:tc>
          <w:tcPr>
            <w:tcW w:w="1276" w:type="dxa"/>
            <w:vAlign w:val="center"/>
          </w:tcPr>
          <w:p w14:paraId="252B7710">
            <w:pPr>
              <w:pStyle w:val="11"/>
            </w:pPr>
            <w:r>
              <w:t>指标值确定依据</w:t>
            </w:r>
          </w:p>
        </w:tc>
      </w:tr>
      <w:tr w14:paraId="35715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88801">
            <w:pPr>
              <w:pStyle w:val="12"/>
            </w:pPr>
            <w:r>
              <w:t>产出指标</w:t>
            </w:r>
          </w:p>
        </w:tc>
        <w:tc>
          <w:tcPr>
            <w:tcW w:w="2268" w:type="dxa"/>
            <w:vAlign w:val="center"/>
          </w:tcPr>
          <w:p w14:paraId="7F1CA573">
            <w:pPr>
              <w:pStyle w:val="13"/>
            </w:pPr>
            <w:r>
              <w:t>数量指标</w:t>
            </w:r>
          </w:p>
        </w:tc>
        <w:tc>
          <w:tcPr>
            <w:tcW w:w="2835" w:type="dxa"/>
            <w:vAlign w:val="center"/>
          </w:tcPr>
          <w:p w14:paraId="34EBED2B">
            <w:pPr>
              <w:pStyle w:val="13"/>
            </w:pPr>
            <w:r>
              <w:t>普通高中新建、改扩建校舍面积</w:t>
            </w:r>
          </w:p>
        </w:tc>
        <w:tc>
          <w:tcPr>
            <w:tcW w:w="5386" w:type="dxa"/>
            <w:vAlign w:val="center"/>
          </w:tcPr>
          <w:p w14:paraId="017EED05">
            <w:pPr>
              <w:pStyle w:val="13"/>
            </w:pPr>
            <w:r>
              <w:t>学食堂改造地面铺砖面积</w:t>
            </w:r>
          </w:p>
        </w:tc>
        <w:tc>
          <w:tcPr>
            <w:tcW w:w="2268" w:type="dxa"/>
            <w:vAlign w:val="center"/>
          </w:tcPr>
          <w:p w14:paraId="1DB5D328">
            <w:pPr>
              <w:pStyle w:val="13"/>
            </w:pPr>
            <w:r>
              <w:t>≥686平方米</w:t>
            </w:r>
          </w:p>
        </w:tc>
        <w:tc>
          <w:tcPr>
            <w:tcW w:w="1276" w:type="dxa"/>
            <w:vAlign w:val="center"/>
          </w:tcPr>
          <w:p w14:paraId="049BB5BE">
            <w:pPr>
              <w:pStyle w:val="13"/>
            </w:pPr>
            <w:r>
              <w:t>可行性研究报告</w:t>
            </w:r>
          </w:p>
        </w:tc>
      </w:tr>
      <w:tr w14:paraId="1EBAE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ED4A0"/>
        </w:tc>
        <w:tc>
          <w:tcPr>
            <w:tcW w:w="2268" w:type="dxa"/>
            <w:vAlign w:val="center"/>
          </w:tcPr>
          <w:p w14:paraId="3994BB69">
            <w:pPr>
              <w:pStyle w:val="13"/>
            </w:pPr>
            <w:r>
              <w:t>质量指标</w:t>
            </w:r>
          </w:p>
        </w:tc>
        <w:tc>
          <w:tcPr>
            <w:tcW w:w="2835" w:type="dxa"/>
            <w:vAlign w:val="center"/>
          </w:tcPr>
          <w:p w14:paraId="5AEFFACA">
            <w:pPr>
              <w:pStyle w:val="13"/>
            </w:pPr>
            <w:r>
              <w:t>项目工程质量合格率</w:t>
            </w:r>
          </w:p>
        </w:tc>
        <w:tc>
          <w:tcPr>
            <w:tcW w:w="5386" w:type="dxa"/>
            <w:vAlign w:val="center"/>
          </w:tcPr>
          <w:p w14:paraId="26C390A3">
            <w:pPr>
              <w:pStyle w:val="13"/>
            </w:pPr>
            <w:r>
              <w:t>学食堂改造工程质量合格率</w:t>
            </w:r>
          </w:p>
        </w:tc>
        <w:tc>
          <w:tcPr>
            <w:tcW w:w="2268" w:type="dxa"/>
            <w:vAlign w:val="center"/>
          </w:tcPr>
          <w:p w14:paraId="510F4E3D">
            <w:pPr>
              <w:pStyle w:val="13"/>
            </w:pPr>
            <w:r>
              <w:t>≥100%</w:t>
            </w:r>
          </w:p>
        </w:tc>
        <w:tc>
          <w:tcPr>
            <w:tcW w:w="1276" w:type="dxa"/>
            <w:vAlign w:val="center"/>
          </w:tcPr>
          <w:p w14:paraId="6CF0AC45">
            <w:pPr>
              <w:pStyle w:val="13"/>
            </w:pPr>
            <w:r>
              <w:t>可行性研究报告</w:t>
            </w:r>
          </w:p>
        </w:tc>
      </w:tr>
      <w:tr w14:paraId="3D202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D3818"/>
        </w:tc>
        <w:tc>
          <w:tcPr>
            <w:tcW w:w="2268" w:type="dxa"/>
            <w:vAlign w:val="center"/>
          </w:tcPr>
          <w:p w14:paraId="45DF2C68">
            <w:pPr>
              <w:pStyle w:val="13"/>
            </w:pPr>
            <w:r>
              <w:t>时效指标</w:t>
            </w:r>
          </w:p>
        </w:tc>
        <w:tc>
          <w:tcPr>
            <w:tcW w:w="2835" w:type="dxa"/>
            <w:vAlign w:val="center"/>
          </w:tcPr>
          <w:p w14:paraId="43F6B5FE">
            <w:pPr>
              <w:pStyle w:val="13"/>
            </w:pPr>
            <w:r>
              <w:t>校舍、操场改造工程按期完成率</w:t>
            </w:r>
          </w:p>
        </w:tc>
        <w:tc>
          <w:tcPr>
            <w:tcW w:w="5386" w:type="dxa"/>
            <w:vAlign w:val="center"/>
          </w:tcPr>
          <w:p w14:paraId="320D5C23">
            <w:pPr>
              <w:pStyle w:val="13"/>
            </w:pPr>
            <w:r>
              <w:t>工程按时完工</w:t>
            </w:r>
          </w:p>
        </w:tc>
        <w:tc>
          <w:tcPr>
            <w:tcW w:w="2268" w:type="dxa"/>
            <w:vAlign w:val="center"/>
          </w:tcPr>
          <w:p w14:paraId="52745CF2">
            <w:pPr>
              <w:pStyle w:val="13"/>
            </w:pPr>
            <w:r>
              <w:t>10月完成项目审计与验收</w:t>
            </w:r>
          </w:p>
        </w:tc>
        <w:tc>
          <w:tcPr>
            <w:tcW w:w="1276" w:type="dxa"/>
            <w:vAlign w:val="center"/>
          </w:tcPr>
          <w:p w14:paraId="679DBFC0">
            <w:pPr>
              <w:pStyle w:val="13"/>
            </w:pPr>
            <w:r>
              <w:t>结合项目实际情况</w:t>
            </w:r>
          </w:p>
        </w:tc>
      </w:tr>
      <w:tr w14:paraId="68B3C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72D3F"/>
        </w:tc>
        <w:tc>
          <w:tcPr>
            <w:tcW w:w="2268" w:type="dxa"/>
            <w:vAlign w:val="center"/>
          </w:tcPr>
          <w:p w14:paraId="72314E4B">
            <w:pPr>
              <w:pStyle w:val="13"/>
            </w:pPr>
            <w:r>
              <w:t>成本指标</w:t>
            </w:r>
          </w:p>
        </w:tc>
        <w:tc>
          <w:tcPr>
            <w:tcW w:w="2835" w:type="dxa"/>
            <w:vAlign w:val="center"/>
          </w:tcPr>
          <w:p w14:paraId="5B1FA9BE">
            <w:pPr>
              <w:pStyle w:val="13"/>
            </w:pPr>
            <w:r>
              <w:t>设施修缮成本</w:t>
            </w:r>
          </w:p>
        </w:tc>
        <w:tc>
          <w:tcPr>
            <w:tcW w:w="5386" w:type="dxa"/>
            <w:vAlign w:val="center"/>
          </w:tcPr>
          <w:p w14:paraId="6674709C">
            <w:pPr>
              <w:pStyle w:val="13"/>
            </w:pPr>
            <w:r>
              <w:t>实行政府采购招投标</w:t>
            </w:r>
          </w:p>
        </w:tc>
        <w:tc>
          <w:tcPr>
            <w:tcW w:w="2268" w:type="dxa"/>
            <w:vAlign w:val="center"/>
          </w:tcPr>
          <w:p w14:paraId="752FEC14">
            <w:pPr>
              <w:pStyle w:val="13"/>
            </w:pPr>
            <w:r>
              <w:t>≤144万元</w:t>
            </w:r>
          </w:p>
        </w:tc>
        <w:tc>
          <w:tcPr>
            <w:tcW w:w="1276" w:type="dxa"/>
            <w:vAlign w:val="center"/>
          </w:tcPr>
          <w:p w14:paraId="26FB1345">
            <w:pPr>
              <w:pStyle w:val="13"/>
            </w:pPr>
            <w:r>
              <w:t>结合项目实际情况</w:t>
            </w:r>
          </w:p>
        </w:tc>
      </w:tr>
      <w:tr w14:paraId="073FE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9A0D6">
            <w:pPr>
              <w:pStyle w:val="12"/>
            </w:pPr>
            <w:r>
              <w:t>效益指标</w:t>
            </w:r>
          </w:p>
        </w:tc>
        <w:tc>
          <w:tcPr>
            <w:tcW w:w="2268" w:type="dxa"/>
            <w:vAlign w:val="center"/>
          </w:tcPr>
          <w:p w14:paraId="67EA084C">
            <w:pPr>
              <w:pStyle w:val="13"/>
            </w:pPr>
            <w:r>
              <w:t>社会效益指标</w:t>
            </w:r>
          </w:p>
        </w:tc>
        <w:tc>
          <w:tcPr>
            <w:tcW w:w="2835" w:type="dxa"/>
            <w:vAlign w:val="center"/>
          </w:tcPr>
          <w:p w14:paraId="2119E234">
            <w:pPr>
              <w:pStyle w:val="13"/>
            </w:pPr>
            <w:r>
              <w:t>受益人数</w:t>
            </w:r>
          </w:p>
        </w:tc>
        <w:tc>
          <w:tcPr>
            <w:tcW w:w="5386" w:type="dxa"/>
            <w:vAlign w:val="center"/>
          </w:tcPr>
          <w:p w14:paraId="4E337882">
            <w:pPr>
              <w:pStyle w:val="13"/>
            </w:pPr>
            <w:r>
              <w:t>收益师生人数</w:t>
            </w:r>
          </w:p>
        </w:tc>
        <w:tc>
          <w:tcPr>
            <w:tcW w:w="2268" w:type="dxa"/>
            <w:vAlign w:val="center"/>
          </w:tcPr>
          <w:p w14:paraId="3ECB7BE7">
            <w:pPr>
              <w:pStyle w:val="13"/>
            </w:pPr>
            <w:r>
              <w:t>≥5000人</w:t>
            </w:r>
          </w:p>
        </w:tc>
        <w:tc>
          <w:tcPr>
            <w:tcW w:w="1276" w:type="dxa"/>
            <w:vAlign w:val="center"/>
          </w:tcPr>
          <w:p w14:paraId="5E6CABFE">
            <w:pPr>
              <w:pStyle w:val="13"/>
            </w:pPr>
            <w:r>
              <w:t>可行性研究报告</w:t>
            </w:r>
          </w:p>
        </w:tc>
      </w:tr>
      <w:tr w14:paraId="6E235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F4A74"/>
        </w:tc>
        <w:tc>
          <w:tcPr>
            <w:tcW w:w="2268" w:type="dxa"/>
            <w:vAlign w:val="center"/>
          </w:tcPr>
          <w:p w14:paraId="1725136C">
            <w:pPr>
              <w:pStyle w:val="13"/>
            </w:pPr>
            <w:r>
              <w:t>可持续影响指标</w:t>
            </w:r>
          </w:p>
        </w:tc>
        <w:tc>
          <w:tcPr>
            <w:tcW w:w="2835" w:type="dxa"/>
            <w:vAlign w:val="center"/>
          </w:tcPr>
          <w:p w14:paraId="650E00E5">
            <w:pPr>
              <w:pStyle w:val="13"/>
            </w:pPr>
            <w:r>
              <w:t>校舍使用年限</w:t>
            </w:r>
          </w:p>
        </w:tc>
        <w:tc>
          <w:tcPr>
            <w:tcW w:w="5386" w:type="dxa"/>
            <w:vAlign w:val="center"/>
          </w:tcPr>
          <w:p w14:paraId="4DB62436">
            <w:pPr>
              <w:pStyle w:val="13"/>
            </w:pPr>
            <w:r>
              <w:t>提高校舍使用年限</w:t>
            </w:r>
          </w:p>
        </w:tc>
        <w:tc>
          <w:tcPr>
            <w:tcW w:w="2268" w:type="dxa"/>
            <w:vAlign w:val="center"/>
          </w:tcPr>
          <w:p w14:paraId="0272BDC3">
            <w:pPr>
              <w:pStyle w:val="13"/>
            </w:pPr>
            <w:r>
              <w:t>≥50年</w:t>
            </w:r>
          </w:p>
        </w:tc>
        <w:tc>
          <w:tcPr>
            <w:tcW w:w="1276" w:type="dxa"/>
            <w:vAlign w:val="center"/>
          </w:tcPr>
          <w:p w14:paraId="1CAE7A64">
            <w:pPr>
              <w:pStyle w:val="13"/>
            </w:pPr>
            <w:r>
              <w:t>可行性研究报告</w:t>
            </w:r>
          </w:p>
        </w:tc>
      </w:tr>
      <w:tr w14:paraId="014A4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DE032F">
            <w:pPr>
              <w:pStyle w:val="12"/>
            </w:pPr>
            <w:r>
              <w:t>满意度指标</w:t>
            </w:r>
          </w:p>
        </w:tc>
        <w:tc>
          <w:tcPr>
            <w:tcW w:w="2268" w:type="dxa"/>
            <w:vAlign w:val="center"/>
          </w:tcPr>
          <w:p w14:paraId="4DD9BB74">
            <w:pPr>
              <w:pStyle w:val="13"/>
            </w:pPr>
            <w:r>
              <w:t>服务对象满意度指标</w:t>
            </w:r>
          </w:p>
        </w:tc>
        <w:tc>
          <w:tcPr>
            <w:tcW w:w="2835" w:type="dxa"/>
            <w:vAlign w:val="center"/>
          </w:tcPr>
          <w:p w14:paraId="2555D4C8">
            <w:pPr>
              <w:pStyle w:val="13"/>
            </w:pPr>
            <w:r>
              <w:t>学生和学生家长满意度</w:t>
            </w:r>
          </w:p>
        </w:tc>
        <w:tc>
          <w:tcPr>
            <w:tcW w:w="5386" w:type="dxa"/>
            <w:vAlign w:val="center"/>
          </w:tcPr>
          <w:p w14:paraId="6E84A203">
            <w:pPr>
              <w:pStyle w:val="13"/>
            </w:pPr>
            <w:r>
              <w:t>大幅提高学生和学生家长满意度</w:t>
            </w:r>
          </w:p>
        </w:tc>
        <w:tc>
          <w:tcPr>
            <w:tcW w:w="2268" w:type="dxa"/>
            <w:vAlign w:val="center"/>
          </w:tcPr>
          <w:p w14:paraId="47F32480">
            <w:pPr>
              <w:pStyle w:val="13"/>
            </w:pPr>
            <w:r>
              <w:t>≥95%</w:t>
            </w:r>
          </w:p>
        </w:tc>
        <w:tc>
          <w:tcPr>
            <w:tcW w:w="1276" w:type="dxa"/>
            <w:vAlign w:val="center"/>
          </w:tcPr>
          <w:p w14:paraId="0D8B991A">
            <w:pPr>
              <w:pStyle w:val="13"/>
            </w:pPr>
            <w:r>
              <w:t>结合项目实际情况</w:t>
            </w:r>
          </w:p>
        </w:tc>
      </w:tr>
    </w:tbl>
    <w:p w14:paraId="6DC56460">
      <w:pPr>
        <w:sectPr>
          <w:pgSz w:w="16840" w:h="11900" w:orient="landscape"/>
          <w:pgMar w:top="1361" w:right="1020" w:bottom="1134" w:left="1020" w:header="720" w:footer="720" w:gutter="0"/>
          <w:cols w:space="720" w:num="1"/>
        </w:sectPr>
      </w:pPr>
    </w:p>
    <w:p w14:paraId="5BA63C19">
      <w:pPr>
        <w:spacing w:before="0" w:after="0"/>
        <w:ind w:firstLine="560"/>
        <w:jc w:val="left"/>
        <w:outlineLvl w:val="9"/>
      </w:pPr>
      <w:r>
        <w:rPr>
          <w:rFonts w:ascii="方正仿宋_GBK" w:hAnsi="方正仿宋_GBK" w:eastAsia="方正仿宋_GBK" w:cs="方正仿宋_GBK"/>
          <w:b/>
          <w:color w:val="000000"/>
          <w:sz w:val="28"/>
        </w:rPr>
        <w:t>16、县级配套/普通高中三免（一中）建档立卡绩效目标表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33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0815B">
            <w:pPr>
              <w:pStyle w:val="14"/>
            </w:pPr>
            <w:r>
              <w:t>单位：万元</w:t>
            </w:r>
          </w:p>
        </w:tc>
      </w:tr>
      <w:tr w14:paraId="01009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A6865B">
            <w:pPr>
              <w:pStyle w:val="11"/>
            </w:pPr>
            <w:r>
              <w:t>项目编码</w:t>
            </w:r>
          </w:p>
        </w:tc>
        <w:tc>
          <w:tcPr>
            <w:tcW w:w="5103" w:type="dxa"/>
            <w:gridSpan w:val="2"/>
            <w:vAlign w:val="center"/>
          </w:tcPr>
          <w:p w14:paraId="7CD1162D">
            <w:pPr>
              <w:pStyle w:val="13"/>
            </w:pPr>
            <w:r>
              <w:t>13052525P00001210009C</w:t>
            </w:r>
          </w:p>
        </w:tc>
        <w:tc>
          <w:tcPr>
            <w:tcW w:w="2835" w:type="dxa"/>
            <w:vAlign w:val="center"/>
          </w:tcPr>
          <w:p w14:paraId="028AAF15">
            <w:pPr>
              <w:pStyle w:val="11"/>
            </w:pPr>
            <w:r>
              <w:t>项目名称</w:t>
            </w:r>
          </w:p>
        </w:tc>
        <w:tc>
          <w:tcPr>
            <w:tcW w:w="6095" w:type="dxa"/>
            <w:gridSpan w:val="3"/>
            <w:vAlign w:val="center"/>
          </w:tcPr>
          <w:p w14:paraId="2130983C">
            <w:pPr>
              <w:pStyle w:val="13"/>
            </w:pPr>
            <w:r>
              <w:t>县级配套/普通高中三免（一中）建档立卡</w:t>
            </w:r>
            <w:r>
              <w:tab/>
            </w:r>
            <w:r>
              <w:tab/>
            </w:r>
          </w:p>
        </w:tc>
      </w:tr>
      <w:tr w14:paraId="70CCC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D3407">
            <w:pPr>
              <w:pStyle w:val="11"/>
            </w:pPr>
            <w:r>
              <w:t>预算规模及资金用途</w:t>
            </w:r>
          </w:p>
        </w:tc>
        <w:tc>
          <w:tcPr>
            <w:tcW w:w="2268" w:type="dxa"/>
            <w:vAlign w:val="center"/>
          </w:tcPr>
          <w:p w14:paraId="77BB212C">
            <w:pPr>
              <w:pStyle w:val="11"/>
            </w:pPr>
            <w:r>
              <w:t>预算数</w:t>
            </w:r>
          </w:p>
        </w:tc>
        <w:tc>
          <w:tcPr>
            <w:tcW w:w="2835" w:type="dxa"/>
            <w:vAlign w:val="center"/>
          </w:tcPr>
          <w:p w14:paraId="65222655">
            <w:pPr>
              <w:pStyle w:val="13"/>
            </w:pPr>
            <w:r>
              <w:t>6.94</w:t>
            </w:r>
          </w:p>
        </w:tc>
        <w:tc>
          <w:tcPr>
            <w:tcW w:w="2835" w:type="dxa"/>
            <w:vAlign w:val="center"/>
          </w:tcPr>
          <w:p w14:paraId="55A17472">
            <w:pPr>
              <w:pStyle w:val="11"/>
            </w:pPr>
            <w:r>
              <w:t>其中：财政    资金</w:t>
            </w:r>
          </w:p>
        </w:tc>
        <w:tc>
          <w:tcPr>
            <w:tcW w:w="2551" w:type="dxa"/>
            <w:vAlign w:val="center"/>
          </w:tcPr>
          <w:p w14:paraId="554D827B">
            <w:pPr>
              <w:pStyle w:val="13"/>
            </w:pPr>
            <w:r>
              <w:t>6.94</w:t>
            </w:r>
          </w:p>
        </w:tc>
        <w:tc>
          <w:tcPr>
            <w:tcW w:w="2268" w:type="dxa"/>
            <w:vAlign w:val="center"/>
          </w:tcPr>
          <w:p w14:paraId="1DFBE22F">
            <w:pPr>
              <w:pStyle w:val="11"/>
            </w:pPr>
            <w:r>
              <w:t>其他资金</w:t>
            </w:r>
          </w:p>
        </w:tc>
        <w:tc>
          <w:tcPr>
            <w:tcW w:w="1276" w:type="dxa"/>
            <w:vAlign w:val="center"/>
          </w:tcPr>
          <w:p w14:paraId="252A3775">
            <w:pPr>
              <w:pStyle w:val="13"/>
            </w:pPr>
            <w:r>
              <w:t xml:space="preserve"> </w:t>
            </w:r>
          </w:p>
        </w:tc>
      </w:tr>
      <w:tr w14:paraId="51B11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92065F"/>
        </w:tc>
        <w:tc>
          <w:tcPr>
            <w:tcW w:w="14033" w:type="dxa"/>
            <w:gridSpan w:val="6"/>
            <w:vAlign w:val="center"/>
          </w:tcPr>
          <w:p w14:paraId="4F601FD7">
            <w:pPr>
              <w:pStyle w:val="13"/>
            </w:pPr>
            <w:r>
              <w:t>深入宣传学生免学费政策，落实普通高中建档立卡家庭困难学生免除学杂费政策,减轻学生家长负担。</w:t>
            </w:r>
          </w:p>
        </w:tc>
      </w:tr>
      <w:tr w14:paraId="0B34F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E7F1C">
            <w:pPr>
              <w:pStyle w:val="11"/>
            </w:pPr>
            <w:r>
              <w:t>资金支出计划（%）</w:t>
            </w:r>
          </w:p>
        </w:tc>
        <w:tc>
          <w:tcPr>
            <w:tcW w:w="5103" w:type="dxa"/>
            <w:gridSpan w:val="2"/>
            <w:vAlign w:val="center"/>
          </w:tcPr>
          <w:p w14:paraId="18AEF0AA">
            <w:pPr>
              <w:pStyle w:val="11"/>
            </w:pPr>
            <w:r>
              <w:t>3月底</w:t>
            </w:r>
          </w:p>
        </w:tc>
        <w:tc>
          <w:tcPr>
            <w:tcW w:w="2835" w:type="dxa"/>
            <w:vAlign w:val="center"/>
          </w:tcPr>
          <w:p w14:paraId="316994EF">
            <w:pPr>
              <w:pStyle w:val="11"/>
            </w:pPr>
            <w:r>
              <w:t>6月底</w:t>
            </w:r>
          </w:p>
        </w:tc>
        <w:tc>
          <w:tcPr>
            <w:tcW w:w="2551" w:type="dxa"/>
            <w:vAlign w:val="center"/>
          </w:tcPr>
          <w:p w14:paraId="1A600ABA">
            <w:pPr>
              <w:pStyle w:val="11"/>
            </w:pPr>
            <w:r>
              <w:t>10月底</w:t>
            </w:r>
          </w:p>
        </w:tc>
        <w:tc>
          <w:tcPr>
            <w:tcW w:w="3544" w:type="dxa"/>
            <w:gridSpan w:val="2"/>
            <w:vAlign w:val="center"/>
          </w:tcPr>
          <w:p w14:paraId="61924B34">
            <w:pPr>
              <w:pStyle w:val="11"/>
            </w:pPr>
            <w:r>
              <w:t>12月底</w:t>
            </w:r>
          </w:p>
        </w:tc>
      </w:tr>
      <w:tr w14:paraId="2A6B3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A163F6"/>
        </w:tc>
        <w:tc>
          <w:tcPr>
            <w:tcW w:w="5103" w:type="dxa"/>
            <w:gridSpan w:val="2"/>
            <w:vAlign w:val="center"/>
          </w:tcPr>
          <w:p w14:paraId="1B9E267C">
            <w:pPr>
              <w:pStyle w:val="12"/>
            </w:pPr>
            <w:r>
              <w:t xml:space="preserve"> </w:t>
            </w:r>
          </w:p>
        </w:tc>
        <w:tc>
          <w:tcPr>
            <w:tcW w:w="2835" w:type="dxa"/>
            <w:vAlign w:val="center"/>
          </w:tcPr>
          <w:p w14:paraId="3AFC206E">
            <w:pPr>
              <w:pStyle w:val="12"/>
            </w:pPr>
            <w:r>
              <w:t>50%</w:t>
            </w:r>
          </w:p>
        </w:tc>
        <w:tc>
          <w:tcPr>
            <w:tcW w:w="2551" w:type="dxa"/>
            <w:vAlign w:val="center"/>
          </w:tcPr>
          <w:p w14:paraId="0E9F65A1">
            <w:pPr>
              <w:pStyle w:val="12"/>
            </w:pPr>
            <w:r>
              <w:t>100%</w:t>
            </w:r>
          </w:p>
        </w:tc>
        <w:tc>
          <w:tcPr>
            <w:tcW w:w="3544" w:type="dxa"/>
            <w:gridSpan w:val="2"/>
            <w:vAlign w:val="center"/>
          </w:tcPr>
          <w:p w14:paraId="1405E6CB">
            <w:pPr>
              <w:pStyle w:val="12"/>
            </w:pPr>
            <w:r>
              <w:t xml:space="preserve"> </w:t>
            </w:r>
          </w:p>
        </w:tc>
      </w:tr>
      <w:tr w14:paraId="3AC57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FEE83">
            <w:pPr>
              <w:pStyle w:val="11"/>
            </w:pPr>
            <w:r>
              <w:t>绩效目标</w:t>
            </w:r>
          </w:p>
        </w:tc>
        <w:tc>
          <w:tcPr>
            <w:tcW w:w="14033" w:type="dxa"/>
            <w:gridSpan w:val="6"/>
            <w:vAlign w:val="center"/>
          </w:tcPr>
          <w:p w14:paraId="389D3606">
            <w:pPr>
              <w:pStyle w:val="13"/>
            </w:pPr>
            <w:r>
              <w:t>1.减轻农民负担，增强普通高中教育的吸引力，加快县域经济发展</w:t>
            </w:r>
          </w:p>
          <w:p w14:paraId="67A21B24">
            <w:pPr>
              <w:pStyle w:val="13"/>
            </w:pPr>
            <w:r>
              <w:t>2.县级补助资金69440元，改善学校办学条件，普通高中教育招生增加，学生流失率下降，促进教育均衡发展</w:t>
            </w:r>
          </w:p>
          <w:p w14:paraId="53776812">
            <w:pPr>
              <w:pStyle w:val="13"/>
            </w:pPr>
            <w:r>
              <w:t>3.深入宣传学生免学费政策，落实普通高中建档立卡家庭困难学生免除学杂费政策</w:t>
            </w:r>
          </w:p>
        </w:tc>
      </w:tr>
    </w:tbl>
    <w:p w14:paraId="080DF8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04"/>
        <w:gridCol w:w="1470"/>
        <w:gridCol w:w="3056"/>
      </w:tblGrid>
      <w:tr w14:paraId="3D4C1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16D3E">
            <w:pPr>
              <w:pStyle w:val="11"/>
            </w:pPr>
            <w:r>
              <w:t>一级指标</w:t>
            </w:r>
          </w:p>
        </w:tc>
        <w:tc>
          <w:tcPr>
            <w:tcW w:w="2268" w:type="dxa"/>
            <w:vAlign w:val="center"/>
          </w:tcPr>
          <w:p w14:paraId="166CE7D1">
            <w:pPr>
              <w:pStyle w:val="11"/>
            </w:pPr>
            <w:r>
              <w:t>二级指标</w:t>
            </w:r>
          </w:p>
        </w:tc>
        <w:tc>
          <w:tcPr>
            <w:tcW w:w="2835" w:type="dxa"/>
            <w:vAlign w:val="center"/>
          </w:tcPr>
          <w:p w14:paraId="52E0404A">
            <w:pPr>
              <w:pStyle w:val="11"/>
            </w:pPr>
            <w:r>
              <w:t>三级指标</w:t>
            </w:r>
          </w:p>
        </w:tc>
        <w:tc>
          <w:tcPr>
            <w:tcW w:w="4404" w:type="dxa"/>
            <w:vAlign w:val="center"/>
          </w:tcPr>
          <w:p w14:paraId="7D1BDF2E">
            <w:pPr>
              <w:pStyle w:val="11"/>
            </w:pPr>
            <w:r>
              <w:t>绩效指标描述</w:t>
            </w:r>
          </w:p>
        </w:tc>
        <w:tc>
          <w:tcPr>
            <w:tcW w:w="1470" w:type="dxa"/>
            <w:vAlign w:val="center"/>
          </w:tcPr>
          <w:p w14:paraId="04D8448A">
            <w:pPr>
              <w:pStyle w:val="11"/>
            </w:pPr>
            <w:r>
              <w:t>指标值</w:t>
            </w:r>
          </w:p>
        </w:tc>
        <w:tc>
          <w:tcPr>
            <w:tcW w:w="3056" w:type="dxa"/>
            <w:vAlign w:val="center"/>
          </w:tcPr>
          <w:p w14:paraId="1026EBDB">
            <w:pPr>
              <w:pStyle w:val="11"/>
            </w:pPr>
            <w:r>
              <w:t>指标值确定依据</w:t>
            </w:r>
          </w:p>
        </w:tc>
      </w:tr>
      <w:tr w14:paraId="7785E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4EC99">
            <w:pPr>
              <w:pStyle w:val="12"/>
            </w:pPr>
            <w:r>
              <w:t>产出指标</w:t>
            </w:r>
          </w:p>
        </w:tc>
        <w:tc>
          <w:tcPr>
            <w:tcW w:w="2268" w:type="dxa"/>
            <w:vAlign w:val="center"/>
          </w:tcPr>
          <w:p w14:paraId="4B73A0CE">
            <w:pPr>
              <w:pStyle w:val="13"/>
            </w:pPr>
            <w:r>
              <w:t>数量指标</w:t>
            </w:r>
          </w:p>
        </w:tc>
        <w:tc>
          <w:tcPr>
            <w:tcW w:w="2835" w:type="dxa"/>
            <w:vAlign w:val="center"/>
          </w:tcPr>
          <w:p w14:paraId="70B28A93">
            <w:pPr>
              <w:pStyle w:val="13"/>
            </w:pPr>
            <w:r>
              <w:t>普通高中资助人数</w:t>
            </w:r>
          </w:p>
        </w:tc>
        <w:tc>
          <w:tcPr>
            <w:tcW w:w="4404" w:type="dxa"/>
            <w:vAlign w:val="center"/>
          </w:tcPr>
          <w:p w14:paraId="5F0D650A">
            <w:pPr>
              <w:pStyle w:val="13"/>
            </w:pPr>
            <w:r>
              <w:t>在我校就读具有正式注册学籍的建档立卡家庭学生</w:t>
            </w:r>
          </w:p>
        </w:tc>
        <w:tc>
          <w:tcPr>
            <w:tcW w:w="1470" w:type="dxa"/>
            <w:vAlign w:val="center"/>
          </w:tcPr>
          <w:p w14:paraId="6551F380">
            <w:pPr>
              <w:pStyle w:val="13"/>
            </w:pPr>
            <w:r>
              <w:t>≥248人</w:t>
            </w:r>
          </w:p>
        </w:tc>
        <w:tc>
          <w:tcPr>
            <w:tcW w:w="3056" w:type="dxa"/>
            <w:vAlign w:val="center"/>
          </w:tcPr>
          <w:p w14:paraId="158EDD4E">
            <w:pPr>
              <w:pStyle w:val="13"/>
            </w:pPr>
            <w:r>
              <w:t>年度预算</w:t>
            </w:r>
          </w:p>
        </w:tc>
      </w:tr>
      <w:tr w14:paraId="3A8D0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0D267"/>
        </w:tc>
        <w:tc>
          <w:tcPr>
            <w:tcW w:w="2268" w:type="dxa"/>
            <w:vAlign w:val="center"/>
          </w:tcPr>
          <w:p w14:paraId="57E311A6">
            <w:pPr>
              <w:pStyle w:val="13"/>
            </w:pPr>
            <w:r>
              <w:t>质量指标</w:t>
            </w:r>
          </w:p>
        </w:tc>
        <w:tc>
          <w:tcPr>
            <w:tcW w:w="2835" w:type="dxa"/>
            <w:vAlign w:val="center"/>
          </w:tcPr>
          <w:p w14:paraId="18798AEF">
            <w:pPr>
              <w:pStyle w:val="13"/>
            </w:pPr>
            <w:r>
              <w:t>成立评审小组</w:t>
            </w:r>
          </w:p>
        </w:tc>
        <w:tc>
          <w:tcPr>
            <w:tcW w:w="4404" w:type="dxa"/>
            <w:vAlign w:val="center"/>
          </w:tcPr>
          <w:p w14:paraId="31FEFA60">
            <w:pPr>
              <w:pStyle w:val="13"/>
            </w:pPr>
            <w:r>
              <w:t>成立普通高中贫困资助评审小组，建立监督检查制度</w:t>
            </w:r>
          </w:p>
        </w:tc>
        <w:tc>
          <w:tcPr>
            <w:tcW w:w="1470" w:type="dxa"/>
            <w:vAlign w:val="center"/>
          </w:tcPr>
          <w:p w14:paraId="0ABA70F2">
            <w:pPr>
              <w:pStyle w:val="13"/>
            </w:pPr>
            <w:r>
              <w:t>1小组</w:t>
            </w:r>
          </w:p>
        </w:tc>
        <w:tc>
          <w:tcPr>
            <w:tcW w:w="3056" w:type="dxa"/>
            <w:vAlign w:val="center"/>
          </w:tcPr>
          <w:p w14:paraId="3167003D">
            <w:pPr>
              <w:pStyle w:val="13"/>
            </w:pPr>
            <w:r>
              <w:t>河北省建档立卡家庭经济困难学生资助管理暂行办法</w:t>
            </w:r>
          </w:p>
        </w:tc>
      </w:tr>
      <w:tr w14:paraId="55768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6EC6F"/>
        </w:tc>
        <w:tc>
          <w:tcPr>
            <w:tcW w:w="2268" w:type="dxa"/>
            <w:vAlign w:val="center"/>
          </w:tcPr>
          <w:p w14:paraId="70964F3B">
            <w:pPr>
              <w:pStyle w:val="13"/>
            </w:pPr>
            <w:r>
              <w:t>时效指标</w:t>
            </w:r>
          </w:p>
        </w:tc>
        <w:tc>
          <w:tcPr>
            <w:tcW w:w="2835" w:type="dxa"/>
            <w:vAlign w:val="center"/>
          </w:tcPr>
          <w:p w14:paraId="60AD04E5">
            <w:pPr>
              <w:pStyle w:val="13"/>
            </w:pPr>
            <w:r>
              <w:t>补助资金到位</w:t>
            </w:r>
          </w:p>
        </w:tc>
        <w:tc>
          <w:tcPr>
            <w:tcW w:w="4404" w:type="dxa"/>
            <w:vAlign w:val="center"/>
          </w:tcPr>
          <w:p w14:paraId="63C13AE7">
            <w:pPr>
              <w:pStyle w:val="13"/>
            </w:pPr>
            <w:r>
              <w:t>补助资金到位及时率</w:t>
            </w:r>
          </w:p>
        </w:tc>
        <w:tc>
          <w:tcPr>
            <w:tcW w:w="1470" w:type="dxa"/>
            <w:vAlign w:val="center"/>
          </w:tcPr>
          <w:p w14:paraId="75181A45">
            <w:pPr>
              <w:pStyle w:val="13"/>
            </w:pPr>
            <w:r>
              <w:t>≥100%</w:t>
            </w:r>
          </w:p>
        </w:tc>
        <w:tc>
          <w:tcPr>
            <w:tcW w:w="3056" w:type="dxa"/>
            <w:vAlign w:val="center"/>
          </w:tcPr>
          <w:p w14:paraId="394EE4D7">
            <w:pPr>
              <w:pStyle w:val="13"/>
            </w:pPr>
            <w:r>
              <w:t>河北省建档立卡家庭经济困难学生资助管理暂行办法</w:t>
            </w:r>
          </w:p>
        </w:tc>
      </w:tr>
      <w:tr w14:paraId="0B1A1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4D4F2"/>
        </w:tc>
        <w:tc>
          <w:tcPr>
            <w:tcW w:w="2268" w:type="dxa"/>
            <w:vAlign w:val="center"/>
          </w:tcPr>
          <w:p w14:paraId="55C42C87">
            <w:pPr>
              <w:pStyle w:val="13"/>
            </w:pPr>
            <w:r>
              <w:t>成本指标</w:t>
            </w:r>
          </w:p>
        </w:tc>
        <w:tc>
          <w:tcPr>
            <w:tcW w:w="2835" w:type="dxa"/>
            <w:vAlign w:val="center"/>
          </w:tcPr>
          <w:p w14:paraId="59C0E035">
            <w:pPr>
              <w:pStyle w:val="13"/>
            </w:pPr>
            <w:r>
              <w:t>普通高中建档立卡学生减免标准</w:t>
            </w:r>
          </w:p>
        </w:tc>
        <w:tc>
          <w:tcPr>
            <w:tcW w:w="4404" w:type="dxa"/>
            <w:vAlign w:val="center"/>
          </w:tcPr>
          <w:p w14:paraId="3BA29EB6">
            <w:pPr>
              <w:pStyle w:val="13"/>
            </w:pPr>
            <w:r>
              <w:t>学费1600元/生/年；住宿费500元/生/年；书费300元/生/年</w:t>
            </w:r>
          </w:p>
        </w:tc>
        <w:tc>
          <w:tcPr>
            <w:tcW w:w="1470" w:type="dxa"/>
            <w:vAlign w:val="center"/>
          </w:tcPr>
          <w:p w14:paraId="2A8AF8D8">
            <w:pPr>
              <w:pStyle w:val="13"/>
            </w:pPr>
            <w:r>
              <w:t>2800元</w:t>
            </w:r>
          </w:p>
        </w:tc>
        <w:tc>
          <w:tcPr>
            <w:tcW w:w="3056" w:type="dxa"/>
            <w:vAlign w:val="center"/>
          </w:tcPr>
          <w:p w14:paraId="51C1F389">
            <w:pPr>
              <w:pStyle w:val="13"/>
            </w:pPr>
            <w:r>
              <w:t>河北省建档立卡家庭经济困难学生资助管理暂行办法</w:t>
            </w:r>
          </w:p>
        </w:tc>
      </w:tr>
      <w:tr w14:paraId="06776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59BAC">
            <w:pPr>
              <w:pStyle w:val="12"/>
            </w:pPr>
            <w:r>
              <w:t>效益指标</w:t>
            </w:r>
          </w:p>
        </w:tc>
        <w:tc>
          <w:tcPr>
            <w:tcW w:w="2268" w:type="dxa"/>
            <w:vAlign w:val="center"/>
          </w:tcPr>
          <w:p w14:paraId="7DEE9A01">
            <w:pPr>
              <w:pStyle w:val="13"/>
            </w:pPr>
            <w:r>
              <w:t>经济效益指标</w:t>
            </w:r>
          </w:p>
        </w:tc>
        <w:tc>
          <w:tcPr>
            <w:tcW w:w="2835" w:type="dxa"/>
            <w:vAlign w:val="center"/>
          </w:tcPr>
          <w:p w14:paraId="1A3230DE">
            <w:pPr>
              <w:pStyle w:val="13"/>
            </w:pPr>
            <w:r>
              <w:t>减轻家庭负担</w:t>
            </w:r>
          </w:p>
        </w:tc>
        <w:tc>
          <w:tcPr>
            <w:tcW w:w="4404" w:type="dxa"/>
            <w:vAlign w:val="center"/>
          </w:tcPr>
          <w:p w14:paraId="52BAE28F">
            <w:pPr>
              <w:pStyle w:val="13"/>
            </w:pPr>
            <w:r>
              <w:t>减轻建档立卡家庭学生家长经济负担</w:t>
            </w:r>
          </w:p>
        </w:tc>
        <w:tc>
          <w:tcPr>
            <w:tcW w:w="1470" w:type="dxa"/>
            <w:vAlign w:val="center"/>
          </w:tcPr>
          <w:p w14:paraId="1E760D1C">
            <w:pPr>
              <w:pStyle w:val="13"/>
            </w:pPr>
            <w:r>
              <w:t>减轻</w:t>
            </w:r>
          </w:p>
        </w:tc>
        <w:tc>
          <w:tcPr>
            <w:tcW w:w="3056" w:type="dxa"/>
            <w:vAlign w:val="center"/>
          </w:tcPr>
          <w:p w14:paraId="1B4682D2">
            <w:pPr>
              <w:pStyle w:val="13"/>
            </w:pPr>
            <w:r>
              <w:t>河北省建档立卡家庭经济困难学生资助管理暂行办法</w:t>
            </w:r>
          </w:p>
        </w:tc>
      </w:tr>
      <w:tr w14:paraId="54EFB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E7167"/>
        </w:tc>
        <w:tc>
          <w:tcPr>
            <w:tcW w:w="2268" w:type="dxa"/>
            <w:vAlign w:val="center"/>
          </w:tcPr>
          <w:p w14:paraId="23512BCB">
            <w:pPr>
              <w:pStyle w:val="13"/>
            </w:pPr>
            <w:r>
              <w:t>可持续影响指标</w:t>
            </w:r>
          </w:p>
        </w:tc>
        <w:tc>
          <w:tcPr>
            <w:tcW w:w="2835" w:type="dxa"/>
            <w:vAlign w:val="center"/>
          </w:tcPr>
          <w:p w14:paraId="49539AF4">
            <w:pPr>
              <w:pStyle w:val="13"/>
            </w:pPr>
            <w:r>
              <w:t>高中运转</w:t>
            </w:r>
          </w:p>
        </w:tc>
        <w:tc>
          <w:tcPr>
            <w:tcW w:w="4404" w:type="dxa"/>
            <w:vAlign w:val="center"/>
          </w:tcPr>
          <w:p w14:paraId="6B365F5F">
            <w:pPr>
              <w:pStyle w:val="13"/>
            </w:pPr>
            <w:r>
              <w:t>高中生受教育年限</w:t>
            </w:r>
          </w:p>
        </w:tc>
        <w:tc>
          <w:tcPr>
            <w:tcW w:w="1470" w:type="dxa"/>
            <w:vAlign w:val="center"/>
          </w:tcPr>
          <w:p w14:paraId="4F960DCA">
            <w:pPr>
              <w:pStyle w:val="13"/>
            </w:pPr>
            <w:r>
              <w:t>3年</w:t>
            </w:r>
          </w:p>
        </w:tc>
        <w:tc>
          <w:tcPr>
            <w:tcW w:w="3056" w:type="dxa"/>
            <w:vAlign w:val="center"/>
          </w:tcPr>
          <w:p w14:paraId="735BC500">
            <w:pPr>
              <w:pStyle w:val="13"/>
            </w:pPr>
            <w:r>
              <w:t>河北省建档立卡家庭经济困难学生资助管理暂行办法</w:t>
            </w:r>
          </w:p>
        </w:tc>
      </w:tr>
      <w:tr w14:paraId="58BA3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71766B">
            <w:pPr>
              <w:pStyle w:val="12"/>
            </w:pPr>
            <w:r>
              <w:t>满意度指标</w:t>
            </w:r>
          </w:p>
        </w:tc>
        <w:tc>
          <w:tcPr>
            <w:tcW w:w="2268" w:type="dxa"/>
            <w:vAlign w:val="center"/>
          </w:tcPr>
          <w:p w14:paraId="4E90433B">
            <w:pPr>
              <w:pStyle w:val="13"/>
            </w:pPr>
            <w:r>
              <w:t>服务对象满意度指标</w:t>
            </w:r>
          </w:p>
        </w:tc>
        <w:tc>
          <w:tcPr>
            <w:tcW w:w="2835" w:type="dxa"/>
            <w:vAlign w:val="center"/>
          </w:tcPr>
          <w:p w14:paraId="258590BD">
            <w:pPr>
              <w:pStyle w:val="13"/>
            </w:pPr>
            <w:r>
              <w:t>提升幸福指数</w:t>
            </w:r>
          </w:p>
        </w:tc>
        <w:tc>
          <w:tcPr>
            <w:tcW w:w="4404" w:type="dxa"/>
            <w:vAlign w:val="center"/>
          </w:tcPr>
          <w:p w14:paraId="36EA5AAE">
            <w:pPr>
              <w:pStyle w:val="13"/>
            </w:pPr>
            <w:r>
              <w:t>提升建档立卡贫困家庭学生幸福指数</w:t>
            </w:r>
          </w:p>
          <w:p w14:paraId="7DDD980A">
            <w:pPr>
              <w:pStyle w:val="13"/>
            </w:pPr>
            <w:r>
              <w:t>家长学生满意</w:t>
            </w:r>
          </w:p>
        </w:tc>
        <w:tc>
          <w:tcPr>
            <w:tcW w:w="1470" w:type="dxa"/>
            <w:vAlign w:val="center"/>
          </w:tcPr>
          <w:p w14:paraId="36945987">
            <w:pPr>
              <w:pStyle w:val="13"/>
            </w:pPr>
            <w:r>
              <w:t>≥98%</w:t>
            </w:r>
          </w:p>
        </w:tc>
        <w:tc>
          <w:tcPr>
            <w:tcW w:w="3056" w:type="dxa"/>
            <w:vAlign w:val="center"/>
          </w:tcPr>
          <w:p w14:paraId="565FDC5B">
            <w:pPr>
              <w:pStyle w:val="13"/>
            </w:pPr>
            <w:r>
              <w:t>河北省建档立卡家庭经济困难学生资助管理暂行办法</w:t>
            </w:r>
          </w:p>
        </w:tc>
      </w:tr>
    </w:tbl>
    <w:p w14:paraId="7D9D33E9">
      <w:pPr>
        <w:sectPr>
          <w:pgSz w:w="16840" w:h="11900" w:orient="landscape"/>
          <w:pgMar w:top="1361" w:right="1020" w:bottom="1134" w:left="1020" w:header="720" w:footer="720" w:gutter="0"/>
          <w:cols w:space="720" w:num="1"/>
        </w:sectPr>
      </w:pPr>
    </w:p>
    <w:p w14:paraId="488A9198">
      <w:pPr>
        <w:spacing w:before="0" w:after="0"/>
        <w:ind w:firstLine="560"/>
        <w:jc w:val="left"/>
        <w:outlineLvl w:val="9"/>
      </w:pPr>
      <w:r>
        <w:rPr>
          <w:rFonts w:ascii="方正仿宋_GBK" w:hAnsi="方正仿宋_GBK" w:eastAsia="方正仿宋_GBK" w:cs="方正仿宋_GBK"/>
          <w:b/>
          <w:color w:val="000000"/>
          <w:sz w:val="28"/>
        </w:rPr>
        <w:t>17、县级配套/资助/普通高中助学金（一中）绩效目标表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45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688C8">
            <w:pPr>
              <w:pStyle w:val="14"/>
            </w:pPr>
            <w:r>
              <w:t>单位：万元</w:t>
            </w:r>
          </w:p>
        </w:tc>
      </w:tr>
      <w:tr w14:paraId="3CC41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089B2F">
            <w:pPr>
              <w:pStyle w:val="11"/>
            </w:pPr>
            <w:r>
              <w:t>项目编码</w:t>
            </w:r>
          </w:p>
        </w:tc>
        <w:tc>
          <w:tcPr>
            <w:tcW w:w="5103" w:type="dxa"/>
            <w:gridSpan w:val="2"/>
            <w:vAlign w:val="center"/>
          </w:tcPr>
          <w:p w14:paraId="559EAD2D">
            <w:pPr>
              <w:pStyle w:val="13"/>
            </w:pPr>
            <w:r>
              <w:t>13052525P00001210005X</w:t>
            </w:r>
          </w:p>
        </w:tc>
        <w:tc>
          <w:tcPr>
            <w:tcW w:w="2835" w:type="dxa"/>
            <w:vAlign w:val="center"/>
          </w:tcPr>
          <w:p w14:paraId="6F52F1B5">
            <w:pPr>
              <w:pStyle w:val="11"/>
            </w:pPr>
            <w:r>
              <w:t>项目名称</w:t>
            </w:r>
          </w:p>
        </w:tc>
        <w:tc>
          <w:tcPr>
            <w:tcW w:w="6095" w:type="dxa"/>
            <w:gridSpan w:val="3"/>
            <w:vAlign w:val="center"/>
          </w:tcPr>
          <w:p w14:paraId="1D08E0C6">
            <w:pPr>
              <w:pStyle w:val="13"/>
            </w:pPr>
            <w:r>
              <w:t>县级配套/资助/普通高中助学金（一中）</w:t>
            </w:r>
          </w:p>
        </w:tc>
      </w:tr>
      <w:tr w14:paraId="250D6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35039">
            <w:pPr>
              <w:pStyle w:val="11"/>
            </w:pPr>
            <w:r>
              <w:t>预算规模及资金用途</w:t>
            </w:r>
          </w:p>
        </w:tc>
        <w:tc>
          <w:tcPr>
            <w:tcW w:w="2268" w:type="dxa"/>
            <w:vAlign w:val="center"/>
          </w:tcPr>
          <w:p w14:paraId="35858EC6">
            <w:pPr>
              <w:pStyle w:val="11"/>
            </w:pPr>
            <w:r>
              <w:t>预算数</w:t>
            </w:r>
          </w:p>
        </w:tc>
        <w:tc>
          <w:tcPr>
            <w:tcW w:w="2835" w:type="dxa"/>
            <w:vAlign w:val="center"/>
          </w:tcPr>
          <w:p w14:paraId="5841AD17">
            <w:pPr>
              <w:pStyle w:val="13"/>
            </w:pPr>
            <w:r>
              <w:t>35.42</w:t>
            </w:r>
          </w:p>
        </w:tc>
        <w:tc>
          <w:tcPr>
            <w:tcW w:w="2835" w:type="dxa"/>
            <w:vAlign w:val="center"/>
          </w:tcPr>
          <w:p w14:paraId="21106A89">
            <w:pPr>
              <w:pStyle w:val="11"/>
            </w:pPr>
            <w:r>
              <w:t>其中：财政    资金</w:t>
            </w:r>
          </w:p>
        </w:tc>
        <w:tc>
          <w:tcPr>
            <w:tcW w:w="2551" w:type="dxa"/>
            <w:vAlign w:val="center"/>
          </w:tcPr>
          <w:p w14:paraId="47D9FA0F">
            <w:pPr>
              <w:pStyle w:val="13"/>
            </w:pPr>
            <w:r>
              <w:t>35.42</w:t>
            </w:r>
          </w:p>
        </w:tc>
        <w:tc>
          <w:tcPr>
            <w:tcW w:w="2268" w:type="dxa"/>
            <w:vAlign w:val="center"/>
          </w:tcPr>
          <w:p w14:paraId="7E08B4CB">
            <w:pPr>
              <w:pStyle w:val="11"/>
            </w:pPr>
            <w:r>
              <w:t>其他资金</w:t>
            </w:r>
          </w:p>
        </w:tc>
        <w:tc>
          <w:tcPr>
            <w:tcW w:w="1276" w:type="dxa"/>
            <w:vAlign w:val="center"/>
          </w:tcPr>
          <w:p w14:paraId="5EB225EF">
            <w:pPr>
              <w:pStyle w:val="13"/>
            </w:pPr>
            <w:r>
              <w:t xml:space="preserve"> </w:t>
            </w:r>
          </w:p>
        </w:tc>
      </w:tr>
      <w:tr w14:paraId="396D3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3729BC"/>
        </w:tc>
        <w:tc>
          <w:tcPr>
            <w:tcW w:w="14033" w:type="dxa"/>
            <w:gridSpan w:val="6"/>
            <w:vAlign w:val="center"/>
          </w:tcPr>
          <w:p w14:paraId="3741D7BD">
            <w:pPr>
              <w:pStyle w:val="13"/>
            </w:pPr>
            <w:r>
              <w:t>深入宣传学生资助政策，落实河北省普通高中国家助学金管理办法</w:t>
            </w:r>
          </w:p>
        </w:tc>
      </w:tr>
      <w:tr w14:paraId="02489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D6BE5">
            <w:pPr>
              <w:pStyle w:val="11"/>
            </w:pPr>
            <w:r>
              <w:t>资金支出计划（%）</w:t>
            </w:r>
          </w:p>
        </w:tc>
        <w:tc>
          <w:tcPr>
            <w:tcW w:w="5103" w:type="dxa"/>
            <w:gridSpan w:val="2"/>
            <w:vAlign w:val="center"/>
          </w:tcPr>
          <w:p w14:paraId="4287F569">
            <w:pPr>
              <w:pStyle w:val="11"/>
            </w:pPr>
            <w:r>
              <w:t>3月底</w:t>
            </w:r>
          </w:p>
        </w:tc>
        <w:tc>
          <w:tcPr>
            <w:tcW w:w="2835" w:type="dxa"/>
            <w:vAlign w:val="center"/>
          </w:tcPr>
          <w:p w14:paraId="541BF1D6">
            <w:pPr>
              <w:pStyle w:val="11"/>
            </w:pPr>
            <w:r>
              <w:t>6月底</w:t>
            </w:r>
          </w:p>
        </w:tc>
        <w:tc>
          <w:tcPr>
            <w:tcW w:w="2551" w:type="dxa"/>
            <w:vAlign w:val="center"/>
          </w:tcPr>
          <w:p w14:paraId="52868CC6">
            <w:pPr>
              <w:pStyle w:val="11"/>
            </w:pPr>
            <w:r>
              <w:t>10月底</w:t>
            </w:r>
          </w:p>
        </w:tc>
        <w:tc>
          <w:tcPr>
            <w:tcW w:w="3544" w:type="dxa"/>
            <w:gridSpan w:val="2"/>
            <w:vAlign w:val="center"/>
          </w:tcPr>
          <w:p w14:paraId="56F4220D">
            <w:pPr>
              <w:pStyle w:val="11"/>
            </w:pPr>
            <w:r>
              <w:t>12月底</w:t>
            </w:r>
          </w:p>
        </w:tc>
      </w:tr>
      <w:tr w14:paraId="7B5AB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70921F"/>
        </w:tc>
        <w:tc>
          <w:tcPr>
            <w:tcW w:w="5103" w:type="dxa"/>
            <w:gridSpan w:val="2"/>
            <w:vAlign w:val="center"/>
          </w:tcPr>
          <w:p w14:paraId="1B3E675E">
            <w:pPr>
              <w:pStyle w:val="12"/>
            </w:pPr>
            <w:r>
              <w:t xml:space="preserve"> </w:t>
            </w:r>
          </w:p>
        </w:tc>
        <w:tc>
          <w:tcPr>
            <w:tcW w:w="2835" w:type="dxa"/>
            <w:vAlign w:val="center"/>
          </w:tcPr>
          <w:p w14:paraId="2FEFEEB5">
            <w:pPr>
              <w:pStyle w:val="12"/>
            </w:pPr>
            <w:r>
              <w:t>50%</w:t>
            </w:r>
          </w:p>
        </w:tc>
        <w:tc>
          <w:tcPr>
            <w:tcW w:w="2551" w:type="dxa"/>
            <w:vAlign w:val="center"/>
          </w:tcPr>
          <w:p w14:paraId="260EF3ED">
            <w:pPr>
              <w:pStyle w:val="12"/>
            </w:pPr>
            <w:r>
              <w:t>100%</w:t>
            </w:r>
          </w:p>
        </w:tc>
        <w:tc>
          <w:tcPr>
            <w:tcW w:w="3544" w:type="dxa"/>
            <w:gridSpan w:val="2"/>
            <w:vAlign w:val="center"/>
          </w:tcPr>
          <w:p w14:paraId="07E9B373">
            <w:pPr>
              <w:pStyle w:val="12"/>
            </w:pPr>
            <w:r>
              <w:t xml:space="preserve"> </w:t>
            </w:r>
          </w:p>
        </w:tc>
      </w:tr>
      <w:tr w14:paraId="5983E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81BEB">
            <w:pPr>
              <w:pStyle w:val="11"/>
            </w:pPr>
            <w:r>
              <w:t>绩效目标</w:t>
            </w:r>
          </w:p>
        </w:tc>
        <w:tc>
          <w:tcPr>
            <w:tcW w:w="14033" w:type="dxa"/>
            <w:gridSpan w:val="6"/>
            <w:vAlign w:val="center"/>
          </w:tcPr>
          <w:p w14:paraId="36CFCC89">
            <w:pPr>
              <w:pStyle w:val="13"/>
            </w:pPr>
            <w:r>
              <w:t>1.优先资助建档立卡家庭学生、孤残学生、父母丧失劳动能力学生、少数民族学生、烈士子女与单亲家庭经济困难学生、低保、特困救助、突发致贫学生</w:t>
            </w:r>
          </w:p>
          <w:p w14:paraId="0FD66158">
            <w:pPr>
              <w:pStyle w:val="13"/>
            </w:pPr>
            <w:r>
              <w:t>2.及时发放资助资金，确保贫困家庭学生得到资助，不因贫困失学辍学</w:t>
            </w:r>
          </w:p>
          <w:p w14:paraId="4C1BBA18">
            <w:pPr>
              <w:pStyle w:val="13"/>
            </w:pPr>
            <w:r>
              <w:t>3.深入宣传学生资助政策，落实河北省普通高中国家助学金管理办法</w:t>
            </w:r>
          </w:p>
        </w:tc>
      </w:tr>
    </w:tbl>
    <w:p w14:paraId="1A401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14"/>
        <w:gridCol w:w="1455"/>
        <w:gridCol w:w="2861"/>
      </w:tblGrid>
      <w:tr w14:paraId="2EC42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63A1B">
            <w:pPr>
              <w:pStyle w:val="11"/>
            </w:pPr>
            <w:r>
              <w:t>一级指标</w:t>
            </w:r>
          </w:p>
        </w:tc>
        <w:tc>
          <w:tcPr>
            <w:tcW w:w="2268" w:type="dxa"/>
            <w:vAlign w:val="center"/>
          </w:tcPr>
          <w:p w14:paraId="03E9A7F0">
            <w:pPr>
              <w:pStyle w:val="11"/>
            </w:pPr>
            <w:r>
              <w:t>二级指标</w:t>
            </w:r>
          </w:p>
        </w:tc>
        <w:tc>
          <w:tcPr>
            <w:tcW w:w="2835" w:type="dxa"/>
            <w:vAlign w:val="center"/>
          </w:tcPr>
          <w:p w14:paraId="096ED802">
            <w:pPr>
              <w:pStyle w:val="11"/>
            </w:pPr>
            <w:r>
              <w:t>三级指标</w:t>
            </w:r>
          </w:p>
        </w:tc>
        <w:tc>
          <w:tcPr>
            <w:tcW w:w="4614" w:type="dxa"/>
            <w:vAlign w:val="center"/>
          </w:tcPr>
          <w:p w14:paraId="3BC8A85F">
            <w:pPr>
              <w:pStyle w:val="11"/>
            </w:pPr>
            <w:r>
              <w:t>绩效指标描述</w:t>
            </w:r>
          </w:p>
        </w:tc>
        <w:tc>
          <w:tcPr>
            <w:tcW w:w="1455" w:type="dxa"/>
            <w:vAlign w:val="center"/>
          </w:tcPr>
          <w:p w14:paraId="0DD5FADB">
            <w:pPr>
              <w:pStyle w:val="11"/>
            </w:pPr>
            <w:r>
              <w:t>指标值</w:t>
            </w:r>
          </w:p>
        </w:tc>
        <w:tc>
          <w:tcPr>
            <w:tcW w:w="2861" w:type="dxa"/>
            <w:vAlign w:val="center"/>
          </w:tcPr>
          <w:p w14:paraId="37297513">
            <w:pPr>
              <w:pStyle w:val="11"/>
            </w:pPr>
            <w:r>
              <w:t>指标值确定依据</w:t>
            </w:r>
          </w:p>
        </w:tc>
      </w:tr>
      <w:tr w14:paraId="5D906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FCC92">
            <w:pPr>
              <w:pStyle w:val="12"/>
            </w:pPr>
            <w:r>
              <w:t>产出指标</w:t>
            </w:r>
          </w:p>
        </w:tc>
        <w:tc>
          <w:tcPr>
            <w:tcW w:w="2268" w:type="dxa"/>
            <w:vAlign w:val="center"/>
          </w:tcPr>
          <w:p w14:paraId="2269D6D7">
            <w:pPr>
              <w:pStyle w:val="13"/>
            </w:pPr>
            <w:r>
              <w:t>数量指标</w:t>
            </w:r>
          </w:p>
        </w:tc>
        <w:tc>
          <w:tcPr>
            <w:tcW w:w="2835" w:type="dxa"/>
            <w:vAlign w:val="center"/>
          </w:tcPr>
          <w:p w14:paraId="70C7A6FF">
            <w:pPr>
              <w:pStyle w:val="13"/>
            </w:pPr>
            <w:r>
              <w:t>普通高中资助人数</w:t>
            </w:r>
          </w:p>
        </w:tc>
        <w:tc>
          <w:tcPr>
            <w:tcW w:w="4614" w:type="dxa"/>
            <w:vAlign w:val="center"/>
          </w:tcPr>
          <w:p w14:paraId="6B6EC5AA">
            <w:pPr>
              <w:pStyle w:val="13"/>
            </w:pPr>
            <w:r>
              <w:t>普通高中助学受资助人数约占普通高中在校生总数的18%</w:t>
            </w:r>
          </w:p>
        </w:tc>
        <w:tc>
          <w:tcPr>
            <w:tcW w:w="1455" w:type="dxa"/>
            <w:vAlign w:val="center"/>
          </w:tcPr>
          <w:p w14:paraId="7D8D4E48">
            <w:pPr>
              <w:pStyle w:val="13"/>
            </w:pPr>
            <w:r>
              <w:t>≥770人</w:t>
            </w:r>
          </w:p>
        </w:tc>
        <w:tc>
          <w:tcPr>
            <w:tcW w:w="2861" w:type="dxa"/>
            <w:vAlign w:val="center"/>
          </w:tcPr>
          <w:p w14:paraId="1A18B674">
            <w:pPr>
              <w:pStyle w:val="13"/>
            </w:pPr>
            <w:r>
              <w:t>年度预算</w:t>
            </w:r>
          </w:p>
        </w:tc>
      </w:tr>
      <w:tr w14:paraId="5197B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080E7"/>
        </w:tc>
        <w:tc>
          <w:tcPr>
            <w:tcW w:w="2268" w:type="dxa"/>
            <w:vAlign w:val="center"/>
          </w:tcPr>
          <w:p w14:paraId="04952E21">
            <w:pPr>
              <w:pStyle w:val="13"/>
            </w:pPr>
            <w:r>
              <w:t>质量指标</w:t>
            </w:r>
          </w:p>
        </w:tc>
        <w:tc>
          <w:tcPr>
            <w:tcW w:w="2835" w:type="dxa"/>
            <w:vAlign w:val="center"/>
          </w:tcPr>
          <w:p w14:paraId="225300F0">
            <w:pPr>
              <w:pStyle w:val="13"/>
            </w:pPr>
            <w:r>
              <w:t>成立评审小组</w:t>
            </w:r>
          </w:p>
        </w:tc>
        <w:tc>
          <w:tcPr>
            <w:tcW w:w="4614" w:type="dxa"/>
            <w:vAlign w:val="center"/>
          </w:tcPr>
          <w:p w14:paraId="226DFCA0">
            <w:pPr>
              <w:pStyle w:val="13"/>
            </w:pPr>
            <w:r>
              <w:t>成立普高助学金评审小组建立监督检查制度</w:t>
            </w:r>
          </w:p>
        </w:tc>
        <w:tc>
          <w:tcPr>
            <w:tcW w:w="1455" w:type="dxa"/>
            <w:vAlign w:val="center"/>
          </w:tcPr>
          <w:p w14:paraId="4F55A089">
            <w:pPr>
              <w:pStyle w:val="13"/>
            </w:pPr>
            <w:r>
              <w:t>1组</w:t>
            </w:r>
          </w:p>
        </w:tc>
        <w:tc>
          <w:tcPr>
            <w:tcW w:w="2861" w:type="dxa"/>
            <w:vAlign w:val="center"/>
          </w:tcPr>
          <w:p w14:paraId="1EDAEFBB">
            <w:pPr>
              <w:pStyle w:val="13"/>
            </w:pPr>
            <w:r>
              <w:t>隆尧县普通高中国家助学金管理办法</w:t>
            </w:r>
          </w:p>
        </w:tc>
      </w:tr>
      <w:tr w14:paraId="6D97B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90D75"/>
        </w:tc>
        <w:tc>
          <w:tcPr>
            <w:tcW w:w="2268" w:type="dxa"/>
            <w:vAlign w:val="center"/>
          </w:tcPr>
          <w:p w14:paraId="52D92282">
            <w:pPr>
              <w:pStyle w:val="13"/>
            </w:pPr>
            <w:r>
              <w:t>时效指标</w:t>
            </w:r>
          </w:p>
        </w:tc>
        <w:tc>
          <w:tcPr>
            <w:tcW w:w="2835" w:type="dxa"/>
            <w:vAlign w:val="center"/>
          </w:tcPr>
          <w:p w14:paraId="45B950E5">
            <w:pPr>
              <w:pStyle w:val="13"/>
            </w:pPr>
            <w:r>
              <w:t>补助资金到位</w:t>
            </w:r>
          </w:p>
        </w:tc>
        <w:tc>
          <w:tcPr>
            <w:tcW w:w="4614" w:type="dxa"/>
            <w:vAlign w:val="center"/>
          </w:tcPr>
          <w:p w14:paraId="086A44D4">
            <w:pPr>
              <w:pStyle w:val="13"/>
            </w:pPr>
            <w:r>
              <w:t>补助资金及时足额到位率</w:t>
            </w:r>
          </w:p>
        </w:tc>
        <w:tc>
          <w:tcPr>
            <w:tcW w:w="1455" w:type="dxa"/>
            <w:vAlign w:val="center"/>
          </w:tcPr>
          <w:p w14:paraId="7CCFE188">
            <w:pPr>
              <w:pStyle w:val="13"/>
            </w:pPr>
            <w:r>
              <w:t>≥100%</w:t>
            </w:r>
          </w:p>
        </w:tc>
        <w:tc>
          <w:tcPr>
            <w:tcW w:w="2861" w:type="dxa"/>
            <w:vAlign w:val="center"/>
          </w:tcPr>
          <w:p w14:paraId="40F10DF9">
            <w:pPr>
              <w:pStyle w:val="13"/>
            </w:pPr>
            <w:r>
              <w:t>隆尧县普通高中国家助学金管理办法</w:t>
            </w:r>
          </w:p>
        </w:tc>
      </w:tr>
      <w:tr w14:paraId="211CF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F4C2D"/>
        </w:tc>
        <w:tc>
          <w:tcPr>
            <w:tcW w:w="2268" w:type="dxa"/>
            <w:vAlign w:val="center"/>
          </w:tcPr>
          <w:p w14:paraId="407823AC">
            <w:pPr>
              <w:pStyle w:val="13"/>
            </w:pPr>
            <w:r>
              <w:t>成本指标</w:t>
            </w:r>
          </w:p>
        </w:tc>
        <w:tc>
          <w:tcPr>
            <w:tcW w:w="2835" w:type="dxa"/>
            <w:vAlign w:val="center"/>
          </w:tcPr>
          <w:p w14:paraId="087A5E9F">
            <w:pPr>
              <w:pStyle w:val="13"/>
            </w:pPr>
            <w:r>
              <w:t>普高国家助学金标准</w:t>
            </w:r>
          </w:p>
        </w:tc>
        <w:tc>
          <w:tcPr>
            <w:tcW w:w="4614" w:type="dxa"/>
            <w:vAlign w:val="center"/>
          </w:tcPr>
          <w:p w14:paraId="5C66F515">
            <w:pPr>
              <w:pStyle w:val="13"/>
            </w:pPr>
            <w:r>
              <w:t>普高国家助学金资助标准2300元/生/年</w:t>
            </w:r>
          </w:p>
        </w:tc>
        <w:tc>
          <w:tcPr>
            <w:tcW w:w="1455" w:type="dxa"/>
            <w:vAlign w:val="center"/>
          </w:tcPr>
          <w:p w14:paraId="50AFDADF">
            <w:pPr>
              <w:pStyle w:val="13"/>
            </w:pPr>
            <w:r>
              <w:t>2300元</w:t>
            </w:r>
          </w:p>
        </w:tc>
        <w:tc>
          <w:tcPr>
            <w:tcW w:w="2861" w:type="dxa"/>
            <w:vAlign w:val="center"/>
          </w:tcPr>
          <w:p w14:paraId="022D7329">
            <w:pPr>
              <w:pStyle w:val="13"/>
            </w:pPr>
            <w:r>
              <w:t>隆尧县普通高中国家助学金管理办法</w:t>
            </w:r>
          </w:p>
        </w:tc>
      </w:tr>
      <w:tr w14:paraId="6B5E1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1B902">
            <w:pPr>
              <w:pStyle w:val="12"/>
            </w:pPr>
            <w:r>
              <w:t>效益指标</w:t>
            </w:r>
          </w:p>
        </w:tc>
        <w:tc>
          <w:tcPr>
            <w:tcW w:w="2268" w:type="dxa"/>
            <w:vAlign w:val="center"/>
          </w:tcPr>
          <w:p w14:paraId="09AE64B5">
            <w:pPr>
              <w:pStyle w:val="13"/>
            </w:pPr>
            <w:r>
              <w:t>经济效益指标</w:t>
            </w:r>
          </w:p>
        </w:tc>
        <w:tc>
          <w:tcPr>
            <w:tcW w:w="2835" w:type="dxa"/>
            <w:vAlign w:val="center"/>
          </w:tcPr>
          <w:p w14:paraId="291E270E">
            <w:pPr>
              <w:pStyle w:val="13"/>
            </w:pPr>
            <w:r>
              <w:t>减轻家庭负担</w:t>
            </w:r>
          </w:p>
        </w:tc>
        <w:tc>
          <w:tcPr>
            <w:tcW w:w="4614" w:type="dxa"/>
            <w:vAlign w:val="center"/>
          </w:tcPr>
          <w:p w14:paraId="70F7CD9B">
            <w:pPr>
              <w:pStyle w:val="13"/>
            </w:pPr>
            <w:r>
              <w:t>减轻建档立卡家庭学生家长经济负担</w:t>
            </w:r>
          </w:p>
        </w:tc>
        <w:tc>
          <w:tcPr>
            <w:tcW w:w="1455" w:type="dxa"/>
            <w:vAlign w:val="center"/>
          </w:tcPr>
          <w:p w14:paraId="0C5E355E">
            <w:pPr>
              <w:pStyle w:val="13"/>
            </w:pPr>
            <w:r>
              <w:t>减轻</w:t>
            </w:r>
          </w:p>
        </w:tc>
        <w:tc>
          <w:tcPr>
            <w:tcW w:w="2861" w:type="dxa"/>
            <w:vAlign w:val="center"/>
          </w:tcPr>
          <w:p w14:paraId="08DFB412">
            <w:pPr>
              <w:pStyle w:val="13"/>
            </w:pPr>
            <w:r>
              <w:t>隆尧县普通高中国家助学金管理办法</w:t>
            </w:r>
          </w:p>
        </w:tc>
      </w:tr>
      <w:tr w14:paraId="56E3B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783F9"/>
        </w:tc>
        <w:tc>
          <w:tcPr>
            <w:tcW w:w="2268" w:type="dxa"/>
            <w:vAlign w:val="center"/>
          </w:tcPr>
          <w:p w14:paraId="615B214C">
            <w:pPr>
              <w:pStyle w:val="13"/>
            </w:pPr>
            <w:r>
              <w:t>可持续影响指标</w:t>
            </w:r>
          </w:p>
        </w:tc>
        <w:tc>
          <w:tcPr>
            <w:tcW w:w="2835" w:type="dxa"/>
            <w:vAlign w:val="center"/>
          </w:tcPr>
          <w:p w14:paraId="5C517875">
            <w:pPr>
              <w:pStyle w:val="13"/>
            </w:pPr>
            <w:r>
              <w:t>高中运转</w:t>
            </w:r>
          </w:p>
        </w:tc>
        <w:tc>
          <w:tcPr>
            <w:tcW w:w="4614" w:type="dxa"/>
            <w:vAlign w:val="center"/>
          </w:tcPr>
          <w:p w14:paraId="587E125E">
            <w:pPr>
              <w:pStyle w:val="13"/>
            </w:pPr>
            <w:r>
              <w:t>高中生受教育年限</w:t>
            </w:r>
          </w:p>
        </w:tc>
        <w:tc>
          <w:tcPr>
            <w:tcW w:w="1455" w:type="dxa"/>
            <w:vAlign w:val="center"/>
          </w:tcPr>
          <w:p w14:paraId="04FA7E7F">
            <w:pPr>
              <w:pStyle w:val="13"/>
            </w:pPr>
            <w:r>
              <w:t>3年</w:t>
            </w:r>
          </w:p>
        </w:tc>
        <w:tc>
          <w:tcPr>
            <w:tcW w:w="2861" w:type="dxa"/>
            <w:vAlign w:val="center"/>
          </w:tcPr>
          <w:p w14:paraId="0BC8C4F3">
            <w:pPr>
              <w:pStyle w:val="13"/>
            </w:pPr>
            <w:r>
              <w:t>隆尧县普通高中国家助学金管理办法</w:t>
            </w:r>
          </w:p>
        </w:tc>
      </w:tr>
      <w:tr w14:paraId="37151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543567">
            <w:pPr>
              <w:pStyle w:val="12"/>
            </w:pPr>
            <w:r>
              <w:t>满意度指标</w:t>
            </w:r>
          </w:p>
        </w:tc>
        <w:tc>
          <w:tcPr>
            <w:tcW w:w="2268" w:type="dxa"/>
            <w:vAlign w:val="center"/>
          </w:tcPr>
          <w:p w14:paraId="6A8E6C8E">
            <w:pPr>
              <w:pStyle w:val="13"/>
            </w:pPr>
            <w:r>
              <w:t>服务对象满意度指标</w:t>
            </w:r>
          </w:p>
        </w:tc>
        <w:tc>
          <w:tcPr>
            <w:tcW w:w="2835" w:type="dxa"/>
            <w:vAlign w:val="center"/>
          </w:tcPr>
          <w:p w14:paraId="1CF4FF7D">
            <w:pPr>
              <w:pStyle w:val="13"/>
            </w:pPr>
            <w:r>
              <w:t>提升幸福指数</w:t>
            </w:r>
          </w:p>
        </w:tc>
        <w:tc>
          <w:tcPr>
            <w:tcW w:w="4614" w:type="dxa"/>
            <w:vAlign w:val="center"/>
          </w:tcPr>
          <w:p w14:paraId="00D6E193">
            <w:pPr>
              <w:pStyle w:val="13"/>
            </w:pPr>
            <w:r>
              <w:t>提升建档立卡贫困家庭学生幸福指数</w:t>
            </w:r>
          </w:p>
          <w:p w14:paraId="1CF4D208">
            <w:pPr>
              <w:pStyle w:val="13"/>
            </w:pPr>
            <w:r>
              <w:t>家长学生满意</w:t>
            </w:r>
          </w:p>
        </w:tc>
        <w:tc>
          <w:tcPr>
            <w:tcW w:w="1455" w:type="dxa"/>
            <w:vAlign w:val="center"/>
          </w:tcPr>
          <w:p w14:paraId="321F9DB1">
            <w:pPr>
              <w:pStyle w:val="13"/>
            </w:pPr>
            <w:r>
              <w:t>≥98%</w:t>
            </w:r>
          </w:p>
        </w:tc>
        <w:tc>
          <w:tcPr>
            <w:tcW w:w="2861" w:type="dxa"/>
            <w:vAlign w:val="center"/>
          </w:tcPr>
          <w:p w14:paraId="1F7A6243">
            <w:pPr>
              <w:pStyle w:val="13"/>
            </w:pPr>
            <w:r>
              <w:t>隆尧县普通高中国家助学金管理办法</w:t>
            </w:r>
          </w:p>
        </w:tc>
      </w:tr>
    </w:tbl>
    <w:p w14:paraId="5DBB6FEB">
      <w:pPr>
        <w:sectPr>
          <w:pgSz w:w="16840" w:h="11900" w:orient="landscape"/>
          <w:pgMar w:top="1361" w:right="1020" w:bottom="1134" w:left="1020" w:header="720" w:footer="720" w:gutter="0"/>
          <w:cols w:space="720" w:num="1"/>
        </w:sectPr>
      </w:pPr>
    </w:p>
    <w:p w14:paraId="4A3DD922">
      <w:pPr>
        <w:spacing w:before="10" w:after="10" w:line="240" w:lineRule="auto"/>
        <w:ind w:firstLine="640"/>
        <w:jc w:val="left"/>
        <w:outlineLvl w:val="5"/>
      </w:pPr>
      <w:r>
        <w:rPr>
          <w:rFonts w:ascii="黑体" w:hAnsi="黑体" w:eastAsia="黑体" w:cs="黑体"/>
          <w:color w:val="000000"/>
          <w:sz w:val="32"/>
        </w:rPr>
        <w:t>六、政府采购预算情况</w:t>
      </w:r>
    </w:p>
    <w:p w14:paraId="29E62E3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D9FC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0027D9E">
            <w:pPr>
              <w:pStyle w:val="8"/>
            </w:pPr>
            <w:r>
              <w:t>360003河北隆尧第一中学</w:t>
            </w:r>
          </w:p>
        </w:tc>
        <w:tc>
          <w:tcPr>
            <w:tcW w:w="7712" w:type="dxa"/>
            <w:gridSpan w:val="8"/>
            <w:tcBorders>
              <w:top w:val="single" w:color="FFFFFF" w:sz="6" w:space="0"/>
              <w:left w:val="single" w:color="FFFFFF" w:sz="6" w:space="0"/>
              <w:right w:val="single" w:color="FFFFFF" w:sz="6" w:space="0"/>
            </w:tcBorders>
            <w:vAlign w:val="center"/>
          </w:tcPr>
          <w:p w14:paraId="56CE7052">
            <w:pPr>
              <w:pStyle w:val="22"/>
            </w:pPr>
            <w:r>
              <w:t>单位：万元</w:t>
            </w:r>
          </w:p>
        </w:tc>
      </w:tr>
      <w:tr w14:paraId="43001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03475A1">
            <w:pPr>
              <w:pStyle w:val="11"/>
            </w:pPr>
            <w:r>
              <w:t>政府采购项目来源</w:t>
            </w:r>
          </w:p>
        </w:tc>
        <w:tc>
          <w:tcPr>
            <w:tcW w:w="1134" w:type="dxa"/>
            <w:vMerge w:val="restart"/>
            <w:vAlign w:val="center"/>
          </w:tcPr>
          <w:p w14:paraId="02E52A24">
            <w:pPr>
              <w:pStyle w:val="11"/>
            </w:pPr>
            <w:r>
              <w:t>采购物品名称</w:t>
            </w:r>
          </w:p>
        </w:tc>
        <w:tc>
          <w:tcPr>
            <w:tcW w:w="1134" w:type="dxa"/>
            <w:vMerge w:val="restart"/>
            <w:vAlign w:val="center"/>
          </w:tcPr>
          <w:p w14:paraId="3933ABFD">
            <w:pPr>
              <w:pStyle w:val="11"/>
            </w:pPr>
            <w:r>
              <w:t>政府采购目录序号</w:t>
            </w:r>
          </w:p>
        </w:tc>
        <w:tc>
          <w:tcPr>
            <w:tcW w:w="709" w:type="dxa"/>
            <w:vMerge w:val="restart"/>
            <w:vAlign w:val="center"/>
          </w:tcPr>
          <w:p w14:paraId="647740AC">
            <w:pPr>
              <w:pStyle w:val="11"/>
            </w:pPr>
            <w:r>
              <w:t>计量  单位</w:t>
            </w:r>
          </w:p>
        </w:tc>
        <w:tc>
          <w:tcPr>
            <w:tcW w:w="850" w:type="dxa"/>
            <w:vMerge w:val="restart"/>
            <w:vAlign w:val="center"/>
          </w:tcPr>
          <w:p w14:paraId="514D86FD">
            <w:pPr>
              <w:pStyle w:val="11"/>
            </w:pPr>
            <w:r>
              <w:t>数量</w:t>
            </w:r>
          </w:p>
        </w:tc>
        <w:tc>
          <w:tcPr>
            <w:tcW w:w="850" w:type="dxa"/>
            <w:vMerge w:val="restart"/>
            <w:vAlign w:val="center"/>
          </w:tcPr>
          <w:p w14:paraId="74DBE732">
            <w:pPr>
              <w:pStyle w:val="11"/>
            </w:pPr>
            <w:r>
              <w:t>单价</w:t>
            </w:r>
          </w:p>
        </w:tc>
        <w:tc>
          <w:tcPr>
            <w:tcW w:w="6748" w:type="dxa"/>
            <w:gridSpan w:val="7"/>
            <w:vAlign w:val="center"/>
          </w:tcPr>
          <w:p w14:paraId="084E0FFC">
            <w:pPr>
              <w:pStyle w:val="11"/>
            </w:pPr>
            <w:r>
              <w:t>政府采购金额（当年部门预算安排资金）</w:t>
            </w:r>
          </w:p>
        </w:tc>
        <w:tc>
          <w:tcPr>
            <w:tcW w:w="964" w:type="dxa"/>
            <w:vMerge w:val="restart"/>
            <w:vAlign w:val="center"/>
          </w:tcPr>
          <w:p w14:paraId="6AD90704">
            <w:pPr>
              <w:pStyle w:val="11"/>
            </w:pPr>
            <w:r>
              <w:t>2025年  预留中  小微企  业份额</w:t>
            </w:r>
          </w:p>
        </w:tc>
      </w:tr>
      <w:tr w14:paraId="39BDF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63FEE3C">
            <w:pPr>
              <w:pStyle w:val="11"/>
            </w:pPr>
            <w:r>
              <w:t>项目名称</w:t>
            </w:r>
          </w:p>
        </w:tc>
        <w:tc>
          <w:tcPr>
            <w:tcW w:w="964" w:type="dxa"/>
            <w:vAlign w:val="center"/>
          </w:tcPr>
          <w:p w14:paraId="32E91A11">
            <w:pPr>
              <w:pStyle w:val="11"/>
            </w:pPr>
            <w:r>
              <w:t>预算    资金</w:t>
            </w:r>
          </w:p>
        </w:tc>
        <w:tc>
          <w:tcPr>
            <w:tcW w:w="1134" w:type="dxa"/>
            <w:vMerge w:val="continue"/>
          </w:tcPr>
          <w:p w14:paraId="4EE4A055"/>
        </w:tc>
        <w:tc>
          <w:tcPr>
            <w:tcW w:w="1134" w:type="dxa"/>
            <w:vMerge w:val="continue"/>
          </w:tcPr>
          <w:p w14:paraId="1C243E72"/>
        </w:tc>
        <w:tc>
          <w:tcPr>
            <w:tcW w:w="709" w:type="dxa"/>
            <w:vMerge w:val="continue"/>
          </w:tcPr>
          <w:p w14:paraId="0F5F4B19"/>
        </w:tc>
        <w:tc>
          <w:tcPr>
            <w:tcW w:w="850" w:type="dxa"/>
            <w:vMerge w:val="continue"/>
          </w:tcPr>
          <w:p w14:paraId="0836D86B"/>
        </w:tc>
        <w:tc>
          <w:tcPr>
            <w:tcW w:w="850" w:type="dxa"/>
            <w:vMerge w:val="continue"/>
          </w:tcPr>
          <w:p w14:paraId="79039014"/>
        </w:tc>
        <w:tc>
          <w:tcPr>
            <w:tcW w:w="964" w:type="dxa"/>
            <w:vAlign w:val="center"/>
          </w:tcPr>
          <w:p w14:paraId="6D0152FD">
            <w:pPr>
              <w:pStyle w:val="11"/>
            </w:pPr>
            <w:r>
              <w:t>合计</w:t>
            </w:r>
          </w:p>
        </w:tc>
        <w:tc>
          <w:tcPr>
            <w:tcW w:w="964" w:type="dxa"/>
            <w:vAlign w:val="center"/>
          </w:tcPr>
          <w:p w14:paraId="70CA2710">
            <w:pPr>
              <w:pStyle w:val="11"/>
            </w:pPr>
            <w:r>
              <w:t>一般公共预算拨款</w:t>
            </w:r>
          </w:p>
        </w:tc>
        <w:tc>
          <w:tcPr>
            <w:tcW w:w="964" w:type="dxa"/>
            <w:vAlign w:val="center"/>
          </w:tcPr>
          <w:p w14:paraId="2E181C7B">
            <w:pPr>
              <w:pStyle w:val="11"/>
            </w:pPr>
            <w:r>
              <w:t>基金预算拨款</w:t>
            </w:r>
          </w:p>
        </w:tc>
        <w:tc>
          <w:tcPr>
            <w:tcW w:w="964" w:type="dxa"/>
            <w:vAlign w:val="center"/>
          </w:tcPr>
          <w:p w14:paraId="73926C3D">
            <w:pPr>
              <w:pStyle w:val="11"/>
            </w:pPr>
            <w:r>
              <w:t>国有资本经营预算拨款</w:t>
            </w:r>
          </w:p>
        </w:tc>
        <w:tc>
          <w:tcPr>
            <w:tcW w:w="964" w:type="dxa"/>
            <w:vAlign w:val="center"/>
          </w:tcPr>
          <w:p w14:paraId="5F0A6589">
            <w:pPr>
              <w:pStyle w:val="11"/>
            </w:pPr>
            <w:r>
              <w:t>财政专户核拨</w:t>
            </w:r>
          </w:p>
        </w:tc>
        <w:tc>
          <w:tcPr>
            <w:tcW w:w="964" w:type="dxa"/>
            <w:vAlign w:val="center"/>
          </w:tcPr>
          <w:p w14:paraId="066D5E9C">
            <w:pPr>
              <w:pStyle w:val="11"/>
            </w:pPr>
            <w:r>
              <w:t>单位    资金</w:t>
            </w:r>
          </w:p>
        </w:tc>
        <w:tc>
          <w:tcPr>
            <w:tcW w:w="964" w:type="dxa"/>
            <w:vAlign w:val="center"/>
          </w:tcPr>
          <w:p w14:paraId="593F9AB3">
            <w:pPr>
              <w:pStyle w:val="11"/>
            </w:pPr>
            <w:r>
              <w:t>上年结转结余</w:t>
            </w:r>
          </w:p>
        </w:tc>
        <w:tc>
          <w:tcPr>
            <w:tcW w:w="964" w:type="dxa"/>
            <w:vMerge w:val="continue"/>
          </w:tcPr>
          <w:p w14:paraId="0AB429D3"/>
        </w:tc>
      </w:tr>
      <w:tr w14:paraId="735D2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7DEA90">
            <w:pPr>
              <w:pStyle w:val="15"/>
            </w:pPr>
            <w:r>
              <w:t>合  计</w:t>
            </w:r>
          </w:p>
        </w:tc>
        <w:tc>
          <w:tcPr>
            <w:tcW w:w="964" w:type="dxa"/>
            <w:vAlign w:val="center"/>
          </w:tcPr>
          <w:p w14:paraId="7D0851CC">
            <w:pPr>
              <w:pStyle w:val="16"/>
            </w:pPr>
          </w:p>
        </w:tc>
        <w:tc>
          <w:tcPr>
            <w:tcW w:w="1134" w:type="dxa"/>
            <w:vAlign w:val="center"/>
          </w:tcPr>
          <w:p w14:paraId="7900B18B">
            <w:pPr>
              <w:pStyle w:val="17"/>
            </w:pPr>
          </w:p>
        </w:tc>
        <w:tc>
          <w:tcPr>
            <w:tcW w:w="1134" w:type="dxa"/>
            <w:vAlign w:val="center"/>
          </w:tcPr>
          <w:p w14:paraId="7BA00D62">
            <w:pPr>
              <w:pStyle w:val="17"/>
            </w:pPr>
          </w:p>
        </w:tc>
        <w:tc>
          <w:tcPr>
            <w:tcW w:w="709" w:type="dxa"/>
            <w:vAlign w:val="center"/>
          </w:tcPr>
          <w:p w14:paraId="61BB53E0">
            <w:pPr>
              <w:pStyle w:val="15"/>
            </w:pPr>
          </w:p>
        </w:tc>
        <w:tc>
          <w:tcPr>
            <w:tcW w:w="850" w:type="dxa"/>
            <w:vAlign w:val="center"/>
          </w:tcPr>
          <w:p w14:paraId="48169F05">
            <w:pPr>
              <w:pStyle w:val="16"/>
            </w:pPr>
          </w:p>
        </w:tc>
        <w:tc>
          <w:tcPr>
            <w:tcW w:w="850" w:type="dxa"/>
            <w:vAlign w:val="center"/>
          </w:tcPr>
          <w:p w14:paraId="35A5D0B8">
            <w:pPr>
              <w:pStyle w:val="16"/>
            </w:pPr>
          </w:p>
        </w:tc>
        <w:tc>
          <w:tcPr>
            <w:tcW w:w="964" w:type="dxa"/>
            <w:vAlign w:val="center"/>
          </w:tcPr>
          <w:p w14:paraId="5E3887CD">
            <w:pPr>
              <w:pStyle w:val="16"/>
            </w:pPr>
            <w:r>
              <w:t>485.83</w:t>
            </w:r>
          </w:p>
        </w:tc>
        <w:tc>
          <w:tcPr>
            <w:tcW w:w="964" w:type="dxa"/>
            <w:vAlign w:val="center"/>
          </w:tcPr>
          <w:p w14:paraId="4CC60406">
            <w:pPr>
              <w:pStyle w:val="16"/>
            </w:pPr>
            <w:r>
              <w:t>368.00</w:t>
            </w:r>
          </w:p>
        </w:tc>
        <w:tc>
          <w:tcPr>
            <w:tcW w:w="964" w:type="dxa"/>
            <w:vAlign w:val="center"/>
          </w:tcPr>
          <w:p w14:paraId="78315CAF">
            <w:pPr>
              <w:pStyle w:val="16"/>
            </w:pPr>
          </w:p>
        </w:tc>
        <w:tc>
          <w:tcPr>
            <w:tcW w:w="964" w:type="dxa"/>
            <w:vAlign w:val="center"/>
          </w:tcPr>
          <w:p w14:paraId="0CD15C7A">
            <w:pPr>
              <w:pStyle w:val="16"/>
            </w:pPr>
          </w:p>
        </w:tc>
        <w:tc>
          <w:tcPr>
            <w:tcW w:w="964" w:type="dxa"/>
            <w:vAlign w:val="center"/>
          </w:tcPr>
          <w:p w14:paraId="4D5BE039">
            <w:pPr>
              <w:pStyle w:val="16"/>
            </w:pPr>
            <w:r>
              <w:t>117.83</w:t>
            </w:r>
          </w:p>
        </w:tc>
        <w:tc>
          <w:tcPr>
            <w:tcW w:w="964" w:type="dxa"/>
            <w:vAlign w:val="center"/>
          </w:tcPr>
          <w:p w14:paraId="1BBA9E89">
            <w:pPr>
              <w:pStyle w:val="16"/>
            </w:pPr>
          </w:p>
        </w:tc>
        <w:tc>
          <w:tcPr>
            <w:tcW w:w="964" w:type="dxa"/>
            <w:vAlign w:val="center"/>
          </w:tcPr>
          <w:p w14:paraId="66C2242D">
            <w:pPr>
              <w:pStyle w:val="16"/>
            </w:pPr>
          </w:p>
        </w:tc>
        <w:tc>
          <w:tcPr>
            <w:tcW w:w="964" w:type="dxa"/>
            <w:vAlign w:val="center"/>
          </w:tcPr>
          <w:p w14:paraId="61E313A0">
            <w:pPr>
              <w:pStyle w:val="16"/>
            </w:pPr>
            <w:r>
              <w:t>485.83</w:t>
            </w:r>
          </w:p>
        </w:tc>
      </w:tr>
      <w:tr w14:paraId="617F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9BBB356">
            <w:pPr>
              <w:pStyle w:val="15"/>
            </w:pPr>
            <w:r>
              <w:t>河北隆尧第一中学小计</w:t>
            </w:r>
          </w:p>
        </w:tc>
        <w:tc>
          <w:tcPr>
            <w:tcW w:w="964" w:type="dxa"/>
            <w:vAlign w:val="center"/>
          </w:tcPr>
          <w:p w14:paraId="7DE2C56C">
            <w:pPr>
              <w:pStyle w:val="16"/>
            </w:pPr>
          </w:p>
        </w:tc>
        <w:tc>
          <w:tcPr>
            <w:tcW w:w="1134" w:type="dxa"/>
            <w:vAlign w:val="center"/>
          </w:tcPr>
          <w:p w14:paraId="6F599B81">
            <w:pPr>
              <w:pStyle w:val="17"/>
            </w:pPr>
          </w:p>
        </w:tc>
        <w:tc>
          <w:tcPr>
            <w:tcW w:w="1134" w:type="dxa"/>
            <w:vAlign w:val="center"/>
          </w:tcPr>
          <w:p w14:paraId="53A24385">
            <w:pPr>
              <w:pStyle w:val="17"/>
            </w:pPr>
          </w:p>
        </w:tc>
        <w:tc>
          <w:tcPr>
            <w:tcW w:w="709" w:type="dxa"/>
            <w:vAlign w:val="center"/>
          </w:tcPr>
          <w:p w14:paraId="4D249B94">
            <w:pPr>
              <w:pStyle w:val="15"/>
            </w:pPr>
          </w:p>
        </w:tc>
        <w:tc>
          <w:tcPr>
            <w:tcW w:w="850" w:type="dxa"/>
            <w:vAlign w:val="center"/>
          </w:tcPr>
          <w:p w14:paraId="6E64A7F0">
            <w:pPr>
              <w:pStyle w:val="16"/>
            </w:pPr>
          </w:p>
        </w:tc>
        <w:tc>
          <w:tcPr>
            <w:tcW w:w="850" w:type="dxa"/>
            <w:vAlign w:val="center"/>
          </w:tcPr>
          <w:p w14:paraId="1947211F">
            <w:pPr>
              <w:pStyle w:val="16"/>
            </w:pPr>
          </w:p>
        </w:tc>
        <w:tc>
          <w:tcPr>
            <w:tcW w:w="964" w:type="dxa"/>
            <w:vAlign w:val="center"/>
          </w:tcPr>
          <w:p w14:paraId="0C1433C2">
            <w:pPr>
              <w:pStyle w:val="16"/>
            </w:pPr>
            <w:r>
              <w:t>485.83</w:t>
            </w:r>
          </w:p>
        </w:tc>
        <w:tc>
          <w:tcPr>
            <w:tcW w:w="964" w:type="dxa"/>
            <w:vAlign w:val="center"/>
          </w:tcPr>
          <w:p w14:paraId="130AA709">
            <w:pPr>
              <w:pStyle w:val="16"/>
            </w:pPr>
            <w:r>
              <w:t>368.00</w:t>
            </w:r>
          </w:p>
        </w:tc>
        <w:tc>
          <w:tcPr>
            <w:tcW w:w="964" w:type="dxa"/>
            <w:vAlign w:val="center"/>
          </w:tcPr>
          <w:p w14:paraId="39368A0D">
            <w:pPr>
              <w:pStyle w:val="16"/>
            </w:pPr>
          </w:p>
        </w:tc>
        <w:tc>
          <w:tcPr>
            <w:tcW w:w="964" w:type="dxa"/>
            <w:vAlign w:val="center"/>
          </w:tcPr>
          <w:p w14:paraId="5C64A090">
            <w:pPr>
              <w:pStyle w:val="16"/>
            </w:pPr>
          </w:p>
        </w:tc>
        <w:tc>
          <w:tcPr>
            <w:tcW w:w="964" w:type="dxa"/>
            <w:vAlign w:val="center"/>
          </w:tcPr>
          <w:p w14:paraId="06FFC538">
            <w:pPr>
              <w:pStyle w:val="16"/>
            </w:pPr>
            <w:r>
              <w:t>117.83</w:t>
            </w:r>
          </w:p>
        </w:tc>
        <w:tc>
          <w:tcPr>
            <w:tcW w:w="964" w:type="dxa"/>
            <w:vAlign w:val="center"/>
          </w:tcPr>
          <w:p w14:paraId="7BCF4B7D">
            <w:pPr>
              <w:pStyle w:val="16"/>
            </w:pPr>
          </w:p>
        </w:tc>
        <w:tc>
          <w:tcPr>
            <w:tcW w:w="964" w:type="dxa"/>
            <w:vAlign w:val="center"/>
          </w:tcPr>
          <w:p w14:paraId="2843F47A">
            <w:pPr>
              <w:pStyle w:val="16"/>
            </w:pPr>
          </w:p>
        </w:tc>
        <w:tc>
          <w:tcPr>
            <w:tcW w:w="964" w:type="dxa"/>
            <w:vAlign w:val="center"/>
          </w:tcPr>
          <w:p w14:paraId="770502B9">
            <w:pPr>
              <w:pStyle w:val="16"/>
            </w:pPr>
            <w:r>
              <w:t>485.83</w:t>
            </w:r>
          </w:p>
        </w:tc>
      </w:tr>
      <w:tr w14:paraId="701F3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2DC9DA">
            <w:pPr>
              <w:pStyle w:val="13"/>
            </w:pPr>
            <w:r>
              <w:t>冀财教[2024]118号/中央/2025年改善办学条件/一中防欺凌设备购置</w:t>
            </w:r>
          </w:p>
        </w:tc>
        <w:tc>
          <w:tcPr>
            <w:tcW w:w="964" w:type="dxa"/>
            <w:vAlign w:val="center"/>
          </w:tcPr>
          <w:p w14:paraId="4498FCF8">
            <w:pPr>
              <w:pStyle w:val="14"/>
            </w:pPr>
            <w:r>
              <w:t>91.00</w:t>
            </w:r>
          </w:p>
        </w:tc>
        <w:tc>
          <w:tcPr>
            <w:tcW w:w="1134" w:type="dxa"/>
            <w:vAlign w:val="center"/>
          </w:tcPr>
          <w:p w14:paraId="4F579EFC">
            <w:pPr>
              <w:pStyle w:val="13"/>
            </w:pPr>
            <w:r>
              <w:t>其他信息化设备</w:t>
            </w:r>
          </w:p>
        </w:tc>
        <w:tc>
          <w:tcPr>
            <w:tcW w:w="1134" w:type="dxa"/>
            <w:vAlign w:val="center"/>
          </w:tcPr>
          <w:p w14:paraId="28087336">
            <w:pPr>
              <w:pStyle w:val="13"/>
            </w:pPr>
            <w:r>
              <w:t>A02019900</w:t>
            </w:r>
          </w:p>
        </w:tc>
        <w:tc>
          <w:tcPr>
            <w:tcW w:w="709" w:type="dxa"/>
            <w:vAlign w:val="center"/>
          </w:tcPr>
          <w:p w14:paraId="479ED187">
            <w:pPr>
              <w:pStyle w:val="12"/>
            </w:pPr>
            <w:r>
              <w:t>套</w:t>
            </w:r>
          </w:p>
        </w:tc>
        <w:tc>
          <w:tcPr>
            <w:tcW w:w="850" w:type="dxa"/>
            <w:vAlign w:val="center"/>
          </w:tcPr>
          <w:p w14:paraId="1498BADF">
            <w:pPr>
              <w:pStyle w:val="14"/>
            </w:pPr>
            <w:r>
              <w:t>1</w:t>
            </w:r>
          </w:p>
        </w:tc>
        <w:tc>
          <w:tcPr>
            <w:tcW w:w="850" w:type="dxa"/>
            <w:vAlign w:val="center"/>
          </w:tcPr>
          <w:p w14:paraId="3B3AB8CE">
            <w:pPr>
              <w:pStyle w:val="14"/>
            </w:pPr>
            <w:r>
              <w:t>91.00</w:t>
            </w:r>
          </w:p>
        </w:tc>
        <w:tc>
          <w:tcPr>
            <w:tcW w:w="964" w:type="dxa"/>
            <w:vAlign w:val="center"/>
          </w:tcPr>
          <w:p w14:paraId="5F197D94">
            <w:pPr>
              <w:pStyle w:val="14"/>
            </w:pPr>
            <w:r>
              <w:t>91.00</w:t>
            </w:r>
          </w:p>
        </w:tc>
        <w:tc>
          <w:tcPr>
            <w:tcW w:w="964" w:type="dxa"/>
            <w:vAlign w:val="center"/>
          </w:tcPr>
          <w:p w14:paraId="4C3EFE25">
            <w:pPr>
              <w:pStyle w:val="14"/>
            </w:pPr>
            <w:r>
              <w:t>91.00</w:t>
            </w:r>
          </w:p>
        </w:tc>
        <w:tc>
          <w:tcPr>
            <w:tcW w:w="964" w:type="dxa"/>
            <w:vAlign w:val="center"/>
          </w:tcPr>
          <w:p w14:paraId="72B6FEF6">
            <w:pPr>
              <w:pStyle w:val="14"/>
            </w:pPr>
          </w:p>
        </w:tc>
        <w:tc>
          <w:tcPr>
            <w:tcW w:w="964" w:type="dxa"/>
            <w:vAlign w:val="center"/>
          </w:tcPr>
          <w:p w14:paraId="6378AA8C">
            <w:pPr>
              <w:pStyle w:val="14"/>
            </w:pPr>
          </w:p>
        </w:tc>
        <w:tc>
          <w:tcPr>
            <w:tcW w:w="964" w:type="dxa"/>
            <w:vAlign w:val="center"/>
          </w:tcPr>
          <w:p w14:paraId="35CEC8BE">
            <w:pPr>
              <w:pStyle w:val="14"/>
            </w:pPr>
          </w:p>
        </w:tc>
        <w:tc>
          <w:tcPr>
            <w:tcW w:w="964" w:type="dxa"/>
            <w:vAlign w:val="center"/>
          </w:tcPr>
          <w:p w14:paraId="6F3BDE5F">
            <w:pPr>
              <w:pStyle w:val="14"/>
            </w:pPr>
          </w:p>
        </w:tc>
        <w:tc>
          <w:tcPr>
            <w:tcW w:w="964" w:type="dxa"/>
            <w:vAlign w:val="center"/>
          </w:tcPr>
          <w:p w14:paraId="69C0ACDD">
            <w:pPr>
              <w:pStyle w:val="14"/>
            </w:pPr>
          </w:p>
        </w:tc>
        <w:tc>
          <w:tcPr>
            <w:tcW w:w="964" w:type="dxa"/>
            <w:vAlign w:val="center"/>
          </w:tcPr>
          <w:p w14:paraId="68E0C780">
            <w:pPr>
              <w:pStyle w:val="14"/>
            </w:pPr>
            <w:r>
              <w:t>91.00</w:t>
            </w:r>
          </w:p>
        </w:tc>
      </w:tr>
      <w:tr w14:paraId="03F9A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B22A3F">
            <w:pPr>
              <w:pStyle w:val="13"/>
            </w:pPr>
            <w:r>
              <w:t>冀财教[2024]118号/中央/2025年改善办学条件/一中智慧巡课系统购置项目</w:t>
            </w:r>
          </w:p>
        </w:tc>
        <w:tc>
          <w:tcPr>
            <w:tcW w:w="964" w:type="dxa"/>
            <w:vAlign w:val="center"/>
          </w:tcPr>
          <w:p w14:paraId="77E73064">
            <w:pPr>
              <w:pStyle w:val="14"/>
            </w:pPr>
            <w:r>
              <w:t>210.00</w:t>
            </w:r>
          </w:p>
        </w:tc>
        <w:tc>
          <w:tcPr>
            <w:tcW w:w="1134" w:type="dxa"/>
            <w:vAlign w:val="center"/>
          </w:tcPr>
          <w:p w14:paraId="788A4951">
            <w:pPr>
              <w:pStyle w:val="13"/>
            </w:pPr>
            <w:r>
              <w:t>视频处理器</w:t>
            </w:r>
          </w:p>
        </w:tc>
        <w:tc>
          <w:tcPr>
            <w:tcW w:w="1134" w:type="dxa"/>
            <w:vAlign w:val="center"/>
          </w:tcPr>
          <w:p w14:paraId="09D2546E">
            <w:pPr>
              <w:pStyle w:val="13"/>
            </w:pPr>
            <w:r>
              <w:t>A02091108</w:t>
            </w:r>
          </w:p>
        </w:tc>
        <w:tc>
          <w:tcPr>
            <w:tcW w:w="709" w:type="dxa"/>
            <w:vAlign w:val="center"/>
          </w:tcPr>
          <w:p w14:paraId="75457AFA">
            <w:pPr>
              <w:pStyle w:val="12"/>
            </w:pPr>
            <w:r>
              <w:t>套</w:t>
            </w:r>
          </w:p>
        </w:tc>
        <w:tc>
          <w:tcPr>
            <w:tcW w:w="850" w:type="dxa"/>
            <w:vAlign w:val="center"/>
          </w:tcPr>
          <w:p w14:paraId="240E0574">
            <w:pPr>
              <w:pStyle w:val="14"/>
            </w:pPr>
            <w:r>
              <w:t>48</w:t>
            </w:r>
          </w:p>
        </w:tc>
        <w:tc>
          <w:tcPr>
            <w:tcW w:w="850" w:type="dxa"/>
            <w:vAlign w:val="center"/>
          </w:tcPr>
          <w:p w14:paraId="5CCADCD9">
            <w:pPr>
              <w:pStyle w:val="14"/>
            </w:pPr>
            <w:r>
              <w:t>4.38</w:t>
            </w:r>
          </w:p>
        </w:tc>
        <w:tc>
          <w:tcPr>
            <w:tcW w:w="964" w:type="dxa"/>
            <w:vAlign w:val="center"/>
          </w:tcPr>
          <w:p w14:paraId="5DC5532B">
            <w:pPr>
              <w:pStyle w:val="14"/>
            </w:pPr>
            <w:r>
              <w:t>210.00</w:t>
            </w:r>
          </w:p>
        </w:tc>
        <w:tc>
          <w:tcPr>
            <w:tcW w:w="964" w:type="dxa"/>
            <w:vAlign w:val="center"/>
          </w:tcPr>
          <w:p w14:paraId="0163033D">
            <w:pPr>
              <w:pStyle w:val="14"/>
            </w:pPr>
            <w:r>
              <w:t>210.00</w:t>
            </w:r>
          </w:p>
        </w:tc>
        <w:tc>
          <w:tcPr>
            <w:tcW w:w="964" w:type="dxa"/>
            <w:vAlign w:val="center"/>
          </w:tcPr>
          <w:p w14:paraId="55C094BB">
            <w:pPr>
              <w:pStyle w:val="14"/>
            </w:pPr>
          </w:p>
        </w:tc>
        <w:tc>
          <w:tcPr>
            <w:tcW w:w="964" w:type="dxa"/>
            <w:vAlign w:val="center"/>
          </w:tcPr>
          <w:p w14:paraId="6A74C619">
            <w:pPr>
              <w:pStyle w:val="14"/>
            </w:pPr>
          </w:p>
        </w:tc>
        <w:tc>
          <w:tcPr>
            <w:tcW w:w="964" w:type="dxa"/>
            <w:vAlign w:val="center"/>
          </w:tcPr>
          <w:p w14:paraId="378D477C">
            <w:pPr>
              <w:pStyle w:val="14"/>
            </w:pPr>
          </w:p>
        </w:tc>
        <w:tc>
          <w:tcPr>
            <w:tcW w:w="964" w:type="dxa"/>
            <w:vAlign w:val="center"/>
          </w:tcPr>
          <w:p w14:paraId="1CC1C75D">
            <w:pPr>
              <w:pStyle w:val="14"/>
            </w:pPr>
          </w:p>
        </w:tc>
        <w:tc>
          <w:tcPr>
            <w:tcW w:w="964" w:type="dxa"/>
            <w:vAlign w:val="center"/>
          </w:tcPr>
          <w:p w14:paraId="368391A1">
            <w:pPr>
              <w:pStyle w:val="14"/>
            </w:pPr>
          </w:p>
        </w:tc>
        <w:tc>
          <w:tcPr>
            <w:tcW w:w="964" w:type="dxa"/>
            <w:vAlign w:val="center"/>
          </w:tcPr>
          <w:p w14:paraId="5FD376F8">
            <w:pPr>
              <w:pStyle w:val="14"/>
            </w:pPr>
            <w:r>
              <w:t>210.00</w:t>
            </w:r>
          </w:p>
        </w:tc>
      </w:tr>
      <w:tr w14:paraId="7F4D4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F6AB06">
            <w:pPr>
              <w:pStyle w:val="13"/>
            </w:pPr>
            <w:r>
              <w:t>冀财教[2024]137号/省级/2025年改善办学条件/一中消防预警设备购置项目</w:t>
            </w:r>
          </w:p>
        </w:tc>
        <w:tc>
          <w:tcPr>
            <w:tcW w:w="964" w:type="dxa"/>
            <w:vAlign w:val="center"/>
          </w:tcPr>
          <w:p w14:paraId="5D8D0653">
            <w:pPr>
              <w:pStyle w:val="14"/>
            </w:pPr>
            <w:r>
              <w:t>67.00</w:t>
            </w:r>
          </w:p>
        </w:tc>
        <w:tc>
          <w:tcPr>
            <w:tcW w:w="1134" w:type="dxa"/>
            <w:vAlign w:val="center"/>
          </w:tcPr>
          <w:p w14:paraId="3A4D1C4C">
            <w:pPr>
              <w:pStyle w:val="13"/>
            </w:pPr>
            <w:r>
              <w:t>消防设备</w:t>
            </w:r>
          </w:p>
        </w:tc>
        <w:tc>
          <w:tcPr>
            <w:tcW w:w="1134" w:type="dxa"/>
            <w:vAlign w:val="center"/>
          </w:tcPr>
          <w:p w14:paraId="226C1C15">
            <w:pPr>
              <w:pStyle w:val="13"/>
            </w:pPr>
            <w:r>
              <w:t>A02370100</w:t>
            </w:r>
          </w:p>
        </w:tc>
        <w:tc>
          <w:tcPr>
            <w:tcW w:w="709" w:type="dxa"/>
            <w:vAlign w:val="center"/>
          </w:tcPr>
          <w:p w14:paraId="65772E09">
            <w:pPr>
              <w:pStyle w:val="12"/>
            </w:pPr>
            <w:r>
              <w:t>套</w:t>
            </w:r>
          </w:p>
        </w:tc>
        <w:tc>
          <w:tcPr>
            <w:tcW w:w="850" w:type="dxa"/>
            <w:vAlign w:val="center"/>
          </w:tcPr>
          <w:p w14:paraId="582FCD6B">
            <w:pPr>
              <w:pStyle w:val="14"/>
            </w:pPr>
            <w:r>
              <w:t>1</w:t>
            </w:r>
          </w:p>
        </w:tc>
        <w:tc>
          <w:tcPr>
            <w:tcW w:w="850" w:type="dxa"/>
            <w:vAlign w:val="center"/>
          </w:tcPr>
          <w:p w14:paraId="1BB7A372">
            <w:pPr>
              <w:pStyle w:val="14"/>
            </w:pPr>
            <w:r>
              <w:t>67.00</w:t>
            </w:r>
          </w:p>
        </w:tc>
        <w:tc>
          <w:tcPr>
            <w:tcW w:w="964" w:type="dxa"/>
            <w:vAlign w:val="center"/>
          </w:tcPr>
          <w:p w14:paraId="5855A022">
            <w:pPr>
              <w:pStyle w:val="14"/>
            </w:pPr>
            <w:r>
              <w:t>67.00</w:t>
            </w:r>
          </w:p>
        </w:tc>
        <w:tc>
          <w:tcPr>
            <w:tcW w:w="964" w:type="dxa"/>
            <w:vAlign w:val="center"/>
          </w:tcPr>
          <w:p w14:paraId="3521BFB6">
            <w:pPr>
              <w:pStyle w:val="14"/>
            </w:pPr>
            <w:r>
              <w:t>67.00</w:t>
            </w:r>
          </w:p>
        </w:tc>
        <w:tc>
          <w:tcPr>
            <w:tcW w:w="964" w:type="dxa"/>
            <w:vAlign w:val="center"/>
          </w:tcPr>
          <w:p w14:paraId="7A32891F">
            <w:pPr>
              <w:pStyle w:val="14"/>
            </w:pPr>
          </w:p>
        </w:tc>
        <w:tc>
          <w:tcPr>
            <w:tcW w:w="964" w:type="dxa"/>
            <w:vAlign w:val="center"/>
          </w:tcPr>
          <w:p w14:paraId="73019138">
            <w:pPr>
              <w:pStyle w:val="14"/>
            </w:pPr>
          </w:p>
        </w:tc>
        <w:tc>
          <w:tcPr>
            <w:tcW w:w="964" w:type="dxa"/>
            <w:vAlign w:val="center"/>
          </w:tcPr>
          <w:p w14:paraId="099F1B46">
            <w:pPr>
              <w:pStyle w:val="14"/>
            </w:pPr>
          </w:p>
        </w:tc>
        <w:tc>
          <w:tcPr>
            <w:tcW w:w="964" w:type="dxa"/>
            <w:vAlign w:val="center"/>
          </w:tcPr>
          <w:p w14:paraId="2BAA8146">
            <w:pPr>
              <w:pStyle w:val="14"/>
            </w:pPr>
          </w:p>
        </w:tc>
        <w:tc>
          <w:tcPr>
            <w:tcW w:w="964" w:type="dxa"/>
            <w:vAlign w:val="center"/>
          </w:tcPr>
          <w:p w14:paraId="39586C10">
            <w:pPr>
              <w:pStyle w:val="14"/>
            </w:pPr>
          </w:p>
        </w:tc>
        <w:tc>
          <w:tcPr>
            <w:tcW w:w="964" w:type="dxa"/>
            <w:vAlign w:val="center"/>
          </w:tcPr>
          <w:p w14:paraId="55BB26BD">
            <w:pPr>
              <w:pStyle w:val="14"/>
            </w:pPr>
            <w:r>
              <w:t>67.00</w:t>
            </w:r>
          </w:p>
        </w:tc>
      </w:tr>
      <w:tr w14:paraId="4A391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F1CC37">
            <w:pPr>
              <w:pStyle w:val="13"/>
            </w:pPr>
            <w:r>
              <w:t>普通高中专项经费/隆尧一中</w:t>
            </w:r>
          </w:p>
        </w:tc>
        <w:tc>
          <w:tcPr>
            <w:tcW w:w="964" w:type="dxa"/>
            <w:vAlign w:val="center"/>
          </w:tcPr>
          <w:p w14:paraId="40D95A33">
            <w:pPr>
              <w:pStyle w:val="14"/>
            </w:pPr>
            <w:r>
              <w:t>849.28</w:t>
            </w:r>
          </w:p>
        </w:tc>
        <w:tc>
          <w:tcPr>
            <w:tcW w:w="1134" w:type="dxa"/>
            <w:vAlign w:val="center"/>
          </w:tcPr>
          <w:p w14:paraId="7AACA7A0">
            <w:pPr>
              <w:pStyle w:val="13"/>
            </w:pPr>
            <w:r>
              <w:t>台式计算机</w:t>
            </w:r>
          </w:p>
        </w:tc>
        <w:tc>
          <w:tcPr>
            <w:tcW w:w="1134" w:type="dxa"/>
            <w:vAlign w:val="center"/>
          </w:tcPr>
          <w:p w14:paraId="0DF228C3">
            <w:pPr>
              <w:pStyle w:val="13"/>
            </w:pPr>
            <w:r>
              <w:t>A02010105</w:t>
            </w:r>
          </w:p>
        </w:tc>
        <w:tc>
          <w:tcPr>
            <w:tcW w:w="709" w:type="dxa"/>
            <w:vAlign w:val="center"/>
          </w:tcPr>
          <w:p w14:paraId="1190CEAB">
            <w:pPr>
              <w:pStyle w:val="12"/>
            </w:pPr>
            <w:r>
              <w:t>台</w:t>
            </w:r>
          </w:p>
        </w:tc>
        <w:tc>
          <w:tcPr>
            <w:tcW w:w="850" w:type="dxa"/>
            <w:vAlign w:val="center"/>
          </w:tcPr>
          <w:p w14:paraId="2F18A146">
            <w:pPr>
              <w:pStyle w:val="14"/>
            </w:pPr>
            <w:r>
              <w:t>20</w:t>
            </w:r>
          </w:p>
        </w:tc>
        <w:tc>
          <w:tcPr>
            <w:tcW w:w="850" w:type="dxa"/>
            <w:vAlign w:val="center"/>
          </w:tcPr>
          <w:p w14:paraId="48665525">
            <w:pPr>
              <w:pStyle w:val="14"/>
            </w:pPr>
            <w:r>
              <w:t>0.46</w:t>
            </w:r>
          </w:p>
        </w:tc>
        <w:tc>
          <w:tcPr>
            <w:tcW w:w="964" w:type="dxa"/>
            <w:vAlign w:val="center"/>
          </w:tcPr>
          <w:p w14:paraId="0DA13339">
            <w:pPr>
              <w:pStyle w:val="14"/>
            </w:pPr>
            <w:r>
              <w:t>9.20</w:t>
            </w:r>
          </w:p>
        </w:tc>
        <w:tc>
          <w:tcPr>
            <w:tcW w:w="964" w:type="dxa"/>
            <w:vAlign w:val="center"/>
          </w:tcPr>
          <w:p w14:paraId="4A340995">
            <w:pPr>
              <w:pStyle w:val="14"/>
            </w:pPr>
          </w:p>
        </w:tc>
        <w:tc>
          <w:tcPr>
            <w:tcW w:w="964" w:type="dxa"/>
            <w:vAlign w:val="center"/>
          </w:tcPr>
          <w:p w14:paraId="7AF8243E">
            <w:pPr>
              <w:pStyle w:val="14"/>
            </w:pPr>
          </w:p>
        </w:tc>
        <w:tc>
          <w:tcPr>
            <w:tcW w:w="964" w:type="dxa"/>
            <w:vAlign w:val="center"/>
          </w:tcPr>
          <w:p w14:paraId="56AF6DE3">
            <w:pPr>
              <w:pStyle w:val="14"/>
            </w:pPr>
          </w:p>
        </w:tc>
        <w:tc>
          <w:tcPr>
            <w:tcW w:w="964" w:type="dxa"/>
            <w:vAlign w:val="center"/>
          </w:tcPr>
          <w:p w14:paraId="419AA809">
            <w:pPr>
              <w:pStyle w:val="14"/>
            </w:pPr>
            <w:r>
              <w:t>9.20</w:t>
            </w:r>
          </w:p>
        </w:tc>
        <w:tc>
          <w:tcPr>
            <w:tcW w:w="964" w:type="dxa"/>
            <w:vAlign w:val="center"/>
          </w:tcPr>
          <w:p w14:paraId="53FA7436">
            <w:pPr>
              <w:pStyle w:val="14"/>
            </w:pPr>
          </w:p>
        </w:tc>
        <w:tc>
          <w:tcPr>
            <w:tcW w:w="964" w:type="dxa"/>
            <w:vAlign w:val="center"/>
          </w:tcPr>
          <w:p w14:paraId="075C143B">
            <w:pPr>
              <w:pStyle w:val="14"/>
            </w:pPr>
          </w:p>
        </w:tc>
        <w:tc>
          <w:tcPr>
            <w:tcW w:w="964" w:type="dxa"/>
            <w:vAlign w:val="center"/>
          </w:tcPr>
          <w:p w14:paraId="5299A30B">
            <w:pPr>
              <w:pStyle w:val="14"/>
            </w:pPr>
            <w:r>
              <w:t>9.20</w:t>
            </w:r>
          </w:p>
        </w:tc>
      </w:tr>
      <w:tr w14:paraId="3AC50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1ACBD1">
            <w:pPr>
              <w:pStyle w:val="13"/>
            </w:pPr>
            <w:r>
              <w:t>普通高中专项经费/隆尧一中</w:t>
            </w:r>
          </w:p>
        </w:tc>
        <w:tc>
          <w:tcPr>
            <w:tcW w:w="964" w:type="dxa"/>
            <w:vAlign w:val="center"/>
          </w:tcPr>
          <w:p w14:paraId="79B8B9C4">
            <w:pPr>
              <w:pStyle w:val="14"/>
            </w:pPr>
            <w:r>
              <w:t>849.28</w:t>
            </w:r>
          </w:p>
        </w:tc>
        <w:tc>
          <w:tcPr>
            <w:tcW w:w="1134" w:type="dxa"/>
            <w:vAlign w:val="center"/>
          </w:tcPr>
          <w:p w14:paraId="685404B8">
            <w:pPr>
              <w:pStyle w:val="13"/>
            </w:pPr>
            <w:r>
              <w:t>其他专业施工</w:t>
            </w:r>
          </w:p>
        </w:tc>
        <w:tc>
          <w:tcPr>
            <w:tcW w:w="1134" w:type="dxa"/>
            <w:vAlign w:val="center"/>
          </w:tcPr>
          <w:p w14:paraId="234BE280">
            <w:pPr>
              <w:pStyle w:val="13"/>
            </w:pPr>
            <w:r>
              <w:t>B05990000</w:t>
            </w:r>
          </w:p>
        </w:tc>
        <w:tc>
          <w:tcPr>
            <w:tcW w:w="709" w:type="dxa"/>
            <w:vAlign w:val="center"/>
          </w:tcPr>
          <w:p w14:paraId="10591E7E">
            <w:pPr>
              <w:pStyle w:val="12"/>
            </w:pPr>
            <w:r>
              <w:t>平方米</w:t>
            </w:r>
          </w:p>
        </w:tc>
        <w:tc>
          <w:tcPr>
            <w:tcW w:w="850" w:type="dxa"/>
            <w:vAlign w:val="center"/>
          </w:tcPr>
          <w:p w14:paraId="59F8C727">
            <w:pPr>
              <w:pStyle w:val="14"/>
            </w:pPr>
            <w:r>
              <w:t>6035</w:t>
            </w:r>
          </w:p>
        </w:tc>
        <w:tc>
          <w:tcPr>
            <w:tcW w:w="850" w:type="dxa"/>
            <w:vAlign w:val="center"/>
          </w:tcPr>
          <w:p w14:paraId="43E5D5DC">
            <w:pPr>
              <w:pStyle w:val="14"/>
            </w:pPr>
            <w:r>
              <w:t>0.02</w:t>
            </w:r>
          </w:p>
        </w:tc>
        <w:tc>
          <w:tcPr>
            <w:tcW w:w="964" w:type="dxa"/>
            <w:vAlign w:val="center"/>
          </w:tcPr>
          <w:p w14:paraId="60439E52">
            <w:pPr>
              <w:pStyle w:val="14"/>
            </w:pPr>
            <w:r>
              <w:t>108.63</w:t>
            </w:r>
          </w:p>
        </w:tc>
        <w:tc>
          <w:tcPr>
            <w:tcW w:w="964" w:type="dxa"/>
            <w:vAlign w:val="center"/>
          </w:tcPr>
          <w:p w14:paraId="09B6741D">
            <w:pPr>
              <w:pStyle w:val="14"/>
            </w:pPr>
          </w:p>
        </w:tc>
        <w:tc>
          <w:tcPr>
            <w:tcW w:w="964" w:type="dxa"/>
            <w:vAlign w:val="center"/>
          </w:tcPr>
          <w:p w14:paraId="7716A375">
            <w:pPr>
              <w:pStyle w:val="14"/>
            </w:pPr>
          </w:p>
        </w:tc>
        <w:tc>
          <w:tcPr>
            <w:tcW w:w="964" w:type="dxa"/>
            <w:vAlign w:val="center"/>
          </w:tcPr>
          <w:p w14:paraId="312E7B97">
            <w:pPr>
              <w:pStyle w:val="14"/>
            </w:pPr>
          </w:p>
        </w:tc>
        <w:tc>
          <w:tcPr>
            <w:tcW w:w="964" w:type="dxa"/>
            <w:vAlign w:val="center"/>
          </w:tcPr>
          <w:p w14:paraId="5586F0BD">
            <w:pPr>
              <w:pStyle w:val="14"/>
            </w:pPr>
            <w:r>
              <w:t>108.63</w:t>
            </w:r>
          </w:p>
        </w:tc>
        <w:tc>
          <w:tcPr>
            <w:tcW w:w="964" w:type="dxa"/>
            <w:vAlign w:val="center"/>
          </w:tcPr>
          <w:p w14:paraId="57C0A5A4">
            <w:pPr>
              <w:pStyle w:val="14"/>
            </w:pPr>
          </w:p>
        </w:tc>
        <w:tc>
          <w:tcPr>
            <w:tcW w:w="964" w:type="dxa"/>
            <w:vAlign w:val="center"/>
          </w:tcPr>
          <w:p w14:paraId="0B849B6A">
            <w:pPr>
              <w:pStyle w:val="14"/>
            </w:pPr>
          </w:p>
        </w:tc>
        <w:tc>
          <w:tcPr>
            <w:tcW w:w="964" w:type="dxa"/>
            <w:vAlign w:val="center"/>
          </w:tcPr>
          <w:p w14:paraId="67C42C0A">
            <w:pPr>
              <w:pStyle w:val="14"/>
            </w:pPr>
            <w:r>
              <w:t>108.63</w:t>
            </w:r>
          </w:p>
        </w:tc>
      </w:tr>
    </w:tbl>
    <w:p w14:paraId="6996D5B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2BC0BC">
      <w:pPr>
        <w:spacing w:before="0" w:after="0"/>
        <w:ind w:firstLine="640"/>
        <w:jc w:val="left"/>
        <w:outlineLvl w:val="9"/>
      </w:pPr>
      <w:r>
        <w:rPr>
          <w:rFonts w:ascii="Times New Roman" w:hAnsi="Times New Roman" w:eastAsia="方正仿宋_GBK" w:cs="Times New Roman"/>
          <w:color w:val="000000"/>
          <w:sz w:val="32"/>
        </w:rPr>
        <w:t xml:space="preserve"> </w:t>
      </w:r>
    </w:p>
    <w:p w14:paraId="13887196">
      <w:pPr>
        <w:spacing w:before="10" w:after="10" w:line="240" w:lineRule="auto"/>
        <w:ind w:firstLine="640"/>
        <w:jc w:val="left"/>
        <w:outlineLvl w:val="5"/>
      </w:pPr>
      <w:r>
        <w:rPr>
          <w:rFonts w:ascii="黑体" w:hAnsi="黑体" w:eastAsia="黑体" w:cs="黑体"/>
          <w:color w:val="000000"/>
          <w:sz w:val="32"/>
        </w:rPr>
        <w:t>七、国有资产信息</w:t>
      </w:r>
    </w:p>
    <w:p w14:paraId="04B56CD4">
      <w:pPr>
        <w:spacing w:before="0" w:after="0" w:line="500" w:lineRule="exact"/>
        <w:ind w:firstLine="560"/>
        <w:jc w:val="left"/>
        <w:outlineLvl w:val="9"/>
      </w:pPr>
      <w:r>
        <w:rPr>
          <w:rFonts w:ascii="Times New Roman" w:hAnsi="Times New Roman" w:eastAsia="方正仿宋_GBK" w:cs="Times New Roman"/>
          <w:b w:val="0"/>
          <w:color w:val="000000"/>
          <w:sz w:val="28"/>
        </w:rPr>
        <w:t>河北隆尧第一中学上年末固定资产金额为</w:t>
      </w:r>
      <w:r>
        <w:rPr>
          <w:rFonts w:hint="eastAsia"/>
          <w:lang w:val="en-US" w:eastAsia="zh-CN"/>
        </w:rPr>
        <w:t>8315.69</w:t>
      </w:r>
      <w:r>
        <w:rPr>
          <w:rFonts w:ascii="Times New Roman" w:hAnsi="Times New Roman" w:eastAsia="方正仿宋_GBK" w:cs="Times New Roman"/>
          <w:b w:val="0"/>
          <w:color w:val="000000"/>
          <w:sz w:val="28"/>
        </w:rPr>
        <w:t>万元（详见下表）。本年度拟购置固定资产总额为416.60万元，已按要求列入政府采购预算，详见政府采购预算表。</w:t>
      </w:r>
    </w:p>
    <w:p w14:paraId="3DC4EB2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0105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0D48F9C">
            <w:pPr>
              <w:pStyle w:val="8"/>
            </w:pPr>
            <w:r>
              <w:t>360003河北隆尧第一中学</w:t>
            </w:r>
          </w:p>
        </w:tc>
        <w:tc>
          <w:tcPr>
            <w:tcW w:w="5670" w:type="dxa"/>
            <w:gridSpan w:val="2"/>
            <w:tcBorders>
              <w:top w:val="single" w:color="FFFFFF" w:sz="6" w:space="0"/>
              <w:left w:val="single" w:color="FFFFFF" w:sz="6" w:space="0"/>
              <w:right w:val="single" w:color="FFFFFF" w:sz="6" w:space="0"/>
            </w:tcBorders>
            <w:vAlign w:val="center"/>
          </w:tcPr>
          <w:p w14:paraId="5E2514CD">
            <w:pPr>
              <w:pStyle w:val="10"/>
            </w:pPr>
            <w:r>
              <w:t>截止时间：2024-12-31</w:t>
            </w:r>
          </w:p>
        </w:tc>
      </w:tr>
      <w:tr w14:paraId="713DC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30E4007">
            <w:pPr>
              <w:pStyle w:val="11"/>
            </w:pPr>
            <w:r>
              <w:t>项   目</w:t>
            </w:r>
          </w:p>
        </w:tc>
        <w:tc>
          <w:tcPr>
            <w:tcW w:w="2835" w:type="dxa"/>
            <w:vAlign w:val="center"/>
          </w:tcPr>
          <w:p w14:paraId="13A2BBCB">
            <w:pPr>
              <w:pStyle w:val="11"/>
            </w:pPr>
            <w:r>
              <w:t>数量</w:t>
            </w:r>
          </w:p>
        </w:tc>
        <w:tc>
          <w:tcPr>
            <w:tcW w:w="2835" w:type="dxa"/>
            <w:vAlign w:val="center"/>
          </w:tcPr>
          <w:p w14:paraId="689B57D9">
            <w:pPr>
              <w:pStyle w:val="11"/>
            </w:pPr>
            <w:r>
              <w:t>价值（金额单位：万元）</w:t>
            </w:r>
          </w:p>
        </w:tc>
      </w:tr>
      <w:tr w14:paraId="6DAE4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EAA82E">
            <w:pPr>
              <w:pStyle w:val="13"/>
            </w:pPr>
            <w:r>
              <w:t>资产总额</w:t>
            </w:r>
          </w:p>
        </w:tc>
        <w:tc>
          <w:tcPr>
            <w:tcW w:w="2835" w:type="dxa"/>
            <w:vAlign w:val="center"/>
          </w:tcPr>
          <w:p w14:paraId="01C1F4C6">
            <w:pPr>
              <w:pStyle w:val="12"/>
            </w:pPr>
          </w:p>
        </w:tc>
        <w:tc>
          <w:tcPr>
            <w:tcW w:w="2835" w:type="dxa"/>
            <w:vAlign w:val="center"/>
          </w:tcPr>
          <w:p w14:paraId="039B7A96">
            <w:pPr>
              <w:pStyle w:val="14"/>
              <w:rPr>
                <w:rFonts w:hint="default" w:eastAsia="方正书宋_GBK"/>
                <w:lang w:val="en-US" w:eastAsia="zh-CN"/>
              </w:rPr>
            </w:pPr>
            <w:r>
              <w:rPr>
                <w:rFonts w:hint="eastAsia"/>
                <w:lang w:val="en-US" w:eastAsia="zh-CN"/>
              </w:rPr>
              <w:t>8315.69</w:t>
            </w:r>
          </w:p>
        </w:tc>
      </w:tr>
      <w:tr w14:paraId="2FB1E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2" w:hRule="atLeast"/>
          <w:jc w:val="center"/>
        </w:trPr>
        <w:tc>
          <w:tcPr>
            <w:tcW w:w="7370" w:type="dxa"/>
            <w:vAlign w:val="center"/>
          </w:tcPr>
          <w:p w14:paraId="2DE5623A">
            <w:pPr>
              <w:pStyle w:val="13"/>
            </w:pPr>
            <w:r>
              <w:t>1、房屋（平方米）</w:t>
            </w:r>
          </w:p>
        </w:tc>
        <w:tc>
          <w:tcPr>
            <w:tcW w:w="2835" w:type="dxa"/>
            <w:vAlign w:val="center"/>
          </w:tcPr>
          <w:p w14:paraId="4DC0017E">
            <w:pPr>
              <w:pStyle w:val="12"/>
              <w:rPr>
                <w:rFonts w:hint="default" w:eastAsia="方正书宋_GBK"/>
                <w:lang w:val="en-US" w:eastAsia="zh-CN"/>
              </w:rPr>
            </w:pPr>
            <w:r>
              <w:rPr>
                <w:rFonts w:hint="eastAsia"/>
                <w:lang w:val="en-US" w:eastAsia="zh-CN"/>
              </w:rPr>
              <w:t>51674.1</w:t>
            </w:r>
          </w:p>
        </w:tc>
        <w:tc>
          <w:tcPr>
            <w:tcW w:w="2835" w:type="dxa"/>
            <w:vAlign w:val="center"/>
          </w:tcPr>
          <w:p w14:paraId="73ECC15F">
            <w:pPr>
              <w:pStyle w:val="14"/>
              <w:rPr>
                <w:rFonts w:hint="default" w:eastAsia="方正书宋_GBK"/>
                <w:lang w:val="en-US" w:eastAsia="zh-CN"/>
              </w:rPr>
            </w:pPr>
            <w:r>
              <w:rPr>
                <w:rFonts w:hint="eastAsia"/>
                <w:lang w:val="en-US" w:eastAsia="zh-CN"/>
              </w:rPr>
              <w:t>5622.98</w:t>
            </w:r>
          </w:p>
        </w:tc>
      </w:tr>
      <w:tr w14:paraId="16F09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3507AB">
            <w:pPr>
              <w:pStyle w:val="13"/>
            </w:pPr>
            <w:r>
              <w:t>　　其中：办公用房（平方米）</w:t>
            </w:r>
          </w:p>
        </w:tc>
        <w:tc>
          <w:tcPr>
            <w:tcW w:w="2835" w:type="dxa"/>
            <w:vAlign w:val="center"/>
          </w:tcPr>
          <w:p w14:paraId="4430B3B0">
            <w:pPr>
              <w:pStyle w:val="12"/>
            </w:pPr>
            <w:r>
              <w:t>2636</w:t>
            </w:r>
          </w:p>
        </w:tc>
        <w:tc>
          <w:tcPr>
            <w:tcW w:w="2835" w:type="dxa"/>
            <w:vAlign w:val="center"/>
          </w:tcPr>
          <w:p w14:paraId="26FF2512">
            <w:pPr>
              <w:pStyle w:val="14"/>
            </w:pPr>
            <w:r>
              <w:t>237.06</w:t>
            </w:r>
          </w:p>
        </w:tc>
      </w:tr>
      <w:tr w14:paraId="51545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7370" w:type="dxa"/>
            <w:vAlign w:val="center"/>
          </w:tcPr>
          <w:p w14:paraId="4690BE17">
            <w:pPr>
              <w:pStyle w:val="13"/>
            </w:pPr>
            <w:r>
              <w:t>2、车辆（台、辆）</w:t>
            </w:r>
          </w:p>
        </w:tc>
        <w:tc>
          <w:tcPr>
            <w:tcW w:w="2835" w:type="dxa"/>
            <w:vAlign w:val="center"/>
          </w:tcPr>
          <w:p w14:paraId="04571E0A">
            <w:pPr>
              <w:pStyle w:val="12"/>
            </w:pPr>
          </w:p>
        </w:tc>
        <w:tc>
          <w:tcPr>
            <w:tcW w:w="2835" w:type="dxa"/>
            <w:vAlign w:val="center"/>
          </w:tcPr>
          <w:p w14:paraId="0735103D">
            <w:pPr>
              <w:pStyle w:val="14"/>
            </w:pPr>
          </w:p>
        </w:tc>
      </w:tr>
      <w:tr w14:paraId="2F6BA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2A1843">
            <w:pPr>
              <w:pStyle w:val="13"/>
            </w:pPr>
            <w:r>
              <w:t>3、单价在20万元以上的设备</w:t>
            </w:r>
          </w:p>
        </w:tc>
        <w:tc>
          <w:tcPr>
            <w:tcW w:w="2835" w:type="dxa"/>
            <w:vAlign w:val="center"/>
          </w:tcPr>
          <w:p w14:paraId="6C8F29FA">
            <w:pPr>
              <w:pStyle w:val="12"/>
            </w:pPr>
          </w:p>
        </w:tc>
        <w:tc>
          <w:tcPr>
            <w:tcW w:w="2835" w:type="dxa"/>
            <w:vAlign w:val="center"/>
          </w:tcPr>
          <w:p w14:paraId="4D425600">
            <w:pPr>
              <w:pStyle w:val="14"/>
            </w:pPr>
          </w:p>
        </w:tc>
      </w:tr>
      <w:tr w14:paraId="50BE5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07BA7F">
            <w:pPr>
              <w:pStyle w:val="13"/>
            </w:pPr>
            <w:r>
              <w:t>4、其他固定资产</w:t>
            </w:r>
          </w:p>
        </w:tc>
        <w:tc>
          <w:tcPr>
            <w:tcW w:w="2835" w:type="dxa"/>
            <w:vAlign w:val="center"/>
          </w:tcPr>
          <w:p w14:paraId="3B9B5D08">
            <w:pPr>
              <w:pStyle w:val="12"/>
              <w:rPr>
                <w:rFonts w:hint="default" w:eastAsia="方正书宋_GBK"/>
                <w:lang w:val="en-US" w:eastAsia="zh-CN"/>
              </w:rPr>
            </w:pPr>
            <w:r>
              <w:rPr>
                <w:rFonts w:hint="eastAsia"/>
                <w:lang w:val="en-US" w:eastAsia="zh-CN"/>
              </w:rPr>
              <w:t>135118</w:t>
            </w:r>
          </w:p>
        </w:tc>
        <w:tc>
          <w:tcPr>
            <w:tcW w:w="2835" w:type="dxa"/>
            <w:vAlign w:val="center"/>
          </w:tcPr>
          <w:p w14:paraId="0C7AA968">
            <w:pPr>
              <w:pStyle w:val="14"/>
              <w:rPr>
                <w:rFonts w:hint="default" w:eastAsia="方正书宋_GBK"/>
                <w:lang w:val="en-US" w:eastAsia="zh-CN"/>
              </w:rPr>
            </w:pPr>
            <w:r>
              <w:rPr>
                <w:rFonts w:hint="eastAsia"/>
                <w:lang w:val="en-US" w:eastAsia="zh-CN"/>
              </w:rPr>
              <w:t>2692</w:t>
            </w:r>
          </w:p>
        </w:tc>
      </w:tr>
    </w:tbl>
    <w:p w14:paraId="2812094F">
      <w:pPr>
        <w:spacing w:before="0" w:after="0"/>
        <w:ind w:firstLine="640"/>
        <w:jc w:val="left"/>
        <w:outlineLvl w:val="9"/>
      </w:pPr>
      <w:r>
        <w:rPr>
          <w:rFonts w:ascii="Times New Roman" w:hAnsi="Times New Roman" w:eastAsia="方正仿宋_GBK" w:cs="Times New Roman"/>
          <w:color w:val="000000"/>
          <w:sz w:val="32"/>
        </w:rPr>
        <w:t xml:space="preserve"> </w:t>
      </w:r>
    </w:p>
    <w:p w14:paraId="57FEAD04">
      <w:pPr>
        <w:spacing w:before="10" w:after="10" w:line="240" w:lineRule="auto"/>
        <w:ind w:firstLine="640"/>
        <w:jc w:val="left"/>
        <w:outlineLvl w:val="5"/>
      </w:pPr>
      <w:r>
        <w:rPr>
          <w:rFonts w:ascii="黑体" w:hAnsi="黑体" w:eastAsia="黑体" w:cs="黑体"/>
          <w:color w:val="000000"/>
          <w:sz w:val="32"/>
        </w:rPr>
        <w:t>八、名词解释</w:t>
      </w:r>
    </w:p>
    <w:p w14:paraId="50A31E5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533A6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4424B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FA3B2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7957B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A86E8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7C1C9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485B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3EFE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8142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E95022">
      <w:pPr>
        <w:spacing w:before="10" w:after="10" w:line="240" w:lineRule="auto"/>
        <w:ind w:firstLine="640"/>
        <w:jc w:val="left"/>
        <w:outlineLvl w:val="5"/>
      </w:pPr>
      <w:r>
        <w:rPr>
          <w:rFonts w:ascii="黑体" w:hAnsi="黑体" w:eastAsia="黑体" w:cs="黑体"/>
          <w:color w:val="000000"/>
          <w:sz w:val="32"/>
        </w:rPr>
        <w:t>九、其他需要说明的事项</w:t>
      </w:r>
    </w:p>
    <w:p w14:paraId="4DCA7DD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0BD6112">
      <w:pPr>
        <w:spacing w:before="0" w:after="0"/>
        <w:ind w:firstLine="0"/>
        <w:jc w:val="center"/>
        <w:outlineLvl w:val="3"/>
      </w:pPr>
      <w:bookmarkStart w:id="3" w:name="_Toc_4_4_0000000023"/>
      <w:r>
        <w:rPr>
          <w:rFonts w:ascii="方正小标宋_GBK" w:hAnsi="方正小标宋_GBK" w:eastAsia="方正小标宋_GBK" w:cs="方正小标宋_GBK"/>
          <w:b w:val="0"/>
          <w:color w:val="000000"/>
          <w:sz w:val="44"/>
        </w:rPr>
        <w:t>三、隆尧县尧山中学收支预算</w:t>
      </w:r>
      <w:bookmarkEnd w:id="3"/>
    </w:p>
    <w:p w14:paraId="1D49B4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3D99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E6CDAF">
            <w:pPr>
              <w:pStyle w:val="8"/>
            </w:pPr>
            <w:r>
              <w:t>360004隆尧县尧山中学</w:t>
            </w:r>
          </w:p>
        </w:tc>
        <w:tc>
          <w:tcPr>
            <w:tcW w:w="2126" w:type="dxa"/>
            <w:tcBorders>
              <w:top w:val="single" w:color="FFFFFF" w:sz="6" w:space="0"/>
              <w:left w:val="single" w:color="FFFFFF" w:sz="6" w:space="0"/>
              <w:right w:val="single" w:color="FFFFFF" w:sz="6" w:space="0"/>
            </w:tcBorders>
            <w:vAlign w:val="center"/>
          </w:tcPr>
          <w:p w14:paraId="0ED7F2E5">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C02941B">
            <w:pPr>
              <w:pStyle w:val="10"/>
            </w:pPr>
            <w:r>
              <w:t>单位：万元</w:t>
            </w:r>
          </w:p>
        </w:tc>
      </w:tr>
      <w:tr w14:paraId="4C819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78D3A">
            <w:pPr>
              <w:pStyle w:val="11"/>
            </w:pPr>
            <w:r>
              <w:t>序号</w:t>
            </w:r>
          </w:p>
        </w:tc>
        <w:tc>
          <w:tcPr>
            <w:tcW w:w="6661" w:type="dxa"/>
            <w:gridSpan w:val="2"/>
            <w:vAlign w:val="center"/>
          </w:tcPr>
          <w:p w14:paraId="0058A108">
            <w:pPr>
              <w:pStyle w:val="11"/>
            </w:pPr>
            <w:r>
              <w:t>收入</w:t>
            </w:r>
          </w:p>
        </w:tc>
        <w:tc>
          <w:tcPr>
            <w:tcW w:w="6661" w:type="dxa"/>
            <w:gridSpan w:val="2"/>
            <w:vAlign w:val="center"/>
          </w:tcPr>
          <w:p w14:paraId="7031552C">
            <w:pPr>
              <w:pStyle w:val="11"/>
            </w:pPr>
            <w:r>
              <w:t>支出</w:t>
            </w:r>
          </w:p>
        </w:tc>
      </w:tr>
      <w:tr w14:paraId="0EDF2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F66EB6"/>
        </w:tc>
        <w:tc>
          <w:tcPr>
            <w:tcW w:w="4535" w:type="dxa"/>
            <w:vAlign w:val="center"/>
          </w:tcPr>
          <w:p w14:paraId="10EE3B03">
            <w:pPr>
              <w:pStyle w:val="11"/>
            </w:pPr>
            <w:r>
              <w:t>项  目</w:t>
            </w:r>
          </w:p>
        </w:tc>
        <w:tc>
          <w:tcPr>
            <w:tcW w:w="2126" w:type="dxa"/>
            <w:vAlign w:val="center"/>
          </w:tcPr>
          <w:p w14:paraId="6EB6E013">
            <w:pPr>
              <w:pStyle w:val="11"/>
            </w:pPr>
            <w:r>
              <w:t>预算数</w:t>
            </w:r>
          </w:p>
        </w:tc>
        <w:tc>
          <w:tcPr>
            <w:tcW w:w="4535" w:type="dxa"/>
            <w:vAlign w:val="center"/>
          </w:tcPr>
          <w:p w14:paraId="386D9A09">
            <w:pPr>
              <w:pStyle w:val="11"/>
            </w:pPr>
            <w:r>
              <w:t>项  目</w:t>
            </w:r>
          </w:p>
        </w:tc>
        <w:tc>
          <w:tcPr>
            <w:tcW w:w="2126" w:type="dxa"/>
            <w:vAlign w:val="center"/>
          </w:tcPr>
          <w:p w14:paraId="642C7560">
            <w:pPr>
              <w:pStyle w:val="11"/>
            </w:pPr>
            <w:r>
              <w:t>预算数</w:t>
            </w:r>
          </w:p>
        </w:tc>
      </w:tr>
      <w:tr w14:paraId="4E93B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82CD9">
            <w:pPr>
              <w:pStyle w:val="11"/>
            </w:pPr>
            <w:r>
              <w:t>栏次</w:t>
            </w:r>
          </w:p>
        </w:tc>
        <w:tc>
          <w:tcPr>
            <w:tcW w:w="4535" w:type="dxa"/>
            <w:vAlign w:val="center"/>
          </w:tcPr>
          <w:p w14:paraId="65094C50">
            <w:pPr>
              <w:pStyle w:val="11"/>
            </w:pPr>
            <w:r>
              <w:t>1</w:t>
            </w:r>
          </w:p>
        </w:tc>
        <w:tc>
          <w:tcPr>
            <w:tcW w:w="2126" w:type="dxa"/>
            <w:vAlign w:val="center"/>
          </w:tcPr>
          <w:p w14:paraId="1DD42AAC">
            <w:pPr>
              <w:pStyle w:val="11"/>
            </w:pPr>
            <w:r>
              <w:t>2</w:t>
            </w:r>
          </w:p>
        </w:tc>
        <w:tc>
          <w:tcPr>
            <w:tcW w:w="4535" w:type="dxa"/>
            <w:vAlign w:val="center"/>
          </w:tcPr>
          <w:p w14:paraId="568F57F2">
            <w:pPr>
              <w:pStyle w:val="11"/>
            </w:pPr>
            <w:r>
              <w:t>3</w:t>
            </w:r>
          </w:p>
        </w:tc>
        <w:tc>
          <w:tcPr>
            <w:tcW w:w="2126" w:type="dxa"/>
            <w:vAlign w:val="center"/>
          </w:tcPr>
          <w:p w14:paraId="7F4BFE21">
            <w:pPr>
              <w:pStyle w:val="11"/>
            </w:pPr>
            <w:r>
              <w:t>4</w:t>
            </w:r>
          </w:p>
        </w:tc>
      </w:tr>
      <w:tr w14:paraId="05FC8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D3179">
            <w:pPr>
              <w:pStyle w:val="12"/>
            </w:pPr>
            <w:r>
              <w:t>1</w:t>
            </w:r>
          </w:p>
        </w:tc>
        <w:tc>
          <w:tcPr>
            <w:tcW w:w="4535" w:type="dxa"/>
            <w:vAlign w:val="center"/>
          </w:tcPr>
          <w:p w14:paraId="3308D284">
            <w:pPr>
              <w:pStyle w:val="13"/>
            </w:pPr>
            <w:r>
              <w:t>一、一般公共预算拨款收入</w:t>
            </w:r>
          </w:p>
        </w:tc>
        <w:tc>
          <w:tcPr>
            <w:tcW w:w="2126" w:type="dxa"/>
            <w:vAlign w:val="center"/>
          </w:tcPr>
          <w:p w14:paraId="19AE9515">
            <w:pPr>
              <w:pStyle w:val="14"/>
            </w:pPr>
            <w:r>
              <w:t>2819.26</w:t>
            </w:r>
          </w:p>
        </w:tc>
        <w:tc>
          <w:tcPr>
            <w:tcW w:w="4535" w:type="dxa"/>
            <w:vAlign w:val="center"/>
          </w:tcPr>
          <w:p w14:paraId="2E75168C">
            <w:pPr>
              <w:pStyle w:val="13"/>
            </w:pPr>
            <w:r>
              <w:t>一、一般公共服务支出</w:t>
            </w:r>
          </w:p>
        </w:tc>
        <w:tc>
          <w:tcPr>
            <w:tcW w:w="2126" w:type="dxa"/>
            <w:vAlign w:val="center"/>
          </w:tcPr>
          <w:p w14:paraId="54F6E806">
            <w:pPr>
              <w:pStyle w:val="14"/>
            </w:pPr>
          </w:p>
        </w:tc>
      </w:tr>
      <w:tr w14:paraId="7DDD8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0A611">
            <w:pPr>
              <w:pStyle w:val="12"/>
            </w:pPr>
            <w:r>
              <w:t>2</w:t>
            </w:r>
          </w:p>
        </w:tc>
        <w:tc>
          <w:tcPr>
            <w:tcW w:w="4535" w:type="dxa"/>
            <w:vAlign w:val="center"/>
          </w:tcPr>
          <w:p w14:paraId="7B52821D">
            <w:pPr>
              <w:pStyle w:val="13"/>
            </w:pPr>
            <w:r>
              <w:t>二、政府性基金预算拨款收入</w:t>
            </w:r>
          </w:p>
        </w:tc>
        <w:tc>
          <w:tcPr>
            <w:tcW w:w="2126" w:type="dxa"/>
            <w:vAlign w:val="center"/>
          </w:tcPr>
          <w:p w14:paraId="51639F80">
            <w:pPr>
              <w:pStyle w:val="14"/>
            </w:pPr>
          </w:p>
        </w:tc>
        <w:tc>
          <w:tcPr>
            <w:tcW w:w="4535" w:type="dxa"/>
            <w:vAlign w:val="center"/>
          </w:tcPr>
          <w:p w14:paraId="7BAABBE7">
            <w:pPr>
              <w:pStyle w:val="13"/>
            </w:pPr>
            <w:r>
              <w:t>二、外交支出</w:t>
            </w:r>
          </w:p>
        </w:tc>
        <w:tc>
          <w:tcPr>
            <w:tcW w:w="2126" w:type="dxa"/>
            <w:vAlign w:val="center"/>
          </w:tcPr>
          <w:p w14:paraId="70634D8D">
            <w:pPr>
              <w:pStyle w:val="14"/>
            </w:pPr>
          </w:p>
        </w:tc>
      </w:tr>
      <w:tr w14:paraId="1C8DD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2B1E1">
            <w:pPr>
              <w:pStyle w:val="12"/>
            </w:pPr>
            <w:r>
              <w:t>3</w:t>
            </w:r>
          </w:p>
        </w:tc>
        <w:tc>
          <w:tcPr>
            <w:tcW w:w="4535" w:type="dxa"/>
            <w:vAlign w:val="center"/>
          </w:tcPr>
          <w:p w14:paraId="28154D71">
            <w:pPr>
              <w:pStyle w:val="13"/>
            </w:pPr>
            <w:r>
              <w:t>三、国有资本经营预算拨款收入</w:t>
            </w:r>
          </w:p>
        </w:tc>
        <w:tc>
          <w:tcPr>
            <w:tcW w:w="2126" w:type="dxa"/>
            <w:vAlign w:val="center"/>
          </w:tcPr>
          <w:p w14:paraId="5B0EE2EC">
            <w:pPr>
              <w:pStyle w:val="14"/>
            </w:pPr>
          </w:p>
        </w:tc>
        <w:tc>
          <w:tcPr>
            <w:tcW w:w="4535" w:type="dxa"/>
            <w:vAlign w:val="center"/>
          </w:tcPr>
          <w:p w14:paraId="0451B831">
            <w:pPr>
              <w:pStyle w:val="13"/>
            </w:pPr>
            <w:r>
              <w:t>三、国防支出</w:t>
            </w:r>
          </w:p>
        </w:tc>
        <w:tc>
          <w:tcPr>
            <w:tcW w:w="2126" w:type="dxa"/>
            <w:vAlign w:val="center"/>
          </w:tcPr>
          <w:p w14:paraId="2215A255">
            <w:pPr>
              <w:pStyle w:val="14"/>
            </w:pPr>
          </w:p>
        </w:tc>
      </w:tr>
      <w:tr w14:paraId="62B1F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68AC8">
            <w:pPr>
              <w:pStyle w:val="12"/>
            </w:pPr>
            <w:r>
              <w:t>4</w:t>
            </w:r>
          </w:p>
        </w:tc>
        <w:tc>
          <w:tcPr>
            <w:tcW w:w="4535" w:type="dxa"/>
            <w:vAlign w:val="center"/>
          </w:tcPr>
          <w:p w14:paraId="46B82765">
            <w:pPr>
              <w:pStyle w:val="13"/>
            </w:pPr>
            <w:r>
              <w:t>四、财政专户管理资金收入</w:t>
            </w:r>
          </w:p>
        </w:tc>
        <w:tc>
          <w:tcPr>
            <w:tcW w:w="2126" w:type="dxa"/>
            <w:vAlign w:val="center"/>
          </w:tcPr>
          <w:p w14:paraId="17ABAF67">
            <w:pPr>
              <w:pStyle w:val="14"/>
            </w:pPr>
          </w:p>
        </w:tc>
        <w:tc>
          <w:tcPr>
            <w:tcW w:w="4535" w:type="dxa"/>
            <w:vAlign w:val="center"/>
          </w:tcPr>
          <w:p w14:paraId="002F32AA">
            <w:pPr>
              <w:pStyle w:val="13"/>
            </w:pPr>
            <w:r>
              <w:t>四、公共安全支出</w:t>
            </w:r>
          </w:p>
        </w:tc>
        <w:tc>
          <w:tcPr>
            <w:tcW w:w="2126" w:type="dxa"/>
            <w:vAlign w:val="center"/>
          </w:tcPr>
          <w:p w14:paraId="408D4A10">
            <w:pPr>
              <w:pStyle w:val="14"/>
            </w:pPr>
          </w:p>
        </w:tc>
      </w:tr>
      <w:tr w14:paraId="0F837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5664E">
            <w:pPr>
              <w:pStyle w:val="12"/>
            </w:pPr>
            <w:r>
              <w:t>5</w:t>
            </w:r>
          </w:p>
        </w:tc>
        <w:tc>
          <w:tcPr>
            <w:tcW w:w="4535" w:type="dxa"/>
            <w:vAlign w:val="center"/>
          </w:tcPr>
          <w:p w14:paraId="1BD3CE72">
            <w:pPr>
              <w:pStyle w:val="13"/>
            </w:pPr>
            <w:r>
              <w:t>五、单位资金</w:t>
            </w:r>
          </w:p>
        </w:tc>
        <w:tc>
          <w:tcPr>
            <w:tcW w:w="2126" w:type="dxa"/>
            <w:vAlign w:val="center"/>
          </w:tcPr>
          <w:p w14:paraId="24A1024D">
            <w:pPr>
              <w:pStyle w:val="14"/>
            </w:pPr>
          </w:p>
        </w:tc>
        <w:tc>
          <w:tcPr>
            <w:tcW w:w="4535" w:type="dxa"/>
            <w:vAlign w:val="center"/>
          </w:tcPr>
          <w:p w14:paraId="08A12238">
            <w:pPr>
              <w:pStyle w:val="13"/>
            </w:pPr>
            <w:r>
              <w:t>五、教育支出</w:t>
            </w:r>
          </w:p>
        </w:tc>
        <w:tc>
          <w:tcPr>
            <w:tcW w:w="2126" w:type="dxa"/>
            <w:vAlign w:val="center"/>
          </w:tcPr>
          <w:p w14:paraId="4DEDAE7E">
            <w:pPr>
              <w:pStyle w:val="14"/>
            </w:pPr>
            <w:r>
              <w:t>3094.16</w:t>
            </w:r>
          </w:p>
        </w:tc>
      </w:tr>
      <w:tr w14:paraId="4C203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72026">
            <w:pPr>
              <w:pStyle w:val="12"/>
            </w:pPr>
            <w:r>
              <w:t>6</w:t>
            </w:r>
          </w:p>
        </w:tc>
        <w:tc>
          <w:tcPr>
            <w:tcW w:w="4535" w:type="dxa"/>
            <w:vAlign w:val="center"/>
          </w:tcPr>
          <w:p w14:paraId="088193FB">
            <w:pPr>
              <w:pStyle w:val="13"/>
            </w:pPr>
          </w:p>
        </w:tc>
        <w:tc>
          <w:tcPr>
            <w:tcW w:w="2126" w:type="dxa"/>
            <w:vAlign w:val="center"/>
          </w:tcPr>
          <w:p w14:paraId="5768DC83">
            <w:pPr>
              <w:pStyle w:val="14"/>
            </w:pPr>
          </w:p>
        </w:tc>
        <w:tc>
          <w:tcPr>
            <w:tcW w:w="4535" w:type="dxa"/>
            <w:vAlign w:val="center"/>
          </w:tcPr>
          <w:p w14:paraId="17386C7A">
            <w:pPr>
              <w:pStyle w:val="13"/>
            </w:pPr>
            <w:r>
              <w:t>六、科学技术支出</w:t>
            </w:r>
          </w:p>
        </w:tc>
        <w:tc>
          <w:tcPr>
            <w:tcW w:w="2126" w:type="dxa"/>
            <w:vAlign w:val="center"/>
          </w:tcPr>
          <w:p w14:paraId="09EA98DF">
            <w:pPr>
              <w:pStyle w:val="14"/>
            </w:pPr>
          </w:p>
        </w:tc>
      </w:tr>
      <w:tr w14:paraId="59D1B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8CCF3">
            <w:pPr>
              <w:pStyle w:val="12"/>
            </w:pPr>
            <w:r>
              <w:t>7</w:t>
            </w:r>
          </w:p>
        </w:tc>
        <w:tc>
          <w:tcPr>
            <w:tcW w:w="4535" w:type="dxa"/>
            <w:vAlign w:val="center"/>
          </w:tcPr>
          <w:p w14:paraId="5F500850">
            <w:pPr>
              <w:pStyle w:val="13"/>
            </w:pPr>
          </w:p>
        </w:tc>
        <w:tc>
          <w:tcPr>
            <w:tcW w:w="2126" w:type="dxa"/>
            <w:vAlign w:val="center"/>
          </w:tcPr>
          <w:p w14:paraId="5D9A4BD1">
            <w:pPr>
              <w:pStyle w:val="14"/>
            </w:pPr>
          </w:p>
        </w:tc>
        <w:tc>
          <w:tcPr>
            <w:tcW w:w="4535" w:type="dxa"/>
            <w:vAlign w:val="center"/>
          </w:tcPr>
          <w:p w14:paraId="14E24AEB">
            <w:pPr>
              <w:pStyle w:val="13"/>
            </w:pPr>
            <w:r>
              <w:t>七、文化旅游体育与传媒支出</w:t>
            </w:r>
          </w:p>
        </w:tc>
        <w:tc>
          <w:tcPr>
            <w:tcW w:w="2126" w:type="dxa"/>
            <w:vAlign w:val="center"/>
          </w:tcPr>
          <w:p w14:paraId="79966B6F">
            <w:pPr>
              <w:pStyle w:val="14"/>
            </w:pPr>
          </w:p>
        </w:tc>
      </w:tr>
      <w:tr w14:paraId="5D48F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28EB1">
            <w:pPr>
              <w:pStyle w:val="12"/>
            </w:pPr>
            <w:r>
              <w:t>8</w:t>
            </w:r>
          </w:p>
        </w:tc>
        <w:tc>
          <w:tcPr>
            <w:tcW w:w="4535" w:type="dxa"/>
            <w:vAlign w:val="center"/>
          </w:tcPr>
          <w:p w14:paraId="76CB6C77">
            <w:pPr>
              <w:pStyle w:val="13"/>
            </w:pPr>
          </w:p>
        </w:tc>
        <w:tc>
          <w:tcPr>
            <w:tcW w:w="2126" w:type="dxa"/>
            <w:vAlign w:val="center"/>
          </w:tcPr>
          <w:p w14:paraId="1B299061">
            <w:pPr>
              <w:pStyle w:val="14"/>
            </w:pPr>
          </w:p>
        </w:tc>
        <w:tc>
          <w:tcPr>
            <w:tcW w:w="4535" w:type="dxa"/>
            <w:vAlign w:val="center"/>
          </w:tcPr>
          <w:p w14:paraId="70C95937">
            <w:pPr>
              <w:pStyle w:val="13"/>
            </w:pPr>
            <w:r>
              <w:t>八、社会保障和就业支出</w:t>
            </w:r>
          </w:p>
        </w:tc>
        <w:tc>
          <w:tcPr>
            <w:tcW w:w="2126" w:type="dxa"/>
            <w:vAlign w:val="center"/>
          </w:tcPr>
          <w:p w14:paraId="7D2B9A3B">
            <w:pPr>
              <w:pStyle w:val="14"/>
            </w:pPr>
          </w:p>
        </w:tc>
      </w:tr>
      <w:tr w14:paraId="03D51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C09C5">
            <w:pPr>
              <w:pStyle w:val="12"/>
            </w:pPr>
            <w:r>
              <w:t>9</w:t>
            </w:r>
          </w:p>
        </w:tc>
        <w:tc>
          <w:tcPr>
            <w:tcW w:w="4535" w:type="dxa"/>
            <w:vAlign w:val="center"/>
          </w:tcPr>
          <w:p w14:paraId="54074148">
            <w:pPr>
              <w:pStyle w:val="13"/>
            </w:pPr>
          </w:p>
        </w:tc>
        <w:tc>
          <w:tcPr>
            <w:tcW w:w="2126" w:type="dxa"/>
            <w:vAlign w:val="center"/>
          </w:tcPr>
          <w:p w14:paraId="11256A14">
            <w:pPr>
              <w:pStyle w:val="14"/>
            </w:pPr>
          </w:p>
        </w:tc>
        <w:tc>
          <w:tcPr>
            <w:tcW w:w="4535" w:type="dxa"/>
            <w:vAlign w:val="center"/>
          </w:tcPr>
          <w:p w14:paraId="6229B6AE">
            <w:pPr>
              <w:pStyle w:val="13"/>
            </w:pPr>
            <w:r>
              <w:t>九、社会保险基金支出</w:t>
            </w:r>
          </w:p>
        </w:tc>
        <w:tc>
          <w:tcPr>
            <w:tcW w:w="2126" w:type="dxa"/>
            <w:vAlign w:val="center"/>
          </w:tcPr>
          <w:p w14:paraId="7F2323DB">
            <w:pPr>
              <w:pStyle w:val="14"/>
            </w:pPr>
          </w:p>
        </w:tc>
      </w:tr>
      <w:tr w14:paraId="213E2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02578">
            <w:pPr>
              <w:pStyle w:val="12"/>
            </w:pPr>
            <w:r>
              <w:t>10</w:t>
            </w:r>
          </w:p>
        </w:tc>
        <w:tc>
          <w:tcPr>
            <w:tcW w:w="4535" w:type="dxa"/>
            <w:vAlign w:val="center"/>
          </w:tcPr>
          <w:p w14:paraId="48483EFF">
            <w:pPr>
              <w:pStyle w:val="13"/>
            </w:pPr>
          </w:p>
        </w:tc>
        <w:tc>
          <w:tcPr>
            <w:tcW w:w="2126" w:type="dxa"/>
            <w:vAlign w:val="center"/>
          </w:tcPr>
          <w:p w14:paraId="7B87D6D7">
            <w:pPr>
              <w:pStyle w:val="14"/>
            </w:pPr>
          </w:p>
        </w:tc>
        <w:tc>
          <w:tcPr>
            <w:tcW w:w="4535" w:type="dxa"/>
            <w:vAlign w:val="center"/>
          </w:tcPr>
          <w:p w14:paraId="7D296ED3">
            <w:pPr>
              <w:pStyle w:val="13"/>
            </w:pPr>
            <w:r>
              <w:t>十、卫生健康支出</w:t>
            </w:r>
          </w:p>
        </w:tc>
        <w:tc>
          <w:tcPr>
            <w:tcW w:w="2126" w:type="dxa"/>
            <w:vAlign w:val="center"/>
          </w:tcPr>
          <w:p w14:paraId="4E13E68A">
            <w:pPr>
              <w:pStyle w:val="14"/>
            </w:pPr>
          </w:p>
        </w:tc>
      </w:tr>
      <w:tr w14:paraId="74B31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877C9C7">
            <w:pPr>
              <w:pStyle w:val="12"/>
            </w:pPr>
            <w:r>
              <w:t>11</w:t>
            </w:r>
          </w:p>
        </w:tc>
        <w:tc>
          <w:tcPr>
            <w:tcW w:w="4535" w:type="dxa"/>
            <w:vAlign w:val="center"/>
          </w:tcPr>
          <w:p w14:paraId="6053BE02">
            <w:pPr>
              <w:pStyle w:val="13"/>
            </w:pPr>
          </w:p>
        </w:tc>
        <w:tc>
          <w:tcPr>
            <w:tcW w:w="2126" w:type="dxa"/>
            <w:vAlign w:val="center"/>
          </w:tcPr>
          <w:p w14:paraId="60166437">
            <w:pPr>
              <w:pStyle w:val="14"/>
            </w:pPr>
          </w:p>
        </w:tc>
        <w:tc>
          <w:tcPr>
            <w:tcW w:w="4535" w:type="dxa"/>
            <w:vAlign w:val="center"/>
          </w:tcPr>
          <w:p w14:paraId="0DB1E1EF">
            <w:pPr>
              <w:pStyle w:val="13"/>
            </w:pPr>
            <w:r>
              <w:t>十一、节能环保支出</w:t>
            </w:r>
          </w:p>
        </w:tc>
        <w:tc>
          <w:tcPr>
            <w:tcW w:w="2126" w:type="dxa"/>
            <w:vAlign w:val="center"/>
          </w:tcPr>
          <w:p w14:paraId="0E891A60">
            <w:pPr>
              <w:pStyle w:val="14"/>
            </w:pPr>
          </w:p>
        </w:tc>
      </w:tr>
      <w:tr w14:paraId="603BA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441F5">
            <w:pPr>
              <w:pStyle w:val="12"/>
            </w:pPr>
            <w:r>
              <w:t>12</w:t>
            </w:r>
          </w:p>
        </w:tc>
        <w:tc>
          <w:tcPr>
            <w:tcW w:w="4535" w:type="dxa"/>
            <w:vAlign w:val="center"/>
          </w:tcPr>
          <w:p w14:paraId="678D6A06">
            <w:pPr>
              <w:pStyle w:val="13"/>
            </w:pPr>
          </w:p>
        </w:tc>
        <w:tc>
          <w:tcPr>
            <w:tcW w:w="2126" w:type="dxa"/>
            <w:vAlign w:val="center"/>
          </w:tcPr>
          <w:p w14:paraId="55880222">
            <w:pPr>
              <w:pStyle w:val="14"/>
            </w:pPr>
          </w:p>
        </w:tc>
        <w:tc>
          <w:tcPr>
            <w:tcW w:w="4535" w:type="dxa"/>
            <w:vAlign w:val="center"/>
          </w:tcPr>
          <w:p w14:paraId="0913620E">
            <w:pPr>
              <w:pStyle w:val="13"/>
            </w:pPr>
            <w:r>
              <w:t>十二、城乡社区支出</w:t>
            </w:r>
          </w:p>
        </w:tc>
        <w:tc>
          <w:tcPr>
            <w:tcW w:w="2126" w:type="dxa"/>
            <w:vAlign w:val="center"/>
          </w:tcPr>
          <w:p w14:paraId="7850E7C8">
            <w:pPr>
              <w:pStyle w:val="14"/>
            </w:pPr>
          </w:p>
        </w:tc>
      </w:tr>
      <w:tr w14:paraId="45DF9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2FA8B">
            <w:pPr>
              <w:pStyle w:val="12"/>
            </w:pPr>
            <w:r>
              <w:t>13</w:t>
            </w:r>
          </w:p>
        </w:tc>
        <w:tc>
          <w:tcPr>
            <w:tcW w:w="4535" w:type="dxa"/>
            <w:vAlign w:val="center"/>
          </w:tcPr>
          <w:p w14:paraId="340D8295">
            <w:pPr>
              <w:pStyle w:val="13"/>
            </w:pPr>
          </w:p>
        </w:tc>
        <w:tc>
          <w:tcPr>
            <w:tcW w:w="2126" w:type="dxa"/>
            <w:vAlign w:val="center"/>
          </w:tcPr>
          <w:p w14:paraId="6FE3C728">
            <w:pPr>
              <w:pStyle w:val="14"/>
            </w:pPr>
          </w:p>
        </w:tc>
        <w:tc>
          <w:tcPr>
            <w:tcW w:w="4535" w:type="dxa"/>
            <w:vAlign w:val="center"/>
          </w:tcPr>
          <w:p w14:paraId="3F841F4C">
            <w:pPr>
              <w:pStyle w:val="13"/>
            </w:pPr>
            <w:r>
              <w:t>十三、农林水支出</w:t>
            </w:r>
          </w:p>
        </w:tc>
        <w:tc>
          <w:tcPr>
            <w:tcW w:w="2126" w:type="dxa"/>
            <w:vAlign w:val="center"/>
          </w:tcPr>
          <w:p w14:paraId="0A2A2A88">
            <w:pPr>
              <w:pStyle w:val="14"/>
            </w:pPr>
          </w:p>
        </w:tc>
      </w:tr>
      <w:tr w14:paraId="56EA8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981A6">
            <w:pPr>
              <w:pStyle w:val="12"/>
            </w:pPr>
            <w:r>
              <w:t>14</w:t>
            </w:r>
          </w:p>
        </w:tc>
        <w:tc>
          <w:tcPr>
            <w:tcW w:w="4535" w:type="dxa"/>
            <w:vAlign w:val="center"/>
          </w:tcPr>
          <w:p w14:paraId="33363D12">
            <w:pPr>
              <w:pStyle w:val="13"/>
            </w:pPr>
          </w:p>
        </w:tc>
        <w:tc>
          <w:tcPr>
            <w:tcW w:w="2126" w:type="dxa"/>
            <w:vAlign w:val="center"/>
          </w:tcPr>
          <w:p w14:paraId="7DFF1652">
            <w:pPr>
              <w:pStyle w:val="14"/>
            </w:pPr>
          </w:p>
        </w:tc>
        <w:tc>
          <w:tcPr>
            <w:tcW w:w="4535" w:type="dxa"/>
            <w:vAlign w:val="center"/>
          </w:tcPr>
          <w:p w14:paraId="7634746F">
            <w:pPr>
              <w:pStyle w:val="13"/>
            </w:pPr>
            <w:r>
              <w:t>十四、交通运输支出</w:t>
            </w:r>
          </w:p>
        </w:tc>
        <w:tc>
          <w:tcPr>
            <w:tcW w:w="2126" w:type="dxa"/>
            <w:vAlign w:val="center"/>
          </w:tcPr>
          <w:p w14:paraId="7204D2E4">
            <w:pPr>
              <w:pStyle w:val="14"/>
            </w:pPr>
          </w:p>
        </w:tc>
      </w:tr>
      <w:tr w14:paraId="12E22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82E51">
            <w:pPr>
              <w:pStyle w:val="12"/>
            </w:pPr>
            <w:r>
              <w:t>15</w:t>
            </w:r>
          </w:p>
        </w:tc>
        <w:tc>
          <w:tcPr>
            <w:tcW w:w="4535" w:type="dxa"/>
            <w:vAlign w:val="center"/>
          </w:tcPr>
          <w:p w14:paraId="6DBB1DDE">
            <w:pPr>
              <w:pStyle w:val="13"/>
            </w:pPr>
          </w:p>
        </w:tc>
        <w:tc>
          <w:tcPr>
            <w:tcW w:w="2126" w:type="dxa"/>
            <w:vAlign w:val="center"/>
          </w:tcPr>
          <w:p w14:paraId="727C2036">
            <w:pPr>
              <w:pStyle w:val="14"/>
            </w:pPr>
          </w:p>
        </w:tc>
        <w:tc>
          <w:tcPr>
            <w:tcW w:w="4535" w:type="dxa"/>
            <w:vAlign w:val="center"/>
          </w:tcPr>
          <w:p w14:paraId="281E4F87">
            <w:pPr>
              <w:pStyle w:val="13"/>
            </w:pPr>
            <w:r>
              <w:t>十五、资源勘探工业信息等支出</w:t>
            </w:r>
          </w:p>
        </w:tc>
        <w:tc>
          <w:tcPr>
            <w:tcW w:w="2126" w:type="dxa"/>
            <w:vAlign w:val="center"/>
          </w:tcPr>
          <w:p w14:paraId="5426D2B7">
            <w:pPr>
              <w:pStyle w:val="14"/>
            </w:pPr>
          </w:p>
        </w:tc>
      </w:tr>
      <w:tr w14:paraId="5F8FD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FDEF5">
            <w:pPr>
              <w:pStyle w:val="12"/>
            </w:pPr>
            <w:r>
              <w:t>16</w:t>
            </w:r>
          </w:p>
        </w:tc>
        <w:tc>
          <w:tcPr>
            <w:tcW w:w="4535" w:type="dxa"/>
            <w:vAlign w:val="center"/>
          </w:tcPr>
          <w:p w14:paraId="2F66DBC0">
            <w:pPr>
              <w:pStyle w:val="13"/>
            </w:pPr>
          </w:p>
        </w:tc>
        <w:tc>
          <w:tcPr>
            <w:tcW w:w="2126" w:type="dxa"/>
            <w:vAlign w:val="center"/>
          </w:tcPr>
          <w:p w14:paraId="0FA6C8E0">
            <w:pPr>
              <w:pStyle w:val="14"/>
            </w:pPr>
          </w:p>
        </w:tc>
        <w:tc>
          <w:tcPr>
            <w:tcW w:w="4535" w:type="dxa"/>
            <w:vAlign w:val="center"/>
          </w:tcPr>
          <w:p w14:paraId="723C85CA">
            <w:pPr>
              <w:pStyle w:val="13"/>
            </w:pPr>
            <w:r>
              <w:t>十六、商业服务业等支出</w:t>
            </w:r>
          </w:p>
        </w:tc>
        <w:tc>
          <w:tcPr>
            <w:tcW w:w="2126" w:type="dxa"/>
            <w:vAlign w:val="center"/>
          </w:tcPr>
          <w:p w14:paraId="1DE1DD6F">
            <w:pPr>
              <w:pStyle w:val="14"/>
            </w:pPr>
          </w:p>
        </w:tc>
      </w:tr>
      <w:tr w14:paraId="42120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5C877">
            <w:pPr>
              <w:pStyle w:val="12"/>
            </w:pPr>
            <w:r>
              <w:t>17</w:t>
            </w:r>
          </w:p>
        </w:tc>
        <w:tc>
          <w:tcPr>
            <w:tcW w:w="4535" w:type="dxa"/>
            <w:vAlign w:val="center"/>
          </w:tcPr>
          <w:p w14:paraId="22FCA7E4">
            <w:pPr>
              <w:pStyle w:val="13"/>
            </w:pPr>
          </w:p>
        </w:tc>
        <w:tc>
          <w:tcPr>
            <w:tcW w:w="2126" w:type="dxa"/>
            <w:vAlign w:val="center"/>
          </w:tcPr>
          <w:p w14:paraId="0F50930A">
            <w:pPr>
              <w:pStyle w:val="14"/>
            </w:pPr>
          </w:p>
        </w:tc>
        <w:tc>
          <w:tcPr>
            <w:tcW w:w="4535" w:type="dxa"/>
            <w:vAlign w:val="center"/>
          </w:tcPr>
          <w:p w14:paraId="1A70101C">
            <w:pPr>
              <w:pStyle w:val="13"/>
            </w:pPr>
            <w:r>
              <w:t>十七、金融支出</w:t>
            </w:r>
          </w:p>
        </w:tc>
        <w:tc>
          <w:tcPr>
            <w:tcW w:w="2126" w:type="dxa"/>
            <w:vAlign w:val="center"/>
          </w:tcPr>
          <w:p w14:paraId="1DF763C4">
            <w:pPr>
              <w:pStyle w:val="14"/>
            </w:pPr>
          </w:p>
        </w:tc>
      </w:tr>
      <w:tr w14:paraId="3E59E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FEC4E">
            <w:pPr>
              <w:pStyle w:val="12"/>
            </w:pPr>
            <w:r>
              <w:t>18</w:t>
            </w:r>
          </w:p>
        </w:tc>
        <w:tc>
          <w:tcPr>
            <w:tcW w:w="4535" w:type="dxa"/>
            <w:vAlign w:val="center"/>
          </w:tcPr>
          <w:p w14:paraId="65E14841">
            <w:pPr>
              <w:pStyle w:val="13"/>
            </w:pPr>
          </w:p>
        </w:tc>
        <w:tc>
          <w:tcPr>
            <w:tcW w:w="2126" w:type="dxa"/>
            <w:vAlign w:val="center"/>
          </w:tcPr>
          <w:p w14:paraId="48C839EC">
            <w:pPr>
              <w:pStyle w:val="14"/>
            </w:pPr>
          </w:p>
        </w:tc>
        <w:tc>
          <w:tcPr>
            <w:tcW w:w="4535" w:type="dxa"/>
            <w:vAlign w:val="center"/>
          </w:tcPr>
          <w:p w14:paraId="63AD93E9">
            <w:pPr>
              <w:pStyle w:val="13"/>
            </w:pPr>
            <w:r>
              <w:t>十八、援助其他地区支出</w:t>
            </w:r>
          </w:p>
        </w:tc>
        <w:tc>
          <w:tcPr>
            <w:tcW w:w="2126" w:type="dxa"/>
            <w:vAlign w:val="center"/>
          </w:tcPr>
          <w:p w14:paraId="0959AC92">
            <w:pPr>
              <w:pStyle w:val="14"/>
            </w:pPr>
          </w:p>
        </w:tc>
      </w:tr>
      <w:tr w14:paraId="7ED3B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68DF5">
            <w:pPr>
              <w:pStyle w:val="12"/>
            </w:pPr>
            <w:r>
              <w:t>19</w:t>
            </w:r>
          </w:p>
        </w:tc>
        <w:tc>
          <w:tcPr>
            <w:tcW w:w="4535" w:type="dxa"/>
            <w:vAlign w:val="center"/>
          </w:tcPr>
          <w:p w14:paraId="089A2D71">
            <w:pPr>
              <w:pStyle w:val="13"/>
            </w:pPr>
          </w:p>
        </w:tc>
        <w:tc>
          <w:tcPr>
            <w:tcW w:w="2126" w:type="dxa"/>
            <w:vAlign w:val="center"/>
          </w:tcPr>
          <w:p w14:paraId="1D4F2279">
            <w:pPr>
              <w:pStyle w:val="14"/>
            </w:pPr>
          </w:p>
        </w:tc>
        <w:tc>
          <w:tcPr>
            <w:tcW w:w="4535" w:type="dxa"/>
            <w:vAlign w:val="center"/>
          </w:tcPr>
          <w:p w14:paraId="47EC7A25">
            <w:pPr>
              <w:pStyle w:val="13"/>
            </w:pPr>
            <w:r>
              <w:t>十九、自然资源海洋气象等支出</w:t>
            </w:r>
          </w:p>
        </w:tc>
        <w:tc>
          <w:tcPr>
            <w:tcW w:w="2126" w:type="dxa"/>
            <w:vAlign w:val="center"/>
          </w:tcPr>
          <w:p w14:paraId="61D155BE">
            <w:pPr>
              <w:pStyle w:val="14"/>
            </w:pPr>
          </w:p>
        </w:tc>
      </w:tr>
      <w:tr w14:paraId="3CB15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28EDD">
            <w:pPr>
              <w:pStyle w:val="12"/>
            </w:pPr>
            <w:r>
              <w:t>20</w:t>
            </w:r>
          </w:p>
        </w:tc>
        <w:tc>
          <w:tcPr>
            <w:tcW w:w="4535" w:type="dxa"/>
            <w:vAlign w:val="center"/>
          </w:tcPr>
          <w:p w14:paraId="1354F21D">
            <w:pPr>
              <w:pStyle w:val="13"/>
            </w:pPr>
          </w:p>
        </w:tc>
        <w:tc>
          <w:tcPr>
            <w:tcW w:w="2126" w:type="dxa"/>
            <w:vAlign w:val="center"/>
          </w:tcPr>
          <w:p w14:paraId="532B6187">
            <w:pPr>
              <w:pStyle w:val="14"/>
            </w:pPr>
          </w:p>
        </w:tc>
        <w:tc>
          <w:tcPr>
            <w:tcW w:w="4535" w:type="dxa"/>
            <w:vAlign w:val="center"/>
          </w:tcPr>
          <w:p w14:paraId="0B88FDBC">
            <w:pPr>
              <w:pStyle w:val="13"/>
            </w:pPr>
            <w:r>
              <w:t>二十、住房保障支出</w:t>
            </w:r>
          </w:p>
        </w:tc>
        <w:tc>
          <w:tcPr>
            <w:tcW w:w="2126" w:type="dxa"/>
            <w:vAlign w:val="center"/>
          </w:tcPr>
          <w:p w14:paraId="41D4FAE2">
            <w:pPr>
              <w:pStyle w:val="14"/>
            </w:pPr>
          </w:p>
        </w:tc>
      </w:tr>
      <w:tr w14:paraId="1747C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9E258">
            <w:pPr>
              <w:pStyle w:val="12"/>
            </w:pPr>
            <w:r>
              <w:t>21</w:t>
            </w:r>
          </w:p>
        </w:tc>
        <w:tc>
          <w:tcPr>
            <w:tcW w:w="4535" w:type="dxa"/>
            <w:vAlign w:val="center"/>
          </w:tcPr>
          <w:p w14:paraId="24C01370">
            <w:pPr>
              <w:pStyle w:val="13"/>
            </w:pPr>
          </w:p>
        </w:tc>
        <w:tc>
          <w:tcPr>
            <w:tcW w:w="2126" w:type="dxa"/>
            <w:vAlign w:val="center"/>
          </w:tcPr>
          <w:p w14:paraId="4269663A">
            <w:pPr>
              <w:pStyle w:val="14"/>
            </w:pPr>
          </w:p>
        </w:tc>
        <w:tc>
          <w:tcPr>
            <w:tcW w:w="4535" w:type="dxa"/>
            <w:vAlign w:val="center"/>
          </w:tcPr>
          <w:p w14:paraId="72790A18">
            <w:pPr>
              <w:pStyle w:val="13"/>
            </w:pPr>
            <w:r>
              <w:t>二十一、粮油物资储备支出</w:t>
            </w:r>
          </w:p>
        </w:tc>
        <w:tc>
          <w:tcPr>
            <w:tcW w:w="2126" w:type="dxa"/>
            <w:vAlign w:val="center"/>
          </w:tcPr>
          <w:p w14:paraId="5F2BBF9C">
            <w:pPr>
              <w:pStyle w:val="14"/>
            </w:pPr>
          </w:p>
        </w:tc>
      </w:tr>
      <w:tr w14:paraId="41BA5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5091D">
            <w:pPr>
              <w:pStyle w:val="12"/>
            </w:pPr>
            <w:r>
              <w:t>22</w:t>
            </w:r>
          </w:p>
        </w:tc>
        <w:tc>
          <w:tcPr>
            <w:tcW w:w="4535" w:type="dxa"/>
            <w:vAlign w:val="center"/>
          </w:tcPr>
          <w:p w14:paraId="20FAFAB8">
            <w:pPr>
              <w:pStyle w:val="13"/>
            </w:pPr>
          </w:p>
        </w:tc>
        <w:tc>
          <w:tcPr>
            <w:tcW w:w="2126" w:type="dxa"/>
            <w:vAlign w:val="center"/>
          </w:tcPr>
          <w:p w14:paraId="53B41A09">
            <w:pPr>
              <w:pStyle w:val="14"/>
            </w:pPr>
          </w:p>
        </w:tc>
        <w:tc>
          <w:tcPr>
            <w:tcW w:w="4535" w:type="dxa"/>
            <w:vAlign w:val="center"/>
          </w:tcPr>
          <w:p w14:paraId="36E7A73D">
            <w:pPr>
              <w:pStyle w:val="13"/>
            </w:pPr>
            <w:r>
              <w:t>二十二、国有资本经营预算支出</w:t>
            </w:r>
          </w:p>
        </w:tc>
        <w:tc>
          <w:tcPr>
            <w:tcW w:w="2126" w:type="dxa"/>
            <w:vAlign w:val="center"/>
          </w:tcPr>
          <w:p w14:paraId="32CE4FE6">
            <w:pPr>
              <w:pStyle w:val="14"/>
            </w:pPr>
          </w:p>
        </w:tc>
      </w:tr>
      <w:tr w14:paraId="03459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B07E2">
            <w:pPr>
              <w:pStyle w:val="12"/>
            </w:pPr>
            <w:r>
              <w:t>23</w:t>
            </w:r>
          </w:p>
        </w:tc>
        <w:tc>
          <w:tcPr>
            <w:tcW w:w="4535" w:type="dxa"/>
            <w:vAlign w:val="center"/>
          </w:tcPr>
          <w:p w14:paraId="01B5C974">
            <w:pPr>
              <w:pStyle w:val="13"/>
            </w:pPr>
          </w:p>
        </w:tc>
        <w:tc>
          <w:tcPr>
            <w:tcW w:w="2126" w:type="dxa"/>
            <w:vAlign w:val="center"/>
          </w:tcPr>
          <w:p w14:paraId="21001727">
            <w:pPr>
              <w:pStyle w:val="14"/>
            </w:pPr>
          </w:p>
        </w:tc>
        <w:tc>
          <w:tcPr>
            <w:tcW w:w="4535" w:type="dxa"/>
            <w:vAlign w:val="center"/>
          </w:tcPr>
          <w:p w14:paraId="44AB0EB2">
            <w:pPr>
              <w:pStyle w:val="13"/>
            </w:pPr>
            <w:r>
              <w:t>二十三、灾害防治及应急管理支出</w:t>
            </w:r>
          </w:p>
        </w:tc>
        <w:tc>
          <w:tcPr>
            <w:tcW w:w="2126" w:type="dxa"/>
            <w:vAlign w:val="center"/>
          </w:tcPr>
          <w:p w14:paraId="459605BE">
            <w:pPr>
              <w:pStyle w:val="14"/>
            </w:pPr>
          </w:p>
        </w:tc>
      </w:tr>
      <w:tr w14:paraId="7C9E9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56871">
            <w:pPr>
              <w:pStyle w:val="12"/>
            </w:pPr>
            <w:r>
              <w:t>24</w:t>
            </w:r>
          </w:p>
        </w:tc>
        <w:tc>
          <w:tcPr>
            <w:tcW w:w="4535" w:type="dxa"/>
            <w:vAlign w:val="center"/>
          </w:tcPr>
          <w:p w14:paraId="61BAB16E">
            <w:pPr>
              <w:pStyle w:val="13"/>
            </w:pPr>
          </w:p>
        </w:tc>
        <w:tc>
          <w:tcPr>
            <w:tcW w:w="2126" w:type="dxa"/>
            <w:vAlign w:val="center"/>
          </w:tcPr>
          <w:p w14:paraId="048C0B3A">
            <w:pPr>
              <w:pStyle w:val="14"/>
            </w:pPr>
          </w:p>
        </w:tc>
        <w:tc>
          <w:tcPr>
            <w:tcW w:w="4535" w:type="dxa"/>
            <w:vAlign w:val="center"/>
          </w:tcPr>
          <w:p w14:paraId="53ADA36B">
            <w:pPr>
              <w:pStyle w:val="13"/>
            </w:pPr>
            <w:r>
              <w:t>二十四、预备费</w:t>
            </w:r>
          </w:p>
        </w:tc>
        <w:tc>
          <w:tcPr>
            <w:tcW w:w="2126" w:type="dxa"/>
            <w:vAlign w:val="center"/>
          </w:tcPr>
          <w:p w14:paraId="33303590">
            <w:pPr>
              <w:pStyle w:val="14"/>
            </w:pPr>
          </w:p>
        </w:tc>
      </w:tr>
      <w:tr w14:paraId="7863A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46767">
            <w:pPr>
              <w:pStyle w:val="12"/>
            </w:pPr>
            <w:r>
              <w:t>25</w:t>
            </w:r>
          </w:p>
        </w:tc>
        <w:tc>
          <w:tcPr>
            <w:tcW w:w="4535" w:type="dxa"/>
            <w:vAlign w:val="center"/>
          </w:tcPr>
          <w:p w14:paraId="1C4F9C1E">
            <w:pPr>
              <w:pStyle w:val="13"/>
            </w:pPr>
          </w:p>
        </w:tc>
        <w:tc>
          <w:tcPr>
            <w:tcW w:w="2126" w:type="dxa"/>
            <w:vAlign w:val="center"/>
          </w:tcPr>
          <w:p w14:paraId="355DA310">
            <w:pPr>
              <w:pStyle w:val="14"/>
            </w:pPr>
          </w:p>
        </w:tc>
        <w:tc>
          <w:tcPr>
            <w:tcW w:w="4535" w:type="dxa"/>
            <w:vAlign w:val="center"/>
          </w:tcPr>
          <w:p w14:paraId="274BD439">
            <w:pPr>
              <w:pStyle w:val="13"/>
            </w:pPr>
            <w:r>
              <w:t>二十五、其他支出</w:t>
            </w:r>
          </w:p>
        </w:tc>
        <w:tc>
          <w:tcPr>
            <w:tcW w:w="2126" w:type="dxa"/>
            <w:vAlign w:val="center"/>
          </w:tcPr>
          <w:p w14:paraId="108621A1">
            <w:pPr>
              <w:pStyle w:val="14"/>
            </w:pPr>
          </w:p>
        </w:tc>
      </w:tr>
      <w:tr w14:paraId="7FB33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63131">
            <w:pPr>
              <w:pStyle w:val="12"/>
            </w:pPr>
            <w:r>
              <w:t>26</w:t>
            </w:r>
          </w:p>
        </w:tc>
        <w:tc>
          <w:tcPr>
            <w:tcW w:w="4535" w:type="dxa"/>
            <w:vAlign w:val="center"/>
          </w:tcPr>
          <w:p w14:paraId="375FF340">
            <w:pPr>
              <w:pStyle w:val="13"/>
            </w:pPr>
          </w:p>
        </w:tc>
        <w:tc>
          <w:tcPr>
            <w:tcW w:w="2126" w:type="dxa"/>
            <w:vAlign w:val="center"/>
          </w:tcPr>
          <w:p w14:paraId="250CDCBC">
            <w:pPr>
              <w:pStyle w:val="14"/>
            </w:pPr>
          </w:p>
        </w:tc>
        <w:tc>
          <w:tcPr>
            <w:tcW w:w="4535" w:type="dxa"/>
            <w:vAlign w:val="center"/>
          </w:tcPr>
          <w:p w14:paraId="245EE905">
            <w:pPr>
              <w:pStyle w:val="13"/>
            </w:pPr>
            <w:r>
              <w:t>二十六、转移性支出</w:t>
            </w:r>
          </w:p>
        </w:tc>
        <w:tc>
          <w:tcPr>
            <w:tcW w:w="2126" w:type="dxa"/>
            <w:vAlign w:val="center"/>
          </w:tcPr>
          <w:p w14:paraId="25EFCFE6">
            <w:pPr>
              <w:pStyle w:val="14"/>
            </w:pPr>
          </w:p>
        </w:tc>
      </w:tr>
      <w:tr w14:paraId="20020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6334D90">
            <w:pPr>
              <w:pStyle w:val="12"/>
            </w:pPr>
            <w:r>
              <w:t>27</w:t>
            </w:r>
          </w:p>
        </w:tc>
        <w:tc>
          <w:tcPr>
            <w:tcW w:w="4535" w:type="dxa"/>
            <w:vAlign w:val="center"/>
          </w:tcPr>
          <w:p w14:paraId="74A2C93F">
            <w:pPr>
              <w:pStyle w:val="13"/>
            </w:pPr>
          </w:p>
        </w:tc>
        <w:tc>
          <w:tcPr>
            <w:tcW w:w="2126" w:type="dxa"/>
            <w:vAlign w:val="center"/>
          </w:tcPr>
          <w:p w14:paraId="6E6F0A11">
            <w:pPr>
              <w:pStyle w:val="14"/>
            </w:pPr>
          </w:p>
        </w:tc>
        <w:tc>
          <w:tcPr>
            <w:tcW w:w="4535" w:type="dxa"/>
            <w:vAlign w:val="center"/>
          </w:tcPr>
          <w:p w14:paraId="16BDA566">
            <w:pPr>
              <w:pStyle w:val="13"/>
            </w:pPr>
            <w:r>
              <w:t>二十七、债务还本支出</w:t>
            </w:r>
          </w:p>
        </w:tc>
        <w:tc>
          <w:tcPr>
            <w:tcW w:w="2126" w:type="dxa"/>
            <w:vAlign w:val="center"/>
          </w:tcPr>
          <w:p w14:paraId="1D1F7311">
            <w:pPr>
              <w:pStyle w:val="14"/>
            </w:pPr>
          </w:p>
        </w:tc>
      </w:tr>
      <w:tr w14:paraId="6594F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EA469">
            <w:pPr>
              <w:pStyle w:val="12"/>
            </w:pPr>
            <w:r>
              <w:t>28</w:t>
            </w:r>
          </w:p>
        </w:tc>
        <w:tc>
          <w:tcPr>
            <w:tcW w:w="4535" w:type="dxa"/>
            <w:vAlign w:val="center"/>
          </w:tcPr>
          <w:p w14:paraId="5DF29212">
            <w:pPr>
              <w:pStyle w:val="13"/>
            </w:pPr>
          </w:p>
        </w:tc>
        <w:tc>
          <w:tcPr>
            <w:tcW w:w="2126" w:type="dxa"/>
            <w:vAlign w:val="center"/>
          </w:tcPr>
          <w:p w14:paraId="723113EB">
            <w:pPr>
              <w:pStyle w:val="14"/>
            </w:pPr>
          </w:p>
        </w:tc>
        <w:tc>
          <w:tcPr>
            <w:tcW w:w="4535" w:type="dxa"/>
            <w:vAlign w:val="center"/>
          </w:tcPr>
          <w:p w14:paraId="3A65C5D9">
            <w:pPr>
              <w:pStyle w:val="13"/>
            </w:pPr>
            <w:r>
              <w:t>二十八、债务付息支出</w:t>
            </w:r>
          </w:p>
        </w:tc>
        <w:tc>
          <w:tcPr>
            <w:tcW w:w="2126" w:type="dxa"/>
            <w:vAlign w:val="center"/>
          </w:tcPr>
          <w:p w14:paraId="6B1BEDC5">
            <w:pPr>
              <w:pStyle w:val="14"/>
            </w:pPr>
          </w:p>
        </w:tc>
      </w:tr>
      <w:tr w14:paraId="6531B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1FB29">
            <w:pPr>
              <w:pStyle w:val="12"/>
            </w:pPr>
            <w:r>
              <w:t>29</w:t>
            </w:r>
          </w:p>
        </w:tc>
        <w:tc>
          <w:tcPr>
            <w:tcW w:w="4535" w:type="dxa"/>
            <w:vAlign w:val="center"/>
          </w:tcPr>
          <w:p w14:paraId="327C81D1">
            <w:pPr>
              <w:pStyle w:val="13"/>
            </w:pPr>
          </w:p>
        </w:tc>
        <w:tc>
          <w:tcPr>
            <w:tcW w:w="2126" w:type="dxa"/>
            <w:vAlign w:val="center"/>
          </w:tcPr>
          <w:p w14:paraId="52E1D572">
            <w:pPr>
              <w:pStyle w:val="14"/>
            </w:pPr>
          </w:p>
        </w:tc>
        <w:tc>
          <w:tcPr>
            <w:tcW w:w="4535" w:type="dxa"/>
            <w:vAlign w:val="center"/>
          </w:tcPr>
          <w:p w14:paraId="2476ABCC">
            <w:pPr>
              <w:pStyle w:val="13"/>
            </w:pPr>
            <w:r>
              <w:t>二十九、债务发行费用支出</w:t>
            </w:r>
          </w:p>
        </w:tc>
        <w:tc>
          <w:tcPr>
            <w:tcW w:w="2126" w:type="dxa"/>
            <w:vAlign w:val="center"/>
          </w:tcPr>
          <w:p w14:paraId="5EECE75D">
            <w:pPr>
              <w:pStyle w:val="14"/>
            </w:pPr>
          </w:p>
        </w:tc>
      </w:tr>
      <w:tr w14:paraId="69B94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73E7F">
            <w:pPr>
              <w:pStyle w:val="12"/>
            </w:pPr>
            <w:r>
              <w:t>30</w:t>
            </w:r>
          </w:p>
        </w:tc>
        <w:tc>
          <w:tcPr>
            <w:tcW w:w="4535" w:type="dxa"/>
            <w:vAlign w:val="center"/>
          </w:tcPr>
          <w:p w14:paraId="42FF7404">
            <w:pPr>
              <w:pStyle w:val="13"/>
            </w:pPr>
          </w:p>
        </w:tc>
        <w:tc>
          <w:tcPr>
            <w:tcW w:w="2126" w:type="dxa"/>
            <w:vAlign w:val="center"/>
          </w:tcPr>
          <w:p w14:paraId="4D117485">
            <w:pPr>
              <w:pStyle w:val="14"/>
            </w:pPr>
          </w:p>
        </w:tc>
        <w:tc>
          <w:tcPr>
            <w:tcW w:w="4535" w:type="dxa"/>
            <w:vAlign w:val="center"/>
          </w:tcPr>
          <w:p w14:paraId="3DAAD267">
            <w:pPr>
              <w:pStyle w:val="13"/>
            </w:pPr>
            <w:r>
              <w:t>三十、抗疫特别国债安排的支出</w:t>
            </w:r>
          </w:p>
        </w:tc>
        <w:tc>
          <w:tcPr>
            <w:tcW w:w="2126" w:type="dxa"/>
            <w:vAlign w:val="center"/>
          </w:tcPr>
          <w:p w14:paraId="6CF64333">
            <w:pPr>
              <w:pStyle w:val="14"/>
            </w:pPr>
          </w:p>
        </w:tc>
      </w:tr>
      <w:tr w14:paraId="77F6F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9D64E">
            <w:pPr>
              <w:pStyle w:val="12"/>
            </w:pPr>
            <w:r>
              <w:t>31</w:t>
            </w:r>
          </w:p>
        </w:tc>
        <w:tc>
          <w:tcPr>
            <w:tcW w:w="4535" w:type="dxa"/>
            <w:vAlign w:val="center"/>
          </w:tcPr>
          <w:p w14:paraId="7A67D3B9">
            <w:pPr>
              <w:pStyle w:val="13"/>
            </w:pPr>
          </w:p>
        </w:tc>
        <w:tc>
          <w:tcPr>
            <w:tcW w:w="2126" w:type="dxa"/>
            <w:vAlign w:val="center"/>
          </w:tcPr>
          <w:p w14:paraId="3AEB3143">
            <w:pPr>
              <w:pStyle w:val="14"/>
            </w:pPr>
          </w:p>
        </w:tc>
        <w:tc>
          <w:tcPr>
            <w:tcW w:w="4535" w:type="dxa"/>
            <w:vAlign w:val="center"/>
          </w:tcPr>
          <w:p w14:paraId="2ECABEF0">
            <w:pPr>
              <w:pStyle w:val="13"/>
            </w:pPr>
            <w:r>
              <w:t>三十一、人行科目</w:t>
            </w:r>
          </w:p>
        </w:tc>
        <w:tc>
          <w:tcPr>
            <w:tcW w:w="2126" w:type="dxa"/>
            <w:vAlign w:val="center"/>
          </w:tcPr>
          <w:p w14:paraId="3D1B49AD">
            <w:pPr>
              <w:pStyle w:val="14"/>
            </w:pPr>
          </w:p>
        </w:tc>
      </w:tr>
      <w:tr w14:paraId="0CAA9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2B326">
            <w:pPr>
              <w:pStyle w:val="12"/>
            </w:pPr>
            <w:r>
              <w:t>32</w:t>
            </w:r>
          </w:p>
        </w:tc>
        <w:tc>
          <w:tcPr>
            <w:tcW w:w="4535" w:type="dxa"/>
            <w:vAlign w:val="center"/>
          </w:tcPr>
          <w:p w14:paraId="1794B17F">
            <w:pPr>
              <w:pStyle w:val="15"/>
            </w:pPr>
            <w:r>
              <w:t>本年收入合计</w:t>
            </w:r>
          </w:p>
        </w:tc>
        <w:tc>
          <w:tcPr>
            <w:tcW w:w="2126" w:type="dxa"/>
            <w:vAlign w:val="center"/>
          </w:tcPr>
          <w:p w14:paraId="6EE7BCC5">
            <w:pPr>
              <w:pStyle w:val="16"/>
            </w:pPr>
            <w:r>
              <w:t>2819.26</w:t>
            </w:r>
          </w:p>
        </w:tc>
        <w:tc>
          <w:tcPr>
            <w:tcW w:w="4535" w:type="dxa"/>
            <w:vAlign w:val="center"/>
          </w:tcPr>
          <w:p w14:paraId="31A788D9">
            <w:pPr>
              <w:pStyle w:val="15"/>
            </w:pPr>
            <w:r>
              <w:t>本年支出合计</w:t>
            </w:r>
          </w:p>
        </w:tc>
        <w:tc>
          <w:tcPr>
            <w:tcW w:w="2126" w:type="dxa"/>
            <w:vAlign w:val="center"/>
          </w:tcPr>
          <w:p w14:paraId="0E12F7AA">
            <w:pPr>
              <w:pStyle w:val="16"/>
            </w:pPr>
            <w:r>
              <w:t>3094.16</w:t>
            </w:r>
          </w:p>
        </w:tc>
      </w:tr>
      <w:tr w14:paraId="6443A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E4200">
            <w:pPr>
              <w:pStyle w:val="12"/>
            </w:pPr>
            <w:r>
              <w:t>33</w:t>
            </w:r>
          </w:p>
        </w:tc>
        <w:tc>
          <w:tcPr>
            <w:tcW w:w="4535" w:type="dxa"/>
            <w:vAlign w:val="center"/>
          </w:tcPr>
          <w:p w14:paraId="046A0FFC">
            <w:pPr>
              <w:pStyle w:val="13"/>
            </w:pPr>
            <w:r>
              <w:t>上年结转结余</w:t>
            </w:r>
          </w:p>
        </w:tc>
        <w:tc>
          <w:tcPr>
            <w:tcW w:w="2126" w:type="dxa"/>
            <w:vAlign w:val="center"/>
          </w:tcPr>
          <w:p w14:paraId="4AE7A47D">
            <w:pPr>
              <w:pStyle w:val="14"/>
            </w:pPr>
            <w:r>
              <w:t>274.90</w:t>
            </w:r>
          </w:p>
        </w:tc>
        <w:tc>
          <w:tcPr>
            <w:tcW w:w="4535" w:type="dxa"/>
            <w:vAlign w:val="center"/>
          </w:tcPr>
          <w:p w14:paraId="046F83DE">
            <w:pPr>
              <w:pStyle w:val="13"/>
            </w:pPr>
            <w:r>
              <w:t>年终结转结余</w:t>
            </w:r>
          </w:p>
        </w:tc>
        <w:tc>
          <w:tcPr>
            <w:tcW w:w="2126" w:type="dxa"/>
            <w:vAlign w:val="center"/>
          </w:tcPr>
          <w:p w14:paraId="62AEB60F">
            <w:pPr>
              <w:pStyle w:val="14"/>
            </w:pPr>
          </w:p>
        </w:tc>
      </w:tr>
      <w:tr w14:paraId="5C379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C1551">
            <w:pPr>
              <w:pStyle w:val="12"/>
            </w:pPr>
            <w:r>
              <w:t>34</w:t>
            </w:r>
          </w:p>
        </w:tc>
        <w:tc>
          <w:tcPr>
            <w:tcW w:w="4535" w:type="dxa"/>
            <w:vAlign w:val="center"/>
          </w:tcPr>
          <w:p w14:paraId="4F560F71">
            <w:pPr>
              <w:pStyle w:val="15"/>
            </w:pPr>
            <w:r>
              <w:t>收入总计</w:t>
            </w:r>
          </w:p>
        </w:tc>
        <w:tc>
          <w:tcPr>
            <w:tcW w:w="2126" w:type="dxa"/>
            <w:vAlign w:val="center"/>
          </w:tcPr>
          <w:p w14:paraId="24E0E927">
            <w:pPr>
              <w:pStyle w:val="16"/>
            </w:pPr>
            <w:r>
              <w:t>3094.16</w:t>
            </w:r>
          </w:p>
        </w:tc>
        <w:tc>
          <w:tcPr>
            <w:tcW w:w="4535" w:type="dxa"/>
            <w:vAlign w:val="center"/>
          </w:tcPr>
          <w:p w14:paraId="722B83B3">
            <w:pPr>
              <w:pStyle w:val="15"/>
            </w:pPr>
            <w:r>
              <w:t>支出总计</w:t>
            </w:r>
          </w:p>
        </w:tc>
        <w:tc>
          <w:tcPr>
            <w:tcW w:w="2126" w:type="dxa"/>
            <w:vAlign w:val="center"/>
          </w:tcPr>
          <w:p w14:paraId="4F217C76">
            <w:pPr>
              <w:pStyle w:val="16"/>
            </w:pPr>
            <w:r>
              <w:t>3094.16</w:t>
            </w:r>
          </w:p>
        </w:tc>
      </w:tr>
    </w:tbl>
    <w:p w14:paraId="3347B837">
      <w:pPr>
        <w:sectPr>
          <w:pgSz w:w="16840" w:h="11900" w:orient="landscape"/>
          <w:pgMar w:top="1361" w:right="1020" w:bottom="1134" w:left="1020" w:header="720" w:footer="720" w:gutter="0"/>
          <w:cols w:space="720" w:num="1"/>
        </w:sectPr>
      </w:pPr>
    </w:p>
    <w:p w14:paraId="78782A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B95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837C74">
            <w:pPr>
              <w:pStyle w:val="8"/>
            </w:pPr>
            <w:r>
              <w:t>360004隆尧县尧山中学</w:t>
            </w:r>
          </w:p>
        </w:tc>
        <w:tc>
          <w:tcPr>
            <w:tcW w:w="3402" w:type="dxa"/>
            <w:gridSpan w:val="3"/>
            <w:tcBorders>
              <w:top w:val="single" w:color="FFFFFF" w:sz="6" w:space="0"/>
              <w:left w:val="single" w:color="FFFFFF" w:sz="6" w:space="0"/>
              <w:right w:val="single" w:color="FFFFFF" w:sz="6" w:space="0"/>
            </w:tcBorders>
            <w:vAlign w:val="center"/>
          </w:tcPr>
          <w:p w14:paraId="50A35BB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60F22D1">
            <w:pPr>
              <w:pStyle w:val="10"/>
            </w:pPr>
            <w:r>
              <w:t>单位：万元</w:t>
            </w:r>
          </w:p>
        </w:tc>
      </w:tr>
      <w:tr w14:paraId="1457E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C5E1AC">
            <w:pPr>
              <w:pStyle w:val="11"/>
            </w:pPr>
            <w:r>
              <w:t>序号</w:t>
            </w:r>
          </w:p>
        </w:tc>
        <w:tc>
          <w:tcPr>
            <w:tcW w:w="2551" w:type="dxa"/>
            <w:gridSpan w:val="2"/>
            <w:vAlign w:val="center"/>
          </w:tcPr>
          <w:p w14:paraId="28F32869">
            <w:pPr>
              <w:pStyle w:val="11"/>
            </w:pPr>
            <w:r>
              <w:t>功能分类科目</w:t>
            </w:r>
          </w:p>
        </w:tc>
        <w:tc>
          <w:tcPr>
            <w:tcW w:w="1134" w:type="dxa"/>
            <w:vMerge w:val="restart"/>
            <w:vAlign w:val="center"/>
          </w:tcPr>
          <w:p w14:paraId="340A1D73">
            <w:pPr>
              <w:pStyle w:val="11"/>
            </w:pPr>
            <w:r>
              <w:t>合计</w:t>
            </w:r>
          </w:p>
        </w:tc>
        <w:tc>
          <w:tcPr>
            <w:tcW w:w="9072" w:type="dxa"/>
            <w:gridSpan w:val="8"/>
            <w:vAlign w:val="center"/>
          </w:tcPr>
          <w:p w14:paraId="62120A3E">
            <w:pPr>
              <w:pStyle w:val="11"/>
            </w:pPr>
            <w:r>
              <w:t>本年收入</w:t>
            </w:r>
          </w:p>
        </w:tc>
        <w:tc>
          <w:tcPr>
            <w:tcW w:w="1134" w:type="dxa"/>
            <w:vMerge w:val="restart"/>
            <w:vAlign w:val="center"/>
          </w:tcPr>
          <w:p w14:paraId="22FE5DC0">
            <w:pPr>
              <w:pStyle w:val="11"/>
            </w:pPr>
            <w:r>
              <w:t>上年结转</w:t>
            </w:r>
          </w:p>
        </w:tc>
      </w:tr>
      <w:tr w14:paraId="042F2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E703D0"/>
        </w:tc>
        <w:tc>
          <w:tcPr>
            <w:tcW w:w="992" w:type="dxa"/>
            <w:vAlign w:val="center"/>
          </w:tcPr>
          <w:p w14:paraId="29591E9C">
            <w:pPr>
              <w:pStyle w:val="11"/>
            </w:pPr>
            <w:r>
              <w:t>科目    编码</w:t>
            </w:r>
          </w:p>
        </w:tc>
        <w:tc>
          <w:tcPr>
            <w:tcW w:w="1559" w:type="dxa"/>
            <w:vAlign w:val="center"/>
          </w:tcPr>
          <w:p w14:paraId="20FFACBA">
            <w:pPr>
              <w:pStyle w:val="11"/>
            </w:pPr>
            <w:r>
              <w:t>科目名称</w:t>
            </w:r>
          </w:p>
        </w:tc>
        <w:tc>
          <w:tcPr>
            <w:tcW w:w="1134" w:type="dxa"/>
            <w:vMerge w:val="continue"/>
          </w:tcPr>
          <w:p w14:paraId="09BD864B"/>
        </w:tc>
        <w:tc>
          <w:tcPr>
            <w:tcW w:w="1134" w:type="dxa"/>
            <w:vAlign w:val="center"/>
          </w:tcPr>
          <w:p w14:paraId="11ED82A2">
            <w:pPr>
              <w:pStyle w:val="11"/>
            </w:pPr>
            <w:r>
              <w:t>小计</w:t>
            </w:r>
          </w:p>
        </w:tc>
        <w:tc>
          <w:tcPr>
            <w:tcW w:w="1134" w:type="dxa"/>
            <w:vAlign w:val="center"/>
          </w:tcPr>
          <w:p w14:paraId="0E74CB92">
            <w:pPr>
              <w:pStyle w:val="11"/>
            </w:pPr>
            <w:r>
              <w:t>财政拨款 收入</w:t>
            </w:r>
          </w:p>
        </w:tc>
        <w:tc>
          <w:tcPr>
            <w:tcW w:w="1134" w:type="dxa"/>
            <w:vAlign w:val="center"/>
          </w:tcPr>
          <w:p w14:paraId="5BC24F21">
            <w:pPr>
              <w:pStyle w:val="11"/>
            </w:pPr>
            <w:r>
              <w:t>财政专户 收入</w:t>
            </w:r>
          </w:p>
        </w:tc>
        <w:tc>
          <w:tcPr>
            <w:tcW w:w="1134" w:type="dxa"/>
            <w:vAlign w:val="center"/>
          </w:tcPr>
          <w:p w14:paraId="5CF80DB9">
            <w:pPr>
              <w:pStyle w:val="11"/>
            </w:pPr>
            <w:r>
              <w:t>事业收入</w:t>
            </w:r>
          </w:p>
        </w:tc>
        <w:tc>
          <w:tcPr>
            <w:tcW w:w="1134" w:type="dxa"/>
            <w:vAlign w:val="center"/>
          </w:tcPr>
          <w:p w14:paraId="63F5D5D5">
            <w:pPr>
              <w:pStyle w:val="11"/>
            </w:pPr>
            <w:r>
              <w:t>经营收入</w:t>
            </w:r>
          </w:p>
        </w:tc>
        <w:tc>
          <w:tcPr>
            <w:tcW w:w="1134" w:type="dxa"/>
            <w:vAlign w:val="center"/>
          </w:tcPr>
          <w:p w14:paraId="3BD2169E">
            <w:pPr>
              <w:pStyle w:val="11"/>
            </w:pPr>
            <w:r>
              <w:t>上级补助收入</w:t>
            </w:r>
          </w:p>
        </w:tc>
        <w:tc>
          <w:tcPr>
            <w:tcW w:w="1134" w:type="dxa"/>
            <w:vAlign w:val="center"/>
          </w:tcPr>
          <w:p w14:paraId="7A07BDBD">
            <w:pPr>
              <w:pStyle w:val="11"/>
            </w:pPr>
            <w:r>
              <w:t>附属单位上缴收入</w:t>
            </w:r>
          </w:p>
        </w:tc>
        <w:tc>
          <w:tcPr>
            <w:tcW w:w="1134" w:type="dxa"/>
            <w:vAlign w:val="center"/>
          </w:tcPr>
          <w:p w14:paraId="4B0190AF">
            <w:pPr>
              <w:pStyle w:val="11"/>
            </w:pPr>
            <w:r>
              <w:t>其他收入</w:t>
            </w:r>
          </w:p>
        </w:tc>
        <w:tc>
          <w:tcPr>
            <w:tcW w:w="1134" w:type="dxa"/>
            <w:vMerge w:val="continue"/>
          </w:tcPr>
          <w:p w14:paraId="3061B96F"/>
        </w:tc>
      </w:tr>
      <w:tr w14:paraId="6182D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624178">
            <w:pPr>
              <w:pStyle w:val="11"/>
            </w:pPr>
            <w:r>
              <w:t>栏次</w:t>
            </w:r>
          </w:p>
        </w:tc>
        <w:tc>
          <w:tcPr>
            <w:tcW w:w="992" w:type="dxa"/>
            <w:vAlign w:val="center"/>
          </w:tcPr>
          <w:p w14:paraId="46E20B74">
            <w:pPr>
              <w:pStyle w:val="11"/>
            </w:pPr>
            <w:r>
              <w:t>1</w:t>
            </w:r>
          </w:p>
        </w:tc>
        <w:tc>
          <w:tcPr>
            <w:tcW w:w="1559" w:type="dxa"/>
            <w:vAlign w:val="center"/>
          </w:tcPr>
          <w:p w14:paraId="697190AB">
            <w:pPr>
              <w:pStyle w:val="11"/>
            </w:pPr>
            <w:r>
              <w:t>2</w:t>
            </w:r>
          </w:p>
        </w:tc>
        <w:tc>
          <w:tcPr>
            <w:tcW w:w="1134" w:type="dxa"/>
            <w:vAlign w:val="center"/>
          </w:tcPr>
          <w:p w14:paraId="5AC5F531">
            <w:pPr>
              <w:pStyle w:val="11"/>
            </w:pPr>
            <w:r>
              <w:t>3</w:t>
            </w:r>
          </w:p>
        </w:tc>
        <w:tc>
          <w:tcPr>
            <w:tcW w:w="1134" w:type="dxa"/>
            <w:vAlign w:val="center"/>
          </w:tcPr>
          <w:p w14:paraId="21872C75">
            <w:pPr>
              <w:pStyle w:val="11"/>
            </w:pPr>
            <w:r>
              <w:t>4</w:t>
            </w:r>
          </w:p>
        </w:tc>
        <w:tc>
          <w:tcPr>
            <w:tcW w:w="1134" w:type="dxa"/>
            <w:vAlign w:val="center"/>
          </w:tcPr>
          <w:p w14:paraId="7A529280">
            <w:pPr>
              <w:pStyle w:val="11"/>
            </w:pPr>
            <w:r>
              <w:t>5</w:t>
            </w:r>
          </w:p>
        </w:tc>
        <w:tc>
          <w:tcPr>
            <w:tcW w:w="1134" w:type="dxa"/>
            <w:vAlign w:val="center"/>
          </w:tcPr>
          <w:p w14:paraId="37AF826C">
            <w:pPr>
              <w:pStyle w:val="11"/>
            </w:pPr>
            <w:r>
              <w:t>6</w:t>
            </w:r>
          </w:p>
        </w:tc>
        <w:tc>
          <w:tcPr>
            <w:tcW w:w="1134" w:type="dxa"/>
            <w:vAlign w:val="center"/>
          </w:tcPr>
          <w:p w14:paraId="458E14C5">
            <w:pPr>
              <w:pStyle w:val="11"/>
            </w:pPr>
            <w:r>
              <w:t>7</w:t>
            </w:r>
          </w:p>
        </w:tc>
        <w:tc>
          <w:tcPr>
            <w:tcW w:w="1134" w:type="dxa"/>
            <w:vAlign w:val="center"/>
          </w:tcPr>
          <w:p w14:paraId="2393EF77">
            <w:pPr>
              <w:pStyle w:val="11"/>
            </w:pPr>
            <w:r>
              <w:t>8</w:t>
            </w:r>
          </w:p>
        </w:tc>
        <w:tc>
          <w:tcPr>
            <w:tcW w:w="1134" w:type="dxa"/>
            <w:vAlign w:val="center"/>
          </w:tcPr>
          <w:p w14:paraId="0C65A064">
            <w:pPr>
              <w:pStyle w:val="11"/>
            </w:pPr>
            <w:r>
              <w:t>9</w:t>
            </w:r>
          </w:p>
        </w:tc>
        <w:tc>
          <w:tcPr>
            <w:tcW w:w="1134" w:type="dxa"/>
            <w:vAlign w:val="center"/>
          </w:tcPr>
          <w:p w14:paraId="159E91B0">
            <w:pPr>
              <w:pStyle w:val="11"/>
            </w:pPr>
            <w:r>
              <w:t>10</w:t>
            </w:r>
          </w:p>
        </w:tc>
        <w:tc>
          <w:tcPr>
            <w:tcW w:w="1134" w:type="dxa"/>
            <w:vAlign w:val="center"/>
          </w:tcPr>
          <w:p w14:paraId="77F8A2D1">
            <w:pPr>
              <w:pStyle w:val="11"/>
            </w:pPr>
            <w:r>
              <w:t>11</w:t>
            </w:r>
          </w:p>
        </w:tc>
        <w:tc>
          <w:tcPr>
            <w:tcW w:w="1134" w:type="dxa"/>
            <w:vAlign w:val="center"/>
          </w:tcPr>
          <w:p w14:paraId="46033D84">
            <w:pPr>
              <w:pStyle w:val="11"/>
            </w:pPr>
            <w:r>
              <w:t>12</w:t>
            </w:r>
          </w:p>
        </w:tc>
      </w:tr>
      <w:tr w14:paraId="5C776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E3F993">
            <w:pPr>
              <w:pStyle w:val="12"/>
            </w:pPr>
            <w:r>
              <w:t>1</w:t>
            </w:r>
          </w:p>
        </w:tc>
        <w:tc>
          <w:tcPr>
            <w:tcW w:w="992" w:type="dxa"/>
            <w:vAlign w:val="center"/>
          </w:tcPr>
          <w:p w14:paraId="70869A6B">
            <w:pPr>
              <w:pStyle w:val="17"/>
            </w:pPr>
          </w:p>
        </w:tc>
        <w:tc>
          <w:tcPr>
            <w:tcW w:w="1559" w:type="dxa"/>
            <w:vAlign w:val="center"/>
          </w:tcPr>
          <w:p w14:paraId="1093F0FB">
            <w:pPr>
              <w:pStyle w:val="15"/>
            </w:pPr>
            <w:r>
              <w:t>合计</w:t>
            </w:r>
          </w:p>
        </w:tc>
        <w:tc>
          <w:tcPr>
            <w:tcW w:w="1134" w:type="dxa"/>
            <w:vAlign w:val="center"/>
          </w:tcPr>
          <w:p w14:paraId="42F26A10">
            <w:pPr>
              <w:pStyle w:val="16"/>
            </w:pPr>
            <w:r>
              <w:t>3094.16</w:t>
            </w:r>
          </w:p>
        </w:tc>
        <w:tc>
          <w:tcPr>
            <w:tcW w:w="1134" w:type="dxa"/>
            <w:vAlign w:val="center"/>
          </w:tcPr>
          <w:p w14:paraId="34399D77">
            <w:pPr>
              <w:pStyle w:val="16"/>
            </w:pPr>
            <w:r>
              <w:t>2819.26</w:t>
            </w:r>
          </w:p>
        </w:tc>
        <w:tc>
          <w:tcPr>
            <w:tcW w:w="1134" w:type="dxa"/>
            <w:vAlign w:val="center"/>
          </w:tcPr>
          <w:p w14:paraId="08859614">
            <w:pPr>
              <w:pStyle w:val="16"/>
            </w:pPr>
            <w:r>
              <w:t>2819.26</w:t>
            </w:r>
          </w:p>
        </w:tc>
        <w:tc>
          <w:tcPr>
            <w:tcW w:w="1134" w:type="dxa"/>
            <w:vAlign w:val="center"/>
          </w:tcPr>
          <w:p w14:paraId="746A46BF">
            <w:pPr>
              <w:pStyle w:val="16"/>
            </w:pPr>
          </w:p>
        </w:tc>
        <w:tc>
          <w:tcPr>
            <w:tcW w:w="1134" w:type="dxa"/>
            <w:vAlign w:val="center"/>
          </w:tcPr>
          <w:p w14:paraId="02DB466E">
            <w:pPr>
              <w:pStyle w:val="16"/>
            </w:pPr>
          </w:p>
        </w:tc>
        <w:tc>
          <w:tcPr>
            <w:tcW w:w="1134" w:type="dxa"/>
            <w:vAlign w:val="center"/>
          </w:tcPr>
          <w:p w14:paraId="12A63514">
            <w:pPr>
              <w:pStyle w:val="16"/>
            </w:pPr>
          </w:p>
        </w:tc>
        <w:tc>
          <w:tcPr>
            <w:tcW w:w="1134" w:type="dxa"/>
            <w:vAlign w:val="center"/>
          </w:tcPr>
          <w:p w14:paraId="091F32F6">
            <w:pPr>
              <w:pStyle w:val="16"/>
            </w:pPr>
          </w:p>
        </w:tc>
        <w:tc>
          <w:tcPr>
            <w:tcW w:w="1134" w:type="dxa"/>
            <w:vAlign w:val="center"/>
          </w:tcPr>
          <w:p w14:paraId="24B9AF2C">
            <w:pPr>
              <w:pStyle w:val="16"/>
            </w:pPr>
          </w:p>
        </w:tc>
        <w:tc>
          <w:tcPr>
            <w:tcW w:w="1134" w:type="dxa"/>
            <w:vAlign w:val="center"/>
          </w:tcPr>
          <w:p w14:paraId="172CF946">
            <w:pPr>
              <w:pStyle w:val="16"/>
            </w:pPr>
          </w:p>
        </w:tc>
        <w:tc>
          <w:tcPr>
            <w:tcW w:w="1134" w:type="dxa"/>
            <w:vAlign w:val="center"/>
          </w:tcPr>
          <w:p w14:paraId="6E4311B0">
            <w:pPr>
              <w:pStyle w:val="16"/>
            </w:pPr>
            <w:r>
              <w:t>274.90</w:t>
            </w:r>
          </w:p>
        </w:tc>
      </w:tr>
      <w:tr w14:paraId="04985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C0ADF7">
            <w:pPr>
              <w:pStyle w:val="12"/>
            </w:pPr>
            <w:r>
              <w:t>2</w:t>
            </w:r>
          </w:p>
        </w:tc>
        <w:tc>
          <w:tcPr>
            <w:tcW w:w="992" w:type="dxa"/>
            <w:vAlign w:val="center"/>
          </w:tcPr>
          <w:p w14:paraId="1523484D">
            <w:pPr>
              <w:pStyle w:val="13"/>
            </w:pPr>
            <w:r>
              <w:t>205</w:t>
            </w:r>
          </w:p>
        </w:tc>
        <w:tc>
          <w:tcPr>
            <w:tcW w:w="1559" w:type="dxa"/>
            <w:vAlign w:val="center"/>
          </w:tcPr>
          <w:p w14:paraId="64F49D01">
            <w:pPr>
              <w:pStyle w:val="13"/>
            </w:pPr>
            <w:r>
              <w:t>教育支出</w:t>
            </w:r>
          </w:p>
        </w:tc>
        <w:tc>
          <w:tcPr>
            <w:tcW w:w="1134" w:type="dxa"/>
            <w:vAlign w:val="center"/>
          </w:tcPr>
          <w:p w14:paraId="0D6FF167">
            <w:pPr>
              <w:pStyle w:val="14"/>
            </w:pPr>
            <w:r>
              <w:t>3094.16</w:t>
            </w:r>
          </w:p>
        </w:tc>
        <w:tc>
          <w:tcPr>
            <w:tcW w:w="1134" w:type="dxa"/>
            <w:vAlign w:val="center"/>
          </w:tcPr>
          <w:p w14:paraId="11E58DD6">
            <w:pPr>
              <w:pStyle w:val="14"/>
            </w:pPr>
            <w:r>
              <w:t>2819.26</w:t>
            </w:r>
          </w:p>
        </w:tc>
        <w:tc>
          <w:tcPr>
            <w:tcW w:w="1134" w:type="dxa"/>
            <w:vAlign w:val="center"/>
          </w:tcPr>
          <w:p w14:paraId="7598061F">
            <w:pPr>
              <w:pStyle w:val="14"/>
            </w:pPr>
            <w:r>
              <w:t>2819.26</w:t>
            </w:r>
          </w:p>
        </w:tc>
        <w:tc>
          <w:tcPr>
            <w:tcW w:w="1134" w:type="dxa"/>
            <w:vAlign w:val="center"/>
          </w:tcPr>
          <w:p w14:paraId="1529C195">
            <w:pPr>
              <w:pStyle w:val="14"/>
            </w:pPr>
          </w:p>
        </w:tc>
        <w:tc>
          <w:tcPr>
            <w:tcW w:w="1134" w:type="dxa"/>
            <w:vAlign w:val="center"/>
          </w:tcPr>
          <w:p w14:paraId="39B6C235">
            <w:pPr>
              <w:pStyle w:val="14"/>
            </w:pPr>
          </w:p>
        </w:tc>
        <w:tc>
          <w:tcPr>
            <w:tcW w:w="1134" w:type="dxa"/>
            <w:vAlign w:val="center"/>
          </w:tcPr>
          <w:p w14:paraId="0C0C211F">
            <w:pPr>
              <w:pStyle w:val="14"/>
            </w:pPr>
          </w:p>
        </w:tc>
        <w:tc>
          <w:tcPr>
            <w:tcW w:w="1134" w:type="dxa"/>
            <w:vAlign w:val="center"/>
          </w:tcPr>
          <w:p w14:paraId="49868705">
            <w:pPr>
              <w:pStyle w:val="14"/>
            </w:pPr>
          </w:p>
        </w:tc>
        <w:tc>
          <w:tcPr>
            <w:tcW w:w="1134" w:type="dxa"/>
            <w:vAlign w:val="center"/>
          </w:tcPr>
          <w:p w14:paraId="022356A9">
            <w:pPr>
              <w:pStyle w:val="14"/>
            </w:pPr>
          </w:p>
        </w:tc>
        <w:tc>
          <w:tcPr>
            <w:tcW w:w="1134" w:type="dxa"/>
            <w:vAlign w:val="center"/>
          </w:tcPr>
          <w:p w14:paraId="38CE58E1">
            <w:pPr>
              <w:pStyle w:val="14"/>
            </w:pPr>
          </w:p>
        </w:tc>
        <w:tc>
          <w:tcPr>
            <w:tcW w:w="1134" w:type="dxa"/>
            <w:vAlign w:val="center"/>
          </w:tcPr>
          <w:p w14:paraId="77B703EE">
            <w:pPr>
              <w:pStyle w:val="14"/>
            </w:pPr>
            <w:r>
              <w:t>274.90</w:t>
            </w:r>
          </w:p>
        </w:tc>
      </w:tr>
      <w:tr w14:paraId="48E99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5B7828">
            <w:pPr>
              <w:pStyle w:val="12"/>
            </w:pPr>
            <w:r>
              <w:t>3</w:t>
            </w:r>
          </w:p>
        </w:tc>
        <w:tc>
          <w:tcPr>
            <w:tcW w:w="992" w:type="dxa"/>
            <w:vAlign w:val="center"/>
          </w:tcPr>
          <w:p w14:paraId="453CDA4F">
            <w:pPr>
              <w:pStyle w:val="13"/>
            </w:pPr>
            <w:r>
              <w:t>20502</w:t>
            </w:r>
          </w:p>
        </w:tc>
        <w:tc>
          <w:tcPr>
            <w:tcW w:w="1559" w:type="dxa"/>
            <w:vAlign w:val="center"/>
          </w:tcPr>
          <w:p w14:paraId="3ADC4069">
            <w:pPr>
              <w:pStyle w:val="13"/>
            </w:pPr>
            <w:r>
              <w:t>普通教育</w:t>
            </w:r>
          </w:p>
        </w:tc>
        <w:tc>
          <w:tcPr>
            <w:tcW w:w="1134" w:type="dxa"/>
            <w:vAlign w:val="center"/>
          </w:tcPr>
          <w:p w14:paraId="6B0CD880">
            <w:pPr>
              <w:pStyle w:val="14"/>
            </w:pPr>
            <w:r>
              <w:t>3094.16</w:t>
            </w:r>
          </w:p>
        </w:tc>
        <w:tc>
          <w:tcPr>
            <w:tcW w:w="1134" w:type="dxa"/>
            <w:vAlign w:val="center"/>
          </w:tcPr>
          <w:p w14:paraId="311FB7BE">
            <w:pPr>
              <w:pStyle w:val="14"/>
            </w:pPr>
            <w:r>
              <w:t>2819.26</w:t>
            </w:r>
          </w:p>
        </w:tc>
        <w:tc>
          <w:tcPr>
            <w:tcW w:w="1134" w:type="dxa"/>
            <w:vAlign w:val="center"/>
          </w:tcPr>
          <w:p w14:paraId="6194659D">
            <w:pPr>
              <w:pStyle w:val="14"/>
            </w:pPr>
            <w:r>
              <w:t>2819.26</w:t>
            </w:r>
          </w:p>
        </w:tc>
        <w:tc>
          <w:tcPr>
            <w:tcW w:w="1134" w:type="dxa"/>
            <w:vAlign w:val="center"/>
          </w:tcPr>
          <w:p w14:paraId="68DC8798">
            <w:pPr>
              <w:pStyle w:val="14"/>
            </w:pPr>
          </w:p>
        </w:tc>
        <w:tc>
          <w:tcPr>
            <w:tcW w:w="1134" w:type="dxa"/>
            <w:vAlign w:val="center"/>
          </w:tcPr>
          <w:p w14:paraId="3B486330">
            <w:pPr>
              <w:pStyle w:val="14"/>
            </w:pPr>
          </w:p>
        </w:tc>
        <w:tc>
          <w:tcPr>
            <w:tcW w:w="1134" w:type="dxa"/>
            <w:vAlign w:val="center"/>
          </w:tcPr>
          <w:p w14:paraId="1DFDDFB1">
            <w:pPr>
              <w:pStyle w:val="14"/>
            </w:pPr>
          </w:p>
        </w:tc>
        <w:tc>
          <w:tcPr>
            <w:tcW w:w="1134" w:type="dxa"/>
            <w:vAlign w:val="center"/>
          </w:tcPr>
          <w:p w14:paraId="67217038">
            <w:pPr>
              <w:pStyle w:val="14"/>
            </w:pPr>
          </w:p>
        </w:tc>
        <w:tc>
          <w:tcPr>
            <w:tcW w:w="1134" w:type="dxa"/>
            <w:vAlign w:val="center"/>
          </w:tcPr>
          <w:p w14:paraId="2162885C">
            <w:pPr>
              <w:pStyle w:val="14"/>
            </w:pPr>
          </w:p>
        </w:tc>
        <w:tc>
          <w:tcPr>
            <w:tcW w:w="1134" w:type="dxa"/>
            <w:vAlign w:val="center"/>
          </w:tcPr>
          <w:p w14:paraId="307828DA">
            <w:pPr>
              <w:pStyle w:val="14"/>
            </w:pPr>
          </w:p>
        </w:tc>
        <w:tc>
          <w:tcPr>
            <w:tcW w:w="1134" w:type="dxa"/>
            <w:vAlign w:val="center"/>
          </w:tcPr>
          <w:p w14:paraId="04E1A340">
            <w:pPr>
              <w:pStyle w:val="14"/>
            </w:pPr>
            <w:r>
              <w:t>274.90</w:t>
            </w:r>
          </w:p>
        </w:tc>
      </w:tr>
      <w:tr w14:paraId="7991A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91F45D">
            <w:pPr>
              <w:pStyle w:val="12"/>
            </w:pPr>
            <w:r>
              <w:t>4</w:t>
            </w:r>
          </w:p>
        </w:tc>
        <w:tc>
          <w:tcPr>
            <w:tcW w:w="992" w:type="dxa"/>
            <w:vAlign w:val="center"/>
          </w:tcPr>
          <w:p w14:paraId="4CC278D5">
            <w:pPr>
              <w:pStyle w:val="13"/>
            </w:pPr>
            <w:r>
              <w:t>2050203</w:t>
            </w:r>
          </w:p>
        </w:tc>
        <w:tc>
          <w:tcPr>
            <w:tcW w:w="1559" w:type="dxa"/>
            <w:vAlign w:val="center"/>
          </w:tcPr>
          <w:p w14:paraId="1B3D0C8C">
            <w:pPr>
              <w:pStyle w:val="13"/>
            </w:pPr>
            <w:r>
              <w:t>初中教育</w:t>
            </w:r>
          </w:p>
        </w:tc>
        <w:tc>
          <w:tcPr>
            <w:tcW w:w="1134" w:type="dxa"/>
            <w:vAlign w:val="center"/>
          </w:tcPr>
          <w:p w14:paraId="0B6DA3ED">
            <w:pPr>
              <w:pStyle w:val="14"/>
            </w:pPr>
            <w:r>
              <w:t>3094.16</w:t>
            </w:r>
          </w:p>
        </w:tc>
        <w:tc>
          <w:tcPr>
            <w:tcW w:w="1134" w:type="dxa"/>
            <w:vAlign w:val="center"/>
          </w:tcPr>
          <w:p w14:paraId="76674A15">
            <w:pPr>
              <w:pStyle w:val="14"/>
            </w:pPr>
            <w:r>
              <w:t>2819.26</w:t>
            </w:r>
          </w:p>
        </w:tc>
        <w:tc>
          <w:tcPr>
            <w:tcW w:w="1134" w:type="dxa"/>
            <w:vAlign w:val="center"/>
          </w:tcPr>
          <w:p w14:paraId="28CD2FF7">
            <w:pPr>
              <w:pStyle w:val="14"/>
            </w:pPr>
            <w:r>
              <w:t>2819.26</w:t>
            </w:r>
          </w:p>
        </w:tc>
        <w:tc>
          <w:tcPr>
            <w:tcW w:w="1134" w:type="dxa"/>
            <w:vAlign w:val="center"/>
          </w:tcPr>
          <w:p w14:paraId="2A4EC783">
            <w:pPr>
              <w:pStyle w:val="14"/>
            </w:pPr>
          </w:p>
        </w:tc>
        <w:tc>
          <w:tcPr>
            <w:tcW w:w="1134" w:type="dxa"/>
            <w:vAlign w:val="center"/>
          </w:tcPr>
          <w:p w14:paraId="4997EA40">
            <w:pPr>
              <w:pStyle w:val="14"/>
            </w:pPr>
          </w:p>
        </w:tc>
        <w:tc>
          <w:tcPr>
            <w:tcW w:w="1134" w:type="dxa"/>
            <w:vAlign w:val="center"/>
          </w:tcPr>
          <w:p w14:paraId="38A96246">
            <w:pPr>
              <w:pStyle w:val="14"/>
            </w:pPr>
          </w:p>
        </w:tc>
        <w:tc>
          <w:tcPr>
            <w:tcW w:w="1134" w:type="dxa"/>
            <w:vAlign w:val="center"/>
          </w:tcPr>
          <w:p w14:paraId="301FE593">
            <w:pPr>
              <w:pStyle w:val="14"/>
            </w:pPr>
          </w:p>
        </w:tc>
        <w:tc>
          <w:tcPr>
            <w:tcW w:w="1134" w:type="dxa"/>
            <w:vAlign w:val="center"/>
          </w:tcPr>
          <w:p w14:paraId="12885B04">
            <w:pPr>
              <w:pStyle w:val="14"/>
            </w:pPr>
          </w:p>
        </w:tc>
        <w:tc>
          <w:tcPr>
            <w:tcW w:w="1134" w:type="dxa"/>
            <w:vAlign w:val="center"/>
          </w:tcPr>
          <w:p w14:paraId="5C295D4A">
            <w:pPr>
              <w:pStyle w:val="14"/>
            </w:pPr>
          </w:p>
        </w:tc>
        <w:tc>
          <w:tcPr>
            <w:tcW w:w="1134" w:type="dxa"/>
            <w:vAlign w:val="center"/>
          </w:tcPr>
          <w:p w14:paraId="5AF298FF">
            <w:pPr>
              <w:pStyle w:val="14"/>
            </w:pPr>
            <w:r>
              <w:t>274.90</w:t>
            </w:r>
          </w:p>
        </w:tc>
      </w:tr>
    </w:tbl>
    <w:p w14:paraId="4D7913A1">
      <w:pPr>
        <w:sectPr>
          <w:pgSz w:w="16840" w:h="11900" w:orient="landscape"/>
          <w:pgMar w:top="1361" w:right="1020" w:bottom="1134" w:left="1020" w:header="720" w:footer="720" w:gutter="0"/>
          <w:cols w:space="720" w:num="1"/>
        </w:sectPr>
      </w:pPr>
    </w:p>
    <w:p w14:paraId="6C2B4A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D51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A4EFF2">
            <w:pPr>
              <w:pStyle w:val="8"/>
            </w:pPr>
            <w:r>
              <w:t>360004隆尧县尧山中学</w:t>
            </w:r>
          </w:p>
        </w:tc>
        <w:tc>
          <w:tcPr>
            <w:tcW w:w="2722" w:type="dxa"/>
            <w:gridSpan w:val="2"/>
            <w:tcBorders>
              <w:top w:val="single" w:color="FFFFFF" w:sz="6" w:space="0"/>
              <w:left w:val="single" w:color="FFFFFF" w:sz="6" w:space="0"/>
              <w:right w:val="single" w:color="FFFFFF" w:sz="6" w:space="0"/>
            </w:tcBorders>
            <w:vAlign w:val="center"/>
          </w:tcPr>
          <w:p w14:paraId="33FB328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00E65E0">
            <w:pPr>
              <w:pStyle w:val="10"/>
            </w:pPr>
            <w:r>
              <w:t>单位：万元</w:t>
            </w:r>
          </w:p>
        </w:tc>
      </w:tr>
      <w:tr w14:paraId="740F7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0565E4">
            <w:pPr>
              <w:pStyle w:val="11"/>
            </w:pPr>
            <w:r>
              <w:t>序号</w:t>
            </w:r>
          </w:p>
        </w:tc>
        <w:tc>
          <w:tcPr>
            <w:tcW w:w="5527" w:type="dxa"/>
            <w:gridSpan w:val="2"/>
            <w:vAlign w:val="center"/>
          </w:tcPr>
          <w:p w14:paraId="3FB3A6AC">
            <w:pPr>
              <w:pStyle w:val="11"/>
            </w:pPr>
            <w:r>
              <w:t>功能分类科目</w:t>
            </w:r>
          </w:p>
        </w:tc>
        <w:tc>
          <w:tcPr>
            <w:tcW w:w="1361" w:type="dxa"/>
            <w:vMerge w:val="restart"/>
            <w:vAlign w:val="center"/>
          </w:tcPr>
          <w:p w14:paraId="0C00DA89">
            <w:pPr>
              <w:pStyle w:val="11"/>
            </w:pPr>
            <w:r>
              <w:t>合计</w:t>
            </w:r>
          </w:p>
        </w:tc>
        <w:tc>
          <w:tcPr>
            <w:tcW w:w="1361" w:type="dxa"/>
            <w:vMerge w:val="restart"/>
            <w:vAlign w:val="center"/>
          </w:tcPr>
          <w:p w14:paraId="45124088">
            <w:pPr>
              <w:pStyle w:val="11"/>
            </w:pPr>
            <w:r>
              <w:t>基本支出</w:t>
            </w:r>
          </w:p>
        </w:tc>
        <w:tc>
          <w:tcPr>
            <w:tcW w:w="1361" w:type="dxa"/>
            <w:vMerge w:val="restart"/>
            <w:vAlign w:val="center"/>
          </w:tcPr>
          <w:p w14:paraId="71E4A661">
            <w:pPr>
              <w:pStyle w:val="11"/>
            </w:pPr>
            <w:r>
              <w:t>项目支出</w:t>
            </w:r>
          </w:p>
        </w:tc>
        <w:tc>
          <w:tcPr>
            <w:tcW w:w="1361" w:type="dxa"/>
            <w:vMerge w:val="restart"/>
            <w:vAlign w:val="center"/>
          </w:tcPr>
          <w:p w14:paraId="248AE96F">
            <w:pPr>
              <w:pStyle w:val="11"/>
            </w:pPr>
            <w:r>
              <w:t>经营支出</w:t>
            </w:r>
          </w:p>
        </w:tc>
        <w:tc>
          <w:tcPr>
            <w:tcW w:w="1361" w:type="dxa"/>
            <w:vMerge w:val="restart"/>
            <w:vAlign w:val="center"/>
          </w:tcPr>
          <w:p w14:paraId="5D2DB62E">
            <w:pPr>
              <w:pStyle w:val="11"/>
            </w:pPr>
            <w:r>
              <w:t>上解上级     支出</w:t>
            </w:r>
          </w:p>
        </w:tc>
        <w:tc>
          <w:tcPr>
            <w:tcW w:w="1361" w:type="dxa"/>
            <w:vMerge w:val="restart"/>
            <w:vAlign w:val="center"/>
          </w:tcPr>
          <w:p w14:paraId="3E6B4A5A">
            <w:pPr>
              <w:pStyle w:val="11"/>
            </w:pPr>
            <w:r>
              <w:t>对附属单位补助支出</w:t>
            </w:r>
          </w:p>
        </w:tc>
      </w:tr>
      <w:tr w14:paraId="6C2FE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C4C77F"/>
        </w:tc>
        <w:tc>
          <w:tcPr>
            <w:tcW w:w="992" w:type="dxa"/>
            <w:vAlign w:val="center"/>
          </w:tcPr>
          <w:p w14:paraId="6FA4553C">
            <w:pPr>
              <w:pStyle w:val="11"/>
            </w:pPr>
            <w:r>
              <w:t>科目    编码</w:t>
            </w:r>
          </w:p>
        </w:tc>
        <w:tc>
          <w:tcPr>
            <w:tcW w:w="4535" w:type="dxa"/>
            <w:vAlign w:val="center"/>
          </w:tcPr>
          <w:p w14:paraId="21BB2155">
            <w:pPr>
              <w:pStyle w:val="11"/>
            </w:pPr>
            <w:r>
              <w:t>科目名称</w:t>
            </w:r>
          </w:p>
        </w:tc>
        <w:tc>
          <w:tcPr>
            <w:tcW w:w="1361" w:type="dxa"/>
            <w:vMerge w:val="continue"/>
          </w:tcPr>
          <w:p w14:paraId="428DA42D"/>
        </w:tc>
        <w:tc>
          <w:tcPr>
            <w:tcW w:w="1361" w:type="dxa"/>
            <w:vMerge w:val="continue"/>
          </w:tcPr>
          <w:p w14:paraId="6036DF8E"/>
        </w:tc>
        <w:tc>
          <w:tcPr>
            <w:tcW w:w="1361" w:type="dxa"/>
            <w:vMerge w:val="continue"/>
          </w:tcPr>
          <w:p w14:paraId="459E767D"/>
        </w:tc>
        <w:tc>
          <w:tcPr>
            <w:tcW w:w="1361" w:type="dxa"/>
            <w:vMerge w:val="continue"/>
          </w:tcPr>
          <w:p w14:paraId="66CB298A"/>
        </w:tc>
        <w:tc>
          <w:tcPr>
            <w:tcW w:w="1361" w:type="dxa"/>
            <w:vMerge w:val="continue"/>
          </w:tcPr>
          <w:p w14:paraId="09B59248"/>
        </w:tc>
        <w:tc>
          <w:tcPr>
            <w:tcW w:w="1361" w:type="dxa"/>
            <w:vMerge w:val="continue"/>
          </w:tcPr>
          <w:p w14:paraId="098C6921"/>
        </w:tc>
      </w:tr>
      <w:tr w14:paraId="418A1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8E491">
            <w:pPr>
              <w:pStyle w:val="11"/>
            </w:pPr>
            <w:r>
              <w:t>栏次</w:t>
            </w:r>
          </w:p>
        </w:tc>
        <w:tc>
          <w:tcPr>
            <w:tcW w:w="992" w:type="dxa"/>
            <w:vAlign w:val="center"/>
          </w:tcPr>
          <w:p w14:paraId="402227F4">
            <w:pPr>
              <w:pStyle w:val="11"/>
            </w:pPr>
            <w:r>
              <w:t>1</w:t>
            </w:r>
          </w:p>
        </w:tc>
        <w:tc>
          <w:tcPr>
            <w:tcW w:w="4535" w:type="dxa"/>
            <w:vAlign w:val="center"/>
          </w:tcPr>
          <w:p w14:paraId="30410C76">
            <w:pPr>
              <w:pStyle w:val="11"/>
            </w:pPr>
            <w:r>
              <w:t>2</w:t>
            </w:r>
          </w:p>
        </w:tc>
        <w:tc>
          <w:tcPr>
            <w:tcW w:w="1361" w:type="dxa"/>
            <w:vAlign w:val="center"/>
          </w:tcPr>
          <w:p w14:paraId="0C0B1F34">
            <w:pPr>
              <w:pStyle w:val="11"/>
            </w:pPr>
            <w:r>
              <w:t>3</w:t>
            </w:r>
          </w:p>
        </w:tc>
        <w:tc>
          <w:tcPr>
            <w:tcW w:w="1361" w:type="dxa"/>
            <w:vAlign w:val="center"/>
          </w:tcPr>
          <w:p w14:paraId="29DDB4D2">
            <w:pPr>
              <w:pStyle w:val="11"/>
            </w:pPr>
            <w:r>
              <w:t>4</w:t>
            </w:r>
          </w:p>
        </w:tc>
        <w:tc>
          <w:tcPr>
            <w:tcW w:w="1361" w:type="dxa"/>
            <w:vAlign w:val="center"/>
          </w:tcPr>
          <w:p w14:paraId="3CD114C3">
            <w:pPr>
              <w:pStyle w:val="11"/>
            </w:pPr>
            <w:r>
              <w:t>5</w:t>
            </w:r>
          </w:p>
        </w:tc>
        <w:tc>
          <w:tcPr>
            <w:tcW w:w="1361" w:type="dxa"/>
            <w:vAlign w:val="center"/>
          </w:tcPr>
          <w:p w14:paraId="46DB254C">
            <w:pPr>
              <w:pStyle w:val="11"/>
            </w:pPr>
            <w:r>
              <w:t>6</w:t>
            </w:r>
          </w:p>
        </w:tc>
        <w:tc>
          <w:tcPr>
            <w:tcW w:w="1361" w:type="dxa"/>
            <w:vAlign w:val="center"/>
          </w:tcPr>
          <w:p w14:paraId="597BD720">
            <w:pPr>
              <w:pStyle w:val="11"/>
            </w:pPr>
            <w:r>
              <w:t>7</w:t>
            </w:r>
          </w:p>
        </w:tc>
        <w:tc>
          <w:tcPr>
            <w:tcW w:w="1361" w:type="dxa"/>
            <w:vAlign w:val="center"/>
          </w:tcPr>
          <w:p w14:paraId="79428BD9">
            <w:pPr>
              <w:pStyle w:val="11"/>
            </w:pPr>
            <w:r>
              <w:t>8</w:t>
            </w:r>
          </w:p>
        </w:tc>
      </w:tr>
      <w:tr w14:paraId="3EE2D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0F50351">
            <w:pPr>
              <w:pStyle w:val="12"/>
            </w:pPr>
            <w:r>
              <w:t>1</w:t>
            </w:r>
          </w:p>
        </w:tc>
        <w:tc>
          <w:tcPr>
            <w:tcW w:w="992" w:type="dxa"/>
            <w:vAlign w:val="center"/>
          </w:tcPr>
          <w:p w14:paraId="742F197E">
            <w:pPr>
              <w:pStyle w:val="17"/>
            </w:pPr>
          </w:p>
        </w:tc>
        <w:tc>
          <w:tcPr>
            <w:tcW w:w="4535" w:type="dxa"/>
            <w:vAlign w:val="center"/>
          </w:tcPr>
          <w:p w14:paraId="384A4A3E">
            <w:pPr>
              <w:pStyle w:val="15"/>
            </w:pPr>
            <w:r>
              <w:t>合计</w:t>
            </w:r>
          </w:p>
        </w:tc>
        <w:tc>
          <w:tcPr>
            <w:tcW w:w="1361" w:type="dxa"/>
            <w:vAlign w:val="center"/>
          </w:tcPr>
          <w:p w14:paraId="3F30C2C0">
            <w:pPr>
              <w:pStyle w:val="16"/>
            </w:pPr>
            <w:r>
              <w:t>3094.16</w:t>
            </w:r>
          </w:p>
        </w:tc>
        <w:tc>
          <w:tcPr>
            <w:tcW w:w="1361" w:type="dxa"/>
            <w:vAlign w:val="center"/>
          </w:tcPr>
          <w:p w14:paraId="4A4E6634">
            <w:pPr>
              <w:pStyle w:val="16"/>
            </w:pPr>
            <w:r>
              <w:t>1927.52</w:t>
            </w:r>
          </w:p>
        </w:tc>
        <w:tc>
          <w:tcPr>
            <w:tcW w:w="1361" w:type="dxa"/>
            <w:vAlign w:val="center"/>
          </w:tcPr>
          <w:p w14:paraId="7E25A750">
            <w:pPr>
              <w:pStyle w:val="16"/>
            </w:pPr>
            <w:r>
              <w:t>1166.64</w:t>
            </w:r>
          </w:p>
        </w:tc>
        <w:tc>
          <w:tcPr>
            <w:tcW w:w="1361" w:type="dxa"/>
            <w:vAlign w:val="center"/>
          </w:tcPr>
          <w:p w14:paraId="32DEC827">
            <w:pPr>
              <w:pStyle w:val="16"/>
            </w:pPr>
          </w:p>
        </w:tc>
        <w:tc>
          <w:tcPr>
            <w:tcW w:w="1361" w:type="dxa"/>
            <w:vAlign w:val="center"/>
          </w:tcPr>
          <w:p w14:paraId="2A0E52B8">
            <w:pPr>
              <w:pStyle w:val="16"/>
            </w:pPr>
          </w:p>
        </w:tc>
        <w:tc>
          <w:tcPr>
            <w:tcW w:w="1361" w:type="dxa"/>
            <w:vAlign w:val="center"/>
          </w:tcPr>
          <w:p w14:paraId="607A41A1">
            <w:pPr>
              <w:pStyle w:val="16"/>
            </w:pPr>
          </w:p>
        </w:tc>
      </w:tr>
      <w:tr w14:paraId="3F824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4F496">
            <w:pPr>
              <w:pStyle w:val="12"/>
            </w:pPr>
            <w:r>
              <w:t>2</w:t>
            </w:r>
          </w:p>
        </w:tc>
        <w:tc>
          <w:tcPr>
            <w:tcW w:w="992" w:type="dxa"/>
            <w:vAlign w:val="center"/>
          </w:tcPr>
          <w:p w14:paraId="22C5A2F0">
            <w:pPr>
              <w:pStyle w:val="13"/>
            </w:pPr>
            <w:r>
              <w:t>205</w:t>
            </w:r>
          </w:p>
        </w:tc>
        <w:tc>
          <w:tcPr>
            <w:tcW w:w="4535" w:type="dxa"/>
            <w:vAlign w:val="center"/>
          </w:tcPr>
          <w:p w14:paraId="313D927D">
            <w:pPr>
              <w:pStyle w:val="13"/>
            </w:pPr>
            <w:r>
              <w:t>教育支出</w:t>
            </w:r>
          </w:p>
        </w:tc>
        <w:tc>
          <w:tcPr>
            <w:tcW w:w="1361" w:type="dxa"/>
            <w:vAlign w:val="center"/>
          </w:tcPr>
          <w:p w14:paraId="2BF1593F">
            <w:pPr>
              <w:pStyle w:val="14"/>
            </w:pPr>
            <w:r>
              <w:t>3094.16</w:t>
            </w:r>
          </w:p>
        </w:tc>
        <w:tc>
          <w:tcPr>
            <w:tcW w:w="1361" w:type="dxa"/>
            <w:vAlign w:val="center"/>
          </w:tcPr>
          <w:p w14:paraId="0ECED463">
            <w:pPr>
              <w:pStyle w:val="14"/>
            </w:pPr>
            <w:r>
              <w:t>1927.52</w:t>
            </w:r>
          </w:p>
        </w:tc>
        <w:tc>
          <w:tcPr>
            <w:tcW w:w="1361" w:type="dxa"/>
            <w:vAlign w:val="center"/>
          </w:tcPr>
          <w:p w14:paraId="66A9C16E">
            <w:pPr>
              <w:pStyle w:val="14"/>
            </w:pPr>
            <w:r>
              <w:t>1166.64</w:t>
            </w:r>
          </w:p>
        </w:tc>
        <w:tc>
          <w:tcPr>
            <w:tcW w:w="1361" w:type="dxa"/>
            <w:vAlign w:val="center"/>
          </w:tcPr>
          <w:p w14:paraId="075AD2AC">
            <w:pPr>
              <w:pStyle w:val="14"/>
            </w:pPr>
          </w:p>
        </w:tc>
        <w:tc>
          <w:tcPr>
            <w:tcW w:w="1361" w:type="dxa"/>
            <w:vAlign w:val="center"/>
          </w:tcPr>
          <w:p w14:paraId="50EA71BA">
            <w:pPr>
              <w:pStyle w:val="14"/>
            </w:pPr>
          </w:p>
        </w:tc>
        <w:tc>
          <w:tcPr>
            <w:tcW w:w="1361" w:type="dxa"/>
            <w:vAlign w:val="center"/>
          </w:tcPr>
          <w:p w14:paraId="4D963753">
            <w:pPr>
              <w:pStyle w:val="14"/>
            </w:pPr>
          </w:p>
        </w:tc>
      </w:tr>
      <w:tr w14:paraId="6CECB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0B1A2">
            <w:pPr>
              <w:pStyle w:val="12"/>
            </w:pPr>
            <w:r>
              <w:t>3</w:t>
            </w:r>
          </w:p>
        </w:tc>
        <w:tc>
          <w:tcPr>
            <w:tcW w:w="992" w:type="dxa"/>
            <w:vAlign w:val="center"/>
          </w:tcPr>
          <w:p w14:paraId="46C42F68">
            <w:pPr>
              <w:pStyle w:val="13"/>
            </w:pPr>
            <w:r>
              <w:t>20502</w:t>
            </w:r>
          </w:p>
        </w:tc>
        <w:tc>
          <w:tcPr>
            <w:tcW w:w="4535" w:type="dxa"/>
            <w:vAlign w:val="center"/>
          </w:tcPr>
          <w:p w14:paraId="6D25DE2A">
            <w:pPr>
              <w:pStyle w:val="13"/>
            </w:pPr>
            <w:r>
              <w:t>普通教育</w:t>
            </w:r>
          </w:p>
        </w:tc>
        <w:tc>
          <w:tcPr>
            <w:tcW w:w="1361" w:type="dxa"/>
            <w:vAlign w:val="center"/>
          </w:tcPr>
          <w:p w14:paraId="18A203B8">
            <w:pPr>
              <w:pStyle w:val="14"/>
            </w:pPr>
            <w:r>
              <w:t>3094.16</w:t>
            </w:r>
          </w:p>
        </w:tc>
        <w:tc>
          <w:tcPr>
            <w:tcW w:w="1361" w:type="dxa"/>
            <w:vAlign w:val="center"/>
          </w:tcPr>
          <w:p w14:paraId="7AE3B35F">
            <w:pPr>
              <w:pStyle w:val="14"/>
            </w:pPr>
            <w:r>
              <w:t>1927.52</w:t>
            </w:r>
          </w:p>
        </w:tc>
        <w:tc>
          <w:tcPr>
            <w:tcW w:w="1361" w:type="dxa"/>
            <w:vAlign w:val="center"/>
          </w:tcPr>
          <w:p w14:paraId="726E4F3C">
            <w:pPr>
              <w:pStyle w:val="14"/>
            </w:pPr>
            <w:r>
              <w:t>1166.64</w:t>
            </w:r>
          </w:p>
        </w:tc>
        <w:tc>
          <w:tcPr>
            <w:tcW w:w="1361" w:type="dxa"/>
            <w:vAlign w:val="center"/>
          </w:tcPr>
          <w:p w14:paraId="633E44DA">
            <w:pPr>
              <w:pStyle w:val="14"/>
            </w:pPr>
          </w:p>
        </w:tc>
        <w:tc>
          <w:tcPr>
            <w:tcW w:w="1361" w:type="dxa"/>
            <w:vAlign w:val="center"/>
          </w:tcPr>
          <w:p w14:paraId="1E669B3B">
            <w:pPr>
              <w:pStyle w:val="14"/>
            </w:pPr>
          </w:p>
        </w:tc>
        <w:tc>
          <w:tcPr>
            <w:tcW w:w="1361" w:type="dxa"/>
            <w:vAlign w:val="center"/>
          </w:tcPr>
          <w:p w14:paraId="05E83AD3">
            <w:pPr>
              <w:pStyle w:val="14"/>
            </w:pPr>
          </w:p>
        </w:tc>
      </w:tr>
      <w:tr w14:paraId="29A0D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BDC2A">
            <w:pPr>
              <w:pStyle w:val="12"/>
            </w:pPr>
            <w:r>
              <w:t>4</w:t>
            </w:r>
          </w:p>
        </w:tc>
        <w:tc>
          <w:tcPr>
            <w:tcW w:w="992" w:type="dxa"/>
            <w:vAlign w:val="center"/>
          </w:tcPr>
          <w:p w14:paraId="18CD1778">
            <w:pPr>
              <w:pStyle w:val="13"/>
            </w:pPr>
            <w:r>
              <w:t>2050203</w:t>
            </w:r>
          </w:p>
        </w:tc>
        <w:tc>
          <w:tcPr>
            <w:tcW w:w="4535" w:type="dxa"/>
            <w:vAlign w:val="center"/>
          </w:tcPr>
          <w:p w14:paraId="442B8C4D">
            <w:pPr>
              <w:pStyle w:val="13"/>
            </w:pPr>
            <w:r>
              <w:t>初中教育</w:t>
            </w:r>
          </w:p>
        </w:tc>
        <w:tc>
          <w:tcPr>
            <w:tcW w:w="1361" w:type="dxa"/>
            <w:vAlign w:val="center"/>
          </w:tcPr>
          <w:p w14:paraId="48DFBC49">
            <w:pPr>
              <w:pStyle w:val="14"/>
            </w:pPr>
            <w:r>
              <w:t>3094.16</w:t>
            </w:r>
          </w:p>
        </w:tc>
        <w:tc>
          <w:tcPr>
            <w:tcW w:w="1361" w:type="dxa"/>
            <w:vAlign w:val="center"/>
          </w:tcPr>
          <w:p w14:paraId="485D49FC">
            <w:pPr>
              <w:pStyle w:val="14"/>
            </w:pPr>
            <w:r>
              <w:t>1927.52</w:t>
            </w:r>
          </w:p>
        </w:tc>
        <w:tc>
          <w:tcPr>
            <w:tcW w:w="1361" w:type="dxa"/>
            <w:vAlign w:val="center"/>
          </w:tcPr>
          <w:p w14:paraId="4A03727F">
            <w:pPr>
              <w:pStyle w:val="14"/>
            </w:pPr>
            <w:r>
              <w:t>1166.64</w:t>
            </w:r>
          </w:p>
        </w:tc>
        <w:tc>
          <w:tcPr>
            <w:tcW w:w="1361" w:type="dxa"/>
            <w:vAlign w:val="center"/>
          </w:tcPr>
          <w:p w14:paraId="7E761F3A">
            <w:pPr>
              <w:pStyle w:val="14"/>
            </w:pPr>
          </w:p>
        </w:tc>
        <w:tc>
          <w:tcPr>
            <w:tcW w:w="1361" w:type="dxa"/>
            <w:vAlign w:val="center"/>
          </w:tcPr>
          <w:p w14:paraId="7953D1C0">
            <w:pPr>
              <w:pStyle w:val="14"/>
            </w:pPr>
          </w:p>
        </w:tc>
        <w:tc>
          <w:tcPr>
            <w:tcW w:w="1361" w:type="dxa"/>
            <w:vAlign w:val="center"/>
          </w:tcPr>
          <w:p w14:paraId="0F590525">
            <w:pPr>
              <w:pStyle w:val="14"/>
            </w:pPr>
          </w:p>
        </w:tc>
      </w:tr>
    </w:tbl>
    <w:p w14:paraId="596311D4">
      <w:pPr>
        <w:sectPr>
          <w:pgSz w:w="16840" w:h="11900" w:orient="landscape"/>
          <w:pgMar w:top="1361" w:right="1020" w:bottom="1134" w:left="1020" w:header="720" w:footer="720" w:gutter="0"/>
          <w:cols w:space="720" w:num="1"/>
        </w:sectPr>
      </w:pPr>
    </w:p>
    <w:p w14:paraId="7FCED5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27E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811BDF">
            <w:pPr>
              <w:pStyle w:val="8"/>
            </w:pPr>
            <w:r>
              <w:t>360004隆尧县尧山中学</w:t>
            </w:r>
          </w:p>
        </w:tc>
        <w:tc>
          <w:tcPr>
            <w:tcW w:w="3402" w:type="dxa"/>
            <w:tcBorders>
              <w:top w:val="single" w:color="FFFFFF" w:sz="6" w:space="0"/>
              <w:left w:val="single" w:color="FFFFFF" w:sz="6" w:space="0"/>
              <w:right w:val="single" w:color="FFFFFF" w:sz="6" w:space="0"/>
            </w:tcBorders>
            <w:vAlign w:val="center"/>
          </w:tcPr>
          <w:p w14:paraId="563EC931">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A6D749C">
            <w:pPr>
              <w:pStyle w:val="10"/>
            </w:pPr>
            <w:r>
              <w:t>单位：万元</w:t>
            </w:r>
          </w:p>
        </w:tc>
      </w:tr>
      <w:tr w14:paraId="336C2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5E4EAE">
            <w:pPr>
              <w:pStyle w:val="11"/>
            </w:pPr>
            <w:r>
              <w:t>序号</w:t>
            </w:r>
          </w:p>
        </w:tc>
        <w:tc>
          <w:tcPr>
            <w:tcW w:w="4876" w:type="dxa"/>
            <w:gridSpan w:val="2"/>
            <w:vAlign w:val="center"/>
          </w:tcPr>
          <w:p w14:paraId="77DA98DE">
            <w:pPr>
              <w:pStyle w:val="11"/>
            </w:pPr>
            <w:r>
              <w:t>收入</w:t>
            </w:r>
          </w:p>
        </w:tc>
        <w:tc>
          <w:tcPr>
            <w:tcW w:w="9298" w:type="dxa"/>
            <w:gridSpan w:val="5"/>
            <w:vAlign w:val="center"/>
          </w:tcPr>
          <w:p w14:paraId="67875B44">
            <w:pPr>
              <w:pStyle w:val="11"/>
            </w:pPr>
            <w:r>
              <w:t>支出</w:t>
            </w:r>
          </w:p>
        </w:tc>
      </w:tr>
      <w:tr w14:paraId="72F25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68F8E"/>
        </w:tc>
        <w:tc>
          <w:tcPr>
            <w:tcW w:w="3402" w:type="dxa"/>
            <w:vAlign w:val="center"/>
          </w:tcPr>
          <w:p w14:paraId="6B9FDC06">
            <w:pPr>
              <w:pStyle w:val="11"/>
            </w:pPr>
            <w:r>
              <w:t>项  目</w:t>
            </w:r>
          </w:p>
        </w:tc>
        <w:tc>
          <w:tcPr>
            <w:tcW w:w="1474" w:type="dxa"/>
            <w:vAlign w:val="center"/>
          </w:tcPr>
          <w:p w14:paraId="429D084C">
            <w:pPr>
              <w:pStyle w:val="11"/>
            </w:pPr>
            <w:r>
              <w:t>金额</w:t>
            </w:r>
          </w:p>
        </w:tc>
        <w:tc>
          <w:tcPr>
            <w:tcW w:w="3402" w:type="dxa"/>
            <w:vAlign w:val="center"/>
          </w:tcPr>
          <w:p w14:paraId="0C9CA6D3">
            <w:pPr>
              <w:pStyle w:val="11"/>
            </w:pPr>
            <w:r>
              <w:t>项  目</w:t>
            </w:r>
          </w:p>
        </w:tc>
        <w:tc>
          <w:tcPr>
            <w:tcW w:w="1474" w:type="dxa"/>
            <w:vAlign w:val="center"/>
          </w:tcPr>
          <w:p w14:paraId="633809E5">
            <w:pPr>
              <w:pStyle w:val="11"/>
            </w:pPr>
            <w:r>
              <w:t>合计</w:t>
            </w:r>
          </w:p>
        </w:tc>
        <w:tc>
          <w:tcPr>
            <w:tcW w:w="1474" w:type="dxa"/>
            <w:vAlign w:val="center"/>
          </w:tcPr>
          <w:p w14:paraId="5558990C">
            <w:pPr>
              <w:pStyle w:val="11"/>
            </w:pPr>
            <w:r>
              <w:t>一般公共预算财政拨款</w:t>
            </w:r>
          </w:p>
        </w:tc>
        <w:tc>
          <w:tcPr>
            <w:tcW w:w="1474" w:type="dxa"/>
            <w:vAlign w:val="center"/>
          </w:tcPr>
          <w:p w14:paraId="3497CB8D">
            <w:pPr>
              <w:pStyle w:val="11"/>
            </w:pPr>
            <w:r>
              <w:t>政府性基金预算财政    拨款</w:t>
            </w:r>
          </w:p>
        </w:tc>
        <w:tc>
          <w:tcPr>
            <w:tcW w:w="1474" w:type="dxa"/>
            <w:vAlign w:val="center"/>
          </w:tcPr>
          <w:p w14:paraId="17209332">
            <w:pPr>
              <w:pStyle w:val="11"/>
            </w:pPr>
            <w:r>
              <w:t>国有资本经营预算财政拨款</w:t>
            </w:r>
          </w:p>
        </w:tc>
      </w:tr>
      <w:tr w14:paraId="7F7AF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F2D091">
            <w:pPr>
              <w:pStyle w:val="11"/>
            </w:pPr>
            <w:r>
              <w:t>栏次</w:t>
            </w:r>
          </w:p>
        </w:tc>
        <w:tc>
          <w:tcPr>
            <w:tcW w:w="3402" w:type="dxa"/>
            <w:vAlign w:val="center"/>
          </w:tcPr>
          <w:p w14:paraId="79B09B14">
            <w:pPr>
              <w:pStyle w:val="11"/>
            </w:pPr>
            <w:r>
              <w:t>1</w:t>
            </w:r>
          </w:p>
        </w:tc>
        <w:tc>
          <w:tcPr>
            <w:tcW w:w="1474" w:type="dxa"/>
            <w:vAlign w:val="center"/>
          </w:tcPr>
          <w:p w14:paraId="02E870D9">
            <w:pPr>
              <w:pStyle w:val="11"/>
            </w:pPr>
            <w:r>
              <w:t>2</w:t>
            </w:r>
          </w:p>
        </w:tc>
        <w:tc>
          <w:tcPr>
            <w:tcW w:w="3402" w:type="dxa"/>
            <w:vAlign w:val="center"/>
          </w:tcPr>
          <w:p w14:paraId="62120A3C">
            <w:pPr>
              <w:pStyle w:val="11"/>
            </w:pPr>
            <w:r>
              <w:t>3</w:t>
            </w:r>
          </w:p>
        </w:tc>
        <w:tc>
          <w:tcPr>
            <w:tcW w:w="1474" w:type="dxa"/>
            <w:vAlign w:val="center"/>
          </w:tcPr>
          <w:p w14:paraId="2DA655EA">
            <w:pPr>
              <w:pStyle w:val="11"/>
            </w:pPr>
            <w:r>
              <w:t>4</w:t>
            </w:r>
          </w:p>
        </w:tc>
        <w:tc>
          <w:tcPr>
            <w:tcW w:w="1474" w:type="dxa"/>
            <w:vAlign w:val="center"/>
          </w:tcPr>
          <w:p w14:paraId="1388A6E1">
            <w:pPr>
              <w:pStyle w:val="11"/>
            </w:pPr>
            <w:r>
              <w:t>5</w:t>
            </w:r>
          </w:p>
        </w:tc>
        <w:tc>
          <w:tcPr>
            <w:tcW w:w="1474" w:type="dxa"/>
            <w:vAlign w:val="center"/>
          </w:tcPr>
          <w:p w14:paraId="2C357E30">
            <w:pPr>
              <w:pStyle w:val="11"/>
            </w:pPr>
            <w:r>
              <w:t>6</w:t>
            </w:r>
          </w:p>
        </w:tc>
        <w:tc>
          <w:tcPr>
            <w:tcW w:w="1474" w:type="dxa"/>
            <w:vAlign w:val="center"/>
          </w:tcPr>
          <w:p w14:paraId="5433261A">
            <w:pPr>
              <w:pStyle w:val="11"/>
            </w:pPr>
            <w:r>
              <w:t>7</w:t>
            </w:r>
          </w:p>
        </w:tc>
      </w:tr>
      <w:tr w14:paraId="3E34A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46C81">
            <w:pPr>
              <w:pStyle w:val="12"/>
            </w:pPr>
            <w:r>
              <w:t>1</w:t>
            </w:r>
          </w:p>
        </w:tc>
        <w:tc>
          <w:tcPr>
            <w:tcW w:w="3402" w:type="dxa"/>
            <w:vAlign w:val="center"/>
          </w:tcPr>
          <w:p w14:paraId="171B3A11">
            <w:pPr>
              <w:pStyle w:val="13"/>
            </w:pPr>
            <w:r>
              <w:t>一、一般公共预算拨款</w:t>
            </w:r>
          </w:p>
        </w:tc>
        <w:tc>
          <w:tcPr>
            <w:tcW w:w="1474" w:type="dxa"/>
            <w:vAlign w:val="center"/>
          </w:tcPr>
          <w:p w14:paraId="7C728A09">
            <w:pPr>
              <w:pStyle w:val="14"/>
            </w:pPr>
            <w:r>
              <w:t>2819.26</w:t>
            </w:r>
          </w:p>
        </w:tc>
        <w:tc>
          <w:tcPr>
            <w:tcW w:w="3402" w:type="dxa"/>
            <w:vAlign w:val="center"/>
          </w:tcPr>
          <w:p w14:paraId="3E434D2F">
            <w:pPr>
              <w:pStyle w:val="13"/>
            </w:pPr>
            <w:r>
              <w:t>一、一般公共服务支出</w:t>
            </w:r>
          </w:p>
        </w:tc>
        <w:tc>
          <w:tcPr>
            <w:tcW w:w="1474" w:type="dxa"/>
            <w:vAlign w:val="center"/>
          </w:tcPr>
          <w:p w14:paraId="3565ECBB">
            <w:pPr>
              <w:pStyle w:val="14"/>
            </w:pPr>
          </w:p>
        </w:tc>
        <w:tc>
          <w:tcPr>
            <w:tcW w:w="1474" w:type="dxa"/>
            <w:vAlign w:val="center"/>
          </w:tcPr>
          <w:p w14:paraId="7578B2C3">
            <w:pPr>
              <w:pStyle w:val="14"/>
            </w:pPr>
          </w:p>
        </w:tc>
        <w:tc>
          <w:tcPr>
            <w:tcW w:w="1474" w:type="dxa"/>
            <w:vAlign w:val="center"/>
          </w:tcPr>
          <w:p w14:paraId="55184657">
            <w:pPr>
              <w:pStyle w:val="14"/>
            </w:pPr>
          </w:p>
        </w:tc>
        <w:tc>
          <w:tcPr>
            <w:tcW w:w="1474" w:type="dxa"/>
            <w:vAlign w:val="center"/>
          </w:tcPr>
          <w:p w14:paraId="6D3CB9F4">
            <w:pPr>
              <w:pStyle w:val="14"/>
            </w:pPr>
          </w:p>
        </w:tc>
      </w:tr>
      <w:tr w14:paraId="2557F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D75B4E3">
            <w:pPr>
              <w:pStyle w:val="12"/>
            </w:pPr>
            <w:r>
              <w:t>2</w:t>
            </w:r>
          </w:p>
        </w:tc>
        <w:tc>
          <w:tcPr>
            <w:tcW w:w="3402" w:type="dxa"/>
            <w:vAlign w:val="center"/>
          </w:tcPr>
          <w:p w14:paraId="2C8F1E78">
            <w:pPr>
              <w:pStyle w:val="13"/>
            </w:pPr>
            <w:r>
              <w:t>二、政府性基金预算拨款</w:t>
            </w:r>
          </w:p>
        </w:tc>
        <w:tc>
          <w:tcPr>
            <w:tcW w:w="1474" w:type="dxa"/>
            <w:vAlign w:val="center"/>
          </w:tcPr>
          <w:p w14:paraId="24E7234C">
            <w:pPr>
              <w:pStyle w:val="14"/>
            </w:pPr>
          </w:p>
        </w:tc>
        <w:tc>
          <w:tcPr>
            <w:tcW w:w="3402" w:type="dxa"/>
            <w:vAlign w:val="center"/>
          </w:tcPr>
          <w:p w14:paraId="7F406F3C">
            <w:pPr>
              <w:pStyle w:val="13"/>
            </w:pPr>
            <w:r>
              <w:t>二、外交支出</w:t>
            </w:r>
          </w:p>
        </w:tc>
        <w:tc>
          <w:tcPr>
            <w:tcW w:w="1474" w:type="dxa"/>
            <w:vAlign w:val="center"/>
          </w:tcPr>
          <w:p w14:paraId="3F4EFB3E">
            <w:pPr>
              <w:pStyle w:val="14"/>
            </w:pPr>
          </w:p>
        </w:tc>
        <w:tc>
          <w:tcPr>
            <w:tcW w:w="1474" w:type="dxa"/>
            <w:vAlign w:val="center"/>
          </w:tcPr>
          <w:p w14:paraId="6DE4046D">
            <w:pPr>
              <w:pStyle w:val="14"/>
            </w:pPr>
          </w:p>
        </w:tc>
        <w:tc>
          <w:tcPr>
            <w:tcW w:w="1474" w:type="dxa"/>
            <w:vAlign w:val="center"/>
          </w:tcPr>
          <w:p w14:paraId="1CF8591D">
            <w:pPr>
              <w:pStyle w:val="14"/>
            </w:pPr>
          </w:p>
        </w:tc>
        <w:tc>
          <w:tcPr>
            <w:tcW w:w="1474" w:type="dxa"/>
            <w:vAlign w:val="center"/>
          </w:tcPr>
          <w:p w14:paraId="6235B5A4">
            <w:pPr>
              <w:pStyle w:val="14"/>
            </w:pPr>
          </w:p>
        </w:tc>
      </w:tr>
      <w:tr w14:paraId="41BF0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26529">
            <w:pPr>
              <w:pStyle w:val="12"/>
            </w:pPr>
            <w:r>
              <w:t>3</w:t>
            </w:r>
          </w:p>
        </w:tc>
        <w:tc>
          <w:tcPr>
            <w:tcW w:w="3402" w:type="dxa"/>
            <w:vAlign w:val="center"/>
          </w:tcPr>
          <w:p w14:paraId="355946AC">
            <w:pPr>
              <w:pStyle w:val="13"/>
            </w:pPr>
            <w:r>
              <w:t>三、国有资本经营预算拨款</w:t>
            </w:r>
          </w:p>
        </w:tc>
        <w:tc>
          <w:tcPr>
            <w:tcW w:w="1474" w:type="dxa"/>
            <w:vAlign w:val="center"/>
          </w:tcPr>
          <w:p w14:paraId="2185600B">
            <w:pPr>
              <w:pStyle w:val="14"/>
            </w:pPr>
          </w:p>
        </w:tc>
        <w:tc>
          <w:tcPr>
            <w:tcW w:w="3402" w:type="dxa"/>
            <w:vAlign w:val="center"/>
          </w:tcPr>
          <w:p w14:paraId="5AFD7D83">
            <w:pPr>
              <w:pStyle w:val="13"/>
            </w:pPr>
            <w:r>
              <w:t>三、国防支出</w:t>
            </w:r>
          </w:p>
        </w:tc>
        <w:tc>
          <w:tcPr>
            <w:tcW w:w="1474" w:type="dxa"/>
            <w:vAlign w:val="center"/>
          </w:tcPr>
          <w:p w14:paraId="55DFDEF8">
            <w:pPr>
              <w:pStyle w:val="14"/>
            </w:pPr>
          </w:p>
        </w:tc>
        <w:tc>
          <w:tcPr>
            <w:tcW w:w="1474" w:type="dxa"/>
            <w:vAlign w:val="center"/>
          </w:tcPr>
          <w:p w14:paraId="5E27D480">
            <w:pPr>
              <w:pStyle w:val="14"/>
            </w:pPr>
          </w:p>
        </w:tc>
        <w:tc>
          <w:tcPr>
            <w:tcW w:w="1474" w:type="dxa"/>
            <w:vAlign w:val="center"/>
          </w:tcPr>
          <w:p w14:paraId="7BAB35B0">
            <w:pPr>
              <w:pStyle w:val="14"/>
            </w:pPr>
          </w:p>
        </w:tc>
        <w:tc>
          <w:tcPr>
            <w:tcW w:w="1474" w:type="dxa"/>
            <w:vAlign w:val="center"/>
          </w:tcPr>
          <w:p w14:paraId="12BBD2FE">
            <w:pPr>
              <w:pStyle w:val="14"/>
            </w:pPr>
          </w:p>
        </w:tc>
      </w:tr>
      <w:tr w14:paraId="2B89D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C3E79">
            <w:pPr>
              <w:pStyle w:val="12"/>
            </w:pPr>
            <w:r>
              <w:t>4</w:t>
            </w:r>
          </w:p>
        </w:tc>
        <w:tc>
          <w:tcPr>
            <w:tcW w:w="3402" w:type="dxa"/>
            <w:vAlign w:val="center"/>
          </w:tcPr>
          <w:p w14:paraId="2638781C">
            <w:pPr>
              <w:pStyle w:val="13"/>
            </w:pPr>
          </w:p>
        </w:tc>
        <w:tc>
          <w:tcPr>
            <w:tcW w:w="1474" w:type="dxa"/>
            <w:vAlign w:val="center"/>
          </w:tcPr>
          <w:p w14:paraId="798F2124">
            <w:pPr>
              <w:pStyle w:val="14"/>
            </w:pPr>
          </w:p>
        </w:tc>
        <w:tc>
          <w:tcPr>
            <w:tcW w:w="3402" w:type="dxa"/>
            <w:vAlign w:val="center"/>
          </w:tcPr>
          <w:p w14:paraId="4A66AEEE">
            <w:pPr>
              <w:pStyle w:val="13"/>
            </w:pPr>
            <w:r>
              <w:t>四、公共安全支出</w:t>
            </w:r>
          </w:p>
        </w:tc>
        <w:tc>
          <w:tcPr>
            <w:tcW w:w="1474" w:type="dxa"/>
            <w:vAlign w:val="center"/>
          </w:tcPr>
          <w:p w14:paraId="6BE66DFD">
            <w:pPr>
              <w:pStyle w:val="14"/>
            </w:pPr>
          </w:p>
        </w:tc>
        <w:tc>
          <w:tcPr>
            <w:tcW w:w="1474" w:type="dxa"/>
            <w:vAlign w:val="center"/>
          </w:tcPr>
          <w:p w14:paraId="6B49F081">
            <w:pPr>
              <w:pStyle w:val="14"/>
            </w:pPr>
          </w:p>
        </w:tc>
        <w:tc>
          <w:tcPr>
            <w:tcW w:w="1474" w:type="dxa"/>
            <w:vAlign w:val="center"/>
          </w:tcPr>
          <w:p w14:paraId="5CF2DEDB">
            <w:pPr>
              <w:pStyle w:val="14"/>
            </w:pPr>
          </w:p>
        </w:tc>
        <w:tc>
          <w:tcPr>
            <w:tcW w:w="1474" w:type="dxa"/>
            <w:vAlign w:val="center"/>
          </w:tcPr>
          <w:p w14:paraId="3AEF5248">
            <w:pPr>
              <w:pStyle w:val="14"/>
            </w:pPr>
          </w:p>
        </w:tc>
      </w:tr>
      <w:tr w14:paraId="7DAAB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D53A8">
            <w:pPr>
              <w:pStyle w:val="12"/>
            </w:pPr>
            <w:r>
              <w:t>5</w:t>
            </w:r>
          </w:p>
        </w:tc>
        <w:tc>
          <w:tcPr>
            <w:tcW w:w="3402" w:type="dxa"/>
            <w:vAlign w:val="center"/>
          </w:tcPr>
          <w:p w14:paraId="6DE390D1">
            <w:pPr>
              <w:pStyle w:val="13"/>
            </w:pPr>
          </w:p>
        </w:tc>
        <w:tc>
          <w:tcPr>
            <w:tcW w:w="1474" w:type="dxa"/>
            <w:vAlign w:val="center"/>
          </w:tcPr>
          <w:p w14:paraId="1364F1DE">
            <w:pPr>
              <w:pStyle w:val="14"/>
            </w:pPr>
          </w:p>
        </w:tc>
        <w:tc>
          <w:tcPr>
            <w:tcW w:w="3402" w:type="dxa"/>
            <w:vAlign w:val="center"/>
          </w:tcPr>
          <w:p w14:paraId="511D7AD3">
            <w:pPr>
              <w:pStyle w:val="13"/>
            </w:pPr>
            <w:r>
              <w:t>五、教育支出</w:t>
            </w:r>
          </w:p>
        </w:tc>
        <w:tc>
          <w:tcPr>
            <w:tcW w:w="1474" w:type="dxa"/>
            <w:vAlign w:val="center"/>
          </w:tcPr>
          <w:p w14:paraId="002723BF">
            <w:pPr>
              <w:pStyle w:val="14"/>
            </w:pPr>
            <w:r>
              <w:t>3094.16</w:t>
            </w:r>
          </w:p>
        </w:tc>
        <w:tc>
          <w:tcPr>
            <w:tcW w:w="1474" w:type="dxa"/>
            <w:vAlign w:val="center"/>
          </w:tcPr>
          <w:p w14:paraId="18152A61">
            <w:pPr>
              <w:pStyle w:val="14"/>
            </w:pPr>
            <w:r>
              <w:t>3094.16</w:t>
            </w:r>
          </w:p>
        </w:tc>
        <w:tc>
          <w:tcPr>
            <w:tcW w:w="1474" w:type="dxa"/>
            <w:vAlign w:val="center"/>
          </w:tcPr>
          <w:p w14:paraId="67A311A4">
            <w:pPr>
              <w:pStyle w:val="14"/>
            </w:pPr>
          </w:p>
        </w:tc>
        <w:tc>
          <w:tcPr>
            <w:tcW w:w="1474" w:type="dxa"/>
            <w:vAlign w:val="center"/>
          </w:tcPr>
          <w:p w14:paraId="17F6CA07">
            <w:pPr>
              <w:pStyle w:val="14"/>
            </w:pPr>
          </w:p>
        </w:tc>
      </w:tr>
      <w:tr w14:paraId="704F9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29CA5">
            <w:pPr>
              <w:pStyle w:val="12"/>
            </w:pPr>
            <w:r>
              <w:t>6</w:t>
            </w:r>
          </w:p>
        </w:tc>
        <w:tc>
          <w:tcPr>
            <w:tcW w:w="3402" w:type="dxa"/>
            <w:vAlign w:val="center"/>
          </w:tcPr>
          <w:p w14:paraId="1607ABE0">
            <w:pPr>
              <w:pStyle w:val="13"/>
            </w:pPr>
          </w:p>
        </w:tc>
        <w:tc>
          <w:tcPr>
            <w:tcW w:w="1474" w:type="dxa"/>
            <w:vAlign w:val="center"/>
          </w:tcPr>
          <w:p w14:paraId="11666D40">
            <w:pPr>
              <w:pStyle w:val="14"/>
            </w:pPr>
          </w:p>
        </w:tc>
        <w:tc>
          <w:tcPr>
            <w:tcW w:w="3402" w:type="dxa"/>
            <w:vAlign w:val="center"/>
          </w:tcPr>
          <w:p w14:paraId="6A749060">
            <w:pPr>
              <w:pStyle w:val="13"/>
            </w:pPr>
            <w:r>
              <w:t>六、科学技术支出</w:t>
            </w:r>
          </w:p>
        </w:tc>
        <w:tc>
          <w:tcPr>
            <w:tcW w:w="1474" w:type="dxa"/>
            <w:vAlign w:val="center"/>
          </w:tcPr>
          <w:p w14:paraId="4D69DE94">
            <w:pPr>
              <w:pStyle w:val="14"/>
            </w:pPr>
          </w:p>
        </w:tc>
        <w:tc>
          <w:tcPr>
            <w:tcW w:w="1474" w:type="dxa"/>
            <w:vAlign w:val="center"/>
          </w:tcPr>
          <w:p w14:paraId="2B969FCC">
            <w:pPr>
              <w:pStyle w:val="14"/>
            </w:pPr>
          </w:p>
        </w:tc>
        <w:tc>
          <w:tcPr>
            <w:tcW w:w="1474" w:type="dxa"/>
            <w:vAlign w:val="center"/>
          </w:tcPr>
          <w:p w14:paraId="48A35B6F">
            <w:pPr>
              <w:pStyle w:val="14"/>
            </w:pPr>
          </w:p>
        </w:tc>
        <w:tc>
          <w:tcPr>
            <w:tcW w:w="1474" w:type="dxa"/>
            <w:vAlign w:val="center"/>
          </w:tcPr>
          <w:p w14:paraId="4368E6D5">
            <w:pPr>
              <w:pStyle w:val="14"/>
            </w:pPr>
          </w:p>
        </w:tc>
      </w:tr>
      <w:tr w14:paraId="42666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34E91">
            <w:pPr>
              <w:pStyle w:val="12"/>
            </w:pPr>
            <w:r>
              <w:t>7</w:t>
            </w:r>
          </w:p>
        </w:tc>
        <w:tc>
          <w:tcPr>
            <w:tcW w:w="3402" w:type="dxa"/>
            <w:vAlign w:val="center"/>
          </w:tcPr>
          <w:p w14:paraId="2252C9D1">
            <w:pPr>
              <w:pStyle w:val="13"/>
            </w:pPr>
          </w:p>
        </w:tc>
        <w:tc>
          <w:tcPr>
            <w:tcW w:w="1474" w:type="dxa"/>
            <w:vAlign w:val="center"/>
          </w:tcPr>
          <w:p w14:paraId="5AAA2AFE">
            <w:pPr>
              <w:pStyle w:val="14"/>
            </w:pPr>
          </w:p>
        </w:tc>
        <w:tc>
          <w:tcPr>
            <w:tcW w:w="3402" w:type="dxa"/>
            <w:vAlign w:val="center"/>
          </w:tcPr>
          <w:p w14:paraId="6910BBC8">
            <w:pPr>
              <w:pStyle w:val="13"/>
            </w:pPr>
            <w:r>
              <w:t>七、文化旅游体育与传媒支出</w:t>
            </w:r>
          </w:p>
        </w:tc>
        <w:tc>
          <w:tcPr>
            <w:tcW w:w="1474" w:type="dxa"/>
            <w:vAlign w:val="center"/>
          </w:tcPr>
          <w:p w14:paraId="58526388">
            <w:pPr>
              <w:pStyle w:val="14"/>
            </w:pPr>
          </w:p>
        </w:tc>
        <w:tc>
          <w:tcPr>
            <w:tcW w:w="1474" w:type="dxa"/>
            <w:vAlign w:val="center"/>
          </w:tcPr>
          <w:p w14:paraId="6E2E5160">
            <w:pPr>
              <w:pStyle w:val="14"/>
            </w:pPr>
          </w:p>
        </w:tc>
        <w:tc>
          <w:tcPr>
            <w:tcW w:w="1474" w:type="dxa"/>
            <w:vAlign w:val="center"/>
          </w:tcPr>
          <w:p w14:paraId="28C6D27F">
            <w:pPr>
              <w:pStyle w:val="14"/>
            </w:pPr>
          </w:p>
        </w:tc>
        <w:tc>
          <w:tcPr>
            <w:tcW w:w="1474" w:type="dxa"/>
            <w:vAlign w:val="center"/>
          </w:tcPr>
          <w:p w14:paraId="287167F3">
            <w:pPr>
              <w:pStyle w:val="14"/>
            </w:pPr>
          </w:p>
        </w:tc>
      </w:tr>
      <w:tr w14:paraId="44E73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5C97C">
            <w:pPr>
              <w:pStyle w:val="12"/>
            </w:pPr>
            <w:r>
              <w:t>8</w:t>
            </w:r>
          </w:p>
        </w:tc>
        <w:tc>
          <w:tcPr>
            <w:tcW w:w="3402" w:type="dxa"/>
            <w:vAlign w:val="center"/>
          </w:tcPr>
          <w:p w14:paraId="246AECF1">
            <w:pPr>
              <w:pStyle w:val="13"/>
            </w:pPr>
          </w:p>
        </w:tc>
        <w:tc>
          <w:tcPr>
            <w:tcW w:w="1474" w:type="dxa"/>
            <w:vAlign w:val="center"/>
          </w:tcPr>
          <w:p w14:paraId="4E07270F">
            <w:pPr>
              <w:pStyle w:val="14"/>
            </w:pPr>
          </w:p>
        </w:tc>
        <w:tc>
          <w:tcPr>
            <w:tcW w:w="3402" w:type="dxa"/>
            <w:vAlign w:val="center"/>
          </w:tcPr>
          <w:p w14:paraId="4F3EDA83">
            <w:pPr>
              <w:pStyle w:val="13"/>
            </w:pPr>
            <w:r>
              <w:t>八、社会保障和就业支出</w:t>
            </w:r>
          </w:p>
        </w:tc>
        <w:tc>
          <w:tcPr>
            <w:tcW w:w="1474" w:type="dxa"/>
            <w:vAlign w:val="center"/>
          </w:tcPr>
          <w:p w14:paraId="49345699">
            <w:pPr>
              <w:pStyle w:val="14"/>
            </w:pPr>
          </w:p>
        </w:tc>
        <w:tc>
          <w:tcPr>
            <w:tcW w:w="1474" w:type="dxa"/>
            <w:vAlign w:val="center"/>
          </w:tcPr>
          <w:p w14:paraId="34274B25">
            <w:pPr>
              <w:pStyle w:val="14"/>
            </w:pPr>
          </w:p>
        </w:tc>
        <w:tc>
          <w:tcPr>
            <w:tcW w:w="1474" w:type="dxa"/>
            <w:vAlign w:val="center"/>
          </w:tcPr>
          <w:p w14:paraId="3CB5409E">
            <w:pPr>
              <w:pStyle w:val="14"/>
            </w:pPr>
          </w:p>
        </w:tc>
        <w:tc>
          <w:tcPr>
            <w:tcW w:w="1474" w:type="dxa"/>
            <w:vAlign w:val="center"/>
          </w:tcPr>
          <w:p w14:paraId="336E2A3C">
            <w:pPr>
              <w:pStyle w:val="14"/>
            </w:pPr>
          </w:p>
        </w:tc>
      </w:tr>
      <w:tr w14:paraId="20246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770DA">
            <w:pPr>
              <w:pStyle w:val="12"/>
            </w:pPr>
            <w:r>
              <w:t>9</w:t>
            </w:r>
          </w:p>
        </w:tc>
        <w:tc>
          <w:tcPr>
            <w:tcW w:w="3402" w:type="dxa"/>
            <w:vAlign w:val="center"/>
          </w:tcPr>
          <w:p w14:paraId="1537276A">
            <w:pPr>
              <w:pStyle w:val="13"/>
            </w:pPr>
          </w:p>
        </w:tc>
        <w:tc>
          <w:tcPr>
            <w:tcW w:w="1474" w:type="dxa"/>
            <w:vAlign w:val="center"/>
          </w:tcPr>
          <w:p w14:paraId="516281A8">
            <w:pPr>
              <w:pStyle w:val="14"/>
            </w:pPr>
          </w:p>
        </w:tc>
        <w:tc>
          <w:tcPr>
            <w:tcW w:w="3402" w:type="dxa"/>
            <w:vAlign w:val="center"/>
          </w:tcPr>
          <w:p w14:paraId="0F72B3CC">
            <w:pPr>
              <w:pStyle w:val="13"/>
            </w:pPr>
            <w:r>
              <w:t>九、社会保险基金支出</w:t>
            </w:r>
          </w:p>
        </w:tc>
        <w:tc>
          <w:tcPr>
            <w:tcW w:w="1474" w:type="dxa"/>
            <w:vAlign w:val="center"/>
          </w:tcPr>
          <w:p w14:paraId="76B6C642">
            <w:pPr>
              <w:pStyle w:val="14"/>
            </w:pPr>
          </w:p>
        </w:tc>
        <w:tc>
          <w:tcPr>
            <w:tcW w:w="1474" w:type="dxa"/>
            <w:vAlign w:val="center"/>
          </w:tcPr>
          <w:p w14:paraId="66433E60">
            <w:pPr>
              <w:pStyle w:val="14"/>
            </w:pPr>
          </w:p>
        </w:tc>
        <w:tc>
          <w:tcPr>
            <w:tcW w:w="1474" w:type="dxa"/>
            <w:vAlign w:val="center"/>
          </w:tcPr>
          <w:p w14:paraId="64B55389">
            <w:pPr>
              <w:pStyle w:val="14"/>
            </w:pPr>
          </w:p>
        </w:tc>
        <w:tc>
          <w:tcPr>
            <w:tcW w:w="1474" w:type="dxa"/>
            <w:vAlign w:val="center"/>
          </w:tcPr>
          <w:p w14:paraId="2A728739">
            <w:pPr>
              <w:pStyle w:val="14"/>
            </w:pPr>
          </w:p>
        </w:tc>
      </w:tr>
      <w:tr w14:paraId="7C024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F59B0">
            <w:pPr>
              <w:pStyle w:val="12"/>
            </w:pPr>
            <w:r>
              <w:t>10</w:t>
            </w:r>
          </w:p>
        </w:tc>
        <w:tc>
          <w:tcPr>
            <w:tcW w:w="3402" w:type="dxa"/>
            <w:vAlign w:val="center"/>
          </w:tcPr>
          <w:p w14:paraId="42250E9E">
            <w:pPr>
              <w:pStyle w:val="13"/>
            </w:pPr>
          </w:p>
        </w:tc>
        <w:tc>
          <w:tcPr>
            <w:tcW w:w="1474" w:type="dxa"/>
            <w:vAlign w:val="center"/>
          </w:tcPr>
          <w:p w14:paraId="55DF2C48">
            <w:pPr>
              <w:pStyle w:val="14"/>
            </w:pPr>
          </w:p>
        </w:tc>
        <w:tc>
          <w:tcPr>
            <w:tcW w:w="3402" w:type="dxa"/>
            <w:vAlign w:val="center"/>
          </w:tcPr>
          <w:p w14:paraId="13923025">
            <w:pPr>
              <w:pStyle w:val="13"/>
            </w:pPr>
            <w:r>
              <w:t>十、卫生健康支出</w:t>
            </w:r>
          </w:p>
        </w:tc>
        <w:tc>
          <w:tcPr>
            <w:tcW w:w="1474" w:type="dxa"/>
            <w:vAlign w:val="center"/>
          </w:tcPr>
          <w:p w14:paraId="3CA29551">
            <w:pPr>
              <w:pStyle w:val="14"/>
            </w:pPr>
          </w:p>
        </w:tc>
        <w:tc>
          <w:tcPr>
            <w:tcW w:w="1474" w:type="dxa"/>
            <w:vAlign w:val="center"/>
          </w:tcPr>
          <w:p w14:paraId="78F9378B">
            <w:pPr>
              <w:pStyle w:val="14"/>
            </w:pPr>
          </w:p>
        </w:tc>
        <w:tc>
          <w:tcPr>
            <w:tcW w:w="1474" w:type="dxa"/>
            <w:vAlign w:val="center"/>
          </w:tcPr>
          <w:p w14:paraId="674E0D9F">
            <w:pPr>
              <w:pStyle w:val="14"/>
            </w:pPr>
          </w:p>
        </w:tc>
        <w:tc>
          <w:tcPr>
            <w:tcW w:w="1474" w:type="dxa"/>
            <w:vAlign w:val="center"/>
          </w:tcPr>
          <w:p w14:paraId="0B3BD853">
            <w:pPr>
              <w:pStyle w:val="14"/>
            </w:pPr>
          </w:p>
        </w:tc>
      </w:tr>
      <w:tr w14:paraId="4E1D0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E3B3E">
            <w:pPr>
              <w:pStyle w:val="12"/>
            </w:pPr>
            <w:r>
              <w:t>11</w:t>
            </w:r>
          </w:p>
        </w:tc>
        <w:tc>
          <w:tcPr>
            <w:tcW w:w="3402" w:type="dxa"/>
            <w:vAlign w:val="center"/>
          </w:tcPr>
          <w:p w14:paraId="4AF9732A">
            <w:pPr>
              <w:pStyle w:val="13"/>
            </w:pPr>
          </w:p>
        </w:tc>
        <w:tc>
          <w:tcPr>
            <w:tcW w:w="1474" w:type="dxa"/>
            <w:vAlign w:val="center"/>
          </w:tcPr>
          <w:p w14:paraId="389D64F4">
            <w:pPr>
              <w:pStyle w:val="14"/>
            </w:pPr>
          </w:p>
        </w:tc>
        <w:tc>
          <w:tcPr>
            <w:tcW w:w="3402" w:type="dxa"/>
            <w:vAlign w:val="center"/>
          </w:tcPr>
          <w:p w14:paraId="4B236777">
            <w:pPr>
              <w:pStyle w:val="13"/>
            </w:pPr>
            <w:r>
              <w:t>十一、节能环保支出</w:t>
            </w:r>
          </w:p>
        </w:tc>
        <w:tc>
          <w:tcPr>
            <w:tcW w:w="1474" w:type="dxa"/>
            <w:vAlign w:val="center"/>
          </w:tcPr>
          <w:p w14:paraId="52F5BE1E">
            <w:pPr>
              <w:pStyle w:val="14"/>
            </w:pPr>
          </w:p>
        </w:tc>
        <w:tc>
          <w:tcPr>
            <w:tcW w:w="1474" w:type="dxa"/>
            <w:vAlign w:val="center"/>
          </w:tcPr>
          <w:p w14:paraId="3927C890">
            <w:pPr>
              <w:pStyle w:val="14"/>
            </w:pPr>
          </w:p>
        </w:tc>
        <w:tc>
          <w:tcPr>
            <w:tcW w:w="1474" w:type="dxa"/>
            <w:vAlign w:val="center"/>
          </w:tcPr>
          <w:p w14:paraId="712B4CA3">
            <w:pPr>
              <w:pStyle w:val="14"/>
            </w:pPr>
          </w:p>
        </w:tc>
        <w:tc>
          <w:tcPr>
            <w:tcW w:w="1474" w:type="dxa"/>
            <w:vAlign w:val="center"/>
          </w:tcPr>
          <w:p w14:paraId="0C0B5E49">
            <w:pPr>
              <w:pStyle w:val="14"/>
            </w:pPr>
          </w:p>
        </w:tc>
      </w:tr>
      <w:tr w14:paraId="74319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5C80F">
            <w:pPr>
              <w:pStyle w:val="12"/>
            </w:pPr>
            <w:r>
              <w:t>12</w:t>
            </w:r>
          </w:p>
        </w:tc>
        <w:tc>
          <w:tcPr>
            <w:tcW w:w="3402" w:type="dxa"/>
            <w:vAlign w:val="center"/>
          </w:tcPr>
          <w:p w14:paraId="42DD40B0">
            <w:pPr>
              <w:pStyle w:val="13"/>
            </w:pPr>
          </w:p>
        </w:tc>
        <w:tc>
          <w:tcPr>
            <w:tcW w:w="1474" w:type="dxa"/>
            <w:vAlign w:val="center"/>
          </w:tcPr>
          <w:p w14:paraId="797038DD">
            <w:pPr>
              <w:pStyle w:val="14"/>
            </w:pPr>
          </w:p>
        </w:tc>
        <w:tc>
          <w:tcPr>
            <w:tcW w:w="3402" w:type="dxa"/>
            <w:vAlign w:val="center"/>
          </w:tcPr>
          <w:p w14:paraId="640FCFE9">
            <w:pPr>
              <w:pStyle w:val="13"/>
            </w:pPr>
            <w:r>
              <w:t>十二、城乡社区支出</w:t>
            </w:r>
          </w:p>
        </w:tc>
        <w:tc>
          <w:tcPr>
            <w:tcW w:w="1474" w:type="dxa"/>
            <w:vAlign w:val="center"/>
          </w:tcPr>
          <w:p w14:paraId="247C07B8">
            <w:pPr>
              <w:pStyle w:val="14"/>
            </w:pPr>
          </w:p>
        </w:tc>
        <w:tc>
          <w:tcPr>
            <w:tcW w:w="1474" w:type="dxa"/>
            <w:vAlign w:val="center"/>
          </w:tcPr>
          <w:p w14:paraId="39E57A03">
            <w:pPr>
              <w:pStyle w:val="14"/>
            </w:pPr>
          </w:p>
        </w:tc>
        <w:tc>
          <w:tcPr>
            <w:tcW w:w="1474" w:type="dxa"/>
            <w:vAlign w:val="center"/>
          </w:tcPr>
          <w:p w14:paraId="71E5C260">
            <w:pPr>
              <w:pStyle w:val="14"/>
            </w:pPr>
          </w:p>
        </w:tc>
        <w:tc>
          <w:tcPr>
            <w:tcW w:w="1474" w:type="dxa"/>
            <w:vAlign w:val="center"/>
          </w:tcPr>
          <w:p w14:paraId="0F56A397">
            <w:pPr>
              <w:pStyle w:val="14"/>
            </w:pPr>
          </w:p>
        </w:tc>
      </w:tr>
      <w:tr w14:paraId="1D516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18E68">
            <w:pPr>
              <w:pStyle w:val="12"/>
            </w:pPr>
            <w:r>
              <w:t>13</w:t>
            </w:r>
          </w:p>
        </w:tc>
        <w:tc>
          <w:tcPr>
            <w:tcW w:w="3402" w:type="dxa"/>
            <w:vAlign w:val="center"/>
          </w:tcPr>
          <w:p w14:paraId="14B7ABF9">
            <w:pPr>
              <w:pStyle w:val="13"/>
            </w:pPr>
          </w:p>
        </w:tc>
        <w:tc>
          <w:tcPr>
            <w:tcW w:w="1474" w:type="dxa"/>
            <w:vAlign w:val="center"/>
          </w:tcPr>
          <w:p w14:paraId="4D7756A1">
            <w:pPr>
              <w:pStyle w:val="14"/>
            </w:pPr>
          </w:p>
        </w:tc>
        <w:tc>
          <w:tcPr>
            <w:tcW w:w="3402" w:type="dxa"/>
            <w:vAlign w:val="center"/>
          </w:tcPr>
          <w:p w14:paraId="6F526481">
            <w:pPr>
              <w:pStyle w:val="13"/>
            </w:pPr>
            <w:r>
              <w:t>十三、农林水支出</w:t>
            </w:r>
          </w:p>
        </w:tc>
        <w:tc>
          <w:tcPr>
            <w:tcW w:w="1474" w:type="dxa"/>
            <w:vAlign w:val="center"/>
          </w:tcPr>
          <w:p w14:paraId="4D60255C">
            <w:pPr>
              <w:pStyle w:val="14"/>
            </w:pPr>
          </w:p>
        </w:tc>
        <w:tc>
          <w:tcPr>
            <w:tcW w:w="1474" w:type="dxa"/>
            <w:vAlign w:val="center"/>
          </w:tcPr>
          <w:p w14:paraId="1F8C0452">
            <w:pPr>
              <w:pStyle w:val="14"/>
            </w:pPr>
          </w:p>
        </w:tc>
        <w:tc>
          <w:tcPr>
            <w:tcW w:w="1474" w:type="dxa"/>
            <w:vAlign w:val="center"/>
          </w:tcPr>
          <w:p w14:paraId="3161EDC3">
            <w:pPr>
              <w:pStyle w:val="14"/>
            </w:pPr>
          </w:p>
        </w:tc>
        <w:tc>
          <w:tcPr>
            <w:tcW w:w="1474" w:type="dxa"/>
            <w:vAlign w:val="center"/>
          </w:tcPr>
          <w:p w14:paraId="797E77A3">
            <w:pPr>
              <w:pStyle w:val="14"/>
            </w:pPr>
          </w:p>
        </w:tc>
      </w:tr>
      <w:tr w14:paraId="456DD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07091">
            <w:pPr>
              <w:pStyle w:val="12"/>
            </w:pPr>
            <w:r>
              <w:t>14</w:t>
            </w:r>
          </w:p>
        </w:tc>
        <w:tc>
          <w:tcPr>
            <w:tcW w:w="3402" w:type="dxa"/>
            <w:vAlign w:val="center"/>
          </w:tcPr>
          <w:p w14:paraId="78AF320D">
            <w:pPr>
              <w:pStyle w:val="13"/>
            </w:pPr>
          </w:p>
        </w:tc>
        <w:tc>
          <w:tcPr>
            <w:tcW w:w="1474" w:type="dxa"/>
            <w:vAlign w:val="center"/>
          </w:tcPr>
          <w:p w14:paraId="6FCC0D1E">
            <w:pPr>
              <w:pStyle w:val="14"/>
            </w:pPr>
          </w:p>
        </w:tc>
        <w:tc>
          <w:tcPr>
            <w:tcW w:w="3402" w:type="dxa"/>
            <w:vAlign w:val="center"/>
          </w:tcPr>
          <w:p w14:paraId="5EAF3405">
            <w:pPr>
              <w:pStyle w:val="13"/>
            </w:pPr>
            <w:r>
              <w:t>十四、交通运输支出</w:t>
            </w:r>
          </w:p>
        </w:tc>
        <w:tc>
          <w:tcPr>
            <w:tcW w:w="1474" w:type="dxa"/>
            <w:vAlign w:val="center"/>
          </w:tcPr>
          <w:p w14:paraId="60AF9AA4">
            <w:pPr>
              <w:pStyle w:val="14"/>
            </w:pPr>
          </w:p>
        </w:tc>
        <w:tc>
          <w:tcPr>
            <w:tcW w:w="1474" w:type="dxa"/>
            <w:vAlign w:val="center"/>
          </w:tcPr>
          <w:p w14:paraId="6790F3C8">
            <w:pPr>
              <w:pStyle w:val="14"/>
            </w:pPr>
          </w:p>
        </w:tc>
        <w:tc>
          <w:tcPr>
            <w:tcW w:w="1474" w:type="dxa"/>
            <w:vAlign w:val="center"/>
          </w:tcPr>
          <w:p w14:paraId="472C9CAA">
            <w:pPr>
              <w:pStyle w:val="14"/>
            </w:pPr>
          </w:p>
        </w:tc>
        <w:tc>
          <w:tcPr>
            <w:tcW w:w="1474" w:type="dxa"/>
            <w:vAlign w:val="center"/>
          </w:tcPr>
          <w:p w14:paraId="4F26704F">
            <w:pPr>
              <w:pStyle w:val="14"/>
            </w:pPr>
          </w:p>
        </w:tc>
      </w:tr>
      <w:tr w14:paraId="3F9AD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A3040">
            <w:pPr>
              <w:pStyle w:val="12"/>
            </w:pPr>
            <w:r>
              <w:t>15</w:t>
            </w:r>
          </w:p>
        </w:tc>
        <w:tc>
          <w:tcPr>
            <w:tcW w:w="3402" w:type="dxa"/>
            <w:vAlign w:val="center"/>
          </w:tcPr>
          <w:p w14:paraId="3A2F5A74">
            <w:pPr>
              <w:pStyle w:val="13"/>
            </w:pPr>
          </w:p>
        </w:tc>
        <w:tc>
          <w:tcPr>
            <w:tcW w:w="1474" w:type="dxa"/>
            <w:vAlign w:val="center"/>
          </w:tcPr>
          <w:p w14:paraId="28E050E1">
            <w:pPr>
              <w:pStyle w:val="14"/>
            </w:pPr>
          </w:p>
        </w:tc>
        <w:tc>
          <w:tcPr>
            <w:tcW w:w="3402" w:type="dxa"/>
            <w:vAlign w:val="center"/>
          </w:tcPr>
          <w:p w14:paraId="27E4F0EB">
            <w:pPr>
              <w:pStyle w:val="13"/>
            </w:pPr>
            <w:r>
              <w:t>十五、资源勘探工业信息等支出</w:t>
            </w:r>
          </w:p>
        </w:tc>
        <w:tc>
          <w:tcPr>
            <w:tcW w:w="1474" w:type="dxa"/>
            <w:vAlign w:val="center"/>
          </w:tcPr>
          <w:p w14:paraId="414BDAFF">
            <w:pPr>
              <w:pStyle w:val="14"/>
            </w:pPr>
          </w:p>
        </w:tc>
        <w:tc>
          <w:tcPr>
            <w:tcW w:w="1474" w:type="dxa"/>
            <w:vAlign w:val="center"/>
          </w:tcPr>
          <w:p w14:paraId="30F3BC22">
            <w:pPr>
              <w:pStyle w:val="14"/>
            </w:pPr>
          </w:p>
        </w:tc>
        <w:tc>
          <w:tcPr>
            <w:tcW w:w="1474" w:type="dxa"/>
            <w:vAlign w:val="center"/>
          </w:tcPr>
          <w:p w14:paraId="10EBE91C">
            <w:pPr>
              <w:pStyle w:val="14"/>
            </w:pPr>
          </w:p>
        </w:tc>
        <w:tc>
          <w:tcPr>
            <w:tcW w:w="1474" w:type="dxa"/>
            <w:vAlign w:val="center"/>
          </w:tcPr>
          <w:p w14:paraId="386733D3">
            <w:pPr>
              <w:pStyle w:val="14"/>
            </w:pPr>
          </w:p>
        </w:tc>
      </w:tr>
      <w:tr w14:paraId="50819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B8BF9">
            <w:pPr>
              <w:pStyle w:val="12"/>
            </w:pPr>
            <w:r>
              <w:t>16</w:t>
            </w:r>
          </w:p>
        </w:tc>
        <w:tc>
          <w:tcPr>
            <w:tcW w:w="3402" w:type="dxa"/>
            <w:vAlign w:val="center"/>
          </w:tcPr>
          <w:p w14:paraId="28D0321D">
            <w:pPr>
              <w:pStyle w:val="13"/>
            </w:pPr>
          </w:p>
        </w:tc>
        <w:tc>
          <w:tcPr>
            <w:tcW w:w="1474" w:type="dxa"/>
            <w:vAlign w:val="center"/>
          </w:tcPr>
          <w:p w14:paraId="2D670E56">
            <w:pPr>
              <w:pStyle w:val="14"/>
            </w:pPr>
          </w:p>
        </w:tc>
        <w:tc>
          <w:tcPr>
            <w:tcW w:w="3402" w:type="dxa"/>
            <w:vAlign w:val="center"/>
          </w:tcPr>
          <w:p w14:paraId="53F623F0">
            <w:pPr>
              <w:pStyle w:val="13"/>
            </w:pPr>
            <w:r>
              <w:t>十六、商业服务业等支出</w:t>
            </w:r>
          </w:p>
        </w:tc>
        <w:tc>
          <w:tcPr>
            <w:tcW w:w="1474" w:type="dxa"/>
            <w:vAlign w:val="center"/>
          </w:tcPr>
          <w:p w14:paraId="25DFB3D8">
            <w:pPr>
              <w:pStyle w:val="14"/>
            </w:pPr>
          </w:p>
        </w:tc>
        <w:tc>
          <w:tcPr>
            <w:tcW w:w="1474" w:type="dxa"/>
            <w:vAlign w:val="center"/>
          </w:tcPr>
          <w:p w14:paraId="51792A71">
            <w:pPr>
              <w:pStyle w:val="14"/>
            </w:pPr>
          </w:p>
        </w:tc>
        <w:tc>
          <w:tcPr>
            <w:tcW w:w="1474" w:type="dxa"/>
            <w:vAlign w:val="center"/>
          </w:tcPr>
          <w:p w14:paraId="6B4746F9">
            <w:pPr>
              <w:pStyle w:val="14"/>
            </w:pPr>
          </w:p>
        </w:tc>
        <w:tc>
          <w:tcPr>
            <w:tcW w:w="1474" w:type="dxa"/>
            <w:vAlign w:val="center"/>
          </w:tcPr>
          <w:p w14:paraId="547C484D">
            <w:pPr>
              <w:pStyle w:val="14"/>
            </w:pPr>
          </w:p>
        </w:tc>
      </w:tr>
      <w:tr w14:paraId="3BB6E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7672C">
            <w:pPr>
              <w:pStyle w:val="12"/>
            </w:pPr>
            <w:r>
              <w:t>17</w:t>
            </w:r>
          </w:p>
        </w:tc>
        <w:tc>
          <w:tcPr>
            <w:tcW w:w="3402" w:type="dxa"/>
            <w:vAlign w:val="center"/>
          </w:tcPr>
          <w:p w14:paraId="3BD58B26">
            <w:pPr>
              <w:pStyle w:val="13"/>
            </w:pPr>
          </w:p>
        </w:tc>
        <w:tc>
          <w:tcPr>
            <w:tcW w:w="1474" w:type="dxa"/>
            <w:vAlign w:val="center"/>
          </w:tcPr>
          <w:p w14:paraId="4B36CD2A">
            <w:pPr>
              <w:pStyle w:val="14"/>
            </w:pPr>
          </w:p>
        </w:tc>
        <w:tc>
          <w:tcPr>
            <w:tcW w:w="3402" w:type="dxa"/>
            <w:vAlign w:val="center"/>
          </w:tcPr>
          <w:p w14:paraId="1591D2FC">
            <w:pPr>
              <w:pStyle w:val="13"/>
            </w:pPr>
            <w:r>
              <w:t>十七、金融支出</w:t>
            </w:r>
          </w:p>
        </w:tc>
        <w:tc>
          <w:tcPr>
            <w:tcW w:w="1474" w:type="dxa"/>
            <w:vAlign w:val="center"/>
          </w:tcPr>
          <w:p w14:paraId="4D2B93BD">
            <w:pPr>
              <w:pStyle w:val="14"/>
            </w:pPr>
          </w:p>
        </w:tc>
        <w:tc>
          <w:tcPr>
            <w:tcW w:w="1474" w:type="dxa"/>
            <w:vAlign w:val="center"/>
          </w:tcPr>
          <w:p w14:paraId="73193985">
            <w:pPr>
              <w:pStyle w:val="14"/>
            </w:pPr>
          </w:p>
        </w:tc>
        <w:tc>
          <w:tcPr>
            <w:tcW w:w="1474" w:type="dxa"/>
            <w:vAlign w:val="center"/>
          </w:tcPr>
          <w:p w14:paraId="5B01110C">
            <w:pPr>
              <w:pStyle w:val="14"/>
            </w:pPr>
          </w:p>
        </w:tc>
        <w:tc>
          <w:tcPr>
            <w:tcW w:w="1474" w:type="dxa"/>
            <w:vAlign w:val="center"/>
          </w:tcPr>
          <w:p w14:paraId="3EAE7264">
            <w:pPr>
              <w:pStyle w:val="14"/>
            </w:pPr>
          </w:p>
        </w:tc>
      </w:tr>
      <w:tr w14:paraId="0257A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48F2091">
            <w:pPr>
              <w:pStyle w:val="12"/>
            </w:pPr>
            <w:r>
              <w:t>18</w:t>
            </w:r>
          </w:p>
        </w:tc>
        <w:tc>
          <w:tcPr>
            <w:tcW w:w="3402" w:type="dxa"/>
            <w:vAlign w:val="center"/>
          </w:tcPr>
          <w:p w14:paraId="79411600">
            <w:pPr>
              <w:pStyle w:val="13"/>
            </w:pPr>
          </w:p>
        </w:tc>
        <w:tc>
          <w:tcPr>
            <w:tcW w:w="1474" w:type="dxa"/>
            <w:vAlign w:val="center"/>
          </w:tcPr>
          <w:p w14:paraId="452E3743">
            <w:pPr>
              <w:pStyle w:val="14"/>
            </w:pPr>
          </w:p>
        </w:tc>
        <w:tc>
          <w:tcPr>
            <w:tcW w:w="3402" w:type="dxa"/>
            <w:vAlign w:val="center"/>
          </w:tcPr>
          <w:p w14:paraId="6C7092E0">
            <w:pPr>
              <w:pStyle w:val="13"/>
            </w:pPr>
            <w:r>
              <w:t>十八、援助其他地区支出</w:t>
            </w:r>
          </w:p>
        </w:tc>
        <w:tc>
          <w:tcPr>
            <w:tcW w:w="1474" w:type="dxa"/>
            <w:vAlign w:val="center"/>
          </w:tcPr>
          <w:p w14:paraId="76ACF9AA">
            <w:pPr>
              <w:pStyle w:val="14"/>
            </w:pPr>
          </w:p>
        </w:tc>
        <w:tc>
          <w:tcPr>
            <w:tcW w:w="1474" w:type="dxa"/>
            <w:vAlign w:val="center"/>
          </w:tcPr>
          <w:p w14:paraId="55543CEE">
            <w:pPr>
              <w:pStyle w:val="14"/>
            </w:pPr>
          </w:p>
        </w:tc>
        <w:tc>
          <w:tcPr>
            <w:tcW w:w="1474" w:type="dxa"/>
            <w:vAlign w:val="center"/>
          </w:tcPr>
          <w:p w14:paraId="0E39C1BC">
            <w:pPr>
              <w:pStyle w:val="14"/>
            </w:pPr>
          </w:p>
        </w:tc>
        <w:tc>
          <w:tcPr>
            <w:tcW w:w="1474" w:type="dxa"/>
            <w:vAlign w:val="center"/>
          </w:tcPr>
          <w:p w14:paraId="46FE9126">
            <w:pPr>
              <w:pStyle w:val="14"/>
            </w:pPr>
          </w:p>
        </w:tc>
      </w:tr>
      <w:tr w14:paraId="6B602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43CE2">
            <w:pPr>
              <w:pStyle w:val="12"/>
            </w:pPr>
            <w:r>
              <w:t>19</w:t>
            </w:r>
          </w:p>
        </w:tc>
        <w:tc>
          <w:tcPr>
            <w:tcW w:w="3402" w:type="dxa"/>
            <w:vAlign w:val="center"/>
          </w:tcPr>
          <w:p w14:paraId="444E0805">
            <w:pPr>
              <w:pStyle w:val="13"/>
            </w:pPr>
          </w:p>
        </w:tc>
        <w:tc>
          <w:tcPr>
            <w:tcW w:w="1474" w:type="dxa"/>
            <w:vAlign w:val="center"/>
          </w:tcPr>
          <w:p w14:paraId="3CDE1C63">
            <w:pPr>
              <w:pStyle w:val="14"/>
            </w:pPr>
          </w:p>
        </w:tc>
        <w:tc>
          <w:tcPr>
            <w:tcW w:w="3402" w:type="dxa"/>
            <w:vAlign w:val="center"/>
          </w:tcPr>
          <w:p w14:paraId="29126C3B">
            <w:pPr>
              <w:pStyle w:val="13"/>
            </w:pPr>
            <w:r>
              <w:t>十九、自然资源海洋气象等支出</w:t>
            </w:r>
          </w:p>
        </w:tc>
        <w:tc>
          <w:tcPr>
            <w:tcW w:w="1474" w:type="dxa"/>
            <w:vAlign w:val="center"/>
          </w:tcPr>
          <w:p w14:paraId="0C7BC8F7">
            <w:pPr>
              <w:pStyle w:val="14"/>
            </w:pPr>
          </w:p>
        </w:tc>
        <w:tc>
          <w:tcPr>
            <w:tcW w:w="1474" w:type="dxa"/>
            <w:vAlign w:val="center"/>
          </w:tcPr>
          <w:p w14:paraId="3056F1AD">
            <w:pPr>
              <w:pStyle w:val="14"/>
            </w:pPr>
          </w:p>
        </w:tc>
        <w:tc>
          <w:tcPr>
            <w:tcW w:w="1474" w:type="dxa"/>
            <w:vAlign w:val="center"/>
          </w:tcPr>
          <w:p w14:paraId="6D2251BF">
            <w:pPr>
              <w:pStyle w:val="14"/>
            </w:pPr>
          </w:p>
        </w:tc>
        <w:tc>
          <w:tcPr>
            <w:tcW w:w="1474" w:type="dxa"/>
            <w:vAlign w:val="center"/>
          </w:tcPr>
          <w:p w14:paraId="064A2762">
            <w:pPr>
              <w:pStyle w:val="14"/>
            </w:pPr>
          </w:p>
        </w:tc>
      </w:tr>
      <w:tr w14:paraId="7637F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8A6A7">
            <w:pPr>
              <w:pStyle w:val="12"/>
            </w:pPr>
            <w:r>
              <w:t>20</w:t>
            </w:r>
          </w:p>
        </w:tc>
        <w:tc>
          <w:tcPr>
            <w:tcW w:w="3402" w:type="dxa"/>
            <w:vAlign w:val="center"/>
          </w:tcPr>
          <w:p w14:paraId="077FFBFA">
            <w:pPr>
              <w:pStyle w:val="13"/>
            </w:pPr>
          </w:p>
        </w:tc>
        <w:tc>
          <w:tcPr>
            <w:tcW w:w="1474" w:type="dxa"/>
            <w:vAlign w:val="center"/>
          </w:tcPr>
          <w:p w14:paraId="2CF31CF3">
            <w:pPr>
              <w:pStyle w:val="14"/>
            </w:pPr>
          </w:p>
        </w:tc>
        <w:tc>
          <w:tcPr>
            <w:tcW w:w="3402" w:type="dxa"/>
            <w:vAlign w:val="center"/>
          </w:tcPr>
          <w:p w14:paraId="615DDD95">
            <w:pPr>
              <w:pStyle w:val="13"/>
            </w:pPr>
            <w:r>
              <w:t>二十、住房保障支出</w:t>
            </w:r>
          </w:p>
        </w:tc>
        <w:tc>
          <w:tcPr>
            <w:tcW w:w="1474" w:type="dxa"/>
            <w:vAlign w:val="center"/>
          </w:tcPr>
          <w:p w14:paraId="2E422D31">
            <w:pPr>
              <w:pStyle w:val="14"/>
            </w:pPr>
          </w:p>
        </w:tc>
        <w:tc>
          <w:tcPr>
            <w:tcW w:w="1474" w:type="dxa"/>
            <w:vAlign w:val="center"/>
          </w:tcPr>
          <w:p w14:paraId="6E5E5B78">
            <w:pPr>
              <w:pStyle w:val="14"/>
            </w:pPr>
          </w:p>
        </w:tc>
        <w:tc>
          <w:tcPr>
            <w:tcW w:w="1474" w:type="dxa"/>
            <w:vAlign w:val="center"/>
          </w:tcPr>
          <w:p w14:paraId="3AC45DE9">
            <w:pPr>
              <w:pStyle w:val="14"/>
            </w:pPr>
          </w:p>
        </w:tc>
        <w:tc>
          <w:tcPr>
            <w:tcW w:w="1474" w:type="dxa"/>
            <w:vAlign w:val="center"/>
          </w:tcPr>
          <w:p w14:paraId="071E4DEB">
            <w:pPr>
              <w:pStyle w:val="14"/>
            </w:pPr>
          </w:p>
        </w:tc>
      </w:tr>
      <w:tr w14:paraId="4A2E1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C29EB">
            <w:pPr>
              <w:pStyle w:val="12"/>
            </w:pPr>
            <w:r>
              <w:t>21</w:t>
            </w:r>
          </w:p>
        </w:tc>
        <w:tc>
          <w:tcPr>
            <w:tcW w:w="3402" w:type="dxa"/>
            <w:vAlign w:val="center"/>
          </w:tcPr>
          <w:p w14:paraId="35330196">
            <w:pPr>
              <w:pStyle w:val="13"/>
            </w:pPr>
          </w:p>
        </w:tc>
        <w:tc>
          <w:tcPr>
            <w:tcW w:w="1474" w:type="dxa"/>
            <w:vAlign w:val="center"/>
          </w:tcPr>
          <w:p w14:paraId="33546D83">
            <w:pPr>
              <w:pStyle w:val="14"/>
            </w:pPr>
          </w:p>
        </w:tc>
        <w:tc>
          <w:tcPr>
            <w:tcW w:w="3402" w:type="dxa"/>
            <w:vAlign w:val="center"/>
          </w:tcPr>
          <w:p w14:paraId="0ED3F251">
            <w:pPr>
              <w:pStyle w:val="13"/>
            </w:pPr>
            <w:r>
              <w:t>二十一、粮油物资储备支出</w:t>
            </w:r>
          </w:p>
        </w:tc>
        <w:tc>
          <w:tcPr>
            <w:tcW w:w="1474" w:type="dxa"/>
            <w:vAlign w:val="center"/>
          </w:tcPr>
          <w:p w14:paraId="1FF03F72">
            <w:pPr>
              <w:pStyle w:val="14"/>
            </w:pPr>
          </w:p>
        </w:tc>
        <w:tc>
          <w:tcPr>
            <w:tcW w:w="1474" w:type="dxa"/>
            <w:vAlign w:val="center"/>
          </w:tcPr>
          <w:p w14:paraId="22AF7EFE">
            <w:pPr>
              <w:pStyle w:val="14"/>
            </w:pPr>
          </w:p>
        </w:tc>
        <w:tc>
          <w:tcPr>
            <w:tcW w:w="1474" w:type="dxa"/>
            <w:vAlign w:val="center"/>
          </w:tcPr>
          <w:p w14:paraId="5FD4742D">
            <w:pPr>
              <w:pStyle w:val="14"/>
            </w:pPr>
          </w:p>
        </w:tc>
        <w:tc>
          <w:tcPr>
            <w:tcW w:w="1474" w:type="dxa"/>
            <w:vAlign w:val="center"/>
          </w:tcPr>
          <w:p w14:paraId="718E53E8">
            <w:pPr>
              <w:pStyle w:val="14"/>
            </w:pPr>
          </w:p>
        </w:tc>
      </w:tr>
      <w:tr w14:paraId="31B46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4B106">
            <w:pPr>
              <w:pStyle w:val="12"/>
            </w:pPr>
            <w:r>
              <w:t>22</w:t>
            </w:r>
          </w:p>
        </w:tc>
        <w:tc>
          <w:tcPr>
            <w:tcW w:w="3402" w:type="dxa"/>
            <w:vAlign w:val="center"/>
          </w:tcPr>
          <w:p w14:paraId="47F0A46B">
            <w:pPr>
              <w:pStyle w:val="13"/>
            </w:pPr>
          </w:p>
        </w:tc>
        <w:tc>
          <w:tcPr>
            <w:tcW w:w="1474" w:type="dxa"/>
            <w:vAlign w:val="center"/>
          </w:tcPr>
          <w:p w14:paraId="2152F9C0">
            <w:pPr>
              <w:pStyle w:val="14"/>
            </w:pPr>
          </w:p>
        </w:tc>
        <w:tc>
          <w:tcPr>
            <w:tcW w:w="3402" w:type="dxa"/>
            <w:vAlign w:val="center"/>
          </w:tcPr>
          <w:p w14:paraId="2D750A75">
            <w:pPr>
              <w:pStyle w:val="13"/>
            </w:pPr>
            <w:r>
              <w:t>二十二、国有资本经营预算支出</w:t>
            </w:r>
          </w:p>
        </w:tc>
        <w:tc>
          <w:tcPr>
            <w:tcW w:w="1474" w:type="dxa"/>
            <w:vAlign w:val="center"/>
          </w:tcPr>
          <w:p w14:paraId="7CAF640C">
            <w:pPr>
              <w:pStyle w:val="14"/>
            </w:pPr>
          </w:p>
        </w:tc>
        <w:tc>
          <w:tcPr>
            <w:tcW w:w="1474" w:type="dxa"/>
            <w:vAlign w:val="center"/>
          </w:tcPr>
          <w:p w14:paraId="26383F6F">
            <w:pPr>
              <w:pStyle w:val="14"/>
            </w:pPr>
          </w:p>
        </w:tc>
        <w:tc>
          <w:tcPr>
            <w:tcW w:w="1474" w:type="dxa"/>
            <w:vAlign w:val="center"/>
          </w:tcPr>
          <w:p w14:paraId="015C859A">
            <w:pPr>
              <w:pStyle w:val="14"/>
            </w:pPr>
          </w:p>
        </w:tc>
        <w:tc>
          <w:tcPr>
            <w:tcW w:w="1474" w:type="dxa"/>
            <w:vAlign w:val="center"/>
          </w:tcPr>
          <w:p w14:paraId="7D1E0C74">
            <w:pPr>
              <w:pStyle w:val="14"/>
            </w:pPr>
          </w:p>
        </w:tc>
      </w:tr>
      <w:tr w14:paraId="335BB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368E9">
            <w:pPr>
              <w:pStyle w:val="12"/>
            </w:pPr>
            <w:r>
              <w:t>23</w:t>
            </w:r>
          </w:p>
        </w:tc>
        <w:tc>
          <w:tcPr>
            <w:tcW w:w="3402" w:type="dxa"/>
            <w:vAlign w:val="center"/>
          </w:tcPr>
          <w:p w14:paraId="260D3F54">
            <w:pPr>
              <w:pStyle w:val="13"/>
            </w:pPr>
          </w:p>
        </w:tc>
        <w:tc>
          <w:tcPr>
            <w:tcW w:w="1474" w:type="dxa"/>
            <w:vAlign w:val="center"/>
          </w:tcPr>
          <w:p w14:paraId="3B32DD56">
            <w:pPr>
              <w:pStyle w:val="14"/>
            </w:pPr>
          </w:p>
        </w:tc>
        <w:tc>
          <w:tcPr>
            <w:tcW w:w="3402" w:type="dxa"/>
            <w:vAlign w:val="center"/>
          </w:tcPr>
          <w:p w14:paraId="7A01EE6C">
            <w:pPr>
              <w:pStyle w:val="13"/>
            </w:pPr>
            <w:r>
              <w:t>二十三、灾害防治及应急管理支出</w:t>
            </w:r>
          </w:p>
        </w:tc>
        <w:tc>
          <w:tcPr>
            <w:tcW w:w="1474" w:type="dxa"/>
            <w:vAlign w:val="center"/>
          </w:tcPr>
          <w:p w14:paraId="6DF7E611">
            <w:pPr>
              <w:pStyle w:val="14"/>
            </w:pPr>
          </w:p>
        </w:tc>
        <w:tc>
          <w:tcPr>
            <w:tcW w:w="1474" w:type="dxa"/>
            <w:vAlign w:val="center"/>
          </w:tcPr>
          <w:p w14:paraId="11F3DBFE">
            <w:pPr>
              <w:pStyle w:val="14"/>
            </w:pPr>
          </w:p>
        </w:tc>
        <w:tc>
          <w:tcPr>
            <w:tcW w:w="1474" w:type="dxa"/>
            <w:vAlign w:val="center"/>
          </w:tcPr>
          <w:p w14:paraId="640B5B54">
            <w:pPr>
              <w:pStyle w:val="14"/>
            </w:pPr>
          </w:p>
        </w:tc>
        <w:tc>
          <w:tcPr>
            <w:tcW w:w="1474" w:type="dxa"/>
            <w:vAlign w:val="center"/>
          </w:tcPr>
          <w:p w14:paraId="60320643">
            <w:pPr>
              <w:pStyle w:val="14"/>
            </w:pPr>
          </w:p>
        </w:tc>
      </w:tr>
      <w:tr w14:paraId="1309C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9EBFA">
            <w:pPr>
              <w:pStyle w:val="12"/>
            </w:pPr>
            <w:r>
              <w:t>24</w:t>
            </w:r>
          </w:p>
        </w:tc>
        <w:tc>
          <w:tcPr>
            <w:tcW w:w="3402" w:type="dxa"/>
            <w:vAlign w:val="center"/>
          </w:tcPr>
          <w:p w14:paraId="5EF0CE78">
            <w:pPr>
              <w:pStyle w:val="13"/>
            </w:pPr>
          </w:p>
        </w:tc>
        <w:tc>
          <w:tcPr>
            <w:tcW w:w="1474" w:type="dxa"/>
            <w:vAlign w:val="center"/>
          </w:tcPr>
          <w:p w14:paraId="677F1062">
            <w:pPr>
              <w:pStyle w:val="14"/>
            </w:pPr>
          </w:p>
        </w:tc>
        <w:tc>
          <w:tcPr>
            <w:tcW w:w="3402" w:type="dxa"/>
            <w:vAlign w:val="center"/>
          </w:tcPr>
          <w:p w14:paraId="36B7387F">
            <w:pPr>
              <w:pStyle w:val="13"/>
            </w:pPr>
            <w:r>
              <w:t>二十四、预备费</w:t>
            </w:r>
          </w:p>
        </w:tc>
        <w:tc>
          <w:tcPr>
            <w:tcW w:w="1474" w:type="dxa"/>
            <w:vAlign w:val="center"/>
          </w:tcPr>
          <w:p w14:paraId="61F6BE02">
            <w:pPr>
              <w:pStyle w:val="14"/>
            </w:pPr>
          </w:p>
        </w:tc>
        <w:tc>
          <w:tcPr>
            <w:tcW w:w="1474" w:type="dxa"/>
            <w:vAlign w:val="center"/>
          </w:tcPr>
          <w:p w14:paraId="1004EFF7">
            <w:pPr>
              <w:pStyle w:val="14"/>
            </w:pPr>
          </w:p>
        </w:tc>
        <w:tc>
          <w:tcPr>
            <w:tcW w:w="1474" w:type="dxa"/>
            <w:vAlign w:val="center"/>
          </w:tcPr>
          <w:p w14:paraId="40F3E1C8">
            <w:pPr>
              <w:pStyle w:val="14"/>
            </w:pPr>
          </w:p>
        </w:tc>
        <w:tc>
          <w:tcPr>
            <w:tcW w:w="1474" w:type="dxa"/>
            <w:vAlign w:val="center"/>
          </w:tcPr>
          <w:p w14:paraId="161E0FB4">
            <w:pPr>
              <w:pStyle w:val="14"/>
            </w:pPr>
          </w:p>
        </w:tc>
      </w:tr>
      <w:tr w14:paraId="62E34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202DE">
            <w:pPr>
              <w:pStyle w:val="12"/>
            </w:pPr>
            <w:r>
              <w:t>25</w:t>
            </w:r>
          </w:p>
        </w:tc>
        <w:tc>
          <w:tcPr>
            <w:tcW w:w="3402" w:type="dxa"/>
            <w:vAlign w:val="center"/>
          </w:tcPr>
          <w:p w14:paraId="5A142974">
            <w:pPr>
              <w:pStyle w:val="13"/>
            </w:pPr>
          </w:p>
        </w:tc>
        <w:tc>
          <w:tcPr>
            <w:tcW w:w="1474" w:type="dxa"/>
            <w:vAlign w:val="center"/>
          </w:tcPr>
          <w:p w14:paraId="70745473">
            <w:pPr>
              <w:pStyle w:val="14"/>
            </w:pPr>
          </w:p>
        </w:tc>
        <w:tc>
          <w:tcPr>
            <w:tcW w:w="3402" w:type="dxa"/>
            <w:vAlign w:val="center"/>
          </w:tcPr>
          <w:p w14:paraId="16561422">
            <w:pPr>
              <w:pStyle w:val="13"/>
            </w:pPr>
            <w:r>
              <w:t>二十五、其他支出</w:t>
            </w:r>
          </w:p>
        </w:tc>
        <w:tc>
          <w:tcPr>
            <w:tcW w:w="1474" w:type="dxa"/>
            <w:vAlign w:val="center"/>
          </w:tcPr>
          <w:p w14:paraId="6608B80F">
            <w:pPr>
              <w:pStyle w:val="14"/>
            </w:pPr>
          </w:p>
        </w:tc>
        <w:tc>
          <w:tcPr>
            <w:tcW w:w="1474" w:type="dxa"/>
            <w:vAlign w:val="center"/>
          </w:tcPr>
          <w:p w14:paraId="3427AB27">
            <w:pPr>
              <w:pStyle w:val="14"/>
            </w:pPr>
          </w:p>
        </w:tc>
        <w:tc>
          <w:tcPr>
            <w:tcW w:w="1474" w:type="dxa"/>
            <w:vAlign w:val="center"/>
          </w:tcPr>
          <w:p w14:paraId="732A7A1F">
            <w:pPr>
              <w:pStyle w:val="14"/>
            </w:pPr>
          </w:p>
        </w:tc>
        <w:tc>
          <w:tcPr>
            <w:tcW w:w="1474" w:type="dxa"/>
            <w:vAlign w:val="center"/>
          </w:tcPr>
          <w:p w14:paraId="658CBE0B">
            <w:pPr>
              <w:pStyle w:val="14"/>
            </w:pPr>
          </w:p>
        </w:tc>
      </w:tr>
      <w:tr w14:paraId="33A14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7D6A4">
            <w:pPr>
              <w:pStyle w:val="12"/>
            </w:pPr>
            <w:r>
              <w:t>26</w:t>
            </w:r>
          </w:p>
        </w:tc>
        <w:tc>
          <w:tcPr>
            <w:tcW w:w="3402" w:type="dxa"/>
            <w:vAlign w:val="center"/>
          </w:tcPr>
          <w:p w14:paraId="1133E7BE">
            <w:pPr>
              <w:pStyle w:val="13"/>
            </w:pPr>
          </w:p>
        </w:tc>
        <w:tc>
          <w:tcPr>
            <w:tcW w:w="1474" w:type="dxa"/>
            <w:vAlign w:val="center"/>
          </w:tcPr>
          <w:p w14:paraId="0268FF01">
            <w:pPr>
              <w:pStyle w:val="14"/>
            </w:pPr>
          </w:p>
        </w:tc>
        <w:tc>
          <w:tcPr>
            <w:tcW w:w="3402" w:type="dxa"/>
            <w:vAlign w:val="center"/>
          </w:tcPr>
          <w:p w14:paraId="4878292D">
            <w:pPr>
              <w:pStyle w:val="13"/>
            </w:pPr>
            <w:r>
              <w:t>二十六、转移性支出</w:t>
            </w:r>
          </w:p>
        </w:tc>
        <w:tc>
          <w:tcPr>
            <w:tcW w:w="1474" w:type="dxa"/>
            <w:vAlign w:val="center"/>
          </w:tcPr>
          <w:p w14:paraId="5A09820B">
            <w:pPr>
              <w:pStyle w:val="14"/>
            </w:pPr>
          </w:p>
        </w:tc>
        <w:tc>
          <w:tcPr>
            <w:tcW w:w="1474" w:type="dxa"/>
            <w:vAlign w:val="center"/>
          </w:tcPr>
          <w:p w14:paraId="78126D95">
            <w:pPr>
              <w:pStyle w:val="14"/>
            </w:pPr>
          </w:p>
        </w:tc>
        <w:tc>
          <w:tcPr>
            <w:tcW w:w="1474" w:type="dxa"/>
            <w:vAlign w:val="center"/>
          </w:tcPr>
          <w:p w14:paraId="3BB45E9D">
            <w:pPr>
              <w:pStyle w:val="14"/>
            </w:pPr>
          </w:p>
        </w:tc>
        <w:tc>
          <w:tcPr>
            <w:tcW w:w="1474" w:type="dxa"/>
            <w:vAlign w:val="center"/>
          </w:tcPr>
          <w:p w14:paraId="3FCAC895">
            <w:pPr>
              <w:pStyle w:val="14"/>
            </w:pPr>
          </w:p>
        </w:tc>
      </w:tr>
      <w:tr w14:paraId="3E0B0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0BB87">
            <w:pPr>
              <w:pStyle w:val="12"/>
            </w:pPr>
            <w:r>
              <w:t>27</w:t>
            </w:r>
          </w:p>
        </w:tc>
        <w:tc>
          <w:tcPr>
            <w:tcW w:w="3402" w:type="dxa"/>
            <w:vAlign w:val="center"/>
          </w:tcPr>
          <w:p w14:paraId="4A5AE5EC">
            <w:pPr>
              <w:pStyle w:val="13"/>
            </w:pPr>
          </w:p>
        </w:tc>
        <w:tc>
          <w:tcPr>
            <w:tcW w:w="1474" w:type="dxa"/>
            <w:vAlign w:val="center"/>
          </w:tcPr>
          <w:p w14:paraId="3FE77348">
            <w:pPr>
              <w:pStyle w:val="14"/>
            </w:pPr>
          </w:p>
        </w:tc>
        <w:tc>
          <w:tcPr>
            <w:tcW w:w="3402" w:type="dxa"/>
            <w:vAlign w:val="center"/>
          </w:tcPr>
          <w:p w14:paraId="61775760">
            <w:pPr>
              <w:pStyle w:val="13"/>
            </w:pPr>
            <w:r>
              <w:t>二十七、债务还本支出</w:t>
            </w:r>
          </w:p>
        </w:tc>
        <w:tc>
          <w:tcPr>
            <w:tcW w:w="1474" w:type="dxa"/>
            <w:vAlign w:val="center"/>
          </w:tcPr>
          <w:p w14:paraId="1319400B">
            <w:pPr>
              <w:pStyle w:val="14"/>
            </w:pPr>
          </w:p>
        </w:tc>
        <w:tc>
          <w:tcPr>
            <w:tcW w:w="1474" w:type="dxa"/>
            <w:vAlign w:val="center"/>
          </w:tcPr>
          <w:p w14:paraId="016E10BB">
            <w:pPr>
              <w:pStyle w:val="14"/>
            </w:pPr>
          </w:p>
        </w:tc>
        <w:tc>
          <w:tcPr>
            <w:tcW w:w="1474" w:type="dxa"/>
            <w:vAlign w:val="center"/>
          </w:tcPr>
          <w:p w14:paraId="68FB8B56">
            <w:pPr>
              <w:pStyle w:val="14"/>
            </w:pPr>
          </w:p>
        </w:tc>
        <w:tc>
          <w:tcPr>
            <w:tcW w:w="1474" w:type="dxa"/>
            <w:vAlign w:val="center"/>
          </w:tcPr>
          <w:p w14:paraId="03134E93">
            <w:pPr>
              <w:pStyle w:val="14"/>
            </w:pPr>
          </w:p>
        </w:tc>
      </w:tr>
      <w:tr w14:paraId="2F303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CB8B781">
            <w:pPr>
              <w:pStyle w:val="12"/>
            </w:pPr>
            <w:r>
              <w:t>28</w:t>
            </w:r>
          </w:p>
        </w:tc>
        <w:tc>
          <w:tcPr>
            <w:tcW w:w="3402" w:type="dxa"/>
            <w:vAlign w:val="center"/>
          </w:tcPr>
          <w:p w14:paraId="1CDCAACF">
            <w:pPr>
              <w:pStyle w:val="13"/>
            </w:pPr>
          </w:p>
        </w:tc>
        <w:tc>
          <w:tcPr>
            <w:tcW w:w="1474" w:type="dxa"/>
            <w:vAlign w:val="center"/>
          </w:tcPr>
          <w:p w14:paraId="55A4D234">
            <w:pPr>
              <w:pStyle w:val="14"/>
            </w:pPr>
          </w:p>
        </w:tc>
        <w:tc>
          <w:tcPr>
            <w:tcW w:w="3402" w:type="dxa"/>
            <w:vAlign w:val="center"/>
          </w:tcPr>
          <w:p w14:paraId="295D8EF9">
            <w:pPr>
              <w:pStyle w:val="13"/>
            </w:pPr>
            <w:r>
              <w:t>二十八、债务付息支出</w:t>
            </w:r>
          </w:p>
        </w:tc>
        <w:tc>
          <w:tcPr>
            <w:tcW w:w="1474" w:type="dxa"/>
            <w:vAlign w:val="center"/>
          </w:tcPr>
          <w:p w14:paraId="4384B653">
            <w:pPr>
              <w:pStyle w:val="14"/>
            </w:pPr>
          </w:p>
        </w:tc>
        <w:tc>
          <w:tcPr>
            <w:tcW w:w="1474" w:type="dxa"/>
            <w:vAlign w:val="center"/>
          </w:tcPr>
          <w:p w14:paraId="7F69FDFA">
            <w:pPr>
              <w:pStyle w:val="14"/>
            </w:pPr>
          </w:p>
        </w:tc>
        <w:tc>
          <w:tcPr>
            <w:tcW w:w="1474" w:type="dxa"/>
            <w:vAlign w:val="center"/>
          </w:tcPr>
          <w:p w14:paraId="17B74565">
            <w:pPr>
              <w:pStyle w:val="14"/>
            </w:pPr>
          </w:p>
        </w:tc>
        <w:tc>
          <w:tcPr>
            <w:tcW w:w="1474" w:type="dxa"/>
            <w:vAlign w:val="center"/>
          </w:tcPr>
          <w:p w14:paraId="1090A7DE">
            <w:pPr>
              <w:pStyle w:val="14"/>
            </w:pPr>
          </w:p>
        </w:tc>
      </w:tr>
      <w:tr w14:paraId="0A800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81EF9">
            <w:pPr>
              <w:pStyle w:val="12"/>
            </w:pPr>
            <w:r>
              <w:t>29</w:t>
            </w:r>
          </w:p>
        </w:tc>
        <w:tc>
          <w:tcPr>
            <w:tcW w:w="3402" w:type="dxa"/>
            <w:vAlign w:val="center"/>
          </w:tcPr>
          <w:p w14:paraId="38819768">
            <w:pPr>
              <w:pStyle w:val="13"/>
            </w:pPr>
          </w:p>
        </w:tc>
        <w:tc>
          <w:tcPr>
            <w:tcW w:w="1474" w:type="dxa"/>
            <w:vAlign w:val="center"/>
          </w:tcPr>
          <w:p w14:paraId="756D14C1">
            <w:pPr>
              <w:pStyle w:val="14"/>
            </w:pPr>
          </w:p>
        </w:tc>
        <w:tc>
          <w:tcPr>
            <w:tcW w:w="3402" w:type="dxa"/>
            <w:vAlign w:val="center"/>
          </w:tcPr>
          <w:p w14:paraId="35D81026">
            <w:pPr>
              <w:pStyle w:val="13"/>
            </w:pPr>
            <w:r>
              <w:t>二十九、债务发行费用支出</w:t>
            </w:r>
          </w:p>
        </w:tc>
        <w:tc>
          <w:tcPr>
            <w:tcW w:w="1474" w:type="dxa"/>
            <w:vAlign w:val="center"/>
          </w:tcPr>
          <w:p w14:paraId="3D2FCC2E">
            <w:pPr>
              <w:pStyle w:val="14"/>
            </w:pPr>
          </w:p>
        </w:tc>
        <w:tc>
          <w:tcPr>
            <w:tcW w:w="1474" w:type="dxa"/>
            <w:vAlign w:val="center"/>
          </w:tcPr>
          <w:p w14:paraId="064FD9E9">
            <w:pPr>
              <w:pStyle w:val="14"/>
            </w:pPr>
          </w:p>
        </w:tc>
        <w:tc>
          <w:tcPr>
            <w:tcW w:w="1474" w:type="dxa"/>
            <w:vAlign w:val="center"/>
          </w:tcPr>
          <w:p w14:paraId="76E8F5EF">
            <w:pPr>
              <w:pStyle w:val="14"/>
            </w:pPr>
          </w:p>
        </w:tc>
        <w:tc>
          <w:tcPr>
            <w:tcW w:w="1474" w:type="dxa"/>
            <w:vAlign w:val="center"/>
          </w:tcPr>
          <w:p w14:paraId="39E747A9">
            <w:pPr>
              <w:pStyle w:val="14"/>
            </w:pPr>
          </w:p>
        </w:tc>
      </w:tr>
      <w:tr w14:paraId="19FF2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8C523">
            <w:pPr>
              <w:pStyle w:val="12"/>
            </w:pPr>
            <w:r>
              <w:t>30</w:t>
            </w:r>
          </w:p>
        </w:tc>
        <w:tc>
          <w:tcPr>
            <w:tcW w:w="3402" w:type="dxa"/>
            <w:vAlign w:val="center"/>
          </w:tcPr>
          <w:p w14:paraId="2FB53C87">
            <w:pPr>
              <w:pStyle w:val="13"/>
            </w:pPr>
          </w:p>
        </w:tc>
        <w:tc>
          <w:tcPr>
            <w:tcW w:w="1474" w:type="dxa"/>
            <w:vAlign w:val="center"/>
          </w:tcPr>
          <w:p w14:paraId="62E6C753">
            <w:pPr>
              <w:pStyle w:val="14"/>
            </w:pPr>
          </w:p>
        </w:tc>
        <w:tc>
          <w:tcPr>
            <w:tcW w:w="3402" w:type="dxa"/>
            <w:vAlign w:val="center"/>
          </w:tcPr>
          <w:p w14:paraId="186D0120">
            <w:pPr>
              <w:pStyle w:val="13"/>
            </w:pPr>
            <w:r>
              <w:t>三十、抗疫特别国债安排的支出</w:t>
            </w:r>
          </w:p>
        </w:tc>
        <w:tc>
          <w:tcPr>
            <w:tcW w:w="1474" w:type="dxa"/>
            <w:vAlign w:val="center"/>
          </w:tcPr>
          <w:p w14:paraId="6391E6B0">
            <w:pPr>
              <w:pStyle w:val="14"/>
            </w:pPr>
          </w:p>
        </w:tc>
        <w:tc>
          <w:tcPr>
            <w:tcW w:w="1474" w:type="dxa"/>
            <w:vAlign w:val="center"/>
          </w:tcPr>
          <w:p w14:paraId="5C2E96B0">
            <w:pPr>
              <w:pStyle w:val="14"/>
            </w:pPr>
          </w:p>
        </w:tc>
        <w:tc>
          <w:tcPr>
            <w:tcW w:w="1474" w:type="dxa"/>
            <w:vAlign w:val="center"/>
          </w:tcPr>
          <w:p w14:paraId="7F9CE466">
            <w:pPr>
              <w:pStyle w:val="14"/>
            </w:pPr>
          </w:p>
        </w:tc>
        <w:tc>
          <w:tcPr>
            <w:tcW w:w="1474" w:type="dxa"/>
            <w:vAlign w:val="center"/>
          </w:tcPr>
          <w:p w14:paraId="2C2C2DF5">
            <w:pPr>
              <w:pStyle w:val="14"/>
            </w:pPr>
          </w:p>
        </w:tc>
      </w:tr>
      <w:tr w14:paraId="274F9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0A637">
            <w:pPr>
              <w:pStyle w:val="12"/>
            </w:pPr>
            <w:r>
              <w:t>31</w:t>
            </w:r>
          </w:p>
        </w:tc>
        <w:tc>
          <w:tcPr>
            <w:tcW w:w="3402" w:type="dxa"/>
            <w:vAlign w:val="center"/>
          </w:tcPr>
          <w:p w14:paraId="0A9B4505">
            <w:pPr>
              <w:pStyle w:val="13"/>
            </w:pPr>
          </w:p>
        </w:tc>
        <w:tc>
          <w:tcPr>
            <w:tcW w:w="1474" w:type="dxa"/>
            <w:vAlign w:val="center"/>
          </w:tcPr>
          <w:p w14:paraId="0C4EC4EC">
            <w:pPr>
              <w:pStyle w:val="14"/>
            </w:pPr>
          </w:p>
        </w:tc>
        <w:tc>
          <w:tcPr>
            <w:tcW w:w="3402" w:type="dxa"/>
            <w:vAlign w:val="center"/>
          </w:tcPr>
          <w:p w14:paraId="2F3E1625">
            <w:pPr>
              <w:pStyle w:val="13"/>
            </w:pPr>
            <w:r>
              <w:t>三十一、人行科目</w:t>
            </w:r>
          </w:p>
        </w:tc>
        <w:tc>
          <w:tcPr>
            <w:tcW w:w="1474" w:type="dxa"/>
            <w:vAlign w:val="center"/>
          </w:tcPr>
          <w:p w14:paraId="4D38A88A">
            <w:pPr>
              <w:pStyle w:val="14"/>
            </w:pPr>
          </w:p>
        </w:tc>
        <w:tc>
          <w:tcPr>
            <w:tcW w:w="1474" w:type="dxa"/>
            <w:vAlign w:val="center"/>
          </w:tcPr>
          <w:p w14:paraId="5E4F5CB6">
            <w:pPr>
              <w:pStyle w:val="14"/>
            </w:pPr>
          </w:p>
        </w:tc>
        <w:tc>
          <w:tcPr>
            <w:tcW w:w="1474" w:type="dxa"/>
            <w:vAlign w:val="center"/>
          </w:tcPr>
          <w:p w14:paraId="2DB100E2">
            <w:pPr>
              <w:pStyle w:val="14"/>
            </w:pPr>
          </w:p>
        </w:tc>
        <w:tc>
          <w:tcPr>
            <w:tcW w:w="1474" w:type="dxa"/>
            <w:vAlign w:val="center"/>
          </w:tcPr>
          <w:p w14:paraId="48E0F324">
            <w:pPr>
              <w:pStyle w:val="14"/>
            </w:pPr>
          </w:p>
        </w:tc>
      </w:tr>
      <w:tr w14:paraId="7CD16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F99AA">
            <w:pPr>
              <w:pStyle w:val="12"/>
            </w:pPr>
            <w:r>
              <w:t>32</w:t>
            </w:r>
          </w:p>
        </w:tc>
        <w:tc>
          <w:tcPr>
            <w:tcW w:w="3402" w:type="dxa"/>
            <w:vAlign w:val="center"/>
          </w:tcPr>
          <w:p w14:paraId="765CB885">
            <w:pPr>
              <w:pStyle w:val="15"/>
            </w:pPr>
            <w:r>
              <w:t>本年收入合计</w:t>
            </w:r>
          </w:p>
        </w:tc>
        <w:tc>
          <w:tcPr>
            <w:tcW w:w="1474" w:type="dxa"/>
            <w:vAlign w:val="center"/>
          </w:tcPr>
          <w:p w14:paraId="4FE32425">
            <w:pPr>
              <w:pStyle w:val="16"/>
            </w:pPr>
            <w:r>
              <w:t>2819.26</w:t>
            </w:r>
          </w:p>
        </w:tc>
        <w:tc>
          <w:tcPr>
            <w:tcW w:w="3402" w:type="dxa"/>
            <w:vAlign w:val="center"/>
          </w:tcPr>
          <w:p w14:paraId="3B0258AB">
            <w:pPr>
              <w:pStyle w:val="15"/>
            </w:pPr>
            <w:r>
              <w:t>本年支出合计</w:t>
            </w:r>
          </w:p>
        </w:tc>
        <w:tc>
          <w:tcPr>
            <w:tcW w:w="1474" w:type="dxa"/>
            <w:vAlign w:val="center"/>
          </w:tcPr>
          <w:p w14:paraId="73F0F900">
            <w:pPr>
              <w:pStyle w:val="16"/>
            </w:pPr>
            <w:r>
              <w:t>3094.16</w:t>
            </w:r>
          </w:p>
        </w:tc>
        <w:tc>
          <w:tcPr>
            <w:tcW w:w="1474" w:type="dxa"/>
            <w:vAlign w:val="center"/>
          </w:tcPr>
          <w:p w14:paraId="0224EA8F">
            <w:pPr>
              <w:pStyle w:val="16"/>
            </w:pPr>
            <w:r>
              <w:t>3094.16</w:t>
            </w:r>
          </w:p>
        </w:tc>
        <w:tc>
          <w:tcPr>
            <w:tcW w:w="1474" w:type="dxa"/>
            <w:vAlign w:val="center"/>
          </w:tcPr>
          <w:p w14:paraId="177EE38E">
            <w:pPr>
              <w:pStyle w:val="16"/>
            </w:pPr>
          </w:p>
        </w:tc>
        <w:tc>
          <w:tcPr>
            <w:tcW w:w="1474" w:type="dxa"/>
            <w:vAlign w:val="center"/>
          </w:tcPr>
          <w:p w14:paraId="4105D375">
            <w:pPr>
              <w:pStyle w:val="16"/>
            </w:pPr>
          </w:p>
        </w:tc>
      </w:tr>
      <w:tr w14:paraId="2EF83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C781C">
            <w:pPr>
              <w:pStyle w:val="12"/>
            </w:pPr>
            <w:r>
              <w:t>33</w:t>
            </w:r>
          </w:p>
        </w:tc>
        <w:tc>
          <w:tcPr>
            <w:tcW w:w="3402" w:type="dxa"/>
            <w:vAlign w:val="center"/>
          </w:tcPr>
          <w:p w14:paraId="1C12272B">
            <w:pPr>
              <w:pStyle w:val="13"/>
            </w:pPr>
            <w:r>
              <w:t>年初财政拨款结转和结余</w:t>
            </w:r>
          </w:p>
        </w:tc>
        <w:tc>
          <w:tcPr>
            <w:tcW w:w="1474" w:type="dxa"/>
            <w:vAlign w:val="center"/>
          </w:tcPr>
          <w:p w14:paraId="2588AACC">
            <w:pPr>
              <w:pStyle w:val="14"/>
            </w:pPr>
            <w:r>
              <w:t>274.90</w:t>
            </w:r>
          </w:p>
        </w:tc>
        <w:tc>
          <w:tcPr>
            <w:tcW w:w="3402" w:type="dxa"/>
            <w:vAlign w:val="center"/>
          </w:tcPr>
          <w:p w14:paraId="2A227DC3">
            <w:pPr>
              <w:pStyle w:val="13"/>
            </w:pPr>
            <w:r>
              <w:t>年末财政拨款结转和结余</w:t>
            </w:r>
          </w:p>
        </w:tc>
        <w:tc>
          <w:tcPr>
            <w:tcW w:w="1474" w:type="dxa"/>
            <w:vAlign w:val="center"/>
          </w:tcPr>
          <w:p w14:paraId="2F4F86A1">
            <w:pPr>
              <w:pStyle w:val="14"/>
            </w:pPr>
          </w:p>
        </w:tc>
        <w:tc>
          <w:tcPr>
            <w:tcW w:w="1474" w:type="dxa"/>
            <w:vAlign w:val="center"/>
          </w:tcPr>
          <w:p w14:paraId="2B8B15D3">
            <w:pPr>
              <w:pStyle w:val="14"/>
            </w:pPr>
          </w:p>
        </w:tc>
        <w:tc>
          <w:tcPr>
            <w:tcW w:w="1474" w:type="dxa"/>
            <w:vAlign w:val="center"/>
          </w:tcPr>
          <w:p w14:paraId="2F3CF62D">
            <w:pPr>
              <w:pStyle w:val="14"/>
            </w:pPr>
          </w:p>
        </w:tc>
        <w:tc>
          <w:tcPr>
            <w:tcW w:w="1474" w:type="dxa"/>
            <w:vAlign w:val="center"/>
          </w:tcPr>
          <w:p w14:paraId="137AB3F2">
            <w:pPr>
              <w:pStyle w:val="14"/>
            </w:pPr>
          </w:p>
        </w:tc>
      </w:tr>
      <w:tr w14:paraId="4C00E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AE9FE">
            <w:pPr>
              <w:pStyle w:val="12"/>
            </w:pPr>
            <w:r>
              <w:t>34</w:t>
            </w:r>
          </w:p>
        </w:tc>
        <w:tc>
          <w:tcPr>
            <w:tcW w:w="3402" w:type="dxa"/>
            <w:vAlign w:val="center"/>
          </w:tcPr>
          <w:p w14:paraId="18A18C6D">
            <w:pPr>
              <w:pStyle w:val="13"/>
            </w:pPr>
            <w:r>
              <w:t>一、一般公共预算拨款</w:t>
            </w:r>
          </w:p>
        </w:tc>
        <w:tc>
          <w:tcPr>
            <w:tcW w:w="1474" w:type="dxa"/>
            <w:vAlign w:val="center"/>
          </w:tcPr>
          <w:p w14:paraId="0BA6CCD0">
            <w:pPr>
              <w:pStyle w:val="14"/>
            </w:pPr>
            <w:r>
              <w:t>274.90</w:t>
            </w:r>
          </w:p>
        </w:tc>
        <w:tc>
          <w:tcPr>
            <w:tcW w:w="3402" w:type="dxa"/>
            <w:vAlign w:val="center"/>
          </w:tcPr>
          <w:p w14:paraId="281C9EF2">
            <w:pPr>
              <w:pStyle w:val="13"/>
            </w:pPr>
          </w:p>
        </w:tc>
        <w:tc>
          <w:tcPr>
            <w:tcW w:w="1474" w:type="dxa"/>
            <w:vAlign w:val="center"/>
          </w:tcPr>
          <w:p w14:paraId="09CD3114">
            <w:pPr>
              <w:pStyle w:val="14"/>
            </w:pPr>
          </w:p>
        </w:tc>
        <w:tc>
          <w:tcPr>
            <w:tcW w:w="1474" w:type="dxa"/>
            <w:vAlign w:val="center"/>
          </w:tcPr>
          <w:p w14:paraId="0775C18C">
            <w:pPr>
              <w:pStyle w:val="14"/>
            </w:pPr>
          </w:p>
        </w:tc>
        <w:tc>
          <w:tcPr>
            <w:tcW w:w="1474" w:type="dxa"/>
            <w:vAlign w:val="center"/>
          </w:tcPr>
          <w:p w14:paraId="02FA83DE">
            <w:pPr>
              <w:pStyle w:val="14"/>
            </w:pPr>
          </w:p>
        </w:tc>
        <w:tc>
          <w:tcPr>
            <w:tcW w:w="1474" w:type="dxa"/>
            <w:vAlign w:val="center"/>
          </w:tcPr>
          <w:p w14:paraId="68CD0988">
            <w:pPr>
              <w:pStyle w:val="14"/>
            </w:pPr>
          </w:p>
        </w:tc>
      </w:tr>
      <w:tr w14:paraId="223BA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80D0B">
            <w:pPr>
              <w:pStyle w:val="12"/>
            </w:pPr>
            <w:r>
              <w:t>35</w:t>
            </w:r>
          </w:p>
        </w:tc>
        <w:tc>
          <w:tcPr>
            <w:tcW w:w="3402" w:type="dxa"/>
            <w:vAlign w:val="center"/>
          </w:tcPr>
          <w:p w14:paraId="33FBF3D5">
            <w:pPr>
              <w:pStyle w:val="13"/>
            </w:pPr>
            <w:r>
              <w:t>二、政府性基金预算拨款</w:t>
            </w:r>
          </w:p>
        </w:tc>
        <w:tc>
          <w:tcPr>
            <w:tcW w:w="1474" w:type="dxa"/>
            <w:vAlign w:val="center"/>
          </w:tcPr>
          <w:p w14:paraId="5D25F941">
            <w:pPr>
              <w:pStyle w:val="14"/>
            </w:pPr>
          </w:p>
        </w:tc>
        <w:tc>
          <w:tcPr>
            <w:tcW w:w="3402" w:type="dxa"/>
            <w:vAlign w:val="center"/>
          </w:tcPr>
          <w:p w14:paraId="4165224B">
            <w:pPr>
              <w:pStyle w:val="13"/>
            </w:pPr>
          </w:p>
        </w:tc>
        <w:tc>
          <w:tcPr>
            <w:tcW w:w="1474" w:type="dxa"/>
            <w:vAlign w:val="center"/>
          </w:tcPr>
          <w:p w14:paraId="48867028">
            <w:pPr>
              <w:pStyle w:val="14"/>
            </w:pPr>
          </w:p>
        </w:tc>
        <w:tc>
          <w:tcPr>
            <w:tcW w:w="1474" w:type="dxa"/>
            <w:vAlign w:val="center"/>
          </w:tcPr>
          <w:p w14:paraId="7839753C">
            <w:pPr>
              <w:pStyle w:val="14"/>
            </w:pPr>
          </w:p>
        </w:tc>
        <w:tc>
          <w:tcPr>
            <w:tcW w:w="1474" w:type="dxa"/>
            <w:vAlign w:val="center"/>
          </w:tcPr>
          <w:p w14:paraId="40C1B849">
            <w:pPr>
              <w:pStyle w:val="14"/>
            </w:pPr>
          </w:p>
        </w:tc>
        <w:tc>
          <w:tcPr>
            <w:tcW w:w="1474" w:type="dxa"/>
            <w:vAlign w:val="center"/>
          </w:tcPr>
          <w:p w14:paraId="35B2CDAF">
            <w:pPr>
              <w:pStyle w:val="14"/>
            </w:pPr>
          </w:p>
        </w:tc>
      </w:tr>
      <w:tr w14:paraId="59491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B467E">
            <w:pPr>
              <w:pStyle w:val="12"/>
            </w:pPr>
            <w:r>
              <w:t>36</w:t>
            </w:r>
          </w:p>
        </w:tc>
        <w:tc>
          <w:tcPr>
            <w:tcW w:w="3402" w:type="dxa"/>
            <w:vAlign w:val="center"/>
          </w:tcPr>
          <w:p w14:paraId="5EC316E6">
            <w:pPr>
              <w:pStyle w:val="13"/>
            </w:pPr>
            <w:r>
              <w:t>三、国有资本经营预算拨款</w:t>
            </w:r>
          </w:p>
        </w:tc>
        <w:tc>
          <w:tcPr>
            <w:tcW w:w="1474" w:type="dxa"/>
            <w:vAlign w:val="center"/>
          </w:tcPr>
          <w:p w14:paraId="6047993C">
            <w:pPr>
              <w:pStyle w:val="14"/>
            </w:pPr>
          </w:p>
        </w:tc>
        <w:tc>
          <w:tcPr>
            <w:tcW w:w="3402" w:type="dxa"/>
            <w:vAlign w:val="center"/>
          </w:tcPr>
          <w:p w14:paraId="1FF6AEB1">
            <w:pPr>
              <w:pStyle w:val="13"/>
            </w:pPr>
          </w:p>
        </w:tc>
        <w:tc>
          <w:tcPr>
            <w:tcW w:w="1474" w:type="dxa"/>
            <w:vAlign w:val="center"/>
          </w:tcPr>
          <w:p w14:paraId="4739C235">
            <w:pPr>
              <w:pStyle w:val="14"/>
            </w:pPr>
          </w:p>
        </w:tc>
        <w:tc>
          <w:tcPr>
            <w:tcW w:w="1474" w:type="dxa"/>
            <w:vAlign w:val="center"/>
          </w:tcPr>
          <w:p w14:paraId="7D8B897F">
            <w:pPr>
              <w:pStyle w:val="14"/>
            </w:pPr>
          </w:p>
        </w:tc>
        <w:tc>
          <w:tcPr>
            <w:tcW w:w="1474" w:type="dxa"/>
            <w:vAlign w:val="center"/>
          </w:tcPr>
          <w:p w14:paraId="4D77B327">
            <w:pPr>
              <w:pStyle w:val="14"/>
            </w:pPr>
          </w:p>
        </w:tc>
        <w:tc>
          <w:tcPr>
            <w:tcW w:w="1474" w:type="dxa"/>
            <w:vAlign w:val="center"/>
          </w:tcPr>
          <w:p w14:paraId="68B4C66E">
            <w:pPr>
              <w:pStyle w:val="14"/>
            </w:pPr>
          </w:p>
        </w:tc>
      </w:tr>
      <w:tr w14:paraId="62000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B7450">
            <w:pPr>
              <w:pStyle w:val="12"/>
            </w:pPr>
            <w:r>
              <w:t>37</w:t>
            </w:r>
          </w:p>
        </w:tc>
        <w:tc>
          <w:tcPr>
            <w:tcW w:w="3402" w:type="dxa"/>
            <w:vAlign w:val="center"/>
          </w:tcPr>
          <w:p w14:paraId="7475B431">
            <w:pPr>
              <w:pStyle w:val="15"/>
            </w:pPr>
            <w:r>
              <w:t>收入总计</w:t>
            </w:r>
          </w:p>
        </w:tc>
        <w:tc>
          <w:tcPr>
            <w:tcW w:w="1474" w:type="dxa"/>
            <w:vAlign w:val="center"/>
          </w:tcPr>
          <w:p w14:paraId="6BE9C731">
            <w:pPr>
              <w:pStyle w:val="16"/>
            </w:pPr>
            <w:r>
              <w:t>3094.16</w:t>
            </w:r>
          </w:p>
        </w:tc>
        <w:tc>
          <w:tcPr>
            <w:tcW w:w="3402" w:type="dxa"/>
            <w:vAlign w:val="center"/>
          </w:tcPr>
          <w:p w14:paraId="5F0D9FFC">
            <w:pPr>
              <w:pStyle w:val="15"/>
            </w:pPr>
            <w:r>
              <w:t>支出总计</w:t>
            </w:r>
          </w:p>
        </w:tc>
        <w:tc>
          <w:tcPr>
            <w:tcW w:w="1474" w:type="dxa"/>
            <w:vAlign w:val="center"/>
          </w:tcPr>
          <w:p w14:paraId="20485594">
            <w:pPr>
              <w:pStyle w:val="16"/>
            </w:pPr>
            <w:r>
              <w:t>3094.16</w:t>
            </w:r>
          </w:p>
        </w:tc>
        <w:tc>
          <w:tcPr>
            <w:tcW w:w="1474" w:type="dxa"/>
            <w:vAlign w:val="center"/>
          </w:tcPr>
          <w:p w14:paraId="56D866D8">
            <w:pPr>
              <w:pStyle w:val="16"/>
            </w:pPr>
            <w:r>
              <w:t>3094.16</w:t>
            </w:r>
          </w:p>
        </w:tc>
        <w:tc>
          <w:tcPr>
            <w:tcW w:w="1474" w:type="dxa"/>
            <w:vAlign w:val="center"/>
          </w:tcPr>
          <w:p w14:paraId="29240742">
            <w:pPr>
              <w:pStyle w:val="16"/>
            </w:pPr>
          </w:p>
        </w:tc>
        <w:tc>
          <w:tcPr>
            <w:tcW w:w="1474" w:type="dxa"/>
            <w:vAlign w:val="center"/>
          </w:tcPr>
          <w:p w14:paraId="3EA246AE">
            <w:pPr>
              <w:pStyle w:val="16"/>
            </w:pPr>
          </w:p>
        </w:tc>
      </w:tr>
    </w:tbl>
    <w:p w14:paraId="02B29248">
      <w:pPr>
        <w:sectPr>
          <w:pgSz w:w="16840" w:h="11900" w:orient="landscape"/>
          <w:pgMar w:top="1361" w:right="1020" w:bottom="1134" w:left="1020" w:header="720" w:footer="720" w:gutter="0"/>
          <w:cols w:space="720" w:num="1"/>
        </w:sectPr>
      </w:pPr>
    </w:p>
    <w:p w14:paraId="7BCAC4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D12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EECD68">
            <w:pPr>
              <w:pStyle w:val="8"/>
            </w:pPr>
            <w:r>
              <w:t>360004隆尧县尧山中学</w:t>
            </w:r>
          </w:p>
        </w:tc>
        <w:tc>
          <w:tcPr>
            <w:tcW w:w="2551" w:type="dxa"/>
            <w:tcBorders>
              <w:top w:val="single" w:color="FFFFFF" w:sz="6" w:space="0"/>
              <w:left w:val="single" w:color="FFFFFF" w:sz="6" w:space="0"/>
              <w:right w:val="single" w:color="FFFFFF" w:sz="6" w:space="0"/>
            </w:tcBorders>
            <w:vAlign w:val="center"/>
          </w:tcPr>
          <w:p w14:paraId="43CA8BC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4FEFCA8">
            <w:pPr>
              <w:pStyle w:val="10"/>
            </w:pPr>
            <w:r>
              <w:t>单位：万元</w:t>
            </w:r>
          </w:p>
        </w:tc>
      </w:tr>
      <w:tr w14:paraId="7F581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496FB9">
            <w:pPr>
              <w:pStyle w:val="11"/>
            </w:pPr>
            <w:r>
              <w:t>序号</w:t>
            </w:r>
          </w:p>
        </w:tc>
        <w:tc>
          <w:tcPr>
            <w:tcW w:w="5726" w:type="dxa"/>
            <w:gridSpan w:val="2"/>
            <w:vAlign w:val="center"/>
          </w:tcPr>
          <w:p w14:paraId="34599E46">
            <w:pPr>
              <w:pStyle w:val="11"/>
            </w:pPr>
            <w:r>
              <w:t>功能分类科目</w:t>
            </w:r>
          </w:p>
        </w:tc>
        <w:tc>
          <w:tcPr>
            <w:tcW w:w="2551" w:type="dxa"/>
            <w:vMerge w:val="restart"/>
            <w:vAlign w:val="center"/>
          </w:tcPr>
          <w:p w14:paraId="4E4376E0">
            <w:pPr>
              <w:pStyle w:val="11"/>
            </w:pPr>
            <w:r>
              <w:t>合计</w:t>
            </w:r>
          </w:p>
        </w:tc>
        <w:tc>
          <w:tcPr>
            <w:tcW w:w="2551" w:type="dxa"/>
            <w:vMerge w:val="restart"/>
            <w:vAlign w:val="center"/>
          </w:tcPr>
          <w:p w14:paraId="57CFC756">
            <w:pPr>
              <w:pStyle w:val="11"/>
            </w:pPr>
            <w:r>
              <w:t>基本支出</w:t>
            </w:r>
          </w:p>
        </w:tc>
        <w:tc>
          <w:tcPr>
            <w:tcW w:w="2551" w:type="dxa"/>
            <w:vMerge w:val="restart"/>
            <w:vAlign w:val="center"/>
          </w:tcPr>
          <w:p w14:paraId="0F8D18AF">
            <w:pPr>
              <w:pStyle w:val="11"/>
            </w:pPr>
            <w:r>
              <w:t>项目支出</w:t>
            </w:r>
          </w:p>
        </w:tc>
      </w:tr>
      <w:tr w14:paraId="06A7E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5033A05A"/>
        </w:tc>
        <w:tc>
          <w:tcPr>
            <w:tcW w:w="1191" w:type="dxa"/>
            <w:vAlign w:val="center"/>
          </w:tcPr>
          <w:p w14:paraId="72DA3B73">
            <w:pPr>
              <w:pStyle w:val="11"/>
            </w:pPr>
            <w:r>
              <w:t>科目编码</w:t>
            </w:r>
          </w:p>
        </w:tc>
        <w:tc>
          <w:tcPr>
            <w:tcW w:w="4535" w:type="dxa"/>
            <w:vAlign w:val="center"/>
          </w:tcPr>
          <w:p w14:paraId="70EA7F84">
            <w:pPr>
              <w:pStyle w:val="11"/>
            </w:pPr>
            <w:r>
              <w:t>科目名称</w:t>
            </w:r>
          </w:p>
        </w:tc>
        <w:tc>
          <w:tcPr>
            <w:tcW w:w="2551" w:type="dxa"/>
            <w:vMerge w:val="continue"/>
          </w:tcPr>
          <w:p w14:paraId="68CD95B4"/>
        </w:tc>
        <w:tc>
          <w:tcPr>
            <w:tcW w:w="2551" w:type="dxa"/>
            <w:vMerge w:val="continue"/>
          </w:tcPr>
          <w:p w14:paraId="6571A4E2"/>
        </w:tc>
        <w:tc>
          <w:tcPr>
            <w:tcW w:w="2551" w:type="dxa"/>
            <w:vMerge w:val="continue"/>
          </w:tcPr>
          <w:p w14:paraId="101FA358"/>
        </w:tc>
      </w:tr>
      <w:tr w14:paraId="6DD66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2A314A">
            <w:pPr>
              <w:pStyle w:val="11"/>
            </w:pPr>
            <w:r>
              <w:t>栏次</w:t>
            </w:r>
          </w:p>
        </w:tc>
        <w:tc>
          <w:tcPr>
            <w:tcW w:w="1191" w:type="dxa"/>
            <w:vAlign w:val="center"/>
          </w:tcPr>
          <w:p w14:paraId="40F640E3">
            <w:pPr>
              <w:pStyle w:val="11"/>
            </w:pPr>
            <w:r>
              <w:t>1</w:t>
            </w:r>
          </w:p>
        </w:tc>
        <w:tc>
          <w:tcPr>
            <w:tcW w:w="4535" w:type="dxa"/>
            <w:vAlign w:val="center"/>
          </w:tcPr>
          <w:p w14:paraId="53AC5A7C">
            <w:pPr>
              <w:pStyle w:val="11"/>
            </w:pPr>
            <w:r>
              <w:t>2</w:t>
            </w:r>
          </w:p>
        </w:tc>
        <w:tc>
          <w:tcPr>
            <w:tcW w:w="2551" w:type="dxa"/>
            <w:vAlign w:val="center"/>
          </w:tcPr>
          <w:p w14:paraId="7CD3E2C0">
            <w:pPr>
              <w:pStyle w:val="11"/>
            </w:pPr>
            <w:r>
              <w:t>3</w:t>
            </w:r>
          </w:p>
        </w:tc>
        <w:tc>
          <w:tcPr>
            <w:tcW w:w="2551" w:type="dxa"/>
            <w:vAlign w:val="center"/>
          </w:tcPr>
          <w:p w14:paraId="2641A222">
            <w:pPr>
              <w:pStyle w:val="11"/>
            </w:pPr>
            <w:r>
              <w:t>4</w:t>
            </w:r>
          </w:p>
        </w:tc>
        <w:tc>
          <w:tcPr>
            <w:tcW w:w="2551" w:type="dxa"/>
            <w:vAlign w:val="center"/>
          </w:tcPr>
          <w:p w14:paraId="73587CC3">
            <w:pPr>
              <w:pStyle w:val="11"/>
            </w:pPr>
            <w:r>
              <w:t>5</w:t>
            </w:r>
          </w:p>
        </w:tc>
      </w:tr>
      <w:tr w14:paraId="6579E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CB9C9">
            <w:pPr>
              <w:pStyle w:val="12"/>
            </w:pPr>
            <w:r>
              <w:t>1</w:t>
            </w:r>
          </w:p>
        </w:tc>
        <w:tc>
          <w:tcPr>
            <w:tcW w:w="1191" w:type="dxa"/>
            <w:vAlign w:val="center"/>
          </w:tcPr>
          <w:p w14:paraId="0AF78868">
            <w:pPr>
              <w:pStyle w:val="17"/>
            </w:pPr>
          </w:p>
        </w:tc>
        <w:tc>
          <w:tcPr>
            <w:tcW w:w="4535" w:type="dxa"/>
            <w:vAlign w:val="center"/>
          </w:tcPr>
          <w:p w14:paraId="749A9DA5">
            <w:pPr>
              <w:pStyle w:val="15"/>
            </w:pPr>
            <w:r>
              <w:t>合计</w:t>
            </w:r>
          </w:p>
        </w:tc>
        <w:tc>
          <w:tcPr>
            <w:tcW w:w="2551" w:type="dxa"/>
            <w:vAlign w:val="center"/>
          </w:tcPr>
          <w:p w14:paraId="3C761180">
            <w:pPr>
              <w:pStyle w:val="16"/>
            </w:pPr>
            <w:r>
              <w:t>3094.16</w:t>
            </w:r>
          </w:p>
        </w:tc>
        <w:tc>
          <w:tcPr>
            <w:tcW w:w="2551" w:type="dxa"/>
            <w:vAlign w:val="center"/>
          </w:tcPr>
          <w:p w14:paraId="110BD76D">
            <w:pPr>
              <w:pStyle w:val="16"/>
            </w:pPr>
            <w:r>
              <w:t>1927.52</w:t>
            </w:r>
          </w:p>
        </w:tc>
        <w:tc>
          <w:tcPr>
            <w:tcW w:w="2551" w:type="dxa"/>
            <w:vAlign w:val="center"/>
          </w:tcPr>
          <w:p w14:paraId="58C486E6">
            <w:pPr>
              <w:pStyle w:val="16"/>
            </w:pPr>
            <w:r>
              <w:t>1166.64</w:t>
            </w:r>
          </w:p>
        </w:tc>
      </w:tr>
      <w:tr w14:paraId="6B8A7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D6723">
            <w:pPr>
              <w:pStyle w:val="12"/>
            </w:pPr>
            <w:r>
              <w:t>2</w:t>
            </w:r>
          </w:p>
        </w:tc>
        <w:tc>
          <w:tcPr>
            <w:tcW w:w="1191" w:type="dxa"/>
            <w:vAlign w:val="center"/>
          </w:tcPr>
          <w:p w14:paraId="0B85E8FB">
            <w:pPr>
              <w:pStyle w:val="13"/>
            </w:pPr>
            <w:r>
              <w:t>205</w:t>
            </w:r>
          </w:p>
        </w:tc>
        <w:tc>
          <w:tcPr>
            <w:tcW w:w="4535" w:type="dxa"/>
            <w:vAlign w:val="center"/>
          </w:tcPr>
          <w:p w14:paraId="6FC0A6AB">
            <w:pPr>
              <w:pStyle w:val="13"/>
            </w:pPr>
            <w:r>
              <w:t>教育支出</w:t>
            </w:r>
          </w:p>
        </w:tc>
        <w:tc>
          <w:tcPr>
            <w:tcW w:w="2551" w:type="dxa"/>
            <w:vAlign w:val="center"/>
          </w:tcPr>
          <w:p w14:paraId="2F07A620">
            <w:pPr>
              <w:pStyle w:val="14"/>
            </w:pPr>
            <w:r>
              <w:t>3094.16</w:t>
            </w:r>
          </w:p>
        </w:tc>
        <w:tc>
          <w:tcPr>
            <w:tcW w:w="2551" w:type="dxa"/>
            <w:vAlign w:val="center"/>
          </w:tcPr>
          <w:p w14:paraId="3FAC369C">
            <w:pPr>
              <w:pStyle w:val="14"/>
            </w:pPr>
            <w:r>
              <w:t>1927.52</w:t>
            </w:r>
          </w:p>
        </w:tc>
        <w:tc>
          <w:tcPr>
            <w:tcW w:w="2551" w:type="dxa"/>
            <w:vAlign w:val="center"/>
          </w:tcPr>
          <w:p w14:paraId="268328E9">
            <w:pPr>
              <w:pStyle w:val="14"/>
            </w:pPr>
            <w:r>
              <w:t>1166.64</w:t>
            </w:r>
          </w:p>
        </w:tc>
      </w:tr>
      <w:tr w14:paraId="4D860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F6902">
            <w:pPr>
              <w:pStyle w:val="12"/>
            </w:pPr>
            <w:r>
              <w:t>3</w:t>
            </w:r>
          </w:p>
        </w:tc>
        <w:tc>
          <w:tcPr>
            <w:tcW w:w="1191" w:type="dxa"/>
            <w:vAlign w:val="center"/>
          </w:tcPr>
          <w:p w14:paraId="2B9BDBA8">
            <w:pPr>
              <w:pStyle w:val="13"/>
            </w:pPr>
            <w:r>
              <w:t>20502</w:t>
            </w:r>
          </w:p>
        </w:tc>
        <w:tc>
          <w:tcPr>
            <w:tcW w:w="4535" w:type="dxa"/>
            <w:vAlign w:val="center"/>
          </w:tcPr>
          <w:p w14:paraId="3EAE3C32">
            <w:pPr>
              <w:pStyle w:val="13"/>
            </w:pPr>
            <w:r>
              <w:t>普通教育</w:t>
            </w:r>
          </w:p>
        </w:tc>
        <w:tc>
          <w:tcPr>
            <w:tcW w:w="2551" w:type="dxa"/>
            <w:vAlign w:val="center"/>
          </w:tcPr>
          <w:p w14:paraId="302BD18C">
            <w:pPr>
              <w:pStyle w:val="14"/>
            </w:pPr>
            <w:r>
              <w:t>3094.16</w:t>
            </w:r>
          </w:p>
        </w:tc>
        <w:tc>
          <w:tcPr>
            <w:tcW w:w="2551" w:type="dxa"/>
            <w:vAlign w:val="center"/>
          </w:tcPr>
          <w:p w14:paraId="03A7447B">
            <w:pPr>
              <w:pStyle w:val="14"/>
            </w:pPr>
            <w:r>
              <w:t>1927.52</w:t>
            </w:r>
          </w:p>
        </w:tc>
        <w:tc>
          <w:tcPr>
            <w:tcW w:w="2551" w:type="dxa"/>
            <w:vAlign w:val="center"/>
          </w:tcPr>
          <w:p w14:paraId="54995D4F">
            <w:pPr>
              <w:pStyle w:val="14"/>
            </w:pPr>
            <w:r>
              <w:t>1166.64</w:t>
            </w:r>
          </w:p>
        </w:tc>
      </w:tr>
      <w:tr w14:paraId="67C22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98852C0">
            <w:pPr>
              <w:pStyle w:val="12"/>
            </w:pPr>
            <w:r>
              <w:t>4</w:t>
            </w:r>
          </w:p>
        </w:tc>
        <w:tc>
          <w:tcPr>
            <w:tcW w:w="1191" w:type="dxa"/>
            <w:vAlign w:val="center"/>
          </w:tcPr>
          <w:p w14:paraId="28B21B0D">
            <w:pPr>
              <w:pStyle w:val="13"/>
            </w:pPr>
            <w:r>
              <w:t>2050203</w:t>
            </w:r>
          </w:p>
        </w:tc>
        <w:tc>
          <w:tcPr>
            <w:tcW w:w="4535" w:type="dxa"/>
            <w:vAlign w:val="center"/>
          </w:tcPr>
          <w:p w14:paraId="70B715D8">
            <w:pPr>
              <w:pStyle w:val="13"/>
            </w:pPr>
            <w:r>
              <w:t>初中教育</w:t>
            </w:r>
          </w:p>
        </w:tc>
        <w:tc>
          <w:tcPr>
            <w:tcW w:w="2551" w:type="dxa"/>
            <w:vAlign w:val="center"/>
          </w:tcPr>
          <w:p w14:paraId="16686DBC">
            <w:pPr>
              <w:pStyle w:val="14"/>
            </w:pPr>
            <w:r>
              <w:t>3094.16</w:t>
            </w:r>
          </w:p>
        </w:tc>
        <w:tc>
          <w:tcPr>
            <w:tcW w:w="2551" w:type="dxa"/>
            <w:vAlign w:val="center"/>
          </w:tcPr>
          <w:p w14:paraId="0D239B92">
            <w:pPr>
              <w:pStyle w:val="14"/>
            </w:pPr>
            <w:r>
              <w:t>1927.52</w:t>
            </w:r>
          </w:p>
        </w:tc>
        <w:tc>
          <w:tcPr>
            <w:tcW w:w="2551" w:type="dxa"/>
            <w:vAlign w:val="center"/>
          </w:tcPr>
          <w:p w14:paraId="798CB733">
            <w:pPr>
              <w:pStyle w:val="14"/>
            </w:pPr>
            <w:r>
              <w:t>1166.64</w:t>
            </w:r>
          </w:p>
        </w:tc>
      </w:tr>
    </w:tbl>
    <w:p w14:paraId="77A828C5">
      <w:pPr>
        <w:sectPr>
          <w:pgSz w:w="16840" w:h="11900" w:orient="landscape"/>
          <w:pgMar w:top="1361" w:right="1020" w:bottom="1134" w:left="1020" w:header="720" w:footer="720" w:gutter="0"/>
          <w:cols w:space="720" w:num="1"/>
        </w:sectPr>
      </w:pPr>
    </w:p>
    <w:p w14:paraId="49318C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FD4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D0206C">
            <w:pPr>
              <w:pStyle w:val="8"/>
            </w:pPr>
            <w:r>
              <w:t>360004隆尧县尧山中学</w:t>
            </w:r>
          </w:p>
        </w:tc>
        <w:tc>
          <w:tcPr>
            <w:tcW w:w="2551" w:type="dxa"/>
            <w:tcBorders>
              <w:top w:val="single" w:color="FFFFFF" w:sz="6" w:space="0"/>
              <w:left w:val="single" w:color="FFFFFF" w:sz="6" w:space="0"/>
              <w:right w:val="single" w:color="FFFFFF" w:sz="6" w:space="0"/>
            </w:tcBorders>
            <w:vAlign w:val="center"/>
          </w:tcPr>
          <w:p w14:paraId="7D2B326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AC291B">
            <w:pPr>
              <w:pStyle w:val="10"/>
            </w:pPr>
            <w:r>
              <w:t>单位：万元</w:t>
            </w:r>
          </w:p>
        </w:tc>
      </w:tr>
      <w:tr w14:paraId="47503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54FE6">
            <w:pPr>
              <w:pStyle w:val="11"/>
            </w:pPr>
            <w:r>
              <w:t>序号</w:t>
            </w:r>
          </w:p>
        </w:tc>
        <w:tc>
          <w:tcPr>
            <w:tcW w:w="5726" w:type="dxa"/>
            <w:gridSpan w:val="2"/>
            <w:vAlign w:val="center"/>
          </w:tcPr>
          <w:p w14:paraId="54FA6436">
            <w:pPr>
              <w:pStyle w:val="11"/>
            </w:pPr>
            <w:r>
              <w:t>支出部门经济分类科目</w:t>
            </w:r>
          </w:p>
        </w:tc>
        <w:tc>
          <w:tcPr>
            <w:tcW w:w="7653" w:type="dxa"/>
            <w:gridSpan w:val="3"/>
            <w:vAlign w:val="center"/>
          </w:tcPr>
          <w:p w14:paraId="6847D5F1">
            <w:pPr>
              <w:pStyle w:val="11"/>
            </w:pPr>
            <w:r>
              <w:t>一般公共预算基本支出</w:t>
            </w:r>
          </w:p>
        </w:tc>
      </w:tr>
      <w:tr w14:paraId="58C1A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CB92C"/>
        </w:tc>
        <w:tc>
          <w:tcPr>
            <w:tcW w:w="1191" w:type="dxa"/>
            <w:vAlign w:val="center"/>
          </w:tcPr>
          <w:p w14:paraId="2C17F8AE">
            <w:pPr>
              <w:pStyle w:val="11"/>
            </w:pPr>
            <w:r>
              <w:t>科目编码</w:t>
            </w:r>
          </w:p>
        </w:tc>
        <w:tc>
          <w:tcPr>
            <w:tcW w:w="4535" w:type="dxa"/>
            <w:vAlign w:val="center"/>
          </w:tcPr>
          <w:p w14:paraId="694357D0">
            <w:pPr>
              <w:pStyle w:val="11"/>
            </w:pPr>
            <w:r>
              <w:t>科目名称</w:t>
            </w:r>
          </w:p>
        </w:tc>
        <w:tc>
          <w:tcPr>
            <w:tcW w:w="2551" w:type="dxa"/>
            <w:vAlign w:val="center"/>
          </w:tcPr>
          <w:p w14:paraId="2306E38A">
            <w:pPr>
              <w:pStyle w:val="11"/>
            </w:pPr>
            <w:r>
              <w:t>合计</w:t>
            </w:r>
          </w:p>
        </w:tc>
        <w:tc>
          <w:tcPr>
            <w:tcW w:w="2551" w:type="dxa"/>
            <w:vAlign w:val="center"/>
          </w:tcPr>
          <w:p w14:paraId="0D671335">
            <w:pPr>
              <w:pStyle w:val="11"/>
            </w:pPr>
            <w:r>
              <w:t>人员经费</w:t>
            </w:r>
          </w:p>
        </w:tc>
        <w:tc>
          <w:tcPr>
            <w:tcW w:w="2551" w:type="dxa"/>
            <w:vAlign w:val="center"/>
          </w:tcPr>
          <w:p w14:paraId="1A798037">
            <w:pPr>
              <w:pStyle w:val="11"/>
            </w:pPr>
            <w:r>
              <w:t>公用经费</w:t>
            </w:r>
          </w:p>
        </w:tc>
      </w:tr>
      <w:tr w14:paraId="228F3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D3BE3F">
            <w:pPr>
              <w:pStyle w:val="11"/>
            </w:pPr>
            <w:r>
              <w:t>栏次</w:t>
            </w:r>
          </w:p>
        </w:tc>
        <w:tc>
          <w:tcPr>
            <w:tcW w:w="1191" w:type="dxa"/>
            <w:vAlign w:val="center"/>
          </w:tcPr>
          <w:p w14:paraId="2E6D1007">
            <w:pPr>
              <w:pStyle w:val="11"/>
            </w:pPr>
            <w:r>
              <w:t>1</w:t>
            </w:r>
          </w:p>
        </w:tc>
        <w:tc>
          <w:tcPr>
            <w:tcW w:w="4535" w:type="dxa"/>
            <w:vAlign w:val="center"/>
          </w:tcPr>
          <w:p w14:paraId="318AF2FF">
            <w:pPr>
              <w:pStyle w:val="11"/>
            </w:pPr>
            <w:r>
              <w:t>2</w:t>
            </w:r>
          </w:p>
        </w:tc>
        <w:tc>
          <w:tcPr>
            <w:tcW w:w="2551" w:type="dxa"/>
            <w:vAlign w:val="center"/>
          </w:tcPr>
          <w:p w14:paraId="4099598F">
            <w:pPr>
              <w:pStyle w:val="11"/>
            </w:pPr>
            <w:r>
              <w:t>3</w:t>
            </w:r>
          </w:p>
        </w:tc>
        <w:tc>
          <w:tcPr>
            <w:tcW w:w="2551" w:type="dxa"/>
            <w:vAlign w:val="center"/>
          </w:tcPr>
          <w:p w14:paraId="6D57198B">
            <w:pPr>
              <w:pStyle w:val="11"/>
            </w:pPr>
            <w:r>
              <w:t>4</w:t>
            </w:r>
          </w:p>
        </w:tc>
        <w:tc>
          <w:tcPr>
            <w:tcW w:w="2551" w:type="dxa"/>
            <w:vAlign w:val="center"/>
          </w:tcPr>
          <w:p w14:paraId="2F20EA6E">
            <w:pPr>
              <w:pStyle w:val="11"/>
            </w:pPr>
            <w:r>
              <w:t>5</w:t>
            </w:r>
          </w:p>
        </w:tc>
      </w:tr>
      <w:tr w14:paraId="32447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A8B93">
            <w:pPr>
              <w:pStyle w:val="12"/>
            </w:pPr>
            <w:r>
              <w:t>1</w:t>
            </w:r>
          </w:p>
        </w:tc>
        <w:tc>
          <w:tcPr>
            <w:tcW w:w="1191" w:type="dxa"/>
            <w:vAlign w:val="center"/>
          </w:tcPr>
          <w:p w14:paraId="63A9A9F5">
            <w:pPr>
              <w:pStyle w:val="17"/>
            </w:pPr>
          </w:p>
        </w:tc>
        <w:tc>
          <w:tcPr>
            <w:tcW w:w="4535" w:type="dxa"/>
            <w:vAlign w:val="center"/>
          </w:tcPr>
          <w:p w14:paraId="3F80BC53">
            <w:pPr>
              <w:pStyle w:val="15"/>
            </w:pPr>
            <w:r>
              <w:t>合计</w:t>
            </w:r>
          </w:p>
        </w:tc>
        <w:tc>
          <w:tcPr>
            <w:tcW w:w="2551" w:type="dxa"/>
            <w:vAlign w:val="center"/>
          </w:tcPr>
          <w:p w14:paraId="577285FC">
            <w:pPr>
              <w:pStyle w:val="16"/>
            </w:pPr>
            <w:r>
              <w:t>1927.52</w:t>
            </w:r>
          </w:p>
        </w:tc>
        <w:tc>
          <w:tcPr>
            <w:tcW w:w="2551" w:type="dxa"/>
            <w:vAlign w:val="center"/>
          </w:tcPr>
          <w:p w14:paraId="4DD47688">
            <w:pPr>
              <w:pStyle w:val="16"/>
            </w:pPr>
            <w:r>
              <w:t>1927.52</w:t>
            </w:r>
          </w:p>
        </w:tc>
        <w:tc>
          <w:tcPr>
            <w:tcW w:w="2551" w:type="dxa"/>
            <w:vAlign w:val="center"/>
          </w:tcPr>
          <w:p w14:paraId="2985D795">
            <w:pPr>
              <w:pStyle w:val="16"/>
            </w:pPr>
          </w:p>
        </w:tc>
      </w:tr>
      <w:tr w14:paraId="20EE5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289CD">
            <w:pPr>
              <w:pStyle w:val="12"/>
            </w:pPr>
            <w:r>
              <w:t>2</w:t>
            </w:r>
          </w:p>
        </w:tc>
        <w:tc>
          <w:tcPr>
            <w:tcW w:w="1191" w:type="dxa"/>
            <w:vAlign w:val="center"/>
          </w:tcPr>
          <w:p w14:paraId="10391980">
            <w:pPr>
              <w:pStyle w:val="13"/>
            </w:pPr>
            <w:r>
              <w:t>301</w:t>
            </w:r>
          </w:p>
        </w:tc>
        <w:tc>
          <w:tcPr>
            <w:tcW w:w="4535" w:type="dxa"/>
            <w:vAlign w:val="center"/>
          </w:tcPr>
          <w:p w14:paraId="73B6D56F">
            <w:pPr>
              <w:pStyle w:val="13"/>
            </w:pPr>
            <w:r>
              <w:t>工资福利支出</w:t>
            </w:r>
          </w:p>
        </w:tc>
        <w:tc>
          <w:tcPr>
            <w:tcW w:w="2551" w:type="dxa"/>
            <w:vAlign w:val="center"/>
          </w:tcPr>
          <w:p w14:paraId="369CD4F8">
            <w:pPr>
              <w:pStyle w:val="14"/>
            </w:pPr>
            <w:r>
              <w:t>1900.69</w:t>
            </w:r>
          </w:p>
        </w:tc>
        <w:tc>
          <w:tcPr>
            <w:tcW w:w="2551" w:type="dxa"/>
            <w:vAlign w:val="center"/>
          </w:tcPr>
          <w:p w14:paraId="17879B42">
            <w:pPr>
              <w:pStyle w:val="14"/>
            </w:pPr>
            <w:r>
              <w:t>1900.69</w:t>
            </w:r>
          </w:p>
        </w:tc>
        <w:tc>
          <w:tcPr>
            <w:tcW w:w="2551" w:type="dxa"/>
            <w:vAlign w:val="center"/>
          </w:tcPr>
          <w:p w14:paraId="5F13D8B9">
            <w:pPr>
              <w:pStyle w:val="14"/>
            </w:pPr>
          </w:p>
        </w:tc>
      </w:tr>
      <w:tr w14:paraId="73A4F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742DD">
            <w:pPr>
              <w:pStyle w:val="12"/>
            </w:pPr>
            <w:r>
              <w:t>3</w:t>
            </w:r>
          </w:p>
        </w:tc>
        <w:tc>
          <w:tcPr>
            <w:tcW w:w="1191" w:type="dxa"/>
            <w:vAlign w:val="center"/>
          </w:tcPr>
          <w:p w14:paraId="1B630CE4">
            <w:pPr>
              <w:pStyle w:val="13"/>
            </w:pPr>
            <w:r>
              <w:t>30101</w:t>
            </w:r>
          </w:p>
        </w:tc>
        <w:tc>
          <w:tcPr>
            <w:tcW w:w="4535" w:type="dxa"/>
            <w:vAlign w:val="center"/>
          </w:tcPr>
          <w:p w14:paraId="48E5A6FA">
            <w:pPr>
              <w:pStyle w:val="13"/>
            </w:pPr>
            <w:r>
              <w:t>基本工资</w:t>
            </w:r>
          </w:p>
        </w:tc>
        <w:tc>
          <w:tcPr>
            <w:tcW w:w="2551" w:type="dxa"/>
            <w:vAlign w:val="center"/>
          </w:tcPr>
          <w:p w14:paraId="03069929">
            <w:pPr>
              <w:pStyle w:val="14"/>
            </w:pPr>
            <w:r>
              <w:t>900.31</w:t>
            </w:r>
          </w:p>
        </w:tc>
        <w:tc>
          <w:tcPr>
            <w:tcW w:w="2551" w:type="dxa"/>
            <w:vAlign w:val="center"/>
          </w:tcPr>
          <w:p w14:paraId="6A672638">
            <w:pPr>
              <w:pStyle w:val="14"/>
            </w:pPr>
            <w:r>
              <w:t>900.31</w:t>
            </w:r>
          </w:p>
        </w:tc>
        <w:tc>
          <w:tcPr>
            <w:tcW w:w="2551" w:type="dxa"/>
            <w:vAlign w:val="center"/>
          </w:tcPr>
          <w:p w14:paraId="3103D6A0">
            <w:pPr>
              <w:pStyle w:val="14"/>
            </w:pPr>
          </w:p>
        </w:tc>
      </w:tr>
      <w:tr w14:paraId="2B291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EBCBF">
            <w:pPr>
              <w:pStyle w:val="12"/>
            </w:pPr>
            <w:r>
              <w:t>4</w:t>
            </w:r>
          </w:p>
        </w:tc>
        <w:tc>
          <w:tcPr>
            <w:tcW w:w="1191" w:type="dxa"/>
            <w:vAlign w:val="center"/>
          </w:tcPr>
          <w:p w14:paraId="09EE646C">
            <w:pPr>
              <w:pStyle w:val="13"/>
            </w:pPr>
            <w:r>
              <w:t>30102</w:t>
            </w:r>
          </w:p>
        </w:tc>
        <w:tc>
          <w:tcPr>
            <w:tcW w:w="4535" w:type="dxa"/>
            <w:vAlign w:val="center"/>
          </w:tcPr>
          <w:p w14:paraId="51236AD1">
            <w:pPr>
              <w:pStyle w:val="13"/>
            </w:pPr>
            <w:r>
              <w:t>津贴补贴</w:t>
            </w:r>
          </w:p>
        </w:tc>
        <w:tc>
          <w:tcPr>
            <w:tcW w:w="2551" w:type="dxa"/>
            <w:vAlign w:val="center"/>
          </w:tcPr>
          <w:p w14:paraId="1C5ED675">
            <w:pPr>
              <w:pStyle w:val="14"/>
            </w:pPr>
            <w:r>
              <w:t>88.40</w:t>
            </w:r>
          </w:p>
        </w:tc>
        <w:tc>
          <w:tcPr>
            <w:tcW w:w="2551" w:type="dxa"/>
            <w:vAlign w:val="center"/>
          </w:tcPr>
          <w:p w14:paraId="6C610C98">
            <w:pPr>
              <w:pStyle w:val="14"/>
            </w:pPr>
            <w:r>
              <w:t>88.40</w:t>
            </w:r>
          </w:p>
        </w:tc>
        <w:tc>
          <w:tcPr>
            <w:tcW w:w="2551" w:type="dxa"/>
            <w:vAlign w:val="center"/>
          </w:tcPr>
          <w:p w14:paraId="7FA61682">
            <w:pPr>
              <w:pStyle w:val="14"/>
            </w:pPr>
          </w:p>
        </w:tc>
      </w:tr>
      <w:tr w14:paraId="7DD32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1F32D">
            <w:pPr>
              <w:pStyle w:val="12"/>
            </w:pPr>
            <w:r>
              <w:t>5</w:t>
            </w:r>
          </w:p>
        </w:tc>
        <w:tc>
          <w:tcPr>
            <w:tcW w:w="1191" w:type="dxa"/>
            <w:vAlign w:val="center"/>
          </w:tcPr>
          <w:p w14:paraId="59A35617">
            <w:pPr>
              <w:pStyle w:val="13"/>
            </w:pPr>
            <w:r>
              <w:t>30107</w:t>
            </w:r>
          </w:p>
        </w:tc>
        <w:tc>
          <w:tcPr>
            <w:tcW w:w="4535" w:type="dxa"/>
            <w:vAlign w:val="center"/>
          </w:tcPr>
          <w:p w14:paraId="5E59C14C">
            <w:pPr>
              <w:pStyle w:val="13"/>
            </w:pPr>
            <w:r>
              <w:t>绩效工资</w:t>
            </w:r>
          </w:p>
        </w:tc>
        <w:tc>
          <w:tcPr>
            <w:tcW w:w="2551" w:type="dxa"/>
            <w:vAlign w:val="center"/>
          </w:tcPr>
          <w:p w14:paraId="20CDD451">
            <w:pPr>
              <w:pStyle w:val="14"/>
            </w:pPr>
            <w:r>
              <w:t>483.81</w:t>
            </w:r>
          </w:p>
        </w:tc>
        <w:tc>
          <w:tcPr>
            <w:tcW w:w="2551" w:type="dxa"/>
            <w:vAlign w:val="center"/>
          </w:tcPr>
          <w:p w14:paraId="29E5138D">
            <w:pPr>
              <w:pStyle w:val="14"/>
            </w:pPr>
            <w:r>
              <w:t>483.81</w:t>
            </w:r>
          </w:p>
        </w:tc>
        <w:tc>
          <w:tcPr>
            <w:tcW w:w="2551" w:type="dxa"/>
            <w:vAlign w:val="center"/>
          </w:tcPr>
          <w:p w14:paraId="5A1C6939">
            <w:pPr>
              <w:pStyle w:val="14"/>
            </w:pPr>
          </w:p>
        </w:tc>
      </w:tr>
      <w:tr w14:paraId="6E335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226E8">
            <w:pPr>
              <w:pStyle w:val="12"/>
            </w:pPr>
            <w:r>
              <w:t>6</w:t>
            </w:r>
          </w:p>
        </w:tc>
        <w:tc>
          <w:tcPr>
            <w:tcW w:w="1191" w:type="dxa"/>
            <w:vAlign w:val="center"/>
          </w:tcPr>
          <w:p w14:paraId="424B34FA">
            <w:pPr>
              <w:pStyle w:val="13"/>
            </w:pPr>
            <w:r>
              <w:t>30108</w:t>
            </w:r>
          </w:p>
        </w:tc>
        <w:tc>
          <w:tcPr>
            <w:tcW w:w="4535" w:type="dxa"/>
            <w:vAlign w:val="center"/>
          </w:tcPr>
          <w:p w14:paraId="24FE1B4A">
            <w:pPr>
              <w:pStyle w:val="13"/>
            </w:pPr>
            <w:r>
              <w:t>机关事业单位基本养老保险缴费</w:t>
            </w:r>
          </w:p>
        </w:tc>
        <w:tc>
          <w:tcPr>
            <w:tcW w:w="2551" w:type="dxa"/>
            <w:vAlign w:val="center"/>
          </w:tcPr>
          <w:p w14:paraId="62EB46A9">
            <w:pPr>
              <w:pStyle w:val="14"/>
            </w:pPr>
            <w:r>
              <w:t>187.80</w:t>
            </w:r>
          </w:p>
        </w:tc>
        <w:tc>
          <w:tcPr>
            <w:tcW w:w="2551" w:type="dxa"/>
            <w:vAlign w:val="center"/>
          </w:tcPr>
          <w:p w14:paraId="1816F88E">
            <w:pPr>
              <w:pStyle w:val="14"/>
            </w:pPr>
            <w:r>
              <w:t>187.80</w:t>
            </w:r>
          </w:p>
        </w:tc>
        <w:tc>
          <w:tcPr>
            <w:tcW w:w="2551" w:type="dxa"/>
            <w:vAlign w:val="center"/>
          </w:tcPr>
          <w:p w14:paraId="2C460AF1">
            <w:pPr>
              <w:pStyle w:val="14"/>
            </w:pPr>
          </w:p>
        </w:tc>
      </w:tr>
      <w:tr w14:paraId="77534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0F272">
            <w:pPr>
              <w:pStyle w:val="12"/>
            </w:pPr>
            <w:r>
              <w:t>7</w:t>
            </w:r>
          </w:p>
        </w:tc>
        <w:tc>
          <w:tcPr>
            <w:tcW w:w="1191" w:type="dxa"/>
            <w:vAlign w:val="center"/>
          </w:tcPr>
          <w:p w14:paraId="3EFF6F75">
            <w:pPr>
              <w:pStyle w:val="13"/>
            </w:pPr>
            <w:r>
              <w:t>30110</w:t>
            </w:r>
          </w:p>
        </w:tc>
        <w:tc>
          <w:tcPr>
            <w:tcW w:w="4535" w:type="dxa"/>
            <w:vAlign w:val="center"/>
          </w:tcPr>
          <w:p w14:paraId="1A45D253">
            <w:pPr>
              <w:pStyle w:val="13"/>
            </w:pPr>
            <w:r>
              <w:t>职工基本医疗保险缴费</w:t>
            </w:r>
          </w:p>
        </w:tc>
        <w:tc>
          <w:tcPr>
            <w:tcW w:w="2551" w:type="dxa"/>
            <w:vAlign w:val="center"/>
          </w:tcPr>
          <w:p w14:paraId="1A8AF68B">
            <w:pPr>
              <w:pStyle w:val="14"/>
            </w:pPr>
            <w:r>
              <w:t>87.31</w:t>
            </w:r>
          </w:p>
        </w:tc>
        <w:tc>
          <w:tcPr>
            <w:tcW w:w="2551" w:type="dxa"/>
            <w:vAlign w:val="center"/>
          </w:tcPr>
          <w:p w14:paraId="17EB89C3">
            <w:pPr>
              <w:pStyle w:val="14"/>
            </w:pPr>
            <w:r>
              <w:t>87.31</w:t>
            </w:r>
          </w:p>
        </w:tc>
        <w:tc>
          <w:tcPr>
            <w:tcW w:w="2551" w:type="dxa"/>
            <w:vAlign w:val="center"/>
          </w:tcPr>
          <w:p w14:paraId="2AFE9203">
            <w:pPr>
              <w:pStyle w:val="14"/>
            </w:pPr>
          </w:p>
        </w:tc>
      </w:tr>
      <w:tr w14:paraId="444C8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95CE6">
            <w:pPr>
              <w:pStyle w:val="12"/>
            </w:pPr>
            <w:r>
              <w:t>8</w:t>
            </w:r>
          </w:p>
        </w:tc>
        <w:tc>
          <w:tcPr>
            <w:tcW w:w="1191" w:type="dxa"/>
            <w:vAlign w:val="center"/>
          </w:tcPr>
          <w:p w14:paraId="649A7489">
            <w:pPr>
              <w:pStyle w:val="13"/>
            </w:pPr>
            <w:r>
              <w:t>30112</w:t>
            </w:r>
          </w:p>
        </w:tc>
        <w:tc>
          <w:tcPr>
            <w:tcW w:w="4535" w:type="dxa"/>
            <w:vAlign w:val="center"/>
          </w:tcPr>
          <w:p w14:paraId="0821F10E">
            <w:pPr>
              <w:pStyle w:val="13"/>
            </w:pPr>
            <w:r>
              <w:t>其他社会保障缴费</w:t>
            </w:r>
          </w:p>
        </w:tc>
        <w:tc>
          <w:tcPr>
            <w:tcW w:w="2551" w:type="dxa"/>
            <w:vAlign w:val="center"/>
          </w:tcPr>
          <w:p w14:paraId="5386A89E">
            <w:pPr>
              <w:pStyle w:val="14"/>
            </w:pPr>
            <w:r>
              <w:t>5.32</w:t>
            </w:r>
          </w:p>
        </w:tc>
        <w:tc>
          <w:tcPr>
            <w:tcW w:w="2551" w:type="dxa"/>
            <w:vAlign w:val="center"/>
          </w:tcPr>
          <w:p w14:paraId="275A47AA">
            <w:pPr>
              <w:pStyle w:val="14"/>
            </w:pPr>
            <w:r>
              <w:t>5.32</w:t>
            </w:r>
          </w:p>
        </w:tc>
        <w:tc>
          <w:tcPr>
            <w:tcW w:w="2551" w:type="dxa"/>
            <w:vAlign w:val="center"/>
          </w:tcPr>
          <w:p w14:paraId="095F7931">
            <w:pPr>
              <w:pStyle w:val="14"/>
            </w:pPr>
          </w:p>
        </w:tc>
      </w:tr>
      <w:tr w14:paraId="6C11C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13EDE">
            <w:pPr>
              <w:pStyle w:val="12"/>
            </w:pPr>
            <w:r>
              <w:t>9</w:t>
            </w:r>
          </w:p>
        </w:tc>
        <w:tc>
          <w:tcPr>
            <w:tcW w:w="1191" w:type="dxa"/>
            <w:vAlign w:val="center"/>
          </w:tcPr>
          <w:p w14:paraId="354CE24B">
            <w:pPr>
              <w:pStyle w:val="13"/>
            </w:pPr>
            <w:r>
              <w:t>30113</w:t>
            </w:r>
          </w:p>
        </w:tc>
        <w:tc>
          <w:tcPr>
            <w:tcW w:w="4535" w:type="dxa"/>
            <w:vAlign w:val="center"/>
          </w:tcPr>
          <w:p w14:paraId="38BEE0C8">
            <w:pPr>
              <w:pStyle w:val="13"/>
            </w:pPr>
            <w:r>
              <w:t>住房公积金</w:t>
            </w:r>
          </w:p>
        </w:tc>
        <w:tc>
          <w:tcPr>
            <w:tcW w:w="2551" w:type="dxa"/>
            <w:vAlign w:val="center"/>
          </w:tcPr>
          <w:p w14:paraId="6D9D9852">
            <w:pPr>
              <w:pStyle w:val="14"/>
            </w:pPr>
            <w:r>
              <w:t>147.74</w:t>
            </w:r>
          </w:p>
        </w:tc>
        <w:tc>
          <w:tcPr>
            <w:tcW w:w="2551" w:type="dxa"/>
            <w:vAlign w:val="center"/>
          </w:tcPr>
          <w:p w14:paraId="43C6C405">
            <w:pPr>
              <w:pStyle w:val="14"/>
            </w:pPr>
            <w:r>
              <w:t>147.74</w:t>
            </w:r>
          </w:p>
        </w:tc>
        <w:tc>
          <w:tcPr>
            <w:tcW w:w="2551" w:type="dxa"/>
            <w:vAlign w:val="center"/>
          </w:tcPr>
          <w:p w14:paraId="5BC73341">
            <w:pPr>
              <w:pStyle w:val="14"/>
            </w:pPr>
          </w:p>
        </w:tc>
      </w:tr>
      <w:tr w14:paraId="7945F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30C88">
            <w:pPr>
              <w:pStyle w:val="12"/>
            </w:pPr>
            <w:r>
              <w:t>10</w:t>
            </w:r>
          </w:p>
        </w:tc>
        <w:tc>
          <w:tcPr>
            <w:tcW w:w="1191" w:type="dxa"/>
            <w:vAlign w:val="center"/>
          </w:tcPr>
          <w:p w14:paraId="4921A090">
            <w:pPr>
              <w:pStyle w:val="13"/>
            </w:pPr>
            <w:r>
              <w:t>303</w:t>
            </w:r>
          </w:p>
        </w:tc>
        <w:tc>
          <w:tcPr>
            <w:tcW w:w="4535" w:type="dxa"/>
            <w:vAlign w:val="center"/>
          </w:tcPr>
          <w:p w14:paraId="43F8EB00">
            <w:pPr>
              <w:pStyle w:val="13"/>
            </w:pPr>
            <w:r>
              <w:t>对个人和家庭的补助</w:t>
            </w:r>
          </w:p>
        </w:tc>
        <w:tc>
          <w:tcPr>
            <w:tcW w:w="2551" w:type="dxa"/>
            <w:vAlign w:val="center"/>
          </w:tcPr>
          <w:p w14:paraId="5BD58FE0">
            <w:pPr>
              <w:pStyle w:val="14"/>
            </w:pPr>
            <w:r>
              <w:t>26.83</w:t>
            </w:r>
          </w:p>
        </w:tc>
        <w:tc>
          <w:tcPr>
            <w:tcW w:w="2551" w:type="dxa"/>
            <w:vAlign w:val="center"/>
          </w:tcPr>
          <w:p w14:paraId="5BD711D0">
            <w:pPr>
              <w:pStyle w:val="14"/>
            </w:pPr>
            <w:r>
              <w:t>26.83</w:t>
            </w:r>
          </w:p>
        </w:tc>
        <w:tc>
          <w:tcPr>
            <w:tcW w:w="2551" w:type="dxa"/>
            <w:vAlign w:val="center"/>
          </w:tcPr>
          <w:p w14:paraId="5BAAE8E0">
            <w:pPr>
              <w:pStyle w:val="14"/>
            </w:pPr>
          </w:p>
        </w:tc>
      </w:tr>
      <w:tr w14:paraId="0AE02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9D3CE">
            <w:pPr>
              <w:pStyle w:val="12"/>
            </w:pPr>
            <w:r>
              <w:t>11</w:t>
            </w:r>
          </w:p>
        </w:tc>
        <w:tc>
          <w:tcPr>
            <w:tcW w:w="1191" w:type="dxa"/>
            <w:vAlign w:val="center"/>
          </w:tcPr>
          <w:p w14:paraId="77625D40">
            <w:pPr>
              <w:pStyle w:val="13"/>
            </w:pPr>
            <w:r>
              <w:t>30302</w:t>
            </w:r>
          </w:p>
        </w:tc>
        <w:tc>
          <w:tcPr>
            <w:tcW w:w="4535" w:type="dxa"/>
            <w:vAlign w:val="center"/>
          </w:tcPr>
          <w:p w14:paraId="22017D5E">
            <w:pPr>
              <w:pStyle w:val="13"/>
            </w:pPr>
            <w:r>
              <w:t>退休费</w:t>
            </w:r>
          </w:p>
        </w:tc>
        <w:tc>
          <w:tcPr>
            <w:tcW w:w="2551" w:type="dxa"/>
            <w:vAlign w:val="center"/>
          </w:tcPr>
          <w:p w14:paraId="10FD7FEF">
            <w:pPr>
              <w:pStyle w:val="14"/>
            </w:pPr>
            <w:r>
              <w:t>24.67</w:t>
            </w:r>
          </w:p>
        </w:tc>
        <w:tc>
          <w:tcPr>
            <w:tcW w:w="2551" w:type="dxa"/>
            <w:vAlign w:val="center"/>
          </w:tcPr>
          <w:p w14:paraId="41E1BCE9">
            <w:pPr>
              <w:pStyle w:val="14"/>
            </w:pPr>
            <w:r>
              <w:t>24.67</w:t>
            </w:r>
          </w:p>
        </w:tc>
        <w:tc>
          <w:tcPr>
            <w:tcW w:w="2551" w:type="dxa"/>
            <w:vAlign w:val="center"/>
          </w:tcPr>
          <w:p w14:paraId="4ABAB45C">
            <w:pPr>
              <w:pStyle w:val="14"/>
            </w:pPr>
          </w:p>
        </w:tc>
      </w:tr>
      <w:tr w14:paraId="42DAF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BAFF7">
            <w:pPr>
              <w:pStyle w:val="12"/>
            </w:pPr>
            <w:r>
              <w:t>12</w:t>
            </w:r>
          </w:p>
        </w:tc>
        <w:tc>
          <w:tcPr>
            <w:tcW w:w="1191" w:type="dxa"/>
            <w:vAlign w:val="center"/>
          </w:tcPr>
          <w:p w14:paraId="65634951">
            <w:pPr>
              <w:pStyle w:val="13"/>
            </w:pPr>
            <w:r>
              <w:t>30305</w:t>
            </w:r>
          </w:p>
        </w:tc>
        <w:tc>
          <w:tcPr>
            <w:tcW w:w="4535" w:type="dxa"/>
            <w:vAlign w:val="center"/>
          </w:tcPr>
          <w:p w14:paraId="0624120D">
            <w:pPr>
              <w:pStyle w:val="13"/>
            </w:pPr>
            <w:r>
              <w:t>生活补助</w:t>
            </w:r>
          </w:p>
        </w:tc>
        <w:tc>
          <w:tcPr>
            <w:tcW w:w="2551" w:type="dxa"/>
            <w:vAlign w:val="center"/>
          </w:tcPr>
          <w:p w14:paraId="42C28D0E">
            <w:pPr>
              <w:pStyle w:val="14"/>
            </w:pPr>
            <w:r>
              <w:t>2.16</w:t>
            </w:r>
          </w:p>
        </w:tc>
        <w:tc>
          <w:tcPr>
            <w:tcW w:w="2551" w:type="dxa"/>
            <w:vAlign w:val="center"/>
          </w:tcPr>
          <w:p w14:paraId="4E2CFA98">
            <w:pPr>
              <w:pStyle w:val="14"/>
            </w:pPr>
            <w:r>
              <w:t>2.16</w:t>
            </w:r>
          </w:p>
        </w:tc>
        <w:tc>
          <w:tcPr>
            <w:tcW w:w="2551" w:type="dxa"/>
            <w:vAlign w:val="center"/>
          </w:tcPr>
          <w:p w14:paraId="5BEB3C1C">
            <w:pPr>
              <w:pStyle w:val="14"/>
            </w:pPr>
          </w:p>
        </w:tc>
      </w:tr>
    </w:tbl>
    <w:p w14:paraId="3E443B99">
      <w:pPr>
        <w:sectPr>
          <w:pgSz w:w="16840" w:h="11900" w:orient="landscape"/>
          <w:pgMar w:top="1361" w:right="1020" w:bottom="1134" w:left="1020" w:header="720" w:footer="720" w:gutter="0"/>
          <w:cols w:space="720" w:num="1"/>
        </w:sectPr>
      </w:pPr>
    </w:p>
    <w:p w14:paraId="7884F1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2B9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63B5E5">
            <w:pPr>
              <w:pStyle w:val="8"/>
            </w:pPr>
            <w:r>
              <w:t>360004隆尧县尧山中学</w:t>
            </w:r>
          </w:p>
        </w:tc>
        <w:tc>
          <w:tcPr>
            <w:tcW w:w="2551" w:type="dxa"/>
            <w:tcBorders>
              <w:top w:val="single" w:color="FFFFFF" w:sz="6" w:space="0"/>
              <w:left w:val="single" w:color="FFFFFF" w:sz="6" w:space="0"/>
              <w:right w:val="single" w:color="FFFFFF" w:sz="6" w:space="0"/>
            </w:tcBorders>
            <w:vAlign w:val="center"/>
          </w:tcPr>
          <w:p w14:paraId="18E3AEE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C3399DB">
            <w:pPr>
              <w:pStyle w:val="10"/>
            </w:pPr>
            <w:r>
              <w:t>单位：万元</w:t>
            </w:r>
          </w:p>
        </w:tc>
      </w:tr>
      <w:tr w14:paraId="116C8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FD205">
            <w:pPr>
              <w:pStyle w:val="11"/>
            </w:pPr>
            <w:r>
              <w:t>序号</w:t>
            </w:r>
          </w:p>
        </w:tc>
        <w:tc>
          <w:tcPr>
            <w:tcW w:w="5726" w:type="dxa"/>
            <w:gridSpan w:val="2"/>
            <w:vAlign w:val="center"/>
          </w:tcPr>
          <w:p w14:paraId="5143193E">
            <w:pPr>
              <w:pStyle w:val="11"/>
            </w:pPr>
            <w:r>
              <w:t>功能分类科目</w:t>
            </w:r>
          </w:p>
        </w:tc>
        <w:tc>
          <w:tcPr>
            <w:tcW w:w="2551" w:type="dxa"/>
            <w:vMerge w:val="restart"/>
            <w:vAlign w:val="center"/>
          </w:tcPr>
          <w:p w14:paraId="25EAE02B">
            <w:pPr>
              <w:pStyle w:val="11"/>
            </w:pPr>
            <w:r>
              <w:t>合计</w:t>
            </w:r>
          </w:p>
        </w:tc>
        <w:tc>
          <w:tcPr>
            <w:tcW w:w="2551" w:type="dxa"/>
            <w:vMerge w:val="restart"/>
            <w:vAlign w:val="center"/>
          </w:tcPr>
          <w:p w14:paraId="0F7183D8">
            <w:pPr>
              <w:pStyle w:val="11"/>
            </w:pPr>
            <w:r>
              <w:t>基本支出</w:t>
            </w:r>
          </w:p>
        </w:tc>
        <w:tc>
          <w:tcPr>
            <w:tcW w:w="2551" w:type="dxa"/>
            <w:vMerge w:val="restart"/>
            <w:vAlign w:val="center"/>
          </w:tcPr>
          <w:p w14:paraId="1E8EDE52">
            <w:pPr>
              <w:pStyle w:val="11"/>
            </w:pPr>
            <w:r>
              <w:t>项目支出</w:t>
            </w:r>
          </w:p>
        </w:tc>
      </w:tr>
      <w:tr w14:paraId="506B8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C1263"/>
        </w:tc>
        <w:tc>
          <w:tcPr>
            <w:tcW w:w="1191" w:type="dxa"/>
            <w:vAlign w:val="center"/>
          </w:tcPr>
          <w:p w14:paraId="742DD337">
            <w:pPr>
              <w:pStyle w:val="11"/>
            </w:pPr>
            <w:r>
              <w:t>科目编码</w:t>
            </w:r>
          </w:p>
        </w:tc>
        <w:tc>
          <w:tcPr>
            <w:tcW w:w="4535" w:type="dxa"/>
            <w:vAlign w:val="center"/>
          </w:tcPr>
          <w:p w14:paraId="27D1955C">
            <w:pPr>
              <w:pStyle w:val="11"/>
            </w:pPr>
            <w:r>
              <w:t>科目名称</w:t>
            </w:r>
          </w:p>
        </w:tc>
        <w:tc>
          <w:tcPr>
            <w:tcW w:w="2551" w:type="dxa"/>
            <w:vMerge w:val="continue"/>
          </w:tcPr>
          <w:p w14:paraId="042019CD"/>
        </w:tc>
        <w:tc>
          <w:tcPr>
            <w:tcW w:w="2551" w:type="dxa"/>
            <w:vMerge w:val="continue"/>
          </w:tcPr>
          <w:p w14:paraId="437E3F56"/>
        </w:tc>
        <w:tc>
          <w:tcPr>
            <w:tcW w:w="2551" w:type="dxa"/>
            <w:vMerge w:val="continue"/>
          </w:tcPr>
          <w:p w14:paraId="3B3F48EA"/>
        </w:tc>
      </w:tr>
      <w:tr w14:paraId="63237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B26D7E">
            <w:pPr>
              <w:pStyle w:val="11"/>
            </w:pPr>
            <w:r>
              <w:t>栏次</w:t>
            </w:r>
          </w:p>
        </w:tc>
        <w:tc>
          <w:tcPr>
            <w:tcW w:w="1191" w:type="dxa"/>
            <w:vAlign w:val="center"/>
          </w:tcPr>
          <w:p w14:paraId="7415C023">
            <w:pPr>
              <w:pStyle w:val="11"/>
            </w:pPr>
            <w:r>
              <w:t>1</w:t>
            </w:r>
          </w:p>
        </w:tc>
        <w:tc>
          <w:tcPr>
            <w:tcW w:w="4535" w:type="dxa"/>
            <w:vAlign w:val="center"/>
          </w:tcPr>
          <w:p w14:paraId="08222D54">
            <w:pPr>
              <w:pStyle w:val="11"/>
            </w:pPr>
            <w:r>
              <w:t>2</w:t>
            </w:r>
          </w:p>
        </w:tc>
        <w:tc>
          <w:tcPr>
            <w:tcW w:w="2551" w:type="dxa"/>
            <w:vAlign w:val="center"/>
          </w:tcPr>
          <w:p w14:paraId="2EB7A4EA">
            <w:pPr>
              <w:pStyle w:val="11"/>
            </w:pPr>
            <w:r>
              <w:t>3</w:t>
            </w:r>
          </w:p>
        </w:tc>
        <w:tc>
          <w:tcPr>
            <w:tcW w:w="2551" w:type="dxa"/>
            <w:vAlign w:val="center"/>
          </w:tcPr>
          <w:p w14:paraId="75C0E39E">
            <w:pPr>
              <w:pStyle w:val="11"/>
            </w:pPr>
            <w:r>
              <w:t>4</w:t>
            </w:r>
          </w:p>
        </w:tc>
        <w:tc>
          <w:tcPr>
            <w:tcW w:w="2551" w:type="dxa"/>
            <w:vAlign w:val="center"/>
          </w:tcPr>
          <w:p w14:paraId="758F4D29">
            <w:pPr>
              <w:pStyle w:val="11"/>
            </w:pPr>
            <w:r>
              <w:t>5</w:t>
            </w:r>
          </w:p>
        </w:tc>
      </w:tr>
      <w:tr w14:paraId="76B05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75933">
            <w:pPr>
              <w:pStyle w:val="12"/>
            </w:pPr>
          </w:p>
        </w:tc>
        <w:tc>
          <w:tcPr>
            <w:tcW w:w="1191" w:type="dxa"/>
            <w:vAlign w:val="center"/>
          </w:tcPr>
          <w:p w14:paraId="71F2902E">
            <w:pPr>
              <w:pStyle w:val="13"/>
            </w:pPr>
          </w:p>
        </w:tc>
        <w:tc>
          <w:tcPr>
            <w:tcW w:w="4535" w:type="dxa"/>
            <w:vAlign w:val="center"/>
          </w:tcPr>
          <w:p w14:paraId="4917DF3D">
            <w:pPr>
              <w:pStyle w:val="13"/>
            </w:pPr>
          </w:p>
        </w:tc>
        <w:tc>
          <w:tcPr>
            <w:tcW w:w="2551" w:type="dxa"/>
            <w:vAlign w:val="center"/>
          </w:tcPr>
          <w:p w14:paraId="3D348E65">
            <w:pPr>
              <w:pStyle w:val="14"/>
            </w:pPr>
          </w:p>
        </w:tc>
        <w:tc>
          <w:tcPr>
            <w:tcW w:w="2551" w:type="dxa"/>
            <w:vAlign w:val="center"/>
          </w:tcPr>
          <w:p w14:paraId="7802A31F">
            <w:pPr>
              <w:pStyle w:val="14"/>
            </w:pPr>
          </w:p>
        </w:tc>
        <w:tc>
          <w:tcPr>
            <w:tcW w:w="2551" w:type="dxa"/>
            <w:vAlign w:val="center"/>
          </w:tcPr>
          <w:p w14:paraId="7D47CFA9">
            <w:pPr>
              <w:pStyle w:val="14"/>
            </w:pPr>
          </w:p>
        </w:tc>
      </w:tr>
    </w:tbl>
    <w:p w14:paraId="15762B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0890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9A7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3D0278">
            <w:pPr>
              <w:pStyle w:val="8"/>
            </w:pPr>
            <w:r>
              <w:t>360004隆尧县尧山中学</w:t>
            </w:r>
          </w:p>
        </w:tc>
        <w:tc>
          <w:tcPr>
            <w:tcW w:w="2551" w:type="dxa"/>
            <w:tcBorders>
              <w:top w:val="single" w:color="FFFFFF" w:sz="6" w:space="0"/>
              <w:left w:val="single" w:color="FFFFFF" w:sz="6" w:space="0"/>
              <w:right w:val="single" w:color="FFFFFF" w:sz="6" w:space="0"/>
            </w:tcBorders>
            <w:vAlign w:val="center"/>
          </w:tcPr>
          <w:p w14:paraId="58C6BF8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3330C61">
            <w:pPr>
              <w:pStyle w:val="10"/>
            </w:pPr>
            <w:r>
              <w:t>单位：万元</w:t>
            </w:r>
          </w:p>
        </w:tc>
      </w:tr>
      <w:tr w14:paraId="07EE3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8B629">
            <w:pPr>
              <w:pStyle w:val="11"/>
            </w:pPr>
            <w:r>
              <w:t>序号</w:t>
            </w:r>
          </w:p>
        </w:tc>
        <w:tc>
          <w:tcPr>
            <w:tcW w:w="5726" w:type="dxa"/>
            <w:gridSpan w:val="2"/>
            <w:vAlign w:val="center"/>
          </w:tcPr>
          <w:p w14:paraId="31A2BA84">
            <w:pPr>
              <w:pStyle w:val="11"/>
            </w:pPr>
            <w:r>
              <w:t>功能分类科目</w:t>
            </w:r>
          </w:p>
        </w:tc>
        <w:tc>
          <w:tcPr>
            <w:tcW w:w="2551" w:type="dxa"/>
            <w:vMerge w:val="restart"/>
            <w:vAlign w:val="center"/>
          </w:tcPr>
          <w:p w14:paraId="439B990B">
            <w:pPr>
              <w:pStyle w:val="11"/>
            </w:pPr>
            <w:r>
              <w:t>合计</w:t>
            </w:r>
          </w:p>
        </w:tc>
        <w:tc>
          <w:tcPr>
            <w:tcW w:w="2551" w:type="dxa"/>
            <w:vMerge w:val="restart"/>
            <w:vAlign w:val="center"/>
          </w:tcPr>
          <w:p w14:paraId="2F1BA8D0">
            <w:pPr>
              <w:pStyle w:val="11"/>
            </w:pPr>
            <w:r>
              <w:t>基本支出</w:t>
            </w:r>
          </w:p>
        </w:tc>
        <w:tc>
          <w:tcPr>
            <w:tcW w:w="2551" w:type="dxa"/>
            <w:vMerge w:val="restart"/>
            <w:vAlign w:val="center"/>
          </w:tcPr>
          <w:p w14:paraId="25AC7C83">
            <w:pPr>
              <w:pStyle w:val="11"/>
            </w:pPr>
            <w:r>
              <w:t>项目支出</w:t>
            </w:r>
          </w:p>
        </w:tc>
      </w:tr>
      <w:tr w14:paraId="00D9D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A1154"/>
        </w:tc>
        <w:tc>
          <w:tcPr>
            <w:tcW w:w="1191" w:type="dxa"/>
            <w:vAlign w:val="center"/>
          </w:tcPr>
          <w:p w14:paraId="12092FE8">
            <w:pPr>
              <w:pStyle w:val="11"/>
            </w:pPr>
            <w:r>
              <w:t>科目编码</w:t>
            </w:r>
          </w:p>
        </w:tc>
        <w:tc>
          <w:tcPr>
            <w:tcW w:w="4535" w:type="dxa"/>
            <w:vAlign w:val="center"/>
          </w:tcPr>
          <w:p w14:paraId="7DC17D09">
            <w:pPr>
              <w:pStyle w:val="11"/>
            </w:pPr>
            <w:r>
              <w:t>科目名称</w:t>
            </w:r>
          </w:p>
        </w:tc>
        <w:tc>
          <w:tcPr>
            <w:tcW w:w="2551" w:type="dxa"/>
            <w:vMerge w:val="continue"/>
          </w:tcPr>
          <w:p w14:paraId="3A39D172"/>
        </w:tc>
        <w:tc>
          <w:tcPr>
            <w:tcW w:w="2551" w:type="dxa"/>
            <w:vMerge w:val="continue"/>
          </w:tcPr>
          <w:p w14:paraId="1BAD5A60"/>
        </w:tc>
        <w:tc>
          <w:tcPr>
            <w:tcW w:w="2551" w:type="dxa"/>
            <w:vMerge w:val="continue"/>
          </w:tcPr>
          <w:p w14:paraId="4ED2B6CF"/>
        </w:tc>
      </w:tr>
      <w:tr w14:paraId="39BB0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9DFE34">
            <w:pPr>
              <w:pStyle w:val="11"/>
            </w:pPr>
            <w:r>
              <w:t>栏次</w:t>
            </w:r>
          </w:p>
        </w:tc>
        <w:tc>
          <w:tcPr>
            <w:tcW w:w="1191" w:type="dxa"/>
            <w:vAlign w:val="center"/>
          </w:tcPr>
          <w:p w14:paraId="3E3A3D27">
            <w:pPr>
              <w:pStyle w:val="11"/>
            </w:pPr>
            <w:r>
              <w:t>1</w:t>
            </w:r>
          </w:p>
        </w:tc>
        <w:tc>
          <w:tcPr>
            <w:tcW w:w="4535" w:type="dxa"/>
            <w:vAlign w:val="center"/>
          </w:tcPr>
          <w:p w14:paraId="314A24C0">
            <w:pPr>
              <w:pStyle w:val="11"/>
            </w:pPr>
            <w:r>
              <w:t>2</w:t>
            </w:r>
          </w:p>
        </w:tc>
        <w:tc>
          <w:tcPr>
            <w:tcW w:w="2551" w:type="dxa"/>
            <w:vAlign w:val="center"/>
          </w:tcPr>
          <w:p w14:paraId="3F1AB376">
            <w:pPr>
              <w:pStyle w:val="11"/>
            </w:pPr>
            <w:r>
              <w:t>3</w:t>
            </w:r>
          </w:p>
        </w:tc>
        <w:tc>
          <w:tcPr>
            <w:tcW w:w="2551" w:type="dxa"/>
            <w:vAlign w:val="center"/>
          </w:tcPr>
          <w:p w14:paraId="0FBAB8E5">
            <w:pPr>
              <w:pStyle w:val="11"/>
            </w:pPr>
            <w:r>
              <w:t>4</w:t>
            </w:r>
          </w:p>
        </w:tc>
        <w:tc>
          <w:tcPr>
            <w:tcW w:w="2551" w:type="dxa"/>
            <w:vAlign w:val="center"/>
          </w:tcPr>
          <w:p w14:paraId="2226B297">
            <w:pPr>
              <w:pStyle w:val="11"/>
            </w:pPr>
            <w:r>
              <w:t>5</w:t>
            </w:r>
          </w:p>
        </w:tc>
      </w:tr>
      <w:tr w14:paraId="6C925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59B2C">
            <w:pPr>
              <w:pStyle w:val="12"/>
            </w:pPr>
          </w:p>
        </w:tc>
        <w:tc>
          <w:tcPr>
            <w:tcW w:w="1191" w:type="dxa"/>
            <w:vAlign w:val="center"/>
          </w:tcPr>
          <w:p w14:paraId="0C20E2B1">
            <w:pPr>
              <w:pStyle w:val="13"/>
            </w:pPr>
          </w:p>
        </w:tc>
        <w:tc>
          <w:tcPr>
            <w:tcW w:w="4535" w:type="dxa"/>
            <w:vAlign w:val="center"/>
          </w:tcPr>
          <w:p w14:paraId="265A444F">
            <w:pPr>
              <w:pStyle w:val="13"/>
            </w:pPr>
          </w:p>
        </w:tc>
        <w:tc>
          <w:tcPr>
            <w:tcW w:w="2551" w:type="dxa"/>
            <w:vAlign w:val="center"/>
          </w:tcPr>
          <w:p w14:paraId="14BE916A">
            <w:pPr>
              <w:pStyle w:val="14"/>
            </w:pPr>
          </w:p>
        </w:tc>
        <w:tc>
          <w:tcPr>
            <w:tcW w:w="2551" w:type="dxa"/>
            <w:vAlign w:val="center"/>
          </w:tcPr>
          <w:p w14:paraId="71BC66A1">
            <w:pPr>
              <w:pStyle w:val="14"/>
            </w:pPr>
          </w:p>
        </w:tc>
        <w:tc>
          <w:tcPr>
            <w:tcW w:w="2551" w:type="dxa"/>
            <w:vAlign w:val="center"/>
          </w:tcPr>
          <w:p w14:paraId="6709998F">
            <w:pPr>
              <w:pStyle w:val="14"/>
            </w:pPr>
          </w:p>
        </w:tc>
      </w:tr>
    </w:tbl>
    <w:p w14:paraId="29D33F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EBA7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3FD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65F693">
            <w:pPr>
              <w:pStyle w:val="8"/>
            </w:pPr>
            <w:r>
              <w:t>360004隆尧县尧山中学</w:t>
            </w:r>
          </w:p>
        </w:tc>
        <w:tc>
          <w:tcPr>
            <w:tcW w:w="2381" w:type="dxa"/>
            <w:tcBorders>
              <w:top w:val="single" w:color="FFFFFF" w:sz="6" w:space="0"/>
              <w:left w:val="single" w:color="FFFFFF" w:sz="6" w:space="0"/>
              <w:right w:val="single" w:color="FFFFFF" w:sz="6" w:space="0"/>
            </w:tcBorders>
            <w:vAlign w:val="center"/>
          </w:tcPr>
          <w:p w14:paraId="4212B64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FABBB75">
            <w:pPr>
              <w:pStyle w:val="10"/>
            </w:pPr>
            <w:r>
              <w:t>单位：万元</w:t>
            </w:r>
          </w:p>
        </w:tc>
      </w:tr>
      <w:tr w14:paraId="7E5AA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76F60C">
            <w:pPr>
              <w:pStyle w:val="11"/>
            </w:pPr>
            <w:r>
              <w:t>序号</w:t>
            </w:r>
          </w:p>
        </w:tc>
        <w:tc>
          <w:tcPr>
            <w:tcW w:w="3798" w:type="dxa"/>
            <w:vMerge w:val="restart"/>
            <w:vAlign w:val="center"/>
          </w:tcPr>
          <w:p w14:paraId="10016EC9">
            <w:pPr>
              <w:pStyle w:val="11"/>
            </w:pPr>
            <w:r>
              <w:t>项  目</w:t>
            </w:r>
          </w:p>
        </w:tc>
        <w:tc>
          <w:tcPr>
            <w:tcW w:w="9524" w:type="dxa"/>
            <w:gridSpan w:val="4"/>
            <w:vAlign w:val="center"/>
          </w:tcPr>
          <w:p w14:paraId="75112C6D">
            <w:pPr>
              <w:pStyle w:val="11"/>
            </w:pPr>
            <w:r>
              <w:t>资 金 性 质</w:t>
            </w:r>
          </w:p>
        </w:tc>
      </w:tr>
      <w:tr w14:paraId="4C1DE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D51575"/>
        </w:tc>
        <w:tc>
          <w:tcPr>
            <w:tcW w:w="3798" w:type="dxa"/>
            <w:vMerge w:val="continue"/>
          </w:tcPr>
          <w:p w14:paraId="22A85FDF"/>
        </w:tc>
        <w:tc>
          <w:tcPr>
            <w:tcW w:w="2381" w:type="dxa"/>
            <w:vAlign w:val="center"/>
          </w:tcPr>
          <w:p w14:paraId="6932C2F0">
            <w:pPr>
              <w:pStyle w:val="11"/>
            </w:pPr>
            <w:r>
              <w:t>合计</w:t>
            </w:r>
          </w:p>
        </w:tc>
        <w:tc>
          <w:tcPr>
            <w:tcW w:w="2381" w:type="dxa"/>
            <w:vAlign w:val="center"/>
          </w:tcPr>
          <w:p w14:paraId="54E34730">
            <w:pPr>
              <w:pStyle w:val="11"/>
            </w:pPr>
            <w:r>
              <w:t>一般公共预算              财政拨款</w:t>
            </w:r>
          </w:p>
        </w:tc>
        <w:tc>
          <w:tcPr>
            <w:tcW w:w="2381" w:type="dxa"/>
            <w:vAlign w:val="center"/>
          </w:tcPr>
          <w:p w14:paraId="597B01CB">
            <w:pPr>
              <w:pStyle w:val="11"/>
            </w:pPr>
            <w:r>
              <w:t>政府性基金                  预算拨款</w:t>
            </w:r>
          </w:p>
        </w:tc>
        <w:tc>
          <w:tcPr>
            <w:tcW w:w="2381" w:type="dxa"/>
            <w:vAlign w:val="center"/>
          </w:tcPr>
          <w:p w14:paraId="2C05E1A2">
            <w:pPr>
              <w:pStyle w:val="11"/>
            </w:pPr>
            <w:r>
              <w:t>国有资本经营              预算财政拨款</w:t>
            </w:r>
          </w:p>
        </w:tc>
      </w:tr>
      <w:tr w14:paraId="6888F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43E177">
            <w:pPr>
              <w:pStyle w:val="11"/>
            </w:pPr>
            <w:r>
              <w:t>栏次</w:t>
            </w:r>
          </w:p>
        </w:tc>
        <w:tc>
          <w:tcPr>
            <w:tcW w:w="3798" w:type="dxa"/>
            <w:vAlign w:val="center"/>
          </w:tcPr>
          <w:p w14:paraId="571A5591">
            <w:pPr>
              <w:pStyle w:val="11"/>
            </w:pPr>
            <w:r>
              <w:t>1</w:t>
            </w:r>
          </w:p>
        </w:tc>
        <w:tc>
          <w:tcPr>
            <w:tcW w:w="2381" w:type="dxa"/>
            <w:vAlign w:val="center"/>
          </w:tcPr>
          <w:p w14:paraId="44F02A1A">
            <w:pPr>
              <w:pStyle w:val="11"/>
            </w:pPr>
            <w:r>
              <w:t>2</w:t>
            </w:r>
          </w:p>
        </w:tc>
        <w:tc>
          <w:tcPr>
            <w:tcW w:w="2381" w:type="dxa"/>
            <w:vAlign w:val="center"/>
          </w:tcPr>
          <w:p w14:paraId="66E339D8">
            <w:pPr>
              <w:pStyle w:val="11"/>
            </w:pPr>
            <w:r>
              <w:t>3</w:t>
            </w:r>
          </w:p>
        </w:tc>
        <w:tc>
          <w:tcPr>
            <w:tcW w:w="2381" w:type="dxa"/>
            <w:vAlign w:val="center"/>
          </w:tcPr>
          <w:p w14:paraId="3162F0B9">
            <w:pPr>
              <w:pStyle w:val="11"/>
            </w:pPr>
            <w:r>
              <w:t>4</w:t>
            </w:r>
          </w:p>
        </w:tc>
        <w:tc>
          <w:tcPr>
            <w:tcW w:w="2381" w:type="dxa"/>
            <w:vAlign w:val="center"/>
          </w:tcPr>
          <w:p w14:paraId="24D00456">
            <w:pPr>
              <w:pStyle w:val="11"/>
            </w:pPr>
            <w:r>
              <w:t>5</w:t>
            </w:r>
          </w:p>
        </w:tc>
      </w:tr>
      <w:tr w14:paraId="69D55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1596F4">
            <w:pPr>
              <w:pStyle w:val="12"/>
            </w:pPr>
          </w:p>
        </w:tc>
        <w:tc>
          <w:tcPr>
            <w:tcW w:w="3798" w:type="dxa"/>
            <w:vAlign w:val="center"/>
          </w:tcPr>
          <w:p w14:paraId="014BEDBB">
            <w:pPr>
              <w:pStyle w:val="13"/>
            </w:pPr>
          </w:p>
        </w:tc>
        <w:tc>
          <w:tcPr>
            <w:tcW w:w="2381" w:type="dxa"/>
            <w:vAlign w:val="center"/>
          </w:tcPr>
          <w:p w14:paraId="213278C7">
            <w:pPr>
              <w:pStyle w:val="14"/>
            </w:pPr>
          </w:p>
        </w:tc>
        <w:tc>
          <w:tcPr>
            <w:tcW w:w="2381" w:type="dxa"/>
            <w:vAlign w:val="center"/>
          </w:tcPr>
          <w:p w14:paraId="2C29DBCE">
            <w:pPr>
              <w:pStyle w:val="14"/>
            </w:pPr>
          </w:p>
        </w:tc>
        <w:tc>
          <w:tcPr>
            <w:tcW w:w="2381" w:type="dxa"/>
            <w:vAlign w:val="center"/>
          </w:tcPr>
          <w:p w14:paraId="5BE05D58">
            <w:pPr>
              <w:pStyle w:val="14"/>
            </w:pPr>
          </w:p>
        </w:tc>
        <w:tc>
          <w:tcPr>
            <w:tcW w:w="2381" w:type="dxa"/>
            <w:vAlign w:val="center"/>
          </w:tcPr>
          <w:p w14:paraId="4E9A86FE">
            <w:pPr>
              <w:pStyle w:val="14"/>
            </w:pPr>
          </w:p>
        </w:tc>
      </w:tr>
    </w:tbl>
    <w:p w14:paraId="4C4E912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F132F67">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隆尧县尧山中学2025年单位预算信息公开情况说明</w:t>
      </w:r>
    </w:p>
    <w:p w14:paraId="3F39843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按照《中华人民共和国预算法》、《地方预决算公开操作规程》和《关于进一步推进预算公开工作的实施意见》规定，现将隆尧县尧山中学2025年单位预算公开如下：</w:t>
      </w:r>
    </w:p>
    <w:p w14:paraId="20528788">
      <w:pPr>
        <w:spacing w:before="10" w:after="10" w:line="240" w:lineRule="auto"/>
        <w:ind w:firstLine="640"/>
        <w:jc w:val="left"/>
        <w:outlineLvl w:val="5"/>
      </w:pPr>
      <w:r>
        <w:rPr>
          <w:rFonts w:ascii="黑体" w:hAnsi="黑体" w:eastAsia="黑体" w:cs="黑体"/>
          <w:color w:val="000000"/>
          <w:sz w:val="32"/>
        </w:rPr>
        <w:t>一、单位职责及机构设置情况</w:t>
      </w:r>
    </w:p>
    <w:p w14:paraId="1908BED6">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057DAE6A">
      <w:pPr>
        <w:pStyle w:val="18"/>
      </w:pPr>
      <w:r>
        <w:t>1.贯彻落实基础教育的方针、政策，开展初中阶段教育教学工作，促进学生德、智、体、美、劳全面发展。</w:t>
      </w:r>
    </w:p>
    <w:p w14:paraId="38D5A60E">
      <w:pPr>
        <w:pStyle w:val="18"/>
      </w:pPr>
      <w:r>
        <w:t>2.负责学生安全教育和管理，确保学生身心健康。</w:t>
      </w:r>
    </w:p>
    <w:p w14:paraId="062B19AA">
      <w:pPr>
        <w:pStyle w:val="18"/>
      </w:pPr>
      <w:r>
        <w:t>3.加强教师队伍建设和管理，为教育教学工作提供保障。</w:t>
      </w:r>
    </w:p>
    <w:p w14:paraId="5819852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4BB6E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3323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ABF8B6">
            <w:pPr>
              <w:pStyle w:val="11"/>
            </w:pPr>
            <w:r>
              <w:t>单位名称</w:t>
            </w:r>
          </w:p>
        </w:tc>
        <w:tc>
          <w:tcPr>
            <w:tcW w:w="1843" w:type="dxa"/>
            <w:vAlign w:val="center"/>
          </w:tcPr>
          <w:p w14:paraId="4B3EDFED">
            <w:pPr>
              <w:pStyle w:val="11"/>
            </w:pPr>
            <w:r>
              <w:t>单位性质</w:t>
            </w:r>
          </w:p>
        </w:tc>
        <w:tc>
          <w:tcPr>
            <w:tcW w:w="2126" w:type="dxa"/>
            <w:vAlign w:val="center"/>
          </w:tcPr>
          <w:p w14:paraId="3C1C0CB5">
            <w:pPr>
              <w:pStyle w:val="11"/>
            </w:pPr>
            <w:r>
              <w:t>单位规格</w:t>
            </w:r>
          </w:p>
        </w:tc>
        <w:tc>
          <w:tcPr>
            <w:tcW w:w="3827" w:type="dxa"/>
            <w:vAlign w:val="center"/>
          </w:tcPr>
          <w:p w14:paraId="0A1A0A29">
            <w:pPr>
              <w:pStyle w:val="11"/>
            </w:pPr>
            <w:r>
              <w:t>经费保障形式</w:t>
            </w:r>
          </w:p>
        </w:tc>
      </w:tr>
      <w:tr w14:paraId="3F2D7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AFDBD24">
            <w:pPr>
              <w:pStyle w:val="13"/>
            </w:pPr>
            <w:r>
              <w:t>隆尧县尧山中学</w:t>
            </w:r>
          </w:p>
        </w:tc>
        <w:tc>
          <w:tcPr>
            <w:tcW w:w="1843" w:type="dxa"/>
            <w:vAlign w:val="center"/>
          </w:tcPr>
          <w:p w14:paraId="7C75A525">
            <w:pPr>
              <w:pStyle w:val="12"/>
            </w:pPr>
            <w:r>
              <w:t>事业</w:t>
            </w:r>
          </w:p>
        </w:tc>
        <w:tc>
          <w:tcPr>
            <w:tcW w:w="2126" w:type="dxa"/>
            <w:vAlign w:val="center"/>
          </w:tcPr>
          <w:p w14:paraId="611A118F">
            <w:pPr>
              <w:pStyle w:val="12"/>
            </w:pPr>
            <w:r>
              <w:t>股级</w:t>
            </w:r>
          </w:p>
        </w:tc>
        <w:tc>
          <w:tcPr>
            <w:tcW w:w="3827" w:type="dxa"/>
            <w:vAlign w:val="center"/>
          </w:tcPr>
          <w:p w14:paraId="5DB93F0B">
            <w:pPr>
              <w:pStyle w:val="12"/>
            </w:pPr>
            <w:r>
              <w:t>财政性资金基本保证</w:t>
            </w:r>
          </w:p>
        </w:tc>
      </w:tr>
    </w:tbl>
    <w:p w14:paraId="002C0872">
      <w:pPr>
        <w:spacing w:before="10" w:after="10" w:line="240" w:lineRule="auto"/>
        <w:ind w:firstLine="640"/>
        <w:jc w:val="left"/>
        <w:outlineLvl w:val="5"/>
      </w:pPr>
      <w:r>
        <w:rPr>
          <w:rFonts w:ascii="黑体" w:hAnsi="黑体" w:eastAsia="黑体" w:cs="黑体"/>
          <w:color w:val="000000"/>
          <w:sz w:val="32"/>
        </w:rPr>
        <w:t>二、单位预算安排的总体情况</w:t>
      </w:r>
    </w:p>
    <w:p w14:paraId="0E9D562A">
      <w:pPr>
        <w:pStyle w:val="19"/>
      </w:pPr>
      <w:r>
        <w:t>按照预算管理有关规定，单位预算的编制实行综合预算管理，即全部收入和支出都反映的预算中。隆尧县尧山中学的收支包含在单位预算中。</w:t>
      </w:r>
    </w:p>
    <w:p w14:paraId="4168474D">
      <w:pPr>
        <w:pStyle w:val="19"/>
      </w:pPr>
      <w:r>
        <w:t>1、收入说明</w:t>
      </w:r>
    </w:p>
    <w:p w14:paraId="3C58CFD4">
      <w:pPr>
        <w:pStyle w:val="19"/>
      </w:pPr>
      <w:r>
        <w:t>反映本单位当年全部收入。2025年预算收入3094.16万元，其中：一般公共预算收入2819.26万元，上年结转274.9万元，基金预算收入0万元，财政专户收入0万元，其他来源收入0万元。</w:t>
      </w:r>
    </w:p>
    <w:p w14:paraId="1B5404FB">
      <w:pPr>
        <w:pStyle w:val="19"/>
      </w:pPr>
      <w:r>
        <w:t>2、支出说明</w:t>
      </w:r>
    </w:p>
    <w:p w14:paraId="060C84B8">
      <w:pPr>
        <w:pStyle w:val="19"/>
      </w:pPr>
      <w:r>
        <w:t>收支预算总表支出栏、基本支出表、项目支出表按经济分类和支出功能分类科目编制，反映我单位预算中支出预算的总体情况。2025年单位支出预算为2094.16万元，其中基本支出1927.52万元:包括人员经费1927.52万元，项目支出1166.64万元。主要为初中教育1166.24万元。</w:t>
      </w:r>
    </w:p>
    <w:p w14:paraId="3BAAD8F9">
      <w:pPr>
        <w:pStyle w:val="19"/>
      </w:pPr>
      <w:r>
        <w:t>3、比上年增减情况</w:t>
      </w:r>
    </w:p>
    <w:p w14:paraId="464FDE87">
      <w:pPr>
        <w:pStyle w:val="19"/>
      </w:pPr>
      <w:r>
        <w:t>2025年部门预算收支安排3094.16万元，较2024年预算减少1046.63万元，其中基本支出增加106.12万元，项目支出减少1152.75万元。</w:t>
      </w:r>
    </w:p>
    <w:p w14:paraId="372E6CE0">
      <w:pPr>
        <w:spacing w:before="10" w:after="10" w:line="240" w:lineRule="auto"/>
        <w:ind w:firstLine="640"/>
        <w:jc w:val="left"/>
        <w:outlineLvl w:val="5"/>
      </w:pPr>
      <w:r>
        <w:rPr>
          <w:rFonts w:ascii="黑体" w:hAnsi="黑体" w:eastAsia="黑体" w:cs="黑体"/>
          <w:color w:val="000000"/>
          <w:sz w:val="32"/>
        </w:rPr>
        <w:t>三、机关运行经费安排情况</w:t>
      </w:r>
    </w:p>
    <w:p w14:paraId="71F5F75C">
      <w:pPr>
        <w:pStyle w:val="20"/>
      </w:pPr>
      <w:r>
        <w:t>我单位按学生安排公用经费，无机关运行经费。</w:t>
      </w:r>
    </w:p>
    <w:p w14:paraId="6CF5D22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FB26C82">
      <w:pPr>
        <w:pStyle w:val="21"/>
      </w:pPr>
      <w:r>
        <w:t>2025年，我单位未安排三公经费。</w:t>
      </w:r>
    </w:p>
    <w:p w14:paraId="4E4BEC5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09CAE3C">
      <w:pPr>
        <w:spacing w:before="0" w:after="0"/>
        <w:ind w:firstLine="560"/>
        <w:jc w:val="left"/>
        <w:outlineLvl w:val="9"/>
      </w:pPr>
      <w:r>
        <w:rPr>
          <w:rFonts w:ascii="方正仿宋_GBK" w:hAnsi="方正仿宋_GBK" w:eastAsia="方正仿宋_GBK" w:cs="方正仿宋_GBK"/>
          <w:b/>
          <w:color w:val="000000"/>
          <w:sz w:val="28"/>
        </w:rPr>
        <w:t>1、冀财教[2023]151号/中央/2024年义务教育薄弱环节改善与能力提升/隆尧县尧山中学新建教学楼项目绩效目标表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F4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048EE">
            <w:pPr>
              <w:pStyle w:val="14"/>
            </w:pPr>
            <w:r>
              <w:t>单位：万元</w:t>
            </w:r>
          </w:p>
        </w:tc>
      </w:tr>
      <w:tr w14:paraId="1146D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11200">
            <w:pPr>
              <w:pStyle w:val="11"/>
            </w:pPr>
            <w:r>
              <w:t>项目编码</w:t>
            </w:r>
          </w:p>
        </w:tc>
        <w:tc>
          <w:tcPr>
            <w:tcW w:w="5103" w:type="dxa"/>
            <w:gridSpan w:val="2"/>
            <w:vAlign w:val="center"/>
          </w:tcPr>
          <w:p w14:paraId="29CD72D6">
            <w:pPr>
              <w:pStyle w:val="13"/>
            </w:pPr>
            <w:r>
              <w:t>13052524P000006112719</w:t>
            </w:r>
          </w:p>
        </w:tc>
        <w:tc>
          <w:tcPr>
            <w:tcW w:w="2835" w:type="dxa"/>
            <w:vAlign w:val="center"/>
          </w:tcPr>
          <w:p w14:paraId="5B8D0E95">
            <w:pPr>
              <w:pStyle w:val="11"/>
            </w:pPr>
            <w:r>
              <w:t>项目名称</w:t>
            </w:r>
          </w:p>
        </w:tc>
        <w:tc>
          <w:tcPr>
            <w:tcW w:w="6095" w:type="dxa"/>
            <w:gridSpan w:val="3"/>
            <w:vAlign w:val="center"/>
          </w:tcPr>
          <w:p w14:paraId="2BA04DF3">
            <w:pPr>
              <w:pStyle w:val="13"/>
            </w:pPr>
            <w:r>
              <w:t>冀财教[2023]151号/中央/2024年义务教育薄弱环节改善与能力提升/隆尧县尧山中学新建教学楼项目</w:t>
            </w:r>
            <w:r>
              <w:tab/>
            </w:r>
            <w:r>
              <w:tab/>
            </w:r>
          </w:p>
        </w:tc>
      </w:tr>
      <w:tr w14:paraId="580F7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EFD98">
            <w:pPr>
              <w:pStyle w:val="11"/>
            </w:pPr>
            <w:r>
              <w:t>预算规模及资金用途</w:t>
            </w:r>
          </w:p>
        </w:tc>
        <w:tc>
          <w:tcPr>
            <w:tcW w:w="2268" w:type="dxa"/>
            <w:vAlign w:val="center"/>
          </w:tcPr>
          <w:p w14:paraId="2CC69189">
            <w:pPr>
              <w:pStyle w:val="11"/>
            </w:pPr>
            <w:r>
              <w:t>预算数</w:t>
            </w:r>
          </w:p>
        </w:tc>
        <w:tc>
          <w:tcPr>
            <w:tcW w:w="2835" w:type="dxa"/>
            <w:vAlign w:val="center"/>
          </w:tcPr>
          <w:p w14:paraId="505B83BA">
            <w:pPr>
              <w:pStyle w:val="13"/>
            </w:pPr>
            <w:r>
              <w:t>274.90</w:t>
            </w:r>
          </w:p>
        </w:tc>
        <w:tc>
          <w:tcPr>
            <w:tcW w:w="2835" w:type="dxa"/>
            <w:vAlign w:val="center"/>
          </w:tcPr>
          <w:p w14:paraId="132F8F8A">
            <w:pPr>
              <w:pStyle w:val="11"/>
            </w:pPr>
            <w:r>
              <w:t>其中：财政    资金</w:t>
            </w:r>
          </w:p>
        </w:tc>
        <w:tc>
          <w:tcPr>
            <w:tcW w:w="2551" w:type="dxa"/>
            <w:vAlign w:val="center"/>
          </w:tcPr>
          <w:p w14:paraId="26714A1C">
            <w:pPr>
              <w:pStyle w:val="13"/>
            </w:pPr>
            <w:r>
              <w:t>274.90</w:t>
            </w:r>
          </w:p>
        </w:tc>
        <w:tc>
          <w:tcPr>
            <w:tcW w:w="2268" w:type="dxa"/>
            <w:vAlign w:val="center"/>
          </w:tcPr>
          <w:p w14:paraId="3520D1CE">
            <w:pPr>
              <w:pStyle w:val="11"/>
            </w:pPr>
            <w:r>
              <w:t>其他资金</w:t>
            </w:r>
          </w:p>
        </w:tc>
        <w:tc>
          <w:tcPr>
            <w:tcW w:w="1276" w:type="dxa"/>
            <w:vAlign w:val="center"/>
          </w:tcPr>
          <w:p w14:paraId="158F6BBD">
            <w:pPr>
              <w:pStyle w:val="13"/>
            </w:pPr>
            <w:r>
              <w:t xml:space="preserve"> </w:t>
            </w:r>
          </w:p>
        </w:tc>
      </w:tr>
      <w:tr w14:paraId="33129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691A6"/>
        </w:tc>
        <w:tc>
          <w:tcPr>
            <w:tcW w:w="14033" w:type="dxa"/>
            <w:gridSpan w:val="6"/>
            <w:vAlign w:val="center"/>
          </w:tcPr>
          <w:p w14:paraId="25E671A3">
            <w:pPr>
              <w:pStyle w:val="13"/>
            </w:pPr>
            <w:r>
              <w:t>改善就学条件，提升学校形象，保障义务教育阶段教学安全，改善师生教学环境，创造良好的校园环境。</w:t>
            </w:r>
            <w:r>
              <w:tab/>
            </w:r>
            <w:r>
              <w:tab/>
            </w:r>
            <w:r>
              <w:tab/>
            </w:r>
            <w:r>
              <w:tab/>
            </w:r>
            <w:r>
              <w:tab/>
            </w:r>
            <w:r>
              <w:tab/>
            </w:r>
          </w:p>
          <w:p w14:paraId="08C356A7">
            <w:pPr>
              <w:pStyle w:val="13"/>
            </w:pPr>
          </w:p>
        </w:tc>
      </w:tr>
      <w:tr w14:paraId="45DA5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07CE8">
            <w:pPr>
              <w:pStyle w:val="11"/>
            </w:pPr>
            <w:r>
              <w:t>资金支出计划（%）</w:t>
            </w:r>
          </w:p>
        </w:tc>
        <w:tc>
          <w:tcPr>
            <w:tcW w:w="5103" w:type="dxa"/>
            <w:gridSpan w:val="2"/>
            <w:vAlign w:val="center"/>
          </w:tcPr>
          <w:p w14:paraId="72B81636">
            <w:pPr>
              <w:pStyle w:val="11"/>
            </w:pPr>
            <w:r>
              <w:t>3月底</w:t>
            </w:r>
          </w:p>
        </w:tc>
        <w:tc>
          <w:tcPr>
            <w:tcW w:w="2835" w:type="dxa"/>
            <w:vAlign w:val="center"/>
          </w:tcPr>
          <w:p w14:paraId="56373E2A">
            <w:pPr>
              <w:pStyle w:val="11"/>
            </w:pPr>
            <w:r>
              <w:t>6月底</w:t>
            </w:r>
          </w:p>
        </w:tc>
        <w:tc>
          <w:tcPr>
            <w:tcW w:w="2551" w:type="dxa"/>
            <w:vAlign w:val="center"/>
          </w:tcPr>
          <w:p w14:paraId="1E996967">
            <w:pPr>
              <w:pStyle w:val="11"/>
            </w:pPr>
            <w:r>
              <w:t>10月底</w:t>
            </w:r>
          </w:p>
        </w:tc>
        <w:tc>
          <w:tcPr>
            <w:tcW w:w="3544" w:type="dxa"/>
            <w:gridSpan w:val="2"/>
            <w:vAlign w:val="center"/>
          </w:tcPr>
          <w:p w14:paraId="275907EF">
            <w:pPr>
              <w:pStyle w:val="11"/>
            </w:pPr>
            <w:r>
              <w:t>12月底</w:t>
            </w:r>
          </w:p>
        </w:tc>
      </w:tr>
      <w:tr w14:paraId="7F0B3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82778E"/>
        </w:tc>
        <w:tc>
          <w:tcPr>
            <w:tcW w:w="5103" w:type="dxa"/>
            <w:gridSpan w:val="2"/>
            <w:vAlign w:val="center"/>
          </w:tcPr>
          <w:p w14:paraId="1DB68962">
            <w:pPr>
              <w:pStyle w:val="12"/>
            </w:pPr>
            <w:r>
              <w:t>25%</w:t>
            </w:r>
          </w:p>
        </w:tc>
        <w:tc>
          <w:tcPr>
            <w:tcW w:w="2835" w:type="dxa"/>
            <w:vAlign w:val="center"/>
          </w:tcPr>
          <w:p w14:paraId="4B73DAB9">
            <w:pPr>
              <w:pStyle w:val="12"/>
            </w:pPr>
            <w:r>
              <w:t>50%</w:t>
            </w:r>
          </w:p>
        </w:tc>
        <w:tc>
          <w:tcPr>
            <w:tcW w:w="2551" w:type="dxa"/>
            <w:vAlign w:val="center"/>
          </w:tcPr>
          <w:p w14:paraId="670C6164">
            <w:pPr>
              <w:pStyle w:val="12"/>
            </w:pPr>
            <w:r>
              <w:t>75%</w:t>
            </w:r>
          </w:p>
        </w:tc>
        <w:tc>
          <w:tcPr>
            <w:tcW w:w="3544" w:type="dxa"/>
            <w:gridSpan w:val="2"/>
            <w:vAlign w:val="center"/>
          </w:tcPr>
          <w:p w14:paraId="5641EAB8">
            <w:pPr>
              <w:pStyle w:val="12"/>
            </w:pPr>
            <w:r>
              <w:t>100%</w:t>
            </w:r>
          </w:p>
        </w:tc>
      </w:tr>
      <w:tr w14:paraId="01C0C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C2948">
            <w:pPr>
              <w:pStyle w:val="11"/>
            </w:pPr>
            <w:r>
              <w:t>绩效目标</w:t>
            </w:r>
          </w:p>
        </w:tc>
        <w:tc>
          <w:tcPr>
            <w:tcW w:w="14033" w:type="dxa"/>
            <w:gridSpan w:val="6"/>
            <w:vAlign w:val="center"/>
          </w:tcPr>
          <w:p w14:paraId="0CBC2239">
            <w:pPr>
              <w:pStyle w:val="13"/>
            </w:pPr>
            <w:r>
              <w:t>1.改善就学条件，提升学校形象，保障义务教育阶段教学安全，改善师生教学环境，创造良好的校园环境。</w:t>
            </w:r>
            <w:r>
              <w:tab/>
            </w:r>
          </w:p>
          <w:p w14:paraId="7E226790">
            <w:pPr>
              <w:pStyle w:val="13"/>
            </w:pPr>
            <w:r>
              <w:t>2.项目需资金274.9万元，资金拨付率达到100%.</w:t>
            </w:r>
          </w:p>
        </w:tc>
      </w:tr>
    </w:tbl>
    <w:p w14:paraId="2E505B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36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23D26">
            <w:pPr>
              <w:pStyle w:val="11"/>
            </w:pPr>
            <w:r>
              <w:t>一级指标</w:t>
            </w:r>
          </w:p>
        </w:tc>
        <w:tc>
          <w:tcPr>
            <w:tcW w:w="2268" w:type="dxa"/>
            <w:vAlign w:val="center"/>
          </w:tcPr>
          <w:p w14:paraId="7C1EC41C">
            <w:pPr>
              <w:pStyle w:val="11"/>
            </w:pPr>
            <w:r>
              <w:t>二级指标</w:t>
            </w:r>
          </w:p>
        </w:tc>
        <w:tc>
          <w:tcPr>
            <w:tcW w:w="2835" w:type="dxa"/>
            <w:vAlign w:val="center"/>
          </w:tcPr>
          <w:p w14:paraId="11DE1BCC">
            <w:pPr>
              <w:pStyle w:val="11"/>
            </w:pPr>
            <w:r>
              <w:t>三级指标</w:t>
            </w:r>
          </w:p>
        </w:tc>
        <w:tc>
          <w:tcPr>
            <w:tcW w:w="5386" w:type="dxa"/>
            <w:vAlign w:val="center"/>
          </w:tcPr>
          <w:p w14:paraId="5150DA42">
            <w:pPr>
              <w:pStyle w:val="11"/>
            </w:pPr>
            <w:r>
              <w:t>绩效指标描述</w:t>
            </w:r>
          </w:p>
        </w:tc>
        <w:tc>
          <w:tcPr>
            <w:tcW w:w="2268" w:type="dxa"/>
            <w:vAlign w:val="center"/>
          </w:tcPr>
          <w:p w14:paraId="01CE209A">
            <w:pPr>
              <w:pStyle w:val="11"/>
            </w:pPr>
            <w:r>
              <w:t>指标值</w:t>
            </w:r>
          </w:p>
        </w:tc>
        <w:tc>
          <w:tcPr>
            <w:tcW w:w="1276" w:type="dxa"/>
            <w:vAlign w:val="center"/>
          </w:tcPr>
          <w:p w14:paraId="0A3CFB8E">
            <w:pPr>
              <w:pStyle w:val="11"/>
            </w:pPr>
            <w:r>
              <w:t>指标值确定依据</w:t>
            </w:r>
          </w:p>
        </w:tc>
      </w:tr>
      <w:tr w14:paraId="2C600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E5EBF">
            <w:pPr>
              <w:pStyle w:val="12"/>
            </w:pPr>
            <w:r>
              <w:t>产出指标</w:t>
            </w:r>
          </w:p>
        </w:tc>
        <w:tc>
          <w:tcPr>
            <w:tcW w:w="2268" w:type="dxa"/>
            <w:vAlign w:val="center"/>
          </w:tcPr>
          <w:p w14:paraId="16185F10">
            <w:pPr>
              <w:pStyle w:val="13"/>
            </w:pPr>
            <w:r>
              <w:t>数量指标</w:t>
            </w:r>
          </w:p>
        </w:tc>
        <w:tc>
          <w:tcPr>
            <w:tcW w:w="2835" w:type="dxa"/>
            <w:vAlign w:val="center"/>
          </w:tcPr>
          <w:p w14:paraId="72C8990E">
            <w:pPr>
              <w:pStyle w:val="13"/>
            </w:pPr>
            <w:r>
              <w:t>尧山中学新建教学楼项目</w:t>
            </w:r>
          </w:p>
        </w:tc>
        <w:tc>
          <w:tcPr>
            <w:tcW w:w="5386" w:type="dxa"/>
            <w:vAlign w:val="center"/>
          </w:tcPr>
          <w:p w14:paraId="5DB4DD7A">
            <w:pPr>
              <w:pStyle w:val="13"/>
            </w:pPr>
            <w:r>
              <w:t>新建教学楼建筑面积</w:t>
            </w:r>
          </w:p>
        </w:tc>
        <w:tc>
          <w:tcPr>
            <w:tcW w:w="2268" w:type="dxa"/>
            <w:vAlign w:val="center"/>
          </w:tcPr>
          <w:p w14:paraId="103E3BE6">
            <w:pPr>
              <w:pStyle w:val="13"/>
            </w:pPr>
            <w:r>
              <w:t>5863.07平方米</w:t>
            </w:r>
          </w:p>
        </w:tc>
        <w:tc>
          <w:tcPr>
            <w:tcW w:w="1276" w:type="dxa"/>
            <w:vAlign w:val="center"/>
          </w:tcPr>
          <w:p w14:paraId="20D585AF">
            <w:pPr>
              <w:pStyle w:val="13"/>
            </w:pPr>
            <w:r>
              <w:t>城乡义务教育公共经费</w:t>
            </w:r>
          </w:p>
        </w:tc>
      </w:tr>
      <w:tr w14:paraId="6B548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54578"/>
        </w:tc>
        <w:tc>
          <w:tcPr>
            <w:tcW w:w="2268" w:type="dxa"/>
            <w:vAlign w:val="center"/>
          </w:tcPr>
          <w:p w14:paraId="757AE412">
            <w:pPr>
              <w:pStyle w:val="13"/>
            </w:pPr>
            <w:r>
              <w:t>质量指标</w:t>
            </w:r>
          </w:p>
        </w:tc>
        <w:tc>
          <w:tcPr>
            <w:tcW w:w="2835" w:type="dxa"/>
            <w:vAlign w:val="center"/>
          </w:tcPr>
          <w:p w14:paraId="3D608C60">
            <w:pPr>
              <w:pStyle w:val="13"/>
            </w:pPr>
            <w:r>
              <w:t>工程实施验收合格率</w:t>
            </w:r>
          </w:p>
        </w:tc>
        <w:tc>
          <w:tcPr>
            <w:tcW w:w="5386" w:type="dxa"/>
            <w:vAlign w:val="center"/>
          </w:tcPr>
          <w:p w14:paraId="50045279">
            <w:pPr>
              <w:pStyle w:val="13"/>
            </w:pPr>
            <w:r>
              <w:t>申报程序的合规，项目实施及资金使用符合项目规划</w:t>
            </w:r>
          </w:p>
        </w:tc>
        <w:tc>
          <w:tcPr>
            <w:tcW w:w="2268" w:type="dxa"/>
            <w:vAlign w:val="center"/>
          </w:tcPr>
          <w:p w14:paraId="7CB4CA0C">
            <w:pPr>
              <w:pStyle w:val="13"/>
            </w:pPr>
            <w:r>
              <w:t>≥100%</w:t>
            </w:r>
          </w:p>
        </w:tc>
        <w:tc>
          <w:tcPr>
            <w:tcW w:w="1276" w:type="dxa"/>
            <w:vAlign w:val="center"/>
          </w:tcPr>
          <w:p w14:paraId="759AD845">
            <w:pPr>
              <w:pStyle w:val="13"/>
            </w:pPr>
            <w:r>
              <w:t>城乡义务教育公共经费</w:t>
            </w:r>
          </w:p>
        </w:tc>
      </w:tr>
      <w:tr w14:paraId="00A20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E4E71"/>
        </w:tc>
        <w:tc>
          <w:tcPr>
            <w:tcW w:w="2268" w:type="dxa"/>
            <w:vAlign w:val="center"/>
          </w:tcPr>
          <w:p w14:paraId="25AFF35C">
            <w:pPr>
              <w:pStyle w:val="13"/>
            </w:pPr>
            <w:r>
              <w:t>时效指标</w:t>
            </w:r>
          </w:p>
        </w:tc>
        <w:tc>
          <w:tcPr>
            <w:tcW w:w="2835" w:type="dxa"/>
            <w:vAlign w:val="center"/>
          </w:tcPr>
          <w:p w14:paraId="123BBEB2">
            <w:pPr>
              <w:pStyle w:val="13"/>
            </w:pPr>
            <w:r>
              <w:t>资金支付率</w:t>
            </w:r>
          </w:p>
        </w:tc>
        <w:tc>
          <w:tcPr>
            <w:tcW w:w="5386" w:type="dxa"/>
            <w:vAlign w:val="center"/>
          </w:tcPr>
          <w:p w14:paraId="37DB212B">
            <w:pPr>
              <w:pStyle w:val="13"/>
            </w:pPr>
            <w:r>
              <w:t>按照序时进度完成资金支付</w:t>
            </w:r>
          </w:p>
        </w:tc>
        <w:tc>
          <w:tcPr>
            <w:tcW w:w="2268" w:type="dxa"/>
            <w:vAlign w:val="center"/>
          </w:tcPr>
          <w:p w14:paraId="268ABF63">
            <w:pPr>
              <w:pStyle w:val="13"/>
            </w:pPr>
            <w:r>
              <w:t>≥100%</w:t>
            </w:r>
          </w:p>
        </w:tc>
        <w:tc>
          <w:tcPr>
            <w:tcW w:w="1276" w:type="dxa"/>
            <w:vAlign w:val="center"/>
          </w:tcPr>
          <w:p w14:paraId="0B3365CA">
            <w:pPr>
              <w:pStyle w:val="13"/>
            </w:pPr>
            <w:r>
              <w:t>城乡义务教育公共经费</w:t>
            </w:r>
          </w:p>
        </w:tc>
      </w:tr>
      <w:tr w14:paraId="3CE8C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B245D"/>
        </w:tc>
        <w:tc>
          <w:tcPr>
            <w:tcW w:w="2268" w:type="dxa"/>
            <w:vAlign w:val="center"/>
          </w:tcPr>
          <w:p w14:paraId="6428A5E5">
            <w:pPr>
              <w:pStyle w:val="13"/>
            </w:pPr>
            <w:r>
              <w:t>成本指标</w:t>
            </w:r>
          </w:p>
        </w:tc>
        <w:tc>
          <w:tcPr>
            <w:tcW w:w="2835" w:type="dxa"/>
            <w:vAlign w:val="center"/>
          </w:tcPr>
          <w:p w14:paraId="13485FE1">
            <w:pPr>
              <w:pStyle w:val="13"/>
            </w:pPr>
            <w:r>
              <w:t>项目成本控制情况</w:t>
            </w:r>
          </w:p>
        </w:tc>
        <w:tc>
          <w:tcPr>
            <w:tcW w:w="5386" w:type="dxa"/>
            <w:vAlign w:val="center"/>
          </w:tcPr>
          <w:p w14:paraId="3C3D32F0">
            <w:pPr>
              <w:pStyle w:val="13"/>
            </w:pPr>
            <w:r>
              <w:t>严格按照招标价格及审计额进行</w:t>
            </w:r>
          </w:p>
        </w:tc>
        <w:tc>
          <w:tcPr>
            <w:tcW w:w="2268" w:type="dxa"/>
            <w:vAlign w:val="center"/>
          </w:tcPr>
          <w:p w14:paraId="4BC22535">
            <w:pPr>
              <w:pStyle w:val="13"/>
            </w:pPr>
            <w:r>
              <w:t>274.9万元</w:t>
            </w:r>
          </w:p>
        </w:tc>
        <w:tc>
          <w:tcPr>
            <w:tcW w:w="1276" w:type="dxa"/>
            <w:vAlign w:val="center"/>
          </w:tcPr>
          <w:p w14:paraId="6D3E4885">
            <w:pPr>
              <w:pStyle w:val="13"/>
            </w:pPr>
            <w:r>
              <w:t>城乡义务教育公共经费</w:t>
            </w:r>
          </w:p>
        </w:tc>
      </w:tr>
      <w:tr w14:paraId="3C32E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147510">
            <w:pPr>
              <w:pStyle w:val="12"/>
            </w:pPr>
            <w:r>
              <w:t>效益指标</w:t>
            </w:r>
          </w:p>
        </w:tc>
        <w:tc>
          <w:tcPr>
            <w:tcW w:w="2268" w:type="dxa"/>
            <w:vAlign w:val="center"/>
          </w:tcPr>
          <w:p w14:paraId="07123BAB">
            <w:pPr>
              <w:pStyle w:val="13"/>
            </w:pPr>
            <w:r>
              <w:t>可持续影响指标</w:t>
            </w:r>
          </w:p>
        </w:tc>
        <w:tc>
          <w:tcPr>
            <w:tcW w:w="2835" w:type="dxa"/>
            <w:vAlign w:val="center"/>
          </w:tcPr>
          <w:p w14:paraId="450D6E61">
            <w:pPr>
              <w:pStyle w:val="13"/>
            </w:pPr>
            <w:r>
              <w:t>学校运转得到提高</w:t>
            </w:r>
          </w:p>
        </w:tc>
        <w:tc>
          <w:tcPr>
            <w:tcW w:w="5386" w:type="dxa"/>
            <w:vAlign w:val="center"/>
          </w:tcPr>
          <w:p w14:paraId="613BDD3D">
            <w:pPr>
              <w:pStyle w:val="13"/>
            </w:pPr>
            <w:r>
              <w:t>学生受教育年限</w:t>
            </w:r>
          </w:p>
        </w:tc>
        <w:tc>
          <w:tcPr>
            <w:tcW w:w="2268" w:type="dxa"/>
            <w:vAlign w:val="center"/>
          </w:tcPr>
          <w:p w14:paraId="1E6A9AC3">
            <w:pPr>
              <w:pStyle w:val="13"/>
            </w:pPr>
            <w:r>
              <w:t>3年</w:t>
            </w:r>
          </w:p>
        </w:tc>
        <w:tc>
          <w:tcPr>
            <w:tcW w:w="1276" w:type="dxa"/>
            <w:vAlign w:val="center"/>
          </w:tcPr>
          <w:p w14:paraId="6B3ED73C">
            <w:pPr>
              <w:pStyle w:val="13"/>
            </w:pPr>
            <w:r>
              <w:t>城乡义务教育公共经费</w:t>
            </w:r>
          </w:p>
        </w:tc>
      </w:tr>
      <w:tr w14:paraId="14A8D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32590E6D">
            <w:pPr>
              <w:pStyle w:val="12"/>
            </w:pPr>
            <w:r>
              <w:t>满意度指标</w:t>
            </w:r>
          </w:p>
        </w:tc>
        <w:tc>
          <w:tcPr>
            <w:tcW w:w="2268" w:type="dxa"/>
            <w:vAlign w:val="center"/>
          </w:tcPr>
          <w:p w14:paraId="2F8D50D7">
            <w:pPr>
              <w:pStyle w:val="13"/>
            </w:pPr>
            <w:r>
              <w:t>服务对象满意度指标</w:t>
            </w:r>
          </w:p>
        </w:tc>
        <w:tc>
          <w:tcPr>
            <w:tcW w:w="2835" w:type="dxa"/>
            <w:vAlign w:val="center"/>
          </w:tcPr>
          <w:p w14:paraId="7BE0B932">
            <w:pPr>
              <w:pStyle w:val="13"/>
            </w:pPr>
            <w:r>
              <w:t>服务对象满意度</w:t>
            </w:r>
          </w:p>
        </w:tc>
        <w:tc>
          <w:tcPr>
            <w:tcW w:w="5386" w:type="dxa"/>
            <w:vAlign w:val="center"/>
          </w:tcPr>
          <w:p w14:paraId="32A63846">
            <w:pPr>
              <w:pStyle w:val="13"/>
            </w:pPr>
            <w:r>
              <w:t>学校学生教师学校工作满意度</w:t>
            </w:r>
          </w:p>
        </w:tc>
        <w:tc>
          <w:tcPr>
            <w:tcW w:w="2268" w:type="dxa"/>
            <w:vAlign w:val="center"/>
          </w:tcPr>
          <w:p w14:paraId="324F96A9">
            <w:pPr>
              <w:pStyle w:val="13"/>
            </w:pPr>
            <w:r>
              <w:t>≥95%</w:t>
            </w:r>
          </w:p>
        </w:tc>
        <w:tc>
          <w:tcPr>
            <w:tcW w:w="1276" w:type="dxa"/>
            <w:vAlign w:val="center"/>
          </w:tcPr>
          <w:p w14:paraId="43839FA2">
            <w:pPr>
              <w:pStyle w:val="13"/>
            </w:pPr>
            <w:r>
              <w:t>问卷调查</w:t>
            </w:r>
          </w:p>
        </w:tc>
      </w:tr>
    </w:tbl>
    <w:p w14:paraId="3EB41D8F">
      <w:pPr>
        <w:sectPr>
          <w:pgSz w:w="16840" w:h="11900" w:orient="landscape"/>
          <w:pgMar w:top="1361" w:right="1020" w:bottom="1134" w:left="1020" w:header="720" w:footer="720" w:gutter="0"/>
          <w:cols w:space="720" w:num="1"/>
        </w:sectPr>
      </w:pPr>
    </w:p>
    <w:p w14:paraId="0DBA0F07">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2、冀财教[2024]123号/中央/2025年义教补助经费/尧山中学公用经费绩效目标表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9D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17EF7">
            <w:pPr>
              <w:pStyle w:val="14"/>
            </w:pPr>
            <w:r>
              <w:t>单位：万元</w:t>
            </w:r>
          </w:p>
        </w:tc>
      </w:tr>
      <w:tr w14:paraId="2154B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A6F133">
            <w:pPr>
              <w:pStyle w:val="11"/>
            </w:pPr>
            <w:r>
              <w:t>项目编码</w:t>
            </w:r>
          </w:p>
        </w:tc>
        <w:tc>
          <w:tcPr>
            <w:tcW w:w="5103" w:type="dxa"/>
            <w:gridSpan w:val="2"/>
            <w:vAlign w:val="center"/>
          </w:tcPr>
          <w:p w14:paraId="0BAB8931">
            <w:pPr>
              <w:pStyle w:val="13"/>
            </w:pPr>
            <w:r>
              <w:t>13052525P00000410028L</w:t>
            </w:r>
          </w:p>
        </w:tc>
        <w:tc>
          <w:tcPr>
            <w:tcW w:w="2835" w:type="dxa"/>
            <w:vAlign w:val="center"/>
          </w:tcPr>
          <w:p w14:paraId="1D06B283">
            <w:pPr>
              <w:pStyle w:val="11"/>
            </w:pPr>
            <w:r>
              <w:t>项目名称</w:t>
            </w:r>
          </w:p>
        </w:tc>
        <w:tc>
          <w:tcPr>
            <w:tcW w:w="6095" w:type="dxa"/>
            <w:gridSpan w:val="3"/>
            <w:vAlign w:val="center"/>
          </w:tcPr>
          <w:p w14:paraId="58E1969E">
            <w:pPr>
              <w:pStyle w:val="13"/>
            </w:pPr>
            <w:r>
              <w:t>冀财教[2024]123号/中央/2025年义教补助经费/尧山中学公用经费</w:t>
            </w:r>
          </w:p>
        </w:tc>
      </w:tr>
      <w:tr w14:paraId="05E17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845CE">
            <w:pPr>
              <w:pStyle w:val="11"/>
            </w:pPr>
            <w:r>
              <w:t>预算规模及资金用途</w:t>
            </w:r>
          </w:p>
        </w:tc>
        <w:tc>
          <w:tcPr>
            <w:tcW w:w="2268" w:type="dxa"/>
            <w:vAlign w:val="center"/>
          </w:tcPr>
          <w:p w14:paraId="51AB7937">
            <w:pPr>
              <w:pStyle w:val="11"/>
            </w:pPr>
            <w:r>
              <w:t>预算数</w:t>
            </w:r>
          </w:p>
        </w:tc>
        <w:tc>
          <w:tcPr>
            <w:tcW w:w="2835" w:type="dxa"/>
            <w:vAlign w:val="center"/>
          </w:tcPr>
          <w:p w14:paraId="77C810D6">
            <w:pPr>
              <w:pStyle w:val="13"/>
            </w:pPr>
            <w:r>
              <w:t>302.58</w:t>
            </w:r>
          </w:p>
        </w:tc>
        <w:tc>
          <w:tcPr>
            <w:tcW w:w="2835" w:type="dxa"/>
            <w:vAlign w:val="center"/>
          </w:tcPr>
          <w:p w14:paraId="62B2AA6B">
            <w:pPr>
              <w:pStyle w:val="11"/>
            </w:pPr>
            <w:r>
              <w:t>其中：财政    资金</w:t>
            </w:r>
          </w:p>
        </w:tc>
        <w:tc>
          <w:tcPr>
            <w:tcW w:w="2551" w:type="dxa"/>
            <w:vAlign w:val="center"/>
          </w:tcPr>
          <w:p w14:paraId="7B971D9F">
            <w:pPr>
              <w:pStyle w:val="13"/>
            </w:pPr>
            <w:r>
              <w:t>302.58</w:t>
            </w:r>
          </w:p>
        </w:tc>
        <w:tc>
          <w:tcPr>
            <w:tcW w:w="2268" w:type="dxa"/>
            <w:vAlign w:val="center"/>
          </w:tcPr>
          <w:p w14:paraId="78C315EB">
            <w:pPr>
              <w:pStyle w:val="11"/>
            </w:pPr>
            <w:r>
              <w:t>其他资金</w:t>
            </w:r>
          </w:p>
        </w:tc>
        <w:tc>
          <w:tcPr>
            <w:tcW w:w="1276" w:type="dxa"/>
            <w:vAlign w:val="center"/>
          </w:tcPr>
          <w:p w14:paraId="0C3F7CCF">
            <w:pPr>
              <w:pStyle w:val="13"/>
            </w:pPr>
            <w:r>
              <w:t xml:space="preserve"> </w:t>
            </w:r>
          </w:p>
        </w:tc>
      </w:tr>
      <w:tr w14:paraId="10358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6472FD"/>
        </w:tc>
        <w:tc>
          <w:tcPr>
            <w:tcW w:w="14033" w:type="dxa"/>
            <w:gridSpan w:val="6"/>
            <w:vAlign w:val="center"/>
          </w:tcPr>
          <w:p w14:paraId="691364BF">
            <w:pPr>
              <w:pStyle w:val="13"/>
            </w:pPr>
            <w:r>
              <w:t>保障义务教育学校正常运转，全面贯彻党的教育方针，办人民满意的教育，高质量、高标准完成教育教学活动和其他日常工作任务等方面的费用支出。</w:t>
            </w:r>
            <w:r>
              <w:tab/>
            </w:r>
            <w:r>
              <w:tab/>
            </w:r>
            <w:r>
              <w:tab/>
            </w:r>
            <w:r>
              <w:tab/>
            </w:r>
            <w:r>
              <w:tab/>
            </w:r>
            <w:r>
              <w:tab/>
            </w:r>
          </w:p>
          <w:p w14:paraId="49B7F380">
            <w:pPr>
              <w:pStyle w:val="13"/>
            </w:pPr>
          </w:p>
        </w:tc>
      </w:tr>
      <w:tr w14:paraId="004BE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56B16">
            <w:pPr>
              <w:pStyle w:val="11"/>
            </w:pPr>
            <w:r>
              <w:t>资金支出计划（%）</w:t>
            </w:r>
          </w:p>
        </w:tc>
        <w:tc>
          <w:tcPr>
            <w:tcW w:w="5103" w:type="dxa"/>
            <w:gridSpan w:val="2"/>
            <w:vAlign w:val="center"/>
          </w:tcPr>
          <w:p w14:paraId="7E3A3880">
            <w:pPr>
              <w:pStyle w:val="11"/>
            </w:pPr>
            <w:r>
              <w:t>3月底</w:t>
            </w:r>
          </w:p>
        </w:tc>
        <w:tc>
          <w:tcPr>
            <w:tcW w:w="2835" w:type="dxa"/>
            <w:vAlign w:val="center"/>
          </w:tcPr>
          <w:p w14:paraId="55C9A6FE">
            <w:pPr>
              <w:pStyle w:val="11"/>
            </w:pPr>
            <w:r>
              <w:t>6月底</w:t>
            </w:r>
          </w:p>
        </w:tc>
        <w:tc>
          <w:tcPr>
            <w:tcW w:w="2551" w:type="dxa"/>
            <w:vAlign w:val="center"/>
          </w:tcPr>
          <w:p w14:paraId="5586BD88">
            <w:pPr>
              <w:pStyle w:val="11"/>
            </w:pPr>
            <w:r>
              <w:t>10月底</w:t>
            </w:r>
          </w:p>
        </w:tc>
        <w:tc>
          <w:tcPr>
            <w:tcW w:w="3544" w:type="dxa"/>
            <w:gridSpan w:val="2"/>
            <w:vAlign w:val="center"/>
          </w:tcPr>
          <w:p w14:paraId="6394FDEF">
            <w:pPr>
              <w:pStyle w:val="11"/>
            </w:pPr>
            <w:r>
              <w:t>12月底</w:t>
            </w:r>
          </w:p>
        </w:tc>
      </w:tr>
      <w:tr w14:paraId="518A5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FD147"/>
        </w:tc>
        <w:tc>
          <w:tcPr>
            <w:tcW w:w="5103" w:type="dxa"/>
            <w:gridSpan w:val="2"/>
            <w:vAlign w:val="center"/>
          </w:tcPr>
          <w:p w14:paraId="1BE9291E">
            <w:pPr>
              <w:pStyle w:val="12"/>
            </w:pPr>
            <w:r>
              <w:t>25%</w:t>
            </w:r>
          </w:p>
        </w:tc>
        <w:tc>
          <w:tcPr>
            <w:tcW w:w="2835" w:type="dxa"/>
            <w:vAlign w:val="center"/>
          </w:tcPr>
          <w:p w14:paraId="447F37DE">
            <w:pPr>
              <w:pStyle w:val="12"/>
            </w:pPr>
            <w:r>
              <w:t>50%</w:t>
            </w:r>
          </w:p>
        </w:tc>
        <w:tc>
          <w:tcPr>
            <w:tcW w:w="2551" w:type="dxa"/>
            <w:vAlign w:val="center"/>
          </w:tcPr>
          <w:p w14:paraId="2FE09514">
            <w:pPr>
              <w:pStyle w:val="12"/>
            </w:pPr>
            <w:r>
              <w:t>75%</w:t>
            </w:r>
          </w:p>
        </w:tc>
        <w:tc>
          <w:tcPr>
            <w:tcW w:w="3544" w:type="dxa"/>
            <w:gridSpan w:val="2"/>
            <w:vAlign w:val="center"/>
          </w:tcPr>
          <w:p w14:paraId="4571A75E">
            <w:pPr>
              <w:pStyle w:val="12"/>
            </w:pPr>
            <w:r>
              <w:t>100%</w:t>
            </w:r>
          </w:p>
        </w:tc>
      </w:tr>
      <w:tr w14:paraId="00D01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5B070">
            <w:pPr>
              <w:pStyle w:val="11"/>
            </w:pPr>
            <w:r>
              <w:t>绩效目标</w:t>
            </w:r>
          </w:p>
        </w:tc>
        <w:tc>
          <w:tcPr>
            <w:tcW w:w="14033" w:type="dxa"/>
            <w:gridSpan w:val="6"/>
            <w:vAlign w:val="center"/>
          </w:tcPr>
          <w:p w14:paraId="1C938897">
            <w:pPr>
              <w:pStyle w:val="13"/>
            </w:pPr>
            <w:r>
              <w:t>1.按规定拨付公用经费资金3025840元，资金拨付率达到100%。</w:t>
            </w:r>
          </w:p>
          <w:p w14:paraId="592A7113">
            <w:pPr>
              <w:pStyle w:val="13"/>
            </w:pPr>
            <w:r>
              <w:t xml:space="preserve">2.保障义务教育学校正常运转，全面贯彻党的教育方针，办人民满意的教育，高质量、高标准完成教育教学活动和其他日常工作任务等方面的费用支出。 </w:t>
            </w:r>
          </w:p>
        </w:tc>
      </w:tr>
    </w:tbl>
    <w:p w14:paraId="5B1EC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14:paraId="07694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B5836">
            <w:pPr>
              <w:pStyle w:val="11"/>
            </w:pPr>
            <w:r>
              <w:t>一级指标</w:t>
            </w:r>
          </w:p>
        </w:tc>
        <w:tc>
          <w:tcPr>
            <w:tcW w:w="2268" w:type="dxa"/>
            <w:vAlign w:val="center"/>
          </w:tcPr>
          <w:p w14:paraId="50D570DE">
            <w:pPr>
              <w:pStyle w:val="11"/>
            </w:pPr>
            <w:r>
              <w:t>二级指标</w:t>
            </w:r>
          </w:p>
        </w:tc>
        <w:tc>
          <w:tcPr>
            <w:tcW w:w="2835" w:type="dxa"/>
            <w:vAlign w:val="center"/>
          </w:tcPr>
          <w:p w14:paraId="373689F1">
            <w:pPr>
              <w:pStyle w:val="11"/>
            </w:pPr>
            <w:r>
              <w:t>三级指标</w:t>
            </w:r>
          </w:p>
        </w:tc>
        <w:tc>
          <w:tcPr>
            <w:tcW w:w="5386" w:type="dxa"/>
            <w:vAlign w:val="center"/>
          </w:tcPr>
          <w:p w14:paraId="3A48F70E">
            <w:pPr>
              <w:pStyle w:val="11"/>
            </w:pPr>
            <w:r>
              <w:t>绩效指标描述</w:t>
            </w:r>
          </w:p>
        </w:tc>
        <w:tc>
          <w:tcPr>
            <w:tcW w:w="1658" w:type="dxa"/>
            <w:vAlign w:val="center"/>
          </w:tcPr>
          <w:p w14:paraId="33D1A80E">
            <w:pPr>
              <w:pStyle w:val="11"/>
            </w:pPr>
            <w:r>
              <w:t>指标值</w:t>
            </w:r>
          </w:p>
        </w:tc>
        <w:tc>
          <w:tcPr>
            <w:tcW w:w="1886" w:type="dxa"/>
            <w:vAlign w:val="center"/>
          </w:tcPr>
          <w:p w14:paraId="573E6490">
            <w:pPr>
              <w:pStyle w:val="11"/>
            </w:pPr>
            <w:r>
              <w:t>指标值确定依据</w:t>
            </w:r>
          </w:p>
        </w:tc>
      </w:tr>
      <w:tr w14:paraId="36B68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305B1">
            <w:pPr>
              <w:pStyle w:val="12"/>
            </w:pPr>
            <w:r>
              <w:t>产出指标</w:t>
            </w:r>
          </w:p>
        </w:tc>
        <w:tc>
          <w:tcPr>
            <w:tcW w:w="2268" w:type="dxa"/>
            <w:vAlign w:val="center"/>
          </w:tcPr>
          <w:p w14:paraId="794FCA11">
            <w:pPr>
              <w:pStyle w:val="13"/>
            </w:pPr>
            <w:r>
              <w:t>数量指标</w:t>
            </w:r>
          </w:p>
        </w:tc>
        <w:tc>
          <w:tcPr>
            <w:tcW w:w="2835" w:type="dxa"/>
            <w:vAlign w:val="center"/>
          </w:tcPr>
          <w:p w14:paraId="7D1CE747">
            <w:pPr>
              <w:pStyle w:val="13"/>
            </w:pPr>
            <w:r>
              <w:t>适龄在校生</w:t>
            </w:r>
          </w:p>
        </w:tc>
        <w:tc>
          <w:tcPr>
            <w:tcW w:w="5386" w:type="dxa"/>
            <w:vAlign w:val="center"/>
          </w:tcPr>
          <w:p w14:paraId="2877506F">
            <w:pPr>
              <w:pStyle w:val="13"/>
            </w:pPr>
            <w:r>
              <w:t>适龄在校就读学生人数</w:t>
            </w:r>
          </w:p>
        </w:tc>
        <w:tc>
          <w:tcPr>
            <w:tcW w:w="1658" w:type="dxa"/>
            <w:vAlign w:val="center"/>
          </w:tcPr>
          <w:p w14:paraId="21CEA302">
            <w:pPr>
              <w:pStyle w:val="13"/>
            </w:pPr>
            <w:r>
              <w:t>2849人</w:t>
            </w:r>
          </w:p>
        </w:tc>
        <w:tc>
          <w:tcPr>
            <w:tcW w:w="1886" w:type="dxa"/>
            <w:vAlign w:val="center"/>
          </w:tcPr>
          <w:p w14:paraId="7BD4BC54">
            <w:pPr>
              <w:pStyle w:val="13"/>
            </w:pPr>
            <w:r>
              <w:t>城乡义务教育公用经费管理办法</w:t>
            </w:r>
          </w:p>
        </w:tc>
      </w:tr>
      <w:tr w14:paraId="0CB6B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E97D7"/>
        </w:tc>
        <w:tc>
          <w:tcPr>
            <w:tcW w:w="2268" w:type="dxa"/>
            <w:vAlign w:val="center"/>
          </w:tcPr>
          <w:p w14:paraId="450452D6">
            <w:pPr>
              <w:pStyle w:val="13"/>
            </w:pPr>
            <w:r>
              <w:t>质量指标</w:t>
            </w:r>
          </w:p>
        </w:tc>
        <w:tc>
          <w:tcPr>
            <w:tcW w:w="2835" w:type="dxa"/>
            <w:vAlign w:val="center"/>
          </w:tcPr>
          <w:p w14:paraId="7FF332C5">
            <w:pPr>
              <w:pStyle w:val="13"/>
            </w:pPr>
            <w:r>
              <w:t>预算控制率</w:t>
            </w:r>
          </w:p>
        </w:tc>
        <w:tc>
          <w:tcPr>
            <w:tcW w:w="5386" w:type="dxa"/>
            <w:vAlign w:val="center"/>
          </w:tcPr>
          <w:p w14:paraId="5A0E364D">
            <w:pPr>
              <w:pStyle w:val="13"/>
            </w:pPr>
            <w:r>
              <w:t>预算执行率</w:t>
            </w:r>
          </w:p>
        </w:tc>
        <w:tc>
          <w:tcPr>
            <w:tcW w:w="1658" w:type="dxa"/>
            <w:vAlign w:val="center"/>
          </w:tcPr>
          <w:p w14:paraId="63A395DD">
            <w:pPr>
              <w:pStyle w:val="13"/>
            </w:pPr>
            <w:r>
              <w:t>≥95%</w:t>
            </w:r>
          </w:p>
        </w:tc>
        <w:tc>
          <w:tcPr>
            <w:tcW w:w="1886" w:type="dxa"/>
            <w:vAlign w:val="center"/>
          </w:tcPr>
          <w:p w14:paraId="5E09A83E">
            <w:pPr>
              <w:pStyle w:val="13"/>
            </w:pPr>
            <w:r>
              <w:t>城乡义务教育公用经费管理办法</w:t>
            </w:r>
          </w:p>
        </w:tc>
      </w:tr>
      <w:tr w14:paraId="384A3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D0651"/>
        </w:tc>
        <w:tc>
          <w:tcPr>
            <w:tcW w:w="2268" w:type="dxa"/>
            <w:vAlign w:val="center"/>
          </w:tcPr>
          <w:p w14:paraId="2332D767">
            <w:pPr>
              <w:pStyle w:val="13"/>
            </w:pPr>
            <w:r>
              <w:t>时效指标</w:t>
            </w:r>
          </w:p>
        </w:tc>
        <w:tc>
          <w:tcPr>
            <w:tcW w:w="2835" w:type="dxa"/>
            <w:vAlign w:val="center"/>
          </w:tcPr>
          <w:p w14:paraId="35D7AF6D">
            <w:pPr>
              <w:pStyle w:val="13"/>
            </w:pPr>
            <w:r>
              <w:t>资金支付率</w:t>
            </w:r>
          </w:p>
        </w:tc>
        <w:tc>
          <w:tcPr>
            <w:tcW w:w="5386" w:type="dxa"/>
            <w:vAlign w:val="center"/>
          </w:tcPr>
          <w:p w14:paraId="1F253CED">
            <w:pPr>
              <w:pStyle w:val="13"/>
            </w:pPr>
            <w:r>
              <w:t>按照序时进度完成资金支付</w:t>
            </w:r>
          </w:p>
        </w:tc>
        <w:tc>
          <w:tcPr>
            <w:tcW w:w="1658" w:type="dxa"/>
            <w:vAlign w:val="center"/>
          </w:tcPr>
          <w:p w14:paraId="0F72672B">
            <w:pPr>
              <w:pStyle w:val="13"/>
            </w:pPr>
            <w:r>
              <w:t>100%</w:t>
            </w:r>
          </w:p>
        </w:tc>
        <w:tc>
          <w:tcPr>
            <w:tcW w:w="1886" w:type="dxa"/>
            <w:vAlign w:val="center"/>
          </w:tcPr>
          <w:p w14:paraId="7407AB28">
            <w:pPr>
              <w:pStyle w:val="13"/>
            </w:pPr>
            <w:r>
              <w:t>城乡义务教育公用经费管理办法</w:t>
            </w:r>
          </w:p>
        </w:tc>
      </w:tr>
      <w:tr w14:paraId="0A9AB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02D9A"/>
        </w:tc>
        <w:tc>
          <w:tcPr>
            <w:tcW w:w="2268" w:type="dxa"/>
            <w:vAlign w:val="center"/>
          </w:tcPr>
          <w:p w14:paraId="2F14D016">
            <w:pPr>
              <w:pStyle w:val="13"/>
            </w:pPr>
            <w:r>
              <w:t>成本指标</w:t>
            </w:r>
          </w:p>
        </w:tc>
        <w:tc>
          <w:tcPr>
            <w:tcW w:w="2835" w:type="dxa"/>
            <w:vAlign w:val="center"/>
          </w:tcPr>
          <w:p w14:paraId="24C41687">
            <w:pPr>
              <w:pStyle w:val="13"/>
            </w:pPr>
            <w:r>
              <w:t>生均拨款标准</w:t>
            </w:r>
          </w:p>
        </w:tc>
        <w:tc>
          <w:tcPr>
            <w:tcW w:w="5386" w:type="dxa"/>
            <w:vAlign w:val="center"/>
          </w:tcPr>
          <w:p w14:paraId="1C6751EC">
            <w:pPr>
              <w:pStyle w:val="13"/>
            </w:pPr>
            <w:r>
              <w:t>初中生均补助年标准</w:t>
            </w:r>
          </w:p>
        </w:tc>
        <w:tc>
          <w:tcPr>
            <w:tcW w:w="1658" w:type="dxa"/>
            <w:vAlign w:val="center"/>
          </w:tcPr>
          <w:p w14:paraId="60551709">
            <w:pPr>
              <w:pStyle w:val="13"/>
            </w:pPr>
            <w:r>
              <w:t>1360元</w:t>
            </w:r>
          </w:p>
        </w:tc>
        <w:tc>
          <w:tcPr>
            <w:tcW w:w="1886" w:type="dxa"/>
            <w:vAlign w:val="center"/>
          </w:tcPr>
          <w:p w14:paraId="4184CC0D">
            <w:pPr>
              <w:pStyle w:val="13"/>
            </w:pPr>
            <w:r>
              <w:t>城乡义务教育公用经费管理办法</w:t>
            </w:r>
          </w:p>
        </w:tc>
      </w:tr>
      <w:tr w14:paraId="0AC5A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6AD70"/>
        </w:tc>
        <w:tc>
          <w:tcPr>
            <w:tcW w:w="2268" w:type="dxa"/>
            <w:vAlign w:val="center"/>
          </w:tcPr>
          <w:p w14:paraId="108A600B">
            <w:pPr>
              <w:pStyle w:val="13"/>
            </w:pPr>
            <w:r>
              <w:t>成本指标</w:t>
            </w:r>
          </w:p>
        </w:tc>
        <w:tc>
          <w:tcPr>
            <w:tcW w:w="2835" w:type="dxa"/>
            <w:vAlign w:val="center"/>
          </w:tcPr>
          <w:p w14:paraId="615B9E4B">
            <w:pPr>
              <w:pStyle w:val="13"/>
            </w:pPr>
            <w:r>
              <w:t>生均拨款标准</w:t>
            </w:r>
          </w:p>
        </w:tc>
        <w:tc>
          <w:tcPr>
            <w:tcW w:w="5386" w:type="dxa"/>
            <w:vAlign w:val="center"/>
          </w:tcPr>
          <w:p w14:paraId="69D08BD8">
            <w:pPr>
              <w:pStyle w:val="13"/>
            </w:pPr>
            <w:r>
              <w:t>初中生均补助年标准</w:t>
            </w:r>
          </w:p>
        </w:tc>
        <w:tc>
          <w:tcPr>
            <w:tcW w:w="1658" w:type="dxa"/>
            <w:vAlign w:val="center"/>
          </w:tcPr>
          <w:p w14:paraId="3FA50A27">
            <w:pPr>
              <w:pStyle w:val="13"/>
            </w:pPr>
            <w:r>
              <w:t>7000元</w:t>
            </w:r>
          </w:p>
        </w:tc>
        <w:tc>
          <w:tcPr>
            <w:tcW w:w="1886" w:type="dxa"/>
            <w:vAlign w:val="center"/>
          </w:tcPr>
          <w:p w14:paraId="38EF9E18">
            <w:pPr>
              <w:pStyle w:val="13"/>
            </w:pPr>
            <w:r>
              <w:t>城乡义务教育公用经费管理办法</w:t>
            </w:r>
          </w:p>
        </w:tc>
      </w:tr>
      <w:tr w14:paraId="7EB71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4810F">
            <w:pPr>
              <w:pStyle w:val="12"/>
            </w:pPr>
            <w:r>
              <w:t>效益指标</w:t>
            </w:r>
          </w:p>
        </w:tc>
        <w:tc>
          <w:tcPr>
            <w:tcW w:w="2268" w:type="dxa"/>
            <w:vAlign w:val="center"/>
          </w:tcPr>
          <w:p w14:paraId="5656D34D">
            <w:pPr>
              <w:pStyle w:val="13"/>
            </w:pPr>
            <w:r>
              <w:t>社会效益指标</w:t>
            </w:r>
          </w:p>
        </w:tc>
        <w:tc>
          <w:tcPr>
            <w:tcW w:w="2835" w:type="dxa"/>
            <w:vAlign w:val="center"/>
          </w:tcPr>
          <w:p w14:paraId="21F72197">
            <w:pPr>
              <w:pStyle w:val="13"/>
            </w:pPr>
            <w:r>
              <w:t>学校日常运转正常</w:t>
            </w:r>
          </w:p>
        </w:tc>
        <w:tc>
          <w:tcPr>
            <w:tcW w:w="5386" w:type="dxa"/>
            <w:vAlign w:val="center"/>
          </w:tcPr>
          <w:p w14:paraId="5D876EF1">
            <w:pPr>
              <w:pStyle w:val="13"/>
            </w:pPr>
            <w:r>
              <w:t>学生受教育年限</w:t>
            </w:r>
          </w:p>
        </w:tc>
        <w:tc>
          <w:tcPr>
            <w:tcW w:w="1658" w:type="dxa"/>
            <w:vAlign w:val="center"/>
          </w:tcPr>
          <w:p w14:paraId="6C478075">
            <w:pPr>
              <w:pStyle w:val="13"/>
            </w:pPr>
            <w:r>
              <w:t>3年</w:t>
            </w:r>
          </w:p>
        </w:tc>
        <w:tc>
          <w:tcPr>
            <w:tcW w:w="1886" w:type="dxa"/>
            <w:vAlign w:val="center"/>
          </w:tcPr>
          <w:p w14:paraId="7E46899F">
            <w:pPr>
              <w:pStyle w:val="13"/>
            </w:pPr>
            <w:r>
              <w:t>城乡义务教育公用经费管理办法</w:t>
            </w:r>
          </w:p>
        </w:tc>
      </w:tr>
      <w:tr w14:paraId="0465D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69A537">
            <w:pPr>
              <w:pStyle w:val="12"/>
            </w:pPr>
            <w:r>
              <w:t>满意度指标</w:t>
            </w:r>
          </w:p>
        </w:tc>
        <w:tc>
          <w:tcPr>
            <w:tcW w:w="2268" w:type="dxa"/>
            <w:vAlign w:val="center"/>
          </w:tcPr>
          <w:p w14:paraId="0A3BC511">
            <w:pPr>
              <w:pStyle w:val="13"/>
            </w:pPr>
            <w:r>
              <w:t>服务对象满意度指标</w:t>
            </w:r>
          </w:p>
        </w:tc>
        <w:tc>
          <w:tcPr>
            <w:tcW w:w="2835" w:type="dxa"/>
            <w:vAlign w:val="center"/>
          </w:tcPr>
          <w:p w14:paraId="3765B3DE">
            <w:pPr>
              <w:pStyle w:val="13"/>
            </w:pPr>
            <w:r>
              <w:t>受益学生家长及调查满意度</w:t>
            </w:r>
          </w:p>
        </w:tc>
        <w:tc>
          <w:tcPr>
            <w:tcW w:w="5386" w:type="dxa"/>
            <w:vAlign w:val="center"/>
          </w:tcPr>
          <w:p w14:paraId="277E6C1A">
            <w:pPr>
              <w:pStyle w:val="13"/>
            </w:pPr>
            <w:r>
              <w:t>学生、教师及家长对学校教育教学工作满意度情况</w:t>
            </w:r>
          </w:p>
        </w:tc>
        <w:tc>
          <w:tcPr>
            <w:tcW w:w="1658" w:type="dxa"/>
            <w:vAlign w:val="center"/>
          </w:tcPr>
          <w:p w14:paraId="50347867">
            <w:pPr>
              <w:pStyle w:val="13"/>
            </w:pPr>
            <w:r>
              <w:t>≥95%</w:t>
            </w:r>
          </w:p>
        </w:tc>
        <w:tc>
          <w:tcPr>
            <w:tcW w:w="1886" w:type="dxa"/>
            <w:vAlign w:val="center"/>
          </w:tcPr>
          <w:p w14:paraId="43AEC797">
            <w:pPr>
              <w:pStyle w:val="13"/>
            </w:pPr>
            <w:r>
              <w:t>调查问卷</w:t>
            </w:r>
          </w:p>
        </w:tc>
      </w:tr>
    </w:tbl>
    <w:p w14:paraId="441BB949">
      <w:pPr>
        <w:sectPr>
          <w:pgSz w:w="16840" w:h="11900" w:orient="landscape"/>
          <w:pgMar w:top="1361" w:right="1020" w:bottom="1134" w:left="1020" w:header="720" w:footer="720" w:gutter="0"/>
          <w:cols w:space="720" w:num="1"/>
        </w:sectPr>
      </w:pPr>
    </w:p>
    <w:p w14:paraId="74DB847F">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3、冀财教[2024]123号/中央/2025年义教补助经费/综合奖补/尧山中学变压器购置绩效目标表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52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CBB8D">
            <w:pPr>
              <w:pStyle w:val="14"/>
            </w:pPr>
            <w:r>
              <w:t>单位：万元</w:t>
            </w:r>
          </w:p>
        </w:tc>
      </w:tr>
      <w:tr w14:paraId="0A369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6BA618">
            <w:pPr>
              <w:pStyle w:val="11"/>
            </w:pPr>
            <w:r>
              <w:t>项目编码</w:t>
            </w:r>
          </w:p>
        </w:tc>
        <w:tc>
          <w:tcPr>
            <w:tcW w:w="5103" w:type="dxa"/>
            <w:gridSpan w:val="2"/>
            <w:vAlign w:val="center"/>
          </w:tcPr>
          <w:p w14:paraId="2DF9F21D">
            <w:pPr>
              <w:pStyle w:val="13"/>
            </w:pPr>
            <w:r>
              <w:t>13052525P008756102295</w:t>
            </w:r>
          </w:p>
        </w:tc>
        <w:tc>
          <w:tcPr>
            <w:tcW w:w="2835" w:type="dxa"/>
            <w:vAlign w:val="center"/>
          </w:tcPr>
          <w:p w14:paraId="1F779A61">
            <w:pPr>
              <w:pStyle w:val="11"/>
            </w:pPr>
            <w:r>
              <w:t>项目名称</w:t>
            </w:r>
          </w:p>
        </w:tc>
        <w:tc>
          <w:tcPr>
            <w:tcW w:w="6095" w:type="dxa"/>
            <w:gridSpan w:val="3"/>
            <w:vAlign w:val="center"/>
          </w:tcPr>
          <w:p w14:paraId="7AE06CA4">
            <w:pPr>
              <w:pStyle w:val="13"/>
            </w:pPr>
            <w:r>
              <w:t>冀财教[2024]123号/中央/2025年义教补助经费/综合奖补/尧山中学变压器购置</w:t>
            </w:r>
          </w:p>
        </w:tc>
      </w:tr>
      <w:tr w14:paraId="5C00F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0B59A">
            <w:pPr>
              <w:pStyle w:val="11"/>
            </w:pPr>
            <w:r>
              <w:t>预算规模及资金用途</w:t>
            </w:r>
          </w:p>
        </w:tc>
        <w:tc>
          <w:tcPr>
            <w:tcW w:w="2268" w:type="dxa"/>
            <w:vAlign w:val="center"/>
          </w:tcPr>
          <w:p w14:paraId="423EC9DC">
            <w:pPr>
              <w:pStyle w:val="11"/>
            </w:pPr>
            <w:r>
              <w:t>预算数</w:t>
            </w:r>
          </w:p>
        </w:tc>
        <w:tc>
          <w:tcPr>
            <w:tcW w:w="2835" w:type="dxa"/>
            <w:vAlign w:val="center"/>
          </w:tcPr>
          <w:p w14:paraId="74C7B72C">
            <w:pPr>
              <w:pStyle w:val="13"/>
            </w:pPr>
            <w:r>
              <w:t>28.00</w:t>
            </w:r>
          </w:p>
        </w:tc>
        <w:tc>
          <w:tcPr>
            <w:tcW w:w="2835" w:type="dxa"/>
            <w:vAlign w:val="center"/>
          </w:tcPr>
          <w:p w14:paraId="27557EA4">
            <w:pPr>
              <w:pStyle w:val="11"/>
            </w:pPr>
            <w:r>
              <w:t>其中：财政    资金</w:t>
            </w:r>
          </w:p>
        </w:tc>
        <w:tc>
          <w:tcPr>
            <w:tcW w:w="2551" w:type="dxa"/>
            <w:vAlign w:val="center"/>
          </w:tcPr>
          <w:p w14:paraId="637E8551">
            <w:pPr>
              <w:pStyle w:val="13"/>
            </w:pPr>
            <w:r>
              <w:t>28.00</w:t>
            </w:r>
          </w:p>
        </w:tc>
        <w:tc>
          <w:tcPr>
            <w:tcW w:w="2268" w:type="dxa"/>
            <w:vAlign w:val="center"/>
          </w:tcPr>
          <w:p w14:paraId="3CB928AC">
            <w:pPr>
              <w:pStyle w:val="11"/>
            </w:pPr>
            <w:r>
              <w:t>其他资金</w:t>
            </w:r>
          </w:p>
        </w:tc>
        <w:tc>
          <w:tcPr>
            <w:tcW w:w="1276" w:type="dxa"/>
            <w:vAlign w:val="center"/>
          </w:tcPr>
          <w:p w14:paraId="07BDDD4A">
            <w:pPr>
              <w:pStyle w:val="13"/>
            </w:pPr>
            <w:r>
              <w:t xml:space="preserve"> </w:t>
            </w:r>
          </w:p>
        </w:tc>
      </w:tr>
      <w:tr w14:paraId="3545E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82727"/>
        </w:tc>
        <w:tc>
          <w:tcPr>
            <w:tcW w:w="14033" w:type="dxa"/>
            <w:gridSpan w:val="6"/>
            <w:vAlign w:val="center"/>
          </w:tcPr>
          <w:p w14:paraId="26DBDDB1">
            <w:pPr>
              <w:pStyle w:val="13"/>
            </w:pPr>
            <w:r>
              <w:t>保障学校用电安全、充足，提高学校办学条件</w:t>
            </w:r>
          </w:p>
        </w:tc>
      </w:tr>
      <w:tr w14:paraId="52860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E5B5B">
            <w:pPr>
              <w:pStyle w:val="11"/>
            </w:pPr>
            <w:r>
              <w:t>资金支出计划（%）</w:t>
            </w:r>
          </w:p>
        </w:tc>
        <w:tc>
          <w:tcPr>
            <w:tcW w:w="5103" w:type="dxa"/>
            <w:gridSpan w:val="2"/>
            <w:vAlign w:val="center"/>
          </w:tcPr>
          <w:p w14:paraId="68EE17BC">
            <w:pPr>
              <w:pStyle w:val="11"/>
            </w:pPr>
            <w:r>
              <w:t>3月底</w:t>
            </w:r>
          </w:p>
        </w:tc>
        <w:tc>
          <w:tcPr>
            <w:tcW w:w="2835" w:type="dxa"/>
            <w:vAlign w:val="center"/>
          </w:tcPr>
          <w:p w14:paraId="514CDEC6">
            <w:pPr>
              <w:pStyle w:val="11"/>
            </w:pPr>
            <w:r>
              <w:t>6月底</w:t>
            </w:r>
          </w:p>
        </w:tc>
        <w:tc>
          <w:tcPr>
            <w:tcW w:w="2551" w:type="dxa"/>
            <w:vAlign w:val="center"/>
          </w:tcPr>
          <w:p w14:paraId="55601672">
            <w:pPr>
              <w:pStyle w:val="11"/>
            </w:pPr>
            <w:r>
              <w:t>10月底</w:t>
            </w:r>
          </w:p>
        </w:tc>
        <w:tc>
          <w:tcPr>
            <w:tcW w:w="3544" w:type="dxa"/>
            <w:gridSpan w:val="2"/>
            <w:vAlign w:val="center"/>
          </w:tcPr>
          <w:p w14:paraId="54EBEC3E">
            <w:pPr>
              <w:pStyle w:val="11"/>
            </w:pPr>
            <w:r>
              <w:t>12月底</w:t>
            </w:r>
          </w:p>
        </w:tc>
      </w:tr>
      <w:tr w14:paraId="3696F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4F70E9"/>
        </w:tc>
        <w:tc>
          <w:tcPr>
            <w:tcW w:w="5103" w:type="dxa"/>
            <w:gridSpan w:val="2"/>
            <w:vAlign w:val="center"/>
          </w:tcPr>
          <w:p w14:paraId="42D1463C">
            <w:pPr>
              <w:pStyle w:val="12"/>
            </w:pPr>
            <w:r>
              <w:t>25%</w:t>
            </w:r>
          </w:p>
        </w:tc>
        <w:tc>
          <w:tcPr>
            <w:tcW w:w="2835" w:type="dxa"/>
            <w:vAlign w:val="center"/>
          </w:tcPr>
          <w:p w14:paraId="1F9F8703">
            <w:pPr>
              <w:pStyle w:val="12"/>
            </w:pPr>
            <w:r>
              <w:t>50%</w:t>
            </w:r>
          </w:p>
        </w:tc>
        <w:tc>
          <w:tcPr>
            <w:tcW w:w="2551" w:type="dxa"/>
            <w:vAlign w:val="center"/>
          </w:tcPr>
          <w:p w14:paraId="6598E62E">
            <w:pPr>
              <w:pStyle w:val="12"/>
            </w:pPr>
            <w:r>
              <w:t>75%</w:t>
            </w:r>
          </w:p>
        </w:tc>
        <w:tc>
          <w:tcPr>
            <w:tcW w:w="3544" w:type="dxa"/>
            <w:gridSpan w:val="2"/>
            <w:vAlign w:val="center"/>
          </w:tcPr>
          <w:p w14:paraId="6D91C237">
            <w:pPr>
              <w:pStyle w:val="12"/>
            </w:pPr>
            <w:r>
              <w:t>100%</w:t>
            </w:r>
          </w:p>
        </w:tc>
      </w:tr>
      <w:tr w14:paraId="6ACE7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586385">
            <w:pPr>
              <w:pStyle w:val="11"/>
            </w:pPr>
            <w:r>
              <w:t>绩效目标</w:t>
            </w:r>
          </w:p>
        </w:tc>
        <w:tc>
          <w:tcPr>
            <w:tcW w:w="14033" w:type="dxa"/>
            <w:gridSpan w:val="6"/>
            <w:vAlign w:val="center"/>
          </w:tcPr>
          <w:p w14:paraId="79832F8E">
            <w:pPr>
              <w:pStyle w:val="13"/>
            </w:pPr>
            <w:r>
              <w:t>1.尧山中学中学500箱变压器项目资金160000元，资金拨付率达100%</w:t>
            </w:r>
            <w:r>
              <w:tab/>
            </w:r>
            <w:r>
              <w:tab/>
            </w:r>
            <w:r>
              <w:tab/>
            </w:r>
          </w:p>
          <w:p w14:paraId="0D1F5FA3">
            <w:pPr>
              <w:pStyle w:val="13"/>
            </w:pPr>
            <w:r>
              <w:t>2.保障学校用电安全、充足，提高学校办学条件</w:t>
            </w:r>
          </w:p>
        </w:tc>
      </w:tr>
    </w:tbl>
    <w:p w14:paraId="23BAC8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40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31C49F0">
            <w:pPr>
              <w:pStyle w:val="11"/>
            </w:pPr>
            <w:r>
              <w:t>一级指标</w:t>
            </w:r>
          </w:p>
        </w:tc>
        <w:tc>
          <w:tcPr>
            <w:tcW w:w="2268" w:type="dxa"/>
            <w:vAlign w:val="center"/>
          </w:tcPr>
          <w:p w14:paraId="18340851">
            <w:pPr>
              <w:pStyle w:val="11"/>
            </w:pPr>
            <w:r>
              <w:t>二级指标</w:t>
            </w:r>
          </w:p>
        </w:tc>
        <w:tc>
          <w:tcPr>
            <w:tcW w:w="2835" w:type="dxa"/>
            <w:vAlign w:val="center"/>
          </w:tcPr>
          <w:p w14:paraId="6806CF76">
            <w:pPr>
              <w:pStyle w:val="11"/>
            </w:pPr>
            <w:r>
              <w:t>三级指标</w:t>
            </w:r>
          </w:p>
        </w:tc>
        <w:tc>
          <w:tcPr>
            <w:tcW w:w="5386" w:type="dxa"/>
            <w:vAlign w:val="center"/>
          </w:tcPr>
          <w:p w14:paraId="76E1110C">
            <w:pPr>
              <w:pStyle w:val="11"/>
            </w:pPr>
            <w:r>
              <w:t>绩效指标描述</w:t>
            </w:r>
          </w:p>
        </w:tc>
        <w:tc>
          <w:tcPr>
            <w:tcW w:w="2268" w:type="dxa"/>
            <w:vAlign w:val="center"/>
          </w:tcPr>
          <w:p w14:paraId="4BE1B387">
            <w:pPr>
              <w:pStyle w:val="11"/>
            </w:pPr>
            <w:r>
              <w:t>指标值</w:t>
            </w:r>
          </w:p>
        </w:tc>
        <w:tc>
          <w:tcPr>
            <w:tcW w:w="1276" w:type="dxa"/>
            <w:vAlign w:val="center"/>
          </w:tcPr>
          <w:p w14:paraId="4494E285">
            <w:pPr>
              <w:pStyle w:val="11"/>
            </w:pPr>
            <w:r>
              <w:t>指标值确定依据</w:t>
            </w:r>
          </w:p>
        </w:tc>
      </w:tr>
      <w:tr w14:paraId="5CA66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9FF6C">
            <w:pPr>
              <w:pStyle w:val="12"/>
            </w:pPr>
            <w:r>
              <w:t>产出指标</w:t>
            </w:r>
          </w:p>
        </w:tc>
        <w:tc>
          <w:tcPr>
            <w:tcW w:w="2268" w:type="dxa"/>
            <w:vAlign w:val="center"/>
          </w:tcPr>
          <w:p w14:paraId="4CF31947">
            <w:pPr>
              <w:pStyle w:val="13"/>
            </w:pPr>
            <w:r>
              <w:t>数量指标</w:t>
            </w:r>
          </w:p>
        </w:tc>
        <w:tc>
          <w:tcPr>
            <w:tcW w:w="2835" w:type="dxa"/>
            <w:vAlign w:val="center"/>
          </w:tcPr>
          <w:p w14:paraId="1FEF0D3F">
            <w:pPr>
              <w:pStyle w:val="13"/>
            </w:pPr>
            <w:r>
              <w:t>变压器购置</w:t>
            </w:r>
          </w:p>
        </w:tc>
        <w:tc>
          <w:tcPr>
            <w:tcW w:w="5386" w:type="dxa"/>
            <w:vAlign w:val="center"/>
          </w:tcPr>
          <w:p w14:paraId="098B6821">
            <w:pPr>
              <w:pStyle w:val="13"/>
            </w:pPr>
            <w:r>
              <w:t>购置变压器数量</w:t>
            </w:r>
          </w:p>
        </w:tc>
        <w:tc>
          <w:tcPr>
            <w:tcW w:w="2268" w:type="dxa"/>
            <w:vAlign w:val="center"/>
          </w:tcPr>
          <w:p w14:paraId="03A6DAC9">
            <w:pPr>
              <w:pStyle w:val="13"/>
            </w:pPr>
            <w:r>
              <w:t>1台</w:t>
            </w:r>
          </w:p>
        </w:tc>
        <w:tc>
          <w:tcPr>
            <w:tcW w:w="1276" w:type="dxa"/>
            <w:vAlign w:val="center"/>
          </w:tcPr>
          <w:p w14:paraId="79D9A401">
            <w:pPr>
              <w:pStyle w:val="13"/>
            </w:pPr>
            <w:r>
              <w:t>城乡义务教育公共经费</w:t>
            </w:r>
          </w:p>
        </w:tc>
      </w:tr>
      <w:tr w14:paraId="53C23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F9973"/>
        </w:tc>
        <w:tc>
          <w:tcPr>
            <w:tcW w:w="2268" w:type="dxa"/>
            <w:vAlign w:val="center"/>
          </w:tcPr>
          <w:p w14:paraId="485863D2">
            <w:pPr>
              <w:pStyle w:val="13"/>
            </w:pPr>
            <w:r>
              <w:t>质量指标</w:t>
            </w:r>
          </w:p>
        </w:tc>
        <w:tc>
          <w:tcPr>
            <w:tcW w:w="2835" w:type="dxa"/>
            <w:vAlign w:val="center"/>
          </w:tcPr>
          <w:p w14:paraId="5E4EB25C">
            <w:pPr>
              <w:pStyle w:val="13"/>
            </w:pPr>
            <w:r>
              <w:t>购置设备收合格完成率</w:t>
            </w:r>
          </w:p>
        </w:tc>
        <w:tc>
          <w:tcPr>
            <w:tcW w:w="5386" w:type="dxa"/>
            <w:vAlign w:val="center"/>
          </w:tcPr>
          <w:p w14:paraId="1161F0BE">
            <w:pPr>
              <w:pStyle w:val="13"/>
            </w:pPr>
            <w:r>
              <w:t>设备购置程序规范，资金使用符合规划</w:t>
            </w:r>
          </w:p>
        </w:tc>
        <w:tc>
          <w:tcPr>
            <w:tcW w:w="2268" w:type="dxa"/>
            <w:vAlign w:val="center"/>
          </w:tcPr>
          <w:p w14:paraId="7D3E48BC">
            <w:pPr>
              <w:pStyle w:val="13"/>
            </w:pPr>
            <w:r>
              <w:t>100%</w:t>
            </w:r>
          </w:p>
        </w:tc>
        <w:tc>
          <w:tcPr>
            <w:tcW w:w="1276" w:type="dxa"/>
            <w:vAlign w:val="center"/>
          </w:tcPr>
          <w:p w14:paraId="4E5DB21A">
            <w:pPr>
              <w:pStyle w:val="13"/>
            </w:pPr>
            <w:r>
              <w:t>城乡义务教育公共经费</w:t>
            </w:r>
          </w:p>
        </w:tc>
      </w:tr>
      <w:tr w14:paraId="5B12F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7FE25"/>
        </w:tc>
        <w:tc>
          <w:tcPr>
            <w:tcW w:w="2268" w:type="dxa"/>
            <w:vAlign w:val="center"/>
          </w:tcPr>
          <w:p w14:paraId="36B416AC">
            <w:pPr>
              <w:pStyle w:val="13"/>
            </w:pPr>
            <w:r>
              <w:t>时效指标</w:t>
            </w:r>
          </w:p>
        </w:tc>
        <w:tc>
          <w:tcPr>
            <w:tcW w:w="2835" w:type="dxa"/>
            <w:vAlign w:val="center"/>
          </w:tcPr>
          <w:p w14:paraId="5B837311">
            <w:pPr>
              <w:pStyle w:val="13"/>
            </w:pPr>
            <w:r>
              <w:t>资金支付率</w:t>
            </w:r>
          </w:p>
        </w:tc>
        <w:tc>
          <w:tcPr>
            <w:tcW w:w="5386" w:type="dxa"/>
            <w:vAlign w:val="center"/>
          </w:tcPr>
          <w:p w14:paraId="00FC3CDA">
            <w:pPr>
              <w:pStyle w:val="13"/>
            </w:pPr>
            <w:r>
              <w:t>按照序时进度完成资金支付</w:t>
            </w:r>
          </w:p>
        </w:tc>
        <w:tc>
          <w:tcPr>
            <w:tcW w:w="2268" w:type="dxa"/>
            <w:vAlign w:val="center"/>
          </w:tcPr>
          <w:p w14:paraId="5AA35F10">
            <w:pPr>
              <w:pStyle w:val="13"/>
            </w:pPr>
            <w:r>
              <w:t>100%</w:t>
            </w:r>
          </w:p>
        </w:tc>
        <w:tc>
          <w:tcPr>
            <w:tcW w:w="1276" w:type="dxa"/>
            <w:vAlign w:val="center"/>
          </w:tcPr>
          <w:p w14:paraId="231A83C7">
            <w:pPr>
              <w:pStyle w:val="13"/>
            </w:pPr>
            <w:r>
              <w:t>城乡义务教育公共经费</w:t>
            </w:r>
          </w:p>
        </w:tc>
      </w:tr>
      <w:tr w14:paraId="14E9C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3726D"/>
        </w:tc>
        <w:tc>
          <w:tcPr>
            <w:tcW w:w="2268" w:type="dxa"/>
            <w:vAlign w:val="center"/>
          </w:tcPr>
          <w:p w14:paraId="7C1829D2">
            <w:pPr>
              <w:pStyle w:val="13"/>
            </w:pPr>
            <w:r>
              <w:t>成本指标</w:t>
            </w:r>
          </w:p>
        </w:tc>
        <w:tc>
          <w:tcPr>
            <w:tcW w:w="2835" w:type="dxa"/>
            <w:vAlign w:val="center"/>
          </w:tcPr>
          <w:p w14:paraId="463870AF">
            <w:pPr>
              <w:pStyle w:val="13"/>
            </w:pPr>
            <w:r>
              <w:t>购置设备成本</w:t>
            </w:r>
          </w:p>
        </w:tc>
        <w:tc>
          <w:tcPr>
            <w:tcW w:w="5386" w:type="dxa"/>
            <w:vAlign w:val="center"/>
          </w:tcPr>
          <w:p w14:paraId="5EC618A1">
            <w:pPr>
              <w:pStyle w:val="13"/>
            </w:pPr>
            <w:r>
              <w:t>用于学校购置设备的资金投入</w:t>
            </w:r>
          </w:p>
        </w:tc>
        <w:tc>
          <w:tcPr>
            <w:tcW w:w="2268" w:type="dxa"/>
            <w:vAlign w:val="center"/>
          </w:tcPr>
          <w:p w14:paraId="06FEF529">
            <w:pPr>
              <w:pStyle w:val="13"/>
            </w:pPr>
            <w:r>
              <w:t>≤28万元</w:t>
            </w:r>
          </w:p>
        </w:tc>
        <w:tc>
          <w:tcPr>
            <w:tcW w:w="1276" w:type="dxa"/>
            <w:vAlign w:val="center"/>
          </w:tcPr>
          <w:p w14:paraId="1F111BFA">
            <w:pPr>
              <w:pStyle w:val="13"/>
            </w:pPr>
            <w:r>
              <w:t>城乡义务教育公共经费</w:t>
            </w:r>
          </w:p>
        </w:tc>
      </w:tr>
      <w:tr w14:paraId="40329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C53414">
            <w:pPr>
              <w:pStyle w:val="12"/>
            </w:pPr>
            <w:r>
              <w:t>效益指标</w:t>
            </w:r>
          </w:p>
        </w:tc>
        <w:tc>
          <w:tcPr>
            <w:tcW w:w="2268" w:type="dxa"/>
            <w:vAlign w:val="center"/>
          </w:tcPr>
          <w:p w14:paraId="67CF0980">
            <w:pPr>
              <w:pStyle w:val="13"/>
            </w:pPr>
            <w:r>
              <w:t>可持续影响指标</w:t>
            </w:r>
          </w:p>
        </w:tc>
        <w:tc>
          <w:tcPr>
            <w:tcW w:w="2835" w:type="dxa"/>
            <w:vAlign w:val="center"/>
          </w:tcPr>
          <w:p w14:paraId="3E487B6C">
            <w:pPr>
              <w:pStyle w:val="13"/>
            </w:pPr>
            <w:r>
              <w:t>学生受教育年限</w:t>
            </w:r>
          </w:p>
        </w:tc>
        <w:tc>
          <w:tcPr>
            <w:tcW w:w="5386" w:type="dxa"/>
            <w:vAlign w:val="center"/>
          </w:tcPr>
          <w:p w14:paraId="4FB9CD17">
            <w:pPr>
              <w:pStyle w:val="13"/>
            </w:pPr>
            <w:r>
              <w:t>学生受教育年限</w:t>
            </w:r>
          </w:p>
        </w:tc>
        <w:tc>
          <w:tcPr>
            <w:tcW w:w="2268" w:type="dxa"/>
            <w:vAlign w:val="center"/>
          </w:tcPr>
          <w:p w14:paraId="10197589">
            <w:pPr>
              <w:pStyle w:val="13"/>
            </w:pPr>
            <w:r>
              <w:t>3年</w:t>
            </w:r>
          </w:p>
        </w:tc>
        <w:tc>
          <w:tcPr>
            <w:tcW w:w="1276" w:type="dxa"/>
            <w:vAlign w:val="center"/>
          </w:tcPr>
          <w:p w14:paraId="560D73B1">
            <w:pPr>
              <w:pStyle w:val="13"/>
            </w:pPr>
            <w:r>
              <w:t>城乡义务教育公共经费</w:t>
            </w:r>
          </w:p>
        </w:tc>
      </w:tr>
      <w:tr w14:paraId="109C8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1EDA47">
            <w:pPr>
              <w:pStyle w:val="12"/>
            </w:pPr>
            <w:r>
              <w:t>满意度指标</w:t>
            </w:r>
          </w:p>
        </w:tc>
        <w:tc>
          <w:tcPr>
            <w:tcW w:w="2268" w:type="dxa"/>
            <w:vAlign w:val="center"/>
          </w:tcPr>
          <w:p w14:paraId="795A671D">
            <w:pPr>
              <w:pStyle w:val="13"/>
            </w:pPr>
            <w:r>
              <w:t>服务对象满意度指标</w:t>
            </w:r>
          </w:p>
        </w:tc>
        <w:tc>
          <w:tcPr>
            <w:tcW w:w="2835" w:type="dxa"/>
            <w:vAlign w:val="center"/>
          </w:tcPr>
          <w:p w14:paraId="74FD679B">
            <w:pPr>
              <w:pStyle w:val="13"/>
            </w:pPr>
            <w:r>
              <w:t>受益学生家长及调查满意度</w:t>
            </w:r>
          </w:p>
        </w:tc>
        <w:tc>
          <w:tcPr>
            <w:tcW w:w="5386" w:type="dxa"/>
            <w:vAlign w:val="center"/>
          </w:tcPr>
          <w:p w14:paraId="38DE66E5">
            <w:pPr>
              <w:pStyle w:val="13"/>
            </w:pPr>
            <w:r>
              <w:t>学生、教师及家长对学校教学环境满意度情况</w:t>
            </w:r>
          </w:p>
        </w:tc>
        <w:tc>
          <w:tcPr>
            <w:tcW w:w="2268" w:type="dxa"/>
            <w:vAlign w:val="center"/>
          </w:tcPr>
          <w:p w14:paraId="22D16FBF">
            <w:pPr>
              <w:pStyle w:val="13"/>
            </w:pPr>
            <w:r>
              <w:t>≥98%</w:t>
            </w:r>
          </w:p>
        </w:tc>
        <w:tc>
          <w:tcPr>
            <w:tcW w:w="1276" w:type="dxa"/>
            <w:vAlign w:val="center"/>
          </w:tcPr>
          <w:p w14:paraId="423D88C3">
            <w:pPr>
              <w:pStyle w:val="13"/>
            </w:pPr>
            <w:r>
              <w:t>调查问卷</w:t>
            </w:r>
          </w:p>
        </w:tc>
      </w:tr>
    </w:tbl>
    <w:p w14:paraId="35D68916">
      <w:pPr>
        <w:sectPr>
          <w:pgSz w:w="16840" w:h="11900" w:orient="landscape"/>
          <w:pgMar w:top="1361" w:right="1020" w:bottom="1134" w:left="1020" w:header="720" w:footer="720" w:gutter="0"/>
          <w:cols w:space="720" w:num="1"/>
        </w:sectPr>
      </w:pPr>
    </w:p>
    <w:p w14:paraId="1954810D">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4、冀财教[2024]123号/中央/2025年义教补助经费/综合奖补/尧山中学公用经费绩效目标表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FB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DC889">
            <w:pPr>
              <w:pStyle w:val="14"/>
            </w:pPr>
            <w:r>
              <w:t>单位：万元</w:t>
            </w:r>
          </w:p>
        </w:tc>
      </w:tr>
      <w:tr w14:paraId="180FD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3D12E8">
            <w:pPr>
              <w:pStyle w:val="11"/>
            </w:pPr>
            <w:r>
              <w:t>项目编码</w:t>
            </w:r>
          </w:p>
        </w:tc>
        <w:tc>
          <w:tcPr>
            <w:tcW w:w="5103" w:type="dxa"/>
            <w:gridSpan w:val="2"/>
            <w:vAlign w:val="center"/>
          </w:tcPr>
          <w:p w14:paraId="045BEF9A">
            <w:pPr>
              <w:pStyle w:val="13"/>
            </w:pPr>
            <w:r>
              <w:t>13052525P00875610263Y</w:t>
            </w:r>
          </w:p>
        </w:tc>
        <w:tc>
          <w:tcPr>
            <w:tcW w:w="2835" w:type="dxa"/>
            <w:vAlign w:val="center"/>
          </w:tcPr>
          <w:p w14:paraId="4A44A77F">
            <w:pPr>
              <w:pStyle w:val="11"/>
            </w:pPr>
            <w:r>
              <w:t>项目名称</w:t>
            </w:r>
          </w:p>
        </w:tc>
        <w:tc>
          <w:tcPr>
            <w:tcW w:w="6095" w:type="dxa"/>
            <w:gridSpan w:val="3"/>
            <w:vAlign w:val="center"/>
          </w:tcPr>
          <w:p w14:paraId="07D54659">
            <w:pPr>
              <w:pStyle w:val="13"/>
            </w:pPr>
            <w:r>
              <w:t>冀财教[2024]123号/中央/2025年义教补助经费/综合奖补/尧山中学公用经费</w:t>
            </w:r>
          </w:p>
        </w:tc>
      </w:tr>
      <w:tr w14:paraId="38DF90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18499">
            <w:pPr>
              <w:pStyle w:val="11"/>
            </w:pPr>
            <w:r>
              <w:t>预算规模及资金用途</w:t>
            </w:r>
          </w:p>
        </w:tc>
        <w:tc>
          <w:tcPr>
            <w:tcW w:w="2268" w:type="dxa"/>
            <w:vAlign w:val="center"/>
          </w:tcPr>
          <w:p w14:paraId="77A4C7F8">
            <w:pPr>
              <w:pStyle w:val="11"/>
            </w:pPr>
            <w:r>
              <w:t>预算数</w:t>
            </w:r>
          </w:p>
        </w:tc>
        <w:tc>
          <w:tcPr>
            <w:tcW w:w="2835" w:type="dxa"/>
            <w:vAlign w:val="center"/>
          </w:tcPr>
          <w:p w14:paraId="5A5F9012">
            <w:pPr>
              <w:pStyle w:val="13"/>
            </w:pPr>
            <w:r>
              <w:t>2.10</w:t>
            </w:r>
          </w:p>
        </w:tc>
        <w:tc>
          <w:tcPr>
            <w:tcW w:w="2835" w:type="dxa"/>
            <w:vAlign w:val="center"/>
          </w:tcPr>
          <w:p w14:paraId="78653724">
            <w:pPr>
              <w:pStyle w:val="11"/>
            </w:pPr>
            <w:r>
              <w:t>其中：财政    资金</w:t>
            </w:r>
          </w:p>
        </w:tc>
        <w:tc>
          <w:tcPr>
            <w:tcW w:w="2551" w:type="dxa"/>
            <w:vAlign w:val="center"/>
          </w:tcPr>
          <w:p w14:paraId="419659B2">
            <w:pPr>
              <w:pStyle w:val="13"/>
            </w:pPr>
            <w:r>
              <w:t>2.10</w:t>
            </w:r>
          </w:p>
        </w:tc>
        <w:tc>
          <w:tcPr>
            <w:tcW w:w="2268" w:type="dxa"/>
            <w:vAlign w:val="center"/>
          </w:tcPr>
          <w:p w14:paraId="439DD9A3">
            <w:pPr>
              <w:pStyle w:val="11"/>
            </w:pPr>
            <w:r>
              <w:t>其他资金</w:t>
            </w:r>
          </w:p>
        </w:tc>
        <w:tc>
          <w:tcPr>
            <w:tcW w:w="1276" w:type="dxa"/>
            <w:vAlign w:val="center"/>
          </w:tcPr>
          <w:p w14:paraId="18286DEA">
            <w:pPr>
              <w:pStyle w:val="13"/>
            </w:pPr>
            <w:r>
              <w:t xml:space="preserve"> </w:t>
            </w:r>
          </w:p>
        </w:tc>
      </w:tr>
      <w:tr w14:paraId="524CD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C3645"/>
        </w:tc>
        <w:tc>
          <w:tcPr>
            <w:tcW w:w="14033" w:type="dxa"/>
            <w:gridSpan w:val="6"/>
            <w:vAlign w:val="center"/>
          </w:tcPr>
          <w:p w14:paraId="1ACD4FEB">
            <w:pPr>
              <w:pStyle w:val="13"/>
            </w:pPr>
            <w:r>
              <w:t>改善就学条件，提升学校形象，保障义务教育阶段教学安全，改善师生教学环境，创造良好的校园环境。</w:t>
            </w:r>
            <w:r>
              <w:tab/>
            </w:r>
            <w:r>
              <w:tab/>
            </w:r>
            <w:r>
              <w:tab/>
            </w:r>
          </w:p>
        </w:tc>
      </w:tr>
      <w:tr w14:paraId="7237D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36CC0">
            <w:pPr>
              <w:pStyle w:val="11"/>
            </w:pPr>
            <w:r>
              <w:t>资金支出计划（%）</w:t>
            </w:r>
          </w:p>
        </w:tc>
        <w:tc>
          <w:tcPr>
            <w:tcW w:w="5103" w:type="dxa"/>
            <w:gridSpan w:val="2"/>
            <w:vAlign w:val="center"/>
          </w:tcPr>
          <w:p w14:paraId="714E721F">
            <w:pPr>
              <w:pStyle w:val="11"/>
            </w:pPr>
            <w:r>
              <w:t>3月底</w:t>
            </w:r>
          </w:p>
        </w:tc>
        <w:tc>
          <w:tcPr>
            <w:tcW w:w="2835" w:type="dxa"/>
            <w:vAlign w:val="center"/>
          </w:tcPr>
          <w:p w14:paraId="711F874A">
            <w:pPr>
              <w:pStyle w:val="11"/>
            </w:pPr>
            <w:r>
              <w:t>6月底</w:t>
            </w:r>
          </w:p>
        </w:tc>
        <w:tc>
          <w:tcPr>
            <w:tcW w:w="2551" w:type="dxa"/>
            <w:vAlign w:val="center"/>
          </w:tcPr>
          <w:p w14:paraId="5096A1AB">
            <w:pPr>
              <w:pStyle w:val="11"/>
            </w:pPr>
            <w:r>
              <w:t>10月底</w:t>
            </w:r>
          </w:p>
        </w:tc>
        <w:tc>
          <w:tcPr>
            <w:tcW w:w="3544" w:type="dxa"/>
            <w:gridSpan w:val="2"/>
            <w:vAlign w:val="center"/>
          </w:tcPr>
          <w:p w14:paraId="5A83B65C">
            <w:pPr>
              <w:pStyle w:val="11"/>
            </w:pPr>
            <w:r>
              <w:t>12月底</w:t>
            </w:r>
          </w:p>
        </w:tc>
      </w:tr>
      <w:tr w14:paraId="6EBDD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FD0B3"/>
        </w:tc>
        <w:tc>
          <w:tcPr>
            <w:tcW w:w="5103" w:type="dxa"/>
            <w:gridSpan w:val="2"/>
            <w:vAlign w:val="center"/>
          </w:tcPr>
          <w:p w14:paraId="4D9D7B86">
            <w:pPr>
              <w:pStyle w:val="12"/>
            </w:pPr>
            <w:r>
              <w:t xml:space="preserve"> </w:t>
            </w:r>
          </w:p>
        </w:tc>
        <w:tc>
          <w:tcPr>
            <w:tcW w:w="2835" w:type="dxa"/>
            <w:vAlign w:val="center"/>
          </w:tcPr>
          <w:p w14:paraId="3A38FF3D">
            <w:pPr>
              <w:pStyle w:val="12"/>
            </w:pPr>
            <w:r>
              <w:t xml:space="preserve"> </w:t>
            </w:r>
          </w:p>
        </w:tc>
        <w:tc>
          <w:tcPr>
            <w:tcW w:w="2551" w:type="dxa"/>
            <w:vAlign w:val="center"/>
          </w:tcPr>
          <w:p w14:paraId="529DE0AB">
            <w:pPr>
              <w:pStyle w:val="12"/>
            </w:pPr>
            <w:r>
              <w:t>100%</w:t>
            </w:r>
          </w:p>
        </w:tc>
        <w:tc>
          <w:tcPr>
            <w:tcW w:w="3544" w:type="dxa"/>
            <w:gridSpan w:val="2"/>
            <w:vAlign w:val="center"/>
          </w:tcPr>
          <w:p w14:paraId="6829E998">
            <w:pPr>
              <w:pStyle w:val="12"/>
            </w:pPr>
            <w:r>
              <w:t>100%</w:t>
            </w:r>
          </w:p>
        </w:tc>
      </w:tr>
      <w:tr w14:paraId="565EB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E13FA">
            <w:pPr>
              <w:pStyle w:val="11"/>
            </w:pPr>
            <w:r>
              <w:t>绩效目标</w:t>
            </w:r>
          </w:p>
        </w:tc>
        <w:tc>
          <w:tcPr>
            <w:tcW w:w="14033" w:type="dxa"/>
            <w:gridSpan w:val="6"/>
            <w:vAlign w:val="center"/>
          </w:tcPr>
          <w:p w14:paraId="4E0142FA">
            <w:pPr>
              <w:pStyle w:val="13"/>
            </w:pPr>
            <w:r>
              <w:t>1.项目需资金2.1万元，资金拨付率达到100%。</w:t>
            </w:r>
          </w:p>
          <w:p w14:paraId="4A6B2576">
            <w:pPr>
              <w:pStyle w:val="13"/>
            </w:pPr>
            <w:r>
              <w:t>2.改善就学条件，提升学校形象，保障义务教育阶段教学安全，改善师生教学环境，创造良好的校园环境。</w:t>
            </w:r>
            <w:r>
              <w:tab/>
            </w:r>
            <w:r>
              <w:tab/>
            </w:r>
            <w:r>
              <w:tab/>
            </w:r>
          </w:p>
          <w:p w14:paraId="253B8001">
            <w:pPr>
              <w:pStyle w:val="13"/>
            </w:pPr>
          </w:p>
        </w:tc>
      </w:tr>
    </w:tbl>
    <w:p w14:paraId="5A60AC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95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E0508">
            <w:pPr>
              <w:pStyle w:val="11"/>
            </w:pPr>
            <w:r>
              <w:t>一级指标</w:t>
            </w:r>
          </w:p>
        </w:tc>
        <w:tc>
          <w:tcPr>
            <w:tcW w:w="2268" w:type="dxa"/>
            <w:vAlign w:val="center"/>
          </w:tcPr>
          <w:p w14:paraId="0D81925C">
            <w:pPr>
              <w:pStyle w:val="11"/>
            </w:pPr>
            <w:r>
              <w:t>二级指标</w:t>
            </w:r>
          </w:p>
        </w:tc>
        <w:tc>
          <w:tcPr>
            <w:tcW w:w="2835" w:type="dxa"/>
            <w:vAlign w:val="center"/>
          </w:tcPr>
          <w:p w14:paraId="7E4C5620">
            <w:pPr>
              <w:pStyle w:val="11"/>
            </w:pPr>
            <w:r>
              <w:t>三级指标</w:t>
            </w:r>
          </w:p>
        </w:tc>
        <w:tc>
          <w:tcPr>
            <w:tcW w:w="5386" w:type="dxa"/>
            <w:vAlign w:val="center"/>
          </w:tcPr>
          <w:p w14:paraId="660F8218">
            <w:pPr>
              <w:pStyle w:val="11"/>
            </w:pPr>
            <w:r>
              <w:t>绩效指标描述</w:t>
            </w:r>
          </w:p>
        </w:tc>
        <w:tc>
          <w:tcPr>
            <w:tcW w:w="2268" w:type="dxa"/>
            <w:vAlign w:val="center"/>
          </w:tcPr>
          <w:p w14:paraId="52AB89B1">
            <w:pPr>
              <w:pStyle w:val="11"/>
            </w:pPr>
            <w:r>
              <w:t>指标值</w:t>
            </w:r>
          </w:p>
        </w:tc>
        <w:tc>
          <w:tcPr>
            <w:tcW w:w="1276" w:type="dxa"/>
            <w:vAlign w:val="center"/>
          </w:tcPr>
          <w:p w14:paraId="67B93E29">
            <w:pPr>
              <w:pStyle w:val="11"/>
            </w:pPr>
            <w:r>
              <w:t>指标值确定依据</w:t>
            </w:r>
          </w:p>
        </w:tc>
      </w:tr>
      <w:tr w14:paraId="14B5C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A76A8">
            <w:pPr>
              <w:pStyle w:val="12"/>
            </w:pPr>
            <w:r>
              <w:t>产出指标</w:t>
            </w:r>
          </w:p>
        </w:tc>
        <w:tc>
          <w:tcPr>
            <w:tcW w:w="2268" w:type="dxa"/>
            <w:vAlign w:val="center"/>
          </w:tcPr>
          <w:p w14:paraId="7395ECC2">
            <w:pPr>
              <w:pStyle w:val="13"/>
            </w:pPr>
            <w:r>
              <w:t>数量指标</w:t>
            </w:r>
          </w:p>
        </w:tc>
        <w:tc>
          <w:tcPr>
            <w:tcW w:w="2835" w:type="dxa"/>
            <w:vAlign w:val="center"/>
          </w:tcPr>
          <w:p w14:paraId="1D782A4A">
            <w:pPr>
              <w:pStyle w:val="13"/>
            </w:pPr>
            <w:r>
              <w:t>视频会议系统</w:t>
            </w:r>
          </w:p>
        </w:tc>
        <w:tc>
          <w:tcPr>
            <w:tcW w:w="5386" w:type="dxa"/>
            <w:vAlign w:val="center"/>
          </w:tcPr>
          <w:p w14:paraId="22903576">
            <w:pPr>
              <w:pStyle w:val="13"/>
            </w:pPr>
            <w:r>
              <w:t>视频会议系统套数</w:t>
            </w:r>
          </w:p>
        </w:tc>
        <w:tc>
          <w:tcPr>
            <w:tcW w:w="2268" w:type="dxa"/>
            <w:vAlign w:val="center"/>
          </w:tcPr>
          <w:p w14:paraId="2418DF53">
            <w:pPr>
              <w:pStyle w:val="13"/>
            </w:pPr>
            <w:r>
              <w:t>1套</w:t>
            </w:r>
          </w:p>
        </w:tc>
        <w:tc>
          <w:tcPr>
            <w:tcW w:w="1276" w:type="dxa"/>
            <w:vAlign w:val="center"/>
          </w:tcPr>
          <w:p w14:paraId="44BCFBE1">
            <w:pPr>
              <w:pStyle w:val="13"/>
            </w:pPr>
            <w:r>
              <w:t>城乡义务教育公共经费</w:t>
            </w:r>
          </w:p>
        </w:tc>
      </w:tr>
      <w:tr w14:paraId="6F002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883CA"/>
        </w:tc>
        <w:tc>
          <w:tcPr>
            <w:tcW w:w="2268" w:type="dxa"/>
            <w:vAlign w:val="center"/>
          </w:tcPr>
          <w:p w14:paraId="6BAEDC0C">
            <w:pPr>
              <w:pStyle w:val="13"/>
            </w:pPr>
            <w:r>
              <w:t>质量指标</w:t>
            </w:r>
          </w:p>
        </w:tc>
        <w:tc>
          <w:tcPr>
            <w:tcW w:w="2835" w:type="dxa"/>
            <w:vAlign w:val="center"/>
          </w:tcPr>
          <w:p w14:paraId="6EC49F61">
            <w:pPr>
              <w:pStyle w:val="13"/>
            </w:pPr>
            <w:r>
              <w:t>设备合格率</w:t>
            </w:r>
          </w:p>
        </w:tc>
        <w:tc>
          <w:tcPr>
            <w:tcW w:w="5386" w:type="dxa"/>
            <w:vAlign w:val="center"/>
          </w:tcPr>
          <w:p w14:paraId="0FC28428">
            <w:pPr>
              <w:pStyle w:val="13"/>
            </w:pPr>
            <w:r>
              <w:t>设备合格率</w:t>
            </w:r>
          </w:p>
        </w:tc>
        <w:tc>
          <w:tcPr>
            <w:tcW w:w="2268" w:type="dxa"/>
            <w:vAlign w:val="center"/>
          </w:tcPr>
          <w:p w14:paraId="6EB81668">
            <w:pPr>
              <w:pStyle w:val="13"/>
            </w:pPr>
            <w:r>
              <w:t>100%</w:t>
            </w:r>
          </w:p>
        </w:tc>
        <w:tc>
          <w:tcPr>
            <w:tcW w:w="1276" w:type="dxa"/>
            <w:vAlign w:val="center"/>
          </w:tcPr>
          <w:p w14:paraId="137C6BE4">
            <w:pPr>
              <w:pStyle w:val="13"/>
            </w:pPr>
            <w:r>
              <w:t>城乡义务教育公共经费</w:t>
            </w:r>
          </w:p>
        </w:tc>
      </w:tr>
      <w:tr w14:paraId="18A96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03063"/>
        </w:tc>
        <w:tc>
          <w:tcPr>
            <w:tcW w:w="2268" w:type="dxa"/>
            <w:vAlign w:val="center"/>
          </w:tcPr>
          <w:p w14:paraId="22CE1236">
            <w:pPr>
              <w:pStyle w:val="13"/>
            </w:pPr>
            <w:r>
              <w:t>时效指标</w:t>
            </w:r>
          </w:p>
        </w:tc>
        <w:tc>
          <w:tcPr>
            <w:tcW w:w="2835" w:type="dxa"/>
            <w:vAlign w:val="center"/>
          </w:tcPr>
          <w:p w14:paraId="2E06D7CD">
            <w:pPr>
              <w:pStyle w:val="13"/>
            </w:pPr>
            <w:r>
              <w:t>资金支付率</w:t>
            </w:r>
          </w:p>
        </w:tc>
        <w:tc>
          <w:tcPr>
            <w:tcW w:w="5386" w:type="dxa"/>
            <w:vAlign w:val="center"/>
          </w:tcPr>
          <w:p w14:paraId="4E3723BC">
            <w:pPr>
              <w:pStyle w:val="13"/>
            </w:pPr>
            <w:r>
              <w:t>按照序时进度完成资金支付</w:t>
            </w:r>
          </w:p>
        </w:tc>
        <w:tc>
          <w:tcPr>
            <w:tcW w:w="2268" w:type="dxa"/>
            <w:vAlign w:val="center"/>
          </w:tcPr>
          <w:p w14:paraId="25754A9E">
            <w:pPr>
              <w:pStyle w:val="13"/>
            </w:pPr>
            <w:r>
              <w:t>100%</w:t>
            </w:r>
          </w:p>
        </w:tc>
        <w:tc>
          <w:tcPr>
            <w:tcW w:w="1276" w:type="dxa"/>
            <w:vAlign w:val="center"/>
          </w:tcPr>
          <w:p w14:paraId="714C5123">
            <w:pPr>
              <w:pStyle w:val="13"/>
            </w:pPr>
            <w:r>
              <w:t>城乡义务教育公共经费</w:t>
            </w:r>
          </w:p>
        </w:tc>
      </w:tr>
      <w:tr w14:paraId="4A6ED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3D0E9"/>
        </w:tc>
        <w:tc>
          <w:tcPr>
            <w:tcW w:w="2268" w:type="dxa"/>
            <w:vAlign w:val="center"/>
          </w:tcPr>
          <w:p w14:paraId="60E5C1EC">
            <w:pPr>
              <w:pStyle w:val="13"/>
            </w:pPr>
            <w:r>
              <w:t>成本指标</w:t>
            </w:r>
          </w:p>
        </w:tc>
        <w:tc>
          <w:tcPr>
            <w:tcW w:w="2835" w:type="dxa"/>
            <w:vAlign w:val="center"/>
          </w:tcPr>
          <w:p w14:paraId="35604B54">
            <w:pPr>
              <w:pStyle w:val="13"/>
            </w:pPr>
            <w:r>
              <w:t>项目成本控制情况</w:t>
            </w:r>
          </w:p>
        </w:tc>
        <w:tc>
          <w:tcPr>
            <w:tcW w:w="5386" w:type="dxa"/>
            <w:vAlign w:val="center"/>
          </w:tcPr>
          <w:p w14:paraId="09F1992A">
            <w:pPr>
              <w:pStyle w:val="13"/>
            </w:pPr>
            <w:r>
              <w:t>严格按照招标价格及审计额进行</w:t>
            </w:r>
          </w:p>
        </w:tc>
        <w:tc>
          <w:tcPr>
            <w:tcW w:w="2268" w:type="dxa"/>
            <w:vAlign w:val="center"/>
          </w:tcPr>
          <w:p w14:paraId="671DEE5A">
            <w:pPr>
              <w:pStyle w:val="13"/>
            </w:pPr>
            <w:r>
              <w:t>≤2.1万元</w:t>
            </w:r>
          </w:p>
        </w:tc>
        <w:tc>
          <w:tcPr>
            <w:tcW w:w="1276" w:type="dxa"/>
            <w:vAlign w:val="center"/>
          </w:tcPr>
          <w:p w14:paraId="2A2402DB">
            <w:pPr>
              <w:pStyle w:val="13"/>
            </w:pPr>
            <w:r>
              <w:t>城乡义务教育公共经费</w:t>
            </w:r>
          </w:p>
        </w:tc>
      </w:tr>
      <w:tr w14:paraId="5C55A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99CE49">
            <w:pPr>
              <w:pStyle w:val="12"/>
            </w:pPr>
            <w:r>
              <w:t>效益指标</w:t>
            </w:r>
          </w:p>
        </w:tc>
        <w:tc>
          <w:tcPr>
            <w:tcW w:w="2268" w:type="dxa"/>
            <w:vAlign w:val="center"/>
          </w:tcPr>
          <w:p w14:paraId="4DD2C2CC">
            <w:pPr>
              <w:pStyle w:val="13"/>
            </w:pPr>
            <w:r>
              <w:t>可持续影响指标</w:t>
            </w:r>
          </w:p>
        </w:tc>
        <w:tc>
          <w:tcPr>
            <w:tcW w:w="2835" w:type="dxa"/>
            <w:vAlign w:val="center"/>
          </w:tcPr>
          <w:p w14:paraId="27FD9E15">
            <w:pPr>
              <w:pStyle w:val="13"/>
            </w:pPr>
            <w:r>
              <w:t>学校运转得到提高</w:t>
            </w:r>
          </w:p>
        </w:tc>
        <w:tc>
          <w:tcPr>
            <w:tcW w:w="5386" w:type="dxa"/>
            <w:vAlign w:val="center"/>
          </w:tcPr>
          <w:p w14:paraId="12F9AC76">
            <w:pPr>
              <w:pStyle w:val="13"/>
            </w:pPr>
            <w:r>
              <w:t>学生受教育年限</w:t>
            </w:r>
          </w:p>
        </w:tc>
        <w:tc>
          <w:tcPr>
            <w:tcW w:w="2268" w:type="dxa"/>
            <w:vAlign w:val="center"/>
          </w:tcPr>
          <w:p w14:paraId="37A2C36C">
            <w:pPr>
              <w:pStyle w:val="13"/>
            </w:pPr>
            <w:r>
              <w:t>3年</w:t>
            </w:r>
          </w:p>
        </w:tc>
        <w:tc>
          <w:tcPr>
            <w:tcW w:w="1276" w:type="dxa"/>
            <w:vAlign w:val="center"/>
          </w:tcPr>
          <w:p w14:paraId="6FFFEC17">
            <w:pPr>
              <w:pStyle w:val="13"/>
            </w:pPr>
            <w:r>
              <w:t>城乡义务教育公共经费</w:t>
            </w:r>
          </w:p>
        </w:tc>
      </w:tr>
      <w:tr w14:paraId="4BC0D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FF3CFC">
            <w:pPr>
              <w:pStyle w:val="12"/>
            </w:pPr>
            <w:r>
              <w:t>满意度指标</w:t>
            </w:r>
          </w:p>
        </w:tc>
        <w:tc>
          <w:tcPr>
            <w:tcW w:w="2268" w:type="dxa"/>
            <w:vAlign w:val="center"/>
          </w:tcPr>
          <w:p w14:paraId="4D7857CB">
            <w:pPr>
              <w:pStyle w:val="13"/>
            </w:pPr>
            <w:r>
              <w:t>服务对象满意度指标</w:t>
            </w:r>
          </w:p>
        </w:tc>
        <w:tc>
          <w:tcPr>
            <w:tcW w:w="2835" w:type="dxa"/>
            <w:vAlign w:val="center"/>
          </w:tcPr>
          <w:p w14:paraId="1FAA5D66">
            <w:pPr>
              <w:pStyle w:val="13"/>
            </w:pPr>
            <w:r>
              <w:t>受益学生家长及调查满意度</w:t>
            </w:r>
          </w:p>
        </w:tc>
        <w:tc>
          <w:tcPr>
            <w:tcW w:w="5386" w:type="dxa"/>
            <w:vAlign w:val="center"/>
          </w:tcPr>
          <w:p w14:paraId="29B89B99">
            <w:pPr>
              <w:pStyle w:val="13"/>
            </w:pPr>
            <w:r>
              <w:t>学生、教师及家长对学校教学环境满意度情况</w:t>
            </w:r>
          </w:p>
        </w:tc>
        <w:tc>
          <w:tcPr>
            <w:tcW w:w="2268" w:type="dxa"/>
            <w:vAlign w:val="center"/>
          </w:tcPr>
          <w:p w14:paraId="3DCF2CF0">
            <w:pPr>
              <w:pStyle w:val="13"/>
            </w:pPr>
            <w:r>
              <w:t>≥98%</w:t>
            </w:r>
          </w:p>
        </w:tc>
        <w:tc>
          <w:tcPr>
            <w:tcW w:w="1276" w:type="dxa"/>
            <w:vAlign w:val="center"/>
          </w:tcPr>
          <w:p w14:paraId="6215EFFB">
            <w:pPr>
              <w:pStyle w:val="13"/>
            </w:pPr>
            <w:r>
              <w:t>问卷调查</w:t>
            </w:r>
          </w:p>
        </w:tc>
      </w:tr>
    </w:tbl>
    <w:p w14:paraId="3B859AB1">
      <w:pPr>
        <w:sectPr>
          <w:pgSz w:w="16840" w:h="11900" w:orient="landscape"/>
          <w:pgMar w:top="1361" w:right="1020" w:bottom="1134" w:left="1020" w:header="720" w:footer="720" w:gutter="0"/>
          <w:cols w:space="720" w:num="1"/>
        </w:sectPr>
      </w:pPr>
    </w:p>
    <w:p w14:paraId="447B0253">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5、冀财教[2024]123号/中央/2025年义教补助经费/综合奖补/尧山中学空调购置绩效目标表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0C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1E011">
            <w:pPr>
              <w:pStyle w:val="14"/>
            </w:pPr>
            <w:r>
              <w:t>单位：万元</w:t>
            </w:r>
          </w:p>
        </w:tc>
      </w:tr>
      <w:tr w14:paraId="73A64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250ED">
            <w:pPr>
              <w:pStyle w:val="11"/>
            </w:pPr>
            <w:r>
              <w:t>项目编码</w:t>
            </w:r>
          </w:p>
        </w:tc>
        <w:tc>
          <w:tcPr>
            <w:tcW w:w="5103" w:type="dxa"/>
            <w:gridSpan w:val="2"/>
            <w:vAlign w:val="center"/>
          </w:tcPr>
          <w:p w14:paraId="10E052C4">
            <w:pPr>
              <w:pStyle w:val="13"/>
            </w:pPr>
            <w:r>
              <w:t>13052525P00875610228H</w:t>
            </w:r>
          </w:p>
        </w:tc>
        <w:tc>
          <w:tcPr>
            <w:tcW w:w="2835" w:type="dxa"/>
            <w:vAlign w:val="center"/>
          </w:tcPr>
          <w:p w14:paraId="7FEE9FCB">
            <w:pPr>
              <w:pStyle w:val="11"/>
            </w:pPr>
            <w:r>
              <w:t>项目名称</w:t>
            </w:r>
          </w:p>
        </w:tc>
        <w:tc>
          <w:tcPr>
            <w:tcW w:w="6095" w:type="dxa"/>
            <w:gridSpan w:val="3"/>
            <w:vAlign w:val="center"/>
          </w:tcPr>
          <w:p w14:paraId="0985788B">
            <w:pPr>
              <w:pStyle w:val="13"/>
            </w:pPr>
            <w:r>
              <w:t>冀财教[2024]123号/中央/2025年义教补助经费/综合奖补/尧山中学空调购置</w:t>
            </w:r>
          </w:p>
        </w:tc>
      </w:tr>
      <w:tr w14:paraId="049F2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BEF1A">
            <w:pPr>
              <w:pStyle w:val="11"/>
            </w:pPr>
            <w:r>
              <w:t>预算规模及资金用途</w:t>
            </w:r>
          </w:p>
        </w:tc>
        <w:tc>
          <w:tcPr>
            <w:tcW w:w="2268" w:type="dxa"/>
            <w:vAlign w:val="center"/>
          </w:tcPr>
          <w:p w14:paraId="65BF6CDD">
            <w:pPr>
              <w:pStyle w:val="11"/>
            </w:pPr>
            <w:r>
              <w:t>预算数</w:t>
            </w:r>
          </w:p>
        </w:tc>
        <w:tc>
          <w:tcPr>
            <w:tcW w:w="2835" w:type="dxa"/>
            <w:vAlign w:val="center"/>
          </w:tcPr>
          <w:p w14:paraId="34005F9B">
            <w:pPr>
              <w:pStyle w:val="13"/>
            </w:pPr>
            <w:r>
              <w:t>28.80</w:t>
            </w:r>
          </w:p>
        </w:tc>
        <w:tc>
          <w:tcPr>
            <w:tcW w:w="2835" w:type="dxa"/>
            <w:vAlign w:val="center"/>
          </w:tcPr>
          <w:p w14:paraId="566E0C3B">
            <w:pPr>
              <w:pStyle w:val="11"/>
            </w:pPr>
            <w:r>
              <w:t>其中：财政    资金</w:t>
            </w:r>
          </w:p>
        </w:tc>
        <w:tc>
          <w:tcPr>
            <w:tcW w:w="2551" w:type="dxa"/>
            <w:vAlign w:val="center"/>
          </w:tcPr>
          <w:p w14:paraId="353EC7FB">
            <w:pPr>
              <w:pStyle w:val="13"/>
            </w:pPr>
            <w:r>
              <w:t>28.80</w:t>
            </w:r>
          </w:p>
        </w:tc>
        <w:tc>
          <w:tcPr>
            <w:tcW w:w="2268" w:type="dxa"/>
            <w:vAlign w:val="center"/>
          </w:tcPr>
          <w:p w14:paraId="4CC86FD8">
            <w:pPr>
              <w:pStyle w:val="11"/>
            </w:pPr>
            <w:r>
              <w:t>其他资金</w:t>
            </w:r>
          </w:p>
        </w:tc>
        <w:tc>
          <w:tcPr>
            <w:tcW w:w="1276" w:type="dxa"/>
            <w:vAlign w:val="center"/>
          </w:tcPr>
          <w:p w14:paraId="04C8D2DA">
            <w:pPr>
              <w:pStyle w:val="13"/>
            </w:pPr>
            <w:r>
              <w:t xml:space="preserve"> </w:t>
            </w:r>
          </w:p>
        </w:tc>
      </w:tr>
      <w:tr w14:paraId="07654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E9920"/>
        </w:tc>
        <w:tc>
          <w:tcPr>
            <w:tcW w:w="14033" w:type="dxa"/>
            <w:gridSpan w:val="6"/>
            <w:vAlign w:val="center"/>
          </w:tcPr>
          <w:p w14:paraId="71AF1CFC">
            <w:pPr>
              <w:pStyle w:val="13"/>
            </w:pPr>
            <w:r>
              <w:t>加大公办学校建设投资力度，提升学校形象，改善义务教育阶段办学条件，创造良好的校园环境。</w:t>
            </w:r>
          </w:p>
        </w:tc>
      </w:tr>
      <w:tr w14:paraId="544C43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8D8F7">
            <w:pPr>
              <w:pStyle w:val="11"/>
            </w:pPr>
            <w:r>
              <w:t>资金支出计划（%）</w:t>
            </w:r>
          </w:p>
        </w:tc>
        <w:tc>
          <w:tcPr>
            <w:tcW w:w="5103" w:type="dxa"/>
            <w:gridSpan w:val="2"/>
            <w:vAlign w:val="center"/>
          </w:tcPr>
          <w:p w14:paraId="60D9CE0F">
            <w:pPr>
              <w:pStyle w:val="11"/>
            </w:pPr>
            <w:r>
              <w:t>3月底</w:t>
            </w:r>
          </w:p>
        </w:tc>
        <w:tc>
          <w:tcPr>
            <w:tcW w:w="2835" w:type="dxa"/>
            <w:vAlign w:val="center"/>
          </w:tcPr>
          <w:p w14:paraId="6E3CFAEE">
            <w:pPr>
              <w:pStyle w:val="11"/>
            </w:pPr>
            <w:r>
              <w:t>6月底</w:t>
            </w:r>
          </w:p>
        </w:tc>
        <w:tc>
          <w:tcPr>
            <w:tcW w:w="2551" w:type="dxa"/>
            <w:vAlign w:val="center"/>
          </w:tcPr>
          <w:p w14:paraId="46E79466">
            <w:pPr>
              <w:pStyle w:val="11"/>
            </w:pPr>
            <w:r>
              <w:t>10月底</w:t>
            </w:r>
          </w:p>
        </w:tc>
        <w:tc>
          <w:tcPr>
            <w:tcW w:w="3544" w:type="dxa"/>
            <w:gridSpan w:val="2"/>
            <w:vAlign w:val="center"/>
          </w:tcPr>
          <w:p w14:paraId="2467BA6A">
            <w:pPr>
              <w:pStyle w:val="11"/>
            </w:pPr>
            <w:r>
              <w:t>12月底</w:t>
            </w:r>
          </w:p>
        </w:tc>
      </w:tr>
      <w:tr w14:paraId="61560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B9C1A8"/>
        </w:tc>
        <w:tc>
          <w:tcPr>
            <w:tcW w:w="5103" w:type="dxa"/>
            <w:gridSpan w:val="2"/>
            <w:vAlign w:val="center"/>
          </w:tcPr>
          <w:p w14:paraId="24A4FB4E">
            <w:pPr>
              <w:pStyle w:val="12"/>
            </w:pPr>
            <w:r>
              <w:t>25%</w:t>
            </w:r>
          </w:p>
        </w:tc>
        <w:tc>
          <w:tcPr>
            <w:tcW w:w="2835" w:type="dxa"/>
            <w:vAlign w:val="center"/>
          </w:tcPr>
          <w:p w14:paraId="0CF52A3E">
            <w:pPr>
              <w:pStyle w:val="12"/>
            </w:pPr>
            <w:r>
              <w:t>50%</w:t>
            </w:r>
          </w:p>
        </w:tc>
        <w:tc>
          <w:tcPr>
            <w:tcW w:w="2551" w:type="dxa"/>
            <w:vAlign w:val="center"/>
          </w:tcPr>
          <w:p w14:paraId="5529FB41">
            <w:pPr>
              <w:pStyle w:val="12"/>
            </w:pPr>
            <w:r>
              <w:t>75%</w:t>
            </w:r>
          </w:p>
        </w:tc>
        <w:tc>
          <w:tcPr>
            <w:tcW w:w="3544" w:type="dxa"/>
            <w:gridSpan w:val="2"/>
            <w:vAlign w:val="center"/>
          </w:tcPr>
          <w:p w14:paraId="7DEC5615">
            <w:pPr>
              <w:pStyle w:val="12"/>
            </w:pPr>
            <w:r>
              <w:t>100%</w:t>
            </w:r>
          </w:p>
        </w:tc>
      </w:tr>
      <w:tr w14:paraId="46EDC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4AFDDA">
            <w:pPr>
              <w:pStyle w:val="11"/>
            </w:pPr>
            <w:r>
              <w:t>绩效目标</w:t>
            </w:r>
          </w:p>
        </w:tc>
        <w:tc>
          <w:tcPr>
            <w:tcW w:w="14033" w:type="dxa"/>
            <w:gridSpan w:val="6"/>
            <w:vAlign w:val="center"/>
          </w:tcPr>
          <w:p w14:paraId="516D028D">
            <w:pPr>
              <w:pStyle w:val="13"/>
            </w:pPr>
            <w:r>
              <w:t>1.项目需资金288000元，资金拨付率达到100%。</w:t>
            </w:r>
          </w:p>
          <w:p w14:paraId="1E311529">
            <w:pPr>
              <w:pStyle w:val="13"/>
            </w:pPr>
            <w:r>
              <w:t>2.加大公办学校建设投资力度，提升学校形象，改善义务教育阶段办学条件，创造良好的校园环境。</w:t>
            </w:r>
          </w:p>
        </w:tc>
      </w:tr>
    </w:tbl>
    <w:p w14:paraId="77391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A9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878E4">
            <w:pPr>
              <w:pStyle w:val="11"/>
            </w:pPr>
            <w:r>
              <w:t>一级指标</w:t>
            </w:r>
          </w:p>
        </w:tc>
        <w:tc>
          <w:tcPr>
            <w:tcW w:w="2268" w:type="dxa"/>
            <w:vAlign w:val="center"/>
          </w:tcPr>
          <w:p w14:paraId="3090402A">
            <w:pPr>
              <w:pStyle w:val="11"/>
            </w:pPr>
            <w:r>
              <w:t>二级指标</w:t>
            </w:r>
          </w:p>
        </w:tc>
        <w:tc>
          <w:tcPr>
            <w:tcW w:w="2835" w:type="dxa"/>
            <w:vAlign w:val="center"/>
          </w:tcPr>
          <w:p w14:paraId="50ACF3ED">
            <w:pPr>
              <w:pStyle w:val="11"/>
            </w:pPr>
            <w:r>
              <w:t>三级指标</w:t>
            </w:r>
          </w:p>
        </w:tc>
        <w:tc>
          <w:tcPr>
            <w:tcW w:w="5386" w:type="dxa"/>
            <w:vAlign w:val="center"/>
          </w:tcPr>
          <w:p w14:paraId="5C2BC850">
            <w:pPr>
              <w:pStyle w:val="11"/>
            </w:pPr>
            <w:r>
              <w:t>绩效指标描述</w:t>
            </w:r>
          </w:p>
        </w:tc>
        <w:tc>
          <w:tcPr>
            <w:tcW w:w="2268" w:type="dxa"/>
            <w:vAlign w:val="center"/>
          </w:tcPr>
          <w:p w14:paraId="25E02202">
            <w:pPr>
              <w:pStyle w:val="11"/>
            </w:pPr>
            <w:r>
              <w:t>指标值</w:t>
            </w:r>
          </w:p>
        </w:tc>
        <w:tc>
          <w:tcPr>
            <w:tcW w:w="1276" w:type="dxa"/>
            <w:vAlign w:val="center"/>
          </w:tcPr>
          <w:p w14:paraId="7E0AC276">
            <w:pPr>
              <w:pStyle w:val="11"/>
            </w:pPr>
            <w:r>
              <w:t>指标值确定依据</w:t>
            </w:r>
          </w:p>
        </w:tc>
      </w:tr>
      <w:tr w14:paraId="45BBA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7CE35">
            <w:pPr>
              <w:pStyle w:val="12"/>
            </w:pPr>
            <w:r>
              <w:t>产出指标</w:t>
            </w:r>
          </w:p>
        </w:tc>
        <w:tc>
          <w:tcPr>
            <w:tcW w:w="2268" w:type="dxa"/>
            <w:vAlign w:val="center"/>
          </w:tcPr>
          <w:p w14:paraId="6491D36E">
            <w:pPr>
              <w:pStyle w:val="13"/>
            </w:pPr>
            <w:r>
              <w:t>数量指标</w:t>
            </w:r>
          </w:p>
        </w:tc>
        <w:tc>
          <w:tcPr>
            <w:tcW w:w="2835" w:type="dxa"/>
            <w:vAlign w:val="center"/>
          </w:tcPr>
          <w:p w14:paraId="0205B710">
            <w:pPr>
              <w:pStyle w:val="13"/>
            </w:pPr>
            <w:r>
              <w:t>空调台数</w:t>
            </w:r>
          </w:p>
        </w:tc>
        <w:tc>
          <w:tcPr>
            <w:tcW w:w="5386" w:type="dxa"/>
            <w:vAlign w:val="center"/>
          </w:tcPr>
          <w:p w14:paraId="0FD35E68">
            <w:pPr>
              <w:pStyle w:val="13"/>
            </w:pPr>
            <w:r>
              <w:t>空调台数</w:t>
            </w:r>
          </w:p>
        </w:tc>
        <w:tc>
          <w:tcPr>
            <w:tcW w:w="2268" w:type="dxa"/>
            <w:vAlign w:val="center"/>
          </w:tcPr>
          <w:p w14:paraId="23CA2B8E">
            <w:pPr>
              <w:pStyle w:val="13"/>
            </w:pPr>
            <w:r>
              <w:t>120台</w:t>
            </w:r>
          </w:p>
        </w:tc>
        <w:tc>
          <w:tcPr>
            <w:tcW w:w="1276" w:type="dxa"/>
            <w:vAlign w:val="center"/>
          </w:tcPr>
          <w:p w14:paraId="4FF4A7AB">
            <w:pPr>
              <w:pStyle w:val="13"/>
            </w:pPr>
            <w:r>
              <w:t>城乡义务教育公用经费管理办法</w:t>
            </w:r>
          </w:p>
        </w:tc>
      </w:tr>
      <w:tr w14:paraId="45DA3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F3D76"/>
        </w:tc>
        <w:tc>
          <w:tcPr>
            <w:tcW w:w="2268" w:type="dxa"/>
            <w:vAlign w:val="center"/>
          </w:tcPr>
          <w:p w14:paraId="0ADD18E7">
            <w:pPr>
              <w:pStyle w:val="13"/>
            </w:pPr>
            <w:r>
              <w:t>质量指标</w:t>
            </w:r>
          </w:p>
        </w:tc>
        <w:tc>
          <w:tcPr>
            <w:tcW w:w="2835" w:type="dxa"/>
            <w:vAlign w:val="center"/>
          </w:tcPr>
          <w:p w14:paraId="7E211A49">
            <w:pPr>
              <w:pStyle w:val="13"/>
            </w:pPr>
            <w:r>
              <w:t>工程实施验收合格率</w:t>
            </w:r>
          </w:p>
        </w:tc>
        <w:tc>
          <w:tcPr>
            <w:tcW w:w="5386" w:type="dxa"/>
            <w:vAlign w:val="center"/>
          </w:tcPr>
          <w:p w14:paraId="4917E8E1">
            <w:pPr>
              <w:pStyle w:val="13"/>
            </w:pPr>
            <w:r>
              <w:t>申报程序的合规，项目实施及资金使用符合项目规划</w:t>
            </w:r>
          </w:p>
        </w:tc>
        <w:tc>
          <w:tcPr>
            <w:tcW w:w="2268" w:type="dxa"/>
            <w:vAlign w:val="center"/>
          </w:tcPr>
          <w:p w14:paraId="2E2E8410">
            <w:pPr>
              <w:pStyle w:val="13"/>
            </w:pPr>
            <w:r>
              <w:t>100%</w:t>
            </w:r>
          </w:p>
        </w:tc>
        <w:tc>
          <w:tcPr>
            <w:tcW w:w="1276" w:type="dxa"/>
            <w:vAlign w:val="center"/>
          </w:tcPr>
          <w:p w14:paraId="0D9CE981">
            <w:pPr>
              <w:pStyle w:val="13"/>
            </w:pPr>
            <w:r>
              <w:t>城乡义务教育公用经费管理办法</w:t>
            </w:r>
          </w:p>
        </w:tc>
      </w:tr>
      <w:tr w14:paraId="5A968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582CF"/>
        </w:tc>
        <w:tc>
          <w:tcPr>
            <w:tcW w:w="2268" w:type="dxa"/>
            <w:vAlign w:val="center"/>
          </w:tcPr>
          <w:p w14:paraId="4C4DC904">
            <w:pPr>
              <w:pStyle w:val="13"/>
            </w:pPr>
            <w:r>
              <w:t>时效指标</w:t>
            </w:r>
          </w:p>
        </w:tc>
        <w:tc>
          <w:tcPr>
            <w:tcW w:w="2835" w:type="dxa"/>
            <w:vAlign w:val="center"/>
          </w:tcPr>
          <w:p w14:paraId="0A365620">
            <w:pPr>
              <w:pStyle w:val="13"/>
            </w:pPr>
            <w:r>
              <w:t>资金支付率</w:t>
            </w:r>
          </w:p>
        </w:tc>
        <w:tc>
          <w:tcPr>
            <w:tcW w:w="5386" w:type="dxa"/>
            <w:vAlign w:val="center"/>
          </w:tcPr>
          <w:p w14:paraId="28E40EF0">
            <w:pPr>
              <w:pStyle w:val="13"/>
            </w:pPr>
            <w:r>
              <w:t>按照序时进度完成资金支付</w:t>
            </w:r>
          </w:p>
        </w:tc>
        <w:tc>
          <w:tcPr>
            <w:tcW w:w="2268" w:type="dxa"/>
            <w:vAlign w:val="center"/>
          </w:tcPr>
          <w:p w14:paraId="0D872BA5">
            <w:pPr>
              <w:pStyle w:val="13"/>
            </w:pPr>
            <w:r>
              <w:t>100%</w:t>
            </w:r>
          </w:p>
        </w:tc>
        <w:tc>
          <w:tcPr>
            <w:tcW w:w="1276" w:type="dxa"/>
            <w:vAlign w:val="center"/>
          </w:tcPr>
          <w:p w14:paraId="4068CD5D">
            <w:pPr>
              <w:pStyle w:val="13"/>
            </w:pPr>
            <w:r>
              <w:t>城乡义务教育公用经费管理办法</w:t>
            </w:r>
          </w:p>
        </w:tc>
      </w:tr>
      <w:tr w14:paraId="31EA0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341C5A21"/>
        </w:tc>
        <w:tc>
          <w:tcPr>
            <w:tcW w:w="2268" w:type="dxa"/>
            <w:vAlign w:val="center"/>
          </w:tcPr>
          <w:p w14:paraId="20DCBAC5">
            <w:pPr>
              <w:pStyle w:val="13"/>
            </w:pPr>
            <w:r>
              <w:t>成本指标</w:t>
            </w:r>
          </w:p>
        </w:tc>
        <w:tc>
          <w:tcPr>
            <w:tcW w:w="2835" w:type="dxa"/>
            <w:vAlign w:val="center"/>
          </w:tcPr>
          <w:p w14:paraId="21DCD8CC">
            <w:pPr>
              <w:pStyle w:val="13"/>
            </w:pPr>
            <w:r>
              <w:t>项目成本控制情况</w:t>
            </w:r>
          </w:p>
        </w:tc>
        <w:tc>
          <w:tcPr>
            <w:tcW w:w="5386" w:type="dxa"/>
            <w:vAlign w:val="center"/>
          </w:tcPr>
          <w:p w14:paraId="516A12D7">
            <w:pPr>
              <w:pStyle w:val="13"/>
            </w:pPr>
            <w:r>
              <w:t>严格按照招标价格及审计额进行</w:t>
            </w:r>
          </w:p>
        </w:tc>
        <w:tc>
          <w:tcPr>
            <w:tcW w:w="2268" w:type="dxa"/>
            <w:vAlign w:val="center"/>
          </w:tcPr>
          <w:p w14:paraId="4F7C00C4">
            <w:pPr>
              <w:pStyle w:val="13"/>
            </w:pPr>
            <w:r>
              <w:t>100%</w:t>
            </w:r>
          </w:p>
        </w:tc>
        <w:tc>
          <w:tcPr>
            <w:tcW w:w="1276" w:type="dxa"/>
            <w:vAlign w:val="center"/>
          </w:tcPr>
          <w:p w14:paraId="7A18BD3E">
            <w:pPr>
              <w:pStyle w:val="13"/>
            </w:pPr>
            <w:r>
              <w:t>城乡义务教育公用经费管理办法</w:t>
            </w:r>
          </w:p>
        </w:tc>
      </w:tr>
      <w:tr w14:paraId="4E5F0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9430F8">
            <w:pPr>
              <w:pStyle w:val="12"/>
            </w:pPr>
            <w:r>
              <w:t>效益指标</w:t>
            </w:r>
          </w:p>
        </w:tc>
        <w:tc>
          <w:tcPr>
            <w:tcW w:w="2268" w:type="dxa"/>
            <w:vAlign w:val="center"/>
          </w:tcPr>
          <w:p w14:paraId="4AA8C54B">
            <w:pPr>
              <w:pStyle w:val="13"/>
            </w:pPr>
            <w:r>
              <w:t>可持续影响指标</w:t>
            </w:r>
          </w:p>
        </w:tc>
        <w:tc>
          <w:tcPr>
            <w:tcW w:w="2835" w:type="dxa"/>
            <w:vAlign w:val="center"/>
          </w:tcPr>
          <w:p w14:paraId="2DC9A940">
            <w:pPr>
              <w:pStyle w:val="13"/>
            </w:pPr>
            <w:r>
              <w:t>学生受教育年限</w:t>
            </w:r>
          </w:p>
        </w:tc>
        <w:tc>
          <w:tcPr>
            <w:tcW w:w="5386" w:type="dxa"/>
            <w:vAlign w:val="center"/>
          </w:tcPr>
          <w:p w14:paraId="6D879E2D">
            <w:pPr>
              <w:pStyle w:val="13"/>
            </w:pPr>
            <w:r>
              <w:t>学生受教育年限</w:t>
            </w:r>
          </w:p>
        </w:tc>
        <w:tc>
          <w:tcPr>
            <w:tcW w:w="2268" w:type="dxa"/>
            <w:vAlign w:val="center"/>
          </w:tcPr>
          <w:p w14:paraId="5C7CC0BD">
            <w:pPr>
              <w:pStyle w:val="13"/>
            </w:pPr>
            <w:r>
              <w:t>3年</w:t>
            </w:r>
          </w:p>
        </w:tc>
        <w:tc>
          <w:tcPr>
            <w:tcW w:w="1276" w:type="dxa"/>
            <w:vAlign w:val="center"/>
          </w:tcPr>
          <w:p w14:paraId="3CEC3645">
            <w:pPr>
              <w:pStyle w:val="13"/>
            </w:pPr>
            <w:r>
              <w:t>城乡义务教育公用经费管理办法</w:t>
            </w:r>
          </w:p>
        </w:tc>
      </w:tr>
      <w:tr w14:paraId="2D850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D2481">
            <w:pPr>
              <w:pStyle w:val="12"/>
            </w:pPr>
            <w:r>
              <w:t>满意度指标</w:t>
            </w:r>
          </w:p>
        </w:tc>
        <w:tc>
          <w:tcPr>
            <w:tcW w:w="2268" w:type="dxa"/>
            <w:vAlign w:val="center"/>
          </w:tcPr>
          <w:p w14:paraId="3F6B17B1">
            <w:pPr>
              <w:pStyle w:val="13"/>
            </w:pPr>
            <w:r>
              <w:t>服务对象满意度指标</w:t>
            </w:r>
          </w:p>
        </w:tc>
        <w:tc>
          <w:tcPr>
            <w:tcW w:w="2835" w:type="dxa"/>
            <w:vAlign w:val="center"/>
          </w:tcPr>
          <w:p w14:paraId="06578E9A">
            <w:pPr>
              <w:pStyle w:val="13"/>
            </w:pPr>
            <w:r>
              <w:t>受益学生家长及调查满意度</w:t>
            </w:r>
          </w:p>
        </w:tc>
        <w:tc>
          <w:tcPr>
            <w:tcW w:w="5386" w:type="dxa"/>
            <w:vAlign w:val="center"/>
          </w:tcPr>
          <w:p w14:paraId="74AB8A8A">
            <w:pPr>
              <w:pStyle w:val="13"/>
            </w:pPr>
            <w:r>
              <w:t>学生、教师及家长对学校教学环境满意度情况</w:t>
            </w:r>
          </w:p>
        </w:tc>
        <w:tc>
          <w:tcPr>
            <w:tcW w:w="2268" w:type="dxa"/>
            <w:vAlign w:val="center"/>
          </w:tcPr>
          <w:p w14:paraId="5432CC49">
            <w:pPr>
              <w:pStyle w:val="13"/>
            </w:pPr>
            <w:r>
              <w:t>≥95%</w:t>
            </w:r>
          </w:p>
        </w:tc>
        <w:tc>
          <w:tcPr>
            <w:tcW w:w="1276" w:type="dxa"/>
            <w:vAlign w:val="center"/>
          </w:tcPr>
          <w:p w14:paraId="0CFE8A67">
            <w:pPr>
              <w:pStyle w:val="13"/>
            </w:pPr>
            <w:r>
              <w:t>调查问卷</w:t>
            </w:r>
          </w:p>
        </w:tc>
      </w:tr>
    </w:tbl>
    <w:p w14:paraId="169030C7">
      <w:pPr>
        <w:sectPr>
          <w:pgSz w:w="16840" w:h="11900" w:orient="landscape"/>
          <w:pgMar w:top="1361" w:right="1020" w:bottom="1134" w:left="1020" w:header="720" w:footer="720" w:gutter="0"/>
          <w:cols w:space="720" w:num="1"/>
        </w:sectPr>
      </w:pPr>
    </w:p>
    <w:p w14:paraId="7D23034C">
      <w:pPr>
        <w:spacing w:before="0" w:after="0"/>
        <w:ind w:firstLine="560"/>
        <w:jc w:val="left"/>
        <w:outlineLvl w:val="9"/>
      </w:pPr>
      <w:r>
        <w:rPr>
          <w:rFonts w:ascii="方正仿宋_GBK" w:hAnsi="方正仿宋_GBK" w:eastAsia="方正仿宋_GBK" w:cs="方正仿宋_GBK"/>
          <w:b/>
          <w:color w:val="000000"/>
          <w:sz w:val="28"/>
        </w:rPr>
        <w:t>6、冀财教[2024]141号/省级/2025年义教补助经费/尧山中学公用经费绩效目标表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66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8D2CB">
            <w:pPr>
              <w:pStyle w:val="14"/>
            </w:pPr>
            <w:r>
              <w:t>单位：万元</w:t>
            </w:r>
          </w:p>
        </w:tc>
      </w:tr>
      <w:tr w14:paraId="0552E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92DBF8">
            <w:pPr>
              <w:pStyle w:val="11"/>
            </w:pPr>
            <w:r>
              <w:t>项目编码</w:t>
            </w:r>
          </w:p>
        </w:tc>
        <w:tc>
          <w:tcPr>
            <w:tcW w:w="5103" w:type="dxa"/>
            <w:gridSpan w:val="2"/>
            <w:vAlign w:val="center"/>
          </w:tcPr>
          <w:p w14:paraId="6B37AE7F">
            <w:pPr>
              <w:pStyle w:val="13"/>
            </w:pPr>
            <w:r>
              <w:t>13052525P000004101182</w:t>
            </w:r>
          </w:p>
        </w:tc>
        <w:tc>
          <w:tcPr>
            <w:tcW w:w="2835" w:type="dxa"/>
            <w:vAlign w:val="center"/>
          </w:tcPr>
          <w:p w14:paraId="74D3492D">
            <w:pPr>
              <w:pStyle w:val="11"/>
            </w:pPr>
            <w:r>
              <w:t>项目名称</w:t>
            </w:r>
          </w:p>
        </w:tc>
        <w:tc>
          <w:tcPr>
            <w:tcW w:w="6095" w:type="dxa"/>
            <w:gridSpan w:val="3"/>
            <w:vAlign w:val="center"/>
          </w:tcPr>
          <w:p w14:paraId="312E6C6C">
            <w:pPr>
              <w:pStyle w:val="13"/>
            </w:pPr>
            <w:r>
              <w:t>冀财教[2024]141号/省级/2025年义教补助经费/尧山中学公用经费</w:t>
            </w:r>
          </w:p>
        </w:tc>
      </w:tr>
      <w:tr w14:paraId="6194E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84C89">
            <w:pPr>
              <w:pStyle w:val="11"/>
            </w:pPr>
            <w:r>
              <w:t>预算规模及资金用途</w:t>
            </w:r>
          </w:p>
        </w:tc>
        <w:tc>
          <w:tcPr>
            <w:tcW w:w="2268" w:type="dxa"/>
            <w:vAlign w:val="center"/>
          </w:tcPr>
          <w:p w14:paraId="32715F5D">
            <w:pPr>
              <w:pStyle w:val="11"/>
            </w:pPr>
            <w:r>
              <w:t>预算数</w:t>
            </w:r>
          </w:p>
        </w:tc>
        <w:tc>
          <w:tcPr>
            <w:tcW w:w="2835" w:type="dxa"/>
            <w:vAlign w:val="center"/>
          </w:tcPr>
          <w:p w14:paraId="64800869">
            <w:pPr>
              <w:pStyle w:val="13"/>
            </w:pPr>
            <w:r>
              <w:t>127.26</w:t>
            </w:r>
          </w:p>
        </w:tc>
        <w:tc>
          <w:tcPr>
            <w:tcW w:w="2835" w:type="dxa"/>
            <w:vAlign w:val="center"/>
          </w:tcPr>
          <w:p w14:paraId="1AC60DB7">
            <w:pPr>
              <w:pStyle w:val="11"/>
            </w:pPr>
            <w:r>
              <w:t>其中：财政    资金</w:t>
            </w:r>
          </w:p>
        </w:tc>
        <w:tc>
          <w:tcPr>
            <w:tcW w:w="2551" w:type="dxa"/>
            <w:vAlign w:val="center"/>
          </w:tcPr>
          <w:p w14:paraId="2AC63E97">
            <w:pPr>
              <w:pStyle w:val="13"/>
            </w:pPr>
            <w:r>
              <w:t>127.26</w:t>
            </w:r>
          </w:p>
        </w:tc>
        <w:tc>
          <w:tcPr>
            <w:tcW w:w="2268" w:type="dxa"/>
            <w:vAlign w:val="center"/>
          </w:tcPr>
          <w:p w14:paraId="743C7F47">
            <w:pPr>
              <w:pStyle w:val="11"/>
            </w:pPr>
            <w:r>
              <w:t>其他资金</w:t>
            </w:r>
          </w:p>
        </w:tc>
        <w:tc>
          <w:tcPr>
            <w:tcW w:w="1276" w:type="dxa"/>
            <w:vAlign w:val="center"/>
          </w:tcPr>
          <w:p w14:paraId="388C1894">
            <w:pPr>
              <w:pStyle w:val="13"/>
            </w:pPr>
            <w:r>
              <w:t xml:space="preserve"> </w:t>
            </w:r>
          </w:p>
        </w:tc>
      </w:tr>
      <w:tr w14:paraId="515B0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70D5DB"/>
        </w:tc>
        <w:tc>
          <w:tcPr>
            <w:tcW w:w="14033" w:type="dxa"/>
            <w:gridSpan w:val="6"/>
            <w:vAlign w:val="center"/>
          </w:tcPr>
          <w:p w14:paraId="73BEC374">
            <w:pPr>
              <w:pStyle w:val="13"/>
            </w:pPr>
            <w:r>
              <w:t>保障义务教育学校正常运转，全面贯彻党的教育方针，办人民满意的教育，高质量、高标准完成教育教学活动和其他日常工作任务等方面的费用支</w:t>
            </w:r>
            <w:r>
              <w:tab/>
            </w:r>
            <w:r>
              <w:tab/>
            </w:r>
            <w:r>
              <w:tab/>
            </w:r>
          </w:p>
        </w:tc>
      </w:tr>
      <w:tr w14:paraId="671BE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3435D">
            <w:pPr>
              <w:pStyle w:val="11"/>
            </w:pPr>
            <w:r>
              <w:t>资金支出计划（%）</w:t>
            </w:r>
          </w:p>
        </w:tc>
        <w:tc>
          <w:tcPr>
            <w:tcW w:w="5103" w:type="dxa"/>
            <w:gridSpan w:val="2"/>
            <w:vAlign w:val="center"/>
          </w:tcPr>
          <w:p w14:paraId="687B6038">
            <w:pPr>
              <w:pStyle w:val="11"/>
            </w:pPr>
            <w:r>
              <w:t>3月底</w:t>
            </w:r>
          </w:p>
        </w:tc>
        <w:tc>
          <w:tcPr>
            <w:tcW w:w="2835" w:type="dxa"/>
            <w:vAlign w:val="center"/>
          </w:tcPr>
          <w:p w14:paraId="2A7ABA52">
            <w:pPr>
              <w:pStyle w:val="11"/>
            </w:pPr>
            <w:r>
              <w:t>6月底</w:t>
            </w:r>
          </w:p>
        </w:tc>
        <w:tc>
          <w:tcPr>
            <w:tcW w:w="2551" w:type="dxa"/>
            <w:vAlign w:val="center"/>
          </w:tcPr>
          <w:p w14:paraId="511E0670">
            <w:pPr>
              <w:pStyle w:val="11"/>
            </w:pPr>
            <w:r>
              <w:t>10月底</w:t>
            </w:r>
          </w:p>
        </w:tc>
        <w:tc>
          <w:tcPr>
            <w:tcW w:w="3544" w:type="dxa"/>
            <w:gridSpan w:val="2"/>
            <w:vAlign w:val="center"/>
          </w:tcPr>
          <w:p w14:paraId="0FB95221">
            <w:pPr>
              <w:pStyle w:val="11"/>
            </w:pPr>
            <w:r>
              <w:t>12月底</w:t>
            </w:r>
          </w:p>
        </w:tc>
      </w:tr>
      <w:tr w14:paraId="7E52A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8FB39B"/>
        </w:tc>
        <w:tc>
          <w:tcPr>
            <w:tcW w:w="5103" w:type="dxa"/>
            <w:gridSpan w:val="2"/>
            <w:vAlign w:val="center"/>
          </w:tcPr>
          <w:p w14:paraId="7881DF7D">
            <w:pPr>
              <w:pStyle w:val="12"/>
            </w:pPr>
            <w:r>
              <w:t>25%</w:t>
            </w:r>
          </w:p>
        </w:tc>
        <w:tc>
          <w:tcPr>
            <w:tcW w:w="2835" w:type="dxa"/>
            <w:vAlign w:val="center"/>
          </w:tcPr>
          <w:p w14:paraId="26242EC0">
            <w:pPr>
              <w:pStyle w:val="12"/>
            </w:pPr>
            <w:r>
              <w:t>50%</w:t>
            </w:r>
          </w:p>
        </w:tc>
        <w:tc>
          <w:tcPr>
            <w:tcW w:w="2551" w:type="dxa"/>
            <w:vAlign w:val="center"/>
          </w:tcPr>
          <w:p w14:paraId="301F55A4">
            <w:pPr>
              <w:pStyle w:val="12"/>
            </w:pPr>
            <w:r>
              <w:t>75%</w:t>
            </w:r>
          </w:p>
        </w:tc>
        <w:tc>
          <w:tcPr>
            <w:tcW w:w="3544" w:type="dxa"/>
            <w:gridSpan w:val="2"/>
            <w:vAlign w:val="center"/>
          </w:tcPr>
          <w:p w14:paraId="42D369B6">
            <w:pPr>
              <w:pStyle w:val="12"/>
            </w:pPr>
            <w:r>
              <w:t>100%</w:t>
            </w:r>
          </w:p>
        </w:tc>
      </w:tr>
      <w:tr w14:paraId="456E1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737314">
            <w:pPr>
              <w:pStyle w:val="11"/>
            </w:pPr>
            <w:r>
              <w:t>绩效目标</w:t>
            </w:r>
          </w:p>
        </w:tc>
        <w:tc>
          <w:tcPr>
            <w:tcW w:w="14033" w:type="dxa"/>
            <w:gridSpan w:val="6"/>
            <w:vAlign w:val="center"/>
          </w:tcPr>
          <w:p w14:paraId="06F3B1E6">
            <w:pPr>
              <w:pStyle w:val="13"/>
            </w:pPr>
            <w:r>
              <w:t>1.按规定拨付公用经费资金，资金拨付率达到100%。</w:t>
            </w:r>
          </w:p>
          <w:p w14:paraId="0629EDFB">
            <w:pPr>
              <w:pStyle w:val="13"/>
            </w:pPr>
            <w:r>
              <w:t>2.保障义务教育学校正常运转，完成教育教学活动和其他日常工作任务等方面的费用支出。</w:t>
            </w:r>
          </w:p>
        </w:tc>
      </w:tr>
    </w:tbl>
    <w:p w14:paraId="05A89F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43"/>
        <w:gridCol w:w="2201"/>
      </w:tblGrid>
      <w:tr w14:paraId="2F642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5159A">
            <w:pPr>
              <w:pStyle w:val="11"/>
            </w:pPr>
            <w:r>
              <w:t>一级指标</w:t>
            </w:r>
          </w:p>
        </w:tc>
        <w:tc>
          <w:tcPr>
            <w:tcW w:w="2268" w:type="dxa"/>
            <w:vAlign w:val="center"/>
          </w:tcPr>
          <w:p w14:paraId="03AF0AB5">
            <w:pPr>
              <w:pStyle w:val="11"/>
            </w:pPr>
            <w:r>
              <w:t>二级指标</w:t>
            </w:r>
          </w:p>
        </w:tc>
        <w:tc>
          <w:tcPr>
            <w:tcW w:w="2835" w:type="dxa"/>
            <w:vAlign w:val="center"/>
          </w:tcPr>
          <w:p w14:paraId="70A40188">
            <w:pPr>
              <w:pStyle w:val="11"/>
            </w:pPr>
            <w:r>
              <w:t>三级指标</w:t>
            </w:r>
          </w:p>
        </w:tc>
        <w:tc>
          <w:tcPr>
            <w:tcW w:w="5386" w:type="dxa"/>
            <w:vAlign w:val="center"/>
          </w:tcPr>
          <w:p w14:paraId="0BE618A9">
            <w:pPr>
              <w:pStyle w:val="11"/>
            </w:pPr>
            <w:r>
              <w:t>绩效指标描述</w:t>
            </w:r>
          </w:p>
        </w:tc>
        <w:tc>
          <w:tcPr>
            <w:tcW w:w="1343" w:type="dxa"/>
            <w:vAlign w:val="center"/>
          </w:tcPr>
          <w:p w14:paraId="4CC32118">
            <w:pPr>
              <w:pStyle w:val="11"/>
            </w:pPr>
            <w:r>
              <w:t>指标值</w:t>
            </w:r>
          </w:p>
        </w:tc>
        <w:tc>
          <w:tcPr>
            <w:tcW w:w="2201" w:type="dxa"/>
            <w:vAlign w:val="center"/>
          </w:tcPr>
          <w:p w14:paraId="726C9AD7">
            <w:pPr>
              <w:pStyle w:val="11"/>
            </w:pPr>
            <w:r>
              <w:t>指标值确定依据</w:t>
            </w:r>
          </w:p>
        </w:tc>
      </w:tr>
      <w:tr w14:paraId="5A070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16270">
            <w:pPr>
              <w:pStyle w:val="12"/>
            </w:pPr>
            <w:r>
              <w:t>产出指标</w:t>
            </w:r>
          </w:p>
        </w:tc>
        <w:tc>
          <w:tcPr>
            <w:tcW w:w="2268" w:type="dxa"/>
            <w:vAlign w:val="center"/>
          </w:tcPr>
          <w:p w14:paraId="0139D47B">
            <w:pPr>
              <w:pStyle w:val="13"/>
            </w:pPr>
            <w:r>
              <w:t>成本指标</w:t>
            </w:r>
          </w:p>
        </w:tc>
        <w:tc>
          <w:tcPr>
            <w:tcW w:w="2835" w:type="dxa"/>
            <w:vAlign w:val="center"/>
          </w:tcPr>
          <w:p w14:paraId="3BEF7B8A">
            <w:pPr>
              <w:pStyle w:val="13"/>
            </w:pPr>
            <w:r>
              <w:t>生均拨款标准</w:t>
            </w:r>
          </w:p>
        </w:tc>
        <w:tc>
          <w:tcPr>
            <w:tcW w:w="5386" w:type="dxa"/>
            <w:vAlign w:val="center"/>
          </w:tcPr>
          <w:p w14:paraId="688814F8">
            <w:pPr>
              <w:pStyle w:val="13"/>
            </w:pPr>
            <w:r>
              <w:t>初中生公用经费年生均初中940元，取暖费120元/生/年，住宿生补助300元/生/年的标准，随班就读学生补助7000元/生，</w:t>
            </w:r>
          </w:p>
        </w:tc>
        <w:tc>
          <w:tcPr>
            <w:tcW w:w="1343" w:type="dxa"/>
            <w:vAlign w:val="center"/>
          </w:tcPr>
          <w:p w14:paraId="0C382399">
            <w:pPr>
              <w:pStyle w:val="13"/>
            </w:pPr>
            <w:r>
              <w:t>1360元</w:t>
            </w:r>
          </w:p>
        </w:tc>
        <w:tc>
          <w:tcPr>
            <w:tcW w:w="2201" w:type="dxa"/>
            <w:vAlign w:val="center"/>
          </w:tcPr>
          <w:p w14:paraId="57D7E665">
            <w:pPr>
              <w:pStyle w:val="13"/>
            </w:pPr>
            <w:r>
              <w:t>城乡义务教育公用经费管理办法</w:t>
            </w:r>
          </w:p>
        </w:tc>
      </w:tr>
      <w:tr w14:paraId="3A70B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0B0BD"/>
        </w:tc>
        <w:tc>
          <w:tcPr>
            <w:tcW w:w="2268" w:type="dxa"/>
            <w:vAlign w:val="center"/>
          </w:tcPr>
          <w:p w14:paraId="4CB334AC">
            <w:pPr>
              <w:pStyle w:val="13"/>
            </w:pPr>
            <w:r>
              <w:t>数量指标</w:t>
            </w:r>
          </w:p>
        </w:tc>
        <w:tc>
          <w:tcPr>
            <w:tcW w:w="2835" w:type="dxa"/>
            <w:vAlign w:val="center"/>
          </w:tcPr>
          <w:p w14:paraId="481E108A">
            <w:pPr>
              <w:pStyle w:val="13"/>
            </w:pPr>
            <w:r>
              <w:t>就读学生数</w:t>
            </w:r>
          </w:p>
        </w:tc>
        <w:tc>
          <w:tcPr>
            <w:tcW w:w="5386" w:type="dxa"/>
            <w:vAlign w:val="center"/>
          </w:tcPr>
          <w:p w14:paraId="0B1A364A">
            <w:pPr>
              <w:pStyle w:val="13"/>
            </w:pPr>
            <w:r>
              <w:t>辐射区域内适龄学生人数</w:t>
            </w:r>
          </w:p>
        </w:tc>
        <w:tc>
          <w:tcPr>
            <w:tcW w:w="1343" w:type="dxa"/>
            <w:vAlign w:val="center"/>
          </w:tcPr>
          <w:p w14:paraId="6FDC9874">
            <w:pPr>
              <w:pStyle w:val="13"/>
            </w:pPr>
            <w:r>
              <w:t>2849人</w:t>
            </w:r>
          </w:p>
        </w:tc>
        <w:tc>
          <w:tcPr>
            <w:tcW w:w="2201" w:type="dxa"/>
            <w:vAlign w:val="center"/>
          </w:tcPr>
          <w:p w14:paraId="505394C0">
            <w:pPr>
              <w:pStyle w:val="13"/>
            </w:pPr>
            <w:r>
              <w:t>城乡义务教育公用经费管理办法</w:t>
            </w:r>
          </w:p>
        </w:tc>
      </w:tr>
      <w:tr w14:paraId="55E3B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842B5"/>
        </w:tc>
        <w:tc>
          <w:tcPr>
            <w:tcW w:w="2268" w:type="dxa"/>
            <w:vAlign w:val="center"/>
          </w:tcPr>
          <w:p w14:paraId="328B9874">
            <w:pPr>
              <w:pStyle w:val="13"/>
            </w:pPr>
            <w:r>
              <w:t>质量指标</w:t>
            </w:r>
          </w:p>
        </w:tc>
        <w:tc>
          <w:tcPr>
            <w:tcW w:w="2835" w:type="dxa"/>
            <w:vAlign w:val="center"/>
          </w:tcPr>
          <w:p w14:paraId="3CF73B7F">
            <w:pPr>
              <w:pStyle w:val="13"/>
            </w:pPr>
            <w:r>
              <w:t>预算执行率</w:t>
            </w:r>
          </w:p>
        </w:tc>
        <w:tc>
          <w:tcPr>
            <w:tcW w:w="5386" w:type="dxa"/>
            <w:vAlign w:val="center"/>
          </w:tcPr>
          <w:p w14:paraId="2BEF721C">
            <w:pPr>
              <w:pStyle w:val="13"/>
            </w:pPr>
            <w:r>
              <w:t>预算执行率大于等于98%</w:t>
            </w:r>
          </w:p>
        </w:tc>
        <w:tc>
          <w:tcPr>
            <w:tcW w:w="1343" w:type="dxa"/>
            <w:vAlign w:val="center"/>
          </w:tcPr>
          <w:p w14:paraId="77117FA4">
            <w:pPr>
              <w:pStyle w:val="13"/>
            </w:pPr>
            <w:r>
              <w:t>≥98%</w:t>
            </w:r>
          </w:p>
        </w:tc>
        <w:tc>
          <w:tcPr>
            <w:tcW w:w="2201" w:type="dxa"/>
            <w:vAlign w:val="center"/>
          </w:tcPr>
          <w:p w14:paraId="211C1BE1">
            <w:pPr>
              <w:pStyle w:val="13"/>
            </w:pPr>
            <w:r>
              <w:t>城乡义务教育公用经费管理办法</w:t>
            </w:r>
          </w:p>
        </w:tc>
      </w:tr>
      <w:tr w14:paraId="15069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FD1E8"/>
        </w:tc>
        <w:tc>
          <w:tcPr>
            <w:tcW w:w="2268" w:type="dxa"/>
            <w:vAlign w:val="center"/>
          </w:tcPr>
          <w:p w14:paraId="4BF330B3">
            <w:pPr>
              <w:pStyle w:val="13"/>
            </w:pPr>
            <w:r>
              <w:t>时效指标</w:t>
            </w:r>
          </w:p>
        </w:tc>
        <w:tc>
          <w:tcPr>
            <w:tcW w:w="2835" w:type="dxa"/>
            <w:vAlign w:val="center"/>
          </w:tcPr>
          <w:p w14:paraId="742F2507">
            <w:pPr>
              <w:pStyle w:val="13"/>
            </w:pPr>
            <w:r>
              <w:t>义教经费支付完成率</w:t>
            </w:r>
          </w:p>
        </w:tc>
        <w:tc>
          <w:tcPr>
            <w:tcW w:w="5386" w:type="dxa"/>
            <w:vAlign w:val="center"/>
          </w:tcPr>
          <w:p w14:paraId="41868AB7">
            <w:pPr>
              <w:pStyle w:val="13"/>
            </w:pPr>
            <w:r>
              <w:t>按照序时进度完成资金支付</w:t>
            </w:r>
          </w:p>
        </w:tc>
        <w:tc>
          <w:tcPr>
            <w:tcW w:w="1343" w:type="dxa"/>
            <w:vAlign w:val="center"/>
          </w:tcPr>
          <w:p w14:paraId="34B18703">
            <w:pPr>
              <w:pStyle w:val="13"/>
            </w:pPr>
            <w:r>
              <w:t>100%</w:t>
            </w:r>
          </w:p>
        </w:tc>
        <w:tc>
          <w:tcPr>
            <w:tcW w:w="2201" w:type="dxa"/>
            <w:vAlign w:val="center"/>
          </w:tcPr>
          <w:p w14:paraId="42610A25">
            <w:pPr>
              <w:pStyle w:val="13"/>
            </w:pPr>
            <w:r>
              <w:t>城乡义务教育公用经费管理办法</w:t>
            </w:r>
          </w:p>
        </w:tc>
      </w:tr>
      <w:tr w14:paraId="17690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2A106">
            <w:pPr>
              <w:pStyle w:val="12"/>
            </w:pPr>
            <w:r>
              <w:t>效益指标</w:t>
            </w:r>
          </w:p>
        </w:tc>
        <w:tc>
          <w:tcPr>
            <w:tcW w:w="2268" w:type="dxa"/>
            <w:vAlign w:val="center"/>
          </w:tcPr>
          <w:p w14:paraId="77A9E3B0">
            <w:pPr>
              <w:pStyle w:val="13"/>
            </w:pPr>
            <w:r>
              <w:t>可持续影响指标</w:t>
            </w:r>
          </w:p>
        </w:tc>
        <w:tc>
          <w:tcPr>
            <w:tcW w:w="2835" w:type="dxa"/>
            <w:vAlign w:val="center"/>
          </w:tcPr>
          <w:p w14:paraId="7B6ACB2C">
            <w:pPr>
              <w:pStyle w:val="13"/>
            </w:pPr>
            <w:r>
              <w:t>学校运转得到提高</w:t>
            </w:r>
          </w:p>
        </w:tc>
        <w:tc>
          <w:tcPr>
            <w:tcW w:w="5386" w:type="dxa"/>
            <w:vAlign w:val="center"/>
          </w:tcPr>
          <w:p w14:paraId="44554B56">
            <w:pPr>
              <w:pStyle w:val="13"/>
            </w:pPr>
            <w:r>
              <w:t>学生受教育年限</w:t>
            </w:r>
          </w:p>
        </w:tc>
        <w:tc>
          <w:tcPr>
            <w:tcW w:w="1343" w:type="dxa"/>
            <w:vAlign w:val="center"/>
          </w:tcPr>
          <w:p w14:paraId="6D015757">
            <w:pPr>
              <w:pStyle w:val="13"/>
            </w:pPr>
            <w:r>
              <w:t>3年</w:t>
            </w:r>
          </w:p>
        </w:tc>
        <w:tc>
          <w:tcPr>
            <w:tcW w:w="2201" w:type="dxa"/>
            <w:vAlign w:val="center"/>
          </w:tcPr>
          <w:p w14:paraId="58BC3261">
            <w:pPr>
              <w:pStyle w:val="13"/>
            </w:pPr>
            <w:r>
              <w:t>城乡义务教育公用经费管理办法</w:t>
            </w:r>
          </w:p>
        </w:tc>
      </w:tr>
      <w:tr w14:paraId="1259D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D3172C">
            <w:pPr>
              <w:pStyle w:val="12"/>
            </w:pPr>
            <w:r>
              <w:t>满意度指标</w:t>
            </w:r>
          </w:p>
        </w:tc>
        <w:tc>
          <w:tcPr>
            <w:tcW w:w="2268" w:type="dxa"/>
            <w:vAlign w:val="center"/>
          </w:tcPr>
          <w:p w14:paraId="0C5D62E5">
            <w:pPr>
              <w:pStyle w:val="13"/>
            </w:pPr>
            <w:r>
              <w:t>服务对象满意度指标</w:t>
            </w:r>
          </w:p>
        </w:tc>
        <w:tc>
          <w:tcPr>
            <w:tcW w:w="2835" w:type="dxa"/>
            <w:vAlign w:val="center"/>
          </w:tcPr>
          <w:p w14:paraId="522C0B14">
            <w:pPr>
              <w:pStyle w:val="13"/>
            </w:pPr>
            <w:r>
              <w:t>学校老师和学生及学生家长满意度</w:t>
            </w:r>
          </w:p>
        </w:tc>
        <w:tc>
          <w:tcPr>
            <w:tcW w:w="5386" w:type="dxa"/>
            <w:vAlign w:val="center"/>
          </w:tcPr>
          <w:p w14:paraId="665E09A9">
            <w:pPr>
              <w:pStyle w:val="13"/>
            </w:pPr>
            <w:r>
              <w:t>学校老师和学生对学校教育教学工作满意度</w:t>
            </w:r>
          </w:p>
        </w:tc>
        <w:tc>
          <w:tcPr>
            <w:tcW w:w="1343" w:type="dxa"/>
            <w:vAlign w:val="center"/>
          </w:tcPr>
          <w:p w14:paraId="3149DEF8">
            <w:pPr>
              <w:pStyle w:val="13"/>
            </w:pPr>
            <w:r>
              <w:t>≥95%</w:t>
            </w:r>
          </w:p>
        </w:tc>
        <w:tc>
          <w:tcPr>
            <w:tcW w:w="2201" w:type="dxa"/>
            <w:vAlign w:val="center"/>
          </w:tcPr>
          <w:p w14:paraId="2471A27D">
            <w:pPr>
              <w:pStyle w:val="13"/>
            </w:pPr>
            <w:r>
              <w:t>问卷调查</w:t>
            </w:r>
          </w:p>
        </w:tc>
      </w:tr>
    </w:tbl>
    <w:p w14:paraId="47F01500">
      <w:pPr>
        <w:sectPr>
          <w:pgSz w:w="16840" w:h="11900" w:orient="landscape"/>
          <w:pgMar w:top="1361" w:right="1020" w:bottom="1134" w:left="1020" w:header="720" w:footer="720" w:gutter="0"/>
          <w:cols w:space="720" w:num="1"/>
        </w:sectPr>
      </w:pPr>
    </w:p>
    <w:p w14:paraId="58CD5010">
      <w:pPr>
        <w:spacing w:before="0" w:after="0"/>
        <w:ind w:firstLine="560"/>
        <w:jc w:val="left"/>
        <w:outlineLvl w:val="9"/>
      </w:pPr>
      <w:r>
        <w:rPr>
          <w:rFonts w:ascii="方正仿宋_GBK" w:hAnsi="方正仿宋_GBK" w:eastAsia="方正仿宋_GBK" w:cs="方正仿宋_GBK"/>
          <w:b/>
          <w:color w:val="000000"/>
          <w:sz w:val="28"/>
        </w:rPr>
        <w:t>7、上年盘活/冀财教[2023]151号/中央/2024年义务教育薄弱环节改善与能力提升/隆尧县尧山中学新建教学楼项目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69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F5349">
            <w:pPr>
              <w:pStyle w:val="14"/>
            </w:pPr>
            <w:r>
              <w:t>单位：万元</w:t>
            </w:r>
          </w:p>
        </w:tc>
      </w:tr>
      <w:tr w14:paraId="73B9F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AF984E">
            <w:pPr>
              <w:pStyle w:val="11"/>
            </w:pPr>
            <w:r>
              <w:t>项目编码</w:t>
            </w:r>
          </w:p>
        </w:tc>
        <w:tc>
          <w:tcPr>
            <w:tcW w:w="5103" w:type="dxa"/>
            <w:gridSpan w:val="2"/>
            <w:vAlign w:val="center"/>
          </w:tcPr>
          <w:p w14:paraId="764E16AE">
            <w:pPr>
              <w:pStyle w:val="13"/>
            </w:pPr>
            <w:r>
              <w:t>13052525P00875610171A</w:t>
            </w:r>
          </w:p>
        </w:tc>
        <w:tc>
          <w:tcPr>
            <w:tcW w:w="2835" w:type="dxa"/>
            <w:vAlign w:val="center"/>
          </w:tcPr>
          <w:p w14:paraId="01D42859">
            <w:pPr>
              <w:pStyle w:val="11"/>
            </w:pPr>
            <w:r>
              <w:t>项目名称</w:t>
            </w:r>
          </w:p>
        </w:tc>
        <w:tc>
          <w:tcPr>
            <w:tcW w:w="6095" w:type="dxa"/>
            <w:gridSpan w:val="3"/>
            <w:vAlign w:val="center"/>
          </w:tcPr>
          <w:p w14:paraId="74BC852A">
            <w:pPr>
              <w:pStyle w:val="13"/>
            </w:pPr>
            <w:r>
              <w:t>上年盘活/冀财教[2023]151号/中央/2024年义务教育薄弱环节改善与能力提升/隆尧县尧山中学新建教学楼项目</w:t>
            </w:r>
            <w:r>
              <w:tab/>
            </w:r>
          </w:p>
        </w:tc>
      </w:tr>
      <w:tr w14:paraId="2944D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CE3B1">
            <w:pPr>
              <w:pStyle w:val="11"/>
            </w:pPr>
            <w:r>
              <w:t>预算规模及资金用途</w:t>
            </w:r>
          </w:p>
        </w:tc>
        <w:tc>
          <w:tcPr>
            <w:tcW w:w="2268" w:type="dxa"/>
            <w:vAlign w:val="center"/>
          </w:tcPr>
          <w:p w14:paraId="6D863C12">
            <w:pPr>
              <w:pStyle w:val="11"/>
            </w:pPr>
            <w:r>
              <w:t>预算数</w:t>
            </w:r>
          </w:p>
        </w:tc>
        <w:tc>
          <w:tcPr>
            <w:tcW w:w="2835" w:type="dxa"/>
            <w:vAlign w:val="center"/>
          </w:tcPr>
          <w:p w14:paraId="0103BBDE">
            <w:pPr>
              <w:pStyle w:val="13"/>
            </w:pPr>
            <w:r>
              <w:t>331.00</w:t>
            </w:r>
          </w:p>
        </w:tc>
        <w:tc>
          <w:tcPr>
            <w:tcW w:w="2835" w:type="dxa"/>
            <w:vAlign w:val="center"/>
          </w:tcPr>
          <w:p w14:paraId="5E83D22A">
            <w:pPr>
              <w:pStyle w:val="11"/>
            </w:pPr>
            <w:r>
              <w:t>其中：财政    资金</w:t>
            </w:r>
          </w:p>
        </w:tc>
        <w:tc>
          <w:tcPr>
            <w:tcW w:w="2551" w:type="dxa"/>
            <w:vAlign w:val="center"/>
          </w:tcPr>
          <w:p w14:paraId="0253E5B7">
            <w:pPr>
              <w:pStyle w:val="13"/>
            </w:pPr>
            <w:r>
              <w:t>331.00</w:t>
            </w:r>
          </w:p>
        </w:tc>
        <w:tc>
          <w:tcPr>
            <w:tcW w:w="2268" w:type="dxa"/>
            <w:vAlign w:val="center"/>
          </w:tcPr>
          <w:p w14:paraId="260AE436">
            <w:pPr>
              <w:pStyle w:val="11"/>
            </w:pPr>
            <w:r>
              <w:t>其他资金</w:t>
            </w:r>
          </w:p>
        </w:tc>
        <w:tc>
          <w:tcPr>
            <w:tcW w:w="1276" w:type="dxa"/>
            <w:vAlign w:val="center"/>
          </w:tcPr>
          <w:p w14:paraId="006D89F7">
            <w:pPr>
              <w:pStyle w:val="13"/>
            </w:pPr>
            <w:r>
              <w:t xml:space="preserve"> </w:t>
            </w:r>
          </w:p>
        </w:tc>
      </w:tr>
      <w:tr w14:paraId="1D32F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662D4"/>
        </w:tc>
        <w:tc>
          <w:tcPr>
            <w:tcW w:w="14033" w:type="dxa"/>
            <w:gridSpan w:val="6"/>
            <w:vAlign w:val="center"/>
          </w:tcPr>
          <w:p w14:paraId="3146CDF8">
            <w:pPr>
              <w:pStyle w:val="13"/>
            </w:pPr>
            <w:r>
              <w:t>改善就学条件，提升学校形象，保障义务教育阶段教学安全，改善师生教学环境，创造良好的校园环境。</w:t>
            </w:r>
          </w:p>
        </w:tc>
      </w:tr>
      <w:tr w14:paraId="0B058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51471">
            <w:pPr>
              <w:pStyle w:val="11"/>
            </w:pPr>
            <w:r>
              <w:t>资金支出计划（%）</w:t>
            </w:r>
          </w:p>
        </w:tc>
        <w:tc>
          <w:tcPr>
            <w:tcW w:w="5103" w:type="dxa"/>
            <w:gridSpan w:val="2"/>
            <w:vAlign w:val="center"/>
          </w:tcPr>
          <w:p w14:paraId="6568FAA6">
            <w:pPr>
              <w:pStyle w:val="11"/>
            </w:pPr>
            <w:r>
              <w:t>3月底</w:t>
            </w:r>
          </w:p>
        </w:tc>
        <w:tc>
          <w:tcPr>
            <w:tcW w:w="2835" w:type="dxa"/>
            <w:vAlign w:val="center"/>
          </w:tcPr>
          <w:p w14:paraId="72A29C93">
            <w:pPr>
              <w:pStyle w:val="11"/>
            </w:pPr>
            <w:r>
              <w:t>6月底</w:t>
            </w:r>
          </w:p>
        </w:tc>
        <w:tc>
          <w:tcPr>
            <w:tcW w:w="2551" w:type="dxa"/>
            <w:vAlign w:val="center"/>
          </w:tcPr>
          <w:p w14:paraId="0AEA892B">
            <w:pPr>
              <w:pStyle w:val="11"/>
            </w:pPr>
            <w:r>
              <w:t>10月底</w:t>
            </w:r>
          </w:p>
        </w:tc>
        <w:tc>
          <w:tcPr>
            <w:tcW w:w="3544" w:type="dxa"/>
            <w:gridSpan w:val="2"/>
            <w:vAlign w:val="center"/>
          </w:tcPr>
          <w:p w14:paraId="6F513582">
            <w:pPr>
              <w:pStyle w:val="11"/>
            </w:pPr>
            <w:r>
              <w:t>12月底</w:t>
            </w:r>
          </w:p>
        </w:tc>
      </w:tr>
      <w:tr w14:paraId="02800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F4882D"/>
        </w:tc>
        <w:tc>
          <w:tcPr>
            <w:tcW w:w="5103" w:type="dxa"/>
            <w:gridSpan w:val="2"/>
            <w:vAlign w:val="center"/>
          </w:tcPr>
          <w:p w14:paraId="5EC46895">
            <w:pPr>
              <w:pStyle w:val="12"/>
            </w:pPr>
            <w:r>
              <w:t>25%</w:t>
            </w:r>
          </w:p>
        </w:tc>
        <w:tc>
          <w:tcPr>
            <w:tcW w:w="2835" w:type="dxa"/>
            <w:vAlign w:val="center"/>
          </w:tcPr>
          <w:p w14:paraId="6B40C7C7">
            <w:pPr>
              <w:pStyle w:val="12"/>
            </w:pPr>
            <w:r>
              <w:t>50%</w:t>
            </w:r>
          </w:p>
        </w:tc>
        <w:tc>
          <w:tcPr>
            <w:tcW w:w="2551" w:type="dxa"/>
            <w:vAlign w:val="center"/>
          </w:tcPr>
          <w:p w14:paraId="1BD0EF62">
            <w:pPr>
              <w:pStyle w:val="12"/>
            </w:pPr>
            <w:r>
              <w:t>75%</w:t>
            </w:r>
          </w:p>
        </w:tc>
        <w:tc>
          <w:tcPr>
            <w:tcW w:w="3544" w:type="dxa"/>
            <w:gridSpan w:val="2"/>
            <w:vAlign w:val="center"/>
          </w:tcPr>
          <w:p w14:paraId="7DBEEB8C">
            <w:pPr>
              <w:pStyle w:val="12"/>
            </w:pPr>
            <w:r>
              <w:t>100%</w:t>
            </w:r>
          </w:p>
        </w:tc>
      </w:tr>
      <w:tr w14:paraId="7D0D7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2F396">
            <w:pPr>
              <w:pStyle w:val="11"/>
            </w:pPr>
            <w:r>
              <w:t>绩效目标</w:t>
            </w:r>
          </w:p>
        </w:tc>
        <w:tc>
          <w:tcPr>
            <w:tcW w:w="14033" w:type="dxa"/>
            <w:gridSpan w:val="6"/>
            <w:vAlign w:val="center"/>
          </w:tcPr>
          <w:p w14:paraId="387B9789">
            <w:pPr>
              <w:pStyle w:val="13"/>
            </w:pPr>
            <w:r>
              <w:t>1.改善就学条件，提升学校形象，保障义务教育阶段教学安全，改善师生教学环境，创造良好的校园环境。</w:t>
            </w:r>
            <w:r>
              <w:tab/>
            </w:r>
            <w:r>
              <w:tab/>
            </w:r>
            <w:r>
              <w:tab/>
            </w:r>
          </w:p>
          <w:p w14:paraId="28AF0E73">
            <w:pPr>
              <w:pStyle w:val="13"/>
            </w:pPr>
            <w:r>
              <w:t>2.项目需资金331万元，资金拨付率达到100%。</w:t>
            </w:r>
            <w:r>
              <w:tab/>
            </w:r>
          </w:p>
        </w:tc>
      </w:tr>
    </w:tbl>
    <w:p w14:paraId="4AD083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78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CDA2E">
            <w:pPr>
              <w:pStyle w:val="11"/>
            </w:pPr>
            <w:r>
              <w:t>一级指标</w:t>
            </w:r>
          </w:p>
        </w:tc>
        <w:tc>
          <w:tcPr>
            <w:tcW w:w="2268" w:type="dxa"/>
            <w:vAlign w:val="center"/>
          </w:tcPr>
          <w:p w14:paraId="29065EDE">
            <w:pPr>
              <w:pStyle w:val="11"/>
            </w:pPr>
            <w:r>
              <w:t>二级指标</w:t>
            </w:r>
          </w:p>
        </w:tc>
        <w:tc>
          <w:tcPr>
            <w:tcW w:w="2835" w:type="dxa"/>
            <w:vAlign w:val="center"/>
          </w:tcPr>
          <w:p w14:paraId="0E103651">
            <w:pPr>
              <w:pStyle w:val="11"/>
            </w:pPr>
            <w:r>
              <w:t>三级指标</w:t>
            </w:r>
          </w:p>
        </w:tc>
        <w:tc>
          <w:tcPr>
            <w:tcW w:w="5386" w:type="dxa"/>
            <w:vAlign w:val="center"/>
          </w:tcPr>
          <w:p w14:paraId="5068BC4F">
            <w:pPr>
              <w:pStyle w:val="11"/>
            </w:pPr>
            <w:r>
              <w:t>绩效指标描述</w:t>
            </w:r>
          </w:p>
        </w:tc>
        <w:tc>
          <w:tcPr>
            <w:tcW w:w="2268" w:type="dxa"/>
            <w:vAlign w:val="center"/>
          </w:tcPr>
          <w:p w14:paraId="78F96E65">
            <w:pPr>
              <w:pStyle w:val="11"/>
            </w:pPr>
            <w:r>
              <w:t>指标值</w:t>
            </w:r>
          </w:p>
        </w:tc>
        <w:tc>
          <w:tcPr>
            <w:tcW w:w="1276" w:type="dxa"/>
            <w:vAlign w:val="center"/>
          </w:tcPr>
          <w:p w14:paraId="43804371">
            <w:pPr>
              <w:pStyle w:val="11"/>
            </w:pPr>
            <w:r>
              <w:t>指标值确定依据</w:t>
            </w:r>
          </w:p>
        </w:tc>
      </w:tr>
      <w:tr w14:paraId="45A63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F4E72">
            <w:pPr>
              <w:pStyle w:val="12"/>
            </w:pPr>
            <w:r>
              <w:t>产出指标</w:t>
            </w:r>
          </w:p>
        </w:tc>
        <w:tc>
          <w:tcPr>
            <w:tcW w:w="2268" w:type="dxa"/>
            <w:vAlign w:val="center"/>
          </w:tcPr>
          <w:p w14:paraId="61F0AE33">
            <w:pPr>
              <w:pStyle w:val="13"/>
            </w:pPr>
            <w:r>
              <w:t>数量指标</w:t>
            </w:r>
          </w:p>
        </w:tc>
        <w:tc>
          <w:tcPr>
            <w:tcW w:w="2835" w:type="dxa"/>
            <w:vAlign w:val="center"/>
          </w:tcPr>
          <w:p w14:paraId="5D89AA37">
            <w:pPr>
              <w:pStyle w:val="13"/>
            </w:pPr>
            <w:r>
              <w:t>尧山中学新建教学楼项目</w:t>
            </w:r>
          </w:p>
        </w:tc>
        <w:tc>
          <w:tcPr>
            <w:tcW w:w="5386" w:type="dxa"/>
            <w:vAlign w:val="center"/>
          </w:tcPr>
          <w:p w14:paraId="78CC2A2F">
            <w:pPr>
              <w:pStyle w:val="13"/>
            </w:pPr>
            <w:r>
              <w:t>新建教学楼建筑面积</w:t>
            </w:r>
          </w:p>
        </w:tc>
        <w:tc>
          <w:tcPr>
            <w:tcW w:w="2268" w:type="dxa"/>
            <w:vAlign w:val="center"/>
          </w:tcPr>
          <w:p w14:paraId="6160D5E0">
            <w:pPr>
              <w:pStyle w:val="13"/>
            </w:pPr>
            <w:r>
              <w:t>5863.07平方米</w:t>
            </w:r>
          </w:p>
        </w:tc>
        <w:tc>
          <w:tcPr>
            <w:tcW w:w="1276" w:type="dxa"/>
            <w:vAlign w:val="center"/>
          </w:tcPr>
          <w:p w14:paraId="24F57E49">
            <w:pPr>
              <w:pStyle w:val="13"/>
            </w:pPr>
            <w:r>
              <w:t>城乡义务教育公共经费</w:t>
            </w:r>
          </w:p>
        </w:tc>
      </w:tr>
      <w:tr w14:paraId="41056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0966B"/>
        </w:tc>
        <w:tc>
          <w:tcPr>
            <w:tcW w:w="2268" w:type="dxa"/>
            <w:vAlign w:val="center"/>
          </w:tcPr>
          <w:p w14:paraId="0B9EDC83">
            <w:pPr>
              <w:pStyle w:val="13"/>
            </w:pPr>
            <w:r>
              <w:t>质量指标</w:t>
            </w:r>
          </w:p>
        </w:tc>
        <w:tc>
          <w:tcPr>
            <w:tcW w:w="2835" w:type="dxa"/>
            <w:vAlign w:val="center"/>
          </w:tcPr>
          <w:p w14:paraId="2AE87E9B">
            <w:pPr>
              <w:pStyle w:val="13"/>
            </w:pPr>
            <w:r>
              <w:t>工程实施验收合格率</w:t>
            </w:r>
          </w:p>
        </w:tc>
        <w:tc>
          <w:tcPr>
            <w:tcW w:w="5386" w:type="dxa"/>
            <w:vAlign w:val="center"/>
          </w:tcPr>
          <w:p w14:paraId="4336C2E3">
            <w:pPr>
              <w:pStyle w:val="13"/>
            </w:pPr>
            <w:r>
              <w:t>申报程序的合规，项目实施及资金使用符合项目规划</w:t>
            </w:r>
          </w:p>
        </w:tc>
        <w:tc>
          <w:tcPr>
            <w:tcW w:w="2268" w:type="dxa"/>
            <w:vAlign w:val="center"/>
          </w:tcPr>
          <w:p w14:paraId="50C717D7">
            <w:pPr>
              <w:pStyle w:val="13"/>
            </w:pPr>
            <w:r>
              <w:t>≥100%</w:t>
            </w:r>
          </w:p>
        </w:tc>
        <w:tc>
          <w:tcPr>
            <w:tcW w:w="1276" w:type="dxa"/>
            <w:vAlign w:val="center"/>
          </w:tcPr>
          <w:p w14:paraId="5E8FE534">
            <w:pPr>
              <w:pStyle w:val="13"/>
            </w:pPr>
            <w:r>
              <w:t>城乡义务教育公共经费</w:t>
            </w:r>
          </w:p>
        </w:tc>
      </w:tr>
      <w:tr w14:paraId="5B975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FBB93"/>
        </w:tc>
        <w:tc>
          <w:tcPr>
            <w:tcW w:w="2268" w:type="dxa"/>
            <w:vAlign w:val="center"/>
          </w:tcPr>
          <w:p w14:paraId="68ED83C8">
            <w:pPr>
              <w:pStyle w:val="13"/>
            </w:pPr>
            <w:r>
              <w:t>时效指标</w:t>
            </w:r>
          </w:p>
        </w:tc>
        <w:tc>
          <w:tcPr>
            <w:tcW w:w="2835" w:type="dxa"/>
            <w:vAlign w:val="center"/>
          </w:tcPr>
          <w:p w14:paraId="5AFDC8F9">
            <w:pPr>
              <w:pStyle w:val="13"/>
            </w:pPr>
            <w:r>
              <w:t>资金支付率</w:t>
            </w:r>
          </w:p>
        </w:tc>
        <w:tc>
          <w:tcPr>
            <w:tcW w:w="5386" w:type="dxa"/>
            <w:vAlign w:val="center"/>
          </w:tcPr>
          <w:p w14:paraId="5F63EA3A">
            <w:pPr>
              <w:pStyle w:val="13"/>
            </w:pPr>
            <w:r>
              <w:t>按照序时进度完成资金支付</w:t>
            </w:r>
          </w:p>
        </w:tc>
        <w:tc>
          <w:tcPr>
            <w:tcW w:w="2268" w:type="dxa"/>
            <w:vAlign w:val="center"/>
          </w:tcPr>
          <w:p w14:paraId="3795C277">
            <w:pPr>
              <w:pStyle w:val="13"/>
            </w:pPr>
            <w:r>
              <w:t>≥100%</w:t>
            </w:r>
          </w:p>
        </w:tc>
        <w:tc>
          <w:tcPr>
            <w:tcW w:w="1276" w:type="dxa"/>
            <w:vAlign w:val="center"/>
          </w:tcPr>
          <w:p w14:paraId="0A59C98A">
            <w:pPr>
              <w:pStyle w:val="13"/>
            </w:pPr>
            <w:r>
              <w:t>城乡义务教育公共经费</w:t>
            </w:r>
          </w:p>
        </w:tc>
      </w:tr>
      <w:tr w14:paraId="544FA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76EE9"/>
        </w:tc>
        <w:tc>
          <w:tcPr>
            <w:tcW w:w="2268" w:type="dxa"/>
            <w:vAlign w:val="center"/>
          </w:tcPr>
          <w:p w14:paraId="65E7F254">
            <w:pPr>
              <w:pStyle w:val="13"/>
            </w:pPr>
            <w:r>
              <w:t>成本指标</w:t>
            </w:r>
          </w:p>
        </w:tc>
        <w:tc>
          <w:tcPr>
            <w:tcW w:w="2835" w:type="dxa"/>
            <w:vAlign w:val="center"/>
          </w:tcPr>
          <w:p w14:paraId="7A3A0CF5">
            <w:pPr>
              <w:pStyle w:val="13"/>
            </w:pPr>
            <w:r>
              <w:t>项目成本控制情况</w:t>
            </w:r>
          </w:p>
        </w:tc>
        <w:tc>
          <w:tcPr>
            <w:tcW w:w="5386" w:type="dxa"/>
            <w:vAlign w:val="center"/>
          </w:tcPr>
          <w:p w14:paraId="53B8F033">
            <w:pPr>
              <w:pStyle w:val="13"/>
            </w:pPr>
            <w:r>
              <w:t>严格按照招标价格及审计额进行</w:t>
            </w:r>
          </w:p>
        </w:tc>
        <w:tc>
          <w:tcPr>
            <w:tcW w:w="2268" w:type="dxa"/>
            <w:vAlign w:val="center"/>
          </w:tcPr>
          <w:p w14:paraId="7157FFDA">
            <w:pPr>
              <w:pStyle w:val="13"/>
            </w:pPr>
            <w:r>
              <w:t>331万元</w:t>
            </w:r>
          </w:p>
        </w:tc>
        <w:tc>
          <w:tcPr>
            <w:tcW w:w="1276" w:type="dxa"/>
            <w:vAlign w:val="center"/>
          </w:tcPr>
          <w:p w14:paraId="2B51F713">
            <w:pPr>
              <w:pStyle w:val="13"/>
            </w:pPr>
            <w:r>
              <w:t>城乡义务教育公共经费</w:t>
            </w:r>
          </w:p>
        </w:tc>
      </w:tr>
      <w:tr w14:paraId="15DAA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EDF137">
            <w:pPr>
              <w:pStyle w:val="12"/>
            </w:pPr>
            <w:r>
              <w:t>效益指标</w:t>
            </w:r>
          </w:p>
        </w:tc>
        <w:tc>
          <w:tcPr>
            <w:tcW w:w="2268" w:type="dxa"/>
            <w:vAlign w:val="center"/>
          </w:tcPr>
          <w:p w14:paraId="0F62EAC0">
            <w:pPr>
              <w:pStyle w:val="13"/>
            </w:pPr>
            <w:r>
              <w:t>可持续影响指标</w:t>
            </w:r>
          </w:p>
        </w:tc>
        <w:tc>
          <w:tcPr>
            <w:tcW w:w="2835" w:type="dxa"/>
            <w:vAlign w:val="center"/>
          </w:tcPr>
          <w:p w14:paraId="77FB7845">
            <w:pPr>
              <w:pStyle w:val="13"/>
            </w:pPr>
            <w:r>
              <w:t>学校运转得到提高</w:t>
            </w:r>
          </w:p>
        </w:tc>
        <w:tc>
          <w:tcPr>
            <w:tcW w:w="5386" w:type="dxa"/>
            <w:vAlign w:val="center"/>
          </w:tcPr>
          <w:p w14:paraId="4A6D6306">
            <w:pPr>
              <w:pStyle w:val="13"/>
            </w:pPr>
            <w:r>
              <w:t>学生受教育年限</w:t>
            </w:r>
          </w:p>
        </w:tc>
        <w:tc>
          <w:tcPr>
            <w:tcW w:w="2268" w:type="dxa"/>
            <w:vAlign w:val="center"/>
          </w:tcPr>
          <w:p w14:paraId="34011A7E">
            <w:pPr>
              <w:pStyle w:val="13"/>
            </w:pPr>
            <w:r>
              <w:t>3年</w:t>
            </w:r>
          </w:p>
        </w:tc>
        <w:tc>
          <w:tcPr>
            <w:tcW w:w="1276" w:type="dxa"/>
            <w:vAlign w:val="center"/>
          </w:tcPr>
          <w:p w14:paraId="518CDB09">
            <w:pPr>
              <w:pStyle w:val="13"/>
            </w:pPr>
            <w:r>
              <w:t>城乡义务教育公共经费</w:t>
            </w:r>
          </w:p>
        </w:tc>
      </w:tr>
      <w:tr w14:paraId="05ADF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21E1F3">
            <w:pPr>
              <w:pStyle w:val="12"/>
            </w:pPr>
            <w:r>
              <w:t>满意度指标</w:t>
            </w:r>
          </w:p>
        </w:tc>
        <w:tc>
          <w:tcPr>
            <w:tcW w:w="2268" w:type="dxa"/>
            <w:vAlign w:val="center"/>
          </w:tcPr>
          <w:p w14:paraId="3372EC80">
            <w:pPr>
              <w:pStyle w:val="13"/>
            </w:pPr>
            <w:r>
              <w:t>服务对象满意度指标</w:t>
            </w:r>
          </w:p>
        </w:tc>
        <w:tc>
          <w:tcPr>
            <w:tcW w:w="2835" w:type="dxa"/>
            <w:vAlign w:val="center"/>
          </w:tcPr>
          <w:p w14:paraId="75FD7816">
            <w:pPr>
              <w:pStyle w:val="13"/>
            </w:pPr>
            <w:r>
              <w:t>服务对象满意度</w:t>
            </w:r>
          </w:p>
        </w:tc>
        <w:tc>
          <w:tcPr>
            <w:tcW w:w="5386" w:type="dxa"/>
            <w:vAlign w:val="center"/>
          </w:tcPr>
          <w:p w14:paraId="15FDF5A3">
            <w:pPr>
              <w:pStyle w:val="13"/>
            </w:pPr>
            <w:r>
              <w:t>学校学生教师学校工作满意度</w:t>
            </w:r>
          </w:p>
        </w:tc>
        <w:tc>
          <w:tcPr>
            <w:tcW w:w="2268" w:type="dxa"/>
            <w:vAlign w:val="center"/>
          </w:tcPr>
          <w:p w14:paraId="4400EBAB">
            <w:pPr>
              <w:pStyle w:val="13"/>
            </w:pPr>
            <w:r>
              <w:t>≥95%</w:t>
            </w:r>
          </w:p>
        </w:tc>
        <w:tc>
          <w:tcPr>
            <w:tcW w:w="1276" w:type="dxa"/>
            <w:vAlign w:val="center"/>
          </w:tcPr>
          <w:p w14:paraId="04F7E3FA">
            <w:pPr>
              <w:pStyle w:val="13"/>
            </w:pPr>
            <w:r>
              <w:t>问卷调查</w:t>
            </w:r>
          </w:p>
        </w:tc>
      </w:tr>
    </w:tbl>
    <w:p w14:paraId="6F568947">
      <w:pPr>
        <w:sectPr>
          <w:pgSz w:w="16840" w:h="11900" w:orient="landscape"/>
          <w:pgMar w:top="1361" w:right="1020" w:bottom="1134" w:left="1020" w:header="720" w:footer="720" w:gutter="0"/>
          <w:cols w:space="720" w:num="1"/>
        </w:sectPr>
      </w:pPr>
    </w:p>
    <w:p w14:paraId="462528B4">
      <w:pPr>
        <w:spacing w:before="0" w:after="0"/>
        <w:ind w:firstLine="560"/>
        <w:jc w:val="left"/>
        <w:outlineLvl w:val="9"/>
      </w:pPr>
      <w:r>
        <w:rPr>
          <w:rFonts w:ascii="方正仿宋_GBK" w:hAnsi="方正仿宋_GBK" w:eastAsia="方正仿宋_GBK" w:cs="方正仿宋_GBK"/>
          <w:b/>
          <w:color w:val="000000"/>
          <w:sz w:val="28"/>
        </w:rPr>
        <w:t>8、上年盘活/冀财教[2023]154号/中央/义教经费/校舍安全保障/尧山中学消防工程绩效目标表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79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07959">
            <w:pPr>
              <w:pStyle w:val="14"/>
            </w:pPr>
            <w:r>
              <w:t>单位：万元</w:t>
            </w:r>
          </w:p>
        </w:tc>
      </w:tr>
      <w:tr w14:paraId="6175D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FEB72">
            <w:pPr>
              <w:pStyle w:val="11"/>
            </w:pPr>
            <w:r>
              <w:t>项目编码</w:t>
            </w:r>
          </w:p>
        </w:tc>
        <w:tc>
          <w:tcPr>
            <w:tcW w:w="5103" w:type="dxa"/>
            <w:gridSpan w:val="2"/>
            <w:vAlign w:val="center"/>
          </w:tcPr>
          <w:p w14:paraId="006DC7B1">
            <w:pPr>
              <w:pStyle w:val="13"/>
            </w:pPr>
            <w:r>
              <w:t>13052525P00875610151J</w:t>
            </w:r>
          </w:p>
        </w:tc>
        <w:tc>
          <w:tcPr>
            <w:tcW w:w="2835" w:type="dxa"/>
            <w:vAlign w:val="center"/>
          </w:tcPr>
          <w:p w14:paraId="2F3C11AF">
            <w:pPr>
              <w:pStyle w:val="11"/>
            </w:pPr>
            <w:r>
              <w:t>项目名称</w:t>
            </w:r>
          </w:p>
        </w:tc>
        <w:tc>
          <w:tcPr>
            <w:tcW w:w="6095" w:type="dxa"/>
            <w:gridSpan w:val="3"/>
            <w:vAlign w:val="center"/>
          </w:tcPr>
          <w:p w14:paraId="2301F48A">
            <w:pPr>
              <w:pStyle w:val="13"/>
            </w:pPr>
            <w:r>
              <w:t>上年盘活/冀财教[2023]154号/中央/义教经费/校舍安全保障/尧山中学消防工程</w:t>
            </w:r>
          </w:p>
        </w:tc>
      </w:tr>
      <w:tr w14:paraId="206E6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BF62B">
            <w:pPr>
              <w:pStyle w:val="11"/>
            </w:pPr>
            <w:r>
              <w:t>预算规模及资金用途</w:t>
            </w:r>
          </w:p>
        </w:tc>
        <w:tc>
          <w:tcPr>
            <w:tcW w:w="2268" w:type="dxa"/>
            <w:vAlign w:val="center"/>
          </w:tcPr>
          <w:p w14:paraId="00A8E66F">
            <w:pPr>
              <w:pStyle w:val="11"/>
            </w:pPr>
            <w:r>
              <w:t>预算数</w:t>
            </w:r>
          </w:p>
        </w:tc>
        <w:tc>
          <w:tcPr>
            <w:tcW w:w="2835" w:type="dxa"/>
            <w:vAlign w:val="center"/>
          </w:tcPr>
          <w:p w14:paraId="7DBA3A10">
            <w:pPr>
              <w:pStyle w:val="13"/>
            </w:pPr>
            <w:r>
              <w:t>22.00</w:t>
            </w:r>
          </w:p>
        </w:tc>
        <w:tc>
          <w:tcPr>
            <w:tcW w:w="2835" w:type="dxa"/>
            <w:vAlign w:val="center"/>
          </w:tcPr>
          <w:p w14:paraId="1885C2D8">
            <w:pPr>
              <w:pStyle w:val="11"/>
            </w:pPr>
            <w:r>
              <w:t>其中：财政    资金</w:t>
            </w:r>
          </w:p>
        </w:tc>
        <w:tc>
          <w:tcPr>
            <w:tcW w:w="2551" w:type="dxa"/>
            <w:vAlign w:val="center"/>
          </w:tcPr>
          <w:p w14:paraId="1445D71A">
            <w:pPr>
              <w:pStyle w:val="13"/>
            </w:pPr>
            <w:r>
              <w:t>22.00</w:t>
            </w:r>
          </w:p>
        </w:tc>
        <w:tc>
          <w:tcPr>
            <w:tcW w:w="2268" w:type="dxa"/>
            <w:vAlign w:val="center"/>
          </w:tcPr>
          <w:p w14:paraId="165C4225">
            <w:pPr>
              <w:pStyle w:val="11"/>
            </w:pPr>
            <w:r>
              <w:t>其他资金</w:t>
            </w:r>
          </w:p>
        </w:tc>
        <w:tc>
          <w:tcPr>
            <w:tcW w:w="1276" w:type="dxa"/>
            <w:vAlign w:val="center"/>
          </w:tcPr>
          <w:p w14:paraId="32FF310B">
            <w:pPr>
              <w:pStyle w:val="13"/>
            </w:pPr>
            <w:r>
              <w:t xml:space="preserve"> </w:t>
            </w:r>
          </w:p>
        </w:tc>
      </w:tr>
      <w:tr w14:paraId="5A61F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24E17"/>
        </w:tc>
        <w:tc>
          <w:tcPr>
            <w:tcW w:w="14033" w:type="dxa"/>
            <w:gridSpan w:val="6"/>
            <w:vAlign w:val="center"/>
          </w:tcPr>
          <w:p w14:paraId="49ABDF7F">
            <w:pPr>
              <w:pStyle w:val="13"/>
            </w:pPr>
            <w:r>
              <w:t>改善就学条件，提升学校形象，保障义务教育阶段教学安全，改善师生教学环境，创造良好的校园环境。</w:t>
            </w:r>
          </w:p>
        </w:tc>
      </w:tr>
      <w:tr w14:paraId="55DBD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E25F0">
            <w:pPr>
              <w:pStyle w:val="11"/>
            </w:pPr>
            <w:r>
              <w:t>资金支出计划（%）</w:t>
            </w:r>
          </w:p>
        </w:tc>
        <w:tc>
          <w:tcPr>
            <w:tcW w:w="5103" w:type="dxa"/>
            <w:gridSpan w:val="2"/>
            <w:vAlign w:val="center"/>
          </w:tcPr>
          <w:p w14:paraId="2D8995E0">
            <w:pPr>
              <w:pStyle w:val="11"/>
            </w:pPr>
            <w:r>
              <w:t>3月底</w:t>
            </w:r>
          </w:p>
        </w:tc>
        <w:tc>
          <w:tcPr>
            <w:tcW w:w="2835" w:type="dxa"/>
            <w:vAlign w:val="center"/>
          </w:tcPr>
          <w:p w14:paraId="0864FBA0">
            <w:pPr>
              <w:pStyle w:val="11"/>
            </w:pPr>
            <w:r>
              <w:t>6月底</w:t>
            </w:r>
          </w:p>
        </w:tc>
        <w:tc>
          <w:tcPr>
            <w:tcW w:w="2551" w:type="dxa"/>
            <w:vAlign w:val="center"/>
          </w:tcPr>
          <w:p w14:paraId="6B588A3C">
            <w:pPr>
              <w:pStyle w:val="11"/>
            </w:pPr>
            <w:r>
              <w:t>10月底</w:t>
            </w:r>
          </w:p>
        </w:tc>
        <w:tc>
          <w:tcPr>
            <w:tcW w:w="3544" w:type="dxa"/>
            <w:gridSpan w:val="2"/>
            <w:vAlign w:val="center"/>
          </w:tcPr>
          <w:p w14:paraId="3DFF3F14">
            <w:pPr>
              <w:pStyle w:val="11"/>
            </w:pPr>
            <w:r>
              <w:t>12月底</w:t>
            </w:r>
          </w:p>
        </w:tc>
      </w:tr>
      <w:tr w14:paraId="3C955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4F95C"/>
        </w:tc>
        <w:tc>
          <w:tcPr>
            <w:tcW w:w="5103" w:type="dxa"/>
            <w:gridSpan w:val="2"/>
            <w:vAlign w:val="center"/>
          </w:tcPr>
          <w:p w14:paraId="3C7332D4">
            <w:pPr>
              <w:pStyle w:val="12"/>
            </w:pPr>
            <w:r>
              <w:t>25%</w:t>
            </w:r>
          </w:p>
        </w:tc>
        <w:tc>
          <w:tcPr>
            <w:tcW w:w="2835" w:type="dxa"/>
            <w:vAlign w:val="center"/>
          </w:tcPr>
          <w:p w14:paraId="490D827E">
            <w:pPr>
              <w:pStyle w:val="12"/>
            </w:pPr>
            <w:r>
              <w:t>50%</w:t>
            </w:r>
          </w:p>
        </w:tc>
        <w:tc>
          <w:tcPr>
            <w:tcW w:w="2551" w:type="dxa"/>
            <w:vAlign w:val="center"/>
          </w:tcPr>
          <w:p w14:paraId="760091B1">
            <w:pPr>
              <w:pStyle w:val="12"/>
            </w:pPr>
            <w:r>
              <w:t>75%</w:t>
            </w:r>
          </w:p>
        </w:tc>
        <w:tc>
          <w:tcPr>
            <w:tcW w:w="3544" w:type="dxa"/>
            <w:gridSpan w:val="2"/>
            <w:vAlign w:val="center"/>
          </w:tcPr>
          <w:p w14:paraId="363F6AEF">
            <w:pPr>
              <w:pStyle w:val="12"/>
            </w:pPr>
            <w:r>
              <w:t>100%</w:t>
            </w:r>
          </w:p>
        </w:tc>
      </w:tr>
      <w:tr w14:paraId="7D289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64CAE3">
            <w:pPr>
              <w:pStyle w:val="11"/>
            </w:pPr>
            <w:r>
              <w:t>绩效目标</w:t>
            </w:r>
          </w:p>
        </w:tc>
        <w:tc>
          <w:tcPr>
            <w:tcW w:w="14033" w:type="dxa"/>
            <w:gridSpan w:val="6"/>
            <w:vAlign w:val="center"/>
          </w:tcPr>
          <w:p w14:paraId="590C8BF4">
            <w:pPr>
              <w:pStyle w:val="13"/>
            </w:pPr>
            <w:r>
              <w:t>1.改善就学条件，提升学校形象，保障义务教育阶段教学安全，改善师生教学环境，创造良好的校园环境。</w:t>
            </w:r>
          </w:p>
          <w:p w14:paraId="21D43109">
            <w:pPr>
              <w:pStyle w:val="13"/>
            </w:pPr>
            <w:r>
              <w:t>2.项目需资金22万元，资金拨付率达到100%。</w:t>
            </w:r>
            <w:r>
              <w:tab/>
            </w:r>
            <w:r>
              <w:tab/>
            </w:r>
            <w:r>
              <w:tab/>
            </w:r>
            <w:r>
              <w:tab/>
            </w:r>
            <w:r>
              <w:tab/>
            </w:r>
            <w:r>
              <w:tab/>
            </w:r>
          </w:p>
        </w:tc>
      </w:tr>
    </w:tbl>
    <w:p w14:paraId="11B9F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501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BEA90">
            <w:pPr>
              <w:pStyle w:val="11"/>
            </w:pPr>
            <w:r>
              <w:t>一级指标</w:t>
            </w:r>
          </w:p>
        </w:tc>
        <w:tc>
          <w:tcPr>
            <w:tcW w:w="2268" w:type="dxa"/>
            <w:vAlign w:val="center"/>
          </w:tcPr>
          <w:p w14:paraId="203425AB">
            <w:pPr>
              <w:pStyle w:val="11"/>
            </w:pPr>
            <w:r>
              <w:t>二级指标</w:t>
            </w:r>
          </w:p>
        </w:tc>
        <w:tc>
          <w:tcPr>
            <w:tcW w:w="2835" w:type="dxa"/>
            <w:vAlign w:val="center"/>
          </w:tcPr>
          <w:p w14:paraId="7BD6F81F">
            <w:pPr>
              <w:pStyle w:val="11"/>
            </w:pPr>
            <w:r>
              <w:t>三级指标</w:t>
            </w:r>
          </w:p>
        </w:tc>
        <w:tc>
          <w:tcPr>
            <w:tcW w:w="5386" w:type="dxa"/>
            <w:vAlign w:val="center"/>
          </w:tcPr>
          <w:p w14:paraId="4366254B">
            <w:pPr>
              <w:pStyle w:val="11"/>
            </w:pPr>
            <w:r>
              <w:t>绩效指标描述</w:t>
            </w:r>
          </w:p>
        </w:tc>
        <w:tc>
          <w:tcPr>
            <w:tcW w:w="2268" w:type="dxa"/>
            <w:vAlign w:val="center"/>
          </w:tcPr>
          <w:p w14:paraId="746E9A59">
            <w:pPr>
              <w:pStyle w:val="11"/>
            </w:pPr>
            <w:r>
              <w:t>指标值</w:t>
            </w:r>
          </w:p>
        </w:tc>
        <w:tc>
          <w:tcPr>
            <w:tcW w:w="1276" w:type="dxa"/>
            <w:vAlign w:val="center"/>
          </w:tcPr>
          <w:p w14:paraId="4D1D0903">
            <w:pPr>
              <w:pStyle w:val="11"/>
            </w:pPr>
            <w:r>
              <w:t>指标值确定依据</w:t>
            </w:r>
          </w:p>
        </w:tc>
      </w:tr>
      <w:tr w14:paraId="63C6B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A6962">
            <w:pPr>
              <w:pStyle w:val="12"/>
            </w:pPr>
            <w:r>
              <w:t>产出指标</w:t>
            </w:r>
          </w:p>
        </w:tc>
        <w:tc>
          <w:tcPr>
            <w:tcW w:w="2268" w:type="dxa"/>
            <w:vAlign w:val="center"/>
          </w:tcPr>
          <w:p w14:paraId="1A0A7149">
            <w:pPr>
              <w:pStyle w:val="13"/>
            </w:pPr>
            <w:r>
              <w:t>数量指标</w:t>
            </w:r>
          </w:p>
        </w:tc>
        <w:tc>
          <w:tcPr>
            <w:tcW w:w="2835" w:type="dxa"/>
            <w:vAlign w:val="center"/>
          </w:tcPr>
          <w:p w14:paraId="1EBD532C">
            <w:pPr>
              <w:pStyle w:val="13"/>
            </w:pPr>
            <w:r>
              <w:t>尧山中学消防工程</w:t>
            </w:r>
          </w:p>
        </w:tc>
        <w:tc>
          <w:tcPr>
            <w:tcW w:w="5386" w:type="dxa"/>
            <w:vAlign w:val="center"/>
          </w:tcPr>
          <w:p w14:paraId="508A97F8">
            <w:pPr>
              <w:pStyle w:val="13"/>
            </w:pPr>
            <w:r>
              <w:t>消防工程安装消防泵房、蓄水池、室外网管、消防设备设施等面积</w:t>
            </w:r>
          </w:p>
        </w:tc>
        <w:tc>
          <w:tcPr>
            <w:tcW w:w="2268" w:type="dxa"/>
            <w:vAlign w:val="center"/>
          </w:tcPr>
          <w:p w14:paraId="75B4BC97">
            <w:pPr>
              <w:pStyle w:val="13"/>
            </w:pPr>
            <w:r>
              <w:t>131.72平方米</w:t>
            </w:r>
          </w:p>
        </w:tc>
        <w:tc>
          <w:tcPr>
            <w:tcW w:w="1276" w:type="dxa"/>
            <w:vAlign w:val="center"/>
          </w:tcPr>
          <w:p w14:paraId="1E01043C">
            <w:pPr>
              <w:pStyle w:val="13"/>
            </w:pPr>
            <w:r>
              <w:t>城乡义务教育公共经费</w:t>
            </w:r>
          </w:p>
        </w:tc>
      </w:tr>
      <w:tr w14:paraId="0C08E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9234E"/>
        </w:tc>
        <w:tc>
          <w:tcPr>
            <w:tcW w:w="2268" w:type="dxa"/>
            <w:vAlign w:val="center"/>
          </w:tcPr>
          <w:p w14:paraId="50021FAC">
            <w:pPr>
              <w:pStyle w:val="13"/>
            </w:pPr>
            <w:r>
              <w:t>质量指标</w:t>
            </w:r>
          </w:p>
        </w:tc>
        <w:tc>
          <w:tcPr>
            <w:tcW w:w="2835" w:type="dxa"/>
            <w:vAlign w:val="center"/>
          </w:tcPr>
          <w:p w14:paraId="6D234559">
            <w:pPr>
              <w:pStyle w:val="13"/>
            </w:pPr>
            <w:r>
              <w:t>工程实施验收合格率</w:t>
            </w:r>
          </w:p>
        </w:tc>
        <w:tc>
          <w:tcPr>
            <w:tcW w:w="5386" w:type="dxa"/>
            <w:vAlign w:val="center"/>
          </w:tcPr>
          <w:p w14:paraId="64CA855F">
            <w:pPr>
              <w:pStyle w:val="13"/>
            </w:pPr>
            <w:r>
              <w:t>申报程序的合规，项目实施及资金使用符合项目规划</w:t>
            </w:r>
          </w:p>
        </w:tc>
        <w:tc>
          <w:tcPr>
            <w:tcW w:w="2268" w:type="dxa"/>
            <w:vAlign w:val="center"/>
          </w:tcPr>
          <w:p w14:paraId="21D8CE41">
            <w:pPr>
              <w:pStyle w:val="13"/>
            </w:pPr>
            <w:r>
              <w:t>≥100%</w:t>
            </w:r>
          </w:p>
        </w:tc>
        <w:tc>
          <w:tcPr>
            <w:tcW w:w="1276" w:type="dxa"/>
            <w:vAlign w:val="center"/>
          </w:tcPr>
          <w:p w14:paraId="5AA4B4AA">
            <w:pPr>
              <w:pStyle w:val="13"/>
            </w:pPr>
            <w:r>
              <w:t>城乡义务教育公共经费</w:t>
            </w:r>
          </w:p>
        </w:tc>
      </w:tr>
      <w:tr w14:paraId="188EA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44F87"/>
        </w:tc>
        <w:tc>
          <w:tcPr>
            <w:tcW w:w="2268" w:type="dxa"/>
            <w:vAlign w:val="center"/>
          </w:tcPr>
          <w:p w14:paraId="317B3F5A">
            <w:pPr>
              <w:pStyle w:val="13"/>
            </w:pPr>
            <w:r>
              <w:t>时效指标</w:t>
            </w:r>
          </w:p>
        </w:tc>
        <w:tc>
          <w:tcPr>
            <w:tcW w:w="2835" w:type="dxa"/>
            <w:vAlign w:val="center"/>
          </w:tcPr>
          <w:p w14:paraId="61AD9B13">
            <w:pPr>
              <w:pStyle w:val="13"/>
            </w:pPr>
            <w:r>
              <w:t>资金支付率</w:t>
            </w:r>
          </w:p>
        </w:tc>
        <w:tc>
          <w:tcPr>
            <w:tcW w:w="5386" w:type="dxa"/>
            <w:vAlign w:val="center"/>
          </w:tcPr>
          <w:p w14:paraId="55B0A921">
            <w:pPr>
              <w:pStyle w:val="13"/>
            </w:pPr>
            <w:r>
              <w:t>按照序时进度完成资金支付</w:t>
            </w:r>
          </w:p>
        </w:tc>
        <w:tc>
          <w:tcPr>
            <w:tcW w:w="2268" w:type="dxa"/>
            <w:vAlign w:val="center"/>
          </w:tcPr>
          <w:p w14:paraId="24F1E4E5">
            <w:pPr>
              <w:pStyle w:val="13"/>
            </w:pPr>
            <w:r>
              <w:t>≥100%</w:t>
            </w:r>
          </w:p>
        </w:tc>
        <w:tc>
          <w:tcPr>
            <w:tcW w:w="1276" w:type="dxa"/>
            <w:vAlign w:val="center"/>
          </w:tcPr>
          <w:p w14:paraId="2AC81B3D">
            <w:pPr>
              <w:pStyle w:val="13"/>
            </w:pPr>
            <w:r>
              <w:t>城乡义务教育公共经费</w:t>
            </w:r>
          </w:p>
        </w:tc>
      </w:tr>
      <w:tr w14:paraId="311B4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F55FC"/>
        </w:tc>
        <w:tc>
          <w:tcPr>
            <w:tcW w:w="2268" w:type="dxa"/>
            <w:vAlign w:val="center"/>
          </w:tcPr>
          <w:p w14:paraId="3CB68069">
            <w:pPr>
              <w:pStyle w:val="13"/>
            </w:pPr>
            <w:r>
              <w:t>成本指标</w:t>
            </w:r>
          </w:p>
        </w:tc>
        <w:tc>
          <w:tcPr>
            <w:tcW w:w="2835" w:type="dxa"/>
            <w:vAlign w:val="center"/>
          </w:tcPr>
          <w:p w14:paraId="755E341F">
            <w:pPr>
              <w:pStyle w:val="13"/>
            </w:pPr>
            <w:r>
              <w:t>项目成本控制情况</w:t>
            </w:r>
          </w:p>
        </w:tc>
        <w:tc>
          <w:tcPr>
            <w:tcW w:w="5386" w:type="dxa"/>
            <w:vAlign w:val="center"/>
          </w:tcPr>
          <w:p w14:paraId="5309DAB7">
            <w:pPr>
              <w:pStyle w:val="13"/>
            </w:pPr>
            <w:r>
              <w:t>严格按照招标价格及审计额进行</w:t>
            </w:r>
          </w:p>
        </w:tc>
        <w:tc>
          <w:tcPr>
            <w:tcW w:w="2268" w:type="dxa"/>
            <w:vAlign w:val="center"/>
          </w:tcPr>
          <w:p w14:paraId="47536F5C">
            <w:pPr>
              <w:pStyle w:val="13"/>
            </w:pPr>
            <w:r>
              <w:t>22万元</w:t>
            </w:r>
          </w:p>
        </w:tc>
        <w:tc>
          <w:tcPr>
            <w:tcW w:w="1276" w:type="dxa"/>
            <w:vAlign w:val="center"/>
          </w:tcPr>
          <w:p w14:paraId="54EE6755">
            <w:pPr>
              <w:pStyle w:val="13"/>
            </w:pPr>
            <w:r>
              <w:t>城乡义务教育公共经费</w:t>
            </w:r>
          </w:p>
        </w:tc>
      </w:tr>
      <w:tr w14:paraId="6BD41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03E860">
            <w:pPr>
              <w:pStyle w:val="12"/>
            </w:pPr>
            <w:r>
              <w:t>效益指标</w:t>
            </w:r>
          </w:p>
        </w:tc>
        <w:tc>
          <w:tcPr>
            <w:tcW w:w="2268" w:type="dxa"/>
            <w:vAlign w:val="center"/>
          </w:tcPr>
          <w:p w14:paraId="3B3416CA">
            <w:pPr>
              <w:pStyle w:val="13"/>
            </w:pPr>
            <w:r>
              <w:t>可持续影响指标</w:t>
            </w:r>
          </w:p>
        </w:tc>
        <w:tc>
          <w:tcPr>
            <w:tcW w:w="2835" w:type="dxa"/>
            <w:vAlign w:val="center"/>
          </w:tcPr>
          <w:p w14:paraId="74164202">
            <w:pPr>
              <w:pStyle w:val="13"/>
            </w:pPr>
            <w:r>
              <w:t>学校运转得到提高</w:t>
            </w:r>
          </w:p>
        </w:tc>
        <w:tc>
          <w:tcPr>
            <w:tcW w:w="5386" w:type="dxa"/>
            <w:vAlign w:val="center"/>
          </w:tcPr>
          <w:p w14:paraId="6B3EB129">
            <w:pPr>
              <w:pStyle w:val="13"/>
            </w:pPr>
            <w:r>
              <w:t>学生受教育年限</w:t>
            </w:r>
          </w:p>
        </w:tc>
        <w:tc>
          <w:tcPr>
            <w:tcW w:w="2268" w:type="dxa"/>
            <w:vAlign w:val="center"/>
          </w:tcPr>
          <w:p w14:paraId="576D5FB7">
            <w:pPr>
              <w:pStyle w:val="13"/>
            </w:pPr>
            <w:r>
              <w:t>3年</w:t>
            </w:r>
          </w:p>
        </w:tc>
        <w:tc>
          <w:tcPr>
            <w:tcW w:w="1276" w:type="dxa"/>
            <w:vAlign w:val="center"/>
          </w:tcPr>
          <w:p w14:paraId="033996C1">
            <w:pPr>
              <w:pStyle w:val="13"/>
            </w:pPr>
            <w:r>
              <w:t>城乡义务教育公共经费</w:t>
            </w:r>
          </w:p>
        </w:tc>
      </w:tr>
      <w:tr w14:paraId="04229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BEE19B">
            <w:pPr>
              <w:pStyle w:val="12"/>
            </w:pPr>
            <w:r>
              <w:t>满意度指标</w:t>
            </w:r>
          </w:p>
        </w:tc>
        <w:tc>
          <w:tcPr>
            <w:tcW w:w="2268" w:type="dxa"/>
            <w:vAlign w:val="center"/>
          </w:tcPr>
          <w:p w14:paraId="288B1719">
            <w:pPr>
              <w:pStyle w:val="13"/>
            </w:pPr>
            <w:r>
              <w:t>服务对象满意度指标</w:t>
            </w:r>
          </w:p>
        </w:tc>
        <w:tc>
          <w:tcPr>
            <w:tcW w:w="2835" w:type="dxa"/>
            <w:vAlign w:val="center"/>
          </w:tcPr>
          <w:p w14:paraId="2CBFFA1B">
            <w:pPr>
              <w:pStyle w:val="13"/>
            </w:pPr>
            <w:r>
              <w:t>服务对象满意度</w:t>
            </w:r>
          </w:p>
        </w:tc>
        <w:tc>
          <w:tcPr>
            <w:tcW w:w="5386" w:type="dxa"/>
            <w:vAlign w:val="center"/>
          </w:tcPr>
          <w:p w14:paraId="33799296">
            <w:pPr>
              <w:pStyle w:val="13"/>
            </w:pPr>
            <w:r>
              <w:t>学校学生教师学校工作满意度</w:t>
            </w:r>
          </w:p>
        </w:tc>
        <w:tc>
          <w:tcPr>
            <w:tcW w:w="2268" w:type="dxa"/>
            <w:vAlign w:val="center"/>
          </w:tcPr>
          <w:p w14:paraId="5F759DB0">
            <w:pPr>
              <w:pStyle w:val="13"/>
            </w:pPr>
            <w:r>
              <w:t>≥95%</w:t>
            </w:r>
          </w:p>
        </w:tc>
        <w:tc>
          <w:tcPr>
            <w:tcW w:w="1276" w:type="dxa"/>
            <w:vAlign w:val="center"/>
          </w:tcPr>
          <w:p w14:paraId="0452E1CF">
            <w:pPr>
              <w:pStyle w:val="13"/>
            </w:pPr>
            <w:r>
              <w:t>问卷调查</w:t>
            </w:r>
          </w:p>
        </w:tc>
      </w:tr>
    </w:tbl>
    <w:p w14:paraId="528440E5">
      <w:pPr>
        <w:sectPr>
          <w:pgSz w:w="16840" w:h="11900" w:orient="landscape"/>
          <w:pgMar w:top="1361" w:right="1020" w:bottom="1134" w:left="1020" w:header="720" w:footer="720" w:gutter="0"/>
          <w:cols w:space="720" w:num="1"/>
        </w:sectPr>
      </w:pPr>
    </w:p>
    <w:p w14:paraId="3C128820">
      <w:pPr>
        <w:spacing w:before="0" w:after="0"/>
        <w:ind w:firstLine="560"/>
        <w:jc w:val="left"/>
        <w:outlineLvl w:val="9"/>
      </w:pPr>
      <w:r>
        <w:rPr>
          <w:rFonts w:ascii="方正仿宋_GBK" w:hAnsi="方正仿宋_GBK" w:eastAsia="方正仿宋_GBK" w:cs="方正仿宋_GBK"/>
          <w:b/>
          <w:color w:val="000000"/>
          <w:sz w:val="28"/>
        </w:rPr>
        <w:t>9、上年盘活/隆尧县尧山中学新建教学楼项目费用（冀财教[2023]151号）绩效目标表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92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262BA5">
            <w:pPr>
              <w:pStyle w:val="14"/>
            </w:pPr>
            <w:r>
              <w:t>单位：万元</w:t>
            </w:r>
          </w:p>
        </w:tc>
      </w:tr>
      <w:tr w14:paraId="11028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D108F5">
            <w:pPr>
              <w:pStyle w:val="11"/>
            </w:pPr>
            <w:r>
              <w:t>项目编码</w:t>
            </w:r>
          </w:p>
        </w:tc>
        <w:tc>
          <w:tcPr>
            <w:tcW w:w="5103" w:type="dxa"/>
            <w:gridSpan w:val="2"/>
            <w:vAlign w:val="center"/>
          </w:tcPr>
          <w:p w14:paraId="4E269CF1">
            <w:pPr>
              <w:pStyle w:val="13"/>
            </w:pPr>
            <w:r>
              <w:t>13052525P00875610203P</w:t>
            </w:r>
          </w:p>
        </w:tc>
        <w:tc>
          <w:tcPr>
            <w:tcW w:w="2835" w:type="dxa"/>
            <w:vAlign w:val="center"/>
          </w:tcPr>
          <w:p w14:paraId="74600A6C">
            <w:pPr>
              <w:pStyle w:val="11"/>
            </w:pPr>
            <w:r>
              <w:t>项目名称</w:t>
            </w:r>
          </w:p>
        </w:tc>
        <w:tc>
          <w:tcPr>
            <w:tcW w:w="6095" w:type="dxa"/>
            <w:gridSpan w:val="3"/>
            <w:vAlign w:val="center"/>
          </w:tcPr>
          <w:p w14:paraId="6A66DEBF">
            <w:pPr>
              <w:pStyle w:val="13"/>
            </w:pPr>
            <w:r>
              <w:t>上年盘活/隆尧县尧山中学新建教学楼项目费用（冀财教[2023]151号）</w:t>
            </w:r>
          </w:p>
        </w:tc>
      </w:tr>
      <w:tr w14:paraId="48EBC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5EEA4">
            <w:pPr>
              <w:pStyle w:val="11"/>
            </w:pPr>
            <w:r>
              <w:t>预算规模及资金用途</w:t>
            </w:r>
          </w:p>
        </w:tc>
        <w:tc>
          <w:tcPr>
            <w:tcW w:w="2268" w:type="dxa"/>
            <w:vAlign w:val="center"/>
          </w:tcPr>
          <w:p w14:paraId="208096C4">
            <w:pPr>
              <w:pStyle w:val="11"/>
            </w:pPr>
            <w:r>
              <w:t>预算数</w:t>
            </w:r>
          </w:p>
        </w:tc>
        <w:tc>
          <w:tcPr>
            <w:tcW w:w="2835" w:type="dxa"/>
            <w:vAlign w:val="center"/>
          </w:tcPr>
          <w:p w14:paraId="417CF44D">
            <w:pPr>
              <w:pStyle w:val="13"/>
            </w:pPr>
            <w:r>
              <w:t>50.00</w:t>
            </w:r>
          </w:p>
        </w:tc>
        <w:tc>
          <w:tcPr>
            <w:tcW w:w="2835" w:type="dxa"/>
            <w:vAlign w:val="center"/>
          </w:tcPr>
          <w:p w14:paraId="00B85AC0">
            <w:pPr>
              <w:pStyle w:val="11"/>
            </w:pPr>
            <w:r>
              <w:t>其中：财政    资金</w:t>
            </w:r>
          </w:p>
        </w:tc>
        <w:tc>
          <w:tcPr>
            <w:tcW w:w="2551" w:type="dxa"/>
            <w:vAlign w:val="center"/>
          </w:tcPr>
          <w:p w14:paraId="1E386C96">
            <w:pPr>
              <w:pStyle w:val="13"/>
            </w:pPr>
            <w:r>
              <w:t>50.00</w:t>
            </w:r>
          </w:p>
        </w:tc>
        <w:tc>
          <w:tcPr>
            <w:tcW w:w="2268" w:type="dxa"/>
            <w:vAlign w:val="center"/>
          </w:tcPr>
          <w:p w14:paraId="2A17E86B">
            <w:pPr>
              <w:pStyle w:val="11"/>
            </w:pPr>
            <w:r>
              <w:t>其他资金</w:t>
            </w:r>
          </w:p>
        </w:tc>
        <w:tc>
          <w:tcPr>
            <w:tcW w:w="1276" w:type="dxa"/>
            <w:vAlign w:val="center"/>
          </w:tcPr>
          <w:p w14:paraId="7043EB02">
            <w:pPr>
              <w:pStyle w:val="13"/>
            </w:pPr>
            <w:r>
              <w:t xml:space="preserve"> </w:t>
            </w:r>
          </w:p>
        </w:tc>
      </w:tr>
      <w:tr w14:paraId="20E73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49552D"/>
        </w:tc>
        <w:tc>
          <w:tcPr>
            <w:tcW w:w="14033" w:type="dxa"/>
            <w:gridSpan w:val="6"/>
            <w:vAlign w:val="center"/>
          </w:tcPr>
          <w:p w14:paraId="65E4F586">
            <w:pPr>
              <w:pStyle w:val="13"/>
            </w:pPr>
            <w:r>
              <w:t>改善就学条件，提升学校形象，保障义务教育阶段教学安全，改善师生教学环境，创造良好的校园环境。</w:t>
            </w:r>
            <w:r>
              <w:tab/>
            </w:r>
          </w:p>
        </w:tc>
      </w:tr>
      <w:tr w14:paraId="2947B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3CE71">
            <w:pPr>
              <w:pStyle w:val="11"/>
            </w:pPr>
            <w:r>
              <w:t>资金支出计划（%）</w:t>
            </w:r>
          </w:p>
        </w:tc>
        <w:tc>
          <w:tcPr>
            <w:tcW w:w="5103" w:type="dxa"/>
            <w:gridSpan w:val="2"/>
            <w:vAlign w:val="center"/>
          </w:tcPr>
          <w:p w14:paraId="7E4B1F0F">
            <w:pPr>
              <w:pStyle w:val="11"/>
            </w:pPr>
            <w:r>
              <w:t>3月底</w:t>
            </w:r>
          </w:p>
        </w:tc>
        <w:tc>
          <w:tcPr>
            <w:tcW w:w="2835" w:type="dxa"/>
            <w:vAlign w:val="center"/>
          </w:tcPr>
          <w:p w14:paraId="289FE793">
            <w:pPr>
              <w:pStyle w:val="11"/>
            </w:pPr>
            <w:r>
              <w:t>6月底</w:t>
            </w:r>
          </w:p>
        </w:tc>
        <w:tc>
          <w:tcPr>
            <w:tcW w:w="2551" w:type="dxa"/>
            <w:vAlign w:val="center"/>
          </w:tcPr>
          <w:p w14:paraId="19CB1610">
            <w:pPr>
              <w:pStyle w:val="11"/>
            </w:pPr>
            <w:r>
              <w:t>10月底</w:t>
            </w:r>
          </w:p>
        </w:tc>
        <w:tc>
          <w:tcPr>
            <w:tcW w:w="3544" w:type="dxa"/>
            <w:gridSpan w:val="2"/>
            <w:vAlign w:val="center"/>
          </w:tcPr>
          <w:p w14:paraId="2D72DCC1">
            <w:pPr>
              <w:pStyle w:val="11"/>
            </w:pPr>
            <w:r>
              <w:t>12月底</w:t>
            </w:r>
          </w:p>
        </w:tc>
      </w:tr>
      <w:tr w14:paraId="35D9D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C395E"/>
        </w:tc>
        <w:tc>
          <w:tcPr>
            <w:tcW w:w="5103" w:type="dxa"/>
            <w:gridSpan w:val="2"/>
            <w:vAlign w:val="center"/>
          </w:tcPr>
          <w:p w14:paraId="1EED0EEF">
            <w:pPr>
              <w:pStyle w:val="12"/>
            </w:pPr>
            <w:r>
              <w:t>25%</w:t>
            </w:r>
          </w:p>
        </w:tc>
        <w:tc>
          <w:tcPr>
            <w:tcW w:w="2835" w:type="dxa"/>
            <w:vAlign w:val="center"/>
          </w:tcPr>
          <w:p w14:paraId="54C65EFB">
            <w:pPr>
              <w:pStyle w:val="12"/>
            </w:pPr>
            <w:r>
              <w:t>50%</w:t>
            </w:r>
          </w:p>
        </w:tc>
        <w:tc>
          <w:tcPr>
            <w:tcW w:w="2551" w:type="dxa"/>
            <w:vAlign w:val="center"/>
          </w:tcPr>
          <w:p w14:paraId="50660CB8">
            <w:pPr>
              <w:pStyle w:val="12"/>
            </w:pPr>
            <w:r>
              <w:t>75%</w:t>
            </w:r>
          </w:p>
        </w:tc>
        <w:tc>
          <w:tcPr>
            <w:tcW w:w="3544" w:type="dxa"/>
            <w:gridSpan w:val="2"/>
            <w:vAlign w:val="center"/>
          </w:tcPr>
          <w:p w14:paraId="76299B1C">
            <w:pPr>
              <w:pStyle w:val="12"/>
            </w:pPr>
            <w:r>
              <w:t>100%</w:t>
            </w:r>
          </w:p>
        </w:tc>
      </w:tr>
      <w:tr w14:paraId="0BEED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483F3">
            <w:pPr>
              <w:pStyle w:val="11"/>
            </w:pPr>
            <w:r>
              <w:t>绩效目标</w:t>
            </w:r>
          </w:p>
        </w:tc>
        <w:tc>
          <w:tcPr>
            <w:tcW w:w="14033" w:type="dxa"/>
            <w:gridSpan w:val="6"/>
            <w:vAlign w:val="center"/>
          </w:tcPr>
          <w:p w14:paraId="13F4AAFD">
            <w:pPr>
              <w:pStyle w:val="13"/>
            </w:pPr>
            <w:r>
              <w:t>1.项目需资金50万元，资金拨付率达到100%。</w:t>
            </w:r>
            <w:r>
              <w:tab/>
            </w:r>
            <w:r>
              <w:tab/>
            </w:r>
          </w:p>
          <w:p w14:paraId="005786B7">
            <w:pPr>
              <w:pStyle w:val="13"/>
            </w:pPr>
            <w:r>
              <w:t>2.改善就学条件，提升学校形象，保障义务教育阶段教学安全，改善师生教学环境，创造良好的校园环境。</w:t>
            </w:r>
            <w:r>
              <w:tab/>
            </w:r>
          </w:p>
        </w:tc>
      </w:tr>
    </w:tbl>
    <w:p w14:paraId="685902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E9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10C7A12">
            <w:pPr>
              <w:pStyle w:val="11"/>
            </w:pPr>
            <w:r>
              <w:t>一级指标</w:t>
            </w:r>
          </w:p>
        </w:tc>
        <w:tc>
          <w:tcPr>
            <w:tcW w:w="2268" w:type="dxa"/>
            <w:vAlign w:val="center"/>
          </w:tcPr>
          <w:p w14:paraId="7D1CA49A">
            <w:pPr>
              <w:pStyle w:val="11"/>
            </w:pPr>
            <w:r>
              <w:t>二级指标</w:t>
            </w:r>
          </w:p>
        </w:tc>
        <w:tc>
          <w:tcPr>
            <w:tcW w:w="2835" w:type="dxa"/>
            <w:vAlign w:val="center"/>
          </w:tcPr>
          <w:p w14:paraId="06431B42">
            <w:pPr>
              <w:pStyle w:val="11"/>
            </w:pPr>
            <w:r>
              <w:t>三级指标</w:t>
            </w:r>
          </w:p>
        </w:tc>
        <w:tc>
          <w:tcPr>
            <w:tcW w:w="5386" w:type="dxa"/>
            <w:vAlign w:val="center"/>
          </w:tcPr>
          <w:p w14:paraId="5AEFD2AB">
            <w:pPr>
              <w:pStyle w:val="11"/>
            </w:pPr>
            <w:r>
              <w:t>绩效指标描述</w:t>
            </w:r>
          </w:p>
        </w:tc>
        <w:tc>
          <w:tcPr>
            <w:tcW w:w="2268" w:type="dxa"/>
            <w:vAlign w:val="center"/>
          </w:tcPr>
          <w:p w14:paraId="488F6492">
            <w:pPr>
              <w:pStyle w:val="11"/>
            </w:pPr>
            <w:r>
              <w:t>指标值</w:t>
            </w:r>
          </w:p>
        </w:tc>
        <w:tc>
          <w:tcPr>
            <w:tcW w:w="1276" w:type="dxa"/>
            <w:vAlign w:val="center"/>
          </w:tcPr>
          <w:p w14:paraId="5CFD0819">
            <w:pPr>
              <w:pStyle w:val="11"/>
            </w:pPr>
            <w:r>
              <w:t>指标值确定依据</w:t>
            </w:r>
          </w:p>
        </w:tc>
      </w:tr>
      <w:tr w14:paraId="14478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3CDB0">
            <w:pPr>
              <w:pStyle w:val="12"/>
            </w:pPr>
            <w:r>
              <w:t>产出指标</w:t>
            </w:r>
          </w:p>
        </w:tc>
        <w:tc>
          <w:tcPr>
            <w:tcW w:w="2268" w:type="dxa"/>
            <w:vAlign w:val="center"/>
          </w:tcPr>
          <w:p w14:paraId="1AC5C036">
            <w:pPr>
              <w:pStyle w:val="13"/>
            </w:pPr>
            <w:r>
              <w:t>数量指标</w:t>
            </w:r>
          </w:p>
        </w:tc>
        <w:tc>
          <w:tcPr>
            <w:tcW w:w="2835" w:type="dxa"/>
            <w:vAlign w:val="center"/>
          </w:tcPr>
          <w:p w14:paraId="4AB85260">
            <w:pPr>
              <w:pStyle w:val="13"/>
            </w:pPr>
            <w:r>
              <w:t>尧山中学新建教学楼项目</w:t>
            </w:r>
          </w:p>
        </w:tc>
        <w:tc>
          <w:tcPr>
            <w:tcW w:w="5386" w:type="dxa"/>
            <w:vAlign w:val="center"/>
          </w:tcPr>
          <w:p w14:paraId="05ACF534">
            <w:pPr>
              <w:pStyle w:val="13"/>
            </w:pPr>
            <w:r>
              <w:t>新建教学楼建筑面积</w:t>
            </w:r>
          </w:p>
        </w:tc>
        <w:tc>
          <w:tcPr>
            <w:tcW w:w="2268" w:type="dxa"/>
            <w:vAlign w:val="center"/>
          </w:tcPr>
          <w:p w14:paraId="4C6AE01B">
            <w:pPr>
              <w:pStyle w:val="13"/>
            </w:pPr>
            <w:r>
              <w:t>5863.07平方米</w:t>
            </w:r>
          </w:p>
        </w:tc>
        <w:tc>
          <w:tcPr>
            <w:tcW w:w="1276" w:type="dxa"/>
            <w:vAlign w:val="center"/>
          </w:tcPr>
          <w:p w14:paraId="3AFD2B2E">
            <w:pPr>
              <w:pStyle w:val="13"/>
            </w:pPr>
            <w:r>
              <w:t>城乡义务教育公共经费</w:t>
            </w:r>
          </w:p>
        </w:tc>
      </w:tr>
      <w:tr w14:paraId="3F331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DCFB7"/>
        </w:tc>
        <w:tc>
          <w:tcPr>
            <w:tcW w:w="2268" w:type="dxa"/>
            <w:vAlign w:val="center"/>
          </w:tcPr>
          <w:p w14:paraId="3C6C7FF9">
            <w:pPr>
              <w:pStyle w:val="13"/>
            </w:pPr>
            <w:r>
              <w:t>质量指标</w:t>
            </w:r>
          </w:p>
        </w:tc>
        <w:tc>
          <w:tcPr>
            <w:tcW w:w="2835" w:type="dxa"/>
            <w:vAlign w:val="center"/>
          </w:tcPr>
          <w:p w14:paraId="35FA33A3">
            <w:pPr>
              <w:pStyle w:val="13"/>
            </w:pPr>
            <w:r>
              <w:t>工程实施验收合格率</w:t>
            </w:r>
          </w:p>
        </w:tc>
        <w:tc>
          <w:tcPr>
            <w:tcW w:w="5386" w:type="dxa"/>
            <w:vAlign w:val="center"/>
          </w:tcPr>
          <w:p w14:paraId="019B8DFE">
            <w:pPr>
              <w:pStyle w:val="13"/>
            </w:pPr>
            <w:r>
              <w:t>申报程序的合规，项目实施及资金使用符合项目规划</w:t>
            </w:r>
          </w:p>
        </w:tc>
        <w:tc>
          <w:tcPr>
            <w:tcW w:w="2268" w:type="dxa"/>
            <w:vAlign w:val="center"/>
          </w:tcPr>
          <w:p w14:paraId="2CF44AAC">
            <w:pPr>
              <w:pStyle w:val="13"/>
            </w:pPr>
            <w:r>
              <w:t>≥100%</w:t>
            </w:r>
          </w:p>
        </w:tc>
        <w:tc>
          <w:tcPr>
            <w:tcW w:w="1276" w:type="dxa"/>
            <w:vAlign w:val="center"/>
          </w:tcPr>
          <w:p w14:paraId="23737212">
            <w:pPr>
              <w:pStyle w:val="13"/>
            </w:pPr>
            <w:r>
              <w:t>城乡义务教育公共经费</w:t>
            </w:r>
          </w:p>
        </w:tc>
      </w:tr>
      <w:tr w14:paraId="71959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C7F24"/>
        </w:tc>
        <w:tc>
          <w:tcPr>
            <w:tcW w:w="2268" w:type="dxa"/>
            <w:vAlign w:val="center"/>
          </w:tcPr>
          <w:p w14:paraId="06ED1428">
            <w:pPr>
              <w:pStyle w:val="13"/>
            </w:pPr>
            <w:r>
              <w:t>时效指标</w:t>
            </w:r>
          </w:p>
        </w:tc>
        <w:tc>
          <w:tcPr>
            <w:tcW w:w="2835" w:type="dxa"/>
            <w:vAlign w:val="center"/>
          </w:tcPr>
          <w:p w14:paraId="49C98863">
            <w:pPr>
              <w:pStyle w:val="13"/>
            </w:pPr>
            <w:r>
              <w:t>资金支付率</w:t>
            </w:r>
          </w:p>
        </w:tc>
        <w:tc>
          <w:tcPr>
            <w:tcW w:w="5386" w:type="dxa"/>
            <w:vAlign w:val="center"/>
          </w:tcPr>
          <w:p w14:paraId="5B3021B0">
            <w:pPr>
              <w:pStyle w:val="13"/>
            </w:pPr>
            <w:r>
              <w:t>按照序时进度完成资金支付</w:t>
            </w:r>
          </w:p>
        </w:tc>
        <w:tc>
          <w:tcPr>
            <w:tcW w:w="2268" w:type="dxa"/>
            <w:vAlign w:val="center"/>
          </w:tcPr>
          <w:p w14:paraId="49CD571A">
            <w:pPr>
              <w:pStyle w:val="13"/>
            </w:pPr>
            <w:r>
              <w:t>≥100%</w:t>
            </w:r>
          </w:p>
        </w:tc>
        <w:tc>
          <w:tcPr>
            <w:tcW w:w="1276" w:type="dxa"/>
            <w:vAlign w:val="center"/>
          </w:tcPr>
          <w:p w14:paraId="0811B31E">
            <w:pPr>
              <w:pStyle w:val="13"/>
            </w:pPr>
            <w:r>
              <w:t>城乡义务教育公共经费</w:t>
            </w:r>
          </w:p>
        </w:tc>
      </w:tr>
      <w:tr w14:paraId="37D21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72E68"/>
        </w:tc>
        <w:tc>
          <w:tcPr>
            <w:tcW w:w="2268" w:type="dxa"/>
            <w:vAlign w:val="center"/>
          </w:tcPr>
          <w:p w14:paraId="119416D0">
            <w:pPr>
              <w:pStyle w:val="13"/>
            </w:pPr>
            <w:r>
              <w:t>成本指标</w:t>
            </w:r>
          </w:p>
        </w:tc>
        <w:tc>
          <w:tcPr>
            <w:tcW w:w="2835" w:type="dxa"/>
            <w:vAlign w:val="center"/>
          </w:tcPr>
          <w:p w14:paraId="59B10D64">
            <w:pPr>
              <w:pStyle w:val="13"/>
            </w:pPr>
            <w:r>
              <w:t>项目成本控制情况</w:t>
            </w:r>
          </w:p>
        </w:tc>
        <w:tc>
          <w:tcPr>
            <w:tcW w:w="5386" w:type="dxa"/>
            <w:vAlign w:val="center"/>
          </w:tcPr>
          <w:p w14:paraId="58792099">
            <w:pPr>
              <w:pStyle w:val="13"/>
            </w:pPr>
            <w:r>
              <w:t>严格按照招标价格及审计额进行</w:t>
            </w:r>
          </w:p>
        </w:tc>
        <w:tc>
          <w:tcPr>
            <w:tcW w:w="2268" w:type="dxa"/>
            <w:vAlign w:val="center"/>
          </w:tcPr>
          <w:p w14:paraId="69434CB8">
            <w:pPr>
              <w:pStyle w:val="13"/>
            </w:pPr>
            <w:r>
              <w:t>50万元</w:t>
            </w:r>
          </w:p>
        </w:tc>
        <w:tc>
          <w:tcPr>
            <w:tcW w:w="1276" w:type="dxa"/>
            <w:vAlign w:val="center"/>
          </w:tcPr>
          <w:p w14:paraId="5F8E13F4">
            <w:pPr>
              <w:pStyle w:val="13"/>
            </w:pPr>
            <w:r>
              <w:t>城乡义务教育公共经费</w:t>
            </w:r>
          </w:p>
        </w:tc>
      </w:tr>
      <w:tr w14:paraId="726BB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20D4FF">
            <w:pPr>
              <w:pStyle w:val="12"/>
            </w:pPr>
            <w:r>
              <w:t>效益指标</w:t>
            </w:r>
          </w:p>
        </w:tc>
        <w:tc>
          <w:tcPr>
            <w:tcW w:w="2268" w:type="dxa"/>
            <w:vAlign w:val="center"/>
          </w:tcPr>
          <w:p w14:paraId="03E57E6B">
            <w:pPr>
              <w:pStyle w:val="13"/>
            </w:pPr>
            <w:r>
              <w:t>可持续影响指标</w:t>
            </w:r>
          </w:p>
        </w:tc>
        <w:tc>
          <w:tcPr>
            <w:tcW w:w="2835" w:type="dxa"/>
            <w:vAlign w:val="center"/>
          </w:tcPr>
          <w:p w14:paraId="041A396D">
            <w:pPr>
              <w:pStyle w:val="13"/>
            </w:pPr>
            <w:r>
              <w:t>学校运转得到提高</w:t>
            </w:r>
          </w:p>
        </w:tc>
        <w:tc>
          <w:tcPr>
            <w:tcW w:w="5386" w:type="dxa"/>
            <w:vAlign w:val="center"/>
          </w:tcPr>
          <w:p w14:paraId="09E540C0">
            <w:pPr>
              <w:pStyle w:val="13"/>
            </w:pPr>
            <w:r>
              <w:t>学生受教育年限</w:t>
            </w:r>
          </w:p>
        </w:tc>
        <w:tc>
          <w:tcPr>
            <w:tcW w:w="2268" w:type="dxa"/>
            <w:vAlign w:val="center"/>
          </w:tcPr>
          <w:p w14:paraId="0F01615A">
            <w:pPr>
              <w:pStyle w:val="13"/>
            </w:pPr>
            <w:r>
              <w:t>3年</w:t>
            </w:r>
          </w:p>
        </w:tc>
        <w:tc>
          <w:tcPr>
            <w:tcW w:w="1276" w:type="dxa"/>
            <w:vAlign w:val="center"/>
          </w:tcPr>
          <w:p w14:paraId="6AD610D9">
            <w:pPr>
              <w:pStyle w:val="13"/>
            </w:pPr>
            <w:r>
              <w:t>城乡义务教育公共经费</w:t>
            </w:r>
          </w:p>
        </w:tc>
      </w:tr>
      <w:tr w14:paraId="3CEAD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AE7278">
            <w:pPr>
              <w:pStyle w:val="12"/>
            </w:pPr>
            <w:r>
              <w:t>满意度指标</w:t>
            </w:r>
          </w:p>
        </w:tc>
        <w:tc>
          <w:tcPr>
            <w:tcW w:w="2268" w:type="dxa"/>
            <w:vAlign w:val="center"/>
          </w:tcPr>
          <w:p w14:paraId="62A90930">
            <w:pPr>
              <w:pStyle w:val="13"/>
            </w:pPr>
            <w:r>
              <w:t>服务对象满意度指标</w:t>
            </w:r>
          </w:p>
        </w:tc>
        <w:tc>
          <w:tcPr>
            <w:tcW w:w="2835" w:type="dxa"/>
            <w:vAlign w:val="center"/>
          </w:tcPr>
          <w:p w14:paraId="23AB5D6A">
            <w:pPr>
              <w:pStyle w:val="13"/>
            </w:pPr>
            <w:r>
              <w:t>服务对象满意度</w:t>
            </w:r>
          </w:p>
        </w:tc>
        <w:tc>
          <w:tcPr>
            <w:tcW w:w="5386" w:type="dxa"/>
            <w:vAlign w:val="center"/>
          </w:tcPr>
          <w:p w14:paraId="7E4CE8EE">
            <w:pPr>
              <w:pStyle w:val="13"/>
            </w:pPr>
            <w:r>
              <w:t>学校学生教师学校工作满意度</w:t>
            </w:r>
          </w:p>
        </w:tc>
        <w:tc>
          <w:tcPr>
            <w:tcW w:w="2268" w:type="dxa"/>
            <w:vAlign w:val="center"/>
          </w:tcPr>
          <w:p w14:paraId="41BAE620">
            <w:pPr>
              <w:pStyle w:val="13"/>
            </w:pPr>
            <w:r>
              <w:t>≥95%</w:t>
            </w:r>
          </w:p>
        </w:tc>
        <w:tc>
          <w:tcPr>
            <w:tcW w:w="1276" w:type="dxa"/>
            <w:vAlign w:val="center"/>
          </w:tcPr>
          <w:p w14:paraId="4F8F6ADC">
            <w:pPr>
              <w:pStyle w:val="13"/>
            </w:pPr>
            <w:r>
              <w:t>问卷调查</w:t>
            </w:r>
          </w:p>
        </w:tc>
      </w:tr>
    </w:tbl>
    <w:p w14:paraId="0E88BD93">
      <w:pPr>
        <w:sectPr>
          <w:pgSz w:w="16840" w:h="11900" w:orient="landscape"/>
          <w:pgMar w:top="1361" w:right="1020" w:bottom="1134" w:left="1020" w:header="720" w:footer="720" w:gutter="0"/>
          <w:cols w:space="720" w:num="1"/>
        </w:sectPr>
      </w:pPr>
    </w:p>
    <w:p w14:paraId="2A7F14A9">
      <w:pPr>
        <w:spacing w:before="10" w:after="10" w:line="240" w:lineRule="auto"/>
        <w:ind w:firstLine="640"/>
        <w:jc w:val="left"/>
        <w:outlineLvl w:val="5"/>
      </w:pPr>
      <w:r>
        <w:rPr>
          <w:rFonts w:ascii="黑体" w:hAnsi="黑体" w:eastAsia="黑体" w:cs="黑体"/>
          <w:color w:val="000000"/>
          <w:sz w:val="32"/>
        </w:rPr>
        <w:t>六、政府采购预算情况</w:t>
      </w:r>
    </w:p>
    <w:p w14:paraId="407A274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2C7D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3698AB9">
            <w:pPr>
              <w:pStyle w:val="8"/>
            </w:pPr>
            <w:r>
              <w:t>360004隆尧县尧山中学</w:t>
            </w:r>
          </w:p>
        </w:tc>
        <w:tc>
          <w:tcPr>
            <w:tcW w:w="7712" w:type="dxa"/>
            <w:gridSpan w:val="8"/>
            <w:tcBorders>
              <w:top w:val="single" w:color="FFFFFF" w:sz="6" w:space="0"/>
              <w:left w:val="single" w:color="FFFFFF" w:sz="6" w:space="0"/>
              <w:right w:val="single" w:color="FFFFFF" w:sz="6" w:space="0"/>
            </w:tcBorders>
            <w:vAlign w:val="center"/>
          </w:tcPr>
          <w:p w14:paraId="49FFD3B8">
            <w:pPr>
              <w:pStyle w:val="22"/>
            </w:pPr>
            <w:r>
              <w:t>单位：万元</w:t>
            </w:r>
          </w:p>
        </w:tc>
      </w:tr>
      <w:tr w14:paraId="69A44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043BC83">
            <w:pPr>
              <w:pStyle w:val="11"/>
            </w:pPr>
            <w:r>
              <w:t>政府采购项目来源</w:t>
            </w:r>
          </w:p>
        </w:tc>
        <w:tc>
          <w:tcPr>
            <w:tcW w:w="1134" w:type="dxa"/>
            <w:vMerge w:val="restart"/>
            <w:vAlign w:val="center"/>
          </w:tcPr>
          <w:p w14:paraId="09219CE8">
            <w:pPr>
              <w:pStyle w:val="11"/>
            </w:pPr>
            <w:r>
              <w:t>采购物品名称</w:t>
            </w:r>
          </w:p>
        </w:tc>
        <w:tc>
          <w:tcPr>
            <w:tcW w:w="1134" w:type="dxa"/>
            <w:vMerge w:val="restart"/>
            <w:vAlign w:val="center"/>
          </w:tcPr>
          <w:p w14:paraId="45042B14">
            <w:pPr>
              <w:pStyle w:val="11"/>
            </w:pPr>
            <w:r>
              <w:t>政府采购目录序号</w:t>
            </w:r>
          </w:p>
        </w:tc>
        <w:tc>
          <w:tcPr>
            <w:tcW w:w="709" w:type="dxa"/>
            <w:vMerge w:val="restart"/>
            <w:vAlign w:val="center"/>
          </w:tcPr>
          <w:p w14:paraId="678B8FB1">
            <w:pPr>
              <w:pStyle w:val="11"/>
            </w:pPr>
            <w:r>
              <w:t>计量  单位</w:t>
            </w:r>
          </w:p>
        </w:tc>
        <w:tc>
          <w:tcPr>
            <w:tcW w:w="850" w:type="dxa"/>
            <w:vMerge w:val="restart"/>
            <w:vAlign w:val="center"/>
          </w:tcPr>
          <w:p w14:paraId="6831E64D">
            <w:pPr>
              <w:pStyle w:val="11"/>
            </w:pPr>
            <w:r>
              <w:t>数量</w:t>
            </w:r>
          </w:p>
        </w:tc>
        <w:tc>
          <w:tcPr>
            <w:tcW w:w="850" w:type="dxa"/>
            <w:vMerge w:val="restart"/>
            <w:vAlign w:val="center"/>
          </w:tcPr>
          <w:p w14:paraId="1D32DD0B">
            <w:pPr>
              <w:pStyle w:val="11"/>
            </w:pPr>
            <w:r>
              <w:t>单价</w:t>
            </w:r>
          </w:p>
        </w:tc>
        <w:tc>
          <w:tcPr>
            <w:tcW w:w="6748" w:type="dxa"/>
            <w:gridSpan w:val="7"/>
            <w:vAlign w:val="center"/>
          </w:tcPr>
          <w:p w14:paraId="57C94E38">
            <w:pPr>
              <w:pStyle w:val="11"/>
            </w:pPr>
            <w:r>
              <w:t>政府采购金额（当年部门预算安排资金）</w:t>
            </w:r>
          </w:p>
        </w:tc>
        <w:tc>
          <w:tcPr>
            <w:tcW w:w="964" w:type="dxa"/>
            <w:vMerge w:val="restart"/>
            <w:vAlign w:val="center"/>
          </w:tcPr>
          <w:p w14:paraId="79878528">
            <w:pPr>
              <w:pStyle w:val="11"/>
            </w:pPr>
            <w:r>
              <w:t>2025年  预留中  小微企  业份额</w:t>
            </w:r>
          </w:p>
        </w:tc>
      </w:tr>
      <w:tr w14:paraId="0738E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2B4C061">
            <w:pPr>
              <w:pStyle w:val="11"/>
            </w:pPr>
            <w:r>
              <w:t>项目名称</w:t>
            </w:r>
          </w:p>
        </w:tc>
        <w:tc>
          <w:tcPr>
            <w:tcW w:w="964" w:type="dxa"/>
            <w:vAlign w:val="center"/>
          </w:tcPr>
          <w:p w14:paraId="30D36450">
            <w:pPr>
              <w:pStyle w:val="11"/>
            </w:pPr>
            <w:r>
              <w:t>预算    资金</w:t>
            </w:r>
          </w:p>
        </w:tc>
        <w:tc>
          <w:tcPr>
            <w:tcW w:w="1134" w:type="dxa"/>
            <w:vMerge w:val="continue"/>
          </w:tcPr>
          <w:p w14:paraId="5D5D92D9"/>
        </w:tc>
        <w:tc>
          <w:tcPr>
            <w:tcW w:w="1134" w:type="dxa"/>
            <w:vMerge w:val="continue"/>
          </w:tcPr>
          <w:p w14:paraId="0EF9ED47"/>
        </w:tc>
        <w:tc>
          <w:tcPr>
            <w:tcW w:w="709" w:type="dxa"/>
            <w:vMerge w:val="continue"/>
          </w:tcPr>
          <w:p w14:paraId="259B1D87"/>
        </w:tc>
        <w:tc>
          <w:tcPr>
            <w:tcW w:w="850" w:type="dxa"/>
            <w:vMerge w:val="continue"/>
          </w:tcPr>
          <w:p w14:paraId="2F616EB4"/>
        </w:tc>
        <w:tc>
          <w:tcPr>
            <w:tcW w:w="850" w:type="dxa"/>
            <w:vMerge w:val="continue"/>
          </w:tcPr>
          <w:p w14:paraId="2D386D84"/>
        </w:tc>
        <w:tc>
          <w:tcPr>
            <w:tcW w:w="964" w:type="dxa"/>
            <w:vAlign w:val="center"/>
          </w:tcPr>
          <w:p w14:paraId="01776B1E">
            <w:pPr>
              <w:pStyle w:val="11"/>
            </w:pPr>
            <w:r>
              <w:t>合计</w:t>
            </w:r>
          </w:p>
        </w:tc>
        <w:tc>
          <w:tcPr>
            <w:tcW w:w="964" w:type="dxa"/>
            <w:vAlign w:val="center"/>
          </w:tcPr>
          <w:p w14:paraId="2866B880">
            <w:pPr>
              <w:pStyle w:val="11"/>
            </w:pPr>
            <w:r>
              <w:t>一般公共预算拨款</w:t>
            </w:r>
          </w:p>
        </w:tc>
        <w:tc>
          <w:tcPr>
            <w:tcW w:w="964" w:type="dxa"/>
            <w:vAlign w:val="center"/>
          </w:tcPr>
          <w:p w14:paraId="6A4DA209">
            <w:pPr>
              <w:pStyle w:val="11"/>
            </w:pPr>
            <w:r>
              <w:t>基金预算拨款</w:t>
            </w:r>
          </w:p>
        </w:tc>
        <w:tc>
          <w:tcPr>
            <w:tcW w:w="964" w:type="dxa"/>
            <w:vAlign w:val="center"/>
          </w:tcPr>
          <w:p w14:paraId="6EE4788F">
            <w:pPr>
              <w:pStyle w:val="11"/>
            </w:pPr>
            <w:r>
              <w:t>国有资本经营预算拨款</w:t>
            </w:r>
          </w:p>
        </w:tc>
        <w:tc>
          <w:tcPr>
            <w:tcW w:w="964" w:type="dxa"/>
            <w:vAlign w:val="center"/>
          </w:tcPr>
          <w:p w14:paraId="3848D979">
            <w:pPr>
              <w:pStyle w:val="11"/>
            </w:pPr>
            <w:r>
              <w:t>财政专户核拨</w:t>
            </w:r>
          </w:p>
        </w:tc>
        <w:tc>
          <w:tcPr>
            <w:tcW w:w="964" w:type="dxa"/>
            <w:vAlign w:val="center"/>
          </w:tcPr>
          <w:p w14:paraId="512F6850">
            <w:pPr>
              <w:pStyle w:val="11"/>
            </w:pPr>
            <w:r>
              <w:t>单位    资金</w:t>
            </w:r>
          </w:p>
        </w:tc>
        <w:tc>
          <w:tcPr>
            <w:tcW w:w="964" w:type="dxa"/>
            <w:vAlign w:val="center"/>
          </w:tcPr>
          <w:p w14:paraId="16CEFAD3">
            <w:pPr>
              <w:pStyle w:val="11"/>
            </w:pPr>
            <w:r>
              <w:t>上年结转结余</w:t>
            </w:r>
          </w:p>
        </w:tc>
        <w:tc>
          <w:tcPr>
            <w:tcW w:w="964" w:type="dxa"/>
            <w:vMerge w:val="continue"/>
          </w:tcPr>
          <w:p w14:paraId="063DF61B"/>
        </w:tc>
      </w:tr>
      <w:tr w14:paraId="23CF1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95202E">
            <w:pPr>
              <w:pStyle w:val="15"/>
            </w:pPr>
            <w:r>
              <w:t>合  计</w:t>
            </w:r>
          </w:p>
        </w:tc>
        <w:tc>
          <w:tcPr>
            <w:tcW w:w="964" w:type="dxa"/>
            <w:vAlign w:val="center"/>
          </w:tcPr>
          <w:p w14:paraId="62F007D8">
            <w:pPr>
              <w:pStyle w:val="16"/>
            </w:pPr>
          </w:p>
        </w:tc>
        <w:tc>
          <w:tcPr>
            <w:tcW w:w="1134" w:type="dxa"/>
            <w:vAlign w:val="center"/>
          </w:tcPr>
          <w:p w14:paraId="1A1B1658">
            <w:pPr>
              <w:pStyle w:val="17"/>
            </w:pPr>
          </w:p>
        </w:tc>
        <w:tc>
          <w:tcPr>
            <w:tcW w:w="1134" w:type="dxa"/>
            <w:vAlign w:val="center"/>
          </w:tcPr>
          <w:p w14:paraId="306D1AAB">
            <w:pPr>
              <w:pStyle w:val="17"/>
            </w:pPr>
          </w:p>
        </w:tc>
        <w:tc>
          <w:tcPr>
            <w:tcW w:w="709" w:type="dxa"/>
            <w:vAlign w:val="center"/>
          </w:tcPr>
          <w:p w14:paraId="7A392947">
            <w:pPr>
              <w:pStyle w:val="15"/>
            </w:pPr>
          </w:p>
        </w:tc>
        <w:tc>
          <w:tcPr>
            <w:tcW w:w="850" w:type="dxa"/>
            <w:vAlign w:val="center"/>
          </w:tcPr>
          <w:p w14:paraId="5B63C5DF">
            <w:pPr>
              <w:pStyle w:val="16"/>
            </w:pPr>
          </w:p>
        </w:tc>
        <w:tc>
          <w:tcPr>
            <w:tcW w:w="850" w:type="dxa"/>
            <w:vAlign w:val="center"/>
          </w:tcPr>
          <w:p w14:paraId="6C947B1F">
            <w:pPr>
              <w:pStyle w:val="16"/>
            </w:pPr>
          </w:p>
        </w:tc>
        <w:tc>
          <w:tcPr>
            <w:tcW w:w="964" w:type="dxa"/>
            <w:vAlign w:val="center"/>
          </w:tcPr>
          <w:p w14:paraId="01EFB6D8">
            <w:pPr>
              <w:pStyle w:val="16"/>
            </w:pPr>
            <w:r>
              <w:t>8.00</w:t>
            </w:r>
          </w:p>
        </w:tc>
        <w:tc>
          <w:tcPr>
            <w:tcW w:w="964" w:type="dxa"/>
            <w:vAlign w:val="center"/>
          </w:tcPr>
          <w:p w14:paraId="46EC6D25">
            <w:pPr>
              <w:pStyle w:val="16"/>
            </w:pPr>
            <w:r>
              <w:t>8.00</w:t>
            </w:r>
          </w:p>
        </w:tc>
        <w:tc>
          <w:tcPr>
            <w:tcW w:w="964" w:type="dxa"/>
            <w:vAlign w:val="center"/>
          </w:tcPr>
          <w:p w14:paraId="4DEA5E94">
            <w:pPr>
              <w:pStyle w:val="16"/>
            </w:pPr>
          </w:p>
        </w:tc>
        <w:tc>
          <w:tcPr>
            <w:tcW w:w="964" w:type="dxa"/>
            <w:vAlign w:val="center"/>
          </w:tcPr>
          <w:p w14:paraId="01E2CA37">
            <w:pPr>
              <w:pStyle w:val="16"/>
            </w:pPr>
          </w:p>
        </w:tc>
        <w:tc>
          <w:tcPr>
            <w:tcW w:w="964" w:type="dxa"/>
            <w:vAlign w:val="center"/>
          </w:tcPr>
          <w:p w14:paraId="6F01144F">
            <w:pPr>
              <w:pStyle w:val="16"/>
            </w:pPr>
          </w:p>
        </w:tc>
        <w:tc>
          <w:tcPr>
            <w:tcW w:w="964" w:type="dxa"/>
            <w:vAlign w:val="center"/>
          </w:tcPr>
          <w:p w14:paraId="780121FE">
            <w:pPr>
              <w:pStyle w:val="16"/>
            </w:pPr>
          </w:p>
        </w:tc>
        <w:tc>
          <w:tcPr>
            <w:tcW w:w="964" w:type="dxa"/>
            <w:vAlign w:val="center"/>
          </w:tcPr>
          <w:p w14:paraId="7AAB3DE1">
            <w:pPr>
              <w:pStyle w:val="16"/>
            </w:pPr>
          </w:p>
        </w:tc>
        <w:tc>
          <w:tcPr>
            <w:tcW w:w="964" w:type="dxa"/>
            <w:vAlign w:val="center"/>
          </w:tcPr>
          <w:p w14:paraId="0819DFBF">
            <w:pPr>
              <w:pStyle w:val="16"/>
            </w:pPr>
            <w:r>
              <w:t>8.00</w:t>
            </w:r>
          </w:p>
        </w:tc>
      </w:tr>
      <w:tr w14:paraId="6BFB6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99C014">
            <w:pPr>
              <w:pStyle w:val="15"/>
            </w:pPr>
            <w:r>
              <w:t>隆尧县尧山中学小计</w:t>
            </w:r>
          </w:p>
        </w:tc>
        <w:tc>
          <w:tcPr>
            <w:tcW w:w="964" w:type="dxa"/>
            <w:vAlign w:val="center"/>
          </w:tcPr>
          <w:p w14:paraId="39800D71">
            <w:pPr>
              <w:pStyle w:val="16"/>
            </w:pPr>
          </w:p>
        </w:tc>
        <w:tc>
          <w:tcPr>
            <w:tcW w:w="1134" w:type="dxa"/>
            <w:vAlign w:val="center"/>
          </w:tcPr>
          <w:p w14:paraId="701CA32C">
            <w:pPr>
              <w:pStyle w:val="17"/>
            </w:pPr>
          </w:p>
        </w:tc>
        <w:tc>
          <w:tcPr>
            <w:tcW w:w="1134" w:type="dxa"/>
            <w:vAlign w:val="center"/>
          </w:tcPr>
          <w:p w14:paraId="7AC35315">
            <w:pPr>
              <w:pStyle w:val="17"/>
            </w:pPr>
          </w:p>
        </w:tc>
        <w:tc>
          <w:tcPr>
            <w:tcW w:w="709" w:type="dxa"/>
            <w:vAlign w:val="center"/>
          </w:tcPr>
          <w:p w14:paraId="5563053D">
            <w:pPr>
              <w:pStyle w:val="15"/>
            </w:pPr>
          </w:p>
        </w:tc>
        <w:tc>
          <w:tcPr>
            <w:tcW w:w="850" w:type="dxa"/>
            <w:vAlign w:val="center"/>
          </w:tcPr>
          <w:p w14:paraId="66A9A144">
            <w:pPr>
              <w:pStyle w:val="16"/>
            </w:pPr>
          </w:p>
        </w:tc>
        <w:tc>
          <w:tcPr>
            <w:tcW w:w="850" w:type="dxa"/>
            <w:vAlign w:val="center"/>
          </w:tcPr>
          <w:p w14:paraId="080A82B3">
            <w:pPr>
              <w:pStyle w:val="16"/>
            </w:pPr>
          </w:p>
        </w:tc>
        <w:tc>
          <w:tcPr>
            <w:tcW w:w="964" w:type="dxa"/>
            <w:vAlign w:val="center"/>
          </w:tcPr>
          <w:p w14:paraId="6783BE1A">
            <w:pPr>
              <w:pStyle w:val="16"/>
            </w:pPr>
            <w:r>
              <w:t>8.00</w:t>
            </w:r>
          </w:p>
        </w:tc>
        <w:tc>
          <w:tcPr>
            <w:tcW w:w="964" w:type="dxa"/>
            <w:vAlign w:val="center"/>
          </w:tcPr>
          <w:p w14:paraId="26E0DB87">
            <w:pPr>
              <w:pStyle w:val="16"/>
            </w:pPr>
            <w:r>
              <w:t>8.00</w:t>
            </w:r>
          </w:p>
        </w:tc>
        <w:tc>
          <w:tcPr>
            <w:tcW w:w="964" w:type="dxa"/>
            <w:vAlign w:val="center"/>
          </w:tcPr>
          <w:p w14:paraId="60BC7BE6">
            <w:pPr>
              <w:pStyle w:val="16"/>
            </w:pPr>
          </w:p>
        </w:tc>
        <w:tc>
          <w:tcPr>
            <w:tcW w:w="964" w:type="dxa"/>
            <w:vAlign w:val="center"/>
          </w:tcPr>
          <w:p w14:paraId="062D079F">
            <w:pPr>
              <w:pStyle w:val="16"/>
            </w:pPr>
          </w:p>
        </w:tc>
        <w:tc>
          <w:tcPr>
            <w:tcW w:w="964" w:type="dxa"/>
            <w:vAlign w:val="center"/>
          </w:tcPr>
          <w:p w14:paraId="2BFB9294">
            <w:pPr>
              <w:pStyle w:val="16"/>
            </w:pPr>
          </w:p>
        </w:tc>
        <w:tc>
          <w:tcPr>
            <w:tcW w:w="964" w:type="dxa"/>
            <w:vAlign w:val="center"/>
          </w:tcPr>
          <w:p w14:paraId="3C4A71A0">
            <w:pPr>
              <w:pStyle w:val="16"/>
            </w:pPr>
          </w:p>
        </w:tc>
        <w:tc>
          <w:tcPr>
            <w:tcW w:w="964" w:type="dxa"/>
            <w:vAlign w:val="center"/>
          </w:tcPr>
          <w:p w14:paraId="1EA3D341">
            <w:pPr>
              <w:pStyle w:val="16"/>
            </w:pPr>
          </w:p>
        </w:tc>
        <w:tc>
          <w:tcPr>
            <w:tcW w:w="964" w:type="dxa"/>
            <w:vAlign w:val="center"/>
          </w:tcPr>
          <w:p w14:paraId="64A4D489">
            <w:pPr>
              <w:pStyle w:val="16"/>
            </w:pPr>
            <w:r>
              <w:t>8.00</w:t>
            </w:r>
          </w:p>
        </w:tc>
      </w:tr>
      <w:tr w14:paraId="50E45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81DD2E">
            <w:pPr>
              <w:pStyle w:val="13"/>
            </w:pPr>
            <w:r>
              <w:t>冀财教[2024]141号/省级/2025年义教补助经费/尧山中学公用经费</w:t>
            </w:r>
          </w:p>
        </w:tc>
        <w:tc>
          <w:tcPr>
            <w:tcW w:w="964" w:type="dxa"/>
            <w:vAlign w:val="center"/>
          </w:tcPr>
          <w:p w14:paraId="42144FF0">
            <w:pPr>
              <w:pStyle w:val="14"/>
            </w:pPr>
            <w:r>
              <w:t>127.26</w:t>
            </w:r>
          </w:p>
        </w:tc>
        <w:tc>
          <w:tcPr>
            <w:tcW w:w="1134" w:type="dxa"/>
            <w:vAlign w:val="center"/>
          </w:tcPr>
          <w:p w14:paraId="4DA1C8AA">
            <w:pPr>
              <w:pStyle w:val="13"/>
            </w:pPr>
            <w:r>
              <w:t>便携式计算机</w:t>
            </w:r>
          </w:p>
        </w:tc>
        <w:tc>
          <w:tcPr>
            <w:tcW w:w="1134" w:type="dxa"/>
            <w:vAlign w:val="center"/>
          </w:tcPr>
          <w:p w14:paraId="35DE3875">
            <w:pPr>
              <w:pStyle w:val="13"/>
            </w:pPr>
            <w:r>
              <w:t>A02010108</w:t>
            </w:r>
          </w:p>
        </w:tc>
        <w:tc>
          <w:tcPr>
            <w:tcW w:w="709" w:type="dxa"/>
            <w:vAlign w:val="center"/>
          </w:tcPr>
          <w:p w14:paraId="2A7691D4">
            <w:pPr>
              <w:pStyle w:val="12"/>
            </w:pPr>
            <w:r>
              <w:t>台</w:t>
            </w:r>
          </w:p>
        </w:tc>
        <w:tc>
          <w:tcPr>
            <w:tcW w:w="850" w:type="dxa"/>
            <w:vAlign w:val="center"/>
          </w:tcPr>
          <w:p w14:paraId="59743C4E">
            <w:pPr>
              <w:pStyle w:val="14"/>
            </w:pPr>
            <w:r>
              <w:t>16</w:t>
            </w:r>
          </w:p>
        </w:tc>
        <w:tc>
          <w:tcPr>
            <w:tcW w:w="850" w:type="dxa"/>
            <w:vAlign w:val="center"/>
          </w:tcPr>
          <w:p w14:paraId="6AD11CDA">
            <w:pPr>
              <w:pStyle w:val="14"/>
            </w:pPr>
            <w:r>
              <w:t>0.50</w:t>
            </w:r>
          </w:p>
        </w:tc>
        <w:tc>
          <w:tcPr>
            <w:tcW w:w="964" w:type="dxa"/>
            <w:vAlign w:val="center"/>
          </w:tcPr>
          <w:p w14:paraId="30126E94">
            <w:pPr>
              <w:pStyle w:val="14"/>
            </w:pPr>
            <w:r>
              <w:t>8.00</w:t>
            </w:r>
          </w:p>
        </w:tc>
        <w:tc>
          <w:tcPr>
            <w:tcW w:w="964" w:type="dxa"/>
            <w:vAlign w:val="center"/>
          </w:tcPr>
          <w:p w14:paraId="0534E1CD">
            <w:pPr>
              <w:pStyle w:val="14"/>
            </w:pPr>
            <w:r>
              <w:t>8.00</w:t>
            </w:r>
          </w:p>
        </w:tc>
        <w:tc>
          <w:tcPr>
            <w:tcW w:w="964" w:type="dxa"/>
            <w:vAlign w:val="center"/>
          </w:tcPr>
          <w:p w14:paraId="41222FD2">
            <w:pPr>
              <w:pStyle w:val="14"/>
            </w:pPr>
          </w:p>
        </w:tc>
        <w:tc>
          <w:tcPr>
            <w:tcW w:w="964" w:type="dxa"/>
            <w:vAlign w:val="center"/>
          </w:tcPr>
          <w:p w14:paraId="0BC49975">
            <w:pPr>
              <w:pStyle w:val="14"/>
            </w:pPr>
          </w:p>
        </w:tc>
        <w:tc>
          <w:tcPr>
            <w:tcW w:w="964" w:type="dxa"/>
            <w:vAlign w:val="center"/>
          </w:tcPr>
          <w:p w14:paraId="7D0B13E1">
            <w:pPr>
              <w:pStyle w:val="14"/>
            </w:pPr>
          </w:p>
        </w:tc>
        <w:tc>
          <w:tcPr>
            <w:tcW w:w="964" w:type="dxa"/>
            <w:vAlign w:val="center"/>
          </w:tcPr>
          <w:p w14:paraId="29A79E1F">
            <w:pPr>
              <w:pStyle w:val="14"/>
            </w:pPr>
          </w:p>
        </w:tc>
        <w:tc>
          <w:tcPr>
            <w:tcW w:w="964" w:type="dxa"/>
            <w:vAlign w:val="center"/>
          </w:tcPr>
          <w:p w14:paraId="31CA54D9">
            <w:pPr>
              <w:pStyle w:val="14"/>
            </w:pPr>
          </w:p>
        </w:tc>
        <w:tc>
          <w:tcPr>
            <w:tcW w:w="964" w:type="dxa"/>
            <w:vAlign w:val="center"/>
          </w:tcPr>
          <w:p w14:paraId="620B24AF">
            <w:pPr>
              <w:pStyle w:val="14"/>
            </w:pPr>
            <w:r>
              <w:t>8.00</w:t>
            </w:r>
          </w:p>
        </w:tc>
      </w:tr>
    </w:tbl>
    <w:p w14:paraId="3846354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55DC63">
      <w:pPr>
        <w:spacing w:before="0" w:after="0"/>
        <w:ind w:firstLine="640"/>
        <w:jc w:val="left"/>
        <w:outlineLvl w:val="9"/>
      </w:pPr>
      <w:r>
        <w:rPr>
          <w:rFonts w:ascii="Times New Roman" w:hAnsi="Times New Roman" w:eastAsia="方正仿宋_GBK" w:cs="Times New Roman"/>
          <w:color w:val="000000"/>
          <w:sz w:val="32"/>
        </w:rPr>
        <w:t xml:space="preserve"> </w:t>
      </w:r>
    </w:p>
    <w:p w14:paraId="33C4F0F2">
      <w:pPr>
        <w:spacing w:before="10" w:after="10" w:line="240" w:lineRule="auto"/>
        <w:ind w:firstLine="640"/>
        <w:jc w:val="left"/>
        <w:outlineLvl w:val="5"/>
      </w:pPr>
      <w:r>
        <w:rPr>
          <w:rFonts w:ascii="黑体" w:hAnsi="黑体" w:eastAsia="黑体" w:cs="黑体"/>
          <w:color w:val="000000"/>
          <w:sz w:val="32"/>
        </w:rPr>
        <w:t>七、国有资产信息</w:t>
      </w:r>
    </w:p>
    <w:p w14:paraId="0A818D6F">
      <w:pPr>
        <w:spacing w:before="0" w:after="0" w:line="500" w:lineRule="exact"/>
        <w:ind w:firstLine="560"/>
        <w:jc w:val="left"/>
        <w:outlineLvl w:val="9"/>
      </w:pPr>
      <w:r>
        <w:rPr>
          <w:rFonts w:ascii="Times New Roman" w:hAnsi="Times New Roman" w:eastAsia="方正仿宋_GBK" w:cs="Times New Roman"/>
          <w:b w:val="0"/>
          <w:color w:val="000000"/>
          <w:sz w:val="28"/>
        </w:rPr>
        <w:t>隆尧县尧山中学上年末固定资产金额为3094.30万元（详见下表）。本年度拟购置固定资产总额为89.00万元，已按要求列入政府采购预算，详见政府采购预算表。</w:t>
      </w:r>
    </w:p>
    <w:p w14:paraId="7F1E336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6D59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F691F46">
            <w:pPr>
              <w:pStyle w:val="8"/>
            </w:pPr>
            <w:r>
              <w:t>360004隆尧县尧山中学</w:t>
            </w:r>
          </w:p>
        </w:tc>
        <w:tc>
          <w:tcPr>
            <w:tcW w:w="5670" w:type="dxa"/>
            <w:gridSpan w:val="2"/>
            <w:tcBorders>
              <w:top w:val="single" w:color="FFFFFF" w:sz="6" w:space="0"/>
              <w:left w:val="single" w:color="FFFFFF" w:sz="6" w:space="0"/>
              <w:right w:val="single" w:color="FFFFFF" w:sz="6" w:space="0"/>
            </w:tcBorders>
            <w:vAlign w:val="center"/>
          </w:tcPr>
          <w:p w14:paraId="5462BC32">
            <w:pPr>
              <w:pStyle w:val="10"/>
            </w:pPr>
            <w:r>
              <w:t>截止时间：2024-12-31</w:t>
            </w:r>
          </w:p>
        </w:tc>
      </w:tr>
      <w:tr w14:paraId="337ED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30995B4">
            <w:pPr>
              <w:pStyle w:val="11"/>
            </w:pPr>
            <w:r>
              <w:t>项   目</w:t>
            </w:r>
          </w:p>
        </w:tc>
        <w:tc>
          <w:tcPr>
            <w:tcW w:w="2835" w:type="dxa"/>
            <w:vAlign w:val="center"/>
          </w:tcPr>
          <w:p w14:paraId="5122ED36">
            <w:pPr>
              <w:pStyle w:val="11"/>
            </w:pPr>
            <w:r>
              <w:t>数量</w:t>
            </w:r>
          </w:p>
        </w:tc>
        <w:tc>
          <w:tcPr>
            <w:tcW w:w="2835" w:type="dxa"/>
            <w:vAlign w:val="center"/>
          </w:tcPr>
          <w:p w14:paraId="5CAAB905">
            <w:pPr>
              <w:pStyle w:val="11"/>
            </w:pPr>
            <w:r>
              <w:t>价值（金额单位：万元）</w:t>
            </w:r>
          </w:p>
        </w:tc>
      </w:tr>
      <w:tr w14:paraId="4D89C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134199">
            <w:pPr>
              <w:pStyle w:val="13"/>
            </w:pPr>
            <w:r>
              <w:t>资产总额</w:t>
            </w:r>
          </w:p>
        </w:tc>
        <w:tc>
          <w:tcPr>
            <w:tcW w:w="2835" w:type="dxa"/>
            <w:vAlign w:val="center"/>
          </w:tcPr>
          <w:p w14:paraId="50928849">
            <w:pPr>
              <w:pStyle w:val="12"/>
            </w:pPr>
          </w:p>
        </w:tc>
        <w:tc>
          <w:tcPr>
            <w:tcW w:w="2835" w:type="dxa"/>
            <w:vAlign w:val="center"/>
          </w:tcPr>
          <w:p w14:paraId="1E6AA121">
            <w:pPr>
              <w:pStyle w:val="14"/>
            </w:pPr>
            <w:r>
              <w:t>3094.30</w:t>
            </w:r>
          </w:p>
        </w:tc>
      </w:tr>
      <w:tr w14:paraId="79A03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A39306">
            <w:pPr>
              <w:pStyle w:val="13"/>
            </w:pPr>
            <w:r>
              <w:t>1、房屋（平方米）</w:t>
            </w:r>
          </w:p>
        </w:tc>
        <w:tc>
          <w:tcPr>
            <w:tcW w:w="2835" w:type="dxa"/>
            <w:vAlign w:val="center"/>
          </w:tcPr>
          <w:p w14:paraId="5D0F1D7D">
            <w:pPr>
              <w:pStyle w:val="12"/>
            </w:pPr>
            <w:r>
              <w:t>22868.39</w:t>
            </w:r>
          </w:p>
        </w:tc>
        <w:tc>
          <w:tcPr>
            <w:tcW w:w="2835" w:type="dxa"/>
            <w:vAlign w:val="center"/>
          </w:tcPr>
          <w:p w14:paraId="58EE8843">
            <w:pPr>
              <w:pStyle w:val="14"/>
            </w:pPr>
            <w:r>
              <w:t>1689.50</w:t>
            </w:r>
          </w:p>
        </w:tc>
      </w:tr>
      <w:tr w14:paraId="7A763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0C9E4E">
            <w:pPr>
              <w:pStyle w:val="13"/>
            </w:pPr>
            <w:r>
              <w:t>　　其中：办公用房（平方米）</w:t>
            </w:r>
          </w:p>
        </w:tc>
        <w:tc>
          <w:tcPr>
            <w:tcW w:w="2835" w:type="dxa"/>
            <w:vAlign w:val="center"/>
          </w:tcPr>
          <w:p w14:paraId="25DEF24E">
            <w:pPr>
              <w:pStyle w:val="12"/>
            </w:pPr>
            <w:r>
              <w:t>9994.75</w:t>
            </w:r>
          </w:p>
        </w:tc>
        <w:tc>
          <w:tcPr>
            <w:tcW w:w="2835" w:type="dxa"/>
            <w:vAlign w:val="center"/>
          </w:tcPr>
          <w:p w14:paraId="74B135C5">
            <w:pPr>
              <w:pStyle w:val="14"/>
            </w:pPr>
            <w:r>
              <w:t>738.40</w:t>
            </w:r>
          </w:p>
        </w:tc>
      </w:tr>
      <w:tr w14:paraId="34830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225DB0">
            <w:pPr>
              <w:pStyle w:val="13"/>
            </w:pPr>
            <w:r>
              <w:t>2、车辆（台、辆）</w:t>
            </w:r>
          </w:p>
        </w:tc>
        <w:tc>
          <w:tcPr>
            <w:tcW w:w="2835" w:type="dxa"/>
            <w:vAlign w:val="center"/>
          </w:tcPr>
          <w:p w14:paraId="107E0D79">
            <w:pPr>
              <w:pStyle w:val="12"/>
            </w:pPr>
          </w:p>
        </w:tc>
        <w:tc>
          <w:tcPr>
            <w:tcW w:w="2835" w:type="dxa"/>
            <w:vAlign w:val="center"/>
          </w:tcPr>
          <w:p w14:paraId="2605EC1B">
            <w:pPr>
              <w:pStyle w:val="14"/>
            </w:pPr>
          </w:p>
        </w:tc>
      </w:tr>
      <w:tr w14:paraId="74FD6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1140B1">
            <w:pPr>
              <w:pStyle w:val="13"/>
            </w:pPr>
            <w:r>
              <w:t>3、单价在20万元以上的设备</w:t>
            </w:r>
          </w:p>
        </w:tc>
        <w:tc>
          <w:tcPr>
            <w:tcW w:w="2835" w:type="dxa"/>
            <w:vAlign w:val="center"/>
          </w:tcPr>
          <w:p w14:paraId="02734699">
            <w:pPr>
              <w:pStyle w:val="12"/>
            </w:pPr>
            <w:r>
              <w:t>1</w:t>
            </w:r>
          </w:p>
        </w:tc>
        <w:tc>
          <w:tcPr>
            <w:tcW w:w="2835" w:type="dxa"/>
            <w:vAlign w:val="center"/>
          </w:tcPr>
          <w:p w14:paraId="6B3FE1EF">
            <w:pPr>
              <w:pStyle w:val="14"/>
            </w:pPr>
            <w:r>
              <w:t>193.90</w:t>
            </w:r>
          </w:p>
        </w:tc>
      </w:tr>
      <w:tr w14:paraId="09777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495F7C">
            <w:pPr>
              <w:pStyle w:val="13"/>
            </w:pPr>
            <w:r>
              <w:t>4、其他固定资产</w:t>
            </w:r>
          </w:p>
        </w:tc>
        <w:tc>
          <w:tcPr>
            <w:tcW w:w="2835" w:type="dxa"/>
            <w:vAlign w:val="center"/>
          </w:tcPr>
          <w:p w14:paraId="02FCECD6">
            <w:pPr>
              <w:pStyle w:val="12"/>
            </w:pPr>
            <w:r>
              <w:t>41837</w:t>
            </w:r>
          </w:p>
        </w:tc>
        <w:tc>
          <w:tcPr>
            <w:tcW w:w="2835" w:type="dxa"/>
            <w:vAlign w:val="center"/>
          </w:tcPr>
          <w:p w14:paraId="26D77183">
            <w:pPr>
              <w:pStyle w:val="14"/>
            </w:pPr>
            <w:r>
              <w:t>1210.90</w:t>
            </w:r>
          </w:p>
        </w:tc>
      </w:tr>
    </w:tbl>
    <w:p w14:paraId="608CA705">
      <w:pPr>
        <w:spacing w:before="0" w:after="0"/>
        <w:ind w:firstLine="640"/>
        <w:jc w:val="left"/>
        <w:outlineLvl w:val="9"/>
      </w:pPr>
      <w:r>
        <w:rPr>
          <w:rFonts w:ascii="Times New Roman" w:hAnsi="Times New Roman" w:eastAsia="方正仿宋_GBK" w:cs="Times New Roman"/>
          <w:color w:val="000000"/>
          <w:sz w:val="32"/>
        </w:rPr>
        <w:t xml:space="preserve"> </w:t>
      </w:r>
    </w:p>
    <w:p w14:paraId="756D77FE">
      <w:pPr>
        <w:spacing w:before="10" w:after="10" w:line="240" w:lineRule="auto"/>
        <w:ind w:firstLine="640"/>
        <w:jc w:val="left"/>
        <w:outlineLvl w:val="5"/>
      </w:pPr>
      <w:r>
        <w:rPr>
          <w:rFonts w:ascii="黑体" w:hAnsi="黑体" w:eastAsia="黑体" w:cs="黑体"/>
          <w:color w:val="000000"/>
          <w:sz w:val="32"/>
        </w:rPr>
        <w:t>八、名词解释</w:t>
      </w:r>
    </w:p>
    <w:p w14:paraId="44CDF14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6627F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D33EF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18842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5F994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8E736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8EBED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4DCC1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AD74B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2C29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2A7795">
      <w:pPr>
        <w:spacing w:before="10" w:after="10" w:line="240" w:lineRule="auto"/>
        <w:ind w:firstLine="640"/>
        <w:jc w:val="left"/>
        <w:outlineLvl w:val="5"/>
      </w:pPr>
      <w:r>
        <w:rPr>
          <w:rFonts w:ascii="黑体" w:hAnsi="黑体" w:eastAsia="黑体" w:cs="黑体"/>
          <w:color w:val="000000"/>
          <w:sz w:val="32"/>
        </w:rPr>
        <w:t>九、其他需要说明的事项</w:t>
      </w:r>
    </w:p>
    <w:p w14:paraId="0AEEDAC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4129F1D">
      <w:pPr>
        <w:spacing w:before="0" w:after="0"/>
        <w:ind w:firstLine="0"/>
        <w:jc w:val="center"/>
        <w:outlineLvl w:val="3"/>
      </w:pPr>
      <w:bookmarkStart w:id="4" w:name="_Toc_4_4_0000000024"/>
      <w:r>
        <w:rPr>
          <w:rFonts w:ascii="方正小标宋_GBK" w:hAnsi="方正小标宋_GBK" w:eastAsia="方正小标宋_GBK" w:cs="方正小标宋_GBK"/>
          <w:b w:val="0"/>
          <w:color w:val="000000"/>
          <w:sz w:val="44"/>
        </w:rPr>
        <w:t>四、隆尧县尹村中学收支预算</w:t>
      </w:r>
      <w:bookmarkEnd w:id="4"/>
    </w:p>
    <w:p w14:paraId="211A56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0731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C16B0F">
            <w:pPr>
              <w:pStyle w:val="8"/>
            </w:pPr>
            <w:r>
              <w:t>360005隆尧县尹村中学</w:t>
            </w:r>
          </w:p>
        </w:tc>
        <w:tc>
          <w:tcPr>
            <w:tcW w:w="2126" w:type="dxa"/>
            <w:tcBorders>
              <w:top w:val="single" w:color="FFFFFF" w:sz="6" w:space="0"/>
              <w:left w:val="single" w:color="FFFFFF" w:sz="6" w:space="0"/>
              <w:right w:val="single" w:color="FFFFFF" w:sz="6" w:space="0"/>
            </w:tcBorders>
            <w:vAlign w:val="center"/>
          </w:tcPr>
          <w:p w14:paraId="3095A0B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CFDD849">
            <w:pPr>
              <w:pStyle w:val="10"/>
            </w:pPr>
            <w:r>
              <w:t>单位：万元</w:t>
            </w:r>
          </w:p>
        </w:tc>
      </w:tr>
      <w:tr w14:paraId="28B15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5CC36">
            <w:pPr>
              <w:pStyle w:val="11"/>
            </w:pPr>
            <w:r>
              <w:t>序号</w:t>
            </w:r>
          </w:p>
        </w:tc>
        <w:tc>
          <w:tcPr>
            <w:tcW w:w="6661" w:type="dxa"/>
            <w:gridSpan w:val="2"/>
            <w:vAlign w:val="center"/>
          </w:tcPr>
          <w:p w14:paraId="633ED3CD">
            <w:pPr>
              <w:pStyle w:val="11"/>
            </w:pPr>
            <w:r>
              <w:t>收入</w:t>
            </w:r>
          </w:p>
        </w:tc>
        <w:tc>
          <w:tcPr>
            <w:tcW w:w="6661" w:type="dxa"/>
            <w:gridSpan w:val="2"/>
            <w:vAlign w:val="center"/>
          </w:tcPr>
          <w:p w14:paraId="054C7F94">
            <w:pPr>
              <w:pStyle w:val="11"/>
            </w:pPr>
            <w:r>
              <w:t>支出</w:t>
            </w:r>
          </w:p>
        </w:tc>
      </w:tr>
      <w:tr w14:paraId="54ADF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59A088"/>
        </w:tc>
        <w:tc>
          <w:tcPr>
            <w:tcW w:w="4535" w:type="dxa"/>
            <w:vAlign w:val="center"/>
          </w:tcPr>
          <w:p w14:paraId="37369655">
            <w:pPr>
              <w:pStyle w:val="11"/>
            </w:pPr>
            <w:r>
              <w:t>项  目</w:t>
            </w:r>
          </w:p>
        </w:tc>
        <w:tc>
          <w:tcPr>
            <w:tcW w:w="2126" w:type="dxa"/>
            <w:vAlign w:val="center"/>
          </w:tcPr>
          <w:p w14:paraId="45739CB3">
            <w:pPr>
              <w:pStyle w:val="11"/>
            </w:pPr>
            <w:r>
              <w:t>预算数</w:t>
            </w:r>
          </w:p>
        </w:tc>
        <w:tc>
          <w:tcPr>
            <w:tcW w:w="4535" w:type="dxa"/>
            <w:vAlign w:val="center"/>
          </w:tcPr>
          <w:p w14:paraId="1D937E98">
            <w:pPr>
              <w:pStyle w:val="11"/>
            </w:pPr>
            <w:r>
              <w:t>项  目</w:t>
            </w:r>
          </w:p>
        </w:tc>
        <w:tc>
          <w:tcPr>
            <w:tcW w:w="2126" w:type="dxa"/>
            <w:vAlign w:val="center"/>
          </w:tcPr>
          <w:p w14:paraId="001C3D85">
            <w:pPr>
              <w:pStyle w:val="11"/>
            </w:pPr>
            <w:r>
              <w:t>预算数</w:t>
            </w:r>
          </w:p>
        </w:tc>
      </w:tr>
      <w:tr w14:paraId="17861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5937685D">
            <w:pPr>
              <w:pStyle w:val="11"/>
            </w:pPr>
            <w:r>
              <w:t>栏次</w:t>
            </w:r>
          </w:p>
        </w:tc>
        <w:tc>
          <w:tcPr>
            <w:tcW w:w="4535" w:type="dxa"/>
            <w:vAlign w:val="center"/>
          </w:tcPr>
          <w:p w14:paraId="6DA101D3">
            <w:pPr>
              <w:pStyle w:val="11"/>
            </w:pPr>
            <w:r>
              <w:t>1</w:t>
            </w:r>
          </w:p>
        </w:tc>
        <w:tc>
          <w:tcPr>
            <w:tcW w:w="2126" w:type="dxa"/>
            <w:vAlign w:val="center"/>
          </w:tcPr>
          <w:p w14:paraId="615AD93D">
            <w:pPr>
              <w:pStyle w:val="11"/>
            </w:pPr>
            <w:r>
              <w:t>2</w:t>
            </w:r>
          </w:p>
        </w:tc>
        <w:tc>
          <w:tcPr>
            <w:tcW w:w="4535" w:type="dxa"/>
            <w:vAlign w:val="center"/>
          </w:tcPr>
          <w:p w14:paraId="2F845B41">
            <w:pPr>
              <w:pStyle w:val="11"/>
            </w:pPr>
            <w:r>
              <w:t>3</w:t>
            </w:r>
          </w:p>
        </w:tc>
        <w:tc>
          <w:tcPr>
            <w:tcW w:w="2126" w:type="dxa"/>
            <w:vAlign w:val="center"/>
          </w:tcPr>
          <w:p w14:paraId="423E7626">
            <w:pPr>
              <w:pStyle w:val="11"/>
            </w:pPr>
            <w:r>
              <w:t>4</w:t>
            </w:r>
          </w:p>
        </w:tc>
      </w:tr>
      <w:tr w14:paraId="5F325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4B926">
            <w:pPr>
              <w:pStyle w:val="12"/>
            </w:pPr>
            <w:r>
              <w:t>1</w:t>
            </w:r>
          </w:p>
        </w:tc>
        <w:tc>
          <w:tcPr>
            <w:tcW w:w="4535" w:type="dxa"/>
            <w:vAlign w:val="center"/>
          </w:tcPr>
          <w:p w14:paraId="49EB5F76">
            <w:pPr>
              <w:pStyle w:val="13"/>
            </w:pPr>
            <w:r>
              <w:t>一、一般公共预算拨款收入</w:t>
            </w:r>
          </w:p>
        </w:tc>
        <w:tc>
          <w:tcPr>
            <w:tcW w:w="2126" w:type="dxa"/>
            <w:vAlign w:val="center"/>
          </w:tcPr>
          <w:p w14:paraId="1EF7C2B7">
            <w:pPr>
              <w:pStyle w:val="14"/>
            </w:pPr>
            <w:r>
              <w:t>873.93</w:t>
            </w:r>
          </w:p>
        </w:tc>
        <w:tc>
          <w:tcPr>
            <w:tcW w:w="4535" w:type="dxa"/>
            <w:vAlign w:val="center"/>
          </w:tcPr>
          <w:p w14:paraId="23489252">
            <w:pPr>
              <w:pStyle w:val="13"/>
            </w:pPr>
            <w:r>
              <w:t>一、一般公共服务支出</w:t>
            </w:r>
          </w:p>
        </w:tc>
        <w:tc>
          <w:tcPr>
            <w:tcW w:w="2126" w:type="dxa"/>
            <w:vAlign w:val="center"/>
          </w:tcPr>
          <w:p w14:paraId="7C637501">
            <w:pPr>
              <w:pStyle w:val="14"/>
            </w:pPr>
          </w:p>
        </w:tc>
      </w:tr>
      <w:tr w14:paraId="317B1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9C47A">
            <w:pPr>
              <w:pStyle w:val="12"/>
            </w:pPr>
            <w:r>
              <w:t>2</w:t>
            </w:r>
          </w:p>
        </w:tc>
        <w:tc>
          <w:tcPr>
            <w:tcW w:w="4535" w:type="dxa"/>
            <w:vAlign w:val="center"/>
          </w:tcPr>
          <w:p w14:paraId="2F00E6D9">
            <w:pPr>
              <w:pStyle w:val="13"/>
            </w:pPr>
            <w:r>
              <w:t>二、政府性基金预算拨款收入</w:t>
            </w:r>
          </w:p>
        </w:tc>
        <w:tc>
          <w:tcPr>
            <w:tcW w:w="2126" w:type="dxa"/>
            <w:vAlign w:val="center"/>
          </w:tcPr>
          <w:p w14:paraId="0242AD60">
            <w:pPr>
              <w:pStyle w:val="14"/>
            </w:pPr>
          </w:p>
        </w:tc>
        <w:tc>
          <w:tcPr>
            <w:tcW w:w="4535" w:type="dxa"/>
            <w:vAlign w:val="center"/>
          </w:tcPr>
          <w:p w14:paraId="03FA9C9B">
            <w:pPr>
              <w:pStyle w:val="13"/>
            </w:pPr>
            <w:r>
              <w:t>二、外交支出</w:t>
            </w:r>
          </w:p>
        </w:tc>
        <w:tc>
          <w:tcPr>
            <w:tcW w:w="2126" w:type="dxa"/>
            <w:vAlign w:val="center"/>
          </w:tcPr>
          <w:p w14:paraId="34FECE20">
            <w:pPr>
              <w:pStyle w:val="14"/>
            </w:pPr>
          </w:p>
        </w:tc>
      </w:tr>
      <w:tr w14:paraId="70BF7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2CE57">
            <w:pPr>
              <w:pStyle w:val="12"/>
            </w:pPr>
            <w:r>
              <w:t>3</w:t>
            </w:r>
          </w:p>
        </w:tc>
        <w:tc>
          <w:tcPr>
            <w:tcW w:w="4535" w:type="dxa"/>
            <w:vAlign w:val="center"/>
          </w:tcPr>
          <w:p w14:paraId="73016232">
            <w:pPr>
              <w:pStyle w:val="13"/>
            </w:pPr>
            <w:r>
              <w:t>三、国有资本经营预算拨款收入</w:t>
            </w:r>
          </w:p>
        </w:tc>
        <w:tc>
          <w:tcPr>
            <w:tcW w:w="2126" w:type="dxa"/>
            <w:vAlign w:val="center"/>
          </w:tcPr>
          <w:p w14:paraId="5DF705C5">
            <w:pPr>
              <w:pStyle w:val="14"/>
            </w:pPr>
          </w:p>
        </w:tc>
        <w:tc>
          <w:tcPr>
            <w:tcW w:w="4535" w:type="dxa"/>
            <w:vAlign w:val="center"/>
          </w:tcPr>
          <w:p w14:paraId="74F7CAF1">
            <w:pPr>
              <w:pStyle w:val="13"/>
            </w:pPr>
            <w:r>
              <w:t>三、国防支出</w:t>
            </w:r>
          </w:p>
        </w:tc>
        <w:tc>
          <w:tcPr>
            <w:tcW w:w="2126" w:type="dxa"/>
            <w:vAlign w:val="center"/>
          </w:tcPr>
          <w:p w14:paraId="238E6918">
            <w:pPr>
              <w:pStyle w:val="14"/>
            </w:pPr>
          </w:p>
        </w:tc>
      </w:tr>
      <w:tr w14:paraId="36D74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91574">
            <w:pPr>
              <w:pStyle w:val="12"/>
            </w:pPr>
            <w:r>
              <w:t>4</w:t>
            </w:r>
          </w:p>
        </w:tc>
        <w:tc>
          <w:tcPr>
            <w:tcW w:w="4535" w:type="dxa"/>
            <w:vAlign w:val="center"/>
          </w:tcPr>
          <w:p w14:paraId="54CF9C6E">
            <w:pPr>
              <w:pStyle w:val="13"/>
            </w:pPr>
            <w:r>
              <w:t>四、财政专户管理资金收入</w:t>
            </w:r>
          </w:p>
        </w:tc>
        <w:tc>
          <w:tcPr>
            <w:tcW w:w="2126" w:type="dxa"/>
            <w:vAlign w:val="center"/>
          </w:tcPr>
          <w:p w14:paraId="13C5E8EF">
            <w:pPr>
              <w:pStyle w:val="14"/>
            </w:pPr>
          </w:p>
        </w:tc>
        <w:tc>
          <w:tcPr>
            <w:tcW w:w="4535" w:type="dxa"/>
            <w:vAlign w:val="center"/>
          </w:tcPr>
          <w:p w14:paraId="7619C97C">
            <w:pPr>
              <w:pStyle w:val="13"/>
            </w:pPr>
            <w:r>
              <w:t>四、公共安全支出</w:t>
            </w:r>
          </w:p>
        </w:tc>
        <w:tc>
          <w:tcPr>
            <w:tcW w:w="2126" w:type="dxa"/>
            <w:vAlign w:val="center"/>
          </w:tcPr>
          <w:p w14:paraId="0845C9BB">
            <w:pPr>
              <w:pStyle w:val="14"/>
            </w:pPr>
          </w:p>
        </w:tc>
      </w:tr>
      <w:tr w14:paraId="63D49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E49E9">
            <w:pPr>
              <w:pStyle w:val="12"/>
            </w:pPr>
            <w:r>
              <w:t>5</w:t>
            </w:r>
          </w:p>
        </w:tc>
        <w:tc>
          <w:tcPr>
            <w:tcW w:w="4535" w:type="dxa"/>
            <w:vAlign w:val="center"/>
          </w:tcPr>
          <w:p w14:paraId="1D320573">
            <w:pPr>
              <w:pStyle w:val="13"/>
            </w:pPr>
            <w:r>
              <w:t>五、单位资金</w:t>
            </w:r>
          </w:p>
        </w:tc>
        <w:tc>
          <w:tcPr>
            <w:tcW w:w="2126" w:type="dxa"/>
            <w:vAlign w:val="center"/>
          </w:tcPr>
          <w:p w14:paraId="138DF81A">
            <w:pPr>
              <w:pStyle w:val="14"/>
            </w:pPr>
          </w:p>
        </w:tc>
        <w:tc>
          <w:tcPr>
            <w:tcW w:w="4535" w:type="dxa"/>
            <w:vAlign w:val="center"/>
          </w:tcPr>
          <w:p w14:paraId="40199DE7">
            <w:pPr>
              <w:pStyle w:val="13"/>
            </w:pPr>
            <w:r>
              <w:t>五、教育支出</w:t>
            </w:r>
          </w:p>
        </w:tc>
        <w:tc>
          <w:tcPr>
            <w:tcW w:w="2126" w:type="dxa"/>
            <w:vAlign w:val="center"/>
          </w:tcPr>
          <w:p w14:paraId="1E7FB70F">
            <w:pPr>
              <w:pStyle w:val="14"/>
            </w:pPr>
            <w:r>
              <w:t>873.93</w:t>
            </w:r>
          </w:p>
        </w:tc>
      </w:tr>
      <w:tr w14:paraId="24D4E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791EA">
            <w:pPr>
              <w:pStyle w:val="12"/>
            </w:pPr>
            <w:r>
              <w:t>6</w:t>
            </w:r>
          </w:p>
        </w:tc>
        <w:tc>
          <w:tcPr>
            <w:tcW w:w="4535" w:type="dxa"/>
            <w:vAlign w:val="center"/>
          </w:tcPr>
          <w:p w14:paraId="56653180">
            <w:pPr>
              <w:pStyle w:val="13"/>
            </w:pPr>
          </w:p>
        </w:tc>
        <w:tc>
          <w:tcPr>
            <w:tcW w:w="2126" w:type="dxa"/>
            <w:vAlign w:val="center"/>
          </w:tcPr>
          <w:p w14:paraId="44621992">
            <w:pPr>
              <w:pStyle w:val="14"/>
            </w:pPr>
          </w:p>
        </w:tc>
        <w:tc>
          <w:tcPr>
            <w:tcW w:w="4535" w:type="dxa"/>
            <w:vAlign w:val="center"/>
          </w:tcPr>
          <w:p w14:paraId="0411E33C">
            <w:pPr>
              <w:pStyle w:val="13"/>
            </w:pPr>
            <w:r>
              <w:t>六、科学技术支出</w:t>
            </w:r>
          </w:p>
        </w:tc>
        <w:tc>
          <w:tcPr>
            <w:tcW w:w="2126" w:type="dxa"/>
            <w:vAlign w:val="center"/>
          </w:tcPr>
          <w:p w14:paraId="3BB30A01">
            <w:pPr>
              <w:pStyle w:val="14"/>
            </w:pPr>
          </w:p>
        </w:tc>
      </w:tr>
      <w:tr w14:paraId="4EFDA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DA58859">
            <w:pPr>
              <w:pStyle w:val="12"/>
            </w:pPr>
            <w:r>
              <w:t>7</w:t>
            </w:r>
          </w:p>
        </w:tc>
        <w:tc>
          <w:tcPr>
            <w:tcW w:w="4535" w:type="dxa"/>
            <w:vAlign w:val="center"/>
          </w:tcPr>
          <w:p w14:paraId="0B44E67B">
            <w:pPr>
              <w:pStyle w:val="13"/>
            </w:pPr>
          </w:p>
        </w:tc>
        <w:tc>
          <w:tcPr>
            <w:tcW w:w="2126" w:type="dxa"/>
            <w:vAlign w:val="center"/>
          </w:tcPr>
          <w:p w14:paraId="637BD01A">
            <w:pPr>
              <w:pStyle w:val="14"/>
            </w:pPr>
          </w:p>
        </w:tc>
        <w:tc>
          <w:tcPr>
            <w:tcW w:w="4535" w:type="dxa"/>
            <w:vAlign w:val="center"/>
          </w:tcPr>
          <w:p w14:paraId="60C2D2F9">
            <w:pPr>
              <w:pStyle w:val="13"/>
            </w:pPr>
            <w:r>
              <w:t>七、文化旅游体育与传媒支出</w:t>
            </w:r>
          </w:p>
        </w:tc>
        <w:tc>
          <w:tcPr>
            <w:tcW w:w="2126" w:type="dxa"/>
            <w:vAlign w:val="center"/>
          </w:tcPr>
          <w:p w14:paraId="24AEB4F7">
            <w:pPr>
              <w:pStyle w:val="14"/>
            </w:pPr>
          </w:p>
        </w:tc>
      </w:tr>
      <w:tr w14:paraId="78B19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09828">
            <w:pPr>
              <w:pStyle w:val="12"/>
            </w:pPr>
            <w:r>
              <w:t>8</w:t>
            </w:r>
          </w:p>
        </w:tc>
        <w:tc>
          <w:tcPr>
            <w:tcW w:w="4535" w:type="dxa"/>
            <w:vAlign w:val="center"/>
          </w:tcPr>
          <w:p w14:paraId="2BEB023A">
            <w:pPr>
              <w:pStyle w:val="13"/>
            </w:pPr>
          </w:p>
        </w:tc>
        <w:tc>
          <w:tcPr>
            <w:tcW w:w="2126" w:type="dxa"/>
            <w:vAlign w:val="center"/>
          </w:tcPr>
          <w:p w14:paraId="54DEF5FA">
            <w:pPr>
              <w:pStyle w:val="14"/>
            </w:pPr>
          </w:p>
        </w:tc>
        <w:tc>
          <w:tcPr>
            <w:tcW w:w="4535" w:type="dxa"/>
            <w:vAlign w:val="center"/>
          </w:tcPr>
          <w:p w14:paraId="34C66EFC">
            <w:pPr>
              <w:pStyle w:val="13"/>
            </w:pPr>
            <w:r>
              <w:t>八、社会保障和就业支出</w:t>
            </w:r>
          </w:p>
        </w:tc>
        <w:tc>
          <w:tcPr>
            <w:tcW w:w="2126" w:type="dxa"/>
            <w:vAlign w:val="center"/>
          </w:tcPr>
          <w:p w14:paraId="2707075C">
            <w:pPr>
              <w:pStyle w:val="14"/>
            </w:pPr>
          </w:p>
        </w:tc>
      </w:tr>
      <w:tr w14:paraId="1058B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AB59106">
            <w:pPr>
              <w:pStyle w:val="12"/>
            </w:pPr>
            <w:r>
              <w:t>9</w:t>
            </w:r>
          </w:p>
        </w:tc>
        <w:tc>
          <w:tcPr>
            <w:tcW w:w="4535" w:type="dxa"/>
            <w:vAlign w:val="center"/>
          </w:tcPr>
          <w:p w14:paraId="74B741A5">
            <w:pPr>
              <w:pStyle w:val="13"/>
            </w:pPr>
          </w:p>
        </w:tc>
        <w:tc>
          <w:tcPr>
            <w:tcW w:w="2126" w:type="dxa"/>
            <w:vAlign w:val="center"/>
          </w:tcPr>
          <w:p w14:paraId="52BAA7F9">
            <w:pPr>
              <w:pStyle w:val="14"/>
            </w:pPr>
          </w:p>
        </w:tc>
        <w:tc>
          <w:tcPr>
            <w:tcW w:w="4535" w:type="dxa"/>
            <w:vAlign w:val="center"/>
          </w:tcPr>
          <w:p w14:paraId="39C42F55">
            <w:pPr>
              <w:pStyle w:val="13"/>
            </w:pPr>
            <w:r>
              <w:t>九、社会保险基金支出</w:t>
            </w:r>
          </w:p>
        </w:tc>
        <w:tc>
          <w:tcPr>
            <w:tcW w:w="2126" w:type="dxa"/>
            <w:vAlign w:val="center"/>
          </w:tcPr>
          <w:p w14:paraId="67D63C98">
            <w:pPr>
              <w:pStyle w:val="14"/>
            </w:pPr>
          </w:p>
        </w:tc>
      </w:tr>
      <w:tr w14:paraId="3606B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838E9">
            <w:pPr>
              <w:pStyle w:val="12"/>
            </w:pPr>
            <w:r>
              <w:t>10</w:t>
            </w:r>
          </w:p>
        </w:tc>
        <w:tc>
          <w:tcPr>
            <w:tcW w:w="4535" w:type="dxa"/>
            <w:vAlign w:val="center"/>
          </w:tcPr>
          <w:p w14:paraId="28130AA8">
            <w:pPr>
              <w:pStyle w:val="13"/>
            </w:pPr>
          </w:p>
        </w:tc>
        <w:tc>
          <w:tcPr>
            <w:tcW w:w="2126" w:type="dxa"/>
            <w:vAlign w:val="center"/>
          </w:tcPr>
          <w:p w14:paraId="30B763AC">
            <w:pPr>
              <w:pStyle w:val="14"/>
            </w:pPr>
          </w:p>
        </w:tc>
        <w:tc>
          <w:tcPr>
            <w:tcW w:w="4535" w:type="dxa"/>
            <w:vAlign w:val="center"/>
          </w:tcPr>
          <w:p w14:paraId="20E13D4C">
            <w:pPr>
              <w:pStyle w:val="13"/>
            </w:pPr>
            <w:r>
              <w:t>十、卫生健康支出</w:t>
            </w:r>
          </w:p>
        </w:tc>
        <w:tc>
          <w:tcPr>
            <w:tcW w:w="2126" w:type="dxa"/>
            <w:vAlign w:val="center"/>
          </w:tcPr>
          <w:p w14:paraId="3167B130">
            <w:pPr>
              <w:pStyle w:val="14"/>
            </w:pPr>
          </w:p>
        </w:tc>
      </w:tr>
      <w:tr w14:paraId="4B008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C9F90">
            <w:pPr>
              <w:pStyle w:val="12"/>
            </w:pPr>
            <w:r>
              <w:t>11</w:t>
            </w:r>
          </w:p>
        </w:tc>
        <w:tc>
          <w:tcPr>
            <w:tcW w:w="4535" w:type="dxa"/>
            <w:vAlign w:val="center"/>
          </w:tcPr>
          <w:p w14:paraId="03BAA1CA">
            <w:pPr>
              <w:pStyle w:val="13"/>
            </w:pPr>
          </w:p>
        </w:tc>
        <w:tc>
          <w:tcPr>
            <w:tcW w:w="2126" w:type="dxa"/>
            <w:vAlign w:val="center"/>
          </w:tcPr>
          <w:p w14:paraId="5ED610D7">
            <w:pPr>
              <w:pStyle w:val="14"/>
            </w:pPr>
          </w:p>
        </w:tc>
        <w:tc>
          <w:tcPr>
            <w:tcW w:w="4535" w:type="dxa"/>
            <w:vAlign w:val="center"/>
          </w:tcPr>
          <w:p w14:paraId="4530290B">
            <w:pPr>
              <w:pStyle w:val="13"/>
            </w:pPr>
            <w:r>
              <w:t>十一、节能环保支出</w:t>
            </w:r>
          </w:p>
        </w:tc>
        <w:tc>
          <w:tcPr>
            <w:tcW w:w="2126" w:type="dxa"/>
            <w:vAlign w:val="center"/>
          </w:tcPr>
          <w:p w14:paraId="71DE3899">
            <w:pPr>
              <w:pStyle w:val="14"/>
            </w:pPr>
          </w:p>
        </w:tc>
      </w:tr>
      <w:tr w14:paraId="03A65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03880">
            <w:pPr>
              <w:pStyle w:val="12"/>
            </w:pPr>
            <w:r>
              <w:t>12</w:t>
            </w:r>
          </w:p>
        </w:tc>
        <w:tc>
          <w:tcPr>
            <w:tcW w:w="4535" w:type="dxa"/>
            <w:vAlign w:val="center"/>
          </w:tcPr>
          <w:p w14:paraId="36D1CE18">
            <w:pPr>
              <w:pStyle w:val="13"/>
            </w:pPr>
          </w:p>
        </w:tc>
        <w:tc>
          <w:tcPr>
            <w:tcW w:w="2126" w:type="dxa"/>
            <w:vAlign w:val="center"/>
          </w:tcPr>
          <w:p w14:paraId="1C5FFD47">
            <w:pPr>
              <w:pStyle w:val="14"/>
            </w:pPr>
          </w:p>
        </w:tc>
        <w:tc>
          <w:tcPr>
            <w:tcW w:w="4535" w:type="dxa"/>
            <w:vAlign w:val="center"/>
          </w:tcPr>
          <w:p w14:paraId="33F3BEA1">
            <w:pPr>
              <w:pStyle w:val="13"/>
            </w:pPr>
            <w:r>
              <w:t>十二、城乡社区支出</w:t>
            </w:r>
          </w:p>
        </w:tc>
        <w:tc>
          <w:tcPr>
            <w:tcW w:w="2126" w:type="dxa"/>
            <w:vAlign w:val="center"/>
          </w:tcPr>
          <w:p w14:paraId="1C70FDDE">
            <w:pPr>
              <w:pStyle w:val="14"/>
            </w:pPr>
          </w:p>
        </w:tc>
      </w:tr>
      <w:tr w14:paraId="5C362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59E5E">
            <w:pPr>
              <w:pStyle w:val="12"/>
            </w:pPr>
            <w:r>
              <w:t>13</w:t>
            </w:r>
          </w:p>
        </w:tc>
        <w:tc>
          <w:tcPr>
            <w:tcW w:w="4535" w:type="dxa"/>
            <w:vAlign w:val="center"/>
          </w:tcPr>
          <w:p w14:paraId="39B92AA4">
            <w:pPr>
              <w:pStyle w:val="13"/>
            </w:pPr>
          </w:p>
        </w:tc>
        <w:tc>
          <w:tcPr>
            <w:tcW w:w="2126" w:type="dxa"/>
            <w:vAlign w:val="center"/>
          </w:tcPr>
          <w:p w14:paraId="79C51258">
            <w:pPr>
              <w:pStyle w:val="14"/>
            </w:pPr>
          </w:p>
        </w:tc>
        <w:tc>
          <w:tcPr>
            <w:tcW w:w="4535" w:type="dxa"/>
            <w:vAlign w:val="center"/>
          </w:tcPr>
          <w:p w14:paraId="70DEC185">
            <w:pPr>
              <w:pStyle w:val="13"/>
            </w:pPr>
            <w:r>
              <w:t>十三、农林水支出</w:t>
            </w:r>
          </w:p>
        </w:tc>
        <w:tc>
          <w:tcPr>
            <w:tcW w:w="2126" w:type="dxa"/>
            <w:vAlign w:val="center"/>
          </w:tcPr>
          <w:p w14:paraId="1D57C59E">
            <w:pPr>
              <w:pStyle w:val="14"/>
            </w:pPr>
          </w:p>
        </w:tc>
      </w:tr>
      <w:tr w14:paraId="6E7A3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4DEEF">
            <w:pPr>
              <w:pStyle w:val="12"/>
            </w:pPr>
            <w:r>
              <w:t>14</w:t>
            </w:r>
          </w:p>
        </w:tc>
        <w:tc>
          <w:tcPr>
            <w:tcW w:w="4535" w:type="dxa"/>
            <w:vAlign w:val="center"/>
          </w:tcPr>
          <w:p w14:paraId="26AC9AC8">
            <w:pPr>
              <w:pStyle w:val="13"/>
            </w:pPr>
          </w:p>
        </w:tc>
        <w:tc>
          <w:tcPr>
            <w:tcW w:w="2126" w:type="dxa"/>
            <w:vAlign w:val="center"/>
          </w:tcPr>
          <w:p w14:paraId="519A146D">
            <w:pPr>
              <w:pStyle w:val="14"/>
            </w:pPr>
          </w:p>
        </w:tc>
        <w:tc>
          <w:tcPr>
            <w:tcW w:w="4535" w:type="dxa"/>
            <w:vAlign w:val="center"/>
          </w:tcPr>
          <w:p w14:paraId="645F73D8">
            <w:pPr>
              <w:pStyle w:val="13"/>
            </w:pPr>
            <w:r>
              <w:t>十四、交通运输支出</w:t>
            </w:r>
          </w:p>
        </w:tc>
        <w:tc>
          <w:tcPr>
            <w:tcW w:w="2126" w:type="dxa"/>
            <w:vAlign w:val="center"/>
          </w:tcPr>
          <w:p w14:paraId="3BA9DF03">
            <w:pPr>
              <w:pStyle w:val="14"/>
            </w:pPr>
          </w:p>
        </w:tc>
      </w:tr>
      <w:tr w14:paraId="2B53A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743EE63">
            <w:pPr>
              <w:pStyle w:val="12"/>
            </w:pPr>
            <w:r>
              <w:t>15</w:t>
            </w:r>
          </w:p>
        </w:tc>
        <w:tc>
          <w:tcPr>
            <w:tcW w:w="4535" w:type="dxa"/>
            <w:vAlign w:val="center"/>
          </w:tcPr>
          <w:p w14:paraId="41E9FA2A">
            <w:pPr>
              <w:pStyle w:val="13"/>
            </w:pPr>
          </w:p>
        </w:tc>
        <w:tc>
          <w:tcPr>
            <w:tcW w:w="2126" w:type="dxa"/>
            <w:vAlign w:val="center"/>
          </w:tcPr>
          <w:p w14:paraId="483A6C1B">
            <w:pPr>
              <w:pStyle w:val="14"/>
            </w:pPr>
          </w:p>
        </w:tc>
        <w:tc>
          <w:tcPr>
            <w:tcW w:w="4535" w:type="dxa"/>
            <w:vAlign w:val="center"/>
          </w:tcPr>
          <w:p w14:paraId="5F511ED2">
            <w:pPr>
              <w:pStyle w:val="13"/>
            </w:pPr>
            <w:r>
              <w:t>十五、资源勘探工业信息等支出</w:t>
            </w:r>
          </w:p>
        </w:tc>
        <w:tc>
          <w:tcPr>
            <w:tcW w:w="2126" w:type="dxa"/>
            <w:vAlign w:val="center"/>
          </w:tcPr>
          <w:p w14:paraId="1A3A8B9B">
            <w:pPr>
              <w:pStyle w:val="14"/>
            </w:pPr>
          </w:p>
        </w:tc>
      </w:tr>
      <w:tr w14:paraId="50368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0C383">
            <w:pPr>
              <w:pStyle w:val="12"/>
            </w:pPr>
            <w:r>
              <w:t>16</w:t>
            </w:r>
          </w:p>
        </w:tc>
        <w:tc>
          <w:tcPr>
            <w:tcW w:w="4535" w:type="dxa"/>
            <w:vAlign w:val="center"/>
          </w:tcPr>
          <w:p w14:paraId="7ED7787C">
            <w:pPr>
              <w:pStyle w:val="13"/>
            </w:pPr>
          </w:p>
        </w:tc>
        <w:tc>
          <w:tcPr>
            <w:tcW w:w="2126" w:type="dxa"/>
            <w:vAlign w:val="center"/>
          </w:tcPr>
          <w:p w14:paraId="24CE936F">
            <w:pPr>
              <w:pStyle w:val="14"/>
            </w:pPr>
          </w:p>
        </w:tc>
        <w:tc>
          <w:tcPr>
            <w:tcW w:w="4535" w:type="dxa"/>
            <w:vAlign w:val="center"/>
          </w:tcPr>
          <w:p w14:paraId="182934F1">
            <w:pPr>
              <w:pStyle w:val="13"/>
            </w:pPr>
            <w:r>
              <w:t>十六、商业服务业等支出</w:t>
            </w:r>
          </w:p>
        </w:tc>
        <w:tc>
          <w:tcPr>
            <w:tcW w:w="2126" w:type="dxa"/>
            <w:vAlign w:val="center"/>
          </w:tcPr>
          <w:p w14:paraId="2AFDDC9A">
            <w:pPr>
              <w:pStyle w:val="14"/>
            </w:pPr>
          </w:p>
        </w:tc>
      </w:tr>
      <w:tr w14:paraId="7C718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4028A">
            <w:pPr>
              <w:pStyle w:val="12"/>
            </w:pPr>
            <w:r>
              <w:t>17</w:t>
            </w:r>
          </w:p>
        </w:tc>
        <w:tc>
          <w:tcPr>
            <w:tcW w:w="4535" w:type="dxa"/>
            <w:vAlign w:val="center"/>
          </w:tcPr>
          <w:p w14:paraId="3C144E4D">
            <w:pPr>
              <w:pStyle w:val="13"/>
            </w:pPr>
          </w:p>
        </w:tc>
        <w:tc>
          <w:tcPr>
            <w:tcW w:w="2126" w:type="dxa"/>
            <w:vAlign w:val="center"/>
          </w:tcPr>
          <w:p w14:paraId="031AC9F7">
            <w:pPr>
              <w:pStyle w:val="14"/>
            </w:pPr>
          </w:p>
        </w:tc>
        <w:tc>
          <w:tcPr>
            <w:tcW w:w="4535" w:type="dxa"/>
            <w:vAlign w:val="center"/>
          </w:tcPr>
          <w:p w14:paraId="32BCD60C">
            <w:pPr>
              <w:pStyle w:val="13"/>
            </w:pPr>
            <w:r>
              <w:t>十七、金融支出</w:t>
            </w:r>
          </w:p>
        </w:tc>
        <w:tc>
          <w:tcPr>
            <w:tcW w:w="2126" w:type="dxa"/>
            <w:vAlign w:val="center"/>
          </w:tcPr>
          <w:p w14:paraId="4B49DABA">
            <w:pPr>
              <w:pStyle w:val="14"/>
            </w:pPr>
          </w:p>
        </w:tc>
      </w:tr>
      <w:tr w14:paraId="12E04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BC050">
            <w:pPr>
              <w:pStyle w:val="12"/>
            </w:pPr>
            <w:r>
              <w:t>18</w:t>
            </w:r>
          </w:p>
        </w:tc>
        <w:tc>
          <w:tcPr>
            <w:tcW w:w="4535" w:type="dxa"/>
            <w:vAlign w:val="center"/>
          </w:tcPr>
          <w:p w14:paraId="41FF0BC2">
            <w:pPr>
              <w:pStyle w:val="13"/>
            </w:pPr>
          </w:p>
        </w:tc>
        <w:tc>
          <w:tcPr>
            <w:tcW w:w="2126" w:type="dxa"/>
            <w:vAlign w:val="center"/>
          </w:tcPr>
          <w:p w14:paraId="5177214F">
            <w:pPr>
              <w:pStyle w:val="14"/>
            </w:pPr>
          </w:p>
        </w:tc>
        <w:tc>
          <w:tcPr>
            <w:tcW w:w="4535" w:type="dxa"/>
            <w:vAlign w:val="center"/>
          </w:tcPr>
          <w:p w14:paraId="6AFDBE7B">
            <w:pPr>
              <w:pStyle w:val="13"/>
            </w:pPr>
            <w:r>
              <w:t>十八、援助其他地区支出</w:t>
            </w:r>
          </w:p>
        </w:tc>
        <w:tc>
          <w:tcPr>
            <w:tcW w:w="2126" w:type="dxa"/>
            <w:vAlign w:val="center"/>
          </w:tcPr>
          <w:p w14:paraId="225599C8">
            <w:pPr>
              <w:pStyle w:val="14"/>
            </w:pPr>
          </w:p>
        </w:tc>
      </w:tr>
      <w:tr w14:paraId="30A07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CB419">
            <w:pPr>
              <w:pStyle w:val="12"/>
            </w:pPr>
            <w:r>
              <w:t>19</w:t>
            </w:r>
          </w:p>
        </w:tc>
        <w:tc>
          <w:tcPr>
            <w:tcW w:w="4535" w:type="dxa"/>
            <w:vAlign w:val="center"/>
          </w:tcPr>
          <w:p w14:paraId="2C437DD9">
            <w:pPr>
              <w:pStyle w:val="13"/>
            </w:pPr>
          </w:p>
        </w:tc>
        <w:tc>
          <w:tcPr>
            <w:tcW w:w="2126" w:type="dxa"/>
            <w:vAlign w:val="center"/>
          </w:tcPr>
          <w:p w14:paraId="1E67845B">
            <w:pPr>
              <w:pStyle w:val="14"/>
            </w:pPr>
          </w:p>
        </w:tc>
        <w:tc>
          <w:tcPr>
            <w:tcW w:w="4535" w:type="dxa"/>
            <w:vAlign w:val="center"/>
          </w:tcPr>
          <w:p w14:paraId="29E110F4">
            <w:pPr>
              <w:pStyle w:val="13"/>
            </w:pPr>
            <w:r>
              <w:t>十九、自然资源海洋气象等支出</w:t>
            </w:r>
          </w:p>
        </w:tc>
        <w:tc>
          <w:tcPr>
            <w:tcW w:w="2126" w:type="dxa"/>
            <w:vAlign w:val="center"/>
          </w:tcPr>
          <w:p w14:paraId="4D3601E8">
            <w:pPr>
              <w:pStyle w:val="14"/>
            </w:pPr>
          </w:p>
        </w:tc>
      </w:tr>
      <w:tr w14:paraId="4502B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1E039">
            <w:pPr>
              <w:pStyle w:val="12"/>
            </w:pPr>
            <w:r>
              <w:t>20</w:t>
            </w:r>
          </w:p>
        </w:tc>
        <w:tc>
          <w:tcPr>
            <w:tcW w:w="4535" w:type="dxa"/>
            <w:vAlign w:val="center"/>
          </w:tcPr>
          <w:p w14:paraId="6C1EAD03">
            <w:pPr>
              <w:pStyle w:val="13"/>
            </w:pPr>
          </w:p>
        </w:tc>
        <w:tc>
          <w:tcPr>
            <w:tcW w:w="2126" w:type="dxa"/>
            <w:vAlign w:val="center"/>
          </w:tcPr>
          <w:p w14:paraId="44FE6369">
            <w:pPr>
              <w:pStyle w:val="14"/>
            </w:pPr>
          </w:p>
        </w:tc>
        <w:tc>
          <w:tcPr>
            <w:tcW w:w="4535" w:type="dxa"/>
            <w:vAlign w:val="center"/>
          </w:tcPr>
          <w:p w14:paraId="613E9695">
            <w:pPr>
              <w:pStyle w:val="13"/>
            </w:pPr>
            <w:r>
              <w:t>二十、住房保障支出</w:t>
            </w:r>
          </w:p>
        </w:tc>
        <w:tc>
          <w:tcPr>
            <w:tcW w:w="2126" w:type="dxa"/>
            <w:vAlign w:val="center"/>
          </w:tcPr>
          <w:p w14:paraId="1725205E">
            <w:pPr>
              <w:pStyle w:val="14"/>
            </w:pPr>
          </w:p>
        </w:tc>
      </w:tr>
      <w:tr w14:paraId="7DD91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47341">
            <w:pPr>
              <w:pStyle w:val="12"/>
            </w:pPr>
            <w:r>
              <w:t>21</w:t>
            </w:r>
          </w:p>
        </w:tc>
        <w:tc>
          <w:tcPr>
            <w:tcW w:w="4535" w:type="dxa"/>
            <w:vAlign w:val="center"/>
          </w:tcPr>
          <w:p w14:paraId="4034FC2A">
            <w:pPr>
              <w:pStyle w:val="13"/>
            </w:pPr>
          </w:p>
        </w:tc>
        <w:tc>
          <w:tcPr>
            <w:tcW w:w="2126" w:type="dxa"/>
            <w:vAlign w:val="center"/>
          </w:tcPr>
          <w:p w14:paraId="1CBC7777">
            <w:pPr>
              <w:pStyle w:val="14"/>
            </w:pPr>
          </w:p>
        </w:tc>
        <w:tc>
          <w:tcPr>
            <w:tcW w:w="4535" w:type="dxa"/>
            <w:vAlign w:val="center"/>
          </w:tcPr>
          <w:p w14:paraId="7B0A177E">
            <w:pPr>
              <w:pStyle w:val="13"/>
            </w:pPr>
            <w:r>
              <w:t>二十一、粮油物资储备支出</w:t>
            </w:r>
          </w:p>
        </w:tc>
        <w:tc>
          <w:tcPr>
            <w:tcW w:w="2126" w:type="dxa"/>
            <w:vAlign w:val="center"/>
          </w:tcPr>
          <w:p w14:paraId="58D65F30">
            <w:pPr>
              <w:pStyle w:val="14"/>
            </w:pPr>
          </w:p>
        </w:tc>
      </w:tr>
      <w:tr w14:paraId="6FE03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74A41">
            <w:pPr>
              <w:pStyle w:val="12"/>
            </w:pPr>
            <w:r>
              <w:t>22</w:t>
            </w:r>
          </w:p>
        </w:tc>
        <w:tc>
          <w:tcPr>
            <w:tcW w:w="4535" w:type="dxa"/>
            <w:vAlign w:val="center"/>
          </w:tcPr>
          <w:p w14:paraId="365786DD">
            <w:pPr>
              <w:pStyle w:val="13"/>
            </w:pPr>
          </w:p>
        </w:tc>
        <w:tc>
          <w:tcPr>
            <w:tcW w:w="2126" w:type="dxa"/>
            <w:vAlign w:val="center"/>
          </w:tcPr>
          <w:p w14:paraId="46C19D34">
            <w:pPr>
              <w:pStyle w:val="14"/>
            </w:pPr>
          </w:p>
        </w:tc>
        <w:tc>
          <w:tcPr>
            <w:tcW w:w="4535" w:type="dxa"/>
            <w:vAlign w:val="center"/>
          </w:tcPr>
          <w:p w14:paraId="387D3B12">
            <w:pPr>
              <w:pStyle w:val="13"/>
            </w:pPr>
            <w:r>
              <w:t>二十二、国有资本经营预算支出</w:t>
            </w:r>
          </w:p>
        </w:tc>
        <w:tc>
          <w:tcPr>
            <w:tcW w:w="2126" w:type="dxa"/>
            <w:vAlign w:val="center"/>
          </w:tcPr>
          <w:p w14:paraId="67150A1A">
            <w:pPr>
              <w:pStyle w:val="14"/>
            </w:pPr>
          </w:p>
        </w:tc>
      </w:tr>
      <w:tr w14:paraId="63D12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D03E3">
            <w:pPr>
              <w:pStyle w:val="12"/>
            </w:pPr>
            <w:r>
              <w:t>23</w:t>
            </w:r>
          </w:p>
        </w:tc>
        <w:tc>
          <w:tcPr>
            <w:tcW w:w="4535" w:type="dxa"/>
            <w:vAlign w:val="center"/>
          </w:tcPr>
          <w:p w14:paraId="0A12FFE9">
            <w:pPr>
              <w:pStyle w:val="13"/>
            </w:pPr>
          </w:p>
        </w:tc>
        <w:tc>
          <w:tcPr>
            <w:tcW w:w="2126" w:type="dxa"/>
            <w:vAlign w:val="center"/>
          </w:tcPr>
          <w:p w14:paraId="0568B64D">
            <w:pPr>
              <w:pStyle w:val="14"/>
            </w:pPr>
          </w:p>
        </w:tc>
        <w:tc>
          <w:tcPr>
            <w:tcW w:w="4535" w:type="dxa"/>
            <w:vAlign w:val="center"/>
          </w:tcPr>
          <w:p w14:paraId="0401C0F2">
            <w:pPr>
              <w:pStyle w:val="13"/>
            </w:pPr>
            <w:r>
              <w:t>二十三、灾害防治及应急管理支出</w:t>
            </w:r>
          </w:p>
        </w:tc>
        <w:tc>
          <w:tcPr>
            <w:tcW w:w="2126" w:type="dxa"/>
            <w:vAlign w:val="center"/>
          </w:tcPr>
          <w:p w14:paraId="3FF745FA">
            <w:pPr>
              <w:pStyle w:val="14"/>
            </w:pPr>
          </w:p>
        </w:tc>
      </w:tr>
      <w:tr w14:paraId="0E473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EFB0F">
            <w:pPr>
              <w:pStyle w:val="12"/>
            </w:pPr>
            <w:r>
              <w:t>24</w:t>
            </w:r>
          </w:p>
        </w:tc>
        <w:tc>
          <w:tcPr>
            <w:tcW w:w="4535" w:type="dxa"/>
            <w:vAlign w:val="center"/>
          </w:tcPr>
          <w:p w14:paraId="3D119A7A">
            <w:pPr>
              <w:pStyle w:val="13"/>
            </w:pPr>
          </w:p>
        </w:tc>
        <w:tc>
          <w:tcPr>
            <w:tcW w:w="2126" w:type="dxa"/>
            <w:vAlign w:val="center"/>
          </w:tcPr>
          <w:p w14:paraId="53773F8F">
            <w:pPr>
              <w:pStyle w:val="14"/>
            </w:pPr>
          </w:p>
        </w:tc>
        <w:tc>
          <w:tcPr>
            <w:tcW w:w="4535" w:type="dxa"/>
            <w:vAlign w:val="center"/>
          </w:tcPr>
          <w:p w14:paraId="1047225D">
            <w:pPr>
              <w:pStyle w:val="13"/>
            </w:pPr>
            <w:r>
              <w:t>二十四、预备费</w:t>
            </w:r>
          </w:p>
        </w:tc>
        <w:tc>
          <w:tcPr>
            <w:tcW w:w="2126" w:type="dxa"/>
            <w:vAlign w:val="center"/>
          </w:tcPr>
          <w:p w14:paraId="3007BFE8">
            <w:pPr>
              <w:pStyle w:val="14"/>
            </w:pPr>
          </w:p>
        </w:tc>
      </w:tr>
      <w:tr w14:paraId="7AA62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DE723">
            <w:pPr>
              <w:pStyle w:val="12"/>
            </w:pPr>
            <w:r>
              <w:t>25</w:t>
            </w:r>
          </w:p>
        </w:tc>
        <w:tc>
          <w:tcPr>
            <w:tcW w:w="4535" w:type="dxa"/>
            <w:vAlign w:val="center"/>
          </w:tcPr>
          <w:p w14:paraId="49C16044">
            <w:pPr>
              <w:pStyle w:val="13"/>
            </w:pPr>
          </w:p>
        </w:tc>
        <w:tc>
          <w:tcPr>
            <w:tcW w:w="2126" w:type="dxa"/>
            <w:vAlign w:val="center"/>
          </w:tcPr>
          <w:p w14:paraId="53BE434E">
            <w:pPr>
              <w:pStyle w:val="14"/>
            </w:pPr>
          </w:p>
        </w:tc>
        <w:tc>
          <w:tcPr>
            <w:tcW w:w="4535" w:type="dxa"/>
            <w:vAlign w:val="center"/>
          </w:tcPr>
          <w:p w14:paraId="09D9FE7A">
            <w:pPr>
              <w:pStyle w:val="13"/>
            </w:pPr>
            <w:r>
              <w:t>二十五、其他支出</w:t>
            </w:r>
          </w:p>
        </w:tc>
        <w:tc>
          <w:tcPr>
            <w:tcW w:w="2126" w:type="dxa"/>
            <w:vAlign w:val="center"/>
          </w:tcPr>
          <w:p w14:paraId="02DE2D7F">
            <w:pPr>
              <w:pStyle w:val="14"/>
            </w:pPr>
          </w:p>
        </w:tc>
      </w:tr>
      <w:tr w14:paraId="2AF65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4A097">
            <w:pPr>
              <w:pStyle w:val="12"/>
            </w:pPr>
            <w:r>
              <w:t>26</w:t>
            </w:r>
          </w:p>
        </w:tc>
        <w:tc>
          <w:tcPr>
            <w:tcW w:w="4535" w:type="dxa"/>
            <w:vAlign w:val="center"/>
          </w:tcPr>
          <w:p w14:paraId="2975DF1B">
            <w:pPr>
              <w:pStyle w:val="13"/>
            </w:pPr>
          </w:p>
        </w:tc>
        <w:tc>
          <w:tcPr>
            <w:tcW w:w="2126" w:type="dxa"/>
            <w:vAlign w:val="center"/>
          </w:tcPr>
          <w:p w14:paraId="571D58F8">
            <w:pPr>
              <w:pStyle w:val="14"/>
            </w:pPr>
          </w:p>
        </w:tc>
        <w:tc>
          <w:tcPr>
            <w:tcW w:w="4535" w:type="dxa"/>
            <w:vAlign w:val="center"/>
          </w:tcPr>
          <w:p w14:paraId="4508BC6C">
            <w:pPr>
              <w:pStyle w:val="13"/>
            </w:pPr>
            <w:r>
              <w:t>二十六、转移性支出</w:t>
            </w:r>
          </w:p>
        </w:tc>
        <w:tc>
          <w:tcPr>
            <w:tcW w:w="2126" w:type="dxa"/>
            <w:vAlign w:val="center"/>
          </w:tcPr>
          <w:p w14:paraId="19F9C127">
            <w:pPr>
              <w:pStyle w:val="14"/>
            </w:pPr>
          </w:p>
        </w:tc>
      </w:tr>
      <w:tr w14:paraId="29818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A5217">
            <w:pPr>
              <w:pStyle w:val="12"/>
            </w:pPr>
            <w:r>
              <w:t>27</w:t>
            </w:r>
          </w:p>
        </w:tc>
        <w:tc>
          <w:tcPr>
            <w:tcW w:w="4535" w:type="dxa"/>
            <w:vAlign w:val="center"/>
          </w:tcPr>
          <w:p w14:paraId="708CB5F9">
            <w:pPr>
              <w:pStyle w:val="13"/>
            </w:pPr>
          </w:p>
        </w:tc>
        <w:tc>
          <w:tcPr>
            <w:tcW w:w="2126" w:type="dxa"/>
            <w:vAlign w:val="center"/>
          </w:tcPr>
          <w:p w14:paraId="2295FF7F">
            <w:pPr>
              <w:pStyle w:val="14"/>
            </w:pPr>
          </w:p>
        </w:tc>
        <w:tc>
          <w:tcPr>
            <w:tcW w:w="4535" w:type="dxa"/>
            <w:vAlign w:val="center"/>
          </w:tcPr>
          <w:p w14:paraId="42A16F86">
            <w:pPr>
              <w:pStyle w:val="13"/>
            </w:pPr>
            <w:r>
              <w:t>二十七、债务还本支出</w:t>
            </w:r>
          </w:p>
        </w:tc>
        <w:tc>
          <w:tcPr>
            <w:tcW w:w="2126" w:type="dxa"/>
            <w:vAlign w:val="center"/>
          </w:tcPr>
          <w:p w14:paraId="4987AF4F">
            <w:pPr>
              <w:pStyle w:val="14"/>
            </w:pPr>
          </w:p>
        </w:tc>
      </w:tr>
      <w:tr w14:paraId="1A9C9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BD55B">
            <w:pPr>
              <w:pStyle w:val="12"/>
            </w:pPr>
            <w:r>
              <w:t>28</w:t>
            </w:r>
          </w:p>
        </w:tc>
        <w:tc>
          <w:tcPr>
            <w:tcW w:w="4535" w:type="dxa"/>
            <w:vAlign w:val="center"/>
          </w:tcPr>
          <w:p w14:paraId="5CDD940C">
            <w:pPr>
              <w:pStyle w:val="13"/>
            </w:pPr>
          </w:p>
        </w:tc>
        <w:tc>
          <w:tcPr>
            <w:tcW w:w="2126" w:type="dxa"/>
            <w:vAlign w:val="center"/>
          </w:tcPr>
          <w:p w14:paraId="5B6E42BA">
            <w:pPr>
              <w:pStyle w:val="14"/>
            </w:pPr>
          </w:p>
        </w:tc>
        <w:tc>
          <w:tcPr>
            <w:tcW w:w="4535" w:type="dxa"/>
            <w:vAlign w:val="center"/>
          </w:tcPr>
          <w:p w14:paraId="73CBD729">
            <w:pPr>
              <w:pStyle w:val="13"/>
            </w:pPr>
            <w:r>
              <w:t>二十八、债务付息支出</w:t>
            </w:r>
          </w:p>
        </w:tc>
        <w:tc>
          <w:tcPr>
            <w:tcW w:w="2126" w:type="dxa"/>
            <w:vAlign w:val="center"/>
          </w:tcPr>
          <w:p w14:paraId="182535C6">
            <w:pPr>
              <w:pStyle w:val="14"/>
            </w:pPr>
          </w:p>
        </w:tc>
      </w:tr>
      <w:tr w14:paraId="49CFB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0CD92">
            <w:pPr>
              <w:pStyle w:val="12"/>
            </w:pPr>
            <w:r>
              <w:t>29</w:t>
            </w:r>
          </w:p>
        </w:tc>
        <w:tc>
          <w:tcPr>
            <w:tcW w:w="4535" w:type="dxa"/>
            <w:vAlign w:val="center"/>
          </w:tcPr>
          <w:p w14:paraId="4F5B2E1C">
            <w:pPr>
              <w:pStyle w:val="13"/>
            </w:pPr>
          </w:p>
        </w:tc>
        <w:tc>
          <w:tcPr>
            <w:tcW w:w="2126" w:type="dxa"/>
            <w:vAlign w:val="center"/>
          </w:tcPr>
          <w:p w14:paraId="3865EC41">
            <w:pPr>
              <w:pStyle w:val="14"/>
            </w:pPr>
          </w:p>
        </w:tc>
        <w:tc>
          <w:tcPr>
            <w:tcW w:w="4535" w:type="dxa"/>
            <w:vAlign w:val="center"/>
          </w:tcPr>
          <w:p w14:paraId="263CE4C1">
            <w:pPr>
              <w:pStyle w:val="13"/>
            </w:pPr>
            <w:r>
              <w:t>二十九、债务发行费用支出</w:t>
            </w:r>
          </w:p>
        </w:tc>
        <w:tc>
          <w:tcPr>
            <w:tcW w:w="2126" w:type="dxa"/>
            <w:vAlign w:val="center"/>
          </w:tcPr>
          <w:p w14:paraId="7390A1C0">
            <w:pPr>
              <w:pStyle w:val="14"/>
            </w:pPr>
          </w:p>
        </w:tc>
      </w:tr>
      <w:tr w14:paraId="3CFBC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CFB74">
            <w:pPr>
              <w:pStyle w:val="12"/>
            </w:pPr>
            <w:r>
              <w:t>30</w:t>
            </w:r>
          </w:p>
        </w:tc>
        <w:tc>
          <w:tcPr>
            <w:tcW w:w="4535" w:type="dxa"/>
            <w:vAlign w:val="center"/>
          </w:tcPr>
          <w:p w14:paraId="75C70508">
            <w:pPr>
              <w:pStyle w:val="13"/>
            </w:pPr>
          </w:p>
        </w:tc>
        <w:tc>
          <w:tcPr>
            <w:tcW w:w="2126" w:type="dxa"/>
            <w:vAlign w:val="center"/>
          </w:tcPr>
          <w:p w14:paraId="0AD49B86">
            <w:pPr>
              <w:pStyle w:val="14"/>
            </w:pPr>
          </w:p>
        </w:tc>
        <w:tc>
          <w:tcPr>
            <w:tcW w:w="4535" w:type="dxa"/>
            <w:vAlign w:val="center"/>
          </w:tcPr>
          <w:p w14:paraId="1A5464D1">
            <w:pPr>
              <w:pStyle w:val="13"/>
            </w:pPr>
            <w:r>
              <w:t>三十、抗疫特别国债安排的支出</w:t>
            </w:r>
          </w:p>
        </w:tc>
        <w:tc>
          <w:tcPr>
            <w:tcW w:w="2126" w:type="dxa"/>
            <w:vAlign w:val="center"/>
          </w:tcPr>
          <w:p w14:paraId="29A2299D">
            <w:pPr>
              <w:pStyle w:val="14"/>
            </w:pPr>
          </w:p>
        </w:tc>
      </w:tr>
      <w:tr w14:paraId="2CE9E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190FF6E">
            <w:pPr>
              <w:pStyle w:val="12"/>
            </w:pPr>
            <w:r>
              <w:t>31</w:t>
            </w:r>
          </w:p>
        </w:tc>
        <w:tc>
          <w:tcPr>
            <w:tcW w:w="4535" w:type="dxa"/>
            <w:vAlign w:val="center"/>
          </w:tcPr>
          <w:p w14:paraId="6C6D70E0">
            <w:pPr>
              <w:pStyle w:val="13"/>
            </w:pPr>
          </w:p>
        </w:tc>
        <w:tc>
          <w:tcPr>
            <w:tcW w:w="2126" w:type="dxa"/>
            <w:vAlign w:val="center"/>
          </w:tcPr>
          <w:p w14:paraId="3284A022">
            <w:pPr>
              <w:pStyle w:val="14"/>
            </w:pPr>
          </w:p>
        </w:tc>
        <w:tc>
          <w:tcPr>
            <w:tcW w:w="4535" w:type="dxa"/>
            <w:vAlign w:val="center"/>
          </w:tcPr>
          <w:p w14:paraId="717CA1C0">
            <w:pPr>
              <w:pStyle w:val="13"/>
            </w:pPr>
            <w:r>
              <w:t>三十一、人行科目</w:t>
            </w:r>
          </w:p>
        </w:tc>
        <w:tc>
          <w:tcPr>
            <w:tcW w:w="2126" w:type="dxa"/>
            <w:vAlign w:val="center"/>
          </w:tcPr>
          <w:p w14:paraId="6705FD72">
            <w:pPr>
              <w:pStyle w:val="14"/>
            </w:pPr>
          </w:p>
        </w:tc>
      </w:tr>
      <w:tr w14:paraId="2E81A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A0546">
            <w:pPr>
              <w:pStyle w:val="12"/>
            </w:pPr>
            <w:r>
              <w:t>32</w:t>
            </w:r>
          </w:p>
        </w:tc>
        <w:tc>
          <w:tcPr>
            <w:tcW w:w="4535" w:type="dxa"/>
            <w:vAlign w:val="center"/>
          </w:tcPr>
          <w:p w14:paraId="1FA1A630">
            <w:pPr>
              <w:pStyle w:val="15"/>
            </w:pPr>
            <w:r>
              <w:t>本年收入合计</w:t>
            </w:r>
          </w:p>
        </w:tc>
        <w:tc>
          <w:tcPr>
            <w:tcW w:w="2126" w:type="dxa"/>
            <w:vAlign w:val="center"/>
          </w:tcPr>
          <w:p w14:paraId="126A9B47">
            <w:pPr>
              <w:pStyle w:val="16"/>
            </w:pPr>
            <w:r>
              <w:t>873.93</w:t>
            </w:r>
          </w:p>
        </w:tc>
        <w:tc>
          <w:tcPr>
            <w:tcW w:w="4535" w:type="dxa"/>
            <w:vAlign w:val="center"/>
          </w:tcPr>
          <w:p w14:paraId="5FD311BF">
            <w:pPr>
              <w:pStyle w:val="15"/>
            </w:pPr>
            <w:r>
              <w:t>本年支出合计</w:t>
            </w:r>
          </w:p>
        </w:tc>
        <w:tc>
          <w:tcPr>
            <w:tcW w:w="2126" w:type="dxa"/>
            <w:vAlign w:val="center"/>
          </w:tcPr>
          <w:p w14:paraId="309F2043">
            <w:pPr>
              <w:pStyle w:val="16"/>
            </w:pPr>
            <w:r>
              <w:t>873.93</w:t>
            </w:r>
          </w:p>
        </w:tc>
      </w:tr>
      <w:tr w14:paraId="2D2F5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BDFCB">
            <w:pPr>
              <w:pStyle w:val="12"/>
            </w:pPr>
            <w:r>
              <w:t>33</w:t>
            </w:r>
          </w:p>
        </w:tc>
        <w:tc>
          <w:tcPr>
            <w:tcW w:w="4535" w:type="dxa"/>
            <w:vAlign w:val="center"/>
          </w:tcPr>
          <w:p w14:paraId="401B77A0">
            <w:pPr>
              <w:pStyle w:val="13"/>
            </w:pPr>
            <w:r>
              <w:t>上年结转结余</w:t>
            </w:r>
          </w:p>
        </w:tc>
        <w:tc>
          <w:tcPr>
            <w:tcW w:w="2126" w:type="dxa"/>
            <w:vAlign w:val="center"/>
          </w:tcPr>
          <w:p w14:paraId="275D8545">
            <w:pPr>
              <w:pStyle w:val="14"/>
            </w:pPr>
          </w:p>
        </w:tc>
        <w:tc>
          <w:tcPr>
            <w:tcW w:w="4535" w:type="dxa"/>
            <w:vAlign w:val="center"/>
          </w:tcPr>
          <w:p w14:paraId="1FC02739">
            <w:pPr>
              <w:pStyle w:val="13"/>
            </w:pPr>
            <w:r>
              <w:t>年终结转结余</w:t>
            </w:r>
          </w:p>
        </w:tc>
        <w:tc>
          <w:tcPr>
            <w:tcW w:w="2126" w:type="dxa"/>
            <w:vAlign w:val="center"/>
          </w:tcPr>
          <w:p w14:paraId="619CD5E1">
            <w:pPr>
              <w:pStyle w:val="14"/>
            </w:pPr>
          </w:p>
        </w:tc>
      </w:tr>
      <w:tr w14:paraId="6AFEC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A8FAE">
            <w:pPr>
              <w:pStyle w:val="12"/>
            </w:pPr>
            <w:r>
              <w:t>34</w:t>
            </w:r>
          </w:p>
        </w:tc>
        <w:tc>
          <w:tcPr>
            <w:tcW w:w="4535" w:type="dxa"/>
            <w:vAlign w:val="center"/>
          </w:tcPr>
          <w:p w14:paraId="1147C8A3">
            <w:pPr>
              <w:pStyle w:val="15"/>
            </w:pPr>
            <w:r>
              <w:t>收入总计</w:t>
            </w:r>
          </w:p>
        </w:tc>
        <w:tc>
          <w:tcPr>
            <w:tcW w:w="2126" w:type="dxa"/>
            <w:vAlign w:val="center"/>
          </w:tcPr>
          <w:p w14:paraId="08EA2A44">
            <w:pPr>
              <w:pStyle w:val="16"/>
            </w:pPr>
            <w:r>
              <w:t>873.93</w:t>
            </w:r>
          </w:p>
        </w:tc>
        <w:tc>
          <w:tcPr>
            <w:tcW w:w="4535" w:type="dxa"/>
            <w:vAlign w:val="center"/>
          </w:tcPr>
          <w:p w14:paraId="2F1BD097">
            <w:pPr>
              <w:pStyle w:val="15"/>
            </w:pPr>
            <w:r>
              <w:t>支出总计</w:t>
            </w:r>
          </w:p>
        </w:tc>
        <w:tc>
          <w:tcPr>
            <w:tcW w:w="2126" w:type="dxa"/>
            <w:vAlign w:val="center"/>
          </w:tcPr>
          <w:p w14:paraId="702E0C75">
            <w:pPr>
              <w:pStyle w:val="16"/>
            </w:pPr>
            <w:r>
              <w:t>873.93</w:t>
            </w:r>
          </w:p>
        </w:tc>
      </w:tr>
    </w:tbl>
    <w:p w14:paraId="39304952">
      <w:pPr>
        <w:sectPr>
          <w:pgSz w:w="16840" w:h="11900" w:orient="landscape"/>
          <w:pgMar w:top="1361" w:right="1020" w:bottom="1134" w:left="1020" w:header="720" w:footer="720" w:gutter="0"/>
          <w:cols w:space="720" w:num="1"/>
        </w:sectPr>
      </w:pPr>
    </w:p>
    <w:p w14:paraId="4856F8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A8D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F62A73">
            <w:pPr>
              <w:pStyle w:val="8"/>
            </w:pPr>
            <w:r>
              <w:t>360005隆尧县尹村中学</w:t>
            </w:r>
          </w:p>
        </w:tc>
        <w:tc>
          <w:tcPr>
            <w:tcW w:w="3402" w:type="dxa"/>
            <w:gridSpan w:val="3"/>
            <w:tcBorders>
              <w:top w:val="single" w:color="FFFFFF" w:sz="6" w:space="0"/>
              <w:left w:val="single" w:color="FFFFFF" w:sz="6" w:space="0"/>
              <w:right w:val="single" w:color="FFFFFF" w:sz="6" w:space="0"/>
            </w:tcBorders>
            <w:vAlign w:val="center"/>
          </w:tcPr>
          <w:p w14:paraId="2798B725">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BAE4437">
            <w:pPr>
              <w:pStyle w:val="10"/>
            </w:pPr>
            <w:r>
              <w:t>单位：万元</w:t>
            </w:r>
          </w:p>
        </w:tc>
      </w:tr>
      <w:tr w14:paraId="69DDC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4E6413">
            <w:pPr>
              <w:pStyle w:val="11"/>
            </w:pPr>
            <w:r>
              <w:t>序号</w:t>
            </w:r>
          </w:p>
        </w:tc>
        <w:tc>
          <w:tcPr>
            <w:tcW w:w="2551" w:type="dxa"/>
            <w:gridSpan w:val="2"/>
            <w:vAlign w:val="center"/>
          </w:tcPr>
          <w:p w14:paraId="636F5424">
            <w:pPr>
              <w:pStyle w:val="11"/>
            </w:pPr>
            <w:r>
              <w:t>功能分类科目</w:t>
            </w:r>
          </w:p>
        </w:tc>
        <w:tc>
          <w:tcPr>
            <w:tcW w:w="1134" w:type="dxa"/>
            <w:vMerge w:val="restart"/>
            <w:vAlign w:val="center"/>
          </w:tcPr>
          <w:p w14:paraId="52624C30">
            <w:pPr>
              <w:pStyle w:val="11"/>
            </w:pPr>
            <w:r>
              <w:t>合计</w:t>
            </w:r>
          </w:p>
        </w:tc>
        <w:tc>
          <w:tcPr>
            <w:tcW w:w="9072" w:type="dxa"/>
            <w:gridSpan w:val="8"/>
            <w:vAlign w:val="center"/>
          </w:tcPr>
          <w:p w14:paraId="31E0D91E">
            <w:pPr>
              <w:pStyle w:val="11"/>
            </w:pPr>
            <w:r>
              <w:t>本年收入</w:t>
            </w:r>
          </w:p>
        </w:tc>
        <w:tc>
          <w:tcPr>
            <w:tcW w:w="1134" w:type="dxa"/>
            <w:vMerge w:val="restart"/>
            <w:vAlign w:val="center"/>
          </w:tcPr>
          <w:p w14:paraId="3866838F">
            <w:pPr>
              <w:pStyle w:val="11"/>
            </w:pPr>
            <w:r>
              <w:t>上年结转</w:t>
            </w:r>
          </w:p>
        </w:tc>
      </w:tr>
      <w:tr w14:paraId="6FF01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CFF6F2"/>
        </w:tc>
        <w:tc>
          <w:tcPr>
            <w:tcW w:w="992" w:type="dxa"/>
            <w:vAlign w:val="center"/>
          </w:tcPr>
          <w:p w14:paraId="4C5102DF">
            <w:pPr>
              <w:pStyle w:val="11"/>
            </w:pPr>
            <w:r>
              <w:t>科目    编码</w:t>
            </w:r>
          </w:p>
        </w:tc>
        <w:tc>
          <w:tcPr>
            <w:tcW w:w="1559" w:type="dxa"/>
            <w:vAlign w:val="center"/>
          </w:tcPr>
          <w:p w14:paraId="43AB6012">
            <w:pPr>
              <w:pStyle w:val="11"/>
            </w:pPr>
            <w:r>
              <w:t>科目名称</w:t>
            </w:r>
          </w:p>
        </w:tc>
        <w:tc>
          <w:tcPr>
            <w:tcW w:w="1134" w:type="dxa"/>
            <w:vMerge w:val="continue"/>
          </w:tcPr>
          <w:p w14:paraId="57968CA4"/>
        </w:tc>
        <w:tc>
          <w:tcPr>
            <w:tcW w:w="1134" w:type="dxa"/>
            <w:vAlign w:val="center"/>
          </w:tcPr>
          <w:p w14:paraId="7E8252C1">
            <w:pPr>
              <w:pStyle w:val="11"/>
            </w:pPr>
            <w:r>
              <w:t>小计</w:t>
            </w:r>
          </w:p>
        </w:tc>
        <w:tc>
          <w:tcPr>
            <w:tcW w:w="1134" w:type="dxa"/>
            <w:vAlign w:val="center"/>
          </w:tcPr>
          <w:p w14:paraId="3CF73853">
            <w:pPr>
              <w:pStyle w:val="11"/>
            </w:pPr>
            <w:r>
              <w:t>财政拨款 收入</w:t>
            </w:r>
          </w:p>
        </w:tc>
        <w:tc>
          <w:tcPr>
            <w:tcW w:w="1134" w:type="dxa"/>
            <w:vAlign w:val="center"/>
          </w:tcPr>
          <w:p w14:paraId="29D8CE08">
            <w:pPr>
              <w:pStyle w:val="11"/>
            </w:pPr>
            <w:r>
              <w:t>财政专户 收入</w:t>
            </w:r>
          </w:p>
        </w:tc>
        <w:tc>
          <w:tcPr>
            <w:tcW w:w="1134" w:type="dxa"/>
            <w:vAlign w:val="center"/>
          </w:tcPr>
          <w:p w14:paraId="30C4F9B1">
            <w:pPr>
              <w:pStyle w:val="11"/>
            </w:pPr>
            <w:r>
              <w:t>事业收入</w:t>
            </w:r>
          </w:p>
        </w:tc>
        <w:tc>
          <w:tcPr>
            <w:tcW w:w="1134" w:type="dxa"/>
            <w:vAlign w:val="center"/>
          </w:tcPr>
          <w:p w14:paraId="60FC60A3">
            <w:pPr>
              <w:pStyle w:val="11"/>
            </w:pPr>
            <w:r>
              <w:t>经营收入</w:t>
            </w:r>
          </w:p>
        </w:tc>
        <w:tc>
          <w:tcPr>
            <w:tcW w:w="1134" w:type="dxa"/>
            <w:vAlign w:val="center"/>
          </w:tcPr>
          <w:p w14:paraId="34E61D72">
            <w:pPr>
              <w:pStyle w:val="11"/>
            </w:pPr>
            <w:r>
              <w:t>上级补助收入</w:t>
            </w:r>
          </w:p>
        </w:tc>
        <w:tc>
          <w:tcPr>
            <w:tcW w:w="1134" w:type="dxa"/>
            <w:vAlign w:val="center"/>
          </w:tcPr>
          <w:p w14:paraId="4408046E">
            <w:pPr>
              <w:pStyle w:val="11"/>
            </w:pPr>
            <w:r>
              <w:t>附属单位上缴收入</w:t>
            </w:r>
          </w:p>
        </w:tc>
        <w:tc>
          <w:tcPr>
            <w:tcW w:w="1134" w:type="dxa"/>
            <w:vAlign w:val="center"/>
          </w:tcPr>
          <w:p w14:paraId="63B54C66">
            <w:pPr>
              <w:pStyle w:val="11"/>
            </w:pPr>
            <w:r>
              <w:t>其他收入</w:t>
            </w:r>
          </w:p>
        </w:tc>
        <w:tc>
          <w:tcPr>
            <w:tcW w:w="1134" w:type="dxa"/>
            <w:vMerge w:val="continue"/>
          </w:tcPr>
          <w:p w14:paraId="39DCEF72"/>
        </w:tc>
      </w:tr>
      <w:tr w14:paraId="504F2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A97909">
            <w:pPr>
              <w:pStyle w:val="11"/>
            </w:pPr>
            <w:r>
              <w:t>栏次</w:t>
            </w:r>
          </w:p>
        </w:tc>
        <w:tc>
          <w:tcPr>
            <w:tcW w:w="992" w:type="dxa"/>
            <w:vAlign w:val="center"/>
          </w:tcPr>
          <w:p w14:paraId="60C39D31">
            <w:pPr>
              <w:pStyle w:val="11"/>
            </w:pPr>
            <w:r>
              <w:t>1</w:t>
            </w:r>
          </w:p>
        </w:tc>
        <w:tc>
          <w:tcPr>
            <w:tcW w:w="1559" w:type="dxa"/>
            <w:vAlign w:val="center"/>
          </w:tcPr>
          <w:p w14:paraId="6B0E7A1D">
            <w:pPr>
              <w:pStyle w:val="11"/>
            </w:pPr>
            <w:r>
              <w:t>2</w:t>
            </w:r>
          </w:p>
        </w:tc>
        <w:tc>
          <w:tcPr>
            <w:tcW w:w="1134" w:type="dxa"/>
            <w:vAlign w:val="center"/>
          </w:tcPr>
          <w:p w14:paraId="3AF3ADE4">
            <w:pPr>
              <w:pStyle w:val="11"/>
            </w:pPr>
            <w:r>
              <w:t>3</w:t>
            </w:r>
          </w:p>
        </w:tc>
        <w:tc>
          <w:tcPr>
            <w:tcW w:w="1134" w:type="dxa"/>
            <w:vAlign w:val="center"/>
          </w:tcPr>
          <w:p w14:paraId="13332E49">
            <w:pPr>
              <w:pStyle w:val="11"/>
            </w:pPr>
            <w:r>
              <w:t>4</w:t>
            </w:r>
          </w:p>
        </w:tc>
        <w:tc>
          <w:tcPr>
            <w:tcW w:w="1134" w:type="dxa"/>
            <w:vAlign w:val="center"/>
          </w:tcPr>
          <w:p w14:paraId="246FE21E">
            <w:pPr>
              <w:pStyle w:val="11"/>
            </w:pPr>
            <w:r>
              <w:t>5</w:t>
            </w:r>
          </w:p>
        </w:tc>
        <w:tc>
          <w:tcPr>
            <w:tcW w:w="1134" w:type="dxa"/>
            <w:vAlign w:val="center"/>
          </w:tcPr>
          <w:p w14:paraId="24AE5F7B">
            <w:pPr>
              <w:pStyle w:val="11"/>
            </w:pPr>
            <w:r>
              <w:t>6</w:t>
            </w:r>
          </w:p>
        </w:tc>
        <w:tc>
          <w:tcPr>
            <w:tcW w:w="1134" w:type="dxa"/>
            <w:vAlign w:val="center"/>
          </w:tcPr>
          <w:p w14:paraId="03E50ACA">
            <w:pPr>
              <w:pStyle w:val="11"/>
            </w:pPr>
            <w:r>
              <w:t>7</w:t>
            </w:r>
          </w:p>
        </w:tc>
        <w:tc>
          <w:tcPr>
            <w:tcW w:w="1134" w:type="dxa"/>
            <w:vAlign w:val="center"/>
          </w:tcPr>
          <w:p w14:paraId="7274F500">
            <w:pPr>
              <w:pStyle w:val="11"/>
            </w:pPr>
            <w:r>
              <w:t>8</w:t>
            </w:r>
          </w:p>
        </w:tc>
        <w:tc>
          <w:tcPr>
            <w:tcW w:w="1134" w:type="dxa"/>
            <w:vAlign w:val="center"/>
          </w:tcPr>
          <w:p w14:paraId="6B63B6DC">
            <w:pPr>
              <w:pStyle w:val="11"/>
            </w:pPr>
            <w:r>
              <w:t>9</w:t>
            </w:r>
          </w:p>
        </w:tc>
        <w:tc>
          <w:tcPr>
            <w:tcW w:w="1134" w:type="dxa"/>
            <w:vAlign w:val="center"/>
          </w:tcPr>
          <w:p w14:paraId="3F79C921">
            <w:pPr>
              <w:pStyle w:val="11"/>
            </w:pPr>
            <w:r>
              <w:t>10</w:t>
            </w:r>
          </w:p>
        </w:tc>
        <w:tc>
          <w:tcPr>
            <w:tcW w:w="1134" w:type="dxa"/>
            <w:vAlign w:val="center"/>
          </w:tcPr>
          <w:p w14:paraId="613A6988">
            <w:pPr>
              <w:pStyle w:val="11"/>
            </w:pPr>
            <w:r>
              <w:t>11</w:t>
            </w:r>
          </w:p>
        </w:tc>
        <w:tc>
          <w:tcPr>
            <w:tcW w:w="1134" w:type="dxa"/>
            <w:vAlign w:val="center"/>
          </w:tcPr>
          <w:p w14:paraId="538DDF88">
            <w:pPr>
              <w:pStyle w:val="11"/>
            </w:pPr>
            <w:r>
              <w:t>12</w:t>
            </w:r>
          </w:p>
        </w:tc>
      </w:tr>
      <w:tr w14:paraId="66050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9B6E3D">
            <w:pPr>
              <w:pStyle w:val="12"/>
            </w:pPr>
            <w:r>
              <w:t>1</w:t>
            </w:r>
          </w:p>
        </w:tc>
        <w:tc>
          <w:tcPr>
            <w:tcW w:w="992" w:type="dxa"/>
            <w:vAlign w:val="center"/>
          </w:tcPr>
          <w:p w14:paraId="444EE40F">
            <w:pPr>
              <w:pStyle w:val="17"/>
            </w:pPr>
          </w:p>
        </w:tc>
        <w:tc>
          <w:tcPr>
            <w:tcW w:w="1559" w:type="dxa"/>
            <w:vAlign w:val="center"/>
          </w:tcPr>
          <w:p w14:paraId="79B2B212">
            <w:pPr>
              <w:pStyle w:val="15"/>
            </w:pPr>
            <w:r>
              <w:t>合计</w:t>
            </w:r>
          </w:p>
        </w:tc>
        <w:tc>
          <w:tcPr>
            <w:tcW w:w="1134" w:type="dxa"/>
            <w:vAlign w:val="center"/>
          </w:tcPr>
          <w:p w14:paraId="55AE73F9">
            <w:pPr>
              <w:pStyle w:val="16"/>
            </w:pPr>
            <w:r>
              <w:t>873.93</w:t>
            </w:r>
          </w:p>
        </w:tc>
        <w:tc>
          <w:tcPr>
            <w:tcW w:w="1134" w:type="dxa"/>
            <w:vAlign w:val="center"/>
          </w:tcPr>
          <w:p w14:paraId="02747145">
            <w:pPr>
              <w:pStyle w:val="16"/>
            </w:pPr>
            <w:r>
              <w:t>873.93</w:t>
            </w:r>
          </w:p>
        </w:tc>
        <w:tc>
          <w:tcPr>
            <w:tcW w:w="1134" w:type="dxa"/>
            <w:vAlign w:val="center"/>
          </w:tcPr>
          <w:p w14:paraId="3DBC083C">
            <w:pPr>
              <w:pStyle w:val="16"/>
            </w:pPr>
            <w:r>
              <w:t>873.93</w:t>
            </w:r>
          </w:p>
        </w:tc>
        <w:tc>
          <w:tcPr>
            <w:tcW w:w="1134" w:type="dxa"/>
            <w:vAlign w:val="center"/>
          </w:tcPr>
          <w:p w14:paraId="19F60EF1">
            <w:pPr>
              <w:pStyle w:val="16"/>
            </w:pPr>
          </w:p>
        </w:tc>
        <w:tc>
          <w:tcPr>
            <w:tcW w:w="1134" w:type="dxa"/>
            <w:vAlign w:val="center"/>
          </w:tcPr>
          <w:p w14:paraId="50D39FF1">
            <w:pPr>
              <w:pStyle w:val="16"/>
            </w:pPr>
          </w:p>
        </w:tc>
        <w:tc>
          <w:tcPr>
            <w:tcW w:w="1134" w:type="dxa"/>
            <w:vAlign w:val="center"/>
          </w:tcPr>
          <w:p w14:paraId="0DEE77B0">
            <w:pPr>
              <w:pStyle w:val="16"/>
            </w:pPr>
          </w:p>
        </w:tc>
        <w:tc>
          <w:tcPr>
            <w:tcW w:w="1134" w:type="dxa"/>
            <w:vAlign w:val="center"/>
          </w:tcPr>
          <w:p w14:paraId="585E7369">
            <w:pPr>
              <w:pStyle w:val="16"/>
            </w:pPr>
          </w:p>
        </w:tc>
        <w:tc>
          <w:tcPr>
            <w:tcW w:w="1134" w:type="dxa"/>
            <w:vAlign w:val="center"/>
          </w:tcPr>
          <w:p w14:paraId="03A293D4">
            <w:pPr>
              <w:pStyle w:val="16"/>
            </w:pPr>
          </w:p>
        </w:tc>
        <w:tc>
          <w:tcPr>
            <w:tcW w:w="1134" w:type="dxa"/>
            <w:vAlign w:val="center"/>
          </w:tcPr>
          <w:p w14:paraId="7B8007A7">
            <w:pPr>
              <w:pStyle w:val="16"/>
            </w:pPr>
          </w:p>
        </w:tc>
        <w:tc>
          <w:tcPr>
            <w:tcW w:w="1134" w:type="dxa"/>
            <w:vAlign w:val="center"/>
          </w:tcPr>
          <w:p w14:paraId="56CDBB8B">
            <w:pPr>
              <w:pStyle w:val="16"/>
            </w:pPr>
          </w:p>
        </w:tc>
      </w:tr>
      <w:tr w14:paraId="53707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44E4BF">
            <w:pPr>
              <w:pStyle w:val="12"/>
            </w:pPr>
            <w:r>
              <w:t>2</w:t>
            </w:r>
          </w:p>
        </w:tc>
        <w:tc>
          <w:tcPr>
            <w:tcW w:w="992" w:type="dxa"/>
            <w:vAlign w:val="center"/>
          </w:tcPr>
          <w:p w14:paraId="13835994">
            <w:pPr>
              <w:pStyle w:val="13"/>
            </w:pPr>
            <w:r>
              <w:t>205</w:t>
            </w:r>
          </w:p>
        </w:tc>
        <w:tc>
          <w:tcPr>
            <w:tcW w:w="1559" w:type="dxa"/>
            <w:vAlign w:val="center"/>
          </w:tcPr>
          <w:p w14:paraId="5554AAA9">
            <w:pPr>
              <w:pStyle w:val="13"/>
            </w:pPr>
            <w:r>
              <w:t>教育支出</w:t>
            </w:r>
          </w:p>
        </w:tc>
        <w:tc>
          <w:tcPr>
            <w:tcW w:w="1134" w:type="dxa"/>
            <w:vAlign w:val="center"/>
          </w:tcPr>
          <w:p w14:paraId="35BE4C32">
            <w:pPr>
              <w:pStyle w:val="14"/>
            </w:pPr>
            <w:r>
              <w:t>873.93</w:t>
            </w:r>
          </w:p>
        </w:tc>
        <w:tc>
          <w:tcPr>
            <w:tcW w:w="1134" w:type="dxa"/>
            <w:vAlign w:val="center"/>
          </w:tcPr>
          <w:p w14:paraId="18248D80">
            <w:pPr>
              <w:pStyle w:val="14"/>
            </w:pPr>
            <w:r>
              <w:t>873.93</w:t>
            </w:r>
          </w:p>
        </w:tc>
        <w:tc>
          <w:tcPr>
            <w:tcW w:w="1134" w:type="dxa"/>
            <w:vAlign w:val="center"/>
          </w:tcPr>
          <w:p w14:paraId="5EC13BBD">
            <w:pPr>
              <w:pStyle w:val="14"/>
            </w:pPr>
            <w:r>
              <w:t>873.93</w:t>
            </w:r>
          </w:p>
        </w:tc>
        <w:tc>
          <w:tcPr>
            <w:tcW w:w="1134" w:type="dxa"/>
            <w:vAlign w:val="center"/>
          </w:tcPr>
          <w:p w14:paraId="463904D7">
            <w:pPr>
              <w:pStyle w:val="14"/>
            </w:pPr>
          </w:p>
        </w:tc>
        <w:tc>
          <w:tcPr>
            <w:tcW w:w="1134" w:type="dxa"/>
            <w:vAlign w:val="center"/>
          </w:tcPr>
          <w:p w14:paraId="6D3D47AD">
            <w:pPr>
              <w:pStyle w:val="14"/>
            </w:pPr>
          </w:p>
        </w:tc>
        <w:tc>
          <w:tcPr>
            <w:tcW w:w="1134" w:type="dxa"/>
            <w:vAlign w:val="center"/>
          </w:tcPr>
          <w:p w14:paraId="6FC60440">
            <w:pPr>
              <w:pStyle w:val="14"/>
            </w:pPr>
          </w:p>
        </w:tc>
        <w:tc>
          <w:tcPr>
            <w:tcW w:w="1134" w:type="dxa"/>
            <w:vAlign w:val="center"/>
          </w:tcPr>
          <w:p w14:paraId="4D202491">
            <w:pPr>
              <w:pStyle w:val="14"/>
            </w:pPr>
          </w:p>
        </w:tc>
        <w:tc>
          <w:tcPr>
            <w:tcW w:w="1134" w:type="dxa"/>
            <w:vAlign w:val="center"/>
          </w:tcPr>
          <w:p w14:paraId="471DAAD6">
            <w:pPr>
              <w:pStyle w:val="14"/>
            </w:pPr>
          </w:p>
        </w:tc>
        <w:tc>
          <w:tcPr>
            <w:tcW w:w="1134" w:type="dxa"/>
            <w:vAlign w:val="center"/>
          </w:tcPr>
          <w:p w14:paraId="6D0DFE77">
            <w:pPr>
              <w:pStyle w:val="14"/>
            </w:pPr>
          </w:p>
        </w:tc>
        <w:tc>
          <w:tcPr>
            <w:tcW w:w="1134" w:type="dxa"/>
            <w:vAlign w:val="center"/>
          </w:tcPr>
          <w:p w14:paraId="288BFE25">
            <w:pPr>
              <w:pStyle w:val="14"/>
            </w:pPr>
          </w:p>
        </w:tc>
      </w:tr>
      <w:tr w14:paraId="1BB60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DFA33E">
            <w:pPr>
              <w:pStyle w:val="12"/>
            </w:pPr>
            <w:r>
              <w:t>3</w:t>
            </w:r>
          </w:p>
        </w:tc>
        <w:tc>
          <w:tcPr>
            <w:tcW w:w="992" w:type="dxa"/>
            <w:vAlign w:val="center"/>
          </w:tcPr>
          <w:p w14:paraId="03E5A731">
            <w:pPr>
              <w:pStyle w:val="13"/>
            </w:pPr>
            <w:r>
              <w:t>20502</w:t>
            </w:r>
          </w:p>
        </w:tc>
        <w:tc>
          <w:tcPr>
            <w:tcW w:w="1559" w:type="dxa"/>
            <w:vAlign w:val="center"/>
          </w:tcPr>
          <w:p w14:paraId="6043230F">
            <w:pPr>
              <w:pStyle w:val="13"/>
            </w:pPr>
            <w:r>
              <w:t>普通教育</w:t>
            </w:r>
          </w:p>
        </w:tc>
        <w:tc>
          <w:tcPr>
            <w:tcW w:w="1134" w:type="dxa"/>
            <w:vAlign w:val="center"/>
          </w:tcPr>
          <w:p w14:paraId="661F84EE">
            <w:pPr>
              <w:pStyle w:val="14"/>
            </w:pPr>
            <w:r>
              <w:t>873.93</w:t>
            </w:r>
          </w:p>
        </w:tc>
        <w:tc>
          <w:tcPr>
            <w:tcW w:w="1134" w:type="dxa"/>
            <w:vAlign w:val="center"/>
          </w:tcPr>
          <w:p w14:paraId="345F4382">
            <w:pPr>
              <w:pStyle w:val="14"/>
            </w:pPr>
            <w:r>
              <w:t>873.93</w:t>
            </w:r>
          </w:p>
        </w:tc>
        <w:tc>
          <w:tcPr>
            <w:tcW w:w="1134" w:type="dxa"/>
            <w:vAlign w:val="center"/>
          </w:tcPr>
          <w:p w14:paraId="6420EB97">
            <w:pPr>
              <w:pStyle w:val="14"/>
            </w:pPr>
            <w:r>
              <w:t>873.93</w:t>
            </w:r>
          </w:p>
        </w:tc>
        <w:tc>
          <w:tcPr>
            <w:tcW w:w="1134" w:type="dxa"/>
            <w:vAlign w:val="center"/>
          </w:tcPr>
          <w:p w14:paraId="77D9DAA7">
            <w:pPr>
              <w:pStyle w:val="14"/>
            </w:pPr>
          </w:p>
        </w:tc>
        <w:tc>
          <w:tcPr>
            <w:tcW w:w="1134" w:type="dxa"/>
            <w:vAlign w:val="center"/>
          </w:tcPr>
          <w:p w14:paraId="2E7556C3">
            <w:pPr>
              <w:pStyle w:val="14"/>
            </w:pPr>
          </w:p>
        </w:tc>
        <w:tc>
          <w:tcPr>
            <w:tcW w:w="1134" w:type="dxa"/>
            <w:vAlign w:val="center"/>
          </w:tcPr>
          <w:p w14:paraId="756AFAE9">
            <w:pPr>
              <w:pStyle w:val="14"/>
            </w:pPr>
          </w:p>
        </w:tc>
        <w:tc>
          <w:tcPr>
            <w:tcW w:w="1134" w:type="dxa"/>
            <w:vAlign w:val="center"/>
          </w:tcPr>
          <w:p w14:paraId="70A60DB3">
            <w:pPr>
              <w:pStyle w:val="14"/>
            </w:pPr>
          </w:p>
        </w:tc>
        <w:tc>
          <w:tcPr>
            <w:tcW w:w="1134" w:type="dxa"/>
            <w:vAlign w:val="center"/>
          </w:tcPr>
          <w:p w14:paraId="1339A4E9">
            <w:pPr>
              <w:pStyle w:val="14"/>
            </w:pPr>
          </w:p>
        </w:tc>
        <w:tc>
          <w:tcPr>
            <w:tcW w:w="1134" w:type="dxa"/>
            <w:vAlign w:val="center"/>
          </w:tcPr>
          <w:p w14:paraId="42A4A00E">
            <w:pPr>
              <w:pStyle w:val="14"/>
            </w:pPr>
          </w:p>
        </w:tc>
        <w:tc>
          <w:tcPr>
            <w:tcW w:w="1134" w:type="dxa"/>
            <w:vAlign w:val="center"/>
          </w:tcPr>
          <w:p w14:paraId="6B84124F">
            <w:pPr>
              <w:pStyle w:val="14"/>
            </w:pPr>
          </w:p>
        </w:tc>
      </w:tr>
      <w:tr w14:paraId="2291E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0FCF5C">
            <w:pPr>
              <w:pStyle w:val="12"/>
            </w:pPr>
            <w:r>
              <w:t>4</w:t>
            </w:r>
          </w:p>
        </w:tc>
        <w:tc>
          <w:tcPr>
            <w:tcW w:w="992" w:type="dxa"/>
            <w:vAlign w:val="center"/>
          </w:tcPr>
          <w:p w14:paraId="3C7EBA22">
            <w:pPr>
              <w:pStyle w:val="13"/>
            </w:pPr>
            <w:r>
              <w:t>2050203</w:t>
            </w:r>
          </w:p>
        </w:tc>
        <w:tc>
          <w:tcPr>
            <w:tcW w:w="1559" w:type="dxa"/>
            <w:vAlign w:val="center"/>
          </w:tcPr>
          <w:p w14:paraId="1B90E303">
            <w:pPr>
              <w:pStyle w:val="13"/>
            </w:pPr>
            <w:r>
              <w:t>初中教育</w:t>
            </w:r>
          </w:p>
        </w:tc>
        <w:tc>
          <w:tcPr>
            <w:tcW w:w="1134" w:type="dxa"/>
            <w:vAlign w:val="center"/>
          </w:tcPr>
          <w:p w14:paraId="2ABC29CC">
            <w:pPr>
              <w:pStyle w:val="14"/>
            </w:pPr>
            <w:r>
              <w:t>873.93</w:t>
            </w:r>
          </w:p>
        </w:tc>
        <w:tc>
          <w:tcPr>
            <w:tcW w:w="1134" w:type="dxa"/>
            <w:vAlign w:val="center"/>
          </w:tcPr>
          <w:p w14:paraId="147A90F6">
            <w:pPr>
              <w:pStyle w:val="14"/>
            </w:pPr>
            <w:r>
              <w:t>873.93</w:t>
            </w:r>
          </w:p>
        </w:tc>
        <w:tc>
          <w:tcPr>
            <w:tcW w:w="1134" w:type="dxa"/>
            <w:vAlign w:val="center"/>
          </w:tcPr>
          <w:p w14:paraId="123F9B60">
            <w:pPr>
              <w:pStyle w:val="14"/>
            </w:pPr>
            <w:r>
              <w:t>873.93</w:t>
            </w:r>
          </w:p>
        </w:tc>
        <w:tc>
          <w:tcPr>
            <w:tcW w:w="1134" w:type="dxa"/>
            <w:vAlign w:val="center"/>
          </w:tcPr>
          <w:p w14:paraId="0EA7A318">
            <w:pPr>
              <w:pStyle w:val="14"/>
            </w:pPr>
          </w:p>
        </w:tc>
        <w:tc>
          <w:tcPr>
            <w:tcW w:w="1134" w:type="dxa"/>
            <w:vAlign w:val="center"/>
          </w:tcPr>
          <w:p w14:paraId="009B6233">
            <w:pPr>
              <w:pStyle w:val="14"/>
            </w:pPr>
          </w:p>
        </w:tc>
        <w:tc>
          <w:tcPr>
            <w:tcW w:w="1134" w:type="dxa"/>
            <w:vAlign w:val="center"/>
          </w:tcPr>
          <w:p w14:paraId="0794DEC8">
            <w:pPr>
              <w:pStyle w:val="14"/>
            </w:pPr>
          </w:p>
        </w:tc>
        <w:tc>
          <w:tcPr>
            <w:tcW w:w="1134" w:type="dxa"/>
            <w:vAlign w:val="center"/>
          </w:tcPr>
          <w:p w14:paraId="00E96F16">
            <w:pPr>
              <w:pStyle w:val="14"/>
            </w:pPr>
          </w:p>
        </w:tc>
        <w:tc>
          <w:tcPr>
            <w:tcW w:w="1134" w:type="dxa"/>
            <w:vAlign w:val="center"/>
          </w:tcPr>
          <w:p w14:paraId="495F2744">
            <w:pPr>
              <w:pStyle w:val="14"/>
            </w:pPr>
          </w:p>
        </w:tc>
        <w:tc>
          <w:tcPr>
            <w:tcW w:w="1134" w:type="dxa"/>
            <w:vAlign w:val="center"/>
          </w:tcPr>
          <w:p w14:paraId="113E1628">
            <w:pPr>
              <w:pStyle w:val="14"/>
            </w:pPr>
          </w:p>
        </w:tc>
        <w:tc>
          <w:tcPr>
            <w:tcW w:w="1134" w:type="dxa"/>
            <w:vAlign w:val="center"/>
          </w:tcPr>
          <w:p w14:paraId="128E7E15">
            <w:pPr>
              <w:pStyle w:val="14"/>
            </w:pPr>
          </w:p>
        </w:tc>
      </w:tr>
    </w:tbl>
    <w:p w14:paraId="00595C71">
      <w:pPr>
        <w:sectPr>
          <w:pgSz w:w="16840" w:h="11900" w:orient="landscape"/>
          <w:pgMar w:top="1361" w:right="1020" w:bottom="1134" w:left="1020" w:header="720" w:footer="720" w:gutter="0"/>
          <w:cols w:space="720" w:num="1"/>
        </w:sectPr>
      </w:pPr>
    </w:p>
    <w:p w14:paraId="191770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F8A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E508FB">
            <w:pPr>
              <w:pStyle w:val="8"/>
            </w:pPr>
            <w:r>
              <w:t>360005隆尧县尹村中学</w:t>
            </w:r>
          </w:p>
        </w:tc>
        <w:tc>
          <w:tcPr>
            <w:tcW w:w="2722" w:type="dxa"/>
            <w:gridSpan w:val="2"/>
            <w:tcBorders>
              <w:top w:val="single" w:color="FFFFFF" w:sz="6" w:space="0"/>
              <w:left w:val="single" w:color="FFFFFF" w:sz="6" w:space="0"/>
              <w:right w:val="single" w:color="FFFFFF" w:sz="6" w:space="0"/>
            </w:tcBorders>
            <w:vAlign w:val="center"/>
          </w:tcPr>
          <w:p w14:paraId="408655DD">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E758149">
            <w:pPr>
              <w:pStyle w:val="10"/>
            </w:pPr>
            <w:r>
              <w:t>单位：万元</w:t>
            </w:r>
          </w:p>
        </w:tc>
      </w:tr>
      <w:tr w14:paraId="78A18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E3B535">
            <w:pPr>
              <w:pStyle w:val="11"/>
            </w:pPr>
            <w:r>
              <w:t>序号</w:t>
            </w:r>
          </w:p>
        </w:tc>
        <w:tc>
          <w:tcPr>
            <w:tcW w:w="5527" w:type="dxa"/>
            <w:gridSpan w:val="2"/>
            <w:vAlign w:val="center"/>
          </w:tcPr>
          <w:p w14:paraId="41703D30">
            <w:pPr>
              <w:pStyle w:val="11"/>
            </w:pPr>
            <w:r>
              <w:t>功能分类科目</w:t>
            </w:r>
          </w:p>
        </w:tc>
        <w:tc>
          <w:tcPr>
            <w:tcW w:w="1361" w:type="dxa"/>
            <w:vMerge w:val="restart"/>
            <w:vAlign w:val="center"/>
          </w:tcPr>
          <w:p w14:paraId="7424D59D">
            <w:pPr>
              <w:pStyle w:val="11"/>
            </w:pPr>
            <w:r>
              <w:t>合计</w:t>
            </w:r>
          </w:p>
        </w:tc>
        <w:tc>
          <w:tcPr>
            <w:tcW w:w="1361" w:type="dxa"/>
            <w:vMerge w:val="restart"/>
            <w:vAlign w:val="center"/>
          </w:tcPr>
          <w:p w14:paraId="4FF34658">
            <w:pPr>
              <w:pStyle w:val="11"/>
            </w:pPr>
            <w:r>
              <w:t>基本支出</w:t>
            </w:r>
          </w:p>
        </w:tc>
        <w:tc>
          <w:tcPr>
            <w:tcW w:w="1361" w:type="dxa"/>
            <w:vMerge w:val="restart"/>
            <w:vAlign w:val="center"/>
          </w:tcPr>
          <w:p w14:paraId="29744CDD">
            <w:pPr>
              <w:pStyle w:val="11"/>
            </w:pPr>
            <w:r>
              <w:t>项目支出</w:t>
            </w:r>
          </w:p>
        </w:tc>
        <w:tc>
          <w:tcPr>
            <w:tcW w:w="1361" w:type="dxa"/>
            <w:vMerge w:val="restart"/>
            <w:vAlign w:val="center"/>
          </w:tcPr>
          <w:p w14:paraId="36CBF59A">
            <w:pPr>
              <w:pStyle w:val="11"/>
            </w:pPr>
            <w:r>
              <w:t>经营支出</w:t>
            </w:r>
          </w:p>
        </w:tc>
        <w:tc>
          <w:tcPr>
            <w:tcW w:w="1361" w:type="dxa"/>
            <w:vMerge w:val="restart"/>
            <w:vAlign w:val="center"/>
          </w:tcPr>
          <w:p w14:paraId="62F20163">
            <w:pPr>
              <w:pStyle w:val="11"/>
            </w:pPr>
            <w:r>
              <w:t>上解上级     支出</w:t>
            </w:r>
          </w:p>
        </w:tc>
        <w:tc>
          <w:tcPr>
            <w:tcW w:w="1361" w:type="dxa"/>
            <w:vMerge w:val="restart"/>
            <w:vAlign w:val="center"/>
          </w:tcPr>
          <w:p w14:paraId="04235C53">
            <w:pPr>
              <w:pStyle w:val="11"/>
            </w:pPr>
            <w:r>
              <w:t>对附属单位补助支出</w:t>
            </w:r>
          </w:p>
        </w:tc>
      </w:tr>
      <w:tr w14:paraId="3EEC8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474F8A"/>
        </w:tc>
        <w:tc>
          <w:tcPr>
            <w:tcW w:w="992" w:type="dxa"/>
            <w:vAlign w:val="center"/>
          </w:tcPr>
          <w:p w14:paraId="351584F2">
            <w:pPr>
              <w:pStyle w:val="11"/>
            </w:pPr>
            <w:r>
              <w:t>科目    编码</w:t>
            </w:r>
          </w:p>
        </w:tc>
        <w:tc>
          <w:tcPr>
            <w:tcW w:w="4535" w:type="dxa"/>
            <w:vAlign w:val="center"/>
          </w:tcPr>
          <w:p w14:paraId="29ABB7A0">
            <w:pPr>
              <w:pStyle w:val="11"/>
            </w:pPr>
            <w:r>
              <w:t>科目名称</w:t>
            </w:r>
          </w:p>
        </w:tc>
        <w:tc>
          <w:tcPr>
            <w:tcW w:w="1361" w:type="dxa"/>
            <w:vMerge w:val="continue"/>
          </w:tcPr>
          <w:p w14:paraId="3E8A3D22"/>
        </w:tc>
        <w:tc>
          <w:tcPr>
            <w:tcW w:w="1361" w:type="dxa"/>
            <w:vMerge w:val="continue"/>
          </w:tcPr>
          <w:p w14:paraId="7F18F6E5"/>
        </w:tc>
        <w:tc>
          <w:tcPr>
            <w:tcW w:w="1361" w:type="dxa"/>
            <w:vMerge w:val="continue"/>
          </w:tcPr>
          <w:p w14:paraId="7C316671"/>
        </w:tc>
        <w:tc>
          <w:tcPr>
            <w:tcW w:w="1361" w:type="dxa"/>
            <w:vMerge w:val="continue"/>
          </w:tcPr>
          <w:p w14:paraId="0AE9C13F"/>
        </w:tc>
        <w:tc>
          <w:tcPr>
            <w:tcW w:w="1361" w:type="dxa"/>
            <w:vMerge w:val="continue"/>
          </w:tcPr>
          <w:p w14:paraId="2F162EFF"/>
        </w:tc>
        <w:tc>
          <w:tcPr>
            <w:tcW w:w="1361" w:type="dxa"/>
            <w:vMerge w:val="continue"/>
          </w:tcPr>
          <w:p w14:paraId="5A8F46E4"/>
        </w:tc>
      </w:tr>
      <w:tr w14:paraId="3604E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ECB2A">
            <w:pPr>
              <w:pStyle w:val="11"/>
            </w:pPr>
            <w:r>
              <w:t>栏次</w:t>
            </w:r>
          </w:p>
        </w:tc>
        <w:tc>
          <w:tcPr>
            <w:tcW w:w="992" w:type="dxa"/>
            <w:vAlign w:val="center"/>
          </w:tcPr>
          <w:p w14:paraId="12B666CE">
            <w:pPr>
              <w:pStyle w:val="11"/>
            </w:pPr>
            <w:r>
              <w:t>1</w:t>
            </w:r>
          </w:p>
        </w:tc>
        <w:tc>
          <w:tcPr>
            <w:tcW w:w="4535" w:type="dxa"/>
            <w:vAlign w:val="center"/>
          </w:tcPr>
          <w:p w14:paraId="2A7CFC6E">
            <w:pPr>
              <w:pStyle w:val="11"/>
            </w:pPr>
            <w:r>
              <w:t>2</w:t>
            </w:r>
          </w:p>
        </w:tc>
        <w:tc>
          <w:tcPr>
            <w:tcW w:w="1361" w:type="dxa"/>
            <w:vAlign w:val="center"/>
          </w:tcPr>
          <w:p w14:paraId="0867C957">
            <w:pPr>
              <w:pStyle w:val="11"/>
            </w:pPr>
            <w:r>
              <w:t>3</w:t>
            </w:r>
          </w:p>
        </w:tc>
        <w:tc>
          <w:tcPr>
            <w:tcW w:w="1361" w:type="dxa"/>
            <w:vAlign w:val="center"/>
          </w:tcPr>
          <w:p w14:paraId="556EB532">
            <w:pPr>
              <w:pStyle w:val="11"/>
            </w:pPr>
            <w:r>
              <w:t>4</w:t>
            </w:r>
          </w:p>
        </w:tc>
        <w:tc>
          <w:tcPr>
            <w:tcW w:w="1361" w:type="dxa"/>
            <w:vAlign w:val="center"/>
          </w:tcPr>
          <w:p w14:paraId="271C9CCF">
            <w:pPr>
              <w:pStyle w:val="11"/>
            </w:pPr>
            <w:r>
              <w:t>5</w:t>
            </w:r>
          </w:p>
        </w:tc>
        <w:tc>
          <w:tcPr>
            <w:tcW w:w="1361" w:type="dxa"/>
            <w:vAlign w:val="center"/>
          </w:tcPr>
          <w:p w14:paraId="0864AE88">
            <w:pPr>
              <w:pStyle w:val="11"/>
            </w:pPr>
            <w:r>
              <w:t>6</w:t>
            </w:r>
          </w:p>
        </w:tc>
        <w:tc>
          <w:tcPr>
            <w:tcW w:w="1361" w:type="dxa"/>
            <w:vAlign w:val="center"/>
          </w:tcPr>
          <w:p w14:paraId="36A7F9D4">
            <w:pPr>
              <w:pStyle w:val="11"/>
            </w:pPr>
            <w:r>
              <w:t>7</w:t>
            </w:r>
          </w:p>
        </w:tc>
        <w:tc>
          <w:tcPr>
            <w:tcW w:w="1361" w:type="dxa"/>
            <w:vAlign w:val="center"/>
          </w:tcPr>
          <w:p w14:paraId="22979B96">
            <w:pPr>
              <w:pStyle w:val="11"/>
            </w:pPr>
            <w:r>
              <w:t>8</w:t>
            </w:r>
          </w:p>
        </w:tc>
      </w:tr>
      <w:tr w14:paraId="056CE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8F03B">
            <w:pPr>
              <w:pStyle w:val="12"/>
            </w:pPr>
            <w:r>
              <w:t>1</w:t>
            </w:r>
          </w:p>
        </w:tc>
        <w:tc>
          <w:tcPr>
            <w:tcW w:w="992" w:type="dxa"/>
            <w:vAlign w:val="center"/>
          </w:tcPr>
          <w:p w14:paraId="4EE592EC">
            <w:pPr>
              <w:pStyle w:val="17"/>
            </w:pPr>
          </w:p>
        </w:tc>
        <w:tc>
          <w:tcPr>
            <w:tcW w:w="4535" w:type="dxa"/>
            <w:vAlign w:val="center"/>
          </w:tcPr>
          <w:p w14:paraId="160BAEF7">
            <w:pPr>
              <w:pStyle w:val="15"/>
            </w:pPr>
            <w:r>
              <w:t>合计</w:t>
            </w:r>
          </w:p>
        </w:tc>
        <w:tc>
          <w:tcPr>
            <w:tcW w:w="1361" w:type="dxa"/>
            <w:vAlign w:val="center"/>
          </w:tcPr>
          <w:p w14:paraId="03F3CE2A">
            <w:pPr>
              <w:pStyle w:val="16"/>
            </w:pPr>
            <w:r>
              <w:t>873.93</w:t>
            </w:r>
          </w:p>
        </w:tc>
        <w:tc>
          <w:tcPr>
            <w:tcW w:w="1361" w:type="dxa"/>
            <w:vAlign w:val="center"/>
          </w:tcPr>
          <w:p w14:paraId="29981F77">
            <w:pPr>
              <w:pStyle w:val="16"/>
            </w:pPr>
            <w:r>
              <w:t>688.43</w:t>
            </w:r>
          </w:p>
        </w:tc>
        <w:tc>
          <w:tcPr>
            <w:tcW w:w="1361" w:type="dxa"/>
            <w:vAlign w:val="center"/>
          </w:tcPr>
          <w:p w14:paraId="31221A2D">
            <w:pPr>
              <w:pStyle w:val="16"/>
            </w:pPr>
            <w:r>
              <w:t>185.50</w:t>
            </w:r>
          </w:p>
        </w:tc>
        <w:tc>
          <w:tcPr>
            <w:tcW w:w="1361" w:type="dxa"/>
            <w:vAlign w:val="center"/>
          </w:tcPr>
          <w:p w14:paraId="0624ABD7">
            <w:pPr>
              <w:pStyle w:val="16"/>
            </w:pPr>
          </w:p>
        </w:tc>
        <w:tc>
          <w:tcPr>
            <w:tcW w:w="1361" w:type="dxa"/>
            <w:vAlign w:val="center"/>
          </w:tcPr>
          <w:p w14:paraId="46DB2821">
            <w:pPr>
              <w:pStyle w:val="16"/>
            </w:pPr>
          </w:p>
        </w:tc>
        <w:tc>
          <w:tcPr>
            <w:tcW w:w="1361" w:type="dxa"/>
            <w:vAlign w:val="center"/>
          </w:tcPr>
          <w:p w14:paraId="1D80EA2C">
            <w:pPr>
              <w:pStyle w:val="16"/>
            </w:pPr>
          </w:p>
        </w:tc>
      </w:tr>
      <w:tr w14:paraId="1D7F1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3FEE572">
            <w:pPr>
              <w:pStyle w:val="12"/>
            </w:pPr>
            <w:r>
              <w:t>2</w:t>
            </w:r>
          </w:p>
        </w:tc>
        <w:tc>
          <w:tcPr>
            <w:tcW w:w="992" w:type="dxa"/>
            <w:vAlign w:val="center"/>
          </w:tcPr>
          <w:p w14:paraId="1CA4D302">
            <w:pPr>
              <w:pStyle w:val="13"/>
            </w:pPr>
            <w:r>
              <w:t>205</w:t>
            </w:r>
          </w:p>
        </w:tc>
        <w:tc>
          <w:tcPr>
            <w:tcW w:w="4535" w:type="dxa"/>
            <w:vAlign w:val="center"/>
          </w:tcPr>
          <w:p w14:paraId="0108B15A">
            <w:pPr>
              <w:pStyle w:val="13"/>
            </w:pPr>
            <w:r>
              <w:t>教育支出</w:t>
            </w:r>
          </w:p>
        </w:tc>
        <w:tc>
          <w:tcPr>
            <w:tcW w:w="1361" w:type="dxa"/>
            <w:vAlign w:val="center"/>
          </w:tcPr>
          <w:p w14:paraId="18AB131F">
            <w:pPr>
              <w:pStyle w:val="14"/>
            </w:pPr>
            <w:r>
              <w:t>873.93</w:t>
            </w:r>
          </w:p>
        </w:tc>
        <w:tc>
          <w:tcPr>
            <w:tcW w:w="1361" w:type="dxa"/>
            <w:vAlign w:val="center"/>
          </w:tcPr>
          <w:p w14:paraId="3E24F4DB">
            <w:pPr>
              <w:pStyle w:val="14"/>
            </w:pPr>
            <w:r>
              <w:t>688.43</w:t>
            </w:r>
          </w:p>
        </w:tc>
        <w:tc>
          <w:tcPr>
            <w:tcW w:w="1361" w:type="dxa"/>
            <w:vAlign w:val="center"/>
          </w:tcPr>
          <w:p w14:paraId="68069BE5">
            <w:pPr>
              <w:pStyle w:val="14"/>
            </w:pPr>
            <w:r>
              <w:t>185.50</w:t>
            </w:r>
          </w:p>
        </w:tc>
        <w:tc>
          <w:tcPr>
            <w:tcW w:w="1361" w:type="dxa"/>
            <w:vAlign w:val="center"/>
          </w:tcPr>
          <w:p w14:paraId="7AEFE51C">
            <w:pPr>
              <w:pStyle w:val="14"/>
            </w:pPr>
          </w:p>
        </w:tc>
        <w:tc>
          <w:tcPr>
            <w:tcW w:w="1361" w:type="dxa"/>
            <w:vAlign w:val="center"/>
          </w:tcPr>
          <w:p w14:paraId="584FBC8E">
            <w:pPr>
              <w:pStyle w:val="14"/>
            </w:pPr>
          </w:p>
        </w:tc>
        <w:tc>
          <w:tcPr>
            <w:tcW w:w="1361" w:type="dxa"/>
            <w:vAlign w:val="center"/>
          </w:tcPr>
          <w:p w14:paraId="0AE4D531">
            <w:pPr>
              <w:pStyle w:val="14"/>
            </w:pPr>
          </w:p>
        </w:tc>
      </w:tr>
      <w:tr w14:paraId="65644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50E6A">
            <w:pPr>
              <w:pStyle w:val="12"/>
            </w:pPr>
            <w:r>
              <w:t>3</w:t>
            </w:r>
          </w:p>
        </w:tc>
        <w:tc>
          <w:tcPr>
            <w:tcW w:w="992" w:type="dxa"/>
            <w:vAlign w:val="center"/>
          </w:tcPr>
          <w:p w14:paraId="5249D055">
            <w:pPr>
              <w:pStyle w:val="13"/>
            </w:pPr>
            <w:r>
              <w:t>20502</w:t>
            </w:r>
          </w:p>
        </w:tc>
        <w:tc>
          <w:tcPr>
            <w:tcW w:w="4535" w:type="dxa"/>
            <w:vAlign w:val="center"/>
          </w:tcPr>
          <w:p w14:paraId="06E79C18">
            <w:pPr>
              <w:pStyle w:val="13"/>
            </w:pPr>
            <w:r>
              <w:t>普通教育</w:t>
            </w:r>
          </w:p>
        </w:tc>
        <w:tc>
          <w:tcPr>
            <w:tcW w:w="1361" w:type="dxa"/>
            <w:vAlign w:val="center"/>
          </w:tcPr>
          <w:p w14:paraId="4207FA4E">
            <w:pPr>
              <w:pStyle w:val="14"/>
            </w:pPr>
            <w:r>
              <w:t>873.93</w:t>
            </w:r>
          </w:p>
        </w:tc>
        <w:tc>
          <w:tcPr>
            <w:tcW w:w="1361" w:type="dxa"/>
            <w:vAlign w:val="center"/>
          </w:tcPr>
          <w:p w14:paraId="1FF77088">
            <w:pPr>
              <w:pStyle w:val="14"/>
            </w:pPr>
            <w:r>
              <w:t>688.43</w:t>
            </w:r>
          </w:p>
        </w:tc>
        <w:tc>
          <w:tcPr>
            <w:tcW w:w="1361" w:type="dxa"/>
            <w:vAlign w:val="center"/>
          </w:tcPr>
          <w:p w14:paraId="2346B326">
            <w:pPr>
              <w:pStyle w:val="14"/>
            </w:pPr>
            <w:r>
              <w:t>185.50</w:t>
            </w:r>
          </w:p>
        </w:tc>
        <w:tc>
          <w:tcPr>
            <w:tcW w:w="1361" w:type="dxa"/>
            <w:vAlign w:val="center"/>
          </w:tcPr>
          <w:p w14:paraId="7E842847">
            <w:pPr>
              <w:pStyle w:val="14"/>
            </w:pPr>
          </w:p>
        </w:tc>
        <w:tc>
          <w:tcPr>
            <w:tcW w:w="1361" w:type="dxa"/>
            <w:vAlign w:val="center"/>
          </w:tcPr>
          <w:p w14:paraId="287A4108">
            <w:pPr>
              <w:pStyle w:val="14"/>
            </w:pPr>
          </w:p>
        </w:tc>
        <w:tc>
          <w:tcPr>
            <w:tcW w:w="1361" w:type="dxa"/>
            <w:vAlign w:val="center"/>
          </w:tcPr>
          <w:p w14:paraId="72847C81">
            <w:pPr>
              <w:pStyle w:val="14"/>
            </w:pPr>
          </w:p>
        </w:tc>
      </w:tr>
      <w:tr w14:paraId="0800F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81D2CB1">
            <w:pPr>
              <w:pStyle w:val="12"/>
            </w:pPr>
            <w:r>
              <w:t>4</w:t>
            </w:r>
          </w:p>
        </w:tc>
        <w:tc>
          <w:tcPr>
            <w:tcW w:w="992" w:type="dxa"/>
            <w:vAlign w:val="center"/>
          </w:tcPr>
          <w:p w14:paraId="57BE5AD4">
            <w:pPr>
              <w:pStyle w:val="13"/>
            </w:pPr>
            <w:r>
              <w:t>2050203</w:t>
            </w:r>
          </w:p>
        </w:tc>
        <w:tc>
          <w:tcPr>
            <w:tcW w:w="4535" w:type="dxa"/>
            <w:vAlign w:val="center"/>
          </w:tcPr>
          <w:p w14:paraId="383AA39F">
            <w:pPr>
              <w:pStyle w:val="13"/>
            </w:pPr>
            <w:r>
              <w:t>初中教育</w:t>
            </w:r>
          </w:p>
        </w:tc>
        <w:tc>
          <w:tcPr>
            <w:tcW w:w="1361" w:type="dxa"/>
            <w:vAlign w:val="center"/>
          </w:tcPr>
          <w:p w14:paraId="32D8222E">
            <w:pPr>
              <w:pStyle w:val="14"/>
            </w:pPr>
            <w:r>
              <w:t>873.93</w:t>
            </w:r>
          </w:p>
        </w:tc>
        <w:tc>
          <w:tcPr>
            <w:tcW w:w="1361" w:type="dxa"/>
            <w:vAlign w:val="center"/>
          </w:tcPr>
          <w:p w14:paraId="5CF1C7B6">
            <w:pPr>
              <w:pStyle w:val="14"/>
            </w:pPr>
            <w:r>
              <w:t>688.43</w:t>
            </w:r>
          </w:p>
        </w:tc>
        <w:tc>
          <w:tcPr>
            <w:tcW w:w="1361" w:type="dxa"/>
            <w:vAlign w:val="center"/>
          </w:tcPr>
          <w:p w14:paraId="3ECDBE9B">
            <w:pPr>
              <w:pStyle w:val="14"/>
            </w:pPr>
            <w:r>
              <w:t>185.50</w:t>
            </w:r>
          </w:p>
        </w:tc>
        <w:tc>
          <w:tcPr>
            <w:tcW w:w="1361" w:type="dxa"/>
            <w:vAlign w:val="center"/>
          </w:tcPr>
          <w:p w14:paraId="26C82351">
            <w:pPr>
              <w:pStyle w:val="14"/>
            </w:pPr>
          </w:p>
        </w:tc>
        <w:tc>
          <w:tcPr>
            <w:tcW w:w="1361" w:type="dxa"/>
            <w:vAlign w:val="center"/>
          </w:tcPr>
          <w:p w14:paraId="50B8BDBB">
            <w:pPr>
              <w:pStyle w:val="14"/>
            </w:pPr>
          </w:p>
        </w:tc>
        <w:tc>
          <w:tcPr>
            <w:tcW w:w="1361" w:type="dxa"/>
            <w:vAlign w:val="center"/>
          </w:tcPr>
          <w:p w14:paraId="7A54EED8">
            <w:pPr>
              <w:pStyle w:val="14"/>
            </w:pPr>
          </w:p>
        </w:tc>
      </w:tr>
    </w:tbl>
    <w:p w14:paraId="7B09A3C8">
      <w:pPr>
        <w:sectPr>
          <w:pgSz w:w="16840" w:h="11900" w:orient="landscape"/>
          <w:pgMar w:top="1361" w:right="1020" w:bottom="1134" w:left="1020" w:header="720" w:footer="720" w:gutter="0"/>
          <w:cols w:space="720" w:num="1"/>
        </w:sectPr>
      </w:pPr>
    </w:p>
    <w:p w14:paraId="3D48C2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3F0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74C768">
            <w:pPr>
              <w:pStyle w:val="8"/>
            </w:pPr>
            <w:r>
              <w:t>360005隆尧县尹村中学</w:t>
            </w:r>
          </w:p>
        </w:tc>
        <w:tc>
          <w:tcPr>
            <w:tcW w:w="3402" w:type="dxa"/>
            <w:tcBorders>
              <w:top w:val="single" w:color="FFFFFF" w:sz="6" w:space="0"/>
              <w:left w:val="single" w:color="FFFFFF" w:sz="6" w:space="0"/>
              <w:right w:val="single" w:color="FFFFFF" w:sz="6" w:space="0"/>
            </w:tcBorders>
            <w:vAlign w:val="center"/>
          </w:tcPr>
          <w:p w14:paraId="558C2413">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400D304">
            <w:pPr>
              <w:pStyle w:val="10"/>
            </w:pPr>
            <w:r>
              <w:t>单位：万元</w:t>
            </w:r>
          </w:p>
        </w:tc>
      </w:tr>
      <w:tr w14:paraId="6A032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803C2">
            <w:pPr>
              <w:pStyle w:val="11"/>
            </w:pPr>
            <w:r>
              <w:t>序号</w:t>
            </w:r>
          </w:p>
        </w:tc>
        <w:tc>
          <w:tcPr>
            <w:tcW w:w="4876" w:type="dxa"/>
            <w:gridSpan w:val="2"/>
            <w:vAlign w:val="center"/>
          </w:tcPr>
          <w:p w14:paraId="242F520D">
            <w:pPr>
              <w:pStyle w:val="11"/>
            </w:pPr>
            <w:r>
              <w:t>收入</w:t>
            </w:r>
          </w:p>
        </w:tc>
        <w:tc>
          <w:tcPr>
            <w:tcW w:w="9298" w:type="dxa"/>
            <w:gridSpan w:val="5"/>
            <w:vAlign w:val="center"/>
          </w:tcPr>
          <w:p w14:paraId="1511A744">
            <w:pPr>
              <w:pStyle w:val="11"/>
            </w:pPr>
            <w:r>
              <w:t>支出</w:t>
            </w:r>
          </w:p>
        </w:tc>
      </w:tr>
      <w:tr w14:paraId="52269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4C4535"/>
        </w:tc>
        <w:tc>
          <w:tcPr>
            <w:tcW w:w="3402" w:type="dxa"/>
            <w:vAlign w:val="center"/>
          </w:tcPr>
          <w:p w14:paraId="053C3CB9">
            <w:pPr>
              <w:pStyle w:val="11"/>
            </w:pPr>
            <w:r>
              <w:t>项  目</w:t>
            </w:r>
          </w:p>
        </w:tc>
        <w:tc>
          <w:tcPr>
            <w:tcW w:w="1474" w:type="dxa"/>
            <w:vAlign w:val="center"/>
          </w:tcPr>
          <w:p w14:paraId="4216AC76">
            <w:pPr>
              <w:pStyle w:val="11"/>
            </w:pPr>
            <w:r>
              <w:t>金额</w:t>
            </w:r>
          </w:p>
        </w:tc>
        <w:tc>
          <w:tcPr>
            <w:tcW w:w="3402" w:type="dxa"/>
            <w:vAlign w:val="center"/>
          </w:tcPr>
          <w:p w14:paraId="7007F3E5">
            <w:pPr>
              <w:pStyle w:val="11"/>
            </w:pPr>
            <w:r>
              <w:t>项  目</w:t>
            </w:r>
          </w:p>
        </w:tc>
        <w:tc>
          <w:tcPr>
            <w:tcW w:w="1474" w:type="dxa"/>
            <w:vAlign w:val="center"/>
          </w:tcPr>
          <w:p w14:paraId="5D4DA6CA">
            <w:pPr>
              <w:pStyle w:val="11"/>
            </w:pPr>
            <w:r>
              <w:t>合计</w:t>
            </w:r>
          </w:p>
        </w:tc>
        <w:tc>
          <w:tcPr>
            <w:tcW w:w="1474" w:type="dxa"/>
            <w:vAlign w:val="center"/>
          </w:tcPr>
          <w:p w14:paraId="1FCF1DBE">
            <w:pPr>
              <w:pStyle w:val="11"/>
            </w:pPr>
            <w:r>
              <w:t>一般公共预算财政拨款</w:t>
            </w:r>
          </w:p>
        </w:tc>
        <w:tc>
          <w:tcPr>
            <w:tcW w:w="1474" w:type="dxa"/>
            <w:vAlign w:val="center"/>
          </w:tcPr>
          <w:p w14:paraId="30788E03">
            <w:pPr>
              <w:pStyle w:val="11"/>
            </w:pPr>
            <w:r>
              <w:t>政府性基金预算财政    拨款</w:t>
            </w:r>
          </w:p>
        </w:tc>
        <w:tc>
          <w:tcPr>
            <w:tcW w:w="1474" w:type="dxa"/>
            <w:vAlign w:val="center"/>
          </w:tcPr>
          <w:p w14:paraId="3792740B">
            <w:pPr>
              <w:pStyle w:val="11"/>
            </w:pPr>
            <w:r>
              <w:t>国有资本经营预算财政拨款</w:t>
            </w:r>
          </w:p>
        </w:tc>
      </w:tr>
      <w:tr w14:paraId="4D9E8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176CEE">
            <w:pPr>
              <w:pStyle w:val="11"/>
            </w:pPr>
            <w:r>
              <w:t>栏次</w:t>
            </w:r>
          </w:p>
        </w:tc>
        <w:tc>
          <w:tcPr>
            <w:tcW w:w="3402" w:type="dxa"/>
            <w:vAlign w:val="center"/>
          </w:tcPr>
          <w:p w14:paraId="23F35CD9">
            <w:pPr>
              <w:pStyle w:val="11"/>
            </w:pPr>
            <w:r>
              <w:t>1</w:t>
            </w:r>
          </w:p>
        </w:tc>
        <w:tc>
          <w:tcPr>
            <w:tcW w:w="1474" w:type="dxa"/>
            <w:vAlign w:val="center"/>
          </w:tcPr>
          <w:p w14:paraId="7807826C">
            <w:pPr>
              <w:pStyle w:val="11"/>
            </w:pPr>
            <w:r>
              <w:t>2</w:t>
            </w:r>
          </w:p>
        </w:tc>
        <w:tc>
          <w:tcPr>
            <w:tcW w:w="3402" w:type="dxa"/>
            <w:vAlign w:val="center"/>
          </w:tcPr>
          <w:p w14:paraId="720DBEAA">
            <w:pPr>
              <w:pStyle w:val="11"/>
            </w:pPr>
            <w:r>
              <w:t>3</w:t>
            </w:r>
          </w:p>
        </w:tc>
        <w:tc>
          <w:tcPr>
            <w:tcW w:w="1474" w:type="dxa"/>
            <w:vAlign w:val="center"/>
          </w:tcPr>
          <w:p w14:paraId="1C20E247">
            <w:pPr>
              <w:pStyle w:val="11"/>
            </w:pPr>
            <w:r>
              <w:t>4</w:t>
            </w:r>
          </w:p>
        </w:tc>
        <w:tc>
          <w:tcPr>
            <w:tcW w:w="1474" w:type="dxa"/>
            <w:vAlign w:val="center"/>
          </w:tcPr>
          <w:p w14:paraId="3531766E">
            <w:pPr>
              <w:pStyle w:val="11"/>
            </w:pPr>
            <w:r>
              <w:t>5</w:t>
            </w:r>
          </w:p>
        </w:tc>
        <w:tc>
          <w:tcPr>
            <w:tcW w:w="1474" w:type="dxa"/>
            <w:vAlign w:val="center"/>
          </w:tcPr>
          <w:p w14:paraId="18CD1D6B">
            <w:pPr>
              <w:pStyle w:val="11"/>
            </w:pPr>
            <w:r>
              <w:t>6</w:t>
            </w:r>
          </w:p>
        </w:tc>
        <w:tc>
          <w:tcPr>
            <w:tcW w:w="1474" w:type="dxa"/>
            <w:vAlign w:val="center"/>
          </w:tcPr>
          <w:p w14:paraId="6BCD9933">
            <w:pPr>
              <w:pStyle w:val="11"/>
            </w:pPr>
            <w:r>
              <w:t>7</w:t>
            </w:r>
          </w:p>
        </w:tc>
      </w:tr>
      <w:tr w14:paraId="7CBFC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32F83">
            <w:pPr>
              <w:pStyle w:val="12"/>
            </w:pPr>
            <w:r>
              <w:t>1</w:t>
            </w:r>
          </w:p>
        </w:tc>
        <w:tc>
          <w:tcPr>
            <w:tcW w:w="3402" w:type="dxa"/>
            <w:vAlign w:val="center"/>
          </w:tcPr>
          <w:p w14:paraId="4C58F67F">
            <w:pPr>
              <w:pStyle w:val="13"/>
            </w:pPr>
            <w:r>
              <w:t>一、一般公共预算拨款</w:t>
            </w:r>
          </w:p>
        </w:tc>
        <w:tc>
          <w:tcPr>
            <w:tcW w:w="1474" w:type="dxa"/>
            <w:vAlign w:val="center"/>
          </w:tcPr>
          <w:p w14:paraId="5E18FB5B">
            <w:pPr>
              <w:pStyle w:val="14"/>
            </w:pPr>
            <w:r>
              <w:t>873.93</w:t>
            </w:r>
          </w:p>
        </w:tc>
        <w:tc>
          <w:tcPr>
            <w:tcW w:w="3402" w:type="dxa"/>
            <w:vAlign w:val="center"/>
          </w:tcPr>
          <w:p w14:paraId="7BA7E47D">
            <w:pPr>
              <w:pStyle w:val="13"/>
            </w:pPr>
            <w:r>
              <w:t>一、一般公共服务支出</w:t>
            </w:r>
          </w:p>
        </w:tc>
        <w:tc>
          <w:tcPr>
            <w:tcW w:w="1474" w:type="dxa"/>
            <w:vAlign w:val="center"/>
          </w:tcPr>
          <w:p w14:paraId="521CC559">
            <w:pPr>
              <w:pStyle w:val="14"/>
            </w:pPr>
          </w:p>
        </w:tc>
        <w:tc>
          <w:tcPr>
            <w:tcW w:w="1474" w:type="dxa"/>
            <w:vAlign w:val="center"/>
          </w:tcPr>
          <w:p w14:paraId="72951B28">
            <w:pPr>
              <w:pStyle w:val="14"/>
            </w:pPr>
          </w:p>
        </w:tc>
        <w:tc>
          <w:tcPr>
            <w:tcW w:w="1474" w:type="dxa"/>
            <w:vAlign w:val="center"/>
          </w:tcPr>
          <w:p w14:paraId="641D69D3">
            <w:pPr>
              <w:pStyle w:val="14"/>
            </w:pPr>
          </w:p>
        </w:tc>
        <w:tc>
          <w:tcPr>
            <w:tcW w:w="1474" w:type="dxa"/>
            <w:vAlign w:val="center"/>
          </w:tcPr>
          <w:p w14:paraId="58E189B0">
            <w:pPr>
              <w:pStyle w:val="14"/>
            </w:pPr>
          </w:p>
        </w:tc>
      </w:tr>
      <w:tr w14:paraId="7B940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3D6AB">
            <w:pPr>
              <w:pStyle w:val="12"/>
            </w:pPr>
            <w:r>
              <w:t>2</w:t>
            </w:r>
          </w:p>
        </w:tc>
        <w:tc>
          <w:tcPr>
            <w:tcW w:w="3402" w:type="dxa"/>
            <w:vAlign w:val="center"/>
          </w:tcPr>
          <w:p w14:paraId="4211D0B8">
            <w:pPr>
              <w:pStyle w:val="13"/>
            </w:pPr>
            <w:r>
              <w:t>二、政府性基金预算拨款</w:t>
            </w:r>
          </w:p>
        </w:tc>
        <w:tc>
          <w:tcPr>
            <w:tcW w:w="1474" w:type="dxa"/>
            <w:vAlign w:val="center"/>
          </w:tcPr>
          <w:p w14:paraId="7FB4A7E5">
            <w:pPr>
              <w:pStyle w:val="14"/>
            </w:pPr>
          </w:p>
        </w:tc>
        <w:tc>
          <w:tcPr>
            <w:tcW w:w="3402" w:type="dxa"/>
            <w:vAlign w:val="center"/>
          </w:tcPr>
          <w:p w14:paraId="5A940831">
            <w:pPr>
              <w:pStyle w:val="13"/>
            </w:pPr>
            <w:r>
              <w:t>二、外交支出</w:t>
            </w:r>
          </w:p>
        </w:tc>
        <w:tc>
          <w:tcPr>
            <w:tcW w:w="1474" w:type="dxa"/>
            <w:vAlign w:val="center"/>
          </w:tcPr>
          <w:p w14:paraId="1DD23C3C">
            <w:pPr>
              <w:pStyle w:val="14"/>
            </w:pPr>
          </w:p>
        </w:tc>
        <w:tc>
          <w:tcPr>
            <w:tcW w:w="1474" w:type="dxa"/>
            <w:vAlign w:val="center"/>
          </w:tcPr>
          <w:p w14:paraId="5EB99C06">
            <w:pPr>
              <w:pStyle w:val="14"/>
            </w:pPr>
          </w:p>
        </w:tc>
        <w:tc>
          <w:tcPr>
            <w:tcW w:w="1474" w:type="dxa"/>
            <w:vAlign w:val="center"/>
          </w:tcPr>
          <w:p w14:paraId="1E8910B1">
            <w:pPr>
              <w:pStyle w:val="14"/>
            </w:pPr>
          </w:p>
        </w:tc>
        <w:tc>
          <w:tcPr>
            <w:tcW w:w="1474" w:type="dxa"/>
            <w:vAlign w:val="center"/>
          </w:tcPr>
          <w:p w14:paraId="42027B80">
            <w:pPr>
              <w:pStyle w:val="14"/>
            </w:pPr>
          </w:p>
        </w:tc>
      </w:tr>
      <w:tr w14:paraId="5D1AF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1AA78">
            <w:pPr>
              <w:pStyle w:val="12"/>
            </w:pPr>
            <w:r>
              <w:t>3</w:t>
            </w:r>
          </w:p>
        </w:tc>
        <w:tc>
          <w:tcPr>
            <w:tcW w:w="3402" w:type="dxa"/>
            <w:vAlign w:val="center"/>
          </w:tcPr>
          <w:p w14:paraId="4515F8BB">
            <w:pPr>
              <w:pStyle w:val="13"/>
            </w:pPr>
            <w:r>
              <w:t>三、国有资本经营预算拨款</w:t>
            </w:r>
          </w:p>
        </w:tc>
        <w:tc>
          <w:tcPr>
            <w:tcW w:w="1474" w:type="dxa"/>
            <w:vAlign w:val="center"/>
          </w:tcPr>
          <w:p w14:paraId="18066EB3">
            <w:pPr>
              <w:pStyle w:val="14"/>
            </w:pPr>
          </w:p>
        </w:tc>
        <w:tc>
          <w:tcPr>
            <w:tcW w:w="3402" w:type="dxa"/>
            <w:vAlign w:val="center"/>
          </w:tcPr>
          <w:p w14:paraId="3389AD43">
            <w:pPr>
              <w:pStyle w:val="13"/>
            </w:pPr>
            <w:r>
              <w:t>三、国防支出</w:t>
            </w:r>
          </w:p>
        </w:tc>
        <w:tc>
          <w:tcPr>
            <w:tcW w:w="1474" w:type="dxa"/>
            <w:vAlign w:val="center"/>
          </w:tcPr>
          <w:p w14:paraId="776F4E07">
            <w:pPr>
              <w:pStyle w:val="14"/>
            </w:pPr>
          </w:p>
        </w:tc>
        <w:tc>
          <w:tcPr>
            <w:tcW w:w="1474" w:type="dxa"/>
            <w:vAlign w:val="center"/>
          </w:tcPr>
          <w:p w14:paraId="477FF292">
            <w:pPr>
              <w:pStyle w:val="14"/>
            </w:pPr>
          </w:p>
        </w:tc>
        <w:tc>
          <w:tcPr>
            <w:tcW w:w="1474" w:type="dxa"/>
            <w:vAlign w:val="center"/>
          </w:tcPr>
          <w:p w14:paraId="650A8E33">
            <w:pPr>
              <w:pStyle w:val="14"/>
            </w:pPr>
          </w:p>
        </w:tc>
        <w:tc>
          <w:tcPr>
            <w:tcW w:w="1474" w:type="dxa"/>
            <w:vAlign w:val="center"/>
          </w:tcPr>
          <w:p w14:paraId="626E9B3E">
            <w:pPr>
              <w:pStyle w:val="14"/>
            </w:pPr>
          </w:p>
        </w:tc>
      </w:tr>
      <w:tr w14:paraId="54D8F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EE0E8">
            <w:pPr>
              <w:pStyle w:val="12"/>
            </w:pPr>
            <w:r>
              <w:t>4</w:t>
            </w:r>
          </w:p>
        </w:tc>
        <w:tc>
          <w:tcPr>
            <w:tcW w:w="3402" w:type="dxa"/>
            <w:vAlign w:val="center"/>
          </w:tcPr>
          <w:p w14:paraId="66ED68F3">
            <w:pPr>
              <w:pStyle w:val="13"/>
            </w:pPr>
          </w:p>
        </w:tc>
        <w:tc>
          <w:tcPr>
            <w:tcW w:w="1474" w:type="dxa"/>
            <w:vAlign w:val="center"/>
          </w:tcPr>
          <w:p w14:paraId="17366743">
            <w:pPr>
              <w:pStyle w:val="14"/>
            </w:pPr>
          </w:p>
        </w:tc>
        <w:tc>
          <w:tcPr>
            <w:tcW w:w="3402" w:type="dxa"/>
            <w:vAlign w:val="center"/>
          </w:tcPr>
          <w:p w14:paraId="07FE1696">
            <w:pPr>
              <w:pStyle w:val="13"/>
            </w:pPr>
            <w:r>
              <w:t>四、公共安全支出</w:t>
            </w:r>
          </w:p>
        </w:tc>
        <w:tc>
          <w:tcPr>
            <w:tcW w:w="1474" w:type="dxa"/>
            <w:vAlign w:val="center"/>
          </w:tcPr>
          <w:p w14:paraId="278A9B2F">
            <w:pPr>
              <w:pStyle w:val="14"/>
            </w:pPr>
          </w:p>
        </w:tc>
        <w:tc>
          <w:tcPr>
            <w:tcW w:w="1474" w:type="dxa"/>
            <w:vAlign w:val="center"/>
          </w:tcPr>
          <w:p w14:paraId="13EE25A0">
            <w:pPr>
              <w:pStyle w:val="14"/>
            </w:pPr>
          </w:p>
        </w:tc>
        <w:tc>
          <w:tcPr>
            <w:tcW w:w="1474" w:type="dxa"/>
            <w:vAlign w:val="center"/>
          </w:tcPr>
          <w:p w14:paraId="572919A8">
            <w:pPr>
              <w:pStyle w:val="14"/>
            </w:pPr>
          </w:p>
        </w:tc>
        <w:tc>
          <w:tcPr>
            <w:tcW w:w="1474" w:type="dxa"/>
            <w:vAlign w:val="center"/>
          </w:tcPr>
          <w:p w14:paraId="48F2DA87">
            <w:pPr>
              <w:pStyle w:val="14"/>
            </w:pPr>
          </w:p>
        </w:tc>
      </w:tr>
      <w:tr w14:paraId="5FCB1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4C513">
            <w:pPr>
              <w:pStyle w:val="12"/>
            </w:pPr>
            <w:r>
              <w:t>5</w:t>
            </w:r>
          </w:p>
        </w:tc>
        <w:tc>
          <w:tcPr>
            <w:tcW w:w="3402" w:type="dxa"/>
            <w:vAlign w:val="center"/>
          </w:tcPr>
          <w:p w14:paraId="407411D3">
            <w:pPr>
              <w:pStyle w:val="13"/>
            </w:pPr>
          </w:p>
        </w:tc>
        <w:tc>
          <w:tcPr>
            <w:tcW w:w="1474" w:type="dxa"/>
            <w:vAlign w:val="center"/>
          </w:tcPr>
          <w:p w14:paraId="14BD8246">
            <w:pPr>
              <w:pStyle w:val="14"/>
            </w:pPr>
          </w:p>
        </w:tc>
        <w:tc>
          <w:tcPr>
            <w:tcW w:w="3402" w:type="dxa"/>
            <w:vAlign w:val="center"/>
          </w:tcPr>
          <w:p w14:paraId="782B24FB">
            <w:pPr>
              <w:pStyle w:val="13"/>
            </w:pPr>
            <w:r>
              <w:t>五、教育支出</w:t>
            </w:r>
          </w:p>
        </w:tc>
        <w:tc>
          <w:tcPr>
            <w:tcW w:w="1474" w:type="dxa"/>
            <w:vAlign w:val="center"/>
          </w:tcPr>
          <w:p w14:paraId="54705F51">
            <w:pPr>
              <w:pStyle w:val="14"/>
            </w:pPr>
            <w:r>
              <w:t>873.93</w:t>
            </w:r>
          </w:p>
        </w:tc>
        <w:tc>
          <w:tcPr>
            <w:tcW w:w="1474" w:type="dxa"/>
            <w:vAlign w:val="center"/>
          </w:tcPr>
          <w:p w14:paraId="5674D3E5">
            <w:pPr>
              <w:pStyle w:val="14"/>
            </w:pPr>
            <w:r>
              <w:t>873.93</w:t>
            </w:r>
          </w:p>
        </w:tc>
        <w:tc>
          <w:tcPr>
            <w:tcW w:w="1474" w:type="dxa"/>
            <w:vAlign w:val="center"/>
          </w:tcPr>
          <w:p w14:paraId="3A45A4C0">
            <w:pPr>
              <w:pStyle w:val="14"/>
            </w:pPr>
          </w:p>
        </w:tc>
        <w:tc>
          <w:tcPr>
            <w:tcW w:w="1474" w:type="dxa"/>
            <w:vAlign w:val="center"/>
          </w:tcPr>
          <w:p w14:paraId="2B51B6FE">
            <w:pPr>
              <w:pStyle w:val="14"/>
            </w:pPr>
          </w:p>
        </w:tc>
      </w:tr>
      <w:tr w14:paraId="60871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00794">
            <w:pPr>
              <w:pStyle w:val="12"/>
            </w:pPr>
            <w:r>
              <w:t>6</w:t>
            </w:r>
          </w:p>
        </w:tc>
        <w:tc>
          <w:tcPr>
            <w:tcW w:w="3402" w:type="dxa"/>
            <w:vAlign w:val="center"/>
          </w:tcPr>
          <w:p w14:paraId="38EF0D38">
            <w:pPr>
              <w:pStyle w:val="13"/>
            </w:pPr>
          </w:p>
        </w:tc>
        <w:tc>
          <w:tcPr>
            <w:tcW w:w="1474" w:type="dxa"/>
            <w:vAlign w:val="center"/>
          </w:tcPr>
          <w:p w14:paraId="5DBFAB53">
            <w:pPr>
              <w:pStyle w:val="14"/>
            </w:pPr>
          </w:p>
        </w:tc>
        <w:tc>
          <w:tcPr>
            <w:tcW w:w="3402" w:type="dxa"/>
            <w:vAlign w:val="center"/>
          </w:tcPr>
          <w:p w14:paraId="78320D8F">
            <w:pPr>
              <w:pStyle w:val="13"/>
            </w:pPr>
            <w:r>
              <w:t>六、科学技术支出</w:t>
            </w:r>
          </w:p>
        </w:tc>
        <w:tc>
          <w:tcPr>
            <w:tcW w:w="1474" w:type="dxa"/>
            <w:vAlign w:val="center"/>
          </w:tcPr>
          <w:p w14:paraId="346BEE1E">
            <w:pPr>
              <w:pStyle w:val="14"/>
            </w:pPr>
          </w:p>
        </w:tc>
        <w:tc>
          <w:tcPr>
            <w:tcW w:w="1474" w:type="dxa"/>
            <w:vAlign w:val="center"/>
          </w:tcPr>
          <w:p w14:paraId="49F62729">
            <w:pPr>
              <w:pStyle w:val="14"/>
            </w:pPr>
          </w:p>
        </w:tc>
        <w:tc>
          <w:tcPr>
            <w:tcW w:w="1474" w:type="dxa"/>
            <w:vAlign w:val="center"/>
          </w:tcPr>
          <w:p w14:paraId="78F1725C">
            <w:pPr>
              <w:pStyle w:val="14"/>
            </w:pPr>
          </w:p>
        </w:tc>
        <w:tc>
          <w:tcPr>
            <w:tcW w:w="1474" w:type="dxa"/>
            <w:vAlign w:val="center"/>
          </w:tcPr>
          <w:p w14:paraId="3D9A2244">
            <w:pPr>
              <w:pStyle w:val="14"/>
            </w:pPr>
          </w:p>
        </w:tc>
      </w:tr>
      <w:tr w14:paraId="50F80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FCA8C">
            <w:pPr>
              <w:pStyle w:val="12"/>
            </w:pPr>
            <w:r>
              <w:t>7</w:t>
            </w:r>
          </w:p>
        </w:tc>
        <w:tc>
          <w:tcPr>
            <w:tcW w:w="3402" w:type="dxa"/>
            <w:vAlign w:val="center"/>
          </w:tcPr>
          <w:p w14:paraId="5AB22476">
            <w:pPr>
              <w:pStyle w:val="13"/>
            </w:pPr>
          </w:p>
        </w:tc>
        <w:tc>
          <w:tcPr>
            <w:tcW w:w="1474" w:type="dxa"/>
            <w:vAlign w:val="center"/>
          </w:tcPr>
          <w:p w14:paraId="2285CFCE">
            <w:pPr>
              <w:pStyle w:val="14"/>
            </w:pPr>
          </w:p>
        </w:tc>
        <w:tc>
          <w:tcPr>
            <w:tcW w:w="3402" w:type="dxa"/>
            <w:vAlign w:val="center"/>
          </w:tcPr>
          <w:p w14:paraId="5FF8CD29">
            <w:pPr>
              <w:pStyle w:val="13"/>
            </w:pPr>
            <w:r>
              <w:t>七、文化旅游体育与传媒支出</w:t>
            </w:r>
          </w:p>
        </w:tc>
        <w:tc>
          <w:tcPr>
            <w:tcW w:w="1474" w:type="dxa"/>
            <w:vAlign w:val="center"/>
          </w:tcPr>
          <w:p w14:paraId="0CC85B2B">
            <w:pPr>
              <w:pStyle w:val="14"/>
            </w:pPr>
          </w:p>
        </w:tc>
        <w:tc>
          <w:tcPr>
            <w:tcW w:w="1474" w:type="dxa"/>
            <w:vAlign w:val="center"/>
          </w:tcPr>
          <w:p w14:paraId="3CB3A771">
            <w:pPr>
              <w:pStyle w:val="14"/>
            </w:pPr>
          </w:p>
        </w:tc>
        <w:tc>
          <w:tcPr>
            <w:tcW w:w="1474" w:type="dxa"/>
            <w:vAlign w:val="center"/>
          </w:tcPr>
          <w:p w14:paraId="20071F95">
            <w:pPr>
              <w:pStyle w:val="14"/>
            </w:pPr>
          </w:p>
        </w:tc>
        <w:tc>
          <w:tcPr>
            <w:tcW w:w="1474" w:type="dxa"/>
            <w:vAlign w:val="center"/>
          </w:tcPr>
          <w:p w14:paraId="4A9501F2">
            <w:pPr>
              <w:pStyle w:val="14"/>
            </w:pPr>
          </w:p>
        </w:tc>
      </w:tr>
      <w:tr w14:paraId="21BC1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69067">
            <w:pPr>
              <w:pStyle w:val="12"/>
            </w:pPr>
            <w:r>
              <w:t>8</w:t>
            </w:r>
          </w:p>
        </w:tc>
        <w:tc>
          <w:tcPr>
            <w:tcW w:w="3402" w:type="dxa"/>
            <w:vAlign w:val="center"/>
          </w:tcPr>
          <w:p w14:paraId="579E0D45">
            <w:pPr>
              <w:pStyle w:val="13"/>
            </w:pPr>
          </w:p>
        </w:tc>
        <w:tc>
          <w:tcPr>
            <w:tcW w:w="1474" w:type="dxa"/>
            <w:vAlign w:val="center"/>
          </w:tcPr>
          <w:p w14:paraId="40E1E6E3">
            <w:pPr>
              <w:pStyle w:val="14"/>
            </w:pPr>
          </w:p>
        </w:tc>
        <w:tc>
          <w:tcPr>
            <w:tcW w:w="3402" w:type="dxa"/>
            <w:vAlign w:val="center"/>
          </w:tcPr>
          <w:p w14:paraId="582D5155">
            <w:pPr>
              <w:pStyle w:val="13"/>
            </w:pPr>
            <w:r>
              <w:t>八、社会保障和就业支出</w:t>
            </w:r>
          </w:p>
        </w:tc>
        <w:tc>
          <w:tcPr>
            <w:tcW w:w="1474" w:type="dxa"/>
            <w:vAlign w:val="center"/>
          </w:tcPr>
          <w:p w14:paraId="58A55D0C">
            <w:pPr>
              <w:pStyle w:val="14"/>
            </w:pPr>
          </w:p>
        </w:tc>
        <w:tc>
          <w:tcPr>
            <w:tcW w:w="1474" w:type="dxa"/>
            <w:vAlign w:val="center"/>
          </w:tcPr>
          <w:p w14:paraId="01816E8B">
            <w:pPr>
              <w:pStyle w:val="14"/>
            </w:pPr>
          </w:p>
        </w:tc>
        <w:tc>
          <w:tcPr>
            <w:tcW w:w="1474" w:type="dxa"/>
            <w:vAlign w:val="center"/>
          </w:tcPr>
          <w:p w14:paraId="3F85D540">
            <w:pPr>
              <w:pStyle w:val="14"/>
            </w:pPr>
          </w:p>
        </w:tc>
        <w:tc>
          <w:tcPr>
            <w:tcW w:w="1474" w:type="dxa"/>
            <w:vAlign w:val="center"/>
          </w:tcPr>
          <w:p w14:paraId="62BFDD0B">
            <w:pPr>
              <w:pStyle w:val="14"/>
            </w:pPr>
          </w:p>
        </w:tc>
      </w:tr>
      <w:tr w14:paraId="2FA57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2FF34">
            <w:pPr>
              <w:pStyle w:val="12"/>
            </w:pPr>
            <w:r>
              <w:t>9</w:t>
            </w:r>
          </w:p>
        </w:tc>
        <w:tc>
          <w:tcPr>
            <w:tcW w:w="3402" w:type="dxa"/>
            <w:vAlign w:val="center"/>
          </w:tcPr>
          <w:p w14:paraId="4C577FC5">
            <w:pPr>
              <w:pStyle w:val="13"/>
            </w:pPr>
          </w:p>
        </w:tc>
        <w:tc>
          <w:tcPr>
            <w:tcW w:w="1474" w:type="dxa"/>
            <w:vAlign w:val="center"/>
          </w:tcPr>
          <w:p w14:paraId="4E06E5D2">
            <w:pPr>
              <w:pStyle w:val="14"/>
            </w:pPr>
          </w:p>
        </w:tc>
        <w:tc>
          <w:tcPr>
            <w:tcW w:w="3402" w:type="dxa"/>
            <w:vAlign w:val="center"/>
          </w:tcPr>
          <w:p w14:paraId="0B6370AB">
            <w:pPr>
              <w:pStyle w:val="13"/>
            </w:pPr>
            <w:r>
              <w:t>九、社会保险基金支出</w:t>
            </w:r>
          </w:p>
        </w:tc>
        <w:tc>
          <w:tcPr>
            <w:tcW w:w="1474" w:type="dxa"/>
            <w:vAlign w:val="center"/>
          </w:tcPr>
          <w:p w14:paraId="05938B5E">
            <w:pPr>
              <w:pStyle w:val="14"/>
            </w:pPr>
          </w:p>
        </w:tc>
        <w:tc>
          <w:tcPr>
            <w:tcW w:w="1474" w:type="dxa"/>
            <w:vAlign w:val="center"/>
          </w:tcPr>
          <w:p w14:paraId="6AD67547">
            <w:pPr>
              <w:pStyle w:val="14"/>
            </w:pPr>
          </w:p>
        </w:tc>
        <w:tc>
          <w:tcPr>
            <w:tcW w:w="1474" w:type="dxa"/>
            <w:vAlign w:val="center"/>
          </w:tcPr>
          <w:p w14:paraId="5849EA94">
            <w:pPr>
              <w:pStyle w:val="14"/>
            </w:pPr>
          </w:p>
        </w:tc>
        <w:tc>
          <w:tcPr>
            <w:tcW w:w="1474" w:type="dxa"/>
            <w:vAlign w:val="center"/>
          </w:tcPr>
          <w:p w14:paraId="333E893D">
            <w:pPr>
              <w:pStyle w:val="14"/>
            </w:pPr>
          </w:p>
        </w:tc>
      </w:tr>
      <w:tr w14:paraId="3C166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8D8AB">
            <w:pPr>
              <w:pStyle w:val="12"/>
            </w:pPr>
            <w:r>
              <w:t>10</w:t>
            </w:r>
          </w:p>
        </w:tc>
        <w:tc>
          <w:tcPr>
            <w:tcW w:w="3402" w:type="dxa"/>
            <w:vAlign w:val="center"/>
          </w:tcPr>
          <w:p w14:paraId="0031915F">
            <w:pPr>
              <w:pStyle w:val="13"/>
            </w:pPr>
          </w:p>
        </w:tc>
        <w:tc>
          <w:tcPr>
            <w:tcW w:w="1474" w:type="dxa"/>
            <w:vAlign w:val="center"/>
          </w:tcPr>
          <w:p w14:paraId="3F156427">
            <w:pPr>
              <w:pStyle w:val="14"/>
            </w:pPr>
          </w:p>
        </w:tc>
        <w:tc>
          <w:tcPr>
            <w:tcW w:w="3402" w:type="dxa"/>
            <w:vAlign w:val="center"/>
          </w:tcPr>
          <w:p w14:paraId="13AB9221">
            <w:pPr>
              <w:pStyle w:val="13"/>
            </w:pPr>
            <w:r>
              <w:t>十、卫生健康支出</w:t>
            </w:r>
          </w:p>
        </w:tc>
        <w:tc>
          <w:tcPr>
            <w:tcW w:w="1474" w:type="dxa"/>
            <w:vAlign w:val="center"/>
          </w:tcPr>
          <w:p w14:paraId="65CA2AD4">
            <w:pPr>
              <w:pStyle w:val="14"/>
            </w:pPr>
          </w:p>
        </w:tc>
        <w:tc>
          <w:tcPr>
            <w:tcW w:w="1474" w:type="dxa"/>
            <w:vAlign w:val="center"/>
          </w:tcPr>
          <w:p w14:paraId="2336256F">
            <w:pPr>
              <w:pStyle w:val="14"/>
            </w:pPr>
          </w:p>
        </w:tc>
        <w:tc>
          <w:tcPr>
            <w:tcW w:w="1474" w:type="dxa"/>
            <w:vAlign w:val="center"/>
          </w:tcPr>
          <w:p w14:paraId="19043ED6">
            <w:pPr>
              <w:pStyle w:val="14"/>
            </w:pPr>
          </w:p>
        </w:tc>
        <w:tc>
          <w:tcPr>
            <w:tcW w:w="1474" w:type="dxa"/>
            <w:vAlign w:val="center"/>
          </w:tcPr>
          <w:p w14:paraId="6ACD69EA">
            <w:pPr>
              <w:pStyle w:val="14"/>
            </w:pPr>
          </w:p>
        </w:tc>
      </w:tr>
      <w:tr w14:paraId="31AB4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C65D0">
            <w:pPr>
              <w:pStyle w:val="12"/>
            </w:pPr>
            <w:r>
              <w:t>11</w:t>
            </w:r>
          </w:p>
        </w:tc>
        <w:tc>
          <w:tcPr>
            <w:tcW w:w="3402" w:type="dxa"/>
            <w:vAlign w:val="center"/>
          </w:tcPr>
          <w:p w14:paraId="20328E9D">
            <w:pPr>
              <w:pStyle w:val="13"/>
            </w:pPr>
          </w:p>
        </w:tc>
        <w:tc>
          <w:tcPr>
            <w:tcW w:w="1474" w:type="dxa"/>
            <w:vAlign w:val="center"/>
          </w:tcPr>
          <w:p w14:paraId="60042653">
            <w:pPr>
              <w:pStyle w:val="14"/>
            </w:pPr>
          </w:p>
        </w:tc>
        <w:tc>
          <w:tcPr>
            <w:tcW w:w="3402" w:type="dxa"/>
            <w:vAlign w:val="center"/>
          </w:tcPr>
          <w:p w14:paraId="597A51F2">
            <w:pPr>
              <w:pStyle w:val="13"/>
            </w:pPr>
            <w:r>
              <w:t>十一、节能环保支出</w:t>
            </w:r>
          </w:p>
        </w:tc>
        <w:tc>
          <w:tcPr>
            <w:tcW w:w="1474" w:type="dxa"/>
            <w:vAlign w:val="center"/>
          </w:tcPr>
          <w:p w14:paraId="4A2C1C9B">
            <w:pPr>
              <w:pStyle w:val="14"/>
            </w:pPr>
          </w:p>
        </w:tc>
        <w:tc>
          <w:tcPr>
            <w:tcW w:w="1474" w:type="dxa"/>
            <w:vAlign w:val="center"/>
          </w:tcPr>
          <w:p w14:paraId="1C1EB738">
            <w:pPr>
              <w:pStyle w:val="14"/>
            </w:pPr>
          </w:p>
        </w:tc>
        <w:tc>
          <w:tcPr>
            <w:tcW w:w="1474" w:type="dxa"/>
            <w:vAlign w:val="center"/>
          </w:tcPr>
          <w:p w14:paraId="74971886">
            <w:pPr>
              <w:pStyle w:val="14"/>
            </w:pPr>
          </w:p>
        </w:tc>
        <w:tc>
          <w:tcPr>
            <w:tcW w:w="1474" w:type="dxa"/>
            <w:vAlign w:val="center"/>
          </w:tcPr>
          <w:p w14:paraId="66B8A131">
            <w:pPr>
              <w:pStyle w:val="14"/>
            </w:pPr>
          </w:p>
        </w:tc>
      </w:tr>
      <w:tr w14:paraId="4C61B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C5A56">
            <w:pPr>
              <w:pStyle w:val="12"/>
            </w:pPr>
            <w:r>
              <w:t>12</w:t>
            </w:r>
          </w:p>
        </w:tc>
        <w:tc>
          <w:tcPr>
            <w:tcW w:w="3402" w:type="dxa"/>
            <w:vAlign w:val="center"/>
          </w:tcPr>
          <w:p w14:paraId="0E907A69">
            <w:pPr>
              <w:pStyle w:val="13"/>
            </w:pPr>
          </w:p>
        </w:tc>
        <w:tc>
          <w:tcPr>
            <w:tcW w:w="1474" w:type="dxa"/>
            <w:vAlign w:val="center"/>
          </w:tcPr>
          <w:p w14:paraId="2D9EF548">
            <w:pPr>
              <w:pStyle w:val="14"/>
            </w:pPr>
          </w:p>
        </w:tc>
        <w:tc>
          <w:tcPr>
            <w:tcW w:w="3402" w:type="dxa"/>
            <w:vAlign w:val="center"/>
          </w:tcPr>
          <w:p w14:paraId="40D04D58">
            <w:pPr>
              <w:pStyle w:val="13"/>
            </w:pPr>
            <w:r>
              <w:t>十二、城乡社区支出</w:t>
            </w:r>
          </w:p>
        </w:tc>
        <w:tc>
          <w:tcPr>
            <w:tcW w:w="1474" w:type="dxa"/>
            <w:vAlign w:val="center"/>
          </w:tcPr>
          <w:p w14:paraId="4BA1B779">
            <w:pPr>
              <w:pStyle w:val="14"/>
            </w:pPr>
          </w:p>
        </w:tc>
        <w:tc>
          <w:tcPr>
            <w:tcW w:w="1474" w:type="dxa"/>
            <w:vAlign w:val="center"/>
          </w:tcPr>
          <w:p w14:paraId="43948291">
            <w:pPr>
              <w:pStyle w:val="14"/>
            </w:pPr>
          </w:p>
        </w:tc>
        <w:tc>
          <w:tcPr>
            <w:tcW w:w="1474" w:type="dxa"/>
            <w:vAlign w:val="center"/>
          </w:tcPr>
          <w:p w14:paraId="6424CD7E">
            <w:pPr>
              <w:pStyle w:val="14"/>
            </w:pPr>
          </w:p>
        </w:tc>
        <w:tc>
          <w:tcPr>
            <w:tcW w:w="1474" w:type="dxa"/>
            <w:vAlign w:val="center"/>
          </w:tcPr>
          <w:p w14:paraId="6C69D139">
            <w:pPr>
              <w:pStyle w:val="14"/>
            </w:pPr>
          </w:p>
        </w:tc>
      </w:tr>
      <w:tr w14:paraId="54B35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2B021">
            <w:pPr>
              <w:pStyle w:val="12"/>
            </w:pPr>
            <w:r>
              <w:t>13</w:t>
            </w:r>
          </w:p>
        </w:tc>
        <w:tc>
          <w:tcPr>
            <w:tcW w:w="3402" w:type="dxa"/>
            <w:vAlign w:val="center"/>
          </w:tcPr>
          <w:p w14:paraId="0B527E26">
            <w:pPr>
              <w:pStyle w:val="13"/>
            </w:pPr>
          </w:p>
        </w:tc>
        <w:tc>
          <w:tcPr>
            <w:tcW w:w="1474" w:type="dxa"/>
            <w:vAlign w:val="center"/>
          </w:tcPr>
          <w:p w14:paraId="39C9F71C">
            <w:pPr>
              <w:pStyle w:val="14"/>
            </w:pPr>
          </w:p>
        </w:tc>
        <w:tc>
          <w:tcPr>
            <w:tcW w:w="3402" w:type="dxa"/>
            <w:vAlign w:val="center"/>
          </w:tcPr>
          <w:p w14:paraId="1FCC10AE">
            <w:pPr>
              <w:pStyle w:val="13"/>
            </w:pPr>
            <w:r>
              <w:t>十三、农林水支出</w:t>
            </w:r>
          </w:p>
        </w:tc>
        <w:tc>
          <w:tcPr>
            <w:tcW w:w="1474" w:type="dxa"/>
            <w:vAlign w:val="center"/>
          </w:tcPr>
          <w:p w14:paraId="7C028FB5">
            <w:pPr>
              <w:pStyle w:val="14"/>
            </w:pPr>
          </w:p>
        </w:tc>
        <w:tc>
          <w:tcPr>
            <w:tcW w:w="1474" w:type="dxa"/>
            <w:vAlign w:val="center"/>
          </w:tcPr>
          <w:p w14:paraId="4360C59F">
            <w:pPr>
              <w:pStyle w:val="14"/>
            </w:pPr>
          </w:p>
        </w:tc>
        <w:tc>
          <w:tcPr>
            <w:tcW w:w="1474" w:type="dxa"/>
            <w:vAlign w:val="center"/>
          </w:tcPr>
          <w:p w14:paraId="22F4ED91">
            <w:pPr>
              <w:pStyle w:val="14"/>
            </w:pPr>
          </w:p>
        </w:tc>
        <w:tc>
          <w:tcPr>
            <w:tcW w:w="1474" w:type="dxa"/>
            <w:vAlign w:val="center"/>
          </w:tcPr>
          <w:p w14:paraId="155EF07C">
            <w:pPr>
              <w:pStyle w:val="14"/>
            </w:pPr>
          </w:p>
        </w:tc>
      </w:tr>
      <w:tr w14:paraId="48DBF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C685D">
            <w:pPr>
              <w:pStyle w:val="12"/>
            </w:pPr>
            <w:r>
              <w:t>14</w:t>
            </w:r>
          </w:p>
        </w:tc>
        <w:tc>
          <w:tcPr>
            <w:tcW w:w="3402" w:type="dxa"/>
            <w:vAlign w:val="center"/>
          </w:tcPr>
          <w:p w14:paraId="0A0B30F0">
            <w:pPr>
              <w:pStyle w:val="13"/>
            </w:pPr>
          </w:p>
        </w:tc>
        <w:tc>
          <w:tcPr>
            <w:tcW w:w="1474" w:type="dxa"/>
            <w:vAlign w:val="center"/>
          </w:tcPr>
          <w:p w14:paraId="5C1E39C5">
            <w:pPr>
              <w:pStyle w:val="14"/>
            </w:pPr>
          </w:p>
        </w:tc>
        <w:tc>
          <w:tcPr>
            <w:tcW w:w="3402" w:type="dxa"/>
            <w:vAlign w:val="center"/>
          </w:tcPr>
          <w:p w14:paraId="0A355E3A">
            <w:pPr>
              <w:pStyle w:val="13"/>
            </w:pPr>
            <w:r>
              <w:t>十四、交通运输支出</w:t>
            </w:r>
          </w:p>
        </w:tc>
        <w:tc>
          <w:tcPr>
            <w:tcW w:w="1474" w:type="dxa"/>
            <w:vAlign w:val="center"/>
          </w:tcPr>
          <w:p w14:paraId="0149847B">
            <w:pPr>
              <w:pStyle w:val="14"/>
            </w:pPr>
          </w:p>
        </w:tc>
        <w:tc>
          <w:tcPr>
            <w:tcW w:w="1474" w:type="dxa"/>
            <w:vAlign w:val="center"/>
          </w:tcPr>
          <w:p w14:paraId="0AD2D522">
            <w:pPr>
              <w:pStyle w:val="14"/>
            </w:pPr>
          </w:p>
        </w:tc>
        <w:tc>
          <w:tcPr>
            <w:tcW w:w="1474" w:type="dxa"/>
            <w:vAlign w:val="center"/>
          </w:tcPr>
          <w:p w14:paraId="457AD903">
            <w:pPr>
              <w:pStyle w:val="14"/>
            </w:pPr>
          </w:p>
        </w:tc>
        <w:tc>
          <w:tcPr>
            <w:tcW w:w="1474" w:type="dxa"/>
            <w:vAlign w:val="center"/>
          </w:tcPr>
          <w:p w14:paraId="3DFE4860">
            <w:pPr>
              <w:pStyle w:val="14"/>
            </w:pPr>
          </w:p>
        </w:tc>
      </w:tr>
      <w:tr w14:paraId="7CB75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F1F17">
            <w:pPr>
              <w:pStyle w:val="12"/>
            </w:pPr>
            <w:r>
              <w:t>15</w:t>
            </w:r>
          </w:p>
        </w:tc>
        <w:tc>
          <w:tcPr>
            <w:tcW w:w="3402" w:type="dxa"/>
            <w:vAlign w:val="center"/>
          </w:tcPr>
          <w:p w14:paraId="7469888D">
            <w:pPr>
              <w:pStyle w:val="13"/>
            </w:pPr>
          </w:p>
        </w:tc>
        <w:tc>
          <w:tcPr>
            <w:tcW w:w="1474" w:type="dxa"/>
            <w:vAlign w:val="center"/>
          </w:tcPr>
          <w:p w14:paraId="5C8C3A5B">
            <w:pPr>
              <w:pStyle w:val="14"/>
            </w:pPr>
          </w:p>
        </w:tc>
        <w:tc>
          <w:tcPr>
            <w:tcW w:w="3402" w:type="dxa"/>
            <w:vAlign w:val="center"/>
          </w:tcPr>
          <w:p w14:paraId="09D69B8A">
            <w:pPr>
              <w:pStyle w:val="13"/>
            </w:pPr>
            <w:r>
              <w:t>十五、资源勘探工业信息等支出</w:t>
            </w:r>
          </w:p>
        </w:tc>
        <w:tc>
          <w:tcPr>
            <w:tcW w:w="1474" w:type="dxa"/>
            <w:vAlign w:val="center"/>
          </w:tcPr>
          <w:p w14:paraId="27C80A83">
            <w:pPr>
              <w:pStyle w:val="14"/>
            </w:pPr>
          </w:p>
        </w:tc>
        <w:tc>
          <w:tcPr>
            <w:tcW w:w="1474" w:type="dxa"/>
            <w:vAlign w:val="center"/>
          </w:tcPr>
          <w:p w14:paraId="7C3180AE">
            <w:pPr>
              <w:pStyle w:val="14"/>
            </w:pPr>
          </w:p>
        </w:tc>
        <w:tc>
          <w:tcPr>
            <w:tcW w:w="1474" w:type="dxa"/>
            <w:vAlign w:val="center"/>
          </w:tcPr>
          <w:p w14:paraId="24F9F55F">
            <w:pPr>
              <w:pStyle w:val="14"/>
            </w:pPr>
          </w:p>
        </w:tc>
        <w:tc>
          <w:tcPr>
            <w:tcW w:w="1474" w:type="dxa"/>
            <w:vAlign w:val="center"/>
          </w:tcPr>
          <w:p w14:paraId="1516A808">
            <w:pPr>
              <w:pStyle w:val="14"/>
            </w:pPr>
          </w:p>
        </w:tc>
      </w:tr>
      <w:tr w14:paraId="42CBA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8783250">
            <w:pPr>
              <w:pStyle w:val="12"/>
            </w:pPr>
            <w:r>
              <w:t>16</w:t>
            </w:r>
          </w:p>
        </w:tc>
        <w:tc>
          <w:tcPr>
            <w:tcW w:w="3402" w:type="dxa"/>
            <w:vAlign w:val="center"/>
          </w:tcPr>
          <w:p w14:paraId="1E1797C4">
            <w:pPr>
              <w:pStyle w:val="13"/>
            </w:pPr>
          </w:p>
        </w:tc>
        <w:tc>
          <w:tcPr>
            <w:tcW w:w="1474" w:type="dxa"/>
            <w:vAlign w:val="center"/>
          </w:tcPr>
          <w:p w14:paraId="3AB07C16">
            <w:pPr>
              <w:pStyle w:val="14"/>
            </w:pPr>
          </w:p>
        </w:tc>
        <w:tc>
          <w:tcPr>
            <w:tcW w:w="3402" w:type="dxa"/>
            <w:vAlign w:val="center"/>
          </w:tcPr>
          <w:p w14:paraId="58E98AB9">
            <w:pPr>
              <w:pStyle w:val="13"/>
            </w:pPr>
            <w:r>
              <w:t>十六、商业服务业等支出</w:t>
            </w:r>
          </w:p>
        </w:tc>
        <w:tc>
          <w:tcPr>
            <w:tcW w:w="1474" w:type="dxa"/>
            <w:vAlign w:val="center"/>
          </w:tcPr>
          <w:p w14:paraId="0D28B487">
            <w:pPr>
              <w:pStyle w:val="14"/>
            </w:pPr>
          </w:p>
        </w:tc>
        <w:tc>
          <w:tcPr>
            <w:tcW w:w="1474" w:type="dxa"/>
            <w:vAlign w:val="center"/>
          </w:tcPr>
          <w:p w14:paraId="3CCE840A">
            <w:pPr>
              <w:pStyle w:val="14"/>
            </w:pPr>
          </w:p>
        </w:tc>
        <w:tc>
          <w:tcPr>
            <w:tcW w:w="1474" w:type="dxa"/>
            <w:vAlign w:val="center"/>
          </w:tcPr>
          <w:p w14:paraId="581C447A">
            <w:pPr>
              <w:pStyle w:val="14"/>
            </w:pPr>
          </w:p>
        </w:tc>
        <w:tc>
          <w:tcPr>
            <w:tcW w:w="1474" w:type="dxa"/>
            <w:vAlign w:val="center"/>
          </w:tcPr>
          <w:p w14:paraId="0B6B221E">
            <w:pPr>
              <w:pStyle w:val="14"/>
            </w:pPr>
          </w:p>
        </w:tc>
      </w:tr>
      <w:tr w14:paraId="29857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F8BB9">
            <w:pPr>
              <w:pStyle w:val="12"/>
            </w:pPr>
            <w:r>
              <w:t>17</w:t>
            </w:r>
          </w:p>
        </w:tc>
        <w:tc>
          <w:tcPr>
            <w:tcW w:w="3402" w:type="dxa"/>
            <w:vAlign w:val="center"/>
          </w:tcPr>
          <w:p w14:paraId="07AF177D">
            <w:pPr>
              <w:pStyle w:val="13"/>
            </w:pPr>
          </w:p>
        </w:tc>
        <w:tc>
          <w:tcPr>
            <w:tcW w:w="1474" w:type="dxa"/>
            <w:vAlign w:val="center"/>
          </w:tcPr>
          <w:p w14:paraId="56689966">
            <w:pPr>
              <w:pStyle w:val="14"/>
            </w:pPr>
          </w:p>
        </w:tc>
        <w:tc>
          <w:tcPr>
            <w:tcW w:w="3402" w:type="dxa"/>
            <w:vAlign w:val="center"/>
          </w:tcPr>
          <w:p w14:paraId="3D0826BC">
            <w:pPr>
              <w:pStyle w:val="13"/>
            </w:pPr>
            <w:r>
              <w:t>十七、金融支出</w:t>
            </w:r>
          </w:p>
        </w:tc>
        <w:tc>
          <w:tcPr>
            <w:tcW w:w="1474" w:type="dxa"/>
            <w:vAlign w:val="center"/>
          </w:tcPr>
          <w:p w14:paraId="4F72137E">
            <w:pPr>
              <w:pStyle w:val="14"/>
            </w:pPr>
          </w:p>
        </w:tc>
        <w:tc>
          <w:tcPr>
            <w:tcW w:w="1474" w:type="dxa"/>
            <w:vAlign w:val="center"/>
          </w:tcPr>
          <w:p w14:paraId="19C0B7DC">
            <w:pPr>
              <w:pStyle w:val="14"/>
            </w:pPr>
          </w:p>
        </w:tc>
        <w:tc>
          <w:tcPr>
            <w:tcW w:w="1474" w:type="dxa"/>
            <w:vAlign w:val="center"/>
          </w:tcPr>
          <w:p w14:paraId="45C8302A">
            <w:pPr>
              <w:pStyle w:val="14"/>
            </w:pPr>
          </w:p>
        </w:tc>
        <w:tc>
          <w:tcPr>
            <w:tcW w:w="1474" w:type="dxa"/>
            <w:vAlign w:val="center"/>
          </w:tcPr>
          <w:p w14:paraId="036D068B">
            <w:pPr>
              <w:pStyle w:val="14"/>
            </w:pPr>
          </w:p>
        </w:tc>
      </w:tr>
      <w:tr w14:paraId="579F4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F44AA">
            <w:pPr>
              <w:pStyle w:val="12"/>
            </w:pPr>
            <w:r>
              <w:t>18</w:t>
            </w:r>
          </w:p>
        </w:tc>
        <w:tc>
          <w:tcPr>
            <w:tcW w:w="3402" w:type="dxa"/>
            <w:vAlign w:val="center"/>
          </w:tcPr>
          <w:p w14:paraId="57699EE4">
            <w:pPr>
              <w:pStyle w:val="13"/>
            </w:pPr>
          </w:p>
        </w:tc>
        <w:tc>
          <w:tcPr>
            <w:tcW w:w="1474" w:type="dxa"/>
            <w:vAlign w:val="center"/>
          </w:tcPr>
          <w:p w14:paraId="65130AE1">
            <w:pPr>
              <w:pStyle w:val="14"/>
            </w:pPr>
          </w:p>
        </w:tc>
        <w:tc>
          <w:tcPr>
            <w:tcW w:w="3402" w:type="dxa"/>
            <w:vAlign w:val="center"/>
          </w:tcPr>
          <w:p w14:paraId="14C9A94C">
            <w:pPr>
              <w:pStyle w:val="13"/>
            </w:pPr>
            <w:r>
              <w:t>十八、援助其他地区支出</w:t>
            </w:r>
          </w:p>
        </w:tc>
        <w:tc>
          <w:tcPr>
            <w:tcW w:w="1474" w:type="dxa"/>
            <w:vAlign w:val="center"/>
          </w:tcPr>
          <w:p w14:paraId="4E21051C">
            <w:pPr>
              <w:pStyle w:val="14"/>
            </w:pPr>
          </w:p>
        </w:tc>
        <w:tc>
          <w:tcPr>
            <w:tcW w:w="1474" w:type="dxa"/>
            <w:vAlign w:val="center"/>
          </w:tcPr>
          <w:p w14:paraId="19890308">
            <w:pPr>
              <w:pStyle w:val="14"/>
            </w:pPr>
          </w:p>
        </w:tc>
        <w:tc>
          <w:tcPr>
            <w:tcW w:w="1474" w:type="dxa"/>
            <w:vAlign w:val="center"/>
          </w:tcPr>
          <w:p w14:paraId="02AA5198">
            <w:pPr>
              <w:pStyle w:val="14"/>
            </w:pPr>
          </w:p>
        </w:tc>
        <w:tc>
          <w:tcPr>
            <w:tcW w:w="1474" w:type="dxa"/>
            <w:vAlign w:val="center"/>
          </w:tcPr>
          <w:p w14:paraId="243AFAAC">
            <w:pPr>
              <w:pStyle w:val="14"/>
            </w:pPr>
          </w:p>
        </w:tc>
      </w:tr>
      <w:tr w14:paraId="3CDFE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96F71">
            <w:pPr>
              <w:pStyle w:val="12"/>
            </w:pPr>
            <w:r>
              <w:t>19</w:t>
            </w:r>
          </w:p>
        </w:tc>
        <w:tc>
          <w:tcPr>
            <w:tcW w:w="3402" w:type="dxa"/>
            <w:vAlign w:val="center"/>
          </w:tcPr>
          <w:p w14:paraId="2E352388">
            <w:pPr>
              <w:pStyle w:val="13"/>
            </w:pPr>
          </w:p>
        </w:tc>
        <w:tc>
          <w:tcPr>
            <w:tcW w:w="1474" w:type="dxa"/>
            <w:vAlign w:val="center"/>
          </w:tcPr>
          <w:p w14:paraId="201AA2A3">
            <w:pPr>
              <w:pStyle w:val="14"/>
            </w:pPr>
          </w:p>
        </w:tc>
        <w:tc>
          <w:tcPr>
            <w:tcW w:w="3402" w:type="dxa"/>
            <w:vAlign w:val="center"/>
          </w:tcPr>
          <w:p w14:paraId="5FF570A1">
            <w:pPr>
              <w:pStyle w:val="13"/>
            </w:pPr>
            <w:r>
              <w:t>十九、自然资源海洋气象等支出</w:t>
            </w:r>
          </w:p>
        </w:tc>
        <w:tc>
          <w:tcPr>
            <w:tcW w:w="1474" w:type="dxa"/>
            <w:vAlign w:val="center"/>
          </w:tcPr>
          <w:p w14:paraId="3C346019">
            <w:pPr>
              <w:pStyle w:val="14"/>
            </w:pPr>
          </w:p>
        </w:tc>
        <w:tc>
          <w:tcPr>
            <w:tcW w:w="1474" w:type="dxa"/>
            <w:vAlign w:val="center"/>
          </w:tcPr>
          <w:p w14:paraId="222435BB">
            <w:pPr>
              <w:pStyle w:val="14"/>
            </w:pPr>
          </w:p>
        </w:tc>
        <w:tc>
          <w:tcPr>
            <w:tcW w:w="1474" w:type="dxa"/>
            <w:vAlign w:val="center"/>
          </w:tcPr>
          <w:p w14:paraId="2BDB5794">
            <w:pPr>
              <w:pStyle w:val="14"/>
            </w:pPr>
          </w:p>
        </w:tc>
        <w:tc>
          <w:tcPr>
            <w:tcW w:w="1474" w:type="dxa"/>
            <w:vAlign w:val="center"/>
          </w:tcPr>
          <w:p w14:paraId="2B039242">
            <w:pPr>
              <w:pStyle w:val="14"/>
            </w:pPr>
          </w:p>
        </w:tc>
      </w:tr>
      <w:tr w14:paraId="6B720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91E74">
            <w:pPr>
              <w:pStyle w:val="12"/>
            </w:pPr>
            <w:r>
              <w:t>20</w:t>
            </w:r>
          </w:p>
        </w:tc>
        <w:tc>
          <w:tcPr>
            <w:tcW w:w="3402" w:type="dxa"/>
            <w:vAlign w:val="center"/>
          </w:tcPr>
          <w:p w14:paraId="0A470612">
            <w:pPr>
              <w:pStyle w:val="13"/>
            </w:pPr>
          </w:p>
        </w:tc>
        <w:tc>
          <w:tcPr>
            <w:tcW w:w="1474" w:type="dxa"/>
            <w:vAlign w:val="center"/>
          </w:tcPr>
          <w:p w14:paraId="63D36E00">
            <w:pPr>
              <w:pStyle w:val="14"/>
            </w:pPr>
          </w:p>
        </w:tc>
        <w:tc>
          <w:tcPr>
            <w:tcW w:w="3402" w:type="dxa"/>
            <w:vAlign w:val="center"/>
          </w:tcPr>
          <w:p w14:paraId="7C5A02D2">
            <w:pPr>
              <w:pStyle w:val="13"/>
            </w:pPr>
            <w:r>
              <w:t>二十、住房保障支出</w:t>
            </w:r>
          </w:p>
        </w:tc>
        <w:tc>
          <w:tcPr>
            <w:tcW w:w="1474" w:type="dxa"/>
            <w:vAlign w:val="center"/>
          </w:tcPr>
          <w:p w14:paraId="69BD04D1">
            <w:pPr>
              <w:pStyle w:val="14"/>
            </w:pPr>
          </w:p>
        </w:tc>
        <w:tc>
          <w:tcPr>
            <w:tcW w:w="1474" w:type="dxa"/>
            <w:vAlign w:val="center"/>
          </w:tcPr>
          <w:p w14:paraId="41285D2C">
            <w:pPr>
              <w:pStyle w:val="14"/>
            </w:pPr>
          </w:p>
        </w:tc>
        <w:tc>
          <w:tcPr>
            <w:tcW w:w="1474" w:type="dxa"/>
            <w:vAlign w:val="center"/>
          </w:tcPr>
          <w:p w14:paraId="32D73B79">
            <w:pPr>
              <w:pStyle w:val="14"/>
            </w:pPr>
          </w:p>
        </w:tc>
        <w:tc>
          <w:tcPr>
            <w:tcW w:w="1474" w:type="dxa"/>
            <w:vAlign w:val="center"/>
          </w:tcPr>
          <w:p w14:paraId="0C9AE75F">
            <w:pPr>
              <w:pStyle w:val="14"/>
            </w:pPr>
          </w:p>
        </w:tc>
      </w:tr>
      <w:tr w14:paraId="4F2F1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4A964">
            <w:pPr>
              <w:pStyle w:val="12"/>
            </w:pPr>
            <w:r>
              <w:t>21</w:t>
            </w:r>
          </w:p>
        </w:tc>
        <w:tc>
          <w:tcPr>
            <w:tcW w:w="3402" w:type="dxa"/>
            <w:vAlign w:val="center"/>
          </w:tcPr>
          <w:p w14:paraId="230A8934">
            <w:pPr>
              <w:pStyle w:val="13"/>
            </w:pPr>
          </w:p>
        </w:tc>
        <w:tc>
          <w:tcPr>
            <w:tcW w:w="1474" w:type="dxa"/>
            <w:vAlign w:val="center"/>
          </w:tcPr>
          <w:p w14:paraId="30D34D52">
            <w:pPr>
              <w:pStyle w:val="14"/>
            </w:pPr>
          </w:p>
        </w:tc>
        <w:tc>
          <w:tcPr>
            <w:tcW w:w="3402" w:type="dxa"/>
            <w:vAlign w:val="center"/>
          </w:tcPr>
          <w:p w14:paraId="5121E191">
            <w:pPr>
              <w:pStyle w:val="13"/>
            </w:pPr>
            <w:r>
              <w:t>二十一、粮油物资储备支出</w:t>
            </w:r>
          </w:p>
        </w:tc>
        <w:tc>
          <w:tcPr>
            <w:tcW w:w="1474" w:type="dxa"/>
            <w:vAlign w:val="center"/>
          </w:tcPr>
          <w:p w14:paraId="7DD932C4">
            <w:pPr>
              <w:pStyle w:val="14"/>
            </w:pPr>
          </w:p>
        </w:tc>
        <w:tc>
          <w:tcPr>
            <w:tcW w:w="1474" w:type="dxa"/>
            <w:vAlign w:val="center"/>
          </w:tcPr>
          <w:p w14:paraId="31CDF089">
            <w:pPr>
              <w:pStyle w:val="14"/>
            </w:pPr>
          </w:p>
        </w:tc>
        <w:tc>
          <w:tcPr>
            <w:tcW w:w="1474" w:type="dxa"/>
            <w:vAlign w:val="center"/>
          </w:tcPr>
          <w:p w14:paraId="55C09078">
            <w:pPr>
              <w:pStyle w:val="14"/>
            </w:pPr>
          </w:p>
        </w:tc>
        <w:tc>
          <w:tcPr>
            <w:tcW w:w="1474" w:type="dxa"/>
            <w:vAlign w:val="center"/>
          </w:tcPr>
          <w:p w14:paraId="260A7F74">
            <w:pPr>
              <w:pStyle w:val="14"/>
            </w:pPr>
          </w:p>
        </w:tc>
      </w:tr>
      <w:tr w14:paraId="02781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A8058">
            <w:pPr>
              <w:pStyle w:val="12"/>
            </w:pPr>
            <w:r>
              <w:t>22</w:t>
            </w:r>
          </w:p>
        </w:tc>
        <w:tc>
          <w:tcPr>
            <w:tcW w:w="3402" w:type="dxa"/>
            <w:vAlign w:val="center"/>
          </w:tcPr>
          <w:p w14:paraId="15FF5FEA">
            <w:pPr>
              <w:pStyle w:val="13"/>
            </w:pPr>
          </w:p>
        </w:tc>
        <w:tc>
          <w:tcPr>
            <w:tcW w:w="1474" w:type="dxa"/>
            <w:vAlign w:val="center"/>
          </w:tcPr>
          <w:p w14:paraId="17BF0DF3">
            <w:pPr>
              <w:pStyle w:val="14"/>
            </w:pPr>
          </w:p>
        </w:tc>
        <w:tc>
          <w:tcPr>
            <w:tcW w:w="3402" w:type="dxa"/>
            <w:vAlign w:val="center"/>
          </w:tcPr>
          <w:p w14:paraId="631F8877">
            <w:pPr>
              <w:pStyle w:val="13"/>
            </w:pPr>
            <w:r>
              <w:t>二十二、国有资本经营预算支出</w:t>
            </w:r>
          </w:p>
        </w:tc>
        <w:tc>
          <w:tcPr>
            <w:tcW w:w="1474" w:type="dxa"/>
            <w:vAlign w:val="center"/>
          </w:tcPr>
          <w:p w14:paraId="09E7B600">
            <w:pPr>
              <w:pStyle w:val="14"/>
            </w:pPr>
          </w:p>
        </w:tc>
        <w:tc>
          <w:tcPr>
            <w:tcW w:w="1474" w:type="dxa"/>
            <w:vAlign w:val="center"/>
          </w:tcPr>
          <w:p w14:paraId="06C4E19A">
            <w:pPr>
              <w:pStyle w:val="14"/>
            </w:pPr>
          </w:p>
        </w:tc>
        <w:tc>
          <w:tcPr>
            <w:tcW w:w="1474" w:type="dxa"/>
            <w:vAlign w:val="center"/>
          </w:tcPr>
          <w:p w14:paraId="18681559">
            <w:pPr>
              <w:pStyle w:val="14"/>
            </w:pPr>
          </w:p>
        </w:tc>
        <w:tc>
          <w:tcPr>
            <w:tcW w:w="1474" w:type="dxa"/>
            <w:vAlign w:val="center"/>
          </w:tcPr>
          <w:p w14:paraId="7F724D7D">
            <w:pPr>
              <w:pStyle w:val="14"/>
            </w:pPr>
          </w:p>
        </w:tc>
      </w:tr>
      <w:tr w14:paraId="2DBAF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55A38">
            <w:pPr>
              <w:pStyle w:val="12"/>
            </w:pPr>
            <w:r>
              <w:t>23</w:t>
            </w:r>
          </w:p>
        </w:tc>
        <w:tc>
          <w:tcPr>
            <w:tcW w:w="3402" w:type="dxa"/>
            <w:vAlign w:val="center"/>
          </w:tcPr>
          <w:p w14:paraId="0A7D79D0">
            <w:pPr>
              <w:pStyle w:val="13"/>
            </w:pPr>
          </w:p>
        </w:tc>
        <w:tc>
          <w:tcPr>
            <w:tcW w:w="1474" w:type="dxa"/>
            <w:vAlign w:val="center"/>
          </w:tcPr>
          <w:p w14:paraId="29BB9F53">
            <w:pPr>
              <w:pStyle w:val="14"/>
            </w:pPr>
          </w:p>
        </w:tc>
        <w:tc>
          <w:tcPr>
            <w:tcW w:w="3402" w:type="dxa"/>
            <w:vAlign w:val="center"/>
          </w:tcPr>
          <w:p w14:paraId="67B3EE43">
            <w:pPr>
              <w:pStyle w:val="13"/>
            </w:pPr>
            <w:r>
              <w:t>二十三、灾害防治及应急管理支出</w:t>
            </w:r>
          </w:p>
        </w:tc>
        <w:tc>
          <w:tcPr>
            <w:tcW w:w="1474" w:type="dxa"/>
            <w:vAlign w:val="center"/>
          </w:tcPr>
          <w:p w14:paraId="2BBB3EEC">
            <w:pPr>
              <w:pStyle w:val="14"/>
            </w:pPr>
          </w:p>
        </w:tc>
        <w:tc>
          <w:tcPr>
            <w:tcW w:w="1474" w:type="dxa"/>
            <w:vAlign w:val="center"/>
          </w:tcPr>
          <w:p w14:paraId="23873195">
            <w:pPr>
              <w:pStyle w:val="14"/>
            </w:pPr>
          </w:p>
        </w:tc>
        <w:tc>
          <w:tcPr>
            <w:tcW w:w="1474" w:type="dxa"/>
            <w:vAlign w:val="center"/>
          </w:tcPr>
          <w:p w14:paraId="714AC031">
            <w:pPr>
              <w:pStyle w:val="14"/>
            </w:pPr>
          </w:p>
        </w:tc>
        <w:tc>
          <w:tcPr>
            <w:tcW w:w="1474" w:type="dxa"/>
            <w:vAlign w:val="center"/>
          </w:tcPr>
          <w:p w14:paraId="25B8AE03">
            <w:pPr>
              <w:pStyle w:val="14"/>
            </w:pPr>
          </w:p>
        </w:tc>
      </w:tr>
      <w:tr w14:paraId="3FB01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3D26D">
            <w:pPr>
              <w:pStyle w:val="12"/>
            </w:pPr>
            <w:r>
              <w:t>24</w:t>
            </w:r>
          </w:p>
        </w:tc>
        <w:tc>
          <w:tcPr>
            <w:tcW w:w="3402" w:type="dxa"/>
            <w:vAlign w:val="center"/>
          </w:tcPr>
          <w:p w14:paraId="7B808561">
            <w:pPr>
              <w:pStyle w:val="13"/>
            </w:pPr>
          </w:p>
        </w:tc>
        <w:tc>
          <w:tcPr>
            <w:tcW w:w="1474" w:type="dxa"/>
            <w:vAlign w:val="center"/>
          </w:tcPr>
          <w:p w14:paraId="6DAAF732">
            <w:pPr>
              <w:pStyle w:val="14"/>
            </w:pPr>
          </w:p>
        </w:tc>
        <w:tc>
          <w:tcPr>
            <w:tcW w:w="3402" w:type="dxa"/>
            <w:vAlign w:val="center"/>
          </w:tcPr>
          <w:p w14:paraId="37A95164">
            <w:pPr>
              <w:pStyle w:val="13"/>
            </w:pPr>
            <w:r>
              <w:t>二十四、预备费</w:t>
            </w:r>
          </w:p>
        </w:tc>
        <w:tc>
          <w:tcPr>
            <w:tcW w:w="1474" w:type="dxa"/>
            <w:vAlign w:val="center"/>
          </w:tcPr>
          <w:p w14:paraId="20847486">
            <w:pPr>
              <w:pStyle w:val="14"/>
            </w:pPr>
          </w:p>
        </w:tc>
        <w:tc>
          <w:tcPr>
            <w:tcW w:w="1474" w:type="dxa"/>
            <w:vAlign w:val="center"/>
          </w:tcPr>
          <w:p w14:paraId="336F6633">
            <w:pPr>
              <w:pStyle w:val="14"/>
            </w:pPr>
          </w:p>
        </w:tc>
        <w:tc>
          <w:tcPr>
            <w:tcW w:w="1474" w:type="dxa"/>
            <w:vAlign w:val="center"/>
          </w:tcPr>
          <w:p w14:paraId="2E2E2489">
            <w:pPr>
              <w:pStyle w:val="14"/>
            </w:pPr>
          </w:p>
        </w:tc>
        <w:tc>
          <w:tcPr>
            <w:tcW w:w="1474" w:type="dxa"/>
            <w:vAlign w:val="center"/>
          </w:tcPr>
          <w:p w14:paraId="1C9BD1DC">
            <w:pPr>
              <w:pStyle w:val="14"/>
            </w:pPr>
          </w:p>
        </w:tc>
      </w:tr>
      <w:tr w14:paraId="5EAC1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D02A7">
            <w:pPr>
              <w:pStyle w:val="12"/>
            </w:pPr>
            <w:r>
              <w:t>25</w:t>
            </w:r>
          </w:p>
        </w:tc>
        <w:tc>
          <w:tcPr>
            <w:tcW w:w="3402" w:type="dxa"/>
            <w:vAlign w:val="center"/>
          </w:tcPr>
          <w:p w14:paraId="58FCD6F6">
            <w:pPr>
              <w:pStyle w:val="13"/>
            </w:pPr>
          </w:p>
        </w:tc>
        <w:tc>
          <w:tcPr>
            <w:tcW w:w="1474" w:type="dxa"/>
            <w:vAlign w:val="center"/>
          </w:tcPr>
          <w:p w14:paraId="0A828919">
            <w:pPr>
              <w:pStyle w:val="14"/>
            </w:pPr>
          </w:p>
        </w:tc>
        <w:tc>
          <w:tcPr>
            <w:tcW w:w="3402" w:type="dxa"/>
            <w:vAlign w:val="center"/>
          </w:tcPr>
          <w:p w14:paraId="4E56A14F">
            <w:pPr>
              <w:pStyle w:val="13"/>
            </w:pPr>
            <w:r>
              <w:t>二十五、其他支出</w:t>
            </w:r>
          </w:p>
        </w:tc>
        <w:tc>
          <w:tcPr>
            <w:tcW w:w="1474" w:type="dxa"/>
            <w:vAlign w:val="center"/>
          </w:tcPr>
          <w:p w14:paraId="4334B928">
            <w:pPr>
              <w:pStyle w:val="14"/>
            </w:pPr>
          </w:p>
        </w:tc>
        <w:tc>
          <w:tcPr>
            <w:tcW w:w="1474" w:type="dxa"/>
            <w:vAlign w:val="center"/>
          </w:tcPr>
          <w:p w14:paraId="00C13825">
            <w:pPr>
              <w:pStyle w:val="14"/>
            </w:pPr>
          </w:p>
        </w:tc>
        <w:tc>
          <w:tcPr>
            <w:tcW w:w="1474" w:type="dxa"/>
            <w:vAlign w:val="center"/>
          </w:tcPr>
          <w:p w14:paraId="706D1B77">
            <w:pPr>
              <w:pStyle w:val="14"/>
            </w:pPr>
          </w:p>
        </w:tc>
        <w:tc>
          <w:tcPr>
            <w:tcW w:w="1474" w:type="dxa"/>
            <w:vAlign w:val="center"/>
          </w:tcPr>
          <w:p w14:paraId="178851E0">
            <w:pPr>
              <w:pStyle w:val="14"/>
            </w:pPr>
          </w:p>
        </w:tc>
      </w:tr>
      <w:tr w14:paraId="327E3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B3C8A">
            <w:pPr>
              <w:pStyle w:val="12"/>
            </w:pPr>
            <w:r>
              <w:t>26</w:t>
            </w:r>
          </w:p>
        </w:tc>
        <w:tc>
          <w:tcPr>
            <w:tcW w:w="3402" w:type="dxa"/>
            <w:vAlign w:val="center"/>
          </w:tcPr>
          <w:p w14:paraId="708261F3">
            <w:pPr>
              <w:pStyle w:val="13"/>
            </w:pPr>
          </w:p>
        </w:tc>
        <w:tc>
          <w:tcPr>
            <w:tcW w:w="1474" w:type="dxa"/>
            <w:vAlign w:val="center"/>
          </w:tcPr>
          <w:p w14:paraId="47F50F7E">
            <w:pPr>
              <w:pStyle w:val="14"/>
            </w:pPr>
          </w:p>
        </w:tc>
        <w:tc>
          <w:tcPr>
            <w:tcW w:w="3402" w:type="dxa"/>
            <w:vAlign w:val="center"/>
          </w:tcPr>
          <w:p w14:paraId="61D6046D">
            <w:pPr>
              <w:pStyle w:val="13"/>
            </w:pPr>
            <w:r>
              <w:t>二十六、转移性支出</w:t>
            </w:r>
          </w:p>
        </w:tc>
        <w:tc>
          <w:tcPr>
            <w:tcW w:w="1474" w:type="dxa"/>
            <w:vAlign w:val="center"/>
          </w:tcPr>
          <w:p w14:paraId="00917BB8">
            <w:pPr>
              <w:pStyle w:val="14"/>
            </w:pPr>
          </w:p>
        </w:tc>
        <w:tc>
          <w:tcPr>
            <w:tcW w:w="1474" w:type="dxa"/>
            <w:vAlign w:val="center"/>
          </w:tcPr>
          <w:p w14:paraId="0CF48A7E">
            <w:pPr>
              <w:pStyle w:val="14"/>
            </w:pPr>
          </w:p>
        </w:tc>
        <w:tc>
          <w:tcPr>
            <w:tcW w:w="1474" w:type="dxa"/>
            <w:vAlign w:val="center"/>
          </w:tcPr>
          <w:p w14:paraId="1FEC93CA">
            <w:pPr>
              <w:pStyle w:val="14"/>
            </w:pPr>
          </w:p>
        </w:tc>
        <w:tc>
          <w:tcPr>
            <w:tcW w:w="1474" w:type="dxa"/>
            <w:vAlign w:val="center"/>
          </w:tcPr>
          <w:p w14:paraId="138FFE97">
            <w:pPr>
              <w:pStyle w:val="14"/>
            </w:pPr>
          </w:p>
        </w:tc>
      </w:tr>
      <w:tr w14:paraId="0B539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15617">
            <w:pPr>
              <w:pStyle w:val="12"/>
            </w:pPr>
            <w:r>
              <w:t>27</w:t>
            </w:r>
          </w:p>
        </w:tc>
        <w:tc>
          <w:tcPr>
            <w:tcW w:w="3402" w:type="dxa"/>
            <w:vAlign w:val="center"/>
          </w:tcPr>
          <w:p w14:paraId="74763B75">
            <w:pPr>
              <w:pStyle w:val="13"/>
            </w:pPr>
          </w:p>
        </w:tc>
        <w:tc>
          <w:tcPr>
            <w:tcW w:w="1474" w:type="dxa"/>
            <w:vAlign w:val="center"/>
          </w:tcPr>
          <w:p w14:paraId="46582FD6">
            <w:pPr>
              <w:pStyle w:val="14"/>
            </w:pPr>
          </w:p>
        </w:tc>
        <w:tc>
          <w:tcPr>
            <w:tcW w:w="3402" w:type="dxa"/>
            <w:vAlign w:val="center"/>
          </w:tcPr>
          <w:p w14:paraId="27890975">
            <w:pPr>
              <w:pStyle w:val="13"/>
            </w:pPr>
            <w:r>
              <w:t>二十七、债务还本支出</w:t>
            </w:r>
          </w:p>
        </w:tc>
        <w:tc>
          <w:tcPr>
            <w:tcW w:w="1474" w:type="dxa"/>
            <w:vAlign w:val="center"/>
          </w:tcPr>
          <w:p w14:paraId="3E889A4C">
            <w:pPr>
              <w:pStyle w:val="14"/>
            </w:pPr>
          </w:p>
        </w:tc>
        <w:tc>
          <w:tcPr>
            <w:tcW w:w="1474" w:type="dxa"/>
            <w:vAlign w:val="center"/>
          </w:tcPr>
          <w:p w14:paraId="4BB77D45">
            <w:pPr>
              <w:pStyle w:val="14"/>
            </w:pPr>
          </w:p>
        </w:tc>
        <w:tc>
          <w:tcPr>
            <w:tcW w:w="1474" w:type="dxa"/>
            <w:vAlign w:val="center"/>
          </w:tcPr>
          <w:p w14:paraId="59077519">
            <w:pPr>
              <w:pStyle w:val="14"/>
            </w:pPr>
          </w:p>
        </w:tc>
        <w:tc>
          <w:tcPr>
            <w:tcW w:w="1474" w:type="dxa"/>
            <w:vAlign w:val="center"/>
          </w:tcPr>
          <w:p w14:paraId="26D30D25">
            <w:pPr>
              <w:pStyle w:val="14"/>
            </w:pPr>
          </w:p>
        </w:tc>
      </w:tr>
      <w:tr w14:paraId="0A471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F6B90">
            <w:pPr>
              <w:pStyle w:val="12"/>
            </w:pPr>
            <w:r>
              <w:t>28</w:t>
            </w:r>
          </w:p>
        </w:tc>
        <w:tc>
          <w:tcPr>
            <w:tcW w:w="3402" w:type="dxa"/>
            <w:vAlign w:val="center"/>
          </w:tcPr>
          <w:p w14:paraId="606784D9">
            <w:pPr>
              <w:pStyle w:val="13"/>
            </w:pPr>
          </w:p>
        </w:tc>
        <w:tc>
          <w:tcPr>
            <w:tcW w:w="1474" w:type="dxa"/>
            <w:vAlign w:val="center"/>
          </w:tcPr>
          <w:p w14:paraId="175B94C1">
            <w:pPr>
              <w:pStyle w:val="14"/>
            </w:pPr>
          </w:p>
        </w:tc>
        <w:tc>
          <w:tcPr>
            <w:tcW w:w="3402" w:type="dxa"/>
            <w:vAlign w:val="center"/>
          </w:tcPr>
          <w:p w14:paraId="1792F9E8">
            <w:pPr>
              <w:pStyle w:val="13"/>
            </w:pPr>
            <w:r>
              <w:t>二十八、债务付息支出</w:t>
            </w:r>
          </w:p>
        </w:tc>
        <w:tc>
          <w:tcPr>
            <w:tcW w:w="1474" w:type="dxa"/>
            <w:vAlign w:val="center"/>
          </w:tcPr>
          <w:p w14:paraId="2ECF9A5A">
            <w:pPr>
              <w:pStyle w:val="14"/>
            </w:pPr>
          </w:p>
        </w:tc>
        <w:tc>
          <w:tcPr>
            <w:tcW w:w="1474" w:type="dxa"/>
            <w:vAlign w:val="center"/>
          </w:tcPr>
          <w:p w14:paraId="22113DA0">
            <w:pPr>
              <w:pStyle w:val="14"/>
            </w:pPr>
          </w:p>
        </w:tc>
        <w:tc>
          <w:tcPr>
            <w:tcW w:w="1474" w:type="dxa"/>
            <w:vAlign w:val="center"/>
          </w:tcPr>
          <w:p w14:paraId="71AFCF12">
            <w:pPr>
              <w:pStyle w:val="14"/>
            </w:pPr>
          </w:p>
        </w:tc>
        <w:tc>
          <w:tcPr>
            <w:tcW w:w="1474" w:type="dxa"/>
            <w:vAlign w:val="center"/>
          </w:tcPr>
          <w:p w14:paraId="5FF87476">
            <w:pPr>
              <w:pStyle w:val="14"/>
            </w:pPr>
          </w:p>
        </w:tc>
      </w:tr>
      <w:tr w14:paraId="3679B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6710F">
            <w:pPr>
              <w:pStyle w:val="12"/>
            </w:pPr>
            <w:r>
              <w:t>29</w:t>
            </w:r>
          </w:p>
        </w:tc>
        <w:tc>
          <w:tcPr>
            <w:tcW w:w="3402" w:type="dxa"/>
            <w:vAlign w:val="center"/>
          </w:tcPr>
          <w:p w14:paraId="13FF2A3B">
            <w:pPr>
              <w:pStyle w:val="13"/>
            </w:pPr>
          </w:p>
        </w:tc>
        <w:tc>
          <w:tcPr>
            <w:tcW w:w="1474" w:type="dxa"/>
            <w:vAlign w:val="center"/>
          </w:tcPr>
          <w:p w14:paraId="37420985">
            <w:pPr>
              <w:pStyle w:val="14"/>
            </w:pPr>
          </w:p>
        </w:tc>
        <w:tc>
          <w:tcPr>
            <w:tcW w:w="3402" w:type="dxa"/>
            <w:vAlign w:val="center"/>
          </w:tcPr>
          <w:p w14:paraId="0A250D2E">
            <w:pPr>
              <w:pStyle w:val="13"/>
            </w:pPr>
            <w:r>
              <w:t>二十九、债务发行费用支出</w:t>
            </w:r>
          </w:p>
        </w:tc>
        <w:tc>
          <w:tcPr>
            <w:tcW w:w="1474" w:type="dxa"/>
            <w:vAlign w:val="center"/>
          </w:tcPr>
          <w:p w14:paraId="0552E255">
            <w:pPr>
              <w:pStyle w:val="14"/>
            </w:pPr>
          </w:p>
        </w:tc>
        <w:tc>
          <w:tcPr>
            <w:tcW w:w="1474" w:type="dxa"/>
            <w:vAlign w:val="center"/>
          </w:tcPr>
          <w:p w14:paraId="63108DB1">
            <w:pPr>
              <w:pStyle w:val="14"/>
            </w:pPr>
          </w:p>
        </w:tc>
        <w:tc>
          <w:tcPr>
            <w:tcW w:w="1474" w:type="dxa"/>
            <w:vAlign w:val="center"/>
          </w:tcPr>
          <w:p w14:paraId="112D7797">
            <w:pPr>
              <w:pStyle w:val="14"/>
            </w:pPr>
          </w:p>
        </w:tc>
        <w:tc>
          <w:tcPr>
            <w:tcW w:w="1474" w:type="dxa"/>
            <w:vAlign w:val="center"/>
          </w:tcPr>
          <w:p w14:paraId="32E95E12">
            <w:pPr>
              <w:pStyle w:val="14"/>
            </w:pPr>
          </w:p>
        </w:tc>
      </w:tr>
      <w:tr w14:paraId="66A04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4F460">
            <w:pPr>
              <w:pStyle w:val="12"/>
            </w:pPr>
            <w:r>
              <w:t>30</w:t>
            </w:r>
          </w:p>
        </w:tc>
        <w:tc>
          <w:tcPr>
            <w:tcW w:w="3402" w:type="dxa"/>
            <w:vAlign w:val="center"/>
          </w:tcPr>
          <w:p w14:paraId="3645CA08">
            <w:pPr>
              <w:pStyle w:val="13"/>
            </w:pPr>
          </w:p>
        </w:tc>
        <w:tc>
          <w:tcPr>
            <w:tcW w:w="1474" w:type="dxa"/>
            <w:vAlign w:val="center"/>
          </w:tcPr>
          <w:p w14:paraId="22CC9502">
            <w:pPr>
              <w:pStyle w:val="14"/>
            </w:pPr>
          </w:p>
        </w:tc>
        <w:tc>
          <w:tcPr>
            <w:tcW w:w="3402" w:type="dxa"/>
            <w:vAlign w:val="center"/>
          </w:tcPr>
          <w:p w14:paraId="12D3B7A7">
            <w:pPr>
              <w:pStyle w:val="13"/>
            </w:pPr>
            <w:r>
              <w:t>三十、抗疫特别国债安排的支出</w:t>
            </w:r>
          </w:p>
        </w:tc>
        <w:tc>
          <w:tcPr>
            <w:tcW w:w="1474" w:type="dxa"/>
            <w:vAlign w:val="center"/>
          </w:tcPr>
          <w:p w14:paraId="730281FA">
            <w:pPr>
              <w:pStyle w:val="14"/>
            </w:pPr>
          </w:p>
        </w:tc>
        <w:tc>
          <w:tcPr>
            <w:tcW w:w="1474" w:type="dxa"/>
            <w:vAlign w:val="center"/>
          </w:tcPr>
          <w:p w14:paraId="5718DAA0">
            <w:pPr>
              <w:pStyle w:val="14"/>
            </w:pPr>
          </w:p>
        </w:tc>
        <w:tc>
          <w:tcPr>
            <w:tcW w:w="1474" w:type="dxa"/>
            <w:vAlign w:val="center"/>
          </w:tcPr>
          <w:p w14:paraId="5DEFAC62">
            <w:pPr>
              <w:pStyle w:val="14"/>
            </w:pPr>
          </w:p>
        </w:tc>
        <w:tc>
          <w:tcPr>
            <w:tcW w:w="1474" w:type="dxa"/>
            <w:vAlign w:val="center"/>
          </w:tcPr>
          <w:p w14:paraId="1F135A47">
            <w:pPr>
              <w:pStyle w:val="14"/>
            </w:pPr>
          </w:p>
        </w:tc>
      </w:tr>
      <w:tr w14:paraId="0CF33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C106F">
            <w:pPr>
              <w:pStyle w:val="12"/>
            </w:pPr>
            <w:r>
              <w:t>31</w:t>
            </w:r>
          </w:p>
        </w:tc>
        <w:tc>
          <w:tcPr>
            <w:tcW w:w="3402" w:type="dxa"/>
            <w:vAlign w:val="center"/>
          </w:tcPr>
          <w:p w14:paraId="66DED4FA">
            <w:pPr>
              <w:pStyle w:val="13"/>
            </w:pPr>
          </w:p>
        </w:tc>
        <w:tc>
          <w:tcPr>
            <w:tcW w:w="1474" w:type="dxa"/>
            <w:vAlign w:val="center"/>
          </w:tcPr>
          <w:p w14:paraId="1B02FE4C">
            <w:pPr>
              <w:pStyle w:val="14"/>
            </w:pPr>
          </w:p>
        </w:tc>
        <w:tc>
          <w:tcPr>
            <w:tcW w:w="3402" w:type="dxa"/>
            <w:vAlign w:val="center"/>
          </w:tcPr>
          <w:p w14:paraId="021E9274">
            <w:pPr>
              <w:pStyle w:val="13"/>
            </w:pPr>
            <w:r>
              <w:t>三十一、人行科目</w:t>
            </w:r>
          </w:p>
        </w:tc>
        <w:tc>
          <w:tcPr>
            <w:tcW w:w="1474" w:type="dxa"/>
            <w:vAlign w:val="center"/>
          </w:tcPr>
          <w:p w14:paraId="6DA7FA11">
            <w:pPr>
              <w:pStyle w:val="14"/>
            </w:pPr>
          </w:p>
        </w:tc>
        <w:tc>
          <w:tcPr>
            <w:tcW w:w="1474" w:type="dxa"/>
            <w:vAlign w:val="center"/>
          </w:tcPr>
          <w:p w14:paraId="25AD4073">
            <w:pPr>
              <w:pStyle w:val="14"/>
            </w:pPr>
          </w:p>
        </w:tc>
        <w:tc>
          <w:tcPr>
            <w:tcW w:w="1474" w:type="dxa"/>
            <w:vAlign w:val="center"/>
          </w:tcPr>
          <w:p w14:paraId="3B3332A6">
            <w:pPr>
              <w:pStyle w:val="14"/>
            </w:pPr>
          </w:p>
        </w:tc>
        <w:tc>
          <w:tcPr>
            <w:tcW w:w="1474" w:type="dxa"/>
            <w:vAlign w:val="center"/>
          </w:tcPr>
          <w:p w14:paraId="1E0F0DAE">
            <w:pPr>
              <w:pStyle w:val="14"/>
            </w:pPr>
          </w:p>
        </w:tc>
      </w:tr>
      <w:tr w14:paraId="6BF09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B9B6C">
            <w:pPr>
              <w:pStyle w:val="12"/>
            </w:pPr>
            <w:r>
              <w:t>32</w:t>
            </w:r>
          </w:p>
        </w:tc>
        <w:tc>
          <w:tcPr>
            <w:tcW w:w="3402" w:type="dxa"/>
            <w:vAlign w:val="center"/>
          </w:tcPr>
          <w:p w14:paraId="015030FE">
            <w:pPr>
              <w:pStyle w:val="15"/>
            </w:pPr>
            <w:r>
              <w:t>本年收入合计</w:t>
            </w:r>
          </w:p>
        </w:tc>
        <w:tc>
          <w:tcPr>
            <w:tcW w:w="1474" w:type="dxa"/>
            <w:vAlign w:val="center"/>
          </w:tcPr>
          <w:p w14:paraId="6B81068C">
            <w:pPr>
              <w:pStyle w:val="16"/>
            </w:pPr>
            <w:r>
              <w:t>873.93</w:t>
            </w:r>
          </w:p>
        </w:tc>
        <w:tc>
          <w:tcPr>
            <w:tcW w:w="3402" w:type="dxa"/>
            <w:vAlign w:val="center"/>
          </w:tcPr>
          <w:p w14:paraId="5D1C4CED">
            <w:pPr>
              <w:pStyle w:val="15"/>
            </w:pPr>
            <w:r>
              <w:t>本年支出合计</w:t>
            </w:r>
          </w:p>
        </w:tc>
        <w:tc>
          <w:tcPr>
            <w:tcW w:w="1474" w:type="dxa"/>
            <w:vAlign w:val="center"/>
          </w:tcPr>
          <w:p w14:paraId="74B6120B">
            <w:pPr>
              <w:pStyle w:val="16"/>
            </w:pPr>
            <w:r>
              <w:t>873.93</w:t>
            </w:r>
          </w:p>
        </w:tc>
        <w:tc>
          <w:tcPr>
            <w:tcW w:w="1474" w:type="dxa"/>
            <w:vAlign w:val="center"/>
          </w:tcPr>
          <w:p w14:paraId="7CDB7006">
            <w:pPr>
              <w:pStyle w:val="16"/>
            </w:pPr>
            <w:r>
              <w:t>873.93</w:t>
            </w:r>
          </w:p>
        </w:tc>
        <w:tc>
          <w:tcPr>
            <w:tcW w:w="1474" w:type="dxa"/>
            <w:vAlign w:val="center"/>
          </w:tcPr>
          <w:p w14:paraId="71607A3E">
            <w:pPr>
              <w:pStyle w:val="16"/>
            </w:pPr>
          </w:p>
        </w:tc>
        <w:tc>
          <w:tcPr>
            <w:tcW w:w="1474" w:type="dxa"/>
            <w:vAlign w:val="center"/>
          </w:tcPr>
          <w:p w14:paraId="3CE9396B">
            <w:pPr>
              <w:pStyle w:val="16"/>
            </w:pPr>
          </w:p>
        </w:tc>
      </w:tr>
      <w:tr w14:paraId="121A9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13062">
            <w:pPr>
              <w:pStyle w:val="12"/>
            </w:pPr>
            <w:r>
              <w:t>33</w:t>
            </w:r>
          </w:p>
        </w:tc>
        <w:tc>
          <w:tcPr>
            <w:tcW w:w="3402" w:type="dxa"/>
            <w:vAlign w:val="center"/>
          </w:tcPr>
          <w:p w14:paraId="097977B8">
            <w:pPr>
              <w:pStyle w:val="13"/>
            </w:pPr>
            <w:r>
              <w:t>年初财政拨款结转和结余</w:t>
            </w:r>
          </w:p>
        </w:tc>
        <w:tc>
          <w:tcPr>
            <w:tcW w:w="1474" w:type="dxa"/>
            <w:vAlign w:val="center"/>
          </w:tcPr>
          <w:p w14:paraId="7C696B23">
            <w:pPr>
              <w:pStyle w:val="14"/>
            </w:pPr>
          </w:p>
        </w:tc>
        <w:tc>
          <w:tcPr>
            <w:tcW w:w="3402" w:type="dxa"/>
            <w:vAlign w:val="center"/>
          </w:tcPr>
          <w:p w14:paraId="4A9C8754">
            <w:pPr>
              <w:pStyle w:val="13"/>
            </w:pPr>
            <w:r>
              <w:t>年末财政拨款结转和结余</w:t>
            </w:r>
          </w:p>
        </w:tc>
        <w:tc>
          <w:tcPr>
            <w:tcW w:w="1474" w:type="dxa"/>
            <w:vAlign w:val="center"/>
          </w:tcPr>
          <w:p w14:paraId="4EA50F5B">
            <w:pPr>
              <w:pStyle w:val="14"/>
            </w:pPr>
          </w:p>
        </w:tc>
        <w:tc>
          <w:tcPr>
            <w:tcW w:w="1474" w:type="dxa"/>
            <w:vAlign w:val="center"/>
          </w:tcPr>
          <w:p w14:paraId="3B1AA6A8">
            <w:pPr>
              <w:pStyle w:val="14"/>
            </w:pPr>
          </w:p>
        </w:tc>
        <w:tc>
          <w:tcPr>
            <w:tcW w:w="1474" w:type="dxa"/>
            <w:vAlign w:val="center"/>
          </w:tcPr>
          <w:p w14:paraId="7017922F">
            <w:pPr>
              <w:pStyle w:val="14"/>
            </w:pPr>
          </w:p>
        </w:tc>
        <w:tc>
          <w:tcPr>
            <w:tcW w:w="1474" w:type="dxa"/>
            <w:vAlign w:val="center"/>
          </w:tcPr>
          <w:p w14:paraId="7C7AD5E1">
            <w:pPr>
              <w:pStyle w:val="14"/>
            </w:pPr>
          </w:p>
        </w:tc>
      </w:tr>
      <w:tr w14:paraId="259B2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3AAC8">
            <w:pPr>
              <w:pStyle w:val="12"/>
            </w:pPr>
            <w:r>
              <w:t>34</w:t>
            </w:r>
          </w:p>
        </w:tc>
        <w:tc>
          <w:tcPr>
            <w:tcW w:w="3402" w:type="dxa"/>
            <w:vAlign w:val="center"/>
          </w:tcPr>
          <w:p w14:paraId="61E8A49E">
            <w:pPr>
              <w:pStyle w:val="13"/>
            </w:pPr>
            <w:r>
              <w:t>一、一般公共预算拨款</w:t>
            </w:r>
          </w:p>
        </w:tc>
        <w:tc>
          <w:tcPr>
            <w:tcW w:w="1474" w:type="dxa"/>
            <w:vAlign w:val="center"/>
          </w:tcPr>
          <w:p w14:paraId="13806294">
            <w:pPr>
              <w:pStyle w:val="14"/>
            </w:pPr>
          </w:p>
        </w:tc>
        <w:tc>
          <w:tcPr>
            <w:tcW w:w="3402" w:type="dxa"/>
            <w:vAlign w:val="center"/>
          </w:tcPr>
          <w:p w14:paraId="18A095AD">
            <w:pPr>
              <w:pStyle w:val="13"/>
            </w:pPr>
          </w:p>
        </w:tc>
        <w:tc>
          <w:tcPr>
            <w:tcW w:w="1474" w:type="dxa"/>
            <w:vAlign w:val="center"/>
          </w:tcPr>
          <w:p w14:paraId="562B0CD1">
            <w:pPr>
              <w:pStyle w:val="14"/>
            </w:pPr>
          </w:p>
        </w:tc>
        <w:tc>
          <w:tcPr>
            <w:tcW w:w="1474" w:type="dxa"/>
            <w:vAlign w:val="center"/>
          </w:tcPr>
          <w:p w14:paraId="0E75C242">
            <w:pPr>
              <w:pStyle w:val="14"/>
            </w:pPr>
          </w:p>
        </w:tc>
        <w:tc>
          <w:tcPr>
            <w:tcW w:w="1474" w:type="dxa"/>
            <w:vAlign w:val="center"/>
          </w:tcPr>
          <w:p w14:paraId="76F1BDB2">
            <w:pPr>
              <w:pStyle w:val="14"/>
            </w:pPr>
          </w:p>
        </w:tc>
        <w:tc>
          <w:tcPr>
            <w:tcW w:w="1474" w:type="dxa"/>
            <w:vAlign w:val="center"/>
          </w:tcPr>
          <w:p w14:paraId="794FDD8F">
            <w:pPr>
              <w:pStyle w:val="14"/>
            </w:pPr>
          </w:p>
        </w:tc>
      </w:tr>
      <w:tr w14:paraId="55E67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DE40E">
            <w:pPr>
              <w:pStyle w:val="12"/>
            </w:pPr>
            <w:r>
              <w:t>35</w:t>
            </w:r>
          </w:p>
        </w:tc>
        <w:tc>
          <w:tcPr>
            <w:tcW w:w="3402" w:type="dxa"/>
            <w:vAlign w:val="center"/>
          </w:tcPr>
          <w:p w14:paraId="50406650">
            <w:pPr>
              <w:pStyle w:val="13"/>
            </w:pPr>
            <w:r>
              <w:t>二、政府性基金预算拨款</w:t>
            </w:r>
          </w:p>
        </w:tc>
        <w:tc>
          <w:tcPr>
            <w:tcW w:w="1474" w:type="dxa"/>
            <w:vAlign w:val="center"/>
          </w:tcPr>
          <w:p w14:paraId="29357C5E">
            <w:pPr>
              <w:pStyle w:val="14"/>
            </w:pPr>
          </w:p>
        </w:tc>
        <w:tc>
          <w:tcPr>
            <w:tcW w:w="3402" w:type="dxa"/>
            <w:vAlign w:val="center"/>
          </w:tcPr>
          <w:p w14:paraId="08958934">
            <w:pPr>
              <w:pStyle w:val="13"/>
            </w:pPr>
          </w:p>
        </w:tc>
        <w:tc>
          <w:tcPr>
            <w:tcW w:w="1474" w:type="dxa"/>
            <w:vAlign w:val="center"/>
          </w:tcPr>
          <w:p w14:paraId="01FC1657">
            <w:pPr>
              <w:pStyle w:val="14"/>
            </w:pPr>
          </w:p>
        </w:tc>
        <w:tc>
          <w:tcPr>
            <w:tcW w:w="1474" w:type="dxa"/>
            <w:vAlign w:val="center"/>
          </w:tcPr>
          <w:p w14:paraId="2CD005E8">
            <w:pPr>
              <w:pStyle w:val="14"/>
            </w:pPr>
          </w:p>
        </w:tc>
        <w:tc>
          <w:tcPr>
            <w:tcW w:w="1474" w:type="dxa"/>
            <w:vAlign w:val="center"/>
          </w:tcPr>
          <w:p w14:paraId="37403EEE">
            <w:pPr>
              <w:pStyle w:val="14"/>
            </w:pPr>
          </w:p>
        </w:tc>
        <w:tc>
          <w:tcPr>
            <w:tcW w:w="1474" w:type="dxa"/>
            <w:vAlign w:val="center"/>
          </w:tcPr>
          <w:p w14:paraId="736F4C34">
            <w:pPr>
              <w:pStyle w:val="14"/>
            </w:pPr>
          </w:p>
        </w:tc>
      </w:tr>
      <w:tr w14:paraId="3646C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C4B03">
            <w:pPr>
              <w:pStyle w:val="12"/>
            </w:pPr>
            <w:r>
              <w:t>36</w:t>
            </w:r>
          </w:p>
        </w:tc>
        <w:tc>
          <w:tcPr>
            <w:tcW w:w="3402" w:type="dxa"/>
            <w:vAlign w:val="center"/>
          </w:tcPr>
          <w:p w14:paraId="611D13DA">
            <w:pPr>
              <w:pStyle w:val="13"/>
            </w:pPr>
            <w:r>
              <w:t>三、国有资本经营预算拨款</w:t>
            </w:r>
          </w:p>
        </w:tc>
        <w:tc>
          <w:tcPr>
            <w:tcW w:w="1474" w:type="dxa"/>
            <w:vAlign w:val="center"/>
          </w:tcPr>
          <w:p w14:paraId="634F72E8">
            <w:pPr>
              <w:pStyle w:val="14"/>
            </w:pPr>
          </w:p>
        </w:tc>
        <w:tc>
          <w:tcPr>
            <w:tcW w:w="3402" w:type="dxa"/>
            <w:vAlign w:val="center"/>
          </w:tcPr>
          <w:p w14:paraId="3B81DE78">
            <w:pPr>
              <w:pStyle w:val="13"/>
            </w:pPr>
          </w:p>
        </w:tc>
        <w:tc>
          <w:tcPr>
            <w:tcW w:w="1474" w:type="dxa"/>
            <w:vAlign w:val="center"/>
          </w:tcPr>
          <w:p w14:paraId="37B864D3">
            <w:pPr>
              <w:pStyle w:val="14"/>
            </w:pPr>
          </w:p>
        </w:tc>
        <w:tc>
          <w:tcPr>
            <w:tcW w:w="1474" w:type="dxa"/>
            <w:vAlign w:val="center"/>
          </w:tcPr>
          <w:p w14:paraId="23C89814">
            <w:pPr>
              <w:pStyle w:val="14"/>
            </w:pPr>
          </w:p>
        </w:tc>
        <w:tc>
          <w:tcPr>
            <w:tcW w:w="1474" w:type="dxa"/>
            <w:vAlign w:val="center"/>
          </w:tcPr>
          <w:p w14:paraId="60619D3B">
            <w:pPr>
              <w:pStyle w:val="14"/>
            </w:pPr>
          </w:p>
        </w:tc>
        <w:tc>
          <w:tcPr>
            <w:tcW w:w="1474" w:type="dxa"/>
            <w:vAlign w:val="center"/>
          </w:tcPr>
          <w:p w14:paraId="2E636E8E">
            <w:pPr>
              <w:pStyle w:val="14"/>
            </w:pPr>
          </w:p>
        </w:tc>
      </w:tr>
      <w:tr w14:paraId="2A86A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3E1B7">
            <w:pPr>
              <w:pStyle w:val="12"/>
            </w:pPr>
            <w:r>
              <w:t>37</w:t>
            </w:r>
          </w:p>
        </w:tc>
        <w:tc>
          <w:tcPr>
            <w:tcW w:w="3402" w:type="dxa"/>
            <w:vAlign w:val="center"/>
          </w:tcPr>
          <w:p w14:paraId="238EA4CB">
            <w:pPr>
              <w:pStyle w:val="15"/>
            </w:pPr>
            <w:r>
              <w:t>收入总计</w:t>
            </w:r>
          </w:p>
        </w:tc>
        <w:tc>
          <w:tcPr>
            <w:tcW w:w="1474" w:type="dxa"/>
            <w:vAlign w:val="center"/>
          </w:tcPr>
          <w:p w14:paraId="51817F4A">
            <w:pPr>
              <w:pStyle w:val="16"/>
            </w:pPr>
            <w:r>
              <w:t>873.93</w:t>
            </w:r>
          </w:p>
        </w:tc>
        <w:tc>
          <w:tcPr>
            <w:tcW w:w="3402" w:type="dxa"/>
            <w:vAlign w:val="center"/>
          </w:tcPr>
          <w:p w14:paraId="40124930">
            <w:pPr>
              <w:pStyle w:val="15"/>
            </w:pPr>
            <w:r>
              <w:t>支出总计</w:t>
            </w:r>
          </w:p>
        </w:tc>
        <w:tc>
          <w:tcPr>
            <w:tcW w:w="1474" w:type="dxa"/>
            <w:vAlign w:val="center"/>
          </w:tcPr>
          <w:p w14:paraId="23BF2583">
            <w:pPr>
              <w:pStyle w:val="16"/>
            </w:pPr>
            <w:r>
              <w:t>873.93</w:t>
            </w:r>
          </w:p>
        </w:tc>
        <w:tc>
          <w:tcPr>
            <w:tcW w:w="1474" w:type="dxa"/>
            <w:vAlign w:val="center"/>
          </w:tcPr>
          <w:p w14:paraId="73F02F5A">
            <w:pPr>
              <w:pStyle w:val="16"/>
            </w:pPr>
            <w:r>
              <w:t>873.93</w:t>
            </w:r>
          </w:p>
        </w:tc>
        <w:tc>
          <w:tcPr>
            <w:tcW w:w="1474" w:type="dxa"/>
            <w:vAlign w:val="center"/>
          </w:tcPr>
          <w:p w14:paraId="56E147B3">
            <w:pPr>
              <w:pStyle w:val="16"/>
            </w:pPr>
          </w:p>
        </w:tc>
        <w:tc>
          <w:tcPr>
            <w:tcW w:w="1474" w:type="dxa"/>
            <w:vAlign w:val="center"/>
          </w:tcPr>
          <w:p w14:paraId="01CE7DF3">
            <w:pPr>
              <w:pStyle w:val="16"/>
            </w:pPr>
          </w:p>
        </w:tc>
      </w:tr>
    </w:tbl>
    <w:p w14:paraId="2C676FDE">
      <w:pPr>
        <w:sectPr>
          <w:pgSz w:w="16840" w:h="11900" w:orient="landscape"/>
          <w:pgMar w:top="1361" w:right="1020" w:bottom="1134" w:left="1020" w:header="720" w:footer="720" w:gutter="0"/>
          <w:cols w:space="720" w:num="1"/>
        </w:sectPr>
      </w:pPr>
    </w:p>
    <w:p w14:paraId="2172BB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748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5FA6BB">
            <w:pPr>
              <w:pStyle w:val="8"/>
            </w:pPr>
            <w:r>
              <w:t>360005隆尧县尹村中学</w:t>
            </w:r>
          </w:p>
        </w:tc>
        <w:tc>
          <w:tcPr>
            <w:tcW w:w="2551" w:type="dxa"/>
            <w:tcBorders>
              <w:top w:val="single" w:color="FFFFFF" w:sz="6" w:space="0"/>
              <w:left w:val="single" w:color="FFFFFF" w:sz="6" w:space="0"/>
              <w:right w:val="single" w:color="FFFFFF" w:sz="6" w:space="0"/>
            </w:tcBorders>
            <w:vAlign w:val="center"/>
          </w:tcPr>
          <w:p w14:paraId="3F81B23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46E8B59">
            <w:pPr>
              <w:pStyle w:val="10"/>
            </w:pPr>
            <w:r>
              <w:t>单位：万元</w:t>
            </w:r>
          </w:p>
        </w:tc>
      </w:tr>
      <w:tr w14:paraId="3F015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ACA1B">
            <w:pPr>
              <w:pStyle w:val="11"/>
            </w:pPr>
            <w:r>
              <w:t>序号</w:t>
            </w:r>
          </w:p>
        </w:tc>
        <w:tc>
          <w:tcPr>
            <w:tcW w:w="5726" w:type="dxa"/>
            <w:gridSpan w:val="2"/>
            <w:vAlign w:val="center"/>
          </w:tcPr>
          <w:p w14:paraId="06115165">
            <w:pPr>
              <w:pStyle w:val="11"/>
            </w:pPr>
            <w:r>
              <w:t>功能分类科目</w:t>
            </w:r>
          </w:p>
        </w:tc>
        <w:tc>
          <w:tcPr>
            <w:tcW w:w="2551" w:type="dxa"/>
            <w:vMerge w:val="restart"/>
            <w:vAlign w:val="center"/>
          </w:tcPr>
          <w:p w14:paraId="2B1E5683">
            <w:pPr>
              <w:pStyle w:val="11"/>
            </w:pPr>
            <w:r>
              <w:t>合计</w:t>
            </w:r>
          </w:p>
        </w:tc>
        <w:tc>
          <w:tcPr>
            <w:tcW w:w="2551" w:type="dxa"/>
            <w:vMerge w:val="restart"/>
            <w:vAlign w:val="center"/>
          </w:tcPr>
          <w:p w14:paraId="2567E484">
            <w:pPr>
              <w:pStyle w:val="11"/>
            </w:pPr>
            <w:r>
              <w:t>基本支出</w:t>
            </w:r>
          </w:p>
        </w:tc>
        <w:tc>
          <w:tcPr>
            <w:tcW w:w="2551" w:type="dxa"/>
            <w:vMerge w:val="restart"/>
            <w:vAlign w:val="center"/>
          </w:tcPr>
          <w:p w14:paraId="6AC20045">
            <w:pPr>
              <w:pStyle w:val="11"/>
            </w:pPr>
            <w:r>
              <w:t>项目支出</w:t>
            </w:r>
          </w:p>
        </w:tc>
      </w:tr>
      <w:tr w14:paraId="69C3B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7B34C853"/>
        </w:tc>
        <w:tc>
          <w:tcPr>
            <w:tcW w:w="1191" w:type="dxa"/>
            <w:vAlign w:val="center"/>
          </w:tcPr>
          <w:p w14:paraId="45BD924F">
            <w:pPr>
              <w:pStyle w:val="11"/>
            </w:pPr>
            <w:r>
              <w:t>科目编码</w:t>
            </w:r>
          </w:p>
        </w:tc>
        <w:tc>
          <w:tcPr>
            <w:tcW w:w="4535" w:type="dxa"/>
            <w:vAlign w:val="center"/>
          </w:tcPr>
          <w:p w14:paraId="71C7E3FA">
            <w:pPr>
              <w:pStyle w:val="11"/>
            </w:pPr>
            <w:r>
              <w:t>科目名称</w:t>
            </w:r>
          </w:p>
        </w:tc>
        <w:tc>
          <w:tcPr>
            <w:tcW w:w="2551" w:type="dxa"/>
            <w:vMerge w:val="continue"/>
          </w:tcPr>
          <w:p w14:paraId="1CB346C7"/>
        </w:tc>
        <w:tc>
          <w:tcPr>
            <w:tcW w:w="2551" w:type="dxa"/>
            <w:vMerge w:val="continue"/>
          </w:tcPr>
          <w:p w14:paraId="3A213FE9"/>
        </w:tc>
        <w:tc>
          <w:tcPr>
            <w:tcW w:w="2551" w:type="dxa"/>
            <w:vMerge w:val="continue"/>
          </w:tcPr>
          <w:p w14:paraId="1A252910"/>
        </w:tc>
      </w:tr>
      <w:tr w14:paraId="00029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BF17BB">
            <w:pPr>
              <w:pStyle w:val="11"/>
            </w:pPr>
            <w:r>
              <w:t>栏次</w:t>
            </w:r>
          </w:p>
        </w:tc>
        <w:tc>
          <w:tcPr>
            <w:tcW w:w="1191" w:type="dxa"/>
            <w:vAlign w:val="center"/>
          </w:tcPr>
          <w:p w14:paraId="72FBBA35">
            <w:pPr>
              <w:pStyle w:val="11"/>
            </w:pPr>
            <w:r>
              <w:t>1</w:t>
            </w:r>
          </w:p>
        </w:tc>
        <w:tc>
          <w:tcPr>
            <w:tcW w:w="4535" w:type="dxa"/>
            <w:vAlign w:val="center"/>
          </w:tcPr>
          <w:p w14:paraId="08B90569">
            <w:pPr>
              <w:pStyle w:val="11"/>
            </w:pPr>
            <w:r>
              <w:t>2</w:t>
            </w:r>
          </w:p>
        </w:tc>
        <w:tc>
          <w:tcPr>
            <w:tcW w:w="2551" w:type="dxa"/>
            <w:vAlign w:val="center"/>
          </w:tcPr>
          <w:p w14:paraId="1AB7145B">
            <w:pPr>
              <w:pStyle w:val="11"/>
            </w:pPr>
            <w:r>
              <w:t>3</w:t>
            </w:r>
          </w:p>
        </w:tc>
        <w:tc>
          <w:tcPr>
            <w:tcW w:w="2551" w:type="dxa"/>
            <w:vAlign w:val="center"/>
          </w:tcPr>
          <w:p w14:paraId="38EF0293">
            <w:pPr>
              <w:pStyle w:val="11"/>
            </w:pPr>
            <w:r>
              <w:t>4</w:t>
            </w:r>
          </w:p>
        </w:tc>
        <w:tc>
          <w:tcPr>
            <w:tcW w:w="2551" w:type="dxa"/>
            <w:vAlign w:val="center"/>
          </w:tcPr>
          <w:p w14:paraId="25AE0A23">
            <w:pPr>
              <w:pStyle w:val="11"/>
            </w:pPr>
            <w:r>
              <w:t>5</w:t>
            </w:r>
          </w:p>
        </w:tc>
      </w:tr>
      <w:tr w14:paraId="14B74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B17DC2E">
            <w:pPr>
              <w:pStyle w:val="12"/>
            </w:pPr>
            <w:r>
              <w:t>1</w:t>
            </w:r>
          </w:p>
        </w:tc>
        <w:tc>
          <w:tcPr>
            <w:tcW w:w="1191" w:type="dxa"/>
            <w:vAlign w:val="center"/>
          </w:tcPr>
          <w:p w14:paraId="0B35F78F">
            <w:pPr>
              <w:pStyle w:val="17"/>
            </w:pPr>
          </w:p>
        </w:tc>
        <w:tc>
          <w:tcPr>
            <w:tcW w:w="4535" w:type="dxa"/>
            <w:vAlign w:val="center"/>
          </w:tcPr>
          <w:p w14:paraId="5D82769E">
            <w:pPr>
              <w:pStyle w:val="15"/>
            </w:pPr>
            <w:r>
              <w:t>合计</w:t>
            </w:r>
          </w:p>
        </w:tc>
        <w:tc>
          <w:tcPr>
            <w:tcW w:w="2551" w:type="dxa"/>
            <w:vAlign w:val="center"/>
          </w:tcPr>
          <w:p w14:paraId="240C1A51">
            <w:pPr>
              <w:pStyle w:val="16"/>
            </w:pPr>
            <w:r>
              <w:t>873.93</w:t>
            </w:r>
          </w:p>
        </w:tc>
        <w:tc>
          <w:tcPr>
            <w:tcW w:w="2551" w:type="dxa"/>
            <w:vAlign w:val="center"/>
          </w:tcPr>
          <w:p w14:paraId="1B236346">
            <w:pPr>
              <w:pStyle w:val="16"/>
            </w:pPr>
            <w:r>
              <w:t>688.43</w:t>
            </w:r>
          </w:p>
        </w:tc>
        <w:tc>
          <w:tcPr>
            <w:tcW w:w="2551" w:type="dxa"/>
            <w:vAlign w:val="center"/>
          </w:tcPr>
          <w:p w14:paraId="413E31C4">
            <w:pPr>
              <w:pStyle w:val="16"/>
            </w:pPr>
            <w:r>
              <w:t>185.50</w:t>
            </w:r>
          </w:p>
        </w:tc>
      </w:tr>
      <w:tr w14:paraId="33E85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6F305">
            <w:pPr>
              <w:pStyle w:val="12"/>
            </w:pPr>
            <w:r>
              <w:t>2</w:t>
            </w:r>
          </w:p>
        </w:tc>
        <w:tc>
          <w:tcPr>
            <w:tcW w:w="1191" w:type="dxa"/>
            <w:vAlign w:val="center"/>
          </w:tcPr>
          <w:p w14:paraId="5C40B0F6">
            <w:pPr>
              <w:pStyle w:val="13"/>
            </w:pPr>
            <w:r>
              <w:t>205</w:t>
            </w:r>
          </w:p>
        </w:tc>
        <w:tc>
          <w:tcPr>
            <w:tcW w:w="4535" w:type="dxa"/>
            <w:vAlign w:val="center"/>
          </w:tcPr>
          <w:p w14:paraId="62974048">
            <w:pPr>
              <w:pStyle w:val="13"/>
            </w:pPr>
            <w:r>
              <w:t>教育支出</w:t>
            </w:r>
          </w:p>
        </w:tc>
        <w:tc>
          <w:tcPr>
            <w:tcW w:w="2551" w:type="dxa"/>
            <w:vAlign w:val="center"/>
          </w:tcPr>
          <w:p w14:paraId="3F2E77C6">
            <w:pPr>
              <w:pStyle w:val="14"/>
            </w:pPr>
            <w:r>
              <w:t>873.93</w:t>
            </w:r>
          </w:p>
        </w:tc>
        <w:tc>
          <w:tcPr>
            <w:tcW w:w="2551" w:type="dxa"/>
            <w:vAlign w:val="center"/>
          </w:tcPr>
          <w:p w14:paraId="0DFCD6C1">
            <w:pPr>
              <w:pStyle w:val="14"/>
            </w:pPr>
            <w:r>
              <w:t>688.43</w:t>
            </w:r>
          </w:p>
        </w:tc>
        <w:tc>
          <w:tcPr>
            <w:tcW w:w="2551" w:type="dxa"/>
            <w:vAlign w:val="center"/>
          </w:tcPr>
          <w:p w14:paraId="73BB7E62">
            <w:pPr>
              <w:pStyle w:val="14"/>
            </w:pPr>
            <w:r>
              <w:t>185.50</w:t>
            </w:r>
          </w:p>
        </w:tc>
      </w:tr>
      <w:tr w14:paraId="24FA6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BC3C2">
            <w:pPr>
              <w:pStyle w:val="12"/>
            </w:pPr>
            <w:r>
              <w:t>3</w:t>
            </w:r>
          </w:p>
        </w:tc>
        <w:tc>
          <w:tcPr>
            <w:tcW w:w="1191" w:type="dxa"/>
            <w:vAlign w:val="center"/>
          </w:tcPr>
          <w:p w14:paraId="2150DF7E">
            <w:pPr>
              <w:pStyle w:val="13"/>
            </w:pPr>
            <w:r>
              <w:t>20502</w:t>
            </w:r>
          </w:p>
        </w:tc>
        <w:tc>
          <w:tcPr>
            <w:tcW w:w="4535" w:type="dxa"/>
            <w:vAlign w:val="center"/>
          </w:tcPr>
          <w:p w14:paraId="7BF3CF4C">
            <w:pPr>
              <w:pStyle w:val="13"/>
            </w:pPr>
            <w:r>
              <w:t>普通教育</w:t>
            </w:r>
          </w:p>
        </w:tc>
        <w:tc>
          <w:tcPr>
            <w:tcW w:w="2551" w:type="dxa"/>
            <w:vAlign w:val="center"/>
          </w:tcPr>
          <w:p w14:paraId="03198F4C">
            <w:pPr>
              <w:pStyle w:val="14"/>
            </w:pPr>
            <w:r>
              <w:t>873.93</w:t>
            </w:r>
          </w:p>
        </w:tc>
        <w:tc>
          <w:tcPr>
            <w:tcW w:w="2551" w:type="dxa"/>
            <w:vAlign w:val="center"/>
          </w:tcPr>
          <w:p w14:paraId="73CA947C">
            <w:pPr>
              <w:pStyle w:val="14"/>
            </w:pPr>
            <w:r>
              <w:t>688.43</w:t>
            </w:r>
          </w:p>
        </w:tc>
        <w:tc>
          <w:tcPr>
            <w:tcW w:w="2551" w:type="dxa"/>
            <w:vAlign w:val="center"/>
          </w:tcPr>
          <w:p w14:paraId="5A9BA093">
            <w:pPr>
              <w:pStyle w:val="14"/>
            </w:pPr>
            <w:r>
              <w:t>185.50</w:t>
            </w:r>
          </w:p>
        </w:tc>
      </w:tr>
      <w:tr w14:paraId="1ADD3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DB0B1">
            <w:pPr>
              <w:pStyle w:val="12"/>
            </w:pPr>
            <w:r>
              <w:t>4</w:t>
            </w:r>
          </w:p>
        </w:tc>
        <w:tc>
          <w:tcPr>
            <w:tcW w:w="1191" w:type="dxa"/>
            <w:vAlign w:val="center"/>
          </w:tcPr>
          <w:p w14:paraId="3E0938FC">
            <w:pPr>
              <w:pStyle w:val="13"/>
            </w:pPr>
            <w:r>
              <w:t>2050203</w:t>
            </w:r>
          </w:p>
        </w:tc>
        <w:tc>
          <w:tcPr>
            <w:tcW w:w="4535" w:type="dxa"/>
            <w:vAlign w:val="center"/>
          </w:tcPr>
          <w:p w14:paraId="2C8DEBB8">
            <w:pPr>
              <w:pStyle w:val="13"/>
            </w:pPr>
            <w:r>
              <w:t>初中教育</w:t>
            </w:r>
          </w:p>
        </w:tc>
        <w:tc>
          <w:tcPr>
            <w:tcW w:w="2551" w:type="dxa"/>
            <w:vAlign w:val="center"/>
          </w:tcPr>
          <w:p w14:paraId="2ABFFD00">
            <w:pPr>
              <w:pStyle w:val="14"/>
            </w:pPr>
            <w:r>
              <w:t>873.93</w:t>
            </w:r>
          </w:p>
        </w:tc>
        <w:tc>
          <w:tcPr>
            <w:tcW w:w="2551" w:type="dxa"/>
            <w:vAlign w:val="center"/>
          </w:tcPr>
          <w:p w14:paraId="66C2F4F4">
            <w:pPr>
              <w:pStyle w:val="14"/>
            </w:pPr>
            <w:r>
              <w:t>688.43</w:t>
            </w:r>
          </w:p>
        </w:tc>
        <w:tc>
          <w:tcPr>
            <w:tcW w:w="2551" w:type="dxa"/>
            <w:vAlign w:val="center"/>
          </w:tcPr>
          <w:p w14:paraId="4611F8C7">
            <w:pPr>
              <w:pStyle w:val="14"/>
            </w:pPr>
            <w:r>
              <w:t>185.50</w:t>
            </w:r>
          </w:p>
        </w:tc>
      </w:tr>
    </w:tbl>
    <w:p w14:paraId="0110ACFB">
      <w:pPr>
        <w:sectPr>
          <w:pgSz w:w="16840" w:h="11900" w:orient="landscape"/>
          <w:pgMar w:top="1361" w:right="1020" w:bottom="1134" w:left="1020" w:header="720" w:footer="720" w:gutter="0"/>
          <w:cols w:space="720" w:num="1"/>
        </w:sectPr>
      </w:pPr>
    </w:p>
    <w:p w14:paraId="4663F0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ADC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FE0A1F">
            <w:pPr>
              <w:pStyle w:val="8"/>
            </w:pPr>
            <w:r>
              <w:t>360005隆尧县尹村中学</w:t>
            </w:r>
          </w:p>
        </w:tc>
        <w:tc>
          <w:tcPr>
            <w:tcW w:w="2551" w:type="dxa"/>
            <w:tcBorders>
              <w:top w:val="single" w:color="FFFFFF" w:sz="6" w:space="0"/>
              <w:left w:val="single" w:color="FFFFFF" w:sz="6" w:space="0"/>
              <w:right w:val="single" w:color="FFFFFF" w:sz="6" w:space="0"/>
            </w:tcBorders>
            <w:vAlign w:val="center"/>
          </w:tcPr>
          <w:p w14:paraId="1410B6B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9264B89">
            <w:pPr>
              <w:pStyle w:val="10"/>
            </w:pPr>
            <w:r>
              <w:t>单位：万元</w:t>
            </w:r>
          </w:p>
        </w:tc>
      </w:tr>
      <w:tr w14:paraId="64A1F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8A4F8">
            <w:pPr>
              <w:pStyle w:val="11"/>
            </w:pPr>
            <w:r>
              <w:t>序号</w:t>
            </w:r>
          </w:p>
        </w:tc>
        <w:tc>
          <w:tcPr>
            <w:tcW w:w="5726" w:type="dxa"/>
            <w:gridSpan w:val="2"/>
            <w:vAlign w:val="center"/>
          </w:tcPr>
          <w:p w14:paraId="0768BDBF">
            <w:pPr>
              <w:pStyle w:val="11"/>
            </w:pPr>
            <w:r>
              <w:t>支出部门经济分类科目</w:t>
            </w:r>
          </w:p>
        </w:tc>
        <w:tc>
          <w:tcPr>
            <w:tcW w:w="7653" w:type="dxa"/>
            <w:gridSpan w:val="3"/>
            <w:vAlign w:val="center"/>
          </w:tcPr>
          <w:p w14:paraId="1C88EBAA">
            <w:pPr>
              <w:pStyle w:val="11"/>
            </w:pPr>
            <w:r>
              <w:t>一般公共预算基本支出</w:t>
            </w:r>
          </w:p>
        </w:tc>
      </w:tr>
      <w:tr w14:paraId="42530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E38ED2"/>
        </w:tc>
        <w:tc>
          <w:tcPr>
            <w:tcW w:w="1191" w:type="dxa"/>
            <w:vAlign w:val="center"/>
          </w:tcPr>
          <w:p w14:paraId="39FD393B">
            <w:pPr>
              <w:pStyle w:val="11"/>
            </w:pPr>
            <w:r>
              <w:t>科目编码</w:t>
            </w:r>
          </w:p>
        </w:tc>
        <w:tc>
          <w:tcPr>
            <w:tcW w:w="4535" w:type="dxa"/>
            <w:vAlign w:val="center"/>
          </w:tcPr>
          <w:p w14:paraId="7D7EE810">
            <w:pPr>
              <w:pStyle w:val="11"/>
            </w:pPr>
            <w:r>
              <w:t>科目名称</w:t>
            </w:r>
          </w:p>
        </w:tc>
        <w:tc>
          <w:tcPr>
            <w:tcW w:w="2551" w:type="dxa"/>
            <w:vAlign w:val="center"/>
          </w:tcPr>
          <w:p w14:paraId="6674CBF9">
            <w:pPr>
              <w:pStyle w:val="11"/>
            </w:pPr>
            <w:r>
              <w:t>合计</w:t>
            </w:r>
          </w:p>
        </w:tc>
        <w:tc>
          <w:tcPr>
            <w:tcW w:w="2551" w:type="dxa"/>
            <w:vAlign w:val="center"/>
          </w:tcPr>
          <w:p w14:paraId="13130F49">
            <w:pPr>
              <w:pStyle w:val="11"/>
            </w:pPr>
            <w:r>
              <w:t>人员经费</w:t>
            </w:r>
          </w:p>
        </w:tc>
        <w:tc>
          <w:tcPr>
            <w:tcW w:w="2551" w:type="dxa"/>
            <w:vAlign w:val="center"/>
          </w:tcPr>
          <w:p w14:paraId="4311AD30">
            <w:pPr>
              <w:pStyle w:val="11"/>
            </w:pPr>
            <w:r>
              <w:t>公用经费</w:t>
            </w:r>
          </w:p>
        </w:tc>
      </w:tr>
      <w:tr w14:paraId="18400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E20334">
            <w:pPr>
              <w:pStyle w:val="11"/>
            </w:pPr>
            <w:r>
              <w:t>栏次</w:t>
            </w:r>
          </w:p>
        </w:tc>
        <w:tc>
          <w:tcPr>
            <w:tcW w:w="1191" w:type="dxa"/>
            <w:vAlign w:val="center"/>
          </w:tcPr>
          <w:p w14:paraId="4FC70707">
            <w:pPr>
              <w:pStyle w:val="11"/>
            </w:pPr>
            <w:r>
              <w:t>1</w:t>
            </w:r>
          </w:p>
        </w:tc>
        <w:tc>
          <w:tcPr>
            <w:tcW w:w="4535" w:type="dxa"/>
            <w:vAlign w:val="center"/>
          </w:tcPr>
          <w:p w14:paraId="0F8D73AD">
            <w:pPr>
              <w:pStyle w:val="11"/>
            </w:pPr>
            <w:r>
              <w:t>2</w:t>
            </w:r>
          </w:p>
        </w:tc>
        <w:tc>
          <w:tcPr>
            <w:tcW w:w="2551" w:type="dxa"/>
            <w:vAlign w:val="center"/>
          </w:tcPr>
          <w:p w14:paraId="3AAD0DDC">
            <w:pPr>
              <w:pStyle w:val="11"/>
            </w:pPr>
            <w:r>
              <w:t>3</w:t>
            </w:r>
          </w:p>
        </w:tc>
        <w:tc>
          <w:tcPr>
            <w:tcW w:w="2551" w:type="dxa"/>
            <w:vAlign w:val="center"/>
          </w:tcPr>
          <w:p w14:paraId="329DDC24">
            <w:pPr>
              <w:pStyle w:val="11"/>
            </w:pPr>
            <w:r>
              <w:t>4</w:t>
            </w:r>
          </w:p>
        </w:tc>
        <w:tc>
          <w:tcPr>
            <w:tcW w:w="2551" w:type="dxa"/>
            <w:vAlign w:val="center"/>
          </w:tcPr>
          <w:p w14:paraId="012BC75B">
            <w:pPr>
              <w:pStyle w:val="11"/>
            </w:pPr>
            <w:r>
              <w:t>5</w:t>
            </w:r>
          </w:p>
        </w:tc>
      </w:tr>
      <w:tr w14:paraId="5DAA9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A6933">
            <w:pPr>
              <w:pStyle w:val="12"/>
            </w:pPr>
            <w:r>
              <w:t>1</w:t>
            </w:r>
          </w:p>
        </w:tc>
        <w:tc>
          <w:tcPr>
            <w:tcW w:w="1191" w:type="dxa"/>
            <w:vAlign w:val="center"/>
          </w:tcPr>
          <w:p w14:paraId="3A370368">
            <w:pPr>
              <w:pStyle w:val="17"/>
            </w:pPr>
          </w:p>
        </w:tc>
        <w:tc>
          <w:tcPr>
            <w:tcW w:w="4535" w:type="dxa"/>
            <w:vAlign w:val="center"/>
          </w:tcPr>
          <w:p w14:paraId="39734508">
            <w:pPr>
              <w:pStyle w:val="15"/>
            </w:pPr>
            <w:r>
              <w:t>合计</w:t>
            </w:r>
          </w:p>
        </w:tc>
        <w:tc>
          <w:tcPr>
            <w:tcW w:w="2551" w:type="dxa"/>
            <w:vAlign w:val="center"/>
          </w:tcPr>
          <w:p w14:paraId="5441BFE2">
            <w:pPr>
              <w:pStyle w:val="16"/>
            </w:pPr>
            <w:r>
              <w:t>688.43</w:t>
            </w:r>
          </w:p>
        </w:tc>
        <w:tc>
          <w:tcPr>
            <w:tcW w:w="2551" w:type="dxa"/>
            <w:vAlign w:val="center"/>
          </w:tcPr>
          <w:p w14:paraId="7D4FB950">
            <w:pPr>
              <w:pStyle w:val="16"/>
            </w:pPr>
            <w:r>
              <w:t>688.43</w:t>
            </w:r>
          </w:p>
        </w:tc>
        <w:tc>
          <w:tcPr>
            <w:tcW w:w="2551" w:type="dxa"/>
            <w:vAlign w:val="center"/>
          </w:tcPr>
          <w:p w14:paraId="7B29746F">
            <w:pPr>
              <w:pStyle w:val="16"/>
            </w:pPr>
          </w:p>
        </w:tc>
      </w:tr>
      <w:tr w14:paraId="1CB03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C23D7">
            <w:pPr>
              <w:pStyle w:val="12"/>
            </w:pPr>
            <w:r>
              <w:t>2</w:t>
            </w:r>
          </w:p>
        </w:tc>
        <w:tc>
          <w:tcPr>
            <w:tcW w:w="1191" w:type="dxa"/>
            <w:vAlign w:val="center"/>
          </w:tcPr>
          <w:p w14:paraId="7B5A6DE8">
            <w:pPr>
              <w:pStyle w:val="13"/>
            </w:pPr>
            <w:r>
              <w:t>301</w:t>
            </w:r>
          </w:p>
        </w:tc>
        <w:tc>
          <w:tcPr>
            <w:tcW w:w="4535" w:type="dxa"/>
            <w:vAlign w:val="center"/>
          </w:tcPr>
          <w:p w14:paraId="362D5F9D">
            <w:pPr>
              <w:pStyle w:val="13"/>
            </w:pPr>
            <w:r>
              <w:t>工资福利支出</w:t>
            </w:r>
          </w:p>
        </w:tc>
        <w:tc>
          <w:tcPr>
            <w:tcW w:w="2551" w:type="dxa"/>
            <w:vAlign w:val="center"/>
          </w:tcPr>
          <w:p w14:paraId="3850FCB9">
            <w:pPr>
              <w:pStyle w:val="14"/>
            </w:pPr>
            <w:r>
              <w:t>676.57</w:t>
            </w:r>
          </w:p>
        </w:tc>
        <w:tc>
          <w:tcPr>
            <w:tcW w:w="2551" w:type="dxa"/>
            <w:vAlign w:val="center"/>
          </w:tcPr>
          <w:p w14:paraId="758ECE68">
            <w:pPr>
              <w:pStyle w:val="14"/>
            </w:pPr>
            <w:r>
              <w:t>676.57</w:t>
            </w:r>
          </w:p>
        </w:tc>
        <w:tc>
          <w:tcPr>
            <w:tcW w:w="2551" w:type="dxa"/>
            <w:vAlign w:val="center"/>
          </w:tcPr>
          <w:p w14:paraId="20E0E06E">
            <w:pPr>
              <w:pStyle w:val="14"/>
            </w:pPr>
          </w:p>
        </w:tc>
      </w:tr>
      <w:tr w14:paraId="7886B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577B1">
            <w:pPr>
              <w:pStyle w:val="12"/>
            </w:pPr>
            <w:r>
              <w:t>3</w:t>
            </w:r>
          </w:p>
        </w:tc>
        <w:tc>
          <w:tcPr>
            <w:tcW w:w="1191" w:type="dxa"/>
            <w:vAlign w:val="center"/>
          </w:tcPr>
          <w:p w14:paraId="376D3AB4">
            <w:pPr>
              <w:pStyle w:val="13"/>
            </w:pPr>
            <w:r>
              <w:t>30101</w:t>
            </w:r>
          </w:p>
        </w:tc>
        <w:tc>
          <w:tcPr>
            <w:tcW w:w="4535" w:type="dxa"/>
            <w:vAlign w:val="center"/>
          </w:tcPr>
          <w:p w14:paraId="5FA047D7">
            <w:pPr>
              <w:pStyle w:val="13"/>
            </w:pPr>
            <w:r>
              <w:t>基本工资</w:t>
            </w:r>
          </w:p>
        </w:tc>
        <w:tc>
          <w:tcPr>
            <w:tcW w:w="2551" w:type="dxa"/>
            <w:vAlign w:val="center"/>
          </w:tcPr>
          <w:p w14:paraId="3E85C7C0">
            <w:pPr>
              <w:pStyle w:val="14"/>
            </w:pPr>
            <w:r>
              <w:t>331.77</w:t>
            </w:r>
          </w:p>
        </w:tc>
        <w:tc>
          <w:tcPr>
            <w:tcW w:w="2551" w:type="dxa"/>
            <w:vAlign w:val="center"/>
          </w:tcPr>
          <w:p w14:paraId="0B4537E8">
            <w:pPr>
              <w:pStyle w:val="14"/>
            </w:pPr>
            <w:r>
              <w:t>331.77</w:t>
            </w:r>
          </w:p>
        </w:tc>
        <w:tc>
          <w:tcPr>
            <w:tcW w:w="2551" w:type="dxa"/>
            <w:vAlign w:val="center"/>
          </w:tcPr>
          <w:p w14:paraId="526C56A3">
            <w:pPr>
              <w:pStyle w:val="14"/>
            </w:pPr>
          </w:p>
        </w:tc>
      </w:tr>
      <w:tr w14:paraId="6F8E6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79D69">
            <w:pPr>
              <w:pStyle w:val="12"/>
            </w:pPr>
            <w:r>
              <w:t>4</w:t>
            </w:r>
          </w:p>
        </w:tc>
        <w:tc>
          <w:tcPr>
            <w:tcW w:w="1191" w:type="dxa"/>
            <w:vAlign w:val="center"/>
          </w:tcPr>
          <w:p w14:paraId="39F515ED">
            <w:pPr>
              <w:pStyle w:val="13"/>
            </w:pPr>
            <w:r>
              <w:t>30102</w:t>
            </w:r>
          </w:p>
        </w:tc>
        <w:tc>
          <w:tcPr>
            <w:tcW w:w="4535" w:type="dxa"/>
            <w:vAlign w:val="center"/>
          </w:tcPr>
          <w:p w14:paraId="3DF4DF88">
            <w:pPr>
              <w:pStyle w:val="13"/>
            </w:pPr>
            <w:r>
              <w:t>津贴补贴</w:t>
            </w:r>
          </w:p>
        </w:tc>
        <w:tc>
          <w:tcPr>
            <w:tcW w:w="2551" w:type="dxa"/>
            <w:vAlign w:val="center"/>
          </w:tcPr>
          <w:p w14:paraId="7361F8FD">
            <w:pPr>
              <w:pStyle w:val="14"/>
            </w:pPr>
            <w:r>
              <w:t>29.94</w:t>
            </w:r>
          </w:p>
        </w:tc>
        <w:tc>
          <w:tcPr>
            <w:tcW w:w="2551" w:type="dxa"/>
            <w:vAlign w:val="center"/>
          </w:tcPr>
          <w:p w14:paraId="1ABE3303">
            <w:pPr>
              <w:pStyle w:val="14"/>
            </w:pPr>
            <w:r>
              <w:t>29.94</w:t>
            </w:r>
          </w:p>
        </w:tc>
        <w:tc>
          <w:tcPr>
            <w:tcW w:w="2551" w:type="dxa"/>
            <w:vAlign w:val="center"/>
          </w:tcPr>
          <w:p w14:paraId="58C1F27D">
            <w:pPr>
              <w:pStyle w:val="14"/>
            </w:pPr>
          </w:p>
        </w:tc>
      </w:tr>
      <w:tr w14:paraId="6E066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39D9C">
            <w:pPr>
              <w:pStyle w:val="12"/>
            </w:pPr>
            <w:r>
              <w:t>5</w:t>
            </w:r>
          </w:p>
        </w:tc>
        <w:tc>
          <w:tcPr>
            <w:tcW w:w="1191" w:type="dxa"/>
            <w:vAlign w:val="center"/>
          </w:tcPr>
          <w:p w14:paraId="099AB260">
            <w:pPr>
              <w:pStyle w:val="13"/>
            </w:pPr>
            <w:r>
              <w:t>30107</w:t>
            </w:r>
          </w:p>
        </w:tc>
        <w:tc>
          <w:tcPr>
            <w:tcW w:w="4535" w:type="dxa"/>
            <w:vAlign w:val="center"/>
          </w:tcPr>
          <w:p w14:paraId="4F434733">
            <w:pPr>
              <w:pStyle w:val="13"/>
            </w:pPr>
            <w:r>
              <w:t>绩效工资</w:t>
            </w:r>
          </w:p>
        </w:tc>
        <w:tc>
          <w:tcPr>
            <w:tcW w:w="2551" w:type="dxa"/>
            <w:vAlign w:val="center"/>
          </w:tcPr>
          <w:p w14:paraId="02D87112">
            <w:pPr>
              <w:pStyle w:val="14"/>
            </w:pPr>
            <w:r>
              <w:t>167.67</w:t>
            </w:r>
          </w:p>
        </w:tc>
        <w:tc>
          <w:tcPr>
            <w:tcW w:w="2551" w:type="dxa"/>
            <w:vAlign w:val="center"/>
          </w:tcPr>
          <w:p w14:paraId="6926FB5C">
            <w:pPr>
              <w:pStyle w:val="14"/>
            </w:pPr>
            <w:r>
              <w:t>167.67</w:t>
            </w:r>
          </w:p>
        </w:tc>
        <w:tc>
          <w:tcPr>
            <w:tcW w:w="2551" w:type="dxa"/>
            <w:vAlign w:val="center"/>
          </w:tcPr>
          <w:p w14:paraId="0B3FA2EB">
            <w:pPr>
              <w:pStyle w:val="14"/>
            </w:pPr>
          </w:p>
        </w:tc>
      </w:tr>
      <w:tr w14:paraId="15F03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5EF17">
            <w:pPr>
              <w:pStyle w:val="12"/>
            </w:pPr>
            <w:r>
              <w:t>6</w:t>
            </w:r>
          </w:p>
        </w:tc>
        <w:tc>
          <w:tcPr>
            <w:tcW w:w="1191" w:type="dxa"/>
            <w:vAlign w:val="center"/>
          </w:tcPr>
          <w:p w14:paraId="5DCBA60F">
            <w:pPr>
              <w:pStyle w:val="13"/>
            </w:pPr>
            <w:r>
              <w:t>30108</w:t>
            </w:r>
          </w:p>
        </w:tc>
        <w:tc>
          <w:tcPr>
            <w:tcW w:w="4535" w:type="dxa"/>
            <w:vAlign w:val="center"/>
          </w:tcPr>
          <w:p w14:paraId="72D815FB">
            <w:pPr>
              <w:pStyle w:val="13"/>
            </w:pPr>
            <w:r>
              <w:t>机关事业单位基本养老保险缴费</w:t>
            </w:r>
          </w:p>
        </w:tc>
        <w:tc>
          <w:tcPr>
            <w:tcW w:w="2551" w:type="dxa"/>
            <w:vAlign w:val="center"/>
          </w:tcPr>
          <w:p w14:paraId="6675D7E4">
            <w:pPr>
              <w:pStyle w:val="14"/>
            </w:pPr>
            <w:r>
              <w:t>64.43</w:t>
            </w:r>
          </w:p>
        </w:tc>
        <w:tc>
          <w:tcPr>
            <w:tcW w:w="2551" w:type="dxa"/>
            <w:vAlign w:val="center"/>
          </w:tcPr>
          <w:p w14:paraId="37A4388E">
            <w:pPr>
              <w:pStyle w:val="14"/>
            </w:pPr>
            <w:r>
              <w:t>64.43</w:t>
            </w:r>
          </w:p>
        </w:tc>
        <w:tc>
          <w:tcPr>
            <w:tcW w:w="2551" w:type="dxa"/>
            <w:vAlign w:val="center"/>
          </w:tcPr>
          <w:p w14:paraId="035E9B19">
            <w:pPr>
              <w:pStyle w:val="14"/>
            </w:pPr>
          </w:p>
        </w:tc>
      </w:tr>
      <w:tr w14:paraId="02F5F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1081F">
            <w:pPr>
              <w:pStyle w:val="12"/>
            </w:pPr>
            <w:r>
              <w:t>7</w:t>
            </w:r>
          </w:p>
        </w:tc>
        <w:tc>
          <w:tcPr>
            <w:tcW w:w="1191" w:type="dxa"/>
            <w:vAlign w:val="center"/>
          </w:tcPr>
          <w:p w14:paraId="58E38186">
            <w:pPr>
              <w:pStyle w:val="13"/>
            </w:pPr>
            <w:r>
              <w:t>30110</w:t>
            </w:r>
          </w:p>
        </w:tc>
        <w:tc>
          <w:tcPr>
            <w:tcW w:w="4535" w:type="dxa"/>
            <w:vAlign w:val="center"/>
          </w:tcPr>
          <w:p w14:paraId="6364834F">
            <w:pPr>
              <w:pStyle w:val="13"/>
            </w:pPr>
            <w:r>
              <w:t>职工基本医疗保险缴费</w:t>
            </w:r>
          </w:p>
        </w:tc>
        <w:tc>
          <w:tcPr>
            <w:tcW w:w="2551" w:type="dxa"/>
            <w:vAlign w:val="center"/>
          </w:tcPr>
          <w:p w14:paraId="2280DF76">
            <w:pPr>
              <w:pStyle w:val="14"/>
            </w:pPr>
            <w:r>
              <w:t>30.50</w:t>
            </w:r>
          </w:p>
        </w:tc>
        <w:tc>
          <w:tcPr>
            <w:tcW w:w="2551" w:type="dxa"/>
            <w:vAlign w:val="center"/>
          </w:tcPr>
          <w:p w14:paraId="4BC0827C">
            <w:pPr>
              <w:pStyle w:val="14"/>
            </w:pPr>
            <w:r>
              <w:t>30.50</w:t>
            </w:r>
          </w:p>
        </w:tc>
        <w:tc>
          <w:tcPr>
            <w:tcW w:w="2551" w:type="dxa"/>
            <w:vAlign w:val="center"/>
          </w:tcPr>
          <w:p w14:paraId="0562B921">
            <w:pPr>
              <w:pStyle w:val="14"/>
            </w:pPr>
          </w:p>
        </w:tc>
      </w:tr>
      <w:tr w14:paraId="412DF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14440">
            <w:pPr>
              <w:pStyle w:val="12"/>
            </w:pPr>
            <w:r>
              <w:t>8</w:t>
            </w:r>
          </w:p>
        </w:tc>
        <w:tc>
          <w:tcPr>
            <w:tcW w:w="1191" w:type="dxa"/>
            <w:vAlign w:val="center"/>
          </w:tcPr>
          <w:p w14:paraId="37D7C794">
            <w:pPr>
              <w:pStyle w:val="13"/>
            </w:pPr>
            <w:r>
              <w:t>30112</w:t>
            </w:r>
          </w:p>
        </w:tc>
        <w:tc>
          <w:tcPr>
            <w:tcW w:w="4535" w:type="dxa"/>
            <w:vAlign w:val="center"/>
          </w:tcPr>
          <w:p w14:paraId="013AAFD0">
            <w:pPr>
              <w:pStyle w:val="13"/>
            </w:pPr>
            <w:r>
              <w:t>其他社会保障缴费</w:t>
            </w:r>
          </w:p>
        </w:tc>
        <w:tc>
          <w:tcPr>
            <w:tcW w:w="2551" w:type="dxa"/>
            <w:vAlign w:val="center"/>
          </w:tcPr>
          <w:p w14:paraId="0C10CF2C">
            <w:pPr>
              <w:pStyle w:val="14"/>
            </w:pPr>
            <w:r>
              <w:t>1.81</w:t>
            </w:r>
          </w:p>
        </w:tc>
        <w:tc>
          <w:tcPr>
            <w:tcW w:w="2551" w:type="dxa"/>
            <w:vAlign w:val="center"/>
          </w:tcPr>
          <w:p w14:paraId="7C5025C7">
            <w:pPr>
              <w:pStyle w:val="14"/>
            </w:pPr>
            <w:r>
              <w:t>1.81</w:t>
            </w:r>
          </w:p>
        </w:tc>
        <w:tc>
          <w:tcPr>
            <w:tcW w:w="2551" w:type="dxa"/>
            <w:vAlign w:val="center"/>
          </w:tcPr>
          <w:p w14:paraId="3CD91D25">
            <w:pPr>
              <w:pStyle w:val="14"/>
            </w:pPr>
          </w:p>
        </w:tc>
      </w:tr>
      <w:tr w14:paraId="1DB82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3B4A0">
            <w:pPr>
              <w:pStyle w:val="12"/>
            </w:pPr>
            <w:r>
              <w:t>9</w:t>
            </w:r>
          </w:p>
        </w:tc>
        <w:tc>
          <w:tcPr>
            <w:tcW w:w="1191" w:type="dxa"/>
            <w:vAlign w:val="center"/>
          </w:tcPr>
          <w:p w14:paraId="1A7208F4">
            <w:pPr>
              <w:pStyle w:val="13"/>
            </w:pPr>
            <w:r>
              <w:t>30113</w:t>
            </w:r>
          </w:p>
        </w:tc>
        <w:tc>
          <w:tcPr>
            <w:tcW w:w="4535" w:type="dxa"/>
            <w:vAlign w:val="center"/>
          </w:tcPr>
          <w:p w14:paraId="2751CA66">
            <w:pPr>
              <w:pStyle w:val="13"/>
            </w:pPr>
            <w:r>
              <w:t>住房公积金</w:t>
            </w:r>
          </w:p>
        </w:tc>
        <w:tc>
          <w:tcPr>
            <w:tcW w:w="2551" w:type="dxa"/>
            <w:vAlign w:val="center"/>
          </w:tcPr>
          <w:p w14:paraId="2B3D3174">
            <w:pPr>
              <w:pStyle w:val="14"/>
            </w:pPr>
            <w:r>
              <w:t>50.44</w:t>
            </w:r>
          </w:p>
        </w:tc>
        <w:tc>
          <w:tcPr>
            <w:tcW w:w="2551" w:type="dxa"/>
            <w:vAlign w:val="center"/>
          </w:tcPr>
          <w:p w14:paraId="6B05ED52">
            <w:pPr>
              <w:pStyle w:val="14"/>
            </w:pPr>
            <w:r>
              <w:t>50.44</w:t>
            </w:r>
          </w:p>
        </w:tc>
        <w:tc>
          <w:tcPr>
            <w:tcW w:w="2551" w:type="dxa"/>
            <w:vAlign w:val="center"/>
          </w:tcPr>
          <w:p w14:paraId="4C6114DC">
            <w:pPr>
              <w:pStyle w:val="14"/>
            </w:pPr>
          </w:p>
        </w:tc>
      </w:tr>
      <w:tr w14:paraId="3A079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FC24C">
            <w:pPr>
              <w:pStyle w:val="12"/>
            </w:pPr>
            <w:r>
              <w:t>10</w:t>
            </w:r>
          </w:p>
        </w:tc>
        <w:tc>
          <w:tcPr>
            <w:tcW w:w="1191" w:type="dxa"/>
            <w:vAlign w:val="center"/>
          </w:tcPr>
          <w:p w14:paraId="3152C90E">
            <w:pPr>
              <w:pStyle w:val="13"/>
            </w:pPr>
            <w:r>
              <w:t>303</w:t>
            </w:r>
          </w:p>
        </w:tc>
        <w:tc>
          <w:tcPr>
            <w:tcW w:w="4535" w:type="dxa"/>
            <w:vAlign w:val="center"/>
          </w:tcPr>
          <w:p w14:paraId="0FFEA64C">
            <w:pPr>
              <w:pStyle w:val="13"/>
            </w:pPr>
            <w:r>
              <w:t>对个人和家庭的补助</w:t>
            </w:r>
          </w:p>
        </w:tc>
        <w:tc>
          <w:tcPr>
            <w:tcW w:w="2551" w:type="dxa"/>
            <w:vAlign w:val="center"/>
          </w:tcPr>
          <w:p w14:paraId="7758C4DF">
            <w:pPr>
              <w:pStyle w:val="14"/>
            </w:pPr>
            <w:r>
              <w:t>11.86</w:t>
            </w:r>
          </w:p>
        </w:tc>
        <w:tc>
          <w:tcPr>
            <w:tcW w:w="2551" w:type="dxa"/>
            <w:vAlign w:val="center"/>
          </w:tcPr>
          <w:p w14:paraId="37DBB8A8">
            <w:pPr>
              <w:pStyle w:val="14"/>
            </w:pPr>
            <w:r>
              <w:t>11.86</w:t>
            </w:r>
          </w:p>
        </w:tc>
        <w:tc>
          <w:tcPr>
            <w:tcW w:w="2551" w:type="dxa"/>
            <w:vAlign w:val="center"/>
          </w:tcPr>
          <w:p w14:paraId="512F1C64">
            <w:pPr>
              <w:pStyle w:val="14"/>
            </w:pPr>
          </w:p>
        </w:tc>
      </w:tr>
      <w:tr w14:paraId="78EE2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5756DE8">
            <w:pPr>
              <w:pStyle w:val="12"/>
            </w:pPr>
            <w:r>
              <w:t>11</w:t>
            </w:r>
          </w:p>
        </w:tc>
        <w:tc>
          <w:tcPr>
            <w:tcW w:w="1191" w:type="dxa"/>
            <w:vAlign w:val="center"/>
          </w:tcPr>
          <w:p w14:paraId="137EF596">
            <w:pPr>
              <w:pStyle w:val="13"/>
            </w:pPr>
            <w:r>
              <w:t>30302</w:t>
            </w:r>
          </w:p>
        </w:tc>
        <w:tc>
          <w:tcPr>
            <w:tcW w:w="4535" w:type="dxa"/>
            <w:vAlign w:val="center"/>
          </w:tcPr>
          <w:p w14:paraId="6C7B8942">
            <w:pPr>
              <w:pStyle w:val="13"/>
            </w:pPr>
            <w:r>
              <w:t>退休费</w:t>
            </w:r>
          </w:p>
        </w:tc>
        <w:tc>
          <w:tcPr>
            <w:tcW w:w="2551" w:type="dxa"/>
            <w:vAlign w:val="center"/>
          </w:tcPr>
          <w:p w14:paraId="365CC88E">
            <w:pPr>
              <w:pStyle w:val="14"/>
            </w:pPr>
            <w:r>
              <w:t>8.62</w:t>
            </w:r>
          </w:p>
        </w:tc>
        <w:tc>
          <w:tcPr>
            <w:tcW w:w="2551" w:type="dxa"/>
            <w:vAlign w:val="center"/>
          </w:tcPr>
          <w:p w14:paraId="4197D87B">
            <w:pPr>
              <w:pStyle w:val="14"/>
            </w:pPr>
            <w:r>
              <w:t>8.62</w:t>
            </w:r>
          </w:p>
        </w:tc>
        <w:tc>
          <w:tcPr>
            <w:tcW w:w="2551" w:type="dxa"/>
            <w:vAlign w:val="center"/>
          </w:tcPr>
          <w:p w14:paraId="2CCF9007">
            <w:pPr>
              <w:pStyle w:val="14"/>
            </w:pPr>
          </w:p>
        </w:tc>
      </w:tr>
      <w:tr w14:paraId="121AD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741E5">
            <w:pPr>
              <w:pStyle w:val="12"/>
            </w:pPr>
            <w:r>
              <w:t>12</w:t>
            </w:r>
          </w:p>
        </w:tc>
        <w:tc>
          <w:tcPr>
            <w:tcW w:w="1191" w:type="dxa"/>
            <w:vAlign w:val="center"/>
          </w:tcPr>
          <w:p w14:paraId="5C5EE152">
            <w:pPr>
              <w:pStyle w:val="13"/>
            </w:pPr>
            <w:r>
              <w:t>30305</w:t>
            </w:r>
          </w:p>
        </w:tc>
        <w:tc>
          <w:tcPr>
            <w:tcW w:w="4535" w:type="dxa"/>
            <w:vAlign w:val="center"/>
          </w:tcPr>
          <w:p w14:paraId="3383BAB1">
            <w:pPr>
              <w:pStyle w:val="13"/>
            </w:pPr>
            <w:r>
              <w:t>生活补助</w:t>
            </w:r>
          </w:p>
        </w:tc>
        <w:tc>
          <w:tcPr>
            <w:tcW w:w="2551" w:type="dxa"/>
            <w:vAlign w:val="center"/>
          </w:tcPr>
          <w:p w14:paraId="4BD8BF79">
            <w:pPr>
              <w:pStyle w:val="14"/>
            </w:pPr>
            <w:r>
              <w:t>3.24</w:t>
            </w:r>
          </w:p>
        </w:tc>
        <w:tc>
          <w:tcPr>
            <w:tcW w:w="2551" w:type="dxa"/>
            <w:vAlign w:val="center"/>
          </w:tcPr>
          <w:p w14:paraId="568BEC68">
            <w:pPr>
              <w:pStyle w:val="14"/>
            </w:pPr>
            <w:r>
              <w:t>3.24</w:t>
            </w:r>
          </w:p>
        </w:tc>
        <w:tc>
          <w:tcPr>
            <w:tcW w:w="2551" w:type="dxa"/>
            <w:vAlign w:val="center"/>
          </w:tcPr>
          <w:p w14:paraId="1D31771D">
            <w:pPr>
              <w:pStyle w:val="14"/>
            </w:pPr>
          </w:p>
        </w:tc>
      </w:tr>
    </w:tbl>
    <w:p w14:paraId="08426AE8">
      <w:pPr>
        <w:sectPr>
          <w:pgSz w:w="16840" w:h="11900" w:orient="landscape"/>
          <w:pgMar w:top="1361" w:right="1020" w:bottom="1134" w:left="1020" w:header="720" w:footer="720" w:gutter="0"/>
          <w:cols w:space="720" w:num="1"/>
        </w:sectPr>
      </w:pPr>
    </w:p>
    <w:p w14:paraId="458E31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84F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429A20">
            <w:pPr>
              <w:pStyle w:val="8"/>
            </w:pPr>
            <w:r>
              <w:t>360005隆尧县尹村中学</w:t>
            </w:r>
          </w:p>
        </w:tc>
        <w:tc>
          <w:tcPr>
            <w:tcW w:w="2551" w:type="dxa"/>
            <w:tcBorders>
              <w:top w:val="single" w:color="FFFFFF" w:sz="6" w:space="0"/>
              <w:left w:val="single" w:color="FFFFFF" w:sz="6" w:space="0"/>
              <w:right w:val="single" w:color="FFFFFF" w:sz="6" w:space="0"/>
            </w:tcBorders>
            <w:vAlign w:val="center"/>
          </w:tcPr>
          <w:p w14:paraId="7DD9B9B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F72575D">
            <w:pPr>
              <w:pStyle w:val="10"/>
            </w:pPr>
            <w:r>
              <w:t>单位：万元</w:t>
            </w:r>
          </w:p>
        </w:tc>
      </w:tr>
      <w:tr w14:paraId="104F2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CF8DFB">
            <w:pPr>
              <w:pStyle w:val="11"/>
            </w:pPr>
            <w:r>
              <w:t>序号</w:t>
            </w:r>
          </w:p>
        </w:tc>
        <w:tc>
          <w:tcPr>
            <w:tcW w:w="5726" w:type="dxa"/>
            <w:gridSpan w:val="2"/>
            <w:vAlign w:val="center"/>
          </w:tcPr>
          <w:p w14:paraId="5DCBD8C8">
            <w:pPr>
              <w:pStyle w:val="11"/>
            </w:pPr>
            <w:r>
              <w:t>功能分类科目</w:t>
            </w:r>
          </w:p>
        </w:tc>
        <w:tc>
          <w:tcPr>
            <w:tcW w:w="2551" w:type="dxa"/>
            <w:vMerge w:val="restart"/>
            <w:vAlign w:val="center"/>
          </w:tcPr>
          <w:p w14:paraId="6E99E004">
            <w:pPr>
              <w:pStyle w:val="11"/>
            </w:pPr>
            <w:r>
              <w:t>合计</w:t>
            </w:r>
          </w:p>
        </w:tc>
        <w:tc>
          <w:tcPr>
            <w:tcW w:w="2551" w:type="dxa"/>
            <w:vMerge w:val="restart"/>
            <w:vAlign w:val="center"/>
          </w:tcPr>
          <w:p w14:paraId="5469CCB6">
            <w:pPr>
              <w:pStyle w:val="11"/>
            </w:pPr>
            <w:r>
              <w:t>基本支出</w:t>
            </w:r>
          </w:p>
        </w:tc>
        <w:tc>
          <w:tcPr>
            <w:tcW w:w="2551" w:type="dxa"/>
            <w:vMerge w:val="restart"/>
            <w:vAlign w:val="center"/>
          </w:tcPr>
          <w:p w14:paraId="73152AAB">
            <w:pPr>
              <w:pStyle w:val="11"/>
            </w:pPr>
            <w:r>
              <w:t>项目支出</w:t>
            </w:r>
          </w:p>
        </w:tc>
      </w:tr>
      <w:tr w14:paraId="04F75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07B467FA"/>
        </w:tc>
        <w:tc>
          <w:tcPr>
            <w:tcW w:w="1191" w:type="dxa"/>
            <w:vAlign w:val="center"/>
          </w:tcPr>
          <w:p w14:paraId="71C14D11">
            <w:pPr>
              <w:pStyle w:val="11"/>
            </w:pPr>
            <w:r>
              <w:t>科目编码</w:t>
            </w:r>
          </w:p>
        </w:tc>
        <w:tc>
          <w:tcPr>
            <w:tcW w:w="4535" w:type="dxa"/>
            <w:vAlign w:val="center"/>
          </w:tcPr>
          <w:p w14:paraId="2B6FF1FF">
            <w:pPr>
              <w:pStyle w:val="11"/>
            </w:pPr>
            <w:r>
              <w:t>科目名称</w:t>
            </w:r>
          </w:p>
        </w:tc>
        <w:tc>
          <w:tcPr>
            <w:tcW w:w="2551" w:type="dxa"/>
            <w:vMerge w:val="continue"/>
          </w:tcPr>
          <w:p w14:paraId="3DB30509"/>
        </w:tc>
        <w:tc>
          <w:tcPr>
            <w:tcW w:w="2551" w:type="dxa"/>
            <w:vMerge w:val="continue"/>
          </w:tcPr>
          <w:p w14:paraId="5730DF70"/>
        </w:tc>
        <w:tc>
          <w:tcPr>
            <w:tcW w:w="2551" w:type="dxa"/>
            <w:vMerge w:val="continue"/>
          </w:tcPr>
          <w:p w14:paraId="2BC9A0B5"/>
        </w:tc>
      </w:tr>
      <w:tr w14:paraId="4B4DB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F348AE">
            <w:pPr>
              <w:pStyle w:val="11"/>
            </w:pPr>
            <w:r>
              <w:t>栏次</w:t>
            </w:r>
          </w:p>
        </w:tc>
        <w:tc>
          <w:tcPr>
            <w:tcW w:w="1191" w:type="dxa"/>
            <w:vAlign w:val="center"/>
          </w:tcPr>
          <w:p w14:paraId="5919233F">
            <w:pPr>
              <w:pStyle w:val="11"/>
            </w:pPr>
            <w:r>
              <w:t>1</w:t>
            </w:r>
          </w:p>
        </w:tc>
        <w:tc>
          <w:tcPr>
            <w:tcW w:w="4535" w:type="dxa"/>
            <w:vAlign w:val="center"/>
          </w:tcPr>
          <w:p w14:paraId="5E22A2C8">
            <w:pPr>
              <w:pStyle w:val="11"/>
            </w:pPr>
            <w:r>
              <w:t>2</w:t>
            </w:r>
          </w:p>
        </w:tc>
        <w:tc>
          <w:tcPr>
            <w:tcW w:w="2551" w:type="dxa"/>
            <w:vAlign w:val="center"/>
          </w:tcPr>
          <w:p w14:paraId="19FAA492">
            <w:pPr>
              <w:pStyle w:val="11"/>
            </w:pPr>
            <w:r>
              <w:t>3</w:t>
            </w:r>
          </w:p>
        </w:tc>
        <w:tc>
          <w:tcPr>
            <w:tcW w:w="2551" w:type="dxa"/>
            <w:vAlign w:val="center"/>
          </w:tcPr>
          <w:p w14:paraId="38BE0591">
            <w:pPr>
              <w:pStyle w:val="11"/>
            </w:pPr>
            <w:r>
              <w:t>4</w:t>
            </w:r>
          </w:p>
        </w:tc>
        <w:tc>
          <w:tcPr>
            <w:tcW w:w="2551" w:type="dxa"/>
            <w:vAlign w:val="center"/>
          </w:tcPr>
          <w:p w14:paraId="08EDA9B0">
            <w:pPr>
              <w:pStyle w:val="11"/>
            </w:pPr>
            <w:r>
              <w:t>5</w:t>
            </w:r>
          </w:p>
        </w:tc>
      </w:tr>
      <w:tr w14:paraId="7AE87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693C7">
            <w:pPr>
              <w:pStyle w:val="12"/>
            </w:pPr>
          </w:p>
        </w:tc>
        <w:tc>
          <w:tcPr>
            <w:tcW w:w="1191" w:type="dxa"/>
            <w:vAlign w:val="center"/>
          </w:tcPr>
          <w:p w14:paraId="3F17A409">
            <w:pPr>
              <w:pStyle w:val="13"/>
            </w:pPr>
          </w:p>
        </w:tc>
        <w:tc>
          <w:tcPr>
            <w:tcW w:w="4535" w:type="dxa"/>
            <w:vAlign w:val="center"/>
          </w:tcPr>
          <w:p w14:paraId="1C633E29">
            <w:pPr>
              <w:pStyle w:val="13"/>
            </w:pPr>
          </w:p>
        </w:tc>
        <w:tc>
          <w:tcPr>
            <w:tcW w:w="2551" w:type="dxa"/>
            <w:vAlign w:val="center"/>
          </w:tcPr>
          <w:p w14:paraId="75E82D01">
            <w:pPr>
              <w:pStyle w:val="14"/>
            </w:pPr>
          </w:p>
        </w:tc>
        <w:tc>
          <w:tcPr>
            <w:tcW w:w="2551" w:type="dxa"/>
            <w:vAlign w:val="center"/>
          </w:tcPr>
          <w:p w14:paraId="1C3E4B69">
            <w:pPr>
              <w:pStyle w:val="14"/>
            </w:pPr>
          </w:p>
        </w:tc>
        <w:tc>
          <w:tcPr>
            <w:tcW w:w="2551" w:type="dxa"/>
            <w:vAlign w:val="center"/>
          </w:tcPr>
          <w:p w14:paraId="02913A88">
            <w:pPr>
              <w:pStyle w:val="14"/>
            </w:pPr>
          </w:p>
        </w:tc>
      </w:tr>
    </w:tbl>
    <w:p w14:paraId="3752AC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E309E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184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1FC830">
            <w:pPr>
              <w:pStyle w:val="8"/>
            </w:pPr>
            <w:r>
              <w:t>360005隆尧县尹村中学</w:t>
            </w:r>
          </w:p>
        </w:tc>
        <w:tc>
          <w:tcPr>
            <w:tcW w:w="2551" w:type="dxa"/>
            <w:tcBorders>
              <w:top w:val="single" w:color="FFFFFF" w:sz="6" w:space="0"/>
              <w:left w:val="single" w:color="FFFFFF" w:sz="6" w:space="0"/>
              <w:right w:val="single" w:color="FFFFFF" w:sz="6" w:space="0"/>
            </w:tcBorders>
            <w:vAlign w:val="center"/>
          </w:tcPr>
          <w:p w14:paraId="51A64E4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023F9DB">
            <w:pPr>
              <w:pStyle w:val="10"/>
            </w:pPr>
            <w:r>
              <w:t>单位：万元</w:t>
            </w:r>
          </w:p>
        </w:tc>
      </w:tr>
      <w:tr w14:paraId="6D6AB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11582">
            <w:pPr>
              <w:pStyle w:val="11"/>
            </w:pPr>
            <w:r>
              <w:t>序号</w:t>
            </w:r>
          </w:p>
        </w:tc>
        <w:tc>
          <w:tcPr>
            <w:tcW w:w="5726" w:type="dxa"/>
            <w:gridSpan w:val="2"/>
            <w:vAlign w:val="center"/>
          </w:tcPr>
          <w:p w14:paraId="3930FD83">
            <w:pPr>
              <w:pStyle w:val="11"/>
            </w:pPr>
            <w:r>
              <w:t>功能分类科目</w:t>
            </w:r>
          </w:p>
        </w:tc>
        <w:tc>
          <w:tcPr>
            <w:tcW w:w="2551" w:type="dxa"/>
            <w:vMerge w:val="restart"/>
            <w:vAlign w:val="center"/>
          </w:tcPr>
          <w:p w14:paraId="7B4064D0">
            <w:pPr>
              <w:pStyle w:val="11"/>
            </w:pPr>
            <w:r>
              <w:t>合计</w:t>
            </w:r>
          </w:p>
        </w:tc>
        <w:tc>
          <w:tcPr>
            <w:tcW w:w="2551" w:type="dxa"/>
            <w:vMerge w:val="restart"/>
            <w:vAlign w:val="center"/>
          </w:tcPr>
          <w:p w14:paraId="1A363EED">
            <w:pPr>
              <w:pStyle w:val="11"/>
            </w:pPr>
            <w:r>
              <w:t>基本支出</w:t>
            </w:r>
          </w:p>
        </w:tc>
        <w:tc>
          <w:tcPr>
            <w:tcW w:w="2551" w:type="dxa"/>
            <w:vMerge w:val="restart"/>
            <w:vAlign w:val="center"/>
          </w:tcPr>
          <w:p w14:paraId="534763B4">
            <w:pPr>
              <w:pStyle w:val="11"/>
            </w:pPr>
            <w:r>
              <w:t>项目支出</w:t>
            </w:r>
          </w:p>
        </w:tc>
      </w:tr>
      <w:tr w14:paraId="65BD8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AE88CF"/>
        </w:tc>
        <w:tc>
          <w:tcPr>
            <w:tcW w:w="1191" w:type="dxa"/>
            <w:vAlign w:val="center"/>
          </w:tcPr>
          <w:p w14:paraId="6245C2EF">
            <w:pPr>
              <w:pStyle w:val="11"/>
            </w:pPr>
            <w:r>
              <w:t>科目编码</w:t>
            </w:r>
          </w:p>
        </w:tc>
        <w:tc>
          <w:tcPr>
            <w:tcW w:w="4535" w:type="dxa"/>
            <w:vAlign w:val="center"/>
          </w:tcPr>
          <w:p w14:paraId="52C8C11B">
            <w:pPr>
              <w:pStyle w:val="11"/>
            </w:pPr>
            <w:r>
              <w:t>科目名称</w:t>
            </w:r>
          </w:p>
        </w:tc>
        <w:tc>
          <w:tcPr>
            <w:tcW w:w="2551" w:type="dxa"/>
            <w:vMerge w:val="continue"/>
          </w:tcPr>
          <w:p w14:paraId="1531D58A"/>
        </w:tc>
        <w:tc>
          <w:tcPr>
            <w:tcW w:w="2551" w:type="dxa"/>
            <w:vMerge w:val="continue"/>
          </w:tcPr>
          <w:p w14:paraId="25187587"/>
        </w:tc>
        <w:tc>
          <w:tcPr>
            <w:tcW w:w="2551" w:type="dxa"/>
            <w:vMerge w:val="continue"/>
          </w:tcPr>
          <w:p w14:paraId="126E8B50"/>
        </w:tc>
      </w:tr>
      <w:tr w14:paraId="2A24B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4857DC">
            <w:pPr>
              <w:pStyle w:val="11"/>
            </w:pPr>
            <w:r>
              <w:t>栏次</w:t>
            </w:r>
          </w:p>
        </w:tc>
        <w:tc>
          <w:tcPr>
            <w:tcW w:w="1191" w:type="dxa"/>
            <w:vAlign w:val="center"/>
          </w:tcPr>
          <w:p w14:paraId="142C297A">
            <w:pPr>
              <w:pStyle w:val="11"/>
            </w:pPr>
            <w:r>
              <w:t>1</w:t>
            </w:r>
          </w:p>
        </w:tc>
        <w:tc>
          <w:tcPr>
            <w:tcW w:w="4535" w:type="dxa"/>
            <w:vAlign w:val="center"/>
          </w:tcPr>
          <w:p w14:paraId="5583F102">
            <w:pPr>
              <w:pStyle w:val="11"/>
            </w:pPr>
            <w:r>
              <w:t>2</w:t>
            </w:r>
          </w:p>
        </w:tc>
        <w:tc>
          <w:tcPr>
            <w:tcW w:w="2551" w:type="dxa"/>
            <w:vAlign w:val="center"/>
          </w:tcPr>
          <w:p w14:paraId="38693297">
            <w:pPr>
              <w:pStyle w:val="11"/>
            </w:pPr>
            <w:r>
              <w:t>3</w:t>
            </w:r>
          </w:p>
        </w:tc>
        <w:tc>
          <w:tcPr>
            <w:tcW w:w="2551" w:type="dxa"/>
            <w:vAlign w:val="center"/>
          </w:tcPr>
          <w:p w14:paraId="21B90F13">
            <w:pPr>
              <w:pStyle w:val="11"/>
            </w:pPr>
            <w:r>
              <w:t>4</w:t>
            </w:r>
          </w:p>
        </w:tc>
        <w:tc>
          <w:tcPr>
            <w:tcW w:w="2551" w:type="dxa"/>
            <w:vAlign w:val="center"/>
          </w:tcPr>
          <w:p w14:paraId="097262F3">
            <w:pPr>
              <w:pStyle w:val="11"/>
            </w:pPr>
            <w:r>
              <w:t>5</w:t>
            </w:r>
          </w:p>
        </w:tc>
      </w:tr>
      <w:tr w14:paraId="238A6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AE0BC">
            <w:pPr>
              <w:pStyle w:val="12"/>
            </w:pPr>
          </w:p>
        </w:tc>
        <w:tc>
          <w:tcPr>
            <w:tcW w:w="1191" w:type="dxa"/>
            <w:vAlign w:val="center"/>
          </w:tcPr>
          <w:p w14:paraId="1C96CF05">
            <w:pPr>
              <w:pStyle w:val="13"/>
            </w:pPr>
          </w:p>
        </w:tc>
        <w:tc>
          <w:tcPr>
            <w:tcW w:w="4535" w:type="dxa"/>
            <w:vAlign w:val="center"/>
          </w:tcPr>
          <w:p w14:paraId="6C6C2505">
            <w:pPr>
              <w:pStyle w:val="13"/>
            </w:pPr>
          </w:p>
        </w:tc>
        <w:tc>
          <w:tcPr>
            <w:tcW w:w="2551" w:type="dxa"/>
            <w:vAlign w:val="center"/>
          </w:tcPr>
          <w:p w14:paraId="44D8C43F">
            <w:pPr>
              <w:pStyle w:val="14"/>
            </w:pPr>
          </w:p>
        </w:tc>
        <w:tc>
          <w:tcPr>
            <w:tcW w:w="2551" w:type="dxa"/>
            <w:vAlign w:val="center"/>
          </w:tcPr>
          <w:p w14:paraId="4416C884">
            <w:pPr>
              <w:pStyle w:val="14"/>
            </w:pPr>
          </w:p>
        </w:tc>
        <w:tc>
          <w:tcPr>
            <w:tcW w:w="2551" w:type="dxa"/>
            <w:vAlign w:val="center"/>
          </w:tcPr>
          <w:p w14:paraId="50B6FF57">
            <w:pPr>
              <w:pStyle w:val="14"/>
            </w:pPr>
          </w:p>
        </w:tc>
      </w:tr>
    </w:tbl>
    <w:p w14:paraId="4EF392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D523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0F7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D288607">
            <w:pPr>
              <w:pStyle w:val="8"/>
            </w:pPr>
            <w:r>
              <w:t>360005隆尧县尹村中学</w:t>
            </w:r>
          </w:p>
        </w:tc>
        <w:tc>
          <w:tcPr>
            <w:tcW w:w="2381" w:type="dxa"/>
            <w:tcBorders>
              <w:top w:val="single" w:color="FFFFFF" w:sz="6" w:space="0"/>
              <w:left w:val="single" w:color="FFFFFF" w:sz="6" w:space="0"/>
              <w:right w:val="single" w:color="FFFFFF" w:sz="6" w:space="0"/>
            </w:tcBorders>
            <w:vAlign w:val="center"/>
          </w:tcPr>
          <w:p w14:paraId="1A5B6789">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EC86968">
            <w:pPr>
              <w:pStyle w:val="10"/>
            </w:pPr>
            <w:r>
              <w:t>单位：万元</w:t>
            </w:r>
          </w:p>
        </w:tc>
      </w:tr>
      <w:tr w14:paraId="530CF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30D1A5">
            <w:pPr>
              <w:pStyle w:val="11"/>
            </w:pPr>
            <w:r>
              <w:t>序号</w:t>
            </w:r>
          </w:p>
        </w:tc>
        <w:tc>
          <w:tcPr>
            <w:tcW w:w="3798" w:type="dxa"/>
            <w:vMerge w:val="restart"/>
            <w:vAlign w:val="center"/>
          </w:tcPr>
          <w:p w14:paraId="3585CD9F">
            <w:pPr>
              <w:pStyle w:val="11"/>
            </w:pPr>
            <w:r>
              <w:t>项  目</w:t>
            </w:r>
          </w:p>
        </w:tc>
        <w:tc>
          <w:tcPr>
            <w:tcW w:w="9524" w:type="dxa"/>
            <w:gridSpan w:val="4"/>
            <w:vAlign w:val="center"/>
          </w:tcPr>
          <w:p w14:paraId="52485222">
            <w:pPr>
              <w:pStyle w:val="11"/>
            </w:pPr>
            <w:r>
              <w:t>资 金 性 质</w:t>
            </w:r>
          </w:p>
        </w:tc>
      </w:tr>
      <w:tr w14:paraId="77DC1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D0E248"/>
        </w:tc>
        <w:tc>
          <w:tcPr>
            <w:tcW w:w="3798" w:type="dxa"/>
            <w:vMerge w:val="continue"/>
          </w:tcPr>
          <w:p w14:paraId="7BC6D896"/>
        </w:tc>
        <w:tc>
          <w:tcPr>
            <w:tcW w:w="2381" w:type="dxa"/>
            <w:vAlign w:val="center"/>
          </w:tcPr>
          <w:p w14:paraId="0509DB20">
            <w:pPr>
              <w:pStyle w:val="11"/>
            </w:pPr>
            <w:r>
              <w:t>合计</w:t>
            </w:r>
          </w:p>
        </w:tc>
        <w:tc>
          <w:tcPr>
            <w:tcW w:w="2381" w:type="dxa"/>
            <w:vAlign w:val="center"/>
          </w:tcPr>
          <w:p w14:paraId="730ECF20">
            <w:pPr>
              <w:pStyle w:val="11"/>
            </w:pPr>
            <w:r>
              <w:t>一般公共预算              财政拨款</w:t>
            </w:r>
          </w:p>
        </w:tc>
        <w:tc>
          <w:tcPr>
            <w:tcW w:w="2381" w:type="dxa"/>
            <w:vAlign w:val="center"/>
          </w:tcPr>
          <w:p w14:paraId="75CD3562">
            <w:pPr>
              <w:pStyle w:val="11"/>
            </w:pPr>
            <w:r>
              <w:t>政府性基金                  预算拨款</w:t>
            </w:r>
          </w:p>
        </w:tc>
        <w:tc>
          <w:tcPr>
            <w:tcW w:w="2381" w:type="dxa"/>
            <w:vAlign w:val="center"/>
          </w:tcPr>
          <w:p w14:paraId="26153C43">
            <w:pPr>
              <w:pStyle w:val="11"/>
            </w:pPr>
            <w:r>
              <w:t>国有资本经营              预算财政拨款</w:t>
            </w:r>
          </w:p>
        </w:tc>
      </w:tr>
      <w:tr w14:paraId="2BD64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EEBD33">
            <w:pPr>
              <w:pStyle w:val="11"/>
            </w:pPr>
            <w:r>
              <w:t>栏次</w:t>
            </w:r>
          </w:p>
        </w:tc>
        <w:tc>
          <w:tcPr>
            <w:tcW w:w="3798" w:type="dxa"/>
            <w:vAlign w:val="center"/>
          </w:tcPr>
          <w:p w14:paraId="18786A7B">
            <w:pPr>
              <w:pStyle w:val="11"/>
            </w:pPr>
            <w:r>
              <w:t>1</w:t>
            </w:r>
          </w:p>
        </w:tc>
        <w:tc>
          <w:tcPr>
            <w:tcW w:w="2381" w:type="dxa"/>
            <w:vAlign w:val="center"/>
          </w:tcPr>
          <w:p w14:paraId="1D36D45C">
            <w:pPr>
              <w:pStyle w:val="11"/>
            </w:pPr>
            <w:r>
              <w:t>2</w:t>
            </w:r>
          </w:p>
        </w:tc>
        <w:tc>
          <w:tcPr>
            <w:tcW w:w="2381" w:type="dxa"/>
            <w:vAlign w:val="center"/>
          </w:tcPr>
          <w:p w14:paraId="3A83025D">
            <w:pPr>
              <w:pStyle w:val="11"/>
            </w:pPr>
            <w:r>
              <w:t>3</w:t>
            </w:r>
          </w:p>
        </w:tc>
        <w:tc>
          <w:tcPr>
            <w:tcW w:w="2381" w:type="dxa"/>
            <w:vAlign w:val="center"/>
          </w:tcPr>
          <w:p w14:paraId="7EF83EFD">
            <w:pPr>
              <w:pStyle w:val="11"/>
            </w:pPr>
            <w:r>
              <w:t>4</w:t>
            </w:r>
          </w:p>
        </w:tc>
        <w:tc>
          <w:tcPr>
            <w:tcW w:w="2381" w:type="dxa"/>
            <w:vAlign w:val="center"/>
          </w:tcPr>
          <w:p w14:paraId="74243DCE">
            <w:pPr>
              <w:pStyle w:val="11"/>
            </w:pPr>
            <w:r>
              <w:t>5</w:t>
            </w:r>
          </w:p>
        </w:tc>
      </w:tr>
      <w:tr w14:paraId="21748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42457F">
            <w:pPr>
              <w:pStyle w:val="12"/>
            </w:pPr>
          </w:p>
        </w:tc>
        <w:tc>
          <w:tcPr>
            <w:tcW w:w="3798" w:type="dxa"/>
            <w:vAlign w:val="center"/>
          </w:tcPr>
          <w:p w14:paraId="1F70ED0E">
            <w:pPr>
              <w:pStyle w:val="13"/>
            </w:pPr>
          </w:p>
        </w:tc>
        <w:tc>
          <w:tcPr>
            <w:tcW w:w="2381" w:type="dxa"/>
            <w:vAlign w:val="center"/>
          </w:tcPr>
          <w:p w14:paraId="3F31141F">
            <w:pPr>
              <w:pStyle w:val="14"/>
            </w:pPr>
          </w:p>
        </w:tc>
        <w:tc>
          <w:tcPr>
            <w:tcW w:w="2381" w:type="dxa"/>
            <w:vAlign w:val="center"/>
          </w:tcPr>
          <w:p w14:paraId="0B06B1BB">
            <w:pPr>
              <w:pStyle w:val="14"/>
            </w:pPr>
          </w:p>
        </w:tc>
        <w:tc>
          <w:tcPr>
            <w:tcW w:w="2381" w:type="dxa"/>
            <w:vAlign w:val="center"/>
          </w:tcPr>
          <w:p w14:paraId="47B5B24C">
            <w:pPr>
              <w:pStyle w:val="14"/>
            </w:pPr>
          </w:p>
        </w:tc>
        <w:tc>
          <w:tcPr>
            <w:tcW w:w="2381" w:type="dxa"/>
            <w:vAlign w:val="center"/>
          </w:tcPr>
          <w:p w14:paraId="5CBAACBA">
            <w:pPr>
              <w:pStyle w:val="14"/>
            </w:pPr>
          </w:p>
        </w:tc>
      </w:tr>
    </w:tbl>
    <w:p w14:paraId="418AA21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3140A9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隆尧县尹村中学2025年单位预算信息公开情况说明</w:t>
      </w:r>
    </w:p>
    <w:p w14:paraId="7A70131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按照《中华人民共和国预算法》、《地方预决算公开操作规程》和《关于进一步推进预算公开工作的实施意见》规定，现将隆尧县尹村中学2025年单位预算公开如下：</w:t>
      </w:r>
    </w:p>
    <w:p w14:paraId="6ABD3B58">
      <w:pPr>
        <w:spacing w:before="10" w:after="10" w:line="240" w:lineRule="auto"/>
        <w:ind w:firstLine="640"/>
        <w:jc w:val="left"/>
        <w:outlineLvl w:val="5"/>
      </w:pPr>
      <w:r>
        <w:rPr>
          <w:rFonts w:ascii="黑体" w:hAnsi="黑体" w:eastAsia="黑体" w:cs="黑体"/>
          <w:color w:val="000000"/>
          <w:sz w:val="32"/>
        </w:rPr>
        <w:t>一、单位职责及机构设置情况</w:t>
      </w:r>
    </w:p>
    <w:p w14:paraId="66D8247A">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25C78EB7">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2C90A33B">
      <w:pPr>
        <w:pStyle w:val="18"/>
      </w:pPr>
      <w:r>
        <w:t>隆尧尹村县中学事业编制69名．其中，校长1名（正股级），副校长3名（副股级）；经费形式为财政性资金基本保证。</w:t>
      </w:r>
    </w:p>
    <w:p w14:paraId="451334A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034AA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EBF1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211FCD">
            <w:pPr>
              <w:pStyle w:val="11"/>
            </w:pPr>
            <w:r>
              <w:t>单位名称</w:t>
            </w:r>
          </w:p>
        </w:tc>
        <w:tc>
          <w:tcPr>
            <w:tcW w:w="1843" w:type="dxa"/>
            <w:vAlign w:val="center"/>
          </w:tcPr>
          <w:p w14:paraId="3409D5CA">
            <w:pPr>
              <w:pStyle w:val="11"/>
            </w:pPr>
            <w:r>
              <w:t>单位性质</w:t>
            </w:r>
          </w:p>
        </w:tc>
        <w:tc>
          <w:tcPr>
            <w:tcW w:w="2126" w:type="dxa"/>
            <w:vAlign w:val="center"/>
          </w:tcPr>
          <w:p w14:paraId="4472C19B">
            <w:pPr>
              <w:pStyle w:val="11"/>
            </w:pPr>
            <w:r>
              <w:t>单位规格</w:t>
            </w:r>
          </w:p>
        </w:tc>
        <w:tc>
          <w:tcPr>
            <w:tcW w:w="3827" w:type="dxa"/>
            <w:vAlign w:val="center"/>
          </w:tcPr>
          <w:p w14:paraId="2C16DAEF">
            <w:pPr>
              <w:pStyle w:val="11"/>
            </w:pPr>
            <w:r>
              <w:t>经费保障形式</w:t>
            </w:r>
          </w:p>
        </w:tc>
      </w:tr>
      <w:tr w14:paraId="33DB8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BA430A6">
            <w:pPr>
              <w:pStyle w:val="13"/>
            </w:pPr>
            <w:r>
              <w:t>隆尧县尹村中学</w:t>
            </w:r>
          </w:p>
        </w:tc>
        <w:tc>
          <w:tcPr>
            <w:tcW w:w="1843" w:type="dxa"/>
            <w:vAlign w:val="center"/>
          </w:tcPr>
          <w:p w14:paraId="4BF57D07">
            <w:pPr>
              <w:pStyle w:val="12"/>
            </w:pPr>
            <w:r>
              <w:t>事业</w:t>
            </w:r>
          </w:p>
        </w:tc>
        <w:tc>
          <w:tcPr>
            <w:tcW w:w="2126" w:type="dxa"/>
            <w:vAlign w:val="center"/>
          </w:tcPr>
          <w:p w14:paraId="3B123CE5">
            <w:pPr>
              <w:pStyle w:val="12"/>
            </w:pPr>
            <w:r>
              <w:t>股级</w:t>
            </w:r>
          </w:p>
        </w:tc>
        <w:tc>
          <w:tcPr>
            <w:tcW w:w="3827" w:type="dxa"/>
            <w:vAlign w:val="center"/>
          </w:tcPr>
          <w:p w14:paraId="3A1E80F9">
            <w:pPr>
              <w:pStyle w:val="12"/>
            </w:pPr>
            <w:r>
              <w:t>财政性资金基本保证</w:t>
            </w:r>
          </w:p>
        </w:tc>
      </w:tr>
    </w:tbl>
    <w:p w14:paraId="56E8E218">
      <w:pPr>
        <w:spacing w:before="10" w:after="10" w:line="240" w:lineRule="auto"/>
        <w:ind w:firstLine="640"/>
        <w:jc w:val="left"/>
        <w:outlineLvl w:val="5"/>
      </w:pPr>
      <w:r>
        <w:rPr>
          <w:rFonts w:ascii="黑体" w:hAnsi="黑体" w:eastAsia="黑体" w:cs="黑体"/>
          <w:color w:val="000000"/>
          <w:sz w:val="32"/>
        </w:rPr>
        <w:t>二、单位预算安排的总体情况</w:t>
      </w:r>
    </w:p>
    <w:p w14:paraId="39DFE241">
      <w:pPr>
        <w:pStyle w:val="19"/>
      </w:pPr>
      <w:r>
        <w:t>按照预算管理有关规定，目前我校单位预算的编制实行综合预算管理，即全部收入和支出都反映的预算中。隆尧县尹村中学收支包含在单位预算中。</w:t>
      </w:r>
    </w:p>
    <w:p w14:paraId="7A371CC3">
      <w:pPr>
        <w:pStyle w:val="19"/>
      </w:pPr>
      <w:r>
        <w:t>1、收入说明</w:t>
      </w:r>
    </w:p>
    <w:p w14:paraId="22CBBF4A">
      <w:pPr>
        <w:pStyle w:val="19"/>
      </w:pPr>
      <w:r>
        <w:t>反映本单位当年全部收入。2025年预算收入873.93万元，其中：一般公共预算收入873.93万元，基金预算收入0万元，财政专户管理资金收入0万元，单位资金收入0万元，上年结转结余0万元。</w:t>
      </w:r>
    </w:p>
    <w:p w14:paraId="7085337A">
      <w:pPr>
        <w:pStyle w:val="19"/>
      </w:pPr>
      <w:r>
        <w:t>2、支出说明</w:t>
      </w:r>
    </w:p>
    <w:p w14:paraId="02061706">
      <w:pPr>
        <w:pStyle w:val="19"/>
      </w:pPr>
      <w:r>
        <w:t>收支预算总表支出栏、基本支出表、项目支出表按经济分类和支出功能分类科目编制，反映隆尧县尹村中学年度单位预算中支出预算的总体情况。2025年单位支出预算为873.93万元，其中基本支出688.43万元、项目支出185.5万元。主要为初中教育873.93万元。</w:t>
      </w:r>
    </w:p>
    <w:p w14:paraId="38F5316E">
      <w:pPr>
        <w:pStyle w:val="19"/>
      </w:pPr>
      <w:r>
        <w:t>3、比上年增减情况</w:t>
      </w:r>
    </w:p>
    <w:p w14:paraId="11EE5E04">
      <w:pPr>
        <w:pStyle w:val="19"/>
      </w:pPr>
      <w:r>
        <w:t>2025年部门预算收支安排873.93万元，比2024年预算增39.28万元，其中基本支出增加64.23万元，项目支出增加5.05万元。</w:t>
      </w:r>
    </w:p>
    <w:p w14:paraId="6D141306">
      <w:pPr>
        <w:spacing w:before="10" w:after="10" w:line="240" w:lineRule="auto"/>
        <w:ind w:firstLine="640"/>
        <w:jc w:val="left"/>
        <w:outlineLvl w:val="5"/>
      </w:pPr>
      <w:r>
        <w:rPr>
          <w:rFonts w:ascii="黑体" w:hAnsi="黑体" w:eastAsia="黑体" w:cs="黑体"/>
          <w:color w:val="000000"/>
          <w:sz w:val="32"/>
        </w:rPr>
        <w:t>三、机关运行经费安排情况</w:t>
      </w:r>
    </w:p>
    <w:p w14:paraId="2B4D288B">
      <w:pPr>
        <w:pStyle w:val="20"/>
      </w:pPr>
      <w:r>
        <w:t>2025年，我单位按学生安排公用经费，无机关运行经费。</w:t>
      </w:r>
    </w:p>
    <w:p w14:paraId="7E44CB2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AAAA4AE">
      <w:pPr>
        <w:pStyle w:val="21"/>
      </w:pPr>
      <w:r>
        <w:t>2025年，我单位未安排三公经费。</w:t>
      </w:r>
    </w:p>
    <w:p w14:paraId="17FEF7C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80FB0A">
      <w:pPr>
        <w:spacing w:before="0" w:after="0"/>
        <w:ind w:firstLine="560"/>
        <w:jc w:val="left"/>
        <w:outlineLvl w:val="9"/>
      </w:pPr>
      <w:r>
        <w:rPr>
          <w:rFonts w:ascii="方正仿宋_GBK" w:hAnsi="方正仿宋_GBK" w:eastAsia="方正仿宋_GBK" w:cs="方正仿宋_GBK"/>
          <w:b/>
          <w:color w:val="000000"/>
          <w:sz w:val="28"/>
        </w:rPr>
        <w:t>1、冀财教[2024]123号/中央/2025年义教补助经费/校舍安全保障/尹村中学宿舍楼维修改造绩效目标表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24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EC047">
            <w:pPr>
              <w:pStyle w:val="14"/>
            </w:pPr>
            <w:r>
              <w:t>单位：万元</w:t>
            </w:r>
          </w:p>
        </w:tc>
      </w:tr>
      <w:tr w14:paraId="36C08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CA2AB5">
            <w:pPr>
              <w:pStyle w:val="11"/>
            </w:pPr>
            <w:r>
              <w:t>项目编码</w:t>
            </w:r>
          </w:p>
        </w:tc>
        <w:tc>
          <w:tcPr>
            <w:tcW w:w="5103" w:type="dxa"/>
            <w:gridSpan w:val="2"/>
            <w:vAlign w:val="center"/>
          </w:tcPr>
          <w:p w14:paraId="1B63A526">
            <w:pPr>
              <w:pStyle w:val="13"/>
            </w:pPr>
            <w:r>
              <w:t>13052525P00876210001E</w:t>
            </w:r>
          </w:p>
        </w:tc>
        <w:tc>
          <w:tcPr>
            <w:tcW w:w="2835" w:type="dxa"/>
            <w:vAlign w:val="center"/>
          </w:tcPr>
          <w:p w14:paraId="2E68A38F">
            <w:pPr>
              <w:pStyle w:val="11"/>
            </w:pPr>
            <w:r>
              <w:t>项目名称</w:t>
            </w:r>
          </w:p>
        </w:tc>
        <w:tc>
          <w:tcPr>
            <w:tcW w:w="6095" w:type="dxa"/>
            <w:gridSpan w:val="3"/>
            <w:vAlign w:val="center"/>
          </w:tcPr>
          <w:p w14:paraId="5634C36D">
            <w:pPr>
              <w:pStyle w:val="13"/>
            </w:pPr>
            <w:r>
              <w:t>冀财教[2024]123号/中央/2025年义教补助经费/校舍安全保障/尹村中学宿舍楼维修改造</w:t>
            </w:r>
          </w:p>
        </w:tc>
      </w:tr>
      <w:tr w14:paraId="20276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8B2AA68">
            <w:pPr>
              <w:pStyle w:val="11"/>
            </w:pPr>
            <w:r>
              <w:t>预算规模及资金用途</w:t>
            </w:r>
          </w:p>
        </w:tc>
        <w:tc>
          <w:tcPr>
            <w:tcW w:w="2268" w:type="dxa"/>
            <w:vAlign w:val="center"/>
          </w:tcPr>
          <w:p w14:paraId="29F5BCD3">
            <w:pPr>
              <w:pStyle w:val="11"/>
            </w:pPr>
            <w:r>
              <w:t>预算数</w:t>
            </w:r>
          </w:p>
        </w:tc>
        <w:tc>
          <w:tcPr>
            <w:tcW w:w="2835" w:type="dxa"/>
            <w:vAlign w:val="center"/>
          </w:tcPr>
          <w:p w14:paraId="2E6E7CDF">
            <w:pPr>
              <w:pStyle w:val="13"/>
            </w:pPr>
            <w:r>
              <w:t>42.78</w:t>
            </w:r>
          </w:p>
        </w:tc>
        <w:tc>
          <w:tcPr>
            <w:tcW w:w="2835" w:type="dxa"/>
            <w:vAlign w:val="center"/>
          </w:tcPr>
          <w:p w14:paraId="77E6F040">
            <w:pPr>
              <w:pStyle w:val="11"/>
            </w:pPr>
            <w:r>
              <w:t>其中：财政    资金</w:t>
            </w:r>
          </w:p>
        </w:tc>
        <w:tc>
          <w:tcPr>
            <w:tcW w:w="2551" w:type="dxa"/>
            <w:vAlign w:val="center"/>
          </w:tcPr>
          <w:p w14:paraId="00137588">
            <w:pPr>
              <w:pStyle w:val="13"/>
            </w:pPr>
            <w:r>
              <w:t>42.78</w:t>
            </w:r>
          </w:p>
        </w:tc>
        <w:tc>
          <w:tcPr>
            <w:tcW w:w="2268" w:type="dxa"/>
            <w:vAlign w:val="center"/>
          </w:tcPr>
          <w:p w14:paraId="5CFED63D">
            <w:pPr>
              <w:pStyle w:val="11"/>
            </w:pPr>
            <w:r>
              <w:t>其他资金</w:t>
            </w:r>
          </w:p>
        </w:tc>
        <w:tc>
          <w:tcPr>
            <w:tcW w:w="1276" w:type="dxa"/>
            <w:vAlign w:val="center"/>
          </w:tcPr>
          <w:p w14:paraId="33FAB02C">
            <w:pPr>
              <w:pStyle w:val="13"/>
            </w:pPr>
            <w:r>
              <w:t xml:space="preserve"> </w:t>
            </w:r>
          </w:p>
        </w:tc>
      </w:tr>
      <w:tr w14:paraId="41A68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32E796"/>
        </w:tc>
        <w:tc>
          <w:tcPr>
            <w:tcW w:w="14033" w:type="dxa"/>
            <w:gridSpan w:val="6"/>
            <w:vAlign w:val="center"/>
          </w:tcPr>
          <w:p w14:paraId="7B7E0DB0">
            <w:pPr>
              <w:pStyle w:val="13"/>
            </w:pPr>
            <w:r>
              <w:t>改善就学条件，提升学校形象，保障义务教育阶段教学安全，改善师生教学环境，创造良好的校园环境。</w:t>
            </w:r>
            <w:r>
              <w:tab/>
            </w:r>
          </w:p>
        </w:tc>
      </w:tr>
      <w:tr w14:paraId="38569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44412">
            <w:pPr>
              <w:pStyle w:val="11"/>
            </w:pPr>
            <w:r>
              <w:t>资金支出计划（%）</w:t>
            </w:r>
          </w:p>
        </w:tc>
        <w:tc>
          <w:tcPr>
            <w:tcW w:w="5103" w:type="dxa"/>
            <w:gridSpan w:val="2"/>
            <w:vAlign w:val="center"/>
          </w:tcPr>
          <w:p w14:paraId="374393A9">
            <w:pPr>
              <w:pStyle w:val="11"/>
            </w:pPr>
            <w:r>
              <w:t>3月底</w:t>
            </w:r>
          </w:p>
        </w:tc>
        <w:tc>
          <w:tcPr>
            <w:tcW w:w="2835" w:type="dxa"/>
            <w:vAlign w:val="center"/>
          </w:tcPr>
          <w:p w14:paraId="73F8B69D">
            <w:pPr>
              <w:pStyle w:val="11"/>
            </w:pPr>
            <w:r>
              <w:t>6月底</w:t>
            </w:r>
          </w:p>
        </w:tc>
        <w:tc>
          <w:tcPr>
            <w:tcW w:w="2551" w:type="dxa"/>
            <w:vAlign w:val="center"/>
          </w:tcPr>
          <w:p w14:paraId="09A574BD">
            <w:pPr>
              <w:pStyle w:val="11"/>
            </w:pPr>
            <w:r>
              <w:t>10月底</w:t>
            </w:r>
          </w:p>
        </w:tc>
        <w:tc>
          <w:tcPr>
            <w:tcW w:w="3544" w:type="dxa"/>
            <w:gridSpan w:val="2"/>
            <w:vAlign w:val="center"/>
          </w:tcPr>
          <w:p w14:paraId="11563E04">
            <w:pPr>
              <w:pStyle w:val="11"/>
            </w:pPr>
            <w:r>
              <w:t>12月底</w:t>
            </w:r>
          </w:p>
        </w:tc>
      </w:tr>
      <w:tr w14:paraId="6851F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41A82D5C"/>
        </w:tc>
        <w:tc>
          <w:tcPr>
            <w:tcW w:w="5103" w:type="dxa"/>
            <w:gridSpan w:val="2"/>
            <w:vAlign w:val="center"/>
          </w:tcPr>
          <w:p w14:paraId="38E5FA2E">
            <w:pPr>
              <w:pStyle w:val="12"/>
            </w:pPr>
            <w:r>
              <w:t xml:space="preserve"> </w:t>
            </w:r>
          </w:p>
        </w:tc>
        <w:tc>
          <w:tcPr>
            <w:tcW w:w="2835" w:type="dxa"/>
            <w:vAlign w:val="center"/>
          </w:tcPr>
          <w:p w14:paraId="00EEE700">
            <w:pPr>
              <w:pStyle w:val="12"/>
            </w:pPr>
            <w:r>
              <w:t xml:space="preserve"> </w:t>
            </w:r>
          </w:p>
        </w:tc>
        <w:tc>
          <w:tcPr>
            <w:tcW w:w="2551" w:type="dxa"/>
            <w:vAlign w:val="center"/>
          </w:tcPr>
          <w:p w14:paraId="7318E4EA">
            <w:pPr>
              <w:pStyle w:val="12"/>
            </w:pPr>
            <w:r>
              <w:t>100%</w:t>
            </w:r>
          </w:p>
        </w:tc>
        <w:tc>
          <w:tcPr>
            <w:tcW w:w="3544" w:type="dxa"/>
            <w:gridSpan w:val="2"/>
            <w:vAlign w:val="center"/>
          </w:tcPr>
          <w:p w14:paraId="4366CA2C">
            <w:pPr>
              <w:pStyle w:val="12"/>
            </w:pPr>
            <w:r>
              <w:t>100%</w:t>
            </w:r>
          </w:p>
        </w:tc>
      </w:tr>
      <w:tr w14:paraId="0BB09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65486B">
            <w:pPr>
              <w:pStyle w:val="11"/>
            </w:pPr>
            <w:r>
              <w:t>绩效目标</w:t>
            </w:r>
          </w:p>
        </w:tc>
        <w:tc>
          <w:tcPr>
            <w:tcW w:w="14033" w:type="dxa"/>
            <w:gridSpan w:val="6"/>
            <w:vAlign w:val="center"/>
          </w:tcPr>
          <w:p w14:paraId="5289762E">
            <w:pPr>
              <w:pStyle w:val="13"/>
            </w:pPr>
            <w:r>
              <w:t>1.项目需资金42.78万元，资金拨付率达到100%。</w:t>
            </w:r>
          </w:p>
          <w:p w14:paraId="16A2FC23">
            <w:pPr>
              <w:pStyle w:val="13"/>
            </w:pPr>
            <w:r>
              <w:t>2.改善就学条件，提升学校形象，保障义务教育阶段教学安全，改善师生教学环境，创造良好的校园环境。</w:t>
            </w:r>
            <w:r>
              <w:tab/>
            </w:r>
            <w:r>
              <w:tab/>
            </w:r>
            <w:r>
              <w:tab/>
            </w:r>
            <w:r>
              <w:tab/>
            </w:r>
            <w:r>
              <w:tab/>
            </w:r>
            <w:r>
              <w:tab/>
            </w:r>
          </w:p>
          <w:p w14:paraId="340DFBB0">
            <w:pPr>
              <w:pStyle w:val="13"/>
            </w:pPr>
          </w:p>
        </w:tc>
      </w:tr>
    </w:tbl>
    <w:p w14:paraId="59C655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38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DA841F">
            <w:pPr>
              <w:pStyle w:val="11"/>
            </w:pPr>
            <w:r>
              <w:t>一级指标</w:t>
            </w:r>
          </w:p>
        </w:tc>
        <w:tc>
          <w:tcPr>
            <w:tcW w:w="2268" w:type="dxa"/>
            <w:vAlign w:val="center"/>
          </w:tcPr>
          <w:p w14:paraId="6DB93575">
            <w:pPr>
              <w:pStyle w:val="11"/>
            </w:pPr>
            <w:r>
              <w:t>二级指标</w:t>
            </w:r>
          </w:p>
        </w:tc>
        <w:tc>
          <w:tcPr>
            <w:tcW w:w="2835" w:type="dxa"/>
            <w:vAlign w:val="center"/>
          </w:tcPr>
          <w:p w14:paraId="75BEDFBE">
            <w:pPr>
              <w:pStyle w:val="11"/>
            </w:pPr>
            <w:r>
              <w:t>三级指标</w:t>
            </w:r>
          </w:p>
        </w:tc>
        <w:tc>
          <w:tcPr>
            <w:tcW w:w="5386" w:type="dxa"/>
            <w:vAlign w:val="center"/>
          </w:tcPr>
          <w:p w14:paraId="4D4E53E9">
            <w:pPr>
              <w:pStyle w:val="11"/>
            </w:pPr>
            <w:r>
              <w:t>绩效指标描述</w:t>
            </w:r>
          </w:p>
        </w:tc>
        <w:tc>
          <w:tcPr>
            <w:tcW w:w="2268" w:type="dxa"/>
            <w:vAlign w:val="center"/>
          </w:tcPr>
          <w:p w14:paraId="148A5B3E">
            <w:pPr>
              <w:pStyle w:val="11"/>
            </w:pPr>
            <w:r>
              <w:t>指标值</w:t>
            </w:r>
          </w:p>
        </w:tc>
        <w:tc>
          <w:tcPr>
            <w:tcW w:w="1276" w:type="dxa"/>
            <w:vAlign w:val="center"/>
          </w:tcPr>
          <w:p w14:paraId="3FCBAC53">
            <w:pPr>
              <w:pStyle w:val="11"/>
            </w:pPr>
            <w:r>
              <w:t>指标值确定依据</w:t>
            </w:r>
          </w:p>
        </w:tc>
      </w:tr>
      <w:tr w14:paraId="21357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34949">
            <w:pPr>
              <w:pStyle w:val="12"/>
            </w:pPr>
            <w:r>
              <w:t>产出指标</w:t>
            </w:r>
          </w:p>
        </w:tc>
        <w:tc>
          <w:tcPr>
            <w:tcW w:w="2268" w:type="dxa"/>
            <w:vAlign w:val="center"/>
          </w:tcPr>
          <w:p w14:paraId="3583B1A8">
            <w:pPr>
              <w:pStyle w:val="13"/>
            </w:pPr>
            <w:r>
              <w:t>数量指标</w:t>
            </w:r>
          </w:p>
        </w:tc>
        <w:tc>
          <w:tcPr>
            <w:tcW w:w="2835" w:type="dxa"/>
            <w:vAlign w:val="center"/>
          </w:tcPr>
          <w:p w14:paraId="35CADB3F">
            <w:pPr>
              <w:pStyle w:val="13"/>
            </w:pPr>
            <w:r>
              <w:t>改造宿舍楼数量</w:t>
            </w:r>
          </w:p>
        </w:tc>
        <w:tc>
          <w:tcPr>
            <w:tcW w:w="5386" w:type="dxa"/>
            <w:vAlign w:val="center"/>
          </w:tcPr>
          <w:p w14:paraId="28DA131A">
            <w:pPr>
              <w:pStyle w:val="13"/>
            </w:pPr>
            <w:r>
              <w:t>改造宿舍楼数量</w:t>
            </w:r>
          </w:p>
        </w:tc>
        <w:tc>
          <w:tcPr>
            <w:tcW w:w="2268" w:type="dxa"/>
            <w:vAlign w:val="center"/>
          </w:tcPr>
          <w:p w14:paraId="69E53F9A">
            <w:pPr>
              <w:pStyle w:val="13"/>
            </w:pPr>
            <w:r>
              <w:t>1栋</w:t>
            </w:r>
          </w:p>
        </w:tc>
        <w:tc>
          <w:tcPr>
            <w:tcW w:w="1276" w:type="dxa"/>
            <w:vAlign w:val="center"/>
          </w:tcPr>
          <w:p w14:paraId="2AF3445C">
            <w:pPr>
              <w:pStyle w:val="13"/>
            </w:pPr>
            <w:r>
              <w:t>城乡义务教育公共经费</w:t>
            </w:r>
          </w:p>
        </w:tc>
      </w:tr>
      <w:tr w14:paraId="0CA32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FEE27"/>
        </w:tc>
        <w:tc>
          <w:tcPr>
            <w:tcW w:w="2268" w:type="dxa"/>
            <w:vAlign w:val="center"/>
          </w:tcPr>
          <w:p w14:paraId="42591F32">
            <w:pPr>
              <w:pStyle w:val="13"/>
            </w:pPr>
            <w:r>
              <w:t>质量指标</w:t>
            </w:r>
          </w:p>
        </w:tc>
        <w:tc>
          <w:tcPr>
            <w:tcW w:w="2835" w:type="dxa"/>
            <w:vAlign w:val="center"/>
          </w:tcPr>
          <w:p w14:paraId="013BF8C7">
            <w:pPr>
              <w:pStyle w:val="13"/>
            </w:pPr>
            <w:r>
              <w:t>工程实施验收合格率</w:t>
            </w:r>
          </w:p>
        </w:tc>
        <w:tc>
          <w:tcPr>
            <w:tcW w:w="5386" w:type="dxa"/>
            <w:vAlign w:val="center"/>
          </w:tcPr>
          <w:p w14:paraId="38E8CF99">
            <w:pPr>
              <w:pStyle w:val="13"/>
            </w:pPr>
            <w:r>
              <w:t>申报程序的合规，项目实施及资金使用符合项目规划</w:t>
            </w:r>
          </w:p>
        </w:tc>
        <w:tc>
          <w:tcPr>
            <w:tcW w:w="2268" w:type="dxa"/>
            <w:vAlign w:val="center"/>
          </w:tcPr>
          <w:p w14:paraId="5EBCB4F5">
            <w:pPr>
              <w:pStyle w:val="13"/>
            </w:pPr>
            <w:r>
              <w:t>100%</w:t>
            </w:r>
          </w:p>
        </w:tc>
        <w:tc>
          <w:tcPr>
            <w:tcW w:w="1276" w:type="dxa"/>
            <w:vAlign w:val="center"/>
          </w:tcPr>
          <w:p w14:paraId="66010F7A">
            <w:pPr>
              <w:pStyle w:val="13"/>
            </w:pPr>
            <w:r>
              <w:t>城乡义务教育公共经费</w:t>
            </w:r>
          </w:p>
        </w:tc>
      </w:tr>
      <w:tr w14:paraId="70000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18EDE"/>
        </w:tc>
        <w:tc>
          <w:tcPr>
            <w:tcW w:w="2268" w:type="dxa"/>
            <w:vAlign w:val="center"/>
          </w:tcPr>
          <w:p w14:paraId="2A865701">
            <w:pPr>
              <w:pStyle w:val="13"/>
            </w:pPr>
            <w:r>
              <w:t>时效指标</w:t>
            </w:r>
          </w:p>
        </w:tc>
        <w:tc>
          <w:tcPr>
            <w:tcW w:w="2835" w:type="dxa"/>
            <w:vAlign w:val="center"/>
          </w:tcPr>
          <w:p w14:paraId="6B9DBAAB">
            <w:pPr>
              <w:pStyle w:val="13"/>
            </w:pPr>
            <w:r>
              <w:t>资金支付率</w:t>
            </w:r>
          </w:p>
        </w:tc>
        <w:tc>
          <w:tcPr>
            <w:tcW w:w="5386" w:type="dxa"/>
            <w:vAlign w:val="center"/>
          </w:tcPr>
          <w:p w14:paraId="35FE76AF">
            <w:pPr>
              <w:pStyle w:val="13"/>
            </w:pPr>
            <w:r>
              <w:t>按照序时进度完成资金支付</w:t>
            </w:r>
          </w:p>
        </w:tc>
        <w:tc>
          <w:tcPr>
            <w:tcW w:w="2268" w:type="dxa"/>
            <w:vAlign w:val="center"/>
          </w:tcPr>
          <w:p w14:paraId="2005D759">
            <w:pPr>
              <w:pStyle w:val="13"/>
            </w:pPr>
            <w:r>
              <w:t>100%</w:t>
            </w:r>
          </w:p>
        </w:tc>
        <w:tc>
          <w:tcPr>
            <w:tcW w:w="1276" w:type="dxa"/>
            <w:vAlign w:val="center"/>
          </w:tcPr>
          <w:p w14:paraId="1F3CC37E">
            <w:pPr>
              <w:pStyle w:val="13"/>
            </w:pPr>
            <w:r>
              <w:t>城乡义务教育公共经费</w:t>
            </w:r>
          </w:p>
        </w:tc>
      </w:tr>
      <w:tr w14:paraId="55B0D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4935F"/>
        </w:tc>
        <w:tc>
          <w:tcPr>
            <w:tcW w:w="2268" w:type="dxa"/>
            <w:vAlign w:val="center"/>
          </w:tcPr>
          <w:p w14:paraId="0197D922">
            <w:pPr>
              <w:pStyle w:val="13"/>
            </w:pPr>
            <w:r>
              <w:t>成本指标</w:t>
            </w:r>
          </w:p>
        </w:tc>
        <w:tc>
          <w:tcPr>
            <w:tcW w:w="2835" w:type="dxa"/>
            <w:vAlign w:val="center"/>
          </w:tcPr>
          <w:p w14:paraId="2EC9B59F">
            <w:pPr>
              <w:pStyle w:val="13"/>
            </w:pPr>
            <w:r>
              <w:t>项目成本控制情况</w:t>
            </w:r>
          </w:p>
        </w:tc>
        <w:tc>
          <w:tcPr>
            <w:tcW w:w="5386" w:type="dxa"/>
            <w:vAlign w:val="center"/>
          </w:tcPr>
          <w:p w14:paraId="1EFD8ADA">
            <w:pPr>
              <w:pStyle w:val="13"/>
            </w:pPr>
            <w:r>
              <w:t>严格按照招标价格及审计额进行</w:t>
            </w:r>
          </w:p>
        </w:tc>
        <w:tc>
          <w:tcPr>
            <w:tcW w:w="2268" w:type="dxa"/>
            <w:vAlign w:val="center"/>
          </w:tcPr>
          <w:p w14:paraId="186A2DC9">
            <w:pPr>
              <w:pStyle w:val="13"/>
            </w:pPr>
            <w:r>
              <w:t>≤42.78万元</w:t>
            </w:r>
          </w:p>
        </w:tc>
        <w:tc>
          <w:tcPr>
            <w:tcW w:w="1276" w:type="dxa"/>
            <w:vAlign w:val="center"/>
          </w:tcPr>
          <w:p w14:paraId="4CC85E2B">
            <w:pPr>
              <w:pStyle w:val="13"/>
            </w:pPr>
            <w:r>
              <w:t>城乡义务教育公共经费</w:t>
            </w:r>
          </w:p>
        </w:tc>
      </w:tr>
      <w:tr w14:paraId="398BA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30A6C3">
            <w:pPr>
              <w:pStyle w:val="12"/>
            </w:pPr>
            <w:r>
              <w:t>效益指标</w:t>
            </w:r>
          </w:p>
        </w:tc>
        <w:tc>
          <w:tcPr>
            <w:tcW w:w="2268" w:type="dxa"/>
            <w:vAlign w:val="center"/>
          </w:tcPr>
          <w:p w14:paraId="74C88F8F">
            <w:pPr>
              <w:pStyle w:val="13"/>
            </w:pPr>
            <w:r>
              <w:t>可持续影响指标</w:t>
            </w:r>
          </w:p>
        </w:tc>
        <w:tc>
          <w:tcPr>
            <w:tcW w:w="2835" w:type="dxa"/>
            <w:vAlign w:val="center"/>
          </w:tcPr>
          <w:p w14:paraId="160AE03A">
            <w:pPr>
              <w:pStyle w:val="13"/>
            </w:pPr>
            <w:r>
              <w:t>学校运转得到提高</w:t>
            </w:r>
          </w:p>
        </w:tc>
        <w:tc>
          <w:tcPr>
            <w:tcW w:w="5386" w:type="dxa"/>
            <w:vAlign w:val="center"/>
          </w:tcPr>
          <w:p w14:paraId="214C31AF">
            <w:pPr>
              <w:pStyle w:val="13"/>
            </w:pPr>
            <w:r>
              <w:t>学生受教育年限</w:t>
            </w:r>
          </w:p>
        </w:tc>
        <w:tc>
          <w:tcPr>
            <w:tcW w:w="2268" w:type="dxa"/>
            <w:vAlign w:val="center"/>
          </w:tcPr>
          <w:p w14:paraId="4D65E50C">
            <w:pPr>
              <w:pStyle w:val="13"/>
            </w:pPr>
            <w:r>
              <w:t>3年</w:t>
            </w:r>
          </w:p>
        </w:tc>
        <w:tc>
          <w:tcPr>
            <w:tcW w:w="1276" w:type="dxa"/>
            <w:vAlign w:val="center"/>
          </w:tcPr>
          <w:p w14:paraId="7733392F">
            <w:pPr>
              <w:pStyle w:val="13"/>
            </w:pPr>
            <w:r>
              <w:t>城乡义务教育公共经费</w:t>
            </w:r>
          </w:p>
        </w:tc>
      </w:tr>
      <w:tr w14:paraId="0E0C4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54730">
            <w:pPr>
              <w:pStyle w:val="12"/>
            </w:pPr>
            <w:r>
              <w:t>满意度指标</w:t>
            </w:r>
          </w:p>
        </w:tc>
        <w:tc>
          <w:tcPr>
            <w:tcW w:w="2268" w:type="dxa"/>
            <w:vAlign w:val="center"/>
          </w:tcPr>
          <w:p w14:paraId="186C3D09">
            <w:pPr>
              <w:pStyle w:val="13"/>
            </w:pPr>
            <w:r>
              <w:t>服务对象满意度指标</w:t>
            </w:r>
          </w:p>
        </w:tc>
        <w:tc>
          <w:tcPr>
            <w:tcW w:w="2835" w:type="dxa"/>
            <w:vAlign w:val="center"/>
          </w:tcPr>
          <w:p w14:paraId="22A95C6E">
            <w:pPr>
              <w:pStyle w:val="13"/>
            </w:pPr>
            <w:r>
              <w:t>受益学生家长及调查满意度</w:t>
            </w:r>
          </w:p>
        </w:tc>
        <w:tc>
          <w:tcPr>
            <w:tcW w:w="5386" w:type="dxa"/>
            <w:vAlign w:val="center"/>
          </w:tcPr>
          <w:p w14:paraId="7F39017D">
            <w:pPr>
              <w:pStyle w:val="13"/>
            </w:pPr>
            <w:r>
              <w:t>学生、教师及家长对学校教学环境满意度情况</w:t>
            </w:r>
          </w:p>
        </w:tc>
        <w:tc>
          <w:tcPr>
            <w:tcW w:w="2268" w:type="dxa"/>
            <w:vAlign w:val="center"/>
          </w:tcPr>
          <w:p w14:paraId="094626E5">
            <w:pPr>
              <w:pStyle w:val="13"/>
            </w:pPr>
            <w:r>
              <w:t>≥98%</w:t>
            </w:r>
          </w:p>
        </w:tc>
        <w:tc>
          <w:tcPr>
            <w:tcW w:w="1276" w:type="dxa"/>
            <w:vAlign w:val="center"/>
          </w:tcPr>
          <w:p w14:paraId="4FA58F8F">
            <w:pPr>
              <w:pStyle w:val="13"/>
            </w:pPr>
            <w:r>
              <w:t>问卷调查</w:t>
            </w:r>
          </w:p>
        </w:tc>
      </w:tr>
    </w:tbl>
    <w:p w14:paraId="5636B641">
      <w:pPr>
        <w:sectPr>
          <w:pgSz w:w="16840" w:h="11900" w:orient="landscape"/>
          <w:pgMar w:top="1361" w:right="1020" w:bottom="1134" w:left="1020" w:header="720" w:footer="720" w:gutter="0"/>
          <w:cols w:space="720" w:num="1"/>
        </w:sectPr>
      </w:pPr>
    </w:p>
    <w:p w14:paraId="5186A0F0">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2、冀财教[2024]123号/中央/2025年义教补助经费/尹村中学公用经费绩效目标表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9B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0021C">
            <w:pPr>
              <w:pStyle w:val="14"/>
            </w:pPr>
            <w:r>
              <w:t>单位：万元</w:t>
            </w:r>
          </w:p>
        </w:tc>
      </w:tr>
      <w:tr w14:paraId="3DBBE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DFE20E">
            <w:pPr>
              <w:pStyle w:val="11"/>
            </w:pPr>
            <w:r>
              <w:t>项目编码</w:t>
            </w:r>
          </w:p>
        </w:tc>
        <w:tc>
          <w:tcPr>
            <w:tcW w:w="5103" w:type="dxa"/>
            <w:gridSpan w:val="2"/>
            <w:vAlign w:val="center"/>
          </w:tcPr>
          <w:p w14:paraId="41566692">
            <w:pPr>
              <w:pStyle w:val="13"/>
            </w:pPr>
            <w:r>
              <w:t>13052525P00000410042N</w:t>
            </w:r>
          </w:p>
        </w:tc>
        <w:tc>
          <w:tcPr>
            <w:tcW w:w="2835" w:type="dxa"/>
            <w:vAlign w:val="center"/>
          </w:tcPr>
          <w:p w14:paraId="6D9E4C19">
            <w:pPr>
              <w:pStyle w:val="11"/>
            </w:pPr>
            <w:r>
              <w:t>项目名称</w:t>
            </w:r>
          </w:p>
        </w:tc>
        <w:tc>
          <w:tcPr>
            <w:tcW w:w="6095" w:type="dxa"/>
            <w:gridSpan w:val="3"/>
            <w:vAlign w:val="center"/>
          </w:tcPr>
          <w:p w14:paraId="115CF5A5">
            <w:pPr>
              <w:pStyle w:val="13"/>
            </w:pPr>
            <w:r>
              <w:t>冀财教[2024]123号/中央/2025年义教补助经费/尹村中学公用经费</w:t>
            </w:r>
          </w:p>
        </w:tc>
      </w:tr>
      <w:tr w14:paraId="12B9CD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58408">
            <w:pPr>
              <w:pStyle w:val="11"/>
            </w:pPr>
            <w:r>
              <w:t>预算规模及资金用途</w:t>
            </w:r>
          </w:p>
        </w:tc>
        <w:tc>
          <w:tcPr>
            <w:tcW w:w="2268" w:type="dxa"/>
            <w:vAlign w:val="center"/>
          </w:tcPr>
          <w:p w14:paraId="0B204E7D">
            <w:pPr>
              <w:pStyle w:val="11"/>
            </w:pPr>
            <w:r>
              <w:t>预算数</w:t>
            </w:r>
          </w:p>
        </w:tc>
        <w:tc>
          <w:tcPr>
            <w:tcW w:w="2835" w:type="dxa"/>
            <w:vAlign w:val="center"/>
          </w:tcPr>
          <w:p w14:paraId="3D51BC59">
            <w:pPr>
              <w:pStyle w:val="13"/>
            </w:pPr>
            <w:r>
              <w:t>64.71</w:t>
            </w:r>
          </w:p>
        </w:tc>
        <w:tc>
          <w:tcPr>
            <w:tcW w:w="2835" w:type="dxa"/>
            <w:vAlign w:val="center"/>
          </w:tcPr>
          <w:p w14:paraId="0934CB36">
            <w:pPr>
              <w:pStyle w:val="11"/>
            </w:pPr>
            <w:r>
              <w:t>其中：财政    资金</w:t>
            </w:r>
          </w:p>
        </w:tc>
        <w:tc>
          <w:tcPr>
            <w:tcW w:w="2551" w:type="dxa"/>
            <w:vAlign w:val="center"/>
          </w:tcPr>
          <w:p w14:paraId="1597C4ED">
            <w:pPr>
              <w:pStyle w:val="13"/>
            </w:pPr>
            <w:r>
              <w:t>64.71</w:t>
            </w:r>
          </w:p>
        </w:tc>
        <w:tc>
          <w:tcPr>
            <w:tcW w:w="2268" w:type="dxa"/>
            <w:vAlign w:val="center"/>
          </w:tcPr>
          <w:p w14:paraId="0016BF9F">
            <w:pPr>
              <w:pStyle w:val="11"/>
            </w:pPr>
            <w:r>
              <w:t>其他资金</w:t>
            </w:r>
          </w:p>
        </w:tc>
        <w:tc>
          <w:tcPr>
            <w:tcW w:w="1276" w:type="dxa"/>
            <w:vAlign w:val="center"/>
          </w:tcPr>
          <w:p w14:paraId="1E68A148">
            <w:pPr>
              <w:pStyle w:val="13"/>
            </w:pPr>
            <w:r>
              <w:t xml:space="preserve"> </w:t>
            </w:r>
          </w:p>
        </w:tc>
      </w:tr>
      <w:tr w14:paraId="461B0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054500"/>
        </w:tc>
        <w:tc>
          <w:tcPr>
            <w:tcW w:w="14033" w:type="dxa"/>
            <w:gridSpan w:val="6"/>
            <w:vAlign w:val="center"/>
          </w:tcPr>
          <w:p w14:paraId="1785C58D">
            <w:pPr>
              <w:pStyle w:val="13"/>
            </w:pPr>
            <w:r>
              <w:t>保障义务教育学校正常运转，全面贯彻党的教育方针，办人民满意的教育，高质量、高标准完成教育教学活动和其他日常工作任务等方面的费用支出。</w:t>
            </w:r>
          </w:p>
        </w:tc>
      </w:tr>
      <w:tr w14:paraId="71C77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9FA01">
            <w:pPr>
              <w:pStyle w:val="11"/>
            </w:pPr>
            <w:r>
              <w:t>资金支出计划（%）</w:t>
            </w:r>
          </w:p>
        </w:tc>
        <w:tc>
          <w:tcPr>
            <w:tcW w:w="5103" w:type="dxa"/>
            <w:gridSpan w:val="2"/>
            <w:vAlign w:val="center"/>
          </w:tcPr>
          <w:p w14:paraId="555CE025">
            <w:pPr>
              <w:pStyle w:val="11"/>
            </w:pPr>
            <w:r>
              <w:t>3月底</w:t>
            </w:r>
          </w:p>
        </w:tc>
        <w:tc>
          <w:tcPr>
            <w:tcW w:w="2835" w:type="dxa"/>
            <w:vAlign w:val="center"/>
          </w:tcPr>
          <w:p w14:paraId="1FD04730">
            <w:pPr>
              <w:pStyle w:val="11"/>
            </w:pPr>
            <w:r>
              <w:t>6月底</w:t>
            </w:r>
          </w:p>
        </w:tc>
        <w:tc>
          <w:tcPr>
            <w:tcW w:w="2551" w:type="dxa"/>
            <w:vAlign w:val="center"/>
          </w:tcPr>
          <w:p w14:paraId="237DCE72">
            <w:pPr>
              <w:pStyle w:val="11"/>
            </w:pPr>
            <w:r>
              <w:t>10月底</w:t>
            </w:r>
          </w:p>
        </w:tc>
        <w:tc>
          <w:tcPr>
            <w:tcW w:w="3544" w:type="dxa"/>
            <w:gridSpan w:val="2"/>
            <w:vAlign w:val="center"/>
          </w:tcPr>
          <w:p w14:paraId="03855EFE">
            <w:pPr>
              <w:pStyle w:val="11"/>
            </w:pPr>
            <w:r>
              <w:t>12月底</w:t>
            </w:r>
          </w:p>
        </w:tc>
      </w:tr>
      <w:tr w14:paraId="2B705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4A3F7"/>
        </w:tc>
        <w:tc>
          <w:tcPr>
            <w:tcW w:w="5103" w:type="dxa"/>
            <w:gridSpan w:val="2"/>
            <w:vAlign w:val="center"/>
          </w:tcPr>
          <w:p w14:paraId="5B515D39">
            <w:pPr>
              <w:pStyle w:val="12"/>
            </w:pPr>
            <w:r>
              <w:t>25%</w:t>
            </w:r>
          </w:p>
        </w:tc>
        <w:tc>
          <w:tcPr>
            <w:tcW w:w="2835" w:type="dxa"/>
            <w:vAlign w:val="center"/>
          </w:tcPr>
          <w:p w14:paraId="7DBA9891">
            <w:pPr>
              <w:pStyle w:val="12"/>
            </w:pPr>
            <w:r>
              <w:t>50%</w:t>
            </w:r>
          </w:p>
        </w:tc>
        <w:tc>
          <w:tcPr>
            <w:tcW w:w="2551" w:type="dxa"/>
            <w:vAlign w:val="center"/>
          </w:tcPr>
          <w:p w14:paraId="3E4CDA03">
            <w:pPr>
              <w:pStyle w:val="12"/>
            </w:pPr>
            <w:r>
              <w:t>75%</w:t>
            </w:r>
          </w:p>
        </w:tc>
        <w:tc>
          <w:tcPr>
            <w:tcW w:w="3544" w:type="dxa"/>
            <w:gridSpan w:val="2"/>
            <w:vAlign w:val="center"/>
          </w:tcPr>
          <w:p w14:paraId="584D4204">
            <w:pPr>
              <w:pStyle w:val="12"/>
            </w:pPr>
            <w:r>
              <w:t>100%</w:t>
            </w:r>
          </w:p>
        </w:tc>
      </w:tr>
      <w:tr w14:paraId="6CAF9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177EA0">
            <w:pPr>
              <w:pStyle w:val="11"/>
            </w:pPr>
            <w:r>
              <w:t>绩效目标</w:t>
            </w:r>
          </w:p>
        </w:tc>
        <w:tc>
          <w:tcPr>
            <w:tcW w:w="14033" w:type="dxa"/>
            <w:gridSpan w:val="6"/>
            <w:vAlign w:val="center"/>
          </w:tcPr>
          <w:p w14:paraId="790DAB57">
            <w:pPr>
              <w:pStyle w:val="13"/>
            </w:pPr>
            <w:r>
              <w:t>1.保障义务教育学校正常运转，全面贯彻党的教育方针，办人民满意的教育，高质量、高标准完成教育教学活动和其他日常工作任务等方面的费用支出。</w:t>
            </w:r>
          </w:p>
          <w:p w14:paraId="07FE4F0C">
            <w:pPr>
              <w:pStyle w:val="13"/>
            </w:pPr>
            <w:r>
              <w:t>2.按规定拨付公用经费资金647090元，资金拨付率达到100%。</w:t>
            </w:r>
          </w:p>
        </w:tc>
      </w:tr>
    </w:tbl>
    <w:p w14:paraId="50CDB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43"/>
        <w:gridCol w:w="2201"/>
      </w:tblGrid>
      <w:tr w14:paraId="2F09B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E4258">
            <w:pPr>
              <w:pStyle w:val="11"/>
            </w:pPr>
            <w:r>
              <w:t>一级指标</w:t>
            </w:r>
          </w:p>
        </w:tc>
        <w:tc>
          <w:tcPr>
            <w:tcW w:w="2268" w:type="dxa"/>
            <w:vAlign w:val="center"/>
          </w:tcPr>
          <w:p w14:paraId="28125B6A">
            <w:pPr>
              <w:pStyle w:val="11"/>
            </w:pPr>
            <w:r>
              <w:t>二级指标</w:t>
            </w:r>
          </w:p>
        </w:tc>
        <w:tc>
          <w:tcPr>
            <w:tcW w:w="2835" w:type="dxa"/>
            <w:vAlign w:val="center"/>
          </w:tcPr>
          <w:p w14:paraId="11C0BEDA">
            <w:pPr>
              <w:pStyle w:val="11"/>
            </w:pPr>
            <w:r>
              <w:t>三级指标</w:t>
            </w:r>
          </w:p>
        </w:tc>
        <w:tc>
          <w:tcPr>
            <w:tcW w:w="5386" w:type="dxa"/>
            <w:vAlign w:val="center"/>
          </w:tcPr>
          <w:p w14:paraId="3D247BC8">
            <w:pPr>
              <w:pStyle w:val="11"/>
            </w:pPr>
            <w:r>
              <w:t>绩效指标描述</w:t>
            </w:r>
          </w:p>
        </w:tc>
        <w:tc>
          <w:tcPr>
            <w:tcW w:w="1343" w:type="dxa"/>
            <w:vAlign w:val="center"/>
          </w:tcPr>
          <w:p w14:paraId="49058524">
            <w:pPr>
              <w:pStyle w:val="11"/>
            </w:pPr>
            <w:r>
              <w:t>指标值</w:t>
            </w:r>
          </w:p>
        </w:tc>
        <w:tc>
          <w:tcPr>
            <w:tcW w:w="2201" w:type="dxa"/>
            <w:vAlign w:val="center"/>
          </w:tcPr>
          <w:p w14:paraId="32383EDB">
            <w:pPr>
              <w:pStyle w:val="11"/>
            </w:pPr>
            <w:r>
              <w:t>指标值确定依据</w:t>
            </w:r>
          </w:p>
        </w:tc>
      </w:tr>
      <w:tr w14:paraId="27E88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BDA4C">
            <w:pPr>
              <w:pStyle w:val="12"/>
            </w:pPr>
            <w:r>
              <w:t>产出指标</w:t>
            </w:r>
          </w:p>
        </w:tc>
        <w:tc>
          <w:tcPr>
            <w:tcW w:w="2268" w:type="dxa"/>
            <w:vAlign w:val="center"/>
          </w:tcPr>
          <w:p w14:paraId="0E684088">
            <w:pPr>
              <w:pStyle w:val="13"/>
            </w:pPr>
            <w:r>
              <w:t>数量指标</w:t>
            </w:r>
          </w:p>
        </w:tc>
        <w:tc>
          <w:tcPr>
            <w:tcW w:w="2835" w:type="dxa"/>
            <w:vAlign w:val="center"/>
          </w:tcPr>
          <w:p w14:paraId="17AFDD0B">
            <w:pPr>
              <w:pStyle w:val="13"/>
            </w:pPr>
            <w:r>
              <w:t>适龄在校生</w:t>
            </w:r>
          </w:p>
        </w:tc>
        <w:tc>
          <w:tcPr>
            <w:tcW w:w="5386" w:type="dxa"/>
            <w:vAlign w:val="center"/>
          </w:tcPr>
          <w:p w14:paraId="4FFCA8C0">
            <w:pPr>
              <w:pStyle w:val="13"/>
            </w:pPr>
            <w:r>
              <w:t>适龄在校就读学生人数</w:t>
            </w:r>
          </w:p>
        </w:tc>
        <w:tc>
          <w:tcPr>
            <w:tcW w:w="1343" w:type="dxa"/>
            <w:vAlign w:val="center"/>
          </w:tcPr>
          <w:p w14:paraId="305A28AD">
            <w:pPr>
              <w:pStyle w:val="13"/>
            </w:pPr>
            <w:r>
              <w:t>514人</w:t>
            </w:r>
          </w:p>
        </w:tc>
        <w:tc>
          <w:tcPr>
            <w:tcW w:w="2201" w:type="dxa"/>
            <w:vAlign w:val="center"/>
          </w:tcPr>
          <w:p w14:paraId="61C7265B">
            <w:pPr>
              <w:pStyle w:val="13"/>
            </w:pPr>
            <w:r>
              <w:t>城乡义务教育公用经费管理办法</w:t>
            </w:r>
          </w:p>
        </w:tc>
      </w:tr>
      <w:tr w14:paraId="588F5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00AE4"/>
        </w:tc>
        <w:tc>
          <w:tcPr>
            <w:tcW w:w="2268" w:type="dxa"/>
            <w:vAlign w:val="center"/>
          </w:tcPr>
          <w:p w14:paraId="76F152C1">
            <w:pPr>
              <w:pStyle w:val="13"/>
            </w:pPr>
            <w:r>
              <w:t>质量指标</w:t>
            </w:r>
          </w:p>
        </w:tc>
        <w:tc>
          <w:tcPr>
            <w:tcW w:w="2835" w:type="dxa"/>
            <w:vAlign w:val="center"/>
          </w:tcPr>
          <w:p w14:paraId="43C1E476">
            <w:pPr>
              <w:pStyle w:val="13"/>
            </w:pPr>
            <w:r>
              <w:t>预算控制率</w:t>
            </w:r>
          </w:p>
        </w:tc>
        <w:tc>
          <w:tcPr>
            <w:tcW w:w="5386" w:type="dxa"/>
            <w:vAlign w:val="center"/>
          </w:tcPr>
          <w:p w14:paraId="75F3DCC6">
            <w:pPr>
              <w:pStyle w:val="13"/>
            </w:pPr>
            <w:r>
              <w:t>预算执行率</w:t>
            </w:r>
          </w:p>
        </w:tc>
        <w:tc>
          <w:tcPr>
            <w:tcW w:w="1343" w:type="dxa"/>
            <w:vAlign w:val="center"/>
          </w:tcPr>
          <w:p w14:paraId="43D78F5F">
            <w:pPr>
              <w:pStyle w:val="13"/>
            </w:pPr>
            <w:r>
              <w:t>≥95%</w:t>
            </w:r>
          </w:p>
        </w:tc>
        <w:tc>
          <w:tcPr>
            <w:tcW w:w="2201" w:type="dxa"/>
            <w:vAlign w:val="center"/>
          </w:tcPr>
          <w:p w14:paraId="521C6C33">
            <w:pPr>
              <w:pStyle w:val="13"/>
            </w:pPr>
            <w:r>
              <w:t>城乡义务教育公用经费管理办法</w:t>
            </w:r>
          </w:p>
        </w:tc>
      </w:tr>
      <w:tr w14:paraId="0C78B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F6C9C"/>
        </w:tc>
        <w:tc>
          <w:tcPr>
            <w:tcW w:w="2268" w:type="dxa"/>
            <w:vAlign w:val="center"/>
          </w:tcPr>
          <w:p w14:paraId="3350DFA7">
            <w:pPr>
              <w:pStyle w:val="13"/>
            </w:pPr>
            <w:r>
              <w:t>时效指标</w:t>
            </w:r>
          </w:p>
        </w:tc>
        <w:tc>
          <w:tcPr>
            <w:tcW w:w="2835" w:type="dxa"/>
            <w:vAlign w:val="center"/>
          </w:tcPr>
          <w:p w14:paraId="2AF544AD">
            <w:pPr>
              <w:pStyle w:val="13"/>
            </w:pPr>
            <w:r>
              <w:t>资金支付率</w:t>
            </w:r>
          </w:p>
        </w:tc>
        <w:tc>
          <w:tcPr>
            <w:tcW w:w="5386" w:type="dxa"/>
            <w:vAlign w:val="center"/>
          </w:tcPr>
          <w:p w14:paraId="146FE266">
            <w:pPr>
              <w:pStyle w:val="13"/>
            </w:pPr>
            <w:r>
              <w:t>按照序时进度完成资金支付</w:t>
            </w:r>
          </w:p>
        </w:tc>
        <w:tc>
          <w:tcPr>
            <w:tcW w:w="1343" w:type="dxa"/>
            <w:vAlign w:val="center"/>
          </w:tcPr>
          <w:p w14:paraId="48681ABA">
            <w:pPr>
              <w:pStyle w:val="13"/>
            </w:pPr>
            <w:r>
              <w:t>100%</w:t>
            </w:r>
          </w:p>
        </w:tc>
        <w:tc>
          <w:tcPr>
            <w:tcW w:w="2201" w:type="dxa"/>
            <w:vAlign w:val="center"/>
          </w:tcPr>
          <w:p w14:paraId="76C926A9">
            <w:pPr>
              <w:pStyle w:val="13"/>
            </w:pPr>
            <w:r>
              <w:t>城乡义务教育公用经费管理办法</w:t>
            </w:r>
          </w:p>
        </w:tc>
      </w:tr>
      <w:tr w14:paraId="2F5FE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AF500"/>
        </w:tc>
        <w:tc>
          <w:tcPr>
            <w:tcW w:w="2268" w:type="dxa"/>
            <w:vAlign w:val="center"/>
          </w:tcPr>
          <w:p w14:paraId="04B3C692">
            <w:pPr>
              <w:pStyle w:val="13"/>
            </w:pPr>
            <w:r>
              <w:t>成本指标</w:t>
            </w:r>
          </w:p>
        </w:tc>
        <w:tc>
          <w:tcPr>
            <w:tcW w:w="2835" w:type="dxa"/>
            <w:vAlign w:val="center"/>
          </w:tcPr>
          <w:p w14:paraId="7107D288">
            <w:pPr>
              <w:pStyle w:val="13"/>
            </w:pPr>
            <w:r>
              <w:t>生均拨款标准</w:t>
            </w:r>
          </w:p>
        </w:tc>
        <w:tc>
          <w:tcPr>
            <w:tcW w:w="5386" w:type="dxa"/>
            <w:vAlign w:val="center"/>
          </w:tcPr>
          <w:p w14:paraId="1B8894C0">
            <w:pPr>
              <w:pStyle w:val="13"/>
            </w:pPr>
            <w:r>
              <w:t>初中生均补助年标准</w:t>
            </w:r>
          </w:p>
        </w:tc>
        <w:tc>
          <w:tcPr>
            <w:tcW w:w="1343" w:type="dxa"/>
            <w:vAlign w:val="center"/>
          </w:tcPr>
          <w:p w14:paraId="2A2EC6A6">
            <w:pPr>
              <w:pStyle w:val="13"/>
            </w:pPr>
            <w:r>
              <w:t>1360元</w:t>
            </w:r>
          </w:p>
        </w:tc>
        <w:tc>
          <w:tcPr>
            <w:tcW w:w="2201" w:type="dxa"/>
            <w:vAlign w:val="center"/>
          </w:tcPr>
          <w:p w14:paraId="4388E41A">
            <w:pPr>
              <w:pStyle w:val="13"/>
            </w:pPr>
            <w:r>
              <w:t>城乡义务教育公用经费管理办法</w:t>
            </w:r>
          </w:p>
        </w:tc>
      </w:tr>
      <w:tr w14:paraId="41DC9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4A395"/>
        </w:tc>
        <w:tc>
          <w:tcPr>
            <w:tcW w:w="2268" w:type="dxa"/>
            <w:vAlign w:val="center"/>
          </w:tcPr>
          <w:p w14:paraId="7170C20B">
            <w:pPr>
              <w:pStyle w:val="13"/>
            </w:pPr>
            <w:r>
              <w:t>成本指标</w:t>
            </w:r>
          </w:p>
        </w:tc>
        <w:tc>
          <w:tcPr>
            <w:tcW w:w="2835" w:type="dxa"/>
            <w:vAlign w:val="center"/>
          </w:tcPr>
          <w:p w14:paraId="124295CD">
            <w:pPr>
              <w:pStyle w:val="13"/>
            </w:pPr>
            <w:r>
              <w:t>生均拨款标准</w:t>
            </w:r>
          </w:p>
        </w:tc>
        <w:tc>
          <w:tcPr>
            <w:tcW w:w="5386" w:type="dxa"/>
            <w:vAlign w:val="center"/>
          </w:tcPr>
          <w:p w14:paraId="0FD0EBC9">
            <w:pPr>
              <w:pStyle w:val="13"/>
            </w:pPr>
            <w:r>
              <w:t>初中生均补助年标准</w:t>
            </w:r>
          </w:p>
        </w:tc>
        <w:tc>
          <w:tcPr>
            <w:tcW w:w="1343" w:type="dxa"/>
            <w:vAlign w:val="center"/>
          </w:tcPr>
          <w:p w14:paraId="17CB9F0E">
            <w:pPr>
              <w:pStyle w:val="13"/>
            </w:pPr>
            <w:r>
              <w:t>7000元</w:t>
            </w:r>
          </w:p>
        </w:tc>
        <w:tc>
          <w:tcPr>
            <w:tcW w:w="2201" w:type="dxa"/>
            <w:vAlign w:val="center"/>
          </w:tcPr>
          <w:p w14:paraId="7525D197">
            <w:pPr>
              <w:pStyle w:val="13"/>
            </w:pPr>
            <w:r>
              <w:t>城乡义务教育公用经费管理办法</w:t>
            </w:r>
          </w:p>
        </w:tc>
      </w:tr>
      <w:tr w14:paraId="69666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12DE5">
            <w:pPr>
              <w:pStyle w:val="12"/>
            </w:pPr>
            <w:r>
              <w:t>效益指标</w:t>
            </w:r>
          </w:p>
        </w:tc>
        <w:tc>
          <w:tcPr>
            <w:tcW w:w="2268" w:type="dxa"/>
            <w:vAlign w:val="center"/>
          </w:tcPr>
          <w:p w14:paraId="5E3353ED">
            <w:pPr>
              <w:pStyle w:val="13"/>
            </w:pPr>
            <w:r>
              <w:t>社会效益指标</w:t>
            </w:r>
          </w:p>
        </w:tc>
        <w:tc>
          <w:tcPr>
            <w:tcW w:w="2835" w:type="dxa"/>
            <w:vAlign w:val="center"/>
          </w:tcPr>
          <w:p w14:paraId="3AF63661">
            <w:pPr>
              <w:pStyle w:val="13"/>
            </w:pPr>
            <w:r>
              <w:t>学校日常运转正常</w:t>
            </w:r>
          </w:p>
        </w:tc>
        <w:tc>
          <w:tcPr>
            <w:tcW w:w="5386" w:type="dxa"/>
            <w:vAlign w:val="center"/>
          </w:tcPr>
          <w:p w14:paraId="7BCB3415">
            <w:pPr>
              <w:pStyle w:val="13"/>
            </w:pPr>
            <w:r>
              <w:t>学生受教育年限</w:t>
            </w:r>
          </w:p>
        </w:tc>
        <w:tc>
          <w:tcPr>
            <w:tcW w:w="1343" w:type="dxa"/>
            <w:vAlign w:val="center"/>
          </w:tcPr>
          <w:p w14:paraId="1D82D505">
            <w:pPr>
              <w:pStyle w:val="13"/>
            </w:pPr>
            <w:r>
              <w:t>3年</w:t>
            </w:r>
          </w:p>
        </w:tc>
        <w:tc>
          <w:tcPr>
            <w:tcW w:w="2201" w:type="dxa"/>
            <w:vAlign w:val="center"/>
          </w:tcPr>
          <w:p w14:paraId="65303697">
            <w:pPr>
              <w:pStyle w:val="13"/>
            </w:pPr>
            <w:r>
              <w:t>城乡义务教育公用经费管理办法</w:t>
            </w:r>
          </w:p>
        </w:tc>
      </w:tr>
      <w:tr w14:paraId="3C77B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3F8811">
            <w:pPr>
              <w:pStyle w:val="12"/>
            </w:pPr>
            <w:r>
              <w:t>满意度指标</w:t>
            </w:r>
          </w:p>
        </w:tc>
        <w:tc>
          <w:tcPr>
            <w:tcW w:w="2268" w:type="dxa"/>
            <w:vAlign w:val="center"/>
          </w:tcPr>
          <w:p w14:paraId="0B960EE8">
            <w:pPr>
              <w:pStyle w:val="13"/>
            </w:pPr>
            <w:r>
              <w:t>服务对象满意度指标</w:t>
            </w:r>
          </w:p>
        </w:tc>
        <w:tc>
          <w:tcPr>
            <w:tcW w:w="2835" w:type="dxa"/>
            <w:vAlign w:val="center"/>
          </w:tcPr>
          <w:p w14:paraId="5B4B933B">
            <w:pPr>
              <w:pStyle w:val="13"/>
            </w:pPr>
            <w:r>
              <w:t>受益学生家长及调查满意度</w:t>
            </w:r>
          </w:p>
        </w:tc>
        <w:tc>
          <w:tcPr>
            <w:tcW w:w="5386" w:type="dxa"/>
            <w:vAlign w:val="center"/>
          </w:tcPr>
          <w:p w14:paraId="0FF96C51">
            <w:pPr>
              <w:pStyle w:val="13"/>
            </w:pPr>
            <w:r>
              <w:t>学生、教师及家长对学校教育教学工作满意度情况</w:t>
            </w:r>
          </w:p>
        </w:tc>
        <w:tc>
          <w:tcPr>
            <w:tcW w:w="1343" w:type="dxa"/>
            <w:vAlign w:val="center"/>
          </w:tcPr>
          <w:p w14:paraId="49A8D1A4">
            <w:pPr>
              <w:pStyle w:val="13"/>
            </w:pPr>
            <w:r>
              <w:t>≥95%</w:t>
            </w:r>
          </w:p>
        </w:tc>
        <w:tc>
          <w:tcPr>
            <w:tcW w:w="2201" w:type="dxa"/>
            <w:vAlign w:val="center"/>
          </w:tcPr>
          <w:p w14:paraId="4776D5E6">
            <w:pPr>
              <w:pStyle w:val="13"/>
            </w:pPr>
            <w:r>
              <w:t>调查问卷</w:t>
            </w:r>
          </w:p>
        </w:tc>
      </w:tr>
    </w:tbl>
    <w:p w14:paraId="5C5B85FB">
      <w:pPr>
        <w:sectPr>
          <w:pgSz w:w="16840" w:h="11900" w:orient="landscape"/>
          <w:pgMar w:top="1361" w:right="1020" w:bottom="1134" w:left="1020" w:header="720" w:footer="720" w:gutter="0"/>
          <w:cols w:space="720" w:num="1"/>
        </w:sectPr>
      </w:pPr>
    </w:p>
    <w:p w14:paraId="19CE0D4E">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3、冀财教[2024]123号/中央/2025年义教补助经费/综合奖补/尹村中学防欺凌系统购置绩效目标表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1B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D1360">
            <w:pPr>
              <w:pStyle w:val="14"/>
            </w:pPr>
            <w:r>
              <w:t>单位：万元</w:t>
            </w:r>
          </w:p>
        </w:tc>
      </w:tr>
      <w:tr w14:paraId="1837C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EE9F7B">
            <w:pPr>
              <w:pStyle w:val="11"/>
            </w:pPr>
            <w:r>
              <w:t>项目编码</w:t>
            </w:r>
          </w:p>
        </w:tc>
        <w:tc>
          <w:tcPr>
            <w:tcW w:w="5103" w:type="dxa"/>
            <w:gridSpan w:val="2"/>
            <w:vAlign w:val="center"/>
          </w:tcPr>
          <w:p w14:paraId="44D2C183">
            <w:pPr>
              <w:pStyle w:val="13"/>
            </w:pPr>
            <w:r>
              <w:t>13052525P00875610249W</w:t>
            </w:r>
          </w:p>
        </w:tc>
        <w:tc>
          <w:tcPr>
            <w:tcW w:w="2835" w:type="dxa"/>
            <w:vAlign w:val="center"/>
          </w:tcPr>
          <w:p w14:paraId="0C140F3A">
            <w:pPr>
              <w:pStyle w:val="11"/>
            </w:pPr>
            <w:r>
              <w:t>项目名称</w:t>
            </w:r>
          </w:p>
        </w:tc>
        <w:tc>
          <w:tcPr>
            <w:tcW w:w="6095" w:type="dxa"/>
            <w:gridSpan w:val="3"/>
            <w:vAlign w:val="center"/>
          </w:tcPr>
          <w:p w14:paraId="6FA8558F">
            <w:pPr>
              <w:pStyle w:val="13"/>
            </w:pPr>
            <w:r>
              <w:t>冀财教[2024]123号/中央/2025年义教补助经费/综合奖补/尹村中学防欺凌系统购置</w:t>
            </w:r>
          </w:p>
        </w:tc>
      </w:tr>
      <w:tr w14:paraId="350B7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A66D9">
            <w:pPr>
              <w:pStyle w:val="11"/>
            </w:pPr>
            <w:r>
              <w:t>预算规模及资金用途</w:t>
            </w:r>
          </w:p>
        </w:tc>
        <w:tc>
          <w:tcPr>
            <w:tcW w:w="2268" w:type="dxa"/>
            <w:vAlign w:val="center"/>
          </w:tcPr>
          <w:p w14:paraId="4717A0BF">
            <w:pPr>
              <w:pStyle w:val="11"/>
            </w:pPr>
            <w:r>
              <w:t>预算数</w:t>
            </w:r>
          </w:p>
        </w:tc>
        <w:tc>
          <w:tcPr>
            <w:tcW w:w="2835" w:type="dxa"/>
            <w:vAlign w:val="center"/>
          </w:tcPr>
          <w:p w14:paraId="2BC9D566">
            <w:pPr>
              <w:pStyle w:val="13"/>
            </w:pPr>
            <w:r>
              <w:t>25.00</w:t>
            </w:r>
          </w:p>
        </w:tc>
        <w:tc>
          <w:tcPr>
            <w:tcW w:w="2835" w:type="dxa"/>
            <w:vAlign w:val="center"/>
          </w:tcPr>
          <w:p w14:paraId="4BBCF7B5">
            <w:pPr>
              <w:pStyle w:val="11"/>
            </w:pPr>
            <w:r>
              <w:t>其中：财政    资金</w:t>
            </w:r>
          </w:p>
        </w:tc>
        <w:tc>
          <w:tcPr>
            <w:tcW w:w="2551" w:type="dxa"/>
            <w:vAlign w:val="center"/>
          </w:tcPr>
          <w:p w14:paraId="68E0BD26">
            <w:pPr>
              <w:pStyle w:val="13"/>
            </w:pPr>
            <w:r>
              <w:t>25.00</w:t>
            </w:r>
          </w:p>
        </w:tc>
        <w:tc>
          <w:tcPr>
            <w:tcW w:w="2268" w:type="dxa"/>
            <w:vAlign w:val="center"/>
          </w:tcPr>
          <w:p w14:paraId="6BC9CBA0">
            <w:pPr>
              <w:pStyle w:val="11"/>
            </w:pPr>
            <w:r>
              <w:t>其他资金</w:t>
            </w:r>
          </w:p>
        </w:tc>
        <w:tc>
          <w:tcPr>
            <w:tcW w:w="1276" w:type="dxa"/>
            <w:vAlign w:val="center"/>
          </w:tcPr>
          <w:p w14:paraId="60C8D90F">
            <w:pPr>
              <w:pStyle w:val="13"/>
            </w:pPr>
            <w:r>
              <w:t xml:space="preserve"> </w:t>
            </w:r>
          </w:p>
        </w:tc>
      </w:tr>
      <w:tr w14:paraId="475BD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54DE1"/>
        </w:tc>
        <w:tc>
          <w:tcPr>
            <w:tcW w:w="14033" w:type="dxa"/>
            <w:gridSpan w:val="6"/>
            <w:vAlign w:val="center"/>
          </w:tcPr>
          <w:p w14:paraId="1D366383">
            <w:pPr>
              <w:pStyle w:val="13"/>
            </w:pPr>
            <w:r>
              <w:t>改善就学条件，提升学校形象，保障义务教育阶段教学安全，改善师生教学环境，创造良好的校园环境。</w:t>
            </w:r>
            <w:r>
              <w:tab/>
            </w:r>
          </w:p>
          <w:p w14:paraId="71D55275">
            <w:pPr>
              <w:pStyle w:val="13"/>
            </w:pPr>
          </w:p>
        </w:tc>
      </w:tr>
      <w:tr w14:paraId="700E6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A88B6">
            <w:pPr>
              <w:pStyle w:val="11"/>
            </w:pPr>
            <w:r>
              <w:t>资金支出计划（%）</w:t>
            </w:r>
          </w:p>
        </w:tc>
        <w:tc>
          <w:tcPr>
            <w:tcW w:w="5103" w:type="dxa"/>
            <w:gridSpan w:val="2"/>
            <w:vAlign w:val="center"/>
          </w:tcPr>
          <w:p w14:paraId="32E0AEF3">
            <w:pPr>
              <w:pStyle w:val="11"/>
            </w:pPr>
            <w:r>
              <w:t>3月底</w:t>
            </w:r>
          </w:p>
        </w:tc>
        <w:tc>
          <w:tcPr>
            <w:tcW w:w="2835" w:type="dxa"/>
            <w:vAlign w:val="center"/>
          </w:tcPr>
          <w:p w14:paraId="009E6BCE">
            <w:pPr>
              <w:pStyle w:val="11"/>
            </w:pPr>
            <w:r>
              <w:t>6月底</w:t>
            </w:r>
          </w:p>
        </w:tc>
        <w:tc>
          <w:tcPr>
            <w:tcW w:w="2551" w:type="dxa"/>
            <w:vAlign w:val="center"/>
          </w:tcPr>
          <w:p w14:paraId="71A3C01C">
            <w:pPr>
              <w:pStyle w:val="11"/>
            </w:pPr>
            <w:r>
              <w:t>10月底</w:t>
            </w:r>
          </w:p>
        </w:tc>
        <w:tc>
          <w:tcPr>
            <w:tcW w:w="3544" w:type="dxa"/>
            <w:gridSpan w:val="2"/>
            <w:vAlign w:val="center"/>
          </w:tcPr>
          <w:p w14:paraId="0177A66C">
            <w:pPr>
              <w:pStyle w:val="11"/>
            </w:pPr>
            <w:r>
              <w:t>12月底</w:t>
            </w:r>
          </w:p>
        </w:tc>
      </w:tr>
      <w:tr w14:paraId="64D61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4B6D0"/>
        </w:tc>
        <w:tc>
          <w:tcPr>
            <w:tcW w:w="5103" w:type="dxa"/>
            <w:gridSpan w:val="2"/>
            <w:vAlign w:val="center"/>
          </w:tcPr>
          <w:p w14:paraId="7739712A">
            <w:pPr>
              <w:pStyle w:val="12"/>
            </w:pPr>
            <w:r>
              <w:t xml:space="preserve"> </w:t>
            </w:r>
          </w:p>
        </w:tc>
        <w:tc>
          <w:tcPr>
            <w:tcW w:w="2835" w:type="dxa"/>
            <w:vAlign w:val="center"/>
          </w:tcPr>
          <w:p w14:paraId="2A4F08D6">
            <w:pPr>
              <w:pStyle w:val="12"/>
            </w:pPr>
            <w:r>
              <w:t xml:space="preserve"> </w:t>
            </w:r>
          </w:p>
        </w:tc>
        <w:tc>
          <w:tcPr>
            <w:tcW w:w="2551" w:type="dxa"/>
            <w:vAlign w:val="center"/>
          </w:tcPr>
          <w:p w14:paraId="14724DF6">
            <w:pPr>
              <w:pStyle w:val="12"/>
            </w:pPr>
            <w:r>
              <w:t>100%</w:t>
            </w:r>
          </w:p>
        </w:tc>
        <w:tc>
          <w:tcPr>
            <w:tcW w:w="3544" w:type="dxa"/>
            <w:gridSpan w:val="2"/>
            <w:vAlign w:val="center"/>
          </w:tcPr>
          <w:p w14:paraId="533A425E">
            <w:pPr>
              <w:pStyle w:val="12"/>
            </w:pPr>
            <w:r>
              <w:t>100%</w:t>
            </w:r>
          </w:p>
        </w:tc>
      </w:tr>
      <w:tr w14:paraId="01989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B9331">
            <w:pPr>
              <w:pStyle w:val="11"/>
            </w:pPr>
            <w:r>
              <w:t>绩效目标</w:t>
            </w:r>
          </w:p>
        </w:tc>
        <w:tc>
          <w:tcPr>
            <w:tcW w:w="14033" w:type="dxa"/>
            <w:gridSpan w:val="6"/>
            <w:vAlign w:val="center"/>
          </w:tcPr>
          <w:p w14:paraId="3AD12BCB">
            <w:pPr>
              <w:pStyle w:val="13"/>
            </w:pPr>
            <w:r>
              <w:t>1.改善就学条件，提升学校形象，保障义务教育阶段教学安全，改善师生教学环境，创造良好的校园环境。</w:t>
            </w:r>
            <w:r>
              <w:tab/>
            </w:r>
          </w:p>
          <w:p w14:paraId="709C8918">
            <w:pPr>
              <w:pStyle w:val="13"/>
            </w:pPr>
            <w:r>
              <w:t>2.项目需资金25万元，资金拨付率达到100%。</w:t>
            </w:r>
          </w:p>
        </w:tc>
      </w:tr>
    </w:tbl>
    <w:p w14:paraId="378E32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FC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85615">
            <w:pPr>
              <w:pStyle w:val="11"/>
            </w:pPr>
            <w:r>
              <w:t>一级指标</w:t>
            </w:r>
          </w:p>
        </w:tc>
        <w:tc>
          <w:tcPr>
            <w:tcW w:w="2268" w:type="dxa"/>
            <w:vAlign w:val="center"/>
          </w:tcPr>
          <w:p w14:paraId="000DDA1B">
            <w:pPr>
              <w:pStyle w:val="11"/>
            </w:pPr>
            <w:r>
              <w:t>二级指标</w:t>
            </w:r>
          </w:p>
        </w:tc>
        <w:tc>
          <w:tcPr>
            <w:tcW w:w="2835" w:type="dxa"/>
            <w:vAlign w:val="center"/>
          </w:tcPr>
          <w:p w14:paraId="5ABAA6C5">
            <w:pPr>
              <w:pStyle w:val="11"/>
            </w:pPr>
            <w:r>
              <w:t>三级指标</w:t>
            </w:r>
          </w:p>
        </w:tc>
        <w:tc>
          <w:tcPr>
            <w:tcW w:w="5386" w:type="dxa"/>
            <w:vAlign w:val="center"/>
          </w:tcPr>
          <w:p w14:paraId="186A7F4F">
            <w:pPr>
              <w:pStyle w:val="11"/>
            </w:pPr>
            <w:r>
              <w:t>绩效指标描述</w:t>
            </w:r>
          </w:p>
        </w:tc>
        <w:tc>
          <w:tcPr>
            <w:tcW w:w="2268" w:type="dxa"/>
            <w:vAlign w:val="center"/>
          </w:tcPr>
          <w:p w14:paraId="3D7CF3C0">
            <w:pPr>
              <w:pStyle w:val="11"/>
            </w:pPr>
            <w:r>
              <w:t>指标值</w:t>
            </w:r>
          </w:p>
        </w:tc>
        <w:tc>
          <w:tcPr>
            <w:tcW w:w="1276" w:type="dxa"/>
            <w:vAlign w:val="center"/>
          </w:tcPr>
          <w:p w14:paraId="7DB699CC">
            <w:pPr>
              <w:pStyle w:val="11"/>
            </w:pPr>
            <w:r>
              <w:t>指标值确定依据</w:t>
            </w:r>
          </w:p>
        </w:tc>
      </w:tr>
      <w:tr w14:paraId="4BF49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6A64E">
            <w:pPr>
              <w:pStyle w:val="12"/>
            </w:pPr>
            <w:r>
              <w:t>产出指标</w:t>
            </w:r>
          </w:p>
        </w:tc>
        <w:tc>
          <w:tcPr>
            <w:tcW w:w="2268" w:type="dxa"/>
            <w:vAlign w:val="center"/>
          </w:tcPr>
          <w:p w14:paraId="20654D54">
            <w:pPr>
              <w:pStyle w:val="13"/>
            </w:pPr>
            <w:r>
              <w:t>数量指标</w:t>
            </w:r>
          </w:p>
        </w:tc>
        <w:tc>
          <w:tcPr>
            <w:tcW w:w="2835" w:type="dxa"/>
            <w:vAlign w:val="center"/>
          </w:tcPr>
          <w:p w14:paraId="69BA7C0A">
            <w:pPr>
              <w:pStyle w:val="13"/>
            </w:pPr>
            <w:r>
              <w:t>防欺凌系统</w:t>
            </w:r>
          </w:p>
        </w:tc>
        <w:tc>
          <w:tcPr>
            <w:tcW w:w="5386" w:type="dxa"/>
            <w:vAlign w:val="center"/>
          </w:tcPr>
          <w:p w14:paraId="32C1BBD0">
            <w:pPr>
              <w:pStyle w:val="13"/>
            </w:pPr>
            <w:r>
              <w:t>防欺凌系统套数</w:t>
            </w:r>
          </w:p>
        </w:tc>
        <w:tc>
          <w:tcPr>
            <w:tcW w:w="2268" w:type="dxa"/>
            <w:vAlign w:val="center"/>
          </w:tcPr>
          <w:p w14:paraId="1C9EB1AA">
            <w:pPr>
              <w:pStyle w:val="13"/>
            </w:pPr>
            <w:r>
              <w:t>1套</w:t>
            </w:r>
          </w:p>
        </w:tc>
        <w:tc>
          <w:tcPr>
            <w:tcW w:w="1276" w:type="dxa"/>
            <w:vAlign w:val="center"/>
          </w:tcPr>
          <w:p w14:paraId="70EF7FA0">
            <w:pPr>
              <w:pStyle w:val="13"/>
            </w:pPr>
            <w:r>
              <w:t>城乡义务教育公共经费</w:t>
            </w:r>
          </w:p>
        </w:tc>
      </w:tr>
      <w:tr w14:paraId="037C5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2DB77"/>
        </w:tc>
        <w:tc>
          <w:tcPr>
            <w:tcW w:w="2268" w:type="dxa"/>
            <w:vAlign w:val="center"/>
          </w:tcPr>
          <w:p w14:paraId="35BD4B52">
            <w:pPr>
              <w:pStyle w:val="13"/>
            </w:pPr>
            <w:r>
              <w:t>质量指标</w:t>
            </w:r>
          </w:p>
        </w:tc>
        <w:tc>
          <w:tcPr>
            <w:tcW w:w="2835" w:type="dxa"/>
            <w:vAlign w:val="center"/>
          </w:tcPr>
          <w:p w14:paraId="4E545B28">
            <w:pPr>
              <w:pStyle w:val="13"/>
            </w:pPr>
            <w:r>
              <w:t>设备合格率</w:t>
            </w:r>
          </w:p>
        </w:tc>
        <w:tc>
          <w:tcPr>
            <w:tcW w:w="5386" w:type="dxa"/>
            <w:vAlign w:val="center"/>
          </w:tcPr>
          <w:p w14:paraId="043349E7">
            <w:pPr>
              <w:pStyle w:val="13"/>
            </w:pPr>
            <w:r>
              <w:t>设备合格率</w:t>
            </w:r>
          </w:p>
        </w:tc>
        <w:tc>
          <w:tcPr>
            <w:tcW w:w="2268" w:type="dxa"/>
            <w:vAlign w:val="center"/>
          </w:tcPr>
          <w:p w14:paraId="0A4E4A48">
            <w:pPr>
              <w:pStyle w:val="13"/>
            </w:pPr>
            <w:r>
              <w:t>100%</w:t>
            </w:r>
          </w:p>
        </w:tc>
        <w:tc>
          <w:tcPr>
            <w:tcW w:w="1276" w:type="dxa"/>
            <w:vAlign w:val="center"/>
          </w:tcPr>
          <w:p w14:paraId="3F1FB55B">
            <w:pPr>
              <w:pStyle w:val="13"/>
            </w:pPr>
            <w:r>
              <w:t>城乡义务教育公共经费</w:t>
            </w:r>
          </w:p>
        </w:tc>
      </w:tr>
      <w:tr w14:paraId="73BB1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D3F3C"/>
        </w:tc>
        <w:tc>
          <w:tcPr>
            <w:tcW w:w="2268" w:type="dxa"/>
            <w:vAlign w:val="center"/>
          </w:tcPr>
          <w:p w14:paraId="57B83D23">
            <w:pPr>
              <w:pStyle w:val="13"/>
            </w:pPr>
            <w:r>
              <w:t>时效指标</w:t>
            </w:r>
          </w:p>
        </w:tc>
        <w:tc>
          <w:tcPr>
            <w:tcW w:w="2835" w:type="dxa"/>
            <w:vAlign w:val="center"/>
          </w:tcPr>
          <w:p w14:paraId="2EEBD476">
            <w:pPr>
              <w:pStyle w:val="13"/>
            </w:pPr>
            <w:r>
              <w:t>资金支付率</w:t>
            </w:r>
          </w:p>
        </w:tc>
        <w:tc>
          <w:tcPr>
            <w:tcW w:w="5386" w:type="dxa"/>
            <w:vAlign w:val="center"/>
          </w:tcPr>
          <w:p w14:paraId="31170855">
            <w:pPr>
              <w:pStyle w:val="13"/>
            </w:pPr>
            <w:r>
              <w:t>按照序时进度完成资金支付</w:t>
            </w:r>
          </w:p>
        </w:tc>
        <w:tc>
          <w:tcPr>
            <w:tcW w:w="2268" w:type="dxa"/>
            <w:vAlign w:val="center"/>
          </w:tcPr>
          <w:p w14:paraId="6E605E5A">
            <w:pPr>
              <w:pStyle w:val="13"/>
            </w:pPr>
            <w:r>
              <w:t>100%</w:t>
            </w:r>
          </w:p>
        </w:tc>
        <w:tc>
          <w:tcPr>
            <w:tcW w:w="1276" w:type="dxa"/>
            <w:vAlign w:val="center"/>
          </w:tcPr>
          <w:p w14:paraId="49C9104A">
            <w:pPr>
              <w:pStyle w:val="13"/>
            </w:pPr>
            <w:r>
              <w:t>城乡义务教育公共经费</w:t>
            </w:r>
          </w:p>
        </w:tc>
      </w:tr>
      <w:tr w14:paraId="5FF10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CF45A"/>
        </w:tc>
        <w:tc>
          <w:tcPr>
            <w:tcW w:w="2268" w:type="dxa"/>
            <w:vAlign w:val="center"/>
          </w:tcPr>
          <w:p w14:paraId="1152BA7C">
            <w:pPr>
              <w:pStyle w:val="13"/>
            </w:pPr>
            <w:r>
              <w:t>成本指标</w:t>
            </w:r>
          </w:p>
        </w:tc>
        <w:tc>
          <w:tcPr>
            <w:tcW w:w="2835" w:type="dxa"/>
            <w:vAlign w:val="center"/>
          </w:tcPr>
          <w:p w14:paraId="23F817FD">
            <w:pPr>
              <w:pStyle w:val="13"/>
            </w:pPr>
            <w:r>
              <w:t>项目成本控制情况</w:t>
            </w:r>
          </w:p>
        </w:tc>
        <w:tc>
          <w:tcPr>
            <w:tcW w:w="5386" w:type="dxa"/>
            <w:vAlign w:val="center"/>
          </w:tcPr>
          <w:p w14:paraId="4211F52E">
            <w:pPr>
              <w:pStyle w:val="13"/>
            </w:pPr>
            <w:r>
              <w:t>严格按照招标价格及审计额进行</w:t>
            </w:r>
          </w:p>
        </w:tc>
        <w:tc>
          <w:tcPr>
            <w:tcW w:w="2268" w:type="dxa"/>
            <w:vAlign w:val="center"/>
          </w:tcPr>
          <w:p w14:paraId="2C96D02A">
            <w:pPr>
              <w:pStyle w:val="13"/>
            </w:pPr>
            <w:r>
              <w:t>≤25万元</w:t>
            </w:r>
          </w:p>
        </w:tc>
        <w:tc>
          <w:tcPr>
            <w:tcW w:w="1276" w:type="dxa"/>
            <w:vAlign w:val="center"/>
          </w:tcPr>
          <w:p w14:paraId="2F1EF665">
            <w:pPr>
              <w:pStyle w:val="13"/>
            </w:pPr>
            <w:r>
              <w:t>城乡义务教育公共经费</w:t>
            </w:r>
          </w:p>
        </w:tc>
      </w:tr>
      <w:tr w14:paraId="60871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FF333E">
            <w:pPr>
              <w:pStyle w:val="12"/>
            </w:pPr>
            <w:r>
              <w:t>效益指标</w:t>
            </w:r>
          </w:p>
        </w:tc>
        <w:tc>
          <w:tcPr>
            <w:tcW w:w="2268" w:type="dxa"/>
            <w:vAlign w:val="center"/>
          </w:tcPr>
          <w:p w14:paraId="32ED2422">
            <w:pPr>
              <w:pStyle w:val="13"/>
            </w:pPr>
            <w:r>
              <w:t>可持续影响指标</w:t>
            </w:r>
          </w:p>
        </w:tc>
        <w:tc>
          <w:tcPr>
            <w:tcW w:w="2835" w:type="dxa"/>
            <w:vAlign w:val="center"/>
          </w:tcPr>
          <w:p w14:paraId="0FA663B5">
            <w:pPr>
              <w:pStyle w:val="13"/>
            </w:pPr>
            <w:r>
              <w:t>学校运转得到提高</w:t>
            </w:r>
          </w:p>
        </w:tc>
        <w:tc>
          <w:tcPr>
            <w:tcW w:w="5386" w:type="dxa"/>
            <w:vAlign w:val="center"/>
          </w:tcPr>
          <w:p w14:paraId="14EE6010">
            <w:pPr>
              <w:pStyle w:val="13"/>
            </w:pPr>
            <w:r>
              <w:t>学生受教育年限</w:t>
            </w:r>
          </w:p>
        </w:tc>
        <w:tc>
          <w:tcPr>
            <w:tcW w:w="2268" w:type="dxa"/>
            <w:vAlign w:val="center"/>
          </w:tcPr>
          <w:p w14:paraId="656122DB">
            <w:pPr>
              <w:pStyle w:val="13"/>
            </w:pPr>
            <w:r>
              <w:t>3年</w:t>
            </w:r>
          </w:p>
        </w:tc>
        <w:tc>
          <w:tcPr>
            <w:tcW w:w="1276" w:type="dxa"/>
            <w:vAlign w:val="center"/>
          </w:tcPr>
          <w:p w14:paraId="6BB537B4">
            <w:pPr>
              <w:pStyle w:val="13"/>
            </w:pPr>
            <w:r>
              <w:t>城乡义务教育公共经费</w:t>
            </w:r>
          </w:p>
        </w:tc>
      </w:tr>
      <w:tr w14:paraId="51F8A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ACF4D9">
            <w:pPr>
              <w:pStyle w:val="12"/>
            </w:pPr>
            <w:r>
              <w:t>满意度指标</w:t>
            </w:r>
          </w:p>
        </w:tc>
        <w:tc>
          <w:tcPr>
            <w:tcW w:w="2268" w:type="dxa"/>
            <w:vAlign w:val="center"/>
          </w:tcPr>
          <w:p w14:paraId="50BDDE5D">
            <w:pPr>
              <w:pStyle w:val="13"/>
            </w:pPr>
            <w:r>
              <w:t>服务对象满意度指标</w:t>
            </w:r>
          </w:p>
        </w:tc>
        <w:tc>
          <w:tcPr>
            <w:tcW w:w="2835" w:type="dxa"/>
            <w:vAlign w:val="center"/>
          </w:tcPr>
          <w:p w14:paraId="7D49BED9">
            <w:pPr>
              <w:pStyle w:val="13"/>
            </w:pPr>
            <w:r>
              <w:t>受益学生家长及调查满意度</w:t>
            </w:r>
          </w:p>
        </w:tc>
        <w:tc>
          <w:tcPr>
            <w:tcW w:w="5386" w:type="dxa"/>
            <w:vAlign w:val="center"/>
          </w:tcPr>
          <w:p w14:paraId="73A00D11">
            <w:pPr>
              <w:pStyle w:val="13"/>
            </w:pPr>
            <w:r>
              <w:t>学生、教师及家长对学校教学环境满意度情况</w:t>
            </w:r>
          </w:p>
        </w:tc>
        <w:tc>
          <w:tcPr>
            <w:tcW w:w="2268" w:type="dxa"/>
            <w:vAlign w:val="center"/>
          </w:tcPr>
          <w:p w14:paraId="7A57B470">
            <w:pPr>
              <w:pStyle w:val="13"/>
            </w:pPr>
            <w:r>
              <w:t>≥98%</w:t>
            </w:r>
          </w:p>
        </w:tc>
        <w:tc>
          <w:tcPr>
            <w:tcW w:w="1276" w:type="dxa"/>
            <w:vAlign w:val="center"/>
          </w:tcPr>
          <w:p w14:paraId="0B234738">
            <w:pPr>
              <w:pStyle w:val="13"/>
            </w:pPr>
            <w:r>
              <w:t>问卷调查</w:t>
            </w:r>
          </w:p>
        </w:tc>
      </w:tr>
    </w:tbl>
    <w:p w14:paraId="1C0144DE">
      <w:pPr>
        <w:sectPr>
          <w:pgSz w:w="16840" w:h="11900" w:orient="landscape"/>
          <w:pgMar w:top="1361" w:right="1020" w:bottom="1134" w:left="1020" w:header="720" w:footer="720" w:gutter="0"/>
          <w:cols w:space="720" w:num="1"/>
        </w:sectPr>
      </w:pPr>
    </w:p>
    <w:p w14:paraId="5429D790">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4、冀财教[2024]123号/中央/2025年义教补助经费/综合奖补/尹村中学公用经费绩效目标表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E4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F2EBE">
            <w:pPr>
              <w:pStyle w:val="14"/>
            </w:pPr>
            <w:r>
              <w:t>单位：万元</w:t>
            </w:r>
          </w:p>
        </w:tc>
      </w:tr>
      <w:tr w14:paraId="35E15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FB86E4">
            <w:pPr>
              <w:pStyle w:val="11"/>
            </w:pPr>
            <w:r>
              <w:t>项目编码</w:t>
            </w:r>
          </w:p>
        </w:tc>
        <w:tc>
          <w:tcPr>
            <w:tcW w:w="5103" w:type="dxa"/>
            <w:gridSpan w:val="2"/>
            <w:vAlign w:val="center"/>
          </w:tcPr>
          <w:p w14:paraId="413ED3A0">
            <w:pPr>
              <w:pStyle w:val="13"/>
            </w:pPr>
            <w:r>
              <w:t>13052525P00875610264J</w:t>
            </w:r>
          </w:p>
        </w:tc>
        <w:tc>
          <w:tcPr>
            <w:tcW w:w="2835" w:type="dxa"/>
            <w:vAlign w:val="center"/>
          </w:tcPr>
          <w:p w14:paraId="1C6A8792">
            <w:pPr>
              <w:pStyle w:val="11"/>
            </w:pPr>
            <w:r>
              <w:t>项目名称</w:t>
            </w:r>
          </w:p>
        </w:tc>
        <w:tc>
          <w:tcPr>
            <w:tcW w:w="6095" w:type="dxa"/>
            <w:gridSpan w:val="3"/>
            <w:vAlign w:val="center"/>
          </w:tcPr>
          <w:p w14:paraId="01A78259">
            <w:pPr>
              <w:pStyle w:val="13"/>
            </w:pPr>
            <w:r>
              <w:t>冀财教[2024]123号/中央/2025年义教补助经费/综合奖补/尹村中学公用经费</w:t>
            </w:r>
          </w:p>
        </w:tc>
      </w:tr>
      <w:tr w14:paraId="0BAE3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F099C">
            <w:pPr>
              <w:pStyle w:val="11"/>
            </w:pPr>
            <w:r>
              <w:t>预算规模及资金用途</w:t>
            </w:r>
          </w:p>
        </w:tc>
        <w:tc>
          <w:tcPr>
            <w:tcW w:w="2268" w:type="dxa"/>
            <w:vAlign w:val="center"/>
          </w:tcPr>
          <w:p w14:paraId="05E8E074">
            <w:pPr>
              <w:pStyle w:val="11"/>
            </w:pPr>
            <w:r>
              <w:t>预算数</w:t>
            </w:r>
          </w:p>
        </w:tc>
        <w:tc>
          <w:tcPr>
            <w:tcW w:w="2835" w:type="dxa"/>
            <w:vAlign w:val="center"/>
          </w:tcPr>
          <w:p w14:paraId="25865BE2">
            <w:pPr>
              <w:pStyle w:val="13"/>
            </w:pPr>
            <w:r>
              <w:t>2.16</w:t>
            </w:r>
          </w:p>
        </w:tc>
        <w:tc>
          <w:tcPr>
            <w:tcW w:w="2835" w:type="dxa"/>
            <w:vAlign w:val="center"/>
          </w:tcPr>
          <w:p w14:paraId="47286B24">
            <w:pPr>
              <w:pStyle w:val="11"/>
            </w:pPr>
            <w:r>
              <w:t>其中：财政    资金</w:t>
            </w:r>
          </w:p>
        </w:tc>
        <w:tc>
          <w:tcPr>
            <w:tcW w:w="2551" w:type="dxa"/>
            <w:vAlign w:val="center"/>
          </w:tcPr>
          <w:p w14:paraId="564A608F">
            <w:pPr>
              <w:pStyle w:val="13"/>
            </w:pPr>
            <w:r>
              <w:t>2.16</w:t>
            </w:r>
          </w:p>
        </w:tc>
        <w:tc>
          <w:tcPr>
            <w:tcW w:w="2268" w:type="dxa"/>
            <w:vAlign w:val="center"/>
          </w:tcPr>
          <w:p w14:paraId="340DF3D4">
            <w:pPr>
              <w:pStyle w:val="11"/>
            </w:pPr>
            <w:r>
              <w:t>其他资金</w:t>
            </w:r>
          </w:p>
        </w:tc>
        <w:tc>
          <w:tcPr>
            <w:tcW w:w="1276" w:type="dxa"/>
            <w:vAlign w:val="center"/>
          </w:tcPr>
          <w:p w14:paraId="283DFEDB">
            <w:pPr>
              <w:pStyle w:val="13"/>
            </w:pPr>
            <w:r>
              <w:t xml:space="preserve"> </w:t>
            </w:r>
          </w:p>
        </w:tc>
      </w:tr>
      <w:tr w14:paraId="1BF5D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48BF0E"/>
        </w:tc>
        <w:tc>
          <w:tcPr>
            <w:tcW w:w="14033" w:type="dxa"/>
            <w:gridSpan w:val="6"/>
            <w:vAlign w:val="center"/>
          </w:tcPr>
          <w:p w14:paraId="75973CE2">
            <w:pPr>
              <w:pStyle w:val="13"/>
            </w:pPr>
            <w:r>
              <w:t>改善就学条件，提升学校形象，保障义务教育阶段教学安全，改善师生教学环境，创造良好的校园环境。</w:t>
            </w:r>
            <w:r>
              <w:tab/>
            </w:r>
          </w:p>
        </w:tc>
      </w:tr>
      <w:tr w14:paraId="63460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BF68C">
            <w:pPr>
              <w:pStyle w:val="11"/>
            </w:pPr>
            <w:r>
              <w:t>资金支出计划（%）</w:t>
            </w:r>
          </w:p>
        </w:tc>
        <w:tc>
          <w:tcPr>
            <w:tcW w:w="5103" w:type="dxa"/>
            <w:gridSpan w:val="2"/>
            <w:vAlign w:val="center"/>
          </w:tcPr>
          <w:p w14:paraId="3B1655D9">
            <w:pPr>
              <w:pStyle w:val="11"/>
            </w:pPr>
            <w:r>
              <w:t>3月底</w:t>
            </w:r>
          </w:p>
        </w:tc>
        <w:tc>
          <w:tcPr>
            <w:tcW w:w="2835" w:type="dxa"/>
            <w:vAlign w:val="center"/>
          </w:tcPr>
          <w:p w14:paraId="44E2E42C">
            <w:pPr>
              <w:pStyle w:val="11"/>
            </w:pPr>
            <w:r>
              <w:t>6月底</w:t>
            </w:r>
          </w:p>
        </w:tc>
        <w:tc>
          <w:tcPr>
            <w:tcW w:w="2551" w:type="dxa"/>
            <w:vAlign w:val="center"/>
          </w:tcPr>
          <w:p w14:paraId="644E57B0">
            <w:pPr>
              <w:pStyle w:val="11"/>
            </w:pPr>
            <w:r>
              <w:t>10月底</w:t>
            </w:r>
          </w:p>
        </w:tc>
        <w:tc>
          <w:tcPr>
            <w:tcW w:w="3544" w:type="dxa"/>
            <w:gridSpan w:val="2"/>
            <w:vAlign w:val="center"/>
          </w:tcPr>
          <w:p w14:paraId="7CCFD54A">
            <w:pPr>
              <w:pStyle w:val="11"/>
            </w:pPr>
            <w:r>
              <w:t>12月底</w:t>
            </w:r>
          </w:p>
        </w:tc>
      </w:tr>
      <w:tr w14:paraId="751CE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C8671"/>
        </w:tc>
        <w:tc>
          <w:tcPr>
            <w:tcW w:w="5103" w:type="dxa"/>
            <w:gridSpan w:val="2"/>
            <w:vAlign w:val="center"/>
          </w:tcPr>
          <w:p w14:paraId="192C272D">
            <w:pPr>
              <w:pStyle w:val="12"/>
            </w:pPr>
            <w:r>
              <w:t xml:space="preserve"> </w:t>
            </w:r>
          </w:p>
        </w:tc>
        <w:tc>
          <w:tcPr>
            <w:tcW w:w="2835" w:type="dxa"/>
            <w:vAlign w:val="center"/>
          </w:tcPr>
          <w:p w14:paraId="38D0F364">
            <w:pPr>
              <w:pStyle w:val="12"/>
            </w:pPr>
            <w:r>
              <w:t xml:space="preserve"> </w:t>
            </w:r>
          </w:p>
        </w:tc>
        <w:tc>
          <w:tcPr>
            <w:tcW w:w="2551" w:type="dxa"/>
            <w:vAlign w:val="center"/>
          </w:tcPr>
          <w:p w14:paraId="5EF4D275">
            <w:pPr>
              <w:pStyle w:val="12"/>
            </w:pPr>
            <w:r>
              <w:t>100%</w:t>
            </w:r>
          </w:p>
        </w:tc>
        <w:tc>
          <w:tcPr>
            <w:tcW w:w="3544" w:type="dxa"/>
            <w:gridSpan w:val="2"/>
            <w:vAlign w:val="center"/>
          </w:tcPr>
          <w:p w14:paraId="4E57F634">
            <w:pPr>
              <w:pStyle w:val="12"/>
            </w:pPr>
            <w:r>
              <w:t>100%</w:t>
            </w:r>
          </w:p>
        </w:tc>
      </w:tr>
      <w:tr w14:paraId="3678D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192F8">
            <w:pPr>
              <w:pStyle w:val="11"/>
            </w:pPr>
            <w:r>
              <w:t>绩效目标</w:t>
            </w:r>
          </w:p>
        </w:tc>
        <w:tc>
          <w:tcPr>
            <w:tcW w:w="14033" w:type="dxa"/>
            <w:gridSpan w:val="6"/>
            <w:vAlign w:val="center"/>
          </w:tcPr>
          <w:p w14:paraId="0AFA147C">
            <w:pPr>
              <w:pStyle w:val="13"/>
            </w:pPr>
            <w:r>
              <w:t>1.改善就学条件，提升学校形象，保障义务教育阶段教学安全，改善师生教学环境，创造良好的校园环境。</w:t>
            </w:r>
            <w:r>
              <w:tab/>
            </w:r>
          </w:p>
          <w:p w14:paraId="2516F87A">
            <w:pPr>
              <w:pStyle w:val="13"/>
            </w:pPr>
            <w:r>
              <w:t>2.项目需资金2.158万元，资金拨付率达到100%。</w:t>
            </w:r>
          </w:p>
        </w:tc>
      </w:tr>
    </w:tbl>
    <w:p w14:paraId="78F89E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16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F2814">
            <w:pPr>
              <w:pStyle w:val="11"/>
            </w:pPr>
            <w:r>
              <w:t>一级指标</w:t>
            </w:r>
          </w:p>
        </w:tc>
        <w:tc>
          <w:tcPr>
            <w:tcW w:w="2268" w:type="dxa"/>
            <w:vAlign w:val="center"/>
          </w:tcPr>
          <w:p w14:paraId="3B4CA63A">
            <w:pPr>
              <w:pStyle w:val="11"/>
            </w:pPr>
            <w:r>
              <w:t>二级指标</w:t>
            </w:r>
          </w:p>
        </w:tc>
        <w:tc>
          <w:tcPr>
            <w:tcW w:w="2835" w:type="dxa"/>
            <w:vAlign w:val="center"/>
          </w:tcPr>
          <w:p w14:paraId="0DAC2806">
            <w:pPr>
              <w:pStyle w:val="11"/>
            </w:pPr>
            <w:r>
              <w:t>三级指标</w:t>
            </w:r>
          </w:p>
        </w:tc>
        <w:tc>
          <w:tcPr>
            <w:tcW w:w="5386" w:type="dxa"/>
            <w:vAlign w:val="center"/>
          </w:tcPr>
          <w:p w14:paraId="0576A188">
            <w:pPr>
              <w:pStyle w:val="11"/>
            </w:pPr>
            <w:r>
              <w:t>绩效指标描述</w:t>
            </w:r>
          </w:p>
        </w:tc>
        <w:tc>
          <w:tcPr>
            <w:tcW w:w="2268" w:type="dxa"/>
            <w:vAlign w:val="center"/>
          </w:tcPr>
          <w:p w14:paraId="1D062EE2">
            <w:pPr>
              <w:pStyle w:val="11"/>
            </w:pPr>
            <w:r>
              <w:t>指标值</w:t>
            </w:r>
          </w:p>
        </w:tc>
        <w:tc>
          <w:tcPr>
            <w:tcW w:w="1276" w:type="dxa"/>
            <w:vAlign w:val="center"/>
          </w:tcPr>
          <w:p w14:paraId="6E4176BD">
            <w:pPr>
              <w:pStyle w:val="11"/>
            </w:pPr>
            <w:r>
              <w:t>指标值确定依据</w:t>
            </w:r>
          </w:p>
        </w:tc>
      </w:tr>
      <w:tr w14:paraId="6E9FC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64F5F">
            <w:pPr>
              <w:pStyle w:val="12"/>
            </w:pPr>
            <w:r>
              <w:t>产出指标</w:t>
            </w:r>
          </w:p>
        </w:tc>
        <w:tc>
          <w:tcPr>
            <w:tcW w:w="2268" w:type="dxa"/>
            <w:vAlign w:val="center"/>
          </w:tcPr>
          <w:p w14:paraId="43014C1C">
            <w:pPr>
              <w:pStyle w:val="13"/>
            </w:pPr>
            <w:r>
              <w:t>数量指标</w:t>
            </w:r>
          </w:p>
        </w:tc>
        <w:tc>
          <w:tcPr>
            <w:tcW w:w="2835" w:type="dxa"/>
            <w:vAlign w:val="center"/>
          </w:tcPr>
          <w:p w14:paraId="079CB038">
            <w:pPr>
              <w:pStyle w:val="13"/>
            </w:pPr>
            <w:r>
              <w:t>视频会议系统</w:t>
            </w:r>
          </w:p>
        </w:tc>
        <w:tc>
          <w:tcPr>
            <w:tcW w:w="5386" w:type="dxa"/>
            <w:vAlign w:val="center"/>
          </w:tcPr>
          <w:p w14:paraId="2F7B6B43">
            <w:pPr>
              <w:pStyle w:val="13"/>
            </w:pPr>
            <w:r>
              <w:t>视频会议系统套数</w:t>
            </w:r>
          </w:p>
        </w:tc>
        <w:tc>
          <w:tcPr>
            <w:tcW w:w="2268" w:type="dxa"/>
            <w:vAlign w:val="center"/>
          </w:tcPr>
          <w:p w14:paraId="54FDCA4D">
            <w:pPr>
              <w:pStyle w:val="13"/>
            </w:pPr>
            <w:r>
              <w:t>1套</w:t>
            </w:r>
          </w:p>
        </w:tc>
        <w:tc>
          <w:tcPr>
            <w:tcW w:w="1276" w:type="dxa"/>
            <w:vAlign w:val="center"/>
          </w:tcPr>
          <w:p w14:paraId="3E0A4E92">
            <w:pPr>
              <w:pStyle w:val="13"/>
            </w:pPr>
            <w:r>
              <w:t>城乡义务教育公共经费</w:t>
            </w:r>
          </w:p>
        </w:tc>
      </w:tr>
      <w:tr w14:paraId="3CAB8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C64CA"/>
        </w:tc>
        <w:tc>
          <w:tcPr>
            <w:tcW w:w="2268" w:type="dxa"/>
            <w:vAlign w:val="center"/>
          </w:tcPr>
          <w:p w14:paraId="049ADEEA">
            <w:pPr>
              <w:pStyle w:val="13"/>
            </w:pPr>
            <w:r>
              <w:t>质量指标</w:t>
            </w:r>
          </w:p>
        </w:tc>
        <w:tc>
          <w:tcPr>
            <w:tcW w:w="2835" w:type="dxa"/>
            <w:vAlign w:val="center"/>
          </w:tcPr>
          <w:p w14:paraId="4EB8C182">
            <w:pPr>
              <w:pStyle w:val="13"/>
            </w:pPr>
            <w:r>
              <w:t>设备合格率</w:t>
            </w:r>
          </w:p>
        </w:tc>
        <w:tc>
          <w:tcPr>
            <w:tcW w:w="5386" w:type="dxa"/>
            <w:vAlign w:val="center"/>
          </w:tcPr>
          <w:p w14:paraId="75F134F1">
            <w:pPr>
              <w:pStyle w:val="13"/>
            </w:pPr>
            <w:r>
              <w:t>设备合格率</w:t>
            </w:r>
          </w:p>
        </w:tc>
        <w:tc>
          <w:tcPr>
            <w:tcW w:w="2268" w:type="dxa"/>
            <w:vAlign w:val="center"/>
          </w:tcPr>
          <w:p w14:paraId="7EFFF443">
            <w:pPr>
              <w:pStyle w:val="13"/>
            </w:pPr>
            <w:r>
              <w:t>100%</w:t>
            </w:r>
          </w:p>
        </w:tc>
        <w:tc>
          <w:tcPr>
            <w:tcW w:w="1276" w:type="dxa"/>
            <w:vAlign w:val="center"/>
          </w:tcPr>
          <w:p w14:paraId="4955EA83">
            <w:pPr>
              <w:pStyle w:val="13"/>
            </w:pPr>
            <w:r>
              <w:t>城乡义务教育公共经费</w:t>
            </w:r>
          </w:p>
        </w:tc>
      </w:tr>
      <w:tr w14:paraId="6DD24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D97F6"/>
        </w:tc>
        <w:tc>
          <w:tcPr>
            <w:tcW w:w="2268" w:type="dxa"/>
            <w:vAlign w:val="center"/>
          </w:tcPr>
          <w:p w14:paraId="013270D1">
            <w:pPr>
              <w:pStyle w:val="13"/>
            </w:pPr>
            <w:r>
              <w:t>时效指标</w:t>
            </w:r>
          </w:p>
        </w:tc>
        <w:tc>
          <w:tcPr>
            <w:tcW w:w="2835" w:type="dxa"/>
            <w:vAlign w:val="center"/>
          </w:tcPr>
          <w:p w14:paraId="53241E83">
            <w:pPr>
              <w:pStyle w:val="13"/>
            </w:pPr>
            <w:r>
              <w:t>资金支付率</w:t>
            </w:r>
          </w:p>
        </w:tc>
        <w:tc>
          <w:tcPr>
            <w:tcW w:w="5386" w:type="dxa"/>
            <w:vAlign w:val="center"/>
          </w:tcPr>
          <w:p w14:paraId="5AE76F8D">
            <w:pPr>
              <w:pStyle w:val="13"/>
            </w:pPr>
            <w:r>
              <w:t>按照序时进度完成资金支付</w:t>
            </w:r>
          </w:p>
        </w:tc>
        <w:tc>
          <w:tcPr>
            <w:tcW w:w="2268" w:type="dxa"/>
            <w:vAlign w:val="center"/>
          </w:tcPr>
          <w:p w14:paraId="3DAB4606">
            <w:pPr>
              <w:pStyle w:val="13"/>
            </w:pPr>
            <w:r>
              <w:t>100%</w:t>
            </w:r>
          </w:p>
        </w:tc>
        <w:tc>
          <w:tcPr>
            <w:tcW w:w="1276" w:type="dxa"/>
            <w:vAlign w:val="center"/>
          </w:tcPr>
          <w:p w14:paraId="3B221D4C">
            <w:pPr>
              <w:pStyle w:val="13"/>
            </w:pPr>
            <w:r>
              <w:t>城乡义务教育公共经费</w:t>
            </w:r>
          </w:p>
        </w:tc>
      </w:tr>
      <w:tr w14:paraId="1B73A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B1BB8"/>
        </w:tc>
        <w:tc>
          <w:tcPr>
            <w:tcW w:w="2268" w:type="dxa"/>
            <w:vAlign w:val="center"/>
          </w:tcPr>
          <w:p w14:paraId="66C68475">
            <w:pPr>
              <w:pStyle w:val="13"/>
            </w:pPr>
            <w:r>
              <w:t>成本指标</w:t>
            </w:r>
          </w:p>
        </w:tc>
        <w:tc>
          <w:tcPr>
            <w:tcW w:w="2835" w:type="dxa"/>
            <w:vAlign w:val="center"/>
          </w:tcPr>
          <w:p w14:paraId="72CE4675">
            <w:pPr>
              <w:pStyle w:val="13"/>
            </w:pPr>
            <w:r>
              <w:t>项目成本控制情况</w:t>
            </w:r>
          </w:p>
        </w:tc>
        <w:tc>
          <w:tcPr>
            <w:tcW w:w="5386" w:type="dxa"/>
            <w:vAlign w:val="center"/>
          </w:tcPr>
          <w:p w14:paraId="1B2FD9A0">
            <w:pPr>
              <w:pStyle w:val="13"/>
            </w:pPr>
            <w:r>
              <w:t>严格按照招标价格及审计额进行</w:t>
            </w:r>
          </w:p>
        </w:tc>
        <w:tc>
          <w:tcPr>
            <w:tcW w:w="2268" w:type="dxa"/>
            <w:vAlign w:val="center"/>
          </w:tcPr>
          <w:p w14:paraId="617B1520">
            <w:pPr>
              <w:pStyle w:val="13"/>
            </w:pPr>
            <w:r>
              <w:t>≤2.16万元</w:t>
            </w:r>
          </w:p>
        </w:tc>
        <w:tc>
          <w:tcPr>
            <w:tcW w:w="1276" w:type="dxa"/>
            <w:vAlign w:val="center"/>
          </w:tcPr>
          <w:p w14:paraId="45C8D599">
            <w:pPr>
              <w:pStyle w:val="13"/>
            </w:pPr>
            <w:r>
              <w:t>城乡义务教育公共经费</w:t>
            </w:r>
          </w:p>
        </w:tc>
      </w:tr>
      <w:tr w14:paraId="7AC17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7A58A1">
            <w:pPr>
              <w:pStyle w:val="12"/>
            </w:pPr>
            <w:r>
              <w:t>效益指标</w:t>
            </w:r>
          </w:p>
        </w:tc>
        <w:tc>
          <w:tcPr>
            <w:tcW w:w="2268" w:type="dxa"/>
            <w:vAlign w:val="center"/>
          </w:tcPr>
          <w:p w14:paraId="4C90251D">
            <w:pPr>
              <w:pStyle w:val="13"/>
            </w:pPr>
            <w:r>
              <w:t>可持续影响指标</w:t>
            </w:r>
          </w:p>
        </w:tc>
        <w:tc>
          <w:tcPr>
            <w:tcW w:w="2835" w:type="dxa"/>
            <w:vAlign w:val="center"/>
          </w:tcPr>
          <w:p w14:paraId="20352492">
            <w:pPr>
              <w:pStyle w:val="13"/>
            </w:pPr>
            <w:r>
              <w:t>学校运转得到提高</w:t>
            </w:r>
          </w:p>
        </w:tc>
        <w:tc>
          <w:tcPr>
            <w:tcW w:w="5386" w:type="dxa"/>
            <w:vAlign w:val="center"/>
          </w:tcPr>
          <w:p w14:paraId="211BF55E">
            <w:pPr>
              <w:pStyle w:val="13"/>
            </w:pPr>
            <w:r>
              <w:t>学生受教育年限</w:t>
            </w:r>
          </w:p>
        </w:tc>
        <w:tc>
          <w:tcPr>
            <w:tcW w:w="2268" w:type="dxa"/>
            <w:vAlign w:val="center"/>
          </w:tcPr>
          <w:p w14:paraId="7F2D1E54">
            <w:pPr>
              <w:pStyle w:val="13"/>
            </w:pPr>
            <w:r>
              <w:t>3年</w:t>
            </w:r>
          </w:p>
        </w:tc>
        <w:tc>
          <w:tcPr>
            <w:tcW w:w="1276" w:type="dxa"/>
            <w:vAlign w:val="center"/>
          </w:tcPr>
          <w:p w14:paraId="0F0DBA63">
            <w:pPr>
              <w:pStyle w:val="13"/>
            </w:pPr>
            <w:r>
              <w:t>城乡义务教育公共经费</w:t>
            </w:r>
          </w:p>
        </w:tc>
      </w:tr>
      <w:tr w14:paraId="1BAD3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3CDFEC">
            <w:pPr>
              <w:pStyle w:val="12"/>
            </w:pPr>
            <w:r>
              <w:t>满意度指标</w:t>
            </w:r>
          </w:p>
        </w:tc>
        <w:tc>
          <w:tcPr>
            <w:tcW w:w="2268" w:type="dxa"/>
            <w:vAlign w:val="center"/>
          </w:tcPr>
          <w:p w14:paraId="085BD7C2">
            <w:pPr>
              <w:pStyle w:val="13"/>
            </w:pPr>
            <w:r>
              <w:t>服务对象满意度指标</w:t>
            </w:r>
          </w:p>
        </w:tc>
        <w:tc>
          <w:tcPr>
            <w:tcW w:w="2835" w:type="dxa"/>
            <w:vAlign w:val="center"/>
          </w:tcPr>
          <w:p w14:paraId="15B052AD">
            <w:pPr>
              <w:pStyle w:val="13"/>
            </w:pPr>
            <w:r>
              <w:t>受益学生家长及调查满意度</w:t>
            </w:r>
          </w:p>
        </w:tc>
        <w:tc>
          <w:tcPr>
            <w:tcW w:w="5386" w:type="dxa"/>
            <w:vAlign w:val="center"/>
          </w:tcPr>
          <w:p w14:paraId="03292AA3">
            <w:pPr>
              <w:pStyle w:val="13"/>
            </w:pPr>
            <w:r>
              <w:t>学生、教师及家长对学校教学环境满意度情况</w:t>
            </w:r>
          </w:p>
        </w:tc>
        <w:tc>
          <w:tcPr>
            <w:tcW w:w="2268" w:type="dxa"/>
            <w:vAlign w:val="center"/>
          </w:tcPr>
          <w:p w14:paraId="7EDF0587">
            <w:pPr>
              <w:pStyle w:val="13"/>
            </w:pPr>
            <w:r>
              <w:t>≥98%</w:t>
            </w:r>
          </w:p>
        </w:tc>
        <w:tc>
          <w:tcPr>
            <w:tcW w:w="1276" w:type="dxa"/>
            <w:vAlign w:val="center"/>
          </w:tcPr>
          <w:p w14:paraId="6D031AD3">
            <w:pPr>
              <w:pStyle w:val="13"/>
            </w:pPr>
            <w:r>
              <w:t>问卷调查</w:t>
            </w:r>
          </w:p>
        </w:tc>
      </w:tr>
    </w:tbl>
    <w:p w14:paraId="07C83317">
      <w:pPr>
        <w:sectPr>
          <w:pgSz w:w="16840" w:h="11900" w:orient="landscape"/>
          <w:pgMar w:top="1361" w:right="1020" w:bottom="1134" w:left="1020" w:header="720" w:footer="720" w:gutter="0"/>
          <w:cols w:space="720" w:num="1"/>
        </w:sectPr>
      </w:pPr>
    </w:p>
    <w:p w14:paraId="125A1D1C">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5、冀财教[2024]123号/中央/2025年义教补助经费/综合奖补/尹村中学微机室装备购置绩效目标表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01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D8183F">
            <w:pPr>
              <w:pStyle w:val="14"/>
            </w:pPr>
            <w:r>
              <w:t>单位：万元</w:t>
            </w:r>
          </w:p>
        </w:tc>
      </w:tr>
      <w:tr w14:paraId="22E16F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88BCC5">
            <w:pPr>
              <w:pStyle w:val="11"/>
            </w:pPr>
            <w:r>
              <w:t>项目编码</w:t>
            </w:r>
          </w:p>
        </w:tc>
        <w:tc>
          <w:tcPr>
            <w:tcW w:w="5103" w:type="dxa"/>
            <w:gridSpan w:val="2"/>
            <w:vAlign w:val="center"/>
          </w:tcPr>
          <w:p w14:paraId="402E9FB3">
            <w:pPr>
              <w:pStyle w:val="13"/>
            </w:pPr>
            <w:r>
              <w:t>13052525P008756102489</w:t>
            </w:r>
          </w:p>
        </w:tc>
        <w:tc>
          <w:tcPr>
            <w:tcW w:w="2835" w:type="dxa"/>
            <w:vAlign w:val="center"/>
          </w:tcPr>
          <w:p w14:paraId="3F73A08D">
            <w:pPr>
              <w:pStyle w:val="11"/>
            </w:pPr>
            <w:r>
              <w:t>项目名称</w:t>
            </w:r>
          </w:p>
        </w:tc>
        <w:tc>
          <w:tcPr>
            <w:tcW w:w="6095" w:type="dxa"/>
            <w:gridSpan w:val="3"/>
            <w:vAlign w:val="center"/>
          </w:tcPr>
          <w:p w14:paraId="63FD8043">
            <w:pPr>
              <w:pStyle w:val="13"/>
            </w:pPr>
            <w:r>
              <w:t>冀财教[2024]123号/中央/2025年义教补助经费/综合奖补/尹村中学微机室装备购置</w:t>
            </w:r>
          </w:p>
        </w:tc>
      </w:tr>
      <w:tr w14:paraId="2384D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9EE75">
            <w:pPr>
              <w:pStyle w:val="11"/>
            </w:pPr>
            <w:r>
              <w:t>预算规模及资金用途</w:t>
            </w:r>
          </w:p>
        </w:tc>
        <w:tc>
          <w:tcPr>
            <w:tcW w:w="2268" w:type="dxa"/>
            <w:vAlign w:val="center"/>
          </w:tcPr>
          <w:p w14:paraId="44B99282">
            <w:pPr>
              <w:pStyle w:val="11"/>
            </w:pPr>
            <w:r>
              <w:t>预算数</w:t>
            </w:r>
          </w:p>
        </w:tc>
        <w:tc>
          <w:tcPr>
            <w:tcW w:w="2835" w:type="dxa"/>
            <w:vAlign w:val="center"/>
          </w:tcPr>
          <w:p w14:paraId="0C12D780">
            <w:pPr>
              <w:pStyle w:val="13"/>
            </w:pPr>
            <w:r>
              <w:t>20.40</w:t>
            </w:r>
          </w:p>
        </w:tc>
        <w:tc>
          <w:tcPr>
            <w:tcW w:w="2835" w:type="dxa"/>
            <w:vAlign w:val="center"/>
          </w:tcPr>
          <w:p w14:paraId="03C0E4F5">
            <w:pPr>
              <w:pStyle w:val="11"/>
            </w:pPr>
            <w:r>
              <w:t>其中：财政    资金</w:t>
            </w:r>
          </w:p>
        </w:tc>
        <w:tc>
          <w:tcPr>
            <w:tcW w:w="2551" w:type="dxa"/>
            <w:vAlign w:val="center"/>
          </w:tcPr>
          <w:p w14:paraId="53588F91">
            <w:pPr>
              <w:pStyle w:val="13"/>
            </w:pPr>
            <w:r>
              <w:t>20.40</w:t>
            </w:r>
          </w:p>
        </w:tc>
        <w:tc>
          <w:tcPr>
            <w:tcW w:w="2268" w:type="dxa"/>
            <w:vAlign w:val="center"/>
          </w:tcPr>
          <w:p w14:paraId="2BE27B88">
            <w:pPr>
              <w:pStyle w:val="11"/>
            </w:pPr>
            <w:r>
              <w:t>其他资金</w:t>
            </w:r>
          </w:p>
        </w:tc>
        <w:tc>
          <w:tcPr>
            <w:tcW w:w="1276" w:type="dxa"/>
            <w:vAlign w:val="center"/>
          </w:tcPr>
          <w:p w14:paraId="7768A85C">
            <w:pPr>
              <w:pStyle w:val="13"/>
            </w:pPr>
            <w:r>
              <w:t xml:space="preserve"> </w:t>
            </w:r>
          </w:p>
        </w:tc>
      </w:tr>
      <w:tr w14:paraId="1469B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029710"/>
        </w:tc>
        <w:tc>
          <w:tcPr>
            <w:tcW w:w="14033" w:type="dxa"/>
            <w:gridSpan w:val="6"/>
            <w:vAlign w:val="center"/>
          </w:tcPr>
          <w:p w14:paraId="2B0E1989">
            <w:pPr>
              <w:pStyle w:val="13"/>
            </w:pPr>
            <w:r>
              <w:t>"改善就学条件，提升学校形象，保障义务教育阶段教学安全，改善师生教学环境，创造良好的校园环境。</w:t>
            </w:r>
            <w:r>
              <w:tab/>
            </w:r>
          </w:p>
        </w:tc>
      </w:tr>
      <w:tr w14:paraId="3010B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67F03">
            <w:pPr>
              <w:pStyle w:val="11"/>
            </w:pPr>
            <w:r>
              <w:t>资金支出计划（%）</w:t>
            </w:r>
          </w:p>
        </w:tc>
        <w:tc>
          <w:tcPr>
            <w:tcW w:w="5103" w:type="dxa"/>
            <w:gridSpan w:val="2"/>
            <w:vAlign w:val="center"/>
          </w:tcPr>
          <w:p w14:paraId="056A3E57">
            <w:pPr>
              <w:pStyle w:val="11"/>
            </w:pPr>
            <w:r>
              <w:t>3月底</w:t>
            </w:r>
          </w:p>
        </w:tc>
        <w:tc>
          <w:tcPr>
            <w:tcW w:w="2835" w:type="dxa"/>
            <w:vAlign w:val="center"/>
          </w:tcPr>
          <w:p w14:paraId="7166508D">
            <w:pPr>
              <w:pStyle w:val="11"/>
            </w:pPr>
            <w:r>
              <w:t>6月底</w:t>
            </w:r>
          </w:p>
        </w:tc>
        <w:tc>
          <w:tcPr>
            <w:tcW w:w="2551" w:type="dxa"/>
            <w:vAlign w:val="center"/>
          </w:tcPr>
          <w:p w14:paraId="7D4DC026">
            <w:pPr>
              <w:pStyle w:val="11"/>
            </w:pPr>
            <w:r>
              <w:t>10月底</w:t>
            </w:r>
          </w:p>
        </w:tc>
        <w:tc>
          <w:tcPr>
            <w:tcW w:w="3544" w:type="dxa"/>
            <w:gridSpan w:val="2"/>
            <w:vAlign w:val="center"/>
          </w:tcPr>
          <w:p w14:paraId="371DC8CB">
            <w:pPr>
              <w:pStyle w:val="11"/>
            </w:pPr>
            <w:r>
              <w:t>12月底</w:t>
            </w:r>
          </w:p>
        </w:tc>
      </w:tr>
      <w:tr w14:paraId="36977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E4783"/>
        </w:tc>
        <w:tc>
          <w:tcPr>
            <w:tcW w:w="5103" w:type="dxa"/>
            <w:gridSpan w:val="2"/>
            <w:vAlign w:val="center"/>
          </w:tcPr>
          <w:p w14:paraId="43320D2A">
            <w:pPr>
              <w:pStyle w:val="12"/>
            </w:pPr>
            <w:r>
              <w:t xml:space="preserve"> </w:t>
            </w:r>
          </w:p>
        </w:tc>
        <w:tc>
          <w:tcPr>
            <w:tcW w:w="2835" w:type="dxa"/>
            <w:vAlign w:val="center"/>
          </w:tcPr>
          <w:p w14:paraId="546FF520">
            <w:pPr>
              <w:pStyle w:val="12"/>
            </w:pPr>
            <w:r>
              <w:t xml:space="preserve"> </w:t>
            </w:r>
          </w:p>
        </w:tc>
        <w:tc>
          <w:tcPr>
            <w:tcW w:w="2551" w:type="dxa"/>
            <w:vAlign w:val="center"/>
          </w:tcPr>
          <w:p w14:paraId="72DC1647">
            <w:pPr>
              <w:pStyle w:val="12"/>
            </w:pPr>
            <w:r>
              <w:t>100%</w:t>
            </w:r>
          </w:p>
        </w:tc>
        <w:tc>
          <w:tcPr>
            <w:tcW w:w="3544" w:type="dxa"/>
            <w:gridSpan w:val="2"/>
            <w:vAlign w:val="center"/>
          </w:tcPr>
          <w:p w14:paraId="5A9BE16B">
            <w:pPr>
              <w:pStyle w:val="12"/>
            </w:pPr>
            <w:r>
              <w:t>100%</w:t>
            </w:r>
          </w:p>
        </w:tc>
      </w:tr>
      <w:tr w14:paraId="21E9E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0FDBD">
            <w:pPr>
              <w:pStyle w:val="11"/>
            </w:pPr>
            <w:r>
              <w:t>绩效目标</w:t>
            </w:r>
          </w:p>
        </w:tc>
        <w:tc>
          <w:tcPr>
            <w:tcW w:w="14033" w:type="dxa"/>
            <w:gridSpan w:val="6"/>
            <w:vAlign w:val="center"/>
          </w:tcPr>
          <w:p w14:paraId="00659E28">
            <w:pPr>
              <w:pStyle w:val="13"/>
            </w:pPr>
            <w:r>
              <w:t>1.改善就学条件，提升学校形象，保障义务教育阶段教学安全，改善师生教学环境，创造良好的校园环境。</w:t>
            </w:r>
            <w:r>
              <w:tab/>
            </w:r>
          </w:p>
          <w:p w14:paraId="317973D8">
            <w:pPr>
              <w:pStyle w:val="13"/>
            </w:pPr>
            <w:r>
              <w:t>2.项目需资金20.4万元，资金拨付率达到100%。</w:t>
            </w:r>
          </w:p>
        </w:tc>
      </w:tr>
    </w:tbl>
    <w:p w14:paraId="012AB6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8D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C99D9">
            <w:pPr>
              <w:pStyle w:val="11"/>
            </w:pPr>
            <w:r>
              <w:t>一级指标</w:t>
            </w:r>
          </w:p>
        </w:tc>
        <w:tc>
          <w:tcPr>
            <w:tcW w:w="2268" w:type="dxa"/>
            <w:vAlign w:val="center"/>
          </w:tcPr>
          <w:p w14:paraId="7D132D97">
            <w:pPr>
              <w:pStyle w:val="11"/>
            </w:pPr>
            <w:r>
              <w:t>二级指标</w:t>
            </w:r>
          </w:p>
        </w:tc>
        <w:tc>
          <w:tcPr>
            <w:tcW w:w="2835" w:type="dxa"/>
            <w:vAlign w:val="center"/>
          </w:tcPr>
          <w:p w14:paraId="23695C0F">
            <w:pPr>
              <w:pStyle w:val="11"/>
            </w:pPr>
            <w:r>
              <w:t>三级指标</w:t>
            </w:r>
          </w:p>
        </w:tc>
        <w:tc>
          <w:tcPr>
            <w:tcW w:w="5386" w:type="dxa"/>
            <w:vAlign w:val="center"/>
          </w:tcPr>
          <w:p w14:paraId="2467BF0C">
            <w:pPr>
              <w:pStyle w:val="11"/>
            </w:pPr>
            <w:r>
              <w:t>绩效指标描述</w:t>
            </w:r>
          </w:p>
        </w:tc>
        <w:tc>
          <w:tcPr>
            <w:tcW w:w="2268" w:type="dxa"/>
            <w:vAlign w:val="center"/>
          </w:tcPr>
          <w:p w14:paraId="25599C78">
            <w:pPr>
              <w:pStyle w:val="11"/>
            </w:pPr>
            <w:r>
              <w:t>指标值</w:t>
            </w:r>
          </w:p>
        </w:tc>
        <w:tc>
          <w:tcPr>
            <w:tcW w:w="1276" w:type="dxa"/>
            <w:vAlign w:val="center"/>
          </w:tcPr>
          <w:p w14:paraId="3E4CD8AC">
            <w:pPr>
              <w:pStyle w:val="11"/>
            </w:pPr>
            <w:r>
              <w:t>指标值确定依据</w:t>
            </w:r>
          </w:p>
        </w:tc>
      </w:tr>
      <w:tr w14:paraId="6A313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3CDCD">
            <w:pPr>
              <w:pStyle w:val="12"/>
            </w:pPr>
            <w:r>
              <w:t>产出指标</w:t>
            </w:r>
          </w:p>
        </w:tc>
        <w:tc>
          <w:tcPr>
            <w:tcW w:w="2268" w:type="dxa"/>
            <w:vAlign w:val="center"/>
          </w:tcPr>
          <w:p w14:paraId="6A556FCC">
            <w:pPr>
              <w:pStyle w:val="13"/>
            </w:pPr>
            <w:r>
              <w:t>数量指标</w:t>
            </w:r>
          </w:p>
        </w:tc>
        <w:tc>
          <w:tcPr>
            <w:tcW w:w="2835" w:type="dxa"/>
            <w:vAlign w:val="center"/>
          </w:tcPr>
          <w:p w14:paraId="01CE42FF">
            <w:pPr>
              <w:pStyle w:val="13"/>
            </w:pPr>
            <w:r>
              <w:t>微机室装备</w:t>
            </w:r>
          </w:p>
        </w:tc>
        <w:tc>
          <w:tcPr>
            <w:tcW w:w="5386" w:type="dxa"/>
            <w:vAlign w:val="center"/>
          </w:tcPr>
          <w:p w14:paraId="703D8505">
            <w:pPr>
              <w:pStyle w:val="13"/>
            </w:pPr>
            <w:r>
              <w:t>微机室装备套数</w:t>
            </w:r>
          </w:p>
        </w:tc>
        <w:tc>
          <w:tcPr>
            <w:tcW w:w="2268" w:type="dxa"/>
            <w:vAlign w:val="center"/>
          </w:tcPr>
          <w:p w14:paraId="0AC38102">
            <w:pPr>
              <w:pStyle w:val="13"/>
            </w:pPr>
            <w:r>
              <w:t>51套</w:t>
            </w:r>
          </w:p>
        </w:tc>
        <w:tc>
          <w:tcPr>
            <w:tcW w:w="1276" w:type="dxa"/>
            <w:vAlign w:val="center"/>
          </w:tcPr>
          <w:p w14:paraId="650B8FE6">
            <w:pPr>
              <w:pStyle w:val="13"/>
            </w:pPr>
            <w:r>
              <w:t>城乡义务教育公共经费</w:t>
            </w:r>
          </w:p>
        </w:tc>
      </w:tr>
      <w:tr w14:paraId="6AD26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3583A485"/>
        </w:tc>
        <w:tc>
          <w:tcPr>
            <w:tcW w:w="2268" w:type="dxa"/>
            <w:vAlign w:val="center"/>
          </w:tcPr>
          <w:p w14:paraId="331171CC">
            <w:pPr>
              <w:pStyle w:val="13"/>
            </w:pPr>
            <w:r>
              <w:t>质量指标</w:t>
            </w:r>
          </w:p>
        </w:tc>
        <w:tc>
          <w:tcPr>
            <w:tcW w:w="2835" w:type="dxa"/>
            <w:vAlign w:val="center"/>
          </w:tcPr>
          <w:p w14:paraId="46023104">
            <w:pPr>
              <w:pStyle w:val="13"/>
            </w:pPr>
            <w:r>
              <w:t>设备合格率</w:t>
            </w:r>
          </w:p>
        </w:tc>
        <w:tc>
          <w:tcPr>
            <w:tcW w:w="5386" w:type="dxa"/>
            <w:vAlign w:val="center"/>
          </w:tcPr>
          <w:p w14:paraId="3C9C73B1">
            <w:pPr>
              <w:pStyle w:val="13"/>
            </w:pPr>
            <w:r>
              <w:t>设备合格率</w:t>
            </w:r>
          </w:p>
        </w:tc>
        <w:tc>
          <w:tcPr>
            <w:tcW w:w="2268" w:type="dxa"/>
            <w:vAlign w:val="center"/>
          </w:tcPr>
          <w:p w14:paraId="7812FE01">
            <w:pPr>
              <w:pStyle w:val="13"/>
            </w:pPr>
            <w:r>
              <w:t>100%</w:t>
            </w:r>
          </w:p>
        </w:tc>
        <w:tc>
          <w:tcPr>
            <w:tcW w:w="1276" w:type="dxa"/>
            <w:vAlign w:val="center"/>
          </w:tcPr>
          <w:p w14:paraId="555991A6">
            <w:pPr>
              <w:pStyle w:val="13"/>
            </w:pPr>
            <w:r>
              <w:t>城乡义务教育公共经费</w:t>
            </w:r>
          </w:p>
        </w:tc>
      </w:tr>
      <w:tr w14:paraId="783B1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0EB691AB"/>
        </w:tc>
        <w:tc>
          <w:tcPr>
            <w:tcW w:w="2268" w:type="dxa"/>
            <w:vAlign w:val="center"/>
          </w:tcPr>
          <w:p w14:paraId="2CD42E55">
            <w:pPr>
              <w:pStyle w:val="13"/>
            </w:pPr>
            <w:r>
              <w:t>时效指标</w:t>
            </w:r>
          </w:p>
        </w:tc>
        <w:tc>
          <w:tcPr>
            <w:tcW w:w="2835" w:type="dxa"/>
            <w:vAlign w:val="center"/>
          </w:tcPr>
          <w:p w14:paraId="03DB7F83">
            <w:pPr>
              <w:pStyle w:val="13"/>
            </w:pPr>
            <w:r>
              <w:t>资金支付率</w:t>
            </w:r>
          </w:p>
        </w:tc>
        <w:tc>
          <w:tcPr>
            <w:tcW w:w="5386" w:type="dxa"/>
            <w:vAlign w:val="center"/>
          </w:tcPr>
          <w:p w14:paraId="0DC43C85">
            <w:pPr>
              <w:pStyle w:val="13"/>
            </w:pPr>
            <w:r>
              <w:t>按照序时进度完成资金支付</w:t>
            </w:r>
          </w:p>
        </w:tc>
        <w:tc>
          <w:tcPr>
            <w:tcW w:w="2268" w:type="dxa"/>
            <w:vAlign w:val="center"/>
          </w:tcPr>
          <w:p w14:paraId="0CB8AD9A">
            <w:pPr>
              <w:pStyle w:val="13"/>
            </w:pPr>
            <w:r>
              <w:t>100%</w:t>
            </w:r>
          </w:p>
        </w:tc>
        <w:tc>
          <w:tcPr>
            <w:tcW w:w="1276" w:type="dxa"/>
            <w:vAlign w:val="center"/>
          </w:tcPr>
          <w:p w14:paraId="4591DD96">
            <w:pPr>
              <w:pStyle w:val="13"/>
            </w:pPr>
            <w:r>
              <w:t>城乡义务教育公共经费</w:t>
            </w:r>
          </w:p>
        </w:tc>
      </w:tr>
      <w:tr w14:paraId="6B7B9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7C26D7BF"/>
        </w:tc>
        <w:tc>
          <w:tcPr>
            <w:tcW w:w="2268" w:type="dxa"/>
            <w:vAlign w:val="center"/>
          </w:tcPr>
          <w:p w14:paraId="139B1190">
            <w:pPr>
              <w:pStyle w:val="13"/>
            </w:pPr>
            <w:r>
              <w:t>成本指标</w:t>
            </w:r>
          </w:p>
        </w:tc>
        <w:tc>
          <w:tcPr>
            <w:tcW w:w="2835" w:type="dxa"/>
            <w:vAlign w:val="center"/>
          </w:tcPr>
          <w:p w14:paraId="6AE34C0D">
            <w:pPr>
              <w:pStyle w:val="13"/>
            </w:pPr>
            <w:r>
              <w:t>项目成本控制情况</w:t>
            </w:r>
          </w:p>
        </w:tc>
        <w:tc>
          <w:tcPr>
            <w:tcW w:w="5386" w:type="dxa"/>
            <w:vAlign w:val="center"/>
          </w:tcPr>
          <w:p w14:paraId="5E2494B1">
            <w:pPr>
              <w:pStyle w:val="13"/>
            </w:pPr>
            <w:r>
              <w:t>严格按照招标价格及审计额进行</w:t>
            </w:r>
          </w:p>
        </w:tc>
        <w:tc>
          <w:tcPr>
            <w:tcW w:w="2268" w:type="dxa"/>
            <w:vAlign w:val="center"/>
          </w:tcPr>
          <w:p w14:paraId="2BCBF4BF">
            <w:pPr>
              <w:pStyle w:val="13"/>
            </w:pPr>
            <w:r>
              <w:t>≤20.4万元</w:t>
            </w:r>
          </w:p>
        </w:tc>
        <w:tc>
          <w:tcPr>
            <w:tcW w:w="1276" w:type="dxa"/>
            <w:vAlign w:val="center"/>
          </w:tcPr>
          <w:p w14:paraId="55945F02">
            <w:pPr>
              <w:pStyle w:val="13"/>
            </w:pPr>
            <w:r>
              <w:t>城乡义务教育公共经费</w:t>
            </w:r>
          </w:p>
        </w:tc>
      </w:tr>
      <w:tr w14:paraId="769E1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ACF79">
            <w:pPr>
              <w:pStyle w:val="12"/>
            </w:pPr>
            <w:r>
              <w:t>效益指标</w:t>
            </w:r>
          </w:p>
        </w:tc>
        <w:tc>
          <w:tcPr>
            <w:tcW w:w="2268" w:type="dxa"/>
            <w:vAlign w:val="center"/>
          </w:tcPr>
          <w:p w14:paraId="6D921249">
            <w:pPr>
              <w:pStyle w:val="13"/>
            </w:pPr>
            <w:r>
              <w:t>可持续影响指标</w:t>
            </w:r>
          </w:p>
        </w:tc>
        <w:tc>
          <w:tcPr>
            <w:tcW w:w="2835" w:type="dxa"/>
            <w:vAlign w:val="center"/>
          </w:tcPr>
          <w:p w14:paraId="3F3320AC">
            <w:pPr>
              <w:pStyle w:val="13"/>
            </w:pPr>
            <w:r>
              <w:t>学校运转得到提高</w:t>
            </w:r>
          </w:p>
        </w:tc>
        <w:tc>
          <w:tcPr>
            <w:tcW w:w="5386" w:type="dxa"/>
            <w:vAlign w:val="center"/>
          </w:tcPr>
          <w:p w14:paraId="3E50CAD6">
            <w:pPr>
              <w:pStyle w:val="13"/>
            </w:pPr>
            <w:r>
              <w:t>学生受教育年限</w:t>
            </w:r>
          </w:p>
        </w:tc>
        <w:tc>
          <w:tcPr>
            <w:tcW w:w="2268" w:type="dxa"/>
            <w:vAlign w:val="center"/>
          </w:tcPr>
          <w:p w14:paraId="0D908C69">
            <w:pPr>
              <w:pStyle w:val="13"/>
            </w:pPr>
            <w:r>
              <w:t>3年</w:t>
            </w:r>
          </w:p>
        </w:tc>
        <w:tc>
          <w:tcPr>
            <w:tcW w:w="1276" w:type="dxa"/>
            <w:vAlign w:val="center"/>
          </w:tcPr>
          <w:p w14:paraId="60501055">
            <w:pPr>
              <w:pStyle w:val="13"/>
            </w:pPr>
            <w:r>
              <w:t>城乡义务教育公共经费</w:t>
            </w:r>
          </w:p>
        </w:tc>
      </w:tr>
      <w:tr w14:paraId="6357E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783E2B">
            <w:pPr>
              <w:pStyle w:val="12"/>
            </w:pPr>
            <w:r>
              <w:t>满意度指标</w:t>
            </w:r>
          </w:p>
        </w:tc>
        <w:tc>
          <w:tcPr>
            <w:tcW w:w="2268" w:type="dxa"/>
            <w:vAlign w:val="center"/>
          </w:tcPr>
          <w:p w14:paraId="6C280C38">
            <w:pPr>
              <w:pStyle w:val="13"/>
            </w:pPr>
            <w:r>
              <w:t>服务对象满意度指标</w:t>
            </w:r>
          </w:p>
        </w:tc>
        <w:tc>
          <w:tcPr>
            <w:tcW w:w="2835" w:type="dxa"/>
            <w:vAlign w:val="center"/>
          </w:tcPr>
          <w:p w14:paraId="74B9EA36">
            <w:pPr>
              <w:pStyle w:val="13"/>
            </w:pPr>
            <w:r>
              <w:t>受益学生家长及调查满意度</w:t>
            </w:r>
          </w:p>
        </w:tc>
        <w:tc>
          <w:tcPr>
            <w:tcW w:w="5386" w:type="dxa"/>
            <w:vAlign w:val="center"/>
          </w:tcPr>
          <w:p w14:paraId="4B1564F7">
            <w:pPr>
              <w:pStyle w:val="13"/>
            </w:pPr>
            <w:r>
              <w:t>学生、教师及家长对学校教学环境满意度情况</w:t>
            </w:r>
          </w:p>
        </w:tc>
        <w:tc>
          <w:tcPr>
            <w:tcW w:w="2268" w:type="dxa"/>
            <w:vAlign w:val="center"/>
          </w:tcPr>
          <w:p w14:paraId="4538CF50">
            <w:pPr>
              <w:pStyle w:val="13"/>
            </w:pPr>
            <w:r>
              <w:t>≥98%</w:t>
            </w:r>
          </w:p>
        </w:tc>
        <w:tc>
          <w:tcPr>
            <w:tcW w:w="1276" w:type="dxa"/>
            <w:vAlign w:val="center"/>
          </w:tcPr>
          <w:p w14:paraId="14FD743A">
            <w:pPr>
              <w:pStyle w:val="13"/>
            </w:pPr>
            <w:r>
              <w:t>问卷调查</w:t>
            </w:r>
          </w:p>
        </w:tc>
      </w:tr>
    </w:tbl>
    <w:p w14:paraId="548B78DA">
      <w:pPr>
        <w:sectPr>
          <w:pgSz w:w="16840" w:h="11900" w:orient="landscape"/>
          <w:pgMar w:top="1361" w:right="1020" w:bottom="1134" w:left="1020" w:header="720" w:footer="720" w:gutter="0"/>
          <w:cols w:space="720" w:num="1"/>
        </w:sectPr>
      </w:pPr>
    </w:p>
    <w:p w14:paraId="52D64394">
      <w:pPr>
        <w:spacing w:before="0" w:after="0"/>
        <w:ind w:firstLine="560"/>
        <w:jc w:val="left"/>
        <w:outlineLvl w:val="9"/>
      </w:pPr>
      <w:r>
        <w:rPr>
          <w:rFonts w:ascii="方正仿宋_GBK" w:hAnsi="方正仿宋_GBK" w:eastAsia="方正仿宋_GBK" w:cs="方正仿宋_GBK"/>
          <w:b/>
          <w:color w:val="000000"/>
          <w:sz w:val="28"/>
        </w:rPr>
        <w:t>6、冀财教[2024]141号/省级/2025年义教补助经费/尹村中学公用经费绩效目标表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2A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24D81">
            <w:pPr>
              <w:pStyle w:val="14"/>
            </w:pPr>
            <w:r>
              <w:t>单位：万元</w:t>
            </w:r>
          </w:p>
        </w:tc>
      </w:tr>
      <w:tr w14:paraId="78544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8D24A">
            <w:pPr>
              <w:pStyle w:val="11"/>
            </w:pPr>
            <w:r>
              <w:t>项目编码</w:t>
            </w:r>
          </w:p>
        </w:tc>
        <w:tc>
          <w:tcPr>
            <w:tcW w:w="5103" w:type="dxa"/>
            <w:gridSpan w:val="2"/>
            <w:vAlign w:val="center"/>
          </w:tcPr>
          <w:p w14:paraId="54713189">
            <w:pPr>
              <w:pStyle w:val="13"/>
            </w:pPr>
            <w:r>
              <w:t>13052525P00000410119M</w:t>
            </w:r>
          </w:p>
        </w:tc>
        <w:tc>
          <w:tcPr>
            <w:tcW w:w="2835" w:type="dxa"/>
            <w:vAlign w:val="center"/>
          </w:tcPr>
          <w:p w14:paraId="514B8254">
            <w:pPr>
              <w:pStyle w:val="11"/>
            </w:pPr>
            <w:r>
              <w:t>项目名称</w:t>
            </w:r>
          </w:p>
        </w:tc>
        <w:tc>
          <w:tcPr>
            <w:tcW w:w="6095" w:type="dxa"/>
            <w:gridSpan w:val="3"/>
            <w:vAlign w:val="center"/>
          </w:tcPr>
          <w:p w14:paraId="7AE03EC4">
            <w:pPr>
              <w:pStyle w:val="13"/>
            </w:pPr>
            <w:r>
              <w:t>冀财教[2024]141号/省级/2025年义教补助经费/尹村中学公用经费</w:t>
            </w:r>
          </w:p>
        </w:tc>
      </w:tr>
      <w:tr w14:paraId="243C5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1C87E">
            <w:pPr>
              <w:pStyle w:val="11"/>
            </w:pPr>
            <w:r>
              <w:t>预算规模及资金用途</w:t>
            </w:r>
          </w:p>
        </w:tc>
        <w:tc>
          <w:tcPr>
            <w:tcW w:w="2268" w:type="dxa"/>
            <w:vAlign w:val="center"/>
          </w:tcPr>
          <w:p w14:paraId="5ABAAB3E">
            <w:pPr>
              <w:pStyle w:val="11"/>
            </w:pPr>
            <w:r>
              <w:t>预算数</w:t>
            </w:r>
          </w:p>
        </w:tc>
        <w:tc>
          <w:tcPr>
            <w:tcW w:w="2835" w:type="dxa"/>
            <w:vAlign w:val="center"/>
          </w:tcPr>
          <w:p w14:paraId="160EB2ED">
            <w:pPr>
              <w:pStyle w:val="13"/>
            </w:pPr>
            <w:r>
              <w:t>30.45</w:t>
            </w:r>
          </w:p>
        </w:tc>
        <w:tc>
          <w:tcPr>
            <w:tcW w:w="2835" w:type="dxa"/>
            <w:vAlign w:val="center"/>
          </w:tcPr>
          <w:p w14:paraId="2BB9FE82">
            <w:pPr>
              <w:pStyle w:val="11"/>
            </w:pPr>
            <w:r>
              <w:t>其中：财政    资金</w:t>
            </w:r>
          </w:p>
        </w:tc>
        <w:tc>
          <w:tcPr>
            <w:tcW w:w="2551" w:type="dxa"/>
            <w:vAlign w:val="center"/>
          </w:tcPr>
          <w:p w14:paraId="0E95187C">
            <w:pPr>
              <w:pStyle w:val="13"/>
            </w:pPr>
            <w:r>
              <w:t>30.45</w:t>
            </w:r>
          </w:p>
        </w:tc>
        <w:tc>
          <w:tcPr>
            <w:tcW w:w="2268" w:type="dxa"/>
            <w:vAlign w:val="center"/>
          </w:tcPr>
          <w:p w14:paraId="200CA8EA">
            <w:pPr>
              <w:pStyle w:val="11"/>
            </w:pPr>
            <w:r>
              <w:t>其他资金</w:t>
            </w:r>
          </w:p>
        </w:tc>
        <w:tc>
          <w:tcPr>
            <w:tcW w:w="1276" w:type="dxa"/>
            <w:vAlign w:val="center"/>
          </w:tcPr>
          <w:p w14:paraId="63C617E9">
            <w:pPr>
              <w:pStyle w:val="13"/>
            </w:pPr>
            <w:r>
              <w:t xml:space="preserve"> </w:t>
            </w:r>
          </w:p>
        </w:tc>
      </w:tr>
      <w:tr w14:paraId="6F5FB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A1521"/>
        </w:tc>
        <w:tc>
          <w:tcPr>
            <w:tcW w:w="14033" w:type="dxa"/>
            <w:gridSpan w:val="6"/>
            <w:vAlign w:val="center"/>
          </w:tcPr>
          <w:p w14:paraId="5270E71A">
            <w:pPr>
              <w:pStyle w:val="13"/>
            </w:pPr>
            <w:r>
              <w:t>保障义务教育学校正常运转，全面贯彻党的教育方针，办人民满意的教育，高质量、高标准完成教育教学活动和其他日常工作任务等方面的费用支出。</w:t>
            </w:r>
            <w:r>
              <w:tab/>
            </w:r>
            <w:r>
              <w:tab/>
            </w:r>
            <w:r>
              <w:tab/>
            </w:r>
            <w:r>
              <w:tab/>
            </w:r>
            <w:r>
              <w:tab/>
            </w:r>
          </w:p>
        </w:tc>
      </w:tr>
      <w:tr w14:paraId="53CF3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0FE24">
            <w:pPr>
              <w:pStyle w:val="11"/>
            </w:pPr>
            <w:r>
              <w:t>资金支出计划（%）</w:t>
            </w:r>
          </w:p>
        </w:tc>
        <w:tc>
          <w:tcPr>
            <w:tcW w:w="5103" w:type="dxa"/>
            <w:gridSpan w:val="2"/>
            <w:vAlign w:val="center"/>
          </w:tcPr>
          <w:p w14:paraId="5CB45A0C">
            <w:pPr>
              <w:pStyle w:val="11"/>
            </w:pPr>
            <w:r>
              <w:t>3月底</w:t>
            </w:r>
          </w:p>
        </w:tc>
        <w:tc>
          <w:tcPr>
            <w:tcW w:w="2835" w:type="dxa"/>
            <w:vAlign w:val="center"/>
          </w:tcPr>
          <w:p w14:paraId="44E55277">
            <w:pPr>
              <w:pStyle w:val="11"/>
            </w:pPr>
            <w:r>
              <w:t>6月底</w:t>
            </w:r>
          </w:p>
        </w:tc>
        <w:tc>
          <w:tcPr>
            <w:tcW w:w="2551" w:type="dxa"/>
            <w:vAlign w:val="center"/>
          </w:tcPr>
          <w:p w14:paraId="39F61310">
            <w:pPr>
              <w:pStyle w:val="11"/>
            </w:pPr>
            <w:r>
              <w:t>10月底</w:t>
            </w:r>
          </w:p>
        </w:tc>
        <w:tc>
          <w:tcPr>
            <w:tcW w:w="3544" w:type="dxa"/>
            <w:gridSpan w:val="2"/>
            <w:vAlign w:val="center"/>
          </w:tcPr>
          <w:p w14:paraId="018D4E29">
            <w:pPr>
              <w:pStyle w:val="11"/>
            </w:pPr>
            <w:r>
              <w:t>12月底</w:t>
            </w:r>
          </w:p>
        </w:tc>
      </w:tr>
      <w:tr w14:paraId="01939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7DCE04"/>
        </w:tc>
        <w:tc>
          <w:tcPr>
            <w:tcW w:w="5103" w:type="dxa"/>
            <w:gridSpan w:val="2"/>
            <w:vAlign w:val="center"/>
          </w:tcPr>
          <w:p w14:paraId="783C9219">
            <w:pPr>
              <w:pStyle w:val="12"/>
            </w:pPr>
            <w:r>
              <w:t>25%</w:t>
            </w:r>
          </w:p>
        </w:tc>
        <w:tc>
          <w:tcPr>
            <w:tcW w:w="2835" w:type="dxa"/>
            <w:vAlign w:val="center"/>
          </w:tcPr>
          <w:p w14:paraId="7E88E386">
            <w:pPr>
              <w:pStyle w:val="12"/>
            </w:pPr>
            <w:r>
              <w:t>50%</w:t>
            </w:r>
          </w:p>
        </w:tc>
        <w:tc>
          <w:tcPr>
            <w:tcW w:w="2551" w:type="dxa"/>
            <w:vAlign w:val="center"/>
          </w:tcPr>
          <w:p w14:paraId="0FCB94FA">
            <w:pPr>
              <w:pStyle w:val="12"/>
            </w:pPr>
            <w:r>
              <w:t>75%</w:t>
            </w:r>
          </w:p>
        </w:tc>
        <w:tc>
          <w:tcPr>
            <w:tcW w:w="3544" w:type="dxa"/>
            <w:gridSpan w:val="2"/>
            <w:vAlign w:val="center"/>
          </w:tcPr>
          <w:p w14:paraId="1A3F75A0">
            <w:pPr>
              <w:pStyle w:val="12"/>
            </w:pPr>
            <w:r>
              <w:t>100%</w:t>
            </w:r>
          </w:p>
        </w:tc>
      </w:tr>
      <w:tr w14:paraId="406FB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26073">
            <w:pPr>
              <w:pStyle w:val="11"/>
            </w:pPr>
            <w:r>
              <w:t>绩效目标</w:t>
            </w:r>
          </w:p>
        </w:tc>
        <w:tc>
          <w:tcPr>
            <w:tcW w:w="14033" w:type="dxa"/>
            <w:gridSpan w:val="6"/>
            <w:vAlign w:val="center"/>
          </w:tcPr>
          <w:p w14:paraId="51956E69">
            <w:pPr>
              <w:pStyle w:val="13"/>
            </w:pPr>
            <w:r>
              <w:t>1.按规定拨付公用经费资金304510元，资金拨付率达到100%。</w:t>
            </w:r>
          </w:p>
          <w:p w14:paraId="4A20217B">
            <w:pPr>
              <w:pStyle w:val="13"/>
            </w:pPr>
            <w:r>
              <w:t>2.保障义务教育学校正常运转，全面贯彻党的教育方针，办人民满意的教育，高质量、高标准完成教育教学活动和其他日常工作任务等方面的费用支出。</w:t>
            </w:r>
          </w:p>
        </w:tc>
      </w:tr>
    </w:tbl>
    <w:p w14:paraId="320EC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38644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7925E">
            <w:pPr>
              <w:pStyle w:val="11"/>
            </w:pPr>
            <w:r>
              <w:t>一级指标</w:t>
            </w:r>
          </w:p>
        </w:tc>
        <w:tc>
          <w:tcPr>
            <w:tcW w:w="2268" w:type="dxa"/>
            <w:vAlign w:val="center"/>
          </w:tcPr>
          <w:p w14:paraId="586AAAC1">
            <w:pPr>
              <w:pStyle w:val="11"/>
            </w:pPr>
            <w:r>
              <w:t>二级指标</w:t>
            </w:r>
          </w:p>
        </w:tc>
        <w:tc>
          <w:tcPr>
            <w:tcW w:w="2835" w:type="dxa"/>
            <w:vAlign w:val="center"/>
          </w:tcPr>
          <w:p w14:paraId="2131C846">
            <w:pPr>
              <w:pStyle w:val="11"/>
            </w:pPr>
            <w:r>
              <w:t>三级指标</w:t>
            </w:r>
          </w:p>
        </w:tc>
        <w:tc>
          <w:tcPr>
            <w:tcW w:w="5386" w:type="dxa"/>
            <w:vAlign w:val="center"/>
          </w:tcPr>
          <w:p w14:paraId="345B7006">
            <w:pPr>
              <w:pStyle w:val="11"/>
            </w:pPr>
            <w:r>
              <w:t>绩效指标描述</w:t>
            </w:r>
          </w:p>
        </w:tc>
        <w:tc>
          <w:tcPr>
            <w:tcW w:w="1583" w:type="dxa"/>
            <w:vAlign w:val="center"/>
          </w:tcPr>
          <w:p w14:paraId="36D39D3E">
            <w:pPr>
              <w:pStyle w:val="11"/>
            </w:pPr>
            <w:r>
              <w:t>指标值</w:t>
            </w:r>
          </w:p>
        </w:tc>
        <w:tc>
          <w:tcPr>
            <w:tcW w:w="1961" w:type="dxa"/>
            <w:vAlign w:val="center"/>
          </w:tcPr>
          <w:p w14:paraId="6EB6B520">
            <w:pPr>
              <w:pStyle w:val="11"/>
            </w:pPr>
            <w:r>
              <w:t>指标值确定依据</w:t>
            </w:r>
          </w:p>
        </w:tc>
      </w:tr>
      <w:tr w14:paraId="33BA3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9E789">
            <w:pPr>
              <w:pStyle w:val="12"/>
            </w:pPr>
            <w:r>
              <w:t>产出指标</w:t>
            </w:r>
          </w:p>
        </w:tc>
        <w:tc>
          <w:tcPr>
            <w:tcW w:w="2268" w:type="dxa"/>
            <w:vAlign w:val="center"/>
          </w:tcPr>
          <w:p w14:paraId="39228631">
            <w:pPr>
              <w:pStyle w:val="13"/>
            </w:pPr>
            <w:r>
              <w:t>数量指标</w:t>
            </w:r>
          </w:p>
        </w:tc>
        <w:tc>
          <w:tcPr>
            <w:tcW w:w="2835" w:type="dxa"/>
            <w:vAlign w:val="center"/>
          </w:tcPr>
          <w:p w14:paraId="47A29FF7">
            <w:pPr>
              <w:pStyle w:val="13"/>
            </w:pPr>
            <w:r>
              <w:t>适龄在校生</w:t>
            </w:r>
          </w:p>
        </w:tc>
        <w:tc>
          <w:tcPr>
            <w:tcW w:w="5386" w:type="dxa"/>
            <w:vAlign w:val="center"/>
          </w:tcPr>
          <w:p w14:paraId="0766DD0B">
            <w:pPr>
              <w:pStyle w:val="13"/>
            </w:pPr>
            <w:r>
              <w:t>适龄在校就读学生人数</w:t>
            </w:r>
          </w:p>
        </w:tc>
        <w:tc>
          <w:tcPr>
            <w:tcW w:w="1583" w:type="dxa"/>
            <w:vAlign w:val="center"/>
          </w:tcPr>
          <w:p w14:paraId="6D19033B">
            <w:pPr>
              <w:pStyle w:val="13"/>
            </w:pPr>
            <w:r>
              <w:t>514人</w:t>
            </w:r>
          </w:p>
        </w:tc>
        <w:tc>
          <w:tcPr>
            <w:tcW w:w="1961" w:type="dxa"/>
            <w:vAlign w:val="center"/>
          </w:tcPr>
          <w:p w14:paraId="3AA00495">
            <w:pPr>
              <w:pStyle w:val="13"/>
            </w:pPr>
            <w:r>
              <w:t>城乡义务教育公用经费管理办法</w:t>
            </w:r>
          </w:p>
        </w:tc>
      </w:tr>
      <w:tr w14:paraId="55E29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0BC10"/>
        </w:tc>
        <w:tc>
          <w:tcPr>
            <w:tcW w:w="2268" w:type="dxa"/>
            <w:vAlign w:val="center"/>
          </w:tcPr>
          <w:p w14:paraId="6A474DBB">
            <w:pPr>
              <w:pStyle w:val="13"/>
            </w:pPr>
            <w:r>
              <w:t>质量指标</w:t>
            </w:r>
          </w:p>
        </w:tc>
        <w:tc>
          <w:tcPr>
            <w:tcW w:w="2835" w:type="dxa"/>
            <w:vAlign w:val="center"/>
          </w:tcPr>
          <w:p w14:paraId="3AFE11FE">
            <w:pPr>
              <w:pStyle w:val="13"/>
            </w:pPr>
            <w:r>
              <w:t>预算控制率</w:t>
            </w:r>
          </w:p>
        </w:tc>
        <w:tc>
          <w:tcPr>
            <w:tcW w:w="5386" w:type="dxa"/>
            <w:vAlign w:val="center"/>
          </w:tcPr>
          <w:p w14:paraId="680C51E4">
            <w:pPr>
              <w:pStyle w:val="13"/>
            </w:pPr>
            <w:r>
              <w:t>预算执行率</w:t>
            </w:r>
          </w:p>
        </w:tc>
        <w:tc>
          <w:tcPr>
            <w:tcW w:w="1583" w:type="dxa"/>
            <w:vAlign w:val="center"/>
          </w:tcPr>
          <w:p w14:paraId="30828939">
            <w:pPr>
              <w:pStyle w:val="13"/>
            </w:pPr>
            <w:r>
              <w:t>≥95%</w:t>
            </w:r>
          </w:p>
        </w:tc>
        <w:tc>
          <w:tcPr>
            <w:tcW w:w="1961" w:type="dxa"/>
            <w:vAlign w:val="center"/>
          </w:tcPr>
          <w:p w14:paraId="711613F8">
            <w:pPr>
              <w:pStyle w:val="13"/>
            </w:pPr>
            <w:r>
              <w:t>城乡义务教育公用经费管理办法</w:t>
            </w:r>
          </w:p>
        </w:tc>
      </w:tr>
      <w:tr w14:paraId="7CCA5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5496C"/>
        </w:tc>
        <w:tc>
          <w:tcPr>
            <w:tcW w:w="2268" w:type="dxa"/>
            <w:vAlign w:val="center"/>
          </w:tcPr>
          <w:p w14:paraId="7F1F6540">
            <w:pPr>
              <w:pStyle w:val="13"/>
            </w:pPr>
            <w:r>
              <w:t>时效指标</w:t>
            </w:r>
          </w:p>
        </w:tc>
        <w:tc>
          <w:tcPr>
            <w:tcW w:w="2835" w:type="dxa"/>
            <w:vAlign w:val="center"/>
          </w:tcPr>
          <w:p w14:paraId="02A8EE88">
            <w:pPr>
              <w:pStyle w:val="13"/>
            </w:pPr>
            <w:r>
              <w:t>资金支付率</w:t>
            </w:r>
          </w:p>
        </w:tc>
        <w:tc>
          <w:tcPr>
            <w:tcW w:w="5386" w:type="dxa"/>
            <w:vAlign w:val="center"/>
          </w:tcPr>
          <w:p w14:paraId="48DE8DE7">
            <w:pPr>
              <w:pStyle w:val="13"/>
            </w:pPr>
            <w:r>
              <w:t>按照序时进度完成资金支付</w:t>
            </w:r>
          </w:p>
        </w:tc>
        <w:tc>
          <w:tcPr>
            <w:tcW w:w="1583" w:type="dxa"/>
            <w:vAlign w:val="center"/>
          </w:tcPr>
          <w:p w14:paraId="3F74A812">
            <w:pPr>
              <w:pStyle w:val="13"/>
            </w:pPr>
            <w:r>
              <w:t>100%</w:t>
            </w:r>
          </w:p>
        </w:tc>
        <w:tc>
          <w:tcPr>
            <w:tcW w:w="1961" w:type="dxa"/>
            <w:vAlign w:val="center"/>
          </w:tcPr>
          <w:p w14:paraId="477B10B1">
            <w:pPr>
              <w:pStyle w:val="13"/>
            </w:pPr>
            <w:r>
              <w:t>城乡义务教育公用经费管理办法</w:t>
            </w:r>
          </w:p>
        </w:tc>
      </w:tr>
      <w:tr w14:paraId="380A0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D1468"/>
        </w:tc>
        <w:tc>
          <w:tcPr>
            <w:tcW w:w="2268" w:type="dxa"/>
            <w:vAlign w:val="center"/>
          </w:tcPr>
          <w:p w14:paraId="0E123527">
            <w:pPr>
              <w:pStyle w:val="13"/>
            </w:pPr>
            <w:r>
              <w:t>成本指标</w:t>
            </w:r>
          </w:p>
        </w:tc>
        <w:tc>
          <w:tcPr>
            <w:tcW w:w="2835" w:type="dxa"/>
            <w:vAlign w:val="center"/>
          </w:tcPr>
          <w:p w14:paraId="7F00BE66">
            <w:pPr>
              <w:pStyle w:val="13"/>
            </w:pPr>
            <w:r>
              <w:t>生均拨款标准</w:t>
            </w:r>
          </w:p>
        </w:tc>
        <w:tc>
          <w:tcPr>
            <w:tcW w:w="5386" w:type="dxa"/>
            <w:vAlign w:val="center"/>
          </w:tcPr>
          <w:p w14:paraId="09404408">
            <w:pPr>
              <w:pStyle w:val="13"/>
            </w:pPr>
            <w:r>
              <w:t>初中生均补助年标准</w:t>
            </w:r>
          </w:p>
        </w:tc>
        <w:tc>
          <w:tcPr>
            <w:tcW w:w="1583" w:type="dxa"/>
            <w:vAlign w:val="center"/>
          </w:tcPr>
          <w:p w14:paraId="3EC4D051">
            <w:pPr>
              <w:pStyle w:val="13"/>
            </w:pPr>
            <w:r>
              <w:t>1360元</w:t>
            </w:r>
          </w:p>
        </w:tc>
        <w:tc>
          <w:tcPr>
            <w:tcW w:w="1961" w:type="dxa"/>
            <w:vAlign w:val="center"/>
          </w:tcPr>
          <w:p w14:paraId="1B9C9A0E">
            <w:pPr>
              <w:pStyle w:val="13"/>
            </w:pPr>
            <w:r>
              <w:t>城乡义务教育公用经费管理办法</w:t>
            </w:r>
          </w:p>
        </w:tc>
      </w:tr>
      <w:tr w14:paraId="79726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C0DC9"/>
        </w:tc>
        <w:tc>
          <w:tcPr>
            <w:tcW w:w="2268" w:type="dxa"/>
            <w:vAlign w:val="center"/>
          </w:tcPr>
          <w:p w14:paraId="19B79AB7">
            <w:pPr>
              <w:pStyle w:val="13"/>
            </w:pPr>
            <w:r>
              <w:t>成本指标</w:t>
            </w:r>
          </w:p>
        </w:tc>
        <w:tc>
          <w:tcPr>
            <w:tcW w:w="2835" w:type="dxa"/>
            <w:vAlign w:val="center"/>
          </w:tcPr>
          <w:p w14:paraId="455FF5AE">
            <w:pPr>
              <w:pStyle w:val="13"/>
            </w:pPr>
            <w:r>
              <w:t>生均拨款标准</w:t>
            </w:r>
          </w:p>
        </w:tc>
        <w:tc>
          <w:tcPr>
            <w:tcW w:w="5386" w:type="dxa"/>
            <w:vAlign w:val="center"/>
          </w:tcPr>
          <w:p w14:paraId="2A96E064">
            <w:pPr>
              <w:pStyle w:val="13"/>
            </w:pPr>
            <w:r>
              <w:t>初中生均补助年标准</w:t>
            </w:r>
          </w:p>
        </w:tc>
        <w:tc>
          <w:tcPr>
            <w:tcW w:w="1583" w:type="dxa"/>
            <w:vAlign w:val="center"/>
          </w:tcPr>
          <w:p w14:paraId="5D547A90">
            <w:pPr>
              <w:pStyle w:val="13"/>
            </w:pPr>
            <w:r>
              <w:t>7000元</w:t>
            </w:r>
          </w:p>
        </w:tc>
        <w:tc>
          <w:tcPr>
            <w:tcW w:w="1961" w:type="dxa"/>
            <w:vAlign w:val="center"/>
          </w:tcPr>
          <w:p w14:paraId="3F901BB8">
            <w:pPr>
              <w:pStyle w:val="13"/>
            </w:pPr>
            <w:r>
              <w:t>城乡义务教育公用经费管理办法</w:t>
            </w:r>
          </w:p>
        </w:tc>
      </w:tr>
      <w:tr w14:paraId="6C3C1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7F577D">
            <w:pPr>
              <w:pStyle w:val="12"/>
            </w:pPr>
            <w:r>
              <w:t>效益指标</w:t>
            </w:r>
          </w:p>
        </w:tc>
        <w:tc>
          <w:tcPr>
            <w:tcW w:w="2268" w:type="dxa"/>
            <w:vAlign w:val="center"/>
          </w:tcPr>
          <w:p w14:paraId="57577631">
            <w:pPr>
              <w:pStyle w:val="13"/>
            </w:pPr>
            <w:r>
              <w:t>社会效益指标</w:t>
            </w:r>
          </w:p>
        </w:tc>
        <w:tc>
          <w:tcPr>
            <w:tcW w:w="2835" w:type="dxa"/>
            <w:vAlign w:val="center"/>
          </w:tcPr>
          <w:p w14:paraId="32707D12">
            <w:pPr>
              <w:pStyle w:val="13"/>
            </w:pPr>
            <w:r>
              <w:t>学校日常运转正常</w:t>
            </w:r>
          </w:p>
        </w:tc>
        <w:tc>
          <w:tcPr>
            <w:tcW w:w="5386" w:type="dxa"/>
            <w:vAlign w:val="center"/>
          </w:tcPr>
          <w:p w14:paraId="5D3B096A">
            <w:pPr>
              <w:pStyle w:val="13"/>
            </w:pPr>
            <w:r>
              <w:t>学生受教育年限</w:t>
            </w:r>
          </w:p>
        </w:tc>
        <w:tc>
          <w:tcPr>
            <w:tcW w:w="1583" w:type="dxa"/>
            <w:vAlign w:val="center"/>
          </w:tcPr>
          <w:p w14:paraId="787693CC">
            <w:pPr>
              <w:pStyle w:val="13"/>
            </w:pPr>
            <w:r>
              <w:t>3年</w:t>
            </w:r>
          </w:p>
        </w:tc>
        <w:tc>
          <w:tcPr>
            <w:tcW w:w="1961" w:type="dxa"/>
            <w:vAlign w:val="center"/>
          </w:tcPr>
          <w:p w14:paraId="2DA52270">
            <w:pPr>
              <w:pStyle w:val="13"/>
            </w:pPr>
            <w:r>
              <w:t>城乡义务教育公用经费管理办法</w:t>
            </w:r>
          </w:p>
        </w:tc>
      </w:tr>
      <w:tr w14:paraId="39D27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D3CF92">
            <w:pPr>
              <w:pStyle w:val="12"/>
            </w:pPr>
            <w:r>
              <w:t>满意度指标</w:t>
            </w:r>
          </w:p>
        </w:tc>
        <w:tc>
          <w:tcPr>
            <w:tcW w:w="2268" w:type="dxa"/>
            <w:vAlign w:val="center"/>
          </w:tcPr>
          <w:p w14:paraId="0C5E749E">
            <w:pPr>
              <w:pStyle w:val="13"/>
            </w:pPr>
            <w:r>
              <w:t>服务对象满意度指标</w:t>
            </w:r>
          </w:p>
        </w:tc>
        <w:tc>
          <w:tcPr>
            <w:tcW w:w="2835" w:type="dxa"/>
            <w:vAlign w:val="center"/>
          </w:tcPr>
          <w:p w14:paraId="43D4F18D">
            <w:pPr>
              <w:pStyle w:val="13"/>
            </w:pPr>
            <w:r>
              <w:t>受益学生家长及调查满意度</w:t>
            </w:r>
          </w:p>
        </w:tc>
        <w:tc>
          <w:tcPr>
            <w:tcW w:w="5386" w:type="dxa"/>
            <w:vAlign w:val="center"/>
          </w:tcPr>
          <w:p w14:paraId="3E722DA8">
            <w:pPr>
              <w:pStyle w:val="13"/>
            </w:pPr>
            <w:r>
              <w:t>学生、教师及家长对学校教育教学工作满意度情况</w:t>
            </w:r>
          </w:p>
        </w:tc>
        <w:tc>
          <w:tcPr>
            <w:tcW w:w="1583" w:type="dxa"/>
            <w:vAlign w:val="center"/>
          </w:tcPr>
          <w:p w14:paraId="7C0CFB9B">
            <w:pPr>
              <w:pStyle w:val="13"/>
            </w:pPr>
            <w:r>
              <w:t>≥95%</w:t>
            </w:r>
          </w:p>
        </w:tc>
        <w:tc>
          <w:tcPr>
            <w:tcW w:w="1961" w:type="dxa"/>
            <w:vAlign w:val="center"/>
          </w:tcPr>
          <w:p w14:paraId="3333C5F9">
            <w:pPr>
              <w:pStyle w:val="13"/>
            </w:pPr>
            <w:r>
              <w:t>调查问卷</w:t>
            </w:r>
          </w:p>
        </w:tc>
      </w:tr>
    </w:tbl>
    <w:p w14:paraId="1463B9B6">
      <w:pPr>
        <w:sectPr>
          <w:pgSz w:w="16840" w:h="11900" w:orient="landscape"/>
          <w:pgMar w:top="1361" w:right="1020" w:bottom="1134" w:left="1020" w:header="720" w:footer="720" w:gutter="0"/>
          <w:cols w:space="720" w:num="1"/>
        </w:sectPr>
      </w:pPr>
    </w:p>
    <w:p w14:paraId="0BE5EEDB">
      <w:pPr>
        <w:spacing w:before="10" w:after="10" w:line="240" w:lineRule="auto"/>
        <w:ind w:firstLine="640"/>
        <w:jc w:val="left"/>
        <w:outlineLvl w:val="5"/>
      </w:pPr>
      <w:r>
        <w:rPr>
          <w:rFonts w:ascii="黑体" w:hAnsi="黑体" w:eastAsia="黑体" w:cs="黑体"/>
          <w:color w:val="000000"/>
          <w:sz w:val="32"/>
        </w:rPr>
        <w:t>六、政府采购预算情况</w:t>
      </w:r>
    </w:p>
    <w:p w14:paraId="49B4643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5952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96E7290">
            <w:pPr>
              <w:pStyle w:val="8"/>
            </w:pPr>
            <w:r>
              <w:t>360005隆尧县尹村中学</w:t>
            </w:r>
          </w:p>
        </w:tc>
        <w:tc>
          <w:tcPr>
            <w:tcW w:w="7712" w:type="dxa"/>
            <w:gridSpan w:val="8"/>
            <w:tcBorders>
              <w:top w:val="single" w:color="FFFFFF" w:sz="6" w:space="0"/>
              <w:left w:val="single" w:color="FFFFFF" w:sz="6" w:space="0"/>
              <w:right w:val="single" w:color="FFFFFF" w:sz="6" w:space="0"/>
            </w:tcBorders>
            <w:vAlign w:val="center"/>
          </w:tcPr>
          <w:p w14:paraId="16387C0A">
            <w:pPr>
              <w:pStyle w:val="22"/>
            </w:pPr>
            <w:r>
              <w:t>单位：万元</w:t>
            </w:r>
          </w:p>
        </w:tc>
      </w:tr>
      <w:tr w14:paraId="0709F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4041E80">
            <w:pPr>
              <w:pStyle w:val="11"/>
            </w:pPr>
            <w:r>
              <w:t>政府采购项目来源</w:t>
            </w:r>
          </w:p>
        </w:tc>
        <w:tc>
          <w:tcPr>
            <w:tcW w:w="1134" w:type="dxa"/>
            <w:vMerge w:val="restart"/>
            <w:vAlign w:val="center"/>
          </w:tcPr>
          <w:p w14:paraId="36EC99FE">
            <w:pPr>
              <w:pStyle w:val="11"/>
            </w:pPr>
            <w:r>
              <w:t>采购物品名称</w:t>
            </w:r>
          </w:p>
        </w:tc>
        <w:tc>
          <w:tcPr>
            <w:tcW w:w="1134" w:type="dxa"/>
            <w:vMerge w:val="restart"/>
            <w:vAlign w:val="center"/>
          </w:tcPr>
          <w:p w14:paraId="0B333F0B">
            <w:pPr>
              <w:pStyle w:val="11"/>
            </w:pPr>
            <w:r>
              <w:t>政府采购目录序号</w:t>
            </w:r>
          </w:p>
        </w:tc>
        <w:tc>
          <w:tcPr>
            <w:tcW w:w="709" w:type="dxa"/>
            <w:vMerge w:val="restart"/>
            <w:vAlign w:val="center"/>
          </w:tcPr>
          <w:p w14:paraId="2697E5B3">
            <w:pPr>
              <w:pStyle w:val="11"/>
            </w:pPr>
            <w:r>
              <w:t>计量  单位</w:t>
            </w:r>
          </w:p>
        </w:tc>
        <w:tc>
          <w:tcPr>
            <w:tcW w:w="850" w:type="dxa"/>
            <w:vMerge w:val="restart"/>
            <w:vAlign w:val="center"/>
          </w:tcPr>
          <w:p w14:paraId="369FB6E5">
            <w:pPr>
              <w:pStyle w:val="11"/>
            </w:pPr>
            <w:r>
              <w:t>数量</w:t>
            </w:r>
          </w:p>
        </w:tc>
        <w:tc>
          <w:tcPr>
            <w:tcW w:w="850" w:type="dxa"/>
            <w:vMerge w:val="restart"/>
            <w:vAlign w:val="center"/>
          </w:tcPr>
          <w:p w14:paraId="37DF33F3">
            <w:pPr>
              <w:pStyle w:val="11"/>
            </w:pPr>
            <w:r>
              <w:t>单价</w:t>
            </w:r>
          </w:p>
        </w:tc>
        <w:tc>
          <w:tcPr>
            <w:tcW w:w="6748" w:type="dxa"/>
            <w:gridSpan w:val="7"/>
            <w:vAlign w:val="center"/>
          </w:tcPr>
          <w:p w14:paraId="64AC7914">
            <w:pPr>
              <w:pStyle w:val="11"/>
            </w:pPr>
            <w:r>
              <w:t>政府采购金额（当年部门预算安排资金）</w:t>
            </w:r>
          </w:p>
        </w:tc>
        <w:tc>
          <w:tcPr>
            <w:tcW w:w="964" w:type="dxa"/>
            <w:vMerge w:val="restart"/>
            <w:vAlign w:val="center"/>
          </w:tcPr>
          <w:p w14:paraId="2E270320">
            <w:pPr>
              <w:pStyle w:val="11"/>
            </w:pPr>
            <w:r>
              <w:t>2025年  预留中  小微企  业份额</w:t>
            </w:r>
          </w:p>
        </w:tc>
      </w:tr>
      <w:tr w14:paraId="4D7E3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8B7A2C0">
            <w:pPr>
              <w:pStyle w:val="11"/>
            </w:pPr>
            <w:r>
              <w:t>项目名称</w:t>
            </w:r>
          </w:p>
        </w:tc>
        <w:tc>
          <w:tcPr>
            <w:tcW w:w="964" w:type="dxa"/>
            <w:vAlign w:val="center"/>
          </w:tcPr>
          <w:p w14:paraId="2F6D90A5">
            <w:pPr>
              <w:pStyle w:val="11"/>
            </w:pPr>
            <w:r>
              <w:t>预算    资金</w:t>
            </w:r>
          </w:p>
        </w:tc>
        <w:tc>
          <w:tcPr>
            <w:tcW w:w="1134" w:type="dxa"/>
            <w:vMerge w:val="continue"/>
          </w:tcPr>
          <w:p w14:paraId="66E089A5"/>
        </w:tc>
        <w:tc>
          <w:tcPr>
            <w:tcW w:w="1134" w:type="dxa"/>
            <w:vMerge w:val="continue"/>
          </w:tcPr>
          <w:p w14:paraId="6C535A70"/>
        </w:tc>
        <w:tc>
          <w:tcPr>
            <w:tcW w:w="709" w:type="dxa"/>
            <w:vMerge w:val="continue"/>
          </w:tcPr>
          <w:p w14:paraId="22D7C870"/>
        </w:tc>
        <w:tc>
          <w:tcPr>
            <w:tcW w:w="850" w:type="dxa"/>
            <w:vMerge w:val="continue"/>
          </w:tcPr>
          <w:p w14:paraId="71336B99"/>
        </w:tc>
        <w:tc>
          <w:tcPr>
            <w:tcW w:w="850" w:type="dxa"/>
            <w:vMerge w:val="continue"/>
          </w:tcPr>
          <w:p w14:paraId="36EA47DA"/>
        </w:tc>
        <w:tc>
          <w:tcPr>
            <w:tcW w:w="964" w:type="dxa"/>
            <w:vAlign w:val="center"/>
          </w:tcPr>
          <w:p w14:paraId="715794F9">
            <w:pPr>
              <w:pStyle w:val="11"/>
            </w:pPr>
            <w:r>
              <w:t>合计</w:t>
            </w:r>
          </w:p>
        </w:tc>
        <w:tc>
          <w:tcPr>
            <w:tcW w:w="964" w:type="dxa"/>
            <w:vAlign w:val="center"/>
          </w:tcPr>
          <w:p w14:paraId="4436C3F7">
            <w:pPr>
              <w:pStyle w:val="11"/>
            </w:pPr>
            <w:r>
              <w:t>一般公共预算拨款</w:t>
            </w:r>
          </w:p>
        </w:tc>
        <w:tc>
          <w:tcPr>
            <w:tcW w:w="964" w:type="dxa"/>
            <w:vAlign w:val="center"/>
          </w:tcPr>
          <w:p w14:paraId="1FEDD197">
            <w:pPr>
              <w:pStyle w:val="11"/>
            </w:pPr>
            <w:r>
              <w:t>基金预算拨款</w:t>
            </w:r>
          </w:p>
        </w:tc>
        <w:tc>
          <w:tcPr>
            <w:tcW w:w="964" w:type="dxa"/>
            <w:vAlign w:val="center"/>
          </w:tcPr>
          <w:p w14:paraId="41040524">
            <w:pPr>
              <w:pStyle w:val="11"/>
            </w:pPr>
            <w:r>
              <w:t>国有资本经营预算拨款</w:t>
            </w:r>
          </w:p>
        </w:tc>
        <w:tc>
          <w:tcPr>
            <w:tcW w:w="964" w:type="dxa"/>
            <w:vAlign w:val="center"/>
          </w:tcPr>
          <w:p w14:paraId="45C15E60">
            <w:pPr>
              <w:pStyle w:val="11"/>
            </w:pPr>
            <w:r>
              <w:t>财政专户核拨</w:t>
            </w:r>
          </w:p>
        </w:tc>
        <w:tc>
          <w:tcPr>
            <w:tcW w:w="964" w:type="dxa"/>
            <w:vAlign w:val="center"/>
          </w:tcPr>
          <w:p w14:paraId="758CA1DD">
            <w:pPr>
              <w:pStyle w:val="11"/>
            </w:pPr>
            <w:r>
              <w:t>单位    资金</w:t>
            </w:r>
          </w:p>
        </w:tc>
        <w:tc>
          <w:tcPr>
            <w:tcW w:w="964" w:type="dxa"/>
            <w:vAlign w:val="center"/>
          </w:tcPr>
          <w:p w14:paraId="082069D5">
            <w:pPr>
              <w:pStyle w:val="11"/>
            </w:pPr>
            <w:r>
              <w:t>上年结转结余</w:t>
            </w:r>
          </w:p>
        </w:tc>
        <w:tc>
          <w:tcPr>
            <w:tcW w:w="964" w:type="dxa"/>
            <w:vMerge w:val="continue"/>
          </w:tcPr>
          <w:p w14:paraId="0633B096"/>
        </w:tc>
      </w:tr>
      <w:tr w14:paraId="47FF2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903D4C">
            <w:pPr>
              <w:pStyle w:val="15"/>
            </w:pPr>
            <w:r>
              <w:t>合  计</w:t>
            </w:r>
          </w:p>
        </w:tc>
        <w:tc>
          <w:tcPr>
            <w:tcW w:w="964" w:type="dxa"/>
            <w:vAlign w:val="center"/>
          </w:tcPr>
          <w:p w14:paraId="4A34C63F">
            <w:pPr>
              <w:pStyle w:val="16"/>
            </w:pPr>
          </w:p>
        </w:tc>
        <w:tc>
          <w:tcPr>
            <w:tcW w:w="1134" w:type="dxa"/>
            <w:vAlign w:val="center"/>
          </w:tcPr>
          <w:p w14:paraId="1F70109C">
            <w:pPr>
              <w:pStyle w:val="17"/>
            </w:pPr>
          </w:p>
        </w:tc>
        <w:tc>
          <w:tcPr>
            <w:tcW w:w="1134" w:type="dxa"/>
            <w:vAlign w:val="center"/>
          </w:tcPr>
          <w:p w14:paraId="4A12840B">
            <w:pPr>
              <w:pStyle w:val="17"/>
            </w:pPr>
          </w:p>
        </w:tc>
        <w:tc>
          <w:tcPr>
            <w:tcW w:w="709" w:type="dxa"/>
            <w:vAlign w:val="center"/>
          </w:tcPr>
          <w:p w14:paraId="5506CD90">
            <w:pPr>
              <w:pStyle w:val="15"/>
            </w:pPr>
          </w:p>
        </w:tc>
        <w:tc>
          <w:tcPr>
            <w:tcW w:w="850" w:type="dxa"/>
            <w:vAlign w:val="center"/>
          </w:tcPr>
          <w:p w14:paraId="2A10ED4E">
            <w:pPr>
              <w:pStyle w:val="16"/>
            </w:pPr>
          </w:p>
        </w:tc>
        <w:tc>
          <w:tcPr>
            <w:tcW w:w="850" w:type="dxa"/>
            <w:vAlign w:val="center"/>
          </w:tcPr>
          <w:p w14:paraId="0BF2EFE1">
            <w:pPr>
              <w:pStyle w:val="16"/>
            </w:pPr>
          </w:p>
        </w:tc>
        <w:tc>
          <w:tcPr>
            <w:tcW w:w="964" w:type="dxa"/>
            <w:vAlign w:val="center"/>
          </w:tcPr>
          <w:p w14:paraId="31D3EE42">
            <w:pPr>
              <w:pStyle w:val="16"/>
            </w:pPr>
            <w:r>
              <w:t>7.23</w:t>
            </w:r>
          </w:p>
        </w:tc>
        <w:tc>
          <w:tcPr>
            <w:tcW w:w="964" w:type="dxa"/>
            <w:vAlign w:val="center"/>
          </w:tcPr>
          <w:p w14:paraId="25DC34BA">
            <w:pPr>
              <w:pStyle w:val="16"/>
            </w:pPr>
            <w:r>
              <w:t>7.23</w:t>
            </w:r>
          </w:p>
        </w:tc>
        <w:tc>
          <w:tcPr>
            <w:tcW w:w="964" w:type="dxa"/>
            <w:vAlign w:val="center"/>
          </w:tcPr>
          <w:p w14:paraId="369458FC">
            <w:pPr>
              <w:pStyle w:val="16"/>
            </w:pPr>
          </w:p>
        </w:tc>
        <w:tc>
          <w:tcPr>
            <w:tcW w:w="964" w:type="dxa"/>
            <w:vAlign w:val="center"/>
          </w:tcPr>
          <w:p w14:paraId="7A1FF140">
            <w:pPr>
              <w:pStyle w:val="16"/>
            </w:pPr>
          </w:p>
        </w:tc>
        <w:tc>
          <w:tcPr>
            <w:tcW w:w="964" w:type="dxa"/>
            <w:vAlign w:val="center"/>
          </w:tcPr>
          <w:p w14:paraId="61893066">
            <w:pPr>
              <w:pStyle w:val="16"/>
            </w:pPr>
          </w:p>
        </w:tc>
        <w:tc>
          <w:tcPr>
            <w:tcW w:w="964" w:type="dxa"/>
            <w:vAlign w:val="center"/>
          </w:tcPr>
          <w:p w14:paraId="01DEC7A7">
            <w:pPr>
              <w:pStyle w:val="16"/>
            </w:pPr>
          </w:p>
        </w:tc>
        <w:tc>
          <w:tcPr>
            <w:tcW w:w="964" w:type="dxa"/>
            <w:vAlign w:val="center"/>
          </w:tcPr>
          <w:p w14:paraId="593E56E6">
            <w:pPr>
              <w:pStyle w:val="16"/>
            </w:pPr>
          </w:p>
        </w:tc>
        <w:tc>
          <w:tcPr>
            <w:tcW w:w="964" w:type="dxa"/>
            <w:vAlign w:val="center"/>
          </w:tcPr>
          <w:p w14:paraId="7F039E5A">
            <w:pPr>
              <w:pStyle w:val="16"/>
            </w:pPr>
            <w:r>
              <w:t>7.23</w:t>
            </w:r>
          </w:p>
        </w:tc>
      </w:tr>
      <w:tr w14:paraId="697F3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97726C">
            <w:pPr>
              <w:pStyle w:val="15"/>
            </w:pPr>
            <w:r>
              <w:t>隆尧县尹村中学小计</w:t>
            </w:r>
          </w:p>
        </w:tc>
        <w:tc>
          <w:tcPr>
            <w:tcW w:w="964" w:type="dxa"/>
            <w:vAlign w:val="center"/>
          </w:tcPr>
          <w:p w14:paraId="7CFBC63B">
            <w:pPr>
              <w:pStyle w:val="16"/>
            </w:pPr>
          </w:p>
        </w:tc>
        <w:tc>
          <w:tcPr>
            <w:tcW w:w="1134" w:type="dxa"/>
            <w:vAlign w:val="center"/>
          </w:tcPr>
          <w:p w14:paraId="77DD4714">
            <w:pPr>
              <w:pStyle w:val="17"/>
            </w:pPr>
          </w:p>
        </w:tc>
        <w:tc>
          <w:tcPr>
            <w:tcW w:w="1134" w:type="dxa"/>
            <w:vAlign w:val="center"/>
          </w:tcPr>
          <w:p w14:paraId="6DF8405B">
            <w:pPr>
              <w:pStyle w:val="17"/>
            </w:pPr>
          </w:p>
        </w:tc>
        <w:tc>
          <w:tcPr>
            <w:tcW w:w="709" w:type="dxa"/>
            <w:vAlign w:val="center"/>
          </w:tcPr>
          <w:p w14:paraId="62DFCF6C">
            <w:pPr>
              <w:pStyle w:val="15"/>
            </w:pPr>
          </w:p>
        </w:tc>
        <w:tc>
          <w:tcPr>
            <w:tcW w:w="850" w:type="dxa"/>
            <w:vAlign w:val="center"/>
          </w:tcPr>
          <w:p w14:paraId="7B1AA548">
            <w:pPr>
              <w:pStyle w:val="16"/>
            </w:pPr>
          </w:p>
        </w:tc>
        <w:tc>
          <w:tcPr>
            <w:tcW w:w="850" w:type="dxa"/>
            <w:vAlign w:val="center"/>
          </w:tcPr>
          <w:p w14:paraId="5ED1243A">
            <w:pPr>
              <w:pStyle w:val="16"/>
            </w:pPr>
          </w:p>
        </w:tc>
        <w:tc>
          <w:tcPr>
            <w:tcW w:w="964" w:type="dxa"/>
            <w:vAlign w:val="center"/>
          </w:tcPr>
          <w:p w14:paraId="5B6151F2">
            <w:pPr>
              <w:pStyle w:val="16"/>
            </w:pPr>
            <w:r>
              <w:t>7.23</w:t>
            </w:r>
          </w:p>
        </w:tc>
        <w:tc>
          <w:tcPr>
            <w:tcW w:w="964" w:type="dxa"/>
            <w:vAlign w:val="center"/>
          </w:tcPr>
          <w:p w14:paraId="426E3171">
            <w:pPr>
              <w:pStyle w:val="16"/>
            </w:pPr>
            <w:r>
              <w:t>7.23</w:t>
            </w:r>
          </w:p>
        </w:tc>
        <w:tc>
          <w:tcPr>
            <w:tcW w:w="964" w:type="dxa"/>
            <w:vAlign w:val="center"/>
          </w:tcPr>
          <w:p w14:paraId="511144C2">
            <w:pPr>
              <w:pStyle w:val="16"/>
            </w:pPr>
          </w:p>
        </w:tc>
        <w:tc>
          <w:tcPr>
            <w:tcW w:w="964" w:type="dxa"/>
            <w:vAlign w:val="center"/>
          </w:tcPr>
          <w:p w14:paraId="1F3D76C0">
            <w:pPr>
              <w:pStyle w:val="16"/>
            </w:pPr>
          </w:p>
        </w:tc>
        <w:tc>
          <w:tcPr>
            <w:tcW w:w="964" w:type="dxa"/>
            <w:vAlign w:val="center"/>
          </w:tcPr>
          <w:p w14:paraId="2465D893">
            <w:pPr>
              <w:pStyle w:val="16"/>
            </w:pPr>
          </w:p>
        </w:tc>
        <w:tc>
          <w:tcPr>
            <w:tcW w:w="964" w:type="dxa"/>
            <w:vAlign w:val="center"/>
          </w:tcPr>
          <w:p w14:paraId="49982DFB">
            <w:pPr>
              <w:pStyle w:val="16"/>
            </w:pPr>
          </w:p>
        </w:tc>
        <w:tc>
          <w:tcPr>
            <w:tcW w:w="964" w:type="dxa"/>
            <w:vAlign w:val="center"/>
          </w:tcPr>
          <w:p w14:paraId="2AD3F0C0">
            <w:pPr>
              <w:pStyle w:val="16"/>
            </w:pPr>
          </w:p>
        </w:tc>
        <w:tc>
          <w:tcPr>
            <w:tcW w:w="964" w:type="dxa"/>
            <w:vAlign w:val="center"/>
          </w:tcPr>
          <w:p w14:paraId="1960DF10">
            <w:pPr>
              <w:pStyle w:val="16"/>
            </w:pPr>
            <w:r>
              <w:t>7.23</w:t>
            </w:r>
          </w:p>
        </w:tc>
      </w:tr>
      <w:tr w14:paraId="1E0BB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F15481">
            <w:pPr>
              <w:pStyle w:val="13"/>
            </w:pPr>
            <w:r>
              <w:t>冀财教[2024]141号/省级/2025年义教补助经费/尹村中学公用经费</w:t>
            </w:r>
          </w:p>
        </w:tc>
        <w:tc>
          <w:tcPr>
            <w:tcW w:w="964" w:type="dxa"/>
            <w:vAlign w:val="center"/>
          </w:tcPr>
          <w:p w14:paraId="1D1C3016">
            <w:pPr>
              <w:pStyle w:val="14"/>
            </w:pPr>
            <w:r>
              <w:t>30.45</w:t>
            </w:r>
          </w:p>
        </w:tc>
        <w:tc>
          <w:tcPr>
            <w:tcW w:w="1134" w:type="dxa"/>
            <w:vAlign w:val="center"/>
          </w:tcPr>
          <w:p w14:paraId="480A2AF7">
            <w:pPr>
              <w:pStyle w:val="13"/>
            </w:pPr>
            <w:r>
              <w:t>钢木床类</w:t>
            </w:r>
          </w:p>
        </w:tc>
        <w:tc>
          <w:tcPr>
            <w:tcW w:w="1134" w:type="dxa"/>
            <w:vAlign w:val="center"/>
          </w:tcPr>
          <w:p w14:paraId="4EECF1A5">
            <w:pPr>
              <w:pStyle w:val="13"/>
            </w:pPr>
            <w:r>
              <w:t>A05010101</w:t>
            </w:r>
          </w:p>
        </w:tc>
        <w:tc>
          <w:tcPr>
            <w:tcW w:w="709" w:type="dxa"/>
            <w:vAlign w:val="center"/>
          </w:tcPr>
          <w:p w14:paraId="13E278AF">
            <w:pPr>
              <w:pStyle w:val="12"/>
            </w:pPr>
            <w:r>
              <w:t>张</w:t>
            </w:r>
          </w:p>
        </w:tc>
        <w:tc>
          <w:tcPr>
            <w:tcW w:w="850" w:type="dxa"/>
            <w:vAlign w:val="center"/>
          </w:tcPr>
          <w:p w14:paraId="4954BE84">
            <w:pPr>
              <w:pStyle w:val="14"/>
            </w:pPr>
            <w:r>
              <w:t>56</w:t>
            </w:r>
          </w:p>
        </w:tc>
        <w:tc>
          <w:tcPr>
            <w:tcW w:w="850" w:type="dxa"/>
            <w:vAlign w:val="center"/>
          </w:tcPr>
          <w:p w14:paraId="761B5B07">
            <w:pPr>
              <w:pStyle w:val="14"/>
            </w:pPr>
            <w:r>
              <w:t>0.05</w:t>
            </w:r>
          </w:p>
        </w:tc>
        <w:tc>
          <w:tcPr>
            <w:tcW w:w="964" w:type="dxa"/>
            <w:vAlign w:val="center"/>
          </w:tcPr>
          <w:p w14:paraId="76AAB63E">
            <w:pPr>
              <w:pStyle w:val="14"/>
            </w:pPr>
            <w:r>
              <w:t>2.91</w:t>
            </w:r>
          </w:p>
        </w:tc>
        <w:tc>
          <w:tcPr>
            <w:tcW w:w="964" w:type="dxa"/>
            <w:vAlign w:val="center"/>
          </w:tcPr>
          <w:p w14:paraId="5B618E77">
            <w:pPr>
              <w:pStyle w:val="14"/>
            </w:pPr>
            <w:r>
              <w:t>2.91</w:t>
            </w:r>
          </w:p>
        </w:tc>
        <w:tc>
          <w:tcPr>
            <w:tcW w:w="964" w:type="dxa"/>
            <w:vAlign w:val="center"/>
          </w:tcPr>
          <w:p w14:paraId="2E7503C4">
            <w:pPr>
              <w:pStyle w:val="14"/>
            </w:pPr>
          </w:p>
        </w:tc>
        <w:tc>
          <w:tcPr>
            <w:tcW w:w="964" w:type="dxa"/>
            <w:vAlign w:val="center"/>
          </w:tcPr>
          <w:p w14:paraId="6FDA3D81">
            <w:pPr>
              <w:pStyle w:val="14"/>
            </w:pPr>
          </w:p>
        </w:tc>
        <w:tc>
          <w:tcPr>
            <w:tcW w:w="964" w:type="dxa"/>
            <w:vAlign w:val="center"/>
          </w:tcPr>
          <w:p w14:paraId="6AC7A74B">
            <w:pPr>
              <w:pStyle w:val="14"/>
            </w:pPr>
          </w:p>
        </w:tc>
        <w:tc>
          <w:tcPr>
            <w:tcW w:w="964" w:type="dxa"/>
            <w:vAlign w:val="center"/>
          </w:tcPr>
          <w:p w14:paraId="12CFB747">
            <w:pPr>
              <w:pStyle w:val="14"/>
            </w:pPr>
          </w:p>
        </w:tc>
        <w:tc>
          <w:tcPr>
            <w:tcW w:w="964" w:type="dxa"/>
            <w:vAlign w:val="center"/>
          </w:tcPr>
          <w:p w14:paraId="54EABF38">
            <w:pPr>
              <w:pStyle w:val="14"/>
            </w:pPr>
          </w:p>
        </w:tc>
        <w:tc>
          <w:tcPr>
            <w:tcW w:w="964" w:type="dxa"/>
            <w:vAlign w:val="center"/>
          </w:tcPr>
          <w:p w14:paraId="27AD732F">
            <w:pPr>
              <w:pStyle w:val="14"/>
            </w:pPr>
            <w:r>
              <w:t>2.91</w:t>
            </w:r>
          </w:p>
        </w:tc>
      </w:tr>
      <w:tr w14:paraId="0471C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656CE7">
            <w:pPr>
              <w:pStyle w:val="13"/>
            </w:pPr>
            <w:r>
              <w:t>冀财教[2024]141号/省级/2025年义教补助经费/尹村中学公用经费</w:t>
            </w:r>
          </w:p>
        </w:tc>
        <w:tc>
          <w:tcPr>
            <w:tcW w:w="964" w:type="dxa"/>
            <w:vAlign w:val="center"/>
          </w:tcPr>
          <w:p w14:paraId="19D0DE43">
            <w:pPr>
              <w:pStyle w:val="14"/>
            </w:pPr>
            <w:r>
              <w:t>30.45</w:t>
            </w:r>
          </w:p>
        </w:tc>
        <w:tc>
          <w:tcPr>
            <w:tcW w:w="1134" w:type="dxa"/>
            <w:vAlign w:val="center"/>
          </w:tcPr>
          <w:p w14:paraId="3CC18828">
            <w:pPr>
              <w:pStyle w:val="13"/>
            </w:pPr>
            <w:r>
              <w:t>办公桌</w:t>
            </w:r>
          </w:p>
        </w:tc>
        <w:tc>
          <w:tcPr>
            <w:tcW w:w="1134" w:type="dxa"/>
            <w:vAlign w:val="center"/>
          </w:tcPr>
          <w:p w14:paraId="24C4458F">
            <w:pPr>
              <w:pStyle w:val="13"/>
            </w:pPr>
            <w:r>
              <w:t>A05010201</w:t>
            </w:r>
          </w:p>
        </w:tc>
        <w:tc>
          <w:tcPr>
            <w:tcW w:w="709" w:type="dxa"/>
            <w:vAlign w:val="center"/>
          </w:tcPr>
          <w:p w14:paraId="4E804C40">
            <w:pPr>
              <w:pStyle w:val="12"/>
            </w:pPr>
            <w:r>
              <w:t>张</w:t>
            </w:r>
          </w:p>
        </w:tc>
        <w:tc>
          <w:tcPr>
            <w:tcW w:w="850" w:type="dxa"/>
            <w:vAlign w:val="center"/>
          </w:tcPr>
          <w:p w14:paraId="0624112B">
            <w:pPr>
              <w:pStyle w:val="14"/>
            </w:pPr>
            <w:r>
              <w:t>26</w:t>
            </w:r>
          </w:p>
        </w:tc>
        <w:tc>
          <w:tcPr>
            <w:tcW w:w="850" w:type="dxa"/>
            <w:vAlign w:val="center"/>
          </w:tcPr>
          <w:p w14:paraId="264757AB">
            <w:pPr>
              <w:pStyle w:val="14"/>
            </w:pPr>
            <w:r>
              <w:t>0.09</w:t>
            </w:r>
          </w:p>
        </w:tc>
        <w:tc>
          <w:tcPr>
            <w:tcW w:w="964" w:type="dxa"/>
            <w:vAlign w:val="center"/>
          </w:tcPr>
          <w:p w14:paraId="534967C5">
            <w:pPr>
              <w:pStyle w:val="14"/>
            </w:pPr>
            <w:r>
              <w:t>2.21</w:t>
            </w:r>
          </w:p>
        </w:tc>
        <w:tc>
          <w:tcPr>
            <w:tcW w:w="964" w:type="dxa"/>
            <w:vAlign w:val="center"/>
          </w:tcPr>
          <w:p w14:paraId="56B4E1FA">
            <w:pPr>
              <w:pStyle w:val="14"/>
            </w:pPr>
            <w:r>
              <w:t>2.21</w:t>
            </w:r>
          </w:p>
        </w:tc>
        <w:tc>
          <w:tcPr>
            <w:tcW w:w="964" w:type="dxa"/>
            <w:vAlign w:val="center"/>
          </w:tcPr>
          <w:p w14:paraId="2FA0A295">
            <w:pPr>
              <w:pStyle w:val="14"/>
            </w:pPr>
          </w:p>
        </w:tc>
        <w:tc>
          <w:tcPr>
            <w:tcW w:w="964" w:type="dxa"/>
            <w:vAlign w:val="center"/>
          </w:tcPr>
          <w:p w14:paraId="75E460D3">
            <w:pPr>
              <w:pStyle w:val="14"/>
            </w:pPr>
          </w:p>
        </w:tc>
        <w:tc>
          <w:tcPr>
            <w:tcW w:w="964" w:type="dxa"/>
            <w:vAlign w:val="center"/>
          </w:tcPr>
          <w:p w14:paraId="564F9C05">
            <w:pPr>
              <w:pStyle w:val="14"/>
            </w:pPr>
          </w:p>
        </w:tc>
        <w:tc>
          <w:tcPr>
            <w:tcW w:w="964" w:type="dxa"/>
            <w:vAlign w:val="center"/>
          </w:tcPr>
          <w:p w14:paraId="3AD8C79F">
            <w:pPr>
              <w:pStyle w:val="14"/>
            </w:pPr>
          </w:p>
        </w:tc>
        <w:tc>
          <w:tcPr>
            <w:tcW w:w="964" w:type="dxa"/>
            <w:vAlign w:val="center"/>
          </w:tcPr>
          <w:p w14:paraId="5444AEA3">
            <w:pPr>
              <w:pStyle w:val="14"/>
            </w:pPr>
          </w:p>
        </w:tc>
        <w:tc>
          <w:tcPr>
            <w:tcW w:w="964" w:type="dxa"/>
            <w:vAlign w:val="center"/>
          </w:tcPr>
          <w:p w14:paraId="351DAA43">
            <w:pPr>
              <w:pStyle w:val="14"/>
            </w:pPr>
            <w:r>
              <w:t>2.21</w:t>
            </w:r>
          </w:p>
        </w:tc>
      </w:tr>
      <w:tr w14:paraId="52061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399834">
            <w:pPr>
              <w:pStyle w:val="13"/>
            </w:pPr>
            <w:r>
              <w:t>冀财教[2024]141号/省级/2025年义教补助经费/尹村中学公用经费</w:t>
            </w:r>
          </w:p>
        </w:tc>
        <w:tc>
          <w:tcPr>
            <w:tcW w:w="964" w:type="dxa"/>
            <w:vAlign w:val="center"/>
          </w:tcPr>
          <w:p w14:paraId="7C899586">
            <w:pPr>
              <w:pStyle w:val="14"/>
            </w:pPr>
            <w:r>
              <w:t>30.45</w:t>
            </w:r>
          </w:p>
        </w:tc>
        <w:tc>
          <w:tcPr>
            <w:tcW w:w="1134" w:type="dxa"/>
            <w:vAlign w:val="center"/>
          </w:tcPr>
          <w:p w14:paraId="6583E48A">
            <w:pPr>
              <w:pStyle w:val="13"/>
            </w:pPr>
            <w:r>
              <w:t>会议桌</w:t>
            </w:r>
          </w:p>
        </w:tc>
        <w:tc>
          <w:tcPr>
            <w:tcW w:w="1134" w:type="dxa"/>
            <w:vAlign w:val="center"/>
          </w:tcPr>
          <w:p w14:paraId="763D5972">
            <w:pPr>
              <w:pStyle w:val="13"/>
            </w:pPr>
            <w:r>
              <w:t>A05010202</w:t>
            </w:r>
          </w:p>
        </w:tc>
        <w:tc>
          <w:tcPr>
            <w:tcW w:w="709" w:type="dxa"/>
            <w:vAlign w:val="center"/>
          </w:tcPr>
          <w:p w14:paraId="3A258495">
            <w:pPr>
              <w:pStyle w:val="12"/>
            </w:pPr>
            <w:r>
              <w:t>套</w:t>
            </w:r>
          </w:p>
        </w:tc>
        <w:tc>
          <w:tcPr>
            <w:tcW w:w="850" w:type="dxa"/>
            <w:vAlign w:val="center"/>
          </w:tcPr>
          <w:p w14:paraId="31CE6710">
            <w:pPr>
              <w:pStyle w:val="14"/>
            </w:pPr>
            <w:r>
              <w:t>27</w:t>
            </w:r>
          </w:p>
        </w:tc>
        <w:tc>
          <w:tcPr>
            <w:tcW w:w="850" w:type="dxa"/>
            <w:vAlign w:val="center"/>
          </w:tcPr>
          <w:p w14:paraId="1776623B">
            <w:pPr>
              <w:pStyle w:val="14"/>
            </w:pPr>
            <w:r>
              <w:t>0.08</w:t>
            </w:r>
          </w:p>
        </w:tc>
        <w:tc>
          <w:tcPr>
            <w:tcW w:w="964" w:type="dxa"/>
            <w:vAlign w:val="center"/>
          </w:tcPr>
          <w:p w14:paraId="5832926B">
            <w:pPr>
              <w:pStyle w:val="14"/>
            </w:pPr>
            <w:r>
              <w:t>2.11</w:t>
            </w:r>
          </w:p>
        </w:tc>
        <w:tc>
          <w:tcPr>
            <w:tcW w:w="964" w:type="dxa"/>
            <w:vAlign w:val="center"/>
          </w:tcPr>
          <w:p w14:paraId="1935B50C">
            <w:pPr>
              <w:pStyle w:val="14"/>
            </w:pPr>
            <w:r>
              <w:t>2.11</w:t>
            </w:r>
          </w:p>
        </w:tc>
        <w:tc>
          <w:tcPr>
            <w:tcW w:w="964" w:type="dxa"/>
            <w:vAlign w:val="center"/>
          </w:tcPr>
          <w:p w14:paraId="157C819E">
            <w:pPr>
              <w:pStyle w:val="14"/>
            </w:pPr>
          </w:p>
        </w:tc>
        <w:tc>
          <w:tcPr>
            <w:tcW w:w="964" w:type="dxa"/>
            <w:vAlign w:val="center"/>
          </w:tcPr>
          <w:p w14:paraId="41C1208C">
            <w:pPr>
              <w:pStyle w:val="14"/>
            </w:pPr>
          </w:p>
        </w:tc>
        <w:tc>
          <w:tcPr>
            <w:tcW w:w="964" w:type="dxa"/>
            <w:vAlign w:val="center"/>
          </w:tcPr>
          <w:p w14:paraId="6726524E">
            <w:pPr>
              <w:pStyle w:val="14"/>
            </w:pPr>
          </w:p>
        </w:tc>
        <w:tc>
          <w:tcPr>
            <w:tcW w:w="964" w:type="dxa"/>
            <w:vAlign w:val="center"/>
          </w:tcPr>
          <w:p w14:paraId="1D8CC496">
            <w:pPr>
              <w:pStyle w:val="14"/>
            </w:pPr>
          </w:p>
        </w:tc>
        <w:tc>
          <w:tcPr>
            <w:tcW w:w="964" w:type="dxa"/>
            <w:vAlign w:val="center"/>
          </w:tcPr>
          <w:p w14:paraId="74C82153">
            <w:pPr>
              <w:pStyle w:val="14"/>
            </w:pPr>
          </w:p>
        </w:tc>
        <w:tc>
          <w:tcPr>
            <w:tcW w:w="964" w:type="dxa"/>
            <w:vAlign w:val="center"/>
          </w:tcPr>
          <w:p w14:paraId="5A44560E">
            <w:pPr>
              <w:pStyle w:val="14"/>
            </w:pPr>
            <w:r>
              <w:t>2.11</w:t>
            </w:r>
          </w:p>
        </w:tc>
      </w:tr>
    </w:tbl>
    <w:p w14:paraId="53421C3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430656">
      <w:pPr>
        <w:spacing w:before="0" w:after="0"/>
        <w:ind w:firstLine="640"/>
        <w:jc w:val="left"/>
        <w:outlineLvl w:val="9"/>
      </w:pPr>
      <w:r>
        <w:rPr>
          <w:rFonts w:ascii="Times New Roman" w:hAnsi="Times New Roman" w:eastAsia="方正仿宋_GBK" w:cs="Times New Roman"/>
          <w:color w:val="000000"/>
          <w:sz w:val="32"/>
        </w:rPr>
        <w:t xml:space="preserve"> </w:t>
      </w:r>
    </w:p>
    <w:p w14:paraId="3D721187">
      <w:pPr>
        <w:spacing w:before="10" w:after="10" w:line="240" w:lineRule="auto"/>
        <w:ind w:firstLine="640"/>
        <w:jc w:val="left"/>
        <w:outlineLvl w:val="5"/>
      </w:pPr>
      <w:r>
        <w:rPr>
          <w:rFonts w:ascii="黑体" w:hAnsi="黑体" w:eastAsia="黑体" w:cs="黑体"/>
          <w:color w:val="000000"/>
          <w:sz w:val="32"/>
        </w:rPr>
        <w:t>七、国有资产信息</w:t>
      </w:r>
    </w:p>
    <w:p w14:paraId="3DDE3C97">
      <w:pPr>
        <w:spacing w:before="0" w:after="0" w:line="500" w:lineRule="exact"/>
        <w:ind w:firstLine="560"/>
        <w:jc w:val="left"/>
        <w:outlineLvl w:val="9"/>
      </w:pPr>
      <w:r>
        <w:rPr>
          <w:rFonts w:ascii="Times New Roman" w:hAnsi="Times New Roman" w:eastAsia="方正仿宋_GBK" w:cs="Times New Roman"/>
          <w:b w:val="0"/>
          <w:color w:val="000000"/>
          <w:sz w:val="28"/>
        </w:rPr>
        <w:t>隆尧县尹村中学上年末固定资产金额为817.79万元（详见下表）。本年度拟购置固定资产总额为54.80万元，已按要求列入政府采购预算，详见政府采购预算表。</w:t>
      </w:r>
    </w:p>
    <w:p w14:paraId="624E768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F645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2D82DA6">
            <w:pPr>
              <w:pStyle w:val="8"/>
            </w:pPr>
            <w:r>
              <w:t>360005隆尧县尹村中学</w:t>
            </w:r>
          </w:p>
        </w:tc>
        <w:tc>
          <w:tcPr>
            <w:tcW w:w="5670" w:type="dxa"/>
            <w:gridSpan w:val="2"/>
            <w:tcBorders>
              <w:top w:val="single" w:color="FFFFFF" w:sz="6" w:space="0"/>
              <w:left w:val="single" w:color="FFFFFF" w:sz="6" w:space="0"/>
              <w:right w:val="single" w:color="FFFFFF" w:sz="6" w:space="0"/>
            </w:tcBorders>
            <w:vAlign w:val="center"/>
          </w:tcPr>
          <w:p w14:paraId="15F4DDA2">
            <w:pPr>
              <w:pStyle w:val="10"/>
            </w:pPr>
            <w:r>
              <w:t>截止时间：2024-12-31</w:t>
            </w:r>
          </w:p>
        </w:tc>
      </w:tr>
      <w:tr w14:paraId="16332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0C78FA5">
            <w:pPr>
              <w:pStyle w:val="11"/>
            </w:pPr>
            <w:r>
              <w:t>项   目</w:t>
            </w:r>
          </w:p>
        </w:tc>
        <w:tc>
          <w:tcPr>
            <w:tcW w:w="2835" w:type="dxa"/>
            <w:vAlign w:val="center"/>
          </w:tcPr>
          <w:p w14:paraId="5DBE1D53">
            <w:pPr>
              <w:pStyle w:val="11"/>
            </w:pPr>
            <w:r>
              <w:t>数量</w:t>
            </w:r>
          </w:p>
        </w:tc>
        <w:tc>
          <w:tcPr>
            <w:tcW w:w="2835" w:type="dxa"/>
            <w:vAlign w:val="center"/>
          </w:tcPr>
          <w:p w14:paraId="7D95E713">
            <w:pPr>
              <w:pStyle w:val="11"/>
            </w:pPr>
            <w:r>
              <w:t>价值（金额单位：万元）</w:t>
            </w:r>
          </w:p>
        </w:tc>
      </w:tr>
      <w:tr w14:paraId="23835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31E61B">
            <w:pPr>
              <w:pStyle w:val="13"/>
            </w:pPr>
            <w:r>
              <w:t>资产总额</w:t>
            </w:r>
          </w:p>
        </w:tc>
        <w:tc>
          <w:tcPr>
            <w:tcW w:w="2835" w:type="dxa"/>
            <w:vAlign w:val="center"/>
          </w:tcPr>
          <w:p w14:paraId="1824A156">
            <w:pPr>
              <w:pStyle w:val="12"/>
            </w:pPr>
          </w:p>
        </w:tc>
        <w:tc>
          <w:tcPr>
            <w:tcW w:w="2835" w:type="dxa"/>
            <w:vAlign w:val="center"/>
          </w:tcPr>
          <w:p w14:paraId="6E92D8BF">
            <w:pPr>
              <w:pStyle w:val="14"/>
            </w:pPr>
            <w:r>
              <w:t>817.79</w:t>
            </w:r>
          </w:p>
        </w:tc>
      </w:tr>
      <w:tr w14:paraId="3AC15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06D03C">
            <w:pPr>
              <w:pStyle w:val="13"/>
            </w:pPr>
            <w:r>
              <w:t>1、房屋（平方米）</w:t>
            </w:r>
          </w:p>
        </w:tc>
        <w:tc>
          <w:tcPr>
            <w:tcW w:w="2835" w:type="dxa"/>
            <w:vAlign w:val="center"/>
          </w:tcPr>
          <w:p w14:paraId="345D664B">
            <w:pPr>
              <w:pStyle w:val="12"/>
            </w:pPr>
            <w:r>
              <w:t>6359</w:t>
            </w:r>
          </w:p>
        </w:tc>
        <w:tc>
          <w:tcPr>
            <w:tcW w:w="2835" w:type="dxa"/>
            <w:vAlign w:val="center"/>
          </w:tcPr>
          <w:p w14:paraId="47E6D0E7">
            <w:pPr>
              <w:pStyle w:val="14"/>
            </w:pPr>
            <w:r>
              <w:t>441.00</w:t>
            </w:r>
          </w:p>
        </w:tc>
      </w:tr>
      <w:tr w14:paraId="2EAFD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50D463">
            <w:pPr>
              <w:pStyle w:val="13"/>
            </w:pPr>
            <w:r>
              <w:t>　　其中：办公用房（平方米）</w:t>
            </w:r>
          </w:p>
        </w:tc>
        <w:tc>
          <w:tcPr>
            <w:tcW w:w="2835" w:type="dxa"/>
            <w:vAlign w:val="center"/>
          </w:tcPr>
          <w:p w14:paraId="0BD257B2">
            <w:pPr>
              <w:pStyle w:val="12"/>
            </w:pPr>
            <w:r>
              <w:t>300</w:t>
            </w:r>
          </w:p>
        </w:tc>
        <w:tc>
          <w:tcPr>
            <w:tcW w:w="2835" w:type="dxa"/>
            <w:vAlign w:val="center"/>
          </w:tcPr>
          <w:p w14:paraId="1E337F28">
            <w:pPr>
              <w:pStyle w:val="14"/>
            </w:pPr>
            <w:r>
              <w:t>20.80</w:t>
            </w:r>
          </w:p>
        </w:tc>
      </w:tr>
      <w:tr w14:paraId="108D4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F161E9">
            <w:pPr>
              <w:pStyle w:val="13"/>
            </w:pPr>
            <w:r>
              <w:t>2、车辆（台、辆）</w:t>
            </w:r>
          </w:p>
        </w:tc>
        <w:tc>
          <w:tcPr>
            <w:tcW w:w="2835" w:type="dxa"/>
            <w:vAlign w:val="center"/>
          </w:tcPr>
          <w:p w14:paraId="7A87D892">
            <w:pPr>
              <w:pStyle w:val="12"/>
            </w:pPr>
          </w:p>
        </w:tc>
        <w:tc>
          <w:tcPr>
            <w:tcW w:w="2835" w:type="dxa"/>
            <w:vAlign w:val="center"/>
          </w:tcPr>
          <w:p w14:paraId="41CD9FA9">
            <w:pPr>
              <w:pStyle w:val="14"/>
            </w:pPr>
          </w:p>
        </w:tc>
      </w:tr>
      <w:tr w14:paraId="2C3AD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F9649B">
            <w:pPr>
              <w:pStyle w:val="13"/>
            </w:pPr>
            <w:r>
              <w:t>3、单价在20万元以上的设备</w:t>
            </w:r>
          </w:p>
        </w:tc>
        <w:tc>
          <w:tcPr>
            <w:tcW w:w="2835" w:type="dxa"/>
            <w:vAlign w:val="center"/>
          </w:tcPr>
          <w:p w14:paraId="2CBF1364">
            <w:pPr>
              <w:pStyle w:val="12"/>
            </w:pPr>
          </w:p>
        </w:tc>
        <w:tc>
          <w:tcPr>
            <w:tcW w:w="2835" w:type="dxa"/>
            <w:vAlign w:val="center"/>
          </w:tcPr>
          <w:p w14:paraId="15B97006">
            <w:pPr>
              <w:pStyle w:val="14"/>
            </w:pPr>
          </w:p>
        </w:tc>
      </w:tr>
      <w:tr w14:paraId="1B8DF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BFFC48">
            <w:pPr>
              <w:pStyle w:val="13"/>
            </w:pPr>
            <w:r>
              <w:t>4、其他固定资产</w:t>
            </w:r>
          </w:p>
        </w:tc>
        <w:tc>
          <w:tcPr>
            <w:tcW w:w="2835" w:type="dxa"/>
            <w:vAlign w:val="center"/>
          </w:tcPr>
          <w:p w14:paraId="2BBF43CC">
            <w:pPr>
              <w:pStyle w:val="12"/>
            </w:pPr>
            <w:r>
              <w:t>13028</w:t>
            </w:r>
          </w:p>
        </w:tc>
        <w:tc>
          <w:tcPr>
            <w:tcW w:w="2835" w:type="dxa"/>
            <w:vAlign w:val="center"/>
          </w:tcPr>
          <w:p w14:paraId="7DEF028E">
            <w:pPr>
              <w:pStyle w:val="14"/>
            </w:pPr>
            <w:r>
              <w:t>376.79</w:t>
            </w:r>
          </w:p>
        </w:tc>
      </w:tr>
    </w:tbl>
    <w:p w14:paraId="6C151AA6">
      <w:pPr>
        <w:spacing w:before="0" w:after="0"/>
        <w:ind w:firstLine="640"/>
        <w:jc w:val="left"/>
        <w:outlineLvl w:val="9"/>
      </w:pPr>
      <w:r>
        <w:rPr>
          <w:rFonts w:ascii="Times New Roman" w:hAnsi="Times New Roman" w:eastAsia="方正仿宋_GBK" w:cs="Times New Roman"/>
          <w:color w:val="000000"/>
          <w:sz w:val="32"/>
        </w:rPr>
        <w:t xml:space="preserve"> </w:t>
      </w:r>
    </w:p>
    <w:p w14:paraId="34D8615F">
      <w:pPr>
        <w:spacing w:before="10" w:after="10" w:line="240" w:lineRule="auto"/>
        <w:ind w:firstLine="640"/>
        <w:jc w:val="left"/>
        <w:outlineLvl w:val="5"/>
      </w:pPr>
      <w:r>
        <w:rPr>
          <w:rFonts w:ascii="黑体" w:hAnsi="黑体" w:eastAsia="黑体" w:cs="黑体"/>
          <w:color w:val="000000"/>
          <w:sz w:val="32"/>
        </w:rPr>
        <w:t>八、名词解释</w:t>
      </w:r>
    </w:p>
    <w:p w14:paraId="52E9290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4C7C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14A07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671E0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DA57F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CEE0A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2CD90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DDDB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2CA9BA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F628A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9D4FEF">
      <w:pPr>
        <w:spacing w:before="10" w:after="10" w:line="240" w:lineRule="auto"/>
        <w:ind w:firstLine="640"/>
        <w:jc w:val="left"/>
        <w:outlineLvl w:val="5"/>
      </w:pPr>
      <w:r>
        <w:rPr>
          <w:rFonts w:ascii="黑体" w:hAnsi="黑体" w:eastAsia="黑体" w:cs="黑体"/>
          <w:color w:val="000000"/>
          <w:sz w:val="32"/>
        </w:rPr>
        <w:t>九、其他需要说明的事项</w:t>
      </w:r>
    </w:p>
    <w:p w14:paraId="26AF949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9794986">
      <w:pPr>
        <w:spacing w:before="0" w:after="0"/>
        <w:ind w:firstLine="0"/>
        <w:jc w:val="center"/>
        <w:outlineLvl w:val="3"/>
      </w:pPr>
      <w:bookmarkStart w:id="5" w:name="_Toc_4_4_0000000025"/>
      <w:r>
        <w:rPr>
          <w:rFonts w:ascii="方正小标宋_GBK" w:hAnsi="方正小标宋_GBK" w:eastAsia="方正小标宋_GBK" w:cs="方正小标宋_GBK"/>
          <w:b w:val="0"/>
          <w:color w:val="000000"/>
          <w:sz w:val="44"/>
        </w:rPr>
        <w:t>五、隆尧县东良中学收支预算</w:t>
      </w:r>
      <w:bookmarkEnd w:id="5"/>
    </w:p>
    <w:p w14:paraId="0E5A83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B667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52D53A">
            <w:pPr>
              <w:pStyle w:val="8"/>
            </w:pPr>
            <w:r>
              <w:t>360006隆尧县东良中学</w:t>
            </w:r>
          </w:p>
        </w:tc>
        <w:tc>
          <w:tcPr>
            <w:tcW w:w="2126" w:type="dxa"/>
            <w:tcBorders>
              <w:top w:val="single" w:color="FFFFFF" w:sz="6" w:space="0"/>
              <w:left w:val="single" w:color="FFFFFF" w:sz="6" w:space="0"/>
              <w:right w:val="single" w:color="FFFFFF" w:sz="6" w:space="0"/>
            </w:tcBorders>
            <w:vAlign w:val="center"/>
          </w:tcPr>
          <w:p w14:paraId="70F9A2E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22443AF">
            <w:pPr>
              <w:pStyle w:val="10"/>
            </w:pPr>
            <w:r>
              <w:t>单位：万元</w:t>
            </w:r>
          </w:p>
        </w:tc>
      </w:tr>
      <w:tr w14:paraId="4504C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050CA3">
            <w:pPr>
              <w:pStyle w:val="11"/>
            </w:pPr>
            <w:r>
              <w:t>序号</w:t>
            </w:r>
          </w:p>
        </w:tc>
        <w:tc>
          <w:tcPr>
            <w:tcW w:w="6661" w:type="dxa"/>
            <w:gridSpan w:val="2"/>
            <w:vAlign w:val="center"/>
          </w:tcPr>
          <w:p w14:paraId="0931E40B">
            <w:pPr>
              <w:pStyle w:val="11"/>
            </w:pPr>
            <w:r>
              <w:t>收入</w:t>
            </w:r>
          </w:p>
        </w:tc>
        <w:tc>
          <w:tcPr>
            <w:tcW w:w="6661" w:type="dxa"/>
            <w:gridSpan w:val="2"/>
            <w:vAlign w:val="center"/>
          </w:tcPr>
          <w:p w14:paraId="04378699">
            <w:pPr>
              <w:pStyle w:val="11"/>
            </w:pPr>
            <w:r>
              <w:t>支出</w:t>
            </w:r>
          </w:p>
        </w:tc>
      </w:tr>
      <w:tr w14:paraId="3AAA7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C4A28"/>
        </w:tc>
        <w:tc>
          <w:tcPr>
            <w:tcW w:w="4535" w:type="dxa"/>
            <w:vAlign w:val="center"/>
          </w:tcPr>
          <w:p w14:paraId="588F2AB0">
            <w:pPr>
              <w:pStyle w:val="11"/>
            </w:pPr>
            <w:r>
              <w:t>项  目</w:t>
            </w:r>
          </w:p>
        </w:tc>
        <w:tc>
          <w:tcPr>
            <w:tcW w:w="2126" w:type="dxa"/>
            <w:vAlign w:val="center"/>
          </w:tcPr>
          <w:p w14:paraId="0DF26166">
            <w:pPr>
              <w:pStyle w:val="11"/>
            </w:pPr>
            <w:r>
              <w:t>预算数</w:t>
            </w:r>
          </w:p>
        </w:tc>
        <w:tc>
          <w:tcPr>
            <w:tcW w:w="4535" w:type="dxa"/>
            <w:vAlign w:val="center"/>
          </w:tcPr>
          <w:p w14:paraId="5F467960">
            <w:pPr>
              <w:pStyle w:val="11"/>
            </w:pPr>
            <w:r>
              <w:t>项  目</w:t>
            </w:r>
          </w:p>
        </w:tc>
        <w:tc>
          <w:tcPr>
            <w:tcW w:w="2126" w:type="dxa"/>
            <w:vAlign w:val="center"/>
          </w:tcPr>
          <w:p w14:paraId="08132CEB">
            <w:pPr>
              <w:pStyle w:val="11"/>
            </w:pPr>
            <w:r>
              <w:t>预算数</w:t>
            </w:r>
          </w:p>
        </w:tc>
      </w:tr>
      <w:tr w14:paraId="14C4E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44394">
            <w:pPr>
              <w:pStyle w:val="11"/>
            </w:pPr>
            <w:r>
              <w:t>栏次</w:t>
            </w:r>
          </w:p>
        </w:tc>
        <w:tc>
          <w:tcPr>
            <w:tcW w:w="4535" w:type="dxa"/>
            <w:vAlign w:val="center"/>
          </w:tcPr>
          <w:p w14:paraId="325B4F4A">
            <w:pPr>
              <w:pStyle w:val="11"/>
            </w:pPr>
            <w:r>
              <w:t>1</w:t>
            </w:r>
          </w:p>
        </w:tc>
        <w:tc>
          <w:tcPr>
            <w:tcW w:w="2126" w:type="dxa"/>
            <w:vAlign w:val="center"/>
          </w:tcPr>
          <w:p w14:paraId="08B58C28">
            <w:pPr>
              <w:pStyle w:val="11"/>
            </w:pPr>
            <w:r>
              <w:t>2</w:t>
            </w:r>
          </w:p>
        </w:tc>
        <w:tc>
          <w:tcPr>
            <w:tcW w:w="4535" w:type="dxa"/>
            <w:vAlign w:val="center"/>
          </w:tcPr>
          <w:p w14:paraId="76FFD322">
            <w:pPr>
              <w:pStyle w:val="11"/>
            </w:pPr>
            <w:r>
              <w:t>3</w:t>
            </w:r>
          </w:p>
        </w:tc>
        <w:tc>
          <w:tcPr>
            <w:tcW w:w="2126" w:type="dxa"/>
            <w:vAlign w:val="center"/>
          </w:tcPr>
          <w:p w14:paraId="081F5F9B">
            <w:pPr>
              <w:pStyle w:val="11"/>
            </w:pPr>
            <w:r>
              <w:t>4</w:t>
            </w:r>
          </w:p>
        </w:tc>
      </w:tr>
      <w:tr w14:paraId="4AA50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88825">
            <w:pPr>
              <w:pStyle w:val="12"/>
            </w:pPr>
            <w:r>
              <w:t>1</w:t>
            </w:r>
          </w:p>
        </w:tc>
        <w:tc>
          <w:tcPr>
            <w:tcW w:w="4535" w:type="dxa"/>
            <w:vAlign w:val="center"/>
          </w:tcPr>
          <w:p w14:paraId="1FF448D0">
            <w:pPr>
              <w:pStyle w:val="13"/>
            </w:pPr>
            <w:r>
              <w:t>一、一般公共预算拨款收入</w:t>
            </w:r>
          </w:p>
        </w:tc>
        <w:tc>
          <w:tcPr>
            <w:tcW w:w="2126" w:type="dxa"/>
            <w:vAlign w:val="center"/>
          </w:tcPr>
          <w:p w14:paraId="07C6CFE3">
            <w:pPr>
              <w:pStyle w:val="14"/>
            </w:pPr>
            <w:r>
              <w:t>1342.51</w:t>
            </w:r>
          </w:p>
        </w:tc>
        <w:tc>
          <w:tcPr>
            <w:tcW w:w="4535" w:type="dxa"/>
            <w:vAlign w:val="center"/>
          </w:tcPr>
          <w:p w14:paraId="652BDAE9">
            <w:pPr>
              <w:pStyle w:val="13"/>
            </w:pPr>
            <w:r>
              <w:t>一、一般公共服务支出</w:t>
            </w:r>
          </w:p>
        </w:tc>
        <w:tc>
          <w:tcPr>
            <w:tcW w:w="2126" w:type="dxa"/>
            <w:vAlign w:val="center"/>
          </w:tcPr>
          <w:p w14:paraId="1200D139">
            <w:pPr>
              <w:pStyle w:val="14"/>
            </w:pPr>
          </w:p>
        </w:tc>
      </w:tr>
      <w:tr w14:paraId="21807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C2C36">
            <w:pPr>
              <w:pStyle w:val="12"/>
            </w:pPr>
            <w:r>
              <w:t>2</w:t>
            </w:r>
          </w:p>
        </w:tc>
        <w:tc>
          <w:tcPr>
            <w:tcW w:w="4535" w:type="dxa"/>
            <w:vAlign w:val="center"/>
          </w:tcPr>
          <w:p w14:paraId="34574ABE">
            <w:pPr>
              <w:pStyle w:val="13"/>
            </w:pPr>
            <w:r>
              <w:t>二、政府性基金预算拨款收入</w:t>
            </w:r>
          </w:p>
        </w:tc>
        <w:tc>
          <w:tcPr>
            <w:tcW w:w="2126" w:type="dxa"/>
            <w:vAlign w:val="center"/>
          </w:tcPr>
          <w:p w14:paraId="268D01D8">
            <w:pPr>
              <w:pStyle w:val="14"/>
            </w:pPr>
          </w:p>
        </w:tc>
        <w:tc>
          <w:tcPr>
            <w:tcW w:w="4535" w:type="dxa"/>
            <w:vAlign w:val="center"/>
          </w:tcPr>
          <w:p w14:paraId="377DAA79">
            <w:pPr>
              <w:pStyle w:val="13"/>
            </w:pPr>
            <w:r>
              <w:t>二、外交支出</w:t>
            </w:r>
          </w:p>
        </w:tc>
        <w:tc>
          <w:tcPr>
            <w:tcW w:w="2126" w:type="dxa"/>
            <w:vAlign w:val="center"/>
          </w:tcPr>
          <w:p w14:paraId="5C822850">
            <w:pPr>
              <w:pStyle w:val="14"/>
            </w:pPr>
          </w:p>
        </w:tc>
      </w:tr>
      <w:tr w14:paraId="21ED7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2CE6F">
            <w:pPr>
              <w:pStyle w:val="12"/>
            </w:pPr>
            <w:r>
              <w:t>3</w:t>
            </w:r>
          </w:p>
        </w:tc>
        <w:tc>
          <w:tcPr>
            <w:tcW w:w="4535" w:type="dxa"/>
            <w:vAlign w:val="center"/>
          </w:tcPr>
          <w:p w14:paraId="6D459A0F">
            <w:pPr>
              <w:pStyle w:val="13"/>
            </w:pPr>
            <w:r>
              <w:t>三、国有资本经营预算拨款收入</w:t>
            </w:r>
          </w:p>
        </w:tc>
        <w:tc>
          <w:tcPr>
            <w:tcW w:w="2126" w:type="dxa"/>
            <w:vAlign w:val="center"/>
          </w:tcPr>
          <w:p w14:paraId="3C01C8BB">
            <w:pPr>
              <w:pStyle w:val="14"/>
            </w:pPr>
          </w:p>
        </w:tc>
        <w:tc>
          <w:tcPr>
            <w:tcW w:w="4535" w:type="dxa"/>
            <w:vAlign w:val="center"/>
          </w:tcPr>
          <w:p w14:paraId="274E13A0">
            <w:pPr>
              <w:pStyle w:val="13"/>
            </w:pPr>
            <w:r>
              <w:t>三、国防支出</w:t>
            </w:r>
          </w:p>
        </w:tc>
        <w:tc>
          <w:tcPr>
            <w:tcW w:w="2126" w:type="dxa"/>
            <w:vAlign w:val="center"/>
          </w:tcPr>
          <w:p w14:paraId="25CF9D1A">
            <w:pPr>
              <w:pStyle w:val="14"/>
            </w:pPr>
          </w:p>
        </w:tc>
      </w:tr>
      <w:tr w14:paraId="459D4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3DC7D">
            <w:pPr>
              <w:pStyle w:val="12"/>
            </w:pPr>
            <w:r>
              <w:t>4</w:t>
            </w:r>
          </w:p>
        </w:tc>
        <w:tc>
          <w:tcPr>
            <w:tcW w:w="4535" w:type="dxa"/>
            <w:vAlign w:val="center"/>
          </w:tcPr>
          <w:p w14:paraId="3E5EF153">
            <w:pPr>
              <w:pStyle w:val="13"/>
            </w:pPr>
            <w:r>
              <w:t>四、财政专户管理资金收入</w:t>
            </w:r>
          </w:p>
        </w:tc>
        <w:tc>
          <w:tcPr>
            <w:tcW w:w="2126" w:type="dxa"/>
            <w:vAlign w:val="center"/>
          </w:tcPr>
          <w:p w14:paraId="6DC7E232">
            <w:pPr>
              <w:pStyle w:val="14"/>
            </w:pPr>
          </w:p>
        </w:tc>
        <w:tc>
          <w:tcPr>
            <w:tcW w:w="4535" w:type="dxa"/>
            <w:vAlign w:val="center"/>
          </w:tcPr>
          <w:p w14:paraId="6EB3D6E1">
            <w:pPr>
              <w:pStyle w:val="13"/>
            </w:pPr>
            <w:r>
              <w:t>四、公共安全支出</w:t>
            </w:r>
          </w:p>
        </w:tc>
        <w:tc>
          <w:tcPr>
            <w:tcW w:w="2126" w:type="dxa"/>
            <w:vAlign w:val="center"/>
          </w:tcPr>
          <w:p w14:paraId="58912723">
            <w:pPr>
              <w:pStyle w:val="14"/>
            </w:pPr>
          </w:p>
        </w:tc>
      </w:tr>
      <w:tr w14:paraId="67756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9B65B">
            <w:pPr>
              <w:pStyle w:val="12"/>
            </w:pPr>
            <w:r>
              <w:t>5</w:t>
            </w:r>
          </w:p>
        </w:tc>
        <w:tc>
          <w:tcPr>
            <w:tcW w:w="4535" w:type="dxa"/>
            <w:vAlign w:val="center"/>
          </w:tcPr>
          <w:p w14:paraId="510EFF99">
            <w:pPr>
              <w:pStyle w:val="13"/>
            </w:pPr>
            <w:r>
              <w:t>五、单位资金</w:t>
            </w:r>
          </w:p>
        </w:tc>
        <w:tc>
          <w:tcPr>
            <w:tcW w:w="2126" w:type="dxa"/>
            <w:vAlign w:val="center"/>
          </w:tcPr>
          <w:p w14:paraId="0F7CA757">
            <w:pPr>
              <w:pStyle w:val="14"/>
            </w:pPr>
          </w:p>
        </w:tc>
        <w:tc>
          <w:tcPr>
            <w:tcW w:w="4535" w:type="dxa"/>
            <w:vAlign w:val="center"/>
          </w:tcPr>
          <w:p w14:paraId="13FCC4A5">
            <w:pPr>
              <w:pStyle w:val="13"/>
            </w:pPr>
            <w:r>
              <w:t>五、教育支出</w:t>
            </w:r>
          </w:p>
        </w:tc>
        <w:tc>
          <w:tcPr>
            <w:tcW w:w="2126" w:type="dxa"/>
            <w:vAlign w:val="center"/>
          </w:tcPr>
          <w:p w14:paraId="14E7CD30">
            <w:pPr>
              <w:pStyle w:val="14"/>
            </w:pPr>
            <w:r>
              <w:t>1342.51</w:t>
            </w:r>
          </w:p>
        </w:tc>
      </w:tr>
      <w:tr w14:paraId="56C3C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BE9A4">
            <w:pPr>
              <w:pStyle w:val="12"/>
            </w:pPr>
            <w:r>
              <w:t>6</w:t>
            </w:r>
          </w:p>
        </w:tc>
        <w:tc>
          <w:tcPr>
            <w:tcW w:w="4535" w:type="dxa"/>
            <w:vAlign w:val="center"/>
          </w:tcPr>
          <w:p w14:paraId="3C0BF0F4">
            <w:pPr>
              <w:pStyle w:val="13"/>
            </w:pPr>
          </w:p>
        </w:tc>
        <w:tc>
          <w:tcPr>
            <w:tcW w:w="2126" w:type="dxa"/>
            <w:vAlign w:val="center"/>
          </w:tcPr>
          <w:p w14:paraId="7CE1F87A">
            <w:pPr>
              <w:pStyle w:val="14"/>
            </w:pPr>
          </w:p>
        </w:tc>
        <w:tc>
          <w:tcPr>
            <w:tcW w:w="4535" w:type="dxa"/>
            <w:vAlign w:val="center"/>
          </w:tcPr>
          <w:p w14:paraId="6AE6A881">
            <w:pPr>
              <w:pStyle w:val="13"/>
            </w:pPr>
            <w:r>
              <w:t>六、科学技术支出</w:t>
            </w:r>
          </w:p>
        </w:tc>
        <w:tc>
          <w:tcPr>
            <w:tcW w:w="2126" w:type="dxa"/>
            <w:vAlign w:val="center"/>
          </w:tcPr>
          <w:p w14:paraId="5E7C96E8">
            <w:pPr>
              <w:pStyle w:val="14"/>
            </w:pPr>
          </w:p>
        </w:tc>
      </w:tr>
      <w:tr w14:paraId="3E0E2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74BEB">
            <w:pPr>
              <w:pStyle w:val="12"/>
            </w:pPr>
            <w:r>
              <w:t>7</w:t>
            </w:r>
          </w:p>
        </w:tc>
        <w:tc>
          <w:tcPr>
            <w:tcW w:w="4535" w:type="dxa"/>
            <w:vAlign w:val="center"/>
          </w:tcPr>
          <w:p w14:paraId="3B90799B">
            <w:pPr>
              <w:pStyle w:val="13"/>
            </w:pPr>
          </w:p>
        </w:tc>
        <w:tc>
          <w:tcPr>
            <w:tcW w:w="2126" w:type="dxa"/>
            <w:vAlign w:val="center"/>
          </w:tcPr>
          <w:p w14:paraId="50C51B57">
            <w:pPr>
              <w:pStyle w:val="14"/>
            </w:pPr>
          </w:p>
        </w:tc>
        <w:tc>
          <w:tcPr>
            <w:tcW w:w="4535" w:type="dxa"/>
            <w:vAlign w:val="center"/>
          </w:tcPr>
          <w:p w14:paraId="0C96EE86">
            <w:pPr>
              <w:pStyle w:val="13"/>
            </w:pPr>
            <w:r>
              <w:t>七、文化旅游体育与传媒支出</w:t>
            </w:r>
          </w:p>
        </w:tc>
        <w:tc>
          <w:tcPr>
            <w:tcW w:w="2126" w:type="dxa"/>
            <w:vAlign w:val="center"/>
          </w:tcPr>
          <w:p w14:paraId="31AD8B70">
            <w:pPr>
              <w:pStyle w:val="14"/>
            </w:pPr>
          </w:p>
        </w:tc>
      </w:tr>
      <w:tr w14:paraId="0BC78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A2B5F">
            <w:pPr>
              <w:pStyle w:val="12"/>
            </w:pPr>
            <w:r>
              <w:t>8</w:t>
            </w:r>
          </w:p>
        </w:tc>
        <w:tc>
          <w:tcPr>
            <w:tcW w:w="4535" w:type="dxa"/>
            <w:vAlign w:val="center"/>
          </w:tcPr>
          <w:p w14:paraId="254B1716">
            <w:pPr>
              <w:pStyle w:val="13"/>
            </w:pPr>
          </w:p>
        </w:tc>
        <w:tc>
          <w:tcPr>
            <w:tcW w:w="2126" w:type="dxa"/>
            <w:vAlign w:val="center"/>
          </w:tcPr>
          <w:p w14:paraId="5B90F91F">
            <w:pPr>
              <w:pStyle w:val="14"/>
            </w:pPr>
          </w:p>
        </w:tc>
        <w:tc>
          <w:tcPr>
            <w:tcW w:w="4535" w:type="dxa"/>
            <w:vAlign w:val="center"/>
          </w:tcPr>
          <w:p w14:paraId="31678478">
            <w:pPr>
              <w:pStyle w:val="13"/>
            </w:pPr>
            <w:r>
              <w:t>八、社会保障和就业支出</w:t>
            </w:r>
          </w:p>
        </w:tc>
        <w:tc>
          <w:tcPr>
            <w:tcW w:w="2126" w:type="dxa"/>
            <w:vAlign w:val="center"/>
          </w:tcPr>
          <w:p w14:paraId="61F2318D">
            <w:pPr>
              <w:pStyle w:val="14"/>
            </w:pPr>
          </w:p>
        </w:tc>
      </w:tr>
      <w:tr w14:paraId="11D5A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824DB">
            <w:pPr>
              <w:pStyle w:val="12"/>
            </w:pPr>
            <w:r>
              <w:t>9</w:t>
            </w:r>
          </w:p>
        </w:tc>
        <w:tc>
          <w:tcPr>
            <w:tcW w:w="4535" w:type="dxa"/>
            <w:vAlign w:val="center"/>
          </w:tcPr>
          <w:p w14:paraId="7789A43C">
            <w:pPr>
              <w:pStyle w:val="13"/>
            </w:pPr>
          </w:p>
        </w:tc>
        <w:tc>
          <w:tcPr>
            <w:tcW w:w="2126" w:type="dxa"/>
            <w:vAlign w:val="center"/>
          </w:tcPr>
          <w:p w14:paraId="6A1077D9">
            <w:pPr>
              <w:pStyle w:val="14"/>
            </w:pPr>
          </w:p>
        </w:tc>
        <w:tc>
          <w:tcPr>
            <w:tcW w:w="4535" w:type="dxa"/>
            <w:vAlign w:val="center"/>
          </w:tcPr>
          <w:p w14:paraId="2F7CE59C">
            <w:pPr>
              <w:pStyle w:val="13"/>
            </w:pPr>
            <w:r>
              <w:t>九、社会保险基金支出</w:t>
            </w:r>
          </w:p>
        </w:tc>
        <w:tc>
          <w:tcPr>
            <w:tcW w:w="2126" w:type="dxa"/>
            <w:vAlign w:val="center"/>
          </w:tcPr>
          <w:p w14:paraId="185961A3">
            <w:pPr>
              <w:pStyle w:val="14"/>
            </w:pPr>
          </w:p>
        </w:tc>
      </w:tr>
      <w:tr w14:paraId="2D930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CEFF9">
            <w:pPr>
              <w:pStyle w:val="12"/>
            </w:pPr>
            <w:r>
              <w:t>10</w:t>
            </w:r>
          </w:p>
        </w:tc>
        <w:tc>
          <w:tcPr>
            <w:tcW w:w="4535" w:type="dxa"/>
            <w:vAlign w:val="center"/>
          </w:tcPr>
          <w:p w14:paraId="6C898521">
            <w:pPr>
              <w:pStyle w:val="13"/>
            </w:pPr>
          </w:p>
        </w:tc>
        <w:tc>
          <w:tcPr>
            <w:tcW w:w="2126" w:type="dxa"/>
            <w:vAlign w:val="center"/>
          </w:tcPr>
          <w:p w14:paraId="065F66E8">
            <w:pPr>
              <w:pStyle w:val="14"/>
            </w:pPr>
          </w:p>
        </w:tc>
        <w:tc>
          <w:tcPr>
            <w:tcW w:w="4535" w:type="dxa"/>
            <w:vAlign w:val="center"/>
          </w:tcPr>
          <w:p w14:paraId="27A3A619">
            <w:pPr>
              <w:pStyle w:val="13"/>
            </w:pPr>
            <w:r>
              <w:t>十、卫生健康支出</w:t>
            </w:r>
          </w:p>
        </w:tc>
        <w:tc>
          <w:tcPr>
            <w:tcW w:w="2126" w:type="dxa"/>
            <w:vAlign w:val="center"/>
          </w:tcPr>
          <w:p w14:paraId="63C4B502">
            <w:pPr>
              <w:pStyle w:val="14"/>
            </w:pPr>
          </w:p>
        </w:tc>
      </w:tr>
      <w:tr w14:paraId="79140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925C3">
            <w:pPr>
              <w:pStyle w:val="12"/>
            </w:pPr>
            <w:r>
              <w:t>11</w:t>
            </w:r>
          </w:p>
        </w:tc>
        <w:tc>
          <w:tcPr>
            <w:tcW w:w="4535" w:type="dxa"/>
            <w:vAlign w:val="center"/>
          </w:tcPr>
          <w:p w14:paraId="1C2FDCD7">
            <w:pPr>
              <w:pStyle w:val="13"/>
            </w:pPr>
          </w:p>
        </w:tc>
        <w:tc>
          <w:tcPr>
            <w:tcW w:w="2126" w:type="dxa"/>
            <w:vAlign w:val="center"/>
          </w:tcPr>
          <w:p w14:paraId="1B4C500F">
            <w:pPr>
              <w:pStyle w:val="14"/>
            </w:pPr>
          </w:p>
        </w:tc>
        <w:tc>
          <w:tcPr>
            <w:tcW w:w="4535" w:type="dxa"/>
            <w:vAlign w:val="center"/>
          </w:tcPr>
          <w:p w14:paraId="3268F198">
            <w:pPr>
              <w:pStyle w:val="13"/>
            </w:pPr>
            <w:r>
              <w:t>十一、节能环保支出</w:t>
            </w:r>
          </w:p>
        </w:tc>
        <w:tc>
          <w:tcPr>
            <w:tcW w:w="2126" w:type="dxa"/>
            <w:vAlign w:val="center"/>
          </w:tcPr>
          <w:p w14:paraId="1D22C476">
            <w:pPr>
              <w:pStyle w:val="14"/>
            </w:pPr>
          </w:p>
        </w:tc>
      </w:tr>
      <w:tr w14:paraId="440B7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BD8E3">
            <w:pPr>
              <w:pStyle w:val="12"/>
            </w:pPr>
            <w:r>
              <w:t>12</w:t>
            </w:r>
          </w:p>
        </w:tc>
        <w:tc>
          <w:tcPr>
            <w:tcW w:w="4535" w:type="dxa"/>
            <w:vAlign w:val="center"/>
          </w:tcPr>
          <w:p w14:paraId="56897318">
            <w:pPr>
              <w:pStyle w:val="13"/>
            </w:pPr>
          </w:p>
        </w:tc>
        <w:tc>
          <w:tcPr>
            <w:tcW w:w="2126" w:type="dxa"/>
            <w:vAlign w:val="center"/>
          </w:tcPr>
          <w:p w14:paraId="337F9472">
            <w:pPr>
              <w:pStyle w:val="14"/>
            </w:pPr>
          </w:p>
        </w:tc>
        <w:tc>
          <w:tcPr>
            <w:tcW w:w="4535" w:type="dxa"/>
            <w:vAlign w:val="center"/>
          </w:tcPr>
          <w:p w14:paraId="38848572">
            <w:pPr>
              <w:pStyle w:val="13"/>
            </w:pPr>
            <w:r>
              <w:t>十二、城乡社区支出</w:t>
            </w:r>
          </w:p>
        </w:tc>
        <w:tc>
          <w:tcPr>
            <w:tcW w:w="2126" w:type="dxa"/>
            <w:vAlign w:val="center"/>
          </w:tcPr>
          <w:p w14:paraId="43DD2848">
            <w:pPr>
              <w:pStyle w:val="14"/>
            </w:pPr>
          </w:p>
        </w:tc>
      </w:tr>
      <w:tr w14:paraId="136DF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DD2CA">
            <w:pPr>
              <w:pStyle w:val="12"/>
            </w:pPr>
            <w:r>
              <w:t>13</w:t>
            </w:r>
          </w:p>
        </w:tc>
        <w:tc>
          <w:tcPr>
            <w:tcW w:w="4535" w:type="dxa"/>
            <w:vAlign w:val="center"/>
          </w:tcPr>
          <w:p w14:paraId="3805D1A5">
            <w:pPr>
              <w:pStyle w:val="13"/>
            </w:pPr>
          </w:p>
        </w:tc>
        <w:tc>
          <w:tcPr>
            <w:tcW w:w="2126" w:type="dxa"/>
            <w:vAlign w:val="center"/>
          </w:tcPr>
          <w:p w14:paraId="333C8DA1">
            <w:pPr>
              <w:pStyle w:val="14"/>
            </w:pPr>
          </w:p>
        </w:tc>
        <w:tc>
          <w:tcPr>
            <w:tcW w:w="4535" w:type="dxa"/>
            <w:vAlign w:val="center"/>
          </w:tcPr>
          <w:p w14:paraId="26EC91B4">
            <w:pPr>
              <w:pStyle w:val="13"/>
            </w:pPr>
            <w:r>
              <w:t>十三、农林水支出</w:t>
            </w:r>
          </w:p>
        </w:tc>
        <w:tc>
          <w:tcPr>
            <w:tcW w:w="2126" w:type="dxa"/>
            <w:vAlign w:val="center"/>
          </w:tcPr>
          <w:p w14:paraId="1D08F88E">
            <w:pPr>
              <w:pStyle w:val="14"/>
            </w:pPr>
          </w:p>
        </w:tc>
      </w:tr>
      <w:tr w14:paraId="544DA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0CF1F">
            <w:pPr>
              <w:pStyle w:val="12"/>
            </w:pPr>
            <w:r>
              <w:t>14</w:t>
            </w:r>
          </w:p>
        </w:tc>
        <w:tc>
          <w:tcPr>
            <w:tcW w:w="4535" w:type="dxa"/>
            <w:vAlign w:val="center"/>
          </w:tcPr>
          <w:p w14:paraId="79C456E4">
            <w:pPr>
              <w:pStyle w:val="13"/>
            </w:pPr>
          </w:p>
        </w:tc>
        <w:tc>
          <w:tcPr>
            <w:tcW w:w="2126" w:type="dxa"/>
            <w:vAlign w:val="center"/>
          </w:tcPr>
          <w:p w14:paraId="007DF566">
            <w:pPr>
              <w:pStyle w:val="14"/>
            </w:pPr>
          </w:p>
        </w:tc>
        <w:tc>
          <w:tcPr>
            <w:tcW w:w="4535" w:type="dxa"/>
            <w:vAlign w:val="center"/>
          </w:tcPr>
          <w:p w14:paraId="4E54966E">
            <w:pPr>
              <w:pStyle w:val="13"/>
            </w:pPr>
            <w:r>
              <w:t>十四、交通运输支出</w:t>
            </w:r>
          </w:p>
        </w:tc>
        <w:tc>
          <w:tcPr>
            <w:tcW w:w="2126" w:type="dxa"/>
            <w:vAlign w:val="center"/>
          </w:tcPr>
          <w:p w14:paraId="596D35F5">
            <w:pPr>
              <w:pStyle w:val="14"/>
            </w:pPr>
          </w:p>
        </w:tc>
      </w:tr>
      <w:tr w14:paraId="19B65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08A57">
            <w:pPr>
              <w:pStyle w:val="12"/>
            </w:pPr>
            <w:r>
              <w:t>15</w:t>
            </w:r>
          </w:p>
        </w:tc>
        <w:tc>
          <w:tcPr>
            <w:tcW w:w="4535" w:type="dxa"/>
            <w:vAlign w:val="center"/>
          </w:tcPr>
          <w:p w14:paraId="2214E4AC">
            <w:pPr>
              <w:pStyle w:val="13"/>
            </w:pPr>
          </w:p>
        </w:tc>
        <w:tc>
          <w:tcPr>
            <w:tcW w:w="2126" w:type="dxa"/>
            <w:vAlign w:val="center"/>
          </w:tcPr>
          <w:p w14:paraId="282F641B">
            <w:pPr>
              <w:pStyle w:val="14"/>
            </w:pPr>
          </w:p>
        </w:tc>
        <w:tc>
          <w:tcPr>
            <w:tcW w:w="4535" w:type="dxa"/>
            <w:vAlign w:val="center"/>
          </w:tcPr>
          <w:p w14:paraId="4C0F7463">
            <w:pPr>
              <w:pStyle w:val="13"/>
            </w:pPr>
            <w:r>
              <w:t>十五、资源勘探工业信息等支出</w:t>
            </w:r>
          </w:p>
        </w:tc>
        <w:tc>
          <w:tcPr>
            <w:tcW w:w="2126" w:type="dxa"/>
            <w:vAlign w:val="center"/>
          </w:tcPr>
          <w:p w14:paraId="285EDCEB">
            <w:pPr>
              <w:pStyle w:val="14"/>
            </w:pPr>
          </w:p>
        </w:tc>
      </w:tr>
      <w:tr w14:paraId="0078B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1850E">
            <w:pPr>
              <w:pStyle w:val="12"/>
            </w:pPr>
            <w:r>
              <w:t>16</w:t>
            </w:r>
          </w:p>
        </w:tc>
        <w:tc>
          <w:tcPr>
            <w:tcW w:w="4535" w:type="dxa"/>
            <w:vAlign w:val="center"/>
          </w:tcPr>
          <w:p w14:paraId="5EA89D31">
            <w:pPr>
              <w:pStyle w:val="13"/>
            </w:pPr>
          </w:p>
        </w:tc>
        <w:tc>
          <w:tcPr>
            <w:tcW w:w="2126" w:type="dxa"/>
            <w:vAlign w:val="center"/>
          </w:tcPr>
          <w:p w14:paraId="625F7620">
            <w:pPr>
              <w:pStyle w:val="14"/>
            </w:pPr>
          </w:p>
        </w:tc>
        <w:tc>
          <w:tcPr>
            <w:tcW w:w="4535" w:type="dxa"/>
            <w:vAlign w:val="center"/>
          </w:tcPr>
          <w:p w14:paraId="573C67C3">
            <w:pPr>
              <w:pStyle w:val="13"/>
            </w:pPr>
            <w:r>
              <w:t>十六、商业服务业等支出</w:t>
            </w:r>
          </w:p>
        </w:tc>
        <w:tc>
          <w:tcPr>
            <w:tcW w:w="2126" w:type="dxa"/>
            <w:vAlign w:val="center"/>
          </w:tcPr>
          <w:p w14:paraId="4F6E8145">
            <w:pPr>
              <w:pStyle w:val="14"/>
            </w:pPr>
          </w:p>
        </w:tc>
      </w:tr>
      <w:tr w14:paraId="1A733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58D68">
            <w:pPr>
              <w:pStyle w:val="12"/>
            </w:pPr>
            <w:r>
              <w:t>17</w:t>
            </w:r>
          </w:p>
        </w:tc>
        <w:tc>
          <w:tcPr>
            <w:tcW w:w="4535" w:type="dxa"/>
            <w:vAlign w:val="center"/>
          </w:tcPr>
          <w:p w14:paraId="388D3C6A">
            <w:pPr>
              <w:pStyle w:val="13"/>
            </w:pPr>
          </w:p>
        </w:tc>
        <w:tc>
          <w:tcPr>
            <w:tcW w:w="2126" w:type="dxa"/>
            <w:vAlign w:val="center"/>
          </w:tcPr>
          <w:p w14:paraId="62678BF8">
            <w:pPr>
              <w:pStyle w:val="14"/>
            </w:pPr>
          </w:p>
        </w:tc>
        <w:tc>
          <w:tcPr>
            <w:tcW w:w="4535" w:type="dxa"/>
            <w:vAlign w:val="center"/>
          </w:tcPr>
          <w:p w14:paraId="2DED0415">
            <w:pPr>
              <w:pStyle w:val="13"/>
            </w:pPr>
            <w:r>
              <w:t>十七、金融支出</w:t>
            </w:r>
          </w:p>
        </w:tc>
        <w:tc>
          <w:tcPr>
            <w:tcW w:w="2126" w:type="dxa"/>
            <w:vAlign w:val="center"/>
          </w:tcPr>
          <w:p w14:paraId="0C47392F">
            <w:pPr>
              <w:pStyle w:val="14"/>
            </w:pPr>
          </w:p>
        </w:tc>
      </w:tr>
      <w:tr w14:paraId="11128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B1CB3">
            <w:pPr>
              <w:pStyle w:val="12"/>
            </w:pPr>
            <w:r>
              <w:t>18</w:t>
            </w:r>
          </w:p>
        </w:tc>
        <w:tc>
          <w:tcPr>
            <w:tcW w:w="4535" w:type="dxa"/>
            <w:vAlign w:val="center"/>
          </w:tcPr>
          <w:p w14:paraId="42CD0F2F">
            <w:pPr>
              <w:pStyle w:val="13"/>
            </w:pPr>
          </w:p>
        </w:tc>
        <w:tc>
          <w:tcPr>
            <w:tcW w:w="2126" w:type="dxa"/>
            <w:vAlign w:val="center"/>
          </w:tcPr>
          <w:p w14:paraId="71513888">
            <w:pPr>
              <w:pStyle w:val="14"/>
            </w:pPr>
          </w:p>
        </w:tc>
        <w:tc>
          <w:tcPr>
            <w:tcW w:w="4535" w:type="dxa"/>
            <w:vAlign w:val="center"/>
          </w:tcPr>
          <w:p w14:paraId="65E518E5">
            <w:pPr>
              <w:pStyle w:val="13"/>
            </w:pPr>
            <w:r>
              <w:t>十八、援助其他地区支出</w:t>
            </w:r>
          </w:p>
        </w:tc>
        <w:tc>
          <w:tcPr>
            <w:tcW w:w="2126" w:type="dxa"/>
            <w:vAlign w:val="center"/>
          </w:tcPr>
          <w:p w14:paraId="34827E18">
            <w:pPr>
              <w:pStyle w:val="14"/>
            </w:pPr>
          </w:p>
        </w:tc>
      </w:tr>
      <w:tr w14:paraId="0A401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F46E3">
            <w:pPr>
              <w:pStyle w:val="12"/>
            </w:pPr>
            <w:r>
              <w:t>19</w:t>
            </w:r>
          </w:p>
        </w:tc>
        <w:tc>
          <w:tcPr>
            <w:tcW w:w="4535" w:type="dxa"/>
            <w:vAlign w:val="center"/>
          </w:tcPr>
          <w:p w14:paraId="20CC3A12">
            <w:pPr>
              <w:pStyle w:val="13"/>
            </w:pPr>
          </w:p>
        </w:tc>
        <w:tc>
          <w:tcPr>
            <w:tcW w:w="2126" w:type="dxa"/>
            <w:vAlign w:val="center"/>
          </w:tcPr>
          <w:p w14:paraId="527BF72F">
            <w:pPr>
              <w:pStyle w:val="14"/>
            </w:pPr>
          </w:p>
        </w:tc>
        <w:tc>
          <w:tcPr>
            <w:tcW w:w="4535" w:type="dxa"/>
            <w:vAlign w:val="center"/>
          </w:tcPr>
          <w:p w14:paraId="271F0826">
            <w:pPr>
              <w:pStyle w:val="13"/>
            </w:pPr>
            <w:r>
              <w:t>十九、自然资源海洋气象等支出</w:t>
            </w:r>
          </w:p>
        </w:tc>
        <w:tc>
          <w:tcPr>
            <w:tcW w:w="2126" w:type="dxa"/>
            <w:vAlign w:val="center"/>
          </w:tcPr>
          <w:p w14:paraId="5A119E44">
            <w:pPr>
              <w:pStyle w:val="14"/>
            </w:pPr>
          </w:p>
        </w:tc>
      </w:tr>
      <w:tr w14:paraId="50AE7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A65B6">
            <w:pPr>
              <w:pStyle w:val="12"/>
            </w:pPr>
            <w:r>
              <w:t>20</w:t>
            </w:r>
          </w:p>
        </w:tc>
        <w:tc>
          <w:tcPr>
            <w:tcW w:w="4535" w:type="dxa"/>
            <w:vAlign w:val="center"/>
          </w:tcPr>
          <w:p w14:paraId="2C6C61A2">
            <w:pPr>
              <w:pStyle w:val="13"/>
            </w:pPr>
          </w:p>
        </w:tc>
        <w:tc>
          <w:tcPr>
            <w:tcW w:w="2126" w:type="dxa"/>
            <w:vAlign w:val="center"/>
          </w:tcPr>
          <w:p w14:paraId="2BA0D6AE">
            <w:pPr>
              <w:pStyle w:val="14"/>
            </w:pPr>
          </w:p>
        </w:tc>
        <w:tc>
          <w:tcPr>
            <w:tcW w:w="4535" w:type="dxa"/>
            <w:vAlign w:val="center"/>
          </w:tcPr>
          <w:p w14:paraId="1B5F2517">
            <w:pPr>
              <w:pStyle w:val="13"/>
            </w:pPr>
            <w:r>
              <w:t>二十、住房保障支出</w:t>
            </w:r>
          </w:p>
        </w:tc>
        <w:tc>
          <w:tcPr>
            <w:tcW w:w="2126" w:type="dxa"/>
            <w:vAlign w:val="center"/>
          </w:tcPr>
          <w:p w14:paraId="308C8A42">
            <w:pPr>
              <w:pStyle w:val="14"/>
            </w:pPr>
          </w:p>
        </w:tc>
      </w:tr>
      <w:tr w14:paraId="58CCD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406FA">
            <w:pPr>
              <w:pStyle w:val="12"/>
            </w:pPr>
            <w:r>
              <w:t>21</w:t>
            </w:r>
          </w:p>
        </w:tc>
        <w:tc>
          <w:tcPr>
            <w:tcW w:w="4535" w:type="dxa"/>
            <w:vAlign w:val="center"/>
          </w:tcPr>
          <w:p w14:paraId="5F5FC6E6">
            <w:pPr>
              <w:pStyle w:val="13"/>
            </w:pPr>
          </w:p>
        </w:tc>
        <w:tc>
          <w:tcPr>
            <w:tcW w:w="2126" w:type="dxa"/>
            <w:vAlign w:val="center"/>
          </w:tcPr>
          <w:p w14:paraId="064A7C38">
            <w:pPr>
              <w:pStyle w:val="14"/>
            </w:pPr>
          </w:p>
        </w:tc>
        <w:tc>
          <w:tcPr>
            <w:tcW w:w="4535" w:type="dxa"/>
            <w:vAlign w:val="center"/>
          </w:tcPr>
          <w:p w14:paraId="60484C9B">
            <w:pPr>
              <w:pStyle w:val="13"/>
            </w:pPr>
            <w:r>
              <w:t>二十一、粮油物资储备支出</w:t>
            </w:r>
          </w:p>
        </w:tc>
        <w:tc>
          <w:tcPr>
            <w:tcW w:w="2126" w:type="dxa"/>
            <w:vAlign w:val="center"/>
          </w:tcPr>
          <w:p w14:paraId="60783A3C">
            <w:pPr>
              <w:pStyle w:val="14"/>
            </w:pPr>
          </w:p>
        </w:tc>
      </w:tr>
      <w:tr w14:paraId="4A35E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22B4E">
            <w:pPr>
              <w:pStyle w:val="12"/>
            </w:pPr>
            <w:r>
              <w:t>22</w:t>
            </w:r>
          </w:p>
        </w:tc>
        <w:tc>
          <w:tcPr>
            <w:tcW w:w="4535" w:type="dxa"/>
            <w:vAlign w:val="center"/>
          </w:tcPr>
          <w:p w14:paraId="509FC300">
            <w:pPr>
              <w:pStyle w:val="13"/>
            </w:pPr>
          </w:p>
        </w:tc>
        <w:tc>
          <w:tcPr>
            <w:tcW w:w="2126" w:type="dxa"/>
            <w:vAlign w:val="center"/>
          </w:tcPr>
          <w:p w14:paraId="77BA2E21">
            <w:pPr>
              <w:pStyle w:val="14"/>
            </w:pPr>
          </w:p>
        </w:tc>
        <w:tc>
          <w:tcPr>
            <w:tcW w:w="4535" w:type="dxa"/>
            <w:vAlign w:val="center"/>
          </w:tcPr>
          <w:p w14:paraId="18876C1A">
            <w:pPr>
              <w:pStyle w:val="13"/>
            </w:pPr>
            <w:r>
              <w:t>二十二、国有资本经营预算支出</w:t>
            </w:r>
          </w:p>
        </w:tc>
        <w:tc>
          <w:tcPr>
            <w:tcW w:w="2126" w:type="dxa"/>
            <w:vAlign w:val="center"/>
          </w:tcPr>
          <w:p w14:paraId="4072D072">
            <w:pPr>
              <w:pStyle w:val="14"/>
            </w:pPr>
          </w:p>
        </w:tc>
      </w:tr>
      <w:tr w14:paraId="61DF5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48619">
            <w:pPr>
              <w:pStyle w:val="12"/>
            </w:pPr>
            <w:r>
              <w:t>23</w:t>
            </w:r>
          </w:p>
        </w:tc>
        <w:tc>
          <w:tcPr>
            <w:tcW w:w="4535" w:type="dxa"/>
            <w:vAlign w:val="center"/>
          </w:tcPr>
          <w:p w14:paraId="0DFC31B8">
            <w:pPr>
              <w:pStyle w:val="13"/>
            </w:pPr>
          </w:p>
        </w:tc>
        <w:tc>
          <w:tcPr>
            <w:tcW w:w="2126" w:type="dxa"/>
            <w:vAlign w:val="center"/>
          </w:tcPr>
          <w:p w14:paraId="5864678C">
            <w:pPr>
              <w:pStyle w:val="14"/>
            </w:pPr>
          </w:p>
        </w:tc>
        <w:tc>
          <w:tcPr>
            <w:tcW w:w="4535" w:type="dxa"/>
            <w:vAlign w:val="center"/>
          </w:tcPr>
          <w:p w14:paraId="76AD695E">
            <w:pPr>
              <w:pStyle w:val="13"/>
            </w:pPr>
            <w:r>
              <w:t>二十三、灾害防治及应急管理支出</w:t>
            </w:r>
          </w:p>
        </w:tc>
        <w:tc>
          <w:tcPr>
            <w:tcW w:w="2126" w:type="dxa"/>
            <w:vAlign w:val="center"/>
          </w:tcPr>
          <w:p w14:paraId="6B197195">
            <w:pPr>
              <w:pStyle w:val="14"/>
            </w:pPr>
          </w:p>
        </w:tc>
      </w:tr>
      <w:tr w14:paraId="0E11E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688C9">
            <w:pPr>
              <w:pStyle w:val="12"/>
            </w:pPr>
            <w:r>
              <w:t>24</w:t>
            </w:r>
          </w:p>
        </w:tc>
        <w:tc>
          <w:tcPr>
            <w:tcW w:w="4535" w:type="dxa"/>
            <w:vAlign w:val="center"/>
          </w:tcPr>
          <w:p w14:paraId="49FE814E">
            <w:pPr>
              <w:pStyle w:val="13"/>
            </w:pPr>
          </w:p>
        </w:tc>
        <w:tc>
          <w:tcPr>
            <w:tcW w:w="2126" w:type="dxa"/>
            <w:vAlign w:val="center"/>
          </w:tcPr>
          <w:p w14:paraId="57EB2728">
            <w:pPr>
              <w:pStyle w:val="14"/>
            </w:pPr>
          </w:p>
        </w:tc>
        <w:tc>
          <w:tcPr>
            <w:tcW w:w="4535" w:type="dxa"/>
            <w:vAlign w:val="center"/>
          </w:tcPr>
          <w:p w14:paraId="683D8D81">
            <w:pPr>
              <w:pStyle w:val="13"/>
            </w:pPr>
            <w:r>
              <w:t>二十四、预备费</w:t>
            </w:r>
          </w:p>
        </w:tc>
        <w:tc>
          <w:tcPr>
            <w:tcW w:w="2126" w:type="dxa"/>
            <w:vAlign w:val="center"/>
          </w:tcPr>
          <w:p w14:paraId="6A843C93">
            <w:pPr>
              <w:pStyle w:val="14"/>
            </w:pPr>
          </w:p>
        </w:tc>
      </w:tr>
      <w:tr w14:paraId="3CDF0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D3B0B">
            <w:pPr>
              <w:pStyle w:val="12"/>
            </w:pPr>
            <w:r>
              <w:t>25</w:t>
            </w:r>
          </w:p>
        </w:tc>
        <w:tc>
          <w:tcPr>
            <w:tcW w:w="4535" w:type="dxa"/>
            <w:vAlign w:val="center"/>
          </w:tcPr>
          <w:p w14:paraId="388D805D">
            <w:pPr>
              <w:pStyle w:val="13"/>
            </w:pPr>
          </w:p>
        </w:tc>
        <w:tc>
          <w:tcPr>
            <w:tcW w:w="2126" w:type="dxa"/>
            <w:vAlign w:val="center"/>
          </w:tcPr>
          <w:p w14:paraId="2D5C2477">
            <w:pPr>
              <w:pStyle w:val="14"/>
            </w:pPr>
          </w:p>
        </w:tc>
        <w:tc>
          <w:tcPr>
            <w:tcW w:w="4535" w:type="dxa"/>
            <w:vAlign w:val="center"/>
          </w:tcPr>
          <w:p w14:paraId="16528608">
            <w:pPr>
              <w:pStyle w:val="13"/>
            </w:pPr>
            <w:r>
              <w:t>二十五、其他支出</w:t>
            </w:r>
          </w:p>
        </w:tc>
        <w:tc>
          <w:tcPr>
            <w:tcW w:w="2126" w:type="dxa"/>
            <w:vAlign w:val="center"/>
          </w:tcPr>
          <w:p w14:paraId="33D09615">
            <w:pPr>
              <w:pStyle w:val="14"/>
            </w:pPr>
          </w:p>
        </w:tc>
      </w:tr>
      <w:tr w14:paraId="6C732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9FAD4">
            <w:pPr>
              <w:pStyle w:val="12"/>
            </w:pPr>
            <w:r>
              <w:t>26</w:t>
            </w:r>
          </w:p>
        </w:tc>
        <w:tc>
          <w:tcPr>
            <w:tcW w:w="4535" w:type="dxa"/>
            <w:vAlign w:val="center"/>
          </w:tcPr>
          <w:p w14:paraId="2AF1393B">
            <w:pPr>
              <w:pStyle w:val="13"/>
            </w:pPr>
          </w:p>
        </w:tc>
        <w:tc>
          <w:tcPr>
            <w:tcW w:w="2126" w:type="dxa"/>
            <w:vAlign w:val="center"/>
          </w:tcPr>
          <w:p w14:paraId="6AA29B66">
            <w:pPr>
              <w:pStyle w:val="14"/>
            </w:pPr>
          </w:p>
        </w:tc>
        <w:tc>
          <w:tcPr>
            <w:tcW w:w="4535" w:type="dxa"/>
            <w:vAlign w:val="center"/>
          </w:tcPr>
          <w:p w14:paraId="047BC77A">
            <w:pPr>
              <w:pStyle w:val="13"/>
            </w:pPr>
            <w:r>
              <w:t>二十六、转移性支出</w:t>
            </w:r>
          </w:p>
        </w:tc>
        <w:tc>
          <w:tcPr>
            <w:tcW w:w="2126" w:type="dxa"/>
            <w:vAlign w:val="center"/>
          </w:tcPr>
          <w:p w14:paraId="59B7375E">
            <w:pPr>
              <w:pStyle w:val="14"/>
            </w:pPr>
          </w:p>
        </w:tc>
      </w:tr>
      <w:tr w14:paraId="4BC8E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58BC7">
            <w:pPr>
              <w:pStyle w:val="12"/>
            </w:pPr>
            <w:r>
              <w:t>27</w:t>
            </w:r>
          </w:p>
        </w:tc>
        <w:tc>
          <w:tcPr>
            <w:tcW w:w="4535" w:type="dxa"/>
            <w:vAlign w:val="center"/>
          </w:tcPr>
          <w:p w14:paraId="571AE92E">
            <w:pPr>
              <w:pStyle w:val="13"/>
            </w:pPr>
          </w:p>
        </w:tc>
        <w:tc>
          <w:tcPr>
            <w:tcW w:w="2126" w:type="dxa"/>
            <w:vAlign w:val="center"/>
          </w:tcPr>
          <w:p w14:paraId="1CD77A83">
            <w:pPr>
              <w:pStyle w:val="14"/>
            </w:pPr>
          </w:p>
        </w:tc>
        <w:tc>
          <w:tcPr>
            <w:tcW w:w="4535" w:type="dxa"/>
            <w:vAlign w:val="center"/>
          </w:tcPr>
          <w:p w14:paraId="6CA014EC">
            <w:pPr>
              <w:pStyle w:val="13"/>
            </w:pPr>
            <w:r>
              <w:t>二十七、债务还本支出</w:t>
            </w:r>
          </w:p>
        </w:tc>
        <w:tc>
          <w:tcPr>
            <w:tcW w:w="2126" w:type="dxa"/>
            <w:vAlign w:val="center"/>
          </w:tcPr>
          <w:p w14:paraId="108D36E7">
            <w:pPr>
              <w:pStyle w:val="14"/>
            </w:pPr>
          </w:p>
        </w:tc>
      </w:tr>
      <w:tr w14:paraId="6ECAC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43483">
            <w:pPr>
              <w:pStyle w:val="12"/>
            </w:pPr>
            <w:r>
              <w:t>28</w:t>
            </w:r>
          </w:p>
        </w:tc>
        <w:tc>
          <w:tcPr>
            <w:tcW w:w="4535" w:type="dxa"/>
            <w:vAlign w:val="center"/>
          </w:tcPr>
          <w:p w14:paraId="7D842F23">
            <w:pPr>
              <w:pStyle w:val="13"/>
            </w:pPr>
          </w:p>
        </w:tc>
        <w:tc>
          <w:tcPr>
            <w:tcW w:w="2126" w:type="dxa"/>
            <w:vAlign w:val="center"/>
          </w:tcPr>
          <w:p w14:paraId="289F0257">
            <w:pPr>
              <w:pStyle w:val="14"/>
            </w:pPr>
          </w:p>
        </w:tc>
        <w:tc>
          <w:tcPr>
            <w:tcW w:w="4535" w:type="dxa"/>
            <w:vAlign w:val="center"/>
          </w:tcPr>
          <w:p w14:paraId="0EEBF0B8">
            <w:pPr>
              <w:pStyle w:val="13"/>
            </w:pPr>
            <w:r>
              <w:t>二十八、债务付息支出</w:t>
            </w:r>
          </w:p>
        </w:tc>
        <w:tc>
          <w:tcPr>
            <w:tcW w:w="2126" w:type="dxa"/>
            <w:vAlign w:val="center"/>
          </w:tcPr>
          <w:p w14:paraId="431B6557">
            <w:pPr>
              <w:pStyle w:val="14"/>
            </w:pPr>
          </w:p>
        </w:tc>
      </w:tr>
      <w:tr w14:paraId="39A95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3B93C">
            <w:pPr>
              <w:pStyle w:val="12"/>
            </w:pPr>
            <w:r>
              <w:t>29</w:t>
            </w:r>
          </w:p>
        </w:tc>
        <w:tc>
          <w:tcPr>
            <w:tcW w:w="4535" w:type="dxa"/>
            <w:vAlign w:val="center"/>
          </w:tcPr>
          <w:p w14:paraId="1C10B57F">
            <w:pPr>
              <w:pStyle w:val="13"/>
            </w:pPr>
          </w:p>
        </w:tc>
        <w:tc>
          <w:tcPr>
            <w:tcW w:w="2126" w:type="dxa"/>
            <w:vAlign w:val="center"/>
          </w:tcPr>
          <w:p w14:paraId="78B1A6BF">
            <w:pPr>
              <w:pStyle w:val="14"/>
            </w:pPr>
          </w:p>
        </w:tc>
        <w:tc>
          <w:tcPr>
            <w:tcW w:w="4535" w:type="dxa"/>
            <w:vAlign w:val="center"/>
          </w:tcPr>
          <w:p w14:paraId="5D829423">
            <w:pPr>
              <w:pStyle w:val="13"/>
            </w:pPr>
            <w:r>
              <w:t>二十九、债务发行费用支出</w:t>
            </w:r>
          </w:p>
        </w:tc>
        <w:tc>
          <w:tcPr>
            <w:tcW w:w="2126" w:type="dxa"/>
            <w:vAlign w:val="center"/>
          </w:tcPr>
          <w:p w14:paraId="4FB8F98B">
            <w:pPr>
              <w:pStyle w:val="14"/>
            </w:pPr>
          </w:p>
        </w:tc>
      </w:tr>
      <w:tr w14:paraId="727B6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8B724E6">
            <w:pPr>
              <w:pStyle w:val="12"/>
            </w:pPr>
            <w:r>
              <w:t>30</w:t>
            </w:r>
          </w:p>
        </w:tc>
        <w:tc>
          <w:tcPr>
            <w:tcW w:w="4535" w:type="dxa"/>
            <w:vAlign w:val="center"/>
          </w:tcPr>
          <w:p w14:paraId="10B93750">
            <w:pPr>
              <w:pStyle w:val="13"/>
            </w:pPr>
          </w:p>
        </w:tc>
        <w:tc>
          <w:tcPr>
            <w:tcW w:w="2126" w:type="dxa"/>
            <w:vAlign w:val="center"/>
          </w:tcPr>
          <w:p w14:paraId="429C9F07">
            <w:pPr>
              <w:pStyle w:val="14"/>
            </w:pPr>
          </w:p>
        </w:tc>
        <w:tc>
          <w:tcPr>
            <w:tcW w:w="4535" w:type="dxa"/>
            <w:vAlign w:val="center"/>
          </w:tcPr>
          <w:p w14:paraId="41ECFFC8">
            <w:pPr>
              <w:pStyle w:val="13"/>
            </w:pPr>
            <w:r>
              <w:t>三十、抗疫特别国债安排的支出</w:t>
            </w:r>
          </w:p>
        </w:tc>
        <w:tc>
          <w:tcPr>
            <w:tcW w:w="2126" w:type="dxa"/>
            <w:vAlign w:val="center"/>
          </w:tcPr>
          <w:p w14:paraId="48CA8388">
            <w:pPr>
              <w:pStyle w:val="14"/>
            </w:pPr>
          </w:p>
        </w:tc>
      </w:tr>
      <w:tr w14:paraId="36680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95A73">
            <w:pPr>
              <w:pStyle w:val="12"/>
            </w:pPr>
            <w:r>
              <w:t>31</w:t>
            </w:r>
          </w:p>
        </w:tc>
        <w:tc>
          <w:tcPr>
            <w:tcW w:w="4535" w:type="dxa"/>
            <w:vAlign w:val="center"/>
          </w:tcPr>
          <w:p w14:paraId="7A96FD21">
            <w:pPr>
              <w:pStyle w:val="13"/>
            </w:pPr>
          </w:p>
        </w:tc>
        <w:tc>
          <w:tcPr>
            <w:tcW w:w="2126" w:type="dxa"/>
            <w:vAlign w:val="center"/>
          </w:tcPr>
          <w:p w14:paraId="4E3DB94D">
            <w:pPr>
              <w:pStyle w:val="14"/>
            </w:pPr>
          </w:p>
        </w:tc>
        <w:tc>
          <w:tcPr>
            <w:tcW w:w="4535" w:type="dxa"/>
            <w:vAlign w:val="center"/>
          </w:tcPr>
          <w:p w14:paraId="3CF0F5F0">
            <w:pPr>
              <w:pStyle w:val="13"/>
            </w:pPr>
            <w:r>
              <w:t>三十一、人行科目</w:t>
            </w:r>
          </w:p>
        </w:tc>
        <w:tc>
          <w:tcPr>
            <w:tcW w:w="2126" w:type="dxa"/>
            <w:vAlign w:val="center"/>
          </w:tcPr>
          <w:p w14:paraId="626B83C5">
            <w:pPr>
              <w:pStyle w:val="14"/>
            </w:pPr>
          </w:p>
        </w:tc>
      </w:tr>
      <w:tr w14:paraId="6E6F5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F496E">
            <w:pPr>
              <w:pStyle w:val="12"/>
            </w:pPr>
            <w:r>
              <w:t>32</w:t>
            </w:r>
          </w:p>
        </w:tc>
        <w:tc>
          <w:tcPr>
            <w:tcW w:w="4535" w:type="dxa"/>
            <w:vAlign w:val="center"/>
          </w:tcPr>
          <w:p w14:paraId="0887B2B8">
            <w:pPr>
              <w:pStyle w:val="15"/>
            </w:pPr>
            <w:r>
              <w:t>本年收入合计</w:t>
            </w:r>
          </w:p>
        </w:tc>
        <w:tc>
          <w:tcPr>
            <w:tcW w:w="2126" w:type="dxa"/>
            <w:vAlign w:val="center"/>
          </w:tcPr>
          <w:p w14:paraId="7E91749B">
            <w:pPr>
              <w:pStyle w:val="16"/>
            </w:pPr>
            <w:r>
              <w:t>1342.51</w:t>
            </w:r>
          </w:p>
        </w:tc>
        <w:tc>
          <w:tcPr>
            <w:tcW w:w="4535" w:type="dxa"/>
            <w:vAlign w:val="center"/>
          </w:tcPr>
          <w:p w14:paraId="626D608B">
            <w:pPr>
              <w:pStyle w:val="15"/>
            </w:pPr>
            <w:r>
              <w:t>本年支出合计</w:t>
            </w:r>
          </w:p>
        </w:tc>
        <w:tc>
          <w:tcPr>
            <w:tcW w:w="2126" w:type="dxa"/>
            <w:vAlign w:val="center"/>
          </w:tcPr>
          <w:p w14:paraId="65288044">
            <w:pPr>
              <w:pStyle w:val="16"/>
            </w:pPr>
            <w:r>
              <w:t>1342.51</w:t>
            </w:r>
          </w:p>
        </w:tc>
      </w:tr>
      <w:tr w14:paraId="3B73E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52463">
            <w:pPr>
              <w:pStyle w:val="12"/>
            </w:pPr>
            <w:r>
              <w:t>33</w:t>
            </w:r>
          </w:p>
        </w:tc>
        <w:tc>
          <w:tcPr>
            <w:tcW w:w="4535" w:type="dxa"/>
            <w:vAlign w:val="center"/>
          </w:tcPr>
          <w:p w14:paraId="73319D39">
            <w:pPr>
              <w:pStyle w:val="13"/>
            </w:pPr>
            <w:r>
              <w:t>上年结转结余</w:t>
            </w:r>
          </w:p>
        </w:tc>
        <w:tc>
          <w:tcPr>
            <w:tcW w:w="2126" w:type="dxa"/>
            <w:vAlign w:val="center"/>
          </w:tcPr>
          <w:p w14:paraId="48AE3DC7">
            <w:pPr>
              <w:pStyle w:val="14"/>
            </w:pPr>
          </w:p>
        </w:tc>
        <w:tc>
          <w:tcPr>
            <w:tcW w:w="4535" w:type="dxa"/>
            <w:vAlign w:val="center"/>
          </w:tcPr>
          <w:p w14:paraId="75579255">
            <w:pPr>
              <w:pStyle w:val="13"/>
            </w:pPr>
            <w:r>
              <w:t>年终结转结余</w:t>
            </w:r>
          </w:p>
        </w:tc>
        <w:tc>
          <w:tcPr>
            <w:tcW w:w="2126" w:type="dxa"/>
            <w:vAlign w:val="center"/>
          </w:tcPr>
          <w:p w14:paraId="01F81E1B">
            <w:pPr>
              <w:pStyle w:val="14"/>
            </w:pPr>
          </w:p>
        </w:tc>
      </w:tr>
      <w:tr w14:paraId="48EB2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E84B0">
            <w:pPr>
              <w:pStyle w:val="12"/>
            </w:pPr>
            <w:r>
              <w:t>34</w:t>
            </w:r>
          </w:p>
        </w:tc>
        <w:tc>
          <w:tcPr>
            <w:tcW w:w="4535" w:type="dxa"/>
            <w:vAlign w:val="center"/>
          </w:tcPr>
          <w:p w14:paraId="6B294AFF">
            <w:pPr>
              <w:pStyle w:val="15"/>
            </w:pPr>
            <w:r>
              <w:t>收入总计</w:t>
            </w:r>
          </w:p>
        </w:tc>
        <w:tc>
          <w:tcPr>
            <w:tcW w:w="2126" w:type="dxa"/>
            <w:vAlign w:val="center"/>
          </w:tcPr>
          <w:p w14:paraId="30E6D8BD">
            <w:pPr>
              <w:pStyle w:val="16"/>
            </w:pPr>
            <w:r>
              <w:t>1342.51</w:t>
            </w:r>
          </w:p>
        </w:tc>
        <w:tc>
          <w:tcPr>
            <w:tcW w:w="4535" w:type="dxa"/>
            <w:vAlign w:val="center"/>
          </w:tcPr>
          <w:p w14:paraId="693F83C0">
            <w:pPr>
              <w:pStyle w:val="15"/>
            </w:pPr>
            <w:r>
              <w:t>支出总计</w:t>
            </w:r>
          </w:p>
        </w:tc>
        <w:tc>
          <w:tcPr>
            <w:tcW w:w="2126" w:type="dxa"/>
            <w:vAlign w:val="center"/>
          </w:tcPr>
          <w:p w14:paraId="12789BD5">
            <w:pPr>
              <w:pStyle w:val="16"/>
            </w:pPr>
            <w:r>
              <w:t>1342.51</w:t>
            </w:r>
          </w:p>
        </w:tc>
      </w:tr>
    </w:tbl>
    <w:p w14:paraId="286665B5">
      <w:pPr>
        <w:sectPr>
          <w:pgSz w:w="16840" w:h="11900" w:orient="landscape"/>
          <w:pgMar w:top="1361" w:right="1020" w:bottom="1134" w:left="1020" w:header="720" w:footer="720" w:gutter="0"/>
          <w:cols w:space="720" w:num="1"/>
        </w:sectPr>
      </w:pPr>
    </w:p>
    <w:p w14:paraId="2C5A42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8B8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D9E9E9">
            <w:pPr>
              <w:pStyle w:val="8"/>
            </w:pPr>
            <w:r>
              <w:t>360006隆尧县东良中学</w:t>
            </w:r>
          </w:p>
        </w:tc>
        <w:tc>
          <w:tcPr>
            <w:tcW w:w="3402" w:type="dxa"/>
            <w:gridSpan w:val="3"/>
            <w:tcBorders>
              <w:top w:val="single" w:color="FFFFFF" w:sz="6" w:space="0"/>
              <w:left w:val="single" w:color="FFFFFF" w:sz="6" w:space="0"/>
              <w:right w:val="single" w:color="FFFFFF" w:sz="6" w:space="0"/>
            </w:tcBorders>
            <w:vAlign w:val="center"/>
          </w:tcPr>
          <w:p w14:paraId="4E6705A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033F66C">
            <w:pPr>
              <w:pStyle w:val="10"/>
            </w:pPr>
            <w:r>
              <w:t>单位：万元</w:t>
            </w:r>
          </w:p>
        </w:tc>
      </w:tr>
      <w:tr w14:paraId="4398F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E2B6CE">
            <w:pPr>
              <w:pStyle w:val="11"/>
            </w:pPr>
            <w:r>
              <w:t>序号</w:t>
            </w:r>
          </w:p>
        </w:tc>
        <w:tc>
          <w:tcPr>
            <w:tcW w:w="2551" w:type="dxa"/>
            <w:gridSpan w:val="2"/>
            <w:vAlign w:val="center"/>
          </w:tcPr>
          <w:p w14:paraId="19061BE7">
            <w:pPr>
              <w:pStyle w:val="11"/>
            </w:pPr>
            <w:r>
              <w:t>功能分类科目</w:t>
            </w:r>
          </w:p>
        </w:tc>
        <w:tc>
          <w:tcPr>
            <w:tcW w:w="1134" w:type="dxa"/>
            <w:vMerge w:val="restart"/>
            <w:vAlign w:val="center"/>
          </w:tcPr>
          <w:p w14:paraId="4DF1F2B1">
            <w:pPr>
              <w:pStyle w:val="11"/>
            </w:pPr>
            <w:r>
              <w:t>合计</w:t>
            </w:r>
          </w:p>
        </w:tc>
        <w:tc>
          <w:tcPr>
            <w:tcW w:w="9072" w:type="dxa"/>
            <w:gridSpan w:val="8"/>
            <w:vAlign w:val="center"/>
          </w:tcPr>
          <w:p w14:paraId="74B57DD3">
            <w:pPr>
              <w:pStyle w:val="11"/>
            </w:pPr>
            <w:r>
              <w:t>本年收入</w:t>
            </w:r>
          </w:p>
        </w:tc>
        <w:tc>
          <w:tcPr>
            <w:tcW w:w="1134" w:type="dxa"/>
            <w:vMerge w:val="restart"/>
            <w:vAlign w:val="center"/>
          </w:tcPr>
          <w:p w14:paraId="56ACD488">
            <w:pPr>
              <w:pStyle w:val="11"/>
            </w:pPr>
            <w:r>
              <w:t>上年结转</w:t>
            </w:r>
          </w:p>
        </w:tc>
      </w:tr>
      <w:tr w14:paraId="78A94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FAF93A"/>
        </w:tc>
        <w:tc>
          <w:tcPr>
            <w:tcW w:w="992" w:type="dxa"/>
            <w:vAlign w:val="center"/>
          </w:tcPr>
          <w:p w14:paraId="48FF0723">
            <w:pPr>
              <w:pStyle w:val="11"/>
            </w:pPr>
            <w:r>
              <w:t>科目    编码</w:t>
            </w:r>
          </w:p>
        </w:tc>
        <w:tc>
          <w:tcPr>
            <w:tcW w:w="1559" w:type="dxa"/>
            <w:vAlign w:val="center"/>
          </w:tcPr>
          <w:p w14:paraId="15EFFAAB">
            <w:pPr>
              <w:pStyle w:val="11"/>
            </w:pPr>
            <w:r>
              <w:t>科目名称</w:t>
            </w:r>
          </w:p>
        </w:tc>
        <w:tc>
          <w:tcPr>
            <w:tcW w:w="1134" w:type="dxa"/>
            <w:vMerge w:val="continue"/>
          </w:tcPr>
          <w:p w14:paraId="4524AA66"/>
        </w:tc>
        <w:tc>
          <w:tcPr>
            <w:tcW w:w="1134" w:type="dxa"/>
            <w:vAlign w:val="center"/>
          </w:tcPr>
          <w:p w14:paraId="69317BC5">
            <w:pPr>
              <w:pStyle w:val="11"/>
            </w:pPr>
            <w:r>
              <w:t>小计</w:t>
            </w:r>
          </w:p>
        </w:tc>
        <w:tc>
          <w:tcPr>
            <w:tcW w:w="1134" w:type="dxa"/>
            <w:vAlign w:val="center"/>
          </w:tcPr>
          <w:p w14:paraId="1224F802">
            <w:pPr>
              <w:pStyle w:val="11"/>
            </w:pPr>
            <w:r>
              <w:t>财政拨款 收入</w:t>
            </w:r>
          </w:p>
        </w:tc>
        <w:tc>
          <w:tcPr>
            <w:tcW w:w="1134" w:type="dxa"/>
            <w:vAlign w:val="center"/>
          </w:tcPr>
          <w:p w14:paraId="3DBEC385">
            <w:pPr>
              <w:pStyle w:val="11"/>
            </w:pPr>
            <w:r>
              <w:t>财政专户 收入</w:t>
            </w:r>
          </w:p>
        </w:tc>
        <w:tc>
          <w:tcPr>
            <w:tcW w:w="1134" w:type="dxa"/>
            <w:vAlign w:val="center"/>
          </w:tcPr>
          <w:p w14:paraId="3FC898FD">
            <w:pPr>
              <w:pStyle w:val="11"/>
            </w:pPr>
            <w:r>
              <w:t>事业收入</w:t>
            </w:r>
          </w:p>
        </w:tc>
        <w:tc>
          <w:tcPr>
            <w:tcW w:w="1134" w:type="dxa"/>
            <w:vAlign w:val="center"/>
          </w:tcPr>
          <w:p w14:paraId="52C85AD3">
            <w:pPr>
              <w:pStyle w:val="11"/>
            </w:pPr>
            <w:r>
              <w:t>经营收入</w:t>
            </w:r>
          </w:p>
        </w:tc>
        <w:tc>
          <w:tcPr>
            <w:tcW w:w="1134" w:type="dxa"/>
            <w:vAlign w:val="center"/>
          </w:tcPr>
          <w:p w14:paraId="64EC3A7F">
            <w:pPr>
              <w:pStyle w:val="11"/>
            </w:pPr>
            <w:r>
              <w:t>上级补助收入</w:t>
            </w:r>
          </w:p>
        </w:tc>
        <w:tc>
          <w:tcPr>
            <w:tcW w:w="1134" w:type="dxa"/>
            <w:vAlign w:val="center"/>
          </w:tcPr>
          <w:p w14:paraId="3B38771B">
            <w:pPr>
              <w:pStyle w:val="11"/>
            </w:pPr>
            <w:r>
              <w:t>附属单位上缴收入</w:t>
            </w:r>
          </w:p>
        </w:tc>
        <w:tc>
          <w:tcPr>
            <w:tcW w:w="1134" w:type="dxa"/>
            <w:vAlign w:val="center"/>
          </w:tcPr>
          <w:p w14:paraId="7103F111">
            <w:pPr>
              <w:pStyle w:val="11"/>
            </w:pPr>
            <w:r>
              <w:t>其他收入</w:t>
            </w:r>
          </w:p>
        </w:tc>
        <w:tc>
          <w:tcPr>
            <w:tcW w:w="1134" w:type="dxa"/>
            <w:vMerge w:val="continue"/>
          </w:tcPr>
          <w:p w14:paraId="294AFDAB"/>
        </w:tc>
      </w:tr>
      <w:tr w14:paraId="4F794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AFA498">
            <w:pPr>
              <w:pStyle w:val="11"/>
            </w:pPr>
            <w:r>
              <w:t>栏次</w:t>
            </w:r>
          </w:p>
        </w:tc>
        <w:tc>
          <w:tcPr>
            <w:tcW w:w="992" w:type="dxa"/>
            <w:vAlign w:val="center"/>
          </w:tcPr>
          <w:p w14:paraId="3EA26B9C">
            <w:pPr>
              <w:pStyle w:val="11"/>
            </w:pPr>
            <w:r>
              <w:t>1</w:t>
            </w:r>
          </w:p>
        </w:tc>
        <w:tc>
          <w:tcPr>
            <w:tcW w:w="1559" w:type="dxa"/>
            <w:vAlign w:val="center"/>
          </w:tcPr>
          <w:p w14:paraId="6A8200C9">
            <w:pPr>
              <w:pStyle w:val="11"/>
            </w:pPr>
            <w:r>
              <w:t>2</w:t>
            </w:r>
          </w:p>
        </w:tc>
        <w:tc>
          <w:tcPr>
            <w:tcW w:w="1134" w:type="dxa"/>
            <w:vAlign w:val="center"/>
          </w:tcPr>
          <w:p w14:paraId="32A02DEB">
            <w:pPr>
              <w:pStyle w:val="11"/>
            </w:pPr>
            <w:r>
              <w:t>3</w:t>
            </w:r>
          </w:p>
        </w:tc>
        <w:tc>
          <w:tcPr>
            <w:tcW w:w="1134" w:type="dxa"/>
            <w:vAlign w:val="center"/>
          </w:tcPr>
          <w:p w14:paraId="226BB919">
            <w:pPr>
              <w:pStyle w:val="11"/>
            </w:pPr>
            <w:r>
              <w:t>4</w:t>
            </w:r>
          </w:p>
        </w:tc>
        <w:tc>
          <w:tcPr>
            <w:tcW w:w="1134" w:type="dxa"/>
            <w:vAlign w:val="center"/>
          </w:tcPr>
          <w:p w14:paraId="346AD3E4">
            <w:pPr>
              <w:pStyle w:val="11"/>
            </w:pPr>
            <w:r>
              <w:t>5</w:t>
            </w:r>
          </w:p>
        </w:tc>
        <w:tc>
          <w:tcPr>
            <w:tcW w:w="1134" w:type="dxa"/>
            <w:vAlign w:val="center"/>
          </w:tcPr>
          <w:p w14:paraId="23A13560">
            <w:pPr>
              <w:pStyle w:val="11"/>
            </w:pPr>
            <w:r>
              <w:t>6</w:t>
            </w:r>
          </w:p>
        </w:tc>
        <w:tc>
          <w:tcPr>
            <w:tcW w:w="1134" w:type="dxa"/>
            <w:vAlign w:val="center"/>
          </w:tcPr>
          <w:p w14:paraId="62E2D70E">
            <w:pPr>
              <w:pStyle w:val="11"/>
            </w:pPr>
            <w:r>
              <w:t>7</w:t>
            </w:r>
          </w:p>
        </w:tc>
        <w:tc>
          <w:tcPr>
            <w:tcW w:w="1134" w:type="dxa"/>
            <w:vAlign w:val="center"/>
          </w:tcPr>
          <w:p w14:paraId="6C5D4A91">
            <w:pPr>
              <w:pStyle w:val="11"/>
            </w:pPr>
            <w:r>
              <w:t>8</w:t>
            </w:r>
          </w:p>
        </w:tc>
        <w:tc>
          <w:tcPr>
            <w:tcW w:w="1134" w:type="dxa"/>
            <w:vAlign w:val="center"/>
          </w:tcPr>
          <w:p w14:paraId="3A53E707">
            <w:pPr>
              <w:pStyle w:val="11"/>
            </w:pPr>
            <w:r>
              <w:t>9</w:t>
            </w:r>
          </w:p>
        </w:tc>
        <w:tc>
          <w:tcPr>
            <w:tcW w:w="1134" w:type="dxa"/>
            <w:vAlign w:val="center"/>
          </w:tcPr>
          <w:p w14:paraId="00A64AD3">
            <w:pPr>
              <w:pStyle w:val="11"/>
            </w:pPr>
            <w:r>
              <w:t>10</w:t>
            </w:r>
          </w:p>
        </w:tc>
        <w:tc>
          <w:tcPr>
            <w:tcW w:w="1134" w:type="dxa"/>
            <w:vAlign w:val="center"/>
          </w:tcPr>
          <w:p w14:paraId="0C67209E">
            <w:pPr>
              <w:pStyle w:val="11"/>
            </w:pPr>
            <w:r>
              <w:t>11</w:t>
            </w:r>
          </w:p>
        </w:tc>
        <w:tc>
          <w:tcPr>
            <w:tcW w:w="1134" w:type="dxa"/>
            <w:vAlign w:val="center"/>
          </w:tcPr>
          <w:p w14:paraId="7C202DC3">
            <w:pPr>
              <w:pStyle w:val="11"/>
            </w:pPr>
            <w:r>
              <w:t>12</w:t>
            </w:r>
          </w:p>
        </w:tc>
      </w:tr>
      <w:tr w14:paraId="33B79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8ECE05">
            <w:pPr>
              <w:pStyle w:val="12"/>
            </w:pPr>
            <w:r>
              <w:t>1</w:t>
            </w:r>
          </w:p>
        </w:tc>
        <w:tc>
          <w:tcPr>
            <w:tcW w:w="992" w:type="dxa"/>
            <w:vAlign w:val="center"/>
          </w:tcPr>
          <w:p w14:paraId="255BCA3B">
            <w:pPr>
              <w:pStyle w:val="17"/>
            </w:pPr>
          </w:p>
        </w:tc>
        <w:tc>
          <w:tcPr>
            <w:tcW w:w="1559" w:type="dxa"/>
            <w:vAlign w:val="center"/>
          </w:tcPr>
          <w:p w14:paraId="02F58D49">
            <w:pPr>
              <w:pStyle w:val="15"/>
            </w:pPr>
            <w:r>
              <w:t>合计</w:t>
            </w:r>
          </w:p>
        </w:tc>
        <w:tc>
          <w:tcPr>
            <w:tcW w:w="1134" w:type="dxa"/>
            <w:vAlign w:val="center"/>
          </w:tcPr>
          <w:p w14:paraId="199C2687">
            <w:pPr>
              <w:pStyle w:val="16"/>
            </w:pPr>
            <w:r>
              <w:t>1342.51</w:t>
            </w:r>
          </w:p>
        </w:tc>
        <w:tc>
          <w:tcPr>
            <w:tcW w:w="1134" w:type="dxa"/>
            <w:vAlign w:val="center"/>
          </w:tcPr>
          <w:p w14:paraId="01229755">
            <w:pPr>
              <w:pStyle w:val="16"/>
            </w:pPr>
            <w:r>
              <w:t>1342.51</w:t>
            </w:r>
          </w:p>
        </w:tc>
        <w:tc>
          <w:tcPr>
            <w:tcW w:w="1134" w:type="dxa"/>
            <w:vAlign w:val="center"/>
          </w:tcPr>
          <w:p w14:paraId="1CDA2D02">
            <w:pPr>
              <w:pStyle w:val="16"/>
            </w:pPr>
            <w:r>
              <w:t>1342.51</w:t>
            </w:r>
          </w:p>
        </w:tc>
        <w:tc>
          <w:tcPr>
            <w:tcW w:w="1134" w:type="dxa"/>
            <w:vAlign w:val="center"/>
          </w:tcPr>
          <w:p w14:paraId="6BDBF78B">
            <w:pPr>
              <w:pStyle w:val="16"/>
            </w:pPr>
          </w:p>
        </w:tc>
        <w:tc>
          <w:tcPr>
            <w:tcW w:w="1134" w:type="dxa"/>
            <w:vAlign w:val="center"/>
          </w:tcPr>
          <w:p w14:paraId="45E9422F">
            <w:pPr>
              <w:pStyle w:val="16"/>
            </w:pPr>
          </w:p>
        </w:tc>
        <w:tc>
          <w:tcPr>
            <w:tcW w:w="1134" w:type="dxa"/>
            <w:vAlign w:val="center"/>
          </w:tcPr>
          <w:p w14:paraId="17696BB7">
            <w:pPr>
              <w:pStyle w:val="16"/>
            </w:pPr>
          </w:p>
        </w:tc>
        <w:tc>
          <w:tcPr>
            <w:tcW w:w="1134" w:type="dxa"/>
            <w:vAlign w:val="center"/>
          </w:tcPr>
          <w:p w14:paraId="673A7126">
            <w:pPr>
              <w:pStyle w:val="16"/>
            </w:pPr>
          </w:p>
        </w:tc>
        <w:tc>
          <w:tcPr>
            <w:tcW w:w="1134" w:type="dxa"/>
            <w:vAlign w:val="center"/>
          </w:tcPr>
          <w:p w14:paraId="0239219B">
            <w:pPr>
              <w:pStyle w:val="16"/>
            </w:pPr>
          </w:p>
        </w:tc>
        <w:tc>
          <w:tcPr>
            <w:tcW w:w="1134" w:type="dxa"/>
            <w:vAlign w:val="center"/>
          </w:tcPr>
          <w:p w14:paraId="48669C78">
            <w:pPr>
              <w:pStyle w:val="16"/>
            </w:pPr>
          </w:p>
        </w:tc>
        <w:tc>
          <w:tcPr>
            <w:tcW w:w="1134" w:type="dxa"/>
            <w:vAlign w:val="center"/>
          </w:tcPr>
          <w:p w14:paraId="1819E0F3">
            <w:pPr>
              <w:pStyle w:val="16"/>
            </w:pPr>
          </w:p>
        </w:tc>
      </w:tr>
      <w:tr w14:paraId="428C0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A3AB9A">
            <w:pPr>
              <w:pStyle w:val="12"/>
            </w:pPr>
            <w:r>
              <w:t>2</w:t>
            </w:r>
          </w:p>
        </w:tc>
        <w:tc>
          <w:tcPr>
            <w:tcW w:w="992" w:type="dxa"/>
            <w:vAlign w:val="center"/>
          </w:tcPr>
          <w:p w14:paraId="7D06A441">
            <w:pPr>
              <w:pStyle w:val="13"/>
            </w:pPr>
            <w:r>
              <w:t>205</w:t>
            </w:r>
          </w:p>
        </w:tc>
        <w:tc>
          <w:tcPr>
            <w:tcW w:w="1559" w:type="dxa"/>
            <w:vAlign w:val="center"/>
          </w:tcPr>
          <w:p w14:paraId="29D50B81">
            <w:pPr>
              <w:pStyle w:val="13"/>
            </w:pPr>
            <w:r>
              <w:t>教育支出</w:t>
            </w:r>
          </w:p>
        </w:tc>
        <w:tc>
          <w:tcPr>
            <w:tcW w:w="1134" w:type="dxa"/>
            <w:vAlign w:val="center"/>
          </w:tcPr>
          <w:p w14:paraId="515A2497">
            <w:pPr>
              <w:pStyle w:val="14"/>
            </w:pPr>
            <w:r>
              <w:t>1342.51</w:t>
            </w:r>
          </w:p>
        </w:tc>
        <w:tc>
          <w:tcPr>
            <w:tcW w:w="1134" w:type="dxa"/>
            <w:vAlign w:val="center"/>
          </w:tcPr>
          <w:p w14:paraId="261478B0">
            <w:pPr>
              <w:pStyle w:val="14"/>
            </w:pPr>
            <w:r>
              <w:t>1342.51</w:t>
            </w:r>
          </w:p>
        </w:tc>
        <w:tc>
          <w:tcPr>
            <w:tcW w:w="1134" w:type="dxa"/>
            <w:vAlign w:val="center"/>
          </w:tcPr>
          <w:p w14:paraId="23D25F81">
            <w:pPr>
              <w:pStyle w:val="14"/>
            </w:pPr>
            <w:r>
              <w:t>1342.51</w:t>
            </w:r>
          </w:p>
        </w:tc>
        <w:tc>
          <w:tcPr>
            <w:tcW w:w="1134" w:type="dxa"/>
            <w:vAlign w:val="center"/>
          </w:tcPr>
          <w:p w14:paraId="51A26441">
            <w:pPr>
              <w:pStyle w:val="14"/>
            </w:pPr>
          </w:p>
        </w:tc>
        <w:tc>
          <w:tcPr>
            <w:tcW w:w="1134" w:type="dxa"/>
            <w:vAlign w:val="center"/>
          </w:tcPr>
          <w:p w14:paraId="41562208">
            <w:pPr>
              <w:pStyle w:val="14"/>
            </w:pPr>
          </w:p>
        </w:tc>
        <w:tc>
          <w:tcPr>
            <w:tcW w:w="1134" w:type="dxa"/>
            <w:vAlign w:val="center"/>
          </w:tcPr>
          <w:p w14:paraId="1DF79068">
            <w:pPr>
              <w:pStyle w:val="14"/>
            </w:pPr>
          </w:p>
        </w:tc>
        <w:tc>
          <w:tcPr>
            <w:tcW w:w="1134" w:type="dxa"/>
            <w:vAlign w:val="center"/>
          </w:tcPr>
          <w:p w14:paraId="0F3E5DD6">
            <w:pPr>
              <w:pStyle w:val="14"/>
            </w:pPr>
          </w:p>
        </w:tc>
        <w:tc>
          <w:tcPr>
            <w:tcW w:w="1134" w:type="dxa"/>
            <w:vAlign w:val="center"/>
          </w:tcPr>
          <w:p w14:paraId="3A3C7BC1">
            <w:pPr>
              <w:pStyle w:val="14"/>
            </w:pPr>
          </w:p>
        </w:tc>
        <w:tc>
          <w:tcPr>
            <w:tcW w:w="1134" w:type="dxa"/>
            <w:vAlign w:val="center"/>
          </w:tcPr>
          <w:p w14:paraId="09F8B953">
            <w:pPr>
              <w:pStyle w:val="14"/>
            </w:pPr>
          </w:p>
        </w:tc>
        <w:tc>
          <w:tcPr>
            <w:tcW w:w="1134" w:type="dxa"/>
            <w:vAlign w:val="center"/>
          </w:tcPr>
          <w:p w14:paraId="1A6ECE45">
            <w:pPr>
              <w:pStyle w:val="14"/>
            </w:pPr>
          </w:p>
        </w:tc>
      </w:tr>
      <w:tr w14:paraId="71F62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B7A83A">
            <w:pPr>
              <w:pStyle w:val="12"/>
            </w:pPr>
            <w:r>
              <w:t>3</w:t>
            </w:r>
          </w:p>
        </w:tc>
        <w:tc>
          <w:tcPr>
            <w:tcW w:w="992" w:type="dxa"/>
            <w:vAlign w:val="center"/>
          </w:tcPr>
          <w:p w14:paraId="26406B96">
            <w:pPr>
              <w:pStyle w:val="13"/>
            </w:pPr>
            <w:r>
              <w:t>20502</w:t>
            </w:r>
          </w:p>
        </w:tc>
        <w:tc>
          <w:tcPr>
            <w:tcW w:w="1559" w:type="dxa"/>
            <w:vAlign w:val="center"/>
          </w:tcPr>
          <w:p w14:paraId="67712839">
            <w:pPr>
              <w:pStyle w:val="13"/>
            </w:pPr>
            <w:r>
              <w:t>普通教育</w:t>
            </w:r>
          </w:p>
        </w:tc>
        <w:tc>
          <w:tcPr>
            <w:tcW w:w="1134" w:type="dxa"/>
            <w:vAlign w:val="center"/>
          </w:tcPr>
          <w:p w14:paraId="1C456A0F">
            <w:pPr>
              <w:pStyle w:val="14"/>
            </w:pPr>
            <w:r>
              <w:t>1342.51</w:t>
            </w:r>
          </w:p>
        </w:tc>
        <w:tc>
          <w:tcPr>
            <w:tcW w:w="1134" w:type="dxa"/>
            <w:vAlign w:val="center"/>
          </w:tcPr>
          <w:p w14:paraId="05FD8C14">
            <w:pPr>
              <w:pStyle w:val="14"/>
            </w:pPr>
            <w:r>
              <w:t>1342.51</w:t>
            </w:r>
          </w:p>
        </w:tc>
        <w:tc>
          <w:tcPr>
            <w:tcW w:w="1134" w:type="dxa"/>
            <w:vAlign w:val="center"/>
          </w:tcPr>
          <w:p w14:paraId="372EADC1">
            <w:pPr>
              <w:pStyle w:val="14"/>
            </w:pPr>
            <w:r>
              <w:t>1342.51</w:t>
            </w:r>
          </w:p>
        </w:tc>
        <w:tc>
          <w:tcPr>
            <w:tcW w:w="1134" w:type="dxa"/>
            <w:vAlign w:val="center"/>
          </w:tcPr>
          <w:p w14:paraId="4DED5FA5">
            <w:pPr>
              <w:pStyle w:val="14"/>
            </w:pPr>
          </w:p>
        </w:tc>
        <w:tc>
          <w:tcPr>
            <w:tcW w:w="1134" w:type="dxa"/>
            <w:vAlign w:val="center"/>
          </w:tcPr>
          <w:p w14:paraId="7F9750AB">
            <w:pPr>
              <w:pStyle w:val="14"/>
            </w:pPr>
          </w:p>
        </w:tc>
        <w:tc>
          <w:tcPr>
            <w:tcW w:w="1134" w:type="dxa"/>
            <w:vAlign w:val="center"/>
          </w:tcPr>
          <w:p w14:paraId="559F7DF1">
            <w:pPr>
              <w:pStyle w:val="14"/>
            </w:pPr>
          </w:p>
        </w:tc>
        <w:tc>
          <w:tcPr>
            <w:tcW w:w="1134" w:type="dxa"/>
            <w:vAlign w:val="center"/>
          </w:tcPr>
          <w:p w14:paraId="246A2E85">
            <w:pPr>
              <w:pStyle w:val="14"/>
            </w:pPr>
          </w:p>
        </w:tc>
        <w:tc>
          <w:tcPr>
            <w:tcW w:w="1134" w:type="dxa"/>
            <w:vAlign w:val="center"/>
          </w:tcPr>
          <w:p w14:paraId="48B80CD3">
            <w:pPr>
              <w:pStyle w:val="14"/>
            </w:pPr>
          </w:p>
        </w:tc>
        <w:tc>
          <w:tcPr>
            <w:tcW w:w="1134" w:type="dxa"/>
            <w:vAlign w:val="center"/>
          </w:tcPr>
          <w:p w14:paraId="080F17E1">
            <w:pPr>
              <w:pStyle w:val="14"/>
            </w:pPr>
          </w:p>
        </w:tc>
        <w:tc>
          <w:tcPr>
            <w:tcW w:w="1134" w:type="dxa"/>
            <w:vAlign w:val="center"/>
          </w:tcPr>
          <w:p w14:paraId="5BB77CA2">
            <w:pPr>
              <w:pStyle w:val="14"/>
            </w:pPr>
          </w:p>
        </w:tc>
      </w:tr>
      <w:tr w14:paraId="47A29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04676B">
            <w:pPr>
              <w:pStyle w:val="12"/>
            </w:pPr>
            <w:r>
              <w:t>4</w:t>
            </w:r>
          </w:p>
        </w:tc>
        <w:tc>
          <w:tcPr>
            <w:tcW w:w="992" w:type="dxa"/>
            <w:vAlign w:val="center"/>
          </w:tcPr>
          <w:p w14:paraId="59180D1F">
            <w:pPr>
              <w:pStyle w:val="13"/>
            </w:pPr>
            <w:r>
              <w:t>2050203</w:t>
            </w:r>
          </w:p>
        </w:tc>
        <w:tc>
          <w:tcPr>
            <w:tcW w:w="1559" w:type="dxa"/>
            <w:vAlign w:val="center"/>
          </w:tcPr>
          <w:p w14:paraId="6089BDE8">
            <w:pPr>
              <w:pStyle w:val="13"/>
            </w:pPr>
            <w:r>
              <w:t>初中教育</w:t>
            </w:r>
          </w:p>
        </w:tc>
        <w:tc>
          <w:tcPr>
            <w:tcW w:w="1134" w:type="dxa"/>
            <w:vAlign w:val="center"/>
          </w:tcPr>
          <w:p w14:paraId="243D2EB0">
            <w:pPr>
              <w:pStyle w:val="14"/>
            </w:pPr>
            <w:r>
              <w:t>1342.51</w:t>
            </w:r>
          </w:p>
        </w:tc>
        <w:tc>
          <w:tcPr>
            <w:tcW w:w="1134" w:type="dxa"/>
            <w:vAlign w:val="center"/>
          </w:tcPr>
          <w:p w14:paraId="0C911759">
            <w:pPr>
              <w:pStyle w:val="14"/>
            </w:pPr>
            <w:r>
              <w:t>1342.51</w:t>
            </w:r>
          </w:p>
        </w:tc>
        <w:tc>
          <w:tcPr>
            <w:tcW w:w="1134" w:type="dxa"/>
            <w:vAlign w:val="center"/>
          </w:tcPr>
          <w:p w14:paraId="19C70C3D">
            <w:pPr>
              <w:pStyle w:val="14"/>
            </w:pPr>
            <w:r>
              <w:t>1342.51</w:t>
            </w:r>
          </w:p>
        </w:tc>
        <w:tc>
          <w:tcPr>
            <w:tcW w:w="1134" w:type="dxa"/>
            <w:vAlign w:val="center"/>
          </w:tcPr>
          <w:p w14:paraId="3EFCD09A">
            <w:pPr>
              <w:pStyle w:val="14"/>
            </w:pPr>
          </w:p>
        </w:tc>
        <w:tc>
          <w:tcPr>
            <w:tcW w:w="1134" w:type="dxa"/>
            <w:vAlign w:val="center"/>
          </w:tcPr>
          <w:p w14:paraId="0ACFAC3C">
            <w:pPr>
              <w:pStyle w:val="14"/>
            </w:pPr>
          </w:p>
        </w:tc>
        <w:tc>
          <w:tcPr>
            <w:tcW w:w="1134" w:type="dxa"/>
            <w:vAlign w:val="center"/>
          </w:tcPr>
          <w:p w14:paraId="2609FBDD">
            <w:pPr>
              <w:pStyle w:val="14"/>
            </w:pPr>
          </w:p>
        </w:tc>
        <w:tc>
          <w:tcPr>
            <w:tcW w:w="1134" w:type="dxa"/>
            <w:vAlign w:val="center"/>
          </w:tcPr>
          <w:p w14:paraId="76D69C18">
            <w:pPr>
              <w:pStyle w:val="14"/>
            </w:pPr>
          </w:p>
        </w:tc>
        <w:tc>
          <w:tcPr>
            <w:tcW w:w="1134" w:type="dxa"/>
            <w:vAlign w:val="center"/>
          </w:tcPr>
          <w:p w14:paraId="40CD6274">
            <w:pPr>
              <w:pStyle w:val="14"/>
            </w:pPr>
          </w:p>
        </w:tc>
        <w:tc>
          <w:tcPr>
            <w:tcW w:w="1134" w:type="dxa"/>
            <w:vAlign w:val="center"/>
          </w:tcPr>
          <w:p w14:paraId="679129C9">
            <w:pPr>
              <w:pStyle w:val="14"/>
            </w:pPr>
          </w:p>
        </w:tc>
        <w:tc>
          <w:tcPr>
            <w:tcW w:w="1134" w:type="dxa"/>
            <w:vAlign w:val="center"/>
          </w:tcPr>
          <w:p w14:paraId="3751E466">
            <w:pPr>
              <w:pStyle w:val="14"/>
            </w:pPr>
          </w:p>
        </w:tc>
      </w:tr>
    </w:tbl>
    <w:p w14:paraId="4FBB81C5">
      <w:pPr>
        <w:sectPr>
          <w:pgSz w:w="16840" w:h="11900" w:orient="landscape"/>
          <w:pgMar w:top="1361" w:right="1020" w:bottom="1134" w:left="1020" w:header="720" w:footer="720" w:gutter="0"/>
          <w:cols w:space="720" w:num="1"/>
        </w:sectPr>
      </w:pPr>
    </w:p>
    <w:p w14:paraId="2C3A83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4A6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99553E">
            <w:pPr>
              <w:pStyle w:val="8"/>
            </w:pPr>
            <w:r>
              <w:t>360006隆尧县东良中学</w:t>
            </w:r>
          </w:p>
        </w:tc>
        <w:tc>
          <w:tcPr>
            <w:tcW w:w="2722" w:type="dxa"/>
            <w:gridSpan w:val="2"/>
            <w:tcBorders>
              <w:top w:val="single" w:color="FFFFFF" w:sz="6" w:space="0"/>
              <w:left w:val="single" w:color="FFFFFF" w:sz="6" w:space="0"/>
              <w:right w:val="single" w:color="FFFFFF" w:sz="6" w:space="0"/>
            </w:tcBorders>
            <w:vAlign w:val="center"/>
          </w:tcPr>
          <w:p w14:paraId="7A627756">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45CFE31">
            <w:pPr>
              <w:pStyle w:val="10"/>
            </w:pPr>
            <w:r>
              <w:t>单位：万元</w:t>
            </w:r>
          </w:p>
        </w:tc>
      </w:tr>
      <w:tr w14:paraId="154F9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D98A5">
            <w:pPr>
              <w:pStyle w:val="11"/>
            </w:pPr>
            <w:r>
              <w:t>序号</w:t>
            </w:r>
          </w:p>
        </w:tc>
        <w:tc>
          <w:tcPr>
            <w:tcW w:w="5527" w:type="dxa"/>
            <w:gridSpan w:val="2"/>
            <w:vAlign w:val="center"/>
          </w:tcPr>
          <w:p w14:paraId="5C6DE6A1">
            <w:pPr>
              <w:pStyle w:val="11"/>
            </w:pPr>
            <w:r>
              <w:t>功能分类科目</w:t>
            </w:r>
          </w:p>
        </w:tc>
        <w:tc>
          <w:tcPr>
            <w:tcW w:w="1361" w:type="dxa"/>
            <w:vMerge w:val="restart"/>
            <w:vAlign w:val="center"/>
          </w:tcPr>
          <w:p w14:paraId="21B06024">
            <w:pPr>
              <w:pStyle w:val="11"/>
            </w:pPr>
            <w:r>
              <w:t>合计</w:t>
            </w:r>
          </w:p>
        </w:tc>
        <w:tc>
          <w:tcPr>
            <w:tcW w:w="1361" w:type="dxa"/>
            <w:vMerge w:val="restart"/>
            <w:vAlign w:val="center"/>
          </w:tcPr>
          <w:p w14:paraId="04AD4235">
            <w:pPr>
              <w:pStyle w:val="11"/>
            </w:pPr>
            <w:r>
              <w:t>基本支出</w:t>
            </w:r>
          </w:p>
        </w:tc>
        <w:tc>
          <w:tcPr>
            <w:tcW w:w="1361" w:type="dxa"/>
            <w:vMerge w:val="restart"/>
            <w:vAlign w:val="center"/>
          </w:tcPr>
          <w:p w14:paraId="4C73347B">
            <w:pPr>
              <w:pStyle w:val="11"/>
            </w:pPr>
            <w:r>
              <w:t>项目支出</w:t>
            </w:r>
          </w:p>
        </w:tc>
        <w:tc>
          <w:tcPr>
            <w:tcW w:w="1361" w:type="dxa"/>
            <w:vMerge w:val="restart"/>
            <w:vAlign w:val="center"/>
          </w:tcPr>
          <w:p w14:paraId="0E82BB36">
            <w:pPr>
              <w:pStyle w:val="11"/>
            </w:pPr>
            <w:r>
              <w:t>经营支出</w:t>
            </w:r>
          </w:p>
        </w:tc>
        <w:tc>
          <w:tcPr>
            <w:tcW w:w="1361" w:type="dxa"/>
            <w:vMerge w:val="restart"/>
            <w:vAlign w:val="center"/>
          </w:tcPr>
          <w:p w14:paraId="00A14688">
            <w:pPr>
              <w:pStyle w:val="11"/>
            </w:pPr>
            <w:r>
              <w:t>上解上级     支出</w:t>
            </w:r>
          </w:p>
        </w:tc>
        <w:tc>
          <w:tcPr>
            <w:tcW w:w="1361" w:type="dxa"/>
            <w:vMerge w:val="restart"/>
            <w:vAlign w:val="center"/>
          </w:tcPr>
          <w:p w14:paraId="4069F60E">
            <w:pPr>
              <w:pStyle w:val="11"/>
            </w:pPr>
            <w:r>
              <w:t>对附属单位补助支出</w:t>
            </w:r>
          </w:p>
        </w:tc>
      </w:tr>
      <w:tr w14:paraId="6DC59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29188F"/>
        </w:tc>
        <w:tc>
          <w:tcPr>
            <w:tcW w:w="992" w:type="dxa"/>
            <w:vAlign w:val="center"/>
          </w:tcPr>
          <w:p w14:paraId="7BD8440A">
            <w:pPr>
              <w:pStyle w:val="11"/>
            </w:pPr>
            <w:r>
              <w:t>科目    编码</w:t>
            </w:r>
          </w:p>
        </w:tc>
        <w:tc>
          <w:tcPr>
            <w:tcW w:w="4535" w:type="dxa"/>
            <w:vAlign w:val="center"/>
          </w:tcPr>
          <w:p w14:paraId="6D774967">
            <w:pPr>
              <w:pStyle w:val="11"/>
            </w:pPr>
            <w:r>
              <w:t>科目名称</w:t>
            </w:r>
          </w:p>
        </w:tc>
        <w:tc>
          <w:tcPr>
            <w:tcW w:w="1361" w:type="dxa"/>
            <w:vMerge w:val="continue"/>
          </w:tcPr>
          <w:p w14:paraId="71D68A9D"/>
        </w:tc>
        <w:tc>
          <w:tcPr>
            <w:tcW w:w="1361" w:type="dxa"/>
            <w:vMerge w:val="continue"/>
          </w:tcPr>
          <w:p w14:paraId="4FF22A31"/>
        </w:tc>
        <w:tc>
          <w:tcPr>
            <w:tcW w:w="1361" w:type="dxa"/>
            <w:vMerge w:val="continue"/>
          </w:tcPr>
          <w:p w14:paraId="70466710"/>
        </w:tc>
        <w:tc>
          <w:tcPr>
            <w:tcW w:w="1361" w:type="dxa"/>
            <w:vMerge w:val="continue"/>
          </w:tcPr>
          <w:p w14:paraId="13E6F573"/>
        </w:tc>
        <w:tc>
          <w:tcPr>
            <w:tcW w:w="1361" w:type="dxa"/>
            <w:vMerge w:val="continue"/>
          </w:tcPr>
          <w:p w14:paraId="5E02F6BF"/>
        </w:tc>
        <w:tc>
          <w:tcPr>
            <w:tcW w:w="1361" w:type="dxa"/>
            <w:vMerge w:val="continue"/>
          </w:tcPr>
          <w:p w14:paraId="7F4162D6"/>
        </w:tc>
      </w:tr>
      <w:tr w14:paraId="56FFF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F04A1F">
            <w:pPr>
              <w:pStyle w:val="11"/>
            </w:pPr>
            <w:r>
              <w:t>栏次</w:t>
            </w:r>
          </w:p>
        </w:tc>
        <w:tc>
          <w:tcPr>
            <w:tcW w:w="992" w:type="dxa"/>
            <w:vAlign w:val="center"/>
          </w:tcPr>
          <w:p w14:paraId="2764130E">
            <w:pPr>
              <w:pStyle w:val="11"/>
            </w:pPr>
            <w:r>
              <w:t>1</w:t>
            </w:r>
          </w:p>
        </w:tc>
        <w:tc>
          <w:tcPr>
            <w:tcW w:w="4535" w:type="dxa"/>
            <w:vAlign w:val="center"/>
          </w:tcPr>
          <w:p w14:paraId="1E0177FB">
            <w:pPr>
              <w:pStyle w:val="11"/>
            </w:pPr>
            <w:r>
              <w:t>2</w:t>
            </w:r>
          </w:p>
        </w:tc>
        <w:tc>
          <w:tcPr>
            <w:tcW w:w="1361" w:type="dxa"/>
            <w:vAlign w:val="center"/>
          </w:tcPr>
          <w:p w14:paraId="49F5BAE7">
            <w:pPr>
              <w:pStyle w:val="11"/>
            </w:pPr>
            <w:r>
              <w:t>3</w:t>
            </w:r>
          </w:p>
        </w:tc>
        <w:tc>
          <w:tcPr>
            <w:tcW w:w="1361" w:type="dxa"/>
            <w:vAlign w:val="center"/>
          </w:tcPr>
          <w:p w14:paraId="33D305B9">
            <w:pPr>
              <w:pStyle w:val="11"/>
            </w:pPr>
            <w:r>
              <w:t>4</w:t>
            </w:r>
          </w:p>
        </w:tc>
        <w:tc>
          <w:tcPr>
            <w:tcW w:w="1361" w:type="dxa"/>
            <w:vAlign w:val="center"/>
          </w:tcPr>
          <w:p w14:paraId="12D972E0">
            <w:pPr>
              <w:pStyle w:val="11"/>
            </w:pPr>
            <w:r>
              <w:t>5</w:t>
            </w:r>
          </w:p>
        </w:tc>
        <w:tc>
          <w:tcPr>
            <w:tcW w:w="1361" w:type="dxa"/>
            <w:vAlign w:val="center"/>
          </w:tcPr>
          <w:p w14:paraId="50383052">
            <w:pPr>
              <w:pStyle w:val="11"/>
            </w:pPr>
            <w:r>
              <w:t>6</w:t>
            </w:r>
          </w:p>
        </w:tc>
        <w:tc>
          <w:tcPr>
            <w:tcW w:w="1361" w:type="dxa"/>
            <w:vAlign w:val="center"/>
          </w:tcPr>
          <w:p w14:paraId="658A5748">
            <w:pPr>
              <w:pStyle w:val="11"/>
            </w:pPr>
            <w:r>
              <w:t>7</w:t>
            </w:r>
          </w:p>
        </w:tc>
        <w:tc>
          <w:tcPr>
            <w:tcW w:w="1361" w:type="dxa"/>
            <w:vAlign w:val="center"/>
          </w:tcPr>
          <w:p w14:paraId="6B884D2B">
            <w:pPr>
              <w:pStyle w:val="11"/>
            </w:pPr>
            <w:r>
              <w:t>8</w:t>
            </w:r>
          </w:p>
        </w:tc>
      </w:tr>
      <w:tr w14:paraId="06082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30D4C">
            <w:pPr>
              <w:pStyle w:val="12"/>
            </w:pPr>
            <w:r>
              <w:t>1</w:t>
            </w:r>
          </w:p>
        </w:tc>
        <w:tc>
          <w:tcPr>
            <w:tcW w:w="992" w:type="dxa"/>
            <w:vAlign w:val="center"/>
          </w:tcPr>
          <w:p w14:paraId="2077C75F">
            <w:pPr>
              <w:pStyle w:val="17"/>
            </w:pPr>
          </w:p>
        </w:tc>
        <w:tc>
          <w:tcPr>
            <w:tcW w:w="4535" w:type="dxa"/>
            <w:vAlign w:val="center"/>
          </w:tcPr>
          <w:p w14:paraId="3A692E83">
            <w:pPr>
              <w:pStyle w:val="15"/>
            </w:pPr>
            <w:r>
              <w:t>合计</w:t>
            </w:r>
          </w:p>
        </w:tc>
        <w:tc>
          <w:tcPr>
            <w:tcW w:w="1361" w:type="dxa"/>
            <w:vAlign w:val="center"/>
          </w:tcPr>
          <w:p w14:paraId="49FAB20F">
            <w:pPr>
              <w:pStyle w:val="16"/>
            </w:pPr>
            <w:r>
              <w:t>1342.51</w:t>
            </w:r>
          </w:p>
        </w:tc>
        <w:tc>
          <w:tcPr>
            <w:tcW w:w="1361" w:type="dxa"/>
            <w:vAlign w:val="center"/>
          </w:tcPr>
          <w:p w14:paraId="112DC185">
            <w:pPr>
              <w:pStyle w:val="16"/>
            </w:pPr>
            <w:r>
              <w:t>980.49</w:t>
            </w:r>
          </w:p>
        </w:tc>
        <w:tc>
          <w:tcPr>
            <w:tcW w:w="1361" w:type="dxa"/>
            <w:vAlign w:val="center"/>
          </w:tcPr>
          <w:p w14:paraId="32FD22C7">
            <w:pPr>
              <w:pStyle w:val="16"/>
            </w:pPr>
            <w:r>
              <w:t>362.02</w:t>
            </w:r>
          </w:p>
        </w:tc>
        <w:tc>
          <w:tcPr>
            <w:tcW w:w="1361" w:type="dxa"/>
            <w:vAlign w:val="center"/>
          </w:tcPr>
          <w:p w14:paraId="245C60CE">
            <w:pPr>
              <w:pStyle w:val="16"/>
            </w:pPr>
          </w:p>
        </w:tc>
        <w:tc>
          <w:tcPr>
            <w:tcW w:w="1361" w:type="dxa"/>
            <w:vAlign w:val="center"/>
          </w:tcPr>
          <w:p w14:paraId="7AAB29D4">
            <w:pPr>
              <w:pStyle w:val="16"/>
            </w:pPr>
          </w:p>
        </w:tc>
        <w:tc>
          <w:tcPr>
            <w:tcW w:w="1361" w:type="dxa"/>
            <w:vAlign w:val="center"/>
          </w:tcPr>
          <w:p w14:paraId="0F2FAA28">
            <w:pPr>
              <w:pStyle w:val="16"/>
            </w:pPr>
          </w:p>
        </w:tc>
      </w:tr>
      <w:tr w14:paraId="425D1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CF17D">
            <w:pPr>
              <w:pStyle w:val="12"/>
            </w:pPr>
            <w:r>
              <w:t>2</w:t>
            </w:r>
          </w:p>
        </w:tc>
        <w:tc>
          <w:tcPr>
            <w:tcW w:w="992" w:type="dxa"/>
            <w:vAlign w:val="center"/>
          </w:tcPr>
          <w:p w14:paraId="00AC1618">
            <w:pPr>
              <w:pStyle w:val="13"/>
            </w:pPr>
            <w:r>
              <w:t>205</w:t>
            </w:r>
          </w:p>
        </w:tc>
        <w:tc>
          <w:tcPr>
            <w:tcW w:w="4535" w:type="dxa"/>
            <w:vAlign w:val="center"/>
          </w:tcPr>
          <w:p w14:paraId="346C72F7">
            <w:pPr>
              <w:pStyle w:val="13"/>
            </w:pPr>
            <w:r>
              <w:t>教育支出</w:t>
            </w:r>
          </w:p>
        </w:tc>
        <w:tc>
          <w:tcPr>
            <w:tcW w:w="1361" w:type="dxa"/>
            <w:vAlign w:val="center"/>
          </w:tcPr>
          <w:p w14:paraId="7FEE0B0F">
            <w:pPr>
              <w:pStyle w:val="14"/>
            </w:pPr>
            <w:r>
              <w:t>1342.51</w:t>
            </w:r>
          </w:p>
        </w:tc>
        <w:tc>
          <w:tcPr>
            <w:tcW w:w="1361" w:type="dxa"/>
            <w:vAlign w:val="center"/>
          </w:tcPr>
          <w:p w14:paraId="20E3897E">
            <w:pPr>
              <w:pStyle w:val="14"/>
            </w:pPr>
            <w:r>
              <w:t>980.49</w:t>
            </w:r>
          </w:p>
        </w:tc>
        <w:tc>
          <w:tcPr>
            <w:tcW w:w="1361" w:type="dxa"/>
            <w:vAlign w:val="center"/>
          </w:tcPr>
          <w:p w14:paraId="74152E35">
            <w:pPr>
              <w:pStyle w:val="14"/>
            </w:pPr>
            <w:r>
              <w:t>362.02</w:t>
            </w:r>
          </w:p>
        </w:tc>
        <w:tc>
          <w:tcPr>
            <w:tcW w:w="1361" w:type="dxa"/>
            <w:vAlign w:val="center"/>
          </w:tcPr>
          <w:p w14:paraId="3106587D">
            <w:pPr>
              <w:pStyle w:val="14"/>
            </w:pPr>
          </w:p>
        </w:tc>
        <w:tc>
          <w:tcPr>
            <w:tcW w:w="1361" w:type="dxa"/>
            <w:vAlign w:val="center"/>
          </w:tcPr>
          <w:p w14:paraId="70444109">
            <w:pPr>
              <w:pStyle w:val="14"/>
            </w:pPr>
          </w:p>
        </w:tc>
        <w:tc>
          <w:tcPr>
            <w:tcW w:w="1361" w:type="dxa"/>
            <w:vAlign w:val="center"/>
          </w:tcPr>
          <w:p w14:paraId="3E073FF3">
            <w:pPr>
              <w:pStyle w:val="14"/>
            </w:pPr>
          </w:p>
        </w:tc>
      </w:tr>
      <w:tr w14:paraId="56CBF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9C8C9">
            <w:pPr>
              <w:pStyle w:val="12"/>
            </w:pPr>
            <w:r>
              <w:t>3</w:t>
            </w:r>
          </w:p>
        </w:tc>
        <w:tc>
          <w:tcPr>
            <w:tcW w:w="992" w:type="dxa"/>
            <w:vAlign w:val="center"/>
          </w:tcPr>
          <w:p w14:paraId="0D560062">
            <w:pPr>
              <w:pStyle w:val="13"/>
            </w:pPr>
            <w:r>
              <w:t>20502</w:t>
            </w:r>
          </w:p>
        </w:tc>
        <w:tc>
          <w:tcPr>
            <w:tcW w:w="4535" w:type="dxa"/>
            <w:vAlign w:val="center"/>
          </w:tcPr>
          <w:p w14:paraId="3504B984">
            <w:pPr>
              <w:pStyle w:val="13"/>
            </w:pPr>
            <w:r>
              <w:t>普通教育</w:t>
            </w:r>
          </w:p>
        </w:tc>
        <w:tc>
          <w:tcPr>
            <w:tcW w:w="1361" w:type="dxa"/>
            <w:vAlign w:val="center"/>
          </w:tcPr>
          <w:p w14:paraId="6D2C7C73">
            <w:pPr>
              <w:pStyle w:val="14"/>
            </w:pPr>
            <w:r>
              <w:t>1342.51</w:t>
            </w:r>
          </w:p>
        </w:tc>
        <w:tc>
          <w:tcPr>
            <w:tcW w:w="1361" w:type="dxa"/>
            <w:vAlign w:val="center"/>
          </w:tcPr>
          <w:p w14:paraId="28E05CAA">
            <w:pPr>
              <w:pStyle w:val="14"/>
            </w:pPr>
            <w:r>
              <w:t>980.49</w:t>
            </w:r>
          </w:p>
        </w:tc>
        <w:tc>
          <w:tcPr>
            <w:tcW w:w="1361" w:type="dxa"/>
            <w:vAlign w:val="center"/>
          </w:tcPr>
          <w:p w14:paraId="0D2E7E7D">
            <w:pPr>
              <w:pStyle w:val="14"/>
            </w:pPr>
            <w:r>
              <w:t>362.02</w:t>
            </w:r>
          </w:p>
        </w:tc>
        <w:tc>
          <w:tcPr>
            <w:tcW w:w="1361" w:type="dxa"/>
            <w:vAlign w:val="center"/>
          </w:tcPr>
          <w:p w14:paraId="78FB8F18">
            <w:pPr>
              <w:pStyle w:val="14"/>
            </w:pPr>
          </w:p>
        </w:tc>
        <w:tc>
          <w:tcPr>
            <w:tcW w:w="1361" w:type="dxa"/>
            <w:vAlign w:val="center"/>
          </w:tcPr>
          <w:p w14:paraId="571111FB">
            <w:pPr>
              <w:pStyle w:val="14"/>
            </w:pPr>
          </w:p>
        </w:tc>
        <w:tc>
          <w:tcPr>
            <w:tcW w:w="1361" w:type="dxa"/>
            <w:vAlign w:val="center"/>
          </w:tcPr>
          <w:p w14:paraId="0D58CDB9">
            <w:pPr>
              <w:pStyle w:val="14"/>
            </w:pPr>
          </w:p>
        </w:tc>
      </w:tr>
      <w:tr w14:paraId="3FF99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AD6DA">
            <w:pPr>
              <w:pStyle w:val="12"/>
            </w:pPr>
            <w:r>
              <w:t>4</w:t>
            </w:r>
          </w:p>
        </w:tc>
        <w:tc>
          <w:tcPr>
            <w:tcW w:w="992" w:type="dxa"/>
            <w:vAlign w:val="center"/>
          </w:tcPr>
          <w:p w14:paraId="513FC61C">
            <w:pPr>
              <w:pStyle w:val="13"/>
            </w:pPr>
            <w:r>
              <w:t>2050203</w:t>
            </w:r>
          </w:p>
        </w:tc>
        <w:tc>
          <w:tcPr>
            <w:tcW w:w="4535" w:type="dxa"/>
            <w:vAlign w:val="center"/>
          </w:tcPr>
          <w:p w14:paraId="6E320EB3">
            <w:pPr>
              <w:pStyle w:val="13"/>
            </w:pPr>
            <w:r>
              <w:t>初中教育</w:t>
            </w:r>
          </w:p>
        </w:tc>
        <w:tc>
          <w:tcPr>
            <w:tcW w:w="1361" w:type="dxa"/>
            <w:vAlign w:val="center"/>
          </w:tcPr>
          <w:p w14:paraId="34AA8F10">
            <w:pPr>
              <w:pStyle w:val="14"/>
            </w:pPr>
            <w:r>
              <w:t>1342.51</w:t>
            </w:r>
          </w:p>
        </w:tc>
        <w:tc>
          <w:tcPr>
            <w:tcW w:w="1361" w:type="dxa"/>
            <w:vAlign w:val="center"/>
          </w:tcPr>
          <w:p w14:paraId="3CB5440C">
            <w:pPr>
              <w:pStyle w:val="14"/>
            </w:pPr>
            <w:r>
              <w:t>980.49</w:t>
            </w:r>
          </w:p>
        </w:tc>
        <w:tc>
          <w:tcPr>
            <w:tcW w:w="1361" w:type="dxa"/>
            <w:vAlign w:val="center"/>
          </w:tcPr>
          <w:p w14:paraId="0A457609">
            <w:pPr>
              <w:pStyle w:val="14"/>
            </w:pPr>
            <w:r>
              <w:t>362.02</w:t>
            </w:r>
          </w:p>
        </w:tc>
        <w:tc>
          <w:tcPr>
            <w:tcW w:w="1361" w:type="dxa"/>
            <w:vAlign w:val="center"/>
          </w:tcPr>
          <w:p w14:paraId="155E054E">
            <w:pPr>
              <w:pStyle w:val="14"/>
            </w:pPr>
          </w:p>
        </w:tc>
        <w:tc>
          <w:tcPr>
            <w:tcW w:w="1361" w:type="dxa"/>
            <w:vAlign w:val="center"/>
          </w:tcPr>
          <w:p w14:paraId="001B4B4C">
            <w:pPr>
              <w:pStyle w:val="14"/>
            </w:pPr>
          </w:p>
        </w:tc>
        <w:tc>
          <w:tcPr>
            <w:tcW w:w="1361" w:type="dxa"/>
            <w:vAlign w:val="center"/>
          </w:tcPr>
          <w:p w14:paraId="67B95A14">
            <w:pPr>
              <w:pStyle w:val="14"/>
            </w:pPr>
          </w:p>
        </w:tc>
      </w:tr>
    </w:tbl>
    <w:p w14:paraId="629D8CFC">
      <w:pPr>
        <w:sectPr>
          <w:pgSz w:w="16840" w:h="11900" w:orient="landscape"/>
          <w:pgMar w:top="1361" w:right="1020" w:bottom="1134" w:left="1020" w:header="720" w:footer="720" w:gutter="0"/>
          <w:cols w:space="720" w:num="1"/>
        </w:sectPr>
      </w:pPr>
    </w:p>
    <w:p w14:paraId="1F81F1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7D1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B59863">
            <w:pPr>
              <w:pStyle w:val="8"/>
            </w:pPr>
            <w:r>
              <w:t>360006隆尧县东良中学</w:t>
            </w:r>
          </w:p>
        </w:tc>
        <w:tc>
          <w:tcPr>
            <w:tcW w:w="3402" w:type="dxa"/>
            <w:tcBorders>
              <w:top w:val="single" w:color="FFFFFF" w:sz="6" w:space="0"/>
              <w:left w:val="single" w:color="FFFFFF" w:sz="6" w:space="0"/>
              <w:right w:val="single" w:color="FFFFFF" w:sz="6" w:space="0"/>
            </w:tcBorders>
            <w:vAlign w:val="center"/>
          </w:tcPr>
          <w:p w14:paraId="509EFDC3">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D0F4551">
            <w:pPr>
              <w:pStyle w:val="10"/>
            </w:pPr>
            <w:r>
              <w:t>单位：万元</w:t>
            </w:r>
          </w:p>
        </w:tc>
      </w:tr>
      <w:tr w14:paraId="4753C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158BE3">
            <w:pPr>
              <w:pStyle w:val="11"/>
            </w:pPr>
            <w:r>
              <w:t>序号</w:t>
            </w:r>
          </w:p>
        </w:tc>
        <w:tc>
          <w:tcPr>
            <w:tcW w:w="4876" w:type="dxa"/>
            <w:gridSpan w:val="2"/>
            <w:vAlign w:val="center"/>
          </w:tcPr>
          <w:p w14:paraId="2CDF2A9B">
            <w:pPr>
              <w:pStyle w:val="11"/>
            </w:pPr>
            <w:r>
              <w:t>收入</w:t>
            </w:r>
          </w:p>
        </w:tc>
        <w:tc>
          <w:tcPr>
            <w:tcW w:w="9298" w:type="dxa"/>
            <w:gridSpan w:val="5"/>
            <w:vAlign w:val="center"/>
          </w:tcPr>
          <w:p w14:paraId="348D5C72">
            <w:pPr>
              <w:pStyle w:val="11"/>
            </w:pPr>
            <w:r>
              <w:t>支出</w:t>
            </w:r>
          </w:p>
        </w:tc>
      </w:tr>
      <w:tr w14:paraId="05CE7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EC5861"/>
        </w:tc>
        <w:tc>
          <w:tcPr>
            <w:tcW w:w="3402" w:type="dxa"/>
            <w:vAlign w:val="center"/>
          </w:tcPr>
          <w:p w14:paraId="5DC4ACFD">
            <w:pPr>
              <w:pStyle w:val="11"/>
            </w:pPr>
            <w:r>
              <w:t>项  目</w:t>
            </w:r>
          </w:p>
        </w:tc>
        <w:tc>
          <w:tcPr>
            <w:tcW w:w="1474" w:type="dxa"/>
            <w:vAlign w:val="center"/>
          </w:tcPr>
          <w:p w14:paraId="75CEE13C">
            <w:pPr>
              <w:pStyle w:val="11"/>
            </w:pPr>
            <w:r>
              <w:t>金额</w:t>
            </w:r>
          </w:p>
        </w:tc>
        <w:tc>
          <w:tcPr>
            <w:tcW w:w="3402" w:type="dxa"/>
            <w:vAlign w:val="center"/>
          </w:tcPr>
          <w:p w14:paraId="0602030F">
            <w:pPr>
              <w:pStyle w:val="11"/>
            </w:pPr>
            <w:r>
              <w:t>项  目</w:t>
            </w:r>
          </w:p>
        </w:tc>
        <w:tc>
          <w:tcPr>
            <w:tcW w:w="1474" w:type="dxa"/>
            <w:vAlign w:val="center"/>
          </w:tcPr>
          <w:p w14:paraId="56312A66">
            <w:pPr>
              <w:pStyle w:val="11"/>
            </w:pPr>
            <w:r>
              <w:t>合计</w:t>
            </w:r>
          </w:p>
        </w:tc>
        <w:tc>
          <w:tcPr>
            <w:tcW w:w="1474" w:type="dxa"/>
            <w:vAlign w:val="center"/>
          </w:tcPr>
          <w:p w14:paraId="30F55DFC">
            <w:pPr>
              <w:pStyle w:val="11"/>
            </w:pPr>
            <w:r>
              <w:t>一般公共预算财政拨款</w:t>
            </w:r>
          </w:p>
        </w:tc>
        <w:tc>
          <w:tcPr>
            <w:tcW w:w="1474" w:type="dxa"/>
            <w:vAlign w:val="center"/>
          </w:tcPr>
          <w:p w14:paraId="625A106C">
            <w:pPr>
              <w:pStyle w:val="11"/>
            </w:pPr>
            <w:r>
              <w:t>政府性基金预算财政    拨款</w:t>
            </w:r>
          </w:p>
        </w:tc>
        <w:tc>
          <w:tcPr>
            <w:tcW w:w="1474" w:type="dxa"/>
            <w:vAlign w:val="center"/>
          </w:tcPr>
          <w:p w14:paraId="6EB27375">
            <w:pPr>
              <w:pStyle w:val="11"/>
            </w:pPr>
            <w:r>
              <w:t>国有资本经营预算财政拨款</w:t>
            </w:r>
          </w:p>
        </w:tc>
      </w:tr>
      <w:tr w14:paraId="01E21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9772B4">
            <w:pPr>
              <w:pStyle w:val="11"/>
            </w:pPr>
            <w:r>
              <w:t>栏次</w:t>
            </w:r>
          </w:p>
        </w:tc>
        <w:tc>
          <w:tcPr>
            <w:tcW w:w="3402" w:type="dxa"/>
            <w:vAlign w:val="center"/>
          </w:tcPr>
          <w:p w14:paraId="4CDEF231">
            <w:pPr>
              <w:pStyle w:val="11"/>
            </w:pPr>
            <w:r>
              <w:t>1</w:t>
            </w:r>
          </w:p>
        </w:tc>
        <w:tc>
          <w:tcPr>
            <w:tcW w:w="1474" w:type="dxa"/>
            <w:vAlign w:val="center"/>
          </w:tcPr>
          <w:p w14:paraId="17D03D8B">
            <w:pPr>
              <w:pStyle w:val="11"/>
            </w:pPr>
            <w:r>
              <w:t>2</w:t>
            </w:r>
          </w:p>
        </w:tc>
        <w:tc>
          <w:tcPr>
            <w:tcW w:w="3402" w:type="dxa"/>
            <w:vAlign w:val="center"/>
          </w:tcPr>
          <w:p w14:paraId="3EA2306A">
            <w:pPr>
              <w:pStyle w:val="11"/>
            </w:pPr>
            <w:r>
              <w:t>3</w:t>
            </w:r>
          </w:p>
        </w:tc>
        <w:tc>
          <w:tcPr>
            <w:tcW w:w="1474" w:type="dxa"/>
            <w:vAlign w:val="center"/>
          </w:tcPr>
          <w:p w14:paraId="27AC4CE7">
            <w:pPr>
              <w:pStyle w:val="11"/>
            </w:pPr>
            <w:r>
              <w:t>4</w:t>
            </w:r>
          </w:p>
        </w:tc>
        <w:tc>
          <w:tcPr>
            <w:tcW w:w="1474" w:type="dxa"/>
            <w:vAlign w:val="center"/>
          </w:tcPr>
          <w:p w14:paraId="41B61C9E">
            <w:pPr>
              <w:pStyle w:val="11"/>
            </w:pPr>
            <w:r>
              <w:t>5</w:t>
            </w:r>
          </w:p>
        </w:tc>
        <w:tc>
          <w:tcPr>
            <w:tcW w:w="1474" w:type="dxa"/>
            <w:vAlign w:val="center"/>
          </w:tcPr>
          <w:p w14:paraId="60907235">
            <w:pPr>
              <w:pStyle w:val="11"/>
            </w:pPr>
            <w:r>
              <w:t>6</w:t>
            </w:r>
          </w:p>
        </w:tc>
        <w:tc>
          <w:tcPr>
            <w:tcW w:w="1474" w:type="dxa"/>
            <w:vAlign w:val="center"/>
          </w:tcPr>
          <w:p w14:paraId="285BA99E">
            <w:pPr>
              <w:pStyle w:val="11"/>
            </w:pPr>
            <w:r>
              <w:t>7</w:t>
            </w:r>
          </w:p>
        </w:tc>
      </w:tr>
      <w:tr w14:paraId="692B4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049A5">
            <w:pPr>
              <w:pStyle w:val="12"/>
            </w:pPr>
            <w:r>
              <w:t>1</w:t>
            </w:r>
          </w:p>
        </w:tc>
        <w:tc>
          <w:tcPr>
            <w:tcW w:w="3402" w:type="dxa"/>
            <w:vAlign w:val="center"/>
          </w:tcPr>
          <w:p w14:paraId="2C0B3EA0">
            <w:pPr>
              <w:pStyle w:val="13"/>
            </w:pPr>
            <w:r>
              <w:t>一、一般公共预算拨款</w:t>
            </w:r>
          </w:p>
        </w:tc>
        <w:tc>
          <w:tcPr>
            <w:tcW w:w="1474" w:type="dxa"/>
            <w:vAlign w:val="center"/>
          </w:tcPr>
          <w:p w14:paraId="47219A47">
            <w:pPr>
              <w:pStyle w:val="14"/>
            </w:pPr>
            <w:r>
              <w:t>1342.51</w:t>
            </w:r>
          </w:p>
        </w:tc>
        <w:tc>
          <w:tcPr>
            <w:tcW w:w="3402" w:type="dxa"/>
            <w:vAlign w:val="center"/>
          </w:tcPr>
          <w:p w14:paraId="4A748604">
            <w:pPr>
              <w:pStyle w:val="13"/>
            </w:pPr>
            <w:r>
              <w:t>一、一般公共服务支出</w:t>
            </w:r>
          </w:p>
        </w:tc>
        <w:tc>
          <w:tcPr>
            <w:tcW w:w="1474" w:type="dxa"/>
            <w:vAlign w:val="center"/>
          </w:tcPr>
          <w:p w14:paraId="3BC74AF3">
            <w:pPr>
              <w:pStyle w:val="14"/>
            </w:pPr>
          </w:p>
        </w:tc>
        <w:tc>
          <w:tcPr>
            <w:tcW w:w="1474" w:type="dxa"/>
            <w:vAlign w:val="center"/>
          </w:tcPr>
          <w:p w14:paraId="0828C4E4">
            <w:pPr>
              <w:pStyle w:val="14"/>
            </w:pPr>
          </w:p>
        </w:tc>
        <w:tc>
          <w:tcPr>
            <w:tcW w:w="1474" w:type="dxa"/>
            <w:vAlign w:val="center"/>
          </w:tcPr>
          <w:p w14:paraId="7E8345E1">
            <w:pPr>
              <w:pStyle w:val="14"/>
            </w:pPr>
          </w:p>
        </w:tc>
        <w:tc>
          <w:tcPr>
            <w:tcW w:w="1474" w:type="dxa"/>
            <w:vAlign w:val="center"/>
          </w:tcPr>
          <w:p w14:paraId="015564FE">
            <w:pPr>
              <w:pStyle w:val="14"/>
            </w:pPr>
          </w:p>
        </w:tc>
      </w:tr>
      <w:tr w14:paraId="6C5B2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67CF6">
            <w:pPr>
              <w:pStyle w:val="12"/>
            </w:pPr>
            <w:r>
              <w:t>2</w:t>
            </w:r>
          </w:p>
        </w:tc>
        <w:tc>
          <w:tcPr>
            <w:tcW w:w="3402" w:type="dxa"/>
            <w:vAlign w:val="center"/>
          </w:tcPr>
          <w:p w14:paraId="6D0AB89C">
            <w:pPr>
              <w:pStyle w:val="13"/>
            </w:pPr>
            <w:r>
              <w:t>二、政府性基金预算拨款</w:t>
            </w:r>
          </w:p>
        </w:tc>
        <w:tc>
          <w:tcPr>
            <w:tcW w:w="1474" w:type="dxa"/>
            <w:vAlign w:val="center"/>
          </w:tcPr>
          <w:p w14:paraId="412C5AB8">
            <w:pPr>
              <w:pStyle w:val="14"/>
            </w:pPr>
          </w:p>
        </w:tc>
        <w:tc>
          <w:tcPr>
            <w:tcW w:w="3402" w:type="dxa"/>
            <w:vAlign w:val="center"/>
          </w:tcPr>
          <w:p w14:paraId="00F7E870">
            <w:pPr>
              <w:pStyle w:val="13"/>
            </w:pPr>
            <w:r>
              <w:t>二、外交支出</w:t>
            </w:r>
          </w:p>
        </w:tc>
        <w:tc>
          <w:tcPr>
            <w:tcW w:w="1474" w:type="dxa"/>
            <w:vAlign w:val="center"/>
          </w:tcPr>
          <w:p w14:paraId="105CBA81">
            <w:pPr>
              <w:pStyle w:val="14"/>
            </w:pPr>
          </w:p>
        </w:tc>
        <w:tc>
          <w:tcPr>
            <w:tcW w:w="1474" w:type="dxa"/>
            <w:vAlign w:val="center"/>
          </w:tcPr>
          <w:p w14:paraId="1C340C61">
            <w:pPr>
              <w:pStyle w:val="14"/>
            </w:pPr>
          </w:p>
        </w:tc>
        <w:tc>
          <w:tcPr>
            <w:tcW w:w="1474" w:type="dxa"/>
            <w:vAlign w:val="center"/>
          </w:tcPr>
          <w:p w14:paraId="7E3DE183">
            <w:pPr>
              <w:pStyle w:val="14"/>
            </w:pPr>
          </w:p>
        </w:tc>
        <w:tc>
          <w:tcPr>
            <w:tcW w:w="1474" w:type="dxa"/>
            <w:vAlign w:val="center"/>
          </w:tcPr>
          <w:p w14:paraId="489D1670">
            <w:pPr>
              <w:pStyle w:val="14"/>
            </w:pPr>
          </w:p>
        </w:tc>
      </w:tr>
      <w:tr w14:paraId="3A0F3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1814B">
            <w:pPr>
              <w:pStyle w:val="12"/>
            </w:pPr>
            <w:r>
              <w:t>3</w:t>
            </w:r>
          </w:p>
        </w:tc>
        <w:tc>
          <w:tcPr>
            <w:tcW w:w="3402" w:type="dxa"/>
            <w:vAlign w:val="center"/>
          </w:tcPr>
          <w:p w14:paraId="2C9C2CDF">
            <w:pPr>
              <w:pStyle w:val="13"/>
            </w:pPr>
            <w:r>
              <w:t>三、国有资本经营预算拨款</w:t>
            </w:r>
          </w:p>
        </w:tc>
        <w:tc>
          <w:tcPr>
            <w:tcW w:w="1474" w:type="dxa"/>
            <w:vAlign w:val="center"/>
          </w:tcPr>
          <w:p w14:paraId="797D8BD8">
            <w:pPr>
              <w:pStyle w:val="14"/>
            </w:pPr>
          </w:p>
        </w:tc>
        <w:tc>
          <w:tcPr>
            <w:tcW w:w="3402" w:type="dxa"/>
            <w:vAlign w:val="center"/>
          </w:tcPr>
          <w:p w14:paraId="66CAE6AF">
            <w:pPr>
              <w:pStyle w:val="13"/>
            </w:pPr>
            <w:r>
              <w:t>三、国防支出</w:t>
            </w:r>
          </w:p>
        </w:tc>
        <w:tc>
          <w:tcPr>
            <w:tcW w:w="1474" w:type="dxa"/>
            <w:vAlign w:val="center"/>
          </w:tcPr>
          <w:p w14:paraId="2DAE65EC">
            <w:pPr>
              <w:pStyle w:val="14"/>
            </w:pPr>
          </w:p>
        </w:tc>
        <w:tc>
          <w:tcPr>
            <w:tcW w:w="1474" w:type="dxa"/>
            <w:vAlign w:val="center"/>
          </w:tcPr>
          <w:p w14:paraId="74533651">
            <w:pPr>
              <w:pStyle w:val="14"/>
            </w:pPr>
          </w:p>
        </w:tc>
        <w:tc>
          <w:tcPr>
            <w:tcW w:w="1474" w:type="dxa"/>
            <w:vAlign w:val="center"/>
          </w:tcPr>
          <w:p w14:paraId="7CEE3A4D">
            <w:pPr>
              <w:pStyle w:val="14"/>
            </w:pPr>
          </w:p>
        </w:tc>
        <w:tc>
          <w:tcPr>
            <w:tcW w:w="1474" w:type="dxa"/>
            <w:vAlign w:val="center"/>
          </w:tcPr>
          <w:p w14:paraId="4A37AE7F">
            <w:pPr>
              <w:pStyle w:val="14"/>
            </w:pPr>
          </w:p>
        </w:tc>
      </w:tr>
      <w:tr w14:paraId="561AC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FC7C1">
            <w:pPr>
              <w:pStyle w:val="12"/>
            </w:pPr>
            <w:r>
              <w:t>4</w:t>
            </w:r>
          </w:p>
        </w:tc>
        <w:tc>
          <w:tcPr>
            <w:tcW w:w="3402" w:type="dxa"/>
            <w:vAlign w:val="center"/>
          </w:tcPr>
          <w:p w14:paraId="4D221ADC">
            <w:pPr>
              <w:pStyle w:val="13"/>
            </w:pPr>
          </w:p>
        </w:tc>
        <w:tc>
          <w:tcPr>
            <w:tcW w:w="1474" w:type="dxa"/>
            <w:vAlign w:val="center"/>
          </w:tcPr>
          <w:p w14:paraId="576B49D9">
            <w:pPr>
              <w:pStyle w:val="14"/>
            </w:pPr>
          </w:p>
        </w:tc>
        <w:tc>
          <w:tcPr>
            <w:tcW w:w="3402" w:type="dxa"/>
            <w:vAlign w:val="center"/>
          </w:tcPr>
          <w:p w14:paraId="4AAA0EFE">
            <w:pPr>
              <w:pStyle w:val="13"/>
            </w:pPr>
            <w:r>
              <w:t>四、公共安全支出</w:t>
            </w:r>
          </w:p>
        </w:tc>
        <w:tc>
          <w:tcPr>
            <w:tcW w:w="1474" w:type="dxa"/>
            <w:vAlign w:val="center"/>
          </w:tcPr>
          <w:p w14:paraId="6D97FC06">
            <w:pPr>
              <w:pStyle w:val="14"/>
            </w:pPr>
          </w:p>
        </w:tc>
        <w:tc>
          <w:tcPr>
            <w:tcW w:w="1474" w:type="dxa"/>
            <w:vAlign w:val="center"/>
          </w:tcPr>
          <w:p w14:paraId="27BA0869">
            <w:pPr>
              <w:pStyle w:val="14"/>
            </w:pPr>
          </w:p>
        </w:tc>
        <w:tc>
          <w:tcPr>
            <w:tcW w:w="1474" w:type="dxa"/>
            <w:vAlign w:val="center"/>
          </w:tcPr>
          <w:p w14:paraId="34381EA6">
            <w:pPr>
              <w:pStyle w:val="14"/>
            </w:pPr>
          </w:p>
        </w:tc>
        <w:tc>
          <w:tcPr>
            <w:tcW w:w="1474" w:type="dxa"/>
            <w:vAlign w:val="center"/>
          </w:tcPr>
          <w:p w14:paraId="10A690B1">
            <w:pPr>
              <w:pStyle w:val="14"/>
            </w:pPr>
          </w:p>
        </w:tc>
      </w:tr>
      <w:tr w14:paraId="4AE79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4F35A">
            <w:pPr>
              <w:pStyle w:val="12"/>
            </w:pPr>
            <w:r>
              <w:t>5</w:t>
            </w:r>
          </w:p>
        </w:tc>
        <w:tc>
          <w:tcPr>
            <w:tcW w:w="3402" w:type="dxa"/>
            <w:vAlign w:val="center"/>
          </w:tcPr>
          <w:p w14:paraId="14313544">
            <w:pPr>
              <w:pStyle w:val="13"/>
            </w:pPr>
          </w:p>
        </w:tc>
        <w:tc>
          <w:tcPr>
            <w:tcW w:w="1474" w:type="dxa"/>
            <w:vAlign w:val="center"/>
          </w:tcPr>
          <w:p w14:paraId="6B814E4E">
            <w:pPr>
              <w:pStyle w:val="14"/>
            </w:pPr>
          </w:p>
        </w:tc>
        <w:tc>
          <w:tcPr>
            <w:tcW w:w="3402" w:type="dxa"/>
            <w:vAlign w:val="center"/>
          </w:tcPr>
          <w:p w14:paraId="0E2845CD">
            <w:pPr>
              <w:pStyle w:val="13"/>
            </w:pPr>
            <w:r>
              <w:t>五、教育支出</w:t>
            </w:r>
          </w:p>
        </w:tc>
        <w:tc>
          <w:tcPr>
            <w:tcW w:w="1474" w:type="dxa"/>
            <w:vAlign w:val="center"/>
          </w:tcPr>
          <w:p w14:paraId="49D733D0">
            <w:pPr>
              <w:pStyle w:val="14"/>
            </w:pPr>
            <w:r>
              <w:t>1342.51</w:t>
            </w:r>
          </w:p>
        </w:tc>
        <w:tc>
          <w:tcPr>
            <w:tcW w:w="1474" w:type="dxa"/>
            <w:vAlign w:val="center"/>
          </w:tcPr>
          <w:p w14:paraId="505FC0C0">
            <w:pPr>
              <w:pStyle w:val="14"/>
            </w:pPr>
            <w:r>
              <w:t>1342.51</w:t>
            </w:r>
          </w:p>
        </w:tc>
        <w:tc>
          <w:tcPr>
            <w:tcW w:w="1474" w:type="dxa"/>
            <w:vAlign w:val="center"/>
          </w:tcPr>
          <w:p w14:paraId="006BDBE7">
            <w:pPr>
              <w:pStyle w:val="14"/>
            </w:pPr>
          </w:p>
        </w:tc>
        <w:tc>
          <w:tcPr>
            <w:tcW w:w="1474" w:type="dxa"/>
            <w:vAlign w:val="center"/>
          </w:tcPr>
          <w:p w14:paraId="735800BA">
            <w:pPr>
              <w:pStyle w:val="14"/>
            </w:pPr>
          </w:p>
        </w:tc>
      </w:tr>
      <w:tr w14:paraId="6790F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2A439">
            <w:pPr>
              <w:pStyle w:val="12"/>
            </w:pPr>
            <w:r>
              <w:t>6</w:t>
            </w:r>
          </w:p>
        </w:tc>
        <w:tc>
          <w:tcPr>
            <w:tcW w:w="3402" w:type="dxa"/>
            <w:vAlign w:val="center"/>
          </w:tcPr>
          <w:p w14:paraId="389C3555">
            <w:pPr>
              <w:pStyle w:val="13"/>
            </w:pPr>
          </w:p>
        </w:tc>
        <w:tc>
          <w:tcPr>
            <w:tcW w:w="1474" w:type="dxa"/>
            <w:vAlign w:val="center"/>
          </w:tcPr>
          <w:p w14:paraId="4875EB0C">
            <w:pPr>
              <w:pStyle w:val="14"/>
            </w:pPr>
          </w:p>
        </w:tc>
        <w:tc>
          <w:tcPr>
            <w:tcW w:w="3402" w:type="dxa"/>
            <w:vAlign w:val="center"/>
          </w:tcPr>
          <w:p w14:paraId="6AA9F070">
            <w:pPr>
              <w:pStyle w:val="13"/>
            </w:pPr>
            <w:r>
              <w:t>六、科学技术支出</w:t>
            </w:r>
          </w:p>
        </w:tc>
        <w:tc>
          <w:tcPr>
            <w:tcW w:w="1474" w:type="dxa"/>
            <w:vAlign w:val="center"/>
          </w:tcPr>
          <w:p w14:paraId="7BF7A4FB">
            <w:pPr>
              <w:pStyle w:val="14"/>
            </w:pPr>
          </w:p>
        </w:tc>
        <w:tc>
          <w:tcPr>
            <w:tcW w:w="1474" w:type="dxa"/>
            <w:vAlign w:val="center"/>
          </w:tcPr>
          <w:p w14:paraId="3B39D619">
            <w:pPr>
              <w:pStyle w:val="14"/>
            </w:pPr>
          </w:p>
        </w:tc>
        <w:tc>
          <w:tcPr>
            <w:tcW w:w="1474" w:type="dxa"/>
            <w:vAlign w:val="center"/>
          </w:tcPr>
          <w:p w14:paraId="63DCE0F2">
            <w:pPr>
              <w:pStyle w:val="14"/>
            </w:pPr>
          </w:p>
        </w:tc>
        <w:tc>
          <w:tcPr>
            <w:tcW w:w="1474" w:type="dxa"/>
            <w:vAlign w:val="center"/>
          </w:tcPr>
          <w:p w14:paraId="15745E00">
            <w:pPr>
              <w:pStyle w:val="14"/>
            </w:pPr>
          </w:p>
        </w:tc>
      </w:tr>
      <w:tr w14:paraId="0CB36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5123A">
            <w:pPr>
              <w:pStyle w:val="12"/>
            </w:pPr>
            <w:r>
              <w:t>7</w:t>
            </w:r>
          </w:p>
        </w:tc>
        <w:tc>
          <w:tcPr>
            <w:tcW w:w="3402" w:type="dxa"/>
            <w:vAlign w:val="center"/>
          </w:tcPr>
          <w:p w14:paraId="1E346B74">
            <w:pPr>
              <w:pStyle w:val="13"/>
            </w:pPr>
          </w:p>
        </w:tc>
        <w:tc>
          <w:tcPr>
            <w:tcW w:w="1474" w:type="dxa"/>
            <w:vAlign w:val="center"/>
          </w:tcPr>
          <w:p w14:paraId="0AD0F736">
            <w:pPr>
              <w:pStyle w:val="14"/>
            </w:pPr>
          </w:p>
        </w:tc>
        <w:tc>
          <w:tcPr>
            <w:tcW w:w="3402" w:type="dxa"/>
            <w:vAlign w:val="center"/>
          </w:tcPr>
          <w:p w14:paraId="5CF857F8">
            <w:pPr>
              <w:pStyle w:val="13"/>
            </w:pPr>
            <w:r>
              <w:t>七、文化旅游体育与传媒支出</w:t>
            </w:r>
          </w:p>
        </w:tc>
        <w:tc>
          <w:tcPr>
            <w:tcW w:w="1474" w:type="dxa"/>
            <w:vAlign w:val="center"/>
          </w:tcPr>
          <w:p w14:paraId="480645F3">
            <w:pPr>
              <w:pStyle w:val="14"/>
            </w:pPr>
          </w:p>
        </w:tc>
        <w:tc>
          <w:tcPr>
            <w:tcW w:w="1474" w:type="dxa"/>
            <w:vAlign w:val="center"/>
          </w:tcPr>
          <w:p w14:paraId="06DBB240">
            <w:pPr>
              <w:pStyle w:val="14"/>
            </w:pPr>
          </w:p>
        </w:tc>
        <w:tc>
          <w:tcPr>
            <w:tcW w:w="1474" w:type="dxa"/>
            <w:vAlign w:val="center"/>
          </w:tcPr>
          <w:p w14:paraId="03643DEE">
            <w:pPr>
              <w:pStyle w:val="14"/>
            </w:pPr>
          </w:p>
        </w:tc>
        <w:tc>
          <w:tcPr>
            <w:tcW w:w="1474" w:type="dxa"/>
            <w:vAlign w:val="center"/>
          </w:tcPr>
          <w:p w14:paraId="54A54F8F">
            <w:pPr>
              <w:pStyle w:val="14"/>
            </w:pPr>
          </w:p>
        </w:tc>
      </w:tr>
      <w:tr w14:paraId="42C27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7A5FD">
            <w:pPr>
              <w:pStyle w:val="12"/>
            </w:pPr>
            <w:r>
              <w:t>8</w:t>
            </w:r>
          </w:p>
        </w:tc>
        <w:tc>
          <w:tcPr>
            <w:tcW w:w="3402" w:type="dxa"/>
            <w:vAlign w:val="center"/>
          </w:tcPr>
          <w:p w14:paraId="5E101A6D">
            <w:pPr>
              <w:pStyle w:val="13"/>
            </w:pPr>
          </w:p>
        </w:tc>
        <w:tc>
          <w:tcPr>
            <w:tcW w:w="1474" w:type="dxa"/>
            <w:vAlign w:val="center"/>
          </w:tcPr>
          <w:p w14:paraId="465CF54A">
            <w:pPr>
              <w:pStyle w:val="14"/>
            </w:pPr>
          </w:p>
        </w:tc>
        <w:tc>
          <w:tcPr>
            <w:tcW w:w="3402" w:type="dxa"/>
            <w:vAlign w:val="center"/>
          </w:tcPr>
          <w:p w14:paraId="4A870D2B">
            <w:pPr>
              <w:pStyle w:val="13"/>
            </w:pPr>
            <w:r>
              <w:t>八、社会保障和就业支出</w:t>
            </w:r>
          </w:p>
        </w:tc>
        <w:tc>
          <w:tcPr>
            <w:tcW w:w="1474" w:type="dxa"/>
            <w:vAlign w:val="center"/>
          </w:tcPr>
          <w:p w14:paraId="2C1B9131">
            <w:pPr>
              <w:pStyle w:val="14"/>
            </w:pPr>
          </w:p>
        </w:tc>
        <w:tc>
          <w:tcPr>
            <w:tcW w:w="1474" w:type="dxa"/>
            <w:vAlign w:val="center"/>
          </w:tcPr>
          <w:p w14:paraId="37D04432">
            <w:pPr>
              <w:pStyle w:val="14"/>
            </w:pPr>
          </w:p>
        </w:tc>
        <w:tc>
          <w:tcPr>
            <w:tcW w:w="1474" w:type="dxa"/>
            <w:vAlign w:val="center"/>
          </w:tcPr>
          <w:p w14:paraId="49E10BC2">
            <w:pPr>
              <w:pStyle w:val="14"/>
            </w:pPr>
          </w:p>
        </w:tc>
        <w:tc>
          <w:tcPr>
            <w:tcW w:w="1474" w:type="dxa"/>
            <w:vAlign w:val="center"/>
          </w:tcPr>
          <w:p w14:paraId="70E19AF5">
            <w:pPr>
              <w:pStyle w:val="14"/>
            </w:pPr>
          </w:p>
        </w:tc>
      </w:tr>
      <w:tr w14:paraId="5FB00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7EE6B">
            <w:pPr>
              <w:pStyle w:val="12"/>
            </w:pPr>
            <w:r>
              <w:t>9</w:t>
            </w:r>
          </w:p>
        </w:tc>
        <w:tc>
          <w:tcPr>
            <w:tcW w:w="3402" w:type="dxa"/>
            <w:vAlign w:val="center"/>
          </w:tcPr>
          <w:p w14:paraId="252D3FBC">
            <w:pPr>
              <w:pStyle w:val="13"/>
            </w:pPr>
          </w:p>
        </w:tc>
        <w:tc>
          <w:tcPr>
            <w:tcW w:w="1474" w:type="dxa"/>
            <w:vAlign w:val="center"/>
          </w:tcPr>
          <w:p w14:paraId="2A1BDBB5">
            <w:pPr>
              <w:pStyle w:val="14"/>
            </w:pPr>
          </w:p>
        </w:tc>
        <w:tc>
          <w:tcPr>
            <w:tcW w:w="3402" w:type="dxa"/>
            <w:vAlign w:val="center"/>
          </w:tcPr>
          <w:p w14:paraId="595A91CB">
            <w:pPr>
              <w:pStyle w:val="13"/>
            </w:pPr>
            <w:r>
              <w:t>九、社会保险基金支出</w:t>
            </w:r>
          </w:p>
        </w:tc>
        <w:tc>
          <w:tcPr>
            <w:tcW w:w="1474" w:type="dxa"/>
            <w:vAlign w:val="center"/>
          </w:tcPr>
          <w:p w14:paraId="67A17D8D">
            <w:pPr>
              <w:pStyle w:val="14"/>
            </w:pPr>
          </w:p>
        </w:tc>
        <w:tc>
          <w:tcPr>
            <w:tcW w:w="1474" w:type="dxa"/>
            <w:vAlign w:val="center"/>
          </w:tcPr>
          <w:p w14:paraId="5F696EC8">
            <w:pPr>
              <w:pStyle w:val="14"/>
            </w:pPr>
          </w:p>
        </w:tc>
        <w:tc>
          <w:tcPr>
            <w:tcW w:w="1474" w:type="dxa"/>
            <w:vAlign w:val="center"/>
          </w:tcPr>
          <w:p w14:paraId="214617DB">
            <w:pPr>
              <w:pStyle w:val="14"/>
            </w:pPr>
          </w:p>
        </w:tc>
        <w:tc>
          <w:tcPr>
            <w:tcW w:w="1474" w:type="dxa"/>
            <w:vAlign w:val="center"/>
          </w:tcPr>
          <w:p w14:paraId="2CE88CA9">
            <w:pPr>
              <w:pStyle w:val="14"/>
            </w:pPr>
          </w:p>
        </w:tc>
      </w:tr>
      <w:tr w14:paraId="6E367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48F9B">
            <w:pPr>
              <w:pStyle w:val="12"/>
            </w:pPr>
            <w:r>
              <w:t>10</w:t>
            </w:r>
          </w:p>
        </w:tc>
        <w:tc>
          <w:tcPr>
            <w:tcW w:w="3402" w:type="dxa"/>
            <w:vAlign w:val="center"/>
          </w:tcPr>
          <w:p w14:paraId="09B72F4D">
            <w:pPr>
              <w:pStyle w:val="13"/>
            </w:pPr>
          </w:p>
        </w:tc>
        <w:tc>
          <w:tcPr>
            <w:tcW w:w="1474" w:type="dxa"/>
            <w:vAlign w:val="center"/>
          </w:tcPr>
          <w:p w14:paraId="44E2B516">
            <w:pPr>
              <w:pStyle w:val="14"/>
            </w:pPr>
          </w:p>
        </w:tc>
        <w:tc>
          <w:tcPr>
            <w:tcW w:w="3402" w:type="dxa"/>
            <w:vAlign w:val="center"/>
          </w:tcPr>
          <w:p w14:paraId="5EF93552">
            <w:pPr>
              <w:pStyle w:val="13"/>
            </w:pPr>
            <w:r>
              <w:t>十、卫生健康支出</w:t>
            </w:r>
          </w:p>
        </w:tc>
        <w:tc>
          <w:tcPr>
            <w:tcW w:w="1474" w:type="dxa"/>
            <w:vAlign w:val="center"/>
          </w:tcPr>
          <w:p w14:paraId="2857743F">
            <w:pPr>
              <w:pStyle w:val="14"/>
            </w:pPr>
          </w:p>
        </w:tc>
        <w:tc>
          <w:tcPr>
            <w:tcW w:w="1474" w:type="dxa"/>
            <w:vAlign w:val="center"/>
          </w:tcPr>
          <w:p w14:paraId="0770A5A7">
            <w:pPr>
              <w:pStyle w:val="14"/>
            </w:pPr>
          </w:p>
        </w:tc>
        <w:tc>
          <w:tcPr>
            <w:tcW w:w="1474" w:type="dxa"/>
            <w:vAlign w:val="center"/>
          </w:tcPr>
          <w:p w14:paraId="487A98B9">
            <w:pPr>
              <w:pStyle w:val="14"/>
            </w:pPr>
          </w:p>
        </w:tc>
        <w:tc>
          <w:tcPr>
            <w:tcW w:w="1474" w:type="dxa"/>
            <w:vAlign w:val="center"/>
          </w:tcPr>
          <w:p w14:paraId="4C40EEE1">
            <w:pPr>
              <w:pStyle w:val="14"/>
            </w:pPr>
          </w:p>
        </w:tc>
      </w:tr>
      <w:tr w14:paraId="2FCC0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46B40">
            <w:pPr>
              <w:pStyle w:val="12"/>
            </w:pPr>
            <w:r>
              <w:t>11</w:t>
            </w:r>
          </w:p>
        </w:tc>
        <w:tc>
          <w:tcPr>
            <w:tcW w:w="3402" w:type="dxa"/>
            <w:vAlign w:val="center"/>
          </w:tcPr>
          <w:p w14:paraId="69A7D06A">
            <w:pPr>
              <w:pStyle w:val="13"/>
            </w:pPr>
          </w:p>
        </w:tc>
        <w:tc>
          <w:tcPr>
            <w:tcW w:w="1474" w:type="dxa"/>
            <w:vAlign w:val="center"/>
          </w:tcPr>
          <w:p w14:paraId="1D52F64E">
            <w:pPr>
              <w:pStyle w:val="14"/>
            </w:pPr>
          </w:p>
        </w:tc>
        <w:tc>
          <w:tcPr>
            <w:tcW w:w="3402" w:type="dxa"/>
            <w:vAlign w:val="center"/>
          </w:tcPr>
          <w:p w14:paraId="5AF2B7F9">
            <w:pPr>
              <w:pStyle w:val="13"/>
            </w:pPr>
            <w:r>
              <w:t>十一、节能环保支出</w:t>
            </w:r>
          </w:p>
        </w:tc>
        <w:tc>
          <w:tcPr>
            <w:tcW w:w="1474" w:type="dxa"/>
            <w:vAlign w:val="center"/>
          </w:tcPr>
          <w:p w14:paraId="1BA3C0E9">
            <w:pPr>
              <w:pStyle w:val="14"/>
            </w:pPr>
          </w:p>
        </w:tc>
        <w:tc>
          <w:tcPr>
            <w:tcW w:w="1474" w:type="dxa"/>
            <w:vAlign w:val="center"/>
          </w:tcPr>
          <w:p w14:paraId="7AE41261">
            <w:pPr>
              <w:pStyle w:val="14"/>
            </w:pPr>
          </w:p>
        </w:tc>
        <w:tc>
          <w:tcPr>
            <w:tcW w:w="1474" w:type="dxa"/>
            <w:vAlign w:val="center"/>
          </w:tcPr>
          <w:p w14:paraId="62D4A9F0">
            <w:pPr>
              <w:pStyle w:val="14"/>
            </w:pPr>
          </w:p>
        </w:tc>
        <w:tc>
          <w:tcPr>
            <w:tcW w:w="1474" w:type="dxa"/>
            <w:vAlign w:val="center"/>
          </w:tcPr>
          <w:p w14:paraId="0B13549C">
            <w:pPr>
              <w:pStyle w:val="14"/>
            </w:pPr>
          </w:p>
        </w:tc>
      </w:tr>
      <w:tr w14:paraId="63387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D6318">
            <w:pPr>
              <w:pStyle w:val="12"/>
            </w:pPr>
            <w:r>
              <w:t>12</w:t>
            </w:r>
          </w:p>
        </w:tc>
        <w:tc>
          <w:tcPr>
            <w:tcW w:w="3402" w:type="dxa"/>
            <w:vAlign w:val="center"/>
          </w:tcPr>
          <w:p w14:paraId="23B52DA1">
            <w:pPr>
              <w:pStyle w:val="13"/>
            </w:pPr>
          </w:p>
        </w:tc>
        <w:tc>
          <w:tcPr>
            <w:tcW w:w="1474" w:type="dxa"/>
            <w:vAlign w:val="center"/>
          </w:tcPr>
          <w:p w14:paraId="4699209F">
            <w:pPr>
              <w:pStyle w:val="14"/>
            </w:pPr>
          </w:p>
        </w:tc>
        <w:tc>
          <w:tcPr>
            <w:tcW w:w="3402" w:type="dxa"/>
            <w:vAlign w:val="center"/>
          </w:tcPr>
          <w:p w14:paraId="0BE2B46A">
            <w:pPr>
              <w:pStyle w:val="13"/>
            </w:pPr>
            <w:r>
              <w:t>十二、城乡社区支出</w:t>
            </w:r>
          </w:p>
        </w:tc>
        <w:tc>
          <w:tcPr>
            <w:tcW w:w="1474" w:type="dxa"/>
            <w:vAlign w:val="center"/>
          </w:tcPr>
          <w:p w14:paraId="45A9C002">
            <w:pPr>
              <w:pStyle w:val="14"/>
            </w:pPr>
          </w:p>
        </w:tc>
        <w:tc>
          <w:tcPr>
            <w:tcW w:w="1474" w:type="dxa"/>
            <w:vAlign w:val="center"/>
          </w:tcPr>
          <w:p w14:paraId="195001D8">
            <w:pPr>
              <w:pStyle w:val="14"/>
            </w:pPr>
          </w:p>
        </w:tc>
        <w:tc>
          <w:tcPr>
            <w:tcW w:w="1474" w:type="dxa"/>
            <w:vAlign w:val="center"/>
          </w:tcPr>
          <w:p w14:paraId="78ADE108">
            <w:pPr>
              <w:pStyle w:val="14"/>
            </w:pPr>
          </w:p>
        </w:tc>
        <w:tc>
          <w:tcPr>
            <w:tcW w:w="1474" w:type="dxa"/>
            <w:vAlign w:val="center"/>
          </w:tcPr>
          <w:p w14:paraId="4A652C42">
            <w:pPr>
              <w:pStyle w:val="14"/>
            </w:pPr>
          </w:p>
        </w:tc>
      </w:tr>
      <w:tr w14:paraId="7B1AE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4E63A">
            <w:pPr>
              <w:pStyle w:val="12"/>
            </w:pPr>
            <w:r>
              <w:t>13</w:t>
            </w:r>
          </w:p>
        </w:tc>
        <w:tc>
          <w:tcPr>
            <w:tcW w:w="3402" w:type="dxa"/>
            <w:vAlign w:val="center"/>
          </w:tcPr>
          <w:p w14:paraId="5F7C1873">
            <w:pPr>
              <w:pStyle w:val="13"/>
            </w:pPr>
          </w:p>
        </w:tc>
        <w:tc>
          <w:tcPr>
            <w:tcW w:w="1474" w:type="dxa"/>
            <w:vAlign w:val="center"/>
          </w:tcPr>
          <w:p w14:paraId="1DF5440F">
            <w:pPr>
              <w:pStyle w:val="14"/>
            </w:pPr>
          </w:p>
        </w:tc>
        <w:tc>
          <w:tcPr>
            <w:tcW w:w="3402" w:type="dxa"/>
            <w:vAlign w:val="center"/>
          </w:tcPr>
          <w:p w14:paraId="301ABB87">
            <w:pPr>
              <w:pStyle w:val="13"/>
            </w:pPr>
            <w:r>
              <w:t>十三、农林水支出</w:t>
            </w:r>
          </w:p>
        </w:tc>
        <w:tc>
          <w:tcPr>
            <w:tcW w:w="1474" w:type="dxa"/>
            <w:vAlign w:val="center"/>
          </w:tcPr>
          <w:p w14:paraId="460ED9DF">
            <w:pPr>
              <w:pStyle w:val="14"/>
            </w:pPr>
          </w:p>
        </w:tc>
        <w:tc>
          <w:tcPr>
            <w:tcW w:w="1474" w:type="dxa"/>
            <w:vAlign w:val="center"/>
          </w:tcPr>
          <w:p w14:paraId="75827613">
            <w:pPr>
              <w:pStyle w:val="14"/>
            </w:pPr>
          </w:p>
        </w:tc>
        <w:tc>
          <w:tcPr>
            <w:tcW w:w="1474" w:type="dxa"/>
            <w:vAlign w:val="center"/>
          </w:tcPr>
          <w:p w14:paraId="3A1817E1">
            <w:pPr>
              <w:pStyle w:val="14"/>
            </w:pPr>
          </w:p>
        </w:tc>
        <w:tc>
          <w:tcPr>
            <w:tcW w:w="1474" w:type="dxa"/>
            <w:vAlign w:val="center"/>
          </w:tcPr>
          <w:p w14:paraId="73A3129C">
            <w:pPr>
              <w:pStyle w:val="14"/>
            </w:pPr>
          </w:p>
        </w:tc>
      </w:tr>
      <w:tr w14:paraId="06541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06D76EB">
            <w:pPr>
              <w:pStyle w:val="12"/>
            </w:pPr>
            <w:r>
              <w:t>14</w:t>
            </w:r>
          </w:p>
        </w:tc>
        <w:tc>
          <w:tcPr>
            <w:tcW w:w="3402" w:type="dxa"/>
            <w:vAlign w:val="center"/>
          </w:tcPr>
          <w:p w14:paraId="1E71D495">
            <w:pPr>
              <w:pStyle w:val="13"/>
            </w:pPr>
          </w:p>
        </w:tc>
        <w:tc>
          <w:tcPr>
            <w:tcW w:w="1474" w:type="dxa"/>
            <w:vAlign w:val="center"/>
          </w:tcPr>
          <w:p w14:paraId="4B582782">
            <w:pPr>
              <w:pStyle w:val="14"/>
            </w:pPr>
          </w:p>
        </w:tc>
        <w:tc>
          <w:tcPr>
            <w:tcW w:w="3402" w:type="dxa"/>
            <w:vAlign w:val="center"/>
          </w:tcPr>
          <w:p w14:paraId="4A5CB3DF">
            <w:pPr>
              <w:pStyle w:val="13"/>
            </w:pPr>
            <w:r>
              <w:t>十四、交通运输支出</w:t>
            </w:r>
          </w:p>
        </w:tc>
        <w:tc>
          <w:tcPr>
            <w:tcW w:w="1474" w:type="dxa"/>
            <w:vAlign w:val="center"/>
          </w:tcPr>
          <w:p w14:paraId="76F87470">
            <w:pPr>
              <w:pStyle w:val="14"/>
            </w:pPr>
          </w:p>
        </w:tc>
        <w:tc>
          <w:tcPr>
            <w:tcW w:w="1474" w:type="dxa"/>
            <w:vAlign w:val="center"/>
          </w:tcPr>
          <w:p w14:paraId="5E17A0BE">
            <w:pPr>
              <w:pStyle w:val="14"/>
            </w:pPr>
          </w:p>
        </w:tc>
        <w:tc>
          <w:tcPr>
            <w:tcW w:w="1474" w:type="dxa"/>
            <w:vAlign w:val="center"/>
          </w:tcPr>
          <w:p w14:paraId="7F89C37D">
            <w:pPr>
              <w:pStyle w:val="14"/>
            </w:pPr>
          </w:p>
        </w:tc>
        <w:tc>
          <w:tcPr>
            <w:tcW w:w="1474" w:type="dxa"/>
            <w:vAlign w:val="center"/>
          </w:tcPr>
          <w:p w14:paraId="1FF0E32E">
            <w:pPr>
              <w:pStyle w:val="14"/>
            </w:pPr>
          </w:p>
        </w:tc>
      </w:tr>
      <w:tr w14:paraId="1A879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1515E">
            <w:pPr>
              <w:pStyle w:val="12"/>
            </w:pPr>
            <w:r>
              <w:t>15</w:t>
            </w:r>
          </w:p>
        </w:tc>
        <w:tc>
          <w:tcPr>
            <w:tcW w:w="3402" w:type="dxa"/>
            <w:vAlign w:val="center"/>
          </w:tcPr>
          <w:p w14:paraId="043801D9">
            <w:pPr>
              <w:pStyle w:val="13"/>
            </w:pPr>
          </w:p>
        </w:tc>
        <w:tc>
          <w:tcPr>
            <w:tcW w:w="1474" w:type="dxa"/>
            <w:vAlign w:val="center"/>
          </w:tcPr>
          <w:p w14:paraId="10ABB2D0">
            <w:pPr>
              <w:pStyle w:val="14"/>
            </w:pPr>
          </w:p>
        </w:tc>
        <w:tc>
          <w:tcPr>
            <w:tcW w:w="3402" w:type="dxa"/>
            <w:vAlign w:val="center"/>
          </w:tcPr>
          <w:p w14:paraId="4F09BC74">
            <w:pPr>
              <w:pStyle w:val="13"/>
            </w:pPr>
            <w:r>
              <w:t>十五、资源勘探工业信息等支出</w:t>
            </w:r>
          </w:p>
        </w:tc>
        <w:tc>
          <w:tcPr>
            <w:tcW w:w="1474" w:type="dxa"/>
            <w:vAlign w:val="center"/>
          </w:tcPr>
          <w:p w14:paraId="326A7152">
            <w:pPr>
              <w:pStyle w:val="14"/>
            </w:pPr>
          </w:p>
        </w:tc>
        <w:tc>
          <w:tcPr>
            <w:tcW w:w="1474" w:type="dxa"/>
            <w:vAlign w:val="center"/>
          </w:tcPr>
          <w:p w14:paraId="71FC457D">
            <w:pPr>
              <w:pStyle w:val="14"/>
            </w:pPr>
          </w:p>
        </w:tc>
        <w:tc>
          <w:tcPr>
            <w:tcW w:w="1474" w:type="dxa"/>
            <w:vAlign w:val="center"/>
          </w:tcPr>
          <w:p w14:paraId="4D070F79">
            <w:pPr>
              <w:pStyle w:val="14"/>
            </w:pPr>
          </w:p>
        </w:tc>
        <w:tc>
          <w:tcPr>
            <w:tcW w:w="1474" w:type="dxa"/>
            <w:vAlign w:val="center"/>
          </w:tcPr>
          <w:p w14:paraId="3D8F283C">
            <w:pPr>
              <w:pStyle w:val="14"/>
            </w:pPr>
          </w:p>
        </w:tc>
      </w:tr>
      <w:tr w14:paraId="6B8D6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DB013">
            <w:pPr>
              <w:pStyle w:val="12"/>
            </w:pPr>
            <w:r>
              <w:t>16</w:t>
            </w:r>
          </w:p>
        </w:tc>
        <w:tc>
          <w:tcPr>
            <w:tcW w:w="3402" w:type="dxa"/>
            <w:vAlign w:val="center"/>
          </w:tcPr>
          <w:p w14:paraId="544992EA">
            <w:pPr>
              <w:pStyle w:val="13"/>
            </w:pPr>
          </w:p>
        </w:tc>
        <w:tc>
          <w:tcPr>
            <w:tcW w:w="1474" w:type="dxa"/>
            <w:vAlign w:val="center"/>
          </w:tcPr>
          <w:p w14:paraId="63763D89">
            <w:pPr>
              <w:pStyle w:val="14"/>
            </w:pPr>
          </w:p>
        </w:tc>
        <w:tc>
          <w:tcPr>
            <w:tcW w:w="3402" w:type="dxa"/>
            <w:vAlign w:val="center"/>
          </w:tcPr>
          <w:p w14:paraId="78F01B88">
            <w:pPr>
              <w:pStyle w:val="13"/>
            </w:pPr>
            <w:r>
              <w:t>十六、商业服务业等支出</w:t>
            </w:r>
          </w:p>
        </w:tc>
        <w:tc>
          <w:tcPr>
            <w:tcW w:w="1474" w:type="dxa"/>
            <w:vAlign w:val="center"/>
          </w:tcPr>
          <w:p w14:paraId="62D27AB7">
            <w:pPr>
              <w:pStyle w:val="14"/>
            </w:pPr>
          </w:p>
        </w:tc>
        <w:tc>
          <w:tcPr>
            <w:tcW w:w="1474" w:type="dxa"/>
            <w:vAlign w:val="center"/>
          </w:tcPr>
          <w:p w14:paraId="68A6BA53">
            <w:pPr>
              <w:pStyle w:val="14"/>
            </w:pPr>
          </w:p>
        </w:tc>
        <w:tc>
          <w:tcPr>
            <w:tcW w:w="1474" w:type="dxa"/>
            <w:vAlign w:val="center"/>
          </w:tcPr>
          <w:p w14:paraId="65B757F7">
            <w:pPr>
              <w:pStyle w:val="14"/>
            </w:pPr>
          </w:p>
        </w:tc>
        <w:tc>
          <w:tcPr>
            <w:tcW w:w="1474" w:type="dxa"/>
            <w:vAlign w:val="center"/>
          </w:tcPr>
          <w:p w14:paraId="5BBF0D42">
            <w:pPr>
              <w:pStyle w:val="14"/>
            </w:pPr>
          </w:p>
        </w:tc>
      </w:tr>
      <w:tr w14:paraId="1F368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EAC47">
            <w:pPr>
              <w:pStyle w:val="12"/>
            </w:pPr>
            <w:r>
              <w:t>17</w:t>
            </w:r>
          </w:p>
        </w:tc>
        <w:tc>
          <w:tcPr>
            <w:tcW w:w="3402" w:type="dxa"/>
            <w:vAlign w:val="center"/>
          </w:tcPr>
          <w:p w14:paraId="468BE693">
            <w:pPr>
              <w:pStyle w:val="13"/>
            </w:pPr>
          </w:p>
        </w:tc>
        <w:tc>
          <w:tcPr>
            <w:tcW w:w="1474" w:type="dxa"/>
            <w:vAlign w:val="center"/>
          </w:tcPr>
          <w:p w14:paraId="59F83FCF">
            <w:pPr>
              <w:pStyle w:val="14"/>
            </w:pPr>
          </w:p>
        </w:tc>
        <w:tc>
          <w:tcPr>
            <w:tcW w:w="3402" w:type="dxa"/>
            <w:vAlign w:val="center"/>
          </w:tcPr>
          <w:p w14:paraId="457E4689">
            <w:pPr>
              <w:pStyle w:val="13"/>
            </w:pPr>
            <w:r>
              <w:t>十七、金融支出</w:t>
            </w:r>
          </w:p>
        </w:tc>
        <w:tc>
          <w:tcPr>
            <w:tcW w:w="1474" w:type="dxa"/>
            <w:vAlign w:val="center"/>
          </w:tcPr>
          <w:p w14:paraId="6DE33830">
            <w:pPr>
              <w:pStyle w:val="14"/>
            </w:pPr>
          </w:p>
        </w:tc>
        <w:tc>
          <w:tcPr>
            <w:tcW w:w="1474" w:type="dxa"/>
            <w:vAlign w:val="center"/>
          </w:tcPr>
          <w:p w14:paraId="3F392FE7">
            <w:pPr>
              <w:pStyle w:val="14"/>
            </w:pPr>
          </w:p>
        </w:tc>
        <w:tc>
          <w:tcPr>
            <w:tcW w:w="1474" w:type="dxa"/>
            <w:vAlign w:val="center"/>
          </w:tcPr>
          <w:p w14:paraId="032D72D4">
            <w:pPr>
              <w:pStyle w:val="14"/>
            </w:pPr>
          </w:p>
        </w:tc>
        <w:tc>
          <w:tcPr>
            <w:tcW w:w="1474" w:type="dxa"/>
            <w:vAlign w:val="center"/>
          </w:tcPr>
          <w:p w14:paraId="104F8AC9">
            <w:pPr>
              <w:pStyle w:val="14"/>
            </w:pPr>
          </w:p>
        </w:tc>
      </w:tr>
      <w:tr w14:paraId="570AE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2E759">
            <w:pPr>
              <w:pStyle w:val="12"/>
            </w:pPr>
            <w:r>
              <w:t>18</w:t>
            </w:r>
          </w:p>
        </w:tc>
        <w:tc>
          <w:tcPr>
            <w:tcW w:w="3402" w:type="dxa"/>
            <w:vAlign w:val="center"/>
          </w:tcPr>
          <w:p w14:paraId="09B0377F">
            <w:pPr>
              <w:pStyle w:val="13"/>
            </w:pPr>
          </w:p>
        </w:tc>
        <w:tc>
          <w:tcPr>
            <w:tcW w:w="1474" w:type="dxa"/>
            <w:vAlign w:val="center"/>
          </w:tcPr>
          <w:p w14:paraId="520C1F76">
            <w:pPr>
              <w:pStyle w:val="14"/>
            </w:pPr>
          </w:p>
        </w:tc>
        <w:tc>
          <w:tcPr>
            <w:tcW w:w="3402" w:type="dxa"/>
            <w:vAlign w:val="center"/>
          </w:tcPr>
          <w:p w14:paraId="194795FB">
            <w:pPr>
              <w:pStyle w:val="13"/>
            </w:pPr>
            <w:r>
              <w:t>十八、援助其他地区支出</w:t>
            </w:r>
          </w:p>
        </w:tc>
        <w:tc>
          <w:tcPr>
            <w:tcW w:w="1474" w:type="dxa"/>
            <w:vAlign w:val="center"/>
          </w:tcPr>
          <w:p w14:paraId="44C895B5">
            <w:pPr>
              <w:pStyle w:val="14"/>
            </w:pPr>
          </w:p>
        </w:tc>
        <w:tc>
          <w:tcPr>
            <w:tcW w:w="1474" w:type="dxa"/>
            <w:vAlign w:val="center"/>
          </w:tcPr>
          <w:p w14:paraId="4F2581F3">
            <w:pPr>
              <w:pStyle w:val="14"/>
            </w:pPr>
          </w:p>
        </w:tc>
        <w:tc>
          <w:tcPr>
            <w:tcW w:w="1474" w:type="dxa"/>
            <w:vAlign w:val="center"/>
          </w:tcPr>
          <w:p w14:paraId="0E337E7F">
            <w:pPr>
              <w:pStyle w:val="14"/>
            </w:pPr>
          </w:p>
        </w:tc>
        <w:tc>
          <w:tcPr>
            <w:tcW w:w="1474" w:type="dxa"/>
            <w:vAlign w:val="center"/>
          </w:tcPr>
          <w:p w14:paraId="32941419">
            <w:pPr>
              <w:pStyle w:val="14"/>
            </w:pPr>
          </w:p>
        </w:tc>
      </w:tr>
      <w:tr w14:paraId="35C28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37CD6">
            <w:pPr>
              <w:pStyle w:val="12"/>
            </w:pPr>
            <w:r>
              <w:t>19</w:t>
            </w:r>
          </w:p>
        </w:tc>
        <w:tc>
          <w:tcPr>
            <w:tcW w:w="3402" w:type="dxa"/>
            <w:vAlign w:val="center"/>
          </w:tcPr>
          <w:p w14:paraId="695CF974">
            <w:pPr>
              <w:pStyle w:val="13"/>
            </w:pPr>
          </w:p>
        </w:tc>
        <w:tc>
          <w:tcPr>
            <w:tcW w:w="1474" w:type="dxa"/>
            <w:vAlign w:val="center"/>
          </w:tcPr>
          <w:p w14:paraId="70FE468E">
            <w:pPr>
              <w:pStyle w:val="14"/>
            </w:pPr>
          </w:p>
        </w:tc>
        <w:tc>
          <w:tcPr>
            <w:tcW w:w="3402" w:type="dxa"/>
            <w:vAlign w:val="center"/>
          </w:tcPr>
          <w:p w14:paraId="59EA36EF">
            <w:pPr>
              <w:pStyle w:val="13"/>
            </w:pPr>
            <w:r>
              <w:t>十九、自然资源海洋气象等支出</w:t>
            </w:r>
          </w:p>
        </w:tc>
        <w:tc>
          <w:tcPr>
            <w:tcW w:w="1474" w:type="dxa"/>
            <w:vAlign w:val="center"/>
          </w:tcPr>
          <w:p w14:paraId="42266BA5">
            <w:pPr>
              <w:pStyle w:val="14"/>
            </w:pPr>
          </w:p>
        </w:tc>
        <w:tc>
          <w:tcPr>
            <w:tcW w:w="1474" w:type="dxa"/>
            <w:vAlign w:val="center"/>
          </w:tcPr>
          <w:p w14:paraId="4EE0A287">
            <w:pPr>
              <w:pStyle w:val="14"/>
            </w:pPr>
          </w:p>
        </w:tc>
        <w:tc>
          <w:tcPr>
            <w:tcW w:w="1474" w:type="dxa"/>
            <w:vAlign w:val="center"/>
          </w:tcPr>
          <w:p w14:paraId="474E2340">
            <w:pPr>
              <w:pStyle w:val="14"/>
            </w:pPr>
          </w:p>
        </w:tc>
        <w:tc>
          <w:tcPr>
            <w:tcW w:w="1474" w:type="dxa"/>
            <w:vAlign w:val="center"/>
          </w:tcPr>
          <w:p w14:paraId="200BE49B">
            <w:pPr>
              <w:pStyle w:val="14"/>
            </w:pPr>
          </w:p>
        </w:tc>
      </w:tr>
      <w:tr w14:paraId="02A9D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40F71">
            <w:pPr>
              <w:pStyle w:val="12"/>
            </w:pPr>
            <w:r>
              <w:t>20</w:t>
            </w:r>
          </w:p>
        </w:tc>
        <w:tc>
          <w:tcPr>
            <w:tcW w:w="3402" w:type="dxa"/>
            <w:vAlign w:val="center"/>
          </w:tcPr>
          <w:p w14:paraId="0C5D20F6">
            <w:pPr>
              <w:pStyle w:val="13"/>
            </w:pPr>
          </w:p>
        </w:tc>
        <w:tc>
          <w:tcPr>
            <w:tcW w:w="1474" w:type="dxa"/>
            <w:vAlign w:val="center"/>
          </w:tcPr>
          <w:p w14:paraId="70A420D3">
            <w:pPr>
              <w:pStyle w:val="14"/>
            </w:pPr>
          </w:p>
        </w:tc>
        <w:tc>
          <w:tcPr>
            <w:tcW w:w="3402" w:type="dxa"/>
            <w:vAlign w:val="center"/>
          </w:tcPr>
          <w:p w14:paraId="76A6D94D">
            <w:pPr>
              <w:pStyle w:val="13"/>
            </w:pPr>
            <w:r>
              <w:t>二十、住房保障支出</w:t>
            </w:r>
          </w:p>
        </w:tc>
        <w:tc>
          <w:tcPr>
            <w:tcW w:w="1474" w:type="dxa"/>
            <w:vAlign w:val="center"/>
          </w:tcPr>
          <w:p w14:paraId="2F76B626">
            <w:pPr>
              <w:pStyle w:val="14"/>
            </w:pPr>
          </w:p>
        </w:tc>
        <w:tc>
          <w:tcPr>
            <w:tcW w:w="1474" w:type="dxa"/>
            <w:vAlign w:val="center"/>
          </w:tcPr>
          <w:p w14:paraId="0F25A380">
            <w:pPr>
              <w:pStyle w:val="14"/>
            </w:pPr>
          </w:p>
        </w:tc>
        <w:tc>
          <w:tcPr>
            <w:tcW w:w="1474" w:type="dxa"/>
            <w:vAlign w:val="center"/>
          </w:tcPr>
          <w:p w14:paraId="1E809F62">
            <w:pPr>
              <w:pStyle w:val="14"/>
            </w:pPr>
          </w:p>
        </w:tc>
        <w:tc>
          <w:tcPr>
            <w:tcW w:w="1474" w:type="dxa"/>
            <w:vAlign w:val="center"/>
          </w:tcPr>
          <w:p w14:paraId="4DB5E3A7">
            <w:pPr>
              <w:pStyle w:val="14"/>
            </w:pPr>
          </w:p>
        </w:tc>
      </w:tr>
      <w:tr w14:paraId="34830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DBD7F">
            <w:pPr>
              <w:pStyle w:val="12"/>
            </w:pPr>
            <w:r>
              <w:t>21</w:t>
            </w:r>
          </w:p>
        </w:tc>
        <w:tc>
          <w:tcPr>
            <w:tcW w:w="3402" w:type="dxa"/>
            <w:vAlign w:val="center"/>
          </w:tcPr>
          <w:p w14:paraId="2DE64BC7">
            <w:pPr>
              <w:pStyle w:val="13"/>
            </w:pPr>
          </w:p>
        </w:tc>
        <w:tc>
          <w:tcPr>
            <w:tcW w:w="1474" w:type="dxa"/>
            <w:vAlign w:val="center"/>
          </w:tcPr>
          <w:p w14:paraId="62B69F94">
            <w:pPr>
              <w:pStyle w:val="14"/>
            </w:pPr>
          </w:p>
        </w:tc>
        <w:tc>
          <w:tcPr>
            <w:tcW w:w="3402" w:type="dxa"/>
            <w:vAlign w:val="center"/>
          </w:tcPr>
          <w:p w14:paraId="0ED4CF17">
            <w:pPr>
              <w:pStyle w:val="13"/>
            </w:pPr>
            <w:r>
              <w:t>二十一、粮油物资储备支出</w:t>
            </w:r>
          </w:p>
        </w:tc>
        <w:tc>
          <w:tcPr>
            <w:tcW w:w="1474" w:type="dxa"/>
            <w:vAlign w:val="center"/>
          </w:tcPr>
          <w:p w14:paraId="53B94E13">
            <w:pPr>
              <w:pStyle w:val="14"/>
            </w:pPr>
          </w:p>
        </w:tc>
        <w:tc>
          <w:tcPr>
            <w:tcW w:w="1474" w:type="dxa"/>
            <w:vAlign w:val="center"/>
          </w:tcPr>
          <w:p w14:paraId="5B04D534">
            <w:pPr>
              <w:pStyle w:val="14"/>
            </w:pPr>
          </w:p>
        </w:tc>
        <w:tc>
          <w:tcPr>
            <w:tcW w:w="1474" w:type="dxa"/>
            <w:vAlign w:val="center"/>
          </w:tcPr>
          <w:p w14:paraId="57800D23">
            <w:pPr>
              <w:pStyle w:val="14"/>
            </w:pPr>
          </w:p>
        </w:tc>
        <w:tc>
          <w:tcPr>
            <w:tcW w:w="1474" w:type="dxa"/>
            <w:vAlign w:val="center"/>
          </w:tcPr>
          <w:p w14:paraId="71935DBC">
            <w:pPr>
              <w:pStyle w:val="14"/>
            </w:pPr>
          </w:p>
        </w:tc>
      </w:tr>
      <w:tr w14:paraId="73804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EDCE4">
            <w:pPr>
              <w:pStyle w:val="12"/>
            </w:pPr>
            <w:r>
              <w:t>22</w:t>
            </w:r>
          </w:p>
        </w:tc>
        <w:tc>
          <w:tcPr>
            <w:tcW w:w="3402" w:type="dxa"/>
            <w:vAlign w:val="center"/>
          </w:tcPr>
          <w:p w14:paraId="3A01BB4B">
            <w:pPr>
              <w:pStyle w:val="13"/>
            </w:pPr>
          </w:p>
        </w:tc>
        <w:tc>
          <w:tcPr>
            <w:tcW w:w="1474" w:type="dxa"/>
            <w:vAlign w:val="center"/>
          </w:tcPr>
          <w:p w14:paraId="144EDB7F">
            <w:pPr>
              <w:pStyle w:val="14"/>
            </w:pPr>
          </w:p>
        </w:tc>
        <w:tc>
          <w:tcPr>
            <w:tcW w:w="3402" w:type="dxa"/>
            <w:vAlign w:val="center"/>
          </w:tcPr>
          <w:p w14:paraId="6228C129">
            <w:pPr>
              <w:pStyle w:val="13"/>
            </w:pPr>
            <w:r>
              <w:t>二十二、国有资本经营预算支出</w:t>
            </w:r>
          </w:p>
        </w:tc>
        <w:tc>
          <w:tcPr>
            <w:tcW w:w="1474" w:type="dxa"/>
            <w:vAlign w:val="center"/>
          </w:tcPr>
          <w:p w14:paraId="06A95700">
            <w:pPr>
              <w:pStyle w:val="14"/>
            </w:pPr>
          </w:p>
        </w:tc>
        <w:tc>
          <w:tcPr>
            <w:tcW w:w="1474" w:type="dxa"/>
            <w:vAlign w:val="center"/>
          </w:tcPr>
          <w:p w14:paraId="2B259885">
            <w:pPr>
              <w:pStyle w:val="14"/>
            </w:pPr>
          </w:p>
        </w:tc>
        <w:tc>
          <w:tcPr>
            <w:tcW w:w="1474" w:type="dxa"/>
            <w:vAlign w:val="center"/>
          </w:tcPr>
          <w:p w14:paraId="6C7E0346">
            <w:pPr>
              <w:pStyle w:val="14"/>
            </w:pPr>
          </w:p>
        </w:tc>
        <w:tc>
          <w:tcPr>
            <w:tcW w:w="1474" w:type="dxa"/>
            <w:vAlign w:val="center"/>
          </w:tcPr>
          <w:p w14:paraId="3B3ABFA0">
            <w:pPr>
              <w:pStyle w:val="14"/>
            </w:pPr>
          </w:p>
        </w:tc>
      </w:tr>
      <w:tr w14:paraId="41A0E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B971D">
            <w:pPr>
              <w:pStyle w:val="12"/>
            </w:pPr>
            <w:r>
              <w:t>23</w:t>
            </w:r>
          </w:p>
        </w:tc>
        <w:tc>
          <w:tcPr>
            <w:tcW w:w="3402" w:type="dxa"/>
            <w:vAlign w:val="center"/>
          </w:tcPr>
          <w:p w14:paraId="178B9464">
            <w:pPr>
              <w:pStyle w:val="13"/>
            </w:pPr>
          </w:p>
        </w:tc>
        <w:tc>
          <w:tcPr>
            <w:tcW w:w="1474" w:type="dxa"/>
            <w:vAlign w:val="center"/>
          </w:tcPr>
          <w:p w14:paraId="13FD9A3A">
            <w:pPr>
              <w:pStyle w:val="14"/>
            </w:pPr>
          </w:p>
        </w:tc>
        <w:tc>
          <w:tcPr>
            <w:tcW w:w="3402" w:type="dxa"/>
            <w:vAlign w:val="center"/>
          </w:tcPr>
          <w:p w14:paraId="4E8AD08C">
            <w:pPr>
              <w:pStyle w:val="13"/>
            </w:pPr>
            <w:r>
              <w:t>二十三、灾害防治及应急管理支出</w:t>
            </w:r>
          </w:p>
        </w:tc>
        <w:tc>
          <w:tcPr>
            <w:tcW w:w="1474" w:type="dxa"/>
            <w:vAlign w:val="center"/>
          </w:tcPr>
          <w:p w14:paraId="0E1F7FE2">
            <w:pPr>
              <w:pStyle w:val="14"/>
            </w:pPr>
          </w:p>
        </w:tc>
        <w:tc>
          <w:tcPr>
            <w:tcW w:w="1474" w:type="dxa"/>
            <w:vAlign w:val="center"/>
          </w:tcPr>
          <w:p w14:paraId="28BB8F97">
            <w:pPr>
              <w:pStyle w:val="14"/>
            </w:pPr>
          </w:p>
        </w:tc>
        <w:tc>
          <w:tcPr>
            <w:tcW w:w="1474" w:type="dxa"/>
            <w:vAlign w:val="center"/>
          </w:tcPr>
          <w:p w14:paraId="5E9EB05A">
            <w:pPr>
              <w:pStyle w:val="14"/>
            </w:pPr>
          </w:p>
        </w:tc>
        <w:tc>
          <w:tcPr>
            <w:tcW w:w="1474" w:type="dxa"/>
            <w:vAlign w:val="center"/>
          </w:tcPr>
          <w:p w14:paraId="316AE198">
            <w:pPr>
              <w:pStyle w:val="14"/>
            </w:pPr>
          </w:p>
        </w:tc>
      </w:tr>
      <w:tr w14:paraId="72709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A15FF">
            <w:pPr>
              <w:pStyle w:val="12"/>
            </w:pPr>
            <w:r>
              <w:t>24</w:t>
            </w:r>
          </w:p>
        </w:tc>
        <w:tc>
          <w:tcPr>
            <w:tcW w:w="3402" w:type="dxa"/>
            <w:vAlign w:val="center"/>
          </w:tcPr>
          <w:p w14:paraId="3AD62E00">
            <w:pPr>
              <w:pStyle w:val="13"/>
            </w:pPr>
          </w:p>
        </w:tc>
        <w:tc>
          <w:tcPr>
            <w:tcW w:w="1474" w:type="dxa"/>
            <w:vAlign w:val="center"/>
          </w:tcPr>
          <w:p w14:paraId="306312DB">
            <w:pPr>
              <w:pStyle w:val="14"/>
            </w:pPr>
          </w:p>
        </w:tc>
        <w:tc>
          <w:tcPr>
            <w:tcW w:w="3402" w:type="dxa"/>
            <w:vAlign w:val="center"/>
          </w:tcPr>
          <w:p w14:paraId="1AAD6271">
            <w:pPr>
              <w:pStyle w:val="13"/>
            </w:pPr>
            <w:r>
              <w:t>二十四、预备费</w:t>
            </w:r>
          </w:p>
        </w:tc>
        <w:tc>
          <w:tcPr>
            <w:tcW w:w="1474" w:type="dxa"/>
            <w:vAlign w:val="center"/>
          </w:tcPr>
          <w:p w14:paraId="487EAF0E">
            <w:pPr>
              <w:pStyle w:val="14"/>
            </w:pPr>
          </w:p>
        </w:tc>
        <w:tc>
          <w:tcPr>
            <w:tcW w:w="1474" w:type="dxa"/>
            <w:vAlign w:val="center"/>
          </w:tcPr>
          <w:p w14:paraId="49CA00D4">
            <w:pPr>
              <w:pStyle w:val="14"/>
            </w:pPr>
          </w:p>
        </w:tc>
        <w:tc>
          <w:tcPr>
            <w:tcW w:w="1474" w:type="dxa"/>
            <w:vAlign w:val="center"/>
          </w:tcPr>
          <w:p w14:paraId="766C18B7">
            <w:pPr>
              <w:pStyle w:val="14"/>
            </w:pPr>
          </w:p>
        </w:tc>
        <w:tc>
          <w:tcPr>
            <w:tcW w:w="1474" w:type="dxa"/>
            <w:vAlign w:val="center"/>
          </w:tcPr>
          <w:p w14:paraId="3A700298">
            <w:pPr>
              <w:pStyle w:val="14"/>
            </w:pPr>
          </w:p>
        </w:tc>
      </w:tr>
      <w:tr w14:paraId="1620B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D645E">
            <w:pPr>
              <w:pStyle w:val="12"/>
            </w:pPr>
            <w:r>
              <w:t>25</w:t>
            </w:r>
          </w:p>
        </w:tc>
        <w:tc>
          <w:tcPr>
            <w:tcW w:w="3402" w:type="dxa"/>
            <w:vAlign w:val="center"/>
          </w:tcPr>
          <w:p w14:paraId="49D343E9">
            <w:pPr>
              <w:pStyle w:val="13"/>
            </w:pPr>
          </w:p>
        </w:tc>
        <w:tc>
          <w:tcPr>
            <w:tcW w:w="1474" w:type="dxa"/>
            <w:vAlign w:val="center"/>
          </w:tcPr>
          <w:p w14:paraId="75494F77">
            <w:pPr>
              <w:pStyle w:val="14"/>
            </w:pPr>
          </w:p>
        </w:tc>
        <w:tc>
          <w:tcPr>
            <w:tcW w:w="3402" w:type="dxa"/>
            <w:vAlign w:val="center"/>
          </w:tcPr>
          <w:p w14:paraId="71C3711A">
            <w:pPr>
              <w:pStyle w:val="13"/>
            </w:pPr>
            <w:r>
              <w:t>二十五、其他支出</w:t>
            </w:r>
          </w:p>
        </w:tc>
        <w:tc>
          <w:tcPr>
            <w:tcW w:w="1474" w:type="dxa"/>
            <w:vAlign w:val="center"/>
          </w:tcPr>
          <w:p w14:paraId="527D7413">
            <w:pPr>
              <w:pStyle w:val="14"/>
            </w:pPr>
          </w:p>
        </w:tc>
        <w:tc>
          <w:tcPr>
            <w:tcW w:w="1474" w:type="dxa"/>
            <w:vAlign w:val="center"/>
          </w:tcPr>
          <w:p w14:paraId="74006AE5">
            <w:pPr>
              <w:pStyle w:val="14"/>
            </w:pPr>
          </w:p>
        </w:tc>
        <w:tc>
          <w:tcPr>
            <w:tcW w:w="1474" w:type="dxa"/>
            <w:vAlign w:val="center"/>
          </w:tcPr>
          <w:p w14:paraId="76E5C733">
            <w:pPr>
              <w:pStyle w:val="14"/>
            </w:pPr>
          </w:p>
        </w:tc>
        <w:tc>
          <w:tcPr>
            <w:tcW w:w="1474" w:type="dxa"/>
            <w:vAlign w:val="center"/>
          </w:tcPr>
          <w:p w14:paraId="3367B5F2">
            <w:pPr>
              <w:pStyle w:val="14"/>
            </w:pPr>
          </w:p>
        </w:tc>
      </w:tr>
      <w:tr w14:paraId="41C80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FF710">
            <w:pPr>
              <w:pStyle w:val="12"/>
            </w:pPr>
            <w:r>
              <w:t>26</w:t>
            </w:r>
          </w:p>
        </w:tc>
        <w:tc>
          <w:tcPr>
            <w:tcW w:w="3402" w:type="dxa"/>
            <w:vAlign w:val="center"/>
          </w:tcPr>
          <w:p w14:paraId="0F24FF57">
            <w:pPr>
              <w:pStyle w:val="13"/>
            </w:pPr>
          </w:p>
        </w:tc>
        <w:tc>
          <w:tcPr>
            <w:tcW w:w="1474" w:type="dxa"/>
            <w:vAlign w:val="center"/>
          </w:tcPr>
          <w:p w14:paraId="23514113">
            <w:pPr>
              <w:pStyle w:val="14"/>
            </w:pPr>
          </w:p>
        </w:tc>
        <w:tc>
          <w:tcPr>
            <w:tcW w:w="3402" w:type="dxa"/>
            <w:vAlign w:val="center"/>
          </w:tcPr>
          <w:p w14:paraId="4C23EF3E">
            <w:pPr>
              <w:pStyle w:val="13"/>
            </w:pPr>
            <w:r>
              <w:t>二十六、转移性支出</w:t>
            </w:r>
          </w:p>
        </w:tc>
        <w:tc>
          <w:tcPr>
            <w:tcW w:w="1474" w:type="dxa"/>
            <w:vAlign w:val="center"/>
          </w:tcPr>
          <w:p w14:paraId="6154257E">
            <w:pPr>
              <w:pStyle w:val="14"/>
            </w:pPr>
          </w:p>
        </w:tc>
        <w:tc>
          <w:tcPr>
            <w:tcW w:w="1474" w:type="dxa"/>
            <w:vAlign w:val="center"/>
          </w:tcPr>
          <w:p w14:paraId="43334241">
            <w:pPr>
              <w:pStyle w:val="14"/>
            </w:pPr>
          </w:p>
        </w:tc>
        <w:tc>
          <w:tcPr>
            <w:tcW w:w="1474" w:type="dxa"/>
            <w:vAlign w:val="center"/>
          </w:tcPr>
          <w:p w14:paraId="31C85FD8">
            <w:pPr>
              <w:pStyle w:val="14"/>
            </w:pPr>
          </w:p>
        </w:tc>
        <w:tc>
          <w:tcPr>
            <w:tcW w:w="1474" w:type="dxa"/>
            <w:vAlign w:val="center"/>
          </w:tcPr>
          <w:p w14:paraId="72FD7ECE">
            <w:pPr>
              <w:pStyle w:val="14"/>
            </w:pPr>
          </w:p>
        </w:tc>
      </w:tr>
      <w:tr w14:paraId="121FE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E7B94">
            <w:pPr>
              <w:pStyle w:val="12"/>
            </w:pPr>
            <w:r>
              <w:t>27</w:t>
            </w:r>
          </w:p>
        </w:tc>
        <w:tc>
          <w:tcPr>
            <w:tcW w:w="3402" w:type="dxa"/>
            <w:vAlign w:val="center"/>
          </w:tcPr>
          <w:p w14:paraId="49CDAD75">
            <w:pPr>
              <w:pStyle w:val="13"/>
            </w:pPr>
          </w:p>
        </w:tc>
        <w:tc>
          <w:tcPr>
            <w:tcW w:w="1474" w:type="dxa"/>
            <w:vAlign w:val="center"/>
          </w:tcPr>
          <w:p w14:paraId="5BCC7908">
            <w:pPr>
              <w:pStyle w:val="14"/>
            </w:pPr>
          </w:p>
        </w:tc>
        <w:tc>
          <w:tcPr>
            <w:tcW w:w="3402" w:type="dxa"/>
            <w:vAlign w:val="center"/>
          </w:tcPr>
          <w:p w14:paraId="0EEBC185">
            <w:pPr>
              <w:pStyle w:val="13"/>
            </w:pPr>
            <w:r>
              <w:t>二十七、债务还本支出</w:t>
            </w:r>
          </w:p>
        </w:tc>
        <w:tc>
          <w:tcPr>
            <w:tcW w:w="1474" w:type="dxa"/>
            <w:vAlign w:val="center"/>
          </w:tcPr>
          <w:p w14:paraId="48784451">
            <w:pPr>
              <w:pStyle w:val="14"/>
            </w:pPr>
          </w:p>
        </w:tc>
        <w:tc>
          <w:tcPr>
            <w:tcW w:w="1474" w:type="dxa"/>
            <w:vAlign w:val="center"/>
          </w:tcPr>
          <w:p w14:paraId="31457EB0">
            <w:pPr>
              <w:pStyle w:val="14"/>
            </w:pPr>
          </w:p>
        </w:tc>
        <w:tc>
          <w:tcPr>
            <w:tcW w:w="1474" w:type="dxa"/>
            <w:vAlign w:val="center"/>
          </w:tcPr>
          <w:p w14:paraId="54F5992E">
            <w:pPr>
              <w:pStyle w:val="14"/>
            </w:pPr>
          </w:p>
        </w:tc>
        <w:tc>
          <w:tcPr>
            <w:tcW w:w="1474" w:type="dxa"/>
            <w:vAlign w:val="center"/>
          </w:tcPr>
          <w:p w14:paraId="65D360A1">
            <w:pPr>
              <w:pStyle w:val="14"/>
            </w:pPr>
          </w:p>
        </w:tc>
      </w:tr>
      <w:tr w14:paraId="77D3F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32E6B">
            <w:pPr>
              <w:pStyle w:val="12"/>
            </w:pPr>
            <w:r>
              <w:t>28</w:t>
            </w:r>
          </w:p>
        </w:tc>
        <w:tc>
          <w:tcPr>
            <w:tcW w:w="3402" w:type="dxa"/>
            <w:vAlign w:val="center"/>
          </w:tcPr>
          <w:p w14:paraId="43F4C186">
            <w:pPr>
              <w:pStyle w:val="13"/>
            </w:pPr>
          </w:p>
        </w:tc>
        <w:tc>
          <w:tcPr>
            <w:tcW w:w="1474" w:type="dxa"/>
            <w:vAlign w:val="center"/>
          </w:tcPr>
          <w:p w14:paraId="56BF1B94">
            <w:pPr>
              <w:pStyle w:val="14"/>
            </w:pPr>
          </w:p>
        </w:tc>
        <w:tc>
          <w:tcPr>
            <w:tcW w:w="3402" w:type="dxa"/>
            <w:vAlign w:val="center"/>
          </w:tcPr>
          <w:p w14:paraId="62002D99">
            <w:pPr>
              <w:pStyle w:val="13"/>
            </w:pPr>
            <w:r>
              <w:t>二十八、债务付息支出</w:t>
            </w:r>
          </w:p>
        </w:tc>
        <w:tc>
          <w:tcPr>
            <w:tcW w:w="1474" w:type="dxa"/>
            <w:vAlign w:val="center"/>
          </w:tcPr>
          <w:p w14:paraId="7400EBBB">
            <w:pPr>
              <w:pStyle w:val="14"/>
            </w:pPr>
          </w:p>
        </w:tc>
        <w:tc>
          <w:tcPr>
            <w:tcW w:w="1474" w:type="dxa"/>
            <w:vAlign w:val="center"/>
          </w:tcPr>
          <w:p w14:paraId="6E464942">
            <w:pPr>
              <w:pStyle w:val="14"/>
            </w:pPr>
          </w:p>
        </w:tc>
        <w:tc>
          <w:tcPr>
            <w:tcW w:w="1474" w:type="dxa"/>
            <w:vAlign w:val="center"/>
          </w:tcPr>
          <w:p w14:paraId="5E861DBB">
            <w:pPr>
              <w:pStyle w:val="14"/>
            </w:pPr>
          </w:p>
        </w:tc>
        <w:tc>
          <w:tcPr>
            <w:tcW w:w="1474" w:type="dxa"/>
            <w:vAlign w:val="center"/>
          </w:tcPr>
          <w:p w14:paraId="0FC4A08F">
            <w:pPr>
              <w:pStyle w:val="14"/>
            </w:pPr>
          </w:p>
        </w:tc>
      </w:tr>
      <w:tr w14:paraId="64D4D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7A01F">
            <w:pPr>
              <w:pStyle w:val="12"/>
            </w:pPr>
            <w:r>
              <w:t>29</w:t>
            </w:r>
          </w:p>
        </w:tc>
        <w:tc>
          <w:tcPr>
            <w:tcW w:w="3402" w:type="dxa"/>
            <w:vAlign w:val="center"/>
          </w:tcPr>
          <w:p w14:paraId="2BCDC0EC">
            <w:pPr>
              <w:pStyle w:val="13"/>
            </w:pPr>
          </w:p>
        </w:tc>
        <w:tc>
          <w:tcPr>
            <w:tcW w:w="1474" w:type="dxa"/>
            <w:vAlign w:val="center"/>
          </w:tcPr>
          <w:p w14:paraId="2D0EAD86">
            <w:pPr>
              <w:pStyle w:val="14"/>
            </w:pPr>
          </w:p>
        </w:tc>
        <w:tc>
          <w:tcPr>
            <w:tcW w:w="3402" w:type="dxa"/>
            <w:vAlign w:val="center"/>
          </w:tcPr>
          <w:p w14:paraId="05DCD99D">
            <w:pPr>
              <w:pStyle w:val="13"/>
            </w:pPr>
            <w:r>
              <w:t>二十九、债务发行费用支出</w:t>
            </w:r>
          </w:p>
        </w:tc>
        <w:tc>
          <w:tcPr>
            <w:tcW w:w="1474" w:type="dxa"/>
            <w:vAlign w:val="center"/>
          </w:tcPr>
          <w:p w14:paraId="0CF7197A">
            <w:pPr>
              <w:pStyle w:val="14"/>
            </w:pPr>
          </w:p>
        </w:tc>
        <w:tc>
          <w:tcPr>
            <w:tcW w:w="1474" w:type="dxa"/>
            <w:vAlign w:val="center"/>
          </w:tcPr>
          <w:p w14:paraId="49FBE9A0">
            <w:pPr>
              <w:pStyle w:val="14"/>
            </w:pPr>
          </w:p>
        </w:tc>
        <w:tc>
          <w:tcPr>
            <w:tcW w:w="1474" w:type="dxa"/>
            <w:vAlign w:val="center"/>
          </w:tcPr>
          <w:p w14:paraId="46FBEBF6">
            <w:pPr>
              <w:pStyle w:val="14"/>
            </w:pPr>
          </w:p>
        </w:tc>
        <w:tc>
          <w:tcPr>
            <w:tcW w:w="1474" w:type="dxa"/>
            <w:vAlign w:val="center"/>
          </w:tcPr>
          <w:p w14:paraId="106E5B5D">
            <w:pPr>
              <w:pStyle w:val="14"/>
            </w:pPr>
          </w:p>
        </w:tc>
      </w:tr>
      <w:tr w14:paraId="74DC9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F0E3C">
            <w:pPr>
              <w:pStyle w:val="12"/>
            </w:pPr>
            <w:r>
              <w:t>30</w:t>
            </w:r>
          </w:p>
        </w:tc>
        <w:tc>
          <w:tcPr>
            <w:tcW w:w="3402" w:type="dxa"/>
            <w:vAlign w:val="center"/>
          </w:tcPr>
          <w:p w14:paraId="7E74590D">
            <w:pPr>
              <w:pStyle w:val="13"/>
            </w:pPr>
          </w:p>
        </w:tc>
        <w:tc>
          <w:tcPr>
            <w:tcW w:w="1474" w:type="dxa"/>
            <w:vAlign w:val="center"/>
          </w:tcPr>
          <w:p w14:paraId="4F15B44B">
            <w:pPr>
              <w:pStyle w:val="14"/>
            </w:pPr>
          </w:p>
        </w:tc>
        <w:tc>
          <w:tcPr>
            <w:tcW w:w="3402" w:type="dxa"/>
            <w:vAlign w:val="center"/>
          </w:tcPr>
          <w:p w14:paraId="5EDEA86D">
            <w:pPr>
              <w:pStyle w:val="13"/>
            </w:pPr>
            <w:r>
              <w:t>三十、抗疫特别国债安排的支出</w:t>
            </w:r>
          </w:p>
        </w:tc>
        <w:tc>
          <w:tcPr>
            <w:tcW w:w="1474" w:type="dxa"/>
            <w:vAlign w:val="center"/>
          </w:tcPr>
          <w:p w14:paraId="3B5A29FF">
            <w:pPr>
              <w:pStyle w:val="14"/>
            </w:pPr>
          </w:p>
        </w:tc>
        <w:tc>
          <w:tcPr>
            <w:tcW w:w="1474" w:type="dxa"/>
            <w:vAlign w:val="center"/>
          </w:tcPr>
          <w:p w14:paraId="6FF82A4F">
            <w:pPr>
              <w:pStyle w:val="14"/>
            </w:pPr>
          </w:p>
        </w:tc>
        <w:tc>
          <w:tcPr>
            <w:tcW w:w="1474" w:type="dxa"/>
            <w:vAlign w:val="center"/>
          </w:tcPr>
          <w:p w14:paraId="22147858">
            <w:pPr>
              <w:pStyle w:val="14"/>
            </w:pPr>
          </w:p>
        </w:tc>
        <w:tc>
          <w:tcPr>
            <w:tcW w:w="1474" w:type="dxa"/>
            <w:vAlign w:val="center"/>
          </w:tcPr>
          <w:p w14:paraId="7E65BD5F">
            <w:pPr>
              <w:pStyle w:val="14"/>
            </w:pPr>
          </w:p>
        </w:tc>
      </w:tr>
      <w:tr w14:paraId="4A57C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AE70C">
            <w:pPr>
              <w:pStyle w:val="12"/>
            </w:pPr>
            <w:r>
              <w:t>31</w:t>
            </w:r>
          </w:p>
        </w:tc>
        <w:tc>
          <w:tcPr>
            <w:tcW w:w="3402" w:type="dxa"/>
            <w:vAlign w:val="center"/>
          </w:tcPr>
          <w:p w14:paraId="7B13CC66">
            <w:pPr>
              <w:pStyle w:val="13"/>
            </w:pPr>
          </w:p>
        </w:tc>
        <w:tc>
          <w:tcPr>
            <w:tcW w:w="1474" w:type="dxa"/>
            <w:vAlign w:val="center"/>
          </w:tcPr>
          <w:p w14:paraId="267DED5E">
            <w:pPr>
              <w:pStyle w:val="14"/>
            </w:pPr>
          </w:p>
        </w:tc>
        <w:tc>
          <w:tcPr>
            <w:tcW w:w="3402" w:type="dxa"/>
            <w:vAlign w:val="center"/>
          </w:tcPr>
          <w:p w14:paraId="786B8B27">
            <w:pPr>
              <w:pStyle w:val="13"/>
            </w:pPr>
            <w:r>
              <w:t>三十一、人行科目</w:t>
            </w:r>
          </w:p>
        </w:tc>
        <w:tc>
          <w:tcPr>
            <w:tcW w:w="1474" w:type="dxa"/>
            <w:vAlign w:val="center"/>
          </w:tcPr>
          <w:p w14:paraId="798B7D91">
            <w:pPr>
              <w:pStyle w:val="14"/>
            </w:pPr>
          </w:p>
        </w:tc>
        <w:tc>
          <w:tcPr>
            <w:tcW w:w="1474" w:type="dxa"/>
            <w:vAlign w:val="center"/>
          </w:tcPr>
          <w:p w14:paraId="077822B3">
            <w:pPr>
              <w:pStyle w:val="14"/>
            </w:pPr>
          </w:p>
        </w:tc>
        <w:tc>
          <w:tcPr>
            <w:tcW w:w="1474" w:type="dxa"/>
            <w:vAlign w:val="center"/>
          </w:tcPr>
          <w:p w14:paraId="52C5026F">
            <w:pPr>
              <w:pStyle w:val="14"/>
            </w:pPr>
          </w:p>
        </w:tc>
        <w:tc>
          <w:tcPr>
            <w:tcW w:w="1474" w:type="dxa"/>
            <w:vAlign w:val="center"/>
          </w:tcPr>
          <w:p w14:paraId="301D7A3B">
            <w:pPr>
              <w:pStyle w:val="14"/>
            </w:pPr>
          </w:p>
        </w:tc>
      </w:tr>
      <w:tr w14:paraId="1C5C4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3BF4E">
            <w:pPr>
              <w:pStyle w:val="12"/>
            </w:pPr>
            <w:r>
              <w:t>32</w:t>
            </w:r>
          </w:p>
        </w:tc>
        <w:tc>
          <w:tcPr>
            <w:tcW w:w="3402" w:type="dxa"/>
            <w:vAlign w:val="center"/>
          </w:tcPr>
          <w:p w14:paraId="523C1AB5">
            <w:pPr>
              <w:pStyle w:val="15"/>
            </w:pPr>
            <w:r>
              <w:t>本年收入合计</w:t>
            </w:r>
          </w:p>
        </w:tc>
        <w:tc>
          <w:tcPr>
            <w:tcW w:w="1474" w:type="dxa"/>
            <w:vAlign w:val="center"/>
          </w:tcPr>
          <w:p w14:paraId="565730F0">
            <w:pPr>
              <w:pStyle w:val="16"/>
            </w:pPr>
            <w:r>
              <w:t>1342.51</w:t>
            </w:r>
          </w:p>
        </w:tc>
        <w:tc>
          <w:tcPr>
            <w:tcW w:w="3402" w:type="dxa"/>
            <w:vAlign w:val="center"/>
          </w:tcPr>
          <w:p w14:paraId="189C7A5E">
            <w:pPr>
              <w:pStyle w:val="15"/>
            </w:pPr>
            <w:r>
              <w:t>本年支出合计</w:t>
            </w:r>
          </w:p>
        </w:tc>
        <w:tc>
          <w:tcPr>
            <w:tcW w:w="1474" w:type="dxa"/>
            <w:vAlign w:val="center"/>
          </w:tcPr>
          <w:p w14:paraId="1A62BBBA">
            <w:pPr>
              <w:pStyle w:val="16"/>
            </w:pPr>
            <w:r>
              <w:t>1342.51</w:t>
            </w:r>
          </w:p>
        </w:tc>
        <w:tc>
          <w:tcPr>
            <w:tcW w:w="1474" w:type="dxa"/>
            <w:vAlign w:val="center"/>
          </w:tcPr>
          <w:p w14:paraId="109E3236">
            <w:pPr>
              <w:pStyle w:val="16"/>
            </w:pPr>
            <w:r>
              <w:t>1342.51</w:t>
            </w:r>
          </w:p>
        </w:tc>
        <w:tc>
          <w:tcPr>
            <w:tcW w:w="1474" w:type="dxa"/>
            <w:vAlign w:val="center"/>
          </w:tcPr>
          <w:p w14:paraId="5914BD1B">
            <w:pPr>
              <w:pStyle w:val="16"/>
            </w:pPr>
          </w:p>
        </w:tc>
        <w:tc>
          <w:tcPr>
            <w:tcW w:w="1474" w:type="dxa"/>
            <w:vAlign w:val="center"/>
          </w:tcPr>
          <w:p w14:paraId="5C925D45">
            <w:pPr>
              <w:pStyle w:val="16"/>
            </w:pPr>
          </w:p>
        </w:tc>
      </w:tr>
      <w:tr w14:paraId="5FB07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1D879">
            <w:pPr>
              <w:pStyle w:val="12"/>
            </w:pPr>
            <w:r>
              <w:t>33</w:t>
            </w:r>
          </w:p>
        </w:tc>
        <w:tc>
          <w:tcPr>
            <w:tcW w:w="3402" w:type="dxa"/>
            <w:vAlign w:val="center"/>
          </w:tcPr>
          <w:p w14:paraId="13F74F61">
            <w:pPr>
              <w:pStyle w:val="13"/>
            </w:pPr>
            <w:r>
              <w:t>年初财政拨款结转和结余</w:t>
            </w:r>
          </w:p>
        </w:tc>
        <w:tc>
          <w:tcPr>
            <w:tcW w:w="1474" w:type="dxa"/>
            <w:vAlign w:val="center"/>
          </w:tcPr>
          <w:p w14:paraId="3ADECB2D">
            <w:pPr>
              <w:pStyle w:val="14"/>
            </w:pPr>
          </w:p>
        </w:tc>
        <w:tc>
          <w:tcPr>
            <w:tcW w:w="3402" w:type="dxa"/>
            <w:vAlign w:val="center"/>
          </w:tcPr>
          <w:p w14:paraId="763CE0EF">
            <w:pPr>
              <w:pStyle w:val="13"/>
            </w:pPr>
            <w:r>
              <w:t>年末财政拨款结转和结余</w:t>
            </w:r>
          </w:p>
        </w:tc>
        <w:tc>
          <w:tcPr>
            <w:tcW w:w="1474" w:type="dxa"/>
            <w:vAlign w:val="center"/>
          </w:tcPr>
          <w:p w14:paraId="3474599F">
            <w:pPr>
              <w:pStyle w:val="14"/>
            </w:pPr>
          </w:p>
        </w:tc>
        <w:tc>
          <w:tcPr>
            <w:tcW w:w="1474" w:type="dxa"/>
            <w:vAlign w:val="center"/>
          </w:tcPr>
          <w:p w14:paraId="7085583B">
            <w:pPr>
              <w:pStyle w:val="14"/>
            </w:pPr>
          </w:p>
        </w:tc>
        <w:tc>
          <w:tcPr>
            <w:tcW w:w="1474" w:type="dxa"/>
            <w:vAlign w:val="center"/>
          </w:tcPr>
          <w:p w14:paraId="744BBF8D">
            <w:pPr>
              <w:pStyle w:val="14"/>
            </w:pPr>
          </w:p>
        </w:tc>
        <w:tc>
          <w:tcPr>
            <w:tcW w:w="1474" w:type="dxa"/>
            <w:vAlign w:val="center"/>
          </w:tcPr>
          <w:p w14:paraId="647737AA">
            <w:pPr>
              <w:pStyle w:val="14"/>
            </w:pPr>
          </w:p>
        </w:tc>
      </w:tr>
      <w:tr w14:paraId="7C24C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D957F">
            <w:pPr>
              <w:pStyle w:val="12"/>
            </w:pPr>
            <w:r>
              <w:t>34</w:t>
            </w:r>
          </w:p>
        </w:tc>
        <w:tc>
          <w:tcPr>
            <w:tcW w:w="3402" w:type="dxa"/>
            <w:vAlign w:val="center"/>
          </w:tcPr>
          <w:p w14:paraId="614AD728">
            <w:pPr>
              <w:pStyle w:val="13"/>
            </w:pPr>
            <w:r>
              <w:t>一、一般公共预算拨款</w:t>
            </w:r>
          </w:p>
        </w:tc>
        <w:tc>
          <w:tcPr>
            <w:tcW w:w="1474" w:type="dxa"/>
            <w:vAlign w:val="center"/>
          </w:tcPr>
          <w:p w14:paraId="55B02360">
            <w:pPr>
              <w:pStyle w:val="14"/>
            </w:pPr>
          </w:p>
        </w:tc>
        <w:tc>
          <w:tcPr>
            <w:tcW w:w="3402" w:type="dxa"/>
            <w:vAlign w:val="center"/>
          </w:tcPr>
          <w:p w14:paraId="14B1BF1A">
            <w:pPr>
              <w:pStyle w:val="13"/>
            </w:pPr>
          </w:p>
        </w:tc>
        <w:tc>
          <w:tcPr>
            <w:tcW w:w="1474" w:type="dxa"/>
            <w:vAlign w:val="center"/>
          </w:tcPr>
          <w:p w14:paraId="62E0F038">
            <w:pPr>
              <w:pStyle w:val="14"/>
            </w:pPr>
          </w:p>
        </w:tc>
        <w:tc>
          <w:tcPr>
            <w:tcW w:w="1474" w:type="dxa"/>
            <w:vAlign w:val="center"/>
          </w:tcPr>
          <w:p w14:paraId="6A5335D1">
            <w:pPr>
              <w:pStyle w:val="14"/>
            </w:pPr>
          </w:p>
        </w:tc>
        <w:tc>
          <w:tcPr>
            <w:tcW w:w="1474" w:type="dxa"/>
            <w:vAlign w:val="center"/>
          </w:tcPr>
          <w:p w14:paraId="3143C030">
            <w:pPr>
              <w:pStyle w:val="14"/>
            </w:pPr>
          </w:p>
        </w:tc>
        <w:tc>
          <w:tcPr>
            <w:tcW w:w="1474" w:type="dxa"/>
            <w:vAlign w:val="center"/>
          </w:tcPr>
          <w:p w14:paraId="71B011F2">
            <w:pPr>
              <w:pStyle w:val="14"/>
            </w:pPr>
          </w:p>
        </w:tc>
      </w:tr>
      <w:tr w14:paraId="4AA34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EFD4B">
            <w:pPr>
              <w:pStyle w:val="12"/>
            </w:pPr>
            <w:r>
              <w:t>35</w:t>
            </w:r>
          </w:p>
        </w:tc>
        <w:tc>
          <w:tcPr>
            <w:tcW w:w="3402" w:type="dxa"/>
            <w:vAlign w:val="center"/>
          </w:tcPr>
          <w:p w14:paraId="71226F01">
            <w:pPr>
              <w:pStyle w:val="13"/>
            </w:pPr>
            <w:r>
              <w:t>二、政府性基金预算拨款</w:t>
            </w:r>
          </w:p>
        </w:tc>
        <w:tc>
          <w:tcPr>
            <w:tcW w:w="1474" w:type="dxa"/>
            <w:vAlign w:val="center"/>
          </w:tcPr>
          <w:p w14:paraId="57FDEE30">
            <w:pPr>
              <w:pStyle w:val="14"/>
            </w:pPr>
          </w:p>
        </w:tc>
        <w:tc>
          <w:tcPr>
            <w:tcW w:w="3402" w:type="dxa"/>
            <w:vAlign w:val="center"/>
          </w:tcPr>
          <w:p w14:paraId="4FB6AEEA">
            <w:pPr>
              <w:pStyle w:val="13"/>
            </w:pPr>
          </w:p>
        </w:tc>
        <w:tc>
          <w:tcPr>
            <w:tcW w:w="1474" w:type="dxa"/>
            <w:vAlign w:val="center"/>
          </w:tcPr>
          <w:p w14:paraId="38F521C4">
            <w:pPr>
              <w:pStyle w:val="14"/>
            </w:pPr>
          </w:p>
        </w:tc>
        <w:tc>
          <w:tcPr>
            <w:tcW w:w="1474" w:type="dxa"/>
            <w:vAlign w:val="center"/>
          </w:tcPr>
          <w:p w14:paraId="730A945A">
            <w:pPr>
              <w:pStyle w:val="14"/>
            </w:pPr>
          </w:p>
        </w:tc>
        <w:tc>
          <w:tcPr>
            <w:tcW w:w="1474" w:type="dxa"/>
            <w:vAlign w:val="center"/>
          </w:tcPr>
          <w:p w14:paraId="62C49322">
            <w:pPr>
              <w:pStyle w:val="14"/>
            </w:pPr>
          </w:p>
        </w:tc>
        <w:tc>
          <w:tcPr>
            <w:tcW w:w="1474" w:type="dxa"/>
            <w:vAlign w:val="center"/>
          </w:tcPr>
          <w:p w14:paraId="2462F4D8">
            <w:pPr>
              <w:pStyle w:val="14"/>
            </w:pPr>
          </w:p>
        </w:tc>
      </w:tr>
      <w:tr w14:paraId="411E2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C3DEAEC">
            <w:pPr>
              <w:pStyle w:val="12"/>
            </w:pPr>
            <w:r>
              <w:t>36</w:t>
            </w:r>
          </w:p>
        </w:tc>
        <w:tc>
          <w:tcPr>
            <w:tcW w:w="3402" w:type="dxa"/>
            <w:vAlign w:val="center"/>
          </w:tcPr>
          <w:p w14:paraId="4C11C1FE">
            <w:pPr>
              <w:pStyle w:val="13"/>
            </w:pPr>
            <w:r>
              <w:t>三、国有资本经营预算拨款</w:t>
            </w:r>
          </w:p>
        </w:tc>
        <w:tc>
          <w:tcPr>
            <w:tcW w:w="1474" w:type="dxa"/>
            <w:vAlign w:val="center"/>
          </w:tcPr>
          <w:p w14:paraId="0EF413E9">
            <w:pPr>
              <w:pStyle w:val="14"/>
            </w:pPr>
          </w:p>
        </w:tc>
        <w:tc>
          <w:tcPr>
            <w:tcW w:w="3402" w:type="dxa"/>
            <w:vAlign w:val="center"/>
          </w:tcPr>
          <w:p w14:paraId="67189997">
            <w:pPr>
              <w:pStyle w:val="13"/>
            </w:pPr>
          </w:p>
        </w:tc>
        <w:tc>
          <w:tcPr>
            <w:tcW w:w="1474" w:type="dxa"/>
            <w:vAlign w:val="center"/>
          </w:tcPr>
          <w:p w14:paraId="542B9CF2">
            <w:pPr>
              <w:pStyle w:val="14"/>
            </w:pPr>
          </w:p>
        </w:tc>
        <w:tc>
          <w:tcPr>
            <w:tcW w:w="1474" w:type="dxa"/>
            <w:vAlign w:val="center"/>
          </w:tcPr>
          <w:p w14:paraId="7F33A914">
            <w:pPr>
              <w:pStyle w:val="14"/>
            </w:pPr>
          </w:p>
        </w:tc>
        <w:tc>
          <w:tcPr>
            <w:tcW w:w="1474" w:type="dxa"/>
            <w:vAlign w:val="center"/>
          </w:tcPr>
          <w:p w14:paraId="14742BF1">
            <w:pPr>
              <w:pStyle w:val="14"/>
            </w:pPr>
          </w:p>
        </w:tc>
        <w:tc>
          <w:tcPr>
            <w:tcW w:w="1474" w:type="dxa"/>
            <w:vAlign w:val="center"/>
          </w:tcPr>
          <w:p w14:paraId="6CBAF27E">
            <w:pPr>
              <w:pStyle w:val="14"/>
            </w:pPr>
          </w:p>
        </w:tc>
      </w:tr>
      <w:tr w14:paraId="4C54E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16B33">
            <w:pPr>
              <w:pStyle w:val="12"/>
            </w:pPr>
            <w:r>
              <w:t>37</w:t>
            </w:r>
          </w:p>
        </w:tc>
        <w:tc>
          <w:tcPr>
            <w:tcW w:w="3402" w:type="dxa"/>
            <w:vAlign w:val="center"/>
          </w:tcPr>
          <w:p w14:paraId="2480902F">
            <w:pPr>
              <w:pStyle w:val="15"/>
            </w:pPr>
            <w:r>
              <w:t>收入总计</w:t>
            </w:r>
          </w:p>
        </w:tc>
        <w:tc>
          <w:tcPr>
            <w:tcW w:w="1474" w:type="dxa"/>
            <w:vAlign w:val="center"/>
          </w:tcPr>
          <w:p w14:paraId="5F2F6ADB">
            <w:pPr>
              <w:pStyle w:val="16"/>
            </w:pPr>
            <w:r>
              <w:t>1342.51</w:t>
            </w:r>
          </w:p>
        </w:tc>
        <w:tc>
          <w:tcPr>
            <w:tcW w:w="3402" w:type="dxa"/>
            <w:vAlign w:val="center"/>
          </w:tcPr>
          <w:p w14:paraId="1B6A5533">
            <w:pPr>
              <w:pStyle w:val="15"/>
            </w:pPr>
            <w:r>
              <w:t>支出总计</w:t>
            </w:r>
          </w:p>
        </w:tc>
        <w:tc>
          <w:tcPr>
            <w:tcW w:w="1474" w:type="dxa"/>
            <w:vAlign w:val="center"/>
          </w:tcPr>
          <w:p w14:paraId="67E6137F">
            <w:pPr>
              <w:pStyle w:val="16"/>
            </w:pPr>
            <w:r>
              <w:t>1342.51</w:t>
            </w:r>
          </w:p>
        </w:tc>
        <w:tc>
          <w:tcPr>
            <w:tcW w:w="1474" w:type="dxa"/>
            <w:vAlign w:val="center"/>
          </w:tcPr>
          <w:p w14:paraId="52CF2F92">
            <w:pPr>
              <w:pStyle w:val="16"/>
            </w:pPr>
            <w:r>
              <w:t>1342.51</w:t>
            </w:r>
          </w:p>
        </w:tc>
        <w:tc>
          <w:tcPr>
            <w:tcW w:w="1474" w:type="dxa"/>
            <w:vAlign w:val="center"/>
          </w:tcPr>
          <w:p w14:paraId="350A2277">
            <w:pPr>
              <w:pStyle w:val="16"/>
            </w:pPr>
          </w:p>
        </w:tc>
        <w:tc>
          <w:tcPr>
            <w:tcW w:w="1474" w:type="dxa"/>
            <w:vAlign w:val="center"/>
          </w:tcPr>
          <w:p w14:paraId="366B0C92">
            <w:pPr>
              <w:pStyle w:val="16"/>
            </w:pPr>
          </w:p>
        </w:tc>
      </w:tr>
    </w:tbl>
    <w:p w14:paraId="3E5656A0">
      <w:pPr>
        <w:sectPr>
          <w:pgSz w:w="16840" w:h="11900" w:orient="landscape"/>
          <w:pgMar w:top="1361" w:right="1020" w:bottom="1134" w:left="1020" w:header="720" w:footer="720" w:gutter="0"/>
          <w:cols w:space="720" w:num="1"/>
        </w:sectPr>
      </w:pPr>
    </w:p>
    <w:p w14:paraId="1111B5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B90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09C896">
            <w:pPr>
              <w:pStyle w:val="8"/>
            </w:pPr>
            <w:r>
              <w:t>360006隆尧县东良中学</w:t>
            </w:r>
          </w:p>
        </w:tc>
        <w:tc>
          <w:tcPr>
            <w:tcW w:w="2551" w:type="dxa"/>
            <w:tcBorders>
              <w:top w:val="single" w:color="FFFFFF" w:sz="6" w:space="0"/>
              <w:left w:val="single" w:color="FFFFFF" w:sz="6" w:space="0"/>
              <w:right w:val="single" w:color="FFFFFF" w:sz="6" w:space="0"/>
            </w:tcBorders>
            <w:vAlign w:val="center"/>
          </w:tcPr>
          <w:p w14:paraId="21DC092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EB0FA3A">
            <w:pPr>
              <w:pStyle w:val="10"/>
            </w:pPr>
            <w:r>
              <w:t>单位：万元</w:t>
            </w:r>
          </w:p>
        </w:tc>
      </w:tr>
      <w:tr w14:paraId="5109A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96C6D3">
            <w:pPr>
              <w:pStyle w:val="11"/>
            </w:pPr>
            <w:r>
              <w:t>序号</w:t>
            </w:r>
          </w:p>
        </w:tc>
        <w:tc>
          <w:tcPr>
            <w:tcW w:w="5726" w:type="dxa"/>
            <w:gridSpan w:val="2"/>
            <w:vAlign w:val="center"/>
          </w:tcPr>
          <w:p w14:paraId="6898459A">
            <w:pPr>
              <w:pStyle w:val="11"/>
            </w:pPr>
            <w:r>
              <w:t>功能分类科目</w:t>
            </w:r>
          </w:p>
        </w:tc>
        <w:tc>
          <w:tcPr>
            <w:tcW w:w="2551" w:type="dxa"/>
            <w:vMerge w:val="restart"/>
            <w:vAlign w:val="center"/>
          </w:tcPr>
          <w:p w14:paraId="466C2BAF">
            <w:pPr>
              <w:pStyle w:val="11"/>
            </w:pPr>
            <w:r>
              <w:t>合计</w:t>
            </w:r>
          </w:p>
        </w:tc>
        <w:tc>
          <w:tcPr>
            <w:tcW w:w="2551" w:type="dxa"/>
            <w:vMerge w:val="restart"/>
            <w:vAlign w:val="center"/>
          </w:tcPr>
          <w:p w14:paraId="122AD746">
            <w:pPr>
              <w:pStyle w:val="11"/>
            </w:pPr>
            <w:r>
              <w:t>基本支出</w:t>
            </w:r>
          </w:p>
        </w:tc>
        <w:tc>
          <w:tcPr>
            <w:tcW w:w="2551" w:type="dxa"/>
            <w:vMerge w:val="restart"/>
            <w:vAlign w:val="center"/>
          </w:tcPr>
          <w:p w14:paraId="336350E9">
            <w:pPr>
              <w:pStyle w:val="11"/>
            </w:pPr>
            <w:r>
              <w:t>项目支出</w:t>
            </w:r>
          </w:p>
        </w:tc>
      </w:tr>
      <w:tr w14:paraId="75BBA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2E7E19"/>
        </w:tc>
        <w:tc>
          <w:tcPr>
            <w:tcW w:w="1191" w:type="dxa"/>
            <w:vAlign w:val="center"/>
          </w:tcPr>
          <w:p w14:paraId="21CEF4B5">
            <w:pPr>
              <w:pStyle w:val="11"/>
            </w:pPr>
            <w:r>
              <w:t>科目编码</w:t>
            </w:r>
          </w:p>
        </w:tc>
        <w:tc>
          <w:tcPr>
            <w:tcW w:w="4535" w:type="dxa"/>
            <w:vAlign w:val="center"/>
          </w:tcPr>
          <w:p w14:paraId="537C91A3">
            <w:pPr>
              <w:pStyle w:val="11"/>
            </w:pPr>
            <w:r>
              <w:t>科目名称</w:t>
            </w:r>
          </w:p>
        </w:tc>
        <w:tc>
          <w:tcPr>
            <w:tcW w:w="2551" w:type="dxa"/>
            <w:vMerge w:val="continue"/>
          </w:tcPr>
          <w:p w14:paraId="070BEFB1"/>
        </w:tc>
        <w:tc>
          <w:tcPr>
            <w:tcW w:w="2551" w:type="dxa"/>
            <w:vMerge w:val="continue"/>
          </w:tcPr>
          <w:p w14:paraId="716DB27B"/>
        </w:tc>
        <w:tc>
          <w:tcPr>
            <w:tcW w:w="2551" w:type="dxa"/>
            <w:vMerge w:val="continue"/>
          </w:tcPr>
          <w:p w14:paraId="3E0B65B0"/>
        </w:tc>
      </w:tr>
      <w:tr w14:paraId="12F6C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0CF19">
            <w:pPr>
              <w:pStyle w:val="11"/>
            </w:pPr>
            <w:r>
              <w:t>栏次</w:t>
            </w:r>
          </w:p>
        </w:tc>
        <w:tc>
          <w:tcPr>
            <w:tcW w:w="1191" w:type="dxa"/>
            <w:vAlign w:val="center"/>
          </w:tcPr>
          <w:p w14:paraId="7EB28562">
            <w:pPr>
              <w:pStyle w:val="11"/>
            </w:pPr>
            <w:r>
              <w:t>1</w:t>
            </w:r>
          </w:p>
        </w:tc>
        <w:tc>
          <w:tcPr>
            <w:tcW w:w="4535" w:type="dxa"/>
            <w:vAlign w:val="center"/>
          </w:tcPr>
          <w:p w14:paraId="1EBAB9D0">
            <w:pPr>
              <w:pStyle w:val="11"/>
            </w:pPr>
            <w:r>
              <w:t>2</w:t>
            </w:r>
          </w:p>
        </w:tc>
        <w:tc>
          <w:tcPr>
            <w:tcW w:w="2551" w:type="dxa"/>
            <w:vAlign w:val="center"/>
          </w:tcPr>
          <w:p w14:paraId="6336AED2">
            <w:pPr>
              <w:pStyle w:val="11"/>
            </w:pPr>
            <w:r>
              <w:t>3</w:t>
            </w:r>
          </w:p>
        </w:tc>
        <w:tc>
          <w:tcPr>
            <w:tcW w:w="2551" w:type="dxa"/>
            <w:vAlign w:val="center"/>
          </w:tcPr>
          <w:p w14:paraId="24EA75D2">
            <w:pPr>
              <w:pStyle w:val="11"/>
            </w:pPr>
            <w:r>
              <w:t>4</w:t>
            </w:r>
          </w:p>
        </w:tc>
        <w:tc>
          <w:tcPr>
            <w:tcW w:w="2551" w:type="dxa"/>
            <w:vAlign w:val="center"/>
          </w:tcPr>
          <w:p w14:paraId="39FCD1F6">
            <w:pPr>
              <w:pStyle w:val="11"/>
            </w:pPr>
            <w:r>
              <w:t>5</w:t>
            </w:r>
          </w:p>
        </w:tc>
      </w:tr>
      <w:tr w14:paraId="55680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63865">
            <w:pPr>
              <w:pStyle w:val="12"/>
            </w:pPr>
            <w:r>
              <w:t>1</w:t>
            </w:r>
          </w:p>
        </w:tc>
        <w:tc>
          <w:tcPr>
            <w:tcW w:w="1191" w:type="dxa"/>
            <w:vAlign w:val="center"/>
          </w:tcPr>
          <w:p w14:paraId="0628EE51">
            <w:pPr>
              <w:pStyle w:val="17"/>
            </w:pPr>
          </w:p>
        </w:tc>
        <w:tc>
          <w:tcPr>
            <w:tcW w:w="4535" w:type="dxa"/>
            <w:vAlign w:val="center"/>
          </w:tcPr>
          <w:p w14:paraId="325B6BE2">
            <w:pPr>
              <w:pStyle w:val="15"/>
            </w:pPr>
            <w:r>
              <w:t>合计</w:t>
            </w:r>
          </w:p>
        </w:tc>
        <w:tc>
          <w:tcPr>
            <w:tcW w:w="2551" w:type="dxa"/>
            <w:vAlign w:val="center"/>
          </w:tcPr>
          <w:p w14:paraId="3ABB29CD">
            <w:pPr>
              <w:pStyle w:val="16"/>
            </w:pPr>
            <w:r>
              <w:t>1342.51</w:t>
            </w:r>
          </w:p>
        </w:tc>
        <w:tc>
          <w:tcPr>
            <w:tcW w:w="2551" w:type="dxa"/>
            <w:vAlign w:val="center"/>
          </w:tcPr>
          <w:p w14:paraId="01F296CF">
            <w:pPr>
              <w:pStyle w:val="16"/>
            </w:pPr>
            <w:r>
              <w:t>980.49</w:t>
            </w:r>
          </w:p>
        </w:tc>
        <w:tc>
          <w:tcPr>
            <w:tcW w:w="2551" w:type="dxa"/>
            <w:vAlign w:val="center"/>
          </w:tcPr>
          <w:p w14:paraId="6C8AA3F2">
            <w:pPr>
              <w:pStyle w:val="16"/>
            </w:pPr>
            <w:r>
              <w:t>362.02</w:t>
            </w:r>
          </w:p>
        </w:tc>
      </w:tr>
      <w:tr w14:paraId="00EC8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8F6AD">
            <w:pPr>
              <w:pStyle w:val="12"/>
            </w:pPr>
            <w:r>
              <w:t>2</w:t>
            </w:r>
          </w:p>
        </w:tc>
        <w:tc>
          <w:tcPr>
            <w:tcW w:w="1191" w:type="dxa"/>
            <w:vAlign w:val="center"/>
          </w:tcPr>
          <w:p w14:paraId="454EAA70">
            <w:pPr>
              <w:pStyle w:val="13"/>
            </w:pPr>
            <w:r>
              <w:t>205</w:t>
            </w:r>
          </w:p>
        </w:tc>
        <w:tc>
          <w:tcPr>
            <w:tcW w:w="4535" w:type="dxa"/>
            <w:vAlign w:val="center"/>
          </w:tcPr>
          <w:p w14:paraId="3BF1BE0A">
            <w:pPr>
              <w:pStyle w:val="13"/>
            </w:pPr>
            <w:r>
              <w:t>教育支出</w:t>
            </w:r>
          </w:p>
        </w:tc>
        <w:tc>
          <w:tcPr>
            <w:tcW w:w="2551" w:type="dxa"/>
            <w:vAlign w:val="center"/>
          </w:tcPr>
          <w:p w14:paraId="69BF9E29">
            <w:pPr>
              <w:pStyle w:val="14"/>
            </w:pPr>
            <w:r>
              <w:t>1342.51</w:t>
            </w:r>
          </w:p>
        </w:tc>
        <w:tc>
          <w:tcPr>
            <w:tcW w:w="2551" w:type="dxa"/>
            <w:vAlign w:val="center"/>
          </w:tcPr>
          <w:p w14:paraId="2FF4665E">
            <w:pPr>
              <w:pStyle w:val="14"/>
            </w:pPr>
            <w:r>
              <w:t>980.49</w:t>
            </w:r>
          </w:p>
        </w:tc>
        <w:tc>
          <w:tcPr>
            <w:tcW w:w="2551" w:type="dxa"/>
            <w:vAlign w:val="center"/>
          </w:tcPr>
          <w:p w14:paraId="10914EF3">
            <w:pPr>
              <w:pStyle w:val="14"/>
            </w:pPr>
            <w:r>
              <w:t>362.02</w:t>
            </w:r>
          </w:p>
        </w:tc>
      </w:tr>
      <w:tr w14:paraId="1B79E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7A340">
            <w:pPr>
              <w:pStyle w:val="12"/>
            </w:pPr>
            <w:r>
              <w:t>3</w:t>
            </w:r>
          </w:p>
        </w:tc>
        <w:tc>
          <w:tcPr>
            <w:tcW w:w="1191" w:type="dxa"/>
            <w:vAlign w:val="center"/>
          </w:tcPr>
          <w:p w14:paraId="052197F4">
            <w:pPr>
              <w:pStyle w:val="13"/>
            </w:pPr>
            <w:r>
              <w:t>20502</w:t>
            </w:r>
          </w:p>
        </w:tc>
        <w:tc>
          <w:tcPr>
            <w:tcW w:w="4535" w:type="dxa"/>
            <w:vAlign w:val="center"/>
          </w:tcPr>
          <w:p w14:paraId="21CA19EF">
            <w:pPr>
              <w:pStyle w:val="13"/>
            </w:pPr>
            <w:r>
              <w:t>普通教育</w:t>
            </w:r>
          </w:p>
        </w:tc>
        <w:tc>
          <w:tcPr>
            <w:tcW w:w="2551" w:type="dxa"/>
            <w:vAlign w:val="center"/>
          </w:tcPr>
          <w:p w14:paraId="3ABBB81F">
            <w:pPr>
              <w:pStyle w:val="14"/>
            </w:pPr>
            <w:r>
              <w:t>1342.51</w:t>
            </w:r>
          </w:p>
        </w:tc>
        <w:tc>
          <w:tcPr>
            <w:tcW w:w="2551" w:type="dxa"/>
            <w:vAlign w:val="center"/>
          </w:tcPr>
          <w:p w14:paraId="1136AA82">
            <w:pPr>
              <w:pStyle w:val="14"/>
            </w:pPr>
            <w:r>
              <w:t>980.49</w:t>
            </w:r>
          </w:p>
        </w:tc>
        <w:tc>
          <w:tcPr>
            <w:tcW w:w="2551" w:type="dxa"/>
            <w:vAlign w:val="center"/>
          </w:tcPr>
          <w:p w14:paraId="6B170B0C">
            <w:pPr>
              <w:pStyle w:val="14"/>
            </w:pPr>
            <w:r>
              <w:t>362.02</w:t>
            </w:r>
          </w:p>
        </w:tc>
      </w:tr>
      <w:tr w14:paraId="67A5A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E226B">
            <w:pPr>
              <w:pStyle w:val="12"/>
            </w:pPr>
            <w:r>
              <w:t>4</w:t>
            </w:r>
          </w:p>
        </w:tc>
        <w:tc>
          <w:tcPr>
            <w:tcW w:w="1191" w:type="dxa"/>
            <w:vAlign w:val="center"/>
          </w:tcPr>
          <w:p w14:paraId="39818CED">
            <w:pPr>
              <w:pStyle w:val="13"/>
            </w:pPr>
            <w:r>
              <w:t>2050203</w:t>
            </w:r>
          </w:p>
        </w:tc>
        <w:tc>
          <w:tcPr>
            <w:tcW w:w="4535" w:type="dxa"/>
            <w:vAlign w:val="center"/>
          </w:tcPr>
          <w:p w14:paraId="56044909">
            <w:pPr>
              <w:pStyle w:val="13"/>
            </w:pPr>
            <w:r>
              <w:t>初中教育</w:t>
            </w:r>
          </w:p>
        </w:tc>
        <w:tc>
          <w:tcPr>
            <w:tcW w:w="2551" w:type="dxa"/>
            <w:vAlign w:val="center"/>
          </w:tcPr>
          <w:p w14:paraId="38321E11">
            <w:pPr>
              <w:pStyle w:val="14"/>
            </w:pPr>
            <w:r>
              <w:t>1342.51</w:t>
            </w:r>
          </w:p>
        </w:tc>
        <w:tc>
          <w:tcPr>
            <w:tcW w:w="2551" w:type="dxa"/>
            <w:vAlign w:val="center"/>
          </w:tcPr>
          <w:p w14:paraId="3BFB2F89">
            <w:pPr>
              <w:pStyle w:val="14"/>
            </w:pPr>
            <w:r>
              <w:t>980.49</w:t>
            </w:r>
          </w:p>
        </w:tc>
        <w:tc>
          <w:tcPr>
            <w:tcW w:w="2551" w:type="dxa"/>
            <w:vAlign w:val="center"/>
          </w:tcPr>
          <w:p w14:paraId="4DBAB39A">
            <w:pPr>
              <w:pStyle w:val="14"/>
            </w:pPr>
            <w:r>
              <w:t>362.02</w:t>
            </w:r>
          </w:p>
        </w:tc>
      </w:tr>
    </w:tbl>
    <w:p w14:paraId="6D748E43">
      <w:pPr>
        <w:sectPr>
          <w:pgSz w:w="16840" w:h="11900" w:orient="landscape"/>
          <w:pgMar w:top="1361" w:right="1020" w:bottom="1134" w:left="1020" w:header="720" w:footer="720" w:gutter="0"/>
          <w:cols w:space="720" w:num="1"/>
        </w:sectPr>
      </w:pPr>
    </w:p>
    <w:p w14:paraId="0A9A32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62B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813A51">
            <w:pPr>
              <w:pStyle w:val="8"/>
            </w:pPr>
            <w:r>
              <w:t>360006隆尧县东良中学</w:t>
            </w:r>
          </w:p>
        </w:tc>
        <w:tc>
          <w:tcPr>
            <w:tcW w:w="2551" w:type="dxa"/>
            <w:tcBorders>
              <w:top w:val="single" w:color="FFFFFF" w:sz="6" w:space="0"/>
              <w:left w:val="single" w:color="FFFFFF" w:sz="6" w:space="0"/>
              <w:right w:val="single" w:color="FFFFFF" w:sz="6" w:space="0"/>
            </w:tcBorders>
            <w:vAlign w:val="center"/>
          </w:tcPr>
          <w:p w14:paraId="1656B05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F30CF0E">
            <w:pPr>
              <w:pStyle w:val="10"/>
            </w:pPr>
            <w:r>
              <w:t>单位：万元</w:t>
            </w:r>
          </w:p>
        </w:tc>
      </w:tr>
      <w:tr w14:paraId="2AD63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B32791">
            <w:pPr>
              <w:pStyle w:val="11"/>
            </w:pPr>
            <w:r>
              <w:t>序号</w:t>
            </w:r>
          </w:p>
        </w:tc>
        <w:tc>
          <w:tcPr>
            <w:tcW w:w="5726" w:type="dxa"/>
            <w:gridSpan w:val="2"/>
            <w:vAlign w:val="center"/>
          </w:tcPr>
          <w:p w14:paraId="1BAF26BB">
            <w:pPr>
              <w:pStyle w:val="11"/>
            </w:pPr>
            <w:r>
              <w:t>支出部门经济分类科目</w:t>
            </w:r>
          </w:p>
        </w:tc>
        <w:tc>
          <w:tcPr>
            <w:tcW w:w="7653" w:type="dxa"/>
            <w:gridSpan w:val="3"/>
            <w:vAlign w:val="center"/>
          </w:tcPr>
          <w:p w14:paraId="07FAE19E">
            <w:pPr>
              <w:pStyle w:val="11"/>
            </w:pPr>
            <w:r>
              <w:t>一般公共预算基本支出</w:t>
            </w:r>
          </w:p>
        </w:tc>
      </w:tr>
      <w:tr w14:paraId="48B8D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5993C4"/>
        </w:tc>
        <w:tc>
          <w:tcPr>
            <w:tcW w:w="1191" w:type="dxa"/>
            <w:vAlign w:val="center"/>
          </w:tcPr>
          <w:p w14:paraId="3DDD24DD">
            <w:pPr>
              <w:pStyle w:val="11"/>
            </w:pPr>
            <w:r>
              <w:t>科目编码</w:t>
            </w:r>
          </w:p>
        </w:tc>
        <w:tc>
          <w:tcPr>
            <w:tcW w:w="4535" w:type="dxa"/>
            <w:vAlign w:val="center"/>
          </w:tcPr>
          <w:p w14:paraId="77A904AD">
            <w:pPr>
              <w:pStyle w:val="11"/>
            </w:pPr>
            <w:r>
              <w:t>科目名称</w:t>
            </w:r>
          </w:p>
        </w:tc>
        <w:tc>
          <w:tcPr>
            <w:tcW w:w="2551" w:type="dxa"/>
            <w:vAlign w:val="center"/>
          </w:tcPr>
          <w:p w14:paraId="572BF544">
            <w:pPr>
              <w:pStyle w:val="11"/>
            </w:pPr>
            <w:r>
              <w:t>合计</w:t>
            </w:r>
          </w:p>
        </w:tc>
        <w:tc>
          <w:tcPr>
            <w:tcW w:w="2551" w:type="dxa"/>
            <w:vAlign w:val="center"/>
          </w:tcPr>
          <w:p w14:paraId="4E3DA469">
            <w:pPr>
              <w:pStyle w:val="11"/>
            </w:pPr>
            <w:r>
              <w:t>人员经费</w:t>
            </w:r>
          </w:p>
        </w:tc>
        <w:tc>
          <w:tcPr>
            <w:tcW w:w="2551" w:type="dxa"/>
            <w:vAlign w:val="center"/>
          </w:tcPr>
          <w:p w14:paraId="35E19EAC">
            <w:pPr>
              <w:pStyle w:val="11"/>
            </w:pPr>
            <w:r>
              <w:t>公用经费</w:t>
            </w:r>
          </w:p>
        </w:tc>
      </w:tr>
      <w:tr w14:paraId="1D1DF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24DF37">
            <w:pPr>
              <w:pStyle w:val="11"/>
            </w:pPr>
            <w:r>
              <w:t>栏次</w:t>
            </w:r>
          </w:p>
        </w:tc>
        <w:tc>
          <w:tcPr>
            <w:tcW w:w="1191" w:type="dxa"/>
            <w:vAlign w:val="center"/>
          </w:tcPr>
          <w:p w14:paraId="14FBC8C9">
            <w:pPr>
              <w:pStyle w:val="11"/>
            </w:pPr>
            <w:r>
              <w:t>1</w:t>
            </w:r>
          </w:p>
        </w:tc>
        <w:tc>
          <w:tcPr>
            <w:tcW w:w="4535" w:type="dxa"/>
            <w:vAlign w:val="center"/>
          </w:tcPr>
          <w:p w14:paraId="574E2E46">
            <w:pPr>
              <w:pStyle w:val="11"/>
            </w:pPr>
            <w:r>
              <w:t>2</w:t>
            </w:r>
          </w:p>
        </w:tc>
        <w:tc>
          <w:tcPr>
            <w:tcW w:w="2551" w:type="dxa"/>
            <w:vAlign w:val="center"/>
          </w:tcPr>
          <w:p w14:paraId="4A68D2C7">
            <w:pPr>
              <w:pStyle w:val="11"/>
            </w:pPr>
            <w:r>
              <w:t>3</w:t>
            </w:r>
          </w:p>
        </w:tc>
        <w:tc>
          <w:tcPr>
            <w:tcW w:w="2551" w:type="dxa"/>
            <w:vAlign w:val="center"/>
          </w:tcPr>
          <w:p w14:paraId="52675594">
            <w:pPr>
              <w:pStyle w:val="11"/>
            </w:pPr>
            <w:r>
              <w:t>4</w:t>
            </w:r>
          </w:p>
        </w:tc>
        <w:tc>
          <w:tcPr>
            <w:tcW w:w="2551" w:type="dxa"/>
            <w:vAlign w:val="center"/>
          </w:tcPr>
          <w:p w14:paraId="4B2EF85E">
            <w:pPr>
              <w:pStyle w:val="11"/>
            </w:pPr>
            <w:r>
              <w:t>5</w:t>
            </w:r>
          </w:p>
        </w:tc>
      </w:tr>
      <w:tr w14:paraId="543E4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5CECB">
            <w:pPr>
              <w:pStyle w:val="12"/>
            </w:pPr>
            <w:r>
              <w:t>1</w:t>
            </w:r>
          </w:p>
        </w:tc>
        <w:tc>
          <w:tcPr>
            <w:tcW w:w="1191" w:type="dxa"/>
            <w:vAlign w:val="center"/>
          </w:tcPr>
          <w:p w14:paraId="39B8CC17">
            <w:pPr>
              <w:pStyle w:val="17"/>
            </w:pPr>
          </w:p>
        </w:tc>
        <w:tc>
          <w:tcPr>
            <w:tcW w:w="4535" w:type="dxa"/>
            <w:vAlign w:val="center"/>
          </w:tcPr>
          <w:p w14:paraId="03754003">
            <w:pPr>
              <w:pStyle w:val="15"/>
            </w:pPr>
            <w:r>
              <w:t>合计</w:t>
            </w:r>
          </w:p>
        </w:tc>
        <w:tc>
          <w:tcPr>
            <w:tcW w:w="2551" w:type="dxa"/>
            <w:vAlign w:val="center"/>
          </w:tcPr>
          <w:p w14:paraId="0E6C0CD4">
            <w:pPr>
              <w:pStyle w:val="16"/>
            </w:pPr>
            <w:r>
              <w:t>980.49</w:t>
            </w:r>
          </w:p>
        </w:tc>
        <w:tc>
          <w:tcPr>
            <w:tcW w:w="2551" w:type="dxa"/>
            <w:vAlign w:val="center"/>
          </w:tcPr>
          <w:p w14:paraId="11308F25">
            <w:pPr>
              <w:pStyle w:val="16"/>
            </w:pPr>
            <w:r>
              <w:t>980.49</w:t>
            </w:r>
          </w:p>
        </w:tc>
        <w:tc>
          <w:tcPr>
            <w:tcW w:w="2551" w:type="dxa"/>
            <w:vAlign w:val="center"/>
          </w:tcPr>
          <w:p w14:paraId="02C0E97C">
            <w:pPr>
              <w:pStyle w:val="16"/>
            </w:pPr>
          </w:p>
        </w:tc>
      </w:tr>
      <w:tr w14:paraId="7BE23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E98C6">
            <w:pPr>
              <w:pStyle w:val="12"/>
            </w:pPr>
            <w:r>
              <w:t>2</w:t>
            </w:r>
          </w:p>
        </w:tc>
        <w:tc>
          <w:tcPr>
            <w:tcW w:w="1191" w:type="dxa"/>
            <w:vAlign w:val="center"/>
          </w:tcPr>
          <w:p w14:paraId="4F064B4C">
            <w:pPr>
              <w:pStyle w:val="13"/>
            </w:pPr>
            <w:r>
              <w:t>301</w:t>
            </w:r>
          </w:p>
        </w:tc>
        <w:tc>
          <w:tcPr>
            <w:tcW w:w="4535" w:type="dxa"/>
            <w:vAlign w:val="center"/>
          </w:tcPr>
          <w:p w14:paraId="2B658D63">
            <w:pPr>
              <w:pStyle w:val="13"/>
            </w:pPr>
            <w:r>
              <w:t>工资福利支出</w:t>
            </w:r>
          </w:p>
        </w:tc>
        <w:tc>
          <w:tcPr>
            <w:tcW w:w="2551" w:type="dxa"/>
            <w:vAlign w:val="center"/>
          </w:tcPr>
          <w:p w14:paraId="3216C022">
            <w:pPr>
              <w:pStyle w:val="14"/>
            </w:pPr>
            <w:r>
              <w:t>951.38</w:t>
            </w:r>
          </w:p>
        </w:tc>
        <w:tc>
          <w:tcPr>
            <w:tcW w:w="2551" w:type="dxa"/>
            <w:vAlign w:val="center"/>
          </w:tcPr>
          <w:p w14:paraId="02E43EDF">
            <w:pPr>
              <w:pStyle w:val="14"/>
            </w:pPr>
            <w:r>
              <w:t>951.38</w:t>
            </w:r>
          </w:p>
        </w:tc>
        <w:tc>
          <w:tcPr>
            <w:tcW w:w="2551" w:type="dxa"/>
            <w:vAlign w:val="center"/>
          </w:tcPr>
          <w:p w14:paraId="51329956">
            <w:pPr>
              <w:pStyle w:val="14"/>
            </w:pPr>
          </w:p>
        </w:tc>
      </w:tr>
      <w:tr w14:paraId="2ABDC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2E761">
            <w:pPr>
              <w:pStyle w:val="12"/>
            </w:pPr>
            <w:r>
              <w:t>3</w:t>
            </w:r>
          </w:p>
        </w:tc>
        <w:tc>
          <w:tcPr>
            <w:tcW w:w="1191" w:type="dxa"/>
            <w:vAlign w:val="center"/>
          </w:tcPr>
          <w:p w14:paraId="3EC462B5">
            <w:pPr>
              <w:pStyle w:val="13"/>
            </w:pPr>
            <w:r>
              <w:t>30101</w:t>
            </w:r>
          </w:p>
        </w:tc>
        <w:tc>
          <w:tcPr>
            <w:tcW w:w="4535" w:type="dxa"/>
            <w:vAlign w:val="center"/>
          </w:tcPr>
          <w:p w14:paraId="4E42C963">
            <w:pPr>
              <w:pStyle w:val="13"/>
            </w:pPr>
            <w:r>
              <w:t>基本工资</w:t>
            </w:r>
          </w:p>
        </w:tc>
        <w:tc>
          <w:tcPr>
            <w:tcW w:w="2551" w:type="dxa"/>
            <w:vAlign w:val="center"/>
          </w:tcPr>
          <w:p w14:paraId="1426EDDE">
            <w:pPr>
              <w:pStyle w:val="14"/>
            </w:pPr>
            <w:r>
              <w:t>464.93</w:t>
            </w:r>
          </w:p>
        </w:tc>
        <w:tc>
          <w:tcPr>
            <w:tcW w:w="2551" w:type="dxa"/>
            <w:vAlign w:val="center"/>
          </w:tcPr>
          <w:p w14:paraId="4278B090">
            <w:pPr>
              <w:pStyle w:val="14"/>
            </w:pPr>
            <w:r>
              <w:t>464.93</w:t>
            </w:r>
          </w:p>
        </w:tc>
        <w:tc>
          <w:tcPr>
            <w:tcW w:w="2551" w:type="dxa"/>
            <w:vAlign w:val="center"/>
          </w:tcPr>
          <w:p w14:paraId="33BCF654">
            <w:pPr>
              <w:pStyle w:val="14"/>
            </w:pPr>
          </w:p>
        </w:tc>
      </w:tr>
      <w:tr w14:paraId="2AC23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49948">
            <w:pPr>
              <w:pStyle w:val="12"/>
            </w:pPr>
            <w:r>
              <w:t>4</w:t>
            </w:r>
          </w:p>
        </w:tc>
        <w:tc>
          <w:tcPr>
            <w:tcW w:w="1191" w:type="dxa"/>
            <w:vAlign w:val="center"/>
          </w:tcPr>
          <w:p w14:paraId="7C50928D">
            <w:pPr>
              <w:pStyle w:val="13"/>
            </w:pPr>
            <w:r>
              <w:t>30102</w:t>
            </w:r>
          </w:p>
        </w:tc>
        <w:tc>
          <w:tcPr>
            <w:tcW w:w="4535" w:type="dxa"/>
            <w:vAlign w:val="center"/>
          </w:tcPr>
          <w:p w14:paraId="5106D05D">
            <w:pPr>
              <w:pStyle w:val="13"/>
            </w:pPr>
            <w:r>
              <w:t>津贴补贴</w:t>
            </w:r>
          </w:p>
        </w:tc>
        <w:tc>
          <w:tcPr>
            <w:tcW w:w="2551" w:type="dxa"/>
            <w:vAlign w:val="center"/>
          </w:tcPr>
          <w:p w14:paraId="61260B99">
            <w:pPr>
              <w:pStyle w:val="14"/>
            </w:pPr>
            <w:r>
              <w:t>42.29</w:t>
            </w:r>
          </w:p>
        </w:tc>
        <w:tc>
          <w:tcPr>
            <w:tcW w:w="2551" w:type="dxa"/>
            <w:vAlign w:val="center"/>
          </w:tcPr>
          <w:p w14:paraId="25DA2B60">
            <w:pPr>
              <w:pStyle w:val="14"/>
            </w:pPr>
            <w:r>
              <w:t>42.29</w:t>
            </w:r>
          </w:p>
        </w:tc>
        <w:tc>
          <w:tcPr>
            <w:tcW w:w="2551" w:type="dxa"/>
            <w:vAlign w:val="center"/>
          </w:tcPr>
          <w:p w14:paraId="5E0DAD41">
            <w:pPr>
              <w:pStyle w:val="14"/>
            </w:pPr>
          </w:p>
        </w:tc>
      </w:tr>
      <w:tr w14:paraId="5D7EB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DC8F3">
            <w:pPr>
              <w:pStyle w:val="12"/>
            </w:pPr>
            <w:r>
              <w:t>5</w:t>
            </w:r>
          </w:p>
        </w:tc>
        <w:tc>
          <w:tcPr>
            <w:tcW w:w="1191" w:type="dxa"/>
            <w:vAlign w:val="center"/>
          </w:tcPr>
          <w:p w14:paraId="62779296">
            <w:pPr>
              <w:pStyle w:val="13"/>
            </w:pPr>
            <w:r>
              <w:t>30107</w:t>
            </w:r>
          </w:p>
        </w:tc>
        <w:tc>
          <w:tcPr>
            <w:tcW w:w="4535" w:type="dxa"/>
            <w:vAlign w:val="center"/>
          </w:tcPr>
          <w:p w14:paraId="6B479059">
            <w:pPr>
              <w:pStyle w:val="13"/>
            </w:pPr>
            <w:r>
              <w:t>绩效工资</w:t>
            </w:r>
          </w:p>
        </w:tc>
        <w:tc>
          <w:tcPr>
            <w:tcW w:w="2551" w:type="dxa"/>
            <w:vAlign w:val="center"/>
          </w:tcPr>
          <w:p w14:paraId="62D0A9C2">
            <w:pPr>
              <w:pStyle w:val="14"/>
            </w:pPr>
            <w:r>
              <w:t>219.95</w:t>
            </w:r>
          </w:p>
        </w:tc>
        <w:tc>
          <w:tcPr>
            <w:tcW w:w="2551" w:type="dxa"/>
            <w:vAlign w:val="center"/>
          </w:tcPr>
          <w:p w14:paraId="5C1567B2">
            <w:pPr>
              <w:pStyle w:val="14"/>
            </w:pPr>
            <w:r>
              <w:t>219.95</w:t>
            </w:r>
          </w:p>
        </w:tc>
        <w:tc>
          <w:tcPr>
            <w:tcW w:w="2551" w:type="dxa"/>
            <w:vAlign w:val="center"/>
          </w:tcPr>
          <w:p w14:paraId="01157026">
            <w:pPr>
              <w:pStyle w:val="14"/>
            </w:pPr>
          </w:p>
        </w:tc>
      </w:tr>
      <w:tr w14:paraId="46904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53B49">
            <w:pPr>
              <w:pStyle w:val="12"/>
            </w:pPr>
            <w:r>
              <w:t>6</w:t>
            </w:r>
          </w:p>
        </w:tc>
        <w:tc>
          <w:tcPr>
            <w:tcW w:w="1191" w:type="dxa"/>
            <w:vAlign w:val="center"/>
          </w:tcPr>
          <w:p w14:paraId="3785C6E3">
            <w:pPr>
              <w:pStyle w:val="13"/>
            </w:pPr>
            <w:r>
              <w:t>30108</w:t>
            </w:r>
          </w:p>
        </w:tc>
        <w:tc>
          <w:tcPr>
            <w:tcW w:w="4535" w:type="dxa"/>
            <w:vAlign w:val="center"/>
          </w:tcPr>
          <w:p w14:paraId="0CFFE1E2">
            <w:pPr>
              <w:pStyle w:val="13"/>
            </w:pPr>
            <w:r>
              <w:t>机关事业单位基本养老保险缴费</w:t>
            </w:r>
          </w:p>
        </w:tc>
        <w:tc>
          <w:tcPr>
            <w:tcW w:w="2551" w:type="dxa"/>
            <w:vAlign w:val="center"/>
          </w:tcPr>
          <w:p w14:paraId="486C87CD">
            <w:pPr>
              <w:pStyle w:val="14"/>
            </w:pPr>
            <w:r>
              <w:t>89.60</w:t>
            </w:r>
          </w:p>
        </w:tc>
        <w:tc>
          <w:tcPr>
            <w:tcW w:w="2551" w:type="dxa"/>
            <w:vAlign w:val="center"/>
          </w:tcPr>
          <w:p w14:paraId="37BA797E">
            <w:pPr>
              <w:pStyle w:val="14"/>
            </w:pPr>
            <w:r>
              <w:t>89.60</w:t>
            </w:r>
          </w:p>
        </w:tc>
        <w:tc>
          <w:tcPr>
            <w:tcW w:w="2551" w:type="dxa"/>
            <w:vAlign w:val="center"/>
          </w:tcPr>
          <w:p w14:paraId="09E5C05E">
            <w:pPr>
              <w:pStyle w:val="14"/>
            </w:pPr>
          </w:p>
        </w:tc>
      </w:tr>
      <w:tr w14:paraId="373D8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95B31">
            <w:pPr>
              <w:pStyle w:val="12"/>
            </w:pPr>
            <w:r>
              <w:t>7</w:t>
            </w:r>
          </w:p>
        </w:tc>
        <w:tc>
          <w:tcPr>
            <w:tcW w:w="1191" w:type="dxa"/>
            <w:vAlign w:val="center"/>
          </w:tcPr>
          <w:p w14:paraId="55BCF377">
            <w:pPr>
              <w:pStyle w:val="13"/>
            </w:pPr>
            <w:r>
              <w:t>30110</w:t>
            </w:r>
          </w:p>
        </w:tc>
        <w:tc>
          <w:tcPr>
            <w:tcW w:w="4535" w:type="dxa"/>
            <w:vAlign w:val="center"/>
          </w:tcPr>
          <w:p w14:paraId="74BA950A">
            <w:pPr>
              <w:pStyle w:val="13"/>
            </w:pPr>
            <w:r>
              <w:t>职工基本医疗保险缴费</w:t>
            </w:r>
          </w:p>
        </w:tc>
        <w:tc>
          <w:tcPr>
            <w:tcW w:w="2551" w:type="dxa"/>
            <w:vAlign w:val="center"/>
          </w:tcPr>
          <w:p w14:paraId="1BE28A24">
            <w:pPr>
              <w:pStyle w:val="14"/>
            </w:pPr>
            <w:r>
              <w:t>40.55</w:t>
            </w:r>
          </w:p>
        </w:tc>
        <w:tc>
          <w:tcPr>
            <w:tcW w:w="2551" w:type="dxa"/>
            <w:vAlign w:val="center"/>
          </w:tcPr>
          <w:p w14:paraId="20654FF5">
            <w:pPr>
              <w:pStyle w:val="14"/>
            </w:pPr>
            <w:r>
              <w:t>40.55</w:t>
            </w:r>
          </w:p>
        </w:tc>
        <w:tc>
          <w:tcPr>
            <w:tcW w:w="2551" w:type="dxa"/>
            <w:vAlign w:val="center"/>
          </w:tcPr>
          <w:p w14:paraId="37C65AA5">
            <w:pPr>
              <w:pStyle w:val="14"/>
            </w:pPr>
          </w:p>
        </w:tc>
      </w:tr>
      <w:tr w14:paraId="57C3F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9CFE9">
            <w:pPr>
              <w:pStyle w:val="12"/>
            </w:pPr>
            <w:r>
              <w:t>8</w:t>
            </w:r>
          </w:p>
        </w:tc>
        <w:tc>
          <w:tcPr>
            <w:tcW w:w="1191" w:type="dxa"/>
            <w:vAlign w:val="center"/>
          </w:tcPr>
          <w:p w14:paraId="02761A1C">
            <w:pPr>
              <w:pStyle w:val="13"/>
            </w:pPr>
            <w:r>
              <w:t>30112</w:t>
            </w:r>
          </w:p>
        </w:tc>
        <w:tc>
          <w:tcPr>
            <w:tcW w:w="4535" w:type="dxa"/>
            <w:vAlign w:val="center"/>
          </w:tcPr>
          <w:p w14:paraId="3E1033F3">
            <w:pPr>
              <w:pStyle w:val="13"/>
            </w:pPr>
            <w:r>
              <w:t>其他社会保障缴费</w:t>
            </w:r>
          </w:p>
        </w:tc>
        <w:tc>
          <w:tcPr>
            <w:tcW w:w="2551" w:type="dxa"/>
            <w:vAlign w:val="center"/>
          </w:tcPr>
          <w:p w14:paraId="47DA9278">
            <w:pPr>
              <w:pStyle w:val="14"/>
            </w:pPr>
            <w:r>
              <w:t>24.52</w:t>
            </w:r>
          </w:p>
        </w:tc>
        <w:tc>
          <w:tcPr>
            <w:tcW w:w="2551" w:type="dxa"/>
            <w:vAlign w:val="center"/>
          </w:tcPr>
          <w:p w14:paraId="284EED5B">
            <w:pPr>
              <w:pStyle w:val="14"/>
            </w:pPr>
            <w:r>
              <w:t>24.52</w:t>
            </w:r>
          </w:p>
        </w:tc>
        <w:tc>
          <w:tcPr>
            <w:tcW w:w="2551" w:type="dxa"/>
            <w:vAlign w:val="center"/>
          </w:tcPr>
          <w:p w14:paraId="7E5D3749">
            <w:pPr>
              <w:pStyle w:val="14"/>
            </w:pPr>
          </w:p>
        </w:tc>
      </w:tr>
      <w:tr w14:paraId="5BBC3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7679F">
            <w:pPr>
              <w:pStyle w:val="12"/>
            </w:pPr>
            <w:r>
              <w:t>9</w:t>
            </w:r>
          </w:p>
        </w:tc>
        <w:tc>
          <w:tcPr>
            <w:tcW w:w="1191" w:type="dxa"/>
            <w:vAlign w:val="center"/>
          </w:tcPr>
          <w:p w14:paraId="400FCA11">
            <w:pPr>
              <w:pStyle w:val="13"/>
            </w:pPr>
            <w:r>
              <w:t>30113</w:t>
            </w:r>
          </w:p>
        </w:tc>
        <w:tc>
          <w:tcPr>
            <w:tcW w:w="4535" w:type="dxa"/>
            <w:vAlign w:val="center"/>
          </w:tcPr>
          <w:p w14:paraId="42616AF3">
            <w:pPr>
              <w:pStyle w:val="13"/>
            </w:pPr>
            <w:r>
              <w:t>住房公积金</w:t>
            </w:r>
          </w:p>
        </w:tc>
        <w:tc>
          <w:tcPr>
            <w:tcW w:w="2551" w:type="dxa"/>
            <w:vAlign w:val="center"/>
          </w:tcPr>
          <w:p w14:paraId="1E83AAC4">
            <w:pPr>
              <w:pStyle w:val="14"/>
            </w:pPr>
            <w:r>
              <w:t>69.54</w:t>
            </w:r>
          </w:p>
        </w:tc>
        <w:tc>
          <w:tcPr>
            <w:tcW w:w="2551" w:type="dxa"/>
            <w:vAlign w:val="center"/>
          </w:tcPr>
          <w:p w14:paraId="31E3E7E5">
            <w:pPr>
              <w:pStyle w:val="14"/>
            </w:pPr>
            <w:r>
              <w:t>69.54</w:t>
            </w:r>
          </w:p>
        </w:tc>
        <w:tc>
          <w:tcPr>
            <w:tcW w:w="2551" w:type="dxa"/>
            <w:vAlign w:val="center"/>
          </w:tcPr>
          <w:p w14:paraId="29A2F198">
            <w:pPr>
              <w:pStyle w:val="14"/>
            </w:pPr>
          </w:p>
        </w:tc>
      </w:tr>
      <w:tr w14:paraId="3D02E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EF046">
            <w:pPr>
              <w:pStyle w:val="12"/>
            </w:pPr>
            <w:r>
              <w:t>10</w:t>
            </w:r>
          </w:p>
        </w:tc>
        <w:tc>
          <w:tcPr>
            <w:tcW w:w="1191" w:type="dxa"/>
            <w:vAlign w:val="center"/>
          </w:tcPr>
          <w:p w14:paraId="73EEEB7E">
            <w:pPr>
              <w:pStyle w:val="13"/>
            </w:pPr>
            <w:r>
              <w:t>303</w:t>
            </w:r>
          </w:p>
        </w:tc>
        <w:tc>
          <w:tcPr>
            <w:tcW w:w="4535" w:type="dxa"/>
            <w:vAlign w:val="center"/>
          </w:tcPr>
          <w:p w14:paraId="2A007EF6">
            <w:pPr>
              <w:pStyle w:val="13"/>
            </w:pPr>
            <w:r>
              <w:t>对个人和家庭的补助</w:t>
            </w:r>
          </w:p>
        </w:tc>
        <w:tc>
          <w:tcPr>
            <w:tcW w:w="2551" w:type="dxa"/>
            <w:vAlign w:val="center"/>
          </w:tcPr>
          <w:p w14:paraId="738058EB">
            <w:pPr>
              <w:pStyle w:val="14"/>
            </w:pPr>
            <w:r>
              <w:t>29.10</w:t>
            </w:r>
          </w:p>
        </w:tc>
        <w:tc>
          <w:tcPr>
            <w:tcW w:w="2551" w:type="dxa"/>
            <w:vAlign w:val="center"/>
          </w:tcPr>
          <w:p w14:paraId="588A7F1D">
            <w:pPr>
              <w:pStyle w:val="14"/>
            </w:pPr>
            <w:r>
              <w:t>29.10</w:t>
            </w:r>
          </w:p>
        </w:tc>
        <w:tc>
          <w:tcPr>
            <w:tcW w:w="2551" w:type="dxa"/>
            <w:vAlign w:val="center"/>
          </w:tcPr>
          <w:p w14:paraId="2A2F3684">
            <w:pPr>
              <w:pStyle w:val="14"/>
            </w:pPr>
          </w:p>
        </w:tc>
      </w:tr>
      <w:tr w14:paraId="4EDAA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5FA0F">
            <w:pPr>
              <w:pStyle w:val="12"/>
            </w:pPr>
            <w:r>
              <w:t>11</w:t>
            </w:r>
          </w:p>
        </w:tc>
        <w:tc>
          <w:tcPr>
            <w:tcW w:w="1191" w:type="dxa"/>
            <w:vAlign w:val="center"/>
          </w:tcPr>
          <w:p w14:paraId="0AA0F212">
            <w:pPr>
              <w:pStyle w:val="13"/>
            </w:pPr>
            <w:r>
              <w:t>30302</w:t>
            </w:r>
          </w:p>
        </w:tc>
        <w:tc>
          <w:tcPr>
            <w:tcW w:w="4535" w:type="dxa"/>
            <w:vAlign w:val="center"/>
          </w:tcPr>
          <w:p w14:paraId="5F82CD2A">
            <w:pPr>
              <w:pStyle w:val="13"/>
            </w:pPr>
            <w:r>
              <w:t>退休费</w:t>
            </w:r>
          </w:p>
        </w:tc>
        <w:tc>
          <w:tcPr>
            <w:tcW w:w="2551" w:type="dxa"/>
            <w:vAlign w:val="center"/>
          </w:tcPr>
          <w:p w14:paraId="6FE7262C">
            <w:pPr>
              <w:pStyle w:val="14"/>
            </w:pPr>
            <w:r>
              <w:t>25.14</w:t>
            </w:r>
          </w:p>
        </w:tc>
        <w:tc>
          <w:tcPr>
            <w:tcW w:w="2551" w:type="dxa"/>
            <w:vAlign w:val="center"/>
          </w:tcPr>
          <w:p w14:paraId="13A79742">
            <w:pPr>
              <w:pStyle w:val="14"/>
            </w:pPr>
            <w:r>
              <w:t>25.14</w:t>
            </w:r>
          </w:p>
        </w:tc>
        <w:tc>
          <w:tcPr>
            <w:tcW w:w="2551" w:type="dxa"/>
            <w:vAlign w:val="center"/>
          </w:tcPr>
          <w:p w14:paraId="57B31FDE">
            <w:pPr>
              <w:pStyle w:val="14"/>
            </w:pPr>
          </w:p>
        </w:tc>
      </w:tr>
      <w:tr w14:paraId="67DDC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6FC6D">
            <w:pPr>
              <w:pStyle w:val="12"/>
            </w:pPr>
            <w:r>
              <w:t>12</w:t>
            </w:r>
          </w:p>
        </w:tc>
        <w:tc>
          <w:tcPr>
            <w:tcW w:w="1191" w:type="dxa"/>
            <w:vAlign w:val="center"/>
          </w:tcPr>
          <w:p w14:paraId="79103437">
            <w:pPr>
              <w:pStyle w:val="13"/>
            </w:pPr>
            <w:r>
              <w:t>30305</w:t>
            </w:r>
          </w:p>
        </w:tc>
        <w:tc>
          <w:tcPr>
            <w:tcW w:w="4535" w:type="dxa"/>
            <w:vAlign w:val="center"/>
          </w:tcPr>
          <w:p w14:paraId="06AD4B61">
            <w:pPr>
              <w:pStyle w:val="13"/>
            </w:pPr>
            <w:r>
              <w:t>生活补助</w:t>
            </w:r>
          </w:p>
        </w:tc>
        <w:tc>
          <w:tcPr>
            <w:tcW w:w="2551" w:type="dxa"/>
            <w:vAlign w:val="center"/>
          </w:tcPr>
          <w:p w14:paraId="00F184A4">
            <w:pPr>
              <w:pStyle w:val="14"/>
            </w:pPr>
            <w:r>
              <w:t>3.96</w:t>
            </w:r>
          </w:p>
        </w:tc>
        <w:tc>
          <w:tcPr>
            <w:tcW w:w="2551" w:type="dxa"/>
            <w:vAlign w:val="center"/>
          </w:tcPr>
          <w:p w14:paraId="19254BD2">
            <w:pPr>
              <w:pStyle w:val="14"/>
            </w:pPr>
            <w:r>
              <w:t>3.96</w:t>
            </w:r>
          </w:p>
        </w:tc>
        <w:tc>
          <w:tcPr>
            <w:tcW w:w="2551" w:type="dxa"/>
            <w:vAlign w:val="center"/>
          </w:tcPr>
          <w:p w14:paraId="5EC0D52F">
            <w:pPr>
              <w:pStyle w:val="14"/>
            </w:pPr>
          </w:p>
        </w:tc>
      </w:tr>
    </w:tbl>
    <w:p w14:paraId="4D1F5184">
      <w:pPr>
        <w:sectPr>
          <w:pgSz w:w="16840" w:h="11900" w:orient="landscape"/>
          <w:pgMar w:top="1361" w:right="1020" w:bottom="1134" w:left="1020" w:header="720" w:footer="720" w:gutter="0"/>
          <w:cols w:space="720" w:num="1"/>
        </w:sectPr>
      </w:pPr>
    </w:p>
    <w:p w14:paraId="634F7E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EA7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412CB2">
            <w:pPr>
              <w:pStyle w:val="8"/>
            </w:pPr>
            <w:r>
              <w:t>360006隆尧县东良中学</w:t>
            </w:r>
          </w:p>
        </w:tc>
        <w:tc>
          <w:tcPr>
            <w:tcW w:w="2551" w:type="dxa"/>
            <w:tcBorders>
              <w:top w:val="single" w:color="FFFFFF" w:sz="6" w:space="0"/>
              <w:left w:val="single" w:color="FFFFFF" w:sz="6" w:space="0"/>
              <w:right w:val="single" w:color="FFFFFF" w:sz="6" w:space="0"/>
            </w:tcBorders>
            <w:vAlign w:val="center"/>
          </w:tcPr>
          <w:p w14:paraId="445BC78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A5CB9E8">
            <w:pPr>
              <w:pStyle w:val="10"/>
            </w:pPr>
            <w:r>
              <w:t>单位：万元</w:t>
            </w:r>
          </w:p>
        </w:tc>
      </w:tr>
      <w:tr w14:paraId="49A95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E3B0F1">
            <w:pPr>
              <w:pStyle w:val="11"/>
            </w:pPr>
            <w:r>
              <w:t>序号</w:t>
            </w:r>
          </w:p>
        </w:tc>
        <w:tc>
          <w:tcPr>
            <w:tcW w:w="5726" w:type="dxa"/>
            <w:gridSpan w:val="2"/>
            <w:vAlign w:val="center"/>
          </w:tcPr>
          <w:p w14:paraId="4896F7B1">
            <w:pPr>
              <w:pStyle w:val="11"/>
            </w:pPr>
            <w:r>
              <w:t>功能分类科目</w:t>
            </w:r>
          </w:p>
        </w:tc>
        <w:tc>
          <w:tcPr>
            <w:tcW w:w="2551" w:type="dxa"/>
            <w:vMerge w:val="restart"/>
            <w:vAlign w:val="center"/>
          </w:tcPr>
          <w:p w14:paraId="0E56411B">
            <w:pPr>
              <w:pStyle w:val="11"/>
            </w:pPr>
            <w:r>
              <w:t>合计</w:t>
            </w:r>
          </w:p>
        </w:tc>
        <w:tc>
          <w:tcPr>
            <w:tcW w:w="2551" w:type="dxa"/>
            <w:vMerge w:val="restart"/>
            <w:vAlign w:val="center"/>
          </w:tcPr>
          <w:p w14:paraId="56157761">
            <w:pPr>
              <w:pStyle w:val="11"/>
            </w:pPr>
            <w:r>
              <w:t>基本支出</w:t>
            </w:r>
          </w:p>
        </w:tc>
        <w:tc>
          <w:tcPr>
            <w:tcW w:w="2551" w:type="dxa"/>
            <w:vMerge w:val="restart"/>
            <w:vAlign w:val="center"/>
          </w:tcPr>
          <w:p w14:paraId="549742E6">
            <w:pPr>
              <w:pStyle w:val="11"/>
            </w:pPr>
            <w:r>
              <w:t>项目支出</w:t>
            </w:r>
          </w:p>
        </w:tc>
      </w:tr>
      <w:tr w14:paraId="188DE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EF8A69"/>
        </w:tc>
        <w:tc>
          <w:tcPr>
            <w:tcW w:w="1191" w:type="dxa"/>
            <w:vAlign w:val="center"/>
          </w:tcPr>
          <w:p w14:paraId="0DB2468F">
            <w:pPr>
              <w:pStyle w:val="11"/>
            </w:pPr>
            <w:r>
              <w:t>科目编码</w:t>
            </w:r>
          </w:p>
        </w:tc>
        <w:tc>
          <w:tcPr>
            <w:tcW w:w="4535" w:type="dxa"/>
            <w:vAlign w:val="center"/>
          </w:tcPr>
          <w:p w14:paraId="72559D76">
            <w:pPr>
              <w:pStyle w:val="11"/>
            </w:pPr>
            <w:r>
              <w:t>科目名称</w:t>
            </w:r>
          </w:p>
        </w:tc>
        <w:tc>
          <w:tcPr>
            <w:tcW w:w="2551" w:type="dxa"/>
            <w:vMerge w:val="continue"/>
          </w:tcPr>
          <w:p w14:paraId="72B0C218"/>
        </w:tc>
        <w:tc>
          <w:tcPr>
            <w:tcW w:w="2551" w:type="dxa"/>
            <w:vMerge w:val="continue"/>
          </w:tcPr>
          <w:p w14:paraId="5C25CB76"/>
        </w:tc>
        <w:tc>
          <w:tcPr>
            <w:tcW w:w="2551" w:type="dxa"/>
            <w:vMerge w:val="continue"/>
          </w:tcPr>
          <w:p w14:paraId="48D04549"/>
        </w:tc>
      </w:tr>
      <w:tr w14:paraId="39E2B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B0483">
            <w:pPr>
              <w:pStyle w:val="11"/>
            </w:pPr>
            <w:r>
              <w:t>栏次</w:t>
            </w:r>
          </w:p>
        </w:tc>
        <w:tc>
          <w:tcPr>
            <w:tcW w:w="1191" w:type="dxa"/>
            <w:vAlign w:val="center"/>
          </w:tcPr>
          <w:p w14:paraId="4513FB70">
            <w:pPr>
              <w:pStyle w:val="11"/>
            </w:pPr>
            <w:r>
              <w:t>1</w:t>
            </w:r>
          </w:p>
        </w:tc>
        <w:tc>
          <w:tcPr>
            <w:tcW w:w="4535" w:type="dxa"/>
            <w:vAlign w:val="center"/>
          </w:tcPr>
          <w:p w14:paraId="1FD749DB">
            <w:pPr>
              <w:pStyle w:val="11"/>
            </w:pPr>
            <w:r>
              <w:t>2</w:t>
            </w:r>
          </w:p>
        </w:tc>
        <w:tc>
          <w:tcPr>
            <w:tcW w:w="2551" w:type="dxa"/>
            <w:vAlign w:val="center"/>
          </w:tcPr>
          <w:p w14:paraId="46FB98CF">
            <w:pPr>
              <w:pStyle w:val="11"/>
            </w:pPr>
            <w:r>
              <w:t>3</w:t>
            </w:r>
          </w:p>
        </w:tc>
        <w:tc>
          <w:tcPr>
            <w:tcW w:w="2551" w:type="dxa"/>
            <w:vAlign w:val="center"/>
          </w:tcPr>
          <w:p w14:paraId="5B30F60F">
            <w:pPr>
              <w:pStyle w:val="11"/>
            </w:pPr>
            <w:r>
              <w:t>4</w:t>
            </w:r>
          </w:p>
        </w:tc>
        <w:tc>
          <w:tcPr>
            <w:tcW w:w="2551" w:type="dxa"/>
            <w:vAlign w:val="center"/>
          </w:tcPr>
          <w:p w14:paraId="7CE8D722">
            <w:pPr>
              <w:pStyle w:val="11"/>
            </w:pPr>
            <w:r>
              <w:t>5</w:t>
            </w:r>
          </w:p>
        </w:tc>
      </w:tr>
      <w:tr w14:paraId="71200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D7366">
            <w:pPr>
              <w:pStyle w:val="12"/>
            </w:pPr>
          </w:p>
        </w:tc>
        <w:tc>
          <w:tcPr>
            <w:tcW w:w="1191" w:type="dxa"/>
            <w:vAlign w:val="center"/>
          </w:tcPr>
          <w:p w14:paraId="09CDB561">
            <w:pPr>
              <w:pStyle w:val="13"/>
            </w:pPr>
          </w:p>
        </w:tc>
        <w:tc>
          <w:tcPr>
            <w:tcW w:w="4535" w:type="dxa"/>
            <w:vAlign w:val="center"/>
          </w:tcPr>
          <w:p w14:paraId="3EAA93D0">
            <w:pPr>
              <w:pStyle w:val="13"/>
            </w:pPr>
          </w:p>
        </w:tc>
        <w:tc>
          <w:tcPr>
            <w:tcW w:w="2551" w:type="dxa"/>
            <w:vAlign w:val="center"/>
          </w:tcPr>
          <w:p w14:paraId="4DD8B49D">
            <w:pPr>
              <w:pStyle w:val="14"/>
            </w:pPr>
          </w:p>
        </w:tc>
        <w:tc>
          <w:tcPr>
            <w:tcW w:w="2551" w:type="dxa"/>
            <w:vAlign w:val="center"/>
          </w:tcPr>
          <w:p w14:paraId="2C8ADF9C">
            <w:pPr>
              <w:pStyle w:val="14"/>
            </w:pPr>
          </w:p>
        </w:tc>
        <w:tc>
          <w:tcPr>
            <w:tcW w:w="2551" w:type="dxa"/>
            <w:vAlign w:val="center"/>
          </w:tcPr>
          <w:p w14:paraId="79806DB2">
            <w:pPr>
              <w:pStyle w:val="14"/>
            </w:pPr>
          </w:p>
        </w:tc>
      </w:tr>
    </w:tbl>
    <w:p w14:paraId="685FA3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F53E6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C83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CD04F5">
            <w:pPr>
              <w:pStyle w:val="8"/>
            </w:pPr>
            <w:r>
              <w:t>360006隆尧县东良中学</w:t>
            </w:r>
          </w:p>
        </w:tc>
        <w:tc>
          <w:tcPr>
            <w:tcW w:w="2551" w:type="dxa"/>
            <w:tcBorders>
              <w:top w:val="single" w:color="FFFFFF" w:sz="6" w:space="0"/>
              <w:left w:val="single" w:color="FFFFFF" w:sz="6" w:space="0"/>
              <w:right w:val="single" w:color="FFFFFF" w:sz="6" w:space="0"/>
            </w:tcBorders>
            <w:vAlign w:val="center"/>
          </w:tcPr>
          <w:p w14:paraId="363AFF6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6CAE7AC">
            <w:pPr>
              <w:pStyle w:val="10"/>
            </w:pPr>
            <w:r>
              <w:t>单位：万元</w:t>
            </w:r>
          </w:p>
        </w:tc>
      </w:tr>
      <w:tr w14:paraId="4AE7B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DF2EF5">
            <w:pPr>
              <w:pStyle w:val="11"/>
            </w:pPr>
            <w:r>
              <w:t>序号</w:t>
            </w:r>
          </w:p>
        </w:tc>
        <w:tc>
          <w:tcPr>
            <w:tcW w:w="5726" w:type="dxa"/>
            <w:gridSpan w:val="2"/>
            <w:vAlign w:val="center"/>
          </w:tcPr>
          <w:p w14:paraId="1E260253">
            <w:pPr>
              <w:pStyle w:val="11"/>
            </w:pPr>
            <w:r>
              <w:t>功能分类科目</w:t>
            </w:r>
          </w:p>
        </w:tc>
        <w:tc>
          <w:tcPr>
            <w:tcW w:w="2551" w:type="dxa"/>
            <w:vMerge w:val="restart"/>
            <w:vAlign w:val="center"/>
          </w:tcPr>
          <w:p w14:paraId="65CE19F1">
            <w:pPr>
              <w:pStyle w:val="11"/>
            </w:pPr>
            <w:r>
              <w:t>合计</w:t>
            </w:r>
          </w:p>
        </w:tc>
        <w:tc>
          <w:tcPr>
            <w:tcW w:w="2551" w:type="dxa"/>
            <w:vMerge w:val="restart"/>
            <w:vAlign w:val="center"/>
          </w:tcPr>
          <w:p w14:paraId="321D11C0">
            <w:pPr>
              <w:pStyle w:val="11"/>
            </w:pPr>
            <w:r>
              <w:t>基本支出</w:t>
            </w:r>
          </w:p>
        </w:tc>
        <w:tc>
          <w:tcPr>
            <w:tcW w:w="2551" w:type="dxa"/>
            <w:vMerge w:val="restart"/>
            <w:vAlign w:val="center"/>
          </w:tcPr>
          <w:p w14:paraId="3A1CB852">
            <w:pPr>
              <w:pStyle w:val="11"/>
            </w:pPr>
            <w:r>
              <w:t>项目支出</w:t>
            </w:r>
          </w:p>
        </w:tc>
      </w:tr>
      <w:tr w14:paraId="2DD18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B9EDE"/>
        </w:tc>
        <w:tc>
          <w:tcPr>
            <w:tcW w:w="1191" w:type="dxa"/>
            <w:vAlign w:val="center"/>
          </w:tcPr>
          <w:p w14:paraId="040778D8">
            <w:pPr>
              <w:pStyle w:val="11"/>
            </w:pPr>
            <w:r>
              <w:t>科目编码</w:t>
            </w:r>
          </w:p>
        </w:tc>
        <w:tc>
          <w:tcPr>
            <w:tcW w:w="4535" w:type="dxa"/>
            <w:vAlign w:val="center"/>
          </w:tcPr>
          <w:p w14:paraId="29E41B95">
            <w:pPr>
              <w:pStyle w:val="11"/>
            </w:pPr>
            <w:r>
              <w:t>科目名称</w:t>
            </w:r>
          </w:p>
        </w:tc>
        <w:tc>
          <w:tcPr>
            <w:tcW w:w="2551" w:type="dxa"/>
            <w:vMerge w:val="continue"/>
          </w:tcPr>
          <w:p w14:paraId="5DFBA424"/>
        </w:tc>
        <w:tc>
          <w:tcPr>
            <w:tcW w:w="2551" w:type="dxa"/>
            <w:vMerge w:val="continue"/>
          </w:tcPr>
          <w:p w14:paraId="76F8DAAB"/>
        </w:tc>
        <w:tc>
          <w:tcPr>
            <w:tcW w:w="2551" w:type="dxa"/>
            <w:vMerge w:val="continue"/>
          </w:tcPr>
          <w:p w14:paraId="314502D5"/>
        </w:tc>
      </w:tr>
      <w:tr w14:paraId="75686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7156F">
            <w:pPr>
              <w:pStyle w:val="11"/>
            </w:pPr>
            <w:r>
              <w:t>栏次</w:t>
            </w:r>
          </w:p>
        </w:tc>
        <w:tc>
          <w:tcPr>
            <w:tcW w:w="1191" w:type="dxa"/>
            <w:vAlign w:val="center"/>
          </w:tcPr>
          <w:p w14:paraId="2EC5A171">
            <w:pPr>
              <w:pStyle w:val="11"/>
            </w:pPr>
            <w:r>
              <w:t>1</w:t>
            </w:r>
          </w:p>
        </w:tc>
        <w:tc>
          <w:tcPr>
            <w:tcW w:w="4535" w:type="dxa"/>
            <w:vAlign w:val="center"/>
          </w:tcPr>
          <w:p w14:paraId="1463F891">
            <w:pPr>
              <w:pStyle w:val="11"/>
            </w:pPr>
            <w:r>
              <w:t>2</w:t>
            </w:r>
          </w:p>
        </w:tc>
        <w:tc>
          <w:tcPr>
            <w:tcW w:w="2551" w:type="dxa"/>
            <w:vAlign w:val="center"/>
          </w:tcPr>
          <w:p w14:paraId="1BDDB883">
            <w:pPr>
              <w:pStyle w:val="11"/>
            </w:pPr>
            <w:r>
              <w:t>3</w:t>
            </w:r>
          </w:p>
        </w:tc>
        <w:tc>
          <w:tcPr>
            <w:tcW w:w="2551" w:type="dxa"/>
            <w:vAlign w:val="center"/>
          </w:tcPr>
          <w:p w14:paraId="35C6BC1B">
            <w:pPr>
              <w:pStyle w:val="11"/>
            </w:pPr>
            <w:r>
              <w:t>4</w:t>
            </w:r>
          </w:p>
        </w:tc>
        <w:tc>
          <w:tcPr>
            <w:tcW w:w="2551" w:type="dxa"/>
            <w:vAlign w:val="center"/>
          </w:tcPr>
          <w:p w14:paraId="7CFF3C82">
            <w:pPr>
              <w:pStyle w:val="11"/>
            </w:pPr>
            <w:r>
              <w:t>5</w:t>
            </w:r>
          </w:p>
        </w:tc>
      </w:tr>
      <w:tr w14:paraId="026AE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AAF07">
            <w:pPr>
              <w:pStyle w:val="12"/>
            </w:pPr>
          </w:p>
        </w:tc>
        <w:tc>
          <w:tcPr>
            <w:tcW w:w="1191" w:type="dxa"/>
            <w:vAlign w:val="center"/>
          </w:tcPr>
          <w:p w14:paraId="651AF9A9">
            <w:pPr>
              <w:pStyle w:val="13"/>
            </w:pPr>
          </w:p>
        </w:tc>
        <w:tc>
          <w:tcPr>
            <w:tcW w:w="4535" w:type="dxa"/>
            <w:vAlign w:val="center"/>
          </w:tcPr>
          <w:p w14:paraId="565AF765">
            <w:pPr>
              <w:pStyle w:val="13"/>
            </w:pPr>
          </w:p>
        </w:tc>
        <w:tc>
          <w:tcPr>
            <w:tcW w:w="2551" w:type="dxa"/>
            <w:vAlign w:val="center"/>
          </w:tcPr>
          <w:p w14:paraId="3B721F1C">
            <w:pPr>
              <w:pStyle w:val="14"/>
            </w:pPr>
          </w:p>
        </w:tc>
        <w:tc>
          <w:tcPr>
            <w:tcW w:w="2551" w:type="dxa"/>
            <w:vAlign w:val="center"/>
          </w:tcPr>
          <w:p w14:paraId="293A7948">
            <w:pPr>
              <w:pStyle w:val="14"/>
            </w:pPr>
          </w:p>
        </w:tc>
        <w:tc>
          <w:tcPr>
            <w:tcW w:w="2551" w:type="dxa"/>
            <w:vAlign w:val="center"/>
          </w:tcPr>
          <w:p w14:paraId="0AF02F17">
            <w:pPr>
              <w:pStyle w:val="14"/>
            </w:pPr>
          </w:p>
        </w:tc>
      </w:tr>
    </w:tbl>
    <w:p w14:paraId="19B10C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EAFD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D94E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74B1CE">
            <w:pPr>
              <w:pStyle w:val="8"/>
            </w:pPr>
            <w:r>
              <w:t>360006隆尧县东良中学</w:t>
            </w:r>
          </w:p>
        </w:tc>
        <w:tc>
          <w:tcPr>
            <w:tcW w:w="2381" w:type="dxa"/>
            <w:tcBorders>
              <w:top w:val="single" w:color="FFFFFF" w:sz="6" w:space="0"/>
              <w:left w:val="single" w:color="FFFFFF" w:sz="6" w:space="0"/>
              <w:right w:val="single" w:color="FFFFFF" w:sz="6" w:space="0"/>
            </w:tcBorders>
            <w:vAlign w:val="center"/>
          </w:tcPr>
          <w:p w14:paraId="177AB7FC">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A05F45F">
            <w:pPr>
              <w:pStyle w:val="10"/>
            </w:pPr>
            <w:r>
              <w:t>单位：万元</w:t>
            </w:r>
          </w:p>
        </w:tc>
      </w:tr>
      <w:tr w14:paraId="7BA8D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BD996">
            <w:pPr>
              <w:pStyle w:val="11"/>
            </w:pPr>
            <w:r>
              <w:t>序号</w:t>
            </w:r>
          </w:p>
        </w:tc>
        <w:tc>
          <w:tcPr>
            <w:tcW w:w="3798" w:type="dxa"/>
            <w:vMerge w:val="restart"/>
            <w:vAlign w:val="center"/>
          </w:tcPr>
          <w:p w14:paraId="67842F19">
            <w:pPr>
              <w:pStyle w:val="11"/>
            </w:pPr>
            <w:r>
              <w:t>项  目</w:t>
            </w:r>
          </w:p>
        </w:tc>
        <w:tc>
          <w:tcPr>
            <w:tcW w:w="9524" w:type="dxa"/>
            <w:gridSpan w:val="4"/>
            <w:vAlign w:val="center"/>
          </w:tcPr>
          <w:p w14:paraId="10513AB5">
            <w:pPr>
              <w:pStyle w:val="11"/>
            </w:pPr>
            <w:r>
              <w:t>资 金 性 质</w:t>
            </w:r>
          </w:p>
        </w:tc>
      </w:tr>
      <w:tr w14:paraId="2C68A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66EC19"/>
        </w:tc>
        <w:tc>
          <w:tcPr>
            <w:tcW w:w="3798" w:type="dxa"/>
            <w:vMerge w:val="continue"/>
          </w:tcPr>
          <w:p w14:paraId="3625613B"/>
        </w:tc>
        <w:tc>
          <w:tcPr>
            <w:tcW w:w="2381" w:type="dxa"/>
            <w:vAlign w:val="center"/>
          </w:tcPr>
          <w:p w14:paraId="3691E429">
            <w:pPr>
              <w:pStyle w:val="11"/>
            </w:pPr>
            <w:r>
              <w:t>合计</w:t>
            </w:r>
          </w:p>
        </w:tc>
        <w:tc>
          <w:tcPr>
            <w:tcW w:w="2381" w:type="dxa"/>
            <w:vAlign w:val="center"/>
          </w:tcPr>
          <w:p w14:paraId="44664B83">
            <w:pPr>
              <w:pStyle w:val="11"/>
            </w:pPr>
            <w:r>
              <w:t>一般公共预算              财政拨款</w:t>
            </w:r>
          </w:p>
        </w:tc>
        <w:tc>
          <w:tcPr>
            <w:tcW w:w="2381" w:type="dxa"/>
            <w:vAlign w:val="center"/>
          </w:tcPr>
          <w:p w14:paraId="1C6E56E7">
            <w:pPr>
              <w:pStyle w:val="11"/>
            </w:pPr>
            <w:r>
              <w:t>政府性基金                  预算拨款</w:t>
            </w:r>
          </w:p>
        </w:tc>
        <w:tc>
          <w:tcPr>
            <w:tcW w:w="2381" w:type="dxa"/>
            <w:vAlign w:val="center"/>
          </w:tcPr>
          <w:p w14:paraId="090E7785">
            <w:pPr>
              <w:pStyle w:val="11"/>
            </w:pPr>
            <w:r>
              <w:t>国有资本经营              预算财政拨款</w:t>
            </w:r>
          </w:p>
        </w:tc>
      </w:tr>
      <w:tr w14:paraId="1466C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91C196">
            <w:pPr>
              <w:pStyle w:val="11"/>
            </w:pPr>
            <w:r>
              <w:t>栏次</w:t>
            </w:r>
          </w:p>
        </w:tc>
        <w:tc>
          <w:tcPr>
            <w:tcW w:w="3798" w:type="dxa"/>
            <w:vAlign w:val="center"/>
          </w:tcPr>
          <w:p w14:paraId="39B1F962">
            <w:pPr>
              <w:pStyle w:val="11"/>
            </w:pPr>
            <w:r>
              <w:t>1</w:t>
            </w:r>
          </w:p>
        </w:tc>
        <w:tc>
          <w:tcPr>
            <w:tcW w:w="2381" w:type="dxa"/>
            <w:vAlign w:val="center"/>
          </w:tcPr>
          <w:p w14:paraId="41A1FAE9">
            <w:pPr>
              <w:pStyle w:val="11"/>
            </w:pPr>
            <w:r>
              <w:t>2</w:t>
            </w:r>
          </w:p>
        </w:tc>
        <w:tc>
          <w:tcPr>
            <w:tcW w:w="2381" w:type="dxa"/>
            <w:vAlign w:val="center"/>
          </w:tcPr>
          <w:p w14:paraId="24A24272">
            <w:pPr>
              <w:pStyle w:val="11"/>
            </w:pPr>
            <w:r>
              <w:t>3</w:t>
            </w:r>
          </w:p>
        </w:tc>
        <w:tc>
          <w:tcPr>
            <w:tcW w:w="2381" w:type="dxa"/>
            <w:vAlign w:val="center"/>
          </w:tcPr>
          <w:p w14:paraId="47A8A989">
            <w:pPr>
              <w:pStyle w:val="11"/>
            </w:pPr>
            <w:r>
              <w:t>4</w:t>
            </w:r>
          </w:p>
        </w:tc>
        <w:tc>
          <w:tcPr>
            <w:tcW w:w="2381" w:type="dxa"/>
            <w:vAlign w:val="center"/>
          </w:tcPr>
          <w:p w14:paraId="274FDAF6">
            <w:pPr>
              <w:pStyle w:val="11"/>
            </w:pPr>
            <w:r>
              <w:t>5</w:t>
            </w:r>
          </w:p>
        </w:tc>
      </w:tr>
      <w:tr w14:paraId="6190E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146E94">
            <w:pPr>
              <w:pStyle w:val="12"/>
            </w:pPr>
          </w:p>
        </w:tc>
        <w:tc>
          <w:tcPr>
            <w:tcW w:w="3798" w:type="dxa"/>
            <w:vAlign w:val="center"/>
          </w:tcPr>
          <w:p w14:paraId="1F088DC0">
            <w:pPr>
              <w:pStyle w:val="13"/>
            </w:pPr>
          </w:p>
        </w:tc>
        <w:tc>
          <w:tcPr>
            <w:tcW w:w="2381" w:type="dxa"/>
            <w:vAlign w:val="center"/>
          </w:tcPr>
          <w:p w14:paraId="072C2167">
            <w:pPr>
              <w:pStyle w:val="14"/>
            </w:pPr>
          </w:p>
        </w:tc>
        <w:tc>
          <w:tcPr>
            <w:tcW w:w="2381" w:type="dxa"/>
            <w:vAlign w:val="center"/>
          </w:tcPr>
          <w:p w14:paraId="7D880810">
            <w:pPr>
              <w:pStyle w:val="14"/>
            </w:pPr>
          </w:p>
        </w:tc>
        <w:tc>
          <w:tcPr>
            <w:tcW w:w="2381" w:type="dxa"/>
            <w:vAlign w:val="center"/>
          </w:tcPr>
          <w:p w14:paraId="0079F294">
            <w:pPr>
              <w:pStyle w:val="14"/>
            </w:pPr>
          </w:p>
        </w:tc>
        <w:tc>
          <w:tcPr>
            <w:tcW w:w="2381" w:type="dxa"/>
            <w:vAlign w:val="center"/>
          </w:tcPr>
          <w:p w14:paraId="1062AE5C">
            <w:pPr>
              <w:pStyle w:val="14"/>
            </w:pPr>
          </w:p>
        </w:tc>
      </w:tr>
    </w:tbl>
    <w:p w14:paraId="1C34C89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B75A5EE">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隆尧县东良中学2025年单位预算信息公开情况说明</w:t>
      </w:r>
    </w:p>
    <w:p w14:paraId="3830816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按照《中华人民共和国预算法》、《地方预决算公开操作规程》和《关于进一步推进预算公开工作的实施意见》规定，现将隆尧县东良中学2025年单位预算公开如下：</w:t>
      </w:r>
    </w:p>
    <w:p w14:paraId="4881B432">
      <w:pPr>
        <w:spacing w:before="10" w:after="10" w:line="240" w:lineRule="auto"/>
        <w:ind w:firstLine="640"/>
        <w:jc w:val="left"/>
        <w:outlineLvl w:val="5"/>
      </w:pPr>
      <w:r>
        <w:rPr>
          <w:rFonts w:ascii="黑体" w:hAnsi="黑体" w:eastAsia="黑体" w:cs="黑体"/>
          <w:color w:val="000000"/>
          <w:sz w:val="32"/>
        </w:rPr>
        <w:t>一、单位职责及机构设置情况</w:t>
      </w:r>
    </w:p>
    <w:p w14:paraId="45C8AA4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022EFB8">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2E3858F6">
      <w:pPr>
        <w:pStyle w:val="18"/>
      </w:pPr>
      <w:r>
        <w:t>隆尧县东良中学事业编制74名．其中，校长1名（正股级），副校长3名（副股级）；经费形式为财政性资金基本保证。</w:t>
      </w:r>
    </w:p>
    <w:p w14:paraId="4BA04DD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49534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C027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756725">
            <w:pPr>
              <w:pStyle w:val="11"/>
            </w:pPr>
            <w:r>
              <w:t>单位名称</w:t>
            </w:r>
          </w:p>
        </w:tc>
        <w:tc>
          <w:tcPr>
            <w:tcW w:w="1843" w:type="dxa"/>
            <w:vAlign w:val="center"/>
          </w:tcPr>
          <w:p w14:paraId="136A57C8">
            <w:pPr>
              <w:pStyle w:val="11"/>
            </w:pPr>
            <w:r>
              <w:t>单位性质</w:t>
            </w:r>
          </w:p>
        </w:tc>
        <w:tc>
          <w:tcPr>
            <w:tcW w:w="2126" w:type="dxa"/>
            <w:vAlign w:val="center"/>
          </w:tcPr>
          <w:p w14:paraId="7551F736">
            <w:pPr>
              <w:pStyle w:val="11"/>
            </w:pPr>
            <w:r>
              <w:t>单位规格</w:t>
            </w:r>
          </w:p>
        </w:tc>
        <w:tc>
          <w:tcPr>
            <w:tcW w:w="3827" w:type="dxa"/>
            <w:vAlign w:val="center"/>
          </w:tcPr>
          <w:p w14:paraId="54D9FE5E">
            <w:pPr>
              <w:pStyle w:val="11"/>
            </w:pPr>
            <w:r>
              <w:t>经费保障形式</w:t>
            </w:r>
          </w:p>
        </w:tc>
      </w:tr>
      <w:tr w14:paraId="52F57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A77DA06">
            <w:pPr>
              <w:pStyle w:val="13"/>
            </w:pPr>
            <w:r>
              <w:t>隆尧县东良中学</w:t>
            </w:r>
          </w:p>
        </w:tc>
        <w:tc>
          <w:tcPr>
            <w:tcW w:w="1843" w:type="dxa"/>
            <w:vAlign w:val="center"/>
          </w:tcPr>
          <w:p w14:paraId="3B45C690">
            <w:pPr>
              <w:pStyle w:val="12"/>
            </w:pPr>
            <w:r>
              <w:t>事业</w:t>
            </w:r>
          </w:p>
        </w:tc>
        <w:tc>
          <w:tcPr>
            <w:tcW w:w="2126" w:type="dxa"/>
            <w:vAlign w:val="center"/>
          </w:tcPr>
          <w:p w14:paraId="2A90524D">
            <w:pPr>
              <w:pStyle w:val="12"/>
            </w:pPr>
            <w:r>
              <w:t>股级</w:t>
            </w:r>
          </w:p>
        </w:tc>
        <w:tc>
          <w:tcPr>
            <w:tcW w:w="3827" w:type="dxa"/>
            <w:vAlign w:val="center"/>
          </w:tcPr>
          <w:p w14:paraId="0615D8AE">
            <w:pPr>
              <w:pStyle w:val="12"/>
            </w:pPr>
            <w:r>
              <w:t>财政性资金基本保证</w:t>
            </w:r>
          </w:p>
        </w:tc>
      </w:tr>
    </w:tbl>
    <w:p w14:paraId="2302488C">
      <w:pPr>
        <w:spacing w:before="10" w:after="10" w:line="240" w:lineRule="auto"/>
        <w:ind w:firstLine="640"/>
        <w:jc w:val="left"/>
        <w:outlineLvl w:val="5"/>
      </w:pPr>
      <w:r>
        <w:rPr>
          <w:rFonts w:ascii="黑体" w:hAnsi="黑体" w:eastAsia="黑体" w:cs="黑体"/>
          <w:color w:val="000000"/>
          <w:sz w:val="32"/>
        </w:rPr>
        <w:t>二、单位预算安排的总体情况</w:t>
      </w:r>
    </w:p>
    <w:p w14:paraId="7AD17734">
      <w:pPr>
        <w:pStyle w:val="19"/>
      </w:pPr>
      <w:r>
        <w:t>按照预算管理有关规定，目前我校单位预算的编制实行综合预算管理，即全部收入和支出都反映的预算中。隆尧县东良中学收支包含在单位预算中。</w:t>
      </w:r>
    </w:p>
    <w:p w14:paraId="70C39FF4">
      <w:pPr>
        <w:pStyle w:val="19"/>
      </w:pPr>
      <w:r>
        <w:t>1、收入说明</w:t>
      </w:r>
    </w:p>
    <w:p w14:paraId="455B13B7">
      <w:pPr>
        <w:pStyle w:val="19"/>
      </w:pPr>
      <w:r>
        <w:t>反映本单位当年全部收入。2025年预算收入1342.51万元，其中：一般公共预算收入1342.51万元，基金预算收入0万元，财政专户管理资金收入0万元，单位资金收入0万元，上年结转结余0万元。</w:t>
      </w:r>
    </w:p>
    <w:p w14:paraId="7BE58CF9">
      <w:pPr>
        <w:pStyle w:val="19"/>
      </w:pPr>
      <w:r>
        <w:t>2、支出说明</w:t>
      </w:r>
    </w:p>
    <w:p w14:paraId="6517DE2A">
      <w:pPr>
        <w:pStyle w:val="19"/>
      </w:pPr>
      <w:r>
        <w:t>收支预算总表支出栏、基本支出表、项目支出表按经济分类和支出功能分类科目编制，反映隆尧县东良中学年度单位预算中支出预算的总体情况。2025年单位支出预算为1342.51万元，其中基本支出980.49万元、项目支出362.02万元。主要为初中教育980.49万元。</w:t>
      </w:r>
    </w:p>
    <w:p w14:paraId="182A69DF">
      <w:pPr>
        <w:pStyle w:val="19"/>
      </w:pPr>
      <w:r>
        <w:t>3、比上年增减情况</w:t>
      </w:r>
    </w:p>
    <w:p w14:paraId="399B2CC5">
      <w:pPr>
        <w:pStyle w:val="19"/>
      </w:pPr>
      <w:r>
        <w:t>2025年部门预算收支安排1342.51万元，比上年增长293.27万元。</w:t>
      </w:r>
    </w:p>
    <w:p w14:paraId="602EA669">
      <w:pPr>
        <w:spacing w:before="10" w:after="10" w:line="240" w:lineRule="auto"/>
        <w:ind w:firstLine="640"/>
        <w:jc w:val="left"/>
        <w:outlineLvl w:val="5"/>
      </w:pPr>
      <w:r>
        <w:rPr>
          <w:rFonts w:ascii="黑体" w:hAnsi="黑体" w:eastAsia="黑体" w:cs="黑体"/>
          <w:color w:val="000000"/>
          <w:sz w:val="32"/>
        </w:rPr>
        <w:t>三、机关运行经费安排情况</w:t>
      </w:r>
    </w:p>
    <w:p w14:paraId="170FB2FE">
      <w:pPr>
        <w:pStyle w:val="20"/>
      </w:pPr>
      <w:r>
        <w:t>2025年，我单位按学生安排公用经费，无机关运行经费</w:t>
      </w:r>
    </w:p>
    <w:p w14:paraId="2C77848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D97A8F">
      <w:pPr>
        <w:pStyle w:val="21"/>
      </w:pPr>
      <w:r>
        <w:t>2025年，未安排三公经费。</w:t>
      </w:r>
    </w:p>
    <w:p w14:paraId="63D2F1B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C00062F">
      <w:pPr>
        <w:spacing w:before="0" w:after="0"/>
        <w:ind w:firstLine="560"/>
        <w:jc w:val="left"/>
        <w:outlineLvl w:val="9"/>
      </w:pPr>
      <w:r>
        <w:rPr>
          <w:rFonts w:ascii="方正仿宋_GBK" w:hAnsi="方正仿宋_GBK" w:eastAsia="方正仿宋_GBK" w:cs="方正仿宋_GBK"/>
          <w:b/>
          <w:color w:val="000000"/>
          <w:sz w:val="28"/>
        </w:rPr>
        <w:t>1、冀财教[2024]122号/中央/2025年薄改与提升/东良中学操场改造绩效目标表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0C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03507">
            <w:pPr>
              <w:pStyle w:val="14"/>
            </w:pPr>
            <w:r>
              <w:t>单位：万元</w:t>
            </w:r>
          </w:p>
        </w:tc>
      </w:tr>
      <w:tr w14:paraId="2BEF9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EA038F">
            <w:pPr>
              <w:pStyle w:val="11"/>
            </w:pPr>
            <w:r>
              <w:t>项目编码</w:t>
            </w:r>
          </w:p>
        </w:tc>
        <w:tc>
          <w:tcPr>
            <w:tcW w:w="5103" w:type="dxa"/>
            <w:gridSpan w:val="2"/>
            <w:vAlign w:val="center"/>
          </w:tcPr>
          <w:p w14:paraId="777A88C7">
            <w:pPr>
              <w:pStyle w:val="13"/>
            </w:pPr>
            <w:r>
              <w:t>13052525P00877010003H</w:t>
            </w:r>
          </w:p>
        </w:tc>
        <w:tc>
          <w:tcPr>
            <w:tcW w:w="2835" w:type="dxa"/>
            <w:vAlign w:val="center"/>
          </w:tcPr>
          <w:p w14:paraId="2E4DE725">
            <w:pPr>
              <w:pStyle w:val="11"/>
            </w:pPr>
            <w:r>
              <w:t>项目名称</w:t>
            </w:r>
          </w:p>
        </w:tc>
        <w:tc>
          <w:tcPr>
            <w:tcW w:w="6095" w:type="dxa"/>
            <w:gridSpan w:val="3"/>
            <w:vAlign w:val="center"/>
          </w:tcPr>
          <w:p w14:paraId="45417DE7">
            <w:pPr>
              <w:pStyle w:val="13"/>
            </w:pPr>
            <w:r>
              <w:t>冀财教[2024]122号/中央/2025年薄改与提升/东良中学操场改造</w:t>
            </w:r>
          </w:p>
        </w:tc>
      </w:tr>
      <w:tr w14:paraId="2E51E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726FD">
            <w:pPr>
              <w:pStyle w:val="11"/>
            </w:pPr>
            <w:r>
              <w:t>预算规模及资金用途</w:t>
            </w:r>
          </w:p>
        </w:tc>
        <w:tc>
          <w:tcPr>
            <w:tcW w:w="2268" w:type="dxa"/>
            <w:vAlign w:val="center"/>
          </w:tcPr>
          <w:p w14:paraId="121247E5">
            <w:pPr>
              <w:pStyle w:val="11"/>
            </w:pPr>
            <w:r>
              <w:t>预算数</w:t>
            </w:r>
          </w:p>
        </w:tc>
        <w:tc>
          <w:tcPr>
            <w:tcW w:w="2835" w:type="dxa"/>
            <w:vAlign w:val="center"/>
          </w:tcPr>
          <w:p w14:paraId="626967ED">
            <w:pPr>
              <w:pStyle w:val="13"/>
            </w:pPr>
            <w:r>
              <w:t>186.00</w:t>
            </w:r>
          </w:p>
        </w:tc>
        <w:tc>
          <w:tcPr>
            <w:tcW w:w="2835" w:type="dxa"/>
            <w:vAlign w:val="center"/>
          </w:tcPr>
          <w:p w14:paraId="548C14D6">
            <w:pPr>
              <w:pStyle w:val="11"/>
            </w:pPr>
            <w:r>
              <w:t>其中：财政    资金</w:t>
            </w:r>
          </w:p>
        </w:tc>
        <w:tc>
          <w:tcPr>
            <w:tcW w:w="2551" w:type="dxa"/>
            <w:vAlign w:val="center"/>
          </w:tcPr>
          <w:p w14:paraId="36ED7C85">
            <w:pPr>
              <w:pStyle w:val="13"/>
            </w:pPr>
            <w:r>
              <w:t>186.00</w:t>
            </w:r>
          </w:p>
        </w:tc>
        <w:tc>
          <w:tcPr>
            <w:tcW w:w="2268" w:type="dxa"/>
            <w:vAlign w:val="center"/>
          </w:tcPr>
          <w:p w14:paraId="24625161">
            <w:pPr>
              <w:pStyle w:val="11"/>
            </w:pPr>
            <w:r>
              <w:t>其他资金</w:t>
            </w:r>
          </w:p>
        </w:tc>
        <w:tc>
          <w:tcPr>
            <w:tcW w:w="1276" w:type="dxa"/>
            <w:vAlign w:val="center"/>
          </w:tcPr>
          <w:p w14:paraId="08A2DFB7">
            <w:pPr>
              <w:pStyle w:val="13"/>
            </w:pPr>
            <w:r>
              <w:t xml:space="preserve"> </w:t>
            </w:r>
          </w:p>
        </w:tc>
      </w:tr>
      <w:tr w14:paraId="61A53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AE9B99"/>
        </w:tc>
        <w:tc>
          <w:tcPr>
            <w:tcW w:w="14033" w:type="dxa"/>
            <w:gridSpan w:val="6"/>
            <w:vAlign w:val="center"/>
          </w:tcPr>
          <w:p w14:paraId="5F669685">
            <w:pPr>
              <w:pStyle w:val="13"/>
            </w:pPr>
            <w:r>
              <w:t>"改善义务教育办学条件，进一步提升教育教学办学质量。</w:t>
            </w:r>
            <w:r>
              <w:tab/>
            </w:r>
            <w:r>
              <w:tab/>
            </w:r>
            <w:r>
              <w:tab/>
            </w:r>
            <w:r>
              <w:tab/>
            </w:r>
            <w:r>
              <w:tab/>
            </w:r>
            <w:r>
              <w:tab/>
            </w:r>
            <w:r>
              <w:tab/>
            </w:r>
            <w:r>
              <w:tab/>
            </w:r>
            <w:r>
              <w:tab/>
            </w:r>
            <w:r>
              <w:tab/>
            </w:r>
            <w:r>
              <w:tab/>
            </w:r>
            <w:r>
              <w:tab/>
            </w:r>
            <w:r>
              <w:tab/>
            </w:r>
            <w:r>
              <w:tab/>
            </w:r>
            <w:r>
              <w:tab/>
            </w:r>
            <w:r>
              <w:tab/>
            </w:r>
            <w:r>
              <w:tab/>
            </w:r>
            <w:r>
              <w:tab/>
            </w:r>
            <w:r>
              <w:tab/>
            </w:r>
          </w:p>
        </w:tc>
      </w:tr>
      <w:tr w14:paraId="6E695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44F42">
            <w:pPr>
              <w:pStyle w:val="11"/>
            </w:pPr>
            <w:r>
              <w:t>资金支出计划（%）</w:t>
            </w:r>
          </w:p>
        </w:tc>
        <w:tc>
          <w:tcPr>
            <w:tcW w:w="5103" w:type="dxa"/>
            <w:gridSpan w:val="2"/>
            <w:vAlign w:val="center"/>
          </w:tcPr>
          <w:p w14:paraId="50AF962A">
            <w:pPr>
              <w:pStyle w:val="11"/>
            </w:pPr>
            <w:r>
              <w:t>3月底</w:t>
            </w:r>
          </w:p>
        </w:tc>
        <w:tc>
          <w:tcPr>
            <w:tcW w:w="2835" w:type="dxa"/>
            <w:vAlign w:val="center"/>
          </w:tcPr>
          <w:p w14:paraId="0DBA1082">
            <w:pPr>
              <w:pStyle w:val="11"/>
            </w:pPr>
            <w:r>
              <w:t>6月底</w:t>
            </w:r>
          </w:p>
        </w:tc>
        <w:tc>
          <w:tcPr>
            <w:tcW w:w="2551" w:type="dxa"/>
            <w:vAlign w:val="center"/>
          </w:tcPr>
          <w:p w14:paraId="29023DBE">
            <w:pPr>
              <w:pStyle w:val="11"/>
            </w:pPr>
            <w:r>
              <w:t>10月底</w:t>
            </w:r>
          </w:p>
        </w:tc>
        <w:tc>
          <w:tcPr>
            <w:tcW w:w="3544" w:type="dxa"/>
            <w:gridSpan w:val="2"/>
            <w:vAlign w:val="center"/>
          </w:tcPr>
          <w:p w14:paraId="67D9FA65">
            <w:pPr>
              <w:pStyle w:val="11"/>
            </w:pPr>
            <w:r>
              <w:t>12月底</w:t>
            </w:r>
          </w:p>
        </w:tc>
      </w:tr>
      <w:tr w14:paraId="55717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248F40"/>
        </w:tc>
        <w:tc>
          <w:tcPr>
            <w:tcW w:w="5103" w:type="dxa"/>
            <w:gridSpan w:val="2"/>
            <w:vAlign w:val="center"/>
          </w:tcPr>
          <w:p w14:paraId="3B72C74F">
            <w:pPr>
              <w:pStyle w:val="12"/>
            </w:pPr>
            <w:r>
              <w:t xml:space="preserve"> </w:t>
            </w:r>
          </w:p>
        </w:tc>
        <w:tc>
          <w:tcPr>
            <w:tcW w:w="2835" w:type="dxa"/>
            <w:vAlign w:val="center"/>
          </w:tcPr>
          <w:p w14:paraId="605843DD">
            <w:pPr>
              <w:pStyle w:val="12"/>
            </w:pPr>
            <w:r>
              <w:t>30%</w:t>
            </w:r>
          </w:p>
        </w:tc>
        <w:tc>
          <w:tcPr>
            <w:tcW w:w="2551" w:type="dxa"/>
            <w:vAlign w:val="center"/>
          </w:tcPr>
          <w:p w14:paraId="36C7EDC5">
            <w:pPr>
              <w:pStyle w:val="12"/>
            </w:pPr>
            <w:r>
              <w:t>80%</w:t>
            </w:r>
          </w:p>
        </w:tc>
        <w:tc>
          <w:tcPr>
            <w:tcW w:w="3544" w:type="dxa"/>
            <w:gridSpan w:val="2"/>
            <w:vAlign w:val="center"/>
          </w:tcPr>
          <w:p w14:paraId="4F4B594F">
            <w:pPr>
              <w:pStyle w:val="12"/>
            </w:pPr>
            <w:r>
              <w:t>100%</w:t>
            </w:r>
          </w:p>
        </w:tc>
      </w:tr>
      <w:tr w14:paraId="75FB6B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B0826">
            <w:pPr>
              <w:pStyle w:val="11"/>
            </w:pPr>
            <w:r>
              <w:t>绩效目标</w:t>
            </w:r>
          </w:p>
        </w:tc>
        <w:tc>
          <w:tcPr>
            <w:tcW w:w="14033" w:type="dxa"/>
            <w:gridSpan w:val="6"/>
            <w:vAlign w:val="center"/>
          </w:tcPr>
          <w:p w14:paraId="4FBD7B9C">
            <w:pPr>
              <w:pStyle w:val="13"/>
            </w:pPr>
            <w:r>
              <w:t>1.东良中学操场改造项目资金1860000元，资金拨付率达100%。</w:t>
            </w:r>
            <w:r>
              <w:tab/>
            </w:r>
            <w:r>
              <w:tab/>
            </w:r>
            <w:r>
              <w:tab/>
            </w:r>
            <w:r>
              <w:tab/>
            </w:r>
            <w:r>
              <w:tab/>
            </w:r>
            <w:r>
              <w:tab/>
            </w:r>
            <w:r>
              <w:tab/>
            </w:r>
            <w:r>
              <w:tab/>
            </w:r>
          </w:p>
          <w:p w14:paraId="415B59D0">
            <w:pPr>
              <w:pStyle w:val="13"/>
            </w:pPr>
            <w:r>
              <w:t>2.改善义务教育办学条件，进一步提升教育教学办学质量。</w:t>
            </w:r>
            <w:r>
              <w:tab/>
            </w:r>
            <w:r>
              <w:tab/>
            </w:r>
            <w:r>
              <w:tab/>
            </w:r>
            <w:r>
              <w:tab/>
            </w:r>
            <w:r>
              <w:tab/>
            </w:r>
            <w:r>
              <w:tab/>
            </w:r>
            <w:r>
              <w:tab/>
            </w:r>
            <w:r>
              <w:tab/>
            </w:r>
            <w:r>
              <w:tab/>
            </w:r>
            <w:r>
              <w:tab/>
            </w:r>
            <w:r>
              <w:tab/>
            </w:r>
            <w:r>
              <w:tab/>
            </w:r>
            <w:r>
              <w:tab/>
            </w:r>
            <w:r>
              <w:tab/>
            </w:r>
            <w:r>
              <w:tab/>
            </w:r>
          </w:p>
        </w:tc>
      </w:tr>
    </w:tbl>
    <w:p w14:paraId="6E858B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2D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B1507">
            <w:pPr>
              <w:pStyle w:val="11"/>
            </w:pPr>
            <w:r>
              <w:t>一级指标</w:t>
            </w:r>
          </w:p>
        </w:tc>
        <w:tc>
          <w:tcPr>
            <w:tcW w:w="2268" w:type="dxa"/>
            <w:vAlign w:val="center"/>
          </w:tcPr>
          <w:p w14:paraId="478B680B">
            <w:pPr>
              <w:pStyle w:val="11"/>
            </w:pPr>
            <w:r>
              <w:t>二级指标</w:t>
            </w:r>
          </w:p>
        </w:tc>
        <w:tc>
          <w:tcPr>
            <w:tcW w:w="2835" w:type="dxa"/>
            <w:vAlign w:val="center"/>
          </w:tcPr>
          <w:p w14:paraId="796B42C3">
            <w:pPr>
              <w:pStyle w:val="11"/>
            </w:pPr>
            <w:r>
              <w:t>三级指标</w:t>
            </w:r>
          </w:p>
        </w:tc>
        <w:tc>
          <w:tcPr>
            <w:tcW w:w="5386" w:type="dxa"/>
            <w:vAlign w:val="center"/>
          </w:tcPr>
          <w:p w14:paraId="56BF3972">
            <w:pPr>
              <w:pStyle w:val="11"/>
            </w:pPr>
            <w:r>
              <w:t>绩效指标描述</w:t>
            </w:r>
          </w:p>
        </w:tc>
        <w:tc>
          <w:tcPr>
            <w:tcW w:w="2268" w:type="dxa"/>
            <w:vAlign w:val="center"/>
          </w:tcPr>
          <w:p w14:paraId="63142C1E">
            <w:pPr>
              <w:pStyle w:val="11"/>
            </w:pPr>
            <w:r>
              <w:t>指标值</w:t>
            </w:r>
          </w:p>
        </w:tc>
        <w:tc>
          <w:tcPr>
            <w:tcW w:w="1276" w:type="dxa"/>
            <w:vAlign w:val="center"/>
          </w:tcPr>
          <w:p w14:paraId="03019984">
            <w:pPr>
              <w:pStyle w:val="11"/>
            </w:pPr>
            <w:r>
              <w:t>指标值确定依据</w:t>
            </w:r>
          </w:p>
        </w:tc>
      </w:tr>
      <w:tr w14:paraId="4710D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37B0F">
            <w:pPr>
              <w:pStyle w:val="12"/>
            </w:pPr>
            <w:r>
              <w:t>产出指标</w:t>
            </w:r>
          </w:p>
        </w:tc>
        <w:tc>
          <w:tcPr>
            <w:tcW w:w="2268" w:type="dxa"/>
            <w:vAlign w:val="center"/>
          </w:tcPr>
          <w:p w14:paraId="39B6477A">
            <w:pPr>
              <w:pStyle w:val="13"/>
            </w:pPr>
            <w:r>
              <w:t>数量指标</w:t>
            </w:r>
          </w:p>
        </w:tc>
        <w:tc>
          <w:tcPr>
            <w:tcW w:w="2835" w:type="dxa"/>
            <w:vAlign w:val="center"/>
          </w:tcPr>
          <w:p w14:paraId="1D974746">
            <w:pPr>
              <w:pStyle w:val="13"/>
            </w:pPr>
            <w:r>
              <w:t>塑胶操场改造</w:t>
            </w:r>
          </w:p>
        </w:tc>
        <w:tc>
          <w:tcPr>
            <w:tcW w:w="5386" w:type="dxa"/>
            <w:vAlign w:val="center"/>
          </w:tcPr>
          <w:p w14:paraId="3A247D39">
            <w:pPr>
              <w:pStyle w:val="13"/>
            </w:pPr>
            <w:r>
              <w:t>对学校操场进行铺设塑胶跑道面积</w:t>
            </w:r>
          </w:p>
        </w:tc>
        <w:tc>
          <w:tcPr>
            <w:tcW w:w="2268" w:type="dxa"/>
            <w:vAlign w:val="center"/>
          </w:tcPr>
          <w:p w14:paraId="11ABD618">
            <w:pPr>
              <w:pStyle w:val="13"/>
            </w:pPr>
            <w:r>
              <w:t>12444平方米</w:t>
            </w:r>
          </w:p>
        </w:tc>
        <w:tc>
          <w:tcPr>
            <w:tcW w:w="1276" w:type="dxa"/>
            <w:vAlign w:val="center"/>
          </w:tcPr>
          <w:p w14:paraId="36BEAC1F">
            <w:pPr>
              <w:pStyle w:val="13"/>
            </w:pPr>
            <w:r>
              <w:t>项目规划</w:t>
            </w:r>
          </w:p>
        </w:tc>
      </w:tr>
      <w:tr w14:paraId="02AAC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723D4"/>
        </w:tc>
        <w:tc>
          <w:tcPr>
            <w:tcW w:w="2268" w:type="dxa"/>
            <w:vAlign w:val="center"/>
          </w:tcPr>
          <w:p w14:paraId="1A76C4A2">
            <w:pPr>
              <w:pStyle w:val="13"/>
            </w:pPr>
            <w:r>
              <w:t>质量指标</w:t>
            </w:r>
          </w:p>
        </w:tc>
        <w:tc>
          <w:tcPr>
            <w:tcW w:w="2835" w:type="dxa"/>
            <w:vAlign w:val="center"/>
          </w:tcPr>
          <w:p w14:paraId="23BAB618">
            <w:pPr>
              <w:pStyle w:val="13"/>
            </w:pPr>
            <w:r>
              <w:t>工程实施验收合格率</w:t>
            </w:r>
          </w:p>
        </w:tc>
        <w:tc>
          <w:tcPr>
            <w:tcW w:w="5386" w:type="dxa"/>
            <w:vAlign w:val="center"/>
          </w:tcPr>
          <w:p w14:paraId="55545029">
            <w:pPr>
              <w:pStyle w:val="13"/>
            </w:pPr>
            <w:r>
              <w:t>申报程序的合规，项目实施及资金使用符合项目规划</w:t>
            </w:r>
          </w:p>
        </w:tc>
        <w:tc>
          <w:tcPr>
            <w:tcW w:w="2268" w:type="dxa"/>
            <w:vAlign w:val="center"/>
          </w:tcPr>
          <w:p w14:paraId="7237792E">
            <w:pPr>
              <w:pStyle w:val="13"/>
            </w:pPr>
            <w:r>
              <w:t>100%</w:t>
            </w:r>
          </w:p>
        </w:tc>
        <w:tc>
          <w:tcPr>
            <w:tcW w:w="1276" w:type="dxa"/>
            <w:vAlign w:val="center"/>
          </w:tcPr>
          <w:p w14:paraId="222470D3">
            <w:pPr>
              <w:pStyle w:val="13"/>
            </w:pPr>
            <w:r>
              <w:t>项目规划</w:t>
            </w:r>
          </w:p>
        </w:tc>
      </w:tr>
      <w:tr w14:paraId="4C5A2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76D9"/>
        </w:tc>
        <w:tc>
          <w:tcPr>
            <w:tcW w:w="2268" w:type="dxa"/>
            <w:vAlign w:val="center"/>
          </w:tcPr>
          <w:p w14:paraId="507E18DA">
            <w:pPr>
              <w:pStyle w:val="13"/>
            </w:pPr>
            <w:r>
              <w:t>时效指标</w:t>
            </w:r>
          </w:p>
        </w:tc>
        <w:tc>
          <w:tcPr>
            <w:tcW w:w="2835" w:type="dxa"/>
            <w:vAlign w:val="center"/>
          </w:tcPr>
          <w:p w14:paraId="2990A34C">
            <w:pPr>
              <w:pStyle w:val="13"/>
            </w:pPr>
            <w:r>
              <w:t>资金支付率</w:t>
            </w:r>
          </w:p>
        </w:tc>
        <w:tc>
          <w:tcPr>
            <w:tcW w:w="5386" w:type="dxa"/>
            <w:vAlign w:val="center"/>
          </w:tcPr>
          <w:p w14:paraId="539149D2">
            <w:pPr>
              <w:pStyle w:val="13"/>
            </w:pPr>
            <w:r>
              <w:t>按照序时进度完成资金支付</w:t>
            </w:r>
          </w:p>
        </w:tc>
        <w:tc>
          <w:tcPr>
            <w:tcW w:w="2268" w:type="dxa"/>
            <w:vAlign w:val="center"/>
          </w:tcPr>
          <w:p w14:paraId="52EF307E">
            <w:pPr>
              <w:pStyle w:val="13"/>
            </w:pPr>
            <w:r>
              <w:t>100%</w:t>
            </w:r>
          </w:p>
        </w:tc>
        <w:tc>
          <w:tcPr>
            <w:tcW w:w="1276" w:type="dxa"/>
            <w:vAlign w:val="center"/>
          </w:tcPr>
          <w:p w14:paraId="473093F8">
            <w:pPr>
              <w:pStyle w:val="13"/>
            </w:pPr>
            <w:r>
              <w:t>项目规划</w:t>
            </w:r>
          </w:p>
        </w:tc>
      </w:tr>
      <w:tr w14:paraId="7AA31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3AA5B"/>
        </w:tc>
        <w:tc>
          <w:tcPr>
            <w:tcW w:w="2268" w:type="dxa"/>
            <w:vAlign w:val="center"/>
          </w:tcPr>
          <w:p w14:paraId="348F3ED8">
            <w:pPr>
              <w:pStyle w:val="13"/>
            </w:pPr>
            <w:r>
              <w:t>成本指标</w:t>
            </w:r>
          </w:p>
        </w:tc>
        <w:tc>
          <w:tcPr>
            <w:tcW w:w="2835" w:type="dxa"/>
            <w:vAlign w:val="center"/>
          </w:tcPr>
          <w:p w14:paraId="76B0E0B7">
            <w:pPr>
              <w:pStyle w:val="13"/>
            </w:pPr>
            <w:r>
              <w:t>项目成本控制情况</w:t>
            </w:r>
          </w:p>
        </w:tc>
        <w:tc>
          <w:tcPr>
            <w:tcW w:w="5386" w:type="dxa"/>
            <w:vAlign w:val="center"/>
          </w:tcPr>
          <w:p w14:paraId="6EC50568">
            <w:pPr>
              <w:pStyle w:val="13"/>
            </w:pPr>
            <w:r>
              <w:t>严格按照招标价格及审计额进行</w:t>
            </w:r>
          </w:p>
        </w:tc>
        <w:tc>
          <w:tcPr>
            <w:tcW w:w="2268" w:type="dxa"/>
            <w:vAlign w:val="center"/>
          </w:tcPr>
          <w:p w14:paraId="61B02D80">
            <w:pPr>
              <w:pStyle w:val="13"/>
            </w:pPr>
            <w:r>
              <w:t>≤100%</w:t>
            </w:r>
          </w:p>
        </w:tc>
        <w:tc>
          <w:tcPr>
            <w:tcW w:w="1276" w:type="dxa"/>
            <w:vAlign w:val="center"/>
          </w:tcPr>
          <w:p w14:paraId="0D54D006">
            <w:pPr>
              <w:pStyle w:val="13"/>
            </w:pPr>
            <w:r>
              <w:t>项目规划</w:t>
            </w:r>
          </w:p>
        </w:tc>
      </w:tr>
      <w:tr w14:paraId="24CB1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852470">
            <w:pPr>
              <w:pStyle w:val="12"/>
            </w:pPr>
            <w:r>
              <w:t>效益指标</w:t>
            </w:r>
          </w:p>
        </w:tc>
        <w:tc>
          <w:tcPr>
            <w:tcW w:w="2268" w:type="dxa"/>
            <w:vAlign w:val="center"/>
          </w:tcPr>
          <w:p w14:paraId="57A6567E">
            <w:pPr>
              <w:pStyle w:val="13"/>
            </w:pPr>
            <w:r>
              <w:t>社会效益指标</w:t>
            </w:r>
          </w:p>
        </w:tc>
        <w:tc>
          <w:tcPr>
            <w:tcW w:w="2835" w:type="dxa"/>
            <w:vAlign w:val="center"/>
          </w:tcPr>
          <w:p w14:paraId="08FFEED6">
            <w:pPr>
              <w:pStyle w:val="13"/>
            </w:pPr>
            <w:r>
              <w:t>项目实施成果</w:t>
            </w:r>
          </w:p>
        </w:tc>
        <w:tc>
          <w:tcPr>
            <w:tcW w:w="5386" w:type="dxa"/>
            <w:vAlign w:val="center"/>
          </w:tcPr>
          <w:p w14:paraId="34D5CBA7">
            <w:pPr>
              <w:pStyle w:val="13"/>
            </w:pPr>
            <w:r>
              <w:t>改善我校办学环境，提升办学条件</w:t>
            </w:r>
          </w:p>
        </w:tc>
        <w:tc>
          <w:tcPr>
            <w:tcW w:w="2268" w:type="dxa"/>
            <w:vAlign w:val="center"/>
          </w:tcPr>
          <w:p w14:paraId="551A7355">
            <w:pPr>
              <w:pStyle w:val="13"/>
            </w:pPr>
            <w:r>
              <w:t>≥50%</w:t>
            </w:r>
          </w:p>
        </w:tc>
        <w:tc>
          <w:tcPr>
            <w:tcW w:w="1276" w:type="dxa"/>
            <w:vAlign w:val="center"/>
          </w:tcPr>
          <w:p w14:paraId="51B8C6C7">
            <w:pPr>
              <w:pStyle w:val="13"/>
            </w:pPr>
            <w:r>
              <w:t>项目规划</w:t>
            </w:r>
          </w:p>
        </w:tc>
      </w:tr>
      <w:tr w14:paraId="2043D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9680B1">
            <w:pPr>
              <w:pStyle w:val="12"/>
            </w:pPr>
            <w:r>
              <w:t>满意度指标</w:t>
            </w:r>
          </w:p>
        </w:tc>
        <w:tc>
          <w:tcPr>
            <w:tcW w:w="2268" w:type="dxa"/>
            <w:vAlign w:val="center"/>
          </w:tcPr>
          <w:p w14:paraId="787B3370">
            <w:pPr>
              <w:pStyle w:val="13"/>
            </w:pPr>
            <w:r>
              <w:t>服务对象满意度指标</w:t>
            </w:r>
          </w:p>
        </w:tc>
        <w:tc>
          <w:tcPr>
            <w:tcW w:w="2835" w:type="dxa"/>
            <w:vAlign w:val="center"/>
          </w:tcPr>
          <w:p w14:paraId="4FABCA21">
            <w:pPr>
              <w:pStyle w:val="13"/>
            </w:pPr>
            <w:r>
              <w:t>学生、教师及家长对学校教学环境满意度情况</w:t>
            </w:r>
          </w:p>
        </w:tc>
        <w:tc>
          <w:tcPr>
            <w:tcW w:w="5386" w:type="dxa"/>
            <w:vAlign w:val="center"/>
          </w:tcPr>
          <w:p w14:paraId="3D364C7F">
            <w:pPr>
              <w:pStyle w:val="13"/>
            </w:pPr>
            <w:r>
              <w:t>学生、教师及家长对学校教学环境满意度情况</w:t>
            </w:r>
          </w:p>
        </w:tc>
        <w:tc>
          <w:tcPr>
            <w:tcW w:w="2268" w:type="dxa"/>
            <w:vAlign w:val="center"/>
          </w:tcPr>
          <w:p w14:paraId="25D46EE8">
            <w:pPr>
              <w:pStyle w:val="13"/>
            </w:pPr>
            <w:r>
              <w:t>≥95%</w:t>
            </w:r>
          </w:p>
        </w:tc>
        <w:tc>
          <w:tcPr>
            <w:tcW w:w="1276" w:type="dxa"/>
            <w:vAlign w:val="center"/>
          </w:tcPr>
          <w:p w14:paraId="0C6BFDC2">
            <w:pPr>
              <w:pStyle w:val="13"/>
            </w:pPr>
            <w:r>
              <w:t>相关文件</w:t>
            </w:r>
          </w:p>
        </w:tc>
      </w:tr>
    </w:tbl>
    <w:p w14:paraId="1E94825E">
      <w:pPr>
        <w:sectPr>
          <w:pgSz w:w="16840" w:h="11900" w:orient="landscape"/>
          <w:pgMar w:top="1361" w:right="1020" w:bottom="1134" w:left="1020" w:header="720" w:footer="720" w:gutter="0"/>
          <w:cols w:space="720" w:num="1"/>
        </w:sectPr>
      </w:pPr>
    </w:p>
    <w:p w14:paraId="6D76EFF4">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2、冀财教[2024]123号/中央/2025年义教补助经费/东良中学公用经费绩效目标表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9C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DCACA">
            <w:pPr>
              <w:pStyle w:val="14"/>
            </w:pPr>
            <w:r>
              <w:t>单位：万元</w:t>
            </w:r>
          </w:p>
        </w:tc>
      </w:tr>
      <w:tr w14:paraId="36497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92846">
            <w:pPr>
              <w:pStyle w:val="11"/>
            </w:pPr>
            <w:r>
              <w:t>项目编码</w:t>
            </w:r>
          </w:p>
        </w:tc>
        <w:tc>
          <w:tcPr>
            <w:tcW w:w="5103" w:type="dxa"/>
            <w:gridSpan w:val="2"/>
            <w:vAlign w:val="center"/>
          </w:tcPr>
          <w:p w14:paraId="62C3C3F5">
            <w:pPr>
              <w:pStyle w:val="13"/>
            </w:pPr>
            <w:r>
              <w:t>13052525P00000410043A</w:t>
            </w:r>
          </w:p>
        </w:tc>
        <w:tc>
          <w:tcPr>
            <w:tcW w:w="2835" w:type="dxa"/>
            <w:vAlign w:val="center"/>
          </w:tcPr>
          <w:p w14:paraId="56C2F025">
            <w:pPr>
              <w:pStyle w:val="11"/>
            </w:pPr>
            <w:r>
              <w:t>项目名称</w:t>
            </w:r>
          </w:p>
        </w:tc>
        <w:tc>
          <w:tcPr>
            <w:tcW w:w="6095" w:type="dxa"/>
            <w:gridSpan w:val="3"/>
            <w:vAlign w:val="center"/>
          </w:tcPr>
          <w:p w14:paraId="6447DB04">
            <w:pPr>
              <w:pStyle w:val="13"/>
            </w:pPr>
            <w:r>
              <w:t>冀财教[2024]123号/中央/2025年义教补助经费/东良中学公用经费</w:t>
            </w:r>
          </w:p>
        </w:tc>
      </w:tr>
      <w:tr w14:paraId="78D04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F36F5">
            <w:pPr>
              <w:pStyle w:val="11"/>
            </w:pPr>
            <w:r>
              <w:t>预算规模及资金用途</w:t>
            </w:r>
          </w:p>
        </w:tc>
        <w:tc>
          <w:tcPr>
            <w:tcW w:w="2268" w:type="dxa"/>
            <w:vAlign w:val="center"/>
          </w:tcPr>
          <w:p w14:paraId="50560224">
            <w:pPr>
              <w:pStyle w:val="11"/>
            </w:pPr>
            <w:r>
              <w:t>预算数</w:t>
            </w:r>
          </w:p>
        </w:tc>
        <w:tc>
          <w:tcPr>
            <w:tcW w:w="2835" w:type="dxa"/>
            <w:vAlign w:val="center"/>
          </w:tcPr>
          <w:p w14:paraId="1C93ED6F">
            <w:pPr>
              <w:pStyle w:val="13"/>
            </w:pPr>
            <w:r>
              <w:t>85.49</w:t>
            </w:r>
          </w:p>
        </w:tc>
        <w:tc>
          <w:tcPr>
            <w:tcW w:w="2835" w:type="dxa"/>
            <w:vAlign w:val="center"/>
          </w:tcPr>
          <w:p w14:paraId="356EE6DF">
            <w:pPr>
              <w:pStyle w:val="11"/>
            </w:pPr>
            <w:r>
              <w:t>其中：财政    资金</w:t>
            </w:r>
          </w:p>
        </w:tc>
        <w:tc>
          <w:tcPr>
            <w:tcW w:w="2551" w:type="dxa"/>
            <w:vAlign w:val="center"/>
          </w:tcPr>
          <w:p w14:paraId="54B34F9E">
            <w:pPr>
              <w:pStyle w:val="13"/>
            </w:pPr>
            <w:r>
              <w:t>85.49</w:t>
            </w:r>
          </w:p>
        </w:tc>
        <w:tc>
          <w:tcPr>
            <w:tcW w:w="2268" w:type="dxa"/>
            <w:vAlign w:val="center"/>
          </w:tcPr>
          <w:p w14:paraId="66FB254D">
            <w:pPr>
              <w:pStyle w:val="11"/>
            </w:pPr>
            <w:r>
              <w:t>其他资金</w:t>
            </w:r>
          </w:p>
        </w:tc>
        <w:tc>
          <w:tcPr>
            <w:tcW w:w="1276" w:type="dxa"/>
            <w:vAlign w:val="center"/>
          </w:tcPr>
          <w:p w14:paraId="412D1477">
            <w:pPr>
              <w:pStyle w:val="13"/>
            </w:pPr>
            <w:r>
              <w:t xml:space="preserve"> </w:t>
            </w:r>
          </w:p>
        </w:tc>
      </w:tr>
      <w:tr w14:paraId="18041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A3CCE7"/>
        </w:tc>
        <w:tc>
          <w:tcPr>
            <w:tcW w:w="14033" w:type="dxa"/>
            <w:gridSpan w:val="6"/>
            <w:vAlign w:val="center"/>
          </w:tcPr>
          <w:p w14:paraId="774B3534">
            <w:pPr>
              <w:pStyle w:val="13"/>
            </w:pPr>
            <w:r>
              <w:t>保障义务教育学校正常运转，全面贯彻党的教育方针，办人民满意的教育，高质量、高标准完成教育教学活动和其他日常工作任务等方面的费用支出。</w:t>
            </w:r>
            <w:r>
              <w:tab/>
            </w:r>
            <w:r>
              <w:tab/>
            </w:r>
            <w:r>
              <w:tab/>
            </w:r>
            <w:r>
              <w:tab/>
            </w:r>
            <w:r>
              <w:tab/>
            </w:r>
          </w:p>
        </w:tc>
      </w:tr>
      <w:tr w14:paraId="69B76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96DDA">
            <w:pPr>
              <w:pStyle w:val="11"/>
            </w:pPr>
            <w:r>
              <w:t>资金支出计划（%）</w:t>
            </w:r>
          </w:p>
        </w:tc>
        <w:tc>
          <w:tcPr>
            <w:tcW w:w="5103" w:type="dxa"/>
            <w:gridSpan w:val="2"/>
            <w:vAlign w:val="center"/>
          </w:tcPr>
          <w:p w14:paraId="550F7430">
            <w:pPr>
              <w:pStyle w:val="11"/>
            </w:pPr>
            <w:r>
              <w:t>3月底</w:t>
            </w:r>
          </w:p>
        </w:tc>
        <w:tc>
          <w:tcPr>
            <w:tcW w:w="2835" w:type="dxa"/>
            <w:vAlign w:val="center"/>
          </w:tcPr>
          <w:p w14:paraId="6CBC058F">
            <w:pPr>
              <w:pStyle w:val="11"/>
            </w:pPr>
            <w:r>
              <w:t>6月底</w:t>
            </w:r>
          </w:p>
        </w:tc>
        <w:tc>
          <w:tcPr>
            <w:tcW w:w="2551" w:type="dxa"/>
            <w:vAlign w:val="center"/>
          </w:tcPr>
          <w:p w14:paraId="0E00FEE5">
            <w:pPr>
              <w:pStyle w:val="11"/>
            </w:pPr>
            <w:r>
              <w:t>10月底</w:t>
            </w:r>
          </w:p>
        </w:tc>
        <w:tc>
          <w:tcPr>
            <w:tcW w:w="3544" w:type="dxa"/>
            <w:gridSpan w:val="2"/>
            <w:vAlign w:val="center"/>
          </w:tcPr>
          <w:p w14:paraId="3D44EB8A">
            <w:pPr>
              <w:pStyle w:val="11"/>
            </w:pPr>
            <w:r>
              <w:t>12月底</w:t>
            </w:r>
          </w:p>
        </w:tc>
      </w:tr>
      <w:tr w14:paraId="403F4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E6F56F"/>
        </w:tc>
        <w:tc>
          <w:tcPr>
            <w:tcW w:w="5103" w:type="dxa"/>
            <w:gridSpan w:val="2"/>
            <w:vAlign w:val="center"/>
          </w:tcPr>
          <w:p w14:paraId="132B6F99">
            <w:pPr>
              <w:pStyle w:val="12"/>
            </w:pPr>
            <w:r>
              <w:t>25%</w:t>
            </w:r>
          </w:p>
        </w:tc>
        <w:tc>
          <w:tcPr>
            <w:tcW w:w="2835" w:type="dxa"/>
            <w:vAlign w:val="center"/>
          </w:tcPr>
          <w:p w14:paraId="096B7545">
            <w:pPr>
              <w:pStyle w:val="12"/>
            </w:pPr>
            <w:r>
              <w:t>50%</w:t>
            </w:r>
          </w:p>
        </w:tc>
        <w:tc>
          <w:tcPr>
            <w:tcW w:w="2551" w:type="dxa"/>
            <w:vAlign w:val="center"/>
          </w:tcPr>
          <w:p w14:paraId="12B57445">
            <w:pPr>
              <w:pStyle w:val="12"/>
            </w:pPr>
            <w:r>
              <w:t>75%</w:t>
            </w:r>
          </w:p>
        </w:tc>
        <w:tc>
          <w:tcPr>
            <w:tcW w:w="3544" w:type="dxa"/>
            <w:gridSpan w:val="2"/>
            <w:vAlign w:val="center"/>
          </w:tcPr>
          <w:p w14:paraId="204A47B4">
            <w:pPr>
              <w:pStyle w:val="12"/>
            </w:pPr>
            <w:r>
              <w:t>100%</w:t>
            </w:r>
          </w:p>
        </w:tc>
      </w:tr>
      <w:tr w14:paraId="7ABEE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C4FFA6">
            <w:pPr>
              <w:pStyle w:val="11"/>
            </w:pPr>
            <w:r>
              <w:t>绩效目标</w:t>
            </w:r>
          </w:p>
        </w:tc>
        <w:tc>
          <w:tcPr>
            <w:tcW w:w="14033" w:type="dxa"/>
            <w:gridSpan w:val="6"/>
            <w:vAlign w:val="center"/>
          </w:tcPr>
          <w:p w14:paraId="0E4CDFF2">
            <w:pPr>
              <w:pStyle w:val="13"/>
            </w:pPr>
            <w:r>
              <w:t>1.按规定拨付公用经费资金854920元，资金拨付率达到100%。</w:t>
            </w:r>
          </w:p>
          <w:p w14:paraId="0D99F2A6">
            <w:pPr>
              <w:pStyle w:val="13"/>
            </w:pPr>
            <w:r>
              <w:t>2.保障义务教育学校正常运转，完成教育教学活动和其他日常工作任务等方面的费用支出。</w:t>
            </w:r>
          </w:p>
        </w:tc>
      </w:tr>
    </w:tbl>
    <w:p w14:paraId="480EDF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38"/>
        <w:gridCol w:w="2006"/>
      </w:tblGrid>
      <w:tr w14:paraId="007AA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3B439">
            <w:pPr>
              <w:pStyle w:val="11"/>
            </w:pPr>
            <w:r>
              <w:t>一级指标</w:t>
            </w:r>
          </w:p>
        </w:tc>
        <w:tc>
          <w:tcPr>
            <w:tcW w:w="2268" w:type="dxa"/>
            <w:vAlign w:val="center"/>
          </w:tcPr>
          <w:p w14:paraId="6BFD5E09">
            <w:pPr>
              <w:pStyle w:val="11"/>
            </w:pPr>
            <w:r>
              <w:t>二级指标</w:t>
            </w:r>
          </w:p>
        </w:tc>
        <w:tc>
          <w:tcPr>
            <w:tcW w:w="2835" w:type="dxa"/>
            <w:vAlign w:val="center"/>
          </w:tcPr>
          <w:p w14:paraId="5373E581">
            <w:pPr>
              <w:pStyle w:val="11"/>
            </w:pPr>
            <w:r>
              <w:t>三级指标</w:t>
            </w:r>
          </w:p>
        </w:tc>
        <w:tc>
          <w:tcPr>
            <w:tcW w:w="5386" w:type="dxa"/>
            <w:vAlign w:val="center"/>
          </w:tcPr>
          <w:p w14:paraId="2D6F243C">
            <w:pPr>
              <w:pStyle w:val="11"/>
            </w:pPr>
            <w:r>
              <w:t>绩效指标描述</w:t>
            </w:r>
          </w:p>
        </w:tc>
        <w:tc>
          <w:tcPr>
            <w:tcW w:w="1538" w:type="dxa"/>
            <w:vAlign w:val="center"/>
          </w:tcPr>
          <w:p w14:paraId="713B333D">
            <w:pPr>
              <w:pStyle w:val="11"/>
            </w:pPr>
            <w:r>
              <w:t>指标值</w:t>
            </w:r>
          </w:p>
        </w:tc>
        <w:tc>
          <w:tcPr>
            <w:tcW w:w="2006" w:type="dxa"/>
            <w:vAlign w:val="center"/>
          </w:tcPr>
          <w:p w14:paraId="3BB2EFEE">
            <w:pPr>
              <w:pStyle w:val="11"/>
            </w:pPr>
            <w:r>
              <w:t>指标值确定依据</w:t>
            </w:r>
          </w:p>
        </w:tc>
      </w:tr>
      <w:tr w14:paraId="6E0EA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8FAF3">
            <w:pPr>
              <w:pStyle w:val="12"/>
            </w:pPr>
            <w:r>
              <w:t>产出指标</w:t>
            </w:r>
          </w:p>
        </w:tc>
        <w:tc>
          <w:tcPr>
            <w:tcW w:w="2268" w:type="dxa"/>
            <w:vAlign w:val="center"/>
          </w:tcPr>
          <w:p w14:paraId="1DD45F4D">
            <w:pPr>
              <w:pStyle w:val="13"/>
            </w:pPr>
            <w:r>
              <w:t>数量指标</w:t>
            </w:r>
          </w:p>
        </w:tc>
        <w:tc>
          <w:tcPr>
            <w:tcW w:w="2835" w:type="dxa"/>
            <w:vAlign w:val="center"/>
          </w:tcPr>
          <w:p w14:paraId="5EF24112">
            <w:pPr>
              <w:pStyle w:val="13"/>
            </w:pPr>
            <w:r>
              <w:t>生均拨款标准</w:t>
            </w:r>
          </w:p>
        </w:tc>
        <w:tc>
          <w:tcPr>
            <w:tcW w:w="5386" w:type="dxa"/>
            <w:vAlign w:val="center"/>
          </w:tcPr>
          <w:p w14:paraId="47C27B99">
            <w:pPr>
              <w:pStyle w:val="13"/>
            </w:pPr>
            <w:r>
              <w:t>初中学生公用经费生均初中940元。取暖费120元/生/年，住宿生300元/生/年，随班就读学生补助7000元/生</w:t>
            </w:r>
          </w:p>
        </w:tc>
        <w:tc>
          <w:tcPr>
            <w:tcW w:w="1538" w:type="dxa"/>
            <w:vAlign w:val="center"/>
          </w:tcPr>
          <w:p w14:paraId="53AA1ADE">
            <w:pPr>
              <w:pStyle w:val="13"/>
            </w:pPr>
            <w:r>
              <w:t>1360元</w:t>
            </w:r>
          </w:p>
        </w:tc>
        <w:tc>
          <w:tcPr>
            <w:tcW w:w="2006" w:type="dxa"/>
            <w:vAlign w:val="center"/>
          </w:tcPr>
          <w:p w14:paraId="12C92563">
            <w:pPr>
              <w:pStyle w:val="13"/>
            </w:pPr>
            <w:r>
              <w:t>城乡义务教育公用经费管理办法</w:t>
            </w:r>
          </w:p>
        </w:tc>
      </w:tr>
      <w:tr w14:paraId="2E29B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67" w:hRule="atLeast"/>
          <w:jc w:val="center"/>
        </w:trPr>
        <w:tc>
          <w:tcPr>
            <w:tcW w:w="1276" w:type="dxa"/>
            <w:vMerge w:val="continue"/>
            <w:vAlign w:val="center"/>
          </w:tcPr>
          <w:p w14:paraId="656EB37D"/>
        </w:tc>
        <w:tc>
          <w:tcPr>
            <w:tcW w:w="2268" w:type="dxa"/>
            <w:vAlign w:val="center"/>
          </w:tcPr>
          <w:p w14:paraId="41F0C37F">
            <w:pPr>
              <w:pStyle w:val="13"/>
            </w:pPr>
            <w:r>
              <w:t>质量指标</w:t>
            </w:r>
          </w:p>
        </w:tc>
        <w:tc>
          <w:tcPr>
            <w:tcW w:w="2835" w:type="dxa"/>
            <w:vAlign w:val="center"/>
          </w:tcPr>
          <w:p w14:paraId="3B63391D">
            <w:pPr>
              <w:pStyle w:val="13"/>
            </w:pPr>
            <w:r>
              <w:t>就读学生数</w:t>
            </w:r>
          </w:p>
        </w:tc>
        <w:tc>
          <w:tcPr>
            <w:tcW w:w="5386" w:type="dxa"/>
            <w:vAlign w:val="center"/>
          </w:tcPr>
          <w:p w14:paraId="73BAB605">
            <w:pPr>
              <w:pStyle w:val="13"/>
            </w:pPr>
            <w:r>
              <w:t>辐射区域内适龄学生人数</w:t>
            </w:r>
          </w:p>
        </w:tc>
        <w:tc>
          <w:tcPr>
            <w:tcW w:w="1538" w:type="dxa"/>
            <w:vAlign w:val="center"/>
          </w:tcPr>
          <w:p w14:paraId="7F766208">
            <w:pPr>
              <w:pStyle w:val="13"/>
            </w:pPr>
            <w:r>
              <w:t>900人</w:t>
            </w:r>
          </w:p>
        </w:tc>
        <w:tc>
          <w:tcPr>
            <w:tcW w:w="2006" w:type="dxa"/>
            <w:vAlign w:val="center"/>
          </w:tcPr>
          <w:p w14:paraId="5ED9554D">
            <w:pPr>
              <w:pStyle w:val="13"/>
            </w:pPr>
            <w:r>
              <w:t>城乡义务教育公用经费管理办法</w:t>
            </w:r>
          </w:p>
        </w:tc>
      </w:tr>
      <w:tr w14:paraId="62B7C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6635E"/>
        </w:tc>
        <w:tc>
          <w:tcPr>
            <w:tcW w:w="2268" w:type="dxa"/>
            <w:vAlign w:val="center"/>
          </w:tcPr>
          <w:p w14:paraId="45458A49">
            <w:pPr>
              <w:pStyle w:val="13"/>
            </w:pPr>
            <w:r>
              <w:t>时效指标</w:t>
            </w:r>
          </w:p>
        </w:tc>
        <w:tc>
          <w:tcPr>
            <w:tcW w:w="2835" w:type="dxa"/>
            <w:vAlign w:val="center"/>
          </w:tcPr>
          <w:p w14:paraId="23EF3954">
            <w:pPr>
              <w:pStyle w:val="13"/>
            </w:pPr>
            <w:r>
              <w:t>预算执行率</w:t>
            </w:r>
          </w:p>
        </w:tc>
        <w:tc>
          <w:tcPr>
            <w:tcW w:w="5386" w:type="dxa"/>
            <w:vAlign w:val="center"/>
          </w:tcPr>
          <w:p w14:paraId="6CFA9382">
            <w:pPr>
              <w:pStyle w:val="13"/>
            </w:pPr>
            <w:r>
              <w:t>预算执行率≥98%</w:t>
            </w:r>
          </w:p>
        </w:tc>
        <w:tc>
          <w:tcPr>
            <w:tcW w:w="1538" w:type="dxa"/>
            <w:vAlign w:val="center"/>
          </w:tcPr>
          <w:p w14:paraId="2FB86DF6">
            <w:pPr>
              <w:pStyle w:val="13"/>
            </w:pPr>
            <w:r>
              <w:t>≥98%</w:t>
            </w:r>
          </w:p>
        </w:tc>
        <w:tc>
          <w:tcPr>
            <w:tcW w:w="2006" w:type="dxa"/>
            <w:vAlign w:val="center"/>
          </w:tcPr>
          <w:p w14:paraId="511D126C">
            <w:pPr>
              <w:pStyle w:val="13"/>
            </w:pPr>
            <w:r>
              <w:t>城乡义务教育公用经费管理办法</w:t>
            </w:r>
          </w:p>
        </w:tc>
      </w:tr>
      <w:tr w14:paraId="234C6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98FC4"/>
        </w:tc>
        <w:tc>
          <w:tcPr>
            <w:tcW w:w="2268" w:type="dxa"/>
            <w:vAlign w:val="center"/>
          </w:tcPr>
          <w:p w14:paraId="0E7990BC">
            <w:pPr>
              <w:pStyle w:val="13"/>
            </w:pPr>
            <w:r>
              <w:t>成本指标</w:t>
            </w:r>
          </w:p>
        </w:tc>
        <w:tc>
          <w:tcPr>
            <w:tcW w:w="2835" w:type="dxa"/>
            <w:vAlign w:val="center"/>
          </w:tcPr>
          <w:p w14:paraId="69D2EDBC">
            <w:pPr>
              <w:pStyle w:val="13"/>
            </w:pPr>
            <w:r>
              <w:t>义教经费支付完成率</w:t>
            </w:r>
          </w:p>
        </w:tc>
        <w:tc>
          <w:tcPr>
            <w:tcW w:w="5386" w:type="dxa"/>
            <w:vAlign w:val="center"/>
          </w:tcPr>
          <w:p w14:paraId="5315ABDB">
            <w:pPr>
              <w:pStyle w:val="13"/>
            </w:pPr>
            <w:r>
              <w:t>按照序时进度完成资金支付</w:t>
            </w:r>
          </w:p>
        </w:tc>
        <w:tc>
          <w:tcPr>
            <w:tcW w:w="1538" w:type="dxa"/>
            <w:vAlign w:val="center"/>
          </w:tcPr>
          <w:p w14:paraId="27E25CFC">
            <w:pPr>
              <w:pStyle w:val="13"/>
            </w:pPr>
            <w:r>
              <w:t>100%</w:t>
            </w:r>
          </w:p>
        </w:tc>
        <w:tc>
          <w:tcPr>
            <w:tcW w:w="2006" w:type="dxa"/>
            <w:vAlign w:val="center"/>
          </w:tcPr>
          <w:p w14:paraId="730872AC">
            <w:pPr>
              <w:pStyle w:val="13"/>
            </w:pPr>
            <w:r>
              <w:t>城乡义务教育公用经费管理办法</w:t>
            </w:r>
          </w:p>
        </w:tc>
      </w:tr>
      <w:tr w14:paraId="718E4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804843">
            <w:pPr>
              <w:pStyle w:val="12"/>
            </w:pPr>
            <w:r>
              <w:t>效益指标</w:t>
            </w:r>
          </w:p>
        </w:tc>
        <w:tc>
          <w:tcPr>
            <w:tcW w:w="2268" w:type="dxa"/>
            <w:vAlign w:val="center"/>
          </w:tcPr>
          <w:p w14:paraId="4F2C3686">
            <w:pPr>
              <w:pStyle w:val="13"/>
            </w:pPr>
            <w:r>
              <w:t>社会效益指标</w:t>
            </w:r>
          </w:p>
        </w:tc>
        <w:tc>
          <w:tcPr>
            <w:tcW w:w="2835" w:type="dxa"/>
            <w:vAlign w:val="center"/>
          </w:tcPr>
          <w:p w14:paraId="4CBA9745">
            <w:pPr>
              <w:pStyle w:val="13"/>
            </w:pPr>
            <w:r>
              <w:t>学校运转得到提高</w:t>
            </w:r>
          </w:p>
        </w:tc>
        <w:tc>
          <w:tcPr>
            <w:tcW w:w="5386" w:type="dxa"/>
            <w:vAlign w:val="center"/>
          </w:tcPr>
          <w:p w14:paraId="4EF43C1E">
            <w:pPr>
              <w:pStyle w:val="13"/>
            </w:pPr>
            <w:r>
              <w:t>学生受教育年限</w:t>
            </w:r>
          </w:p>
        </w:tc>
        <w:tc>
          <w:tcPr>
            <w:tcW w:w="1538" w:type="dxa"/>
            <w:vAlign w:val="center"/>
          </w:tcPr>
          <w:p w14:paraId="2BDF0369">
            <w:pPr>
              <w:pStyle w:val="13"/>
            </w:pPr>
            <w:r>
              <w:t>3年</w:t>
            </w:r>
          </w:p>
        </w:tc>
        <w:tc>
          <w:tcPr>
            <w:tcW w:w="2006" w:type="dxa"/>
            <w:vAlign w:val="center"/>
          </w:tcPr>
          <w:p w14:paraId="1D09A91C">
            <w:pPr>
              <w:pStyle w:val="13"/>
            </w:pPr>
            <w:r>
              <w:t>城乡义务教育公用经费管理办法</w:t>
            </w:r>
          </w:p>
        </w:tc>
      </w:tr>
      <w:tr w14:paraId="4FD19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CFA34F">
            <w:pPr>
              <w:pStyle w:val="12"/>
            </w:pPr>
            <w:r>
              <w:t>满意度指标</w:t>
            </w:r>
          </w:p>
        </w:tc>
        <w:tc>
          <w:tcPr>
            <w:tcW w:w="2268" w:type="dxa"/>
            <w:vAlign w:val="center"/>
          </w:tcPr>
          <w:p w14:paraId="5F13A83E">
            <w:pPr>
              <w:pStyle w:val="13"/>
            </w:pPr>
            <w:r>
              <w:t>服务对象满意度指标</w:t>
            </w:r>
          </w:p>
        </w:tc>
        <w:tc>
          <w:tcPr>
            <w:tcW w:w="2835" w:type="dxa"/>
            <w:vAlign w:val="center"/>
          </w:tcPr>
          <w:p w14:paraId="109DD9D1">
            <w:pPr>
              <w:pStyle w:val="13"/>
            </w:pPr>
            <w:r>
              <w:t>服务对象满意度</w:t>
            </w:r>
          </w:p>
        </w:tc>
        <w:tc>
          <w:tcPr>
            <w:tcW w:w="5386" w:type="dxa"/>
            <w:vAlign w:val="center"/>
          </w:tcPr>
          <w:p w14:paraId="2972BB27">
            <w:pPr>
              <w:pStyle w:val="13"/>
            </w:pPr>
            <w:r>
              <w:t>学校老师和学生满意度</w:t>
            </w:r>
          </w:p>
        </w:tc>
        <w:tc>
          <w:tcPr>
            <w:tcW w:w="1538" w:type="dxa"/>
            <w:vAlign w:val="center"/>
          </w:tcPr>
          <w:p w14:paraId="399BC9C7">
            <w:pPr>
              <w:pStyle w:val="13"/>
            </w:pPr>
            <w:r>
              <w:t>≥95%</w:t>
            </w:r>
          </w:p>
        </w:tc>
        <w:tc>
          <w:tcPr>
            <w:tcW w:w="2006" w:type="dxa"/>
            <w:vAlign w:val="center"/>
          </w:tcPr>
          <w:p w14:paraId="5DB65366">
            <w:pPr>
              <w:pStyle w:val="13"/>
            </w:pPr>
            <w:r>
              <w:t>调查问卷</w:t>
            </w:r>
          </w:p>
        </w:tc>
      </w:tr>
    </w:tbl>
    <w:p w14:paraId="482B9E1A">
      <w:pPr>
        <w:sectPr>
          <w:pgSz w:w="16840" w:h="11900" w:orient="landscape"/>
          <w:pgMar w:top="1361" w:right="1020" w:bottom="1134" w:left="1020" w:header="720" w:footer="720" w:gutter="0"/>
          <w:cols w:space="720" w:num="1"/>
        </w:sectPr>
      </w:pPr>
    </w:p>
    <w:p w14:paraId="662A0DDC">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3、冀财教[2024]123号/中央/2025年义教补助经费/校舍安全保障/东良中学门窗更换等维修改造绩效目标表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52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2B5D0">
            <w:pPr>
              <w:pStyle w:val="14"/>
            </w:pPr>
            <w:r>
              <w:t>单位：万元</w:t>
            </w:r>
          </w:p>
        </w:tc>
      </w:tr>
      <w:tr w14:paraId="70DF1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10122">
            <w:pPr>
              <w:pStyle w:val="11"/>
            </w:pPr>
            <w:r>
              <w:t>项目编码</w:t>
            </w:r>
          </w:p>
        </w:tc>
        <w:tc>
          <w:tcPr>
            <w:tcW w:w="5103" w:type="dxa"/>
            <w:gridSpan w:val="2"/>
            <w:vAlign w:val="center"/>
          </w:tcPr>
          <w:p w14:paraId="35C1596B">
            <w:pPr>
              <w:pStyle w:val="13"/>
            </w:pPr>
            <w:r>
              <w:t>13052525P008762100022</w:t>
            </w:r>
          </w:p>
        </w:tc>
        <w:tc>
          <w:tcPr>
            <w:tcW w:w="2835" w:type="dxa"/>
            <w:vAlign w:val="center"/>
          </w:tcPr>
          <w:p w14:paraId="7DB711A9">
            <w:pPr>
              <w:pStyle w:val="11"/>
            </w:pPr>
            <w:r>
              <w:t>项目名称</w:t>
            </w:r>
          </w:p>
        </w:tc>
        <w:tc>
          <w:tcPr>
            <w:tcW w:w="6095" w:type="dxa"/>
            <w:gridSpan w:val="3"/>
            <w:vAlign w:val="center"/>
          </w:tcPr>
          <w:p w14:paraId="5CEACCDF">
            <w:pPr>
              <w:pStyle w:val="13"/>
            </w:pPr>
            <w:r>
              <w:t>冀财教[2024]123号/中央/2025年义教补助经费/校舍安全保障/东良中学门窗更换等维修改造</w:t>
            </w:r>
          </w:p>
        </w:tc>
      </w:tr>
      <w:tr w14:paraId="1C47A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9AD7F">
            <w:pPr>
              <w:pStyle w:val="11"/>
            </w:pPr>
            <w:r>
              <w:t>预算规模及资金用途</w:t>
            </w:r>
          </w:p>
        </w:tc>
        <w:tc>
          <w:tcPr>
            <w:tcW w:w="2268" w:type="dxa"/>
            <w:vAlign w:val="center"/>
          </w:tcPr>
          <w:p w14:paraId="7E37239B">
            <w:pPr>
              <w:pStyle w:val="11"/>
            </w:pPr>
            <w:r>
              <w:t>预算数</w:t>
            </w:r>
          </w:p>
        </w:tc>
        <w:tc>
          <w:tcPr>
            <w:tcW w:w="2835" w:type="dxa"/>
            <w:vAlign w:val="center"/>
          </w:tcPr>
          <w:p w14:paraId="4B4670C8">
            <w:pPr>
              <w:pStyle w:val="13"/>
            </w:pPr>
            <w:r>
              <w:t>48.00</w:t>
            </w:r>
          </w:p>
        </w:tc>
        <w:tc>
          <w:tcPr>
            <w:tcW w:w="2835" w:type="dxa"/>
            <w:vAlign w:val="center"/>
          </w:tcPr>
          <w:p w14:paraId="23D971BE">
            <w:pPr>
              <w:pStyle w:val="11"/>
            </w:pPr>
            <w:r>
              <w:t>其中：财政    资金</w:t>
            </w:r>
          </w:p>
        </w:tc>
        <w:tc>
          <w:tcPr>
            <w:tcW w:w="2551" w:type="dxa"/>
            <w:vAlign w:val="center"/>
          </w:tcPr>
          <w:p w14:paraId="04AFB97B">
            <w:pPr>
              <w:pStyle w:val="13"/>
            </w:pPr>
            <w:r>
              <w:t>48.00</w:t>
            </w:r>
          </w:p>
        </w:tc>
        <w:tc>
          <w:tcPr>
            <w:tcW w:w="2268" w:type="dxa"/>
            <w:vAlign w:val="center"/>
          </w:tcPr>
          <w:p w14:paraId="4094E901">
            <w:pPr>
              <w:pStyle w:val="11"/>
            </w:pPr>
            <w:r>
              <w:t>其他资金</w:t>
            </w:r>
          </w:p>
        </w:tc>
        <w:tc>
          <w:tcPr>
            <w:tcW w:w="1276" w:type="dxa"/>
            <w:vAlign w:val="center"/>
          </w:tcPr>
          <w:p w14:paraId="6770457B">
            <w:pPr>
              <w:pStyle w:val="13"/>
            </w:pPr>
            <w:r>
              <w:t xml:space="preserve"> </w:t>
            </w:r>
          </w:p>
        </w:tc>
      </w:tr>
      <w:tr w14:paraId="509C3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43A064"/>
        </w:tc>
        <w:tc>
          <w:tcPr>
            <w:tcW w:w="14033" w:type="dxa"/>
            <w:gridSpan w:val="6"/>
            <w:vAlign w:val="center"/>
          </w:tcPr>
          <w:p w14:paraId="656D4A60">
            <w:pPr>
              <w:pStyle w:val="13"/>
            </w:pPr>
            <w:r>
              <w:t>"改善就学条件，提升学校形象，保障义务教育阶段教学安全，改善师生教学环境，创造良好的校园环境。</w:t>
            </w:r>
            <w:r>
              <w:tab/>
            </w:r>
            <w:r>
              <w:tab/>
            </w:r>
            <w:r>
              <w:tab/>
            </w:r>
            <w:r>
              <w:tab/>
            </w:r>
            <w:r>
              <w:tab/>
            </w:r>
            <w:r>
              <w:tab/>
            </w:r>
          </w:p>
          <w:p w14:paraId="6ABD042B">
            <w:pPr>
              <w:pStyle w:val="13"/>
            </w:pPr>
            <w:r>
              <w:tab/>
            </w:r>
            <w:r>
              <w:tab/>
            </w:r>
            <w:r>
              <w:tab/>
            </w:r>
            <w:r>
              <w:tab/>
            </w:r>
            <w:r>
              <w:tab/>
            </w:r>
            <w:r>
              <w:tab/>
            </w:r>
          </w:p>
          <w:p w14:paraId="4238B1EA">
            <w:pPr>
              <w:pStyle w:val="13"/>
            </w:pPr>
            <w:r>
              <w:tab/>
            </w:r>
            <w:r>
              <w:tab/>
            </w:r>
            <w:r>
              <w:tab/>
            </w:r>
            <w:r>
              <w:tab/>
            </w:r>
            <w:r>
              <w:tab/>
            </w:r>
          </w:p>
          <w:p w14:paraId="220B0357">
            <w:pPr>
              <w:pStyle w:val="13"/>
            </w:pPr>
          </w:p>
        </w:tc>
      </w:tr>
      <w:tr w14:paraId="6267A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AA673">
            <w:pPr>
              <w:pStyle w:val="11"/>
            </w:pPr>
            <w:r>
              <w:t>资金支出计划（%）</w:t>
            </w:r>
          </w:p>
        </w:tc>
        <w:tc>
          <w:tcPr>
            <w:tcW w:w="5103" w:type="dxa"/>
            <w:gridSpan w:val="2"/>
            <w:vAlign w:val="center"/>
          </w:tcPr>
          <w:p w14:paraId="2153C35D">
            <w:pPr>
              <w:pStyle w:val="11"/>
            </w:pPr>
            <w:r>
              <w:t>3月底</w:t>
            </w:r>
          </w:p>
        </w:tc>
        <w:tc>
          <w:tcPr>
            <w:tcW w:w="2835" w:type="dxa"/>
            <w:vAlign w:val="center"/>
          </w:tcPr>
          <w:p w14:paraId="099274F6">
            <w:pPr>
              <w:pStyle w:val="11"/>
            </w:pPr>
            <w:r>
              <w:t>6月底</w:t>
            </w:r>
          </w:p>
        </w:tc>
        <w:tc>
          <w:tcPr>
            <w:tcW w:w="2551" w:type="dxa"/>
            <w:vAlign w:val="center"/>
          </w:tcPr>
          <w:p w14:paraId="5A04A696">
            <w:pPr>
              <w:pStyle w:val="11"/>
            </w:pPr>
            <w:r>
              <w:t>10月底</w:t>
            </w:r>
          </w:p>
        </w:tc>
        <w:tc>
          <w:tcPr>
            <w:tcW w:w="3544" w:type="dxa"/>
            <w:gridSpan w:val="2"/>
            <w:vAlign w:val="center"/>
          </w:tcPr>
          <w:p w14:paraId="0DD30743">
            <w:pPr>
              <w:pStyle w:val="11"/>
            </w:pPr>
            <w:r>
              <w:t>12月底</w:t>
            </w:r>
          </w:p>
        </w:tc>
      </w:tr>
      <w:tr w14:paraId="6D8FD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6FE6E9"/>
        </w:tc>
        <w:tc>
          <w:tcPr>
            <w:tcW w:w="5103" w:type="dxa"/>
            <w:gridSpan w:val="2"/>
            <w:vAlign w:val="center"/>
          </w:tcPr>
          <w:p w14:paraId="6DDA81A9">
            <w:pPr>
              <w:pStyle w:val="12"/>
            </w:pPr>
            <w:r>
              <w:t xml:space="preserve"> </w:t>
            </w:r>
          </w:p>
        </w:tc>
        <w:tc>
          <w:tcPr>
            <w:tcW w:w="2835" w:type="dxa"/>
            <w:vAlign w:val="center"/>
          </w:tcPr>
          <w:p w14:paraId="37F929DA">
            <w:pPr>
              <w:pStyle w:val="12"/>
            </w:pPr>
            <w:r>
              <w:t>30%</w:t>
            </w:r>
          </w:p>
        </w:tc>
        <w:tc>
          <w:tcPr>
            <w:tcW w:w="2551" w:type="dxa"/>
            <w:vAlign w:val="center"/>
          </w:tcPr>
          <w:p w14:paraId="39EF2328">
            <w:pPr>
              <w:pStyle w:val="12"/>
            </w:pPr>
            <w:r>
              <w:t>80%</w:t>
            </w:r>
          </w:p>
        </w:tc>
        <w:tc>
          <w:tcPr>
            <w:tcW w:w="3544" w:type="dxa"/>
            <w:gridSpan w:val="2"/>
            <w:vAlign w:val="center"/>
          </w:tcPr>
          <w:p w14:paraId="7AB022B2">
            <w:pPr>
              <w:pStyle w:val="12"/>
            </w:pPr>
            <w:r>
              <w:t>100%</w:t>
            </w:r>
          </w:p>
        </w:tc>
      </w:tr>
      <w:tr w14:paraId="4D9A6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B5BEC">
            <w:pPr>
              <w:pStyle w:val="11"/>
            </w:pPr>
            <w:r>
              <w:t>绩效目标</w:t>
            </w:r>
          </w:p>
        </w:tc>
        <w:tc>
          <w:tcPr>
            <w:tcW w:w="14033" w:type="dxa"/>
            <w:gridSpan w:val="6"/>
            <w:vAlign w:val="center"/>
          </w:tcPr>
          <w:p w14:paraId="31AB96B1">
            <w:pPr>
              <w:pStyle w:val="13"/>
            </w:pPr>
            <w:r>
              <w:t>1.改善就学条件，提升学校形象，保障义务教育阶段教学安全，改善师生教学环境，创造良好的校园环境。</w:t>
            </w:r>
            <w:r>
              <w:tab/>
            </w:r>
            <w:r>
              <w:tab/>
            </w:r>
            <w:r>
              <w:tab/>
            </w:r>
            <w:r>
              <w:tab/>
            </w:r>
            <w:r>
              <w:tab/>
            </w:r>
            <w:r>
              <w:tab/>
            </w:r>
            <w:r>
              <w:tab/>
            </w:r>
            <w:r>
              <w:tab/>
            </w:r>
            <w:r>
              <w:tab/>
            </w:r>
          </w:p>
          <w:p w14:paraId="34D2A760">
            <w:pPr>
              <w:pStyle w:val="13"/>
            </w:pPr>
            <w:r>
              <w:t>2.项目需资金48万元，资金拨付率达到100%。</w:t>
            </w:r>
            <w:r>
              <w:tab/>
            </w:r>
            <w:r>
              <w:tab/>
            </w:r>
            <w:r>
              <w:tab/>
            </w:r>
            <w:r>
              <w:tab/>
            </w:r>
            <w:r>
              <w:tab/>
            </w:r>
            <w:r>
              <w:tab/>
            </w:r>
          </w:p>
        </w:tc>
      </w:tr>
    </w:tbl>
    <w:p w14:paraId="2270F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B0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B6103">
            <w:pPr>
              <w:pStyle w:val="11"/>
            </w:pPr>
            <w:r>
              <w:t>一级指标</w:t>
            </w:r>
          </w:p>
        </w:tc>
        <w:tc>
          <w:tcPr>
            <w:tcW w:w="2268" w:type="dxa"/>
            <w:vAlign w:val="center"/>
          </w:tcPr>
          <w:p w14:paraId="3C75F427">
            <w:pPr>
              <w:pStyle w:val="11"/>
            </w:pPr>
            <w:r>
              <w:t>二级指标</w:t>
            </w:r>
          </w:p>
        </w:tc>
        <w:tc>
          <w:tcPr>
            <w:tcW w:w="2835" w:type="dxa"/>
            <w:vAlign w:val="center"/>
          </w:tcPr>
          <w:p w14:paraId="433309A2">
            <w:pPr>
              <w:pStyle w:val="11"/>
            </w:pPr>
            <w:r>
              <w:t>三级指标</w:t>
            </w:r>
          </w:p>
        </w:tc>
        <w:tc>
          <w:tcPr>
            <w:tcW w:w="5386" w:type="dxa"/>
            <w:vAlign w:val="center"/>
          </w:tcPr>
          <w:p w14:paraId="70D79221">
            <w:pPr>
              <w:pStyle w:val="11"/>
            </w:pPr>
            <w:r>
              <w:t>绩效指标描述</w:t>
            </w:r>
          </w:p>
        </w:tc>
        <w:tc>
          <w:tcPr>
            <w:tcW w:w="2268" w:type="dxa"/>
            <w:vAlign w:val="center"/>
          </w:tcPr>
          <w:p w14:paraId="7E0ACCC2">
            <w:pPr>
              <w:pStyle w:val="11"/>
            </w:pPr>
            <w:r>
              <w:t>指标值</w:t>
            </w:r>
          </w:p>
        </w:tc>
        <w:tc>
          <w:tcPr>
            <w:tcW w:w="1276" w:type="dxa"/>
            <w:vAlign w:val="center"/>
          </w:tcPr>
          <w:p w14:paraId="11D67250">
            <w:pPr>
              <w:pStyle w:val="11"/>
            </w:pPr>
            <w:r>
              <w:t>指标值确定依据</w:t>
            </w:r>
          </w:p>
        </w:tc>
      </w:tr>
      <w:tr w14:paraId="434AC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BCDFB">
            <w:pPr>
              <w:pStyle w:val="12"/>
            </w:pPr>
            <w:r>
              <w:t>产出指标</w:t>
            </w:r>
          </w:p>
        </w:tc>
        <w:tc>
          <w:tcPr>
            <w:tcW w:w="2268" w:type="dxa"/>
            <w:vAlign w:val="center"/>
          </w:tcPr>
          <w:p w14:paraId="33A38353">
            <w:pPr>
              <w:pStyle w:val="13"/>
            </w:pPr>
            <w:r>
              <w:t>数量指标</w:t>
            </w:r>
          </w:p>
        </w:tc>
        <w:tc>
          <w:tcPr>
            <w:tcW w:w="2835" w:type="dxa"/>
            <w:vAlign w:val="center"/>
          </w:tcPr>
          <w:p w14:paraId="6AA6F1FB">
            <w:pPr>
              <w:pStyle w:val="13"/>
            </w:pPr>
            <w:r>
              <w:t>更换教室及宿舍楼门窗</w:t>
            </w:r>
          </w:p>
        </w:tc>
        <w:tc>
          <w:tcPr>
            <w:tcW w:w="5386" w:type="dxa"/>
            <w:vAlign w:val="center"/>
          </w:tcPr>
          <w:p w14:paraId="32E358AF">
            <w:pPr>
              <w:pStyle w:val="13"/>
            </w:pPr>
            <w:r>
              <w:t>更换教室及宿舍楼门窗面积</w:t>
            </w:r>
          </w:p>
        </w:tc>
        <w:tc>
          <w:tcPr>
            <w:tcW w:w="2268" w:type="dxa"/>
            <w:vAlign w:val="center"/>
          </w:tcPr>
          <w:p w14:paraId="0C6F5562">
            <w:pPr>
              <w:pStyle w:val="13"/>
            </w:pPr>
            <w:r>
              <w:t>1000平方米</w:t>
            </w:r>
          </w:p>
        </w:tc>
        <w:tc>
          <w:tcPr>
            <w:tcW w:w="1276" w:type="dxa"/>
            <w:vAlign w:val="center"/>
          </w:tcPr>
          <w:p w14:paraId="67B6FEA6">
            <w:pPr>
              <w:pStyle w:val="13"/>
            </w:pPr>
            <w:r>
              <w:t>城乡义务教育公共经费</w:t>
            </w:r>
          </w:p>
        </w:tc>
      </w:tr>
      <w:tr w14:paraId="6101E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C1EED"/>
        </w:tc>
        <w:tc>
          <w:tcPr>
            <w:tcW w:w="2268" w:type="dxa"/>
            <w:vAlign w:val="center"/>
          </w:tcPr>
          <w:p w14:paraId="03A4C73A">
            <w:pPr>
              <w:pStyle w:val="13"/>
            </w:pPr>
            <w:r>
              <w:t>质量指标</w:t>
            </w:r>
          </w:p>
        </w:tc>
        <w:tc>
          <w:tcPr>
            <w:tcW w:w="2835" w:type="dxa"/>
            <w:vAlign w:val="center"/>
          </w:tcPr>
          <w:p w14:paraId="76C7890F">
            <w:pPr>
              <w:pStyle w:val="13"/>
            </w:pPr>
            <w:r>
              <w:t>工程实施验收合格率</w:t>
            </w:r>
          </w:p>
        </w:tc>
        <w:tc>
          <w:tcPr>
            <w:tcW w:w="5386" w:type="dxa"/>
            <w:vAlign w:val="center"/>
          </w:tcPr>
          <w:p w14:paraId="66C9324E">
            <w:pPr>
              <w:pStyle w:val="13"/>
            </w:pPr>
            <w:r>
              <w:t>申报程序的合规，项目实施及资金使用符合项目规划</w:t>
            </w:r>
          </w:p>
        </w:tc>
        <w:tc>
          <w:tcPr>
            <w:tcW w:w="2268" w:type="dxa"/>
            <w:vAlign w:val="center"/>
          </w:tcPr>
          <w:p w14:paraId="0F90282D">
            <w:pPr>
              <w:pStyle w:val="13"/>
            </w:pPr>
            <w:r>
              <w:t>100%</w:t>
            </w:r>
          </w:p>
        </w:tc>
        <w:tc>
          <w:tcPr>
            <w:tcW w:w="1276" w:type="dxa"/>
            <w:vAlign w:val="center"/>
          </w:tcPr>
          <w:p w14:paraId="3156E1FB">
            <w:pPr>
              <w:pStyle w:val="13"/>
            </w:pPr>
            <w:r>
              <w:t>城乡义务教育公共经费</w:t>
            </w:r>
          </w:p>
        </w:tc>
      </w:tr>
      <w:tr w14:paraId="3F08A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3282A"/>
        </w:tc>
        <w:tc>
          <w:tcPr>
            <w:tcW w:w="2268" w:type="dxa"/>
            <w:vAlign w:val="center"/>
          </w:tcPr>
          <w:p w14:paraId="6088B3AD">
            <w:pPr>
              <w:pStyle w:val="13"/>
            </w:pPr>
            <w:r>
              <w:t>时效指标</w:t>
            </w:r>
          </w:p>
        </w:tc>
        <w:tc>
          <w:tcPr>
            <w:tcW w:w="2835" w:type="dxa"/>
            <w:vAlign w:val="center"/>
          </w:tcPr>
          <w:p w14:paraId="15C4E5EE">
            <w:pPr>
              <w:pStyle w:val="13"/>
            </w:pPr>
            <w:r>
              <w:t>资金支付率</w:t>
            </w:r>
          </w:p>
        </w:tc>
        <w:tc>
          <w:tcPr>
            <w:tcW w:w="5386" w:type="dxa"/>
            <w:vAlign w:val="center"/>
          </w:tcPr>
          <w:p w14:paraId="2B55564F">
            <w:pPr>
              <w:pStyle w:val="13"/>
            </w:pPr>
            <w:r>
              <w:t>按照序时进度完成资金支付</w:t>
            </w:r>
          </w:p>
        </w:tc>
        <w:tc>
          <w:tcPr>
            <w:tcW w:w="2268" w:type="dxa"/>
            <w:vAlign w:val="center"/>
          </w:tcPr>
          <w:p w14:paraId="49D6D7E7">
            <w:pPr>
              <w:pStyle w:val="13"/>
            </w:pPr>
            <w:r>
              <w:t>100%</w:t>
            </w:r>
          </w:p>
        </w:tc>
        <w:tc>
          <w:tcPr>
            <w:tcW w:w="1276" w:type="dxa"/>
            <w:vAlign w:val="center"/>
          </w:tcPr>
          <w:p w14:paraId="45893448">
            <w:pPr>
              <w:pStyle w:val="13"/>
            </w:pPr>
            <w:r>
              <w:t>城乡义务教育公共经费</w:t>
            </w:r>
          </w:p>
        </w:tc>
      </w:tr>
      <w:tr w14:paraId="2B3AF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B53E7"/>
        </w:tc>
        <w:tc>
          <w:tcPr>
            <w:tcW w:w="2268" w:type="dxa"/>
            <w:vAlign w:val="center"/>
          </w:tcPr>
          <w:p w14:paraId="53596300">
            <w:pPr>
              <w:pStyle w:val="13"/>
            </w:pPr>
            <w:r>
              <w:t>成本指标</w:t>
            </w:r>
          </w:p>
        </w:tc>
        <w:tc>
          <w:tcPr>
            <w:tcW w:w="2835" w:type="dxa"/>
            <w:vAlign w:val="center"/>
          </w:tcPr>
          <w:p w14:paraId="6044CC70">
            <w:pPr>
              <w:pStyle w:val="13"/>
            </w:pPr>
            <w:r>
              <w:t>项目成本控制情况</w:t>
            </w:r>
          </w:p>
        </w:tc>
        <w:tc>
          <w:tcPr>
            <w:tcW w:w="5386" w:type="dxa"/>
            <w:vAlign w:val="center"/>
          </w:tcPr>
          <w:p w14:paraId="5EEC5D05">
            <w:pPr>
              <w:pStyle w:val="13"/>
            </w:pPr>
            <w:r>
              <w:t>严格按照招标价格及审计额进行</w:t>
            </w:r>
          </w:p>
        </w:tc>
        <w:tc>
          <w:tcPr>
            <w:tcW w:w="2268" w:type="dxa"/>
            <w:vAlign w:val="center"/>
          </w:tcPr>
          <w:p w14:paraId="1F0FBCCB">
            <w:pPr>
              <w:pStyle w:val="13"/>
            </w:pPr>
            <w:r>
              <w:t>≤48万元</w:t>
            </w:r>
          </w:p>
        </w:tc>
        <w:tc>
          <w:tcPr>
            <w:tcW w:w="1276" w:type="dxa"/>
            <w:vAlign w:val="center"/>
          </w:tcPr>
          <w:p w14:paraId="4F2BEDF5">
            <w:pPr>
              <w:pStyle w:val="13"/>
            </w:pPr>
            <w:r>
              <w:t>城乡义务教育公共经费</w:t>
            </w:r>
          </w:p>
        </w:tc>
      </w:tr>
      <w:tr w14:paraId="6B8B9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65C976">
            <w:pPr>
              <w:pStyle w:val="12"/>
            </w:pPr>
            <w:r>
              <w:t>效益指标</w:t>
            </w:r>
          </w:p>
        </w:tc>
        <w:tc>
          <w:tcPr>
            <w:tcW w:w="2268" w:type="dxa"/>
            <w:vAlign w:val="center"/>
          </w:tcPr>
          <w:p w14:paraId="40FAEEFD">
            <w:pPr>
              <w:pStyle w:val="13"/>
            </w:pPr>
            <w:r>
              <w:t>可持续影响指标</w:t>
            </w:r>
          </w:p>
        </w:tc>
        <w:tc>
          <w:tcPr>
            <w:tcW w:w="2835" w:type="dxa"/>
            <w:vAlign w:val="center"/>
          </w:tcPr>
          <w:p w14:paraId="0C7F7981">
            <w:pPr>
              <w:pStyle w:val="13"/>
            </w:pPr>
            <w:r>
              <w:t>学校运转得到提高</w:t>
            </w:r>
          </w:p>
        </w:tc>
        <w:tc>
          <w:tcPr>
            <w:tcW w:w="5386" w:type="dxa"/>
            <w:vAlign w:val="center"/>
          </w:tcPr>
          <w:p w14:paraId="6AD4838A">
            <w:pPr>
              <w:pStyle w:val="13"/>
            </w:pPr>
            <w:r>
              <w:t>学生受教育年限</w:t>
            </w:r>
          </w:p>
        </w:tc>
        <w:tc>
          <w:tcPr>
            <w:tcW w:w="2268" w:type="dxa"/>
            <w:vAlign w:val="center"/>
          </w:tcPr>
          <w:p w14:paraId="362CFCC1">
            <w:pPr>
              <w:pStyle w:val="13"/>
            </w:pPr>
            <w:r>
              <w:t>3年</w:t>
            </w:r>
          </w:p>
        </w:tc>
        <w:tc>
          <w:tcPr>
            <w:tcW w:w="1276" w:type="dxa"/>
            <w:vAlign w:val="center"/>
          </w:tcPr>
          <w:p w14:paraId="7BD9C842">
            <w:pPr>
              <w:pStyle w:val="13"/>
            </w:pPr>
            <w:r>
              <w:t>城乡义务教育公共经费</w:t>
            </w:r>
          </w:p>
        </w:tc>
      </w:tr>
      <w:tr w14:paraId="283AF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63E94">
            <w:pPr>
              <w:pStyle w:val="12"/>
            </w:pPr>
            <w:r>
              <w:t>满意度指标</w:t>
            </w:r>
          </w:p>
        </w:tc>
        <w:tc>
          <w:tcPr>
            <w:tcW w:w="2268" w:type="dxa"/>
            <w:vAlign w:val="center"/>
          </w:tcPr>
          <w:p w14:paraId="4E080660">
            <w:pPr>
              <w:pStyle w:val="13"/>
            </w:pPr>
            <w:r>
              <w:t>服务对象满意度指标</w:t>
            </w:r>
          </w:p>
        </w:tc>
        <w:tc>
          <w:tcPr>
            <w:tcW w:w="2835" w:type="dxa"/>
            <w:vAlign w:val="center"/>
          </w:tcPr>
          <w:p w14:paraId="002592B5">
            <w:pPr>
              <w:pStyle w:val="13"/>
            </w:pPr>
            <w:r>
              <w:t>受益学生家长及调查满意度</w:t>
            </w:r>
          </w:p>
        </w:tc>
        <w:tc>
          <w:tcPr>
            <w:tcW w:w="5386" w:type="dxa"/>
            <w:vAlign w:val="center"/>
          </w:tcPr>
          <w:p w14:paraId="40F7A452">
            <w:pPr>
              <w:pStyle w:val="13"/>
            </w:pPr>
            <w:r>
              <w:t>学生、教师及家长对学校教学环境满意度情况</w:t>
            </w:r>
          </w:p>
        </w:tc>
        <w:tc>
          <w:tcPr>
            <w:tcW w:w="2268" w:type="dxa"/>
            <w:vAlign w:val="center"/>
          </w:tcPr>
          <w:p w14:paraId="42C7A06E">
            <w:pPr>
              <w:pStyle w:val="13"/>
            </w:pPr>
            <w:r>
              <w:t>≥98%</w:t>
            </w:r>
          </w:p>
        </w:tc>
        <w:tc>
          <w:tcPr>
            <w:tcW w:w="1276" w:type="dxa"/>
            <w:vAlign w:val="center"/>
          </w:tcPr>
          <w:p w14:paraId="17FF18E9">
            <w:pPr>
              <w:pStyle w:val="13"/>
            </w:pPr>
            <w:r>
              <w:t>问卷调查</w:t>
            </w:r>
          </w:p>
        </w:tc>
      </w:tr>
    </w:tbl>
    <w:p w14:paraId="7A94C9E0">
      <w:pPr>
        <w:sectPr>
          <w:pgSz w:w="16840" w:h="11900" w:orient="landscape"/>
          <w:pgMar w:top="1361" w:right="1020" w:bottom="1134" w:left="1020" w:header="720" w:footer="720" w:gutter="0"/>
          <w:cols w:space="720" w:num="1"/>
        </w:sectPr>
      </w:pPr>
    </w:p>
    <w:p w14:paraId="5DC29F82">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4、冀财教[2024]123号/中央/2025年义教补助经费/综合奖补/东良中学公用经费绩效目标表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85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FFD8B">
            <w:pPr>
              <w:pStyle w:val="14"/>
            </w:pPr>
            <w:r>
              <w:t>单位：万元</w:t>
            </w:r>
          </w:p>
        </w:tc>
      </w:tr>
      <w:tr w14:paraId="208611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EED97">
            <w:pPr>
              <w:pStyle w:val="11"/>
            </w:pPr>
            <w:r>
              <w:t>项目编码</w:t>
            </w:r>
          </w:p>
        </w:tc>
        <w:tc>
          <w:tcPr>
            <w:tcW w:w="5103" w:type="dxa"/>
            <w:gridSpan w:val="2"/>
            <w:vAlign w:val="center"/>
          </w:tcPr>
          <w:p w14:paraId="7AD42CE1">
            <w:pPr>
              <w:pStyle w:val="13"/>
            </w:pPr>
            <w:r>
              <w:t>13052525P008756102656</w:t>
            </w:r>
          </w:p>
        </w:tc>
        <w:tc>
          <w:tcPr>
            <w:tcW w:w="2835" w:type="dxa"/>
            <w:vAlign w:val="center"/>
          </w:tcPr>
          <w:p w14:paraId="71061D88">
            <w:pPr>
              <w:pStyle w:val="11"/>
            </w:pPr>
            <w:r>
              <w:t>项目名称</w:t>
            </w:r>
          </w:p>
        </w:tc>
        <w:tc>
          <w:tcPr>
            <w:tcW w:w="6095" w:type="dxa"/>
            <w:gridSpan w:val="3"/>
            <w:vAlign w:val="center"/>
          </w:tcPr>
          <w:p w14:paraId="5D7F3F49">
            <w:pPr>
              <w:pStyle w:val="13"/>
            </w:pPr>
            <w:r>
              <w:t>冀财教[2024]123号/中央/2025年义教补助经费/综合奖补/东良中学公用经费</w:t>
            </w:r>
          </w:p>
        </w:tc>
      </w:tr>
      <w:tr w14:paraId="0E088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85B63">
            <w:pPr>
              <w:pStyle w:val="11"/>
            </w:pPr>
            <w:r>
              <w:t>预算规模及资金用途</w:t>
            </w:r>
          </w:p>
        </w:tc>
        <w:tc>
          <w:tcPr>
            <w:tcW w:w="2268" w:type="dxa"/>
            <w:vAlign w:val="center"/>
          </w:tcPr>
          <w:p w14:paraId="1E37EEBB">
            <w:pPr>
              <w:pStyle w:val="11"/>
            </w:pPr>
            <w:r>
              <w:t>预算数</w:t>
            </w:r>
          </w:p>
        </w:tc>
        <w:tc>
          <w:tcPr>
            <w:tcW w:w="2835" w:type="dxa"/>
            <w:vAlign w:val="center"/>
          </w:tcPr>
          <w:p w14:paraId="2528237B">
            <w:pPr>
              <w:pStyle w:val="13"/>
            </w:pPr>
            <w:r>
              <w:t>2.30</w:t>
            </w:r>
          </w:p>
        </w:tc>
        <w:tc>
          <w:tcPr>
            <w:tcW w:w="2835" w:type="dxa"/>
            <w:vAlign w:val="center"/>
          </w:tcPr>
          <w:p w14:paraId="251E2EAA">
            <w:pPr>
              <w:pStyle w:val="11"/>
            </w:pPr>
            <w:r>
              <w:t>其中：财政    资金</w:t>
            </w:r>
          </w:p>
        </w:tc>
        <w:tc>
          <w:tcPr>
            <w:tcW w:w="2551" w:type="dxa"/>
            <w:vAlign w:val="center"/>
          </w:tcPr>
          <w:p w14:paraId="52471D7E">
            <w:pPr>
              <w:pStyle w:val="13"/>
            </w:pPr>
            <w:r>
              <w:t>2.30</w:t>
            </w:r>
          </w:p>
        </w:tc>
        <w:tc>
          <w:tcPr>
            <w:tcW w:w="2268" w:type="dxa"/>
            <w:vAlign w:val="center"/>
          </w:tcPr>
          <w:p w14:paraId="6CDAB4AB">
            <w:pPr>
              <w:pStyle w:val="11"/>
            </w:pPr>
            <w:r>
              <w:t>其他资金</w:t>
            </w:r>
          </w:p>
        </w:tc>
        <w:tc>
          <w:tcPr>
            <w:tcW w:w="1276" w:type="dxa"/>
            <w:vAlign w:val="center"/>
          </w:tcPr>
          <w:p w14:paraId="4B321D25">
            <w:pPr>
              <w:pStyle w:val="13"/>
            </w:pPr>
            <w:r>
              <w:t xml:space="preserve"> </w:t>
            </w:r>
          </w:p>
        </w:tc>
      </w:tr>
      <w:tr w14:paraId="030ED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EEB448"/>
        </w:tc>
        <w:tc>
          <w:tcPr>
            <w:tcW w:w="14033" w:type="dxa"/>
            <w:gridSpan w:val="6"/>
            <w:vAlign w:val="center"/>
          </w:tcPr>
          <w:p w14:paraId="3554E5B3">
            <w:pPr>
              <w:pStyle w:val="13"/>
            </w:pPr>
            <w:r>
              <w:t>改善就学条件，提升学校形象，保障义务教育阶段教学安全，改善师生教学环境，创造良好的校园环境。</w:t>
            </w:r>
            <w:r>
              <w:tab/>
            </w:r>
            <w:r>
              <w:tab/>
            </w:r>
            <w:r>
              <w:tab/>
            </w:r>
            <w:r>
              <w:tab/>
            </w:r>
            <w:r>
              <w:tab/>
            </w:r>
            <w:r>
              <w:tab/>
            </w:r>
            <w:r>
              <w:tab/>
            </w:r>
          </w:p>
        </w:tc>
      </w:tr>
      <w:tr w14:paraId="038FB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E0DD9">
            <w:pPr>
              <w:pStyle w:val="11"/>
            </w:pPr>
            <w:r>
              <w:t>资金支出计划（%）</w:t>
            </w:r>
          </w:p>
        </w:tc>
        <w:tc>
          <w:tcPr>
            <w:tcW w:w="5103" w:type="dxa"/>
            <w:gridSpan w:val="2"/>
            <w:vAlign w:val="center"/>
          </w:tcPr>
          <w:p w14:paraId="7819CBD7">
            <w:pPr>
              <w:pStyle w:val="11"/>
            </w:pPr>
            <w:r>
              <w:t>3月底</w:t>
            </w:r>
          </w:p>
        </w:tc>
        <w:tc>
          <w:tcPr>
            <w:tcW w:w="2835" w:type="dxa"/>
            <w:vAlign w:val="center"/>
          </w:tcPr>
          <w:p w14:paraId="59804D5E">
            <w:pPr>
              <w:pStyle w:val="11"/>
            </w:pPr>
            <w:r>
              <w:t>6月底</w:t>
            </w:r>
          </w:p>
        </w:tc>
        <w:tc>
          <w:tcPr>
            <w:tcW w:w="2551" w:type="dxa"/>
            <w:vAlign w:val="center"/>
          </w:tcPr>
          <w:p w14:paraId="6ED56701">
            <w:pPr>
              <w:pStyle w:val="11"/>
            </w:pPr>
            <w:r>
              <w:t>10月底</w:t>
            </w:r>
          </w:p>
        </w:tc>
        <w:tc>
          <w:tcPr>
            <w:tcW w:w="3544" w:type="dxa"/>
            <w:gridSpan w:val="2"/>
            <w:vAlign w:val="center"/>
          </w:tcPr>
          <w:p w14:paraId="49DC743D">
            <w:pPr>
              <w:pStyle w:val="11"/>
            </w:pPr>
            <w:r>
              <w:t>12月底</w:t>
            </w:r>
          </w:p>
        </w:tc>
      </w:tr>
      <w:tr w14:paraId="74287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3D8568"/>
        </w:tc>
        <w:tc>
          <w:tcPr>
            <w:tcW w:w="5103" w:type="dxa"/>
            <w:gridSpan w:val="2"/>
            <w:vAlign w:val="center"/>
          </w:tcPr>
          <w:p w14:paraId="1F35B6D9">
            <w:pPr>
              <w:pStyle w:val="12"/>
            </w:pPr>
            <w:r>
              <w:t xml:space="preserve"> </w:t>
            </w:r>
          </w:p>
        </w:tc>
        <w:tc>
          <w:tcPr>
            <w:tcW w:w="2835" w:type="dxa"/>
            <w:vAlign w:val="center"/>
          </w:tcPr>
          <w:p w14:paraId="12DB0A42">
            <w:pPr>
              <w:pStyle w:val="12"/>
            </w:pPr>
            <w:r>
              <w:t>30%</w:t>
            </w:r>
          </w:p>
        </w:tc>
        <w:tc>
          <w:tcPr>
            <w:tcW w:w="2551" w:type="dxa"/>
            <w:vAlign w:val="center"/>
          </w:tcPr>
          <w:p w14:paraId="138A137E">
            <w:pPr>
              <w:pStyle w:val="12"/>
            </w:pPr>
            <w:r>
              <w:t>80%</w:t>
            </w:r>
          </w:p>
        </w:tc>
        <w:tc>
          <w:tcPr>
            <w:tcW w:w="3544" w:type="dxa"/>
            <w:gridSpan w:val="2"/>
            <w:vAlign w:val="center"/>
          </w:tcPr>
          <w:p w14:paraId="07B9D4BC">
            <w:pPr>
              <w:pStyle w:val="12"/>
            </w:pPr>
            <w:r>
              <w:t>100%</w:t>
            </w:r>
          </w:p>
        </w:tc>
      </w:tr>
      <w:tr w14:paraId="6DEC5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6B8270">
            <w:pPr>
              <w:pStyle w:val="11"/>
            </w:pPr>
            <w:r>
              <w:t>绩效目标</w:t>
            </w:r>
          </w:p>
        </w:tc>
        <w:tc>
          <w:tcPr>
            <w:tcW w:w="14033" w:type="dxa"/>
            <w:gridSpan w:val="6"/>
            <w:vAlign w:val="center"/>
          </w:tcPr>
          <w:p w14:paraId="6A711713">
            <w:pPr>
              <w:pStyle w:val="13"/>
            </w:pPr>
            <w:r>
              <w:t>1.改善就学条件，提升学校形象，保障义务教育阶段教学安全，改善师生教学环境，创造良好的校园环境。</w:t>
            </w:r>
            <w:r>
              <w:tab/>
            </w:r>
            <w:r>
              <w:tab/>
            </w:r>
            <w:r>
              <w:tab/>
            </w:r>
            <w:r>
              <w:tab/>
            </w:r>
            <w:r>
              <w:tab/>
            </w:r>
            <w:r>
              <w:tab/>
            </w:r>
            <w:r>
              <w:tab/>
            </w:r>
            <w:r>
              <w:tab/>
            </w:r>
          </w:p>
          <w:p w14:paraId="600C0C69">
            <w:pPr>
              <w:pStyle w:val="13"/>
            </w:pPr>
            <w:r>
              <w:t>2.项目需资金2.3万元，资金拨付率达到100%。</w:t>
            </w:r>
            <w:r>
              <w:tab/>
            </w:r>
            <w:r>
              <w:tab/>
            </w:r>
            <w:r>
              <w:tab/>
            </w:r>
            <w:r>
              <w:tab/>
            </w:r>
            <w:r>
              <w:tab/>
            </w:r>
            <w:r>
              <w:tab/>
            </w:r>
          </w:p>
        </w:tc>
      </w:tr>
    </w:tbl>
    <w:p w14:paraId="615BD0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74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6D51B">
            <w:pPr>
              <w:pStyle w:val="11"/>
            </w:pPr>
            <w:r>
              <w:t>一级指标</w:t>
            </w:r>
          </w:p>
        </w:tc>
        <w:tc>
          <w:tcPr>
            <w:tcW w:w="2268" w:type="dxa"/>
            <w:vAlign w:val="center"/>
          </w:tcPr>
          <w:p w14:paraId="147E5A49">
            <w:pPr>
              <w:pStyle w:val="11"/>
            </w:pPr>
            <w:r>
              <w:t>二级指标</w:t>
            </w:r>
          </w:p>
        </w:tc>
        <w:tc>
          <w:tcPr>
            <w:tcW w:w="2835" w:type="dxa"/>
            <w:vAlign w:val="center"/>
          </w:tcPr>
          <w:p w14:paraId="57CA3A04">
            <w:pPr>
              <w:pStyle w:val="11"/>
            </w:pPr>
            <w:r>
              <w:t>三级指标</w:t>
            </w:r>
          </w:p>
        </w:tc>
        <w:tc>
          <w:tcPr>
            <w:tcW w:w="5386" w:type="dxa"/>
            <w:vAlign w:val="center"/>
          </w:tcPr>
          <w:p w14:paraId="17FBF122">
            <w:pPr>
              <w:pStyle w:val="11"/>
            </w:pPr>
            <w:r>
              <w:t>绩效指标描述</w:t>
            </w:r>
          </w:p>
        </w:tc>
        <w:tc>
          <w:tcPr>
            <w:tcW w:w="2268" w:type="dxa"/>
            <w:vAlign w:val="center"/>
          </w:tcPr>
          <w:p w14:paraId="093468EE">
            <w:pPr>
              <w:pStyle w:val="11"/>
            </w:pPr>
            <w:r>
              <w:t>指标值</w:t>
            </w:r>
          </w:p>
        </w:tc>
        <w:tc>
          <w:tcPr>
            <w:tcW w:w="1276" w:type="dxa"/>
            <w:vAlign w:val="center"/>
          </w:tcPr>
          <w:p w14:paraId="1830E37B">
            <w:pPr>
              <w:pStyle w:val="11"/>
            </w:pPr>
            <w:r>
              <w:t>指标值确定依据</w:t>
            </w:r>
          </w:p>
        </w:tc>
      </w:tr>
      <w:tr w14:paraId="2F6E2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D65E3">
            <w:pPr>
              <w:pStyle w:val="12"/>
            </w:pPr>
            <w:r>
              <w:t>产出指标</w:t>
            </w:r>
          </w:p>
        </w:tc>
        <w:tc>
          <w:tcPr>
            <w:tcW w:w="2268" w:type="dxa"/>
            <w:vAlign w:val="center"/>
          </w:tcPr>
          <w:p w14:paraId="58DAF395">
            <w:pPr>
              <w:pStyle w:val="13"/>
            </w:pPr>
            <w:r>
              <w:t>数量指标</w:t>
            </w:r>
          </w:p>
        </w:tc>
        <w:tc>
          <w:tcPr>
            <w:tcW w:w="2835" w:type="dxa"/>
            <w:vAlign w:val="center"/>
          </w:tcPr>
          <w:p w14:paraId="156FB566">
            <w:pPr>
              <w:pStyle w:val="13"/>
            </w:pPr>
            <w:r>
              <w:t>视频会议系统</w:t>
            </w:r>
          </w:p>
        </w:tc>
        <w:tc>
          <w:tcPr>
            <w:tcW w:w="5386" w:type="dxa"/>
            <w:vAlign w:val="center"/>
          </w:tcPr>
          <w:p w14:paraId="7A9B748E">
            <w:pPr>
              <w:pStyle w:val="13"/>
            </w:pPr>
            <w:r>
              <w:t>视频会议系统套数</w:t>
            </w:r>
          </w:p>
        </w:tc>
        <w:tc>
          <w:tcPr>
            <w:tcW w:w="2268" w:type="dxa"/>
            <w:vAlign w:val="center"/>
          </w:tcPr>
          <w:p w14:paraId="50374777">
            <w:pPr>
              <w:pStyle w:val="13"/>
            </w:pPr>
            <w:r>
              <w:t>1套</w:t>
            </w:r>
          </w:p>
        </w:tc>
        <w:tc>
          <w:tcPr>
            <w:tcW w:w="1276" w:type="dxa"/>
            <w:vAlign w:val="center"/>
          </w:tcPr>
          <w:p w14:paraId="03A5C47C">
            <w:pPr>
              <w:pStyle w:val="13"/>
            </w:pPr>
            <w:r>
              <w:t>城乡义务教育公共经费</w:t>
            </w:r>
          </w:p>
        </w:tc>
      </w:tr>
      <w:tr w14:paraId="5264B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5EF84"/>
        </w:tc>
        <w:tc>
          <w:tcPr>
            <w:tcW w:w="2268" w:type="dxa"/>
            <w:vAlign w:val="center"/>
          </w:tcPr>
          <w:p w14:paraId="7874ADE2">
            <w:pPr>
              <w:pStyle w:val="13"/>
            </w:pPr>
            <w:r>
              <w:t>质量指标</w:t>
            </w:r>
          </w:p>
        </w:tc>
        <w:tc>
          <w:tcPr>
            <w:tcW w:w="2835" w:type="dxa"/>
            <w:vAlign w:val="center"/>
          </w:tcPr>
          <w:p w14:paraId="236EAE68">
            <w:pPr>
              <w:pStyle w:val="13"/>
            </w:pPr>
            <w:r>
              <w:t>设备合格率</w:t>
            </w:r>
          </w:p>
        </w:tc>
        <w:tc>
          <w:tcPr>
            <w:tcW w:w="5386" w:type="dxa"/>
            <w:vAlign w:val="center"/>
          </w:tcPr>
          <w:p w14:paraId="317AF46E">
            <w:pPr>
              <w:pStyle w:val="13"/>
            </w:pPr>
            <w:r>
              <w:t>设备合格率</w:t>
            </w:r>
          </w:p>
        </w:tc>
        <w:tc>
          <w:tcPr>
            <w:tcW w:w="2268" w:type="dxa"/>
            <w:vAlign w:val="center"/>
          </w:tcPr>
          <w:p w14:paraId="6F9BB56A">
            <w:pPr>
              <w:pStyle w:val="13"/>
            </w:pPr>
            <w:r>
              <w:t>100%</w:t>
            </w:r>
          </w:p>
        </w:tc>
        <w:tc>
          <w:tcPr>
            <w:tcW w:w="1276" w:type="dxa"/>
            <w:vAlign w:val="center"/>
          </w:tcPr>
          <w:p w14:paraId="1155A957">
            <w:pPr>
              <w:pStyle w:val="13"/>
            </w:pPr>
            <w:r>
              <w:t>城乡义务教育公共经费</w:t>
            </w:r>
          </w:p>
        </w:tc>
      </w:tr>
      <w:tr w14:paraId="43AE9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0AF20"/>
        </w:tc>
        <w:tc>
          <w:tcPr>
            <w:tcW w:w="2268" w:type="dxa"/>
            <w:vAlign w:val="center"/>
          </w:tcPr>
          <w:p w14:paraId="273C2E2F">
            <w:pPr>
              <w:pStyle w:val="13"/>
            </w:pPr>
            <w:r>
              <w:t>时效指标</w:t>
            </w:r>
          </w:p>
        </w:tc>
        <w:tc>
          <w:tcPr>
            <w:tcW w:w="2835" w:type="dxa"/>
            <w:vAlign w:val="center"/>
          </w:tcPr>
          <w:p w14:paraId="320B5875">
            <w:pPr>
              <w:pStyle w:val="13"/>
            </w:pPr>
            <w:r>
              <w:t>资金支付率</w:t>
            </w:r>
          </w:p>
        </w:tc>
        <w:tc>
          <w:tcPr>
            <w:tcW w:w="5386" w:type="dxa"/>
            <w:vAlign w:val="center"/>
          </w:tcPr>
          <w:p w14:paraId="49FD8637">
            <w:pPr>
              <w:pStyle w:val="13"/>
            </w:pPr>
            <w:r>
              <w:t>按照序时进度完成资金支付</w:t>
            </w:r>
          </w:p>
        </w:tc>
        <w:tc>
          <w:tcPr>
            <w:tcW w:w="2268" w:type="dxa"/>
            <w:vAlign w:val="center"/>
          </w:tcPr>
          <w:p w14:paraId="4FC6334C">
            <w:pPr>
              <w:pStyle w:val="13"/>
            </w:pPr>
            <w:r>
              <w:t>100%</w:t>
            </w:r>
          </w:p>
        </w:tc>
        <w:tc>
          <w:tcPr>
            <w:tcW w:w="1276" w:type="dxa"/>
            <w:vAlign w:val="center"/>
          </w:tcPr>
          <w:p w14:paraId="75E39DD8">
            <w:pPr>
              <w:pStyle w:val="13"/>
            </w:pPr>
            <w:r>
              <w:t>城乡义务教育公共经费</w:t>
            </w:r>
          </w:p>
        </w:tc>
      </w:tr>
      <w:tr w14:paraId="092E0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053BB"/>
        </w:tc>
        <w:tc>
          <w:tcPr>
            <w:tcW w:w="2268" w:type="dxa"/>
            <w:vAlign w:val="center"/>
          </w:tcPr>
          <w:p w14:paraId="225D6A51">
            <w:pPr>
              <w:pStyle w:val="13"/>
            </w:pPr>
            <w:r>
              <w:t>成本指标</w:t>
            </w:r>
          </w:p>
        </w:tc>
        <w:tc>
          <w:tcPr>
            <w:tcW w:w="2835" w:type="dxa"/>
            <w:vAlign w:val="center"/>
          </w:tcPr>
          <w:p w14:paraId="5E695FFC">
            <w:pPr>
              <w:pStyle w:val="13"/>
            </w:pPr>
            <w:r>
              <w:t>项目成本控制情况</w:t>
            </w:r>
          </w:p>
        </w:tc>
        <w:tc>
          <w:tcPr>
            <w:tcW w:w="5386" w:type="dxa"/>
            <w:vAlign w:val="center"/>
          </w:tcPr>
          <w:p w14:paraId="67FDFDB5">
            <w:pPr>
              <w:pStyle w:val="13"/>
            </w:pPr>
            <w:r>
              <w:t>严格按照招标价格及审计额进行</w:t>
            </w:r>
          </w:p>
        </w:tc>
        <w:tc>
          <w:tcPr>
            <w:tcW w:w="2268" w:type="dxa"/>
            <w:vAlign w:val="center"/>
          </w:tcPr>
          <w:p w14:paraId="49057731">
            <w:pPr>
              <w:pStyle w:val="13"/>
            </w:pPr>
            <w:r>
              <w:t>≤2.3万元</w:t>
            </w:r>
          </w:p>
        </w:tc>
        <w:tc>
          <w:tcPr>
            <w:tcW w:w="1276" w:type="dxa"/>
            <w:vAlign w:val="center"/>
          </w:tcPr>
          <w:p w14:paraId="3BC3A227">
            <w:pPr>
              <w:pStyle w:val="13"/>
            </w:pPr>
            <w:r>
              <w:t>城乡义务教育公共经费</w:t>
            </w:r>
          </w:p>
        </w:tc>
      </w:tr>
      <w:tr w14:paraId="04B99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1DE1B3">
            <w:pPr>
              <w:pStyle w:val="12"/>
            </w:pPr>
            <w:r>
              <w:t>效益指标</w:t>
            </w:r>
          </w:p>
        </w:tc>
        <w:tc>
          <w:tcPr>
            <w:tcW w:w="2268" w:type="dxa"/>
            <w:vAlign w:val="center"/>
          </w:tcPr>
          <w:p w14:paraId="4DFDB736">
            <w:pPr>
              <w:pStyle w:val="13"/>
            </w:pPr>
            <w:r>
              <w:t>可持续影响指标</w:t>
            </w:r>
          </w:p>
        </w:tc>
        <w:tc>
          <w:tcPr>
            <w:tcW w:w="2835" w:type="dxa"/>
            <w:vAlign w:val="center"/>
          </w:tcPr>
          <w:p w14:paraId="7709F8FE">
            <w:pPr>
              <w:pStyle w:val="13"/>
            </w:pPr>
            <w:r>
              <w:t>学校运转得到提高</w:t>
            </w:r>
          </w:p>
        </w:tc>
        <w:tc>
          <w:tcPr>
            <w:tcW w:w="5386" w:type="dxa"/>
            <w:vAlign w:val="center"/>
          </w:tcPr>
          <w:p w14:paraId="376B30B0">
            <w:pPr>
              <w:pStyle w:val="13"/>
            </w:pPr>
            <w:r>
              <w:t>学生受教育年限</w:t>
            </w:r>
          </w:p>
        </w:tc>
        <w:tc>
          <w:tcPr>
            <w:tcW w:w="2268" w:type="dxa"/>
            <w:vAlign w:val="center"/>
          </w:tcPr>
          <w:p w14:paraId="37B45709">
            <w:pPr>
              <w:pStyle w:val="13"/>
            </w:pPr>
            <w:r>
              <w:t>3年</w:t>
            </w:r>
          </w:p>
        </w:tc>
        <w:tc>
          <w:tcPr>
            <w:tcW w:w="1276" w:type="dxa"/>
            <w:vAlign w:val="center"/>
          </w:tcPr>
          <w:p w14:paraId="090F0816">
            <w:pPr>
              <w:pStyle w:val="13"/>
            </w:pPr>
            <w:r>
              <w:t>城乡义务教育公共经费</w:t>
            </w:r>
          </w:p>
        </w:tc>
      </w:tr>
      <w:tr w14:paraId="5981E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0D82F">
            <w:pPr>
              <w:pStyle w:val="12"/>
            </w:pPr>
            <w:r>
              <w:t>满意度指标</w:t>
            </w:r>
          </w:p>
        </w:tc>
        <w:tc>
          <w:tcPr>
            <w:tcW w:w="2268" w:type="dxa"/>
            <w:vAlign w:val="center"/>
          </w:tcPr>
          <w:p w14:paraId="393AAE74">
            <w:pPr>
              <w:pStyle w:val="13"/>
            </w:pPr>
            <w:r>
              <w:t>服务对象满意度指标</w:t>
            </w:r>
          </w:p>
        </w:tc>
        <w:tc>
          <w:tcPr>
            <w:tcW w:w="2835" w:type="dxa"/>
            <w:vAlign w:val="center"/>
          </w:tcPr>
          <w:p w14:paraId="6C60991F">
            <w:pPr>
              <w:pStyle w:val="13"/>
            </w:pPr>
            <w:r>
              <w:t>受益学生家长及调查满意度</w:t>
            </w:r>
          </w:p>
        </w:tc>
        <w:tc>
          <w:tcPr>
            <w:tcW w:w="5386" w:type="dxa"/>
            <w:vAlign w:val="center"/>
          </w:tcPr>
          <w:p w14:paraId="4B76974D">
            <w:pPr>
              <w:pStyle w:val="13"/>
            </w:pPr>
            <w:r>
              <w:t>学生、教师及家长对学校教学环境满意度情况</w:t>
            </w:r>
          </w:p>
        </w:tc>
        <w:tc>
          <w:tcPr>
            <w:tcW w:w="2268" w:type="dxa"/>
            <w:vAlign w:val="center"/>
          </w:tcPr>
          <w:p w14:paraId="29CF65FA">
            <w:pPr>
              <w:pStyle w:val="13"/>
            </w:pPr>
            <w:r>
              <w:t>≥98%</w:t>
            </w:r>
          </w:p>
        </w:tc>
        <w:tc>
          <w:tcPr>
            <w:tcW w:w="1276" w:type="dxa"/>
            <w:vAlign w:val="center"/>
          </w:tcPr>
          <w:p w14:paraId="6AC0EE66">
            <w:pPr>
              <w:pStyle w:val="13"/>
            </w:pPr>
            <w:r>
              <w:t>问卷调查</w:t>
            </w:r>
          </w:p>
        </w:tc>
      </w:tr>
    </w:tbl>
    <w:p w14:paraId="261AEF8A">
      <w:pPr>
        <w:sectPr>
          <w:pgSz w:w="16840" w:h="11900" w:orient="landscape"/>
          <w:pgMar w:top="1361" w:right="1020" w:bottom="1134" w:left="1020" w:header="720" w:footer="720" w:gutter="0"/>
          <w:cols w:space="720" w:num="1"/>
        </w:sectPr>
      </w:pPr>
    </w:p>
    <w:p w14:paraId="455085B5">
      <w:pPr>
        <w:spacing w:before="0" w:after="0"/>
        <w:ind w:firstLine="560"/>
        <w:jc w:val="left"/>
        <w:outlineLvl w:val="9"/>
      </w:pPr>
      <w:r>
        <w:rPr>
          <w:rFonts w:ascii="方正仿宋_GBK" w:hAnsi="方正仿宋_GBK" w:eastAsia="方正仿宋_GBK" w:cs="方正仿宋_GBK"/>
          <w:b/>
          <w:color w:val="000000"/>
          <w:sz w:val="28"/>
        </w:rPr>
        <w:t>5、冀财教[2024]141号/省级/2025年义教补助经费/东良中学公用经费绩效目标表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66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D2B55">
            <w:pPr>
              <w:pStyle w:val="14"/>
            </w:pPr>
            <w:r>
              <w:t>单位：万元</w:t>
            </w:r>
          </w:p>
        </w:tc>
      </w:tr>
      <w:tr w14:paraId="69B5A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30D4DEFE">
            <w:pPr>
              <w:pStyle w:val="11"/>
            </w:pPr>
            <w:r>
              <w:t>项目编码</w:t>
            </w:r>
          </w:p>
        </w:tc>
        <w:tc>
          <w:tcPr>
            <w:tcW w:w="5103" w:type="dxa"/>
            <w:gridSpan w:val="2"/>
            <w:vAlign w:val="center"/>
          </w:tcPr>
          <w:p w14:paraId="513E7B6F">
            <w:pPr>
              <w:pStyle w:val="13"/>
            </w:pPr>
            <w:r>
              <w:t>13052525P000004101201</w:t>
            </w:r>
          </w:p>
        </w:tc>
        <w:tc>
          <w:tcPr>
            <w:tcW w:w="2835" w:type="dxa"/>
            <w:vAlign w:val="center"/>
          </w:tcPr>
          <w:p w14:paraId="69B0133E">
            <w:pPr>
              <w:pStyle w:val="11"/>
            </w:pPr>
            <w:r>
              <w:t>项目名称</w:t>
            </w:r>
          </w:p>
        </w:tc>
        <w:tc>
          <w:tcPr>
            <w:tcW w:w="6095" w:type="dxa"/>
            <w:gridSpan w:val="3"/>
            <w:vAlign w:val="center"/>
          </w:tcPr>
          <w:p w14:paraId="07670085">
            <w:pPr>
              <w:pStyle w:val="13"/>
            </w:pPr>
            <w:r>
              <w:t>冀财教[2024]141号/省级/2025年义教补助经费/东良中学公用经费</w:t>
            </w:r>
          </w:p>
        </w:tc>
      </w:tr>
      <w:tr w14:paraId="2E83C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FFF17">
            <w:pPr>
              <w:pStyle w:val="11"/>
            </w:pPr>
            <w:r>
              <w:t>预算规模及资金用途</w:t>
            </w:r>
          </w:p>
        </w:tc>
        <w:tc>
          <w:tcPr>
            <w:tcW w:w="2268" w:type="dxa"/>
            <w:vAlign w:val="center"/>
          </w:tcPr>
          <w:p w14:paraId="1BE773F1">
            <w:pPr>
              <w:pStyle w:val="11"/>
            </w:pPr>
            <w:r>
              <w:t>预算数</w:t>
            </w:r>
          </w:p>
        </w:tc>
        <w:tc>
          <w:tcPr>
            <w:tcW w:w="2835" w:type="dxa"/>
            <w:vAlign w:val="center"/>
          </w:tcPr>
          <w:p w14:paraId="1DE730B4">
            <w:pPr>
              <w:pStyle w:val="13"/>
            </w:pPr>
            <w:r>
              <w:t>40.23</w:t>
            </w:r>
          </w:p>
        </w:tc>
        <w:tc>
          <w:tcPr>
            <w:tcW w:w="2835" w:type="dxa"/>
            <w:vAlign w:val="center"/>
          </w:tcPr>
          <w:p w14:paraId="7AFD0067">
            <w:pPr>
              <w:pStyle w:val="11"/>
            </w:pPr>
            <w:r>
              <w:t>其中：财政    资金</w:t>
            </w:r>
          </w:p>
        </w:tc>
        <w:tc>
          <w:tcPr>
            <w:tcW w:w="2551" w:type="dxa"/>
            <w:vAlign w:val="center"/>
          </w:tcPr>
          <w:p w14:paraId="36E749C5">
            <w:pPr>
              <w:pStyle w:val="13"/>
            </w:pPr>
            <w:r>
              <w:t>40.23</w:t>
            </w:r>
          </w:p>
        </w:tc>
        <w:tc>
          <w:tcPr>
            <w:tcW w:w="2268" w:type="dxa"/>
            <w:vAlign w:val="center"/>
          </w:tcPr>
          <w:p w14:paraId="1CAB36F8">
            <w:pPr>
              <w:pStyle w:val="11"/>
            </w:pPr>
            <w:r>
              <w:t>其他资金</w:t>
            </w:r>
          </w:p>
        </w:tc>
        <w:tc>
          <w:tcPr>
            <w:tcW w:w="1276" w:type="dxa"/>
            <w:vAlign w:val="center"/>
          </w:tcPr>
          <w:p w14:paraId="0411A872">
            <w:pPr>
              <w:pStyle w:val="13"/>
            </w:pPr>
            <w:r>
              <w:t xml:space="preserve"> </w:t>
            </w:r>
          </w:p>
        </w:tc>
      </w:tr>
      <w:tr w14:paraId="0A25A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43E44B"/>
        </w:tc>
        <w:tc>
          <w:tcPr>
            <w:tcW w:w="14033" w:type="dxa"/>
            <w:gridSpan w:val="6"/>
            <w:vAlign w:val="center"/>
          </w:tcPr>
          <w:p w14:paraId="751187F2">
            <w:pPr>
              <w:pStyle w:val="13"/>
            </w:pPr>
            <w:r>
              <w:t>保障义务教育学校正常运转，全面贯彻党的教育方针，办人民满意的教育，高质量、高标准完成教育教学活动和其他日常工作任务等方面的费用支出。</w:t>
            </w:r>
            <w:r>
              <w:tab/>
            </w:r>
            <w:r>
              <w:tab/>
            </w:r>
            <w:r>
              <w:tab/>
            </w:r>
            <w:r>
              <w:tab/>
            </w:r>
            <w:r>
              <w:tab/>
            </w:r>
          </w:p>
        </w:tc>
      </w:tr>
      <w:tr w14:paraId="102EF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C3D80">
            <w:pPr>
              <w:pStyle w:val="11"/>
            </w:pPr>
            <w:r>
              <w:t>资金支出计划（%）</w:t>
            </w:r>
          </w:p>
        </w:tc>
        <w:tc>
          <w:tcPr>
            <w:tcW w:w="5103" w:type="dxa"/>
            <w:gridSpan w:val="2"/>
            <w:vAlign w:val="center"/>
          </w:tcPr>
          <w:p w14:paraId="3470640A">
            <w:pPr>
              <w:pStyle w:val="11"/>
            </w:pPr>
            <w:r>
              <w:t>3月底</w:t>
            </w:r>
          </w:p>
        </w:tc>
        <w:tc>
          <w:tcPr>
            <w:tcW w:w="2835" w:type="dxa"/>
            <w:vAlign w:val="center"/>
          </w:tcPr>
          <w:p w14:paraId="028A9E87">
            <w:pPr>
              <w:pStyle w:val="11"/>
            </w:pPr>
            <w:r>
              <w:t>6月底</w:t>
            </w:r>
          </w:p>
        </w:tc>
        <w:tc>
          <w:tcPr>
            <w:tcW w:w="2551" w:type="dxa"/>
            <w:vAlign w:val="center"/>
          </w:tcPr>
          <w:p w14:paraId="3FF7B047">
            <w:pPr>
              <w:pStyle w:val="11"/>
            </w:pPr>
            <w:r>
              <w:t>10月底</w:t>
            </w:r>
          </w:p>
        </w:tc>
        <w:tc>
          <w:tcPr>
            <w:tcW w:w="3544" w:type="dxa"/>
            <w:gridSpan w:val="2"/>
            <w:vAlign w:val="center"/>
          </w:tcPr>
          <w:p w14:paraId="7979B2D3">
            <w:pPr>
              <w:pStyle w:val="11"/>
            </w:pPr>
            <w:r>
              <w:t>12月底</w:t>
            </w:r>
          </w:p>
        </w:tc>
      </w:tr>
      <w:tr w14:paraId="75E92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036BA3"/>
        </w:tc>
        <w:tc>
          <w:tcPr>
            <w:tcW w:w="5103" w:type="dxa"/>
            <w:gridSpan w:val="2"/>
            <w:vAlign w:val="center"/>
          </w:tcPr>
          <w:p w14:paraId="787EEBE2">
            <w:pPr>
              <w:pStyle w:val="12"/>
            </w:pPr>
            <w:r>
              <w:t>25%</w:t>
            </w:r>
          </w:p>
        </w:tc>
        <w:tc>
          <w:tcPr>
            <w:tcW w:w="2835" w:type="dxa"/>
            <w:vAlign w:val="center"/>
          </w:tcPr>
          <w:p w14:paraId="7336E48E">
            <w:pPr>
              <w:pStyle w:val="12"/>
            </w:pPr>
            <w:r>
              <w:t>50%</w:t>
            </w:r>
          </w:p>
        </w:tc>
        <w:tc>
          <w:tcPr>
            <w:tcW w:w="2551" w:type="dxa"/>
            <w:vAlign w:val="center"/>
          </w:tcPr>
          <w:p w14:paraId="689947E4">
            <w:pPr>
              <w:pStyle w:val="12"/>
            </w:pPr>
            <w:r>
              <w:t>75%</w:t>
            </w:r>
          </w:p>
        </w:tc>
        <w:tc>
          <w:tcPr>
            <w:tcW w:w="3544" w:type="dxa"/>
            <w:gridSpan w:val="2"/>
            <w:vAlign w:val="center"/>
          </w:tcPr>
          <w:p w14:paraId="5A4F1A1F">
            <w:pPr>
              <w:pStyle w:val="12"/>
            </w:pPr>
            <w:r>
              <w:t>100%</w:t>
            </w:r>
          </w:p>
        </w:tc>
      </w:tr>
      <w:tr w14:paraId="0B5BF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F154E">
            <w:pPr>
              <w:pStyle w:val="11"/>
            </w:pPr>
            <w:r>
              <w:t>绩效目标</w:t>
            </w:r>
          </w:p>
        </w:tc>
        <w:tc>
          <w:tcPr>
            <w:tcW w:w="14033" w:type="dxa"/>
            <w:gridSpan w:val="6"/>
            <w:vAlign w:val="center"/>
          </w:tcPr>
          <w:p w14:paraId="7121959D">
            <w:pPr>
              <w:pStyle w:val="13"/>
            </w:pPr>
            <w:r>
              <w:t>1.按规定拨付公用经费资金402320元，资金拨付率达到100%。</w:t>
            </w:r>
          </w:p>
          <w:p w14:paraId="3D8D7C35">
            <w:pPr>
              <w:pStyle w:val="13"/>
            </w:pPr>
            <w:r>
              <w:t>2.保障义务教育学校正常运转，完成教育教学活动和其他日常工作任务等方面的费用支出。</w:t>
            </w:r>
          </w:p>
        </w:tc>
      </w:tr>
    </w:tbl>
    <w:p w14:paraId="6A6CFE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028"/>
        <w:gridCol w:w="2516"/>
      </w:tblGrid>
      <w:tr w14:paraId="4C7ED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ECF10">
            <w:pPr>
              <w:pStyle w:val="11"/>
            </w:pPr>
            <w:r>
              <w:t>一级指标</w:t>
            </w:r>
          </w:p>
        </w:tc>
        <w:tc>
          <w:tcPr>
            <w:tcW w:w="2268" w:type="dxa"/>
            <w:vAlign w:val="center"/>
          </w:tcPr>
          <w:p w14:paraId="29E5F40C">
            <w:pPr>
              <w:pStyle w:val="11"/>
            </w:pPr>
            <w:r>
              <w:t>二级指标</w:t>
            </w:r>
          </w:p>
        </w:tc>
        <w:tc>
          <w:tcPr>
            <w:tcW w:w="2835" w:type="dxa"/>
            <w:vAlign w:val="center"/>
          </w:tcPr>
          <w:p w14:paraId="261FB078">
            <w:pPr>
              <w:pStyle w:val="11"/>
            </w:pPr>
            <w:r>
              <w:t>三级指标</w:t>
            </w:r>
          </w:p>
        </w:tc>
        <w:tc>
          <w:tcPr>
            <w:tcW w:w="5386" w:type="dxa"/>
            <w:vAlign w:val="center"/>
          </w:tcPr>
          <w:p w14:paraId="569949E7">
            <w:pPr>
              <w:pStyle w:val="11"/>
            </w:pPr>
            <w:r>
              <w:t>绩效指标描述</w:t>
            </w:r>
          </w:p>
        </w:tc>
        <w:tc>
          <w:tcPr>
            <w:tcW w:w="1028" w:type="dxa"/>
            <w:vAlign w:val="center"/>
          </w:tcPr>
          <w:p w14:paraId="3E2FACA4">
            <w:pPr>
              <w:pStyle w:val="11"/>
            </w:pPr>
            <w:r>
              <w:t>指标值</w:t>
            </w:r>
          </w:p>
        </w:tc>
        <w:tc>
          <w:tcPr>
            <w:tcW w:w="2516" w:type="dxa"/>
            <w:vAlign w:val="center"/>
          </w:tcPr>
          <w:p w14:paraId="7EF40B11">
            <w:pPr>
              <w:pStyle w:val="11"/>
            </w:pPr>
            <w:r>
              <w:t>指标值确定依据</w:t>
            </w:r>
          </w:p>
        </w:tc>
      </w:tr>
      <w:tr w14:paraId="7E41C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28A48">
            <w:pPr>
              <w:pStyle w:val="12"/>
            </w:pPr>
            <w:r>
              <w:t>产出指标</w:t>
            </w:r>
          </w:p>
        </w:tc>
        <w:tc>
          <w:tcPr>
            <w:tcW w:w="2268" w:type="dxa"/>
            <w:vAlign w:val="center"/>
          </w:tcPr>
          <w:p w14:paraId="26CD44CB">
            <w:pPr>
              <w:pStyle w:val="13"/>
            </w:pPr>
            <w:r>
              <w:t>数量指标</w:t>
            </w:r>
          </w:p>
        </w:tc>
        <w:tc>
          <w:tcPr>
            <w:tcW w:w="2835" w:type="dxa"/>
            <w:vAlign w:val="center"/>
          </w:tcPr>
          <w:p w14:paraId="1A0861EA">
            <w:pPr>
              <w:pStyle w:val="13"/>
            </w:pPr>
            <w:r>
              <w:t>生均拨款标准</w:t>
            </w:r>
          </w:p>
        </w:tc>
        <w:tc>
          <w:tcPr>
            <w:tcW w:w="5386" w:type="dxa"/>
            <w:vAlign w:val="center"/>
          </w:tcPr>
          <w:p w14:paraId="7E5C843B">
            <w:pPr>
              <w:pStyle w:val="13"/>
            </w:pPr>
            <w:r>
              <w:t>初中学生公用经费生均初中940元。取暖费120元/生/年，住宿生300元/生/年，随班就读学生补助7000元/生</w:t>
            </w:r>
          </w:p>
        </w:tc>
        <w:tc>
          <w:tcPr>
            <w:tcW w:w="1028" w:type="dxa"/>
            <w:vAlign w:val="center"/>
          </w:tcPr>
          <w:p w14:paraId="7355956A">
            <w:pPr>
              <w:pStyle w:val="13"/>
            </w:pPr>
            <w:r>
              <w:t>1360元</w:t>
            </w:r>
          </w:p>
        </w:tc>
        <w:tc>
          <w:tcPr>
            <w:tcW w:w="2516" w:type="dxa"/>
            <w:vAlign w:val="center"/>
          </w:tcPr>
          <w:p w14:paraId="622CF7D8">
            <w:pPr>
              <w:pStyle w:val="13"/>
            </w:pPr>
            <w:r>
              <w:t>城乡义务教育公用经费管理办法</w:t>
            </w:r>
          </w:p>
        </w:tc>
      </w:tr>
      <w:tr w14:paraId="39BF7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7" w:hRule="atLeast"/>
          <w:jc w:val="center"/>
        </w:trPr>
        <w:tc>
          <w:tcPr>
            <w:tcW w:w="1276" w:type="dxa"/>
            <w:vMerge w:val="continue"/>
            <w:vAlign w:val="center"/>
          </w:tcPr>
          <w:p w14:paraId="07969CA7"/>
        </w:tc>
        <w:tc>
          <w:tcPr>
            <w:tcW w:w="2268" w:type="dxa"/>
            <w:vAlign w:val="center"/>
          </w:tcPr>
          <w:p w14:paraId="69C32F6A">
            <w:pPr>
              <w:pStyle w:val="13"/>
            </w:pPr>
            <w:r>
              <w:t>质量指标</w:t>
            </w:r>
          </w:p>
        </w:tc>
        <w:tc>
          <w:tcPr>
            <w:tcW w:w="2835" w:type="dxa"/>
            <w:vAlign w:val="center"/>
          </w:tcPr>
          <w:p w14:paraId="265BF50A">
            <w:pPr>
              <w:pStyle w:val="13"/>
            </w:pPr>
            <w:r>
              <w:t>就读学生数</w:t>
            </w:r>
          </w:p>
        </w:tc>
        <w:tc>
          <w:tcPr>
            <w:tcW w:w="5386" w:type="dxa"/>
            <w:vAlign w:val="center"/>
          </w:tcPr>
          <w:p w14:paraId="3D5FFD5D">
            <w:pPr>
              <w:pStyle w:val="13"/>
            </w:pPr>
            <w:r>
              <w:t>辐射区域内适龄学生人数</w:t>
            </w:r>
          </w:p>
        </w:tc>
        <w:tc>
          <w:tcPr>
            <w:tcW w:w="1028" w:type="dxa"/>
            <w:vAlign w:val="center"/>
          </w:tcPr>
          <w:p w14:paraId="3B274D97">
            <w:pPr>
              <w:pStyle w:val="13"/>
            </w:pPr>
            <w:r>
              <w:t>900人</w:t>
            </w:r>
          </w:p>
        </w:tc>
        <w:tc>
          <w:tcPr>
            <w:tcW w:w="2516" w:type="dxa"/>
            <w:vAlign w:val="center"/>
          </w:tcPr>
          <w:p w14:paraId="5010AF7E">
            <w:pPr>
              <w:pStyle w:val="13"/>
            </w:pPr>
            <w:r>
              <w:t>城乡义务教育公用经费管理办法</w:t>
            </w:r>
          </w:p>
        </w:tc>
      </w:tr>
      <w:tr w14:paraId="1B331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52C5F"/>
        </w:tc>
        <w:tc>
          <w:tcPr>
            <w:tcW w:w="2268" w:type="dxa"/>
            <w:vAlign w:val="center"/>
          </w:tcPr>
          <w:p w14:paraId="147158FC">
            <w:pPr>
              <w:pStyle w:val="13"/>
            </w:pPr>
            <w:r>
              <w:t>时效指标</w:t>
            </w:r>
          </w:p>
        </w:tc>
        <w:tc>
          <w:tcPr>
            <w:tcW w:w="2835" w:type="dxa"/>
            <w:vAlign w:val="center"/>
          </w:tcPr>
          <w:p w14:paraId="2F634BE5">
            <w:pPr>
              <w:pStyle w:val="13"/>
            </w:pPr>
            <w:r>
              <w:t>预算执行率</w:t>
            </w:r>
          </w:p>
        </w:tc>
        <w:tc>
          <w:tcPr>
            <w:tcW w:w="5386" w:type="dxa"/>
            <w:vAlign w:val="center"/>
          </w:tcPr>
          <w:p w14:paraId="3BB6D32F">
            <w:pPr>
              <w:pStyle w:val="13"/>
            </w:pPr>
            <w:r>
              <w:t>预算执行率≥98%</w:t>
            </w:r>
          </w:p>
        </w:tc>
        <w:tc>
          <w:tcPr>
            <w:tcW w:w="1028" w:type="dxa"/>
            <w:vAlign w:val="center"/>
          </w:tcPr>
          <w:p w14:paraId="4B8A4F67">
            <w:pPr>
              <w:pStyle w:val="13"/>
            </w:pPr>
            <w:r>
              <w:t>≥98%</w:t>
            </w:r>
          </w:p>
        </w:tc>
        <w:tc>
          <w:tcPr>
            <w:tcW w:w="2516" w:type="dxa"/>
            <w:vAlign w:val="center"/>
          </w:tcPr>
          <w:p w14:paraId="0986E91B">
            <w:pPr>
              <w:pStyle w:val="13"/>
            </w:pPr>
            <w:r>
              <w:t>城乡义务教育公用经费管理办法</w:t>
            </w:r>
          </w:p>
        </w:tc>
      </w:tr>
      <w:tr w14:paraId="6B07A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06CBF"/>
        </w:tc>
        <w:tc>
          <w:tcPr>
            <w:tcW w:w="2268" w:type="dxa"/>
            <w:vAlign w:val="center"/>
          </w:tcPr>
          <w:p w14:paraId="4CA5CED7">
            <w:pPr>
              <w:pStyle w:val="13"/>
            </w:pPr>
            <w:r>
              <w:t>成本指标</w:t>
            </w:r>
          </w:p>
        </w:tc>
        <w:tc>
          <w:tcPr>
            <w:tcW w:w="2835" w:type="dxa"/>
            <w:vAlign w:val="center"/>
          </w:tcPr>
          <w:p w14:paraId="12FE257B">
            <w:pPr>
              <w:pStyle w:val="13"/>
            </w:pPr>
            <w:r>
              <w:t>义教经费支付完成率</w:t>
            </w:r>
          </w:p>
        </w:tc>
        <w:tc>
          <w:tcPr>
            <w:tcW w:w="5386" w:type="dxa"/>
            <w:vAlign w:val="center"/>
          </w:tcPr>
          <w:p w14:paraId="40E6943A">
            <w:pPr>
              <w:pStyle w:val="13"/>
            </w:pPr>
            <w:r>
              <w:t>按照序时进度完成资金支付</w:t>
            </w:r>
          </w:p>
        </w:tc>
        <w:tc>
          <w:tcPr>
            <w:tcW w:w="1028" w:type="dxa"/>
            <w:vAlign w:val="center"/>
          </w:tcPr>
          <w:p w14:paraId="0821C877">
            <w:pPr>
              <w:pStyle w:val="13"/>
            </w:pPr>
            <w:r>
              <w:t>100%</w:t>
            </w:r>
          </w:p>
        </w:tc>
        <w:tc>
          <w:tcPr>
            <w:tcW w:w="2516" w:type="dxa"/>
            <w:vAlign w:val="center"/>
          </w:tcPr>
          <w:p w14:paraId="41A1236F">
            <w:pPr>
              <w:pStyle w:val="13"/>
            </w:pPr>
            <w:r>
              <w:t>城乡义务教育公用经费管理办法</w:t>
            </w:r>
          </w:p>
        </w:tc>
      </w:tr>
      <w:tr w14:paraId="77A7E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BE14BB">
            <w:pPr>
              <w:pStyle w:val="12"/>
            </w:pPr>
            <w:r>
              <w:t>效益指标</w:t>
            </w:r>
          </w:p>
        </w:tc>
        <w:tc>
          <w:tcPr>
            <w:tcW w:w="2268" w:type="dxa"/>
            <w:vAlign w:val="center"/>
          </w:tcPr>
          <w:p w14:paraId="6E9CC1B4">
            <w:pPr>
              <w:pStyle w:val="13"/>
            </w:pPr>
            <w:r>
              <w:t>可持续影响指标</w:t>
            </w:r>
          </w:p>
        </w:tc>
        <w:tc>
          <w:tcPr>
            <w:tcW w:w="2835" w:type="dxa"/>
            <w:vAlign w:val="center"/>
          </w:tcPr>
          <w:p w14:paraId="3CF46C6C">
            <w:pPr>
              <w:pStyle w:val="13"/>
            </w:pPr>
            <w:r>
              <w:t>学校运转得到提高</w:t>
            </w:r>
          </w:p>
        </w:tc>
        <w:tc>
          <w:tcPr>
            <w:tcW w:w="5386" w:type="dxa"/>
            <w:vAlign w:val="center"/>
          </w:tcPr>
          <w:p w14:paraId="58D80D4A">
            <w:pPr>
              <w:pStyle w:val="13"/>
            </w:pPr>
            <w:r>
              <w:t>学生受教育年限</w:t>
            </w:r>
          </w:p>
        </w:tc>
        <w:tc>
          <w:tcPr>
            <w:tcW w:w="1028" w:type="dxa"/>
            <w:vAlign w:val="center"/>
          </w:tcPr>
          <w:p w14:paraId="7D9C7956">
            <w:pPr>
              <w:pStyle w:val="13"/>
            </w:pPr>
            <w:r>
              <w:t>3年</w:t>
            </w:r>
          </w:p>
        </w:tc>
        <w:tc>
          <w:tcPr>
            <w:tcW w:w="2516" w:type="dxa"/>
            <w:vAlign w:val="center"/>
          </w:tcPr>
          <w:p w14:paraId="4D015191">
            <w:pPr>
              <w:pStyle w:val="13"/>
            </w:pPr>
            <w:r>
              <w:t>城乡义务教育公用经费管理办法</w:t>
            </w:r>
          </w:p>
        </w:tc>
      </w:tr>
      <w:tr w14:paraId="04426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487A3D">
            <w:pPr>
              <w:pStyle w:val="12"/>
            </w:pPr>
            <w:r>
              <w:t>满意度指标</w:t>
            </w:r>
          </w:p>
        </w:tc>
        <w:tc>
          <w:tcPr>
            <w:tcW w:w="2268" w:type="dxa"/>
            <w:vAlign w:val="center"/>
          </w:tcPr>
          <w:p w14:paraId="79644804">
            <w:pPr>
              <w:pStyle w:val="13"/>
            </w:pPr>
            <w:r>
              <w:t>服务对象满意度指标</w:t>
            </w:r>
          </w:p>
        </w:tc>
        <w:tc>
          <w:tcPr>
            <w:tcW w:w="2835" w:type="dxa"/>
            <w:vAlign w:val="center"/>
          </w:tcPr>
          <w:p w14:paraId="7CAE4344">
            <w:pPr>
              <w:pStyle w:val="13"/>
            </w:pPr>
            <w:r>
              <w:t>服务对象满意度</w:t>
            </w:r>
          </w:p>
        </w:tc>
        <w:tc>
          <w:tcPr>
            <w:tcW w:w="5386" w:type="dxa"/>
            <w:vAlign w:val="center"/>
          </w:tcPr>
          <w:p w14:paraId="2F6A7593">
            <w:pPr>
              <w:pStyle w:val="13"/>
            </w:pPr>
            <w:r>
              <w:t>学校老师和学生满意度</w:t>
            </w:r>
          </w:p>
        </w:tc>
        <w:tc>
          <w:tcPr>
            <w:tcW w:w="1028" w:type="dxa"/>
            <w:vAlign w:val="center"/>
          </w:tcPr>
          <w:p w14:paraId="2AF570BE">
            <w:pPr>
              <w:pStyle w:val="13"/>
            </w:pPr>
            <w:r>
              <w:t>≥95%</w:t>
            </w:r>
          </w:p>
        </w:tc>
        <w:tc>
          <w:tcPr>
            <w:tcW w:w="2516" w:type="dxa"/>
            <w:vAlign w:val="center"/>
          </w:tcPr>
          <w:p w14:paraId="0B736848">
            <w:pPr>
              <w:pStyle w:val="13"/>
            </w:pPr>
            <w:r>
              <w:t>调查问卷</w:t>
            </w:r>
          </w:p>
        </w:tc>
      </w:tr>
    </w:tbl>
    <w:p w14:paraId="0CFD30E7">
      <w:pPr>
        <w:sectPr>
          <w:pgSz w:w="16840" w:h="11900" w:orient="landscape"/>
          <w:pgMar w:top="1361" w:right="1020" w:bottom="1134" w:left="1020" w:header="720" w:footer="720" w:gutter="0"/>
          <w:cols w:space="720" w:num="1"/>
        </w:sectPr>
      </w:pPr>
    </w:p>
    <w:p w14:paraId="766B0683">
      <w:pPr>
        <w:spacing w:before="10" w:after="10" w:line="240" w:lineRule="auto"/>
        <w:ind w:firstLine="640"/>
        <w:jc w:val="left"/>
        <w:outlineLvl w:val="5"/>
      </w:pPr>
      <w:r>
        <w:rPr>
          <w:rFonts w:ascii="黑体" w:hAnsi="黑体" w:eastAsia="黑体" w:cs="黑体"/>
          <w:color w:val="000000"/>
          <w:sz w:val="32"/>
        </w:rPr>
        <w:t>六、政府采购预算情况</w:t>
      </w:r>
    </w:p>
    <w:p w14:paraId="4DEBD6C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C878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336F46F">
            <w:pPr>
              <w:pStyle w:val="8"/>
            </w:pPr>
            <w:r>
              <w:t>360006隆尧县东良中学</w:t>
            </w:r>
          </w:p>
        </w:tc>
        <w:tc>
          <w:tcPr>
            <w:tcW w:w="7712" w:type="dxa"/>
            <w:gridSpan w:val="8"/>
            <w:tcBorders>
              <w:top w:val="single" w:color="FFFFFF" w:sz="6" w:space="0"/>
              <w:left w:val="single" w:color="FFFFFF" w:sz="6" w:space="0"/>
              <w:right w:val="single" w:color="FFFFFF" w:sz="6" w:space="0"/>
            </w:tcBorders>
            <w:vAlign w:val="center"/>
          </w:tcPr>
          <w:p w14:paraId="41E8B830">
            <w:pPr>
              <w:pStyle w:val="22"/>
            </w:pPr>
            <w:r>
              <w:t>单位：万元</w:t>
            </w:r>
          </w:p>
        </w:tc>
      </w:tr>
      <w:tr w14:paraId="7658D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7127FF2">
            <w:pPr>
              <w:pStyle w:val="11"/>
            </w:pPr>
            <w:r>
              <w:t>政府采购项目来源</w:t>
            </w:r>
          </w:p>
        </w:tc>
        <w:tc>
          <w:tcPr>
            <w:tcW w:w="1134" w:type="dxa"/>
            <w:vMerge w:val="restart"/>
            <w:vAlign w:val="center"/>
          </w:tcPr>
          <w:p w14:paraId="702BDA6A">
            <w:pPr>
              <w:pStyle w:val="11"/>
            </w:pPr>
            <w:r>
              <w:t>采购物品名称</w:t>
            </w:r>
          </w:p>
        </w:tc>
        <w:tc>
          <w:tcPr>
            <w:tcW w:w="1134" w:type="dxa"/>
            <w:vMerge w:val="restart"/>
            <w:vAlign w:val="center"/>
          </w:tcPr>
          <w:p w14:paraId="59EA3F52">
            <w:pPr>
              <w:pStyle w:val="11"/>
            </w:pPr>
            <w:r>
              <w:t>政府采购目录序号</w:t>
            </w:r>
          </w:p>
        </w:tc>
        <w:tc>
          <w:tcPr>
            <w:tcW w:w="709" w:type="dxa"/>
            <w:vMerge w:val="restart"/>
            <w:vAlign w:val="center"/>
          </w:tcPr>
          <w:p w14:paraId="555D6F99">
            <w:pPr>
              <w:pStyle w:val="11"/>
            </w:pPr>
            <w:r>
              <w:t>计量  单位</w:t>
            </w:r>
          </w:p>
        </w:tc>
        <w:tc>
          <w:tcPr>
            <w:tcW w:w="850" w:type="dxa"/>
            <w:vMerge w:val="restart"/>
            <w:vAlign w:val="center"/>
          </w:tcPr>
          <w:p w14:paraId="671B8310">
            <w:pPr>
              <w:pStyle w:val="11"/>
            </w:pPr>
            <w:r>
              <w:t>数量</w:t>
            </w:r>
          </w:p>
        </w:tc>
        <w:tc>
          <w:tcPr>
            <w:tcW w:w="850" w:type="dxa"/>
            <w:vMerge w:val="restart"/>
            <w:vAlign w:val="center"/>
          </w:tcPr>
          <w:p w14:paraId="4F229C57">
            <w:pPr>
              <w:pStyle w:val="11"/>
            </w:pPr>
            <w:r>
              <w:t>单价</w:t>
            </w:r>
          </w:p>
        </w:tc>
        <w:tc>
          <w:tcPr>
            <w:tcW w:w="6748" w:type="dxa"/>
            <w:gridSpan w:val="7"/>
            <w:vAlign w:val="center"/>
          </w:tcPr>
          <w:p w14:paraId="407096FC">
            <w:pPr>
              <w:pStyle w:val="11"/>
            </w:pPr>
            <w:r>
              <w:t>政府采购金额（当年部门预算安排资金）</w:t>
            </w:r>
          </w:p>
        </w:tc>
        <w:tc>
          <w:tcPr>
            <w:tcW w:w="964" w:type="dxa"/>
            <w:vMerge w:val="restart"/>
            <w:vAlign w:val="center"/>
          </w:tcPr>
          <w:p w14:paraId="19522361">
            <w:pPr>
              <w:pStyle w:val="11"/>
            </w:pPr>
            <w:r>
              <w:t>2025年  预留中  小微企  业份额</w:t>
            </w:r>
          </w:p>
        </w:tc>
      </w:tr>
      <w:tr w14:paraId="24941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E4BE0AB">
            <w:pPr>
              <w:pStyle w:val="11"/>
            </w:pPr>
            <w:r>
              <w:t>项目名称</w:t>
            </w:r>
          </w:p>
        </w:tc>
        <w:tc>
          <w:tcPr>
            <w:tcW w:w="964" w:type="dxa"/>
            <w:vAlign w:val="center"/>
          </w:tcPr>
          <w:p w14:paraId="5BFEC898">
            <w:pPr>
              <w:pStyle w:val="11"/>
            </w:pPr>
            <w:r>
              <w:t>预算    资金</w:t>
            </w:r>
          </w:p>
        </w:tc>
        <w:tc>
          <w:tcPr>
            <w:tcW w:w="1134" w:type="dxa"/>
            <w:vMerge w:val="continue"/>
          </w:tcPr>
          <w:p w14:paraId="783FBAD2"/>
        </w:tc>
        <w:tc>
          <w:tcPr>
            <w:tcW w:w="1134" w:type="dxa"/>
            <w:vMerge w:val="continue"/>
          </w:tcPr>
          <w:p w14:paraId="428D1DB8"/>
        </w:tc>
        <w:tc>
          <w:tcPr>
            <w:tcW w:w="709" w:type="dxa"/>
            <w:vMerge w:val="continue"/>
          </w:tcPr>
          <w:p w14:paraId="1BB36A35"/>
        </w:tc>
        <w:tc>
          <w:tcPr>
            <w:tcW w:w="850" w:type="dxa"/>
            <w:vMerge w:val="continue"/>
          </w:tcPr>
          <w:p w14:paraId="42EB1D63"/>
        </w:tc>
        <w:tc>
          <w:tcPr>
            <w:tcW w:w="850" w:type="dxa"/>
            <w:vMerge w:val="continue"/>
          </w:tcPr>
          <w:p w14:paraId="5C6FA4D7"/>
        </w:tc>
        <w:tc>
          <w:tcPr>
            <w:tcW w:w="964" w:type="dxa"/>
            <w:vAlign w:val="center"/>
          </w:tcPr>
          <w:p w14:paraId="52204A64">
            <w:pPr>
              <w:pStyle w:val="11"/>
            </w:pPr>
            <w:r>
              <w:t>合计</w:t>
            </w:r>
          </w:p>
        </w:tc>
        <w:tc>
          <w:tcPr>
            <w:tcW w:w="964" w:type="dxa"/>
            <w:vAlign w:val="center"/>
          </w:tcPr>
          <w:p w14:paraId="459087B5">
            <w:pPr>
              <w:pStyle w:val="11"/>
            </w:pPr>
            <w:r>
              <w:t>一般公共预算拨款</w:t>
            </w:r>
          </w:p>
        </w:tc>
        <w:tc>
          <w:tcPr>
            <w:tcW w:w="964" w:type="dxa"/>
            <w:vAlign w:val="center"/>
          </w:tcPr>
          <w:p w14:paraId="7D0B799F">
            <w:pPr>
              <w:pStyle w:val="11"/>
            </w:pPr>
            <w:r>
              <w:t>基金预算拨款</w:t>
            </w:r>
          </w:p>
        </w:tc>
        <w:tc>
          <w:tcPr>
            <w:tcW w:w="964" w:type="dxa"/>
            <w:vAlign w:val="center"/>
          </w:tcPr>
          <w:p w14:paraId="15A81DE1">
            <w:pPr>
              <w:pStyle w:val="11"/>
            </w:pPr>
            <w:r>
              <w:t>国有资本经营预算拨款</w:t>
            </w:r>
          </w:p>
        </w:tc>
        <w:tc>
          <w:tcPr>
            <w:tcW w:w="964" w:type="dxa"/>
            <w:vAlign w:val="center"/>
          </w:tcPr>
          <w:p w14:paraId="1A05604C">
            <w:pPr>
              <w:pStyle w:val="11"/>
            </w:pPr>
            <w:r>
              <w:t>财政专户核拨</w:t>
            </w:r>
          </w:p>
        </w:tc>
        <w:tc>
          <w:tcPr>
            <w:tcW w:w="964" w:type="dxa"/>
            <w:vAlign w:val="center"/>
          </w:tcPr>
          <w:p w14:paraId="7625458D">
            <w:pPr>
              <w:pStyle w:val="11"/>
            </w:pPr>
            <w:r>
              <w:t>单位    资金</w:t>
            </w:r>
          </w:p>
        </w:tc>
        <w:tc>
          <w:tcPr>
            <w:tcW w:w="964" w:type="dxa"/>
            <w:vAlign w:val="center"/>
          </w:tcPr>
          <w:p w14:paraId="3217ABE2">
            <w:pPr>
              <w:pStyle w:val="11"/>
            </w:pPr>
            <w:r>
              <w:t>上年结转结余</w:t>
            </w:r>
          </w:p>
        </w:tc>
        <w:tc>
          <w:tcPr>
            <w:tcW w:w="964" w:type="dxa"/>
            <w:vMerge w:val="continue"/>
          </w:tcPr>
          <w:p w14:paraId="24BF77FC"/>
        </w:tc>
      </w:tr>
      <w:tr w14:paraId="3A534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405148">
            <w:pPr>
              <w:pStyle w:val="15"/>
            </w:pPr>
            <w:r>
              <w:t>合  计</w:t>
            </w:r>
          </w:p>
        </w:tc>
        <w:tc>
          <w:tcPr>
            <w:tcW w:w="964" w:type="dxa"/>
            <w:vAlign w:val="center"/>
          </w:tcPr>
          <w:p w14:paraId="2C5550A0">
            <w:pPr>
              <w:pStyle w:val="16"/>
            </w:pPr>
          </w:p>
        </w:tc>
        <w:tc>
          <w:tcPr>
            <w:tcW w:w="1134" w:type="dxa"/>
            <w:vAlign w:val="center"/>
          </w:tcPr>
          <w:p w14:paraId="1D8426FF">
            <w:pPr>
              <w:pStyle w:val="17"/>
            </w:pPr>
          </w:p>
        </w:tc>
        <w:tc>
          <w:tcPr>
            <w:tcW w:w="1134" w:type="dxa"/>
            <w:vAlign w:val="center"/>
          </w:tcPr>
          <w:p w14:paraId="79FAAAD4">
            <w:pPr>
              <w:pStyle w:val="17"/>
            </w:pPr>
          </w:p>
        </w:tc>
        <w:tc>
          <w:tcPr>
            <w:tcW w:w="709" w:type="dxa"/>
            <w:vAlign w:val="center"/>
          </w:tcPr>
          <w:p w14:paraId="16CE3C68">
            <w:pPr>
              <w:pStyle w:val="15"/>
            </w:pPr>
          </w:p>
        </w:tc>
        <w:tc>
          <w:tcPr>
            <w:tcW w:w="850" w:type="dxa"/>
            <w:vAlign w:val="center"/>
          </w:tcPr>
          <w:p w14:paraId="79F339CD">
            <w:pPr>
              <w:pStyle w:val="16"/>
            </w:pPr>
          </w:p>
        </w:tc>
        <w:tc>
          <w:tcPr>
            <w:tcW w:w="850" w:type="dxa"/>
            <w:vAlign w:val="center"/>
          </w:tcPr>
          <w:p w14:paraId="4E2E0438">
            <w:pPr>
              <w:pStyle w:val="16"/>
            </w:pPr>
          </w:p>
        </w:tc>
        <w:tc>
          <w:tcPr>
            <w:tcW w:w="964" w:type="dxa"/>
            <w:vAlign w:val="center"/>
          </w:tcPr>
          <w:p w14:paraId="6D53F1BC">
            <w:pPr>
              <w:pStyle w:val="16"/>
            </w:pPr>
            <w:r>
              <w:t>2.10</w:t>
            </w:r>
          </w:p>
        </w:tc>
        <w:tc>
          <w:tcPr>
            <w:tcW w:w="964" w:type="dxa"/>
            <w:vAlign w:val="center"/>
          </w:tcPr>
          <w:p w14:paraId="402F590E">
            <w:pPr>
              <w:pStyle w:val="16"/>
            </w:pPr>
            <w:r>
              <w:t>2.10</w:t>
            </w:r>
          </w:p>
        </w:tc>
        <w:tc>
          <w:tcPr>
            <w:tcW w:w="964" w:type="dxa"/>
            <w:vAlign w:val="center"/>
          </w:tcPr>
          <w:p w14:paraId="59E5F85D">
            <w:pPr>
              <w:pStyle w:val="16"/>
            </w:pPr>
          </w:p>
        </w:tc>
        <w:tc>
          <w:tcPr>
            <w:tcW w:w="964" w:type="dxa"/>
            <w:vAlign w:val="center"/>
          </w:tcPr>
          <w:p w14:paraId="5DA650F9">
            <w:pPr>
              <w:pStyle w:val="16"/>
            </w:pPr>
          </w:p>
        </w:tc>
        <w:tc>
          <w:tcPr>
            <w:tcW w:w="964" w:type="dxa"/>
            <w:vAlign w:val="center"/>
          </w:tcPr>
          <w:p w14:paraId="2B2FD814">
            <w:pPr>
              <w:pStyle w:val="16"/>
            </w:pPr>
          </w:p>
        </w:tc>
        <w:tc>
          <w:tcPr>
            <w:tcW w:w="964" w:type="dxa"/>
            <w:vAlign w:val="center"/>
          </w:tcPr>
          <w:p w14:paraId="47C5A6A0">
            <w:pPr>
              <w:pStyle w:val="16"/>
            </w:pPr>
          </w:p>
        </w:tc>
        <w:tc>
          <w:tcPr>
            <w:tcW w:w="964" w:type="dxa"/>
            <w:vAlign w:val="center"/>
          </w:tcPr>
          <w:p w14:paraId="661FC5F4">
            <w:pPr>
              <w:pStyle w:val="16"/>
            </w:pPr>
          </w:p>
        </w:tc>
        <w:tc>
          <w:tcPr>
            <w:tcW w:w="964" w:type="dxa"/>
            <w:vAlign w:val="center"/>
          </w:tcPr>
          <w:p w14:paraId="63F2C8F8">
            <w:pPr>
              <w:pStyle w:val="16"/>
            </w:pPr>
            <w:r>
              <w:t>2.10</w:t>
            </w:r>
          </w:p>
        </w:tc>
      </w:tr>
      <w:tr w14:paraId="008BA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175D07">
            <w:pPr>
              <w:pStyle w:val="15"/>
            </w:pPr>
            <w:r>
              <w:t>隆尧县东良中学小计</w:t>
            </w:r>
          </w:p>
        </w:tc>
        <w:tc>
          <w:tcPr>
            <w:tcW w:w="964" w:type="dxa"/>
            <w:vAlign w:val="center"/>
          </w:tcPr>
          <w:p w14:paraId="0DB1138A">
            <w:pPr>
              <w:pStyle w:val="16"/>
            </w:pPr>
          </w:p>
        </w:tc>
        <w:tc>
          <w:tcPr>
            <w:tcW w:w="1134" w:type="dxa"/>
            <w:vAlign w:val="center"/>
          </w:tcPr>
          <w:p w14:paraId="687FBFEA">
            <w:pPr>
              <w:pStyle w:val="17"/>
            </w:pPr>
          </w:p>
        </w:tc>
        <w:tc>
          <w:tcPr>
            <w:tcW w:w="1134" w:type="dxa"/>
            <w:vAlign w:val="center"/>
          </w:tcPr>
          <w:p w14:paraId="4ABB4EF2">
            <w:pPr>
              <w:pStyle w:val="17"/>
            </w:pPr>
          </w:p>
        </w:tc>
        <w:tc>
          <w:tcPr>
            <w:tcW w:w="709" w:type="dxa"/>
            <w:vAlign w:val="center"/>
          </w:tcPr>
          <w:p w14:paraId="58DC9904">
            <w:pPr>
              <w:pStyle w:val="15"/>
            </w:pPr>
          </w:p>
        </w:tc>
        <w:tc>
          <w:tcPr>
            <w:tcW w:w="850" w:type="dxa"/>
            <w:vAlign w:val="center"/>
          </w:tcPr>
          <w:p w14:paraId="0FC84ED9">
            <w:pPr>
              <w:pStyle w:val="16"/>
            </w:pPr>
          </w:p>
        </w:tc>
        <w:tc>
          <w:tcPr>
            <w:tcW w:w="850" w:type="dxa"/>
            <w:vAlign w:val="center"/>
          </w:tcPr>
          <w:p w14:paraId="093E0756">
            <w:pPr>
              <w:pStyle w:val="16"/>
            </w:pPr>
          </w:p>
        </w:tc>
        <w:tc>
          <w:tcPr>
            <w:tcW w:w="964" w:type="dxa"/>
            <w:vAlign w:val="center"/>
          </w:tcPr>
          <w:p w14:paraId="0955E55A">
            <w:pPr>
              <w:pStyle w:val="16"/>
            </w:pPr>
            <w:r>
              <w:t>2.10</w:t>
            </w:r>
          </w:p>
        </w:tc>
        <w:tc>
          <w:tcPr>
            <w:tcW w:w="964" w:type="dxa"/>
            <w:vAlign w:val="center"/>
          </w:tcPr>
          <w:p w14:paraId="2770AC4B">
            <w:pPr>
              <w:pStyle w:val="16"/>
            </w:pPr>
            <w:r>
              <w:t>2.10</w:t>
            </w:r>
          </w:p>
        </w:tc>
        <w:tc>
          <w:tcPr>
            <w:tcW w:w="964" w:type="dxa"/>
            <w:vAlign w:val="center"/>
          </w:tcPr>
          <w:p w14:paraId="3FFFC593">
            <w:pPr>
              <w:pStyle w:val="16"/>
            </w:pPr>
          </w:p>
        </w:tc>
        <w:tc>
          <w:tcPr>
            <w:tcW w:w="964" w:type="dxa"/>
            <w:vAlign w:val="center"/>
          </w:tcPr>
          <w:p w14:paraId="62A12B4E">
            <w:pPr>
              <w:pStyle w:val="16"/>
            </w:pPr>
          </w:p>
        </w:tc>
        <w:tc>
          <w:tcPr>
            <w:tcW w:w="964" w:type="dxa"/>
            <w:vAlign w:val="center"/>
          </w:tcPr>
          <w:p w14:paraId="53F86BBC">
            <w:pPr>
              <w:pStyle w:val="16"/>
            </w:pPr>
          </w:p>
        </w:tc>
        <w:tc>
          <w:tcPr>
            <w:tcW w:w="964" w:type="dxa"/>
            <w:vAlign w:val="center"/>
          </w:tcPr>
          <w:p w14:paraId="5BB16191">
            <w:pPr>
              <w:pStyle w:val="16"/>
            </w:pPr>
          </w:p>
        </w:tc>
        <w:tc>
          <w:tcPr>
            <w:tcW w:w="964" w:type="dxa"/>
            <w:vAlign w:val="center"/>
          </w:tcPr>
          <w:p w14:paraId="424C7DAD">
            <w:pPr>
              <w:pStyle w:val="16"/>
            </w:pPr>
          </w:p>
        </w:tc>
        <w:tc>
          <w:tcPr>
            <w:tcW w:w="964" w:type="dxa"/>
            <w:vAlign w:val="center"/>
          </w:tcPr>
          <w:p w14:paraId="3C4A51CC">
            <w:pPr>
              <w:pStyle w:val="16"/>
            </w:pPr>
            <w:r>
              <w:t>2.10</w:t>
            </w:r>
          </w:p>
        </w:tc>
      </w:tr>
      <w:tr w14:paraId="670E9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E6744B">
            <w:pPr>
              <w:pStyle w:val="13"/>
            </w:pPr>
            <w:r>
              <w:t>冀财教[2024]141号/省级/2025年义教补助经费/东良中学公用经费</w:t>
            </w:r>
          </w:p>
        </w:tc>
        <w:tc>
          <w:tcPr>
            <w:tcW w:w="964" w:type="dxa"/>
            <w:vAlign w:val="center"/>
          </w:tcPr>
          <w:p w14:paraId="75FF90E1">
            <w:pPr>
              <w:pStyle w:val="14"/>
            </w:pPr>
            <w:r>
              <w:t>40.23</w:t>
            </w:r>
          </w:p>
        </w:tc>
        <w:tc>
          <w:tcPr>
            <w:tcW w:w="1134" w:type="dxa"/>
            <w:vAlign w:val="center"/>
          </w:tcPr>
          <w:p w14:paraId="7E0F905E">
            <w:pPr>
              <w:pStyle w:val="13"/>
            </w:pPr>
            <w:r>
              <w:t>空调机</w:t>
            </w:r>
          </w:p>
        </w:tc>
        <w:tc>
          <w:tcPr>
            <w:tcW w:w="1134" w:type="dxa"/>
            <w:vAlign w:val="center"/>
          </w:tcPr>
          <w:p w14:paraId="5DCF5033">
            <w:pPr>
              <w:pStyle w:val="13"/>
            </w:pPr>
            <w:r>
              <w:t>A02061804</w:t>
            </w:r>
          </w:p>
        </w:tc>
        <w:tc>
          <w:tcPr>
            <w:tcW w:w="709" w:type="dxa"/>
            <w:vAlign w:val="center"/>
          </w:tcPr>
          <w:p w14:paraId="1DEAA4EE">
            <w:pPr>
              <w:pStyle w:val="12"/>
            </w:pPr>
            <w:r>
              <w:t>台</w:t>
            </w:r>
          </w:p>
        </w:tc>
        <w:tc>
          <w:tcPr>
            <w:tcW w:w="850" w:type="dxa"/>
            <w:vAlign w:val="center"/>
          </w:tcPr>
          <w:p w14:paraId="0E2E5ECF">
            <w:pPr>
              <w:pStyle w:val="14"/>
            </w:pPr>
            <w:r>
              <w:t>3</w:t>
            </w:r>
          </w:p>
        </w:tc>
        <w:tc>
          <w:tcPr>
            <w:tcW w:w="850" w:type="dxa"/>
            <w:vAlign w:val="center"/>
          </w:tcPr>
          <w:p w14:paraId="5764D284">
            <w:pPr>
              <w:pStyle w:val="14"/>
            </w:pPr>
            <w:r>
              <w:t>0.70</w:t>
            </w:r>
          </w:p>
        </w:tc>
        <w:tc>
          <w:tcPr>
            <w:tcW w:w="964" w:type="dxa"/>
            <w:vAlign w:val="center"/>
          </w:tcPr>
          <w:p w14:paraId="0492F870">
            <w:pPr>
              <w:pStyle w:val="14"/>
            </w:pPr>
            <w:r>
              <w:t>2.10</w:t>
            </w:r>
          </w:p>
        </w:tc>
        <w:tc>
          <w:tcPr>
            <w:tcW w:w="964" w:type="dxa"/>
            <w:vAlign w:val="center"/>
          </w:tcPr>
          <w:p w14:paraId="3D0AC52E">
            <w:pPr>
              <w:pStyle w:val="14"/>
            </w:pPr>
            <w:r>
              <w:t>2.10</w:t>
            </w:r>
          </w:p>
        </w:tc>
        <w:tc>
          <w:tcPr>
            <w:tcW w:w="964" w:type="dxa"/>
            <w:vAlign w:val="center"/>
          </w:tcPr>
          <w:p w14:paraId="1D6435C5">
            <w:pPr>
              <w:pStyle w:val="14"/>
            </w:pPr>
          </w:p>
        </w:tc>
        <w:tc>
          <w:tcPr>
            <w:tcW w:w="964" w:type="dxa"/>
            <w:vAlign w:val="center"/>
          </w:tcPr>
          <w:p w14:paraId="5BC641D8">
            <w:pPr>
              <w:pStyle w:val="14"/>
            </w:pPr>
          </w:p>
        </w:tc>
        <w:tc>
          <w:tcPr>
            <w:tcW w:w="964" w:type="dxa"/>
            <w:vAlign w:val="center"/>
          </w:tcPr>
          <w:p w14:paraId="51F5ADB3">
            <w:pPr>
              <w:pStyle w:val="14"/>
            </w:pPr>
          </w:p>
        </w:tc>
        <w:tc>
          <w:tcPr>
            <w:tcW w:w="964" w:type="dxa"/>
            <w:vAlign w:val="center"/>
          </w:tcPr>
          <w:p w14:paraId="2EE2FACD">
            <w:pPr>
              <w:pStyle w:val="14"/>
            </w:pPr>
          </w:p>
        </w:tc>
        <w:tc>
          <w:tcPr>
            <w:tcW w:w="964" w:type="dxa"/>
            <w:vAlign w:val="center"/>
          </w:tcPr>
          <w:p w14:paraId="5CBDBA4B">
            <w:pPr>
              <w:pStyle w:val="14"/>
            </w:pPr>
          </w:p>
        </w:tc>
        <w:tc>
          <w:tcPr>
            <w:tcW w:w="964" w:type="dxa"/>
            <w:vAlign w:val="center"/>
          </w:tcPr>
          <w:p w14:paraId="575BF1A7">
            <w:pPr>
              <w:pStyle w:val="14"/>
            </w:pPr>
            <w:r>
              <w:t>2.10</w:t>
            </w:r>
          </w:p>
        </w:tc>
      </w:tr>
    </w:tbl>
    <w:p w14:paraId="7A04BE1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6FFB2C">
      <w:pPr>
        <w:spacing w:before="0" w:after="0"/>
        <w:ind w:firstLine="640"/>
        <w:jc w:val="left"/>
        <w:outlineLvl w:val="9"/>
      </w:pPr>
      <w:r>
        <w:rPr>
          <w:rFonts w:ascii="Times New Roman" w:hAnsi="Times New Roman" w:eastAsia="方正仿宋_GBK" w:cs="Times New Roman"/>
          <w:color w:val="000000"/>
          <w:sz w:val="32"/>
        </w:rPr>
        <w:t xml:space="preserve"> </w:t>
      </w:r>
    </w:p>
    <w:p w14:paraId="0FE4E936">
      <w:pPr>
        <w:spacing w:before="10" w:after="10" w:line="240" w:lineRule="auto"/>
        <w:ind w:firstLine="640"/>
        <w:jc w:val="left"/>
        <w:outlineLvl w:val="5"/>
      </w:pPr>
      <w:r>
        <w:rPr>
          <w:rFonts w:ascii="黑体" w:hAnsi="黑体" w:eastAsia="黑体" w:cs="黑体"/>
          <w:color w:val="000000"/>
          <w:sz w:val="32"/>
        </w:rPr>
        <w:t>七、国有资产信息</w:t>
      </w:r>
    </w:p>
    <w:p w14:paraId="20416944">
      <w:pPr>
        <w:spacing w:before="0" w:after="0" w:line="500" w:lineRule="exact"/>
        <w:ind w:firstLine="560"/>
        <w:jc w:val="left"/>
        <w:outlineLvl w:val="9"/>
      </w:pPr>
      <w:r>
        <w:rPr>
          <w:rFonts w:ascii="Times New Roman" w:hAnsi="Times New Roman" w:eastAsia="方正仿宋_GBK" w:cs="Times New Roman"/>
          <w:b w:val="0"/>
          <w:color w:val="000000"/>
          <w:sz w:val="28"/>
        </w:rPr>
        <w:t>隆尧县东良中学上年末固定资产金额为</w:t>
      </w:r>
      <w:r>
        <w:rPr>
          <w:rFonts w:hint="eastAsia"/>
          <w:lang w:val="en-US" w:eastAsia="zh-CN"/>
        </w:rPr>
        <w:t>1533.94</w:t>
      </w:r>
      <w:r>
        <w:rPr>
          <w:rFonts w:ascii="Times New Roman" w:hAnsi="Times New Roman" w:eastAsia="方正仿宋_GBK" w:cs="Times New Roman"/>
          <w:b w:val="0"/>
          <w:color w:val="000000"/>
          <w:sz w:val="28"/>
        </w:rPr>
        <w:t>万元（详见下表）。本年度拟购置固定资产总额为12.00万元，已按要求列入政府采购预算，详见政府采购预算表。</w:t>
      </w:r>
    </w:p>
    <w:p w14:paraId="49D6471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D9A5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4933DE7">
            <w:pPr>
              <w:pStyle w:val="8"/>
            </w:pPr>
            <w:r>
              <w:t>360006隆尧县东良中学</w:t>
            </w:r>
          </w:p>
        </w:tc>
        <w:tc>
          <w:tcPr>
            <w:tcW w:w="5670" w:type="dxa"/>
            <w:gridSpan w:val="2"/>
            <w:tcBorders>
              <w:top w:val="single" w:color="FFFFFF" w:sz="6" w:space="0"/>
              <w:left w:val="single" w:color="FFFFFF" w:sz="6" w:space="0"/>
              <w:right w:val="single" w:color="FFFFFF" w:sz="6" w:space="0"/>
            </w:tcBorders>
            <w:vAlign w:val="center"/>
          </w:tcPr>
          <w:p w14:paraId="059B4FE7">
            <w:pPr>
              <w:pStyle w:val="10"/>
            </w:pPr>
            <w:r>
              <w:t>截止时间：2024-12-31</w:t>
            </w:r>
          </w:p>
        </w:tc>
      </w:tr>
      <w:tr w14:paraId="3CD49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1F57B51">
            <w:pPr>
              <w:pStyle w:val="11"/>
            </w:pPr>
            <w:r>
              <w:t>项   目</w:t>
            </w:r>
          </w:p>
        </w:tc>
        <w:tc>
          <w:tcPr>
            <w:tcW w:w="2835" w:type="dxa"/>
            <w:vAlign w:val="center"/>
          </w:tcPr>
          <w:p w14:paraId="086FFD9B">
            <w:pPr>
              <w:pStyle w:val="11"/>
            </w:pPr>
            <w:r>
              <w:t>数量</w:t>
            </w:r>
          </w:p>
        </w:tc>
        <w:tc>
          <w:tcPr>
            <w:tcW w:w="2835" w:type="dxa"/>
            <w:vAlign w:val="center"/>
          </w:tcPr>
          <w:p w14:paraId="70642E24">
            <w:pPr>
              <w:pStyle w:val="11"/>
            </w:pPr>
            <w:r>
              <w:t>价值（金额单位：万元）</w:t>
            </w:r>
          </w:p>
        </w:tc>
      </w:tr>
      <w:tr w14:paraId="2DDB2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906A61">
            <w:pPr>
              <w:pStyle w:val="13"/>
            </w:pPr>
            <w:r>
              <w:t>资产总额</w:t>
            </w:r>
          </w:p>
        </w:tc>
        <w:tc>
          <w:tcPr>
            <w:tcW w:w="2835" w:type="dxa"/>
            <w:vAlign w:val="center"/>
          </w:tcPr>
          <w:p w14:paraId="0A0A327E">
            <w:pPr>
              <w:pStyle w:val="12"/>
            </w:pPr>
          </w:p>
        </w:tc>
        <w:tc>
          <w:tcPr>
            <w:tcW w:w="2835" w:type="dxa"/>
            <w:vAlign w:val="center"/>
          </w:tcPr>
          <w:p w14:paraId="12F16EE9">
            <w:pPr>
              <w:pStyle w:val="14"/>
              <w:rPr>
                <w:rFonts w:hint="default" w:eastAsia="方正书宋_GBK"/>
                <w:lang w:val="en-US" w:eastAsia="zh-CN"/>
              </w:rPr>
            </w:pPr>
            <w:r>
              <w:rPr>
                <w:rFonts w:hint="eastAsia"/>
                <w:lang w:val="en-US" w:eastAsia="zh-CN"/>
              </w:rPr>
              <w:t>1533.94</w:t>
            </w:r>
          </w:p>
        </w:tc>
      </w:tr>
      <w:tr w14:paraId="5EEFD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3090E2">
            <w:pPr>
              <w:pStyle w:val="13"/>
            </w:pPr>
            <w:r>
              <w:t>1、房屋（平方米）</w:t>
            </w:r>
          </w:p>
        </w:tc>
        <w:tc>
          <w:tcPr>
            <w:tcW w:w="2835" w:type="dxa"/>
            <w:vAlign w:val="center"/>
          </w:tcPr>
          <w:p w14:paraId="3517009E">
            <w:pPr>
              <w:pStyle w:val="12"/>
              <w:rPr>
                <w:rFonts w:hint="default" w:eastAsia="方正书宋_GBK"/>
                <w:lang w:val="en-US" w:eastAsia="zh-CN"/>
              </w:rPr>
            </w:pPr>
            <w:r>
              <w:rPr>
                <w:rFonts w:hint="eastAsia"/>
                <w:lang w:val="en-US" w:eastAsia="zh-CN"/>
              </w:rPr>
              <w:t>13474.46</w:t>
            </w:r>
          </w:p>
        </w:tc>
        <w:tc>
          <w:tcPr>
            <w:tcW w:w="2835" w:type="dxa"/>
            <w:vAlign w:val="center"/>
          </w:tcPr>
          <w:p w14:paraId="4A924D51">
            <w:pPr>
              <w:pStyle w:val="14"/>
              <w:rPr>
                <w:rFonts w:hint="default" w:eastAsia="方正书宋_GBK"/>
                <w:lang w:val="en-US" w:eastAsia="zh-CN"/>
              </w:rPr>
            </w:pPr>
            <w:r>
              <w:rPr>
                <w:rFonts w:hint="eastAsia"/>
                <w:lang w:val="en-US" w:eastAsia="zh-CN"/>
              </w:rPr>
              <w:t>1127.98</w:t>
            </w:r>
          </w:p>
        </w:tc>
      </w:tr>
      <w:tr w14:paraId="49ABE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06D0B8">
            <w:pPr>
              <w:pStyle w:val="13"/>
            </w:pPr>
            <w:r>
              <w:t>　　其中：办公用房（平方米）</w:t>
            </w:r>
          </w:p>
        </w:tc>
        <w:tc>
          <w:tcPr>
            <w:tcW w:w="2835" w:type="dxa"/>
            <w:vAlign w:val="center"/>
          </w:tcPr>
          <w:p w14:paraId="5A0C5585">
            <w:pPr>
              <w:pStyle w:val="12"/>
            </w:pPr>
            <w:r>
              <w:t>1505</w:t>
            </w:r>
          </w:p>
        </w:tc>
        <w:tc>
          <w:tcPr>
            <w:tcW w:w="2835" w:type="dxa"/>
            <w:vAlign w:val="center"/>
          </w:tcPr>
          <w:p w14:paraId="3205B8F9">
            <w:pPr>
              <w:pStyle w:val="14"/>
            </w:pPr>
            <w:r>
              <w:t>124.80</w:t>
            </w:r>
          </w:p>
        </w:tc>
      </w:tr>
      <w:tr w14:paraId="4F767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14:paraId="7B977042">
            <w:pPr>
              <w:pStyle w:val="13"/>
            </w:pPr>
            <w:r>
              <w:t>2、车辆（台、辆）</w:t>
            </w:r>
          </w:p>
        </w:tc>
        <w:tc>
          <w:tcPr>
            <w:tcW w:w="2835" w:type="dxa"/>
            <w:vAlign w:val="center"/>
          </w:tcPr>
          <w:p w14:paraId="2D233BE5">
            <w:pPr>
              <w:pStyle w:val="12"/>
            </w:pPr>
          </w:p>
        </w:tc>
        <w:tc>
          <w:tcPr>
            <w:tcW w:w="2835" w:type="dxa"/>
            <w:vAlign w:val="center"/>
          </w:tcPr>
          <w:p w14:paraId="1B5045AB">
            <w:pPr>
              <w:pStyle w:val="14"/>
            </w:pPr>
          </w:p>
        </w:tc>
      </w:tr>
      <w:tr w14:paraId="5B571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F3E443">
            <w:pPr>
              <w:pStyle w:val="13"/>
            </w:pPr>
            <w:r>
              <w:t>3、单价在20万元以上的设备</w:t>
            </w:r>
          </w:p>
        </w:tc>
        <w:tc>
          <w:tcPr>
            <w:tcW w:w="2835" w:type="dxa"/>
            <w:vAlign w:val="center"/>
          </w:tcPr>
          <w:p w14:paraId="087BF077">
            <w:pPr>
              <w:pStyle w:val="12"/>
            </w:pPr>
          </w:p>
        </w:tc>
        <w:tc>
          <w:tcPr>
            <w:tcW w:w="2835" w:type="dxa"/>
            <w:vAlign w:val="center"/>
          </w:tcPr>
          <w:p w14:paraId="3B2E03B3">
            <w:pPr>
              <w:pStyle w:val="14"/>
            </w:pPr>
          </w:p>
        </w:tc>
      </w:tr>
      <w:tr w14:paraId="53E09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6C9F2E">
            <w:pPr>
              <w:pStyle w:val="13"/>
            </w:pPr>
            <w:r>
              <w:t>4、其他固定资产</w:t>
            </w:r>
          </w:p>
        </w:tc>
        <w:tc>
          <w:tcPr>
            <w:tcW w:w="2835" w:type="dxa"/>
            <w:vAlign w:val="center"/>
          </w:tcPr>
          <w:p w14:paraId="58767677">
            <w:pPr>
              <w:pStyle w:val="12"/>
            </w:pPr>
            <w:r>
              <w:t>55654</w:t>
            </w:r>
          </w:p>
        </w:tc>
        <w:tc>
          <w:tcPr>
            <w:tcW w:w="2835" w:type="dxa"/>
            <w:vAlign w:val="center"/>
          </w:tcPr>
          <w:p w14:paraId="07699761">
            <w:pPr>
              <w:pStyle w:val="14"/>
            </w:pPr>
            <w:r>
              <w:t>1409.10</w:t>
            </w:r>
          </w:p>
        </w:tc>
      </w:tr>
    </w:tbl>
    <w:p w14:paraId="4A4F734E">
      <w:pPr>
        <w:spacing w:before="0" w:after="0"/>
        <w:ind w:firstLine="640"/>
        <w:jc w:val="left"/>
        <w:outlineLvl w:val="9"/>
      </w:pPr>
      <w:r>
        <w:rPr>
          <w:rFonts w:ascii="Times New Roman" w:hAnsi="Times New Roman" w:eastAsia="方正仿宋_GBK" w:cs="Times New Roman"/>
          <w:color w:val="000000"/>
          <w:sz w:val="32"/>
        </w:rPr>
        <w:t xml:space="preserve"> </w:t>
      </w:r>
    </w:p>
    <w:p w14:paraId="4EA6892A">
      <w:pPr>
        <w:spacing w:before="10" w:after="10" w:line="240" w:lineRule="auto"/>
        <w:ind w:firstLine="640"/>
        <w:jc w:val="left"/>
        <w:outlineLvl w:val="5"/>
      </w:pPr>
      <w:r>
        <w:rPr>
          <w:rFonts w:ascii="黑体" w:hAnsi="黑体" w:eastAsia="黑体" w:cs="黑体"/>
          <w:color w:val="000000"/>
          <w:sz w:val="32"/>
        </w:rPr>
        <w:t>八、名词解释</w:t>
      </w:r>
    </w:p>
    <w:p w14:paraId="4B9ADAF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8462A6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15C67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92ED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4740F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50534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C4AF7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A3A2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05615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0BC5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940B55">
      <w:pPr>
        <w:spacing w:before="10" w:after="10" w:line="240" w:lineRule="auto"/>
        <w:ind w:firstLine="640"/>
        <w:jc w:val="left"/>
        <w:outlineLvl w:val="5"/>
      </w:pPr>
      <w:r>
        <w:rPr>
          <w:rFonts w:ascii="黑体" w:hAnsi="黑体" w:eastAsia="黑体" w:cs="黑体"/>
          <w:color w:val="000000"/>
          <w:sz w:val="32"/>
        </w:rPr>
        <w:t>九、其他需要说明的事项</w:t>
      </w:r>
    </w:p>
    <w:p w14:paraId="4615B45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5749B6A">
      <w:pPr>
        <w:spacing w:before="0" w:after="0"/>
        <w:ind w:firstLine="0"/>
        <w:jc w:val="center"/>
        <w:outlineLvl w:val="3"/>
      </w:pPr>
      <w:bookmarkStart w:id="6" w:name="_Toc_4_4_0000000026"/>
      <w:r>
        <w:rPr>
          <w:rFonts w:ascii="方正小标宋_GBK" w:hAnsi="方正小标宋_GBK" w:eastAsia="方正小标宋_GBK" w:cs="方正小标宋_GBK"/>
          <w:b w:val="0"/>
          <w:color w:val="000000"/>
          <w:sz w:val="44"/>
        </w:rPr>
        <w:t>六、隆尧县魏家庄中学收支预算</w:t>
      </w:r>
      <w:bookmarkEnd w:id="6"/>
    </w:p>
    <w:p w14:paraId="71EB98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F93D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DF8A8F">
            <w:pPr>
              <w:pStyle w:val="8"/>
            </w:pPr>
            <w:r>
              <w:t>360007隆尧县魏家庄中学</w:t>
            </w:r>
          </w:p>
        </w:tc>
        <w:tc>
          <w:tcPr>
            <w:tcW w:w="2126" w:type="dxa"/>
            <w:tcBorders>
              <w:top w:val="single" w:color="FFFFFF" w:sz="6" w:space="0"/>
              <w:left w:val="single" w:color="FFFFFF" w:sz="6" w:space="0"/>
              <w:right w:val="single" w:color="FFFFFF" w:sz="6" w:space="0"/>
            </w:tcBorders>
            <w:vAlign w:val="center"/>
          </w:tcPr>
          <w:p w14:paraId="0B557C2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1761887">
            <w:pPr>
              <w:pStyle w:val="10"/>
            </w:pPr>
            <w:r>
              <w:t>单位：万元</w:t>
            </w:r>
          </w:p>
        </w:tc>
      </w:tr>
      <w:tr w14:paraId="3F9B1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FDEC6">
            <w:pPr>
              <w:pStyle w:val="11"/>
            </w:pPr>
            <w:r>
              <w:t>序号</w:t>
            </w:r>
          </w:p>
        </w:tc>
        <w:tc>
          <w:tcPr>
            <w:tcW w:w="6661" w:type="dxa"/>
            <w:gridSpan w:val="2"/>
            <w:vAlign w:val="center"/>
          </w:tcPr>
          <w:p w14:paraId="2E719A95">
            <w:pPr>
              <w:pStyle w:val="11"/>
            </w:pPr>
            <w:r>
              <w:t>收入</w:t>
            </w:r>
          </w:p>
        </w:tc>
        <w:tc>
          <w:tcPr>
            <w:tcW w:w="6661" w:type="dxa"/>
            <w:gridSpan w:val="2"/>
            <w:vAlign w:val="center"/>
          </w:tcPr>
          <w:p w14:paraId="2F329AFC">
            <w:pPr>
              <w:pStyle w:val="11"/>
            </w:pPr>
            <w:r>
              <w:t>支出</w:t>
            </w:r>
          </w:p>
        </w:tc>
      </w:tr>
      <w:tr w14:paraId="25E3D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703C81"/>
        </w:tc>
        <w:tc>
          <w:tcPr>
            <w:tcW w:w="4535" w:type="dxa"/>
            <w:vAlign w:val="center"/>
          </w:tcPr>
          <w:p w14:paraId="40B0F57C">
            <w:pPr>
              <w:pStyle w:val="11"/>
            </w:pPr>
            <w:r>
              <w:t>项  目</w:t>
            </w:r>
          </w:p>
        </w:tc>
        <w:tc>
          <w:tcPr>
            <w:tcW w:w="2126" w:type="dxa"/>
            <w:vAlign w:val="center"/>
          </w:tcPr>
          <w:p w14:paraId="6A0CE567">
            <w:pPr>
              <w:pStyle w:val="11"/>
            </w:pPr>
            <w:r>
              <w:t>预算数</w:t>
            </w:r>
          </w:p>
        </w:tc>
        <w:tc>
          <w:tcPr>
            <w:tcW w:w="4535" w:type="dxa"/>
            <w:vAlign w:val="center"/>
          </w:tcPr>
          <w:p w14:paraId="193D1EBC">
            <w:pPr>
              <w:pStyle w:val="11"/>
            </w:pPr>
            <w:r>
              <w:t>项  目</w:t>
            </w:r>
          </w:p>
        </w:tc>
        <w:tc>
          <w:tcPr>
            <w:tcW w:w="2126" w:type="dxa"/>
            <w:vAlign w:val="center"/>
          </w:tcPr>
          <w:p w14:paraId="168453E7">
            <w:pPr>
              <w:pStyle w:val="11"/>
            </w:pPr>
            <w:r>
              <w:t>预算数</w:t>
            </w:r>
          </w:p>
        </w:tc>
      </w:tr>
      <w:tr w14:paraId="609AD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36A06D">
            <w:pPr>
              <w:pStyle w:val="11"/>
            </w:pPr>
            <w:r>
              <w:t>栏次</w:t>
            </w:r>
          </w:p>
        </w:tc>
        <w:tc>
          <w:tcPr>
            <w:tcW w:w="4535" w:type="dxa"/>
            <w:vAlign w:val="center"/>
          </w:tcPr>
          <w:p w14:paraId="352DA3F4">
            <w:pPr>
              <w:pStyle w:val="11"/>
            </w:pPr>
            <w:r>
              <w:t>1</w:t>
            </w:r>
          </w:p>
        </w:tc>
        <w:tc>
          <w:tcPr>
            <w:tcW w:w="2126" w:type="dxa"/>
            <w:vAlign w:val="center"/>
          </w:tcPr>
          <w:p w14:paraId="7E13556E">
            <w:pPr>
              <w:pStyle w:val="11"/>
            </w:pPr>
            <w:r>
              <w:t>2</w:t>
            </w:r>
          </w:p>
        </w:tc>
        <w:tc>
          <w:tcPr>
            <w:tcW w:w="4535" w:type="dxa"/>
            <w:vAlign w:val="center"/>
          </w:tcPr>
          <w:p w14:paraId="12C8E093">
            <w:pPr>
              <w:pStyle w:val="11"/>
            </w:pPr>
            <w:r>
              <w:t>3</w:t>
            </w:r>
          </w:p>
        </w:tc>
        <w:tc>
          <w:tcPr>
            <w:tcW w:w="2126" w:type="dxa"/>
            <w:vAlign w:val="center"/>
          </w:tcPr>
          <w:p w14:paraId="39EC4B55">
            <w:pPr>
              <w:pStyle w:val="11"/>
            </w:pPr>
            <w:r>
              <w:t>4</w:t>
            </w:r>
          </w:p>
        </w:tc>
      </w:tr>
      <w:tr w14:paraId="0284C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3DEE4">
            <w:pPr>
              <w:pStyle w:val="12"/>
            </w:pPr>
            <w:r>
              <w:t>1</w:t>
            </w:r>
          </w:p>
        </w:tc>
        <w:tc>
          <w:tcPr>
            <w:tcW w:w="4535" w:type="dxa"/>
            <w:vAlign w:val="center"/>
          </w:tcPr>
          <w:p w14:paraId="190BDF9D">
            <w:pPr>
              <w:pStyle w:val="13"/>
            </w:pPr>
            <w:r>
              <w:t>一、一般公共预算拨款收入</w:t>
            </w:r>
          </w:p>
        </w:tc>
        <w:tc>
          <w:tcPr>
            <w:tcW w:w="2126" w:type="dxa"/>
            <w:vAlign w:val="center"/>
          </w:tcPr>
          <w:p w14:paraId="67970AB1">
            <w:pPr>
              <w:pStyle w:val="14"/>
            </w:pPr>
            <w:r>
              <w:t>1009.58</w:t>
            </w:r>
          </w:p>
        </w:tc>
        <w:tc>
          <w:tcPr>
            <w:tcW w:w="4535" w:type="dxa"/>
            <w:vAlign w:val="center"/>
          </w:tcPr>
          <w:p w14:paraId="0AB1C598">
            <w:pPr>
              <w:pStyle w:val="13"/>
            </w:pPr>
            <w:r>
              <w:t>一、一般公共服务支出</w:t>
            </w:r>
          </w:p>
        </w:tc>
        <w:tc>
          <w:tcPr>
            <w:tcW w:w="2126" w:type="dxa"/>
            <w:vAlign w:val="center"/>
          </w:tcPr>
          <w:p w14:paraId="4B74EF94">
            <w:pPr>
              <w:pStyle w:val="14"/>
            </w:pPr>
          </w:p>
        </w:tc>
      </w:tr>
      <w:tr w14:paraId="09513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1C4AB">
            <w:pPr>
              <w:pStyle w:val="12"/>
            </w:pPr>
            <w:r>
              <w:t>2</w:t>
            </w:r>
          </w:p>
        </w:tc>
        <w:tc>
          <w:tcPr>
            <w:tcW w:w="4535" w:type="dxa"/>
            <w:vAlign w:val="center"/>
          </w:tcPr>
          <w:p w14:paraId="6510C0A4">
            <w:pPr>
              <w:pStyle w:val="13"/>
            </w:pPr>
            <w:r>
              <w:t>二、政府性基金预算拨款收入</w:t>
            </w:r>
          </w:p>
        </w:tc>
        <w:tc>
          <w:tcPr>
            <w:tcW w:w="2126" w:type="dxa"/>
            <w:vAlign w:val="center"/>
          </w:tcPr>
          <w:p w14:paraId="27425E6A">
            <w:pPr>
              <w:pStyle w:val="14"/>
            </w:pPr>
          </w:p>
        </w:tc>
        <w:tc>
          <w:tcPr>
            <w:tcW w:w="4535" w:type="dxa"/>
            <w:vAlign w:val="center"/>
          </w:tcPr>
          <w:p w14:paraId="4E19463F">
            <w:pPr>
              <w:pStyle w:val="13"/>
            </w:pPr>
            <w:r>
              <w:t>二、外交支出</w:t>
            </w:r>
          </w:p>
        </w:tc>
        <w:tc>
          <w:tcPr>
            <w:tcW w:w="2126" w:type="dxa"/>
            <w:vAlign w:val="center"/>
          </w:tcPr>
          <w:p w14:paraId="2DB0799D">
            <w:pPr>
              <w:pStyle w:val="14"/>
            </w:pPr>
          </w:p>
        </w:tc>
      </w:tr>
      <w:tr w14:paraId="0DA9A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FC4DE">
            <w:pPr>
              <w:pStyle w:val="12"/>
            </w:pPr>
            <w:r>
              <w:t>3</w:t>
            </w:r>
          </w:p>
        </w:tc>
        <w:tc>
          <w:tcPr>
            <w:tcW w:w="4535" w:type="dxa"/>
            <w:vAlign w:val="center"/>
          </w:tcPr>
          <w:p w14:paraId="482B18C9">
            <w:pPr>
              <w:pStyle w:val="13"/>
            </w:pPr>
            <w:r>
              <w:t>三、国有资本经营预算拨款收入</w:t>
            </w:r>
          </w:p>
        </w:tc>
        <w:tc>
          <w:tcPr>
            <w:tcW w:w="2126" w:type="dxa"/>
            <w:vAlign w:val="center"/>
          </w:tcPr>
          <w:p w14:paraId="3C97D438">
            <w:pPr>
              <w:pStyle w:val="14"/>
            </w:pPr>
          </w:p>
        </w:tc>
        <w:tc>
          <w:tcPr>
            <w:tcW w:w="4535" w:type="dxa"/>
            <w:vAlign w:val="center"/>
          </w:tcPr>
          <w:p w14:paraId="78931E03">
            <w:pPr>
              <w:pStyle w:val="13"/>
            </w:pPr>
            <w:r>
              <w:t>三、国防支出</w:t>
            </w:r>
          </w:p>
        </w:tc>
        <w:tc>
          <w:tcPr>
            <w:tcW w:w="2126" w:type="dxa"/>
            <w:vAlign w:val="center"/>
          </w:tcPr>
          <w:p w14:paraId="43059881">
            <w:pPr>
              <w:pStyle w:val="14"/>
            </w:pPr>
          </w:p>
        </w:tc>
      </w:tr>
      <w:tr w14:paraId="058BD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920CE">
            <w:pPr>
              <w:pStyle w:val="12"/>
            </w:pPr>
            <w:r>
              <w:t>4</w:t>
            </w:r>
          </w:p>
        </w:tc>
        <w:tc>
          <w:tcPr>
            <w:tcW w:w="4535" w:type="dxa"/>
            <w:vAlign w:val="center"/>
          </w:tcPr>
          <w:p w14:paraId="293BC31C">
            <w:pPr>
              <w:pStyle w:val="13"/>
            </w:pPr>
            <w:r>
              <w:t>四、财政专户管理资金收入</w:t>
            </w:r>
          </w:p>
        </w:tc>
        <w:tc>
          <w:tcPr>
            <w:tcW w:w="2126" w:type="dxa"/>
            <w:vAlign w:val="center"/>
          </w:tcPr>
          <w:p w14:paraId="5AAF425B">
            <w:pPr>
              <w:pStyle w:val="14"/>
            </w:pPr>
          </w:p>
        </w:tc>
        <w:tc>
          <w:tcPr>
            <w:tcW w:w="4535" w:type="dxa"/>
            <w:vAlign w:val="center"/>
          </w:tcPr>
          <w:p w14:paraId="2301BE3A">
            <w:pPr>
              <w:pStyle w:val="13"/>
            </w:pPr>
            <w:r>
              <w:t>四、公共安全支出</w:t>
            </w:r>
          </w:p>
        </w:tc>
        <w:tc>
          <w:tcPr>
            <w:tcW w:w="2126" w:type="dxa"/>
            <w:vAlign w:val="center"/>
          </w:tcPr>
          <w:p w14:paraId="0406C165">
            <w:pPr>
              <w:pStyle w:val="14"/>
            </w:pPr>
          </w:p>
        </w:tc>
      </w:tr>
      <w:tr w14:paraId="1C6F1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66DDE">
            <w:pPr>
              <w:pStyle w:val="12"/>
            </w:pPr>
            <w:r>
              <w:t>5</w:t>
            </w:r>
          </w:p>
        </w:tc>
        <w:tc>
          <w:tcPr>
            <w:tcW w:w="4535" w:type="dxa"/>
            <w:vAlign w:val="center"/>
          </w:tcPr>
          <w:p w14:paraId="57D4D805">
            <w:pPr>
              <w:pStyle w:val="13"/>
            </w:pPr>
            <w:r>
              <w:t>五、单位资金</w:t>
            </w:r>
          </w:p>
        </w:tc>
        <w:tc>
          <w:tcPr>
            <w:tcW w:w="2126" w:type="dxa"/>
            <w:vAlign w:val="center"/>
          </w:tcPr>
          <w:p w14:paraId="0695D112">
            <w:pPr>
              <w:pStyle w:val="14"/>
            </w:pPr>
          </w:p>
        </w:tc>
        <w:tc>
          <w:tcPr>
            <w:tcW w:w="4535" w:type="dxa"/>
            <w:vAlign w:val="center"/>
          </w:tcPr>
          <w:p w14:paraId="070D0DB1">
            <w:pPr>
              <w:pStyle w:val="13"/>
            </w:pPr>
            <w:r>
              <w:t>五、教育支出</w:t>
            </w:r>
          </w:p>
        </w:tc>
        <w:tc>
          <w:tcPr>
            <w:tcW w:w="2126" w:type="dxa"/>
            <w:vAlign w:val="center"/>
          </w:tcPr>
          <w:p w14:paraId="6EFDC6E1">
            <w:pPr>
              <w:pStyle w:val="14"/>
            </w:pPr>
            <w:r>
              <w:t>1037.82</w:t>
            </w:r>
          </w:p>
        </w:tc>
      </w:tr>
      <w:tr w14:paraId="58BAF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DA2F5">
            <w:pPr>
              <w:pStyle w:val="12"/>
            </w:pPr>
            <w:r>
              <w:t>6</w:t>
            </w:r>
          </w:p>
        </w:tc>
        <w:tc>
          <w:tcPr>
            <w:tcW w:w="4535" w:type="dxa"/>
            <w:vAlign w:val="center"/>
          </w:tcPr>
          <w:p w14:paraId="78C22A64">
            <w:pPr>
              <w:pStyle w:val="13"/>
            </w:pPr>
          </w:p>
        </w:tc>
        <w:tc>
          <w:tcPr>
            <w:tcW w:w="2126" w:type="dxa"/>
            <w:vAlign w:val="center"/>
          </w:tcPr>
          <w:p w14:paraId="2214FC20">
            <w:pPr>
              <w:pStyle w:val="14"/>
            </w:pPr>
          </w:p>
        </w:tc>
        <w:tc>
          <w:tcPr>
            <w:tcW w:w="4535" w:type="dxa"/>
            <w:vAlign w:val="center"/>
          </w:tcPr>
          <w:p w14:paraId="470B18CB">
            <w:pPr>
              <w:pStyle w:val="13"/>
            </w:pPr>
            <w:r>
              <w:t>六、科学技术支出</w:t>
            </w:r>
          </w:p>
        </w:tc>
        <w:tc>
          <w:tcPr>
            <w:tcW w:w="2126" w:type="dxa"/>
            <w:vAlign w:val="center"/>
          </w:tcPr>
          <w:p w14:paraId="2590B50C">
            <w:pPr>
              <w:pStyle w:val="14"/>
            </w:pPr>
          </w:p>
        </w:tc>
      </w:tr>
      <w:tr w14:paraId="2435E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2ED32">
            <w:pPr>
              <w:pStyle w:val="12"/>
            </w:pPr>
            <w:r>
              <w:t>7</w:t>
            </w:r>
          </w:p>
        </w:tc>
        <w:tc>
          <w:tcPr>
            <w:tcW w:w="4535" w:type="dxa"/>
            <w:vAlign w:val="center"/>
          </w:tcPr>
          <w:p w14:paraId="2BFDBC12">
            <w:pPr>
              <w:pStyle w:val="13"/>
            </w:pPr>
          </w:p>
        </w:tc>
        <w:tc>
          <w:tcPr>
            <w:tcW w:w="2126" w:type="dxa"/>
            <w:vAlign w:val="center"/>
          </w:tcPr>
          <w:p w14:paraId="644C707E">
            <w:pPr>
              <w:pStyle w:val="14"/>
            </w:pPr>
          </w:p>
        </w:tc>
        <w:tc>
          <w:tcPr>
            <w:tcW w:w="4535" w:type="dxa"/>
            <w:vAlign w:val="center"/>
          </w:tcPr>
          <w:p w14:paraId="21170D7D">
            <w:pPr>
              <w:pStyle w:val="13"/>
            </w:pPr>
            <w:r>
              <w:t>七、文化旅游体育与传媒支出</w:t>
            </w:r>
          </w:p>
        </w:tc>
        <w:tc>
          <w:tcPr>
            <w:tcW w:w="2126" w:type="dxa"/>
            <w:vAlign w:val="center"/>
          </w:tcPr>
          <w:p w14:paraId="4ECA0172">
            <w:pPr>
              <w:pStyle w:val="14"/>
            </w:pPr>
          </w:p>
        </w:tc>
      </w:tr>
      <w:tr w14:paraId="0606C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DD529">
            <w:pPr>
              <w:pStyle w:val="12"/>
            </w:pPr>
            <w:r>
              <w:t>8</w:t>
            </w:r>
          </w:p>
        </w:tc>
        <w:tc>
          <w:tcPr>
            <w:tcW w:w="4535" w:type="dxa"/>
            <w:vAlign w:val="center"/>
          </w:tcPr>
          <w:p w14:paraId="3E6E7ED8">
            <w:pPr>
              <w:pStyle w:val="13"/>
            </w:pPr>
          </w:p>
        </w:tc>
        <w:tc>
          <w:tcPr>
            <w:tcW w:w="2126" w:type="dxa"/>
            <w:vAlign w:val="center"/>
          </w:tcPr>
          <w:p w14:paraId="74C073D0">
            <w:pPr>
              <w:pStyle w:val="14"/>
            </w:pPr>
          </w:p>
        </w:tc>
        <w:tc>
          <w:tcPr>
            <w:tcW w:w="4535" w:type="dxa"/>
            <w:vAlign w:val="center"/>
          </w:tcPr>
          <w:p w14:paraId="1839B543">
            <w:pPr>
              <w:pStyle w:val="13"/>
            </w:pPr>
            <w:r>
              <w:t>八、社会保障和就业支出</w:t>
            </w:r>
          </w:p>
        </w:tc>
        <w:tc>
          <w:tcPr>
            <w:tcW w:w="2126" w:type="dxa"/>
            <w:vAlign w:val="center"/>
          </w:tcPr>
          <w:p w14:paraId="1B764889">
            <w:pPr>
              <w:pStyle w:val="14"/>
            </w:pPr>
          </w:p>
        </w:tc>
      </w:tr>
      <w:tr w14:paraId="3D06D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B7407">
            <w:pPr>
              <w:pStyle w:val="12"/>
            </w:pPr>
            <w:r>
              <w:t>9</w:t>
            </w:r>
          </w:p>
        </w:tc>
        <w:tc>
          <w:tcPr>
            <w:tcW w:w="4535" w:type="dxa"/>
            <w:vAlign w:val="center"/>
          </w:tcPr>
          <w:p w14:paraId="429236A0">
            <w:pPr>
              <w:pStyle w:val="13"/>
            </w:pPr>
          </w:p>
        </w:tc>
        <w:tc>
          <w:tcPr>
            <w:tcW w:w="2126" w:type="dxa"/>
            <w:vAlign w:val="center"/>
          </w:tcPr>
          <w:p w14:paraId="40C552AD">
            <w:pPr>
              <w:pStyle w:val="14"/>
            </w:pPr>
          </w:p>
        </w:tc>
        <w:tc>
          <w:tcPr>
            <w:tcW w:w="4535" w:type="dxa"/>
            <w:vAlign w:val="center"/>
          </w:tcPr>
          <w:p w14:paraId="2CC15C1E">
            <w:pPr>
              <w:pStyle w:val="13"/>
            </w:pPr>
            <w:r>
              <w:t>九、社会保险基金支出</w:t>
            </w:r>
          </w:p>
        </w:tc>
        <w:tc>
          <w:tcPr>
            <w:tcW w:w="2126" w:type="dxa"/>
            <w:vAlign w:val="center"/>
          </w:tcPr>
          <w:p w14:paraId="213664F2">
            <w:pPr>
              <w:pStyle w:val="14"/>
            </w:pPr>
          </w:p>
        </w:tc>
      </w:tr>
      <w:tr w14:paraId="330D1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69919">
            <w:pPr>
              <w:pStyle w:val="12"/>
            </w:pPr>
            <w:r>
              <w:t>10</w:t>
            </w:r>
          </w:p>
        </w:tc>
        <w:tc>
          <w:tcPr>
            <w:tcW w:w="4535" w:type="dxa"/>
            <w:vAlign w:val="center"/>
          </w:tcPr>
          <w:p w14:paraId="2B197EA5">
            <w:pPr>
              <w:pStyle w:val="13"/>
            </w:pPr>
          </w:p>
        </w:tc>
        <w:tc>
          <w:tcPr>
            <w:tcW w:w="2126" w:type="dxa"/>
            <w:vAlign w:val="center"/>
          </w:tcPr>
          <w:p w14:paraId="3CE6A67B">
            <w:pPr>
              <w:pStyle w:val="14"/>
            </w:pPr>
          </w:p>
        </w:tc>
        <w:tc>
          <w:tcPr>
            <w:tcW w:w="4535" w:type="dxa"/>
            <w:vAlign w:val="center"/>
          </w:tcPr>
          <w:p w14:paraId="4D597612">
            <w:pPr>
              <w:pStyle w:val="13"/>
            </w:pPr>
            <w:r>
              <w:t>十、卫生健康支出</w:t>
            </w:r>
          </w:p>
        </w:tc>
        <w:tc>
          <w:tcPr>
            <w:tcW w:w="2126" w:type="dxa"/>
            <w:vAlign w:val="center"/>
          </w:tcPr>
          <w:p w14:paraId="253164CF">
            <w:pPr>
              <w:pStyle w:val="14"/>
            </w:pPr>
          </w:p>
        </w:tc>
      </w:tr>
      <w:tr w14:paraId="4FB75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C9D5B">
            <w:pPr>
              <w:pStyle w:val="12"/>
            </w:pPr>
            <w:r>
              <w:t>11</w:t>
            </w:r>
          </w:p>
        </w:tc>
        <w:tc>
          <w:tcPr>
            <w:tcW w:w="4535" w:type="dxa"/>
            <w:vAlign w:val="center"/>
          </w:tcPr>
          <w:p w14:paraId="5451D2F8">
            <w:pPr>
              <w:pStyle w:val="13"/>
            </w:pPr>
          </w:p>
        </w:tc>
        <w:tc>
          <w:tcPr>
            <w:tcW w:w="2126" w:type="dxa"/>
            <w:vAlign w:val="center"/>
          </w:tcPr>
          <w:p w14:paraId="2597CA60">
            <w:pPr>
              <w:pStyle w:val="14"/>
            </w:pPr>
          </w:p>
        </w:tc>
        <w:tc>
          <w:tcPr>
            <w:tcW w:w="4535" w:type="dxa"/>
            <w:vAlign w:val="center"/>
          </w:tcPr>
          <w:p w14:paraId="748165C0">
            <w:pPr>
              <w:pStyle w:val="13"/>
            </w:pPr>
            <w:r>
              <w:t>十一、节能环保支出</w:t>
            </w:r>
          </w:p>
        </w:tc>
        <w:tc>
          <w:tcPr>
            <w:tcW w:w="2126" w:type="dxa"/>
            <w:vAlign w:val="center"/>
          </w:tcPr>
          <w:p w14:paraId="4B1454C7">
            <w:pPr>
              <w:pStyle w:val="14"/>
            </w:pPr>
          </w:p>
        </w:tc>
      </w:tr>
      <w:tr w14:paraId="264BA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F05B0">
            <w:pPr>
              <w:pStyle w:val="12"/>
            </w:pPr>
            <w:r>
              <w:t>12</w:t>
            </w:r>
          </w:p>
        </w:tc>
        <w:tc>
          <w:tcPr>
            <w:tcW w:w="4535" w:type="dxa"/>
            <w:vAlign w:val="center"/>
          </w:tcPr>
          <w:p w14:paraId="0F0DEF5D">
            <w:pPr>
              <w:pStyle w:val="13"/>
            </w:pPr>
          </w:p>
        </w:tc>
        <w:tc>
          <w:tcPr>
            <w:tcW w:w="2126" w:type="dxa"/>
            <w:vAlign w:val="center"/>
          </w:tcPr>
          <w:p w14:paraId="55BB22E8">
            <w:pPr>
              <w:pStyle w:val="14"/>
            </w:pPr>
          </w:p>
        </w:tc>
        <w:tc>
          <w:tcPr>
            <w:tcW w:w="4535" w:type="dxa"/>
            <w:vAlign w:val="center"/>
          </w:tcPr>
          <w:p w14:paraId="60AB4980">
            <w:pPr>
              <w:pStyle w:val="13"/>
            </w:pPr>
            <w:r>
              <w:t>十二、城乡社区支出</w:t>
            </w:r>
          </w:p>
        </w:tc>
        <w:tc>
          <w:tcPr>
            <w:tcW w:w="2126" w:type="dxa"/>
            <w:vAlign w:val="center"/>
          </w:tcPr>
          <w:p w14:paraId="6D04D63B">
            <w:pPr>
              <w:pStyle w:val="14"/>
            </w:pPr>
          </w:p>
        </w:tc>
      </w:tr>
      <w:tr w14:paraId="19CDD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3EE08">
            <w:pPr>
              <w:pStyle w:val="12"/>
            </w:pPr>
            <w:r>
              <w:t>13</w:t>
            </w:r>
          </w:p>
        </w:tc>
        <w:tc>
          <w:tcPr>
            <w:tcW w:w="4535" w:type="dxa"/>
            <w:vAlign w:val="center"/>
          </w:tcPr>
          <w:p w14:paraId="009DBCBE">
            <w:pPr>
              <w:pStyle w:val="13"/>
            </w:pPr>
          </w:p>
        </w:tc>
        <w:tc>
          <w:tcPr>
            <w:tcW w:w="2126" w:type="dxa"/>
            <w:vAlign w:val="center"/>
          </w:tcPr>
          <w:p w14:paraId="116436A7">
            <w:pPr>
              <w:pStyle w:val="14"/>
            </w:pPr>
          </w:p>
        </w:tc>
        <w:tc>
          <w:tcPr>
            <w:tcW w:w="4535" w:type="dxa"/>
            <w:vAlign w:val="center"/>
          </w:tcPr>
          <w:p w14:paraId="7505691D">
            <w:pPr>
              <w:pStyle w:val="13"/>
            </w:pPr>
            <w:r>
              <w:t>十三、农林水支出</w:t>
            </w:r>
          </w:p>
        </w:tc>
        <w:tc>
          <w:tcPr>
            <w:tcW w:w="2126" w:type="dxa"/>
            <w:vAlign w:val="center"/>
          </w:tcPr>
          <w:p w14:paraId="41E21F8A">
            <w:pPr>
              <w:pStyle w:val="14"/>
            </w:pPr>
          </w:p>
        </w:tc>
      </w:tr>
      <w:tr w14:paraId="4D9B4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D1ED1">
            <w:pPr>
              <w:pStyle w:val="12"/>
            </w:pPr>
            <w:r>
              <w:t>14</w:t>
            </w:r>
          </w:p>
        </w:tc>
        <w:tc>
          <w:tcPr>
            <w:tcW w:w="4535" w:type="dxa"/>
            <w:vAlign w:val="center"/>
          </w:tcPr>
          <w:p w14:paraId="3357352E">
            <w:pPr>
              <w:pStyle w:val="13"/>
            </w:pPr>
          </w:p>
        </w:tc>
        <w:tc>
          <w:tcPr>
            <w:tcW w:w="2126" w:type="dxa"/>
            <w:vAlign w:val="center"/>
          </w:tcPr>
          <w:p w14:paraId="6E75AB48">
            <w:pPr>
              <w:pStyle w:val="14"/>
            </w:pPr>
          </w:p>
        </w:tc>
        <w:tc>
          <w:tcPr>
            <w:tcW w:w="4535" w:type="dxa"/>
            <w:vAlign w:val="center"/>
          </w:tcPr>
          <w:p w14:paraId="25CFE360">
            <w:pPr>
              <w:pStyle w:val="13"/>
            </w:pPr>
            <w:r>
              <w:t>十四、交通运输支出</w:t>
            </w:r>
          </w:p>
        </w:tc>
        <w:tc>
          <w:tcPr>
            <w:tcW w:w="2126" w:type="dxa"/>
            <w:vAlign w:val="center"/>
          </w:tcPr>
          <w:p w14:paraId="0D9A191C">
            <w:pPr>
              <w:pStyle w:val="14"/>
            </w:pPr>
          </w:p>
        </w:tc>
      </w:tr>
      <w:tr w14:paraId="7A6F8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A70A8">
            <w:pPr>
              <w:pStyle w:val="12"/>
            </w:pPr>
            <w:r>
              <w:t>15</w:t>
            </w:r>
          </w:p>
        </w:tc>
        <w:tc>
          <w:tcPr>
            <w:tcW w:w="4535" w:type="dxa"/>
            <w:vAlign w:val="center"/>
          </w:tcPr>
          <w:p w14:paraId="583B5F08">
            <w:pPr>
              <w:pStyle w:val="13"/>
            </w:pPr>
          </w:p>
        </w:tc>
        <w:tc>
          <w:tcPr>
            <w:tcW w:w="2126" w:type="dxa"/>
            <w:vAlign w:val="center"/>
          </w:tcPr>
          <w:p w14:paraId="5A4BFC45">
            <w:pPr>
              <w:pStyle w:val="14"/>
            </w:pPr>
          </w:p>
        </w:tc>
        <w:tc>
          <w:tcPr>
            <w:tcW w:w="4535" w:type="dxa"/>
            <w:vAlign w:val="center"/>
          </w:tcPr>
          <w:p w14:paraId="746D1402">
            <w:pPr>
              <w:pStyle w:val="13"/>
            </w:pPr>
            <w:r>
              <w:t>十五、资源勘探工业信息等支出</w:t>
            </w:r>
          </w:p>
        </w:tc>
        <w:tc>
          <w:tcPr>
            <w:tcW w:w="2126" w:type="dxa"/>
            <w:vAlign w:val="center"/>
          </w:tcPr>
          <w:p w14:paraId="149AC838">
            <w:pPr>
              <w:pStyle w:val="14"/>
            </w:pPr>
          </w:p>
        </w:tc>
      </w:tr>
      <w:tr w14:paraId="048C7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DBA7F">
            <w:pPr>
              <w:pStyle w:val="12"/>
            </w:pPr>
            <w:r>
              <w:t>16</w:t>
            </w:r>
          </w:p>
        </w:tc>
        <w:tc>
          <w:tcPr>
            <w:tcW w:w="4535" w:type="dxa"/>
            <w:vAlign w:val="center"/>
          </w:tcPr>
          <w:p w14:paraId="16AA6846">
            <w:pPr>
              <w:pStyle w:val="13"/>
            </w:pPr>
          </w:p>
        </w:tc>
        <w:tc>
          <w:tcPr>
            <w:tcW w:w="2126" w:type="dxa"/>
            <w:vAlign w:val="center"/>
          </w:tcPr>
          <w:p w14:paraId="5D55F39F">
            <w:pPr>
              <w:pStyle w:val="14"/>
            </w:pPr>
          </w:p>
        </w:tc>
        <w:tc>
          <w:tcPr>
            <w:tcW w:w="4535" w:type="dxa"/>
            <w:vAlign w:val="center"/>
          </w:tcPr>
          <w:p w14:paraId="06B0D802">
            <w:pPr>
              <w:pStyle w:val="13"/>
            </w:pPr>
            <w:r>
              <w:t>十六、商业服务业等支出</w:t>
            </w:r>
          </w:p>
        </w:tc>
        <w:tc>
          <w:tcPr>
            <w:tcW w:w="2126" w:type="dxa"/>
            <w:vAlign w:val="center"/>
          </w:tcPr>
          <w:p w14:paraId="3184AABA">
            <w:pPr>
              <w:pStyle w:val="14"/>
            </w:pPr>
          </w:p>
        </w:tc>
      </w:tr>
      <w:tr w14:paraId="0379F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18DFC">
            <w:pPr>
              <w:pStyle w:val="12"/>
            </w:pPr>
            <w:r>
              <w:t>17</w:t>
            </w:r>
          </w:p>
        </w:tc>
        <w:tc>
          <w:tcPr>
            <w:tcW w:w="4535" w:type="dxa"/>
            <w:vAlign w:val="center"/>
          </w:tcPr>
          <w:p w14:paraId="203243D9">
            <w:pPr>
              <w:pStyle w:val="13"/>
            </w:pPr>
          </w:p>
        </w:tc>
        <w:tc>
          <w:tcPr>
            <w:tcW w:w="2126" w:type="dxa"/>
            <w:vAlign w:val="center"/>
          </w:tcPr>
          <w:p w14:paraId="212F9F3D">
            <w:pPr>
              <w:pStyle w:val="14"/>
            </w:pPr>
          </w:p>
        </w:tc>
        <w:tc>
          <w:tcPr>
            <w:tcW w:w="4535" w:type="dxa"/>
            <w:vAlign w:val="center"/>
          </w:tcPr>
          <w:p w14:paraId="16DD20A1">
            <w:pPr>
              <w:pStyle w:val="13"/>
            </w:pPr>
            <w:r>
              <w:t>十七、金融支出</w:t>
            </w:r>
          </w:p>
        </w:tc>
        <w:tc>
          <w:tcPr>
            <w:tcW w:w="2126" w:type="dxa"/>
            <w:vAlign w:val="center"/>
          </w:tcPr>
          <w:p w14:paraId="0ED7B850">
            <w:pPr>
              <w:pStyle w:val="14"/>
            </w:pPr>
          </w:p>
        </w:tc>
      </w:tr>
      <w:tr w14:paraId="24E16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329D7">
            <w:pPr>
              <w:pStyle w:val="12"/>
            </w:pPr>
            <w:r>
              <w:t>18</w:t>
            </w:r>
          </w:p>
        </w:tc>
        <w:tc>
          <w:tcPr>
            <w:tcW w:w="4535" w:type="dxa"/>
            <w:vAlign w:val="center"/>
          </w:tcPr>
          <w:p w14:paraId="72BF8BBE">
            <w:pPr>
              <w:pStyle w:val="13"/>
            </w:pPr>
          </w:p>
        </w:tc>
        <w:tc>
          <w:tcPr>
            <w:tcW w:w="2126" w:type="dxa"/>
            <w:vAlign w:val="center"/>
          </w:tcPr>
          <w:p w14:paraId="23BDC26D">
            <w:pPr>
              <w:pStyle w:val="14"/>
            </w:pPr>
          </w:p>
        </w:tc>
        <w:tc>
          <w:tcPr>
            <w:tcW w:w="4535" w:type="dxa"/>
            <w:vAlign w:val="center"/>
          </w:tcPr>
          <w:p w14:paraId="43868BDD">
            <w:pPr>
              <w:pStyle w:val="13"/>
            </w:pPr>
            <w:r>
              <w:t>十八、援助其他地区支出</w:t>
            </w:r>
          </w:p>
        </w:tc>
        <w:tc>
          <w:tcPr>
            <w:tcW w:w="2126" w:type="dxa"/>
            <w:vAlign w:val="center"/>
          </w:tcPr>
          <w:p w14:paraId="6BD1318A">
            <w:pPr>
              <w:pStyle w:val="14"/>
            </w:pPr>
          </w:p>
        </w:tc>
      </w:tr>
      <w:tr w14:paraId="04CFA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FBB28">
            <w:pPr>
              <w:pStyle w:val="12"/>
            </w:pPr>
            <w:r>
              <w:t>19</w:t>
            </w:r>
          </w:p>
        </w:tc>
        <w:tc>
          <w:tcPr>
            <w:tcW w:w="4535" w:type="dxa"/>
            <w:vAlign w:val="center"/>
          </w:tcPr>
          <w:p w14:paraId="6154A6F4">
            <w:pPr>
              <w:pStyle w:val="13"/>
            </w:pPr>
          </w:p>
        </w:tc>
        <w:tc>
          <w:tcPr>
            <w:tcW w:w="2126" w:type="dxa"/>
            <w:vAlign w:val="center"/>
          </w:tcPr>
          <w:p w14:paraId="781CAC88">
            <w:pPr>
              <w:pStyle w:val="14"/>
            </w:pPr>
          </w:p>
        </w:tc>
        <w:tc>
          <w:tcPr>
            <w:tcW w:w="4535" w:type="dxa"/>
            <w:vAlign w:val="center"/>
          </w:tcPr>
          <w:p w14:paraId="0E48F889">
            <w:pPr>
              <w:pStyle w:val="13"/>
            </w:pPr>
            <w:r>
              <w:t>十九、自然资源海洋气象等支出</w:t>
            </w:r>
          </w:p>
        </w:tc>
        <w:tc>
          <w:tcPr>
            <w:tcW w:w="2126" w:type="dxa"/>
            <w:vAlign w:val="center"/>
          </w:tcPr>
          <w:p w14:paraId="27C6333A">
            <w:pPr>
              <w:pStyle w:val="14"/>
            </w:pPr>
          </w:p>
        </w:tc>
      </w:tr>
      <w:tr w14:paraId="096C4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CAC93">
            <w:pPr>
              <w:pStyle w:val="12"/>
            </w:pPr>
            <w:r>
              <w:t>20</w:t>
            </w:r>
          </w:p>
        </w:tc>
        <w:tc>
          <w:tcPr>
            <w:tcW w:w="4535" w:type="dxa"/>
            <w:vAlign w:val="center"/>
          </w:tcPr>
          <w:p w14:paraId="57B52884">
            <w:pPr>
              <w:pStyle w:val="13"/>
            </w:pPr>
          </w:p>
        </w:tc>
        <w:tc>
          <w:tcPr>
            <w:tcW w:w="2126" w:type="dxa"/>
            <w:vAlign w:val="center"/>
          </w:tcPr>
          <w:p w14:paraId="0AA33468">
            <w:pPr>
              <w:pStyle w:val="14"/>
            </w:pPr>
          </w:p>
        </w:tc>
        <w:tc>
          <w:tcPr>
            <w:tcW w:w="4535" w:type="dxa"/>
            <w:vAlign w:val="center"/>
          </w:tcPr>
          <w:p w14:paraId="01BD06F1">
            <w:pPr>
              <w:pStyle w:val="13"/>
            </w:pPr>
            <w:r>
              <w:t>二十、住房保障支出</w:t>
            </w:r>
          </w:p>
        </w:tc>
        <w:tc>
          <w:tcPr>
            <w:tcW w:w="2126" w:type="dxa"/>
            <w:vAlign w:val="center"/>
          </w:tcPr>
          <w:p w14:paraId="515AC8E9">
            <w:pPr>
              <w:pStyle w:val="14"/>
            </w:pPr>
          </w:p>
        </w:tc>
      </w:tr>
      <w:tr w14:paraId="3392E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8FF25">
            <w:pPr>
              <w:pStyle w:val="12"/>
            </w:pPr>
            <w:r>
              <w:t>21</w:t>
            </w:r>
          </w:p>
        </w:tc>
        <w:tc>
          <w:tcPr>
            <w:tcW w:w="4535" w:type="dxa"/>
            <w:vAlign w:val="center"/>
          </w:tcPr>
          <w:p w14:paraId="534295B6">
            <w:pPr>
              <w:pStyle w:val="13"/>
            </w:pPr>
          </w:p>
        </w:tc>
        <w:tc>
          <w:tcPr>
            <w:tcW w:w="2126" w:type="dxa"/>
            <w:vAlign w:val="center"/>
          </w:tcPr>
          <w:p w14:paraId="6E9DBF85">
            <w:pPr>
              <w:pStyle w:val="14"/>
            </w:pPr>
          </w:p>
        </w:tc>
        <w:tc>
          <w:tcPr>
            <w:tcW w:w="4535" w:type="dxa"/>
            <w:vAlign w:val="center"/>
          </w:tcPr>
          <w:p w14:paraId="1A227B21">
            <w:pPr>
              <w:pStyle w:val="13"/>
            </w:pPr>
            <w:r>
              <w:t>二十一、粮油物资储备支出</w:t>
            </w:r>
          </w:p>
        </w:tc>
        <w:tc>
          <w:tcPr>
            <w:tcW w:w="2126" w:type="dxa"/>
            <w:vAlign w:val="center"/>
          </w:tcPr>
          <w:p w14:paraId="3F162498">
            <w:pPr>
              <w:pStyle w:val="14"/>
            </w:pPr>
          </w:p>
        </w:tc>
      </w:tr>
      <w:tr w14:paraId="6BAE2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C8B09">
            <w:pPr>
              <w:pStyle w:val="12"/>
            </w:pPr>
            <w:r>
              <w:t>22</w:t>
            </w:r>
          </w:p>
        </w:tc>
        <w:tc>
          <w:tcPr>
            <w:tcW w:w="4535" w:type="dxa"/>
            <w:vAlign w:val="center"/>
          </w:tcPr>
          <w:p w14:paraId="3D5E1A8B">
            <w:pPr>
              <w:pStyle w:val="13"/>
            </w:pPr>
          </w:p>
        </w:tc>
        <w:tc>
          <w:tcPr>
            <w:tcW w:w="2126" w:type="dxa"/>
            <w:vAlign w:val="center"/>
          </w:tcPr>
          <w:p w14:paraId="6DC9B6A4">
            <w:pPr>
              <w:pStyle w:val="14"/>
            </w:pPr>
          </w:p>
        </w:tc>
        <w:tc>
          <w:tcPr>
            <w:tcW w:w="4535" w:type="dxa"/>
            <w:vAlign w:val="center"/>
          </w:tcPr>
          <w:p w14:paraId="6AE58C1C">
            <w:pPr>
              <w:pStyle w:val="13"/>
            </w:pPr>
            <w:r>
              <w:t>二十二、国有资本经营预算支出</w:t>
            </w:r>
          </w:p>
        </w:tc>
        <w:tc>
          <w:tcPr>
            <w:tcW w:w="2126" w:type="dxa"/>
            <w:vAlign w:val="center"/>
          </w:tcPr>
          <w:p w14:paraId="139B4E64">
            <w:pPr>
              <w:pStyle w:val="14"/>
            </w:pPr>
          </w:p>
        </w:tc>
      </w:tr>
      <w:tr w14:paraId="31D6A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9C08A">
            <w:pPr>
              <w:pStyle w:val="12"/>
            </w:pPr>
            <w:r>
              <w:t>23</w:t>
            </w:r>
          </w:p>
        </w:tc>
        <w:tc>
          <w:tcPr>
            <w:tcW w:w="4535" w:type="dxa"/>
            <w:vAlign w:val="center"/>
          </w:tcPr>
          <w:p w14:paraId="0555DF63">
            <w:pPr>
              <w:pStyle w:val="13"/>
            </w:pPr>
          </w:p>
        </w:tc>
        <w:tc>
          <w:tcPr>
            <w:tcW w:w="2126" w:type="dxa"/>
            <w:vAlign w:val="center"/>
          </w:tcPr>
          <w:p w14:paraId="759F451A">
            <w:pPr>
              <w:pStyle w:val="14"/>
            </w:pPr>
          </w:p>
        </w:tc>
        <w:tc>
          <w:tcPr>
            <w:tcW w:w="4535" w:type="dxa"/>
            <w:vAlign w:val="center"/>
          </w:tcPr>
          <w:p w14:paraId="4EFAF78A">
            <w:pPr>
              <w:pStyle w:val="13"/>
            </w:pPr>
            <w:r>
              <w:t>二十三、灾害防治及应急管理支出</w:t>
            </w:r>
          </w:p>
        </w:tc>
        <w:tc>
          <w:tcPr>
            <w:tcW w:w="2126" w:type="dxa"/>
            <w:vAlign w:val="center"/>
          </w:tcPr>
          <w:p w14:paraId="6932C6A8">
            <w:pPr>
              <w:pStyle w:val="14"/>
            </w:pPr>
          </w:p>
        </w:tc>
      </w:tr>
      <w:tr w14:paraId="74152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1D8AD">
            <w:pPr>
              <w:pStyle w:val="12"/>
            </w:pPr>
            <w:r>
              <w:t>24</w:t>
            </w:r>
          </w:p>
        </w:tc>
        <w:tc>
          <w:tcPr>
            <w:tcW w:w="4535" w:type="dxa"/>
            <w:vAlign w:val="center"/>
          </w:tcPr>
          <w:p w14:paraId="2FCBAEB7">
            <w:pPr>
              <w:pStyle w:val="13"/>
            </w:pPr>
          </w:p>
        </w:tc>
        <w:tc>
          <w:tcPr>
            <w:tcW w:w="2126" w:type="dxa"/>
            <w:vAlign w:val="center"/>
          </w:tcPr>
          <w:p w14:paraId="69F644C4">
            <w:pPr>
              <w:pStyle w:val="14"/>
            </w:pPr>
          </w:p>
        </w:tc>
        <w:tc>
          <w:tcPr>
            <w:tcW w:w="4535" w:type="dxa"/>
            <w:vAlign w:val="center"/>
          </w:tcPr>
          <w:p w14:paraId="40CC7D7E">
            <w:pPr>
              <w:pStyle w:val="13"/>
            </w:pPr>
            <w:r>
              <w:t>二十四、预备费</w:t>
            </w:r>
          </w:p>
        </w:tc>
        <w:tc>
          <w:tcPr>
            <w:tcW w:w="2126" w:type="dxa"/>
            <w:vAlign w:val="center"/>
          </w:tcPr>
          <w:p w14:paraId="09BB33FE">
            <w:pPr>
              <w:pStyle w:val="14"/>
            </w:pPr>
          </w:p>
        </w:tc>
      </w:tr>
      <w:tr w14:paraId="4F9FB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5E0B0">
            <w:pPr>
              <w:pStyle w:val="12"/>
            </w:pPr>
            <w:r>
              <w:t>25</w:t>
            </w:r>
          </w:p>
        </w:tc>
        <w:tc>
          <w:tcPr>
            <w:tcW w:w="4535" w:type="dxa"/>
            <w:vAlign w:val="center"/>
          </w:tcPr>
          <w:p w14:paraId="61EE2CF6">
            <w:pPr>
              <w:pStyle w:val="13"/>
            </w:pPr>
          </w:p>
        </w:tc>
        <w:tc>
          <w:tcPr>
            <w:tcW w:w="2126" w:type="dxa"/>
            <w:vAlign w:val="center"/>
          </w:tcPr>
          <w:p w14:paraId="69D7883C">
            <w:pPr>
              <w:pStyle w:val="14"/>
            </w:pPr>
          </w:p>
        </w:tc>
        <w:tc>
          <w:tcPr>
            <w:tcW w:w="4535" w:type="dxa"/>
            <w:vAlign w:val="center"/>
          </w:tcPr>
          <w:p w14:paraId="66C0BA70">
            <w:pPr>
              <w:pStyle w:val="13"/>
            </w:pPr>
            <w:r>
              <w:t>二十五、其他支出</w:t>
            </w:r>
          </w:p>
        </w:tc>
        <w:tc>
          <w:tcPr>
            <w:tcW w:w="2126" w:type="dxa"/>
            <w:vAlign w:val="center"/>
          </w:tcPr>
          <w:p w14:paraId="6543A26C">
            <w:pPr>
              <w:pStyle w:val="14"/>
            </w:pPr>
          </w:p>
        </w:tc>
      </w:tr>
      <w:tr w14:paraId="5BF6B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2DF44">
            <w:pPr>
              <w:pStyle w:val="12"/>
            </w:pPr>
            <w:r>
              <w:t>26</w:t>
            </w:r>
          </w:p>
        </w:tc>
        <w:tc>
          <w:tcPr>
            <w:tcW w:w="4535" w:type="dxa"/>
            <w:vAlign w:val="center"/>
          </w:tcPr>
          <w:p w14:paraId="1FD9BAC7">
            <w:pPr>
              <w:pStyle w:val="13"/>
            </w:pPr>
          </w:p>
        </w:tc>
        <w:tc>
          <w:tcPr>
            <w:tcW w:w="2126" w:type="dxa"/>
            <w:vAlign w:val="center"/>
          </w:tcPr>
          <w:p w14:paraId="56E5A837">
            <w:pPr>
              <w:pStyle w:val="14"/>
            </w:pPr>
          </w:p>
        </w:tc>
        <w:tc>
          <w:tcPr>
            <w:tcW w:w="4535" w:type="dxa"/>
            <w:vAlign w:val="center"/>
          </w:tcPr>
          <w:p w14:paraId="337D17E0">
            <w:pPr>
              <w:pStyle w:val="13"/>
            </w:pPr>
            <w:r>
              <w:t>二十六、转移性支出</w:t>
            </w:r>
          </w:p>
        </w:tc>
        <w:tc>
          <w:tcPr>
            <w:tcW w:w="2126" w:type="dxa"/>
            <w:vAlign w:val="center"/>
          </w:tcPr>
          <w:p w14:paraId="01FE752E">
            <w:pPr>
              <w:pStyle w:val="14"/>
            </w:pPr>
          </w:p>
        </w:tc>
      </w:tr>
      <w:tr w14:paraId="6787F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33CB1">
            <w:pPr>
              <w:pStyle w:val="12"/>
            </w:pPr>
            <w:r>
              <w:t>27</w:t>
            </w:r>
          </w:p>
        </w:tc>
        <w:tc>
          <w:tcPr>
            <w:tcW w:w="4535" w:type="dxa"/>
            <w:vAlign w:val="center"/>
          </w:tcPr>
          <w:p w14:paraId="56905AAA">
            <w:pPr>
              <w:pStyle w:val="13"/>
            </w:pPr>
          </w:p>
        </w:tc>
        <w:tc>
          <w:tcPr>
            <w:tcW w:w="2126" w:type="dxa"/>
            <w:vAlign w:val="center"/>
          </w:tcPr>
          <w:p w14:paraId="5A8EE293">
            <w:pPr>
              <w:pStyle w:val="14"/>
            </w:pPr>
          </w:p>
        </w:tc>
        <w:tc>
          <w:tcPr>
            <w:tcW w:w="4535" w:type="dxa"/>
            <w:vAlign w:val="center"/>
          </w:tcPr>
          <w:p w14:paraId="66F7E8B0">
            <w:pPr>
              <w:pStyle w:val="13"/>
            </w:pPr>
            <w:r>
              <w:t>二十七、债务还本支出</w:t>
            </w:r>
          </w:p>
        </w:tc>
        <w:tc>
          <w:tcPr>
            <w:tcW w:w="2126" w:type="dxa"/>
            <w:vAlign w:val="center"/>
          </w:tcPr>
          <w:p w14:paraId="323E12DE">
            <w:pPr>
              <w:pStyle w:val="14"/>
            </w:pPr>
          </w:p>
        </w:tc>
      </w:tr>
      <w:tr w14:paraId="6C226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7C01A">
            <w:pPr>
              <w:pStyle w:val="12"/>
            </w:pPr>
            <w:r>
              <w:t>28</w:t>
            </w:r>
          </w:p>
        </w:tc>
        <w:tc>
          <w:tcPr>
            <w:tcW w:w="4535" w:type="dxa"/>
            <w:vAlign w:val="center"/>
          </w:tcPr>
          <w:p w14:paraId="70A6D98D">
            <w:pPr>
              <w:pStyle w:val="13"/>
            </w:pPr>
          </w:p>
        </w:tc>
        <w:tc>
          <w:tcPr>
            <w:tcW w:w="2126" w:type="dxa"/>
            <w:vAlign w:val="center"/>
          </w:tcPr>
          <w:p w14:paraId="734EB94B">
            <w:pPr>
              <w:pStyle w:val="14"/>
            </w:pPr>
          </w:p>
        </w:tc>
        <w:tc>
          <w:tcPr>
            <w:tcW w:w="4535" w:type="dxa"/>
            <w:vAlign w:val="center"/>
          </w:tcPr>
          <w:p w14:paraId="3098751B">
            <w:pPr>
              <w:pStyle w:val="13"/>
            </w:pPr>
            <w:r>
              <w:t>二十八、债务付息支出</w:t>
            </w:r>
          </w:p>
        </w:tc>
        <w:tc>
          <w:tcPr>
            <w:tcW w:w="2126" w:type="dxa"/>
            <w:vAlign w:val="center"/>
          </w:tcPr>
          <w:p w14:paraId="64073475">
            <w:pPr>
              <w:pStyle w:val="14"/>
            </w:pPr>
          </w:p>
        </w:tc>
      </w:tr>
      <w:tr w14:paraId="608C7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2903E">
            <w:pPr>
              <w:pStyle w:val="12"/>
            </w:pPr>
            <w:r>
              <w:t>29</w:t>
            </w:r>
          </w:p>
        </w:tc>
        <w:tc>
          <w:tcPr>
            <w:tcW w:w="4535" w:type="dxa"/>
            <w:vAlign w:val="center"/>
          </w:tcPr>
          <w:p w14:paraId="4C63ADB7">
            <w:pPr>
              <w:pStyle w:val="13"/>
            </w:pPr>
          </w:p>
        </w:tc>
        <w:tc>
          <w:tcPr>
            <w:tcW w:w="2126" w:type="dxa"/>
            <w:vAlign w:val="center"/>
          </w:tcPr>
          <w:p w14:paraId="1E684361">
            <w:pPr>
              <w:pStyle w:val="14"/>
            </w:pPr>
          </w:p>
        </w:tc>
        <w:tc>
          <w:tcPr>
            <w:tcW w:w="4535" w:type="dxa"/>
            <w:vAlign w:val="center"/>
          </w:tcPr>
          <w:p w14:paraId="5D56CF4E">
            <w:pPr>
              <w:pStyle w:val="13"/>
            </w:pPr>
            <w:r>
              <w:t>二十九、债务发行费用支出</w:t>
            </w:r>
          </w:p>
        </w:tc>
        <w:tc>
          <w:tcPr>
            <w:tcW w:w="2126" w:type="dxa"/>
            <w:vAlign w:val="center"/>
          </w:tcPr>
          <w:p w14:paraId="357E265B">
            <w:pPr>
              <w:pStyle w:val="14"/>
            </w:pPr>
          </w:p>
        </w:tc>
      </w:tr>
      <w:tr w14:paraId="2ABD7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CF41D">
            <w:pPr>
              <w:pStyle w:val="12"/>
            </w:pPr>
            <w:r>
              <w:t>30</w:t>
            </w:r>
          </w:p>
        </w:tc>
        <w:tc>
          <w:tcPr>
            <w:tcW w:w="4535" w:type="dxa"/>
            <w:vAlign w:val="center"/>
          </w:tcPr>
          <w:p w14:paraId="66EEC678">
            <w:pPr>
              <w:pStyle w:val="13"/>
            </w:pPr>
          </w:p>
        </w:tc>
        <w:tc>
          <w:tcPr>
            <w:tcW w:w="2126" w:type="dxa"/>
            <w:vAlign w:val="center"/>
          </w:tcPr>
          <w:p w14:paraId="3FCA4109">
            <w:pPr>
              <w:pStyle w:val="14"/>
            </w:pPr>
          </w:p>
        </w:tc>
        <w:tc>
          <w:tcPr>
            <w:tcW w:w="4535" w:type="dxa"/>
            <w:vAlign w:val="center"/>
          </w:tcPr>
          <w:p w14:paraId="7E4DEEEF">
            <w:pPr>
              <w:pStyle w:val="13"/>
            </w:pPr>
            <w:r>
              <w:t>三十、抗疫特别国债安排的支出</w:t>
            </w:r>
          </w:p>
        </w:tc>
        <w:tc>
          <w:tcPr>
            <w:tcW w:w="2126" w:type="dxa"/>
            <w:vAlign w:val="center"/>
          </w:tcPr>
          <w:p w14:paraId="25F41C28">
            <w:pPr>
              <w:pStyle w:val="14"/>
            </w:pPr>
          </w:p>
        </w:tc>
      </w:tr>
      <w:tr w14:paraId="68425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F09A5">
            <w:pPr>
              <w:pStyle w:val="12"/>
            </w:pPr>
            <w:r>
              <w:t>31</w:t>
            </w:r>
          </w:p>
        </w:tc>
        <w:tc>
          <w:tcPr>
            <w:tcW w:w="4535" w:type="dxa"/>
            <w:vAlign w:val="center"/>
          </w:tcPr>
          <w:p w14:paraId="6ED626C2">
            <w:pPr>
              <w:pStyle w:val="13"/>
            </w:pPr>
          </w:p>
        </w:tc>
        <w:tc>
          <w:tcPr>
            <w:tcW w:w="2126" w:type="dxa"/>
            <w:vAlign w:val="center"/>
          </w:tcPr>
          <w:p w14:paraId="315DDABC">
            <w:pPr>
              <w:pStyle w:val="14"/>
            </w:pPr>
          </w:p>
        </w:tc>
        <w:tc>
          <w:tcPr>
            <w:tcW w:w="4535" w:type="dxa"/>
            <w:vAlign w:val="center"/>
          </w:tcPr>
          <w:p w14:paraId="5335ED1A">
            <w:pPr>
              <w:pStyle w:val="13"/>
            </w:pPr>
            <w:r>
              <w:t>三十一、人行科目</w:t>
            </w:r>
          </w:p>
        </w:tc>
        <w:tc>
          <w:tcPr>
            <w:tcW w:w="2126" w:type="dxa"/>
            <w:vAlign w:val="center"/>
          </w:tcPr>
          <w:p w14:paraId="36EE5315">
            <w:pPr>
              <w:pStyle w:val="14"/>
            </w:pPr>
          </w:p>
        </w:tc>
      </w:tr>
      <w:tr w14:paraId="17F38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57FC6">
            <w:pPr>
              <w:pStyle w:val="12"/>
            </w:pPr>
            <w:r>
              <w:t>32</w:t>
            </w:r>
          </w:p>
        </w:tc>
        <w:tc>
          <w:tcPr>
            <w:tcW w:w="4535" w:type="dxa"/>
            <w:vAlign w:val="center"/>
          </w:tcPr>
          <w:p w14:paraId="473F4278">
            <w:pPr>
              <w:pStyle w:val="15"/>
            </w:pPr>
            <w:r>
              <w:t>本年收入合计</w:t>
            </w:r>
          </w:p>
        </w:tc>
        <w:tc>
          <w:tcPr>
            <w:tcW w:w="2126" w:type="dxa"/>
            <w:vAlign w:val="center"/>
          </w:tcPr>
          <w:p w14:paraId="0C28B765">
            <w:pPr>
              <w:pStyle w:val="16"/>
            </w:pPr>
            <w:r>
              <w:t>1009.58</w:t>
            </w:r>
          </w:p>
        </w:tc>
        <w:tc>
          <w:tcPr>
            <w:tcW w:w="4535" w:type="dxa"/>
            <w:vAlign w:val="center"/>
          </w:tcPr>
          <w:p w14:paraId="7325AB20">
            <w:pPr>
              <w:pStyle w:val="15"/>
            </w:pPr>
            <w:r>
              <w:t>本年支出合计</w:t>
            </w:r>
          </w:p>
        </w:tc>
        <w:tc>
          <w:tcPr>
            <w:tcW w:w="2126" w:type="dxa"/>
            <w:vAlign w:val="center"/>
          </w:tcPr>
          <w:p w14:paraId="32D75157">
            <w:pPr>
              <w:pStyle w:val="16"/>
            </w:pPr>
            <w:r>
              <w:t>1037.82</w:t>
            </w:r>
          </w:p>
        </w:tc>
      </w:tr>
      <w:tr w14:paraId="02554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C3BFC">
            <w:pPr>
              <w:pStyle w:val="12"/>
            </w:pPr>
            <w:r>
              <w:t>33</w:t>
            </w:r>
          </w:p>
        </w:tc>
        <w:tc>
          <w:tcPr>
            <w:tcW w:w="4535" w:type="dxa"/>
            <w:vAlign w:val="center"/>
          </w:tcPr>
          <w:p w14:paraId="17A02F4A">
            <w:pPr>
              <w:pStyle w:val="13"/>
            </w:pPr>
            <w:r>
              <w:t>上年结转结余</w:t>
            </w:r>
          </w:p>
        </w:tc>
        <w:tc>
          <w:tcPr>
            <w:tcW w:w="2126" w:type="dxa"/>
            <w:vAlign w:val="center"/>
          </w:tcPr>
          <w:p w14:paraId="35EA2697">
            <w:pPr>
              <w:pStyle w:val="14"/>
            </w:pPr>
            <w:r>
              <w:t>28.24</w:t>
            </w:r>
          </w:p>
        </w:tc>
        <w:tc>
          <w:tcPr>
            <w:tcW w:w="4535" w:type="dxa"/>
            <w:vAlign w:val="center"/>
          </w:tcPr>
          <w:p w14:paraId="73EE7CFA">
            <w:pPr>
              <w:pStyle w:val="13"/>
            </w:pPr>
            <w:r>
              <w:t>年终结转结余</w:t>
            </w:r>
          </w:p>
        </w:tc>
        <w:tc>
          <w:tcPr>
            <w:tcW w:w="2126" w:type="dxa"/>
            <w:vAlign w:val="center"/>
          </w:tcPr>
          <w:p w14:paraId="4C96582C">
            <w:pPr>
              <w:pStyle w:val="14"/>
            </w:pPr>
          </w:p>
        </w:tc>
      </w:tr>
      <w:tr w14:paraId="6632A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0A80A">
            <w:pPr>
              <w:pStyle w:val="12"/>
            </w:pPr>
            <w:r>
              <w:t>34</w:t>
            </w:r>
          </w:p>
        </w:tc>
        <w:tc>
          <w:tcPr>
            <w:tcW w:w="4535" w:type="dxa"/>
            <w:vAlign w:val="center"/>
          </w:tcPr>
          <w:p w14:paraId="4110E698">
            <w:pPr>
              <w:pStyle w:val="15"/>
            </w:pPr>
            <w:r>
              <w:t>收入总计</w:t>
            </w:r>
          </w:p>
        </w:tc>
        <w:tc>
          <w:tcPr>
            <w:tcW w:w="2126" w:type="dxa"/>
            <w:vAlign w:val="center"/>
          </w:tcPr>
          <w:p w14:paraId="1783E300">
            <w:pPr>
              <w:pStyle w:val="16"/>
            </w:pPr>
            <w:r>
              <w:t>1037.82</w:t>
            </w:r>
          </w:p>
        </w:tc>
        <w:tc>
          <w:tcPr>
            <w:tcW w:w="4535" w:type="dxa"/>
            <w:vAlign w:val="center"/>
          </w:tcPr>
          <w:p w14:paraId="5EA0F233">
            <w:pPr>
              <w:pStyle w:val="15"/>
            </w:pPr>
            <w:r>
              <w:t>支出总计</w:t>
            </w:r>
          </w:p>
        </w:tc>
        <w:tc>
          <w:tcPr>
            <w:tcW w:w="2126" w:type="dxa"/>
            <w:vAlign w:val="center"/>
          </w:tcPr>
          <w:p w14:paraId="008DE8E1">
            <w:pPr>
              <w:pStyle w:val="16"/>
            </w:pPr>
            <w:r>
              <w:t>1037.82</w:t>
            </w:r>
          </w:p>
        </w:tc>
      </w:tr>
    </w:tbl>
    <w:p w14:paraId="163323BB">
      <w:pPr>
        <w:sectPr>
          <w:pgSz w:w="16840" w:h="11900" w:orient="landscape"/>
          <w:pgMar w:top="1361" w:right="1020" w:bottom="1134" w:left="1020" w:header="720" w:footer="720" w:gutter="0"/>
          <w:cols w:space="720" w:num="1"/>
        </w:sectPr>
      </w:pPr>
    </w:p>
    <w:p w14:paraId="3FC412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33D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D14F3B">
            <w:pPr>
              <w:pStyle w:val="8"/>
            </w:pPr>
            <w:r>
              <w:t>360007隆尧县魏家庄中学</w:t>
            </w:r>
          </w:p>
        </w:tc>
        <w:tc>
          <w:tcPr>
            <w:tcW w:w="3402" w:type="dxa"/>
            <w:gridSpan w:val="3"/>
            <w:tcBorders>
              <w:top w:val="single" w:color="FFFFFF" w:sz="6" w:space="0"/>
              <w:left w:val="single" w:color="FFFFFF" w:sz="6" w:space="0"/>
              <w:right w:val="single" w:color="FFFFFF" w:sz="6" w:space="0"/>
            </w:tcBorders>
            <w:vAlign w:val="center"/>
          </w:tcPr>
          <w:p w14:paraId="323E35B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A0B1A4F">
            <w:pPr>
              <w:pStyle w:val="10"/>
            </w:pPr>
            <w:r>
              <w:t>单位：万元</w:t>
            </w:r>
          </w:p>
        </w:tc>
      </w:tr>
      <w:tr w14:paraId="2B53F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AB3B91">
            <w:pPr>
              <w:pStyle w:val="11"/>
            </w:pPr>
            <w:r>
              <w:t>序号</w:t>
            </w:r>
          </w:p>
        </w:tc>
        <w:tc>
          <w:tcPr>
            <w:tcW w:w="2551" w:type="dxa"/>
            <w:gridSpan w:val="2"/>
            <w:vAlign w:val="center"/>
          </w:tcPr>
          <w:p w14:paraId="0681CE5C">
            <w:pPr>
              <w:pStyle w:val="11"/>
            </w:pPr>
            <w:r>
              <w:t>功能分类科目</w:t>
            </w:r>
          </w:p>
        </w:tc>
        <w:tc>
          <w:tcPr>
            <w:tcW w:w="1134" w:type="dxa"/>
            <w:vMerge w:val="restart"/>
            <w:vAlign w:val="center"/>
          </w:tcPr>
          <w:p w14:paraId="72B4D1CB">
            <w:pPr>
              <w:pStyle w:val="11"/>
            </w:pPr>
            <w:r>
              <w:t>合计</w:t>
            </w:r>
          </w:p>
        </w:tc>
        <w:tc>
          <w:tcPr>
            <w:tcW w:w="9072" w:type="dxa"/>
            <w:gridSpan w:val="8"/>
            <w:vAlign w:val="center"/>
          </w:tcPr>
          <w:p w14:paraId="7FD2826C">
            <w:pPr>
              <w:pStyle w:val="11"/>
            </w:pPr>
            <w:r>
              <w:t>本年收入</w:t>
            </w:r>
          </w:p>
        </w:tc>
        <w:tc>
          <w:tcPr>
            <w:tcW w:w="1134" w:type="dxa"/>
            <w:vMerge w:val="restart"/>
            <w:vAlign w:val="center"/>
          </w:tcPr>
          <w:p w14:paraId="1C14E07C">
            <w:pPr>
              <w:pStyle w:val="11"/>
            </w:pPr>
            <w:r>
              <w:t>上年结转</w:t>
            </w:r>
          </w:p>
        </w:tc>
      </w:tr>
      <w:tr w14:paraId="29245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8448E8"/>
        </w:tc>
        <w:tc>
          <w:tcPr>
            <w:tcW w:w="992" w:type="dxa"/>
            <w:vAlign w:val="center"/>
          </w:tcPr>
          <w:p w14:paraId="540860BF">
            <w:pPr>
              <w:pStyle w:val="11"/>
            </w:pPr>
            <w:r>
              <w:t>科目    编码</w:t>
            </w:r>
          </w:p>
        </w:tc>
        <w:tc>
          <w:tcPr>
            <w:tcW w:w="1559" w:type="dxa"/>
            <w:vAlign w:val="center"/>
          </w:tcPr>
          <w:p w14:paraId="1831180A">
            <w:pPr>
              <w:pStyle w:val="11"/>
            </w:pPr>
            <w:r>
              <w:t>科目名称</w:t>
            </w:r>
          </w:p>
        </w:tc>
        <w:tc>
          <w:tcPr>
            <w:tcW w:w="1134" w:type="dxa"/>
            <w:vMerge w:val="continue"/>
          </w:tcPr>
          <w:p w14:paraId="0EA5A2BA"/>
        </w:tc>
        <w:tc>
          <w:tcPr>
            <w:tcW w:w="1134" w:type="dxa"/>
            <w:vAlign w:val="center"/>
          </w:tcPr>
          <w:p w14:paraId="7FAEA4E0">
            <w:pPr>
              <w:pStyle w:val="11"/>
            </w:pPr>
            <w:r>
              <w:t>小计</w:t>
            </w:r>
          </w:p>
        </w:tc>
        <w:tc>
          <w:tcPr>
            <w:tcW w:w="1134" w:type="dxa"/>
            <w:vAlign w:val="center"/>
          </w:tcPr>
          <w:p w14:paraId="2170A76D">
            <w:pPr>
              <w:pStyle w:val="11"/>
            </w:pPr>
            <w:r>
              <w:t>财政拨款 收入</w:t>
            </w:r>
          </w:p>
        </w:tc>
        <w:tc>
          <w:tcPr>
            <w:tcW w:w="1134" w:type="dxa"/>
            <w:vAlign w:val="center"/>
          </w:tcPr>
          <w:p w14:paraId="3624B321">
            <w:pPr>
              <w:pStyle w:val="11"/>
            </w:pPr>
            <w:r>
              <w:t>财政专户 收入</w:t>
            </w:r>
          </w:p>
        </w:tc>
        <w:tc>
          <w:tcPr>
            <w:tcW w:w="1134" w:type="dxa"/>
            <w:vAlign w:val="center"/>
          </w:tcPr>
          <w:p w14:paraId="0C2D21B3">
            <w:pPr>
              <w:pStyle w:val="11"/>
            </w:pPr>
            <w:r>
              <w:t>事业收入</w:t>
            </w:r>
          </w:p>
        </w:tc>
        <w:tc>
          <w:tcPr>
            <w:tcW w:w="1134" w:type="dxa"/>
            <w:vAlign w:val="center"/>
          </w:tcPr>
          <w:p w14:paraId="0CB23BE2">
            <w:pPr>
              <w:pStyle w:val="11"/>
            </w:pPr>
            <w:r>
              <w:t>经营收入</w:t>
            </w:r>
          </w:p>
        </w:tc>
        <w:tc>
          <w:tcPr>
            <w:tcW w:w="1134" w:type="dxa"/>
            <w:vAlign w:val="center"/>
          </w:tcPr>
          <w:p w14:paraId="4F9DE000">
            <w:pPr>
              <w:pStyle w:val="11"/>
            </w:pPr>
            <w:r>
              <w:t>上级补助收入</w:t>
            </w:r>
          </w:p>
        </w:tc>
        <w:tc>
          <w:tcPr>
            <w:tcW w:w="1134" w:type="dxa"/>
            <w:vAlign w:val="center"/>
          </w:tcPr>
          <w:p w14:paraId="13BDA412">
            <w:pPr>
              <w:pStyle w:val="11"/>
            </w:pPr>
            <w:r>
              <w:t>附属单位上缴收入</w:t>
            </w:r>
          </w:p>
        </w:tc>
        <w:tc>
          <w:tcPr>
            <w:tcW w:w="1134" w:type="dxa"/>
            <w:vAlign w:val="center"/>
          </w:tcPr>
          <w:p w14:paraId="2100EBD9">
            <w:pPr>
              <w:pStyle w:val="11"/>
            </w:pPr>
            <w:r>
              <w:t>其他收入</w:t>
            </w:r>
          </w:p>
        </w:tc>
        <w:tc>
          <w:tcPr>
            <w:tcW w:w="1134" w:type="dxa"/>
            <w:vMerge w:val="continue"/>
          </w:tcPr>
          <w:p w14:paraId="629FF940"/>
        </w:tc>
      </w:tr>
      <w:tr w14:paraId="542C1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C03218">
            <w:pPr>
              <w:pStyle w:val="11"/>
            </w:pPr>
            <w:r>
              <w:t>栏次</w:t>
            </w:r>
          </w:p>
        </w:tc>
        <w:tc>
          <w:tcPr>
            <w:tcW w:w="992" w:type="dxa"/>
            <w:vAlign w:val="center"/>
          </w:tcPr>
          <w:p w14:paraId="3A1C4F0C">
            <w:pPr>
              <w:pStyle w:val="11"/>
            </w:pPr>
            <w:r>
              <w:t>1</w:t>
            </w:r>
          </w:p>
        </w:tc>
        <w:tc>
          <w:tcPr>
            <w:tcW w:w="1559" w:type="dxa"/>
            <w:vAlign w:val="center"/>
          </w:tcPr>
          <w:p w14:paraId="1D5DF0F5">
            <w:pPr>
              <w:pStyle w:val="11"/>
            </w:pPr>
            <w:r>
              <w:t>2</w:t>
            </w:r>
          </w:p>
        </w:tc>
        <w:tc>
          <w:tcPr>
            <w:tcW w:w="1134" w:type="dxa"/>
            <w:vAlign w:val="center"/>
          </w:tcPr>
          <w:p w14:paraId="2805BA19">
            <w:pPr>
              <w:pStyle w:val="11"/>
            </w:pPr>
            <w:r>
              <w:t>3</w:t>
            </w:r>
          </w:p>
        </w:tc>
        <w:tc>
          <w:tcPr>
            <w:tcW w:w="1134" w:type="dxa"/>
            <w:vAlign w:val="center"/>
          </w:tcPr>
          <w:p w14:paraId="19919ED2">
            <w:pPr>
              <w:pStyle w:val="11"/>
            </w:pPr>
            <w:r>
              <w:t>4</w:t>
            </w:r>
          </w:p>
        </w:tc>
        <w:tc>
          <w:tcPr>
            <w:tcW w:w="1134" w:type="dxa"/>
            <w:vAlign w:val="center"/>
          </w:tcPr>
          <w:p w14:paraId="748BD291">
            <w:pPr>
              <w:pStyle w:val="11"/>
            </w:pPr>
            <w:r>
              <w:t>5</w:t>
            </w:r>
          </w:p>
        </w:tc>
        <w:tc>
          <w:tcPr>
            <w:tcW w:w="1134" w:type="dxa"/>
            <w:vAlign w:val="center"/>
          </w:tcPr>
          <w:p w14:paraId="08C40604">
            <w:pPr>
              <w:pStyle w:val="11"/>
            </w:pPr>
            <w:r>
              <w:t>6</w:t>
            </w:r>
          </w:p>
        </w:tc>
        <w:tc>
          <w:tcPr>
            <w:tcW w:w="1134" w:type="dxa"/>
            <w:vAlign w:val="center"/>
          </w:tcPr>
          <w:p w14:paraId="69C1AF18">
            <w:pPr>
              <w:pStyle w:val="11"/>
            </w:pPr>
            <w:r>
              <w:t>7</w:t>
            </w:r>
          </w:p>
        </w:tc>
        <w:tc>
          <w:tcPr>
            <w:tcW w:w="1134" w:type="dxa"/>
            <w:vAlign w:val="center"/>
          </w:tcPr>
          <w:p w14:paraId="28F0C45E">
            <w:pPr>
              <w:pStyle w:val="11"/>
            </w:pPr>
            <w:r>
              <w:t>8</w:t>
            </w:r>
          </w:p>
        </w:tc>
        <w:tc>
          <w:tcPr>
            <w:tcW w:w="1134" w:type="dxa"/>
            <w:vAlign w:val="center"/>
          </w:tcPr>
          <w:p w14:paraId="3C95D395">
            <w:pPr>
              <w:pStyle w:val="11"/>
            </w:pPr>
            <w:r>
              <w:t>9</w:t>
            </w:r>
          </w:p>
        </w:tc>
        <w:tc>
          <w:tcPr>
            <w:tcW w:w="1134" w:type="dxa"/>
            <w:vAlign w:val="center"/>
          </w:tcPr>
          <w:p w14:paraId="74E258F6">
            <w:pPr>
              <w:pStyle w:val="11"/>
            </w:pPr>
            <w:r>
              <w:t>10</w:t>
            </w:r>
          </w:p>
        </w:tc>
        <w:tc>
          <w:tcPr>
            <w:tcW w:w="1134" w:type="dxa"/>
            <w:vAlign w:val="center"/>
          </w:tcPr>
          <w:p w14:paraId="7ACD1B44">
            <w:pPr>
              <w:pStyle w:val="11"/>
            </w:pPr>
            <w:r>
              <w:t>11</w:t>
            </w:r>
          </w:p>
        </w:tc>
        <w:tc>
          <w:tcPr>
            <w:tcW w:w="1134" w:type="dxa"/>
            <w:vAlign w:val="center"/>
          </w:tcPr>
          <w:p w14:paraId="552EDACD">
            <w:pPr>
              <w:pStyle w:val="11"/>
            </w:pPr>
            <w:r>
              <w:t>12</w:t>
            </w:r>
          </w:p>
        </w:tc>
      </w:tr>
      <w:tr w14:paraId="6BBAD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3F44E9">
            <w:pPr>
              <w:pStyle w:val="12"/>
            </w:pPr>
            <w:r>
              <w:t>1</w:t>
            </w:r>
          </w:p>
        </w:tc>
        <w:tc>
          <w:tcPr>
            <w:tcW w:w="992" w:type="dxa"/>
            <w:vAlign w:val="center"/>
          </w:tcPr>
          <w:p w14:paraId="1523D18E">
            <w:pPr>
              <w:pStyle w:val="17"/>
            </w:pPr>
          </w:p>
        </w:tc>
        <w:tc>
          <w:tcPr>
            <w:tcW w:w="1559" w:type="dxa"/>
            <w:vAlign w:val="center"/>
          </w:tcPr>
          <w:p w14:paraId="195AB447">
            <w:pPr>
              <w:pStyle w:val="15"/>
            </w:pPr>
            <w:r>
              <w:t>合计</w:t>
            </w:r>
          </w:p>
        </w:tc>
        <w:tc>
          <w:tcPr>
            <w:tcW w:w="1134" w:type="dxa"/>
            <w:vAlign w:val="center"/>
          </w:tcPr>
          <w:p w14:paraId="572C1C4D">
            <w:pPr>
              <w:pStyle w:val="16"/>
            </w:pPr>
            <w:r>
              <w:t>1037.82</w:t>
            </w:r>
          </w:p>
        </w:tc>
        <w:tc>
          <w:tcPr>
            <w:tcW w:w="1134" w:type="dxa"/>
            <w:vAlign w:val="center"/>
          </w:tcPr>
          <w:p w14:paraId="37E3226F">
            <w:pPr>
              <w:pStyle w:val="16"/>
            </w:pPr>
            <w:r>
              <w:t>1009.58</w:t>
            </w:r>
          </w:p>
        </w:tc>
        <w:tc>
          <w:tcPr>
            <w:tcW w:w="1134" w:type="dxa"/>
            <w:vAlign w:val="center"/>
          </w:tcPr>
          <w:p w14:paraId="5AE3419F">
            <w:pPr>
              <w:pStyle w:val="16"/>
            </w:pPr>
            <w:r>
              <w:t>1009.58</w:t>
            </w:r>
          </w:p>
        </w:tc>
        <w:tc>
          <w:tcPr>
            <w:tcW w:w="1134" w:type="dxa"/>
            <w:vAlign w:val="center"/>
          </w:tcPr>
          <w:p w14:paraId="61BD86AC">
            <w:pPr>
              <w:pStyle w:val="16"/>
            </w:pPr>
          </w:p>
        </w:tc>
        <w:tc>
          <w:tcPr>
            <w:tcW w:w="1134" w:type="dxa"/>
            <w:vAlign w:val="center"/>
          </w:tcPr>
          <w:p w14:paraId="5E812D16">
            <w:pPr>
              <w:pStyle w:val="16"/>
            </w:pPr>
          </w:p>
        </w:tc>
        <w:tc>
          <w:tcPr>
            <w:tcW w:w="1134" w:type="dxa"/>
            <w:vAlign w:val="center"/>
          </w:tcPr>
          <w:p w14:paraId="12F547A8">
            <w:pPr>
              <w:pStyle w:val="16"/>
            </w:pPr>
          </w:p>
        </w:tc>
        <w:tc>
          <w:tcPr>
            <w:tcW w:w="1134" w:type="dxa"/>
            <w:vAlign w:val="center"/>
          </w:tcPr>
          <w:p w14:paraId="25145439">
            <w:pPr>
              <w:pStyle w:val="16"/>
            </w:pPr>
          </w:p>
        </w:tc>
        <w:tc>
          <w:tcPr>
            <w:tcW w:w="1134" w:type="dxa"/>
            <w:vAlign w:val="center"/>
          </w:tcPr>
          <w:p w14:paraId="13C2A089">
            <w:pPr>
              <w:pStyle w:val="16"/>
            </w:pPr>
          </w:p>
        </w:tc>
        <w:tc>
          <w:tcPr>
            <w:tcW w:w="1134" w:type="dxa"/>
            <w:vAlign w:val="center"/>
          </w:tcPr>
          <w:p w14:paraId="781A0C78">
            <w:pPr>
              <w:pStyle w:val="16"/>
            </w:pPr>
          </w:p>
        </w:tc>
        <w:tc>
          <w:tcPr>
            <w:tcW w:w="1134" w:type="dxa"/>
            <w:vAlign w:val="center"/>
          </w:tcPr>
          <w:p w14:paraId="48C8D1B8">
            <w:pPr>
              <w:pStyle w:val="16"/>
            </w:pPr>
            <w:r>
              <w:t>28.24</w:t>
            </w:r>
          </w:p>
        </w:tc>
      </w:tr>
      <w:tr w14:paraId="6143B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C008E5">
            <w:pPr>
              <w:pStyle w:val="12"/>
            </w:pPr>
            <w:r>
              <w:t>2</w:t>
            </w:r>
          </w:p>
        </w:tc>
        <w:tc>
          <w:tcPr>
            <w:tcW w:w="992" w:type="dxa"/>
            <w:vAlign w:val="center"/>
          </w:tcPr>
          <w:p w14:paraId="7E5D6F7A">
            <w:pPr>
              <w:pStyle w:val="13"/>
            </w:pPr>
            <w:r>
              <w:t>205</w:t>
            </w:r>
          </w:p>
        </w:tc>
        <w:tc>
          <w:tcPr>
            <w:tcW w:w="1559" w:type="dxa"/>
            <w:vAlign w:val="center"/>
          </w:tcPr>
          <w:p w14:paraId="28BCB6FD">
            <w:pPr>
              <w:pStyle w:val="13"/>
            </w:pPr>
            <w:r>
              <w:t>教育支出</w:t>
            </w:r>
          </w:p>
        </w:tc>
        <w:tc>
          <w:tcPr>
            <w:tcW w:w="1134" w:type="dxa"/>
            <w:vAlign w:val="center"/>
          </w:tcPr>
          <w:p w14:paraId="3BB187F2">
            <w:pPr>
              <w:pStyle w:val="14"/>
            </w:pPr>
            <w:r>
              <w:t>1037.82</w:t>
            </w:r>
          </w:p>
        </w:tc>
        <w:tc>
          <w:tcPr>
            <w:tcW w:w="1134" w:type="dxa"/>
            <w:vAlign w:val="center"/>
          </w:tcPr>
          <w:p w14:paraId="73E3760C">
            <w:pPr>
              <w:pStyle w:val="14"/>
            </w:pPr>
            <w:r>
              <w:t>1009.58</w:t>
            </w:r>
          </w:p>
        </w:tc>
        <w:tc>
          <w:tcPr>
            <w:tcW w:w="1134" w:type="dxa"/>
            <w:vAlign w:val="center"/>
          </w:tcPr>
          <w:p w14:paraId="6D033028">
            <w:pPr>
              <w:pStyle w:val="14"/>
            </w:pPr>
            <w:r>
              <w:t>1009.58</w:t>
            </w:r>
          </w:p>
        </w:tc>
        <w:tc>
          <w:tcPr>
            <w:tcW w:w="1134" w:type="dxa"/>
            <w:vAlign w:val="center"/>
          </w:tcPr>
          <w:p w14:paraId="36B5161C">
            <w:pPr>
              <w:pStyle w:val="14"/>
            </w:pPr>
          </w:p>
        </w:tc>
        <w:tc>
          <w:tcPr>
            <w:tcW w:w="1134" w:type="dxa"/>
            <w:vAlign w:val="center"/>
          </w:tcPr>
          <w:p w14:paraId="4D35E474">
            <w:pPr>
              <w:pStyle w:val="14"/>
            </w:pPr>
          </w:p>
        </w:tc>
        <w:tc>
          <w:tcPr>
            <w:tcW w:w="1134" w:type="dxa"/>
            <w:vAlign w:val="center"/>
          </w:tcPr>
          <w:p w14:paraId="696D417E">
            <w:pPr>
              <w:pStyle w:val="14"/>
            </w:pPr>
          </w:p>
        </w:tc>
        <w:tc>
          <w:tcPr>
            <w:tcW w:w="1134" w:type="dxa"/>
            <w:vAlign w:val="center"/>
          </w:tcPr>
          <w:p w14:paraId="687CDFE2">
            <w:pPr>
              <w:pStyle w:val="14"/>
            </w:pPr>
          </w:p>
        </w:tc>
        <w:tc>
          <w:tcPr>
            <w:tcW w:w="1134" w:type="dxa"/>
            <w:vAlign w:val="center"/>
          </w:tcPr>
          <w:p w14:paraId="58CC710C">
            <w:pPr>
              <w:pStyle w:val="14"/>
            </w:pPr>
          </w:p>
        </w:tc>
        <w:tc>
          <w:tcPr>
            <w:tcW w:w="1134" w:type="dxa"/>
            <w:vAlign w:val="center"/>
          </w:tcPr>
          <w:p w14:paraId="573948D3">
            <w:pPr>
              <w:pStyle w:val="14"/>
            </w:pPr>
          </w:p>
        </w:tc>
        <w:tc>
          <w:tcPr>
            <w:tcW w:w="1134" w:type="dxa"/>
            <w:vAlign w:val="center"/>
          </w:tcPr>
          <w:p w14:paraId="409C81C7">
            <w:pPr>
              <w:pStyle w:val="14"/>
            </w:pPr>
            <w:r>
              <w:t>28.24</w:t>
            </w:r>
          </w:p>
        </w:tc>
      </w:tr>
      <w:tr w14:paraId="3C75D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AEBD6">
            <w:pPr>
              <w:pStyle w:val="12"/>
            </w:pPr>
            <w:r>
              <w:t>3</w:t>
            </w:r>
          </w:p>
        </w:tc>
        <w:tc>
          <w:tcPr>
            <w:tcW w:w="992" w:type="dxa"/>
            <w:vAlign w:val="center"/>
          </w:tcPr>
          <w:p w14:paraId="4B5ADF2B">
            <w:pPr>
              <w:pStyle w:val="13"/>
            </w:pPr>
            <w:r>
              <w:t>20502</w:t>
            </w:r>
          </w:p>
        </w:tc>
        <w:tc>
          <w:tcPr>
            <w:tcW w:w="1559" w:type="dxa"/>
            <w:vAlign w:val="center"/>
          </w:tcPr>
          <w:p w14:paraId="124C7FA5">
            <w:pPr>
              <w:pStyle w:val="13"/>
            </w:pPr>
            <w:r>
              <w:t>普通教育</w:t>
            </w:r>
          </w:p>
        </w:tc>
        <w:tc>
          <w:tcPr>
            <w:tcW w:w="1134" w:type="dxa"/>
            <w:vAlign w:val="center"/>
          </w:tcPr>
          <w:p w14:paraId="17A9D1AA">
            <w:pPr>
              <w:pStyle w:val="14"/>
            </w:pPr>
            <w:r>
              <w:t>1037.82</w:t>
            </w:r>
          </w:p>
        </w:tc>
        <w:tc>
          <w:tcPr>
            <w:tcW w:w="1134" w:type="dxa"/>
            <w:vAlign w:val="center"/>
          </w:tcPr>
          <w:p w14:paraId="51C51459">
            <w:pPr>
              <w:pStyle w:val="14"/>
            </w:pPr>
            <w:r>
              <w:t>1009.58</w:t>
            </w:r>
          </w:p>
        </w:tc>
        <w:tc>
          <w:tcPr>
            <w:tcW w:w="1134" w:type="dxa"/>
            <w:vAlign w:val="center"/>
          </w:tcPr>
          <w:p w14:paraId="3228B58A">
            <w:pPr>
              <w:pStyle w:val="14"/>
            </w:pPr>
            <w:r>
              <w:t>1009.58</w:t>
            </w:r>
          </w:p>
        </w:tc>
        <w:tc>
          <w:tcPr>
            <w:tcW w:w="1134" w:type="dxa"/>
            <w:vAlign w:val="center"/>
          </w:tcPr>
          <w:p w14:paraId="093932B9">
            <w:pPr>
              <w:pStyle w:val="14"/>
            </w:pPr>
          </w:p>
        </w:tc>
        <w:tc>
          <w:tcPr>
            <w:tcW w:w="1134" w:type="dxa"/>
            <w:vAlign w:val="center"/>
          </w:tcPr>
          <w:p w14:paraId="3A44D924">
            <w:pPr>
              <w:pStyle w:val="14"/>
            </w:pPr>
          </w:p>
        </w:tc>
        <w:tc>
          <w:tcPr>
            <w:tcW w:w="1134" w:type="dxa"/>
            <w:vAlign w:val="center"/>
          </w:tcPr>
          <w:p w14:paraId="3276AD57">
            <w:pPr>
              <w:pStyle w:val="14"/>
            </w:pPr>
          </w:p>
        </w:tc>
        <w:tc>
          <w:tcPr>
            <w:tcW w:w="1134" w:type="dxa"/>
            <w:vAlign w:val="center"/>
          </w:tcPr>
          <w:p w14:paraId="06845EDF">
            <w:pPr>
              <w:pStyle w:val="14"/>
            </w:pPr>
          </w:p>
        </w:tc>
        <w:tc>
          <w:tcPr>
            <w:tcW w:w="1134" w:type="dxa"/>
            <w:vAlign w:val="center"/>
          </w:tcPr>
          <w:p w14:paraId="321EFBD7">
            <w:pPr>
              <w:pStyle w:val="14"/>
            </w:pPr>
          </w:p>
        </w:tc>
        <w:tc>
          <w:tcPr>
            <w:tcW w:w="1134" w:type="dxa"/>
            <w:vAlign w:val="center"/>
          </w:tcPr>
          <w:p w14:paraId="429315CE">
            <w:pPr>
              <w:pStyle w:val="14"/>
            </w:pPr>
          </w:p>
        </w:tc>
        <w:tc>
          <w:tcPr>
            <w:tcW w:w="1134" w:type="dxa"/>
            <w:vAlign w:val="center"/>
          </w:tcPr>
          <w:p w14:paraId="3A7A4DC7">
            <w:pPr>
              <w:pStyle w:val="14"/>
            </w:pPr>
            <w:r>
              <w:t>28.24</w:t>
            </w:r>
          </w:p>
        </w:tc>
      </w:tr>
      <w:tr w14:paraId="15BE3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1D3D5">
            <w:pPr>
              <w:pStyle w:val="12"/>
            </w:pPr>
            <w:r>
              <w:t>4</w:t>
            </w:r>
          </w:p>
        </w:tc>
        <w:tc>
          <w:tcPr>
            <w:tcW w:w="992" w:type="dxa"/>
            <w:vAlign w:val="center"/>
          </w:tcPr>
          <w:p w14:paraId="60E34C57">
            <w:pPr>
              <w:pStyle w:val="13"/>
            </w:pPr>
            <w:r>
              <w:t>2050203</w:t>
            </w:r>
          </w:p>
        </w:tc>
        <w:tc>
          <w:tcPr>
            <w:tcW w:w="1559" w:type="dxa"/>
            <w:vAlign w:val="center"/>
          </w:tcPr>
          <w:p w14:paraId="7CA31D6F">
            <w:pPr>
              <w:pStyle w:val="13"/>
            </w:pPr>
            <w:r>
              <w:t>初中教育</w:t>
            </w:r>
          </w:p>
        </w:tc>
        <w:tc>
          <w:tcPr>
            <w:tcW w:w="1134" w:type="dxa"/>
            <w:vAlign w:val="center"/>
          </w:tcPr>
          <w:p w14:paraId="26C44336">
            <w:pPr>
              <w:pStyle w:val="14"/>
            </w:pPr>
            <w:r>
              <w:t>1037.82</w:t>
            </w:r>
          </w:p>
        </w:tc>
        <w:tc>
          <w:tcPr>
            <w:tcW w:w="1134" w:type="dxa"/>
            <w:vAlign w:val="center"/>
          </w:tcPr>
          <w:p w14:paraId="10EB195D">
            <w:pPr>
              <w:pStyle w:val="14"/>
            </w:pPr>
            <w:r>
              <w:t>1009.58</w:t>
            </w:r>
          </w:p>
        </w:tc>
        <w:tc>
          <w:tcPr>
            <w:tcW w:w="1134" w:type="dxa"/>
            <w:vAlign w:val="center"/>
          </w:tcPr>
          <w:p w14:paraId="39FC6444">
            <w:pPr>
              <w:pStyle w:val="14"/>
            </w:pPr>
            <w:r>
              <w:t>1009.58</w:t>
            </w:r>
          </w:p>
        </w:tc>
        <w:tc>
          <w:tcPr>
            <w:tcW w:w="1134" w:type="dxa"/>
            <w:vAlign w:val="center"/>
          </w:tcPr>
          <w:p w14:paraId="6CB0FAB0">
            <w:pPr>
              <w:pStyle w:val="14"/>
            </w:pPr>
          </w:p>
        </w:tc>
        <w:tc>
          <w:tcPr>
            <w:tcW w:w="1134" w:type="dxa"/>
            <w:vAlign w:val="center"/>
          </w:tcPr>
          <w:p w14:paraId="00337189">
            <w:pPr>
              <w:pStyle w:val="14"/>
            </w:pPr>
          </w:p>
        </w:tc>
        <w:tc>
          <w:tcPr>
            <w:tcW w:w="1134" w:type="dxa"/>
            <w:vAlign w:val="center"/>
          </w:tcPr>
          <w:p w14:paraId="4C61CFB8">
            <w:pPr>
              <w:pStyle w:val="14"/>
            </w:pPr>
          </w:p>
        </w:tc>
        <w:tc>
          <w:tcPr>
            <w:tcW w:w="1134" w:type="dxa"/>
            <w:vAlign w:val="center"/>
          </w:tcPr>
          <w:p w14:paraId="186EC989">
            <w:pPr>
              <w:pStyle w:val="14"/>
            </w:pPr>
          </w:p>
        </w:tc>
        <w:tc>
          <w:tcPr>
            <w:tcW w:w="1134" w:type="dxa"/>
            <w:vAlign w:val="center"/>
          </w:tcPr>
          <w:p w14:paraId="5752B201">
            <w:pPr>
              <w:pStyle w:val="14"/>
            </w:pPr>
          </w:p>
        </w:tc>
        <w:tc>
          <w:tcPr>
            <w:tcW w:w="1134" w:type="dxa"/>
            <w:vAlign w:val="center"/>
          </w:tcPr>
          <w:p w14:paraId="03EDF452">
            <w:pPr>
              <w:pStyle w:val="14"/>
            </w:pPr>
          </w:p>
        </w:tc>
        <w:tc>
          <w:tcPr>
            <w:tcW w:w="1134" w:type="dxa"/>
            <w:vAlign w:val="center"/>
          </w:tcPr>
          <w:p w14:paraId="07F6CF97">
            <w:pPr>
              <w:pStyle w:val="14"/>
            </w:pPr>
            <w:r>
              <w:t>28.24</w:t>
            </w:r>
          </w:p>
        </w:tc>
      </w:tr>
    </w:tbl>
    <w:p w14:paraId="04CC632F">
      <w:pPr>
        <w:sectPr>
          <w:pgSz w:w="16840" w:h="11900" w:orient="landscape"/>
          <w:pgMar w:top="1361" w:right="1020" w:bottom="1134" w:left="1020" w:header="720" w:footer="720" w:gutter="0"/>
          <w:cols w:space="720" w:num="1"/>
        </w:sectPr>
      </w:pPr>
    </w:p>
    <w:p w14:paraId="59F334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0AE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E4A32A">
            <w:pPr>
              <w:pStyle w:val="8"/>
            </w:pPr>
            <w:r>
              <w:t>360007隆尧县魏家庄中学</w:t>
            </w:r>
          </w:p>
        </w:tc>
        <w:tc>
          <w:tcPr>
            <w:tcW w:w="2722" w:type="dxa"/>
            <w:gridSpan w:val="2"/>
            <w:tcBorders>
              <w:top w:val="single" w:color="FFFFFF" w:sz="6" w:space="0"/>
              <w:left w:val="single" w:color="FFFFFF" w:sz="6" w:space="0"/>
              <w:right w:val="single" w:color="FFFFFF" w:sz="6" w:space="0"/>
            </w:tcBorders>
            <w:vAlign w:val="center"/>
          </w:tcPr>
          <w:p w14:paraId="3BC3EE7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A079364">
            <w:pPr>
              <w:pStyle w:val="10"/>
            </w:pPr>
            <w:r>
              <w:t>单位：万元</w:t>
            </w:r>
          </w:p>
        </w:tc>
      </w:tr>
      <w:tr w14:paraId="2F35D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DA7BF">
            <w:pPr>
              <w:pStyle w:val="11"/>
            </w:pPr>
            <w:r>
              <w:t>序号</w:t>
            </w:r>
          </w:p>
        </w:tc>
        <w:tc>
          <w:tcPr>
            <w:tcW w:w="5527" w:type="dxa"/>
            <w:gridSpan w:val="2"/>
            <w:vAlign w:val="center"/>
          </w:tcPr>
          <w:p w14:paraId="1A6AB28A">
            <w:pPr>
              <w:pStyle w:val="11"/>
            </w:pPr>
            <w:r>
              <w:t>功能分类科目</w:t>
            </w:r>
          </w:p>
        </w:tc>
        <w:tc>
          <w:tcPr>
            <w:tcW w:w="1361" w:type="dxa"/>
            <w:vMerge w:val="restart"/>
            <w:vAlign w:val="center"/>
          </w:tcPr>
          <w:p w14:paraId="13443866">
            <w:pPr>
              <w:pStyle w:val="11"/>
            </w:pPr>
            <w:r>
              <w:t>合计</w:t>
            </w:r>
          </w:p>
        </w:tc>
        <w:tc>
          <w:tcPr>
            <w:tcW w:w="1361" w:type="dxa"/>
            <w:vMerge w:val="restart"/>
            <w:vAlign w:val="center"/>
          </w:tcPr>
          <w:p w14:paraId="5BA132FC">
            <w:pPr>
              <w:pStyle w:val="11"/>
            </w:pPr>
            <w:r>
              <w:t>基本支出</w:t>
            </w:r>
          </w:p>
        </w:tc>
        <w:tc>
          <w:tcPr>
            <w:tcW w:w="1361" w:type="dxa"/>
            <w:vMerge w:val="restart"/>
            <w:vAlign w:val="center"/>
          </w:tcPr>
          <w:p w14:paraId="1302E3A3">
            <w:pPr>
              <w:pStyle w:val="11"/>
            </w:pPr>
            <w:r>
              <w:t>项目支出</w:t>
            </w:r>
          </w:p>
        </w:tc>
        <w:tc>
          <w:tcPr>
            <w:tcW w:w="1361" w:type="dxa"/>
            <w:vMerge w:val="restart"/>
            <w:vAlign w:val="center"/>
          </w:tcPr>
          <w:p w14:paraId="7A8E2A65">
            <w:pPr>
              <w:pStyle w:val="11"/>
            </w:pPr>
            <w:r>
              <w:t>经营支出</w:t>
            </w:r>
          </w:p>
        </w:tc>
        <w:tc>
          <w:tcPr>
            <w:tcW w:w="1361" w:type="dxa"/>
            <w:vMerge w:val="restart"/>
            <w:vAlign w:val="center"/>
          </w:tcPr>
          <w:p w14:paraId="5357A44C">
            <w:pPr>
              <w:pStyle w:val="11"/>
            </w:pPr>
            <w:r>
              <w:t>上解上级     支出</w:t>
            </w:r>
          </w:p>
        </w:tc>
        <w:tc>
          <w:tcPr>
            <w:tcW w:w="1361" w:type="dxa"/>
            <w:vMerge w:val="restart"/>
            <w:vAlign w:val="center"/>
          </w:tcPr>
          <w:p w14:paraId="0304D716">
            <w:pPr>
              <w:pStyle w:val="11"/>
            </w:pPr>
            <w:r>
              <w:t>对附属单位补助支出</w:t>
            </w:r>
          </w:p>
        </w:tc>
      </w:tr>
      <w:tr w14:paraId="14333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FAD0B7"/>
        </w:tc>
        <w:tc>
          <w:tcPr>
            <w:tcW w:w="992" w:type="dxa"/>
            <w:vAlign w:val="center"/>
          </w:tcPr>
          <w:p w14:paraId="108796BB">
            <w:pPr>
              <w:pStyle w:val="11"/>
            </w:pPr>
            <w:r>
              <w:t>科目    编码</w:t>
            </w:r>
          </w:p>
        </w:tc>
        <w:tc>
          <w:tcPr>
            <w:tcW w:w="4535" w:type="dxa"/>
            <w:vAlign w:val="center"/>
          </w:tcPr>
          <w:p w14:paraId="27F10B9C">
            <w:pPr>
              <w:pStyle w:val="11"/>
            </w:pPr>
            <w:r>
              <w:t>科目名称</w:t>
            </w:r>
          </w:p>
        </w:tc>
        <w:tc>
          <w:tcPr>
            <w:tcW w:w="1361" w:type="dxa"/>
            <w:vMerge w:val="continue"/>
          </w:tcPr>
          <w:p w14:paraId="52DDAB0E"/>
        </w:tc>
        <w:tc>
          <w:tcPr>
            <w:tcW w:w="1361" w:type="dxa"/>
            <w:vMerge w:val="continue"/>
          </w:tcPr>
          <w:p w14:paraId="6B1DD779"/>
        </w:tc>
        <w:tc>
          <w:tcPr>
            <w:tcW w:w="1361" w:type="dxa"/>
            <w:vMerge w:val="continue"/>
          </w:tcPr>
          <w:p w14:paraId="4FE83C45"/>
        </w:tc>
        <w:tc>
          <w:tcPr>
            <w:tcW w:w="1361" w:type="dxa"/>
            <w:vMerge w:val="continue"/>
          </w:tcPr>
          <w:p w14:paraId="7BA55A28"/>
        </w:tc>
        <w:tc>
          <w:tcPr>
            <w:tcW w:w="1361" w:type="dxa"/>
            <w:vMerge w:val="continue"/>
          </w:tcPr>
          <w:p w14:paraId="640A6476"/>
        </w:tc>
        <w:tc>
          <w:tcPr>
            <w:tcW w:w="1361" w:type="dxa"/>
            <w:vMerge w:val="continue"/>
          </w:tcPr>
          <w:p w14:paraId="75A5A75E"/>
        </w:tc>
      </w:tr>
      <w:tr w14:paraId="27725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77E452">
            <w:pPr>
              <w:pStyle w:val="11"/>
            </w:pPr>
            <w:r>
              <w:t>栏次</w:t>
            </w:r>
          </w:p>
        </w:tc>
        <w:tc>
          <w:tcPr>
            <w:tcW w:w="992" w:type="dxa"/>
            <w:vAlign w:val="center"/>
          </w:tcPr>
          <w:p w14:paraId="26161375">
            <w:pPr>
              <w:pStyle w:val="11"/>
            </w:pPr>
            <w:r>
              <w:t>1</w:t>
            </w:r>
          </w:p>
        </w:tc>
        <w:tc>
          <w:tcPr>
            <w:tcW w:w="4535" w:type="dxa"/>
            <w:vAlign w:val="center"/>
          </w:tcPr>
          <w:p w14:paraId="28AE37B3">
            <w:pPr>
              <w:pStyle w:val="11"/>
            </w:pPr>
            <w:r>
              <w:t>2</w:t>
            </w:r>
          </w:p>
        </w:tc>
        <w:tc>
          <w:tcPr>
            <w:tcW w:w="1361" w:type="dxa"/>
            <w:vAlign w:val="center"/>
          </w:tcPr>
          <w:p w14:paraId="633E0550">
            <w:pPr>
              <w:pStyle w:val="11"/>
            </w:pPr>
            <w:r>
              <w:t>3</w:t>
            </w:r>
          </w:p>
        </w:tc>
        <w:tc>
          <w:tcPr>
            <w:tcW w:w="1361" w:type="dxa"/>
            <w:vAlign w:val="center"/>
          </w:tcPr>
          <w:p w14:paraId="368B9511">
            <w:pPr>
              <w:pStyle w:val="11"/>
            </w:pPr>
            <w:r>
              <w:t>4</w:t>
            </w:r>
          </w:p>
        </w:tc>
        <w:tc>
          <w:tcPr>
            <w:tcW w:w="1361" w:type="dxa"/>
            <w:vAlign w:val="center"/>
          </w:tcPr>
          <w:p w14:paraId="192EB254">
            <w:pPr>
              <w:pStyle w:val="11"/>
            </w:pPr>
            <w:r>
              <w:t>5</w:t>
            </w:r>
          </w:p>
        </w:tc>
        <w:tc>
          <w:tcPr>
            <w:tcW w:w="1361" w:type="dxa"/>
            <w:vAlign w:val="center"/>
          </w:tcPr>
          <w:p w14:paraId="18C78EEA">
            <w:pPr>
              <w:pStyle w:val="11"/>
            </w:pPr>
            <w:r>
              <w:t>6</w:t>
            </w:r>
          </w:p>
        </w:tc>
        <w:tc>
          <w:tcPr>
            <w:tcW w:w="1361" w:type="dxa"/>
            <w:vAlign w:val="center"/>
          </w:tcPr>
          <w:p w14:paraId="4B245E14">
            <w:pPr>
              <w:pStyle w:val="11"/>
            </w:pPr>
            <w:r>
              <w:t>7</w:t>
            </w:r>
          </w:p>
        </w:tc>
        <w:tc>
          <w:tcPr>
            <w:tcW w:w="1361" w:type="dxa"/>
            <w:vAlign w:val="center"/>
          </w:tcPr>
          <w:p w14:paraId="0AE132CF">
            <w:pPr>
              <w:pStyle w:val="11"/>
            </w:pPr>
            <w:r>
              <w:t>8</w:t>
            </w:r>
          </w:p>
        </w:tc>
      </w:tr>
      <w:tr w14:paraId="77AE1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2F8FF">
            <w:pPr>
              <w:pStyle w:val="12"/>
            </w:pPr>
            <w:r>
              <w:t>1</w:t>
            </w:r>
          </w:p>
        </w:tc>
        <w:tc>
          <w:tcPr>
            <w:tcW w:w="992" w:type="dxa"/>
            <w:vAlign w:val="center"/>
          </w:tcPr>
          <w:p w14:paraId="59E0E443">
            <w:pPr>
              <w:pStyle w:val="17"/>
            </w:pPr>
          </w:p>
        </w:tc>
        <w:tc>
          <w:tcPr>
            <w:tcW w:w="4535" w:type="dxa"/>
            <w:vAlign w:val="center"/>
          </w:tcPr>
          <w:p w14:paraId="726A509A">
            <w:pPr>
              <w:pStyle w:val="15"/>
            </w:pPr>
            <w:r>
              <w:t>合计</w:t>
            </w:r>
          </w:p>
        </w:tc>
        <w:tc>
          <w:tcPr>
            <w:tcW w:w="1361" w:type="dxa"/>
            <w:vAlign w:val="center"/>
          </w:tcPr>
          <w:p w14:paraId="489F4783">
            <w:pPr>
              <w:pStyle w:val="16"/>
            </w:pPr>
            <w:r>
              <w:t>1037.82</w:t>
            </w:r>
          </w:p>
        </w:tc>
        <w:tc>
          <w:tcPr>
            <w:tcW w:w="1361" w:type="dxa"/>
            <w:vAlign w:val="center"/>
          </w:tcPr>
          <w:p w14:paraId="2E587F78">
            <w:pPr>
              <w:pStyle w:val="16"/>
            </w:pPr>
            <w:r>
              <w:t>825.09</w:t>
            </w:r>
          </w:p>
        </w:tc>
        <w:tc>
          <w:tcPr>
            <w:tcW w:w="1361" w:type="dxa"/>
            <w:vAlign w:val="center"/>
          </w:tcPr>
          <w:p w14:paraId="58FDB730">
            <w:pPr>
              <w:pStyle w:val="16"/>
            </w:pPr>
            <w:r>
              <w:t>212.74</w:t>
            </w:r>
          </w:p>
        </w:tc>
        <w:tc>
          <w:tcPr>
            <w:tcW w:w="1361" w:type="dxa"/>
            <w:vAlign w:val="center"/>
          </w:tcPr>
          <w:p w14:paraId="7D266243">
            <w:pPr>
              <w:pStyle w:val="16"/>
            </w:pPr>
          </w:p>
        </w:tc>
        <w:tc>
          <w:tcPr>
            <w:tcW w:w="1361" w:type="dxa"/>
            <w:vAlign w:val="center"/>
          </w:tcPr>
          <w:p w14:paraId="26284A96">
            <w:pPr>
              <w:pStyle w:val="16"/>
            </w:pPr>
          </w:p>
        </w:tc>
        <w:tc>
          <w:tcPr>
            <w:tcW w:w="1361" w:type="dxa"/>
            <w:vAlign w:val="center"/>
          </w:tcPr>
          <w:p w14:paraId="2FEDFC5E">
            <w:pPr>
              <w:pStyle w:val="16"/>
            </w:pPr>
          </w:p>
        </w:tc>
      </w:tr>
      <w:tr w14:paraId="521AF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DC5C4">
            <w:pPr>
              <w:pStyle w:val="12"/>
            </w:pPr>
            <w:r>
              <w:t>2</w:t>
            </w:r>
          </w:p>
        </w:tc>
        <w:tc>
          <w:tcPr>
            <w:tcW w:w="992" w:type="dxa"/>
            <w:vAlign w:val="center"/>
          </w:tcPr>
          <w:p w14:paraId="222A244F">
            <w:pPr>
              <w:pStyle w:val="13"/>
            </w:pPr>
            <w:r>
              <w:t>205</w:t>
            </w:r>
          </w:p>
        </w:tc>
        <w:tc>
          <w:tcPr>
            <w:tcW w:w="4535" w:type="dxa"/>
            <w:vAlign w:val="center"/>
          </w:tcPr>
          <w:p w14:paraId="4A712C3A">
            <w:pPr>
              <w:pStyle w:val="13"/>
            </w:pPr>
            <w:r>
              <w:t>教育支出</w:t>
            </w:r>
          </w:p>
        </w:tc>
        <w:tc>
          <w:tcPr>
            <w:tcW w:w="1361" w:type="dxa"/>
            <w:vAlign w:val="center"/>
          </w:tcPr>
          <w:p w14:paraId="66CB13CF">
            <w:pPr>
              <w:pStyle w:val="14"/>
            </w:pPr>
            <w:r>
              <w:t>1037.82</w:t>
            </w:r>
          </w:p>
        </w:tc>
        <w:tc>
          <w:tcPr>
            <w:tcW w:w="1361" w:type="dxa"/>
            <w:vAlign w:val="center"/>
          </w:tcPr>
          <w:p w14:paraId="7D2FD60E">
            <w:pPr>
              <w:pStyle w:val="14"/>
            </w:pPr>
            <w:r>
              <w:t>825.09</w:t>
            </w:r>
          </w:p>
        </w:tc>
        <w:tc>
          <w:tcPr>
            <w:tcW w:w="1361" w:type="dxa"/>
            <w:vAlign w:val="center"/>
          </w:tcPr>
          <w:p w14:paraId="6096DB28">
            <w:pPr>
              <w:pStyle w:val="14"/>
            </w:pPr>
            <w:r>
              <w:t>212.74</w:t>
            </w:r>
          </w:p>
        </w:tc>
        <w:tc>
          <w:tcPr>
            <w:tcW w:w="1361" w:type="dxa"/>
            <w:vAlign w:val="center"/>
          </w:tcPr>
          <w:p w14:paraId="65D7EB47">
            <w:pPr>
              <w:pStyle w:val="14"/>
            </w:pPr>
          </w:p>
        </w:tc>
        <w:tc>
          <w:tcPr>
            <w:tcW w:w="1361" w:type="dxa"/>
            <w:vAlign w:val="center"/>
          </w:tcPr>
          <w:p w14:paraId="425CE2CC">
            <w:pPr>
              <w:pStyle w:val="14"/>
            </w:pPr>
          </w:p>
        </w:tc>
        <w:tc>
          <w:tcPr>
            <w:tcW w:w="1361" w:type="dxa"/>
            <w:vAlign w:val="center"/>
          </w:tcPr>
          <w:p w14:paraId="0EF4E87D">
            <w:pPr>
              <w:pStyle w:val="14"/>
            </w:pPr>
          </w:p>
        </w:tc>
      </w:tr>
      <w:tr w14:paraId="64096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76BAF">
            <w:pPr>
              <w:pStyle w:val="12"/>
            </w:pPr>
            <w:r>
              <w:t>3</w:t>
            </w:r>
          </w:p>
        </w:tc>
        <w:tc>
          <w:tcPr>
            <w:tcW w:w="992" w:type="dxa"/>
            <w:vAlign w:val="center"/>
          </w:tcPr>
          <w:p w14:paraId="1AFA4187">
            <w:pPr>
              <w:pStyle w:val="13"/>
            </w:pPr>
            <w:r>
              <w:t>20502</w:t>
            </w:r>
          </w:p>
        </w:tc>
        <w:tc>
          <w:tcPr>
            <w:tcW w:w="4535" w:type="dxa"/>
            <w:vAlign w:val="center"/>
          </w:tcPr>
          <w:p w14:paraId="5743175F">
            <w:pPr>
              <w:pStyle w:val="13"/>
            </w:pPr>
            <w:r>
              <w:t>普通教育</w:t>
            </w:r>
          </w:p>
        </w:tc>
        <w:tc>
          <w:tcPr>
            <w:tcW w:w="1361" w:type="dxa"/>
            <w:vAlign w:val="center"/>
          </w:tcPr>
          <w:p w14:paraId="23062571">
            <w:pPr>
              <w:pStyle w:val="14"/>
            </w:pPr>
            <w:r>
              <w:t>1037.82</w:t>
            </w:r>
          </w:p>
        </w:tc>
        <w:tc>
          <w:tcPr>
            <w:tcW w:w="1361" w:type="dxa"/>
            <w:vAlign w:val="center"/>
          </w:tcPr>
          <w:p w14:paraId="1C9C9DE6">
            <w:pPr>
              <w:pStyle w:val="14"/>
            </w:pPr>
            <w:r>
              <w:t>825.09</w:t>
            </w:r>
          </w:p>
        </w:tc>
        <w:tc>
          <w:tcPr>
            <w:tcW w:w="1361" w:type="dxa"/>
            <w:vAlign w:val="center"/>
          </w:tcPr>
          <w:p w14:paraId="317BABA4">
            <w:pPr>
              <w:pStyle w:val="14"/>
            </w:pPr>
            <w:r>
              <w:t>212.74</w:t>
            </w:r>
          </w:p>
        </w:tc>
        <w:tc>
          <w:tcPr>
            <w:tcW w:w="1361" w:type="dxa"/>
            <w:vAlign w:val="center"/>
          </w:tcPr>
          <w:p w14:paraId="6073DDC7">
            <w:pPr>
              <w:pStyle w:val="14"/>
            </w:pPr>
          </w:p>
        </w:tc>
        <w:tc>
          <w:tcPr>
            <w:tcW w:w="1361" w:type="dxa"/>
            <w:vAlign w:val="center"/>
          </w:tcPr>
          <w:p w14:paraId="77D0770A">
            <w:pPr>
              <w:pStyle w:val="14"/>
            </w:pPr>
          </w:p>
        </w:tc>
        <w:tc>
          <w:tcPr>
            <w:tcW w:w="1361" w:type="dxa"/>
            <w:vAlign w:val="center"/>
          </w:tcPr>
          <w:p w14:paraId="71536F66">
            <w:pPr>
              <w:pStyle w:val="14"/>
            </w:pPr>
          </w:p>
        </w:tc>
      </w:tr>
      <w:tr w14:paraId="07DCD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32759">
            <w:pPr>
              <w:pStyle w:val="12"/>
            </w:pPr>
            <w:r>
              <w:t>4</w:t>
            </w:r>
          </w:p>
        </w:tc>
        <w:tc>
          <w:tcPr>
            <w:tcW w:w="992" w:type="dxa"/>
            <w:vAlign w:val="center"/>
          </w:tcPr>
          <w:p w14:paraId="0D49E7CA">
            <w:pPr>
              <w:pStyle w:val="13"/>
            </w:pPr>
            <w:r>
              <w:t>2050203</w:t>
            </w:r>
          </w:p>
        </w:tc>
        <w:tc>
          <w:tcPr>
            <w:tcW w:w="4535" w:type="dxa"/>
            <w:vAlign w:val="center"/>
          </w:tcPr>
          <w:p w14:paraId="2C1D87FC">
            <w:pPr>
              <w:pStyle w:val="13"/>
            </w:pPr>
            <w:r>
              <w:t>初中教育</w:t>
            </w:r>
          </w:p>
        </w:tc>
        <w:tc>
          <w:tcPr>
            <w:tcW w:w="1361" w:type="dxa"/>
            <w:vAlign w:val="center"/>
          </w:tcPr>
          <w:p w14:paraId="5915AF92">
            <w:pPr>
              <w:pStyle w:val="14"/>
            </w:pPr>
            <w:r>
              <w:t>1037.82</w:t>
            </w:r>
          </w:p>
        </w:tc>
        <w:tc>
          <w:tcPr>
            <w:tcW w:w="1361" w:type="dxa"/>
            <w:vAlign w:val="center"/>
          </w:tcPr>
          <w:p w14:paraId="09E0EA32">
            <w:pPr>
              <w:pStyle w:val="14"/>
            </w:pPr>
            <w:r>
              <w:t>825.09</w:t>
            </w:r>
          </w:p>
        </w:tc>
        <w:tc>
          <w:tcPr>
            <w:tcW w:w="1361" w:type="dxa"/>
            <w:vAlign w:val="center"/>
          </w:tcPr>
          <w:p w14:paraId="09EDA95B">
            <w:pPr>
              <w:pStyle w:val="14"/>
            </w:pPr>
            <w:r>
              <w:t>212.74</w:t>
            </w:r>
          </w:p>
        </w:tc>
        <w:tc>
          <w:tcPr>
            <w:tcW w:w="1361" w:type="dxa"/>
            <w:vAlign w:val="center"/>
          </w:tcPr>
          <w:p w14:paraId="64E0BE56">
            <w:pPr>
              <w:pStyle w:val="14"/>
            </w:pPr>
          </w:p>
        </w:tc>
        <w:tc>
          <w:tcPr>
            <w:tcW w:w="1361" w:type="dxa"/>
            <w:vAlign w:val="center"/>
          </w:tcPr>
          <w:p w14:paraId="5715BC17">
            <w:pPr>
              <w:pStyle w:val="14"/>
            </w:pPr>
          </w:p>
        </w:tc>
        <w:tc>
          <w:tcPr>
            <w:tcW w:w="1361" w:type="dxa"/>
            <w:vAlign w:val="center"/>
          </w:tcPr>
          <w:p w14:paraId="2687DDD0">
            <w:pPr>
              <w:pStyle w:val="14"/>
            </w:pPr>
          </w:p>
        </w:tc>
      </w:tr>
    </w:tbl>
    <w:p w14:paraId="3CF9E3E3">
      <w:pPr>
        <w:sectPr>
          <w:pgSz w:w="16840" w:h="11900" w:orient="landscape"/>
          <w:pgMar w:top="1361" w:right="1020" w:bottom="1134" w:left="1020" w:header="720" w:footer="720" w:gutter="0"/>
          <w:cols w:space="720" w:num="1"/>
        </w:sectPr>
      </w:pPr>
    </w:p>
    <w:p w14:paraId="356AC8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E07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56D4C0">
            <w:pPr>
              <w:pStyle w:val="8"/>
            </w:pPr>
            <w:r>
              <w:t>360007隆尧县魏家庄中学</w:t>
            </w:r>
          </w:p>
        </w:tc>
        <w:tc>
          <w:tcPr>
            <w:tcW w:w="3402" w:type="dxa"/>
            <w:tcBorders>
              <w:top w:val="single" w:color="FFFFFF" w:sz="6" w:space="0"/>
              <w:left w:val="single" w:color="FFFFFF" w:sz="6" w:space="0"/>
              <w:right w:val="single" w:color="FFFFFF" w:sz="6" w:space="0"/>
            </w:tcBorders>
            <w:vAlign w:val="center"/>
          </w:tcPr>
          <w:p w14:paraId="433AAC93">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2B09254">
            <w:pPr>
              <w:pStyle w:val="10"/>
            </w:pPr>
            <w:r>
              <w:t>单位：万元</w:t>
            </w:r>
          </w:p>
        </w:tc>
      </w:tr>
      <w:tr w14:paraId="7842D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6E128">
            <w:pPr>
              <w:pStyle w:val="11"/>
            </w:pPr>
            <w:r>
              <w:t>序号</w:t>
            </w:r>
          </w:p>
        </w:tc>
        <w:tc>
          <w:tcPr>
            <w:tcW w:w="4876" w:type="dxa"/>
            <w:gridSpan w:val="2"/>
            <w:vAlign w:val="center"/>
          </w:tcPr>
          <w:p w14:paraId="5B493676">
            <w:pPr>
              <w:pStyle w:val="11"/>
            </w:pPr>
            <w:r>
              <w:t>收入</w:t>
            </w:r>
          </w:p>
        </w:tc>
        <w:tc>
          <w:tcPr>
            <w:tcW w:w="9298" w:type="dxa"/>
            <w:gridSpan w:val="5"/>
            <w:vAlign w:val="center"/>
          </w:tcPr>
          <w:p w14:paraId="64BFFC86">
            <w:pPr>
              <w:pStyle w:val="11"/>
            </w:pPr>
            <w:r>
              <w:t>支出</w:t>
            </w:r>
          </w:p>
        </w:tc>
      </w:tr>
      <w:tr w14:paraId="279DE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0209A41A"/>
        </w:tc>
        <w:tc>
          <w:tcPr>
            <w:tcW w:w="3402" w:type="dxa"/>
            <w:vAlign w:val="center"/>
          </w:tcPr>
          <w:p w14:paraId="4D479961">
            <w:pPr>
              <w:pStyle w:val="11"/>
            </w:pPr>
            <w:r>
              <w:t>项  目</w:t>
            </w:r>
          </w:p>
        </w:tc>
        <w:tc>
          <w:tcPr>
            <w:tcW w:w="1474" w:type="dxa"/>
            <w:vAlign w:val="center"/>
          </w:tcPr>
          <w:p w14:paraId="19495461">
            <w:pPr>
              <w:pStyle w:val="11"/>
            </w:pPr>
            <w:r>
              <w:t>金额</w:t>
            </w:r>
          </w:p>
        </w:tc>
        <w:tc>
          <w:tcPr>
            <w:tcW w:w="3402" w:type="dxa"/>
            <w:vAlign w:val="center"/>
          </w:tcPr>
          <w:p w14:paraId="1631C867">
            <w:pPr>
              <w:pStyle w:val="11"/>
            </w:pPr>
            <w:r>
              <w:t>项  目</w:t>
            </w:r>
          </w:p>
        </w:tc>
        <w:tc>
          <w:tcPr>
            <w:tcW w:w="1474" w:type="dxa"/>
            <w:vAlign w:val="center"/>
          </w:tcPr>
          <w:p w14:paraId="72FBA180">
            <w:pPr>
              <w:pStyle w:val="11"/>
            </w:pPr>
            <w:r>
              <w:t>合计</w:t>
            </w:r>
          </w:p>
        </w:tc>
        <w:tc>
          <w:tcPr>
            <w:tcW w:w="1474" w:type="dxa"/>
            <w:vAlign w:val="center"/>
          </w:tcPr>
          <w:p w14:paraId="121505F1">
            <w:pPr>
              <w:pStyle w:val="11"/>
            </w:pPr>
            <w:r>
              <w:t>一般公共预算财政拨款</w:t>
            </w:r>
          </w:p>
        </w:tc>
        <w:tc>
          <w:tcPr>
            <w:tcW w:w="1474" w:type="dxa"/>
            <w:vAlign w:val="center"/>
          </w:tcPr>
          <w:p w14:paraId="2944203F">
            <w:pPr>
              <w:pStyle w:val="11"/>
            </w:pPr>
            <w:r>
              <w:t>政府性基金预算财政    拨款</w:t>
            </w:r>
          </w:p>
        </w:tc>
        <w:tc>
          <w:tcPr>
            <w:tcW w:w="1474" w:type="dxa"/>
            <w:vAlign w:val="center"/>
          </w:tcPr>
          <w:p w14:paraId="1D2A1EEF">
            <w:pPr>
              <w:pStyle w:val="11"/>
            </w:pPr>
            <w:r>
              <w:t>国有资本经营预算财政拨款</w:t>
            </w:r>
          </w:p>
        </w:tc>
      </w:tr>
      <w:tr w14:paraId="612A3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60639A">
            <w:pPr>
              <w:pStyle w:val="11"/>
            </w:pPr>
            <w:r>
              <w:t>栏次</w:t>
            </w:r>
          </w:p>
        </w:tc>
        <w:tc>
          <w:tcPr>
            <w:tcW w:w="3402" w:type="dxa"/>
            <w:vAlign w:val="center"/>
          </w:tcPr>
          <w:p w14:paraId="01424E1A">
            <w:pPr>
              <w:pStyle w:val="11"/>
            </w:pPr>
            <w:r>
              <w:t>1</w:t>
            </w:r>
          </w:p>
        </w:tc>
        <w:tc>
          <w:tcPr>
            <w:tcW w:w="1474" w:type="dxa"/>
            <w:vAlign w:val="center"/>
          </w:tcPr>
          <w:p w14:paraId="343FCEC1">
            <w:pPr>
              <w:pStyle w:val="11"/>
            </w:pPr>
            <w:r>
              <w:t>2</w:t>
            </w:r>
          </w:p>
        </w:tc>
        <w:tc>
          <w:tcPr>
            <w:tcW w:w="3402" w:type="dxa"/>
            <w:vAlign w:val="center"/>
          </w:tcPr>
          <w:p w14:paraId="60C1453F">
            <w:pPr>
              <w:pStyle w:val="11"/>
            </w:pPr>
            <w:r>
              <w:t>3</w:t>
            </w:r>
          </w:p>
        </w:tc>
        <w:tc>
          <w:tcPr>
            <w:tcW w:w="1474" w:type="dxa"/>
            <w:vAlign w:val="center"/>
          </w:tcPr>
          <w:p w14:paraId="1F748B59">
            <w:pPr>
              <w:pStyle w:val="11"/>
            </w:pPr>
            <w:r>
              <w:t>4</w:t>
            </w:r>
          </w:p>
        </w:tc>
        <w:tc>
          <w:tcPr>
            <w:tcW w:w="1474" w:type="dxa"/>
            <w:vAlign w:val="center"/>
          </w:tcPr>
          <w:p w14:paraId="2DA3A268">
            <w:pPr>
              <w:pStyle w:val="11"/>
            </w:pPr>
            <w:r>
              <w:t>5</w:t>
            </w:r>
          </w:p>
        </w:tc>
        <w:tc>
          <w:tcPr>
            <w:tcW w:w="1474" w:type="dxa"/>
            <w:vAlign w:val="center"/>
          </w:tcPr>
          <w:p w14:paraId="47A82494">
            <w:pPr>
              <w:pStyle w:val="11"/>
            </w:pPr>
            <w:r>
              <w:t>6</w:t>
            </w:r>
          </w:p>
        </w:tc>
        <w:tc>
          <w:tcPr>
            <w:tcW w:w="1474" w:type="dxa"/>
            <w:vAlign w:val="center"/>
          </w:tcPr>
          <w:p w14:paraId="054A0E7C">
            <w:pPr>
              <w:pStyle w:val="11"/>
            </w:pPr>
            <w:r>
              <w:t>7</w:t>
            </w:r>
          </w:p>
        </w:tc>
      </w:tr>
      <w:tr w14:paraId="1F6DA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D8A42">
            <w:pPr>
              <w:pStyle w:val="12"/>
            </w:pPr>
            <w:r>
              <w:t>1</w:t>
            </w:r>
          </w:p>
        </w:tc>
        <w:tc>
          <w:tcPr>
            <w:tcW w:w="3402" w:type="dxa"/>
            <w:vAlign w:val="center"/>
          </w:tcPr>
          <w:p w14:paraId="0C1AFC75">
            <w:pPr>
              <w:pStyle w:val="13"/>
            </w:pPr>
            <w:r>
              <w:t>一、一般公共预算拨款</w:t>
            </w:r>
          </w:p>
        </w:tc>
        <w:tc>
          <w:tcPr>
            <w:tcW w:w="1474" w:type="dxa"/>
            <w:vAlign w:val="center"/>
          </w:tcPr>
          <w:p w14:paraId="2573B79F">
            <w:pPr>
              <w:pStyle w:val="14"/>
            </w:pPr>
            <w:r>
              <w:t>1009.58</w:t>
            </w:r>
          </w:p>
        </w:tc>
        <w:tc>
          <w:tcPr>
            <w:tcW w:w="3402" w:type="dxa"/>
            <w:vAlign w:val="center"/>
          </w:tcPr>
          <w:p w14:paraId="53D219B2">
            <w:pPr>
              <w:pStyle w:val="13"/>
            </w:pPr>
            <w:r>
              <w:t>一、一般公共服务支出</w:t>
            </w:r>
          </w:p>
        </w:tc>
        <w:tc>
          <w:tcPr>
            <w:tcW w:w="1474" w:type="dxa"/>
            <w:vAlign w:val="center"/>
          </w:tcPr>
          <w:p w14:paraId="250E7F4F">
            <w:pPr>
              <w:pStyle w:val="14"/>
            </w:pPr>
          </w:p>
        </w:tc>
        <w:tc>
          <w:tcPr>
            <w:tcW w:w="1474" w:type="dxa"/>
            <w:vAlign w:val="center"/>
          </w:tcPr>
          <w:p w14:paraId="31BA3262">
            <w:pPr>
              <w:pStyle w:val="14"/>
            </w:pPr>
          </w:p>
        </w:tc>
        <w:tc>
          <w:tcPr>
            <w:tcW w:w="1474" w:type="dxa"/>
            <w:vAlign w:val="center"/>
          </w:tcPr>
          <w:p w14:paraId="35C60636">
            <w:pPr>
              <w:pStyle w:val="14"/>
            </w:pPr>
          </w:p>
        </w:tc>
        <w:tc>
          <w:tcPr>
            <w:tcW w:w="1474" w:type="dxa"/>
            <w:vAlign w:val="center"/>
          </w:tcPr>
          <w:p w14:paraId="1EF5D6AA">
            <w:pPr>
              <w:pStyle w:val="14"/>
            </w:pPr>
          </w:p>
        </w:tc>
      </w:tr>
      <w:tr w14:paraId="379C8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E0C24">
            <w:pPr>
              <w:pStyle w:val="12"/>
            </w:pPr>
            <w:r>
              <w:t>2</w:t>
            </w:r>
          </w:p>
        </w:tc>
        <w:tc>
          <w:tcPr>
            <w:tcW w:w="3402" w:type="dxa"/>
            <w:vAlign w:val="center"/>
          </w:tcPr>
          <w:p w14:paraId="3063AC5F">
            <w:pPr>
              <w:pStyle w:val="13"/>
            </w:pPr>
            <w:r>
              <w:t>二、政府性基金预算拨款</w:t>
            </w:r>
          </w:p>
        </w:tc>
        <w:tc>
          <w:tcPr>
            <w:tcW w:w="1474" w:type="dxa"/>
            <w:vAlign w:val="center"/>
          </w:tcPr>
          <w:p w14:paraId="3F9D2FED">
            <w:pPr>
              <w:pStyle w:val="14"/>
            </w:pPr>
          </w:p>
        </w:tc>
        <w:tc>
          <w:tcPr>
            <w:tcW w:w="3402" w:type="dxa"/>
            <w:vAlign w:val="center"/>
          </w:tcPr>
          <w:p w14:paraId="2A239B6D">
            <w:pPr>
              <w:pStyle w:val="13"/>
            </w:pPr>
            <w:r>
              <w:t>二、外交支出</w:t>
            </w:r>
          </w:p>
        </w:tc>
        <w:tc>
          <w:tcPr>
            <w:tcW w:w="1474" w:type="dxa"/>
            <w:vAlign w:val="center"/>
          </w:tcPr>
          <w:p w14:paraId="3479C7C6">
            <w:pPr>
              <w:pStyle w:val="14"/>
            </w:pPr>
          </w:p>
        </w:tc>
        <w:tc>
          <w:tcPr>
            <w:tcW w:w="1474" w:type="dxa"/>
            <w:vAlign w:val="center"/>
          </w:tcPr>
          <w:p w14:paraId="64684611">
            <w:pPr>
              <w:pStyle w:val="14"/>
            </w:pPr>
          </w:p>
        </w:tc>
        <w:tc>
          <w:tcPr>
            <w:tcW w:w="1474" w:type="dxa"/>
            <w:vAlign w:val="center"/>
          </w:tcPr>
          <w:p w14:paraId="77303C95">
            <w:pPr>
              <w:pStyle w:val="14"/>
            </w:pPr>
          </w:p>
        </w:tc>
        <w:tc>
          <w:tcPr>
            <w:tcW w:w="1474" w:type="dxa"/>
            <w:vAlign w:val="center"/>
          </w:tcPr>
          <w:p w14:paraId="2B1EAB45">
            <w:pPr>
              <w:pStyle w:val="14"/>
            </w:pPr>
          </w:p>
        </w:tc>
      </w:tr>
      <w:tr w14:paraId="1A89D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9C8BC">
            <w:pPr>
              <w:pStyle w:val="12"/>
            </w:pPr>
            <w:r>
              <w:t>3</w:t>
            </w:r>
          </w:p>
        </w:tc>
        <w:tc>
          <w:tcPr>
            <w:tcW w:w="3402" w:type="dxa"/>
            <w:vAlign w:val="center"/>
          </w:tcPr>
          <w:p w14:paraId="70FFD074">
            <w:pPr>
              <w:pStyle w:val="13"/>
            </w:pPr>
            <w:r>
              <w:t>三、国有资本经营预算拨款</w:t>
            </w:r>
          </w:p>
        </w:tc>
        <w:tc>
          <w:tcPr>
            <w:tcW w:w="1474" w:type="dxa"/>
            <w:vAlign w:val="center"/>
          </w:tcPr>
          <w:p w14:paraId="33BE453A">
            <w:pPr>
              <w:pStyle w:val="14"/>
            </w:pPr>
          </w:p>
        </w:tc>
        <w:tc>
          <w:tcPr>
            <w:tcW w:w="3402" w:type="dxa"/>
            <w:vAlign w:val="center"/>
          </w:tcPr>
          <w:p w14:paraId="2F115BFF">
            <w:pPr>
              <w:pStyle w:val="13"/>
            </w:pPr>
            <w:r>
              <w:t>三、国防支出</w:t>
            </w:r>
          </w:p>
        </w:tc>
        <w:tc>
          <w:tcPr>
            <w:tcW w:w="1474" w:type="dxa"/>
            <w:vAlign w:val="center"/>
          </w:tcPr>
          <w:p w14:paraId="623AE91D">
            <w:pPr>
              <w:pStyle w:val="14"/>
            </w:pPr>
          </w:p>
        </w:tc>
        <w:tc>
          <w:tcPr>
            <w:tcW w:w="1474" w:type="dxa"/>
            <w:vAlign w:val="center"/>
          </w:tcPr>
          <w:p w14:paraId="1B9A4AF0">
            <w:pPr>
              <w:pStyle w:val="14"/>
            </w:pPr>
          </w:p>
        </w:tc>
        <w:tc>
          <w:tcPr>
            <w:tcW w:w="1474" w:type="dxa"/>
            <w:vAlign w:val="center"/>
          </w:tcPr>
          <w:p w14:paraId="11F053EB">
            <w:pPr>
              <w:pStyle w:val="14"/>
            </w:pPr>
          </w:p>
        </w:tc>
        <w:tc>
          <w:tcPr>
            <w:tcW w:w="1474" w:type="dxa"/>
            <w:vAlign w:val="center"/>
          </w:tcPr>
          <w:p w14:paraId="70363DEF">
            <w:pPr>
              <w:pStyle w:val="14"/>
            </w:pPr>
          </w:p>
        </w:tc>
      </w:tr>
      <w:tr w14:paraId="4907D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D86930E">
            <w:pPr>
              <w:pStyle w:val="12"/>
            </w:pPr>
            <w:r>
              <w:t>4</w:t>
            </w:r>
          </w:p>
        </w:tc>
        <w:tc>
          <w:tcPr>
            <w:tcW w:w="3402" w:type="dxa"/>
            <w:vAlign w:val="center"/>
          </w:tcPr>
          <w:p w14:paraId="69CD33AC">
            <w:pPr>
              <w:pStyle w:val="13"/>
            </w:pPr>
          </w:p>
        </w:tc>
        <w:tc>
          <w:tcPr>
            <w:tcW w:w="1474" w:type="dxa"/>
            <w:vAlign w:val="center"/>
          </w:tcPr>
          <w:p w14:paraId="4C4C7354">
            <w:pPr>
              <w:pStyle w:val="14"/>
            </w:pPr>
          </w:p>
        </w:tc>
        <w:tc>
          <w:tcPr>
            <w:tcW w:w="3402" w:type="dxa"/>
            <w:vAlign w:val="center"/>
          </w:tcPr>
          <w:p w14:paraId="57BF91EF">
            <w:pPr>
              <w:pStyle w:val="13"/>
            </w:pPr>
            <w:r>
              <w:t>四、公共安全支出</w:t>
            </w:r>
          </w:p>
        </w:tc>
        <w:tc>
          <w:tcPr>
            <w:tcW w:w="1474" w:type="dxa"/>
            <w:vAlign w:val="center"/>
          </w:tcPr>
          <w:p w14:paraId="69651C4D">
            <w:pPr>
              <w:pStyle w:val="14"/>
            </w:pPr>
          </w:p>
        </w:tc>
        <w:tc>
          <w:tcPr>
            <w:tcW w:w="1474" w:type="dxa"/>
            <w:vAlign w:val="center"/>
          </w:tcPr>
          <w:p w14:paraId="019F4165">
            <w:pPr>
              <w:pStyle w:val="14"/>
            </w:pPr>
          </w:p>
        </w:tc>
        <w:tc>
          <w:tcPr>
            <w:tcW w:w="1474" w:type="dxa"/>
            <w:vAlign w:val="center"/>
          </w:tcPr>
          <w:p w14:paraId="3741027D">
            <w:pPr>
              <w:pStyle w:val="14"/>
            </w:pPr>
          </w:p>
        </w:tc>
        <w:tc>
          <w:tcPr>
            <w:tcW w:w="1474" w:type="dxa"/>
            <w:vAlign w:val="center"/>
          </w:tcPr>
          <w:p w14:paraId="43E9BDFD">
            <w:pPr>
              <w:pStyle w:val="14"/>
            </w:pPr>
          </w:p>
        </w:tc>
      </w:tr>
      <w:tr w14:paraId="5D878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151E2">
            <w:pPr>
              <w:pStyle w:val="12"/>
            </w:pPr>
            <w:r>
              <w:t>5</w:t>
            </w:r>
          </w:p>
        </w:tc>
        <w:tc>
          <w:tcPr>
            <w:tcW w:w="3402" w:type="dxa"/>
            <w:vAlign w:val="center"/>
          </w:tcPr>
          <w:p w14:paraId="6742C5FF">
            <w:pPr>
              <w:pStyle w:val="13"/>
            </w:pPr>
          </w:p>
        </w:tc>
        <w:tc>
          <w:tcPr>
            <w:tcW w:w="1474" w:type="dxa"/>
            <w:vAlign w:val="center"/>
          </w:tcPr>
          <w:p w14:paraId="07E07D4B">
            <w:pPr>
              <w:pStyle w:val="14"/>
            </w:pPr>
          </w:p>
        </w:tc>
        <w:tc>
          <w:tcPr>
            <w:tcW w:w="3402" w:type="dxa"/>
            <w:vAlign w:val="center"/>
          </w:tcPr>
          <w:p w14:paraId="13A742B9">
            <w:pPr>
              <w:pStyle w:val="13"/>
            </w:pPr>
            <w:r>
              <w:t>五、教育支出</w:t>
            </w:r>
          </w:p>
        </w:tc>
        <w:tc>
          <w:tcPr>
            <w:tcW w:w="1474" w:type="dxa"/>
            <w:vAlign w:val="center"/>
          </w:tcPr>
          <w:p w14:paraId="0D595203">
            <w:pPr>
              <w:pStyle w:val="14"/>
            </w:pPr>
            <w:r>
              <w:t>1037.82</w:t>
            </w:r>
          </w:p>
        </w:tc>
        <w:tc>
          <w:tcPr>
            <w:tcW w:w="1474" w:type="dxa"/>
            <w:vAlign w:val="center"/>
          </w:tcPr>
          <w:p w14:paraId="7367B47A">
            <w:pPr>
              <w:pStyle w:val="14"/>
            </w:pPr>
            <w:r>
              <w:t>1037.82</w:t>
            </w:r>
          </w:p>
        </w:tc>
        <w:tc>
          <w:tcPr>
            <w:tcW w:w="1474" w:type="dxa"/>
            <w:vAlign w:val="center"/>
          </w:tcPr>
          <w:p w14:paraId="607520D9">
            <w:pPr>
              <w:pStyle w:val="14"/>
            </w:pPr>
          </w:p>
        </w:tc>
        <w:tc>
          <w:tcPr>
            <w:tcW w:w="1474" w:type="dxa"/>
            <w:vAlign w:val="center"/>
          </w:tcPr>
          <w:p w14:paraId="7FC60566">
            <w:pPr>
              <w:pStyle w:val="14"/>
            </w:pPr>
          </w:p>
        </w:tc>
      </w:tr>
      <w:tr w14:paraId="25C21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C6064">
            <w:pPr>
              <w:pStyle w:val="12"/>
            </w:pPr>
            <w:r>
              <w:t>6</w:t>
            </w:r>
          </w:p>
        </w:tc>
        <w:tc>
          <w:tcPr>
            <w:tcW w:w="3402" w:type="dxa"/>
            <w:vAlign w:val="center"/>
          </w:tcPr>
          <w:p w14:paraId="6DA65FFB">
            <w:pPr>
              <w:pStyle w:val="13"/>
            </w:pPr>
          </w:p>
        </w:tc>
        <w:tc>
          <w:tcPr>
            <w:tcW w:w="1474" w:type="dxa"/>
            <w:vAlign w:val="center"/>
          </w:tcPr>
          <w:p w14:paraId="12324419">
            <w:pPr>
              <w:pStyle w:val="14"/>
            </w:pPr>
          </w:p>
        </w:tc>
        <w:tc>
          <w:tcPr>
            <w:tcW w:w="3402" w:type="dxa"/>
            <w:vAlign w:val="center"/>
          </w:tcPr>
          <w:p w14:paraId="48510764">
            <w:pPr>
              <w:pStyle w:val="13"/>
            </w:pPr>
            <w:r>
              <w:t>六、科学技术支出</w:t>
            </w:r>
          </w:p>
        </w:tc>
        <w:tc>
          <w:tcPr>
            <w:tcW w:w="1474" w:type="dxa"/>
            <w:vAlign w:val="center"/>
          </w:tcPr>
          <w:p w14:paraId="480BAA71">
            <w:pPr>
              <w:pStyle w:val="14"/>
            </w:pPr>
          </w:p>
        </w:tc>
        <w:tc>
          <w:tcPr>
            <w:tcW w:w="1474" w:type="dxa"/>
            <w:vAlign w:val="center"/>
          </w:tcPr>
          <w:p w14:paraId="6BAD6FE2">
            <w:pPr>
              <w:pStyle w:val="14"/>
            </w:pPr>
          </w:p>
        </w:tc>
        <w:tc>
          <w:tcPr>
            <w:tcW w:w="1474" w:type="dxa"/>
            <w:vAlign w:val="center"/>
          </w:tcPr>
          <w:p w14:paraId="5E62237E">
            <w:pPr>
              <w:pStyle w:val="14"/>
            </w:pPr>
          </w:p>
        </w:tc>
        <w:tc>
          <w:tcPr>
            <w:tcW w:w="1474" w:type="dxa"/>
            <w:vAlign w:val="center"/>
          </w:tcPr>
          <w:p w14:paraId="799A8606">
            <w:pPr>
              <w:pStyle w:val="14"/>
            </w:pPr>
          </w:p>
        </w:tc>
      </w:tr>
      <w:tr w14:paraId="0E748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6FC8D">
            <w:pPr>
              <w:pStyle w:val="12"/>
            </w:pPr>
            <w:r>
              <w:t>7</w:t>
            </w:r>
          </w:p>
        </w:tc>
        <w:tc>
          <w:tcPr>
            <w:tcW w:w="3402" w:type="dxa"/>
            <w:vAlign w:val="center"/>
          </w:tcPr>
          <w:p w14:paraId="44EFE3B3">
            <w:pPr>
              <w:pStyle w:val="13"/>
            </w:pPr>
          </w:p>
        </w:tc>
        <w:tc>
          <w:tcPr>
            <w:tcW w:w="1474" w:type="dxa"/>
            <w:vAlign w:val="center"/>
          </w:tcPr>
          <w:p w14:paraId="7D6612C3">
            <w:pPr>
              <w:pStyle w:val="14"/>
            </w:pPr>
          </w:p>
        </w:tc>
        <w:tc>
          <w:tcPr>
            <w:tcW w:w="3402" w:type="dxa"/>
            <w:vAlign w:val="center"/>
          </w:tcPr>
          <w:p w14:paraId="64FABC5F">
            <w:pPr>
              <w:pStyle w:val="13"/>
            </w:pPr>
            <w:r>
              <w:t>七、文化旅游体育与传媒支出</w:t>
            </w:r>
          </w:p>
        </w:tc>
        <w:tc>
          <w:tcPr>
            <w:tcW w:w="1474" w:type="dxa"/>
            <w:vAlign w:val="center"/>
          </w:tcPr>
          <w:p w14:paraId="17AD26A4">
            <w:pPr>
              <w:pStyle w:val="14"/>
            </w:pPr>
          </w:p>
        </w:tc>
        <w:tc>
          <w:tcPr>
            <w:tcW w:w="1474" w:type="dxa"/>
            <w:vAlign w:val="center"/>
          </w:tcPr>
          <w:p w14:paraId="408EA8BE">
            <w:pPr>
              <w:pStyle w:val="14"/>
            </w:pPr>
          </w:p>
        </w:tc>
        <w:tc>
          <w:tcPr>
            <w:tcW w:w="1474" w:type="dxa"/>
            <w:vAlign w:val="center"/>
          </w:tcPr>
          <w:p w14:paraId="5EF03A41">
            <w:pPr>
              <w:pStyle w:val="14"/>
            </w:pPr>
          </w:p>
        </w:tc>
        <w:tc>
          <w:tcPr>
            <w:tcW w:w="1474" w:type="dxa"/>
            <w:vAlign w:val="center"/>
          </w:tcPr>
          <w:p w14:paraId="64AE6259">
            <w:pPr>
              <w:pStyle w:val="14"/>
            </w:pPr>
          </w:p>
        </w:tc>
      </w:tr>
      <w:tr w14:paraId="7A35C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F1317">
            <w:pPr>
              <w:pStyle w:val="12"/>
            </w:pPr>
            <w:r>
              <w:t>8</w:t>
            </w:r>
          </w:p>
        </w:tc>
        <w:tc>
          <w:tcPr>
            <w:tcW w:w="3402" w:type="dxa"/>
            <w:vAlign w:val="center"/>
          </w:tcPr>
          <w:p w14:paraId="7295CFE7">
            <w:pPr>
              <w:pStyle w:val="13"/>
            </w:pPr>
          </w:p>
        </w:tc>
        <w:tc>
          <w:tcPr>
            <w:tcW w:w="1474" w:type="dxa"/>
            <w:vAlign w:val="center"/>
          </w:tcPr>
          <w:p w14:paraId="1E9A44DB">
            <w:pPr>
              <w:pStyle w:val="14"/>
            </w:pPr>
          </w:p>
        </w:tc>
        <w:tc>
          <w:tcPr>
            <w:tcW w:w="3402" w:type="dxa"/>
            <w:vAlign w:val="center"/>
          </w:tcPr>
          <w:p w14:paraId="5DDCA282">
            <w:pPr>
              <w:pStyle w:val="13"/>
            </w:pPr>
            <w:r>
              <w:t>八、社会保障和就业支出</w:t>
            </w:r>
          </w:p>
        </w:tc>
        <w:tc>
          <w:tcPr>
            <w:tcW w:w="1474" w:type="dxa"/>
            <w:vAlign w:val="center"/>
          </w:tcPr>
          <w:p w14:paraId="336655AF">
            <w:pPr>
              <w:pStyle w:val="14"/>
            </w:pPr>
          </w:p>
        </w:tc>
        <w:tc>
          <w:tcPr>
            <w:tcW w:w="1474" w:type="dxa"/>
            <w:vAlign w:val="center"/>
          </w:tcPr>
          <w:p w14:paraId="3B9FA83B">
            <w:pPr>
              <w:pStyle w:val="14"/>
            </w:pPr>
          </w:p>
        </w:tc>
        <w:tc>
          <w:tcPr>
            <w:tcW w:w="1474" w:type="dxa"/>
            <w:vAlign w:val="center"/>
          </w:tcPr>
          <w:p w14:paraId="3198BE05">
            <w:pPr>
              <w:pStyle w:val="14"/>
            </w:pPr>
          </w:p>
        </w:tc>
        <w:tc>
          <w:tcPr>
            <w:tcW w:w="1474" w:type="dxa"/>
            <w:vAlign w:val="center"/>
          </w:tcPr>
          <w:p w14:paraId="23EF30E0">
            <w:pPr>
              <w:pStyle w:val="14"/>
            </w:pPr>
          </w:p>
        </w:tc>
      </w:tr>
      <w:tr w14:paraId="10C01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8DB2FBC">
            <w:pPr>
              <w:pStyle w:val="12"/>
            </w:pPr>
            <w:r>
              <w:t>9</w:t>
            </w:r>
          </w:p>
        </w:tc>
        <w:tc>
          <w:tcPr>
            <w:tcW w:w="3402" w:type="dxa"/>
            <w:vAlign w:val="center"/>
          </w:tcPr>
          <w:p w14:paraId="7928442F">
            <w:pPr>
              <w:pStyle w:val="13"/>
            </w:pPr>
          </w:p>
        </w:tc>
        <w:tc>
          <w:tcPr>
            <w:tcW w:w="1474" w:type="dxa"/>
            <w:vAlign w:val="center"/>
          </w:tcPr>
          <w:p w14:paraId="76ACFC4E">
            <w:pPr>
              <w:pStyle w:val="14"/>
            </w:pPr>
          </w:p>
        </w:tc>
        <w:tc>
          <w:tcPr>
            <w:tcW w:w="3402" w:type="dxa"/>
            <w:vAlign w:val="center"/>
          </w:tcPr>
          <w:p w14:paraId="45809CA2">
            <w:pPr>
              <w:pStyle w:val="13"/>
            </w:pPr>
            <w:r>
              <w:t>九、社会保险基金支出</w:t>
            </w:r>
          </w:p>
        </w:tc>
        <w:tc>
          <w:tcPr>
            <w:tcW w:w="1474" w:type="dxa"/>
            <w:vAlign w:val="center"/>
          </w:tcPr>
          <w:p w14:paraId="6C635AC4">
            <w:pPr>
              <w:pStyle w:val="14"/>
            </w:pPr>
          </w:p>
        </w:tc>
        <w:tc>
          <w:tcPr>
            <w:tcW w:w="1474" w:type="dxa"/>
            <w:vAlign w:val="center"/>
          </w:tcPr>
          <w:p w14:paraId="0D65FA5B">
            <w:pPr>
              <w:pStyle w:val="14"/>
            </w:pPr>
          </w:p>
        </w:tc>
        <w:tc>
          <w:tcPr>
            <w:tcW w:w="1474" w:type="dxa"/>
            <w:vAlign w:val="center"/>
          </w:tcPr>
          <w:p w14:paraId="182FB607">
            <w:pPr>
              <w:pStyle w:val="14"/>
            </w:pPr>
          </w:p>
        </w:tc>
        <w:tc>
          <w:tcPr>
            <w:tcW w:w="1474" w:type="dxa"/>
            <w:vAlign w:val="center"/>
          </w:tcPr>
          <w:p w14:paraId="07344315">
            <w:pPr>
              <w:pStyle w:val="14"/>
            </w:pPr>
          </w:p>
        </w:tc>
      </w:tr>
      <w:tr w14:paraId="7FA5C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314E43F">
            <w:pPr>
              <w:pStyle w:val="12"/>
            </w:pPr>
            <w:r>
              <w:t>10</w:t>
            </w:r>
          </w:p>
        </w:tc>
        <w:tc>
          <w:tcPr>
            <w:tcW w:w="3402" w:type="dxa"/>
            <w:vAlign w:val="center"/>
          </w:tcPr>
          <w:p w14:paraId="779B4320">
            <w:pPr>
              <w:pStyle w:val="13"/>
            </w:pPr>
          </w:p>
        </w:tc>
        <w:tc>
          <w:tcPr>
            <w:tcW w:w="1474" w:type="dxa"/>
            <w:vAlign w:val="center"/>
          </w:tcPr>
          <w:p w14:paraId="632589C9">
            <w:pPr>
              <w:pStyle w:val="14"/>
            </w:pPr>
          </w:p>
        </w:tc>
        <w:tc>
          <w:tcPr>
            <w:tcW w:w="3402" w:type="dxa"/>
            <w:vAlign w:val="center"/>
          </w:tcPr>
          <w:p w14:paraId="0CA42B8C">
            <w:pPr>
              <w:pStyle w:val="13"/>
            </w:pPr>
            <w:r>
              <w:t>十、卫生健康支出</w:t>
            </w:r>
          </w:p>
        </w:tc>
        <w:tc>
          <w:tcPr>
            <w:tcW w:w="1474" w:type="dxa"/>
            <w:vAlign w:val="center"/>
          </w:tcPr>
          <w:p w14:paraId="28100BEF">
            <w:pPr>
              <w:pStyle w:val="14"/>
            </w:pPr>
          </w:p>
        </w:tc>
        <w:tc>
          <w:tcPr>
            <w:tcW w:w="1474" w:type="dxa"/>
            <w:vAlign w:val="center"/>
          </w:tcPr>
          <w:p w14:paraId="3334DAD8">
            <w:pPr>
              <w:pStyle w:val="14"/>
            </w:pPr>
          </w:p>
        </w:tc>
        <w:tc>
          <w:tcPr>
            <w:tcW w:w="1474" w:type="dxa"/>
            <w:vAlign w:val="center"/>
          </w:tcPr>
          <w:p w14:paraId="24440440">
            <w:pPr>
              <w:pStyle w:val="14"/>
            </w:pPr>
          </w:p>
        </w:tc>
        <w:tc>
          <w:tcPr>
            <w:tcW w:w="1474" w:type="dxa"/>
            <w:vAlign w:val="center"/>
          </w:tcPr>
          <w:p w14:paraId="3B5EA7B9">
            <w:pPr>
              <w:pStyle w:val="14"/>
            </w:pPr>
          </w:p>
        </w:tc>
      </w:tr>
      <w:tr w14:paraId="0DC66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723A5">
            <w:pPr>
              <w:pStyle w:val="12"/>
            </w:pPr>
            <w:r>
              <w:t>11</w:t>
            </w:r>
          </w:p>
        </w:tc>
        <w:tc>
          <w:tcPr>
            <w:tcW w:w="3402" w:type="dxa"/>
            <w:vAlign w:val="center"/>
          </w:tcPr>
          <w:p w14:paraId="7ADAB722">
            <w:pPr>
              <w:pStyle w:val="13"/>
            </w:pPr>
          </w:p>
        </w:tc>
        <w:tc>
          <w:tcPr>
            <w:tcW w:w="1474" w:type="dxa"/>
            <w:vAlign w:val="center"/>
          </w:tcPr>
          <w:p w14:paraId="1A6E8805">
            <w:pPr>
              <w:pStyle w:val="14"/>
            </w:pPr>
          </w:p>
        </w:tc>
        <w:tc>
          <w:tcPr>
            <w:tcW w:w="3402" w:type="dxa"/>
            <w:vAlign w:val="center"/>
          </w:tcPr>
          <w:p w14:paraId="280EE861">
            <w:pPr>
              <w:pStyle w:val="13"/>
            </w:pPr>
            <w:r>
              <w:t>十一、节能环保支出</w:t>
            </w:r>
          </w:p>
        </w:tc>
        <w:tc>
          <w:tcPr>
            <w:tcW w:w="1474" w:type="dxa"/>
            <w:vAlign w:val="center"/>
          </w:tcPr>
          <w:p w14:paraId="6C4C43C8">
            <w:pPr>
              <w:pStyle w:val="14"/>
            </w:pPr>
          </w:p>
        </w:tc>
        <w:tc>
          <w:tcPr>
            <w:tcW w:w="1474" w:type="dxa"/>
            <w:vAlign w:val="center"/>
          </w:tcPr>
          <w:p w14:paraId="1D4FEA27">
            <w:pPr>
              <w:pStyle w:val="14"/>
            </w:pPr>
          </w:p>
        </w:tc>
        <w:tc>
          <w:tcPr>
            <w:tcW w:w="1474" w:type="dxa"/>
            <w:vAlign w:val="center"/>
          </w:tcPr>
          <w:p w14:paraId="41BCA62F">
            <w:pPr>
              <w:pStyle w:val="14"/>
            </w:pPr>
          </w:p>
        </w:tc>
        <w:tc>
          <w:tcPr>
            <w:tcW w:w="1474" w:type="dxa"/>
            <w:vAlign w:val="center"/>
          </w:tcPr>
          <w:p w14:paraId="266967E1">
            <w:pPr>
              <w:pStyle w:val="14"/>
            </w:pPr>
          </w:p>
        </w:tc>
      </w:tr>
      <w:tr w14:paraId="18ED7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E0899">
            <w:pPr>
              <w:pStyle w:val="12"/>
            </w:pPr>
            <w:r>
              <w:t>12</w:t>
            </w:r>
          </w:p>
        </w:tc>
        <w:tc>
          <w:tcPr>
            <w:tcW w:w="3402" w:type="dxa"/>
            <w:vAlign w:val="center"/>
          </w:tcPr>
          <w:p w14:paraId="343F2189">
            <w:pPr>
              <w:pStyle w:val="13"/>
            </w:pPr>
          </w:p>
        </w:tc>
        <w:tc>
          <w:tcPr>
            <w:tcW w:w="1474" w:type="dxa"/>
            <w:vAlign w:val="center"/>
          </w:tcPr>
          <w:p w14:paraId="62E10750">
            <w:pPr>
              <w:pStyle w:val="14"/>
            </w:pPr>
          </w:p>
        </w:tc>
        <w:tc>
          <w:tcPr>
            <w:tcW w:w="3402" w:type="dxa"/>
            <w:vAlign w:val="center"/>
          </w:tcPr>
          <w:p w14:paraId="0DA020A2">
            <w:pPr>
              <w:pStyle w:val="13"/>
            </w:pPr>
            <w:r>
              <w:t>十二、城乡社区支出</w:t>
            </w:r>
          </w:p>
        </w:tc>
        <w:tc>
          <w:tcPr>
            <w:tcW w:w="1474" w:type="dxa"/>
            <w:vAlign w:val="center"/>
          </w:tcPr>
          <w:p w14:paraId="077602D9">
            <w:pPr>
              <w:pStyle w:val="14"/>
            </w:pPr>
          </w:p>
        </w:tc>
        <w:tc>
          <w:tcPr>
            <w:tcW w:w="1474" w:type="dxa"/>
            <w:vAlign w:val="center"/>
          </w:tcPr>
          <w:p w14:paraId="334ABBB7">
            <w:pPr>
              <w:pStyle w:val="14"/>
            </w:pPr>
          </w:p>
        </w:tc>
        <w:tc>
          <w:tcPr>
            <w:tcW w:w="1474" w:type="dxa"/>
            <w:vAlign w:val="center"/>
          </w:tcPr>
          <w:p w14:paraId="788CF71F">
            <w:pPr>
              <w:pStyle w:val="14"/>
            </w:pPr>
          </w:p>
        </w:tc>
        <w:tc>
          <w:tcPr>
            <w:tcW w:w="1474" w:type="dxa"/>
            <w:vAlign w:val="center"/>
          </w:tcPr>
          <w:p w14:paraId="3A56D1B3">
            <w:pPr>
              <w:pStyle w:val="14"/>
            </w:pPr>
          </w:p>
        </w:tc>
      </w:tr>
      <w:tr w14:paraId="3388C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FE7E9">
            <w:pPr>
              <w:pStyle w:val="12"/>
            </w:pPr>
            <w:r>
              <w:t>13</w:t>
            </w:r>
          </w:p>
        </w:tc>
        <w:tc>
          <w:tcPr>
            <w:tcW w:w="3402" w:type="dxa"/>
            <w:vAlign w:val="center"/>
          </w:tcPr>
          <w:p w14:paraId="57ACEC04">
            <w:pPr>
              <w:pStyle w:val="13"/>
            </w:pPr>
          </w:p>
        </w:tc>
        <w:tc>
          <w:tcPr>
            <w:tcW w:w="1474" w:type="dxa"/>
            <w:vAlign w:val="center"/>
          </w:tcPr>
          <w:p w14:paraId="63B87E75">
            <w:pPr>
              <w:pStyle w:val="14"/>
            </w:pPr>
          </w:p>
        </w:tc>
        <w:tc>
          <w:tcPr>
            <w:tcW w:w="3402" w:type="dxa"/>
            <w:vAlign w:val="center"/>
          </w:tcPr>
          <w:p w14:paraId="74635978">
            <w:pPr>
              <w:pStyle w:val="13"/>
            </w:pPr>
            <w:r>
              <w:t>十三、农林水支出</w:t>
            </w:r>
          </w:p>
        </w:tc>
        <w:tc>
          <w:tcPr>
            <w:tcW w:w="1474" w:type="dxa"/>
            <w:vAlign w:val="center"/>
          </w:tcPr>
          <w:p w14:paraId="6A40B257">
            <w:pPr>
              <w:pStyle w:val="14"/>
            </w:pPr>
          </w:p>
        </w:tc>
        <w:tc>
          <w:tcPr>
            <w:tcW w:w="1474" w:type="dxa"/>
            <w:vAlign w:val="center"/>
          </w:tcPr>
          <w:p w14:paraId="5775C2B6">
            <w:pPr>
              <w:pStyle w:val="14"/>
            </w:pPr>
          </w:p>
        </w:tc>
        <w:tc>
          <w:tcPr>
            <w:tcW w:w="1474" w:type="dxa"/>
            <w:vAlign w:val="center"/>
          </w:tcPr>
          <w:p w14:paraId="6EC676A9">
            <w:pPr>
              <w:pStyle w:val="14"/>
            </w:pPr>
          </w:p>
        </w:tc>
        <w:tc>
          <w:tcPr>
            <w:tcW w:w="1474" w:type="dxa"/>
            <w:vAlign w:val="center"/>
          </w:tcPr>
          <w:p w14:paraId="34A82A50">
            <w:pPr>
              <w:pStyle w:val="14"/>
            </w:pPr>
          </w:p>
        </w:tc>
      </w:tr>
      <w:tr w14:paraId="3DD7C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8523734">
            <w:pPr>
              <w:pStyle w:val="12"/>
            </w:pPr>
            <w:r>
              <w:t>14</w:t>
            </w:r>
          </w:p>
        </w:tc>
        <w:tc>
          <w:tcPr>
            <w:tcW w:w="3402" w:type="dxa"/>
            <w:vAlign w:val="center"/>
          </w:tcPr>
          <w:p w14:paraId="4BF041E7">
            <w:pPr>
              <w:pStyle w:val="13"/>
            </w:pPr>
          </w:p>
        </w:tc>
        <w:tc>
          <w:tcPr>
            <w:tcW w:w="1474" w:type="dxa"/>
            <w:vAlign w:val="center"/>
          </w:tcPr>
          <w:p w14:paraId="3802247A">
            <w:pPr>
              <w:pStyle w:val="14"/>
            </w:pPr>
          </w:p>
        </w:tc>
        <w:tc>
          <w:tcPr>
            <w:tcW w:w="3402" w:type="dxa"/>
            <w:vAlign w:val="center"/>
          </w:tcPr>
          <w:p w14:paraId="3C15C1DD">
            <w:pPr>
              <w:pStyle w:val="13"/>
            </w:pPr>
            <w:r>
              <w:t>十四、交通运输支出</w:t>
            </w:r>
          </w:p>
        </w:tc>
        <w:tc>
          <w:tcPr>
            <w:tcW w:w="1474" w:type="dxa"/>
            <w:vAlign w:val="center"/>
          </w:tcPr>
          <w:p w14:paraId="25D1E14C">
            <w:pPr>
              <w:pStyle w:val="14"/>
            </w:pPr>
          </w:p>
        </w:tc>
        <w:tc>
          <w:tcPr>
            <w:tcW w:w="1474" w:type="dxa"/>
            <w:vAlign w:val="center"/>
          </w:tcPr>
          <w:p w14:paraId="62886124">
            <w:pPr>
              <w:pStyle w:val="14"/>
            </w:pPr>
          </w:p>
        </w:tc>
        <w:tc>
          <w:tcPr>
            <w:tcW w:w="1474" w:type="dxa"/>
            <w:vAlign w:val="center"/>
          </w:tcPr>
          <w:p w14:paraId="5056CF21">
            <w:pPr>
              <w:pStyle w:val="14"/>
            </w:pPr>
          </w:p>
        </w:tc>
        <w:tc>
          <w:tcPr>
            <w:tcW w:w="1474" w:type="dxa"/>
            <w:vAlign w:val="center"/>
          </w:tcPr>
          <w:p w14:paraId="7B46A228">
            <w:pPr>
              <w:pStyle w:val="14"/>
            </w:pPr>
          </w:p>
        </w:tc>
      </w:tr>
      <w:tr w14:paraId="50263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EEF53">
            <w:pPr>
              <w:pStyle w:val="12"/>
            </w:pPr>
            <w:r>
              <w:t>15</w:t>
            </w:r>
          </w:p>
        </w:tc>
        <w:tc>
          <w:tcPr>
            <w:tcW w:w="3402" w:type="dxa"/>
            <w:vAlign w:val="center"/>
          </w:tcPr>
          <w:p w14:paraId="6F13B185">
            <w:pPr>
              <w:pStyle w:val="13"/>
            </w:pPr>
          </w:p>
        </w:tc>
        <w:tc>
          <w:tcPr>
            <w:tcW w:w="1474" w:type="dxa"/>
            <w:vAlign w:val="center"/>
          </w:tcPr>
          <w:p w14:paraId="027F3739">
            <w:pPr>
              <w:pStyle w:val="14"/>
            </w:pPr>
          </w:p>
        </w:tc>
        <w:tc>
          <w:tcPr>
            <w:tcW w:w="3402" w:type="dxa"/>
            <w:vAlign w:val="center"/>
          </w:tcPr>
          <w:p w14:paraId="69E08EB0">
            <w:pPr>
              <w:pStyle w:val="13"/>
            </w:pPr>
            <w:r>
              <w:t>十五、资源勘探工业信息等支出</w:t>
            </w:r>
          </w:p>
        </w:tc>
        <w:tc>
          <w:tcPr>
            <w:tcW w:w="1474" w:type="dxa"/>
            <w:vAlign w:val="center"/>
          </w:tcPr>
          <w:p w14:paraId="287EB03A">
            <w:pPr>
              <w:pStyle w:val="14"/>
            </w:pPr>
          </w:p>
        </w:tc>
        <w:tc>
          <w:tcPr>
            <w:tcW w:w="1474" w:type="dxa"/>
            <w:vAlign w:val="center"/>
          </w:tcPr>
          <w:p w14:paraId="34260149">
            <w:pPr>
              <w:pStyle w:val="14"/>
            </w:pPr>
          </w:p>
        </w:tc>
        <w:tc>
          <w:tcPr>
            <w:tcW w:w="1474" w:type="dxa"/>
            <w:vAlign w:val="center"/>
          </w:tcPr>
          <w:p w14:paraId="3A9A20B7">
            <w:pPr>
              <w:pStyle w:val="14"/>
            </w:pPr>
          </w:p>
        </w:tc>
        <w:tc>
          <w:tcPr>
            <w:tcW w:w="1474" w:type="dxa"/>
            <w:vAlign w:val="center"/>
          </w:tcPr>
          <w:p w14:paraId="0C780185">
            <w:pPr>
              <w:pStyle w:val="14"/>
            </w:pPr>
          </w:p>
        </w:tc>
      </w:tr>
      <w:tr w14:paraId="77AD9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760A8">
            <w:pPr>
              <w:pStyle w:val="12"/>
            </w:pPr>
            <w:r>
              <w:t>16</w:t>
            </w:r>
          </w:p>
        </w:tc>
        <w:tc>
          <w:tcPr>
            <w:tcW w:w="3402" w:type="dxa"/>
            <w:vAlign w:val="center"/>
          </w:tcPr>
          <w:p w14:paraId="7E2B5BF3">
            <w:pPr>
              <w:pStyle w:val="13"/>
            </w:pPr>
          </w:p>
        </w:tc>
        <w:tc>
          <w:tcPr>
            <w:tcW w:w="1474" w:type="dxa"/>
            <w:vAlign w:val="center"/>
          </w:tcPr>
          <w:p w14:paraId="2ED6496C">
            <w:pPr>
              <w:pStyle w:val="14"/>
            </w:pPr>
          </w:p>
        </w:tc>
        <w:tc>
          <w:tcPr>
            <w:tcW w:w="3402" w:type="dxa"/>
            <w:vAlign w:val="center"/>
          </w:tcPr>
          <w:p w14:paraId="63FC6861">
            <w:pPr>
              <w:pStyle w:val="13"/>
            </w:pPr>
            <w:r>
              <w:t>十六、商业服务业等支出</w:t>
            </w:r>
          </w:p>
        </w:tc>
        <w:tc>
          <w:tcPr>
            <w:tcW w:w="1474" w:type="dxa"/>
            <w:vAlign w:val="center"/>
          </w:tcPr>
          <w:p w14:paraId="60FAF132">
            <w:pPr>
              <w:pStyle w:val="14"/>
            </w:pPr>
          </w:p>
        </w:tc>
        <w:tc>
          <w:tcPr>
            <w:tcW w:w="1474" w:type="dxa"/>
            <w:vAlign w:val="center"/>
          </w:tcPr>
          <w:p w14:paraId="16601879">
            <w:pPr>
              <w:pStyle w:val="14"/>
            </w:pPr>
          </w:p>
        </w:tc>
        <w:tc>
          <w:tcPr>
            <w:tcW w:w="1474" w:type="dxa"/>
            <w:vAlign w:val="center"/>
          </w:tcPr>
          <w:p w14:paraId="4F1C600F">
            <w:pPr>
              <w:pStyle w:val="14"/>
            </w:pPr>
          </w:p>
        </w:tc>
        <w:tc>
          <w:tcPr>
            <w:tcW w:w="1474" w:type="dxa"/>
            <w:vAlign w:val="center"/>
          </w:tcPr>
          <w:p w14:paraId="3D0E1A89">
            <w:pPr>
              <w:pStyle w:val="14"/>
            </w:pPr>
          </w:p>
        </w:tc>
      </w:tr>
      <w:tr w14:paraId="7F0FE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49A64">
            <w:pPr>
              <w:pStyle w:val="12"/>
            </w:pPr>
            <w:r>
              <w:t>17</w:t>
            </w:r>
          </w:p>
        </w:tc>
        <w:tc>
          <w:tcPr>
            <w:tcW w:w="3402" w:type="dxa"/>
            <w:vAlign w:val="center"/>
          </w:tcPr>
          <w:p w14:paraId="43D4010A">
            <w:pPr>
              <w:pStyle w:val="13"/>
            </w:pPr>
          </w:p>
        </w:tc>
        <w:tc>
          <w:tcPr>
            <w:tcW w:w="1474" w:type="dxa"/>
            <w:vAlign w:val="center"/>
          </w:tcPr>
          <w:p w14:paraId="34F5E2A4">
            <w:pPr>
              <w:pStyle w:val="14"/>
            </w:pPr>
          </w:p>
        </w:tc>
        <w:tc>
          <w:tcPr>
            <w:tcW w:w="3402" w:type="dxa"/>
            <w:vAlign w:val="center"/>
          </w:tcPr>
          <w:p w14:paraId="347BC19A">
            <w:pPr>
              <w:pStyle w:val="13"/>
            </w:pPr>
            <w:r>
              <w:t>十七、金融支出</w:t>
            </w:r>
          </w:p>
        </w:tc>
        <w:tc>
          <w:tcPr>
            <w:tcW w:w="1474" w:type="dxa"/>
            <w:vAlign w:val="center"/>
          </w:tcPr>
          <w:p w14:paraId="0D43710E">
            <w:pPr>
              <w:pStyle w:val="14"/>
            </w:pPr>
          </w:p>
        </w:tc>
        <w:tc>
          <w:tcPr>
            <w:tcW w:w="1474" w:type="dxa"/>
            <w:vAlign w:val="center"/>
          </w:tcPr>
          <w:p w14:paraId="45E4D7EB">
            <w:pPr>
              <w:pStyle w:val="14"/>
            </w:pPr>
          </w:p>
        </w:tc>
        <w:tc>
          <w:tcPr>
            <w:tcW w:w="1474" w:type="dxa"/>
            <w:vAlign w:val="center"/>
          </w:tcPr>
          <w:p w14:paraId="0E453668">
            <w:pPr>
              <w:pStyle w:val="14"/>
            </w:pPr>
          </w:p>
        </w:tc>
        <w:tc>
          <w:tcPr>
            <w:tcW w:w="1474" w:type="dxa"/>
            <w:vAlign w:val="center"/>
          </w:tcPr>
          <w:p w14:paraId="6CB51DC5">
            <w:pPr>
              <w:pStyle w:val="14"/>
            </w:pPr>
          </w:p>
        </w:tc>
      </w:tr>
      <w:tr w14:paraId="797B6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FB006">
            <w:pPr>
              <w:pStyle w:val="12"/>
            </w:pPr>
            <w:r>
              <w:t>18</w:t>
            </w:r>
          </w:p>
        </w:tc>
        <w:tc>
          <w:tcPr>
            <w:tcW w:w="3402" w:type="dxa"/>
            <w:vAlign w:val="center"/>
          </w:tcPr>
          <w:p w14:paraId="3AC1D7FB">
            <w:pPr>
              <w:pStyle w:val="13"/>
            </w:pPr>
          </w:p>
        </w:tc>
        <w:tc>
          <w:tcPr>
            <w:tcW w:w="1474" w:type="dxa"/>
            <w:vAlign w:val="center"/>
          </w:tcPr>
          <w:p w14:paraId="233858F8">
            <w:pPr>
              <w:pStyle w:val="14"/>
            </w:pPr>
          </w:p>
        </w:tc>
        <w:tc>
          <w:tcPr>
            <w:tcW w:w="3402" w:type="dxa"/>
            <w:vAlign w:val="center"/>
          </w:tcPr>
          <w:p w14:paraId="3060CF9B">
            <w:pPr>
              <w:pStyle w:val="13"/>
            </w:pPr>
            <w:r>
              <w:t>十八、援助其他地区支出</w:t>
            </w:r>
          </w:p>
        </w:tc>
        <w:tc>
          <w:tcPr>
            <w:tcW w:w="1474" w:type="dxa"/>
            <w:vAlign w:val="center"/>
          </w:tcPr>
          <w:p w14:paraId="7EEA82D1">
            <w:pPr>
              <w:pStyle w:val="14"/>
            </w:pPr>
          </w:p>
        </w:tc>
        <w:tc>
          <w:tcPr>
            <w:tcW w:w="1474" w:type="dxa"/>
            <w:vAlign w:val="center"/>
          </w:tcPr>
          <w:p w14:paraId="3A4DEFFB">
            <w:pPr>
              <w:pStyle w:val="14"/>
            </w:pPr>
          </w:p>
        </w:tc>
        <w:tc>
          <w:tcPr>
            <w:tcW w:w="1474" w:type="dxa"/>
            <w:vAlign w:val="center"/>
          </w:tcPr>
          <w:p w14:paraId="058F1151">
            <w:pPr>
              <w:pStyle w:val="14"/>
            </w:pPr>
          </w:p>
        </w:tc>
        <w:tc>
          <w:tcPr>
            <w:tcW w:w="1474" w:type="dxa"/>
            <w:vAlign w:val="center"/>
          </w:tcPr>
          <w:p w14:paraId="54156AB7">
            <w:pPr>
              <w:pStyle w:val="14"/>
            </w:pPr>
          </w:p>
        </w:tc>
      </w:tr>
      <w:tr w14:paraId="11B8E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0077A">
            <w:pPr>
              <w:pStyle w:val="12"/>
            </w:pPr>
            <w:r>
              <w:t>19</w:t>
            </w:r>
          </w:p>
        </w:tc>
        <w:tc>
          <w:tcPr>
            <w:tcW w:w="3402" w:type="dxa"/>
            <w:vAlign w:val="center"/>
          </w:tcPr>
          <w:p w14:paraId="0438C720">
            <w:pPr>
              <w:pStyle w:val="13"/>
            </w:pPr>
          </w:p>
        </w:tc>
        <w:tc>
          <w:tcPr>
            <w:tcW w:w="1474" w:type="dxa"/>
            <w:vAlign w:val="center"/>
          </w:tcPr>
          <w:p w14:paraId="422AA152">
            <w:pPr>
              <w:pStyle w:val="14"/>
            </w:pPr>
          </w:p>
        </w:tc>
        <w:tc>
          <w:tcPr>
            <w:tcW w:w="3402" w:type="dxa"/>
            <w:vAlign w:val="center"/>
          </w:tcPr>
          <w:p w14:paraId="6ED983A3">
            <w:pPr>
              <w:pStyle w:val="13"/>
            </w:pPr>
            <w:r>
              <w:t>十九、自然资源海洋气象等支出</w:t>
            </w:r>
          </w:p>
        </w:tc>
        <w:tc>
          <w:tcPr>
            <w:tcW w:w="1474" w:type="dxa"/>
            <w:vAlign w:val="center"/>
          </w:tcPr>
          <w:p w14:paraId="6B74B51D">
            <w:pPr>
              <w:pStyle w:val="14"/>
            </w:pPr>
          </w:p>
        </w:tc>
        <w:tc>
          <w:tcPr>
            <w:tcW w:w="1474" w:type="dxa"/>
            <w:vAlign w:val="center"/>
          </w:tcPr>
          <w:p w14:paraId="5742FE29">
            <w:pPr>
              <w:pStyle w:val="14"/>
            </w:pPr>
          </w:p>
        </w:tc>
        <w:tc>
          <w:tcPr>
            <w:tcW w:w="1474" w:type="dxa"/>
            <w:vAlign w:val="center"/>
          </w:tcPr>
          <w:p w14:paraId="346BEF59">
            <w:pPr>
              <w:pStyle w:val="14"/>
            </w:pPr>
          </w:p>
        </w:tc>
        <w:tc>
          <w:tcPr>
            <w:tcW w:w="1474" w:type="dxa"/>
            <w:vAlign w:val="center"/>
          </w:tcPr>
          <w:p w14:paraId="1CE0DC84">
            <w:pPr>
              <w:pStyle w:val="14"/>
            </w:pPr>
          </w:p>
        </w:tc>
      </w:tr>
      <w:tr w14:paraId="42F9A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F7A00">
            <w:pPr>
              <w:pStyle w:val="12"/>
            </w:pPr>
            <w:r>
              <w:t>20</w:t>
            </w:r>
          </w:p>
        </w:tc>
        <w:tc>
          <w:tcPr>
            <w:tcW w:w="3402" w:type="dxa"/>
            <w:vAlign w:val="center"/>
          </w:tcPr>
          <w:p w14:paraId="231E4726">
            <w:pPr>
              <w:pStyle w:val="13"/>
            </w:pPr>
          </w:p>
        </w:tc>
        <w:tc>
          <w:tcPr>
            <w:tcW w:w="1474" w:type="dxa"/>
            <w:vAlign w:val="center"/>
          </w:tcPr>
          <w:p w14:paraId="5CF96A0D">
            <w:pPr>
              <w:pStyle w:val="14"/>
            </w:pPr>
          </w:p>
        </w:tc>
        <w:tc>
          <w:tcPr>
            <w:tcW w:w="3402" w:type="dxa"/>
            <w:vAlign w:val="center"/>
          </w:tcPr>
          <w:p w14:paraId="5AC6798E">
            <w:pPr>
              <w:pStyle w:val="13"/>
            </w:pPr>
            <w:r>
              <w:t>二十、住房保障支出</w:t>
            </w:r>
          </w:p>
        </w:tc>
        <w:tc>
          <w:tcPr>
            <w:tcW w:w="1474" w:type="dxa"/>
            <w:vAlign w:val="center"/>
          </w:tcPr>
          <w:p w14:paraId="278D7C9D">
            <w:pPr>
              <w:pStyle w:val="14"/>
            </w:pPr>
          </w:p>
        </w:tc>
        <w:tc>
          <w:tcPr>
            <w:tcW w:w="1474" w:type="dxa"/>
            <w:vAlign w:val="center"/>
          </w:tcPr>
          <w:p w14:paraId="039140D1">
            <w:pPr>
              <w:pStyle w:val="14"/>
            </w:pPr>
          </w:p>
        </w:tc>
        <w:tc>
          <w:tcPr>
            <w:tcW w:w="1474" w:type="dxa"/>
            <w:vAlign w:val="center"/>
          </w:tcPr>
          <w:p w14:paraId="0F7E03D0">
            <w:pPr>
              <w:pStyle w:val="14"/>
            </w:pPr>
          </w:p>
        </w:tc>
        <w:tc>
          <w:tcPr>
            <w:tcW w:w="1474" w:type="dxa"/>
            <w:vAlign w:val="center"/>
          </w:tcPr>
          <w:p w14:paraId="70BAA56D">
            <w:pPr>
              <w:pStyle w:val="14"/>
            </w:pPr>
          </w:p>
        </w:tc>
      </w:tr>
      <w:tr w14:paraId="0F78D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53B24">
            <w:pPr>
              <w:pStyle w:val="12"/>
            </w:pPr>
            <w:r>
              <w:t>21</w:t>
            </w:r>
          </w:p>
        </w:tc>
        <w:tc>
          <w:tcPr>
            <w:tcW w:w="3402" w:type="dxa"/>
            <w:vAlign w:val="center"/>
          </w:tcPr>
          <w:p w14:paraId="47ADAF8E">
            <w:pPr>
              <w:pStyle w:val="13"/>
            </w:pPr>
          </w:p>
        </w:tc>
        <w:tc>
          <w:tcPr>
            <w:tcW w:w="1474" w:type="dxa"/>
            <w:vAlign w:val="center"/>
          </w:tcPr>
          <w:p w14:paraId="27F2F63E">
            <w:pPr>
              <w:pStyle w:val="14"/>
            </w:pPr>
          </w:p>
        </w:tc>
        <w:tc>
          <w:tcPr>
            <w:tcW w:w="3402" w:type="dxa"/>
            <w:vAlign w:val="center"/>
          </w:tcPr>
          <w:p w14:paraId="520798FB">
            <w:pPr>
              <w:pStyle w:val="13"/>
            </w:pPr>
            <w:r>
              <w:t>二十一、粮油物资储备支出</w:t>
            </w:r>
          </w:p>
        </w:tc>
        <w:tc>
          <w:tcPr>
            <w:tcW w:w="1474" w:type="dxa"/>
            <w:vAlign w:val="center"/>
          </w:tcPr>
          <w:p w14:paraId="5159F6EC">
            <w:pPr>
              <w:pStyle w:val="14"/>
            </w:pPr>
          </w:p>
        </w:tc>
        <w:tc>
          <w:tcPr>
            <w:tcW w:w="1474" w:type="dxa"/>
            <w:vAlign w:val="center"/>
          </w:tcPr>
          <w:p w14:paraId="78EB8582">
            <w:pPr>
              <w:pStyle w:val="14"/>
            </w:pPr>
          </w:p>
        </w:tc>
        <w:tc>
          <w:tcPr>
            <w:tcW w:w="1474" w:type="dxa"/>
            <w:vAlign w:val="center"/>
          </w:tcPr>
          <w:p w14:paraId="59B45456">
            <w:pPr>
              <w:pStyle w:val="14"/>
            </w:pPr>
          </w:p>
        </w:tc>
        <w:tc>
          <w:tcPr>
            <w:tcW w:w="1474" w:type="dxa"/>
            <w:vAlign w:val="center"/>
          </w:tcPr>
          <w:p w14:paraId="2BA94718">
            <w:pPr>
              <w:pStyle w:val="14"/>
            </w:pPr>
          </w:p>
        </w:tc>
      </w:tr>
      <w:tr w14:paraId="64796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A3B3D">
            <w:pPr>
              <w:pStyle w:val="12"/>
            </w:pPr>
            <w:r>
              <w:t>22</w:t>
            </w:r>
          </w:p>
        </w:tc>
        <w:tc>
          <w:tcPr>
            <w:tcW w:w="3402" w:type="dxa"/>
            <w:vAlign w:val="center"/>
          </w:tcPr>
          <w:p w14:paraId="72F6E062">
            <w:pPr>
              <w:pStyle w:val="13"/>
            </w:pPr>
          </w:p>
        </w:tc>
        <w:tc>
          <w:tcPr>
            <w:tcW w:w="1474" w:type="dxa"/>
            <w:vAlign w:val="center"/>
          </w:tcPr>
          <w:p w14:paraId="1EBAA63D">
            <w:pPr>
              <w:pStyle w:val="14"/>
            </w:pPr>
          </w:p>
        </w:tc>
        <w:tc>
          <w:tcPr>
            <w:tcW w:w="3402" w:type="dxa"/>
            <w:vAlign w:val="center"/>
          </w:tcPr>
          <w:p w14:paraId="2064F945">
            <w:pPr>
              <w:pStyle w:val="13"/>
            </w:pPr>
            <w:r>
              <w:t>二十二、国有资本经营预算支出</w:t>
            </w:r>
          </w:p>
        </w:tc>
        <w:tc>
          <w:tcPr>
            <w:tcW w:w="1474" w:type="dxa"/>
            <w:vAlign w:val="center"/>
          </w:tcPr>
          <w:p w14:paraId="519DBD24">
            <w:pPr>
              <w:pStyle w:val="14"/>
            </w:pPr>
          </w:p>
        </w:tc>
        <w:tc>
          <w:tcPr>
            <w:tcW w:w="1474" w:type="dxa"/>
            <w:vAlign w:val="center"/>
          </w:tcPr>
          <w:p w14:paraId="3F12ADAE">
            <w:pPr>
              <w:pStyle w:val="14"/>
            </w:pPr>
          </w:p>
        </w:tc>
        <w:tc>
          <w:tcPr>
            <w:tcW w:w="1474" w:type="dxa"/>
            <w:vAlign w:val="center"/>
          </w:tcPr>
          <w:p w14:paraId="6C8955CA">
            <w:pPr>
              <w:pStyle w:val="14"/>
            </w:pPr>
          </w:p>
        </w:tc>
        <w:tc>
          <w:tcPr>
            <w:tcW w:w="1474" w:type="dxa"/>
            <w:vAlign w:val="center"/>
          </w:tcPr>
          <w:p w14:paraId="56090B3D">
            <w:pPr>
              <w:pStyle w:val="14"/>
            </w:pPr>
          </w:p>
        </w:tc>
      </w:tr>
      <w:tr w14:paraId="6422C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B4A84">
            <w:pPr>
              <w:pStyle w:val="12"/>
            </w:pPr>
            <w:r>
              <w:t>23</w:t>
            </w:r>
          </w:p>
        </w:tc>
        <w:tc>
          <w:tcPr>
            <w:tcW w:w="3402" w:type="dxa"/>
            <w:vAlign w:val="center"/>
          </w:tcPr>
          <w:p w14:paraId="0FBF320F">
            <w:pPr>
              <w:pStyle w:val="13"/>
            </w:pPr>
          </w:p>
        </w:tc>
        <w:tc>
          <w:tcPr>
            <w:tcW w:w="1474" w:type="dxa"/>
            <w:vAlign w:val="center"/>
          </w:tcPr>
          <w:p w14:paraId="2D1C72BC">
            <w:pPr>
              <w:pStyle w:val="14"/>
            </w:pPr>
          </w:p>
        </w:tc>
        <w:tc>
          <w:tcPr>
            <w:tcW w:w="3402" w:type="dxa"/>
            <w:vAlign w:val="center"/>
          </w:tcPr>
          <w:p w14:paraId="70C304F3">
            <w:pPr>
              <w:pStyle w:val="13"/>
            </w:pPr>
            <w:r>
              <w:t>二十三、灾害防治及应急管理支出</w:t>
            </w:r>
          </w:p>
        </w:tc>
        <w:tc>
          <w:tcPr>
            <w:tcW w:w="1474" w:type="dxa"/>
            <w:vAlign w:val="center"/>
          </w:tcPr>
          <w:p w14:paraId="760F1A4F">
            <w:pPr>
              <w:pStyle w:val="14"/>
            </w:pPr>
          </w:p>
        </w:tc>
        <w:tc>
          <w:tcPr>
            <w:tcW w:w="1474" w:type="dxa"/>
            <w:vAlign w:val="center"/>
          </w:tcPr>
          <w:p w14:paraId="7BCD49AF">
            <w:pPr>
              <w:pStyle w:val="14"/>
            </w:pPr>
          </w:p>
        </w:tc>
        <w:tc>
          <w:tcPr>
            <w:tcW w:w="1474" w:type="dxa"/>
            <w:vAlign w:val="center"/>
          </w:tcPr>
          <w:p w14:paraId="3FB4D394">
            <w:pPr>
              <w:pStyle w:val="14"/>
            </w:pPr>
          </w:p>
        </w:tc>
        <w:tc>
          <w:tcPr>
            <w:tcW w:w="1474" w:type="dxa"/>
            <w:vAlign w:val="center"/>
          </w:tcPr>
          <w:p w14:paraId="3D32FAA4">
            <w:pPr>
              <w:pStyle w:val="14"/>
            </w:pPr>
          </w:p>
        </w:tc>
      </w:tr>
      <w:tr w14:paraId="060CD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36CED">
            <w:pPr>
              <w:pStyle w:val="12"/>
            </w:pPr>
            <w:r>
              <w:t>24</w:t>
            </w:r>
          </w:p>
        </w:tc>
        <w:tc>
          <w:tcPr>
            <w:tcW w:w="3402" w:type="dxa"/>
            <w:vAlign w:val="center"/>
          </w:tcPr>
          <w:p w14:paraId="31AB3695">
            <w:pPr>
              <w:pStyle w:val="13"/>
            </w:pPr>
          </w:p>
        </w:tc>
        <w:tc>
          <w:tcPr>
            <w:tcW w:w="1474" w:type="dxa"/>
            <w:vAlign w:val="center"/>
          </w:tcPr>
          <w:p w14:paraId="24C97C67">
            <w:pPr>
              <w:pStyle w:val="14"/>
            </w:pPr>
          </w:p>
        </w:tc>
        <w:tc>
          <w:tcPr>
            <w:tcW w:w="3402" w:type="dxa"/>
            <w:vAlign w:val="center"/>
          </w:tcPr>
          <w:p w14:paraId="76503F55">
            <w:pPr>
              <w:pStyle w:val="13"/>
            </w:pPr>
            <w:r>
              <w:t>二十四、预备费</w:t>
            </w:r>
          </w:p>
        </w:tc>
        <w:tc>
          <w:tcPr>
            <w:tcW w:w="1474" w:type="dxa"/>
            <w:vAlign w:val="center"/>
          </w:tcPr>
          <w:p w14:paraId="2CEAC8E9">
            <w:pPr>
              <w:pStyle w:val="14"/>
            </w:pPr>
          </w:p>
        </w:tc>
        <w:tc>
          <w:tcPr>
            <w:tcW w:w="1474" w:type="dxa"/>
            <w:vAlign w:val="center"/>
          </w:tcPr>
          <w:p w14:paraId="7EB55489">
            <w:pPr>
              <w:pStyle w:val="14"/>
            </w:pPr>
          </w:p>
        </w:tc>
        <w:tc>
          <w:tcPr>
            <w:tcW w:w="1474" w:type="dxa"/>
            <w:vAlign w:val="center"/>
          </w:tcPr>
          <w:p w14:paraId="09473F77">
            <w:pPr>
              <w:pStyle w:val="14"/>
            </w:pPr>
          </w:p>
        </w:tc>
        <w:tc>
          <w:tcPr>
            <w:tcW w:w="1474" w:type="dxa"/>
            <w:vAlign w:val="center"/>
          </w:tcPr>
          <w:p w14:paraId="2712328E">
            <w:pPr>
              <w:pStyle w:val="14"/>
            </w:pPr>
          </w:p>
        </w:tc>
      </w:tr>
      <w:tr w14:paraId="552A7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BD7BC">
            <w:pPr>
              <w:pStyle w:val="12"/>
            </w:pPr>
            <w:r>
              <w:t>25</w:t>
            </w:r>
          </w:p>
        </w:tc>
        <w:tc>
          <w:tcPr>
            <w:tcW w:w="3402" w:type="dxa"/>
            <w:vAlign w:val="center"/>
          </w:tcPr>
          <w:p w14:paraId="644A2226">
            <w:pPr>
              <w:pStyle w:val="13"/>
            </w:pPr>
          </w:p>
        </w:tc>
        <w:tc>
          <w:tcPr>
            <w:tcW w:w="1474" w:type="dxa"/>
            <w:vAlign w:val="center"/>
          </w:tcPr>
          <w:p w14:paraId="05C5E165">
            <w:pPr>
              <w:pStyle w:val="14"/>
            </w:pPr>
          </w:p>
        </w:tc>
        <w:tc>
          <w:tcPr>
            <w:tcW w:w="3402" w:type="dxa"/>
            <w:vAlign w:val="center"/>
          </w:tcPr>
          <w:p w14:paraId="0AEB8915">
            <w:pPr>
              <w:pStyle w:val="13"/>
            </w:pPr>
            <w:r>
              <w:t>二十五、其他支出</w:t>
            </w:r>
          </w:p>
        </w:tc>
        <w:tc>
          <w:tcPr>
            <w:tcW w:w="1474" w:type="dxa"/>
            <w:vAlign w:val="center"/>
          </w:tcPr>
          <w:p w14:paraId="3F7A80E4">
            <w:pPr>
              <w:pStyle w:val="14"/>
            </w:pPr>
          </w:p>
        </w:tc>
        <w:tc>
          <w:tcPr>
            <w:tcW w:w="1474" w:type="dxa"/>
            <w:vAlign w:val="center"/>
          </w:tcPr>
          <w:p w14:paraId="68A2CCBD">
            <w:pPr>
              <w:pStyle w:val="14"/>
            </w:pPr>
          </w:p>
        </w:tc>
        <w:tc>
          <w:tcPr>
            <w:tcW w:w="1474" w:type="dxa"/>
            <w:vAlign w:val="center"/>
          </w:tcPr>
          <w:p w14:paraId="767F7037">
            <w:pPr>
              <w:pStyle w:val="14"/>
            </w:pPr>
          </w:p>
        </w:tc>
        <w:tc>
          <w:tcPr>
            <w:tcW w:w="1474" w:type="dxa"/>
            <w:vAlign w:val="center"/>
          </w:tcPr>
          <w:p w14:paraId="787182B9">
            <w:pPr>
              <w:pStyle w:val="14"/>
            </w:pPr>
          </w:p>
        </w:tc>
      </w:tr>
      <w:tr w14:paraId="7F298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2614990">
            <w:pPr>
              <w:pStyle w:val="12"/>
            </w:pPr>
            <w:r>
              <w:t>26</w:t>
            </w:r>
          </w:p>
        </w:tc>
        <w:tc>
          <w:tcPr>
            <w:tcW w:w="3402" w:type="dxa"/>
            <w:vAlign w:val="center"/>
          </w:tcPr>
          <w:p w14:paraId="2DE7690B">
            <w:pPr>
              <w:pStyle w:val="13"/>
            </w:pPr>
          </w:p>
        </w:tc>
        <w:tc>
          <w:tcPr>
            <w:tcW w:w="1474" w:type="dxa"/>
            <w:vAlign w:val="center"/>
          </w:tcPr>
          <w:p w14:paraId="7DF3AE63">
            <w:pPr>
              <w:pStyle w:val="14"/>
            </w:pPr>
          </w:p>
        </w:tc>
        <w:tc>
          <w:tcPr>
            <w:tcW w:w="3402" w:type="dxa"/>
            <w:vAlign w:val="center"/>
          </w:tcPr>
          <w:p w14:paraId="170FB9AC">
            <w:pPr>
              <w:pStyle w:val="13"/>
            </w:pPr>
            <w:r>
              <w:t>二十六、转移性支出</w:t>
            </w:r>
          </w:p>
        </w:tc>
        <w:tc>
          <w:tcPr>
            <w:tcW w:w="1474" w:type="dxa"/>
            <w:vAlign w:val="center"/>
          </w:tcPr>
          <w:p w14:paraId="6EA2883C">
            <w:pPr>
              <w:pStyle w:val="14"/>
            </w:pPr>
          </w:p>
        </w:tc>
        <w:tc>
          <w:tcPr>
            <w:tcW w:w="1474" w:type="dxa"/>
            <w:vAlign w:val="center"/>
          </w:tcPr>
          <w:p w14:paraId="7344C12E">
            <w:pPr>
              <w:pStyle w:val="14"/>
            </w:pPr>
          </w:p>
        </w:tc>
        <w:tc>
          <w:tcPr>
            <w:tcW w:w="1474" w:type="dxa"/>
            <w:vAlign w:val="center"/>
          </w:tcPr>
          <w:p w14:paraId="2D3DF7DE">
            <w:pPr>
              <w:pStyle w:val="14"/>
            </w:pPr>
          </w:p>
        </w:tc>
        <w:tc>
          <w:tcPr>
            <w:tcW w:w="1474" w:type="dxa"/>
            <w:vAlign w:val="center"/>
          </w:tcPr>
          <w:p w14:paraId="58EB04A2">
            <w:pPr>
              <w:pStyle w:val="14"/>
            </w:pPr>
          </w:p>
        </w:tc>
      </w:tr>
      <w:tr w14:paraId="441D2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71E3F01">
            <w:pPr>
              <w:pStyle w:val="12"/>
            </w:pPr>
            <w:r>
              <w:t>27</w:t>
            </w:r>
          </w:p>
        </w:tc>
        <w:tc>
          <w:tcPr>
            <w:tcW w:w="3402" w:type="dxa"/>
            <w:vAlign w:val="center"/>
          </w:tcPr>
          <w:p w14:paraId="7101116A">
            <w:pPr>
              <w:pStyle w:val="13"/>
            </w:pPr>
          </w:p>
        </w:tc>
        <w:tc>
          <w:tcPr>
            <w:tcW w:w="1474" w:type="dxa"/>
            <w:vAlign w:val="center"/>
          </w:tcPr>
          <w:p w14:paraId="36B03627">
            <w:pPr>
              <w:pStyle w:val="14"/>
            </w:pPr>
          </w:p>
        </w:tc>
        <w:tc>
          <w:tcPr>
            <w:tcW w:w="3402" w:type="dxa"/>
            <w:vAlign w:val="center"/>
          </w:tcPr>
          <w:p w14:paraId="4A1B80BF">
            <w:pPr>
              <w:pStyle w:val="13"/>
            </w:pPr>
            <w:r>
              <w:t>二十七、债务还本支出</w:t>
            </w:r>
          </w:p>
        </w:tc>
        <w:tc>
          <w:tcPr>
            <w:tcW w:w="1474" w:type="dxa"/>
            <w:vAlign w:val="center"/>
          </w:tcPr>
          <w:p w14:paraId="7D226EBA">
            <w:pPr>
              <w:pStyle w:val="14"/>
            </w:pPr>
          </w:p>
        </w:tc>
        <w:tc>
          <w:tcPr>
            <w:tcW w:w="1474" w:type="dxa"/>
            <w:vAlign w:val="center"/>
          </w:tcPr>
          <w:p w14:paraId="025E1789">
            <w:pPr>
              <w:pStyle w:val="14"/>
            </w:pPr>
          </w:p>
        </w:tc>
        <w:tc>
          <w:tcPr>
            <w:tcW w:w="1474" w:type="dxa"/>
            <w:vAlign w:val="center"/>
          </w:tcPr>
          <w:p w14:paraId="5ECC0D3F">
            <w:pPr>
              <w:pStyle w:val="14"/>
            </w:pPr>
          </w:p>
        </w:tc>
        <w:tc>
          <w:tcPr>
            <w:tcW w:w="1474" w:type="dxa"/>
            <w:vAlign w:val="center"/>
          </w:tcPr>
          <w:p w14:paraId="20FAA5BF">
            <w:pPr>
              <w:pStyle w:val="14"/>
            </w:pPr>
          </w:p>
        </w:tc>
      </w:tr>
      <w:tr w14:paraId="38C90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F1732">
            <w:pPr>
              <w:pStyle w:val="12"/>
            </w:pPr>
            <w:r>
              <w:t>28</w:t>
            </w:r>
          </w:p>
        </w:tc>
        <w:tc>
          <w:tcPr>
            <w:tcW w:w="3402" w:type="dxa"/>
            <w:vAlign w:val="center"/>
          </w:tcPr>
          <w:p w14:paraId="44F482CF">
            <w:pPr>
              <w:pStyle w:val="13"/>
            </w:pPr>
          </w:p>
        </w:tc>
        <w:tc>
          <w:tcPr>
            <w:tcW w:w="1474" w:type="dxa"/>
            <w:vAlign w:val="center"/>
          </w:tcPr>
          <w:p w14:paraId="346590EF">
            <w:pPr>
              <w:pStyle w:val="14"/>
            </w:pPr>
          </w:p>
        </w:tc>
        <w:tc>
          <w:tcPr>
            <w:tcW w:w="3402" w:type="dxa"/>
            <w:vAlign w:val="center"/>
          </w:tcPr>
          <w:p w14:paraId="074E4501">
            <w:pPr>
              <w:pStyle w:val="13"/>
            </w:pPr>
            <w:r>
              <w:t>二十八、债务付息支出</w:t>
            </w:r>
          </w:p>
        </w:tc>
        <w:tc>
          <w:tcPr>
            <w:tcW w:w="1474" w:type="dxa"/>
            <w:vAlign w:val="center"/>
          </w:tcPr>
          <w:p w14:paraId="7F124395">
            <w:pPr>
              <w:pStyle w:val="14"/>
            </w:pPr>
          </w:p>
        </w:tc>
        <w:tc>
          <w:tcPr>
            <w:tcW w:w="1474" w:type="dxa"/>
            <w:vAlign w:val="center"/>
          </w:tcPr>
          <w:p w14:paraId="73A3D958">
            <w:pPr>
              <w:pStyle w:val="14"/>
            </w:pPr>
          </w:p>
        </w:tc>
        <w:tc>
          <w:tcPr>
            <w:tcW w:w="1474" w:type="dxa"/>
            <w:vAlign w:val="center"/>
          </w:tcPr>
          <w:p w14:paraId="0F2DF974">
            <w:pPr>
              <w:pStyle w:val="14"/>
            </w:pPr>
          </w:p>
        </w:tc>
        <w:tc>
          <w:tcPr>
            <w:tcW w:w="1474" w:type="dxa"/>
            <w:vAlign w:val="center"/>
          </w:tcPr>
          <w:p w14:paraId="361EEEE7">
            <w:pPr>
              <w:pStyle w:val="14"/>
            </w:pPr>
          </w:p>
        </w:tc>
      </w:tr>
      <w:tr w14:paraId="11A7D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6A3F5">
            <w:pPr>
              <w:pStyle w:val="12"/>
            </w:pPr>
            <w:r>
              <w:t>29</w:t>
            </w:r>
          </w:p>
        </w:tc>
        <w:tc>
          <w:tcPr>
            <w:tcW w:w="3402" w:type="dxa"/>
            <w:vAlign w:val="center"/>
          </w:tcPr>
          <w:p w14:paraId="7FA20CB2">
            <w:pPr>
              <w:pStyle w:val="13"/>
            </w:pPr>
          </w:p>
        </w:tc>
        <w:tc>
          <w:tcPr>
            <w:tcW w:w="1474" w:type="dxa"/>
            <w:vAlign w:val="center"/>
          </w:tcPr>
          <w:p w14:paraId="5217BCBB">
            <w:pPr>
              <w:pStyle w:val="14"/>
            </w:pPr>
          </w:p>
        </w:tc>
        <w:tc>
          <w:tcPr>
            <w:tcW w:w="3402" w:type="dxa"/>
            <w:vAlign w:val="center"/>
          </w:tcPr>
          <w:p w14:paraId="1513BE32">
            <w:pPr>
              <w:pStyle w:val="13"/>
            </w:pPr>
            <w:r>
              <w:t>二十九、债务发行费用支出</w:t>
            </w:r>
          </w:p>
        </w:tc>
        <w:tc>
          <w:tcPr>
            <w:tcW w:w="1474" w:type="dxa"/>
            <w:vAlign w:val="center"/>
          </w:tcPr>
          <w:p w14:paraId="39115B35">
            <w:pPr>
              <w:pStyle w:val="14"/>
            </w:pPr>
          </w:p>
        </w:tc>
        <w:tc>
          <w:tcPr>
            <w:tcW w:w="1474" w:type="dxa"/>
            <w:vAlign w:val="center"/>
          </w:tcPr>
          <w:p w14:paraId="77341A8A">
            <w:pPr>
              <w:pStyle w:val="14"/>
            </w:pPr>
          </w:p>
        </w:tc>
        <w:tc>
          <w:tcPr>
            <w:tcW w:w="1474" w:type="dxa"/>
            <w:vAlign w:val="center"/>
          </w:tcPr>
          <w:p w14:paraId="7B565ABF">
            <w:pPr>
              <w:pStyle w:val="14"/>
            </w:pPr>
          </w:p>
        </w:tc>
        <w:tc>
          <w:tcPr>
            <w:tcW w:w="1474" w:type="dxa"/>
            <w:vAlign w:val="center"/>
          </w:tcPr>
          <w:p w14:paraId="24741E47">
            <w:pPr>
              <w:pStyle w:val="14"/>
            </w:pPr>
          </w:p>
        </w:tc>
      </w:tr>
      <w:tr w14:paraId="563D7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42BF708">
            <w:pPr>
              <w:pStyle w:val="12"/>
            </w:pPr>
            <w:r>
              <w:t>30</w:t>
            </w:r>
          </w:p>
        </w:tc>
        <w:tc>
          <w:tcPr>
            <w:tcW w:w="3402" w:type="dxa"/>
            <w:vAlign w:val="center"/>
          </w:tcPr>
          <w:p w14:paraId="0E2C2B05">
            <w:pPr>
              <w:pStyle w:val="13"/>
            </w:pPr>
          </w:p>
        </w:tc>
        <w:tc>
          <w:tcPr>
            <w:tcW w:w="1474" w:type="dxa"/>
            <w:vAlign w:val="center"/>
          </w:tcPr>
          <w:p w14:paraId="51723FA1">
            <w:pPr>
              <w:pStyle w:val="14"/>
            </w:pPr>
          </w:p>
        </w:tc>
        <w:tc>
          <w:tcPr>
            <w:tcW w:w="3402" w:type="dxa"/>
            <w:vAlign w:val="center"/>
          </w:tcPr>
          <w:p w14:paraId="4BE1A9B2">
            <w:pPr>
              <w:pStyle w:val="13"/>
            </w:pPr>
            <w:r>
              <w:t>三十、抗疫特别国债安排的支出</w:t>
            </w:r>
          </w:p>
        </w:tc>
        <w:tc>
          <w:tcPr>
            <w:tcW w:w="1474" w:type="dxa"/>
            <w:vAlign w:val="center"/>
          </w:tcPr>
          <w:p w14:paraId="43685E42">
            <w:pPr>
              <w:pStyle w:val="14"/>
            </w:pPr>
          </w:p>
        </w:tc>
        <w:tc>
          <w:tcPr>
            <w:tcW w:w="1474" w:type="dxa"/>
            <w:vAlign w:val="center"/>
          </w:tcPr>
          <w:p w14:paraId="12AC4C30">
            <w:pPr>
              <w:pStyle w:val="14"/>
            </w:pPr>
          </w:p>
        </w:tc>
        <w:tc>
          <w:tcPr>
            <w:tcW w:w="1474" w:type="dxa"/>
            <w:vAlign w:val="center"/>
          </w:tcPr>
          <w:p w14:paraId="65F215EB">
            <w:pPr>
              <w:pStyle w:val="14"/>
            </w:pPr>
          </w:p>
        </w:tc>
        <w:tc>
          <w:tcPr>
            <w:tcW w:w="1474" w:type="dxa"/>
            <w:vAlign w:val="center"/>
          </w:tcPr>
          <w:p w14:paraId="0A1947F8">
            <w:pPr>
              <w:pStyle w:val="14"/>
            </w:pPr>
          </w:p>
        </w:tc>
      </w:tr>
      <w:tr w14:paraId="7F8FC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B58DA">
            <w:pPr>
              <w:pStyle w:val="12"/>
            </w:pPr>
            <w:r>
              <w:t>31</w:t>
            </w:r>
          </w:p>
        </w:tc>
        <w:tc>
          <w:tcPr>
            <w:tcW w:w="3402" w:type="dxa"/>
            <w:vAlign w:val="center"/>
          </w:tcPr>
          <w:p w14:paraId="35FA3DA5">
            <w:pPr>
              <w:pStyle w:val="13"/>
            </w:pPr>
          </w:p>
        </w:tc>
        <w:tc>
          <w:tcPr>
            <w:tcW w:w="1474" w:type="dxa"/>
            <w:vAlign w:val="center"/>
          </w:tcPr>
          <w:p w14:paraId="7E95728D">
            <w:pPr>
              <w:pStyle w:val="14"/>
            </w:pPr>
          </w:p>
        </w:tc>
        <w:tc>
          <w:tcPr>
            <w:tcW w:w="3402" w:type="dxa"/>
            <w:vAlign w:val="center"/>
          </w:tcPr>
          <w:p w14:paraId="2BA47313">
            <w:pPr>
              <w:pStyle w:val="13"/>
            </w:pPr>
            <w:r>
              <w:t>三十一、人行科目</w:t>
            </w:r>
          </w:p>
        </w:tc>
        <w:tc>
          <w:tcPr>
            <w:tcW w:w="1474" w:type="dxa"/>
            <w:vAlign w:val="center"/>
          </w:tcPr>
          <w:p w14:paraId="6CC95B3E">
            <w:pPr>
              <w:pStyle w:val="14"/>
            </w:pPr>
          </w:p>
        </w:tc>
        <w:tc>
          <w:tcPr>
            <w:tcW w:w="1474" w:type="dxa"/>
            <w:vAlign w:val="center"/>
          </w:tcPr>
          <w:p w14:paraId="0E629263">
            <w:pPr>
              <w:pStyle w:val="14"/>
            </w:pPr>
          </w:p>
        </w:tc>
        <w:tc>
          <w:tcPr>
            <w:tcW w:w="1474" w:type="dxa"/>
            <w:vAlign w:val="center"/>
          </w:tcPr>
          <w:p w14:paraId="613AFB96">
            <w:pPr>
              <w:pStyle w:val="14"/>
            </w:pPr>
          </w:p>
        </w:tc>
        <w:tc>
          <w:tcPr>
            <w:tcW w:w="1474" w:type="dxa"/>
            <w:vAlign w:val="center"/>
          </w:tcPr>
          <w:p w14:paraId="0ACDF0E1">
            <w:pPr>
              <w:pStyle w:val="14"/>
            </w:pPr>
          </w:p>
        </w:tc>
      </w:tr>
      <w:tr w14:paraId="4CF50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58A0A">
            <w:pPr>
              <w:pStyle w:val="12"/>
            </w:pPr>
            <w:r>
              <w:t>32</w:t>
            </w:r>
          </w:p>
        </w:tc>
        <w:tc>
          <w:tcPr>
            <w:tcW w:w="3402" w:type="dxa"/>
            <w:vAlign w:val="center"/>
          </w:tcPr>
          <w:p w14:paraId="2F29A417">
            <w:pPr>
              <w:pStyle w:val="15"/>
            </w:pPr>
            <w:r>
              <w:t>本年收入合计</w:t>
            </w:r>
          </w:p>
        </w:tc>
        <w:tc>
          <w:tcPr>
            <w:tcW w:w="1474" w:type="dxa"/>
            <w:vAlign w:val="center"/>
          </w:tcPr>
          <w:p w14:paraId="005C69ED">
            <w:pPr>
              <w:pStyle w:val="16"/>
            </w:pPr>
            <w:r>
              <w:t>1009.58</w:t>
            </w:r>
          </w:p>
        </w:tc>
        <w:tc>
          <w:tcPr>
            <w:tcW w:w="3402" w:type="dxa"/>
            <w:vAlign w:val="center"/>
          </w:tcPr>
          <w:p w14:paraId="2FC86489">
            <w:pPr>
              <w:pStyle w:val="15"/>
            </w:pPr>
            <w:r>
              <w:t>本年支出合计</w:t>
            </w:r>
          </w:p>
        </w:tc>
        <w:tc>
          <w:tcPr>
            <w:tcW w:w="1474" w:type="dxa"/>
            <w:vAlign w:val="center"/>
          </w:tcPr>
          <w:p w14:paraId="36689624">
            <w:pPr>
              <w:pStyle w:val="16"/>
            </w:pPr>
            <w:r>
              <w:t>1037.82</w:t>
            </w:r>
          </w:p>
        </w:tc>
        <w:tc>
          <w:tcPr>
            <w:tcW w:w="1474" w:type="dxa"/>
            <w:vAlign w:val="center"/>
          </w:tcPr>
          <w:p w14:paraId="73754497">
            <w:pPr>
              <w:pStyle w:val="16"/>
            </w:pPr>
            <w:r>
              <w:t>1037.82</w:t>
            </w:r>
          </w:p>
        </w:tc>
        <w:tc>
          <w:tcPr>
            <w:tcW w:w="1474" w:type="dxa"/>
            <w:vAlign w:val="center"/>
          </w:tcPr>
          <w:p w14:paraId="29620D32">
            <w:pPr>
              <w:pStyle w:val="16"/>
            </w:pPr>
          </w:p>
        </w:tc>
        <w:tc>
          <w:tcPr>
            <w:tcW w:w="1474" w:type="dxa"/>
            <w:vAlign w:val="center"/>
          </w:tcPr>
          <w:p w14:paraId="05460EF9">
            <w:pPr>
              <w:pStyle w:val="16"/>
            </w:pPr>
          </w:p>
        </w:tc>
      </w:tr>
      <w:tr w14:paraId="3EA7C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111B7">
            <w:pPr>
              <w:pStyle w:val="12"/>
            </w:pPr>
            <w:r>
              <w:t>33</w:t>
            </w:r>
          </w:p>
        </w:tc>
        <w:tc>
          <w:tcPr>
            <w:tcW w:w="3402" w:type="dxa"/>
            <w:vAlign w:val="center"/>
          </w:tcPr>
          <w:p w14:paraId="11B4BDE3">
            <w:pPr>
              <w:pStyle w:val="13"/>
            </w:pPr>
            <w:r>
              <w:t>年初财政拨款结转和结余</w:t>
            </w:r>
          </w:p>
        </w:tc>
        <w:tc>
          <w:tcPr>
            <w:tcW w:w="1474" w:type="dxa"/>
            <w:vAlign w:val="center"/>
          </w:tcPr>
          <w:p w14:paraId="642EE99C">
            <w:pPr>
              <w:pStyle w:val="14"/>
            </w:pPr>
            <w:r>
              <w:t>28.24</w:t>
            </w:r>
          </w:p>
        </w:tc>
        <w:tc>
          <w:tcPr>
            <w:tcW w:w="3402" w:type="dxa"/>
            <w:vAlign w:val="center"/>
          </w:tcPr>
          <w:p w14:paraId="520B22A5">
            <w:pPr>
              <w:pStyle w:val="13"/>
            </w:pPr>
            <w:r>
              <w:t>年末财政拨款结转和结余</w:t>
            </w:r>
          </w:p>
        </w:tc>
        <w:tc>
          <w:tcPr>
            <w:tcW w:w="1474" w:type="dxa"/>
            <w:vAlign w:val="center"/>
          </w:tcPr>
          <w:p w14:paraId="1C1B93A3">
            <w:pPr>
              <w:pStyle w:val="14"/>
            </w:pPr>
          </w:p>
        </w:tc>
        <w:tc>
          <w:tcPr>
            <w:tcW w:w="1474" w:type="dxa"/>
            <w:vAlign w:val="center"/>
          </w:tcPr>
          <w:p w14:paraId="6CE2F019">
            <w:pPr>
              <w:pStyle w:val="14"/>
            </w:pPr>
          </w:p>
        </w:tc>
        <w:tc>
          <w:tcPr>
            <w:tcW w:w="1474" w:type="dxa"/>
            <w:vAlign w:val="center"/>
          </w:tcPr>
          <w:p w14:paraId="0F0BF790">
            <w:pPr>
              <w:pStyle w:val="14"/>
            </w:pPr>
          </w:p>
        </w:tc>
        <w:tc>
          <w:tcPr>
            <w:tcW w:w="1474" w:type="dxa"/>
            <w:vAlign w:val="center"/>
          </w:tcPr>
          <w:p w14:paraId="1CA60237">
            <w:pPr>
              <w:pStyle w:val="14"/>
            </w:pPr>
          </w:p>
        </w:tc>
      </w:tr>
      <w:tr w14:paraId="2F70E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0B46A51">
            <w:pPr>
              <w:pStyle w:val="12"/>
            </w:pPr>
            <w:r>
              <w:t>34</w:t>
            </w:r>
          </w:p>
        </w:tc>
        <w:tc>
          <w:tcPr>
            <w:tcW w:w="3402" w:type="dxa"/>
            <w:vAlign w:val="center"/>
          </w:tcPr>
          <w:p w14:paraId="4D2C49BA">
            <w:pPr>
              <w:pStyle w:val="13"/>
            </w:pPr>
            <w:r>
              <w:t>一、一般公共预算拨款</w:t>
            </w:r>
          </w:p>
        </w:tc>
        <w:tc>
          <w:tcPr>
            <w:tcW w:w="1474" w:type="dxa"/>
            <w:vAlign w:val="center"/>
          </w:tcPr>
          <w:p w14:paraId="3B76631D">
            <w:pPr>
              <w:pStyle w:val="14"/>
            </w:pPr>
            <w:r>
              <w:t>28.24</w:t>
            </w:r>
          </w:p>
        </w:tc>
        <w:tc>
          <w:tcPr>
            <w:tcW w:w="3402" w:type="dxa"/>
            <w:vAlign w:val="center"/>
          </w:tcPr>
          <w:p w14:paraId="49F330CE">
            <w:pPr>
              <w:pStyle w:val="13"/>
            </w:pPr>
          </w:p>
        </w:tc>
        <w:tc>
          <w:tcPr>
            <w:tcW w:w="1474" w:type="dxa"/>
            <w:vAlign w:val="center"/>
          </w:tcPr>
          <w:p w14:paraId="3AAECBB2">
            <w:pPr>
              <w:pStyle w:val="14"/>
            </w:pPr>
          </w:p>
        </w:tc>
        <w:tc>
          <w:tcPr>
            <w:tcW w:w="1474" w:type="dxa"/>
            <w:vAlign w:val="center"/>
          </w:tcPr>
          <w:p w14:paraId="30B6F367">
            <w:pPr>
              <w:pStyle w:val="14"/>
            </w:pPr>
          </w:p>
        </w:tc>
        <w:tc>
          <w:tcPr>
            <w:tcW w:w="1474" w:type="dxa"/>
            <w:vAlign w:val="center"/>
          </w:tcPr>
          <w:p w14:paraId="30875C55">
            <w:pPr>
              <w:pStyle w:val="14"/>
            </w:pPr>
          </w:p>
        </w:tc>
        <w:tc>
          <w:tcPr>
            <w:tcW w:w="1474" w:type="dxa"/>
            <w:vAlign w:val="center"/>
          </w:tcPr>
          <w:p w14:paraId="03A88A58">
            <w:pPr>
              <w:pStyle w:val="14"/>
            </w:pPr>
          </w:p>
        </w:tc>
      </w:tr>
      <w:tr w14:paraId="260FA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B3F80">
            <w:pPr>
              <w:pStyle w:val="12"/>
            </w:pPr>
            <w:r>
              <w:t>35</w:t>
            </w:r>
          </w:p>
        </w:tc>
        <w:tc>
          <w:tcPr>
            <w:tcW w:w="3402" w:type="dxa"/>
            <w:vAlign w:val="center"/>
          </w:tcPr>
          <w:p w14:paraId="17FE98E2">
            <w:pPr>
              <w:pStyle w:val="13"/>
            </w:pPr>
            <w:r>
              <w:t>二、政府性基金预算拨款</w:t>
            </w:r>
          </w:p>
        </w:tc>
        <w:tc>
          <w:tcPr>
            <w:tcW w:w="1474" w:type="dxa"/>
            <w:vAlign w:val="center"/>
          </w:tcPr>
          <w:p w14:paraId="6AAF489D">
            <w:pPr>
              <w:pStyle w:val="14"/>
            </w:pPr>
          </w:p>
        </w:tc>
        <w:tc>
          <w:tcPr>
            <w:tcW w:w="3402" w:type="dxa"/>
            <w:vAlign w:val="center"/>
          </w:tcPr>
          <w:p w14:paraId="4A1D9431">
            <w:pPr>
              <w:pStyle w:val="13"/>
            </w:pPr>
          </w:p>
        </w:tc>
        <w:tc>
          <w:tcPr>
            <w:tcW w:w="1474" w:type="dxa"/>
            <w:vAlign w:val="center"/>
          </w:tcPr>
          <w:p w14:paraId="66A596A9">
            <w:pPr>
              <w:pStyle w:val="14"/>
            </w:pPr>
          </w:p>
        </w:tc>
        <w:tc>
          <w:tcPr>
            <w:tcW w:w="1474" w:type="dxa"/>
            <w:vAlign w:val="center"/>
          </w:tcPr>
          <w:p w14:paraId="134A8BF3">
            <w:pPr>
              <w:pStyle w:val="14"/>
            </w:pPr>
          </w:p>
        </w:tc>
        <w:tc>
          <w:tcPr>
            <w:tcW w:w="1474" w:type="dxa"/>
            <w:vAlign w:val="center"/>
          </w:tcPr>
          <w:p w14:paraId="369A492C">
            <w:pPr>
              <w:pStyle w:val="14"/>
            </w:pPr>
          </w:p>
        </w:tc>
        <w:tc>
          <w:tcPr>
            <w:tcW w:w="1474" w:type="dxa"/>
            <w:vAlign w:val="center"/>
          </w:tcPr>
          <w:p w14:paraId="306429E6">
            <w:pPr>
              <w:pStyle w:val="14"/>
            </w:pPr>
          </w:p>
        </w:tc>
      </w:tr>
      <w:tr w14:paraId="7C57C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0207B">
            <w:pPr>
              <w:pStyle w:val="12"/>
            </w:pPr>
            <w:r>
              <w:t>36</w:t>
            </w:r>
          </w:p>
        </w:tc>
        <w:tc>
          <w:tcPr>
            <w:tcW w:w="3402" w:type="dxa"/>
            <w:vAlign w:val="center"/>
          </w:tcPr>
          <w:p w14:paraId="7F1F481B">
            <w:pPr>
              <w:pStyle w:val="13"/>
            </w:pPr>
            <w:r>
              <w:t>三、国有资本经营预算拨款</w:t>
            </w:r>
          </w:p>
        </w:tc>
        <w:tc>
          <w:tcPr>
            <w:tcW w:w="1474" w:type="dxa"/>
            <w:vAlign w:val="center"/>
          </w:tcPr>
          <w:p w14:paraId="479E3AEB">
            <w:pPr>
              <w:pStyle w:val="14"/>
            </w:pPr>
          </w:p>
        </w:tc>
        <w:tc>
          <w:tcPr>
            <w:tcW w:w="3402" w:type="dxa"/>
            <w:vAlign w:val="center"/>
          </w:tcPr>
          <w:p w14:paraId="744E9341">
            <w:pPr>
              <w:pStyle w:val="13"/>
            </w:pPr>
          </w:p>
        </w:tc>
        <w:tc>
          <w:tcPr>
            <w:tcW w:w="1474" w:type="dxa"/>
            <w:vAlign w:val="center"/>
          </w:tcPr>
          <w:p w14:paraId="0D6EC0EF">
            <w:pPr>
              <w:pStyle w:val="14"/>
            </w:pPr>
          </w:p>
        </w:tc>
        <w:tc>
          <w:tcPr>
            <w:tcW w:w="1474" w:type="dxa"/>
            <w:vAlign w:val="center"/>
          </w:tcPr>
          <w:p w14:paraId="46AED74D">
            <w:pPr>
              <w:pStyle w:val="14"/>
            </w:pPr>
          </w:p>
        </w:tc>
        <w:tc>
          <w:tcPr>
            <w:tcW w:w="1474" w:type="dxa"/>
            <w:vAlign w:val="center"/>
          </w:tcPr>
          <w:p w14:paraId="54FB920F">
            <w:pPr>
              <w:pStyle w:val="14"/>
            </w:pPr>
          </w:p>
        </w:tc>
        <w:tc>
          <w:tcPr>
            <w:tcW w:w="1474" w:type="dxa"/>
            <w:vAlign w:val="center"/>
          </w:tcPr>
          <w:p w14:paraId="7C667FD0">
            <w:pPr>
              <w:pStyle w:val="14"/>
            </w:pPr>
          </w:p>
        </w:tc>
      </w:tr>
      <w:tr w14:paraId="152E2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6A90B28">
            <w:pPr>
              <w:pStyle w:val="12"/>
            </w:pPr>
            <w:r>
              <w:t>37</w:t>
            </w:r>
          </w:p>
        </w:tc>
        <w:tc>
          <w:tcPr>
            <w:tcW w:w="3402" w:type="dxa"/>
            <w:vAlign w:val="center"/>
          </w:tcPr>
          <w:p w14:paraId="01AB4B86">
            <w:pPr>
              <w:pStyle w:val="15"/>
            </w:pPr>
            <w:r>
              <w:t>收入总计</w:t>
            </w:r>
          </w:p>
        </w:tc>
        <w:tc>
          <w:tcPr>
            <w:tcW w:w="1474" w:type="dxa"/>
            <w:vAlign w:val="center"/>
          </w:tcPr>
          <w:p w14:paraId="4B6A4D55">
            <w:pPr>
              <w:pStyle w:val="16"/>
            </w:pPr>
            <w:r>
              <w:t>1037.82</w:t>
            </w:r>
          </w:p>
        </w:tc>
        <w:tc>
          <w:tcPr>
            <w:tcW w:w="3402" w:type="dxa"/>
            <w:vAlign w:val="center"/>
          </w:tcPr>
          <w:p w14:paraId="4F491A93">
            <w:pPr>
              <w:pStyle w:val="15"/>
            </w:pPr>
            <w:r>
              <w:t>支出总计</w:t>
            </w:r>
          </w:p>
        </w:tc>
        <w:tc>
          <w:tcPr>
            <w:tcW w:w="1474" w:type="dxa"/>
            <w:vAlign w:val="center"/>
          </w:tcPr>
          <w:p w14:paraId="2ADB2271">
            <w:pPr>
              <w:pStyle w:val="16"/>
            </w:pPr>
            <w:r>
              <w:t>1037.82</w:t>
            </w:r>
          </w:p>
        </w:tc>
        <w:tc>
          <w:tcPr>
            <w:tcW w:w="1474" w:type="dxa"/>
            <w:vAlign w:val="center"/>
          </w:tcPr>
          <w:p w14:paraId="261D41FC">
            <w:pPr>
              <w:pStyle w:val="16"/>
            </w:pPr>
            <w:r>
              <w:t>1037.82</w:t>
            </w:r>
          </w:p>
        </w:tc>
        <w:tc>
          <w:tcPr>
            <w:tcW w:w="1474" w:type="dxa"/>
            <w:vAlign w:val="center"/>
          </w:tcPr>
          <w:p w14:paraId="712BB936">
            <w:pPr>
              <w:pStyle w:val="16"/>
            </w:pPr>
          </w:p>
        </w:tc>
        <w:tc>
          <w:tcPr>
            <w:tcW w:w="1474" w:type="dxa"/>
            <w:vAlign w:val="center"/>
          </w:tcPr>
          <w:p w14:paraId="2C2A7B54">
            <w:pPr>
              <w:pStyle w:val="16"/>
            </w:pPr>
          </w:p>
        </w:tc>
      </w:tr>
    </w:tbl>
    <w:p w14:paraId="2169732E">
      <w:pPr>
        <w:sectPr>
          <w:pgSz w:w="16840" w:h="11900" w:orient="landscape"/>
          <w:pgMar w:top="1361" w:right="1020" w:bottom="1134" w:left="1020" w:header="720" w:footer="720" w:gutter="0"/>
          <w:cols w:space="720" w:num="1"/>
        </w:sectPr>
      </w:pPr>
    </w:p>
    <w:p w14:paraId="530E9C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1F1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3F33B0">
            <w:pPr>
              <w:pStyle w:val="8"/>
            </w:pPr>
            <w:r>
              <w:t>360007隆尧县魏家庄中学</w:t>
            </w:r>
          </w:p>
        </w:tc>
        <w:tc>
          <w:tcPr>
            <w:tcW w:w="2551" w:type="dxa"/>
            <w:tcBorders>
              <w:top w:val="single" w:color="FFFFFF" w:sz="6" w:space="0"/>
              <w:left w:val="single" w:color="FFFFFF" w:sz="6" w:space="0"/>
              <w:right w:val="single" w:color="FFFFFF" w:sz="6" w:space="0"/>
            </w:tcBorders>
            <w:vAlign w:val="center"/>
          </w:tcPr>
          <w:p w14:paraId="7A1CDC0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5121A0C">
            <w:pPr>
              <w:pStyle w:val="10"/>
            </w:pPr>
            <w:r>
              <w:t>单位：万元</w:t>
            </w:r>
          </w:p>
        </w:tc>
      </w:tr>
      <w:tr w14:paraId="17EF0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4566AD">
            <w:pPr>
              <w:pStyle w:val="11"/>
            </w:pPr>
            <w:r>
              <w:t>序号</w:t>
            </w:r>
          </w:p>
        </w:tc>
        <w:tc>
          <w:tcPr>
            <w:tcW w:w="5726" w:type="dxa"/>
            <w:gridSpan w:val="2"/>
            <w:vAlign w:val="center"/>
          </w:tcPr>
          <w:p w14:paraId="3C0F6291">
            <w:pPr>
              <w:pStyle w:val="11"/>
            </w:pPr>
            <w:r>
              <w:t>功能分类科目</w:t>
            </w:r>
          </w:p>
        </w:tc>
        <w:tc>
          <w:tcPr>
            <w:tcW w:w="2551" w:type="dxa"/>
            <w:vMerge w:val="restart"/>
            <w:vAlign w:val="center"/>
          </w:tcPr>
          <w:p w14:paraId="3A34DC45">
            <w:pPr>
              <w:pStyle w:val="11"/>
            </w:pPr>
            <w:r>
              <w:t>合计</w:t>
            </w:r>
          </w:p>
        </w:tc>
        <w:tc>
          <w:tcPr>
            <w:tcW w:w="2551" w:type="dxa"/>
            <w:vMerge w:val="restart"/>
            <w:vAlign w:val="center"/>
          </w:tcPr>
          <w:p w14:paraId="2A206766">
            <w:pPr>
              <w:pStyle w:val="11"/>
            </w:pPr>
            <w:r>
              <w:t>基本支出</w:t>
            </w:r>
          </w:p>
        </w:tc>
        <w:tc>
          <w:tcPr>
            <w:tcW w:w="2551" w:type="dxa"/>
            <w:vMerge w:val="restart"/>
            <w:vAlign w:val="center"/>
          </w:tcPr>
          <w:p w14:paraId="10518918">
            <w:pPr>
              <w:pStyle w:val="11"/>
            </w:pPr>
            <w:r>
              <w:t>项目支出</w:t>
            </w:r>
          </w:p>
        </w:tc>
      </w:tr>
      <w:tr w14:paraId="75AD1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8C5B62"/>
        </w:tc>
        <w:tc>
          <w:tcPr>
            <w:tcW w:w="1191" w:type="dxa"/>
            <w:vAlign w:val="center"/>
          </w:tcPr>
          <w:p w14:paraId="2D65F154">
            <w:pPr>
              <w:pStyle w:val="11"/>
            </w:pPr>
            <w:r>
              <w:t>科目编码</w:t>
            </w:r>
          </w:p>
        </w:tc>
        <w:tc>
          <w:tcPr>
            <w:tcW w:w="4535" w:type="dxa"/>
            <w:vAlign w:val="center"/>
          </w:tcPr>
          <w:p w14:paraId="74FC59D8">
            <w:pPr>
              <w:pStyle w:val="11"/>
            </w:pPr>
            <w:r>
              <w:t>科目名称</w:t>
            </w:r>
          </w:p>
        </w:tc>
        <w:tc>
          <w:tcPr>
            <w:tcW w:w="2551" w:type="dxa"/>
            <w:vMerge w:val="continue"/>
          </w:tcPr>
          <w:p w14:paraId="2FD8AD6C"/>
        </w:tc>
        <w:tc>
          <w:tcPr>
            <w:tcW w:w="2551" w:type="dxa"/>
            <w:vMerge w:val="continue"/>
          </w:tcPr>
          <w:p w14:paraId="676594AA"/>
        </w:tc>
        <w:tc>
          <w:tcPr>
            <w:tcW w:w="2551" w:type="dxa"/>
            <w:vMerge w:val="continue"/>
          </w:tcPr>
          <w:p w14:paraId="6A969EE9"/>
        </w:tc>
      </w:tr>
      <w:tr w14:paraId="5B1E8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34809">
            <w:pPr>
              <w:pStyle w:val="11"/>
            </w:pPr>
            <w:r>
              <w:t>栏次</w:t>
            </w:r>
          </w:p>
        </w:tc>
        <w:tc>
          <w:tcPr>
            <w:tcW w:w="1191" w:type="dxa"/>
            <w:vAlign w:val="center"/>
          </w:tcPr>
          <w:p w14:paraId="07E193C7">
            <w:pPr>
              <w:pStyle w:val="11"/>
            </w:pPr>
            <w:r>
              <w:t>1</w:t>
            </w:r>
          </w:p>
        </w:tc>
        <w:tc>
          <w:tcPr>
            <w:tcW w:w="4535" w:type="dxa"/>
            <w:vAlign w:val="center"/>
          </w:tcPr>
          <w:p w14:paraId="047F0315">
            <w:pPr>
              <w:pStyle w:val="11"/>
            </w:pPr>
            <w:r>
              <w:t>2</w:t>
            </w:r>
          </w:p>
        </w:tc>
        <w:tc>
          <w:tcPr>
            <w:tcW w:w="2551" w:type="dxa"/>
            <w:vAlign w:val="center"/>
          </w:tcPr>
          <w:p w14:paraId="27CB66C4">
            <w:pPr>
              <w:pStyle w:val="11"/>
            </w:pPr>
            <w:r>
              <w:t>3</w:t>
            </w:r>
          </w:p>
        </w:tc>
        <w:tc>
          <w:tcPr>
            <w:tcW w:w="2551" w:type="dxa"/>
            <w:vAlign w:val="center"/>
          </w:tcPr>
          <w:p w14:paraId="58E981CD">
            <w:pPr>
              <w:pStyle w:val="11"/>
            </w:pPr>
            <w:r>
              <w:t>4</w:t>
            </w:r>
          </w:p>
        </w:tc>
        <w:tc>
          <w:tcPr>
            <w:tcW w:w="2551" w:type="dxa"/>
            <w:vAlign w:val="center"/>
          </w:tcPr>
          <w:p w14:paraId="65D3AD0D">
            <w:pPr>
              <w:pStyle w:val="11"/>
            </w:pPr>
            <w:r>
              <w:t>5</w:t>
            </w:r>
          </w:p>
        </w:tc>
      </w:tr>
      <w:tr w14:paraId="76D3D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B16B6">
            <w:pPr>
              <w:pStyle w:val="12"/>
            </w:pPr>
            <w:r>
              <w:t>1</w:t>
            </w:r>
          </w:p>
        </w:tc>
        <w:tc>
          <w:tcPr>
            <w:tcW w:w="1191" w:type="dxa"/>
            <w:vAlign w:val="center"/>
          </w:tcPr>
          <w:p w14:paraId="3CA84569">
            <w:pPr>
              <w:pStyle w:val="17"/>
            </w:pPr>
          </w:p>
        </w:tc>
        <w:tc>
          <w:tcPr>
            <w:tcW w:w="4535" w:type="dxa"/>
            <w:vAlign w:val="center"/>
          </w:tcPr>
          <w:p w14:paraId="50F45F9A">
            <w:pPr>
              <w:pStyle w:val="15"/>
            </w:pPr>
            <w:r>
              <w:t>合计</w:t>
            </w:r>
          </w:p>
        </w:tc>
        <w:tc>
          <w:tcPr>
            <w:tcW w:w="2551" w:type="dxa"/>
            <w:vAlign w:val="center"/>
          </w:tcPr>
          <w:p w14:paraId="7D197EB5">
            <w:pPr>
              <w:pStyle w:val="16"/>
            </w:pPr>
            <w:r>
              <w:t>1037.82</w:t>
            </w:r>
          </w:p>
        </w:tc>
        <w:tc>
          <w:tcPr>
            <w:tcW w:w="2551" w:type="dxa"/>
            <w:vAlign w:val="center"/>
          </w:tcPr>
          <w:p w14:paraId="62850EB3">
            <w:pPr>
              <w:pStyle w:val="16"/>
            </w:pPr>
            <w:r>
              <w:t>825.09</w:t>
            </w:r>
          </w:p>
        </w:tc>
        <w:tc>
          <w:tcPr>
            <w:tcW w:w="2551" w:type="dxa"/>
            <w:vAlign w:val="center"/>
          </w:tcPr>
          <w:p w14:paraId="6E091FD3">
            <w:pPr>
              <w:pStyle w:val="16"/>
            </w:pPr>
            <w:r>
              <w:t>212.74</w:t>
            </w:r>
          </w:p>
        </w:tc>
      </w:tr>
      <w:tr w14:paraId="06A6D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FEEB7">
            <w:pPr>
              <w:pStyle w:val="12"/>
            </w:pPr>
            <w:r>
              <w:t>2</w:t>
            </w:r>
          </w:p>
        </w:tc>
        <w:tc>
          <w:tcPr>
            <w:tcW w:w="1191" w:type="dxa"/>
            <w:vAlign w:val="center"/>
          </w:tcPr>
          <w:p w14:paraId="4233500C">
            <w:pPr>
              <w:pStyle w:val="13"/>
            </w:pPr>
            <w:r>
              <w:t>205</w:t>
            </w:r>
          </w:p>
        </w:tc>
        <w:tc>
          <w:tcPr>
            <w:tcW w:w="4535" w:type="dxa"/>
            <w:vAlign w:val="center"/>
          </w:tcPr>
          <w:p w14:paraId="28B73E4C">
            <w:pPr>
              <w:pStyle w:val="13"/>
            </w:pPr>
            <w:r>
              <w:t>教育支出</w:t>
            </w:r>
          </w:p>
        </w:tc>
        <w:tc>
          <w:tcPr>
            <w:tcW w:w="2551" w:type="dxa"/>
            <w:vAlign w:val="center"/>
          </w:tcPr>
          <w:p w14:paraId="3E40826F">
            <w:pPr>
              <w:pStyle w:val="14"/>
            </w:pPr>
            <w:r>
              <w:t>1037.82</w:t>
            </w:r>
          </w:p>
        </w:tc>
        <w:tc>
          <w:tcPr>
            <w:tcW w:w="2551" w:type="dxa"/>
            <w:vAlign w:val="center"/>
          </w:tcPr>
          <w:p w14:paraId="00C53ED8">
            <w:pPr>
              <w:pStyle w:val="14"/>
            </w:pPr>
            <w:r>
              <w:t>825.09</w:t>
            </w:r>
          </w:p>
        </w:tc>
        <w:tc>
          <w:tcPr>
            <w:tcW w:w="2551" w:type="dxa"/>
            <w:vAlign w:val="center"/>
          </w:tcPr>
          <w:p w14:paraId="6309EC18">
            <w:pPr>
              <w:pStyle w:val="14"/>
            </w:pPr>
            <w:r>
              <w:t>212.74</w:t>
            </w:r>
          </w:p>
        </w:tc>
      </w:tr>
      <w:tr w14:paraId="2F1C3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6E9DE">
            <w:pPr>
              <w:pStyle w:val="12"/>
            </w:pPr>
            <w:r>
              <w:t>3</w:t>
            </w:r>
          </w:p>
        </w:tc>
        <w:tc>
          <w:tcPr>
            <w:tcW w:w="1191" w:type="dxa"/>
            <w:vAlign w:val="center"/>
          </w:tcPr>
          <w:p w14:paraId="671FE101">
            <w:pPr>
              <w:pStyle w:val="13"/>
            </w:pPr>
            <w:r>
              <w:t>20502</w:t>
            </w:r>
          </w:p>
        </w:tc>
        <w:tc>
          <w:tcPr>
            <w:tcW w:w="4535" w:type="dxa"/>
            <w:vAlign w:val="center"/>
          </w:tcPr>
          <w:p w14:paraId="508990BA">
            <w:pPr>
              <w:pStyle w:val="13"/>
            </w:pPr>
            <w:r>
              <w:t>普通教育</w:t>
            </w:r>
          </w:p>
        </w:tc>
        <w:tc>
          <w:tcPr>
            <w:tcW w:w="2551" w:type="dxa"/>
            <w:vAlign w:val="center"/>
          </w:tcPr>
          <w:p w14:paraId="0FA413D4">
            <w:pPr>
              <w:pStyle w:val="14"/>
            </w:pPr>
            <w:r>
              <w:t>1037.82</w:t>
            </w:r>
          </w:p>
        </w:tc>
        <w:tc>
          <w:tcPr>
            <w:tcW w:w="2551" w:type="dxa"/>
            <w:vAlign w:val="center"/>
          </w:tcPr>
          <w:p w14:paraId="20DD512D">
            <w:pPr>
              <w:pStyle w:val="14"/>
            </w:pPr>
            <w:r>
              <w:t>825.09</w:t>
            </w:r>
          </w:p>
        </w:tc>
        <w:tc>
          <w:tcPr>
            <w:tcW w:w="2551" w:type="dxa"/>
            <w:vAlign w:val="center"/>
          </w:tcPr>
          <w:p w14:paraId="5A2BF1BA">
            <w:pPr>
              <w:pStyle w:val="14"/>
            </w:pPr>
            <w:r>
              <w:t>212.74</w:t>
            </w:r>
          </w:p>
        </w:tc>
      </w:tr>
      <w:tr w14:paraId="7A860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9DEA2">
            <w:pPr>
              <w:pStyle w:val="12"/>
            </w:pPr>
            <w:r>
              <w:t>4</w:t>
            </w:r>
          </w:p>
        </w:tc>
        <w:tc>
          <w:tcPr>
            <w:tcW w:w="1191" w:type="dxa"/>
            <w:vAlign w:val="center"/>
          </w:tcPr>
          <w:p w14:paraId="6B6A8599">
            <w:pPr>
              <w:pStyle w:val="13"/>
            </w:pPr>
            <w:r>
              <w:t>2050203</w:t>
            </w:r>
          </w:p>
        </w:tc>
        <w:tc>
          <w:tcPr>
            <w:tcW w:w="4535" w:type="dxa"/>
            <w:vAlign w:val="center"/>
          </w:tcPr>
          <w:p w14:paraId="6EFB2530">
            <w:pPr>
              <w:pStyle w:val="13"/>
            </w:pPr>
            <w:r>
              <w:t>初中教育</w:t>
            </w:r>
          </w:p>
        </w:tc>
        <w:tc>
          <w:tcPr>
            <w:tcW w:w="2551" w:type="dxa"/>
            <w:vAlign w:val="center"/>
          </w:tcPr>
          <w:p w14:paraId="0BF847AB">
            <w:pPr>
              <w:pStyle w:val="14"/>
            </w:pPr>
            <w:r>
              <w:t>1037.82</w:t>
            </w:r>
          </w:p>
        </w:tc>
        <w:tc>
          <w:tcPr>
            <w:tcW w:w="2551" w:type="dxa"/>
            <w:vAlign w:val="center"/>
          </w:tcPr>
          <w:p w14:paraId="5ED03D5F">
            <w:pPr>
              <w:pStyle w:val="14"/>
            </w:pPr>
            <w:r>
              <w:t>825.09</w:t>
            </w:r>
          </w:p>
        </w:tc>
        <w:tc>
          <w:tcPr>
            <w:tcW w:w="2551" w:type="dxa"/>
            <w:vAlign w:val="center"/>
          </w:tcPr>
          <w:p w14:paraId="27EE547F">
            <w:pPr>
              <w:pStyle w:val="14"/>
            </w:pPr>
            <w:r>
              <w:t>212.74</w:t>
            </w:r>
          </w:p>
        </w:tc>
      </w:tr>
    </w:tbl>
    <w:p w14:paraId="5D01EFDF">
      <w:pPr>
        <w:sectPr>
          <w:pgSz w:w="16840" w:h="11900" w:orient="landscape"/>
          <w:pgMar w:top="1361" w:right="1020" w:bottom="1134" w:left="1020" w:header="720" w:footer="720" w:gutter="0"/>
          <w:cols w:space="720" w:num="1"/>
        </w:sectPr>
      </w:pPr>
    </w:p>
    <w:p w14:paraId="6C16EA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7BE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1BC170">
            <w:pPr>
              <w:pStyle w:val="8"/>
            </w:pPr>
            <w:r>
              <w:t>360007隆尧县魏家庄中学</w:t>
            </w:r>
          </w:p>
        </w:tc>
        <w:tc>
          <w:tcPr>
            <w:tcW w:w="2551" w:type="dxa"/>
            <w:tcBorders>
              <w:top w:val="single" w:color="FFFFFF" w:sz="6" w:space="0"/>
              <w:left w:val="single" w:color="FFFFFF" w:sz="6" w:space="0"/>
              <w:right w:val="single" w:color="FFFFFF" w:sz="6" w:space="0"/>
            </w:tcBorders>
            <w:vAlign w:val="center"/>
          </w:tcPr>
          <w:p w14:paraId="67EC318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2A312D7">
            <w:pPr>
              <w:pStyle w:val="10"/>
            </w:pPr>
            <w:r>
              <w:t>单位：万元</w:t>
            </w:r>
          </w:p>
        </w:tc>
      </w:tr>
      <w:tr w14:paraId="6EBD9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795E0">
            <w:pPr>
              <w:pStyle w:val="11"/>
            </w:pPr>
            <w:r>
              <w:t>序号</w:t>
            </w:r>
          </w:p>
        </w:tc>
        <w:tc>
          <w:tcPr>
            <w:tcW w:w="5726" w:type="dxa"/>
            <w:gridSpan w:val="2"/>
            <w:vAlign w:val="center"/>
          </w:tcPr>
          <w:p w14:paraId="4483393A">
            <w:pPr>
              <w:pStyle w:val="11"/>
            </w:pPr>
            <w:r>
              <w:t>支出部门经济分类科目</w:t>
            </w:r>
          </w:p>
        </w:tc>
        <w:tc>
          <w:tcPr>
            <w:tcW w:w="7653" w:type="dxa"/>
            <w:gridSpan w:val="3"/>
            <w:vAlign w:val="center"/>
          </w:tcPr>
          <w:p w14:paraId="5BCAF2E0">
            <w:pPr>
              <w:pStyle w:val="11"/>
            </w:pPr>
            <w:r>
              <w:t>一般公共预算基本支出</w:t>
            </w:r>
          </w:p>
        </w:tc>
      </w:tr>
      <w:tr w14:paraId="16A75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49EDA6"/>
        </w:tc>
        <w:tc>
          <w:tcPr>
            <w:tcW w:w="1191" w:type="dxa"/>
            <w:vAlign w:val="center"/>
          </w:tcPr>
          <w:p w14:paraId="4DE3C2A7">
            <w:pPr>
              <w:pStyle w:val="11"/>
            </w:pPr>
            <w:r>
              <w:t>科目编码</w:t>
            </w:r>
          </w:p>
        </w:tc>
        <w:tc>
          <w:tcPr>
            <w:tcW w:w="4535" w:type="dxa"/>
            <w:vAlign w:val="center"/>
          </w:tcPr>
          <w:p w14:paraId="61D0D8C2">
            <w:pPr>
              <w:pStyle w:val="11"/>
            </w:pPr>
            <w:r>
              <w:t>科目名称</w:t>
            </w:r>
          </w:p>
        </w:tc>
        <w:tc>
          <w:tcPr>
            <w:tcW w:w="2551" w:type="dxa"/>
            <w:vAlign w:val="center"/>
          </w:tcPr>
          <w:p w14:paraId="6364E028">
            <w:pPr>
              <w:pStyle w:val="11"/>
            </w:pPr>
            <w:r>
              <w:t>合计</w:t>
            </w:r>
          </w:p>
        </w:tc>
        <w:tc>
          <w:tcPr>
            <w:tcW w:w="2551" w:type="dxa"/>
            <w:vAlign w:val="center"/>
          </w:tcPr>
          <w:p w14:paraId="6D6508F1">
            <w:pPr>
              <w:pStyle w:val="11"/>
            </w:pPr>
            <w:r>
              <w:t>人员经费</w:t>
            </w:r>
          </w:p>
        </w:tc>
        <w:tc>
          <w:tcPr>
            <w:tcW w:w="2551" w:type="dxa"/>
            <w:vAlign w:val="center"/>
          </w:tcPr>
          <w:p w14:paraId="534C8885">
            <w:pPr>
              <w:pStyle w:val="11"/>
            </w:pPr>
            <w:r>
              <w:t>公用经费</w:t>
            </w:r>
          </w:p>
        </w:tc>
      </w:tr>
      <w:tr w14:paraId="6F583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0BD41">
            <w:pPr>
              <w:pStyle w:val="11"/>
            </w:pPr>
            <w:r>
              <w:t>栏次</w:t>
            </w:r>
          </w:p>
        </w:tc>
        <w:tc>
          <w:tcPr>
            <w:tcW w:w="1191" w:type="dxa"/>
            <w:vAlign w:val="center"/>
          </w:tcPr>
          <w:p w14:paraId="5E4C3599">
            <w:pPr>
              <w:pStyle w:val="11"/>
            </w:pPr>
            <w:r>
              <w:t>1</w:t>
            </w:r>
          </w:p>
        </w:tc>
        <w:tc>
          <w:tcPr>
            <w:tcW w:w="4535" w:type="dxa"/>
            <w:vAlign w:val="center"/>
          </w:tcPr>
          <w:p w14:paraId="4995C326">
            <w:pPr>
              <w:pStyle w:val="11"/>
            </w:pPr>
            <w:r>
              <w:t>2</w:t>
            </w:r>
          </w:p>
        </w:tc>
        <w:tc>
          <w:tcPr>
            <w:tcW w:w="2551" w:type="dxa"/>
            <w:vAlign w:val="center"/>
          </w:tcPr>
          <w:p w14:paraId="6FA92610">
            <w:pPr>
              <w:pStyle w:val="11"/>
            </w:pPr>
            <w:r>
              <w:t>3</w:t>
            </w:r>
          </w:p>
        </w:tc>
        <w:tc>
          <w:tcPr>
            <w:tcW w:w="2551" w:type="dxa"/>
            <w:vAlign w:val="center"/>
          </w:tcPr>
          <w:p w14:paraId="66CC36AA">
            <w:pPr>
              <w:pStyle w:val="11"/>
            </w:pPr>
            <w:r>
              <w:t>4</w:t>
            </w:r>
          </w:p>
        </w:tc>
        <w:tc>
          <w:tcPr>
            <w:tcW w:w="2551" w:type="dxa"/>
            <w:vAlign w:val="center"/>
          </w:tcPr>
          <w:p w14:paraId="7ADA2772">
            <w:pPr>
              <w:pStyle w:val="11"/>
            </w:pPr>
            <w:r>
              <w:t>5</w:t>
            </w:r>
          </w:p>
        </w:tc>
      </w:tr>
      <w:tr w14:paraId="4122E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14F7E">
            <w:pPr>
              <w:pStyle w:val="12"/>
            </w:pPr>
            <w:r>
              <w:t>1</w:t>
            </w:r>
          </w:p>
        </w:tc>
        <w:tc>
          <w:tcPr>
            <w:tcW w:w="1191" w:type="dxa"/>
            <w:vAlign w:val="center"/>
          </w:tcPr>
          <w:p w14:paraId="217615FF">
            <w:pPr>
              <w:pStyle w:val="17"/>
            </w:pPr>
          </w:p>
        </w:tc>
        <w:tc>
          <w:tcPr>
            <w:tcW w:w="4535" w:type="dxa"/>
            <w:vAlign w:val="center"/>
          </w:tcPr>
          <w:p w14:paraId="37F85489">
            <w:pPr>
              <w:pStyle w:val="15"/>
            </w:pPr>
            <w:r>
              <w:t>合计</w:t>
            </w:r>
          </w:p>
        </w:tc>
        <w:tc>
          <w:tcPr>
            <w:tcW w:w="2551" w:type="dxa"/>
            <w:vAlign w:val="center"/>
          </w:tcPr>
          <w:p w14:paraId="31D59F4F">
            <w:pPr>
              <w:pStyle w:val="16"/>
            </w:pPr>
            <w:r>
              <w:t>825.09</w:t>
            </w:r>
          </w:p>
        </w:tc>
        <w:tc>
          <w:tcPr>
            <w:tcW w:w="2551" w:type="dxa"/>
            <w:vAlign w:val="center"/>
          </w:tcPr>
          <w:p w14:paraId="0771589E">
            <w:pPr>
              <w:pStyle w:val="16"/>
            </w:pPr>
            <w:r>
              <w:t>825.09</w:t>
            </w:r>
          </w:p>
        </w:tc>
        <w:tc>
          <w:tcPr>
            <w:tcW w:w="2551" w:type="dxa"/>
            <w:vAlign w:val="center"/>
          </w:tcPr>
          <w:p w14:paraId="69FF086C">
            <w:pPr>
              <w:pStyle w:val="16"/>
            </w:pPr>
          </w:p>
        </w:tc>
      </w:tr>
      <w:tr w14:paraId="23FE3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021FC">
            <w:pPr>
              <w:pStyle w:val="12"/>
            </w:pPr>
            <w:r>
              <w:t>2</w:t>
            </w:r>
          </w:p>
        </w:tc>
        <w:tc>
          <w:tcPr>
            <w:tcW w:w="1191" w:type="dxa"/>
            <w:vAlign w:val="center"/>
          </w:tcPr>
          <w:p w14:paraId="0DA104F7">
            <w:pPr>
              <w:pStyle w:val="13"/>
            </w:pPr>
            <w:r>
              <w:t>301</w:t>
            </w:r>
          </w:p>
        </w:tc>
        <w:tc>
          <w:tcPr>
            <w:tcW w:w="4535" w:type="dxa"/>
            <w:vAlign w:val="center"/>
          </w:tcPr>
          <w:p w14:paraId="24433A20">
            <w:pPr>
              <w:pStyle w:val="13"/>
            </w:pPr>
            <w:r>
              <w:t>工资福利支出</w:t>
            </w:r>
          </w:p>
        </w:tc>
        <w:tc>
          <w:tcPr>
            <w:tcW w:w="2551" w:type="dxa"/>
            <w:vAlign w:val="center"/>
          </w:tcPr>
          <w:p w14:paraId="256D4753">
            <w:pPr>
              <w:pStyle w:val="14"/>
            </w:pPr>
            <w:r>
              <w:t>801.18</w:t>
            </w:r>
          </w:p>
        </w:tc>
        <w:tc>
          <w:tcPr>
            <w:tcW w:w="2551" w:type="dxa"/>
            <w:vAlign w:val="center"/>
          </w:tcPr>
          <w:p w14:paraId="1589FFBD">
            <w:pPr>
              <w:pStyle w:val="14"/>
            </w:pPr>
            <w:r>
              <w:t>801.18</w:t>
            </w:r>
          </w:p>
        </w:tc>
        <w:tc>
          <w:tcPr>
            <w:tcW w:w="2551" w:type="dxa"/>
            <w:vAlign w:val="center"/>
          </w:tcPr>
          <w:p w14:paraId="4CE4A5B3">
            <w:pPr>
              <w:pStyle w:val="14"/>
            </w:pPr>
          </w:p>
        </w:tc>
      </w:tr>
      <w:tr w14:paraId="34AC1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E90A7">
            <w:pPr>
              <w:pStyle w:val="12"/>
            </w:pPr>
            <w:r>
              <w:t>3</w:t>
            </w:r>
          </w:p>
        </w:tc>
        <w:tc>
          <w:tcPr>
            <w:tcW w:w="1191" w:type="dxa"/>
            <w:vAlign w:val="center"/>
          </w:tcPr>
          <w:p w14:paraId="28642356">
            <w:pPr>
              <w:pStyle w:val="13"/>
            </w:pPr>
            <w:r>
              <w:t>30101</w:t>
            </w:r>
          </w:p>
        </w:tc>
        <w:tc>
          <w:tcPr>
            <w:tcW w:w="4535" w:type="dxa"/>
            <w:vAlign w:val="center"/>
          </w:tcPr>
          <w:p w14:paraId="589DBEA3">
            <w:pPr>
              <w:pStyle w:val="13"/>
            </w:pPr>
            <w:r>
              <w:t>基本工资</w:t>
            </w:r>
          </w:p>
        </w:tc>
        <w:tc>
          <w:tcPr>
            <w:tcW w:w="2551" w:type="dxa"/>
            <w:vAlign w:val="center"/>
          </w:tcPr>
          <w:p w14:paraId="1716FE98">
            <w:pPr>
              <w:pStyle w:val="14"/>
            </w:pPr>
            <w:r>
              <w:t>416.45</w:t>
            </w:r>
          </w:p>
        </w:tc>
        <w:tc>
          <w:tcPr>
            <w:tcW w:w="2551" w:type="dxa"/>
            <w:vAlign w:val="center"/>
          </w:tcPr>
          <w:p w14:paraId="0038CE77">
            <w:pPr>
              <w:pStyle w:val="14"/>
            </w:pPr>
            <w:r>
              <w:t>416.45</w:t>
            </w:r>
          </w:p>
        </w:tc>
        <w:tc>
          <w:tcPr>
            <w:tcW w:w="2551" w:type="dxa"/>
            <w:vAlign w:val="center"/>
          </w:tcPr>
          <w:p w14:paraId="45987C8C">
            <w:pPr>
              <w:pStyle w:val="14"/>
            </w:pPr>
          </w:p>
        </w:tc>
      </w:tr>
      <w:tr w14:paraId="1A549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D0C2D">
            <w:pPr>
              <w:pStyle w:val="12"/>
            </w:pPr>
            <w:r>
              <w:t>4</w:t>
            </w:r>
          </w:p>
        </w:tc>
        <w:tc>
          <w:tcPr>
            <w:tcW w:w="1191" w:type="dxa"/>
            <w:vAlign w:val="center"/>
          </w:tcPr>
          <w:p w14:paraId="237BE680">
            <w:pPr>
              <w:pStyle w:val="13"/>
            </w:pPr>
            <w:r>
              <w:t>30102</w:t>
            </w:r>
          </w:p>
        </w:tc>
        <w:tc>
          <w:tcPr>
            <w:tcW w:w="4535" w:type="dxa"/>
            <w:vAlign w:val="center"/>
          </w:tcPr>
          <w:p w14:paraId="39CA57B9">
            <w:pPr>
              <w:pStyle w:val="13"/>
            </w:pPr>
            <w:r>
              <w:t>津贴补贴</w:t>
            </w:r>
          </w:p>
        </w:tc>
        <w:tc>
          <w:tcPr>
            <w:tcW w:w="2551" w:type="dxa"/>
            <w:vAlign w:val="center"/>
          </w:tcPr>
          <w:p w14:paraId="62937B71">
            <w:pPr>
              <w:pStyle w:val="14"/>
            </w:pPr>
            <w:r>
              <w:t>35.07</w:t>
            </w:r>
          </w:p>
        </w:tc>
        <w:tc>
          <w:tcPr>
            <w:tcW w:w="2551" w:type="dxa"/>
            <w:vAlign w:val="center"/>
          </w:tcPr>
          <w:p w14:paraId="70727562">
            <w:pPr>
              <w:pStyle w:val="14"/>
            </w:pPr>
            <w:r>
              <w:t>35.07</w:t>
            </w:r>
          </w:p>
        </w:tc>
        <w:tc>
          <w:tcPr>
            <w:tcW w:w="2551" w:type="dxa"/>
            <w:vAlign w:val="center"/>
          </w:tcPr>
          <w:p w14:paraId="26DE3180">
            <w:pPr>
              <w:pStyle w:val="14"/>
            </w:pPr>
          </w:p>
        </w:tc>
      </w:tr>
      <w:tr w14:paraId="61A13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0D3B5">
            <w:pPr>
              <w:pStyle w:val="12"/>
            </w:pPr>
            <w:r>
              <w:t>5</w:t>
            </w:r>
          </w:p>
        </w:tc>
        <w:tc>
          <w:tcPr>
            <w:tcW w:w="1191" w:type="dxa"/>
            <w:vAlign w:val="center"/>
          </w:tcPr>
          <w:p w14:paraId="61326BE9">
            <w:pPr>
              <w:pStyle w:val="13"/>
            </w:pPr>
            <w:r>
              <w:t>30107</w:t>
            </w:r>
          </w:p>
        </w:tc>
        <w:tc>
          <w:tcPr>
            <w:tcW w:w="4535" w:type="dxa"/>
            <w:vAlign w:val="center"/>
          </w:tcPr>
          <w:p w14:paraId="406DEA06">
            <w:pPr>
              <w:pStyle w:val="13"/>
            </w:pPr>
            <w:r>
              <w:t>绩效工资</w:t>
            </w:r>
          </w:p>
        </w:tc>
        <w:tc>
          <w:tcPr>
            <w:tcW w:w="2551" w:type="dxa"/>
            <w:vAlign w:val="center"/>
          </w:tcPr>
          <w:p w14:paraId="6C9947FC">
            <w:pPr>
              <w:pStyle w:val="14"/>
            </w:pPr>
            <w:r>
              <w:t>195.28</w:t>
            </w:r>
          </w:p>
        </w:tc>
        <w:tc>
          <w:tcPr>
            <w:tcW w:w="2551" w:type="dxa"/>
            <w:vAlign w:val="center"/>
          </w:tcPr>
          <w:p w14:paraId="1831C41B">
            <w:pPr>
              <w:pStyle w:val="14"/>
            </w:pPr>
            <w:r>
              <w:t>195.28</w:t>
            </w:r>
          </w:p>
        </w:tc>
        <w:tc>
          <w:tcPr>
            <w:tcW w:w="2551" w:type="dxa"/>
            <w:vAlign w:val="center"/>
          </w:tcPr>
          <w:p w14:paraId="23699BCA">
            <w:pPr>
              <w:pStyle w:val="14"/>
            </w:pPr>
          </w:p>
        </w:tc>
      </w:tr>
      <w:tr w14:paraId="3447D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DD19CA4">
            <w:pPr>
              <w:pStyle w:val="12"/>
            </w:pPr>
            <w:r>
              <w:t>6</w:t>
            </w:r>
          </w:p>
        </w:tc>
        <w:tc>
          <w:tcPr>
            <w:tcW w:w="1191" w:type="dxa"/>
            <w:vAlign w:val="center"/>
          </w:tcPr>
          <w:p w14:paraId="2DBE5CF9">
            <w:pPr>
              <w:pStyle w:val="13"/>
            </w:pPr>
            <w:r>
              <w:t>30108</w:t>
            </w:r>
          </w:p>
        </w:tc>
        <w:tc>
          <w:tcPr>
            <w:tcW w:w="4535" w:type="dxa"/>
            <w:vAlign w:val="center"/>
          </w:tcPr>
          <w:p w14:paraId="5CE4D625">
            <w:pPr>
              <w:pStyle w:val="13"/>
            </w:pPr>
            <w:r>
              <w:t>机关事业单位基本养老保险缴费</w:t>
            </w:r>
          </w:p>
        </w:tc>
        <w:tc>
          <w:tcPr>
            <w:tcW w:w="2551" w:type="dxa"/>
            <w:vAlign w:val="center"/>
          </w:tcPr>
          <w:p w14:paraId="3FB43346">
            <w:pPr>
              <w:pStyle w:val="14"/>
            </w:pPr>
            <w:r>
              <w:t>83.38</w:t>
            </w:r>
          </w:p>
        </w:tc>
        <w:tc>
          <w:tcPr>
            <w:tcW w:w="2551" w:type="dxa"/>
            <w:vAlign w:val="center"/>
          </w:tcPr>
          <w:p w14:paraId="53076D7E">
            <w:pPr>
              <w:pStyle w:val="14"/>
            </w:pPr>
            <w:r>
              <w:t>83.38</w:t>
            </w:r>
          </w:p>
        </w:tc>
        <w:tc>
          <w:tcPr>
            <w:tcW w:w="2551" w:type="dxa"/>
            <w:vAlign w:val="center"/>
          </w:tcPr>
          <w:p w14:paraId="187A1EF2">
            <w:pPr>
              <w:pStyle w:val="14"/>
            </w:pPr>
          </w:p>
        </w:tc>
      </w:tr>
      <w:tr w14:paraId="02A28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82734">
            <w:pPr>
              <w:pStyle w:val="12"/>
            </w:pPr>
            <w:r>
              <w:t>7</w:t>
            </w:r>
          </w:p>
        </w:tc>
        <w:tc>
          <w:tcPr>
            <w:tcW w:w="1191" w:type="dxa"/>
            <w:vAlign w:val="center"/>
          </w:tcPr>
          <w:p w14:paraId="48236F0E">
            <w:pPr>
              <w:pStyle w:val="13"/>
            </w:pPr>
            <w:r>
              <w:t>30110</w:t>
            </w:r>
          </w:p>
        </w:tc>
        <w:tc>
          <w:tcPr>
            <w:tcW w:w="4535" w:type="dxa"/>
            <w:vAlign w:val="center"/>
          </w:tcPr>
          <w:p w14:paraId="62DA070C">
            <w:pPr>
              <w:pStyle w:val="13"/>
            </w:pPr>
            <w:r>
              <w:t>职工基本医疗保险缴费</w:t>
            </w:r>
          </w:p>
        </w:tc>
        <w:tc>
          <w:tcPr>
            <w:tcW w:w="2551" w:type="dxa"/>
            <w:vAlign w:val="center"/>
          </w:tcPr>
          <w:p w14:paraId="7E0F6D7C">
            <w:pPr>
              <w:pStyle w:val="14"/>
            </w:pPr>
            <w:r>
              <w:t>37.80</w:t>
            </w:r>
          </w:p>
        </w:tc>
        <w:tc>
          <w:tcPr>
            <w:tcW w:w="2551" w:type="dxa"/>
            <w:vAlign w:val="center"/>
          </w:tcPr>
          <w:p w14:paraId="47BB605F">
            <w:pPr>
              <w:pStyle w:val="14"/>
            </w:pPr>
            <w:r>
              <w:t>37.80</w:t>
            </w:r>
          </w:p>
        </w:tc>
        <w:tc>
          <w:tcPr>
            <w:tcW w:w="2551" w:type="dxa"/>
            <w:vAlign w:val="center"/>
          </w:tcPr>
          <w:p w14:paraId="1D52EB7E">
            <w:pPr>
              <w:pStyle w:val="14"/>
            </w:pPr>
          </w:p>
        </w:tc>
      </w:tr>
      <w:tr w14:paraId="369AE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56F3C">
            <w:pPr>
              <w:pStyle w:val="12"/>
            </w:pPr>
            <w:r>
              <w:t>8</w:t>
            </w:r>
          </w:p>
        </w:tc>
        <w:tc>
          <w:tcPr>
            <w:tcW w:w="1191" w:type="dxa"/>
            <w:vAlign w:val="center"/>
          </w:tcPr>
          <w:p w14:paraId="461ADFEF">
            <w:pPr>
              <w:pStyle w:val="13"/>
            </w:pPr>
            <w:r>
              <w:t>30112</w:t>
            </w:r>
          </w:p>
        </w:tc>
        <w:tc>
          <w:tcPr>
            <w:tcW w:w="4535" w:type="dxa"/>
            <w:vAlign w:val="center"/>
          </w:tcPr>
          <w:p w14:paraId="15E49E09">
            <w:pPr>
              <w:pStyle w:val="13"/>
            </w:pPr>
            <w:r>
              <w:t>其他社会保障缴费</w:t>
            </w:r>
          </w:p>
        </w:tc>
        <w:tc>
          <w:tcPr>
            <w:tcW w:w="2551" w:type="dxa"/>
            <w:vAlign w:val="center"/>
          </w:tcPr>
          <w:p w14:paraId="01D3106A">
            <w:pPr>
              <w:pStyle w:val="14"/>
            </w:pPr>
            <w:r>
              <w:t>2.34</w:t>
            </w:r>
          </w:p>
        </w:tc>
        <w:tc>
          <w:tcPr>
            <w:tcW w:w="2551" w:type="dxa"/>
            <w:vAlign w:val="center"/>
          </w:tcPr>
          <w:p w14:paraId="2E7178C4">
            <w:pPr>
              <w:pStyle w:val="14"/>
            </w:pPr>
            <w:r>
              <w:t>2.34</w:t>
            </w:r>
          </w:p>
        </w:tc>
        <w:tc>
          <w:tcPr>
            <w:tcW w:w="2551" w:type="dxa"/>
            <w:vAlign w:val="center"/>
          </w:tcPr>
          <w:p w14:paraId="51AAD82B">
            <w:pPr>
              <w:pStyle w:val="14"/>
            </w:pPr>
          </w:p>
        </w:tc>
      </w:tr>
      <w:tr w14:paraId="0E003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231F3">
            <w:pPr>
              <w:pStyle w:val="12"/>
            </w:pPr>
            <w:r>
              <w:t>9</w:t>
            </w:r>
          </w:p>
        </w:tc>
        <w:tc>
          <w:tcPr>
            <w:tcW w:w="1191" w:type="dxa"/>
            <w:vAlign w:val="center"/>
          </w:tcPr>
          <w:p w14:paraId="20D86BAD">
            <w:pPr>
              <w:pStyle w:val="13"/>
            </w:pPr>
            <w:r>
              <w:t>30113</w:t>
            </w:r>
          </w:p>
        </w:tc>
        <w:tc>
          <w:tcPr>
            <w:tcW w:w="4535" w:type="dxa"/>
            <w:vAlign w:val="center"/>
          </w:tcPr>
          <w:p w14:paraId="29B2624F">
            <w:pPr>
              <w:pStyle w:val="13"/>
            </w:pPr>
            <w:r>
              <w:t>住房公积金</w:t>
            </w:r>
          </w:p>
        </w:tc>
        <w:tc>
          <w:tcPr>
            <w:tcW w:w="2551" w:type="dxa"/>
            <w:vAlign w:val="center"/>
          </w:tcPr>
          <w:p w14:paraId="1C36067C">
            <w:pPr>
              <w:pStyle w:val="14"/>
            </w:pPr>
            <w:r>
              <w:t>30.86</w:t>
            </w:r>
          </w:p>
        </w:tc>
        <w:tc>
          <w:tcPr>
            <w:tcW w:w="2551" w:type="dxa"/>
            <w:vAlign w:val="center"/>
          </w:tcPr>
          <w:p w14:paraId="49331EBB">
            <w:pPr>
              <w:pStyle w:val="14"/>
            </w:pPr>
            <w:r>
              <w:t>30.86</w:t>
            </w:r>
          </w:p>
        </w:tc>
        <w:tc>
          <w:tcPr>
            <w:tcW w:w="2551" w:type="dxa"/>
            <w:vAlign w:val="center"/>
          </w:tcPr>
          <w:p w14:paraId="66BF39C0">
            <w:pPr>
              <w:pStyle w:val="14"/>
            </w:pPr>
          </w:p>
        </w:tc>
      </w:tr>
      <w:tr w14:paraId="1FFFE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483A9">
            <w:pPr>
              <w:pStyle w:val="12"/>
            </w:pPr>
            <w:r>
              <w:t>10</w:t>
            </w:r>
          </w:p>
        </w:tc>
        <w:tc>
          <w:tcPr>
            <w:tcW w:w="1191" w:type="dxa"/>
            <w:vAlign w:val="center"/>
          </w:tcPr>
          <w:p w14:paraId="1AC587A5">
            <w:pPr>
              <w:pStyle w:val="13"/>
            </w:pPr>
            <w:r>
              <w:t>303</w:t>
            </w:r>
          </w:p>
        </w:tc>
        <w:tc>
          <w:tcPr>
            <w:tcW w:w="4535" w:type="dxa"/>
            <w:vAlign w:val="center"/>
          </w:tcPr>
          <w:p w14:paraId="301BFBF4">
            <w:pPr>
              <w:pStyle w:val="13"/>
            </w:pPr>
            <w:r>
              <w:t>对个人和家庭的补助</w:t>
            </w:r>
          </w:p>
        </w:tc>
        <w:tc>
          <w:tcPr>
            <w:tcW w:w="2551" w:type="dxa"/>
            <w:vAlign w:val="center"/>
          </w:tcPr>
          <w:p w14:paraId="6162B4CD">
            <w:pPr>
              <w:pStyle w:val="14"/>
            </w:pPr>
            <w:r>
              <w:t>23.91</w:t>
            </w:r>
          </w:p>
        </w:tc>
        <w:tc>
          <w:tcPr>
            <w:tcW w:w="2551" w:type="dxa"/>
            <w:vAlign w:val="center"/>
          </w:tcPr>
          <w:p w14:paraId="692B7FB8">
            <w:pPr>
              <w:pStyle w:val="14"/>
            </w:pPr>
            <w:r>
              <w:t>23.91</w:t>
            </w:r>
          </w:p>
        </w:tc>
        <w:tc>
          <w:tcPr>
            <w:tcW w:w="2551" w:type="dxa"/>
            <w:vAlign w:val="center"/>
          </w:tcPr>
          <w:p w14:paraId="6CF2AF86">
            <w:pPr>
              <w:pStyle w:val="14"/>
            </w:pPr>
          </w:p>
        </w:tc>
      </w:tr>
      <w:tr w14:paraId="7910D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17F0C">
            <w:pPr>
              <w:pStyle w:val="12"/>
            </w:pPr>
            <w:r>
              <w:t>11</w:t>
            </w:r>
          </w:p>
        </w:tc>
        <w:tc>
          <w:tcPr>
            <w:tcW w:w="1191" w:type="dxa"/>
            <w:vAlign w:val="center"/>
          </w:tcPr>
          <w:p w14:paraId="02F2ABCF">
            <w:pPr>
              <w:pStyle w:val="13"/>
            </w:pPr>
            <w:r>
              <w:t>30302</w:t>
            </w:r>
          </w:p>
        </w:tc>
        <w:tc>
          <w:tcPr>
            <w:tcW w:w="4535" w:type="dxa"/>
            <w:vAlign w:val="center"/>
          </w:tcPr>
          <w:p w14:paraId="20E5F649">
            <w:pPr>
              <w:pStyle w:val="13"/>
            </w:pPr>
            <w:r>
              <w:t>退休费</w:t>
            </w:r>
          </w:p>
        </w:tc>
        <w:tc>
          <w:tcPr>
            <w:tcW w:w="2551" w:type="dxa"/>
            <w:vAlign w:val="center"/>
          </w:tcPr>
          <w:p w14:paraId="2980E283">
            <w:pPr>
              <w:pStyle w:val="14"/>
            </w:pPr>
            <w:r>
              <w:t>23.91</w:t>
            </w:r>
          </w:p>
        </w:tc>
        <w:tc>
          <w:tcPr>
            <w:tcW w:w="2551" w:type="dxa"/>
            <w:vAlign w:val="center"/>
          </w:tcPr>
          <w:p w14:paraId="090A7D2F">
            <w:pPr>
              <w:pStyle w:val="14"/>
            </w:pPr>
            <w:r>
              <w:t>23.91</w:t>
            </w:r>
          </w:p>
        </w:tc>
        <w:tc>
          <w:tcPr>
            <w:tcW w:w="2551" w:type="dxa"/>
            <w:vAlign w:val="center"/>
          </w:tcPr>
          <w:p w14:paraId="00A3885B">
            <w:pPr>
              <w:pStyle w:val="14"/>
            </w:pPr>
          </w:p>
        </w:tc>
      </w:tr>
    </w:tbl>
    <w:p w14:paraId="3FB9B5B6">
      <w:pPr>
        <w:sectPr>
          <w:pgSz w:w="16840" w:h="11900" w:orient="landscape"/>
          <w:pgMar w:top="1361" w:right="1020" w:bottom="1134" w:left="1020" w:header="720" w:footer="720" w:gutter="0"/>
          <w:cols w:space="720" w:num="1"/>
        </w:sectPr>
      </w:pPr>
    </w:p>
    <w:p w14:paraId="210B8D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98D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8C4E84">
            <w:pPr>
              <w:pStyle w:val="8"/>
            </w:pPr>
            <w:r>
              <w:t>360007隆尧县魏家庄中学</w:t>
            </w:r>
          </w:p>
        </w:tc>
        <w:tc>
          <w:tcPr>
            <w:tcW w:w="2551" w:type="dxa"/>
            <w:tcBorders>
              <w:top w:val="single" w:color="FFFFFF" w:sz="6" w:space="0"/>
              <w:left w:val="single" w:color="FFFFFF" w:sz="6" w:space="0"/>
              <w:right w:val="single" w:color="FFFFFF" w:sz="6" w:space="0"/>
            </w:tcBorders>
            <w:vAlign w:val="center"/>
          </w:tcPr>
          <w:p w14:paraId="514DBE1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D1B1705">
            <w:pPr>
              <w:pStyle w:val="10"/>
            </w:pPr>
            <w:r>
              <w:t>单位：万元</w:t>
            </w:r>
          </w:p>
        </w:tc>
      </w:tr>
      <w:tr w14:paraId="679C3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3FC06A">
            <w:pPr>
              <w:pStyle w:val="11"/>
            </w:pPr>
            <w:r>
              <w:t>序号</w:t>
            </w:r>
          </w:p>
        </w:tc>
        <w:tc>
          <w:tcPr>
            <w:tcW w:w="5726" w:type="dxa"/>
            <w:gridSpan w:val="2"/>
            <w:vAlign w:val="center"/>
          </w:tcPr>
          <w:p w14:paraId="432BBBA0">
            <w:pPr>
              <w:pStyle w:val="11"/>
            </w:pPr>
            <w:r>
              <w:t>功能分类科目</w:t>
            </w:r>
          </w:p>
        </w:tc>
        <w:tc>
          <w:tcPr>
            <w:tcW w:w="2551" w:type="dxa"/>
            <w:vMerge w:val="restart"/>
            <w:vAlign w:val="center"/>
          </w:tcPr>
          <w:p w14:paraId="53205A54">
            <w:pPr>
              <w:pStyle w:val="11"/>
            </w:pPr>
            <w:r>
              <w:t>合计</w:t>
            </w:r>
          </w:p>
        </w:tc>
        <w:tc>
          <w:tcPr>
            <w:tcW w:w="2551" w:type="dxa"/>
            <w:vMerge w:val="restart"/>
            <w:vAlign w:val="center"/>
          </w:tcPr>
          <w:p w14:paraId="25C6EBCE">
            <w:pPr>
              <w:pStyle w:val="11"/>
            </w:pPr>
            <w:r>
              <w:t>基本支出</w:t>
            </w:r>
          </w:p>
        </w:tc>
        <w:tc>
          <w:tcPr>
            <w:tcW w:w="2551" w:type="dxa"/>
            <w:vMerge w:val="restart"/>
            <w:vAlign w:val="center"/>
          </w:tcPr>
          <w:p w14:paraId="7A2C0562">
            <w:pPr>
              <w:pStyle w:val="11"/>
            </w:pPr>
            <w:r>
              <w:t>项目支出</w:t>
            </w:r>
          </w:p>
        </w:tc>
      </w:tr>
      <w:tr w14:paraId="1FCA3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1A0CDE"/>
        </w:tc>
        <w:tc>
          <w:tcPr>
            <w:tcW w:w="1191" w:type="dxa"/>
            <w:vAlign w:val="center"/>
          </w:tcPr>
          <w:p w14:paraId="3F1166FC">
            <w:pPr>
              <w:pStyle w:val="11"/>
            </w:pPr>
            <w:r>
              <w:t>科目编码</w:t>
            </w:r>
          </w:p>
        </w:tc>
        <w:tc>
          <w:tcPr>
            <w:tcW w:w="4535" w:type="dxa"/>
            <w:vAlign w:val="center"/>
          </w:tcPr>
          <w:p w14:paraId="01EF0F07">
            <w:pPr>
              <w:pStyle w:val="11"/>
            </w:pPr>
            <w:r>
              <w:t>科目名称</w:t>
            </w:r>
          </w:p>
        </w:tc>
        <w:tc>
          <w:tcPr>
            <w:tcW w:w="2551" w:type="dxa"/>
            <w:vMerge w:val="continue"/>
          </w:tcPr>
          <w:p w14:paraId="78BE1F7C"/>
        </w:tc>
        <w:tc>
          <w:tcPr>
            <w:tcW w:w="2551" w:type="dxa"/>
            <w:vMerge w:val="continue"/>
          </w:tcPr>
          <w:p w14:paraId="6028116F"/>
        </w:tc>
        <w:tc>
          <w:tcPr>
            <w:tcW w:w="2551" w:type="dxa"/>
            <w:vMerge w:val="continue"/>
          </w:tcPr>
          <w:p w14:paraId="2307387A"/>
        </w:tc>
      </w:tr>
      <w:tr w14:paraId="180DB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5D28D5">
            <w:pPr>
              <w:pStyle w:val="11"/>
            </w:pPr>
            <w:r>
              <w:t>栏次</w:t>
            </w:r>
          </w:p>
        </w:tc>
        <w:tc>
          <w:tcPr>
            <w:tcW w:w="1191" w:type="dxa"/>
            <w:vAlign w:val="center"/>
          </w:tcPr>
          <w:p w14:paraId="6B90AB5E">
            <w:pPr>
              <w:pStyle w:val="11"/>
            </w:pPr>
            <w:r>
              <w:t>1</w:t>
            </w:r>
          </w:p>
        </w:tc>
        <w:tc>
          <w:tcPr>
            <w:tcW w:w="4535" w:type="dxa"/>
            <w:vAlign w:val="center"/>
          </w:tcPr>
          <w:p w14:paraId="46C88ECF">
            <w:pPr>
              <w:pStyle w:val="11"/>
            </w:pPr>
            <w:r>
              <w:t>2</w:t>
            </w:r>
          </w:p>
        </w:tc>
        <w:tc>
          <w:tcPr>
            <w:tcW w:w="2551" w:type="dxa"/>
            <w:vAlign w:val="center"/>
          </w:tcPr>
          <w:p w14:paraId="3732ECEE">
            <w:pPr>
              <w:pStyle w:val="11"/>
            </w:pPr>
            <w:r>
              <w:t>3</w:t>
            </w:r>
          </w:p>
        </w:tc>
        <w:tc>
          <w:tcPr>
            <w:tcW w:w="2551" w:type="dxa"/>
            <w:vAlign w:val="center"/>
          </w:tcPr>
          <w:p w14:paraId="0D379B9A">
            <w:pPr>
              <w:pStyle w:val="11"/>
            </w:pPr>
            <w:r>
              <w:t>4</w:t>
            </w:r>
          </w:p>
        </w:tc>
        <w:tc>
          <w:tcPr>
            <w:tcW w:w="2551" w:type="dxa"/>
            <w:vAlign w:val="center"/>
          </w:tcPr>
          <w:p w14:paraId="4FBDE1BF">
            <w:pPr>
              <w:pStyle w:val="11"/>
            </w:pPr>
            <w:r>
              <w:t>5</w:t>
            </w:r>
          </w:p>
        </w:tc>
      </w:tr>
      <w:tr w14:paraId="20A07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53AAF">
            <w:pPr>
              <w:pStyle w:val="12"/>
            </w:pPr>
          </w:p>
        </w:tc>
        <w:tc>
          <w:tcPr>
            <w:tcW w:w="1191" w:type="dxa"/>
            <w:vAlign w:val="center"/>
          </w:tcPr>
          <w:p w14:paraId="000232D0">
            <w:pPr>
              <w:pStyle w:val="13"/>
            </w:pPr>
          </w:p>
        </w:tc>
        <w:tc>
          <w:tcPr>
            <w:tcW w:w="4535" w:type="dxa"/>
            <w:vAlign w:val="center"/>
          </w:tcPr>
          <w:p w14:paraId="7B0843E2">
            <w:pPr>
              <w:pStyle w:val="13"/>
            </w:pPr>
          </w:p>
        </w:tc>
        <w:tc>
          <w:tcPr>
            <w:tcW w:w="2551" w:type="dxa"/>
            <w:vAlign w:val="center"/>
          </w:tcPr>
          <w:p w14:paraId="60F2DFA5">
            <w:pPr>
              <w:pStyle w:val="14"/>
            </w:pPr>
          </w:p>
        </w:tc>
        <w:tc>
          <w:tcPr>
            <w:tcW w:w="2551" w:type="dxa"/>
            <w:vAlign w:val="center"/>
          </w:tcPr>
          <w:p w14:paraId="4435AC6C">
            <w:pPr>
              <w:pStyle w:val="14"/>
            </w:pPr>
          </w:p>
        </w:tc>
        <w:tc>
          <w:tcPr>
            <w:tcW w:w="2551" w:type="dxa"/>
            <w:vAlign w:val="center"/>
          </w:tcPr>
          <w:p w14:paraId="544789FC">
            <w:pPr>
              <w:pStyle w:val="14"/>
            </w:pPr>
          </w:p>
        </w:tc>
      </w:tr>
    </w:tbl>
    <w:p w14:paraId="3BDAC7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3EA7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84B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D0C238">
            <w:pPr>
              <w:pStyle w:val="8"/>
            </w:pPr>
            <w:r>
              <w:t>360007隆尧县魏家庄中学</w:t>
            </w:r>
          </w:p>
        </w:tc>
        <w:tc>
          <w:tcPr>
            <w:tcW w:w="2551" w:type="dxa"/>
            <w:tcBorders>
              <w:top w:val="single" w:color="FFFFFF" w:sz="6" w:space="0"/>
              <w:left w:val="single" w:color="FFFFFF" w:sz="6" w:space="0"/>
              <w:right w:val="single" w:color="FFFFFF" w:sz="6" w:space="0"/>
            </w:tcBorders>
            <w:vAlign w:val="center"/>
          </w:tcPr>
          <w:p w14:paraId="2515372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C55DF13">
            <w:pPr>
              <w:pStyle w:val="10"/>
            </w:pPr>
            <w:r>
              <w:t>单位：万元</w:t>
            </w:r>
          </w:p>
        </w:tc>
      </w:tr>
      <w:tr w14:paraId="7050F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754C3">
            <w:pPr>
              <w:pStyle w:val="11"/>
            </w:pPr>
            <w:r>
              <w:t>序号</w:t>
            </w:r>
          </w:p>
        </w:tc>
        <w:tc>
          <w:tcPr>
            <w:tcW w:w="5726" w:type="dxa"/>
            <w:gridSpan w:val="2"/>
            <w:vAlign w:val="center"/>
          </w:tcPr>
          <w:p w14:paraId="49CDA6A5">
            <w:pPr>
              <w:pStyle w:val="11"/>
            </w:pPr>
            <w:r>
              <w:t>功能分类科目</w:t>
            </w:r>
          </w:p>
        </w:tc>
        <w:tc>
          <w:tcPr>
            <w:tcW w:w="2551" w:type="dxa"/>
            <w:vMerge w:val="restart"/>
            <w:vAlign w:val="center"/>
          </w:tcPr>
          <w:p w14:paraId="328235A4">
            <w:pPr>
              <w:pStyle w:val="11"/>
            </w:pPr>
            <w:r>
              <w:t>合计</w:t>
            </w:r>
          </w:p>
        </w:tc>
        <w:tc>
          <w:tcPr>
            <w:tcW w:w="2551" w:type="dxa"/>
            <w:vMerge w:val="restart"/>
            <w:vAlign w:val="center"/>
          </w:tcPr>
          <w:p w14:paraId="0A1ACAA0">
            <w:pPr>
              <w:pStyle w:val="11"/>
            </w:pPr>
            <w:r>
              <w:t>基本支出</w:t>
            </w:r>
          </w:p>
        </w:tc>
        <w:tc>
          <w:tcPr>
            <w:tcW w:w="2551" w:type="dxa"/>
            <w:vMerge w:val="restart"/>
            <w:vAlign w:val="center"/>
          </w:tcPr>
          <w:p w14:paraId="306F42D6">
            <w:pPr>
              <w:pStyle w:val="11"/>
            </w:pPr>
            <w:r>
              <w:t>项目支出</w:t>
            </w:r>
          </w:p>
        </w:tc>
      </w:tr>
      <w:tr w14:paraId="057C0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55379C"/>
        </w:tc>
        <w:tc>
          <w:tcPr>
            <w:tcW w:w="1191" w:type="dxa"/>
            <w:vAlign w:val="center"/>
          </w:tcPr>
          <w:p w14:paraId="26CD0E5C">
            <w:pPr>
              <w:pStyle w:val="11"/>
            </w:pPr>
            <w:r>
              <w:t>科目编码</w:t>
            </w:r>
          </w:p>
        </w:tc>
        <w:tc>
          <w:tcPr>
            <w:tcW w:w="4535" w:type="dxa"/>
            <w:vAlign w:val="center"/>
          </w:tcPr>
          <w:p w14:paraId="1910C646">
            <w:pPr>
              <w:pStyle w:val="11"/>
            </w:pPr>
            <w:r>
              <w:t>科目名称</w:t>
            </w:r>
          </w:p>
        </w:tc>
        <w:tc>
          <w:tcPr>
            <w:tcW w:w="2551" w:type="dxa"/>
            <w:vMerge w:val="continue"/>
          </w:tcPr>
          <w:p w14:paraId="5BA48C17"/>
        </w:tc>
        <w:tc>
          <w:tcPr>
            <w:tcW w:w="2551" w:type="dxa"/>
            <w:vMerge w:val="continue"/>
          </w:tcPr>
          <w:p w14:paraId="39BD0C47"/>
        </w:tc>
        <w:tc>
          <w:tcPr>
            <w:tcW w:w="2551" w:type="dxa"/>
            <w:vMerge w:val="continue"/>
          </w:tcPr>
          <w:p w14:paraId="0EC45EAA"/>
        </w:tc>
      </w:tr>
      <w:tr w14:paraId="091D4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9ECD4F">
            <w:pPr>
              <w:pStyle w:val="11"/>
            </w:pPr>
            <w:r>
              <w:t>栏次</w:t>
            </w:r>
          </w:p>
        </w:tc>
        <w:tc>
          <w:tcPr>
            <w:tcW w:w="1191" w:type="dxa"/>
            <w:vAlign w:val="center"/>
          </w:tcPr>
          <w:p w14:paraId="5500C0BC">
            <w:pPr>
              <w:pStyle w:val="11"/>
            </w:pPr>
            <w:r>
              <w:t>1</w:t>
            </w:r>
          </w:p>
        </w:tc>
        <w:tc>
          <w:tcPr>
            <w:tcW w:w="4535" w:type="dxa"/>
            <w:vAlign w:val="center"/>
          </w:tcPr>
          <w:p w14:paraId="4E241D92">
            <w:pPr>
              <w:pStyle w:val="11"/>
            </w:pPr>
            <w:r>
              <w:t>2</w:t>
            </w:r>
          </w:p>
        </w:tc>
        <w:tc>
          <w:tcPr>
            <w:tcW w:w="2551" w:type="dxa"/>
            <w:vAlign w:val="center"/>
          </w:tcPr>
          <w:p w14:paraId="6659FDDD">
            <w:pPr>
              <w:pStyle w:val="11"/>
            </w:pPr>
            <w:r>
              <w:t>3</w:t>
            </w:r>
          </w:p>
        </w:tc>
        <w:tc>
          <w:tcPr>
            <w:tcW w:w="2551" w:type="dxa"/>
            <w:vAlign w:val="center"/>
          </w:tcPr>
          <w:p w14:paraId="08F5656E">
            <w:pPr>
              <w:pStyle w:val="11"/>
            </w:pPr>
            <w:r>
              <w:t>4</w:t>
            </w:r>
          </w:p>
        </w:tc>
        <w:tc>
          <w:tcPr>
            <w:tcW w:w="2551" w:type="dxa"/>
            <w:vAlign w:val="center"/>
          </w:tcPr>
          <w:p w14:paraId="2E39D4B1">
            <w:pPr>
              <w:pStyle w:val="11"/>
            </w:pPr>
            <w:r>
              <w:t>5</w:t>
            </w:r>
          </w:p>
        </w:tc>
      </w:tr>
      <w:tr w14:paraId="58E8E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FD097">
            <w:pPr>
              <w:pStyle w:val="12"/>
            </w:pPr>
          </w:p>
        </w:tc>
        <w:tc>
          <w:tcPr>
            <w:tcW w:w="1191" w:type="dxa"/>
            <w:vAlign w:val="center"/>
          </w:tcPr>
          <w:p w14:paraId="499AAC4E">
            <w:pPr>
              <w:pStyle w:val="13"/>
            </w:pPr>
          </w:p>
        </w:tc>
        <w:tc>
          <w:tcPr>
            <w:tcW w:w="4535" w:type="dxa"/>
            <w:vAlign w:val="center"/>
          </w:tcPr>
          <w:p w14:paraId="666B6D22">
            <w:pPr>
              <w:pStyle w:val="13"/>
            </w:pPr>
          </w:p>
        </w:tc>
        <w:tc>
          <w:tcPr>
            <w:tcW w:w="2551" w:type="dxa"/>
            <w:vAlign w:val="center"/>
          </w:tcPr>
          <w:p w14:paraId="21667A89">
            <w:pPr>
              <w:pStyle w:val="14"/>
            </w:pPr>
          </w:p>
        </w:tc>
        <w:tc>
          <w:tcPr>
            <w:tcW w:w="2551" w:type="dxa"/>
            <w:vAlign w:val="center"/>
          </w:tcPr>
          <w:p w14:paraId="1FF6DF38">
            <w:pPr>
              <w:pStyle w:val="14"/>
            </w:pPr>
          </w:p>
        </w:tc>
        <w:tc>
          <w:tcPr>
            <w:tcW w:w="2551" w:type="dxa"/>
            <w:vAlign w:val="center"/>
          </w:tcPr>
          <w:p w14:paraId="135A308A">
            <w:pPr>
              <w:pStyle w:val="14"/>
            </w:pPr>
          </w:p>
        </w:tc>
      </w:tr>
    </w:tbl>
    <w:p w14:paraId="2CFAD1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FB2F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6BF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5E209D">
            <w:pPr>
              <w:pStyle w:val="8"/>
            </w:pPr>
            <w:r>
              <w:t>360007隆尧县魏家庄中学</w:t>
            </w:r>
          </w:p>
        </w:tc>
        <w:tc>
          <w:tcPr>
            <w:tcW w:w="2381" w:type="dxa"/>
            <w:tcBorders>
              <w:top w:val="single" w:color="FFFFFF" w:sz="6" w:space="0"/>
              <w:left w:val="single" w:color="FFFFFF" w:sz="6" w:space="0"/>
              <w:right w:val="single" w:color="FFFFFF" w:sz="6" w:space="0"/>
            </w:tcBorders>
            <w:vAlign w:val="center"/>
          </w:tcPr>
          <w:p w14:paraId="32E35778">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7A15855">
            <w:pPr>
              <w:pStyle w:val="10"/>
            </w:pPr>
            <w:r>
              <w:t>单位：万元</w:t>
            </w:r>
          </w:p>
        </w:tc>
      </w:tr>
      <w:tr w14:paraId="53D72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86AB6">
            <w:pPr>
              <w:pStyle w:val="11"/>
            </w:pPr>
            <w:r>
              <w:t>序号</w:t>
            </w:r>
          </w:p>
        </w:tc>
        <w:tc>
          <w:tcPr>
            <w:tcW w:w="3798" w:type="dxa"/>
            <w:vMerge w:val="restart"/>
            <w:vAlign w:val="center"/>
          </w:tcPr>
          <w:p w14:paraId="0C3D759A">
            <w:pPr>
              <w:pStyle w:val="11"/>
            </w:pPr>
            <w:r>
              <w:t>项  目</w:t>
            </w:r>
          </w:p>
        </w:tc>
        <w:tc>
          <w:tcPr>
            <w:tcW w:w="9524" w:type="dxa"/>
            <w:gridSpan w:val="4"/>
            <w:vAlign w:val="center"/>
          </w:tcPr>
          <w:p w14:paraId="371071D5">
            <w:pPr>
              <w:pStyle w:val="11"/>
            </w:pPr>
            <w:r>
              <w:t>资 金 性 质</w:t>
            </w:r>
          </w:p>
        </w:tc>
      </w:tr>
      <w:tr w14:paraId="3C9BD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DF7041"/>
        </w:tc>
        <w:tc>
          <w:tcPr>
            <w:tcW w:w="3798" w:type="dxa"/>
            <w:vMerge w:val="continue"/>
          </w:tcPr>
          <w:p w14:paraId="427DDEEF"/>
        </w:tc>
        <w:tc>
          <w:tcPr>
            <w:tcW w:w="2381" w:type="dxa"/>
            <w:vAlign w:val="center"/>
          </w:tcPr>
          <w:p w14:paraId="74E43288">
            <w:pPr>
              <w:pStyle w:val="11"/>
            </w:pPr>
            <w:r>
              <w:t>合计</w:t>
            </w:r>
          </w:p>
        </w:tc>
        <w:tc>
          <w:tcPr>
            <w:tcW w:w="2381" w:type="dxa"/>
            <w:vAlign w:val="center"/>
          </w:tcPr>
          <w:p w14:paraId="17924C23">
            <w:pPr>
              <w:pStyle w:val="11"/>
            </w:pPr>
            <w:r>
              <w:t>一般公共预算              财政拨款</w:t>
            </w:r>
          </w:p>
        </w:tc>
        <w:tc>
          <w:tcPr>
            <w:tcW w:w="2381" w:type="dxa"/>
            <w:vAlign w:val="center"/>
          </w:tcPr>
          <w:p w14:paraId="05D24F2E">
            <w:pPr>
              <w:pStyle w:val="11"/>
            </w:pPr>
            <w:r>
              <w:t>政府性基金                  预算拨款</w:t>
            </w:r>
          </w:p>
        </w:tc>
        <w:tc>
          <w:tcPr>
            <w:tcW w:w="2381" w:type="dxa"/>
            <w:vAlign w:val="center"/>
          </w:tcPr>
          <w:p w14:paraId="604F3394">
            <w:pPr>
              <w:pStyle w:val="11"/>
            </w:pPr>
            <w:r>
              <w:t>国有资本经营              预算财政拨款</w:t>
            </w:r>
          </w:p>
        </w:tc>
      </w:tr>
      <w:tr w14:paraId="3F0F6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9BCCF8">
            <w:pPr>
              <w:pStyle w:val="11"/>
            </w:pPr>
            <w:r>
              <w:t>栏次</w:t>
            </w:r>
          </w:p>
        </w:tc>
        <w:tc>
          <w:tcPr>
            <w:tcW w:w="3798" w:type="dxa"/>
            <w:vAlign w:val="center"/>
          </w:tcPr>
          <w:p w14:paraId="7F585E77">
            <w:pPr>
              <w:pStyle w:val="11"/>
            </w:pPr>
            <w:r>
              <w:t>1</w:t>
            </w:r>
          </w:p>
        </w:tc>
        <w:tc>
          <w:tcPr>
            <w:tcW w:w="2381" w:type="dxa"/>
            <w:vAlign w:val="center"/>
          </w:tcPr>
          <w:p w14:paraId="6385A79A">
            <w:pPr>
              <w:pStyle w:val="11"/>
            </w:pPr>
            <w:r>
              <w:t>2</w:t>
            </w:r>
          </w:p>
        </w:tc>
        <w:tc>
          <w:tcPr>
            <w:tcW w:w="2381" w:type="dxa"/>
            <w:vAlign w:val="center"/>
          </w:tcPr>
          <w:p w14:paraId="16D80BB9">
            <w:pPr>
              <w:pStyle w:val="11"/>
            </w:pPr>
            <w:r>
              <w:t>3</w:t>
            </w:r>
          </w:p>
        </w:tc>
        <w:tc>
          <w:tcPr>
            <w:tcW w:w="2381" w:type="dxa"/>
            <w:vAlign w:val="center"/>
          </w:tcPr>
          <w:p w14:paraId="088129E7">
            <w:pPr>
              <w:pStyle w:val="11"/>
            </w:pPr>
            <w:r>
              <w:t>4</w:t>
            </w:r>
          </w:p>
        </w:tc>
        <w:tc>
          <w:tcPr>
            <w:tcW w:w="2381" w:type="dxa"/>
            <w:vAlign w:val="center"/>
          </w:tcPr>
          <w:p w14:paraId="41D747E0">
            <w:pPr>
              <w:pStyle w:val="11"/>
            </w:pPr>
            <w:r>
              <w:t>5</w:t>
            </w:r>
          </w:p>
        </w:tc>
      </w:tr>
      <w:tr w14:paraId="0D5AF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3666E5">
            <w:pPr>
              <w:pStyle w:val="12"/>
            </w:pPr>
          </w:p>
        </w:tc>
        <w:tc>
          <w:tcPr>
            <w:tcW w:w="3798" w:type="dxa"/>
            <w:vAlign w:val="center"/>
          </w:tcPr>
          <w:p w14:paraId="3969C844">
            <w:pPr>
              <w:pStyle w:val="13"/>
            </w:pPr>
          </w:p>
        </w:tc>
        <w:tc>
          <w:tcPr>
            <w:tcW w:w="2381" w:type="dxa"/>
            <w:vAlign w:val="center"/>
          </w:tcPr>
          <w:p w14:paraId="33C80BD9">
            <w:pPr>
              <w:pStyle w:val="14"/>
            </w:pPr>
          </w:p>
        </w:tc>
        <w:tc>
          <w:tcPr>
            <w:tcW w:w="2381" w:type="dxa"/>
            <w:vAlign w:val="center"/>
          </w:tcPr>
          <w:p w14:paraId="698C92F4">
            <w:pPr>
              <w:pStyle w:val="14"/>
            </w:pPr>
          </w:p>
        </w:tc>
        <w:tc>
          <w:tcPr>
            <w:tcW w:w="2381" w:type="dxa"/>
            <w:vAlign w:val="center"/>
          </w:tcPr>
          <w:p w14:paraId="7A47F071">
            <w:pPr>
              <w:pStyle w:val="14"/>
            </w:pPr>
          </w:p>
        </w:tc>
        <w:tc>
          <w:tcPr>
            <w:tcW w:w="2381" w:type="dxa"/>
            <w:vAlign w:val="center"/>
          </w:tcPr>
          <w:p w14:paraId="06803961">
            <w:pPr>
              <w:pStyle w:val="14"/>
            </w:pPr>
          </w:p>
        </w:tc>
      </w:tr>
    </w:tbl>
    <w:p w14:paraId="1E9F46D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3022D10">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隆尧县魏家庄中学2025年单位预算信息公开情况说明</w:t>
      </w:r>
    </w:p>
    <w:p w14:paraId="20ED1E4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按照《中华人民共和国预算法》、《地方预决算公开操作规程》和《关于进一步推进预算公开工作的实施意见》规定，现将隆尧县魏家庄中学2025年单位预算公开如下：</w:t>
      </w:r>
    </w:p>
    <w:p w14:paraId="6C776D62">
      <w:pPr>
        <w:spacing w:before="10" w:after="10" w:line="240" w:lineRule="auto"/>
        <w:ind w:firstLine="640"/>
        <w:jc w:val="left"/>
        <w:outlineLvl w:val="5"/>
      </w:pPr>
      <w:r>
        <w:rPr>
          <w:rFonts w:ascii="黑体" w:hAnsi="黑体" w:eastAsia="黑体" w:cs="黑体"/>
          <w:color w:val="000000"/>
          <w:sz w:val="32"/>
        </w:rPr>
        <w:t>一、单位职责及机构设置情况</w:t>
      </w:r>
    </w:p>
    <w:p w14:paraId="6819908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48FED2C">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6D3586FC">
      <w:pPr>
        <w:pStyle w:val="18"/>
      </w:pPr>
      <w:r>
        <w:t>隆尧县魏家庄中学事业编制名．其中，校长1名（正股级），副校长3名（副股级）；经费形式为财政性资金基本保证。</w:t>
      </w:r>
    </w:p>
    <w:p w14:paraId="6B3FF21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9DF6F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282A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2EA51B">
            <w:pPr>
              <w:pStyle w:val="11"/>
            </w:pPr>
            <w:r>
              <w:t>单位名称</w:t>
            </w:r>
          </w:p>
        </w:tc>
        <w:tc>
          <w:tcPr>
            <w:tcW w:w="1843" w:type="dxa"/>
            <w:vAlign w:val="center"/>
          </w:tcPr>
          <w:p w14:paraId="7C1787FB">
            <w:pPr>
              <w:pStyle w:val="11"/>
            </w:pPr>
            <w:r>
              <w:t>单位性质</w:t>
            </w:r>
          </w:p>
        </w:tc>
        <w:tc>
          <w:tcPr>
            <w:tcW w:w="2126" w:type="dxa"/>
            <w:vAlign w:val="center"/>
          </w:tcPr>
          <w:p w14:paraId="30B6790A">
            <w:pPr>
              <w:pStyle w:val="11"/>
            </w:pPr>
            <w:r>
              <w:t>单位规格</w:t>
            </w:r>
          </w:p>
        </w:tc>
        <w:tc>
          <w:tcPr>
            <w:tcW w:w="3827" w:type="dxa"/>
            <w:vAlign w:val="center"/>
          </w:tcPr>
          <w:p w14:paraId="620087A7">
            <w:pPr>
              <w:pStyle w:val="11"/>
            </w:pPr>
            <w:r>
              <w:t>经费保障形式</w:t>
            </w:r>
          </w:p>
        </w:tc>
      </w:tr>
      <w:tr w14:paraId="3D023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7A4EB96">
            <w:pPr>
              <w:pStyle w:val="13"/>
            </w:pPr>
            <w:r>
              <w:t>隆尧县魏家庄中学</w:t>
            </w:r>
          </w:p>
        </w:tc>
        <w:tc>
          <w:tcPr>
            <w:tcW w:w="1843" w:type="dxa"/>
            <w:vAlign w:val="center"/>
          </w:tcPr>
          <w:p w14:paraId="303B9066">
            <w:pPr>
              <w:pStyle w:val="12"/>
            </w:pPr>
            <w:r>
              <w:t>事业</w:t>
            </w:r>
          </w:p>
        </w:tc>
        <w:tc>
          <w:tcPr>
            <w:tcW w:w="2126" w:type="dxa"/>
            <w:vAlign w:val="center"/>
          </w:tcPr>
          <w:p w14:paraId="211249FD">
            <w:pPr>
              <w:pStyle w:val="12"/>
            </w:pPr>
            <w:r>
              <w:t>股级</w:t>
            </w:r>
          </w:p>
        </w:tc>
        <w:tc>
          <w:tcPr>
            <w:tcW w:w="3827" w:type="dxa"/>
            <w:vAlign w:val="center"/>
          </w:tcPr>
          <w:p w14:paraId="3C52C45E">
            <w:pPr>
              <w:pStyle w:val="12"/>
            </w:pPr>
            <w:r>
              <w:t>财政性资金基本保证</w:t>
            </w:r>
          </w:p>
        </w:tc>
      </w:tr>
    </w:tbl>
    <w:p w14:paraId="73449A3B">
      <w:pPr>
        <w:spacing w:before="10" w:after="10" w:line="240" w:lineRule="auto"/>
        <w:ind w:firstLine="640"/>
        <w:jc w:val="left"/>
        <w:outlineLvl w:val="5"/>
      </w:pPr>
      <w:r>
        <w:rPr>
          <w:rFonts w:ascii="黑体" w:hAnsi="黑体" w:eastAsia="黑体" w:cs="黑体"/>
          <w:color w:val="000000"/>
          <w:sz w:val="32"/>
        </w:rPr>
        <w:t>二、单位预算安排的总体情况</w:t>
      </w:r>
    </w:p>
    <w:p w14:paraId="12BE2B65">
      <w:pPr>
        <w:pStyle w:val="19"/>
      </w:pPr>
      <w:r>
        <w:t>按照预算管理有关规定，目前我校单位预算的编制实行综合预算管理，即全部收入和支出都反映的预算中。隆尧县魏家庄中学收支包含在单位预算中。</w:t>
      </w:r>
    </w:p>
    <w:p w14:paraId="7E9FFC1A">
      <w:pPr>
        <w:pStyle w:val="19"/>
      </w:pPr>
      <w:r>
        <w:t>1、收入说明</w:t>
      </w:r>
    </w:p>
    <w:p w14:paraId="54062C10">
      <w:pPr>
        <w:pStyle w:val="19"/>
      </w:pPr>
      <w:r>
        <w:t>反映本单位当年全部收入。2025年预算收入1037.82万元，其中：一般公共预算收入1009.58万元，基金预算收入0万元，财政专户管理资金收入0万元，单位资金收入0万元，上年结转结余28.24万元。</w:t>
      </w:r>
    </w:p>
    <w:p w14:paraId="4804B6F3">
      <w:pPr>
        <w:pStyle w:val="19"/>
      </w:pPr>
      <w:r>
        <w:t>2、支出说明</w:t>
      </w:r>
    </w:p>
    <w:p w14:paraId="6D7C973E">
      <w:pPr>
        <w:pStyle w:val="19"/>
      </w:pPr>
      <w:r>
        <w:t>收支预算总表支出栏、基本支出表、项目支出表按经济分类和支出功能分类科目编制，反映隆尧县魏家庄中学年度单位预算中支出预算的总体情况。2024年单位支出预算为947.70万元，其中基本支出790.88万元、项目支出156.82万元。主要为初中教育790.88万元。</w:t>
      </w:r>
    </w:p>
    <w:p w14:paraId="3536455E">
      <w:pPr>
        <w:pStyle w:val="19"/>
      </w:pPr>
      <w:r>
        <w:t>3、比上年增减情况</w:t>
      </w:r>
    </w:p>
    <w:p w14:paraId="3C7E7EDE">
      <w:pPr>
        <w:pStyle w:val="19"/>
      </w:pPr>
      <w:r>
        <w:t>2025年部门预算收支安排1037.82万元，比上年增加90.12万元。</w:t>
      </w:r>
    </w:p>
    <w:p w14:paraId="00469BF9">
      <w:pPr>
        <w:spacing w:before="10" w:after="10" w:line="240" w:lineRule="auto"/>
        <w:ind w:firstLine="640"/>
        <w:jc w:val="left"/>
        <w:outlineLvl w:val="5"/>
      </w:pPr>
      <w:r>
        <w:rPr>
          <w:rFonts w:ascii="黑体" w:hAnsi="黑体" w:eastAsia="黑体" w:cs="黑体"/>
          <w:color w:val="000000"/>
          <w:sz w:val="32"/>
        </w:rPr>
        <w:t>三、机关运行经费安排情况</w:t>
      </w:r>
    </w:p>
    <w:p w14:paraId="1BA5CBB1">
      <w:pPr>
        <w:pStyle w:val="20"/>
      </w:pPr>
      <w:r>
        <w:t>按照预算管理有关规定，目前我校单位预算的编制实行综合预算管理，即全部收入和支出都反映的预算中。隆尧县魏家庄中学收支包含在单位预算中。</w:t>
      </w:r>
    </w:p>
    <w:p w14:paraId="36567659">
      <w:pPr>
        <w:pStyle w:val="20"/>
      </w:pPr>
      <w:r>
        <w:t>1、收入说明</w:t>
      </w:r>
    </w:p>
    <w:p w14:paraId="01754BEE">
      <w:pPr>
        <w:pStyle w:val="20"/>
      </w:pPr>
      <w:r>
        <w:t>反映本单位当年全部收入。2025年预算收入1037.82万元，其中：一般公共预算收入1009.58万元，基金预算收入0万元，财政专户管理资金收入0万元，单位资金收入0万元，上年结转结余28.24万元。</w:t>
      </w:r>
    </w:p>
    <w:p w14:paraId="4C6458A8">
      <w:pPr>
        <w:pStyle w:val="20"/>
      </w:pPr>
      <w:r>
        <w:t>2、支出说明</w:t>
      </w:r>
    </w:p>
    <w:p w14:paraId="67FBC04F">
      <w:pPr>
        <w:pStyle w:val="20"/>
      </w:pPr>
      <w:r>
        <w:t>收支预算总表支出栏、基本支出表、项目支出表按经济分类和支出功能分类科目编制，反映隆尧县魏家庄中学年度单位预算中支出预算的总体情况。2024年单位支出预算为947.70万元，其中基本支出790.88万元、项目支出156.82万元。主要为初中教育790.88万元。</w:t>
      </w:r>
    </w:p>
    <w:p w14:paraId="494C353E">
      <w:pPr>
        <w:pStyle w:val="20"/>
      </w:pPr>
      <w:r>
        <w:t>3、比上年增减情况</w:t>
      </w:r>
    </w:p>
    <w:p w14:paraId="7D41A482">
      <w:pPr>
        <w:pStyle w:val="20"/>
      </w:pPr>
      <w:r>
        <w:t>2025年部门预算收支安排1037.82万元，比上年增加90.12万元。</w:t>
      </w:r>
    </w:p>
    <w:p w14:paraId="6064645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63E8496">
      <w:pPr>
        <w:pStyle w:val="21"/>
      </w:pPr>
      <w:r>
        <w:t>2025年，我单位未安排三公经费。</w:t>
      </w:r>
    </w:p>
    <w:p w14:paraId="1D11C39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7DB410A">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1、冀财教[2023]154号/中央/义教经费/校舍安全保障/魏家庄中学操场改造绩效目标表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3A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8CA75">
            <w:pPr>
              <w:pStyle w:val="14"/>
            </w:pPr>
            <w:r>
              <w:t>单位：万元</w:t>
            </w:r>
          </w:p>
        </w:tc>
      </w:tr>
      <w:tr w14:paraId="6EB3F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76F2D7">
            <w:pPr>
              <w:pStyle w:val="11"/>
            </w:pPr>
            <w:r>
              <w:t>项目编码</w:t>
            </w:r>
          </w:p>
        </w:tc>
        <w:tc>
          <w:tcPr>
            <w:tcW w:w="5103" w:type="dxa"/>
            <w:gridSpan w:val="2"/>
            <w:vAlign w:val="center"/>
          </w:tcPr>
          <w:p w14:paraId="6B0859A2">
            <w:pPr>
              <w:pStyle w:val="13"/>
            </w:pPr>
            <w:r>
              <w:t>13052524P00000611263L</w:t>
            </w:r>
          </w:p>
        </w:tc>
        <w:tc>
          <w:tcPr>
            <w:tcW w:w="2835" w:type="dxa"/>
            <w:vAlign w:val="center"/>
          </w:tcPr>
          <w:p w14:paraId="5A765680">
            <w:pPr>
              <w:pStyle w:val="11"/>
            </w:pPr>
            <w:r>
              <w:t>项目名称</w:t>
            </w:r>
          </w:p>
        </w:tc>
        <w:tc>
          <w:tcPr>
            <w:tcW w:w="6095" w:type="dxa"/>
            <w:gridSpan w:val="3"/>
            <w:vAlign w:val="center"/>
          </w:tcPr>
          <w:p w14:paraId="047CE764">
            <w:pPr>
              <w:pStyle w:val="13"/>
            </w:pPr>
            <w:r>
              <w:t>冀财教[2023]154号/中央/义教经费/校舍安全保障/魏家庄中学操场改造</w:t>
            </w:r>
          </w:p>
        </w:tc>
      </w:tr>
      <w:tr w14:paraId="57C1D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B9868">
            <w:pPr>
              <w:pStyle w:val="11"/>
            </w:pPr>
            <w:r>
              <w:t>预算规模及资金用途</w:t>
            </w:r>
          </w:p>
        </w:tc>
        <w:tc>
          <w:tcPr>
            <w:tcW w:w="2268" w:type="dxa"/>
            <w:vAlign w:val="center"/>
          </w:tcPr>
          <w:p w14:paraId="16B36B32">
            <w:pPr>
              <w:pStyle w:val="11"/>
            </w:pPr>
            <w:r>
              <w:t>预算数</w:t>
            </w:r>
          </w:p>
        </w:tc>
        <w:tc>
          <w:tcPr>
            <w:tcW w:w="2835" w:type="dxa"/>
            <w:vAlign w:val="center"/>
          </w:tcPr>
          <w:p w14:paraId="753CF692">
            <w:pPr>
              <w:pStyle w:val="13"/>
            </w:pPr>
            <w:r>
              <w:t>28.24</w:t>
            </w:r>
          </w:p>
        </w:tc>
        <w:tc>
          <w:tcPr>
            <w:tcW w:w="2835" w:type="dxa"/>
            <w:vAlign w:val="center"/>
          </w:tcPr>
          <w:p w14:paraId="5763CAFF">
            <w:pPr>
              <w:pStyle w:val="11"/>
            </w:pPr>
            <w:r>
              <w:t>其中：财政    资金</w:t>
            </w:r>
          </w:p>
        </w:tc>
        <w:tc>
          <w:tcPr>
            <w:tcW w:w="2551" w:type="dxa"/>
            <w:vAlign w:val="center"/>
          </w:tcPr>
          <w:p w14:paraId="25D409C4">
            <w:pPr>
              <w:pStyle w:val="13"/>
            </w:pPr>
            <w:r>
              <w:t>28.24</w:t>
            </w:r>
          </w:p>
        </w:tc>
        <w:tc>
          <w:tcPr>
            <w:tcW w:w="2268" w:type="dxa"/>
            <w:vAlign w:val="center"/>
          </w:tcPr>
          <w:p w14:paraId="4B9B4F30">
            <w:pPr>
              <w:pStyle w:val="11"/>
            </w:pPr>
            <w:r>
              <w:t>其他资金</w:t>
            </w:r>
          </w:p>
        </w:tc>
        <w:tc>
          <w:tcPr>
            <w:tcW w:w="1276" w:type="dxa"/>
            <w:vAlign w:val="center"/>
          </w:tcPr>
          <w:p w14:paraId="019715BE">
            <w:pPr>
              <w:pStyle w:val="13"/>
            </w:pPr>
            <w:r>
              <w:t xml:space="preserve"> </w:t>
            </w:r>
          </w:p>
        </w:tc>
      </w:tr>
      <w:tr w14:paraId="3453C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B2CB2"/>
        </w:tc>
        <w:tc>
          <w:tcPr>
            <w:tcW w:w="14033" w:type="dxa"/>
            <w:gridSpan w:val="6"/>
            <w:vAlign w:val="center"/>
          </w:tcPr>
          <w:p w14:paraId="7A6AEDF6">
            <w:pPr>
              <w:pStyle w:val="13"/>
            </w:pPr>
            <w:r>
              <w:t>保证学校正常运转和改善办学条件</w:t>
            </w:r>
          </w:p>
        </w:tc>
      </w:tr>
      <w:tr w14:paraId="353DE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3CC22">
            <w:pPr>
              <w:pStyle w:val="11"/>
            </w:pPr>
            <w:r>
              <w:t>资金支出计划（%）</w:t>
            </w:r>
          </w:p>
        </w:tc>
        <w:tc>
          <w:tcPr>
            <w:tcW w:w="5103" w:type="dxa"/>
            <w:gridSpan w:val="2"/>
            <w:vAlign w:val="center"/>
          </w:tcPr>
          <w:p w14:paraId="7C48A005">
            <w:pPr>
              <w:pStyle w:val="11"/>
            </w:pPr>
            <w:r>
              <w:t>3月底</w:t>
            </w:r>
          </w:p>
        </w:tc>
        <w:tc>
          <w:tcPr>
            <w:tcW w:w="2835" w:type="dxa"/>
            <w:vAlign w:val="center"/>
          </w:tcPr>
          <w:p w14:paraId="14C356B8">
            <w:pPr>
              <w:pStyle w:val="11"/>
            </w:pPr>
            <w:r>
              <w:t>6月底</w:t>
            </w:r>
          </w:p>
        </w:tc>
        <w:tc>
          <w:tcPr>
            <w:tcW w:w="2551" w:type="dxa"/>
            <w:vAlign w:val="center"/>
          </w:tcPr>
          <w:p w14:paraId="77FCD00A">
            <w:pPr>
              <w:pStyle w:val="11"/>
            </w:pPr>
            <w:r>
              <w:t>10月底</w:t>
            </w:r>
          </w:p>
        </w:tc>
        <w:tc>
          <w:tcPr>
            <w:tcW w:w="3544" w:type="dxa"/>
            <w:gridSpan w:val="2"/>
            <w:vAlign w:val="center"/>
          </w:tcPr>
          <w:p w14:paraId="49C2EC0C">
            <w:pPr>
              <w:pStyle w:val="11"/>
            </w:pPr>
            <w:r>
              <w:t>12月底</w:t>
            </w:r>
          </w:p>
        </w:tc>
      </w:tr>
      <w:tr w14:paraId="3383B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7296DD"/>
        </w:tc>
        <w:tc>
          <w:tcPr>
            <w:tcW w:w="5103" w:type="dxa"/>
            <w:gridSpan w:val="2"/>
            <w:vAlign w:val="center"/>
          </w:tcPr>
          <w:p w14:paraId="7DF20230">
            <w:pPr>
              <w:pStyle w:val="12"/>
            </w:pPr>
            <w:r>
              <w:t>25%</w:t>
            </w:r>
          </w:p>
        </w:tc>
        <w:tc>
          <w:tcPr>
            <w:tcW w:w="2835" w:type="dxa"/>
            <w:vAlign w:val="center"/>
          </w:tcPr>
          <w:p w14:paraId="4B156CDD">
            <w:pPr>
              <w:pStyle w:val="12"/>
            </w:pPr>
            <w:r>
              <w:t>50%</w:t>
            </w:r>
          </w:p>
        </w:tc>
        <w:tc>
          <w:tcPr>
            <w:tcW w:w="2551" w:type="dxa"/>
            <w:vAlign w:val="center"/>
          </w:tcPr>
          <w:p w14:paraId="5AF85A82">
            <w:pPr>
              <w:pStyle w:val="12"/>
            </w:pPr>
            <w:r>
              <w:t>75%</w:t>
            </w:r>
          </w:p>
        </w:tc>
        <w:tc>
          <w:tcPr>
            <w:tcW w:w="3544" w:type="dxa"/>
            <w:gridSpan w:val="2"/>
            <w:vAlign w:val="center"/>
          </w:tcPr>
          <w:p w14:paraId="41E04022">
            <w:pPr>
              <w:pStyle w:val="12"/>
            </w:pPr>
            <w:r>
              <w:t>100%</w:t>
            </w:r>
          </w:p>
        </w:tc>
      </w:tr>
      <w:tr w14:paraId="3DB35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6536E7">
            <w:pPr>
              <w:pStyle w:val="11"/>
            </w:pPr>
            <w:r>
              <w:t>绩效目标</w:t>
            </w:r>
          </w:p>
        </w:tc>
        <w:tc>
          <w:tcPr>
            <w:tcW w:w="14033" w:type="dxa"/>
            <w:gridSpan w:val="6"/>
            <w:vAlign w:val="center"/>
          </w:tcPr>
          <w:p w14:paraId="0ABB312B">
            <w:pPr>
              <w:pStyle w:val="13"/>
            </w:pPr>
            <w:r>
              <w:t>1.保证学校正常运转和改善办学条件</w:t>
            </w:r>
          </w:p>
          <w:p w14:paraId="46DDCF17">
            <w:pPr>
              <w:pStyle w:val="13"/>
            </w:pPr>
            <w:r>
              <w:t>2.按拨款时序进度完成经费拨付和支出</w:t>
            </w:r>
          </w:p>
        </w:tc>
      </w:tr>
    </w:tbl>
    <w:p w14:paraId="57B33E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9D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C7371">
            <w:pPr>
              <w:pStyle w:val="11"/>
            </w:pPr>
            <w:r>
              <w:t>一级指标</w:t>
            </w:r>
          </w:p>
        </w:tc>
        <w:tc>
          <w:tcPr>
            <w:tcW w:w="2268" w:type="dxa"/>
            <w:vAlign w:val="center"/>
          </w:tcPr>
          <w:p w14:paraId="16CB7C3E">
            <w:pPr>
              <w:pStyle w:val="11"/>
            </w:pPr>
            <w:r>
              <w:t>二级指标</w:t>
            </w:r>
          </w:p>
        </w:tc>
        <w:tc>
          <w:tcPr>
            <w:tcW w:w="2835" w:type="dxa"/>
            <w:vAlign w:val="center"/>
          </w:tcPr>
          <w:p w14:paraId="6725C391">
            <w:pPr>
              <w:pStyle w:val="11"/>
            </w:pPr>
            <w:r>
              <w:t>三级指标</w:t>
            </w:r>
          </w:p>
        </w:tc>
        <w:tc>
          <w:tcPr>
            <w:tcW w:w="5386" w:type="dxa"/>
            <w:vAlign w:val="center"/>
          </w:tcPr>
          <w:p w14:paraId="3758E358">
            <w:pPr>
              <w:pStyle w:val="11"/>
            </w:pPr>
            <w:r>
              <w:t>绩效指标描述</w:t>
            </w:r>
          </w:p>
        </w:tc>
        <w:tc>
          <w:tcPr>
            <w:tcW w:w="2268" w:type="dxa"/>
            <w:vAlign w:val="center"/>
          </w:tcPr>
          <w:p w14:paraId="56502808">
            <w:pPr>
              <w:pStyle w:val="11"/>
            </w:pPr>
            <w:r>
              <w:t>指标值</w:t>
            </w:r>
          </w:p>
        </w:tc>
        <w:tc>
          <w:tcPr>
            <w:tcW w:w="1276" w:type="dxa"/>
            <w:vAlign w:val="center"/>
          </w:tcPr>
          <w:p w14:paraId="666380F2">
            <w:pPr>
              <w:pStyle w:val="11"/>
            </w:pPr>
            <w:r>
              <w:t>指标值确定依据</w:t>
            </w:r>
          </w:p>
        </w:tc>
      </w:tr>
      <w:tr w14:paraId="5E5B4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49E6C">
            <w:pPr>
              <w:pStyle w:val="12"/>
            </w:pPr>
            <w:r>
              <w:t>产出指标</w:t>
            </w:r>
          </w:p>
        </w:tc>
        <w:tc>
          <w:tcPr>
            <w:tcW w:w="2268" w:type="dxa"/>
            <w:vAlign w:val="center"/>
          </w:tcPr>
          <w:p w14:paraId="0016DE50">
            <w:pPr>
              <w:pStyle w:val="13"/>
            </w:pPr>
            <w:r>
              <w:t>数量指标</w:t>
            </w:r>
          </w:p>
        </w:tc>
        <w:tc>
          <w:tcPr>
            <w:tcW w:w="2835" w:type="dxa"/>
            <w:vAlign w:val="center"/>
          </w:tcPr>
          <w:p w14:paraId="29EE3E25">
            <w:pPr>
              <w:pStyle w:val="13"/>
            </w:pPr>
            <w:r>
              <w:t>塑胶操场改造</w:t>
            </w:r>
          </w:p>
        </w:tc>
        <w:tc>
          <w:tcPr>
            <w:tcW w:w="5386" w:type="dxa"/>
            <w:vAlign w:val="center"/>
          </w:tcPr>
          <w:p w14:paraId="371D1A28">
            <w:pPr>
              <w:pStyle w:val="13"/>
            </w:pPr>
            <w:r>
              <w:t>对学校操场进行铺设塑胶跑道面积</w:t>
            </w:r>
          </w:p>
        </w:tc>
        <w:tc>
          <w:tcPr>
            <w:tcW w:w="2268" w:type="dxa"/>
            <w:vAlign w:val="center"/>
          </w:tcPr>
          <w:p w14:paraId="453F15AE">
            <w:pPr>
              <w:pStyle w:val="13"/>
            </w:pPr>
            <w:r>
              <w:t>≥3900平方米</w:t>
            </w:r>
          </w:p>
        </w:tc>
        <w:tc>
          <w:tcPr>
            <w:tcW w:w="1276" w:type="dxa"/>
            <w:vAlign w:val="center"/>
          </w:tcPr>
          <w:p w14:paraId="7E8B35B6">
            <w:pPr>
              <w:pStyle w:val="13"/>
            </w:pPr>
            <w:r>
              <w:t>项目规划</w:t>
            </w:r>
          </w:p>
        </w:tc>
      </w:tr>
      <w:tr w14:paraId="5513A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CA5C8"/>
        </w:tc>
        <w:tc>
          <w:tcPr>
            <w:tcW w:w="2268" w:type="dxa"/>
            <w:vAlign w:val="center"/>
          </w:tcPr>
          <w:p w14:paraId="6FBA5E29">
            <w:pPr>
              <w:pStyle w:val="13"/>
            </w:pPr>
            <w:r>
              <w:t>质量指标</w:t>
            </w:r>
          </w:p>
        </w:tc>
        <w:tc>
          <w:tcPr>
            <w:tcW w:w="2835" w:type="dxa"/>
            <w:vAlign w:val="center"/>
          </w:tcPr>
          <w:p w14:paraId="45E47BA8">
            <w:pPr>
              <w:pStyle w:val="13"/>
            </w:pPr>
            <w:r>
              <w:t>工程实施验收合格率</w:t>
            </w:r>
          </w:p>
        </w:tc>
        <w:tc>
          <w:tcPr>
            <w:tcW w:w="5386" w:type="dxa"/>
            <w:vAlign w:val="center"/>
          </w:tcPr>
          <w:p w14:paraId="43D1328B">
            <w:pPr>
              <w:pStyle w:val="13"/>
            </w:pPr>
            <w:r>
              <w:t>申报程序的合规，项目实施及资金使用符合项目规划</w:t>
            </w:r>
          </w:p>
        </w:tc>
        <w:tc>
          <w:tcPr>
            <w:tcW w:w="2268" w:type="dxa"/>
            <w:vAlign w:val="center"/>
          </w:tcPr>
          <w:p w14:paraId="304A6127">
            <w:pPr>
              <w:pStyle w:val="13"/>
            </w:pPr>
            <w:r>
              <w:t>≥100%</w:t>
            </w:r>
          </w:p>
        </w:tc>
        <w:tc>
          <w:tcPr>
            <w:tcW w:w="1276" w:type="dxa"/>
            <w:vAlign w:val="center"/>
          </w:tcPr>
          <w:p w14:paraId="2BDFAB3A">
            <w:pPr>
              <w:pStyle w:val="13"/>
            </w:pPr>
            <w:r>
              <w:t>项目规划</w:t>
            </w:r>
          </w:p>
        </w:tc>
      </w:tr>
      <w:tr w14:paraId="756E1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EA047"/>
        </w:tc>
        <w:tc>
          <w:tcPr>
            <w:tcW w:w="2268" w:type="dxa"/>
            <w:vAlign w:val="center"/>
          </w:tcPr>
          <w:p w14:paraId="1297C016">
            <w:pPr>
              <w:pStyle w:val="13"/>
            </w:pPr>
            <w:r>
              <w:t>时效指标</w:t>
            </w:r>
          </w:p>
        </w:tc>
        <w:tc>
          <w:tcPr>
            <w:tcW w:w="2835" w:type="dxa"/>
            <w:vAlign w:val="center"/>
          </w:tcPr>
          <w:p w14:paraId="155830AB">
            <w:pPr>
              <w:pStyle w:val="13"/>
            </w:pPr>
            <w:r>
              <w:t>资金支付率</w:t>
            </w:r>
          </w:p>
        </w:tc>
        <w:tc>
          <w:tcPr>
            <w:tcW w:w="5386" w:type="dxa"/>
            <w:vAlign w:val="center"/>
          </w:tcPr>
          <w:p w14:paraId="7B6D64B9">
            <w:pPr>
              <w:pStyle w:val="13"/>
            </w:pPr>
            <w:r>
              <w:t>按照序时进度完成资金支付</w:t>
            </w:r>
          </w:p>
        </w:tc>
        <w:tc>
          <w:tcPr>
            <w:tcW w:w="2268" w:type="dxa"/>
            <w:vAlign w:val="center"/>
          </w:tcPr>
          <w:p w14:paraId="203112D2">
            <w:pPr>
              <w:pStyle w:val="13"/>
            </w:pPr>
            <w:r>
              <w:t>≥100%</w:t>
            </w:r>
          </w:p>
        </w:tc>
        <w:tc>
          <w:tcPr>
            <w:tcW w:w="1276" w:type="dxa"/>
            <w:vAlign w:val="center"/>
          </w:tcPr>
          <w:p w14:paraId="2ADAC4E4">
            <w:pPr>
              <w:pStyle w:val="13"/>
            </w:pPr>
            <w:r>
              <w:t>项目规划</w:t>
            </w:r>
          </w:p>
        </w:tc>
      </w:tr>
      <w:tr w14:paraId="0CA5C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01401"/>
        </w:tc>
        <w:tc>
          <w:tcPr>
            <w:tcW w:w="2268" w:type="dxa"/>
            <w:vAlign w:val="center"/>
          </w:tcPr>
          <w:p w14:paraId="34347118">
            <w:pPr>
              <w:pStyle w:val="13"/>
            </w:pPr>
            <w:r>
              <w:t>成本指标</w:t>
            </w:r>
          </w:p>
        </w:tc>
        <w:tc>
          <w:tcPr>
            <w:tcW w:w="2835" w:type="dxa"/>
            <w:vAlign w:val="center"/>
          </w:tcPr>
          <w:p w14:paraId="719595E2">
            <w:pPr>
              <w:pStyle w:val="13"/>
            </w:pPr>
            <w:r>
              <w:t>项目成本控制情况</w:t>
            </w:r>
          </w:p>
        </w:tc>
        <w:tc>
          <w:tcPr>
            <w:tcW w:w="5386" w:type="dxa"/>
            <w:vAlign w:val="center"/>
          </w:tcPr>
          <w:p w14:paraId="745B33F3">
            <w:pPr>
              <w:pStyle w:val="13"/>
            </w:pPr>
            <w:r>
              <w:t>严格按照招标价格及审计额进行</w:t>
            </w:r>
          </w:p>
        </w:tc>
        <w:tc>
          <w:tcPr>
            <w:tcW w:w="2268" w:type="dxa"/>
            <w:vAlign w:val="center"/>
          </w:tcPr>
          <w:p w14:paraId="503C04AE">
            <w:pPr>
              <w:pStyle w:val="13"/>
            </w:pPr>
            <w:r>
              <w:t>≥57万元</w:t>
            </w:r>
          </w:p>
        </w:tc>
        <w:tc>
          <w:tcPr>
            <w:tcW w:w="1276" w:type="dxa"/>
            <w:vAlign w:val="center"/>
          </w:tcPr>
          <w:p w14:paraId="18E292FA">
            <w:pPr>
              <w:pStyle w:val="13"/>
            </w:pPr>
            <w:r>
              <w:t>项目规划</w:t>
            </w:r>
          </w:p>
        </w:tc>
      </w:tr>
      <w:tr w14:paraId="654C5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4635B">
            <w:pPr>
              <w:pStyle w:val="12"/>
            </w:pPr>
            <w:r>
              <w:t>效益指标</w:t>
            </w:r>
          </w:p>
        </w:tc>
        <w:tc>
          <w:tcPr>
            <w:tcW w:w="2268" w:type="dxa"/>
            <w:vAlign w:val="center"/>
          </w:tcPr>
          <w:p w14:paraId="44ECABFD">
            <w:pPr>
              <w:pStyle w:val="13"/>
            </w:pPr>
            <w:r>
              <w:t>可持续影响指标</w:t>
            </w:r>
          </w:p>
        </w:tc>
        <w:tc>
          <w:tcPr>
            <w:tcW w:w="2835" w:type="dxa"/>
            <w:vAlign w:val="center"/>
          </w:tcPr>
          <w:p w14:paraId="76B8B9E7">
            <w:pPr>
              <w:pStyle w:val="13"/>
            </w:pPr>
            <w:r>
              <w:t>教育发展水平</w:t>
            </w:r>
          </w:p>
        </w:tc>
        <w:tc>
          <w:tcPr>
            <w:tcW w:w="5386" w:type="dxa"/>
            <w:vAlign w:val="center"/>
          </w:tcPr>
          <w:p w14:paraId="37D8CFD9">
            <w:pPr>
              <w:pStyle w:val="13"/>
            </w:pPr>
            <w:r>
              <w:t>受益人数</w:t>
            </w:r>
          </w:p>
        </w:tc>
        <w:tc>
          <w:tcPr>
            <w:tcW w:w="2268" w:type="dxa"/>
            <w:vAlign w:val="center"/>
          </w:tcPr>
          <w:p w14:paraId="1F1DF92B">
            <w:pPr>
              <w:pStyle w:val="13"/>
            </w:pPr>
            <w:r>
              <w:t>536人</w:t>
            </w:r>
          </w:p>
        </w:tc>
        <w:tc>
          <w:tcPr>
            <w:tcW w:w="1276" w:type="dxa"/>
            <w:vAlign w:val="center"/>
          </w:tcPr>
          <w:p w14:paraId="3F663739">
            <w:pPr>
              <w:pStyle w:val="13"/>
            </w:pPr>
            <w:r>
              <w:t>项目规划</w:t>
            </w:r>
          </w:p>
        </w:tc>
      </w:tr>
      <w:tr w14:paraId="3455B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1C9911">
            <w:pPr>
              <w:pStyle w:val="12"/>
            </w:pPr>
            <w:r>
              <w:t>满意度指标</w:t>
            </w:r>
          </w:p>
        </w:tc>
        <w:tc>
          <w:tcPr>
            <w:tcW w:w="2268" w:type="dxa"/>
            <w:vAlign w:val="center"/>
          </w:tcPr>
          <w:p w14:paraId="76DFE595">
            <w:pPr>
              <w:pStyle w:val="13"/>
            </w:pPr>
            <w:r>
              <w:t>服务对象满意度指标</w:t>
            </w:r>
          </w:p>
        </w:tc>
        <w:tc>
          <w:tcPr>
            <w:tcW w:w="2835" w:type="dxa"/>
            <w:vAlign w:val="center"/>
          </w:tcPr>
          <w:p w14:paraId="532F7F99">
            <w:pPr>
              <w:pStyle w:val="13"/>
            </w:pPr>
            <w:r>
              <w:t>学生、教师及家长对学校教学环境满意度情况</w:t>
            </w:r>
          </w:p>
        </w:tc>
        <w:tc>
          <w:tcPr>
            <w:tcW w:w="5386" w:type="dxa"/>
            <w:vAlign w:val="center"/>
          </w:tcPr>
          <w:p w14:paraId="0BCBDC71">
            <w:pPr>
              <w:pStyle w:val="13"/>
            </w:pPr>
            <w:r>
              <w:t>学生、教师及家长对学校教学环境满意度情况</w:t>
            </w:r>
          </w:p>
        </w:tc>
        <w:tc>
          <w:tcPr>
            <w:tcW w:w="2268" w:type="dxa"/>
            <w:vAlign w:val="center"/>
          </w:tcPr>
          <w:p w14:paraId="24121CED">
            <w:pPr>
              <w:pStyle w:val="13"/>
            </w:pPr>
            <w:r>
              <w:t>≥95%</w:t>
            </w:r>
          </w:p>
        </w:tc>
        <w:tc>
          <w:tcPr>
            <w:tcW w:w="1276" w:type="dxa"/>
            <w:vAlign w:val="center"/>
          </w:tcPr>
          <w:p w14:paraId="3C2C8512">
            <w:pPr>
              <w:pStyle w:val="13"/>
            </w:pPr>
            <w:r>
              <w:t>调查问卷</w:t>
            </w:r>
          </w:p>
        </w:tc>
      </w:tr>
    </w:tbl>
    <w:p w14:paraId="39DFEE51">
      <w:pPr>
        <w:sectPr>
          <w:pgSz w:w="16840" w:h="11900" w:orient="landscape"/>
          <w:pgMar w:top="1361" w:right="1020" w:bottom="1134" w:left="1020" w:header="720" w:footer="720" w:gutter="0"/>
          <w:cols w:space="720" w:num="1"/>
        </w:sectPr>
      </w:pPr>
    </w:p>
    <w:p w14:paraId="3840AC32">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2、冀财教[2024]123号/中央/2025年义教补助经费/魏家庄中学公用经费绩效目标表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51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8922D">
            <w:pPr>
              <w:pStyle w:val="14"/>
            </w:pPr>
            <w:r>
              <w:t>单位：万元</w:t>
            </w:r>
          </w:p>
        </w:tc>
      </w:tr>
      <w:tr w14:paraId="189DE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49719">
            <w:pPr>
              <w:pStyle w:val="11"/>
            </w:pPr>
            <w:r>
              <w:t>项目编码</w:t>
            </w:r>
          </w:p>
        </w:tc>
        <w:tc>
          <w:tcPr>
            <w:tcW w:w="5103" w:type="dxa"/>
            <w:gridSpan w:val="2"/>
            <w:vAlign w:val="center"/>
          </w:tcPr>
          <w:p w14:paraId="1C72C010">
            <w:pPr>
              <w:pStyle w:val="13"/>
            </w:pPr>
            <w:r>
              <w:t>13052525P00000410044X</w:t>
            </w:r>
          </w:p>
        </w:tc>
        <w:tc>
          <w:tcPr>
            <w:tcW w:w="2835" w:type="dxa"/>
            <w:vAlign w:val="center"/>
          </w:tcPr>
          <w:p w14:paraId="4D20D5C8">
            <w:pPr>
              <w:pStyle w:val="11"/>
            </w:pPr>
            <w:r>
              <w:t>项目名称</w:t>
            </w:r>
          </w:p>
        </w:tc>
        <w:tc>
          <w:tcPr>
            <w:tcW w:w="6095" w:type="dxa"/>
            <w:gridSpan w:val="3"/>
            <w:vAlign w:val="center"/>
          </w:tcPr>
          <w:p w14:paraId="3A49B3FB">
            <w:pPr>
              <w:pStyle w:val="13"/>
            </w:pPr>
            <w:r>
              <w:t>冀财教[2024]123号/中央/2025年义教补助经费/魏家庄中学公用经费</w:t>
            </w:r>
          </w:p>
        </w:tc>
      </w:tr>
      <w:tr w14:paraId="70266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9E042">
            <w:pPr>
              <w:pStyle w:val="11"/>
            </w:pPr>
            <w:r>
              <w:t>预算规模及资金用途</w:t>
            </w:r>
          </w:p>
        </w:tc>
        <w:tc>
          <w:tcPr>
            <w:tcW w:w="2268" w:type="dxa"/>
            <w:vAlign w:val="center"/>
          </w:tcPr>
          <w:p w14:paraId="6FD08201">
            <w:pPr>
              <w:pStyle w:val="11"/>
            </w:pPr>
            <w:r>
              <w:t>预算数</w:t>
            </w:r>
          </w:p>
        </w:tc>
        <w:tc>
          <w:tcPr>
            <w:tcW w:w="2835" w:type="dxa"/>
            <w:vAlign w:val="center"/>
          </w:tcPr>
          <w:p w14:paraId="3A3520DF">
            <w:pPr>
              <w:pStyle w:val="13"/>
            </w:pPr>
            <w:r>
              <w:t>64.94</w:t>
            </w:r>
          </w:p>
        </w:tc>
        <w:tc>
          <w:tcPr>
            <w:tcW w:w="2835" w:type="dxa"/>
            <w:vAlign w:val="center"/>
          </w:tcPr>
          <w:p w14:paraId="08AE9BC7">
            <w:pPr>
              <w:pStyle w:val="11"/>
            </w:pPr>
            <w:r>
              <w:t>其中：财政    资金</w:t>
            </w:r>
          </w:p>
        </w:tc>
        <w:tc>
          <w:tcPr>
            <w:tcW w:w="2551" w:type="dxa"/>
            <w:vAlign w:val="center"/>
          </w:tcPr>
          <w:p w14:paraId="7126EE5E">
            <w:pPr>
              <w:pStyle w:val="13"/>
            </w:pPr>
            <w:r>
              <w:t>64.94</w:t>
            </w:r>
          </w:p>
        </w:tc>
        <w:tc>
          <w:tcPr>
            <w:tcW w:w="2268" w:type="dxa"/>
            <w:vAlign w:val="center"/>
          </w:tcPr>
          <w:p w14:paraId="65013738">
            <w:pPr>
              <w:pStyle w:val="11"/>
            </w:pPr>
            <w:r>
              <w:t>其他资金</w:t>
            </w:r>
          </w:p>
        </w:tc>
        <w:tc>
          <w:tcPr>
            <w:tcW w:w="1276" w:type="dxa"/>
            <w:vAlign w:val="center"/>
          </w:tcPr>
          <w:p w14:paraId="1158BD85">
            <w:pPr>
              <w:pStyle w:val="13"/>
            </w:pPr>
            <w:r>
              <w:t xml:space="preserve"> </w:t>
            </w:r>
          </w:p>
        </w:tc>
      </w:tr>
      <w:tr w14:paraId="7BE0A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C09FBF"/>
        </w:tc>
        <w:tc>
          <w:tcPr>
            <w:tcW w:w="14033" w:type="dxa"/>
            <w:gridSpan w:val="6"/>
            <w:vAlign w:val="center"/>
          </w:tcPr>
          <w:p w14:paraId="2C5B738E">
            <w:pPr>
              <w:pStyle w:val="13"/>
            </w:pPr>
            <w:r>
              <w:t>保障我校正常运转，完成教育教学活动和其他日常工作任务等方面的费用支出。</w:t>
            </w:r>
            <w:r>
              <w:tab/>
            </w:r>
            <w:r>
              <w:tab/>
            </w:r>
          </w:p>
        </w:tc>
      </w:tr>
      <w:tr w14:paraId="4E43C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31670">
            <w:pPr>
              <w:pStyle w:val="11"/>
            </w:pPr>
            <w:r>
              <w:t>资金支出计划（%）</w:t>
            </w:r>
          </w:p>
        </w:tc>
        <w:tc>
          <w:tcPr>
            <w:tcW w:w="5103" w:type="dxa"/>
            <w:gridSpan w:val="2"/>
            <w:vAlign w:val="center"/>
          </w:tcPr>
          <w:p w14:paraId="3B16E17C">
            <w:pPr>
              <w:pStyle w:val="11"/>
            </w:pPr>
            <w:r>
              <w:t>3月底</w:t>
            </w:r>
          </w:p>
        </w:tc>
        <w:tc>
          <w:tcPr>
            <w:tcW w:w="2835" w:type="dxa"/>
            <w:vAlign w:val="center"/>
          </w:tcPr>
          <w:p w14:paraId="07D76A94">
            <w:pPr>
              <w:pStyle w:val="11"/>
            </w:pPr>
            <w:r>
              <w:t>6月底</w:t>
            </w:r>
          </w:p>
        </w:tc>
        <w:tc>
          <w:tcPr>
            <w:tcW w:w="2551" w:type="dxa"/>
            <w:vAlign w:val="center"/>
          </w:tcPr>
          <w:p w14:paraId="4B05CC64">
            <w:pPr>
              <w:pStyle w:val="11"/>
            </w:pPr>
            <w:r>
              <w:t>10月底</w:t>
            </w:r>
          </w:p>
        </w:tc>
        <w:tc>
          <w:tcPr>
            <w:tcW w:w="3544" w:type="dxa"/>
            <w:gridSpan w:val="2"/>
            <w:vAlign w:val="center"/>
          </w:tcPr>
          <w:p w14:paraId="37E36817">
            <w:pPr>
              <w:pStyle w:val="11"/>
            </w:pPr>
            <w:r>
              <w:t>12月底</w:t>
            </w:r>
          </w:p>
        </w:tc>
      </w:tr>
      <w:tr w14:paraId="7BFD0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F2AD8A"/>
        </w:tc>
        <w:tc>
          <w:tcPr>
            <w:tcW w:w="5103" w:type="dxa"/>
            <w:gridSpan w:val="2"/>
            <w:vAlign w:val="center"/>
          </w:tcPr>
          <w:p w14:paraId="15086F2B">
            <w:pPr>
              <w:pStyle w:val="12"/>
            </w:pPr>
            <w:r>
              <w:t>25%</w:t>
            </w:r>
          </w:p>
        </w:tc>
        <w:tc>
          <w:tcPr>
            <w:tcW w:w="2835" w:type="dxa"/>
            <w:vAlign w:val="center"/>
          </w:tcPr>
          <w:p w14:paraId="04993C01">
            <w:pPr>
              <w:pStyle w:val="12"/>
            </w:pPr>
            <w:r>
              <w:t>50%</w:t>
            </w:r>
          </w:p>
        </w:tc>
        <w:tc>
          <w:tcPr>
            <w:tcW w:w="2551" w:type="dxa"/>
            <w:vAlign w:val="center"/>
          </w:tcPr>
          <w:p w14:paraId="7EE7EEAC">
            <w:pPr>
              <w:pStyle w:val="12"/>
            </w:pPr>
            <w:r>
              <w:t>75%</w:t>
            </w:r>
          </w:p>
        </w:tc>
        <w:tc>
          <w:tcPr>
            <w:tcW w:w="3544" w:type="dxa"/>
            <w:gridSpan w:val="2"/>
            <w:vAlign w:val="center"/>
          </w:tcPr>
          <w:p w14:paraId="1B087FBA">
            <w:pPr>
              <w:pStyle w:val="12"/>
            </w:pPr>
            <w:r>
              <w:t>100%</w:t>
            </w:r>
          </w:p>
        </w:tc>
      </w:tr>
      <w:tr w14:paraId="51438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CF56F">
            <w:pPr>
              <w:pStyle w:val="11"/>
            </w:pPr>
            <w:r>
              <w:t>绩效目标</w:t>
            </w:r>
          </w:p>
        </w:tc>
        <w:tc>
          <w:tcPr>
            <w:tcW w:w="14033" w:type="dxa"/>
            <w:gridSpan w:val="6"/>
            <w:vAlign w:val="center"/>
          </w:tcPr>
          <w:p w14:paraId="7905092F">
            <w:pPr>
              <w:pStyle w:val="13"/>
            </w:pPr>
            <w:r>
              <w:t>1.按规定拨付我校公用经费资金649410 元，资金拨付率达到100%。</w:t>
            </w:r>
          </w:p>
          <w:p w14:paraId="49C23916">
            <w:pPr>
              <w:pStyle w:val="13"/>
            </w:pPr>
            <w:r>
              <w:t>2.保障我校正常运转，完成教育教学活动和其他日常工作任务等方面的费用支出。</w:t>
            </w:r>
            <w:r>
              <w:tab/>
            </w:r>
            <w:r>
              <w:tab/>
            </w:r>
            <w:r>
              <w:tab/>
            </w:r>
          </w:p>
        </w:tc>
      </w:tr>
    </w:tbl>
    <w:p w14:paraId="73C5B1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02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E3E86">
            <w:pPr>
              <w:pStyle w:val="11"/>
            </w:pPr>
            <w:r>
              <w:t>一级指标</w:t>
            </w:r>
          </w:p>
        </w:tc>
        <w:tc>
          <w:tcPr>
            <w:tcW w:w="2268" w:type="dxa"/>
            <w:vAlign w:val="center"/>
          </w:tcPr>
          <w:p w14:paraId="355C5E0A">
            <w:pPr>
              <w:pStyle w:val="11"/>
            </w:pPr>
            <w:r>
              <w:t>二级指标</w:t>
            </w:r>
          </w:p>
        </w:tc>
        <w:tc>
          <w:tcPr>
            <w:tcW w:w="2835" w:type="dxa"/>
            <w:vAlign w:val="center"/>
          </w:tcPr>
          <w:p w14:paraId="35ED0252">
            <w:pPr>
              <w:pStyle w:val="11"/>
            </w:pPr>
            <w:r>
              <w:t>三级指标</w:t>
            </w:r>
          </w:p>
        </w:tc>
        <w:tc>
          <w:tcPr>
            <w:tcW w:w="5386" w:type="dxa"/>
            <w:vAlign w:val="center"/>
          </w:tcPr>
          <w:p w14:paraId="07494091">
            <w:pPr>
              <w:pStyle w:val="11"/>
            </w:pPr>
            <w:r>
              <w:t>绩效指标描述</w:t>
            </w:r>
          </w:p>
        </w:tc>
        <w:tc>
          <w:tcPr>
            <w:tcW w:w="2268" w:type="dxa"/>
            <w:vAlign w:val="center"/>
          </w:tcPr>
          <w:p w14:paraId="5ED8E887">
            <w:pPr>
              <w:pStyle w:val="11"/>
            </w:pPr>
            <w:r>
              <w:t>指标值</w:t>
            </w:r>
          </w:p>
        </w:tc>
        <w:tc>
          <w:tcPr>
            <w:tcW w:w="1276" w:type="dxa"/>
            <w:vAlign w:val="center"/>
          </w:tcPr>
          <w:p w14:paraId="2B2E91A6">
            <w:pPr>
              <w:pStyle w:val="11"/>
            </w:pPr>
            <w:r>
              <w:t>指标值确定依据</w:t>
            </w:r>
          </w:p>
        </w:tc>
      </w:tr>
      <w:tr w14:paraId="073CA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01594">
            <w:pPr>
              <w:pStyle w:val="12"/>
            </w:pPr>
            <w:r>
              <w:t>产出指标</w:t>
            </w:r>
          </w:p>
        </w:tc>
        <w:tc>
          <w:tcPr>
            <w:tcW w:w="2268" w:type="dxa"/>
            <w:vAlign w:val="center"/>
          </w:tcPr>
          <w:p w14:paraId="78AC877F">
            <w:pPr>
              <w:pStyle w:val="13"/>
            </w:pPr>
            <w:r>
              <w:t>数量指标</w:t>
            </w:r>
          </w:p>
        </w:tc>
        <w:tc>
          <w:tcPr>
            <w:tcW w:w="2835" w:type="dxa"/>
            <w:vAlign w:val="center"/>
          </w:tcPr>
          <w:p w14:paraId="5DBDFF4D">
            <w:pPr>
              <w:pStyle w:val="13"/>
            </w:pPr>
            <w:r>
              <w:t>适龄在校生</w:t>
            </w:r>
          </w:p>
        </w:tc>
        <w:tc>
          <w:tcPr>
            <w:tcW w:w="5386" w:type="dxa"/>
            <w:vAlign w:val="center"/>
          </w:tcPr>
          <w:p w14:paraId="75EBE18C">
            <w:pPr>
              <w:pStyle w:val="13"/>
            </w:pPr>
            <w:r>
              <w:t>适龄在校就读学生人数</w:t>
            </w:r>
          </w:p>
        </w:tc>
        <w:tc>
          <w:tcPr>
            <w:tcW w:w="2268" w:type="dxa"/>
            <w:vAlign w:val="center"/>
          </w:tcPr>
          <w:p w14:paraId="0154053A">
            <w:pPr>
              <w:pStyle w:val="13"/>
            </w:pPr>
            <w:r>
              <w:t>497人</w:t>
            </w:r>
          </w:p>
        </w:tc>
        <w:tc>
          <w:tcPr>
            <w:tcW w:w="1276" w:type="dxa"/>
            <w:vAlign w:val="center"/>
          </w:tcPr>
          <w:p w14:paraId="772A2B39">
            <w:pPr>
              <w:pStyle w:val="13"/>
            </w:pPr>
            <w:r>
              <w:t>城乡义务教育公用经费管理办法</w:t>
            </w:r>
          </w:p>
        </w:tc>
      </w:tr>
      <w:tr w14:paraId="45F57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74549"/>
        </w:tc>
        <w:tc>
          <w:tcPr>
            <w:tcW w:w="2268" w:type="dxa"/>
            <w:vAlign w:val="center"/>
          </w:tcPr>
          <w:p w14:paraId="29900063">
            <w:pPr>
              <w:pStyle w:val="13"/>
            </w:pPr>
            <w:r>
              <w:t>质量指标</w:t>
            </w:r>
          </w:p>
        </w:tc>
        <w:tc>
          <w:tcPr>
            <w:tcW w:w="2835" w:type="dxa"/>
            <w:vAlign w:val="center"/>
          </w:tcPr>
          <w:p w14:paraId="6A51FD33">
            <w:pPr>
              <w:pStyle w:val="13"/>
            </w:pPr>
            <w:r>
              <w:t>预算执行率</w:t>
            </w:r>
          </w:p>
        </w:tc>
        <w:tc>
          <w:tcPr>
            <w:tcW w:w="5386" w:type="dxa"/>
            <w:vAlign w:val="center"/>
          </w:tcPr>
          <w:p w14:paraId="09FD68A6">
            <w:pPr>
              <w:pStyle w:val="13"/>
            </w:pPr>
            <w:r>
              <w:t>预算执行率</w:t>
            </w:r>
          </w:p>
        </w:tc>
        <w:tc>
          <w:tcPr>
            <w:tcW w:w="2268" w:type="dxa"/>
            <w:vAlign w:val="center"/>
          </w:tcPr>
          <w:p w14:paraId="782FB2F6">
            <w:pPr>
              <w:pStyle w:val="13"/>
            </w:pPr>
            <w:r>
              <w:t>≥98%</w:t>
            </w:r>
          </w:p>
        </w:tc>
        <w:tc>
          <w:tcPr>
            <w:tcW w:w="1276" w:type="dxa"/>
            <w:vAlign w:val="center"/>
          </w:tcPr>
          <w:p w14:paraId="22DC19A3">
            <w:pPr>
              <w:pStyle w:val="13"/>
            </w:pPr>
            <w:r>
              <w:t>城乡义务教育公用经费管理办法</w:t>
            </w:r>
          </w:p>
        </w:tc>
      </w:tr>
      <w:tr w14:paraId="3B0CF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DFF7D"/>
        </w:tc>
        <w:tc>
          <w:tcPr>
            <w:tcW w:w="2268" w:type="dxa"/>
            <w:vAlign w:val="center"/>
          </w:tcPr>
          <w:p w14:paraId="2195BCC5">
            <w:pPr>
              <w:pStyle w:val="13"/>
            </w:pPr>
            <w:r>
              <w:t>时效指标</w:t>
            </w:r>
          </w:p>
        </w:tc>
        <w:tc>
          <w:tcPr>
            <w:tcW w:w="2835" w:type="dxa"/>
            <w:vAlign w:val="center"/>
          </w:tcPr>
          <w:p w14:paraId="57E858DF">
            <w:pPr>
              <w:pStyle w:val="13"/>
            </w:pPr>
            <w:r>
              <w:t>资金支付率</w:t>
            </w:r>
          </w:p>
        </w:tc>
        <w:tc>
          <w:tcPr>
            <w:tcW w:w="5386" w:type="dxa"/>
            <w:vAlign w:val="center"/>
          </w:tcPr>
          <w:p w14:paraId="46513EEE">
            <w:pPr>
              <w:pStyle w:val="13"/>
            </w:pPr>
            <w:r>
              <w:t>按照序时进度完成资金支付</w:t>
            </w:r>
          </w:p>
        </w:tc>
        <w:tc>
          <w:tcPr>
            <w:tcW w:w="2268" w:type="dxa"/>
            <w:vAlign w:val="center"/>
          </w:tcPr>
          <w:p w14:paraId="19CFAE29">
            <w:pPr>
              <w:pStyle w:val="13"/>
            </w:pPr>
            <w:r>
              <w:t>100%</w:t>
            </w:r>
          </w:p>
        </w:tc>
        <w:tc>
          <w:tcPr>
            <w:tcW w:w="1276" w:type="dxa"/>
            <w:vAlign w:val="center"/>
          </w:tcPr>
          <w:p w14:paraId="2BAE6045">
            <w:pPr>
              <w:pStyle w:val="13"/>
            </w:pPr>
            <w:r>
              <w:t>城乡义务教育公用经费管理办法</w:t>
            </w:r>
          </w:p>
        </w:tc>
      </w:tr>
      <w:tr w14:paraId="6E2C6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813DA"/>
        </w:tc>
        <w:tc>
          <w:tcPr>
            <w:tcW w:w="2268" w:type="dxa"/>
            <w:vAlign w:val="center"/>
          </w:tcPr>
          <w:p w14:paraId="7F4E5C8C">
            <w:pPr>
              <w:pStyle w:val="13"/>
            </w:pPr>
            <w:r>
              <w:t>成本指标</w:t>
            </w:r>
          </w:p>
        </w:tc>
        <w:tc>
          <w:tcPr>
            <w:tcW w:w="2835" w:type="dxa"/>
            <w:vAlign w:val="center"/>
          </w:tcPr>
          <w:p w14:paraId="299C18A4">
            <w:pPr>
              <w:pStyle w:val="13"/>
            </w:pPr>
            <w:r>
              <w:t>生均拨款标准</w:t>
            </w:r>
          </w:p>
        </w:tc>
        <w:tc>
          <w:tcPr>
            <w:tcW w:w="5386" w:type="dxa"/>
            <w:vAlign w:val="center"/>
          </w:tcPr>
          <w:p w14:paraId="51B5CC04">
            <w:pPr>
              <w:pStyle w:val="13"/>
            </w:pPr>
            <w:r>
              <w:t>基本标准940元、寄宿生300元、取暖补助120元）/生/学年；随班就读学生：标准7000元/生/学年。</w:t>
            </w:r>
          </w:p>
        </w:tc>
        <w:tc>
          <w:tcPr>
            <w:tcW w:w="2268" w:type="dxa"/>
            <w:vAlign w:val="center"/>
          </w:tcPr>
          <w:p w14:paraId="398740FE">
            <w:pPr>
              <w:pStyle w:val="13"/>
            </w:pPr>
            <w:r>
              <w:t>1360元</w:t>
            </w:r>
          </w:p>
        </w:tc>
        <w:tc>
          <w:tcPr>
            <w:tcW w:w="1276" w:type="dxa"/>
            <w:vAlign w:val="center"/>
          </w:tcPr>
          <w:p w14:paraId="2EF74A5F">
            <w:pPr>
              <w:pStyle w:val="13"/>
            </w:pPr>
            <w:r>
              <w:t>城乡义务教育公用经费管理办法</w:t>
            </w:r>
          </w:p>
        </w:tc>
      </w:tr>
      <w:tr w14:paraId="081FC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0F095A">
            <w:pPr>
              <w:pStyle w:val="12"/>
            </w:pPr>
            <w:r>
              <w:t>效益指标</w:t>
            </w:r>
          </w:p>
        </w:tc>
        <w:tc>
          <w:tcPr>
            <w:tcW w:w="2268" w:type="dxa"/>
            <w:vAlign w:val="center"/>
          </w:tcPr>
          <w:p w14:paraId="6D0EC169">
            <w:pPr>
              <w:pStyle w:val="13"/>
            </w:pPr>
            <w:r>
              <w:t>可持续影响指标</w:t>
            </w:r>
          </w:p>
        </w:tc>
        <w:tc>
          <w:tcPr>
            <w:tcW w:w="2835" w:type="dxa"/>
            <w:vAlign w:val="center"/>
          </w:tcPr>
          <w:p w14:paraId="045F9B01">
            <w:pPr>
              <w:pStyle w:val="13"/>
            </w:pPr>
            <w:r>
              <w:t>学校运转得到提高</w:t>
            </w:r>
          </w:p>
        </w:tc>
        <w:tc>
          <w:tcPr>
            <w:tcW w:w="5386" w:type="dxa"/>
            <w:vAlign w:val="center"/>
          </w:tcPr>
          <w:p w14:paraId="2AC191B1">
            <w:pPr>
              <w:pStyle w:val="13"/>
            </w:pPr>
            <w:r>
              <w:t>学生受教育年限</w:t>
            </w:r>
          </w:p>
        </w:tc>
        <w:tc>
          <w:tcPr>
            <w:tcW w:w="2268" w:type="dxa"/>
            <w:vAlign w:val="center"/>
          </w:tcPr>
          <w:p w14:paraId="23DFBB8B">
            <w:pPr>
              <w:pStyle w:val="13"/>
            </w:pPr>
            <w:r>
              <w:t>3年</w:t>
            </w:r>
          </w:p>
        </w:tc>
        <w:tc>
          <w:tcPr>
            <w:tcW w:w="1276" w:type="dxa"/>
            <w:vAlign w:val="center"/>
          </w:tcPr>
          <w:p w14:paraId="044B5FDC">
            <w:pPr>
              <w:pStyle w:val="13"/>
            </w:pPr>
            <w:r>
              <w:t>城乡义务教育公用经费管理办法</w:t>
            </w:r>
          </w:p>
        </w:tc>
      </w:tr>
      <w:tr w14:paraId="52729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689DEE">
            <w:pPr>
              <w:pStyle w:val="12"/>
            </w:pPr>
            <w:r>
              <w:t>满意度指标</w:t>
            </w:r>
          </w:p>
        </w:tc>
        <w:tc>
          <w:tcPr>
            <w:tcW w:w="2268" w:type="dxa"/>
            <w:vAlign w:val="center"/>
          </w:tcPr>
          <w:p w14:paraId="0211694C">
            <w:pPr>
              <w:pStyle w:val="13"/>
            </w:pPr>
            <w:r>
              <w:t>服务对象满意度指标</w:t>
            </w:r>
          </w:p>
        </w:tc>
        <w:tc>
          <w:tcPr>
            <w:tcW w:w="2835" w:type="dxa"/>
            <w:vAlign w:val="center"/>
          </w:tcPr>
          <w:p w14:paraId="24F45CC6">
            <w:pPr>
              <w:pStyle w:val="13"/>
            </w:pPr>
            <w:r>
              <w:t>受益学生家长及调查满意度</w:t>
            </w:r>
          </w:p>
        </w:tc>
        <w:tc>
          <w:tcPr>
            <w:tcW w:w="5386" w:type="dxa"/>
            <w:vAlign w:val="center"/>
          </w:tcPr>
          <w:p w14:paraId="6E5FE7EB">
            <w:pPr>
              <w:pStyle w:val="13"/>
            </w:pPr>
            <w:r>
              <w:t>学生、教师及家长满意度情况</w:t>
            </w:r>
          </w:p>
        </w:tc>
        <w:tc>
          <w:tcPr>
            <w:tcW w:w="2268" w:type="dxa"/>
            <w:vAlign w:val="center"/>
          </w:tcPr>
          <w:p w14:paraId="1A88DDF5">
            <w:pPr>
              <w:pStyle w:val="13"/>
            </w:pPr>
            <w:r>
              <w:t>≥95%</w:t>
            </w:r>
          </w:p>
        </w:tc>
        <w:tc>
          <w:tcPr>
            <w:tcW w:w="1276" w:type="dxa"/>
            <w:vAlign w:val="center"/>
          </w:tcPr>
          <w:p w14:paraId="23C752BC">
            <w:pPr>
              <w:pStyle w:val="13"/>
            </w:pPr>
            <w:r>
              <w:t>调查问卷</w:t>
            </w:r>
          </w:p>
        </w:tc>
      </w:tr>
    </w:tbl>
    <w:p w14:paraId="7EEAB2FF">
      <w:pPr>
        <w:sectPr>
          <w:pgSz w:w="16840" w:h="11900" w:orient="landscape"/>
          <w:pgMar w:top="1361" w:right="1020" w:bottom="1134" w:left="1020" w:header="720" w:footer="720" w:gutter="0"/>
          <w:cols w:space="720" w:num="1"/>
        </w:sectPr>
      </w:pPr>
    </w:p>
    <w:p w14:paraId="678FFB85">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3、冀财教[2024]123号/中央/2025年义教补助经费/校舍安全保障/魏家庄中学教学楼维修改造绩效目标表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A0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B13C5">
            <w:pPr>
              <w:pStyle w:val="14"/>
            </w:pPr>
            <w:r>
              <w:t>单位：万元</w:t>
            </w:r>
          </w:p>
        </w:tc>
      </w:tr>
      <w:tr w14:paraId="6B4AB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25A4D">
            <w:pPr>
              <w:pStyle w:val="11"/>
            </w:pPr>
            <w:r>
              <w:t>项目编码</w:t>
            </w:r>
          </w:p>
        </w:tc>
        <w:tc>
          <w:tcPr>
            <w:tcW w:w="5103" w:type="dxa"/>
            <w:gridSpan w:val="2"/>
            <w:vAlign w:val="center"/>
          </w:tcPr>
          <w:p w14:paraId="4315C861">
            <w:pPr>
              <w:pStyle w:val="13"/>
            </w:pPr>
            <w:r>
              <w:t>13052525P00876210003M</w:t>
            </w:r>
          </w:p>
        </w:tc>
        <w:tc>
          <w:tcPr>
            <w:tcW w:w="2835" w:type="dxa"/>
            <w:vAlign w:val="center"/>
          </w:tcPr>
          <w:p w14:paraId="43885693">
            <w:pPr>
              <w:pStyle w:val="11"/>
            </w:pPr>
            <w:r>
              <w:t>项目名称</w:t>
            </w:r>
          </w:p>
        </w:tc>
        <w:tc>
          <w:tcPr>
            <w:tcW w:w="6095" w:type="dxa"/>
            <w:gridSpan w:val="3"/>
            <w:vAlign w:val="center"/>
          </w:tcPr>
          <w:p w14:paraId="765CC8BA">
            <w:pPr>
              <w:pStyle w:val="13"/>
            </w:pPr>
            <w:r>
              <w:t>冀财教[2024]123号/中央/2025年义教补助经费/校舍安全保障/魏家庄中学教学楼维修改造</w:t>
            </w:r>
          </w:p>
        </w:tc>
      </w:tr>
      <w:tr w14:paraId="3E5C3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C891C">
            <w:pPr>
              <w:pStyle w:val="11"/>
            </w:pPr>
            <w:r>
              <w:t>预算规模及资金用途</w:t>
            </w:r>
          </w:p>
        </w:tc>
        <w:tc>
          <w:tcPr>
            <w:tcW w:w="2268" w:type="dxa"/>
            <w:vAlign w:val="center"/>
          </w:tcPr>
          <w:p w14:paraId="12C7E082">
            <w:pPr>
              <w:pStyle w:val="11"/>
            </w:pPr>
            <w:r>
              <w:t>预算数</w:t>
            </w:r>
          </w:p>
        </w:tc>
        <w:tc>
          <w:tcPr>
            <w:tcW w:w="2835" w:type="dxa"/>
            <w:vAlign w:val="center"/>
          </w:tcPr>
          <w:p w14:paraId="20EBF3F1">
            <w:pPr>
              <w:pStyle w:val="13"/>
            </w:pPr>
            <w:r>
              <w:t>52.00</w:t>
            </w:r>
          </w:p>
        </w:tc>
        <w:tc>
          <w:tcPr>
            <w:tcW w:w="2835" w:type="dxa"/>
            <w:vAlign w:val="center"/>
          </w:tcPr>
          <w:p w14:paraId="77FF0783">
            <w:pPr>
              <w:pStyle w:val="11"/>
            </w:pPr>
            <w:r>
              <w:t>其中：财政    资金</w:t>
            </w:r>
          </w:p>
        </w:tc>
        <w:tc>
          <w:tcPr>
            <w:tcW w:w="2551" w:type="dxa"/>
            <w:vAlign w:val="center"/>
          </w:tcPr>
          <w:p w14:paraId="69D9ADC4">
            <w:pPr>
              <w:pStyle w:val="13"/>
            </w:pPr>
            <w:r>
              <w:t>52.00</w:t>
            </w:r>
          </w:p>
        </w:tc>
        <w:tc>
          <w:tcPr>
            <w:tcW w:w="2268" w:type="dxa"/>
            <w:vAlign w:val="center"/>
          </w:tcPr>
          <w:p w14:paraId="54D5AC1F">
            <w:pPr>
              <w:pStyle w:val="11"/>
            </w:pPr>
            <w:r>
              <w:t>其他资金</w:t>
            </w:r>
          </w:p>
        </w:tc>
        <w:tc>
          <w:tcPr>
            <w:tcW w:w="1276" w:type="dxa"/>
            <w:vAlign w:val="center"/>
          </w:tcPr>
          <w:p w14:paraId="10E4DA6F">
            <w:pPr>
              <w:pStyle w:val="13"/>
            </w:pPr>
            <w:r>
              <w:t xml:space="preserve"> </w:t>
            </w:r>
          </w:p>
        </w:tc>
      </w:tr>
      <w:tr w14:paraId="6C20E1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43AF8"/>
        </w:tc>
        <w:tc>
          <w:tcPr>
            <w:tcW w:w="14033" w:type="dxa"/>
            <w:gridSpan w:val="6"/>
            <w:vAlign w:val="center"/>
          </w:tcPr>
          <w:p w14:paraId="1616E527">
            <w:pPr>
              <w:pStyle w:val="13"/>
            </w:pPr>
            <w:r>
              <w:t>保证学校正常运转和改善办学条件</w:t>
            </w:r>
          </w:p>
        </w:tc>
      </w:tr>
      <w:tr w14:paraId="14A83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1CFB8">
            <w:pPr>
              <w:pStyle w:val="11"/>
            </w:pPr>
            <w:r>
              <w:t>资金支出计划（%）</w:t>
            </w:r>
          </w:p>
        </w:tc>
        <w:tc>
          <w:tcPr>
            <w:tcW w:w="5103" w:type="dxa"/>
            <w:gridSpan w:val="2"/>
            <w:vAlign w:val="center"/>
          </w:tcPr>
          <w:p w14:paraId="6D712EB3">
            <w:pPr>
              <w:pStyle w:val="11"/>
            </w:pPr>
            <w:r>
              <w:t>3月底</w:t>
            </w:r>
          </w:p>
        </w:tc>
        <w:tc>
          <w:tcPr>
            <w:tcW w:w="2835" w:type="dxa"/>
            <w:vAlign w:val="center"/>
          </w:tcPr>
          <w:p w14:paraId="738B7EE3">
            <w:pPr>
              <w:pStyle w:val="11"/>
            </w:pPr>
            <w:r>
              <w:t>6月底</w:t>
            </w:r>
          </w:p>
        </w:tc>
        <w:tc>
          <w:tcPr>
            <w:tcW w:w="2551" w:type="dxa"/>
            <w:vAlign w:val="center"/>
          </w:tcPr>
          <w:p w14:paraId="4831F489">
            <w:pPr>
              <w:pStyle w:val="11"/>
            </w:pPr>
            <w:r>
              <w:t>10月底</w:t>
            </w:r>
          </w:p>
        </w:tc>
        <w:tc>
          <w:tcPr>
            <w:tcW w:w="3544" w:type="dxa"/>
            <w:gridSpan w:val="2"/>
            <w:vAlign w:val="center"/>
          </w:tcPr>
          <w:p w14:paraId="7FA6FD17">
            <w:pPr>
              <w:pStyle w:val="11"/>
            </w:pPr>
            <w:r>
              <w:t>12月底</w:t>
            </w:r>
          </w:p>
        </w:tc>
      </w:tr>
      <w:tr w14:paraId="7526A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836DA"/>
        </w:tc>
        <w:tc>
          <w:tcPr>
            <w:tcW w:w="5103" w:type="dxa"/>
            <w:gridSpan w:val="2"/>
            <w:vAlign w:val="center"/>
          </w:tcPr>
          <w:p w14:paraId="55208F03">
            <w:pPr>
              <w:pStyle w:val="12"/>
            </w:pPr>
            <w:r>
              <w:t>25%</w:t>
            </w:r>
          </w:p>
        </w:tc>
        <w:tc>
          <w:tcPr>
            <w:tcW w:w="2835" w:type="dxa"/>
            <w:vAlign w:val="center"/>
          </w:tcPr>
          <w:p w14:paraId="3DE798CC">
            <w:pPr>
              <w:pStyle w:val="12"/>
            </w:pPr>
            <w:r>
              <w:t>50%</w:t>
            </w:r>
          </w:p>
        </w:tc>
        <w:tc>
          <w:tcPr>
            <w:tcW w:w="2551" w:type="dxa"/>
            <w:vAlign w:val="center"/>
          </w:tcPr>
          <w:p w14:paraId="11743D9D">
            <w:pPr>
              <w:pStyle w:val="12"/>
            </w:pPr>
            <w:r>
              <w:t>75%</w:t>
            </w:r>
          </w:p>
        </w:tc>
        <w:tc>
          <w:tcPr>
            <w:tcW w:w="3544" w:type="dxa"/>
            <w:gridSpan w:val="2"/>
            <w:vAlign w:val="center"/>
          </w:tcPr>
          <w:p w14:paraId="3CEC0149">
            <w:pPr>
              <w:pStyle w:val="12"/>
            </w:pPr>
            <w:r>
              <w:t>100%</w:t>
            </w:r>
          </w:p>
        </w:tc>
      </w:tr>
      <w:tr w14:paraId="68B98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D67CA">
            <w:pPr>
              <w:pStyle w:val="11"/>
            </w:pPr>
            <w:r>
              <w:t>绩效目标</w:t>
            </w:r>
          </w:p>
        </w:tc>
        <w:tc>
          <w:tcPr>
            <w:tcW w:w="14033" w:type="dxa"/>
            <w:gridSpan w:val="6"/>
            <w:vAlign w:val="center"/>
          </w:tcPr>
          <w:p w14:paraId="19059EE0">
            <w:pPr>
              <w:pStyle w:val="13"/>
            </w:pPr>
            <w:r>
              <w:t>1.按拨款时序进度完成经费拨付和支付</w:t>
            </w:r>
          </w:p>
          <w:p w14:paraId="5FC9C927">
            <w:pPr>
              <w:pStyle w:val="13"/>
            </w:pPr>
          </w:p>
          <w:p w14:paraId="6C947BE1">
            <w:pPr>
              <w:pStyle w:val="13"/>
            </w:pPr>
            <w:r>
              <w:t>2.保证学校正常运转和改善办学条件</w:t>
            </w:r>
          </w:p>
        </w:tc>
      </w:tr>
    </w:tbl>
    <w:p w14:paraId="48C6D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DB1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B23BB">
            <w:pPr>
              <w:pStyle w:val="11"/>
            </w:pPr>
            <w:r>
              <w:t>一级指标</w:t>
            </w:r>
          </w:p>
        </w:tc>
        <w:tc>
          <w:tcPr>
            <w:tcW w:w="2268" w:type="dxa"/>
            <w:vAlign w:val="center"/>
          </w:tcPr>
          <w:p w14:paraId="172F028A">
            <w:pPr>
              <w:pStyle w:val="11"/>
            </w:pPr>
            <w:r>
              <w:t>二级指标</w:t>
            </w:r>
          </w:p>
        </w:tc>
        <w:tc>
          <w:tcPr>
            <w:tcW w:w="2835" w:type="dxa"/>
            <w:vAlign w:val="center"/>
          </w:tcPr>
          <w:p w14:paraId="4799E78D">
            <w:pPr>
              <w:pStyle w:val="11"/>
            </w:pPr>
            <w:r>
              <w:t>三级指标</w:t>
            </w:r>
          </w:p>
        </w:tc>
        <w:tc>
          <w:tcPr>
            <w:tcW w:w="5386" w:type="dxa"/>
            <w:vAlign w:val="center"/>
          </w:tcPr>
          <w:p w14:paraId="13E60480">
            <w:pPr>
              <w:pStyle w:val="11"/>
            </w:pPr>
            <w:r>
              <w:t>绩效指标描述</w:t>
            </w:r>
          </w:p>
        </w:tc>
        <w:tc>
          <w:tcPr>
            <w:tcW w:w="2268" w:type="dxa"/>
            <w:vAlign w:val="center"/>
          </w:tcPr>
          <w:p w14:paraId="207A94AE">
            <w:pPr>
              <w:pStyle w:val="11"/>
            </w:pPr>
            <w:r>
              <w:t>指标值</w:t>
            </w:r>
          </w:p>
        </w:tc>
        <w:tc>
          <w:tcPr>
            <w:tcW w:w="1276" w:type="dxa"/>
            <w:vAlign w:val="center"/>
          </w:tcPr>
          <w:p w14:paraId="76BC165A">
            <w:pPr>
              <w:pStyle w:val="11"/>
            </w:pPr>
            <w:r>
              <w:t>指标值确定依据</w:t>
            </w:r>
          </w:p>
        </w:tc>
      </w:tr>
      <w:tr w14:paraId="13D9B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73FBE">
            <w:pPr>
              <w:pStyle w:val="12"/>
            </w:pPr>
            <w:r>
              <w:t>产出指标</w:t>
            </w:r>
          </w:p>
        </w:tc>
        <w:tc>
          <w:tcPr>
            <w:tcW w:w="2268" w:type="dxa"/>
            <w:vAlign w:val="center"/>
          </w:tcPr>
          <w:p w14:paraId="2EFF369E">
            <w:pPr>
              <w:pStyle w:val="13"/>
            </w:pPr>
            <w:r>
              <w:t>数量指标</w:t>
            </w:r>
          </w:p>
        </w:tc>
        <w:tc>
          <w:tcPr>
            <w:tcW w:w="2835" w:type="dxa"/>
            <w:vAlign w:val="center"/>
          </w:tcPr>
          <w:p w14:paraId="6B5B5BE5">
            <w:pPr>
              <w:pStyle w:val="13"/>
            </w:pPr>
            <w:r>
              <w:t>教学楼维修改造</w:t>
            </w:r>
          </w:p>
        </w:tc>
        <w:tc>
          <w:tcPr>
            <w:tcW w:w="5386" w:type="dxa"/>
            <w:vAlign w:val="center"/>
          </w:tcPr>
          <w:p w14:paraId="7239E37F">
            <w:pPr>
              <w:pStyle w:val="13"/>
            </w:pPr>
            <w:r>
              <w:t>对学校教学楼装修铝塑板</w:t>
            </w:r>
          </w:p>
        </w:tc>
        <w:tc>
          <w:tcPr>
            <w:tcW w:w="2268" w:type="dxa"/>
            <w:vAlign w:val="center"/>
          </w:tcPr>
          <w:p w14:paraId="0C2CDBEB">
            <w:pPr>
              <w:pStyle w:val="13"/>
            </w:pPr>
            <w:r>
              <w:t>2542平方米</w:t>
            </w:r>
          </w:p>
        </w:tc>
        <w:tc>
          <w:tcPr>
            <w:tcW w:w="1276" w:type="dxa"/>
            <w:vAlign w:val="center"/>
          </w:tcPr>
          <w:p w14:paraId="49E65D95">
            <w:pPr>
              <w:pStyle w:val="13"/>
            </w:pPr>
            <w:r>
              <w:t>项目规划</w:t>
            </w:r>
          </w:p>
        </w:tc>
      </w:tr>
      <w:tr w14:paraId="124CC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1E699"/>
        </w:tc>
        <w:tc>
          <w:tcPr>
            <w:tcW w:w="2268" w:type="dxa"/>
            <w:vAlign w:val="center"/>
          </w:tcPr>
          <w:p w14:paraId="4606F54B">
            <w:pPr>
              <w:pStyle w:val="13"/>
            </w:pPr>
            <w:r>
              <w:t>数量指标</w:t>
            </w:r>
          </w:p>
        </w:tc>
        <w:tc>
          <w:tcPr>
            <w:tcW w:w="2835" w:type="dxa"/>
            <w:vAlign w:val="center"/>
          </w:tcPr>
          <w:p w14:paraId="4CED891E">
            <w:pPr>
              <w:pStyle w:val="13"/>
            </w:pPr>
            <w:r>
              <w:t>教学楼维修改造</w:t>
            </w:r>
          </w:p>
        </w:tc>
        <w:tc>
          <w:tcPr>
            <w:tcW w:w="5386" w:type="dxa"/>
            <w:vAlign w:val="center"/>
          </w:tcPr>
          <w:p w14:paraId="5918B5B5">
            <w:pPr>
              <w:pStyle w:val="13"/>
            </w:pPr>
            <w:r>
              <w:t>对学校教学楼外墙保温层更换，粉刷</w:t>
            </w:r>
          </w:p>
        </w:tc>
        <w:tc>
          <w:tcPr>
            <w:tcW w:w="2268" w:type="dxa"/>
            <w:vAlign w:val="center"/>
          </w:tcPr>
          <w:p w14:paraId="476F04E0">
            <w:pPr>
              <w:pStyle w:val="13"/>
            </w:pPr>
            <w:r>
              <w:t>1711平方米</w:t>
            </w:r>
          </w:p>
        </w:tc>
        <w:tc>
          <w:tcPr>
            <w:tcW w:w="1276" w:type="dxa"/>
            <w:vAlign w:val="center"/>
          </w:tcPr>
          <w:p w14:paraId="4FCEA0A4">
            <w:pPr>
              <w:pStyle w:val="13"/>
            </w:pPr>
            <w:r>
              <w:t>项目规划</w:t>
            </w:r>
          </w:p>
        </w:tc>
      </w:tr>
      <w:tr w14:paraId="16F8C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7A661"/>
        </w:tc>
        <w:tc>
          <w:tcPr>
            <w:tcW w:w="2268" w:type="dxa"/>
            <w:vAlign w:val="center"/>
          </w:tcPr>
          <w:p w14:paraId="7DCE4D31">
            <w:pPr>
              <w:pStyle w:val="13"/>
            </w:pPr>
            <w:r>
              <w:t>质量指标</w:t>
            </w:r>
          </w:p>
        </w:tc>
        <w:tc>
          <w:tcPr>
            <w:tcW w:w="2835" w:type="dxa"/>
            <w:vAlign w:val="center"/>
          </w:tcPr>
          <w:p w14:paraId="07DF3E53">
            <w:pPr>
              <w:pStyle w:val="13"/>
            </w:pPr>
            <w:r>
              <w:t>工程实施验收合格率</w:t>
            </w:r>
          </w:p>
        </w:tc>
        <w:tc>
          <w:tcPr>
            <w:tcW w:w="5386" w:type="dxa"/>
            <w:vAlign w:val="center"/>
          </w:tcPr>
          <w:p w14:paraId="38C8F66C">
            <w:pPr>
              <w:pStyle w:val="13"/>
            </w:pPr>
            <w:r>
              <w:t>申报程序的合规，项目实施及资金使用符合项目规划</w:t>
            </w:r>
          </w:p>
        </w:tc>
        <w:tc>
          <w:tcPr>
            <w:tcW w:w="2268" w:type="dxa"/>
            <w:vAlign w:val="center"/>
          </w:tcPr>
          <w:p w14:paraId="255B6FAE">
            <w:pPr>
              <w:pStyle w:val="13"/>
            </w:pPr>
            <w:r>
              <w:t>≥100%</w:t>
            </w:r>
          </w:p>
        </w:tc>
        <w:tc>
          <w:tcPr>
            <w:tcW w:w="1276" w:type="dxa"/>
            <w:vAlign w:val="center"/>
          </w:tcPr>
          <w:p w14:paraId="175BB24D">
            <w:pPr>
              <w:pStyle w:val="13"/>
            </w:pPr>
            <w:r>
              <w:t>项目规划</w:t>
            </w:r>
          </w:p>
        </w:tc>
      </w:tr>
      <w:tr w14:paraId="2BE0F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E27FE"/>
        </w:tc>
        <w:tc>
          <w:tcPr>
            <w:tcW w:w="2268" w:type="dxa"/>
            <w:vAlign w:val="center"/>
          </w:tcPr>
          <w:p w14:paraId="416AD21F">
            <w:pPr>
              <w:pStyle w:val="13"/>
            </w:pPr>
            <w:r>
              <w:t>时效指标</w:t>
            </w:r>
          </w:p>
        </w:tc>
        <w:tc>
          <w:tcPr>
            <w:tcW w:w="2835" w:type="dxa"/>
            <w:vAlign w:val="center"/>
          </w:tcPr>
          <w:p w14:paraId="40DF84A4">
            <w:pPr>
              <w:pStyle w:val="13"/>
            </w:pPr>
            <w:r>
              <w:t>资金支付率</w:t>
            </w:r>
          </w:p>
        </w:tc>
        <w:tc>
          <w:tcPr>
            <w:tcW w:w="5386" w:type="dxa"/>
            <w:vAlign w:val="center"/>
          </w:tcPr>
          <w:p w14:paraId="4F733B24">
            <w:pPr>
              <w:pStyle w:val="13"/>
            </w:pPr>
            <w:r>
              <w:t>按照序时进度完成资金支付</w:t>
            </w:r>
          </w:p>
        </w:tc>
        <w:tc>
          <w:tcPr>
            <w:tcW w:w="2268" w:type="dxa"/>
            <w:vAlign w:val="center"/>
          </w:tcPr>
          <w:p w14:paraId="555FFD40">
            <w:pPr>
              <w:pStyle w:val="13"/>
            </w:pPr>
            <w:r>
              <w:t>≥100%</w:t>
            </w:r>
          </w:p>
        </w:tc>
        <w:tc>
          <w:tcPr>
            <w:tcW w:w="1276" w:type="dxa"/>
            <w:vAlign w:val="center"/>
          </w:tcPr>
          <w:p w14:paraId="331FA0BE">
            <w:pPr>
              <w:pStyle w:val="13"/>
            </w:pPr>
            <w:r>
              <w:t>项目规划</w:t>
            </w:r>
          </w:p>
        </w:tc>
      </w:tr>
      <w:tr w14:paraId="75B9C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DCA9F"/>
        </w:tc>
        <w:tc>
          <w:tcPr>
            <w:tcW w:w="2268" w:type="dxa"/>
            <w:vAlign w:val="center"/>
          </w:tcPr>
          <w:p w14:paraId="226198B4">
            <w:pPr>
              <w:pStyle w:val="13"/>
            </w:pPr>
            <w:r>
              <w:t>成本指标</w:t>
            </w:r>
          </w:p>
        </w:tc>
        <w:tc>
          <w:tcPr>
            <w:tcW w:w="2835" w:type="dxa"/>
            <w:vAlign w:val="center"/>
          </w:tcPr>
          <w:p w14:paraId="2410B4F6">
            <w:pPr>
              <w:pStyle w:val="13"/>
            </w:pPr>
            <w:r>
              <w:t>项目成本控制情况</w:t>
            </w:r>
          </w:p>
        </w:tc>
        <w:tc>
          <w:tcPr>
            <w:tcW w:w="5386" w:type="dxa"/>
            <w:vAlign w:val="center"/>
          </w:tcPr>
          <w:p w14:paraId="33B81D4A">
            <w:pPr>
              <w:pStyle w:val="13"/>
            </w:pPr>
            <w:r>
              <w:t>严格按照招标价格及审计额进行</w:t>
            </w:r>
          </w:p>
        </w:tc>
        <w:tc>
          <w:tcPr>
            <w:tcW w:w="2268" w:type="dxa"/>
            <w:vAlign w:val="center"/>
          </w:tcPr>
          <w:p w14:paraId="4AE4A4D7">
            <w:pPr>
              <w:pStyle w:val="13"/>
            </w:pPr>
            <w:r>
              <w:t>≤52万元</w:t>
            </w:r>
          </w:p>
        </w:tc>
        <w:tc>
          <w:tcPr>
            <w:tcW w:w="1276" w:type="dxa"/>
            <w:vAlign w:val="center"/>
          </w:tcPr>
          <w:p w14:paraId="10E7C61A">
            <w:pPr>
              <w:pStyle w:val="13"/>
            </w:pPr>
            <w:r>
              <w:t>项目规划</w:t>
            </w:r>
          </w:p>
        </w:tc>
      </w:tr>
      <w:tr w14:paraId="652DC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45385">
            <w:pPr>
              <w:pStyle w:val="12"/>
            </w:pPr>
            <w:r>
              <w:t>效益指标</w:t>
            </w:r>
          </w:p>
        </w:tc>
        <w:tc>
          <w:tcPr>
            <w:tcW w:w="2268" w:type="dxa"/>
            <w:vAlign w:val="center"/>
          </w:tcPr>
          <w:p w14:paraId="2755D904">
            <w:pPr>
              <w:pStyle w:val="13"/>
            </w:pPr>
            <w:r>
              <w:t>可持续影响指标</w:t>
            </w:r>
          </w:p>
        </w:tc>
        <w:tc>
          <w:tcPr>
            <w:tcW w:w="2835" w:type="dxa"/>
            <w:vAlign w:val="center"/>
          </w:tcPr>
          <w:p w14:paraId="58A31413">
            <w:pPr>
              <w:pStyle w:val="13"/>
            </w:pPr>
            <w:r>
              <w:t>教育发展水平</w:t>
            </w:r>
          </w:p>
        </w:tc>
        <w:tc>
          <w:tcPr>
            <w:tcW w:w="5386" w:type="dxa"/>
            <w:vAlign w:val="center"/>
          </w:tcPr>
          <w:p w14:paraId="5617B3DB">
            <w:pPr>
              <w:pStyle w:val="13"/>
            </w:pPr>
            <w:r>
              <w:t>受益人数</w:t>
            </w:r>
          </w:p>
        </w:tc>
        <w:tc>
          <w:tcPr>
            <w:tcW w:w="2268" w:type="dxa"/>
            <w:vAlign w:val="center"/>
          </w:tcPr>
          <w:p w14:paraId="1B418E49">
            <w:pPr>
              <w:pStyle w:val="13"/>
            </w:pPr>
            <w:r>
              <w:t>497人</w:t>
            </w:r>
          </w:p>
        </w:tc>
        <w:tc>
          <w:tcPr>
            <w:tcW w:w="1276" w:type="dxa"/>
            <w:vAlign w:val="center"/>
          </w:tcPr>
          <w:p w14:paraId="3BF6B684">
            <w:pPr>
              <w:pStyle w:val="13"/>
            </w:pPr>
            <w:r>
              <w:t>项目规划</w:t>
            </w:r>
          </w:p>
        </w:tc>
      </w:tr>
      <w:tr w14:paraId="0529A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8A5B7">
            <w:pPr>
              <w:pStyle w:val="12"/>
            </w:pPr>
            <w:r>
              <w:t>满意度指标</w:t>
            </w:r>
          </w:p>
        </w:tc>
        <w:tc>
          <w:tcPr>
            <w:tcW w:w="2268" w:type="dxa"/>
            <w:vAlign w:val="center"/>
          </w:tcPr>
          <w:p w14:paraId="34FFD53C">
            <w:pPr>
              <w:pStyle w:val="13"/>
            </w:pPr>
            <w:r>
              <w:t>服务对象满意度指标</w:t>
            </w:r>
          </w:p>
        </w:tc>
        <w:tc>
          <w:tcPr>
            <w:tcW w:w="2835" w:type="dxa"/>
            <w:vAlign w:val="center"/>
          </w:tcPr>
          <w:p w14:paraId="0A88EFB7">
            <w:pPr>
              <w:pStyle w:val="13"/>
            </w:pPr>
            <w:r>
              <w:t>学生、教师及家长对学校教学环境满意度情况</w:t>
            </w:r>
          </w:p>
        </w:tc>
        <w:tc>
          <w:tcPr>
            <w:tcW w:w="5386" w:type="dxa"/>
            <w:vAlign w:val="center"/>
          </w:tcPr>
          <w:p w14:paraId="284ED35D">
            <w:pPr>
              <w:pStyle w:val="13"/>
            </w:pPr>
            <w:r>
              <w:t>学生、教师及家长对学校教学环境满意度情况</w:t>
            </w:r>
          </w:p>
        </w:tc>
        <w:tc>
          <w:tcPr>
            <w:tcW w:w="2268" w:type="dxa"/>
            <w:vAlign w:val="center"/>
          </w:tcPr>
          <w:p w14:paraId="7B464422">
            <w:pPr>
              <w:pStyle w:val="13"/>
            </w:pPr>
            <w:r>
              <w:t>≥95%</w:t>
            </w:r>
          </w:p>
        </w:tc>
        <w:tc>
          <w:tcPr>
            <w:tcW w:w="1276" w:type="dxa"/>
            <w:vAlign w:val="center"/>
          </w:tcPr>
          <w:p w14:paraId="5C5D98B4">
            <w:pPr>
              <w:pStyle w:val="13"/>
            </w:pPr>
            <w:r>
              <w:t>调查问卷</w:t>
            </w:r>
          </w:p>
          <w:p w14:paraId="17F146D2">
            <w:pPr>
              <w:pStyle w:val="13"/>
            </w:pPr>
          </w:p>
        </w:tc>
      </w:tr>
    </w:tbl>
    <w:p w14:paraId="02299909">
      <w:pPr>
        <w:sectPr>
          <w:pgSz w:w="16840" w:h="11900" w:orient="landscape"/>
          <w:pgMar w:top="1361" w:right="1020" w:bottom="1134" w:left="1020" w:header="720" w:footer="720" w:gutter="0"/>
          <w:cols w:space="720" w:num="1"/>
        </w:sectPr>
      </w:pPr>
    </w:p>
    <w:p w14:paraId="0301AAB0">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4、冀财教[2024]123号/中央/2025年义教补助经费/校舍安全保障/魏家庄中学门窗更换等维修改造绩效目标表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CE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BACA6">
            <w:pPr>
              <w:pStyle w:val="14"/>
            </w:pPr>
            <w:r>
              <w:t>单位：万元</w:t>
            </w:r>
          </w:p>
        </w:tc>
      </w:tr>
      <w:tr w14:paraId="4F4CA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E31930">
            <w:pPr>
              <w:pStyle w:val="11"/>
            </w:pPr>
            <w:r>
              <w:t>项目编码</w:t>
            </w:r>
          </w:p>
        </w:tc>
        <w:tc>
          <w:tcPr>
            <w:tcW w:w="5103" w:type="dxa"/>
            <w:gridSpan w:val="2"/>
            <w:vAlign w:val="center"/>
          </w:tcPr>
          <w:p w14:paraId="45F442FF">
            <w:pPr>
              <w:pStyle w:val="13"/>
            </w:pPr>
            <w:r>
              <w:t>13052525P00876210018K</w:t>
            </w:r>
          </w:p>
        </w:tc>
        <w:tc>
          <w:tcPr>
            <w:tcW w:w="2835" w:type="dxa"/>
            <w:vAlign w:val="center"/>
          </w:tcPr>
          <w:p w14:paraId="34B88504">
            <w:pPr>
              <w:pStyle w:val="11"/>
            </w:pPr>
            <w:r>
              <w:t>项目名称</w:t>
            </w:r>
          </w:p>
        </w:tc>
        <w:tc>
          <w:tcPr>
            <w:tcW w:w="6095" w:type="dxa"/>
            <w:gridSpan w:val="3"/>
            <w:vAlign w:val="center"/>
          </w:tcPr>
          <w:p w14:paraId="497C798F">
            <w:pPr>
              <w:pStyle w:val="13"/>
            </w:pPr>
            <w:r>
              <w:t>冀财教[2024]123号/中央/2025年义教补助经费/校舍安全保障/魏家庄中学门窗更换等维修改造</w:t>
            </w:r>
          </w:p>
        </w:tc>
      </w:tr>
      <w:tr w14:paraId="1B8ED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20416">
            <w:pPr>
              <w:pStyle w:val="11"/>
            </w:pPr>
            <w:r>
              <w:t>预算规模及资金用途</w:t>
            </w:r>
          </w:p>
        </w:tc>
        <w:tc>
          <w:tcPr>
            <w:tcW w:w="2268" w:type="dxa"/>
            <w:vAlign w:val="center"/>
          </w:tcPr>
          <w:p w14:paraId="21C13829">
            <w:pPr>
              <w:pStyle w:val="11"/>
            </w:pPr>
            <w:r>
              <w:t>预算数</w:t>
            </w:r>
          </w:p>
        </w:tc>
        <w:tc>
          <w:tcPr>
            <w:tcW w:w="2835" w:type="dxa"/>
            <w:vAlign w:val="center"/>
          </w:tcPr>
          <w:p w14:paraId="05A6E7E5">
            <w:pPr>
              <w:pStyle w:val="13"/>
            </w:pPr>
            <w:r>
              <w:t>36.00</w:t>
            </w:r>
          </w:p>
        </w:tc>
        <w:tc>
          <w:tcPr>
            <w:tcW w:w="2835" w:type="dxa"/>
            <w:vAlign w:val="center"/>
          </w:tcPr>
          <w:p w14:paraId="34A12682">
            <w:pPr>
              <w:pStyle w:val="11"/>
            </w:pPr>
            <w:r>
              <w:t>其中：财政    资金</w:t>
            </w:r>
          </w:p>
        </w:tc>
        <w:tc>
          <w:tcPr>
            <w:tcW w:w="2551" w:type="dxa"/>
            <w:vAlign w:val="center"/>
          </w:tcPr>
          <w:p w14:paraId="1819FDCB">
            <w:pPr>
              <w:pStyle w:val="13"/>
            </w:pPr>
            <w:r>
              <w:t>36.00</w:t>
            </w:r>
          </w:p>
        </w:tc>
        <w:tc>
          <w:tcPr>
            <w:tcW w:w="2268" w:type="dxa"/>
            <w:vAlign w:val="center"/>
          </w:tcPr>
          <w:p w14:paraId="053FDB5D">
            <w:pPr>
              <w:pStyle w:val="11"/>
            </w:pPr>
            <w:r>
              <w:t>其他资金</w:t>
            </w:r>
          </w:p>
        </w:tc>
        <w:tc>
          <w:tcPr>
            <w:tcW w:w="1276" w:type="dxa"/>
            <w:vAlign w:val="center"/>
          </w:tcPr>
          <w:p w14:paraId="6C8C60C2">
            <w:pPr>
              <w:pStyle w:val="13"/>
            </w:pPr>
            <w:r>
              <w:t xml:space="preserve"> </w:t>
            </w:r>
          </w:p>
        </w:tc>
      </w:tr>
      <w:tr w14:paraId="426DC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6DCC99"/>
        </w:tc>
        <w:tc>
          <w:tcPr>
            <w:tcW w:w="14033" w:type="dxa"/>
            <w:gridSpan w:val="6"/>
            <w:vAlign w:val="center"/>
          </w:tcPr>
          <w:p w14:paraId="6C4F5944">
            <w:pPr>
              <w:pStyle w:val="13"/>
            </w:pPr>
            <w:r>
              <w:t>保证学校正常运转和改善办学条件</w:t>
            </w:r>
          </w:p>
          <w:p w14:paraId="5EF03368">
            <w:pPr>
              <w:pStyle w:val="13"/>
            </w:pPr>
          </w:p>
        </w:tc>
      </w:tr>
      <w:tr w14:paraId="35D34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FDF53">
            <w:pPr>
              <w:pStyle w:val="11"/>
            </w:pPr>
            <w:r>
              <w:t>资金支出计划（%）</w:t>
            </w:r>
          </w:p>
        </w:tc>
        <w:tc>
          <w:tcPr>
            <w:tcW w:w="5103" w:type="dxa"/>
            <w:gridSpan w:val="2"/>
            <w:vAlign w:val="center"/>
          </w:tcPr>
          <w:p w14:paraId="4C682993">
            <w:pPr>
              <w:pStyle w:val="11"/>
            </w:pPr>
            <w:r>
              <w:t>3月底</w:t>
            </w:r>
          </w:p>
        </w:tc>
        <w:tc>
          <w:tcPr>
            <w:tcW w:w="2835" w:type="dxa"/>
            <w:vAlign w:val="center"/>
          </w:tcPr>
          <w:p w14:paraId="35C1CFFF">
            <w:pPr>
              <w:pStyle w:val="11"/>
            </w:pPr>
            <w:r>
              <w:t>6月底</w:t>
            </w:r>
          </w:p>
        </w:tc>
        <w:tc>
          <w:tcPr>
            <w:tcW w:w="2551" w:type="dxa"/>
            <w:vAlign w:val="center"/>
          </w:tcPr>
          <w:p w14:paraId="4B4C5B8E">
            <w:pPr>
              <w:pStyle w:val="11"/>
            </w:pPr>
            <w:r>
              <w:t>10月底</w:t>
            </w:r>
          </w:p>
        </w:tc>
        <w:tc>
          <w:tcPr>
            <w:tcW w:w="3544" w:type="dxa"/>
            <w:gridSpan w:val="2"/>
            <w:vAlign w:val="center"/>
          </w:tcPr>
          <w:p w14:paraId="38947CE9">
            <w:pPr>
              <w:pStyle w:val="11"/>
            </w:pPr>
            <w:r>
              <w:t>12月底</w:t>
            </w:r>
          </w:p>
        </w:tc>
      </w:tr>
      <w:tr w14:paraId="07A12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563693"/>
        </w:tc>
        <w:tc>
          <w:tcPr>
            <w:tcW w:w="5103" w:type="dxa"/>
            <w:gridSpan w:val="2"/>
            <w:vAlign w:val="center"/>
          </w:tcPr>
          <w:p w14:paraId="3AD207AB">
            <w:pPr>
              <w:pStyle w:val="12"/>
            </w:pPr>
            <w:r>
              <w:t>25%</w:t>
            </w:r>
          </w:p>
        </w:tc>
        <w:tc>
          <w:tcPr>
            <w:tcW w:w="2835" w:type="dxa"/>
            <w:vAlign w:val="center"/>
          </w:tcPr>
          <w:p w14:paraId="4F993357">
            <w:pPr>
              <w:pStyle w:val="12"/>
            </w:pPr>
            <w:r>
              <w:t>50%</w:t>
            </w:r>
          </w:p>
        </w:tc>
        <w:tc>
          <w:tcPr>
            <w:tcW w:w="2551" w:type="dxa"/>
            <w:vAlign w:val="center"/>
          </w:tcPr>
          <w:p w14:paraId="09BD140A">
            <w:pPr>
              <w:pStyle w:val="12"/>
            </w:pPr>
            <w:r>
              <w:t>75%</w:t>
            </w:r>
          </w:p>
        </w:tc>
        <w:tc>
          <w:tcPr>
            <w:tcW w:w="3544" w:type="dxa"/>
            <w:gridSpan w:val="2"/>
            <w:vAlign w:val="center"/>
          </w:tcPr>
          <w:p w14:paraId="539FC0DC">
            <w:pPr>
              <w:pStyle w:val="12"/>
            </w:pPr>
            <w:r>
              <w:t>100%</w:t>
            </w:r>
          </w:p>
        </w:tc>
      </w:tr>
      <w:tr w14:paraId="5DC9D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3E41FF">
            <w:pPr>
              <w:pStyle w:val="11"/>
            </w:pPr>
            <w:r>
              <w:t>绩效目标</w:t>
            </w:r>
          </w:p>
        </w:tc>
        <w:tc>
          <w:tcPr>
            <w:tcW w:w="14033" w:type="dxa"/>
            <w:gridSpan w:val="6"/>
            <w:vAlign w:val="center"/>
          </w:tcPr>
          <w:p w14:paraId="09B2A9CC">
            <w:pPr>
              <w:pStyle w:val="13"/>
            </w:pPr>
            <w:r>
              <w:t>1.按拨款时序进度完成经费拨付和支出</w:t>
            </w:r>
          </w:p>
          <w:p w14:paraId="2AA89BC5">
            <w:pPr>
              <w:pStyle w:val="13"/>
            </w:pPr>
          </w:p>
          <w:p w14:paraId="6B3F2DD0">
            <w:pPr>
              <w:pStyle w:val="13"/>
            </w:pPr>
            <w:r>
              <w:t>2.保证学校正常运转和改善办学条件</w:t>
            </w:r>
          </w:p>
          <w:p w14:paraId="15F0595E">
            <w:pPr>
              <w:pStyle w:val="13"/>
            </w:pPr>
          </w:p>
        </w:tc>
      </w:tr>
    </w:tbl>
    <w:p w14:paraId="5DECA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84"/>
        <w:gridCol w:w="2370"/>
        <w:gridCol w:w="1676"/>
      </w:tblGrid>
      <w:tr w14:paraId="2D943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B57BD">
            <w:pPr>
              <w:pStyle w:val="11"/>
            </w:pPr>
            <w:r>
              <w:t>一级指标</w:t>
            </w:r>
          </w:p>
        </w:tc>
        <w:tc>
          <w:tcPr>
            <w:tcW w:w="2268" w:type="dxa"/>
            <w:vAlign w:val="center"/>
          </w:tcPr>
          <w:p w14:paraId="726567C1">
            <w:pPr>
              <w:pStyle w:val="11"/>
            </w:pPr>
            <w:r>
              <w:t>二级指标</w:t>
            </w:r>
          </w:p>
        </w:tc>
        <w:tc>
          <w:tcPr>
            <w:tcW w:w="2835" w:type="dxa"/>
            <w:vAlign w:val="center"/>
          </w:tcPr>
          <w:p w14:paraId="66E432FE">
            <w:pPr>
              <w:pStyle w:val="11"/>
            </w:pPr>
            <w:r>
              <w:t>三级指标</w:t>
            </w:r>
          </w:p>
        </w:tc>
        <w:tc>
          <w:tcPr>
            <w:tcW w:w="4884" w:type="dxa"/>
            <w:vAlign w:val="center"/>
          </w:tcPr>
          <w:p w14:paraId="2B37B746">
            <w:pPr>
              <w:pStyle w:val="11"/>
            </w:pPr>
            <w:r>
              <w:t>绩效指标描述</w:t>
            </w:r>
          </w:p>
        </w:tc>
        <w:tc>
          <w:tcPr>
            <w:tcW w:w="2370" w:type="dxa"/>
            <w:vAlign w:val="center"/>
          </w:tcPr>
          <w:p w14:paraId="0A0764FC">
            <w:pPr>
              <w:pStyle w:val="11"/>
            </w:pPr>
            <w:r>
              <w:t>指标值</w:t>
            </w:r>
          </w:p>
        </w:tc>
        <w:tc>
          <w:tcPr>
            <w:tcW w:w="1676" w:type="dxa"/>
            <w:vAlign w:val="center"/>
          </w:tcPr>
          <w:p w14:paraId="594D76D1">
            <w:pPr>
              <w:pStyle w:val="11"/>
            </w:pPr>
            <w:r>
              <w:t>指标值确定依据</w:t>
            </w:r>
          </w:p>
        </w:tc>
      </w:tr>
      <w:tr w14:paraId="3EADF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AE979">
            <w:pPr>
              <w:pStyle w:val="12"/>
            </w:pPr>
            <w:r>
              <w:t>产出指标</w:t>
            </w:r>
          </w:p>
        </w:tc>
        <w:tc>
          <w:tcPr>
            <w:tcW w:w="2268" w:type="dxa"/>
            <w:vAlign w:val="center"/>
          </w:tcPr>
          <w:p w14:paraId="6D46F329">
            <w:pPr>
              <w:pStyle w:val="13"/>
            </w:pPr>
            <w:r>
              <w:t>数量指标</w:t>
            </w:r>
          </w:p>
        </w:tc>
        <w:tc>
          <w:tcPr>
            <w:tcW w:w="2835" w:type="dxa"/>
            <w:vAlign w:val="center"/>
          </w:tcPr>
          <w:p w14:paraId="303619F0">
            <w:pPr>
              <w:pStyle w:val="13"/>
            </w:pPr>
            <w:r>
              <w:t>宿舍楼，实验楼外墙粉刷</w:t>
            </w:r>
          </w:p>
        </w:tc>
        <w:tc>
          <w:tcPr>
            <w:tcW w:w="4884" w:type="dxa"/>
            <w:vAlign w:val="center"/>
          </w:tcPr>
          <w:p w14:paraId="4F041255">
            <w:pPr>
              <w:pStyle w:val="13"/>
            </w:pPr>
            <w:r>
              <w:t>宿舍楼，实验楼外墙粉刷面积</w:t>
            </w:r>
          </w:p>
        </w:tc>
        <w:tc>
          <w:tcPr>
            <w:tcW w:w="2370" w:type="dxa"/>
            <w:vAlign w:val="center"/>
          </w:tcPr>
          <w:p w14:paraId="14092981">
            <w:pPr>
              <w:pStyle w:val="13"/>
            </w:pPr>
            <w:r>
              <w:t>3543平方米</w:t>
            </w:r>
          </w:p>
        </w:tc>
        <w:tc>
          <w:tcPr>
            <w:tcW w:w="1676" w:type="dxa"/>
            <w:vAlign w:val="center"/>
          </w:tcPr>
          <w:p w14:paraId="6CFDC7BA">
            <w:pPr>
              <w:pStyle w:val="13"/>
            </w:pPr>
            <w:r>
              <w:t>项目规划</w:t>
            </w:r>
          </w:p>
        </w:tc>
      </w:tr>
      <w:tr w14:paraId="27051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54EE7"/>
        </w:tc>
        <w:tc>
          <w:tcPr>
            <w:tcW w:w="2268" w:type="dxa"/>
            <w:vAlign w:val="center"/>
          </w:tcPr>
          <w:p w14:paraId="7AB98931">
            <w:pPr>
              <w:pStyle w:val="13"/>
            </w:pPr>
            <w:r>
              <w:t>数量指标</w:t>
            </w:r>
          </w:p>
        </w:tc>
        <w:tc>
          <w:tcPr>
            <w:tcW w:w="2835" w:type="dxa"/>
            <w:vAlign w:val="center"/>
          </w:tcPr>
          <w:p w14:paraId="567F3084">
            <w:pPr>
              <w:pStyle w:val="13"/>
            </w:pPr>
            <w:r>
              <w:t>化粪池改造</w:t>
            </w:r>
          </w:p>
        </w:tc>
        <w:tc>
          <w:tcPr>
            <w:tcW w:w="4884" w:type="dxa"/>
            <w:vAlign w:val="center"/>
          </w:tcPr>
          <w:p w14:paraId="0615C0F1">
            <w:pPr>
              <w:pStyle w:val="13"/>
            </w:pPr>
            <w:r>
              <w:t>化粪池改造面积</w:t>
            </w:r>
          </w:p>
        </w:tc>
        <w:tc>
          <w:tcPr>
            <w:tcW w:w="2370" w:type="dxa"/>
            <w:vAlign w:val="center"/>
          </w:tcPr>
          <w:p w14:paraId="4992A08B">
            <w:pPr>
              <w:pStyle w:val="13"/>
            </w:pPr>
            <w:r>
              <w:t>350平方米</w:t>
            </w:r>
          </w:p>
        </w:tc>
        <w:tc>
          <w:tcPr>
            <w:tcW w:w="1676" w:type="dxa"/>
            <w:vAlign w:val="center"/>
          </w:tcPr>
          <w:p w14:paraId="0144EB20">
            <w:pPr>
              <w:pStyle w:val="13"/>
            </w:pPr>
            <w:r>
              <w:t>项目规划</w:t>
            </w:r>
          </w:p>
        </w:tc>
      </w:tr>
      <w:tr w14:paraId="2BFC4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C679E"/>
        </w:tc>
        <w:tc>
          <w:tcPr>
            <w:tcW w:w="2268" w:type="dxa"/>
            <w:vAlign w:val="center"/>
          </w:tcPr>
          <w:p w14:paraId="0985BDC4">
            <w:pPr>
              <w:pStyle w:val="13"/>
            </w:pPr>
            <w:r>
              <w:t>数量指标</w:t>
            </w:r>
          </w:p>
        </w:tc>
        <w:tc>
          <w:tcPr>
            <w:tcW w:w="2835" w:type="dxa"/>
            <w:vAlign w:val="center"/>
          </w:tcPr>
          <w:p w14:paraId="00563137">
            <w:pPr>
              <w:pStyle w:val="13"/>
            </w:pPr>
            <w:r>
              <w:t>甬路边花池</w:t>
            </w:r>
          </w:p>
        </w:tc>
        <w:tc>
          <w:tcPr>
            <w:tcW w:w="4884" w:type="dxa"/>
            <w:vAlign w:val="center"/>
          </w:tcPr>
          <w:p w14:paraId="3D5B1536">
            <w:pPr>
              <w:pStyle w:val="13"/>
            </w:pPr>
            <w:r>
              <w:t>甬路边花池面积</w:t>
            </w:r>
          </w:p>
        </w:tc>
        <w:tc>
          <w:tcPr>
            <w:tcW w:w="2370" w:type="dxa"/>
            <w:vAlign w:val="center"/>
          </w:tcPr>
          <w:p w14:paraId="25FD0A81">
            <w:pPr>
              <w:pStyle w:val="13"/>
            </w:pPr>
            <w:r>
              <w:t>120平方米</w:t>
            </w:r>
          </w:p>
        </w:tc>
        <w:tc>
          <w:tcPr>
            <w:tcW w:w="1676" w:type="dxa"/>
            <w:vAlign w:val="center"/>
          </w:tcPr>
          <w:p w14:paraId="5A3FC574">
            <w:pPr>
              <w:pStyle w:val="13"/>
            </w:pPr>
            <w:r>
              <w:t>项目规划</w:t>
            </w:r>
          </w:p>
        </w:tc>
      </w:tr>
      <w:tr w14:paraId="41324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97664"/>
        </w:tc>
        <w:tc>
          <w:tcPr>
            <w:tcW w:w="2268" w:type="dxa"/>
            <w:vAlign w:val="center"/>
          </w:tcPr>
          <w:p w14:paraId="05E8815E">
            <w:pPr>
              <w:pStyle w:val="13"/>
            </w:pPr>
            <w:r>
              <w:t>数量指标</w:t>
            </w:r>
          </w:p>
        </w:tc>
        <w:tc>
          <w:tcPr>
            <w:tcW w:w="2835" w:type="dxa"/>
            <w:vAlign w:val="center"/>
          </w:tcPr>
          <w:p w14:paraId="4E5A2883">
            <w:pPr>
              <w:pStyle w:val="13"/>
            </w:pPr>
            <w:r>
              <w:t>门窗更换等维修改造</w:t>
            </w:r>
          </w:p>
        </w:tc>
        <w:tc>
          <w:tcPr>
            <w:tcW w:w="4884" w:type="dxa"/>
            <w:vAlign w:val="center"/>
          </w:tcPr>
          <w:p w14:paraId="56327778">
            <w:pPr>
              <w:pStyle w:val="13"/>
            </w:pPr>
            <w:r>
              <w:tab/>
            </w:r>
            <w:r>
              <w:t>对学校门窗等进行维修改造套数</w:t>
            </w:r>
          </w:p>
        </w:tc>
        <w:tc>
          <w:tcPr>
            <w:tcW w:w="2370" w:type="dxa"/>
            <w:vAlign w:val="center"/>
          </w:tcPr>
          <w:p w14:paraId="4AA7CCB4">
            <w:pPr>
              <w:pStyle w:val="13"/>
            </w:pPr>
            <w:r>
              <w:t>66套</w:t>
            </w:r>
          </w:p>
        </w:tc>
        <w:tc>
          <w:tcPr>
            <w:tcW w:w="1676" w:type="dxa"/>
            <w:vAlign w:val="center"/>
          </w:tcPr>
          <w:p w14:paraId="2193B973">
            <w:pPr>
              <w:pStyle w:val="13"/>
            </w:pPr>
            <w:r>
              <w:t>项目规划</w:t>
            </w:r>
          </w:p>
        </w:tc>
      </w:tr>
      <w:tr w14:paraId="574DF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E8E98"/>
        </w:tc>
        <w:tc>
          <w:tcPr>
            <w:tcW w:w="2268" w:type="dxa"/>
            <w:vAlign w:val="center"/>
          </w:tcPr>
          <w:p w14:paraId="383DBCCE">
            <w:pPr>
              <w:pStyle w:val="13"/>
            </w:pPr>
            <w:r>
              <w:t>质量指标</w:t>
            </w:r>
          </w:p>
        </w:tc>
        <w:tc>
          <w:tcPr>
            <w:tcW w:w="2835" w:type="dxa"/>
            <w:vAlign w:val="center"/>
          </w:tcPr>
          <w:p w14:paraId="25B06741">
            <w:pPr>
              <w:pStyle w:val="13"/>
            </w:pPr>
            <w:r>
              <w:t>工程实施验收合格率</w:t>
            </w:r>
          </w:p>
          <w:p w14:paraId="3D600A7C">
            <w:pPr>
              <w:pStyle w:val="13"/>
            </w:pPr>
          </w:p>
          <w:p w14:paraId="4F616B48">
            <w:pPr>
              <w:pStyle w:val="13"/>
            </w:pPr>
          </w:p>
        </w:tc>
        <w:tc>
          <w:tcPr>
            <w:tcW w:w="4884" w:type="dxa"/>
            <w:vAlign w:val="center"/>
          </w:tcPr>
          <w:p w14:paraId="7B823B0D">
            <w:pPr>
              <w:pStyle w:val="13"/>
            </w:pPr>
            <w:r>
              <w:t>申报程序的合规，项目实施及资金使用符合项目规划</w:t>
            </w:r>
          </w:p>
          <w:p w14:paraId="3F230679">
            <w:pPr>
              <w:pStyle w:val="13"/>
            </w:pPr>
          </w:p>
          <w:p w14:paraId="60EC5051">
            <w:pPr>
              <w:pStyle w:val="13"/>
            </w:pPr>
          </w:p>
        </w:tc>
        <w:tc>
          <w:tcPr>
            <w:tcW w:w="2370" w:type="dxa"/>
            <w:vAlign w:val="center"/>
          </w:tcPr>
          <w:p w14:paraId="0C49C789">
            <w:pPr>
              <w:pStyle w:val="13"/>
            </w:pPr>
            <w:r>
              <w:t>≥100%</w:t>
            </w:r>
          </w:p>
        </w:tc>
        <w:tc>
          <w:tcPr>
            <w:tcW w:w="1676" w:type="dxa"/>
            <w:vAlign w:val="center"/>
          </w:tcPr>
          <w:p w14:paraId="30E3E229">
            <w:pPr>
              <w:pStyle w:val="13"/>
            </w:pPr>
            <w:r>
              <w:t>项目规划</w:t>
            </w:r>
          </w:p>
        </w:tc>
      </w:tr>
      <w:tr w14:paraId="4E9AA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22B97"/>
        </w:tc>
        <w:tc>
          <w:tcPr>
            <w:tcW w:w="2268" w:type="dxa"/>
            <w:vAlign w:val="center"/>
          </w:tcPr>
          <w:p w14:paraId="13E4E441">
            <w:pPr>
              <w:pStyle w:val="13"/>
            </w:pPr>
            <w:r>
              <w:t>时效指标</w:t>
            </w:r>
          </w:p>
        </w:tc>
        <w:tc>
          <w:tcPr>
            <w:tcW w:w="2835" w:type="dxa"/>
            <w:vAlign w:val="center"/>
          </w:tcPr>
          <w:p w14:paraId="59E58688">
            <w:pPr>
              <w:pStyle w:val="13"/>
            </w:pPr>
            <w:r>
              <w:t>资金支付率</w:t>
            </w:r>
          </w:p>
        </w:tc>
        <w:tc>
          <w:tcPr>
            <w:tcW w:w="4884" w:type="dxa"/>
            <w:vAlign w:val="center"/>
          </w:tcPr>
          <w:p w14:paraId="7C4FF043">
            <w:pPr>
              <w:pStyle w:val="13"/>
            </w:pPr>
            <w:r>
              <w:t>按照序时进度完成资金支付</w:t>
            </w:r>
          </w:p>
          <w:p w14:paraId="7B7F043D">
            <w:pPr>
              <w:pStyle w:val="13"/>
            </w:pPr>
          </w:p>
        </w:tc>
        <w:tc>
          <w:tcPr>
            <w:tcW w:w="2370" w:type="dxa"/>
            <w:vAlign w:val="center"/>
          </w:tcPr>
          <w:p w14:paraId="3C7BFB3A">
            <w:pPr>
              <w:pStyle w:val="13"/>
            </w:pPr>
            <w:r>
              <w:t>≥100%</w:t>
            </w:r>
          </w:p>
        </w:tc>
        <w:tc>
          <w:tcPr>
            <w:tcW w:w="1676" w:type="dxa"/>
            <w:vAlign w:val="center"/>
          </w:tcPr>
          <w:p w14:paraId="6453A90C">
            <w:pPr>
              <w:pStyle w:val="13"/>
            </w:pPr>
            <w:r>
              <w:t>项目规划</w:t>
            </w:r>
          </w:p>
        </w:tc>
      </w:tr>
      <w:tr w14:paraId="16866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F30E9"/>
        </w:tc>
        <w:tc>
          <w:tcPr>
            <w:tcW w:w="2268" w:type="dxa"/>
            <w:vAlign w:val="center"/>
          </w:tcPr>
          <w:p w14:paraId="4E725262">
            <w:pPr>
              <w:pStyle w:val="13"/>
            </w:pPr>
            <w:r>
              <w:t>成本指标</w:t>
            </w:r>
          </w:p>
        </w:tc>
        <w:tc>
          <w:tcPr>
            <w:tcW w:w="2835" w:type="dxa"/>
            <w:vAlign w:val="center"/>
          </w:tcPr>
          <w:p w14:paraId="7704B300">
            <w:pPr>
              <w:pStyle w:val="13"/>
            </w:pPr>
            <w:r>
              <w:t>项目成本控制情况</w:t>
            </w:r>
          </w:p>
        </w:tc>
        <w:tc>
          <w:tcPr>
            <w:tcW w:w="4884" w:type="dxa"/>
            <w:vAlign w:val="center"/>
          </w:tcPr>
          <w:p w14:paraId="0CDFEA94">
            <w:pPr>
              <w:pStyle w:val="13"/>
            </w:pPr>
            <w:r>
              <w:t>严格按照招标价格及审计额进行</w:t>
            </w:r>
          </w:p>
        </w:tc>
        <w:tc>
          <w:tcPr>
            <w:tcW w:w="2370" w:type="dxa"/>
            <w:vAlign w:val="center"/>
          </w:tcPr>
          <w:p w14:paraId="5779CAF6">
            <w:pPr>
              <w:pStyle w:val="13"/>
            </w:pPr>
            <w:r>
              <w:t>≤36万元</w:t>
            </w:r>
          </w:p>
        </w:tc>
        <w:tc>
          <w:tcPr>
            <w:tcW w:w="1676" w:type="dxa"/>
            <w:vAlign w:val="center"/>
          </w:tcPr>
          <w:p w14:paraId="67107CA0">
            <w:pPr>
              <w:pStyle w:val="13"/>
            </w:pPr>
            <w:r>
              <w:t>项目规划</w:t>
            </w:r>
          </w:p>
        </w:tc>
      </w:tr>
      <w:tr w14:paraId="0337A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B6F80">
            <w:pPr>
              <w:pStyle w:val="12"/>
            </w:pPr>
            <w:r>
              <w:t>效益指标</w:t>
            </w:r>
          </w:p>
        </w:tc>
        <w:tc>
          <w:tcPr>
            <w:tcW w:w="2268" w:type="dxa"/>
            <w:vAlign w:val="center"/>
          </w:tcPr>
          <w:p w14:paraId="4F18F227">
            <w:pPr>
              <w:pStyle w:val="13"/>
            </w:pPr>
            <w:r>
              <w:t>可持续影响指标</w:t>
            </w:r>
          </w:p>
        </w:tc>
        <w:tc>
          <w:tcPr>
            <w:tcW w:w="2835" w:type="dxa"/>
            <w:vAlign w:val="center"/>
          </w:tcPr>
          <w:p w14:paraId="3D6A0778">
            <w:pPr>
              <w:pStyle w:val="13"/>
            </w:pPr>
            <w:r>
              <w:t>教育发展水平</w:t>
            </w:r>
          </w:p>
        </w:tc>
        <w:tc>
          <w:tcPr>
            <w:tcW w:w="4884" w:type="dxa"/>
            <w:vAlign w:val="center"/>
          </w:tcPr>
          <w:p w14:paraId="5DF18957">
            <w:pPr>
              <w:pStyle w:val="13"/>
            </w:pPr>
            <w:r>
              <w:t>受益人数</w:t>
            </w:r>
          </w:p>
        </w:tc>
        <w:tc>
          <w:tcPr>
            <w:tcW w:w="2370" w:type="dxa"/>
            <w:vAlign w:val="center"/>
          </w:tcPr>
          <w:p w14:paraId="1CD6F2C1">
            <w:pPr>
              <w:pStyle w:val="13"/>
            </w:pPr>
            <w:r>
              <w:t>≥497人</w:t>
            </w:r>
          </w:p>
        </w:tc>
        <w:tc>
          <w:tcPr>
            <w:tcW w:w="1676" w:type="dxa"/>
            <w:vAlign w:val="center"/>
          </w:tcPr>
          <w:p w14:paraId="1D7796C5">
            <w:pPr>
              <w:pStyle w:val="13"/>
            </w:pPr>
            <w:r>
              <w:t>项目规划</w:t>
            </w:r>
          </w:p>
        </w:tc>
      </w:tr>
      <w:tr w14:paraId="0B225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0B4ECC">
            <w:pPr>
              <w:pStyle w:val="12"/>
            </w:pPr>
            <w:r>
              <w:t>满意度指标</w:t>
            </w:r>
          </w:p>
        </w:tc>
        <w:tc>
          <w:tcPr>
            <w:tcW w:w="2268" w:type="dxa"/>
            <w:vAlign w:val="center"/>
          </w:tcPr>
          <w:p w14:paraId="1294820A">
            <w:pPr>
              <w:pStyle w:val="13"/>
            </w:pPr>
            <w:r>
              <w:t>服务对象满意度指标</w:t>
            </w:r>
          </w:p>
        </w:tc>
        <w:tc>
          <w:tcPr>
            <w:tcW w:w="2835" w:type="dxa"/>
            <w:vAlign w:val="center"/>
          </w:tcPr>
          <w:p w14:paraId="04A3942A">
            <w:pPr>
              <w:pStyle w:val="13"/>
            </w:pPr>
            <w:r>
              <w:t>学生、教师及家长对学校教学环境满意度情况</w:t>
            </w:r>
          </w:p>
          <w:p w14:paraId="2A453E01">
            <w:pPr>
              <w:pStyle w:val="13"/>
            </w:pPr>
          </w:p>
        </w:tc>
        <w:tc>
          <w:tcPr>
            <w:tcW w:w="4884" w:type="dxa"/>
            <w:vAlign w:val="center"/>
          </w:tcPr>
          <w:p w14:paraId="7DF7704F">
            <w:pPr>
              <w:pStyle w:val="13"/>
            </w:pPr>
            <w:r>
              <w:t>学生、教师及家长对学校教学环境满意度情况</w:t>
            </w:r>
          </w:p>
          <w:p w14:paraId="5E2A0B9C">
            <w:pPr>
              <w:pStyle w:val="13"/>
            </w:pPr>
          </w:p>
        </w:tc>
        <w:tc>
          <w:tcPr>
            <w:tcW w:w="2370" w:type="dxa"/>
            <w:vAlign w:val="center"/>
          </w:tcPr>
          <w:p w14:paraId="5492A6E7">
            <w:pPr>
              <w:pStyle w:val="13"/>
            </w:pPr>
            <w:r>
              <w:t>≥95%</w:t>
            </w:r>
          </w:p>
        </w:tc>
        <w:tc>
          <w:tcPr>
            <w:tcW w:w="1676" w:type="dxa"/>
            <w:vAlign w:val="center"/>
          </w:tcPr>
          <w:p w14:paraId="7EF544DA">
            <w:pPr>
              <w:pStyle w:val="13"/>
            </w:pPr>
            <w:r>
              <w:t>调查问卷</w:t>
            </w:r>
          </w:p>
        </w:tc>
      </w:tr>
    </w:tbl>
    <w:p w14:paraId="5EC41ECE">
      <w:pPr>
        <w:sectPr>
          <w:pgSz w:w="16840" w:h="11900" w:orient="landscape"/>
          <w:pgMar w:top="1361" w:right="1020" w:bottom="1134" w:left="1020" w:header="720" w:footer="720" w:gutter="0"/>
          <w:cols w:space="720" w:num="1"/>
        </w:sectPr>
      </w:pPr>
    </w:p>
    <w:p w14:paraId="36B24930">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5、冀财教[2024]123号/中央/2025年义教补助经费/综合奖补/魏家庄中学公用经费绩效目标表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0B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D78A9">
            <w:pPr>
              <w:pStyle w:val="14"/>
            </w:pPr>
            <w:r>
              <w:t>单位：万元</w:t>
            </w:r>
          </w:p>
        </w:tc>
      </w:tr>
      <w:tr w14:paraId="4B961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46D18">
            <w:pPr>
              <w:pStyle w:val="11"/>
            </w:pPr>
            <w:r>
              <w:t>项目编码</w:t>
            </w:r>
          </w:p>
        </w:tc>
        <w:tc>
          <w:tcPr>
            <w:tcW w:w="5103" w:type="dxa"/>
            <w:gridSpan w:val="2"/>
            <w:vAlign w:val="center"/>
          </w:tcPr>
          <w:p w14:paraId="5C8E5F1B">
            <w:pPr>
              <w:pStyle w:val="13"/>
            </w:pPr>
            <w:r>
              <w:t>13052525P00875610230G</w:t>
            </w:r>
          </w:p>
        </w:tc>
        <w:tc>
          <w:tcPr>
            <w:tcW w:w="2835" w:type="dxa"/>
            <w:vAlign w:val="center"/>
          </w:tcPr>
          <w:p w14:paraId="0071FDA9">
            <w:pPr>
              <w:pStyle w:val="11"/>
            </w:pPr>
            <w:r>
              <w:t>项目名称</w:t>
            </w:r>
          </w:p>
        </w:tc>
        <w:tc>
          <w:tcPr>
            <w:tcW w:w="6095" w:type="dxa"/>
            <w:gridSpan w:val="3"/>
            <w:vAlign w:val="center"/>
          </w:tcPr>
          <w:p w14:paraId="7E4C91C4">
            <w:pPr>
              <w:pStyle w:val="13"/>
            </w:pPr>
            <w:r>
              <w:t>冀财教[2024]123号/中央/2025年义教补助经费/综合奖补/魏家庄中学公用经费</w:t>
            </w:r>
          </w:p>
        </w:tc>
      </w:tr>
      <w:tr w14:paraId="4AE52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08A06">
            <w:pPr>
              <w:pStyle w:val="11"/>
            </w:pPr>
            <w:r>
              <w:t>预算规模及资金用途</w:t>
            </w:r>
          </w:p>
        </w:tc>
        <w:tc>
          <w:tcPr>
            <w:tcW w:w="2268" w:type="dxa"/>
            <w:vAlign w:val="center"/>
          </w:tcPr>
          <w:p w14:paraId="42F846DD">
            <w:pPr>
              <w:pStyle w:val="11"/>
            </w:pPr>
            <w:r>
              <w:t>预算数</w:t>
            </w:r>
          </w:p>
        </w:tc>
        <w:tc>
          <w:tcPr>
            <w:tcW w:w="2835" w:type="dxa"/>
            <w:vAlign w:val="center"/>
          </w:tcPr>
          <w:p w14:paraId="32EDF0D7">
            <w:pPr>
              <w:pStyle w:val="13"/>
            </w:pPr>
            <w:r>
              <w:t>10.99</w:t>
            </w:r>
          </w:p>
        </w:tc>
        <w:tc>
          <w:tcPr>
            <w:tcW w:w="2835" w:type="dxa"/>
            <w:vAlign w:val="center"/>
          </w:tcPr>
          <w:p w14:paraId="3E1C6D3E">
            <w:pPr>
              <w:pStyle w:val="11"/>
            </w:pPr>
            <w:r>
              <w:t>其中：财政    资金</w:t>
            </w:r>
          </w:p>
        </w:tc>
        <w:tc>
          <w:tcPr>
            <w:tcW w:w="2551" w:type="dxa"/>
            <w:vAlign w:val="center"/>
          </w:tcPr>
          <w:p w14:paraId="4705F278">
            <w:pPr>
              <w:pStyle w:val="13"/>
            </w:pPr>
            <w:r>
              <w:t>10.99</w:t>
            </w:r>
          </w:p>
        </w:tc>
        <w:tc>
          <w:tcPr>
            <w:tcW w:w="2268" w:type="dxa"/>
            <w:vAlign w:val="center"/>
          </w:tcPr>
          <w:p w14:paraId="3A2564D1">
            <w:pPr>
              <w:pStyle w:val="11"/>
            </w:pPr>
            <w:r>
              <w:t>其他资金</w:t>
            </w:r>
          </w:p>
        </w:tc>
        <w:tc>
          <w:tcPr>
            <w:tcW w:w="1276" w:type="dxa"/>
            <w:vAlign w:val="center"/>
          </w:tcPr>
          <w:p w14:paraId="3D1CF4F4">
            <w:pPr>
              <w:pStyle w:val="13"/>
            </w:pPr>
            <w:r>
              <w:t xml:space="preserve"> </w:t>
            </w:r>
          </w:p>
        </w:tc>
      </w:tr>
      <w:tr w14:paraId="2CF15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A23885"/>
        </w:tc>
        <w:tc>
          <w:tcPr>
            <w:tcW w:w="14033" w:type="dxa"/>
            <w:gridSpan w:val="6"/>
            <w:vAlign w:val="center"/>
          </w:tcPr>
          <w:p w14:paraId="2043C4A3">
            <w:pPr>
              <w:pStyle w:val="13"/>
            </w:pPr>
            <w:r>
              <w:t>保证学校正常运转和改善办学条件</w:t>
            </w:r>
          </w:p>
        </w:tc>
      </w:tr>
      <w:tr w14:paraId="4C476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94E2D">
            <w:pPr>
              <w:pStyle w:val="11"/>
            </w:pPr>
            <w:r>
              <w:t>资金支出计划（%）</w:t>
            </w:r>
          </w:p>
        </w:tc>
        <w:tc>
          <w:tcPr>
            <w:tcW w:w="5103" w:type="dxa"/>
            <w:gridSpan w:val="2"/>
            <w:vAlign w:val="center"/>
          </w:tcPr>
          <w:p w14:paraId="2B591862">
            <w:pPr>
              <w:pStyle w:val="11"/>
            </w:pPr>
            <w:r>
              <w:t>3月底</w:t>
            </w:r>
          </w:p>
        </w:tc>
        <w:tc>
          <w:tcPr>
            <w:tcW w:w="2835" w:type="dxa"/>
            <w:vAlign w:val="center"/>
          </w:tcPr>
          <w:p w14:paraId="4F662664">
            <w:pPr>
              <w:pStyle w:val="11"/>
            </w:pPr>
            <w:r>
              <w:t>6月底</w:t>
            </w:r>
          </w:p>
        </w:tc>
        <w:tc>
          <w:tcPr>
            <w:tcW w:w="2551" w:type="dxa"/>
            <w:vAlign w:val="center"/>
          </w:tcPr>
          <w:p w14:paraId="3941405C">
            <w:pPr>
              <w:pStyle w:val="11"/>
            </w:pPr>
            <w:r>
              <w:t>10月底</w:t>
            </w:r>
          </w:p>
        </w:tc>
        <w:tc>
          <w:tcPr>
            <w:tcW w:w="3544" w:type="dxa"/>
            <w:gridSpan w:val="2"/>
            <w:vAlign w:val="center"/>
          </w:tcPr>
          <w:p w14:paraId="49D17D3C">
            <w:pPr>
              <w:pStyle w:val="11"/>
            </w:pPr>
            <w:r>
              <w:t>12月底</w:t>
            </w:r>
          </w:p>
        </w:tc>
      </w:tr>
      <w:tr w14:paraId="14019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61F1DE"/>
        </w:tc>
        <w:tc>
          <w:tcPr>
            <w:tcW w:w="5103" w:type="dxa"/>
            <w:gridSpan w:val="2"/>
            <w:vAlign w:val="center"/>
          </w:tcPr>
          <w:p w14:paraId="237D023E">
            <w:pPr>
              <w:pStyle w:val="12"/>
            </w:pPr>
            <w:r>
              <w:t>25%</w:t>
            </w:r>
          </w:p>
        </w:tc>
        <w:tc>
          <w:tcPr>
            <w:tcW w:w="2835" w:type="dxa"/>
            <w:vAlign w:val="center"/>
          </w:tcPr>
          <w:p w14:paraId="0EB561CA">
            <w:pPr>
              <w:pStyle w:val="12"/>
            </w:pPr>
            <w:r>
              <w:t>50%</w:t>
            </w:r>
          </w:p>
        </w:tc>
        <w:tc>
          <w:tcPr>
            <w:tcW w:w="2551" w:type="dxa"/>
            <w:vAlign w:val="center"/>
          </w:tcPr>
          <w:p w14:paraId="2DC6D6DB">
            <w:pPr>
              <w:pStyle w:val="12"/>
            </w:pPr>
            <w:r>
              <w:t>75%</w:t>
            </w:r>
          </w:p>
        </w:tc>
        <w:tc>
          <w:tcPr>
            <w:tcW w:w="3544" w:type="dxa"/>
            <w:gridSpan w:val="2"/>
            <w:vAlign w:val="center"/>
          </w:tcPr>
          <w:p w14:paraId="7CFF440D">
            <w:pPr>
              <w:pStyle w:val="12"/>
            </w:pPr>
            <w:r>
              <w:t>100%</w:t>
            </w:r>
          </w:p>
        </w:tc>
      </w:tr>
      <w:tr w14:paraId="1D903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DDEF7">
            <w:pPr>
              <w:pStyle w:val="11"/>
            </w:pPr>
            <w:r>
              <w:t>绩效目标</w:t>
            </w:r>
          </w:p>
        </w:tc>
        <w:tc>
          <w:tcPr>
            <w:tcW w:w="14033" w:type="dxa"/>
            <w:gridSpan w:val="6"/>
            <w:vAlign w:val="center"/>
          </w:tcPr>
          <w:p w14:paraId="0D51D771">
            <w:pPr>
              <w:pStyle w:val="13"/>
            </w:pPr>
            <w:r>
              <w:t>1.按拨款时序进度完成经费拨付和支出</w:t>
            </w:r>
          </w:p>
          <w:p w14:paraId="705AEC43">
            <w:pPr>
              <w:pStyle w:val="13"/>
            </w:pPr>
            <w:r>
              <w:t>2.保证学校正常运转和改善办学条件</w:t>
            </w:r>
          </w:p>
        </w:tc>
      </w:tr>
    </w:tbl>
    <w:p w14:paraId="27C194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74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92231">
            <w:pPr>
              <w:pStyle w:val="11"/>
            </w:pPr>
            <w:r>
              <w:t>一级指标</w:t>
            </w:r>
          </w:p>
        </w:tc>
        <w:tc>
          <w:tcPr>
            <w:tcW w:w="2268" w:type="dxa"/>
            <w:vAlign w:val="center"/>
          </w:tcPr>
          <w:p w14:paraId="5009AECC">
            <w:pPr>
              <w:pStyle w:val="11"/>
            </w:pPr>
            <w:r>
              <w:t>二级指标</w:t>
            </w:r>
          </w:p>
        </w:tc>
        <w:tc>
          <w:tcPr>
            <w:tcW w:w="2835" w:type="dxa"/>
            <w:vAlign w:val="center"/>
          </w:tcPr>
          <w:p w14:paraId="0371BF19">
            <w:pPr>
              <w:pStyle w:val="11"/>
            </w:pPr>
            <w:r>
              <w:t>三级指标</w:t>
            </w:r>
          </w:p>
        </w:tc>
        <w:tc>
          <w:tcPr>
            <w:tcW w:w="5386" w:type="dxa"/>
            <w:vAlign w:val="center"/>
          </w:tcPr>
          <w:p w14:paraId="5F9AD0F8">
            <w:pPr>
              <w:pStyle w:val="11"/>
            </w:pPr>
            <w:r>
              <w:t>绩效指标描述</w:t>
            </w:r>
          </w:p>
        </w:tc>
        <w:tc>
          <w:tcPr>
            <w:tcW w:w="2268" w:type="dxa"/>
            <w:vAlign w:val="center"/>
          </w:tcPr>
          <w:p w14:paraId="017BFA6E">
            <w:pPr>
              <w:pStyle w:val="11"/>
            </w:pPr>
            <w:r>
              <w:t>指标值</w:t>
            </w:r>
          </w:p>
        </w:tc>
        <w:tc>
          <w:tcPr>
            <w:tcW w:w="1276" w:type="dxa"/>
            <w:vAlign w:val="center"/>
          </w:tcPr>
          <w:p w14:paraId="671C59BF">
            <w:pPr>
              <w:pStyle w:val="11"/>
            </w:pPr>
            <w:r>
              <w:t>指标值确定依据</w:t>
            </w:r>
          </w:p>
        </w:tc>
      </w:tr>
      <w:tr w14:paraId="2A9CF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DB347">
            <w:pPr>
              <w:pStyle w:val="12"/>
            </w:pPr>
            <w:r>
              <w:t>产出指标</w:t>
            </w:r>
          </w:p>
        </w:tc>
        <w:tc>
          <w:tcPr>
            <w:tcW w:w="2268" w:type="dxa"/>
            <w:vAlign w:val="center"/>
          </w:tcPr>
          <w:p w14:paraId="7F68DBDF">
            <w:pPr>
              <w:pStyle w:val="13"/>
            </w:pPr>
            <w:r>
              <w:t>数量指标</w:t>
            </w:r>
          </w:p>
        </w:tc>
        <w:tc>
          <w:tcPr>
            <w:tcW w:w="2835" w:type="dxa"/>
            <w:vAlign w:val="center"/>
          </w:tcPr>
          <w:p w14:paraId="76674AD8">
            <w:pPr>
              <w:pStyle w:val="13"/>
            </w:pPr>
            <w:r>
              <w:t>购买空调</w:t>
            </w:r>
          </w:p>
        </w:tc>
        <w:tc>
          <w:tcPr>
            <w:tcW w:w="5386" w:type="dxa"/>
            <w:vAlign w:val="center"/>
          </w:tcPr>
          <w:p w14:paraId="6083D65F">
            <w:pPr>
              <w:pStyle w:val="13"/>
            </w:pPr>
            <w:r>
              <w:t>购买空调37台，每台2400元</w:t>
            </w:r>
          </w:p>
        </w:tc>
        <w:tc>
          <w:tcPr>
            <w:tcW w:w="2268" w:type="dxa"/>
            <w:vAlign w:val="center"/>
          </w:tcPr>
          <w:p w14:paraId="07D8C5BD">
            <w:pPr>
              <w:pStyle w:val="13"/>
            </w:pPr>
            <w:r>
              <w:t>8.88万元</w:t>
            </w:r>
          </w:p>
        </w:tc>
        <w:tc>
          <w:tcPr>
            <w:tcW w:w="1276" w:type="dxa"/>
            <w:vAlign w:val="center"/>
          </w:tcPr>
          <w:p w14:paraId="1F64AD14">
            <w:pPr>
              <w:pStyle w:val="13"/>
            </w:pPr>
            <w:r>
              <w:t>项目规划</w:t>
            </w:r>
          </w:p>
        </w:tc>
      </w:tr>
      <w:tr w14:paraId="30FE8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BBB06"/>
        </w:tc>
        <w:tc>
          <w:tcPr>
            <w:tcW w:w="2268" w:type="dxa"/>
            <w:vAlign w:val="center"/>
          </w:tcPr>
          <w:p w14:paraId="335B6486">
            <w:pPr>
              <w:pStyle w:val="13"/>
            </w:pPr>
            <w:r>
              <w:t>数量指标</w:t>
            </w:r>
          </w:p>
        </w:tc>
        <w:tc>
          <w:tcPr>
            <w:tcW w:w="2835" w:type="dxa"/>
            <w:vAlign w:val="center"/>
          </w:tcPr>
          <w:p w14:paraId="6DD37241">
            <w:pPr>
              <w:pStyle w:val="13"/>
            </w:pPr>
            <w:r>
              <w:t>视频会议系统</w:t>
            </w:r>
          </w:p>
        </w:tc>
        <w:tc>
          <w:tcPr>
            <w:tcW w:w="5386" w:type="dxa"/>
            <w:vAlign w:val="center"/>
          </w:tcPr>
          <w:p w14:paraId="563E0C67">
            <w:pPr>
              <w:pStyle w:val="13"/>
            </w:pPr>
            <w:r>
              <w:t>视频会议系统1套，21140元</w:t>
            </w:r>
          </w:p>
        </w:tc>
        <w:tc>
          <w:tcPr>
            <w:tcW w:w="2268" w:type="dxa"/>
            <w:vAlign w:val="center"/>
          </w:tcPr>
          <w:p w14:paraId="481236E6">
            <w:pPr>
              <w:pStyle w:val="13"/>
            </w:pPr>
            <w:r>
              <w:t>2.11万元</w:t>
            </w:r>
          </w:p>
        </w:tc>
        <w:tc>
          <w:tcPr>
            <w:tcW w:w="1276" w:type="dxa"/>
            <w:vAlign w:val="center"/>
          </w:tcPr>
          <w:p w14:paraId="601FCD61">
            <w:pPr>
              <w:pStyle w:val="13"/>
            </w:pPr>
            <w:r>
              <w:t>项目规划</w:t>
            </w:r>
          </w:p>
        </w:tc>
      </w:tr>
      <w:tr w14:paraId="24525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A3DD"/>
        </w:tc>
        <w:tc>
          <w:tcPr>
            <w:tcW w:w="2268" w:type="dxa"/>
            <w:vAlign w:val="center"/>
          </w:tcPr>
          <w:p w14:paraId="085B928A">
            <w:pPr>
              <w:pStyle w:val="13"/>
            </w:pPr>
            <w:r>
              <w:t>质量指标</w:t>
            </w:r>
          </w:p>
        </w:tc>
        <w:tc>
          <w:tcPr>
            <w:tcW w:w="2835" w:type="dxa"/>
            <w:vAlign w:val="center"/>
          </w:tcPr>
          <w:p w14:paraId="6B932C9C">
            <w:pPr>
              <w:pStyle w:val="13"/>
            </w:pPr>
            <w:r>
              <w:t>工程实施验收合格率</w:t>
            </w:r>
          </w:p>
        </w:tc>
        <w:tc>
          <w:tcPr>
            <w:tcW w:w="5386" w:type="dxa"/>
            <w:vAlign w:val="center"/>
          </w:tcPr>
          <w:p w14:paraId="31031A7F">
            <w:pPr>
              <w:pStyle w:val="13"/>
            </w:pPr>
            <w:r>
              <w:t>申报程序的合规，项目实施及资金使用符合项目规划</w:t>
            </w:r>
          </w:p>
        </w:tc>
        <w:tc>
          <w:tcPr>
            <w:tcW w:w="2268" w:type="dxa"/>
            <w:vAlign w:val="center"/>
          </w:tcPr>
          <w:p w14:paraId="4158F119">
            <w:pPr>
              <w:pStyle w:val="13"/>
            </w:pPr>
            <w:r>
              <w:t>≥100%</w:t>
            </w:r>
          </w:p>
        </w:tc>
        <w:tc>
          <w:tcPr>
            <w:tcW w:w="1276" w:type="dxa"/>
            <w:vAlign w:val="center"/>
          </w:tcPr>
          <w:p w14:paraId="530A3007">
            <w:pPr>
              <w:pStyle w:val="13"/>
            </w:pPr>
            <w:r>
              <w:t>项目规划</w:t>
            </w:r>
          </w:p>
        </w:tc>
      </w:tr>
      <w:tr w14:paraId="3EB2E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40C1F"/>
        </w:tc>
        <w:tc>
          <w:tcPr>
            <w:tcW w:w="2268" w:type="dxa"/>
            <w:vAlign w:val="center"/>
          </w:tcPr>
          <w:p w14:paraId="61B61270">
            <w:pPr>
              <w:pStyle w:val="13"/>
            </w:pPr>
            <w:r>
              <w:t>时效指标</w:t>
            </w:r>
          </w:p>
        </w:tc>
        <w:tc>
          <w:tcPr>
            <w:tcW w:w="2835" w:type="dxa"/>
            <w:vAlign w:val="center"/>
          </w:tcPr>
          <w:p w14:paraId="033FFEA1">
            <w:pPr>
              <w:pStyle w:val="13"/>
            </w:pPr>
            <w:r>
              <w:t>资金支付率</w:t>
            </w:r>
          </w:p>
        </w:tc>
        <w:tc>
          <w:tcPr>
            <w:tcW w:w="5386" w:type="dxa"/>
            <w:vAlign w:val="center"/>
          </w:tcPr>
          <w:p w14:paraId="2816FFF8">
            <w:pPr>
              <w:pStyle w:val="13"/>
            </w:pPr>
            <w:r>
              <w:t>按照序时进度完成资金支付</w:t>
            </w:r>
          </w:p>
        </w:tc>
        <w:tc>
          <w:tcPr>
            <w:tcW w:w="2268" w:type="dxa"/>
            <w:vAlign w:val="center"/>
          </w:tcPr>
          <w:p w14:paraId="2EB0EC97">
            <w:pPr>
              <w:pStyle w:val="13"/>
            </w:pPr>
            <w:r>
              <w:t>≥100%</w:t>
            </w:r>
          </w:p>
        </w:tc>
        <w:tc>
          <w:tcPr>
            <w:tcW w:w="1276" w:type="dxa"/>
            <w:vAlign w:val="center"/>
          </w:tcPr>
          <w:p w14:paraId="7705E8D7">
            <w:pPr>
              <w:pStyle w:val="13"/>
            </w:pPr>
            <w:r>
              <w:t>项目规划</w:t>
            </w:r>
          </w:p>
        </w:tc>
      </w:tr>
      <w:tr w14:paraId="6F8B9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FD5D9"/>
        </w:tc>
        <w:tc>
          <w:tcPr>
            <w:tcW w:w="2268" w:type="dxa"/>
            <w:vAlign w:val="center"/>
          </w:tcPr>
          <w:p w14:paraId="71189752">
            <w:pPr>
              <w:pStyle w:val="13"/>
            </w:pPr>
            <w:r>
              <w:t>成本指标</w:t>
            </w:r>
          </w:p>
        </w:tc>
        <w:tc>
          <w:tcPr>
            <w:tcW w:w="2835" w:type="dxa"/>
            <w:vAlign w:val="center"/>
          </w:tcPr>
          <w:p w14:paraId="1B71D117">
            <w:pPr>
              <w:pStyle w:val="13"/>
            </w:pPr>
            <w:r>
              <w:t>项目成本控制情况</w:t>
            </w:r>
          </w:p>
        </w:tc>
        <w:tc>
          <w:tcPr>
            <w:tcW w:w="5386" w:type="dxa"/>
            <w:vAlign w:val="center"/>
          </w:tcPr>
          <w:p w14:paraId="60503DF1">
            <w:pPr>
              <w:pStyle w:val="13"/>
            </w:pPr>
            <w:r>
              <w:t>严格按照招标价格及审计额进行</w:t>
            </w:r>
          </w:p>
        </w:tc>
        <w:tc>
          <w:tcPr>
            <w:tcW w:w="2268" w:type="dxa"/>
            <w:vAlign w:val="center"/>
          </w:tcPr>
          <w:p w14:paraId="71C2F463">
            <w:pPr>
              <w:pStyle w:val="13"/>
            </w:pPr>
            <w:r>
              <w:t>≤10.99万元</w:t>
            </w:r>
          </w:p>
        </w:tc>
        <w:tc>
          <w:tcPr>
            <w:tcW w:w="1276" w:type="dxa"/>
            <w:vAlign w:val="center"/>
          </w:tcPr>
          <w:p w14:paraId="57348D31">
            <w:pPr>
              <w:pStyle w:val="13"/>
            </w:pPr>
            <w:r>
              <w:t>项目规划</w:t>
            </w:r>
          </w:p>
        </w:tc>
      </w:tr>
      <w:tr w14:paraId="336EE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043510">
            <w:pPr>
              <w:pStyle w:val="12"/>
            </w:pPr>
            <w:r>
              <w:t>效益指标</w:t>
            </w:r>
          </w:p>
        </w:tc>
        <w:tc>
          <w:tcPr>
            <w:tcW w:w="2268" w:type="dxa"/>
            <w:vAlign w:val="center"/>
          </w:tcPr>
          <w:p w14:paraId="6E4F8E66">
            <w:pPr>
              <w:pStyle w:val="13"/>
            </w:pPr>
            <w:r>
              <w:t>可持续影响指标</w:t>
            </w:r>
          </w:p>
        </w:tc>
        <w:tc>
          <w:tcPr>
            <w:tcW w:w="2835" w:type="dxa"/>
            <w:vAlign w:val="center"/>
          </w:tcPr>
          <w:p w14:paraId="7AE98543">
            <w:pPr>
              <w:pStyle w:val="13"/>
            </w:pPr>
            <w:r>
              <w:t>教育发展水平</w:t>
            </w:r>
          </w:p>
        </w:tc>
        <w:tc>
          <w:tcPr>
            <w:tcW w:w="5386" w:type="dxa"/>
            <w:vAlign w:val="center"/>
          </w:tcPr>
          <w:p w14:paraId="1137C5DD">
            <w:pPr>
              <w:pStyle w:val="13"/>
            </w:pPr>
            <w:r>
              <w:t>受益人数</w:t>
            </w:r>
          </w:p>
        </w:tc>
        <w:tc>
          <w:tcPr>
            <w:tcW w:w="2268" w:type="dxa"/>
            <w:vAlign w:val="center"/>
          </w:tcPr>
          <w:p w14:paraId="3BCA4E77">
            <w:pPr>
              <w:pStyle w:val="13"/>
            </w:pPr>
            <w:r>
              <w:t>497人</w:t>
            </w:r>
          </w:p>
        </w:tc>
        <w:tc>
          <w:tcPr>
            <w:tcW w:w="1276" w:type="dxa"/>
            <w:vAlign w:val="center"/>
          </w:tcPr>
          <w:p w14:paraId="5220367C">
            <w:pPr>
              <w:pStyle w:val="13"/>
            </w:pPr>
            <w:r>
              <w:t>项目规划</w:t>
            </w:r>
          </w:p>
        </w:tc>
      </w:tr>
      <w:tr w14:paraId="125A0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A40DC2">
            <w:pPr>
              <w:pStyle w:val="12"/>
            </w:pPr>
            <w:r>
              <w:t>满意度指标</w:t>
            </w:r>
          </w:p>
        </w:tc>
        <w:tc>
          <w:tcPr>
            <w:tcW w:w="2268" w:type="dxa"/>
            <w:vAlign w:val="center"/>
          </w:tcPr>
          <w:p w14:paraId="09D8309F">
            <w:pPr>
              <w:pStyle w:val="13"/>
            </w:pPr>
            <w:r>
              <w:t>服务对象满意度指标</w:t>
            </w:r>
          </w:p>
        </w:tc>
        <w:tc>
          <w:tcPr>
            <w:tcW w:w="2835" w:type="dxa"/>
            <w:vAlign w:val="center"/>
          </w:tcPr>
          <w:p w14:paraId="62E5D17D">
            <w:pPr>
              <w:pStyle w:val="13"/>
            </w:pPr>
            <w:r>
              <w:t>学生、教师及家长对学校教学环境满意度情况</w:t>
            </w:r>
          </w:p>
        </w:tc>
        <w:tc>
          <w:tcPr>
            <w:tcW w:w="5386" w:type="dxa"/>
            <w:vAlign w:val="center"/>
          </w:tcPr>
          <w:p w14:paraId="25B216BC">
            <w:pPr>
              <w:pStyle w:val="13"/>
            </w:pPr>
            <w:r>
              <w:t>学生、教师及家长对学校教学环境满意度情况</w:t>
            </w:r>
          </w:p>
        </w:tc>
        <w:tc>
          <w:tcPr>
            <w:tcW w:w="2268" w:type="dxa"/>
            <w:vAlign w:val="center"/>
          </w:tcPr>
          <w:p w14:paraId="27349F27">
            <w:pPr>
              <w:pStyle w:val="13"/>
            </w:pPr>
            <w:r>
              <w:t>≥95%</w:t>
            </w:r>
          </w:p>
        </w:tc>
        <w:tc>
          <w:tcPr>
            <w:tcW w:w="1276" w:type="dxa"/>
            <w:vAlign w:val="center"/>
          </w:tcPr>
          <w:p w14:paraId="30425A83">
            <w:pPr>
              <w:pStyle w:val="13"/>
            </w:pPr>
            <w:r>
              <w:t>调查问卷</w:t>
            </w:r>
          </w:p>
        </w:tc>
      </w:tr>
    </w:tbl>
    <w:p w14:paraId="2E666DB6">
      <w:pPr>
        <w:sectPr>
          <w:pgSz w:w="16840" w:h="11900" w:orient="landscape"/>
          <w:pgMar w:top="1361" w:right="1020" w:bottom="1134" w:left="1020" w:header="720" w:footer="720" w:gutter="0"/>
          <w:cols w:space="720" w:num="1"/>
        </w:sectPr>
      </w:pPr>
    </w:p>
    <w:p w14:paraId="4C0BD4E9">
      <w:pPr>
        <w:spacing w:before="0" w:after="0"/>
        <w:ind w:firstLine="560"/>
        <w:jc w:val="left"/>
        <w:outlineLvl w:val="9"/>
      </w:pPr>
      <w:r>
        <w:rPr>
          <w:rFonts w:ascii="方正仿宋_GBK" w:hAnsi="方正仿宋_GBK" w:eastAsia="方正仿宋_GBK" w:cs="方正仿宋_GBK"/>
          <w:b/>
          <w:color w:val="000000"/>
          <w:sz w:val="28"/>
        </w:rPr>
        <w:t>6、冀财教[2024]141号/省级/2025年义教补助经费/魏家庄中学公用经费绩效目标表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EC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DC101">
            <w:pPr>
              <w:pStyle w:val="14"/>
            </w:pPr>
            <w:r>
              <w:t>单位：万元</w:t>
            </w:r>
          </w:p>
        </w:tc>
      </w:tr>
      <w:tr w14:paraId="69BA7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8B67C3">
            <w:pPr>
              <w:pStyle w:val="11"/>
            </w:pPr>
            <w:r>
              <w:t>项目编码</w:t>
            </w:r>
          </w:p>
        </w:tc>
        <w:tc>
          <w:tcPr>
            <w:tcW w:w="5103" w:type="dxa"/>
            <w:gridSpan w:val="2"/>
            <w:vAlign w:val="center"/>
          </w:tcPr>
          <w:p w14:paraId="591B3C0B">
            <w:pPr>
              <w:pStyle w:val="13"/>
            </w:pPr>
            <w:r>
              <w:t>13052525P00000410121L</w:t>
            </w:r>
          </w:p>
        </w:tc>
        <w:tc>
          <w:tcPr>
            <w:tcW w:w="2835" w:type="dxa"/>
            <w:vAlign w:val="center"/>
          </w:tcPr>
          <w:p w14:paraId="6EE476D6">
            <w:pPr>
              <w:pStyle w:val="11"/>
            </w:pPr>
            <w:r>
              <w:t>项目名称</w:t>
            </w:r>
          </w:p>
        </w:tc>
        <w:tc>
          <w:tcPr>
            <w:tcW w:w="6095" w:type="dxa"/>
            <w:gridSpan w:val="3"/>
            <w:vAlign w:val="center"/>
          </w:tcPr>
          <w:p w14:paraId="4803E0AE">
            <w:pPr>
              <w:pStyle w:val="13"/>
            </w:pPr>
            <w:r>
              <w:t>冀财教[2024]141号/省级/2025年义教补助经费/魏家庄中学公用经费</w:t>
            </w:r>
          </w:p>
        </w:tc>
      </w:tr>
      <w:tr w14:paraId="4E101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24404">
            <w:pPr>
              <w:pStyle w:val="11"/>
            </w:pPr>
            <w:r>
              <w:t>预算规模及资金用途</w:t>
            </w:r>
          </w:p>
        </w:tc>
        <w:tc>
          <w:tcPr>
            <w:tcW w:w="2268" w:type="dxa"/>
            <w:vAlign w:val="center"/>
          </w:tcPr>
          <w:p w14:paraId="0E25D928">
            <w:pPr>
              <w:pStyle w:val="11"/>
            </w:pPr>
            <w:r>
              <w:t>预算数</w:t>
            </w:r>
          </w:p>
        </w:tc>
        <w:tc>
          <w:tcPr>
            <w:tcW w:w="2835" w:type="dxa"/>
            <w:vAlign w:val="center"/>
          </w:tcPr>
          <w:p w14:paraId="0279F88F">
            <w:pPr>
              <w:pStyle w:val="13"/>
            </w:pPr>
            <w:r>
              <w:t>20.56</w:t>
            </w:r>
          </w:p>
        </w:tc>
        <w:tc>
          <w:tcPr>
            <w:tcW w:w="2835" w:type="dxa"/>
            <w:vAlign w:val="center"/>
          </w:tcPr>
          <w:p w14:paraId="4CEE2E81">
            <w:pPr>
              <w:pStyle w:val="11"/>
            </w:pPr>
            <w:r>
              <w:t>其中：财政    资金</w:t>
            </w:r>
          </w:p>
        </w:tc>
        <w:tc>
          <w:tcPr>
            <w:tcW w:w="2551" w:type="dxa"/>
            <w:vAlign w:val="center"/>
          </w:tcPr>
          <w:p w14:paraId="0E49E274">
            <w:pPr>
              <w:pStyle w:val="13"/>
            </w:pPr>
            <w:r>
              <w:t>20.56</w:t>
            </w:r>
          </w:p>
        </w:tc>
        <w:tc>
          <w:tcPr>
            <w:tcW w:w="2268" w:type="dxa"/>
            <w:vAlign w:val="center"/>
          </w:tcPr>
          <w:p w14:paraId="2D4CA791">
            <w:pPr>
              <w:pStyle w:val="11"/>
            </w:pPr>
            <w:r>
              <w:t>其他资金</w:t>
            </w:r>
          </w:p>
        </w:tc>
        <w:tc>
          <w:tcPr>
            <w:tcW w:w="1276" w:type="dxa"/>
            <w:vAlign w:val="center"/>
          </w:tcPr>
          <w:p w14:paraId="230C43C5">
            <w:pPr>
              <w:pStyle w:val="13"/>
            </w:pPr>
            <w:r>
              <w:t xml:space="preserve"> </w:t>
            </w:r>
          </w:p>
        </w:tc>
      </w:tr>
      <w:tr w14:paraId="020FB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CBE698"/>
        </w:tc>
        <w:tc>
          <w:tcPr>
            <w:tcW w:w="14033" w:type="dxa"/>
            <w:gridSpan w:val="6"/>
            <w:vAlign w:val="center"/>
          </w:tcPr>
          <w:p w14:paraId="07D16A89">
            <w:pPr>
              <w:pStyle w:val="13"/>
            </w:pPr>
            <w:r>
              <w:t>保障我校正常运转，完成教育教学活动和其他日常工作任务等方面的费用支出。</w:t>
            </w:r>
            <w:r>
              <w:tab/>
            </w:r>
            <w:r>
              <w:tab/>
            </w:r>
          </w:p>
        </w:tc>
      </w:tr>
      <w:tr w14:paraId="2361B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E4B8C">
            <w:pPr>
              <w:pStyle w:val="11"/>
            </w:pPr>
            <w:r>
              <w:t>资金支出计划（%）</w:t>
            </w:r>
          </w:p>
        </w:tc>
        <w:tc>
          <w:tcPr>
            <w:tcW w:w="5103" w:type="dxa"/>
            <w:gridSpan w:val="2"/>
            <w:vAlign w:val="center"/>
          </w:tcPr>
          <w:p w14:paraId="0E54C124">
            <w:pPr>
              <w:pStyle w:val="11"/>
            </w:pPr>
            <w:r>
              <w:t>3月底</w:t>
            </w:r>
          </w:p>
        </w:tc>
        <w:tc>
          <w:tcPr>
            <w:tcW w:w="2835" w:type="dxa"/>
            <w:vAlign w:val="center"/>
          </w:tcPr>
          <w:p w14:paraId="1EB44831">
            <w:pPr>
              <w:pStyle w:val="11"/>
            </w:pPr>
            <w:r>
              <w:t>6月底</w:t>
            </w:r>
          </w:p>
        </w:tc>
        <w:tc>
          <w:tcPr>
            <w:tcW w:w="2551" w:type="dxa"/>
            <w:vAlign w:val="center"/>
          </w:tcPr>
          <w:p w14:paraId="71184C70">
            <w:pPr>
              <w:pStyle w:val="11"/>
            </w:pPr>
            <w:r>
              <w:t>10月底</w:t>
            </w:r>
          </w:p>
        </w:tc>
        <w:tc>
          <w:tcPr>
            <w:tcW w:w="3544" w:type="dxa"/>
            <w:gridSpan w:val="2"/>
            <w:vAlign w:val="center"/>
          </w:tcPr>
          <w:p w14:paraId="56D990CE">
            <w:pPr>
              <w:pStyle w:val="11"/>
            </w:pPr>
            <w:r>
              <w:t>12月底</w:t>
            </w:r>
          </w:p>
        </w:tc>
      </w:tr>
      <w:tr w14:paraId="149D6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4C92F3"/>
        </w:tc>
        <w:tc>
          <w:tcPr>
            <w:tcW w:w="5103" w:type="dxa"/>
            <w:gridSpan w:val="2"/>
            <w:vAlign w:val="center"/>
          </w:tcPr>
          <w:p w14:paraId="426FB704">
            <w:pPr>
              <w:pStyle w:val="12"/>
            </w:pPr>
            <w:r>
              <w:t>25%</w:t>
            </w:r>
          </w:p>
        </w:tc>
        <w:tc>
          <w:tcPr>
            <w:tcW w:w="2835" w:type="dxa"/>
            <w:vAlign w:val="center"/>
          </w:tcPr>
          <w:p w14:paraId="688919C7">
            <w:pPr>
              <w:pStyle w:val="12"/>
            </w:pPr>
            <w:r>
              <w:t>50%</w:t>
            </w:r>
          </w:p>
        </w:tc>
        <w:tc>
          <w:tcPr>
            <w:tcW w:w="2551" w:type="dxa"/>
            <w:vAlign w:val="center"/>
          </w:tcPr>
          <w:p w14:paraId="487D2EBE">
            <w:pPr>
              <w:pStyle w:val="12"/>
            </w:pPr>
            <w:r>
              <w:t>75%</w:t>
            </w:r>
          </w:p>
        </w:tc>
        <w:tc>
          <w:tcPr>
            <w:tcW w:w="3544" w:type="dxa"/>
            <w:gridSpan w:val="2"/>
            <w:vAlign w:val="center"/>
          </w:tcPr>
          <w:p w14:paraId="5F9CF90F">
            <w:pPr>
              <w:pStyle w:val="12"/>
            </w:pPr>
            <w:r>
              <w:t>100%</w:t>
            </w:r>
          </w:p>
        </w:tc>
      </w:tr>
      <w:tr w14:paraId="6D535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2BC827">
            <w:pPr>
              <w:pStyle w:val="11"/>
            </w:pPr>
            <w:r>
              <w:t>绩效目标</w:t>
            </w:r>
          </w:p>
        </w:tc>
        <w:tc>
          <w:tcPr>
            <w:tcW w:w="14033" w:type="dxa"/>
            <w:gridSpan w:val="6"/>
            <w:vAlign w:val="center"/>
          </w:tcPr>
          <w:p w14:paraId="1E3E1B00">
            <w:pPr>
              <w:pStyle w:val="13"/>
            </w:pPr>
            <w:r>
              <w:t>1.按规定拨付我校公用经费资金205610 元，资金拨付率达到100%。</w:t>
            </w:r>
          </w:p>
          <w:p w14:paraId="73F0CF45">
            <w:pPr>
              <w:pStyle w:val="13"/>
            </w:pPr>
            <w:r>
              <w:t>2.保障我校正常运转，完成教育教学活动和其他日常工作任务等方面的费用支出。</w:t>
            </w:r>
            <w:r>
              <w:tab/>
            </w:r>
            <w:r>
              <w:tab/>
            </w:r>
            <w:r>
              <w:tab/>
            </w:r>
          </w:p>
        </w:tc>
      </w:tr>
    </w:tbl>
    <w:p w14:paraId="2328ED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6B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33AA8">
            <w:pPr>
              <w:pStyle w:val="11"/>
            </w:pPr>
            <w:r>
              <w:t>一级指标</w:t>
            </w:r>
          </w:p>
        </w:tc>
        <w:tc>
          <w:tcPr>
            <w:tcW w:w="2268" w:type="dxa"/>
            <w:vAlign w:val="center"/>
          </w:tcPr>
          <w:p w14:paraId="3DBF83BA">
            <w:pPr>
              <w:pStyle w:val="11"/>
            </w:pPr>
            <w:r>
              <w:t>二级指标</w:t>
            </w:r>
          </w:p>
        </w:tc>
        <w:tc>
          <w:tcPr>
            <w:tcW w:w="2835" w:type="dxa"/>
            <w:vAlign w:val="center"/>
          </w:tcPr>
          <w:p w14:paraId="7F830164">
            <w:pPr>
              <w:pStyle w:val="11"/>
            </w:pPr>
            <w:r>
              <w:t>三级指标</w:t>
            </w:r>
          </w:p>
        </w:tc>
        <w:tc>
          <w:tcPr>
            <w:tcW w:w="5386" w:type="dxa"/>
            <w:vAlign w:val="center"/>
          </w:tcPr>
          <w:p w14:paraId="5193174B">
            <w:pPr>
              <w:pStyle w:val="11"/>
            </w:pPr>
            <w:r>
              <w:t>绩效指标描述</w:t>
            </w:r>
          </w:p>
        </w:tc>
        <w:tc>
          <w:tcPr>
            <w:tcW w:w="2268" w:type="dxa"/>
            <w:vAlign w:val="center"/>
          </w:tcPr>
          <w:p w14:paraId="0C1C5308">
            <w:pPr>
              <w:pStyle w:val="11"/>
            </w:pPr>
            <w:r>
              <w:t>指标值</w:t>
            </w:r>
          </w:p>
        </w:tc>
        <w:tc>
          <w:tcPr>
            <w:tcW w:w="1276" w:type="dxa"/>
            <w:vAlign w:val="center"/>
          </w:tcPr>
          <w:p w14:paraId="2FC7A22F">
            <w:pPr>
              <w:pStyle w:val="11"/>
            </w:pPr>
            <w:r>
              <w:t>指标值确定依据</w:t>
            </w:r>
          </w:p>
        </w:tc>
      </w:tr>
      <w:tr w14:paraId="3327E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9D53F">
            <w:pPr>
              <w:pStyle w:val="12"/>
            </w:pPr>
            <w:r>
              <w:t>产出指标</w:t>
            </w:r>
          </w:p>
        </w:tc>
        <w:tc>
          <w:tcPr>
            <w:tcW w:w="2268" w:type="dxa"/>
            <w:vAlign w:val="center"/>
          </w:tcPr>
          <w:p w14:paraId="278AA7A4">
            <w:pPr>
              <w:pStyle w:val="13"/>
            </w:pPr>
            <w:r>
              <w:t>数量指标</w:t>
            </w:r>
          </w:p>
        </w:tc>
        <w:tc>
          <w:tcPr>
            <w:tcW w:w="2835" w:type="dxa"/>
            <w:vAlign w:val="center"/>
          </w:tcPr>
          <w:p w14:paraId="71C72FB2">
            <w:pPr>
              <w:pStyle w:val="13"/>
            </w:pPr>
            <w:r>
              <w:t>适龄在校生</w:t>
            </w:r>
          </w:p>
        </w:tc>
        <w:tc>
          <w:tcPr>
            <w:tcW w:w="5386" w:type="dxa"/>
            <w:vAlign w:val="center"/>
          </w:tcPr>
          <w:p w14:paraId="7AFB93E1">
            <w:pPr>
              <w:pStyle w:val="13"/>
            </w:pPr>
            <w:r>
              <w:t>适龄在校就读学生人数</w:t>
            </w:r>
          </w:p>
        </w:tc>
        <w:tc>
          <w:tcPr>
            <w:tcW w:w="2268" w:type="dxa"/>
            <w:vAlign w:val="center"/>
          </w:tcPr>
          <w:p w14:paraId="7F1A96CC">
            <w:pPr>
              <w:pStyle w:val="13"/>
            </w:pPr>
            <w:r>
              <w:t>497人</w:t>
            </w:r>
          </w:p>
        </w:tc>
        <w:tc>
          <w:tcPr>
            <w:tcW w:w="1276" w:type="dxa"/>
            <w:vAlign w:val="center"/>
          </w:tcPr>
          <w:p w14:paraId="51D56608">
            <w:pPr>
              <w:pStyle w:val="13"/>
            </w:pPr>
            <w:r>
              <w:t>城乡义务教育公用经费管理办法</w:t>
            </w:r>
          </w:p>
        </w:tc>
      </w:tr>
      <w:tr w14:paraId="5E182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E7CBB"/>
        </w:tc>
        <w:tc>
          <w:tcPr>
            <w:tcW w:w="2268" w:type="dxa"/>
            <w:vAlign w:val="center"/>
          </w:tcPr>
          <w:p w14:paraId="2B3178A6">
            <w:pPr>
              <w:pStyle w:val="13"/>
            </w:pPr>
            <w:r>
              <w:t>质量指标</w:t>
            </w:r>
          </w:p>
        </w:tc>
        <w:tc>
          <w:tcPr>
            <w:tcW w:w="2835" w:type="dxa"/>
            <w:vAlign w:val="center"/>
          </w:tcPr>
          <w:p w14:paraId="4FBEF567">
            <w:pPr>
              <w:pStyle w:val="13"/>
            </w:pPr>
            <w:r>
              <w:t>预算执行率</w:t>
            </w:r>
          </w:p>
        </w:tc>
        <w:tc>
          <w:tcPr>
            <w:tcW w:w="5386" w:type="dxa"/>
            <w:vAlign w:val="center"/>
          </w:tcPr>
          <w:p w14:paraId="748F345D">
            <w:pPr>
              <w:pStyle w:val="13"/>
            </w:pPr>
            <w:r>
              <w:t>预算执行率</w:t>
            </w:r>
          </w:p>
        </w:tc>
        <w:tc>
          <w:tcPr>
            <w:tcW w:w="2268" w:type="dxa"/>
            <w:vAlign w:val="center"/>
          </w:tcPr>
          <w:p w14:paraId="3FE96C92">
            <w:pPr>
              <w:pStyle w:val="13"/>
            </w:pPr>
            <w:r>
              <w:t>≥98%</w:t>
            </w:r>
          </w:p>
        </w:tc>
        <w:tc>
          <w:tcPr>
            <w:tcW w:w="1276" w:type="dxa"/>
            <w:vAlign w:val="center"/>
          </w:tcPr>
          <w:p w14:paraId="2DDFAA52">
            <w:pPr>
              <w:pStyle w:val="13"/>
            </w:pPr>
            <w:r>
              <w:t>城乡义务教育公用经费管理办法</w:t>
            </w:r>
          </w:p>
        </w:tc>
      </w:tr>
      <w:tr w14:paraId="0B2D5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691AF"/>
        </w:tc>
        <w:tc>
          <w:tcPr>
            <w:tcW w:w="2268" w:type="dxa"/>
            <w:vAlign w:val="center"/>
          </w:tcPr>
          <w:p w14:paraId="50CD8DC0">
            <w:pPr>
              <w:pStyle w:val="13"/>
            </w:pPr>
            <w:r>
              <w:t>时效指标</w:t>
            </w:r>
          </w:p>
        </w:tc>
        <w:tc>
          <w:tcPr>
            <w:tcW w:w="2835" w:type="dxa"/>
            <w:vAlign w:val="center"/>
          </w:tcPr>
          <w:p w14:paraId="042E8BF9">
            <w:pPr>
              <w:pStyle w:val="13"/>
            </w:pPr>
            <w:r>
              <w:t>资金支付率</w:t>
            </w:r>
          </w:p>
        </w:tc>
        <w:tc>
          <w:tcPr>
            <w:tcW w:w="5386" w:type="dxa"/>
            <w:vAlign w:val="center"/>
          </w:tcPr>
          <w:p w14:paraId="3C762D47">
            <w:pPr>
              <w:pStyle w:val="13"/>
            </w:pPr>
            <w:r>
              <w:t>按照序时进度完成资金支付</w:t>
            </w:r>
          </w:p>
        </w:tc>
        <w:tc>
          <w:tcPr>
            <w:tcW w:w="2268" w:type="dxa"/>
            <w:vAlign w:val="center"/>
          </w:tcPr>
          <w:p w14:paraId="1E73C4FA">
            <w:pPr>
              <w:pStyle w:val="13"/>
            </w:pPr>
            <w:r>
              <w:t>100%</w:t>
            </w:r>
          </w:p>
        </w:tc>
        <w:tc>
          <w:tcPr>
            <w:tcW w:w="1276" w:type="dxa"/>
            <w:vAlign w:val="center"/>
          </w:tcPr>
          <w:p w14:paraId="08712F47">
            <w:pPr>
              <w:pStyle w:val="13"/>
            </w:pPr>
            <w:r>
              <w:t>城乡义务教育公用经费管理办法</w:t>
            </w:r>
          </w:p>
        </w:tc>
      </w:tr>
      <w:tr w14:paraId="0D76D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669B8"/>
        </w:tc>
        <w:tc>
          <w:tcPr>
            <w:tcW w:w="2268" w:type="dxa"/>
            <w:vAlign w:val="center"/>
          </w:tcPr>
          <w:p w14:paraId="6CC31B20">
            <w:pPr>
              <w:pStyle w:val="13"/>
            </w:pPr>
            <w:r>
              <w:t>成本指标</w:t>
            </w:r>
          </w:p>
        </w:tc>
        <w:tc>
          <w:tcPr>
            <w:tcW w:w="2835" w:type="dxa"/>
            <w:vAlign w:val="center"/>
          </w:tcPr>
          <w:p w14:paraId="61414FC5">
            <w:pPr>
              <w:pStyle w:val="13"/>
            </w:pPr>
            <w:r>
              <w:t>生均拨款标准</w:t>
            </w:r>
          </w:p>
        </w:tc>
        <w:tc>
          <w:tcPr>
            <w:tcW w:w="5386" w:type="dxa"/>
            <w:vAlign w:val="center"/>
          </w:tcPr>
          <w:p w14:paraId="7767D8BD">
            <w:pPr>
              <w:pStyle w:val="13"/>
            </w:pPr>
            <w:r>
              <w:t>基本标准940元、寄宿生300元、取暖补助120元）/生/学年；随班就读学生：标准7000元/生/学年。</w:t>
            </w:r>
          </w:p>
        </w:tc>
        <w:tc>
          <w:tcPr>
            <w:tcW w:w="2268" w:type="dxa"/>
            <w:vAlign w:val="center"/>
          </w:tcPr>
          <w:p w14:paraId="24FD7C83">
            <w:pPr>
              <w:pStyle w:val="13"/>
            </w:pPr>
            <w:r>
              <w:t>1360元</w:t>
            </w:r>
          </w:p>
        </w:tc>
        <w:tc>
          <w:tcPr>
            <w:tcW w:w="1276" w:type="dxa"/>
            <w:vAlign w:val="center"/>
          </w:tcPr>
          <w:p w14:paraId="2B5CE347">
            <w:pPr>
              <w:pStyle w:val="13"/>
            </w:pPr>
            <w:r>
              <w:t>城乡义务教育公用经费管理办法</w:t>
            </w:r>
          </w:p>
        </w:tc>
      </w:tr>
      <w:tr w14:paraId="3D192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E5ABF5">
            <w:pPr>
              <w:pStyle w:val="12"/>
            </w:pPr>
            <w:r>
              <w:t>效益指标</w:t>
            </w:r>
          </w:p>
        </w:tc>
        <w:tc>
          <w:tcPr>
            <w:tcW w:w="2268" w:type="dxa"/>
            <w:vAlign w:val="center"/>
          </w:tcPr>
          <w:p w14:paraId="79216664">
            <w:pPr>
              <w:pStyle w:val="13"/>
            </w:pPr>
            <w:r>
              <w:t>可持续影响指标</w:t>
            </w:r>
          </w:p>
        </w:tc>
        <w:tc>
          <w:tcPr>
            <w:tcW w:w="2835" w:type="dxa"/>
            <w:vAlign w:val="center"/>
          </w:tcPr>
          <w:p w14:paraId="6118B9C7">
            <w:pPr>
              <w:pStyle w:val="13"/>
            </w:pPr>
            <w:r>
              <w:t>学校运转得到提高</w:t>
            </w:r>
          </w:p>
        </w:tc>
        <w:tc>
          <w:tcPr>
            <w:tcW w:w="5386" w:type="dxa"/>
            <w:vAlign w:val="center"/>
          </w:tcPr>
          <w:p w14:paraId="15D3E35D">
            <w:pPr>
              <w:pStyle w:val="13"/>
            </w:pPr>
            <w:r>
              <w:t>学生受教育年限</w:t>
            </w:r>
          </w:p>
        </w:tc>
        <w:tc>
          <w:tcPr>
            <w:tcW w:w="2268" w:type="dxa"/>
            <w:vAlign w:val="center"/>
          </w:tcPr>
          <w:p w14:paraId="577D8EF2">
            <w:pPr>
              <w:pStyle w:val="13"/>
            </w:pPr>
            <w:r>
              <w:t>3年</w:t>
            </w:r>
          </w:p>
        </w:tc>
        <w:tc>
          <w:tcPr>
            <w:tcW w:w="1276" w:type="dxa"/>
            <w:vAlign w:val="center"/>
          </w:tcPr>
          <w:p w14:paraId="4CE31422">
            <w:pPr>
              <w:pStyle w:val="13"/>
            </w:pPr>
            <w:r>
              <w:t>城乡义务教育公用经费管理办法</w:t>
            </w:r>
          </w:p>
        </w:tc>
      </w:tr>
      <w:tr w14:paraId="13098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8BC330">
            <w:pPr>
              <w:pStyle w:val="12"/>
            </w:pPr>
            <w:r>
              <w:t>满意度指标</w:t>
            </w:r>
          </w:p>
        </w:tc>
        <w:tc>
          <w:tcPr>
            <w:tcW w:w="2268" w:type="dxa"/>
            <w:vAlign w:val="center"/>
          </w:tcPr>
          <w:p w14:paraId="75F73C3F">
            <w:pPr>
              <w:pStyle w:val="13"/>
            </w:pPr>
            <w:r>
              <w:t>服务对象满意度指标</w:t>
            </w:r>
          </w:p>
        </w:tc>
        <w:tc>
          <w:tcPr>
            <w:tcW w:w="2835" w:type="dxa"/>
            <w:vAlign w:val="center"/>
          </w:tcPr>
          <w:p w14:paraId="31550218">
            <w:pPr>
              <w:pStyle w:val="13"/>
            </w:pPr>
            <w:r>
              <w:t>受益学生家长及调查满意度</w:t>
            </w:r>
          </w:p>
        </w:tc>
        <w:tc>
          <w:tcPr>
            <w:tcW w:w="5386" w:type="dxa"/>
            <w:vAlign w:val="center"/>
          </w:tcPr>
          <w:p w14:paraId="7336F943">
            <w:pPr>
              <w:pStyle w:val="13"/>
            </w:pPr>
            <w:r>
              <w:t>学生、教师及家长满意度情况</w:t>
            </w:r>
          </w:p>
        </w:tc>
        <w:tc>
          <w:tcPr>
            <w:tcW w:w="2268" w:type="dxa"/>
            <w:vAlign w:val="center"/>
          </w:tcPr>
          <w:p w14:paraId="5A1D61D4">
            <w:pPr>
              <w:pStyle w:val="13"/>
            </w:pPr>
            <w:r>
              <w:t>≥95%</w:t>
            </w:r>
          </w:p>
        </w:tc>
        <w:tc>
          <w:tcPr>
            <w:tcW w:w="1276" w:type="dxa"/>
            <w:vAlign w:val="center"/>
          </w:tcPr>
          <w:p w14:paraId="0873A6FF">
            <w:pPr>
              <w:pStyle w:val="13"/>
            </w:pPr>
            <w:r>
              <w:t>调查问卷</w:t>
            </w:r>
          </w:p>
        </w:tc>
      </w:tr>
    </w:tbl>
    <w:p w14:paraId="3721CC98">
      <w:pPr>
        <w:sectPr>
          <w:pgSz w:w="16840" w:h="11900" w:orient="landscape"/>
          <w:pgMar w:top="1361" w:right="1020" w:bottom="1134" w:left="1020" w:header="720" w:footer="720" w:gutter="0"/>
          <w:cols w:space="720" w:num="1"/>
        </w:sectPr>
      </w:pPr>
    </w:p>
    <w:p w14:paraId="13372763">
      <w:pPr>
        <w:spacing w:before="10" w:after="10" w:line="240" w:lineRule="auto"/>
        <w:ind w:firstLine="640"/>
        <w:jc w:val="left"/>
        <w:outlineLvl w:val="5"/>
      </w:pPr>
      <w:r>
        <w:rPr>
          <w:rFonts w:ascii="黑体" w:hAnsi="黑体" w:eastAsia="黑体" w:cs="黑体"/>
          <w:color w:val="000000"/>
          <w:sz w:val="32"/>
        </w:rPr>
        <w:t>六、政府采购预算情况</w:t>
      </w:r>
    </w:p>
    <w:p w14:paraId="614E69D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FDAD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2F83C32">
            <w:pPr>
              <w:pStyle w:val="8"/>
            </w:pPr>
            <w:r>
              <w:t>360007隆尧县魏家庄中学</w:t>
            </w:r>
          </w:p>
        </w:tc>
        <w:tc>
          <w:tcPr>
            <w:tcW w:w="7712" w:type="dxa"/>
            <w:gridSpan w:val="8"/>
            <w:tcBorders>
              <w:top w:val="single" w:color="FFFFFF" w:sz="6" w:space="0"/>
              <w:left w:val="single" w:color="FFFFFF" w:sz="6" w:space="0"/>
              <w:right w:val="single" w:color="FFFFFF" w:sz="6" w:space="0"/>
            </w:tcBorders>
            <w:vAlign w:val="center"/>
          </w:tcPr>
          <w:p w14:paraId="0BA7B591">
            <w:pPr>
              <w:pStyle w:val="22"/>
            </w:pPr>
            <w:r>
              <w:t>单位：万元</w:t>
            </w:r>
          </w:p>
        </w:tc>
      </w:tr>
      <w:tr w14:paraId="38B10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EECCF44">
            <w:pPr>
              <w:pStyle w:val="11"/>
            </w:pPr>
            <w:r>
              <w:t>政府采购项目来源</w:t>
            </w:r>
          </w:p>
        </w:tc>
        <w:tc>
          <w:tcPr>
            <w:tcW w:w="1134" w:type="dxa"/>
            <w:vMerge w:val="restart"/>
            <w:vAlign w:val="center"/>
          </w:tcPr>
          <w:p w14:paraId="77D74AFE">
            <w:pPr>
              <w:pStyle w:val="11"/>
            </w:pPr>
            <w:r>
              <w:t>采购物品名称</w:t>
            </w:r>
          </w:p>
        </w:tc>
        <w:tc>
          <w:tcPr>
            <w:tcW w:w="1134" w:type="dxa"/>
            <w:vMerge w:val="restart"/>
            <w:vAlign w:val="center"/>
          </w:tcPr>
          <w:p w14:paraId="40BAA954">
            <w:pPr>
              <w:pStyle w:val="11"/>
            </w:pPr>
            <w:r>
              <w:t>政府采购目录序号</w:t>
            </w:r>
          </w:p>
        </w:tc>
        <w:tc>
          <w:tcPr>
            <w:tcW w:w="709" w:type="dxa"/>
            <w:vMerge w:val="restart"/>
            <w:vAlign w:val="center"/>
          </w:tcPr>
          <w:p w14:paraId="3EBADFAC">
            <w:pPr>
              <w:pStyle w:val="11"/>
            </w:pPr>
            <w:r>
              <w:t>计量  单位</w:t>
            </w:r>
          </w:p>
        </w:tc>
        <w:tc>
          <w:tcPr>
            <w:tcW w:w="850" w:type="dxa"/>
            <w:vMerge w:val="restart"/>
            <w:vAlign w:val="center"/>
          </w:tcPr>
          <w:p w14:paraId="0C2F7830">
            <w:pPr>
              <w:pStyle w:val="11"/>
            </w:pPr>
            <w:r>
              <w:t>数量</w:t>
            </w:r>
          </w:p>
        </w:tc>
        <w:tc>
          <w:tcPr>
            <w:tcW w:w="850" w:type="dxa"/>
            <w:vMerge w:val="restart"/>
            <w:vAlign w:val="center"/>
          </w:tcPr>
          <w:p w14:paraId="0E1A4B59">
            <w:pPr>
              <w:pStyle w:val="11"/>
            </w:pPr>
            <w:r>
              <w:t>单价</w:t>
            </w:r>
          </w:p>
        </w:tc>
        <w:tc>
          <w:tcPr>
            <w:tcW w:w="6748" w:type="dxa"/>
            <w:gridSpan w:val="7"/>
            <w:vAlign w:val="center"/>
          </w:tcPr>
          <w:p w14:paraId="1BAD87A4">
            <w:pPr>
              <w:pStyle w:val="11"/>
            </w:pPr>
            <w:r>
              <w:t>政府采购金额（当年部门预算安排资金）</w:t>
            </w:r>
          </w:p>
        </w:tc>
        <w:tc>
          <w:tcPr>
            <w:tcW w:w="964" w:type="dxa"/>
            <w:vMerge w:val="restart"/>
            <w:vAlign w:val="center"/>
          </w:tcPr>
          <w:p w14:paraId="049DF34C">
            <w:pPr>
              <w:pStyle w:val="11"/>
            </w:pPr>
            <w:r>
              <w:t>2025年  预留中  小微企  业份额</w:t>
            </w:r>
          </w:p>
        </w:tc>
      </w:tr>
      <w:tr w14:paraId="5F2BF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3B200E8">
            <w:pPr>
              <w:pStyle w:val="11"/>
            </w:pPr>
            <w:r>
              <w:t>项目名称</w:t>
            </w:r>
          </w:p>
        </w:tc>
        <w:tc>
          <w:tcPr>
            <w:tcW w:w="964" w:type="dxa"/>
            <w:vAlign w:val="center"/>
          </w:tcPr>
          <w:p w14:paraId="2B4B6F80">
            <w:pPr>
              <w:pStyle w:val="11"/>
            </w:pPr>
            <w:r>
              <w:t>预算    资金</w:t>
            </w:r>
          </w:p>
        </w:tc>
        <w:tc>
          <w:tcPr>
            <w:tcW w:w="1134" w:type="dxa"/>
            <w:vMerge w:val="continue"/>
          </w:tcPr>
          <w:p w14:paraId="7D703DCE"/>
        </w:tc>
        <w:tc>
          <w:tcPr>
            <w:tcW w:w="1134" w:type="dxa"/>
            <w:vMerge w:val="continue"/>
          </w:tcPr>
          <w:p w14:paraId="5147FC9E"/>
        </w:tc>
        <w:tc>
          <w:tcPr>
            <w:tcW w:w="709" w:type="dxa"/>
            <w:vMerge w:val="continue"/>
          </w:tcPr>
          <w:p w14:paraId="4563D6F9"/>
        </w:tc>
        <w:tc>
          <w:tcPr>
            <w:tcW w:w="850" w:type="dxa"/>
            <w:vMerge w:val="continue"/>
          </w:tcPr>
          <w:p w14:paraId="0A5FAD1B"/>
        </w:tc>
        <w:tc>
          <w:tcPr>
            <w:tcW w:w="850" w:type="dxa"/>
            <w:vMerge w:val="continue"/>
          </w:tcPr>
          <w:p w14:paraId="16FC9464"/>
        </w:tc>
        <w:tc>
          <w:tcPr>
            <w:tcW w:w="964" w:type="dxa"/>
            <w:vAlign w:val="center"/>
          </w:tcPr>
          <w:p w14:paraId="44382B26">
            <w:pPr>
              <w:pStyle w:val="11"/>
            </w:pPr>
            <w:r>
              <w:t>合计</w:t>
            </w:r>
          </w:p>
        </w:tc>
        <w:tc>
          <w:tcPr>
            <w:tcW w:w="964" w:type="dxa"/>
            <w:vAlign w:val="center"/>
          </w:tcPr>
          <w:p w14:paraId="3A9190AC">
            <w:pPr>
              <w:pStyle w:val="11"/>
            </w:pPr>
            <w:r>
              <w:t>一般公共预算拨款</w:t>
            </w:r>
          </w:p>
        </w:tc>
        <w:tc>
          <w:tcPr>
            <w:tcW w:w="964" w:type="dxa"/>
            <w:vAlign w:val="center"/>
          </w:tcPr>
          <w:p w14:paraId="10A256EF">
            <w:pPr>
              <w:pStyle w:val="11"/>
            </w:pPr>
            <w:r>
              <w:t>基金预算拨款</w:t>
            </w:r>
          </w:p>
        </w:tc>
        <w:tc>
          <w:tcPr>
            <w:tcW w:w="964" w:type="dxa"/>
            <w:vAlign w:val="center"/>
          </w:tcPr>
          <w:p w14:paraId="058E23F1">
            <w:pPr>
              <w:pStyle w:val="11"/>
            </w:pPr>
            <w:r>
              <w:t>国有资本经营预算拨款</w:t>
            </w:r>
          </w:p>
        </w:tc>
        <w:tc>
          <w:tcPr>
            <w:tcW w:w="964" w:type="dxa"/>
            <w:vAlign w:val="center"/>
          </w:tcPr>
          <w:p w14:paraId="1C3565F2">
            <w:pPr>
              <w:pStyle w:val="11"/>
            </w:pPr>
            <w:r>
              <w:t>财政专户核拨</w:t>
            </w:r>
          </w:p>
        </w:tc>
        <w:tc>
          <w:tcPr>
            <w:tcW w:w="964" w:type="dxa"/>
            <w:vAlign w:val="center"/>
          </w:tcPr>
          <w:p w14:paraId="662F7E76">
            <w:pPr>
              <w:pStyle w:val="11"/>
            </w:pPr>
            <w:r>
              <w:t>单位    资金</w:t>
            </w:r>
          </w:p>
        </w:tc>
        <w:tc>
          <w:tcPr>
            <w:tcW w:w="964" w:type="dxa"/>
            <w:vAlign w:val="center"/>
          </w:tcPr>
          <w:p w14:paraId="70CD8FCE">
            <w:pPr>
              <w:pStyle w:val="11"/>
            </w:pPr>
            <w:r>
              <w:t>上年结转结余</w:t>
            </w:r>
          </w:p>
        </w:tc>
        <w:tc>
          <w:tcPr>
            <w:tcW w:w="964" w:type="dxa"/>
            <w:vMerge w:val="continue"/>
          </w:tcPr>
          <w:p w14:paraId="67AE646F"/>
        </w:tc>
      </w:tr>
      <w:tr w14:paraId="6DAB1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3FAD36">
            <w:pPr>
              <w:pStyle w:val="15"/>
            </w:pPr>
            <w:r>
              <w:t>合  计</w:t>
            </w:r>
          </w:p>
        </w:tc>
        <w:tc>
          <w:tcPr>
            <w:tcW w:w="964" w:type="dxa"/>
            <w:vAlign w:val="center"/>
          </w:tcPr>
          <w:p w14:paraId="0D812F8C">
            <w:pPr>
              <w:pStyle w:val="16"/>
            </w:pPr>
          </w:p>
        </w:tc>
        <w:tc>
          <w:tcPr>
            <w:tcW w:w="1134" w:type="dxa"/>
            <w:vAlign w:val="center"/>
          </w:tcPr>
          <w:p w14:paraId="5F2C193C">
            <w:pPr>
              <w:pStyle w:val="17"/>
            </w:pPr>
          </w:p>
        </w:tc>
        <w:tc>
          <w:tcPr>
            <w:tcW w:w="1134" w:type="dxa"/>
            <w:vAlign w:val="center"/>
          </w:tcPr>
          <w:p w14:paraId="0F53AC4C">
            <w:pPr>
              <w:pStyle w:val="17"/>
            </w:pPr>
          </w:p>
        </w:tc>
        <w:tc>
          <w:tcPr>
            <w:tcW w:w="709" w:type="dxa"/>
            <w:vAlign w:val="center"/>
          </w:tcPr>
          <w:p w14:paraId="739ACBAC">
            <w:pPr>
              <w:pStyle w:val="15"/>
            </w:pPr>
          </w:p>
        </w:tc>
        <w:tc>
          <w:tcPr>
            <w:tcW w:w="850" w:type="dxa"/>
            <w:vAlign w:val="center"/>
          </w:tcPr>
          <w:p w14:paraId="50D7D3F1">
            <w:pPr>
              <w:pStyle w:val="16"/>
            </w:pPr>
          </w:p>
        </w:tc>
        <w:tc>
          <w:tcPr>
            <w:tcW w:w="850" w:type="dxa"/>
            <w:vAlign w:val="center"/>
          </w:tcPr>
          <w:p w14:paraId="7332227C">
            <w:pPr>
              <w:pStyle w:val="16"/>
            </w:pPr>
          </w:p>
        </w:tc>
        <w:tc>
          <w:tcPr>
            <w:tcW w:w="964" w:type="dxa"/>
            <w:vAlign w:val="center"/>
          </w:tcPr>
          <w:p w14:paraId="7DDF9C0C">
            <w:pPr>
              <w:pStyle w:val="16"/>
            </w:pPr>
            <w:r>
              <w:t>8.88</w:t>
            </w:r>
          </w:p>
        </w:tc>
        <w:tc>
          <w:tcPr>
            <w:tcW w:w="964" w:type="dxa"/>
            <w:vAlign w:val="center"/>
          </w:tcPr>
          <w:p w14:paraId="6E94587A">
            <w:pPr>
              <w:pStyle w:val="16"/>
            </w:pPr>
            <w:r>
              <w:t>8.88</w:t>
            </w:r>
          </w:p>
        </w:tc>
        <w:tc>
          <w:tcPr>
            <w:tcW w:w="964" w:type="dxa"/>
            <w:vAlign w:val="center"/>
          </w:tcPr>
          <w:p w14:paraId="5088F0D4">
            <w:pPr>
              <w:pStyle w:val="16"/>
            </w:pPr>
          </w:p>
        </w:tc>
        <w:tc>
          <w:tcPr>
            <w:tcW w:w="964" w:type="dxa"/>
            <w:vAlign w:val="center"/>
          </w:tcPr>
          <w:p w14:paraId="789A17CA">
            <w:pPr>
              <w:pStyle w:val="16"/>
            </w:pPr>
          </w:p>
        </w:tc>
        <w:tc>
          <w:tcPr>
            <w:tcW w:w="964" w:type="dxa"/>
            <w:vAlign w:val="center"/>
          </w:tcPr>
          <w:p w14:paraId="20B1E0D9">
            <w:pPr>
              <w:pStyle w:val="16"/>
            </w:pPr>
          </w:p>
        </w:tc>
        <w:tc>
          <w:tcPr>
            <w:tcW w:w="964" w:type="dxa"/>
            <w:vAlign w:val="center"/>
          </w:tcPr>
          <w:p w14:paraId="43EB5D4D">
            <w:pPr>
              <w:pStyle w:val="16"/>
            </w:pPr>
          </w:p>
        </w:tc>
        <w:tc>
          <w:tcPr>
            <w:tcW w:w="964" w:type="dxa"/>
            <w:vAlign w:val="center"/>
          </w:tcPr>
          <w:p w14:paraId="1524BB50">
            <w:pPr>
              <w:pStyle w:val="16"/>
            </w:pPr>
          </w:p>
        </w:tc>
        <w:tc>
          <w:tcPr>
            <w:tcW w:w="964" w:type="dxa"/>
            <w:vAlign w:val="center"/>
          </w:tcPr>
          <w:p w14:paraId="30D0170B">
            <w:pPr>
              <w:pStyle w:val="16"/>
            </w:pPr>
            <w:r>
              <w:t>8.88</w:t>
            </w:r>
          </w:p>
        </w:tc>
      </w:tr>
      <w:tr w14:paraId="20178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2BFBEA">
            <w:pPr>
              <w:pStyle w:val="15"/>
            </w:pPr>
            <w:r>
              <w:t>隆尧县魏家庄中学小计</w:t>
            </w:r>
          </w:p>
        </w:tc>
        <w:tc>
          <w:tcPr>
            <w:tcW w:w="964" w:type="dxa"/>
            <w:vAlign w:val="center"/>
          </w:tcPr>
          <w:p w14:paraId="502004FB">
            <w:pPr>
              <w:pStyle w:val="16"/>
            </w:pPr>
          </w:p>
        </w:tc>
        <w:tc>
          <w:tcPr>
            <w:tcW w:w="1134" w:type="dxa"/>
            <w:vAlign w:val="center"/>
          </w:tcPr>
          <w:p w14:paraId="6991176D">
            <w:pPr>
              <w:pStyle w:val="17"/>
            </w:pPr>
          </w:p>
        </w:tc>
        <w:tc>
          <w:tcPr>
            <w:tcW w:w="1134" w:type="dxa"/>
            <w:vAlign w:val="center"/>
          </w:tcPr>
          <w:p w14:paraId="34B5B4EA">
            <w:pPr>
              <w:pStyle w:val="17"/>
            </w:pPr>
          </w:p>
        </w:tc>
        <w:tc>
          <w:tcPr>
            <w:tcW w:w="709" w:type="dxa"/>
            <w:vAlign w:val="center"/>
          </w:tcPr>
          <w:p w14:paraId="55F930D2">
            <w:pPr>
              <w:pStyle w:val="15"/>
            </w:pPr>
          </w:p>
        </w:tc>
        <w:tc>
          <w:tcPr>
            <w:tcW w:w="850" w:type="dxa"/>
            <w:vAlign w:val="center"/>
          </w:tcPr>
          <w:p w14:paraId="2F5A7CEA">
            <w:pPr>
              <w:pStyle w:val="16"/>
            </w:pPr>
          </w:p>
        </w:tc>
        <w:tc>
          <w:tcPr>
            <w:tcW w:w="850" w:type="dxa"/>
            <w:vAlign w:val="center"/>
          </w:tcPr>
          <w:p w14:paraId="28BF9982">
            <w:pPr>
              <w:pStyle w:val="16"/>
            </w:pPr>
          </w:p>
        </w:tc>
        <w:tc>
          <w:tcPr>
            <w:tcW w:w="964" w:type="dxa"/>
            <w:vAlign w:val="center"/>
          </w:tcPr>
          <w:p w14:paraId="4F2E2B12">
            <w:pPr>
              <w:pStyle w:val="16"/>
            </w:pPr>
            <w:r>
              <w:t>8.88</w:t>
            </w:r>
          </w:p>
        </w:tc>
        <w:tc>
          <w:tcPr>
            <w:tcW w:w="964" w:type="dxa"/>
            <w:vAlign w:val="center"/>
          </w:tcPr>
          <w:p w14:paraId="256A9383">
            <w:pPr>
              <w:pStyle w:val="16"/>
            </w:pPr>
            <w:r>
              <w:t>8.88</w:t>
            </w:r>
          </w:p>
        </w:tc>
        <w:tc>
          <w:tcPr>
            <w:tcW w:w="964" w:type="dxa"/>
            <w:vAlign w:val="center"/>
          </w:tcPr>
          <w:p w14:paraId="01A26985">
            <w:pPr>
              <w:pStyle w:val="16"/>
            </w:pPr>
          </w:p>
        </w:tc>
        <w:tc>
          <w:tcPr>
            <w:tcW w:w="964" w:type="dxa"/>
            <w:vAlign w:val="center"/>
          </w:tcPr>
          <w:p w14:paraId="304A17D8">
            <w:pPr>
              <w:pStyle w:val="16"/>
            </w:pPr>
          </w:p>
        </w:tc>
        <w:tc>
          <w:tcPr>
            <w:tcW w:w="964" w:type="dxa"/>
            <w:vAlign w:val="center"/>
          </w:tcPr>
          <w:p w14:paraId="10A5386C">
            <w:pPr>
              <w:pStyle w:val="16"/>
            </w:pPr>
          </w:p>
        </w:tc>
        <w:tc>
          <w:tcPr>
            <w:tcW w:w="964" w:type="dxa"/>
            <w:vAlign w:val="center"/>
          </w:tcPr>
          <w:p w14:paraId="26EB69DB">
            <w:pPr>
              <w:pStyle w:val="16"/>
            </w:pPr>
          </w:p>
        </w:tc>
        <w:tc>
          <w:tcPr>
            <w:tcW w:w="964" w:type="dxa"/>
            <w:vAlign w:val="center"/>
          </w:tcPr>
          <w:p w14:paraId="04CBB276">
            <w:pPr>
              <w:pStyle w:val="16"/>
            </w:pPr>
          </w:p>
        </w:tc>
        <w:tc>
          <w:tcPr>
            <w:tcW w:w="964" w:type="dxa"/>
            <w:vAlign w:val="center"/>
          </w:tcPr>
          <w:p w14:paraId="70BF7CAE">
            <w:pPr>
              <w:pStyle w:val="16"/>
            </w:pPr>
            <w:r>
              <w:t>8.88</w:t>
            </w:r>
          </w:p>
        </w:tc>
      </w:tr>
      <w:tr w14:paraId="2669E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A2B4DF">
            <w:pPr>
              <w:pStyle w:val="13"/>
            </w:pPr>
            <w:r>
              <w:t>冀财教[2024]123号/中央/2025年义教补助经费/综合奖补/魏家庄中学公用经费</w:t>
            </w:r>
          </w:p>
        </w:tc>
        <w:tc>
          <w:tcPr>
            <w:tcW w:w="964" w:type="dxa"/>
            <w:vAlign w:val="center"/>
          </w:tcPr>
          <w:p w14:paraId="2FD3B565">
            <w:pPr>
              <w:pStyle w:val="14"/>
            </w:pPr>
            <w:r>
              <w:t>10.99</w:t>
            </w:r>
          </w:p>
        </w:tc>
        <w:tc>
          <w:tcPr>
            <w:tcW w:w="1134" w:type="dxa"/>
            <w:vAlign w:val="center"/>
          </w:tcPr>
          <w:p w14:paraId="1AC60139">
            <w:pPr>
              <w:pStyle w:val="13"/>
            </w:pPr>
            <w:r>
              <w:t>空调机</w:t>
            </w:r>
          </w:p>
        </w:tc>
        <w:tc>
          <w:tcPr>
            <w:tcW w:w="1134" w:type="dxa"/>
            <w:vAlign w:val="center"/>
          </w:tcPr>
          <w:p w14:paraId="40EE8C36">
            <w:pPr>
              <w:pStyle w:val="13"/>
            </w:pPr>
            <w:r>
              <w:t>A02061804</w:t>
            </w:r>
          </w:p>
        </w:tc>
        <w:tc>
          <w:tcPr>
            <w:tcW w:w="709" w:type="dxa"/>
            <w:vAlign w:val="center"/>
          </w:tcPr>
          <w:p w14:paraId="3B45B76C">
            <w:pPr>
              <w:pStyle w:val="12"/>
            </w:pPr>
            <w:r>
              <w:t>台</w:t>
            </w:r>
          </w:p>
        </w:tc>
        <w:tc>
          <w:tcPr>
            <w:tcW w:w="850" w:type="dxa"/>
            <w:vAlign w:val="center"/>
          </w:tcPr>
          <w:p w14:paraId="60835869">
            <w:pPr>
              <w:pStyle w:val="14"/>
            </w:pPr>
            <w:r>
              <w:t>37</w:t>
            </w:r>
          </w:p>
        </w:tc>
        <w:tc>
          <w:tcPr>
            <w:tcW w:w="850" w:type="dxa"/>
            <w:vAlign w:val="center"/>
          </w:tcPr>
          <w:p w14:paraId="4763FF0B">
            <w:pPr>
              <w:pStyle w:val="14"/>
            </w:pPr>
            <w:r>
              <w:t>0.24</w:t>
            </w:r>
          </w:p>
        </w:tc>
        <w:tc>
          <w:tcPr>
            <w:tcW w:w="964" w:type="dxa"/>
            <w:vAlign w:val="center"/>
          </w:tcPr>
          <w:p w14:paraId="5B5C9EBB">
            <w:pPr>
              <w:pStyle w:val="14"/>
            </w:pPr>
            <w:r>
              <w:t>8.88</w:t>
            </w:r>
          </w:p>
        </w:tc>
        <w:tc>
          <w:tcPr>
            <w:tcW w:w="964" w:type="dxa"/>
            <w:vAlign w:val="center"/>
          </w:tcPr>
          <w:p w14:paraId="13A74CEC">
            <w:pPr>
              <w:pStyle w:val="14"/>
            </w:pPr>
            <w:r>
              <w:t>8.88</w:t>
            </w:r>
          </w:p>
        </w:tc>
        <w:tc>
          <w:tcPr>
            <w:tcW w:w="964" w:type="dxa"/>
            <w:vAlign w:val="center"/>
          </w:tcPr>
          <w:p w14:paraId="5419B6B9">
            <w:pPr>
              <w:pStyle w:val="14"/>
            </w:pPr>
          </w:p>
        </w:tc>
        <w:tc>
          <w:tcPr>
            <w:tcW w:w="964" w:type="dxa"/>
            <w:vAlign w:val="center"/>
          </w:tcPr>
          <w:p w14:paraId="3F2A0ED8">
            <w:pPr>
              <w:pStyle w:val="14"/>
            </w:pPr>
          </w:p>
        </w:tc>
        <w:tc>
          <w:tcPr>
            <w:tcW w:w="964" w:type="dxa"/>
            <w:vAlign w:val="center"/>
          </w:tcPr>
          <w:p w14:paraId="298C69D0">
            <w:pPr>
              <w:pStyle w:val="14"/>
            </w:pPr>
          </w:p>
        </w:tc>
        <w:tc>
          <w:tcPr>
            <w:tcW w:w="964" w:type="dxa"/>
            <w:vAlign w:val="center"/>
          </w:tcPr>
          <w:p w14:paraId="10C383E0">
            <w:pPr>
              <w:pStyle w:val="14"/>
            </w:pPr>
          </w:p>
        </w:tc>
        <w:tc>
          <w:tcPr>
            <w:tcW w:w="964" w:type="dxa"/>
            <w:vAlign w:val="center"/>
          </w:tcPr>
          <w:p w14:paraId="39848D22">
            <w:pPr>
              <w:pStyle w:val="14"/>
            </w:pPr>
          </w:p>
        </w:tc>
        <w:tc>
          <w:tcPr>
            <w:tcW w:w="964" w:type="dxa"/>
            <w:vAlign w:val="center"/>
          </w:tcPr>
          <w:p w14:paraId="00436B27">
            <w:pPr>
              <w:pStyle w:val="14"/>
            </w:pPr>
            <w:r>
              <w:t>8.88</w:t>
            </w:r>
          </w:p>
        </w:tc>
      </w:tr>
    </w:tbl>
    <w:p w14:paraId="13E4162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2C6A75">
      <w:pPr>
        <w:spacing w:before="0" w:after="0"/>
        <w:ind w:firstLine="640"/>
        <w:jc w:val="left"/>
        <w:outlineLvl w:val="9"/>
      </w:pPr>
      <w:r>
        <w:rPr>
          <w:rFonts w:ascii="Times New Roman" w:hAnsi="Times New Roman" w:eastAsia="方正仿宋_GBK" w:cs="Times New Roman"/>
          <w:color w:val="000000"/>
          <w:sz w:val="32"/>
        </w:rPr>
        <w:t xml:space="preserve"> </w:t>
      </w:r>
    </w:p>
    <w:p w14:paraId="507099AA">
      <w:pPr>
        <w:spacing w:before="10" w:after="10" w:line="240" w:lineRule="auto"/>
        <w:ind w:firstLine="640"/>
        <w:jc w:val="left"/>
        <w:outlineLvl w:val="5"/>
        <w:rPr>
          <w:rFonts w:ascii="黑体" w:hAnsi="黑体" w:eastAsia="黑体" w:cs="黑体"/>
          <w:color w:val="000000"/>
          <w:sz w:val="32"/>
        </w:rPr>
      </w:pPr>
    </w:p>
    <w:p w14:paraId="6D61EFFE">
      <w:pPr>
        <w:spacing w:before="10" w:after="10" w:line="240" w:lineRule="auto"/>
        <w:ind w:firstLine="640"/>
        <w:jc w:val="left"/>
        <w:outlineLvl w:val="5"/>
        <w:rPr>
          <w:rFonts w:ascii="黑体" w:hAnsi="黑体" w:eastAsia="黑体" w:cs="黑体"/>
          <w:color w:val="000000"/>
          <w:sz w:val="32"/>
        </w:rPr>
      </w:pPr>
    </w:p>
    <w:p w14:paraId="41EEAB45">
      <w:pPr>
        <w:spacing w:before="10" w:after="10" w:line="240" w:lineRule="auto"/>
        <w:ind w:firstLine="640"/>
        <w:jc w:val="left"/>
        <w:outlineLvl w:val="5"/>
        <w:rPr>
          <w:rFonts w:ascii="黑体" w:hAnsi="黑体" w:eastAsia="黑体" w:cs="黑体"/>
          <w:color w:val="000000"/>
          <w:sz w:val="32"/>
        </w:rPr>
      </w:pPr>
    </w:p>
    <w:p w14:paraId="0146A851">
      <w:pPr>
        <w:spacing w:before="10" w:after="10" w:line="240" w:lineRule="auto"/>
        <w:ind w:firstLine="640"/>
        <w:jc w:val="left"/>
        <w:outlineLvl w:val="5"/>
        <w:rPr>
          <w:rFonts w:ascii="黑体" w:hAnsi="黑体" w:eastAsia="黑体" w:cs="黑体"/>
          <w:color w:val="000000"/>
          <w:sz w:val="32"/>
        </w:rPr>
      </w:pPr>
    </w:p>
    <w:p w14:paraId="6B4144DA">
      <w:pPr>
        <w:spacing w:before="10" w:after="10" w:line="240" w:lineRule="auto"/>
        <w:ind w:firstLine="640"/>
        <w:jc w:val="left"/>
        <w:outlineLvl w:val="5"/>
        <w:rPr>
          <w:rFonts w:ascii="黑体" w:hAnsi="黑体" w:eastAsia="黑体" w:cs="黑体"/>
          <w:color w:val="000000"/>
          <w:sz w:val="32"/>
        </w:rPr>
      </w:pPr>
    </w:p>
    <w:p w14:paraId="23441CE4">
      <w:pPr>
        <w:spacing w:before="10" w:after="10" w:line="240" w:lineRule="auto"/>
        <w:ind w:firstLine="640"/>
        <w:jc w:val="left"/>
        <w:outlineLvl w:val="5"/>
        <w:rPr>
          <w:rFonts w:ascii="黑体" w:hAnsi="黑体" w:eastAsia="黑体" w:cs="黑体"/>
          <w:color w:val="000000"/>
          <w:sz w:val="32"/>
        </w:rPr>
      </w:pPr>
    </w:p>
    <w:p w14:paraId="6B5467C3">
      <w:pPr>
        <w:spacing w:before="10" w:after="10" w:line="240" w:lineRule="auto"/>
        <w:ind w:firstLine="640"/>
        <w:jc w:val="left"/>
        <w:outlineLvl w:val="5"/>
      </w:pPr>
      <w:r>
        <w:rPr>
          <w:rFonts w:ascii="黑体" w:hAnsi="黑体" w:eastAsia="黑体" w:cs="黑体"/>
          <w:color w:val="000000"/>
          <w:sz w:val="32"/>
        </w:rPr>
        <w:t>七、国有资产信息</w:t>
      </w:r>
    </w:p>
    <w:p w14:paraId="26115051">
      <w:pPr>
        <w:spacing w:before="0" w:after="0" w:line="500" w:lineRule="exact"/>
        <w:ind w:firstLine="560"/>
        <w:jc w:val="left"/>
        <w:outlineLvl w:val="9"/>
      </w:pPr>
      <w:r>
        <w:rPr>
          <w:rFonts w:ascii="Times New Roman" w:hAnsi="Times New Roman" w:eastAsia="方正仿宋_GBK" w:cs="Times New Roman"/>
          <w:b w:val="0"/>
          <w:color w:val="000000"/>
          <w:sz w:val="28"/>
        </w:rPr>
        <w:t>隆尧县魏家庄中学上年末固定资产金额为1538.00万元（详见下表）。本年度拟购置固定资产总额为13.99万元，已按要求列入政府采购预算，详见政府采购预算表。</w:t>
      </w:r>
    </w:p>
    <w:p w14:paraId="5DDAC75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A7FA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6165C5E">
            <w:pPr>
              <w:pStyle w:val="8"/>
            </w:pPr>
            <w:r>
              <w:t>360007隆尧县魏家庄中学</w:t>
            </w:r>
          </w:p>
        </w:tc>
        <w:tc>
          <w:tcPr>
            <w:tcW w:w="5670" w:type="dxa"/>
            <w:gridSpan w:val="2"/>
            <w:tcBorders>
              <w:top w:val="single" w:color="FFFFFF" w:sz="6" w:space="0"/>
              <w:left w:val="single" w:color="FFFFFF" w:sz="6" w:space="0"/>
              <w:right w:val="single" w:color="FFFFFF" w:sz="6" w:space="0"/>
            </w:tcBorders>
            <w:vAlign w:val="center"/>
          </w:tcPr>
          <w:p w14:paraId="2BB8B8F8">
            <w:pPr>
              <w:pStyle w:val="10"/>
            </w:pPr>
            <w:r>
              <w:t>截止时间：2024-12-31</w:t>
            </w:r>
          </w:p>
        </w:tc>
      </w:tr>
      <w:tr w14:paraId="5AE0D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090124C">
            <w:pPr>
              <w:pStyle w:val="11"/>
            </w:pPr>
            <w:r>
              <w:t>项   目</w:t>
            </w:r>
          </w:p>
        </w:tc>
        <w:tc>
          <w:tcPr>
            <w:tcW w:w="2835" w:type="dxa"/>
            <w:vAlign w:val="center"/>
          </w:tcPr>
          <w:p w14:paraId="581DAE05">
            <w:pPr>
              <w:pStyle w:val="11"/>
            </w:pPr>
            <w:r>
              <w:t>数量</w:t>
            </w:r>
          </w:p>
        </w:tc>
        <w:tc>
          <w:tcPr>
            <w:tcW w:w="2835" w:type="dxa"/>
            <w:vAlign w:val="center"/>
          </w:tcPr>
          <w:p w14:paraId="653E4642">
            <w:pPr>
              <w:pStyle w:val="11"/>
            </w:pPr>
            <w:r>
              <w:t>价值（金额单位：万元）</w:t>
            </w:r>
          </w:p>
        </w:tc>
      </w:tr>
      <w:tr w14:paraId="2D53B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32FA7F">
            <w:pPr>
              <w:pStyle w:val="13"/>
            </w:pPr>
            <w:r>
              <w:t>资产总额</w:t>
            </w:r>
          </w:p>
        </w:tc>
        <w:tc>
          <w:tcPr>
            <w:tcW w:w="2835" w:type="dxa"/>
            <w:vAlign w:val="center"/>
          </w:tcPr>
          <w:p w14:paraId="5C2FE636">
            <w:pPr>
              <w:pStyle w:val="12"/>
            </w:pPr>
          </w:p>
        </w:tc>
        <w:tc>
          <w:tcPr>
            <w:tcW w:w="2835" w:type="dxa"/>
            <w:vAlign w:val="center"/>
          </w:tcPr>
          <w:p w14:paraId="658A65DD">
            <w:pPr>
              <w:pStyle w:val="14"/>
            </w:pPr>
            <w:r>
              <w:t>1538.00</w:t>
            </w:r>
          </w:p>
        </w:tc>
      </w:tr>
      <w:tr w14:paraId="19D9E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DD9588">
            <w:pPr>
              <w:pStyle w:val="13"/>
            </w:pPr>
            <w:r>
              <w:t>1、房屋（平方米）</w:t>
            </w:r>
          </w:p>
        </w:tc>
        <w:tc>
          <w:tcPr>
            <w:tcW w:w="2835" w:type="dxa"/>
            <w:vAlign w:val="center"/>
          </w:tcPr>
          <w:p w14:paraId="155B936D">
            <w:pPr>
              <w:pStyle w:val="12"/>
            </w:pPr>
            <w:r>
              <w:t>11583</w:t>
            </w:r>
          </w:p>
        </w:tc>
        <w:tc>
          <w:tcPr>
            <w:tcW w:w="2835" w:type="dxa"/>
            <w:vAlign w:val="center"/>
          </w:tcPr>
          <w:p w14:paraId="3037A4A8">
            <w:pPr>
              <w:pStyle w:val="14"/>
            </w:pPr>
            <w:r>
              <w:t>1067.77</w:t>
            </w:r>
          </w:p>
        </w:tc>
      </w:tr>
      <w:tr w14:paraId="49BCA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C99D1A">
            <w:pPr>
              <w:pStyle w:val="13"/>
            </w:pPr>
            <w:r>
              <w:t>　　其中：办公用房（平方米）</w:t>
            </w:r>
          </w:p>
        </w:tc>
        <w:tc>
          <w:tcPr>
            <w:tcW w:w="2835" w:type="dxa"/>
            <w:vAlign w:val="center"/>
          </w:tcPr>
          <w:p w14:paraId="0AD85373">
            <w:pPr>
              <w:pStyle w:val="12"/>
            </w:pPr>
            <w:r>
              <w:t>600</w:t>
            </w:r>
          </w:p>
        </w:tc>
        <w:tc>
          <w:tcPr>
            <w:tcW w:w="2835" w:type="dxa"/>
            <w:vAlign w:val="center"/>
          </w:tcPr>
          <w:p w14:paraId="5F2CC99E">
            <w:pPr>
              <w:pStyle w:val="14"/>
            </w:pPr>
            <w:r>
              <w:t>55.31</w:t>
            </w:r>
          </w:p>
        </w:tc>
      </w:tr>
      <w:tr w14:paraId="5EBE1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E5B0EA">
            <w:pPr>
              <w:pStyle w:val="13"/>
            </w:pPr>
            <w:r>
              <w:t>2、车辆（台、辆）</w:t>
            </w:r>
          </w:p>
        </w:tc>
        <w:tc>
          <w:tcPr>
            <w:tcW w:w="2835" w:type="dxa"/>
            <w:vAlign w:val="center"/>
          </w:tcPr>
          <w:p w14:paraId="10F1137B">
            <w:pPr>
              <w:pStyle w:val="12"/>
            </w:pPr>
          </w:p>
        </w:tc>
        <w:tc>
          <w:tcPr>
            <w:tcW w:w="2835" w:type="dxa"/>
            <w:vAlign w:val="center"/>
          </w:tcPr>
          <w:p w14:paraId="16960530">
            <w:pPr>
              <w:pStyle w:val="14"/>
            </w:pPr>
          </w:p>
        </w:tc>
      </w:tr>
      <w:tr w14:paraId="2286F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13EDD2">
            <w:pPr>
              <w:pStyle w:val="13"/>
            </w:pPr>
            <w:r>
              <w:t>3、单价在20万元以上的设备</w:t>
            </w:r>
          </w:p>
        </w:tc>
        <w:tc>
          <w:tcPr>
            <w:tcW w:w="2835" w:type="dxa"/>
            <w:vAlign w:val="center"/>
          </w:tcPr>
          <w:p w14:paraId="36F1D8C4">
            <w:pPr>
              <w:pStyle w:val="12"/>
            </w:pPr>
          </w:p>
        </w:tc>
        <w:tc>
          <w:tcPr>
            <w:tcW w:w="2835" w:type="dxa"/>
            <w:vAlign w:val="center"/>
          </w:tcPr>
          <w:p w14:paraId="1C87277E">
            <w:pPr>
              <w:pStyle w:val="14"/>
            </w:pPr>
          </w:p>
        </w:tc>
      </w:tr>
      <w:tr w14:paraId="3F9E0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A07B2F">
            <w:pPr>
              <w:pStyle w:val="13"/>
            </w:pPr>
            <w:r>
              <w:t>4、其他固定资产</w:t>
            </w:r>
          </w:p>
        </w:tc>
        <w:tc>
          <w:tcPr>
            <w:tcW w:w="2835" w:type="dxa"/>
            <w:vAlign w:val="center"/>
          </w:tcPr>
          <w:p w14:paraId="7C5989AC">
            <w:pPr>
              <w:pStyle w:val="12"/>
            </w:pPr>
            <w:r>
              <w:t>33526</w:t>
            </w:r>
          </w:p>
        </w:tc>
        <w:tc>
          <w:tcPr>
            <w:tcW w:w="2835" w:type="dxa"/>
            <w:vAlign w:val="center"/>
          </w:tcPr>
          <w:p w14:paraId="5E5D855F">
            <w:pPr>
              <w:pStyle w:val="14"/>
            </w:pPr>
            <w:r>
              <w:t>470.23</w:t>
            </w:r>
          </w:p>
        </w:tc>
      </w:tr>
    </w:tbl>
    <w:p w14:paraId="482735CD">
      <w:pPr>
        <w:spacing w:before="0" w:after="0"/>
        <w:ind w:firstLine="640"/>
        <w:jc w:val="left"/>
        <w:outlineLvl w:val="9"/>
      </w:pPr>
      <w:r>
        <w:rPr>
          <w:rFonts w:ascii="Times New Roman" w:hAnsi="Times New Roman" w:eastAsia="方正仿宋_GBK" w:cs="Times New Roman"/>
          <w:color w:val="000000"/>
          <w:sz w:val="32"/>
        </w:rPr>
        <w:t xml:space="preserve"> </w:t>
      </w:r>
    </w:p>
    <w:p w14:paraId="4B0E0616">
      <w:pPr>
        <w:spacing w:before="10" w:after="10" w:line="240" w:lineRule="auto"/>
        <w:ind w:firstLine="640"/>
        <w:jc w:val="left"/>
        <w:outlineLvl w:val="5"/>
      </w:pPr>
      <w:r>
        <w:rPr>
          <w:rFonts w:ascii="黑体" w:hAnsi="黑体" w:eastAsia="黑体" w:cs="黑体"/>
          <w:color w:val="000000"/>
          <w:sz w:val="32"/>
        </w:rPr>
        <w:t>八、名词解释</w:t>
      </w:r>
    </w:p>
    <w:p w14:paraId="426449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A274E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9E1E2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CD66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84E3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34979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191CC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0366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93D94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DC28D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CB0DA3">
      <w:pPr>
        <w:spacing w:before="10" w:after="10" w:line="240" w:lineRule="auto"/>
        <w:ind w:firstLine="640"/>
        <w:jc w:val="left"/>
        <w:outlineLvl w:val="5"/>
      </w:pPr>
      <w:r>
        <w:rPr>
          <w:rFonts w:ascii="黑体" w:hAnsi="黑体" w:eastAsia="黑体" w:cs="黑体"/>
          <w:color w:val="000000"/>
          <w:sz w:val="32"/>
        </w:rPr>
        <w:t>九、其他需要说明的事项</w:t>
      </w:r>
    </w:p>
    <w:p w14:paraId="24C2F28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62AEF4A">
      <w:pPr>
        <w:spacing w:before="0" w:after="0"/>
        <w:ind w:firstLine="0"/>
        <w:jc w:val="center"/>
        <w:outlineLvl w:val="3"/>
      </w:pPr>
      <w:bookmarkStart w:id="7" w:name="_Toc_4_4_0000000027"/>
      <w:r>
        <w:rPr>
          <w:rFonts w:ascii="方正小标宋_GBK" w:hAnsi="方正小标宋_GBK" w:eastAsia="方正小标宋_GBK" w:cs="方正小标宋_GBK"/>
          <w:b w:val="0"/>
          <w:color w:val="000000"/>
          <w:sz w:val="44"/>
        </w:rPr>
        <w:t>七、隆尧县牛家桥中学收支预算</w:t>
      </w:r>
      <w:bookmarkEnd w:id="7"/>
    </w:p>
    <w:p w14:paraId="17ED43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A967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A1823B">
            <w:pPr>
              <w:pStyle w:val="8"/>
            </w:pPr>
            <w:r>
              <w:t>360008隆尧县牛家桥中学</w:t>
            </w:r>
          </w:p>
        </w:tc>
        <w:tc>
          <w:tcPr>
            <w:tcW w:w="2126" w:type="dxa"/>
            <w:tcBorders>
              <w:top w:val="single" w:color="FFFFFF" w:sz="6" w:space="0"/>
              <w:left w:val="single" w:color="FFFFFF" w:sz="6" w:space="0"/>
              <w:right w:val="single" w:color="FFFFFF" w:sz="6" w:space="0"/>
            </w:tcBorders>
            <w:vAlign w:val="center"/>
          </w:tcPr>
          <w:p w14:paraId="23963BB9">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C5ADC4F">
            <w:pPr>
              <w:pStyle w:val="10"/>
            </w:pPr>
            <w:r>
              <w:t>单位：万元</w:t>
            </w:r>
          </w:p>
        </w:tc>
      </w:tr>
      <w:tr w14:paraId="00BDD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073EA8">
            <w:pPr>
              <w:pStyle w:val="11"/>
            </w:pPr>
            <w:r>
              <w:t>序号</w:t>
            </w:r>
          </w:p>
        </w:tc>
        <w:tc>
          <w:tcPr>
            <w:tcW w:w="6661" w:type="dxa"/>
            <w:gridSpan w:val="2"/>
            <w:vAlign w:val="center"/>
          </w:tcPr>
          <w:p w14:paraId="1BBCEAAB">
            <w:pPr>
              <w:pStyle w:val="11"/>
            </w:pPr>
            <w:r>
              <w:t>收入</w:t>
            </w:r>
          </w:p>
        </w:tc>
        <w:tc>
          <w:tcPr>
            <w:tcW w:w="6661" w:type="dxa"/>
            <w:gridSpan w:val="2"/>
            <w:vAlign w:val="center"/>
          </w:tcPr>
          <w:p w14:paraId="51106D0C">
            <w:pPr>
              <w:pStyle w:val="11"/>
            </w:pPr>
            <w:r>
              <w:t>支出</w:t>
            </w:r>
          </w:p>
        </w:tc>
      </w:tr>
      <w:tr w14:paraId="4F264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A4664D"/>
        </w:tc>
        <w:tc>
          <w:tcPr>
            <w:tcW w:w="4535" w:type="dxa"/>
            <w:vAlign w:val="center"/>
          </w:tcPr>
          <w:p w14:paraId="7DFFDB1B">
            <w:pPr>
              <w:pStyle w:val="11"/>
            </w:pPr>
            <w:r>
              <w:t>项  目</w:t>
            </w:r>
          </w:p>
        </w:tc>
        <w:tc>
          <w:tcPr>
            <w:tcW w:w="2126" w:type="dxa"/>
            <w:vAlign w:val="center"/>
          </w:tcPr>
          <w:p w14:paraId="02D6D67A">
            <w:pPr>
              <w:pStyle w:val="11"/>
            </w:pPr>
            <w:r>
              <w:t>预算数</w:t>
            </w:r>
          </w:p>
        </w:tc>
        <w:tc>
          <w:tcPr>
            <w:tcW w:w="4535" w:type="dxa"/>
            <w:vAlign w:val="center"/>
          </w:tcPr>
          <w:p w14:paraId="08381D3E">
            <w:pPr>
              <w:pStyle w:val="11"/>
            </w:pPr>
            <w:r>
              <w:t>项  目</w:t>
            </w:r>
          </w:p>
        </w:tc>
        <w:tc>
          <w:tcPr>
            <w:tcW w:w="2126" w:type="dxa"/>
            <w:vAlign w:val="center"/>
          </w:tcPr>
          <w:p w14:paraId="5D8FBF11">
            <w:pPr>
              <w:pStyle w:val="11"/>
            </w:pPr>
            <w:r>
              <w:t>预算数</w:t>
            </w:r>
          </w:p>
        </w:tc>
      </w:tr>
      <w:tr w14:paraId="73DC4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FEBD45">
            <w:pPr>
              <w:pStyle w:val="11"/>
            </w:pPr>
            <w:r>
              <w:t>栏次</w:t>
            </w:r>
          </w:p>
        </w:tc>
        <w:tc>
          <w:tcPr>
            <w:tcW w:w="4535" w:type="dxa"/>
            <w:vAlign w:val="center"/>
          </w:tcPr>
          <w:p w14:paraId="5F74CB16">
            <w:pPr>
              <w:pStyle w:val="11"/>
            </w:pPr>
            <w:r>
              <w:t>1</w:t>
            </w:r>
          </w:p>
        </w:tc>
        <w:tc>
          <w:tcPr>
            <w:tcW w:w="2126" w:type="dxa"/>
            <w:vAlign w:val="center"/>
          </w:tcPr>
          <w:p w14:paraId="20EB460C">
            <w:pPr>
              <w:pStyle w:val="11"/>
            </w:pPr>
            <w:r>
              <w:t>2</w:t>
            </w:r>
          </w:p>
        </w:tc>
        <w:tc>
          <w:tcPr>
            <w:tcW w:w="4535" w:type="dxa"/>
            <w:vAlign w:val="center"/>
          </w:tcPr>
          <w:p w14:paraId="54B6D464">
            <w:pPr>
              <w:pStyle w:val="11"/>
            </w:pPr>
            <w:r>
              <w:t>3</w:t>
            </w:r>
          </w:p>
        </w:tc>
        <w:tc>
          <w:tcPr>
            <w:tcW w:w="2126" w:type="dxa"/>
            <w:vAlign w:val="center"/>
          </w:tcPr>
          <w:p w14:paraId="1D1028DC">
            <w:pPr>
              <w:pStyle w:val="11"/>
            </w:pPr>
            <w:r>
              <w:t>4</w:t>
            </w:r>
          </w:p>
        </w:tc>
      </w:tr>
      <w:tr w14:paraId="57775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20201">
            <w:pPr>
              <w:pStyle w:val="12"/>
            </w:pPr>
            <w:r>
              <w:t>1</w:t>
            </w:r>
          </w:p>
        </w:tc>
        <w:tc>
          <w:tcPr>
            <w:tcW w:w="4535" w:type="dxa"/>
            <w:vAlign w:val="center"/>
          </w:tcPr>
          <w:p w14:paraId="6CA6BC0E">
            <w:pPr>
              <w:pStyle w:val="13"/>
            </w:pPr>
            <w:r>
              <w:t>一、一般公共预算拨款收入</w:t>
            </w:r>
          </w:p>
        </w:tc>
        <w:tc>
          <w:tcPr>
            <w:tcW w:w="2126" w:type="dxa"/>
            <w:vAlign w:val="center"/>
          </w:tcPr>
          <w:p w14:paraId="36A4CDE5">
            <w:pPr>
              <w:pStyle w:val="14"/>
            </w:pPr>
            <w:r>
              <w:t>739.19</w:t>
            </w:r>
          </w:p>
        </w:tc>
        <w:tc>
          <w:tcPr>
            <w:tcW w:w="4535" w:type="dxa"/>
            <w:vAlign w:val="center"/>
          </w:tcPr>
          <w:p w14:paraId="64A6EDF1">
            <w:pPr>
              <w:pStyle w:val="13"/>
            </w:pPr>
            <w:r>
              <w:t>一、一般公共服务支出</w:t>
            </w:r>
          </w:p>
        </w:tc>
        <w:tc>
          <w:tcPr>
            <w:tcW w:w="2126" w:type="dxa"/>
            <w:vAlign w:val="center"/>
          </w:tcPr>
          <w:p w14:paraId="57B27B0E">
            <w:pPr>
              <w:pStyle w:val="14"/>
            </w:pPr>
          </w:p>
        </w:tc>
      </w:tr>
      <w:tr w14:paraId="636EC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738E482">
            <w:pPr>
              <w:pStyle w:val="12"/>
            </w:pPr>
            <w:r>
              <w:t>2</w:t>
            </w:r>
          </w:p>
        </w:tc>
        <w:tc>
          <w:tcPr>
            <w:tcW w:w="4535" w:type="dxa"/>
            <w:vAlign w:val="center"/>
          </w:tcPr>
          <w:p w14:paraId="0E2E3209">
            <w:pPr>
              <w:pStyle w:val="13"/>
            </w:pPr>
            <w:r>
              <w:t>二、政府性基金预算拨款收入</w:t>
            </w:r>
          </w:p>
        </w:tc>
        <w:tc>
          <w:tcPr>
            <w:tcW w:w="2126" w:type="dxa"/>
            <w:vAlign w:val="center"/>
          </w:tcPr>
          <w:p w14:paraId="53853A6C">
            <w:pPr>
              <w:pStyle w:val="14"/>
            </w:pPr>
          </w:p>
        </w:tc>
        <w:tc>
          <w:tcPr>
            <w:tcW w:w="4535" w:type="dxa"/>
            <w:vAlign w:val="center"/>
          </w:tcPr>
          <w:p w14:paraId="6E9FBF2F">
            <w:pPr>
              <w:pStyle w:val="13"/>
            </w:pPr>
            <w:r>
              <w:t>二、外交支出</w:t>
            </w:r>
          </w:p>
        </w:tc>
        <w:tc>
          <w:tcPr>
            <w:tcW w:w="2126" w:type="dxa"/>
            <w:vAlign w:val="center"/>
          </w:tcPr>
          <w:p w14:paraId="74930E58">
            <w:pPr>
              <w:pStyle w:val="14"/>
            </w:pPr>
          </w:p>
        </w:tc>
      </w:tr>
      <w:tr w14:paraId="7E551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8F972">
            <w:pPr>
              <w:pStyle w:val="12"/>
            </w:pPr>
            <w:r>
              <w:t>3</w:t>
            </w:r>
          </w:p>
        </w:tc>
        <w:tc>
          <w:tcPr>
            <w:tcW w:w="4535" w:type="dxa"/>
            <w:vAlign w:val="center"/>
          </w:tcPr>
          <w:p w14:paraId="44774E8B">
            <w:pPr>
              <w:pStyle w:val="13"/>
            </w:pPr>
            <w:r>
              <w:t>三、国有资本经营预算拨款收入</w:t>
            </w:r>
          </w:p>
        </w:tc>
        <w:tc>
          <w:tcPr>
            <w:tcW w:w="2126" w:type="dxa"/>
            <w:vAlign w:val="center"/>
          </w:tcPr>
          <w:p w14:paraId="77566601">
            <w:pPr>
              <w:pStyle w:val="14"/>
            </w:pPr>
          </w:p>
        </w:tc>
        <w:tc>
          <w:tcPr>
            <w:tcW w:w="4535" w:type="dxa"/>
            <w:vAlign w:val="center"/>
          </w:tcPr>
          <w:p w14:paraId="25CC20FA">
            <w:pPr>
              <w:pStyle w:val="13"/>
            </w:pPr>
            <w:r>
              <w:t>三、国防支出</w:t>
            </w:r>
          </w:p>
        </w:tc>
        <w:tc>
          <w:tcPr>
            <w:tcW w:w="2126" w:type="dxa"/>
            <w:vAlign w:val="center"/>
          </w:tcPr>
          <w:p w14:paraId="6DEE3B0B">
            <w:pPr>
              <w:pStyle w:val="14"/>
            </w:pPr>
          </w:p>
        </w:tc>
      </w:tr>
      <w:tr w14:paraId="02E45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34DE0">
            <w:pPr>
              <w:pStyle w:val="12"/>
            </w:pPr>
            <w:r>
              <w:t>4</w:t>
            </w:r>
          </w:p>
        </w:tc>
        <w:tc>
          <w:tcPr>
            <w:tcW w:w="4535" w:type="dxa"/>
            <w:vAlign w:val="center"/>
          </w:tcPr>
          <w:p w14:paraId="30D050A7">
            <w:pPr>
              <w:pStyle w:val="13"/>
            </w:pPr>
            <w:r>
              <w:t>四、财政专户管理资金收入</w:t>
            </w:r>
          </w:p>
        </w:tc>
        <w:tc>
          <w:tcPr>
            <w:tcW w:w="2126" w:type="dxa"/>
            <w:vAlign w:val="center"/>
          </w:tcPr>
          <w:p w14:paraId="054C27AE">
            <w:pPr>
              <w:pStyle w:val="14"/>
            </w:pPr>
          </w:p>
        </w:tc>
        <w:tc>
          <w:tcPr>
            <w:tcW w:w="4535" w:type="dxa"/>
            <w:vAlign w:val="center"/>
          </w:tcPr>
          <w:p w14:paraId="15898B67">
            <w:pPr>
              <w:pStyle w:val="13"/>
            </w:pPr>
            <w:r>
              <w:t>四、公共安全支出</w:t>
            </w:r>
          </w:p>
        </w:tc>
        <w:tc>
          <w:tcPr>
            <w:tcW w:w="2126" w:type="dxa"/>
            <w:vAlign w:val="center"/>
          </w:tcPr>
          <w:p w14:paraId="1951CB12">
            <w:pPr>
              <w:pStyle w:val="14"/>
            </w:pPr>
          </w:p>
        </w:tc>
      </w:tr>
      <w:tr w14:paraId="60E1C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ABDD5">
            <w:pPr>
              <w:pStyle w:val="12"/>
            </w:pPr>
            <w:r>
              <w:t>5</w:t>
            </w:r>
          </w:p>
        </w:tc>
        <w:tc>
          <w:tcPr>
            <w:tcW w:w="4535" w:type="dxa"/>
            <w:vAlign w:val="center"/>
          </w:tcPr>
          <w:p w14:paraId="114E2DBF">
            <w:pPr>
              <w:pStyle w:val="13"/>
            </w:pPr>
            <w:r>
              <w:t>五、单位资金</w:t>
            </w:r>
          </w:p>
        </w:tc>
        <w:tc>
          <w:tcPr>
            <w:tcW w:w="2126" w:type="dxa"/>
            <w:vAlign w:val="center"/>
          </w:tcPr>
          <w:p w14:paraId="52D37314">
            <w:pPr>
              <w:pStyle w:val="14"/>
            </w:pPr>
          </w:p>
        </w:tc>
        <w:tc>
          <w:tcPr>
            <w:tcW w:w="4535" w:type="dxa"/>
            <w:vAlign w:val="center"/>
          </w:tcPr>
          <w:p w14:paraId="62931D68">
            <w:pPr>
              <w:pStyle w:val="13"/>
            </w:pPr>
            <w:r>
              <w:t>五、教育支出</w:t>
            </w:r>
          </w:p>
        </w:tc>
        <w:tc>
          <w:tcPr>
            <w:tcW w:w="2126" w:type="dxa"/>
            <w:vAlign w:val="center"/>
          </w:tcPr>
          <w:p w14:paraId="2EC7FA1C">
            <w:pPr>
              <w:pStyle w:val="14"/>
            </w:pPr>
            <w:r>
              <w:t>739.19</w:t>
            </w:r>
          </w:p>
        </w:tc>
      </w:tr>
      <w:tr w14:paraId="1DF0F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0F59F">
            <w:pPr>
              <w:pStyle w:val="12"/>
            </w:pPr>
            <w:r>
              <w:t>6</w:t>
            </w:r>
          </w:p>
        </w:tc>
        <w:tc>
          <w:tcPr>
            <w:tcW w:w="4535" w:type="dxa"/>
            <w:vAlign w:val="center"/>
          </w:tcPr>
          <w:p w14:paraId="6F7A8050">
            <w:pPr>
              <w:pStyle w:val="13"/>
            </w:pPr>
          </w:p>
        </w:tc>
        <w:tc>
          <w:tcPr>
            <w:tcW w:w="2126" w:type="dxa"/>
            <w:vAlign w:val="center"/>
          </w:tcPr>
          <w:p w14:paraId="2C388F15">
            <w:pPr>
              <w:pStyle w:val="14"/>
            </w:pPr>
          </w:p>
        </w:tc>
        <w:tc>
          <w:tcPr>
            <w:tcW w:w="4535" w:type="dxa"/>
            <w:vAlign w:val="center"/>
          </w:tcPr>
          <w:p w14:paraId="48E79DC0">
            <w:pPr>
              <w:pStyle w:val="13"/>
            </w:pPr>
            <w:r>
              <w:t>六、科学技术支出</w:t>
            </w:r>
          </w:p>
        </w:tc>
        <w:tc>
          <w:tcPr>
            <w:tcW w:w="2126" w:type="dxa"/>
            <w:vAlign w:val="center"/>
          </w:tcPr>
          <w:p w14:paraId="0FFC5C3E">
            <w:pPr>
              <w:pStyle w:val="14"/>
            </w:pPr>
          </w:p>
        </w:tc>
      </w:tr>
      <w:tr w14:paraId="11D07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D38F7">
            <w:pPr>
              <w:pStyle w:val="12"/>
            </w:pPr>
            <w:r>
              <w:t>7</w:t>
            </w:r>
          </w:p>
        </w:tc>
        <w:tc>
          <w:tcPr>
            <w:tcW w:w="4535" w:type="dxa"/>
            <w:vAlign w:val="center"/>
          </w:tcPr>
          <w:p w14:paraId="21D75E02">
            <w:pPr>
              <w:pStyle w:val="13"/>
            </w:pPr>
          </w:p>
        </w:tc>
        <w:tc>
          <w:tcPr>
            <w:tcW w:w="2126" w:type="dxa"/>
            <w:vAlign w:val="center"/>
          </w:tcPr>
          <w:p w14:paraId="30B39F5A">
            <w:pPr>
              <w:pStyle w:val="14"/>
            </w:pPr>
          </w:p>
        </w:tc>
        <w:tc>
          <w:tcPr>
            <w:tcW w:w="4535" w:type="dxa"/>
            <w:vAlign w:val="center"/>
          </w:tcPr>
          <w:p w14:paraId="269CDD2A">
            <w:pPr>
              <w:pStyle w:val="13"/>
            </w:pPr>
            <w:r>
              <w:t>七、文化旅游体育与传媒支出</w:t>
            </w:r>
          </w:p>
        </w:tc>
        <w:tc>
          <w:tcPr>
            <w:tcW w:w="2126" w:type="dxa"/>
            <w:vAlign w:val="center"/>
          </w:tcPr>
          <w:p w14:paraId="77D3FDF3">
            <w:pPr>
              <w:pStyle w:val="14"/>
            </w:pPr>
          </w:p>
        </w:tc>
      </w:tr>
      <w:tr w14:paraId="01387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8361C">
            <w:pPr>
              <w:pStyle w:val="12"/>
            </w:pPr>
            <w:r>
              <w:t>8</w:t>
            </w:r>
          </w:p>
        </w:tc>
        <w:tc>
          <w:tcPr>
            <w:tcW w:w="4535" w:type="dxa"/>
            <w:vAlign w:val="center"/>
          </w:tcPr>
          <w:p w14:paraId="0E181EA1">
            <w:pPr>
              <w:pStyle w:val="13"/>
            </w:pPr>
          </w:p>
        </w:tc>
        <w:tc>
          <w:tcPr>
            <w:tcW w:w="2126" w:type="dxa"/>
            <w:vAlign w:val="center"/>
          </w:tcPr>
          <w:p w14:paraId="1D6F3C44">
            <w:pPr>
              <w:pStyle w:val="14"/>
            </w:pPr>
          </w:p>
        </w:tc>
        <w:tc>
          <w:tcPr>
            <w:tcW w:w="4535" w:type="dxa"/>
            <w:vAlign w:val="center"/>
          </w:tcPr>
          <w:p w14:paraId="4A001FEF">
            <w:pPr>
              <w:pStyle w:val="13"/>
            </w:pPr>
            <w:r>
              <w:t>八、社会保障和就业支出</w:t>
            </w:r>
          </w:p>
        </w:tc>
        <w:tc>
          <w:tcPr>
            <w:tcW w:w="2126" w:type="dxa"/>
            <w:vAlign w:val="center"/>
          </w:tcPr>
          <w:p w14:paraId="18DD49A2">
            <w:pPr>
              <w:pStyle w:val="14"/>
            </w:pPr>
          </w:p>
        </w:tc>
      </w:tr>
      <w:tr w14:paraId="740BD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29BAE">
            <w:pPr>
              <w:pStyle w:val="12"/>
            </w:pPr>
            <w:r>
              <w:t>9</w:t>
            </w:r>
          </w:p>
        </w:tc>
        <w:tc>
          <w:tcPr>
            <w:tcW w:w="4535" w:type="dxa"/>
            <w:vAlign w:val="center"/>
          </w:tcPr>
          <w:p w14:paraId="283BCAA3">
            <w:pPr>
              <w:pStyle w:val="13"/>
            </w:pPr>
          </w:p>
        </w:tc>
        <w:tc>
          <w:tcPr>
            <w:tcW w:w="2126" w:type="dxa"/>
            <w:vAlign w:val="center"/>
          </w:tcPr>
          <w:p w14:paraId="4C727072">
            <w:pPr>
              <w:pStyle w:val="14"/>
            </w:pPr>
          </w:p>
        </w:tc>
        <w:tc>
          <w:tcPr>
            <w:tcW w:w="4535" w:type="dxa"/>
            <w:vAlign w:val="center"/>
          </w:tcPr>
          <w:p w14:paraId="639DED70">
            <w:pPr>
              <w:pStyle w:val="13"/>
            </w:pPr>
            <w:r>
              <w:t>九、社会保险基金支出</w:t>
            </w:r>
          </w:p>
        </w:tc>
        <w:tc>
          <w:tcPr>
            <w:tcW w:w="2126" w:type="dxa"/>
            <w:vAlign w:val="center"/>
          </w:tcPr>
          <w:p w14:paraId="322B9E90">
            <w:pPr>
              <w:pStyle w:val="14"/>
            </w:pPr>
          </w:p>
        </w:tc>
      </w:tr>
      <w:tr w14:paraId="0CB0E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0D9F5">
            <w:pPr>
              <w:pStyle w:val="12"/>
            </w:pPr>
            <w:r>
              <w:t>10</w:t>
            </w:r>
          </w:p>
        </w:tc>
        <w:tc>
          <w:tcPr>
            <w:tcW w:w="4535" w:type="dxa"/>
            <w:vAlign w:val="center"/>
          </w:tcPr>
          <w:p w14:paraId="34BB54D8">
            <w:pPr>
              <w:pStyle w:val="13"/>
            </w:pPr>
          </w:p>
        </w:tc>
        <w:tc>
          <w:tcPr>
            <w:tcW w:w="2126" w:type="dxa"/>
            <w:vAlign w:val="center"/>
          </w:tcPr>
          <w:p w14:paraId="7597D49B">
            <w:pPr>
              <w:pStyle w:val="14"/>
            </w:pPr>
          </w:p>
        </w:tc>
        <w:tc>
          <w:tcPr>
            <w:tcW w:w="4535" w:type="dxa"/>
            <w:vAlign w:val="center"/>
          </w:tcPr>
          <w:p w14:paraId="735C3CA4">
            <w:pPr>
              <w:pStyle w:val="13"/>
            </w:pPr>
            <w:r>
              <w:t>十、卫生健康支出</w:t>
            </w:r>
          </w:p>
        </w:tc>
        <w:tc>
          <w:tcPr>
            <w:tcW w:w="2126" w:type="dxa"/>
            <w:vAlign w:val="center"/>
          </w:tcPr>
          <w:p w14:paraId="46BFF0D0">
            <w:pPr>
              <w:pStyle w:val="14"/>
            </w:pPr>
          </w:p>
        </w:tc>
      </w:tr>
      <w:tr w14:paraId="081A6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EFBA1">
            <w:pPr>
              <w:pStyle w:val="12"/>
            </w:pPr>
            <w:r>
              <w:t>11</w:t>
            </w:r>
          </w:p>
        </w:tc>
        <w:tc>
          <w:tcPr>
            <w:tcW w:w="4535" w:type="dxa"/>
            <w:vAlign w:val="center"/>
          </w:tcPr>
          <w:p w14:paraId="4A0038CC">
            <w:pPr>
              <w:pStyle w:val="13"/>
            </w:pPr>
          </w:p>
        </w:tc>
        <w:tc>
          <w:tcPr>
            <w:tcW w:w="2126" w:type="dxa"/>
            <w:vAlign w:val="center"/>
          </w:tcPr>
          <w:p w14:paraId="38A012B7">
            <w:pPr>
              <w:pStyle w:val="14"/>
            </w:pPr>
          </w:p>
        </w:tc>
        <w:tc>
          <w:tcPr>
            <w:tcW w:w="4535" w:type="dxa"/>
            <w:vAlign w:val="center"/>
          </w:tcPr>
          <w:p w14:paraId="3402A0A5">
            <w:pPr>
              <w:pStyle w:val="13"/>
            </w:pPr>
            <w:r>
              <w:t>十一、节能环保支出</w:t>
            </w:r>
          </w:p>
        </w:tc>
        <w:tc>
          <w:tcPr>
            <w:tcW w:w="2126" w:type="dxa"/>
            <w:vAlign w:val="center"/>
          </w:tcPr>
          <w:p w14:paraId="34276C4B">
            <w:pPr>
              <w:pStyle w:val="14"/>
            </w:pPr>
          </w:p>
        </w:tc>
      </w:tr>
      <w:tr w14:paraId="6DCD6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8E195EA">
            <w:pPr>
              <w:pStyle w:val="12"/>
            </w:pPr>
            <w:r>
              <w:t>12</w:t>
            </w:r>
          </w:p>
        </w:tc>
        <w:tc>
          <w:tcPr>
            <w:tcW w:w="4535" w:type="dxa"/>
            <w:vAlign w:val="center"/>
          </w:tcPr>
          <w:p w14:paraId="5887E269">
            <w:pPr>
              <w:pStyle w:val="13"/>
            </w:pPr>
          </w:p>
        </w:tc>
        <w:tc>
          <w:tcPr>
            <w:tcW w:w="2126" w:type="dxa"/>
            <w:vAlign w:val="center"/>
          </w:tcPr>
          <w:p w14:paraId="1C1C98DA">
            <w:pPr>
              <w:pStyle w:val="14"/>
            </w:pPr>
          </w:p>
        </w:tc>
        <w:tc>
          <w:tcPr>
            <w:tcW w:w="4535" w:type="dxa"/>
            <w:vAlign w:val="center"/>
          </w:tcPr>
          <w:p w14:paraId="0EA42DA0">
            <w:pPr>
              <w:pStyle w:val="13"/>
            </w:pPr>
            <w:r>
              <w:t>十二、城乡社区支出</w:t>
            </w:r>
          </w:p>
        </w:tc>
        <w:tc>
          <w:tcPr>
            <w:tcW w:w="2126" w:type="dxa"/>
            <w:vAlign w:val="center"/>
          </w:tcPr>
          <w:p w14:paraId="3B4DAB0F">
            <w:pPr>
              <w:pStyle w:val="14"/>
            </w:pPr>
          </w:p>
        </w:tc>
      </w:tr>
      <w:tr w14:paraId="2E88B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2CF9D">
            <w:pPr>
              <w:pStyle w:val="12"/>
            </w:pPr>
            <w:r>
              <w:t>13</w:t>
            </w:r>
          </w:p>
        </w:tc>
        <w:tc>
          <w:tcPr>
            <w:tcW w:w="4535" w:type="dxa"/>
            <w:vAlign w:val="center"/>
          </w:tcPr>
          <w:p w14:paraId="62896956">
            <w:pPr>
              <w:pStyle w:val="13"/>
            </w:pPr>
          </w:p>
        </w:tc>
        <w:tc>
          <w:tcPr>
            <w:tcW w:w="2126" w:type="dxa"/>
            <w:vAlign w:val="center"/>
          </w:tcPr>
          <w:p w14:paraId="5E9A5CD7">
            <w:pPr>
              <w:pStyle w:val="14"/>
            </w:pPr>
          </w:p>
        </w:tc>
        <w:tc>
          <w:tcPr>
            <w:tcW w:w="4535" w:type="dxa"/>
            <w:vAlign w:val="center"/>
          </w:tcPr>
          <w:p w14:paraId="67DEE91E">
            <w:pPr>
              <w:pStyle w:val="13"/>
            </w:pPr>
            <w:r>
              <w:t>十三、农林水支出</w:t>
            </w:r>
          </w:p>
        </w:tc>
        <w:tc>
          <w:tcPr>
            <w:tcW w:w="2126" w:type="dxa"/>
            <w:vAlign w:val="center"/>
          </w:tcPr>
          <w:p w14:paraId="001BA29E">
            <w:pPr>
              <w:pStyle w:val="14"/>
            </w:pPr>
          </w:p>
        </w:tc>
      </w:tr>
      <w:tr w14:paraId="5741C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12369">
            <w:pPr>
              <w:pStyle w:val="12"/>
            </w:pPr>
            <w:r>
              <w:t>14</w:t>
            </w:r>
          </w:p>
        </w:tc>
        <w:tc>
          <w:tcPr>
            <w:tcW w:w="4535" w:type="dxa"/>
            <w:vAlign w:val="center"/>
          </w:tcPr>
          <w:p w14:paraId="6DE5A3E1">
            <w:pPr>
              <w:pStyle w:val="13"/>
            </w:pPr>
          </w:p>
        </w:tc>
        <w:tc>
          <w:tcPr>
            <w:tcW w:w="2126" w:type="dxa"/>
            <w:vAlign w:val="center"/>
          </w:tcPr>
          <w:p w14:paraId="498E5DCA">
            <w:pPr>
              <w:pStyle w:val="14"/>
            </w:pPr>
          </w:p>
        </w:tc>
        <w:tc>
          <w:tcPr>
            <w:tcW w:w="4535" w:type="dxa"/>
            <w:vAlign w:val="center"/>
          </w:tcPr>
          <w:p w14:paraId="0D63A7DC">
            <w:pPr>
              <w:pStyle w:val="13"/>
            </w:pPr>
            <w:r>
              <w:t>十四、交通运输支出</w:t>
            </w:r>
          </w:p>
        </w:tc>
        <w:tc>
          <w:tcPr>
            <w:tcW w:w="2126" w:type="dxa"/>
            <w:vAlign w:val="center"/>
          </w:tcPr>
          <w:p w14:paraId="5249FECC">
            <w:pPr>
              <w:pStyle w:val="14"/>
            </w:pPr>
          </w:p>
        </w:tc>
      </w:tr>
      <w:tr w14:paraId="1C735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23EA7">
            <w:pPr>
              <w:pStyle w:val="12"/>
            </w:pPr>
            <w:r>
              <w:t>15</w:t>
            </w:r>
          </w:p>
        </w:tc>
        <w:tc>
          <w:tcPr>
            <w:tcW w:w="4535" w:type="dxa"/>
            <w:vAlign w:val="center"/>
          </w:tcPr>
          <w:p w14:paraId="7DEE202B">
            <w:pPr>
              <w:pStyle w:val="13"/>
            </w:pPr>
          </w:p>
        </w:tc>
        <w:tc>
          <w:tcPr>
            <w:tcW w:w="2126" w:type="dxa"/>
            <w:vAlign w:val="center"/>
          </w:tcPr>
          <w:p w14:paraId="2BD90EEA">
            <w:pPr>
              <w:pStyle w:val="14"/>
            </w:pPr>
          </w:p>
        </w:tc>
        <w:tc>
          <w:tcPr>
            <w:tcW w:w="4535" w:type="dxa"/>
            <w:vAlign w:val="center"/>
          </w:tcPr>
          <w:p w14:paraId="18C3428E">
            <w:pPr>
              <w:pStyle w:val="13"/>
            </w:pPr>
            <w:r>
              <w:t>十五、资源勘探工业信息等支出</w:t>
            </w:r>
          </w:p>
        </w:tc>
        <w:tc>
          <w:tcPr>
            <w:tcW w:w="2126" w:type="dxa"/>
            <w:vAlign w:val="center"/>
          </w:tcPr>
          <w:p w14:paraId="24AFCBBB">
            <w:pPr>
              <w:pStyle w:val="14"/>
            </w:pPr>
          </w:p>
        </w:tc>
      </w:tr>
      <w:tr w14:paraId="14484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E88C49B">
            <w:pPr>
              <w:pStyle w:val="12"/>
            </w:pPr>
            <w:r>
              <w:t>16</w:t>
            </w:r>
          </w:p>
        </w:tc>
        <w:tc>
          <w:tcPr>
            <w:tcW w:w="4535" w:type="dxa"/>
            <w:vAlign w:val="center"/>
          </w:tcPr>
          <w:p w14:paraId="5D2FA3C7">
            <w:pPr>
              <w:pStyle w:val="13"/>
            </w:pPr>
          </w:p>
        </w:tc>
        <w:tc>
          <w:tcPr>
            <w:tcW w:w="2126" w:type="dxa"/>
            <w:vAlign w:val="center"/>
          </w:tcPr>
          <w:p w14:paraId="22FF1EB5">
            <w:pPr>
              <w:pStyle w:val="14"/>
            </w:pPr>
          </w:p>
        </w:tc>
        <w:tc>
          <w:tcPr>
            <w:tcW w:w="4535" w:type="dxa"/>
            <w:vAlign w:val="center"/>
          </w:tcPr>
          <w:p w14:paraId="477FF432">
            <w:pPr>
              <w:pStyle w:val="13"/>
            </w:pPr>
            <w:r>
              <w:t>十六、商业服务业等支出</w:t>
            </w:r>
          </w:p>
        </w:tc>
        <w:tc>
          <w:tcPr>
            <w:tcW w:w="2126" w:type="dxa"/>
            <w:vAlign w:val="center"/>
          </w:tcPr>
          <w:p w14:paraId="3A78EDC5">
            <w:pPr>
              <w:pStyle w:val="14"/>
            </w:pPr>
          </w:p>
        </w:tc>
      </w:tr>
      <w:tr w14:paraId="2DFD1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A6001A0">
            <w:pPr>
              <w:pStyle w:val="12"/>
            </w:pPr>
            <w:r>
              <w:t>17</w:t>
            </w:r>
          </w:p>
        </w:tc>
        <w:tc>
          <w:tcPr>
            <w:tcW w:w="4535" w:type="dxa"/>
            <w:vAlign w:val="center"/>
          </w:tcPr>
          <w:p w14:paraId="06AFB18A">
            <w:pPr>
              <w:pStyle w:val="13"/>
            </w:pPr>
          </w:p>
        </w:tc>
        <w:tc>
          <w:tcPr>
            <w:tcW w:w="2126" w:type="dxa"/>
            <w:vAlign w:val="center"/>
          </w:tcPr>
          <w:p w14:paraId="1A506724">
            <w:pPr>
              <w:pStyle w:val="14"/>
            </w:pPr>
          </w:p>
        </w:tc>
        <w:tc>
          <w:tcPr>
            <w:tcW w:w="4535" w:type="dxa"/>
            <w:vAlign w:val="center"/>
          </w:tcPr>
          <w:p w14:paraId="3C0941D0">
            <w:pPr>
              <w:pStyle w:val="13"/>
            </w:pPr>
            <w:r>
              <w:t>十七、金融支出</w:t>
            </w:r>
          </w:p>
        </w:tc>
        <w:tc>
          <w:tcPr>
            <w:tcW w:w="2126" w:type="dxa"/>
            <w:vAlign w:val="center"/>
          </w:tcPr>
          <w:p w14:paraId="086B0218">
            <w:pPr>
              <w:pStyle w:val="14"/>
            </w:pPr>
          </w:p>
        </w:tc>
      </w:tr>
      <w:tr w14:paraId="0B506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BFDDC">
            <w:pPr>
              <w:pStyle w:val="12"/>
            </w:pPr>
            <w:r>
              <w:t>18</w:t>
            </w:r>
          </w:p>
        </w:tc>
        <w:tc>
          <w:tcPr>
            <w:tcW w:w="4535" w:type="dxa"/>
            <w:vAlign w:val="center"/>
          </w:tcPr>
          <w:p w14:paraId="6208FBDD">
            <w:pPr>
              <w:pStyle w:val="13"/>
            </w:pPr>
          </w:p>
        </w:tc>
        <w:tc>
          <w:tcPr>
            <w:tcW w:w="2126" w:type="dxa"/>
            <w:vAlign w:val="center"/>
          </w:tcPr>
          <w:p w14:paraId="45DBCFC8">
            <w:pPr>
              <w:pStyle w:val="14"/>
            </w:pPr>
          </w:p>
        </w:tc>
        <w:tc>
          <w:tcPr>
            <w:tcW w:w="4535" w:type="dxa"/>
            <w:vAlign w:val="center"/>
          </w:tcPr>
          <w:p w14:paraId="056DB1DA">
            <w:pPr>
              <w:pStyle w:val="13"/>
            </w:pPr>
            <w:r>
              <w:t>十八、援助其他地区支出</w:t>
            </w:r>
          </w:p>
        </w:tc>
        <w:tc>
          <w:tcPr>
            <w:tcW w:w="2126" w:type="dxa"/>
            <w:vAlign w:val="center"/>
          </w:tcPr>
          <w:p w14:paraId="7DCC913B">
            <w:pPr>
              <w:pStyle w:val="14"/>
            </w:pPr>
          </w:p>
        </w:tc>
      </w:tr>
      <w:tr w14:paraId="6A958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95780">
            <w:pPr>
              <w:pStyle w:val="12"/>
            </w:pPr>
            <w:r>
              <w:t>19</w:t>
            </w:r>
          </w:p>
        </w:tc>
        <w:tc>
          <w:tcPr>
            <w:tcW w:w="4535" w:type="dxa"/>
            <w:vAlign w:val="center"/>
          </w:tcPr>
          <w:p w14:paraId="78C0317E">
            <w:pPr>
              <w:pStyle w:val="13"/>
            </w:pPr>
          </w:p>
        </w:tc>
        <w:tc>
          <w:tcPr>
            <w:tcW w:w="2126" w:type="dxa"/>
            <w:vAlign w:val="center"/>
          </w:tcPr>
          <w:p w14:paraId="679F5473">
            <w:pPr>
              <w:pStyle w:val="14"/>
            </w:pPr>
          </w:p>
        </w:tc>
        <w:tc>
          <w:tcPr>
            <w:tcW w:w="4535" w:type="dxa"/>
            <w:vAlign w:val="center"/>
          </w:tcPr>
          <w:p w14:paraId="2A38876D">
            <w:pPr>
              <w:pStyle w:val="13"/>
            </w:pPr>
            <w:r>
              <w:t>十九、自然资源海洋气象等支出</w:t>
            </w:r>
          </w:p>
        </w:tc>
        <w:tc>
          <w:tcPr>
            <w:tcW w:w="2126" w:type="dxa"/>
            <w:vAlign w:val="center"/>
          </w:tcPr>
          <w:p w14:paraId="1AC93438">
            <w:pPr>
              <w:pStyle w:val="14"/>
            </w:pPr>
          </w:p>
        </w:tc>
      </w:tr>
      <w:tr w14:paraId="75D39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A5928">
            <w:pPr>
              <w:pStyle w:val="12"/>
            </w:pPr>
            <w:r>
              <w:t>20</w:t>
            </w:r>
          </w:p>
        </w:tc>
        <w:tc>
          <w:tcPr>
            <w:tcW w:w="4535" w:type="dxa"/>
            <w:vAlign w:val="center"/>
          </w:tcPr>
          <w:p w14:paraId="79F0BC6D">
            <w:pPr>
              <w:pStyle w:val="13"/>
            </w:pPr>
          </w:p>
        </w:tc>
        <w:tc>
          <w:tcPr>
            <w:tcW w:w="2126" w:type="dxa"/>
            <w:vAlign w:val="center"/>
          </w:tcPr>
          <w:p w14:paraId="4B82347E">
            <w:pPr>
              <w:pStyle w:val="14"/>
            </w:pPr>
          </w:p>
        </w:tc>
        <w:tc>
          <w:tcPr>
            <w:tcW w:w="4535" w:type="dxa"/>
            <w:vAlign w:val="center"/>
          </w:tcPr>
          <w:p w14:paraId="02474664">
            <w:pPr>
              <w:pStyle w:val="13"/>
            </w:pPr>
            <w:r>
              <w:t>二十、住房保障支出</w:t>
            </w:r>
          </w:p>
        </w:tc>
        <w:tc>
          <w:tcPr>
            <w:tcW w:w="2126" w:type="dxa"/>
            <w:vAlign w:val="center"/>
          </w:tcPr>
          <w:p w14:paraId="4E7ABF4C">
            <w:pPr>
              <w:pStyle w:val="14"/>
            </w:pPr>
          </w:p>
        </w:tc>
      </w:tr>
      <w:tr w14:paraId="37A32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A31C1">
            <w:pPr>
              <w:pStyle w:val="12"/>
            </w:pPr>
            <w:r>
              <w:t>21</w:t>
            </w:r>
          </w:p>
        </w:tc>
        <w:tc>
          <w:tcPr>
            <w:tcW w:w="4535" w:type="dxa"/>
            <w:vAlign w:val="center"/>
          </w:tcPr>
          <w:p w14:paraId="55E38031">
            <w:pPr>
              <w:pStyle w:val="13"/>
            </w:pPr>
          </w:p>
        </w:tc>
        <w:tc>
          <w:tcPr>
            <w:tcW w:w="2126" w:type="dxa"/>
            <w:vAlign w:val="center"/>
          </w:tcPr>
          <w:p w14:paraId="5335A3D1">
            <w:pPr>
              <w:pStyle w:val="14"/>
            </w:pPr>
          </w:p>
        </w:tc>
        <w:tc>
          <w:tcPr>
            <w:tcW w:w="4535" w:type="dxa"/>
            <w:vAlign w:val="center"/>
          </w:tcPr>
          <w:p w14:paraId="1B71CA08">
            <w:pPr>
              <w:pStyle w:val="13"/>
            </w:pPr>
            <w:r>
              <w:t>二十一、粮油物资储备支出</w:t>
            </w:r>
          </w:p>
        </w:tc>
        <w:tc>
          <w:tcPr>
            <w:tcW w:w="2126" w:type="dxa"/>
            <w:vAlign w:val="center"/>
          </w:tcPr>
          <w:p w14:paraId="0FAA1230">
            <w:pPr>
              <w:pStyle w:val="14"/>
            </w:pPr>
          </w:p>
        </w:tc>
      </w:tr>
      <w:tr w14:paraId="5C0C8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9B736">
            <w:pPr>
              <w:pStyle w:val="12"/>
            </w:pPr>
            <w:r>
              <w:t>22</w:t>
            </w:r>
          </w:p>
        </w:tc>
        <w:tc>
          <w:tcPr>
            <w:tcW w:w="4535" w:type="dxa"/>
            <w:vAlign w:val="center"/>
          </w:tcPr>
          <w:p w14:paraId="71D0AB7F">
            <w:pPr>
              <w:pStyle w:val="13"/>
            </w:pPr>
          </w:p>
        </w:tc>
        <w:tc>
          <w:tcPr>
            <w:tcW w:w="2126" w:type="dxa"/>
            <w:vAlign w:val="center"/>
          </w:tcPr>
          <w:p w14:paraId="51510725">
            <w:pPr>
              <w:pStyle w:val="14"/>
            </w:pPr>
          </w:p>
        </w:tc>
        <w:tc>
          <w:tcPr>
            <w:tcW w:w="4535" w:type="dxa"/>
            <w:vAlign w:val="center"/>
          </w:tcPr>
          <w:p w14:paraId="53C36A39">
            <w:pPr>
              <w:pStyle w:val="13"/>
            </w:pPr>
            <w:r>
              <w:t>二十二、国有资本经营预算支出</w:t>
            </w:r>
          </w:p>
        </w:tc>
        <w:tc>
          <w:tcPr>
            <w:tcW w:w="2126" w:type="dxa"/>
            <w:vAlign w:val="center"/>
          </w:tcPr>
          <w:p w14:paraId="091A1E01">
            <w:pPr>
              <w:pStyle w:val="14"/>
            </w:pPr>
          </w:p>
        </w:tc>
      </w:tr>
      <w:tr w14:paraId="3EF73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5C246">
            <w:pPr>
              <w:pStyle w:val="12"/>
            </w:pPr>
            <w:r>
              <w:t>23</w:t>
            </w:r>
          </w:p>
        </w:tc>
        <w:tc>
          <w:tcPr>
            <w:tcW w:w="4535" w:type="dxa"/>
            <w:vAlign w:val="center"/>
          </w:tcPr>
          <w:p w14:paraId="08AA47DB">
            <w:pPr>
              <w:pStyle w:val="13"/>
            </w:pPr>
          </w:p>
        </w:tc>
        <w:tc>
          <w:tcPr>
            <w:tcW w:w="2126" w:type="dxa"/>
            <w:vAlign w:val="center"/>
          </w:tcPr>
          <w:p w14:paraId="41CF7C60">
            <w:pPr>
              <w:pStyle w:val="14"/>
            </w:pPr>
          </w:p>
        </w:tc>
        <w:tc>
          <w:tcPr>
            <w:tcW w:w="4535" w:type="dxa"/>
            <w:vAlign w:val="center"/>
          </w:tcPr>
          <w:p w14:paraId="21C80F29">
            <w:pPr>
              <w:pStyle w:val="13"/>
            </w:pPr>
            <w:r>
              <w:t>二十三、灾害防治及应急管理支出</w:t>
            </w:r>
          </w:p>
        </w:tc>
        <w:tc>
          <w:tcPr>
            <w:tcW w:w="2126" w:type="dxa"/>
            <w:vAlign w:val="center"/>
          </w:tcPr>
          <w:p w14:paraId="6F985506">
            <w:pPr>
              <w:pStyle w:val="14"/>
            </w:pPr>
          </w:p>
        </w:tc>
      </w:tr>
      <w:tr w14:paraId="459BB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C82A5">
            <w:pPr>
              <w:pStyle w:val="12"/>
            </w:pPr>
            <w:r>
              <w:t>24</w:t>
            </w:r>
          </w:p>
        </w:tc>
        <w:tc>
          <w:tcPr>
            <w:tcW w:w="4535" w:type="dxa"/>
            <w:vAlign w:val="center"/>
          </w:tcPr>
          <w:p w14:paraId="4DF51D29">
            <w:pPr>
              <w:pStyle w:val="13"/>
            </w:pPr>
          </w:p>
        </w:tc>
        <w:tc>
          <w:tcPr>
            <w:tcW w:w="2126" w:type="dxa"/>
            <w:vAlign w:val="center"/>
          </w:tcPr>
          <w:p w14:paraId="7C5ED936">
            <w:pPr>
              <w:pStyle w:val="14"/>
            </w:pPr>
          </w:p>
        </w:tc>
        <w:tc>
          <w:tcPr>
            <w:tcW w:w="4535" w:type="dxa"/>
            <w:vAlign w:val="center"/>
          </w:tcPr>
          <w:p w14:paraId="225C1B57">
            <w:pPr>
              <w:pStyle w:val="13"/>
            </w:pPr>
            <w:r>
              <w:t>二十四、预备费</w:t>
            </w:r>
          </w:p>
        </w:tc>
        <w:tc>
          <w:tcPr>
            <w:tcW w:w="2126" w:type="dxa"/>
            <w:vAlign w:val="center"/>
          </w:tcPr>
          <w:p w14:paraId="143AFDDE">
            <w:pPr>
              <w:pStyle w:val="14"/>
            </w:pPr>
          </w:p>
        </w:tc>
      </w:tr>
      <w:tr w14:paraId="59925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155A5">
            <w:pPr>
              <w:pStyle w:val="12"/>
            </w:pPr>
            <w:r>
              <w:t>25</w:t>
            </w:r>
          </w:p>
        </w:tc>
        <w:tc>
          <w:tcPr>
            <w:tcW w:w="4535" w:type="dxa"/>
            <w:vAlign w:val="center"/>
          </w:tcPr>
          <w:p w14:paraId="0EA43394">
            <w:pPr>
              <w:pStyle w:val="13"/>
            </w:pPr>
          </w:p>
        </w:tc>
        <w:tc>
          <w:tcPr>
            <w:tcW w:w="2126" w:type="dxa"/>
            <w:vAlign w:val="center"/>
          </w:tcPr>
          <w:p w14:paraId="281C0623">
            <w:pPr>
              <w:pStyle w:val="14"/>
            </w:pPr>
          </w:p>
        </w:tc>
        <w:tc>
          <w:tcPr>
            <w:tcW w:w="4535" w:type="dxa"/>
            <w:vAlign w:val="center"/>
          </w:tcPr>
          <w:p w14:paraId="3176C44B">
            <w:pPr>
              <w:pStyle w:val="13"/>
            </w:pPr>
            <w:r>
              <w:t>二十五、其他支出</w:t>
            </w:r>
          </w:p>
        </w:tc>
        <w:tc>
          <w:tcPr>
            <w:tcW w:w="2126" w:type="dxa"/>
            <w:vAlign w:val="center"/>
          </w:tcPr>
          <w:p w14:paraId="29925BF3">
            <w:pPr>
              <w:pStyle w:val="14"/>
            </w:pPr>
          </w:p>
        </w:tc>
      </w:tr>
      <w:tr w14:paraId="3C842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94A72">
            <w:pPr>
              <w:pStyle w:val="12"/>
            </w:pPr>
            <w:r>
              <w:t>26</w:t>
            </w:r>
          </w:p>
        </w:tc>
        <w:tc>
          <w:tcPr>
            <w:tcW w:w="4535" w:type="dxa"/>
            <w:vAlign w:val="center"/>
          </w:tcPr>
          <w:p w14:paraId="7ECB0CC2">
            <w:pPr>
              <w:pStyle w:val="13"/>
            </w:pPr>
          </w:p>
        </w:tc>
        <w:tc>
          <w:tcPr>
            <w:tcW w:w="2126" w:type="dxa"/>
            <w:vAlign w:val="center"/>
          </w:tcPr>
          <w:p w14:paraId="71EEE957">
            <w:pPr>
              <w:pStyle w:val="14"/>
            </w:pPr>
          </w:p>
        </w:tc>
        <w:tc>
          <w:tcPr>
            <w:tcW w:w="4535" w:type="dxa"/>
            <w:vAlign w:val="center"/>
          </w:tcPr>
          <w:p w14:paraId="139763FC">
            <w:pPr>
              <w:pStyle w:val="13"/>
            </w:pPr>
            <w:r>
              <w:t>二十六、转移性支出</w:t>
            </w:r>
          </w:p>
        </w:tc>
        <w:tc>
          <w:tcPr>
            <w:tcW w:w="2126" w:type="dxa"/>
            <w:vAlign w:val="center"/>
          </w:tcPr>
          <w:p w14:paraId="17384847">
            <w:pPr>
              <w:pStyle w:val="14"/>
            </w:pPr>
          </w:p>
        </w:tc>
      </w:tr>
      <w:tr w14:paraId="4DB4D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7CEFC">
            <w:pPr>
              <w:pStyle w:val="12"/>
            </w:pPr>
            <w:r>
              <w:t>27</w:t>
            </w:r>
          </w:p>
        </w:tc>
        <w:tc>
          <w:tcPr>
            <w:tcW w:w="4535" w:type="dxa"/>
            <w:vAlign w:val="center"/>
          </w:tcPr>
          <w:p w14:paraId="7454F31D">
            <w:pPr>
              <w:pStyle w:val="13"/>
            </w:pPr>
          </w:p>
        </w:tc>
        <w:tc>
          <w:tcPr>
            <w:tcW w:w="2126" w:type="dxa"/>
            <w:vAlign w:val="center"/>
          </w:tcPr>
          <w:p w14:paraId="3FA2DDE8">
            <w:pPr>
              <w:pStyle w:val="14"/>
            </w:pPr>
          </w:p>
        </w:tc>
        <w:tc>
          <w:tcPr>
            <w:tcW w:w="4535" w:type="dxa"/>
            <w:vAlign w:val="center"/>
          </w:tcPr>
          <w:p w14:paraId="4EF69C73">
            <w:pPr>
              <w:pStyle w:val="13"/>
            </w:pPr>
            <w:r>
              <w:t>二十七、债务还本支出</w:t>
            </w:r>
          </w:p>
        </w:tc>
        <w:tc>
          <w:tcPr>
            <w:tcW w:w="2126" w:type="dxa"/>
            <w:vAlign w:val="center"/>
          </w:tcPr>
          <w:p w14:paraId="2585BA73">
            <w:pPr>
              <w:pStyle w:val="14"/>
            </w:pPr>
          </w:p>
        </w:tc>
      </w:tr>
      <w:tr w14:paraId="6BA89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B40A4">
            <w:pPr>
              <w:pStyle w:val="12"/>
            </w:pPr>
            <w:r>
              <w:t>28</w:t>
            </w:r>
          </w:p>
        </w:tc>
        <w:tc>
          <w:tcPr>
            <w:tcW w:w="4535" w:type="dxa"/>
            <w:vAlign w:val="center"/>
          </w:tcPr>
          <w:p w14:paraId="3BA95590">
            <w:pPr>
              <w:pStyle w:val="13"/>
            </w:pPr>
          </w:p>
        </w:tc>
        <w:tc>
          <w:tcPr>
            <w:tcW w:w="2126" w:type="dxa"/>
            <w:vAlign w:val="center"/>
          </w:tcPr>
          <w:p w14:paraId="4B2D5E1A">
            <w:pPr>
              <w:pStyle w:val="14"/>
            </w:pPr>
          </w:p>
        </w:tc>
        <w:tc>
          <w:tcPr>
            <w:tcW w:w="4535" w:type="dxa"/>
            <w:vAlign w:val="center"/>
          </w:tcPr>
          <w:p w14:paraId="633F3338">
            <w:pPr>
              <w:pStyle w:val="13"/>
            </w:pPr>
            <w:r>
              <w:t>二十八、债务付息支出</w:t>
            </w:r>
          </w:p>
        </w:tc>
        <w:tc>
          <w:tcPr>
            <w:tcW w:w="2126" w:type="dxa"/>
            <w:vAlign w:val="center"/>
          </w:tcPr>
          <w:p w14:paraId="2D8C9F93">
            <w:pPr>
              <w:pStyle w:val="14"/>
            </w:pPr>
          </w:p>
        </w:tc>
      </w:tr>
      <w:tr w14:paraId="743F0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8BFC8">
            <w:pPr>
              <w:pStyle w:val="12"/>
            </w:pPr>
            <w:r>
              <w:t>29</w:t>
            </w:r>
          </w:p>
        </w:tc>
        <w:tc>
          <w:tcPr>
            <w:tcW w:w="4535" w:type="dxa"/>
            <w:vAlign w:val="center"/>
          </w:tcPr>
          <w:p w14:paraId="3EADC570">
            <w:pPr>
              <w:pStyle w:val="13"/>
            </w:pPr>
          </w:p>
        </w:tc>
        <w:tc>
          <w:tcPr>
            <w:tcW w:w="2126" w:type="dxa"/>
            <w:vAlign w:val="center"/>
          </w:tcPr>
          <w:p w14:paraId="02B6F6F4">
            <w:pPr>
              <w:pStyle w:val="14"/>
            </w:pPr>
          </w:p>
        </w:tc>
        <w:tc>
          <w:tcPr>
            <w:tcW w:w="4535" w:type="dxa"/>
            <w:vAlign w:val="center"/>
          </w:tcPr>
          <w:p w14:paraId="1DE934E2">
            <w:pPr>
              <w:pStyle w:val="13"/>
            </w:pPr>
            <w:r>
              <w:t>二十九、债务发行费用支出</w:t>
            </w:r>
          </w:p>
        </w:tc>
        <w:tc>
          <w:tcPr>
            <w:tcW w:w="2126" w:type="dxa"/>
            <w:vAlign w:val="center"/>
          </w:tcPr>
          <w:p w14:paraId="6FD35A2A">
            <w:pPr>
              <w:pStyle w:val="14"/>
            </w:pPr>
          </w:p>
        </w:tc>
      </w:tr>
      <w:tr w14:paraId="1B21D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DA52C">
            <w:pPr>
              <w:pStyle w:val="12"/>
            </w:pPr>
            <w:r>
              <w:t>30</w:t>
            </w:r>
          </w:p>
        </w:tc>
        <w:tc>
          <w:tcPr>
            <w:tcW w:w="4535" w:type="dxa"/>
            <w:vAlign w:val="center"/>
          </w:tcPr>
          <w:p w14:paraId="16EF40A1">
            <w:pPr>
              <w:pStyle w:val="13"/>
            </w:pPr>
          </w:p>
        </w:tc>
        <w:tc>
          <w:tcPr>
            <w:tcW w:w="2126" w:type="dxa"/>
            <w:vAlign w:val="center"/>
          </w:tcPr>
          <w:p w14:paraId="7D60A8CB">
            <w:pPr>
              <w:pStyle w:val="14"/>
            </w:pPr>
          </w:p>
        </w:tc>
        <w:tc>
          <w:tcPr>
            <w:tcW w:w="4535" w:type="dxa"/>
            <w:vAlign w:val="center"/>
          </w:tcPr>
          <w:p w14:paraId="1A6289FE">
            <w:pPr>
              <w:pStyle w:val="13"/>
            </w:pPr>
            <w:r>
              <w:t>三十、抗疫特别国债安排的支出</w:t>
            </w:r>
          </w:p>
        </w:tc>
        <w:tc>
          <w:tcPr>
            <w:tcW w:w="2126" w:type="dxa"/>
            <w:vAlign w:val="center"/>
          </w:tcPr>
          <w:p w14:paraId="1F32A1FE">
            <w:pPr>
              <w:pStyle w:val="14"/>
            </w:pPr>
          </w:p>
        </w:tc>
      </w:tr>
      <w:tr w14:paraId="32E9E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8C203">
            <w:pPr>
              <w:pStyle w:val="12"/>
            </w:pPr>
            <w:r>
              <w:t>31</w:t>
            </w:r>
          </w:p>
        </w:tc>
        <w:tc>
          <w:tcPr>
            <w:tcW w:w="4535" w:type="dxa"/>
            <w:vAlign w:val="center"/>
          </w:tcPr>
          <w:p w14:paraId="0AEA0472">
            <w:pPr>
              <w:pStyle w:val="13"/>
            </w:pPr>
          </w:p>
        </w:tc>
        <w:tc>
          <w:tcPr>
            <w:tcW w:w="2126" w:type="dxa"/>
            <w:vAlign w:val="center"/>
          </w:tcPr>
          <w:p w14:paraId="03191608">
            <w:pPr>
              <w:pStyle w:val="14"/>
            </w:pPr>
          </w:p>
        </w:tc>
        <w:tc>
          <w:tcPr>
            <w:tcW w:w="4535" w:type="dxa"/>
            <w:vAlign w:val="center"/>
          </w:tcPr>
          <w:p w14:paraId="3431E016">
            <w:pPr>
              <w:pStyle w:val="13"/>
            </w:pPr>
            <w:r>
              <w:t>三十一、人行科目</w:t>
            </w:r>
          </w:p>
        </w:tc>
        <w:tc>
          <w:tcPr>
            <w:tcW w:w="2126" w:type="dxa"/>
            <w:vAlign w:val="center"/>
          </w:tcPr>
          <w:p w14:paraId="670E8C21">
            <w:pPr>
              <w:pStyle w:val="14"/>
            </w:pPr>
          </w:p>
        </w:tc>
      </w:tr>
      <w:tr w14:paraId="295D9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50CE0">
            <w:pPr>
              <w:pStyle w:val="12"/>
            </w:pPr>
            <w:r>
              <w:t>32</w:t>
            </w:r>
          </w:p>
        </w:tc>
        <w:tc>
          <w:tcPr>
            <w:tcW w:w="4535" w:type="dxa"/>
            <w:vAlign w:val="center"/>
          </w:tcPr>
          <w:p w14:paraId="38456381">
            <w:pPr>
              <w:pStyle w:val="15"/>
            </w:pPr>
            <w:r>
              <w:t>本年收入合计</w:t>
            </w:r>
          </w:p>
        </w:tc>
        <w:tc>
          <w:tcPr>
            <w:tcW w:w="2126" w:type="dxa"/>
            <w:vAlign w:val="center"/>
          </w:tcPr>
          <w:p w14:paraId="7CF469B1">
            <w:pPr>
              <w:pStyle w:val="16"/>
            </w:pPr>
            <w:r>
              <w:t>739.19</w:t>
            </w:r>
          </w:p>
        </w:tc>
        <w:tc>
          <w:tcPr>
            <w:tcW w:w="4535" w:type="dxa"/>
            <w:vAlign w:val="center"/>
          </w:tcPr>
          <w:p w14:paraId="6EE56194">
            <w:pPr>
              <w:pStyle w:val="15"/>
            </w:pPr>
            <w:r>
              <w:t>本年支出合计</w:t>
            </w:r>
          </w:p>
        </w:tc>
        <w:tc>
          <w:tcPr>
            <w:tcW w:w="2126" w:type="dxa"/>
            <w:vAlign w:val="center"/>
          </w:tcPr>
          <w:p w14:paraId="36AA9C34">
            <w:pPr>
              <w:pStyle w:val="16"/>
            </w:pPr>
            <w:r>
              <w:t>739.19</w:t>
            </w:r>
          </w:p>
        </w:tc>
      </w:tr>
      <w:tr w14:paraId="7C271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C6A9A">
            <w:pPr>
              <w:pStyle w:val="12"/>
            </w:pPr>
            <w:r>
              <w:t>33</w:t>
            </w:r>
          </w:p>
        </w:tc>
        <w:tc>
          <w:tcPr>
            <w:tcW w:w="4535" w:type="dxa"/>
            <w:vAlign w:val="center"/>
          </w:tcPr>
          <w:p w14:paraId="6808AC2A">
            <w:pPr>
              <w:pStyle w:val="13"/>
            </w:pPr>
            <w:r>
              <w:t>上年结转结余</w:t>
            </w:r>
          </w:p>
        </w:tc>
        <w:tc>
          <w:tcPr>
            <w:tcW w:w="2126" w:type="dxa"/>
            <w:vAlign w:val="center"/>
          </w:tcPr>
          <w:p w14:paraId="21F1841A">
            <w:pPr>
              <w:pStyle w:val="14"/>
            </w:pPr>
          </w:p>
        </w:tc>
        <w:tc>
          <w:tcPr>
            <w:tcW w:w="4535" w:type="dxa"/>
            <w:vAlign w:val="center"/>
          </w:tcPr>
          <w:p w14:paraId="22A4943D">
            <w:pPr>
              <w:pStyle w:val="13"/>
            </w:pPr>
            <w:r>
              <w:t>年终结转结余</w:t>
            </w:r>
          </w:p>
        </w:tc>
        <w:tc>
          <w:tcPr>
            <w:tcW w:w="2126" w:type="dxa"/>
            <w:vAlign w:val="center"/>
          </w:tcPr>
          <w:p w14:paraId="586053E0">
            <w:pPr>
              <w:pStyle w:val="14"/>
            </w:pPr>
          </w:p>
        </w:tc>
      </w:tr>
      <w:tr w14:paraId="370F9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E026B">
            <w:pPr>
              <w:pStyle w:val="12"/>
            </w:pPr>
            <w:r>
              <w:t>34</w:t>
            </w:r>
          </w:p>
        </w:tc>
        <w:tc>
          <w:tcPr>
            <w:tcW w:w="4535" w:type="dxa"/>
            <w:vAlign w:val="center"/>
          </w:tcPr>
          <w:p w14:paraId="2B4686B5">
            <w:pPr>
              <w:pStyle w:val="15"/>
            </w:pPr>
            <w:r>
              <w:t>收入总计</w:t>
            </w:r>
          </w:p>
        </w:tc>
        <w:tc>
          <w:tcPr>
            <w:tcW w:w="2126" w:type="dxa"/>
            <w:vAlign w:val="center"/>
          </w:tcPr>
          <w:p w14:paraId="30B0AE2E">
            <w:pPr>
              <w:pStyle w:val="16"/>
            </w:pPr>
            <w:r>
              <w:t>739.19</w:t>
            </w:r>
          </w:p>
        </w:tc>
        <w:tc>
          <w:tcPr>
            <w:tcW w:w="4535" w:type="dxa"/>
            <w:vAlign w:val="center"/>
          </w:tcPr>
          <w:p w14:paraId="4376EA6C">
            <w:pPr>
              <w:pStyle w:val="15"/>
            </w:pPr>
            <w:r>
              <w:t>支出总计</w:t>
            </w:r>
          </w:p>
        </w:tc>
        <w:tc>
          <w:tcPr>
            <w:tcW w:w="2126" w:type="dxa"/>
            <w:vAlign w:val="center"/>
          </w:tcPr>
          <w:p w14:paraId="6C51F4C5">
            <w:pPr>
              <w:pStyle w:val="16"/>
            </w:pPr>
            <w:r>
              <w:t>739.19</w:t>
            </w:r>
          </w:p>
        </w:tc>
      </w:tr>
    </w:tbl>
    <w:p w14:paraId="4FA8A38E">
      <w:pPr>
        <w:sectPr>
          <w:pgSz w:w="16840" w:h="11900" w:orient="landscape"/>
          <w:pgMar w:top="1361" w:right="1020" w:bottom="1134" w:left="1020" w:header="720" w:footer="720" w:gutter="0"/>
          <w:cols w:space="720" w:num="1"/>
        </w:sectPr>
      </w:pPr>
    </w:p>
    <w:p w14:paraId="3E73E2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C0E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986C8D">
            <w:pPr>
              <w:pStyle w:val="8"/>
            </w:pPr>
            <w:r>
              <w:t>360008隆尧县牛家桥中学</w:t>
            </w:r>
          </w:p>
        </w:tc>
        <w:tc>
          <w:tcPr>
            <w:tcW w:w="3402" w:type="dxa"/>
            <w:gridSpan w:val="3"/>
            <w:tcBorders>
              <w:top w:val="single" w:color="FFFFFF" w:sz="6" w:space="0"/>
              <w:left w:val="single" w:color="FFFFFF" w:sz="6" w:space="0"/>
              <w:right w:val="single" w:color="FFFFFF" w:sz="6" w:space="0"/>
            </w:tcBorders>
            <w:vAlign w:val="center"/>
          </w:tcPr>
          <w:p w14:paraId="1BD16E0A">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35CB101">
            <w:pPr>
              <w:pStyle w:val="10"/>
            </w:pPr>
            <w:r>
              <w:t>单位：万元</w:t>
            </w:r>
          </w:p>
        </w:tc>
      </w:tr>
      <w:tr w14:paraId="27281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BEE3F5">
            <w:pPr>
              <w:pStyle w:val="11"/>
            </w:pPr>
            <w:r>
              <w:t>序号</w:t>
            </w:r>
          </w:p>
        </w:tc>
        <w:tc>
          <w:tcPr>
            <w:tcW w:w="2551" w:type="dxa"/>
            <w:gridSpan w:val="2"/>
            <w:vAlign w:val="center"/>
          </w:tcPr>
          <w:p w14:paraId="24FBFC13">
            <w:pPr>
              <w:pStyle w:val="11"/>
            </w:pPr>
            <w:r>
              <w:t>功能分类科目</w:t>
            </w:r>
          </w:p>
        </w:tc>
        <w:tc>
          <w:tcPr>
            <w:tcW w:w="1134" w:type="dxa"/>
            <w:vMerge w:val="restart"/>
            <w:vAlign w:val="center"/>
          </w:tcPr>
          <w:p w14:paraId="735053EB">
            <w:pPr>
              <w:pStyle w:val="11"/>
            </w:pPr>
            <w:r>
              <w:t>合计</w:t>
            </w:r>
          </w:p>
        </w:tc>
        <w:tc>
          <w:tcPr>
            <w:tcW w:w="9072" w:type="dxa"/>
            <w:gridSpan w:val="8"/>
            <w:vAlign w:val="center"/>
          </w:tcPr>
          <w:p w14:paraId="6AE7351C">
            <w:pPr>
              <w:pStyle w:val="11"/>
            </w:pPr>
            <w:r>
              <w:t>本年收入</w:t>
            </w:r>
          </w:p>
        </w:tc>
        <w:tc>
          <w:tcPr>
            <w:tcW w:w="1134" w:type="dxa"/>
            <w:vMerge w:val="restart"/>
            <w:vAlign w:val="center"/>
          </w:tcPr>
          <w:p w14:paraId="405838E2">
            <w:pPr>
              <w:pStyle w:val="11"/>
            </w:pPr>
            <w:r>
              <w:t>上年结转</w:t>
            </w:r>
          </w:p>
        </w:tc>
      </w:tr>
      <w:tr w14:paraId="43FCE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6E588F"/>
        </w:tc>
        <w:tc>
          <w:tcPr>
            <w:tcW w:w="992" w:type="dxa"/>
            <w:vAlign w:val="center"/>
          </w:tcPr>
          <w:p w14:paraId="10E81A27">
            <w:pPr>
              <w:pStyle w:val="11"/>
            </w:pPr>
            <w:r>
              <w:t>科目    编码</w:t>
            </w:r>
          </w:p>
        </w:tc>
        <w:tc>
          <w:tcPr>
            <w:tcW w:w="1559" w:type="dxa"/>
            <w:vAlign w:val="center"/>
          </w:tcPr>
          <w:p w14:paraId="3DD220AD">
            <w:pPr>
              <w:pStyle w:val="11"/>
            </w:pPr>
            <w:r>
              <w:t>科目名称</w:t>
            </w:r>
          </w:p>
        </w:tc>
        <w:tc>
          <w:tcPr>
            <w:tcW w:w="1134" w:type="dxa"/>
            <w:vMerge w:val="continue"/>
          </w:tcPr>
          <w:p w14:paraId="6BA0599A"/>
        </w:tc>
        <w:tc>
          <w:tcPr>
            <w:tcW w:w="1134" w:type="dxa"/>
            <w:vAlign w:val="center"/>
          </w:tcPr>
          <w:p w14:paraId="2C75DFA0">
            <w:pPr>
              <w:pStyle w:val="11"/>
            </w:pPr>
            <w:r>
              <w:t>小计</w:t>
            </w:r>
          </w:p>
        </w:tc>
        <w:tc>
          <w:tcPr>
            <w:tcW w:w="1134" w:type="dxa"/>
            <w:vAlign w:val="center"/>
          </w:tcPr>
          <w:p w14:paraId="10941FEC">
            <w:pPr>
              <w:pStyle w:val="11"/>
            </w:pPr>
            <w:r>
              <w:t>财政拨款 收入</w:t>
            </w:r>
          </w:p>
        </w:tc>
        <w:tc>
          <w:tcPr>
            <w:tcW w:w="1134" w:type="dxa"/>
            <w:vAlign w:val="center"/>
          </w:tcPr>
          <w:p w14:paraId="5C86CD19">
            <w:pPr>
              <w:pStyle w:val="11"/>
            </w:pPr>
            <w:r>
              <w:t>财政专户 收入</w:t>
            </w:r>
          </w:p>
        </w:tc>
        <w:tc>
          <w:tcPr>
            <w:tcW w:w="1134" w:type="dxa"/>
            <w:vAlign w:val="center"/>
          </w:tcPr>
          <w:p w14:paraId="2E1E668E">
            <w:pPr>
              <w:pStyle w:val="11"/>
            </w:pPr>
            <w:r>
              <w:t>事业收入</w:t>
            </w:r>
          </w:p>
        </w:tc>
        <w:tc>
          <w:tcPr>
            <w:tcW w:w="1134" w:type="dxa"/>
            <w:vAlign w:val="center"/>
          </w:tcPr>
          <w:p w14:paraId="45BC355E">
            <w:pPr>
              <w:pStyle w:val="11"/>
            </w:pPr>
            <w:r>
              <w:t>经营收入</w:t>
            </w:r>
          </w:p>
        </w:tc>
        <w:tc>
          <w:tcPr>
            <w:tcW w:w="1134" w:type="dxa"/>
            <w:vAlign w:val="center"/>
          </w:tcPr>
          <w:p w14:paraId="4C3D09A8">
            <w:pPr>
              <w:pStyle w:val="11"/>
            </w:pPr>
            <w:r>
              <w:t>上级补助收入</w:t>
            </w:r>
          </w:p>
        </w:tc>
        <w:tc>
          <w:tcPr>
            <w:tcW w:w="1134" w:type="dxa"/>
            <w:vAlign w:val="center"/>
          </w:tcPr>
          <w:p w14:paraId="4DF17B70">
            <w:pPr>
              <w:pStyle w:val="11"/>
            </w:pPr>
            <w:r>
              <w:t>附属单位上缴收入</w:t>
            </w:r>
          </w:p>
        </w:tc>
        <w:tc>
          <w:tcPr>
            <w:tcW w:w="1134" w:type="dxa"/>
            <w:vAlign w:val="center"/>
          </w:tcPr>
          <w:p w14:paraId="34C86872">
            <w:pPr>
              <w:pStyle w:val="11"/>
            </w:pPr>
            <w:r>
              <w:t>其他收入</w:t>
            </w:r>
          </w:p>
        </w:tc>
        <w:tc>
          <w:tcPr>
            <w:tcW w:w="1134" w:type="dxa"/>
            <w:vMerge w:val="continue"/>
          </w:tcPr>
          <w:p w14:paraId="74F94C86"/>
        </w:tc>
      </w:tr>
      <w:tr w14:paraId="40B82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5A90CE">
            <w:pPr>
              <w:pStyle w:val="11"/>
            </w:pPr>
            <w:r>
              <w:t>栏次</w:t>
            </w:r>
          </w:p>
        </w:tc>
        <w:tc>
          <w:tcPr>
            <w:tcW w:w="992" w:type="dxa"/>
            <w:vAlign w:val="center"/>
          </w:tcPr>
          <w:p w14:paraId="40E34A3F">
            <w:pPr>
              <w:pStyle w:val="11"/>
            </w:pPr>
            <w:r>
              <w:t>1</w:t>
            </w:r>
          </w:p>
        </w:tc>
        <w:tc>
          <w:tcPr>
            <w:tcW w:w="1559" w:type="dxa"/>
            <w:vAlign w:val="center"/>
          </w:tcPr>
          <w:p w14:paraId="761CEF04">
            <w:pPr>
              <w:pStyle w:val="11"/>
            </w:pPr>
            <w:r>
              <w:t>2</w:t>
            </w:r>
          </w:p>
        </w:tc>
        <w:tc>
          <w:tcPr>
            <w:tcW w:w="1134" w:type="dxa"/>
            <w:vAlign w:val="center"/>
          </w:tcPr>
          <w:p w14:paraId="1A3F1A21">
            <w:pPr>
              <w:pStyle w:val="11"/>
            </w:pPr>
            <w:r>
              <w:t>3</w:t>
            </w:r>
          </w:p>
        </w:tc>
        <w:tc>
          <w:tcPr>
            <w:tcW w:w="1134" w:type="dxa"/>
            <w:vAlign w:val="center"/>
          </w:tcPr>
          <w:p w14:paraId="6B00576D">
            <w:pPr>
              <w:pStyle w:val="11"/>
            </w:pPr>
            <w:r>
              <w:t>4</w:t>
            </w:r>
          </w:p>
        </w:tc>
        <w:tc>
          <w:tcPr>
            <w:tcW w:w="1134" w:type="dxa"/>
            <w:vAlign w:val="center"/>
          </w:tcPr>
          <w:p w14:paraId="37D2A071">
            <w:pPr>
              <w:pStyle w:val="11"/>
            </w:pPr>
            <w:r>
              <w:t>5</w:t>
            </w:r>
          </w:p>
        </w:tc>
        <w:tc>
          <w:tcPr>
            <w:tcW w:w="1134" w:type="dxa"/>
            <w:vAlign w:val="center"/>
          </w:tcPr>
          <w:p w14:paraId="6740318A">
            <w:pPr>
              <w:pStyle w:val="11"/>
            </w:pPr>
            <w:r>
              <w:t>6</w:t>
            </w:r>
          </w:p>
        </w:tc>
        <w:tc>
          <w:tcPr>
            <w:tcW w:w="1134" w:type="dxa"/>
            <w:vAlign w:val="center"/>
          </w:tcPr>
          <w:p w14:paraId="01BE9573">
            <w:pPr>
              <w:pStyle w:val="11"/>
            </w:pPr>
            <w:r>
              <w:t>7</w:t>
            </w:r>
          </w:p>
        </w:tc>
        <w:tc>
          <w:tcPr>
            <w:tcW w:w="1134" w:type="dxa"/>
            <w:vAlign w:val="center"/>
          </w:tcPr>
          <w:p w14:paraId="37C15F3C">
            <w:pPr>
              <w:pStyle w:val="11"/>
            </w:pPr>
            <w:r>
              <w:t>8</w:t>
            </w:r>
          </w:p>
        </w:tc>
        <w:tc>
          <w:tcPr>
            <w:tcW w:w="1134" w:type="dxa"/>
            <w:vAlign w:val="center"/>
          </w:tcPr>
          <w:p w14:paraId="3C44EA1D">
            <w:pPr>
              <w:pStyle w:val="11"/>
            </w:pPr>
            <w:r>
              <w:t>9</w:t>
            </w:r>
          </w:p>
        </w:tc>
        <w:tc>
          <w:tcPr>
            <w:tcW w:w="1134" w:type="dxa"/>
            <w:vAlign w:val="center"/>
          </w:tcPr>
          <w:p w14:paraId="76BA6A74">
            <w:pPr>
              <w:pStyle w:val="11"/>
            </w:pPr>
            <w:r>
              <w:t>10</w:t>
            </w:r>
          </w:p>
        </w:tc>
        <w:tc>
          <w:tcPr>
            <w:tcW w:w="1134" w:type="dxa"/>
            <w:vAlign w:val="center"/>
          </w:tcPr>
          <w:p w14:paraId="3F9805AA">
            <w:pPr>
              <w:pStyle w:val="11"/>
            </w:pPr>
            <w:r>
              <w:t>11</w:t>
            </w:r>
          </w:p>
        </w:tc>
        <w:tc>
          <w:tcPr>
            <w:tcW w:w="1134" w:type="dxa"/>
            <w:vAlign w:val="center"/>
          </w:tcPr>
          <w:p w14:paraId="5090FD9B">
            <w:pPr>
              <w:pStyle w:val="11"/>
            </w:pPr>
            <w:r>
              <w:t>12</w:t>
            </w:r>
          </w:p>
        </w:tc>
      </w:tr>
      <w:tr w14:paraId="74A70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BEE06">
            <w:pPr>
              <w:pStyle w:val="12"/>
            </w:pPr>
            <w:r>
              <w:t>1</w:t>
            </w:r>
          </w:p>
        </w:tc>
        <w:tc>
          <w:tcPr>
            <w:tcW w:w="992" w:type="dxa"/>
            <w:vAlign w:val="center"/>
          </w:tcPr>
          <w:p w14:paraId="6BB237A8">
            <w:pPr>
              <w:pStyle w:val="17"/>
            </w:pPr>
          </w:p>
        </w:tc>
        <w:tc>
          <w:tcPr>
            <w:tcW w:w="1559" w:type="dxa"/>
            <w:vAlign w:val="center"/>
          </w:tcPr>
          <w:p w14:paraId="0BAF0EBF">
            <w:pPr>
              <w:pStyle w:val="15"/>
            </w:pPr>
            <w:r>
              <w:t>合计</w:t>
            </w:r>
          </w:p>
        </w:tc>
        <w:tc>
          <w:tcPr>
            <w:tcW w:w="1134" w:type="dxa"/>
            <w:vAlign w:val="center"/>
          </w:tcPr>
          <w:p w14:paraId="543D629D">
            <w:pPr>
              <w:pStyle w:val="16"/>
            </w:pPr>
            <w:r>
              <w:t>739.19</w:t>
            </w:r>
          </w:p>
        </w:tc>
        <w:tc>
          <w:tcPr>
            <w:tcW w:w="1134" w:type="dxa"/>
            <w:vAlign w:val="center"/>
          </w:tcPr>
          <w:p w14:paraId="5E99B4AB">
            <w:pPr>
              <w:pStyle w:val="16"/>
            </w:pPr>
            <w:r>
              <w:t>739.19</w:t>
            </w:r>
          </w:p>
        </w:tc>
        <w:tc>
          <w:tcPr>
            <w:tcW w:w="1134" w:type="dxa"/>
            <w:vAlign w:val="center"/>
          </w:tcPr>
          <w:p w14:paraId="790BD912">
            <w:pPr>
              <w:pStyle w:val="16"/>
            </w:pPr>
            <w:r>
              <w:t>739.19</w:t>
            </w:r>
          </w:p>
        </w:tc>
        <w:tc>
          <w:tcPr>
            <w:tcW w:w="1134" w:type="dxa"/>
            <w:vAlign w:val="center"/>
          </w:tcPr>
          <w:p w14:paraId="7CDCB1BD">
            <w:pPr>
              <w:pStyle w:val="16"/>
            </w:pPr>
          </w:p>
        </w:tc>
        <w:tc>
          <w:tcPr>
            <w:tcW w:w="1134" w:type="dxa"/>
            <w:vAlign w:val="center"/>
          </w:tcPr>
          <w:p w14:paraId="71C33104">
            <w:pPr>
              <w:pStyle w:val="16"/>
            </w:pPr>
          </w:p>
        </w:tc>
        <w:tc>
          <w:tcPr>
            <w:tcW w:w="1134" w:type="dxa"/>
            <w:vAlign w:val="center"/>
          </w:tcPr>
          <w:p w14:paraId="79BD101C">
            <w:pPr>
              <w:pStyle w:val="16"/>
            </w:pPr>
          </w:p>
        </w:tc>
        <w:tc>
          <w:tcPr>
            <w:tcW w:w="1134" w:type="dxa"/>
            <w:vAlign w:val="center"/>
          </w:tcPr>
          <w:p w14:paraId="16BA3D5C">
            <w:pPr>
              <w:pStyle w:val="16"/>
            </w:pPr>
          </w:p>
        </w:tc>
        <w:tc>
          <w:tcPr>
            <w:tcW w:w="1134" w:type="dxa"/>
            <w:vAlign w:val="center"/>
          </w:tcPr>
          <w:p w14:paraId="5444A78B">
            <w:pPr>
              <w:pStyle w:val="16"/>
            </w:pPr>
          </w:p>
        </w:tc>
        <w:tc>
          <w:tcPr>
            <w:tcW w:w="1134" w:type="dxa"/>
            <w:vAlign w:val="center"/>
          </w:tcPr>
          <w:p w14:paraId="47FB0D28">
            <w:pPr>
              <w:pStyle w:val="16"/>
            </w:pPr>
          </w:p>
        </w:tc>
        <w:tc>
          <w:tcPr>
            <w:tcW w:w="1134" w:type="dxa"/>
            <w:vAlign w:val="center"/>
          </w:tcPr>
          <w:p w14:paraId="5DFAB175">
            <w:pPr>
              <w:pStyle w:val="16"/>
            </w:pPr>
          </w:p>
        </w:tc>
      </w:tr>
      <w:tr w14:paraId="70505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3FAB091D">
            <w:pPr>
              <w:pStyle w:val="12"/>
            </w:pPr>
            <w:r>
              <w:t>2</w:t>
            </w:r>
          </w:p>
        </w:tc>
        <w:tc>
          <w:tcPr>
            <w:tcW w:w="992" w:type="dxa"/>
            <w:vAlign w:val="center"/>
          </w:tcPr>
          <w:p w14:paraId="3C089027">
            <w:pPr>
              <w:pStyle w:val="13"/>
            </w:pPr>
            <w:r>
              <w:t>205</w:t>
            </w:r>
          </w:p>
        </w:tc>
        <w:tc>
          <w:tcPr>
            <w:tcW w:w="1559" w:type="dxa"/>
            <w:vAlign w:val="center"/>
          </w:tcPr>
          <w:p w14:paraId="41026296">
            <w:pPr>
              <w:pStyle w:val="13"/>
            </w:pPr>
            <w:r>
              <w:t>教育支出</w:t>
            </w:r>
          </w:p>
        </w:tc>
        <w:tc>
          <w:tcPr>
            <w:tcW w:w="1134" w:type="dxa"/>
            <w:vAlign w:val="center"/>
          </w:tcPr>
          <w:p w14:paraId="3F29D2B4">
            <w:pPr>
              <w:pStyle w:val="14"/>
            </w:pPr>
            <w:r>
              <w:t>739.19</w:t>
            </w:r>
          </w:p>
        </w:tc>
        <w:tc>
          <w:tcPr>
            <w:tcW w:w="1134" w:type="dxa"/>
            <w:vAlign w:val="center"/>
          </w:tcPr>
          <w:p w14:paraId="54B8C9E3">
            <w:pPr>
              <w:pStyle w:val="14"/>
            </w:pPr>
            <w:r>
              <w:t>739.19</w:t>
            </w:r>
          </w:p>
        </w:tc>
        <w:tc>
          <w:tcPr>
            <w:tcW w:w="1134" w:type="dxa"/>
            <w:vAlign w:val="center"/>
          </w:tcPr>
          <w:p w14:paraId="2B836944">
            <w:pPr>
              <w:pStyle w:val="14"/>
            </w:pPr>
            <w:r>
              <w:t>739.19</w:t>
            </w:r>
          </w:p>
        </w:tc>
        <w:tc>
          <w:tcPr>
            <w:tcW w:w="1134" w:type="dxa"/>
            <w:vAlign w:val="center"/>
          </w:tcPr>
          <w:p w14:paraId="4FB5833A">
            <w:pPr>
              <w:pStyle w:val="14"/>
            </w:pPr>
          </w:p>
        </w:tc>
        <w:tc>
          <w:tcPr>
            <w:tcW w:w="1134" w:type="dxa"/>
            <w:vAlign w:val="center"/>
          </w:tcPr>
          <w:p w14:paraId="4EE1A4AF">
            <w:pPr>
              <w:pStyle w:val="14"/>
            </w:pPr>
          </w:p>
        </w:tc>
        <w:tc>
          <w:tcPr>
            <w:tcW w:w="1134" w:type="dxa"/>
            <w:vAlign w:val="center"/>
          </w:tcPr>
          <w:p w14:paraId="3A6D8102">
            <w:pPr>
              <w:pStyle w:val="14"/>
            </w:pPr>
          </w:p>
        </w:tc>
        <w:tc>
          <w:tcPr>
            <w:tcW w:w="1134" w:type="dxa"/>
            <w:vAlign w:val="center"/>
          </w:tcPr>
          <w:p w14:paraId="6F829D73">
            <w:pPr>
              <w:pStyle w:val="14"/>
            </w:pPr>
          </w:p>
        </w:tc>
        <w:tc>
          <w:tcPr>
            <w:tcW w:w="1134" w:type="dxa"/>
            <w:vAlign w:val="center"/>
          </w:tcPr>
          <w:p w14:paraId="654ED348">
            <w:pPr>
              <w:pStyle w:val="14"/>
            </w:pPr>
          </w:p>
        </w:tc>
        <w:tc>
          <w:tcPr>
            <w:tcW w:w="1134" w:type="dxa"/>
            <w:vAlign w:val="center"/>
          </w:tcPr>
          <w:p w14:paraId="712A52AE">
            <w:pPr>
              <w:pStyle w:val="14"/>
            </w:pPr>
          </w:p>
        </w:tc>
        <w:tc>
          <w:tcPr>
            <w:tcW w:w="1134" w:type="dxa"/>
            <w:vAlign w:val="center"/>
          </w:tcPr>
          <w:p w14:paraId="68D43BFB">
            <w:pPr>
              <w:pStyle w:val="14"/>
            </w:pPr>
          </w:p>
        </w:tc>
      </w:tr>
      <w:tr w14:paraId="16C2F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78A2CE">
            <w:pPr>
              <w:pStyle w:val="12"/>
            </w:pPr>
            <w:r>
              <w:t>3</w:t>
            </w:r>
          </w:p>
        </w:tc>
        <w:tc>
          <w:tcPr>
            <w:tcW w:w="992" w:type="dxa"/>
            <w:vAlign w:val="center"/>
          </w:tcPr>
          <w:p w14:paraId="3886EA98">
            <w:pPr>
              <w:pStyle w:val="13"/>
            </w:pPr>
            <w:r>
              <w:t>20502</w:t>
            </w:r>
          </w:p>
        </w:tc>
        <w:tc>
          <w:tcPr>
            <w:tcW w:w="1559" w:type="dxa"/>
            <w:vAlign w:val="center"/>
          </w:tcPr>
          <w:p w14:paraId="73E7E5C3">
            <w:pPr>
              <w:pStyle w:val="13"/>
            </w:pPr>
            <w:r>
              <w:t>普通教育</w:t>
            </w:r>
          </w:p>
        </w:tc>
        <w:tc>
          <w:tcPr>
            <w:tcW w:w="1134" w:type="dxa"/>
            <w:vAlign w:val="center"/>
          </w:tcPr>
          <w:p w14:paraId="3D4D4B24">
            <w:pPr>
              <w:pStyle w:val="14"/>
            </w:pPr>
            <w:r>
              <w:t>739.19</w:t>
            </w:r>
          </w:p>
        </w:tc>
        <w:tc>
          <w:tcPr>
            <w:tcW w:w="1134" w:type="dxa"/>
            <w:vAlign w:val="center"/>
          </w:tcPr>
          <w:p w14:paraId="148C145C">
            <w:pPr>
              <w:pStyle w:val="14"/>
            </w:pPr>
            <w:r>
              <w:t>739.19</w:t>
            </w:r>
          </w:p>
        </w:tc>
        <w:tc>
          <w:tcPr>
            <w:tcW w:w="1134" w:type="dxa"/>
            <w:vAlign w:val="center"/>
          </w:tcPr>
          <w:p w14:paraId="2292E243">
            <w:pPr>
              <w:pStyle w:val="14"/>
            </w:pPr>
            <w:r>
              <w:t>739.19</w:t>
            </w:r>
          </w:p>
        </w:tc>
        <w:tc>
          <w:tcPr>
            <w:tcW w:w="1134" w:type="dxa"/>
            <w:vAlign w:val="center"/>
          </w:tcPr>
          <w:p w14:paraId="45CD5E3A">
            <w:pPr>
              <w:pStyle w:val="14"/>
            </w:pPr>
          </w:p>
        </w:tc>
        <w:tc>
          <w:tcPr>
            <w:tcW w:w="1134" w:type="dxa"/>
            <w:vAlign w:val="center"/>
          </w:tcPr>
          <w:p w14:paraId="57A5528A">
            <w:pPr>
              <w:pStyle w:val="14"/>
            </w:pPr>
          </w:p>
        </w:tc>
        <w:tc>
          <w:tcPr>
            <w:tcW w:w="1134" w:type="dxa"/>
            <w:vAlign w:val="center"/>
          </w:tcPr>
          <w:p w14:paraId="743C678A">
            <w:pPr>
              <w:pStyle w:val="14"/>
            </w:pPr>
          </w:p>
        </w:tc>
        <w:tc>
          <w:tcPr>
            <w:tcW w:w="1134" w:type="dxa"/>
            <w:vAlign w:val="center"/>
          </w:tcPr>
          <w:p w14:paraId="430F9E24">
            <w:pPr>
              <w:pStyle w:val="14"/>
            </w:pPr>
          </w:p>
        </w:tc>
        <w:tc>
          <w:tcPr>
            <w:tcW w:w="1134" w:type="dxa"/>
            <w:vAlign w:val="center"/>
          </w:tcPr>
          <w:p w14:paraId="431B519E">
            <w:pPr>
              <w:pStyle w:val="14"/>
            </w:pPr>
          </w:p>
        </w:tc>
        <w:tc>
          <w:tcPr>
            <w:tcW w:w="1134" w:type="dxa"/>
            <w:vAlign w:val="center"/>
          </w:tcPr>
          <w:p w14:paraId="4D63E6AD">
            <w:pPr>
              <w:pStyle w:val="14"/>
            </w:pPr>
          </w:p>
        </w:tc>
        <w:tc>
          <w:tcPr>
            <w:tcW w:w="1134" w:type="dxa"/>
            <w:vAlign w:val="center"/>
          </w:tcPr>
          <w:p w14:paraId="153CC724">
            <w:pPr>
              <w:pStyle w:val="14"/>
            </w:pPr>
          </w:p>
        </w:tc>
      </w:tr>
      <w:tr w14:paraId="6271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DBF8F4">
            <w:pPr>
              <w:pStyle w:val="12"/>
            </w:pPr>
            <w:r>
              <w:t>4</w:t>
            </w:r>
          </w:p>
        </w:tc>
        <w:tc>
          <w:tcPr>
            <w:tcW w:w="992" w:type="dxa"/>
            <w:vAlign w:val="center"/>
          </w:tcPr>
          <w:p w14:paraId="775C6AC5">
            <w:pPr>
              <w:pStyle w:val="13"/>
            </w:pPr>
            <w:r>
              <w:t>2050203</w:t>
            </w:r>
          </w:p>
        </w:tc>
        <w:tc>
          <w:tcPr>
            <w:tcW w:w="1559" w:type="dxa"/>
            <w:vAlign w:val="center"/>
          </w:tcPr>
          <w:p w14:paraId="5082F5AC">
            <w:pPr>
              <w:pStyle w:val="13"/>
            </w:pPr>
            <w:r>
              <w:t>初中教育</w:t>
            </w:r>
          </w:p>
        </w:tc>
        <w:tc>
          <w:tcPr>
            <w:tcW w:w="1134" w:type="dxa"/>
            <w:vAlign w:val="center"/>
          </w:tcPr>
          <w:p w14:paraId="366515FE">
            <w:pPr>
              <w:pStyle w:val="14"/>
            </w:pPr>
            <w:r>
              <w:t>739.19</w:t>
            </w:r>
          </w:p>
        </w:tc>
        <w:tc>
          <w:tcPr>
            <w:tcW w:w="1134" w:type="dxa"/>
            <w:vAlign w:val="center"/>
          </w:tcPr>
          <w:p w14:paraId="25708D06">
            <w:pPr>
              <w:pStyle w:val="14"/>
            </w:pPr>
            <w:r>
              <w:t>739.19</w:t>
            </w:r>
          </w:p>
        </w:tc>
        <w:tc>
          <w:tcPr>
            <w:tcW w:w="1134" w:type="dxa"/>
            <w:vAlign w:val="center"/>
          </w:tcPr>
          <w:p w14:paraId="1431240C">
            <w:pPr>
              <w:pStyle w:val="14"/>
            </w:pPr>
            <w:r>
              <w:t>739.19</w:t>
            </w:r>
          </w:p>
        </w:tc>
        <w:tc>
          <w:tcPr>
            <w:tcW w:w="1134" w:type="dxa"/>
            <w:vAlign w:val="center"/>
          </w:tcPr>
          <w:p w14:paraId="6DE66C36">
            <w:pPr>
              <w:pStyle w:val="14"/>
            </w:pPr>
          </w:p>
        </w:tc>
        <w:tc>
          <w:tcPr>
            <w:tcW w:w="1134" w:type="dxa"/>
            <w:vAlign w:val="center"/>
          </w:tcPr>
          <w:p w14:paraId="28253634">
            <w:pPr>
              <w:pStyle w:val="14"/>
            </w:pPr>
          </w:p>
        </w:tc>
        <w:tc>
          <w:tcPr>
            <w:tcW w:w="1134" w:type="dxa"/>
            <w:vAlign w:val="center"/>
          </w:tcPr>
          <w:p w14:paraId="570136D7">
            <w:pPr>
              <w:pStyle w:val="14"/>
            </w:pPr>
          </w:p>
        </w:tc>
        <w:tc>
          <w:tcPr>
            <w:tcW w:w="1134" w:type="dxa"/>
            <w:vAlign w:val="center"/>
          </w:tcPr>
          <w:p w14:paraId="08D28817">
            <w:pPr>
              <w:pStyle w:val="14"/>
            </w:pPr>
          </w:p>
        </w:tc>
        <w:tc>
          <w:tcPr>
            <w:tcW w:w="1134" w:type="dxa"/>
            <w:vAlign w:val="center"/>
          </w:tcPr>
          <w:p w14:paraId="14258E3E">
            <w:pPr>
              <w:pStyle w:val="14"/>
            </w:pPr>
          </w:p>
        </w:tc>
        <w:tc>
          <w:tcPr>
            <w:tcW w:w="1134" w:type="dxa"/>
            <w:vAlign w:val="center"/>
          </w:tcPr>
          <w:p w14:paraId="745C5783">
            <w:pPr>
              <w:pStyle w:val="14"/>
            </w:pPr>
          </w:p>
        </w:tc>
        <w:tc>
          <w:tcPr>
            <w:tcW w:w="1134" w:type="dxa"/>
            <w:vAlign w:val="center"/>
          </w:tcPr>
          <w:p w14:paraId="2B931976">
            <w:pPr>
              <w:pStyle w:val="14"/>
            </w:pPr>
          </w:p>
        </w:tc>
      </w:tr>
    </w:tbl>
    <w:p w14:paraId="4452E1A8">
      <w:pPr>
        <w:sectPr>
          <w:pgSz w:w="16840" w:h="11900" w:orient="landscape"/>
          <w:pgMar w:top="1361" w:right="1020" w:bottom="1134" w:left="1020" w:header="720" w:footer="720" w:gutter="0"/>
          <w:cols w:space="720" w:num="1"/>
        </w:sectPr>
      </w:pPr>
    </w:p>
    <w:p w14:paraId="1C5BB5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AE01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C0C0EF">
            <w:pPr>
              <w:pStyle w:val="8"/>
            </w:pPr>
            <w:r>
              <w:t>360008隆尧县牛家桥中学</w:t>
            </w:r>
          </w:p>
        </w:tc>
        <w:tc>
          <w:tcPr>
            <w:tcW w:w="2722" w:type="dxa"/>
            <w:gridSpan w:val="2"/>
            <w:tcBorders>
              <w:top w:val="single" w:color="FFFFFF" w:sz="6" w:space="0"/>
              <w:left w:val="single" w:color="FFFFFF" w:sz="6" w:space="0"/>
              <w:right w:val="single" w:color="FFFFFF" w:sz="6" w:space="0"/>
            </w:tcBorders>
            <w:vAlign w:val="center"/>
          </w:tcPr>
          <w:p w14:paraId="462EDF7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2438231">
            <w:pPr>
              <w:pStyle w:val="10"/>
            </w:pPr>
            <w:r>
              <w:t>单位：万元</w:t>
            </w:r>
          </w:p>
        </w:tc>
      </w:tr>
      <w:tr w14:paraId="43139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B71AAB">
            <w:pPr>
              <w:pStyle w:val="11"/>
            </w:pPr>
            <w:r>
              <w:t>序号</w:t>
            </w:r>
          </w:p>
        </w:tc>
        <w:tc>
          <w:tcPr>
            <w:tcW w:w="5527" w:type="dxa"/>
            <w:gridSpan w:val="2"/>
            <w:vAlign w:val="center"/>
          </w:tcPr>
          <w:p w14:paraId="537AA417">
            <w:pPr>
              <w:pStyle w:val="11"/>
            </w:pPr>
            <w:r>
              <w:t>功能分类科目</w:t>
            </w:r>
          </w:p>
        </w:tc>
        <w:tc>
          <w:tcPr>
            <w:tcW w:w="1361" w:type="dxa"/>
            <w:vMerge w:val="restart"/>
            <w:vAlign w:val="center"/>
          </w:tcPr>
          <w:p w14:paraId="3544EF32">
            <w:pPr>
              <w:pStyle w:val="11"/>
            </w:pPr>
            <w:r>
              <w:t>合计</w:t>
            </w:r>
          </w:p>
        </w:tc>
        <w:tc>
          <w:tcPr>
            <w:tcW w:w="1361" w:type="dxa"/>
            <w:vMerge w:val="restart"/>
            <w:vAlign w:val="center"/>
          </w:tcPr>
          <w:p w14:paraId="630197E8">
            <w:pPr>
              <w:pStyle w:val="11"/>
            </w:pPr>
            <w:r>
              <w:t>基本支出</w:t>
            </w:r>
          </w:p>
        </w:tc>
        <w:tc>
          <w:tcPr>
            <w:tcW w:w="1361" w:type="dxa"/>
            <w:vMerge w:val="restart"/>
            <w:vAlign w:val="center"/>
          </w:tcPr>
          <w:p w14:paraId="4FF6A16A">
            <w:pPr>
              <w:pStyle w:val="11"/>
            </w:pPr>
            <w:r>
              <w:t>项目支出</w:t>
            </w:r>
          </w:p>
        </w:tc>
        <w:tc>
          <w:tcPr>
            <w:tcW w:w="1361" w:type="dxa"/>
            <w:vMerge w:val="restart"/>
            <w:vAlign w:val="center"/>
          </w:tcPr>
          <w:p w14:paraId="3B6C9A9E">
            <w:pPr>
              <w:pStyle w:val="11"/>
            </w:pPr>
            <w:r>
              <w:t>经营支出</w:t>
            </w:r>
          </w:p>
        </w:tc>
        <w:tc>
          <w:tcPr>
            <w:tcW w:w="1361" w:type="dxa"/>
            <w:vMerge w:val="restart"/>
            <w:vAlign w:val="center"/>
          </w:tcPr>
          <w:p w14:paraId="253A2D5D">
            <w:pPr>
              <w:pStyle w:val="11"/>
            </w:pPr>
            <w:r>
              <w:t>上解上级     支出</w:t>
            </w:r>
          </w:p>
        </w:tc>
        <w:tc>
          <w:tcPr>
            <w:tcW w:w="1361" w:type="dxa"/>
            <w:vMerge w:val="restart"/>
            <w:vAlign w:val="center"/>
          </w:tcPr>
          <w:p w14:paraId="762D1C24">
            <w:pPr>
              <w:pStyle w:val="11"/>
            </w:pPr>
            <w:r>
              <w:t>对附属单位补助支出</w:t>
            </w:r>
          </w:p>
        </w:tc>
      </w:tr>
      <w:tr w14:paraId="6C05B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30AEC3"/>
        </w:tc>
        <w:tc>
          <w:tcPr>
            <w:tcW w:w="992" w:type="dxa"/>
            <w:vAlign w:val="center"/>
          </w:tcPr>
          <w:p w14:paraId="2013678F">
            <w:pPr>
              <w:pStyle w:val="11"/>
            </w:pPr>
            <w:r>
              <w:t>科目    编码</w:t>
            </w:r>
          </w:p>
        </w:tc>
        <w:tc>
          <w:tcPr>
            <w:tcW w:w="4535" w:type="dxa"/>
            <w:vAlign w:val="center"/>
          </w:tcPr>
          <w:p w14:paraId="22CA4E1E">
            <w:pPr>
              <w:pStyle w:val="11"/>
            </w:pPr>
            <w:r>
              <w:t>科目名称</w:t>
            </w:r>
          </w:p>
        </w:tc>
        <w:tc>
          <w:tcPr>
            <w:tcW w:w="1361" w:type="dxa"/>
            <w:vMerge w:val="continue"/>
          </w:tcPr>
          <w:p w14:paraId="68A382E8"/>
        </w:tc>
        <w:tc>
          <w:tcPr>
            <w:tcW w:w="1361" w:type="dxa"/>
            <w:vMerge w:val="continue"/>
          </w:tcPr>
          <w:p w14:paraId="508124FE"/>
        </w:tc>
        <w:tc>
          <w:tcPr>
            <w:tcW w:w="1361" w:type="dxa"/>
            <w:vMerge w:val="continue"/>
          </w:tcPr>
          <w:p w14:paraId="363A9DC3"/>
        </w:tc>
        <w:tc>
          <w:tcPr>
            <w:tcW w:w="1361" w:type="dxa"/>
            <w:vMerge w:val="continue"/>
          </w:tcPr>
          <w:p w14:paraId="7179E7A4"/>
        </w:tc>
        <w:tc>
          <w:tcPr>
            <w:tcW w:w="1361" w:type="dxa"/>
            <w:vMerge w:val="continue"/>
          </w:tcPr>
          <w:p w14:paraId="0F8DA9E6"/>
        </w:tc>
        <w:tc>
          <w:tcPr>
            <w:tcW w:w="1361" w:type="dxa"/>
            <w:vMerge w:val="continue"/>
          </w:tcPr>
          <w:p w14:paraId="138253AB"/>
        </w:tc>
      </w:tr>
      <w:tr w14:paraId="65410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BCB2FD">
            <w:pPr>
              <w:pStyle w:val="11"/>
            </w:pPr>
            <w:r>
              <w:t>栏次</w:t>
            </w:r>
          </w:p>
        </w:tc>
        <w:tc>
          <w:tcPr>
            <w:tcW w:w="992" w:type="dxa"/>
            <w:vAlign w:val="center"/>
          </w:tcPr>
          <w:p w14:paraId="5A71186D">
            <w:pPr>
              <w:pStyle w:val="11"/>
            </w:pPr>
            <w:r>
              <w:t>1</w:t>
            </w:r>
          </w:p>
        </w:tc>
        <w:tc>
          <w:tcPr>
            <w:tcW w:w="4535" w:type="dxa"/>
            <w:vAlign w:val="center"/>
          </w:tcPr>
          <w:p w14:paraId="4B5AD606">
            <w:pPr>
              <w:pStyle w:val="11"/>
            </w:pPr>
            <w:r>
              <w:t>2</w:t>
            </w:r>
          </w:p>
        </w:tc>
        <w:tc>
          <w:tcPr>
            <w:tcW w:w="1361" w:type="dxa"/>
            <w:vAlign w:val="center"/>
          </w:tcPr>
          <w:p w14:paraId="7FF22B7B">
            <w:pPr>
              <w:pStyle w:val="11"/>
            </w:pPr>
            <w:r>
              <w:t>3</w:t>
            </w:r>
          </w:p>
        </w:tc>
        <w:tc>
          <w:tcPr>
            <w:tcW w:w="1361" w:type="dxa"/>
            <w:vAlign w:val="center"/>
          </w:tcPr>
          <w:p w14:paraId="3D66C0FA">
            <w:pPr>
              <w:pStyle w:val="11"/>
            </w:pPr>
            <w:r>
              <w:t>4</w:t>
            </w:r>
          </w:p>
        </w:tc>
        <w:tc>
          <w:tcPr>
            <w:tcW w:w="1361" w:type="dxa"/>
            <w:vAlign w:val="center"/>
          </w:tcPr>
          <w:p w14:paraId="74B02C04">
            <w:pPr>
              <w:pStyle w:val="11"/>
            </w:pPr>
            <w:r>
              <w:t>5</w:t>
            </w:r>
          </w:p>
        </w:tc>
        <w:tc>
          <w:tcPr>
            <w:tcW w:w="1361" w:type="dxa"/>
            <w:vAlign w:val="center"/>
          </w:tcPr>
          <w:p w14:paraId="6BE30E7E">
            <w:pPr>
              <w:pStyle w:val="11"/>
            </w:pPr>
            <w:r>
              <w:t>6</w:t>
            </w:r>
          </w:p>
        </w:tc>
        <w:tc>
          <w:tcPr>
            <w:tcW w:w="1361" w:type="dxa"/>
            <w:vAlign w:val="center"/>
          </w:tcPr>
          <w:p w14:paraId="4F423A6A">
            <w:pPr>
              <w:pStyle w:val="11"/>
            </w:pPr>
            <w:r>
              <w:t>7</w:t>
            </w:r>
          </w:p>
        </w:tc>
        <w:tc>
          <w:tcPr>
            <w:tcW w:w="1361" w:type="dxa"/>
            <w:vAlign w:val="center"/>
          </w:tcPr>
          <w:p w14:paraId="2A62DF35">
            <w:pPr>
              <w:pStyle w:val="11"/>
            </w:pPr>
            <w:r>
              <w:t>8</w:t>
            </w:r>
          </w:p>
        </w:tc>
      </w:tr>
      <w:tr w14:paraId="5D83D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ACAE3">
            <w:pPr>
              <w:pStyle w:val="12"/>
            </w:pPr>
            <w:r>
              <w:t>1</w:t>
            </w:r>
          </w:p>
        </w:tc>
        <w:tc>
          <w:tcPr>
            <w:tcW w:w="992" w:type="dxa"/>
            <w:vAlign w:val="center"/>
          </w:tcPr>
          <w:p w14:paraId="6677C407">
            <w:pPr>
              <w:pStyle w:val="17"/>
            </w:pPr>
          </w:p>
        </w:tc>
        <w:tc>
          <w:tcPr>
            <w:tcW w:w="4535" w:type="dxa"/>
            <w:vAlign w:val="center"/>
          </w:tcPr>
          <w:p w14:paraId="798778B4">
            <w:pPr>
              <w:pStyle w:val="15"/>
            </w:pPr>
            <w:r>
              <w:t>合计</w:t>
            </w:r>
          </w:p>
        </w:tc>
        <w:tc>
          <w:tcPr>
            <w:tcW w:w="1361" w:type="dxa"/>
            <w:vAlign w:val="center"/>
          </w:tcPr>
          <w:p w14:paraId="6EA96E79">
            <w:pPr>
              <w:pStyle w:val="16"/>
            </w:pPr>
            <w:r>
              <w:t>739.19</w:t>
            </w:r>
          </w:p>
        </w:tc>
        <w:tc>
          <w:tcPr>
            <w:tcW w:w="1361" w:type="dxa"/>
            <w:vAlign w:val="center"/>
          </w:tcPr>
          <w:p w14:paraId="5202497F">
            <w:pPr>
              <w:pStyle w:val="16"/>
            </w:pPr>
            <w:r>
              <w:t>620.24</w:t>
            </w:r>
          </w:p>
        </w:tc>
        <w:tc>
          <w:tcPr>
            <w:tcW w:w="1361" w:type="dxa"/>
            <w:vAlign w:val="center"/>
          </w:tcPr>
          <w:p w14:paraId="3ABE0FE1">
            <w:pPr>
              <w:pStyle w:val="16"/>
            </w:pPr>
            <w:r>
              <w:t>118.95</w:t>
            </w:r>
          </w:p>
        </w:tc>
        <w:tc>
          <w:tcPr>
            <w:tcW w:w="1361" w:type="dxa"/>
            <w:vAlign w:val="center"/>
          </w:tcPr>
          <w:p w14:paraId="34BB78BD">
            <w:pPr>
              <w:pStyle w:val="16"/>
            </w:pPr>
          </w:p>
        </w:tc>
        <w:tc>
          <w:tcPr>
            <w:tcW w:w="1361" w:type="dxa"/>
            <w:vAlign w:val="center"/>
          </w:tcPr>
          <w:p w14:paraId="4027DF96">
            <w:pPr>
              <w:pStyle w:val="16"/>
            </w:pPr>
          </w:p>
        </w:tc>
        <w:tc>
          <w:tcPr>
            <w:tcW w:w="1361" w:type="dxa"/>
            <w:vAlign w:val="center"/>
          </w:tcPr>
          <w:p w14:paraId="04CD4981">
            <w:pPr>
              <w:pStyle w:val="16"/>
            </w:pPr>
          </w:p>
        </w:tc>
      </w:tr>
      <w:tr w14:paraId="78A35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6C914">
            <w:pPr>
              <w:pStyle w:val="12"/>
            </w:pPr>
            <w:r>
              <w:t>2</w:t>
            </w:r>
          </w:p>
        </w:tc>
        <w:tc>
          <w:tcPr>
            <w:tcW w:w="992" w:type="dxa"/>
            <w:vAlign w:val="center"/>
          </w:tcPr>
          <w:p w14:paraId="0B508342">
            <w:pPr>
              <w:pStyle w:val="13"/>
            </w:pPr>
            <w:r>
              <w:t>205</w:t>
            </w:r>
          </w:p>
        </w:tc>
        <w:tc>
          <w:tcPr>
            <w:tcW w:w="4535" w:type="dxa"/>
            <w:vAlign w:val="center"/>
          </w:tcPr>
          <w:p w14:paraId="269E9F20">
            <w:pPr>
              <w:pStyle w:val="13"/>
            </w:pPr>
            <w:r>
              <w:t>教育支出</w:t>
            </w:r>
          </w:p>
        </w:tc>
        <w:tc>
          <w:tcPr>
            <w:tcW w:w="1361" w:type="dxa"/>
            <w:vAlign w:val="center"/>
          </w:tcPr>
          <w:p w14:paraId="2E7F99E6">
            <w:pPr>
              <w:pStyle w:val="14"/>
            </w:pPr>
            <w:r>
              <w:t>739.19</w:t>
            </w:r>
          </w:p>
        </w:tc>
        <w:tc>
          <w:tcPr>
            <w:tcW w:w="1361" w:type="dxa"/>
            <w:vAlign w:val="center"/>
          </w:tcPr>
          <w:p w14:paraId="4773DC30">
            <w:pPr>
              <w:pStyle w:val="14"/>
            </w:pPr>
            <w:r>
              <w:t>620.24</w:t>
            </w:r>
          </w:p>
        </w:tc>
        <w:tc>
          <w:tcPr>
            <w:tcW w:w="1361" w:type="dxa"/>
            <w:vAlign w:val="center"/>
          </w:tcPr>
          <w:p w14:paraId="38E2C540">
            <w:pPr>
              <w:pStyle w:val="14"/>
            </w:pPr>
            <w:r>
              <w:t>118.95</w:t>
            </w:r>
          </w:p>
        </w:tc>
        <w:tc>
          <w:tcPr>
            <w:tcW w:w="1361" w:type="dxa"/>
            <w:vAlign w:val="center"/>
          </w:tcPr>
          <w:p w14:paraId="0DF2E424">
            <w:pPr>
              <w:pStyle w:val="14"/>
            </w:pPr>
          </w:p>
        </w:tc>
        <w:tc>
          <w:tcPr>
            <w:tcW w:w="1361" w:type="dxa"/>
            <w:vAlign w:val="center"/>
          </w:tcPr>
          <w:p w14:paraId="17B34395">
            <w:pPr>
              <w:pStyle w:val="14"/>
            </w:pPr>
          </w:p>
        </w:tc>
        <w:tc>
          <w:tcPr>
            <w:tcW w:w="1361" w:type="dxa"/>
            <w:vAlign w:val="center"/>
          </w:tcPr>
          <w:p w14:paraId="1E47783D">
            <w:pPr>
              <w:pStyle w:val="14"/>
            </w:pPr>
          </w:p>
        </w:tc>
      </w:tr>
      <w:tr w14:paraId="5A2D2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038B4">
            <w:pPr>
              <w:pStyle w:val="12"/>
            </w:pPr>
            <w:r>
              <w:t>3</w:t>
            </w:r>
          </w:p>
        </w:tc>
        <w:tc>
          <w:tcPr>
            <w:tcW w:w="992" w:type="dxa"/>
            <w:vAlign w:val="center"/>
          </w:tcPr>
          <w:p w14:paraId="7D931C2E">
            <w:pPr>
              <w:pStyle w:val="13"/>
            </w:pPr>
            <w:r>
              <w:t>20502</w:t>
            </w:r>
          </w:p>
        </w:tc>
        <w:tc>
          <w:tcPr>
            <w:tcW w:w="4535" w:type="dxa"/>
            <w:vAlign w:val="center"/>
          </w:tcPr>
          <w:p w14:paraId="6BDC3B1C">
            <w:pPr>
              <w:pStyle w:val="13"/>
            </w:pPr>
            <w:r>
              <w:t>普通教育</w:t>
            </w:r>
          </w:p>
        </w:tc>
        <w:tc>
          <w:tcPr>
            <w:tcW w:w="1361" w:type="dxa"/>
            <w:vAlign w:val="center"/>
          </w:tcPr>
          <w:p w14:paraId="62173379">
            <w:pPr>
              <w:pStyle w:val="14"/>
            </w:pPr>
            <w:r>
              <w:t>739.19</w:t>
            </w:r>
          </w:p>
        </w:tc>
        <w:tc>
          <w:tcPr>
            <w:tcW w:w="1361" w:type="dxa"/>
            <w:vAlign w:val="center"/>
          </w:tcPr>
          <w:p w14:paraId="39FAC524">
            <w:pPr>
              <w:pStyle w:val="14"/>
            </w:pPr>
            <w:r>
              <w:t>620.24</w:t>
            </w:r>
          </w:p>
        </w:tc>
        <w:tc>
          <w:tcPr>
            <w:tcW w:w="1361" w:type="dxa"/>
            <w:vAlign w:val="center"/>
          </w:tcPr>
          <w:p w14:paraId="40583357">
            <w:pPr>
              <w:pStyle w:val="14"/>
            </w:pPr>
            <w:r>
              <w:t>118.95</w:t>
            </w:r>
          </w:p>
        </w:tc>
        <w:tc>
          <w:tcPr>
            <w:tcW w:w="1361" w:type="dxa"/>
            <w:vAlign w:val="center"/>
          </w:tcPr>
          <w:p w14:paraId="3AB6A7AE">
            <w:pPr>
              <w:pStyle w:val="14"/>
            </w:pPr>
          </w:p>
        </w:tc>
        <w:tc>
          <w:tcPr>
            <w:tcW w:w="1361" w:type="dxa"/>
            <w:vAlign w:val="center"/>
          </w:tcPr>
          <w:p w14:paraId="57C84424">
            <w:pPr>
              <w:pStyle w:val="14"/>
            </w:pPr>
          </w:p>
        </w:tc>
        <w:tc>
          <w:tcPr>
            <w:tcW w:w="1361" w:type="dxa"/>
            <w:vAlign w:val="center"/>
          </w:tcPr>
          <w:p w14:paraId="08EAAE82">
            <w:pPr>
              <w:pStyle w:val="14"/>
            </w:pPr>
          </w:p>
        </w:tc>
      </w:tr>
      <w:tr w14:paraId="7FC5D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1FDB6">
            <w:pPr>
              <w:pStyle w:val="12"/>
            </w:pPr>
            <w:r>
              <w:t>4</w:t>
            </w:r>
          </w:p>
        </w:tc>
        <w:tc>
          <w:tcPr>
            <w:tcW w:w="992" w:type="dxa"/>
            <w:vAlign w:val="center"/>
          </w:tcPr>
          <w:p w14:paraId="332938A3">
            <w:pPr>
              <w:pStyle w:val="13"/>
            </w:pPr>
            <w:r>
              <w:t>2050203</w:t>
            </w:r>
          </w:p>
        </w:tc>
        <w:tc>
          <w:tcPr>
            <w:tcW w:w="4535" w:type="dxa"/>
            <w:vAlign w:val="center"/>
          </w:tcPr>
          <w:p w14:paraId="2A3D4E79">
            <w:pPr>
              <w:pStyle w:val="13"/>
            </w:pPr>
            <w:r>
              <w:t>初中教育</w:t>
            </w:r>
          </w:p>
        </w:tc>
        <w:tc>
          <w:tcPr>
            <w:tcW w:w="1361" w:type="dxa"/>
            <w:vAlign w:val="center"/>
          </w:tcPr>
          <w:p w14:paraId="69F5EC35">
            <w:pPr>
              <w:pStyle w:val="14"/>
            </w:pPr>
            <w:r>
              <w:t>739.19</w:t>
            </w:r>
          </w:p>
        </w:tc>
        <w:tc>
          <w:tcPr>
            <w:tcW w:w="1361" w:type="dxa"/>
            <w:vAlign w:val="center"/>
          </w:tcPr>
          <w:p w14:paraId="20BA67F4">
            <w:pPr>
              <w:pStyle w:val="14"/>
            </w:pPr>
            <w:r>
              <w:t>620.24</w:t>
            </w:r>
          </w:p>
        </w:tc>
        <w:tc>
          <w:tcPr>
            <w:tcW w:w="1361" w:type="dxa"/>
            <w:vAlign w:val="center"/>
          </w:tcPr>
          <w:p w14:paraId="79973E29">
            <w:pPr>
              <w:pStyle w:val="14"/>
            </w:pPr>
            <w:r>
              <w:t>118.95</w:t>
            </w:r>
          </w:p>
        </w:tc>
        <w:tc>
          <w:tcPr>
            <w:tcW w:w="1361" w:type="dxa"/>
            <w:vAlign w:val="center"/>
          </w:tcPr>
          <w:p w14:paraId="05D60D0E">
            <w:pPr>
              <w:pStyle w:val="14"/>
            </w:pPr>
          </w:p>
        </w:tc>
        <w:tc>
          <w:tcPr>
            <w:tcW w:w="1361" w:type="dxa"/>
            <w:vAlign w:val="center"/>
          </w:tcPr>
          <w:p w14:paraId="1C18F98D">
            <w:pPr>
              <w:pStyle w:val="14"/>
            </w:pPr>
          </w:p>
        </w:tc>
        <w:tc>
          <w:tcPr>
            <w:tcW w:w="1361" w:type="dxa"/>
            <w:vAlign w:val="center"/>
          </w:tcPr>
          <w:p w14:paraId="7EB107EC">
            <w:pPr>
              <w:pStyle w:val="14"/>
            </w:pPr>
          </w:p>
        </w:tc>
      </w:tr>
    </w:tbl>
    <w:p w14:paraId="121C518F">
      <w:pPr>
        <w:sectPr>
          <w:pgSz w:w="16840" w:h="11900" w:orient="landscape"/>
          <w:pgMar w:top="1361" w:right="1020" w:bottom="1134" w:left="1020" w:header="720" w:footer="720" w:gutter="0"/>
          <w:cols w:space="720" w:num="1"/>
        </w:sectPr>
      </w:pPr>
    </w:p>
    <w:p w14:paraId="50F7F6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443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F01263">
            <w:pPr>
              <w:pStyle w:val="8"/>
            </w:pPr>
            <w:r>
              <w:t>360008隆尧县牛家桥中学</w:t>
            </w:r>
          </w:p>
        </w:tc>
        <w:tc>
          <w:tcPr>
            <w:tcW w:w="3402" w:type="dxa"/>
            <w:tcBorders>
              <w:top w:val="single" w:color="FFFFFF" w:sz="6" w:space="0"/>
              <w:left w:val="single" w:color="FFFFFF" w:sz="6" w:space="0"/>
              <w:right w:val="single" w:color="FFFFFF" w:sz="6" w:space="0"/>
            </w:tcBorders>
            <w:vAlign w:val="center"/>
          </w:tcPr>
          <w:p w14:paraId="66B9E421">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079D9EE">
            <w:pPr>
              <w:pStyle w:val="10"/>
            </w:pPr>
            <w:r>
              <w:t>单位：万元</w:t>
            </w:r>
          </w:p>
        </w:tc>
      </w:tr>
      <w:tr w14:paraId="7E82A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3B246">
            <w:pPr>
              <w:pStyle w:val="11"/>
            </w:pPr>
            <w:r>
              <w:t>序号</w:t>
            </w:r>
          </w:p>
        </w:tc>
        <w:tc>
          <w:tcPr>
            <w:tcW w:w="4876" w:type="dxa"/>
            <w:gridSpan w:val="2"/>
            <w:vAlign w:val="center"/>
          </w:tcPr>
          <w:p w14:paraId="583D08FF">
            <w:pPr>
              <w:pStyle w:val="11"/>
            </w:pPr>
            <w:r>
              <w:t>收入</w:t>
            </w:r>
          </w:p>
        </w:tc>
        <w:tc>
          <w:tcPr>
            <w:tcW w:w="9298" w:type="dxa"/>
            <w:gridSpan w:val="5"/>
            <w:vAlign w:val="center"/>
          </w:tcPr>
          <w:p w14:paraId="672AC0D8">
            <w:pPr>
              <w:pStyle w:val="11"/>
            </w:pPr>
            <w:r>
              <w:t>支出</w:t>
            </w:r>
          </w:p>
        </w:tc>
      </w:tr>
      <w:tr w14:paraId="754C7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77763A"/>
        </w:tc>
        <w:tc>
          <w:tcPr>
            <w:tcW w:w="3402" w:type="dxa"/>
            <w:vAlign w:val="center"/>
          </w:tcPr>
          <w:p w14:paraId="370969E9">
            <w:pPr>
              <w:pStyle w:val="11"/>
            </w:pPr>
            <w:r>
              <w:t>项  目</w:t>
            </w:r>
          </w:p>
        </w:tc>
        <w:tc>
          <w:tcPr>
            <w:tcW w:w="1474" w:type="dxa"/>
            <w:vAlign w:val="center"/>
          </w:tcPr>
          <w:p w14:paraId="38B50613">
            <w:pPr>
              <w:pStyle w:val="11"/>
            </w:pPr>
            <w:r>
              <w:t>金额</w:t>
            </w:r>
          </w:p>
        </w:tc>
        <w:tc>
          <w:tcPr>
            <w:tcW w:w="3402" w:type="dxa"/>
            <w:vAlign w:val="center"/>
          </w:tcPr>
          <w:p w14:paraId="472FF5E0">
            <w:pPr>
              <w:pStyle w:val="11"/>
            </w:pPr>
            <w:r>
              <w:t>项  目</w:t>
            </w:r>
          </w:p>
        </w:tc>
        <w:tc>
          <w:tcPr>
            <w:tcW w:w="1474" w:type="dxa"/>
            <w:vAlign w:val="center"/>
          </w:tcPr>
          <w:p w14:paraId="3F688435">
            <w:pPr>
              <w:pStyle w:val="11"/>
            </w:pPr>
            <w:r>
              <w:t>合计</w:t>
            </w:r>
          </w:p>
        </w:tc>
        <w:tc>
          <w:tcPr>
            <w:tcW w:w="1474" w:type="dxa"/>
            <w:vAlign w:val="center"/>
          </w:tcPr>
          <w:p w14:paraId="6C4EF6F5">
            <w:pPr>
              <w:pStyle w:val="11"/>
            </w:pPr>
            <w:r>
              <w:t>一般公共预算财政拨款</w:t>
            </w:r>
          </w:p>
        </w:tc>
        <w:tc>
          <w:tcPr>
            <w:tcW w:w="1474" w:type="dxa"/>
            <w:vAlign w:val="center"/>
          </w:tcPr>
          <w:p w14:paraId="2A42C576">
            <w:pPr>
              <w:pStyle w:val="11"/>
            </w:pPr>
            <w:r>
              <w:t>政府性基金预算财政    拨款</w:t>
            </w:r>
          </w:p>
        </w:tc>
        <w:tc>
          <w:tcPr>
            <w:tcW w:w="1474" w:type="dxa"/>
            <w:vAlign w:val="center"/>
          </w:tcPr>
          <w:p w14:paraId="3B4A4B2C">
            <w:pPr>
              <w:pStyle w:val="11"/>
            </w:pPr>
            <w:r>
              <w:t>国有资本经营预算财政拨款</w:t>
            </w:r>
          </w:p>
        </w:tc>
      </w:tr>
      <w:tr w14:paraId="2DF65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7111E3">
            <w:pPr>
              <w:pStyle w:val="11"/>
            </w:pPr>
            <w:r>
              <w:t>栏次</w:t>
            </w:r>
          </w:p>
        </w:tc>
        <w:tc>
          <w:tcPr>
            <w:tcW w:w="3402" w:type="dxa"/>
            <w:vAlign w:val="center"/>
          </w:tcPr>
          <w:p w14:paraId="395644AA">
            <w:pPr>
              <w:pStyle w:val="11"/>
            </w:pPr>
            <w:r>
              <w:t>1</w:t>
            </w:r>
          </w:p>
        </w:tc>
        <w:tc>
          <w:tcPr>
            <w:tcW w:w="1474" w:type="dxa"/>
            <w:vAlign w:val="center"/>
          </w:tcPr>
          <w:p w14:paraId="2552FD34">
            <w:pPr>
              <w:pStyle w:val="11"/>
            </w:pPr>
            <w:r>
              <w:t>2</w:t>
            </w:r>
          </w:p>
        </w:tc>
        <w:tc>
          <w:tcPr>
            <w:tcW w:w="3402" w:type="dxa"/>
            <w:vAlign w:val="center"/>
          </w:tcPr>
          <w:p w14:paraId="520FC1C3">
            <w:pPr>
              <w:pStyle w:val="11"/>
            </w:pPr>
            <w:r>
              <w:t>3</w:t>
            </w:r>
          </w:p>
        </w:tc>
        <w:tc>
          <w:tcPr>
            <w:tcW w:w="1474" w:type="dxa"/>
            <w:vAlign w:val="center"/>
          </w:tcPr>
          <w:p w14:paraId="130F455E">
            <w:pPr>
              <w:pStyle w:val="11"/>
            </w:pPr>
            <w:r>
              <w:t>4</w:t>
            </w:r>
          </w:p>
        </w:tc>
        <w:tc>
          <w:tcPr>
            <w:tcW w:w="1474" w:type="dxa"/>
            <w:vAlign w:val="center"/>
          </w:tcPr>
          <w:p w14:paraId="626B3B51">
            <w:pPr>
              <w:pStyle w:val="11"/>
            </w:pPr>
            <w:r>
              <w:t>5</w:t>
            </w:r>
          </w:p>
        </w:tc>
        <w:tc>
          <w:tcPr>
            <w:tcW w:w="1474" w:type="dxa"/>
            <w:vAlign w:val="center"/>
          </w:tcPr>
          <w:p w14:paraId="75D780DB">
            <w:pPr>
              <w:pStyle w:val="11"/>
            </w:pPr>
            <w:r>
              <w:t>6</w:t>
            </w:r>
          </w:p>
        </w:tc>
        <w:tc>
          <w:tcPr>
            <w:tcW w:w="1474" w:type="dxa"/>
            <w:vAlign w:val="center"/>
          </w:tcPr>
          <w:p w14:paraId="1BB70F11">
            <w:pPr>
              <w:pStyle w:val="11"/>
            </w:pPr>
            <w:r>
              <w:t>7</w:t>
            </w:r>
          </w:p>
        </w:tc>
      </w:tr>
      <w:tr w14:paraId="7A969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45AA7">
            <w:pPr>
              <w:pStyle w:val="12"/>
            </w:pPr>
            <w:r>
              <w:t>1</w:t>
            </w:r>
          </w:p>
        </w:tc>
        <w:tc>
          <w:tcPr>
            <w:tcW w:w="3402" w:type="dxa"/>
            <w:vAlign w:val="center"/>
          </w:tcPr>
          <w:p w14:paraId="6CB34EF7">
            <w:pPr>
              <w:pStyle w:val="13"/>
            </w:pPr>
            <w:r>
              <w:t>一、一般公共预算拨款</w:t>
            </w:r>
          </w:p>
        </w:tc>
        <w:tc>
          <w:tcPr>
            <w:tcW w:w="1474" w:type="dxa"/>
            <w:vAlign w:val="center"/>
          </w:tcPr>
          <w:p w14:paraId="65FBBECC">
            <w:pPr>
              <w:pStyle w:val="14"/>
            </w:pPr>
            <w:r>
              <w:t>739.19</w:t>
            </w:r>
          </w:p>
        </w:tc>
        <w:tc>
          <w:tcPr>
            <w:tcW w:w="3402" w:type="dxa"/>
            <w:vAlign w:val="center"/>
          </w:tcPr>
          <w:p w14:paraId="46A882A8">
            <w:pPr>
              <w:pStyle w:val="13"/>
            </w:pPr>
            <w:r>
              <w:t>一、一般公共服务支出</w:t>
            </w:r>
          </w:p>
        </w:tc>
        <w:tc>
          <w:tcPr>
            <w:tcW w:w="1474" w:type="dxa"/>
            <w:vAlign w:val="center"/>
          </w:tcPr>
          <w:p w14:paraId="21EFA423">
            <w:pPr>
              <w:pStyle w:val="14"/>
            </w:pPr>
          </w:p>
        </w:tc>
        <w:tc>
          <w:tcPr>
            <w:tcW w:w="1474" w:type="dxa"/>
            <w:vAlign w:val="center"/>
          </w:tcPr>
          <w:p w14:paraId="4A5F078F">
            <w:pPr>
              <w:pStyle w:val="14"/>
            </w:pPr>
          </w:p>
        </w:tc>
        <w:tc>
          <w:tcPr>
            <w:tcW w:w="1474" w:type="dxa"/>
            <w:vAlign w:val="center"/>
          </w:tcPr>
          <w:p w14:paraId="3C097737">
            <w:pPr>
              <w:pStyle w:val="14"/>
            </w:pPr>
          </w:p>
        </w:tc>
        <w:tc>
          <w:tcPr>
            <w:tcW w:w="1474" w:type="dxa"/>
            <w:vAlign w:val="center"/>
          </w:tcPr>
          <w:p w14:paraId="2BE2DB52">
            <w:pPr>
              <w:pStyle w:val="14"/>
            </w:pPr>
          </w:p>
        </w:tc>
      </w:tr>
      <w:tr w14:paraId="57E10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1225B">
            <w:pPr>
              <w:pStyle w:val="12"/>
            </w:pPr>
            <w:r>
              <w:t>2</w:t>
            </w:r>
          </w:p>
        </w:tc>
        <w:tc>
          <w:tcPr>
            <w:tcW w:w="3402" w:type="dxa"/>
            <w:vAlign w:val="center"/>
          </w:tcPr>
          <w:p w14:paraId="00FD3764">
            <w:pPr>
              <w:pStyle w:val="13"/>
            </w:pPr>
            <w:r>
              <w:t>二、政府性基金预算拨款</w:t>
            </w:r>
          </w:p>
        </w:tc>
        <w:tc>
          <w:tcPr>
            <w:tcW w:w="1474" w:type="dxa"/>
            <w:vAlign w:val="center"/>
          </w:tcPr>
          <w:p w14:paraId="4A2E63A5">
            <w:pPr>
              <w:pStyle w:val="14"/>
            </w:pPr>
          </w:p>
        </w:tc>
        <w:tc>
          <w:tcPr>
            <w:tcW w:w="3402" w:type="dxa"/>
            <w:vAlign w:val="center"/>
          </w:tcPr>
          <w:p w14:paraId="6A38E91D">
            <w:pPr>
              <w:pStyle w:val="13"/>
            </w:pPr>
            <w:r>
              <w:t>二、外交支出</w:t>
            </w:r>
          </w:p>
        </w:tc>
        <w:tc>
          <w:tcPr>
            <w:tcW w:w="1474" w:type="dxa"/>
            <w:vAlign w:val="center"/>
          </w:tcPr>
          <w:p w14:paraId="3CA1280E">
            <w:pPr>
              <w:pStyle w:val="14"/>
            </w:pPr>
          </w:p>
        </w:tc>
        <w:tc>
          <w:tcPr>
            <w:tcW w:w="1474" w:type="dxa"/>
            <w:vAlign w:val="center"/>
          </w:tcPr>
          <w:p w14:paraId="5A0B81E8">
            <w:pPr>
              <w:pStyle w:val="14"/>
            </w:pPr>
          </w:p>
        </w:tc>
        <w:tc>
          <w:tcPr>
            <w:tcW w:w="1474" w:type="dxa"/>
            <w:vAlign w:val="center"/>
          </w:tcPr>
          <w:p w14:paraId="0ED0C575">
            <w:pPr>
              <w:pStyle w:val="14"/>
            </w:pPr>
          </w:p>
        </w:tc>
        <w:tc>
          <w:tcPr>
            <w:tcW w:w="1474" w:type="dxa"/>
            <w:vAlign w:val="center"/>
          </w:tcPr>
          <w:p w14:paraId="1162E60B">
            <w:pPr>
              <w:pStyle w:val="14"/>
            </w:pPr>
          </w:p>
        </w:tc>
      </w:tr>
      <w:tr w14:paraId="7D908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80A9A">
            <w:pPr>
              <w:pStyle w:val="12"/>
            </w:pPr>
            <w:r>
              <w:t>3</w:t>
            </w:r>
          </w:p>
        </w:tc>
        <w:tc>
          <w:tcPr>
            <w:tcW w:w="3402" w:type="dxa"/>
            <w:vAlign w:val="center"/>
          </w:tcPr>
          <w:p w14:paraId="1ED19A7A">
            <w:pPr>
              <w:pStyle w:val="13"/>
            </w:pPr>
            <w:r>
              <w:t>三、国有资本经营预算拨款</w:t>
            </w:r>
          </w:p>
        </w:tc>
        <w:tc>
          <w:tcPr>
            <w:tcW w:w="1474" w:type="dxa"/>
            <w:vAlign w:val="center"/>
          </w:tcPr>
          <w:p w14:paraId="6AD32BAF">
            <w:pPr>
              <w:pStyle w:val="14"/>
            </w:pPr>
          </w:p>
        </w:tc>
        <w:tc>
          <w:tcPr>
            <w:tcW w:w="3402" w:type="dxa"/>
            <w:vAlign w:val="center"/>
          </w:tcPr>
          <w:p w14:paraId="042EC0BB">
            <w:pPr>
              <w:pStyle w:val="13"/>
            </w:pPr>
            <w:r>
              <w:t>三、国防支出</w:t>
            </w:r>
          </w:p>
        </w:tc>
        <w:tc>
          <w:tcPr>
            <w:tcW w:w="1474" w:type="dxa"/>
            <w:vAlign w:val="center"/>
          </w:tcPr>
          <w:p w14:paraId="23A1C85F">
            <w:pPr>
              <w:pStyle w:val="14"/>
            </w:pPr>
          </w:p>
        </w:tc>
        <w:tc>
          <w:tcPr>
            <w:tcW w:w="1474" w:type="dxa"/>
            <w:vAlign w:val="center"/>
          </w:tcPr>
          <w:p w14:paraId="5DE9A97C">
            <w:pPr>
              <w:pStyle w:val="14"/>
            </w:pPr>
          </w:p>
        </w:tc>
        <w:tc>
          <w:tcPr>
            <w:tcW w:w="1474" w:type="dxa"/>
            <w:vAlign w:val="center"/>
          </w:tcPr>
          <w:p w14:paraId="259E39D3">
            <w:pPr>
              <w:pStyle w:val="14"/>
            </w:pPr>
          </w:p>
        </w:tc>
        <w:tc>
          <w:tcPr>
            <w:tcW w:w="1474" w:type="dxa"/>
            <w:vAlign w:val="center"/>
          </w:tcPr>
          <w:p w14:paraId="7B2C2F83">
            <w:pPr>
              <w:pStyle w:val="14"/>
            </w:pPr>
          </w:p>
        </w:tc>
      </w:tr>
      <w:tr w14:paraId="06EB8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1035F">
            <w:pPr>
              <w:pStyle w:val="12"/>
            </w:pPr>
            <w:r>
              <w:t>4</w:t>
            </w:r>
          </w:p>
        </w:tc>
        <w:tc>
          <w:tcPr>
            <w:tcW w:w="3402" w:type="dxa"/>
            <w:vAlign w:val="center"/>
          </w:tcPr>
          <w:p w14:paraId="4C593B10">
            <w:pPr>
              <w:pStyle w:val="13"/>
            </w:pPr>
          </w:p>
        </w:tc>
        <w:tc>
          <w:tcPr>
            <w:tcW w:w="1474" w:type="dxa"/>
            <w:vAlign w:val="center"/>
          </w:tcPr>
          <w:p w14:paraId="10C2D189">
            <w:pPr>
              <w:pStyle w:val="14"/>
            </w:pPr>
          </w:p>
        </w:tc>
        <w:tc>
          <w:tcPr>
            <w:tcW w:w="3402" w:type="dxa"/>
            <w:vAlign w:val="center"/>
          </w:tcPr>
          <w:p w14:paraId="31B68960">
            <w:pPr>
              <w:pStyle w:val="13"/>
            </w:pPr>
            <w:r>
              <w:t>四、公共安全支出</w:t>
            </w:r>
          </w:p>
        </w:tc>
        <w:tc>
          <w:tcPr>
            <w:tcW w:w="1474" w:type="dxa"/>
            <w:vAlign w:val="center"/>
          </w:tcPr>
          <w:p w14:paraId="2A349DE8">
            <w:pPr>
              <w:pStyle w:val="14"/>
            </w:pPr>
          </w:p>
        </w:tc>
        <w:tc>
          <w:tcPr>
            <w:tcW w:w="1474" w:type="dxa"/>
            <w:vAlign w:val="center"/>
          </w:tcPr>
          <w:p w14:paraId="03970532">
            <w:pPr>
              <w:pStyle w:val="14"/>
            </w:pPr>
          </w:p>
        </w:tc>
        <w:tc>
          <w:tcPr>
            <w:tcW w:w="1474" w:type="dxa"/>
            <w:vAlign w:val="center"/>
          </w:tcPr>
          <w:p w14:paraId="6AF38423">
            <w:pPr>
              <w:pStyle w:val="14"/>
            </w:pPr>
          </w:p>
        </w:tc>
        <w:tc>
          <w:tcPr>
            <w:tcW w:w="1474" w:type="dxa"/>
            <w:vAlign w:val="center"/>
          </w:tcPr>
          <w:p w14:paraId="42933FE1">
            <w:pPr>
              <w:pStyle w:val="14"/>
            </w:pPr>
          </w:p>
        </w:tc>
      </w:tr>
      <w:tr w14:paraId="734C8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90B56">
            <w:pPr>
              <w:pStyle w:val="12"/>
            </w:pPr>
            <w:r>
              <w:t>5</w:t>
            </w:r>
          </w:p>
        </w:tc>
        <w:tc>
          <w:tcPr>
            <w:tcW w:w="3402" w:type="dxa"/>
            <w:vAlign w:val="center"/>
          </w:tcPr>
          <w:p w14:paraId="731778E7">
            <w:pPr>
              <w:pStyle w:val="13"/>
            </w:pPr>
          </w:p>
        </w:tc>
        <w:tc>
          <w:tcPr>
            <w:tcW w:w="1474" w:type="dxa"/>
            <w:vAlign w:val="center"/>
          </w:tcPr>
          <w:p w14:paraId="555C6551">
            <w:pPr>
              <w:pStyle w:val="14"/>
            </w:pPr>
          </w:p>
        </w:tc>
        <w:tc>
          <w:tcPr>
            <w:tcW w:w="3402" w:type="dxa"/>
            <w:vAlign w:val="center"/>
          </w:tcPr>
          <w:p w14:paraId="2A56417D">
            <w:pPr>
              <w:pStyle w:val="13"/>
            </w:pPr>
            <w:r>
              <w:t>五、教育支出</w:t>
            </w:r>
          </w:p>
        </w:tc>
        <w:tc>
          <w:tcPr>
            <w:tcW w:w="1474" w:type="dxa"/>
            <w:vAlign w:val="center"/>
          </w:tcPr>
          <w:p w14:paraId="76E8ABF0">
            <w:pPr>
              <w:pStyle w:val="14"/>
            </w:pPr>
            <w:r>
              <w:t>739.19</w:t>
            </w:r>
          </w:p>
        </w:tc>
        <w:tc>
          <w:tcPr>
            <w:tcW w:w="1474" w:type="dxa"/>
            <w:vAlign w:val="center"/>
          </w:tcPr>
          <w:p w14:paraId="62319F87">
            <w:pPr>
              <w:pStyle w:val="14"/>
            </w:pPr>
            <w:r>
              <w:t>739.19</w:t>
            </w:r>
          </w:p>
        </w:tc>
        <w:tc>
          <w:tcPr>
            <w:tcW w:w="1474" w:type="dxa"/>
            <w:vAlign w:val="center"/>
          </w:tcPr>
          <w:p w14:paraId="1311702C">
            <w:pPr>
              <w:pStyle w:val="14"/>
            </w:pPr>
          </w:p>
        </w:tc>
        <w:tc>
          <w:tcPr>
            <w:tcW w:w="1474" w:type="dxa"/>
            <w:vAlign w:val="center"/>
          </w:tcPr>
          <w:p w14:paraId="00C5777F">
            <w:pPr>
              <w:pStyle w:val="14"/>
            </w:pPr>
          </w:p>
        </w:tc>
      </w:tr>
      <w:tr w14:paraId="16170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13330">
            <w:pPr>
              <w:pStyle w:val="12"/>
            </w:pPr>
            <w:r>
              <w:t>6</w:t>
            </w:r>
          </w:p>
        </w:tc>
        <w:tc>
          <w:tcPr>
            <w:tcW w:w="3402" w:type="dxa"/>
            <w:vAlign w:val="center"/>
          </w:tcPr>
          <w:p w14:paraId="2395EDF5">
            <w:pPr>
              <w:pStyle w:val="13"/>
            </w:pPr>
          </w:p>
        </w:tc>
        <w:tc>
          <w:tcPr>
            <w:tcW w:w="1474" w:type="dxa"/>
            <w:vAlign w:val="center"/>
          </w:tcPr>
          <w:p w14:paraId="6F2FFF9C">
            <w:pPr>
              <w:pStyle w:val="14"/>
            </w:pPr>
          </w:p>
        </w:tc>
        <w:tc>
          <w:tcPr>
            <w:tcW w:w="3402" w:type="dxa"/>
            <w:vAlign w:val="center"/>
          </w:tcPr>
          <w:p w14:paraId="183440F2">
            <w:pPr>
              <w:pStyle w:val="13"/>
            </w:pPr>
            <w:r>
              <w:t>六、科学技术支出</w:t>
            </w:r>
          </w:p>
        </w:tc>
        <w:tc>
          <w:tcPr>
            <w:tcW w:w="1474" w:type="dxa"/>
            <w:vAlign w:val="center"/>
          </w:tcPr>
          <w:p w14:paraId="4E49FF74">
            <w:pPr>
              <w:pStyle w:val="14"/>
            </w:pPr>
          </w:p>
        </w:tc>
        <w:tc>
          <w:tcPr>
            <w:tcW w:w="1474" w:type="dxa"/>
            <w:vAlign w:val="center"/>
          </w:tcPr>
          <w:p w14:paraId="062D0B96">
            <w:pPr>
              <w:pStyle w:val="14"/>
            </w:pPr>
          </w:p>
        </w:tc>
        <w:tc>
          <w:tcPr>
            <w:tcW w:w="1474" w:type="dxa"/>
            <w:vAlign w:val="center"/>
          </w:tcPr>
          <w:p w14:paraId="1D0B1F5E">
            <w:pPr>
              <w:pStyle w:val="14"/>
            </w:pPr>
          </w:p>
        </w:tc>
        <w:tc>
          <w:tcPr>
            <w:tcW w:w="1474" w:type="dxa"/>
            <w:vAlign w:val="center"/>
          </w:tcPr>
          <w:p w14:paraId="402F6626">
            <w:pPr>
              <w:pStyle w:val="14"/>
            </w:pPr>
          </w:p>
        </w:tc>
      </w:tr>
      <w:tr w14:paraId="301BF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DA131">
            <w:pPr>
              <w:pStyle w:val="12"/>
            </w:pPr>
            <w:r>
              <w:t>7</w:t>
            </w:r>
          </w:p>
        </w:tc>
        <w:tc>
          <w:tcPr>
            <w:tcW w:w="3402" w:type="dxa"/>
            <w:vAlign w:val="center"/>
          </w:tcPr>
          <w:p w14:paraId="2F6E2E80">
            <w:pPr>
              <w:pStyle w:val="13"/>
            </w:pPr>
          </w:p>
        </w:tc>
        <w:tc>
          <w:tcPr>
            <w:tcW w:w="1474" w:type="dxa"/>
            <w:vAlign w:val="center"/>
          </w:tcPr>
          <w:p w14:paraId="7A8283FD">
            <w:pPr>
              <w:pStyle w:val="14"/>
            </w:pPr>
          </w:p>
        </w:tc>
        <w:tc>
          <w:tcPr>
            <w:tcW w:w="3402" w:type="dxa"/>
            <w:vAlign w:val="center"/>
          </w:tcPr>
          <w:p w14:paraId="371C78E0">
            <w:pPr>
              <w:pStyle w:val="13"/>
            </w:pPr>
            <w:r>
              <w:t>七、文化旅游体育与传媒支出</w:t>
            </w:r>
          </w:p>
        </w:tc>
        <w:tc>
          <w:tcPr>
            <w:tcW w:w="1474" w:type="dxa"/>
            <w:vAlign w:val="center"/>
          </w:tcPr>
          <w:p w14:paraId="11EB19B7">
            <w:pPr>
              <w:pStyle w:val="14"/>
            </w:pPr>
          </w:p>
        </w:tc>
        <w:tc>
          <w:tcPr>
            <w:tcW w:w="1474" w:type="dxa"/>
            <w:vAlign w:val="center"/>
          </w:tcPr>
          <w:p w14:paraId="7BA79D85">
            <w:pPr>
              <w:pStyle w:val="14"/>
            </w:pPr>
          </w:p>
        </w:tc>
        <w:tc>
          <w:tcPr>
            <w:tcW w:w="1474" w:type="dxa"/>
            <w:vAlign w:val="center"/>
          </w:tcPr>
          <w:p w14:paraId="09F3BE06">
            <w:pPr>
              <w:pStyle w:val="14"/>
            </w:pPr>
          </w:p>
        </w:tc>
        <w:tc>
          <w:tcPr>
            <w:tcW w:w="1474" w:type="dxa"/>
            <w:vAlign w:val="center"/>
          </w:tcPr>
          <w:p w14:paraId="4902082D">
            <w:pPr>
              <w:pStyle w:val="14"/>
            </w:pPr>
          </w:p>
        </w:tc>
      </w:tr>
      <w:tr w14:paraId="78207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2DA05">
            <w:pPr>
              <w:pStyle w:val="12"/>
            </w:pPr>
            <w:r>
              <w:t>8</w:t>
            </w:r>
          </w:p>
        </w:tc>
        <w:tc>
          <w:tcPr>
            <w:tcW w:w="3402" w:type="dxa"/>
            <w:vAlign w:val="center"/>
          </w:tcPr>
          <w:p w14:paraId="031D32F6">
            <w:pPr>
              <w:pStyle w:val="13"/>
            </w:pPr>
          </w:p>
        </w:tc>
        <w:tc>
          <w:tcPr>
            <w:tcW w:w="1474" w:type="dxa"/>
            <w:vAlign w:val="center"/>
          </w:tcPr>
          <w:p w14:paraId="3DC8314C">
            <w:pPr>
              <w:pStyle w:val="14"/>
            </w:pPr>
          </w:p>
        </w:tc>
        <w:tc>
          <w:tcPr>
            <w:tcW w:w="3402" w:type="dxa"/>
            <w:vAlign w:val="center"/>
          </w:tcPr>
          <w:p w14:paraId="39870BAC">
            <w:pPr>
              <w:pStyle w:val="13"/>
            </w:pPr>
            <w:r>
              <w:t>八、社会保障和就业支出</w:t>
            </w:r>
          </w:p>
        </w:tc>
        <w:tc>
          <w:tcPr>
            <w:tcW w:w="1474" w:type="dxa"/>
            <w:vAlign w:val="center"/>
          </w:tcPr>
          <w:p w14:paraId="53C3DB4B">
            <w:pPr>
              <w:pStyle w:val="14"/>
            </w:pPr>
          </w:p>
        </w:tc>
        <w:tc>
          <w:tcPr>
            <w:tcW w:w="1474" w:type="dxa"/>
            <w:vAlign w:val="center"/>
          </w:tcPr>
          <w:p w14:paraId="5E0AD12C">
            <w:pPr>
              <w:pStyle w:val="14"/>
            </w:pPr>
          </w:p>
        </w:tc>
        <w:tc>
          <w:tcPr>
            <w:tcW w:w="1474" w:type="dxa"/>
            <w:vAlign w:val="center"/>
          </w:tcPr>
          <w:p w14:paraId="6041E935">
            <w:pPr>
              <w:pStyle w:val="14"/>
            </w:pPr>
          </w:p>
        </w:tc>
        <w:tc>
          <w:tcPr>
            <w:tcW w:w="1474" w:type="dxa"/>
            <w:vAlign w:val="center"/>
          </w:tcPr>
          <w:p w14:paraId="066F3153">
            <w:pPr>
              <w:pStyle w:val="14"/>
            </w:pPr>
          </w:p>
        </w:tc>
      </w:tr>
      <w:tr w14:paraId="49B42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18921">
            <w:pPr>
              <w:pStyle w:val="12"/>
            </w:pPr>
            <w:r>
              <w:t>9</w:t>
            </w:r>
          </w:p>
        </w:tc>
        <w:tc>
          <w:tcPr>
            <w:tcW w:w="3402" w:type="dxa"/>
            <w:vAlign w:val="center"/>
          </w:tcPr>
          <w:p w14:paraId="4060AE9D">
            <w:pPr>
              <w:pStyle w:val="13"/>
            </w:pPr>
          </w:p>
        </w:tc>
        <w:tc>
          <w:tcPr>
            <w:tcW w:w="1474" w:type="dxa"/>
            <w:vAlign w:val="center"/>
          </w:tcPr>
          <w:p w14:paraId="543E6153">
            <w:pPr>
              <w:pStyle w:val="14"/>
            </w:pPr>
          </w:p>
        </w:tc>
        <w:tc>
          <w:tcPr>
            <w:tcW w:w="3402" w:type="dxa"/>
            <w:vAlign w:val="center"/>
          </w:tcPr>
          <w:p w14:paraId="55C2ECBE">
            <w:pPr>
              <w:pStyle w:val="13"/>
            </w:pPr>
            <w:r>
              <w:t>九、社会保险基金支出</w:t>
            </w:r>
          </w:p>
        </w:tc>
        <w:tc>
          <w:tcPr>
            <w:tcW w:w="1474" w:type="dxa"/>
            <w:vAlign w:val="center"/>
          </w:tcPr>
          <w:p w14:paraId="001960AA">
            <w:pPr>
              <w:pStyle w:val="14"/>
            </w:pPr>
          </w:p>
        </w:tc>
        <w:tc>
          <w:tcPr>
            <w:tcW w:w="1474" w:type="dxa"/>
            <w:vAlign w:val="center"/>
          </w:tcPr>
          <w:p w14:paraId="078614D4">
            <w:pPr>
              <w:pStyle w:val="14"/>
            </w:pPr>
          </w:p>
        </w:tc>
        <w:tc>
          <w:tcPr>
            <w:tcW w:w="1474" w:type="dxa"/>
            <w:vAlign w:val="center"/>
          </w:tcPr>
          <w:p w14:paraId="6E3681BA">
            <w:pPr>
              <w:pStyle w:val="14"/>
            </w:pPr>
          </w:p>
        </w:tc>
        <w:tc>
          <w:tcPr>
            <w:tcW w:w="1474" w:type="dxa"/>
            <w:vAlign w:val="center"/>
          </w:tcPr>
          <w:p w14:paraId="523015D1">
            <w:pPr>
              <w:pStyle w:val="14"/>
            </w:pPr>
          </w:p>
        </w:tc>
      </w:tr>
      <w:tr w14:paraId="3D26F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3C3A0">
            <w:pPr>
              <w:pStyle w:val="12"/>
            </w:pPr>
            <w:r>
              <w:t>10</w:t>
            </w:r>
          </w:p>
        </w:tc>
        <w:tc>
          <w:tcPr>
            <w:tcW w:w="3402" w:type="dxa"/>
            <w:vAlign w:val="center"/>
          </w:tcPr>
          <w:p w14:paraId="17DA2C38">
            <w:pPr>
              <w:pStyle w:val="13"/>
            </w:pPr>
          </w:p>
        </w:tc>
        <w:tc>
          <w:tcPr>
            <w:tcW w:w="1474" w:type="dxa"/>
            <w:vAlign w:val="center"/>
          </w:tcPr>
          <w:p w14:paraId="7FA135BE">
            <w:pPr>
              <w:pStyle w:val="14"/>
            </w:pPr>
          </w:p>
        </w:tc>
        <w:tc>
          <w:tcPr>
            <w:tcW w:w="3402" w:type="dxa"/>
            <w:vAlign w:val="center"/>
          </w:tcPr>
          <w:p w14:paraId="5A04DB6B">
            <w:pPr>
              <w:pStyle w:val="13"/>
            </w:pPr>
            <w:r>
              <w:t>十、卫生健康支出</w:t>
            </w:r>
          </w:p>
        </w:tc>
        <w:tc>
          <w:tcPr>
            <w:tcW w:w="1474" w:type="dxa"/>
            <w:vAlign w:val="center"/>
          </w:tcPr>
          <w:p w14:paraId="0B295908">
            <w:pPr>
              <w:pStyle w:val="14"/>
            </w:pPr>
          </w:p>
        </w:tc>
        <w:tc>
          <w:tcPr>
            <w:tcW w:w="1474" w:type="dxa"/>
            <w:vAlign w:val="center"/>
          </w:tcPr>
          <w:p w14:paraId="661C3691">
            <w:pPr>
              <w:pStyle w:val="14"/>
            </w:pPr>
          </w:p>
        </w:tc>
        <w:tc>
          <w:tcPr>
            <w:tcW w:w="1474" w:type="dxa"/>
            <w:vAlign w:val="center"/>
          </w:tcPr>
          <w:p w14:paraId="1D04F43A">
            <w:pPr>
              <w:pStyle w:val="14"/>
            </w:pPr>
          </w:p>
        </w:tc>
        <w:tc>
          <w:tcPr>
            <w:tcW w:w="1474" w:type="dxa"/>
            <w:vAlign w:val="center"/>
          </w:tcPr>
          <w:p w14:paraId="545507A5">
            <w:pPr>
              <w:pStyle w:val="14"/>
            </w:pPr>
          </w:p>
        </w:tc>
      </w:tr>
      <w:tr w14:paraId="5CFBC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B87D0">
            <w:pPr>
              <w:pStyle w:val="12"/>
            </w:pPr>
            <w:r>
              <w:t>11</w:t>
            </w:r>
          </w:p>
        </w:tc>
        <w:tc>
          <w:tcPr>
            <w:tcW w:w="3402" w:type="dxa"/>
            <w:vAlign w:val="center"/>
          </w:tcPr>
          <w:p w14:paraId="13A12B6C">
            <w:pPr>
              <w:pStyle w:val="13"/>
            </w:pPr>
          </w:p>
        </w:tc>
        <w:tc>
          <w:tcPr>
            <w:tcW w:w="1474" w:type="dxa"/>
            <w:vAlign w:val="center"/>
          </w:tcPr>
          <w:p w14:paraId="39477778">
            <w:pPr>
              <w:pStyle w:val="14"/>
            </w:pPr>
          </w:p>
        </w:tc>
        <w:tc>
          <w:tcPr>
            <w:tcW w:w="3402" w:type="dxa"/>
            <w:vAlign w:val="center"/>
          </w:tcPr>
          <w:p w14:paraId="52258214">
            <w:pPr>
              <w:pStyle w:val="13"/>
            </w:pPr>
            <w:r>
              <w:t>十一、节能环保支出</w:t>
            </w:r>
          </w:p>
        </w:tc>
        <w:tc>
          <w:tcPr>
            <w:tcW w:w="1474" w:type="dxa"/>
            <w:vAlign w:val="center"/>
          </w:tcPr>
          <w:p w14:paraId="60E7502C">
            <w:pPr>
              <w:pStyle w:val="14"/>
            </w:pPr>
          </w:p>
        </w:tc>
        <w:tc>
          <w:tcPr>
            <w:tcW w:w="1474" w:type="dxa"/>
            <w:vAlign w:val="center"/>
          </w:tcPr>
          <w:p w14:paraId="6C49BE15">
            <w:pPr>
              <w:pStyle w:val="14"/>
            </w:pPr>
          </w:p>
        </w:tc>
        <w:tc>
          <w:tcPr>
            <w:tcW w:w="1474" w:type="dxa"/>
            <w:vAlign w:val="center"/>
          </w:tcPr>
          <w:p w14:paraId="5F13A3A4">
            <w:pPr>
              <w:pStyle w:val="14"/>
            </w:pPr>
          </w:p>
        </w:tc>
        <w:tc>
          <w:tcPr>
            <w:tcW w:w="1474" w:type="dxa"/>
            <w:vAlign w:val="center"/>
          </w:tcPr>
          <w:p w14:paraId="3E275CC0">
            <w:pPr>
              <w:pStyle w:val="14"/>
            </w:pPr>
          </w:p>
        </w:tc>
      </w:tr>
      <w:tr w14:paraId="70A26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9CB4C">
            <w:pPr>
              <w:pStyle w:val="12"/>
            </w:pPr>
            <w:r>
              <w:t>12</w:t>
            </w:r>
          </w:p>
        </w:tc>
        <w:tc>
          <w:tcPr>
            <w:tcW w:w="3402" w:type="dxa"/>
            <w:vAlign w:val="center"/>
          </w:tcPr>
          <w:p w14:paraId="15116A3F">
            <w:pPr>
              <w:pStyle w:val="13"/>
            </w:pPr>
          </w:p>
        </w:tc>
        <w:tc>
          <w:tcPr>
            <w:tcW w:w="1474" w:type="dxa"/>
            <w:vAlign w:val="center"/>
          </w:tcPr>
          <w:p w14:paraId="025A9FC1">
            <w:pPr>
              <w:pStyle w:val="14"/>
            </w:pPr>
          </w:p>
        </w:tc>
        <w:tc>
          <w:tcPr>
            <w:tcW w:w="3402" w:type="dxa"/>
            <w:vAlign w:val="center"/>
          </w:tcPr>
          <w:p w14:paraId="1F5F1C4A">
            <w:pPr>
              <w:pStyle w:val="13"/>
            </w:pPr>
            <w:r>
              <w:t>十二、城乡社区支出</w:t>
            </w:r>
          </w:p>
        </w:tc>
        <w:tc>
          <w:tcPr>
            <w:tcW w:w="1474" w:type="dxa"/>
            <w:vAlign w:val="center"/>
          </w:tcPr>
          <w:p w14:paraId="3D718B51">
            <w:pPr>
              <w:pStyle w:val="14"/>
            </w:pPr>
          </w:p>
        </w:tc>
        <w:tc>
          <w:tcPr>
            <w:tcW w:w="1474" w:type="dxa"/>
            <w:vAlign w:val="center"/>
          </w:tcPr>
          <w:p w14:paraId="606E4B22">
            <w:pPr>
              <w:pStyle w:val="14"/>
            </w:pPr>
          </w:p>
        </w:tc>
        <w:tc>
          <w:tcPr>
            <w:tcW w:w="1474" w:type="dxa"/>
            <w:vAlign w:val="center"/>
          </w:tcPr>
          <w:p w14:paraId="18B260BA">
            <w:pPr>
              <w:pStyle w:val="14"/>
            </w:pPr>
          </w:p>
        </w:tc>
        <w:tc>
          <w:tcPr>
            <w:tcW w:w="1474" w:type="dxa"/>
            <w:vAlign w:val="center"/>
          </w:tcPr>
          <w:p w14:paraId="09EB0736">
            <w:pPr>
              <w:pStyle w:val="14"/>
            </w:pPr>
          </w:p>
        </w:tc>
      </w:tr>
      <w:tr w14:paraId="2FE1E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EF4D4">
            <w:pPr>
              <w:pStyle w:val="12"/>
            </w:pPr>
            <w:r>
              <w:t>13</w:t>
            </w:r>
          </w:p>
        </w:tc>
        <w:tc>
          <w:tcPr>
            <w:tcW w:w="3402" w:type="dxa"/>
            <w:vAlign w:val="center"/>
          </w:tcPr>
          <w:p w14:paraId="0BA31D41">
            <w:pPr>
              <w:pStyle w:val="13"/>
            </w:pPr>
          </w:p>
        </w:tc>
        <w:tc>
          <w:tcPr>
            <w:tcW w:w="1474" w:type="dxa"/>
            <w:vAlign w:val="center"/>
          </w:tcPr>
          <w:p w14:paraId="0BF76AC1">
            <w:pPr>
              <w:pStyle w:val="14"/>
            </w:pPr>
          </w:p>
        </w:tc>
        <w:tc>
          <w:tcPr>
            <w:tcW w:w="3402" w:type="dxa"/>
            <w:vAlign w:val="center"/>
          </w:tcPr>
          <w:p w14:paraId="4CCDC75C">
            <w:pPr>
              <w:pStyle w:val="13"/>
            </w:pPr>
            <w:r>
              <w:t>十三、农林水支出</w:t>
            </w:r>
          </w:p>
        </w:tc>
        <w:tc>
          <w:tcPr>
            <w:tcW w:w="1474" w:type="dxa"/>
            <w:vAlign w:val="center"/>
          </w:tcPr>
          <w:p w14:paraId="60381555">
            <w:pPr>
              <w:pStyle w:val="14"/>
            </w:pPr>
          </w:p>
        </w:tc>
        <w:tc>
          <w:tcPr>
            <w:tcW w:w="1474" w:type="dxa"/>
            <w:vAlign w:val="center"/>
          </w:tcPr>
          <w:p w14:paraId="1B7C6509">
            <w:pPr>
              <w:pStyle w:val="14"/>
            </w:pPr>
          </w:p>
        </w:tc>
        <w:tc>
          <w:tcPr>
            <w:tcW w:w="1474" w:type="dxa"/>
            <w:vAlign w:val="center"/>
          </w:tcPr>
          <w:p w14:paraId="0356E8FB">
            <w:pPr>
              <w:pStyle w:val="14"/>
            </w:pPr>
          </w:p>
        </w:tc>
        <w:tc>
          <w:tcPr>
            <w:tcW w:w="1474" w:type="dxa"/>
            <w:vAlign w:val="center"/>
          </w:tcPr>
          <w:p w14:paraId="64019D28">
            <w:pPr>
              <w:pStyle w:val="14"/>
            </w:pPr>
          </w:p>
        </w:tc>
      </w:tr>
      <w:tr w14:paraId="2F556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6F627">
            <w:pPr>
              <w:pStyle w:val="12"/>
            </w:pPr>
            <w:r>
              <w:t>14</w:t>
            </w:r>
          </w:p>
        </w:tc>
        <w:tc>
          <w:tcPr>
            <w:tcW w:w="3402" w:type="dxa"/>
            <w:vAlign w:val="center"/>
          </w:tcPr>
          <w:p w14:paraId="799141BC">
            <w:pPr>
              <w:pStyle w:val="13"/>
            </w:pPr>
          </w:p>
        </w:tc>
        <w:tc>
          <w:tcPr>
            <w:tcW w:w="1474" w:type="dxa"/>
            <w:vAlign w:val="center"/>
          </w:tcPr>
          <w:p w14:paraId="6C4ADFD8">
            <w:pPr>
              <w:pStyle w:val="14"/>
            </w:pPr>
          </w:p>
        </w:tc>
        <w:tc>
          <w:tcPr>
            <w:tcW w:w="3402" w:type="dxa"/>
            <w:vAlign w:val="center"/>
          </w:tcPr>
          <w:p w14:paraId="63E082BF">
            <w:pPr>
              <w:pStyle w:val="13"/>
            </w:pPr>
            <w:r>
              <w:t>十四、交通运输支出</w:t>
            </w:r>
          </w:p>
        </w:tc>
        <w:tc>
          <w:tcPr>
            <w:tcW w:w="1474" w:type="dxa"/>
            <w:vAlign w:val="center"/>
          </w:tcPr>
          <w:p w14:paraId="7AC9599A">
            <w:pPr>
              <w:pStyle w:val="14"/>
            </w:pPr>
          </w:p>
        </w:tc>
        <w:tc>
          <w:tcPr>
            <w:tcW w:w="1474" w:type="dxa"/>
            <w:vAlign w:val="center"/>
          </w:tcPr>
          <w:p w14:paraId="066E5AAF">
            <w:pPr>
              <w:pStyle w:val="14"/>
            </w:pPr>
          </w:p>
        </w:tc>
        <w:tc>
          <w:tcPr>
            <w:tcW w:w="1474" w:type="dxa"/>
            <w:vAlign w:val="center"/>
          </w:tcPr>
          <w:p w14:paraId="0AEDDFB5">
            <w:pPr>
              <w:pStyle w:val="14"/>
            </w:pPr>
          </w:p>
        </w:tc>
        <w:tc>
          <w:tcPr>
            <w:tcW w:w="1474" w:type="dxa"/>
            <w:vAlign w:val="center"/>
          </w:tcPr>
          <w:p w14:paraId="3FE020A5">
            <w:pPr>
              <w:pStyle w:val="14"/>
            </w:pPr>
          </w:p>
        </w:tc>
      </w:tr>
      <w:tr w14:paraId="43ECC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365EC">
            <w:pPr>
              <w:pStyle w:val="12"/>
            </w:pPr>
            <w:r>
              <w:t>15</w:t>
            </w:r>
          </w:p>
        </w:tc>
        <w:tc>
          <w:tcPr>
            <w:tcW w:w="3402" w:type="dxa"/>
            <w:vAlign w:val="center"/>
          </w:tcPr>
          <w:p w14:paraId="22E69C00">
            <w:pPr>
              <w:pStyle w:val="13"/>
            </w:pPr>
          </w:p>
        </w:tc>
        <w:tc>
          <w:tcPr>
            <w:tcW w:w="1474" w:type="dxa"/>
            <w:vAlign w:val="center"/>
          </w:tcPr>
          <w:p w14:paraId="228EE1FE">
            <w:pPr>
              <w:pStyle w:val="14"/>
            </w:pPr>
          </w:p>
        </w:tc>
        <w:tc>
          <w:tcPr>
            <w:tcW w:w="3402" w:type="dxa"/>
            <w:vAlign w:val="center"/>
          </w:tcPr>
          <w:p w14:paraId="4FD5B206">
            <w:pPr>
              <w:pStyle w:val="13"/>
            </w:pPr>
            <w:r>
              <w:t>十五、资源勘探工业信息等支出</w:t>
            </w:r>
          </w:p>
        </w:tc>
        <w:tc>
          <w:tcPr>
            <w:tcW w:w="1474" w:type="dxa"/>
            <w:vAlign w:val="center"/>
          </w:tcPr>
          <w:p w14:paraId="377BD786">
            <w:pPr>
              <w:pStyle w:val="14"/>
            </w:pPr>
          </w:p>
        </w:tc>
        <w:tc>
          <w:tcPr>
            <w:tcW w:w="1474" w:type="dxa"/>
            <w:vAlign w:val="center"/>
          </w:tcPr>
          <w:p w14:paraId="56F265B9">
            <w:pPr>
              <w:pStyle w:val="14"/>
            </w:pPr>
          </w:p>
        </w:tc>
        <w:tc>
          <w:tcPr>
            <w:tcW w:w="1474" w:type="dxa"/>
            <w:vAlign w:val="center"/>
          </w:tcPr>
          <w:p w14:paraId="27EDDC88">
            <w:pPr>
              <w:pStyle w:val="14"/>
            </w:pPr>
          </w:p>
        </w:tc>
        <w:tc>
          <w:tcPr>
            <w:tcW w:w="1474" w:type="dxa"/>
            <w:vAlign w:val="center"/>
          </w:tcPr>
          <w:p w14:paraId="4DAD61C6">
            <w:pPr>
              <w:pStyle w:val="14"/>
            </w:pPr>
          </w:p>
        </w:tc>
      </w:tr>
      <w:tr w14:paraId="2625F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BA0CC">
            <w:pPr>
              <w:pStyle w:val="12"/>
            </w:pPr>
            <w:r>
              <w:t>16</w:t>
            </w:r>
          </w:p>
        </w:tc>
        <w:tc>
          <w:tcPr>
            <w:tcW w:w="3402" w:type="dxa"/>
            <w:vAlign w:val="center"/>
          </w:tcPr>
          <w:p w14:paraId="6C0F8E4B">
            <w:pPr>
              <w:pStyle w:val="13"/>
            </w:pPr>
          </w:p>
        </w:tc>
        <w:tc>
          <w:tcPr>
            <w:tcW w:w="1474" w:type="dxa"/>
            <w:vAlign w:val="center"/>
          </w:tcPr>
          <w:p w14:paraId="2F47DBE9">
            <w:pPr>
              <w:pStyle w:val="14"/>
            </w:pPr>
          </w:p>
        </w:tc>
        <w:tc>
          <w:tcPr>
            <w:tcW w:w="3402" w:type="dxa"/>
            <w:vAlign w:val="center"/>
          </w:tcPr>
          <w:p w14:paraId="765E63A3">
            <w:pPr>
              <w:pStyle w:val="13"/>
            </w:pPr>
            <w:r>
              <w:t>十六、商业服务业等支出</w:t>
            </w:r>
          </w:p>
        </w:tc>
        <w:tc>
          <w:tcPr>
            <w:tcW w:w="1474" w:type="dxa"/>
            <w:vAlign w:val="center"/>
          </w:tcPr>
          <w:p w14:paraId="50B70043">
            <w:pPr>
              <w:pStyle w:val="14"/>
            </w:pPr>
          </w:p>
        </w:tc>
        <w:tc>
          <w:tcPr>
            <w:tcW w:w="1474" w:type="dxa"/>
            <w:vAlign w:val="center"/>
          </w:tcPr>
          <w:p w14:paraId="05BF104A">
            <w:pPr>
              <w:pStyle w:val="14"/>
            </w:pPr>
          </w:p>
        </w:tc>
        <w:tc>
          <w:tcPr>
            <w:tcW w:w="1474" w:type="dxa"/>
            <w:vAlign w:val="center"/>
          </w:tcPr>
          <w:p w14:paraId="22CB38CD">
            <w:pPr>
              <w:pStyle w:val="14"/>
            </w:pPr>
          </w:p>
        </w:tc>
        <w:tc>
          <w:tcPr>
            <w:tcW w:w="1474" w:type="dxa"/>
            <w:vAlign w:val="center"/>
          </w:tcPr>
          <w:p w14:paraId="6EBD156B">
            <w:pPr>
              <w:pStyle w:val="14"/>
            </w:pPr>
          </w:p>
        </w:tc>
      </w:tr>
      <w:tr w14:paraId="474F7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E0490">
            <w:pPr>
              <w:pStyle w:val="12"/>
            </w:pPr>
            <w:r>
              <w:t>17</w:t>
            </w:r>
          </w:p>
        </w:tc>
        <w:tc>
          <w:tcPr>
            <w:tcW w:w="3402" w:type="dxa"/>
            <w:vAlign w:val="center"/>
          </w:tcPr>
          <w:p w14:paraId="4F38E066">
            <w:pPr>
              <w:pStyle w:val="13"/>
            </w:pPr>
          </w:p>
        </w:tc>
        <w:tc>
          <w:tcPr>
            <w:tcW w:w="1474" w:type="dxa"/>
            <w:vAlign w:val="center"/>
          </w:tcPr>
          <w:p w14:paraId="5C48B070">
            <w:pPr>
              <w:pStyle w:val="14"/>
            </w:pPr>
          </w:p>
        </w:tc>
        <w:tc>
          <w:tcPr>
            <w:tcW w:w="3402" w:type="dxa"/>
            <w:vAlign w:val="center"/>
          </w:tcPr>
          <w:p w14:paraId="07DD9959">
            <w:pPr>
              <w:pStyle w:val="13"/>
            </w:pPr>
            <w:r>
              <w:t>十七、金融支出</w:t>
            </w:r>
          </w:p>
        </w:tc>
        <w:tc>
          <w:tcPr>
            <w:tcW w:w="1474" w:type="dxa"/>
            <w:vAlign w:val="center"/>
          </w:tcPr>
          <w:p w14:paraId="05046947">
            <w:pPr>
              <w:pStyle w:val="14"/>
            </w:pPr>
          </w:p>
        </w:tc>
        <w:tc>
          <w:tcPr>
            <w:tcW w:w="1474" w:type="dxa"/>
            <w:vAlign w:val="center"/>
          </w:tcPr>
          <w:p w14:paraId="71AFBF3D">
            <w:pPr>
              <w:pStyle w:val="14"/>
            </w:pPr>
          </w:p>
        </w:tc>
        <w:tc>
          <w:tcPr>
            <w:tcW w:w="1474" w:type="dxa"/>
            <w:vAlign w:val="center"/>
          </w:tcPr>
          <w:p w14:paraId="153C43A7">
            <w:pPr>
              <w:pStyle w:val="14"/>
            </w:pPr>
          </w:p>
        </w:tc>
        <w:tc>
          <w:tcPr>
            <w:tcW w:w="1474" w:type="dxa"/>
            <w:vAlign w:val="center"/>
          </w:tcPr>
          <w:p w14:paraId="380AC2D4">
            <w:pPr>
              <w:pStyle w:val="14"/>
            </w:pPr>
          </w:p>
        </w:tc>
      </w:tr>
      <w:tr w14:paraId="7CC6F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ECD37">
            <w:pPr>
              <w:pStyle w:val="12"/>
            </w:pPr>
            <w:r>
              <w:t>18</w:t>
            </w:r>
          </w:p>
        </w:tc>
        <w:tc>
          <w:tcPr>
            <w:tcW w:w="3402" w:type="dxa"/>
            <w:vAlign w:val="center"/>
          </w:tcPr>
          <w:p w14:paraId="7C77B0EB">
            <w:pPr>
              <w:pStyle w:val="13"/>
            </w:pPr>
          </w:p>
        </w:tc>
        <w:tc>
          <w:tcPr>
            <w:tcW w:w="1474" w:type="dxa"/>
            <w:vAlign w:val="center"/>
          </w:tcPr>
          <w:p w14:paraId="13D2ED5C">
            <w:pPr>
              <w:pStyle w:val="14"/>
            </w:pPr>
          </w:p>
        </w:tc>
        <w:tc>
          <w:tcPr>
            <w:tcW w:w="3402" w:type="dxa"/>
            <w:vAlign w:val="center"/>
          </w:tcPr>
          <w:p w14:paraId="2094AEC9">
            <w:pPr>
              <w:pStyle w:val="13"/>
            </w:pPr>
            <w:r>
              <w:t>十八、援助其他地区支出</w:t>
            </w:r>
          </w:p>
        </w:tc>
        <w:tc>
          <w:tcPr>
            <w:tcW w:w="1474" w:type="dxa"/>
            <w:vAlign w:val="center"/>
          </w:tcPr>
          <w:p w14:paraId="5D63C24C">
            <w:pPr>
              <w:pStyle w:val="14"/>
            </w:pPr>
          </w:p>
        </w:tc>
        <w:tc>
          <w:tcPr>
            <w:tcW w:w="1474" w:type="dxa"/>
            <w:vAlign w:val="center"/>
          </w:tcPr>
          <w:p w14:paraId="7D9233E3">
            <w:pPr>
              <w:pStyle w:val="14"/>
            </w:pPr>
          </w:p>
        </w:tc>
        <w:tc>
          <w:tcPr>
            <w:tcW w:w="1474" w:type="dxa"/>
            <w:vAlign w:val="center"/>
          </w:tcPr>
          <w:p w14:paraId="3FAD5712">
            <w:pPr>
              <w:pStyle w:val="14"/>
            </w:pPr>
          </w:p>
        </w:tc>
        <w:tc>
          <w:tcPr>
            <w:tcW w:w="1474" w:type="dxa"/>
            <w:vAlign w:val="center"/>
          </w:tcPr>
          <w:p w14:paraId="65456193">
            <w:pPr>
              <w:pStyle w:val="14"/>
            </w:pPr>
          </w:p>
        </w:tc>
      </w:tr>
      <w:tr w14:paraId="453C0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433D5">
            <w:pPr>
              <w:pStyle w:val="12"/>
            </w:pPr>
            <w:r>
              <w:t>19</w:t>
            </w:r>
          </w:p>
        </w:tc>
        <w:tc>
          <w:tcPr>
            <w:tcW w:w="3402" w:type="dxa"/>
            <w:vAlign w:val="center"/>
          </w:tcPr>
          <w:p w14:paraId="10DC4A14">
            <w:pPr>
              <w:pStyle w:val="13"/>
            </w:pPr>
          </w:p>
        </w:tc>
        <w:tc>
          <w:tcPr>
            <w:tcW w:w="1474" w:type="dxa"/>
            <w:vAlign w:val="center"/>
          </w:tcPr>
          <w:p w14:paraId="7B751DF8">
            <w:pPr>
              <w:pStyle w:val="14"/>
            </w:pPr>
          </w:p>
        </w:tc>
        <w:tc>
          <w:tcPr>
            <w:tcW w:w="3402" w:type="dxa"/>
            <w:vAlign w:val="center"/>
          </w:tcPr>
          <w:p w14:paraId="75F20D15">
            <w:pPr>
              <w:pStyle w:val="13"/>
            </w:pPr>
            <w:r>
              <w:t>十九、自然资源海洋气象等支出</w:t>
            </w:r>
          </w:p>
        </w:tc>
        <w:tc>
          <w:tcPr>
            <w:tcW w:w="1474" w:type="dxa"/>
            <w:vAlign w:val="center"/>
          </w:tcPr>
          <w:p w14:paraId="5060D59D">
            <w:pPr>
              <w:pStyle w:val="14"/>
            </w:pPr>
          </w:p>
        </w:tc>
        <w:tc>
          <w:tcPr>
            <w:tcW w:w="1474" w:type="dxa"/>
            <w:vAlign w:val="center"/>
          </w:tcPr>
          <w:p w14:paraId="30C8DE04">
            <w:pPr>
              <w:pStyle w:val="14"/>
            </w:pPr>
          </w:p>
        </w:tc>
        <w:tc>
          <w:tcPr>
            <w:tcW w:w="1474" w:type="dxa"/>
            <w:vAlign w:val="center"/>
          </w:tcPr>
          <w:p w14:paraId="57346134">
            <w:pPr>
              <w:pStyle w:val="14"/>
            </w:pPr>
          </w:p>
        </w:tc>
        <w:tc>
          <w:tcPr>
            <w:tcW w:w="1474" w:type="dxa"/>
            <w:vAlign w:val="center"/>
          </w:tcPr>
          <w:p w14:paraId="03445268">
            <w:pPr>
              <w:pStyle w:val="14"/>
            </w:pPr>
          </w:p>
        </w:tc>
      </w:tr>
      <w:tr w14:paraId="050E2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76164">
            <w:pPr>
              <w:pStyle w:val="12"/>
            </w:pPr>
            <w:r>
              <w:t>20</w:t>
            </w:r>
          </w:p>
        </w:tc>
        <w:tc>
          <w:tcPr>
            <w:tcW w:w="3402" w:type="dxa"/>
            <w:vAlign w:val="center"/>
          </w:tcPr>
          <w:p w14:paraId="6B5780AF">
            <w:pPr>
              <w:pStyle w:val="13"/>
            </w:pPr>
          </w:p>
        </w:tc>
        <w:tc>
          <w:tcPr>
            <w:tcW w:w="1474" w:type="dxa"/>
            <w:vAlign w:val="center"/>
          </w:tcPr>
          <w:p w14:paraId="4B248748">
            <w:pPr>
              <w:pStyle w:val="14"/>
            </w:pPr>
          </w:p>
        </w:tc>
        <w:tc>
          <w:tcPr>
            <w:tcW w:w="3402" w:type="dxa"/>
            <w:vAlign w:val="center"/>
          </w:tcPr>
          <w:p w14:paraId="0666197A">
            <w:pPr>
              <w:pStyle w:val="13"/>
            </w:pPr>
            <w:r>
              <w:t>二十、住房保障支出</w:t>
            </w:r>
          </w:p>
        </w:tc>
        <w:tc>
          <w:tcPr>
            <w:tcW w:w="1474" w:type="dxa"/>
            <w:vAlign w:val="center"/>
          </w:tcPr>
          <w:p w14:paraId="67A6A28B">
            <w:pPr>
              <w:pStyle w:val="14"/>
            </w:pPr>
          </w:p>
        </w:tc>
        <w:tc>
          <w:tcPr>
            <w:tcW w:w="1474" w:type="dxa"/>
            <w:vAlign w:val="center"/>
          </w:tcPr>
          <w:p w14:paraId="30657CBD">
            <w:pPr>
              <w:pStyle w:val="14"/>
            </w:pPr>
          </w:p>
        </w:tc>
        <w:tc>
          <w:tcPr>
            <w:tcW w:w="1474" w:type="dxa"/>
            <w:vAlign w:val="center"/>
          </w:tcPr>
          <w:p w14:paraId="6ACC5090">
            <w:pPr>
              <w:pStyle w:val="14"/>
            </w:pPr>
          </w:p>
        </w:tc>
        <w:tc>
          <w:tcPr>
            <w:tcW w:w="1474" w:type="dxa"/>
            <w:vAlign w:val="center"/>
          </w:tcPr>
          <w:p w14:paraId="245F70C1">
            <w:pPr>
              <w:pStyle w:val="14"/>
            </w:pPr>
          </w:p>
        </w:tc>
      </w:tr>
      <w:tr w14:paraId="5DDBD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B8B3E">
            <w:pPr>
              <w:pStyle w:val="12"/>
            </w:pPr>
            <w:r>
              <w:t>21</w:t>
            </w:r>
          </w:p>
        </w:tc>
        <w:tc>
          <w:tcPr>
            <w:tcW w:w="3402" w:type="dxa"/>
            <w:vAlign w:val="center"/>
          </w:tcPr>
          <w:p w14:paraId="04CE3F07">
            <w:pPr>
              <w:pStyle w:val="13"/>
            </w:pPr>
          </w:p>
        </w:tc>
        <w:tc>
          <w:tcPr>
            <w:tcW w:w="1474" w:type="dxa"/>
            <w:vAlign w:val="center"/>
          </w:tcPr>
          <w:p w14:paraId="5A3BF78B">
            <w:pPr>
              <w:pStyle w:val="14"/>
            </w:pPr>
          </w:p>
        </w:tc>
        <w:tc>
          <w:tcPr>
            <w:tcW w:w="3402" w:type="dxa"/>
            <w:vAlign w:val="center"/>
          </w:tcPr>
          <w:p w14:paraId="375EE208">
            <w:pPr>
              <w:pStyle w:val="13"/>
            </w:pPr>
            <w:r>
              <w:t>二十一、粮油物资储备支出</w:t>
            </w:r>
          </w:p>
        </w:tc>
        <w:tc>
          <w:tcPr>
            <w:tcW w:w="1474" w:type="dxa"/>
            <w:vAlign w:val="center"/>
          </w:tcPr>
          <w:p w14:paraId="5519C3A8">
            <w:pPr>
              <w:pStyle w:val="14"/>
            </w:pPr>
          </w:p>
        </w:tc>
        <w:tc>
          <w:tcPr>
            <w:tcW w:w="1474" w:type="dxa"/>
            <w:vAlign w:val="center"/>
          </w:tcPr>
          <w:p w14:paraId="3E584FA6">
            <w:pPr>
              <w:pStyle w:val="14"/>
            </w:pPr>
          </w:p>
        </w:tc>
        <w:tc>
          <w:tcPr>
            <w:tcW w:w="1474" w:type="dxa"/>
            <w:vAlign w:val="center"/>
          </w:tcPr>
          <w:p w14:paraId="34B4CA8C">
            <w:pPr>
              <w:pStyle w:val="14"/>
            </w:pPr>
          </w:p>
        </w:tc>
        <w:tc>
          <w:tcPr>
            <w:tcW w:w="1474" w:type="dxa"/>
            <w:vAlign w:val="center"/>
          </w:tcPr>
          <w:p w14:paraId="360132DD">
            <w:pPr>
              <w:pStyle w:val="14"/>
            </w:pPr>
          </w:p>
        </w:tc>
      </w:tr>
      <w:tr w14:paraId="06A32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469E6">
            <w:pPr>
              <w:pStyle w:val="12"/>
            </w:pPr>
            <w:r>
              <w:t>22</w:t>
            </w:r>
          </w:p>
        </w:tc>
        <w:tc>
          <w:tcPr>
            <w:tcW w:w="3402" w:type="dxa"/>
            <w:vAlign w:val="center"/>
          </w:tcPr>
          <w:p w14:paraId="3DC6C394">
            <w:pPr>
              <w:pStyle w:val="13"/>
            </w:pPr>
          </w:p>
        </w:tc>
        <w:tc>
          <w:tcPr>
            <w:tcW w:w="1474" w:type="dxa"/>
            <w:vAlign w:val="center"/>
          </w:tcPr>
          <w:p w14:paraId="6D2AE81D">
            <w:pPr>
              <w:pStyle w:val="14"/>
            </w:pPr>
          </w:p>
        </w:tc>
        <w:tc>
          <w:tcPr>
            <w:tcW w:w="3402" w:type="dxa"/>
            <w:vAlign w:val="center"/>
          </w:tcPr>
          <w:p w14:paraId="774A215F">
            <w:pPr>
              <w:pStyle w:val="13"/>
            </w:pPr>
            <w:r>
              <w:t>二十二、国有资本经营预算支出</w:t>
            </w:r>
          </w:p>
        </w:tc>
        <w:tc>
          <w:tcPr>
            <w:tcW w:w="1474" w:type="dxa"/>
            <w:vAlign w:val="center"/>
          </w:tcPr>
          <w:p w14:paraId="15B70BB6">
            <w:pPr>
              <w:pStyle w:val="14"/>
            </w:pPr>
          </w:p>
        </w:tc>
        <w:tc>
          <w:tcPr>
            <w:tcW w:w="1474" w:type="dxa"/>
            <w:vAlign w:val="center"/>
          </w:tcPr>
          <w:p w14:paraId="40C45D87">
            <w:pPr>
              <w:pStyle w:val="14"/>
            </w:pPr>
          </w:p>
        </w:tc>
        <w:tc>
          <w:tcPr>
            <w:tcW w:w="1474" w:type="dxa"/>
            <w:vAlign w:val="center"/>
          </w:tcPr>
          <w:p w14:paraId="6EE0CD4E">
            <w:pPr>
              <w:pStyle w:val="14"/>
            </w:pPr>
          </w:p>
        </w:tc>
        <w:tc>
          <w:tcPr>
            <w:tcW w:w="1474" w:type="dxa"/>
            <w:vAlign w:val="center"/>
          </w:tcPr>
          <w:p w14:paraId="6D0A4D96">
            <w:pPr>
              <w:pStyle w:val="14"/>
            </w:pPr>
          </w:p>
        </w:tc>
      </w:tr>
      <w:tr w14:paraId="00943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323CB">
            <w:pPr>
              <w:pStyle w:val="12"/>
            </w:pPr>
            <w:r>
              <w:t>23</w:t>
            </w:r>
          </w:p>
        </w:tc>
        <w:tc>
          <w:tcPr>
            <w:tcW w:w="3402" w:type="dxa"/>
            <w:vAlign w:val="center"/>
          </w:tcPr>
          <w:p w14:paraId="2D073A79">
            <w:pPr>
              <w:pStyle w:val="13"/>
            </w:pPr>
          </w:p>
        </w:tc>
        <w:tc>
          <w:tcPr>
            <w:tcW w:w="1474" w:type="dxa"/>
            <w:vAlign w:val="center"/>
          </w:tcPr>
          <w:p w14:paraId="41461C9B">
            <w:pPr>
              <w:pStyle w:val="14"/>
            </w:pPr>
          </w:p>
        </w:tc>
        <w:tc>
          <w:tcPr>
            <w:tcW w:w="3402" w:type="dxa"/>
            <w:vAlign w:val="center"/>
          </w:tcPr>
          <w:p w14:paraId="0A2BFEAF">
            <w:pPr>
              <w:pStyle w:val="13"/>
            </w:pPr>
            <w:r>
              <w:t>二十三、灾害防治及应急管理支出</w:t>
            </w:r>
          </w:p>
        </w:tc>
        <w:tc>
          <w:tcPr>
            <w:tcW w:w="1474" w:type="dxa"/>
            <w:vAlign w:val="center"/>
          </w:tcPr>
          <w:p w14:paraId="1B7CB46E">
            <w:pPr>
              <w:pStyle w:val="14"/>
            </w:pPr>
          </w:p>
        </w:tc>
        <w:tc>
          <w:tcPr>
            <w:tcW w:w="1474" w:type="dxa"/>
            <w:vAlign w:val="center"/>
          </w:tcPr>
          <w:p w14:paraId="65CC6385">
            <w:pPr>
              <w:pStyle w:val="14"/>
            </w:pPr>
          </w:p>
        </w:tc>
        <w:tc>
          <w:tcPr>
            <w:tcW w:w="1474" w:type="dxa"/>
            <w:vAlign w:val="center"/>
          </w:tcPr>
          <w:p w14:paraId="44187FF8">
            <w:pPr>
              <w:pStyle w:val="14"/>
            </w:pPr>
          </w:p>
        </w:tc>
        <w:tc>
          <w:tcPr>
            <w:tcW w:w="1474" w:type="dxa"/>
            <w:vAlign w:val="center"/>
          </w:tcPr>
          <w:p w14:paraId="7BD79F3D">
            <w:pPr>
              <w:pStyle w:val="14"/>
            </w:pPr>
          </w:p>
        </w:tc>
      </w:tr>
      <w:tr w14:paraId="7E129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3A7BB">
            <w:pPr>
              <w:pStyle w:val="12"/>
            </w:pPr>
            <w:r>
              <w:t>24</w:t>
            </w:r>
          </w:p>
        </w:tc>
        <w:tc>
          <w:tcPr>
            <w:tcW w:w="3402" w:type="dxa"/>
            <w:vAlign w:val="center"/>
          </w:tcPr>
          <w:p w14:paraId="5DBB336C">
            <w:pPr>
              <w:pStyle w:val="13"/>
            </w:pPr>
          </w:p>
        </w:tc>
        <w:tc>
          <w:tcPr>
            <w:tcW w:w="1474" w:type="dxa"/>
            <w:vAlign w:val="center"/>
          </w:tcPr>
          <w:p w14:paraId="65B49879">
            <w:pPr>
              <w:pStyle w:val="14"/>
            </w:pPr>
          </w:p>
        </w:tc>
        <w:tc>
          <w:tcPr>
            <w:tcW w:w="3402" w:type="dxa"/>
            <w:vAlign w:val="center"/>
          </w:tcPr>
          <w:p w14:paraId="628F11E9">
            <w:pPr>
              <w:pStyle w:val="13"/>
            </w:pPr>
            <w:r>
              <w:t>二十四、预备费</w:t>
            </w:r>
          </w:p>
        </w:tc>
        <w:tc>
          <w:tcPr>
            <w:tcW w:w="1474" w:type="dxa"/>
            <w:vAlign w:val="center"/>
          </w:tcPr>
          <w:p w14:paraId="6A61BF7D">
            <w:pPr>
              <w:pStyle w:val="14"/>
            </w:pPr>
          </w:p>
        </w:tc>
        <w:tc>
          <w:tcPr>
            <w:tcW w:w="1474" w:type="dxa"/>
            <w:vAlign w:val="center"/>
          </w:tcPr>
          <w:p w14:paraId="073909DD">
            <w:pPr>
              <w:pStyle w:val="14"/>
            </w:pPr>
          </w:p>
        </w:tc>
        <w:tc>
          <w:tcPr>
            <w:tcW w:w="1474" w:type="dxa"/>
            <w:vAlign w:val="center"/>
          </w:tcPr>
          <w:p w14:paraId="3F0E9C4B">
            <w:pPr>
              <w:pStyle w:val="14"/>
            </w:pPr>
          </w:p>
        </w:tc>
        <w:tc>
          <w:tcPr>
            <w:tcW w:w="1474" w:type="dxa"/>
            <w:vAlign w:val="center"/>
          </w:tcPr>
          <w:p w14:paraId="5D6426A1">
            <w:pPr>
              <w:pStyle w:val="14"/>
            </w:pPr>
          </w:p>
        </w:tc>
      </w:tr>
      <w:tr w14:paraId="39610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117D4">
            <w:pPr>
              <w:pStyle w:val="12"/>
            </w:pPr>
            <w:r>
              <w:t>25</w:t>
            </w:r>
          </w:p>
        </w:tc>
        <w:tc>
          <w:tcPr>
            <w:tcW w:w="3402" w:type="dxa"/>
            <w:vAlign w:val="center"/>
          </w:tcPr>
          <w:p w14:paraId="4A3780CE">
            <w:pPr>
              <w:pStyle w:val="13"/>
            </w:pPr>
          </w:p>
        </w:tc>
        <w:tc>
          <w:tcPr>
            <w:tcW w:w="1474" w:type="dxa"/>
            <w:vAlign w:val="center"/>
          </w:tcPr>
          <w:p w14:paraId="180BE59E">
            <w:pPr>
              <w:pStyle w:val="14"/>
            </w:pPr>
          </w:p>
        </w:tc>
        <w:tc>
          <w:tcPr>
            <w:tcW w:w="3402" w:type="dxa"/>
            <w:vAlign w:val="center"/>
          </w:tcPr>
          <w:p w14:paraId="1140DC72">
            <w:pPr>
              <w:pStyle w:val="13"/>
            </w:pPr>
            <w:r>
              <w:t>二十五、其他支出</w:t>
            </w:r>
          </w:p>
        </w:tc>
        <w:tc>
          <w:tcPr>
            <w:tcW w:w="1474" w:type="dxa"/>
            <w:vAlign w:val="center"/>
          </w:tcPr>
          <w:p w14:paraId="02796A1B">
            <w:pPr>
              <w:pStyle w:val="14"/>
            </w:pPr>
          </w:p>
        </w:tc>
        <w:tc>
          <w:tcPr>
            <w:tcW w:w="1474" w:type="dxa"/>
            <w:vAlign w:val="center"/>
          </w:tcPr>
          <w:p w14:paraId="168BA7AC">
            <w:pPr>
              <w:pStyle w:val="14"/>
            </w:pPr>
          </w:p>
        </w:tc>
        <w:tc>
          <w:tcPr>
            <w:tcW w:w="1474" w:type="dxa"/>
            <w:vAlign w:val="center"/>
          </w:tcPr>
          <w:p w14:paraId="4AB1C53A">
            <w:pPr>
              <w:pStyle w:val="14"/>
            </w:pPr>
          </w:p>
        </w:tc>
        <w:tc>
          <w:tcPr>
            <w:tcW w:w="1474" w:type="dxa"/>
            <w:vAlign w:val="center"/>
          </w:tcPr>
          <w:p w14:paraId="4ADD5CBC">
            <w:pPr>
              <w:pStyle w:val="14"/>
            </w:pPr>
          </w:p>
        </w:tc>
      </w:tr>
      <w:tr w14:paraId="5B8B3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36EA4">
            <w:pPr>
              <w:pStyle w:val="12"/>
            </w:pPr>
            <w:r>
              <w:t>26</w:t>
            </w:r>
          </w:p>
        </w:tc>
        <w:tc>
          <w:tcPr>
            <w:tcW w:w="3402" w:type="dxa"/>
            <w:vAlign w:val="center"/>
          </w:tcPr>
          <w:p w14:paraId="6E7D65BF">
            <w:pPr>
              <w:pStyle w:val="13"/>
            </w:pPr>
          </w:p>
        </w:tc>
        <w:tc>
          <w:tcPr>
            <w:tcW w:w="1474" w:type="dxa"/>
            <w:vAlign w:val="center"/>
          </w:tcPr>
          <w:p w14:paraId="0DA47AE6">
            <w:pPr>
              <w:pStyle w:val="14"/>
            </w:pPr>
          </w:p>
        </w:tc>
        <w:tc>
          <w:tcPr>
            <w:tcW w:w="3402" w:type="dxa"/>
            <w:vAlign w:val="center"/>
          </w:tcPr>
          <w:p w14:paraId="2CBD563C">
            <w:pPr>
              <w:pStyle w:val="13"/>
            </w:pPr>
            <w:r>
              <w:t>二十六、转移性支出</w:t>
            </w:r>
          </w:p>
        </w:tc>
        <w:tc>
          <w:tcPr>
            <w:tcW w:w="1474" w:type="dxa"/>
            <w:vAlign w:val="center"/>
          </w:tcPr>
          <w:p w14:paraId="630B131E">
            <w:pPr>
              <w:pStyle w:val="14"/>
            </w:pPr>
          </w:p>
        </w:tc>
        <w:tc>
          <w:tcPr>
            <w:tcW w:w="1474" w:type="dxa"/>
            <w:vAlign w:val="center"/>
          </w:tcPr>
          <w:p w14:paraId="7C3AFA12">
            <w:pPr>
              <w:pStyle w:val="14"/>
            </w:pPr>
          </w:p>
        </w:tc>
        <w:tc>
          <w:tcPr>
            <w:tcW w:w="1474" w:type="dxa"/>
            <w:vAlign w:val="center"/>
          </w:tcPr>
          <w:p w14:paraId="689BB675">
            <w:pPr>
              <w:pStyle w:val="14"/>
            </w:pPr>
          </w:p>
        </w:tc>
        <w:tc>
          <w:tcPr>
            <w:tcW w:w="1474" w:type="dxa"/>
            <w:vAlign w:val="center"/>
          </w:tcPr>
          <w:p w14:paraId="548CC307">
            <w:pPr>
              <w:pStyle w:val="14"/>
            </w:pPr>
          </w:p>
        </w:tc>
      </w:tr>
      <w:tr w14:paraId="1C9AF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3807D">
            <w:pPr>
              <w:pStyle w:val="12"/>
            </w:pPr>
            <w:r>
              <w:t>27</w:t>
            </w:r>
          </w:p>
        </w:tc>
        <w:tc>
          <w:tcPr>
            <w:tcW w:w="3402" w:type="dxa"/>
            <w:vAlign w:val="center"/>
          </w:tcPr>
          <w:p w14:paraId="3339C6B2">
            <w:pPr>
              <w:pStyle w:val="13"/>
            </w:pPr>
          </w:p>
        </w:tc>
        <w:tc>
          <w:tcPr>
            <w:tcW w:w="1474" w:type="dxa"/>
            <w:vAlign w:val="center"/>
          </w:tcPr>
          <w:p w14:paraId="5300BAEF">
            <w:pPr>
              <w:pStyle w:val="14"/>
            </w:pPr>
          </w:p>
        </w:tc>
        <w:tc>
          <w:tcPr>
            <w:tcW w:w="3402" w:type="dxa"/>
            <w:vAlign w:val="center"/>
          </w:tcPr>
          <w:p w14:paraId="624C038C">
            <w:pPr>
              <w:pStyle w:val="13"/>
            </w:pPr>
            <w:r>
              <w:t>二十七、债务还本支出</w:t>
            </w:r>
          </w:p>
        </w:tc>
        <w:tc>
          <w:tcPr>
            <w:tcW w:w="1474" w:type="dxa"/>
            <w:vAlign w:val="center"/>
          </w:tcPr>
          <w:p w14:paraId="2E579BAA">
            <w:pPr>
              <w:pStyle w:val="14"/>
            </w:pPr>
          </w:p>
        </w:tc>
        <w:tc>
          <w:tcPr>
            <w:tcW w:w="1474" w:type="dxa"/>
            <w:vAlign w:val="center"/>
          </w:tcPr>
          <w:p w14:paraId="0745D9F3">
            <w:pPr>
              <w:pStyle w:val="14"/>
            </w:pPr>
          </w:p>
        </w:tc>
        <w:tc>
          <w:tcPr>
            <w:tcW w:w="1474" w:type="dxa"/>
            <w:vAlign w:val="center"/>
          </w:tcPr>
          <w:p w14:paraId="2A449DCB">
            <w:pPr>
              <w:pStyle w:val="14"/>
            </w:pPr>
          </w:p>
        </w:tc>
        <w:tc>
          <w:tcPr>
            <w:tcW w:w="1474" w:type="dxa"/>
            <w:vAlign w:val="center"/>
          </w:tcPr>
          <w:p w14:paraId="3D616C0A">
            <w:pPr>
              <w:pStyle w:val="14"/>
            </w:pPr>
          </w:p>
        </w:tc>
      </w:tr>
      <w:tr w14:paraId="12A06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946FC">
            <w:pPr>
              <w:pStyle w:val="12"/>
            </w:pPr>
            <w:r>
              <w:t>28</w:t>
            </w:r>
          </w:p>
        </w:tc>
        <w:tc>
          <w:tcPr>
            <w:tcW w:w="3402" w:type="dxa"/>
            <w:vAlign w:val="center"/>
          </w:tcPr>
          <w:p w14:paraId="47B5093D">
            <w:pPr>
              <w:pStyle w:val="13"/>
            </w:pPr>
          </w:p>
        </w:tc>
        <w:tc>
          <w:tcPr>
            <w:tcW w:w="1474" w:type="dxa"/>
            <w:vAlign w:val="center"/>
          </w:tcPr>
          <w:p w14:paraId="26F66E5B">
            <w:pPr>
              <w:pStyle w:val="14"/>
            </w:pPr>
          </w:p>
        </w:tc>
        <w:tc>
          <w:tcPr>
            <w:tcW w:w="3402" w:type="dxa"/>
            <w:vAlign w:val="center"/>
          </w:tcPr>
          <w:p w14:paraId="3635448F">
            <w:pPr>
              <w:pStyle w:val="13"/>
            </w:pPr>
            <w:r>
              <w:t>二十八、债务付息支出</w:t>
            </w:r>
          </w:p>
        </w:tc>
        <w:tc>
          <w:tcPr>
            <w:tcW w:w="1474" w:type="dxa"/>
            <w:vAlign w:val="center"/>
          </w:tcPr>
          <w:p w14:paraId="02AF3C43">
            <w:pPr>
              <w:pStyle w:val="14"/>
            </w:pPr>
          </w:p>
        </w:tc>
        <w:tc>
          <w:tcPr>
            <w:tcW w:w="1474" w:type="dxa"/>
            <w:vAlign w:val="center"/>
          </w:tcPr>
          <w:p w14:paraId="70460D69">
            <w:pPr>
              <w:pStyle w:val="14"/>
            </w:pPr>
          </w:p>
        </w:tc>
        <w:tc>
          <w:tcPr>
            <w:tcW w:w="1474" w:type="dxa"/>
            <w:vAlign w:val="center"/>
          </w:tcPr>
          <w:p w14:paraId="29FCB548">
            <w:pPr>
              <w:pStyle w:val="14"/>
            </w:pPr>
          </w:p>
        </w:tc>
        <w:tc>
          <w:tcPr>
            <w:tcW w:w="1474" w:type="dxa"/>
            <w:vAlign w:val="center"/>
          </w:tcPr>
          <w:p w14:paraId="7A637946">
            <w:pPr>
              <w:pStyle w:val="14"/>
            </w:pPr>
          </w:p>
        </w:tc>
      </w:tr>
      <w:tr w14:paraId="6D729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3B001">
            <w:pPr>
              <w:pStyle w:val="12"/>
            </w:pPr>
            <w:r>
              <w:t>29</w:t>
            </w:r>
          </w:p>
        </w:tc>
        <w:tc>
          <w:tcPr>
            <w:tcW w:w="3402" w:type="dxa"/>
            <w:vAlign w:val="center"/>
          </w:tcPr>
          <w:p w14:paraId="36F91CE4">
            <w:pPr>
              <w:pStyle w:val="13"/>
            </w:pPr>
          </w:p>
        </w:tc>
        <w:tc>
          <w:tcPr>
            <w:tcW w:w="1474" w:type="dxa"/>
            <w:vAlign w:val="center"/>
          </w:tcPr>
          <w:p w14:paraId="6DAB3900">
            <w:pPr>
              <w:pStyle w:val="14"/>
            </w:pPr>
          </w:p>
        </w:tc>
        <w:tc>
          <w:tcPr>
            <w:tcW w:w="3402" w:type="dxa"/>
            <w:vAlign w:val="center"/>
          </w:tcPr>
          <w:p w14:paraId="574C6A9C">
            <w:pPr>
              <w:pStyle w:val="13"/>
            </w:pPr>
            <w:r>
              <w:t>二十九、债务发行费用支出</w:t>
            </w:r>
          </w:p>
        </w:tc>
        <w:tc>
          <w:tcPr>
            <w:tcW w:w="1474" w:type="dxa"/>
            <w:vAlign w:val="center"/>
          </w:tcPr>
          <w:p w14:paraId="6173C105">
            <w:pPr>
              <w:pStyle w:val="14"/>
            </w:pPr>
          </w:p>
        </w:tc>
        <w:tc>
          <w:tcPr>
            <w:tcW w:w="1474" w:type="dxa"/>
            <w:vAlign w:val="center"/>
          </w:tcPr>
          <w:p w14:paraId="7AB102CA">
            <w:pPr>
              <w:pStyle w:val="14"/>
            </w:pPr>
          </w:p>
        </w:tc>
        <w:tc>
          <w:tcPr>
            <w:tcW w:w="1474" w:type="dxa"/>
            <w:vAlign w:val="center"/>
          </w:tcPr>
          <w:p w14:paraId="222E01C0">
            <w:pPr>
              <w:pStyle w:val="14"/>
            </w:pPr>
          </w:p>
        </w:tc>
        <w:tc>
          <w:tcPr>
            <w:tcW w:w="1474" w:type="dxa"/>
            <w:vAlign w:val="center"/>
          </w:tcPr>
          <w:p w14:paraId="0476DAC3">
            <w:pPr>
              <w:pStyle w:val="14"/>
            </w:pPr>
          </w:p>
        </w:tc>
      </w:tr>
      <w:tr w14:paraId="30AEF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DF867">
            <w:pPr>
              <w:pStyle w:val="12"/>
            </w:pPr>
            <w:r>
              <w:t>30</w:t>
            </w:r>
          </w:p>
        </w:tc>
        <w:tc>
          <w:tcPr>
            <w:tcW w:w="3402" w:type="dxa"/>
            <w:vAlign w:val="center"/>
          </w:tcPr>
          <w:p w14:paraId="3A033786">
            <w:pPr>
              <w:pStyle w:val="13"/>
            </w:pPr>
          </w:p>
        </w:tc>
        <w:tc>
          <w:tcPr>
            <w:tcW w:w="1474" w:type="dxa"/>
            <w:vAlign w:val="center"/>
          </w:tcPr>
          <w:p w14:paraId="4476E5EB">
            <w:pPr>
              <w:pStyle w:val="14"/>
            </w:pPr>
          </w:p>
        </w:tc>
        <w:tc>
          <w:tcPr>
            <w:tcW w:w="3402" w:type="dxa"/>
            <w:vAlign w:val="center"/>
          </w:tcPr>
          <w:p w14:paraId="1C7E7436">
            <w:pPr>
              <w:pStyle w:val="13"/>
            </w:pPr>
            <w:r>
              <w:t>三十、抗疫特别国债安排的支出</w:t>
            </w:r>
          </w:p>
        </w:tc>
        <w:tc>
          <w:tcPr>
            <w:tcW w:w="1474" w:type="dxa"/>
            <w:vAlign w:val="center"/>
          </w:tcPr>
          <w:p w14:paraId="79B7770B">
            <w:pPr>
              <w:pStyle w:val="14"/>
            </w:pPr>
          </w:p>
        </w:tc>
        <w:tc>
          <w:tcPr>
            <w:tcW w:w="1474" w:type="dxa"/>
            <w:vAlign w:val="center"/>
          </w:tcPr>
          <w:p w14:paraId="6BC484C8">
            <w:pPr>
              <w:pStyle w:val="14"/>
            </w:pPr>
          </w:p>
        </w:tc>
        <w:tc>
          <w:tcPr>
            <w:tcW w:w="1474" w:type="dxa"/>
            <w:vAlign w:val="center"/>
          </w:tcPr>
          <w:p w14:paraId="3B9B6234">
            <w:pPr>
              <w:pStyle w:val="14"/>
            </w:pPr>
          </w:p>
        </w:tc>
        <w:tc>
          <w:tcPr>
            <w:tcW w:w="1474" w:type="dxa"/>
            <w:vAlign w:val="center"/>
          </w:tcPr>
          <w:p w14:paraId="4817CE13">
            <w:pPr>
              <w:pStyle w:val="14"/>
            </w:pPr>
          </w:p>
        </w:tc>
      </w:tr>
      <w:tr w14:paraId="7DFB1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2110E">
            <w:pPr>
              <w:pStyle w:val="12"/>
            </w:pPr>
            <w:r>
              <w:t>31</w:t>
            </w:r>
          </w:p>
        </w:tc>
        <w:tc>
          <w:tcPr>
            <w:tcW w:w="3402" w:type="dxa"/>
            <w:vAlign w:val="center"/>
          </w:tcPr>
          <w:p w14:paraId="687CC08A">
            <w:pPr>
              <w:pStyle w:val="13"/>
            </w:pPr>
          </w:p>
        </w:tc>
        <w:tc>
          <w:tcPr>
            <w:tcW w:w="1474" w:type="dxa"/>
            <w:vAlign w:val="center"/>
          </w:tcPr>
          <w:p w14:paraId="289990DD">
            <w:pPr>
              <w:pStyle w:val="14"/>
            </w:pPr>
          </w:p>
        </w:tc>
        <w:tc>
          <w:tcPr>
            <w:tcW w:w="3402" w:type="dxa"/>
            <w:vAlign w:val="center"/>
          </w:tcPr>
          <w:p w14:paraId="2F6846CB">
            <w:pPr>
              <w:pStyle w:val="13"/>
            </w:pPr>
            <w:r>
              <w:t>三十一、人行科目</w:t>
            </w:r>
          </w:p>
        </w:tc>
        <w:tc>
          <w:tcPr>
            <w:tcW w:w="1474" w:type="dxa"/>
            <w:vAlign w:val="center"/>
          </w:tcPr>
          <w:p w14:paraId="1BD551EF">
            <w:pPr>
              <w:pStyle w:val="14"/>
            </w:pPr>
          </w:p>
        </w:tc>
        <w:tc>
          <w:tcPr>
            <w:tcW w:w="1474" w:type="dxa"/>
            <w:vAlign w:val="center"/>
          </w:tcPr>
          <w:p w14:paraId="2F383B3A">
            <w:pPr>
              <w:pStyle w:val="14"/>
            </w:pPr>
          </w:p>
        </w:tc>
        <w:tc>
          <w:tcPr>
            <w:tcW w:w="1474" w:type="dxa"/>
            <w:vAlign w:val="center"/>
          </w:tcPr>
          <w:p w14:paraId="39E0D67A">
            <w:pPr>
              <w:pStyle w:val="14"/>
            </w:pPr>
          </w:p>
        </w:tc>
        <w:tc>
          <w:tcPr>
            <w:tcW w:w="1474" w:type="dxa"/>
            <w:vAlign w:val="center"/>
          </w:tcPr>
          <w:p w14:paraId="3C202A33">
            <w:pPr>
              <w:pStyle w:val="14"/>
            </w:pPr>
          </w:p>
        </w:tc>
      </w:tr>
      <w:tr w14:paraId="3E7AA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97693">
            <w:pPr>
              <w:pStyle w:val="12"/>
            </w:pPr>
            <w:r>
              <w:t>32</w:t>
            </w:r>
          </w:p>
        </w:tc>
        <w:tc>
          <w:tcPr>
            <w:tcW w:w="3402" w:type="dxa"/>
            <w:vAlign w:val="center"/>
          </w:tcPr>
          <w:p w14:paraId="6AB257AD">
            <w:pPr>
              <w:pStyle w:val="15"/>
            </w:pPr>
            <w:r>
              <w:t>本年收入合计</w:t>
            </w:r>
          </w:p>
        </w:tc>
        <w:tc>
          <w:tcPr>
            <w:tcW w:w="1474" w:type="dxa"/>
            <w:vAlign w:val="center"/>
          </w:tcPr>
          <w:p w14:paraId="1394F955">
            <w:pPr>
              <w:pStyle w:val="16"/>
            </w:pPr>
            <w:r>
              <w:t>739.19</w:t>
            </w:r>
          </w:p>
        </w:tc>
        <w:tc>
          <w:tcPr>
            <w:tcW w:w="3402" w:type="dxa"/>
            <w:vAlign w:val="center"/>
          </w:tcPr>
          <w:p w14:paraId="13B2E4D6">
            <w:pPr>
              <w:pStyle w:val="15"/>
            </w:pPr>
            <w:r>
              <w:t>本年支出合计</w:t>
            </w:r>
          </w:p>
        </w:tc>
        <w:tc>
          <w:tcPr>
            <w:tcW w:w="1474" w:type="dxa"/>
            <w:vAlign w:val="center"/>
          </w:tcPr>
          <w:p w14:paraId="5B11351F">
            <w:pPr>
              <w:pStyle w:val="16"/>
            </w:pPr>
            <w:r>
              <w:t>739.19</w:t>
            </w:r>
          </w:p>
        </w:tc>
        <w:tc>
          <w:tcPr>
            <w:tcW w:w="1474" w:type="dxa"/>
            <w:vAlign w:val="center"/>
          </w:tcPr>
          <w:p w14:paraId="4CD06115">
            <w:pPr>
              <w:pStyle w:val="16"/>
            </w:pPr>
            <w:r>
              <w:t>739.19</w:t>
            </w:r>
          </w:p>
        </w:tc>
        <w:tc>
          <w:tcPr>
            <w:tcW w:w="1474" w:type="dxa"/>
            <w:vAlign w:val="center"/>
          </w:tcPr>
          <w:p w14:paraId="4D434A8B">
            <w:pPr>
              <w:pStyle w:val="16"/>
            </w:pPr>
          </w:p>
        </w:tc>
        <w:tc>
          <w:tcPr>
            <w:tcW w:w="1474" w:type="dxa"/>
            <w:vAlign w:val="center"/>
          </w:tcPr>
          <w:p w14:paraId="78C77BB8">
            <w:pPr>
              <w:pStyle w:val="16"/>
            </w:pPr>
          </w:p>
        </w:tc>
      </w:tr>
      <w:tr w14:paraId="3F326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6D384">
            <w:pPr>
              <w:pStyle w:val="12"/>
            </w:pPr>
            <w:r>
              <w:t>33</w:t>
            </w:r>
          </w:p>
        </w:tc>
        <w:tc>
          <w:tcPr>
            <w:tcW w:w="3402" w:type="dxa"/>
            <w:vAlign w:val="center"/>
          </w:tcPr>
          <w:p w14:paraId="67017A2B">
            <w:pPr>
              <w:pStyle w:val="13"/>
            </w:pPr>
            <w:r>
              <w:t>年初财政拨款结转和结余</w:t>
            </w:r>
          </w:p>
        </w:tc>
        <w:tc>
          <w:tcPr>
            <w:tcW w:w="1474" w:type="dxa"/>
            <w:vAlign w:val="center"/>
          </w:tcPr>
          <w:p w14:paraId="149F2D1F">
            <w:pPr>
              <w:pStyle w:val="14"/>
            </w:pPr>
          </w:p>
        </w:tc>
        <w:tc>
          <w:tcPr>
            <w:tcW w:w="3402" w:type="dxa"/>
            <w:vAlign w:val="center"/>
          </w:tcPr>
          <w:p w14:paraId="6A7BA9A9">
            <w:pPr>
              <w:pStyle w:val="13"/>
            </w:pPr>
            <w:r>
              <w:t>年末财政拨款结转和结余</w:t>
            </w:r>
          </w:p>
        </w:tc>
        <w:tc>
          <w:tcPr>
            <w:tcW w:w="1474" w:type="dxa"/>
            <w:vAlign w:val="center"/>
          </w:tcPr>
          <w:p w14:paraId="5BD57239">
            <w:pPr>
              <w:pStyle w:val="14"/>
            </w:pPr>
          </w:p>
        </w:tc>
        <w:tc>
          <w:tcPr>
            <w:tcW w:w="1474" w:type="dxa"/>
            <w:vAlign w:val="center"/>
          </w:tcPr>
          <w:p w14:paraId="6C1A7577">
            <w:pPr>
              <w:pStyle w:val="14"/>
            </w:pPr>
          </w:p>
        </w:tc>
        <w:tc>
          <w:tcPr>
            <w:tcW w:w="1474" w:type="dxa"/>
            <w:vAlign w:val="center"/>
          </w:tcPr>
          <w:p w14:paraId="7E8B7585">
            <w:pPr>
              <w:pStyle w:val="14"/>
            </w:pPr>
          </w:p>
        </w:tc>
        <w:tc>
          <w:tcPr>
            <w:tcW w:w="1474" w:type="dxa"/>
            <w:vAlign w:val="center"/>
          </w:tcPr>
          <w:p w14:paraId="2C5F9A6F">
            <w:pPr>
              <w:pStyle w:val="14"/>
            </w:pPr>
          </w:p>
        </w:tc>
      </w:tr>
      <w:tr w14:paraId="3C775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B7CE0">
            <w:pPr>
              <w:pStyle w:val="12"/>
            </w:pPr>
            <w:r>
              <w:t>34</w:t>
            </w:r>
          </w:p>
        </w:tc>
        <w:tc>
          <w:tcPr>
            <w:tcW w:w="3402" w:type="dxa"/>
            <w:vAlign w:val="center"/>
          </w:tcPr>
          <w:p w14:paraId="30106128">
            <w:pPr>
              <w:pStyle w:val="13"/>
            </w:pPr>
            <w:r>
              <w:t>一、一般公共预算拨款</w:t>
            </w:r>
          </w:p>
        </w:tc>
        <w:tc>
          <w:tcPr>
            <w:tcW w:w="1474" w:type="dxa"/>
            <w:vAlign w:val="center"/>
          </w:tcPr>
          <w:p w14:paraId="69192729">
            <w:pPr>
              <w:pStyle w:val="14"/>
            </w:pPr>
          </w:p>
        </w:tc>
        <w:tc>
          <w:tcPr>
            <w:tcW w:w="3402" w:type="dxa"/>
            <w:vAlign w:val="center"/>
          </w:tcPr>
          <w:p w14:paraId="7723030C">
            <w:pPr>
              <w:pStyle w:val="13"/>
            </w:pPr>
          </w:p>
        </w:tc>
        <w:tc>
          <w:tcPr>
            <w:tcW w:w="1474" w:type="dxa"/>
            <w:vAlign w:val="center"/>
          </w:tcPr>
          <w:p w14:paraId="45677F4C">
            <w:pPr>
              <w:pStyle w:val="14"/>
            </w:pPr>
          </w:p>
        </w:tc>
        <w:tc>
          <w:tcPr>
            <w:tcW w:w="1474" w:type="dxa"/>
            <w:vAlign w:val="center"/>
          </w:tcPr>
          <w:p w14:paraId="5AF161AF">
            <w:pPr>
              <w:pStyle w:val="14"/>
            </w:pPr>
          </w:p>
        </w:tc>
        <w:tc>
          <w:tcPr>
            <w:tcW w:w="1474" w:type="dxa"/>
            <w:vAlign w:val="center"/>
          </w:tcPr>
          <w:p w14:paraId="73F35D86">
            <w:pPr>
              <w:pStyle w:val="14"/>
            </w:pPr>
          </w:p>
        </w:tc>
        <w:tc>
          <w:tcPr>
            <w:tcW w:w="1474" w:type="dxa"/>
            <w:vAlign w:val="center"/>
          </w:tcPr>
          <w:p w14:paraId="1D461318">
            <w:pPr>
              <w:pStyle w:val="14"/>
            </w:pPr>
          </w:p>
        </w:tc>
      </w:tr>
      <w:tr w14:paraId="7904F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58E2B">
            <w:pPr>
              <w:pStyle w:val="12"/>
            </w:pPr>
            <w:r>
              <w:t>35</w:t>
            </w:r>
          </w:p>
        </w:tc>
        <w:tc>
          <w:tcPr>
            <w:tcW w:w="3402" w:type="dxa"/>
            <w:vAlign w:val="center"/>
          </w:tcPr>
          <w:p w14:paraId="77B32C2D">
            <w:pPr>
              <w:pStyle w:val="13"/>
            </w:pPr>
            <w:r>
              <w:t>二、政府性基金预算拨款</w:t>
            </w:r>
          </w:p>
        </w:tc>
        <w:tc>
          <w:tcPr>
            <w:tcW w:w="1474" w:type="dxa"/>
            <w:vAlign w:val="center"/>
          </w:tcPr>
          <w:p w14:paraId="5C9107BB">
            <w:pPr>
              <w:pStyle w:val="14"/>
            </w:pPr>
          </w:p>
        </w:tc>
        <w:tc>
          <w:tcPr>
            <w:tcW w:w="3402" w:type="dxa"/>
            <w:vAlign w:val="center"/>
          </w:tcPr>
          <w:p w14:paraId="0B22B563">
            <w:pPr>
              <w:pStyle w:val="13"/>
            </w:pPr>
          </w:p>
        </w:tc>
        <w:tc>
          <w:tcPr>
            <w:tcW w:w="1474" w:type="dxa"/>
            <w:vAlign w:val="center"/>
          </w:tcPr>
          <w:p w14:paraId="77A49DA7">
            <w:pPr>
              <w:pStyle w:val="14"/>
            </w:pPr>
          </w:p>
        </w:tc>
        <w:tc>
          <w:tcPr>
            <w:tcW w:w="1474" w:type="dxa"/>
            <w:vAlign w:val="center"/>
          </w:tcPr>
          <w:p w14:paraId="33D82984">
            <w:pPr>
              <w:pStyle w:val="14"/>
            </w:pPr>
          </w:p>
        </w:tc>
        <w:tc>
          <w:tcPr>
            <w:tcW w:w="1474" w:type="dxa"/>
            <w:vAlign w:val="center"/>
          </w:tcPr>
          <w:p w14:paraId="46E9E27C">
            <w:pPr>
              <w:pStyle w:val="14"/>
            </w:pPr>
          </w:p>
        </w:tc>
        <w:tc>
          <w:tcPr>
            <w:tcW w:w="1474" w:type="dxa"/>
            <w:vAlign w:val="center"/>
          </w:tcPr>
          <w:p w14:paraId="1D206AEC">
            <w:pPr>
              <w:pStyle w:val="14"/>
            </w:pPr>
          </w:p>
        </w:tc>
      </w:tr>
      <w:tr w14:paraId="34DA1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E55C9">
            <w:pPr>
              <w:pStyle w:val="12"/>
            </w:pPr>
            <w:r>
              <w:t>36</w:t>
            </w:r>
          </w:p>
        </w:tc>
        <w:tc>
          <w:tcPr>
            <w:tcW w:w="3402" w:type="dxa"/>
            <w:vAlign w:val="center"/>
          </w:tcPr>
          <w:p w14:paraId="6407AF87">
            <w:pPr>
              <w:pStyle w:val="13"/>
            </w:pPr>
            <w:r>
              <w:t>三、国有资本经营预算拨款</w:t>
            </w:r>
          </w:p>
        </w:tc>
        <w:tc>
          <w:tcPr>
            <w:tcW w:w="1474" w:type="dxa"/>
            <w:vAlign w:val="center"/>
          </w:tcPr>
          <w:p w14:paraId="15A86A00">
            <w:pPr>
              <w:pStyle w:val="14"/>
            </w:pPr>
          </w:p>
        </w:tc>
        <w:tc>
          <w:tcPr>
            <w:tcW w:w="3402" w:type="dxa"/>
            <w:vAlign w:val="center"/>
          </w:tcPr>
          <w:p w14:paraId="0A99A2D1">
            <w:pPr>
              <w:pStyle w:val="13"/>
            </w:pPr>
          </w:p>
        </w:tc>
        <w:tc>
          <w:tcPr>
            <w:tcW w:w="1474" w:type="dxa"/>
            <w:vAlign w:val="center"/>
          </w:tcPr>
          <w:p w14:paraId="31431F96">
            <w:pPr>
              <w:pStyle w:val="14"/>
            </w:pPr>
          </w:p>
        </w:tc>
        <w:tc>
          <w:tcPr>
            <w:tcW w:w="1474" w:type="dxa"/>
            <w:vAlign w:val="center"/>
          </w:tcPr>
          <w:p w14:paraId="69C3F05E">
            <w:pPr>
              <w:pStyle w:val="14"/>
            </w:pPr>
          </w:p>
        </w:tc>
        <w:tc>
          <w:tcPr>
            <w:tcW w:w="1474" w:type="dxa"/>
            <w:vAlign w:val="center"/>
          </w:tcPr>
          <w:p w14:paraId="48494A69">
            <w:pPr>
              <w:pStyle w:val="14"/>
            </w:pPr>
          </w:p>
        </w:tc>
        <w:tc>
          <w:tcPr>
            <w:tcW w:w="1474" w:type="dxa"/>
            <w:vAlign w:val="center"/>
          </w:tcPr>
          <w:p w14:paraId="6962991F">
            <w:pPr>
              <w:pStyle w:val="14"/>
            </w:pPr>
          </w:p>
        </w:tc>
      </w:tr>
      <w:tr w14:paraId="3EEC2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E450D">
            <w:pPr>
              <w:pStyle w:val="12"/>
            </w:pPr>
            <w:r>
              <w:t>37</w:t>
            </w:r>
          </w:p>
        </w:tc>
        <w:tc>
          <w:tcPr>
            <w:tcW w:w="3402" w:type="dxa"/>
            <w:vAlign w:val="center"/>
          </w:tcPr>
          <w:p w14:paraId="2DB120F5">
            <w:pPr>
              <w:pStyle w:val="15"/>
            </w:pPr>
            <w:r>
              <w:t>收入总计</w:t>
            </w:r>
          </w:p>
        </w:tc>
        <w:tc>
          <w:tcPr>
            <w:tcW w:w="1474" w:type="dxa"/>
            <w:vAlign w:val="center"/>
          </w:tcPr>
          <w:p w14:paraId="315CC2FF">
            <w:pPr>
              <w:pStyle w:val="16"/>
            </w:pPr>
            <w:r>
              <w:t>739.19</w:t>
            </w:r>
          </w:p>
        </w:tc>
        <w:tc>
          <w:tcPr>
            <w:tcW w:w="3402" w:type="dxa"/>
            <w:vAlign w:val="center"/>
          </w:tcPr>
          <w:p w14:paraId="4DE0F9CD">
            <w:pPr>
              <w:pStyle w:val="15"/>
            </w:pPr>
            <w:r>
              <w:t>支出总计</w:t>
            </w:r>
          </w:p>
        </w:tc>
        <w:tc>
          <w:tcPr>
            <w:tcW w:w="1474" w:type="dxa"/>
            <w:vAlign w:val="center"/>
          </w:tcPr>
          <w:p w14:paraId="47B3E893">
            <w:pPr>
              <w:pStyle w:val="16"/>
            </w:pPr>
            <w:r>
              <w:t>739.19</w:t>
            </w:r>
          </w:p>
        </w:tc>
        <w:tc>
          <w:tcPr>
            <w:tcW w:w="1474" w:type="dxa"/>
            <w:vAlign w:val="center"/>
          </w:tcPr>
          <w:p w14:paraId="143CE0B9">
            <w:pPr>
              <w:pStyle w:val="16"/>
            </w:pPr>
            <w:r>
              <w:t>739.19</w:t>
            </w:r>
          </w:p>
        </w:tc>
        <w:tc>
          <w:tcPr>
            <w:tcW w:w="1474" w:type="dxa"/>
            <w:vAlign w:val="center"/>
          </w:tcPr>
          <w:p w14:paraId="4316A262">
            <w:pPr>
              <w:pStyle w:val="16"/>
            </w:pPr>
          </w:p>
        </w:tc>
        <w:tc>
          <w:tcPr>
            <w:tcW w:w="1474" w:type="dxa"/>
            <w:vAlign w:val="center"/>
          </w:tcPr>
          <w:p w14:paraId="5E004DEC">
            <w:pPr>
              <w:pStyle w:val="16"/>
            </w:pPr>
          </w:p>
        </w:tc>
      </w:tr>
    </w:tbl>
    <w:p w14:paraId="0803140F">
      <w:pPr>
        <w:sectPr>
          <w:pgSz w:w="16840" w:h="11900" w:orient="landscape"/>
          <w:pgMar w:top="1361" w:right="1020" w:bottom="1134" w:left="1020" w:header="720" w:footer="720" w:gutter="0"/>
          <w:cols w:space="720" w:num="1"/>
        </w:sectPr>
      </w:pPr>
    </w:p>
    <w:p w14:paraId="4D5654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B2E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55FA25">
            <w:pPr>
              <w:pStyle w:val="8"/>
            </w:pPr>
            <w:r>
              <w:t>360008隆尧县牛家桥中学</w:t>
            </w:r>
          </w:p>
        </w:tc>
        <w:tc>
          <w:tcPr>
            <w:tcW w:w="2551" w:type="dxa"/>
            <w:tcBorders>
              <w:top w:val="single" w:color="FFFFFF" w:sz="6" w:space="0"/>
              <w:left w:val="single" w:color="FFFFFF" w:sz="6" w:space="0"/>
              <w:right w:val="single" w:color="FFFFFF" w:sz="6" w:space="0"/>
            </w:tcBorders>
            <w:vAlign w:val="center"/>
          </w:tcPr>
          <w:p w14:paraId="194A1A5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630E34D">
            <w:pPr>
              <w:pStyle w:val="10"/>
            </w:pPr>
            <w:r>
              <w:t>单位：万元</w:t>
            </w:r>
          </w:p>
        </w:tc>
      </w:tr>
      <w:tr w14:paraId="28988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24CF89">
            <w:pPr>
              <w:pStyle w:val="11"/>
            </w:pPr>
            <w:r>
              <w:t>序号</w:t>
            </w:r>
          </w:p>
        </w:tc>
        <w:tc>
          <w:tcPr>
            <w:tcW w:w="5726" w:type="dxa"/>
            <w:gridSpan w:val="2"/>
            <w:vAlign w:val="center"/>
          </w:tcPr>
          <w:p w14:paraId="1B92DAC2">
            <w:pPr>
              <w:pStyle w:val="11"/>
            </w:pPr>
            <w:r>
              <w:t>功能分类科目</w:t>
            </w:r>
          </w:p>
        </w:tc>
        <w:tc>
          <w:tcPr>
            <w:tcW w:w="2551" w:type="dxa"/>
            <w:vMerge w:val="restart"/>
            <w:vAlign w:val="center"/>
          </w:tcPr>
          <w:p w14:paraId="1C7DAAB2">
            <w:pPr>
              <w:pStyle w:val="11"/>
            </w:pPr>
            <w:r>
              <w:t>合计</w:t>
            </w:r>
          </w:p>
        </w:tc>
        <w:tc>
          <w:tcPr>
            <w:tcW w:w="2551" w:type="dxa"/>
            <w:vMerge w:val="restart"/>
            <w:vAlign w:val="center"/>
          </w:tcPr>
          <w:p w14:paraId="45AE3851">
            <w:pPr>
              <w:pStyle w:val="11"/>
            </w:pPr>
            <w:r>
              <w:t>基本支出</w:t>
            </w:r>
          </w:p>
        </w:tc>
        <w:tc>
          <w:tcPr>
            <w:tcW w:w="2551" w:type="dxa"/>
            <w:vMerge w:val="restart"/>
            <w:vAlign w:val="center"/>
          </w:tcPr>
          <w:p w14:paraId="26E14ED9">
            <w:pPr>
              <w:pStyle w:val="11"/>
            </w:pPr>
            <w:r>
              <w:t>项目支出</w:t>
            </w:r>
          </w:p>
        </w:tc>
      </w:tr>
      <w:tr w14:paraId="2B32E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5EF80"/>
        </w:tc>
        <w:tc>
          <w:tcPr>
            <w:tcW w:w="1191" w:type="dxa"/>
            <w:vAlign w:val="center"/>
          </w:tcPr>
          <w:p w14:paraId="00A48F4B">
            <w:pPr>
              <w:pStyle w:val="11"/>
            </w:pPr>
            <w:r>
              <w:t>科目编码</w:t>
            </w:r>
          </w:p>
        </w:tc>
        <w:tc>
          <w:tcPr>
            <w:tcW w:w="4535" w:type="dxa"/>
            <w:vAlign w:val="center"/>
          </w:tcPr>
          <w:p w14:paraId="135B78E5">
            <w:pPr>
              <w:pStyle w:val="11"/>
            </w:pPr>
            <w:r>
              <w:t>科目名称</w:t>
            </w:r>
          </w:p>
        </w:tc>
        <w:tc>
          <w:tcPr>
            <w:tcW w:w="2551" w:type="dxa"/>
            <w:vMerge w:val="continue"/>
          </w:tcPr>
          <w:p w14:paraId="068D6BCA"/>
        </w:tc>
        <w:tc>
          <w:tcPr>
            <w:tcW w:w="2551" w:type="dxa"/>
            <w:vMerge w:val="continue"/>
          </w:tcPr>
          <w:p w14:paraId="456BE1AC"/>
        </w:tc>
        <w:tc>
          <w:tcPr>
            <w:tcW w:w="2551" w:type="dxa"/>
            <w:vMerge w:val="continue"/>
          </w:tcPr>
          <w:p w14:paraId="4F1C1923"/>
        </w:tc>
      </w:tr>
      <w:tr w14:paraId="7BEC7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3ECF4">
            <w:pPr>
              <w:pStyle w:val="11"/>
            </w:pPr>
            <w:r>
              <w:t>栏次</w:t>
            </w:r>
          </w:p>
        </w:tc>
        <w:tc>
          <w:tcPr>
            <w:tcW w:w="1191" w:type="dxa"/>
            <w:vAlign w:val="center"/>
          </w:tcPr>
          <w:p w14:paraId="50F77B18">
            <w:pPr>
              <w:pStyle w:val="11"/>
            </w:pPr>
            <w:r>
              <w:t>1</w:t>
            </w:r>
          </w:p>
        </w:tc>
        <w:tc>
          <w:tcPr>
            <w:tcW w:w="4535" w:type="dxa"/>
            <w:vAlign w:val="center"/>
          </w:tcPr>
          <w:p w14:paraId="743B1519">
            <w:pPr>
              <w:pStyle w:val="11"/>
            </w:pPr>
            <w:r>
              <w:t>2</w:t>
            </w:r>
          </w:p>
        </w:tc>
        <w:tc>
          <w:tcPr>
            <w:tcW w:w="2551" w:type="dxa"/>
            <w:vAlign w:val="center"/>
          </w:tcPr>
          <w:p w14:paraId="30C59FA9">
            <w:pPr>
              <w:pStyle w:val="11"/>
            </w:pPr>
            <w:r>
              <w:t>3</w:t>
            </w:r>
          </w:p>
        </w:tc>
        <w:tc>
          <w:tcPr>
            <w:tcW w:w="2551" w:type="dxa"/>
            <w:vAlign w:val="center"/>
          </w:tcPr>
          <w:p w14:paraId="5CA251E0">
            <w:pPr>
              <w:pStyle w:val="11"/>
            </w:pPr>
            <w:r>
              <w:t>4</w:t>
            </w:r>
          </w:p>
        </w:tc>
        <w:tc>
          <w:tcPr>
            <w:tcW w:w="2551" w:type="dxa"/>
            <w:vAlign w:val="center"/>
          </w:tcPr>
          <w:p w14:paraId="44798E39">
            <w:pPr>
              <w:pStyle w:val="11"/>
            </w:pPr>
            <w:r>
              <w:t>5</w:t>
            </w:r>
          </w:p>
        </w:tc>
      </w:tr>
      <w:tr w14:paraId="25285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63292">
            <w:pPr>
              <w:pStyle w:val="12"/>
            </w:pPr>
            <w:r>
              <w:t>1</w:t>
            </w:r>
          </w:p>
        </w:tc>
        <w:tc>
          <w:tcPr>
            <w:tcW w:w="1191" w:type="dxa"/>
            <w:vAlign w:val="center"/>
          </w:tcPr>
          <w:p w14:paraId="26DAD8A5">
            <w:pPr>
              <w:pStyle w:val="17"/>
            </w:pPr>
          </w:p>
        </w:tc>
        <w:tc>
          <w:tcPr>
            <w:tcW w:w="4535" w:type="dxa"/>
            <w:vAlign w:val="center"/>
          </w:tcPr>
          <w:p w14:paraId="0F7E8FA1">
            <w:pPr>
              <w:pStyle w:val="15"/>
            </w:pPr>
            <w:r>
              <w:t>合计</w:t>
            </w:r>
          </w:p>
        </w:tc>
        <w:tc>
          <w:tcPr>
            <w:tcW w:w="2551" w:type="dxa"/>
            <w:vAlign w:val="center"/>
          </w:tcPr>
          <w:p w14:paraId="0570A81E">
            <w:pPr>
              <w:pStyle w:val="16"/>
            </w:pPr>
            <w:r>
              <w:t>739.19</w:t>
            </w:r>
          </w:p>
        </w:tc>
        <w:tc>
          <w:tcPr>
            <w:tcW w:w="2551" w:type="dxa"/>
            <w:vAlign w:val="center"/>
          </w:tcPr>
          <w:p w14:paraId="4638052F">
            <w:pPr>
              <w:pStyle w:val="16"/>
            </w:pPr>
            <w:r>
              <w:t>620.24</w:t>
            </w:r>
          </w:p>
        </w:tc>
        <w:tc>
          <w:tcPr>
            <w:tcW w:w="2551" w:type="dxa"/>
            <w:vAlign w:val="center"/>
          </w:tcPr>
          <w:p w14:paraId="3B492BAE">
            <w:pPr>
              <w:pStyle w:val="16"/>
            </w:pPr>
            <w:r>
              <w:t>118.95</w:t>
            </w:r>
          </w:p>
        </w:tc>
      </w:tr>
      <w:tr w14:paraId="37D56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21133">
            <w:pPr>
              <w:pStyle w:val="12"/>
            </w:pPr>
            <w:r>
              <w:t>2</w:t>
            </w:r>
          </w:p>
        </w:tc>
        <w:tc>
          <w:tcPr>
            <w:tcW w:w="1191" w:type="dxa"/>
            <w:vAlign w:val="center"/>
          </w:tcPr>
          <w:p w14:paraId="7269EF30">
            <w:pPr>
              <w:pStyle w:val="13"/>
            </w:pPr>
            <w:r>
              <w:t>205</w:t>
            </w:r>
          </w:p>
        </w:tc>
        <w:tc>
          <w:tcPr>
            <w:tcW w:w="4535" w:type="dxa"/>
            <w:vAlign w:val="center"/>
          </w:tcPr>
          <w:p w14:paraId="55391260">
            <w:pPr>
              <w:pStyle w:val="13"/>
            </w:pPr>
            <w:r>
              <w:t>教育支出</w:t>
            </w:r>
          </w:p>
        </w:tc>
        <w:tc>
          <w:tcPr>
            <w:tcW w:w="2551" w:type="dxa"/>
            <w:vAlign w:val="center"/>
          </w:tcPr>
          <w:p w14:paraId="0A4E7C40">
            <w:pPr>
              <w:pStyle w:val="14"/>
            </w:pPr>
            <w:r>
              <w:t>739.19</w:t>
            </w:r>
          </w:p>
        </w:tc>
        <w:tc>
          <w:tcPr>
            <w:tcW w:w="2551" w:type="dxa"/>
            <w:vAlign w:val="center"/>
          </w:tcPr>
          <w:p w14:paraId="60EA91D4">
            <w:pPr>
              <w:pStyle w:val="14"/>
            </w:pPr>
            <w:r>
              <w:t>620.24</w:t>
            </w:r>
          </w:p>
        </w:tc>
        <w:tc>
          <w:tcPr>
            <w:tcW w:w="2551" w:type="dxa"/>
            <w:vAlign w:val="center"/>
          </w:tcPr>
          <w:p w14:paraId="300D331C">
            <w:pPr>
              <w:pStyle w:val="14"/>
            </w:pPr>
            <w:r>
              <w:t>118.95</w:t>
            </w:r>
          </w:p>
        </w:tc>
      </w:tr>
      <w:tr w14:paraId="4A630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1D118">
            <w:pPr>
              <w:pStyle w:val="12"/>
            </w:pPr>
            <w:r>
              <w:t>3</w:t>
            </w:r>
          </w:p>
        </w:tc>
        <w:tc>
          <w:tcPr>
            <w:tcW w:w="1191" w:type="dxa"/>
            <w:vAlign w:val="center"/>
          </w:tcPr>
          <w:p w14:paraId="5D56C3EB">
            <w:pPr>
              <w:pStyle w:val="13"/>
            </w:pPr>
            <w:r>
              <w:t>20502</w:t>
            </w:r>
          </w:p>
        </w:tc>
        <w:tc>
          <w:tcPr>
            <w:tcW w:w="4535" w:type="dxa"/>
            <w:vAlign w:val="center"/>
          </w:tcPr>
          <w:p w14:paraId="21B6982C">
            <w:pPr>
              <w:pStyle w:val="13"/>
            </w:pPr>
            <w:r>
              <w:t>普通教育</w:t>
            </w:r>
          </w:p>
        </w:tc>
        <w:tc>
          <w:tcPr>
            <w:tcW w:w="2551" w:type="dxa"/>
            <w:vAlign w:val="center"/>
          </w:tcPr>
          <w:p w14:paraId="47015B90">
            <w:pPr>
              <w:pStyle w:val="14"/>
            </w:pPr>
            <w:r>
              <w:t>739.19</w:t>
            </w:r>
          </w:p>
        </w:tc>
        <w:tc>
          <w:tcPr>
            <w:tcW w:w="2551" w:type="dxa"/>
            <w:vAlign w:val="center"/>
          </w:tcPr>
          <w:p w14:paraId="423ABACB">
            <w:pPr>
              <w:pStyle w:val="14"/>
            </w:pPr>
            <w:r>
              <w:t>620.24</w:t>
            </w:r>
          </w:p>
        </w:tc>
        <w:tc>
          <w:tcPr>
            <w:tcW w:w="2551" w:type="dxa"/>
            <w:vAlign w:val="center"/>
          </w:tcPr>
          <w:p w14:paraId="773C4D01">
            <w:pPr>
              <w:pStyle w:val="14"/>
            </w:pPr>
            <w:r>
              <w:t>118.95</w:t>
            </w:r>
          </w:p>
        </w:tc>
      </w:tr>
      <w:tr w14:paraId="2EED1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D5EC3">
            <w:pPr>
              <w:pStyle w:val="12"/>
            </w:pPr>
            <w:r>
              <w:t>4</w:t>
            </w:r>
          </w:p>
        </w:tc>
        <w:tc>
          <w:tcPr>
            <w:tcW w:w="1191" w:type="dxa"/>
            <w:vAlign w:val="center"/>
          </w:tcPr>
          <w:p w14:paraId="2BA599A3">
            <w:pPr>
              <w:pStyle w:val="13"/>
            </w:pPr>
            <w:r>
              <w:t>2050203</w:t>
            </w:r>
          </w:p>
        </w:tc>
        <w:tc>
          <w:tcPr>
            <w:tcW w:w="4535" w:type="dxa"/>
            <w:vAlign w:val="center"/>
          </w:tcPr>
          <w:p w14:paraId="116E4D52">
            <w:pPr>
              <w:pStyle w:val="13"/>
            </w:pPr>
            <w:r>
              <w:t>初中教育</w:t>
            </w:r>
          </w:p>
        </w:tc>
        <w:tc>
          <w:tcPr>
            <w:tcW w:w="2551" w:type="dxa"/>
            <w:vAlign w:val="center"/>
          </w:tcPr>
          <w:p w14:paraId="5A05D9C5">
            <w:pPr>
              <w:pStyle w:val="14"/>
            </w:pPr>
            <w:r>
              <w:t>739.19</w:t>
            </w:r>
          </w:p>
        </w:tc>
        <w:tc>
          <w:tcPr>
            <w:tcW w:w="2551" w:type="dxa"/>
            <w:vAlign w:val="center"/>
          </w:tcPr>
          <w:p w14:paraId="5C8BBA7F">
            <w:pPr>
              <w:pStyle w:val="14"/>
            </w:pPr>
            <w:r>
              <w:t>620.24</w:t>
            </w:r>
          </w:p>
        </w:tc>
        <w:tc>
          <w:tcPr>
            <w:tcW w:w="2551" w:type="dxa"/>
            <w:vAlign w:val="center"/>
          </w:tcPr>
          <w:p w14:paraId="348C2F53">
            <w:pPr>
              <w:pStyle w:val="14"/>
            </w:pPr>
            <w:r>
              <w:t>118.95</w:t>
            </w:r>
          </w:p>
        </w:tc>
      </w:tr>
    </w:tbl>
    <w:p w14:paraId="30BAB5EC">
      <w:pPr>
        <w:sectPr>
          <w:pgSz w:w="16840" w:h="11900" w:orient="landscape"/>
          <w:pgMar w:top="1361" w:right="1020" w:bottom="1134" w:left="1020" w:header="720" w:footer="720" w:gutter="0"/>
          <w:cols w:space="720" w:num="1"/>
        </w:sectPr>
      </w:pPr>
    </w:p>
    <w:p w14:paraId="101399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34A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5DE6DF">
            <w:pPr>
              <w:pStyle w:val="8"/>
            </w:pPr>
            <w:r>
              <w:t>360008隆尧县牛家桥中学</w:t>
            </w:r>
          </w:p>
        </w:tc>
        <w:tc>
          <w:tcPr>
            <w:tcW w:w="2551" w:type="dxa"/>
            <w:tcBorders>
              <w:top w:val="single" w:color="FFFFFF" w:sz="6" w:space="0"/>
              <w:left w:val="single" w:color="FFFFFF" w:sz="6" w:space="0"/>
              <w:right w:val="single" w:color="FFFFFF" w:sz="6" w:space="0"/>
            </w:tcBorders>
            <w:vAlign w:val="center"/>
          </w:tcPr>
          <w:p w14:paraId="67A5387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474F935">
            <w:pPr>
              <w:pStyle w:val="10"/>
            </w:pPr>
            <w:r>
              <w:t>单位：万元</w:t>
            </w:r>
          </w:p>
        </w:tc>
      </w:tr>
      <w:tr w14:paraId="355BF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552A5">
            <w:pPr>
              <w:pStyle w:val="11"/>
            </w:pPr>
            <w:r>
              <w:t>序号</w:t>
            </w:r>
          </w:p>
        </w:tc>
        <w:tc>
          <w:tcPr>
            <w:tcW w:w="5726" w:type="dxa"/>
            <w:gridSpan w:val="2"/>
            <w:vAlign w:val="center"/>
          </w:tcPr>
          <w:p w14:paraId="6267F36A">
            <w:pPr>
              <w:pStyle w:val="11"/>
            </w:pPr>
            <w:r>
              <w:t>支出部门经济分类科目</w:t>
            </w:r>
          </w:p>
        </w:tc>
        <w:tc>
          <w:tcPr>
            <w:tcW w:w="7653" w:type="dxa"/>
            <w:gridSpan w:val="3"/>
            <w:vAlign w:val="center"/>
          </w:tcPr>
          <w:p w14:paraId="3C5DE4F9">
            <w:pPr>
              <w:pStyle w:val="11"/>
            </w:pPr>
            <w:r>
              <w:t>一般公共预算基本支出</w:t>
            </w:r>
          </w:p>
        </w:tc>
      </w:tr>
      <w:tr w14:paraId="5293E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65F415"/>
        </w:tc>
        <w:tc>
          <w:tcPr>
            <w:tcW w:w="1191" w:type="dxa"/>
            <w:vAlign w:val="center"/>
          </w:tcPr>
          <w:p w14:paraId="700DEFDA">
            <w:pPr>
              <w:pStyle w:val="11"/>
            </w:pPr>
            <w:r>
              <w:t>科目编码</w:t>
            </w:r>
          </w:p>
        </w:tc>
        <w:tc>
          <w:tcPr>
            <w:tcW w:w="4535" w:type="dxa"/>
            <w:vAlign w:val="center"/>
          </w:tcPr>
          <w:p w14:paraId="7C19BE28">
            <w:pPr>
              <w:pStyle w:val="11"/>
            </w:pPr>
            <w:r>
              <w:t>科目名称</w:t>
            </w:r>
          </w:p>
        </w:tc>
        <w:tc>
          <w:tcPr>
            <w:tcW w:w="2551" w:type="dxa"/>
            <w:vAlign w:val="center"/>
          </w:tcPr>
          <w:p w14:paraId="61AD1A2B">
            <w:pPr>
              <w:pStyle w:val="11"/>
            </w:pPr>
            <w:r>
              <w:t>合计</w:t>
            </w:r>
          </w:p>
        </w:tc>
        <w:tc>
          <w:tcPr>
            <w:tcW w:w="2551" w:type="dxa"/>
            <w:vAlign w:val="center"/>
          </w:tcPr>
          <w:p w14:paraId="175F8301">
            <w:pPr>
              <w:pStyle w:val="11"/>
            </w:pPr>
            <w:r>
              <w:t>人员经费</w:t>
            </w:r>
          </w:p>
        </w:tc>
        <w:tc>
          <w:tcPr>
            <w:tcW w:w="2551" w:type="dxa"/>
            <w:vAlign w:val="center"/>
          </w:tcPr>
          <w:p w14:paraId="4D40EBCF">
            <w:pPr>
              <w:pStyle w:val="11"/>
            </w:pPr>
            <w:r>
              <w:t>公用经费</w:t>
            </w:r>
          </w:p>
        </w:tc>
      </w:tr>
      <w:tr w14:paraId="6978F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CB3AC">
            <w:pPr>
              <w:pStyle w:val="11"/>
            </w:pPr>
            <w:r>
              <w:t>栏次</w:t>
            </w:r>
          </w:p>
        </w:tc>
        <w:tc>
          <w:tcPr>
            <w:tcW w:w="1191" w:type="dxa"/>
            <w:vAlign w:val="center"/>
          </w:tcPr>
          <w:p w14:paraId="25F5B700">
            <w:pPr>
              <w:pStyle w:val="11"/>
            </w:pPr>
            <w:r>
              <w:t>1</w:t>
            </w:r>
          </w:p>
        </w:tc>
        <w:tc>
          <w:tcPr>
            <w:tcW w:w="4535" w:type="dxa"/>
            <w:vAlign w:val="center"/>
          </w:tcPr>
          <w:p w14:paraId="1F7A9DBF">
            <w:pPr>
              <w:pStyle w:val="11"/>
            </w:pPr>
            <w:r>
              <w:t>2</w:t>
            </w:r>
          </w:p>
        </w:tc>
        <w:tc>
          <w:tcPr>
            <w:tcW w:w="2551" w:type="dxa"/>
            <w:vAlign w:val="center"/>
          </w:tcPr>
          <w:p w14:paraId="0CB99C74">
            <w:pPr>
              <w:pStyle w:val="11"/>
            </w:pPr>
            <w:r>
              <w:t>3</w:t>
            </w:r>
          </w:p>
        </w:tc>
        <w:tc>
          <w:tcPr>
            <w:tcW w:w="2551" w:type="dxa"/>
            <w:vAlign w:val="center"/>
          </w:tcPr>
          <w:p w14:paraId="3014D5C9">
            <w:pPr>
              <w:pStyle w:val="11"/>
            </w:pPr>
            <w:r>
              <w:t>4</w:t>
            </w:r>
          </w:p>
        </w:tc>
        <w:tc>
          <w:tcPr>
            <w:tcW w:w="2551" w:type="dxa"/>
            <w:vAlign w:val="center"/>
          </w:tcPr>
          <w:p w14:paraId="1E5E0E63">
            <w:pPr>
              <w:pStyle w:val="11"/>
            </w:pPr>
            <w:r>
              <w:t>5</w:t>
            </w:r>
          </w:p>
        </w:tc>
      </w:tr>
      <w:tr w14:paraId="115B0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82431">
            <w:pPr>
              <w:pStyle w:val="12"/>
            </w:pPr>
            <w:r>
              <w:t>1</w:t>
            </w:r>
          </w:p>
        </w:tc>
        <w:tc>
          <w:tcPr>
            <w:tcW w:w="1191" w:type="dxa"/>
            <w:vAlign w:val="center"/>
          </w:tcPr>
          <w:p w14:paraId="390BF88A">
            <w:pPr>
              <w:pStyle w:val="17"/>
            </w:pPr>
          </w:p>
        </w:tc>
        <w:tc>
          <w:tcPr>
            <w:tcW w:w="4535" w:type="dxa"/>
            <w:vAlign w:val="center"/>
          </w:tcPr>
          <w:p w14:paraId="29CEB02A">
            <w:pPr>
              <w:pStyle w:val="15"/>
            </w:pPr>
            <w:r>
              <w:t>合计</w:t>
            </w:r>
          </w:p>
        </w:tc>
        <w:tc>
          <w:tcPr>
            <w:tcW w:w="2551" w:type="dxa"/>
            <w:vAlign w:val="center"/>
          </w:tcPr>
          <w:p w14:paraId="2C4FE174">
            <w:pPr>
              <w:pStyle w:val="16"/>
            </w:pPr>
            <w:r>
              <w:t>620.24</w:t>
            </w:r>
          </w:p>
        </w:tc>
        <w:tc>
          <w:tcPr>
            <w:tcW w:w="2551" w:type="dxa"/>
            <w:vAlign w:val="center"/>
          </w:tcPr>
          <w:p w14:paraId="2DEE70B9">
            <w:pPr>
              <w:pStyle w:val="16"/>
            </w:pPr>
            <w:r>
              <w:t>620.24</w:t>
            </w:r>
          </w:p>
        </w:tc>
        <w:tc>
          <w:tcPr>
            <w:tcW w:w="2551" w:type="dxa"/>
            <w:vAlign w:val="center"/>
          </w:tcPr>
          <w:p w14:paraId="2E9A56FE">
            <w:pPr>
              <w:pStyle w:val="16"/>
            </w:pPr>
          </w:p>
        </w:tc>
      </w:tr>
      <w:tr w14:paraId="2143D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8D3FE">
            <w:pPr>
              <w:pStyle w:val="12"/>
            </w:pPr>
            <w:r>
              <w:t>2</w:t>
            </w:r>
          </w:p>
        </w:tc>
        <w:tc>
          <w:tcPr>
            <w:tcW w:w="1191" w:type="dxa"/>
            <w:vAlign w:val="center"/>
          </w:tcPr>
          <w:p w14:paraId="4B28EE08">
            <w:pPr>
              <w:pStyle w:val="13"/>
            </w:pPr>
            <w:r>
              <w:t>301</w:t>
            </w:r>
          </w:p>
        </w:tc>
        <w:tc>
          <w:tcPr>
            <w:tcW w:w="4535" w:type="dxa"/>
            <w:vAlign w:val="center"/>
          </w:tcPr>
          <w:p w14:paraId="2409A628">
            <w:pPr>
              <w:pStyle w:val="13"/>
            </w:pPr>
            <w:r>
              <w:t>工资福利支出</w:t>
            </w:r>
          </w:p>
        </w:tc>
        <w:tc>
          <w:tcPr>
            <w:tcW w:w="2551" w:type="dxa"/>
            <w:vAlign w:val="center"/>
          </w:tcPr>
          <w:p w14:paraId="44E59F21">
            <w:pPr>
              <w:pStyle w:val="14"/>
            </w:pPr>
            <w:r>
              <w:t>600.89</w:t>
            </w:r>
          </w:p>
        </w:tc>
        <w:tc>
          <w:tcPr>
            <w:tcW w:w="2551" w:type="dxa"/>
            <w:vAlign w:val="center"/>
          </w:tcPr>
          <w:p w14:paraId="43716F1C">
            <w:pPr>
              <w:pStyle w:val="14"/>
            </w:pPr>
            <w:r>
              <w:t>600.89</w:t>
            </w:r>
          </w:p>
        </w:tc>
        <w:tc>
          <w:tcPr>
            <w:tcW w:w="2551" w:type="dxa"/>
            <w:vAlign w:val="center"/>
          </w:tcPr>
          <w:p w14:paraId="5D53BA7E">
            <w:pPr>
              <w:pStyle w:val="14"/>
            </w:pPr>
          </w:p>
        </w:tc>
      </w:tr>
      <w:tr w14:paraId="50AF5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B6400">
            <w:pPr>
              <w:pStyle w:val="12"/>
            </w:pPr>
            <w:r>
              <w:t>3</w:t>
            </w:r>
          </w:p>
        </w:tc>
        <w:tc>
          <w:tcPr>
            <w:tcW w:w="1191" w:type="dxa"/>
            <w:vAlign w:val="center"/>
          </w:tcPr>
          <w:p w14:paraId="3DC6C47D">
            <w:pPr>
              <w:pStyle w:val="13"/>
            </w:pPr>
            <w:r>
              <w:t>30101</w:t>
            </w:r>
          </w:p>
        </w:tc>
        <w:tc>
          <w:tcPr>
            <w:tcW w:w="4535" w:type="dxa"/>
            <w:vAlign w:val="center"/>
          </w:tcPr>
          <w:p w14:paraId="5BA0F81A">
            <w:pPr>
              <w:pStyle w:val="13"/>
            </w:pPr>
            <w:r>
              <w:t>基本工资</w:t>
            </w:r>
          </w:p>
        </w:tc>
        <w:tc>
          <w:tcPr>
            <w:tcW w:w="2551" w:type="dxa"/>
            <w:vAlign w:val="center"/>
          </w:tcPr>
          <w:p w14:paraId="5BFBB57E">
            <w:pPr>
              <w:pStyle w:val="14"/>
            </w:pPr>
            <w:r>
              <w:t>300.84</w:t>
            </w:r>
          </w:p>
        </w:tc>
        <w:tc>
          <w:tcPr>
            <w:tcW w:w="2551" w:type="dxa"/>
            <w:vAlign w:val="center"/>
          </w:tcPr>
          <w:p w14:paraId="6E171BEC">
            <w:pPr>
              <w:pStyle w:val="14"/>
            </w:pPr>
            <w:r>
              <w:t>300.84</w:t>
            </w:r>
          </w:p>
        </w:tc>
        <w:tc>
          <w:tcPr>
            <w:tcW w:w="2551" w:type="dxa"/>
            <w:vAlign w:val="center"/>
          </w:tcPr>
          <w:p w14:paraId="6722D4DE">
            <w:pPr>
              <w:pStyle w:val="14"/>
            </w:pPr>
          </w:p>
        </w:tc>
      </w:tr>
      <w:tr w14:paraId="2BDFC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20E39">
            <w:pPr>
              <w:pStyle w:val="12"/>
            </w:pPr>
            <w:r>
              <w:t>4</w:t>
            </w:r>
          </w:p>
        </w:tc>
        <w:tc>
          <w:tcPr>
            <w:tcW w:w="1191" w:type="dxa"/>
            <w:vAlign w:val="center"/>
          </w:tcPr>
          <w:p w14:paraId="47CD92EA">
            <w:pPr>
              <w:pStyle w:val="13"/>
            </w:pPr>
            <w:r>
              <w:t>30102</w:t>
            </w:r>
          </w:p>
        </w:tc>
        <w:tc>
          <w:tcPr>
            <w:tcW w:w="4535" w:type="dxa"/>
            <w:vAlign w:val="center"/>
          </w:tcPr>
          <w:p w14:paraId="2E8424E9">
            <w:pPr>
              <w:pStyle w:val="13"/>
            </w:pPr>
            <w:r>
              <w:t>津贴补贴</w:t>
            </w:r>
          </w:p>
        </w:tc>
        <w:tc>
          <w:tcPr>
            <w:tcW w:w="2551" w:type="dxa"/>
            <w:vAlign w:val="center"/>
          </w:tcPr>
          <w:p w14:paraId="19568F44">
            <w:pPr>
              <w:pStyle w:val="14"/>
            </w:pPr>
            <w:r>
              <w:t>24.98</w:t>
            </w:r>
          </w:p>
        </w:tc>
        <w:tc>
          <w:tcPr>
            <w:tcW w:w="2551" w:type="dxa"/>
            <w:vAlign w:val="center"/>
          </w:tcPr>
          <w:p w14:paraId="65BB79E2">
            <w:pPr>
              <w:pStyle w:val="14"/>
            </w:pPr>
            <w:r>
              <w:t>24.98</w:t>
            </w:r>
          </w:p>
        </w:tc>
        <w:tc>
          <w:tcPr>
            <w:tcW w:w="2551" w:type="dxa"/>
            <w:vAlign w:val="center"/>
          </w:tcPr>
          <w:p w14:paraId="6F16FAC4">
            <w:pPr>
              <w:pStyle w:val="14"/>
            </w:pPr>
          </w:p>
        </w:tc>
      </w:tr>
      <w:tr w14:paraId="2BF8B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DCF7F">
            <w:pPr>
              <w:pStyle w:val="12"/>
            </w:pPr>
            <w:r>
              <w:t>5</w:t>
            </w:r>
          </w:p>
        </w:tc>
        <w:tc>
          <w:tcPr>
            <w:tcW w:w="1191" w:type="dxa"/>
            <w:vAlign w:val="center"/>
          </w:tcPr>
          <w:p w14:paraId="5A8A20FA">
            <w:pPr>
              <w:pStyle w:val="13"/>
            </w:pPr>
            <w:r>
              <w:t>30107</w:t>
            </w:r>
          </w:p>
        </w:tc>
        <w:tc>
          <w:tcPr>
            <w:tcW w:w="4535" w:type="dxa"/>
            <w:vAlign w:val="center"/>
          </w:tcPr>
          <w:p w14:paraId="2BEE28AD">
            <w:pPr>
              <w:pStyle w:val="13"/>
            </w:pPr>
            <w:r>
              <w:t>绩效工资</w:t>
            </w:r>
          </w:p>
        </w:tc>
        <w:tc>
          <w:tcPr>
            <w:tcW w:w="2551" w:type="dxa"/>
            <w:vAlign w:val="center"/>
          </w:tcPr>
          <w:p w14:paraId="21AA10BA">
            <w:pPr>
              <w:pStyle w:val="14"/>
            </w:pPr>
            <w:r>
              <w:t>144.58</w:t>
            </w:r>
          </w:p>
        </w:tc>
        <w:tc>
          <w:tcPr>
            <w:tcW w:w="2551" w:type="dxa"/>
            <w:vAlign w:val="center"/>
          </w:tcPr>
          <w:p w14:paraId="4A65CCEE">
            <w:pPr>
              <w:pStyle w:val="14"/>
            </w:pPr>
            <w:r>
              <w:t>144.58</w:t>
            </w:r>
          </w:p>
        </w:tc>
        <w:tc>
          <w:tcPr>
            <w:tcW w:w="2551" w:type="dxa"/>
            <w:vAlign w:val="center"/>
          </w:tcPr>
          <w:p w14:paraId="4601869D">
            <w:pPr>
              <w:pStyle w:val="14"/>
            </w:pPr>
          </w:p>
        </w:tc>
      </w:tr>
      <w:tr w14:paraId="1DD58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553B6">
            <w:pPr>
              <w:pStyle w:val="12"/>
            </w:pPr>
            <w:r>
              <w:t>6</w:t>
            </w:r>
          </w:p>
        </w:tc>
        <w:tc>
          <w:tcPr>
            <w:tcW w:w="1191" w:type="dxa"/>
            <w:vAlign w:val="center"/>
          </w:tcPr>
          <w:p w14:paraId="02573CC3">
            <w:pPr>
              <w:pStyle w:val="13"/>
            </w:pPr>
            <w:r>
              <w:t>30108</w:t>
            </w:r>
          </w:p>
        </w:tc>
        <w:tc>
          <w:tcPr>
            <w:tcW w:w="4535" w:type="dxa"/>
            <w:vAlign w:val="center"/>
          </w:tcPr>
          <w:p w14:paraId="2E327F71">
            <w:pPr>
              <w:pStyle w:val="13"/>
            </w:pPr>
            <w:r>
              <w:t>机关事业单位基本养老保险缴费</w:t>
            </w:r>
          </w:p>
        </w:tc>
        <w:tc>
          <w:tcPr>
            <w:tcW w:w="2551" w:type="dxa"/>
            <w:vAlign w:val="center"/>
          </w:tcPr>
          <w:p w14:paraId="1E7572CB">
            <w:pPr>
              <w:pStyle w:val="14"/>
            </w:pPr>
            <w:r>
              <w:t>57.64</w:t>
            </w:r>
          </w:p>
        </w:tc>
        <w:tc>
          <w:tcPr>
            <w:tcW w:w="2551" w:type="dxa"/>
            <w:vAlign w:val="center"/>
          </w:tcPr>
          <w:p w14:paraId="40CE4F92">
            <w:pPr>
              <w:pStyle w:val="14"/>
            </w:pPr>
            <w:r>
              <w:t>57.64</w:t>
            </w:r>
          </w:p>
        </w:tc>
        <w:tc>
          <w:tcPr>
            <w:tcW w:w="2551" w:type="dxa"/>
            <w:vAlign w:val="center"/>
          </w:tcPr>
          <w:p w14:paraId="5D82447B">
            <w:pPr>
              <w:pStyle w:val="14"/>
            </w:pPr>
          </w:p>
        </w:tc>
      </w:tr>
      <w:tr w14:paraId="74797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6C930">
            <w:pPr>
              <w:pStyle w:val="12"/>
            </w:pPr>
            <w:r>
              <w:t>7</w:t>
            </w:r>
          </w:p>
        </w:tc>
        <w:tc>
          <w:tcPr>
            <w:tcW w:w="1191" w:type="dxa"/>
            <w:vAlign w:val="center"/>
          </w:tcPr>
          <w:p w14:paraId="7355C3D3">
            <w:pPr>
              <w:pStyle w:val="13"/>
            </w:pPr>
            <w:r>
              <w:t>30110</w:t>
            </w:r>
          </w:p>
        </w:tc>
        <w:tc>
          <w:tcPr>
            <w:tcW w:w="4535" w:type="dxa"/>
            <w:vAlign w:val="center"/>
          </w:tcPr>
          <w:p w14:paraId="27E16717">
            <w:pPr>
              <w:pStyle w:val="13"/>
            </w:pPr>
            <w:r>
              <w:t>职工基本医疗保险缴费</w:t>
            </w:r>
          </w:p>
        </w:tc>
        <w:tc>
          <w:tcPr>
            <w:tcW w:w="2551" w:type="dxa"/>
            <w:vAlign w:val="center"/>
          </w:tcPr>
          <w:p w14:paraId="09C7ECBE">
            <w:pPr>
              <w:pStyle w:val="14"/>
            </w:pPr>
            <w:r>
              <w:t>26.28</w:t>
            </w:r>
          </w:p>
        </w:tc>
        <w:tc>
          <w:tcPr>
            <w:tcW w:w="2551" w:type="dxa"/>
            <w:vAlign w:val="center"/>
          </w:tcPr>
          <w:p w14:paraId="02F96A10">
            <w:pPr>
              <w:pStyle w:val="14"/>
            </w:pPr>
            <w:r>
              <w:t>26.28</w:t>
            </w:r>
          </w:p>
        </w:tc>
        <w:tc>
          <w:tcPr>
            <w:tcW w:w="2551" w:type="dxa"/>
            <w:vAlign w:val="center"/>
          </w:tcPr>
          <w:p w14:paraId="428C5CEB">
            <w:pPr>
              <w:pStyle w:val="14"/>
            </w:pPr>
          </w:p>
        </w:tc>
      </w:tr>
      <w:tr w14:paraId="1BF74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FC7EA">
            <w:pPr>
              <w:pStyle w:val="12"/>
            </w:pPr>
            <w:r>
              <w:t>8</w:t>
            </w:r>
          </w:p>
        </w:tc>
        <w:tc>
          <w:tcPr>
            <w:tcW w:w="1191" w:type="dxa"/>
            <w:vAlign w:val="center"/>
          </w:tcPr>
          <w:p w14:paraId="46DBEDDF">
            <w:pPr>
              <w:pStyle w:val="13"/>
            </w:pPr>
            <w:r>
              <w:t>30112</w:t>
            </w:r>
          </w:p>
        </w:tc>
        <w:tc>
          <w:tcPr>
            <w:tcW w:w="4535" w:type="dxa"/>
            <w:vAlign w:val="center"/>
          </w:tcPr>
          <w:p w14:paraId="3E093DF1">
            <w:pPr>
              <w:pStyle w:val="13"/>
            </w:pPr>
            <w:r>
              <w:t>其他社会保障缴费</w:t>
            </w:r>
          </w:p>
        </w:tc>
        <w:tc>
          <w:tcPr>
            <w:tcW w:w="2551" w:type="dxa"/>
            <w:vAlign w:val="center"/>
          </w:tcPr>
          <w:p w14:paraId="453F6D97">
            <w:pPr>
              <w:pStyle w:val="14"/>
            </w:pPr>
            <w:r>
              <w:t>1.80</w:t>
            </w:r>
          </w:p>
        </w:tc>
        <w:tc>
          <w:tcPr>
            <w:tcW w:w="2551" w:type="dxa"/>
            <w:vAlign w:val="center"/>
          </w:tcPr>
          <w:p w14:paraId="4121DB33">
            <w:pPr>
              <w:pStyle w:val="14"/>
            </w:pPr>
            <w:r>
              <w:t>1.80</w:t>
            </w:r>
          </w:p>
        </w:tc>
        <w:tc>
          <w:tcPr>
            <w:tcW w:w="2551" w:type="dxa"/>
            <w:vAlign w:val="center"/>
          </w:tcPr>
          <w:p w14:paraId="2FF3884F">
            <w:pPr>
              <w:pStyle w:val="14"/>
            </w:pPr>
          </w:p>
        </w:tc>
      </w:tr>
      <w:tr w14:paraId="0DEEA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06A10">
            <w:pPr>
              <w:pStyle w:val="12"/>
            </w:pPr>
            <w:r>
              <w:t>9</w:t>
            </w:r>
          </w:p>
        </w:tc>
        <w:tc>
          <w:tcPr>
            <w:tcW w:w="1191" w:type="dxa"/>
            <w:vAlign w:val="center"/>
          </w:tcPr>
          <w:p w14:paraId="15E3144F">
            <w:pPr>
              <w:pStyle w:val="13"/>
            </w:pPr>
            <w:r>
              <w:t>30113</w:t>
            </w:r>
          </w:p>
        </w:tc>
        <w:tc>
          <w:tcPr>
            <w:tcW w:w="4535" w:type="dxa"/>
            <w:vAlign w:val="center"/>
          </w:tcPr>
          <w:p w14:paraId="1416464D">
            <w:pPr>
              <w:pStyle w:val="13"/>
            </w:pPr>
            <w:r>
              <w:t>住房公积金</w:t>
            </w:r>
          </w:p>
        </w:tc>
        <w:tc>
          <w:tcPr>
            <w:tcW w:w="2551" w:type="dxa"/>
            <w:vAlign w:val="center"/>
          </w:tcPr>
          <w:p w14:paraId="2CEE583D">
            <w:pPr>
              <w:pStyle w:val="14"/>
            </w:pPr>
            <w:r>
              <w:t>44.77</w:t>
            </w:r>
          </w:p>
        </w:tc>
        <w:tc>
          <w:tcPr>
            <w:tcW w:w="2551" w:type="dxa"/>
            <w:vAlign w:val="center"/>
          </w:tcPr>
          <w:p w14:paraId="7242C0B4">
            <w:pPr>
              <w:pStyle w:val="14"/>
            </w:pPr>
            <w:r>
              <w:t>44.77</w:t>
            </w:r>
          </w:p>
        </w:tc>
        <w:tc>
          <w:tcPr>
            <w:tcW w:w="2551" w:type="dxa"/>
            <w:vAlign w:val="center"/>
          </w:tcPr>
          <w:p w14:paraId="49303BCF">
            <w:pPr>
              <w:pStyle w:val="14"/>
            </w:pPr>
          </w:p>
        </w:tc>
      </w:tr>
      <w:tr w14:paraId="17C0C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4552D">
            <w:pPr>
              <w:pStyle w:val="12"/>
            </w:pPr>
            <w:r>
              <w:t>10</w:t>
            </w:r>
          </w:p>
        </w:tc>
        <w:tc>
          <w:tcPr>
            <w:tcW w:w="1191" w:type="dxa"/>
            <w:vAlign w:val="center"/>
          </w:tcPr>
          <w:p w14:paraId="0063ED85">
            <w:pPr>
              <w:pStyle w:val="13"/>
            </w:pPr>
            <w:r>
              <w:t>303</w:t>
            </w:r>
          </w:p>
        </w:tc>
        <w:tc>
          <w:tcPr>
            <w:tcW w:w="4535" w:type="dxa"/>
            <w:vAlign w:val="center"/>
          </w:tcPr>
          <w:p w14:paraId="39EB27B6">
            <w:pPr>
              <w:pStyle w:val="13"/>
            </w:pPr>
            <w:r>
              <w:t>对个人和家庭的补助</w:t>
            </w:r>
          </w:p>
        </w:tc>
        <w:tc>
          <w:tcPr>
            <w:tcW w:w="2551" w:type="dxa"/>
            <w:vAlign w:val="center"/>
          </w:tcPr>
          <w:p w14:paraId="44B6B9D9">
            <w:pPr>
              <w:pStyle w:val="14"/>
            </w:pPr>
            <w:r>
              <w:t>19.35</w:t>
            </w:r>
          </w:p>
        </w:tc>
        <w:tc>
          <w:tcPr>
            <w:tcW w:w="2551" w:type="dxa"/>
            <w:vAlign w:val="center"/>
          </w:tcPr>
          <w:p w14:paraId="5853BCEF">
            <w:pPr>
              <w:pStyle w:val="14"/>
            </w:pPr>
            <w:r>
              <w:t>19.35</w:t>
            </w:r>
          </w:p>
        </w:tc>
        <w:tc>
          <w:tcPr>
            <w:tcW w:w="2551" w:type="dxa"/>
            <w:vAlign w:val="center"/>
          </w:tcPr>
          <w:p w14:paraId="6F81991E">
            <w:pPr>
              <w:pStyle w:val="14"/>
            </w:pPr>
          </w:p>
        </w:tc>
      </w:tr>
      <w:tr w14:paraId="41BBE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9F16A">
            <w:pPr>
              <w:pStyle w:val="12"/>
            </w:pPr>
            <w:r>
              <w:t>11</w:t>
            </w:r>
          </w:p>
        </w:tc>
        <w:tc>
          <w:tcPr>
            <w:tcW w:w="1191" w:type="dxa"/>
            <w:vAlign w:val="center"/>
          </w:tcPr>
          <w:p w14:paraId="378AF7E7">
            <w:pPr>
              <w:pStyle w:val="13"/>
            </w:pPr>
            <w:r>
              <w:t>30302</w:t>
            </w:r>
          </w:p>
        </w:tc>
        <w:tc>
          <w:tcPr>
            <w:tcW w:w="4535" w:type="dxa"/>
            <w:vAlign w:val="center"/>
          </w:tcPr>
          <w:p w14:paraId="2C4B0418">
            <w:pPr>
              <w:pStyle w:val="13"/>
            </w:pPr>
            <w:r>
              <w:t>退休费</w:t>
            </w:r>
          </w:p>
        </w:tc>
        <w:tc>
          <w:tcPr>
            <w:tcW w:w="2551" w:type="dxa"/>
            <w:vAlign w:val="center"/>
          </w:tcPr>
          <w:p w14:paraId="2F8A52F8">
            <w:pPr>
              <w:pStyle w:val="14"/>
            </w:pPr>
            <w:r>
              <w:t>17.91</w:t>
            </w:r>
          </w:p>
        </w:tc>
        <w:tc>
          <w:tcPr>
            <w:tcW w:w="2551" w:type="dxa"/>
            <w:vAlign w:val="center"/>
          </w:tcPr>
          <w:p w14:paraId="20514BFD">
            <w:pPr>
              <w:pStyle w:val="14"/>
            </w:pPr>
            <w:r>
              <w:t>17.91</w:t>
            </w:r>
          </w:p>
        </w:tc>
        <w:tc>
          <w:tcPr>
            <w:tcW w:w="2551" w:type="dxa"/>
            <w:vAlign w:val="center"/>
          </w:tcPr>
          <w:p w14:paraId="7C050A68">
            <w:pPr>
              <w:pStyle w:val="14"/>
            </w:pPr>
          </w:p>
        </w:tc>
      </w:tr>
      <w:tr w14:paraId="290B4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34DD6">
            <w:pPr>
              <w:pStyle w:val="12"/>
            </w:pPr>
            <w:r>
              <w:t>12</w:t>
            </w:r>
          </w:p>
        </w:tc>
        <w:tc>
          <w:tcPr>
            <w:tcW w:w="1191" w:type="dxa"/>
            <w:vAlign w:val="center"/>
          </w:tcPr>
          <w:p w14:paraId="0AF72A44">
            <w:pPr>
              <w:pStyle w:val="13"/>
            </w:pPr>
            <w:r>
              <w:t>30305</w:t>
            </w:r>
          </w:p>
        </w:tc>
        <w:tc>
          <w:tcPr>
            <w:tcW w:w="4535" w:type="dxa"/>
            <w:vAlign w:val="center"/>
          </w:tcPr>
          <w:p w14:paraId="5DEEB81B">
            <w:pPr>
              <w:pStyle w:val="13"/>
            </w:pPr>
            <w:r>
              <w:t>生活补助</w:t>
            </w:r>
          </w:p>
        </w:tc>
        <w:tc>
          <w:tcPr>
            <w:tcW w:w="2551" w:type="dxa"/>
            <w:vAlign w:val="center"/>
          </w:tcPr>
          <w:p w14:paraId="7635A5A2">
            <w:pPr>
              <w:pStyle w:val="14"/>
            </w:pPr>
            <w:r>
              <w:t>1.44</w:t>
            </w:r>
          </w:p>
        </w:tc>
        <w:tc>
          <w:tcPr>
            <w:tcW w:w="2551" w:type="dxa"/>
            <w:vAlign w:val="center"/>
          </w:tcPr>
          <w:p w14:paraId="3972D722">
            <w:pPr>
              <w:pStyle w:val="14"/>
            </w:pPr>
            <w:r>
              <w:t>1.44</w:t>
            </w:r>
          </w:p>
        </w:tc>
        <w:tc>
          <w:tcPr>
            <w:tcW w:w="2551" w:type="dxa"/>
            <w:vAlign w:val="center"/>
          </w:tcPr>
          <w:p w14:paraId="024E7092">
            <w:pPr>
              <w:pStyle w:val="14"/>
            </w:pPr>
          </w:p>
        </w:tc>
      </w:tr>
    </w:tbl>
    <w:p w14:paraId="56F8D460">
      <w:pPr>
        <w:sectPr>
          <w:pgSz w:w="16840" w:h="11900" w:orient="landscape"/>
          <w:pgMar w:top="1361" w:right="1020" w:bottom="1134" w:left="1020" w:header="720" w:footer="720" w:gutter="0"/>
          <w:cols w:space="720" w:num="1"/>
        </w:sectPr>
      </w:pPr>
    </w:p>
    <w:p w14:paraId="3F92A8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D37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2E2F7A">
            <w:pPr>
              <w:pStyle w:val="8"/>
            </w:pPr>
            <w:r>
              <w:t>360008隆尧县牛家桥中学</w:t>
            </w:r>
          </w:p>
        </w:tc>
        <w:tc>
          <w:tcPr>
            <w:tcW w:w="2551" w:type="dxa"/>
            <w:tcBorders>
              <w:top w:val="single" w:color="FFFFFF" w:sz="6" w:space="0"/>
              <w:left w:val="single" w:color="FFFFFF" w:sz="6" w:space="0"/>
              <w:right w:val="single" w:color="FFFFFF" w:sz="6" w:space="0"/>
            </w:tcBorders>
            <w:vAlign w:val="center"/>
          </w:tcPr>
          <w:p w14:paraId="22B0AC9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E5954A6">
            <w:pPr>
              <w:pStyle w:val="10"/>
            </w:pPr>
            <w:r>
              <w:t>单位：万元</w:t>
            </w:r>
          </w:p>
        </w:tc>
      </w:tr>
      <w:tr w14:paraId="74732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F0266F">
            <w:pPr>
              <w:pStyle w:val="11"/>
            </w:pPr>
            <w:r>
              <w:t>序号</w:t>
            </w:r>
          </w:p>
        </w:tc>
        <w:tc>
          <w:tcPr>
            <w:tcW w:w="5726" w:type="dxa"/>
            <w:gridSpan w:val="2"/>
            <w:vAlign w:val="center"/>
          </w:tcPr>
          <w:p w14:paraId="04E6B250">
            <w:pPr>
              <w:pStyle w:val="11"/>
            </w:pPr>
            <w:r>
              <w:t>功能分类科目</w:t>
            </w:r>
          </w:p>
        </w:tc>
        <w:tc>
          <w:tcPr>
            <w:tcW w:w="2551" w:type="dxa"/>
            <w:vMerge w:val="restart"/>
            <w:vAlign w:val="center"/>
          </w:tcPr>
          <w:p w14:paraId="5453E1FA">
            <w:pPr>
              <w:pStyle w:val="11"/>
            </w:pPr>
            <w:r>
              <w:t>合计</w:t>
            </w:r>
          </w:p>
        </w:tc>
        <w:tc>
          <w:tcPr>
            <w:tcW w:w="2551" w:type="dxa"/>
            <w:vMerge w:val="restart"/>
            <w:vAlign w:val="center"/>
          </w:tcPr>
          <w:p w14:paraId="25067EC1">
            <w:pPr>
              <w:pStyle w:val="11"/>
            </w:pPr>
            <w:r>
              <w:t>基本支出</w:t>
            </w:r>
          </w:p>
        </w:tc>
        <w:tc>
          <w:tcPr>
            <w:tcW w:w="2551" w:type="dxa"/>
            <w:vMerge w:val="restart"/>
            <w:vAlign w:val="center"/>
          </w:tcPr>
          <w:p w14:paraId="510C80AE">
            <w:pPr>
              <w:pStyle w:val="11"/>
            </w:pPr>
            <w:r>
              <w:t>项目支出</w:t>
            </w:r>
          </w:p>
        </w:tc>
      </w:tr>
      <w:tr w14:paraId="442F4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EDF291"/>
        </w:tc>
        <w:tc>
          <w:tcPr>
            <w:tcW w:w="1191" w:type="dxa"/>
            <w:vAlign w:val="center"/>
          </w:tcPr>
          <w:p w14:paraId="5C206B45">
            <w:pPr>
              <w:pStyle w:val="11"/>
            </w:pPr>
            <w:r>
              <w:t>科目编码</w:t>
            </w:r>
          </w:p>
        </w:tc>
        <w:tc>
          <w:tcPr>
            <w:tcW w:w="4535" w:type="dxa"/>
            <w:vAlign w:val="center"/>
          </w:tcPr>
          <w:p w14:paraId="196283BD">
            <w:pPr>
              <w:pStyle w:val="11"/>
            </w:pPr>
            <w:r>
              <w:t>科目名称</w:t>
            </w:r>
          </w:p>
        </w:tc>
        <w:tc>
          <w:tcPr>
            <w:tcW w:w="2551" w:type="dxa"/>
            <w:vMerge w:val="continue"/>
          </w:tcPr>
          <w:p w14:paraId="55006323"/>
        </w:tc>
        <w:tc>
          <w:tcPr>
            <w:tcW w:w="2551" w:type="dxa"/>
            <w:vMerge w:val="continue"/>
          </w:tcPr>
          <w:p w14:paraId="390A56C0"/>
        </w:tc>
        <w:tc>
          <w:tcPr>
            <w:tcW w:w="2551" w:type="dxa"/>
            <w:vMerge w:val="continue"/>
          </w:tcPr>
          <w:p w14:paraId="10B58E92"/>
        </w:tc>
      </w:tr>
      <w:tr w14:paraId="75FFC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901ED9">
            <w:pPr>
              <w:pStyle w:val="11"/>
            </w:pPr>
            <w:r>
              <w:t>栏次</w:t>
            </w:r>
          </w:p>
        </w:tc>
        <w:tc>
          <w:tcPr>
            <w:tcW w:w="1191" w:type="dxa"/>
            <w:vAlign w:val="center"/>
          </w:tcPr>
          <w:p w14:paraId="2F43C5F9">
            <w:pPr>
              <w:pStyle w:val="11"/>
            </w:pPr>
            <w:r>
              <w:t>1</w:t>
            </w:r>
          </w:p>
        </w:tc>
        <w:tc>
          <w:tcPr>
            <w:tcW w:w="4535" w:type="dxa"/>
            <w:vAlign w:val="center"/>
          </w:tcPr>
          <w:p w14:paraId="3F433CEF">
            <w:pPr>
              <w:pStyle w:val="11"/>
            </w:pPr>
            <w:r>
              <w:t>2</w:t>
            </w:r>
          </w:p>
        </w:tc>
        <w:tc>
          <w:tcPr>
            <w:tcW w:w="2551" w:type="dxa"/>
            <w:vAlign w:val="center"/>
          </w:tcPr>
          <w:p w14:paraId="020BD601">
            <w:pPr>
              <w:pStyle w:val="11"/>
            </w:pPr>
            <w:r>
              <w:t>3</w:t>
            </w:r>
          </w:p>
        </w:tc>
        <w:tc>
          <w:tcPr>
            <w:tcW w:w="2551" w:type="dxa"/>
            <w:vAlign w:val="center"/>
          </w:tcPr>
          <w:p w14:paraId="0D7DBA3F">
            <w:pPr>
              <w:pStyle w:val="11"/>
            </w:pPr>
            <w:r>
              <w:t>4</w:t>
            </w:r>
          </w:p>
        </w:tc>
        <w:tc>
          <w:tcPr>
            <w:tcW w:w="2551" w:type="dxa"/>
            <w:vAlign w:val="center"/>
          </w:tcPr>
          <w:p w14:paraId="050C7C5C">
            <w:pPr>
              <w:pStyle w:val="11"/>
            </w:pPr>
            <w:r>
              <w:t>5</w:t>
            </w:r>
          </w:p>
        </w:tc>
      </w:tr>
      <w:tr w14:paraId="46863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869D1">
            <w:pPr>
              <w:pStyle w:val="12"/>
            </w:pPr>
          </w:p>
        </w:tc>
        <w:tc>
          <w:tcPr>
            <w:tcW w:w="1191" w:type="dxa"/>
            <w:vAlign w:val="center"/>
          </w:tcPr>
          <w:p w14:paraId="229E573E">
            <w:pPr>
              <w:pStyle w:val="13"/>
            </w:pPr>
          </w:p>
        </w:tc>
        <w:tc>
          <w:tcPr>
            <w:tcW w:w="4535" w:type="dxa"/>
            <w:vAlign w:val="center"/>
          </w:tcPr>
          <w:p w14:paraId="0BE702C4">
            <w:pPr>
              <w:pStyle w:val="13"/>
            </w:pPr>
          </w:p>
        </w:tc>
        <w:tc>
          <w:tcPr>
            <w:tcW w:w="2551" w:type="dxa"/>
            <w:vAlign w:val="center"/>
          </w:tcPr>
          <w:p w14:paraId="2B78B0BF">
            <w:pPr>
              <w:pStyle w:val="14"/>
            </w:pPr>
          </w:p>
        </w:tc>
        <w:tc>
          <w:tcPr>
            <w:tcW w:w="2551" w:type="dxa"/>
            <w:vAlign w:val="center"/>
          </w:tcPr>
          <w:p w14:paraId="04E92601">
            <w:pPr>
              <w:pStyle w:val="14"/>
            </w:pPr>
          </w:p>
        </w:tc>
        <w:tc>
          <w:tcPr>
            <w:tcW w:w="2551" w:type="dxa"/>
            <w:vAlign w:val="center"/>
          </w:tcPr>
          <w:p w14:paraId="10A2910B">
            <w:pPr>
              <w:pStyle w:val="14"/>
            </w:pPr>
          </w:p>
        </w:tc>
      </w:tr>
    </w:tbl>
    <w:p w14:paraId="5AE7A0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96DB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7C6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80B073">
            <w:pPr>
              <w:pStyle w:val="8"/>
            </w:pPr>
            <w:r>
              <w:t>360008隆尧县牛家桥中学</w:t>
            </w:r>
          </w:p>
        </w:tc>
        <w:tc>
          <w:tcPr>
            <w:tcW w:w="2551" w:type="dxa"/>
            <w:tcBorders>
              <w:top w:val="single" w:color="FFFFFF" w:sz="6" w:space="0"/>
              <w:left w:val="single" w:color="FFFFFF" w:sz="6" w:space="0"/>
              <w:right w:val="single" w:color="FFFFFF" w:sz="6" w:space="0"/>
            </w:tcBorders>
            <w:vAlign w:val="center"/>
          </w:tcPr>
          <w:p w14:paraId="38379F2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6C0A1AE">
            <w:pPr>
              <w:pStyle w:val="10"/>
            </w:pPr>
            <w:r>
              <w:t>单位：万元</w:t>
            </w:r>
          </w:p>
        </w:tc>
      </w:tr>
      <w:tr w14:paraId="67F2C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2C8C3B">
            <w:pPr>
              <w:pStyle w:val="11"/>
            </w:pPr>
            <w:r>
              <w:t>序号</w:t>
            </w:r>
          </w:p>
        </w:tc>
        <w:tc>
          <w:tcPr>
            <w:tcW w:w="5726" w:type="dxa"/>
            <w:gridSpan w:val="2"/>
            <w:vAlign w:val="center"/>
          </w:tcPr>
          <w:p w14:paraId="2F786B8F">
            <w:pPr>
              <w:pStyle w:val="11"/>
            </w:pPr>
            <w:r>
              <w:t>功能分类科目</w:t>
            </w:r>
          </w:p>
        </w:tc>
        <w:tc>
          <w:tcPr>
            <w:tcW w:w="2551" w:type="dxa"/>
            <w:vMerge w:val="restart"/>
            <w:vAlign w:val="center"/>
          </w:tcPr>
          <w:p w14:paraId="45DAF66C">
            <w:pPr>
              <w:pStyle w:val="11"/>
            </w:pPr>
            <w:r>
              <w:t>合计</w:t>
            </w:r>
          </w:p>
        </w:tc>
        <w:tc>
          <w:tcPr>
            <w:tcW w:w="2551" w:type="dxa"/>
            <w:vMerge w:val="restart"/>
            <w:vAlign w:val="center"/>
          </w:tcPr>
          <w:p w14:paraId="1CADAA6A">
            <w:pPr>
              <w:pStyle w:val="11"/>
            </w:pPr>
            <w:r>
              <w:t>基本支出</w:t>
            </w:r>
          </w:p>
        </w:tc>
        <w:tc>
          <w:tcPr>
            <w:tcW w:w="2551" w:type="dxa"/>
            <w:vMerge w:val="restart"/>
            <w:vAlign w:val="center"/>
          </w:tcPr>
          <w:p w14:paraId="3C81FCFD">
            <w:pPr>
              <w:pStyle w:val="11"/>
            </w:pPr>
            <w:r>
              <w:t>项目支出</w:t>
            </w:r>
          </w:p>
        </w:tc>
      </w:tr>
      <w:tr w14:paraId="0BD02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4BA4F6"/>
        </w:tc>
        <w:tc>
          <w:tcPr>
            <w:tcW w:w="1191" w:type="dxa"/>
            <w:vAlign w:val="center"/>
          </w:tcPr>
          <w:p w14:paraId="28EA224F">
            <w:pPr>
              <w:pStyle w:val="11"/>
            </w:pPr>
            <w:r>
              <w:t>科目编码</w:t>
            </w:r>
          </w:p>
        </w:tc>
        <w:tc>
          <w:tcPr>
            <w:tcW w:w="4535" w:type="dxa"/>
            <w:vAlign w:val="center"/>
          </w:tcPr>
          <w:p w14:paraId="0F8C15D8">
            <w:pPr>
              <w:pStyle w:val="11"/>
            </w:pPr>
            <w:r>
              <w:t>科目名称</w:t>
            </w:r>
          </w:p>
        </w:tc>
        <w:tc>
          <w:tcPr>
            <w:tcW w:w="2551" w:type="dxa"/>
            <w:vMerge w:val="continue"/>
          </w:tcPr>
          <w:p w14:paraId="2FFFDE59"/>
        </w:tc>
        <w:tc>
          <w:tcPr>
            <w:tcW w:w="2551" w:type="dxa"/>
            <w:vMerge w:val="continue"/>
          </w:tcPr>
          <w:p w14:paraId="0B156985"/>
        </w:tc>
        <w:tc>
          <w:tcPr>
            <w:tcW w:w="2551" w:type="dxa"/>
            <w:vMerge w:val="continue"/>
          </w:tcPr>
          <w:p w14:paraId="7CC2B506"/>
        </w:tc>
      </w:tr>
      <w:tr w14:paraId="1E5C9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E40A4">
            <w:pPr>
              <w:pStyle w:val="11"/>
            </w:pPr>
            <w:r>
              <w:t>栏次</w:t>
            </w:r>
          </w:p>
        </w:tc>
        <w:tc>
          <w:tcPr>
            <w:tcW w:w="1191" w:type="dxa"/>
            <w:vAlign w:val="center"/>
          </w:tcPr>
          <w:p w14:paraId="083206E8">
            <w:pPr>
              <w:pStyle w:val="11"/>
            </w:pPr>
            <w:r>
              <w:t>1</w:t>
            </w:r>
          </w:p>
        </w:tc>
        <w:tc>
          <w:tcPr>
            <w:tcW w:w="4535" w:type="dxa"/>
            <w:vAlign w:val="center"/>
          </w:tcPr>
          <w:p w14:paraId="5388EEF0">
            <w:pPr>
              <w:pStyle w:val="11"/>
            </w:pPr>
            <w:r>
              <w:t>2</w:t>
            </w:r>
          </w:p>
        </w:tc>
        <w:tc>
          <w:tcPr>
            <w:tcW w:w="2551" w:type="dxa"/>
            <w:vAlign w:val="center"/>
          </w:tcPr>
          <w:p w14:paraId="57D879E8">
            <w:pPr>
              <w:pStyle w:val="11"/>
            </w:pPr>
            <w:r>
              <w:t>3</w:t>
            </w:r>
          </w:p>
        </w:tc>
        <w:tc>
          <w:tcPr>
            <w:tcW w:w="2551" w:type="dxa"/>
            <w:vAlign w:val="center"/>
          </w:tcPr>
          <w:p w14:paraId="5A914B23">
            <w:pPr>
              <w:pStyle w:val="11"/>
            </w:pPr>
            <w:r>
              <w:t>4</w:t>
            </w:r>
          </w:p>
        </w:tc>
        <w:tc>
          <w:tcPr>
            <w:tcW w:w="2551" w:type="dxa"/>
            <w:vAlign w:val="center"/>
          </w:tcPr>
          <w:p w14:paraId="36FA0A6A">
            <w:pPr>
              <w:pStyle w:val="11"/>
            </w:pPr>
            <w:r>
              <w:t>5</w:t>
            </w:r>
          </w:p>
        </w:tc>
      </w:tr>
      <w:tr w14:paraId="7A93F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2743E">
            <w:pPr>
              <w:pStyle w:val="12"/>
            </w:pPr>
          </w:p>
        </w:tc>
        <w:tc>
          <w:tcPr>
            <w:tcW w:w="1191" w:type="dxa"/>
            <w:vAlign w:val="center"/>
          </w:tcPr>
          <w:p w14:paraId="2DA7A935">
            <w:pPr>
              <w:pStyle w:val="13"/>
            </w:pPr>
          </w:p>
        </w:tc>
        <w:tc>
          <w:tcPr>
            <w:tcW w:w="4535" w:type="dxa"/>
            <w:vAlign w:val="center"/>
          </w:tcPr>
          <w:p w14:paraId="520A5C93">
            <w:pPr>
              <w:pStyle w:val="13"/>
            </w:pPr>
          </w:p>
        </w:tc>
        <w:tc>
          <w:tcPr>
            <w:tcW w:w="2551" w:type="dxa"/>
            <w:vAlign w:val="center"/>
          </w:tcPr>
          <w:p w14:paraId="7F66896D">
            <w:pPr>
              <w:pStyle w:val="14"/>
            </w:pPr>
          </w:p>
        </w:tc>
        <w:tc>
          <w:tcPr>
            <w:tcW w:w="2551" w:type="dxa"/>
            <w:vAlign w:val="center"/>
          </w:tcPr>
          <w:p w14:paraId="78A848B1">
            <w:pPr>
              <w:pStyle w:val="14"/>
            </w:pPr>
          </w:p>
        </w:tc>
        <w:tc>
          <w:tcPr>
            <w:tcW w:w="2551" w:type="dxa"/>
            <w:vAlign w:val="center"/>
          </w:tcPr>
          <w:p w14:paraId="7206F508">
            <w:pPr>
              <w:pStyle w:val="14"/>
            </w:pPr>
          </w:p>
        </w:tc>
      </w:tr>
    </w:tbl>
    <w:p w14:paraId="1E5FB0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64C5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194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52D6D6">
            <w:pPr>
              <w:pStyle w:val="8"/>
            </w:pPr>
            <w:r>
              <w:t>360008隆尧县牛家桥中学</w:t>
            </w:r>
          </w:p>
        </w:tc>
        <w:tc>
          <w:tcPr>
            <w:tcW w:w="2381" w:type="dxa"/>
            <w:tcBorders>
              <w:top w:val="single" w:color="FFFFFF" w:sz="6" w:space="0"/>
              <w:left w:val="single" w:color="FFFFFF" w:sz="6" w:space="0"/>
              <w:right w:val="single" w:color="FFFFFF" w:sz="6" w:space="0"/>
            </w:tcBorders>
            <w:vAlign w:val="center"/>
          </w:tcPr>
          <w:p w14:paraId="0966F8E0">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EB3616E">
            <w:pPr>
              <w:pStyle w:val="10"/>
            </w:pPr>
            <w:r>
              <w:t>单位：万元</w:t>
            </w:r>
          </w:p>
        </w:tc>
      </w:tr>
      <w:tr w14:paraId="0BCB7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AF786E">
            <w:pPr>
              <w:pStyle w:val="11"/>
            </w:pPr>
            <w:r>
              <w:t>序号</w:t>
            </w:r>
          </w:p>
        </w:tc>
        <w:tc>
          <w:tcPr>
            <w:tcW w:w="3798" w:type="dxa"/>
            <w:vMerge w:val="restart"/>
            <w:vAlign w:val="center"/>
          </w:tcPr>
          <w:p w14:paraId="5B06D85F">
            <w:pPr>
              <w:pStyle w:val="11"/>
            </w:pPr>
            <w:r>
              <w:t>项  目</w:t>
            </w:r>
          </w:p>
        </w:tc>
        <w:tc>
          <w:tcPr>
            <w:tcW w:w="9524" w:type="dxa"/>
            <w:gridSpan w:val="4"/>
            <w:vAlign w:val="center"/>
          </w:tcPr>
          <w:p w14:paraId="3835CB79">
            <w:pPr>
              <w:pStyle w:val="11"/>
            </w:pPr>
            <w:r>
              <w:t>资 金 性 质</w:t>
            </w:r>
          </w:p>
        </w:tc>
      </w:tr>
      <w:tr w14:paraId="0876B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0C2A96"/>
        </w:tc>
        <w:tc>
          <w:tcPr>
            <w:tcW w:w="3798" w:type="dxa"/>
            <w:vMerge w:val="continue"/>
          </w:tcPr>
          <w:p w14:paraId="0E5FB92C"/>
        </w:tc>
        <w:tc>
          <w:tcPr>
            <w:tcW w:w="2381" w:type="dxa"/>
            <w:vAlign w:val="center"/>
          </w:tcPr>
          <w:p w14:paraId="5D352718">
            <w:pPr>
              <w:pStyle w:val="11"/>
            </w:pPr>
            <w:r>
              <w:t>合计</w:t>
            </w:r>
          </w:p>
        </w:tc>
        <w:tc>
          <w:tcPr>
            <w:tcW w:w="2381" w:type="dxa"/>
            <w:vAlign w:val="center"/>
          </w:tcPr>
          <w:p w14:paraId="7F335C21">
            <w:pPr>
              <w:pStyle w:val="11"/>
            </w:pPr>
            <w:r>
              <w:t>一般公共预算              财政拨款</w:t>
            </w:r>
          </w:p>
        </w:tc>
        <w:tc>
          <w:tcPr>
            <w:tcW w:w="2381" w:type="dxa"/>
            <w:vAlign w:val="center"/>
          </w:tcPr>
          <w:p w14:paraId="4D9E88A3">
            <w:pPr>
              <w:pStyle w:val="11"/>
            </w:pPr>
            <w:r>
              <w:t>政府性基金                  预算拨款</w:t>
            </w:r>
          </w:p>
        </w:tc>
        <w:tc>
          <w:tcPr>
            <w:tcW w:w="2381" w:type="dxa"/>
            <w:vAlign w:val="center"/>
          </w:tcPr>
          <w:p w14:paraId="5179ED64">
            <w:pPr>
              <w:pStyle w:val="11"/>
            </w:pPr>
            <w:r>
              <w:t>国有资本经营              预算财政拨款</w:t>
            </w:r>
          </w:p>
        </w:tc>
      </w:tr>
      <w:tr w14:paraId="25EDD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933C53">
            <w:pPr>
              <w:pStyle w:val="11"/>
            </w:pPr>
            <w:r>
              <w:t>栏次</w:t>
            </w:r>
          </w:p>
        </w:tc>
        <w:tc>
          <w:tcPr>
            <w:tcW w:w="3798" w:type="dxa"/>
            <w:vAlign w:val="center"/>
          </w:tcPr>
          <w:p w14:paraId="38AA4C65">
            <w:pPr>
              <w:pStyle w:val="11"/>
            </w:pPr>
            <w:r>
              <w:t>1</w:t>
            </w:r>
          </w:p>
        </w:tc>
        <w:tc>
          <w:tcPr>
            <w:tcW w:w="2381" w:type="dxa"/>
            <w:vAlign w:val="center"/>
          </w:tcPr>
          <w:p w14:paraId="1675E000">
            <w:pPr>
              <w:pStyle w:val="11"/>
            </w:pPr>
            <w:r>
              <w:t>2</w:t>
            </w:r>
          </w:p>
        </w:tc>
        <w:tc>
          <w:tcPr>
            <w:tcW w:w="2381" w:type="dxa"/>
            <w:vAlign w:val="center"/>
          </w:tcPr>
          <w:p w14:paraId="46F96F44">
            <w:pPr>
              <w:pStyle w:val="11"/>
            </w:pPr>
            <w:r>
              <w:t>3</w:t>
            </w:r>
          </w:p>
        </w:tc>
        <w:tc>
          <w:tcPr>
            <w:tcW w:w="2381" w:type="dxa"/>
            <w:vAlign w:val="center"/>
          </w:tcPr>
          <w:p w14:paraId="25E366E8">
            <w:pPr>
              <w:pStyle w:val="11"/>
            </w:pPr>
            <w:r>
              <w:t>4</w:t>
            </w:r>
          </w:p>
        </w:tc>
        <w:tc>
          <w:tcPr>
            <w:tcW w:w="2381" w:type="dxa"/>
            <w:vAlign w:val="center"/>
          </w:tcPr>
          <w:p w14:paraId="25133EE0">
            <w:pPr>
              <w:pStyle w:val="11"/>
            </w:pPr>
            <w:r>
              <w:t>5</w:t>
            </w:r>
          </w:p>
        </w:tc>
      </w:tr>
      <w:tr w14:paraId="1A009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DE1E47">
            <w:pPr>
              <w:pStyle w:val="12"/>
            </w:pPr>
          </w:p>
        </w:tc>
        <w:tc>
          <w:tcPr>
            <w:tcW w:w="3798" w:type="dxa"/>
            <w:vAlign w:val="center"/>
          </w:tcPr>
          <w:p w14:paraId="0D30740A">
            <w:pPr>
              <w:pStyle w:val="13"/>
            </w:pPr>
          </w:p>
        </w:tc>
        <w:tc>
          <w:tcPr>
            <w:tcW w:w="2381" w:type="dxa"/>
            <w:vAlign w:val="center"/>
          </w:tcPr>
          <w:p w14:paraId="4105245C">
            <w:pPr>
              <w:pStyle w:val="14"/>
            </w:pPr>
          </w:p>
        </w:tc>
        <w:tc>
          <w:tcPr>
            <w:tcW w:w="2381" w:type="dxa"/>
            <w:vAlign w:val="center"/>
          </w:tcPr>
          <w:p w14:paraId="6CF1E36F">
            <w:pPr>
              <w:pStyle w:val="14"/>
            </w:pPr>
          </w:p>
        </w:tc>
        <w:tc>
          <w:tcPr>
            <w:tcW w:w="2381" w:type="dxa"/>
            <w:vAlign w:val="center"/>
          </w:tcPr>
          <w:p w14:paraId="45D853CF">
            <w:pPr>
              <w:pStyle w:val="14"/>
            </w:pPr>
          </w:p>
        </w:tc>
        <w:tc>
          <w:tcPr>
            <w:tcW w:w="2381" w:type="dxa"/>
            <w:vAlign w:val="center"/>
          </w:tcPr>
          <w:p w14:paraId="738F7D0A">
            <w:pPr>
              <w:pStyle w:val="14"/>
            </w:pPr>
          </w:p>
        </w:tc>
      </w:tr>
    </w:tbl>
    <w:p w14:paraId="2420F10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2D36719">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隆尧县牛家桥中学2025年单位预算信息公开情况说明</w:t>
      </w:r>
    </w:p>
    <w:p w14:paraId="16E5019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按照《中华人民共和国预算法》、《地方预决算公开操作规程》和《关于进一步推进预算公开工作的实施意见》规定，现将隆尧县牛家桥中学2025年单位预算公开如下：</w:t>
      </w:r>
    </w:p>
    <w:p w14:paraId="572D315A">
      <w:pPr>
        <w:spacing w:before="10" w:after="10" w:line="240" w:lineRule="auto"/>
        <w:ind w:firstLine="640"/>
        <w:jc w:val="left"/>
        <w:outlineLvl w:val="5"/>
      </w:pPr>
      <w:r>
        <w:rPr>
          <w:rFonts w:ascii="黑体" w:hAnsi="黑体" w:eastAsia="黑体" w:cs="黑体"/>
          <w:color w:val="000000"/>
          <w:sz w:val="32"/>
        </w:rPr>
        <w:t>一、单位职责及机构设置情况</w:t>
      </w:r>
    </w:p>
    <w:p w14:paraId="6D5B74E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AF151C">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3A4C0DB7">
      <w:pPr>
        <w:pStyle w:val="18"/>
      </w:pPr>
      <w:r>
        <w:t>人员编制和领导职数</w:t>
      </w:r>
    </w:p>
    <w:p w14:paraId="5E8744D2">
      <w:pPr>
        <w:pStyle w:val="18"/>
      </w:pPr>
      <w:r>
        <w:t>隆尧县牛家桥中学事业编制47名。其中校长1名（正股级），副校长3名（副股级）；经费形式为财政性资金基本保证。</w:t>
      </w:r>
    </w:p>
    <w:p w14:paraId="78499D3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632E1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4231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4815AE">
            <w:pPr>
              <w:pStyle w:val="11"/>
            </w:pPr>
            <w:r>
              <w:t>单位名称</w:t>
            </w:r>
          </w:p>
        </w:tc>
        <w:tc>
          <w:tcPr>
            <w:tcW w:w="1843" w:type="dxa"/>
            <w:vAlign w:val="center"/>
          </w:tcPr>
          <w:p w14:paraId="500F3E73">
            <w:pPr>
              <w:pStyle w:val="11"/>
            </w:pPr>
            <w:r>
              <w:t>单位性质</w:t>
            </w:r>
          </w:p>
        </w:tc>
        <w:tc>
          <w:tcPr>
            <w:tcW w:w="2126" w:type="dxa"/>
            <w:vAlign w:val="center"/>
          </w:tcPr>
          <w:p w14:paraId="36AAC707">
            <w:pPr>
              <w:pStyle w:val="11"/>
            </w:pPr>
            <w:r>
              <w:t>单位规格</w:t>
            </w:r>
          </w:p>
        </w:tc>
        <w:tc>
          <w:tcPr>
            <w:tcW w:w="3827" w:type="dxa"/>
            <w:vAlign w:val="center"/>
          </w:tcPr>
          <w:p w14:paraId="7A5CDB05">
            <w:pPr>
              <w:pStyle w:val="11"/>
            </w:pPr>
            <w:r>
              <w:t>经费保障形式</w:t>
            </w:r>
          </w:p>
        </w:tc>
      </w:tr>
      <w:tr w14:paraId="4DC0D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221CED7">
            <w:pPr>
              <w:pStyle w:val="13"/>
            </w:pPr>
            <w:r>
              <w:t>隆尧县牛家桥中学</w:t>
            </w:r>
          </w:p>
        </w:tc>
        <w:tc>
          <w:tcPr>
            <w:tcW w:w="1843" w:type="dxa"/>
            <w:vAlign w:val="center"/>
          </w:tcPr>
          <w:p w14:paraId="1B62164C">
            <w:pPr>
              <w:pStyle w:val="12"/>
            </w:pPr>
            <w:r>
              <w:t>事业</w:t>
            </w:r>
          </w:p>
        </w:tc>
        <w:tc>
          <w:tcPr>
            <w:tcW w:w="2126" w:type="dxa"/>
            <w:vAlign w:val="center"/>
          </w:tcPr>
          <w:p w14:paraId="3EDDDF32">
            <w:pPr>
              <w:pStyle w:val="12"/>
            </w:pPr>
            <w:r>
              <w:t>股级</w:t>
            </w:r>
          </w:p>
        </w:tc>
        <w:tc>
          <w:tcPr>
            <w:tcW w:w="3827" w:type="dxa"/>
            <w:vAlign w:val="center"/>
          </w:tcPr>
          <w:p w14:paraId="40650D9D">
            <w:pPr>
              <w:pStyle w:val="12"/>
            </w:pPr>
            <w:r>
              <w:t>财政性资金基本保证</w:t>
            </w:r>
          </w:p>
        </w:tc>
      </w:tr>
    </w:tbl>
    <w:p w14:paraId="0A3C1A85">
      <w:pPr>
        <w:spacing w:before="10" w:after="10" w:line="240" w:lineRule="auto"/>
        <w:ind w:firstLine="640"/>
        <w:jc w:val="left"/>
        <w:outlineLvl w:val="5"/>
      </w:pPr>
      <w:r>
        <w:rPr>
          <w:rFonts w:ascii="黑体" w:hAnsi="黑体" w:eastAsia="黑体" w:cs="黑体"/>
          <w:color w:val="000000"/>
          <w:sz w:val="32"/>
        </w:rPr>
        <w:t>二、单位预算安排的总体情况</w:t>
      </w:r>
    </w:p>
    <w:p w14:paraId="4A40FB2F">
      <w:pPr>
        <w:pStyle w:val="19"/>
      </w:pPr>
      <w:r>
        <w:t>按照预算管理有关规定，目前我单位预算的编制实行综合预算管理，即全部收入和支出都反映的预算中。隆尧县牛家桥中学的收支包含在单位预算中。</w:t>
      </w:r>
    </w:p>
    <w:p w14:paraId="348E3CF6">
      <w:pPr>
        <w:pStyle w:val="19"/>
      </w:pPr>
      <w:r>
        <w:t>1、收入说明</w:t>
      </w:r>
    </w:p>
    <w:p w14:paraId="75FCD5E9">
      <w:pPr>
        <w:pStyle w:val="19"/>
      </w:pPr>
      <w:r>
        <w:t>反映本单位当年全部收入。2025年预算收入739.191451万元，其中：一般公共预算收入739.191451万元，基金预算收入0元，财政专户管理资金收入0万元，其他来源收入0元，上年结转0万元。</w:t>
      </w:r>
    </w:p>
    <w:p w14:paraId="5254ACA2">
      <w:pPr>
        <w:pStyle w:val="19"/>
      </w:pPr>
      <w:r>
        <w:t>2、支出说明</w:t>
      </w:r>
    </w:p>
    <w:p w14:paraId="21B5C898">
      <w:pPr>
        <w:pStyle w:val="19"/>
      </w:pPr>
      <w:r>
        <w:t>收支预算总表支出栏、基本支出表、项目支出表按经济分类和支出功能分类科目编制，反映隆尧县牛家桥中学年度单位预算中支出预算的总体情况。2025年单位支出预算为739.191451万元，其中基本支出687.461451万元，项目支出51.73万元</w:t>
      </w:r>
    </w:p>
    <w:p w14:paraId="45D2066B">
      <w:pPr>
        <w:pStyle w:val="19"/>
      </w:pPr>
      <w:r>
        <w:t>3、比上年增减情况</w:t>
      </w:r>
    </w:p>
    <w:p w14:paraId="6C22A5BA">
      <w:pPr>
        <w:pStyle w:val="19"/>
      </w:pPr>
      <w:r>
        <w:t>2025年预算收支安排739.191451万元，较2024年预算增加26.434316万元，其中：基本支出增加55.182702万元，主要增加人员经费支出；项目支出减少28.748386万元。</w:t>
      </w:r>
    </w:p>
    <w:p w14:paraId="16F0C426">
      <w:pPr>
        <w:spacing w:before="10" w:after="10" w:line="240" w:lineRule="auto"/>
        <w:ind w:firstLine="640"/>
        <w:jc w:val="left"/>
        <w:outlineLvl w:val="5"/>
      </w:pPr>
      <w:r>
        <w:rPr>
          <w:rFonts w:ascii="黑体" w:hAnsi="黑体" w:eastAsia="黑体" w:cs="黑体"/>
          <w:color w:val="000000"/>
          <w:sz w:val="32"/>
        </w:rPr>
        <w:t>三、机关运行经费安排情况</w:t>
      </w:r>
    </w:p>
    <w:p w14:paraId="24E00BA0">
      <w:pPr>
        <w:pStyle w:val="20"/>
      </w:pPr>
      <w:r>
        <w:t>2025年，我单位按学生安排公用经费，无机关运行经费。</w:t>
      </w:r>
    </w:p>
    <w:p w14:paraId="5B7C23D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1B7BF81">
      <w:pPr>
        <w:pStyle w:val="21"/>
      </w:pPr>
      <w:r>
        <w:t>2025年，我单位财政拨款“三公”经费预算安排0万元，其中因公出国（境）费0万元；公务用车购置及运维费0万元（其中：公务用车购置费为0万元，公务用车运行维护费0万元)；公务接待费0万元。与2024年相比无变化。</w:t>
      </w:r>
    </w:p>
    <w:p w14:paraId="7F0980C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C3B6B8">
      <w:pPr>
        <w:spacing w:before="0" w:after="0"/>
        <w:ind w:firstLine="560"/>
        <w:jc w:val="left"/>
        <w:outlineLvl w:val="9"/>
      </w:pPr>
      <w:r>
        <w:rPr>
          <w:rFonts w:ascii="方正仿宋_GBK" w:hAnsi="方正仿宋_GBK" w:eastAsia="方正仿宋_GBK" w:cs="方正仿宋_GBK"/>
          <w:b/>
          <w:color w:val="000000"/>
          <w:sz w:val="28"/>
        </w:rPr>
        <w:t>1、冀财教[2024]123号/中央/2025年义教补助经费/牛家桥中学公用经费绩效目标表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B8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47AC8">
            <w:pPr>
              <w:pStyle w:val="14"/>
            </w:pPr>
            <w:r>
              <w:t>单位：万元</w:t>
            </w:r>
          </w:p>
        </w:tc>
      </w:tr>
      <w:tr w14:paraId="2D3DE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10531C">
            <w:pPr>
              <w:pStyle w:val="11"/>
            </w:pPr>
            <w:r>
              <w:t>项目编码</w:t>
            </w:r>
          </w:p>
        </w:tc>
        <w:tc>
          <w:tcPr>
            <w:tcW w:w="5103" w:type="dxa"/>
            <w:gridSpan w:val="2"/>
            <w:vAlign w:val="center"/>
          </w:tcPr>
          <w:p w14:paraId="7DA761BD">
            <w:pPr>
              <w:pStyle w:val="13"/>
            </w:pPr>
            <w:r>
              <w:t>13052525P00000410045H</w:t>
            </w:r>
          </w:p>
        </w:tc>
        <w:tc>
          <w:tcPr>
            <w:tcW w:w="2835" w:type="dxa"/>
            <w:vAlign w:val="center"/>
          </w:tcPr>
          <w:p w14:paraId="527B4E2C">
            <w:pPr>
              <w:pStyle w:val="11"/>
            </w:pPr>
            <w:r>
              <w:t>项目名称</w:t>
            </w:r>
          </w:p>
        </w:tc>
        <w:tc>
          <w:tcPr>
            <w:tcW w:w="6095" w:type="dxa"/>
            <w:gridSpan w:val="3"/>
            <w:vAlign w:val="center"/>
          </w:tcPr>
          <w:p w14:paraId="74284F30">
            <w:pPr>
              <w:pStyle w:val="13"/>
            </w:pPr>
            <w:r>
              <w:t>冀财教[2024]123号/中央/2025年义教补助经费/牛家桥中学公用经费</w:t>
            </w:r>
          </w:p>
        </w:tc>
      </w:tr>
      <w:tr w14:paraId="4E116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DA4F7">
            <w:pPr>
              <w:pStyle w:val="11"/>
            </w:pPr>
            <w:r>
              <w:t>预算规模及资金用途</w:t>
            </w:r>
          </w:p>
        </w:tc>
        <w:tc>
          <w:tcPr>
            <w:tcW w:w="2268" w:type="dxa"/>
            <w:vAlign w:val="center"/>
          </w:tcPr>
          <w:p w14:paraId="7B847A3D">
            <w:pPr>
              <w:pStyle w:val="11"/>
            </w:pPr>
            <w:r>
              <w:t>预算数</w:t>
            </w:r>
          </w:p>
        </w:tc>
        <w:tc>
          <w:tcPr>
            <w:tcW w:w="2835" w:type="dxa"/>
            <w:vAlign w:val="center"/>
          </w:tcPr>
          <w:p w14:paraId="2D79E78D">
            <w:pPr>
              <w:pStyle w:val="13"/>
            </w:pPr>
            <w:r>
              <w:t>44.45</w:t>
            </w:r>
          </w:p>
        </w:tc>
        <w:tc>
          <w:tcPr>
            <w:tcW w:w="2835" w:type="dxa"/>
            <w:vAlign w:val="center"/>
          </w:tcPr>
          <w:p w14:paraId="43ADBD18">
            <w:pPr>
              <w:pStyle w:val="11"/>
            </w:pPr>
            <w:r>
              <w:t>其中：财政    资金</w:t>
            </w:r>
          </w:p>
        </w:tc>
        <w:tc>
          <w:tcPr>
            <w:tcW w:w="2551" w:type="dxa"/>
            <w:vAlign w:val="center"/>
          </w:tcPr>
          <w:p w14:paraId="5AF196E8">
            <w:pPr>
              <w:pStyle w:val="13"/>
            </w:pPr>
            <w:r>
              <w:t>44.45</w:t>
            </w:r>
          </w:p>
        </w:tc>
        <w:tc>
          <w:tcPr>
            <w:tcW w:w="2268" w:type="dxa"/>
            <w:vAlign w:val="center"/>
          </w:tcPr>
          <w:p w14:paraId="12AF4FDD">
            <w:pPr>
              <w:pStyle w:val="11"/>
            </w:pPr>
            <w:r>
              <w:t>其他资金</w:t>
            </w:r>
          </w:p>
        </w:tc>
        <w:tc>
          <w:tcPr>
            <w:tcW w:w="1276" w:type="dxa"/>
            <w:vAlign w:val="center"/>
          </w:tcPr>
          <w:p w14:paraId="224956D5">
            <w:pPr>
              <w:pStyle w:val="13"/>
            </w:pPr>
            <w:r>
              <w:t xml:space="preserve"> </w:t>
            </w:r>
          </w:p>
        </w:tc>
      </w:tr>
      <w:tr w14:paraId="290D3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DBEDB9"/>
        </w:tc>
        <w:tc>
          <w:tcPr>
            <w:tcW w:w="14033" w:type="dxa"/>
            <w:gridSpan w:val="6"/>
            <w:vAlign w:val="center"/>
          </w:tcPr>
          <w:p w14:paraId="10612D6B">
            <w:pPr>
              <w:pStyle w:val="13"/>
            </w:pPr>
            <w:r>
              <w:t>用于保障学校正常的教学管理和教学秩序，用于学校日常开支。</w:t>
            </w:r>
          </w:p>
        </w:tc>
      </w:tr>
      <w:tr w14:paraId="34CA0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BE1FE">
            <w:pPr>
              <w:pStyle w:val="11"/>
            </w:pPr>
            <w:r>
              <w:t>资金支出计划（%）</w:t>
            </w:r>
          </w:p>
        </w:tc>
        <w:tc>
          <w:tcPr>
            <w:tcW w:w="5103" w:type="dxa"/>
            <w:gridSpan w:val="2"/>
            <w:vAlign w:val="center"/>
          </w:tcPr>
          <w:p w14:paraId="4190E6CC">
            <w:pPr>
              <w:pStyle w:val="11"/>
            </w:pPr>
            <w:r>
              <w:t>3月底</w:t>
            </w:r>
          </w:p>
        </w:tc>
        <w:tc>
          <w:tcPr>
            <w:tcW w:w="2835" w:type="dxa"/>
            <w:vAlign w:val="center"/>
          </w:tcPr>
          <w:p w14:paraId="026B0CD7">
            <w:pPr>
              <w:pStyle w:val="11"/>
            </w:pPr>
            <w:r>
              <w:t>6月底</w:t>
            </w:r>
          </w:p>
        </w:tc>
        <w:tc>
          <w:tcPr>
            <w:tcW w:w="2551" w:type="dxa"/>
            <w:vAlign w:val="center"/>
          </w:tcPr>
          <w:p w14:paraId="43DF818A">
            <w:pPr>
              <w:pStyle w:val="11"/>
            </w:pPr>
            <w:r>
              <w:t>10月底</w:t>
            </w:r>
          </w:p>
        </w:tc>
        <w:tc>
          <w:tcPr>
            <w:tcW w:w="3544" w:type="dxa"/>
            <w:gridSpan w:val="2"/>
            <w:vAlign w:val="center"/>
          </w:tcPr>
          <w:p w14:paraId="13682F6A">
            <w:pPr>
              <w:pStyle w:val="11"/>
            </w:pPr>
            <w:r>
              <w:t>12月底</w:t>
            </w:r>
          </w:p>
        </w:tc>
      </w:tr>
      <w:tr w14:paraId="2B0E5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493D6E"/>
        </w:tc>
        <w:tc>
          <w:tcPr>
            <w:tcW w:w="5103" w:type="dxa"/>
            <w:gridSpan w:val="2"/>
            <w:vAlign w:val="center"/>
          </w:tcPr>
          <w:p w14:paraId="158A0AB6">
            <w:pPr>
              <w:pStyle w:val="12"/>
            </w:pPr>
            <w:r>
              <w:t>25%</w:t>
            </w:r>
          </w:p>
        </w:tc>
        <w:tc>
          <w:tcPr>
            <w:tcW w:w="2835" w:type="dxa"/>
            <w:vAlign w:val="center"/>
          </w:tcPr>
          <w:p w14:paraId="10F6F6DB">
            <w:pPr>
              <w:pStyle w:val="12"/>
            </w:pPr>
            <w:r>
              <w:t>50%</w:t>
            </w:r>
          </w:p>
        </w:tc>
        <w:tc>
          <w:tcPr>
            <w:tcW w:w="2551" w:type="dxa"/>
            <w:vAlign w:val="center"/>
          </w:tcPr>
          <w:p w14:paraId="6C0DF08B">
            <w:pPr>
              <w:pStyle w:val="12"/>
            </w:pPr>
            <w:r>
              <w:t>75%</w:t>
            </w:r>
          </w:p>
        </w:tc>
        <w:tc>
          <w:tcPr>
            <w:tcW w:w="3544" w:type="dxa"/>
            <w:gridSpan w:val="2"/>
            <w:vAlign w:val="center"/>
          </w:tcPr>
          <w:p w14:paraId="50013D6D">
            <w:pPr>
              <w:pStyle w:val="12"/>
            </w:pPr>
            <w:r>
              <w:t>100%</w:t>
            </w:r>
          </w:p>
        </w:tc>
      </w:tr>
      <w:tr w14:paraId="3CD58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63900A">
            <w:pPr>
              <w:pStyle w:val="11"/>
            </w:pPr>
            <w:r>
              <w:t>绩效目标</w:t>
            </w:r>
          </w:p>
        </w:tc>
        <w:tc>
          <w:tcPr>
            <w:tcW w:w="14033" w:type="dxa"/>
            <w:gridSpan w:val="6"/>
            <w:vAlign w:val="center"/>
          </w:tcPr>
          <w:p w14:paraId="08C4C3D6">
            <w:pPr>
              <w:pStyle w:val="13"/>
            </w:pPr>
            <w:r>
              <w:t>1.按规定拨付公用经费资金，预算执行率≥98%。</w:t>
            </w:r>
          </w:p>
          <w:p w14:paraId="3BDD0567">
            <w:pPr>
              <w:pStyle w:val="13"/>
            </w:pPr>
            <w:r>
              <w:t>2.有效完成学校教学安全秩序，保障学校教学任务有效开展，满足学校正常教学需要。</w:t>
            </w:r>
          </w:p>
        </w:tc>
      </w:tr>
    </w:tbl>
    <w:p w14:paraId="67D671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4F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CD25B">
            <w:pPr>
              <w:pStyle w:val="11"/>
            </w:pPr>
            <w:r>
              <w:t>一级指标</w:t>
            </w:r>
          </w:p>
        </w:tc>
        <w:tc>
          <w:tcPr>
            <w:tcW w:w="2268" w:type="dxa"/>
            <w:vAlign w:val="center"/>
          </w:tcPr>
          <w:p w14:paraId="788365AF">
            <w:pPr>
              <w:pStyle w:val="11"/>
            </w:pPr>
            <w:r>
              <w:t>二级指标</w:t>
            </w:r>
          </w:p>
        </w:tc>
        <w:tc>
          <w:tcPr>
            <w:tcW w:w="2835" w:type="dxa"/>
            <w:vAlign w:val="center"/>
          </w:tcPr>
          <w:p w14:paraId="3F730E73">
            <w:pPr>
              <w:pStyle w:val="11"/>
            </w:pPr>
            <w:r>
              <w:t>三级指标</w:t>
            </w:r>
          </w:p>
        </w:tc>
        <w:tc>
          <w:tcPr>
            <w:tcW w:w="5386" w:type="dxa"/>
            <w:vAlign w:val="center"/>
          </w:tcPr>
          <w:p w14:paraId="7A55B727">
            <w:pPr>
              <w:pStyle w:val="11"/>
            </w:pPr>
            <w:r>
              <w:t>绩效指标描述</w:t>
            </w:r>
          </w:p>
        </w:tc>
        <w:tc>
          <w:tcPr>
            <w:tcW w:w="2268" w:type="dxa"/>
            <w:vAlign w:val="center"/>
          </w:tcPr>
          <w:p w14:paraId="3F796085">
            <w:pPr>
              <w:pStyle w:val="11"/>
            </w:pPr>
            <w:r>
              <w:t>指标值</w:t>
            </w:r>
          </w:p>
        </w:tc>
        <w:tc>
          <w:tcPr>
            <w:tcW w:w="1276" w:type="dxa"/>
            <w:vAlign w:val="center"/>
          </w:tcPr>
          <w:p w14:paraId="5935B150">
            <w:pPr>
              <w:pStyle w:val="11"/>
            </w:pPr>
            <w:r>
              <w:t>指标值确定依据</w:t>
            </w:r>
          </w:p>
        </w:tc>
      </w:tr>
      <w:tr w14:paraId="1A94E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677D0BD8">
            <w:pPr>
              <w:pStyle w:val="12"/>
            </w:pPr>
            <w:r>
              <w:t>产出指标</w:t>
            </w:r>
          </w:p>
        </w:tc>
        <w:tc>
          <w:tcPr>
            <w:tcW w:w="2268" w:type="dxa"/>
            <w:vAlign w:val="center"/>
          </w:tcPr>
          <w:p w14:paraId="58F19970">
            <w:pPr>
              <w:pStyle w:val="13"/>
            </w:pPr>
            <w:r>
              <w:t>数量指标</w:t>
            </w:r>
          </w:p>
        </w:tc>
        <w:tc>
          <w:tcPr>
            <w:tcW w:w="2835" w:type="dxa"/>
            <w:vAlign w:val="center"/>
          </w:tcPr>
          <w:p w14:paraId="2B255A57">
            <w:pPr>
              <w:pStyle w:val="13"/>
            </w:pPr>
            <w:r>
              <w:t>就读学生数</w:t>
            </w:r>
          </w:p>
        </w:tc>
        <w:tc>
          <w:tcPr>
            <w:tcW w:w="5386" w:type="dxa"/>
            <w:vAlign w:val="center"/>
          </w:tcPr>
          <w:p w14:paraId="753F6084">
            <w:pPr>
              <w:pStyle w:val="13"/>
            </w:pPr>
            <w:r>
              <w:t>辐射区域内适龄学生人数</w:t>
            </w:r>
          </w:p>
        </w:tc>
        <w:tc>
          <w:tcPr>
            <w:tcW w:w="2268" w:type="dxa"/>
            <w:vAlign w:val="center"/>
          </w:tcPr>
          <w:p w14:paraId="26F9B4E7">
            <w:pPr>
              <w:pStyle w:val="13"/>
            </w:pPr>
            <w:r>
              <w:t>440人</w:t>
            </w:r>
          </w:p>
        </w:tc>
        <w:tc>
          <w:tcPr>
            <w:tcW w:w="1276" w:type="dxa"/>
            <w:vAlign w:val="center"/>
          </w:tcPr>
          <w:p w14:paraId="27CAA827">
            <w:pPr>
              <w:pStyle w:val="13"/>
            </w:pPr>
            <w:r>
              <w:t>城乡义务教育公用经费管理办法</w:t>
            </w:r>
          </w:p>
          <w:p w14:paraId="1AB4752E">
            <w:pPr>
              <w:pStyle w:val="13"/>
            </w:pPr>
          </w:p>
        </w:tc>
      </w:tr>
      <w:tr w14:paraId="78082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9A169"/>
        </w:tc>
        <w:tc>
          <w:tcPr>
            <w:tcW w:w="2268" w:type="dxa"/>
            <w:vAlign w:val="center"/>
          </w:tcPr>
          <w:p w14:paraId="4F1086B5">
            <w:pPr>
              <w:pStyle w:val="13"/>
            </w:pPr>
            <w:r>
              <w:t>质量指标</w:t>
            </w:r>
          </w:p>
        </w:tc>
        <w:tc>
          <w:tcPr>
            <w:tcW w:w="2835" w:type="dxa"/>
            <w:vAlign w:val="center"/>
          </w:tcPr>
          <w:p w14:paraId="3AA621C2">
            <w:pPr>
              <w:pStyle w:val="13"/>
            </w:pPr>
            <w:r>
              <w:t>预算执行率</w:t>
            </w:r>
          </w:p>
        </w:tc>
        <w:tc>
          <w:tcPr>
            <w:tcW w:w="5386" w:type="dxa"/>
            <w:vAlign w:val="center"/>
          </w:tcPr>
          <w:p w14:paraId="705AD594">
            <w:pPr>
              <w:pStyle w:val="13"/>
            </w:pPr>
            <w:r>
              <w:t>预算执行率</w:t>
            </w:r>
          </w:p>
        </w:tc>
        <w:tc>
          <w:tcPr>
            <w:tcW w:w="2268" w:type="dxa"/>
            <w:vAlign w:val="center"/>
          </w:tcPr>
          <w:p w14:paraId="7CA7EAA0">
            <w:pPr>
              <w:pStyle w:val="13"/>
            </w:pPr>
            <w:r>
              <w:t>≥98%</w:t>
            </w:r>
          </w:p>
        </w:tc>
        <w:tc>
          <w:tcPr>
            <w:tcW w:w="1276" w:type="dxa"/>
            <w:vAlign w:val="center"/>
          </w:tcPr>
          <w:p w14:paraId="00B93089">
            <w:pPr>
              <w:pStyle w:val="13"/>
            </w:pPr>
            <w:r>
              <w:t>城乡义务教育公用经费管理办法</w:t>
            </w:r>
          </w:p>
          <w:p w14:paraId="2C8A8948">
            <w:pPr>
              <w:pStyle w:val="13"/>
            </w:pPr>
          </w:p>
        </w:tc>
      </w:tr>
      <w:tr w14:paraId="5CDAC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61799"/>
        </w:tc>
        <w:tc>
          <w:tcPr>
            <w:tcW w:w="2268" w:type="dxa"/>
            <w:vAlign w:val="center"/>
          </w:tcPr>
          <w:p w14:paraId="2C65FF9D">
            <w:pPr>
              <w:pStyle w:val="13"/>
            </w:pPr>
            <w:r>
              <w:t>时效指标</w:t>
            </w:r>
          </w:p>
        </w:tc>
        <w:tc>
          <w:tcPr>
            <w:tcW w:w="2835" w:type="dxa"/>
            <w:vAlign w:val="center"/>
          </w:tcPr>
          <w:p w14:paraId="06C43897">
            <w:pPr>
              <w:pStyle w:val="13"/>
            </w:pPr>
            <w:r>
              <w:t>义教经费支付完成率</w:t>
            </w:r>
          </w:p>
        </w:tc>
        <w:tc>
          <w:tcPr>
            <w:tcW w:w="5386" w:type="dxa"/>
            <w:vAlign w:val="center"/>
          </w:tcPr>
          <w:p w14:paraId="76A7294E">
            <w:pPr>
              <w:pStyle w:val="13"/>
            </w:pPr>
            <w:r>
              <w:t>按照序时进度完成资金支付</w:t>
            </w:r>
          </w:p>
        </w:tc>
        <w:tc>
          <w:tcPr>
            <w:tcW w:w="2268" w:type="dxa"/>
            <w:vAlign w:val="center"/>
          </w:tcPr>
          <w:p w14:paraId="050E457A">
            <w:pPr>
              <w:pStyle w:val="13"/>
            </w:pPr>
            <w:r>
              <w:t>44.45万元</w:t>
            </w:r>
          </w:p>
        </w:tc>
        <w:tc>
          <w:tcPr>
            <w:tcW w:w="1276" w:type="dxa"/>
            <w:vAlign w:val="center"/>
          </w:tcPr>
          <w:p w14:paraId="3A18C9D8">
            <w:pPr>
              <w:pStyle w:val="13"/>
            </w:pPr>
            <w:r>
              <w:t>城乡义务教育公用经费管理办法</w:t>
            </w:r>
          </w:p>
          <w:p w14:paraId="485E3A5B">
            <w:pPr>
              <w:pStyle w:val="13"/>
            </w:pPr>
          </w:p>
        </w:tc>
      </w:tr>
      <w:tr w14:paraId="0F1E2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28073"/>
        </w:tc>
        <w:tc>
          <w:tcPr>
            <w:tcW w:w="2268" w:type="dxa"/>
            <w:vAlign w:val="center"/>
          </w:tcPr>
          <w:p w14:paraId="445832AB">
            <w:pPr>
              <w:pStyle w:val="13"/>
            </w:pPr>
            <w:r>
              <w:t>成本指标</w:t>
            </w:r>
          </w:p>
        </w:tc>
        <w:tc>
          <w:tcPr>
            <w:tcW w:w="2835" w:type="dxa"/>
            <w:vAlign w:val="center"/>
          </w:tcPr>
          <w:p w14:paraId="4848E9EA">
            <w:pPr>
              <w:pStyle w:val="13"/>
            </w:pPr>
            <w:r>
              <w:t>生均拨款标准</w:t>
            </w:r>
          </w:p>
        </w:tc>
        <w:tc>
          <w:tcPr>
            <w:tcW w:w="5386" w:type="dxa"/>
            <w:vAlign w:val="center"/>
          </w:tcPr>
          <w:p w14:paraId="27AFDFAE">
            <w:pPr>
              <w:pStyle w:val="13"/>
            </w:pPr>
            <w:r>
              <w:t>初中：基本标准1060元（含取暖120元）、寄宿生300元/生/学年；特教、随班就读学生：标准6000元/生/学年</w:t>
            </w:r>
          </w:p>
        </w:tc>
        <w:tc>
          <w:tcPr>
            <w:tcW w:w="2268" w:type="dxa"/>
            <w:vAlign w:val="center"/>
          </w:tcPr>
          <w:p w14:paraId="0EA648EE">
            <w:pPr>
              <w:pStyle w:val="13"/>
            </w:pPr>
            <w:r>
              <w:t>1360元</w:t>
            </w:r>
          </w:p>
        </w:tc>
        <w:tc>
          <w:tcPr>
            <w:tcW w:w="1276" w:type="dxa"/>
            <w:vAlign w:val="center"/>
          </w:tcPr>
          <w:p w14:paraId="26111FD3">
            <w:pPr>
              <w:pStyle w:val="13"/>
            </w:pPr>
            <w:r>
              <w:t>城乡义务教育公用经费管理办法</w:t>
            </w:r>
          </w:p>
        </w:tc>
      </w:tr>
      <w:tr w14:paraId="00DD4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22A21">
            <w:pPr>
              <w:pStyle w:val="12"/>
            </w:pPr>
            <w:r>
              <w:t>效益指标</w:t>
            </w:r>
          </w:p>
        </w:tc>
        <w:tc>
          <w:tcPr>
            <w:tcW w:w="2268" w:type="dxa"/>
            <w:vAlign w:val="center"/>
          </w:tcPr>
          <w:p w14:paraId="2685D96C">
            <w:pPr>
              <w:pStyle w:val="13"/>
            </w:pPr>
            <w:r>
              <w:t>社会效益指标</w:t>
            </w:r>
          </w:p>
        </w:tc>
        <w:tc>
          <w:tcPr>
            <w:tcW w:w="2835" w:type="dxa"/>
            <w:vAlign w:val="center"/>
          </w:tcPr>
          <w:p w14:paraId="093215C5">
            <w:pPr>
              <w:pStyle w:val="13"/>
            </w:pPr>
            <w:r>
              <w:t>学生就读稳定率</w:t>
            </w:r>
          </w:p>
        </w:tc>
        <w:tc>
          <w:tcPr>
            <w:tcW w:w="5386" w:type="dxa"/>
            <w:vAlign w:val="center"/>
          </w:tcPr>
          <w:p w14:paraId="715F99DE">
            <w:pPr>
              <w:pStyle w:val="13"/>
            </w:pPr>
            <w:r>
              <w:t>维护社会稳定，保障学生受教育巩固率</w:t>
            </w:r>
          </w:p>
        </w:tc>
        <w:tc>
          <w:tcPr>
            <w:tcW w:w="2268" w:type="dxa"/>
            <w:vAlign w:val="center"/>
          </w:tcPr>
          <w:p w14:paraId="31641204">
            <w:pPr>
              <w:pStyle w:val="13"/>
            </w:pPr>
            <w:r>
              <w:t>≥99.5%</w:t>
            </w:r>
          </w:p>
        </w:tc>
        <w:tc>
          <w:tcPr>
            <w:tcW w:w="1276" w:type="dxa"/>
            <w:vAlign w:val="center"/>
          </w:tcPr>
          <w:p w14:paraId="1ABDEDF6">
            <w:pPr>
              <w:pStyle w:val="13"/>
            </w:pPr>
            <w:r>
              <w:t>城乡义务教育公用经费管理办法</w:t>
            </w:r>
          </w:p>
        </w:tc>
      </w:tr>
      <w:tr w14:paraId="5DCA2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9AA8A"/>
        </w:tc>
        <w:tc>
          <w:tcPr>
            <w:tcW w:w="2268" w:type="dxa"/>
            <w:vAlign w:val="center"/>
          </w:tcPr>
          <w:p w14:paraId="4BE51679">
            <w:pPr>
              <w:pStyle w:val="13"/>
            </w:pPr>
            <w:r>
              <w:t>可持续影响指标</w:t>
            </w:r>
          </w:p>
        </w:tc>
        <w:tc>
          <w:tcPr>
            <w:tcW w:w="2835" w:type="dxa"/>
            <w:vAlign w:val="center"/>
          </w:tcPr>
          <w:p w14:paraId="43694829">
            <w:pPr>
              <w:pStyle w:val="13"/>
            </w:pPr>
            <w:r>
              <w:t>效果持续时间</w:t>
            </w:r>
          </w:p>
        </w:tc>
        <w:tc>
          <w:tcPr>
            <w:tcW w:w="5386" w:type="dxa"/>
            <w:vAlign w:val="center"/>
          </w:tcPr>
          <w:p w14:paraId="72D06DAE">
            <w:pPr>
              <w:pStyle w:val="13"/>
            </w:pPr>
            <w:r>
              <w:t>效果持续时间</w:t>
            </w:r>
          </w:p>
        </w:tc>
        <w:tc>
          <w:tcPr>
            <w:tcW w:w="2268" w:type="dxa"/>
            <w:vAlign w:val="center"/>
          </w:tcPr>
          <w:p w14:paraId="0CDA26C1">
            <w:pPr>
              <w:pStyle w:val="13"/>
            </w:pPr>
            <w:r>
              <w:t>1年</w:t>
            </w:r>
          </w:p>
        </w:tc>
        <w:tc>
          <w:tcPr>
            <w:tcW w:w="1276" w:type="dxa"/>
            <w:vAlign w:val="center"/>
          </w:tcPr>
          <w:p w14:paraId="0012FDFE">
            <w:pPr>
              <w:pStyle w:val="13"/>
            </w:pPr>
            <w:r>
              <w:t>城乡义务教育公用经费管理办法</w:t>
            </w:r>
          </w:p>
          <w:p w14:paraId="13B7BDF7">
            <w:pPr>
              <w:pStyle w:val="13"/>
            </w:pPr>
          </w:p>
        </w:tc>
      </w:tr>
      <w:tr w14:paraId="20CFC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D455DA">
            <w:pPr>
              <w:pStyle w:val="12"/>
            </w:pPr>
            <w:r>
              <w:t>满意度指标</w:t>
            </w:r>
          </w:p>
        </w:tc>
        <w:tc>
          <w:tcPr>
            <w:tcW w:w="2268" w:type="dxa"/>
            <w:vAlign w:val="center"/>
          </w:tcPr>
          <w:p w14:paraId="68C8A058">
            <w:pPr>
              <w:pStyle w:val="13"/>
            </w:pPr>
            <w:r>
              <w:t>服务对象满意度指标</w:t>
            </w:r>
          </w:p>
        </w:tc>
        <w:tc>
          <w:tcPr>
            <w:tcW w:w="2835" w:type="dxa"/>
            <w:vAlign w:val="center"/>
          </w:tcPr>
          <w:p w14:paraId="1E66432E">
            <w:pPr>
              <w:pStyle w:val="13"/>
            </w:pPr>
            <w:r>
              <w:t>家长社会学生满意度</w:t>
            </w:r>
          </w:p>
        </w:tc>
        <w:tc>
          <w:tcPr>
            <w:tcW w:w="5386" w:type="dxa"/>
            <w:vAlign w:val="center"/>
          </w:tcPr>
          <w:p w14:paraId="4306B7FF">
            <w:pPr>
              <w:pStyle w:val="13"/>
            </w:pPr>
            <w:r>
              <w:t>家长社会学生满意度</w:t>
            </w:r>
          </w:p>
        </w:tc>
        <w:tc>
          <w:tcPr>
            <w:tcW w:w="2268" w:type="dxa"/>
            <w:vAlign w:val="center"/>
          </w:tcPr>
          <w:p w14:paraId="0489B97E">
            <w:pPr>
              <w:pStyle w:val="13"/>
            </w:pPr>
            <w:r>
              <w:t>≥98%</w:t>
            </w:r>
          </w:p>
        </w:tc>
        <w:tc>
          <w:tcPr>
            <w:tcW w:w="1276" w:type="dxa"/>
            <w:vAlign w:val="center"/>
          </w:tcPr>
          <w:p w14:paraId="5E32F71D">
            <w:pPr>
              <w:pStyle w:val="13"/>
            </w:pPr>
            <w:r>
              <w:t>调查问卷</w:t>
            </w:r>
          </w:p>
        </w:tc>
      </w:tr>
    </w:tbl>
    <w:p w14:paraId="641FF187">
      <w:pPr>
        <w:sectPr>
          <w:pgSz w:w="16840" w:h="11900" w:orient="landscape"/>
          <w:pgMar w:top="1361" w:right="1020" w:bottom="1134" w:left="1020" w:header="720" w:footer="720" w:gutter="0"/>
          <w:cols w:space="720" w:num="1"/>
        </w:sectPr>
      </w:pPr>
    </w:p>
    <w:p w14:paraId="79DB3D84">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2、冀财教[2024]123号/中央/2025年义教补助经费/校舍安全保障/牛家桥中学教学楼、餐厅墙体粉刷及院落硬化绩效目标表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11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7B65A">
            <w:pPr>
              <w:pStyle w:val="14"/>
            </w:pPr>
            <w:r>
              <w:t>单位：万元</w:t>
            </w:r>
          </w:p>
        </w:tc>
      </w:tr>
      <w:tr w14:paraId="13D9B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5677E1">
            <w:pPr>
              <w:pStyle w:val="11"/>
            </w:pPr>
            <w:r>
              <w:t>项目编码</w:t>
            </w:r>
          </w:p>
        </w:tc>
        <w:tc>
          <w:tcPr>
            <w:tcW w:w="5103" w:type="dxa"/>
            <w:gridSpan w:val="2"/>
            <w:vAlign w:val="center"/>
          </w:tcPr>
          <w:p w14:paraId="30A2C15F">
            <w:pPr>
              <w:pStyle w:val="13"/>
            </w:pPr>
            <w:r>
              <w:t>13052525P008762100049</w:t>
            </w:r>
          </w:p>
        </w:tc>
        <w:tc>
          <w:tcPr>
            <w:tcW w:w="2835" w:type="dxa"/>
            <w:vAlign w:val="center"/>
          </w:tcPr>
          <w:p w14:paraId="58F3DBF8">
            <w:pPr>
              <w:pStyle w:val="11"/>
            </w:pPr>
            <w:r>
              <w:t>项目名称</w:t>
            </w:r>
          </w:p>
        </w:tc>
        <w:tc>
          <w:tcPr>
            <w:tcW w:w="6095" w:type="dxa"/>
            <w:gridSpan w:val="3"/>
            <w:vAlign w:val="center"/>
          </w:tcPr>
          <w:p w14:paraId="2884614C">
            <w:pPr>
              <w:pStyle w:val="13"/>
            </w:pPr>
            <w:r>
              <w:t>冀财教[2024]123号/中央/2025年义教补助经费/校舍安全保障/牛家桥中学教学楼、餐厅墙体粉刷及院落硬化</w:t>
            </w:r>
          </w:p>
        </w:tc>
      </w:tr>
      <w:tr w14:paraId="75B27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D3E77">
            <w:pPr>
              <w:pStyle w:val="11"/>
            </w:pPr>
            <w:r>
              <w:t>预算规模及资金用途</w:t>
            </w:r>
          </w:p>
        </w:tc>
        <w:tc>
          <w:tcPr>
            <w:tcW w:w="2268" w:type="dxa"/>
            <w:vAlign w:val="center"/>
          </w:tcPr>
          <w:p w14:paraId="0658282F">
            <w:pPr>
              <w:pStyle w:val="11"/>
            </w:pPr>
            <w:r>
              <w:t>预算数</w:t>
            </w:r>
          </w:p>
        </w:tc>
        <w:tc>
          <w:tcPr>
            <w:tcW w:w="2835" w:type="dxa"/>
            <w:vAlign w:val="center"/>
          </w:tcPr>
          <w:p w14:paraId="370F4B43">
            <w:pPr>
              <w:pStyle w:val="13"/>
            </w:pPr>
            <w:r>
              <w:t>29.30</w:t>
            </w:r>
          </w:p>
        </w:tc>
        <w:tc>
          <w:tcPr>
            <w:tcW w:w="2835" w:type="dxa"/>
            <w:vAlign w:val="center"/>
          </w:tcPr>
          <w:p w14:paraId="778AA4E9">
            <w:pPr>
              <w:pStyle w:val="11"/>
            </w:pPr>
            <w:r>
              <w:t>其中：财政    资金</w:t>
            </w:r>
          </w:p>
        </w:tc>
        <w:tc>
          <w:tcPr>
            <w:tcW w:w="2551" w:type="dxa"/>
            <w:vAlign w:val="center"/>
          </w:tcPr>
          <w:p w14:paraId="40B27278">
            <w:pPr>
              <w:pStyle w:val="13"/>
            </w:pPr>
            <w:r>
              <w:t>29.30</w:t>
            </w:r>
          </w:p>
        </w:tc>
        <w:tc>
          <w:tcPr>
            <w:tcW w:w="2268" w:type="dxa"/>
            <w:vAlign w:val="center"/>
          </w:tcPr>
          <w:p w14:paraId="77C29305">
            <w:pPr>
              <w:pStyle w:val="11"/>
            </w:pPr>
            <w:r>
              <w:t>其他资金</w:t>
            </w:r>
          </w:p>
        </w:tc>
        <w:tc>
          <w:tcPr>
            <w:tcW w:w="1276" w:type="dxa"/>
            <w:vAlign w:val="center"/>
          </w:tcPr>
          <w:p w14:paraId="61256E98">
            <w:pPr>
              <w:pStyle w:val="13"/>
            </w:pPr>
            <w:r>
              <w:t xml:space="preserve"> </w:t>
            </w:r>
          </w:p>
        </w:tc>
      </w:tr>
      <w:tr w14:paraId="6FE2E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E6924"/>
        </w:tc>
        <w:tc>
          <w:tcPr>
            <w:tcW w:w="14033" w:type="dxa"/>
            <w:gridSpan w:val="6"/>
            <w:vAlign w:val="center"/>
          </w:tcPr>
          <w:p w14:paraId="64A115BD">
            <w:pPr>
              <w:pStyle w:val="13"/>
            </w:pPr>
            <w:r>
              <w:t>用于改善校园形象以及提高办学标准，保障正常的教学秩序。</w:t>
            </w:r>
          </w:p>
        </w:tc>
      </w:tr>
      <w:tr w14:paraId="43847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73C76">
            <w:pPr>
              <w:pStyle w:val="11"/>
            </w:pPr>
            <w:r>
              <w:t>资金支出计划（%）</w:t>
            </w:r>
          </w:p>
        </w:tc>
        <w:tc>
          <w:tcPr>
            <w:tcW w:w="5103" w:type="dxa"/>
            <w:gridSpan w:val="2"/>
            <w:vAlign w:val="center"/>
          </w:tcPr>
          <w:p w14:paraId="7B286902">
            <w:pPr>
              <w:pStyle w:val="11"/>
            </w:pPr>
            <w:r>
              <w:t>3月底</w:t>
            </w:r>
          </w:p>
        </w:tc>
        <w:tc>
          <w:tcPr>
            <w:tcW w:w="2835" w:type="dxa"/>
            <w:vAlign w:val="center"/>
          </w:tcPr>
          <w:p w14:paraId="16FA0B89">
            <w:pPr>
              <w:pStyle w:val="11"/>
            </w:pPr>
            <w:r>
              <w:t>6月底</w:t>
            </w:r>
          </w:p>
        </w:tc>
        <w:tc>
          <w:tcPr>
            <w:tcW w:w="2551" w:type="dxa"/>
            <w:vAlign w:val="center"/>
          </w:tcPr>
          <w:p w14:paraId="0FA39273">
            <w:pPr>
              <w:pStyle w:val="11"/>
            </w:pPr>
            <w:r>
              <w:t>10月底</w:t>
            </w:r>
          </w:p>
        </w:tc>
        <w:tc>
          <w:tcPr>
            <w:tcW w:w="3544" w:type="dxa"/>
            <w:gridSpan w:val="2"/>
            <w:vAlign w:val="center"/>
          </w:tcPr>
          <w:p w14:paraId="6169E83B">
            <w:pPr>
              <w:pStyle w:val="11"/>
            </w:pPr>
            <w:r>
              <w:t>12月底</w:t>
            </w:r>
          </w:p>
        </w:tc>
      </w:tr>
      <w:tr w14:paraId="57263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AE6694"/>
        </w:tc>
        <w:tc>
          <w:tcPr>
            <w:tcW w:w="5103" w:type="dxa"/>
            <w:gridSpan w:val="2"/>
            <w:vAlign w:val="center"/>
          </w:tcPr>
          <w:p w14:paraId="4D31CED0">
            <w:pPr>
              <w:pStyle w:val="12"/>
            </w:pPr>
            <w:r>
              <w:t>25%</w:t>
            </w:r>
          </w:p>
        </w:tc>
        <w:tc>
          <w:tcPr>
            <w:tcW w:w="2835" w:type="dxa"/>
            <w:vAlign w:val="center"/>
          </w:tcPr>
          <w:p w14:paraId="38EAD2C0">
            <w:pPr>
              <w:pStyle w:val="12"/>
            </w:pPr>
            <w:r>
              <w:t>50%</w:t>
            </w:r>
          </w:p>
        </w:tc>
        <w:tc>
          <w:tcPr>
            <w:tcW w:w="2551" w:type="dxa"/>
            <w:vAlign w:val="center"/>
          </w:tcPr>
          <w:p w14:paraId="62172A65">
            <w:pPr>
              <w:pStyle w:val="12"/>
            </w:pPr>
            <w:r>
              <w:t>75%</w:t>
            </w:r>
          </w:p>
        </w:tc>
        <w:tc>
          <w:tcPr>
            <w:tcW w:w="3544" w:type="dxa"/>
            <w:gridSpan w:val="2"/>
            <w:vAlign w:val="center"/>
          </w:tcPr>
          <w:p w14:paraId="0F80F8F5">
            <w:pPr>
              <w:pStyle w:val="12"/>
            </w:pPr>
            <w:r>
              <w:t>100%</w:t>
            </w:r>
          </w:p>
        </w:tc>
      </w:tr>
      <w:tr w14:paraId="42D0F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F2583">
            <w:pPr>
              <w:pStyle w:val="11"/>
            </w:pPr>
            <w:r>
              <w:t>绩效目标</w:t>
            </w:r>
          </w:p>
        </w:tc>
        <w:tc>
          <w:tcPr>
            <w:tcW w:w="14033" w:type="dxa"/>
            <w:gridSpan w:val="6"/>
            <w:vAlign w:val="center"/>
          </w:tcPr>
          <w:p w14:paraId="732ECE90">
            <w:pPr>
              <w:pStyle w:val="13"/>
            </w:pPr>
            <w:r>
              <w:t>1.按照施工进度序时支付工程款，支付率达到100%。</w:t>
            </w:r>
          </w:p>
          <w:p w14:paraId="6DDF9C88">
            <w:pPr>
              <w:pStyle w:val="13"/>
            </w:pPr>
            <w:r>
              <w:t>2.改善办学条件，提升学校对外形象。</w:t>
            </w:r>
          </w:p>
        </w:tc>
      </w:tr>
    </w:tbl>
    <w:p w14:paraId="63C4CF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78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5D754">
            <w:pPr>
              <w:pStyle w:val="11"/>
            </w:pPr>
            <w:r>
              <w:t>一级指标</w:t>
            </w:r>
          </w:p>
        </w:tc>
        <w:tc>
          <w:tcPr>
            <w:tcW w:w="2268" w:type="dxa"/>
            <w:vAlign w:val="center"/>
          </w:tcPr>
          <w:p w14:paraId="67E3B91D">
            <w:pPr>
              <w:pStyle w:val="11"/>
            </w:pPr>
            <w:r>
              <w:t>二级指标</w:t>
            </w:r>
          </w:p>
        </w:tc>
        <w:tc>
          <w:tcPr>
            <w:tcW w:w="2835" w:type="dxa"/>
            <w:vAlign w:val="center"/>
          </w:tcPr>
          <w:p w14:paraId="78F4735B">
            <w:pPr>
              <w:pStyle w:val="11"/>
            </w:pPr>
            <w:r>
              <w:t>三级指标</w:t>
            </w:r>
          </w:p>
        </w:tc>
        <w:tc>
          <w:tcPr>
            <w:tcW w:w="5386" w:type="dxa"/>
            <w:vAlign w:val="center"/>
          </w:tcPr>
          <w:p w14:paraId="4D266277">
            <w:pPr>
              <w:pStyle w:val="11"/>
            </w:pPr>
            <w:r>
              <w:t>绩效指标描述</w:t>
            </w:r>
          </w:p>
        </w:tc>
        <w:tc>
          <w:tcPr>
            <w:tcW w:w="2268" w:type="dxa"/>
            <w:vAlign w:val="center"/>
          </w:tcPr>
          <w:p w14:paraId="03EAA4CC">
            <w:pPr>
              <w:pStyle w:val="11"/>
            </w:pPr>
            <w:r>
              <w:t>指标值</w:t>
            </w:r>
          </w:p>
        </w:tc>
        <w:tc>
          <w:tcPr>
            <w:tcW w:w="1276" w:type="dxa"/>
            <w:vAlign w:val="center"/>
          </w:tcPr>
          <w:p w14:paraId="2976B2E4">
            <w:pPr>
              <w:pStyle w:val="11"/>
            </w:pPr>
            <w:r>
              <w:t>指标值确定依据</w:t>
            </w:r>
          </w:p>
        </w:tc>
      </w:tr>
      <w:tr w14:paraId="47164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E81E1">
            <w:pPr>
              <w:pStyle w:val="12"/>
            </w:pPr>
            <w:r>
              <w:t>产出指标</w:t>
            </w:r>
          </w:p>
        </w:tc>
        <w:tc>
          <w:tcPr>
            <w:tcW w:w="2268" w:type="dxa"/>
            <w:vAlign w:val="center"/>
          </w:tcPr>
          <w:p w14:paraId="0BFDB5CB">
            <w:pPr>
              <w:pStyle w:val="13"/>
            </w:pPr>
            <w:r>
              <w:t>数量指标</w:t>
            </w:r>
          </w:p>
        </w:tc>
        <w:tc>
          <w:tcPr>
            <w:tcW w:w="2835" w:type="dxa"/>
            <w:vAlign w:val="center"/>
          </w:tcPr>
          <w:p w14:paraId="5ECA7D56">
            <w:pPr>
              <w:pStyle w:val="13"/>
            </w:pPr>
            <w:r>
              <w:t>按照约定位置建设</w:t>
            </w:r>
          </w:p>
        </w:tc>
        <w:tc>
          <w:tcPr>
            <w:tcW w:w="5386" w:type="dxa"/>
            <w:vAlign w:val="center"/>
          </w:tcPr>
          <w:p w14:paraId="1E9671E7">
            <w:pPr>
              <w:pStyle w:val="13"/>
            </w:pPr>
            <w:r>
              <w:t>建设总面积</w:t>
            </w:r>
          </w:p>
        </w:tc>
        <w:tc>
          <w:tcPr>
            <w:tcW w:w="2268" w:type="dxa"/>
            <w:vAlign w:val="center"/>
          </w:tcPr>
          <w:p w14:paraId="0C518F9F">
            <w:pPr>
              <w:pStyle w:val="13"/>
            </w:pPr>
            <w:r>
              <w:t>≥6500平米</w:t>
            </w:r>
          </w:p>
        </w:tc>
        <w:tc>
          <w:tcPr>
            <w:tcW w:w="1276" w:type="dxa"/>
            <w:vAlign w:val="center"/>
          </w:tcPr>
          <w:p w14:paraId="52EB3EF6">
            <w:pPr>
              <w:pStyle w:val="13"/>
            </w:pPr>
            <w:r>
              <w:t>根据年度工作计划</w:t>
            </w:r>
          </w:p>
        </w:tc>
      </w:tr>
      <w:tr w14:paraId="5EAEB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574A7"/>
        </w:tc>
        <w:tc>
          <w:tcPr>
            <w:tcW w:w="2268" w:type="dxa"/>
            <w:vAlign w:val="center"/>
          </w:tcPr>
          <w:p w14:paraId="7762D8B2">
            <w:pPr>
              <w:pStyle w:val="13"/>
            </w:pPr>
            <w:r>
              <w:t>质量指标</w:t>
            </w:r>
          </w:p>
        </w:tc>
        <w:tc>
          <w:tcPr>
            <w:tcW w:w="2835" w:type="dxa"/>
            <w:vAlign w:val="center"/>
          </w:tcPr>
          <w:p w14:paraId="132F924A">
            <w:pPr>
              <w:pStyle w:val="13"/>
            </w:pPr>
            <w:r>
              <w:t>项目验收合格率</w:t>
            </w:r>
          </w:p>
        </w:tc>
        <w:tc>
          <w:tcPr>
            <w:tcW w:w="5386" w:type="dxa"/>
            <w:vAlign w:val="center"/>
          </w:tcPr>
          <w:p w14:paraId="224496AA">
            <w:pPr>
              <w:pStyle w:val="13"/>
            </w:pPr>
            <w:r>
              <w:t>项目验收合格率</w:t>
            </w:r>
          </w:p>
        </w:tc>
        <w:tc>
          <w:tcPr>
            <w:tcW w:w="2268" w:type="dxa"/>
            <w:vAlign w:val="center"/>
          </w:tcPr>
          <w:p w14:paraId="4C55141B">
            <w:pPr>
              <w:pStyle w:val="13"/>
            </w:pPr>
            <w:r>
              <w:t>100%</w:t>
            </w:r>
          </w:p>
        </w:tc>
        <w:tc>
          <w:tcPr>
            <w:tcW w:w="1276" w:type="dxa"/>
            <w:vAlign w:val="center"/>
          </w:tcPr>
          <w:p w14:paraId="06C6CC84">
            <w:pPr>
              <w:pStyle w:val="13"/>
            </w:pPr>
            <w:r>
              <w:t>根据年度工作计划</w:t>
            </w:r>
          </w:p>
        </w:tc>
      </w:tr>
      <w:tr w14:paraId="6FB8A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8E457"/>
        </w:tc>
        <w:tc>
          <w:tcPr>
            <w:tcW w:w="2268" w:type="dxa"/>
            <w:vAlign w:val="center"/>
          </w:tcPr>
          <w:p w14:paraId="7B4AD80E">
            <w:pPr>
              <w:pStyle w:val="13"/>
            </w:pPr>
            <w:r>
              <w:t>时效指标</w:t>
            </w:r>
          </w:p>
        </w:tc>
        <w:tc>
          <w:tcPr>
            <w:tcW w:w="2835" w:type="dxa"/>
            <w:vAlign w:val="center"/>
          </w:tcPr>
          <w:p w14:paraId="4EC76F11">
            <w:pPr>
              <w:pStyle w:val="13"/>
            </w:pPr>
            <w:r>
              <w:t>按期完成资金支付</w:t>
            </w:r>
          </w:p>
        </w:tc>
        <w:tc>
          <w:tcPr>
            <w:tcW w:w="5386" w:type="dxa"/>
            <w:vAlign w:val="center"/>
          </w:tcPr>
          <w:p w14:paraId="4258638B">
            <w:pPr>
              <w:pStyle w:val="13"/>
            </w:pPr>
            <w:r>
              <w:t>资金支付率</w:t>
            </w:r>
          </w:p>
        </w:tc>
        <w:tc>
          <w:tcPr>
            <w:tcW w:w="2268" w:type="dxa"/>
            <w:vAlign w:val="center"/>
          </w:tcPr>
          <w:p w14:paraId="7F8DAC88">
            <w:pPr>
              <w:pStyle w:val="13"/>
            </w:pPr>
            <w:r>
              <w:t>100%</w:t>
            </w:r>
          </w:p>
        </w:tc>
        <w:tc>
          <w:tcPr>
            <w:tcW w:w="1276" w:type="dxa"/>
            <w:vAlign w:val="center"/>
          </w:tcPr>
          <w:p w14:paraId="4CEF8E49">
            <w:pPr>
              <w:pStyle w:val="13"/>
            </w:pPr>
            <w:r>
              <w:t>根据年度工作计划</w:t>
            </w:r>
          </w:p>
        </w:tc>
      </w:tr>
      <w:tr w14:paraId="6F88A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0E7DC"/>
        </w:tc>
        <w:tc>
          <w:tcPr>
            <w:tcW w:w="2268" w:type="dxa"/>
            <w:vAlign w:val="center"/>
          </w:tcPr>
          <w:p w14:paraId="3206676A">
            <w:pPr>
              <w:pStyle w:val="13"/>
            </w:pPr>
            <w:r>
              <w:t>成本指标</w:t>
            </w:r>
          </w:p>
        </w:tc>
        <w:tc>
          <w:tcPr>
            <w:tcW w:w="2835" w:type="dxa"/>
            <w:vAlign w:val="center"/>
          </w:tcPr>
          <w:p w14:paraId="0CD4CEEB">
            <w:pPr>
              <w:pStyle w:val="13"/>
            </w:pPr>
            <w:r>
              <w:t>项目预算控制数</w:t>
            </w:r>
          </w:p>
        </w:tc>
        <w:tc>
          <w:tcPr>
            <w:tcW w:w="5386" w:type="dxa"/>
            <w:vAlign w:val="center"/>
          </w:tcPr>
          <w:p w14:paraId="1C17D5D2">
            <w:pPr>
              <w:pStyle w:val="13"/>
            </w:pPr>
            <w:r>
              <w:t>项目预算控制数</w:t>
            </w:r>
          </w:p>
        </w:tc>
        <w:tc>
          <w:tcPr>
            <w:tcW w:w="2268" w:type="dxa"/>
            <w:vAlign w:val="center"/>
          </w:tcPr>
          <w:p w14:paraId="7F7CF615">
            <w:pPr>
              <w:pStyle w:val="13"/>
            </w:pPr>
            <w:r>
              <w:t>≤29.3万元</w:t>
            </w:r>
          </w:p>
        </w:tc>
        <w:tc>
          <w:tcPr>
            <w:tcW w:w="1276" w:type="dxa"/>
            <w:vAlign w:val="center"/>
          </w:tcPr>
          <w:p w14:paraId="67797F20">
            <w:pPr>
              <w:pStyle w:val="13"/>
            </w:pPr>
            <w:r>
              <w:t>根据年度工作计划</w:t>
            </w:r>
          </w:p>
        </w:tc>
      </w:tr>
      <w:tr w14:paraId="72DFA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B8E05">
            <w:pPr>
              <w:pStyle w:val="12"/>
            </w:pPr>
            <w:r>
              <w:t>效益指标</w:t>
            </w:r>
          </w:p>
        </w:tc>
        <w:tc>
          <w:tcPr>
            <w:tcW w:w="2268" w:type="dxa"/>
            <w:vAlign w:val="center"/>
          </w:tcPr>
          <w:p w14:paraId="001F4DEA">
            <w:pPr>
              <w:pStyle w:val="13"/>
            </w:pPr>
            <w:r>
              <w:t>社会效益指标</w:t>
            </w:r>
          </w:p>
        </w:tc>
        <w:tc>
          <w:tcPr>
            <w:tcW w:w="2835" w:type="dxa"/>
            <w:vAlign w:val="center"/>
          </w:tcPr>
          <w:p w14:paraId="51635668">
            <w:pPr>
              <w:pStyle w:val="13"/>
            </w:pPr>
            <w:r>
              <w:t>社会影响力</w:t>
            </w:r>
          </w:p>
        </w:tc>
        <w:tc>
          <w:tcPr>
            <w:tcW w:w="5386" w:type="dxa"/>
            <w:vAlign w:val="center"/>
          </w:tcPr>
          <w:p w14:paraId="5754712E">
            <w:pPr>
              <w:pStyle w:val="13"/>
            </w:pPr>
            <w:r>
              <w:t>覆盖学生受益人数</w:t>
            </w:r>
          </w:p>
        </w:tc>
        <w:tc>
          <w:tcPr>
            <w:tcW w:w="2268" w:type="dxa"/>
            <w:vAlign w:val="center"/>
          </w:tcPr>
          <w:p w14:paraId="520E108D">
            <w:pPr>
              <w:pStyle w:val="13"/>
            </w:pPr>
            <w:r>
              <w:t>≥440人</w:t>
            </w:r>
          </w:p>
        </w:tc>
        <w:tc>
          <w:tcPr>
            <w:tcW w:w="1276" w:type="dxa"/>
            <w:vAlign w:val="center"/>
          </w:tcPr>
          <w:p w14:paraId="1C548FDF">
            <w:pPr>
              <w:pStyle w:val="13"/>
            </w:pPr>
            <w:r>
              <w:t>根据年度工作计划</w:t>
            </w:r>
          </w:p>
        </w:tc>
      </w:tr>
      <w:tr w14:paraId="397C1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3D1B8"/>
        </w:tc>
        <w:tc>
          <w:tcPr>
            <w:tcW w:w="2268" w:type="dxa"/>
            <w:vAlign w:val="center"/>
          </w:tcPr>
          <w:p w14:paraId="5099DDD2">
            <w:pPr>
              <w:pStyle w:val="13"/>
            </w:pPr>
            <w:r>
              <w:t>可持续影响指标</w:t>
            </w:r>
          </w:p>
        </w:tc>
        <w:tc>
          <w:tcPr>
            <w:tcW w:w="2835" w:type="dxa"/>
            <w:vAlign w:val="center"/>
          </w:tcPr>
          <w:p w14:paraId="42C397E2">
            <w:pPr>
              <w:pStyle w:val="13"/>
            </w:pPr>
            <w:r>
              <w:t>使用年限</w:t>
            </w:r>
          </w:p>
        </w:tc>
        <w:tc>
          <w:tcPr>
            <w:tcW w:w="5386" w:type="dxa"/>
            <w:vAlign w:val="center"/>
          </w:tcPr>
          <w:p w14:paraId="743DA73A">
            <w:pPr>
              <w:pStyle w:val="13"/>
            </w:pPr>
            <w:r>
              <w:t>使用年限</w:t>
            </w:r>
          </w:p>
        </w:tc>
        <w:tc>
          <w:tcPr>
            <w:tcW w:w="2268" w:type="dxa"/>
            <w:vAlign w:val="center"/>
          </w:tcPr>
          <w:p w14:paraId="61DAF53F">
            <w:pPr>
              <w:pStyle w:val="13"/>
            </w:pPr>
            <w:r>
              <w:t>≥10年</w:t>
            </w:r>
          </w:p>
        </w:tc>
        <w:tc>
          <w:tcPr>
            <w:tcW w:w="1276" w:type="dxa"/>
            <w:vAlign w:val="center"/>
          </w:tcPr>
          <w:p w14:paraId="66B90F22">
            <w:pPr>
              <w:pStyle w:val="13"/>
            </w:pPr>
            <w:r>
              <w:t>根据年度工作计划</w:t>
            </w:r>
          </w:p>
        </w:tc>
      </w:tr>
      <w:tr w14:paraId="29214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E8E86A">
            <w:pPr>
              <w:pStyle w:val="12"/>
            </w:pPr>
            <w:r>
              <w:t>满意度指标</w:t>
            </w:r>
          </w:p>
        </w:tc>
        <w:tc>
          <w:tcPr>
            <w:tcW w:w="2268" w:type="dxa"/>
            <w:vAlign w:val="center"/>
          </w:tcPr>
          <w:p w14:paraId="1B8785D7">
            <w:pPr>
              <w:pStyle w:val="13"/>
            </w:pPr>
            <w:r>
              <w:t>服务对象满意度指标</w:t>
            </w:r>
          </w:p>
        </w:tc>
        <w:tc>
          <w:tcPr>
            <w:tcW w:w="2835" w:type="dxa"/>
            <w:vAlign w:val="center"/>
          </w:tcPr>
          <w:p w14:paraId="27F310E2">
            <w:pPr>
              <w:pStyle w:val="13"/>
            </w:pPr>
            <w:r>
              <w:t>师生满意率</w:t>
            </w:r>
          </w:p>
        </w:tc>
        <w:tc>
          <w:tcPr>
            <w:tcW w:w="5386" w:type="dxa"/>
            <w:vAlign w:val="center"/>
          </w:tcPr>
          <w:p w14:paraId="540F1880">
            <w:pPr>
              <w:pStyle w:val="13"/>
            </w:pPr>
            <w:r>
              <w:t>师生满意率</w:t>
            </w:r>
          </w:p>
        </w:tc>
        <w:tc>
          <w:tcPr>
            <w:tcW w:w="2268" w:type="dxa"/>
            <w:vAlign w:val="center"/>
          </w:tcPr>
          <w:p w14:paraId="78B35429">
            <w:pPr>
              <w:pStyle w:val="13"/>
            </w:pPr>
            <w:r>
              <w:t>≥98%</w:t>
            </w:r>
          </w:p>
        </w:tc>
        <w:tc>
          <w:tcPr>
            <w:tcW w:w="1276" w:type="dxa"/>
            <w:vAlign w:val="center"/>
          </w:tcPr>
          <w:p w14:paraId="38585A30">
            <w:pPr>
              <w:pStyle w:val="13"/>
            </w:pPr>
            <w:r>
              <w:t>调查问卷</w:t>
            </w:r>
          </w:p>
        </w:tc>
      </w:tr>
    </w:tbl>
    <w:p w14:paraId="0452776E">
      <w:pPr>
        <w:sectPr>
          <w:pgSz w:w="16840" w:h="11900" w:orient="landscape"/>
          <w:pgMar w:top="1361" w:right="1020" w:bottom="1134" w:left="1020" w:header="720" w:footer="720" w:gutter="0"/>
          <w:cols w:space="720" w:num="1"/>
        </w:sectPr>
      </w:pPr>
    </w:p>
    <w:p w14:paraId="45329CAC">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3、冀财教[2024]123号/中央/2025年义教补助经费/综合奖补/牛家桥中学公用经费绩效目标表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AB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01722">
            <w:pPr>
              <w:pStyle w:val="14"/>
            </w:pPr>
            <w:r>
              <w:t>单位：万元</w:t>
            </w:r>
          </w:p>
        </w:tc>
      </w:tr>
      <w:tr w14:paraId="513A8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0C25B">
            <w:pPr>
              <w:pStyle w:val="11"/>
            </w:pPr>
            <w:r>
              <w:t>项目编码</w:t>
            </w:r>
          </w:p>
        </w:tc>
        <w:tc>
          <w:tcPr>
            <w:tcW w:w="5103" w:type="dxa"/>
            <w:gridSpan w:val="2"/>
            <w:vAlign w:val="center"/>
          </w:tcPr>
          <w:p w14:paraId="572785E1">
            <w:pPr>
              <w:pStyle w:val="13"/>
            </w:pPr>
            <w:r>
              <w:t>13052525P00875610266R</w:t>
            </w:r>
          </w:p>
        </w:tc>
        <w:tc>
          <w:tcPr>
            <w:tcW w:w="2835" w:type="dxa"/>
            <w:vAlign w:val="center"/>
          </w:tcPr>
          <w:p w14:paraId="47E15A08">
            <w:pPr>
              <w:pStyle w:val="11"/>
            </w:pPr>
            <w:r>
              <w:t>项目名称</w:t>
            </w:r>
          </w:p>
        </w:tc>
        <w:tc>
          <w:tcPr>
            <w:tcW w:w="6095" w:type="dxa"/>
            <w:gridSpan w:val="3"/>
            <w:vAlign w:val="center"/>
          </w:tcPr>
          <w:p w14:paraId="5A1E41BB">
            <w:pPr>
              <w:pStyle w:val="13"/>
            </w:pPr>
            <w:r>
              <w:t>冀财教[2024]123号/中央/2025年义教补助经费/综合奖补/牛家桥中学公用经费</w:t>
            </w:r>
          </w:p>
        </w:tc>
      </w:tr>
      <w:tr w14:paraId="22BA7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F86DA">
            <w:pPr>
              <w:pStyle w:val="11"/>
            </w:pPr>
            <w:r>
              <w:t>预算规模及资金用途</w:t>
            </w:r>
          </w:p>
        </w:tc>
        <w:tc>
          <w:tcPr>
            <w:tcW w:w="2268" w:type="dxa"/>
            <w:vAlign w:val="center"/>
          </w:tcPr>
          <w:p w14:paraId="2C0FDE44">
            <w:pPr>
              <w:pStyle w:val="11"/>
            </w:pPr>
            <w:r>
              <w:t>预算数</w:t>
            </w:r>
          </w:p>
        </w:tc>
        <w:tc>
          <w:tcPr>
            <w:tcW w:w="2835" w:type="dxa"/>
            <w:vAlign w:val="center"/>
          </w:tcPr>
          <w:p w14:paraId="601624B0">
            <w:pPr>
              <w:pStyle w:val="13"/>
            </w:pPr>
            <w:r>
              <w:t>2.03</w:t>
            </w:r>
          </w:p>
        </w:tc>
        <w:tc>
          <w:tcPr>
            <w:tcW w:w="2835" w:type="dxa"/>
            <w:vAlign w:val="center"/>
          </w:tcPr>
          <w:p w14:paraId="28E1F6F7">
            <w:pPr>
              <w:pStyle w:val="11"/>
            </w:pPr>
            <w:r>
              <w:t>其中：财政    资金</w:t>
            </w:r>
          </w:p>
        </w:tc>
        <w:tc>
          <w:tcPr>
            <w:tcW w:w="2551" w:type="dxa"/>
            <w:vAlign w:val="center"/>
          </w:tcPr>
          <w:p w14:paraId="080F82F7">
            <w:pPr>
              <w:pStyle w:val="13"/>
            </w:pPr>
            <w:r>
              <w:t>2.03</w:t>
            </w:r>
          </w:p>
        </w:tc>
        <w:tc>
          <w:tcPr>
            <w:tcW w:w="2268" w:type="dxa"/>
            <w:vAlign w:val="center"/>
          </w:tcPr>
          <w:p w14:paraId="1BD36B0C">
            <w:pPr>
              <w:pStyle w:val="11"/>
            </w:pPr>
            <w:r>
              <w:t>其他资金</w:t>
            </w:r>
          </w:p>
        </w:tc>
        <w:tc>
          <w:tcPr>
            <w:tcW w:w="1276" w:type="dxa"/>
            <w:vAlign w:val="center"/>
          </w:tcPr>
          <w:p w14:paraId="267F4BC3">
            <w:pPr>
              <w:pStyle w:val="13"/>
            </w:pPr>
            <w:r>
              <w:t xml:space="preserve"> </w:t>
            </w:r>
          </w:p>
        </w:tc>
      </w:tr>
      <w:tr w14:paraId="20A28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6022F"/>
        </w:tc>
        <w:tc>
          <w:tcPr>
            <w:tcW w:w="14033" w:type="dxa"/>
            <w:gridSpan w:val="6"/>
            <w:vAlign w:val="center"/>
          </w:tcPr>
          <w:p w14:paraId="2CF61AE8">
            <w:pPr>
              <w:pStyle w:val="13"/>
            </w:pPr>
            <w:r>
              <w:t>用于视频会议设备购置，保障正常的办公条件。</w:t>
            </w:r>
          </w:p>
        </w:tc>
      </w:tr>
      <w:tr w14:paraId="1B21E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C4838">
            <w:pPr>
              <w:pStyle w:val="11"/>
            </w:pPr>
            <w:r>
              <w:t>资金支出计划（%）</w:t>
            </w:r>
          </w:p>
        </w:tc>
        <w:tc>
          <w:tcPr>
            <w:tcW w:w="5103" w:type="dxa"/>
            <w:gridSpan w:val="2"/>
            <w:vAlign w:val="center"/>
          </w:tcPr>
          <w:p w14:paraId="1C0B1DB2">
            <w:pPr>
              <w:pStyle w:val="11"/>
            </w:pPr>
            <w:r>
              <w:t>3月底</w:t>
            </w:r>
          </w:p>
        </w:tc>
        <w:tc>
          <w:tcPr>
            <w:tcW w:w="2835" w:type="dxa"/>
            <w:vAlign w:val="center"/>
          </w:tcPr>
          <w:p w14:paraId="238F326A">
            <w:pPr>
              <w:pStyle w:val="11"/>
            </w:pPr>
            <w:r>
              <w:t>6月底</w:t>
            </w:r>
          </w:p>
        </w:tc>
        <w:tc>
          <w:tcPr>
            <w:tcW w:w="2551" w:type="dxa"/>
            <w:vAlign w:val="center"/>
          </w:tcPr>
          <w:p w14:paraId="5A392A5E">
            <w:pPr>
              <w:pStyle w:val="11"/>
            </w:pPr>
            <w:r>
              <w:t>10月底</w:t>
            </w:r>
          </w:p>
        </w:tc>
        <w:tc>
          <w:tcPr>
            <w:tcW w:w="3544" w:type="dxa"/>
            <w:gridSpan w:val="2"/>
            <w:vAlign w:val="center"/>
          </w:tcPr>
          <w:p w14:paraId="7E6E0589">
            <w:pPr>
              <w:pStyle w:val="11"/>
            </w:pPr>
            <w:r>
              <w:t>12月底</w:t>
            </w:r>
          </w:p>
        </w:tc>
      </w:tr>
      <w:tr w14:paraId="45E78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AAA5D7"/>
        </w:tc>
        <w:tc>
          <w:tcPr>
            <w:tcW w:w="5103" w:type="dxa"/>
            <w:gridSpan w:val="2"/>
            <w:vAlign w:val="center"/>
          </w:tcPr>
          <w:p w14:paraId="0DAAB850">
            <w:pPr>
              <w:pStyle w:val="12"/>
            </w:pPr>
            <w:r>
              <w:t>25%</w:t>
            </w:r>
          </w:p>
        </w:tc>
        <w:tc>
          <w:tcPr>
            <w:tcW w:w="2835" w:type="dxa"/>
            <w:vAlign w:val="center"/>
          </w:tcPr>
          <w:p w14:paraId="6D1832E7">
            <w:pPr>
              <w:pStyle w:val="12"/>
            </w:pPr>
            <w:r>
              <w:t>50%</w:t>
            </w:r>
          </w:p>
        </w:tc>
        <w:tc>
          <w:tcPr>
            <w:tcW w:w="2551" w:type="dxa"/>
            <w:vAlign w:val="center"/>
          </w:tcPr>
          <w:p w14:paraId="5F062C74">
            <w:pPr>
              <w:pStyle w:val="12"/>
            </w:pPr>
            <w:r>
              <w:t>75%</w:t>
            </w:r>
          </w:p>
        </w:tc>
        <w:tc>
          <w:tcPr>
            <w:tcW w:w="3544" w:type="dxa"/>
            <w:gridSpan w:val="2"/>
            <w:vAlign w:val="center"/>
          </w:tcPr>
          <w:p w14:paraId="4D05306D">
            <w:pPr>
              <w:pStyle w:val="12"/>
            </w:pPr>
            <w:r>
              <w:t>100%</w:t>
            </w:r>
          </w:p>
        </w:tc>
      </w:tr>
      <w:tr w14:paraId="59B5F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508754">
            <w:pPr>
              <w:pStyle w:val="11"/>
            </w:pPr>
            <w:r>
              <w:t>绩效目标</w:t>
            </w:r>
          </w:p>
        </w:tc>
        <w:tc>
          <w:tcPr>
            <w:tcW w:w="14033" w:type="dxa"/>
            <w:gridSpan w:val="6"/>
            <w:vAlign w:val="center"/>
          </w:tcPr>
          <w:p w14:paraId="75011D29">
            <w:pPr>
              <w:pStyle w:val="13"/>
            </w:pPr>
            <w:r>
              <w:t>1.按照要求序时结算支付，支付率达到100%。</w:t>
            </w:r>
          </w:p>
          <w:p w14:paraId="7C36B3DD">
            <w:pPr>
              <w:pStyle w:val="13"/>
            </w:pPr>
            <w:r>
              <w:t>2.改善办公条件，提高办公效率，使会议精神及相关文件通知政策能够及时落实。</w:t>
            </w:r>
          </w:p>
        </w:tc>
      </w:tr>
    </w:tbl>
    <w:p w14:paraId="1AEBAF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90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7E65F">
            <w:pPr>
              <w:pStyle w:val="11"/>
            </w:pPr>
            <w:r>
              <w:t>一级指标</w:t>
            </w:r>
          </w:p>
        </w:tc>
        <w:tc>
          <w:tcPr>
            <w:tcW w:w="2268" w:type="dxa"/>
            <w:vAlign w:val="center"/>
          </w:tcPr>
          <w:p w14:paraId="1BC2B894">
            <w:pPr>
              <w:pStyle w:val="11"/>
            </w:pPr>
            <w:r>
              <w:t>二级指标</w:t>
            </w:r>
          </w:p>
        </w:tc>
        <w:tc>
          <w:tcPr>
            <w:tcW w:w="2835" w:type="dxa"/>
            <w:vAlign w:val="center"/>
          </w:tcPr>
          <w:p w14:paraId="5862210E">
            <w:pPr>
              <w:pStyle w:val="11"/>
            </w:pPr>
            <w:r>
              <w:t>三级指标</w:t>
            </w:r>
          </w:p>
        </w:tc>
        <w:tc>
          <w:tcPr>
            <w:tcW w:w="5386" w:type="dxa"/>
            <w:vAlign w:val="center"/>
          </w:tcPr>
          <w:p w14:paraId="31FEB2EA">
            <w:pPr>
              <w:pStyle w:val="11"/>
            </w:pPr>
            <w:r>
              <w:t>绩效指标描述</w:t>
            </w:r>
          </w:p>
        </w:tc>
        <w:tc>
          <w:tcPr>
            <w:tcW w:w="2268" w:type="dxa"/>
            <w:vAlign w:val="center"/>
          </w:tcPr>
          <w:p w14:paraId="10BA05FA">
            <w:pPr>
              <w:pStyle w:val="11"/>
            </w:pPr>
            <w:r>
              <w:t>指标值</w:t>
            </w:r>
          </w:p>
        </w:tc>
        <w:tc>
          <w:tcPr>
            <w:tcW w:w="1276" w:type="dxa"/>
            <w:vAlign w:val="center"/>
          </w:tcPr>
          <w:p w14:paraId="63728CBA">
            <w:pPr>
              <w:pStyle w:val="11"/>
            </w:pPr>
            <w:r>
              <w:t>指标值确定依据</w:t>
            </w:r>
          </w:p>
        </w:tc>
      </w:tr>
      <w:tr w14:paraId="3E3ED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4D99F">
            <w:pPr>
              <w:pStyle w:val="12"/>
            </w:pPr>
            <w:r>
              <w:t>产出指标</w:t>
            </w:r>
          </w:p>
        </w:tc>
        <w:tc>
          <w:tcPr>
            <w:tcW w:w="2268" w:type="dxa"/>
            <w:vAlign w:val="center"/>
          </w:tcPr>
          <w:p w14:paraId="7BF7DFBA">
            <w:pPr>
              <w:pStyle w:val="13"/>
            </w:pPr>
            <w:r>
              <w:t>数量指标</w:t>
            </w:r>
          </w:p>
        </w:tc>
        <w:tc>
          <w:tcPr>
            <w:tcW w:w="2835" w:type="dxa"/>
            <w:vAlign w:val="center"/>
          </w:tcPr>
          <w:p w14:paraId="68F60B95">
            <w:pPr>
              <w:pStyle w:val="13"/>
            </w:pPr>
            <w:r>
              <w:t>按照年度计划装备</w:t>
            </w:r>
          </w:p>
        </w:tc>
        <w:tc>
          <w:tcPr>
            <w:tcW w:w="5386" w:type="dxa"/>
            <w:vAlign w:val="center"/>
          </w:tcPr>
          <w:p w14:paraId="6F2B87C1">
            <w:pPr>
              <w:pStyle w:val="13"/>
            </w:pPr>
            <w:r>
              <w:t>产品数量</w:t>
            </w:r>
          </w:p>
        </w:tc>
        <w:tc>
          <w:tcPr>
            <w:tcW w:w="2268" w:type="dxa"/>
            <w:vAlign w:val="center"/>
          </w:tcPr>
          <w:p w14:paraId="2CF01DAC">
            <w:pPr>
              <w:pStyle w:val="13"/>
            </w:pPr>
            <w:r>
              <w:t>1套</w:t>
            </w:r>
          </w:p>
        </w:tc>
        <w:tc>
          <w:tcPr>
            <w:tcW w:w="1276" w:type="dxa"/>
            <w:vAlign w:val="center"/>
          </w:tcPr>
          <w:p w14:paraId="297C1206">
            <w:pPr>
              <w:pStyle w:val="13"/>
            </w:pPr>
            <w:r>
              <w:t>根据学校工作计划</w:t>
            </w:r>
          </w:p>
        </w:tc>
      </w:tr>
      <w:tr w14:paraId="01110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59E6F"/>
        </w:tc>
        <w:tc>
          <w:tcPr>
            <w:tcW w:w="2268" w:type="dxa"/>
            <w:vAlign w:val="center"/>
          </w:tcPr>
          <w:p w14:paraId="2555AD7B">
            <w:pPr>
              <w:pStyle w:val="13"/>
            </w:pPr>
            <w:r>
              <w:t>质量指标</w:t>
            </w:r>
          </w:p>
        </w:tc>
        <w:tc>
          <w:tcPr>
            <w:tcW w:w="2835" w:type="dxa"/>
            <w:vAlign w:val="center"/>
          </w:tcPr>
          <w:p w14:paraId="6EE480AB">
            <w:pPr>
              <w:pStyle w:val="13"/>
            </w:pPr>
            <w:r>
              <w:t>项目验收合格率</w:t>
            </w:r>
          </w:p>
        </w:tc>
        <w:tc>
          <w:tcPr>
            <w:tcW w:w="5386" w:type="dxa"/>
            <w:vAlign w:val="center"/>
          </w:tcPr>
          <w:p w14:paraId="5FB5EFFD">
            <w:pPr>
              <w:pStyle w:val="13"/>
            </w:pPr>
            <w:r>
              <w:t>项目验收合格率</w:t>
            </w:r>
          </w:p>
        </w:tc>
        <w:tc>
          <w:tcPr>
            <w:tcW w:w="2268" w:type="dxa"/>
            <w:vAlign w:val="center"/>
          </w:tcPr>
          <w:p w14:paraId="62AF4713">
            <w:pPr>
              <w:pStyle w:val="13"/>
            </w:pPr>
            <w:r>
              <w:t>100%</w:t>
            </w:r>
          </w:p>
        </w:tc>
        <w:tc>
          <w:tcPr>
            <w:tcW w:w="1276" w:type="dxa"/>
            <w:vAlign w:val="center"/>
          </w:tcPr>
          <w:p w14:paraId="0031906C">
            <w:pPr>
              <w:pStyle w:val="13"/>
            </w:pPr>
            <w:r>
              <w:t>根据学校工作计划</w:t>
            </w:r>
          </w:p>
        </w:tc>
      </w:tr>
      <w:tr w14:paraId="0799E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0D727"/>
        </w:tc>
        <w:tc>
          <w:tcPr>
            <w:tcW w:w="2268" w:type="dxa"/>
            <w:vAlign w:val="center"/>
          </w:tcPr>
          <w:p w14:paraId="5ADDDD74">
            <w:pPr>
              <w:pStyle w:val="13"/>
            </w:pPr>
            <w:r>
              <w:t>时效指标</w:t>
            </w:r>
          </w:p>
        </w:tc>
        <w:tc>
          <w:tcPr>
            <w:tcW w:w="2835" w:type="dxa"/>
            <w:vAlign w:val="center"/>
          </w:tcPr>
          <w:p w14:paraId="282B5230">
            <w:pPr>
              <w:pStyle w:val="13"/>
            </w:pPr>
            <w:r>
              <w:t>支付及时率</w:t>
            </w:r>
          </w:p>
        </w:tc>
        <w:tc>
          <w:tcPr>
            <w:tcW w:w="5386" w:type="dxa"/>
            <w:vAlign w:val="center"/>
          </w:tcPr>
          <w:p w14:paraId="4438ABCB">
            <w:pPr>
              <w:pStyle w:val="13"/>
            </w:pPr>
            <w:r>
              <w:t>按合同约定一次性支付率</w:t>
            </w:r>
          </w:p>
        </w:tc>
        <w:tc>
          <w:tcPr>
            <w:tcW w:w="2268" w:type="dxa"/>
            <w:vAlign w:val="center"/>
          </w:tcPr>
          <w:p w14:paraId="2498F118">
            <w:pPr>
              <w:pStyle w:val="13"/>
            </w:pPr>
            <w:r>
              <w:t>100%</w:t>
            </w:r>
          </w:p>
        </w:tc>
        <w:tc>
          <w:tcPr>
            <w:tcW w:w="1276" w:type="dxa"/>
            <w:vAlign w:val="center"/>
          </w:tcPr>
          <w:p w14:paraId="624DD8EA">
            <w:pPr>
              <w:pStyle w:val="13"/>
            </w:pPr>
            <w:r>
              <w:t>根据学校工作计划</w:t>
            </w:r>
          </w:p>
        </w:tc>
      </w:tr>
      <w:tr w14:paraId="3746A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50E51"/>
        </w:tc>
        <w:tc>
          <w:tcPr>
            <w:tcW w:w="2268" w:type="dxa"/>
            <w:vAlign w:val="center"/>
          </w:tcPr>
          <w:p w14:paraId="2231EE28">
            <w:pPr>
              <w:pStyle w:val="13"/>
            </w:pPr>
            <w:r>
              <w:t>成本指标</w:t>
            </w:r>
          </w:p>
        </w:tc>
        <w:tc>
          <w:tcPr>
            <w:tcW w:w="2835" w:type="dxa"/>
            <w:vAlign w:val="center"/>
          </w:tcPr>
          <w:p w14:paraId="765AF353">
            <w:pPr>
              <w:pStyle w:val="13"/>
            </w:pPr>
            <w:r>
              <w:t>成本控制率</w:t>
            </w:r>
          </w:p>
        </w:tc>
        <w:tc>
          <w:tcPr>
            <w:tcW w:w="5386" w:type="dxa"/>
            <w:vAlign w:val="center"/>
          </w:tcPr>
          <w:p w14:paraId="47BF48DC">
            <w:pPr>
              <w:pStyle w:val="13"/>
            </w:pPr>
            <w:r>
              <w:t>完成项目的成本控制在预算水平</w:t>
            </w:r>
          </w:p>
        </w:tc>
        <w:tc>
          <w:tcPr>
            <w:tcW w:w="2268" w:type="dxa"/>
            <w:vAlign w:val="center"/>
          </w:tcPr>
          <w:p w14:paraId="222ABB59">
            <w:pPr>
              <w:pStyle w:val="13"/>
            </w:pPr>
            <w:r>
              <w:t>≤2.03万元</w:t>
            </w:r>
          </w:p>
        </w:tc>
        <w:tc>
          <w:tcPr>
            <w:tcW w:w="1276" w:type="dxa"/>
            <w:vAlign w:val="center"/>
          </w:tcPr>
          <w:p w14:paraId="373FE08E">
            <w:pPr>
              <w:pStyle w:val="13"/>
            </w:pPr>
            <w:r>
              <w:t>根据学校工作计划</w:t>
            </w:r>
          </w:p>
        </w:tc>
      </w:tr>
      <w:tr w14:paraId="6CC98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DEE0A">
            <w:pPr>
              <w:pStyle w:val="12"/>
            </w:pPr>
            <w:r>
              <w:t>效益指标</w:t>
            </w:r>
          </w:p>
        </w:tc>
        <w:tc>
          <w:tcPr>
            <w:tcW w:w="2268" w:type="dxa"/>
            <w:vAlign w:val="center"/>
          </w:tcPr>
          <w:p w14:paraId="757B6921">
            <w:pPr>
              <w:pStyle w:val="13"/>
            </w:pPr>
            <w:r>
              <w:t>社会效益指标</w:t>
            </w:r>
          </w:p>
        </w:tc>
        <w:tc>
          <w:tcPr>
            <w:tcW w:w="2835" w:type="dxa"/>
            <w:vAlign w:val="center"/>
          </w:tcPr>
          <w:p w14:paraId="004F9DE5">
            <w:pPr>
              <w:pStyle w:val="13"/>
            </w:pPr>
            <w:r>
              <w:t>受益人群</w:t>
            </w:r>
          </w:p>
        </w:tc>
        <w:tc>
          <w:tcPr>
            <w:tcW w:w="5386" w:type="dxa"/>
            <w:vAlign w:val="center"/>
          </w:tcPr>
          <w:p w14:paraId="310F8D5B">
            <w:pPr>
              <w:pStyle w:val="13"/>
            </w:pPr>
            <w:r>
              <w:t>受益人群</w:t>
            </w:r>
          </w:p>
        </w:tc>
        <w:tc>
          <w:tcPr>
            <w:tcW w:w="2268" w:type="dxa"/>
            <w:vAlign w:val="center"/>
          </w:tcPr>
          <w:p w14:paraId="4FD6929A">
            <w:pPr>
              <w:pStyle w:val="13"/>
            </w:pPr>
            <w:r>
              <w:t>≥44人</w:t>
            </w:r>
          </w:p>
        </w:tc>
        <w:tc>
          <w:tcPr>
            <w:tcW w:w="1276" w:type="dxa"/>
            <w:vAlign w:val="center"/>
          </w:tcPr>
          <w:p w14:paraId="4C54487E">
            <w:pPr>
              <w:pStyle w:val="13"/>
            </w:pPr>
            <w:r>
              <w:t>根据学校工作计划</w:t>
            </w:r>
          </w:p>
        </w:tc>
      </w:tr>
      <w:tr w14:paraId="32A11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86FD1"/>
        </w:tc>
        <w:tc>
          <w:tcPr>
            <w:tcW w:w="2268" w:type="dxa"/>
            <w:vAlign w:val="center"/>
          </w:tcPr>
          <w:p w14:paraId="57C26C76">
            <w:pPr>
              <w:pStyle w:val="13"/>
            </w:pPr>
            <w:r>
              <w:t>可持续影响指标</w:t>
            </w:r>
          </w:p>
        </w:tc>
        <w:tc>
          <w:tcPr>
            <w:tcW w:w="2835" w:type="dxa"/>
            <w:vAlign w:val="center"/>
          </w:tcPr>
          <w:p w14:paraId="38D13012">
            <w:pPr>
              <w:pStyle w:val="13"/>
            </w:pPr>
            <w:r>
              <w:t>结果应用年限</w:t>
            </w:r>
          </w:p>
        </w:tc>
        <w:tc>
          <w:tcPr>
            <w:tcW w:w="5386" w:type="dxa"/>
            <w:vAlign w:val="center"/>
          </w:tcPr>
          <w:p w14:paraId="57FB2C8B">
            <w:pPr>
              <w:pStyle w:val="13"/>
            </w:pPr>
            <w:r>
              <w:t>结果应用年限</w:t>
            </w:r>
          </w:p>
        </w:tc>
        <w:tc>
          <w:tcPr>
            <w:tcW w:w="2268" w:type="dxa"/>
            <w:vAlign w:val="center"/>
          </w:tcPr>
          <w:p w14:paraId="167A03F3">
            <w:pPr>
              <w:pStyle w:val="13"/>
            </w:pPr>
            <w:r>
              <w:t>≥6年</w:t>
            </w:r>
          </w:p>
        </w:tc>
        <w:tc>
          <w:tcPr>
            <w:tcW w:w="1276" w:type="dxa"/>
            <w:vAlign w:val="center"/>
          </w:tcPr>
          <w:p w14:paraId="1AFFFE3B">
            <w:pPr>
              <w:pStyle w:val="13"/>
            </w:pPr>
            <w:r>
              <w:t>根据学校工作计划</w:t>
            </w:r>
          </w:p>
        </w:tc>
      </w:tr>
      <w:tr w14:paraId="4EAE6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5B6F5">
            <w:pPr>
              <w:pStyle w:val="12"/>
            </w:pPr>
            <w:r>
              <w:t>满意度指标</w:t>
            </w:r>
          </w:p>
        </w:tc>
        <w:tc>
          <w:tcPr>
            <w:tcW w:w="2268" w:type="dxa"/>
            <w:vAlign w:val="center"/>
          </w:tcPr>
          <w:p w14:paraId="0FD6723B">
            <w:pPr>
              <w:pStyle w:val="13"/>
            </w:pPr>
            <w:r>
              <w:t>服务对象满意度指标</w:t>
            </w:r>
          </w:p>
        </w:tc>
        <w:tc>
          <w:tcPr>
            <w:tcW w:w="2835" w:type="dxa"/>
            <w:vAlign w:val="center"/>
          </w:tcPr>
          <w:p w14:paraId="0FCE2F55">
            <w:pPr>
              <w:pStyle w:val="13"/>
            </w:pPr>
            <w:r>
              <w:t>群众满意度</w:t>
            </w:r>
          </w:p>
        </w:tc>
        <w:tc>
          <w:tcPr>
            <w:tcW w:w="5386" w:type="dxa"/>
            <w:vAlign w:val="center"/>
          </w:tcPr>
          <w:p w14:paraId="367212B6">
            <w:pPr>
              <w:pStyle w:val="13"/>
            </w:pPr>
            <w:r>
              <w:t>教师及相关使用人员对系统的满意度</w:t>
            </w:r>
          </w:p>
        </w:tc>
        <w:tc>
          <w:tcPr>
            <w:tcW w:w="2268" w:type="dxa"/>
            <w:vAlign w:val="center"/>
          </w:tcPr>
          <w:p w14:paraId="7C81ADD1">
            <w:pPr>
              <w:pStyle w:val="13"/>
            </w:pPr>
            <w:r>
              <w:t>≥98%</w:t>
            </w:r>
          </w:p>
        </w:tc>
        <w:tc>
          <w:tcPr>
            <w:tcW w:w="1276" w:type="dxa"/>
            <w:vAlign w:val="center"/>
          </w:tcPr>
          <w:p w14:paraId="1563C5CD">
            <w:pPr>
              <w:pStyle w:val="13"/>
            </w:pPr>
            <w:r>
              <w:t>调查问卷</w:t>
            </w:r>
          </w:p>
        </w:tc>
      </w:tr>
    </w:tbl>
    <w:p w14:paraId="67C4B717">
      <w:pPr>
        <w:sectPr>
          <w:pgSz w:w="16840" w:h="11900" w:orient="landscape"/>
          <w:pgMar w:top="1361" w:right="1020" w:bottom="1134" w:left="1020" w:header="720" w:footer="720" w:gutter="0"/>
          <w:cols w:space="720" w:num="1"/>
        </w:sectPr>
      </w:pPr>
    </w:p>
    <w:p w14:paraId="13C7EC81">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4、冀财教[2024]123号/中央/2025年义教补助经费/综合奖补/牛家桥中学微机室装备购置绩效目标表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B9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BD526">
            <w:pPr>
              <w:pStyle w:val="14"/>
            </w:pPr>
            <w:r>
              <w:t>单位：万元</w:t>
            </w:r>
          </w:p>
        </w:tc>
      </w:tr>
      <w:tr w14:paraId="1631F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243FB8">
            <w:pPr>
              <w:pStyle w:val="11"/>
            </w:pPr>
            <w:r>
              <w:t>项目编码</w:t>
            </w:r>
          </w:p>
        </w:tc>
        <w:tc>
          <w:tcPr>
            <w:tcW w:w="5103" w:type="dxa"/>
            <w:gridSpan w:val="2"/>
            <w:vAlign w:val="center"/>
          </w:tcPr>
          <w:p w14:paraId="0452B0FA">
            <w:pPr>
              <w:pStyle w:val="13"/>
            </w:pPr>
            <w:r>
              <w:t>13052525P00875610247M</w:t>
            </w:r>
          </w:p>
        </w:tc>
        <w:tc>
          <w:tcPr>
            <w:tcW w:w="2835" w:type="dxa"/>
            <w:vAlign w:val="center"/>
          </w:tcPr>
          <w:p w14:paraId="0656BC40">
            <w:pPr>
              <w:pStyle w:val="11"/>
            </w:pPr>
            <w:r>
              <w:t>项目名称</w:t>
            </w:r>
          </w:p>
        </w:tc>
        <w:tc>
          <w:tcPr>
            <w:tcW w:w="6095" w:type="dxa"/>
            <w:gridSpan w:val="3"/>
            <w:vAlign w:val="center"/>
          </w:tcPr>
          <w:p w14:paraId="7F694EFE">
            <w:pPr>
              <w:pStyle w:val="13"/>
            </w:pPr>
            <w:r>
              <w:t>冀财教[2024]123号/中央/2025年义教补助经费/综合奖补/牛家桥中学微机室装备购置</w:t>
            </w:r>
          </w:p>
        </w:tc>
      </w:tr>
      <w:tr w14:paraId="60062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5EF97">
            <w:pPr>
              <w:pStyle w:val="11"/>
            </w:pPr>
            <w:r>
              <w:t>预算规模及资金用途</w:t>
            </w:r>
          </w:p>
        </w:tc>
        <w:tc>
          <w:tcPr>
            <w:tcW w:w="2268" w:type="dxa"/>
            <w:vAlign w:val="center"/>
          </w:tcPr>
          <w:p w14:paraId="61D31B88">
            <w:pPr>
              <w:pStyle w:val="11"/>
            </w:pPr>
            <w:r>
              <w:t>预算数</w:t>
            </w:r>
          </w:p>
        </w:tc>
        <w:tc>
          <w:tcPr>
            <w:tcW w:w="2835" w:type="dxa"/>
            <w:vAlign w:val="center"/>
          </w:tcPr>
          <w:p w14:paraId="179D06DC">
            <w:pPr>
              <w:pStyle w:val="13"/>
            </w:pPr>
            <w:r>
              <w:t>20.40</w:t>
            </w:r>
          </w:p>
        </w:tc>
        <w:tc>
          <w:tcPr>
            <w:tcW w:w="2835" w:type="dxa"/>
            <w:vAlign w:val="center"/>
          </w:tcPr>
          <w:p w14:paraId="68227A18">
            <w:pPr>
              <w:pStyle w:val="11"/>
            </w:pPr>
            <w:r>
              <w:t>其中：财政    资金</w:t>
            </w:r>
          </w:p>
        </w:tc>
        <w:tc>
          <w:tcPr>
            <w:tcW w:w="2551" w:type="dxa"/>
            <w:vAlign w:val="center"/>
          </w:tcPr>
          <w:p w14:paraId="150D6DA8">
            <w:pPr>
              <w:pStyle w:val="13"/>
            </w:pPr>
            <w:r>
              <w:t>20.40</w:t>
            </w:r>
          </w:p>
        </w:tc>
        <w:tc>
          <w:tcPr>
            <w:tcW w:w="2268" w:type="dxa"/>
            <w:vAlign w:val="center"/>
          </w:tcPr>
          <w:p w14:paraId="7787B580">
            <w:pPr>
              <w:pStyle w:val="11"/>
            </w:pPr>
            <w:r>
              <w:t>其他资金</w:t>
            </w:r>
          </w:p>
        </w:tc>
        <w:tc>
          <w:tcPr>
            <w:tcW w:w="1276" w:type="dxa"/>
            <w:vAlign w:val="center"/>
          </w:tcPr>
          <w:p w14:paraId="4BA7FF89">
            <w:pPr>
              <w:pStyle w:val="13"/>
            </w:pPr>
            <w:r>
              <w:t xml:space="preserve"> </w:t>
            </w:r>
          </w:p>
        </w:tc>
      </w:tr>
      <w:tr w14:paraId="22D85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D34397"/>
        </w:tc>
        <w:tc>
          <w:tcPr>
            <w:tcW w:w="14033" w:type="dxa"/>
            <w:gridSpan w:val="6"/>
            <w:vAlign w:val="center"/>
          </w:tcPr>
          <w:p w14:paraId="0C7E2172">
            <w:pPr>
              <w:pStyle w:val="13"/>
            </w:pPr>
            <w:r>
              <w:t>用于装配微机室，改善教学条件，保障教学任务的完成。</w:t>
            </w:r>
          </w:p>
        </w:tc>
      </w:tr>
      <w:tr w14:paraId="3010E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EB993">
            <w:pPr>
              <w:pStyle w:val="11"/>
            </w:pPr>
            <w:r>
              <w:t>资金支出计划（%）</w:t>
            </w:r>
          </w:p>
        </w:tc>
        <w:tc>
          <w:tcPr>
            <w:tcW w:w="5103" w:type="dxa"/>
            <w:gridSpan w:val="2"/>
            <w:vAlign w:val="center"/>
          </w:tcPr>
          <w:p w14:paraId="50FAA02A">
            <w:pPr>
              <w:pStyle w:val="11"/>
            </w:pPr>
            <w:r>
              <w:t>3月底</w:t>
            </w:r>
          </w:p>
        </w:tc>
        <w:tc>
          <w:tcPr>
            <w:tcW w:w="2835" w:type="dxa"/>
            <w:vAlign w:val="center"/>
          </w:tcPr>
          <w:p w14:paraId="10CD9983">
            <w:pPr>
              <w:pStyle w:val="11"/>
            </w:pPr>
            <w:r>
              <w:t>6月底</w:t>
            </w:r>
          </w:p>
        </w:tc>
        <w:tc>
          <w:tcPr>
            <w:tcW w:w="2551" w:type="dxa"/>
            <w:vAlign w:val="center"/>
          </w:tcPr>
          <w:p w14:paraId="5217918E">
            <w:pPr>
              <w:pStyle w:val="11"/>
            </w:pPr>
            <w:r>
              <w:t>10月底</w:t>
            </w:r>
          </w:p>
        </w:tc>
        <w:tc>
          <w:tcPr>
            <w:tcW w:w="3544" w:type="dxa"/>
            <w:gridSpan w:val="2"/>
            <w:vAlign w:val="center"/>
          </w:tcPr>
          <w:p w14:paraId="6F0C1292">
            <w:pPr>
              <w:pStyle w:val="11"/>
            </w:pPr>
            <w:r>
              <w:t>12月底</w:t>
            </w:r>
          </w:p>
        </w:tc>
      </w:tr>
      <w:tr w14:paraId="0ADBF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6C7D8A"/>
        </w:tc>
        <w:tc>
          <w:tcPr>
            <w:tcW w:w="5103" w:type="dxa"/>
            <w:gridSpan w:val="2"/>
            <w:vAlign w:val="center"/>
          </w:tcPr>
          <w:p w14:paraId="445AE9E2">
            <w:pPr>
              <w:pStyle w:val="12"/>
            </w:pPr>
            <w:r>
              <w:t>25%</w:t>
            </w:r>
          </w:p>
        </w:tc>
        <w:tc>
          <w:tcPr>
            <w:tcW w:w="2835" w:type="dxa"/>
            <w:vAlign w:val="center"/>
          </w:tcPr>
          <w:p w14:paraId="58FB179D">
            <w:pPr>
              <w:pStyle w:val="12"/>
            </w:pPr>
            <w:r>
              <w:t>50%</w:t>
            </w:r>
          </w:p>
        </w:tc>
        <w:tc>
          <w:tcPr>
            <w:tcW w:w="2551" w:type="dxa"/>
            <w:vAlign w:val="center"/>
          </w:tcPr>
          <w:p w14:paraId="280893BD">
            <w:pPr>
              <w:pStyle w:val="12"/>
            </w:pPr>
            <w:r>
              <w:t>75%</w:t>
            </w:r>
          </w:p>
        </w:tc>
        <w:tc>
          <w:tcPr>
            <w:tcW w:w="3544" w:type="dxa"/>
            <w:gridSpan w:val="2"/>
            <w:vAlign w:val="center"/>
          </w:tcPr>
          <w:p w14:paraId="1D03581A">
            <w:pPr>
              <w:pStyle w:val="12"/>
            </w:pPr>
            <w:r>
              <w:t>100%</w:t>
            </w:r>
          </w:p>
        </w:tc>
      </w:tr>
      <w:tr w14:paraId="786EB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7366A2">
            <w:pPr>
              <w:pStyle w:val="11"/>
            </w:pPr>
            <w:r>
              <w:t>绩效目标</w:t>
            </w:r>
          </w:p>
        </w:tc>
        <w:tc>
          <w:tcPr>
            <w:tcW w:w="14033" w:type="dxa"/>
            <w:gridSpan w:val="6"/>
            <w:vAlign w:val="center"/>
          </w:tcPr>
          <w:p w14:paraId="23137C72">
            <w:pPr>
              <w:pStyle w:val="13"/>
            </w:pPr>
            <w:r>
              <w:t>1.按照资金支付进度按时支付，支付率达到100%</w:t>
            </w:r>
          </w:p>
          <w:p w14:paraId="05D96BF3">
            <w:pPr>
              <w:pStyle w:val="13"/>
            </w:pPr>
            <w:r>
              <w:t>2.按照年度工作计划完成微机室装备购置，完善和提高教学条件。</w:t>
            </w:r>
          </w:p>
        </w:tc>
      </w:tr>
    </w:tbl>
    <w:p w14:paraId="1A3440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F9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F8EF6">
            <w:pPr>
              <w:pStyle w:val="11"/>
            </w:pPr>
            <w:r>
              <w:t>一级指标</w:t>
            </w:r>
          </w:p>
        </w:tc>
        <w:tc>
          <w:tcPr>
            <w:tcW w:w="2268" w:type="dxa"/>
            <w:vAlign w:val="center"/>
          </w:tcPr>
          <w:p w14:paraId="05C57749">
            <w:pPr>
              <w:pStyle w:val="11"/>
            </w:pPr>
            <w:r>
              <w:t>二级指标</w:t>
            </w:r>
          </w:p>
        </w:tc>
        <w:tc>
          <w:tcPr>
            <w:tcW w:w="2835" w:type="dxa"/>
            <w:vAlign w:val="center"/>
          </w:tcPr>
          <w:p w14:paraId="13354539">
            <w:pPr>
              <w:pStyle w:val="11"/>
            </w:pPr>
            <w:r>
              <w:t>三级指标</w:t>
            </w:r>
          </w:p>
        </w:tc>
        <w:tc>
          <w:tcPr>
            <w:tcW w:w="5386" w:type="dxa"/>
            <w:vAlign w:val="center"/>
          </w:tcPr>
          <w:p w14:paraId="7FC6ADDF">
            <w:pPr>
              <w:pStyle w:val="11"/>
            </w:pPr>
            <w:r>
              <w:t>绩效指标描述</w:t>
            </w:r>
          </w:p>
        </w:tc>
        <w:tc>
          <w:tcPr>
            <w:tcW w:w="2268" w:type="dxa"/>
            <w:vAlign w:val="center"/>
          </w:tcPr>
          <w:p w14:paraId="75DEE1E5">
            <w:pPr>
              <w:pStyle w:val="11"/>
            </w:pPr>
            <w:r>
              <w:t>指标值</w:t>
            </w:r>
          </w:p>
        </w:tc>
        <w:tc>
          <w:tcPr>
            <w:tcW w:w="1276" w:type="dxa"/>
            <w:vAlign w:val="center"/>
          </w:tcPr>
          <w:p w14:paraId="0E818494">
            <w:pPr>
              <w:pStyle w:val="11"/>
            </w:pPr>
            <w:r>
              <w:t>指标值确定依据</w:t>
            </w:r>
          </w:p>
        </w:tc>
      </w:tr>
      <w:tr w14:paraId="45161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54B9E">
            <w:pPr>
              <w:pStyle w:val="12"/>
            </w:pPr>
            <w:r>
              <w:t>产出指标</w:t>
            </w:r>
          </w:p>
        </w:tc>
        <w:tc>
          <w:tcPr>
            <w:tcW w:w="2268" w:type="dxa"/>
            <w:vAlign w:val="center"/>
          </w:tcPr>
          <w:p w14:paraId="4ABAA00F">
            <w:pPr>
              <w:pStyle w:val="13"/>
            </w:pPr>
            <w:r>
              <w:t>数量指标</w:t>
            </w:r>
          </w:p>
        </w:tc>
        <w:tc>
          <w:tcPr>
            <w:tcW w:w="2835" w:type="dxa"/>
            <w:vAlign w:val="center"/>
          </w:tcPr>
          <w:p w14:paraId="1F93FCD1">
            <w:pPr>
              <w:pStyle w:val="13"/>
            </w:pPr>
            <w:r>
              <w:t>按照年度工作计划完成购置和装备</w:t>
            </w:r>
          </w:p>
        </w:tc>
        <w:tc>
          <w:tcPr>
            <w:tcW w:w="5386" w:type="dxa"/>
            <w:vAlign w:val="center"/>
          </w:tcPr>
          <w:p w14:paraId="1EC994B6">
            <w:pPr>
              <w:pStyle w:val="13"/>
            </w:pPr>
            <w:r>
              <w:t>数量达到微机室建设标准</w:t>
            </w:r>
          </w:p>
        </w:tc>
        <w:tc>
          <w:tcPr>
            <w:tcW w:w="2268" w:type="dxa"/>
            <w:vAlign w:val="center"/>
          </w:tcPr>
          <w:p w14:paraId="0EAE814F">
            <w:pPr>
              <w:pStyle w:val="13"/>
            </w:pPr>
            <w:r>
              <w:t>51台</w:t>
            </w:r>
          </w:p>
        </w:tc>
        <w:tc>
          <w:tcPr>
            <w:tcW w:w="1276" w:type="dxa"/>
            <w:vAlign w:val="center"/>
          </w:tcPr>
          <w:p w14:paraId="5E4C5B01">
            <w:pPr>
              <w:pStyle w:val="13"/>
            </w:pPr>
            <w:r>
              <w:t>根据年度工作计划</w:t>
            </w:r>
          </w:p>
        </w:tc>
      </w:tr>
      <w:tr w14:paraId="085F6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134ED"/>
        </w:tc>
        <w:tc>
          <w:tcPr>
            <w:tcW w:w="2268" w:type="dxa"/>
            <w:vAlign w:val="center"/>
          </w:tcPr>
          <w:p w14:paraId="48ADD0E7">
            <w:pPr>
              <w:pStyle w:val="13"/>
            </w:pPr>
            <w:r>
              <w:t>质量指标</w:t>
            </w:r>
          </w:p>
        </w:tc>
        <w:tc>
          <w:tcPr>
            <w:tcW w:w="2835" w:type="dxa"/>
            <w:vAlign w:val="center"/>
          </w:tcPr>
          <w:p w14:paraId="27651D91">
            <w:pPr>
              <w:pStyle w:val="13"/>
            </w:pPr>
            <w:r>
              <w:t>硬件设备采购合格率</w:t>
            </w:r>
          </w:p>
        </w:tc>
        <w:tc>
          <w:tcPr>
            <w:tcW w:w="5386" w:type="dxa"/>
            <w:vAlign w:val="center"/>
          </w:tcPr>
          <w:p w14:paraId="021C3CF7">
            <w:pPr>
              <w:pStyle w:val="13"/>
            </w:pPr>
            <w:r>
              <w:t>硬件设备采购合格产品比例</w:t>
            </w:r>
          </w:p>
        </w:tc>
        <w:tc>
          <w:tcPr>
            <w:tcW w:w="2268" w:type="dxa"/>
            <w:vAlign w:val="center"/>
          </w:tcPr>
          <w:p w14:paraId="64BA070D">
            <w:pPr>
              <w:pStyle w:val="13"/>
            </w:pPr>
            <w:r>
              <w:t>100%</w:t>
            </w:r>
          </w:p>
        </w:tc>
        <w:tc>
          <w:tcPr>
            <w:tcW w:w="1276" w:type="dxa"/>
            <w:vAlign w:val="center"/>
          </w:tcPr>
          <w:p w14:paraId="7431C924">
            <w:pPr>
              <w:pStyle w:val="13"/>
            </w:pPr>
            <w:r>
              <w:t>根据年度工作计划</w:t>
            </w:r>
          </w:p>
        </w:tc>
      </w:tr>
      <w:tr w14:paraId="5A27E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4F767"/>
        </w:tc>
        <w:tc>
          <w:tcPr>
            <w:tcW w:w="2268" w:type="dxa"/>
            <w:vAlign w:val="center"/>
          </w:tcPr>
          <w:p w14:paraId="70AF7E2A">
            <w:pPr>
              <w:pStyle w:val="13"/>
            </w:pPr>
            <w:r>
              <w:t>时效指标</w:t>
            </w:r>
          </w:p>
        </w:tc>
        <w:tc>
          <w:tcPr>
            <w:tcW w:w="2835" w:type="dxa"/>
            <w:vAlign w:val="center"/>
          </w:tcPr>
          <w:p w14:paraId="4034CFB9">
            <w:pPr>
              <w:pStyle w:val="13"/>
            </w:pPr>
            <w:r>
              <w:t>支付及时率</w:t>
            </w:r>
          </w:p>
        </w:tc>
        <w:tc>
          <w:tcPr>
            <w:tcW w:w="5386" w:type="dxa"/>
            <w:vAlign w:val="center"/>
          </w:tcPr>
          <w:p w14:paraId="0F7DC457">
            <w:pPr>
              <w:pStyle w:val="13"/>
            </w:pPr>
            <w:r>
              <w:t>按合同约定一次性支付</w:t>
            </w:r>
          </w:p>
        </w:tc>
        <w:tc>
          <w:tcPr>
            <w:tcW w:w="2268" w:type="dxa"/>
            <w:vAlign w:val="center"/>
          </w:tcPr>
          <w:p w14:paraId="5C07E162">
            <w:pPr>
              <w:pStyle w:val="13"/>
            </w:pPr>
            <w:r>
              <w:t>100%</w:t>
            </w:r>
          </w:p>
        </w:tc>
        <w:tc>
          <w:tcPr>
            <w:tcW w:w="1276" w:type="dxa"/>
            <w:vAlign w:val="center"/>
          </w:tcPr>
          <w:p w14:paraId="6B852A30">
            <w:pPr>
              <w:pStyle w:val="13"/>
            </w:pPr>
            <w:r>
              <w:t>根据年度工作计划</w:t>
            </w:r>
          </w:p>
        </w:tc>
      </w:tr>
      <w:tr w14:paraId="25413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B1778"/>
        </w:tc>
        <w:tc>
          <w:tcPr>
            <w:tcW w:w="2268" w:type="dxa"/>
            <w:vAlign w:val="center"/>
          </w:tcPr>
          <w:p w14:paraId="5F31E6F2">
            <w:pPr>
              <w:pStyle w:val="13"/>
            </w:pPr>
            <w:r>
              <w:t>成本指标</w:t>
            </w:r>
          </w:p>
        </w:tc>
        <w:tc>
          <w:tcPr>
            <w:tcW w:w="2835" w:type="dxa"/>
            <w:vAlign w:val="center"/>
          </w:tcPr>
          <w:p w14:paraId="6826AE88">
            <w:pPr>
              <w:pStyle w:val="13"/>
            </w:pPr>
            <w:r>
              <w:t>成本控制率</w:t>
            </w:r>
          </w:p>
        </w:tc>
        <w:tc>
          <w:tcPr>
            <w:tcW w:w="5386" w:type="dxa"/>
            <w:vAlign w:val="center"/>
          </w:tcPr>
          <w:p w14:paraId="6124A1EF">
            <w:pPr>
              <w:pStyle w:val="13"/>
            </w:pPr>
            <w:r>
              <w:t>完成项目的成本控制在预算水平</w:t>
            </w:r>
          </w:p>
        </w:tc>
        <w:tc>
          <w:tcPr>
            <w:tcW w:w="2268" w:type="dxa"/>
            <w:vAlign w:val="center"/>
          </w:tcPr>
          <w:p w14:paraId="5CDB89C0">
            <w:pPr>
              <w:pStyle w:val="13"/>
            </w:pPr>
            <w:r>
              <w:t>≤20.4万元</w:t>
            </w:r>
          </w:p>
        </w:tc>
        <w:tc>
          <w:tcPr>
            <w:tcW w:w="1276" w:type="dxa"/>
            <w:vAlign w:val="center"/>
          </w:tcPr>
          <w:p w14:paraId="59FDC2BB">
            <w:pPr>
              <w:pStyle w:val="13"/>
            </w:pPr>
            <w:r>
              <w:t>根据年度工作计划</w:t>
            </w:r>
          </w:p>
        </w:tc>
      </w:tr>
      <w:tr w14:paraId="0DC56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81C48">
            <w:pPr>
              <w:pStyle w:val="12"/>
            </w:pPr>
            <w:r>
              <w:t>效益指标</w:t>
            </w:r>
          </w:p>
        </w:tc>
        <w:tc>
          <w:tcPr>
            <w:tcW w:w="2268" w:type="dxa"/>
            <w:vAlign w:val="center"/>
          </w:tcPr>
          <w:p w14:paraId="25A1B40B">
            <w:pPr>
              <w:pStyle w:val="13"/>
            </w:pPr>
            <w:r>
              <w:t>生态效益指标</w:t>
            </w:r>
          </w:p>
        </w:tc>
        <w:tc>
          <w:tcPr>
            <w:tcW w:w="2835" w:type="dxa"/>
            <w:vAlign w:val="center"/>
          </w:tcPr>
          <w:p w14:paraId="13032CE8">
            <w:pPr>
              <w:pStyle w:val="13"/>
            </w:pPr>
            <w:r>
              <w:t>符合国家环保标准</w:t>
            </w:r>
          </w:p>
        </w:tc>
        <w:tc>
          <w:tcPr>
            <w:tcW w:w="5386" w:type="dxa"/>
            <w:vAlign w:val="center"/>
          </w:tcPr>
          <w:p w14:paraId="363D4C97">
            <w:pPr>
              <w:pStyle w:val="13"/>
            </w:pPr>
            <w:r>
              <w:t>达标率</w:t>
            </w:r>
          </w:p>
        </w:tc>
        <w:tc>
          <w:tcPr>
            <w:tcW w:w="2268" w:type="dxa"/>
            <w:vAlign w:val="center"/>
          </w:tcPr>
          <w:p w14:paraId="08D15B32">
            <w:pPr>
              <w:pStyle w:val="13"/>
            </w:pPr>
            <w:r>
              <w:t>100%</w:t>
            </w:r>
          </w:p>
        </w:tc>
        <w:tc>
          <w:tcPr>
            <w:tcW w:w="1276" w:type="dxa"/>
            <w:vAlign w:val="center"/>
          </w:tcPr>
          <w:p w14:paraId="06EA5C5F">
            <w:pPr>
              <w:pStyle w:val="13"/>
            </w:pPr>
            <w:r>
              <w:t>根据年度工作计划</w:t>
            </w:r>
          </w:p>
        </w:tc>
      </w:tr>
      <w:tr w14:paraId="46C00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96C62"/>
        </w:tc>
        <w:tc>
          <w:tcPr>
            <w:tcW w:w="2268" w:type="dxa"/>
            <w:vAlign w:val="center"/>
          </w:tcPr>
          <w:p w14:paraId="1BBD75F3">
            <w:pPr>
              <w:pStyle w:val="13"/>
            </w:pPr>
            <w:r>
              <w:t>可持续影响指标</w:t>
            </w:r>
          </w:p>
        </w:tc>
        <w:tc>
          <w:tcPr>
            <w:tcW w:w="2835" w:type="dxa"/>
            <w:vAlign w:val="center"/>
          </w:tcPr>
          <w:p w14:paraId="49F25F12">
            <w:pPr>
              <w:pStyle w:val="13"/>
            </w:pPr>
            <w:r>
              <w:t>对单位教学工作推动效果</w:t>
            </w:r>
          </w:p>
        </w:tc>
        <w:tc>
          <w:tcPr>
            <w:tcW w:w="5386" w:type="dxa"/>
            <w:vAlign w:val="center"/>
          </w:tcPr>
          <w:p w14:paraId="086B2BE6">
            <w:pPr>
              <w:pStyle w:val="13"/>
            </w:pPr>
            <w:r>
              <w:t>使用年限</w:t>
            </w:r>
          </w:p>
        </w:tc>
        <w:tc>
          <w:tcPr>
            <w:tcW w:w="2268" w:type="dxa"/>
            <w:vAlign w:val="center"/>
          </w:tcPr>
          <w:p w14:paraId="18DA75B1">
            <w:pPr>
              <w:pStyle w:val="13"/>
            </w:pPr>
            <w:r>
              <w:t>≥10年</w:t>
            </w:r>
          </w:p>
        </w:tc>
        <w:tc>
          <w:tcPr>
            <w:tcW w:w="1276" w:type="dxa"/>
            <w:vAlign w:val="center"/>
          </w:tcPr>
          <w:p w14:paraId="71A74572">
            <w:pPr>
              <w:pStyle w:val="13"/>
            </w:pPr>
            <w:r>
              <w:t>根据年度工作计划</w:t>
            </w:r>
          </w:p>
        </w:tc>
      </w:tr>
      <w:tr w14:paraId="44AFA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5AB4E2">
            <w:pPr>
              <w:pStyle w:val="12"/>
            </w:pPr>
            <w:r>
              <w:t>满意度指标</w:t>
            </w:r>
          </w:p>
        </w:tc>
        <w:tc>
          <w:tcPr>
            <w:tcW w:w="2268" w:type="dxa"/>
            <w:vAlign w:val="center"/>
          </w:tcPr>
          <w:p w14:paraId="3A71B6FC">
            <w:pPr>
              <w:pStyle w:val="13"/>
            </w:pPr>
            <w:r>
              <w:t>服务对象满意度指标</w:t>
            </w:r>
          </w:p>
        </w:tc>
        <w:tc>
          <w:tcPr>
            <w:tcW w:w="2835" w:type="dxa"/>
            <w:vAlign w:val="center"/>
          </w:tcPr>
          <w:p w14:paraId="4B3254E4">
            <w:pPr>
              <w:pStyle w:val="13"/>
            </w:pPr>
            <w:r>
              <w:t>师生满意度调查指标</w:t>
            </w:r>
          </w:p>
        </w:tc>
        <w:tc>
          <w:tcPr>
            <w:tcW w:w="5386" w:type="dxa"/>
            <w:vAlign w:val="center"/>
          </w:tcPr>
          <w:p w14:paraId="0E0C8E7B">
            <w:pPr>
              <w:pStyle w:val="13"/>
            </w:pPr>
            <w:r>
              <w:t>师生满意度调查指标</w:t>
            </w:r>
          </w:p>
        </w:tc>
        <w:tc>
          <w:tcPr>
            <w:tcW w:w="2268" w:type="dxa"/>
            <w:vAlign w:val="center"/>
          </w:tcPr>
          <w:p w14:paraId="44FCE68D">
            <w:pPr>
              <w:pStyle w:val="13"/>
            </w:pPr>
            <w:r>
              <w:t>≥98%</w:t>
            </w:r>
          </w:p>
        </w:tc>
        <w:tc>
          <w:tcPr>
            <w:tcW w:w="1276" w:type="dxa"/>
            <w:vAlign w:val="center"/>
          </w:tcPr>
          <w:p w14:paraId="5E103CF7">
            <w:pPr>
              <w:pStyle w:val="13"/>
            </w:pPr>
            <w:r>
              <w:t>调查问卷</w:t>
            </w:r>
          </w:p>
        </w:tc>
      </w:tr>
    </w:tbl>
    <w:p w14:paraId="593B07D6">
      <w:pPr>
        <w:sectPr>
          <w:pgSz w:w="16840" w:h="11900" w:orient="landscape"/>
          <w:pgMar w:top="1361" w:right="1020" w:bottom="1134" w:left="1020" w:header="720" w:footer="720" w:gutter="0"/>
          <w:cols w:space="720" w:num="1"/>
        </w:sectPr>
      </w:pPr>
    </w:p>
    <w:p w14:paraId="041A39AC">
      <w:pPr>
        <w:spacing w:before="0" w:after="0"/>
        <w:ind w:firstLine="560"/>
        <w:jc w:val="left"/>
        <w:outlineLvl w:val="9"/>
      </w:pPr>
      <w:r>
        <w:rPr>
          <w:rFonts w:ascii="方正仿宋_GBK" w:hAnsi="方正仿宋_GBK" w:eastAsia="方正仿宋_GBK" w:cs="方正仿宋_GBK"/>
          <w:b/>
          <w:color w:val="000000"/>
          <w:sz w:val="28"/>
        </w:rPr>
        <w:t>5、冀财教[2024]141号/省级/2025年义教补助经费/牛家桥中学公用经费绩效目标表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A3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37D3E">
            <w:pPr>
              <w:pStyle w:val="14"/>
            </w:pPr>
            <w:r>
              <w:t>单位：万元</w:t>
            </w:r>
          </w:p>
        </w:tc>
      </w:tr>
      <w:tr w14:paraId="06A3B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1AAA2">
            <w:pPr>
              <w:pStyle w:val="11"/>
            </w:pPr>
            <w:r>
              <w:t>项目编码</w:t>
            </w:r>
          </w:p>
        </w:tc>
        <w:tc>
          <w:tcPr>
            <w:tcW w:w="5103" w:type="dxa"/>
            <w:gridSpan w:val="2"/>
            <w:vAlign w:val="center"/>
          </w:tcPr>
          <w:p w14:paraId="7590C316">
            <w:pPr>
              <w:pStyle w:val="13"/>
            </w:pPr>
            <w:r>
              <w:t>13052525P000004101228</w:t>
            </w:r>
          </w:p>
        </w:tc>
        <w:tc>
          <w:tcPr>
            <w:tcW w:w="2835" w:type="dxa"/>
            <w:vAlign w:val="center"/>
          </w:tcPr>
          <w:p w14:paraId="6C4E4DA5">
            <w:pPr>
              <w:pStyle w:val="11"/>
            </w:pPr>
            <w:r>
              <w:t>项目名称</w:t>
            </w:r>
          </w:p>
        </w:tc>
        <w:tc>
          <w:tcPr>
            <w:tcW w:w="6095" w:type="dxa"/>
            <w:gridSpan w:val="3"/>
            <w:vAlign w:val="center"/>
          </w:tcPr>
          <w:p w14:paraId="60688768">
            <w:pPr>
              <w:pStyle w:val="13"/>
            </w:pPr>
            <w:r>
              <w:t>冀财教[2024]141号/省级/2025年义教补助经费/牛家桥中学公用经费</w:t>
            </w:r>
          </w:p>
        </w:tc>
      </w:tr>
      <w:tr w14:paraId="7500F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73A3C">
            <w:pPr>
              <w:pStyle w:val="11"/>
            </w:pPr>
            <w:r>
              <w:t>预算规模及资金用途</w:t>
            </w:r>
          </w:p>
        </w:tc>
        <w:tc>
          <w:tcPr>
            <w:tcW w:w="2268" w:type="dxa"/>
            <w:vAlign w:val="center"/>
          </w:tcPr>
          <w:p w14:paraId="70EBECEE">
            <w:pPr>
              <w:pStyle w:val="11"/>
            </w:pPr>
            <w:r>
              <w:t>预算数</w:t>
            </w:r>
          </w:p>
        </w:tc>
        <w:tc>
          <w:tcPr>
            <w:tcW w:w="2835" w:type="dxa"/>
            <w:vAlign w:val="center"/>
          </w:tcPr>
          <w:p w14:paraId="5D2A7BA5">
            <w:pPr>
              <w:pStyle w:val="13"/>
            </w:pPr>
            <w:r>
              <w:t>20.92</w:t>
            </w:r>
          </w:p>
        </w:tc>
        <w:tc>
          <w:tcPr>
            <w:tcW w:w="2835" w:type="dxa"/>
            <w:vAlign w:val="center"/>
          </w:tcPr>
          <w:p w14:paraId="23A0656A">
            <w:pPr>
              <w:pStyle w:val="11"/>
            </w:pPr>
            <w:r>
              <w:t>其中：财政    资金</w:t>
            </w:r>
          </w:p>
        </w:tc>
        <w:tc>
          <w:tcPr>
            <w:tcW w:w="2551" w:type="dxa"/>
            <w:vAlign w:val="center"/>
          </w:tcPr>
          <w:p w14:paraId="748C4C7E">
            <w:pPr>
              <w:pStyle w:val="13"/>
            </w:pPr>
            <w:r>
              <w:t>20.92</w:t>
            </w:r>
          </w:p>
        </w:tc>
        <w:tc>
          <w:tcPr>
            <w:tcW w:w="2268" w:type="dxa"/>
            <w:vAlign w:val="center"/>
          </w:tcPr>
          <w:p w14:paraId="2988A196">
            <w:pPr>
              <w:pStyle w:val="11"/>
            </w:pPr>
            <w:r>
              <w:t>其他资金</w:t>
            </w:r>
          </w:p>
        </w:tc>
        <w:tc>
          <w:tcPr>
            <w:tcW w:w="1276" w:type="dxa"/>
            <w:vAlign w:val="center"/>
          </w:tcPr>
          <w:p w14:paraId="3FA55FC3">
            <w:pPr>
              <w:pStyle w:val="13"/>
            </w:pPr>
            <w:r>
              <w:t xml:space="preserve"> </w:t>
            </w:r>
          </w:p>
        </w:tc>
      </w:tr>
      <w:tr w14:paraId="3578E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EBE1DC"/>
        </w:tc>
        <w:tc>
          <w:tcPr>
            <w:tcW w:w="14033" w:type="dxa"/>
            <w:gridSpan w:val="6"/>
            <w:vAlign w:val="center"/>
          </w:tcPr>
          <w:p w14:paraId="26D08460">
            <w:pPr>
              <w:pStyle w:val="13"/>
            </w:pPr>
            <w:r>
              <w:t>用于学校教学秩序和教学管理的正常运行，用于学校里日常开支。</w:t>
            </w:r>
          </w:p>
        </w:tc>
      </w:tr>
      <w:tr w14:paraId="53618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B414C">
            <w:pPr>
              <w:pStyle w:val="11"/>
            </w:pPr>
            <w:r>
              <w:t>资金支出计划（%）</w:t>
            </w:r>
          </w:p>
        </w:tc>
        <w:tc>
          <w:tcPr>
            <w:tcW w:w="5103" w:type="dxa"/>
            <w:gridSpan w:val="2"/>
            <w:vAlign w:val="center"/>
          </w:tcPr>
          <w:p w14:paraId="3F49FDE6">
            <w:pPr>
              <w:pStyle w:val="11"/>
            </w:pPr>
            <w:r>
              <w:t>3月底</w:t>
            </w:r>
          </w:p>
        </w:tc>
        <w:tc>
          <w:tcPr>
            <w:tcW w:w="2835" w:type="dxa"/>
            <w:vAlign w:val="center"/>
          </w:tcPr>
          <w:p w14:paraId="24B9AC07">
            <w:pPr>
              <w:pStyle w:val="11"/>
            </w:pPr>
            <w:r>
              <w:t>6月底</w:t>
            </w:r>
          </w:p>
        </w:tc>
        <w:tc>
          <w:tcPr>
            <w:tcW w:w="2551" w:type="dxa"/>
            <w:vAlign w:val="center"/>
          </w:tcPr>
          <w:p w14:paraId="58DF3A80">
            <w:pPr>
              <w:pStyle w:val="11"/>
            </w:pPr>
            <w:r>
              <w:t>10月底</w:t>
            </w:r>
          </w:p>
        </w:tc>
        <w:tc>
          <w:tcPr>
            <w:tcW w:w="3544" w:type="dxa"/>
            <w:gridSpan w:val="2"/>
            <w:vAlign w:val="center"/>
          </w:tcPr>
          <w:p w14:paraId="470B2389">
            <w:pPr>
              <w:pStyle w:val="11"/>
            </w:pPr>
            <w:r>
              <w:t>12月底</w:t>
            </w:r>
          </w:p>
        </w:tc>
      </w:tr>
      <w:tr w14:paraId="2BE42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FC35F0"/>
        </w:tc>
        <w:tc>
          <w:tcPr>
            <w:tcW w:w="5103" w:type="dxa"/>
            <w:gridSpan w:val="2"/>
            <w:vAlign w:val="center"/>
          </w:tcPr>
          <w:p w14:paraId="21847AEA">
            <w:pPr>
              <w:pStyle w:val="12"/>
            </w:pPr>
            <w:r>
              <w:t>25%</w:t>
            </w:r>
          </w:p>
        </w:tc>
        <w:tc>
          <w:tcPr>
            <w:tcW w:w="2835" w:type="dxa"/>
            <w:vAlign w:val="center"/>
          </w:tcPr>
          <w:p w14:paraId="0FD78FB5">
            <w:pPr>
              <w:pStyle w:val="12"/>
            </w:pPr>
            <w:r>
              <w:t>50%</w:t>
            </w:r>
          </w:p>
        </w:tc>
        <w:tc>
          <w:tcPr>
            <w:tcW w:w="2551" w:type="dxa"/>
            <w:vAlign w:val="center"/>
          </w:tcPr>
          <w:p w14:paraId="1D591ADB">
            <w:pPr>
              <w:pStyle w:val="12"/>
            </w:pPr>
            <w:r>
              <w:t>75%</w:t>
            </w:r>
          </w:p>
        </w:tc>
        <w:tc>
          <w:tcPr>
            <w:tcW w:w="3544" w:type="dxa"/>
            <w:gridSpan w:val="2"/>
            <w:vAlign w:val="center"/>
          </w:tcPr>
          <w:p w14:paraId="640EFD28">
            <w:pPr>
              <w:pStyle w:val="12"/>
            </w:pPr>
            <w:r>
              <w:t>100%</w:t>
            </w:r>
          </w:p>
        </w:tc>
      </w:tr>
      <w:tr w14:paraId="4003F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ECFA8">
            <w:pPr>
              <w:pStyle w:val="11"/>
            </w:pPr>
            <w:r>
              <w:t>绩效目标</w:t>
            </w:r>
          </w:p>
        </w:tc>
        <w:tc>
          <w:tcPr>
            <w:tcW w:w="14033" w:type="dxa"/>
            <w:gridSpan w:val="6"/>
            <w:vAlign w:val="center"/>
          </w:tcPr>
          <w:p w14:paraId="3E06D532">
            <w:pPr>
              <w:pStyle w:val="13"/>
            </w:pPr>
            <w:r>
              <w:t>1.有效完成学校教学安全秩序，保障学校教学任务有效开展，满足学校正常教学需要。</w:t>
            </w:r>
          </w:p>
          <w:p w14:paraId="06CA458C">
            <w:pPr>
              <w:pStyle w:val="13"/>
            </w:pPr>
            <w:r>
              <w:t>2.按规定拨付公用经费资金，预算执行率≥98%。</w:t>
            </w:r>
          </w:p>
        </w:tc>
      </w:tr>
    </w:tbl>
    <w:p w14:paraId="29EF4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CE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FEEAD">
            <w:pPr>
              <w:pStyle w:val="11"/>
            </w:pPr>
            <w:r>
              <w:t>一级指标</w:t>
            </w:r>
          </w:p>
        </w:tc>
        <w:tc>
          <w:tcPr>
            <w:tcW w:w="2268" w:type="dxa"/>
            <w:vAlign w:val="center"/>
          </w:tcPr>
          <w:p w14:paraId="4034BCAE">
            <w:pPr>
              <w:pStyle w:val="11"/>
            </w:pPr>
            <w:r>
              <w:t>二级指标</w:t>
            </w:r>
          </w:p>
        </w:tc>
        <w:tc>
          <w:tcPr>
            <w:tcW w:w="2835" w:type="dxa"/>
            <w:vAlign w:val="center"/>
          </w:tcPr>
          <w:p w14:paraId="5F1BB5E1">
            <w:pPr>
              <w:pStyle w:val="11"/>
            </w:pPr>
            <w:r>
              <w:t>三级指标</w:t>
            </w:r>
          </w:p>
        </w:tc>
        <w:tc>
          <w:tcPr>
            <w:tcW w:w="5386" w:type="dxa"/>
            <w:vAlign w:val="center"/>
          </w:tcPr>
          <w:p w14:paraId="10C3BCBA">
            <w:pPr>
              <w:pStyle w:val="11"/>
            </w:pPr>
            <w:r>
              <w:t>绩效指标描述</w:t>
            </w:r>
          </w:p>
        </w:tc>
        <w:tc>
          <w:tcPr>
            <w:tcW w:w="2268" w:type="dxa"/>
            <w:vAlign w:val="center"/>
          </w:tcPr>
          <w:p w14:paraId="2BCF184D">
            <w:pPr>
              <w:pStyle w:val="11"/>
            </w:pPr>
            <w:r>
              <w:t>指标值</w:t>
            </w:r>
          </w:p>
        </w:tc>
        <w:tc>
          <w:tcPr>
            <w:tcW w:w="1276" w:type="dxa"/>
            <w:vAlign w:val="center"/>
          </w:tcPr>
          <w:p w14:paraId="1C4CC30F">
            <w:pPr>
              <w:pStyle w:val="11"/>
            </w:pPr>
            <w:r>
              <w:t>指标值确定依据</w:t>
            </w:r>
          </w:p>
        </w:tc>
      </w:tr>
      <w:tr w14:paraId="718B2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94C46">
            <w:pPr>
              <w:pStyle w:val="12"/>
            </w:pPr>
            <w:r>
              <w:t>产出指标</w:t>
            </w:r>
          </w:p>
        </w:tc>
        <w:tc>
          <w:tcPr>
            <w:tcW w:w="2268" w:type="dxa"/>
            <w:vAlign w:val="center"/>
          </w:tcPr>
          <w:p w14:paraId="0193161B">
            <w:pPr>
              <w:pStyle w:val="13"/>
            </w:pPr>
            <w:r>
              <w:t>数量指标</w:t>
            </w:r>
          </w:p>
        </w:tc>
        <w:tc>
          <w:tcPr>
            <w:tcW w:w="2835" w:type="dxa"/>
            <w:vAlign w:val="center"/>
          </w:tcPr>
          <w:p w14:paraId="2C2C76A2">
            <w:pPr>
              <w:pStyle w:val="13"/>
            </w:pPr>
            <w:r>
              <w:t>就读学生数</w:t>
            </w:r>
          </w:p>
        </w:tc>
        <w:tc>
          <w:tcPr>
            <w:tcW w:w="5386" w:type="dxa"/>
            <w:vAlign w:val="center"/>
          </w:tcPr>
          <w:p w14:paraId="126397F4">
            <w:pPr>
              <w:pStyle w:val="13"/>
            </w:pPr>
            <w:r>
              <w:t>辐射区域内适龄学生人数</w:t>
            </w:r>
          </w:p>
        </w:tc>
        <w:tc>
          <w:tcPr>
            <w:tcW w:w="2268" w:type="dxa"/>
            <w:vAlign w:val="center"/>
          </w:tcPr>
          <w:p w14:paraId="106AA835">
            <w:pPr>
              <w:pStyle w:val="13"/>
            </w:pPr>
            <w:r>
              <w:t>440人</w:t>
            </w:r>
          </w:p>
        </w:tc>
        <w:tc>
          <w:tcPr>
            <w:tcW w:w="1276" w:type="dxa"/>
            <w:vAlign w:val="center"/>
          </w:tcPr>
          <w:p w14:paraId="3A41EB6D">
            <w:pPr>
              <w:pStyle w:val="13"/>
            </w:pPr>
            <w:r>
              <w:t>城乡义务教育公用经费管理办法</w:t>
            </w:r>
            <w:r>
              <w:tab/>
            </w:r>
          </w:p>
          <w:p w14:paraId="4EA04409">
            <w:pPr>
              <w:pStyle w:val="13"/>
            </w:pPr>
          </w:p>
        </w:tc>
      </w:tr>
      <w:tr w14:paraId="12E63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4F179"/>
        </w:tc>
        <w:tc>
          <w:tcPr>
            <w:tcW w:w="2268" w:type="dxa"/>
            <w:vAlign w:val="center"/>
          </w:tcPr>
          <w:p w14:paraId="70614654">
            <w:pPr>
              <w:pStyle w:val="13"/>
            </w:pPr>
            <w:r>
              <w:t>质量指标</w:t>
            </w:r>
          </w:p>
        </w:tc>
        <w:tc>
          <w:tcPr>
            <w:tcW w:w="2835" w:type="dxa"/>
            <w:vAlign w:val="center"/>
          </w:tcPr>
          <w:p w14:paraId="4123B452">
            <w:pPr>
              <w:pStyle w:val="13"/>
            </w:pPr>
            <w:r>
              <w:t>预算执行率</w:t>
            </w:r>
          </w:p>
        </w:tc>
        <w:tc>
          <w:tcPr>
            <w:tcW w:w="5386" w:type="dxa"/>
            <w:vAlign w:val="center"/>
          </w:tcPr>
          <w:p w14:paraId="11FF4B75">
            <w:pPr>
              <w:pStyle w:val="13"/>
            </w:pPr>
            <w:r>
              <w:t>预算执行率</w:t>
            </w:r>
          </w:p>
        </w:tc>
        <w:tc>
          <w:tcPr>
            <w:tcW w:w="2268" w:type="dxa"/>
            <w:vAlign w:val="center"/>
          </w:tcPr>
          <w:p w14:paraId="0E9E1074">
            <w:pPr>
              <w:pStyle w:val="13"/>
            </w:pPr>
            <w:r>
              <w:t>≥98%</w:t>
            </w:r>
          </w:p>
        </w:tc>
        <w:tc>
          <w:tcPr>
            <w:tcW w:w="1276" w:type="dxa"/>
            <w:vAlign w:val="center"/>
          </w:tcPr>
          <w:p w14:paraId="7B9BD4FA">
            <w:pPr>
              <w:pStyle w:val="13"/>
            </w:pPr>
            <w:r>
              <w:t>城乡义务教育公用经费管理办法</w:t>
            </w:r>
            <w:r>
              <w:tab/>
            </w:r>
          </w:p>
          <w:p w14:paraId="2E833A7E">
            <w:pPr>
              <w:pStyle w:val="13"/>
            </w:pPr>
          </w:p>
        </w:tc>
      </w:tr>
      <w:tr w14:paraId="0EB16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891E8"/>
        </w:tc>
        <w:tc>
          <w:tcPr>
            <w:tcW w:w="2268" w:type="dxa"/>
            <w:vAlign w:val="center"/>
          </w:tcPr>
          <w:p w14:paraId="3601E6D4">
            <w:pPr>
              <w:pStyle w:val="13"/>
            </w:pPr>
            <w:r>
              <w:t>时效指标</w:t>
            </w:r>
          </w:p>
        </w:tc>
        <w:tc>
          <w:tcPr>
            <w:tcW w:w="2835" w:type="dxa"/>
            <w:vAlign w:val="center"/>
          </w:tcPr>
          <w:p w14:paraId="63FD5812">
            <w:pPr>
              <w:pStyle w:val="13"/>
            </w:pPr>
            <w:r>
              <w:t>义教经费支付完成率</w:t>
            </w:r>
          </w:p>
        </w:tc>
        <w:tc>
          <w:tcPr>
            <w:tcW w:w="5386" w:type="dxa"/>
            <w:vAlign w:val="center"/>
          </w:tcPr>
          <w:p w14:paraId="201DFF88">
            <w:pPr>
              <w:pStyle w:val="13"/>
            </w:pPr>
            <w:r>
              <w:t>按照序时进度完成资金支付</w:t>
            </w:r>
          </w:p>
        </w:tc>
        <w:tc>
          <w:tcPr>
            <w:tcW w:w="2268" w:type="dxa"/>
            <w:vAlign w:val="center"/>
          </w:tcPr>
          <w:p w14:paraId="2674C405">
            <w:pPr>
              <w:pStyle w:val="13"/>
            </w:pPr>
            <w:r>
              <w:t>20.92万元</w:t>
            </w:r>
          </w:p>
        </w:tc>
        <w:tc>
          <w:tcPr>
            <w:tcW w:w="1276" w:type="dxa"/>
            <w:vAlign w:val="center"/>
          </w:tcPr>
          <w:p w14:paraId="266D053C">
            <w:pPr>
              <w:pStyle w:val="13"/>
            </w:pPr>
            <w:r>
              <w:t>城乡义务教育公用经费管理办法</w:t>
            </w:r>
            <w:r>
              <w:tab/>
            </w:r>
          </w:p>
          <w:p w14:paraId="1B24AA8D">
            <w:pPr>
              <w:pStyle w:val="13"/>
            </w:pPr>
          </w:p>
        </w:tc>
      </w:tr>
      <w:tr w14:paraId="6803D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02474"/>
        </w:tc>
        <w:tc>
          <w:tcPr>
            <w:tcW w:w="2268" w:type="dxa"/>
            <w:vAlign w:val="center"/>
          </w:tcPr>
          <w:p w14:paraId="33CBC24C">
            <w:pPr>
              <w:pStyle w:val="13"/>
            </w:pPr>
            <w:r>
              <w:t>成本指标</w:t>
            </w:r>
          </w:p>
        </w:tc>
        <w:tc>
          <w:tcPr>
            <w:tcW w:w="2835" w:type="dxa"/>
            <w:vAlign w:val="center"/>
          </w:tcPr>
          <w:p w14:paraId="6F446C96">
            <w:pPr>
              <w:pStyle w:val="13"/>
            </w:pPr>
            <w:r>
              <w:t>生均拨款标准</w:t>
            </w:r>
          </w:p>
        </w:tc>
        <w:tc>
          <w:tcPr>
            <w:tcW w:w="5386" w:type="dxa"/>
            <w:vAlign w:val="center"/>
          </w:tcPr>
          <w:p w14:paraId="6EA43CF4">
            <w:pPr>
              <w:pStyle w:val="13"/>
            </w:pPr>
            <w:r>
              <w:t>初中：基本标准1060元（含取暖120元）、寄宿生300元/生/学年；特教、随班就读学生：标准6000元/生/学年</w:t>
            </w:r>
          </w:p>
        </w:tc>
        <w:tc>
          <w:tcPr>
            <w:tcW w:w="2268" w:type="dxa"/>
            <w:vAlign w:val="center"/>
          </w:tcPr>
          <w:p w14:paraId="5060FC45">
            <w:pPr>
              <w:pStyle w:val="13"/>
            </w:pPr>
            <w:r>
              <w:t>1360元</w:t>
            </w:r>
          </w:p>
        </w:tc>
        <w:tc>
          <w:tcPr>
            <w:tcW w:w="1276" w:type="dxa"/>
            <w:vAlign w:val="center"/>
          </w:tcPr>
          <w:p w14:paraId="3AE42466">
            <w:pPr>
              <w:pStyle w:val="13"/>
            </w:pPr>
            <w:r>
              <w:t>城乡义务教育公用经费管理办法</w:t>
            </w:r>
          </w:p>
        </w:tc>
      </w:tr>
      <w:tr w14:paraId="6C3DE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78C19">
            <w:pPr>
              <w:pStyle w:val="12"/>
            </w:pPr>
            <w:r>
              <w:t>效益指标</w:t>
            </w:r>
          </w:p>
        </w:tc>
        <w:tc>
          <w:tcPr>
            <w:tcW w:w="2268" w:type="dxa"/>
            <w:vAlign w:val="center"/>
          </w:tcPr>
          <w:p w14:paraId="1D3B7D84">
            <w:pPr>
              <w:pStyle w:val="13"/>
            </w:pPr>
            <w:r>
              <w:t>社会效益指标</w:t>
            </w:r>
          </w:p>
        </w:tc>
        <w:tc>
          <w:tcPr>
            <w:tcW w:w="2835" w:type="dxa"/>
            <w:vAlign w:val="center"/>
          </w:tcPr>
          <w:p w14:paraId="04CFB57F">
            <w:pPr>
              <w:pStyle w:val="13"/>
            </w:pPr>
            <w:r>
              <w:t>学生就读稳定率</w:t>
            </w:r>
          </w:p>
        </w:tc>
        <w:tc>
          <w:tcPr>
            <w:tcW w:w="5386" w:type="dxa"/>
            <w:vAlign w:val="center"/>
          </w:tcPr>
          <w:p w14:paraId="347F0234">
            <w:pPr>
              <w:pStyle w:val="13"/>
            </w:pPr>
            <w:r>
              <w:t>维护社会稳定，保障学生受教育巩固率</w:t>
            </w:r>
          </w:p>
        </w:tc>
        <w:tc>
          <w:tcPr>
            <w:tcW w:w="2268" w:type="dxa"/>
            <w:vAlign w:val="center"/>
          </w:tcPr>
          <w:p w14:paraId="365A3E2C">
            <w:pPr>
              <w:pStyle w:val="13"/>
            </w:pPr>
            <w:r>
              <w:t>≥99.5%</w:t>
            </w:r>
          </w:p>
        </w:tc>
        <w:tc>
          <w:tcPr>
            <w:tcW w:w="1276" w:type="dxa"/>
            <w:vAlign w:val="center"/>
          </w:tcPr>
          <w:p w14:paraId="34B6D98E">
            <w:pPr>
              <w:pStyle w:val="13"/>
            </w:pPr>
            <w:r>
              <w:t>城乡义务教育公用经费管理办法</w:t>
            </w:r>
          </w:p>
        </w:tc>
      </w:tr>
      <w:tr w14:paraId="18A1A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45764"/>
        </w:tc>
        <w:tc>
          <w:tcPr>
            <w:tcW w:w="2268" w:type="dxa"/>
            <w:vAlign w:val="center"/>
          </w:tcPr>
          <w:p w14:paraId="5809DBC8">
            <w:pPr>
              <w:pStyle w:val="13"/>
            </w:pPr>
            <w:r>
              <w:t>可持续影响指标</w:t>
            </w:r>
          </w:p>
        </w:tc>
        <w:tc>
          <w:tcPr>
            <w:tcW w:w="2835" w:type="dxa"/>
            <w:vAlign w:val="center"/>
          </w:tcPr>
          <w:p w14:paraId="3C143695">
            <w:pPr>
              <w:pStyle w:val="13"/>
            </w:pPr>
            <w:r>
              <w:t>效果持续时间</w:t>
            </w:r>
          </w:p>
        </w:tc>
        <w:tc>
          <w:tcPr>
            <w:tcW w:w="5386" w:type="dxa"/>
            <w:vAlign w:val="center"/>
          </w:tcPr>
          <w:p w14:paraId="7E462909">
            <w:pPr>
              <w:pStyle w:val="13"/>
            </w:pPr>
            <w:r>
              <w:t>效果持续时间</w:t>
            </w:r>
          </w:p>
        </w:tc>
        <w:tc>
          <w:tcPr>
            <w:tcW w:w="2268" w:type="dxa"/>
            <w:vAlign w:val="center"/>
          </w:tcPr>
          <w:p w14:paraId="382FCBE8">
            <w:pPr>
              <w:pStyle w:val="13"/>
            </w:pPr>
            <w:r>
              <w:t>1年</w:t>
            </w:r>
          </w:p>
        </w:tc>
        <w:tc>
          <w:tcPr>
            <w:tcW w:w="1276" w:type="dxa"/>
            <w:vAlign w:val="center"/>
          </w:tcPr>
          <w:p w14:paraId="409A5275">
            <w:pPr>
              <w:pStyle w:val="13"/>
            </w:pPr>
            <w:r>
              <w:t>城乡义务教育公用经费管理办法</w:t>
            </w:r>
            <w:r>
              <w:tab/>
            </w:r>
          </w:p>
          <w:p w14:paraId="2B8BFFD5">
            <w:pPr>
              <w:pStyle w:val="13"/>
            </w:pPr>
          </w:p>
        </w:tc>
      </w:tr>
      <w:tr w14:paraId="1751B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CD8A40">
            <w:pPr>
              <w:pStyle w:val="12"/>
            </w:pPr>
            <w:r>
              <w:t>满意度指标</w:t>
            </w:r>
          </w:p>
        </w:tc>
        <w:tc>
          <w:tcPr>
            <w:tcW w:w="2268" w:type="dxa"/>
            <w:vAlign w:val="center"/>
          </w:tcPr>
          <w:p w14:paraId="2D6306D2">
            <w:pPr>
              <w:pStyle w:val="13"/>
            </w:pPr>
            <w:r>
              <w:t>服务对象满意度指标</w:t>
            </w:r>
          </w:p>
        </w:tc>
        <w:tc>
          <w:tcPr>
            <w:tcW w:w="2835" w:type="dxa"/>
            <w:vAlign w:val="center"/>
          </w:tcPr>
          <w:p w14:paraId="79F83A46">
            <w:pPr>
              <w:pStyle w:val="13"/>
            </w:pPr>
            <w:r>
              <w:t>家长社会学生满意度</w:t>
            </w:r>
          </w:p>
        </w:tc>
        <w:tc>
          <w:tcPr>
            <w:tcW w:w="5386" w:type="dxa"/>
            <w:vAlign w:val="center"/>
          </w:tcPr>
          <w:p w14:paraId="4EF3FF8D">
            <w:pPr>
              <w:pStyle w:val="13"/>
            </w:pPr>
            <w:r>
              <w:t>家长社会学生满意度</w:t>
            </w:r>
          </w:p>
        </w:tc>
        <w:tc>
          <w:tcPr>
            <w:tcW w:w="2268" w:type="dxa"/>
            <w:vAlign w:val="center"/>
          </w:tcPr>
          <w:p w14:paraId="59F65F1A">
            <w:pPr>
              <w:pStyle w:val="13"/>
            </w:pPr>
            <w:r>
              <w:t>≥98%</w:t>
            </w:r>
          </w:p>
        </w:tc>
        <w:tc>
          <w:tcPr>
            <w:tcW w:w="1276" w:type="dxa"/>
            <w:vAlign w:val="center"/>
          </w:tcPr>
          <w:p w14:paraId="0B44F964">
            <w:pPr>
              <w:pStyle w:val="13"/>
            </w:pPr>
            <w:r>
              <w:t>调查问卷</w:t>
            </w:r>
          </w:p>
        </w:tc>
      </w:tr>
    </w:tbl>
    <w:p w14:paraId="64BA3CA2">
      <w:pPr>
        <w:sectPr>
          <w:pgSz w:w="16840" w:h="11900" w:orient="landscape"/>
          <w:pgMar w:top="1361" w:right="1020" w:bottom="1134" w:left="1020" w:header="720" w:footer="720" w:gutter="0"/>
          <w:cols w:space="720" w:num="1"/>
        </w:sectPr>
      </w:pPr>
    </w:p>
    <w:p w14:paraId="4D427899">
      <w:pPr>
        <w:spacing w:before="0" w:after="0"/>
        <w:ind w:firstLine="560"/>
        <w:jc w:val="left"/>
        <w:outlineLvl w:val="9"/>
      </w:pPr>
      <w:r>
        <w:rPr>
          <w:rFonts w:ascii="方正仿宋_GBK" w:hAnsi="方正仿宋_GBK" w:eastAsia="方正仿宋_GBK" w:cs="方正仿宋_GBK"/>
          <w:b/>
          <w:color w:val="000000"/>
          <w:sz w:val="28"/>
        </w:rPr>
        <w:t>6、上年盘活/冀财教[2023]59号/中央/义教经费/校舍安全保障/牛桥中学塑胶操场改造绩效目标表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53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56479">
            <w:pPr>
              <w:pStyle w:val="14"/>
            </w:pPr>
            <w:r>
              <w:t>单位：万元</w:t>
            </w:r>
          </w:p>
        </w:tc>
      </w:tr>
      <w:tr w14:paraId="07E3D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9BE1C">
            <w:pPr>
              <w:pStyle w:val="11"/>
            </w:pPr>
            <w:r>
              <w:t>项目编码</w:t>
            </w:r>
          </w:p>
        </w:tc>
        <w:tc>
          <w:tcPr>
            <w:tcW w:w="5103" w:type="dxa"/>
            <w:gridSpan w:val="2"/>
            <w:vAlign w:val="center"/>
          </w:tcPr>
          <w:p w14:paraId="7C987A93">
            <w:pPr>
              <w:pStyle w:val="13"/>
            </w:pPr>
            <w:r>
              <w:t>13052525P008756101964</w:t>
            </w:r>
          </w:p>
        </w:tc>
        <w:tc>
          <w:tcPr>
            <w:tcW w:w="2835" w:type="dxa"/>
            <w:vAlign w:val="center"/>
          </w:tcPr>
          <w:p w14:paraId="0324658B">
            <w:pPr>
              <w:pStyle w:val="11"/>
            </w:pPr>
            <w:r>
              <w:t>项目名称</w:t>
            </w:r>
          </w:p>
        </w:tc>
        <w:tc>
          <w:tcPr>
            <w:tcW w:w="6095" w:type="dxa"/>
            <w:gridSpan w:val="3"/>
            <w:vAlign w:val="center"/>
          </w:tcPr>
          <w:p w14:paraId="430DE336">
            <w:pPr>
              <w:pStyle w:val="13"/>
            </w:pPr>
            <w:r>
              <w:t>上年盘活/冀财教[2023]59号/中央/义教经费/校舍安全保障/牛桥中学塑胶操场改造</w:t>
            </w:r>
          </w:p>
        </w:tc>
      </w:tr>
      <w:tr w14:paraId="21169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B6303">
            <w:pPr>
              <w:pStyle w:val="11"/>
            </w:pPr>
            <w:r>
              <w:t>预算规模及资金用途</w:t>
            </w:r>
          </w:p>
        </w:tc>
        <w:tc>
          <w:tcPr>
            <w:tcW w:w="2268" w:type="dxa"/>
            <w:vAlign w:val="center"/>
          </w:tcPr>
          <w:p w14:paraId="2DEFF209">
            <w:pPr>
              <w:pStyle w:val="11"/>
            </w:pPr>
            <w:r>
              <w:t>预算数</w:t>
            </w:r>
          </w:p>
        </w:tc>
        <w:tc>
          <w:tcPr>
            <w:tcW w:w="2835" w:type="dxa"/>
            <w:vAlign w:val="center"/>
          </w:tcPr>
          <w:p w14:paraId="1A1523B4">
            <w:pPr>
              <w:pStyle w:val="13"/>
            </w:pPr>
            <w:r>
              <w:t>1.85</w:t>
            </w:r>
          </w:p>
        </w:tc>
        <w:tc>
          <w:tcPr>
            <w:tcW w:w="2835" w:type="dxa"/>
            <w:vAlign w:val="center"/>
          </w:tcPr>
          <w:p w14:paraId="0097A4B3">
            <w:pPr>
              <w:pStyle w:val="11"/>
            </w:pPr>
            <w:r>
              <w:t>其中：财政    资金</w:t>
            </w:r>
          </w:p>
        </w:tc>
        <w:tc>
          <w:tcPr>
            <w:tcW w:w="2551" w:type="dxa"/>
            <w:vAlign w:val="center"/>
          </w:tcPr>
          <w:p w14:paraId="5AA6880A">
            <w:pPr>
              <w:pStyle w:val="13"/>
            </w:pPr>
            <w:r>
              <w:t>1.85</w:t>
            </w:r>
          </w:p>
        </w:tc>
        <w:tc>
          <w:tcPr>
            <w:tcW w:w="2268" w:type="dxa"/>
            <w:vAlign w:val="center"/>
          </w:tcPr>
          <w:p w14:paraId="7FA05F20">
            <w:pPr>
              <w:pStyle w:val="11"/>
            </w:pPr>
            <w:r>
              <w:t>其他资金</w:t>
            </w:r>
          </w:p>
        </w:tc>
        <w:tc>
          <w:tcPr>
            <w:tcW w:w="1276" w:type="dxa"/>
            <w:vAlign w:val="center"/>
          </w:tcPr>
          <w:p w14:paraId="6B700A5C">
            <w:pPr>
              <w:pStyle w:val="13"/>
            </w:pPr>
            <w:r>
              <w:t xml:space="preserve"> </w:t>
            </w:r>
          </w:p>
        </w:tc>
      </w:tr>
      <w:tr w14:paraId="67258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73B49D"/>
        </w:tc>
        <w:tc>
          <w:tcPr>
            <w:tcW w:w="14033" w:type="dxa"/>
            <w:gridSpan w:val="6"/>
            <w:vAlign w:val="center"/>
          </w:tcPr>
          <w:p w14:paraId="0592F94D">
            <w:pPr>
              <w:pStyle w:val="13"/>
            </w:pPr>
            <w:r>
              <w:t>用于支付塑胶操场改造质保金。</w:t>
            </w:r>
          </w:p>
        </w:tc>
      </w:tr>
      <w:tr w14:paraId="64B46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0A0CC">
            <w:pPr>
              <w:pStyle w:val="11"/>
            </w:pPr>
            <w:r>
              <w:t>资金支出计划（%）</w:t>
            </w:r>
          </w:p>
        </w:tc>
        <w:tc>
          <w:tcPr>
            <w:tcW w:w="5103" w:type="dxa"/>
            <w:gridSpan w:val="2"/>
            <w:vAlign w:val="center"/>
          </w:tcPr>
          <w:p w14:paraId="17657DCD">
            <w:pPr>
              <w:pStyle w:val="11"/>
            </w:pPr>
            <w:r>
              <w:t>3月底</w:t>
            </w:r>
          </w:p>
        </w:tc>
        <w:tc>
          <w:tcPr>
            <w:tcW w:w="2835" w:type="dxa"/>
            <w:vAlign w:val="center"/>
          </w:tcPr>
          <w:p w14:paraId="7AF23158">
            <w:pPr>
              <w:pStyle w:val="11"/>
            </w:pPr>
            <w:r>
              <w:t>6月底</w:t>
            </w:r>
          </w:p>
        </w:tc>
        <w:tc>
          <w:tcPr>
            <w:tcW w:w="2551" w:type="dxa"/>
            <w:vAlign w:val="center"/>
          </w:tcPr>
          <w:p w14:paraId="281BBB46">
            <w:pPr>
              <w:pStyle w:val="11"/>
            </w:pPr>
            <w:r>
              <w:t>10月底</w:t>
            </w:r>
          </w:p>
        </w:tc>
        <w:tc>
          <w:tcPr>
            <w:tcW w:w="3544" w:type="dxa"/>
            <w:gridSpan w:val="2"/>
            <w:vAlign w:val="center"/>
          </w:tcPr>
          <w:p w14:paraId="6E910449">
            <w:pPr>
              <w:pStyle w:val="11"/>
            </w:pPr>
            <w:r>
              <w:t>12月底</w:t>
            </w:r>
          </w:p>
        </w:tc>
      </w:tr>
      <w:tr w14:paraId="79BC3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EF0B1A"/>
        </w:tc>
        <w:tc>
          <w:tcPr>
            <w:tcW w:w="5103" w:type="dxa"/>
            <w:gridSpan w:val="2"/>
            <w:vAlign w:val="center"/>
          </w:tcPr>
          <w:p w14:paraId="5D7867C0">
            <w:pPr>
              <w:pStyle w:val="12"/>
            </w:pPr>
            <w:r>
              <w:t>100%</w:t>
            </w:r>
          </w:p>
        </w:tc>
        <w:tc>
          <w:tcPr>
            <w:tcW w:w="2835" w:type="dxa"/>
            <w:vAlign w:val="center"/>
          </w:tcPr>
          <w:p w14:paraId="4E22522E">
            <w:pPr>
              <w:pStyle w:val="12"/>
            </w:pPr>
            <w:r>
              <w:t>100%</w:t>
            </w:r>
          </w:p>
        </w:tc>
        <w:tc>
          <w:tcPr>
            <w:tcW w:w="2551" w:type="dxa"/>
            <w:vAlign w:val="center"/>
          </w:tcPr>
          <w:p w14:paraId="526AC860">
            <w:pPr>
              <w:pStyle w:val="12"/>
            </w:pPr>
            <w:r>
              <w:t>100%</w:t>
            </w:r>
          </w:p>
        </w:tc>
        <w:tc>
          <w:tcPr>
            <w:tcW w:w="3544" w:type="dxa"/>
            <w:gridSpan w:val="2"/>
            <w:vAlign w:val="center"/>
          </w:tcPr>
          <w:p w14:paraId="71D5A644">
            <w:pPr>
              <w:pStyle w:val="12"/>
            </w:pPr>
            <w:r>
              <w:t>100%</w:t>
            </w:r>
          </w:p>
        </w:tc>
      </w:tr>
      <w:tr w14:paraId="61592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904D71">
            <w:pPr>
              <w:pStyle w:val="11"/>
            </w:pPr>
            <w:r>
              <w:t>绩效目标</w:t>
            </w:r>
          </w:p>
        </w:tc>
        <w:tc>
          <w:tcPr>
            <w:tcW w:w="14033" w:type="dxa"/>
            <w:gridSpan w:val="6"/>
            <w:vAlign w:val="center"/>
          </w:tcPr>
          <w:p w14:paraId="2F2C63A4">
            <w:pPr>
              <w:pStyle w:val="13"/>
            </w:pPr>
            <w:r>
              <w:t>1.按照合同要求，保证质保金支出率100%。</w:t>
            </w:r>
          </w:p>
          <w:p w14:paraId="3BB900FD">
            <w:pPr>
              <w:pStyle w:val="13"/>
            </w:pPr>
            <w:r>
              <w:t>2.保障项目建设标准，符合质量要求和标准，达标率100%</w:t>
            </w:r>
          </w:p>
        </w:tc>
      </w:tr>
    </w:tbl>
    <w:p w14:paraId="73698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A7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B450B">
            <w:pPr>
              <w:pStyle w:val="11"/>
            </w:pPr>
            <w:r>
              <w:t>一级指标</w:t>
            </w:r>
          </w:p>
        </w:tc>
        <w:tc>
          <w:tcPr>
            <w:tcW w:w="2268" w:type="dxa"/>
            <w:vAlign w:val="center"/>
          </w:tcPr>
          <w:p w14:paraId="2DFE2902">
            <w:pPr>
              <w:pStyle w:val="11"/>
            </w:pPr>
            <w:r>
              <w:t>二级指标</w:t>
            </w:r>
          </w:p>
        </w:tc>
        <w:tc>
          <w:tcPr>
            <w:tcW w:w="2835" w:type="dxa"/>
            <w:vAlign w:val="center"/>
          </w:tcPr>
          <w:p w14:paraId="042F0F54">
            <w:pPr>
              <w:pStyle w:val="11"/>
            </w:pPr>
            <w:r>
              <w:t>三级指标</w:t>
            </w:r>
          </w:p>
        </w:tc>
        <w:tc>
          <w:tcPr>
            <w:tcW w:w="5386" w:type="dxa"/>
            <w:vAlign w:val="center"/>
          </w:tcPr>
          <w:p w14:paraId="2E1497C7">
            <w:pPr>
              <w:pStyle w:val="11"/>
            </w:pPr>
            <w:r>
              <w:t>绩效指标描述</w:t>
            </w:r>
          </w:p>
        </w:tc>
        <w:tc>
          <w:tcPr>
            <w:tcW w:w="2268" w:type="dxa"/>
            <w:vAlign w:val="center"/>
          </w:tcPr>
          <w:p w14:paraId="3FBC7173">
            <w:pPr>
              <w:pStyle w:val="11"/>
            </w:pPr>
            <w:r>
              <w:t>指标值</w:t>
            </w:r>
          </w:p>
        </w:tc>
        <w:tc>
          <w:tcPr>
            <w:tcW w:w="1276" w:type="dxa"/>
            <w:vAlign w:val="center"/>
          </w:tcPr>
          <w:p w14:paraId="2F8055C7">
            <w:pPr>
              <w:pStyle w:val="11"/>
            </w:pPr>
            <w:r>
              <w:t>指标值确定依据</w:t>
            </w:r>
          </w:p>
        </w:tc>
      </w:tr>
      <w:tr w14:paraId="4A767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AF5CA">
            <w:pPr>
              <w:pStyle w:val="12"/>
            </w:pPr>
            <w:r>
              <w:t>产出指标</w:t>
            </w:r>
          </w:p>
        </w:tc>
        <w:tc>
          <w:tcPr>
            <w:tcW w:w="2268" w:type="dxa"/>
            <w:vAlign w:val="center"/>
          </w:tcPr>
          <w:p w14:paraId="64C066EB">
            <w:pPr>
              <w:pStyle w:val="13"/>
            </w:pPr>
            <w:r>
              <w:t>数量指标</w:t>
            </w:r>
          </w:p>
        </w:tc>
        <w:tc>
          <w:tcPr>
            <w:tcW w:w="2835" w:type="dxa"/>
            <w:vAlign w:val="center"/>
          </w:tcPr>
          <w:p w14:paraId="15C32977">
            <w:pPr>
              <w:pStyle w:val="13"/>
            </w:pPr>
            <w:r>
              <w:t>建设面积</w:t>
            </w:r>
          </w:p>
        </w:tc>
        <w:tc>
          <w:tcPr>
            <w:tcW w:w="5386" w:type="dxa"/>
            <w:vAlign w:val="center"/>
          </w:tcPr>
          <w:p w14:paraId="40811E79">
            <w:pPr>
              <w:pStyle w:val="13"/>
            </w:pPr>
            <w:r>
              <w:t>完成合同约定面积</w:t>
            </w:r>
          </w:p>
        </w:tc>
        <w:tc>
          <w:tcPr>
            <w:tcW w:w="2268" w:type="dxa"/>
            <w:vAlign w:val="center"/>
          </w:tcPr>
          <w:p w14:paraId="5FE8E7A2">
            <w:pPr>
              <w:pStyle w:val="13"/>
            </w:pPr>
            <w:r>
              <w:t>4200平方米</w:t>
            </w:r>
          </w:p>
        </w:tc>
        <w:tc>
          <w:tcPr>
            <w:tcW w:w="1276" w:type="dxa"/>
            <w:vAlign w:val="center"/>
          </w:tcPr>
          <w:p w14:paraId="03384194">
            <w:pPr>
              <w:pStyle w:val="13"/>
            </w:pPr>
            <w:r>
              <w:t>按照学校项目建设标准</w:t>
            </w:r>
          </w:p>
        </w:tc>
      </w:tr>
      <w:tr w14:paraId="2BA0E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D50B1"/>
        </w:tc>
        <w:tc>
          <w:tcPr>
            <w:tcW w:w="2268" w:type="dxa"/>
            <w:vAlign w:val="center"/>
          </w:tcPr>
          <w:p w14:paraId="046B6F28">
            <w:pPr>
              <w:pStyle w:val="13"/>
            </w:pPr>
            <w:r>
              <w:t>质量指标</w:t>
            </w:r>
          </w:p>
        </w:tc>
        <w:tc>
          <w:tcPr>
            <w:tcW w:w="2835" w:type="dxa"/>
            <w:vAlign w:val="center"/>
          </w:tcPr>
          <w:p w14:paraId="62538039">
            <w:pPr>
              <w:pStyle w:val="13"/>
            </w:pPr>
            <w:r>
              <w:t>符合国家建设标准</w:t>
            </w:r>
          </w:p>
        </w:tc>
        <w:tc>
          <w:tcPr>
            <w:tcW w:w="5386" w:type="dxa"/>
            <w:vAlign w:val="center"/>
          </w:tcPr>
          <w:p w14:paraId="536766F2">
            <w:pPr>
              <w:pStyle w:val="13"/>
            </w:pPr>
            <w:r>
              <w:t>达标率</w:t>
            </w:r>
          </w:p>
        </w:tc>
        <w:tc>
          <w:tcPr>
            <w:tcW w:w="2268" w:type="dxa"/>
            <w:vAlign w:val="center"/>
          </w:tcPr>
          <w:p w14:paraId="0B82EEEC">
            <w:pPr>
              <w:pStyle w:val="13"/>
            </w:pPr>
            <w:r>
              <w:t>100%</w:t>
            </w:r>
          </w:p>
        </w:tc>
        <w:tc>
          <w:tcPr>
            <w:tcW w:w="1276" w:type="dxa"/>
            <w:vAlign w:val="center"/>
          </w:tcPr>
          <w:p w14:paraId="5661D5ED">
            <w:pPr>
              <w:pStyle w:val="13"/>
            </w:pPr>
            <w:r>
              <w:t>按照学校项目建设标准</w:t>
            </w:r>
          </w:p>
        </w:tc>
      </w:tr>
      <w:tr w14:paraId="1EDB2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FF93D"/>
        </w:tc>
        <w:tc>
          <w:tcPr>
            <w:tcW w:w="2268" w:type="dxa"/>
            <w:vAlign w:val="center"/>
          </w:tcPr>
          <w:p w14:paraId="24714EAA">
            <w:pPr>
              <w:pStyle w:val="13"/>
            </w:pPr>
            <w:r>
              <w:t>时效指标</w:t>
            </w:r>
          </w:p>
        </w:tc>
        <w:tc>
          <w:tcPr>
            <w:tcW w:w="2835" w:type="dxa"/>
            <w:vAlign w:val="center"/>
          </w:tcPr>
          <w:p w14:paraId="63C64E6C">
            <w:pPr>
              <w:pStyle w:val="13"/>
            </w:pPr>
            <w:r>
              <w:t>质保时间</w:t>
            </w:r>
          </w:p>
        </w:tc>
        <w:tc>
          <w:tcPr>
            <w:tcW w:w="5386" w:type="dxa"/>
            <w:vAlign w:val="center"/>
          </w:tcPr>
          <w:p w14:paraId="24E879F4">
            <w:pPr>
              <w:pStyle w:val="13"/>
            </w:pPr>
            <w:r>
              <w:t>合同约定时间</w:t>
            </w:r>
          </w:p>
        </w:tc>
        <w:tc>
          <w:tcPr>
            <w:tcW w:w="2268" w:type="dxa"/>
            <w:vAlign w:val="center"/>
          </w:tcPr>
          <w:p w14:paraId="7540975D">
            <w:pPr>
              <w:pStyle w:val="13"/>
            </w:pPr>
            <w:r>
              <w:t>1年</w:t>
            </w:r>
          </w:p>
        </w:tc>
        <w:tc>
          <w:tcPr>
            <w:tcW w:w="1276" w:type="dxa"/>
            <w:vAlign w:val="center"/>
          </w:tcPr>
          <w:p w14:paraId="7AE7C16F">
            <w:pPr>
              <w:pStyle w:val="13"/>
            </w:pPr>
            <w:r>
              <w:t>按照学校项目建设标准</w:t>
            </w:r>
          </w:p>
        </w:tc>
      </w:tr>
      <w:tr w14:paraId="23899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B96CE"/>
        </w:tc>
        <w:tc>
          <w:tcPr>
            <w:tcW w:w="2268" w:type="dxa"/>
            <w:vAlign w:val="center"/>
          </w:tcPr>
          <w:p w14:paraId="371D911C">
            <w:pPr>
              <w:pStyle w:val="13"/>
            </w:pPr>
            <w:r>
              <w:t>成本指标</w:t>
            </w:r>
          </w:p>
        </w:tc>
        <w:tc>
          <w:tcPr>
            <w:tcW w:w="2835" w:type="dxa"/>
            <w:vAlign w:val="center"/>
          </w:tcPr>
          <w:p w14:paraId="7CA9639A">
            <w:pPr>
              <w:pStyle w:val="13"/>
            </w:pPr>
            <w:r>
              <w:t>质保金金额</w:t>
            </w:r>
          </w:p>
        </w:tc>
        <w:tc>
          <w:tcPr>
            <w:tcW w:w="5386" w:type="dxa"/>
            <w:vAlign w:val="center"/>
          </w:tcPr>
          <w:p w14:paraId="0987BDC5">
            <w:pPr>
              <w:pStyle w:val="13"/>
            </w:pPr>
            <w:r>
              <w:t>合同约定比率</w:t>
            </w:r>
          </w:p>
        </w:tc>
        <w:tc>
          <w:tcPr>
            <w:tcW w:w="2268" w:type="dxa"/>
            <w:vAlign w:val="center"/>
          </w:tcPr>
          <w:p w14:paraId="3F124230">
            <w:pPr>
              <w:pStyle w:val="13"/>
            </w:pPr>
            <w:r>
              <w:t>3%</w:t>
            </w:r>
          </w:p>
        </w:tc>
        <w:tc>
          <w:tcPr>
            <w:tcW w:w="1276" w:type="dxa"/>
            <w:vAlign w:val="center"/>
          </w:tcPr>
          <w:p w14:paraId="524BAC1F">
            <w:pPr>
              <w:pStyle w:val="13"/>
            </w:pPr>
            <w:r>
              <w:t>按照学校项目建设标准</w:t>
            </w:r>
          </w:p>
        </w:tc>
      </w:tr>
      <w:tr w14:paraId="58EC8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6EC8B">
            <w:pPr>
              <w:pStyle w:val="12"/>
            </w:pPr>
            <w:r>
              <w:t>效益指标</w:t>
            </w:r>
          </w:p>
        </w:tc>
        <w:tc>
          <w:tcPr>
            <w:tcW w:w="2268" w:type="dxa"/>
            <w:vAlign w:val="center"/>
          </w:tcPr>
          <w:p w14:paraId="71A7C6DE">
            <w:pPr>
              <w:pStyle w:val="13"/>
            </w:pPr>
            <w:r>
              <w:t>生态效益指标</w:t>
            </w:r>
          </w:p>
        </w:tc>
        <w:tc>
          <w:tcPr>
            <w:tcW w:w="2835" w:type="dxa"/>
            <w:vAlign w:val="center"/>
          </w:tcPr>
          <w:p w14:paraId="6F93187D">
            <w:pPr>
              <w:pStyle w:val="13"/>
            </w:pPr>
            <w:r>
              <w:t>符合国家环保标准</w:t>
            </w:r>
          </w:p>
        </w:tc>
        <w:tc>
          <w:tcPr>
            <w:tcW w:w="5386" w:type="dxa"/>
            <w:vAlign w:val="center"/>
          </w:tcPr>
          <w:p w14:paraId="65178226">
            <w:pPr>
              <w:pStyle w:val="13"/>
            </w:pPr>
            <w:r>
              <w:t>达标率</w:t>
            </w:r>
          </w:p>
        </w:tc>
        <w:tc>
          <w:tcPr>
            <w:tcW w:w="2268" w:type="dxa"/>
            <w:vAlign w:val="center"/>
          </w:tcPr>
          <w:p w14:paraId="3EEB04C4">
            <w:pPr>
              <w:pStyle w:val="13"/>
            </w:pPr>
            <w:r>
              <w:t>100%</w:t>
            </w:r>
          </w:p>
        </w:tc>
        <w:tc>
          <w:tcPr>
            <w:tcW w:w="1276" w:type="dxa"/>
            <w:vAlign w:val="center"/>
          </w:tcPr>
          <w:p w14:paraId="2776E959">
            <w:pPr>
              <w:pStyle w:val="13"/>
            </w:pPr>
            <w:r>
              <w:t>按照学校项目建设标准</w:t>
            </w:r>
          </w:p>
        </w:tc>
      </w:tr>
      <w:tr w14:paraId="65304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9757D"/>
        </w:tc>
        <w:tc>
          <w:tcPr>
            <w:tcW w:w="2268" w:type="dxa"/>
            <w:vAlign w:val="center"/>
          </w:tcPr>
          <w:p w14:paraId="56F29B94">
            <w:pPr>
              <w:pStyle w:val="13"/>
            </w:pPr>
            <w:r>
              <w:t>可持续影响指标</w:t>
            </w:r>
          </w:p>
        </w:tc>
        <w:tc>
          <w:tcPr>
            <w:tcW w:w="2835" w:type="dxa"/>
            <w:vAlign w:val="center"/>
          </w:tcPr>
          <w:p w14:paraId="20B70AC1">
            <w:pPr>
              <w:pStyle w:val="13"/>
            </w:pPr>
            <w:r>
              <w:t>项目实施效果</w:t>
            </w:r>
          </w:p>
        </w:tc>
        <w:tc>
          <w:tcPr>
            <w:tcW w:w="5386" w:type="dxa"/>
            <w:vAlign w:val="center"/>
          </w:tcPr>
          <w:p w14:paraId="1C25CA2F">
            <w:pPr>
              <w:pStyle w:val="13"/>
            </w:pPr>
            <w:r>
              <w:t>使用时间</w:t>
            </w:r>
          </w:p>
        </w:tc>
        <w:tc>
          <w:tcPr>
            <w:tcW w:w="2268" w:type="dxa"/>
            <w:vAlign w:val="center"/>
          </w:tcPr>
          <w:p w14:paraId="7EB02FA2">
            <w:pPr>
              <w:pStyle w:val="13"/>
            </w:pPr>
            <w:r>
              <w:t>≥6年</w:t>
            </w:r>
          </w:p>
        </w:tc>
        <w:tc>
          <w:tcPr>
            <w:tcW w:w="1276" w:type="dxa"/>
            <w:vAlign w:val="center"/>
          </w:tcPr>
          <w:p w14:paraId="3F8A1142">
            <w:pPr>
              <w:pStyle w:val="13"/>
            </w:pPr>
            <w:r>
              <w:t>按照学校项目建设标准</w:t>
            </w:r>
          </w:p>
        </w:tc>
      </w:tr>
      <w:tr w14:paraId="1B7DC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78D7A7">
            <w:pPr>
              <w:pStyle w:val="12"/>
            </w:pPr>
            <w:r>
              <w:t>满意度指标</w:t>
            </w:r>
          </w:p>
        </w:tc>
        <w:tc>
          <w:tcPr>
            <w:tcW w:w="2268" w:type="dxa"/>
            <w:vAlign w:val="center"/>
          </w:tcPr>
          <w:p w14:paraId="7C176A61">
            <w:pPr>
              <w:pStyle w:val="13"/>
            </w:pPr>
            <w:r>
              <w:t>服务对象满意度指标</w:t>
            </w:r>
          </w:p>
        </w:tc>
        <w:tc>
          <w:tcPr>
            <w:tcW w:w="2835" w:type="dxa"/>
            <w:vAlign w:val="center"/>
          </w:tcPr>
          <w:p w14:paraId="6193F5AD">
            <w:pPr>
              <w:pStyle w:val="13"/>
            </w:pPr>
            <w:r>
              <w:t>师生满意程度</w:t>
            </w:r>
          </w:p>
        </w:tc>
        <w:tc>
          <w:tcPr>
            <w:tcW w:w="5386" w:type="dxa"/>
            <w:vAlign w:val="center"/>
          </w:tcPr>
          <w:p w14:paraId="2CB3F04D">
            <w:pPr>
              <w:pStyle w:val="13"/>
            </w:pPr>
            <w:r>
              <w:t>师生满意度</w:t>
            </w:r>
          </w:p>
        </w:tc>
        <w:tc>
          <w:tcPr>
            <w:tcW w:w="2268" w:type="dxa"/>
            <w:vAlign w:val="center"/>
          </w:tcPr>
          <w:p w14:paraId="5251F2B5">
            <w:pPr>
              <w:pStyle w:val="13"/>
            </w:pPr>
            <w:r>
              <w:t>≥98%</w:t>
            </w:r>
          </w:p>
        </w:tc>
        <w:tc>
          <w:tcPr>
            <w:tcW w:w="1276" w:type="dxa"/>
            <w:vAlign w:val="center"/>
          </w:tcPr>
          <w:p w14:paraId="022C62B3">
            <w:pPr>
              <w:pStyle w:val="13"/>
            </w:pPr>
            <w:r>
              <w:t>调查问卷</w:t>
            </w:r>
          </w:p>
        </w:tc>
      </w:tr>
    </w:tbl>
    <w:p w14:paraId="0CF3149F">
      <w:pPr>
        <w:sectPr>
          <w:pgSz w:w="16840" w:h="11900" w:orient="landscape"/>
          <w:pgMar w:top="1361" w:right="1020" w:bottom="1134" w:left="1020" w:header="720" w:footer="720" w:gutter="0"/>
          <w:cols w:space="720" w:num="1"/>
        </w:sectPr>
      </w:pPr>
    </w:p>
    <w:p w14:paraId="53DC7D48">
      <w:pPr>
        <w:spacing w:before="10" w:after="10" w:line="240" w:lineRule="auto"/>
        <w:ind w:firstLine="640"/>
        <w:jc w:val="left"/>
        <w:outlineLvl w:val="5"/>
      </w:pPr>
      <w:r>
        <w:rPr>
          <w:rFonts w:ascii="黑体" w:hAnsi="黑体" w:eastAsia="黑体" w:cs="黑体"/>
          <w:color w:val="000000"/>
          <w:sz w:val="32"/>
        </w:rPr>
        <w:t>六、政府采购预算情况</w:t>
      </w:r>
    </w:p>
    <w:p w14:paraId="4FE99D1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14F9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6B1C0B2">
            <w:pPr>
              <w:pStyle w:val="8"/>
            </w:pPr>
            <w:r>
              <w:t>360008隆尧县牛家桥中学</w:t>
            </w:r>
          </w:p>
        </w:tc>
        <w:tc>
          <w:tcPr>
            <w:tcW w:w="7712" w:type="dxa"/>
            <w:gridSpan w:val="8"/>
            <w:tcBorders>
              <w:top w:val="single" w:color="FFFFFF" w:sz="6" w:space="0"/>
              <w:left w:val="single" w:color="FFFFFF" w:sz="6" w:space="0"/>
              <w:right w:val="single" w:color="FFFFFF" w:sz="6" w:space="0"/>
            </w:tcBorders>
            <w:vAlign w:val="center"/>
          </w:tcPr>
          <w:p w14:paraId="6D632C1E">
            <w:pPr>
              <w:pStyle w:val="22"/>
            </w:pPr>
            <w:r>
              <w:t>单位：万元</w:t>
            </w:r>
          </w:p>
        </w:tc>
      </w:tr>
      <w:tr w14:paraId="193A3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65B404D">
            <w:pPr>
              <w:pStyle w:val="11"/>
            </w:pPr>
            <w:r>
              <w:t>政府采购项目来源</w:t>
            </w:r>
          </w:p>
        </w:tc>
        <w:tc>
          <w:tcPr>
            <w:tcW w:w="1134" w:type="dxa"/>
            <w:vMerge w:val="restart"/>
            <w:vAlign w:val="center"/>
          </w:tcPr>
          <w:p w14:paraId="663F4916">
            <w:pPr>
              <w:pStyle w:val="11"/>
            </w:pPr>
            <w:r>
              <w:t>采购物品名称</w:t>
            </w:r>
          </w:p>
        </w:tc>
        <w:tc>
          <w:tcPr>
            <w:tcW w:w="1134" w:type="dxa"/>
            <w:vMerge w:val="restart"/>
            <w:vAlign w:val="center"/>
          </w:tcPr>
          <w:p w14:paraId="0261729C">
            <w:pPr>
              <w:pStyle w:val="11"/>
            </w:pPr>
            <w:r>
              <w:t>政府采购目录序号</w:t>
            </w:r>
          </w:p>
        </w:tc>
        <w:tc>
          <w:tcPr>
            <w:tcW w:w="709" w:type="dxa"/>
            <w:vMerge w:val="restart"/>
            <w:vAlign w:val="center"/>
          </w:tcPr>
          <w:p w14:paraId="4D21A8F3">
            <w:pPr>
              <w:pStyle w:val="11"/>
            </w:pPr>
            <w:r>
              <w:t>计量  单位</w:t>
            </w:r>
          </w:p>
        </w:tc>
        <w:tc>
          <w:tcPr>
            <w:tcW w:w="850" w:type="dxa"/>
            <w:vMerge w:val="restart"/>
            <w:vAlign w:val="center"/>
          </w:tcPr>
          <w:p w14:paraId="67148482">
            <w:pPr>
              <w:pStyle w:val="11"/>
            </w:pPr>
            <w:r>
              <w:t>数量</w:t>
            </w:r>
          </w:p>
        </w:tc>
        <w:tc>
          <w:tcPr>
            <w:tcW w:w="850" w:type="dxa"/>
            <w:vMerge w:val="restart"/>
            <w:vAlign w:val="center"/>
          </w:tcPr>
          <w:p w14:paraId="444BD2F9">
            <w:pPr>
              <w:pStyle w:val="11"/>
            </w:pPr>
            <w:r>
              <w:t>单价</w:t>
            </w:r>
          </w:p>
        </w:tc>
        <w:tc>
          <w:tcPr>
            <w:tcW w:w="6748" w:type="dxa"/>
            <w:gridSpan w:val="7"/>
            <w:vAlign w:val="center"/>
          </w:tcPr>
          <w:p w14:paraId="21529575">
            <w:pPr>
              <w:pStyle w:val="11"/>
            </w:pPr>
            <w:r>
              <w:t>政府采购金额（当年部门预算安排资金）</w:t>
            </w:r>
          </w:p>
        </w:tc>
        <w:tc>
          <w:tcPr>
            <w:tcW w:w="964" w:type="dxa"/>
            <w:vMerge w:val="restart"/>
            <w:vAlign w:val="center"/>
          </w:tcPr>
          <w:p w14:paraId="2D891783">
            <w:pPr>
              <w:pStyle w:val="11"/>
            </w:pPr>
            <w:r>
              <w:t>2025年  预留中  小微企  业份额</w:t>
            </w:r>
          </w:p>
        </w:tc>
      </w:tr>
      <w:tr w14:paraId="06DBD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DCD8E0A">
            <w:pPr>
              <w:pStyle w:val="11"/>
            </w:pPr>
            <w:r>
              <w:t>项目名称</w:t>
            </w:r>
          </w:p>
        </w:tc>
        <w:tc>
          <w:tcPr>
            <w:tcW w:w="964" w:type="dxa"/>
            <w:vAlign w:val="center"/>
          </w:tcPr>
          <w:p w14:paraId="18A62D21">
            <w:pPr>
              <w:pStyle w:val="11"/>
            </w:pPr>
            <w:r>
              <w:t>预算    资金</w:t>
            </w:r>
          </w:p>
        </w:tc>
        <w:tc>
          <w:tcPr>
            <w:tcW w:w="1134" w:type="dxa"/>
            <w:vMerge w:val="continue"/>
          </w:tcPr>
          <w:p w14:paraId="7739D808"/>
        </w:tc>
        <w:tc>
          <w:tcPr>
            <w:tcW w:w="1134" w:type="dxa"/>
            <w:vMerge w:val="continue"/>
          </w:tcPr>
          <w:p w14:paraId="1D52A801"/>
        </w:tc>
        <w:tc>
          <w:tcPr>
            <w:tcW w:w="709" w:type="dxa"/>
            <w:vMerge w:val="continue"/>
          </w:tcPr>
          <w:p w14:paraId="11F24458"/>
        </w:tc>
        <w:tc>
          <w:tcPr>
            <w:tcW w:w="850" w:type="dxa"/>
            <w:vMerge w:val="continue"/>
          </w:tcPr>
          <w:p w14:paraId="1CD9380F"/>
        </w:tc>
        <w:tc>
          <w:tcPr>
            <w:tcW w:w="850" w:type="dxa"/>
            <w:vMerge w:val="continue"/>
          </w:tcPr>
          <w:p w14:paraId="4D23DEB8"/>
        </w:tc>
        <w:tc>
          <w:tcPr>
            <w:tcW w:w="964" w:type="dxa"/>
            <w:vAlign w:val="center"/>
          </w:tcPr>
          <w:p w14:paraId="1FC5D6D5">
            <w:pPr>
              <w:pStyle w:val="11"/>
            </w:pPr>
            <w:r>
              <w:t>合计</w:t>
            </w:r>
          </w:p>
        </w:tc>
        <w:tc>
          <w:tcPr>
            <w:tcW w:w="964" w:type="dxa"/>
            <w:vAlign w:val="center"/>
          </w:tcPr>
          <w:p w14:paraId="37C1CFC1">
            <w:pPr>
              <w:pStyle w:val="11"/>
            </w:pPr>
            <w:r>
              <w:t>一般公共预算拨款</w:t>
            </w:r>
          </w:p>
        </w:tc>
        <w:tc>
          <w:tcPr>
            <w:tcW w:w="964" w:type="dxa"/>
            <w:vAlign w:val="center"/>
          </w:tcPr>
          <w:p w14:paraId="4754F784">
            <w:pPr>
              <w:pStyle w:val="11"/>
            </w:pPr>
            <w:r>
              <w:t>基金预算拨款</w:t>
            </w:r>
          </w:p>
        </w:tc>
        <w:tc>
          <w:tcPr>
            <w:tcW w:w="964" w:type="dxa"/>
            <w:vAlign w:val="center"/>
          </w:tcPr>
          <w:p w14:paraId="0BDE3821">
            <w:pPr>
              <w:pStyle w:val="11"/>
            </w:pPr>
            <w:r>
              <w:t>国有资本经营预算拨款</w:t>
            </w:r>
          </w:p>
        </w:tc>
        <w:tc>
          <w:tcPr>
            <w:tcW w:w="964" w:type="dxa"/>
            <w:vAlign w:val="center"/>
          </w:tcPr>
          <w:p w14:paraId="1BD9768E">
            <w:pPr>
              <w:pStyle w:val="11"/>
            </w:pPr>
            <w:r>
              <w:t>财政专户核拨</w:t>
            </w:r>
          </w:p>
        </w:tc>
        <w:tc>
          <w:tcPr>
            <w:tcW w:w="964" w:type="dxa"/>
            <w:vAlign w:val="center"/>
          </w:tcPr>
          <w:p w14:paraId="307D2913">
            <w:pPr>
              <w:pStyle w:val="11"/>
            </w:pPr>
            <w:r>
              <w:t>单位    资金</w:t>
            </w:r>
          </w:p>
        </w:tc>
        <w:tc>
          <w:tcPr>
            <w:tcW w:w="964" w:type="dxa"/>
            <w:vAlign w:val="center"/>
          </w:tcPr>
          <w:p w14:paraId="328B96E3">
            <w:pPr>
              <w:pStyle w:val="11"/>
            </w:pPr>
            <w:r>
              <w:t>上年结转结余</w:t>
            </w:r>
          </w:p>
        </w:tc>
        <w:tc>
          <w:tcPr>
            <w:tcW w:w="964" w:type="dxa"/>
            <w:vMerge w:val="continue"/>
          </w:tcPr>
          <w:p w14:paraId="12513F36"/>
        </w:tc>
      </w:tr>
      <w:tr w14:paraId="428E3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BCD9F8">
            <w:pPr>
              <w:pStyle w:val="15"/>
            </w:pPr>
            <w:r>
              <w:t>合  计</w:t>
            </w:r>
          </w:p>
        </w:tc>
        <w:tc>
          <w:tcPr>
            <w:tcW w:w="964" w:type="dxa"/>
            <w:vAlign w:val="center"/>
          </w:tcPr>
          <w:p w14:paraId="5AB970C5">
            <w:pPr>
              <w:pStyle w:val="16"/>
            </w:pPr>
          </w:p>
        </w:tc>
        <w:tc>
          <w:tcPr>
            <w:tcW w:w="1134" w:type="dxa"/>
            <w:vAlign w:val="center"/>
          </w:tcPr>
          <w:p w14:paraId="60CBEF20">
            <w:pPr>
              <w:pStyle w:val="17"/>
            </w:pPr>
          </w:p>
        </w:tc>
        <w:tc>
          <w:tcPr>
            <w:tcW w:w="1134" w:type="dxa"/>
            <w:vAlign w:val="center"/>
          </w:tcPr>
          <w:p w14:paraId="0141C916">
            <w:pPr>
              <w:pStyle w:val="17"/>
            </w:pPr>
          </w:p>
        </w:tc>
        <w:tc>
          <w:tcPr>
            <w:tcW w:w="709" w:type="dxa"/>
            <w:vAlign w:val="center"/>
          </w:tcPr>
          <w:p w14:paraId="36999B6C">
            <w:pPr>
              <w:pStyle w:val="15"/>
            </w:pPr>
          </w:p>
        </w:tc>
        <w:tc>
          <w:tcPr>
            <w:tcW w:w="850" w:type="dxa"/>
            <w:vAlign w:val="center"/>
          </w:tcPr>
          <w:p w14:paraId="291FEE76">
            <w:pPr>
              <w:pStyle w:val="16"/>
            </w:pPr>
          </w:p>
        </w:tc>
        <w:tc>
          <w:tcPr>
            <w:tcW w:w="850" w:type="dxa"/>
            <w:vAlign w:val="center"/>
          </w:tcPr>
          <w:p w14:paraId="64C16F8E">
            <w:pPr>
              <w:pStyle w:val="16"/>
            </w:pPr>
          </w:p>
        </w:tc>
        <w:tc>
          <w:tcPr>
            <w:tcW w:w="964" w:type="dxa"/>
            <w:vAlign w:val="center"/>
          </w:tcPr>
          <w:p w14:paraId="65C57F6E">
            <w:pPr>
              <w:pStyle w:val="16"/>
            </w:pPr>
            <w:r>
              <w:t>20.40</w:t>
            </w:r>
          </w:p>
        </w:tc>
        <w:tc>
          <w:tcPr>
            <w:tcW w:w="964" w:type="dxa"/>
            <w:vAlign w:val="center"/>
          </w:tcPr>
          <w:p w14:paraId="0B6A63D2">
            <w:pPr>
              <w:pStyle w:val="16"/>
            </w:pPr>
            <w:r>
              <w:t>20.40</w:t>
            </w:r>
          </w:p>
        </w:tc>
        <w:tc>
          <w:tcPr>
            <w:tcW w:w="964" w:type="dxa"/>
            <w:vAlign w:val="center"/>
          </w:tcPr>
          <w:p w14:paraId="663550AB">
            <w:pPr>
              <w:pStyle w:val="16"/>
            </w:pPr>
          </w:p>
        </w:tc>
        <w:tc>
          <w:tcPr>
            <w:tcW w:w="964" w:type="dxa"/>
            <w:vAlign w:val="center"/>
          </w:tcPr>
          <w:p w14:paraId="040CC16E">
            <w:pPr>
              <w:pStyle w:val="16"/>
            </w:pPr>
          </w:p>
        </w:tc>
        <w:tc>
          <w:tcPr>
            <w:tcW w:w="964" w:type="dxa"/>
            <w:vAlign w:val="center"/>
          </w:tcPr>
          <w:p w14:paraId="61D9097F">
            <w:pPr>
              <w:pStyle w:val="16"/>
            </w:pPr>
          </w:p>
        </w:tc>
        <w:tc>
          <w:tcPr>
            <w:tcW w:w="964" w:type="dxa"/>
            <w:vAlign w:val="center"/>
          </w:tcPr>
          <w:p w14:paraId="5BEE71A0">
            <w:pPr>
              <w:pStyle w:val="16"/>
            </w:pPr>
          </w:p>
        </w:tc>
        <w:tc>
          <w:tcPr>
            <w:tcW w:w="964" w:type="dxa"/>
            <w:vAlign w:val="center"/>
          </w:tcPr>
          <w:p w14:paraId="1DEF8697">
            <w:pPr>
              <w:pStyle w:val="16"/>
            </w:pPr>
          </w:p>
        </w:tc>
        <w:tc>
          <w:tcPr>
            <w:tcW w:w="964" w:type="dxa"/>
            <w:vAlign w:val="center"/>
          </w:tcPr>
          <w:p w14:paraId="20FB100C">
            <w:pPr>
              <w:pStyle w:val="16"/>
            </w:pPr>
            <w:r>
              <w:t>22.40</w:t>
            </w:r>
          </w:p>
        </w:tc>
      </w:tr>
      <w:tr w14:paraId="51F6D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22C9A178">
            <w:pPr>
              <w:pStyle w:val="15"/>
            </w:pPr>
            <w:r>
              <w:t>隆尧县牛家桥中学小计</w:t>
            </w:r>
          </w:p>
        </w:tc>
        <w:tc>
          <w:tcPr>
            <w:tcW w:w="964" w:type="dxa"/>
            <w:vAlign w:val="center"/>
          </w:tcPr>
          <w:p w14:paraId="22B77635">
            <w:pPr>
              <w:pStyle w:val="16"/>
            </w:pPr>
          </w:p>
        </w:tc>
        <w:tc>
          <w:tcPr>
            <w:tcW w:w="1134" w:type="dxa"/>
            <w:vAlign w:val="center"/>
          </w:tcPr>
          <w:p w14:paraId="342CF475">
            <w:pPr>
              <w:pStyle w:val="17"/>
            </w:pPr>
          </w:p>
        </w:tc>
        <w:tc>
          <w:tcPr>
            <w:tcW w:w="1134" w:type="dxa"/>
            <w:vAlign w:val="center"/>
          </w:tcPr>
          <w:p w14:paraId="585146D1">
            <w:pPr>
              <w:pStyle w:val="17"/>
            </w:pPr>
          </w:p>
        </w:tc>
        <w:tc>
          <w:tcPr>
            <w:tcW w:w="709" w:type="dxa"/>
            <w:vAlign w:val="center"/>
          </w:tcPr>
          <w:p w14:paraId="40B6F490">
            <w:pPr>
              <w:pStyle w:val="15"/>
            </w:pPr>
          </w:p>
        </w:tc>
        <w:tc>
          <w:tcPr>
            <w:tcW w:w="850" w:type="dxa"/>
            <w:vAlign w:val="center"/>
          </w:tcPr>
          <w:p w14:paraId="5847E1D4">
            <w:pPr>
              <w:pStyle w:val="16"/>
            </w:pPr>
          </w:p>
        </w:tc>
        <w:tc>
          <w:tcPr>
            <w:tcW w:w="850" w:type="dxa"/>
            <w:vAlign w:val="center"/>
          </w:tcPr>
          <w:p w14:paraId="1B2EF527">
            <w:pPr>
              <w:pStyle w:val="16"/>
            </w:pPr>
          </w:p>
        </w:tc>
        <w:tc>
          <w:tcPr>
            <w:tcW w:w="964" w:type="dxa"/>
            <w:vAlign w:val="center"/>
          </w:tcPr>
          <w:p w14:paraId="37E5882B">
            <w:pPr>
              <w:pStyle w:val="16"/>
            </w:pPr>
            <w:r>
              <w:t>20.40</w:t>
            </w:r>
          </w:p>
        </w:tc>
        <w:tc>
          <w:tcPr>
            <w:tcW w:w="964" w:type="dxa"/>
            <w:vAlign w:val="center"/>
          </w:tcPr>
          <w:p w14:paraId="59AD4504">
            <w:pPr>
              <w:pStyle w:val="16"/>
            </w:pPr>
            <w:r>
              <w:t>20.40</w:t>
            </w:r>
          </w:p>
        </w:tc>
        <w:tc>
          <w:tcPr>
            <w:tcW w:w="964" w:type="dxa"/>
            <w:vAlign w:val="center"/>
          </w:tcPr>
          <w:p w14:paraId="2AD8D173">
            <w:pPr>
              <w:pStyle w:val="16"/>
            </w:pPr>
          </w:p>
        </w:tc>
        <w:tc>
          <w:tcPr>
            <w:tcW w:w="964" w:type="dxa"/>
            <w:vAlign w:val="center"/>
          </w:tcPr>
          <w:p w14:paraId="2B76F0D2">
            <w:pPr>
              <w:pStyle w:val="16"/>
            </w:pPr>
          </w:p>
        </w:tc>
        <w:tc>
          <w:tcPr>
            <w:tcW w:w="964" w:type="dxa"/>
            <w:vAlign w:val="center"/>
          </w:tcPr>
          <w:p w14:paraId="2E269EEF">
            <w:pPr>
              <w:pStyle w:val="16"/>
            </w:pPr>
          </w:p>
        </w:tc>
        <w:tc>
          <w:tcPr>
            <w:tcW w:w="964" w:type="dxa"/>
            <w:vAlign w:val="center"/>
          </w:tcPr>
          <w:p w14:paraId="09CA2E93">
            <w:pPr>
              <w:pStyle w:val="16"/>
            </w:pPr>
          </w:p>
        </w:tc>
        <w:tc>
          <w:tcPr>
            <w:tcW w:w="964" w:type="dxa"/>
            <w:vAlign w:val="center"/>
          </w:tcPr>
          <w:p w14:paraId="053C7C5A">
            <w:pPr>
              <w:pStyle w:val="16"/>
            </w:pPr>
          </w:p>
        </w:tc>
        <w:tc>
          <w:tcPr>
            <w:tcW w:w="964" w:type="dxa"/>
            <w:vAlign w:val="center"/>
          </w:tcPr>
          <w:p w14:paraId="6D6B2194">
            <w:pPr>
              <w:pStyle w:val="16"/>
            </w:pPr>
            <w:r>
              <w:t>22.40</w:t>
            </w:r>
          </w:p>
        </w:tc>
      </w:tr>
      <w:tr w14:paraId="68940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CF1800">
            <w:pPr>
              <w:pStyle w:val="13"/>
            </w:pPr>
            <w:r>
              <w:t>冀财教[2024]123号/中央/2025年义教补助经费/综合奖补/牛家桥中学微机室装备购置</w:t>
            </w:r>
          </w:p>
        </w:tc>
        <w:tc>
          <w:tcPr>
            <w:tcW w:w="964" w:type="dxa"/>
            <w:vAlign w:val="center"/>
          </w:tcPr>
          <w:p w14:paraId="3162FF16">
            <w:pPr>
              <w:pStyle w:val="14"/>
            </w:pPr>
            <w:r>
              <w:t>20.40</w:t>
            </w:r>
          </w:p>
        </w:tc>
        <w:tc>
          <w:tcPr>
            <w:tcW w:w="1134" w:type="dxa"/>
            <w:vAlign w:val="center"/>
          </w:tcPr>
          <w:p w14:paraId="306A03C7">
            <w:pPr>
              <w:pStyle w:val="13"/>
            </w:pPr>
            <w:r>
              <w:t>台式计算机</w:t>
            </w:r>
          </w:p>
        </w:tc>
        <w:tc>
          <w:tcPr>
            <w:tcW w:w="1134" w:type="dxa"/>
            <w:vAlign w:val="center"/>
          </w:tcPr>
          <w:p w14:paraId="79EA5B6F">
            <w:pPr>
              <w:pStyle w:val="13"/>
            </w:pPr>
            <w:r>
              <w:t>A02010105</w:t>
            </w:r>
          </w:p>
        </w:tc>
        <w:tc>
          <w:tcPr>
            <w:tcW w:w="709" w:type="dxa"/>
            <w:vAlign w:val="center"/>
          </w:tcPr>
          <w:p w14:paraId="5DA87C59">
            <w:pPr>
              <w:pStyle w:val="12"/>
            </w:pPr>
            <w:r>
              <w:t>套</w:t>
            </w:r>
          </w:p>
        </w:tc>
        <w:tc>
          <w:tcPr>
            <w:tcW w:w="850" w:type="dxa"/>
            <w:vAlign w:val="center"/>
          </w:tcPr>
          <w:p w14:paraId="0ECB9A16">
            <w:pPr>
              <w:pStyle w:val="14"/>
            </w:pPr>
            <w:r>
              <w:t>51</w:t>
            </w:r>
          </w:p>
        </w:tc>
        <w:tc>
          <w:tcPr>
            <w:tcW w:w="850" w:type="dxa"/>
            <w:vAlign w:val="center"/>
          </w:tcPr>
          <w:p w14:paraId="32E4C09D">
            <w:pPr>
              <w:pStyle w:val="14"/>
            </w:pPr>
            <w:r>
              <w:t>0.40</w:t>
            </w:r>
          </w:p>
        </w:tc>
        <w:tc>
          <w:tcPr>
            <w:tcW w:w="964" w:type="dxa"/>
            <w:vAlign w:val="center"/>
          </w:tcPr>
          <w:p w14:paraId="3A729A08">
            <w:pPr>
              <w:pStyle w:val="14"/>
            </w:pPr>
            <w:r>
              <w:t>20.40</w:t>
            </w:r>
          </w:p>
        </w:tc>
        <w:tc>
          <w:tcPr>
            <w:tcW w:w="964" w:type="dxa"/>
            <w:vAlign w:val="center"/>
          </w:tcPr>
          <w:p w14:paraId="192C4469">
            <w:pPr>
              <w:pStyle w:val="14"/>
            </w:pPr>
            <w:r>
              <w:t>20.40</w:t>
            </w:r>
          </w:p>
        </w:tc>
        <w:tc>
          <w:tcPr>
            <w:tcW w:w="964" w:type="dxa"/>
            <w:vAlign w:val="center"/>
          </w:tcPr>
          <w:p w14:paraId="3FB416CC">
            <w:pPr>
              <w:pStyle w:val="14"/>
            </w:pPr>
          </w:p>
        </w:tc>
        <w:tc>
          <w:tcPr>
            <w:tcW w:w="964" w:type="dxa"/>
            <w:vAlign w:val="center"/>
          </w:tcPr>
          <w:p w14:paraId="54C4980A">
            <w:pPr>
              <w:pStyle w:val="14"/>
            </w:pPr>
          </w:p>
        </w:tc>
        <w:tc>
          <w:tcPr>
            <w:tcW w:w="964" w:type="dxa"/>
            <w:vAlign w:val="center"/>
          </w:tcPr>
          <w:p w14:paraId="70AA0944">
            <w:pPr>
              <w:pStyle w:val="14"/>
            </w:pPr>
          </w:p>
        </w:tc>
        <w:tc>
          <w:tcPr>
            <w:tcW w:w="964" w:type="dxa"/>
            <w:vAlign w:val="center"/>
          </w:tcPr>
          <w:p w14:paraId="721573D4">
            <w:pPr>
              <w:pStyle w:val="14"/>
            </w:pPr>
          </w:p>
        </w:tc>
        <w:tc>
          <w:tcPr>
            <w:tcW w:w="964" w:type="dxa"/>
            <w:vAlign w:val="center"/>
          </w:tcPr>
          <w:p w14:paraId="1BA00ABA">
            <w:pPr>
              <w:pStyle w:val="14"/>
            </w:pPr>
          </w:p>
        </w:tc>
        <w:tc>
          <w:tcPr>
            <w:tcW w:w="964" w:type="dxa"/>
            <w:vAlign w:val="center"/>
          </w:tcPr>
          <w:p w14:paraId="202F3716">
            <w:pPr>
              <w:pStyle w:val="14"/>
            </w:pPr>
            <w:r>
              <w:t>20.40</w:t>
            </w:r>
          </w:p>
        </w:tc>
      </w:tr>
      <w:tr w14:paraId="431DF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067504">
            <w:pPr>
              <w:pStyle w:val="13"/>
            </w:pPr>
            <w:r>
              <w:t>冀财教[2024]141号/省级/2025年义教补助经费/牛家桥中学公用经费</w:t>
            </w:r>
          </w:p>
        </w:tc>
        <w:tc>
          <w:tcPr>
            <w:tcW w:w="964" w:type="dxa"/>
            <w:vAlign w:val="center"/>
          </w:tcPr>
          <w:p w14:paraId="76ABC005">
            <w:pPr>
              <w:pStyle w:val="14"/>
            </w:pPr>
            <w:r>
              <w:t>20.92</w:t>
            </w:r>
          </w:p>
        </w:tc>
        <w:tc>
          <w:tcPr>
            <w:tcW w:w="1134" w:type="dxa"/>
            <w:vAlign w:val="center"/>
          </w:tcPr>
          <w:p w14:paraId="20B91E4F">
            <w:pPr>
              <w:pStyle w:val="13"/>
            </w:pPr>
            <w:r>
              <w:t>台式计算机</w:t>
            </w:r>
          </w:p>
        </w:tc>
        <w:tc>
          <w:tcPr>
            <w:tcW w:w="1134" w:type="dxa"/>
            <w:vAlign w:val="center"/>
          </w:tcPr>
          <w:p w14:paraId="6EA80070">
            <w:pPr>
              <w:pStyle w:val="13"/>
            </w:pPr>
            <w:r>
              <w:t>A02010105</w:t>
            </w:r>
          </w:p>
        </w:tc>
        <w:tc>
          <w:tcPr>
            <w:tcW w:w="709" w:type="dxa"/>
            <w:vAlign w:val="center"/>
          </w:tcPr>
          <w:p w14:paraId="713626FB">
            <w:pPr>
              <w:pStyle w:val="12"/>
            </w:pPr>
            <w:r>
              <w:t>台</w:t>
            </w:r>
          </w:p>
        </w:tc>
        <w:tc>
          <w:tcPr>
            <w:tcW w:w="850" w:type="dxa"/>
            <w:vAlign w:val="center"/>
          </w:tcPr>
          <w:p w14:paraId="7E454AF5">
            <w:pPr>
              <w:pStyle w:val="14"/>
            </w:pPr>
            <w:r>
              <w:t>4</w:t>
            </w:r>
          </w:p>
        </w:tc>
        <w:tc>
          <w:tcPr>
            <w:tcW w:w="850" w:type="dxa"/>
            <w:vAlign w:val="center"/>
          </w:tcPr>
          <w:p w14:paraId="0EBEDAF3">
            <w:pPr>
              <w:pStyle w:val="14"/>
            </w:pPr>
            <w:r>
              <w:t>0.50</w:t>
            </w:r>
          </w:p>
        </w:tc>
        <w:tc>
          <w:tcPr>
            <w:tcW w:w="964" w:type="dxa"/>
            <w:vAlign w:val="center"/>
          </w:tcPr>
          <w:p w14:paraId="1A4D974A">
            <w:pPr>
              <w:pStyle w:val="14"/>
            </w:pPr>
            <w:r>
              <w:t>0.00</w:t>
            </w:r>
          </w:p>
        </w:tc>
        <w:tc>
          <w:tcPr>
            <w:tcW w:w="964" w:type="dxa"/>
            <w:vAlign w:val="center"/>
          </w:tcPr>
          <w:p w14:paraId="451B9AD4">
            <w:pPr>
              <w:pStyle w:val="14"/>
            </w:pPr>
            <w:r>
              <w:t>0.00</w:t>
            </w:r>
          </w:p>
        </w:tc>
        <w:tc>
          <w:tcPr>
            <w:tcW w:w="964" w:type="dxa"/>
            <w:vAlign w:val="center"/>
          </w:tcPr>
          <w:p w14:paraId="6326D67D">
            <w:pPr>
              <w:pStyle w:val="14"/>
            </w:pPr>
          </w:p>
        </w:tc>
        <w:tc>
          <w:tcPr>
            <w:tcW w:w="964" w:type="dxa"/>
            <w:vAlign w:val="center"/>
          </w:tcPr>
          <w:p w14:paraId="347CDEA4">
            <w:pPr>
              <w:pStyle w:val="14"/>
            </w:pPr>
          </w:p>
        </w:tc>
        <w:tc>
          <w:tcPr>
            <w:tcW w:w="964" w:type="dxa"/>
            <w:vAlign w:val="center"/>
          </w:tcPr>
          <w:p w14:paraId="3C96BF83">
            <w:pPr>
              <w:pStyle w:val="14"/>
            </w:pPr>
          </w:p>
        </w:tc>
        <w:tc>
          <w:tcPr>
            <w:tcW w:w="964" w:type="dxa"/>
            <w:vAlign w:val="center"/>
          </w:tcPr>
          <w:p w14:paraId="4FF744AE">
            <w:pPr>
              <w:pStyle w:val="14"/>
            </w:pPr>
          </w:p>
        </w:tc>
        <w:tc>
          <w:tcPr>
            <w:tcW w:w="964" w:type="dxa"/>
            <w:vAlign w:val="center"/>
          </w:tcPr>
          <w:p w14:paraId="6B6A833C">
            <w:pPr>
              <w:pStyle w:val="14"/>
            </w:pPr>
          </w:p>
        </w:tc>
        <w:tc>
          <w:tcPr>
            <w:tcW w:w="964" w:type="dxa"/>
            <w:vAlign w:val="center"/>
          </w:tcPr>
          <w:p w14:paraId="7218BB44">
            <w:pPr>
              <w:pStyle w:val="14"/>
            </w:pPr>
            <w:r>
              <w:t>2.00</w:t>
            </w:r>
          </w:p>
        </w:tc>
      </w:tr>
    </w:tbl>
    <w:p w14:paraId="30290F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31AFBD">
      <w:pPr>
        <w:spacing w:before="0" w:after="0"/>
        <w:ind w:firstLine="640"/>
        <w:jc w:val="left"/>
        <w:outlineLvl w:val="9"/>
      </w:pPr>
      <w:r>
        <w:rPr>
          <w:rFonts w:ascii="Times New Roman" w:hAnsi="Times New Roman" w:eastAsia="方正仿宋_GBK" w:cs="Times New Roman"/>
          <w:color w:val="000000"/>
          <w:sz w:val="32"/>
        </w:rPr>
        <w:t xml:space="preserve"> </w:t>
      </w:r>
    </w:p>
    <w:p w14:paraId="7A7A071E">
      <w:pPr>
        <w:spacing w:before="10" w:after="10" w:line="240" w:lineRule="auto"/>
        <w:ind w:firstLine="640"/>
        <w:jc w:val="left"/>
        <w:outlineLvl w:val="5"/>
        <w:rPr>
          <w:rFonts w:ascii="黑体" w:hAnsi="黑体" w:eastAsia="黑体" w:cs="黑体"/>
          <w:color w:val="000000"/>
          <w:sz w:val="32"/>
        </w:rPr>
      </w:pPr>
    </w:p>
    <w:p w14:paraId="4BFAEDD2">
      <w:pPr>
        <w:spacing w:before="10" w:after="10" w:line="240" w:lineRule="auto"/>
        <w:ind w:firstLine="640"/>
        <w:jc w:val="left"/>
        <w:outlineLvl w:val="5"/>
      </w:pPr>
      <w:r>
        <w:rPr>
          <w:rFonts w:ascii="黑体" w:hAnsi="黑体" w:eastAsia="黑体" w:cs="黑体"/>
          <w:color w:val="000000"/>
          <w:sz w:val="32"/>
        </w:rPr>
        <w:t>七、国有资产信息</w:t>
      </w:r>
    </w:p>
    <w:p w14:paraId="53647E10">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隆尧县牛家桥中学上年末固定资产金额为906.19万元（详见下表）。本年度拟购置固定资产总额为54.73万元，已按要求列入政府采购预算，详见政府采购预算表。</w:t>
      </w:r>
    </w:p>
    <w:p w14:paraId="62CF95B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93F1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0745CEB">
            <w:pPr>
              <w:pStyle w:val="8"/>
            </w:pPr>
            <w:r>
              <w:t>360008隆尧县牛家桥中学</w:t>
            </w:r>
          </w:p>
        </w:tc>
        <w:tc>
          <w:tcPr>
            <w:tcW w:w="5670" w:type="dxa"/>
            <w:gridSpan w:val="2"/>
            <w:tcBorders>
              <w:top w:val="single" w:color="FFFFFF" w:sz="6" w:space="0"/>
              <w:left w:val="single" w:color="FFFFFF" w:sz="6" w:space="0"/>
              <w:right w:val="single" w:color="FFFFFF" w:sz="6" w:space="0"/>
            </w:tcBorders>
            <w:vAlign w:val="center"/>
          </w:tcPr>
          <w:p w14:paraId="580C1912">
            <w:pPr>
              <w:pStyle w:val="10"/>
            </w:pPr>
            <w:r>
              <w:t>截止时间：2024-12-31</w:t>
            </w:r>
          </w:p>
        </w:tc>
      </w:tr>
      <w:tr w14:paraId="57653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CD8BDB1">
            <w:pPr>
              <w:pStyle w:val="11"/>
            </w:pPr>
            <w:r>
              <w:t>项   目</w:t>
            </w:r>
          </w:p>
        </w:tc>
        <w:tc>
          <w:tcPr>
            <w:tcW w:w="2835" w:type="dxa"/>
            <w:vAlign w:val="center"/>
          </w:tcPr>
          <w:p w14:paraId="3922AB11">
            <w:pPr>
              <w:pStyle w:val="11"/>
            </w:pPr>
            <w:r>
              <w:t>数量</w:t>
            </w:r>
          </w:p>
        </w:tc>
        <w:tc>
          <w:tcPr>
            <w:tcW w:w="2835" w:type="dxa"/>
            <w:vAlign w:val="center"/>
          </w:tcPr>
          <w:p w14:paraId="1D7B26EA">
            <w:pPr>
              <w:pStyle w:val="11"/>
            </w:pPr>
            <w:r>
              <w:t>价值（金额单位：万元）</w:t>
            </w:r>
          </w:p>
        </w:tc>
      </w:tr>
      <w:tr w14:paraId="46BFD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D7AAB2">
            <w:pPr>
              <w:pStyle w:val="13"/>
            </w:pPr>
            <w:r>
              <w:t>资产总额</w:t>
            </w:r>
          </w:p>
        </w:tc>
        <w:tc>
          <w:tcPr>
            <w:tcW w:w="2835" w:type="dxa"/>
            <w:vAlign w:val="center"/>
          </w:tcPr>
          <w:p w14:paraId="33C7EC2E">
            <w:pPr>
              <w:pStyle w:val="12"/>
            </w:pPr>
          </w:p>
        </w:tc>
        <w:tc>
          <w:tcPr>
            <w:tcW w:w="2835" w:type="dxa"/>
            <w:vAlign w:val="center"/>
          </w:tcPr>
          <w:p w14:paraId="4FB0BA76">
            <w:pPr>
              <w:pStyle w:val="14"/>
            </w:pPr>
            <w:r>
              <w:t>906.19</w:t>
            </w:r>
          </w:p>
        </w:tc>
      </w:tr>
      <w:tr w14:paraId="1C7AF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5DD95A">
            <w:pPr>
              <w:pStyle w:val="13"/>
            </w:pPr>
            <w:r>
              <w:t>1、房屋（平方米）</w:t>
            </w:r>
          </w:p>
        </w:tc>
        <w:tc>
          <w:tcPr>
            <w:tcW w:w="2835" w:type="dxa"/>
            <w:vAlign w:val="center"/>
          </w:tcPr>
          <w:p w14:paraId="1000AC2A">
            <w:pPr>
              <w:pStyle w:val="12"/>
            </w:pPr>
            <w:r>
              <w:t>10385</w:t>
            </w:r>
          </w:p>
        </w:tc>
        <w:tc>
          <w:tcPr>
            <w:tcW w:w="2835" w:type="dxa"/>
            <w:vAlign w:val="center"/>
          </w:tcPr>
          <w:p w14:paraId="02C862B0">
            <w:pPr>
              <w:pStyle w:val="14"/>
            </w:pPr>
            <w:r>
              <w:t>706.63</w:t>
            </w:r>
          </w:p>
        </w:tc>
      </w:tr>
      <w:tr w14:paraId="1208E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F336DD">
            <w:pPr>
              <w:pStyle w:val="13"/>
            </w:pPr>
            <w:r>
              <w:t>　　其中：办公用房（平方米）</w:t>
            </w:r>
          </w:p>
        </w:tc>
        <w:tc>
          <w:tcPr>
            <w:tcW w:w="2835" w:type="dxa"/>
            <w:vAlign w:val="center"/>
          </w:tcPr>
          <w:p w14:paraId="6030827E">
            <w:pPr>
              <w:pStyle w:val="12"/>
            </w:pPr>
            <w:r>
              <w:t>1300</w:t>
            </w:r>
          </w:p>
        </w:tc>
        <w:tc>
          <w:tcPr>
            <w:tcW w:w="2835" w:type="dxa"/>
            <w:vAlign w:val="center"/>
          </w:tcPr>
          <w:p w14:paraId="01FDC55A">
            <w:pPr>
              <w:pStyle w:val="14"/>
            </w:pPr>
            <w:r>
              <w:t>88.00</w:t>
            </w:r>
          </w:p>
        </w:tc>
      </w:tr>
      <w:tr w14:paraId="499DE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F34C6A">
            <w:pPr>
              <w:pStyle w:val="13"/>
            </w:pPr>
            <w:r>
              <w:t>2、车辆（台、辆）</w:t>
            </w:r>
          </w:p>
        </w:tc>
        <w:tc>
          <w:tcPr>
            <w:tcW w:w="2835" w:type="dxa"/>
            <w:vAlign w:val="center"/>
          </w:tcPr>
          <w:p w14:paraId="2EF8BB7B">
            <w:pPr>
              <w:pStyle w:val="12"/>
            </w:pPr>
          </w:p>
        </w:tc>
        <w:tc>
          <w:tcPr>
            <w:tcW w:w="2835" w:type="dxa"/>
            <w:vAlign w:val="center"/>
          </w:tcPr>
          <w:p w14:paraId="5BB96F84">
            <w:pPr>
              <w:pStyle w:val="14"/>
            </w:pPr>
          </w:p>
        </w:tc>
      </w:tr>
      <w:tr w14:paraId="05654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83BFA5">
            <w:pPr>
              <w:pStyle w:val="13"/>
            </w:pPr>
            <w:r>
              <w:t>3、单价在20万元以上的设备</w:t>
            </w:r>
          </w:p>
        </w:tc>
        <w:tc>
          <w:tcPr>
            <w:tcW w:w="2835" w:type="dxa"/>
            <w:vAlign w:val="center"/>
          </w:tcPr>
          <w:p w14:paraId="76731DEC">
            <w:pPr>
              <w:pStyle w:val="12"/>
            </w:pPr>
          </w:p>
        </w:tc>
        <w:tc>
          <w:tcPr>
            <w:tcW w:w="2835" w:type="dxa"/>
            <w:vAlign w:val="center"/>
          </w:tcPr>
          <w:p w14:paraId="72141EE3">
            <w:pPr>
              <w:pStyle w:val="14"/>
            </w:pPr>
          </w:p>
        </w:tc>
      </w:tr>
      <w:tr w14:paraId="64129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167820">
            <w:pPr>
              <w:pStyle w:val="13"/>
            </w:pPr>
            <w:r>
              <w:t>4、其他固定资产</w:t>
            </w:r>
          </w:p>
        </w:tc>
        <w:tc>
          <w:tcPr>
            <w:tcW w:w="2835" w:type="dxa"/>
            <w:vAlign w:val="center"/>
          </w:tcPr>
          <w:p w14:paraId="68C27B64">
            <w:pPr>
              <w:pStyle w:val="12"/>
            </w:pPr>
            <w:r>
              <w:t>3024</w:t>
            </w:r>
          </w:p>
        </w:tc>
        <w:tc>
          <w:tcPr>
            <w:tcW w:w="2835" w:type="dxa"/>
            <w:vAlign w:val="center"/>
          </w:tcPr>
          <w:p w14:paraId="73ACC96F">
            <w:pPr>
              <w:pStyle w:val="14"/>
            </w:pPr>
            <w:r>
              <w:t>199.56</w:t>
            </w:r>
          </w:p>
        </w:tc>
      </w:tr>
    </w:tbl>
    <w:p w14:paraId="430D2665">
      <w:pPr>
        <w:spacing w:before="0" w:after="0"/>
        <w:ind w:firstLine="640"/>
        <w:jc w:val="left"/>
        <w:outlineLvl w:val="9"/>
      </w:pPr>
      <w:r>
        <w:rPr>
          <w:rFonts w:ascii="Times New Roman" w:hAnsi="Times New Roman" w:eastAsia="方正仿宋_GBK" w:cs="Times New Roman"/>
          <w:color w:val="000000"/>
          <w:sz w:val="32"/>
        </w:rPr>
        <w:t xml:space="preserve"> </w:t>
      </w:r>
    </w:p>
    <w:p w14:paraId="47743CAD">
      <w:pPr>
        <w:spacing w:before="10" w:after="10" w:line="240" w:lineRule="auto"/>
        <w:ind w:firstLine="640"/>
        <w:jc w:val="left"/>
        <w:outlineLvl w:val="5"/>
      </w:pPr>
      <w:r>
        <w:rPr>
          <w:rFonts w:ascii="黑体" w:hAnsi="黑体" w:eastAsia="黑体" w:cs="黑体"/>
          <w:color w:val="000000"/>
          <w:sz w:val="32"/>
        </w:rPr>
        <w:t>八、名词解释</w:t>
      </w:r>
    </w:p>
    <w:p w14:paraId="1046D4A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7742C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131A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5B6DB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74E94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DC75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8AABB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7BA50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7B26F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8DAFF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6876FC">
      <w:pPr>
        <w:spacing w:before="10" w:after="10" w:line="240" w:lineRule="auto"/>
        <w:ind w:firstLine="640"/>
        <w:jc w:val="left"/>
        <w:outlineLvl w:val="5"/>
      </w:pPr>
      <w:r>
        <w:rPr>
          <w:rFonts w:ascii="黑体" w:hAnsi="黑体" w:eastAsia="黑体" w:cs="黑体"/>
          <w:color w:val="000000"/>
          <w:sz w:val="32"/>
        </w:rPr>
        <w:t>九、其他需要说明的事项</w:t>
      </w:r>
    </w:p>
    <w:p w14:paraId="289E897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B6E9287">
      <w:pPr>
        <w:spacing w:before="0" w:after="0"/>
        <w:ind w:firstLine="0"/>
        <w:jc w:val="center"/>
        <w:outlineLvl w:val="3"/>
      </w:pPr>
      <w:bookmarkStart w:id="8" w:name="_Toc_4_4_0000000028"/>
      <w:r>
        <w:rPr>
          <w:rFonts w:ascii="方正小标宋_GBK" w:hAnsi="方正小标宋_GBK" w:eastAsia="方正小标宋_GBK" w:cs="方正小标宋_GBK"/>
          <w:b w:val="0"/>
          <w:color w:val="000000"/>
          <w:sz w:val="44"/>
        </w:rPr>
        <w:t>八、河北省隆尧县滏阳中学收支预算</w:t>
      </w:r>
      <w:bookmarkEnd w:id="8"/>
    </w:p>
    <w:p w14:paraId="75E876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E285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35F983">
            <w:pPr>
              <w:pStyle w:val="8"/>
            </w:pPr>
            <w:r>
              <w:t>360009河北省隆尧县滏阳中学</w:t>
            </w:r>
          </w:p>
        </w:tc>
        <w:tc>
          <w:tcPr>
            <w:tcW w:w="2126" w:type="dxa"/>
            <w:tcBorders>
              <w:top w:val="single" w:color="FFFFFF" w:sz="6" w:space="0"/>
              <w:left w:val="single" w:color="FFFFFF" w:sz="6" w:space="0"/>
              <w:right w:val="single" w:color="FFFFFF" w:sz="6" w:space="0"/>
            </w:tcBorders>
            <w:vAlign w:val="center"/>
          </w:tcPr>
          <w:p w14:paraId="1155A099">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E88AA85">
            <w:pPr>
              <w:pStyle w:val="10"/>
            </w:pPr>
            <w:r>
              <w:t>单位：万元</w:t>
            </w:r>
          </w:p>
        </w:tc>
      </w:tr>
      <w:tr w14:paraId="3DFD9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BE0D78">
            <w:pPr>
              <w:pStyle w:val="11"/>
            </w:pPr>
            <w:r>
              <w:t>序号</w:t>
            </w:r>
          </w:p>
        </w:tc>
        <w:tc>
          <w:tcPr>
            <w:tcW w:w="6661" w:type="dxa"/>
            <w:gridSpan w:val="2"/>
            <w:vAlign w:val="center"/>
          </w:tcPr>
          <w:p w14:paraId="6B1CD0B0">
            <w:pPr>
              <w:pStyle w:val="11"/>
            </w:pPr>
            <w:r>
              <w:t>收入</w:t>
            </w:r>
          </w:p>
        </w:tc>
        <w:tc>
          <w:tcPr>
            <w:tcW w:w="6661" w:type="dxa"/>
            <w:gridSpan w:val="2"/>
            <w:vAlign w:val="center"/>
          </w:tcPr>
          <w:p w14:paraId="5F4ADB0B">
            <w:pPr>
              <w:pStyle w:val="11"/>
            </w:pPr>
            <w:r>
              <w:t>支出</w:t>
            </w:r>
          </w:p>
        </w:tc>
      </w:tr>
      <w:tr w14:paraId="0AE63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C69932"/>
        </w:tc>
        <w:tc>
          <w:tcPr>
            <w:tcW w:w="4535" w:type="dxa"/>
            <w:vAlign w:val="center"/>
          </w:tcPr>
          <w:p w14:paraId="4AEBCFB0">
            <w:pPr>
              <w:pStyle w:val="11"/>
            </w:pPr>
            <w:r>
              <w:t>项  目</w:t>
            </w:r>
          </w:p>
        </w:tc>
        <w:tc>
          <w:tcPr>
            <w:tcW w:w="2126" w:type="dxa"/>
            <w:vAlign w:val="center"/>
          </w:tcPr>
          <w:p w14:paraId="14C70577">
            <w:pPr>
              <w:pStyle w:val="11"/>
            </w:pPr>
            <w:r>
              <w:t>预算数</w:t>
            </w:r>
          </w:p>
        </w:tc>
        <w:tc>
          <w:tcPr>
            <w:tcW w:w="4535" w:type="dxa"/>
            <w:vAlign w:val="center"/>
          </w:tcPr>
          <w:p w14:paraId="46AA89E5">
            <w:pPr>
              <w:pStyle w:val="11"/>
            </w:pPr>
            <w:r>
              <w:t>项  目</w:t>
            </w:r>
          </w:p>
        </w:tc>
        <w:tc>
          <w:tcPr>
            <w:tcW w:w="2126" w:type="dxa"/>
            <w:vAlign w:val="center"/>
          </w:tcPr>
          <w:p w14:paraId="35F3A549">
            <w:pPr>
              <w:pStyle w:val="11"/>
            </w:pPr>
            <w:r>
              <w:t>预算数</w:t>
            </w:r>
          </w:p>
        </w:tc>
      </w:tr>
      <w:tr w14:paraId="2DDF7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25294">
            <w:pPr>
              <w:pStyle w:val="11"/>
            </w:pPr>
            <w:r>
              <w:t>栏次</w:t>
            </w:r>
          </w:p>
        </w:tc>
        <w:tc>
          <w:tcPr>
            <w:tcW w:w="4535" w:type="dxa"/>
            <w:vAlign w:val="center"/>
          </w:tcPr>
          <w:p w14:paraId="25B4CE7C">
            <w:pPr>
              <w:pStyle w:val="11"/>
            </w:pPr>
            <w:r>
              <w:t>1</w:t>
            </w:r>
          </w:p>
        </w:tc>
        <w:tc>
          <w:tcPr>
            <w:tcW w:w="2126" w:type="dxa"/>
            <w:vAlign w:val="center"/>
          </w:tcPr>
          <w:p w14:paraId="4542F1AD">
            <w:pPr>
              <w:pStyle w:val="11"/>
            </w:pPr>
            <w:r>
              <w:t>2</w:t>
            </w:r>
          </w:p>
        </w:tc>
        <w:tc>
          <w:tcPr>
            <w:tcW w:w="4535" w:type="dxa"/>
            <w:vAlign w:val="center"/>
          </w:tcPr>
          <w:p w14:paraId="21FDE419">
            <w:pPr>
              <w:pStyle w:val="11"/>
            </w:pPr>
            <w:r>
              <w:t>3</w:t>
            </w:r>
          </w:p>
        </w:tc>
        <w:tc>
          <w:tcPr>
            <w:tcW w:w="2126" w:type="dxa"/>
            <w:vAlign w:val="center"/>
          </w:tcPr>
          <w:p w14:paraId="300EB14F">
            <w:pPr>
              <w:pStyle w:val="11"/>
            </w:pPr>
            <w:r>
              <w:t>4</w:t>
            </w:r>
          </w:p>
        </w:tc>
      </w:tr>
      <w:tr w14:paraId="0306C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86169">
            <w:pPr>
              <w:pStyle w:val="12"/>
            </w:pPr>
            <w:r>
              <w:t>1</w:t>
            </w:r>
          </w:p>
        </w:tc>
        <w:tc>
          <w:tcPr>
            <w:tcW w:w="4535" w:type="dxa"/>
            <w:vAlign w:val="center"/>
          </w:tcPr>
          <w:p w14:paraId="082B5D61">
            <w:pPr>
              <w:pStyle w:val="13"/>
            </w:pPr>
            <w:r>
              <w:t>一、一般公共预算拨款收入</w:t>
            </w:r>
          </w:p>
        </w:tc>
        <w:tc>
          <w:tcPr>
            <w:tcW w:w="2126" w:type="dxa"/>
            <w:vAlign w:val="center"/>
          </w:tcPr>
          <w:p w14:paraId="293DD7D7">
            <w:pPr>
              <w:pStyle w:val="14"/>
            </w:pPr>
            <w:r>
              <w:t>1447.97</w:t>
            </w:r>
          </w:p>
        </w:tc>
        <w:tc>
          <w:tcPr>
            <w:tcW w:w="4535" w:type="dxa"/>
            <w:vAlign w:val="center"/>
          </w:tcPr>
          <w:p w14:paraId="0B5110DB">
            <w:pPr>
              <w:pStyle w:val="13"/>
            </w:pPr>
            <w:r>
              <w:t>一、一般公共服务支出</w:t>
            </w:r>
          </w:p>
        </w:tc>
        <w:tc>
          <w:tcPr>
            <w:tcW w:w="2126" w:type="dxa"/>
            <w:vAlign w:val="center"/>
          </w:tcPr>
          <w:p w14:paraId="51A64CCF">
            <w:pPr>
              <w:pStyle w:val="14"/>
            </w:pPr>
          </w:p>
        </w:tc>
      </w:tr>
      <w:tr w14:paraId="7BA03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98F76">
            <w:pPr>
              <w:pStyle w:val="12"/>
            </w:pPr>
            <w:r>
              <w:t>2</w:t>
            </w:r>
          </w:p>
        </w:tc>
        <w:tc>
          <w:tcPr>
            <w:tcW w:w="4535" w:type="dxa"/>
            <w:vAlign w:val="center"/>
          </w:tcPr>
          <w:p w14:paraId="2DAFE387">
            <w:pPr>
              <w:pStyle w:val="13"/>
            </w:pPr>
            <w:r>
              <w:t>二、政府性基金预算拨款收入</w:t>
            </w:r>
          </w:p>
        </w:tc>
        <w:tc>
          <w:tcPr>
            <w:tcW w:w="2126" w:type="dxa"/>
            <w:vAlign w:val="center"/>
          </w:tcPr>
          <w:p w14:paraId="57E42D4E">
            <w:pPr>
              <w:pStyle w:val="14"/>
            </w:pPr>
          </w:p>
        </w:tc>
        <w:tc>
          <w:tcPr>
            <w:tcW w:w="4535" w:type="dxa"/>
            <w:vAlign w:val="center"/>
          </w:tcPr>
          <w:p w14:paraId="5BB6B099">
            <w:pPr>
              <w:pStyle w:val="13"/>
            </w:pPr>
            <w:r>
              <w:t>二、外交支出</w:t>
            </w:r>
          </w:p>
        </w:tc>
        <w:tc>
          <w:tcPr>
            <w:tcW w:w="2126" w:type="dxa"/>
            <w:vAlign w:val="center"/>
          </w:tcPr>
          <w:p w14:paraId="5523942F">
            <w:pPr>
              <w:pStyle w:val="14"/>
            </w:pPr>
          </w:p>
        </w:tc>
      </w:tr>
      <w:tr w14:paraId="70F19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EE9C9">
            <w:pPr>
              <w:pStyle w:val="12"/>
            </w:pPr>
            <w:r>
              <w:t>3</w:t>
            </w:r>
          </w:p>
        </w:tc>
        <w:tc>
          <w:tcPr>
            <w:tcW w:w="4535" w:type="dxa"/>
            <w:vAlign w:val="center"/>
          </w:tcPr>
          <w:p w14:paraId="793DB2C6">
            <w:pPr>
              <w:pStyle w:val="13"/>
            </w:pPr>
            <w:r>
              <w:t>三、国有资本经营预算拨款收入</w:t>
            </w:r>
          </w:p>
        </w:tc>
        <w:tc>
          <w:tcPr>
            <w:tcW w:w="2126" w:type="dxa"/>
            <w:vAlign w:val="center"/>
          </w:tcPr>
          <w:p w14:paraId="5A4921F8">
            <w:pPr>
              <w:pStyle w:val="14"/>
            </w:pPr>
          </w:p>
        </w:tc>
        <w:tc>
          <w:tcPr>
            <w:tcW w:w="4535" w:type="dxa"/>
            <w:vAlign w:val="center"/>
          </w:tcPr>
          <w:p w14:paraId="460B46AD">
            <w:pPr>
              <w:pStyle w:val="13"/>
            </w:pPr>
            <w:r>
              <w:t>三、国防支出</w:t>
            </w:r>
          </w:p>
        </w:tc>
        <w:tc>
          <w:tcPr>
            <w:tcW w:w="2126" w:type="dxa"/>
            <w:vAlign w:val="center"/>
          </w:tcPr>
          <w:p w14:paraId="2529DE0B">
            <w:pPr>
              <w:pStyle w:val="14"/>
            </w:pPr>
          </w:p>
        </w:tc>
      </w:tr>
      <w:tr w14:paraId="6EBE4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14E0C">
            <w:pPr>
              <w:pStyle w:val="12"/>
            </w:pPr>
            <w:r>
              <w:t>4</w:t>
            </w:r>
          </w:p>
        </w:tc>
        <w:tc>
          <w:tcPr>
            <w:tcW w:w="4535" w:type="dxa"/>
            <w:vAlign w:val="center"/>
          </w:tcPr>
          <w:p w14:paraId="2FCB269A">
            <w:pPr>
              <w:pStyle w:val="13"/>
            </w:pPr>
            <w:r>
              <w:t>四、财政专户管理资金收入</w:t>
            </w:r>
          </w:p>
        </w:tc>
        <w:tc>
          <w:tcPr>
            <w:tcW w:w="2126" w:type="dxa"/>
            <w:vAlign w:val="center"/>
          </w:tcPr>
          <w:p w14:paraId="4FD07CDC">
            <w:pPr>
              <w:pStyle w:val="14"/>
            </w:pPr>
          </w:p>
        </w:tc>
        <w:tc>
          <w:tcPr>
            <w:tcW w:w="4535" w:type="dxa"/>
            <w:vAlign w:val="center"/>
          </w:tcPr>
          <w:p w14:paraId="7F017EDC">
            <w:pPr>
              <w:pStyle w:val="13"/>
            </w:pPr>
            <w:r>
              <w:t>四、公共安全支出</w:t>
            </w:r>
          </w:p>
        </w:tc>
        <w:tc>
          <w:tcPr>
            <w:tcW w:w="2126" w:type="dxa"/>
            <w:vAlign w:val="center"/>
          </w:tcPr>
          <w:p w14:paraId="75448E29">
            <w:pPr>
              <w:pStyle w:val="14"/>
            </w:pPr>
          </w:p>
        </w:tc>
      </w:tr>
      <w:tr w14:paraId="41EB8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696FD">
            <w:pPr>
              <w:pStyle w:val="12"/>
            </w:pPr>
            <w:r>
              <w:t>5</w:t>
            </w:r>
          </w:p>
        </w:tc>
        <w:tc>
          <w:tcPr>
            <w:tcW w:w="4535" w:type="dxa"/>
            <w:vAlign w:val="center"/>
          </w:tcPr>
          <w:p w14:paraId="2752EA2A">
            <w:pPr>
              <w:pStyle w:val="13"/>
            </w:pPr>
            <w:r>
              <w:t>五、单位资金</w:t>
            </w:r>
          </w:p>
        </w:tc>
        <w:tc>
          <w:tcPr>
            <w:tcW w:w="2126" w:type="dxa"/>
            <w:vAlign w:val="center"/>
          </w:tcPr>
          <w:p w14:paraId="5C8B8007">
            <w:pPr>
              <w:pStyle w:val="14"/>
            </w:pPr>
          </w:p>
        </w:tc>
        <w:tc>
          <w:tcPr>
            <w:tcW w:w="4535" w:type="dxa"/>
            <w:vAlign w:val="center"/>
          </w:tcPr>
          <w:p w14:paraId="7C72369B">
            <w:pPr>
              <w:pStyle w:val="13"/>
            </w:pPr>
            <w:r>
              <w:t>五、教育支出</w:t>
            </w:r>
          </w:p>
        </w:tc>
        <w:tc>
          <w:tcPr>
            <w:tcW w:w="2126" w:type="dxa"/>
            <w:vAlign w:val="center"/>
          </w:tcPr>
          <w:p w14:paraId="5894EA49">
            <w:pPr>
              <w:pStyle w:val="14"/>
            </w:pPr>
            <w:r>
              <w:t>1447.97</w:t>
            </w:r>
          </w:p>
        </w:tc>
      </w:tr>
      <w:tr w14:paraId="5FC47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229BC">
            <w:pPr>
              <w:pStyle w:val="12"/>
            </w:pPr>
            <w:r>
              <w:t>6</w:t>
            </w:r>
          </w:p>
        </w:tc>
        <w:tc>
          <w:tcPr>
            <w:tcW w:w="4535" w:type="dxa"/>
            <w:vAlign w:val="center"/>
          </w:tcPr>
          <w:p w14:paraId="1E9C9CB3">
            <w:pPr>
              <w:pStyle w:val="13"/>
            </w:pPr>
          </w:p>
        </w:tc>
        <w:tc>
          <w:tcPr>
            <w:tcW w:w="2126" w:type="dxa"/>
            <w:vAlign w:val="center"/>
          </w:tcPr>
          <w:p w14:paraId="77C94D13">
            <w:pPr>
              <w:pStyle w:val="14"/>
            </w:pPr>
          </w:p>
        </w:tc>
        <w:tc>
          <w:tcPr>
            <w:tcW w:w="4535" w:type="dxa"/>
            <w:vAlign w:val="center"/>
          </w:tcPr>
          <w:p w14:paraId="09751C6B">
            <w:pPr>
              <w:pStyle w:val="13"/>
            </w:pPr>
            <w:r>
              <w:t>六、科学技术支出</w:t>
            </w:r>
          </w:p>
        </w:tc>
        <w:tc>
          <w:tcPr>
            <w:tcW w:w="2126" w:type="dxa"/>
            <w:vAlign w:val="center"/>
          </w:tcPr>
          <w:p w14:paraId="59B0C2DF">
            <w:pPr>
              <w:pStyle w:val="14"/>
            </w:pPr>
          </w:p>
        </w:tc>
      </w:tr>
      <w:tr w14:paraId="5F353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299E3">
            <w:pPr>
              <w:pStyle w:val="12"/>
            </w:pPr>
            <w:r>
              <w:t>7</w:t>
            </w:r>
          </w:p>
        </w:tc>
        <w:tc>
          <w:tcPr>
            <w:tcW w:w="4535" w:type="dxa"/>
            <w:vAlign w:val="center"/>
          </w:tcPr>
          <w:p w14:paraId="32FE94F6">
            <w:pPr>
              <w:pStyle w:val="13"/>
            </w:pPr>
          </w:p>
        </w:tc>
        <w:tc>
          <w:tcPr>
            <w:tcW w:w="2126" w:type="dxa"/>
            <w:vAlign w:val="center"/>
          </w:tcPr>
          <w:p w14:paraId="3F9191DC">
            <w:pPr>
              <w:pStyle w:val="14"/>
            </w:pPr>
          </w:p>
        </w:tc>
        <w:tc>
          <w:tcPr>
            <w:tcW w:w="4535" w:type="dxa"/>
            <w:vAlign w:val="center"/>
          </w:tcPr>
          <w:p w14:paraId="236912FB">
            <w:pPr>
              <w:pStyle w:val="13"/>
            </w:pPr>
            <w:r>
              <w:t>七、文化旅游体育与传媒支出</w:t>
            </w:r>
          </w:p>
        </w:tc>
        <w:tc>
          <w:tcPr>
            <w:tcW w:w="2126" w:type="dxa"/>
            <w:vAlign w:val="center"/>
          </w:tcPr>
          <w:p w14:paraId="7901EDC0">
            <w:pPr>
              <w:pStyle w:val="14"/>
            </w:pPr>
          </w:p>
        </w:tc>
      </w:tr>
      <w:tr w14:paraId="07D46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AD407">
            <w:pPr>
              <w:pStyle w:val="12"/>
            </w:pPr>
            <w:r>
              <w:t>8</w:t>
            </w:r>
          </w:p>
        </w:tc>
        <w:tc>
          <w:tcPr>
            <w:tcW w:w="4535" w:type="dxa"/>
            <w:vAlign w:val="center"/>
          </w:tcPr>
          <w:p w14:paraId="32A320E5">
            <w:pPr>
              <w:pStyle w:val="13"/>
            </w:pPr>
          </w:p>
        </w:tc>
        <w:tc>
          <w:tcPr>
            <w:tcW w:w="2126" w:type="dxa"/>
            <w:vAlign w:val="center"/>
          </w:tcPr>
          <w:p w14:paraId="1AD59723">
            <w:pPr>
              <w:pStyle w:val="14"/>
            </w:pPr>
          </w:p>
        </w:tc>
        <w:tc>
          <w:tcPr>
            <w:tcW w:w="4535" w:type="dxa"/>
            <w:vAlign w:val="center"/>
          </w:tcPr>
          <w:p w14:paraId="0BBC0BB6">
            <w:pPr>
              <w:pStyle w:val="13"/>
            </w:pPr>
            <w:r>
              <w:t>八、社会保障和就业支出</w:t>
            </w:r>
          </w:p>
        </w:tc>
        <w:tc>
          <w:tcPr>
            <w:tcW w:w="2126" w:type="dxa"/>
            <w:vAlign w:val="center"/>
          </w:tcPr>
          <w:p w14:paraId="713DA617">
            <w:pPr>
              <w:pStyle w:val="14"/>
            </w:pPr>
          </w:p>
        </w:tc>
      </w:tr>
      <w:tr w14:paraId="06E04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589B1">
            <w:pPr>
              <w:pStyle w:val="12"/>
            </w:pPr>
            <w:r>
              <w:t>9</w:t>
            </w:r>
          </w:p>
        </w:tc>
        <w:tc>
          <w:tcPr>
            <w:tcW w:w="4535" w:type="dxa"/>
            <w:vAlign w:val="center"/>
          </w:tcPr>
          <w:p w14:paraId="01EC1B36">
            <w:pPr>
              <w:pStyle w:val="13"/>
            </w:pPr>
          </w:p>
        </w:tc>
        <w:tc>
          <w:tcPr>
            <w:tcW w:w="2126" w:type="dxa"/>
            <w:vAlign w:val="center"/>
          </w:tcPr>
          <w:p w14:paraId="20B95EC4">
            <w:pPr>
              <w:pStyle w:val="14"/>
            </w:pPr>
          </w:p>
        </w:tc>
        <w:tc>
          <w:tcPr>
            <w:tcW w:w="4535" w:type="dxa"/>
            <w:vAlign w:val="center"/>
          </w:tcPr>
          <w:p w14:paraId="01E20546">
            <w:pPr>
              <w:pStyle w:val="13"/>
            </w:pPr>
            <w:r>
              <w:t>九、社会保险基金支出</w:t>
            </w:r>
          </w:p>
        </w:tc>
        <w:tc>
          <w:tcPr>
            <w:tcW w:w="2126" w:type="dxa"/>
            <w:vAlign w:val="center"/>
          </w:tcPr>
          <w:p w14:paraId="302B4E7C">
            <w:pPr>
              <w:pStyle w:val="14"/>
            </w:pPr>
          </w:p>
        </w:tc>
      </w:tr>
      <w:tr w14:paraId="06A97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6D10D">
            <w:pPr>
              <w:pStyle w:val="12"/>
            </w:pPr>
            <w:r>
              <w:t>10</w:t>
            </w:r>
          </w:p>
        </w:tc>
        <w:tc>
          <w:tcPr>
            <w:tcW w:w="4535" w:type="dxa"/>
            <w:vAlign w:val="center"/>
          </w:tcPr>
          <w:p w14:paraId="6E3BDF05">
            <w:pPr>
              <w:pStyle w:val="13"/>
            </w:pPr>
          </w:p>
        </w:tc>
        <w:tc>
          <w:tcPr>
            <w:tcW w:w="2126" w:type="dxa"/>
            <w:vAlign w:val="center"/>
          </w:tcPr>
          <w:p w14:paraId="7832A655">
            <w:pPr>
              <w:pStyle w:val="14"/>
            </w:pPr>
          </w:p>
        </w:tc>
        <w:tc>
          <w:tcPr>
            <w:tcW w:w="4535" w:type="dxa"/>
            <w:vAlign w:val="center"/>
          </w:tcPr>
          <w:p w14:paraId="028ED2B4">
            <w:pPr>
              <w:pStyle w:val="13"/>
            </w:pPr>
            <w:r>
              <w:t>十、卫生健康支出</w:t>
            </w:r>
          </w:p>
        </w:tc>
        <w:tc>
          <w:tcPr>
            <w:tcW w:w="2126" w:type="dxa"/>
            <w:vAlign w:val="center"/>
          </w:tcPr>
          <w:p w14:paraId="5AB6B040">
            <w:pPr>
              <w:pStyle w:val="14"/>
            </w:pPr>
          </w:p>
        </w:tc>
      </w:tr>
      <w:tr w14:paraId="55792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EEA14">
            <w:pPr>
              <w:pStyle w:val="12"/>
            </w:pPr>
            <w:r>
              <w:t>11</w:t>
            </w:r>
          </w:p>
        </w:tc>
        <w:tc>
          <w:tcPr>
            <w:tcW w:w="4535" w:type="dxa"/>
            <w:vAlign w:val="center"/>
          </w:tcPr>
          <w:p w14:paraId="49DBB290">
            <w:pPr>
              <w:pStyle w:val="13"/>
            </w:pPr>
          </w:p>
        </w:tc>
        <w:tc>
          <w:tcPr>
            <w:tcW w:w="2126" w:type="dxa"/>
            <w:vAlign w:val="center"/>
          </w:tcPr>
          <w:p w14:paraId="46D07DF4">
            <w:pPr>
              <w:pStyle w:val="14"/>
            </w:pPr>
          </w:p>
        </w:tc>
        <w:tc>
          <w:tcPr>
            <w:tcW w:w="4535" w:type="dxa"/>
            <w:vAlign w:val="center"/>
          </w:tcPr>
          <w:p w14:paraId="3C05813C">
            <w:pPr>
              <w:pStyle w:val="13"/>
            </w:pPr>
            <w:r>
              <w:t>十一、节能环保支出</w:t>
            </w:r>
          </w:p>
        </w:tc>
        <w:tc>
          <w:tcPr>
            <w:tcW w:w="2126" w:type="dxa"/>
            <w:vAlign w:val="center"/>
          </w:tcPr>
          <w:p w14:paraId="37799EBA">
            <w:pPr>
              <w:pStyle w:val="14"/>
            </w:pPr>
          </w:p>
        </w:tc>
      </w:tr>
      <w:tr w14:paraId="06A4E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84469">
            <w:pPr>
              <w:pStyle w:val="12"/>
            </w:pPr>
            <w:r>
              <w:t>12</w:t>
            </w:r>
          </w:p>
        </w:tc>
        <w:tc>
          <w:tcPr>
            <w:tcW w:w="4535" w:type="dxa"/>
            <w:vAlign w:val="center"/>
          </w:tcPr>
          <w:p w14:paraId="0CB98F89">
            <w:pPr>
              <w:pStyle w:val="13"/>
            </w:pPr>
          </w:p>
        </w:tc>
        <w:tc>
          <w:tcPr>
            <w:tcW w:w="2126" w:type="dxa"/>
            <w:vAlign w:val="center"/>
          </w:tcPr>
          <w:p w14:paraId="172AEF9F">
            <w:pPr>
              <w:pStyle w:val="14"/>
            </w:pPr>
          </w:p>
        </w:tc>
        <w:tc>
          <w:tcPr>
            <w:tcW w:w="4535" w:type="dxa"/>
            <w:vAlign w:val="center"/>
          </w:tcPr>
          <w:p w14:paraId="7E61B288">
            <w:pPr>
              <w:pStyle w:val="13"/>
            </w:pPr>
            <w:r>
              <w:t>十二、城乡社区支出</w:t>
            </w:r>
          </w:p>
        </w:tc>
        <w:tc>
          <w:tcPr>
            <w:tcW w:w="2126" w:type="dxa"/>
            <w:vAlign w:val="center"/>
          </w:tcPr>
          <w:p w14:paraId="2B10CEC2">
            <w:pPr>
              <w:pStyle w:val="14"/>
            </w:pPr>
          </w:p>
        </w:tc>
      </w:tr>
      <w:tr w14:paraId="0169B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D170B">
            <w:pPr>
              <w:pStyle w:val="12"/>
            </w:pPr>
            <w:r>
              <w:t>13</w:t>
            </w:r>
          </w:p>
        </w:tc>
        <w:tc>
          <w:tcPr>
            <w:tcW w:w="4535" w:type="dxa"/>
            <w:vAlign w:val="center"/>
          </w:tcPr>
          <w:p w14:paraId="78A28947">
            <w:pPr>
              <w:pStyle w:val="13"/>
            </w:pPr>
          </w:p>
        </w:tc>
        <w:tc>
          <w:tcPr>
            <w:tcW w:w="2126" w:type="dxa"/>
            <w:vAlign w:val="center"/>
          </w:tcPr>
          <w:p w14:paraId="223B6AC1">
            <w:pPr>
              <w:pStyle w:val="14"/>
            </w:pPr>
          </w:p>
        </w:tc>
        <w:tc>
          <w:tcPr>
            <w:tcW w:w="4535" w:type="dxa"/>
            <w:vAlign w:val="center"/>
          </w:tcPr>
          <w:p w14:paraId="671C069A">
            <w:pPr>
              <w:pStyle w:val="13"/>
            </w:pPr>
            <w:r>
              <w:t>十三、农林水支出</w:t>
            </w:r>
          </w:p>
        </w:tc>
        <w:tc>
          <w:tcPr>
            <w:tcW w:w="2126" w:type="dxa"/>
            <w:vAlign w:val="center"/>
          </w:tcPr>
          <w:p w14:paraId="6DA86DB7">
            <w:pPr>
              <w:pStyle w:val="14"/>
            </w:pPr>
          </w:p>
        </w:tc>
      </w:tr>
      <w:tr w14:paraId="34290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457CB">
            <w:pPr>
              <w:pStyle w:val="12"/>
            </w:pPr>
            <w:r>
              <w:t>14</w:t>
            </w:r>
          </w:p>
        </w:tc>
        <w:tc>
          <w:tcPr>
            <w:tcW w:w="4535" w:type="dxa"/>
            <w:vAlign w:val="center"/>
          </w:tcPr>
          <w:p w14:paraId="303DDD51">
            <w:pPr>
              <w:pStyle w:val="13"/>
            </w:pPr>
          </w:p>
        </w:tc>
        <w:tc>
          <w:tcPr>
            <w:tcW w:w="2126" w:type="dxa"/>
            <w:vAlign w:val="center"/>
          </w:tcPr>
          <w:p w14:paraId="6E3EEEF3">
            <w:pPr>
              <w:pStyle w:val="14"/>
            </w:pPr>
          </w:p>
        </w:tc>
        <w:tc>
          <w:tcPr>
            <w:tcW w:w="4535" w:type="dxa"/>
            <w:vAlign w:val="center"/>
          </w:tcPr>
          <w:p w14:paraId="6DDCEAEA">
            <w:pPr>
              <w:pStyle w:val="13"/>
            </w:pPr>
            <w:r>
              <w:t>十四、交通运输支出</w:t>
            </w:r>
          </w:p>
        </w:tc>
        <w:tc>
          <w:tcPr>
            <w:tcW w:w="2126" w:type="dxa"/>
            <w:vAlign w:val="center"/>
          </w:tcPr>
          <w:p w14:paraId="4C4ED9F2">
            <w:pPr>
              <w:pStyle w:val="14"/>
            </w:pPr>
          </w:p>
        </w:tc>
      </w:tr>
      <w:tr w14:paraId="053CD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B06C0">
            <w:pPr>
              <w:pStyle w:val="12"/>
            </w:pPr>
            <w:r>
              <w:t>15</w:t>
            </w:r>
          </w:p>
        </w:tc>
        <w:tc>
          <w:tcPr>
            <w:tcW w:w="4535" w:type="dxa"/>
            <w:vAlign w:val="center"/>
          </w:tcPr>
          <w:p w14:paraId="45BCC3A5">
            <w:pPr>
              <w:pStyle w:val="13"/>
            </w:pPr>
          </w:p>
        </w:tc>
        <w:tc>
          <w:tcPr>
            <w:tcW w:w="2126" w:type="dxa"/>
            <w:vAlign w:val="center"/>
          </w:tcPr>
          <w:p w14:paraId="2DB6589F">
            <w:pPr>
              <w:pStyle w:val="14"/>
            </w:pPr>
          </w:p>
        </w:tc>
        <w:tc>
          <w:tcPr>
            <w:tcW w:w="4535" w:type="dxa"/>
            <w:vAlign w:val="center"/>
          </w:tcPr>
          <w:p w14:paraId="653B0C57">
            <w:pPr>
              <w:pStyle w:val="13"/>
            </w:pPr>
            <w:r>
              <w:t>十五、资源勘探工业信息等支出</w:t>
            </w:r>
          </w:p>
        </w:tc>
        <w:tc>
          <w:tcPr>
            <w:tcW w:w="2126" w:type="dxa"/>
            <w:vAlign w:val="center"/>
          </w:tcPr>
          <w:p w14:paraId="1E497700">
            <w:pPr>
              <w:pStyle w:val="14"/>
            </w:pPr>
          </w:p>
        </w:tc>
      </w:tr>
      <w:tr w14:paraId="31258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EFAE8">
            <w:pPr>
              <w:pStyle w:val="12"/>
            </w:pPr>
            <w:r>
              <w:t>16</w:t>
            </w:r>
          </w:p>
        </w:tc>
        <w:tc>
          <w:tcPr>
            <w:tcW w:w="4535" w:type="dxa"/>
            <w:vAlign w:val="center"/>
          </w:tcPr>
          <w:p w14:paraId="6AA402B0">
            <w:pPr>
              <w:pStyle w:val="13"/>
            </w:pPr>
          </w:p>
        </w:tc>
        <w:tc>
          <w:tcPr>
            <w:tcW w:w="2126" w:type="dxa"/>
            <w:vAlign w:val="center"/>
          </w:tcPr>
          <w:p w14:paraId="2BD145AE">
            <w:pPr>
              <w:pStyle w:val="14"/>
            </w:pPr>
          </w:p>
        </w:tc>
        <w:tc>
          <w:tcPr>
            <w:tcW w:w="4535" w:type="dxa"/>
            <w:vAlign w:val="center"/>
          </w:tcPr>
          <w:p w14:paraId="5352EB02">
            <w:pPr>
              <w:pStyle w:val="13"/>
            </w:pPr>
            <w:r>
              <w:t>十六、商业服务业等支出</w:t>
            </w:r>
          </w:p>
        </w:tc>
        <w:tc>
          <w:tcPr>
            <w:tcW w:w="2126" w:type="dxa"/>
            <w:vAlign w:val="center"/>
          </w:tcPr>
          <w:p w14:paraId="48BB047E">
            <w:pPr>
              <w:pStyle w:val="14"/>
            </w:pPr>
          </w:p>
        </w:tc>
      </w:tr>
      <w:tr w14:paraId="66946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F4CC9">
            <w:pPr>
              <w:pStyle w:val="12"/>
            </w:pPr>
            <w:r>
              <w:t>17</w:t>
            </w:r>
          </w:p>
        </w:tc>
        <w:tc>
          <w:tcPr>
            <w:tcW w:w="4535" w:type="dxa"/>
            <w:vAlign w:val="center"/>
          </w:tcPr>
          <w:p w14:paraId="121CC4C6">
            <w:pPr>
              <w:pStyle w:val="13"/>
            </w:pPr>
          </w:p>
        </w:tc>
        <w:tc>
          <w:tcPr>
            <w:tcW w:w="2126" w:type="dxa"/>
            <w:vAlign w:val="center"/>
          </w:tcPr>
          <w:p w14:paraId="7859F81E">
            <w:pPr>
              <w:pStyle w:val="14"/>
            </w:pPr>
          </w:p>
        </w:tc>
        <w:tc>
          <w:tcPr>
            <w:tcW w:w="4535" w:type="dxa"/>
            <w:vAlign w:val="center"/>
          </w:tcPr>
          <w:p w14:paraId="1B163E6B">
            <w:pPr>
              <w:pStyle w:val="13"/>
            </w:pPr>
            <w:r>
              <w:t>十七、金融支出</w:t>
            </w:r>
          </w:p>
        </w:tc>
        <w:tc>
          <w:tcPr>
            <w:tcW w:w="2126" w:type="dxa"/>
            <w:vAlign w:val="center"/>
          </w:tcPr>
          <w:p w14:paraId="19EF8CB9">
            <w:pPr>
              <w:pStyle w:val="14"/>
            </w:pPr>
          </w:p>
        </w:tc>
      </w:tr>
      <w:tr w14:paraId="5B940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8BD1C">
            <w:pPr>
              <w:pStyle w:val="12"/>
            </w:pPr>
            <w:r>
              <w:t>18</w:t>
            </w:r>
          </w:p>
        </w:tc>
        <w:tc>
          <w:tcPr>
            <w:tcW w:w="4535" w:type="dxa"/>
            <w:vAlign w:val="center"/>
          </w:tcPr>
          <w:p w14:paraId="6A2CA955">
            <w:pPr>
              <w:pStyle w:val="13"/>
            </w:pPr>
          </w:p>
        </w:tc>
        <w:tc>
          <w:tcPr>
            <w:tcW w:w="2126" w:type="dxa"/>
            <w:vAlign w:val="center"/>
          </w:tcPr>
          <w:p w14:paraId="45E7A6F0">
            <w:pPr>
              <w:pStyle w:val="14"/>
            </w:pPr>
          </w:p>
        </w:tc>
        <w:tc>
          <w:tcPr>
            <w:tcW w:w="4535" w:type="dxa"/>
            <w:vAlign w:val="center"/>
          </w:tcPr>
          <w:p w14:paraId="1FEB1504">
            <w:pPr>
              <w:pStyle w:val="13"/>
            </w:pPr>
            <w:r>
              <w:t>十八、援助其他地区支出</w:t>
            </w:r>
          </w:p>
        </w:tc>
        <w:tc>
          <w:tcPr>
            <w:tcW w:w="2126" w:type="dxa"/>
            <w:vAlign w:val="center"/>
          </w:tcPr>
          <w:p w14:paraId="243DEEAB">
            <w:pPr>
              <w:pStyle w:val="14"/>
            </w:pPr>
          </w:p>
        </w:tc>
      </w:tr>
      <w:tr w14:paraId="631F2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494B4">
            <w:pPr>
              <w:pStyle w:val="12"/>
            </w:pPr>
            <w:r>
              <w:t>19</w:t>
            </w:r>
          </w:p>
        </w:tc>
        <w:tc>
          <w:tcPr>
            <w:tcW w:w="4535" w:type="dxa"/>
            <w:vAlign w:val="center"/>
          </w:tcPr>
          <w:p w14:paraId="7FB30271">
            <w:pPr>
              <w:pStyle w:val="13"/>
            </w:pPr>
          </w:p>
        </w:tc>
        <w:tc>
          <w:tcPr>
            <w:tcW w:w="2126" w:type="dxa"/>
            <w:vAlign w:val="center"/>
          </w:tcPr>
          <w:p w14:paraId="571975A9">
            <w:pPr>
              <w:pStyle w:val="14"/>
            </w:pPr>
          </w:p>
        </w:tc>
        <w:tc>
          <w:tcPr>
            <w:tcW w:w="4535" w:type="dxa"/>
            <w:vAlign w:val="center"/>
          </w:tcPr>
          <w:p w14:paraId="24078E53">
            <w:pPr>
              <w:pStyle w:val="13"/>
            </w:pPr>
            <w:r>
              <w:t>十九、自然资源海洋气象等支出</w:t>
            </w:r>
          </w:p>
        </w:tc>
        <w:tc>
          <w:tcPr>
            <w:tcW w:w="2126" w:type="dxa"/>
            <w:vAlign w:val="center"/>
          </w:tcPr>
          <w:p w14:paraId="178680AF">
            <w:pPr>
              <w:pStyle w:val="14"/>
            </w:pPr>
          </w:p>
        </w:tc>
      </w:tr>
      <w:tr w14:paraId="62BA3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1989A">
            <w:pPr>
              <w:pStyle w:val="12"/>
            </w:pPr>
            <w:r>
              <w:t>20</w:t>
            </w:r>
          </w:p>
        </w:tc>
        <w:tc>
          <w:tcPr>
            <w:tcW w:w="4535" w:type="dxa"/>
            <w:vAlign w:val="center"/>
          </w:tcPr>
          <w:p w14:paraId="1E8DEF8C">
            <w:pPr>
              <w:pStyle w:val="13"/>
            </w:pPr>
          </w:p>
        </w:tc>
        <w:tc>
          <w:tcPr>
            <w:tcW w:w="2126" w:type="dxa"/>
            <w:vAlign w:val="center"/>
          </w:tcPr>
          <w:p w14:paraId="56E0B9DC">
            <w:pPr>
              <w:pStyle w:val="14"/>
            </w:pPr>
          </w:p>
        </w:tc>
        <w:tc>
          <w:tcPr>
            <w:tcW w:w="4535" w:type="dxa"/>
            <w:vAlign w:val="center"/>
          </w:tcPr>
          <w:p w14:paraId="4D19FECD">
            <w:pPr>
              <w:pStyle w:val="13"/>
            </w:pPr>
            <w:r>
              <w:t>二十、住房保障支出</w:t>
            </w:r>
          </w:p>
        </w:tc>
        <w:tc>
          <w:tcPr>
            <w:tcW w:w="2126" w:type="dxa"/>
            <w:vAlign w:val="center"/>
          </w:tcPr>
          <w:p w14:paraId="10B2190C">
            <w:pPr>
              <w:pStyle w:val="14"/>
            </w:pPr>
          </w:p>
        </w:tc>
      </w:tr>
      <w:tr w14:paraId="61F8F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94985">
            <w:pPr>
              <w:pStyle w:val="12"/>
            </w:pPr>
            <w:r>
              <w:t>21</w:t>
            </w:r>
          </w:p>
        </w:tc>
        <w:tc>
          <w:tcPr>
            <w:tcW w:w="4535" w:type="dxa"/>
            <w:vAlign w:val="center"/>
          </w:tcPr>
          <w:p w14:paraId="6A0F7ED9">
            <w:pPr>
              <w:pStyle w:val="13"/>
            </w:pPr>
          </w:p>
        </w:tc>
        <w:tc>
          <w:tcPr>
            <w:tcW w:w="2126" w:type="dxa"/>
            <w:vAlign w:val="center"/>
          </w:tcPr>
          <w:p w14:paraId="3CEE8BFF">
            <w:pPr>
              <w:pStyle w:val="14"/>
            </w:pPr>
          </w:p>
        </w:tc>
        <w:tc>
          <w:tcPr>
            <w:tcW w:w="4535" w:type="dxa"/>
            <w:vAlign w:val="center"/>
          </w:tcPr>
          <w:p w14:paraId="56B7A787">
            <w:pPr>
              <w:pStyle w:val="13"/>
            </w:pPr>
            <w:r>
              <w:t>二十一、粮油物资储备支出</w:t>
            </w:r>
          </w:p>
        </w:tc>
        <w:tc>
          <w:tcPr>
            <w:tcW w:w="2126" w:type="dxa"/>
            <w:vAlign w:val="center"/>
          </w:tcPr>
          <w:p w14:paraId="6009D0E2">
            <w:pPr>
              <w:pStyle w:val="14"/>
            </w:pPr>
          </w:p>
        </w:tc>
      </w:tr>
      <w:tr w14:paraId="398DB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6BB74">
            <w:pPr>
              <w:pStyle w:val="12"/>
            </w:pPr>
            <w:r>
              <w:t>22</w:t>
            </w:r>
          </w:p>
        </w:tc>
        <w:tc>
          <w:tcPr>
            <w:tcW w:w="4535" w:type="dxa"/>
            <w:vAlign w:val="center"/>
          </w:tcPr>
          <w:p w14:paraId="047E78F5">
            <w:pPr>
              <w:pStyle w:val="13"/>
            </w:pPr>
          </w:p>
        </w:tc>
        <w:tc>
          <w:tcPr>
            <w:tcW w:w="2126" w:type="dxa"/>
            <w:vAlign w:val="center"/>
          </w:tcPr>
          <w:p w14:paraId="3928190A">
            <w:pPr>
              <w:pStyle w:val="14"/>
            </w:pPr>
          </w:p>
        </w:tc>
        <w:tc>
          <w:tcPr>
            <w:tcW w:w="4535" w:type="dxa"/>
            <w:vAlign w:val="center"/>
          </w:tcPr>
          <w:p w14:paraId="4089A310">
            <w:pPr>
              <w:pStyle w:val="13"/>
            </w:pPr>
            <w:r>
              <w:t>二十二、国有资本经营预算支出</w:t>
            </w:r>
          </w:p>
        </w:tc>
        <w:tc>
          <w:tcPr>
            <w:tcW w:w="2126" w:type="dxa"/>
            <w:vAlign w:val="center"/>
          </w:tcPr>
          <w:p w14:paraId="28280E96">
            <w:pPr>
              <w:pStyle w:val="14"/>
            </w:pPr>
          </w:p>
        </w:tc>
      </w:tr>
      <w:tr w14:paraId="1AFE4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B3B47">
            <w:pPr>
              <w:pStyle w:val="12"/>
            </w:pPr>
            <w:r>
              <w:t>23</w:t>
            </w:r>
          </w:p>
        </w:tc>
        <w:tc>
          <w:tcPr>
            <w:tcW w:w="4535" w:type="dxa"/>
            <w:vAlign w:val="center"/>
          </w:tcPr>
          <w:p w14:paraId="3B39434D">
            <w:pPr>
              <w:pStyle w:val="13"/>
            </w:pPr>
          </w:p>
        </w:tc>
        <w:tc>
          <w:tcPr>
            <w:tcW w:w="2126" w:type="dxa"/>
            <w:vAlign w:val="center"/>
          </w:tcPr>
          <w:p w14:paraId="59E06F23">
            <w:pPr>
              <w:pStyle w:val="14"/>
            </w:pPr>
          </w:p>
        </w:tc>
        <w:tc>
          <w:tcPr>
            <w:tcW w:w="4535" w:type="dxa"/>
            <w:vAlign w:val="center"/>
          </w:tcPr>
          <w:p w14:paraId="05294A28">
            <w:pPr>
              <w:pStyle w:val="13"/>
            </w:pPr>
            <w:r>
              <w:t>二十三、灾害防治及应急管理支出</w:t>
            </w:r>
          </w:p>
        </w:tc>
        <w:tc>
          <w:tcPr>
            <w:tcW w:w="2126" w:type="dxa"/>
            <w:vAlign w:val="center"/>
          </w:tcPr>
          <w:p w14:paraId="7D199FB1">
            <w:pPr>
              <w:pStyle w:val="14"/>
            </w:pPr>
          </w:p>
        </w:tc>
      </w:tr>
      <w:tr w14:paraId="7B5A4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7FA2D">
            <w:pPr>
              <w:pStyle w:val="12"/>
            </w:pPr>
            <w:r>
              <w:t>24</w:t>
            </w:r>
          </w:p>
        </w:tc>
        <w:tc>
          <w:tcPr>
            <w:tcW w:w="4535" w:type="dxa"/>
            <w:vAlign w:val="center"/>
          </w:tcPr>
          <w:p w14:paraId="024ADECD">
            <w:pPr>
              <w:pStyle w:val="13"/>
            </w:pPr>
          </w:p>
        </w:tc>
        <w:tc>
          <w:tcPr>
            <w:tcW w:w="2126" w:type="dxa"/>
            <w:vAlign w:val="center"/>
          </w:tcPr>
          <w:p w14:paraId="4C8BA943">
            <w:pPr>
              <w:pStyle w:val="14"/>
            </w:pPr>
          </w:p>
        </w:tc>
        <w:tc>
          <w:tcPr>
            <w:tcW w:w="4535" w:type="dxa"/>
            <w:vAlign w:val="center"/>
          </w:tcPr>
          <w:p w14:paraId="25621E29">
            <w:pPr>
              <w:pStyle w:val="13"/>
            </w:pPr>
            <w:r>
              <w:t>二十四、预备费</w:t>
            </w:r>
          </w:p>
        </w:tc>
        <w:tc>
          <w:tcPr>
            <w:tcW w:w="2126" w:type="dxa"/>
            <w:vAlign w:val="center"/>
          </w:tcPr>
          <w:p w14:paraId="3955A1F4">
            <w:pPr>
              <w:pStyle w:val="14"/>
            </w:pPr>
          </w:p>
        </w:tc>
      </w:tr>
      <w:tr w14:paraId="27B67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FCC57">
            <w:pPr>
              <w:pStyle w:val="12"/>
            </w:pPr>
            <w:r>
              <w:t>25</w:t>
            </w:r>
          </w:p>
        </w:tc>
        <w:tc>
          <w:tcPr>
            <w:tcW w:w="4535" w:type="dxa"/>
            <w:vAlign w:val="center"/>
          </w:tcPr>
          <w:p w14:paraId="528E47A4">
            <w:pPr>
              <w:pStyle w:val="13"/>
            </w:pPr>
          </w:p>
        </w:tc>
        <w:tc>
          <w:tcPr>
            <w:tcW w:w="2126" w:type="dxa"/>
            <w:vAlign w:val="center"/>
          </w:tcPr>
          <w:p w14:paraId="708612A7">
            <w:pPr>
              <w:pStyle w:val="14"/>
            </w:pPr>
          </w:p>
        </w:tc>
        <w:tc>
          <w:tcPr>
            <w:tcW w:w="4535" w:type="dxa"/>
            <w:vAlign w:val="center"/>
          </w:tcPr>
          <w:p w14:paraId="63136421">
            <w:pPr>
              <w:pStyle w:val="13"/>
            </w:pPr>
            <w:r>
              <w:t>二十五、其他支出</w:t>
            </w:r>
          </w:p>
        </w:tc>
        <w:tc>
          <w:tcPr>
            <w:tcW w:w="2126" w:type="dxa"/>
            <w:vAlign w:val="center"/>
          </w:tcPr>
          <w:p w14:paraId="22A39EF6">
            <w:pPr>
              <w:pStyle w:val="14"/>
            </w:pPr>
          </w:p>
        </w:tc>
      </w:tr>
      <w:tr w14:paraId="3DB2F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EABAA">
            <w:pPr>
              <w:pStyle w:val="12"/>
            </w:pPr>
            <w:r>
              <w:t>26</w:t>
            </w:r>
          </w:p>
        </w:tc>
        <w:tc>
          <w:tcPr>
            <w:tcW w:w="4535" w:type="dxa"/>
            <w:vAlign w:val="center"/>
          </w:tcPr>
          <w:p w14:paraId="238C3025">
            <w:pPr>
              <w:pStyle w:val="13"/>
            </w:pPr>
          </w:p>
        </w:tc>
        <w:tc>
          <w:tcPr>
            <w:tcW w:w="2126" w:type="dxa"/>
            <w:vAlign w:val="center"/>
          </w:tcPr>
          <w:p w14:paraId="46408E5F">
            <w:pPr>
              <w:pStyle w:val="14"/>
            </w:pPr>
          </w:p>
        </w:tc>
        <w:tc>
          <w:tcPr>
            <w:tcW w:w="4535" w:type="dxa"/>
            <w:vAlign w:val="center"/>
          </w:tcPr>
          <w:p w14:paraId="0494FFAF">
            <w:pPr>
              <w:pStyle w:val="13"/>
            </w:pPr>
            <w:r>
              <w:t>二十六、转移性支出</w:t>
            </w:r>
          </w:p>
        </w:tc>
        <w:tc>
          <w:tcPr>
            <w:tcW w:w="2126" w:type="dxa"/>
            <w:vAlign w:val="center"/>
          </w:tcPr>
          <w:p w14:paraId="52A7B008">
            <w:pPr>
              <w:pStyle w:val="14"/>
            </w:pPr>
          </w:p>
        </w:tc>
      </w:tr>
      <w:tr w14:paraId="49303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4FE8A">
            <w:pPr>
              <w:pStyle w:val="12"/>
            </w:pPr>
            <w:r>
              <w:t>27</w:t>
            </w:r>
          </w:p>
        </w:tc>
        <w:tc>
          <w:tcPr>
            <w:tcW w:w="4535" w:type="dxa"/>
            <w:vAlign w:val="center"/>
          </w:tcPr>
          <w:p w14:paraId="553E59A1">
            <w:pPr>
              <w:pStyle w:val="13"/>
            </w:pPr>
          </w:p>
        </w:tc>
        <w:tc>
          <w:tcPr>
            <w:tcW w:w="2126" w:type="dxa"/>
            <w:vAlign w:val="center"/>
          </w:tcPr>
          <w:p w14:paraId="0735749E">
            <w:pPr>
              <w:pStyle w:val="14"/>
            </w:pPr>
          </w:p>
        </w:tc>
        <w:tc>
          <w:tcPr>
            <w:tcW w:w="4535" w:type="dxa"/>
            <w:vAlign w:val="center"/>
          </w:tcPr>
          <w:p w14:paraId="1488FA64">
            <w:pPr>
              <w:pStyle w:val="13"/>
            </w:pPr>
            <w:r>
              <w:t>二十七、债务还本支出</w:t>
            </w:r>
          </w:p>
        </w:tc>
        <w:tc>
          <w:tcPr>
            <w:tcW w:w="2126" w:type="dxa"/>
            <w:vAlign w:val="center"/>
          </w:tcPr>
          <w:p w14:paraId="4D7F71B7">
            <w:pPr>
              <w:pStyle w:val="14"/>
            </w:pPr>
          </w:p>
        </w:tc>
      </w:tr>
      <w:tr w14:paraId="20E29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87AFC">
            <w:pPr>
              <w:pStyle w:val="12"/>
            </w:pPr>
            <w:r>
              <w:t>28</w:t>
            </w:r>
          </w:p>
        </w:tc>
        <w:tc>
          <w:tcPr>
            <w:tcW w:w="4535" w:type="dxa"/>
            <w:vAlign w:val="center"/>
          </w:tcPr>
          <w:p w14:paraId="0E77EF6C">
            <w:pPr>
              <w:pStyle w:val="13"/>
            </w:pPr>
          </w:p>
        </w:tc>
        <w:tc>
          <w:tcPr>
            <w:tcW w:w="2126" w:type="dxa"/>
            <w:vAlign w:val="center"/>
          </w:tcPr>
          <w:p w14:paraId="63973AAC">
            <w:pPr>
              <w:pStyle w:val="14"/>
            </w:pPr>
          </w:p>
        </w:tc>
        <w:tc>
          <w:tcPr>
            <w:tcW w:w="4535" w:type="dxa"/>
            <w:vAlign w:val="center"/>
          </w:tcPr>
          <w:p w14:paraId="76AD6BE4">
            <w:pPr>
              <w:pStyle w:val="13"/>
            </w:pPr>
            <w:r>
              <w:t>二十八、债务付息支出</w:t>
            </w:r>
          </w:p>
        </w:tc>
        <w:tc>
          <w:tcPr>
            <w:tcW w:w="2126" w:type="dxa"/>
            <w:vAlign w:val="center"/>
          </w:tcPr>
          <w:p w14:paraId="3817D0D2">
            <w:pPr>
              <w:pStyle w:val="14"/>
            </w:pPr>
          </w:p>
        </w:tc>
      </w:tr>
      <w:tr w14:paraId="1417F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7F2C2">
            <w:pPr>
              <w:pStyle w:val="12"/>
            </w:pPr>
            <w:r>
              <w:t>29</w:t>
            </w:r>
          </w:p>
        </w:tc>
        <w:tc>
          <w:tcPr>
            <w:tcW w:w="4535" w:type="dxa"/>
            <w:vAlign w:val="center"/>
          </w:tcPr>
          <w:p w14:paraId="36550781">
            <w:pPr>
              <w:pStyle w:val="13"/>
            </w:pPr>
          </w:p>
        </w:tc>
        <w:tc>
          <w:tcPr>
            <w:tcW w:w="2126" w:type="dxa"/>
            <w:vAlign w:val="center"/>
          </w:tcPr>
          <w:p w14:paraId="713FEA29">
            <w:pPr>
              <w:pStyle w:val="14"/>
            </w:pPr>
          </w:p>
        </w:tc>
        <w:tc>
          <w:tcPr>
            <w:tcW w:w="4535" w:type="dxa"/>
            <w:vAlign w:val="center"/>
          </w:tcPr>
          <w:p w14:paraId="36FFDE15">
            <w:pPr>
              <w:pStyle w:val="13"/>
            </w:pPr>
            <w:r>
              <w:t>二十九、债务发行费用支出</w:t>
            </w:r>
          </w:p>
        </w:tc>
        <w:tc>
          <w:tcPr>
            <w:tcW w:w="2126" w:type="dxa"/>
            <w:vAlign w:val="center"/>
          </w:tcPr>
          <w:p w14:paraId="1F2420F6">
            <w:pPr>
              <w:pStyle w:val="14"/>
            </w:pPr>
          </w:p>
        </w:tc>
      </w:tr>
      <w:tr w14:paraId="4C5E0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9DB1A">
            <w:pPr>
              <w:pStyle w:val="12"/>
            </w:pPr>
            <w:r>
              <w:t>30</w:t>
            </w:r>
          </w:p>
        </w:tc>
        <w:tc>
          <w:tcPr>
            <w:tcW w:w="4535" w:type="dxa"/>
            <w:vAlign w:val="center"/>
          </w:tcPr>
          <w:p w14:paraId="33D13D82">
            <w:pPr>
              <w:pStyle w:val="13"/>
            </w:pPr>
          </w:p>
        </w:tc>
        <w:tc>
          <w:tcPr>
            <w:tcW w:w="2126" w:type="dxa"/>
            <w:vAlign w:val="center"/>
          </w:tcPr>
          <w:p w14:paraId="6903019D">
            <w:pPr>
              <w:pStyle w:val="14"/>
            </w:pPr>
          </w:p>
        </w:tc>
        <w:tc>
          <w:tcPr>
            <w:tcW w:w="4535" w:type="dxa"/>
            <w:vAlign w:val="center"/>
          </w:tcPr>
          <w:p w14:paraId="5FBC8089">
            <w:pPr>
              <w:pStyle w:val="13"/>
            </w:pPr>
            <w:r>
              <w:t>三十、抗疫特别国债安排的支出</w:t>
            </w:r>
          </w:p>
        </w:tc>
        <w:tc>
          <w:tcPr>
            <w:tcW w:w="2126" w:type="dxa"/>
            <w:vAlign w:val="center"/>
          </w:tcPr>
          <w:p w14:paraId="7148F696">
            <w:pPr>
              <w:pStyle w:val="14"/>
            </w:pPr>
          </w:p>
        </w:tc>
      </w:tr>
      <w:tr w14:paraId="20B93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ECF33">
            <w:pPr>
              <w:pStyle w:val="12"/>
            </w:pPr>
            <w:r>
              <w:t>31</w:t>
            </w:r>
          </w:p>
        </w:tc>
        <w:tc>
          <w:tcPr>
            <w:tcW w:w="4535" w:type="dxa"/>
            <w:vAlign w:val="center"/>
          </w:tcPr>
          <w:p w14:paraId="28F1CD5F">
            <w:pPr>
              <w:pStyle w:val="13"/>
            </w:pPr>
          </w:p>
        </w:tc>
        <w:tc>
          <w:tcPr>
            <w:tcW w:w="2126" w:type="dxa"/>
            <w:vAlign w:val="center"/>
          </w:tcPr>
          <w:p w14:paraId="56494639">
            <w:pPr>
              <w:pStyle w:val="14"/>
            </w:pPr>
          </w:p>
        </w:tc>
        <w:tc>
          <w:tcPr>
            <w:tcW w:w="4535" w:type="dxa"/>
            <w:vAlign w:val="center"/>
          </w:tcPr>
          <w:p w14:paraId="79BF6359">
            <w:pPr>
              <w:pStyle w:val="13"/>
            </w:pPr>
            <w:r>
              <w:t>三十一、人行科目</w:t>
            </w:r>
          </w:p>
        </w:tc>
        <w:tc>
          <w:tcPr>
            <w:tcW w:w="2126" w:type="dxa"/>
            <w:vAlign w:val="center"/>
          </w:tcPr>
          <w:p w14:paraId="1EED68F8">
            <w:pPr>
              <w:pStyle w:val="14"/>
            </w:pPr>
          </w:p>
        </w:tc>
      </w:tr>
      <w:tr w14:paraId="11863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C3669">
            <w:pPr>
              <w:pStyle w:val="12"/>
            </w:pPr>
            <w:r>
              <w:t>32</w:t>
            </w:r>
          </w:p>
        </w:tc>
        <w:tc>
          <w:tcPr>
            <w:tcW w:w="4535" w:type="dxa"/>
            <w:vAlign w:val="center"/>
          </w:tcPr>
          <w:p w14:paraId="52709783">
            <w:pPr>
              <w:pStyle w:val="15"/>
            </w:pPr>
            <w:r>
              <w:t>本年收入合计</w:t>
            </w:r>
          </w:p>
        </w:tc>
        <w:tc>
          <w:tcPr>
            <w:tcW w:w="2126" w:type="dxa"/>
            <w:vAlign w:val="center"/>
          </w:tcPr>
          <w:p w14:paraId="2C0761BE">
            <w:pPr>
              <w:pStyle w:val="16"/>
            </w:pPr>
            <w:r>
              <w:t>1447.97</w:t>
            </w:r>
          </w:p>
        </w:tc>
        <w:tc>
          <w:tcPr>
            <w:tcW w:w="4535" w:type="dxa"/>
            <w:vAlign w:val="center"/>
          </w:tcPr>
          <w:p w14:paraId="09BEABD6">
            <w:pPr>
              <w:pStyle w:val="15"/>
            </w:pPr>
            <w:r>
              <w:t>本年支出合计</w:t>
            </w:r>
          </w:p>
        </w:tc>
        <w:tc>
          <w:tcPr>
            <w:tcW w:w="2126" w:type="dxa"/>
            <w:vAlign w:val="center"/>
          </w:tcPr>
          <w:p w14:paraId="5BA3C88C">
            <w:pPr>
              <w:pStyle w:val="16"/>
            </w:pPr>
            <w:r>
              <w:t>1447.97</w:t>
            </w:r>
          </w:p>
        </w:tc>
      </w:tr>
      <w:tr w14:paraId="42383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149BE">
            <w:pPr>
              <w:pStyle w:val="12"/>
            </w:pPr>
            <w:r>
              <w:t>33</w:t>
            </w:r>
          </w:p>
        </w:tc>
        <w:tc>
          <w:tcPr>
            <w:tcW w:w="4535" w:type="dxa"/>
            <w:vAlign w:val="center"/>
          </w:tcPr>
          <w:p w14:paraId="4BE7AF26">
            <w:pPr>
              <w:pStyle w:val="13"/>
            </w:pPr>
            <w:r>
              <w:t>上年结转结余</w:t>
            </w:r>
          </w:p>
        </w:tc>
        <w:tc>
          <w:tcPr>
            <w:tcW w:w="2126" w:type="dxa"/>
            <w:vAlign w:val="center"/>
          </w:tcPr>
          <w:p w14:paraId="1C82C886">
            <w:pPr>
              <w:pStyle w:val="14"/>
            </w:pPr>
          </w:p>
        </w:tc>
        <w:tc>
          <w:tcPr>
            <w:tcW w:w="4535" w:type="dxa"/>
            <w:vAlign w:val="center"/>
          </w:tcPr>
          <w:p w14:paraId="02F450B2">
            <w:pPr>
              <w:pStyle w:val="13"/>
            </w:pPr>
            <w:r>
              <w:t>年终结转结余</w:t>
            </w:r>
          </w:p>
        </w:tc>
        <w:tc>
          <w:tcPr>
            <w:tcW w:w="2126" w:type="dxa"/>
            <w:vAlign w:val="center"/>
          </w:tcPr>
          <w:p w14:paraId="51E2F04E">
            <w:pPr>
              <w:pStyle w:val="14"/>
            </w:pPr>
          </w:p>
        </w:tc>
      </w:tr>
      <w:tr w14:paraId="154A0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AE98C">
            <w:pPr>
              <w:pStyle w:val="12"/>
            </w:pPr>
            <w:r>
              <w:t>34</w:t>
            </w:r>
          </w:p>
        </w:tc>
        <w:tc>
          <w:tcPr>
            <w:tcW w:w="4535" w:type="dxa"/>
            <w:vAlign w:val="center"/>
          </w:tcPr>
          <w:p w14:paraId="68932B47">
            <w:pPr>
              <w:pStyle w:val="15"/>
            </w:pPr>
            <w:r>
              <w:t>收入总计</w:t>
            </w:r>
          </w:p>
        </w:tc>
        <w:tc>
          <w:tcPr>
            <w:tcW w:w="2126" w:type="dxa"/>
            <w:vAlign w:val="center"/>
          </w:tcPr>
          <w:p w14:paraId="6CE2B13A">
            <w:pPr>
              <w:pStyle w:val="16"/>
            </w:pPr>
            <w:r>
              <w:t>1447.97</w:t>
            </w:r>
          </w:p>
        </w:tc>
        <w:tc>
          <w:tcPr>
            <w:tcW w:w="4535" w:type="dxa"/>
            <w:vAlign w:val="center"/>
          </w:tcPr>
          <w:p w14:paraId="12B2887D">
            <w:pPr>
              <w:pStyle w:val="15"/>
            </w:pPr>
            <w:r>
              <w:t>支出总计</w:t>
            </w:r>
          </w:p>
        </w:tc>
        <w:tc>
          <w:tcPr>
            <w:tcW w:w="2126" w:type="dxa"/>
            <w:vAlign w:val="center"/>
          </w:tcPr>
          <w:p w14:paraId="1C32C7AD">
            <w:pPr>
              <w:pStyle w:val="16"/>
            </w:pPr>
            <w:r>
              <w:t>1447.97</w:t>
            </w:r>
          </w:p>
        </w:tc>
      </w:tr>
    </w:tbl>
    <w:p w14:paraId="3213544B">
      <w:pPr>
        <w:sectPr>
          <w:pgSz w:w="16840" w:h="11900" w:orient="landscape"/>
          <w:pgMar w:top="1361" w:right="1020" w:bottom="1134" w:left="1020" w:header="720" w:footer="720" w:gutter="0"/>
          <w:cols w:space="720" w:num="1"/>
        </w:sectPr>
      </w:pPr>
    </w:p>
    <w:p w14:paraId="2FF66E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C8A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184BE1">
            <w:pPr>
              <w:pStyle w:val="8"/>
            </w:pPr>
            <w:r>
              <w:t>360009河北省隆尧县滏阳中学</w:t>
            </w:r>
          </w:p>
        </w:tc>
        <w:tc>
          <w:tcPr>
            <w:tcW w:w="3402" w:type="dxa"/>
            <w:gridSpan w:val="3"/>
            <w:tcBorders>
              <w:top w:val="single" w:color="FFFFFF" w:sz="6" w:space="0"/>
              <w:left w:val="single" w:color="FFFFFF" w:sz="6" w:space="0"/>
              <w:right w:val="single" w:color="FFFFFF" w:sz="6" w:space="0"/>
            </w:tcBorders>
            <w:vAlign w:val="center"/>
          </w:tcPr>
          <w:p w14:paraId="4DF75A7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45A8F66">
            <w:pPr>
              <w:pStyle w:val="10"/>
            </w:pPr>
            <w:r>
              <w:t>单位：万元</w:t>
            </w:r>
          </w:p>
        </w:tc>
      </w:tr>
      <w:tr w14:paraId="544CF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893ECF">
            <w:pPr>
              <w:pStyle w:val="11"/>
            </w:pPr>
            <w:r>
              <w:t>序号</w:t>
            </w:r>
          </w:p>
        </w:tc>
        <w:tc>
          <w:tcPr>
            <w:tcW w:w="2551" w:type="dxa"/>
            <w:gridSpan w:val="2"/>
            <w:vAlign w:val="center"/>
          </w:tcPr>
          <w:p w14:paraId="38FAEBAE">
            <w:pPr>
              <w:pStyle w:val="11"/>
            </w:pPr>
            <w:r>
              <w:t>功能分类科目</w:t>
            </w:r>
          </w:p>
        </w:tc>
        <w:tc>
          <w:tcPr>
            <w:tcW w:w="1134" w:type="dxa"/>
            <w:vMerge w:val="restart"/>
            <w:vAlign w:val="center"/>
          </w:tcPr>
          <w:p w14:paraId="5D7D1B72">
            <w:pPr>
              <w:pStyle w:val="11"/>
            </w:pPr>
            <w:r>
              <w:t>合计</w:t>
            </w:r>
          </w:p>
        </w:tc>
        <w:tc>
          <w:tcPr>
            <w:tcW w:w="9072" w:type="dxa"/>
            <w:gridSpan w:val="8"/>
            <w:vAlign w:val="center"/>
          </w:tcPr>
          <w:p w14:paraId="4FFF6454">
            <w:pPr>
              <w:pStyle w:val="11"/>
            </w:pPr>
            <w:r>
              <w:t>本年收入</w:t>
            </w:r>
          </w:p>
        </w:tc>
        <w:tc>
          <w:tcPr>
            <w:tcW w:w="1134" w:type="dxa"/>
            <w:vMerge w:val="restart"/>
            <w:vAlign w:val="center"/>
          </w:tcPr>
          <w:p w14:paraId="27590291">
            <w:pPr>
              <w:pStyle w:val="11"/>
            </w:pPr>
            <w:r>
              <w:t>上年结转</w:t>
            </w:r>
          </w:p>
        </w:tc>
      </w:tr>
      <w:tr w14:paraId="3E2C6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25DDDA"/>
        </w:tc>
        <w:tc>
          <w:tcPr>
            <w:tcW w:w="992" w:type="dxa"/>
            <w:vAlign w:val="center"/>
          </w:tcPr>
          <w:p w14:paraId="1DF80A25">
            <w:pPr>
              <w:pStyle w:val="11"/>
            </w:pPr>
            <w:r>
              <w:t>科目    编码</w:t>
            </w:r>
          </w:p>
        </w:tc>
        <w:tc>
          <w:tcPr>
            <w:tcW w:w="1559" w:type="dxa"/>
            <w:vAlign w:val="center"/>
          </w:tcPr>
          <w:p w14:paraId="548ECFC4">
            <w:pPr>
              <w:pStyle w:val="11"/>
            </w:pPr>
            <w:r>
              <w:t>科目名称</w:t>
            </w:r>
          </w:p>
        </w:tc>
        <w:tc>
          <w:tcPr>
            <w:tcW w:w="1134" w:type="dxa"/>
            <w:vMerge w:val="continue"/>
          </w:tcPr>
          <w:p w14:paraId="7D2EAF71"/>
        </w:tc>
        <w:tc>
          <w:tcPr>
            <w:tcW w:w="1134" w:type="dxa"/>
            <w:vAlign w:val="center"/>
          </w:tcPr>
          <w:p w14:paraId="6A7DDF40">
            <w:pPr>
              <w:pStyle w:val="11"/>
            </w:pPr>
            <w:r>
              <w:t>小计</w:t>
            </w:r>
          </w:p>
        </w:tc>
        <w:tc>
          <w:tcPr>
            <w:tcW w:w="1134" w:type="dxa"/>
            <w:vAlign w:val="center"/>
          </w:tcPr>
          <w:p w14:paraId="4E26779D">
            <w:pPr>
              <w:pStyle w:val="11"/>
            </w:pPr>
            <w:r>
              <w:t>财政拨款 收入</w:t>
            </w:r>
          </w:p>
        </w:tc>
        <w:tc>
          <w:tcPr>
            <w:tcW w:w="1134" w:type="dxa"/>
            <w:vAlign w:val="center"/>
          </w:tcPr>
          <w:p w14:paraId="26DF6656">
            <w:pPr>
              <w:pStyle w:val="11"/>
            </w:pPr>
            <w:r>
              <w:t>财政专户 收入</w:t>
            </w:r>
          </w:p>
        </w:tc>
        <w:tc>
          <w:tcPr>
            <w:tcW w:w="1134" w:type="dxa"/>
            <w:vAlign w:val="center"/>
          </w:tcPr>
          <w:p w14:paraId="6609F17C">
            <w:pPr>
              <w:pStyle w:val="11"/>
            </w:pPr>
            <w:r>
              <w:t>事业收入</w:t>
            </w:r>
          </w:p>
        </w:tc>
        <w:tc>
          <w:tcPr>
            <w:tcW w:w="1134" w:type="dxa"/>
            <w:vAlign w:val="center"/>
          </w:tcPr>
          <w:p w14:paraId="4D884E69">
            <w:pPr>
              <w:pStyle w:val="11"/>
            </w:pPr>
            <w:r>
              <w:t>经营收入</w:t>
            </w:r>
          </w:p>
        </w:tc>
        <w:tc>
          <w:tcPr>
            <w:tcW w:w="1134" w:type="dxa"/>
            <w:vAlign w:val="center"/>
          </w:tcPr>
          <w:p w14:paraId="36700616">
            <w:pPr>
              <w:pStyle w:val="11"/>
            </w:pPr>
            <w:r>
              <w:t>上级补助收入</w:t>
            </w:r>
          </w:p>
        </w:tc>
        <w:tc>
          <w:tcPr>
            <w:tcW w:w="1134" w:type="dxa"/>
            <w:vAlign w:val="center"/>
          </w:tcPr>
          <w:p w14:paraId="580D2F4B">
            <w:pPr>
              <w:pStyle w:val="11"/>
            </w:pPr>
            <w:r>
              <w:t>附属单位上缴收入</w:t>
            </w:r>
          </w:p>
        </w:tc>
        <w:tc>
          <w:tcPr>
            <w:tcW w:w="1134" w:type="dxa"/>
            <w:vAlign w:val="center"/>
          </w:tcPr>
          <w:p w14:paraId="3D4A15D5">
            <w:pPr>
              <w:pStyle w:val="11"/>
            </w:pPr>
            <w:r>
              <w:t>其他收入</w:t>
            </w:r>
          </w:p>
        </w:tc>
        <w:tc>
          <w:tcPr>
            <w:tcW w:w="1134" w:type="dxa"/>
            <w:vMerge w:val="continue"/>
          </w:tcPr>
          <w:p w14:paraId="15DB3B4D"/>
        </w:tc>
      </w:tr>
      <w:tr w14:paraId="61546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864EBA">
            <w:pPr>
              <w:pStyle w:val="11"/>
            </w:pPr>
            <w:r>
              <w:t>栏次</w:t>
            </w:r>
          </w:p>
        </w:tc>
        <w:tc>
          <w:tcPr>
            <w:tcW w:w="992" w:type="dxa"/>
            <w:vAlign w:val="center"/>
          </w:tcPr>
          <w:p w14:paraId="053B02E7">
            <w:pPr>
              <w:pStyle w:val="11"/>
            </w:pPr>
            <w:r>
              <w:t>1</w:t>
            </w:r>
          </w:p>
        </w:tc>
        <w:tc>
          <w:tcPr>
            <w:tcW w:w="1559" w:type="dxa"/>
            <w:vAlign w:val="center"/>
          </w:tcPr>
          <w:p w14:paraId="762AA50F">
            <w:pPr>
              <w:pStyle w:val="11"/>
            </w:pPr>
            <w:r>
              <w:t>2</w:t>
            </w:r>
          </w:p>
        </w:tc>
        <w:tc>
          <w:tcPr>
            <w:tcW w:w="1134" w:type="dxa"/>
            <w:vAlign w:val="center"/>
          </w:tcPr>
          <w:p w14:paraId="281B620E">
            <w:pPr>
              <w:pStyle w:val="11"/>
            </w:pPr>
            <w:r>
              <w:t>3</w:t>
            </w:r>
          </w:p>
        </w:tc>
        <w:tc>
          <w:tcPr>
            <w:tcW w:w="1134" w:type="dxa"/>
            <w:vAlign w:val="center"/>
          </w:tcPr>
          <w:p w14:paraId="5770EC58">
            <w:pPr>
              <w:pStyle w:val="11"/>
            </w:pPr>
            <w:r>
              <w:t>4</w:t>
            </w:r>
          </w:p>
        </w:tc>
        <w:tc>
          <w:tcPr>
            <w:tcW w:w="1134" w:type="dxa"/>
            <w:vAlign w:val="center"/>
          </w:tcPr>
          <w:p w14:paraId="7FAC5F92">
            <w:pPr>
              <w:pStyle w:val="11"/>
            </w:pPr>
            <w:r>
              <w:t>5</w:t>
            </w:r>
          </w:p>
        </w:tc>
        <w:tc>
          <w:tcPr>
            <w:tcW w:w="1134" w:type="dxa"/>
            <w:vAlign w:val="center"/>
          </w:tcPr>
          <w:p w14:paraId="2341E6F5">
            <w:pPr>
              <w:pStyle w:val="11"/>
            </w:pPr>
            <w:r>
              <w:t>6</w:t>
            </w:r>
          </w:p>
        </w:tc>
        <w:tc>
          <w:tcPr>
            <w:tcW w:w="1134" w:type="dxa"/>
            <w:vAlign w:val="center"/>
          </w:tcPr>
          <w:p w14:paraId="6C2A6D55">
            <w:pPr>
              <w:pStyle w:val="11"/>
            </w:pPr>
            <w:r>
              <w:t>7</w:t>
            </w:r>
          </w:p>
        </w:tc>
        <w:tc>
          <w:tcPr>
            <w:tcW w:w="1134" w:type="dxa"/>
            <w:vAlign w:val="center"/>
          </w:tcPr>
          <w:p w14:paraId="40BE6AF1">
            <w:pPr>
              <w:pStyle w:val="11"/>
            </w:pPr>
            <w:r>
              <w:t>8</w:t>
            </w:r>
          </w:p>
        </w:tc>
        <w:tc>
          <w:tcPr>
            <w:tcW w:w="1134" w:type="dxa"/>
            <w:vAlign w:val="center"/>
          </w:tcPr>
          <w:p w14:paraId="7D9C0105">
            <w:pPr>
              <w:pStyle w:val="11"/>
            </w:pPr>
            <w:r>
              <w:t>9</w:t>
            </w:r>
          </w:p>
        </w:tc>
        <w:tc>
          <w:tcPr>
            <w:tcW w:w="1134" w:type="dxa"/>
            <w:vAlign w:val="center"/>
          </w:tcPr>
          <w:p w14:paraId="7CE3F13B">
            <w:pPr>
              <w:pStyle w:val="11"/>
            </w:pPr>
            <w:r>
              <w:t>10</w:t>
            </w:r>
          </w:p>
        </w:tc>
        <w:tc>
          <w:tcPr>
            <w:tcW w:w="1134" w:type="dxa"/>
            <w:vAlign w:val="center"/>
          </w:tcPr>
          <w:p w14:paraId="66F1559D">
            <w:pPr>
              <w:pStyle w:val="11"/>
            </w:pPr>
            <w:r>
              <w:t>11</w:t>
            </w:r>
          </w:p>
        </w:tc>
        <w:tc>
          <w:tcPr>
            <w:tcW w:w="1134" w:type="dxa"/>
            <w:vAlign w:val="center"/>
          </w:tcPr>
          <w:p w14:paraId="225E97A1">
            <w:pPr>
              <w:pStyle w:val="11"/>
            </w:pPr>
            <w:r>
              <w:t>12</w:t>
            </w:r>
          </w:p>
        </w:tc>
      </w:tr>
      <w:tr w14:paraId="29370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EA4723">
            <w:pPr>
              <w:pStyle w:val="12"/>
            </w:pPr>
            <w:r>
              <w:t>1</w:t>
            </w:r>
          </w:p>
        </w:tc>
        <w:tc>
          <w:tcPr>
            <w:tcW w:w="992" w:type="dxa"/>
            <w:vAlign w:val="center"/>
          </w:tcPr>
          <w:p w14:paraId="6B5A5F8A">
            <w:pPr>
              <w:pStyle w:val="17"/>
            </w:pPr>
          </w:p>
        </w:tc>
        <w:tc>
          <w:tcPr>
            <w:tcW w:w="1559" w:type="dxa"/>
            <w:vAlign w:val="center"/>
          </w:tcPr>
          <w:p w14:paraId="4F35E582">
            <w:pPr>
              <w:pStyle w:val="15"/>
            </w:pPr>
            <w:r>
              <w:t>合计</w:t>
            </w:r>
          </w:p>
        </w:tc>
        <w:tc>
          <w:tcPr>
            <w:tcW w:w="1134" w:type="dxa"/>
            <w:vAlign w:val="center"/>
          </w:tcPr>
          <w:p w14:paraId="505604A7">
            <w:pPr>
              <w:pStyle w:val="16"/>
            </w:pPr>
            <w:r>
              <w:t>1447.97</w:t>
            </w:r>
          </w:p>
        </w:tc>
        <w:tc>
          <w:tcPr>
            <w:tcW w:w="1134" w:type="dxa"/>
            <w:vAlign w:val="center"/>
          </w:tcPr>
          <w:p w14:paraId="0AAED311">
            <w:pPr>
              <w:pStyle w:val="16"/>
            </w:pPr>
            <w:r>
              <w:t>1447.97</w:t>
            </w:r>
          </w:p>
        </w:tc>
        <w:tc>
          <w:tcPr>
            <w:tcW w:w="1134" w:type="dxa"/>
            <w:vAlign w:val="center"/>
          </w:tcPr>
          <w:p w14:paraId="63472E85">
            <w:pPr>
              <w:pStyle w:val="16"/>
            </w:pPr>
            <w:r>
              <w:t>1447.97</w:t>
            </w:r>
          </w:p>
        </w:tc>
        <w:tc>
          <w:tcPr>
            <w:tcW w:w="1134" w:type="dxa"/>
            <w:vAlign w:val="center"/>
          </w:tcPr>
          <w:p w14:paraId="2C5512F3">
            <w:pPr>
              <w:pStyle w:val="16"/>
            </w:pPr>
          </w:p>
        </w:tc>
        <w:tc>
          <w:tcPr>
            <w:tcW w:w="1134" w:type="dxa"/>
            <w:vAlign w:val="center"/>
          </w:tcPr>
          <w:p w14:paraId="09BF6D4E">
            <w:pPr>
              <w:pStyle w:val="16"/>
            </w:pPr>
          </w:p>
        </w:tc>
        <w:tc>
          <w:tcPr>
            <w:tcW w:w="1134" w:type="dxa"/>
            <w:vAlign w:val="center"/>
          </w:tcPr>
          <w:p w14:paraId="65DFDD67">
            <w:pPr>
              <w:pStyle w:val="16"/>
            </w:pPr>
          </w:p>
        </w:tc>
        <w:tc>
          <w:tcPr>
            <w:tcW w:w="1134" w:type="dxa"/>
            <w:vAlign w:val="center"/>
          </w:tcPr>
          <w:p w14:paraId="350760E4">
            <w:pPr>
              <w:pStyle w:val="16"/>
            </w:pPr>
          </w:p>
        </w:tc>
        <w:tc>
          <w:tcPr>
            <w:tcW w:w="1134" w:type="dxa"/>
            <w:vAlign w:val="center"/>
          </w:tcPr>
          <w:p w14:paraId="5BEA17BD">
            <w:pPr>
              <w:pStyle w:val="16"/>
            </w:pPr>
          </w:p>
        </w:tc>
        <w:tc>
          <w:tcPr>
            <w:tcW w:w="1134" w:type="dxa"/>
            <w:vAlign w:val="center"/>
          </w:tcPr>
          <w:p w14:paraId="07558520">
            <w:pPr>
              <w:pStyle w:val="16"/>
            </w:pPr>
          </w:p>
        </w:tc>
        <w:tc>
          <w:tcPr>
            <w:tcW w:w="1134" w:type="dxa"/>
            <w:vAlign w:val="center"/>
          </w:tcPr>
          <w:p w14:paraId="1CA29C91">
            <w:pPr>
              <w:pStyle w:val="16"/>
            </w:pPr>
          </w:p>
        </w:tc>
      </w:tr>
      <w:tr w14:paraId="1F985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C226FF">
            <w:pPr>
              <w:pStyle w:val="12"/>
            </w:pPr>
            <w:r>
              <w:t>2</w:t>
            </w:r>
          </w:p>
        </w:tc>
        <w:tc>
          <w:tcPr>
            <w:tcW w:w="992" w:type="dxa"/>
            <w:vAlign w:val="center"/>
          </w:tcPr>
          <w:p w14:paraId="6361C3C5">
            <w:pPr>
              <w:pStyle w:val="13"/>
            </w:pPr>
            <w:r>
              <w:t>205</w:t>
            </w:r>
          </w:p>
        </w:tc>
        <w:tc>
          <w:tcPr>
            <w:tcW w:w="1559" w:type="dxa"/>
            <w:vAlign w:val="center"/>
          </w:tcPr>
          <w:p w14:paraId="03E7F7B0">
            <w:pPr>
              <w:pStyle w:val="13"/>
            </w:pPr>
            <w:r>
              <w:t>教育支出</w:t>
            </w:r>
          </w:p>
        </w:tc>
        <w:tc>
          <w:tcPr>
            <w:tcW w:w="1134" w:type="dxa"/>
            <w:vAlign w:val="center"/>
          </w:tcPr>
          <w:p w14:paraId="0DA4A05B">
            <w:pPr>
              <w:pStyle w:val="14"/>
            </w:pPr>
            <w:r>
              <w:t>1447.97</w:t>
            </w:r>
          </w:p>
        </w:tc>
        <w:tc>
          <w:tcPr>
            <w:tcW w:w="1134" w:type="dxa"/>
            <w:vAlign w:val="center"/>
          </w:tcPr>
          <w:p w14:paraId="0AEED2D2">
            <w:pPr>
              <w:pStyle w:val="14"/>
            </w:pPr>
            <w:r>
              <w:t>1447.97</w:t>
            </w:r>
          </w:p>
        </w:tc>
        <w:tc>
          <w:tcPr>
            <w:tcW w:w="1134" w:type="dxa"/>
            <w:vAlign w:val="center"/>
          </w:tcPr>
          <w:p w14:paraId="06529C04">
            <w:pPr>
              <w:pStyle w:val="14"/>
            </w:pPr>
            <w:r>
              <w:t>1447.97</w:t>
            </w:r>
          </w:p>
        </w:tc>
        <w:tc>
          <w:tcPr>
            <w:tcW w:w="1134" w:type="dxa"/>
            <w:vAlign w:val="center"/>
          </w:tcPr>
          <w:p w14:paraId="07D69D95">
            <w:pPr>
              <w:pStyle w:val="14"/>
            </w:pPr>
          </w:p>
        </w:tc>
        <w:tc>
          <w:tcPr>
            <w:tcW w:w="1134" w:type="dxa"/>
            <w:vAlign w:val="center"/>
          </w:tcPr>
          <w:p w14:paraId="6A1F0C7C">
            <w:pPr>
              <w:pStyle w:val="14"/>
            </w:pPr>
          </w:p>
        </w:tc>
        <w:tc>
          <w:tcPr>
            <w:tcW w:w="1134" w:type="dxa"/>
            <w:vAlign w:val="center"/>
          </w:tcPr>
          <w:p w14:paraId="62698CE5">
            <w:pPr>
              <w:pStyle w:val="14"/>
            </w:pPr>
          </w:p>
        </w:tc>
        <w:tc>
          <w:tcPr>
            <w:tcW w:w="1134" w:type="dxa"/>
            <w:vAlign w:val="center"/>
          </w:tcPr>
          <w:p w14:paraId="66F90775">
            <w:pPr>
              <w:pStyle w:val="14"/>
            </w:pPr>
          </w:p>
        </w:tc>
        <w:tc>
          <w:tcPr>
            <w:tcW w:w="1134" w:type="dxa"/>
            <w:vAlign w:val="center"/>
          </w:tcPr>
          <w:p w14:paraId="3B4230A9">
            <w:pPr>
              <w:pStyle w:val="14"/>
            </w:pPr>
          </w:p>
        </w:tc>
        <w:tc>
          <w:tcPr>
            <w:tcW w:w="1134" w:type="dxa"/>
            <w:vAlign w:val="center"/>
          </w:tcPr>
          <w:p w14:paraId="78E3F105">
            <w:pPr>
              <w:pStyle w:val="14"/>
            </w:pPr>
          </w:p>
        </w:tc>
        <w:tc>
          <w:tcPr>
            <w:tcW w:w="1134" w:type="dxa"/>
            <w:vAlign w:val="center"/>
          </w:tcPr>
          <w:p w14:paraId="5BB704D1">
            <w:pPr>
              <w:pStyle w:val="14"/>
            </w:pPr>
          </w:p>
        </w:tc>
      </w:tr>
      <w:tr w14:paraId="22493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AB252D">
            <w:pPr>
              <w:pStyle w:val="12"/>
            </w:pPr>
            <w:r>
              <w:t>3</w:t>
            </w:r>
          </w:p>
        </w:tc>
        <w:tc>
          <w:tcPr>
            <w:tcW w:w="992" w:type="dxa"/>
            <w:vAlign w:val="center"/>
          </w:tcPr>
          <w:p w14:paraId="1F08FC94">
            <w:pPr>
              <w:pStyle w:val="13"/>
            </w:pPr>
            <w:r>
              <w:t>20502</w:t>
            </w:r>
          </w:p>
        </w:tc>
        <w:tc>
          <w:tcPr>
            <w:tcW w:w="1559" w:type="dxa"/>
            <w:vAlign w:val="center"/>
          </w:tcPr>
          <w:p w14:paraId="6CDF4DF1">
            <w:pPr>
              <w:pStyle w:val="13"/>
            </w:pPr>
            <w:r>
              <w:t>普通教育</w:t>
            </w:r>
          </w:p>
        </w:tc>
        <w:tc>
          <w:tcPr>
            <w:tcW w:w="1134" w:type="dxa"/>
            <w:vAlign w:val="center"/>
          </w:tcPr>
          <w:p w14:paraId="73CCDBDD">
            <w:pPr>
              <w:pStyle w:val="14"/>
            </w:pPr>
            <w:r>
              <w:t>1447.97</w:t>
            </w:r>
          </w:p>
        </w:tc>
        <w:tc>
          <w:tcPr>
            <w:tcW w:w="1134" w:type="dxa"/>
            <w:vAlign w:val="center"/>
          </w:tcPr>
          <w:p w14:paraId="38381DE6">
            <w:pPr>
              <w:pStyle w:val="14"/>
            </w:pPr>
            <w:r>
              <w:t>1447.97</w:t>
            </w:r>
          </w:p>
        </w:tc>
        <w:tc>
          <w:tcPr>
            <w:tcW w:w="1134" w:type="dxa"/>
            <w:vAlign w:val="center"/>
          </w:tcPr>
          <w:p w14:paraId="24BF6F10">
            <w:pPr>
              <w:pStyle w:val="14"/>
            </w:pPr>
            <w:r>
              <w:t>1447.97</w:t>
            </w:r>
          </w:p>
        </w:tc>
        <w:tc>
          <w:tcPr>
            <w:tcW w:w="1134" w:type="dxa"/>
            <w:vAlign w:val="center"/>
          </w:tcPr>
          <w:p w14:paraId="3CCB0FCC">
            <w:pPr>
              <w:pStyle w:val="14"/>
            </w:pPr>
          </w:p>
        </w:tc>
        <w:tc>
          <w:tcPr>
            <w:tcW w:w="1134" w:type="dxa"/>
            <w:vAlign w:val="center"/>
          </w:tcPr>
          <w:p w14:paraId="43B6D418">
            <w:pPr>
              <w:pStyle w:val="14"/>
            </w:pPr>
          </w:p>
        </w:tc>
        <w:tc>
          <w:tcPr>
            <w:tcW w:w="1134" w:type="dxa"/>
            <w:vAlign w:val="center"/>
          </w:tcPr>
          <w:p w14:paraId="3724B155">
            <w:pPr>
              <w:pStyle w:val="14"/>
            </w:pPr>
          </w:p>
        </w:tc>
        <w:tc>
          <w:tcPr>
            <w:tcW w:w="1134" w:type="dxa"/>
            <w:vAlign w:val="center"/>
          </w:tcPr>
          <w:p w14:paraId="22A0E4FA">
            <w:pPr>
              <w:pStyle w:val="14"/>
            </w:pPr>
          </w:p>
        </w:tc>
        <w:tc>
          <w:tcPr>
            <w:tcW w:w="1134" w:type="dxa"/>
            <w:vAlign w:val="center"/>
          </w:tcPr>
          <w:p w14:paraId="0E8A99A3">
            <w:pPr>
              <w:pStyle w:val="14"/>
            </w:pPr>
          </w:p>
        </w:tc>
        <w:tc>
          <w:tcPr>
            <w:tcW w:w="1134" w:type="dxa"/>
            <w:vAlign w:val="center"/>
          </w:tcPr>
          <w:p w14:paraId="7D1B2A3A">
            <w:pPr>
              <w:pStyle w:val="14"/>
            </w:pPr>
          </w:p>
        </w:tc>
        <w:tc>
          <w:tcPr>
            <w:tcW w:w="1134" w:type="dxa"/>
            <w:vAlign w:val="center"/>
          </w:tcPr>
          <w:p w14:paraId="0739D91F">
            <w:pPr>
              <w:pStyle w:val="14"/>
            </w:pPr>
          </w:p>
        </w:tc>
      </w:tr>
      <w:tr w14:paraId="6C28E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AA70E4">
            <w:pPr>
              <w:pStyle w:val="12"/>
            </w:pPr>
            <w:r>
              <w:t>4</w:t>
            </w:r>
          </w:p>
        </w:tc>
        <w:tc>
          <w:tcPr>
            <w:tcW w:w="992" w:type="dxa"/>
            <w:vAlign w:val="center"/>
          </w:tcPr>
          <w:p w14:paraId="0D955B7A">
            <w:pPr>
              <w:pStyle w:val="13"/>
            </w:pPr>
            <w:r>
              <w:t>2050203</w:t>
            </w:r>
          </w:p>
        </w:tc>
        <w:tc>
          <w:tcPr>
            <w:tcW w:w="1559" w:type="dxa"/>
            <w:vAlign w:val="center"/>
          </w:tcPr>
          <w:p w14:paraId="2D509C8D">
            <w:pPr>
              <w:pStyle w:val="13"/>
            </w:pPr>
            <w:r>
              <w:t>初中教育</w:t>
            </w:r>
          </w:p>
        </w:tc>
        <w:tc>
          <w:tcPr>
            <w:tcW w:w="1134" w:type="dxa"/>
            <w:vAlign w:val="center"/>
          </w:tcPr>
          <w:p w14:paraId="3589D987">
            <w:pPr>
              <w:pStyle w:val="14"/>
            </w:pPr>
            <w:r>
              <w:t>1447.97</w:t>
            </w:r>
          </w:p>
        </w:tc>
        <w:tc>
          <w:tcPr>
            <w:tcW w:w="1134" w:type="dxa"/>
            <w:vAlign w:val="center"/>
          </w:tcPr>
          <w:p w14:paraId="4EB75DCC">
            <w:pPr>
              <w:pStyle w:val="14"/>
            </w:pPr>
            <w:r>
              <w:t>1447.97</w:t>
            </w:r>
          </w:p>
        </w:tc>
        <w:tc>
          <w:tcPr>
            <w:tcW w:w="1134" w:type="dxa"/>
            <w:vAlign w:val="center"/>
          </w:tcPr>
          <w:p w14:paraId="44D3C924">
            <w:pPr>
              <w:pStyle w:val="14"/>
            </w:pPr>
            <w:r>
              <w:t>1447.97</w:t>
            </w:r>
          </w:p>
        </w:tc>
        <w:tc>
          <w:tcPr>
            <w:tcW w:w="1134" w:type="dxa"/>
            <w:vAlign w:val="center"/>
          </w:tcPr>
          <w:p w14:paraId="5CBB203F">
            <w:pPr>
              <w:pStyle w:val="14"/>
            </w:pPr>
          </w:p>
        </w:tc>
        <w:tc>
          <w:tcPr>
            <w:tcW w:w="1134" w:type="dxa"/>
            <w:vAlign w:val="center"/>
          </w:tcPr>
          <w:p w14:paraId="6007ACC6">
            <w:pPr>
              <w:pStyle w:val="14"/>
            </w:pPr>
          </w:p>
        </w:tc>
        <w:tc>
          <w:tcPr>
            <w:tcW w:w="1134" w:type="dxa"/>
            <w:vAlign w:val="center"/>
          </w:tcPr>
          <w:p w14:paraId="530388EB">
            <w:pPr>
              <w:pStyle w:val="14"/>
            </w:pPr>
          </w:p>
        </w:tc>
        <w:tc>
          <w:tcPr>
            <w:tcW w:w="1134" w:type="dxa"/>
            <w:vAlign w:val="center"/>
          </w:tcPr>
          <w:p w14:paraId="6F46FFB5">
            <w:pPr>
              <w:pStyle w:val="14"/>
            </w:pPr>
          </w:p>
        </w:tc>
        <w:tc>
          <w:tcPr>
            <w:tcW w:w="1134" w:type="dxa"/>
            <w:vAlign w:val="center"/>
          </w:tcPr>
          <w:p w14:paraId="1220706B">
            <w:pPr>
              <w:pStyle w:val="14"/>
            </w:pPr>
          </w:p>
        </w:tc>
        <w:tc>
          <w:tcPr>
            <w:tcW w:w="1134" w:type="dxa"/>
            <w:vAlign w:val="center"/>
          </w:tcPr>
          <w:p w14:paraId="422A4C50">
            <w:pPr>
              <w:pStyle w:val="14"/>
            </w:pPr>
          </w:p>
        </w:tc>
        <w:tc>
          <w:tcPr>
            <w:tcW w:w="1134" w:type="dxa"/>
            <w:vAlign w:val="center"/>
          </w:tcPr>
          <w:p w14:paraId="19A11C57">
            <w:pPr>
              <w:pStyle w:val="14"/>
            </w:pPr>
          </w:p>
        </w:tc>
      </w:tr>
    </w:tbl>
    <w:p w14:paraId="328ACF60">
      <w:pPr>
        <w:sectPr>
          <w:pgSz w:w="16840" w:h="11900" w:orient="landscape"/>
          <w:pgMar w:top="1361" w:right="1020" w:bottom="1134" w:left="1020" w:header="720" w:footer="720" w:gutter="0"/>
          <w:cols w:space="720" w:num="1"/>
        </w:sectPr>
      </w:pPr>
    </w:p>
    <w:p w14:paraId="6577CE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A3E2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7B8A8B">
            <w:pPr>
              <w:pStyle w:val="8"/>
            </w:pPr>
            <w:r>
              <w:t>360009河北省隆尧县滏阳中学</w:t>
            </w:r>
          </w:p>
        </w:tc>
        <w:tc>
          <w:tcPr>
            <w:tcW w:w="2722" w:type="dxa"/>
            <w:gridSpan w:val="2"/>
            <w:tcBorders>
              <w:top w:val="single" w:color="FFFFFF" w:sz="6" w:space="0"/>
              <w:left w:val="single" w:color="FFFFFF" w:sz="6" w:space="0"/>
              <w:right w:val="single" w:color="FFFFFF" w:sz="6" w:space="0"/>
            </w:tcBorders>
            <w:vAlign w:val="center"/>
          </w:tcPr>
          <w:p w14:paraId="7E13D5D9">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B9C994D">
            <w:pPr>
              <w:pStyle w:val="10"/>
            </w:pPr>
            <w:r>
              <w:t>单位：万元</w:t>
            </w:r>
          </w:p>
        </w:tc>
      </w:tr>
      <w:tr w14:paraId="4A16A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23B43">
            <w:pPr>
              <w:pStyle w:val="11"/>
            </w:pPr>
            <w:r>
              <w:t>序号</w:t>
            </w:r>
          </w:p>
        </w:tc>
        <w:tc>
          <w:tcPr>
            <w:tcW w:w="5527" w:type="dxa"/>
            <w:gridSpan w:val="2"/>
            <w:vAlign w:val="center"/>
          </w:tcPr>
          <w:p w14:paraId="4A1F88DB">
            <w:pPr>
              <w:pStyle w:val="11"/>
            </w:pPr>
            <w:r>
              <w:t>功能分类科目</w:t>
            </w:r>
          </w:p>
        </w:tc>
        <w:tc>
          <w:tcPr>
            <w:tcW w:w="1361" w:type="dxa"/>
            <w:vMerge w:val="restart"/>
            <w:vAlign w:val="center"/>
          </w:tcPr>
          <w:p w14:paraId="6725675E">
            <w:pPr>
              <w:pStyle w:val="11"/>
            </w:pPr>
            <w:r>
              <w:t>合计</w:t>
            </w:r>
          </w:p>
        </w:tc>
        <w:tc>
          <w:tcPr>
            <w:tcW w:w="1361" w:type="dxa"/>
            <w:vMerge w:val="restart"/>
            <w:vAlign w:val="center"/>
          </w:tcPr>
          <w:p w14:paraId="77A9CE0E">
            <w:pPr>
              <w:pStyle w:val="11"/>
            </w:pPr>
            <w:r>
              <w:t>基本支出</w:t>
            </w:r>
          </w:p>
        </w:tc>
        <w:tc>
          <w:tcPr>
            <w:tcW w:w="1361" w:type="dxa"/>
            <w:vMerge w:val="restart"/>
            <w:vAlign w:val="center"/>
          </w:tcPr>
          <w:p w14:paraId="5D43C48A">
            <w:pPr>
              <w:pStyle w:val="11"/>
            </w:pPr>
            <w:r>
              <w:t>项目支出</w:t>
            </w:r>
          </w:p>
        </w:tc>
        <w:tc>
          <w:tcPr>
            <w:tcW w:w="1361" w:type="dxa"/>
            <w:vMerge w:val="restart"/>
            <w:vAlign w:val="center"/>
          </w:tcPr>
          <w:p w14:paraId="7A607D4C">
            <w:pPr>
              <w:pStyle w:val="11"/>
            </w:pPr>
            <w:r>
              <w:t>经营支出</w:t>
            </w:r>
          </w:p>
        </w:tc>
        <w:tc>
          <w:tcPr>
            <w:tcW w:w="1361" w:type="dxa"/>
            <w:vMerge w:val="restart"/>
            <w:vAlign w:val="center"/>
          </w:tcPr>
          <w:p w14:paraId="4BF53A75">
            <w:pPr>
              <w:pStyle w:val="11"/>
            </w:pPr>
            <w:r>
              <w:t>上解上级     支出</w:t>
            </w:r>
          </w:p>
        </w:tc>
        <w:tc>
          <w:tcPr>
            <w:tcW w:w="1361" w:type="dxa"/>
            <w:vMerge w:val="restart"/>
            <w:vAlign w:val="center"/>
          </w:tcPr>
          <w:p w14:paraId="5F2AF66B">
            <w:pPr>
              <w:pStyle w:val="11"/>
            </w:pPr>
            <w:r>
              <w:t>对附属单位补助支出</w:t>
            </w:r>
          </w:p>
        </w:tc>
      </w:tr>
      <w:tr w14:paraId="70AF7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C958F2"/>
        </w:tc>
        <w:tc>
          <w:tcPr>
            <w:tcW w:w="992" w:type="dxa"/>
            <w:vAlign w:val="center"/>
          </w:tcPr>
          <w:p w14:paraId="31531D20">
            <w:pPr>
              <w:pStyle w:val="11"/>
            </w:pPr>
            <w:r>
              <w:t>科目    编码</w:t>
            </w:r>
          </w:p>
        </w:tc>
        <w:tc>
          <w:tcPr>
            <w:tcW w:w="4535" w:type="dxa"/>
            <w:vAlign w:val="center"/>
          </w:tcPr>
          <w:p w14:paraId="54EDEECC">
            <w:pPr>
              <w:pStyle w:val="11"/>
            </w:pPr>
            <w:r>
              <w:t>科目名称</w:t>
            </w:r>
          </w:p>
        </w:tc>
        <w:tc>
          <w:tcPr>
            <w:tcW w:w="1361" w:type="dxa"/>
            <w:vMerge w:val="continue"/>
          </w:tcPr>
          <w:p w14:paraId="59C77ED2"/>
        </w:tc>
        <w:tc>
          <w:tcPr>
            <w:tcW w:w="1361" w:type="dxa"/>
            <w:vMerge w:val="continue"/>
          </w:tcPr>
          <w:p w14:paraId="0486790E"/>
        </w:tc>
        <w:tc>
          <w:tcPr>
            <w:tcW w:w="1361" w:type="dxa"/>
            <w:vMerge w:val="continue"/>
          </w:tcPr>
          <w:p w14:paraId="1E677780"/>
        </w:tc>
        <w:tc>
          <w:tcPr>
            <w:tcW w:w="1361" w:type="dxa"/>
            <w:vMerge w:val="continue"/>
          </w:tcPr>
          <w:p w14:paraId="079A12FA"/>
        </w:tc>
        <w:tc>
          <w:tcPr>
            <w:tcW w:w="1361" w:type="dxa"/>
            <w:vMerge w:val="continue"/>
          </w:tcPr>
          <w:p w14:paraId="4D85CB13"/>
        </w:tc>
        <w:tc>
          <w:tcPr>
            <w:tcW w:w="1361" w:type="dxa"/>
            <w:vMerge w:val="continue"/>
          </w:tcPr>
          <w:p w14:paraId="31D307EF"/>
        </w:tc>
      </w:tr>
      <w:tr w14:paraId="29DAF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F65162">
            <w:pPr>
              <w:pStyle w:val="11"/>
            </w:pPr>
            <w:r>
              <w:t>栏次</w:t>
            </w:r>
          </w:p>
        </w:tc>
        <w:tc>
          <w:tcPr>
            <w:tcW w:w="992" w:type="dxa"/>
            <w:vAlign w:val="center"/>
          </w:tcPr>
          <w:p w14:paraId="6217EBAC">
            <w:pPr>
              <w:pStyle w:val="11"/>
            </w:pPr>
            <w:r>
              <w:t>1</w:t>
            </w:r>
          </w:p>
        </w:tc>
        <w:tc>
          <w:tcPr>
            <w:tcW w:w="4535" w:type="dxa"/>
            <w:vAlign w:val="center"/>
          </w:tcPr>
          <w:p w14:paraId="16CE0791">
            <w:pPr>
              <w:pStyle w:val="11"/>
            </w:pPr>
            <w:r>
              <w:t>2</w:t>
            </w:r>
          </w:p>
        </w:tc>
        <w:tc>
          <w:tcPr>
            <w:tcW w:w="1361" w:type="dxa"/>
            <w:vAlign w:val="center"/>
          </w:tcPr>
          <w:p w14:paraId="53291D4E">
            <w:pPr>
              <w:pStyle w:val="11"/>
            </w:pPr>
            <w:r>
              <w:t>3</w:t>
            </w:r>
          </w:p>
        </w:tc>
        <w:tc>
          <w:tcPr>
            <w:tcW w:w="1361" w:type="dxa"/>
            <w:vAlign w:val="center"/>
          </w:tcPr>
          <w:p w14:paraId="2A935A3C">
            <w:pPr>
              <w:pStyle w:val="11"/>
            </w:pPr>
            <w:r>
              <w:t>4</w:t>
            </w:r>
          </w:p>
        </w:tc>
        <w:tc>
          <w:tcPr>
            <w:tcW w:w="1361" w:type="dxa"/>
            <w:vAlign w:val="center"/>
          </w:tcPr>
          <w:p w14:paraId="130951D7">
            <w:pPr>
              <w:pStyle w:val="11"/>
            </w:pPr>
            <w:r>
              <w:t>5</w:t>
            </w:r>
          </w:p>
        </w:tc>
        <w:tc>
          <w:tcPr>
            <w:tcW w:w="1361" w:type="dxa"/>
            <w:vAlign w:val="center"/>
          </w:tcPr>
          <w:p w14:paraId="3FAF6892">
            <w:pPr>
              <w:pStyle w:val="11"/>
            </w:pPr>
            <w:r>
              <w:t>6</w:t>
            </w:r>
          </w:p>
        </w:tc>
        <w:tc>
          <w:tcPr>
            <w:tcW w:w="1361" w:type="dxa"/>
            <w:vAlign w:val="center"/>
          </w:tcPr>
          <w:p w14:paraId="67311DF4">
            <w:pPr>
              <w:pStyle w:val="11"/>
            </w:pPr>
            <w:r>
              <w:t>7</w:t>
            </w:r>
          </w:p>
        </w:tc>
        <w:tc>
          <w:tcPr>
            <w:tcW w:w="1361" w:type="dxa"/>
            <w:vAlign w:val="center"/>
          </w:tcPr>
          <w:p w14:paraId="16756D9A">
            <w:pPr>
              <w:pStyle w:val="11"/>
            </w:pPr>
            <w:r>
              <w:t>8</w:t>
            </w:r>
          </w:p>
        </w:tc>
      </w:tr>
      <w:tr w14:paraId="76678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59ED2">
            <w:pPr>
              <w:pStyle w:val="12"/>
            </w:pPr>
            <w:r>
              <w:t>1</w:t>
            </w:r>
          </w:p>
        </w:tc>
        <w:tc>
          <w:tcPr>
            <w:tcW w:w="992" w:type="dxa"/>
            <w:vAlign w:val="center"/>
          </w:tcPr>
          <w:p w14:paraId="36242385">
            <w:pPr>
              <w:pStyle w:val="17"/>
            </w:pPr>
          </w:p>
        </w:tc>
        <w:tc>
          <w:tcPr>
            <w:tcW w:w="4535" w:type="dxa"/>
            <w:vAlign w:val="center"/>
          </w:tcPr>
          <w:p w14:paraId="3BB181FE">
            <w:pPr>
              <w:pStyle w:val="15"/>
            </w:pPr>
            <w:r>
              <w:t>合计</w:t>
            </w:r>
          </w:p>
        </w:tc>
        <w:tc>
          <w:tcPr>
            <w:tcW w:w="1361" w:type="dxa"/>
            <w:vAlign w:val="center"/>
          </w:tcPr>
          <w:p w14:paraId="3E747C63">
            <w:pPr>
              <w:pStyle w:val="16"/>
            </w:pPr>
            <w:r>
              <w:t>1447.97</w:t>
            </w:r>
          </w:p>
        </w:tc>
        <w:tc>
          <w:tcPr>
            <w:tcW w:w="1361" w:type="dxa"/>
            <w:vAlign w:val="center"/>
          </w:tcPr>
          <w:p w14:paraId="682FEC08">
            <w:pPr>
              <w:pStyle w:val="16"/>
            </w:pPr>
            <w:r>
              <w:t>1212.88</w:t>
            </w:r>
          </w:p>
        </w:tc>
        <w:tc>
          <w:tcPr>
            <w:tcW w:w="1361" w:type="dxa"/>
            <w:vAlign w:val="center"/>
          </w:tcPr>
          <w:p w14:paraId="62BECC2D">
            <w:pPr>
              <w:pStyle w:val="16"/>
            </w:pPr>
            <w:r>
              <w:t>235.09</w:t>
            </w:r>
          </w:p>
        </w:tc>
        <w:tc>
          <w:tcPr>
            <w:tcW w:w="1361" w:type="dxa"/>
            <w:vAlign w:val="center"/>
          </w:tcPr>
          <w:p w14:paraId="045EA2A4">
            <w:pPr>
              <w:pStyle w:val="16"/>
            </w:pPr>
          </w:p>
        </w:tc>
        <w:tc>
          <w:tcPr>
            <w:tcW w:w="1361" w:type="dxa"/>
            <w:vAlign w:val="center"/>
          </w:tcPr>
          <w:p w14:paraId="7259F587">
            <w:pPr>
              <w:pStyle w:val="16"/>
            </w:pPr>
          </w:p>
        </w:tc>
        <w:tc>
          <w:tcPr>
            <w:tcW w:w="1361" w:type="dxa"/>
            <w:vAlign w:val="center"/>
          </w:tcPr>
          <w:p w14:paraId="08616F24">
            <w:pPr>
              <w:pStyle w:val="16"/>
            </w:pPr>
          </w:p>
        </w:tc>
      </w:tr>
      <w:tr w14:paraId="10CBD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9DF0E">
            <w:pPr>
              <w:pStyle w:val="12"/>
            </w:pPr>
            <w:r>
              <w:t>2</w:t>
            </w:r>
          </w:p>
        </w:tc>
        <w:tc>
          <w:tcPr>
            <w:tcW w:w="992" w:type="dxa"/>
            <w:vAlign w:val="center"/>
          </w:tcPr>
          <w:p w14:paraId="6E8D4BA5">
            <w:pPr>
              <w:pStyle w:val="13"/>
            </w:pPr>
            <w:r>
              <w:t>205</w:t>
            </w:r>
          </w:p>
        </w:tc>
        <w:tc>
          <w:tcPr>
            <w:tcW w:w="4535" w:type="dxa"/>
            <w:vAlign w:val="center"/>
          </w:tcPr>
          <w:p w14:paraId="1A376D31">
            <w:pPr>
              <w:pStyle w:val="13"/>
            </w:pPr>
            <w:r>
              <w:t>教育支出</w:t>
            </w:r>
          </w:p>
        </w:tc>
        <w:tc>
          <w:tcPr>
            <w:tcW w:w="1361" w:type="dxa"/>
            <w:vAlign w:val="center"/>
          </w:tcPr>
          <w:p w14:paraId="735AA8FB">
            <w:pPr>
              <w:pStyle w:val="14"/>
            </w:pPr>
            <w:r>
              <w:t>1447.97</w:t>
            </w:r>
          </w:p>
        </w:tc>
        <w:tc>
          <w:tcPr>
            <w:tcW w:w="1361" w:type="dxa"/>
            <w:vAlign w:val="center"/>
          </w:tcPr>
          <w:p w14:paraId="35DD5DA3">
            <w:pPr>
              <w:pStyle w:val="14"/>
            </w:pPr>
            <w:r>
              <w:t>1212.88</w:t>
            </w:r>
          </w:p>
        </w:tc>
        <w:tc>
          <w:tcPr>
            <w:tcW w:w="1361" w:type="dxa"/>
            <w:vAlign w:val="center"/>
          </w:tcPr>
          <w:p w14:paraId="6162A2DE">
            <w:pPr>
              <w:pStyle w:val="14"/>
            </w:pPr>
            <w:r>
              <w:t>235.09</w:t>
            </w:r>
          </w:p>
        </w:tc>
        <w:tc>
          <w:tcPr>
            <w:tcW w:w="1361" w:type="dxa"/>
            <w:vAlign w:val="center"/>
          </w:tcPr>
          <w:p w14:paraId="4D5F1FBA">
            <w:pPr>
              <w:pStyle w:val="14"/>
            </w:pPr>
          </w:p>
        </w:tc>
        <w:tc>
          <w:tcPr>
            <w:tcW w:w="1361" w:type="dxa"/>
            <w:vAlign w:val="center"/>
          </w:tcPr>
          <w:p w14:paraId="4F7AD0E9">
            <w:pPr>
              <w:pStyle w:val="14"/>
            </w:pPr>
          </w:p>
        </w:tc>
        <w:tc>
          <w:tcPr>
            <w:tcW w:w="1361" w:type="dxa"/>
            <w:vAlign w:val="center"/>
          </w:tcPr>
          <w:p w14:paraId="31F0CFE0">
            <w:pPr>
              <w:pStyle w:val="14"/>
            </w:pPr>
          </w:p>
        </w:tc>
      </w:tr>
      <w:tr w14:paraId="690C3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BA596">
            <w:pPr>
              <w:pStyle w:val="12"/>
            </w:pPr>
            <w:r>
              <w:t>3</w:t>
            </w:r>
          </w:p>
        </w:tc>
        <w:tc>
          <w:tcPr>
            <w:tcW w:w="992" w:type="dxa"/>
            <w:vAlign w:val="center"/>
          </w:tcPr>
          <w:p w14:paraId="44087922">
            <w:pPr>
              <w:pStyle w:val="13"/>
            </w:pPr>
            <w:r>
              <w:t>20502</w:t>
            </w:r>
          </w:p>
        </w:tc>
        <w:tc>
          <w:tcPr>
            <w:tcW w:w="4535" w:type="dxa"/>
            <w:vAlign w:val="center"/>
          </w:tcPr>
          <w:p w14:paraId="39AD0B25">
            <w:pPr>
              <w:pStyle w:val="13"/>
            </w:pPr>
            <w:r>
              <w:t>普通教育</w:t>
            </w:r>
          </w:p>
        </w:tc>
        <w:tc>
          <w:tcPr>
            <w:tcW w:w="1361" w:type="dxa"/>
            <w:vAlign w:val="center"/>
          </w:tcPr>
          <w:p w14:paraId="56652C53">
            <w:pPr>
              <w:pStyle w:val="14"/>
            </w:pPr>
            <w:r>
              <w:t>1447.97</w:t>
            </w:r>
          </w:p>
        </w:tc>
        <w:tc>
          <w:tcPr>
            <w:tcW w:w="1361" w:type="dxa"/>
            <w:vAlign w:val="center"/>
          </w:tcPr>
          <w:p w14:paraId="751B974A">
            <w:pPr>
              <w:pStyle w:val="14"/>
            </w:pPr>
            <w:r>
              <w:t>1212.88</w:t>
            </w:r>
          </w:p>
        </w:tc>
        <w:tc>
          <w:tcPr>
            <w:tcW w:w="1361" w:type="dxa"/>
            <w:vAlign w:val="center"/>
          </w:tcPr>
          <w:p w14:paraId="08A408FC">
            <w:pPr>
              <w:pStyle w:val="14"/>
            </w:pPr>
            <w:r>
              <w:t>235.09</w:t>
            </w:r>
          </w:p>
        </w:tc>
        <w:tc>
          <w:tcPr>
            <w:tcW w:w="1361" w:type="dxa"/>
            <w:vAlign w:val="center"/>
          </w:tcPr>
          <w:p w14:paraId="4EC4C6B8">
            <w:pPr>
              <w:pStyle w:val="14"/>
            </w:pPr>
          </w:p>
        </w:tc>
        <w:tc>
          <w:tcPr>
            <w:tcW w:w="1361" w:type="dxa"/>
            <w:vAlign w:val="center"/>
          </w:tcPr>
          <w:p w14:paraId="229E68A9">
            <w:pPr>
              <w:pStyle w:val="14"/>
            </w:pPr>
          </w:p>
        </w:tc>
        <w:tc>
          <w:tcPr>
            <w:tcW w:w="1361" w:type="dxa"/>
            <w:vAlign w:val="center"/>
          </w:tcPr>
          <w:p w14:paraId="0DFFD3D6">
            <w:pPr>
              <w:pStyle w:val="14"/>
            </w:pPr>
          </w:p>
        </w:tc>
      </w:tr>
      <w:tr w14:paraId="537D3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FE77A">
            <w:pPr>
              <w:pStyle w:val="12"/>
            </w:pPr>
            <w:r>
              <w:t>4</w:t>
            </w:r>
          </w:p>
        </w:tc>
        <w:tc>
          <w:tcPr>
            <w:tcW w:w="992" w:type="dxa"/>
            <w:vAlign w:val="center"/>
          </w:tcPr>
          <w:p w14:paraId="3D887381">
            <w:pPr>
              <w:pStyle w:val="13"/>
            </w:pPr>
            <w:r>
              <w:t>2050203</w:t>
            </w:r>
          </w:p>
        </w:tc>
        <w:tc>
          <w:tcPr>
            <w:tcW w:w="4535" w:type="dxa"/>
            <w:vAlign w:val="center"/>
          </w:tcPr>
          <w:p w14:paraId="664E613B">
            <w:pPr>
              <w:pStyle w:val="13"/>
            </w:pPr>
            <w:r>
              <w:t>初中教育</w:t>
            </w:r>
          </w:p>
        </w:tc>
        <w:tc>
          <w:tcPr>
            <w:tcW w:w="1361" w:type="dxa"/>
            <w:vAlign w:val="center"/>
          </w:tcPr>
          <w:p w14:paraId="373F32A5">
            <w:pPr>
              <w:pStyle w:val="14"/>
            </w:pPr>
            <w:r>
              <w:t>1447.97</w:t>
            </w:r>
          </w:p>
        </w:tc>
        <w:tc>
          <w:tcPr>
            <w:tcW w:w="1361" w:type="dxa"/>
            <w:vAlign w:val="center"/>
          </w:tcPr>
          <w:p w14:paraId="458D712B">
            <w:pPr>
              <w:pStyle w:val="14"/>
            </w:pPr>
            <w:r>
              <w:t>1212.88</w:t>
            </w:r>
          </w:p>
        </w:tc>
        <w:tc>
          <w:tcPr>
            <w:tcW w:w="1361" w:type="dxa"/>
            <w:vAlign w:val="center"/>
          </w:tcPr>
          <w:p w14:paraId="385AC4CB">
            <w:pPr>
              <w:pStyle w:val="14"/>
            </w:pPr>
            <w:r>
              <w:t>235.09</w:t>
            </w:r>
          </w:p>
        </w:tc>
        <w:tc>
          <w:tcPr>
            <w:tcW w:w="1361" w:type="dxa"/>
            <w:vAlign w:val="center"/>
          </w:tcPr>
          <w:p w14:paraId="44EEC18F">
            <w:pPr>
              <w:pStyle w:val="14"/>
            </w:pPr>
          </w:p>
        </w:tc>
        <w:tc>
          <w:tcPr>
            <w:tcW w:w="1361" w:type="dxa"/>
            <w:vAlign w:val="center"/>
          </w:tcPr>
          <w:p w14:paraId="30C4E4C5">
            <w:pPr>
              <w:pStyle w:val="14"/>
            </w:pPr>
          </w:p>
        </w:tc>
        <w:tc>
          <w:tcPr>
            <w:tcW w:w="1361" w:type="dxa"/>
            <w:vAlign w:val="center"/>
          </w:tcPr>
          <w:p w14:paraId="3D363C4F">
            <w:pPr>
              <w:pStyle w:val="14"/>
            </w:pPr>
          </w:p>
        </w:tc>
      </w:tr>
    </w:tbl>
    <w:p w14:paraId="67FAC745">
      <w:pPr>
        <w:sectPr>
          <w:pgSz w:w="16840" w:h="11900" w:orient="landscape"/>
          <w:pgMar w:top="1361" w:right="1020" w:bottom="1134" w:left="1020" w:header="720" w:footer="720" w:gutter="0"/>
          <w:cols w:space="720" w:num="1"/>
        </w:sectPr>
      </w:pPr>
    </w:p>
    <w:p w14:paraId="78E152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774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53009E">
            <w:pPr>
              <w:pStyle w:val="8"/>
            </w:pPr>
            <w:r>
              <w:t>360009河北省隆尧县滏阳中学</w:t>
            </w:r>
          </w:p>
        </w:tc>
        <w:tc>
          <w:tcPr>
            <w:tcW w:w="3402" w:type="dxa"/>
            <w:tcBorders>
              <w:top w:val="single" w:color="FFFFFF" w:sz="6" w:space="0"/>
              <w:left w:val="single" w:color="FFFFFF" w:sz="6" w:space="0"/>
              <w:right w:val="single" w:color="FFFFFF" w:sz="6" w:space="0"/>
            </w:tcBorders>
            <w:vAlign w:val="center"/>
          </w:tcPr>
          <w:p w14:paraId="53B275C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895A553">
            <w:pPr>
              <w:pStyle w:val="10"/>
            </w:pPr>
            <w:r>
              <w:t>单位：万元</w:t>
            </w:r>
          </w:p>
        </w:tc>
      </w:tr>
      <w:tr w14:paraId="11087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963604">
            <w:pPr>
              <w:pStyle w:val="11"/>
            </w:pPr>
            <w:r>
              <w:t>序号</w:t>
            </w:r>
          </w:p>
        </w:tc>
        <w:tc>
          <w:tcPr>
            <w:tcW w:w="4876" w:type="dxa"/>
            <w:gridSpan w:val="2"/>
            <w:vAlign w:val="center"/>
          </w:tcPr>
          <w:p w14:paraId="39640A33">
            <w:pPr>
              <w:pStyle w:val="11"/>
            </w:pPr>
            <w:r>
              <w:t>收入</w:t>
            </w:r>
          </w:p>
        </w:tc>
        <w:tc>
          <w:tcPr>
            <w:tcW w:w="9298" w:type="dxa"/>
            <w:gridSpan w:val="5"/>
            <w:vAlign w:val="center"/>
          </w:tcPr>
          <w:p w14:paraId="7B3C53BD">
            <w:pPr>
              <w:pStyle w:val="11"/>
            </w:pPr>
            <w:r>
              <w:t>支出</w:t>
            </w:r>
          </w:p>
        </w:tc>
      </w:tr>
      <w:tr w14:paraId="32890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4EED9C"/>
        </w:tc>
        <w:tc>
          <w:tcPr>
            <w:tcW w:w="3402" w:type="dxa"/>
            <w:vAlign w:val="center"/>
          </w:tcPr>
          <w:p w14:paraId="572CC1CA">
            <w:pPr>
              <w:pStyle w:val="11"/>
            </w:pPr>
            <w:r>
              <w:t>项  目</w:t>
            </w:r>
          </w:p>
        </w:tc>
        <w:tc>
          <w:tcPr>
            <w:tcW w:w="1474" w:type="dxa"/>
            <w:vAlign w:val="center"/>
          </w:tcPr>
          <w:p w14:paraId="509E9490">
            <w:pPr>
              <w:pStyle w:val="11"/>
            </w:pPr>
            <w:r>
              <w:t>金额</w:t>
            </w:r>
          </w:p>
        </w:tc>
        <w:tc>
          <w:tcPr>
            <w:tcW w:w="3402" w:type="dxa"/>
            <w:vAlign w:val="center"/>
          </w:tcPr>
          <w:p w14:paraId="5C61E8C9">
            <w:pPr>
              <w:pStyle w:val="11"/>
            </w:pPr>
            <w:r>
              <w:t>项  目</w:t>
            </w:r>
          </w:p>
        </w:tc>
        <w:tc>
          <w:tcPr>
            <w:tcW w:w="1474" w:type="dxa"/>
            <w:vAlign w:val="center"/>
          </w:tcPr>
          <w:p w14:paraId="46BBE020">
            <w:pPr>
              <w:pStyle w:val="11"/>
            </w:pPr>
            <w:r>
              <w:t>合计</w:t>
            </w:r>
          </w:p>
        </w:tc>
        <w:tc>
          <w:tcPr>
            <w:tcW w:w="1474" w:type="dxa"/>
            <w:vAlign w:val="center"/>
          </w:tcPr>
          <w:p w14:paraId="7B21A0B6">
            <w:pPr>
              <w:pStyle w:val="11"/>
            </w:pPr>
            <w:r>
              <w:t>一般公共预算财政拨款</w:t>
            </w:r>
          </w:p>
        </w:tc>
        <w:tc>
          <w:tcPr>
            <w:tcW w:w="1474" w:type="dxa"/>
            <w:vAlign w:val="center"/>
          </w:tcPr>
          <w:p w14:paraId="2C6328EF">
            <w:pPr>
              <w:pStyle w:val="11"/>
            </w:pPr>
            <w:r>
              <w:t>政府性基金预算财政    拨款</w:t>
            </w:r>
          </w:p>
        </w:tc>
        <w:tc>
          <w:tcPr>
            <w:tcW w:w="1474" w:type="dxa"/>
            <w:vAlign w:val="center"/>
          </w:tcPr>
          <w:p w14:paraId="5E1F4155">
            <w:pPr>
              <w:pStyle w:val="11"/>
            </w:pPr>
            <w:r>
              <w:t>国有资本经营预算财政拨款</w:t>
            </w:r>
          </w:p>
        </w:tc>
      </w:tr>
      <w:tr w14:paraId="20833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82A62F">
            <w:pPr>
              <w:pStyle w:val="11"/>
            </w:pPr>
            <w:r>
              <w:t>栏次</w:t>
            </w:r>
          </w:p>
        </w:tc>
        <w:tc>
          <w:tcPr>
            <w:tcW w:w="3402" w:type="dxa"/>
            <w:vAlign w:val="center"/>
          </w:tcPr>
          <w:p w14:paraId="7B0FB85D">
            <w:pPr>
              <w:pStyle w:val="11"/>
            </w:pPr>
            <w:r>
              <w:t>1</w:t>
            </w:r>
          </w:p>
        </w:tc>
        <w:tc>
          <w:tcPr>
            <w:tcW w:w="1474" w:type="dxa"/>
            <w:vAlign w:val="center"/>
          </w:tcPr>
          <w:p w14:paraId="565D0EDA">
            <w:pPr>
              <w:pStyle w:val="11"/>
            </w:pPr>
            <w:r>
              <w:t>2</w:t>
            </w:r>
          </w:p>
        </w:tc>
        <w:tc>
          <w:tcPr>
            <w:tcW w:w="3402" w:type="dxa"/>
            <w:vAlign w:val="center"/>
          </w:tcPr>
          <w:p w14:paraId="0430B76F">
            <w:pPr>
              <w:pStyle w:val="11"/>
            </w:pPr>
            <w:r>
              <w:t>3</w:t>
            </w:r>
          </w:p>
        </w:tc>
        <w:tc>
          <w:tcPr>
            <w:tcW w:w="1474" w:type="dxa"/>
            <w:vAlign w:val="center"/>
          </w:tcPr>
          <w:p w14:paraId="55883EEA">
            <w:pPr>
              <w:pStyle w:val="11"/>
            </w:pPr>
            <w:r>
              <w:t>4</w:t>
            </w:r>
          </w:p>
        </w:tc>
        <w:tc>
          <w:tcPr>
            <w:tcW w:w="1474" w:type="dxa"/>
            <w:vAlign w:val="center"/>
          </w:tcPr>
          <w:p w14:paraId="4C5F8661">
            <w:pPr>
              <w:pStyle w:val="11"/>
            </w:pPr>
            <w:r>
              <w:t>5</w:t>
            </w:r>
          </w:p>
        </w:tc>
        <w:tc>
          <w:tcPr>
            <w:tcW w:w="1474" w:type="dxa"/>
            <w:vAlign w:val="center"/>
          </w:tcPr>
          <w:p w14:paraId="0BFA7742">
            <w:pPr>
              <w:pStyle w:val="11"/>
            </w:pPr>
            <w:r>
              <w:t>6</w:t>
            </w:r>
          </w:p>
        </w:tc>
        <w:tc>
          <w:tcPr>
            <w:tcW w:w="1474" w:type="dxa"/>
            <w:vAlign w:val="center"/>
          </w:tcPr>
          <w:p w14:paraId="7D257341">
            <w:pPr>
              <w:pStyle w:val="11"/>
            </w:pPr>
            <w:r>
              <w:t>7</w:t>
            </w:r>
          </w:p>
        </w:tc>
      </w:tr>
      <w:tr w14:paraId="7126C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4277C">
            <w:pPr>
              <w:pStyle w:val="12"/>
            </w:pPr>
            <w:r>
              <w:t>1</w:t>
            </w:r>
          </w:p>
        </w:tc>
        <w:tc>
          <w:tcPr>
            <w:tcW w:w="3402" w:type="dxa"/>
            <w:vAlign w:val="center"/>
          </w:tcPr>
          <w:p w14:paraId="4C6658DF">
            <w:pPr>
              <w:pStyle w:val="13"/>
            </w:pPr>
            <w:r>
              <w:t>一、一般公共预算拨款</w:t>
            </w:r>
          </w:p>
        </w:tc>
        <w:tc>
          <w:tcPr>
            <w:tcW w:w="1474" w:type="dxa"/>
            <w:vAlign w:val="center"/>
          </w:tcPr>
          <w:p w14:paraId="58A55189">
            <w:pPr>
              <w:pStyle w:val="14"/>
            </w:pPr>
            <w:r>
              <w:t>1447.97</w:t>
            </w:r>
          </w:p>
        </w:tc>
        <w:tc>
          <w:tcPr>
            <w:tcW w:w="3402" w:type="dxa"/>
            <w:vAlign w:val="center"/>
          </w:tcPr>
          <w:p w14:paraId="7920A513">
            <w:pPr>
              <w:pStyle w:val="13"/>
            </w:pPr>
            <w:r>
              <w:t>一、一般公共服务支出</w:t>
            </w:r>
          </w:p>
        </w:tc>
        <w:tc>
          <w:tcPr>
            <w:tcW w:w="1474" w:type="dxa"/>
            <w:vAlign w:val="center"/>
          </w:tcPr>
          <w:p w14:paraId="1F0D5FAD">
            <w:pPr>
              <w:pStyle w:val="14"/>
            </w:pPr>
          </w:p>
        </w:tc>
        <w:tc>
          <w:tcPr>
            <w:tcW w:w="1474" w:type="dxa"/>
            <w:vAlign w:val="center"/>
          </w:tcPr>
          <w:p w14:paraId="4730552D">
            <w:pPr>
              <w:pStyle w:val="14"/>
            </w:pPr>
          </w:p>
        </w:tc>
        <w:tc>
          <w:tcPr>
            <w:tcW w:w="1474" w:type="dxa"/>
            <w:vAlign w:val="center"/>
          </w:tcPr>
          <w:p w14:paraId="4395B07F">
            <w:pPr>
              <w:pStyle w:val="14"/>
            </w:pPr>
          </w:p>
        </w:tc>
        <w:tc>
          <w:tcPr>
            <w:tcW w:w="1474" w:type="dxa"/>
            <w:vAlign w:val="center"/>
          </w:tcPr>
          <w:p w14:paraId="539CE421">
            <w:pPr>
              <w:pStyle w:val="14"/>
            </w:pPr>
          </w:p>
        </w:tc>
      </w:tr>
      <w:tr w14:paraId="2E0FB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B15FB">
            <w:pPr>
              <w:pStyle w:val="12"/>
            </w:pPr>
            <w:r>
              <w:t>2</w:t>
            </w:r>
          </w:p>
        </w:tc>
        <w:tc>
          <w:tcPr>
            <w:tcW w:w="3402" w:type="dxa"/>
            <w:vAlign w:val="center"/>
          </w:tcPr>
          <w:p w14:paraId="24DB8957">
            <w:pPr>
              <w:pStyle w:val="13"/>
            </w:pPr>
            <w:r>
              <w:t>二、政府性基金预算拨款</w:t>
            </w:r>
          </w:p>
        </w:tc>
        <w:tc>
          <w:tcPr>
            <w:tcW w:w="1474" w:type="dxa"/>
            <w:vAlign w:val="center"/>
          </w:tcPr>
          <w:p w14:paraId="1CD602F1">
            <w:pPr>
              <w:pStyle w:val="14"/>
            </w:pPr>
          </w:p>
        </w:tc>
        <w:tc>
          <w:tcPr>
            <w:tcW w:w="3402" w:type="dxa"/>
            <w:vAlign w:val="center"/>
          </w:tcPr>
          <w:p w14:paraId="37C962B9">
            <w:pPr>
              <w:pStyle w:val="13"/>
            </w:pPr>
            <w:r>
              <w:t>二、外交支出</w:t>
            </w:r>
          </w:p>
        </w:tc>
        <w:tc>
          <w:tcPr>
            <w:tcW w:w="1474" w:type="dxa"/>
            <w:vAlign w:val="center"/>
          </w:tcPr>
          <w:p w14:paraId="1F923F8D">
            <w:pPr>
              <w:pStyle w:val="14"/>
            </w:pPr>
          </w:p>
        </w:tc>
        <w:tc>
          <w:tcPr>
            <w:tcW w:w="1474" w:type="dxa"/>
            <w:vAlign w:val="center"/>
          </w:tcPr>
          <w:p w14:paraId="6108B4E9">
            <w:pPr>
              <w:pStyle w:val="14"/>
            </w:pPr>
          </w:p>
        </w:tc>
        <w:tc>
          <w:tcPr>
            <w:tcW w:w="1474" w:type="dxa"/>
            <w:vAlign w:val="center"/>
          </w:tcPr>
          <w:p w14:paraId="4A77168C">
            <w:pPr>
              <w:pStyle w:val="14"/>
            </w:pPr>
          </w:p>
        </w:tc>
        <w:tc>
          <w:tcPr>
            <w:tcW w:w="1474" w:type="dxa"/>
            <w:vAlign w:val="center"/>
          </w:tcPr>
          <w:p w14:paraId="036B84B1">
            <w:pPr>
              <w:pStyle w:val="14"/>
            </w:pPr>
          </w:p>
        </w:tc>
      </w:tr>
      <w:tr w14:paraId="6506F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ED192">
            <w:pPr>
              <w:pStyle w:val="12"/>
            </w:pPr>
            <w:r>
              <w:t>3</w:t>
            </w:r>
          </w:p>
        </w:tc>
        <w:tc>
          <w:tcPr>
            <w:tcW w:w="3402" w:type="dxa"/>
            <w:vAlign w:val="center"/>
          </w:tcPr>
          <w:p w14:paraId="76EF627E">
            <w:pPr>
              <w:pStyle w:val="13"/>
            </w:pPr>
            <w:r>
              <w:t>三、国有资本经营预算拨款</w:t>
            </w:r>
          </w:p>
        </w:tc>
        <w:tc>
          <w:tcPr>
            <w:tcW w:w="1474" w:type="dxa"/>
            <w:vAlign w:val="center"/>
          </w:tcPr>
          <w:p w14:paraId="4F11623B">
            <w:pPr>
              <w:pStyle w:val="14"/>
            </w:pPr>
          </w:p>
        </w:tc>
        <w:tc>
          <w:tcPr>
            <w:tcW w:w="3402" w:type="dxa"/>
            <w:vAlign w:val="center"/>
          </w:tcPr>
          <w:p w14:paraId="0EACBBE9">
            <w:pPr>
              <w:pStyle w:val="13"/>
            </w:pPr>
            <w:r>
              <w:t>三、国防支出</w:t>
            </w:r>
          </w:p>
        </w:tc>
        <w:tc>
          <w:tcPr>
            <w:tcW w:w="1474" w:type="dxa"/>
            <w:vAlign w:val="center"/>
          </w:tcPr>
          <w:p w14:paraId="2BE1B429">
            <w:pPr>
              <w:pStyle w:val="14"/>
            </w:pPr>
          </w:p>
        </w:tc>
        <w:tc>
          <w:tcPr>
            <w:tcW w:w="1474" w:type="dxa"/>
            <w:vAlign w:val="center"/>
          </w:tcPr>
          <w:p w14:paraId="086E2DFD">
            <w:pPr>
              <w:pStyle w:val="14"/>
            </w:pPr>
          </w:p>
        </w:tc>
        <w:tc>
          <w:tcPr>
            <w:tcW w:w="1474" w:type="dxa"/>
            <w:vAlign w:val="center"/>
          </w:tcPr>
          <w:p w14:paraId="3F0135D9">
            <w:pPr>
              <w:pStyle w:val="14"/>
            </w:pPr>
          </w:p>
        </w:tc>
        <w:tc>
          <w:tcPr>
            <w:tcW w:w="1474" w:type="dxa"/>
            <w:vAlign w:val="center"/>
          </w:tcPr>
          <w:p w14:paraId="676745BC">
            <w:pPr>
              <w:pStyle w:val="14"/>
            </w:pPr>
          </w:p>
        </w:tc>
      </w:tr>
      <w:tr w14:paraId="77215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10361">
            <w:pPr>
              <w:pStyle w:val="12"/>
            </w:pPr>
            <w:r>
              <w:t>4</w:t>
            </w:r>
          </w:p>
        </w:tc>
        <w:tc>
          <w:tcPr>
            <w:tcW w:w="3402" w:type="dxa"/>
            <w:vAlign w:val="center"/>
          </w:tcPr>
          <w:p w14:paraId="0DA29AAB">
            <w:pPr>
              <w:pStyle w:val="13"/>
            </w:pPr>
          </w:p>
        </w:tc>
        <w:tc>
          <w:tcPr>
            <w:tcW w:w="1474" w:type="dxa"/>
            <w:vAlign w:val="center"/>
          </w:tcPr>
          <w:p w14:paraId="22DDE394">
            <w:pPr>
              <w:pStyle w:val="14"/>
            </w:pPr>
          </w:p>
        </w:tc>
        <w:tc>
          <w:tcPr>
            <w:tcW w:w="3402" w:type="dxa"/>
            <w:vAlign w:val="center"/>
          </w:tcPr>
          <w:p w14:paraId="77C5EEC5">
            <w:pPr>
              <w:pStyle w:val="13"/>
            </w:pPr>
            <w:r>
              <w:t>四、公共安全支出</w:t>
            </w:r>
          </w:p>
        </w:tc>
        <w:tc>
          <w:tcPr>
            <w:tcW w:w="1474" w:type="dxa"/>
            <w:vAlign w:val="center"/>
          </w:tcPr>
          <w:p w14:paraId="54FBBE4B">
            <w:pPr>
              <w:pStyle w:val="14"/>
            </w:pPr>
          </w:p>
        </w:tc>
        <w:tc>
          <w:tcPr>
            <w:tcW w:w="1474" w:type="dxa"/>
            <w:vAlign w:val="center"/>
          </w:tcPr>
          <w:p w14:paraId="28372766">
            <w:pPr>
              <w:pStyle w:val="14"/>
            </w:pPr>
          </w:p>
        </w:tc>
        <w:tc>
          <w:tcPr>
            <w:tcW w:w="1474" w:type="dxa"/>
            <w:vAlign w:val="center"/>
          </w:tcPr>
          <w:p w14:paraId="00E16A79">
            <w:pPr>
              <w:pStyle w:val="14"/>
            </w:pPr>
          </w:p>
        </w:tc>
        <w:tc>
          <w:tcPr>
            <w:tcW w:w="1474" w:type="dxa"/>
            <w:vAlign w:val="center"/>
          </w:tcPr>
          <w:p w14:paraId="0089F056">
            <w:pPr>
              <w:pStyle w:val="14"/>
            </w:pPr>
          </w:p>
        </w:tc>
      </w:tr>
      <w:tr w14:paraId="12906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9B108">
            <w:pPr>
              <w:pStyle w:val="12"/>
            </w:pPr>
            <w:r>
              <w:t>5</w:t>
            </w:r>
          </w:p>
        </w:tc>
        <w:tc>
          <w:tcPr>
            <w:tcW w:w="3402" w:type="dxa"/>
            <w:vAlign w:val="center"/>
          </w:tcPr>
          <w:p w14:paraId="747AEDCC">
            <w:pPr>
              <w:pStyle w:val="13"/>
            </w:pPr>
          </w:p>
        </w:tc>
        <w:tc>
          <w:tcPr>
            <w:tcW w:w="1474" w:type="dxa"/>
            <w:vAlign w:val="center"/>
          </w:tcPr>
          <w:p w14:paraId="307E5FBF">
            <w:pPr>
              <w:pStyle w:val="14"/>
            </w:pPr>
          </w:p>
        </w:tc>
        <w:tc>
          <w:tcPr>
            <w:tcW w:w="3402" w:type="dxa"/>
            <w:vAlign w:val="center"/>
          </w:tcPr>
          <w:p w14:paraId="047F78FC">
            <w:pPr>
              <w:pStyle w:val="13"/>
            </w:pPr>
            <w:r>
              <w:t>五、教育支出</w:t>
            </w:r>
          </w:p>
        </w:tc>
        <w:tc>
          <w:tcPr>
            <w:tcW w:w="1474" w:type="dxa"/>
            <w:vAlign w:val="center"/>
          </w:tcPr>
          <w:p w14:paraId="45A773E3">
            <w:pPr>
              <w:pStyle w:val="14"/>
            </w:pPr>
            <w:r>
              <w:t>1447.97</w:t>
            </w:r>
          </w:p>
        </w:tc>
        <w:tc>
          <w:tcPr>
            <w:tcW w:w="1474" w:type="dxa"/>
            <w:vAlign w:val="center"/>
          </w:tcPr>
          <w:p w14:paraId="31DD42BD">
            <w:pPr>
              <w:pStyle w:val="14"/>
            </w:pPr>
            <w:r>
              <w:t>1447.97</w:t>
            </w:r>
          </w:p>
        </w:tc>
        <w:tc>
          <w:tcPr>
            <w:tcW w:w="1474" w:type="dxa"/>
            <w:vAlign w:val="center"/>
          </w:tcPr>
          <w:p w14:paraId="7971C577">
            <w:pPr>
              <w:pStyle w:val="14"/>
            </w:pPr>
          </w:p>
        </w:tc>
        <w:tc>
          <w:tcPr>
            <w:tcW w:w="1474" w:type="dxa"/>
            <w:vAlign w:val="center"/>
          </w:tcPr>
          <w:p w14:paraId="2C3A95CD">
            <w:pPr>
              <w:pStyle w:val="14"/>
            </w:pPr>
          </w:p>
        </w:tc>
      </w:tr>
      <w:tr w14:paraId="3F48B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3B8BE">
            <w:pPr>
              <w:pStyle w:val="12"/>
            </w:pPr>
            <w:r>
              <w:t>6</w:t>
            </w:r>
          </w:p>
        </w:tc>
        <w:tc>
          <w:tcPr>
            <w:tcW w:w="3402" w:type="dxa"/>
            <w:vAlign w:val="center"/>
          </w:tcPr>
          <w:p w14:paraId="0521614F">
            <w:pPr>
              <w:pStyle w:val="13"/>
            </w:pPr>
          </w:p>
        </w:tc>
        <w:tc>
          <w:tcPr>
            <w:tcW w:w="1474" w:type="dxa"/>
            <w:vAlign w:val="center"/>
          </w:tcPr>
          <w:p w14:paraId="2BC41565">
            <w:pPr>
              <w:pStyle w:val="14"/>
            </w:pPr>
          </w:p>
        </w:tc>
        <w:tc>
          <w:tcPr>
            <w:tcW w:w="3402" w:type="dxa"/>
            <w:vAlign w:val="center"/>
          </w:tcPr>
          <w:p w14:paraId="3F405E9F">
            <w:pPr>
              <w:pStyle w:val="13"/>
            </w:pPr>
            <w:r>
              <w:t>六、科学技术支出</w:t>
            </w:r>
          </w:p>
        </w:tc>
        <w:tc>
          <w:tcPr>
            <w:tcW w:w="1474" w:type="dxa"/>
            <w:vAlign w:val="center"/>
          </w:tcPr>
          <w:p w14:paraId="10F1A834">
            <w:pPr>
              <w:pStyle w:val="14"/>
            </w:pPr>
          </w:p>
        </w:tc>
        <w:tc>
          <w:tcPr>
            <w:tcW w:w="1474" w:type="dxa"/>
            <w:vAlign w:val="center"/>
          </w:tcPr>
          <w:p w14:paraId="72AEA52F">
            <w:pPr>
              <w:pStyle w:val="14"/>
            </w:pPr>
          </w:p>
        </w:tc>
        <w:tc>
          <w:tcPr>
            <w:tcW w:w="1474" w:type="dxa"/>
            <w:vAlign w:val="center"/>
          </w:tcPr>
          <w:p w14:paraId="1987880C">
            <w:pPr>
              <w:pStyle w:val="14"/>
            </w:pPr>
          </w:p>
        </w:tc>
        <w:tc>
          <w:tcPr>
            <w:tcW w:w="1474" w:type="dxa"/>
            <w:vAlign w:val="center"/>
          </w:tcPr>
          <w:p w14:paraId="722CCE15">
            <w:pPr>
              <w:pStyle w:val="14"/>
            </w:pPr>
          </w:p>
        </w:tc>
      </w:tr>
      <w:tr w14:paraId="024E1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3BF0C">
            <w:pPr>
              <w:pStyle w:val="12"/>
            </w:pPr>
            <w:r>
              <w:t>7</w:t>
            </w:r>
          </w:p>
        </w:tc>
        <w:tc>
          <w:tcPr>
            <w:tcW w:w="3402" w:type="dxa"/>
            <w:vAlign w:val="center"/>
          </w:tcPr>
          <w:p w14:paraId="4641229D">
            <w:pPr>
              <w:pStyle w:val="13"/>
            </w:pPr>
          </w:p>
        </w:tc>
        <w:tc>
          <w:tcPr>
            <w:tcW w:w="1474" w:type="dxa"/>
            <w:vAlign w:val="center"/>
          </w:tcPr>
          <w:p w14:paraId="21A25D99">
            <w:pPr>
              <w:pStyle w:val="14"/>
            </w:pPr>
          </w:p>
        </w:tc>
        <w:tc>
          <w:tcPr>
            <w:tcW w:w="3402" w:type="dxa"/>
            <w:vAlign w:val="center"/>
          </w:tcPr>
          <w:p w14:paraId="368DAB67">
            <w:pPr>
              <w:pStyle w:val="13"/>
            </w:pPr>
            <w:r>
              <w:t>七、文化旅游体育与传媒支出</w:t>
            </w:r>
          </w:p>
        </w:tc>
        <w:tc>
          <w:tcPr>
            <w:tcW w:w="1474" w:type="dxa"/>
            <w:vAlign w:val="center"/>
          </w:tcPr>
          <w:p w14:paraId="609A0D07">
            <w:pPr>
              <w:pStyle w:val="14"/>
            </w:pPr>
          </w:p>
        </w:tc>
        <w:tc>
          <w:tcPr>
            <w:tcW w:w="1474" w:type="dxa"/>
            <w:vAlign w:val="center"/>
          </w:tcPr>
          <w:p w14:paraId="380F8540">
            <w:pPr>
              <w:pStyle w:val="14"/>
            </w:pPr>
          </w:p>
        </w:tc>
        <w:tc>
          <w:tcPr>
            <w:tcW w:w="1474" w:type="dxa"/>
            <w:vAlign w:val="center"/>
          </w:tcPr>
          <w:p w14:paraId="51E159CB">
            <w:pPr>
              <w:pStyle w:val="14"/>
            </w:pPr>
          </w:p>
        </w:tc>
        <w:tc>
          <w:tcPr>
            <w:tcW w:w="1474" w:type="dxa"/>
            <w:vAlign w:val="center"/>
          </w:tcPr>
          <w:p w14:paraId="30EAD76F">
            <w:pPr>
              <w:pStyle w:val="14"/>
            </w:pPr>
          </w:p>
        </w:tc>
      </w:tr>
      <w:tr w14:paraId="2F3CE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646AA">
            <w:pPr>
              <w:pStyle w:val="12"/>
            </w:pPr>
            <w:r>
              <w:t>8</w:t>
            </w:r>
          </w:p>
        </w:tc>
        <w:tc>
          <w:tcPr>
            <w:tcW w:w="3402" w:type="dxa"/>
            <w:vAlign w:val="center"/>
          </w:tcPr>
          <w:p w14:paraId="0C1350AC">
            <w:pPr>
              <w:pStyle w:val="13"/>
            </w:pPr>
          </w:p>
        </w:tc>
        <w:tc>
          <w:tcPr>
            <w:tcW w:w="1474" w:type="dxa"/>
            <w:vAlign w:val="center"/>
          </w:tcPr>
          <w:p w14:paraId="38741793">
            <w:pPr>
              <w:pStyle w:val="14"/>
            </w:pPr>
          </w:p>
        </w:tc>
        <w:tc>
          <w:tcPr>
            <w:tcW w:w="3402" w:type="dxa"/>
            <w:vAlign w:val="center"/>
          </w:tcPr>
          <w:p w14:paraId="724CBDE4">
            <w:pPr>
              <w:pStyle w:val="13"/>
            </w:pPr>
            <w:r>
              <w:t>八、社会保障和就业支出</w:t>
            </w:r>
          </w:p>
        </w:tc>
        <w:tc>
          <w:tcPr>
            <w:tcW w:w="1474" w:type="dxa"/>
            <w:vAlign w:val="center"/>
          </w:tcPr>
          <w:p w14:paraId="4239362E">
            <w:pPr>
              <w:pStyle w:val="14"/>
            </w:pPr>
          </w:p>
        </w:tc>
        <w:tc>
          <w:tcPr>
            <w:tcW w:w="1474" w:type="dxa"/>
            <w:vAlign w:val="center"/>
          </w:tcPr>
          <w:p w14:paraId="6E914E66">
            <w:pPr>
              <w:pStyle w:val="14"/>
            </w:pPr>
          </w:p>
        </w:tc>
        <w:tc>
          <w:tcPr>
            <w:tcW w:w="1474" w:type="dxa"/>
            <w:vAlign w:val="center"/>
          </w:tcPr>
          <w:p w14:paraId="7692A91C">
            <w:pPr>
              <w:pStyle w:val="14"/>
            </w:pPr>
          </w:p>
        </w:tc>
        <w:tc>
          <w:tcPr>
            <w:tcW w:w="1474" w:type="dxa"/>
            <w:vAlign w:val="center"/>
          </w:tcPr>
          <w:p w14:paraId="1EF8674A">
            <w:pPr>
              <w:pStyle w:val="14"/>
            </w:pPr>
          </w:p>
        </w:tc>
      </w:tr>
      <w:tr w14:paraId="64612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FA4A8">
            <w:pPr>
              <w:pStyle w:val="12"/>
            </w:pPr>
            <w:r>
              <w:t>9</w:t>
            </w:r>
          </w:p>
        </w:tc>
        <w:tc>
          <w:tcPr>
            <w:tcW w:w="3402" w:type="dxa"/>
            <w:vAlign w:val="center"/>
          </w:tcPr>
          <w:p w14:paraId="7CDF2DE1">
            <w:pPr>
              <w:pStyle w:val="13"/>
            </w:pPr>
          </w:p>
        </w:tc>
        <w:tc>
          <w:tcPr>
            <w:tcW w:w="1474" w:type="dxa"/>
            <w:vAlign w:val="center"/>
          </w:tcPr>
          <w:p w14:paraId="6F9B07AB">
            <w:pPr>
              <w:pStyle w:val="14"/>
            </w:pPr>
          </w:p>
        </w:tc>
        <w:tc>
          <w:tcPr>
            <w:tcW w:w="3402" w:type="dxa"/>
            <w:vAlign w:val="center"/>
          </w:tcPr>
          <w:p w14:paraId="736B614C">
            <w:pPr>
              <w:pStyle w:val="13"/>
            </w:pPr>
            <w:r>
              <w:t>九、社会保险基金支出</w:t>
            </w:r>
          </w:p>
        </w:tc>
        <w:tc>
          <w:tcPr>
            <w:tcW w:w="1474" w:type="dxa"/>
            <w:vAlign w:val="center"/>
          </w:tcPr>
          <w:p w14:paraId="7133D136">
            <w:pPr>
              <w:pStyle w:val="14"/>
            </w:pPr>
          </w:p>
        </w:tc>
        <w:tc>
          <w:tcPr>
            <w:tcW w:w="1474" w:type="dxa"/>
            <w:vAlign w:val="center"/>
          </w:tcPr>
          <w:p w14:paraId="554EC5C9">
            <w:pPr>
              <w:pStyle w:val="14"/>
            </w:pPr>
          </w:p>
        </w:tc>
        <w:tc>
          <w:tcPr>
            <w:tcW w:w="1474" w:type="dxa"/>
            <w:vAlign w:val="center"/>
          </w:tcPr>
          <w:p w14:paraId="5568F7BE">
            <w:pPr>
              <w:pStyle w:val="14"/>
            </w:pPr>
          </w:p>
        </w:tc>
        <w:tc>
          <w:tcPr>
            <w:tcW w:w="1474" w:type="dxa"/>
            <w:vAlign w:val="center"/>
          </w:tcPr>
          <w:p w14:paraId="019A0AD3">
            <w:pPr>
              <w:pStyle w:val="14"/>
            </w:pPr>
          </w:p>
        </w:tc>
      </w:tr>
      <w:tr w14:paraId="02958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1C80A">
            <w:pPr>
              <w:pStyle w:val="12"/>
            </w:pPr>
            <w:r>
              <w:t>10</w:t>
            </w:r>
          </w:p>
        </w:tc>
        <w:tc>
          <w:tcPr>
            <w:tcW w:w="3402" w:type="dxa"/>
            <w:vAlign w:val="center"/>
          </w:tcPr>
          <w:p w14:paraId="294019D3">
            <w:pPr>
              <w:pStyle w:val="13"/>
            </w:pPr>
          </w:p>
        </w:tc>
        <w:tc>
          <w:tcPr>
            <w:tcW w:w="1474" w:type="dxa"/>
            <w:vAlign w:val="center"/>
          </w:tcPr>
          <w:p w14:paraId="184E79AE">
            <w:pPr>
              <w:pStyle w:val="14"/>
            </w:pPr>
          </w:p>
        </w:tc>
        <w:tc>
          <w:tcPr>
            <w:tcW w:w="3402" w:type="dxa"/>
            <w:vAlign w:val="center"/>
          </w:tcPr>
          <w:p w14:paraId="39F6AF7D">
            <w:pPr>
              <w:pStyle w:val="13"/>
            </w:pPr>
            <w:r>
              <w:t>十、卫生健康支出</w:t>
            </w:r>
          </w:p>
        </w:tc>
        <w:tc>
          <w:tcPr>
            <w:tcW w:w="1474" w:type="dxa"/>
            <w:vAlign w:val="center"/>
          </w:tcPr>
          <w:p w14:paraId="21071E50">
            <w:pPr>
              <w:pStyle w:val="14"/>
            </w:pPr>
          </w:p>
        </w:tc>
        <w:tc>
          <w:tcPr>
            <w:tcW w:w="1474" w:type="dxa"/>
            <w:vAlign w:val="center"/>
          </w:tcPr>
          <w:p w14:paraId="6B67CEBA">
            <w:pPr>
              <w:pStyle w:val="14"/>
            </w:pPr>
          </w:p>
        </w:tc>
        <w:tc>
          <w:tcPr>
            <w:tcW w:w="1474" w:type="dxa"/>
            <w:vAlign w:val="center"/>
          </w:tcPr>
          <w:p w14:paraId="13C97BC5">
            <w:pPr>
              <w:pStyle w:val="14"/>
            </w:pPr>
          </w:p>
        </w:tc>
        <w:tc>
          <w:tcPr>
            <w:tcW w:w="1474" w:type="dxa"/>
            <w:vAlign w:val="center"/>
          </w:tcPr>
          <w:p w14:paraId="720138BE">
            <w:pPr>
              <w:pStyle w:val="14"/>
            </w:pPr>
          </w:p>
        </w:tc>
      </w:tr>
      <w:tr w14:paraId="4D75C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A9F0B">
            <w:pPr>
              <w:pStyle w:val="12"/>
            </w:pPr>
            <w:r>
              <w:t>11</w:t>
            </w:r>
          </w:p>
        </w:tc>
        <w:tc>
          <w:tcPr>
            <w:tcW w:w="3402" w:type="dxa"/>
            <w:vAlign w:val="center"/>
          </w:tcPr>
          <w:p w14:paraId="7E60F820">
            <w:pPr>
              <w:pStyle w:val="13"/>
            </w:pPr>
          </w:p>
        </w:tc>
        <w:tc>
          <w:tcPr>
            <w:tcW w:w="1474" w:type="dxa"/>
            <w:vAlign w:val="center"/>
          </w:tcPr>
          <w:p w14:paraId="42C8F3EB">
            <w:pPr>
              <w:pStyle w:val="14"/>
            </w:pPr>
          </w:p>
        </w:tc>
        <w:tc>
          <w:tcPr>
            <w:tcW w:w="3402" w:type="dxa"/>
            <w:vAlign w:val="center"/>
          </w:tcPr>
          <w:p w14:paraId="1011C189">
            <w:pPr>
              <w:pStyle w:val="13"/>
            </w:pPr>
            <w:r>
              <w:t>十一、节能环保支出</w:t>
            </w:r>
          </w:p>
        </w:tc>
        <w:tc>
          <w:tcPr>
            <w:tcW w:w="1474" w:type="dxa"/>
            <w:vAlign w:val="center"/>
          </w:tcPr>
          <w:p w14:paraId="4309177C">
            <w:pPr>
              <w:pStyle w:val="14"/>
            </w:pPr>
          </w:p>
        </w:tc>
        <w:tc>
          <w:tcPr>
            <w:tcW w:w="1474" w:type="dxa"/>
            <w:vAlign w:val="center"/>
          </w:tcPr>
          <w:p w14:paraId="3D51C587">
            <w:pPr>
              <w:pStyle w:val="14"/>
            </w:pPr>
          </w:p>
        </w:tc>
        <w:tc>
          <w:tcPr>
            <w:tcW w:w="1474" w:type="dxa"/>
            <w:vAlign w:val="center"/>
          </w:tcPr>
          <w:p w14:paraId="4272D473">
            <w:pPr>
              <w:pStyle w:val="14"/>
            </w:pPr>
          </w:p>
        </w:tc>
        <w:tc>
          <w:tcPr>
            <w:tcW w:w="1474" w:type="dxa"/>
            <w:vAlign w:val="center"/>
          </w:tcPr>
          <w:p w14:paraId="5A1193C2">
            <w:pPr>
              <w:pStyle w:val="14"/>
            </w:pPr>
          </w:p>
        </w:tc>
      </w:tr>
      <w:tr w14:paraId="0DC84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E8480">
            <w:pPr>
              <w:pStyle w:val="12"/>
            </w:pPr>
            <w:r>
              <w:t>12</w:t>
            </w:r>
          </w:p>
        </w:tc>
        <w:tc>
          <w:tcPr>
            <w:tcW w:w="3402" w:type="dxa"/>
            <w:vAlign w:val="center"/>
          </w:tcPr>
          <w:p w14:paraId="58693E4B">
            <w:pPr>
              <w:pStyle w:val="13"/>
            </w:pPr>
          </w:p>
        </w:tc>
        <w:tc>
          <w:tcPr>
            <w:tcW w:w="1474" w:type="dxa"/>
            <w:vAlign w:val="center"/>
          </w:tcPr>
          <w:p w14:paraId="6E94EE9B">
            <w:pPr>
              <w:pStyle w:val="14"/>
            </w:pPr>
          </w:p>
        </w:tc>
        <w:tc>
          <w:tcPr>
            <w:tcW w:w="3402" w:type="dxa"/>
            <w:vAlign w:val="center"/>
          </w:tcPr>
          <w:p w14:paraId="4E6AAAD5">
            <w:pPr>
              <w:pStyle w:val="13"/>
            </w:pPr>
            <w:r>
              <w:t>十二、城乡社区支出</w:t>
            </w:r>
          </w:p>
        </w:tc>
        <w:tc>
          <w:tcPr>
            <w:tcW w:w="1474" w:type="dxa"/>
            <w:vAlign w:val="center"/>
          </w:tcPr>
          <w:p w14:paraId="3F2F0512">
            <w:pPr>
              <w:pStyle w:val="14"/>
            </w:pPr>
          </w:p>
        </w:tc>
        <w:tc>
          <w:tcPr>
            <w:tcW w:w="1474" w:type="dxa"/>
            <w:vAlign w:val="center"/>
          </w:tcPr>
          <w:p w14:paraId="3726F6B2">
            <w:pPr>
              <w:pStyle w:val="14"/>
            </w:pPr>
          </w:p>
        </w:tc>
        <w:tc>
          <w:tcPr>
            <w:tcW w:w="1474" w:type="dxa"/>
            <w:vAlign w:val="center"/>
          </w:tcPr>
          <w:p w14:paraId="58662AD3">
            <w:pPr>
              <w:pStyle w:val="14"/>
            </w:pPr>
          </w:p>
        </w:tc>
        <w:tc>
          <w:tcPr>
            <w:tcW w:w="1474" w:type="dxa"/>
            <w:vAlign w:val="center"/>
          </w:tcPr>
          <w:p w14:paraId="7D21C315">
            <w:pPr>
              <w:pStyle w:val="14"/>
            </w:pPr>
          </w:p>
        </w:tc>
      </w:tr>
      <w:tr w14:paraId="6C9EC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18805">
            <w:pPr>
              <w:pStyle w:val="12"/>
            </w:pPr>
            <w:r>
              <w:t>13</w:t>
            </w:r>
          </w:p>
        </w:tc>
        <w:tc>
          <w:tcPr>
            <w:tcW w:w="3402" w:type="dxa"/>
            <w:vAlign w:val="center"/>
          </w:tcPr>
          <w:p w14:paraId="04F3CA1E">
            <w:pPr>
              <w:pStyle w:val="13"/>
            </w:pPr>
          </w:p>
        </w:tc>
        <w:tc>
          <w:tcPr>
            <w:tcW w:w="1474" w:type="dxa"/>
            <w:vAlign w:val="center"/>
          </w:tcPr>
          <w:p w14:paraId="37820B58">
            <w:pPr>
              <w:pStyle w:val="14"/>
            </w:pPr>
          </w:p>
        </w:tc>
        <w:tc>
          <w:tcPr>
            <w:tcW w:w="3402" w:type="dxa"/>
            <w:vAlign w:val="center"/>
          </w:tcPr>
          <w:p w14:paraId="5D7EA0D2">
            <w:pPr>
              <w:pStyle w:val="13"/>
            </w:pPr>
            <w:r>
              <w:t>十三、农林水支出</w:t>
            </w:r>
          </w:p>
        </w:tc>
        <w:tc>
          <w:tcPr>
            <w:tcW w:w="1474" w:type="dxa"/>
            <w:vAlign w:val="center"/>
          </w:tcPr>
          <w:p w14:paraId="1B1FEB47">
            <w:pPr>
              <w:pStyle w:val="14"/>
            </w:pPr>
          </w:p>
        </w:tc>
        <w:tc>
          <w:tcPr>
            <w:tcW w:w="1474" w:type="dxa"/>
            <w:vAlign w:val="center"/>
          </w:tcPr>
          <w:p w14:paraId="5E590223">
            <w:pPr>
              <w:pStyle w:val="14"/>
            </w:pPr>
          </w:p>
        </w:tc>
        <w:tc>
          <w:tcPr>
            <w:tcW w:w="1474" w:type="dxa"/>
            <w:vAlign w:val="center"/>
          </w:tcPr>
          <w:p w14:paraId="13C1F511">
            <w:pPr>
              <w:pStyle w:val="14"/>
            </w:pPr>
          </w:p>
        </w:tc>
        <w:tc>
          <w:tcPr>
            <w:tcW w:w="1474" w:type="dxa"/>
            <w:vAlign w:val="center"/>
          </w:tcPr>
          <w:p w14:paraId="7CD58C18">
            <w:pPr>
              <w:pStyle w:val="14"/>
            </w:pPr>
          </w:p>
        </w:tc>
      </w:tr>
      <w:tr w14:paraId="49EA4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788B8">
            <w:pPr>
              <w:pStyle w:val="12"/>
            </w:pPr>
            <w:r>
              <w:t>14</w:t>
            </w:r>
          </w:p>
        </w:tc>
        <w:tc>
          <w:tcPr>
            <w:tcW w:w="3402" w:type="dxa"/>
            <w:vAlign w:val="center"/>
          </w:tcPr>
          <w:p w14:paraId="7D4E653F">
            <w:pPr>
              <w:pStyle w:val="13"/>
            </w:pPr>
          </w:p>
        </w:tc>
        <w:tc>
          <w:tcPr>
            <w:tcW w:w="1474" w:type="dxa"/>
            <w:vAlign w:val="center"/>
          </w:tcPr>
          <w:p w14:paraId="7A94D317">
            <w:pPr>
              <w:pStyle w:val="14"/>
            </w:pPr>
          </w:p>
        </w:tc>
        <w:tc>
          <w:tcPr>
            <w:tcW w:w="3402" w:type="dxa"/>
            <w:vAlign w:val="center"/>
          </w:tcPr>
          <w:p w14:paraId="54705E3F">
            <w:pPr>
              <w:pStyle w:val="13"/>
            </w:pPr>
            <w:r>
              <w:t>十四、交通运输支出</w:t>
            </w:r>
          </w:p>
        </w:tc>
        <w:tc>
          <w:tcPr>
            <w:tcW w:w="1474" w:type="dxa"/>
            <w:vAlign w:val="center"/>
          </w:tcPr>
          <w:p w14:paraId="341E147B">
            <w:pPr>
              <w:pStyle w:val="14"/>
            </w:pPr>
          </w:p>
        </w:tc>
        <w:tc>
          <w:tcPr>
            <w:tcW w:w="1474" w:type="dxa"/>
            <w:vAlign w:val="center"/>
          </w:tcPr>
          <w:p w14:paraId="3431B143">
            <w:pPr>
              <w:pStyle w:val="14"/>
            </w:pPr>
          </w:p>
        </w:tc>
        <w:tc>
          <w:tcPr>
            <w:tcW w:w="1474" w:type="dxa"/>
            <w:vAlign w:val="center"/>
          </w:tcPr>
          <w:p w14:paraId="01B7FCB7">
            <w:pPr>
              <w:pStyle w:val="14"/>
            </w:pPr>
          </w:p>
        </w:tc>
        <w:tc>
          <w:tcPr>
            <w:tcW w:w="1474" w:type="dxa"/>
            <w:vAlign w:val="center"/>
          </w:tcPr>
          <w:p w14:paraId="2FFC8116">
            <w:pPr>
              <w:pStyle w:val="14"/>
            </w:pPr>
          </w:p>
        </w:tc>
      </w:tr>
      <w:tr w14:paraId="02C92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3EA2F">
            <w:pPr>
              <w:pStyle w:val="12"/>
            </w:pPr>
            <w:r>
              <w:t>15</w:t>
            </w:r>
          </w:p>
        </w:tc>
        <w:tc>
          <w:tcPr>
            <w:tcW w:w="3402" w:type="dxa"/>
            <w:vAlign w:val="center"/>
          </w:tcPr>
          <w:p w14:paraId="416D95C0">
            <w:pPr>
              <w:pStyle w:val="13"/>
            </w:pPr>
          </w:p>
        </w:tc>
        <w:tc>
          <w:tcPr>
            <w:tcW w:w="1474" w:type="dxa"/>
            <w:vAlign w:val="center"/>
          </w:tcPr>
          <w:p w14:paraId="34B62636">
            <w:pPr>
              <w:pStyle w:val="14"/>
            </w:pPr>
          </w:p>
        </w:tc>
        <w:tc>
          <w:tcPr>
            <w:tcW w:w="3402" w:type="dxa"/>
            <w:vAlign w:val="center"/>
          </w:tcPr>
          <w:p w14:paraId="7934B72B">
            <w:pPr>
              <w:pStyle w:val="13"/>
            </w:pPr>
            <w:r>
              <w:t>十五、资源勘探工业信息等支出</w:t>
            </w:r>
          </w:p>
        </w:tc>
        <w:tc>
          <w:tcPr>
            <w:tcW w:w="1474" w:type="dxa"/>
            <w:vAlign w:val="center"/>
          </w:tcPr>
          <w:p w14:paraId="0859C5D2">
            <w:pPr>
              <w:pStyle w:val="14"/>
            </w:pPr>
          </w:p>
        </w:tc>
        <w:tc>
          <w:tcPr>
            <w:tcW w:w="1474" w:type="dxa"/>
            <w:vAlign w:val="center"/>
          </w:tcPr>
          <w:p w14:paraId="0663122D">
            <w:pPr>
              <w:pStyle w:val="14"/>
            </w:pPr>
          </w:p>
        </w:tc>
        <w:tc>
          <w:tcPr>
            <w:tcW w:w="1474" w:type="dxa"/>
            <w:vAlign w:val="center"/>
          </w:tcPr>
          <w:p w14:paraId="56CFEDEA">
            <w:pPr>
              <w:pStyle w:val="14"/>
            </w:pPr>
          </w:p>
        </w:tc>
        <w:tc>
          <w:tcPr>
            <w:tcW w:w="1474" w:type="dxa"/>
            <w:vAlign w:val="center"/>
          </w:tcPr>
          <w:p w14:paraId="6412BAF6">
            <w:pPr>
              <w:pStyle w:val="14"/>
            </w:pPr>
          </w:p>
        </w:tc>
      </w:tr>
      <w:tr w14:paraId="6E47B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2B1E6">
            <w:pPr>
              <w:pStyle w:val="12"/>
            </w:pPr>
            <w:r>
              <w:t>16</w:t>
            </w:r>
          </w:p>
        </w:tc>
        <w:tc>
          <w:tcPr>
            <w:tcW w:w="3402" w:type="dxa"/>
            <w:vAlign w:val="center"/>
          </w:tcPr>
          <w:p w14:paraId="46013220">
            <w:pPr>
              <w:pStyle w:val="13"/>
            </w:pPr>
          </w:p>
        </w:tc>
        <w:tc>
          <w:tcPr>
            <w:tcW w:w="1474" w:type="dxa"/>
            <w:vAlign w:val="center"/>
          </w:tcPr>
          <w:p w14:paraId="4C1F201C">
            <w:pPr>
              <w:pStyle w:val="14"/>
            </w:pPr>
          </w:p>
        </w:tc>
        <w:tc>
          <w:tcPr>
            <w:tcW w:w="3402" w:type="dxa"/>
            <w:vAlign w:val="center"/>
          </w:tcPr>
          <w:p w14:paraId="29872168">
            <w:pPr>
              <w:pStyle w:val="13"/>
            </w:pPr>
            <w:r>
              <w:t>十六、商业服务业等支出</w:t>
            </w:r>
          </w:p>
        </w:tc>
        <w:tc>
          <w:tcPr>
            <w:tcW w:w="1474" w:type="dxa"/>
            <w:vAlign w:val="center"/>
          </w:tcPr>
          <w:p w14:paraId="4119D5F6">
            <w:pPr>
              <w:pStyle w:val="14"/>
            </w:pPr>
          </w:p>
        </w:tc>
        <w:tc>
          <w:tcPr>
            <w:tcW w:w="1474" w:type="dxa"/>
            <w:vAlign w:val="center"/>
          </w:tcPr>
          <w:p w14:paraId="020B98D6">
            <w:pPr>
              <w:pStyle w:val="14"/>
            </w:pPr>
          </w:p>
        </w:tc>
        <w:tc>
          <w:tcPr>
            <w:tcW w:w="1474" w:type="dxa"/>
            <w:vAlign w:val="center"/>
          </w:tcPr>
          <w:p w14:paraId="53982ED0">
            <w:pPr>
              <w:pStyle w:val="14"/>
            </w:pPr>
          </w:p>
        </w:tc>
        <w:tc>
          <w:tcPr>
            <w:tcW w:w="1474" w:type="dxa"/>
            <w:vAlign w:val="center"/>
          </w:tcPr>
          <w:p w14:paraId="475EF181">
            <w:pPr>
              <w:pStyle w:val="14"/>
            </w:pPr>
          </w:p>
        </w:tc>
      </w:tr>
      <w:tr w14:paraId="0144E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5B75E">
            <w:pPr>
              <w:pStyle w:val="12"/>
            </w:pPr>
            <w:r>
              <w:t>17</w:t>
            </w:r>
          </w:p>
        </w:tc>
        <w:tc>
          <w:tcPr>
            <w:tcW w:w="3402" w:type="dxa"/>
            <w:vAlign w:val="center"/>
          </w:tcPr>
          <w:p w14:paraId="09B2E738">
            <w:pPr>
              <w:pStyle w:val="13"/>
            </w:pPr>
          </w:p>
        </w:tc>
        <w:tc>
          <w:tcPr>
            <w:tcW w:w="1474" w:type="dxa"/>
            <w:vAlign w:val="center"/>
          </w:tcPr>
          <w:p w14:paraId="5625CFE1">
            <w:pPr>
              <w:pStyle w:val="14"/>
            </w:pPr>
          </w:p>
        </w:tc>
        <w:tc>
          <w:tcPr>
            <w:tcW w:w="3402" w:type="dxa"/>
            <w:vAlign w:val="center"/>
          </w:tcPr>
          <w:p w14:paraId="091BF690">
            <w:pPr>
              <w:pStyle w:val="13"/>
            </w:pPr>
            <w:r>
              <w:t>十七、金融支出</w:t>
            </w:r>
          </w:p>
        </w:tc>
        <w:tc>
          <w:tcPr>
            <w:tcW w:w="1474" w:type="dxa"/>
            <w:vAlign w:val="center"/>
          </w:tcPr>
          <w:p w14:paraId="19DD7D52">
            <w:pPr>
              <w:pStyle w:val="14"/>
            </w:pPr>
          </w:p>
        </w:tc>
        <w:tc>
          <w:tcPr>
            <w:tcW w:w="1474" w:type="dxa"/>
            <w:vAlign w:val="center"/>
          </w:tcPr>
          <w:p w14:paraId="08682326">
            <w:pPr>
              <w:pStyle w:val="14"/>
            </w:pPr>
          </w:p>
        </w:tc>
        <w:tc>
          <w:tcPr>
            <w:tcW w:w="1474" w:type="dxa"/>
            <w:vAlign w:val="center"/>
          </w:tcPr>
          <w:p w14:paraId="0BCFED47">
            <w:pPr>
              <w:pStyle w:val="14"/>
            </w:pPr>
          </w:p>
        </w:tc>
        <w:tc>
          <w:tcPr>
            <w:tcW w:w="1474" w:type="dxa"/>
            <w:vAlign w:val="center"/>
          </w:tcPr>
          <w:p w14:paraId="491E47C4">
            <w:pPr>
              <w:pStyle w:val="14"/>
            </w:pPr>
          </w:p>
        </w:tc>
      </w:tr>
      <w:tr w14:paraId="354A6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744D1">
            <w:pPr>
              <w:pStyle w:val="12"/>
            </w:pPr>
            <w:r>
              <w:t>18</w:t>
            </w:r>
          </w:p>
        </w:tc>
        <w:tc>
          <w:tcPr>
            <w:tcW w:w="3402" w:type="dxa"/>
            <w:vAlign w:val="center"/>
          </w:tcPr>
          <w:p w14:paraId="065921CC">
            <w:pPr>
              <w:pStyle w:val="13"/>
            </w:pPr>
          </w:p>
        </w:tc>
        <w:tc>
          <w:tcPr>
            <w:tcW w:w="1474" w:type="dxa"/>
            <w:vAlign w:val="center"/>
          </w:tcPr>
          <w:p w14:paraId="1172B03F">
            <w:pPr>
              <w:pStyle w:val="14"/>
            </w:pPr>
          </w:p>
        </w:tc>
        <w:tc>
          <w:tcPr>
            <w:tcW w:w="3402" w:type="dxa"/>
            <w:vAlign w:val="center"/>
          </w:tcPr>
          <w:p w14:paraId="6D6D8F1C">
            <w:pPr>
              <w:pStyle w:val="13"/>
            </w:pPr>
            <w:r>
              <w:t>十八、援助其他地区支出</w:t>
            </w:r>
          </w:p>
        </w:tc>
        <w:tc>
          <w:tcPr>
            <w:tcW w:w="1474" w:type="dxa"/>
            <w:vAlign w:val="center"/>
          </w:tcPr>
          <w:p w14:paraId="0FF8EDD8">
            <w:pPr>
              <w:pStyle w:val="14"/>
            </w:pPr>
          </w:p>
        </w:tc>
        <w:tc>
          <w:tcPr>
            <w:tcW w:w="1474" w:type="dxa"/>
            <w:vAlign w:val="center"/>
          </w:tcPr>
          <w:p w14:paraId="16EAE536">
            <w:pPr>
              <w:pStyle w:val="14"/>
            </w:pPr>
          </w:p>
        </w:tc>
        <w:tc>
          <w:tcPr>
            <w:tcW w:w="1474" w:type="dxa"/>
            <w:vAlign w:val="center"/>
          </w:tcPr>
          <w:p w14:paraId="1A977BDB">
            <w:pPr>
              <w:pStyle w:val="14"/>
            </w:pPr>
          </w:p>
        </w:tc>
        <w:tc>
          <w:tcPr>
            <w:tcW w:w="1474" w:type="dxa"/>
            <w:vAlign w:val="center"/>
          </w:tcPr>
          <w:p w14:paraId="3DDE5951">
            <w:pPr>
              <w:pStyle w:val="14"/>
            </w:pPr>
          </w:p>
        </w:tc>
      </w:tr>
      <w:tr w14:paraId="7C6DD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559F8">
            <w:pPr>
              <w:pStyle w:val="12"/>
            </w:pPr>
            <w:r>
              <w:t>19</w:t>
            </w:r>
          </w:p>
        </w:tc>
        <w:tc>
          <w:tcPr>
            <w:tcW w:w="3402" w:type="dxa"/>
            <w:vAlign w:val="center"/>
          </w:tcPr>
          <w:p w14:paraId="015EC776">
            <w:pPr>
              <w:pStyle w:val="13"/>
            </w:pPr>
          </w:p>
        </w:tc>
        <w:tc>
          <w:tcPr>
            <w:tcW w:w="1474" w:type="dxa"/>
            <w:vAlign w:val="center"/>
          </w:tcPr>
          <w:p w14:paraId="7F6FA70A">
            <w:pPr>
              <w:pStyle w:val="14"/>
            </w:pPr>
          </w:p>
        </w:tc>
        <w:tc>
          <w:tcPr>
            <w:tcW w:w="3402" w:type="dxa"/>
            <w:vAlign w:val="center"/>
          </w:tcPr>
          <w:p w14:paraId="6C96CDD7">
            <w:pPr>
              <w:pStyle w:val="13"/>
            </w:pPr>
            <w:r>
              <w:t>十九、自然资源海洋气象等支出</w:t>
            </w:r>
          </w:p>
        </w:tc>
        <w:tc>
          <w:tcPr>
            <w:tcW w:w="1474" w:type="dxa"/>
            <w:vAlign w:val="center"/>
          </w:tcPr>
          <w:p w14:paraId="2EF61CC7">
            <w:pPr>
              <w:pStyle w:val="14"/>
            </w:pPr>
          </w:p>
        </w:tc>
        <w:tc>
          <w:tcPr>
            <w:tcW w:w="1474" w:type="dxa"/>
            <w:vAlign w:val="center"/>
          </w:tcPr>
          <w:p w14:paraId="2E23C5B2">
            <w:pPr>
              <w:pStyle w:val="14"/>
            </w:pPr>
          </w:p>
        </w:tc>
        <w:tc>
          <w:tcPr>
            <w:tcW w:w="1474" w:type="dxa"/>
            <w:vAlign w:val="center"/>
          </w:tcPr>
          <w:p w14:paraId="3BC60ABA">
            <w:pPr>
              <w:pStyle w:val="14"/>
            </w:pPr>
          </w:p>
        </w:tc>
        <w:tc>
          <w:tcPr>
            <w:tcW w:w="1474" w:type="dxa"/>
            <w:vAlign w:val="center"/>
          </w:tcPr>
          <w:p w14:paraId="3263ACF2">
            <w:pPr>
              <w:pStyle w:val="14"/>
            </w:pPr>
          </w:p>
        </w:tc>
      </w:tr>
      <w:tr w14:paraId="1F086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1E796">
            <w:pPr>
              <w:pStyle w:val="12"/>
            </w:pPr>
            <w:r>
              <w:t>20</w:t>
            </w:r>
          </w:p>
        </w:tc>
        <w:tc>
          <w:tcPr>
            <w:tcW w:w="3402" w:type="dxa"/>
            <w:vAlign w:val="center"/>
          </w:tcPr>
          <w:p w14:paraId="0DB23CEA">
            <w:pPr>
              <w:pStyle w:val="13"/>
            </w:pPr>
          </w:p>
        </w:tc>
        <w:tc>
          <w:tcPr>
            <w:tcW w:w="1474" w:type="dxa"/>
            <w:vAlign w:val="center"/>
          </w:tcPr>
          <w:p w14:paraId="4C7BF166">
            <w:pPr>
              <w:pStyle w:val="14"/>
            </w:pPr>
          </w:p>
        </w:tc>
        <w:tc>
          <w:tcPr>
            <w:tcW w:w="3402" w:type="dxa"/>
            <w:vAlign w:val="center"/>
          </w:tcPr>
          <w:p w14:paraId="535062A8">
            <w:pPr>
              <w:pStyle w:val="13"/>
            </w:pPr>
            <w:r>
              <w:t>二十、住房保障支出</w:t>
            </w:r>
          </w:p>
        </w:tc>
        <w:tc>
          <w:tcPr>
            <w:tcW w:w="1474" w:type="dxa"/>
            <w:vAlign w:val="center"/>
          </w:tcPr>
          <w:p w14:paraId="75A74EC6">
            <w:pPr>
              <w:pStyle w:val="14"/>
            </w:pPr>
          </w:p>
        </w:tc>
        <w:tc>
          <w:tcPr>
            <w:tcW w:w="1474" w:type="dxa"/>
            <w:vAlign w:val="center"/>
          </w:tcPr>
          <w:p w14:paraId="1505B8E2">
            <w:pPr>
              <w:pStyle w:val="14"/>
            </w:pPr>
          </w:p>
        </w:tc>
        <w:tc>
          <w:tcPr>
            <w:tcW w:w="1474" w:type="dxa"/>
            <w:vAlign w:val="center"/>
          </w:tcPr>
          <w:p w14:paraId="7CFB8777">
            <w:pPr>
              <w:pStyle w:val="14"/>
            </w:pPr>
          </w:p>
        </w:tc>
        <w:tc>
          <w:tcPr>
            <w:tcW w:w="1474" w:type="dxa"/>
            <w:vAlign w:val="center"/>
          </w:tcPr>
          <w:p w14:paraId="6D9A1ADD">
            <w:pPr>
              <w:pStyle w:val="14"/>
            </w:pPr>
          </w:p>
        </w:tc>
      </w:tr>
      <w:tr w14:paraId="36F2B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E42CA">
            <w:pPr>
              <w:pStyle w:val="12"/>
            </w:pPr>
            <w:r>
              <w:t>21</w:t>
            </w:r>
          </w:p>
        </w:tc>
        <w:tc>
          <w:tcPr>
            <w:tcW w:w="3402" w:type="dxa"/>
            <w:vAlign w:val="center"/>
          </w:tcPr>
          <w:p w14:paraId="5CAF69CE">
            <w:pPr>
              <w:pStyle w:val="13"/>
            </w:pPr>
          </w:p>
        </w:tc>
        <w:tc>
          <w:tcPr>
            <w:tcW w:w="1474" w:type="dxa"/>
            <w:vAlign w:val="center"/>
          </w:tcPr>
          <w:p w14:paraId="1213B993">
            <w:pPr>
              <w:pStyle w:val="14"/>
            </w:pPr>
          </w:p>
        </w:tc>
        <w:tc>
          <w:tcPr>
            <w:tcW w:w="3402" w:type="dxa"/>
            <w:vAlign w:val="center"/>
          </w:tcPr>
          <w:p w14:paraId="428545FA">
            <w:pPr>
              <w:pStyle w:val="13"/>
            </w:pPr>
            <w:r>
              <w:t>二十一、粮油物资储备支出</w:t>
            </w:r>
          </w:p>
        </w:tc>
        <w:tc>
          <w:tcPr>
            <w:tcW w:w="1474" w:type="dxa"/>
            <w:vAlign w:val="center"/>
          </w:tcPr>
          <w:p w14:paraId="5282B0E5">
            <w:pPr>
              <w:pStyle w:val="14"/>
            </w:pPr>
          </w:p>
        </w:tc>
        <w:tc>
          <w:tcPr>
            <w:tcW w:w="1474" w:type="dxa"/>
            <w:vAlign w:val="center"/>
          </w:tcPr>
          <w:p w14:paraId="0B474931">
            <w:pPr>
              <w:pStyle w:val="14"/>
            </w:pPr>
          </w:p>
        </w:tc>
        <w:tc>
          <w:tcPr>
            <w:tcW w:w="1474" w:type="dxa"/>
            <w:vAlign w:val="center"/>
          </w:tcPr>
          <w:p w14:paraId="6005429F">
            <w:pPr>
              <w:pStyle w:val="14"/>
            </w:pPr>
          </w:p>
        </w:tc>
        <w:tc>
          <w:tcPr>
            <w:tcW w:w="1474" w:type="dxa"/>
            <w:vAlign w:val="center"/>
          </w:tcPr>
          <w:p w14:paraId="42E9FA9D">
            <w:pPr>
              <w:pStyle w:val="14"/>
            </w:pPr>
          </w:p>
        </w:tc>
      </w:tr>
      <w:tr w14:paraId="770FF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BEA81">
            <w:pPr>
              <w:pStyle w:val="12"/>
            </w:pPr>
            <w:r>
              <w:t>22</w:t>
            </w:r>
          </w:p>
        </w:tc>
        <w:tc>
          <w:tcPr>
            <w:tcW w:w="3402" w:type="dxa"/>
            <w:vAlign w:val="center"/>
          </w:tcPr>
          <w:p w14:paraId="629A66AD">
            <w:pPr>
              <w:pStyle w:val="13"/>
            </w:pPr>
          </w:p>
        </w:tc>
        <w:tc>
          <w:tcPr>
            <w:tcW w:w="1474" w:type="dxa"/>
            <w:vAlign w:val="center"/>
          </w:tcPr>
          <w:p w14:paraId="15A0A996">
            <w:pPr>
              <w:pStyle w:val="14"/>
            </w:pPr>
          </w:p>
        </w:tc>
        <w:tc>
          <w:tcPr>
            <w:tcW w:w="3402" w:type="dxa"/>
            <w:vAlign w:val="center"/>
          </w:tcPr>
          <w:p w14:paraId="1EA93880">
            <w:pPr>
              <w:pStyle w:val="13"/>
            </w:pPr>
            <w:r>
              <w:t>二十二、国有资本经营预算支出</w:t>
            </w:r>
          </w:p>
        </w:tc>
        <w:tc>
          <w:tcPr>
            <w:tcW w:w="1474" w:type="dxa"/>
            <w:vAlign w:val="center"/>
          </w:tcPr>
          <w:p w14:paraId="2CE39F4D">
            <w:pPr>
              <w:pStyle w:val="14"/>
            </w:pPr>
          </w:p>
        </w:tc>
        <w:tc>
          <w:tcPr>
            <w:tcW w:w="1474" w:type="dxa"/>
            <w:vAlign w:val="center"/>
          </w:tcPr>
          <w:p w14:paraId="2D16AC64">
            <w:pPr>
              <w:pStyle w:val="14"/>
            </w:pPr>
          </w:p>
        </w:tc>
        <w:tc>
          <w:tcPr>
            <w:tcW w:w="1474" w:type="dxa"/>
            <w:vAlign w:val="center"/>
          </w:tcPr>
          <w:p w14:paraId="5FA3D31C">
            <w:pPr>
              <w:pStyle w:val="14"/>
            </w:pPr>
          </w:p>
        </w:tc>
        <w:tc>
          <w:tcPr>
            <w:tcW w:w="1474" w:type="dxa"/>
            <w:vAlign w:val="center"/>
          </w:tcPr>
          <w:p w14:paraId="6E1B5A9C">
            <w:pPr>
              <w:pStyle w:val="14"/>
            </w:pPr>
          </w:p>
        </w:tc>
      </w:tr>
      <w:tr w14:paraId="37E2D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3C992">
            <w:pPr>
              <w:pStyle w:val="12"/>
            </w:pPr>
            <w:r>
              <w:t>23</w:t>
            </w:r>
          </w:p>
        </w:tc>
        <w:tc>
          <w:tcPr>
            <w:tcW w:w="3402" w:type="dxa"/>
            <w:vAlign w:val="center"/>
          </w:tcPr>
          <w:p w14:paraId="75F7463E">
            <w:pPr>
              <w:pStyle w:val="13"/>
            </w:pPr>
          </w:p>
        </w:tc>
        <w:tc>
          <w:tcPr>
            <w:tcW w:w="1474" w:type="dxa"/>
            <w:vAlign w:val="center"/>
          </w:tcPr>
          <w:p w14:paraId="71A1CA45">
            <w:pPr>
              <w:pStyle w:val="14"/>
            </w:pPr>
          </w:p>
        </w:tc>
        <w:tc>
          <w:tcPr>
            <w:tcW w:w="3402" w:type="dxa"/>
            <w:vAlign w:val="center"/>
          </w:tcPr>
          <w:p w14:paraId="69BFE765">
            <w:pPr>
              <w:pStyle w:val="13"/>
            </w:pPr>
            <w:r>
              <w:t>二十三、灾害防治及应急管理支出</w:t>
            </w:r>
          </w:p>
        </w:tc>
        <w:tc>
          <w:tcPr>
            <w:tcW w:w="1474" w:type="dxa"/>
            <w:vAlign w:val="center"/>
          </w:tcPr>
          <w:p w14:paraId="30B1CB9F">
            <w:pPr>
              <w:pStyle w:val="14"/>
            </w:pPr>
          </w:p>
        </w:tc>
        <w:tc>
          <w:tcPr>
            <w:tcW w:w="1474" w:type="dxa"/>
            <w:vAlign w:val="center"/>
          </w:tcPr>
          <w:p w14:paraId="1F6D5340">
            <w:pPr>
              <w:pStyle w:val="14"/>
            </w:pPr>
          </w:p>
        </w:tc>
        <w:tc>
          <w:tcPr>
            <w:tcW w:w="1474" w:type="dxa"/>
            <w:vAlign w:val="center"/>
          </w:tcPr>
          <w:p w14:paraId="46D842D1">
            <w:pPr>
              <w:pStyle w:val="14"/>
            </w:pPr>
          </w:p>
        </w:tc>
        <w:tc>
          <w:tcPr>
            <w:tcW w:w="1474" w:type="dxa"/>
            <w:vAlign w:val="center"/>
          </w:tcPr>
          <w:p w14:paraId="02EC5541">
            <w:pPr>
              <w:pStyle w:val="14"/>
            </w:pPr>
          </w:p>
        </w:tc>
      </w:tr>
      <w:tr w14:paraId="67A9D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4BB0E">
            <w:pPr>
              <w:pStyle w:val="12"/>
            </w:pPr>
            <w:r>
              <w:t>24</w:t>
            </w:r>
          </w:p>
        </w:tc>
        <w:tc>
          <w:tcPr>
            <w:tcW w:w="3402" w:type="dxa"/>
            <w:vAlign w:val="center"/>
          </w:tcPr>
          <w:p w14:paraId="09B96132">
            <w:pPr>
              <w:pStyle w:val="13"/>
            </w:pPr>
          </w:p>
        </w:tc>
        <w:tc>
          <w:tcPr>
            <w:tcW w:w="1474" w:type="dxa"/>
            <w:vAlign w:val="center"/>
          </w:tcPr>
          <w:p w14:paraId="511152EA">
            <w:pPr>
              <w:pStyle w:val="14"/>
            </w:pPr>
          </w:p>
        </w:tc>
        <w:tc>
          <w:tcPr>
            <w:tcW w:w="3402" w:type="dxa"/>
            <w:vAlign w:val="center"/>
          </w:tcPr>
          <w:p w14:paraId="03E8085D">
            <w:pPr>
              <w:pStyle w:val="13"/>
            </w:pPr>
            <w:r>
              <w:t>二十四、预备费</w:t>
            </w:r>
          </w:p>
        </w:tc>
        <w:tc>
          <w:tcPr>
            <w:tcW w:w="1474" w:type="dxa"/>
            <w:vAlign w:val="center"/>
          </w:tcPr>
          <w:p w14:paraId="7BAB2D76">
            <w:pPr>
              <w:pStyle w:val="14"/>
            </w:pPr>
          </w:p>
        </w:tc>
        <w:tc>
          <w:tcPr>
            <w:tcW w:w="1474" w:type="dxa"/>
            <w:vAlign w:val="center"/>
          </w:tcPr>
          <w:p w14:paraId="5A99D51F">
            <w:pPr>
              <w:pStyle w:val="14"/>
            </w:pPr>
          </w:p>
        </w:tc>
        <w:tc>
          <w:tcPr>
            <w:tcW w:w="1474" w:type="dxa"/>
            <w:vAlign w:val="center"/>
          </w:tcPr>
          <w:p w14:paraId="655943AA">
            <w:pPr>
              <w:pStyle w:val="14"/>
            </w:pPr>
          </w:p>
        </w:tc>
        <w:tc>
          <w:tcPr>
            <w:tcW w:w="1474" w:type="dxa"/>
            <w:vAlign w:val="center"/>
          </w:tcPr>
          <w:p w14:paraId="2C5E519F">
            <w:pPr>
              <w:pStyle w:val="14"/>
            </w:pPr>
          </w:p>
        </w:tc>
      </w:tr>
      <w:tr w14:paraId="28D60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0A3E7">
            <w:pPr>
              <w:pStyle w:val="12"/>
            </w:pPr>
            <w:r>
              <w:t>25</w:t>
            </w:r>
          </w:p>
        </w:tc>
        <w:tc>
          <w:tcPr>
            <w:tcW w:w="3402" w:type="dxa"/>
            <w:vAlign w:val="center"/>
          </w:tcPr>
          <w:p w14:paraId="45411D40">
            <w:pPr>
              <w:pStyle w:val="13"/>
            </w:pPr>
          </w:p>
        </w:tc>
        <w:tc>
          <w:tcPr>
            <w:tcW w:w="1474" w:type="dxa"/>
            <w:vAlign w:val="center"/>
          </w:tcPr>
          <w:p w14:paraId="5A560287">
            <w:pPr>
              <w:pStyle w:val="14"/>
            </w:pPr>
          </w:p>
        </w:tc>
        <w:tc>
          <w:tcPr>
            <w:tcW w:w="3402" w:type="dxa"/>
            <w:vAlign w:val="center"/>
          </w:tcPr>
          <w:p w14:paraId="5344C8EC">
            <w:pPr>
              <w:pStyle w:val="13"/>
            </w:pPr>
            <w:r>
              <w:t>二十五、其他支出</w:t>
            </w:r>
          </w:p>
        </w:tc>
        <w:tc>
          <w:tcPr>
            <w:tcW w:w="1474" w:type="dxa"/>
            <w:vAlign w:val="center"/>
          </w:tcPr>
          <w:p w14:paraId="09E1DF6C">
            <w:pPr>
              <w:pStyle w:val="14"/>
            </w:pPr>
          </w:p>
        </w:tc>
        <w:tc>
          <w:tcPr>
            <w:tcW w:w="1474" w:type="dxa"/>
            <w:vAlign w:val="center"/>
          </w:tcPr>
          <w:p w14:paraId="70E22200">
            <w:pPr>
              <w:pStyle w:val="14"/>
            </w:pPr>
          </w:p>
        </w:tc>
        <w:tc>
          <w:tcPr>
            <w:tcW w:w="1474" w:type="dxa"/>
            <w:vAlign w:val="center"/>
          </w:tcPr>
          <w:p w14:paraId="13F28CD6">
            <w:pPr>
              <w:pStyle w:val="14"/>
            </w:pPr>
          </w:p>
        </w:tc>
        <w:tc>
          <w:tcPr>
            <w:tcW w:w="1474" w:type="dxa"/>
            <w:vAlign w:val="center"/>
          </w:tcPr>
          <w:p w14:paraId="25F3CBAD">
            <w:pPr>
              <w:pStyle w:val="14"/>
            </w:pPr>
          </w:p>
        </w:tc>
      </w:tr>
      <w:tr w14:paraId="6B5A5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A8CF9">
            <w:pPr>
              <w:pStyle w:val="12"/>
            </w:pPr>
            <w:r>
              <w:t>26</w:t>
            </w:r>
          </w:p>
        </w:tc>
        <w:tc>
          <w:tcPr>
            <w:tcW w:w="3402" w:type="dxa"/>
            <w:vAlign w:val="center"/>
          </w:tcPr>
          <w:p w14:paraId="0ADE12CE">
            <w:pPr>
              <w:pStyle w:val="13"/>
            </w:pPr>
          </w:p>
        </w:tc>
        <w:tc>
          <w:tcPr>
            <w:tcW w:w="1474" w:type="dxa"/>
            <w:vAlign w:val="center"/>
          </w:tcPr>
          <w:p w14:paraId="7FB29248">
            <w:pPr>
              <w:pStyle w:val="14"/>
            </w:pPr>
          </w:p>
        </w:tc>
        <w:tc>
          <w:tcPr>
            <w:tcW w:w="3402" w:type="dxa"/>
            <w:vAlign w:val="center"/>
          </w:tcPr>
          <w:p w14:paraId="68FB86C4">
            <w:pPr>
              <w:pStyle w:val="13"/>
            </w:pPr>
            <w:r>
              <w:t>二十六、转移性支出</w:t>
            </w:r>
          </w:p>
        </w:tc>
        <w:tc>
          <w:tcPr>
            <w:tcW w:w="1474" w:type="dxa"/>
            <w:vAlign w:val="center"/>
          </w:tcPr>
          <w:p w14:paraId="51AB60F7">
            <w:pPr>
              <w:pStyle w:val="14"/>
            </w:pPr>
          </w:p>
        </w:tc>
        <w:tc>
          <w:tcPr>
            <w:tcW w:w="1474" w:type="dxa"/>
            <w:vAlign w:val="center"/>
          </w:tcPr>
          <w:p w14:paraId="2352FEAE">
            <w:pPr>
              <w:pStyle w:val="14"/>
            </w:pPr>
          </w:p>
        </w:tc>
        <w:tc>
          <w:tcPr>
            <w:tcW w:w="1474" w:type="dxa"/>
            <w:vAlign w:val="center"/>
          </w:tcPr>
          <w:p w14:paraId="6F88EA38">
            <w:pPr>
              <w:pStyle w:val="14"/>
            </w:pPr>
          </w:p>
        </w:tc>
        <w:tc>
          <w:tcPr>
            <w:tcW w:w="1474" w:type="dxa"/>
            <w:vAlign w:val="center"/>
          </w:tcPr>
          <w:p w14:paraId="103C90A6">
            <w:pPr>
              <w:pStyle w:val="14"/>
            </w:pPr>
          </w:p>
        </w:tc>
      </w:tr>
      <w:tr w14:paraId="1F3E3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4F391">
            <w:pPr>
              <w:pStyle w:val="12"/>
            </w:pPr>
            <w:r>
              <w:t>27</w:t>
            </w:r>
          </w:p>
        </w:tc>
        <w:tc>
          <w:tcPr>
            <w:tcW w:w="3402" w:type="dxa"/>
            <w:vAlign w:val="center"/>
          </w:tcPr>
          <w:p w14:paraId="016AB6A2">
            <w:pPr>
              <w:pStyle w:val="13"/>
            </w:pPr>
          </w:p>
        </w:tc>
        <w:tc>
          <w:tcPr>
            <w:tcW w:w="1474" w:type="dxa"/>
            <w:vAlign w:val="center"/>
          </w:tcPr>
          <w:p w14:paraId="4E444727">
            <w:pPr>
              <w:pStyle w:val="14"/>
            </w:pPr>
          </w:p>
        </w:tc>
        <w:tc>
          <w:tcPr>
            <w:tcW w:w="3402" w:type="dxa"/>
            <w:vAlign w:val="center"/>
          </w:tcPr>
          <w:p w14:paraId="0801090B">
            <w:pPr>
              <w:pStyle w:val="13"/>
            </w:pPr>
            <w:r>
              <w:t>二十七、债务还本支出</w:t>
            </w:r>
          </w:p>
        </w:tc>
        <w:tc>
          <w:tcPr>
            <w:tcW w:w="1474" w:type="dxa"/>
            <w:vAlign w:val="center"/>
          </w:tcPr>
          <w:p w14:paraId="36C56382">
            <w:pPr>
              <w:pStyle w:val="14"/>
            </w:pPr>
          </w:p>
        </w:tc>
        <w:tc>
          <w:tcPr>
            <w:tcW w:w="1474" w:type="dxa"/>
            <w:vAlign w:val="center"/>
          </w:tcPr>
          <w:p w14:paraId="0FDEE2EC">
            <w:pPr>
              <w:pStyle w:val="14"/>
            </w:pPr>
          </w:p>
        </w:tc>
        <w:tc>
          <w:tcPr>
            <w:tcW w:w="1474" w:type="dxa"/>
            <w:vAlign w:val="center"/>
          </w:tcPr>
          <w:p w14:paraId="69A0E230">
            <w:pPr>
              <w:pStyle w:val="14"/>
            </w:pPr>
          </w:p>
        </w:tc>
        <w:tc>
          <w:tcPr>
            <w:tcW w:w="1474" w:type="dxa"/>
            <w:vAlign w:val="center"/>
          </w:tcPr>
          <w:p w14:paraId="24BA49FE">
            <w:pPr>
              <w:pStyle w:val="14"/>
            </w:pPr>
          </w:p>
        </w:tc>
      </w:tr>
      <w:tr w14:paraId="1F1A0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3643C">
            <w:pPr>
              <w:pStyle w:val="12"/>
            </w:pPr>
            <w:r>
              <w:t>28</w:t>
            </w:r>
          </w:p>
        </w:tc>
        <w:tc>
          <w:tcPr>
            <w:tcW w:w="3402" w:type="dxa"/>
            <w:vAlign w:val="center"/>
          </w:tcPr>
          <w:p w14:paraId="59866081">
            <w:pPr>
              <w:pStyle w:val="13"/>
            </w:pPr>
          </w:p>
        </w:tc>
        <w:tc>
          <w:tcPr>
            <w:tcW w:w="1474" w:type="dxa"/>
            <w:vAlign w:val="center"/>
          </w:tcPr>
          <w:p w14:paraId="79B14EA3">
            <w:pPr>
              <w:pStyle w:val="14"/>
            </w:pPr>
          </w:p>
        </w:tc>
        <w:tc>
          <w:tcPr>
            <w:tcW w:w="3402" w:type="dxa"/>
            <w:vAlign w:val="center"/>
          </w:tcPr>
          <w:p w14:paraId="4F88A688">
            <w:pPr>
              <w:pStyle w:val="13"/>
            </w:pPr>
            <w:r>
              <w:t>二十八、债务付息支出</w:t>
            </w:r>
          </w:p>
        </w:tc>
        <w:tc>
          <w:tcPr>
            <w:tcW w:w="1474" w:type="dxa"/>
            <w:vAlign w:val="center"/>
          </w:tcPr>
          <w:p w14:paraId="52A0AD3C">
            <w:pPr>
              <w:pStyle w:val="14"/>
            </w:pPr>
          </w:p>
        </w:tc>
        <w:tc>
          <w:tcPr>
            <w:tcW w:w="1474" w:type="dxa"/>
            <w:vAlign w:val="center"/>
          </w:tcPr>
          <w:p w14:paraId="4DABAD7E">
            <w:pPr>
              <w:pStyle w:val="14"/>
            </w:pPr>
          </w:p>
        </w:tc>
        <w:tc>
          <w:tcPr>
            <w:tcW w:w="1474" w:type="dxa"/>
            <w:vAlign w:val="center"/>
          </w:tcPr>
          <w:p w14:paraId="6995B0B8">
            <w:pPr>
              <w:pStyle w:val="14"/>
            </w:pPr>
          </w:p>
        </w:tc>
        <w:tc>
          <w:tcPr>
            <w:tcW w:w="1474" w:type="dxa"/>
            <w:vAlign w:val="center"/>
          </w:tcPr>
          <w:p w14:paraId="4AB18044">
            <w:pPr>
              <w:pStyle w:val="14"/>
            </w:pPr>
          </w:p>
        </w:tc>
      </w:tr>
      <w:tr w14:paraId="4C4FA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550AD">
            <w:pPr>
              <w:pStyle w:val="12"/>
            </w:pPr>
            <w:r>
              <w:t>29</w:t>
            </w:r>
          </w:p>
        </w:tc>
        <w:tc>
          <w:tcPr>
            <w:tcW w:w="3402" w:type="dxa"/>
            <w:vAlign w:val="center"/>
          </w:tcPr>
          <w:p w14:paraId="3A34311D">
            <w:pPr>
              <w:pStyle w:val="13"/>
            </w:pPr>
          </w:p>
        </w:tc>
        <w:tc>
          <w:tcPr>
            <w:tcW w:w="1474" w:type="dxa"/>
            <w:vAlign w:val="center"/>
          </w:tcPr>
          <w:p w14:paraId="25B82285">
            <w:pPr>
              <w:pStyle w:val="14"/>
            </w:pPr>
          </w:p>
        </w:tc>
        <w:tc>
          <w:tcPr>
            <w:tcW w:w="3402" w:type="dxa"/>
            <w:vAlign w:val="center"/>
          </w:tcPr>
          <w:p w14:paraId="62C71B7E">
            <w:pPr>
              <w:pStyle w:val="13"/>
            </w:pPr>
            <w:r>
              <w:t>二十九、债务发行费用支出</w:t>
            </w:r>
          </w:p>
        </w:tc>
        <w:tc>
          <w:tcPr>
            <w:tcW w:w="1474" w:type="dxa"/>
            <w:vAlign w:val="center"/>
          </w:tcPr>
          <w:p w14:paraId="096CCF86">
            <w:pPr>
              <w:pStyle w:val="14"/>
            </w:pPr>
          </w:p>
        </w:tc>
        <w:tc>
          <w:tcPr>
            <w:tcW w:w="1474" w:type="dxa"/>
            <w:vAlign w:val="center"/>
          </w:tcPr>
          <w:p w14:paraId="2351DAD3">
            <w:pPr>
              <w:pStyle w:val="14"/>
            </w:pPr>
          </w:p>
        </w:tc>
        <w:tc>
          <w:tcPr>
            <w:tcW w:w="1474" w:type="dxa"/>
            <w:vAlign w:val="center"/>
          </w:tcPr>
          <w:p w14:paraId="36C40F86">
            <w:pPr>
              <w:pStyle w:val="14"/>
            </w:pPr>
          </w:p>
        </w:tc>
        <w:tc>
          <w:tcPr>
            <w:tcW w:w="1474" w:type="dxa"/>
            <w:vAlign w:val="center"/>
          </w:tcPr>
          <w:p w14:paraId="04B72F49">
            <w:pPr>
              <w:pStyle w:val="14"/>
            </w:pPr>
          </w:p>
        </w:tc>
      </w:tr>
      <w:tr w14:paraId="464A4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2848A">
            <w:pPr>
              <w:pStyle w:val="12"/>
            </w:pPr>
            <w:r>
              <w:t>30</w:t>
            </w:r>
          </w:p>
        </w:tc>
        <w:tc>
          <w:tcPr>
            <w:tcW w:w="3402" w:type="dxa"/>
            <w:vAlign w:val="center"/>
          </w:tcPr>
          <w:p w14:paraId="5CED9E39">
            <w:pPr>
              <w:pStyle w:val="13"/>
            </w:pPr>
          </w:p>
        </w:tc>
        <w:tc>
          <w:tcPr>
            <w:tcW w:w="1474" w:type="dxa"/>
            <w:vAlign w:val="center"/>
          </w:tcPr>
          <w:p w14:paraId="12013993">
            <w:pPr>
              <w:pStyle w:val="14"/>
            </w:pPr>
          </w:p>
        </w:tc>
        <w:tc>
          <w:tcPr>
            <w:tcW w:w="3402" w:type="dxa"/>
            <w:vAlign w:val="center"/>
          </w:tcPr>
          <w:p w14:paraId="36F2D2E3">
            <w:pPr>
              <w:pStyle w:val="13"/>
            </w:pPr>
            <w:r>
              <w:t>三十、抗疫特别国债安排的支出</w:t>
            </w:r>
          </w:p>
        </w:tc>
        <w:tc>
          <w:tcPr>
            <w:tcW w:w="1474" w:type="dxa"/>
            <w:vAlign w:val="center"/>
          </w:tcPr>
          <w:p w14:paraId="40BFE751">
            <w:pPr>
              <w:pStyle w:val="14"/>
            </w:pPr>
          </w:p>
        </w:tc>
        <w:tc>
          <w:tcPr>
            <w:tcW w:w="1474" w:type="dxa"/>
            <w:vAlign w:val="center"/>
          </w:tcPr>
          <w:p w14:paraId="7F24F9F4">
            <w:pPr>
              <w:pStyle w:val="14"/>
            </w:pPr>
          </w:p>
        </w:tc>
        <w:tc>
          <w:tcPr>
            <w:tcW w:w="1474" w:type="dxa"/>
            <w:vAlign w:val="center"/>
          </w:tcPr>
          <w:p w14:paraId="34816415">
            <w:pPr>
              <w:pStyle w:val="14"/>
            </w:pPr>
          </w:p>
        </w:tc>
        <w:tc>
          <w:tcPr>
            <w:tcW w:w="1474" w:type="dxa"/>
            <w:vAlign w:val="center"/>
          </w:tcPr>
          <w:p w14:paraId="5AB65842">
            <w:pPr>
              <w:pStyle w:val="14"/>
            </w:pPr>
          </w:p>
        </w:tc>
      </w:tr>
      <w:tr w14:paraId="483CE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2A4EF">
            <w:pPr>
              <w:pStyle w:val="12"/>
            </w:pPr>
            <w:r>
              <w:t>31</w:t>
            </w:r>
          </w:p>
        </w:tc>
        <w:tc>
          <w:tcPr>
            <w:tcW w:w="3402" w:type="dxa"/>
            <w:vAlign w:val="center"/>
          </w:tcPr>
          <w:p w14:paraId="0D9BFA47">
            <w:pPr>
              <w:pStyle w:val="13"/>
            </w:pPr>
          </w:p>
        </w:tc>
        <w:tc>
          <w:tcPr>
            <w:tcW w:w="1474" w:type="dxa"/>
            <w:vAlign w:val="center"/>
          </w:tcPr>
          <w:p w14:paraId="332F3632">
            <w:pPr>
              <w:pStyle w:val="14"/>
            </w:pPr>
          </w:p>
        </w:tc>
        <w:tc>
          <w:tcPr>
            <w:tcW w:w="3402" w:type="dxa"/>
            <w:vAlign w:val="center"/>
          </w:tcPr>
          <w:p w14:paraId="3F50FD79">
            <w:pPr>
              <w:pStyle w:val="13"/>
            </w:pPr>
            <w:r>
              <w:t>三十一、人行科目</w:t>
            </w:r>
          </w:p>
        </w:tc>
        <w:tc>
          <w:tcPr>
            <w:tcW w:w="1474" w:type="dxa"/>
            <w:vAlign w:val="center"/>
          </w:tcPr>
          <w:p w14:paraId="5B886F0B">
            <w:pPr>
              <w:pStyle w:val="14"/>
            </w:pPr>
          </w:p>
        </w:tc>
        <w:tc>
          <w:tcPr>
            <w:tcW w:w="1474" w:type="dxa"/>
            <w:vAlign w:val="center"/>
          </w:tcPr>
          <w:p w14:paraId="4A8CD86B">
            <w:pPr>
              <w:pStyle w:val="14"/>
            </w:pPr>
          </w:p>
        </w:tc>
        <w:tc>
          <w:tcPr>
            <w:tcW w:w="1474" w:type="dxa"/>
            <w:vAlign w:val="center"/>
          </w:tcPr>
          <w:p w14:paraId="6EEAFA61">
            <w:pPr>
              <w:pStyle w:val="14"/>
            </w:pPr>
          </w:p>
        </w:tc>
        <w:tc>
          <w:tcPr>
            <w:tcW w:w="1474" w:type="dxa"/>
            <w:vAlign w:val="center"/>
          </w:tcPr>
          <w:p w14:paraId="62B0B857">
            <w:pPr>
              <w:pStyle w:val="14"/>
            </w:pPr>
          </w:p>
        </w:tc>
      </w:tr>
      <w:tr w14:paraId="74BC9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DADB0">
            <w:pPr>
              <w:pStyle w:val="12"/>
            </w:pPr>
            <w:r>
              <w:t>32</w:t>
            </w:r>
          </w:p>
        </w:tc>
        <w:tc>
          <w:tcPr>
            <w:tcW w:w="3402" w:type="dxa"/>
            <w:vAlign w:val="center"/>
          </w:tcPr>
          <w:p w14:paraId="0555DF55">
            <w:pPr>
              <w:pStyle w:val="15"/>
            </w:pPr>
            <w:r>
              <w:t>本年收入合计</w:t>
            </w:r>
          </w:p>
        </w:tc>
        <w:tc>
          <w:tcPr>
            <w:tcW w:w="1474" w:type="dxa"/>
            <w:vAlign w:val="center"/>
          </w:tcPr>
          <w:p w14:paraId="4DF615BE">
            <w:pPr>
              <w:pStyle w:val="16"/>
            </w:pPr>
            <w:r>
              <w:t>1447.97</w:t>
            </w:r>
          </w:p>
        </w:tc>
        <w:tc>
          <w:tcPr>
            <w:tcW w:w="3402" w:type="dxa"/>
            <w:vAlign w:val="center"/>
          </w:tcPr>
          <w:p w14:paraId="71196D7B">
            <w:pPr>
              <w:pStyle w:val="15"/>
            </w:pPr>
            <w:r>
              <w:t>本年支出合计</w:t>
            </w:r>
          </w:p>
        </w:tc>
        <w:tc>
          <w:tcPr>
            <w:tcW w:w="1474" w:type="dxa"/>
            <w:vAlign w:val="center"/>
          </w:tcPr>
          <w:p w14:paraId="528CDEFB">
            <w:pPr>
              <w:pStyle w:val="16"/>
            </w:pPr>
            <w:r>
              <w:t>1447.97</w:t>
            </w:r>
          </w:p>
        </w:tc>
        <w:tc>
          <w:tcPr>
            <w:tcW w:w="1474" w:type="dxa"/>
            <w:vAlign w:val="center"/>
          </w:tcPr>
          <w:p w14:paraId="2F2A64C5">
            <w:pPr>
              <w:pStyle w:val="16"/>
            </w:pPr>
            <w:r>
              <w:t>1447.97</w:t>
            </w:r>
          </w:p>
        </w:tc>
        <w:tc>
          <w:tcPr>
            <w:tcW w:w="1474" w:type="dxa"/>
            <w:vAlign w:val="center"/>
          </w:tcPr>
          <w:p w14:paraId="61C1B8CA">
            <w:pPr>
              <w:pStyle w:val="16"/>
            </w:pPr>
          </w:p>
        </w:tc>
        <w:tc>
          <w:tcPr>
            <w:tcW w:w="1474" w:type="dxa"/>
            <w:vAlign w:val="center"/>
          </w:tcPr>
          <w:p w14:paraId="4047E1A4">
            <w:pPr>
              <w:pStyle w:val="16"/>
            </w:pPr>
          </w:p>
        </w:tc>
      </w:tr>
      <w:tr w14:paraId="395E3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79288">
            <w:pPr>
              <w:pStyle w:val="12"/>
            </w:pPr>
            <w:r>
              <w:t>33</w:t>
            </w:r>
          </w:p>
        </w:tc>
        <w:tc>
          <w:tcPr>
            <w:tcW w:w="3402" w:type="dxa"/>
            <w:vAlign w:val="center"/>
          </w:tcPr>
          <w:p w14:paraId="335FB79A">
            <w:pPr>
              <w:pStyle w:val="13"/>
            </w:pPr>
            <w:r>
              <w:t>年初财政拨款结转和结余</w:t>
            </w:r>
          </w:p>
        </w:tc>
        <w:tc>
          <w:tcPr>
            <w:tcW w:w="1474" w:type="dxa"/>
            <w:vAlign w:val="center"/>
          </w:tcPr>
          <w:p w14:paraId="74032C6F">
            <w:pPr>
              <w:pStyle w:val="14"/>
            </w:pPr>
          </w:p>
        </w:tc>
        <w:tc>
          <w:tcPr>
            <w:tcW w:w="3402" w:type="dxa"/>
            <w:vAlign w:val="center"/>
          </w:tcPr>
          <w:p w14:paraId="6D4DC19D">
            <w:pPr>
              <w:pStyle w:val="13"/>
            </w:pPr>
            <w:r>
              <w:t>年末财政拨款结转和结余</w:t>
            </w:r>
          </w:p>
        </w:tc>
        <w:tc>
          <w:tcPr>
            <w:tcW w:w="1474" w:type="dxa"/>
            <w:vAlign w:val="center"/>
          </w:tcPr>
          <w:p w14:paraId="40322AC5">
            <w:pPr>
              <w:pStyle w:val="14"/>
            </w:pPr>
          </w:p>
        </w:tc>
        <w:tc>
          <w:tcPr>
            <w:tcW w:w="1474" w:type="dxa"/>
            <w:vAlign w:val="center"/>
          </w:tcPr>
          <w:p w14:paraId="3212AAB1">
            <w:pPr>
              <w:pStyle w:val="14"/>
            </w:pPr>
          </w:p>
        </w:tc>
        <w:tc>
          <w:tcPr>
            <w:tcW w:w="1474" w:type="dxa"/>
            <w:vAlign w:val="center"/>
          </w:tcPr>
          <w:p w14:paraId="68D5167E">
            <w:pPr>
              <w:pStyle w:val="14"/>
            </w:pPr>
          </w:p>
        </w:tc>
        <w:tc>
          <w:tcPr>
            <w:tcW w:w="1474" w:type="dxa"/>
            <w:vAlign w:val="center"/>
          </w:tcPr>
          <w:p w14:paraId="3780281D">
            <w:pPr>
              <w:pStyle w:val="14"/>
            </w:pPr>
          </w:p>
        </w:tc>
      </w:tr>
      <w:tr w14:paraId="17776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11254">
            <w:pPr>
              <w:pStyle w:val="12"/>
            </w:pPr>
            <w:r>
              <w:t>34</w:t>
            </w:r>
          </w:p>
        </w:tc>
        <w:tc>
          <w:tcPr>
            <w:tcW w:w="3402" w:type="dxa"/>
            <w:vAlign w:val="center"/>
          </w:tcPr>
          <w:p w14:paraId="3B0CD5E6">
            <w:pPr>
              <w:pStyle w:val="13"/>
            </w:pPr>
            <w:r>
              <w:t>一、一般公共预算拨款</w:t>
            </w:r>
          </w:p>
        </w:tc>
        <w:tc>
          <w:tcPr>
            <w:tcW w:w="1474" w:type="dxa"/>
            <w:vAlign w:val="center"/>
          </w:tcPr>
          <w:p w14:paraId="0B1D97D0">
            <w:pPr>
              <w:pStyle w:val="14"/>
            </w:pPr>
          </w:p>
        </w:tc>
        <w:tc>
          <w:tcPr>
            <w:tcW w:w="3402" w:type="dxa"/>
            <w:vAlign w:val="center"/>
          </w:tcPr>
          <w:p w14:paraId="2AD95935">
            <w:pPr>
              <w:pStyle w:val="13"/>
            </w:pPr>
          </w:p>
        </w:tc>
        <w:tc>
          <w:tcPr>
            <w:tcW w:w="1474" w:type="dxa"/>
            <w:vAlign w:val="center"/>
          </w:tcPr>
          <w:p w14:paraId="685AA1AB">
            <w:pPr>
              <w:pStyle w:val="14"/>
            </w:pPr>
          </w:p>
        </w:tc>
        <w:tc>
          <w:tcPr>
            <w:tcW w:w="1474" w:type="dxa"/>
            <w:vAlign w:val="center"/>
          </w:tcPr>
          <w:p w14:paraId="7E5AA2DA">
            <w:pPr>
              <w:pStyle w:val="14"/>
            </w:pPr>
          </w:p>
        </w:tc>
        <w:tc>
          <w:tcPr>
            <w:tcW w:w="1474" w:type="dxa"/>
            <w:vAlign w:val="center"/>
          </w:tcPr>
          <w:p w14:paraId="223A4124">
            <w:pPr>
              <w:pStyle w:val="14"/>
            </w:pPr>
          </w:p>
        </w:tc>
        <w:tc>
          <w:tcPr>
            <w:tcW w:w="1474" w:type="dxa"/>
            <w:vAlign w:val="center"/>
          </w:tcPr>
          <w:p w14:paraId="6618FC3F">
            <w:pPr>
              <w:pStyle w:val="14"/>
            </w:pPr>
          </w:p>
        </w:tc>
      </w:tr>
      <w:tr w14:paraId="766D5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59E1D">
            <w:pPr>
              <w:pStyle w:val="12"/>
            </w:pPr>
            <w:r>
              <w:t>35</w:t>
            </w:r>
          </w:p>
        </w:tc>
        <w:tc>
          <w:tcPr>
            <w:tcW w:w="3402" w:type="dxa"/>
            <w:vAlign w:val="center"/>
          </w:tcPr>
          <w:p w14:paraId="539C9FA3">
            <w:pPr>
              <w:pStyle w:val="13"/>
            </w:pPr>
            <w:r>
              <w:t>二、政府性基金预算拨款</w:t>
            </w:r>
          </w:p>
        </w:tc>
        <w:tc>
          <w:tcPr>
            <w:tcW w:w="1474" w:type="dxa"/>
            <w:vAlign w:val="center"/>
          </w:tcPr>
          <w:p w14:paraId="622D49DA">
            <w:pPr>
              <w:pStyle w:val="14"/>
            </w:pPr>
          </w:p>
        </w:tc>
        <w:tc>
          <w:tcPr>
            <w:tcW w:w="3402" w:type="dxa"/>
            <w:vAlign w:val="center"/>
          </w:tcPr>
          <w:p w14:paraId="2A885835">
            <w:pPr>
              <w:pStyle w:val="13"/>
            </w:pPr>
          </w:p>
        </w:tc>
        <w:tc>
          <w:tcPr>
            <w:tcW w:w="1474" w:type="dxa"/>
            <w:vAlign w:val="center"/>
          </w:tcPr>
          <w:p w14:paraId="2E307284">
            <w:pPr>
              <w:pStyle w:val="14"/>
            </w:pPr>
          </w:p>
        </w:tc>
        <w:tc>
          <w:tcPr>
            <w:tcW w:w="1474" w:type="dxa"/>
            <w:vAlign w:val="center"/>
          </w:tcPr>
          <w:p w14:paraId="512B0797">
            <w:pPr>
              <w:pStyle w:val="14"/>
            </w:pPr>
          </w:p>
        </w:tc>
        <w:tc>
          <w:tcPr>
            <w:tcW w:w="1474" w:type="dxa"/>
            <w:vAlign w:val="center"/>
          </w:tcPr>
          <w:p w14:paraId="7315E803">
            <w:pPr>
              <w:pStyle w:val="14"/>
            </w:pPr>
          </w:p>
        </w:tc>
        <w:tc>
          <w:tcPr>
            <w:tcW w:w="1474" w:type="dxa"/>
            <w:vAlign w:val="center"/>
          </w:tcPr>
          <w:p w14:paraId="6E56A67E">
            <w:pPr>
              <w:pStyle w:val="14"/>
            </w:pPr>
          </w:p>
        </w:tc>
      </w:tr>
      <w:tr w14:paraId="4F833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6EF57">
            <w:pPr>
              <w:pStyle w:val="12"/>
            </w:pPr>
            <w:r>
              <w:t>36</w:t>
            </w:r>
          </w:p>
        </w:tc>
        <w:tc>
          <w:tcPr>
            <w:tcW w:w="3402" w:type="dxa"/>
            <w:vAlign w:val="center"/>
          </w:tcPr>
          <w:p w14:paraId="6A86CFFA">
            <w:pPr>
              <w:pStyle w:val="13"/>
            </w:pPr>
            <w:r>
              <w:t>三、国有资本经营预算拨款</w:t>
            </w:r>
          </w:p>
        </w:tc>
        <w:tc>
          <w:tcPr>
            <w:tcW w:w="1474" w:type="dxa"/>
            <w:vAlign w:val="center"/>
          </w:tcPr>
          <w:p w14:paraId="122DE413">
            <w:pPr>
              <w:pStyle w:val="14"/>
            </w:pPr>
          </w:p>
        </w:tc>
        <w:tc>
          <w:tcPr>
            <w:tcW w:w="3402" w:type="dxa"/>
            <w:vAlign w:val="center"/>
          </w:tcPr>
          <w:p w14:paraId="6C0AE1DF">
            <w:pPr>
              <w:pStyle w:val="13"/>
            </w:pPr>
          </w:p>
        </w:tc>
        <w:tc>
          <w:tcPr>
            <w:tcW w:w="1474" w:type="dxa"/>
            <w:vAlign w:val="center"/>
          </w:tcPr>
          <w:p w14:paraId="71CC5752">
            <w:pPr>
              <w:pStyle w:val="14"/>
            </w:pPr>
          </w:p>
        </w:tc>
        <w:tc>
          <w:tcPr>
            <w:tcW w:w="1474" w:type="dxa"/>
            <w:vAlign w:val="center"/>
          </w:tcPr>
          <w:p w14:paraId="2DEB2DDC">
            <w:pPr>
              <w:pStyle w:val="14"/>
            </w:pPr>
          </w:p>
        </w:tc>
        <w:tc>
          <w:tcPr>
            <w:tcW w:w="1474" w:type="dxa"/>
            <w:vAlign w:val="center"/>
          </w:tcPr>
          <w:p w14:paraId="2823DA6C">
            <w:pPr>
              <w:pStyle w:val="14"/>
            </w:pPr>
          </w:p>
        </w:tc>
        <w:tc>
          <w:tcPr>
            <w:tcW w:w="1474" w:type="dxa"/>
            <w:vAlign w:val="center"/>
          </w:tcPr>
          <w:p w14:paraId="27DBC10A">
            <w:pPr>
              <w:pStyle w:val="14"/>
            </w:pPr>
          </w:p>
        </w:tc>
      </w:tr>
      <w:tr w14:paraId="7B5ED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B7AA4">
            <w:pPr>
              <w:pStyle w:val="12"/>
            </w:pPr>
            <w:r>
              <w:t>37</w:t>
            </w:r>
          </w:p>
        </w:tc>
        <w:tc>
          <w:tcPr>
            <w:tcW w:w="3402" w:type="dxa"/>
            <w:vAlign w:val="center"/>
          </w:tcPr>
          <w:p w14:paraId="5659AAD7">
            <w:pPr>
              <w:pStyle w:val="15"/>
            </w:pPr>
            <w:r>
              <w:t>收入总计</w:t>
            </w:r>
          </w:p>
        </w:tc>
        <w:tc>
          <w:tcPr>
            <w:tcW w:w="1474" w:type="dxa"/>
            <w:vAlign w:val="center"/>
          </w:tcPr>
          <w:p w14:paraId="0387C93E">
            <w:pPr>
              <w:pStyle w:val="16"/>
            </w:pPr>
            <w:r>
              <w:t>1447.97</w:t>
            </w:r>
          </w:p>
        </w:tc>
        <w:tc>
          <w:tcPr>
            <w:tcW w:w="3402" w:type="dxa"/>
            <w:vAlign w:val="center"/>
          </w:tcPr>
          <w:p w14:paraId="36C06BDD">
            <w:pPr>
              <w:pStyle w:val="15"/>
            </w:pPr>
            <w:r>
              <w:t>支出总计</w:t>
            </w:r>
          </w:p>
        </w:tc>
        <w:tc>
          <w:tcPr>
            <w:tcW w:w="1474" w:type="dxa"/>
            <w:vAlign w:val="center"/>
          </w:tcPr>
          <w:p w14:paraId="38DC5711">
            <w:pPr>
              <w:pStyle w:val="16"/>
            </w:pPr>
            <w:r>
              <w:t>1447.97</w:t>
            </w:r>
          </w:p>
        </w:tc>
        <w:tc>
          <w:tcPr>
            <w:tcW w:w="1474" w:type="dxa"/>
            <w:vAlign w:val="center"/>
          </w:tcPr>
          <w:p w14:paraId="61F57D21">
            <w:pPr>
              <w:pStyle w:val="16"/>
            </w:pPr>
            <w:r>
              <w:t>1447.97</w:t>
            </w:r>
          </w:p>
        </w:tc>
        <w:tc>
          <w:tcPr>
            <w:tcW w:w="1474" w:type="dxa"/>
            <w:vAlign w:val="center"/>
          </w:tcPr>
          <w:p w14:paraId="73B6AD8D">
            <w:pPr>
              <w:pStyle w:val="16"/>
            </w:pPr>
          </w:p>
        </w:tc>
        <w:tc>
          <w:tcPr>
            <w:tcW w:w="1474" w:type="dxa"/>
            <w:vAlign w:val="center"/>
          </w:tcPr>
          <w:p w14:paraId="4A96B084">
            <w:pPr>
              <w:pStyle w:val="16"/>
            </w:pPr>
          </w:p>
        </w:tc>
      </w:tr>
    </w:tbl>
    <w:p w14:paraId="1BD40E8C">
      <w:pPr>
        <w:sectPr>
          <w:pgSz w:w="16840" w:h="11900" w:orient="landscape"/>
          <w:pgMar w:top="1361" w:right="1020" w:bottom="1134" w:left="1020" w:header="720" w:footer="720" w:gutter="0"/>
          <w:cols w:space="720" w:num="1"/>
        </w:sectPr>
      </w:pPr>
    </w:p>
    <w:p w14:paraId="3C7066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6F0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BB103B">
            <w:pPr>
              <w:pStyle w:val="8"/>
            </w:pPr>
            <w:r>
              <w:t>360009河北省隆尧县滏阳中学</w:t>
            </w:r>
          </w:p>
        </w:tc>
        <w:tc>
          <w:tcPr>
            <w:tcW w:w="2551" w:type="dxa"/>
            <w:tcBorders>
              <w:top w:val="single" w:color="FFFFFF" w:sz="6" w:space="0"/>
              <w:left w:val="single" w:color="FFFFFF" w:sz="6" w:space="0"/>
              <w:right w:val="single" w:color="FFFFFF" w:sz="6" w:space="0"/>
            </w:tcBorders>
            <w:vAlign w:val="center"/>
          </w:tcPr>
          <w:p w14:paraId="595100D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F62ACFB">
            <w:pPr>
              <w:pStyle w:val="10"/>
            </w:pPr>
            <w:r>
              <w:t>单位：万元</w:t>
            </w:r>
          </w:p>
        </w:tc>
      </w:tr>
      <w:tr w14:paraId="25339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7FBE426E">
            <w:pPr>
              <w:pStyle w:val="11"/>
            </w:pPr>
            <w:r>
              <w:t>序号</w:t>
            </w:r>
          </w:p>
        </w:tc>
        <w:tc>
          <w:tcPr>
            <w:tcW w:w="5726" w:type="dxa"/>
            <w:gridSpan w:val="2"/>
            <w:vAlign w:val="center"/>
          </w:tcPr>
          <w:p w14:paraId="1C896115">
            <w:pPr>
              <w:pStyle w:val="11"/>
            </w:pPr>
            <w:r>
              <w:t>功能分类科目</w:t>
            </w:r>
          </w:p>
        </w:tc>
        <w:tc>
          <w:tcPr>
            <w:tcW w:w="2551" w:type="dxa"/>
            <w:vMerge w:val="restart"/>
            <w:vAlign w:val="center"/>
          </w:tcPr>
          <w:p w14:paraId="0DF51A1F">
            <w:pPr>
              <w:pStyle w:val="11"/>
            </w:pPr>
            <w:r>
              <w:t>合计</w:t>
            </w:r>
          </w:p>
        </w:tc>
        <w:tc>
          <w:tcPr>
            <w:tcW w:w="2551" w:type="dxa"/>
            <w:vMerge w:val="restart"/>
            <w:vAlign w:val="center"/>
          </w:tcPr>
          <w:p w14:paraId="527D78D5">
            <w:pPr>
              <w:pStyle w:val="11"/>
            </w:pPr>
            <w:r>
              <w:t>基本支出</w:t>
            </w:r>
          </w:p>
        </w:tc>
        <w:tc>
          <w:tcPr>
            <w:tcW w:w="2551" w:type="dxa"/>
            <w:vMerge w:val="restart"/>
            <w:vAlign w:val="center"/>
          </w:tcPr>
          <w:p w14:paraId="54B59D0C">
            <w:pPr>
              <w:pStyle w:val="11"/>
            </w:pPr>
            <w:r>
              <w:t>项目支出</w:t>
            </w:r>
          </w:p>
        </w:tc>
      </w:tr>
      <w:tr w14:paraId="36634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7D6214"/>
        </w:tc>
        <w:tc>
          <w:tcPr>
            <w:tcW w:w="1191" w:type="dxa"/>
            <w:vAlign w:val="center"/>
          </w:tcPr>
          <w:p w14:paraId="7AE0BFC5">
            <w:pPr>
              <w:pStyle w:val="11"/>
            </w:pPr>
            <w:r>
              <w:t>科目编码</w:t>
            </w:r>
          </w:p>
        </w:tc>
        <w:tc>
          <w:tcPr>
            <w:tcW w:w="4535" w:type="dxa"/>
            <w:vAlign w:val="center"/>
          </w:tcPr>
          <w:p w14:paraId="57EB2EF8">
            <w:pPr>
              <w:pStyle w:val="11"/>
            </w:pPr>
            <w:r>
              <w:t>科目名称</w:t>
            </w:r>
          </w:p>
        </w:tc>
        <w:tc>
          <w:tcPr>
            <w:tcW w:w="2551" w:type="dxa"/>
            <w:vMerge w:val="continue"/>
          </w:tcPr>
          <w:p w14:paraId="3C8FA6CC"/>
        </w:tc>
        <w:tc>
          <w:tcPr>
            <w:tcW w:w="2551" w:type="dxa"/>
            <w:vMerge w:val="continue"/>
          </w:tcPr>
          <w:p w14:paraId="7076D243"/>
        </w:tc>
        <w:tc>
          <w:tcPr>
            <w:tcW w:w="2551" w:type="dxa"/>
            <w:vMerge w:val="continue"/>
          </w:tcPr>
          <w:p w14:paraId="203EB578"/>
        </w:tc>
      </w:tr>
      <w:tr w14:paraId="1EDC0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555B183F">
            <w:pPr>
              <w:pStyle w:val="11"/>
            </w:pPr>
            <w:r>
              <w:t>栏次</w:t>
            </w:r>
          </w:p>
        </w:tc>
        <w:tc>
          <w:tcPr>
            <w:tcW w:w="1191" w:type="dxa"/>
            <w:vAlign w:val="center"/>
          </w:tcPr>
          <w:p w14:paraId="2A3C8769">
            <w:pPr>
              <w:pStyle w:val="11"/>
            </w:pPr>
            <w:r>
              <w:t>1</w:t>
            </w:r>
          </w:p>
        </w:tc>
        <w:tc>
          <w:tcPr>
            <w:tcW w:w="4535" w:type="dxa"/>
            <w:vAlign w:val="center"/>
          </w:tcPr>
          <w:p w14:paraId="67124575">
            <w:pPr>
              <w:pStyle w:val="11"/>
            </w:pPr>
            <w:r>
              <w:t>2</w:t>
            </w:r>
          </w:p>
        </w:tc>
        <w:tc>
          <w:tcPr>
            <w:tcW w:w="2551" w:type="dxa"/>
            <w:vAlign w:val="center"/>
          </w:tcPr>
          <w:p w14:paraId="2586B73E">
            <w:pPr>
              <w:pStyle w:val="11"/>
            </w:pPr>
            <w:r>
              <w:t>3</w:t>
            </w:r>
          </w:p>
        </w:tc>
        <w:tc>
          <w:tcPr>
            <w:tcW w:w="2551" w:type="dxa"/>
            <w:vAlign w:val="center"/>
          </w:tcPr>
          <w:p w14:paraId="3F02A8E4">
            <w:pPr>
              <w:pStyle w:val="11"/>
            </w:pPr>
            <w:r>
              <w:t>4</w:t>
            </w:r>
          </w:p>
        </w:tc>
        <w:tc>
          <w:tcPr>
            <w:tcW w:w="2551" w:type="dxa"/>
            <w:vAlign w:val="center"/>
          </w:tcPr>
          <w:p w14:paraId="05FA9A90">
            <w:pPr>
              <w:pStyle w:val="11"/>
            </w:pPr>
            <w:r>
              <w:t>5</w:t>
            </w:r>
          </w:p>
        </w:tc>
      </w:tr>
      <w:tr w14:paraId="48C06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BF094">
            <w:pPr>
              <w:pStyle w:val="12"/>
            </w:pPr>
            <w:r>
              <w:t>1</w:t>
            </w:r>
          </w:p>
        </w:tc>
        <w:tc>
          <w:tcPr>
            <w:tcW w:w="1191" w:type="dxa"/>
            <w:vAlign w:val="center"/>
          </w:tcPr>
          <w:p w14:paraId="51822886">
            <w:pPr>
              <w:pStyle w:val="17"/>
            </w:pPr>
          </w:p>
        </w:tc>
        <w:tc>
          <w:tcPr>
            <w:tcW w:w="4535" w:type="dxa"/>
            <w:vAlign w:val="center"/>
          </w:tcPr>
          <w:p w14:paraId="69E020D9">
            <w:pPr>
              <w:pStyle w:val="15"/>
            </w:pPr>
            <w:r>
              <w:t>合计</w:t>
            </w:r>
          </w:p>
        </w:tc>
        <w:tc>
          <w:tcPr>
            <w:tcW w:w="2551" w:type="dxa"/>
            <w:vAlign w:val="center"/>
          </w:tcPr>
          <w:p w14:paraId="728F27D0">
            <w:pPr>
              <w:pStyle w:val="16"/>
            </w:pPr>
            <w:r>
              <w:t>1447.97</w:t>
            </w:r>
          </w:p>
        </w:tc>
        <w:tc>
          <w:tcPr>
            <w:tcW w:w="2551" w:type="dxa"/>
            <w:vAlign w:val="center"/>
          </w:tcPr>
          <w:p w14:paraId="5A2B226C">
            <w:pPr>
              <w:pStyle w:val="16"/>
            </w:pPr>
            <w:r>
              <w:t>1212.88</w:t>
            </w:r>
          </w:p>
        </w:tc>
        <w:tc>
          <w:tcPr>
            <w:tcW w:w="2551" w:type="dxa"/>
            <w:vAlign w:val="center"/>
          </w:tcPr>
          <w:p w14:paraId="694F6DE7">
            <w:pPr>
              <w:pStyle w:val="16"/>
            </w:pPr>
            <w:r>
              <w:t>235.09</w:t>
            </w:r>
          </w:p>
        </w:tc>
      </w:tr>
      <w:tr w14:paraId="4C290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6994D">
            <w:pPr>
              <w:pStyle w:val="12"/>
            </w:pPr>
            <w:r>
              <w:t>2</w:t>
            </w:r>
          </w:p>
        </w:tc>
        <w:tc>
          <w:tcPr>
            <w:tcW w:w="1191" w:type="dxa"/>
            <w:vAlign w:val="center"/>
          </w:tcPr>
          <w:p w14:paraId="4145BBC9">
            <w:pPr>
              <w:pStyle w:val="13"/>
            </w:pPr>
            <w:r>
              <w:t>205</w:t>
            </w:r>
          </w:p>
        </w:tc>
        <w:tc>
          <w:tcPr>
            <w:tcW w:w="4535" w:type="dxa"/>
            <w:vAlign w:val="center"/>
          </w:tcPr>
          <w:p w14:paraId="640E9292">
            <w:pPr>
              <w:pStyle w:val="13"/>
            </w:pPr>
            <w:r>
              <w:t>教育支出</w:t>
            </w:r>
          </w:p>
        </w:tc>
        <w:tc>
          <w:tcPr>
            <w:tcW w:w="2551" w:type="dxa"/>
            <w:vAlign w:val="center"/>
          </w:tcPr>
          <w:p w14:paraId="5214BB78">
            <w:pPr>
              <w:pStyle w:val="14"/>
            </w:pPr>
            <w:r>
              <w:t>1447.97</w:t>
            </w:r>
          </w:p>
        </w:tc>
        <w:tc>
          <w:tcPr>
            <w:tcW w:w="2551" w:type="dxa"/>
            <w:vAlign w:val="center"/>
          </w:tcPr>
          <w:p w14:paraId="3CB0EA63">
            <w:pPr>
              <w:pStyle w:val="14"/>
            </w:pPr>
            <w:r>
              <w:t>1212.88</w:t>
            </w:r>
          </w:p>
        </w:tc>
        <w:tc>
          <w:tcPr>
            <w:tcW w:w="2551" w:type="dxa"/>
            <w:vAlign w:val="center"/>
          </w:tcPr>
          <w:p w14:paraId="01DCE031">
            <w:pPr>
              <w:pStyle w:val="14"/>
            </w:pPr>
            <w:r>
              <w:t>235.09</w:t>
            </w:r>
          </w:p>
        </w:tc>
      </w:tr>
      <w:tr w14:paraId="23D37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DE771">
            <w:pPr>
              <w:pStyle w:val="12"/>
            </w:pPr>
            <w:r>
              <w:t>3</w:t>
            </w:r>
          </w:p>
        </w:tc>
        <w:tc>
          <w:tcPr>
            <w:tcW w:w="1191" w:type="dxa"/>
            <w:vAlign w:val="center"/>
          </w:tcPr>
          <w:p w14:paraId="79015D7B">
            <w:pPr>
              <w:pStyle w:val="13"/>
            </w:pPr>
            <w:r>
              <w:t>20502</w:t>
            </w:r>
          </w:p>
        </w:tc>
        <w:tc>
          <w:tcPr>
            <w:tcW w:w="4535" w:type="dxa"/>
            <w:vAlign w:val="center"/>
          </w:tcPr>
          <w:p w14:paraId="191A9476">
            <w:pPr>
              <w:pStyle w:val="13"/>
            </w:pPr>
            <w:r>
              <w:t>普通教育</w:t>
            </w:r>
          </w:p>
        </w:tc>
        <w:tc>
          <w:tcPr>
            <w:tcW w:w="2551" w:type="dxa"/>
            <w:vAlign w:val="center"/>
          </w:tcPr>
          <w:p w14:paraId="36E79C48">
            <w:pPr>
              <w:pStyle w:val="14"/>
            </w:pPr>
            <w:r>
              <w:t>1447.97</w:t>
            </w:r>
          </w:p>
        </w:tc>
        <w:tc>
          <w:tcPr>
            <w:tcW w:w="2551" w:type="dxa"/>
            <w:vAlign w:val="center"/>
          </w:tcPr>
          <w:p w14:paraId="43896486">
            <w:pPr>
              <w:pStyle w:val="14"/>
            </w:pPr>
            <w:r>
              <w:t>1212.88</w:t>
            </w:r>
          </w:p>
        </w:tc>
        <w:tc>
          <w:tcPr>
            <w:tcW w:w="2551" w:type="dxa"/>
            <w:vAlign w:val="center"/>
          </w:tcPr>
          <w:p w14:paraId="48EC21D7">
            <w:pPr>
              <w:pStyle w:val="14"/>
            </w:pPr>
            <w:r>
              <w:t>235.09</w:t>
            </w:r>
          </w:p>
        </w:tc>
      </w:tr>
      <w:tr w14:paraId="24D82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68004">
            <w:pPr>
              <w:pStyle w:val="12"/>
            </w:pPr>
            <w:r>
              <w:t>4</w:t>
            </w:r>
          </w:p>
        </w:tc>
        <w:tc>
          <w:tcPr>
            <w:tcW w:w="1191" w:type="dxa"/>
            <w:vAlign w:val="center"/>
          </w:tcPr>
          <w:p w14:paraId="6618C45E">
            <w:pPr>
              <w:pStyle w:val="13"/>
            </w:pPr>
            <w:r>
              <w:t>2050203</w:t>
            </w:r>
          </w:p>
        </w:tc>
        <w:tc>
          <w:tcPr>
            <w:tcW w:w="4535" w:type="dxa"/>
            <w:vAlign w:val="center"/>
          </w:tcPr>
          <w:p w14:paraId="21B5A464">
            <w:pPr>
              <w:pStyle w:val="13"/>
            </w:pPr>
            <w:r>
              <w:t>初中教育</w:t>
            </w:r>
          </w:p>
        </w:tc>
        <w:tc>
          <w:tcPr>
            <w:tcW w:w="2551" w:type="dxa"/>
            <w:vAlign w:val="center"/>
          </w:tcPr>
          <w:p w14:paraId="4AE5D21E">
            <w:pPr>
              <w:pStyle w:val="14"/>
            </w:pPr>
            <w:r>
              <w:t>1447.97</w:t>
            </w:r>
          </w:p>
        </w:tc>
        <w:tc>
          <w:tcPr>
            <w:tcW w:w="2551" w:type="dxa"/>
            <w:vAlign w:val="center"/>
          </w:tcPr>
          <w:p w14:paraId="76F64574">
            <w:pPr>
              <w:pStyle w:val="14"/>
            </w:pPr>
            <w:r>
              <w:t>1212.88</w:t>
            </w:r>
          </w:p>
        </w:tc>
        <w:tc>
          <w:tcPr>
            <w:tcW w:w="2551" w:type="dxa"/>
            <w:vAlign w:val="center"/>
          </w:tcPr>
          <w:p w14:paraId="58333099">
            <w:pPr>
              <w:pStyle w:val="14"/>
            </w:pPr>
            <w:r>
              <w:t>235.09</w:t>
            </w:r>
          </w:p>
        </w:tc>
      </w:tr>
    </w:tbl>
    <w:p w14:paraId="6D7CE308">
      <w:pPr>
        <w:sectPr>
          <w:pgSz w:w="16840" w:h="11900" w:orient="landscape"/>
          <w:pgMar w:top="1361" w:right="1020" w:bottom="1134" w:left="1020" w:header="720" w:footer="720" w:gutter="0"/>
          <w:cols w:space="720" w:num="1"/>
        </w:sectPr>
      </w:pPr>
    </w:p>
    <w:p w14:paraId="506733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87F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951CCB">
            <w:pPr>
              <w:pStyle w:val="8"/>
            </w:pPr>
            <w:r>
              <w:t>360009河北省隆尧县滏阳中学</w:t>
            </w:r>
          </w:p>
        </w:tc>
        <w:tc>
          <w:tcPr>
            <w:tcW w:w="2551" w:type="dxa"/>
            <w:tcBorders>
              <w:top w:val="single" w:color="FFFFFF" w:sz="6" w:space="0"/>
              <w:left w:val="single" w:color="FFFFFF" w:sz="6" w:space="0"/>
              <w:right w:val="single" w:color="FFFFFF" w:sz="6" w:space="0"/>
            </w:tcBorders>
            <w:vAlign w:val="center"/>
          </w:tcPr>
          <w:p w14:paraId="5122007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C4A7A1C">
            <w:pPr>
              <w:pStyle w:val="10"/>
            </w:pPr>
            <w:r>
              <w:t>单位：万元</w:t>
            </w:r>
          </w:p>
        </w:tc>
      </w:tr>
      <w:tr w14:paraId="6EE6E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A15B1E">
            <w:pPr>
              <w:pStyle w:val="11"/>
            </w:pPr>
            <w:r>
              <w:t>序号</w:t>
            </w:r>
          </w:p>
        </w:tc>
        <w:tc>
          <w:tcPr>
            <w:tcW w:w="5726" w:type="dxa"/>
            <w:gridSpan w:val="2"/>
            <w:vAlign w:val="center"/>
          </w:tcPr>
          <w:p w14:paraId="7DD987C3">
            <w:pPr>
              <w:pStyle w:val="11"/>
            </w:pPr>
            <w:r>
              <w:t>支出部门经济分类科目</w:t>
            </w:r>
          </w:p>
        </w:tc>
        <w:tc>
          <w:tcPr>
            <w:tcW w:w="7653" w:type="dxa"/>
            <w:gridSpan w:val="3"/>
            <w:vAlign w:val="center"/>
          </w:tcPr>
          <w:p w14:paraId="2643EFA4">
            <w:pPr>
              <w:pStyle w:val="11"/>
            </w:pPr>
            <w:r>
              <w:t>一般公共预算基本支出</w:t>
            </w:r>
          </w:p>
        </w:tc>
      </w:tr>
      <w:tr w14:paraId="702D0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8F3C62"/>
        </w:tc>
        <w:tc>
          <w:tcPr>
            <w:tcW w:w="1191" w:type="dxa"/>
            <w:vAlign w:val="center"/>
          </w:tcPr>
          <w:p w14:paraId="10FCC496">
            <w:pPr>
              <w:pStyle w:val="11"/>
            </w:pPr>
            <w:r>
              <w:t>科目编码</w:t>
            </w:r>
          </w:p>
        </w:tc>
        <w:tc>
          <w:tcPr>
            <w:tcW w:w="4535" w:type="dxa"/>
            <w:vAlign w:val="center"/>
          </w:tcPr>
          <w:p w14:paraId="12469082">
            <w:pPr>
              <w:pStyle w:val="11"/>
            </w:pPr>
            <w:r>
              <w:t>科目名称</w:t>
            </w:r>
          </w:p>
        </w:tc>
        <w:tc>
          <w:tcPr>
            <w:tcW w:w="2551" w:type="dxa"/>
            <w:vAlign w:val="center"/>
          </w:tcPr>
          <w:p w14:paraId="61C55535">
            <w:pPr>
              <w:pStyle w:val="11"/>
            </w:pPr>
            <w:r>
              <w:t>合计</w:t>
            </w:r>
          </w:p>
        </w:tc>
        <w:tc>
          <w:tcPr>
            <w:tcW w:w="2551" w:type="dxa"/>
            <w:vAlign w:val="center"/>
          </w:tcPr>
          <w:p w14:paraId="4A3020EC">
            <w:pPr>
              <w:pStyle w:val="11"/>
            </w:pPr>
            <w:r>
              <w:t>人员经费</w:t>
            </w:r>
          </w:p>
        </w:tc>
        <w:tc>
          <w:tcPr>
            <w:tcW w:w="2551" w:type="dxa"/>
            <w:vAlign w:val="center"/>
          </w:tcPr>
          <w:p w14:paraId="182C2BBA">
            <w:pPr>
              <w:pStyle w:val="11"/>
            </w:pPr>
            <w:r>
              <w:t>公用经费</w:t>
            </w:r>
          </w:p>
        </w:tc>
      </w:tr>
      <w:tr w14:paraId="0E534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F5D8D">
            <w:pPr>
              <w:pStyle w:val="11"/>
            </w:pPr>
            <w:r>
              <w:t>栏次</w:t>
            </w:r>
          </w:p>
        </w:tc>
        <w:tc>
          <w:tcPr>
            <w:tcW w:w="1191" w:type="dxa"/>
            <w:vAlign w:val="center"/>
          </w:tcPr>
          <w:p w14:paraId="66A2A7CA">
            <w:pPr>
              <w:pStyle w:val="11"/>
            </w:pPr>
            <w:r>
              <w:t>1</w:t>
            </w:r>
          </w:p>
        </w:tc>
        <w:tc>
          <w:tcPr>
            <w:tcW w:w="4535" w:type="dxa"/>
            <w:vAlign w:val="center"/>
          </w:tcPr>
          <w:p w14:paraId="63E94DB6">
            <w:pPr>
              <w:pStyle w:val="11"/>
            </w:pPr>
            <w:r>
              <w:t>2</w:t>
            </w:r>
          </w:p>
        </w:tc>
        <w:tc>
          <w:tcPr>
            <w:tcW w:w="2551" w:type="dxa"/>
            <w:vAlign w:val="center"/>
          </w:tcPr>
          <w:p w14:paraId="6C981B8A">
            <w:pPr>
              <w:pStyle w:val="11"/>
            </w:pPr>
            <w:r>
              <w:t>3</w:t>
            </w:r>
          </w:p>
        </w:tc>
        <w:tc>
          <w:tcPr>
            <w:tcW w:w="2551" w:type="dxa"/>
            <w:vAlign w:val="center"/>
          </w:tcPr>
          <w:p w14:paraId="41DE85D6">
            <w:pPr>
              <w:pStyle w:val="11"/>
            </w:pPr>
            <w:r>
              <w:t>4</w:t>
            </w:r>
          </w:p>
        </w:tc>
        <w:tc>
          <w:tcPr>
            <w:tcW w:w="2551" w:type="dxa"/>
            <w:vAlign w:val="center"/>
          </w:tcPr>
          <w:p w14:paraId="527C8407">
            <w:pPr>
              <w:pStyle w:val="11"/>
            </w:pPr>
            <w:r>
              <w:t>5</w:t>
            </w:r>
          </w:p>
        </w:tc>
      </w:tr>
      <w:tr w14:paraId="420D6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66E77">
            <w:pPr>
              <w:pStyle w:val="12"/>
            </w:pPr>
            <w:r>
              <w:t>1</w:t>
            </w:r>
          </w:p>
        </w:tc>
        <w:tc>
          <w:tcPr>
            <w:tcW w:w="1191" w:type="dxa"/>
            <w:vAlign w:val="center"/>
          </w:tcPr>
          <w:p w14:paraId="5C14C3BE">
            <w:pPr>
              <w:pStyle w:val="17"/>
            </w:pPr>
          </w:p>
        </w:tc>
        <w:tc>
          <w:tcPr>
            <w:tcW w:w="4535" w:type="dxa"/>
            <w:vAlign w:val="center"/>
          </w:tcPr>
          <w:p w14:paraId="4526E26F">
            <w:pPr>
              <w:pStyle w:val="15"/>
            </w:pPr>
            <w:r>
              <w:t>合计</w:t>
            </w:r>
          </w:p>
        </w:tc>
        <w:tc>
          <w:tcPr>
            <w:tcW w:w="2551" w:type="dxa"/>
            <w:vAlign w:val="center"/>
          </w:tcPr>
          <w:p w14:paraId="6C80E7F6">
            <w:pPr>
              <w:pStyle w:val="16"/>
            </w:pPr>
            <w:r>
              <w:t>1212.88</w:t>
            </w:r>
          </w:p>
        </w:tc>
        <w:tc>
          <w:tcPr>
            <w:tcW w:w="2551" w:type="dxa"/>
            <w:vAlign w:val="center"/>
          </w:tcPr>
          <w:p w14:paraId="623282AA">
            <w:pPr>
              <w:pStyle w:val="16"/>
            </w:pPr>
            <w:r>
              <w:t>1212.88</w:t>
            </w:r>
          </w:p>
        </w:tc>
        <w:tc>
          <w:tcPr>
            <w:tcW w:w="2551" w:type="dxa"/>
            <w:vAlign w:val="center"/>
          </w:tcPr>
          <w:p w14:paraId="25F39CC3">
            <w:pPr>
              <w:pStyle w:val="16"/>
            </w:pPr>
          </w:p>
        </w:tc>
      </w:tr>
      <w:tr w14:paraId="0CFA1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E6B67">
            <w:pPr>
              <w:pStyle w:val="12"/>
            </w:pPr>
            <w:r>
              <w:t>2</w:t>
            </w:r>
          </w:p>
        </w:tc>
        <w:tc>
          <w:tcPr>
            <w:tcW w:w="1191" w:type="dxa"/>
            <w:vAlign w:val="center"/>
          </w:tcPr>
          <w:p w14:paraId="664A6913">
            <w:pPr>
              <w:pStyle w:val="13"/>
            </w:pPr>
            <w:r>
              <w:t>301</w:t>
            </w:r>
          </w:p>
        </w:tc>
        <w:tc>
          <w:tcPr>
            <w:tcW w:w="4535" w:type="dxa"/>
            <w:vAlign w:val="center"/>
          </w:tcPr>
          <w:p w14:paraId="394A5EB2">
            <w:pPr>
              <w:pStyle w:val="13"/>
            </w:pPr>
            <w:r>
              <w:t>工资福利支出</w:t>
            </w:r>
          </w:p>
        </w:tc>
        <w:tc>
          <w:tcPr>
            <w:tcW w:w="2551" w:type="dxa"/>
            <w:vAlign w:val="center"/>
          </w:tcPr>
          <w:p w14:paraId="618F53C0">
            <w:pPr>
              <w:pStyle w:val="14"/>
            </w:pPr>
            <w:r>
              <w:t>1195.90</w:t>
            </w:r>
          </w:p>
        </w:tc>
        <w:tc>
          <w:tcPr>
            <w:tcW w:w="2551" w:type="dxa"/>
            <w:vAlign w:val="center"/>
          </w:tcPr>
          <w:p w14:paraId="1FFB5327">
            <w:pPr>
              <w:pStyle w:val="14"/>
            </w:pPr>
            <w:r>
              <w:t>1195.90</w:t>
            </w:r>
          </w:p>
        </w:tc>
        <w:tc>
          <w:tcPr>
            <w:tcW w:w="2551" w:type="dxa"/>
            <w:vAlign w:val="center"/>
          </w:tcPr>
          <w:p w14:paraId="5AF671B5">
            <w:pPr>
              <w:pStyle w:val="14"/>
            </w:pPr>
          </w:p>
        </w:tc>
      </w:tr>
      <w:tr w14:paraId="440DB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942BD">
            <w:pPr>
              <w:pStyle w:val="12"/>
            </w:pPr>
            <w:r>
              <w:t>3</w:t>
            </w:r>
          </w:p>
        </w:tc>
        <w:tc>
          <w:tcPr>
            <w:tcW w:w="1191" w:type="dxa"/>
            <w:vAlign w:val="center"/>
          </w:tcPr>
          <w:p w14:paraId="0822FF55">
            <w:pPr>
              <w:pStyle w:val="13"/>
            </w:pPr>
            <w:r>
              <w:t>30101</w:t>
            </w:r>
          </w:p>
        </w:tc>
        <w:tc>
          <w:tcPr>
            <w:tcW w:w="4535" w:type="dxa"/>
            <w:vAlign w:val="center"/>
          </w:tcPr>
          <w:p w14:paraId="1C3E2EB4">
            <w:pPr>
              <w:pStyle w:val="13"/>
            </w:pPr>
            <w:r>
              <w:t>基本工资</w:t>
            </w:r>
          </w:p>
        </w:tc>
        <w:tc>
          <w:tcPr>
            <w:tcW w:w="2551" w:type="dxa"/>
            <w:vAlign w:val="center"/>
          </w:tcPr>
          <w:p w14:paraId="1C4003D9">
            <w:pPr>
              <w:pStyle w:val="14"/>
            </w:pPr>
            <w:r>
              <w:t>591.66</w:t>
            </w:r>
          </w:p>
        </w:tc>
        <w:tc>
          <w:tcPr>
            <w:tcW w:w="2551" w:type="dxa"/>
            <w:vAlign w:val="center"/>
          </w:tcPr>
          <w:p w14:paraId="5EF331C3">
            <w:pPr>
              <w:pStyle w:val="14"/>
            </w:pPr>
            <w:r>
              <w:t>591.66</w:t>
            </w:r>
          </w:p>
        </w:tc>
        <w:tc>
          <w:tcPr>
            <w:tcW w:w="2551" w:type="dxa"/>
            <w:vAlign w:val="center"/>
          </w:tcPr>
          <w:p w14:paraId="2EB7C396">
            <w:pPr>
              <w:pStyle w:val="14"/>
            </w:pPr>
          </w:p>
        </w:tc>
      </w:tr>
      <w:tr w14:paraId="5A725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A28F4">
            <w:pPr>
              <w:pStyle w:val="12"/>
            </w:pPr>
            <w:r>
              <w:t>4</w:t>
            </w:r>
          </w:p>
        </w:tc>
        <w:tc>
          <w:tcPr>
            <w:tcW w:w="1191" w:type="dxa"/>
            <w:vAlign w:val="center"/>
          </w:tcPr>
          <w:p w14:paraId="6B6A51E8">
            <w:pPr>
              <w:pStyle w:val="13"/>
            </w:pPr>
            <w:r>
              <w:t>30102</w:t>
            </w:r>
          </w:p>
        </w:tc>
        <w:tc>
          <w:tcPr>
            <w:tcW w:w="4535" w:type="dxa"/>
            <w:vAlign w:val="center"/>
          </w:tcPr>
          <w:p w14:paraId="26FF3DEF">
            <w:pPr>
              <w:pStyle w:val="13"/>
            </w:pPr>
            <w:r>
              <w:t>津贴补贴</w:t>
            </w:r>
          </w:p>
        </w:tc>
        <w:tc>
          <w:tcPr>
            <w:tcW w:w="2551" w:type="dxa"/>
            <w:vAlign w:val="center"/>
          </w:tcPr>
          <w:p w14:paraId="294D5F74">
            <w:pPr>
              <w:pStyle w:val="14"/>
            </w:pPr>
            <w:r>
              <w:t>48.68</w:t>
            </w:r>
          </w:p>
        </w:tc>
        <w:tc>
          <w:tcPr>
            <w:tcW w:w="2551" w:type="dxa"/>
            <w:vAlign w:val="center"/>
          </w:tcPr>
          <w:p w14:paraId="52A66385">
            <w:pPr>
              <w:pStyle w:val="14"/>
            </w:pPr>
            <w:r>
              <w:t>48.68</w:t>
            </w:r>
          </w:p>
        </w:tc>
        <w:tc>
          <w:tcPr>
            <w:tcW w:w="2551" w:type="dxa"/>
            <w:vAlign w:val="center"/>
          </w:tcPr>
          <w:p w14:paraId="4F6CA4E7">
            <w:pPr>
              <w:pStyle w:val="14"/>
            </w:pPr>
          </w:p>
        </w:tc>
      </w:tr>
      <w:tr w14:paraId="6C7FE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25149">
            <w:pPr>
              <w:pStyle w:val="12"/>
            </w:pPr>
            <w:r>
              <w:t>5</w:t>
            </w:r>
          </w:p>
        </w:tc>
        <w:tc>
          <w:tcPr>
            <w:tcW w:w="1191" w:type="dxa"/>
            <w:vAlign w:val="center"/>
          </w:tcPr>
          <w:p w14:paraId="58A9013E">
            <w:pPr>
              <w:pStyle w:val="13"/>
            </w:pPr>
            <w:r>
              <w:t>30107</w:t>
            </w:r>
          </w:p>
        </w:tc>
        <w:tc>
          <w:tcPr>
            <w:tcW w:w="4535" w:type="dxa"/>
            <w:vAlign w:val="center"/>
          </w:tcPr>
          <w:p w14:paraId="1A5272D9">
            <w:pPr>
              <w:pStyle w:val="13"/>
            </w:pPr>
            <w:r>
              <w:t>绩效工资</w:t>
            </w:r>
          </w:p>
        </w:tc>
        <w:tc>
          <w:tcPr>
            <w:tcW w:w="2551" w:type="dxa"/>
            <w:vAlign w:val="center"/>
          </w:tcPr>
          <w:p w14:paraId="7D83B7B2">
            <w:pPr>
              <w:pStyle w:val="14"/>
            </w:pPr>
            <w:r>
              <w:t>291.83</w:t>
            </w:r>
          </w:p>
        </w:tc>
        <w:tc>
          <w:tcPr>
            <w:tcW w:w="2551" w:type="dxa"/>
            <w:vAlign w:val="center"/>
          </w:tcPr>
          <w:p w14:paraId="75688A1E">
            <w:pPr>
              <w:pStyle w:val="14"/>
            </w:pPr>
            <w:r>
              <w:t>291.83</w:t>
            </w:r>
          </w:p>
        </w:tc>
        <w:tc>
          <w:tcPr>
            <w:tcW w:w="2551" w:type="dxa"/>
            <w:vAlign w:val="center"/>
          </w:tcPr>
          <w:p w14:paraId="0A53ED7F">
            <w:pPr>
              <w:pStyle w:val="14"/>
            </w:pPr>
          </w:p>
        </w:tc>
      </w:tr>
      <w:tr w14:paraId="3651B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5C867">
            <w:pPr>
              <w:pStyle w:val="12"/>
            </w:pPr>
            <w:r>
              <w:t>6</w:t>
            </w:r>
          </w:p>
        </w:tc>
        <w:tc>
          <w:tcPr>
            <w:tcW w:w="1191" w:type="dxa"/>
            <w:vAlign w:val="center"/>
          </w:tcPr>
          <w:p w14:paraId="14A3453D">
            <w:pPr>
              <w:pStyle w:val="13"/>
            </w:pPr>
            <w:r>
              <w:t>30108</w:t>
            </w:r>
          </w:p>
        </w:tc>
        <w:tc>
          <w:tcPr>
            <w:tcW w:w="4535" w:type="dxa"/>
            <w:vAlign w:val="center"/>
          </w:tcPr>
          <w:p w14:paraId="39E8EFC4">
            <w:pPr>
              <w:pStyle w:val="13"/>
            </w:pPr>
            <w:r>
              <w:t>机关事业单位基本养老保险缴费</w:t>
            </w:r>
          </w:p>
        </w:tc>
        <w:tc>
          <w:tcPr>
            <w:tcW w:w="2551" w:type="dxa"/>
            <w:vAlign w:val="center"/>
          </w:tcPr>
          <w:p w14:paraId="33C946DF">
            <w:pPr>
              <w:pStyle w:val="14"/>
            </w:pPr>
            <w:r>
              <w:t>116.41</w:t>
            </w:r>
          </w:p>
        </w:tc>
        <w:tc>
          <w:tcPr>
            <w:tcW w:w="2551" w:type="dxa"/>
            <w:vAlign w:val="center"/>
          </w:tcPr>
          <w:p w14:paraId="6076A6D5">
            <w:pPr>
              <w:pStyle w:val="14"/>
            </w:pPr>
            <w:r>
              <w:t>116.41</w:t>
            </w:r>
          </w:p>
        </w:tc>
        <w:tc>
          <w:tcPr>
            <w:tcW w:w="2551" w:type="dxa"/>
            <w:vAlign w:val="center"/>
          </w:tcPr>
          <w:p w14:paraId="273AD634">
            <w:pPr>
              <w:pStyle w:val="14"/>
            </w:pPr>
          </w:p>
        </w:tc>
      </w:tr>
      <w:tr w14:paraId="55AA2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13247">
            <w:pPr>
              <w:pStyle w:val="12"/>
            </w:pPr>
            <w:r>
              <w:t>7</w:t>
            </w:r>
          </w:p>
        </w:tc>
        <w:tc>
          <w:tcPr>
            <w:tcW w:w="1191" w:type="dxa"/>
            <w:vAlign w:val="center"/>
          </w:tcPr>
          <w:p w14:paraId="29899B74">
            <w:pPr>
              <w:pStyle w:val="13"/>
            </w:pPr>
            <w:r>
              <w:t>30110</w:t>
            </w:r>
          </w:p>
        </w:tc>
        <w:tc>
          <w:tcPr>
            <w:tcW w:w="4535" w:type="dxa"/>
            <w:vAlign w:val="center"/>
          </w:tcPr>
          <w:p w14:paraId="24D62D6F">
            <w:pPr>
              <w:pStyle w:val="13"/>
            </w:pPr>
            <w:r>
              <w:t>职工基本医疗保险缴费</w:t>
            </w:r>
          </w:p>
        </w:tc>
        <w:tc>
          <w:tcPr>
            <w:tcW w:w="2551" w:type="dxa"/>
            <w:vAlign w:val="center"/>
          </w:tcPr>
          <w:p w14:paraId="22F2BF97">
            <w:pPr>
              <w:pStyle w:val="14"/>
            </w:pPr>
            <w:r>
              <w:t>53.24</w:t>
            </w:r>
          </w:p>
        </w:tc>
        <w:tc>
          <w:tcPr>
            <w:tcW w:w="2551" w:type="dxa"/>
            <w:vAlign w:val="center"/>
          </w:tcPr>
          <w:p w14:paraId="751CF666">
            <w:pPr>
              <w:pStyle w:val="14"/>
            </w:pPr>
            <w:r>
              <w:t>53.24</w:t>
            </w:r>
          </w:p>
        </w:tc>
        <w:tc>
          <w:tcPr>
            <w:tcW w:w="2551" w:type="dxa"/>
            <w:vAlign w:val="center"/>
          </w:tcPr>
          <w:p w14:paraId="0CCFF09B">
            <w:pPr>
              <w:pStyle w:val="14"/>
            </w:pPr>
          </w:p>
        </w:tc>
      </w:tr>
      <w:tr w14:paraId="605DE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216EB">
            <w:pPr>
              <w:pStyle w:val="12"/>
            </w:pPr>
            <w:r>
              <w:t>8</w:t>
            </w:r>
          </w:p>
        </w:tc>
        <w:tc>
          <w:tcPr>
            <w:tcW w:w="1191" w:type="dxa"/>
            <w:vAlign w:val="center"/>
          </w:tcPr>
          <w:p w14:paraId="713FB826">
            <w:pPr>
              <w:pStyle w:val="13"/>
            </w:pPr>
            <w:r>
              <w:t>30112</w:t>
            </w:r>
          </w:p>
        </w:tc>
        <w:tc>
          <w:tcPr>
            <w:tcW w:w="4535" w:type="dxa"/>
            <w:vAlign w:val="center"/>
          </w:tcPr>
          <w:p w14:paraId="1E025A9E">
            <w:pPr>
              <w:pStyle w:val="13"/>
            </w:pPr>
            <w:r>
              <w:t>其他社会保障缴费</w:t>
            </w:r>
          </w:p>
        </w:tc>
        <w:tc>
          <w:tcPr>
            <w:tcW w:w="2551" w:type="dxa"/>
            <w:vAlign w:val="center"/>
          </w:tcPr>
          <w:p w14:paraId="678354C2">
            <w:pPr>
              <w:pStyle w:val="14"/>
            </w:pPr>
            <w:r>
              <w:t>3.64</w:t>
            </w:r>
          </w:p>
        </w:tc>
        <w:tc>
          <w:tcPr>
            <w:tcW w:w="2551" w:type="dxa"/>
            <w:vAlign w:val="center"/>
          </w:tcPr>
          <w:p w14:paraId="7BCFEC07">
            <w:pPr>
              <w:pStyle w:val="14"/>
            </w:pPr>
            <w:r>
              <w:t>3.64</w:t>
            </w:r>
          </w:p>
        </w:tc>
        <w:tc>
          <w:tcPr>
            <w:tcW w:w="2551" w:type="dxa"/>
            <w:vAlign w:val="center"/>
          </w:tcPr>
          <w:p w14:paraId="227A093F">
            <w:pPr>
              <w:pStyle w:val="14"/>
            </w:pPr>
          </w:p>
        </w:tc>
      </w:tr>
      <w:tr w14:paraId="352A3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E6D87">
            <w:pPr>
              <w:pStyle w:val="12"/>
            </w:pPr>
            <w:r>
              <w:t>9</w:t>
            </w:r>
          </w:p>
        </w:tc>
        <w:tc>
          <w:tcPr>
            <w:tcW w:w="1191" w:type="dxa"/>
            <w:vAlign w:val="center"/>
          </w:tcPr>
          <w:p w14:paraId="529C82AB">
            <w:pPr>
              <w:pStyle w:val="13"/>
            </w:pPr>
            <w:r>
              <w:t>30113</w:t>
            </w:r>
          </w:p>
        </w:tc>
        <w:tc>
          <w:tcPr>
            <w:tcW w:w="4535" w:type="dxa"/>
            <w:vAlign w:val="center"/>
          </w:tcPr>
          <w:p w14:paraId="3A95CEA4">
            <w:pPr>
              <w:pStyle w:val="13"/>
            </w:pPr>
            <w:r>
              <w:t>住房公积金</w:t>
            </w:r>
          </w:p>
        </w:tc>
        <w:tc>
          <w:tcPr>
            <w:tcW w:w="2551" w:type="dxa"/>
            <w:vAlign w:val="center"/>
          </w:tcPr>
          <w:p w14:paraId="68B9A5F9">
            <w:pPr>
              <w:pStyle w:val="14"/>
            </w:pPr>
            <w:r>
              <w:t>90.44</w:t>
            </w:r>
          </w:p>
        </w:tc>
        <w:tc>
          <w:tcPr>
            <w:tcW w:w="2551" w:type="dxa"/>
            <w:vAlign w:val="center"/>
          </w:tcPr>
          <w:p w14:paraId="5442E0DB">
            <w:pPr>
              <w:pStyle w:val="14"/>
            </w:pPr>
            <w:r>
              <w:t>90.44</w:t>
            </w:r>
          </w:p>
        </w:tc>
        <w:tc>
          <w:tcPr>
            <w:tcW w:w="2551" w:type="dxa"/>
            <w:vAlign w:val="center"/>
          </w:tcPr>
          <w:p w14:paraId="3A48E7F0">
            <w:pPr>
              <w:pStyle w:val="14"/>
            </w:pPr>
          </w:p>
        </w:tc>
      </w:tr>
      <w:tr w14:paraId="629B2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CBAF1">
            <w:pPr>
              <w:pStyle w:val="12"/>
            </w:pPr>
            <w:r>
              <w:t>10</w:t>
            </w:r>
          </w:p>
        </w:tc>
        <w:tc>
          <w:tcPr>
            <w:tcW w:w="1191" w:type="dxa"/>
            <w:vAlign w:val="center"/>
          </w:tcPr>
          <w:p w14:paraId="22CD35B4">
            <w:pPr>
              <w:pStyle w:val="13"/>
            </w:pPr>
            <w:r>
              <w:t>303</w:t>
            </w:r>
          </w:p>
        </w:tc>
        <w:tc>
          <w:tcPr>
            <w:tcW w:w="4535" w:type="dxa"/>
            <w:vAlign w:val="center"/>
          </w:tcPr>
          <w:p w14:paraId="7FFE5C47">
            <w:pPr>
              <w:pStyle w:val="13"/>
            </w:pPr>
            <w:r>
              <w:t>对个人和家庭的补助</w:t>
            </w:r>
          </w:p>
        </w:tc>
        <w:tc>
          <w:tcPr>
            <w:tcW w:w="2551" w:type="dxa"/>
            <w:vAlign w:val="center"/>
          </w:tcPr>
          <w:p w14:paraId="12681418">
            <w:pPr>
              <w:pStyle w:val="14"/>
            </w:pPr>
            <w:r>
              <w:t>16.98</w:t>
            </w:r>
          </w:p>
        </w:tc>
        <w:tc>
          <w:tcPr>
            <w:tcW w:w="2551" w:type="dxa"/>
            <w:vAlign w:val="center"/>
          </w:tcPr>
          <w:p w14:paraId="1AF0EEB8">
            <w:pPr>
              <w:pStyle w:val="14"/>
            </w:pPr>
            <w:r>
              <w:t>16.98</w:t>
            </w:r>
          </w:p>
        </w:tc>
        <w:tc>
          <w:tcPr>
            <w:tcW w:w="2551" w:type="dxa"/>
            <w:vAlign w:val="center"/>
          </w:tcPr>
          <w:p w14:paraId="7623274F">
            <w:pPr>
              <w:pStyle w:val="14"/>
            </w:pPr>
          </w:p>
        </w:tc>
      </w:tr>
      <w:tr w14:paraId="2821C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CEDB832">
            <w:pPr>
              <w:pStyle w:val="12"/>
            </w:pPr>
            <w:r>
              <w:t>11</w:t>
            </w:r>
          </w:p>
        </w:tc>
        <w:tc>
          <w:tcPr>
            <w:tcW w:w="1191" w:type="dxa"/>
            <w:vAlign w:val="center"/>
          </w:tcPr>
          <w:p w14:paraId="448A6340">
            <w:pPr>
              <w:pStyle w:val="13"/>
            </w:pPr>
            <w:r>
              <w:t>30302</w:t>
            </w:r>
          </w:p>
        </w:tc>
        <w:tc>
          <w:tcPr>
            <w:tcW w:w="4535" w:type="dxa"/>
            <w:vAlign w:val="center"/>
          </w:tcPr>
          <w:p w14:paraId="74D1C6EF">
            <w:pPr>
              <w:pStyle w:val="13"/>
            </w:pPr>
            <w:r>
              <w:t>退休费</w:t>
            </w:r>
          </w:p>
        </w:tc>
        <w:tc>
          <w:tcPr>
            <w:tcW w:w="2551" w:type="dxa"/>
            <w:vAlign w:val="center"/>
          </w:tcPr>
          <w:p w14:paraId="52492CAF">
            <w:pPr>
              <w:pStyle w:val="14"/>
            </w:pPr>
            <w:r>
              <w:t>15.18</w:t>
            </w:r>
          </w:p>
        </w:tc>
        <w:tc>
          <w:tcPr>
            <w:tcW w:w="2551" w:type="dxa"/>
            <w:vAlign w:val="center"/>
          </w:tcPr>
          <w:p w14:paraId="02144023">
            <w:pPr>
              <w:pStyle w:val="14"/>
            </w:pPr>
            <w:r>
              <w:t>15.18</w:t>
            </w:r>
          </w:p>
        </w:tc>
        <w:tc>
          <w:tcPr>
            <w:tcW w:w="2551" w:type="dxa"/>
            <w:vAlign w:val="center"/>
          </w:tcPr>
          <w:p w14:paraId="06F15D0C">
            <w:pPr>
              <w:pStyle w:val="14"/>
            </w:pPr>
          </w:p>
        </w:tc>
      </w:tr>
      <w:tr w14:paraId="18F07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C59F0">
            <w:pPr>
              <w:pStyle w:val="12"/>
            </w:pPr>
            <w:r>
              <w:t>12</w:t>
            </w:r>
          </w:p>
        </w:tc>
        <w:tc>
          <w:tcPr>
            <w:tcW w:w="1191" w:type="dxa"/>
            <w:vAlign w:val="center"/>
          </w:tcPr>
          <w:p w14:paraId="37CA898A">
            <w:pPr>
              <w:pStyle w:val="13"/>
            </w:pPr>
            <w:r>
              <w:t>30305</w:t>
            </w:r>
          </w:p>
        </w:tc>
        <w:tc>
          <w:tcPr>
            <w:tcW w:w="4535" w:type="dxa"/>
            <w:vAlign w:val="center"/>
          </w:tcPr>
          <w:p w14:paraId="1412CBB3">
            <w:pPr>
              <w:pStyle w:val="13"/>
            </w:pPr>
            <w:r>
              <w:t>生活补助</w:t>
            </w:r>
          </w:p>
        </w:tc>
        <w:tc>
          <w:tcPr>
            <w:tcW w:w="2551" w:type="dxa"/>
            <w:vAlign w:val="center"/>
          </w:tcPr>
          <w:p w14:paraId="680EF988">
            <w:pPr>
              <w:pStyle w:val="14"/>
            </w:pPr>
            <w:r>
              <w:t>1.80</w:t>
            </w:r>
          </w:p>
        </w:tc>
        <w:tc>
          <w:tcPr>
            <w:tcW w:w="2551" w:type="dxa"/>
            <w:vAlign w:val="center"/>
          </w:tcPr>
          <w:p w14:paraId="1260CE08">
            <w:pPr>
              <w:pStyle w:val="14"/>
            </w:pPr>
            <w:r>
              <w:t>1.80</w:t>
            </w:r>
          </w:p>
        </w:tc>
        <w:tc>
          <w:tcPr>
            <w:tcW w:w="2551" w:type="dxa"/>
            <w:vAlign w:val="center"/>
          </w:tcPr>
          <w:p w14:paraId="7588D161">
            <w:pPr>
              <w:pStyle w:val="14"/>
            </w:pPr>
          </w:p>
        </w:tc>
      </w:tr>
    </w:tbl>
    <w:p w14:paraId="5F417B71">
      <w:pPr>
        <w:sectPr>
          <w:pgSz w:w="16840" w:h="11900" w:orient="landscape"/>
          <w:pgMar w:top="1361" w:right="1020" w:bottom="1134" w:left="1020" w:header="720" w:footer="720" w:gutter="0"/>
          <w:cols w:space="720" w:num="1"/>
        </w:sectPr>
      </w:pPr>
    </w:p>
    <w:p w14:paraId="4D341C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A2B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01E92D">
            <w:pPr>
              <w:pStyle w:val="8"/>
            </w:pPr>
            <w:r>
              <w:t>360009河北省隆尧县滏阳中学</w:t>
            </w:r>
          </w:p>
        </w:tc>
        <w:tc>
          <w:tcPr>
            <w:tcW w:w="2551" w:type="dxa"/>
            <w:tcBorders>
              <w:top w:val="single" w:color="FFFFFF" w:sz="6" w:space="0"/>
              <w:left w:val="single" w:color="FFFFFF" w:sz="6" w:space="0"/>
              <w:right w:val="single" w:color="FFFFFF" w:sz="6" w:space="0"/>
            </w:tcBorders>
            <w:vAlign w:val="center"/>
          </w:tcPr>
          <w:p w14:paraId="43A0EC5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7F1F5A">
            <w:pPr>
              <w:pStyle w:val="10"/>
            </w:pPr>
            <w:r>
              <w:t>单位：万元</w:t>
            </w:r>
          </w:p>
        </w:tc>
      </w:tr>
      <w:tr w14:paraId="284DF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3DF09">
            <w:pPr>
              <w:pStyle w:val="11"/>
            </w:pPr>
            <w:r>
              <w:t>序号</w:t>
            </w:r>
          </w:p>
        </w:tc>
        <w:tc>
          <w:tcPr>
            <w:tcW w:w="5726" w:type="dxa"/>
            <w:gridSpan w:val="2"/>
            <w:vAlign w:val="center"/>
          </w:tcPr>
          <w:p w14:paraId="742C857C">
            <w:pPr>
              <w:pStyle w:val="11"/>
            </w:pPr>
            <w:r>
              <w:t>功能分类科目</w:t>
            </w:r>
          </w:p>
        </w:tc>
        <w:tc>
          <w:tcPr>
            <w:tcW w:w="2551" w:type="dxa"/>
            <w:vMerge w:val="restart"/>
            <w:vAlign w:val="center"/>
          </w:tcPr>
          <w:p w14:paraId="7E2B20B3">
            <w:pPr>
              <w:pStyle w:val="11"/>
            </w:pPr>
            <w:r>
              <w:t>合计</w:t>
            </w:r>
          </w:p>
        </w:tc>
        <w:tc>
          <w:tcPr>
            <w:tcW w:w="2551" w:type="dxa"/>
            <w:vMerge w:val="restart"/>
            <w:vAlign w:val="center"/>
          </w:tcPr>
          <w:p w14:paraId="0017783F">
            <w:pPr>
              <w:pStyle w:val="11"/>
            </w:pPr>
            <w:r>
              <w:t>基本支出</w:t>
            </w:r>
          </w:p>
        </w:tc>
        <w:tc>
          <w:tcPr>
            <w:tcW w:w="2551" w:type="dxa"/>
            <w:vMerge w:val="restart"/>
            <w:vAlign w:val="center"/>
          </w:tcPr>
          <w:p w14:paraId="6C20FA14">
            <w:pPr>
              <w:pStyle w:val="11"/>
            </w:pPr>
            <w:r>
              <w:t>项目支出</w:t>
            </w:r>
          </w:p>
        </w:tc>
      </w:tr>
      <w:tr w14:paraId="239CF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3A7AD1"/>
        </w:tc>
        <w:tc>
          <w:tcPr>
            <w:tcW w:w="1191" w:type="dxa"/>
            <w:vAlign w:val="center"/>
          </w:tcPr>
          <w:p w14:paraId="711686D2">
            <w:pPr>
              <w:pStyle w:val="11"/>
            </w:pPr>
            <w:r>
              <w:t>科目编码</w:t>
            </w:r>
          </w:p>
        </w:tc>
        <w:tc>
          <w:tcPr>
            <w:tcW w:w="4535" w:type="dxa"/>
            <w:vAlign w:val="center"/>
          </w:tcPr>
          <w:p w14:paraId="382E3306">
            <w:pPr>
              <w:pStyle w:val="11"/>
            </w:pPr>
            <w:r>
              <w:t>科目名称</w:t>
            </w:r>
          </w:p>
        </w:tc>
        <w:tc>
          <w:tcPr>
            <w:tcW w:w="2551" w:type="dxa"/>
            <w:vMerge w:val="continue"/>
          </w:tcPr>
          <w:p w14:paraId="16A7B99C"/>
        </w:tc>
        <w:tc>
          <w:tcPr>
            <w:tcW w:w="2551" w:type="dxa"/>
            <w:vMerge w:val="continue"/>
          </w:tcPr>
          <w:p w14:paraId="27DB479B"/>
        </w:tc>
        <w:tc>
          <w:tcPr>
            <w:tcW w:w="2551" w:type="dxa"/>
            <w:vMerge w:val="continue"/>
          </w:tcPr>
          <w:p w14:paraId="2D253290"/>
        </w:tc>
      </w:tr>
      <w:tr w14:paraId="2F9B9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5E2E83">
            <w:pPr>
              <w:pStyle w:val="11"/>
            </w:pPr>
            <w:r>
              <w:t>栏次</w:t>
            </w:r>
          </w:p>
        </w:tc>
        <w:tc>
          <w:tcPr>
            <w:tcW w:w="1191" w:type="dxa"/>
            <w:vAlign w:val="center"/>
          </w:tcPr>
          <w:p w14:paraId="50777825">
            <w:pPr>
              <w:pStyle w:val="11"/>
            </w:pPr>
            <w:r>
              <w:t>1</w:t>
            </w:r>
          </w:p>
        </w:tc>
        <w:tc>
          <w:tcPr>
            <w:tcW w:w="4535" w:type="dxa"/>
            <w:vAlign w:val="center"/>
          </w:tcPr>
          <w:p w14:paraId="158E3FA8">
            <w:pPr>
              <w:pStyle w:val="11"/>
            </w:pPr>
            <w:r>
              <w:t>2</w:t>
            </w:r>
          </w:p>
        </w:tc>
        <w:tc>
          <w:tcPr>
            <w:tcW w:w="2551" w:type="dxa"/>
            <w:vAlign w:val="center"/>
          </w:tcPr>
          <w:p w14:paraId="03D75C32">
            <w:pPr>
              <w:pStyle w:val="11"/>
            </w:pPr>
            <w:r>
              <w:t>3</w:t>
            </w:r>
          </w:p>
        </w:tc>
        <w:tc>
          <w:tcPr>
            <w:tcW w:w="2551" w:type="dxa"/>
            <w:vAlign w:val="center"/>
          </w:tcPr>
          <w:p w14:paraId="214494C7">
            <w:pPr>
              <w:pStyle w:val="11"/>
            </w:pPr>
            <w:r>
              <w:t>4</w:t>
            </w:r>
          </w:p>
        </w:tc>
        <w:tc>
          <w:tcPr>
            <w:tcW w:w="2551" w:type="dxa"/>
            <w:vAlign w:val="center"/>
          </w:tcPr>
          <w:p w14:paraId="23F5048C">
            <w:pPr>
              <w:pStyle w:val="11"/>
            </w:pPr>
            <w:r>
              <w:t>5</w:t>
            </w:r>
          </w:p>
        </w:tc>
      </w:tr>
      <w:tr w14:paraId="18DA3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0F81F">
            <w:pPr>
              <w:pStyle w:val="12"/>
            </w:pPr>
          </w:p>
        </w:tc>
        <w:tc>
          <w:tcPr>
            <w:tcW w:w="1191" w:type="dxa"/>
            <w:vAlign w:val="center"/>
          </w:tcPr>
          <w:p w14:paraId="53E5E282">
            <w:pPr>
              <w:pStyle w:val="13"/>
            </w:pPr>
          </w:p>
        </w:tc>
        <w:tc>
          <w:tcPr>
            <w:tcW w:w="4535" w:type="dxa"/>
            <w:vAlign w:val="center"/>
          </w:tcPr>
          <w:p w14:paraId="0341A6FA">
            <w:pPr>
              <w:pStyle w:val="13"/>
            </w:pPr>
          </w:p>
        </w:tc>
        <w:tc>
          <w:tcPr>
            <w:tcW w:w="2551" w:type="dxa"/>
            <w:vAlign w:val="center"/>
          </w:tcPr>
          <w:p w14:paraId="2D7358A7">
            <w:pPr>
              <w:pStyle w:val="14"/>
            </w:pPr>
          </w:p>
        </w:tc>
        <w:tc>
          <w:tcPr>
            <w:tcW w:w="2551" w:type="dxa"/>
            <w:vAlign w:val="center"/>
          </w:tcPr>
          <w:p w14:paraId="54C9F78B">
            <w:pPr>
              <w:pStyle w:val="14"/>
            </w:pPr>
          </w:p>
        </w:tc>
        <w:tc>
          <w:tcPr>
            <w:tcW w:w="2551" w:type="dxa"/>
            <w:vAlign w:val="center"/>
          </w:tcPr>
          <w:p w14:paraId="2A9A45D9">
            <w:pPr>
              <w:pStyle w:val="14"/>
            </w:pPr>
          </w:p>
        </w:tc>
      </w:tr>
    </w:tbl>
    <w:p w14:paraId="4EEF7F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BE8B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E1E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81BAA9">
            <w:pPr>
              <w:pStyle w:val="8"/>
            </w:pPr>
            <w:r>
              <w:t>360009河北省隆尧县滏阳中学</w:t>
            </w:r>
          </w:p>
        </w:tc>
        <w:tc>
          <w:tcPr>
            <w:tcW w:w="2551" w:type="dxa"/>
            <w:tcBorders>
              <w:top w:val="single" w:color="FFFFFF" w:sz="6" w:space="0"/>
              <w:left w:val="single" w:color="FFFFFF" w:sz="6" w:space="0"/>
              <w:right w:val="single" w:color="FFFFFF" w:sz="6" w:space="0"/>
            </w:tcBorders>
            <w:vAlign w:val="center"/>
          </w:tcPr>
          <w:p w14:paraId="6FAB2E6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8762995">
            <w:pPr>
              <w:pStyle w:val="10"/>
            </w:pPr>
            <w:r>
              <w:t>单位：万元</w:t>
            </w:r>
          </w:p>
        </w:tc>
      </w:tr>
      <w:tr w14:paraId="07D8F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74DA14">
            <w:pPr>
              <w:pStyle w:val="11"/>
            </w:pPr>
            <w:r>
              <w:t>序号</w:t>
            </w:r>
          </w:p>
        </w:tc>
        <w:tc>
          <w:tcPr>
            <w:tcW w:w="5726" w:type="dxa"/>
            <w:gridSpan w:val="2"/>
            <w:vAlign w:val="center"/>
          </w:tcPr>
          <w:p w14:paraId="066F886D">
            <w:pPr>
              <w:pStyle w:val="11"/>
            </w:pPr>
            <w:r>
              <w:t>功能分类科目</w:t>
            </w:r>
          </w:p>
        </w:tc>
        <w:tc>
          <w:tcPr>
            <w:tcW w:w="2551" w:type="dxa"/>
            <w:vMerge w:val="restart"/>
            <w:vAlign w:val="center"/>
          </w:tcPr>
          <w:p w14:paraId="59DCBE37">
            <w:pPr>
              <w:pStyle w:val="11"/>
            </w:pPr>
            <w:r>
              <w:t>合计</w:t>
            </w:r>
          </w:p>
        </w:tc>
        <w:tc>
          <w:tcPr>
            <w:tcW w:w="2551" w:type="dxa"/>
            <w:vMerge w:val="restart"/>
            <w:vAlign w:val="center"/>
          </w:tcPr>
          <w:p w14:paraId="2ABCBE22">
            <w:pPr>
              <w:pStyle w:val="11"/>
            </w:pPr>
            <w:r>
              <w:t>基本支出</w:t>
            </w:r>
          </w:p>
        </w:tc>
        <w:tc>
          <w:tcPr>
            <w:tcW w:w="2551" w:type="dxa"/>
            <w:vMerge w:val="restart"/>
            <w:vAlign w:val="center"/>
          </w:tcPr>
          <w:p w14:paraId="27A81581">
            <w:pPr>
              <w:pStyle w:val="11"/>
            </w:pPr>
            <w:r>
              <w:t>项目支出</w:t>
            </w:r>
          </w:p>
        </w:tc>
      </w:tr>
      <w:tr w14:paraId="3F727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A3B56E"/>
        </w:tc>
        <w:tc>
          <w:tcPr>
            <w:tcW w:w="1191" w:type="dxa"/>
            <w:vAlign w:val="center"/>
          </w:tcPr>
          <w:p w14:paraId="4834ECF8">
            <w:pPr>
              <w:pStyle w:val="11"/>
            </w:pPr>
            <w:r>
              <w:t>科目编码</w:t>
            </w:r>
          </w:p>
        </w:tc>
        <w:tc>
          <w:tcPr>
            <w:tcW w:w="4535" w:type="dxa"/>
            <w:vAlign w:val="center"/>
          </w:tcPr>
          <w:p w14:paraId="46B96285">
            <w:pPr>
              <w:pStyle w:val="11"/>
            </w:pPr>
            <w:r>
              <w:t>科目名称</w:t>
            </w:r>
          </w:p>
        </w:tc>
        <w:tc>
          <w:tcPr>
            <w:tcW w:w="2551" w:type="dxa"/>
            <w:vMerge w:val="continue"/>
          </w:tcPr>
          <w:p w14:paraId="07DA3A99"/>
        </w:tc>
        <w:tc>
          <w:tcPr>
            <w:tcW w:w="2551" w:type="dxa"/>
            <w:vMerge w:val="continue"/>
          </w:tcPr>
          <w:p w14:paraId="759A323A"/>
        </w:tc>
        <w:tc>
          <w:tcPr>
            <w:tcW w:w="2551" w:type="dxa"/>
            <w:vMerge w:val="continue"/>
          </w:tcPr>
          <w:p w14:paraId="2BAC7893"/>
        </w:tc>
      </w:tr>
      <w:tr w14:paraId="1A7AF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7BA47">
            <w:pPr>
              <w:pStyle w:val="11"/>
            </w:pPr>
            <w:r>
              <w:t>栏次</w:t>
            </w:r>
          </w:p>
        </w:tc>
        <w:tc>
          <w:tcPr>
            <w:tcW w:w="1191" w:type="dxa"/>
            <w:vAlign w:val="center"/>
          </w:tcPr>
          <w:p w14:paraId="0DC1819B">
            <w:pPr>
              <w:pStyle w:val="11"/>
            </w:pPr>
            <w:r>
              <w:t>1</w:t>
            </w:r>
          </w:p>
        </w:tc>
        <w:tc>
          <w:tcPr>
            <w:tcW w:w="4535" w:type="dxa"/>
            <w:vAlign w:val="center"/>
          </w:tcPr>
          <w:p w14:paraId="3F531BAF">
            <w:pPr>
              <w:pStyle w:val="11"/>
            </w:pPr>
            <w:r>
              <w:t>2</w:t>
            </w:r>
          </w:p>
        </w:tc>
        <w:tc>
          <w:tcPr>
            <w:tcW w:w="2551" w:type="dxa"/>
            <w:vAlign w:val="center"/>
          </w:tcPr>
          <w:p w14:paraId="52D39490">
            <w:pPr>
              <w:pStyle w:val="11"/>
            </w:pPr>
            <w:r>
              <w:t>3</w:t>
            </w:r>
          </w:p>
        </w:tc>
        <w:tc>
          <w:tcPr>
            <w:tcW w:w="2551" w:type="dxa"/>
            <w:vAlign w:val="center"/>
          </w:tcPr>
          <w:p w14:paraId="016BD5D4">
            <w:pPr>
              <w:pStyle w:val="11"/>
            </w:pPr>
            <w:r>
              <w:t>4</w:t>
            </w:r>
          </w:p>
        </w:tc>
        <w:tc>
          <w:tcPr>
            <w:tcW w:w="2551" w:type="dxa"/>
            <w:vAlign w:val="center"/>
          </w:tcPr>
          <w:p w14:paraId="53BDAA8C">
            <w:pPr>
              <w:pStyle w:val="11"/>
            </w:pPr>
            <w:r>
              <w:t>5</w:t>
            </w:r>
          </w:p>
        </w:tc>
      </w:tr>
      <w:tr w14:paraId="710B1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E95E5">
            <w:pPr>
              <w:pStyle w:val="12"/>
            </w:pPr>
          </w:p>
        </w:tc>
        <w:tc>
          <w:tcPr>
            <w:tcW w:w="1191" w:type="dxa"/>
            <w:vAlign w:val="center"/>
          </w:tcPr>
          <w:p w14:paraId="028FB169">
            <w:pPr>
              <w:pStyle w:val="13"/>
            </w:pPr>
          </w:p>
        </w:tc>
        <w:tc>
          <w:tcPr>
            <w:tcW w:w="4535" w:type="dxa"/>
            <w:vAlign w:val="center"/>
          </w:tcPr>
          <w:p w14:paraId="2125162A">
            <w:pPr>
              <w:pStyle w:val="13"/>
            </w:pPr>
          </w:p>
        </w:tc>
        <w:tc>
          <w:tcPr>
            <w:tcW w:w="2551" w:type="dxa"/>
            <w:vAlign w:val="center"/>
          </w:tcPr>
          <w:p w14:paraId="016F7958">
            <w:pPr>
              <w:pStyle w:val="14"/>
            </w:pPr>
          </w:p>
        </w:tc>
        <w:tc>
          <w:tcPr>
            <w:tcW w:w="2551" w:type="dxa"/>
            <w:vAlign w:val="center"/>
          </w:tcPr>
          <w:p w14:paraId="6C9A2EAD">
            <w:pPr>
              <w:pStyle w:val="14"/>
            </w:pPr>
          </w:p>
        </w:tc>
        <w:tc>
          <w:tcPr>
            <w:tcW w:w="2551" w:type="dxa"/>
            <w:vAlign w:val="center"/>
          </w:tcPr>
          <w:p w14:paraId="4EE1D2E9">
            <w:pPr>
              <w:pStyle w:val="14"/>
            </w:pPr>
          </w:p>
        </w:tc>
      </w:tr>
    </w:tbl>
    <w:p w14:paraId="65E3E9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4DC3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685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F4EB30">
            <w:pPr>
              <w:pStyle w:val="8"/>
            </w:pPr>
            <w:r>
              <w:t>360009河北省隆尧县滏阳中学</w:t>
            </w:r>
          </w:p>
        </w:tc>
        <w:tc>
          <w:tcPr>
            <w:tcW w:w="2381" w:type="dxa"/>
            <w:tcBorders>
              <w:top w:val="single" w:color="FFFFFF" w:sz="6" w:space="0"/>
              <w:left w:val="single" w:color="FFFFFF" w:sz="6" w:space="0"/>
              <w:right w:val="single" w:color="FFFFFF" w:sz="6" w:space="0"/>
            </w:tcBorders>
            <w:vAlign w:val="center"/>
          </w:tcPr>
          <w:p w14:paraId="5442081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05D94D3">
            <w:pPr>
              <w:pStyle w:val="10"/>
            </w:pPr>
            <w:r>
              <w:t>单位：万元</w:t>
            </w:r>
          </w:p>
        </w:tc>
      </w:tr>
      <w:tr w14:paraId="00838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1626CE">
            <w:pPr>
              <w:pStyle w:val="11"/>
            </w:pPr>
            <w:r>
              <w:t>序号</w:t>
            </w:r>
          </w:p>
        </w:tc>
        <w:tc>
          <w:tcPr>
            <w:tcW w:w="3798" w:type="dxa"/>
            <w:vMerge w:val="restart"/>
            <w:vAlign w:val="center"/>
          </w:tcPr>
          <w:p w14:paraId="60734C69">
            <w:pPr>
              <w:pStyle w:val="11"/>
            </w:pPr>
            <w:r>
              <w:t>项  目</w:t>
            </w:r>
          </w:p>
        </w:tc>
        <w:tc>
          <w:tcPr>
            <w:tcW w:w="9524" w:type="dxa"/>
            <w:gridSpan w:val="4"/>
            <w:vAlign w:val="center"/>
          </w:tcPr>
          <w:p w14:paraId="7B99F688">
            <w:pPr>
              <w:pStyle w:val="11"/>
            </w:pPr>
            <w:r>
              <w:t>资 金 性 质</w:t>
            </w:r>
          </w:p>
        </w:tc>
      </w:tr>
      <w:tr w14:paraId="4DE92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A45A54"/>
        </w:tc>
        <w:tc>
          <w:tcPr>
            <w:tcW w:w="3798" w:type="dxa"/>
            <w:vMerge w:val="continue"/>
          </w:tcPr>
          <w:p w14:paraId="4A35B768"/>
        </w:tc>
        <w:tc>
          <w:tcPr>
            <w:tcW w:w="2381" w:type="dxa"/>
            <w:vAlign w:val="center"/>
          </w:tcPr>
          <w:p w14:paraId="12A7DDC9">
            <w:pPr>
              <w:pStyle w:val="11"/>
            </w:pPr>
            <w:r>
              <w:t>合计</w:t>
            </w:r>
          </w:p>
        </w:tc>
        <w:tc>
          <w:tcPr>
            <w:tcW w:w="2381" w:type="dxa"/>
            <w:vAlign w:val="center"/>
          </w:tcPr>
          <w:p w14:paraId="78BE55F4">
            <w:pPr>
              <w:pStyle w:val="11"/>
            </w:pPr>
            <w:r>
              <w:t>一般公共预算              财政拨款</w:t>
            </w:r>
          </w:p>
        </w:tc>
        <w:tc>
          <w:tcPr>
            <w:tcW w:w="2381" w:type="dxa"/>
            <w:vAlign w:val="center"/>
          </w:tcPr>
          <w:p w14:paraId="5F027617">
            <w:pPr>
              <w:pStyle w:val="11"/>
            </w:pPr>
            <w:r>
              <w:t>政府性基金                  预算拨款</w:t>
            </w:r>
          </w:p>
        </w:tc>
        <w:tc>
          <w:tcPr>
            <w:tcW w:w="2381" w:type="dxa"/>
            <w:vAlign w:val="center"/>
          </w:tcPr>
          <w:p w14:paraId="2FA77690">
            <w:pPr>
              <w:pStyle w:val="11"/>
            </w:pPr>
            <w:r>
              <w:t>国有资本经营              预算财政拨款</w:t>
            </w:r>
          </w:p>
        </w:tc>
      </w:tr>
      <w:tr w14:paraId="0907C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153C76">
            <w:pPr>
              <w:pStyle w:val="11"/>
            </w:pPr>
            <w:r>
              <w:t>栏次</w:t>
            </w:r>
          </w:p>
        </w:tc>
        <w:tc>
          <w:tcPr>
            <w:tcW w:w="3798" w:type="dxa"/>
            <w:vAlign w:val="center"/>
          </w:tcPr>
          <w:p w14:paraId="337DE6D0">
            <w:pPr>
              <w:pStyle w:val="11"/>
            </w:pPr>
            <w:r>
              <w:t>1</w:t>
            </w:r>
          </w:p>
        </w:tc>
        <w:tc>
          <w:tcPr>
            <w:tcW w:w="2381" w:type="dxa"/>
            <w:vAlign w:val="center"/>
          </w:tcPr>
          <w:p w14:paraId="226AA564">
            <w:pPr>
              <w:pStyle w:val="11"/>
            </w:pPr>
            <w:r>
              <w:t>2</w:t>
            </w:r>
          </w:p>
        </w:tc>
        <w:tc>
          <w:tcPr>
            <w:tcW w:w="2381" w:type="dxa"/>
            <w:vAlign w:val="center"/>
          </w:tcPr>
          <w:p w14:paraId="08060572">
            <w:pPr>
              <w:pStyle w:val="11"/>
            </w:pPr>
            <w:r>
              <w:t>3</w:t>
            </w:r>
          </w:p>
        </w:tc>
        <w:tc>
          <w:tcPr>
            <w:tcW w:w="2381" w:type="dxa"/>
            <w:vAlign w:val="center"/>
          </w:tcPr>
          <w:p w14:paraId="63C458D1">
            <w:pPr>
              <w:pStyle w:val="11"/>
            </w:pPr>
            <w:r>
              <w:t>4</w:t>
            </w:r>
          </w:p>
        </w:tc>
        <w:tc>
          <w:tcPr>
            <w:tcW w:w="2381" w:type="dxa"/>
            <w:vAlign w:val="center"/>
          </w:tcPr>
          <w:p w14:paraId="5F536904">
            <w:pPr>
              <w:pStyle w:val="11"/>
            </w:pPr>
            <w:r>
              <w:t>5</w:t>
            </w:r>
          </w:p>
        </w:tc>
      </w:tr>
      <w:tr w14:paraId="7AE59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DBEEA9">
            <w:pPr>
              <w:pStyle w:val="12"/>
            </w:pPr>
          </w:p>
        </w:tc>
        <w:tc>
          <w:tcPr>
            <w:tcW w:w="3798" w:type="dxa"/>
            <w:vAlign w:val="center"/>
          </w:tcPr>
          <w:p w14:paraId="74D368B1">
            <w:pPr>
              <w:pStyle w:val="13"/>
            </w:pPr>
          </w:p>
        </w:tc>
        <w:tc>
          <w:tcPr>
            <w:tcW w:w="2381" w:type="dxa"/>
            <w:vAlign w:val="center"/>
          </w:tcPr>
          <w:p w14:paraId="6A3C0C7C">
            <w:pPr>
              <w:pStyle w:val="14"/>
            </w:pPr>
          </w:p>
        </w:tc>
        <w:tc>
          <w:tcPr>
            <w:tcW w:w="2381" w:type="dxa"/>
            <w:vAlign w:val="center"/>
          </w:tcPr>
          <w:p w14:paraId="1A4D2813">
            <w:pPr>
              <w:pStyle w:val="14"/>
            </w:pPr>
          </w:p>
        </w:tc>
        <w:tc>
          <w:tcPr>
            <w:tcW w:w="2381" w:type="dxa"/>
            <w:vAlign w:val="center"/>
          </w:tcPr>
          <w:p w14:paraId="6E050398">
            <w:pPr>
              <w:pStyle w:val="14"/>
            </w:pPr>
          </w:p>
        </w:tc>
        <w:tc>
          <w:tcPr>
            <w:tcW w:w="2381" w:type="dxa"/>
            <w:vAlign w:val="center"/>
          </w:tcPr>
          <w:p w14:paraId="0CB90D0C">
            <w:pPr>
              <w:pStyle w:val="14"/>
            </w:pPr>
          </w:p>
        </w:tc>
      </w:tr>
    </w:tbl>
    <w:p w14:paraId="04B2E02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E197182">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河北省隆尧县滏阳中学2025年单位预算信息公开情况说明</w:t>
      </w:r>
    </w:p>
    <w:p w14:paraId="521A336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按照《中华人民共和国预算法》、《地方预决算公开操作规程》和《关于进一步推进预算公开工作的实施意见》规定，现将河北省隆尧县滏阳中学2025年单位预算公开如下：</w:t>
      </w:r>
    </w:p>
    <w:p w14:paraId="5769D28F">
      <w:pPr>
        <w:spacing w:before="10" w:after="10" w:line="240" w:lineRule="auto"/>
        <w:ind w:firstLine="640"/>
        <w:jc w:val="left"/>
        <w:outlineLvl w:val="5"/>
      </w:pPr>
      <w:r>
        <w:rPr>
          <w:rFonts w:ascii="黑体" w:hAnsi="黑体" w:eastAsia="黑体" w:cs="黑体"/>
          <w:color w:val="000000"/>
          <w:sz w:val="32"/>
        </w:rPr>
        <w:t>一、单位职责及机构设置情况</w:t>
      </w:r>
    </w:p>
    <w:p w14:paraId="5D3C31B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7EAAB16">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2C3A5247">
      <w:pPr>
        <w:pStyle w:val="18"/>
      </w:pPr>
      <w:r>
        <w:t>河北省隆尧县滏阳中学事业编制名．其中，校长1名（正股级），副校长3名（副股级）；经费形式为财政性资金基本保证。</w:t>
      </w:r>
    </w:p>
    <w:p w14:paraId="35896DF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C2BAC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27FD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866D9D">
            <w:pPr>
              <w:pStyle w:val="11"/>
            </w:pPr>
            <w:r>
              <w:t>单位名称</w:t>
            </w:r>
          </w:p>
        </w:tc>
        <w:tc>
          <w:tcPr>
            <w:tcW w:w="1843" w:type="dxa"/>
            <w:vAlign w:val="center"/>
          </w:tcPr>
          <w:p w14:paraId="173977B1">
            <w:pPr>
              <w:pStyle w:val="11"/>
            </w:pPr>
            <w:r>
              <w:t>单位性质</w:t>
            </w:r>
          </w:p>
        </w:tc>
        <w:tc>
          <w:tcPr>
            <w:tcW w:w="2126" w:type="dxa"/>
            <w:vAlign w:val="center"/>
          </w:tcPr>
          <w:p w14:paraId="7FF71FAF">
            <w:pPr>
              <w:pStyle w:val="11"/>
            </w:pPr>
            <w:r>
              <w:t>单位规格</w:t>
            </w:r>
          </w:p>
        </w:tc>
        <w:tc>
          <w:tcPr>
            <w:tcW w:w="3827" w:type="dxa"/>
            <w:vAlign w:val="center"/>
          </w:tcPr>
          <w:p w14:paraId="5778C4AF">
            <w:pPr>
              <w:pStyle w:val="11"/>
            </w:pPr>
            <w:r>
              <w:t>经费保障形式</w:t>
            </w:r>
          </w:p>
        </w:tc>
      </w:tr>
      <w:tr w14:paraId="49259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3316246">
            <w:pPr>
              <w:pStyle w:val="13"/>
            </w:pPr>
            <w:r>
              <w:t>河北省隆尧县滏阳中学</w:t>
            </w:r>
          </w:p>
        </w:tc>
        <w:tc>
          <w:tcPr>
            <w:tcW w:w="1843" w:type="dxa"/>
            <w:vAlign w:val="center"/>
          </w:tcPr>
          <w:p w14:paraId="1AD7565A">
            <w:pPr>
              <w:pStyle w:val="12"/>
            </w:pPr>
            <w:r>
              <w:t>事业</w:t>
            </w:r>
          </w:p>
        </w:tc>
        <w:tc>
          <w:tcPr>
            <w:tcW w:w="2126" w:type="dxa"/>
            <w:vAlign w:val="center"/>
          </w:tcPr>
          <w:p w14:paraId="560BF221">
            <w:pPr>
              <w:pStyle w:val="12"/>
            </w:pPr>
            <w:r>
              <w:t>股级</w:t>
            </w:r>
          </w:p>
        </w:tc>
        <w:tc>
          <w:tcPr>
            <w:tcW w:w="3827" w:type="dxa"/>
            <w:vAlign w:val="center"/>
          </w:tcPr>
          <w:p w14:paraId="63A56E9F">
            <w:pPr>
              <w:pStyle w:val="12"/>
            </w:pPr>
            <w:r>
              <w:t>财政性资金基本保证</w:t>
            </w:r>
          </w:p>
        </w:tc>
      </w:tr>
    </w:tbl>
    <w:p w14:paraId="41F8C8C7">
      <w:pPr>
        <w:spacing w:before="10" w:after="10" w:line="240" w:lineRule="auto"/>
        <w:ind w:firstLine="640"/>
        <w:jc w:val="left"/>
        <w:outlineLvl w:val="5"/>
      </w:pPr>
      <w:r>
        <w:rPr>
          <w:rFonts w:ascii="黑体" w:hAnsi="黑体" w:eastAsia="黑体" w:cs="黑体"/>
          <w:color w:val="000000"/>
          <w:sz w:val="32"/>
        </w:rPr>
        <w:t>二、单位预算安排的总体情况</w:t>
      </w:r>
    </w:p>
    <w:p w14:paraId="117250F5">
      <w:pPr>
        <w:pStyle w:val="19"/>
      </w:pPr>
      <w:r>
        <w:t>按照预算管理有关规定，目前我校单位预算的编制实行综合预算管理，即全部收入和支出都反映的预算中。河北省隆尧县滏阳中学的收支包含在单位预算中。</w:t>
      </w:r>
    </w:p>
    <w:p w14:paraId="21488672">
      <w:pPr>
        <w:pStyle w:val="19"/>
      </w:pPr>
      <w:r>
        <w:t>1、收入说明</w:t>
      </w:r>
    </w:p>
    <w:p w14:paraId="60F93B60">
      <w:pPr>
        <w:pStyle w:val="19"/>
      </w:pPr>
      <w:r>
        <w:t>反映本单位当年全部收入。2025年预算收入1447.97万元，其中：一般公共预算收入1447.97万元，基金预算收入0万元，财政专户管理资金收入0万元，单位资金收入0万元，上年结转结余0万元。</w:t>
      </w:r>
    </w:p>
    <w:p w14:paraId="7FDE5DDA">
      <w:pPr>
        <w:pStyle w:val="19"/>
      </w:pPr>
      <w:r>
        <w:t>2、支出说明</w:t>
      </w:r>
    </w:p>
    <w:p w14:paraId="73F0960D">
      <w:pPr>
        <w:pStyle w:val="19"/>
      </w:pPr>
      <w:r>
        <w:t>收支预算总表支出栏、基本支出表、项目支出表按经济分类和支出功能分类科目编制，反映隆尧县滏阳中学年度单位预算中支出预算的总体情况。2025年单位支出预算为1447.97万元，其中基本支出1343.56万元、项目支出104.41万元。主要为初中教育1447.97万元，教育费附加安排的支出0万元。</w:t>
      </w:r>
    </w:p>
    <w:p w14:paraId="21C15BDF">
      <w:pPr>
        <w:pStyle w:val="19"/>
      </w:pPr>
      <w:r>
        <w:t>3、比上年增减情况</w:t>
      </w:r>
    </w:p>
    <w:p w14:paraId="133B7484">
      <w:pPr>
        <w:pStyle w:val="19"/>
      </w:pPr>
      <w:r>
        <w:t>2025年部门预算收支安排1447.97万元，较2024年增加179.86万元。主要是2025年我校有项目支出安排。</w:t>
      </w:r>
    </w:p>
    <w:p w14:paraId="0FF29EC2">
      <w:pPr>
        <w:spacing w:before="10" w:after="10" w:line="240" w:lineRule="auto"/>
        <w:ind w:firstLine="640"/>
        <w:jc w:val="left"/>
        <w:outlineLvl w:val="5"/>
      </w:pPr>
      <w:r>
        <w:rPr>
          <w:rFonts w:ascii="黑体" w:hAnsi="黑体" w:eastAsia="黑体" w:cs="黑体"/>
          <w:color w:val="000000"/>
          <w:sz w:val="32"/>
        </w:rPr>
        <w:t>三、机关运行经费安排情况</w:t>
      </w:r>
    </w:p>
    <w:p w14:paraId="2C380BDE">
      <w:pPr>
        <w:pStyle w:val="20"/>
      </w:pPr>
      <w:r>
        <w:t>2025年，我单位按学生安排公用经费，无机关运行经费。</w:t>
      </w:r>
    </w:p>
    <w:p w14:paraId="60CCD7A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561311B">
      <w:pPr>
        <w:pStyle w:val="21"/>
      </w:pPr>
      <w:r>
        <w:t>2025年，我单位未安排三公经费。</w:t>
      </w:r>
    </w:p>
    <w:p w14:paraId="70BD167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2157FF7">
      <w:pPr>
        <w:spacing w:before="0" w:after="0"/>
        <w:ind w:firstLine="560"/>
        <w:jc w:val="left"/>
        <w:outlineLvl w:val="9"/>
      </w:pPr>
      <w:r>
        <w:rPr>
          <w:rFonts w:ascii="方正仿宋_GBK" w:hAnsi="方正仿宋_GBK" w:eastAsia="方正仿宋_GBK" w:cs="方正仿宋_GBK"/>
          <w:b/>
          <w:color w:val="000000"/>
          <w:sz w:val="28"/>
        </w:rPr>
        <w:t>1、冀财教[2024]123号/中央/2025年义教补助经费/校舍安全保障/滏阳中学外墙维修改造绩效目标表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34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D2B18">
            <w:pPr>
              <w:pStyle w:val="14"/>
            </w:pPr>
            <w:r>
              <w:t>单位：万元</w:t>
            </w:r>
          </w:p>
        </w:tc>
      </w:tr>
      <w:tr w14:paraId="22A6C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C1C340">
            <w:pPr>
              <w:pStyle w:val="11"/>
            </w:pPr>
            <w:r>
              <w:t>项目编码</w:t>
            </w:r>
          </w:p>
        </w:tc>
        <w:tc>
          <w:tcPr>
            <w:tcW w:w="5103" w:type="dxa"/>
            <w:gridSpan w:val="2"/>
            <w:vAlign w:val="center"/>
          </w:tcPr>
          <w:p w14:paraId="7E7905B1">
            <w:pPr>
              <w:pStyle w:val="13"/>
            </w:pPr>
            <w:r>
              <w:t>13052525P00876210005W</w:t>
            </w:r>
          </w:p>
        </w:tc>
        <w:tc>
          <w:tcPr>
            <w:tcW w:w="2835" w:type="dxa"/>
            <w:vAlign w:val="center"/>
          </w:tcPr>
          <w:p w14:paraId="7578B1C2">
            <w:pPr>
              <w:pStyle w:val="11"/>
            </w:pPr>
            <w:r>
              <w:t>项目名称</w:t>
            </w:r>
          </w:p>
        </w:tc>
        <w:tc>
          <w:tcPr>
            <w:tcW w:w="6095" w:type="dxa"/>
            <w:gridSpan w:val="3"/>
            <w:vAlign w:val="center"/>
          </w:tcPr>
          <w:p w14:paraId="25F9DAC5">
            <w:pPr>
              <w:pStyle w:val="13"/>
            </w:pPr>
            <w:r>
              <w:t>冀财教[2024]123号/中央/2025年义教补助经费/校舍安全保障/滏阳中学外墙维修改造</w:t>
            </w:r>
          </w:p>
        </w:tc>
      </w:tr>
      <w:tr w14:paraId="3A7FD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B8E81">
            <w:pPr>
              <w:pStyle w:val="11"/>
            </w:pPr>
            <w:r>
              <w:t>预算规模及资金用途</w:t>
            </w:r>
          </w:p>
        </w:tc>
        <w:tc>
          <w:tcPr>
            <w:tcW w:w="2268" w:type="dxa"/>
            <w:vAlign w:val="center"/>
          </w:tcPr>
          <w:p w14:paraId="74968142">
            <w:pPr>
              <w:pStyle w:val="11"/>
            </w:pPr>
            <w:r>
              <w:t>预算数</w:t>
            </w:r>
          </w:p>
        </w:tc>
        <w:tc>
          <w:tcPr>
            <w:tcW w:w="2835" w:type="dxa"/>
            <w:vAlign w:val="center"/>
          </w:tcPr>
          <w:p w14:paraId="00F1B737">
            <w:pPr>
              <w:pStyle w:val="13"/>
            </w:pPr>
            <w:r>
              <w:t>13.40</w:t>
            </w:r>
          </w:p>
        </w:tc>
        <w:tc>
          <w:tcPr>
            <w:tcW w:w="2835" w:type="dxa"/>
            <w:vAlign w:val="center"/>
          </w:tcPr>
          <w:p w14:paraId="496B0A8F">
            <w:pPr>
              <w:pStyle w:val="11"/>
            </w:pPr>
            <w:r>
              <w:t>其中：财政    资金</w:t>
            </w:r>
          </w:p>
        </w:tc>
        <w:tc>
          <w:tcPr>
            <w:tcW w:w="2551" w:type="dxa"/>
            <w:vAlign w:val="center"/>
          </w:tcPr>
          <w:p w14:paraId="419F088E">
            <w:pPr>
              <w:pStyle w:val="13"/>
            </w:pPr>
            <w:r>
              <w:t>13.40</w:t>
            </w:r>
          </w:p>
        </w:tc>
        <w:tc>
          <w:tcPr>
            <w:tcW w:w="2268" w:type="dxa"/>
            <w:vAlign w:val="center"/>
          </w:tcPr>
          <w:p w14:paraId="6E3FE20C">
            <w:pPr>
              <w:pStyle w:val="11"/>
            </w:pPr>
            <w:r>
              <w:t>其他资金</w:t>
            </w:r>
          </w:p>
        </w:tc>
        <w:tc>
          <w:tcPr>
            <w:tcW w:w="1276" w:type="dxa"/>
            <w:vAlign w:val="center"/>
          </w:tcPr>
          <w:p w14:paraId="129FE8C1">
            <w:pPr>
              <w:pStyle w:val="13"/>
            </w:pPr>
            <w:r>
              <w:t xml:space="preserve"> </w:t>
            </w:r>
          </w:p>
        </w:tc>
      </w:tr>
      <w:tr w14:paraId="60727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55CB9"/>
        </w:tc>
        <w:tc>
          <w:tcPr>
            <w:tcW w:w="14033" w:type="dxa"/>
            <w:gridSpan w:val="6"/>
            <w:vAlign w:val="center"/>
          </w:tcPr>
          <w:p w14:paraId="63B763FB">
            <w:pPr>
              <w:pStyle w:val="13"/>
            </w:pPr>
            <w:r>
              <w:t>围墙维修粉刷</w:t>
            </w:r>
          </w:p>
        </w:tc>
      </w:tr>
      <w:tr w14:paraId="56E27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7DC9F">
            <w:pPr>
              <w:pStyle w:val="11"/>
            </w:pPr>
            <w:r>
              <w:t>资金支出计划（%）</w:t>
            </w:r>
          </w:p>
        </w:tc>
        <w:tc>
          <w:tcPr>
            <w:tcW w:w="5103" w:type="dxa"/>
            <w:gridSpan w:val="2"/>
            <w:vAlign w:val="center"/>
          </w:tcPr>
          <w:p w14:paraId="3D3C45AD">
            <w:pPr>
              <w:pStyle w:val="11"/>
            </w:pPr>
            <w:r>
              <w:t>3月底</w:t>
            </w:r>
          </w:p>
        </w:tc>
        <w:tc>
          <w:tcPr>
            <w:tcW w:w="2835" w:type="dxa"/>
            <w:vAlign w:val="center"/>
          </w:tcPr>
          <w:p w14:paraId="5FF1B9AF">
            <w:pPr>
              <w:pStyle w:val="11"/>
            </w:pPr>
            <w:r>
              <w:t>6月底</w:t>
            </w:r>
          </w:p>
        </w:tc>
        <w:tc>
          <w:tcPr>
            <w:tcW w:w="2551" w:type="dxa"/>
            <w:vAlign w:val="center"/>
          </w:tcPr>
          <w:p w14:paraId="48A18D07">
            <w:pPr>
              <w:pStyle w:val="11"/>
            </w:pPr>
            <w:r>
              <w:t>10月底</w:t>
            </w:r>
          </w:p>
        </w:tc>
        <w:tc>
          <w:tcPr>
            <w:tcW w:w="3544" w:type="dxa"/>
            <w:gridSpan w:val="2"/>
            <w:vAlign w:val="center"/>
          </w:tcPr>
          <w:p w14:paraId="0D81D869">
            <w:pPr>
              <w:pStyle w:val="11"/>
            </w:pPr>
            <w:r>
              <w:t>12月底</w:t>
            </w:r>
          </w:p>
        </w:tc>
      </w:tr>
      <w:tr w14:paraId="69192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73CFCC"/>
        </w:tc>
        <w:tc>
          <w:tcPr>
            <w:tcW w:w="5103" w:type="dxa"/>
            <w:gridSpan w:val="2"/>
            <w:vAlign w:val="center"/>
          </w:tcPr>
          <w:p w14:paraId="0195C46A">
            <w:pPr>
              <w:pStyle w:val="12"/>
            </w:pPr>
            <w:r>
              <w:t>25%</w:t>
            </w:r>
          </w:p>
        </w:tc>
        <w:tc>
          <w:tcPr>
            <w:tcW w:w="2835" w:type="dxa"/>
            <w:vAlign w:val="center"/>
          </w:tcPr>
          <w:p w14:paraId="5B20F211">
            <w:pPr>
              <w:pStyle w:val="12"/>
            </w:pPr>
            <w:r>
              <w:t>50%</w:t>
            </w:r>
          </w:p>
        </w:tc>
        <w:tc>
          <w:tcPr>
            <w:tcW w:w="2551" w:type="dxa"/>
            <w:vAlign w:val="center"/>
          </w:tcPr>
          <w:p w14:paraId="10313D70">
            <w:pPr>
              <w:pStyle w:val="12"/>
            </w:pPr>
            <w:r>
              <w:t>75%</w:t>
            </w:r>
          </w:p>
        </w:tc>
        <w:tc>
          <w:tcPr>
            <w:tcW w:w="3544" w:type="dxa"/>
            <w:gridSpan w:val="2"/>
            <w:vAlign w:val="center"/>
          </w:tcPr>
          <w:p w14:paraId="46EE8339">
            <w:pPr>
              <w:pStyle w:val="12"/>
            </w:pPr>
            <w:r>
              <w:t>100%</w:t>
            </w:r>
          </w:p>
        </w:tc>
      </w:tr>
      <w:tr w14:paraId="2B85F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62737">
            <w:pPr>
              <w:pStyle w:val="11"/>
            </w:pPr>
            <w:r>
              <w:t>绩效目标</w:t>
            </w:r>
          </w:p>
        </w:tc>
        <w:tc>
          <w:tcPr>
            <w:tcW w:w="14033" w:type="dxa"/>
            <w:gridSpan w:val="6"/>
            <w:vAlign w:val="center"/>
          </w:tcPr>
          <w:p w14:paraId="78AAE9E7">
            <w:pPr>
              <w:pStyle w:val="13"/>
            </w:pPr>
            <w:r>
              <w:t>1.改善义务教育办学条件，进一步提升教育教学办学质量</w:t>
            </w:r>
          </w:p>
        </w:tc>
      </w:tr>
    </w:tbl>
    <w:p w14:paraId="250618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14:paraId="6211F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759F685">
            <w:pPr>
              <w:pStyle w:val="11"/>
            </w:pPr>
            <w:r>
              <w:t>一级指标</w:t>
            </w:r>
          </w:p>
        </w:tc>
        <w:tc>
          <w:tcPr>
            <w:tcW w:w="2268" w:type="dxa"/>
            <w:vAlign w:val="center"/>
          </w:tcPr>
          <w:p w14:paraId="7EBAAE30">
            <w:pPr>
              <w:pStyle w:val="11"/>
            </w:pPr>
            <w:r>
              <w:t>二级指标</w:t>
            </w:r>
          </w:p>
        </w:tc>
        <w:tc>
          <w:tcPr>
            <w:tcW w:w="2835" w:type="dxa"/>
            <w:vAlign w:val="center"/>
          </w:tcPr>
          <w:p w14:paraId="4424928E">
            <w:pPr>
              <w:pStyle w:val="11"/>
            </w:pPr>
            <w:r>
              <w:t>三级指标</w:t>
            </w:r>
          </w:p>
        </w:tc>
        <w:tc>
          <w:tcPr>
            <w:tcW w:w="5386" w:type="dxa"/>
            <w:vAlign w:val="center"/>
          </w:tcPr>
          <w:p w14:paraId="6B701E00">
            <w:pPr>
              <w:pStyle w:val="11"/>
            </w:pPr>
            <w:r>
              <w:t>绩效指标描述</w:t>
            </w:r>
          </w:p>
        </w:tc>
        <w:tc>
          <w:tcPr>
            <w:tcW w:w="1793" w:type="dxa"/>
            <w:vAlign w:val="center"/>
          </w:tcPr>
          <w:p w14:paraId="38E7B839">
            <w:pPr>
              <w:pStyle w:val="11"/>
            </w:pPr>
            <w:r>
              <w:t>指标值</w:t>
            </w:r>
          </w:p>
        </w:tc>
        <w:tc>
          <w:tcPr>
            <w:tcW w:w="1751" w:type="dxa"/>
            <w:vAlign w:val="center"/>
          </w:tcPr>
          <w:p w14:paraId="50F2DBB3">
            <w:pPr>
              <w:pStyle w:val="11"/>
            </w:pPr>
            <w:r>
              <w:t>指标值确定依据</w:t>
            </w:r>
          </w:p>
        </w:tc>
      </w:tr>
      <w:tr w14:paraId="1CC9E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8BA99">
            <w:pPr>
              <w:pStyle w:val="12"/>
            </w:pPr>
            <w:r>
              <w:t>产出指标</w:t>
            </w:r>
          </w:p>
        </w:tc>
        <w:tc>
          <w:tcPr>
            <w:tcW w:w="2268" w:type="dxa"/>
            <w:vAlign w:val="center"/>
          </w:tcPr>
          <w:p w14:paraId="7BD986C4">
            <w:pPr>
              <w:pStyle w:val="13"/>
            </w:pPr>
            <w:r>
              <w:t>数量指标</w:t>
            </w:r>
          </w:p>
        </w:tc>
        <w:tc>
          <w:tcPr>
            <w:tcW w:w="2835" w:type="dxa"/>
            <w:vAlign w:val="center"/>
          </w:tcPr>
          <w:p w14:paraId="29D24700">
            <w:pPr>
              <w:pStyle w:val="13"/>
            </w:pPr>
            <w:r>
              <w:t>粉刷面积</w:t>
            </w:r>
          </w:p>
        </w:tc>
        <w:tc>
          <w:tcPr>
            <w:tcW w:w="5386" w:type="dxa"/>
            <w:vAlign w:val="center"/>
          </w:tcPr>
          <w:p w14:paraId="69632104">
            <w:pPr>
              <w:pStyle w:val="13"/>
            </w:pPr>
            <w:r>
              <w:t>达到合同标准</w:t>
            </w:r>
          </w:p>
        </w:tc>
        <w:tc>
          <w:tcPr>
            <w:tcW w:w="1793" w:type="dxa"/>
            <w:vAlign w:val="center"/>
          </w:tcPr>
          <w:p w14:paraId="1AF19255">
            <w:pPr>
              <w:pStyle w:val="13"/>
            </w:pPr>
            <w:r>
              <w:t>5360平方米</w:t>
            </w:r>
          </w:p>
        </w:tc>
        <w:tc>
          <w:tcPr>
            <w:tcW w:w="1751" w:type="dxa"/>
            <w:vAlign w:val="center"/>
          </w:tcPr>
          <w:p w14:paraId="17BE3859">
            <w:pPr>
              <w:pStyle w:val="13"/>
            </w:pPr>
            <w:r>
              <w:t>根据年度工作计划</w:t>
            </w:r>
          </w:p>
        </w:tc>
      </w:tr>
      <w:tr w14:paraId="7544A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F1638"/>
        </w:tc>
        <w:tc>
          <w:tcPr>
            <w:tcW w:w="2268" w:type="dxa"/>
            <w:vAlign w:val="center"/>
          </w:tcPr>
          <w:p w14:paraId="6DD56D45">
            <w:pPr>
              <w:pStyle w:val="13"/>
            </w:pPr>
            <w:r>
              <w:t>质量指标</w:t>
            </w:r>
          </w:p>
        </w:tc>
        <w:tc>
          <w:tcPr>
            <w:tcW w:w="2835" w:type="dxa"/>
            <w:vAlign w:val="center"/>
          </w:tcPr>
          <w:p w14:paraId="33CABA29">
            <w:pPr>
              <w:pStyle w:val="13"/>
            </w:pPr>
            <w:r>
              <w:t>工程实施验收合格率</w:t>
            </w:r>
          </w:p>
        </w:tc>
        <w:tc>
          <w:tcPr>
            <w:tcW w:w="5386" w:type="dxa"/>
            <w:vAlign w:val="center"/>
          </w:tcPr>
          <w:p w14:paraId="11FFD4E8">
            <w:pPr>
              <w:pStyle w:val="13"/>
            </w:pPr>
            <w:r>
              <w:t>申报程序合规</w:t>
            </w:r>
          </w:p>
        </w:tc>
        <w:tc>
          <w:tcPr>
            <w:tcW w:w="1793" w:type="dxa"/>
            <w:vAlign w:val="center"/>
          </w:tcPr>
          <w:p w14:paraId="49FCDA1F">
            <w:pPr>
              <w:pStyle w:val="13"/>
            </w:pPr>
            <w:r>
              <w:t>100%</w:t>
            </w:r>
          </w:p>
        </w:tc>
        <w:tc>
          <w:tcPr>
            <w:tcW w:w="1751" w:type="dxa"/>
            <w:vAlign w:val="center"/>
          </w:tcPr>
          <w:p w14:paraId="330073EE">
            <w:pPr>
              <w:pStyle w:val="13"/>
            </w:pPr>
            <w:r>
              <w:t>根据年度工作计划</w:t>
            </w:r>
          </w:p>
        </w:tc>
      </w:tr>
      <w:tr w14:paraId="09ABA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D4F85"/>
        </w:tc>
        <w:tc>
          <w:tcPr>
            <w:tcW w:w="2268" w:type="dxa"/>
            <w:vAlign w:val="center"/>
          </w:tcPr>
          <w:p w14:paraId="78A3408D">
            <w:pPr>
              <w:pStyle w:val="13"/>
            </w:pPr>
            <w:r>
              <w:t>时效指标</w:t>
            </w:r>
          </w:p>
        </w:tc>
        <w:tc>
          <w:tcPr>
            <w:tcW w:w="2835" w:type="dxa"/>
            <w:vAlign w:val="center"/>
          </w:tcPr>
          <w:p w14:paraId="228D73F5">
            <w:pPr>
              <w:pStyle w:val="13"/>
            </w:pPr>
            <w:r>
              <w:t>资金支付率</w:t>
            </w:r>
          </w:p>
        </w:tc>
        <w:tc>
          <w:tcPr>
            <w:tcW w:w="5386" w:type="dxa"/>
            <w:vAlign w:val="center"/>
          </w:tcPr>
          <w:p w14:paraId="621A8358">
            <w:pPr>
              <w:pStyle w:val="13"/>
            </w:pPr>
            <w:r>
              <w:t>按照进度完成资金支付</w:t>
            </w:r>
          </w:p>
        </w:tc>
        <w:tc>
          <w:tcPr>
            <w:tcW w:w="1793" w:type="dxa"/>
            <w:vAlign w:val="center"/>
          </w:tcPr>
          <w:p w14:paraId="192CDD92">
            <w:pPr>
              <w:pStyle w:val="13"/>
            </w:pPr>
            <w:r>
              <w:t>100%</w:t>
            </w:r>
          </w:p>
        </w:tc>
        <w:tc>
          <w:tcPr>
            <w:tcW w:w="1751" w:type="dxa"/>
            <w:vAlign w:val="center"/>
          </w:tcPr>
          <w:p w14:paraId="399C9289">
            <w:pPr>
              <w:pStyle w:val="13"/>
            </w:pPr>
            <w:r>
              <w:t>根据年度工作计划</w:t>
            </w:r>
          </w:p>
        </w:tc>
      </w:tr>
      <w:tr w14:paraId="1D148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1AFF8"/>
        </w:tc>
        <w:tc>
          <w:tcPr>
            <w:tcW w:w="2268" w:type="dxa"/>
            <w:vAlign w:val="center"/>
          </w:tcPr>
          <w:p w14:paraId="24B779A1">
            <w:pPr>
              <w:pStyle w:val="13"/>
            </w:pPr>
            <w:r>
              <w:t>成本指标</w:t>
            </w:r>
          </w:p>
        </w:tc>
        <w:tc>
          <w:tcPr>
            <w:tcW w:w="2835" w:type="dxa"/>
            <w:vAlign w:val="center"/>
          </w:tcPr>
          <w:p w14:paraId="7265FDFD">
            <w:pPr>
              <w:pStyle w:val="13"/>
            </w:pPr>
            <w:r>
              <w:t>项目成本控制情况</w:t>
            </w:r>
          </w:p>
        </w:tc>
        <w:tc>
          <w:tcPr>
            <w:tcW w:w="5386" w:type="dxa"/>
            <w:vAlign w:val="center"/>
          </w:tcPr>
          <w:p w14:paraId="7CCE96D7">
            <w:pPr>
              <w:pStyle w:val="13"/>
            </w:pPr>
            <w:r>
              <w:t>支付金额</w:t>
            </w:r>
          </w:p>
        </w:tc>
        <w:tc>
          <w:tcPr>
            <w:tcW w:w="1793" w:type="dxa"/>
            <w:vAlign w:val="center"/>
          </w:tcPr>
          <w:p w14:paraId="6BE1A07D">
            <w:pPr>
              <w:pStyle w:val="13"/>
            </w:pPr>
            <w:r>
              <w:t>≤13.4万元</w:t>
            </w:r>
          </w:p>
        </w:tc>
        <w:tc>
          <w:tcPr>
            <w:tcW w:w="1751" w:type="dxa"/>
            <w:vAlign w:val="center"/>
          </w:tcPr>
          <w:p w14:paraId="6C2BD4E7">
            <w:pPr>
              <w:pStyle w:val="13"/>
            </w:pPr>
            <w:r>
              <w:t>根据年度工作计划</w:t>
            </w:r>
          </w:p>
        </w:tc>
      </w:tr>
      <w:tr w14:paraId="5B05D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FE8F4">
            <w:pPr>
              <w:pStyle w:val="12"/>
            </w:pPr>
            <w:r>
              <w:t>效益指标</w:t>
            </w:r>
          </w:p>
        </w:tc>
        <w:tc>
          <w:tcPr>
            <w:tcW w:w="2268" w:type="dxa"/>
            <w:vAlign w:val="center"/>
          </w:tcPr>
          <w:p w14:paraId="59963429">
            <w:pPr>
              <w:pStyle w:val="13"/>
            </w:pPr>
            <w:r>
              <w:t>社会效益指标</w:t>
            </w:r>
          </w:p>
        </w:tc>
        <w:tc>
          <w:tcPr>
            <w:tcW w:w="2835" w:type="dxa"/>
            <w:vAlign w:val="center"/>
          </w:tcPr>
          <w:p w14:paraId="11158C4F">
            <w:pPr>
              <w:pStyle w:val="13"/>
            </w:pPr>
            <w:r>
              <w:t>教育发展水平</w:t>
            </w:r>
          </w:p>
        </w:tc>
        <w:tc>
          <w:tcPr>
            <w:tcW w:w="5386" w:type="dxa"/>
            <w:vAlign w:val="center"/>
          </w:tcPr>
          <w:p w14:paraId="7B584FAF">
            <w:pPr>
              <w:pStyle w:val="13"/>
            </w:pPr>
            <w:r>
              <w:t>学生入学率</w:t>
            </w:r>
          </w:p>
        </w:tc>
        <w:tc>
          <w:tcPr>
            <w:tcW w:w="1793" w:type="dxa"/>
            <w:vAlign w:val="center"/>
          </w:tcPr>
          <w:p w14:paraId="51FE98C9">
            <w:pPr>
              <w:pStyle w:val="13"/>
            </w:pPr>
            <w:r>
              <w:t>100%</w:t>
            </w:r>
          </w:p>
        </w:tc>
        <w:tc>
          <w:tcPr>
            <w:tcW w:w="1751" w:type="dxa"/>
            <w:vAlign w:val="center"/>
          </w:tcPr>
          <w:p w14:paraId="42D37E54">
            <w:pPr>
              <w:pStyle w:val="13"/>
            </w:pPr>
            <w:r>
              <w:t>根据年度工作计划</w:t>
            </w:r>
          </w:p>
        </w:tc>
      </w:tr>
      <w:tr w14:paraId="7CE67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FAC63"/>
        </w:tc>
        <w:tc>
          <w:tcPr>
            <w:tcW w:w="2268" w:type="dxa"/>
            <w:vAlign w:val="center"/>
          </w:tcPr>
          <w:p w14:paraId="3E68E8F1">
            <w:pPr>
              <w:pStyle w:val="13"/>
            </w:pPr>
            <w:r>
              <w:t>可持续影响指标</w:t>
            </w:r>
          </w:p>
        </w:tc>
        <w:tc>
          <w:tcPr>
            <w:tcW w:w="2835" w:type="dxa"/>
            <w:vAlign w:val="center"/>
          </w:tcPr>
          <w:p w14:paraId="2E20EEEB">
            <w:pPr>
              <w:pStyle w:val="13"/>
            </w:pPr>
            <w:r>
              <w:t>学校、幼儿园、卫生室等基本公共</w:t>
            </w:r>
          </w:p>
        </w:tc>
        <w:tc>
          <w:tcPr>
            <w:tcW w:w="5386" w:type="dxa"/>
            <w:vAlign w:val="center"/>
          </w:tcPr>
          <w:p w14:paraId="1A147D4D">
            <w:pPr>
              <w:pStyle w:val="13"/>
            </w:pPr>
            <w:r>
              <w:t>学校、幼儿园、卫生室等基本公共服务设施使用年限</w:t>
            </w:r>
          </w:p>
        </w:tc>
        <w:tc>
          <w:tcPr>
            <w:tcW w:w="1793" w:type="dxa"/>
            <w:vAlign w:val="center"/>
          </w:tcPr>
          <w:p w14:paraId="4091A4BD">
            <w:pPr>
              <w:pStyle w:val="13"/>
            </w:pPr>
            <w:r>
              <w:t>≥98%</w:t>
            </w:r>
          </w:p>
        </w:tc>
        <w:tc>
          <w:tcPr>
            <w:tcW w:w="1751" w:type="dxa"/>
            <w:vAlign w:val="center"/>
          </w:tcPr>
          <w:p w14:paraId="7D3A6D58">
            <w:pPr>
              <w:pStyle w:val="13"/>
            </w:pPr>
            <w:r>
              <w:t>根据年度工作计划</w:t>
            </w:r>
          </w:p>
        </w:tc>
      </w:tr>
      <w:tr w14:paraId="79391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1AF0D"/>
        </w:tc>
        <w:tc>
          <w:tcPr>
            <w:tcW w:w="2268" w:type="dxa"/>
            <w:vAlign w:val="center"/>
          </w:tcPr>
          <w:p w14:paraId="10F3C09F">
            <w:pPr>
              <w:pStyle w:val="13"/>
            </w:pPr>
            <w:r>
              <w:t>生态效益指标</w:t>
            </w:r>
          </w:p>
        </w:tc>
        <w:tc>
          <w:tcPr>
            <w:tcW w:w="2835" w:type="dxa"/>
            <w:vAlign w:val="center"/>
          </w:tcPr>
          <w:p w14:paraId="3EFE0DD5">
            <w:pPr>
              <w:pStyle w:val="13"/>
            </w:pPr>
            <w:r>
              <w:t>对区域生态改善</w:t>
            </w:r>
          </w:p>
        </w:tc>
        <w:tc>
          <w:tcPr>
            <w:tcW w:w="5386" w:type="dxa"/>
            <w:vAlign w:val="center"/>
          </w:tcPr>
          <w:p w14:paraId="14144C13">
            <w:pPr>
              <w:pStyle w:val="13"/>
            </w:pPr>
            <w:r>
              <w:t>对区域生态改善</w:t>
            </w:r>
          </w:p>
        </w:tc>
        <w:tc>
          <w:tcPr>
            <w:tcW w:w="1793" w:type="dxa"/>
            <w:vAlign w:val="center"/>
          </w:tcPr>
          <w:p w14:paraId="006700FA">
            <w:pPr>
              <w:pStyle w:val="13"/>
            </w:pPr>
            <w:r>
              <w:t>≥98%</w:t>
            </w:r>
          </w:p>
        </w:tc>
        <w:tc>
          <w:tcPr>
            <w:tcW w:w="1751" w:type="dxa"/>
            <w:vAlign w:val="center"/>
          </w:tcPr>
          <w:p w14:paraId="3AA58D77">
            <w:pPr>
              <w:pStyle w:val="13"/>
            </w:pPr>
            <w:r>
              <w:t>根据年度工作计划</w:t>
            </w:r>
          </w:p>
        </w:tc>
      </w:tr>
      <w:tr w14:paraId="47D68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9D3DE"/>
        </w:tc>
        <w:tc>
          <w:tcPr>
            <w:tcW w:w="2268" w:type="dxa"/>
            <w:vAlign w:val="center"/>
          </w:tcPr>
          <w:p w14:paraId="55D17F89">
            <w:pPr>
              <w:pStyle w:val="13"/>
            </w:pPr>
            <w:r>
              <w:t>可持续影响指标</w:t>
            </w:r>
          </w:p>
        </w:tc>
        <w:tc>
          <w:tcPr>
            <w:tcW w:w="2835" w:type="dxa"/>
            <w:vAlign w:val="center"/>
          </w:tcPr>
          <w:p w14:paraId="056949DC">
            <w:pPr>
              <w:pStyle w:val="13"/>
            </w:pPr>
            <w:r>
              <w:t>学校、幼儿园、卫生室等基本公共</w:t>
            </w:r>
          </w:p>
        </w:tc>
        <w:tc>
          <w:tcPr>
            <w:tcW w:w="5386" w:type="dxa"/>
            <w:vAlign w:val="center"/>
          </w:tcPr>
          <w:p w14:paraId="191C48BC">
            <w:pPr>
              <w:pStyle w:val="13"/>
            </w:pPr>
            <w:r>
              <w:t>学校、幼儿园、卫生室等基本公共服务设施使用年限</w:t>
            </w:r>
          </w:p>
        </w:tc>
        <w:tc>
          <w:tcPr>
            <w:tcW w:w="1793" w:type="dxa"/>
            <w:vAlign w:val="center"/>
          </w:tcPr>
          <w:p w14:paraId="2EF7D04D">
            <w:pPr>
              <w:pStyle w:val="13"/>
            </w:pPr>
            <w:r>
              <w:t>≥98%</w:t>
            </w:r>
          </w:p>
        </w:tc>
        <w:tc>
          <w:tcPr>
            <w:tcW w:w="1751" w:type="dxa"/>
            <w:vAlign w:val="center"/>
          </w:tcPr>
          <w:p w14:paraId="6DE791C6">
            <w:pPr>
              <w:pStyle w:val="13"/>
            </w:pPr>
            <w:r>
              <w:t>根据年度工作计划</w:t>
            </w:r>
          </w:p>
        </w:tc>
      </w:tr>
      <w:tr w14:paraId="26634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7FA93D">
            <w:pPr>
              <w:pStyle w:val="12"/>
            </w:pPr>
            <w:r>
              <w:t>满意度指标</w:t>
            </w:r>
          </w:p>
        </w:tc>
        <w:tc>
          <w:tcPr>
            <w:tcW w:w="2268" w:type="dxa"/>
            <w:vAlign w:val="center"/>
          </w:tcPr>
          <w:p w14:paraId="199CDA8A">
            <w:pPr>
              <w:pStyle w:val="13"/>
            </w:pPr>
            <w:r>
              <w:t>服务对象满意度指标</w:t>
            </w:r>
          </w:p>
        </w:tc>
        <w:tc>
          <w:tcPr>
            <w:tcW w:w="2835" w:type="dxa"/>
            <w:vAlign w:val="center"/>
          </w:tcPr>
          <w:p w14:paraId="2EBF5D75">
            <w:pPr>
              <w:pStyle w:val="13"/>
            </w:pPr>
            <w:r>
              <w:t>人民群众满意度</w:t>
            </w:r>
          </w:p>
        </w:tc>
        <w:tc>
          <w:tcPr>
            <w:tcW w:w="5386" w:type="dxa"/>
            <w:vAlign w:val="center"/>
          </w:tcPr>
          <w:p w14:paraId="6666255A">
            <w:pPr>
              <w:pStyle w:val="13"/>
            </w:pPr>
            <w:r>
              <w:t>人民群众满意度</w:t>
            </w:r>
          </w:p>
        </w:tc>
        <w:tc>
          <w:tcPr>
            <w:tcW w:w="1793" w:type="dxa"/>
            <w:vAlign w:val="center"/>
          </w:tcPr>
          <w:p w14:paraId="6E1C6B7C">
            <w:pPr>
              <w:pStyle w:val="13"/>
            </w:pPr>
            <w:r>
              <w:t>≥98%</w:t>
            </w:r>
          </w:p>
        </w:tc>
        <w:tc>
          <w:tcPr>
            <w:tcW w:w="1751" w:type="dxa"/>
            <w:vAlign w:val="center"/>
          </w:tcPr>
          <w:p w14:paraId="5AC69A50">
            <w:pPr>
              <w:pStyle w:val="13"/>
            </w:pPr>
            <w:r>
              <w:t>调查问卷</w:t>
            </w:r>
          </w:p>
        </w:tc>
      </w:tr>
    </w:tbl>
    <w:p w14:paraId="0BB3D59E">
      <w:pPr>
        <w:sectPr>
          <w:pgSz w:w="16840" w:h="11900" w:orient="landscape"/>
          <w:pgMar w:top="1361" w:right="1020" w:bottom="1134" w:left="1020" w:header="720" w:footer="720" w:gutter="0"/>
          <w:cols w:space="720" w:num="1"/>
        </w:sectPr>
      </w:pPr>
    </w:p>
    <w:p w14:paraId="2EC382E6">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2、冀财教[2024]123号/中央/2025年义教补助经费/综合奖补/滏阳中学公用经费绩效目标表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99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EEF0A">
            <w:pPr>
              <w:pStyle w:val="14"/>
            </w:pPr>
            <w:r>
              <w:t>单位：万元</w:t>
            </w:r>
          </w:p>
        </w:tc>
      </w:tr>
      <w:tr w14:paraId="6ADBF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9C67D">
            <w:pPr>
              <w:pStyle w:val="11"/>
            </w:pPr>
            <w:r>
              <w:t>项目编码</w:t>
            </w:r>
          </w:p>
        </w:tc>
        <w:tc>
          <w:tcPr>
            <w:tcW w:w="5103" w:type="dxa"/>
            <w:gridSpan w:val="2"/>
            <w:vAlign w:val="center"/>
          </w:tcPr>
          <w:p w14:paraId="15C7BEBC">
            <w:pPr>
              <w:pStyle w:val="13"/>
            </w:pPr>
            <w:r>
              <w:t>13052525P00875610267D</w:t>
            </w:r>
          </w:p>
        </w:tc>
        <w:tc>
          <w:tcPr>
            <w:tcW w:w="2835" w:type="dxa"/>
            <w:vAlign w:val="center"/>
          </w:tcPr>
          <w:p w14:paraId="4318B7FD">
            <w:pPr>
              <w:pStyle w:val="11"/>
            </w:pPr>
            <w:r>
              <w:t>项目名称</w:t>
            </w:r>
          </w:p>
        </w:tc>
        <w:tc>
          <w:tcPr>
            <w:tcW w:w="6095" w:type="dxa"/>
            <w:gridSpan w:val="3"/>
            <w:vAlign w:val="center"/>
          </w:tcPr>
          <w:p w14:paraId="523E6DF2">
            <w:pPr>
              <w:pStyle w:val="13"/>
            </w:pPr>
            <w:r>
              <w:t>冀财教[2024]123号/中央/2025年义教补助经费/综合奖补/滏阳中学公用经费</w:t>
            </w:r>
          </w:p>
        </w:tc>
      </w:tr>
      <w:tr w14:paraId="3780D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BEE26">
            <w:pPr>
              <w:pStyle w:val="11"/>
            </w:pPr>
            <w:r>
              <w:t>预算规模及资金用途</w:t>
            </w:r>
          </w:p>
        </w:tc>
        <w:tc>
          <w:tcPr>
            <w:tcW w:w="2268" w:type="dxa"/>
            <w:vAlign w:val="center"/>
          </w:tcPr>
          <w:p w14:paraId="25E642FD">
            <w:pPr>
              <w:pStyle w:val="11"/>
            </w:pPr>
            <w:r>
              <w:t>预算数</w:t>
            </w:r>
          </w:p>
        </w:tc>
        <w:tc>
          <w:tcPr>
            <w:tcW w:w="2835" w:type="dxa"/>
            <w:vAlign w:val="center"/>
          </w:tcPr>
          <w:p w14:paraId="5462B7DE">
            <w:pPr>
              <w:pStyle w:val="13"/>
            </w:pPr>
            <w:r>
              <w:t>2.32</w:t>
            </w:r>
          </w:p>
        </w:tc>
        <w:tc>
          <w:tcPr>
            <w:tcW w:w="2835" w:type="dxa"/>
            <w:vAlign w:val="center"/>
          </w:tcPr>
          <w:p w14:paraId="4E79ABFE">
            <w:pPr>
              <w:pStyle w:val="11"/>
            </w:pPr>
            <w:r>
              <w:t>其中：财政    资金</w:t>
            </w:r>
          </w:p>
        </w:tc>
        <w:tc>
          <w:tcPr>
            <w:tcW w:w="2551" w:type="dxa"/>
            <w:vAlign w:val="center"/>
          </w:tcPr>
          <w:p w14:paraId="256BCEC1">
            <w:pPr>
              <w:pStyle w:val="13"/>
            </w:pPr>
            <w:r>
              <w:t>2.32</w:t>
            </w:r>
          </w:p>
        </w:tc>
        <w:tc>
          <w:tcPr>
            <w:tcW w:w="2268" w:type="dxa"/>
            <w:vAlign w:val="center"/>
          </w:tcPr>
          <w:p w14:paraId="2955308C">
            <w:pPr>
              <w:pStyle w:val="11"/>
            </w:pPr>
            <w:r>
              <w:t>其他资金</w:t>
            </w:r>
          </w:p>
        </w:tc>
        <w:tc>
          <w:tcPr>
            <w:tcW w:w="1276" w:type="dxa"/>
            <w:vAlign w:val="center"/>
          </w:tcPr>
          <w:p w14:paraId="6E7B44C1">
            <w:pPr>
              <w:pStyle w:val="13"/>
            </w:pPr>
            <w:r>
              <w:t xml:space="preserve"> </w:t>
            </w:r>
          </w:p>
        </w:tc>
      </w:tr>
      <w:tr w14:paraId="36E5E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1E47F8"/>
        </w:tc>
        <w:tc>
          <w:tcPr>
            <w:tcW w:w="14033" w:type="dxa"/>
            <w:gridSpan w:val="6"/>
            <w:vAlign w:val="center"/>
          </w:tcPr>
          <w:p w14:paraId="234AFF4E">
            <w:pPr>
              <w:pStyle w:val="13"/>
            </w:pPr>
            <w:r>
              <w:t>教师视频会议</w:t>
            </w:r>
          </w:p>
        </w:tc>
      </w:tr>
      <w:tr w14:paraId="4B343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47839">
            <w:pPr>
              <w:pStyle w:val="11"/>
            </w:pPr>
            <w:r>
              <w:t>资金支出计划（%）</w:t>
            </w:r>
          </w:p>
        </w:tc>
        <w:tc>
          <w:tcPr>
            <w:tcW w:w="5103" w:type="dxa"/>
            <w:gridSpan w:val="2"/>
            <w:vAlign w:val="center"/>
          </w:tcPr>
          <w:p w14:paraId="099C8EFD">
            <w:pPr>
              <w:pStyle w:val="11"/>
            </w:pPr>
            <w:r>
              <w:t>3月底</w:t>
            </w:r>
          </w:p>
        </w:tc>
        <w:tc>
          <w:tcPr>
            <w:tcW w:w="2835" w:type="dxa"/>
            <w:vAlign w:val="center"/>
          </w:tcPr>
          <w:p w14:paraId="677B38A2">
            <w:pPr>
              <w:pStyle w:val="11"/>
            </w:pPr>
            <w:r>
              <w:t>6月底</w:t>
            </w:r>
          </w:p>
        </w:tc>
        <w:tc>
          <w:tcPr>
            <w:tcW w:w="2551" w:type="dxa"/>
            <w:vAlign w:val="center"/>
          </w:tcPr>
          <w:p w14:paraId="2D694DFE">
            <w:pPr>
              <w:pStyle w:val="11"/>
            </w:pPr>
            <w:r>
              <w:t>10月底</w:t>
            </w:r>
          </w:p>
        </w:tc>
        <w:tc>
          <w:tcPr>
            <w:tcW w:w="3544" w:type="dxa"/>
            <w:gridSpan w:val="2"/>
            <w:vAlign w:val="center"/>
          </w:tcPr>
          <w:p w14:paraId="5035623B">
            <w:pPr>
              <w:pStyle w:val="11"/>
            </w:pPr>
            <w:r>
              <w:t>12月底</w:t>
            </w:r>
          </w:p>
        </w:tc>
      </w:tr>
      <w:tr w14:paraId="7E5F0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289AA2"/>
        </w:tc>
        <w:tc>
          <w:tcPr>
            <w:tcW w:w="5103" w:type="dxa"/>
            <w:gridSpan w:val="2"/>
            <w:vAlign w:val="center"/>
          </w:tcPr>
          <w:p w14:paraId="6BB78D2D">
            <w:pPr>
              <w:pStyle w:val="12"/>
            </w:pPr>
            <w:r>
              <w:t>25%</w:t>
            </w:r>
          </w:p>
        </w:tc>
        <w:tc>
          <w:tcPr>
            <w:tcW w:w="2835" w:type="dxa"/>
            <w:vAlign w:val="center"/>
          </w:tcPr>
          <w:p w14:paraId="086DA537">
            <w:pPr>
              <w:pStyle w:val="12"/>
            </w:pPr>
            <w:r>
              <w:t>50%</w:t>
            </w:r>
          </w:p>
        </w:tc>
        <w:tc>
          <w:tcPr>
            <w:tcW w:w="2551" w:type="dxa"/>
            <w:vAlign w:val="center"/>
          </w:tcPr>
          <w:p w14:paraId="0323C2ED">
            <w:pPr>
              <w:pStyle w:val="12"/>
            </w:pPr>
            <w:r>
              <w:t>75%</w:t>
            </w:r>
          </w:p>
        </w:tc>
        <w:tc>
          <w:tcPr>
            <w:tcW w:w="3544" w:type="dxa"/>
            <w:gridSpan w:val="2"/>
            <w:vAlign w:val="center"/>
          </w:tcPr>
          <w:p w14:paraId="509870DF">
            <w:pPr>
              <w:pStyle w:val="12"/>
            </w:pPr>
            <w:r>
              <w:t>100%</w:t>
            </w:r>
          </w:p>
        </w:tc>
      </w:tr>
      <w:tr w14:paraId="50971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AEC60">
            <w:pPr>
              <w:pStyle w:val="11"/>
            </w:pPr>
            <w:r>
              <w:t>绩效目标</w:t>
            </w:r>
          </w:p>
        </w:tc>
        <w:tc>
          <w:tcPr>
            <w:tcW w:w="14033" w:type="dxa"/>
            <w:gridSpan w:val="6"/>
            <w:vAlign w:val="center"/>
          </w:tcPr>
          <w:p w14:paraId="00C3D9D4">
            <w:pPr>
              <w:pStyle w:val="13"/>
            </w:pPr>
            <w:r>
              <w:t>1.改善办公条件，提高办公效率，使会议精神及相关文件通知政策能够及时落实。</w:t>
            </w:r>
          </w:p>
          <w:p w14:paraId="263D7DA2">
            <w:pPr>
              <w:pStyle w:val="13"/>
            </w:pPr>
            <w:r>
              <w:t>2.按照要求序时结算支付，支付率达到100%。</w:t>
            </w:r>
          </w:p>
        </w:tc>
      </w:tr>
    </w:tbl>
    <w:p w14:paraId="728A2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6D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08C28">
            <w:pPr>
              <w:pStyle w:val="11"/>
            </w:pPr>
            <w:r>
              <w:t>一级指标</w:t>
            </w:r>
          </w:p>
        </w:tc>
        <w:tc>
          <w:tcPr>
            <w:tcW w:w="2268" w:type="dxa"/>
            <w:vAlign w:val="center"/>
          </w:tcPr>
          <w:p w14:paraId="781303BE">
            <w:pPr>
              <w:pStyle w:val="11"/>
            </w:pPr>
            <w:r>
              <w:t>二级指标</w:t>
            </w:r>
          </w:p>
        </w:tc>
        <w:tc>
          <w:tcPr>
            <w:tcW w:w="2835" w:type="dxa"/>
            <w:vAlign w:val="center"/>
          </w:tcPr>
          <w:p w14:paraId="4A4DD79C">
            <w:pPr>
              <w:pStyle w:val="11"/>
            </w:pPr>
            <w:r>
              <w:t>三级指标</w:t>
            </w:r>
          </w:p>
        </w:tc>
        <w:tc>
          <w:tcPr>
            <w:tcW w:w="5386" w:type="dxa"/>
            <w:vAlign w:val="center"/>
          </w:tcPr>
          <w:p w14:paraId="0528175F">
            <w:pPr>
              <w:pStyle w:val="11"/>
            </w:pPr>
            <w:r>
              <w:t>绩效指标描述</w:t>
            </w:r>
          </w:p>
        </w:tc>
        <w:tc>
          <w:tcPr>
            <w:tcW w:w="2268" w:type="dxa"/>
            <w:vAlign w:val="center"/>
          </w:tcPr>
          <w:p w14:paraId="09060BFF">
            <w:pPr>
              <w:pStyle w:val="11"/>
            </w:pPr>
            <w:r>
              <w:t>指标值</w:t>
            </w:r>
          </w:p>
        </w:tc>
        <w:tc>
          <w:tcPr>
            <w:tcW w:w="1276" w:type="dxa"/>
            <w:vAlign w:val="center"/>
          </w:tcPr>
          <w:p w14:paraId="484E1416">
            <w:pPr>
              <w:pStyle w:val="11"/>
            </w:pPr>
            <w:r>
              <w:t>指标值确定依据</w:t>
            </w:r>
          </w:p>
        </w:tc>
      </w:tr>
      <w:tr w14:paraId="4E34B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5C7B9">
            <w:pPr>
              <w:pStyle w:val="12"/>
            </w:pPr>
            <w:r>
              <w:t>产出指标</w:t>
            </w:r>
          </w:p>
        </w:tc>
        <w:tc>
          <w:tcPr>
            <w:tcW w:w="2268" w:type="dxa"/>
            <w:vAlign w:val="center"/>
          </w:tcPr>
          <w:p w14:paraId="71C7C868">
            <w:pPr>
              <w:pStyle w:val="13"/>
            </w:pPr>
            <w:r>
              <w:t>数量指标</w:t>
            </w:r>
          </w:p>
        </w:tc>
        <w:tc>
          <w:tcPr>
            <w:tcW w:w="2835" w:type="dxa"/>
            <w:vAlign w:val="center"/>
          </w:tcPr>
          <w:p w14:paraId="5884B65E">
            <w:pPr>
              <w:pStyle w:val="13"/>
            </w:pPr>
            <w:r>
              <w:t>按照年度计划装备</w:t>
            </w:r>
          </w:p>
        </w:tc>
        <w:tc>
          <w:tcPr>
            <w:tcW w:w="5386" w:type="dxa"/>
            <w:vAlign w:val="center"/>
          </w:tcPr>
          <w:p w14:paraId="491FA057">
            <w:pPr>
              <w:pStyle w:val="13"/>
            </w:pPr>
            <w:r>
              <w:t>产品数量</w:t>
            </w:r>
          </w:p>
        </w:tc>
        <w:tc>
          <w:tcPr>
            <w:tcW w:w="2268" w:type="dxa"/>
            <w:vAlign w:val="center"/>
          </w:tcPr>
          <w:p w14:paraId="12E6F735">
            <w:pPr>
              <w:pStyle w:val="13"/>
            </w:pPr>
            <w:r>
              <w:t>1套</w:t>
            </w:r>
          </w:p>
        </w:tc>
        <w:tc>
          <w:tcPr>
            <w:tcW w:w="1276" w:type="dxa"/>
            <w:vAlign w:val="center"/>
          </w:tcPr>
          <w:p w14:paraId="34789459">
            <w:pPr>
              <w:pStyle w:val="13"/>
            </w:pPr>
            <w:r>
              <w:t>根据学校工作计划</w:t>
            </w:r>
          </w:p>
        </w:tc>
      </w:tr>
      <w:tr w14:paraId="6B305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A9C4F"/>
        </w:tc>
        <w:tc>
          <w:tcPr>
            <w:tcW w:w="2268" w:type="dxa"/>
            <w:vAlign w:val="center"/>
          </w:tcPr>
          <w:p w14:paraId="5FE52303">
            <w:pPr>
              <w:pStyle w:val="13"/>
            </w:pPr>
            <w:r>
              <w:t>质量指标</w:t>
            </w:r>
          </w:p>
        </w:tc>
        <w:tc>
          <w:tcPr>
            <w:tcW w:w="2835" w:type="dxa"/>
            <w:vAlign w:val="center"/>
          </w:tcPr>
          <w:p w14:paraId="47532310">
            <w:pPr>
              <w:pStyle w:val="13"/>
            </w:pPr>
            <w:r>
              <w:t>项目验收合格率</w:t>
            </w:r>
          </w:p>
        </w:tc>
        <w:tc>
          <w:tcPr>
            <w:tcW w:w="5386" w:type="dxa"/>
            <w:vAlign w:val="center"/>
          </w:tcPr>
          <w:p w14:paraId="3A67315E">
            <w:pPr>
              <w:pStyle w:val="13"/>
            </w:pPr>
            <w:r>
              <w:t>项目验收合格率</w:t>
            </w:r>
          </w:p>
        </w:tc>
        <w:tc>
          <w:tcPr>
            <w:tcW w:w="2268" w:type="dxa"/>
            <w:vAlign w:val="center"/>
          </w:tcPr>
          <w:p w14:paraId="0FFFA499">
            <w:pPr>
              <w:pStyle w:val="13"/>
            </w:pPr>
            <w:r>
              <w:t>100%</w:t>
            </w:r>
          </w:p>
        </w:tc>
        <w:tc>
          <w:tcPr>
            <w:tcW w:w="1276" w:type="dxa"/>
            <w:vAlign w:val="center"/>
          </w:tcPr>
          <w:p w14:paraId="1696C2DB">
            <w:pPr>
              <w:pStyle w:val="13"/>
            </w:pPr>
            <w:r>
              <w:t>根据学校工作计划</w:t>
            </w:r>
          </w:p>
        </w:tc>
      </w:tr>
      <w:tr w14:paraId="43EBC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EE91A"/>
        </w:tc>
        <w:tc>
          <w:tcPr>
            <w:tcW w:w="2268" w:type="dxa"/>
            <w:vAlign w:val="center"/>
          </w:tcPr>
          <w:p w14:paraId="7F37CC06">
            <w:pPr>
              <w:pStyle w:val="13"/>
            </w:pPr>
            <w:r>
              <w:t>时效指标</w:t>
            </w:r>
          </w:p>
        </w:tc>
        <w:tc>
          <w:tcPr>
            <w:tcW w:w="2835" w:type="dxa"/>
            <w:vAlign w:val="center"/>
          </w:tcPr>
          <w:p w14:paraId="207AD78C">
            <w:pPr>
              <w:pStyle w:val="13"/>
            </w:pPr>
            <w:r>
              <w:t>支付及时率</w:t>
            </w:r>
          </w:p>
        </w:tc>
        <w:tc>
          <w:tcPr>
            <w:tcW w:w="5386" w:type="dxa"/>
            <w:vAlign w:val="center"/>
          </w:tcPr>
          <w:p w14:paraId="518F9FCC">
            <w:pPr>
              <w:pStyle w:val="13"/>
            </w:pPr>
            <w:r>
              <w:t>按合同约定一次性支付率</w:t>
            </w:r>
          </w:p>
        </w:tc>
        <w:tc>
          <w:tcPr>
            <w:tcW w:w="2268" w:type="dxa"/>
            <w:vAlign w:val="center"/>
          </w:tcPr>
          <w:p w14:paraId="4EC719BD">
            <w:pPr>
              <w:pStyle w:val="13"/>
            </w:pPr>
            <w:r>
              <w:t>100%</w:t>
            </w:r>
          </w:p>
        </w:tc>
        <w:tc>
          <w:tcPr>
            <w:tcW w:w="1276" w:type="dxa"/>
            <w:vAlign w:val="center"/>
          </w:tcPr>
          <w:p w14:paraId="5F25F10C">
            <w:pPr>
              <w:pStyle w:val="13"/>
            </w:pPr>
            <w:r>
              <w:t>根据学校工作计划</w:t>
            </w:r>
          </w:p>
        </w:tc>
      </w:tr>
      <w:tr w14:paraId="1592F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BF4D3"/>
        </w:tc>
        <w:tc>
          <w:tcPr>
            <w:tcW w:w="2268" w:type="dxa"/>
            <w:vAlign w:val="center"/>
          </w:tcPr>
          <w:p w14:paraId="17C52C12">
            <w:pPr>
              <w:pStyle w:val="13"/>
            </w:pPr>
            <w:r>
              <w:t>成本指标</w:t>
            </w:r>
          </w:p>
        </w:tc>
        <w:tc>
          <w:tcPr>
            <w:tcW w:w="2835" w:type="dxa"/>
            <w:vAlign w:val="center"/>
          </w:tcPr>
          <w:p w14:paraId="19A9D277">
            <w:pPr>
              <w:pStyle w:val="13"/>
            </w:pPr>
            <w:r>
              <w:t>成本控制率</w:t>
            </w:r>
          </w:p>
        </w:tc>
        <w:tc>
          <w:tcPr>
            <w:tcW w:w="5386" w:type="dxa"/>
            <w:vAlign w:val="center"/>
          </w:tcPr>
          <w:p w14:paraId="770CB602">
            <w:pPr>
              <w:pStyle w:val="13"/>
            </w:pPr>
            <w:r>
              <w:t>完成项目的成本控制在预算水平</w:t>
            </w:r>
          </w:p>
        </w:tc>
        <w:tc>
          <w:tcPr>
            <w:tcW w:w="2268" w:type="dxa"/>
            <w:vAlign w:val="center"/>
          </w:tcPr>
          <w:p w14:paraId="62766DA5">
            <w:pPr>
              <w:pStyle w:val="13"/>
            </w:pPr>
            <w:r>
              <w:t>≤2.32万元</w:t>
            </w:r>
          </w:p>
        </w:tc>
        <w:tc>
          <w:tcPr>
            <w:tcW w:w="1276" w:type="dxa"/>
            <w:vAlign w:val="center"/>
          </w:tcPr>
          <w:p w14:paraId="6CC3CFA6">
            <w:pPr>
              <w:pStyle w:val="13"/>
            </w:pPr>
            <w:r>
              <w:t>根据学校工作计划</w:t>
            </w:r>
          </w:p>
        </w:tc>
      </w:tr>
      <w:tr w14:paraId="2F507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E7FDC">
            <w:pPr>
              <w:pStyle w:val="12"/>
            </w:pPr>
            <w:r>
              <w:t>效益指标</w:t>
            </w:r>
          </w:p>
        </w:tc>
        <w:tc>
          <w:tcPr>
            <w:tcW w:w="2268" w:type="dxa"/>
            <w:vAlign w:val="center"/>
          </w:tcPr>
          <w:p w14:paraId="70A36119">
            <w:pPr>
              <w:pStyle w:val="13"/>
            </w:pPr>
            <w:r>
              <w:t>社会效益指标</w:t>
            </w:r>
          </w:p>
        </w:tc>
        <w:tc>
          <w:tcPr>
            <w:tcW w:w="2835" w:type="dxa"/>
            <w:vAlign w:val="center"/>
          </w:tcPr>
          <w:p w14:paraId="5D5002BB">
            <w:pPr>
              <w:pStyle w:val="13"/>
            </w:pPr>
            <w:r>
              <w:t>受益人群</w:t>
            </w:r>
          </w:p>
        </w:tc>
        <w:tc>
          <w:tcPr>
            <w:tcW w:w="5386" w:type="dxa"/>
            <w:vAlign w:val="center"/>
          </w:tcPr>
          <w:p w14:paraId="7E626637">
            <w:pPr>
              <w:pStyle w:val="13"/>
            </w:pPr>
            <w:r>
              <w:t>受益人群</w:t>
            </w:r>
          </w:p>
        </w:tc>
        <w:tc>
          <w:tcPr>
            <w:tcW w:w="2268" w:type="dxa"/>
            <w:vAlign w:val="center"/>
          </w:tcPr>
          <w:p w14:paraId="2A572C6E">
            <w:pPr>
              <w:pStyle w:val="13"/>
            </w:pPr>
            <w:r>
              <w:t>≥87人</w:t>
            </w:r>
          </w:p>
        </w:tc>
        <w:tc>
          <w:tcPr>
            <w:tcW w:w="1276" w:type="dxa"/>
            <w:vAlign w:val="center"/>
          </w:tcPr>
          <w:p w14:paraId="1A4C2A0B">
            <w:pPr>
              <w:pStyle w:val="13"/>
            </w:pPr>
            <w:r>
              <w:t>根据学校工作计划</w:t>
            </w:r>
          </w:p>
        </w:tc>
      </w:tr>
      <w:tr w14:paraId="030B8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0903F"/>
        </w:tc>
        <w:tc>
          <w:tcPr>
            <w:tcW w:w="2268" w:type="dxa"/>
            <w:vAlign w:val="center"/>
          </w:tcPr>
          <w:p w14:paraId="48E353AC">
            <w:pPr>
              <w:pStyle w:val="13"/>
            </w:pPr>
            <w:r>
              <w:t>可持续影响指标</w:t>
            </w:r>
          </w:p>
        </w:tc>
        <w:tc>
          <w:tcPr>
            <w:tcW w:w="2835" w:type="dxa"/>
            <w:vAlign w:val="center"/>
          </w:tcPr>
          <w:p w14:paraId="5733E5CD">
            <w:pPr>
              <w:pStyle w:val="13"/>
            </w:pPr>
            <w:r>
              <w:t>结果应用年限</w:t>
            </w:r>
          </w:p>
        </w:tc>
        <w:tc>
          <w:tcPr>
            <w:tcW w:w="5386" w:type="dxa"/>
            <w:vAlign w:val="center"/>
          </w:tcPr>
          <w:p w14:paraId="72B78F36">
            <w:pPr>
              <w:pStyle w:val="13"/>
            </w:pPr>
            <w:r>
              <w:t>结果应用年限</w:t>
            </w:r>
          </w:p>
        </w:tc>
        <w:tc>
          <w:tcPr>
            <w:tcW w:w="2268" w:type="dxa"/>
            <w:vAlign w:val="center"/>
          </w:tcPr>
          <w:p w14:paraId="45C8FB9A">
            <w:pPr>
              <w:pStyle w:val="13"/>
            </w:pPr>
            <w:r>
              <w:t>≥6年</w:t>
            </w:r>
          </w:p>
        </w:tc>
        <w:tc>
          <w:tcPr>
            <w:tcW w:w="1276" w:type="dxa"/>
            <w:vAlign w:val="center"/>
          </w:tcPr>
          <w:p w14:paraId="0D7C9257">
            <w:pPr>
              <w:pStyle w:val="13"/>
            </w:pPr>
            <w:r>
              <w:t>根据学校工作计划</w:t>
            </w:r>
          </w:p>
        </w:tc>
      </w:tr>
      <w:tr w14:paraId="6BA53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C570B0">
            <w:pPr>
              <w:pStyle w:val="12"/>
            </w:pPr>
            <w:r>
              <w:t>满意度指标</w:t>
            </w:r>
          </w:p>
        </w:tc>
        <w:tc>
          <w:tcPr>
            <w:tcW w:w="2268" w:type="dxa"/>
            <w:vAlign w:val="center"/>
          </w:tcPr>
          <w:p w14:paraId="2250069C">
            <w:pPr>
              <w:pStyle w:val="13"/>
            </w:pPr>
            <w:r>
              <w:t>服务对象满意度指标</w:t>
            </w:r>
          </w:p>
        </w:tc>
        <w:tc>
          <w:tcPr>
            <w:tcW w:w="2835" w:type="dxa"/>
            <w:vAlign w:val="center"/>
          </w:tcPr>
          <w:p w14:paraId="171FC8B7">
            <w:pPr>
              <w:pStyle w:val="13"/>
            </w:pPr>
            <w:r>
              <w:t>群众满意度</w:t>
            </w:r>
          </w:p>
        </w:tc>
        <w:tc>
          <w:tcPr>
            <w:tcW w:w="5386" w:type="dxa"/>
            <w:vAlign w:val="center"/>
          </w:tcPr>
          <w:p w14:paraId="21274947">
            <w:pPr>
              <w:pStyle w:val="13"/>
            </w:pPr>
            <w:r>
              <w:t>教师及相关使用人员对系统的满意度</w:t>
            </w:r>
          </w:p>
        </w:tc>
        <w:tc>
          <w:tcPr>
            <w:tcW w:w="2268" w:type="dxa"/>
            <w:vAlign w:val="center"/>
          </w:tcPr>
          <w:p w14:paraId="0F50BE21">
            <w:pPr>
              <w:pStyle w:val="13"/>
            </w:pPr>
            <w:r>
              <w:t>≥98%</w:t>
            </w:r>
          </w:p>
        </w:tc>
        <w:tc>
          <w:tcPr>
            <w:tcW w:w="1276" w:type="dxa"/>
            <w:vAlign w:val="center"/>
          </w:tcPr>
          <w:p w14:paraId="7527D7EC">
            <w:pPr>
              <w:pStyle w:val="13"/>
            </w:pPr>
            <w:r>
              <w:t>调查问卷</w:t>
            </w:r>
          </w:p>
        </w:tc>
      </w:tr>
    </w:tbl>
    <w:p w14:paraId="56812059">
      <w:pPr>
        <w:sectPr>
          <w:pgSz w:w="16840" w:h="11900" w:orient="landscape"/>
          <w:pgMar w:top="1361" w:right="1020" w:bottom="1134" w:left="1020" w:header="720" w:footer="720" w:gutter="0"/>
          <w:cols w:space="720" w:num="1"/>
        </w:sectPr>
      </w:pPr>
    </w:p>
    <w:p w14:paraId="55A8BFBF">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3、冀财教[2024]123号/中央/2025年义教补助经费/综合奖补/滏阳中学专用设备购置绩效目标表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90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0D204">
            <w:pPr>
              <w:pStyle w:val="14"/>
            </w:pPr>
            <w:r>
              <w:t>单位：万元</w:t>
            </w:r>
          </w:p>
        </w:tc>
      </w:tr>
      <w:tr w14:paraId="2EF25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DDC5F">
            <w:pPr>
              <w:pStyle w:val="11"/>
            </w:pPr>
            <w:r>
              <w:t>项目编码</w:t>
            </w:r>
          </w:p>
        </w:tc>
        <w:tc>
          <w:tcPr>
            <w:tcW w:w="5103" w:type="dxa"/>
            <w:gridSpan w:val="2"/>
            <w:vAlign w:val="center"/>
          </w:tcPr>
          <w:p w14:paraId="1C6251CD">
            <w:pPr>
              <w:pStyle w:val="13"/>
            </w:pPr>
            <w:r>
              <w:t>13052525P008756102604</w:t>
            </w:r>
          </w:p>
        </w:tc>
        <w:tc>
          <w:tcPr>
            <w:tcW w:w="2835" w:type="dxa"/>
            <w:vAlign w:val="center"/>
          </w:tcPr>
          <w:p w14:paraId="54D2899A">
            <w:pPr>
              <w:pStyle w:val="11"/>
            </w:pPr>
            <w:r>
              <w:t>项目名称</w:t>
            </w:r>
          </w:p>
        </w:tc>
        <w:tc>
          <w:tcPr>
            <w:tcW w:w="6095" w:type="dxa"/>
            <w:gridSpan w:val="3"/>
            <w:vAlign w:val="center"/>
          </w:tcPr>
          <w:p w14:paraId="302F100E">
            <w:pPr>
              <w:pStyle w:val="13"/>
            </w:pPr>
            <w:r>
              <w:t>冀财教[2024]123号/中央/2025年义教补助经费/综合奖补/滏阳中学专用设备购置</w:t>
            </w:r>
          </w:p>
        </w:tc>
      </w:tr>
      <w:tr w14:paraId="09FE7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C0B8A">
            <w:pPr>
              <w:pStyle w:val="11"/>
            </w:pPr>
            <w:r>
              <w:t>预算规模及资金用途</w:t>
            </w:r>
          </w:p>
        </w:tc>
        <w:tc>
          <w:tcPr>
            <w:tcW w:w="2268" w:type="dxa"/>
            <w:vAlign w:val="center"/>
          </w:tcPr>
          <w:p w14:paraId="5EC3C1BA">
            <w:pPr>
              <w:pStyle w:val="11"/>
            </w:pPr>
            <w:r>
              <w:t>预算数</w:t>
            </w:r>
          </w:p>
        </w:tc>
        <w:tc>
          <w:tcPr>
            <w:tcW w:w="2835" w:type="dxa"/>
            <w:vAlign w:val="center"/>
          </w:tcPr>
          <w:p w14:paraId="0F93B227">
            <w:pPr>
              <w:pStyle w:val="13"/>
            </w:pPr>
            <w:r>
              <w:t>102.09</w:t>
            </w:r>
          </w:p>
        </w:tc>
        <w:tc>
          <w:tcPr>
            <w:tcW w:w="2835" w:type="dxa"/>
            <w:vAlign w:val="center"/>
          </w:tcPr>
          <w:p w14:paraId="473FCD8E">
            <w:pPr>
              <w:pStyle w:val="11"/>
            </w:pPr>
            <w:r>
              <w:t>其中：财政    资金</w:t>
            </w:r>
          </w:p>
        </w:tc>
        <w:tc>
          <w:tcPr>
            <w:tcW w:w="2551" w:type="dxa"/>
            <w:vAlign w:val="center"/>
          </w:tcPr>
          <w:p w14:paraId="3103B84C">
            <w:pPr>
              <w:pStyle w:val="13"/>
            </w:pPr>
            <w:r>
              <w:t>102.09</w:t>
            </w:r>
          </w:p>
        </w:tc>
        <w:tc>
          <w:tcPr>
            <w:tcW w:w="2268" w:type="dxa"/>
            <w:vAlign w:val="center"/>
          </w:tcPr>
          <w:p w14:paraId="6F8BE9D5">
            <w:pPr>
              <w:pStyle w:val="11"/>
            </w:pPr>
            <w:r>
              <w:t>其他资金</w:t>
            </w:r>
          </w:p>
        </w:tc>
        <w:tc>
          <w:tcPr>
            <w:tcW w:w="1276" w:type="dxa"/>
            <w:vAlign w:val="center"/>
          </w:tcPr>
          <w:p w14:paraId="03734EAE">
            <w:pPr>
              <w:pStyle w:val="13"/>
            </w:pPr>
            <w:r>
              <w:t xml:space="preserve"> </w:t>
            </w:r>
          </w:p>
        </w:tc>
      </w:tr>
      <w:tr w14:paraId="4AA2D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2293E7"/>
        </w:tc>
        <w:tc>
          <w:tcPr>
            <w:tcW w:w="14033" w:type="dxa"/>
            <w:gridSpan w:val="6"/>
            <w:vAlign w:val="center"/>
          </w:tcPr>
          <w:p w14:paraId="1C8A2951">
            <w:pPr>
              <w:pStyle w:val="13"/>
            </w:pPr>
            <w:r>
              <w:t>智慧校园</w:t>
            </w:r>
          </w:p>
        </w:tc>
      </w:tr>
      <w:tr w14:paraId="21974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DD782">
            <w:pPr>
              <w:pStyle w:val="11"/>
            </w:pPr>
            <w:r>
              <w:t>资金支出计划（%）</w:t>
            </w:r>
          </w:p>
        </w:tc>
        <w:tc>
          <w:tcPr>
            <w:tcW w:w="5103" w:type="dxa"/>
            <w:gridSpan w:val="2"/>
            <w:vAlign w:val="center"/>
          </w:tcPr>
          <w:p w14:paraId="7703EBF6">
            <w:pPr>
              <w:pStyle w:val="11"/>
            </w:pPr>
            <w:r>
              <w:t>3月底</w:t>
            </w:r>
          </w:p>
        </w:tc>
        <w:tc>
          <w:tcPr>
            <w:tcW w:w="2835" w:type="dxa"/>
            <w:vAlign w:val="center"/>
          </w:tcPr>
          <w:p w14:paraId="46174C11">
            <w:pPr>
              <w:pStyle w:val="11"/>
            </w:pPr>
            <w:r>
              <w:t>6月底</w:t>
            </w:r>
          </w:p>
        </w:tc>
        <w:tc>
          <w:tcPr>
            <w:tcW w:w="2551" w:type="dxa"/>
            <w:vAlign w:val="center"/>
          </w:tcPr>
          <w:p w14:paraId="4DD36FAF">
            <w:pPr>
              <w:pStyle w:val="11"/>
            </w:pPr>
            <w:r>
              <w:t>10月底</w:t>
            </w:r>
          </w:p>
        </w:tc>
        <w:tc>
          <w:tcPr>
            <w:tcW w:w="3544" w:type="dxa"/>
            <w:gridSpan w:val="2"/>
            <w:vAlign w:val="center"/>
          </w:tcPr>
          <w:p w14:paraId="2B83AD2D">
            <w:pPr>
              <w:pStyle w:val="11"/>
            </w:pPr>
            <w:r>
              <w:t>12月底</w:t>
            </w:r>
          </w:p>
        </w:tc>
      </w:tr>
      <w:tr w14:paraId="52DFB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2BA618"/>
        </w:tc>
        <w:tc>
          <w:tcPr>
            <w:tcW w:w="5103" w:type="dxa"/>
            <w:gridSpan w:val="2"/>
            <w:vAlign w:val="center"/>
          </w:tcPr>
          <w:p w14:paraId="11BAE3AE">
            <w:pPr>
              <w:pStyle w:val="12"/>
            </w:pPr>
            <w:r>
              <w:t>25%</w:t>
            </w:r>
          </w:p>
        </w:tc>
        <w:tc>
          <w:tcPr>
            <w:tcW w:w="2835" w:type="dxa"/>
            <w:vAlign w:val="center"/>
          </w:tcPr>
          <w:p w14:paraId="4656DB40">
            <w:pPr>
              <w:pStyle w:val="12"/>
            </w:pPr>
            <w:r>
              <w:t>50%</w:t>
            </w:r>
          </w:p>
        </w:tc>
        <w:tc>
          <w:tcPr>
            <w:tcW w:w="2551" w:type="dxa"/>
            <w:vAlign w:val="center"/>
          </w:tcPr>
          <w:p w14:paraId="028D41A8">
            <w:pPr>
              <w:pStyle w:val="12"/>
            </w:pPr>
            <w:r>
              <w:t>75%</w:t>
            </w:r>
          </w:p>
        </w:tc>
        <w:tc>
          <w:tcPr>
            <w:tcW w:w="3544" w:type="dxa"/>
            <w:gridSpan w:val="2"/>
            <w:vAlign w:val="center"/>
          </w:tcPr>
          <w:p w14:paraId="1D463F72">
            <w:pPr>
              <w:pStyle w:val="12"/>
            </w:pPr>
            <w:r>
              <w:t>100%</w:t>
            </w:r>
          </w:p>
        </w:tc>
      </w:tr>
      <w:tr w14:paraId="1CF16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1D47C">
            <w:pPr>
              <w:pStyle w:val="11"/>
            </w:pPr>
            <w:r>
              <w:t>绩效目标</w:t>
            </w:r>
          </w:p>
        </w:tc>
        <w:tc>
          <w:tcPr>
            <w:tcW w:w="14033" w:type="dxa"/>
            <w:gridSpan w:val="6"/>
            <w:vAlign w:val="center"/>
          </w:tcPr>
          <w:p w14:paraId="47D452A7">
            <w:pPr>
              <w:pStyle w:val="13"/>
            </w:pPr>
            <w:r>
              <w:t>1.按照序时进度完成支付，支付率达到100%。</w:t>
            </w:r>
          </w:p>
          <w:p w14:paraId="03B01877">
            <w:pPr>
              <w:pStyle w:val="13"/>
            </w:pPr>
            <w:r>
              <w:t>2.改善学校教学条件，提高校园信息化程度，更好的保障教学效果。</w:t>
            </w:r>
          </w:p>
        </w:tc>
      </w:tr>
    </w:tbl>
    <w:p w14:paraId="46D6B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F0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2A62D">
            <w:pPr>
              <w:pStyle w:val="11"/>
            </w:pPr>
            <w:r>
              <w:t>一级指标</w:t>
            </w:r>
          </w:p>
        </w:tc>
        <w:tc>
          <w:tcPr>
            <w:tcW w:w="2268" w:type="dxa"/>
            <w:vAlign w:val="center"/>
          </w:tcPr>
          <w:p w14:paraId="4ED65495">
            <w:pPr>
              <w:pStyle w:val="11"/>
            </w:pPr>
            <w:r>
              <w:t>二级指标</w:t>
            </w:r>
          </w:p>
        </w:tc>
        <w:tc>
          <w:tcPr>
            <w:tcW w:w="2835" w:type="dxa"/>
            <w:vAlign w:val="center"/>
          </w:tcPr>
          <w:p w14:paraId="2509EBE6">
            <w:pPr>
              <w:pStyle w:val="11"/>
            </w:pPr>
            <w:r>
              <w:t>三级指标</w:t>
            </w:r>
          </w:p>
        </w:tc>
        <w:tc>
          <w:tcPr>
            <w:tcW w:w="5386" w:type="dxa"/>
            <w:vAlign w:val="center"/>
          </w:tcPr>
          <w:p w14:paraId="7199C5D6">
            <w:pPr>
              <w:pStyle w:val="11"/>
            </w:pPr>
            <w:r>
              <w:t>绩效指标描述</w:t>
            </w:r>
          </w:p>
        </w:tc>
        <w:tc>
          <w:tcPr>
            <w:tcW w:w="2268" w:type="dxa"/>
            <w:vAlign w:val="center"/>
          </w:tcPr>
          <w:p w14:paraId="67F57734">
            <w:pPr>
              <w:pStyle w:val="11"/>
            </w:pPr>
            <w:r>
              <w:t>指标值</w:t>
            </w:r>
          </w:p>
        </w:tc>
        <w:tc>
          <w:tcPr>
            <w:tcW w:w="1276" w:type="dxa"/>
            <w:vAlign w:val="center"/>
          </w:tcPr>
          <w:p w14:paraId="66D9CD6D">
            <w:pPr>
              <w:pStyle w:val="11"/>
            </w:pPr>
            <w:r>
              <w:t>指标值确定依据</w:t>
            </w:r>
          </w:p>
        </w:tc>
      </w:tr>
      <w:tr w14:paraId="7A53D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66106">
            <w:pPr>
              <w:pStyle w:val="12"/>
            </w:pPr>
            <w:r>
              <w:t>产出指标</w:t>
            </w:r>
          </w:p>
        </w:tc>
        <w:tc>
          <w:tcPr>
            <w:tcW w:w="2268" w:type="dxa"/>
            <w:vAlign w:val="center"/>
          </w:tcPr>
          <w:p w14:paraId="08486F0D">
            <w:pPr>
              <w:pStyle w:val="13"/>
            </w:pPr>
            <w:r>
              <w:t>数量指标</w:t>
            </w:r>
          </w:p>
        </w:tc>
        <w:tc>
          <w:tcPr>
            <w:tcW w:w="2835" w:type="dxa"/>
            <w:vAlign w:val="center"/>
          </w:tcPr>
          <w:p w14:paraId="6B857424">
            <w:pPr>
              <w:pStyle w:val="13"/>
            </w:pPr>
            <w:r>
              <w:t>按照年度工作计划完成购置和装备</w:t>
            </w:r>
          </w:p>
        </w:tc>
        <w:tc>
          <w:tcPr>
            <w:tcW w:w="5386" w:type="dxa"/>
            <w:vAlign w:val="center"/>
          </w:tcPr>
          <w:p w14:paraId="5F93ABF4">
            <w:pPr>
              <w:pStyle w:val="13"/>
            </w:pPr>
            <w:r>
              <w:t>数量达到智慧校园建设标准</w:t>
            </w:r>
          </w:p>
        </w:tc>
        <w:tc>
          <w:tcPr>
            <w:tcW w:w="2268" w:type="dxa"/>
            <w:vAlign w:val="center"/>
          </w:tcPr>
          <w:p w14:paraId="3C2F715C">
            <w:pPr>
              <w:pStyle w:val="13"/>
            </w:pPr>
            <w:r>
              <w:t>1套</w:t>
            </w:r>
          </w:p>
        </w:tc>
        <w:tc>
          <w:tcPr>
            <w:tcW w:w="1276" w:type="dxa"/>
            <w:vAlign w:val="center"/>
          </w:tcPr>
          <w:p w14:paraId="2E54F39B">
            <w:pPr>
              <w:pStyle w:val="13"/>
            </w:pPr>
            <w:r>
              <w:t>根据年度工作计划</w:t>
            </w:r>
          </w:p>
        </w:tc>
      </w:tr>
      <w:tr w14:paraId="65F68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FDA6C"/>
        </w:tc>
        <w:tc>
          <w:tcPr>
            <w:tcW w:w="2268" w:type="dxa"/>
            <w:vAlign w:val="center"/>
          </w:tcPr>
          <w:p w14:paraId="676245BF">
            <w:pPr>
              <w:pStyle w:val="13"/>
            </w:pPr>
            <w:r>
              <w:t>质量指标</w:t>
            </w:r>
          </w:p>
        </w:tc>
        <w:tc>
          <w:tcPr>
            <w:tcW w:w="2835" w:type="dxa"/>
            <w:vAlign w:val="center"/>
          </w:tcPr>
          <w:p w14:paraId="160EE23E">
            <w:pPr>
              <w:pStyle w:val="13"/>
            </w:pPr>
            <w:r>
              <w:t>硬件设备采购合格率</w:t>
            </w:r>
          </w:p>
        </w:tc>
        <w:tc>
          <w:tcPr>
            <w:tcW w:w="5386" w:type="dxa"/>
            <w:vAlign w:val="center"/>
          </w:tcPr>
          <w:p w14:paraId="525BE7F7">
            <w:pPr>
              <w:pStyle w:val="13"/>
            </w:pPr>
            <w:r>
              <w:t>硬件设备采购合格产品比例</w:t>
            </w:r>
          </w:p>
        </w:tc>
        <w:tc>
          <w:tcPr>
            <w:tcW w:w="2268" w:type="dxa"/>
            <w:vAlign w:val="center"/>
          </w:tcPr>
          <w:p w14:paraId="0FF4F490">
            <w:pPr>
              <w:pStyle w:val="13"/>
            </w:pPr>
            <w:r>
              <w:t>100%</w:t>
            </w:r>
          </w:p>
        </w:tc>
        <w:tc>
          <w:tcPr>
            <w:tcW w:w="1276" w:type="dxa"/>
            <w:vAlign w:val="center"/>
          </w:tcPr>
          <w:p w14:paraId="6A09A8CA">
            <w:pPr>
              <w:pStyle w:val="13"/>
            </w:pPr>
            <w:r>
              <w:t>根据年度工作计划</w:t>
            </w:r>
          </w:p>
        </w:tc>
      </w:tr>
      <w:tr w14:paraId="4276B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F863F"/>
        </w:tc>
        <w:tc>
          <w:tcPr>
            <w:tcW w:w="2268" w:type="dxa"/>
            <w:vAlign w:val="center"/>
          </w:tcPr>
          <w:p w14:paraId="039D3B5F">
            <w:pPr>
              <w:pStyle w:val="13"/>
            </w:pPr>
            <w:r>
              <w:t>时效指标</w:t>
            </w:r>
          </w:p>
        </w:tc>
        <w:tc>
          <w:tcPr>
            <w:tcW w:w="2835" w:type="dxa"/>
            <w:vAlign w:val="center"/>
          </w:tcPr>
          <w:p w14:paraId="110380CD">
            <w:pPr>
              <w:pStyle w:val="13"/>
            </w:pPr>
            <w:r>
              <w:t>支付及时率</w:t>
            </w:r>
          </w:p>
        </w:tc>
        <w:tc>
          <w:tcPr>
            <w:tcW w:w="5386" w:type="dxa"/>
            <w:vAlign w:val="center"/>
          </w:tcPr>
          <w:p w14:paraId="11742427">
            <w:pPr>
              <w:pStyle w:val="13"/>
            </w:pPr>
            <w:r>
              <w:t>按合同约定一次性支付</w:t>
            </w:r>
          </w:p>
        </w:tc>
        <w:tc>
          <w:tcPr>
            <w:tcW w:w="2268" w:type="dxa"/>
            <w:vAlign w:val="center"/>
          </w:tcPr>
          <w:p w14:paraId="1623C730">
            <w:pPr>
              <w:pStyle w:val="13"/>
            </w:pPr>
            <w:r>
              <w:t>100%</w:t>
            </w:r>
          </w:p>
        </w:tc>
        <w:tc>
          <w:tcPr>
            <w:tcW w:w="1276" w:type="dxa"/>
            <w:vAlign w:val="center"/>
          </w:tcPr>
          <w:p w14:paraId="2A4AC907">
            <w:pPr>
              <w:pStyle w:val="13"/>
            </w:pPr>
            <w:r>
              <w:t>根据年度工作计划</w:t>
            </w:r>
          </w:p>
        </w:tc>
      </w:tr>
      <w:tr w14:paraId="43759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DCD87"/>
        </w:tc>
        <w:tc>
          <w:tcPr>
            <w:tcW w:w="2268" w:type="dxa"/>
            <w:vAlign w:val="center"/>
          </w:tcPr>
          <w:p w14:paraId="7DC8683F">
            <w:pPr>
              <w:pStyle w:val="13"/>
            </w:pPr>
            <w:r>
              <w:t>成本指标</w:t>
            </w:r>
          </w:p>
        </w:tc>
        <w:tc>
          <w:tcPr>
            <w:tcW w:w="2835" w:type="dxa"/>
            <w:vAlign w:val="center"/>
          </w:tcPr>
          <w:p w14:paraId="108DD32D">
            <w:pPr>
              <w:pStyle w:val="13"/>
            </w:pPr>
            <w:r>
              <w:t>成本控制率</w:t>
            </w:r>
          </w:p>
        </w:tc>
        <w:tc>
          <w:tcPr>
            <w:tcW w:w="5386" w:type="dxa"/>
            <w:vAlign w:val="center"/>
          </w:tcPr>
          <w:p w14:paraId="430C2987">
            <w:pPr>
              <w:pStyle w:val="13"/>
            </w:pPr>
            <w:r>
              <w:t>完成项目的成本控制在预算水平</w:t>
            </w:r>
          </w:p>
        </w:tc>
        <w:tc>
          <w:tcPr>
            <w:tcW w:w="2268" w:type="dxa"/>
            <w:vAlign w:val="center"/>
          </w:tcPr>
          <w:p w14:paraId="4AFCFD79">
            <w:pPr>
              <w:pStyle w:val="13"/>
            </w:pPr>
            <w:r>
              <w:t>≤102.09万元</w:t>
            </w:r>
          </w:p>
        </w:tc>
        <w:tc>
          <w:tcPr>
            <w:tcW w:w="1276" w:type="dxa"/>
            <w:vAlign w:val="center"/>
          </w:tcPr>
          <w:p w14:paraId="3978BC7F">
            <w:pPr>
              <w:pStyle w:val="13"/>
            </w:pPr>
            <w:r>
              <w:t>根据年度工作计划</w:t>
            </w:r>
          </w:p>
        </w:tc>
      </w:tr>
      <w:tr w14:paraId="284D5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94E98">
            <w:pPr>
              <w:pStyle w:val="12"/>
            </w:pPr>
            <w:r>
              <w:t>效益指标</w:t>
            </w:r>
          </w:p>
        </w:tc>
        <w:tc>
          <w:tcPr>
            <w:tcW w:w="2268" w:type="dxa"/>
            <w:vAlign w:val="center"/>
          </w:tcPr>
          <w:p w14:paraId="5BD8497B">
            <w:pPr>
              <w:pStyle w:val="13"/>
            </w:pPr>
            <w:r>
              <w:t>社会效益指标</w:t>
            </w:r>
          </w:p>
        </w:tc>
        <w:tc>
          <w:tcPr>
            <w:tcW w:w="2835" w:type="dxa"/>
            <w:vAlign w:val="center"/>
          </w:tcPr>
          <w:p w14:paraId="46DC5D4D">
            <w:pPr>
              <w:pStyle w:val="13"/>
            </w:pPr>
            <w:r>
              <w:t>符合国家环保标准</w:t>
            </w:r>
          </w:p>
        </w:tc>
        <w:tc>
          <w:tcPr>
            <w:tcW w:w="5386" w:type="dxa"/>
            <w:vAlign w:val="center"/>
          </w:tcPr>
          <w:p w14:paraId="2C1FF89C">
            <w:pPr>
              <w:pStyle w:val="13"/>
            </w:pPr>
            <w:r>
              <w:t>达标率</w:t>
            </w:r>
          </w:p>
        </w:tc>
        <w:tc>
          <w:tcPr>
            <w:tcW w:w="2268" w:type="dxa"/>
            <w:vAlign w:val="center"/>
          </w:tcPr>
          <w:p w14:paraId="71A9A20C">
            <w:pPr>
              <w:pStyle w:val="13"/>
            </w:pPr>
            <w:r>
              <w:t>100%</w:t>
            </w:r>
          </w:p>
        </w:tc>
        <w:tc>
          <w:tcPr>
            <w:tcW w:w="1276" w:type="dxa"/>
            <w:vAlign w:val="center"/>
          </w:tcPr>
          <w:p w14:paraId="7BE7CD39">
            <w:pPr>
              <w:pStyle w:val="13"/>
            </w:pPr>
            <w:r>
              <w:t>根据年度工作计划</w:t>
            </w:r>
          </w:p>
        </w:tc>
      </w:tr>
      <w:tr w14:paraId="0E7A7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09EF"/>
        </w:tc>
        <w:tc>
          <w:tcPr>
            <w:tcW w:w="2268" w:type="dxa"/>
            <w:vAlign w:val="center"/>
          </w:tcPr>
          <w:p w14:paraId="29C5E44B">
            <w:pPr>
              <w:pStyle w:val="13"/>
            </w:pPr>
            <w:r>
              <w:t>可持续影响指标</w:t>
            </w:r>
          </w:p>
        </w:tc>
        <w:tc>
          <w:tcPr>
            <w:tcW w:w="2835" w:type="dxa"/>
            <w:vAlign w:val="center"/>
          </w:tcPr>
          <w:p w14:paraId="2F9C85B8">
            <w:pPr>
              <w:pStyle w:val="13"/>
            </w:pPr>
            <w:r>
              <w:t>对单位教学工作推动效果</w:t>
            </w:r>
          </w:p>
        </w:tc>
        <w:tc>
          <w:tcPr>
            <w:tcW w:w="5386" w:type="dxa"/>
            <w:vAlign w:val="center"/>
          </w:tcPr>
          <w:p w14:paraId="2FF21F4F">
            <w:pPr>
              <w:pStyle w:val="13"/>
            </w:pPr>
            <w:r>
              <w:t>使用年限</w:t>
            </w:r>
          </w:p>
        </w:tc>
        <w:tc>
          <w:tcPr>
            <w:tcW w:w="2268" w:type="dxa"/>
            <w:vAlign w:val="center"/>
          </w:tcPr>
          <w:p w14:paraId="5A5773FF">
            <w:pPr>
              <w:pStyle w:val="13"/>
            </w:pPr>
            <w:r>
              <w:t>≥10年</w:t>
            </w:r>
          </w:p>
        </w:tc>
        <w:tc>
          <w:tcPr>
            <w:tcW w:w="1276" w:type="dxa"/>
            <w:vAlign w:val="center"/>
          </w:tcPr>
          <w:p w14:paraId="70B15715">
            <w:pPr>
              <w:pStyle w:val="13"/>
            </w:pPr>
            <w:r>
              <w:t>根据年度工作计划</w:t>
            </w:r>
          </w:p>
        </w:tc>
      </w:tr>
      <w:tr w14:paraId="6454A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CE6D08">
            <w:pPr>
              <w:pStyle w:val="12"/>
            </w:pPr>
            <w:r>
              <w:t>满意度指标</w:t>
            </w:r>
          </w:p>
        </w:tc>
        <w:tc>
          <w:tcPr>
            <w:tcW w:w="2268" w:type="dxa"/>
            <w:vAlign w:val="center"/>
          </w:tcPr>
          <w:p w14:paraId="5F48A327">
            <w:pPr>
              <w:pStyle w:val="13"/>
            </w:pPr>
            <w:r>
              <w:t>服务对象满意度指标</w:t>
            </w:r>
          </w:p>
        </w:tc>
        <w:tc>
          <w:tcPr>
            <w:tcW w:w="2835" w:type="dxa"/>
            <w:vAlign w:val="center"/>
          </w:tcPr>
          <w:p w14:paraId="086DD973">
            <w:pPr>
              <w:pStyle w:val="13"/>
            </w:pPr>
            <w:r>
              <w:t>师生满意度调查指标</w:t>
            </w:r>
          </w:p>
        </w:tc>
        <w:tc>
          <w:tcPr>
            <w:tcW w:w="5386" w:type="dxa"/>
            <w:vAlign w:val="center"/>
          </w:tcPr>
          <w:p w14:paraId="6CDF41B0">
            <w:pPr>
              <w:pStyle w:val="13"/>
            </w:pPr>
            <w:r>
              <w:t>师生满意度调查指标</w:t>
            </w:r>
          </w:p>
        </w:tc>
        <w:tc>
          <w:tcPr>
            <w:tcW w:w="2268" w:type="dxa"/>
            <w:vAlign w:val="center"/>
          </w:tcPr>
          <w:p w14:paraId="33DBB25E">
            <w:pPr>
              <w:pStyle w:val="13"/>
            </w:pPr>
            <w:r>
              <w:t>≥98%</w:t>
            </w:r>
          </w:p>
        </w:tc>
        <w:tc>
          <w:tcPr>
            <w:tcW w:w="1276" w:type="dxa"/>
            <w:vAlign w:val="center"/>
          </w:tcPr>
          <w:p w14:paraId="0A6A8468">
            <w:pPr>
              <w:pStyle w:val="13"/>
            </w:pPr>
            <w:r>
              <w:t>调查问卷</w:t>
            </w:r>
          </w:p>
        </w:tc>
      </w:tr>
    </w:tbl>
    <w:p w14:paraId="0470C3F5">
      <w:pPr>
        <w:sectPr>
          <w:pgSz w:w="16840" w:h="11900" w:orient="landscape"/>
          <w:pgMar w:top="1361" w:right="1020" w:bottom="1134" w:left="1020" w:header="720" w:footer="720" w:gutter="0"/>
          <w:cols w:space="720" w:num="1"/>
        </w:sectPr>
      </w:pPr>
    </w:p>
    <w:p w14:paraId="6CF503F0">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4、冀财教[2024]123号/中央/2025年义教补助经费/滏阳中学公用经费绩效目标表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42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B6CB3">
            <w:pPr>
              <w:pStyle w:val="14"/>
            </w:pPr>
            <w:r>
              <w:t>单位：万元</w:t>
            </w:r>
          </w:p>
        </w:tc>
      </w:tr>
      <w:tr w14:paraId="0FC5D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C49AE0">
            <w:pPr>
              <w:pStyle w:val="11"/>
            </w:pPr>
            <w:r>
              <w:t>项目编码</w:t>
            </w:r>
          </w:p>
        </w:tc>
        <w:tc>
          <w:tcPr>
            <w:tcW w:w="5103" w:type="dxa"/>
            <w:gridSpan w:val="2"/>
            <w:vAlign w:val="center"/>
          </w:tcPr>
          <w:p w14:paraId="02A2495E">
            <w:pPr>
              <w:pStyle w:val="13"/>
            </w:pPr>
            <w:r>
              <w:t>13052525P000004100465</w:t>
            </w:r>
          </w:p>
        </w:tc>
        <w:tc>
          <w:tcPr>
            <w:tcW w:w="2835" w:type="dxa"/>
            <w:vAlign w:val="center"/>
          </w:tcPr>
          <w:p w14:paraId="24197003">
            <w:pPr>
              <w:pStyle w:val="11"/>
            </w:pPr>
            <w:r>
              <w:t>项目名称</w:t>
            </w:r>
          </w:p>
        </w:tc>
        <w:tc>
          <w:tcPr>
            <w:tcW w:w="6095" w:type="dxa"/>
            <w:gridSpan w:val="3"/>
            <w:vAlign w:val="center"/>
          </w:tcPr>
          <w:p w14:paraId="5F0F7503">
            <w:pPr>
              <w:pStyle w:val="13"/>
            </w:pPr>
            <w:r>
              <w:t>冀财教[2024]123号/中央/2025年义教补助经费/滏阳中学公用经费</w:t>
            </w:r>
          </w:p>
        </w:tc>
      </w:tr>
      <w:tr w14:paraId="6F714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155A1">
            <w:pPr>
              <w:pStyle w:val="11"/>
            </w:pPr>
            <w:r>
              <w:t>预算规模及资金用途</w:t>
            </w:r>
          </w:p>
        </w:tc>
        <w:tc>
          <w:tcPr>
            <w:tcW w:w="2268" w:type="dxa"/>
            <w:vAlign w:val="center"/>
          </w:tcPr>
          <w:p w14:paraId="2658D7A8">
            <w:pPr>
              <w:pStyle w:val="11"/>
            </w:pPr>
            <w:r>
              <w:t>预算数</w:t>
            </w:r>
          </w:p>
        </w:tc>
        <w:tc>
          <w:tcPr>
            <w:tcW w:w="2835" w:type="dxa"/>
            <w:vAlign w:val="center"/>
          </w:tcPr>
          <w:p w14:paraId="607A84C2">
            <w:pPr>
              <w:pStyle w:val="13"/>
            </w:pPr>
            <w:r>
              <w:t>83.44</w:t>
            </w:r>
          </w:p>
        </w:tc>
        <w:tc>
          <w:tcPr>
            <w:tcW w:w="2835" w:type="dxa"/>
            <w:vAlign w:val="center"/>
          </w:tcPr>
          <w:p w14:paraId="7E85D53E">
            <w:pPr>
              <w:pStyle w:val="11"/>
            </w:pPr>
            <w:r>
              <w:t>其中：财政    资金</w:t>
            </w:r>
          </w:p>
        </w:tc>
        <w:tc>
          <w:tcPr>
            <w:tcW w:w="2551" w:type="dxa"/>
            <w:vAlign w:val="center"/>
          </w:tcPr>
          <w:p w14:paraId="44CC6B8A">
            <w:pPr>
              <w:pStyle w:val="13"/>
            </w:pPr>
            <w:r>
              <w:t>83.44</w:t>
            </w:r>
          </w:p>
        </w:tc>
        <w:tc>
          <w:tcPr>
            <w:tcW w:w="2268" w:type="dxa"/>
            <w:vAlign w:val="center"/>
          </w:tcPr>
          <w:p w14:paraId="4934C2A9">
            <w:pPr>
              <w:pStyle w:val="11"/>
            </w:pPr>
            <w:r>
              <w:t>其他资金</w:t>
            </w:r>
          </w:p>
        </w:tc>
        <w:tc>
          <w:tcPr>
            <w:tcW w:w="1276" w:type="dxa"/>
            <w:vAlign w:val="center"/>
          </w:tcPr>
          <w:p w14:paraId="1E7C7D05">
            <w:pPr>
              <w:pStyle w:val="13"/>
            </w:pPr>
            <w:r>
              <w:t xml:space="preserve"> </w:t>
            </w:r>
          </w:p>
        </w:tc>
      </w:tr>
      <w:tr w14:paraId="7F987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A50AAE"/>
        </w:tc>
        <w:tc>
          <w:tcPr>
            <w:tcW w:w="14033" w:type="dxa"/>
            <w:gridSpan w:val="6"/>
            <w:vAlign w:val="center"/>
          </w:tcPr>
          <w:p w14:paraId="66D5A3BB">
            <w:pPr>
              <w:pStyle w:val="13"/>
            </w:pPr>
            <w:r>
              <w:t>用于保障学校正常的教学管理和教学秩序，用于学校日常开支。</w:t>
            </w:r>
          </w:p>
        </w:tc>
      </w:tr>
      <w:tr w14:paraId="1755E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E6630">
            <w:pPr>
              <w:pStyle w:val="11"/>
            </w:pPr>
            <w:r>
              <w:t>资金支出计划（%）</w:t>
            </w:r>
          </w:p>
        </w:tc>
        <w:tc>
          <w:tcPr>
            <w:tcW w:w="5103" w:type="dxa"/>
            <w:gridSpan w:val="2"/>
            <w:vAlign w:val="center"/>
          </w:tcPr>
          <w:p w14:paraId="50AAD83A">
            <w:pPr>
              <w:pStyle w:val="11"/>
            </w:pPr>
            <w:r>
              <w:t>3月底</w:t>
            </w:r>
          </w:p>
        </w:tc>
        <w:tc>
          <w:tcPr>
            <w:tcW w:w="2835" w:type="dxa"/>
            <w:vAlign w:val="center"/>
          </w:tcPr>
          <w:p w14:paraId="0CD7266C">
            <w:pPr>
              <w:pStyle w:val="11"/>
            </w:pPr>
            <w:r>
              <w:t>6月底</w:t>
            </w:r>
          </w:p>
        </w:tc>
        <w:tc>
          <w:tcPr>
            <w:tcW w:w="2551" w:type="dxa"/>
            <w:vAlign w:val="center"/>
          </w:tcPr>
          <w:p w14:paraId="7FC536B0">
            <w:pPr>
              <w:pStyle w:val="11"/>
            </w:pPr>
            <w:r>
              <w:t>10月底</w:t>
            </w:r>
          </w:p>
        </w:tc>
        <w:tc>
          <w:tcPr>
            <w:tcW w:w="3544" w:type="dxa"/>
            <w:gridSpan w:val="2"/>
            <w:vAlign w:val="center"/>
          </w:tcPr>
          <w:p w14:paraId="02EE8A80">
            <w:pPr>
              <w:pStyle w:val="11"/>
            </w:pPr>
            <w:r>
              <w:t>12月底</w:t>
            </w:r>
          </w:p>
        </w:tc>
      </w:tr>
      <w:tr w14:paraId="31F00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9E32B"/>
        </w:tc>
        <w:tc>
          <w:tcPr>
            <w:tcW w:w="5103" w:type="dxa"/>
            <w:gridSpan w:val="2"/>
            <w:vAlign w:val="center"/>
          </w:tcPr>
          <w:p w14:paraId="5197C038">
            <w:pPr>
              <w:pStyle w:val="12"/>
            </w:pPr>
            <w:r>
              <w:t>25%</w:t>
            </w:r>
          </w:p>
        </w:tc>
        <w:tc>
          <w:tcPr>
            <w:tcW w:w="2835" w:type="dxa"/>
            <w:vAlign w:val="center"/>
          </w:tcPr>
          <w:p w14:paraId="6CC81B94">
            <w:pPr>
              <w:pStyle w:val="12"/>
            </w:pPr>
            <w:r>
              <w:t>50%</w:t>
            </w:r>
          </w:p>
        </w:tc>
        <w:tc>
          <w:tcPr>
            <w:tcW w:w="2551" w:type="dxa"/>
            <w:vAlign w:val="center"/>
          </w:tcPr>
          <w:p w14:paraId="2DC74486">
            <w:pPr>
              <w:pStyle w:val="12"/>
            </w:pPr>
            <w:r>
              <w:t>75%</w:t>
            </w:r>
          </w:p>
        </w:tc>
        <w:tc>
          <w:tcPr>
            <w:tcW w:w="3544" w:type="dxa"/>
            <w:gridSpan w:val="2"/>
            <w:vAlign w:val="center"/>
          </w:tcPr>
          <w:p w14:paraId="0241CE5C">
            <w:pPr>
              <w:pStyle w:val="12"/>
            </w:pPr>
            <w:r>
              <w:t>100%</w:t>
            </w:r>
          </w:p>
        </w:tc>
      </w:tr>
      <w:tr w14:paraId="0A80D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378BB">
            <w:pPr>
              <w:pStyle w:val="11"/>
            </w:pPr>
            <w:r>
              <w:t>绩效目标</w:t>
            </w:r>
          </w:p>
        </w:tc>
        <w:tc>
          <w:tcPr>
            <w:tcW w:w="14033" w:type="dxa"/>
            <w:gridSpan w:val="6"/>
            <w:vAlign w:val="center"/>
          </w:tcPr>
          <w:p w14:paraId="069B41EA">
            <w:pPr>
              <w:pStyle w:val="13"/>
            </w:pPr>
            <w:r>
              <w:t>1.按规定拨付公用经费资金，预算执行率≥98%。</w:t>
            </w:r>
          </w:p>
          <w:p w14:paraId="6D123D70">
            <w:pPr>
              <w:pStyle w:val="13"/>
            </w:pPr>
            <w:r>
              <w:t>2.有效完成学校教学安全秩序，保障学校教学任务有效开展，满足学校正常教学需要。</w:t>
            </w:r>
          </w:p>
        </w:tc>
      </w:tr>
    </w:tbl>
    <w:p w14:paraId="50FD62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968"/>
        <w:gridCol w:w="2576"/>
      </w:tblGrid>
      <w:tr w14:paraId="25A5D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EA172">
            <w:pPr>
              <w:pStyle w:val="11"/>
            </w:pPr>
            <w:r>
              <w:t>一级指标</w:t>
            </w:r>
          </w:p>
        </w:tc>
        <w:tc>
          <w:tcPr>
            <w:tcW w:w="2268" w:type="dxa"/>
            <w:vAlign w:val="center"/>
          </w:tcPr>
          <w:p w14:paraId="5D2D7B36">
            <w:pPr>
              <w:pStyle w:val="11"/>
            </w:pPr>
            <w:r>
              <w:t>二级指标</w:t>
            </w:r>
          </w:p>
        </w:tc>
        <w:tc>
          <w:tcPr>
            <w:tcW w:w="2835" w:type="dxa"/>
            <w:vAlign w:val="center"/>
          </w:tcPr>
          <w:p w14:paraId="489E70BE">
            <w:pPr>
              <w:pStyle w:val="11"/>
            </w:pPr>
            <w:r>
              <w:t>三级指标</w:t>
            </w:r>
          </w:p>
        </w:tc>
        <w:tc>
          <w:tcPr>
            <w:tcW w:w="5386" w:type="dxa"/>
            <w:vAlign w:val="center"/>
          </w:tcPr>
          <w:p w14:paraId="5821903E">
            <w:pPr>
              <w:pStyle w:val="11"/>
            </w:pPr>
            <w:r>
              <w:t>绩效指标描述</w:t>
            </w:r>
          </w:p>
        </w:tc>
        <w:tc>
          <w:tcPr>
            <w:tcW w:w="968" w:type="dxa"/>
            <w:vAlign w:val="center"/>
          </w:tcPr>
          <w:p w14:paraId="6884FB5A">
            <w:pPr>
              <w:pStyle w:val="11"/>
            </w:pPr>
            <w:r>
              <w:t>指标值</w:t>
            </w:r>
          </w:p>
        </w:tc>
        <w:tc>
          <w:tcPr>
            <w:tcW w:w="2576" w:type="dxa"/>
            <w:vAlign w:val="center"/>
          </w:tcPr>
          <w:p w14:paraId="471EFC17">
            <w:pPr>
              <w:pStyle w:val="11"/>
            </w:pPr>
            <w:r>
              <w:t>指标值确定依据</w:t>
            </w:r>
          </w:p>
        </w:tc>
      </w:tr>
      <w:tr w14:paraId="0DD94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4817B">
            <w:pPr>
              <w:pStyle w:val="12"/>
            </w:pPr>
            <w:r>
              <w:t>产出指标</w:t>
            </w:r>
          </w:p>
        </w:tc>
        <w:tc>
          <w:tcPr>
            <w:tcW w:w="2268" w:type="dxa"/>
            <w:vAlign w:val="center"/>
          </w:tcPr>
          <w:p w14:paraId="3F21ED02">
            <w:pPr>
              <w:pStyle w:val="13"/>
            </w:pPr>
            <w:r>
              <w:t>数量指标</w:t>
            </w:r>
          </w:p>
        </w:tc>
        <w:tc>
          <w:tcPr>
            <w:tcW w:w="2835" w:type="dxa"/>
            <w:vAlign w:val="center"/>
          </w:tcPr>
          <w:p w14:paraId="1491E8A8">
            <w:pPr>
              <w:pStyle w:val="13"/>
            </w:pPr>
            <w:r>
              <w:t>就读学生数</w:t>
            </w:r>
          </w:p>
        </w:tc>
        <w:tc>
          <w:tcPr>
            <w:tcW w:w="5386" w:type="dxa"/>
            <w:vAlign w:val="center"/>
          </w:tcPr>
          <w:p w14:paraId="7B129552">
            <w:pPr>
              <w:pStyle w:val="13"/>
            </w:pPr>
            <w:r>
              <w:t>辐射区域内适龄学生人数</w:t>
            </w:r>
          </w:p>
        </w:tc>
        <w:tc>
          <w:tcPr>
            <w:tcW w:w="968" w:type="dxa"/>
            <w:vAlign w:val="center"/>
          </w:tcPr>
          <w:p w14:paraId="5C3D5248">
            <w:pPr>
              <w:pStyle w:val="13"/>
            </w:pPr>
            <w:r>
              <w:t>854人</w:t>
            </w:r>
          </w:p>
        </w:tc>
        <w:tc>
          <w:tcPr>
            <w:tcW w:w="2576" w:type="dxa"/>
            <w:vAlign w:val="center"/>
          </w:tcPr>
          <w:p w14:paraId="2EBDDBE6">
            <w:pPr>
              <w:pStyle w:val="13"/>
            </w:pPr>
            <w:r>
              <w:t>城乡义务教育公用经费管理办法</w:t>
            </w:r>
          </w:p>
          <w:p w14:paraId="441D8261">
            <w:pPr>
              <w:pStyle w:val="13"/>
            </w:pPr>
          </w:p>
        </w:tc>
      </w:tr>
      <w:tr w14:paraId="33DD3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B5AFE"/>
        </w:tc>
        <w:tc>
          <w:tcPr>
            <w:tcW w:w="2268" w:type="dxa"/>
            <w:vAlign w:val="center"/>
          </w:tcPr>
          <w:p w14:paraId="713A20BF">
            <w:pPr>
              <w:pStyle w:val="13"/>
            </w:pPr>
            <w:r>
              <w:t>质量指标</w:t>
            </w:r>
          </w:p>
        </w:tc>
        <w:tc>
          <w:tcPr>
            <w:tcW w:w="2835" w:type="dxa"/>
            <w:vAlign w:val="center"/>
          </w:tcPr>
          <w:p w14:paraId="7F829F4C">
            <w:pPr>
              <w:pStyle w:val="13"/>
            </w:pPr>
            <w:r>
              <w:t>预算执行率</w:t>
            </w:r>
          </w:p>
        </w:tc>
        <w:tc>
          <w:tcPr>
            <w:tcW w:w="5386" w:type="dxa"/>
            <w:vAlign w:val="center"/>
          </w:tcPr>
          <w:p w14:paraId="083E6B2F">
            <w:pPr>
              <w:pStyle w:val="13"/>
            </w:pPr>
            <w:r>
              <w:t>预算执行率</w:t>
            </w:r>
          </w:p>
        </w:tc>
        <w:tc>
          <w:tcPr>
            <w:tcW w:w="968" w:type="dxa"/>
            <w:vAlign w:val="center"/>
          </w:tcPr>
          <w:p w14:paraId="7AA8A873">
            <w:pPr>
              <w:pStyle w:val="13"/>
            </w:pPr>
            <w:r>
              <w:t>≥98%</w:t>
            </w:r>
          </w:p>
        </w:tc>
        <w:tc>
          <w:tcPr>
            <w:tcW w:w="2576" w:type="dxa"/>
            <w:vAlign w:val="center"/>
          </w:tcPr>
          <w:p w14:paraId="22295753">
            <w:pPr>
              <w:pStyle w:val="13"/>
            </w:pPr>
            <w:r>
              <w:t>城乡义务教育公用经费管理办法</w:t>
            </w:r>
          </w:p>
          <w:p w14:paraId="36C707B6">
            <w:pPr>
              <w:pStyle w:val="13"/>
            </w:pPr>
          </w:p>
        </w:tc>
      </w:tr>
      <w:tr w14:paraId="2538F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C15D1"/>
        </w:tc>
        <w:tc>
          <w:tcPr>
            <w:tcW w:w="2268" w:type="dxa"/>
            <w:vAlign w:val="center"/>
          </w:tcPr>
          <w:p w14:paraId="4EEABD8B">
            <w:pPr>
              <w:pStyle w:val="13"/>
            </w:pPr>
            <w:r>
              <w:t>时效指标</w:t>
            </w:r>
          </w:p>
        </w:tc>
        <w:tc>
          <w:tcPr>
            <w:tcW w:w="2835" w:type="dxa"/>
            <w:vAlign w:val="center"/>
          </w:tcPr>
          <w:p w14:paraId="73445CDD">
            <w:pPr>
              <w:pStyle w:val="13"/>
            </w:pPr>
            <w:r>
              <w:t>义教经费支付完成率</w:t>
            </w:r>
          </w:p>
        </w:tc>
        <w:tc>
          <w:tcPr>
            <w:tcW w:w="5386" w:type="dxa"/>
            <w:vAlign w:val="center"/>
          </w:tcPr>
          <w:p w14:paraId="56621590">
            <w:pPr>
              <w:pStyle w:val="13"/>
            </w:pPr>
            <w:r>
              <w:t>按照序时进度完成资金支付</w:t>
            </w:r>
          </w:p>
        </w:tc>
        <w:tc>
          <w:tcPr>
            <w:tcW w:w="968" w:type="dxa"/>
            <w:vAlign w:val="center"/>
          </w:tcPr>
          <w:p w14:paraId="29DA4D67">
            <w:pPr>
              <w:pStyle w:val="13"/>
            </w:pPr>
            <w:r>
              <w:t>83.44万元</w:t>
            </w:r>
          </w:p>
        </w:tc>
        <w:tc>
          <w:tcPr>
            <w:tcW w:w="2576" w:type="dxa"/>
            <w:vAlign w:val="center"/>
          </w:tcPr>
          <w:p w14:paraId="3A3928A2">
            <w:pPr>
              <w:pStyle w:val="13"/>
            </w:pPr>
            <w:r>
              <w:t>城乡义务教育公用经费管理办法</w:t>
            </w:r>
          </w:p>
          <w:p w14:paraId="1CB370CA">
            <w:pPr>
              <w:pStyle w:val="13"/>
            </w:pPr>
          </w:p>
        </w:tc>
      </w:tr>
      <w:tr w14:paraId="2ADE6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19704"/>
        </w:tc>
        <w:tc>
          <w:tcPr>
            <w:tcW w:w="2268" w:type="dxa"/>
            <w:vAlign w:val="center"/>
          </w:tcPr>
          <w:p w14:paraId="6D484F33">
            <w:pPr>
              <w:pStyle w:val="13"/>
            </w:pPr>
            <w:r>
              <w:t>成本指标</w:t>
            </w:r>
          </w:p>
        </w:tc>
        <w:tc>
          <w:tcPr>
            <w:tcW w:w="2835" w:type="dxa"/>
            <w:vAlign w:val="center"/>
          </w:tcPr>
          <w:p w14:paraId="73F5CA12">
            <w:pPr>
              <w:pStyle w:val="13"/>
            </w:pPr>
            <w:r>
              <w:t>生均拨款标准</w:t>
            </w:r>
          </w:p>
        </w:tc>
        <w:tc>
          <w:tcPr>
            <w:tcW w:w="5386" w:type="dxa"/>
            <w:vAlign w:val="center"/>
          </w:tcPr>
          <w:p w14:paraId="208A35E9">
            <w:pPr>
              <w:pStyle w:val="13"/>
            </w:pPr>
            <w:r>
              <w:t>初中：基本标准1060元（含取暖120元）、寄宿生300元/生/学年；特教、随班就读学生：标准6000元/生/学年</w:t>
            </w:r>
          </w:p>
        </w:tc>
        <w:tc>
          <w:tcPr>
            <w:tcW w:w="968" w:type="dxa"/>
            <w:vAlign w:val="center"/>
          </w:tcPr>
          <w:p w14:paraId="31E3AC63">
            <w:pPr>
              <w:pStyle w:val="13"/>
            </w:pPr>
            <w:r>
              <w:t>1360元</w:t>
            </w:r>
          </w:p>
        </w:tc>
        <w:tc>
          <w:tcPr>
            <w:tcW w:w="2576" w:type="dxa"/>
            <w:vAlign w:val="center"/>
          </w:tcPr>
          <w:p w14:paraId="437893B4">
            <w:pPr>
              <w:pStyle w:val="13"/>
            </w:pPr>
            <w:r>
              <w:t>城乡义务教育公用经费管理办法</w:t>
            </w:r>
          </w:p>
        </w:tc>
      </w:tr>
      <w:tr w14:paraId="7BAAA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AA756">
            <w:pPr>
              <w:pStyle w:val="12"/>
            </w:pPr>
            <w:r>
              <w:t>效益指标</w:t>
            </w:r>
          </w:p>
        </w:tc>
        <w:tc>
          <w:tcPr>
            <w:tcW w:w="2268" w:type="dxa"/>
            <w:vAlign w:val="center"/>
          </w:tcPr>
          <w:p w14:paraId="121569CB">
            <w:pPr>
              <w:pStyle w:val="13"/>
            </w:pPr>
            <w:r>
              <w:t>社会效益指标</w:t>
            </w:r>
          </w:p>
        </w:tc>
        <w:tc>
          <w:tcPr>
            <w:tcW w:w="2835" w:type="dxa"/>
            <w:vAlign w:val="center"/>
          </w:tcPr>
          <w:p w14:paraId="15AEF363">
            <w:pPr>
              <w:pStyle w:val="13"/>
            </w:pPr>
            <w:r>
              <w:t>学生就读稳定率</w:t>
            </w:r>
          </w:p>
        </w:tc>
        <w:tc>
          <w:tcPr>
            <w:tcW w:w="5386" w:type="dxa"/>
            <w:vAlign w:val="center"/>
          </w:tcPr>
          <w:p w14:paraId="0A1394B8">
            <w:pPr>
              <w:pStyle w:val="13"/>
            </w:pPr>
            <w:r>
              <w:t>维护社会稳定，保障学生受教育巩固率</w:t>
            </w:r>
          </w:p>
        </w:tc>
        <w:tc>
          <w:tcPr>
            <w:tcW w:w="968" w:type="dxa"/>
            <w:vAlign w:val="center"/>
          </w:tcPr>
          <w:p w14:paraId="0C759DF8">
            <w:pPr>
              <w:pStyle w:val="13"/>
            </w:pPr>
            <w:r>
              <w:t>≥99.5%</w:t>
            </w:r>
          </w:p>
        </w:tc>
        <w:tc>
          <w:tcPr>
            <w:tcW w:w="2576" w:type="dxa"/>
            <w:vAlign w:val="center"/>
          </w:tcPr>
          <w:p w14:paraId="4E05D06C">
            <w:pPr>
              <w:pStyle w:val="13"/>
            </w:pPr>
            <w:r>
              <w:t>城乡义务教育公用经费管理办法</w:t>
            </w:r>
          </w:p>
        </w:tc>
      </w:tr>
      <w:tr w14:paraId="67BD6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EA183"/>
        </w:tc>
        <w:tc>
          <w:tcPr>
            <w:tcW w:w="2268" w:type="dxa"/>
            <w:vAlign w:val="center"/>
          </w:tcPr>
          <w:p w14:paraId="1E97DD17">
            <w:pPr>
              <w:pStyle w:val="13"/>
            </w:pPr>
            <w:r>
              <w:t>可持续影响指标</w:t>
            </w:r>
          </w:p>
        </w:tc>
        <w:tc>
          <w:tcPr>
            <w:tcW w:w="2835" w:type="dxa"/>
            <w:vAlign w:val="center"/>
          </w:tcPr>
          <w:p w14:paraId="13586FDD">
            <w:pPr>
              <w:pStyle w:val="13"/>
            </w:pPr>
            <w:r>
              <w:t>效果持续时间</w:t>
            </w:r>
          </w:p>
        </w:tc>
        <w:tc>
          <w:tcPr>
            <w:tcW w:w="5386" w:type="dxa"/>
            <w:vAlign w:val="center"/>
          </w:tcPr>
          <w:p w14:paraId="3386C8F8">
            <w:pPr>
              <w:pStyle w:val="13"/>
            </w:pPr>
            <w:r>
              <w:t>效果持续时间</w:t>
            </w:r>
          </w:p>
        </w:tc>
        <w:tc>
          <w:tcPr>
            <w:tcW w:w="968" w:type="dxa"/>
            <w:vAlign w:val="center"/>
          </w:tcPr>
          <w:p w14:paraId="7EF7FB9C">
            <w:pPr>
              <w:pStyle w:val="13"/>
            </w:pPr>
            <w:r>
              <w:t>1年</w:t>
            </w:r>
          </w:p>
        </w:tc>
        <w:tc>
          <w:tcPr>
            <w:tcW w:w="2576" w:type="dxa"/>
            <w:vAlign w:val="center"/>
          </w:tcPr>
          <w:p w14:paraId="68660681">
            <w:pPr>
              <w:pStyle w:val="13"/>
            </w:pPr>
            <w:r>
              <w:t>城乡义务教育公用经费管理办法</w:t>
            </w:r>
          </w:p>
          <w:p w14:paraId="53166958">
            <w:pPr>
              <w:pStyle w:val="13"/>
            </w:pPr>
          </w:p>
        </w:tc>
      </w:tr>
      <w:tr w14:paraId="4AD8C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244D21">
            <w:pPr>
              <w:pStyle w:val="12"/>
            </w:pPr>
            <w:r>
              <w:t>满意度指标</w:t>
            </w:r>
          </w:p>
        </w:tc>
        <w:tc>
          <w:tcPr>
            <w:tcW w:w="2268" w:type="dxa"/>
            <w:vAlign w:val="center"/>
          </w:tcPr>
          <w:p w14:paraId="027ADED5">
            <w:pPr>
              <w:pStyle w:val="13"/>
            </w:pPr>
            <w:r>
              <w:t>服务对象满意度指标</w:t>
            </w:r>
          </w:p>
        </w:tc>
        <w:tc>
          <w:tcPr>
            <w:tcW w:w="2835" w:type="dxa"/>
            <w:vAlign w:val="center"/>
          </w:tcPr>
          <w:p w14:paraId="3E5679CD">
            <w:pPr>
              <w:pStyle w:val="13"/>
            </w:pPr>
            <w:r>
              <w:t>家长社会学生满意度</w:t>
            </w:r>
          </w:p>
        </w:tc>
        <w:tc>
          <w:tcPr>
            <w:tcW w:w="5386" w:type="dxa"/>
            <w:vAlign w:val="center"/>
          </w:tcPr>
          <w:p w14:paraId="2B0C9BC1">
            <w:pPr>
              <w:pStyle w:val="13"/>
            </w:pPr>
            <w:r>
              <w:t>家长社会学生满意度</w:t>
            </w:r>
          </w:p>
        </w:tc>
        <w:tc>
          <w:tcPr>
            <w:tcW w:w="968" w:type="dxa"/>
            <w:vAlign w:val="center"/>
          </w:tcPr>
          <w:p w14:paraId="7DBCDADF">
            <w:pPr>
              <w:pStyle w:val="13"/>
            </w:pPr>
            <w:r>
              <w:t>≥98%</w:t>
            </w:r>
          </w:p>
        </w:tc>
        <w:tc>
          <w:tcPr>
            <w:tcW w:w="2576" w:type="dxa"/>
            <w:vAlign w:val="center"/>
          </w:tcPr>
          <w:p w14:paraId="0E6864D3">
            <w:pPr>
              <w:pStyle w:val="13"/>
            </w:pPr>
            <w:r>
              <w:t>调查问卷</w:t>
            </w:r>
          </w:p>
        </w:tc>
      </w:tr>
    </w:tbl>
    <w:p w14:paraId="1E27B01D">
      <w:pPr>
        <w:sectPr>
          <w:pgSz w:w="16840" w:h="11900" w:orient="landscape"/>
          <w:pgMar w:top="1361" w:right="1020" w:bottom="1134" w:left="1020" w:header="720" w:footer="720" w:gutter="0"/>
          <w:cols w:space="720" w:num="1"/>
        </w:sectPr>
      </w:pPr>
    </w:p>
    <w:p w14:paraId="6FBF64E3">
      <w:pPr>
        <w:spacing w:before="0" w:after="0"/>
        <w:ind w:firstLine="560"/>
        <w:jc w:val="left"/>
        <w:outlineLvl w:val="9"/>
      </w:pPr>
      <w:r>
        <w:rPr>
          <w:rFonts w:ascii="方正仿宋_GBK" w:hAnsi="方正仿宋_GBK" w:eastAsia="方正仿宋_GBK" w:cs="方正仿宋_GBK"/>
          <w:b/>
          <w:color w:val="000000"/>
          <w:sz w:val="28"/>
        </w:rPr>
        <w:t>5、冀财教[2024]141号/省级/2025年义教补助经费/滏阳中学公用经费绩效目标表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F2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5D407">
            <w:pPr>
              <w:pStyle w:val="14"/>
            </w:pPr>
            <w:r>
              <w:t>单位：万元</w:t>
            </w:r>
          </w:p>
        </w:tc>
      </w:tr>
      <w:tr w14:paraId="4B511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C0168E">
            <w:pPr>
              <w:pStyle w:val="11"/>
            </w:pPr>
            <w:r>
              <w:t>项目编码</w:t>
            </w:r>
          </w:p>
        </w:tc>
        <w:tc>
          <w:tcPr>
            <w:tcW w:w="5103" w:type="dxa"/>
            <w:gridSpan w:val="2"/>
            <w:vAlign w:val="center"/>
          </w:tcPr>
          <w:p w14:paraId="1B80D4DF">
            <w:pPr>
              <w:pStyle w:val="13"/>
            </w:pPr>
            <w:r>
              <w:t>13052525P00000410123U</w:t>
            </w:r>
          </w:p>
        </w:tc>
        <w:tc>
          <w:tcPr>
            <w:tcW w:w="2835" w:type="dxa"/>
            <w:vAlign w:val="center"/>
          </w:tcPr>
          <w:p w14:paraId="42E151D6">
            <w:pPr>
              <w:pStyle w:val="11"/>
            </w:pPr>
            <w:r>
              <w:t>项目名称</w:t>
            </w:r>
          </w:p>
        </w:tc>
        <w:tc>
          <w:tcPr>
            <w:tcW w:w="6095" w:type="dxa"/>
            <w:gridSpan w:val="3"/>
            <w:vAlign w:val="center"/>
          </w:tcPr>
          <w:p w14:paraId="7C3B128B">
            <w:pPr>
              <w:pStyle w:val="13"/>
            </w:pPr>
            <w:r>
              <w:t>冀财教[2024]141号/省级/2025年义教补助经费/滏阳中学公用经费</w:t>
            </w:r>
          </w:p>
        </w:tc>
      </w:tr>
      <w:tr w14:paraId="5BF33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8FFCA">
            <w:pPr>
              <w:pStyle w:val="11"/>
            </w:pPr>
            <w:r>
              <w:t>预算规模及资金用途</w:t>
            </w:r>
          </w:p>
        </w:tc>
        <w:tc>
          <w:tcPr>
            <w:tcW w:w="2268" w:type="dxa"/>
            <w:vAlign w:val="center"/>
          </w:tcPr>
          <w:p w14:paraId="47C82749">
            <w:pPr>
              <w:pStyle w:val="11"/>
            </w:pPr>
            <w:r>
              <w:t>预算数</w:t>
            </w:r>
          </w:p>
        </w:tc>
        <w:tc>
          <w:tcPr>
            <w:tcW w:w="2835" w:type="dxa"/>
            <w:vAlign w:val="center"/>
          </w:tcPr>
          <w:p w14:paraId="53CAEBB2">
            <w:pPr>
              <w:pStyle w:val="13"/>
            </w:pPr>
            <w:r>
              <w:t>33.83</w:t>
            </w:r>
          </w:p>
        </w:tc>
        <w:tc>
          <w:tcPr>
            <w:tcW w:w="2835" w:type="dxa"/>
            <w:vAlign w:val="center"/>
          </w:tcPr>
          <w:p w14:paraId="25BEE097">
            <w:pPr>
              <w:pStyle w:val="11"/>
            </w:pPr>
            <w:r>
              <w:t>其中：财政    资金</w:t>
            </w:r>
          </w:p>
        </w:tc>
        <w:tc>
          <w:tcPr>
            <w:tcW w:w="2551" w:type="dxa"/>
            <w:vAlign w:val="center"/>
          </w:tcPr>
          <w:p w14:paraId="211D6920">
            <w:pPr>
              <w:pStyle w:val="13"/>
            </w:pPr>
            <w:r>
              <w:t>33.83</w:t>
            </w:r>
          </w:p>
        </w:tc>
        <w:tc>
          <w:tcPr>
            <w:tcW w:w="2268" w:type="dxa"/>
            <w:vAlign w:val="center"/>
          </w:tcPr>
          <w:p w14:paraId="7420D6D6">
            <w:pPr>
              <w:pStyle w:val="11"/>
            </w:pPr>
            <w:r>
              <w:t>其他资金</w:t>
            </w:r>
          </w:p>
        </w:tc>
        <w:tc>
          <w:tcPr>
            <w:tcW w:w="1276" w:type="dxa"/>
            <w:vAlign w:val="center"/>
          </w:tcPr>
          <w:p w14:paraId="54ECC60A">
            <w:pPr>
              <w:pStyle w:val="13"/>
            </w:pPr>
            <w:r>
              <w:t xml:space="preserve"> </w:t>
            </w:r>
          </w:p>
        </w:tc>
      </w:tr>
      <w:tr w14:paraId="079DF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CD6EFB"/>
        </w:tc>
        <w:tc>
          <w:tcPr>
            <w:tcW w:w="14033" w:type="dxa"/>
            <w:gridSpan w:val="6"/>
            <w:vAlign w:val="center"/>
          </w:tcPr>
          <w:p w14:paraId="54D44890">
            <w:pPr>
              <w:pStyle w:val="13"/>
            </w:pPr>
            <w:r>
              <w:t>用于保障学校正常的教学管理和教学秩序，用于学校日常开支。</w:t>
            </w:r>
          </w:p>
        </w:tc>
      </w:tr>
      <w:tr w14:paraId="768B4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61EC8">
            <w:pPr>
              <w:pStyle w:val="11"/>
            </w:pPr>
            <w:r>
              <w:t>资金支出计划（%）</w:t>
            </w:r>
          </w:p>
        </w:tc>
        <w:tc>
          <w:tcPr>
            <w:tcW w:w="5103" w:type="dxa"/>
            <w:gridSpan w:val="2"/>
            <w:vAlign w:val="center"/>
          </w:tcPr>
          <w:p w14:paraId="3CFDD68A">
            <w:pPr>
              <w:pStyle w:val="11"/>
            </w:pPr>
            <w:r>
              <w:t>3月底</w:t>
            </w:r>
          </w:p>
        </w:tc>
        <w:tc>
          <w:tcPr>
            <w:tcW w:w="2835" w:type="dxa"/>
            <w:vAlign w:val="center"/>
          </w:tcPr>
          <w:p w14:paraId="7191663D">
            <w:pPr>
              <w:pStyle w:val="11"/>
            </w:pPr>
            <w:r>
              <w:t>6月底</w:t>
            </w:r>
          </w:p>
        </w:tc>
        <w:tc>
          <w:tcPr>
            <w:tcW w:w="2551" w:type="dxa"/>
            <w:vAlign w:val="center"/>
          </w:tcPr>
          <w:p w14:paraId="1A575EC3">
            <w:pPr>
              <w:pStyle w:val="11"/>
            </w:pPr>
            <w:r>
              <w:t>10月底</w:t>
            </w:r>
          </w:p>
        </w:tc>
        <w:tc>
          <w:tcPr>
            <w:tcW w:w="3544" w:type="dxa"/>
            <w:gridSpan w:val="2"/>
            <w:vAlign w:val="center"/>
          </w:tcPr>
          <w:p w14:paraId="6763D23B">
            <w:pPr>
              <w:pStyle w:val="11"/>
            </w:pPr>
            <w:r>
              <w:t>12月底</w:t>
            </w:r>
          </w:p>
        </w:tc>
      </w:tr>
      <w:tr w14:paraId="0276A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BE2093"/>
        </w:tc>
        <w:tc>
          <w:tcPr>
            <w:tcW w:w="5103" w:type="dxa"/>
            <w:gridSpan w:val="2"/>
            <w:vAlign w:val="center"/>
          </w:tcPr>
          <w:p w14:paraId="6CDDF7C5">
            <w:pPr>
              <w:pStyle w:val="12"/>
            </w:pPr>
            <w:r>
              <w:t>25%</w:t>
            </w:r>
          </w:p>
        </w:tc>
        <w:tc>
          <w:tcPr>
            <w:tcW w:w="2835" w:type="dxa"/>
            <w:vAlign w:val="center"/>
          </w:tcPr>
          <w:p w14:paraId="724A2A37">
            <w:pPr>
              <w:pStyle w:val="12"/>
            </w:pPr>
            <w:r>
              <w:t>50%</w:t>
            </w:r>
          </w:p>
        </w:tc>
        <w:tc>
          <w:tcPr>
            <w:tcW w:w="2551" w:type="dxa"/>
            <w:vAlign w:val="center"/>
          </w:tcPr>
          <w:p w14:paraId="587A9452">
            <w:pPr>
              <w:pStyle w:val="12"/>
            </w:pPr>
            <w:r>
              <w:t>75%</w:t>
            </w:r>
          </w:p>
        </w:tc>
        <w:tc>
          <w:tcPr>
            <w:tcW w:w="3544" w:type="dxa"/>
            <w:gridSpan w:val="2"/>
            <w:vAlign w:val="center"/>
          </w:tcPr>
          <w:p w14:paraId="3EB028C9">
            <w:pPr>
              <w:pStyle w:val="12"/>
            </w:pPr>
            <w:r>
              <w:t>100%</w:t>
            </w:r>
          </w:p>
        </w:tc>
      </w:tr>
      <w:tr w14:paraId="0CCC6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DBE5C1">
            <w:pPr>
              <w:pStyle w:val="11"/>
            </w:pPr>
            <w:r>
              <w:t>绩效目标</w:t>
            </w:r>
          </w:p>
        </w:tc>
        <w:tc>
          <w:tcPr>
            <w:tcW w:w="14033" w:type="dxa"/>
            <w:gridSpan w:val="6"/>
            <w:vAlign w:val="center"/>
          </w:tcPr>
          <w:p w14:paraId="67255423">
            <w:pPr>
              <w:pStyle w:val="13"/>
            </w:pPr>
            <w:r>
              <w:t>1.按规定拨付公用经费资金，预算执行率≥98%。</w:t>
            </w:r>
          </w:p>
          <w:p w14:paraId="5F2D10B4">
            <w:pPr>
              <w:pStyle w:val="13"/>
            </w:pPr>
            <w:r>
              <w:t>2.有效完成学校教学安全秩序，保障学校教学任务有效开展，满足学校正常教学需要。</w:t>
            </w:r>
          </w:p>
        </w:tc>
      </w:tr>
    </w:tbl>
    <w:p w14:paraId="3214BC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208"/>
        <w:gridCol w:w="2336"/>
      </w:tblGrid>
      <w:tr w14:paraId="64594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FFC542B">
            <w:pPr>
              <w:pStyle w:val="11"/>
            </w:pPr>
            <w:r>
              <w:t>一级指标</w:t>
            </w:r>
          </w:p>
        </w:tc>
        <w:tc>
          <w:tcPr>
            <w:tcW w:w="2268" w:type="dxa"/>
            <w:vAlign w:val="center"/>
          </w:tcPr>
          <w:p w14:paraId="0723454A">
            <w:pPr>
              <w:pStyle w:val="11"/>
            </w:pPr>
            <w:r>
              <w:t>二级指标</w:t>
            </w:r>
          </w:p>
        </w:tc>
        <w:tc>
          <w:tcPr>
            <w:tcW w:w="2835" w:type="dxa"/>
            <w:vAlign w:val="center"/>
          </w:tcPr>
          <w:p w14:paraId="68F30EC1">
            <w:pPr>
              <w:pStyle w:val="11"/>
            </w:pPr>
            <w:r>
              <w:t>三级指标</w:t>
            </w:r>
          </w:p>
        </w:tc>
        <w:tc>
          <w:tcPr>
            <w:tcW w:w="5386" w:type="dxa"/>
            <w:vAlign w:val="center"/>
          </w:tcPr>
          <w:p w14:paraId="3D743ED3">
            <w:pPr>
              <w:pStyle w:val="11"/>
            </w:pPr>
            <w:r>
              <w:t>绩效指标描述</w:t>
            </w:r>
          </w:p>
        </w:tc>
        <w:tc>
          <w:tcPr>
            <w:tcW w:w="1208" w:type="dxa"/>
            <w:vAlign w:val="center"/>
          </w:tcPr>
          <w:p w14:paraId="26D0A77C">
            <w:pPr>
              <w:pStyle w:val="11"/>
            </w:pPr>
            <w:r>
              <w:t>指标值</w:t>
            </w:r>
          </w:p>
        </w:tc>
        <w:tc>
          <w:tcPr>
            <w:tcW w:w="2336" w:type="dxa"/>
            <w:vAlign w:val="center"/>
          </w:tcPr>
          <w:p w14:paraId="090A393B">
            <w:pPr>
              <w:pStyle w:val="11"/>
            </w:pPr>
            <w:r>
              <w:t>指标值确定依据</w:t>
            </w:r>
          </w:p>
        </w:tc>
      </w:tr>
      <w:tr w14:paraId="3A7EE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69669">
            <w:pPr>
              <w:pStyle w:val="12"/>
            </w:pPr>
            <w:r>
              <w:t>产出指标</w:t>
            </w:r>
          </w:p>
        </w:tc>
        <w:tc>
          <w:tcPr>
            <w:tcW w:w="2268" w:type="dxa"/>
            <w:vAlign w:val="center"/>
          </w:tcPr>
          <w:p w14:paraId="56DCE0A4">
            <w:pPr>
              <w:pStyle w:val="13"/>
            </w:pPr>
            <w:r>
              <w:t>数量指标</w:t>
            </w:r>
          </w:p>
        </w:tc>
        <w:tc>
          <w:tcPr>
            <w:tcW w:w="2835" w:type="dxa"/>
            <w:vAlign w:val="center"/>
          </w:tcPr>
          <w:p w14:paraId="2E9E1F67">
            <w:pPr>
              <w:pStyle w:val="13"/>
            </w:pPr>
            <w:r>
              <w:t>就读学生数</w:t>
            </w:r>
          </w:p>
        </w:tc>
        <w:tc>
          <w:tcPr>
            <w:tcW w:w="5386" w:type="dxa"/>
            <w:vAlign w:val="center"/>
          </w:tcPr>
          <w:p w14:paraId="7F958579">
            <w:pPr>
              <w:pStyle w:val="13"/>
            </w:pPr>
            <w:r>
              <w:t>辐射区域内适龄学生人数</w:t>
            </w:r>
          </w:p>
        </w:tc>
        <w:tc>
          <w:tcPr>
            <w:tcW w:w="1208" w:type="dxa"/>
            <w:vAlign w:val="center"/>
          </w:tcPr>
          <w:p w14:paraId="0460E05B">
            <w:pPr>
              <w:pStyle w:val="13"/>
            </w:pPr>
            <w:r>
              <w:t>854人</w:t>
            </w:r>
          </w:p>
        </w:tc>
        <w:tc>
          <w:tcPr>
            <w:tcW w:w="2336" w:type="dxa"/>
            <w:vAlign w:val="center"/>
          </w:tcPr>
          <w:p w14:paraId="769F23FF">
            <w:pPr>
              <w:pStyle w:val="13"/>
            </w:pPr>
            <w:r>
              <w:t>城乡义务教育公用经费管理办法</w:t>
            </w:r>
          </w:p>
          <w:p w14:paraId="49F2E7FD">
            <w:pPr>
              <w:pStyle w:val="13"/>
            </w:pPr>
          </w:p>
        </w:tc>
      </w:tr>
      <w:tr w14:paraId="01678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3AB2D"/>
        </w:tc>
        <w:tc>
          <w:tcPr>
            <w:tcW w:w="2268" w:type="dxa"/>
            <w:vAlign w:val="center"/>
          </w:tcPr>
          <w:p w14:paraId="19A18BB4">
            <w:pPr>
              <w:pStyle w:val="13"/>
            </w:pPr>
            <w:r>
              <w:t>质量指标</w:t>
            </w:r>
          </w:p>
        </w:tc>
        <w:tc>
          <w:tcPr>
            <w:tcW w:w="2835" w:type="dxa"/>
            <w:vAlign w:val="center"/>
          </w:tcPr>
          <w:p w14:paraId="3B5ECFFC">
            <w:pPr>
              <w:pStyle w:val="13"/>
            </w:pPr>
            <w:r>
              <w:t>预算执行率</w:t>
            </w:r>
          </w:p>
        </w:tc>
        <w:tc>
          <w:tcPr>
            <w:tcW w:w="5386" w:type="dxa"/>
            <w:vAlign w:val="center"/>
          </w:tcPr>
          <w:p w14:paraId="0EB8A97F">
            <w:pPr>
              <w:pStyle w:val="13"/>
            </w:pPr>
            <w:r>
              <w:t>预算执行率</w:t>
            </w:r>
          </w:p>
        </w:tc>
        <w:tc>
          <w:tcPr>
            <w:tcW w:w="1208" w:type="dxa"/>
            <w:vAlign w:val="center"/>
          </w:tcPr>
          <w:p w14:paraId="6515D90A">
            <w:pPr>
              <w:pStyle w:val="13"/>
            </w:pPr>
            <w:r>
              <w:t>≥98%</w:t>
            </w:r>
          </w:p>
        </w:tc>
        <w:tc>
          <w:tcPr>
            <w:tcW w:w="2336" w:type="dxa"/>
            <w:vAlign w:val="center"/>
          </w:tcPr>
          <w:p w14:paraId="5B245800">
            <w:pPr>
              <w:pStyle w:val="13"/>
            </w:pPr>
            <w:r>
              <w:t>城乡义务教育公用经费管理办法</w:t>
            </w:r>
          </w:p>
          <w:p w14:paraId="3391CB2D">
            <w:pPr>
              <w:pStyle w:val="13"/>
            </w:pPr>
          </w:p>
        </w:tc>
      </w:tr>
      <w:tr w14:paraId="32545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97749"/>
        </w:tc>
        <w:tc>
          <w:tcPr>
            <w:tcW w:w="2268" w:type="dxa"/>
            <w:vAlign w:val="center"/>
          </w:tcPr>
          <w:p w14:paraId="34108B6F">
            <w:pPr>
              <w:pStyle w:val="13"/>
            </w:pPr>
            <w:r>
              <w:t>时效指标</w:t>
            </w:r>
          </w:p>
        </w:tc>
        <w:tc>
          <w:tcPr>
            <w:tcW w:w="2835" w:type="dxa"/>
            <w:vAlign w:val="center"/>
          </w:tcPr>
          <w:p w14:paraId="1220A7EF">
            <w:pPr>
              <w:pStyle w:val="13"/>
            </w:pPr>
            <w:r>
              <w:t>义教经费支付完成率</w:t>
            </w:r>
          </w:p>
        </w:tc>
        <w:tc>
          <w:tcPr>
            <w:tcW w:w="5386" w:type="dxa"/>
            <w:vAlign w:val="center"/>
          </w:tcPr>
          <w:p w14:paraId="450E86DD">
            <w:pPr>
              <w:pStyle w:val="13"/>
            </w:pPr>
            <w:r>
              <w:t>按照序时进度完成资金支付</w:t>
            </w:r>
          </w:p>
        </w:tc>
        <w:tc>
          <w:tcPr>
            <w:tcW w:w="1208" w:type="dxa"/>
            <w:vAlign w:val="center"/>
          </w:tcPr>
          <w:p w14:paraId="428C4E5D">
            <w:pPr>
              <w:pStyle w:val="13"/>
            </w:pPr>
            <w:r>
              <w:t>33.82万元</w:t>
            </w:r>
          </w:p>
        </w:tc>
        <w:tc>
          <w:tcPr>
            <w:tcW w:w="2336" w:type="dxa"/>
            <w:vAlign w:val="center"/>
          </w:tcPr>
          <w:p w14:paraId="3CBB8F1B">
            <w:pPr>
              <w:pStyle w:val="13"/>
            </w:pPr>
            <w:r>
              <w:t>城乡义务教育公用经费管理办法</w:t>
            </w:r>
          </w:p>
          <w:p w14:paraId="1624399B">
            <w:pPr>
              <w:pStyle w:val="13"/>
            </w:pPr>
          </w:p>
        </w:tc>
      </w:tr>
      <w:tr w14:paraId="1F782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85CF2"/>
        </w:tc>
        <w:tc>
          <w:tcPr>
            <w:tcW w:w="2268" w:type="dxa"/>
            <w:vAlign w:val="center"/>
          </w:tcPr>
          <w:p w14:paraId="0F895DAB">
            <w:pPr>
              <w:pStyle w:val="13"/>
            </w:pPr>
            <w:r>
              <w:t>成本指标</w:t>
            </w:r>
          </w:p>
        </w:tc>
        <w:tc>
          <w:tcPr>
            <w:tcW w:w="2835" w:type="dxa"/>
            <w:vAlign w:val="center"/>
          </w:tcPr>
          <w:p w14:paraId="5E7CFDCE">
            <w:pPr>
              <w:pStyle w:val="13"/>
            </w:pPr>
            <w:r>
              <w:t>生均拨款标准</w:t>
            </w:r>
          </w:p>
        </w:tc>
        <w:tc>
          <w:tcPr>
            <w:tcW w:w="5386" w:type="dxa"/>
            <w:vAlign w:val="center"/>
          </w:tcPr>
          <w:p w14:paraId="47291621">
            <w:pPr>
              <w:pStyle w:val="13"/>
            </w:pPr>
            <w:r>
              <w:t>初中：基本标准1060元（含取暖120元）、寄宿生300元/生/学年；特教、随班就读学生：标准6000元/生/学年</w:t>
            </w:r>
          </w:p>
        </w:tc>
        <w:tc>
          <w:tcPr>
            <w:tcW w:w="1208" w:type="dxa"/>
            <w:vAlign w:val="center"/>
          </w:tcPr>
          <w:p w14:paraId="3CAB2CD1">
            <w:pPr>
              <w:pStyle w:val="13"/>
            </w:pPr>
            <w:r>
              <w:t>1360元</w:t>
            </w:r>
          </w:p>
        </w:tc>
        <w:tc>
          <w:tcPr>
            <w:tcW w:w="2336" w:type="dxa"/>
            <w:vAlign w:val="center"/>
          </w:tcPr>
          <w:p w14:paraId="6D3E260E">
            <w:pPr>
              <w:pStyle w:val="13"/>
            </w:pPr>
            <w:r>
              <w:t>城乡义务教育公用经费管理办法</w:t>
            </w:r>
          </w:p>
        </w:tc>
      </w:tr>
      <w:tr w14:paraId="619EC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65544">
            <w:pPr>
              <w:pStyle w:val="12"/>
            </w:pPr>
            <w:r>
              <w:t>效益指标</w:t>
            </w:r>
          </w:p>
        </w:tc>
        <w:tc>
          <w:tcPr>
            <w:tcW w:w="2268" w:type="dxa"/>
            <w:vAlign w:val="center"/>
          </w:tcPr>
          <w:p w14:paraId="641F35C7">
            <w:pPr>
              <w:pStyle w:val="13"/>
            </w:pPr>
            <w:r>
              <w:t>社会效益指标</w:t>
            </w:r>
          </w:p>
        </w:tc>
        <w:tc>
          <w:tcPr>
            <w:tcW w:w="2835" w:type="dxa"/>
            <w:vAlign w:val="center"/>
          </w:tcPr>
          <w:p w14:paraId="1C8E532A">
            <w:pPr>
              <w:pStyle w:val="13"/>
            </w:pPr>
            <w:r>
              <w:t>学生就读稳定率</w:t>
            </w:r>
          </w:p>
        </w:tc>
        <w:tc>
          <w:tcPr>
            <w:tcW w:w="5386" w:type="dxa"/>
            <w:vAlign w:val="center"/>
          </w:tcPr>
          <w:p w14:paraId="61F0F93C">
            <w:pPr>
              <w:pStyle w:val="13"/>
            </w:pPr>
            <w:r>
              <w:t>维护社会稳定，保障学生受教育巩固率</w:t>
            </w:r>
          </w:p>
        </w:tc>
        <w:tc>
          <w:tcPr>
            <w:tcW w:w="1208" w:type="dxa"/>
            <w:vAlign w:val="center"/>
          </w:tcPr>
          <w:p w14:paraId="7F38F4E2">
            <w:pPr>
              <w:pStyle w:val="13"/>
            </w:pPr>
            <w:r>
              <w:t>≥99.5%</w:t>
            </w:r>
          </w:p>
        </w:tc>
        <w:tc>
          <w:tcPr>
            <w:tcW w:w="2336" w:type="dxa"/>
            <w:vAlign w:val="center"/>
          </w:tcPr>
          <w:p w14:paraId="1335CAEF">
            <w:pPr>
              <w:pStyle w:val="13"/>
            </w:pPr>
            <w:r>
              <w:t>城乡义务教育公用经费管理办法</w:t>
            </w:r>
          </w:p>
        </w:tc>
      </w:tr>
      <w:tr w14:paraId="1A73F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F5698"/>
        </w:tc>
        <w:tc>
          <w:tcPr>
            <w:tcW w:w="2268" w:type="dxa"/>
            <w:vAlign w:val="center"/>
          </w:tcPr>
          <w:p w14:paraId="1C85414A">
            <w:pPr>
              <w:pStyle w:val="13"/>
            </w:pPr>
            <w:r>
              <w:t>可持续影响指标</w:t>
            </w:r>
          </w:p>
        </w:tc>
        <w:tc>
          <w:tcPr>
            <w:tcW w:w="2835" w:type="dxa"/>
            <w:vAlign w:val="center"/>
          </w:tcPr>
          <w:p w14:paraId="44FF45DB">
            <w:pPr>
              <w:pStyle w:val="13"/>
            </w:pPr>
            <w:r>
              <w:t>效果持续时间</w:t>
            </w:r>
          </w:p>
        </w:tc>
        <w:tc>
          <w:tcPr>
            <w:tcW w:w="5386" w:type="dxa"/>
            <w:vAlign w:val="center"/>
          </w:tcPr>
          <w:p w14:paraId="5964C270">
            <w:pPr>
              <w:pStyle w:val="13"/>
            </w:pPr>
            <w:r>
              <w:t>效果持续时间</w:t>
            </w:r>
          </w:p>
        </w:tc>
        <w:tc>
          <w:tcPr>
            <w:tcW w:w="1208" w:type="dxa"/>
            <w:vAlign w:val="center"/>
          </w:tcPr>
          <w:p w14:paraId="0C5C8737">
            <w:pPr>
              <w:pStyle w:val="13"/>
            </w:pPr>
            <w:r>
              <w:t>1年</w:t>
            </w:r>
          </w:p>
        </w:tc>
        <w:tc>
          <w:tcPr>
            <w:tcW w:w="2336" w:type="dxa"/>
            <w:vAlign w:val="center"/>
          </w:tcPr>
          <w:p w14:paraId="39286636">
            <w:pPr>
              <w:pStyle w:val="13"/>
            </w:pPr>
            <w:r>
              <w:t>城乡义务教育公用经费管理办法</w:t>
            </w:r>
          </w:p>
          <w:p w14:paraId="76C767E3">
            <w:pPr>
              <w:pStyle w:val="13"/>
            </w:pPr>
          </w:p>
        </w:tc>
      </w:tr>
      <w:tr w14:paraId="6ADF7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0C3ECE">
            <w:pPr>
              <w:pStyle w:val="12"/>
            </w:pPr>
            <w:r>
              <w:t>满意度指标</w:t>
            </w:r>
          </w:p>
        </w:tc>
        <w:tc>
          <w:tcPr>
            <w:tcW w:w="2268" w:type="dxa"/>
            <w:vAlign w:val="center"/>
          </w:tcPr>
          <w:p w14:paraId="7B8B3446">
            <w:pPr>
              <w:pStyle w:val="13"/>
            </w:pPr>
            <w:r>
              <w:t>服务对象满意度指标</w:t>
            </w:r>
          </w:p>
        </w:tc>
        <w:tc>
          <w:tcPr>
            <w:tcW w:w="2835" w:type="dxa"/>
            <w:vAlign w:val="center"/>
          </w:tcPr>
          <w:p w14:paraId="67AC47D9">
            <w:pPr>
              <w:pStyle w:val="13"/>
            </w:pPr>
            <w:r>
              <w:t>家长社会学生满意度</w:t>
            </w:r>
          </w:p>
        </w:tc>
        <w:tc>
          <w:tcPr>
            <w:tcW w:w="5386" w:type="dxa"/>
            <w:vAlign w:val="center"/>
          </w:tcPr>
          <w:p w14:paraId="5B6DF690">
            <w:pPr>
              <w:pStyle w:val="13"/>
            </w:pPr>
            <w:r>
              <w:t>家长社会学生满意度</w:t>
            </w:r>
          </w:p>
        </w:tc>
        <w:tc>
          <w:tcPr>
            <w:tcW w:w="1208" w:type="dxa"/>
            <w:vAlign w:val="center"/>
          </w:tcPr>
          <w:p w14:paraId="4E0F444D">
            <w:pPr>
              <w:pStyle w:val="13"/>
            </w:pPr>
            <w:r>
              <w:t>≥98%</w:t>
            </w:r>
          </w:p>
        </w:tc>
        <w:tc>
          <w:tcPr>
            <w:tcW w:w="2336" w:type="dxa"/>
            <w:vAlign w:val="center"/>
          </w:tcPr>
          <w:p w14:paraId="6C06D2C7">
            <w:pPr>
              <w:pStyle w:val="13"/>
            </w:pPr>
            <w:r>
              <w:t>调查问卷</w:t>
            </w:r>
          </w:p>
        </w:tc>
      </w:tr>
    </w:tbl>
    <w:p w14:paraId="40880D5D">
      <w:pPr>
        <w:sectPr>
          <w:pgSz w:w="16840" w:h="11900" w:orient="landscape"/>
          <w:pgMar w:top="1361" w:right="1020" w:bottom="1134" w:left="1020" w:header="720" w:footer="720" w:gutter="0"/>
          <w:cols w:space="720" w:num="1"/>
        </w:sectPr>
      </w:pPr>
    </w:p>
    <w:p w14:paraId="5A75EDB3">
      <w:pPr>
        <w:spacing w:before="10" w:after="10" w:line="240" w:lineRule="auto"/>
        <w:ind w:firstLine="640"/>
        <w:jc w:val="left"/>
        <w:outlineLvl w:val="5"/>
      </w:pPr>
      <w:r>
        <w:rPr>
          <w:rFonts w:ascii="黑体" w:hAnsi="黑体" w:eastAsia="黑体" w:cs="黑体"/>
          <w:color w:val="000000"/>
          <w:sz w:val="32"/>
        </w:rPr>
        <w:t>六、政府采购预算情况</w:t>
      </w:r>
    </w:p>
    <w:p w14:paraId="49B422B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C030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EA2F631">
            <w:pPr>
              <w:pStyle w:val="8"/>
            </w:pPr>
            <w:r>
              <w:t>360009河北省隆尧县滏阳中学</w:t>
            </w:r>
          </w:p>
        </w:tc>
        <w:tc>
          <w:tcPr>
            <w:tcW w:w="7712" w:type="dxa"/>
            <w:gridSpan w:val="8"/>
            <w:tcBorders>
              <w:top w:val="single" w:color="FFFFFF" w:sz="6" w:space="0"/>
              <w:left w:val="single" w:color="FFFFFF" w:sz="6" w:space="0"/>
              <w:right w:val="single" w:color="FFFFFF" w:sz="6" w:space="0"/>
            </w:tcBorders>
            <w:vAlign w:val="center"/>
          </w:tcPr>
          <w:p w14:paraId="4C0A8B7C">
            <w:pPr>
              <w:pStyle w:val="22"/>
            </w:pPr>
            <w:r>
              <w:t>单位：万元</w:t>
            </w:r>
          </w:p>
        </w:tc>
      </w:tr>
      <w:tr w14:paraId="4FBD3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2665" w:type="dxa"/>
            <w:gridSpan w:val="2"/>
            <w:vAlign w:val="center"/>
          </w:tcPr>
          <w:p w14:paraId="7FF3D2F1">
            <w:pPr>
              <w:pStyle w:val="11"/>
            </w:pPr>
            <w:r>
              <w:t>政府采购项目来源</w:t>
            </w:r>
          </w:p>
        </w:tc>
        <w:tc>
          <w:tcPr>
            <w:tcW w:w="1134" w:type="dxa"/>
            <w:vMerge w:val="restart"/>
            <w:vAlign w:val="center"/>
          </w:tcPr>
          <w:p w14:paraId="25221642">
            <w:pPr>
              <w:pStyle w:val="11"/>
            </w:pPr>
            <w:r>
              <w:t>采购物品名称</w:t>
            </w:r>
          </w:p>
        </w:tc>
        <w:tc>
          <w:tcPr>
            <w:tcW w:w="1134" w:type="dxa"/>
            <w:vMerge w:val="restart"/>
            <w:vAlign w:val="center"/>
          </w:tcPr>
          <w:p w14:paraId="460B10FB">
            <w:pPr>
              <w:pStyle w:val="11"/>
            </w:pPr>
            <w:r>
              <w:t>政府采购目录序号</w:t>
            </w:r>
          </w:p>
        </w:tc>
        <w:tc>
          <w:tcPr>
            <w:tcW w:w="709" w:type="dxa"/>
            <w:vMerge w:val="restart"/>
            <w:vAlign w:val="center"/>
          </w:tcPr>
          <w:p w14:paraId="37617111">
            <w:pPr>
              <w:pStyle w:val="11"/>
            </w:pPr>
            <w:r>
              <w:t>计量  单位</w:t>
            </w:r>
          </w:p>
        </w:tc>
        <w:tc>
          <w:tcPr>
            <w:tcW w:w="850" w:type="dxa"/>
            <w:vMerge w:val="restart"/>
            <w:vAlign w:val="center"/>
          </w:tcPr>
          <w:p w14:paraId="06C89723">
            <w:pPr>
              <w:pStyle w:val="11"/>
            </w:pPr>
            <w:r>
              <w:t>数量</w:t>
            </w:r>
          </w:p>
        </w:tc>
        <w:tc>
          <w:tcPr>
            <w:tcW w:w="850" w:type="dxa"/>
            <w:vMerge w:val="restart"/>
            <w:vAlign w:val="center"/>
          </w:tcPr>
          <w:p w14:paraId="4A13889E">
            <w:pPr>
              <w:pStyle w:val="11"/>
            </w:pPr>
            <w:r>
              <w:t>单价</w:t>
            </w:r>
          </w:p>
        </w:tc>
        <w:tc>
          <w:tcPr>
            <w:tcW w:w="6748" w:type="dxa"/>
            <w:gridSpan w:val="7"/>
            <w:vAlign w:val="center"/>
          </w:tcPr>
          <w:p w14:paraId="047E316C">
            <w:pPr>
              <w:pStyle w:val="11"/>
            </w:pPr>
            <w:r>
              <w:t>政府采购金额（当年部门预算安排资金）</w:t>
            </w:r>
          </w:p>
        </w:tc>
        <w:tc>
          <w:tcPr>
            <w:tcW w:w="964" w:type="dxa"/>
            <w:vMerge w:val="restart"/>
            <w:vAlign w:val="center"/>
          </w:tcPr>
          <w:p w14:paraId="18A27CAB">
            <w:pPr>
              <w:pStyle w:val="11"/>
            </w:pPr>
            <w:r>
              <w:t>2025年  预留中  小微企  业份额</w:t>
            </w:r>
          </w:p>
        </w:tc>
      </w:tr>
      <w:tr w14:paraId="38206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5AFD5CC">
            <w:pPr>
              <w:pStyle w:val="11"/>
            </w:pPr>
            <w:r>
              <w:t>项目名称</w:t>
            </w:r>
          </w:p>
        </w:tc>
        <w:tc>
          <w:tcPr>
            <w:tcW w:w="964" w:type="dxa"/>
            <w:vAlign w:val="center"/>
          </w:tcPr>
          <w:p w14:paraId="5FB132D0">
            <w:pPr>
              <w:pStyle w:val="11"/>
            </w:pPr>
            <w:r>
              <w:t>预算    资金</w:t>
            </w:r>
          </w:p>
        </w:tc>
        <w:tc>
          <w:tcPr>
            <w:tcW w:w="1134" w:type="dxa"/>
            <w:vMerge w:val="continue"/>
          </w:tcPr>
          <w:p w14:paraId="4A3BC014"/>
        </w:tc>
        <w:tc>
          <w:tcPr>
            <w:tcW w:w="1134" w:type="dxa"/>
            <w:vMerge w:val="continue"/>
          </w:tcPr>
          <w:p w14:paraId="00390742"/>
        </w:tc>
        <w:tc>
          <w:tcPr>
            <w:tcW w:w="709" w:type="dxa"/>
            <w:vMerge w:val="continue"/>
          </w:tcPr>
          <w:p w14:paraId="28F8F891"/>
        </w:tc>
        <w:tc>
          <w:tcPr>
            <w:tcW w:w="850" w:type="dxa"/>
            <w:vMerge w:val="continue"/>
          </w:tcPr>
          <w:p w14:paraId="18410825"/>
        </w:tc>
        <w:tc>
          <w:tcPr>
            <w:tcW w:w="850" w:type="dxa"/>
            <w:vMerge w:val="continue"/>
          </w:tcPr>
          <w:p w14:paraId="3A913F53"/>
        </w:tc>
        <w:tc>
          <w:tcPr>
            <w:tcW w:w="964" w:type="dxa"/>
            <w:vAlign w:val="center"/>
          </w:tcPr>
          <w:p w14:paraId="62FE8034">
            <w:pPr>
              <w:pStyle w:val="11"/>
            </w:pPr>
            <w:r>
              <w:t>合计</w:t>
            </w:r>
          </w:p>
        </w:tc>
        <w:tc>
          <w:tcPr>
            <w:tcW w:w="964" w:type="dxa"/>
            <w:vAlign w:val="center"/>
          </w:tcPr>
          <w:p w14:paraId="094F1D98">
            <w:pPr>
              <w:pStyle w:val="11"/>
            </w:pPr>
            <w:r>
              <w:t>一般公共预算拨款</w:t>
            </w:r>
          </w:p>
        </w:tc>
        <w:tc>
          <w:tcPr>
            <w:tcW w:w="964" w:type="dxa"/>
            <w:vAlign w:val="center"/>
          </w:tcPr>
          <w:p w14:paraId="1D8B7AD0">
            <w:pPr>
              <w:pStyle w:val="11"/>
            </w:pPr>
            <w:r>
              <w:t>基金预算拨款</w:t>
            </w:r>
          </w:p>
        </w:tc>
        <w:tc>
          <w:tcPr>
            <w:tcW w:w="964" w:type="dxa"/>
            <w:vAlign w:val="center"/>
          </w:tcPr>
          <w:p w14:paraId="5F411607">
            <w:pPr>
              <w:pStyle w:val="11"/>
            </w:pPr>
            <w:r>
              <w:t>国有资本经营预算拨款</w:t>
            </w:r>
          </w:p>
        </w:tc>
        <w:tc>
          <w:tcPr>
            <w:tcW w:w="964" w:type="dxa"/>
            <w:vAlign w:val="center"/>
          </w:tcPr>
          <w:p w14:paraId="27176BE1">
            <w:pPr>
              <w:pStyle w:val="11"/>
            </w:pPr>
            <w:r>
              <w:t>财政专户核拨</w:t>
            </w:r>
          </w:p>
        </w:tc>
        <w:tc>
          <w:tcPr>
            <w:tcW w:w="964" w:type="dxa"/>
            <w:vAlign w:val="center"/>
          </w:tcPr>
          <w:p w14:paraId="0B59AEF7">
            <w:pPr>
              <w:pStyle w:val="11"/>
            </w:pPr>
            <w:r>
              <w:t>单位    资金</w:t>
            </w:r>
          </w:p>
        </w:tc>
        <w:tc>
          <w:tcPr>
            <w:tcW w:w="964" w:type="dxa"/>
            <w:vAlign w:val="center"/>
          </w:tcPr>
          <w:p w14:paraId="23AA80CA">
            <w:pPr>
              <w:pStyle w:val="11"/>
            </w:pPr>
            <w:r>
              <w:t>上年结转结余</w:t>
            </w:r>
          </w:p>
        </w:tc>
        <w:tc>
          <w:tcPr>
            <w:tcW w:w="964" w:type="dxa"/>
            <w:vMerge w:val="continue"/>
          </w:tcPr>
          <w:p w14:paraId="41EA1B05"/>
        </w:tc>
      </w:tr>
      <w:tr w14:paraId="27D91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D14B6C">
            <w:pPr>
              <w:pStyle w:val="13"/>
            </w:pPr>
          </w:p>
        </w:tc>
        <w:tc>
          <w:tcPr>
            <w:tcW w:w="964" w:type="dxa"/>
            <w:vAlign w:val="center"/>
          </w:tcPr>
          <w:p w14:paraId="3835692D">
            <w:pPr>
              <w:pStyle w:val="14"/>
            </w:pPr>
          </w:p>
        </w:tc>
        <w:tc>
          <w:tcPr>
            <w:tcW w:w="1134" w:type="dxa"/>
            <w:vAlign w:val="center"/>
          </w:tcPr>
          <w:p w14:paraId="654E0D1C">
            <w:pPr>
              <w:pStyle w:val="13"/>
            </w:pPr>
          </w:p>
        </w:tc>
        <w:tc>
          <w:tcPr>
            <w:tcW w:w="1134" w:type="dxa"/>
            <w:vAlign w:val="center"/>
          </w:tcPr>
          <w:p w14:paraId="4D557E27">
            <w:pPr>
              <w:pStyle w:val="13"/>
            </w:pPr>
          </w:p>
        </w:tc>
        <w:tc>
          <w:tcPr>
            <w:tcW w:w="709" w:type="dxa"/>
            <w:vAlign w:val="center"/>
          </w:tcPr>
          <w:p w14:paraId="4696ADE2">
            <w:pPr>
              <w:pStyle w:val="12"/>
            </w:pPr>
          </w:p>
        </w:tc>
        <w:tc>
          <w:tcPr>
            <w:tcW w:w="850" w:type="dxa"/>
            <w:vAlign w:val="center"/>
          </w:tcPr>
          <w:p w14:paraId="02401242">
            <w:pPr>
              <w:pStyle w:val="14"/>
            </w:pPr>
          </w:p>
        </w:tc>
        <w:tc>
          <w:tcPr>
            <w:tcW w:w="850" w:type="dxa"/>
            <w:vAlign w:val="center"/>
          </w:tcPr>
          <w:p w14:paraId="7706648F">
            <w:pPr>
              <w:pStyle w:val="14"/>
            </w:pPr>
          </w:p>
        </w:tc>
        <w:tc>
          <w:tcPr>
            <w:tcW w:w="964" w:type="dxa"/>
            <w:vAlign w:val="center"/>
          </w:tcPr>
          <w:p w14:paraId="4FBD8181">
            <w:pPr>
              <w:pStyle w:val="14"/>
            </w:pPr>
          </w:p>
        </w:tc>
        <w:tc>
          <w:tcPr>
            <w:tcW w:w="964" w:type="dxa"/>
            <w:vAlign w:val="center"/>
          </w:tcPr>
          <w:p w14:paraId="2DAF7C1E">
            <w:pPr>
              <w:pStyle w:val="14"/>
            </w:pPr>
          </w:p>
        </w:tc>
        <w:tc>
          <w:tcPr>
            <w:tcW w:w="964" w:type="dxa"/>
            <w:vAlign w:val="center"/>
          </w:tcPr>
          <w:p w14:paraId="6CCB2D1B">
            <w:pPr>
              <w:pStyle w:val="14"/>
            </w:pPr>
          </w:p>
        </w:tc>
        <w:tc>
          <w:tcPr>
            <w:tcW w:w="964" w:type="dxa"/>
            <w:vAlign w:val="center"/>
          </w:tcPr>
          <w:p w14:paraId="00945D6E">
            <w:pPr>
              <w:pStyle w:val="14"/>
            </w:pPr>
          </w:p>
        </w:tc>
        <w:tc>
          <w:tcPr>
            <w:tcW w:w="964" w:type="dxa"/>
            <w:vAlign w:val="center"/>
          </w:tcPr>
          <w:p w14:paraId="2856D8BA">
            <w:pPr>
              <w:pStyle w:val="14"/>
            </w:pPr>
          </w:p>
        </w:tc>
        <w:tc>
          <w:tcPr>
            <w:tcW w:w="964" w:type="dxa"/>
            <w:vAlign w:val="center"/>
          </w:tcPr>
          <w:p w14:paraId="5080C11C">
            <w:pPr>
              <w:pStyle w:val="14"/>
            </w:pPr>
          </w:p>
        </w:tc>
        <w:tc>
          <w:tcPr>
            <w:tcW w:w="964" w:type="dxa"/>
            <w:vAlign w:val="center"/>
          </w:tcPr>
          <w:p w14:paraId="08C8EF3A">
            <w:pPr>
              <w:pStyle w:val="14"/>
            </w:pPr>
          </w:p>
        </w:tc>
        <w:tc>
          <w:tcPr>
            <w:tcW w:w="964" w:type="dxa"/>
            <w:vAlign w:val="center"/>
          </w:tcPr>
          <w:p w14:paraId="2EEDFAF4">
            <w:pPr>
              <w:pStyle w:val="14"/>
            </w:pPr>
          </w:p>
        </w:tc>
      </w:tr>
    </w:tbl>
    <w:p w14:paraId="2B0C95D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2AB2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E5262B">
      <w:pPr>
        <w:spacing w:before="0" w:after="0"/>
        <w:ind w:firstLine="640"/>
        <w:jc w:val="left"/>
        <w:outlineLvl w:val="9"/>
      </w:pPr>
      <w:r>
        <w:rPr>
          <w:rFonts w:ascii="Times New Roman" w:hAnsi="Times New Roman" w:eastAsia="方正仿宋_GBK" w:cs="Times New Roman"/>
          <w:color w:val="000000"/>
          <w:sz w:val="32"/>
        </w:rPr>
        <w:t xml:space="preserve"> </w:t>
      </w:r>
    </w:p>
    <w:p w14:paraId="0A9CD496">
      <w:pPr>
        <w:spacing w:before="10" w:after="10" w:line="240" w:lineRule="auto"/>
        <w:ind w:firstLine="640"/>
        <w:jc w:val="left"/>
        <w:outlineLvl w:val="5"/>
      </w:pPr>
      <w:r>
        <w:rPr>
          <w:rFonts w:ascii="黑体" w:hAnsi="黑体" w:eastAsia="黑体" w:cs="黑体"/>
          <w:color w:val="000000"/>
          <w:sz w:val="32"/>
        </w:rPr>
        <w:t>七、国有资产信息</w:t>
      </w:r>
    </w:p>
    <w:p w14:paraId="5F0BC03D">
      <w:pPr>
        <w:spacing w:before="0" w:after="0" w:line="500" w:lineRule="exact"/>
        <w:ind w:firstLine="560"/>
        <w:jc w:val="left"/>
        <w:outlineLvl w:val="9"/>
      </w:pPr>
      <w:r>
        <w:rPr>
          <w:rFonts w:ascii="Times New Roman" w:hAnsi="Times New Roman" w:eastAsia="方正仿宋_GBK" w:cs="Times New Roman"/>
          <w:b w:val="0"/>
          <w:color w:val="000000"/>
          <w:sz w:val="28"/>
        </w:rPr>
        <w:t>河北省隆尧县滏阳中学上年末固定资产金额为</w:t>
      </w:r>
      <w:r>
        <w:t>217</w:t>
      </w:r>
      <w:r>
        <w:rPr>
          <w:rFonts w:hint="eastAsia"/>
          <w:lang w:val="en-US" w:eastAsia="zh-CN"/>
        </w:rPr>
        <w:t>.</w:t>
      </w:r>
      <w:r>
        <w:t>877782</w:t>
      </w:r>
      <w:r>
        <w:rPr>
          <w:rFonts w:ascii="Times New Roman" w:hAnsi="Times New Roman" w:eastAsia="方正仿宋_GBK" w:cs="Times New Roman"/>
          <w:b w:val="0"/>
          <w:color w:val="000000"/>
          <w:sz w:val="28"/>
        </w:rPr>
        <w:t>万元（详见下表）。本年度拟购置固定资产总额为104.41万元，已按要求列入政府采购预算，详见政府采购预算表。</w:t>
      </w:r>
    </w:p>
    <w:p w14:paraId="4C255A6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7EF3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32A5D82">
            <w:pPr>
              <w:pStyle w:val="8"/>
            </w:pPr>
            <w:r>
              <w:t>360009河北省隆尧县滏阳中学</w:t>
            </w:r>
          </w:p>
        </w:tc>
        <w:tc>
          <w:tcPr>
            <w:tcW w:w="5670" w:type="dxa"/>
            <w:gridSpan w:val="2"/>
            <w:tcBorders>
              <w:top w:val="single" w:color="FFFFFF" w:sz="6" w:space="0"/>
              <w:left w:val="single" w:color="FFFFFF" w:sz="6" w:space="0"/>
              <w:right w:val="single" w:color="FFFFFF" w:sz="6" w:space="0"/>
            </w:tcBorders>
            <w:vAlign w:val="center"/>
          </w:tcPr>
          <w:p w14:paraId="7FFD070E">
            <w:pPr>
              <w:pStyle w:val="10"/>
            </w:pPr>
            <w:r>
              <w:t>截止时间：2024-12-31</w:t>
            </w:r>
          </w:p>
        </w:tc>
      </w:tr>
      <w:tr w14:paraId="20581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0469DCA">
            <w:pPr>
              <w:pStyle w:val="11"/>
            </w:pPr>
            <w:r>
              <w:t>项   目</w:t>
            </w:r>
          </w:p>
        </w:tc>
        <w:tc>
          <w:tcPr>
            <w:tcW w:w="2835" w:type="dxa"/>
            <w:vAlign w:val="center"/>
          </w:tcPr>
          <w:p w14:paraId="42E35BD7">
            <w:pPr>
              <w:pStyle w:val="11"/>
            </w:pPr>
            <w:r>
              <w:t>数量</w:t>
            </w:r>
          </w:p>
        </w:tc>
        <w:tc>
          <w:tcPr>
            <w:tcW w:w="2835" w:type="dxa"/>
            <w:vAlign w:val="center"/>
          </w:tcPr>
          <w:p w14:paraId="4B7BD1F5">
            <w:pPr>
              <w:pStyle w:val="11"/>
            </w:pPr>
            <w:r>
              <w:t>价值（金额单位：万元）</w:t>
            </w:r>
          </w:p>
        </w:tc>
      </w:tr>
      <w:tr w14:paraId="0BD85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0D6585">
            <w:pPr>
              <w:pStyle w:val="13"/>
            </w:pPr>
            <w:r>
              <w:t>资产总额</w:t>
            </w:r>
          </w:p>
        </w:tc>
        <w:tc>
          <w:tcPr>
            <w:tcW w:w="2835" w:type="dxa"/>
            <w:vAlign w:val="center"/>
          </w:tcPr>
          <w:p w14:paraId="09C42678">
            <w:pPr>
              <w:pStyle w:val="12"/>
            </w:pPr>
          </w:p>
        </w:tc>
        <w:tc>
          <w:tcPr>
            <w:tcW w:w="2835" w:type="dxa"/>
            <w:vAlign w:val="center"/>
          </w:tcPr>
          <w:p w14:paraId="5FA75B78">
            <w:pPr>
              <w:pStyle w:val="14"/>
            </w:pPr>
            <w:r>
              <w:t>217</w:t>
            </w:r>
            <w:r>
              <w:rPr>
                <w:rFonts w:hint="eastAsia"/>
                <w:lang w:val="en-US" w:eastAsia="zh-CN"/>
              </w:rPr>
              <w:t>.</w:t>
            </w:r>
            <w:r>
              <w:t>877782</w:t>
            </w:r>
          </w:p>
        </w:tc>
      </w:tr>
      <w:tr w14:paraId="45EE8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EA05CD">
            <w:pPr>
              <w:pStyle w:val="13"/>
            </w:pPr>
            <w:r>
              <w:t>1、房屋（平方米）</w:t>
            </w:r>
          </w:p>
        </w:tc>
        <w:tc>
          <w:tcPr>
            <w:tcW w:w="2835" w:type="dxa"/>
            <w:vAlign w:val="center"/>
          </w:tcPr>
          <w:p w14:paraId="21A8CC55">
            <w:pPr>
              <w:pStyle w:val="12"/>
            </w:pPr>
            <w:r>
              <w:t>18418.24</w:t>
            </w:r>
          </w:p>
        </w:tc>
        <w:tc>
          <w:tcPr>
            <w:tcW w:w="2835" w:type="dxa"/>
            <w:vAlign w:val="center"/>
          </w:tcPr>
          <w:p w14:paraId="4712AD4D">
            <w:pPr>
              <w:pStyle w:val="14"/>
            </w:pPr>
            <w:r>
              <w:t>1082.61</w:t>
            </w:r>
          </w:p>
        </w:tc>
      </w:tr>
      <w:tr w14:paraId="2D701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A323B3">
            <w:pPr>
              <w:pStyle w:val="13"/>
            </w:pPr>
            <w:r>
              <w:t>　　其中：办公用房（平方米）</w:t>
            </w:r>
          </w:p>
        </w:tc>
        <w:tc>
          <w:tcPr>
            <w:tcW w:w="2835" w:type="dxa"/>
            <w:vAlign w:val="center"/>
          </w:tcPr>
          <w:p w14:paraId="1E072A51">
            <w:pPr>
              <w:pStyle w:val="12"/>
            </w:pPr>
            <w:r>
              <w:t>648</w:t>
            </w:r>
          </w:p>
        </w:tc>
        <w:tc>
          <w:tcPr>
            <w:tcW w:w="2835" w:type="dxa"/>
            <w:vAlign w:val="center"/>
          </w:tcPr>
          <w:p w14:paraId="1E0208FB">
            <w:pPr>
              <w:pStyle w:val="14"/>
            </w:pPr>
            <w:r>
              <w:t>26.00</w:t>
            </w:r>
          </w:p>
        </w:tc>
      </w:tr>
      <w:tr w14:paraId="45393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01E976">
            <w:pPr>
              <w:pStyle w:val="13"/>
            </w:pPr>
            <w:r>
              <w:t>2、车辆（台、辆）</w:t>
            </w:r>
          </w:p>
        </w:tc>
        <w:tc>
          <w:tcPr>
            <w:tcW w:w="2835" w:type="dxa"/>
            <w:vAlign w:val="center"/>
          </w:tcPr>
          <w:p w14:paraId="5168C7FA">
            <w:pPr>
              <w:pStyle w:val="12"/>
            </w:pPr>
          </w:p>
        </w:tc>
        <w:tc>
          <w:tcPr>
            <w:tcW w:w="2835" w:type="dxa"/>
            <w:vAlign w:val="center"/>
          </w:tcPr>
          <w:p w14:paraId="62BA9A89">
            <w:pPr>
              <w:pStyle w:val="14"/>
            </w:pPr>
          </w:p>
        </w:tc>
      </w:tr>
      <w:tr w14:paraId="623CB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978E26">
            <w:pPr>
              <w:pStyle w:val="13"/>
            </w:pPr>
            <w:r>
              <w:t>3、单价在20万元以上的设备</w:t>
            </w:r>
          </w:p>
        </w:tc>
        <w:tc>
          <w:tcPr>
            <w:tcW w:w="2835" w:type="dxa"/>
            <w:vAlign w:val="center"/>
          </w:tcPr>
          <w:p w14:paraId="591EADF7">
            <w:pPr>
              <w:pStyle w:val="12"/>
            </w:pPr>
            <w:r>
              <w:t>3</w:t>
            </w:r>
          </w:p>
        </w:tc>
        <w:tc>
          <w:tcPr>
            <w:tcW w:w="2835" w:type="dxa"/>
            <w:vAlign w:val="center"/>
          </w:tcPr>
          <w:p w14:paraId="291B5C0B">
            <w:pPr>
              <w:pStyle w:val="14"/>
            </w:pPr>
            <w:r>
              <w:t>217</w:t>
            </w:r>
            <w:r>
              <w:rPr>
                <w:rFonts w:hint="eastAsia"/>
                <w:lang w:val="en-US" w:eastAsia="zh-CN"/>
              </w:rPr>
              <w:t>.</w:t>
            </w:r>
            <w:r>
              <w:t>769521</w:t>
            </w:r>
          </w:p>
        </w:tc>
      </w:tr>
      <w:tr w14:paraId="1FE76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7F5180">
            <w:pPr>
              <w:pStyle w:val="13"/>
            </w:pPr>
            <w:r>
              <w:t>4、其他固定资产</w:t>
            </w:r>
          </w:p>
        </w:tc>
        <w:tc>
          <w:tcPr>
            <w:tcW w:w="2835" w:type="dxa"/>
            <w:vAlign w:val="center"/>
          </w:tcPr>
          <w:p w14:paraId="23FD7355">
            <w:pPr>
              <w:pStyle w:val="12"/>
            </w:pPr>
          </w:p>
        </w:tc>
        <w:tc>
          <w:tcPr>
            <w:tcW w:w="2835" w:type="dxa"/>
            <w:vAlign w:val="center"/>
          </w:tcPr>
          <w:p w14:paraId="36D5B502">
            <w:pPr>
              <w:pStyle w:val="14"/>
            </w:pPr>
          </w:p>
        </w:tc>
      </w:tr>
    </w:tbl>
    <w:p w14:paraId="594C305D">
      <w:pPr>
        <w:spacing w:before="0" w:after="0"/>
        <w:ind w:firstLine="640"/>
        <w:jc w:val="left"/>
        <w:outlineLvl w:val="9"/>
      </w:pPr>
      <w:r>
        <w:rPr>
          <w:rFonts w:ascii="Times New Roman" w:hAnsi="Times New Roman" w:eastAsia="方正仿宋_GBK" w:cs="Times New Roman"/>
          <w:color w:val="000000"/>
          <w:sz w:val="32"/>
        </w:rPr>
        <w:t xml:space="preserve"> </w:t>
      </w:r>
    </w:p>
    <w:p w14:paraId="2A414989">
      <w:pPr>
        <w:spacing w:before="10" w:after="10" w:line="240" w:lineRule="auto"/>
        <w:ind w:firstLine="640"/>
        <w:jc w:val="left"/>
        <w:outlineLvl w:val="5"/>
      </w:pPr>
      <w:r>
        <w:rPr>
          <w:rFonts w:ascii="黑体" w:hAnsi="黑体" w:eastAsia="黑体" w:cs="黑体"/>
          <w:color w:val="000000"/>
          <w:sz w:val="32"/>
        </w:rPr>
        <w:t>八、名词解释</w:t>
      </w:r>
    </w:p>
    <w:p w14:paraId="6C1883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839F9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18EA1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AF93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AD54B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F9461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72E93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E847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16CB7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169CE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C5A31F">
      <w:pPr>
        <w:spacing w:before="10" w:after="10" w:line="240" w:lineRule="auto"/>
        <w:ind w:firstLine="640"/>
        <w:jc w:val="left"/>
        <w:outlineLvl w:val="5"/>
      </w:pPr>
      <w:r>
        <w:rPr>
          <w:rFonts w:ascii="黑体" w:hAnsi="黑体" w:eastAsia="黑体" w:cs="黑体"/>
          <w:color w:val="000000"/>
          <w:sz w:val="32"/>
        </w:rPr>
        <w:t>九、其他需要说明的事项</w:t>
      </w:r>
    </w:p>
    <w:p w14:paraId="66516BC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7672A64">
      <w:pPr>
        <w:spacing w:before="0" w:after="0"/>
        <w:ind w:firstLine="0"/>
        <w:jc w:val="center"/>
        <w:outlineLvl w:val="3"/>
      </w:pPr>
      <w:bookmarkStart w:id="9" w:name="_Toc_4_4_0000000029"/>
      <w:r>
        <w:rPr>
          <w:rFonts w:ascii="方正小标宋_GBK" w:hAnsi="方正小标宋_GBK" w:eastAsia="方正小标宋_GBK" w:cs="方正小标宋_GBK"/>
          <w:b w:val="0"/>
          <w:color w:val="000000"/>
          <w:sz w:val="44"/>
        </w:rPr>
        <w:t>九、隆尧县固城中学收支预算</w:t>
      </w:r>
      <w:bookmarkEnd w:id="9"/>
    </w:p>
    <w:p w14:paraId="1BD35E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0CE5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C2E9DC">
            <w:pPr>
              <w:pStyle w:val="8"/>
            </w:pPr>
            <w:r>
              <w:t>360010隆尧县固城中学</w:t>
            </w:r>
          </w:p>
        </w:tc>
        <w:tc>
          <w:tcPr>
            <w:tcW w:w="2126" w:type="dxa"/>
            <w:tcBorders>
              <w:top w:val="single" w:color="FFFFFF" w:sz="6" w:space="0"/>
              <w:left w:val="single" w:color="FFFFFF" w:sz="6" w:space="0"/>
              <w:right w:val="single" w:color="FFFFFF" w:sz="6" w:space="0"/>
            </w:tcBorders>
            <w:vAlign w:val="center"/>
          </w:tcPr>
          <w:p w14:paraId="638867FF">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D90E9F3">
            <w:pPr>
              <w:pStyle w:val="10"/>
            </w:pPr>
            <w:r>
              <w:t>单位：万元</w:t>
            </w:r>
          </w:p>
        </w:tc>
      </w:tr>
      <w:tr w14:paraId="03D39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8D752">
            <w:pPr>
              <w:pStyle w:val="11"/>
            </w:pPr>
            <w:r>
              <w:t>序号</w:t>
            </w:r>
          </w:p>
        </w:tc>
        <w:tc>
          <w:tcPr>
            <w:tcW w:w="6661" w:type="dxa"/>
            <w:gridSpan w:val="2"/>
            <w:vAlign w:val="center"/>
          </w:tcPr>
          <w:p w14:paraId="2AA4F8D9">
            <w:pPr>
              <w:pStyle w:val="11"/>
            </w:pPr>
            <w:r>
              <w:t>收入</w:t>
            </w:r>
          </w:p>
        </w:tc>
        <w:tc>
          <w:tcPr>
            <w:tcW w:w="6661" w:type="dxa"/>
            <w:gridSpan w:val="2"/>
            <w:vAlign w:val="center"/>
          </w:tcPr>
          <w:p w14:paraId="00F60EFD">
            <w:pPr>
              <w:pStyle w:val="11"/>
            </w:pPr>
            <w:r>
              <w:t>支出</w:t>
            </w:r>
          </w:p>
        </w:tc>
      </w:tr>
      <w:tr w14:paraId="388C7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FEAB34"/>
        </w:tc>
        <w:tc>
          <w:tcPr>
            <w:tcW w:w="4535" w:type="dxa"/>
            <w:vAlign w:val="center"/>
          </w:tcPr>
          <w:p w14:paraId="4342AC87">
            <w:pPr>
              <w:pStyle w:val="11"/>
            </w:pPr>
            <w:r>
              <w:t>项  目</w:t>
            </w:r>
          </w:p>
        </w:tc>
        <w:tc>
          <w:tcPr>
            <w:tcW w:w="2126" w:type="dxa"/>
            <w:vAlign w:val="center"/>
          </w:tcPr>
          <w:p w14:paraId="739BC8A4">
            <w:pPr>
              <w:pStyle w:val="11"/>
            </w:pPr>
            <w:r>
              <w:t>预算数</w:t>
            </w:r>
          </w:p>
        </w:tc>
        <w:tc>
          <w:tcPr>
            <w:tcW w:w="4535" w:type="dxa"/>
            <w:vAlign w:val="center"/>
          </w:tcPr>
          <w:p w14:paraId="288D63B2">
            <w:pPr>
              <w:pStyle w:val="11"/>
            </w:pPr>
            <w:r>
              <w:t>项  目</w:t>
            </w:r>
          </w:p>
        </w:tc>
        <w:tc>
          <w:tcPr>
            <w:tcW w:w="2126" w:type="dxa"/>
            <w:vAlign w:val="center"/>
          </w:tcPr>
          <w:p w14:paraId="067AACA2">
            <w:pPr>
              <w:pStyle w:val="11"/>
            </w:pPr>
            <w:r>
              <w:t>预算数</w:t>
            </w:r>
          </w:p>
        </w:tc>
      </w:tr>
      <w:tr w14:paraId="47403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34F15F">
            <w:pPr>
              <w:pStyle w:val="11"/>
            </w:pPr>
            <w:r>
              <w:t>栏次</w:t>
            </w:r>
          </w:p>
        </w:tc>
        <w:tc>
          <w:tcPr>
            <w:tcW w:w="4535" w:type="dxa"/>
            <w:vAlign w:val="center"/>
          </w:tcPr>
          <w:p w14:paraId="76A09CFA">
            <w:pPr>
              <w:pStyle w:val="11"/>
            </w:pPr>
            <w:r>
              <w:t>1</w:t>
            </w:r>
          </w:p>
        </w:tc>
        <w:tc>
          <w:tcPr>
            <w:tcW w:w="2126" w:type="dxa"/>
            <w:vAlign w:val="center"/>
          </w:tcPr>
          <w:p w14:paraId="0D850BF4">
            <w:pPr>
              <w:pStyle w:val="11"/>
            </w:pPr>
            <w:r>
              <w:t>2</w:t>
            </w:r>
          </w:p>
        </w:tc>
        <w:tc>
          <w:tcPr>
            <w:tcW w:w="4535" w:type="dxa"/>
            <w:vAlign w:val="center"/>
          </w:tcPr>
          <w:p w14:paraId="50C573F0">
            <w:pPr>
              <w:pStyle w:val="11"/>
            </w:pPr>
            <w:r>
              <w:t>3</w:t>
            </w:r>
          </w:p>
        </w:tc>
        <w:tc>
          <w:tcPr>
            <w:tcW w:w="2126" w:type="dxa"/>
            <w:vAlign w:val="center"/>
          </w:tcPr>
          <w:p w14:paraId="681E8439">
            <w:pPr>
              <w:pStyle w:val="11"/>
            </w:pPr>
            <w:r>
              <w:t>4</w:t>
            </w:r>
          </w:p>
        </w:tc>
      </w:tr>
      <w:tr w14:paraId="0E5E1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2BABF">
            <w:pPr>
              <w:pStyle w:val="12"/>
            </w:pPr>
            <w:r>
              <w:t>1</w:t>
            </w:r>
          </w:p>
        </w:tc>
        <w:tc>
          <w:tcPr>
            <w:tcW w:w="4535" w:type="dxa"/>
            <w:vAlign w:val="center"/>
          </w:tcPr>
          <w:p w14:paraId="315DEB31">
            <w:pPr>
              <w:pStyle w:val="13"/>
            </w:pPr>
            <w:r>
              <w:t>一、一般公共预算拨款收入</w:t>
            </w:r>
          </w:p>
        </w:tc>
        <w:tc>
          <w:tcPr>
            <w:tcW w:w="2126" w:type="dxa"/>
            <w:vAlign w:val="center"/>
          </w:tcPr>
          <w:p w14:paraId="12DFD32C">
            <w:pPr>
              <w:pStyle w:val="14"/>
            </w:pPr>
            <w:r>
              <w:t>2261.13</w:t>
            </w:r>
          </w:p>
        </w:tc>
        <w:tc>
          <w:tcPr>
            <w:tcW w:w="4535" w:type="dxa"/>
            <w:vAlign w:val="center"/>
          </w:tcPr>
          <w:p w14:paraId="6316C8E0">
            <w:pPr>
              <w:pStyle w:val="13"/>
            </w:pPr>
            <w:r>
              <w:t>一、一般公共服务支出</w:t>
            </w:r>
          </w:p>
        </w:tc>
        <w:tc>
          <w:tcPr>
            <w:tcW w:w="2126" w:type="dxa"/>
            <w:vAlign w:val="center"/>
          </w:tcPr>
          <w:p w14:paraId="4ADFA3C6">
            <w:pPr>
              <w:pStyle w:val="14"/>
            </w:pPr>
          </w:p>
        </w:tc>
      </w:tr>
      <w:tr w14:paraId="5C67A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F4359">
            <w:pPr>
              <w:pStyle w:val="12"/>
            </w:pPr>
            <w:r>
              <w:t>2</w:t>
            </w:r>
          </w:p>
        </w:tc>
        <w:tc>
          <w:tcPr>
            <w:tcW w:w="4535" w:type="dxa"/>
            <w:vAlign w:val="center"/>
          </w:tcPr>
          <w:p w14:paraId="01B99C10">
            <w:pPr>
              <w:pStyle w:val="13"/>
            </w:pPr>
            <w:r>
              <w:t>二、政府性基金预算拨款收入</w:t>
            </w:r>
          </w:p>
        </w:tc>
        <w:tc>
          <w:tcPr>
            <w:tcW w:w="2126" w:type="dxa"/>
            <w:vAlign w:val="center"/>
          </w:tcPr>
          <w:p w14:paraId="1EA16C25">
            <w:pPr>
              <w:pStyle w:val="14"/>
            </w:pPr>
          </w:p>
        </w:tc>
        <w:tc>
          <w:tcPr>
            <w:tcW w:w="4535" w:type="dxa"/>
            <w:vAlign w:val="center"/>
          </w:tcPr>
          <w:p w14:paraId="65ADBFD5">
            <w:pPr>
              <w:pStyle w:val="13"/>
            </w:pPr>
            <w:r>
              <w:t>二、外交支出</w:t>
            </w:r>
          </w:p>
        </w:tc>
        <w:tc>
          <w:tcPr>
            <w:tcW w:w="2126" w:type="dxa"/>
            <w:vAlign w:val="center"/>
          </w:tcPr>
          <w:p w14:paraId="0C38148E">
            <w:pPr>
              <w:pStyle w:val="14"/>
            </w:pPr>
          </w:p>
        </w:tc>
      </w:tr>
      <w:tr w14:paraId="484A2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BD3A7">
            <w:pPr>
              <w:pStyle w:val="12"/>
            </w:pPr>
            <w:r>
              <w:t>3</w:t>
            </w:r>
          </w:p>
        </w:tc>
        <w:tc>
          <w:tcPr>
            <w:tcW w:w="4535" w:type="dxa"/>
            <w:vAlign w:val="center"/>
          </w:tcPr>
          <w:p w14:paraId="730C08DE">
            <w:pPr>
              <w:pStyle w:val="13"/>
            </w:pPr>
            <w:r>
              <w:t>三、国有资本经营预算拨款收入</w:t>
            </w:r>
          </w:p>
        </w:tc>
        <w:tc>
          <w:tcPr>
            <w:tcW w:w="2126" w:type="dxa"/>
            <w:vAlign w:val="center"/>
          </w:tcPr>
          <w:p w14:paraId="35939BD3">
            <w:pPr>
              <w:pStyle w:val="14"/>
            </w:pPr>
          </w:p>
        </w:tc>
        <w:tc>
          <w:tcPr>
            <w:tcW w:w="4535" w:type="dxa"/>
            <w:vAlign w:val="center"/>
          </w:tcPr>
          <w:p w14:paraId="4D0F55A6">
            <w:pPr>
              <w:pStyle w:val="13"/>
            </w:pPr>
            <w:r>
              <w:t>三、国防支出</w:t>
            </w:r>
          </w:p>
        </w:tc>
        <w:tc>
          <w:tcPr>
            <w:tcW w:w="2126" w:type="dxa"/>
            <w:vAlign w:val="center"/>
          </w:tcPr>
          <w:p w14:paraId="13E74CD5">
            <w:pPr>
              <w:pStyle w:val="14"/>
            </w:pPr>
          </w:p>
        </w:tc>
      </w:tr>
      <w:tr w14:paraId="5F854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B573F">
            <w:pPr>
              <w:pStyle w:val="12"/>
            </w:pPr>
            <w:r>
              <w:t>4</w:t>
            </w:r>
          </w:p>
        </w:tc>
        <w:tc>
          <w:tcPr>
            <w:tcW w:w="4535" w:type="dxa"/>
            <w:vAlign w:val="center"/>
          </w:tcPr>
          <w:p w14:paraId="416537B3">
            <w:pPr>
              <w:pStyle w:val="13"/>
            </w:pPr>
            <w:r>
              <w:t>四、财政专户管理资金收入</w:t>
            </w:r>
          </w:p>
        </w:tc>
        <w:tc>
          <w:tcPr>
            <w:tcW w:w="2126" w:type="dxa"/>
            <w:vAlign w:val="center"/>
          </w:tcPr>
          <w:p w14:paraId="22759208">
            <w:pPr>
              <w:pStyle w:val="14"/>
            </w:pPr>
          </w:p>
        </w:tc>
        <w:tc>
          <w:tcPr>
            <w:tcW w:w="4535" w:type="dxa"/>
            <w:vAlign w:val="center"/>
          </w:tcPr>
          <w:p w14:paraId="47A49A8C">
            <w:pPr>
              <w:pStyle w:val="13"/>
            </w:pPr>
            <w:r>
              <w:t>四、公共安全支出</w:t>
            </w:r>
          </w:p>
        </w:tc>
        <w:tc>
          <w:tcPr>
            <w:tcW w:w="2126" w:type="dxa"/>
            <w:vAlign w:val="center"/>
          </w:tcPr>
          <w:p w14:paraId="324F05A8">
            <w:pPr>
              <w:pStyle w:val="14"/>
            </w:pPr>
          </w:p>
        </w:tc>
      </w:tr>
      <w:tr w14:paraId="39951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A5FB0">
            <w:pPr>
              <w:pStyle w:val="12"/>
            </w:pPr>
            <w:r>
              <w:t>5</w:t>
            </w:r>
          </w:p>
        </w:tc>
        <w:tc>
          <w:tcPr>
            <w:tcW w:w="4535" w:type="dxa"/>
            <w:vAlign w:val="center"/>
          </w:tcPr>
          <w:p w14:paraId="002AB69A">
            <w:pPr>
              <w:pStyle w:val="13"/>
            </w:pPr>
            <w:r>
              <w:t>五、单位资金</w:t>
            </w:r>
          </w:p>
        </w:tc>
        <w:tc>
          <w:tcPr>
            <w:tcW w:w="2126" w:type="dxa"/>
            <w:vAlign w:val="center"/>
          </w:tcPr>
          <w:p w14:paraId="379EB1E9">
            <w:pPr>
              <w:pStyle w:val="14"/>
            </w:pPr>
          </w:p>
        </w:tc>
        <w:tc>
          <w:tcPr>
            <w:tcW w:w="4535" w:type="dxa"/>
            <w:vAlign w:val="center"/>
          </w:tcPr>
          <w:p w14:paraId="717268BB">
            <w:pPr>
              <w:pStyle w:val="13"/>
            </w:pPr>
            <w:r>
              <w:t>五、教育支出</w:t>
            </w:r>
          </w:p>
        </w:tc>
        <w:tc>
          <w:tcPr>
            <w:tcW w:w="2126" w:type="dxa"/>
            <w:vAlign w:val="center"/>
          </w:tcPr>
          <w:p w14:paraId="54AFC77B">
            <w:pPr>
              <w:pStyle w:val="14"/>
            </w:pPr>
            <w:r>
              <w:t>2261.13</w:t>
            </w:r>
          </w:p>
        </w:tc>
      </w:tr>
      <w:tr w14:paraId="13FE1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7441A">
            <w:pPr>
              <w:pStyle w:val="12"/>
            </w:pPr>
            <w:r>
              <w:t>6</w:t>
            </w:r>
          </w:p>
        </w:tc>
        <w:tc>
          <w:tcPr>
            <w:tcW w:w="4535" w:type="dxa"/>
            <w:vAlign w:val="center"/>
          </w:tcPr>
          <w:p w14:paraId="15A8EA67">
            <w:pPr>
              <w:pStyle w:val="13"/>
            </w:pPr>
          </w:p>
        </w:tc>
        <w:tc>
          <w:tcPr>
            <w:tcW w:w="2126" w:type="dxa"/>
            <w:vAlign w:val="center"/>
          </w:tcPr>
          <w:p w14:paraId="3DECC694">
            <w:pPr>
              <w:pStyle w:val="14"/>
            </w:pPr>
          </w:p>
        </w:tc>
        <w:tc>
          <w:tcPr>
            <w:tcW w:w="4535" w:type="dxa"/>
            <w:vAlign w:val="center"/>
          </w:tcPr>
          <w:p w14:paraId="6AB52140">
            <w:pPr>
              <w:pStyle w:val="13"/>
            </w:pPr>
            <w:r>
              <w:t>六、科学技术支出</w:t>
            </w:r>
          </w:p>
        </w:tc>
        <w:tc>
          <w:tcPr>
            <w:tcW w:w="2126" w:type="dxa"/>
            <w:vAlign w:val="center"/>
          </w:tcPr>
          <w:p w14:paraId="560B971C">
            <w:pPr>
              <w:pStyle w:val="14"/>
            </w:pPr>
          </w:p>
        </w:tc>
      </w:tr>
      <w:tr w14:paraId="41021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10C37">
            <w:pPr>
              <w:pStyle w:val="12"/>
            </w:pPr>
            <w:r>
              <w:t>7</w:t>
            </w:r>
          </w:p>
        </w:tc>
        <w:tc>
          <w:tcPr>
            <w:tcW w:w="4535" w:type="dxa"/>
            <w:vAlign w:val="center"/>
          </w:tcPr>
          <w:p w14:paraId="2EB8531C">
            <w:pPr>
              <w:pStyle w:val="13"/>
            </w:pPr>
          </w:p>
        </w:tc>
        <w:tc>
          <w:tcPr>
            <w:tcW w:w="2126" w:type="dxa"/>
            <w:vAlign w:val="center"/>
          </w:tcPr>
          <w:p w14:paraId="1E7130B8">
            <w:pPr>
              <w:pStyle w:val="14"/>
            </w:pPr>
          </w:p>
        </w:tc>
        <w:tc>
          <w:tcPr>
            <w:tcW w:w="4535" w:type="dxa"/>
            <w:vAlign w:val="center"/>
          </w:tcPr>
          <w:p w14:paraId="6F136832">
            <w:pPr>
              <w:pStyle w:val="13"/>
            </w:pPr>
            <w:r>
              <w:t>七、文化旅游体育与传媒支出</w:t>
            </w:r>
          </w:p>
        </w:tc>
        <w:tc>
          <w:tcPr>
            <w:tcW w:w="2126" w:type="dxa"/>
            <w:vAlign w:val="center"/>
          </w:tcPr>
          <w:p w14:paraId="14AADE0A">
            <w:pPr>
              <w:pStyle w:val="14"/>
            </w:pPr>
          </w:p>
        </w:tc>
      </w:tr>
      <w:tr w14:paraId="0DCEF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4B3DA">
            <w:pPr>
              <w:pStyle w:val="12"/>
            </w:pPr>
            <w:r>
              <w:t>8</w:t>
            </w:r>
          </w:p>
        </w:tc>
        <w:tc>
          <w:tcPr>
            <w:tcW w:w="4535" w:type="dxa"/>
            <w:vAlign w:val="center"/>
          </w:tcPr>
          <w:p w14:paraId="42A0DA5C">
            <w:pPr>
              <w:pStyle w:val="13"/>
            </w:pPr>
          </w:p>
        </w:tc>
        <w:tc>
          <w:tcPr>
            <w:tcW w:w="2126" w:type="dxa"/>
            <w:vAlign w:val="center"/>
          </w:tcPr>
          <w:p w14:paraId="38591793">
            <w:pPr>
              <w:pStyle w:val="14"/>
            </w:pPr>
          </w:p>
        </w:tc>
        <w:tc>
          <w:tcPr>
            <w:tcW w:w="4535" w:type="dxa"/>
            <w:vAlign w:val="center"/>
          </w:tcPr>
          <w:p w14:paraId="656061BC">
            <w:pPr>
              <w:pStyle w:val="13"/>
            </w:pPr>
            <w:r>
              <w:t>八、社会保障和就业支出</w:t>
            </w:r>
          </w:p>
        </w:tc>
        <w:tc>
          <w:tcPr>
            <w:tcW w:w="2126" w:type="dxa"/>
            <w:vAlign w:val="center"/>
          </w:tcPr>
          <w:p w14:paraId="7DA68A48">
            <w:pPr>
              <w:pStyle w:val="14"/>
            </w:pPr>
          </w:p>
        </w:tc>
      </w:tr>
      <w:tr w14:paraId="1A7AD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9528E">
            <w:pPr>
              <w:pStyle w:val="12"/>
            </w:pPr>
            <w:r>
              <w:t>9</w:t>
            </w:r>
          </w:p>
        </w:tc>
        <w:tc>
          <w:tcPr>
            <w:tcW w:w="4535" w:type="dxa"/>
            <w:vAlign w:val="center"/>
          </w:tcPr>
          <w:p w14:paraId="37D8135C">
            <w:pPr>
              <w:pStyle w:val="13"/>
            </w:pPr>
          </w:p>
        </w:tc>
        <w:tc>
          <w:tcPr>
            <w:tcW w:w="2126" w:type="dxa"/>
            <w:vAlign w:val="center"/>
          </w:tcPr>
          <w:p w14:paraId="123ED353">
            <w:pPr>
              <w:pStyle w:val="14"/>
            </w:pPr>
          </w:p>
        </w:tc>
        <w:tc>
          <w:tcPr>
            <w:tcW w:w="4535" w:type="dxa"/>
            <w:vAlign w:val="center"/>
          </w:tcPr>
          <w:p w14:paraId="54FC2D5D">
            <w:pPr>
              <w:pStyle w:val="13"/>
            </w:pPr>
            <w:r>
              <w:t>九、社会保险基金支出</w:t>
            </w:r>
          </w:p>
        </w:tc>
        <w:tc>
          <w:tcPr>
            <w:tcW w:w="2126" w:type="dxa"/>
            <w:vAlign w:val="center"/>
          </w:tcPr>
          <w:p w14:paraId="25F0E07C">
            <w:pPr>
              <w:pStyle w:val="14"/>
            </w:pPr>
          </w:p>
        </w:tc>
      </w:tr>
      <w:tr w14:paraId="2129F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BD8A1">
            <w:pPr>
              <w:pStyle w:val="12"/>
            </w:pPr>
            <w:r>
              <w:t>10</w:t>
            </w:r>
          </w:p>
        </w:tc>
        <w:tc>
          <w:tcPr>
            <w:tcW w:w="4535" w:type="dxa"/>
            <w:vAlign w:val="center"/>
          </w:tcPr>
          <w:p w14:paraId="19654443">
            <w:pPr>
              <w:pStyle w:val="13"/>
            </w:pPr>
          </w:p>
        </w:tc>
        <w:tc>
          <w:tcPr>
            <w:tcW w:w="2126" w:type="dxa"/>
            <w:vAlign w:val="center"/>
          </w:tcPr>
          <w:p w14:paraId="0CB51173">
            <w:pPr>
              <w:pStyle w:val="14"/>
            </w:pPr>
          </w:p>
        </w:tc>
        <w:tc>
          <w:tcPr>
            <w:tcW w:w="4535" w:type="dxa"/>
            <w:vAlign w:val="center"/>
          </w:tcPr>
          <w:p w14:paraId="13A0A093">
            <w:pPr>
              <w:pStyle w:val="13"/>
            </w:pPr>
            <w:r>
              <w:t>十、卫生健康支出</w:t>
            </w:r>
          </w:p>
        </w:tc>
        <w:tc>
          <w:tcPr>
            <w:tcW w:w="2126" w:type="dxa"/>
            <w:vAlign w:val="center"/>
          </w:tcPr>
          <w:p w14:paraId="0DF72C46">
            <w:pPr>
              <w:pStyle w:val="14"/>
            </w:pPr>
          </w:p>
        </w:tc>
      </w:tr>
      <w:tr w14:paraId="17A03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A64E8">
            <w:pPr>
              <w:pStyle w:val="12"/>
            </w:pPr>
            <w:r>
              <w:t>11</w:t>
            </w:r>
          </w:p>
        </w:tc>
        <w:tc>
          <w:tcPr>
            <w:tcW w:w="4535" w:type="dxa"/>
            <w:vAlign w:val="center"/>
          </w:tcPr>
          <w:p w14:paraId="34CB7834">
            <w:pPr>
              <w:pStyle w:val="13"/>
            </w:pPr>
          </w:p>
        </w:tc>
        <w:tc>
          <w:tcPr>
            <w:tcW w:w="2126" w:type="dxa"/>
            <w:vAlign w:val="center"/>
          </w:tcPr>
          <w:p w14:paraId="3587AACB">
            <w:pPr>
              <w:pStyle w:val="14"/>
            </w:pPr>
          </w:p>
        </w:tc>
        <w:tc>
          <w:tcPr>
            <w:tcW w:w="4535" w:type="dxa"/>
            <w:vAlign w:val="center"/>
          </w:tcPr>
          <w:p w14:paraId="0438DC94">
            <w:pPr>
              <w:pStyle w:val="13"/>
            </w:pPr>
            <w:r>
              <w:t>十一、节能环保支出</w:t>
            </w:r>
          </w:p>
        </w:tc>
        <w:tc>
          <w:tcPr>
            <w:tcW w:w="2126" w:type="dxa"/>
            <w:vAlign w:val="center"/>
          </w:tcPr>
          <w:p w14:paraId="0BD23D9F">
            <w:pPr>
              <w:pStyle w:val="14"/>
            </w:pPr>
          </w:p>
        </w:tc>
      </w:tr>
      <w:tr w14:paraId="42C37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4FB6C">
            <w:pPr>
              <w:pStyle w:val="12"/>
            </w:pPr>
            <w:r>
              <w:t>12</w:t>
            </w:r>
          </w:p>
        </w:tc>
        <w:tc>
          <w:tcPr>
            <w:tcW w:w="4535" w:type="dxa"/>
            <w:vAlign w:val="center"/>
          </w:tcPr>
          <w:p w14:paraId="10396502">
            <w:pPr>
              <w:pStyle w:val="13"/>
            </w:pPr>
          </w:p>
        </w:tc>
        <w:tc>
          <w:tcPr>
            <w:tcW w:w="2126" w:type="dxa"/>
            <w:vAlign w:val="center"/>
          </w:tcPr>
          <w:p w14:paraId="33A12C87">
            <w:pPr>
              <w:pStyle w:val="14"/>
            </w:pPr>
          </w:p>
        </w:tc>
        <w:tc>
          <w:tcPr>
            <w:tcW w:w="4535" w:type="dxa"/>
            <w:vAlign w:val="center"/>
          </w:tcPr>
          <w:p w14:paraId="219A56A4">
            <w:pPr>
              <w:pStyle w:val="13"/>
            </w:pPr>
            <w:r>
              <w:t>十二、城乡社区支出</w:t>
            </w:r>
          </w:p>
        </w:tc>
        <w:tc>
          <w:tcPr>
            <w:tcW w:w="2126" w:type="dxa"/>
            <w:vAlign w:val="center"/>
          </w:tcPr>
          <w:p w14:paraId="53751F20">
            <w:pPr>
              <w:pStyle w:val="14"/>
            </w:pPr>
          </w:p>
        </w:tc>
      </w:tr>
      <w:tr w14:paraId="125C1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6281B">
            <w:pPr>
              <w:pStyle w:val="12"/>
            </w:pPr>
            <w:r>
              <w:t>13</w:t>
            </w:r>
          </w:p>
        </w:tc>
        <w:tc>
          <w:tcPr>
            <w:tcW w:w="4535" w:type="dxa"/>
            <w:vAlign w:val="center"/>
          </w:tcPr>
          <w:p w14:paraId="60FC70DE">
            <w:pPr>
              <w:pStyle w:val="13"/>
            </w:pPr>
          </w:p>
        </w:tc>
        <w:tc>
          <w:tcPr>
            <w:tcW w:w="2126" w:type="dxa"/>
            <w:vAlign w:val="center"/>
          </w:tcPr>
          <w:p w14:paraId="71DEF6BF">
            <w:pPr>
              <w:pStyle w:val="14"/>
            </w:pPr>
          </w:p>
        </w:tc>
        <w:tc>
          <w:tcPr>
            <w:tcW w:w="4535" w:type="dxa"/>
            <w:vAlign w:val="center"/>
          </w:tcPr>
          <w:p w14:paraId="497F343B">
            <w:pPr>
              <w:pStyle w:val="13"/>
            </w:pPr>
            <w:r>
              <w:t>十三、农林水支出</w:t>
            </w:r>
          </w:p>
        </w:tc>
        <w:tc>
          <w:tcPr>
            <w:tcW w:w="2126" w:type="dxa"/>
            <w:vAlign w:val="center"/>
          </w:tcPr>
          <w:p w14:paraId="78EECBC0">
            <w:pPr>
              <w:pStyle w:val="14"/>
            </w:pPr>
          </w:p>
        </w:tc>
      </w:tr>
      <w:tr w14:paraId="2FD4A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371F8">
            <w:pPr>
              <w:pStyle w:val="12"/>
            </w:pPr>
            <w:r>
              <w:t>14</w:t>
            </w:r>
          </w:p>
        </w:tc>
        <w:tc>
          <w:tcPr>
            <w:tcW w:w="4535" w:type="dxa"/>
            <w:vAlign w:val="center"/>
          </w:tcPr>
          <w:p w14:paraId="24C1956B">
            <w:pPr>
              <w:pStyle w:val="13"/>
            </w:pPr>
          </w:p>
        </w:tc>
        <w:tc>
          <w:tcPr>
            <w:tcW w:w="2126" w:type="dxa"/>
            <w:vAlign w:val="center"/>
          </w:tcPr>
          <w:p w14:paraId="0542B629">
            <w:pPr>
              <w:pStyle w:val="14"/>
            </w:pPr>
          </w:p>
        </w:tc>
        <w:tc>
          <w:tcPr>
            <w:tcW w:w="4535" w:type="dxa"/>
            <w:vAlign w:val="center"/>
          </w:tcPr>
          <w:p w14:paraId="3E370F84">
            <w:pPr>
              <w:pStyle w:val="13"/>
            </w:pPr>
            <w:r>
              <w:t>十四、交通运输支出</w:t>
            </w:r>
          </w:p>
        </w:tc>
        <w:tc>
          <w:tcPr>
            <w:tcW w:w="2126" w:type="dxa"/>
            <w:vAlign w:val="center"/>
          </w:tcPr>
          <w:p w14:paraId="4FFFE7C4">
            <w:pPr>
              <w:pStyle w:val="14"/>
            </w:pPr>
          </w:p>
        </w:tc>
      </w:tr>
      <w:tr w14:paraId="35FD2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4EB37">
            <w:pPr>
              <w:pStyle w:val="12"/>
            </w:pPr>
            <w:r>
              <w:t>15</w:t>
            </w:r>
          </w:p>
        </w:tc>
        <w:tc>
          <w:tcPr>
            <w:tcW w:w="4535" w:type="dxa"/>
            <w:vAlign w:val="center"/>
          </w:tcPr>
          <w:p w14:paraId="1D58B96F">
            <w:pPr>
              <w:pStyle w:val="13"/>
            </w:pPr>
          </w:p>
        </w:tc>
        <w:tc>
          <w:tcPr>
            <w:tcW w:w="2126" w:type="dxa"/>
            <w:vAlign w:val="center"/>
          </w:tcPr>
          <w:p w14:paraId="5D091838">
            <w:pPr>
              <w:pStyle w:val="14"/>
            </w:pPr>
          </w:p>
        </w:tc>
        <w:tc>
          <w:tcPr>
            <w:tcW w:w="4535" w:type="dxa"/>
            <w:vAlign w:val="center"/>
          </w:tcPr>
          <w:p w14:paraId="2E2B7EBB">
            <w:pPr>
              <w:pStyle w:val="13"/>
            </w:pPr>
            <w:r>
              <w:t>十五、资源勘探工业信息等支出</w:t>
            </w:r>
          </w:p>
        </w:tc>
        <w:tc>
          <w:tcPr>
            <w:tcW w:w="2126" w:type="dxa"/>
            <w:vAlign w:val="center"/>
          </w:tcPr>
          <w:p w14:paraId="5F8BB83E">
            <w:pPr>
              <w:pStyle w:val="14"/>
            </w:pPr>
          </w:p>
        </w:tc>
      </w:tr>
      <w:tr w14:paraId="465EB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05081">
            <w:pPr>
              <w:pStyle w:val="12"/>
            </w:pPr>
            <w:r>
              <w:t>16</w:t>
            </w:r>
          </w:p>
        </w:tc>
        <w:tc>
          <w:tcPr>
            <w:tcW w:w="4535" w:type="dxa"/>
            <w:vAlign w:val="center"/>
          </w:tcPr>
          <w:p w14:paraId="578D03E0">
            <w:pPr>
              <w:pStyle w:val="13"/>
            </w:pPr>
          </w:p>
        </w:tc>
        <w:tc>
          <w:tcPr>
            <w:tcW w:w="2126" w:type="dxa"/>
            <w:vAlign w:val="center"/>
          </w:tcPr>
          <w:p w14:paraId="5D650B9A">
            <w:pPr>
              <w:pStyle w:val="14"/>
            </w:pPr>
          </w:p>
        </w:tc>
        <w:tc>
          <w:tcPr>
            <w:tcW w:w="4535" w:type="dxa"/>
            <w:vAlign w:val="center"/>
          </w:tcPr>
          <w:p w14:paraId="42577D04">
            <w:pPr>
              <w:pStyle w:val="13"/>
            </w:pPr>
            <w:r>
              <w:t>十六、商业服务业等支出</w:t>
            </w:r>
          </w:p>
        </w:tc>
        <w:tc>
          <w:tcPr>
            <w:tcW w:w="2126" w:type="dxa"/>
            <w:vAlign w:val="center"/>
          </w:tcPr>
          <w:p w14:paraId="3B7C11EA">
            <w:pPr>
              <w:pStyle w:val="14"/>
            </w:pPr>
          </w:p>
        </w:tc>
      </w:tr>
      <w:tr w14:paraId="58F84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DBF3A">
            <w:pPr>
              <w:pStyle w:val="12"/>
            </w:pPr>
            <w:r>
              <w:t>17</w:t>
            </w:r>
          </w:p>
        </w:tc>
        <w:tc>
          <w:tcPr>
            <w:tcW w:w="4535" w:type="dxa"/>
            <w:vAlign w:val="center"/>
          </w:tcPr>
          <w:p w14:paraId="5BA3FE85">
            <w:pPr>
              <w:pStyle w:val="13"/>
            </w:pPr>
          </w:p>
        </w:tc>
        <w:tc>
          <w:tcPr>
            <w:tcW w:w="2126" w:type="dxa"/>
            <w:vAlign w:val="center"/>
          </w:tcPr>
          <w:p w14:paraId="52ADB2F1">
            <w:pPr>
              <w:pStyle w:val="14"/>
            </w:pPr>
          </w:p>
        </w:tc>
        <w:tc>
          <w:tcPr>
            <w:tcW w:w="4535" w:type="dxa"/>
            <w:vAlign w:val="center"/>
          </w:tcPr>
          <w:p w14:paraId="2101F02E">
            <w:pPr>
              <w:pStyle w:val="13"/>
            </w:pPr>
            <w:r>
              <w:t>十七、金融支出</w:t>
            </w:r>
          </w:p>
        </w:tc>
        <w:tc>
          <w:tcPr>
            <w:tcW w:w="2126" w:type="dxa"/>
            <w:vAlign w:val="center"/>
          </w:tcPr>
          <w:p w14:paraId="3F340B79">
            <w:pPr>
              <w:pStyle w:val="14"/>
            </w:pPr>
          </w:p>
        </w:tc>
      </w:tr>
      <w:tr w14:paraId="1C38B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850A7">
            <w:pPr>
              <w:pStyle w:val="12"/>
            </w:pPr>
            <w:r>
              <w:t>18</w:t>
            </w:r>
          </w:p>
        </w:tc>
        <w:tc>
          <w:tcPr>
            <w:tcW w:w="4535" w:type="dxa"/>
            <w:vAlign w:val="center"/>
          </w:tcPr>
          <w:p w14:paraId="3616C23C">
            <w:pPr>
              <w:pStyle w:val="13"/>
            </w:pPr>
          </w:p>
        </w:tc>
        <w:tc>
          <w:tcPr>
            <w:tcW w:w="2126" w:type="dxa"/>
            <w:vAlign w:val="center"/>
          </w:tcPr>
          <w:p w14:paraId="107CB9A7">
            <w:pPr>
              <w:pStyle w:val="14"/>
            </w:pPr>
          </w:p>
        </w:tc>
        <w:tc>
          <w:tcPr>
            <w:tcW w:w="4535" w:type="dxa"/>
            <w:vAlign w:val="center"/>
          </w:tcPr>
          <w:p w14:paraId="04E069CF">
            <w:pPr>
              <w:pStyle w:val="13"/>
            </w:pPr>
            <w:r>
              <w:t>十八、援助其他地区支出</w:t>
            </w:r>
          </w:p>
        </w:tc>
        <w:tc>
          <w:tcPr>
            <w:tcW w:w="2126" w:type="dxa"/>
            <w:vAlign w:val="center"/>
          </w:tcPr>
          <w:p w14:paraId="21C19393">
            <w:pPr>
              <w:pStyle w:val="14"/>
            </w:pPr>
          </w:p>
        </w:tc>
      </w:tr>
      <w:tr w14:paraId="3BE11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46043">
            <w:pPr>
              <w:pStyle w:val="12"/>
            </w:pPr>
            <w:r>
              <w:t>19</w:t>
            </w:r>
          </w:p>
        </w:tc>
        <w:tc>
          <w:tcPr>
            <w:tcW w:w="4535" w:type="dxa"/>
            <w:vAlign w:val="center"/>
          </w:tcPr>
          <w:p w14:paraId="2315C096">
            <w:pPr>
              <w:pStyle w:val="13"/>
            </w:pPr>
          </w:p>
        </w:tc>
        <w:tc>
          <w:tcPr>
            <w:tcW w:w="2126" w:type="dxa"/>
            <w:vAlign w:val="center"/>
          </w:tcPr>
          <w:p w14:paraId="542F8D6D">
            <w:pPr>
              <w:pStyle w:val="14"/>
            </w:pPr>
          </w:p>
        </w:tc>
        <w:tc>
          <w:tcPr>
            <w:tcW w:w="4535" w:type="dxa"/>
            <w:vAlign w:val="center"/>
          </w:tcPr>
          <w:p w14:paraId="7096FDEB">
            <w:pPr>
              <w:pStyle w:val="13"/>
            </w:pPr>
            <w:r>
              <w:t>十九、自然资源海洋气象等支出</w:t>
            </w:r>
          </w:p>
        </w:tc>
        <w:tc>
          <w:tcPr>
            <w:tcW w:w="2126" w:type="dxa"/>
            <w:vAlign w:val="center"/>
          </w:tcPr>
          <w:p w14:paraId="3F6016DE">
            <w:pPr>
              <w:pStyle w:val="14"/>
            </w:pPr>
          </w:p>
        </w:tc>
      </w:tr>
      <w:tr w14:paraId="4223A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C4234">
            <w:pPr>
              <w:pStyle w:val="12"/>
            </w:pPr>
            <w:r>
              <w:t>20</w:t>
            </w:r>
          </w:p>
        </w:tc>
        <w:tc>
          <w:tcPr>
            <w:tcW w:w="4535" w:type="dxa"/>
            <w:vAlign w:val="center"/>
          </w:tcPr>
          <w:p w14:paraId="5F090A12">
            <w:pPr>
              <w:pStyle w:val="13"/>
            </w:pPr>
          </w:p>
        </w:tc>
        <w:tc>
          <w:tcPr>
            <w:tcW w:w="2126" w:type="dxa"/>
            <w:vAlign w:val="center"/>
          </w:tcPr>
          <w:p w14:paraId="399CC482">
            <w:pPr>
              <w:pStyle w:val="14"/>
            </w:pPr>
          </w:p>
        </w:tc>
        <w:tc>
          <w:tcPr>
            <w:tcW w:w="4535" w:type="dxa"/>
            <w:vAlign w:val="center"/>
          </w:tcPr>
          <w:p w14:paraId="31F109C3">
            <w:pPr>
              <w:pStyle w:val="13"/>
            </w:pPr>
            <w:r>
              <w:t>二十、住房保障支出</w:t>
            </w:r>
          </w:p>
        </w:tc>
        <w:tc>
          <w:tcPr>
            <w:tcW w:w="2126" w:type="dxa"/>
            <w:vAlign w:val="center"/>
          </w:tcPr>
          <w:p w14:paraId="356706AF">
            <w:pPr>
              <w:pStyle w:val="14"/>
            </w:pPr>
          </w:p>
        </w:tc>
      </w:tr>
      <w:tr w14:paraId="5AEB7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CE5A7">
            <w:pPr>
              <w:pStyle w:val="12"/>
            </w:pPr>
            <w:r>
              <w:t>21</w:t>
            </w:r>
          </w:p>
        </w:tc>
        <w:tc>
          <w:tcPr>
            <w:tcW w:w="4535" w:type="dxa"/>
            <w:vAlign w:val="center"/>
          </w:tcPr>
          <w:p w14:paraId="71B5EED2">
            <w:pPr>
              <w:pStyle w:val="13"/>
            </w:pPr>
          </w:p>
        </w:tc>
        <w:tc>
          <w:tcPr>
            <w:tcW w:w="2126" w:type="dxa"/>
            <w:vAlign w:val="center"/>
          </w:tcPr>
          <w:p w14:paraId="579A0B1C">
            <w:pPr>
              <w:pStyle w:val="14"/>
            </w:pPr>
          </w:p>
        </w:tc>
        <w:tc>
          <w:tcPr>
            <w:tcW w:w="4535" w:type="dxa"/>
            <w:vAlign w:val="center"/>
          </w:tcPr>
          <w:p w14:paraId="738F5D78">
            <w:pPr>
              <w:pStyle w:val="13"/>
            </w:pPr>
            <w:r>
              <w:t>二十一、粮油物资储备支出</w:t>
            </w:r>
          </w:p>
        </w:tc>
        <w:tc>
          <w:tcPr>
            <w:tcW w:w="2126" w:type="dxa"/>
            <w:vAlign w:val="center"/>
          </w:tcPr>
          <w:p w14:paraId="240383A0">
            <w:pPr>
              <w:pStyle w:val="14"/>
            </w:pPr>
          </w:p>
        </w:tc>
      </w:tr>
      <w:tr w14:paraId="5805A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E783B">
            <w:pPr>
              <w:pStyle w:val="12"/>
            </w:pPr>
            <w:r>
              <w:t>22</w:t>
            </w:r>
          </w:p>
        </w:tc>
        <w:tc>
          <w:tcPr>
            <w:tcW w:w="4535" w:type="dxa"/>
            <w:vAlign w:val="center"/>
          </w:tcPr>
          <w:p w14:paraId="49367820">
            <w:pPr>
              <w:pStyle w:val="13"/>
            </w:pPr>
          </w:p>
        </w:tc>
        <w:tc>
          <w:tcPr>
            <w:tcW w:w="2126" w:type="dxa"/>
            <w:vAlign w:val="center"/>
          </w:tcPr>
          <w:p w14:paraId="1E5873E8">
            <w:pPr>
              <w:pStyle w:val="14"/>
            </w:pPr>
          </w:p>
        </w:tc>
        <w:tc>
          <w:tcPr>
            <w:tcW w:w="4535" w:type="dxa"/>
            <w:vAlign w:val="center"/>
          </w:tcPr>
          <w:p w14:paraId="45F912D2">
            <w:pPr>
              <w:pStyle w:val="13"/>
            </w:pPr>
            <w:r>
              <w:t>二十二、国有资本经营预算支出</w:t>
            </w:r>
          </w:p>
        </w:tc>
        <w:tc>
          <w:tcPr>
            <w:tcW w:w="2126" w:type="dxa"/>
            <w:vAlign w:val="center"/>
          </w:tcPr>
          <w:p w14:paraId="2B583B02">
            <w:pPr>
              <w:pStyle w:val="14"/>
            </w:pPr>
          </w:p>
        </w:tc>
      </w:tr>
      <w:tr w14:paraId="7BD1F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2B623">
            <w:pPr>
              <w:pStyle w:val="12"/>
            </w:pPr>
            <w:r>
              <w:t>23</w:t>
            </w:r>
          </w:p>
        </w:tc>
        <w:tc>
          <w:tcPr>
            <w:tcW w:w="4535" w:type="dxa"/>
            <w:vAlign w:val="center"/>
          </w:tcPr>
          <w:p w14:paraId="481E41DA">
            <w:pPr>
              <w:pStyle w:val="13"/>
            </w:pPr>
          </w:p>
        </w:tc>
        <w:tc>
          <w:tcPr>
            <w:tcW w:w="2126" w:type="dxa"/>
            <w:vAlign w:val="center"/>
          </w:tcPr>
          <w:p w14:paraId="20C8942F">
            <w:pPr>
              <w:pStyle w:val="14"/>
            </w:pPr>
          </w:p>
        </w:tc>
        <w:tc>
          <w:tcPr>
            <w:tcW w:w="4535" w:type="dxa"/>
            <w:vAlign w:val="center"/>
          </w:tcPr>
          <w:p w14:paraId="0DF90287">
            <w:pPr>
              <w:pStyle w:val="13"/>
            </w:pPr>
            <w:r>
              <w:t>二十三、灾害防治及应急管理支出</w:t>
            </w:r>
          </w:p>
        </w:tc>
        <w:tc>
          <w:tcPr>
            <w:tcW w:w="2126" w:type="dxa"/>
            <w:vAlign w:val="center"/>
          </w:tcPr>
          <w:p w14:paraId="1341933F">
            <w:pPr>
              <w:pStyle w:val="14"/>
            </w:pPr>
          </w:p>
        </w:tc>
      </w:tr>
      <w:tr w14:paraId="4586F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B5DDC">
            <w:pPr>
              <w:pStyle w:val="12"/>
            </w:pPr>
            <w:r>
              <w:t>24</w:t>
            </w:r>
          </w:p>
        </w:tc>
        <w:tc>
          <w:tcPr>
            <w:tcW w:w="4535" w:type="dxa"/>
            <w:vAlign w:val="center"/>
          </w:tcPr>
          <w:p w14:paraId="5F9FBE32">
            <w:pPr>
              <w:pStyle w:val="13"/>
            </w:pPr>
          </w:p>
        </w:tc>
        <w:tc>
          <w:tcPr>
            <w:tcW w:w="2126" w:type="dxa"/>
            <w:vAlign w:val="center"/>
          </w:tcPr>
          <w:p w14:paraId="5ED09FAF">
            <w:pPr>
              <w:pStyle w:val="14"/>
            </w:pPr>
          </w:p>
        </w:tc>
        <w:tc>
          <w:tcPr>
            <w:tcW w:w="4535" w:type="dxa"/>
            <w:vAlign w:val="center"/>
          </w:tcPr>
          <w:p w14:paraId="364A2815">
            <w:pPr>
              <w:pStyle w:val="13"/>
            </w:pPr>
            <w:r>
              <w:t>二十四、预备费</w:t>
            </w:r>
          </w:p>
        </w:tc>
        <w:tc>
          <w:tcPr>
            <w:tcW w:w="2126" w:type="dxa"/>
            <w:vAlign w:val="center"/>
          </w:tcPr>
          <w:p w14:paraId="22BD2798">
            <w:pPr>
              <w:pStyle w:val="14"/>
            </w:pPr>
          </w:p>
        </w:tc>
      </w:tr>
      <w:tr w14:paraId="185E9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8CDB1">
            <w:pPr>
              <w:pStyle w:val="12"/>
            </w:pPr>
            <w:r>
              <w:t>25</w:t>
            </w:r>
          </w:p>
        </w:tc>
        <w:tc>
          <w:tcPr>
            <w:tcW w:w="4535" w:type="dxa"/>
            <w:vAlign w:val="center"/>
          </w:tcPr>
          <w:p w14:paraId="38C38E55">
            <w:pPr>
              <w:pStyle w:val="13"/>
            </w:pPr>
          </w:p>
        </w:tc>
        <w:tc>
          <w:tcPr>
            <w:tcW w:w="2126" w:type="dxa"/>
            <w:vAlign w:val="center"/>
          </w:tcPr>
          <w:p w14:paraId="154C76FC">
            <w:pPr>
              <w:pStyle w:val="14"/>
            </w:pPr>
          </w:p>
        </w:tc>
        <w:tc>
          <w:tcPr>
            <w:tcW w:w="4535" w:type="dxa"/>
            <w:vAlign w:val="center"/>
          </w:tcPr>
          <w:p w14:paraId="1ACEC62D">
            <w:pPr>
              <w:pStyle w:val="13"/>
            </w:pPr>
            <w:r>
              <w:t>二十五、其他支出</w:t>
            </w:r>
          </w:p>
        </w:tc>
        <w:tc>
          <w:tcPr>
            <w:tcW w:w="2126" w:type="dxa"/>
            <w:vAlign w:val="center"/>
          </w:tcPr>
          <w:p w14:paraId="50B586B6">
            <w:pPr>
              <w:pStyle w:val="14"/>
            </w:pPr>
          </w:p>
        </w:tc>
      </w:tr>
      <w:tr w14:paraId="69D58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39527">
            <w:pPr>
              <w:pStyle w:val="12"/>
            </w:pPr>
            <w:r>
              <w:t>26</w:t>
            </w:r>
          </w:p>
        </w:tc>
        <w:tc>
          <w:tcPr>
            <w:tcW w:w="4535" w:type="dxa"/>
            <w:vAlign w:val="center"/>
          </w:tcPr>
          <w:p w14:paraId="5A048238">
            <w:pPr>
              <w:pStyle w:val="13"/>
            </w:pPr>
          </w:p>
        </w:tc>
        <w:tc>
          <w:tcPr>
            <w:tcW w:w="2126" w:type="dxa"/>
            <w:vAlign w:val="center"/>
          </w:tcPr>
          <w:p w14:paraId="00E7F598">
            <w:pPr>
              <w:pStyle w:val="14"/>
            </w:pPr>
          </w:p>
        </w:tc>
        <w:tc>
          <w:tcPr>
            <w:tcW w:w="4535" w:type="dxa"/>
            <w:vAlign w:val="center"/>
          </w:tcPr>
          <w:p w14:paraId="5543C422">
            <w:pPr>
              <w:pStyle w:val="13"/>
            </w:pPr>
            <w:r>
              <w:t>二十六、转移性支出</w:t>
            </w:r>
          </w:p>
        </w:tc>
        <w:tc>
          <w:tcPr>
            <w:tcW w:w="2126" w:type="dxa"/>
            <w:vAlign w:val="center"/>
          </w:tcPr>
          <w:p w14:paraId="1898131A">
            <w:pPr>
              <w:pStyle w:val="14"/>
            </w:pPr>
          </w:p>
        </w:tc>
      </w:tr>
      <w:tr w14:paraId="4970C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27AE9">
            <w:pPr>
              <w:pStyle w:val="12"/>
            </w:pPr>
            <w:r>
              <w:t>27</w:t>
            </w:r>
          </w:p>
        </w:tc>
        <w:tc>
          <w:tcPr>
            <w:tcW w:w="4535" w:type="dxa"/>
            <w:vAlign w:val="center"/>
          </w:tcPr>
          <w:p w14:paraId="4DF6CF15">
            <w:pPr>
              <w:pStyle w:val="13"/>
            </w:pPr>
          </w:p>
        </w:tc>
        <w:tc>
          <w:tcPr>
            <w:tcW w:w="2126" w:type="dxa"/>
            <w:vAlign w:val="center"/>
          </w:tcPr>
          <w:p w14:paraId="7D1857A4">
            <w:pPr>
              <w:pStyle w:val="14"/>
            </w:pPr>
          </w:p>
        </w:tc>
        <w:tc>
          <w:tcPr>
            <w:tcW w:w="4535" w:type="dxa"/>
            <w:vAlign w:val="center"/>
          </w:tcPr>
          <w:p w14:paraId="3B96CA1D">
            <w:pPr>
              <w:pStyle w:val="13"/>
            </w:pPr>
            <w:r>
              <w:t>二十七、债务还本支出</w:t>
            </w:r>
          </w:p>
        </w:tc>
        <w:tc>
          <w:tcPr>
            <w:tcW w:w="2126" w:type="dxa"/>
            <w:vAlign w:val="center"/>
          </w:tcPr>
          <w:p w14:paraId="25562C6B">
            <w:pPr>
              <w:pStyle w:val="14"/>
            </w:pPr>
          </w:p>
        </w:tc>
      </w:tr>
      <w:tr w14:paraId="17FAF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C2791">
            <w:pPr>
              <w:pStyle w:val="12"/>
            </w:pPr>
            <w:r>
              <w:t>28</w:t>
            </w:r>
          </w:p>
        </w:tc>
        <w:tc>
          <w:tcPr>
            <w:tcW w:w="4535" w:type="dxa"/>
            <w:vAlign w:val="center"/>
          </w:tcPr>
          <w:p w14:paraId="04E2B6BB">
            <w:pPr>
              <w:pStyle w:val="13"/>
            </w:pPr>
          </w:p>
        </w:tc>
        <w:tc>
          <w:tcPr>
            <w:tcW w:w="2126" w:type="dxa"/>
            <w:vAlign w:val="center"/>
          </w:tcPr>
          <w:p w14:paraId="5F973A37">
            <w:pPr>
              <w:pStyle w:val="14"/>
            </w:pPr>
          </w:p>
        </w:tc>
        <w:tc>
          <w:tcPr>
            <w:tcW w:w="4535" w:type="dxa"/>
            <w:vAlign w:val="center"/>
          </w:tcPr>
          <w:p w14:paraId="5CB01B6A">
            <w:pPr>
              <w:pStyle w:val="13"/>
            </w:pPr>
            <w:r>
              <w:t>二十八、债务付息支出</w:t>
            </w:r>
          </w:p>
        </w:tc>
        <w:tc>
          <w:tcPr>
            <w:tcW w:w="2126" w:type="dxa"/>
            <w:vAlign w:val="center"/>
          </w:tcPr>
          <w:p w14:paraId="684E0278">
            <w:pPr>
              <w:pStyle w:val="14"/>
            </w:pPr>
          </w:p>
        </w:tc>
      </w:tr>
      <w:tr w14:paraId="0CC60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AA905">
            <w:pPr>
              <w:pStyle w:val="12"/>
            </w:pPr>
            <w:r>
              <w:t>29</w:t>
            </w:r>
          </w:p>
        </w:tc>
        <w:tc>
          <w:tcPr>
            <w:tcW w:w="4535" w:type="dxa"/>
            <w:vAlign w:val="center"/>
          </w:tcPr>
          <w:p w14:paraId="79D897A9">
            <w:pPr>
              <w:pStyle w:val="13"/>
            </w:pPr>
          </w:p>
        </w:tc>
        <w:tc>
          <w:tcPr>
            <w:tcW w:w="2126" w:type="dxa"/>
            <w:vAlign w:val="center"/>
          </w:tcPr>
          <w:p w14:paraId="0D836DD5">
            <w:pPr>
              <w:pStyle w:val="14"/>
            </w:pPr>
          </w:p>
        </w:tc>
        <w:tc>
          <w:tcPr>
            <w:tcW w:w="4535" w:type="dxa"/>
            <w:vAlign w:val="center"/>
          </w:tcPr>
          <w:p w14:paraId="7B9CD06F">
            <w:pPr>
              <w:pStyle w:val="13"/>
            </w:pPr>
            <w:r>
              <w:t>二十九、债务发行费用支出</w:t>
            </w:r>
          </w:p>
        </w:tc>
        <w:tc>
          <w:tcPr>
            <w:tcW w:w="2126" w:type="dxa"/>
            <w:vAlign w:val="center"/>
          </w:tcPr>
          <w:p w14:paraId="5F378C6B">
            <w:pPr>
              <w:pStyle w:val="14"/>
            </w:pPr>
          </w:p>
        </w:tc>
      </w:tr>
      <w:tr w14:paraId="0670B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03CE8">
            <w:pPr>
              <w:pStyle w:val="12"/>
            </w:pPr>
            <w:r>
              <w:t>30</w:t>
            </w:r>
          </w:p>
        </w:tc>
        <w:tc>
          <w:tcPr>
            <w:tcW w:w="4535" w:type="dxa"/>
            <w:vAlign w:val="center"/>
          </w:tcPr>
          <w:p w14:paraId="2D89A681">
            <w:pPr>
              <w:pStyle w:val="13"/>
            </w:pPr>
          </w:p>
        </w:tc>
        <w:tc>
          <w:tcPr>
            <w:tcW w:w="2126" w:type="dxa"/>
            <w:vAlign w:val="center"/>
          </w:tcPr>
          <w:p w14:paraId="73FA16FB">
            <w:pPr>
              <w:pStyle w:val="14"/>
            </w:pPr>
          </w:p>
        </w:tc>
        <w:tc>
          <w:tcPr>
            <w:tcW w:w="4535" w:type="dxa"/>
            <w:vAlign w:val="center"/>
          </w:tcPr>
          <w:p w14:paraId="7C1B399F">
            <w:pPr>
              <w:pStyle w:val="13"/>
            </w:pPr>
            <w:r>
              <w:t>三十、抗疫特别国债安排的支出</w:t>
            </w:r>
          </w:p>
        </w:tc>
        <w:tc>
          <w:tcPr>
            <w:tcW w:w="2126" w:type="dxa"/>
            <w:vAlign w:val="center"/>
          </w:tcPr>
          <w:p w14:paraId="1FDC6DAA">
            <w:pPr>
              <w:pStyle w:val="14"/>
            </w:pPr>
          </w:p>
        </w:tc>
      </w:tr>
      <w:tr w14:paraId="61681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D37BA">
            <w:pPr>
              <w:pStyle w:val="12"/>
            </w:pPr>
            <w:r>
              <w:t>31</w:t>
            </w:r>
          </w:p>
        </w:tc>
        <w:tc>
          <w:tcPr>
            <w:tcW w:w="4535" w:type="dxa"/>
            <w:vAlign w:val="center"/>
          </w:tcPr>
          <w:p w14:paraId="32ADEC51">
            <w:pPr>
              <w:pStyle w:val="13"/>
            </w:pPr>
          </w:p>
        </w:tc>
        <w:tc>
          <w:tcPr>
            <w:tcW w:w="2126" w:type="dxa"/>
            <w:vAlign w:val="center"/>
          </w:tcPr>
          <w:p w14:paraId="732D1F11">
            <w:pPr>
              <w:pStyle w:val="14"/>
            </w:pPr>
          </w:p>
        </w:tc>
        <w:tc>
          <w:tcPr>
            <w:tcW w:w="4535" w:type="dxa"/>
            <w:vAlign w:val="center"/>
          </w:tcPr>
          <w:p w14:paraId="0E6B0C2B">
            <w:pPr>
              <w:pStyle w:val="13"/>
            </w:pPr>
            <w:r>
              <w:t>三十一、人行科目</w:t>
            </w:r>
          </w:p>
        </w:tc>
        <w:tc>
          <w:tcPr>
            <w:tcW w:w="2126" w:type="dxa"/>
            <w:vAlign w:val="center"/>
          </w:tcPr>
          <w:p w14:paraId="215986C7">
            <w:pPr>
              <w:pStyle w:val="14"/>
            </w:pPr>
          </w:p>
        </w:tc>
      </w:tr>
      <w:tr w14:paraId="0EDC7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1F26B">
            <w:pPr>
              <w:pStyle w:val="12"/>
            </w:pPr>
            <w:r>
              <w:t>32</w:t>
            </w:r>
          </w:p>
        </w:tc>
        <w:tc>
          <w:tcPr>
            <w:tcW w:w="4535" w:type="dxa"/>
            <w:vAlign w:val="center"/>
          </w:tcPr>
          <w:p w14:paraId="0B743A9A">
            <w:pPr>
              <w:pStyle w:val="15"/>
            </w:pPr>
            <w:r>
              <w:t>本年收入合计</w:t>
            </w:r>
          </w:p>
        </w:tc>
        <w:tc>
          <w:tcPr>
            <w:tcW w:w="2126" w:type="dxa"/>
            <w:vAlign w:val="center"/>
          </w:tcPr>
          <w:p w14:paraId="1D109B01">
            <w:pPr>
              <w:pStyle w:val="16"/>
            </w:pPr>
            <w:r>
              <w:t>2261.13</w:t>
            </w:r>
          </w:p>
        </w:tc>
        <w:tc>
          <w:tcPr>
            <w:tcW w:w="4535" w:type="dxa"/>
            <w:vAlign w:val="center"/>
          </w:tcPr>
          <w:p w14:paraId="58EB5A45">
            <w:pPr>
              <w:pStyle w:val="15"/>
            </w:pPr>
            <w:r>
              <w:t>本年支出合计</w:t>
            </w:r>
          </w:p>
        </w:tc>
        <w:tc>
          <w:tcPr>
            <w:tcW w:w="2126" w:type="dxa"/>
            <w:vAlign w:val="center"/>
          </w:tcPr>
          <w:p w14:paraId="3BE70D0A">
            <w:pPr>
              <w:pStyle w:val="16"/>
            </w:pPr>
            <w:r>
              <w:t>2261.13</w:t>
            </w:r>
          </w:p>
        </w:tc>
      </w:tr>
      <w:tr w14:paraId="7762D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0F593">
            <w:pPr>
              <w:pStyle w:val="12"/>
            </w:pPr>
            <w:r>
              <w:t>33</w:t>
            </w:r>
          </w:p>
        </w:tc>
        <w:tc>
          <w:tcPr>
            <w:tcW w:w="4535" w:type="dxa"/>
            <w:vAlign w:val="center"/>
          </w:tcPr>
          <w:p w14:paraId="4132D61B">
            <w:pPr>
              <w:pStyle w:val="13"/>
            </w:pPr>
            <w:r>
              <w:t>上年结转结余</w:t>
            </w:r>
          </w:p>
        </w:tc>
        <w:tc>
          <w:tcPr>
            <w:tcW w:w="2126" w:type="dxa"/>
            <w:vAlign w:val="center"/>
          </w:tcPr>
          <w:p w14:paraId="3658EEA3">
            <w:pPr>
              <w:pStyle w:val="14"/>
            </w:pPr>
          </w:p>
        </w:tc>
        <w:tc>
          <w:tcPr>
            <w:tcW w:w="4535" w:type="dxa"/>
            <w:vAlign w:val="center"/>
          </w:tcPr>
          <w:p w14:paraId="0C45A267">
            <w:pPr>
              <w:pStyle w:val="13"/>
            </w:pPr>
            <w:r>
              <w:t>年终结转结余</w:t>
            </w:r>
          </w:p>
        </w:tc>
        <w:tc>
          <w:tcPr>
            <w:tcW w:w="2126" w:type="dxa"/>
            <w:vAlign w:val="center"/>
          </w:tcPr>
          <w:p w14:paraId="483FA142">
            <w:pPr>
              <w:pStyle w:val="14"/>
            </w:pPr>
          </w:p>
        </w:tc>
      </w:tr>
      <w:tr w14:paraId="7081D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4EEA5">
            <w:pPr>
              <w:pStyle w:val="12"/>
            </w:pPr>
            <w:r>
              <w:t>34</w:t>
            </w:r>
          </w:p>
        </w:tc>
        <w:tc>
          <w:tcPr>
            <w:tcW w:w="4535" w:type="dxa"/>
            <w:vAlign w:val="center"/>
          </w:tcPr>
          <w:p w14:paraId="45A79AC4">
            <w:pPr>
              <w:pStyle w:val="15"/>
            </w:pPr>
            <w:r>
              <w:t>收入总计</w:t>
            </w:r>
          </w:p>
        </w:tc>
        <w:tc>
          <w:tcPr>
            <w:tcW w:w="2126" w:type="dxa"/>
            <w:vAlign w:val="center"/>
          </w:tcPr>
          <w:p w14:paraId="71DA3015">
            <w:pPr>
              <w:pStyle w:val="16"/>
            </w:pPr>
            <w:r>
              <w:t>2261.13</w:t>
            </w:r>
          </w:p>
        </w:tc>
        <w:tc>
          <w:tcPr>
            <w:tcW w:w="4535" w:type="dxa"/>
            <w:vAlign w:val="center"/>
          </w:tcPr>
          <w:p w14:paraId="2098EC27">
            <w:pPr>
              <w:pStyle w:val="15"/>
            </w:pPr>
            <w:r>
              <w:t>支出总计</w:t>
            </w:r>
          </w:p>
        </w:tc>
        <w:tc>
          <w:tcPr>
            <w:tcW w:w="2126" w:type="dxa"/>
            <w:vAlign w:val="center"/>
          </w:tcPr>
          <w:p w14:paraId="5B81400D">
            <w:pPr>
              <w:pStyle w:val="16"/>
            </w:pPr>
            <w:r>
              <w:t>2261.13</w:t>
            </w:r>
          </w:p>
        </w:tc>
      </w:tr>
    </w:tbl>
    <w:p w14:paraId="2187FC29">
      <w:pPr>
        <w:sectPr>
          <w:pgSz w:w="16840" w:h="11900" w:orient="landscape"/>
          <w:pgMar w:top="1361" w:right="1020" w:bottom="1134" w:left="1020" w:header="720" w:footer="720" w:gutter="0"/>
          <w:cols w:space="720" w:num="1"/>
        </w:sectPr>
      </w:pPr>
    </w:p>
    <w:p w14:paraId="5E225B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ECF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34E25B">
            <w:pPr>
              <w:pStyle w:val="8"/>
            </w:pPr>
            <w:r>
              <w:t>360010隆尧县固城中学</w:t>
            </w:r>
          </w:p>
        </w:tc>
        <w:tc>
          <w:tcPr>
            <w:tcW w:w="3402" w:type="dxa"/>
            <w:gridSpan w:val="3"/>
            <w:tcBorders>
              <w:top w:val="single" w:color="FFFFFF" w:sz="6" w:space="0"/>
              <w:left w:val="single" w:color="FFFFFF" w:sz="6" w:space="0"/>
              <w:right w:val="single" w:color="FFFFFF" w:sz="6" w:space="0"/>
            </w:tcBorders>
            <w:vAlign w:val="center"/>
          </w:tcPr>
          <w:p w14:paraId="25D57FB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1AF12E8">
            <w:pPr>
              <w:pStyle w:val="10"/>
            </w:pPr>
            <w:r>
              <w:t>单位：万元</w:t>
            </w:r>
          </w:p>
        </w:tc>
      </w:tr>
      <w:tr w14:paraId="56F06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8E231D">
            <w:pPr>
              <w:pStyle w:val="11"/>
            </w:pPr>
            <w:r>
              <w:t>序号</w:t>
            </w:r>
          </w:p>
        </w:tc>
        <w:tc>
          <w:tcPr>
            <w:tcW w:w="2551" w:type="dxa"/>
            <w:gridSpan w:val="2"/>
            <w:vAlign w:val="center"/>
          </w:tcPr>
          <w:p w14:paraId="2A512000">
            <w:pPr>
              <w:pStyle w:val="11"/>
            </w:pPr>
            <w:r>
              <w:t>功能分类科目</w:t>
            </w:r>
          </w:p>
        </w:tc>
        <w:tc>
          <w:tcPr>
            <w:tcW w:w="1134" w:type="dxa"/>
            <w:vMerge w:val="restart"/>
            <w:vAlign w:val="center"/>
          </w:tcPr>
          <w:p w14:paraId="3A6F233F">
            <w:pPr>
              <w:pStyle w:val="11"/>
            </w:pPr>
            <w:r>
              <w:t>合计</w:t>
            </w:r>
          </w:p>
        </w:tc>
        <w:tc>
          <w:tcPr>
            <w:tcW w:w="9072" w:type="dxa"/>
            <w:gridSpan w:val="8"/>
            <w:vAlign w:val="center"/>
          </w:tcPr>
          <w:p w14:paraId="5A5531E0">
            <w:pPr>
              <w:pStyle w:val="11"/>
            </w:pPr>
            <w:r>
              <w:t>本年收入</w:t>
            </w:r>
          </w:p>
        </w:tc>
        <w:tc>
          <w:tcPr>
            <w:tcW w:w="1134" w:type="dxa"/>
            <w:vMerge w:val="restart"/>
            <w:vAlign w:val="center"/>
          </w:tcPr>
          <w:p w14:paraId="3F811548">
            <w:pPr>
              <w:pStyle w:val="11"/>
            </w:pPr>
            <w:r>
              <w:t>上年结转</w:t>
            </w:r>
          </w:p>
        </w:tc>
      </w:tr>
      <w:tr w14:paraId="3D73F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4155F3"/>
        </w:tc>
        <w:tc>
          <w:tcPr>
            <w:tcW w:w="992" w:type="dxa"/>
            <w:vAlign w:val="center"/>
          </w:tcPr>
          <w:p w14:paraId="7E707445">
            <w:pPr>
              <w:pStyle w:val="11"/>
            </w:pPr>
            <w:r>
              <w:t>科目    编码</w:t>
            </w:r>
          </w:p>
        </w:tc>
        <w:tc>
          <w:tcPr>
            <w:tcW w:w="1559" w:type="dxa"/>
            <w:vAlign w:val="center"/>
          </w:tcPr>
          <w:p w14:paraId="140300D4">
            <w:pPr>
              <w:pStyle w:val="11"/>
            </w:pPr>
            <w:r>
              <w:t>科目名称</w:t>
            </w:r>
          </w:p>
        </w:tc>
        <w:tc>
          <w:tcPr>
            <w:tcW w:w="1134" w:type="dxa"/>
            <w:vMerge w:val="continue"/>
          </w:tcPr>
          <w:p w14:paraId="6B26CAF3"/>
        </w:tc>
        <w:tc>
          <w:tcPr>
            <w:tcW w:w="1134" w:type="dxa"/>
            <w:vAlign w:val="center"/>
          </w:tcPr>
          <w:p w14:paraId="669BA7C4">
            <w:pPr>
              <w:pStyle w:val="11"/>
            </w:pPr>
            <w:r>
              <w:t>小计</w:t>
            </w:r>
          </w:p>
        </w:tc>
        <w:tc>
          <w:tcPr>
            <w:tcW w:w="1134" w:type="dxa"/>
            <w:vAlign w:val="center"/>
          </w:tcPr>
          <w:p w14:paraId="2046DA3E">
            <w:pPr>
              <w:pStyle w:val="11"/>
            </w:pPr>
            <w:r>
              <w:t>财政拨款 收入</w:t>
            </w:r>
          </w:p>
        </w:tc>
        <w:tc>
          <w:tcPr>
            <w:tcW w:w="1134" w:type="dxa"/>
            <w:vAlign w:val="center"/>
          </w:tcPr>
          <w:p w14:paraId="6CED9EAC">
            <w:pPr>
              <w:pStyle w:val="11"/>
            </w:pPr>
            <w:r>
              <w:t>财政专户 收入</w:t>
            </w:r>
          </w:p>
        </w:tc>
        <w:tc>
          <w:tcPr>
            <w:tcW w:w="1134" w:type="dxa"/>
            <w:vAlign w:val="center"/>
          </w:tcPr>
          <w:p w14:paraId="34C9DF50">
            <w:pPr>
              <w:pStyle w:val="11"/>
            </w:pPr>
            <w:r>
              <w:t>事业收入</w:t>
            </w:r>
          </w:p>
        </w:tc>
        <w:tc>
          <w:tcPr>
            <w:tcW w:w="1134" w:type="dxa"/>
            <w:vAlign w:val="center"/>
          </w:tcPr>
          <w:p w14:paraId="28845F48">
            <w:pPr>
              <w:pStyle w:val="11"/>
            </w:pPr>
            <w:r>
              <w:t>经营收入</w:t>
            </w:r>
          </w:p>
        </w:tc>
        <w:tc>
          <w:tcPr>
            <w:tcW w:w="1134" w:type="dxa"/>
            <w:vAlign w:val="center"/>
          </w:tcPr>
          <w:p w14:paraId="57EC7AE3">
            <w:pPr>
              <w:pStyle w:val="11"/>
            </w:pPr>
            <w:r>
              <w:t>上级补助收入</w:t>
            </w:r>
          </w:p>
        </w:tc>
        <w:tc>
          <w:tcPr>
            <w:tcW w:w="1134" w:type="dxa"/>
            <w:vAlign w:val="center"/>
          </w:tcPr>
          <w:p w14:paraId="64010B0C">
            <w:pPr>
              <w:pStyle w:val="11"/>
            </w:pPr>
            <w:r>
              <w:t>附属单位上缴收入</w:t>
            </w:r>
          </w:p>
        </w:tc>
        <w:tc>
          <w:tcPr>
            <w:tcW w:w="1134" w:type="dxa"/>
            <w:vAlign w:val="center"/>
          </w:tcPr>
          <w:p w14:paraId="0C9FAE2B">
            <w:pPr>
              <w:pStyle w:val="11"/>
            </w:pPr>
            <w:r>
              <w:t>其他收入</w:t>
            </w:r>
          </w:p>
        </w:tc>
        <w:tc>
          <w:tcPr>
            <w:tcW w:w="1134" w:type="dxa"/>
            <w:vMerge w:val="continue"/>
          </w:tcPr>
          <w:p w14:paraId="20F100BF"/>
        </w:tc>
      </w:tr>
      <w:tr w14:paraId="3D7D1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D14B19">
            <w:pPr>
              <w:pStyle w:val="11"/>
            </w:pPr>
            <w:r>
              <w:t>栏次</w:t>
            </w:r>
          </w:p>
        </w:tc>
        <w:tc>
          <w:tcPr>
            <w:tcW w:w="992" w:type="dxa"/>
            <w:vAlign w:val="center"/>
          </w:tcPr>
          <w:p w14:paraId="264E5622">
            <w:pPr>
              <w:pStyle w:val="11"/>
            </w:pPr>
            <w:r>
              <w:t>1</w:t>
            </w:r>
          </w:p>
        </w:tc>
        <w:tc>
          <w:tcPr>
            <w:tcW w:w="1559" w:type="dxa"/>
            <w:vAlign w:val="center"/>
          </w:tcPr>
          <w:p w14:paraId="37D1CE06">
            <w:pPr>
              <w:pStyle w:val="11"/>
            </w:pPr>
            <w:r>
              <w:t>2</w:t>
            </w:r>
          </w:p>
        </w:tc>
        <w:tc>
          <w:tcPr>
            <w:tcW w:w="1134" w:type="dxa"/>
            <w:vAlign w:val="center"/>
          </w:tcPr>
          <w:p w14:paraId="5C01C60E">
            <w:pPr>
              <w:pStyle w:val="11"/>
            </w:pPr>
            <w:r>
              <w:t>3</w:t>
            </w:r>
          </w:p>
        </w:tc>
        <w:tc>
          <w:tcPr>
            <w:tcW w:w="1134" w:type="dxa"/>
            <w:vAlign w:val="center"/>
          </w:tcPr>
          <w:p w14:paraId="51A09E31">
            <w:pPr>
              <w:pStyle w:val="11"/>
            </w:pPr>
            <w:r>
              <w:t>4</w:t>
            </w:r>
          </w:p>
        </w:tc>
        <w:tc>
          <w:tcPr>
            <w:tcW w:w="1134" w:type="dxa"/>
            <w:vAlign w:val="center"/>
          </w:tcPr>
          <w:p w14:paraId="3A49FE57">
            <w:pPr>
              <w:pStyle w:val="11"/>
            </w:pPr>
            <w:r>
              <w:t>5</w:t>
            </w:r>
          </w:p>
        </w:tc>
        <w:tc>
          <w:tcPr>
            <w:tcW w:w="1134" w:type="dxa"/>
            <w:vAlign w:val="center"/>
          </w:tcPr>
          <w:p w14:paraId="574B8C0E">
            <w:pPr>
              <w:pStyle w:val="11"/>
            </w:pPr>
            <w:r>
              <w:t>6</w:t>
            </w:r>
          </w:p>
        </w:tc>
        <w:tc>
          <w:tcPr>
            <w:tcW w:w="1134" w:type="dxa"/>
            <w:vAlign w:val="center"/>
          </w:tcPr>
          <w:p w14:paraId="77F02C18">
            <w:pPr>
              <w:pStyle w:val="11"/>
            </w:pPr>
            <w:r>
              <w:t>7</w:t>
            </w:r>
          </w:p>
        </w:tc>
        <w:tc>
          <w:tcPr>
            <w:tcW w:w="1134" w:type="dxa"/>
            <w:vAlign w:val="center"/>
          </w:tcPr>
          <w:p w14:paraId="2410C20A">
            <w:pPr>
              <w:pStyle w:val="11"/>
            </w:pPr>
            <w:r>
              <w:t>8</w:t>
            </w:r>
          </w:p>
        </w:tc>
        <w:tc>
          <w:tcPr>
            <w:tcW w:w="1134" w:type="dxa"/>
            <w:vAlign w:val="center"/>
          </w:tcPr>
          <w:p w14:paraId="3A8F9C33">
            <w:pPr>
              <w:pStyle w:val="11"/>
            </w:pPr>
            <w:r>
              <w:t>9</w:t>
            </w:r>
          </w:p>
        </w:tc>
        <w:tc>
          <w:tcPr>
            <w:tcW w:w="1134" w:type="dxa"/>
            <w:vAlign w:val="center"/>
          </w:tcPr>
          <w:p w14:paraId="4AC2AD18">
            <w:pPr>
              <w:pStyle w:val="11"/>
            </w:pPr>
            <w:r>
              <w:t>10</w:t>
            </w:r>
          </w:p>
        </w:tc>
        <w:tc>
          <w:tcPr>
            <w:tcW w:w="1134" w:type="dxa"/>
            <w:vAlign w:val="center"/>
          </w:tcPr>
          <w:p w14:paraId="561C873A">
            <w:pPr>
              <w:pStyle w:val="11"/>
            </w:pPr>
            <w:r>
              <w:t>11</w:t>
            </w:r>
          </w:p>
        </w:tc>
        <w:tc>
          <w:tcPr>
            <w:tcW w:w="1134" w:type="dxa"/>
            <w:vAlign w:val="center"/>
          </w:tcPr>
          <w:p w14:paraId="5553C61F">
            <w:pPr>
              <w:pStyle w:val="11"/>
            </w:pPr>
            <w:r>
              <w:t>12</w:t>
            </w:r>
          </w:p>
        </w:tc>
      </w:tr>
      <w:tr w14:paraId="1AA38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39020D">
            <w:pPr>
              <w:pStyle w:val="12"/>
            </w:pPr>
            <w:r>
              <w:t>1</w:t>
            </w:r>
          </w:p>
        </w:tc>
        <w:tc>
          <w:tcPr>
            <w:tcW w:w="992" w:type="dxa"/>
            <w:vAlign w:val="center"/>
          </w:tcPr>
          <w:p w14:paraId="3CDD8E6A">
            <w:pPr>
              <w:pStyle w:val="17"/>
            </w:pPr>
          </w:p>
        </w:tc>
        <w:tc>
          <w:tcPr>
            <w:tcW w:w="1559" w:type="dxa"/>
            <w:vAlign w:val="center"/>
          </w:tcPr>
          <w:p w14:paraId="3D524ACB">
            <w:pPr>
              <w:pStyle w:val="15"/>
            </w:pPr>
            <w:r>
              <w:t>合计</w:t>
            </w:r>
          </w:p>
        </w:tc>
        <w:tc>
          <w:tcPr>
            <w:tcW w:w="1134" w:type="dxa"/>
            <w:vAlign w:val="center"/>
          </w:tcPr>
          <w:p w14:paraId="22F95885">
            <w:pPr>
              <w:pStyle w:val="16"/>
            </w:pPr>
            <w:r>
              <w:t>2261.13</w:t>
            </w:r>
          </w:p>
        </w:tc>
        <w:tc>
          <w:tcPr>
            <w:tcW w:w="1134" w:type="dxa"/>
            <w:vAlign w:val="center"/>
          </w:tcPr>
          <w:p w14:paraId="25D8ADC0">
            <w:pPr>
              <w:pStyle w:val="16"/>
            </w:pPr>
            <w:r>
              <w:t>2261.13</w:t>
            </w:r>
          </w:p>
        </w:tc>
        <w:tc>
          <w:tcPr>
            <w:tcW w:w="1134" w:type="dxa"/>
            <w:vAlign w:val="center"/>
          </w:tcPr>
          <w:p w14:paraId="65F58FE0">
            <w:pPr>
              <w:pStyle w:val="16"/>
            </w:pPr>
            <w:r>
              <w:t>2261.13</w:t>
            </w:r>
          </w:p>
        </w:tc>
        <w:tc>
          <w:tcPr>
            <w:tcW w:w="1134" w:type="dxa"/>
            <w:vAlign w:val="center"/>
          </w:tcPr>
          <w:p w14:paraId="5BC5A457">
            <w:pPr>
              <w:pStyle w:val="16"/>
            </w:pPr>
          </w:p>
        </w:tc>
        <w:tc>
          <w:tcPr>
            <w:tcW w:w="1134" w:type="dxa"/>
            <w:vAlign w:val="center"/>
          </w:tcPr>
          <w:p w14:paraId="4A12D67C">
            <w:pPr>
              <w:pStyle w:val="16"/>
            </w:pPr>
          </w:p>
        </w:tc>
        <w:tc>
          <w:tcPr>
            <w:tcW w:w="1134" w:type="dxa"/>
            <w:vAlign w:val="center"/>
          </w:tcPr>
          <w:p w14:paraId="7B643B61">
            <w:pPr>
              <w:pStyle w:val="16"/>
            </w:pPr>
          </w:p>
        </w:tc>
        <w:tc>
          <w:tcPr>
            <w:tcW w:w="1134" w:type="dxa"/>
            <w:vAlign w:val="center"/>
          </w:tcPr>
          <w:p w14:paraId="641B1388">
            <w:pPr>
              <w:pStyle w:val="16"/>
            </w:pPr>
          </w:p>
        </w:tc>
        <w:tc>
          <w:tcPr>
            <w:tcW w:w="1134" w:type="dxa"/>
            <w:vAlign w:val="center"/>
          </w:tcPr>
          <w:p w14:paraId="2C040677">
            <w:pPr>
              <w:pStyle w:val="16"/>
            </w:pPr>
          </w:p>
        </w:tc>
        <w:tc>
          <w:tcPr>
            <w:tcW w:w="1134" w:type="dxa"/>
            <w:vAlign w:val="center"/>
          </w:tcPr>
          <w:p w14:paraId="0137FB50">
            <w:pPr>
              <w:pStyle w:val="16"/>
            </w:pPr>
          </w:p>
        </w:tc>
        <w:tc>
          <w:tcPr>
            <w:tcW w:w="1134" w:type="dxa"/>
            <w:vAlign w:val="center"/>
          </w:tcPr>
          <w:p w14:paraId="3CC40EBE">
            <w:pPr>
              <w:pStyle w:val="16"/>
            </w:pPr>
          </w:p>
        </w:tc>
      </w:tr>
      <w:tr w14:paraId="0359A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FF4D50">
            <w:pPr>
              <w:pStyle w:val="12"/>
            </w:pPr>
            <w:r>
              <w:t>2</w:t>
            </w:r>
          </w:p>
        </w:tc>
        <w:tc>
          <w:tcPr>
            <w:tcW w:w="992" w:type="dxa"/>
            <w:vAlign w:val="center"/>
          </w:tcPr>
          <w:p w14:paraId="19321E6B">
            <w:pPr>
              <w:pStyle w:val="13"/>
            </w:pPr>
            <w:r>
              <w:t>205</w:t>
            </w:r>
          </w:p>
        </w:tc>
        <w:tc>
          <w:tcPr>
            <w:tcW w:w="1559" w:type="dxa"/>
            <w:vAlign w:val="center"/>
          </w:tcPr>
          <w:p w14:paraId="26D24B49">
            <w:pPr>
              <w:pStyle w:val="13"/>
            </w:pPr>
            <w:r>
              <w:t>教育支出</w:t>
            </w:r>
          </w:p>
        </w:tc>
        <w:tc>
          <w:tcPr>
            <w:tcW w:w="1134" w:type="dxa"/>
            <w:vAlign w:val="center"/>
          </w:tcPr>
          <w:p w14:paraId="41D6C42F">
            <w:pPr>
              <w:pStyle w:val="14"/>
            </w:pPr>
            <w:r>
              <w:t>2261.13</w:t>
            </w:r>
          </w:p>
        </w:tc>
        <w:tc>
          <w:tcPr>
            <w:tcW w:w="1134" w:type="dxa"/>
            <w:vAlign w:val="center"/>
          </w:tcPr>
          <w:p w14:paraId="1A21156F">
            <w:pPr>
              <w:pStyle w:val="14"/>
            </w:pPr>
            <w:r>
              <w:t>2261.13</w:t>
            </w:r>
          </w:p>
        </w:tc>
        <w:tc>
          <w:tcPr>
            <w:tcW w:w="1134" w:type="dxa"/>
            <w:vAlign w:val="center"/>
          </w:tcPr>
          <w:p w14:paraId="1E78857F">
            <w:pPr>
              <w:pStyle w:val="14"/>
            </w:pPr>
            <w:r>
              <w:t>2261.13</w:t>
            </w:r>
          </w:p>
        </w:tc>
        <w:tc>
          <w:tcPr>
            <w:tcW w:w="1134" w:type="dxa"/>
            <w:vAlign w:val="center"/>
          </w:tcPr>
          <w:p w14:paraId="09E797A9">
            <w:pPr>
              <w:pStyle w:val="14"/>
            </w:pPr>
          </w:p>
        </w:tc>
        <w:tc>
          <w:tcPr>
            <w:tcW w:w="1134" w:type="dxa"/>
            <w:vAlign w:val="center"/>
          </w:tcPr>
          <w:p w14:paraId="7320D0F8">
            <w:pPr>
              <w:pStyle w:val="14"/>
            </w:pPr>
          </w:p>
        </w:tc>
        <w:tc>
          <w:tcPr>
            <w:tcW w:w="1134" w:type="dxa"/>
            <w:vAlign w:val="center"/>
          </w:tcPr>
          <w:p w14:paraId="77C4657B">
            <w:pPr>
              <w:pStyle w:val="14"/>
            </w:pPr>
          </w:p>
        </w:tc>
        <w:tc>
          <w:tcPr>
            <w:tcW w:w="1134" w:type="dxa"/>
            <w:vAlign w:val="center"/>
          </w:tcPr>
          <w:p w14:paraId="4C553635">
            <w:pPr>
              <w:pStyle w:val="14"/>
            </w:pPr>
          </w:p>
        </w:tc>
        <w:tc>
          <w:tcPr>
            <w:tcW w:w="1134" w:type="dxa"/>
            <w:vAlign w:val="center"/>
          </w:tcPr>
          <w:p w14:paraId="0A06C5C1">
            <w:pPr>
              <w:pStyle w:val="14"/>
            </w:pPr>
          </w:p>
        </w:tc>
        <w:tc>
          <w:tcPr>
            <w:tcW w:w="1134" w:type="dxa"/>
            <w:vAlign w:val="center"/>
          </w:tcPr>
          <w:p w14:paraId="6A4CA857">
            <w:pPr>
              <w:pStyle w:val="14"/>
            </w:pPr>
          </w:p>
        </w:tc>
        <w:tc>
          <w:tcPr>
            <w:tcW w:w="1134" w:type="dxa"/>
            <w:vAlign w:val="center"/>
          </w:tcPr>
          <w:p w14:paraId="648A9063">
            <w:pPr>
              <w:pStyle w:val="14"/>
            </w:pPr>
          </w:p>
        </w:tc>
      </w:tr>
      <w:tr w14:paraId="58547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8C2A05">
            <w:pPr>
              <w:pStyle w:val="12"/>
            </w:pPr>
            <w:r>
              <w:t>3</w:t>
            </w:r>
          </w:p>
        </w:tc>
        <w:tc>
          <w:tcPr>
            <w:tcW w:w="992" w:type="dxa"/>
            <w:vAlign w:val="center"/>
          </w:tcPr>
          <w:p w14:paraId="3BA3E427">
            <w:pPr>
              <w:pStyle w:val="13"/>
            </w:pPr>
            <w:r>
              <w:t>20502</w:t>
            </w:r>
          </w:p>
        </w:tc>
        <w:tc>
          <w:tcPr>
            <w:tcW w:w="1559" w:type="dxa"/>
            <w:vAlign w:val="center"/>
          </w:tcPr>
          <w:p w14:paraId="43FC1EA0">
            <w:pPr>
              <w:pStyle w:val="13"/>
            </w:pPr>
            <w:r>
              <w:t>普通教育</w:t>
            </w:r>
          </w:p>
        </w:tc>
        <w:tc>
          <w:tcPr>
            <w:tcW w:w="1134" w:type="dxa"/>
            <w:vAlign w:val="center"/>
          </w:tcPr>
          <w:p w14:paraId="4AFFD18F">
            <w:pPr>
              <w:pStyle w:val="14"/>
            </w:pPr>
            <w:r>
              <w:t>2261.13</w:t>
            </w:r>
          </w:p>
        </w:tc>
        <w:tc>
          <w:tcPr>
            <w:tcW w:w="1134" w:type="dxa"/>
            <w:vAlign w:val="center"/>
          </w:tcPr>
          <w:p w14:paraId="257182E2">
            <w:pPr>
              <w:pStyle w:val="14"/>
            </w:pPr>
            <w:r>
              <w:t>2261.13</w:t>
            </w:r>
          </w:p>
        </w:tc>
        <w:tc>
          <w:tcPr>
            <w:tcW w:w="1134" w:type="dxa"/>
            <w:vAlign w:val="center"/>
          </w:tcPr>
          <w:p w14:paraId="494E748B">
            <w:pPr>
              <w:pStyle w:val="14"/>
            </w:pPr>
            <w:r>
              <w:t>2261.13</w:t>
            </w:r>
          </w:p>
        </w:tc>
        <w:tc>
          <w:tcPr>
            <w:tcW w:w="1134" w:type="dxa"/>
            <w:vAlign w:val="center"/>
          </w:tcPr>
          <w:p w14:paraId="6FF51A98">
            <w:pPr>
              <w:pStyle w:val="14"/>
            </w:pPr>
          </w:p>
        </w:tc>
        <w:tc>
          <w:tcPr>
            <w:tcW w:w="1134" w:type="dxa"/>
            <w:vAlign w:val="center"/>
          </w:tcPr>
          <w:p w14:paraId="00D01216">
            <w:pPr>
              <w:pStyle w:val="14"/>
            </w:pPr>
          </w:p>
        </w:tc>
        <w:tc>
          <w:tcPr>
            <w:tcW w:w="1134" w:type="dxa"/>
            <w:vAlign w:val="center"/>
          </w:tcPr>
          <w:p w14:paraId="4D80DBB5">
            <w:pPr>
              <w:pStyle w:val="14"/>
            </w:pPr>
          </w:p>
        </w:tc>
        <w:tc>
          <w:tcPr>
            <w:tcW w:w="1134" w:type="dxa"/>
            <w:vAlign w:val="center"/>
          </w:tcPr>
          <w:p w14:paraId="34CD3910">
            <w:pPr>
              <w:pStyle w:val="14"/>
            </w:pPr>
          </w:p>
        </w:tc>
        <w:tc>
          <w:tcPr>
            <w:tcW w:w="1134" w:type="dxa"/>
            <w:vAlign w:val="center"/>
          </w:tcPr>
          <w:p w14:paraId="6435B912">
            <w:pPr>
              <w:pStyle w:val="14"/>
            </w:pPr>
          </w:p>
        </w:tc>
        <w:tc>
          <w:tcPr>
            <w:tcW w:w="1134" w:type="dxa"/>
            <w:vAlign w:val="center"/>
          </w:tcPr>
          <w:p w14:paraId="738CCCB6">
            <w:pPr>
              <w:pStyle w:val="14"/>
            </w:pPr>
          </w:p>
        </w:tc>
        <w:tc>
          <w:tcPr>
            <w:tcW w:w="1134" w:type="dxa"/>
            <w:vAlign w:val="center"/>
          </w:tcPr>
          <w:p w14:paraId="3090F235">
            <w:pPr>
              <w:pStyle w:val="14"/>
            </w:pPr>
          </w:p>
        </w:tc>
      </w:tr>
      <w:tr w14:paraId="1E485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7265F4">
            <w:pPr>
              <w:pStyle w:val="12"/>
            </w:pPr>
            <w:r>
              <w:t>4</w:t>
            </w:r>
          </w:p>
        </w:tc>
        <w:tc>
          <w:tcPr>
            <w:tcW w:w="992" w:type="dxa"/>
            <w:vAlign w:val="center"/>
          </w:tcPr>
          <w:p w14:paraId="34CCF427">
            <w:pPr>
              <w:pStyle w:val="13"/>
            </w:pPr>
            <w:r>
              <w:t>2050203</w:t>
            </w:r>
          </w:p>
        </w:tc>
        <w:tc>
          <w:tcPr>
            <w:tcW w:w="1559" w:type="dxa"/>
            <w:vAlign w:val="center"/>
          </w:tcPr>
          <w:p w14:paraId="64EBCF77">
            <w:pPr>
              <w:pStyle w:val="13"/>
            </w:pPr>
            <w:r>
              <w:t>初中教育</w:t>
            </w:r>
          </w:p>
        </w:tc>
        <w:tc>
          <w:tcPr>
            <w:tcW w:w="1134" w:type="dxa"/>
            <w:vAlign w:val="center"/>
          </w:tcPr>
          <w:p w14:paraId="0CA7FDAF">
            <w:pPr>
              <w:pStyle w:val="14"/>
            </w:pPr>
            <w:r>
              <w:t>2261.13</w:t>
            </w:r>
          </w:p>
        </w:tc>
        <w:tc>
          <w:tcPr>
            <w:tcW w:w="1134" w:type="dxa"/>
            <w:vAlign w:val="center"/>
          </w:tcPr>
          <w:p w14:paraId="3ACC8BBD">
            <w:pPr>
              <w:pStyle w:val="14"/>
            </w:pPr>
            <w:r>
              <w:t>2261.13</w:t>
            </w:r>
          </w:p>
        </w:tc>
        <w:tc>
          <w:tcPr>
            <w:tcW w:w="1134" w:type="dxa"/>
            <w:vAlign w:val="center"/>
          </w:tcPr>
          <w:p w14:paraId="0E03DE90">
            <w:pPr>
              <w:pStyle w:val="14"/>
            </w:pPr>
            <w:r>
              <w:t>2261.13</w:t>
            </w:r>
          </w:p>
        </w:tc>
        <w:tc>
          <w:tcPr>
            <w:tcW w:w="1134" w:type="dxa"/>
            <w:vAlign w:val="center"/>
          </w:tcPr>
          <w:p w14:paraId="51EA92B7">
            <w:pPr>
              <w:pStyle w:val="14"/>
            </w:pPr>
          </w:p>
        </w:tc>
        <w:tc>
          <w:tcPr>
            <w:tcW w:w="1134" w:type="dxa"/>
            <w:vAlign w:val="center"/>
          </w:tcPr>
          <w:p w14:paraId="4C7D93DF">
            <w:pPr>
              <w:pStyle w:val="14"/>
            </w:pPr>
          </w:p>
        </w:tc>
        <w:tc>
          <w:tcPr>
            <w:tcW w:w="1134" w:type="dxa"/>
            <w:vAlign w:val="center"/>
          </w:tcPr>
          <w:p w14:paraId="40707C67">
            <w:pPr>
              <w:pStyle w:val="14"/>
            </w:pPr>
          </w:p>
        </w:tc>
        <w:tc>
          <w:tcPr>
            <w:tcW w:w="1134" w:type="dxa"/>
            <w:vAlign w:val="center"/>
          </w:tcPr>
          <w:p w14:paraId="3B5A200B">
            <w:pPr>
              <w:pStyle w:val="14"/>
            </w:pPr>
          </w:p>
        </w:tc>
        <w:tc>
          <w:tcPr>
            <w:tcW w:w="1134" w:type="dxa"/>
            <w:vAlign w:val="center"/>
          </w:tcPr>
          <w:p w14:paraId="42C618B0">
            <w:pPr>
              <w:pStyle w:val="14"/>
            </w:pPr>
          </w:p>
        </w:tc>
        <w:tc>
          <w:tcPr>
            <w:tcW w:w="1134" w:type="dxa"/>
            <w:vAlign w:val="center"/>
          </w:tcPr>
          <w:p w14:paraId="2C871537">
            <w:pPr>
              <w:pStyle w:val="14"/>
            </w:pPr>
          </w:p>
        </w:tc>
        <w:tc>
          <w:tcPr>
            <w:tcW w:w="1134" w:type="dxa"/>
            <w:vAlign w:val="center"/>
          </w:tcPr>
          <w:p w14:paraId="18D6FBC2">
            <w:pPr>
              <w:pStyle w:val="14"/>
            </w:pPr>
          </w:p>
        </w:tc>
      </w:tr>
    </w:tbl>
    <w:p w14:paraId="3C06A322">
      <w:pPr>
        <w:sectPr>
          <w:pgSz w:w="16840" w:h="11900" w:orient="landscape"/>
          <w:pgMar w:top="1361" w:right="1020" w:bottom="1134" w:left="1020" w:header="720" w:footer="720" w:gutter="0"/>
          <w:cols w:space="720" w:num="1"/>
        </w:sectPr>
      </w:pPr>
    </w:p>
    <w:p w14:paraId="7C5562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405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F43C71">
            <w:pPr>
              <w:pStyle w:val="8"/>
            </w:pPr>
            <w:r>
              <w:t>360010隆尧县固城中学</w:t>
            </w:r>
          </w:p>
        </w:tc>
        <w:tc>
          <w:tcPr>
            <w:tcW w:w="2722" w:type="dxa"/>
            <w:gridSpan w:val="2"/>
            <w:tcBorders>
              <w:top w:val="single" w:color="FFFFFF" w:sz="6" w:space="0"/>
              <w:left w:val="single" w:color="FFFFFF" w:sz="6" w:space="0"/>
              <w:right w:val="single" w:color="FFFFFF" w:sz="6" w:space="0"/>
            </w:tcBorders>
            <w:vAlign w:val="center"/>
          </w:tcPr>
          <w:p w14:paraId="5D0E8519">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A18ACED">
            <w:pPr>
              <w:pStyle w:val="10"/>
            </w:pPr>
            <w:r>
              <w:t>单位：万元</w:t>
            </w:r>
          </w:p>
        </w:tc>
      </w:tr>
      <w:tr w14:paraId="656FC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84ACA7">
            <w:pPr>
              <w:pStyle w:val="11"/>
            </w:pPr>
            <w:r>
              <w:t>序号</w:t>
            </w:r>
          </w:p>
        </w:tc>
        <w:tc>
          <w:tcPr>
            <w:tcW w:w="5527" w:type="dxa"/>
            <w:gridSpan w:val="2"/>
            <w:vAlign w:val="center"/>
          </w:tcPr>
          <w:p w14:paraId="347614BC">
            <w:pPr>
              <w:pStyle w:val="11"/>
            </w:pPr>
            <w:r>
              <w:t>功能分类科目</w:t>
            </w:r>
          </w:p>
        </w:tc>
        <w:tc>
          <w:tcPr>
            <w:tcW w:w="1361" w:type="dxa"/>
            <w:vMerge w:val="restart"/>
            <w:vAlign w:val="center"/>
          </w:tcPr>
          <w:p w14:paraId="1BDE1E3F">
            <w:pPr>
              <w:pStyle w:val="11"/>
            </w:pPr>
            <w:r>
              <w:t>合计</w:t>
            </w:r>
          </w:p>
        </w:tc>
        <w:tc>
          <w:tcPr>
            <w:tcW w:w="1361" w:type="dxa"/>
            <w:vMerge w:val="restart"/>
            <w:vAlign w:val="center"/>
          </w:tcPr>
          <w:p w14:paraId="7EFA0440">
            <w:pPr>
              <w:pStyle w:val="11"/>
            </w:pPr>
            <w:r>
              <w:t>基本支出</w:t>
            </w:r>
          </w:p>
        </w:tc>
        <w:tc>
          <w:tcPr>
            <w:tcW w:w="1361" w:type="dxa"/>
            <w:vMerge w:val="restart"/>
            <w:vAlign w:val="center"/>
          </w:tcPr>
          <w:p w14:paraId="29D53560">
            <w:pPr>
              <w:pStyle w:val="11"/>
            </w:pPr>
            <w:r>
              <w:t>项目支出</w:t>
            </w:r>
          </w:p>
        </w:tc>
        <w:tc>
          <w:tcPr>
            <w:tcW w:w="1361" w:type="dxa"/>
            <w:vMerge w:val="restart"/>
            <w:vAlign w:val="center"/>
          </w:tcPr>
          <w:p w14:paraId="074C99C4">
            <w:pPr>
              <w:pStyle w:val="11"/>
            </w:pPr>
            <w:r>
              <w:t>经营支出</w:t>
            </w:r>
          </w:p>
        </w:tc>
        <w:tc>
          <w:tcPr>
            <w:tcW w:w="1361" w:type="dxa"/>
            <w:vMerge w:val="restart"/>
            <w:vAlign w:val="center"/>
          </w:tcPr>
          <w:p w14:paraId="7162A86A">
            <w:pPr>
              <w:pStyle w:val="11"/>
            </w:pPr>
            <w:r>
              <w:t>上解上级     支出</w:t>
            </w:r>
          </w:p>
        </w:tc>
        <w:tc>
          <w:tcPr>
            <w:tcW w:w="1361" w:type="dxa"/>
            <w:vMerge w:val="restart"/>
            <w:vAlign w:val="center"/>
          </w:tcPr>
          <w:p w14:paraId="40FC3CFE">
            <w:pPr>
              <w:pStyle w:val="11"/>
            </w:pPr>
            <w:r>
              <w:t>对附属单位补助支出</w:t>
            </w:r>
          </w:p>
        </w:tc>
      </w:tr>
      <w:tr w14:paraId="377CD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67E93D"/>
        </w:tc>
        <w:tc>
          <w:tcPr>
            <w:tcW w:w="992" w:type="dxa"/>
            <w:vAlign w:val="center"/>
          </w:tcPr>
          <w:p w14:paraId="4325143E">
            <w:pPr>
              <w:pStyle w:val="11"/>
            </w:pPr>
            <w:r>
              <w:t>科目    编码</w:t>
            </w:r>
          </w:p>
        </w:tc>
        <w:tc>
          <w:tcPr>
            <w:tcW w:w="4535" w:type="dxa"/>
            <w:vAlign w:val="center"/>
          </w:tcPr>
          <w:p w14:paraId="488E3528">
            <w:pPr>
              <w:pStyle w:val="11"/>
            </w:pPr>
            <w:r>
              <w:t>科目名称</w:t>
            </w:r>
          </w:p>
        </w:tc>
        <w:tc>
          <w:tcPr>
            <w:tcW w:w="1361" w:type="dxa"/>
            <w:vMerge w:val="continue"/>
          </w:tcPr>
          <w:p w14:paraId="1E6ED0CC"/>
        </w:tc>
        <w:tc>
          <w:tcPr>
            <w:tcW w:w="1361" w:type="dxa"/>
            <w:vMerge w:val="continue"/>
          </w:tcPr>
          <w:p w14:paraId="58FDA324"/>
        </w:tc>
        <w:tc>
          <w:tcPr>
            <w:tcW w:w="1361" w:type="dxa"/>
            <w:vMerge w:val="continue"/>
          </w:tcPr>
          <w:p w14:paraId="008F674B"/>
        </w:tc>
        <w:tc>
          <w:tcPr>
            <w:tcW w:w="1361" w:type="dxa"/>
            <w:vMerge w:val="continue"/>
          </w:tcPr>
          <w:p w14:paraId="0B4B85AB"/>
        </w:tc>
        <w:tc>
          <w:tcPr>
            <w:tcW w:w="1361" w:type="dxa"/>
            <w:vMerge w:val="continue"/>
          </w:tcPr>
          <w:p w14:paraId="5122997E"/>
        </w:tc>
        <w:tc>
          <w:tcPr>
            <w:tcW w:w="1361" w:type="dxa"/>
            <w:vMerge w:val="continue"/>
          </w:tcPr>
          <w:p w14:paraId="618C60B0"/>
        </w:tc>
      </w:tr>
      <w:tr w14:paraId="2E092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733920">
            <w:pPr>
              <w:pStyle w:val="11"/>
            </w:pPr>
            <w:r>
              <w:t>栏次</w:t>
            </w:r>
          </w:p>
        </w:tc>
        <w:tc>
          <w:tcPr>
            <w:tcW w:w="992" w:type="dxa"/>
            <w:vAlign w:val="center"/>
          </w:tcPr>
          <w:p w14:paraId="4E6E288E">
            <w:pPr>
              <w:pStyle w:val="11"/>
            </w:pPr>
            <w:r>
              <w:t>1</w:t>
            </w:r>
          </w:p>
        </w:tc>
        <w:tc>
          <w:tcPr>
            <w:tcW w:w="4535" w:type="dxa"/>
            <w:vAlign w:val="center"/>
          </w:tcPr>
          <w:p w14:paraId="4696F020">
            <w:pPr>
              <w:pStyle w:val="11"/>
            </w:pPr>
            <w:r>
              <w:t>2</w:t>
            </w:r>
          </w:p>
        </w:tc>
        <w:tc>
          <w:tcPr>
            <w:tcW w:w="1361" w:type="dxa"/>
            <w:vAlign w:val="center"/>
          </w:tcPr>
          <w:p w14:paraId="1C56E57C">
            <w:pPr>
              <w:pStyle w:val="11"/>
            </w:pPr>
            <w:r>
              <w:t>3</w:t>
            </w:r>
          </w:p>
        </w:tc>
        <w:tc>
          <w:tcPr>
            <w:tcW w:w="1361" w:type="dxa"/>
            <w:vAlign w:val="center"/>
          </w:tcPr>
          <w:p w14:paraId="280488D9">
            <w:pPr>
              <w:pStyle w:val="11"/>
            </w:pPr>
            <w:r>
              <w:t>4</w:t>
            </w:r>
          </w:p>
        </w:tc>
        <w:tc>
          <w:tcPr>
            <w:tcW w:w="1361" w:type="dxa"/>
            <w:vAlign w:val="center"/>
          </w:tcPr>
          <w:p w14:paraId="7D237C3A">
            <w:pPr>
              <w:pStyle w:val="11"/>
            </w:pPr>
            <w:r>
              <w:t>5</w:t>
            </w:r>
          </w:p>
        </w:tc>
        <w:tc>
          <w:tcPr>
            <w:tcW w:w="1361" w:type="dxa"/>
            <w:vAlign w:val="center"/>
          </w:tcPr>
          <w:p w14:paraId="27D0145E">
            <w:pPr>
              <w:pStyle w:val="11"/>
            </w:pPr>
            <w:r>
              <w:t>6</w:t>
            </w:r>
          </w:p>
        </w:tc>
        <w:tc>
          <w:tcPr>
            <w:tcW w:w="1361" w:type="dxa"/>
            <w:vAlign w:val="center"/>
          </w:tcPr>
          <w:p w14:paraId="02C5BD2C">
            <w:pPr>
              <w:pStyle w:val="11"/>
            </w:pPr>
            <w:r>
              <w:t>7</w:t>
            </w:r>
          </w:p>
        </w:tc>
        <w:tc>
          <w:tcPr>
            <w:tcW w:w="1361" w:type="dxa"/>
            <w:vAlign w:val="center"/>
          </w:tcPr>
          <w:p w14:paraId="7C5C89AA">
            <w:pPr>
              <w:pStyle w:val="11"/>
            </w:pPr>
            <w:r>
              <w:t>8</w:t>
            </w:r>
          </w:p>
        </w:tc>
      </w:tr>
      <w:tr w14:paraId="25760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B9105">
            <w:pPr>
              <w:pStyle w:val="12"/>
            </w:pPr>
            <w:r>
              <w:t>1</w:t>
            </w:r>
          </w:p>
        </w:tc>
        <w:tc>
          <w:tcPr>
            <w:tcW w:w="992" w:type="dxa"/>
            <w:vAlign w:val="center"/>
          </w:tcPr>
          <w:p w14:paraId="2564F7B3">
            <w:pPr>
              <w:pStyle w:val="17"/>
            </w:pPr>
          </w:p>
        </w:tc>
        <w:tc>
          <w:tcPr>
            <w:tcW w:w="4535" w:type="dxa"/>
            <w:vAlign w:val="center"/>
          </w:tcPr>
          <w:p w14:paraId="29C51BF5">
            <w:pPr>
              <w:pStyle w:val="15"/>
            </w:pPr>
            <w:r>
              <w:t>合计</w:t>
            </w:r>
          </w:p>
        </w:tc>
        <w:tc>
          <w:tcPr>
            <w:tcW w:w="1361" w:type="dxa"/>
            <w:vAlign w:val="center"/>
          </w:tcPr>
          <w:p w14:paraId="673C1E63">
            <w:pPr>
              <w:pStyle w:val="16"/>
            </w:pPr>
            <w:r>
              <w:t>2261.13</w:t>
            </w:r>
          </w:p>
        </w:tc>
        <w:tc>
          <w:tcPr>
            <w:tcW w:w="1361" w:type="dxa"/>
            <w:vAlign w:val="center"/>
          </w:tcPr>
          <w:p w14:paraId="1291C643">
            <w:pPr>
              <w:pStyle w:val="16"/>
            </w:pPr>
            <w:r>
              <w:t>1977.98</w:t>
            </w:r>
          </w:p>
        </w:tc>
        <w:tc>
          <w:tcPr>
            <w:tcW w:w="1361" w:type="dxa"/>
            <w:vAlign w:val="center"/>
          </w:tcPr>
          <w:p w14:paraId="4FFA7D67">
            <w:pPr>
              <w:pStyle w:val="16"/>
            </w:pPr>
            <w:r>
              <w:t>283.14</w:t>
            </w:r>
          </w:p>
        </w:tc>
        <w:tc>
          <w:tcPr>
            <w:tcW w:w="1361" w:type="dxa"/>
            <w:vAlign w:val="center"/>
          </w:tcPr>
          <w:p w14:paraId="2B0C7831">
            <w:pPr>
              <w:pStyle w:val="16"/>
            </w:pPr>
          </w:p>
        </w:tc>
        <w:tc>
          <w:tcPr>
            <w:tcW w:w="1361" w:type="dxa"/>
            <w:vAlign w:val="center"/>
          </w:tcPr>
          <w:p w14:paraId="037FD902">
            <w:pPr>
              <w:pStyle w:val="16"/>
            </w:pPr>
          </w:p>
        </w:tc>
        <w:tc>
          <w:tcPr>
            <w:tcW w:w="1361" w:type="dxa"/>
            <w:vAlign w:val="center"/>
          </w:tcPr>
          <w:p w14:paraId="1CD5BA54">
            <w:pPr>
              <w:pStyle w:val="16"/>
            </w:pPr>
          </w:p>
        </w:tc>
      </w:tr>
      <w:tr w14:paraId="5DA3F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F5291">
            <w:pPr>
              <w:pStyle w:val="12"/>
            </w:pPr>
            <w:r>
              <w:t>2</w:t>
            </w:r>
          </w:p>
        </w:tc>
        <w:tc>
          <w:tcPr>
            <w:tcW w:w="992" w:type="dxa"/>
            <w:vAlign w:val="center"/>
          </w:tcPr>
          <w:p w14:paraId="2B481B73">
            <w:pPr>
              <w:pStyle w:val="13"/>
            </w:pPr>
            <w:r>
              <w:t>205</w:t>
            </w:r>
          </w:p>
        </w:tc>
        <w:tc>
          <w:tcPr>
            <w:tcW w:w="4535" w:type="dxa"/>
            <w:vAlign w:val="center"/>
          </w:tcPr>
          <w:p w14:paraId="523D4CD2">
            <w:pPr>
              <w:pStyle w:val="13"/>
            </w:pPr>
            <w:r>
              <w:t>教育支出</w:t>
            </w:r>
          </w:p>
        </w:tc>
        <w:tc>
          <w:tcPr>
            <w:tcW w:w="1361" w:type="dxa"/>
            <w:vAlign w:val="center"/>
          </w:tcPr>
          <w:p w14:paraId="76FF8AA4">
            <w:pPr>
              <w:pStyle w:val="14"/>
            </w:pPr>
            <w:r>
              <w:t>2261.13</w:t>
            </w:r>
          </w:p>
        </w:tc>
        <w:tc>
          <w:tcPr>
            <w:tcW w:w="1361" w:type="dxa"/>
            <w:vAlign w:val="center"/>
          </w:tcPr>
          <w:p w14:paraId="02A69632">
            <w:pPr>
              <w:pStyle w:val="14"/>
            </w:pPr>
            <w:r>
              <w:t>1977.98</w:t>
            </w:r>
          </w:p>
        </w:tc>
        <w:tc>
          <w:tcPr>
            <w:tcW w:w="1361" w:type="dxa"/>
            <w:vAlign w:val="center"/>
          </w:tcPr>
          <w:p w14:paraId="68882B9B">
            <w:pPr>
              <w:pStyle w:val="14"/>
            </w:pPr>
            <w:r>
              <w:t>283.14</w:t>
            </w:r>
          </w:p>
        </w:tc>
        <w:tc>
          <w:tcPr>
            <w:tcW w:w="1361" w:type="dxa"/>
            <w:vAlign w:val="center"/>
          </w:tcPr>
          <w:p w14:paraId="7451E144">
            <w:pPr>
              <w:pStyle w:val="14"/>
            </w:pPr>
          </w:p>
        </w:tc>
        <w:tc>
          <w:tcPr>
            <w:tcW w:w="1361" w:type="dxa"/>
            <w:vAlign w:val="center"/>
          </w:tcPr>
          <w:p w14:paraId="55376CF7">
            <w:pPr>
              <w:pStyle w:val="14"/>
            </w:pPr>
          </w:p>
        </w:tc>
        <w:tc>
          <w:tcPr>
            <w:tcW w:w="1361" w:type="dxa"/>
            <w:vAlign w:val="center"/>
          </w:tcPr>
          <w:p w14:paraId="557D4360">
            <w:pPr>
              <w:pStyle w:val="14"/>
            </w:pPr>
          </w:p>
        </w:tc>
      </w:tr>
      <w:tr w14:paraId="7859A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A4785">
            <w:pPr>
              <w:pStyle w:val="12"/>
            </w:pPr>
            <w:r>
              <w:t>3</w:t>
            </w:r>
          </w:p>
        </w:tc>
        <w:tc>
          <w:tcPr>
            <w:tcW w:w="992" w:type="dxa"/>
            <w:vAlign w:val="center"/>
          </w:tcPr>
          <w:p w14:paraId="049DA430">
            <w:pPr>
              <w:pStyle w:val="13"/>
            </w:pPr>
            <w:r>
              <w:t>20502</w:t>
            </w:r>
          </w:p>
        </w:tc>
        <w:tc>
          <w:tcPr>
            <w:tcW w:w="4535" w:type="dxa"/>
            <w:vAlign w:val="center"/>
          </w:tcPr>
          <w:p w14:paraId="43819D27">
            <w:pPr>
              <w:pStyle w:val="13"/>
            </w:pPr>
            <w:r>
              <w:t>普通教育</w:t>
            </w:r>
          </w:p>
        </w:tc>
        <w:tc>
          <w:tcPr>
            <w:tcW w:w="1361" w:type="dxa"/>
            <w:vAlign w:val="center"/>
          </w:tcPr>
          <w:p w14:paraId="718A9370">
            <w:pPr>
              <w:pStyle w:val="14"/>
            </w:pPr>
            <w:r>
              <w:t>2261.13</w:t>
            </w:r>
          </w:p>
        </w:tc>
        <w:tc>
          <w:tcPr>
            <w:tcW w:w="1361" w:type="dxa"/>
            <w:vAlign w:val="center"/>
          </w:tcPr>
          <w:p w14:paraId="4E45C143">
            <w:pPr>
              <w:pStyle w:val="14"/>
            </w:pPr>
            <w:r>
              <w:t>1977.98</w:t>
            </w:r>
          </w:p>
        </w:tc>
        <w:tc>
          <w:tcPr>
            <w:tcW w:w="1361" w:type="dxa"/>
            <w:vAlign w:val="center"/>
          </w:tcPr>
          <w:p w14:paraId="22A38457">
            <w:pPr>
              <w:pStyle w:val="14"/>
            </w:pPr>
            <w:r>
              <w:t>283.14</w:t>
            </w:r>
          </w:p>
        </w:tc>
        <w:tc>
          <w:tcPr>
            <w:tcW w:w="1361" w:type="dxa"/>
            <w:vAlign w:val="center"/>
          </w:tcPr>
          <w:p w14:paraId="6B5D53E2">
            <w:pPr>
              <w:pStyle w:val="14"/>
            </w:pPr>
          </w:p>
        </w:tc>
        <w:tc>
          <w:tcPr>
            <w:tcW w:w="1361" w:type="dxa"/>
            <w:vAlign w:val="center"/>
          </w:tcPr>
          <w:p w14:paraId="2E0E50AB">
            <w:pPr>
              <w:pStyle w:val="14"/>
            </w:pPr>
          </w:p>
        </w:tc>
        <w:tc>
          <w:tcPr>
            <w:tcW w:w="1361" w:type="dxa"/>
            <w:vAlign w:val="center"/>
          </w:tcPr>
          <w:p w14:paraId="0B4CA756">
            <w:pPr>
              <w:pStyle w:val="14"/>
            </w:pPr>
          </w:p>
        </w:tc>
      </w:tr>
      <w:tr w14:paraId="00A76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0761F">
            <w:pPr>
              <w:pStyle w:val="12"/>
            </w:pPr>
            <w:r>
              <w:t>4</w:t>
            </w:r>
          </w:p>
        </w:tc>
        <w:tc>
          <w:tcPr>
            <w:tcW w:w="992" w:type="dxa"/>
            <w:vAlign w:val="center"/>
          </w:tcPr>
          <w:p w14:paraId="2334ECFE">
            <w:pPr>
              <w:pStyle w:val="13"/>
            </w:pPr>
            <w:r>
              <w:t>2050203</w:t>
            </w:r>
          </w:p>
        </w:tc>
        <w:tc>
          <w:tcPr>
            <w:tcW w:w="4535" w:type="dxa"/>
            <w:vAlign w:val="center"/>
          </w:tcPr>
          <w:p w14:paraId="55B34803">
            <w:pPr>
              <w:pStyle w:val="13"/>
            </w:pPr>
            <w:r>
              <w:t>初中教育</w:t>
            </w:r>
          </w:p>
        </w:tc>
        <w:tc>
          <w:tcPr>
            <w:tcW w:w="1361" w:type="dxa"/>
            <w:vAlign w:val="center"/>
          </w:tcPr>
          <w:p w14:paraId="084CE579">
            <w:pPr>
              <w:pStyle w:val="14"/>
            </w:pPr>
            <w:r>
              <w:t>2261.13</w:t>
            </w:r>
          </w:p>
        </w:tc>
        <w:tc>
          <w:tcPr>
            <w:tcW w:w="1361" w:type="dxa"/>
            <w:vAlign w:val="center"/>
          </w:tcPr>
          <w:p w14:paraId="59A5AABF">
            <w:pPr>
              <w:pStyle w:val="14"/>
            </w:pPr>
            <w:r>
              <w:t>1977.98</w:t>
            </w:r>
          </w:p>
        </w:tc>
        <w:tc>
          <w:tcPr>
            <w:tcW w:w="1361" w:type="dxa"/>
            <w:vAlign w:val="center"/>
          </w:tcPr>
          <w:p w14:paraId="5A44F556">
            <w:pPr>
              <w:pStyle w:val="14"/>
            </w:pPr>
            <w:r>
              <w:t>283.14</w:t>
            </w:r>
          </w:p>
        </w:tc>
        <w:tc>
          <w:tcPr>
            <w:tcW w:w="1361" w:type="dxa"/>
            <w:vAlign w:val="center"/>
          </w:tcPr>
          <w:p w14:paraId="53C0501B">
            <w:pPr>
              <w:pStyle w:val="14"/>
            </w:pPr>
          </w:p>
        </w:tc>
        <w:tc>
          <w:tcPr>
            <w:tcW w:w="1361" w:type="dxa"/>
            <w:vAlign w:val="center"/>
          </w:tcPr>
          <w:p w14:paraId="59EADADE">
            <w:pPr>
              <w:pStyle w:val="14"/>
            </w:pPr>
          </w:p>
        </w:tc>
        <w:tc>
          <w:tcPr>
            <w:tcW w:w="1361" w:type="dxa"/>
            <w:vAlign w:val="center"/>
          </w:tcPr>
          <w:p w14:paraId="25023F3D">
            <w:pPr>
              <w:pStyle w:val="14"/>
            </w:pPr>
          </w:p>
        </w:tc>
      </w:tr>
    </w:tbl>
    <w:p w14:paraId="38C92190">
      <w:pPr>
        <w:sectPr>
          <w:pgSz w:w="16840" w:h="11900" w:orient="landscape"/>
          <w:pgMar w:top="1361" w:right="1020" w:bottom="1134" w:left="1020" w:header="720" w:footer="720" w:gutter="0"/>
          <w:cols w:space="720" w:num="1"/>
        </w:sectPr>
      </w:pPr>
    </w:p>
    <w:p w14:paraId="7919F7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907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9979F83">
            <w:pPr>
              <w:pStyle w:val="8"/>
            </w:pPr>
            <w:r>
              <w:t>360010隆尧县固城中学</w:t>
            </w:r>
          </w:p>
        </w:tc>
        <w:tc>
          <w:tcPr>
            <w:tcW w:w="3402" w:type="dxa"/>
            <w:tcBorders>
              <w:top w:val="single" w:color="FFFFFF" w:sz="6" w:space="0"/>
              <w:left w:val="single" w:color="FFFFFF" w:sz="6" w:space="0"/>
              <w:right w:val="single" w:color="FFFFFF" w:sz="6" w:space="0"/>
            </w:tcBorders>
            <w:vAlign w:val="center"/>
          </w:tcPr>
          <w:p w14:paraId="7852C7B2">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6212C1B">
            <w:pPr>
              <w:pStyle w:val="10"/>
            </w:pPr>
            <w:r>
              <w:t>单位：万元</w:t>
            </w:r>
          </w:p>
        </w:tc>
      </w:tr>
      <w:tr w14:paraId="3C05D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6D54C6">
            <w:pPr>
              <w:pStyle w:val="11"/>
            </w:pPr>
            <w:r>
              <w:t>序号</w:t>
            </w:r>
          </w:p>
        </w:tc>
        <w:tc>
          <w:tcPr>
            <w:tcW w:w="4876" w:type="dxa"/>
            <w:gridSpan w:val="2"/>
            <w:vAlign w:val="center"/>
          </w:tcPr>
          <w:p w14:paraId="31E8A50B">
            <w:pPr>
              <w:pStyle w:val="11"/>
            </w:pPr>
            <w:r>
              <w:t>收入</w:t>
            </w:r>
          </w:p>
        </w:tc>
        <w:tc>
          <w:tcPr>
            <w:tcW w:w="9298" w:type="dxa"/>
            <w:gridSpan w:val="5"/>
            <w:vAlign w:val="center"/>
          </w:tcPr>
          <w:p w14:paraId="4EC074CE">
            <w:pPr>
              <w:pStyle w:val="11"/>
            </w:pPr>
            <w:r>
              <w:t>支出</w:t>
            </w:r>
          </w:p>
        </w:tc>
      </w:tr>
      <w:tr w14:paraId="7E9DF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D948C5"/>
        </w:tc>
        <w:tc>
          <w:tcPr>
            <w:tcW w:w="3402" w:type="dxa"/>
            <w:vAlign w:val="center"/>
          </w:tcPr>
          <w:p w14:paraId="0E3DFE56">
            <w:pPr>
              <w:pStyle w:val="11"/>
            </w:pPr>
            <w:r>
              <w:t>项  目</w:t>
            </w:r>
          </w:p>
        </w:tc>
        <w:tc>
          <w:tcPr>
            <w:tcW w:w="1474" w:type="dxa"/>
            <w:vAlign w:val="center"/>
          </w:tcPr>
          <w:p w14:paraId="46E4215A">
            <w:pPr>
              <w:pStyle w:val="11"/>
            </w:pPr>
            <w:r>
              <w:t>金额</w:t>
            </w:r>
          </w:p>
        </w:tc>
        <w:tc>
          <w:tcPr>
            <w:tcW w:w="3402" w:type="dxa"/>
            <w:vAlign w:val="center"/>
          </w:tcPr>
          <w:p w14:paraId="464FB32E">
            <w:pPr>
              <w:pStyle w:val="11"/>
            </w:pPr>
            <w:r>
              <w:t>项  目</w:t>
            </w:r>
          </w:p>
        </w:tc>
        <w:tc>
          <w:tcPr>
            <w:tcW w:w="1474" w:type="dxa"/>
            <w:vAlign w:val="center"/>
          </w:tcPr>
          <w:p w14:paraId="52F83267">
            <w:pPr>
              <w:pStyle w:val="11"/>
            </w:pPr>
            <w:r>
              <w:t>合计</w:t>
            </w:r>
          </w:p>
        </w:tc>
        <w:tc>
          <w:tcPr>
            <w:tcW w:w="1474" w:type="dxa"/>
            <w:vAlign w:val="center"/>
          </w:tcPr>
          <w:p w14:paraId="67481A3D">
            <w:pPr>
              <w:pStyle w:val="11"/>
            </w:pPr>
            <w:r>
              <w:t>一般公共预算财政拨款</w:t>
            </w:r>
          </w:p>
        </w:tc>
        <w:tc>
          <w:tcPr>
            <w:tcW w:w="1474" w:type="dxa"/>
            <w:vAlign w:val="center"/>
          </w:tcPr>
          <w:p w14:paraId="1BF28B4D">
            <w:pPr>
              <w:pStyle w:val="11"/>
            </w:pPr>
            <w:r>
              <w:t>政府性基金预算财政    拨款</w:t>
            </w:r>
          </w:p>
        </w:tc>
        <w:tc>
          <w:tcPr>
            <w:tcW w:w="1474" w:type="dxa"/>
            <w:vAlign w:val="center"/>
          </w:tcPr>
          <w:p w14:paraId="7DEC229A">
            <w:pPr>
              <w:pStyle w:val="11"/>
            </w:pPr>
            <w:r>
              <w:t>国有资本经营预算财政拨款</w:t>
            </w:r>
          </w:p>
        </w:tc>
      </w:tr>
      <w:tr w14:paraId="6B16D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6D8964">
            <w:pPr>
              <w:pStyle w:val="11"/>
            </w:pPr>
            <w:r>
              <w:t>栏次</w:t>
            </w:r>
          </w:p>
        </w:tc>
        <w:tc>
          <w:tcPr>
            <w:tcW w:w="3402" w:type="dxa"/>
            <w:vAlign w:val="center"/>
          </w:tcPr>
          <w:p w14:paraId="3A5DCD5B">
            <w:pPr>
              <w:pStyle w:val="11"/>
            </w:pPr>
            <w:r>
              <w:t>1</w:t>
            </w:r>
          </w:p>
        </w:tc>
        <w:tc>
          <w:tcPr>
            <w:tcW w:w="1474" w:type="dxa"/>
            <w:vAlign w:val="center"/>
          </w:tcPr>
          <w:p w14:paraId="7815BAB7">
            <w:pPr>
              <w:pStyle w:val="11"/>
            </w:pPr>
            <w:r>
              <w:t>2</w:t>
            </w:r>
          </w:p>
        </w:tc>
        <w:tc>
          <w:tcPr>
            <w:tcW w:w="3402" w:type="dxa"/>
            <w:vAlign w:val="center"/>
          </w:tcPr>
          <w:p w14:paraId="0084E4F1">
            <w:pPr>
              <w:pStyle w:val="11"/>
            </w:pPr>
            <w:r>
              <w:t>3</w:t>
            </w:r>
          </w:p>
        </w:tc>
        <w:tc>
          <w:tcPr>
            <w:tcW w:w="1474" w:type="dxa"/>
            <w:vAlign w:val="center"/>
          </w:tcPr>
          <w:p w14:paraId="7876D320">
            <w:pPr>
              <w:pStyle w:val="11"/>
            </w:pPr>
            <w:r>
              <w:t>4</w:t>
            </w:r>
          </w:p>
        </w:tc>
        <w:tc>
          <w:tcPr>
            <w:tcW w:w="1474" w:type="dxa"/>
            <w:vAlign w:val="center"/>
          </w:tcPr>
          <w:p w14:paraId="76B95478">
            <w:pPr>
              <w:pStyle w:val="11"/>
            </w:pPr>
            <w:r>
              <w:t>5</w:t>
            </w:r>
          </w:p>
        </w:tc>
        <w:tc>
          <w:tcPr>
            <w:tcW w:w="1474" w:type="dxa"/>
            <w:vAlign w:val="center"/>
          </w:tcPr>
          <w:p w14:paraId="59E2C581">
            <w:pPr>
              <w:pStyle w:val="11"/>
            </w:pPr>
            <w:r>
              <w:t>6</w:t>
            </w:r>
          </w:p>
        </w:tc>
        <w:tc>
          <w:tcPr>
            <w:tcW w:w="1474" w:type="dxa"/>
            <w:vAlign w:val="center"/>
          </w:tcPr>
          <w:p w14:paraId="4008B3DE">
            <w:pPr>
              <w:pStyle w:val="11"/>
            </w:pPr>
            <w:r>
              <w:t>7</w:t>
            </w:r>
          </w:p>
        </w:tc>
      </w:tr>
      <w:tr w14:paraId="5E445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F22916B">
            <w:pPr>
              <w:pStyle w:val="12"/>
            </w:pPr>
            <w:r>
              <w:t>1</w:t>
            </w:r>
          </w:p>
        </w:tc>
        <w:tc>
          <w:tcPr>
            <w:tcW w:w="3402" w:type="dxa"/>
            <w:vAlign w:val="center"/>
          </w:tcPr>
          <w:p w14:paraId="080856AE">
            <w:pPr>
              <w:pStyle w:val="13"/>
            </w:pPr>
            <w:r>
              <w:t>一、一般公共预算拨款</w:t>
            </w:r>
          </w:p>
        </w:tc>
        <w:tc>
          <w:tcPr>
            <w:tcW w:w="1474" w:type="dxa"/>
            <w:vAlign w:val="center"/>
          </w:tcPr>
          <w:p w14:paraId="7E4518C9">
            <w:pPr>
              <w:pStyle w:val="14"/>
            </w:pPr>
            <w:r>
              <w:t>2261.13</w:t>
            </w:r>
          </w:p>
        </w:tc>
        <w:tc>
          <w:tcPr>
            <w:tcW w:w="3402" w:type="dxa"/>
            <w:vAlign w:val="center"/>
          </w:tcPr>
          <w:p w14:paraId="0A2253C5">
            <w:pPr>
              <w:pStyle w:val="13"/>
            </w:pPr>
            <w:r>
              <w:t>一、一般公共服务支出</w:t>
            </w:r>
          </w:p>
        </w:tc>
        <w:tc>
          <w:tcPr>
            <w:tcW w:w="1474" w:type="dxa"/>
            <w:vAlign w:val="center"/>
          </w:tcPr>
          <w:p w14:paraId="0018ED10">
            <w:pPr>
              <w:pStyle w:val="14"/>
            </w:pPr>
          </w:p>
        </w:tc>
        <w:tc>
          <w:tcPr>
            <w:tcW w:w="1474" w:type="dxa"/>
            <w:vAlign w:val="center"/>
          </w:tcPr>
          <w:p w14:paraId="62E2BDD7">
            <w:pPr>
              <w:pStyle w:val="14"/>
            </w:pPr>
          </w:p>
        </w:tc>
        <w:tc>
          <w:tcPr>
            <w:tcW w:w="1474" w:type="dxa"/>
            <w:vAlign w:val="center"/>
          </w:tcPr>
          <w:p w14:paraId="2DDD0C9F">
            <w:pPr>
              <w:pStyle w:val="14"/>
            </w:pPr>
          </w:p>
        </w:tc>
        <w:tc>
          <w:tcPr>
            <w:tcW w:w="1474" w:type="dxa"/>
            <w:vAlign w:val="center"/>
          </w:tcPr>
          <w:p w14:paraId="09B1B6AA">
            <w:pPr>
              <w:pStyle w:val="14"/>
            </w:pPr>
          </w:p>
        </w:tc>
      </w:tr>
      <w:tr w14:paraId="7B685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F731C">
            <w:pPr>
              <w:pStyle w:val="12"/>
            </w:pPr>
            <w:r>
              <w:t>2</w:t>
            </w:r>
          </w:p>
        </w:tc>
        <w:tc>
          <w:tcPr>
            <w:tcW w:w="3402" w:type="dxa"/>
            <w:vAlign w:val="center"/>
          </w:tcPr>
          <w:p w14:paraId="0325B60F">
            <w:pPr>
              <w:pStyle w:val="13"/>
            </w:pPr>
            <w:r>
              <w:t>二、政府性基金预算拨款</w:t>
            </w:r>
          </w:p>
        </w:tc>
        <w:tc>
          <w:tcPr>
            <w:tcW w:w="1474" w:type="dxa"/>
            <w:vAlign w:val="center"/>
          </w:tcPr>
          <w:p w14:paraId="133818E6">
            <w:pPr>
              <w:pStyle w:val="14"/>
            </w:pPr>
          </w:p>
        </w:tc>
        <w:tc>
          <w:tcPr>
            <w:tcW w:w="3402" w:type="dxa"/>
            <w:vAlign w:val="center"/>
          </w:tcPr>
          <w:p w14:paraId="79A98E6F">
            <w:pPr>
              <w:pStyle w:val="13"/>
            </w:pPr>
            <w:r>
              <w:t>二、外交支出</w:t>
            </w:r>
          </w:p>
        </w:tc>
        <w:tc>
          <w:tcPr>
            <w:tcW w:w="1474" w:type="dxa"/>
            <w:vAlign w:val="center"/>
          </w:tcPr>
          <w:p w14:paraId="04D02DEB">
            <w:pPr>
              <w:pStyle w:val="14"/>
            </w:pPr>
          </w:p>
        </w:tc>
        <w:tc>
          <w:tcPr>
            <w:tcW w:w="1474" w:type="dxa"/>
            <w:vAlign w:val="center"/>
          </w:tcPr>
          <w:p w14:paraId="2DB81542">
            <w:pPr>
              <w:pStyle w:val="14"/>
            </w:pPr>
          </w:p>
        </w:tc>
        <w:tc>
          <w:tcPr>
            <w:tcW w:w="1474" w:type="dxa"/>
            <w:vAlign w:val="center"/>
          </w:tcPr>
          <w:p w14:paraId="59340166">
            <w:pPr>
              <w:pStyle w:val="14"/>
            </w:pPr>
          </w:p>
        </w:tc>
        <w:tc>
          <w:tcPr>
            <w:tcW w:w="1474" w:type="dxa"/>
            <w:vAlign w:val="center"/>
          </w:tcPr>
          <w:p w14:paraId="5FCDA233">
            <w:pPr>
              <w:pStyle w:val="14"/>
            </w:pPr>
          </w:p>
        </w:tc>
      </w:tr>
      <w:tr w14:paraId="219F5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9CE5C">
            <w:pPr>
              <w:pStyle w:val="12"/>
            </w:pPr>
            <w:r>
              <w:t>3</w:t>
            </w:r>
          </w:p>
        </w:tc>
        <w:tc>
          <w:tcPr>
            <w:tcW w:w="3402" w:type="dxa"/>
            <w:vAlign w:val="center"/>
          </w:tcPr>
          <w:p w14:paraId="42D0FEA7">
            <w:pPr>
              <w:pStyle w:val="13"/>
            </w:pPr>
            <w:r>
              <w:t>三、国有资本经营预算拨款</w:t>
            </w:r>
          </w:p>
        </w:tc>
        <w:tc>
          <w:tcPr>
            <w:tcW w:w="1474" w:type="dxa"/>
            <w:vAlign w:val="center"/>
          </w:tcPr>
          <w:p w14:paraId="2320BA9F">
            <w:pPr>
              <w:pStyle w:val="14"/>
            </w:pPr>
          </w:p>
        </w:tc>
        <w:tc>
          <w:tcPr>
            <w:tcW w:w="3402" w:type="dxa"/>
            <w:vAlign w:val="center"/>
          </w:tcPr>
          <w:p w14:paraId="52A675C0">
            <w:pPr>
              <w:pStyle w:val="13"/>
            </w:pPr>
            <w:r>
              <w:t>三、国防支出</w:t>
            </w:r>
          </w:p>
        </w:tc>
        <w:tc>
          <w:tcPr>
            <w:tcW w:w="1474" w:type="dxa"/>
            <w:vAlign w:val="center"/>
          </w:tcPr>
          <w:p w14:paraId="2EE8ED66">
            <w:pPr>
              <w:pStyle w:val="14"/>
            </w:pPr>
          </w:p>
        </w:tc>
        <w:tc>
          <w:tcPr>
            <w:tcW w:w="1474" w:type="dxa"/>
            <w:vAlign w:val="center"/>
          </w:tcPr>
          <w:p w14:paraId="54DCCB13">
            <w:pPr>
              <w:pStyle w:val="14"/>
            </w:pPr>
          </w:p>
        </w:tc>
        <w:tc>
          <w:tcPr>
            <w:tcW w:w="1474" w:type="dxa"/>
            <w:vAlign w:val="center"/>
          </w:tcPr>
          <w:p w14:paraId="2306081B">
            <w:pPr>
              <w:pStyle w:val="14"/>
            </w:pPr>
          </w:p>
        </w:tc>
        <w:tc>
          <w:tcPr>
            <w:tcW w:w="1474" w:type="dxa"/>
            <w:vAlign w:val="center"/>
          </w:tcPr>
          <w:p w14:paraId="24113A67">
            <w:pPr>
              <w:pStyle w:val="14"/>
            </w:pPr>
          </w:p>
        </w:tc>
      </w:tr>
      <w:tr w14:paraId="1DD9E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21864">
            <w:pPr>
              <w:pStyle w:val="12"/>
            </w:pPr>
            <w:r>
              <w:t>4</w:t>
            </w:r>
          </w:p>
        </w:tc>
        <w:tc>
          <w:tcPr>
            <w:tcW w:w="3402" w:type="dxa"/>
            <w:vAlign w:val="center"/>
          </w:tcPr>
          <w:p w14:paraId="1F4E2074">
            <w:pPr>
              <w:pStyle w:val="13"/>
            </w:pPr>
          </w:p>
        </w:tc>
        <w:tc>
          <w:tcPr>
            <w:tcW w:w="1474" w:type="dxa"/>
            <w:vAlign w:val="center"/>
          </w:tcPr>
          <w:p w14:paraId="0BB7E636">
            <w:pPr>
              <w:pStyle w:val="14"/>
            </w:pPr>
          </w:p>
        </w:tc>
        <w:tc>
          <w:tcPr>
            <w:tcW w:w="3402" w:type="dxa"/>
            <w:vAlign w:val="center"/>
          </w:tcPr>
          <w:p w14:paraId="69E63C3C">
            <w:pPr>
              <w:pStyle w:val="13"/>
            </w:pPr>
            <w:r>
              <w:t>四、公共安全支出</w:t>
            </w:r>
          </w:p>
        </w:tc>
        <w:tc>
          <w:tcPr>
            <w:tcW w:w="1474" w:type="dxa"/>
            <w:vAlign w:val="center"/>
          </w:tcPr>
          <w:p w14:paraId="1F6E51D1">
            <w:pPr>
              <w:pStyle w:val="14"/>
            </w:pPr>
          </w:p>
        </w:tc>
        <w:tc>
          <w:tcPr>
            <w:tcW w:w="1474" w:type="dxa"/>
            <w:vAlign w:val="center"/>
          </w:tcPr>
          <w:p w14:paraId="28E74483">
            <w:pPr>
              <w:pStyle w:val="14"/>
            </w:pPr>
          </w:p>
        </w:tc>
        <w:tc>
          <w:tcPr>
            <w:tcW w:w="1474" w:type="dxa"/>
            <w:vAlign w:val="center"/>
          </w:tcPr>
          <w:p w14:paraId="2A14AA9E">
            <w:pPr>
              <w:pStyle w:val="14"/>
            </w:pPr>
          </w:p>
        </w:tc>
        <w:tc>
          <w:tcPr>
            <w:tcW w:w="1474" w:type="dxa"/>
            <w:vAlign w:val="center"/>
          </w:tcPr>
          <w:p w14:paraId="222FF17B">
            <w:pPr>
              <w:pStyle w:val="14"/>
            </w:pPr>
          </w:p>
        </w:tc>
      </w:tr>
      <w:tr w14:paraId="00F73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93AC0">
            <w:pPr>
              <w:pStyle w:val="12"/>
            </w:pPr>
            <w:r>
              <w:t>5</w:t>
            </w:r>
          </w:p>
        </w:tc>
        <w:tc>
          <w:tcPr>
            <w:tcW w:w="3402" w:type="dxa"/>
            <w:vAlign w:val="center"/>
          </w:tcPr>
          <w:p w14:paraId="21FE9C6A">
            <w:pPr>
              <w:pStyle w:val="13"/>
            </w:pPr>
          </w:p>
        </w:tc>
        <w:tc>
          <w:tcPr>
            <w:tcW w:w="1474" w:type="dxa"/>
            <w:vAlign w:val="center"/>
          </w:tcPr>
          <w:p w14:paraId="660BB4C7">
            <w:pPr>
              <w:pStyle w:val="14"/>
            </w:pPr>
          </w:p>
        </w:tc>
        <w:tc>
          <w:tcPr>
            <w:tcW w:w="3402" w:type="dxa"/>
            <w:vAlign w:val="center"/>
          </w:tcPr>
          <w:p w14:paraId="4B5FAC7B">
            <w:pPr>
              <w:pStyle w:val="13"/>
            </w:pPr>
            <w:r>
              <w:t>五、教育支出</w:t>
            </w:r>
          </w:p>
        </w:tc>
        <w:tc>
          <w:tcPr>
            <w:tcW w:w="1474" w:type="dxa"/>
            <w:vAlign w:val="center"/>
          </w:tcPr>
          <w:p w14:paraId="72CE37D6">
            <w:pPr>
              <w:pStyle w:val="14"/>
            </w:pPr>
            <w:r>
              <w:t>2261.13</w:t>
            </w:r>
          </w:p>
        </w:tc>
        <w:tc>
          <w:tcPr>
            <w:tcW w:w="1474" w:type="dxa"/>
            <w:vAlign w:val="center"/>
          </w:tcPr>
          <w:p w14:paraId="13EF58EB">
            <w:pPr>
              <w:pStyle w:val="14"/>
            </w:pPr>
            <w:r>
              <w:t>2261.13</w:t>
            </w:r>
          </w:p>
        </w:tc>
        <w:tc>
          <w:tcPr>
            <w:tcW w:w="1474" w:type="dxa"/>
            <w:vAlign w:val="center"/>
          </w:tcPr>
          <w:p w14:paraId="3167FA16">
            <w:pPr>
              <w:pStyle w:val="14"/>
            </w:pPr>
          </w:p>
        </w:tc>
        <w:tc>
          <w:tcPr>
            <w:tcW w:w="1474" w:type="dxa"/>
            <w:vAlign w:val="center"/>
          </w:tcPr>
          <w:p w14:paraId="01F336FC">
            <w:pPr>
              <w:pStyle w:val="14"/>
            </w:pPr>
          </w:p>
        </w:tc>
      </w:tr>
      <w:tr w14:paraId="1F4DA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F0492">
            <w:pPr>
              <w:pStyle w:val="12"/>
            </w:pPr>
            <w:r>
              <w:t>6</w:t>
            </w:r>
          </w:p>
        </w:tc>
        <w:tc>
          <w:tcPr>
            <w:tcW w:w="3402" w:type="dxa"/>
            <w:vAlign w:val="center"/>
          </w:tcPr>
          <w:p w14:paraId="7517C804">
            <w:pPr>
              <w:pStyle w:val="13"/>
            </w:pPr>
          </w:p>
        </w:tc>
        <w:tc>
          <w:tcPr>
            <w:tcW w:w="1474" w:type="dxa"/>
            <w:vAlign w:val="center"/>
          </w:tcPr>
          <w:p w14:paraId="76BBFDA5">
            <w:pPr>
              <w:pStyle w:val="14"/>
            </w:pPr>
          </w:p>
        </w:tc>
        <w:tc>
          <w:tcPr>
            <w:tcW w:w="3402" w:type="dxa"/>
            <w:vAlign w:val="center"/>
          </w:tcPr>
          <w:p w14:paraId="495FA3E7">
            <w:pPr>
              <w:pStyle w:val="13"/>
            </w:pPr>
            <w:r>
              <w:t>六、科学技术支出</w:t>
            </w:r>
          </w:p>
        </w:tc>
        <w:tc>
          <w:tcPr>
            <w:tcW w:w="1474" w:type="dxa"/>
            <w:vAlign w:val="center"/>
          </w:tcPr>
          <w:p w14:paraId="017CBF82">
            <w:pPr>
              <w:pStyle w:val="14"/>
            </w:pPr>
          </w:p>
        </w:tc>
        <w:tc>
          <w:tcPr>
            <w:tcW w:w="1474" w:type="dxa"/>
            <w:vAlign w:val="center"/>
          </w:tcPr>
          <w:p w14:paraId="2B351F9B">
            <w:pPr>
              <w:pStyle w:val="14"/>
            </w:pPr>
          </w:p>
        </w:tc>
        <w:tc>
          <w:tcPr>
            <w:tcW w:w="1474" w:type="dxa"/>
            <w:vAlign w:val="center"/>
          </w:tcPr>
          <w:p w14:paraId="10349D6B">
            <w:pPr>
              <w:pStyle w:val="14"/>
            </w:pPr>
          </w:p>
        </w:tc>
        <w:tc>
          <w:tcPr>
            <w:tcW w:w="1474" w:type="dxa"/>
            <w:vAlign w:val="center"/>
          </w:tcPr>
          <w:p w14:paraId="559F23C8">
            <w:pPr>
              <w:pStyle w:val="14"/>
            </w:pPr>
          </w:p>
        </w:tc>
      </w:tr>
      <w:tr w14:paraId="3A8D9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99BB0">
            <w:pPr>
              <w:pStyle w:val="12"/>
            </w:pPr>
            <w:r>
              <w:t>7</w:t>
            </w:r>
          </w:p>
        </w:tc>
        <w:tc>
          <w:tcPr>
            <w:tcW w:w="3402" w:type="dxa"/>
            <w:vAlign w:val="center"/>
          </w:tcPr>
          <w:p w14:paraId="5D4CDBAB">
            <w:pPr>
              <w:pStyle w:val="13"/>
            </w:pPr>
          </w:p>
        </w:tc>
        <w:tc>
          <w:tcPr>
            <w:tcW w:w="1474" w:type="dxa"/>
            <w:vAlign w:val="center"/>
          </w:tcPr>
          <w:p w14:paraId="711CCF3F">
            <w:pPr>
              <w:pStyle w:val="14"/>
            </w:pPr>
          </w:p>
        </w:tc>
        <w:tc>
          <w:tcPr>
            <w:tcW w:w="3402" w:type="dxa"/>
            <w:vAlign w:val="center"/>
          </w:tcPr>
          <w:p w14:paraId="40E31594">
            <w:pPr>
              <w:pStyle w:val="13"/>
            </w:pPr>
            <w:r>
              <w:t>七、文化旅游体育与传媒支出</w:t>
            </w:r>
          </w:p>
        </w:tc>
        <w:tc>
          <w:tcPr>
            <w:tcW w:w="1474" w:type="dxa"/>
            <w:vAlign w:val="center"/>
          </w:tcPr>
          <w:p w14:paraId="24F068F6">
            <w:pPr>
              <w:pStyle w:val="14"/>
            </w:pPr>
          </w:p>
        </w:tc>
        <w:tc>
          <w:tcPr>
            <w:tcW w:w="1474" w:type="dxa"/>
            <w:vAlign w:val="center"/>
          </w:tcPr>
          <w:p w14:paraId="7F773B8F">
            <w:pPr>
              <w:pStyle w:val="14"/>
            </w:pPr>
          </w:p>
        </w:tc>
        <w:tc>
          <w:tcPr>
            <w:tcW w:w="1474" w:type="dxa"/>
            <w:vAlign w:val="center"/>
          </w:tcPr>
          <w:p w14:paraId="5D663998">
            <w:pPr>
              <w:pStyle w:val="14"/>
            </w:pPr>
          </w:p>
        </w:tc>
        <w:tc>
          <w:tcPr>
            <w:tcW w:w="1474" w:type="dxa"/>
            <w:vAlign w:val="center"/>
          </w:tcPr>
          <w:p w14:paraId="74C7EF74">
            <w:pPr>
              <w:pStyle w:val="14"/>
            </w:pPr>
          </w:p>
        </w:tc>
      </w:tr>
      <w:tr w14:paraId="0D301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C237B">
            <w:pPr>
              <w:pStyle w:val="12"/>
            </w:pPr>
            <w:r>
              <w:t>8</w:t>
            </w:r>
          </w:p>
        </w:tc>
        <w:tc>
          <w:tcPr>
            <w:tcW w:w="3402" w:type="dxa"/>
            <w:vAlign w:val="center"/>
          </w:tcPr>
          <w:p w14:paraId="754D1F3B">
            <w:pPr>
              <w:pStyle w:val="13"/>
            </w:pPr>
          </w:p>
        </w:tc>
        <w:tc>
          <w:tcPr>
            <w:tcW w:w="1474" w:type="dxa"/>
            <w:vAlign w:val="center"/>
          </w:tcPr>
          <w:p w14:paraId="23E71AA7">
            <w:pPr>
              <w:pStyle w:val="14"/>
            </w:pPr>
          </w:p>
        </w:tc>
        <w:tc>
          <w:tcPr>
            <w:tcW w:w="3402" w:type="dxa"/>
            <w:vAlign w:val="center"/>
          </w:tcPr>
          <w:p w14:paraId="4E6E1224">
            <w:pPr>
              <w:pStyle w:val="13"/>
            </w:pPr>
            <w:r>
              <w:t>八、社会保障和就业支出</w:t>
            </w:r>
          </w:p>
        </w:tc>
        <w:tc>
          <w:tcPr>
            <w:tcW w:w="1474" w:type="dxa"/>
            <w:vAlign w:val="center"/>
          </w:tcPr>
          <w:p w14:paraId="07C4BA54">
            <w:pPr>
              <w:pStyle w:val="14"/>
            </w:pPr>
          </w:p>
        </w:tc>
        <w:tc>
          <w:tcPr>
            <w:tcW w:w="1474" w:type="dxa"/>
            <w:vAlign w:val="center"/>
          </w:tcPr>
          <w:p w14:paraId="1789DAEC">
            <w:pPr>
              <w:pStyle w:val="14"/>
            </w:pPr>
          </w:p>
        </w:tc>
        <w:tc>
          <w:tcPr>
            <w:tcW w:w="1474" w:type="dxa"/>
            <w:vAlign w:val="center"/>
          </w:tcPr>
          <w:p w14:paraId="61F8F507">
            <w:pPr>
              <w:pStyle w:val="14"/>
            </w:pPr>
          </w:p>
        </w:tc>
        <w:tc>
          <w:tcPr>
            <w:tcW w:w="1474" w:type="dxa"/>
            <w:vAlign w:val="center"/>
          </w:tcPr>
          <w:p w14:paraId="4740CC1D">
            <w:pPr>
              <w:pStyle w:val="14"/>
            </w:pPr>
          </w:p>
        </w:tc>
      </w:tr>
      <w:tr w14:paraId="7E6B1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5032C">
            <w:pPr>
              <w:pStyle w:val="12"/>
            </w:pPr>
            <w:r>
              <w:t>9</w:t>
            </w:r>
          </w:p>
        </w:tc>
        <w:tc>
          <w:tcPr>
            <w:tcW w:w="3402" w:type="dxa"/>
            <w:vAlign w:val="center"/>
          </w:tcPr>
          <w:p w14:paraId="712533ED">
            <w:pPr>
              <w:pStyle w:val="13"/>
            </w:pPr>
          </w:p>
        </w:tc>
        <w:tc>
          <w:tcPr>
            <w:tcW w:w="1474" w:type="dxa"/>
            <w:vAlign w:val="center"/>
          </w:tcPr>
          <w:p w14:paraId="0F85E996">
            <w:pPr>
              <w:pStyle w:val="14"/>
            </w:pPr>
          </w:p>
        </w:tc>
        <w:tc>
          <w:tcPr>
            <w:tcW w:w="3402" w:type="dxa"/>
            <w:vAlign w:val="center"/>
          </w:tcPr>
          <w:p w14:paraId="4009A161">
            <w:pPr>
              <w:pStyle w:val="13"/>
            </w:pPr>
            <w:r>
              <w:t>九、社会保险基金支出</w:t>
            </w:r>
          </w:p>
        </w:tc>
        <w:tc>
          <w:tcPr>
            <w:tcW w:w="1474" w:type="dxa"/>
            <w:vAlign w:val="center"/>
          </w:tcPr>
          <w:p w14:paraId="059C43C9">
            <w:pPr>
              <w:pStyle w:val="14"/>
            </w:pPr>
          </w:p>
        </w:tc>
        <w:tc>
          <w:tcPr>
            <w:tcW w:w="1474" w:type="dxa"/>
            <w:vAlign w:val="center"/>
          </w:tcPr>
          <w:p w14:paraId="4F64668A">
            <w:pPr>
              <w:pStyle w:val="14"/>
            </w:pPr>
          </w:p>
        </w:tc>
        <w:tc>
          <w:tcPr>
            <w:tcW w:w="1474" w:type="dxa"/>
            <w:vAlign w:val="center"/>
          </w:tcPr>
          <w:p w14:paraId="2F398303">
            <w:pPr>
              <w:pStyle w:val="14"/>
            </w:pPr>
          </w:p>
        </w:tc>
        <w:tc>
          <w:tcPr>
            <w:tcW w:w="1474" w:type="dxa"/>
            <w:vAlign w:val="center"/>
          </w:tcPr>
          <w:p w14:paraId="008E6183">
            <w:pPr>
              <w:pStyle w:val="14"/>
            </w:pPr>
          </w:p>
        </w:tc>
      </w:tr>
      <w:tr w14:paraId="26201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D7AA7">
            <w:pPr>
              <w:pStyle w:val="12"/>
            </w:pPr>
            <w:r>
              <w:t>10</w:t>
            </w:r>
          </w:p>
        </w:tc>
        <w:tc>
          <w:tcPr>
            <w:tcW w:w="3402" w:type="dxa"/>
            <w:vAlign w:val="center"/>
          </w:tcPr>
          <w:p w14:paraId="13EEE13D">
            <w:pPr>
              <w:pStyle w:val="13"/>
            </w:pPr>
          </w:p>
        </w:tc>
        <w:tc>
          <w:tcPr>
            <w:tcW w:w="1474" w:type="dxa"/>
            <w:vAlign w:val="center"/>
          </w:tcPr>
          <w:p w14:paraId="344E10CD">
            <w:pPr>
              <w:pStyle w:val="14"/>
            </w:pPr>
          </w:p>
        </w:tc>
        <w:tc>
          <w:tcPr>
            <w:tcW w:w="3402" w:type="dxa"/>
            <w:vAlign w:val="center"/>
          </w:tcPr>
          <w:p w14:paraId="464F17EE">
            <w:pPr>
              <w:pStyle w:val="13"/>
            </w:pPr>
            <w:r>
              <w:t>十、卫生健康支出</w:t>
            </w:r>
          </w:p>
        </w:tc>
        <w:tc>
          <w:tcPr>
            <w:tcW w:w="1474" w:type="dxa"/>
            <w:vAlign w:val="center"/>
          </w:tcPr>
          <w:p w14:paraId="6A8D5381">
            <w:pPr>
              <w:pStyle w:val="14"/>
            </w:pPr>
          </w:p>
        </w:tc>
        <w:tc>
          <w:tcPr>
            <w:tcW w:w="1474" w:type="dxa"/>
            <w:vAlign w:val="center"/>
          </w:tcPr>
          <w:p w14:paraId="68CB9A76">
            <w:pPr>
              <w:pStyle w:val="14"/>
            </w:pPr>
          </w:p>
        </w:tc>
        <w:tc>
          <w:tcPr>
            <w:tcW w:w="1474" w:type="dxa"/>
            <w:vAlign w:val="center"/>
          </w:tcPr>
          <w:p w14:paraId="0DE0828D">
            <w:pPr>
              <w:pStyle w:val="14"/>
            </w:pPr>
          </w:p>
        </w:tc>
        <w:tc>
          <w:tcPr>
            <w:tcW w:w="1474" w:type="dxa"/>
            <w:vAlign w:val="center"/>
          </w:tcPr>
          <w:p w14:paraId="6BEB358A">
            <w:pPr>
              <w:pStyle w:val="14"/>
            </w:pPr>
          </w:p>
        </w:tc>
      </w:tr>
      <w:tr w14:paraId="7B78F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9D99D">
            <w:pPr>
              <w:pStyle w:val="12"/>
            </w:pPr>
            <w:r>
              <w:t>11</w:t>
            </w:r>
          </w:p>
        </w:tc>
        <w:tc>
          <w:tcPr>
            <w:tcW w:w="3402" w:type="dxa"/>
            <w:vAlign w:val="center"/>
          </w:tcPr>
          <w:p w14:paraId="1683C8E5">
            <w:pPr>
              <w:pStyle w:val="13"/>
            </w:pPr>
          </w:p>
        </w:tc>
        <w:tc>
          <w:tcPr>
            <w:tcW w:w="1474" w:type="dxa"/>
            <w:vAlign w:val="center"/>
          </w:tcPr>
          <w:p w14:paraId="7193282B">
            <w:pPr>
              <w:pStyle w:val="14"/>
            </w:pPr>
          </w:p>
        </w:tc>
        <w:tc>
          <w:tcPr>
            <w:tcW w:w="3402" w:type="dxa"/>
            <w:vAlign w:val="center"/>
          </w:tcPr>
          <w:p w14:paraId="14A9DCDF">
            <w:pPr>
              <w:pStyle w:val="13"/>
            </w:pPr>
            <w:r>
              <w:t>十一、节能环保支出</w:t>
            </w:r>
          </w:p>
        </w:tc>
        <w:tc>
          <w:tcPr>
            <w:tcW w:w="1474" w:type="dxa"/>
            <w:vAlign w:val="center"/>
          </w:tcPr>
          <w:p w14:paraId="7F555213">
            <w:pPr>
              <w:pStyle w:val="14"/>
            </w:pPr>
          </w:p>
        </w:tc>
        <w:tc>
          <w:tcPr>
            <w:tcW w:w="1474" w:type="dxa"/>
            <w:vAlign w:val="center"/>
          </w:tcPr>
          <w:p w14:paraId="12D30BE1">
            <w:pPr>
              <w:pStyle w:val="14"/>
            </w:pPr>
          </w:p>
        </w:tc>
        <w:tc>
          <w:tcPr>
            <w:tcW w:w="1474" w:type="dxa"/>
            <w:vAlign w:val="center"/>
          </w:tcPr>
          <w:p w14:paraId="71B8009F">
            <w:pPr>
              <w:pStyle w:val="14"/>
            </w:pPr>
          </w:p>
        </w:tc>
        <w:tc>
          <w:tcPr>
            <w:tcW w:w="1474" w:type="dxa"/>
            <w:vAlign w:val="center"/>
          </w:tcPr>
          <w:p w14:paraId="09DF92CD">
            <w:pPr>
              <w:pStyle w:val="14"/>
            </w:pPr>
          </w:p>
        </w:tc>
      </w:tr>
      <w:tr w14:paraId="1CAC8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89691E4">
            <w:pPr>
              <w:pStyle w:val="12"/>
            </w:pPr>
            <w:r>
              <w:t>12</w:t>
            </w:r>
          </w:p>
        </w:tc>
        <w:tc>
          <w:tcPr>
            <w:tcW w:w="3402" w:type="dxa"/>
            <w:vAlign w:val="center"/>
          </w:tcPr>
          <w:p w14:paraId="01F8109E">
            <w:pPr>
              <w:pStyle w:val="13"/>
            </w:pPr>
          </w:p>
        </w:tc>
        <w:tc>
          <w:tcPr>
            <w:tcW w:w="1474" w:type="dxa"/>
            <w:vAlign w:val="center"/>
          </w:tcPr>
          <w:p w14:paraId="6EF1FC23">
            <w:pPr>
              <w:pStyle w:val="14"/>
            </w:pPr>
          </w:p>
        </w:tc>
        <w:tc>
          <w:tcPr>
            <w:tcW w:w="3402" w:type="dxa"/>
            <w:vAlign w:val="center"/>
          </w:tcPr>
          <w:p w14:paraId="0080CAFC">
            <w:pPr>
              <w:pStyle w:val="13"/>
            </w:pPr>
            <w:r>
              <w:t>十二、城乡社区支出</w:t>
            </w:r>
          </w:p>
        </w:tc>
        <w:tc>
          <w:tcPr>
            <w:tcW w:w="1474" w:type="dxa"/>
            <w:vAlign w:val="center"/>
          </w:tcPr>
          <w:p w14:paraId="7598DA3A">
            <w:pPr>
              <w:pStyle w:val="14"/>
            </w:pPr>
          </w:p>
        </w:tc>
        <w:tc>
          <w:tcPr>
            <w:tcW w:w="1474" w:type="dxa"/>
            <w:vAlign w:val="center"/>
          </w:tcPr>
          <w:p w14:paraId="36C7E6AE">
            <w:pPr>
              <w:pStyle w:val="14"/>
            </w:pPr>
          </w:p>
        </w:tc>
        <w:tc>
          <w:tcPr>
            <w:tcW w:w="1474" w:type="dxa"/>
            <w:vAlign w:val="center"/>
          </w:tcPr>
          <w:p w14:paraId="2F5DF3D7">
            <w:pPr>
              <w:pStyle w:val="14"/>
            </w:pPr>
          </w:p>
        </w:tc>
        <w:tc>
          <w:tcPr>
            <w:tcW w:w="1474" w:type="dxa"/>
            <w:vAlign w:val="center"/>
          </w:tcPr>
          <w:p w14:paraId="2A8490D6">
            <w:pPr>
              <w:pStyle w:val="14"/>
            </w:pPr>
          </w:p>
        </w:tc>
      </w:tr>
      <w:tr w14:paraId="066B4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7643358">
            <w:pPr>
              <w:pStyle w:val="12"/>
            </w:pPr>
            <w:r>
              <w:t>13</w:t>
            </w:r>
          </w:p>
        </w:tc>
        <w:tc>
          <w:tcPr>
            <w:tcW w:w="3402" w:type="dxa"/>
            <w:vAlign w:val="center"/>
          </w:tcPr>
          <w:p w14:paraId="0704AC1D">
            <w:pPr>
              <w:pStyle w:val="13"/>
            </w:pPr>
          </w:p>
        </w:tc>
        <w:tc>
          <w:tcPr>
            <w:tcW w:w="1474" w:type="dxa"/>
            <w:vAlign w:val="center"/>
          </w:tcPr>
          <w:p w14:paraId="5BAC3D89">
            <w:pPr>
              <w:pStyle w:val="14"/>
            </w:pPr>
          </w:p>
        </w:tc>
        <w:tc>
          <w:tcPr>
            <w:tcW w:w="3402" w:type="dxa"/>
            <w:vAlign w:val="center"/>
          </w:tcPr>
          <w:p w14:paraId="5C5ED144">
            <w:pPr>
              <w:pStyle w:val="13"/>
            </w:pPr>
            <w:r>
              <w:t>十三、农林水支出</w:t>
            </w:r>
          </w:p>
        </w:tc>
        <w:tc>
          <w:tcPr>
            <w:tcW w:w="1474" w:type="dxa"/>
            <w:vAlign w:val="center"/>
          </w:tcPr>
          <w:p w14:paraId="33B0CDCC">
            <w:pPr>
              <w:pStyle w:val="14"/>
            </w:pPr>
          </w:p>
        </w:tc>
        <w:tc>
          <w:tcPr>
            <w:tcW w:w="1474" w:type="dxa"/>
            <w:vAlign w:val="center"/>
          </w:tcPr>
          <w:p w14:paraId="3CDFFF4C">
            <w:pPr>
              <w:pStyle w:val="14"/>
            </w:pPr>
          </w:p>
        </w:tc>
        <w:tc>
          <w:tcPr>
            <w:tcW w:w="1474" w:type="dxa"/>
            <w:vAlign w:val="center"/>
          </w:tcPr>
          <w:p w14:paraId="1370923A">
            <w:pPr>
              <w:pStyle w:val="14"/>
            </w:pPr>
          </w:p>
        </w:tc>
        <w:tc>
          <w:tcPr>
            <w:tcW w:w="1474" w:type="dxa"/>
            <w:vAlign w:val="center"/>
          </w:tcPr>
          <w:p w14:paraId="5D6EF961">
            <w:pPr>
              <w:pStyle w:val="14"/>
            </w:pPr>
          </w:p>
        </w:tc>
      </w:tr>
      <w:tr w14:paraId="7714C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F3BF81E">
            <w:pPr>
              <w:pStyle w:val="12"/>
            </w:pPr>
            <w:r>
              <w:t>14</w:t>
            </w:r>
          </w:p>
        </w:tc>
        <w:tc>
          <w:tcPr>
            <w:tcW w:w="3402" w:type="dxa"/>
            <w:vAlign w:val="center"/>
          </w:tcPr>
          <w:p w14:paraId="7C418206">
            <w:pPr>
              <w:pStyle w:val="13"/>
            </w:pPr>
          </w:p>
        </w:tc>
        <w:tc>
          <w:tcPr>
            <w:tcW w:w="1474" w:type="dxa"/>
            <w:vAlign w:val="center"/>
          </w:tcPr>
          <w:p w14:paraId="2707F3C8">
            <w:pPr>
              <w:pStyle w:val="14"/>
            </w:pPr>
          </w:p>
        </w:tc>
        <w:tc>
          <w:tcPr>
            <w:tcW w:w="3402" w:type="dxa"/>
            <w:vAlign w:val="center"/>
          </w:tcPr>
          <w:p w14:paraId="4FA2551D">
            <w:pPr>
              <w:pStyle w:val="13"/>
            </w:pPr>
            <w:r>
              <w:t>十四、交通运输支出</w:t>
            </w:r>
          </w:p>
        </w:tc>
        <w:tc>
          <w:tcPr>
            <w:tcW w:w="1474" w:type="dxa"/>
            <w:vAlign w:val="center"/>
          </w:tcPr>
          <w:p w14:paraId="5F7353F9">
            <w:pPr>
              <w:pStyle w:val="14"/>
            </w:pPr>
          </w:p>
        </w:tc>
        <w:tc>
          <w:tcPr>
            <w:tcW w:w="1474" w:type="dxa"/>
            <w:vAlign w:val="center"/>
          </w:tcPr>
          <w:p w14:paraId="2CAB5039">
            <w:pPr>
              <w:pStyle w:val="14"/>
            </w:pPr>
          </w:p>
        </w:tc>
        <w:tc>
          <w:tcPr>
            <w:tcW w:w="1474" w:type="dxa"/>
            <w:vAlign w:val="center"/>
          </w:tcPr>
          <w:p w14:paraId="7CADFAA8">
            <w:pPr>
              <w:pStyle w:val="14"/>
            </w:pPr>
          </w:p>
        </w:tc>
        <w:tc>
          <w:tcPr>
            <w:tcW w:w="1474" w:type="dxa"/>
            <w:vAlign w:val="center"/>
          </w:tcPr>
          <w:p w14:paraId="53C84BD4">
            <w:pPr>
              <w:pStyle w:val="14"/>
            </w:pPr>
          </w:p>
        </w:tc>
      </w:tr>
      <w:tr w14:paraId="42CF7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B254E8D">
            <w:pPr>
              <w:pStyle w:val="12"/>
            </w:pPr>
            <w:r>
              <w:t>15</w:t>
            </w:r>
          </w:p>
        </w:tc>
        <w:tc>
          <w:tcPr>
            <w:tcW w:w="3402" w:type="dxa"/>
            <w:vAlign w:val="center"/>
          </w:tcPr>
          <w:p w14:paraId="72B995BC">
            <w:pPr>
              <w:pStyle w:val="13"/>
            </w:pPr>
          </w:p>
        </w:tc>
        <w:tc>
          <w:tcPr>
            <w:tcW w:w="1474" w:type="dxa"/>
            <w:vAlign w:val="center"/>
          </w:tcPr>
          <w:p w14:paraId="4423959A">
            <w:pPr>
              <w:pStyle w:val="14"/>
            </w:pPr>
          </w:p>
        </w:tc>
        <w:tc>
          <w:tcPr>
            <w:tcW w:w="3402" w:type="dxa"/>
            <w:vAlign w:val="center"/>
          </w:tcPr>
          <w:p w14:paraId="44D9E2C6">
            <w:pPr>
              <w:pStyle w:val="13"/>
            </w:pPr>
            <w:r>
              <w:t>十五、资源勘探工业信息等支出</w:t>
            </w:r>
          </w:p>
        </w:tc>
        <w:tc>
          <w:tcPr>
            <w:tcW w:w="1474" w:type="dxa"/>
            <w:vAlign w:val="center"/>
          </w:tcPr>
          <w:p w14:paraId="1EADBEC5">
            <w:pPr>
              <w:pStyle w:val="14"/>
            </w:pPr>
          </w:p>
        </w:tc>
        <w:tc>
          <w:tcPr>
            <w:tcW w:w="1474" w:type="dxa"/>
            <w:vAlign w:val="center"/>
          </w:tcPr>
          <w:p w14:paraId="700CA693">
            <w:pPr>
              <w:pStyle w:val="14"/>
            </w:pPr>
          </w:p>
        </w:tc>
        <w:tc>
          <w:tcPr>
            <w:tcW w:w="1474" w:type="dxa"/>
            <w:vAlign w:val="center"/>
          </w:tcPr>
          <w:p w14:paraId="4945CEDA">
            <w:pPr>
              <w:pStyle w:val="14"/>
            </w:pPr>
          </w:p>
        </w:tc>
        <w:tc>
          <w:tcPr>
            <w:tcW w:w="1474" w:type="dxa"/>
            <w:vAlign w:val="center"/>
          </w:tcPr>
          <w:p w14:paraId="75B5EB4E">
            <w:pPr>
              <w:pStyle w:val="14"/>
            </w:pPr>
          </w:p>
        </w:tc>
      </w:tr>
      <w:tr w14:paraId="44A4B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F31F4">
            <w:pPr>
              <w:pStyle w:val="12"/>
            </w:pPr>
            <w:r>
              <w:t>16</w:t>
            </w:r>
          </w:p>
        </w:tc>
        <w:tc>
          <w:tcPr>
            <w:tcW w:w="3402" w:type="dxa"/>
            <w:vAlign w:val="center"/>
          </w:tcPr>
          <w:p w14:paraId="38489515">
            <w:pPr>
              <w:pStyle w:val="13"/>
            </w:pPr>
          </w:p>
        </w:tc>
        <w:tc>
          <w:tcPr>
            <w:tcW w:w="1474" w:type="dxa"/>
            <w:vAlign w:val="center"/>
          </w:tcPr>
          <w:p w14:paraId="008BC5A7">
            <w:pPr>
              <w:pStyle w:val="14"/>
            </w:pPr>
          </w:p>
        </w:tc>
        <w:tc>
          <w:tcPr>
            <w:tcW w:w="3402" w:type="dxa"/>
            <w:vAlign w:val="center"/>
          </w:tcPr>
          <w:p w14:paraId="3760F81B">
            <w:pPr>
              <w:pStyle w:val="13"/>
            </w:pPr>
            <w:r>
              <w:t>十六、商业服务业等支出</w:t>
            </w:r>
          </w:p>
        </w:tc>
        <w:tc>
          <w:tcPr>
            <w:tcW w:w="1474" w:type="dxa"/>
            <w:vAlign w:val="center"/>
          </w:tcPr>
          <w:p w14:paraId="3A24EA6B">
            <w:pPr>
              <w:pStyle w:val="14"/>
            </w:pPr>
          </w:p>
        </w:tc>
        <w:tc>
          <w:tcPr>
            <w:tcW w:w="1474" w:type="dxa"/>
            <w:vAlign w:val="center"/>
          </w:tcPr>
          <w:p w14:paraId="6D9ED7B6">
            <w:pPr>
              <w:pStyle w:val="14"/>
            </w:pPr>
          </w:p>
        </w:tc>
        <w:tc>
          <w:tcPr>
            <w:tcW w:w="1474" w:type="dxa"/>
            <w:vAlign w:val="center"/>
          </w:tcPr>
          <w:p w14:paraId="307A1328">
            <w:pPr>
              <w:pStyle w:val="14"/>
            </w:pPr>
          </w:p>
        </w:tc>
        <w:tc>
          <w:tcPr>
            <w:tcW w:w="1474" w:type="dxa"/>
            <w:vAlign w:val="center"/>
          </w:tcPr>
          <w:p w14:paraId="38597942">
            <w:pPr>
              <w:pStyle w:val="14"/>
            </w:pPr>
          </w:p>
        </w:tc>
      </w:tr>
      <w:tr w14:paraId="3945A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400AE">
            <w:pPr>
              <w:pStyle w:val="12"/>
            </w:pPr>
            <w:r>
              <w:t>17</w:t>
            </w:r>
          </w:p>
        </w:tc>
        <w:tc>
          <w:tcPr>
            <w:tcW w:w="3402" w:type="dxa"/>
            <w:vAlign w:val="center"/>
          </w:tcPr>
          <w:p w14:paraId="2C839BC5">
            <w:pPr>
              <w:pStyle w:val="13"/>
            </w:pPr>
          </w:p>
        </w:tc>
        <w:tc>
          <w:tcPr>
            <w:tcW w:w="1474" w:type="dxa"/>
            <w:vAlign w:val="center"/>
          </w:tcPr>
          <w:p w14:paraId="7ADCD82B">
            <w:pPr>
              <w:pStyle w:val="14"/>
            </w:pPr>
          </w:p>
        </w:tc>
        <w:tc>
          <w:tcPr>
            <w:tcW w:w="3402" w:type="dxa"/>
            <w:vAlign w:val="center"/>
          </w:tcPr>
          <w:p w14:paraId="0BF663B8">
            <w:pPr>
              <w:pStyle w:val="13"/>
            </w:pPr>
            <w:r>
              <w:t>十七、金融支出</w:t>
            </w:r>
          </w:p>
        </w:tc>
        <w:tc>
          <w:tcPr>
            <w:tcW w:w="1474" w:type="dxa"/>
            <w:vAlign w:val="center"/>
          </w:tcPr>
          <w:p w14:paraId="29DAEB65">
            <w:pPr>
              <w:pStyle w:val="14"/>
            </w:pPr>
          </w:p>
        </w:tc>
        <w:tc>
          <w:tcPr>
            <w:tcW w:w="1474" w:type="dxa"/>
            <w:vAlign w:val="center"/>
          </w:tcPr>
          <w:p w14:paraId="2DFCDBAF">
            <w:pPr>
              <w:pStyle w:val="14"/>
            </w:pPr>
          </w:p>
        </w:tc>
        <w:tc>
          <w:tcPr>
            <w:tcW w:w="1474" w:type="dxa"/>
            <w:vAlign w:val="center"/>
          </w:tcPr>
          <w:p w14:paraId="312B67A0">
            <w:pPr>
              <w:pStyle w:val="14"/>
            </w:pPr>
          </w:p>
        </w:tc>
        <w:tc>
          <w:tcPr>
            <w:tcW w:w="1474" w:type="dxa"/>
            <w:vAlign w:val="center"/>
          </w:tcPr>
          <w:p w14:paraId="78C27E93">
            <w:pPr>
              <w:pStyle w:val="14"/>
            </w:pPr>
          </w:p>
        </w:tc>
      </w:tr>
      <w:tr w14:paraId="3D23D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FCB45">
            <w:pPr>
              <w:pStyle w:val="12"/>
            </w:pPr>
            <w:r>
              <w:t>18</w:t>
            </w:r>
          </w:p>
        </w:tc>
        <w:tc>
          <w:tcPr>
            <w:tcW w:w="3402" w:type="dxa"/>
            <w:vAlign w:val="center"/>
          </w:tcPr>
          <w:p w14:paraId="567AB492">
            <w:pPr>
              <w:pStyle w:val="13"/>
            </w:pPr>
          </w:p>
        </w:tc>
        <w:tc>
          <w:tcPr>
            <w:tcW w:w="1474" w:type="dxa"/>
            <w:vAlign w:val="center"/>
          </w:tcPr>
          <w:p w14:paraId="48E0BA60">
            <w:pPr>
              <w:pStyle w:val="14"/>
            </w:pPr>
          </w:p>
        </w:tc>
        <w:tc>
          <w:tcPr>
            <w:tcW w:w="3402" w:type="dxa"/>
            <w:vAlign w:val="center"/>
          </w:tcPr>
          <w:p w14:paraId="14EC6475">
            <w:pPr>
              <w:pStyle w:val="13"/>
            </w:pPr>
            <w:r>
              <w:t>十八、援助其他地区支出</w:t>
            </w:r>
          </w:p>
        </w:tc>
        <w:tc>
          <w:tcPr>
            <w:tcW w:w="1474" w:type="dxa"/>
            <w:vAlign w:val="center"/>
          </w:tcPr>
          <w:p w14:paraId="25E38FF1">
            <w:pPr>
              <w:pStyle w:val="14"/>
            </w:pPr>
          </w:p>
        </w:tc>
        <w:tc>
          <w:tcPr>
            <w:tcW w:w="1474" w:type="dxa"/>
            <w:vAlign w:val="center"/>
          </w:tcPr>
          <w:p w14:paraId="73D15314">
            <w:pPr>
              <w:pStyle w:val="14"/>
            </w:pPr>
          </w:p>
        </w:tc>
        <w:tc>
          <w:tcPr>
            <w:tcW w:w="1474" w:type="dxa"/>
            <w:vAlign w:val="center"/>
          </w:tcPr>
          <w:p w14:paraId="6F96D4F0">
            <w:pPr>
              <w:pStyle w:val="14"/>
            </w:pPr>
          </w:p>
        </w:tc>
        <w:tc>
          <w:tcPr>
            <w:tcW w:w="1474" w:type="dxa"/>
            <w:vAlign w:val="center"/>
          </w:tcPr>
          <w:p w14:paraId="4F66E2C3">
            <w:pPr>
              <w:pStyle w:val="14"/>
            </w:pPr>
          </w:p>
        </w:tc>
      </w:tr>
      <w:tr w14:paraId="699B8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6E6DF">
            <w:pPr>
              <w:pStyle w:val="12"/>
            </w:pPr>
            <w:r>
              <w:t>19</w:t>
            </w:r>
          </w:p>
        </w:tc>
        <w:tc>
          <w:tcPr>
            <w:tcW w:w="3402" w:type="dxa"/>
            <w:vAlign w:val="center"/>
          </w:tcPr>
          <w:p w14:paraId="72853C72">
            <w:pPr>
              <w:pStyle w:val="13"/>
            </w:pPr>
          </w:p>
        </w:tc>
        <w:tc>
          <w:tcPr>
            <w:tcW w:w="1474" w:type="dxa"/>
            <w:vAlign w:val="center"/>
          </w:tcPr>
          <w:p w14:paraId="3FB4C1EA">
            <w:pPr>
              <w:pStyle w:val="14"/>
            </w:pPr>
          </w:p>
        </w:tc>
        <w:tc>
          <w:tcPr>
            <w:tcW w:w="3402" w:type="dxa"/>
            <w:vAlign w:val="center"/>
          </w:tcPr>
          <w:p w14:paraId="7FE387BD">
            <w:pPr>
              <w:pStyle w:val="13"/>
            </w:pPr>
            <w:r>
              <w:t>十九、自然资源海洋气象等支出</w:t>
            </w:r>
          </w:p>
        </w:tc>
        <w:tc>
          <w:tcPr>
            <w:tcW w:w="1474" w:type="dxa"/>
            <w:vAlign w:val="center"/>
          </w:tcPr>
          <w:p w14:paraId="7845F8AE">
            <w:pPr>
              <w:pStyle w:val="14"/>
            </w:pPr>
          </w:p>
        </w:tc>
        <w:tc>
          <w:tcPr>
            <w:tcW w:w="1474" w:type="dxa"/>
            <w:vAlign w:val="center"/>
          </w:tcPr>
          <w:p w14:paraId="444987BA">
            <w:pPr>
              <w:pStyle w:val="14"/>
            </w:pPr>
          </w:p>
        </w:tc>
        <w:tc>
          <w:tcPr>
            <w:tcW w:w="1474" w:type="dxa"/>
            <w:vAlign w:val="center"/>
          </w:tcPr>
          <w:p w14:paraId="541A4970">
            <w:pPr>
              <w:pStyle w:val="14"/>
            </w:pPr>
          </w:p>
        </w:tc>
        <w:tc>
          <w:tcPr>
            <w:tcW w:w="1474" w:type="dxa"/>
            <w:vAlign w:val="center"/>
          </w:tcPr>
          <w:p w14:paraId="367C6DE4">
            <w:pPr>
              <w:pStyle w:val="14"/>
            </w:pPr>
          </w:p>
        </w:tc>
      </w:tr>
      <w:tr w14:paraId="4B1D0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A949204">
            <w:pPr>
              <w:pStyle w:val="12"/>
            </w:pPr>
            <w:r>
              <w:t>20</w:t>
            </w:r>
          </w:p>
        </w:tc>
        <w:tc>
          <w:tcPr>
            <w:tcW w:w="3402" w:type="dxa"/>
            <w:vAlign w:val="center"/>
          </w:tcPr>
          <w:p w14:paraId="03349D40">
            <w:pPr>
              <w:pStyle w:val="13"/>
            </w:pPr>
          </w:p>
        </w:tc>
        <w:tc>
          <w:tcPr>
            <w:tcW w:w="1474" w:type="dxa"/>
            <w:vAlign w:val="center"/>
          </w:tcPr>
          <w:p w14:paraId="3C0CD9F4">
            <w:pPr>
              <w:pStyle w:val="14"/>
            </w:pPr>
          </w:p>
        </w:tc>
        <w:tc>
          <w:tcPr>
            <w:tcW w:w="3402" w:type="dxa"/>
            <w:vAlign w:val="center"/>
          </w:tcPr>
          <w:p w14:paraId="4B28CB20">
            <w:pPr>
              <w:pStyle w:val="13"/>
            </w:pPr>
            <w:r>
              <w:t>二十、住房保障支出</w:t>
            </w:r>
          </w:p>
        </w:tc>
        <w:tc>
          <w:tcPr>
            <w:tcW w:w="1474" w:type="dxa"/>
            <w:vAlign w:val="center"/>
          </w:tcPr>
          <w:p w14:paraId="649B7900">
            <w:pPr>
              <w:pStyle w:val="14"/>
            </w:pPr>
          </w:p>
        </w:tc>
        <w:tc>
          <w:tcPr>
            <w:tcW w:w="1474" w:type="dxa"/>
            <w:vAlign w:val="center"/>
          </w:tcPr>
          <w:p w14:paraId="4DEDBCCA">
            <w:pPr>
              <w:pStyle w:val="14"/>
            </w:pPr>
          </w:p>
        </w:tc>
        <w:tc>
          <w:tcPr>
            <w:tcW w:w="1474" w:type="dxa"/>
            <w:vAlign w:val="center"/>
          </w:tcPr>
          <w:p w14:paraId="703A0D49">
            <w:pPr>
              <w:pStyle w:val="14"/>
            </w:pPr>
          </w:p>
        </w:tc>
        <w:tc>
          <w:tcPr>
            <w:tcW w:w="1474" w:type="dxa"/>
            <w:vAlign w:val="center"/>
          </w:tcPr>
          <w:p w14:paraId="5D2F1C07">
            <w:pPr>
              <w:pStyle w:val="14"/>
            </w:pPr>
          </w:p>
        </w:tc>
      </w:tr>
      <w:tr w14:paraId="11C7D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87A267D">
            <w:pPr>
              <w:pStyle w:val="12"/>
            </w:pPr>
            <w:r>
              <w:t>21</w:t>
            </w:r>
          </w:p>
        </w:tc>
        <w:tc>
          <w:tcPr>
            <w:tcW w:w="3402" w:type="dxa"/>
            <w:vAlign w:val="center"/>
          </w:tcPr>
          <w:p w14:paraId="64BACFFB">
            <w:pPr>
              <w:pStyle w:val="13"/>
            </w:pPr>
          </w:p>
        </w:tc>
        <w:tc>
          <w:tcPr>
            <w:tcW w:w="1474" w:type="dxa"/>
            <w:vAlign w:val="center"/>
          </w:tcPr>
          <w:p w14:paraId="54E513DB">
            <w:pPr>
              <w:pStyle w:val="14"/>
            </w:pPr>
          </w:p>
        </w:tc>
        <w:tc>
          <w:tcPr>
            <w:tcW w:w="3402" w:type="dxa"/>
            <w:vAlign w:val="center"/>
          </w:tcPr>
          <w:p w14:paraId="64FCE605">
            <w:pPr>
              <w:pStyle w:val="13"/>
            </w:pPr>
            <w:r>
              <w:t>二十一、粮油物资储备支出</w:t>
            </w:r>
          </w:p>
        </w:tc>
        <w:tc>
          <w:tcPr>
            <w:tcW w:w="1474" w:type="dxa"/>
            <w:vAlign w:val="center"/>
          </w:tcPr>
          <w:p w14:paraId="11684397">
            <w:pPr>
              <w:pStyle w:val="14"/>
            </w:pPr>
          </w:p>
        </w:tc>
        <w:tc>
          <w:tcPr>
            <w:tcW w:w="1474" w:type="dxa"/>
            <w:vAlign w:val="center"/>
          </w:tcPr>
          <w:p w14:paraId="0916B6EC">
            <w:pPr>
              <w:pStyle w:val="14"/>
            </w:pPr>
          </w:p>
        </w:tc>
        <w:tc>
          <w:tcPr>
            <w:tcW w:w="1474" w:type="dxa"/>
            <w:vAlign w:val="center"/>
          </w:tcPr>
          <w:p w14:paraId="113AF4FC">
            <w:pPr>
              <w:pStyle w:val="14"/>
            </w:pPr>
          </w:p>
        </w:tc>
        <w:tc>
          <w:tcPr>
            <w:tcW w:w="1474" w:type="dxa"/>
            <w:vAlign w:val="center"/>
          </w:tcPr>
          <w:p w14:paraId="6CD37AFB">
            <w:pPr>
              <w:pStyle w:val="14"/>
            </w:pPr>
          </w:p>
        </w:tc>
      </w:tr>
      <w:tr w14:paraId="4A4E0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C0337">
            <w:pPr>
              <w:pStyle w:val="12"/>
            </w:pPr>
            <w:r>
              <w:t>22</w:t>
            </w:r>
          </w:p>
        </w:tc>
        <w:tc>
          <w:tcPr>
            <w:tcW w:w="3402" w:type="dxa"/>
            <w:vAlign w:val="center"/>
          </w:tcPr>
          <w:p w14:paraId="66E3CE1C">
            <w:pPr>
              <w:pStyle w:val="13"/>
            </w:pPr>
          </w:p>
        </w:tc>
        <w:tc>
          <w:tcPr>
            <w:tcW w:w="1474" w:type="dxa"/>
            <w:vAlign w:val="center"/>
          </w:tcPr>
          <w:p w14:paraId="0310D1DA">
            <w:pPr>
              <w:pStyle w:val="14"/>
            </w:pPr>
          </w:p>
        </w:tc>
        <w:tc>
          <w:tcPr>
            <w:tcW w:w="3402" w:type="dxa"/>
            <w:vAlign w:val="center"/>
          </w:tcPr>
          <w:p w14:paraId="6B3470FD">
            <w:pPr>
              <w:pStyle w:val="13"/>
            </w:pPr>
            <w:r>
              <w:t>二十二、国有资本经营预算支出</w:t>
            </w:r>
          </w:p>
        </w:tc>
        <w:tc>
          <w:tcPr>
            <w:tcW w:w="1474" w:type="dxa"/>
            <w:vAlign w:val="center"/>
          </w:tcPr>
          <w:p w14:paraId="47B73D0F">
            <w:pPr>
              <w:pStyle w:val="14"/>
            </w:pPr>
          </w:p>
        </w:tc>
        <w:tc>
          <w:tcPr>
            <w:tcW w:w="1474" w:type="dxa"/>
            <w:vAlign w:val="center"/>
          </w:tcPr>
          <w:p w14:paraId="71318335">
            <w:pPr>
              <w:pStyle w:val="14"/>
            </w:pPr>
          </w:p>
        </w:tc>
        <w:tc>
          <w:tcPr>
            <w:tcW w:w="1474" w:type="dxa"/>
            <w:vAlign w:val="center"/>
          </w:tcPr>
          <w:p w14:paraId="6F5B8A2B">
            <w:pPr>
              <w:pStyle w:val="14"/>
            </w:pPr>
          </w:p>
        </w:tc>
        <w:tc>
          <w:tcPr>
            <w:tcW w:w="1474" w:type="dxa"/>
            <w:vAlign w:val="center"/>
          </w:tcPr>
          <w:p w14:paraId="7254C720">
            <w:pPr>
              <w:pStyle w:val="14"/>
            </w:pPr>
          </w:p>
        </w:tc>
      </w:tr>
      <w:tr w14:paraId="5994D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3F218">
            <w:pPr>
              <w:pStyle w:val="12"/>
            </w:pPr>
            <w:r>
              <w:t>23</w:t>
            </w:r>
          </w:p>
        </w:tc>
        <w:tc>
          <w:tcPr>
            <w:tcW w:w="3402" w:type="dxa"/>
            <w:vAlign w:val="center"/>
          </w:tcPr>
          <w:p w14:paraId="4A3F2072">
            <w:pPr>
              <w:pStyle w:val="13"/>
            </w:pPr>
          </w:p>
        </w:tc>
        <w:tc>
          <w:tcPr>
            <w:tcW w:w="1474" w:type="dxa"/>
            <w:vAlign w:val="center"/>
          </w:tcPr>
          <w:p w14:paraId="26DB146C">
            <w:pPr>
              <w:pStyle w:val="14"/>
            </w:pPr>
          </w:p>
        </w:tc>
        <w:tc>
          <w:tcPr>
            <w:tcW w:w="3402" w:type="dxa"/>
            <w:vAlign w:val="center"/>
          </w:tcPr>
          <w:p w14:paraId="7364519B">
            <w:pPr>
              <w:pStyle w:val="13"/>
            </w:pPr>
            <w:r>
              <w:t>二十三、灾害防治及应急管理支出</w:t>
            </w:r>
          </w:p>
        </w:tc>
        <w:tc>
          <w:tcPr>
            <w:tcW w:w="1474" w:type="dxa"/>
            <w:vAlign w:val="center"/>
          </w:tcPr>
          <w:p w14:paraId="3AE4B6C3">
            <w:pPr>
              <w:pStyle w:val="14"/>
            </w:pPr>
          </w:p>
        </w:tc>
        <w:tc>
          <w:tcPr>
            <w:tcW w:w="1474" w:type="dxa"/>
            <w:vAlign w:val="center"/>
          </w:tcPr>
          <w:p w14:paraId="1FDE0265">
            <w:pPr>
              <w:pStyle w:val="14"/>
            </w:pPr>
          </w:p>
        </w:tc>
        <w:tc>
          <w:tcPr>
            <w:tcW w:w="1474" w:type="dxa"/>
            <w:vAlign w:val="center"/>
          </w:tcPr>
          <w:p w14:paraId="1326256C">
            <w:pPr>
              <w:pStyle w:val="14"/>
            </w:pPr>
          </w:p>
        </w:tc>
        <w:tc>
          <w:tcPr>
            <w:tcW w:w="1474" w:type="dxa"/>
            <w:vAlign w:val="center"/>
          </w:tcPr>
          <w:p w14:paraId="6EEC1178">
            <w:pPr>
              <w:pStyle w:val="14"/>
            </w:pPr>
          </w:p>
        </w:tc>
      </w:tr>
      <w:tr w14:paraId="4BD9C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BFE21BC">
            <w:pPr>
              <w:pStyle w:val="12"/>
            </w:pPr>
            <w:r>
              <w:t>24</w:t>
            </w:r>
          </w:p>
        </w:tc>
        <w:tc>
          <w:tcPr>
            <w:tcW w:w="3402" w:type="dxa"/>
            <w:vAlign w:val="center"/>
          </w:tcPr>
          <w:p w14:paraId="67306180">
            <w:pPr>
              <w:pStyle w:val="13"/>
            </w:pPr>
          </w:p>
        </w:tc>
        <w:tc>
          <w:tcPr>
            <w:tcW w:w="1474" w:type="dxa"/>
            <w:vAlign w:val="center"/>
          </w:tcPr>
          <w:p w14:paraId="3B5FB84E">
            <w:pPr>
              <w:pStyle w:val="14"/>
            </w:pPr>
          </w:p>
        </w:tc>
        <w:tc>
          <w:tcPr>
            <w:tcW w:w="3402" w:type="dxa"/>
            <w:vAlign w:val="center"/>
          </w:tcPr>
          <w:p w14:paraId="68A67AC5">
            <w:pPr>
              <w:pStyle w:val="13"/>
            </w:pPr>
            <w:r>
              <w:t>二十四、预备费</w:t>
            </w:r>
          </w:p>
        </w:tc>
        <w:tc>
          <w:tcPr>
            <w:tcW w:w="1474" w:type="dxa"/>
            <w:vAlign w:val="center"/>
          </w:tcPr>
          <w:p w14:paraId="1FAA4BE1">
            <w:pPr>
              <w:pStyle w:val="14"/>
            </w:pPr>
          </w:p>
        </w:tc>
        <w:tc>
          <w:tcPr>
            <w:tcW w:w="1474" w:type="dxa"/>
            <w:vAlign w:val="center"/>
          </w:tcPr>
          <w:p w14:paraId="306496AF">
            <w:pPr>
              <w:pStyle w:val="14"/>
            </w:pPr>
          </w:p>
        </w:tc>
        <w:tc>
          <w:tcPr>
            <w:tcW w:w="1474" w:type="dxa"/>
            <w:vAlign w:val="center"/>
          </w:tcPr>
          <w:p w14:paraId="6930A638">
            <w:pPr>
              <w:pStyle w:val="14"/>
            </w:pPr>
          </w:p>
        </w:tc>
        <w:tc>
          <w:tcPr>
            <w:tcW w:w="1474" w:type="dxa"/>
            <w:vAlign w:val="center"/>
          </w:tcPr>
          <w:p w14:paraId="304F27F6">
            <w:pPr>
              <w:pStyle w:val="14"/>
            </w:pPr>
          </w:p>
        </w:tc>
      </w:tr>
      <w:tr w14:paraId="5E9AA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8B72F">
            <w:pPr>
              <w:pStyle w:val="12"/>
            </w:pPr>
            <w:r>
              <w:t>25</w:t>
            </w:r>
          </w:p>
        </w:tc>
        <w:tc>
          <w:tcPr>
            <w:tcW w:w="3402" w:type="dxa"/>
            <w:vAlign w:val="center"/>
          </w:tcPr>
          <w:p w14:paraId="26FA0653">
            <w:pPr>
              <w:pStyle w:val="13"/>
            </w:pPr>
          </w:p>
        </w:tc>
        <w:tc>
          <w:tcPr>
            <w:tcW w:w="1474" w:type="dxa"/>
            <w:vAlign w:val="center"/>
          </w:tcPr>
          <w:p w14:paraId="6C805944">
            <w:pPr>
              <w:pStyle w:val="14"/>
            </w:pPr>
          </w:p>
        </w:tc>
        <w:tc>
          <w:tcPr>
            <w:tcW w:w="3402" w:type="dxa"/>
            <w:vAlign w:val="center"/>
          </w:tcPr>
          <w:p w14:paraId="34F960A1">
            <w:pPr>
              <w:pStyle w:val="13"/>
            </w:pPr>
            <w:r>
              <w:t>二十五、其他支出</w:t>
            </w:r>
          </w:p>
        </w:tc>
        <w:tc>
          <w:tcPr>
            <w:tcW w:w="1474" w:type="dxa"/>
            <w:vAlign w:val="center"/>
          </w:tcPr>
          <w:p w14:paraId="3AB299BE">
            <w:pPr>
              <w:pStyle w:val="14"/>
            </w:pPr>
          </w:p>
        </w:tc>
        <w:tc>
          <w:tcPr>
            <w:tcW w:w="1474" w:type="dxa"/>
            <w:vAlign w:val="center"/>
          </w:tcPr>
          <w:p w14:paraId="7A1D0723">
            <w:pPr>
              <w:pStyle w:val="14"/>
            </w:pPr>
          </w:p>
        </w:tc>
        <w:tc>
          <w:tcPr>
            <w:tcW w:w="1474" w:type="dxa"/>
            <w:vAlign w:val="center"/>
          </w:tcPr>
          <w:p w14:paraId="23E6820F">
            <w:pPr>
              <w:pStyle w:val="14"/>
            </w:pPr>
          </w:p>
        </w:tc>
        <w:tc>
          <w:tcPr>
            <w:tcW w:w="1474" w:type="dxa"/>
            <w:vAlign w:val="center"/>
          </w:tcPr>
          <w:p w14:paraId="417A2D6F">
            <w:pPr>
              <w:pStyle w:val="14"/>
            </w:pPr>
          </w:p>
        </w:tc>
      </w:tr>
      <w:tr w14:paraId="04C41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580F4">
            <w:pPr>
              <w:pStyle w:val="12"/>
            </w:pPr>
            <w:r>
              <w:t>26</w:t>
            </w:r>
          </w:p>
        </w:tc>
        <w:tc>
          <w:tcPr>
            <w:tcW w:w="3402" w:type="dxa"/>
            <w:vAlign w:val="center"/>
          </w:tcPr>
          <w:p w14:paraId="45242EB8">
            <w:pPr>
              <w:pStyle w:val="13"/>
            </w:pPr>
          </w:p>
        </w:tc>
        <w:tc>
          <w:tcPr>
            <w:tcW w:w="1474" w:type="dxa"/>
            <w:vAlign w:val="center"/>
          </w:tcPr>
          <w:p w14:paraId="39905E7A">
            <w:pPr>
              <w:pStyle w:val="14"/>
            </w:pPr>
          </w:p>
        </w:tc>
        <w:tc>
          <w:tcPr>
            <w:tcW w:w="3402" w:type="dxa"/>
            <w:vAlign w:val="center"/>
          </w:tcPr>
          <w:p w14:paraId="6DD586F6">
            <w:pPr>
              <w:pStyle w:val="13"/>
            </w:pPr>
            <w:r>
              <w:t>二十六、转移性支出</w:t>
            </w:r>
          </w:p>
        </w:tc>
        <w:tc>
          <w:tcPr>
            <w:tcW w:w="1474" w:type="dxa"/>
            <w:vAlign w:val="center"/>
          </w:tcPr>
          <w:p w14:paraId="31858E71">
            <w:pPr>
              <w:pStyle w:val="14"/>
            </w:pPr>
          </w:p>
        </w:tc>
        <w:tc>
          <w:tcPr>
            <w:tcW w:w="1474" w:type="dxa"/>
            <w:vAlign w:val="center"/>
          </w:tcPr>
          <w:p w14:paraId="728ACE54">
            <w:pPr>
              <w:pStyle w:val="14"/>
            </w:pPr>
          </w:p>
        </w:tc>
        <w:tc>
          <w:tcPr>
            <w:tcW w:w="1474" w:type="dxa"/>
            <w:vAlign w:val="center"/>
          </w:tcPr>
          <w:p w14:paraId="7169E56D">
            <w:pPr>
              <w:pStyle w:val="14"/>
            </w:pPr>
          </w:p>
        </w:tc>
        <w:tc>
          <w:tcPr>
            <w:tcW w:w="1474" w:type="dxa"/>
            <w:vAlign w:val="center"/>
          </w:tcPr>
          <w:p w14:paraId="0C11991D">
            <w:pPr>
              <w:pStyle w:val="14"/>
            </w:pPr>
          </w:p>
        </w:tc>
      </w:tr>
      <w:tr w14:paraId="1B8B1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2C7E3CA">
            <w:pPr>
              <w:pStyle w:val="12"/>
            </w:pPr>
            <w:r>
              <w:t>27</w:t>
            </w:r>
          </w:p>
        </w:tc>
        <w:tc>
          <w:tcPr>
            <w:tcW w:w="3402" w:type="dxa"/>
            <w:vAlign w:val="center"/>
          </w:tcPr>
          <w:p w14:paraId="719C7867">
            <w:pPr>
              <w:pStyle w:val="13"/>
            </w:pPr>
          </w:p>
        </w:tc>
        <w:tc>
          <w:tcPr>
            <w:tcW w:w="1474" w:type="dxa"/>
            <w:vAlign w:val="center"/>
          </w:tcPr>
          <w:p w14:paraId="7CDC822C">
            <w:pPr>
              <w:pStyle w:val="14"/>
            </w:pPr>
          </w:p>
        </w:tc>
        <w:tc>
          <w:tcPr>
            <w:tcW w:w="3402" w:type="dxa"/>
            <w:vAlign w:val="center"/>
          </w:tcPr>
          <w:p w14:paraId="74D054F5">
            <w:pPr>
              <w:pStyle w:val="13"/>
            </w:pPr>
            <w:r>
              <w:t>二十七、债务还本支出</w:t>
            </w:r>
          </w:p>
        </w:tc>
        <w:tc>
          <w:tcPr>
            <w:tcW w:w="1474" w:type="dxa"/>
            <w:vAlign w:val="center"/>
          </w:tcPr>
          <w:p w14:paraId="4BC98866">
            <w:pPr>
              <w:pStyle w:val="14"/>
            </w:pPr>
          </w:p>
        </w:tc>
        <w:tc>
          <w:tcPr>
            <w:tcW w:w="1474" w:type="dxa"/>
            <w:vAlign w:val="center"/>
          </w:tcPr>
          <w:p w14:paraId="17B5C0E5">
            <w:pPr>
              <w:pStyle w:val="14"/>
            </w:pPr>
          </w:p>
        </w:tc>
        <w:tc>
          <w:tcPr>
            <w:tcW w:w="1474" w:type="dxa"/>
            <w:vAlign w:val="center"/>
          </w:tcPr>
          <w:p w14:paraId="11303131">
            <w:pPr>
              <w:pStyle w:val="14"/>
            </w:pPr>
          </w:p>
        </w:tc>
        <w:tc>
          <w:tcPr>
            <w:tcW w:w="1474" w:type="dxa"/>
            <w:vAlign w:val="center"/>
          </w:tcPr>
          <w:p w14:paraId="4C361207">
            <w:pPr>
              <w:pStyle w:val="14"/>
            </w:pPr>
          </w:p>
        </w:tc>
      </w:tr>
      <w:tr w14:paraId="240FE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75645">
            <w:pPr>
              <w:pStyle w:val="12"/>
            </w:pPr>
            <w:r>
              <w:t>28</w:t>
            </w:r>
          </w:p>
        </w:tc>
        <w:tc>
          <w:tcPr>
            <w:tcW w:w="3402" w:type="dxa"/>
            <w:vAlign w:val="center"/>
          </w:tcPr>
          <w:p w14:paraId="6E5D9889">
            <w:pPr>
              <w:pStyle w:val="13"/>
            </w:pPr>
          </w:p>
        </w:tc>
        <w:tc>
          <w:tcPr>
            <w:tcW w:w="1474" w:type="dxa"/>
            <w:vAlign w:val="center"/>
          </w:tcPr>
          <w:p w14:paraId="78A0A116">
            <w:pPr>
              <w:pStyle w:val="14"/>
            </w:pPr>
          </w:p>
        </w:tc>
        <w:tc>
          <w:tcPr>
            <w:tcW w:w="3402" w:type="dxa"/>
            <w:vAlign w:val="center"/>
          </w:tcPr>
          <w:p w14:paraId="06F7B79E">
            <w:pPr>
              <w:pStyle w:val="13"/>
            </w:pPr>
            <w:r>
              <w:t>二十八、债务付息支出</w:t>
            </w:r>
          </w:p>
        </w:tc>
        <w:tc>
          <w:tcPr>
            <w:tcW w:w="1474" w:type="dxa"/>
            <w:vAlign w:val="center"/>
          </w:tcPr>
          <w:p w14:paraId="27CC773D">
            <w:pPr>
              <w:pStyle w:val="14"/>
            </w:pPr>
          </w:p>
        </w:tc>
        <w:tc>
          <w:tcPr>
            <w:tcW w:w="1474" w:type="dxa"/>
            <w:vAlign w:val="center"/>
          </w:tcPr>
          <w:p w14:paraId="4D30CC24">
            <w:pPr>
              <w:pStyle w:val="14"/>
            </w:pPr>
          </w:p>
        </w:tc>
        <w:tc>
          <w:tcPr>
            <w:tcW w:w="1474" w:type="dxa"/>
            <w:vAlign w:val="center"/>
          </w:tcPr>
          <w:p w14:paraId="228AFD25">
            <w:pPr>
              <w:pStyle w:val="14"/>
            </w:pPr>
          </w:p>
        </w:tc>
        <w:tc>
          <w:tcPr>
            <w:tcW w:w="1474" w:type="dxa"/>
            <w:vAlign w:val="center"/>
          </w:tcPr>
          <w:p w14:paraId="049CC6EF">
            <w:pPr>
              <w:pStyle w:val="14"/>
            </w:pPr>
          </w:p>
        </w:tc>
      </w:tr>
      <w:tr w14:paraId="5495B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A34B7">
            <w:pPr>
              <w:pStyle w:val="12"/>
            </w:pPr>
            <w:r>
              <w:t>29</w:t>
            </w:r>
          </w:p>
        </w:tc>
        <w:tc>
          <w:tcPr>
            <w:tcW w:w="3402" w:type="dxa"/>
            <w:vAlign w:val="center"/>
          </w:tcPr>
          <w:p w14:paraId="1552785E">
            <w:pPr>
              <w:pStyle w:val="13"/>
            </w:pPr>
          </w:p>
        </w:tc>
        <w:tc>
          <w:tcPr>
            <w:tcW w:w="1474" w:type="dxa"/>
            <w:vAlign w:val="center"/>
          </w:tcPr>
          <w:p w14:paraId="73E37C25">
            <w:pPr>
              <w:pStyle w:val="14"/>
            </w:pPr>
          </w:p>
        </w:tc>
        <w:tc>
          <w:tcPr>
            <w:tcW w:w="3402" w:type="dxa"/>
            <w:vAlign w:val="center"/>
          </w:tcPr>
          <w:p w14:paraId="3FBE8A07">
            <w:pPr>
              <w:pStyle w:val="13"/>
            </w:pPr>
            <w:r>
              <w:t>二十九、债务发行费用支出</w:t>
            </w:r>
          </w:p>
        </w:tc>
        <w:tc>
          <w:tcPr>
            <w:tcW w:w="1474" w:type="dxa"/>
            <w:vAlign w:val="center"/>
          </w:tcPr>
          <w:p w14:paraId="2B0D5816">
            <w:pPr>
              <w:pStyle w:val="14"/>
            </w:pPr>
          </w:p>
        </w:tc>
        <w:tc>
          <w:tcPr>
            <w:tcW w:w="1474" w:type="dxa"/>
            <w:vAlign w:val="center"/>
          </w:tcPr>
          <w:p w14:paraId="418094C2">
            <w:pPr>
              <w:pStyle w:val="14"/>
            </w:pPr>
          </w:p>
        </w:tc>
        <w:tc>
          <w:tcPr>
            <w:tcW w:w="1474" w:type="dxa"/>
            <w:vAlign w:val="center"/>
          </w:tcPr>
          <w:p w14:paraId="4280B71F">
            <w:pPr>
              <w:pStyle w:val="14"/>
            </w:pPr>
          </w:p>
        </w:tc>
        <w:tc>
          <w:tcPr>
            <w:tcW w:w="1474" w:type="dxa"/>
            <w:vAlign w:val="center"/>
          </w:tcPr>
          <w:p w14:paraId="0EB25C2B">
            <w:pPr>
              <w:pStyle w:val="14"/>
            </w:pPr>
          </w:p>
        </w:tc>
      </w:tr>
      <w:tr w14:paraId="7061D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99F80">
            <w:pPr>
              <w:pStyle w:val="12"/>
            </w:pPr>
            <w:r>
              <w:t>30</w:t>
            </w:r>
          </w:p>
        </w:tc>
        <w:tc>
          <w:tcPr>
            <w:tcW w:w="3402" w:type="dxa"/>
            <w:vAlign w:val="center"/>
          </w:tcPr>
          <w:p w14:paraId="6A290757">
            <w:pPr>
              <w:pStyle w:val="13"/>
            </w:pPr>
          </w:p>
        </w:tc>
        <w:tc>
          <w:tcPr>
            <w:tcW w:w="1474" w:type="dxa"/>
            <w:vAlign w:val="center"/>
          </w:tcPr>
          <w:p w14:paraId="6C2EFFF8">
            <w:pPr>
              <w:pStyle w:val="14"/>
            </w:pPr>
          </w:p>
        </w:tc>
        <w:tc>
          <w:tcPr>
            <w:tcW w:w="3402" w:type="dxa"/>
            <w:vAlign w:val="center"/>
          </w:tcPr>
          <w:p w14:paraId="7F908BA3">
            <w:pPr>
              <w:pStyle w:val="13"/>
            </w:pPr>
            <w:r>
              <w:t>三十、抗疫特别国债安排的支出</w:t>
            </w:r>
          </w:p>
        </w:tc>
        <w:tc>
          <w:tcPr>
            <w:tcW w:w="1474" w:type="dxa"/>
            <w:vAlign w:val="center"/>
          </w:tcPr>
          <w:p w14:paraId="384CB68F">
            <w:pPr>
              <w:pStyle w:val="14"/>
            </w:pPr>
          </w:p>
        </w:tc>
        <w:tc>
          <w:tcPr>
            <w:tcW w:w="1474" w:type="dxa"/>
            <w:vAlign w:val="center"/>
          </w:tcPr>
          <w:p w14:paraId="442DF526">
            <w:pPr>
              <w:pStyle w:val="14"/>
            </w:pPr>
          </w:p>
        </w:tc>
        <w:tc>
          <w:tcPr>
            <w:tcW w:w="1474" w:type="dxa"/>
            <w:vAlign w:val="center"/>
          </w:tcPr>
          <w:p w14:paraId="775B648D">
            <w:pPr>
              <w:pStyle w:val="14"/>
            </w:pPr>
          </w:p>
        </w:tc>
        <w:tc>
          <w:tcPr>
            <w:tcW w:w="1474" w:type="dxa"/>
            <w:vAlign w:val="center"/>
          </w:tcPr>
          <w:p w14:paraId="0D4BC401">
            <w:pPr>
              <w:pStyle w:val="14"/>
            </w:pPr>
          </w:p>
        </w:tc>
      </w:tr>
      <w:tr w14:paraId="0E34C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973715A">
            <w:pPr>
              <w:pStyle w:val="12"/>
            </w:pPr>
            <w:r>
              <w:t>31</w:t>
            </w:r>
          </w:p>
        </w:tc>
        <w:tc>
          <w:tcPr>
            <w:tcW w:w="3402" w:type="dxa"/>
            <w:vAlign w:val="center"/>
          </w:tcPr>
          <w:p w14:paraId="13FE77CD">
            <w:pPr>
              <w:pStyle w:val="13"/>
            </w:pPr>
          </w:p>
        </w:tc>
        <w:tc>
          <w:tcPr>
            <w:tcW w:w="1474" w:type="dxa"/>
            <w:vAlign w:val="center"/>
          </w:tcPr>
          <w:p w14:paraId="5358D342">
            <w:pPr>
              <w:pStyle w:val="14"/>
            </w:pPr>
          </w:p>
        </w:tc>
        <w:tc>
          <w:tcPr>
            <w:tcW w:w="3402" w:type="dxa"/>
            <w:vAlign w:val="center"/>
          </w:tcPr>
          <w:p w14:paraId="5E57F35B">
            <w:pPr>
              <w:pStyle w:val="13"/>
            </w:pPr>
            <w:r>
              <w:t>三十一、人行科目</w:t>
            </w:r>
          </w:p>
        </w:tc>
        <w:tc>
          <w:tcPr>
            <w:tcW w:w="1474" w:type="dxa"/>
            <w:vAlign w:val="center"/>
          </w:tcPr>
          <w:p w14:paraId="7885AFEC">
            <w:pPr>
              <w:pStyle w:val="14"/>
            </w:pPr>
          </w:p>
        </w:tc>
        <w:tc>
          <w:tcPr>
            <w:tcW w:w="1474" w:type="dxa"/>
            <w:vAlign w:val="center"/>
          </w:tcPr>
          <w:p w14:paraId="75334862">
            <w:pPr>
              <w:pStyle w:val="14"/>
            </w:pPr>
          </w:p>
        </w:tc>
        <w:tc>
          <w:tcPr>
            <w:tcW w:w="1474" w:type="dxa"/>
            <w:vAlign w:val="center"/>
          </w:tcPr>
          <w:p w14:paraId="6492768E">
            <w:pPr>
              <w:pStyle w:val="14"/>
            </w:pPr>
          </w:p>
        </w:tc>
        <w:tc>
          <w:tcPr>
            <w:tcW w:w="1474" w:type="dxa"/>
            <w:vAlign w:val="center"/>
          </w:tcPr>
          <w:p w14:paraId="793165CD">
            <w:pPr>
              <w:pStyle w:val="14"/>
            </w:pPr>
          </w:p>
        </w:tc>
      </w:tr>
      <w:tr w14:paraId="0525B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06730">
            <w:pPr>
              <w:pStyle w:val="12"/>
            </w:pPr>
            <w:r>
              <w:t>32</w:t>
            </w:r>
          </w:p>
        </w:tc>
        <w:tc>
          <w:tcPr>
            <w:tcW w:w="3402" w:type="dxa"/>
            <w:vAlign w:val="center"/>
          </w:tcPr>
          <w:p w14:paraId="73AABD44">
            <w:pPr>
              <w:pStyle w:val="15"/>
            </w:pPr>
            <w:r>
              <w:t>本年收入合计</w:t>
            </w:r>
          </w:p>
        </w:tc>
        <w:tc>
          <w:tcPr>
            <w:tcW w:w="1474" w:type="dxa"/>
            <w:vAlign w:val="center"/>
          </w:tcPr>
          <w:p w14:paraId="70B11E73">
            <w:pPr>
              <w:pStyle w:val="16"/>
            </w:pPr>
            <w:r>
              <w:t>2261.13</w:t>
            </w:r>
          </w:p>
        </w:tc>
        <w:tc>
          <w:tcPr>
            <w:tcW w:w="3402" w:type="dxa"/>
            <w:vAlign w:val="center"/>
          </w:tcPr>
          <w:p w14:paraId="193DC119">
            <w:pPr>
              <w:pStyle w:val="15"/>
            </w:pPr>
            <w:r>
              <w:t>本年支出合计</w:t>
            </w:r>
          </w:p>
        </w:tc>
        <w:tc>
          <w:tcPr>
            <w:tcW w:w="1474" w:type="dxa"/>
            <w:vAlign w:val="center"/>
          </w:tcPr>
          <w:p w14:paraId="26E193D0">
            <w:pPr>
              <w:pStyle w:val="16"/>
            </w:pPr>
            <w:r>
              <w:t>2261.13</w:t>
            </w:r>
          </w:p>
        </w:tc>
        <w:tc>
          <w:tcPr>
            <w:tcW w:w="1474" w:type="dxa"/>
            <w:vAlign w:val="center"/>
          </w:tcPr>
          <w:p w14:paraId="32EABEDB">
            <w:pPr>
              <w:pStyle w:val="16"/>
            </w:pPr>
            <w:r>
              <w:t>2261.13</w:t>
            </w:r>
          </w:p>
        </w:tc>
        <w:tc>
          <w:tcPr>
            <w:tcW w:w="1474" w:type="dxa"/>
            <w:vAlign w:val="center"/>
          </w:tcPr>
          <w:p w14:paraId="526D5B28">
            <w:pPr>
              <w:pStyle w:val="16"/>
            </w:pPr>
          </w:p>
        </w:tc>
        <w:tc>
          <w:tcPr>
            <w:tcW w:w="1474" w:type="dxa"/>
            <w:vAlign w:val="center"/>
          </w:tcPr>
          <w:p w14:paraId="4AF7805E">
            <w:pPr>
              <w:pStyle w:val="16"/>
            </w:pPr>
          </w:p>
        </w:tc>
      </w:tr>
      <w:tr w14:paraId="59519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8D225">
            <w:pPr>
              <w:pStyle w:val="12"/>
            </w:pPr>
            <w:r>
              <w:t>33</w:t>
            </w:r>
          </w:p>
        </w:tc>
        <w:tc>
          <w:tcPr>
            <w:tcW w:w="3402" w:type="dxa"/>
            <w:vAlign w:val="center"/>
          </w:tcPr>
          <w:p w14:paraId="6031FD07">
            <w:pPr>
              <w:pStyle w:val="13"/>
            </w:pPr>
            <w:r>
              <w:t>年初财政拨款结转和结余</w:t>
            </w:r>
          </w:p>
        </w:tc>
        <w:tc>
          <w:tcPr>
            <w:tcW w:w="1474" w:type="dxa"/>
            <w:vAlign w:val="center"/>
          </w:tcPr>
          <w:p w14:paraId="73BC0A2D">
            <w:pPr>
              <w:pStyle w:val="14"/>
            </w:pPr>
          </w:p>
        </w:tc>
        <w:tc>
          <w:tcPr>
            <w:tcW w:w="3402" w:type="dxa"/>
            <w:vAlign w:val="center"/>
          </w:tcPr>
          <w:p w14:paraId="075E5ECE">
            <w:pPr>
              <w:pStyle w:val="13"/>
            </w:pPr>
            <w:r>
              <w:t>年末财政拨款结转和结余</w:t>
            </w:r>
          </w:p>
        </w:tc>
        <w:tc>
          <w:tcPr>
            <w:tcW w:w="1474" w:type="dxa"/>
            <w:vAlign w:val="center"/>
          </w:tcPr>
          <w:p w14:paraId="6BA05645">
            <w:pPr>
              <w:pStyle w:val="14"/>
            </w:pPr>
          </w:p>
        </w:tc>
        <w:tc>
          <w:tcPr>
            <w:tcW w:w="1474" w:type="dxa"/>
            <w:vAlign w:val="center"/>
          </w:tcPr>
          <w:p w14:paraId="6D17943D">
            <w:pPr>
              <w:pStyle w:val="14"/>
            </w:pPr>
          </w:p>
        </w:tc>
        <w:tc>
          <w:tcPr>
            <w:tcW w:w="1474" w:type="dxa"/>
            <w:vAlign w:val="center"/>
          </w:tcPr>
          <w:p w14:paraId="383A2900">
            <w:pPr>
              <w:pStyle w:val="14"/>
            </w:pPr>
          </w:p>
        </w:tc>
        <w:tc>
          <w:tcPr>
            <w:tcW w:w="1474" w:type="dxa"/>
            <w:vAlign w:val="center"/>
          </w:tcPr>
          <w:p w14:paraId="69E581CE">
            <w:pPr>
              <w:pStyle w:val="14"/>
            </w:pPr>
          </w:p>
        </w:tc>
      </w:tr>
      <w:tr w14:paraId="00409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F5B3D7E">
            <w:pPr>
              <w:pStyle w:val="12"/>
            </w:pPr>
            <w:r>
              <w:t>34</w:t>
            </w:r>
          </w:p>
        </w:tc>
        <w:tc>
          <w:tcPr>
            <w:tcW w:w="3402" w:type="dxa"/>
            <w:vAlign w:val="center"/>
          </w:tcPr>
          <w:p w14:paraId="521B2DD3">
            <w:pPr>
              <w:pStyle w:val="13"/>
            </w:pPr>
            <w:r>
              <w:t>一、一般公共预算拨款</w:t>
            </w:r>
          </w:p>
        </w:tc>
        <w:tc>
          <w:tcPr>
            <w:tcW w:w="1474" w:type="dxa"/>
            <w:vAlign w:val="center"/>
          </w:tcPr>
          <w:p w14:paraId="340DD916">
            <w:pPr>
              <w:pStyle w:val="14"/>
            </w:pPr>
          </w:p>
        </w:tc>
        <w:tc>
          <w:tcPr>
            <w:tcW w:w="3402" w:type="dxa"/>
            <w:vAlign w:val="center"/>
          </w:tcPr>
          <w:p w14:paraId="27062949">
            <w:pPr>
              <w:pStyle w:val="13"/>
            </w:pPr>
          </w:p>
        </w:tc>
        <w:tc>
          <w:tcPr>
            <w:tcW w:w="1474" w:type="dxa"/>
            <w:vAlign w:val="center"/>
          </w:tcPr>
          <w:p w14:paraId="4C6D8466">
            <w:pPr>
              <w:pStyle w:val="14"/>
            </w:pPr>
          </w:p>
        </w:tc>
        <w:tc>
          <w:tcPr>
            <w:tcW w:w="1474" w:type="dxa"/>
            <w:vAlign w:val="center"/>
          </w:tcPr>
          <w:p w14:paraId="427660A3">
            <w:pPr>
              <w:pStyle w:val="14"/>
            </w:pPr>
          </w:p>
        </w:tc>
        <w:tc>
          <w:tcPr>
            <w:tcW w:w="1474" w:type="dxa"/>
            <w:vAlign w:val="center"/>
          </w:tcPr>
          <w:p w14:paraId="662E4DED">
            <w:pPr>
              <w:pStyle w:val="14"/>
            </w:pPr>
          </w:p>
        </w:tc>
        <w:tc>
          <w:tcPr>
            <w:tcW w:w="1474" w:type="dxa"/>
            <w:vAlign w:val="center"/>
          </w:tcPr>
          <w:p w14:paraId="77F7E7A8">
            <w:pPr>
              <w:pStyle w:val="14"/>
            </w:pPr>
          </w:p>
        </w:tc>
      </w:tr>
      <w:tr w14:paraId="61EF8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89992AA">
            <w:pPr>
              <w:pStyle w:val="12"/>
            </w:pPr>
            <w:r>
              <w:t>35</w:t>
            </w:r>
          </w:p>
        </w:tc>
        <w:tc>
          <w:tcPr>
            <w:tcW w:w="3402" w:type="dxa"/>
            <w:vAlign w:val="center"/>
          </w:tcPr>
          <w:p w14:paraId="542BFC32">
            <w:pPr>
              <w:pStyle w:val="13"/>
            </w:pPr>
            <w:r>
              <w:t>二、政府性基金预算拨款</w:t>
            </w:r>
          </w:p>
        </w:tc>
        <w:tc>
          <w:tcPr>
            <w:tcW w:w="1474" w:type="dxa"/>
            <w:vAlign w:val="center"/>
          </w:tcPr>
          <w:p w14:paraId="18212612">
            <w:pPr>
              <w:pStyle w:val="14"/>
            </w:pPr>
          </w:p>
        </w:tc>
        <w:tc>
          <w:tcPr>
            <w:tcW w:w="3402" w:type="dxa"/>
            <w:vAlign w:val="center"/>
          </w:tcPr>
          <w:p w14:paraId="28D1BA80">
            <w:pPr>
              <w:pStyle w:val="13"/>
            </w:pPr>
          </w:p>
        </w:tc>
        <w:tc>
          <w:tcPr>
            <w:tcW w:w="1474" w:type="dxa"/>
            <w:vAlign w:val="center"/>
          </w:tcPr>
          <w:p w14:paraId="62805BCD">
            <w:pPr>
              <w:pStyle w:val="14"/>
            </w:pPr>
          </w:p>
        </w:tc>
        <w:tc>
          <w:tcPr>
            <w:tcW w:w="1474" w:type="dxa"/>
            <w:vAlign w:val="center"/>
          </w:tcPr>
          <w:p w14:paraId="528B58F3">
            <w:pPr>
              <w:pStyle w:val="14"/>
            </w:pPr>
          </w:p>
        </w:tc>
        <w:tc>
          <w:tcPr>
            <w:tcW w:w="1474" w:type="dxa"/>
            <w:vAlign w:val="center"/>
          </w:tcPr>
          <w:p w14:paraId="5D084810">
            <w:pPr>
              <w:pStyle w:val="14"/>
            </w:pPr>
          </w:p>
        </w:tc>
        <w:tc>
          <w:tcPr>
            <w:tcW w:w="1474" w:type="dxa"/>
            <w:vAlign w:val="center"/>
          </w:tcPr>
          <w:p w14:paraId="3867BE1A">
            <w:pPr>
              <w:pStyle w:val="14"/>
            </w:pPr>
          </w:p>
        </w:tc>
      </w:tr>
      <w:tr w14:paraId="04E9F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91D5B">
            <w:pPr>
              <w:pStyle w:val="12"/>
            </w:pPr>
            <w:r>
              <w:t>36</w:t>
            </w:r>
          </w:p>
        </w:tc>
        <w:tc>
          <w:tcPr>
            <w:tcW w:w="3402" w:type="dxa"/>
            <w:vAlign w:val="center"/>
          </w:tcPr>
          <w:p w14:paraId="2F3D85DD">
            <w:pPr>
              <w:pStyle w:val="13"/>
            </w:pPr>
            <w:r>
              <w:t>三、国有资本经营预算拨款</w:t>
            </w:r>
          </w:p>
        </w:tc>
        <w:tc>
          <w:tcPr>
            <w:tcW w:w="1474" w:type="dxa"/>
            <w:vAlign w:val="center"/>
          </w:tcPr>
          <w:p w14:paraId="770FCC24">
            <w:pPr>
              <w:pStyle w:val="14"/>
            </w:pPr>
          </w:p>
        </w:tc>
        <w:tc>
          <w:tcPr>
            <w:tcW w:w="3402" w:type="dxa"/>
            <w:vAlign w:val="center"/>
          </w:tcPr>
          <w:p w14:paraId="0CBC070C">
            <w:pPr>
              <w:pStyle w:val="13"/>
            </w:pPr>
          </w:p>
        </w:tc>
        <w:tc>
          <w:tcPr>
            <w:tcW w:w="1474" w:type="dxa"/>
            <w:vAlign w:val="center"/>
          </w:tcPr>
          <w:p w14:paraId="59166A33">
            <w:pPr>
              <w:pStyle w:val="14"/>
            </w:pPr>
          </w:p>
        </w:tc>
        <w:tc>
          <w:tcPr>
            <w:tcW w:w="1474" w:type="dxa"/>
            <w:vAlign w:val="center"/>
          </w:tcPr>
          <w:p w14:paraId="7659E887">
            <w:pPr>
              <w:pStyle w:val="14"/>
            </w:pPr>
          </w:p>
        </w:tc>
        <w:tc>
          <w:tcPr>
            <w:tcW w:w="1474" w:type="dxa"/>
            <w:vAlign w:val="center"/>
          </w:tcPr>
          <w:p w14:paraId="74B7AAE7">
            <w:pPr>
              <w:pStyle w:val="14"/>
            </w:pPr>
          </w:p>
        </w:tc>
        <w:tc>
          <w:tcPr>
            <w:tcW w:w="1474" w:type="dxa"/>
            <w:vAlign w:val="center"/>
          </w:tcPr>
          <w:p w14:paraId="1A855DDE">
            <w:pPr>
              <w:pStyle w:val="14"/>
            </w:pPr>
          </w:p>
        </w:tc>
      </w:tr>
      <w:tr w14:paraId="22DEF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31135DD">
            <w:pPr>
              <w:pStyle w:val="12"/>
            </w:pPr>
            <w:r>
              <w:t>37</w:t>
            </w:r>
          </w:p>
        </w:tc>
        <w:tc>
          <w:tcPr>
            <w:tcW w:w="3402" w:type="dxa"/>
            <w:vAlign w:val="center"/>
          </w:tcPr>
          <w:p w14:paraId="73237843">
            <w:pPr>
              <w:pStyle w:val="15"/>
            </w:pPr>
            <w:r>
              <w:t>收入总计</w:t>
            </w:r>
          </w:p>
        </w:tc>
        <w:tc>
          <w:tcPr>
            <w:tcW w:w="1474" w:type="dxa"/>
            <w:vAlign w:val="center"/>
          </w:tcPr>
          <w:p w14:paraId="633E3E45">
            <w:pPr>
              <w:pStyle w:val="16"/>
            </w:pPr>
            <w:r>
              <w:t>2261.13</w:t>
            </w:r>
          </w:p>
        </w:tc>
        <w:tc>
          <w:tcPr>
            <w:tcW w:w="3402" w:type="dxa"/>
            <w:vAlign w:val="center"/>
          </w:tcPr>
          <w:p w14:paraId="78333068">
            <w:pPr>
              <w:pStyle w:val="15"/>
            </w:pPr>
            <w:r>
              <w:t>支出总计</w:t>
            </w:r>
          </w:p>
        </w:tc>
        <w:tc>
          <w:tcPr>
            <w:tcW w:w="1474" w:type="dxa"/>
            <w:vAlign w:val="center"/>
          </w:tcPr>
          <w:p w14:paraId="508A3228">
            <w:pPr>
              <w:pStyle w:val="16"/>
            </w:pPr>
            <w:r>
              <w:t>2261.13</w:t>
            </w:r>
          </w:p>
        </w:tc>
        <w:tc>
          <w:tcPr>
            <w:tcW w:w="1474" w:type="dxa"/>
            <w:vAlign w:val="center"/>
          </w:tcPr>
          <w:p w14:paraId="06A87159">
            <w:pPr>
              <w:pStyle w:val="16"/>
            </w:pPr>
            <w:r>
              <w:t>2261.13</w:t>
            </w:r>
          </w:p>
        </w:tc>
        <w:tc>
          <w:tcPr>
            <w:tcW w:w="1474" w:type="dxa"/>
            <w:vAlign w:val="center"/>
          </w:tcPr>
          <w:p w14:paraId="756E4658">
            <w:pPr>
              <w:pStyle w:val="16"/>
            </w:pPr>
          </w:p>
        </w:tc>
        <w:tc>
          <w:tcPr>
            <w:tcW w:w="1474" w:type="dxa"/>
            <w:vAlign w:val="center"/>
          </w:tcPr>
          <w:p w14:paraId="49656FA6">
            <w:pPr>
              <w:pStyle w:val="16"/>
            </w:pPr>
          </w:p>
        </w:tc>
      </w:tr>
    </w:tbl>
    <w:p w14:paraId="27D0EDD2">
      <w:pPr>
        <w:sectPr>
          <w:pgSz w:w="16840" w:h="11900" w:orient="landscape"/>
          <w:pgMar w:top="1361" w:right="1020" w:bottom="1134" w:left="1020" w:header="720" w:footer="720" w:gutter="0"/>
          <w:cols w:space="720" w:num="1"/>
        </w:sectPr>
      </w:pPr>
    </w:p>
    <w:p w14:paraId="04D383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CB7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5C9214">
            <w:pPr>
              <w:pStyle w:val="8"/>
            </w:pPr>
            <w:r>
              <w:t>360010隆尧县固城中学</w:t>
            </w:r>
          </w:p>
        </w:tc>
        <w:tc>
          <w:tcPr>
            <w:tcW w:w="2551" w:type="dxa"/>
            <w:tcBorders>
              <w:top w:val="single" w:color="FFFFFF" w:sz="6" w:space="0"/>
              <w:left w:val="single" w:color="FFFFFF" w:sz="6" w:space="0"/>
              <w:right w:val="single" w:color="FFFFFF" w:sz="6" w:space="0"/>
            </w:tcBorders>
            <w:vAlign w:val="center"/>
          </w:tcPr>
          <w:p w14:paraId="1E406F3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5E0FB17">
            <w:pPr>
              <w:pStyle w:val="10"/>
            </w:pPr>
            <w:r>
              <w:t>单位：万元</w:t>
            </w:r>
          </w:p>
        </w:tc>
      </w:tr>
      <w:tr w14:paraId="15888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A0E887">
            <w:pPr>
              <w:pStyle w:val="11"/>
            </w:pPr>
            <w:r>
              <w:t>序号</w:t>
            </w:r>
          </w:p>
        </w:tc>
        <w:tc>
          <w:tcPr>
            <w:tcW w:w="5726" w:type="dxa"/>
            <w:gridSpan w:val="2"/>
            <w:vAlign w:val="center"/>
          </w:tcPr>
          <w:p w14:paraId="09E2E2BA">
            <w:pPr>
              <w:pStyle w:val="11"/>
            </w:pPr>
            <w:r>
              <w:t>功能分类科目</w:t>
            </w:r>
          </w:p>
        </w:tc>
        <w:tc>
          <w:tcPr>
            <w:tcW w:w="2551" w:type="dxa"/>
            <w:vMerge w:val="restart"/>
            <w:vAlign w:val="center"/>
          </w:tcPr>
          <w:p w14:paraId="22218D93">
            <w:pPr>
              <w:pStyle w:val="11"/>
            </w:pPr>
            <w:r>
              <w:t>合计</w:t>
            </w:r>
          </w:p>
        </w:tc>
        <w:tc>
          <w:tcPr>
            <w:tcW w:w="2551" w:type="dxa"/>
            <w:vMerge w:val="restart"/>
            <w:vAlign w:val="center"/>
          </w:tcPr>
          <w:p w14:paraId="1CDBD27F">
            <w:pPr>
              <w:pStyle w:val="11"/>
            </w:pPr>
            <w:r>
              <w:t>基本支出</w:t>
            </w:r>
          </w:p>
        </w:tc>
        <w:tc>
          <w:tcPr>
            <w:tcW w:w="2551" w:type="dxa"/>
            <w:vMerge w:val="restart"/>
            <w:vAlign w:val="center"/>
          </w:tcPr>
          <w:p w14:paraId="4F804E4A">
            <w:pPr>
              <w:pStyle w:val="11"/>
            </w:pPr>
            <w:r>
              <w:t>项目支出</w:t>
            </w:r>
          </w:p>
        </w:tc>
      </w:tr>
      <w:tr w14:paraId="3B574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E2039B"/>
        </w:tc>
        <w:tc>
          <w:tcPr>
            <w:tcW w:w="1191" w:type="dxa"/>
            <w:vAlign w:val="center"/>
          </w:tcPr>
          <w:p w14:paraId="56AF06F1">
            <w:pPr>
              <w:pStyle w:val="11"/>
            </w:pPr>
            <w:r>
              <w:t>科目编码</w:t>
            </w:r>
          </w:p>
        </w:tc>
        <w:tc>
          <w:tcPr>
            <w:tcW w:w="4535" w:type="dxa"/>
            <w:vAlign w:val="center"/>
          </w:tcPr>
          <w:p w14:paraId="2B7A0C74">
            <w:pPr>
              <w:pStyle w:val="11"/>
            </w:pPr>
            <w:r>
              <w:t>科目名称</w:t>
            </w:r>
          </w:p>
        </w:tc>
        <w:tc>
          <w:tcPr>
            <w:tcW w:w="2551" w:type="dxa"/>
            <w:vMerge w:val="continue"/>
          </w:tcPr>
          <w:p w14:paraId="192B331E"/>
        </w:tc>
        <w:tc>
          <w:tcPr>
            <w:tcW w:w="2551" w:type="dxa"/>
            <w:vMerge w:val="continue"/>
          </w:tcPr>
          <w:p w14:paraId="3FE6AF5A"/>
        </w:tc>
        <w:tc>
          <w:tcPr>
            <w:tcW w:w="2551" w:type="dxa"/>
            <w:vMerge w:val="continue"/>
          </w:tcPr>
          <w:p w14:paraId="2C8A256C"/>
        </w:tc>
      </w:tr>
      <w:tr w14:paraId="642D7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F1F54">
            <w:pPr>
              <w:pStyle w:val="11"/>
            </w:pPr>
            <w:r>
              <w:t>栏次</w:t>
            </w:r>
          </w:p>
        </w:tc>
        <w:tc>
          <w:tcPr>
            <w:tcW w:w="1191" w:type="dxa"/>
            <w:vAlign w:val="center"/>
          </w:tcPr>
          <w:p w14:paraId="19443BF3">
            <w:pPr>
              <w:pStyle w:val="11"/>
            </w:pPr>
            <w:r>
              <w:t>1</w:t>
            </w:r>
          </w:p>
        </w:tc>
        <w:tc>
          <w:tcPr>
            <w:tcW w:w="4535" w:type="dxa"/>
            <w:vAlign w:val="center"/>
          </w:tcPr>
          <w:p w14:paraId="5E4681DA">
            <w:pPr>
              <w:pStyle w:val="11"/>
            </w:pPr>
            <w:r>
              <w:t>2</w:t>
            </w:r>
          </w:p>
        </w:tc>
        <w:tc>
          <w:tcPr>
            <w:tcW w:w="2551" w:type="dxa"/>
            <w:vAlign w:val="center"/>
          </w:tcPr>
          <w:p w14:paraId="2C758ACE">
            <w:pPr>
              <w:pStyle w:val="11"/>
            </w:pPr>
            <w:r>
              <w:t>3</w:t>
            </w:r>
          </w:p>
        </w:tc>
        <w:tc>
          <w:tcPr>
            <w:tcW w:w="2551" w:type="dxa"/>
            <w:vAlign w:val="center"/>
          </w:tcPr>
          <w:p w14:paraId="486E1012">
            <w:pPr>
              <w:pStyle w:val="11"/>
            </w:pPr>
            <w:r>
              <w:t>4</w:t>
            </w:r>
          </w:p>
        </w:tc>
        <w:tc>
          <w:tcPr>
            <w:tcW w:w="2551" w:type="dxa"/>
            <w:vAlign w:val="center"/>
          </w:tcPr>
          <w:p w14:paraId="1D7179B1">
            <w:pPr>
              <w:pStyle w:val="11"/>
            </w:pPr>
            <w:r>
              <w:t>5</w:t>
            </w:r>
          </w:p>
        </w:tc>
      </w:tr>
      <w:tr w14:paraId="41813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85D55">
            <w:pPr>
              <w:pStyle w:val="12"/>
            </w:pPr>
            <w:r>
              <w:t>1</w:t>
            </w:r>
          </w:p>
        </w:tc>
        <w:tc>
          <w:tcPr>
            <w:tcW w:w="1191" w:type="dxa"/>
            <w:vAlign w:val="center"/>
          </w:tcPr>
          <w:p w14:paraId="15DF9825">
            <w:pPr>
              <w:pStyle w:val="17"/>
            </w:pPr>
          </w:p>
        </w:tc>
        <w:tc>
          <w:tcPr>
            <w:tcW w:w="4535" w:type="dxa"/>
            <w:vAlign w:val="center"/>
          </w:tcPr>
          <w:p w14:paraId="2567207B">
            <w:pPr>
              <w:pStyle w:val="15"/>
            </w:pPr>
            <w:r>
              <w:t>合计</w:t>
            </w:r>
          </w:p>
        </w:tc>
        <w:tc>
          <w:tcPr>
            <w:tcW w:w="2551" w:type="dxa"/>
            <w:vAlign w:val="center"/>
          </w:tcPr>
          <w:p w14:paraId="0000E011">
            <w:pPr>
              <w:pStyle w:val="16"/>
            </w:pPr>
            <w:r>
              <w:t>2261.13</w:t>
            </w:r>
          </w:p>
        </w:tc>
        <w:tc>
          <w:tcPr>
            <w:tcW w:w="2551" w:type="dxa"/>
            <w:vAlign w:val="center"/>
          </w:tcPr>
          <w:p w14:paraId="2384ADD1">
            <w:pPr>
              <w:pStyle w:val="16"/>
            </w:pPr>
            <w:r>
              <w:t>1977.98</w:t>
            </w:r>
          </w:p>
        </w:tc>
        <w:tc>
          <w:tcPr>
            <w:tcW w:w="2551" w:type="dxa"/>
            <w:vAlign w:val="center"/>
          </w:tcPr>
          <w:p w14:paraId="1D9A5D37">
            <w:pPr>
              <w:pStyle w:val="16"/>
            </w:pPr>
            <w:r>
              <w:t>283.14</w:t>
            </w:r>
          </w:p>
        </w:tc>
      </w:tr>
      <w:tr w14:paraId="51094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E47F1">
            <w:pPr>
              <w:pStyle w:val="12"/>
            </w:pPr>
            <w:r>
              <w:t>2</w:t>
            </w:r>
          </w:p>
        </w:tc>
        <w:tc>
          <w:tcPr>
            <w:tcW w:w="1191" w:type="dxa"/>
            <w:vAlign w:val="center"/>
          </w:tcPr>
          <w:p w14:paraId="303BBB87">
            <w:pPr>
              <w:pStyle w:val="13"/>
            </w:pPr>
            <w:r>
              <w:t>205</w:t>
            </w:r>
          </w:p>
        </w:tc>
        <w:tc>
          <w:tcPr>
            <w:tcW w:w="4535" w:type="dxa"/>
            <w:vAlign w:val="center"/>
          </w:tcPr>
          <w:p w14:paraId="115960F8">
            <w:pPr>
              <w:pStyle w:val="13"/>
            </w:pPr>
            <w:r>
              <w:t>教育支出</w:t>
            </w:r>
          </w:p>
        </w:tc>
        <w:tc>
          <w:tcPr>
            <w:tcW w:w="2551" w:type="dxa"/>
            <w:vAlign w:val="center"/>
          </w:tcPr>
          <w:p w14:paraId="67EE2424">
            <w:pPr>
              <w:pStyle w:val="14"/>
            </w:pPr>
            <w:r>
              <w:t>2261.13</w:t>
            </w:r>
          </w:p>
        </w:tc>
        <w:tc>
          <w:tcPr>
            <w:tcW w:w="2551" w:type="dxa"/>
            <w:vAlign w:val="center"/>
          </w:tcPr>
          <w:p w14:paraId="682904E6">
            <w:pPr>
              <w:pStyle w:val="14"/>
            </w:pPr>
            <w:r>
              <w:t>1977.98</w:t>
            </w:r>
          </w:p>
        </w:tc>
        <w:tc>
          <w:tcPr>
            <w:tcW w:w="2551" w:type="dxa"/>
            <w:vAlign w:val="center"/>
          </w:tcPr>
          <w:p w14:paraId="55F9FEBA">
            <w:pPr>
              <w:pStyle w:val="14"/>
            </w:pPr>
            <w:r>
              <w:t>283.14</w:t>
            </w:r>
          </w:p>
        </w:tc>
      </w:tr>
      <w:tr w14:paraId="6AECD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0155B">
            <w:pPr>
              <w:pStyle w:val="12"/>
            </w:pPr>
            <w:r>
              <w:t>3</w:t>
            </w:r>
          </w:p>
        </w:tc>
        <w:tc>
          <w:tcPr>
            <w:tcW w:w="1191" w:type="dxa"/>
            <w:vAlign w:val="center"/>
          </w:tcPr>
          <w:p w14:paraId="7009327F">
            <w:pPr>
              <w:pStyle w:val="13"/>
            </w:pPr>
            <w:r>
              <w:t>20502</w:t>
            </w:r>
          </w:p>
        </w:tc>
        <w:tc>
          <w:tcPr>
            <w:tcW w:w="4535" w:type="dxa"/>
            <w:vAlign w:val="center"/>
          </w:tcPr>
          <w:p w14:paraId="5F81483F">
            <w:pPr>
              <w:pStyle w:val="13"/>
            </w:pPr>
            <w:r>
              <w:t>普通教育</w:t>
            </w:r>
          </w:p>
        </w:tc>
        <w:tc>
          <w:tcPr>
            <w:tcW w:w="2551" w:type="dxa"/>
            <w:vAlign w:val="center"/>
          </w:tcPr>
          <w:p w14:paraId="654F8545">
            <w:pPr>
              <w:pStyle w:val="14"/>
            </w:pPr>
            <w:r>
              <w:t>2261.13</w:t>
            </w:r>
          </w:p>
        </w:tc>
        <w:tc>
          <w:tcPr>
            <w:tcW w:w="2551" w:type="dxa"/>
            <w:vAlign w:val="center"/>
          </w:tcPr>
          <w:p w14:paraId="428F10D4">
            <w:pPr>
              <w:pStyle w:val="14"/>
            </w:pPr>
            <w:r>
              <w:t>1977.98</w:t>
            </w:r>
          </w:p>
        </w:tc>
        <w:tc>
          <w:tcPr>
            <w:tcW w:w="2551" w:type="dxa"/>
            <w:vAlign w:val="center"/>
          </w:tcPr>
          <w:p w14:paraId="7F91B9DC">
            <w:pPr>
              <w:pStyle w:val="14"/>
            </w:pPr>
            <w:r>
              <w:t>283.14</w:t>
            </w:r>
          </w:p>
        </w:tc>
      </w:tr>
      <w:tr w14:paraId="0D688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A90B1">
            <w:pPr>
              <w:pStyle w:val="12"/>
            </w:pPr>
            <w:r>
              <w:t>4</w:t>
            </w:r>
          </w:p>
        </w:tc>
        <w:tc>
          <w:tcPr>
            <w:tcW w:w="1191" w:type="dxa"/>
            <w:vAlign w:val="center"/>
          </w:tcPr>
          <w:p w14:paraId="7C1A2624">
            <w:pPr>
              <w:pStyle w:val="13"/>
            </w:pPr>
            <w:r>
              <w:t>2050203</w:t>
            </w:r>
          </w:p>
        </w:tc>
        <w:tc>
          <w:tcPr>
            <w:tcW w:w="4535" w:type="dxa"/>
            <w:vAlign w:val="center"/>
          </w:tcPr>
          <w:p w14:paraId="120BEB46">
            <w:pPr>
              <w:pStyle w:val="13"/>
            </w:pPr>
            <w:r>
              <w:t>初中教育</w:t>
            </w:r>
          </w:p>
        </w:tc>
        <w:tc>
          <w:tcPr>
            <w:tcW w:w="2551" w:type="dxa"/>
            <w:vAlign w:val="center"/>
          </w:tcPr>
          <w:p w14:paraId="04C7587E">
            <w:pPr>
              <w:pStyle w:val="14"/>
            </w:pPr>
            <w:r>
              <w:t>2261.13</w:t>
            </w:r>
          </w:p>
        </w:tc>
        <w:tc>
          <w:tcPr>
            <w:tcW w:w="2551" w:type="dxa"/>
            <w:vAlign w:val="center"/>
          </w:tcPr>
          <w:p w14:paraId="348A6477">
            <w:pPr>
              <w:pStyle w:val="14"/>
            </w:pPr>
            <w:r>
              <w:t>1977.98</w:t>
            </w:r>
          </w:p>
        </w:tc>
        <w:tc>
          <w:tcPr>
            <w:tcW w:w="2551" w:type="dxa"/>
            <w:vAlign w:val="center"/>
          </w:tcPr>
          <w:p w14:paraId="7FB1FB25">
            <w:pPr>
              <w:pStyle w:val="14"/>
            </w:pPr>
            <w:r>
              <w:t>283.14</w:t>
            </w:r>
          </w:p>
        </w:tc>
      </w:tr>
    </w:tbl>
    <w:p w14:paraId="20FC9C89">
      <w:pPr>
        <w:sectPr>
          <w:pgSz w:w="16840" w:h="11900" w:orient="landscape"/>
          <w:pgMar w:top="1361" w:right="1020" w:bottom="1134" w:left="1020" w:header="720" w:footer="720" w:gutter="0"/>
          <w:cols w:space="720" w:num="1"/>
        </w:sectPr>
      </w:pPr>
    </w:p>
    <w:p w14:paraId="0D311F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652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16A309">
            <w:pPr>
              <w:pStyle w:val="8"/>
            </w:pPr>
            <w:r>
              <w:t>360010隆尧县固城中学</w:t>
            </w:r>
          </w:p>
        </w:tc>
        <w:tc>
          <w:tcPr>
            <w:tcW w:w="2551" w:type="dxa"/>
            <w:tcBorders>
              <w:top w:val="single" w:color="FFFFFF" w:sz="6" w:space="0"/>
              <w:left w:val="single" w:color="FFFFFF" w:sz="6" w:space="0"/>
              <w:right w:val="single" w:color="FFFFFF" w:sz="6" w:space="0"/>
            </w:tcBorders>
            <w:vAlign w:val="center"/>
          </w:tcPr>
          <w:p w14:paraId="5F8619F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BDC39B5">
            <w:pPr>
              <w:pStyle w:val="10"/>
            </w:pPr>
            <w:r>
              <w:t>单位：万元</w:t>
            </w:r>
          </w:p>
        </w:tc>
      </w:tr>
      <w:tr w14:paraId="19C3B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1F1067">
            <w:pPr>
              <w:pStyle w:val="11"/>
            </w:pPr>
            <w:r>
              <w:t>序号</w:t>
            </w:r>
          </w:p>
        </w:tc>
        <w:tc>
          <w:tcPr>
            <w:tcW w:w="5726" w:type="dxa"/>
            <w:gridSpan w:val="2"/>
            <w:vAlign w:val="center"/>
          </w:tcPr>
          <w:p w14:paraId="74FF8206">
            <w:pPr>
              <w:pStyle w:val="11"/>
            </w:pPr>
            <w:r>
              <w:t>支出部门经济分类科目</w:t>
            </w:r>
          </w:p>
        </w:tc>
        <w:tc>
          <w:tcPr>
            <w:tcW w:w="7653" w:type="dxa"/>
            <w:gridSpan w:val="3"/>
            <w:vAlign w:val="center"/>
          </w:tcPr>
          <w:p w14:paraId="1F77CF77">
            <w:pPr>
              <w:pStyle w:val="11"/>
            </w:pPr>
            <w:r>
              <w:t>一般公共预算基本支出</w:t>
            </w:r>
          </w:p>
        </w:tc>
      </w:tr>
      <w:tr w14:paraId="3C8BE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BE13D4"/>
        </w:tc>
        <w:tc>
          <w:tcPr>
            <w:tcW w:w="1191" w:type="dxa"/>
            <w:vAlign w:val="center"/>
          </w:tcPr>
          <w:p w14:paraId="51AF78DD">
            <w:pPr>
              <w:pStyle w:val="11"/>
            </w:pPr>
            <w:r>
              <w:t>科目编码</w:t>
            </w:r>
          </w:p>
        </w:tc>
        <w:tc>
          <w:tcPr>
            <w:tcW w:w="4535" w:type="dxa"/>
            <w:vAlign w:val="center"/>
          </w:tcPr>
          <w:p w14:paraId="41164485">
            <w:pPr>
              <w:pStyle w:val="11"/>
            </w:pPr>
            <w:r>
              <w:t>科目名称</w:t>
            </w:r>
          </w:p>
        </w:tc>
        <w:tc>
          <w:tcPr>
            <w:tcW w:w="2551" w:type="dxa"/>
            <w:vAlign w:val="center"/>
          </w:tcPr>
          <w:p w14:paraId="5595E1D5">
            <w:pPr>
              <w:pStyle w:val="11"/>
            </w:pPr>
            <w:r>
              <w:t>合计</w:t>
            </w:r>
          </w:p>
        </w:tc>
        <w:tc>
          <w:tcPr>
            <w:tcW w:w="2551" w:type="dxa"/>
            <w:vAlign w:val="center"/>
          </w:tcPr>
          <w:p w14:paraId="2C6248DB">
            <w:pPr>
              <w:pStyle w:val="11"/>
            </w:pPr>
            <w:r>
              <w:t>人员经费</w:t>
            </w:r>
          </w:p>
        </w:tc>
        <w:tc>
          <w:tcPr>
            <w:tcW w:w="2551" w:type="dxa"/>
            <w:vAlign w:val="center"/>
          </w:tcPr>
          <w:p w14:paraId="7E117892">
            <w:pPr>
              <w:pStyle w:val="11"/>
            </w:pPr>
            <w:r>
              <w:t>公用经费</w:t>
            </w:r>
          </w:p>
        </w:tc>
      </w:tr>
      <w:tr w14:paraId="6E68C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243D5">
            <w:pPr>
              <w:pStyle w:val="11"/>
            </w:pPr>
            <w:r>
              <w:t>栏次</w:t>
            </w:r>
          </w:p>
        </w:tc>
        <w:tc>
          <w:tcPr>
            <w:tcW w:w="1191" w:type="dxa"/>
            <w:vAlign w:val="center"/>
          </w:tcPr>
          <w:p w14:paraId="68799933">
            <w:pPr>
              <w:pStyle w:val="11"/>
            </w:pPr>
            <w:r>
              <w:t>1</w:t>
            </w:r>
          </w:p>
        </w:tc>
        <w:tc>
          <w:tcPr>
            <w:tcW w:w="4535" w:type="dxa"/>
            <w:vAlign w:val="center"/>
          </w:tcPr>
          <w:p w14:paraId="41F1E238">
            <w:pPr>
              <w:pStyle w:val="11"/>
            </w:pPr>
            <w:r>
              <w:t>2</w:t>
            </w:r>
          </w:p>
        </w:tc>
        <w:tc>
          <w:tcPr>
            <w:tcW w:w="2551" w:type="dxa"/>
            <w:vAlign w:val="center"/>
          </w:tcPr>
          <w:p w14:paraId="1914F635">
            <w:pPr>
              <w:pStyle w:val="11"/>
            </w:pPr>
            <w:r>
              <w:t>3</w:t>
            </w:r>
          </w:p>
        </w:tc>
        <w:tc>
          <w:tcPr>
            <w:tcW w:w="2551" w:type="dxa"/>
            <w:vAlign w:val="center"/>
          </w:tcPr>
          <w:p w14:paraId="40F09BE3">
            <w:pPr>
              <w:pStyle w:val="11"/>
            </w:pPr>
            <w:r>
              <w:t>4</w:t>
            </w:r>
          </w:p>
        </w:tc>
        <w:tc>
          <w:tcPr>
            <w:tcW w:w="2551" w:type="dxa"/>
            <w:vAlign w:val="center"/>
          </w:tcPr>
          <w:p w14:paraId="77E526F0">
            <w:pPr>
              <w:pStyle w:val="11"/>
            </w:pPr>
            <w:r>
              <w:t>5</w:t>
            </w:r>
          </w:p>
        </w:tc>
      </w:tr>
      <w:tr w14:paraId="19E13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AB0E6">
            <w:pPr>
              <w:pStyle w:val="12"/>
            </w:pPr>
            <w:r>
              <w:t>1</w:t>
            </w:r>
          </w:p>
        </w:tc>
        <w:tc>
          <w:tcPr>
            <w:tcW w:w="1191" w:type="dxa"/>
            <w:vAlign w:val="center"/>
          </w:tcPr>
          <w:p w14:paraId="3AEB92D8">
            <w:pPr>
              <w:pStyle w:val="17"/>
            </w:pPr>
          </w:p>
        </w:tc>
        <w:tc>
          <w:tcPr>
            <w:tcW w:w="4535" w:type="dxa"/>
            <w:vAlign w:val="center"/>
          </w:tcPr>
          <w:p w14:paraId="54B75D80">
            <w:pPr>
              <w:pStyle w:val="15"/>
            </w:pPr>
            <w:r>
              <w:t>合计</w:t>
            </w:r>
          </w:p>
        </w:tc>
        <w:tc>
          <w:tcPr>
            <w:tcW w:w="2551" w:type="dxa"/>
            <w:vAlign w:val="center"/>
          </w:tcPr>
          <w:p w14:paraId="69264A2B">
            <w:pPr>
              <w:pStyle w:val="16"/>
            </w:pPr>
            <w:r>
              <w:t>1977.98</w:t>
            </w:r>
          </w:p>
        </w:tc>
        <w:tc>
          <w:tcPr>
            <w:tcW w:w="2551" w:type="dxa"/>
            <w:vAlign w:val="center"/>
          </w:tcPr>
          <w:p w14:paraId="079A0CFB">
            <w:pPr>
              <w:pStyle w:val="16"/>
            </w:pPr>
            <w:r>
              <w:t>1977.98</w:t>
            </w:r>
          </w:p>
        </w:tc>
        <w:tc>
          <w:tcPr>
            <w:tcW w:w="2551" w:type="dxa"/>
            <w:vAlign w:val="center"/>
          </w:tcPr>
          <w:p w14:paraId="6F99EA62">
            <w:pPr>
              <w:pStyle w:val="16"/>
            </w:pPr>
          </w:p>
        </w:tc>
      </w:tr>
      <w:tr w14:paraId="52F58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47855">
            <w:pPr>
              <w:pStyle w:val="12"/>
            </w:pPr>
            <w:r>
              <w:t>2</w:t>
            </w:r>
          </w:p>
        </w:tc>
        <w:tc>
          <w:tcPr>
            <w:tcW w:w="1191" w:type="dxa"/>
            <w:vAlign w:val="center"/>
          </w:tcPr>
          <w:p w14:paraId="37CE69BA">
            <w:pPr>
              <w:pStyle w:val="13"/>
            </w:pPr>
            <w:r>
              <w:t>301</w:t>
            </w:r>
          </w:p>
        </w:tc>
        <w:tc>
          <w:tcPr>
            <w:tcW w:w="4535" w:type="dxa"/>
            <w:vAlign w:val="center"/>
          </w:tcPr>
          <w:p w14:paraId="5BE1C020">
            <w:pPr>
              <w:pStyle w:val="13"/>
            </w:pPr>
            <w:r>
              <w:t>工资福利支出</w:t>
            </w:r>
          </w:p>
        </w:tc>
        <w:tc>
          <w:tcPr>
            <w:tcW w:w="2551" w:type="dxa"/>
            <w:vAlign w:val="center"/>
          </w:tcPr>
          <w:p w14:paraId="297B2701">
            <w:pPr>
              <w:pStyle w:val="14"/>
            </w:pPr>
            <w:r>
              <w:t>1946.35</w:t>
            </w:r>
          </w:p>
        </w:tc>
        <w:tc>
          <w:tcPr>
            <w:tcW w:w="2551" w:type="dxa"/>
            <w:vAlign w:val="center"/>
          </w:tcPr>
          <w:p w14:paraId="5794ACA5">
            <w:pPr>
              <w:pStyle w:val="14"/>
            </w:pPr>
            <w:r>
              <w:t>1946.35</w:t>
            </w:r>
          </w:p>
        </w:tc>
        <w:tc>
          <w:tcPr>
            <w:tcW w:w="2551" w:type="dxa"/>
            <w:vAlign w:val="center"/>
          </w:tcPr>
          <w:p w14:paraId="4BBCA224">
            <w:pPr>
              <w:pStyle w:val="14"/>
            </w:pPr>
          </w:p>
        </w:tc>
      </w:tr>
      <w:tr w14:paraId="01DAA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93064">
            <w:pPr>
              <w:pStyle w:val="12"/>
            </w:pPr>
            <w:r>
              <w:t>3</w:t>
            </w:r>
          </w:p>
        </w:tc>
        <w:tc>
          <w:tcPr>
            <w:tcW w:w="1191" w:type="dxa"/>
            <w:vAlign w:val="center"/>
          </w:tcPr>
          <w:p w14:paraId="2E008B5D">
            <w:pPr>
              <w:pStyle w:val="13"/>
            </w:pPr>
            <w:r>
              <w:t>30101</w:t>
            </w:r>
          </w:p>
        </w:tc>
        <w:tc>
          <w:tcPr>
            <w:tcW w:w="4535" w:type="dxa"/>
            <w:vAlign w:val="center"/>
          </w:tcPr>
          <w:p w14:paraId="42614D6C">
            <w:pPr>
              <w:pStyle w:val="13"/>
            </w:pPr>
            <w:r>
              <w:t>基本工资</w:t>
            </w:r>
          </w:p>
        </w:tc>
        <w:tc>
          <w:tcPr>
            <w:tcW w:w="2551" w:type="dxa"/>
            <w:vAlign w:val="center"/>
          </w:tcPr>
          <w:p w14:paraId="24FBBDD6">
            <w:pPr>
              <w:pStyle w:val="14"/>
            </w:pPr>
            <w:r>
              <w:t>960.67</w:t>
            </w:r>
          </w:p>
        </w:tc>
        <w:tc>
          <w:tcPr>
            <w:tcW w:w="2551" w:type="dxa"/>
            <w:vAlign w:val="center"/>
          </w:tcPr>
          <w:p w14:paraId="3BB9ECA1">
            <w:pPr>
              <w:pStyle w:val="14"/>
            </w:pPr>
            <w:r>
              <w:t>960.67</w:t>
            </w:r>
          </w:p>
        </w:tc>
        <w:tc>
          <w:tcPr>
            <w:tcW w:w="2551" w:type="dxa"/>
            <w:vAlign w:val="center"/>
          </w:tcPr>
          <w:p w14:paraId="3E2AF75F">
            <w:pPr>
              <w:pStyle w:val="14"/>
            </w:pPr>
          </w:p>
        </w:tc>
      </w:tr>
      <w:tr w14:paraId="51258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C206E">
            <w:pPr>
              <w:pStyle w:val="12"/>
            </w:pPr>
            <w:r>
              <w:t>4</w:t>
            </w:r>
          </w:p>
        </w:tc>
        <w:tc>
          <w:tcPr>
            <w:tcW w:w="1191" w:type="dxa"/>
            <w:vAlign w:val="center"/>
          </w:tcPr>
          <w:p w14:paraId="397F8DEC">
            <w:pPr>
              <w:pStyle w:val="13"/>
            </w:pPr>
            <w:r>
              <w:t>30102</w:t>
            </w:r>
          </w:p>
        </w:tc>
        <w:tc>
          <w:tcPr>
            <w:tcW w:w="4535" w:type="dxa"/>
            <w:vAlign w:val="center"/>
          </w:tcPr>
          <w:p w14:paraId="3E681DFA">
            <w:pPr>
              <w:pStyle w:val="13"/>
            </w:pPr>
            <w:r>
              <w:t>津贴补贴</w:t>
            </w:r>
          </w:p>
        </w:tc>
        <w:tc>
          <w:tcPr>
            <w:tcW w:w="2551" w:type="dxa"/>
            <w:vAlign w:val="center"/>
          </w:tcPr>
          <w:p w14:paraId="304969AD">
            <w:pPr>
              <w:pStyle w:val="14"/>
            </w:pPr>
            <w:r>
              <w:t>84.86</w:t>
            </w:r>
          </w:p>
        </w:tc>
        <w:tc>
          <w:tcPr>
            <w:tcW w:w="2551" w:type="dxa"/>
            <w:vAlign w:val="center"/>
          </w:tcPr>
          <w:p w14:paraId="51F78198">
            <w:pPr>
              <w:pStyle w:val="14"/>
            </w:pPr>
            <w:r>
              <w:t>84.86</w:t>
            </w:r>
          </w:p>
        </w:tc>
        <w:tc>
          <w:tcPr>
            <w:tcW w:w="2551" w:type="dxa"/>
            <w:vAlign w:val="center"/>
          </w:tcPr>
          <w:p w14:paraId="19A91388">
            <w:pPr>
              <w:pStyle w:val="14"/>
            </w:pPr>
          </w:p>
        </w:tc>
      </w:tr>
      <w:tr w14:paraId="13455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38577">
            <w:pPr>
              <w:pStyle w:val="12"/>
            </w:pPr>
            <w:r>
              <w:t>5</w:t>
            </w:r>
          </w:p>
        </w:tc>
        <w:tc>
          <w:tcPr>
            <w:tcW w:w="1191" w:type="dxa"/>
            <w:vAlign w:val="center"/>
          </w:tcPr>
          <w:p w14:paraId="47007592">
            <w:pPr>
              <w:pStyle w:val="13"/>
            </w:pPr>
            <w:r>
              <w:t>30107</w:t>
            </w:r>
          </w:p>
        </w:tc>
        <w:tc>
          <w:tcPr>
            <w:tcW w:w="4535" w:type="dxa"/>
            <w:vAlign w:val="center"/>
          </w:tcPr>
          <w:p w14:paraId="7D78142B">
            <w:pPr>
              <w:pStyle w:val="13"/>
            </w:pPr>
            <w:r>
              <w:t>绩效工资</w:t>
            </w:r>
          </w:p>
        </w:tc>
        <w:tc>
          <w:tcPr>
            <w:tcW w:w="2551" w:type="dxa"/>
            <w:vAlign w:val="center"/>
          </w:tcPr>
          <w:p w14:paraId="1A352604">
            <w:pPr>
              <w:pStyle w:val="14"/>
            </w:pPr>
            <w:r>
              <w:t>473.68</w:t>
            </w:r>
          </w:p>
        </w:tc>
        <w:tc>
          <w:tcPr>
            <w:tcW w:w="2551" w:type="dxa"/>
            <w:vAlign w:val="center"/>
          </w:tcPr>
          <w:p w14:paraId="5701DEB3">
            <w:pPr>
              <w:pStyle w:val="14"/>
            </w:pPr>
            <w:r>
              <w:t>473.68</w:t>
            </w:r>
          </w:p>
        </w:tc>
        <w:tc>
          <w:tcPr>
            <w:tcW w:w="2551" w:type="dxa"/>
            <w:vAlign w:val="center"/>
          </w:tcPr>
          <w:p w14:paraId="31DCA8A3">
            <w:pPr>
              <w:pStyle w:val="14"/>
            </w:pPr>
          </w:p>
        </w:tc>
      </w:tr>
      <w:tr w14:paraId="46A18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36B23">
            <w:pPr>
              <w:pStyle w:val="12"/>
            </w:pPr>
            <w:r>
              <w:t>6</w:t>
            </w:r>
          </w:p>
        </w:tc>
        <w:tc>
          <w:tcPr>
            <w:tcW w:w="1191" w:type="dxa"/>
            <w:vAlign w:val="center"/>
          </w:tcPr>
          <w:p w14:paraId="3FF83ABD">
            <w:pPr>
              <w:pStyle w:val="13"/>
            </w:pPr>
            <w:r>
              <w:t>30108</w:t>
            </w:r>
          </w:p>
        </w:tc>
        <w:tc>
          <w:tcPr>
            <w:tcW w:w="4535" w:type="dxa"/>
            <w:vAlign w:val="center"/>
          </w:tcPr>
          <w:p w14:paraId="73AF6F5B">
            <w:pPr>
              <w:pStyle w:val="13"/>
            </w:pPr>
            <w:r>
              <w:t>机关事业单位基本养老保险缴费</w:t>
            </w:r>
          </w:p>
        </w:tc>
        <w:tc>
          <w:tcPr>
            <w:tcW w:w="2551" w:type="dxa"/>
            <w:vAlign w:val="center"/>
          </w:tcPr>
          <w:p w14:paraId="1FA03F80">
            <w:pPr>
              <w:pStyle w:val="14"/>
            </w:pPr>
            <w:r>
              <w:t>186.43</w:t>
            </w:r>
          </w:p>
        </w:tc>
        <w:tc>
          <w:tcPr>
            <w:tcW w:w="2551" w:type="dxa"/>
            <w:vAlign w:val="center"/>
          </w:tcPr>
          <w:p w14:paraId="79CC3B5E">
            <w:pPr>
              <w:pStyle w:val="14"/>
            </w:pPr>
            <w:r>
              <w:t>186.43</w:t>
            </w:r>
          </w:p>
        </w:tc>
        <w:tc>
          <w:tcPr>
            <w:tcW w:w="2551" w:type="dxa"/>
            <w:vAlign w:val="center"/>
          </w:tcPr>
          <w:p w14:paraId="7335D995">
            <w:pPr>
              <w:pStyle w:val="14"/>
            </w:pPr>
          </w:p>
        </w:tc>
      </w:tr>
      <w:tr w14:paraId="096B0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22AA8">
            <w:pPr>
              <w:pStyle w:val="12"/>
            </w:pPr>
            <w:r>
              <w:t>7</w:t>
            </w:r>
          </w:p>
        </w:tc>
        <w:tc>
          <w:tcPr>
            <w:tcW w:w="1191" w:type="dxa"/>
            <w:vAlign w:val="center"/>
          </w:tcPr>
          <w:p w14:paraId="791EBBEC">
            <w:pPr>
              <w:pStyle w:val="13"/>
            </w:pPr>
            <w:r>
              <w:t>30110</w:t>
            </w:r>
          </w:p>
        </w:tc>
        <w:tc>
          <w:tcPr>
            <w:tcW w:w="4535" w:type="dxa"/>
            <w:vAlign w:val="center"/>
          </w:tcPr>
          <w:p w14:paraId="511C842E">
            <w:pPr>
              <w:pStyle w:val="13"/>
            </w:pPr>
            <w:r>
              <w:t>职工基本医疗保险缴费</w:t>
            </w:r>
          </w:p>
        </w:tc>
        <w:tc>
          <w:tcPr>
            <w:tcW w:w="2551" w:type="dxa"/>
            <w:vAlign w:val="center"/>
          </w:tcPr>
          <w:p w14:paraId="48D60937">
            <w:pPr>
              <w:pStyle w:val="14"/>
            </w:pPr>
            <w:r>
              <w:t>91.71</w:t>
            </w:r>
          </w:p>
        </w:tc>
        <w:tc>
          <w:tcPr>
            <w:tcW w:w="2551" w:type="dxa"/>
            <w:vAlign w:val="center"/>
          </w:tcPr>
          <w:p w14:paraId="763DC53A">
            <w:pPr>
              <w:pStyle w:val="14"/>
            </w:pPr>
            <w:r>
              <w:t>91.71</w:t>
            </w:r>
          </w:p>
        </w:tc>
        <w:tc>
          <w:tcPr>
            <w:tcW w:w="2551" w:type="dxa"/>
            <w:vAlign w:val="center"/>
          </w:tcPr>
          <w:p w14:paraId="67CA6163">
            <w:pPr>
              <w:pStyle w:val="14"/>
            </w:pPr>
          </w:p>
        </w:tc>
      </w:tr>
      <w:tr w14:paraId="6E0C2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426A7">
            <w:pPr>
              <w:pStyle w:val="12"/>
            </w:pPr>
            <w:r>
              <w:t>8</w:t>
            </w:r>
          </w:p>
        </w:tc>
        <w:tc>
          <w:tcPr>
            <w:tcW w:w="1191" w:type="dxa"/>
            <w:vAlign w:val="center"/>
          </w:tcPr>
          <w:p w14:paraId="11412FBF">
            <w:pPr>
              <w:pStyle w:val="13"/>
            </w:pPr>
            <w:r>
              <w:t>30112</w:t>
            </w:r>
          </w:p>
        </w:tc>
        <w:tc>
          <w:tcPr>
            <w:tcW w:w="4535" w:type="dxa"/>
            <w:vAlign w:val="center"/>
          </w:tcPr>
          <w:p w14:paraId="2A276B42">
            <w:pPr>
              <w:pStyle w:val="13"/>
            </w:pPr>
            <w:r>
              <w:t>其他社会保障缴费</w:t>
            </w:r>
          </w:p>
        </w:tc>
        <w:tc>
          <w:tcPr>
            <w:tcW w:w="2551" w:type="dxa"/>
            <w:vAlign w:val="center"/>
          </w:tcPr>
          <w:p w14:paraId="2F0CBABD">
            <w:pPr>
              <w:pStyle w:val="14"/>
            </w:pPr>
            <w:r>
              <w:t>5.17</w:t>
            </w:r>
          </w:p>
        </w:tc>
        <w:tc>
          <w:tcPr>
            <w:tcW w:w="2551" w:type="dxa"/>
            <w:vAlign w:val="center"/>
          </w:tcPr>
          <w:p w14:paraId="6B98AEB4">
            <w:pPr>
              <w:pStyle w:val="14"/>
            </w:pPr>
            <w:r>
              <w:t>5.17</w:t>
            </w:r>
          </w:p>
        </w:tc>
        <w:tc>
          <w:tcPr>
            <w:tcW w:w="2551" w:type="dxa"/>
            <w:vAlign w:val="center"/>
          </w:tcPr>
          <w:p w14:paraId="5BCE6971">
            <w:pPr>
              <w:pStyle w:val="14"/>
            </w:pPr>
          </w:p>
        </w:tc>
      </w:tr>
      <w:tr w14:paraId="109B1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B10FA">
            <w:pPr>
              <w:pStyle w:val="12"/>
            </w:pPr>
            <w:r>
              <w:t>9</w:t>
            </w:r>
          </w:p>
        </w:tc>
        <w:tc>
          <w:tcPr>
            <w:tcW w:w="1191" w:type="dxa"/>
            <w:vAlign w:val="center"/>
          </w:tcPr>
          <w:p w14:paraId="791CAD4D">
            <w:pPr>
              <w:pStyle w:val="13"/>
            </w:pPr>
            <w:r>
              <w:t>30113</w:t>
            </w:r>
          </w:p>
        </w:tc>
        <w:tc>
          <w:tcPr>
            <w:tcW w:w="4535" w:type="dxa"/>
            <w:vAlign w:val="center"/>
          </w:tcPr>
          <w:p w14:paraId="38DD589C">
            <w:pPr>
              <w:pStyle w:val="13"/>
            </w:pPr>
            <w:r>
              <w:t>住房公积金</w:t>
            </w:r>
          </w:p>
        </w:tc>
        <w:tc>
          <w:tcPr>
            <w:tcW w:w="2551" w:type="dxa"/>
            <w:vAlign w:val="center"/>
          </w:tcPr>
          <w:p w14:paraId="0E921008">
            <w:pPr>
              <w:pStyle w:val="14"/>
            </w:pPr>
            <w:r>
              <w:t>143.83</w:t>
            </w:r>
          </w:p>
        </w:tc>
        <w:tc>
          <w:tcPr>
            <w:tcW w:w="2551" w:type="dxa"/>
            <w:vAlign w:val="center"/>
          </w:tcPr>
          <w:p w14:paraId="0A1B328F">
            <w:pPr>
              <w:pStyle w:val="14"/>
            </w:pPr>
            <w:r>
              <w:t>143.83</w:t>
            </w:r>
          </w:p>
        </w:tc>
        <w:tc>
          <w:tcPr>
            <w:tcW w:w="2551" w:type="dxa"/>
            <w:vAlign w:val="center"/>
          </w:tcPr>
          <w:p w14:paraId="40413D5A">
            <w:pPr>
              <w:pStyle w:val="14"/>
            </w:pPr>
          </w:p>
        </w:tc>
      </w:tr>
      <w:tr w14:paraId="7FEC4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65EED">
            <w:pPr>
              <w:pStyle w:val="12"/>
            </w:pPr>
            <w:r>
              <w:t>10</w:t>
            </w:r>
          </w:p>
        </w:tc>
        <w:tc>
          <w:tcPr>
            <w:tcW w:w="1191" w:type="dxa"/>
            <w:vAlign w:val="center"/>
          </w:tcPr>
          <w:p w14:paraId="04F7446F">
            <w:pPr>
              <w:pStyle w:val="13"/>
            </w:pPr>
            <w:r>
              <w:t>303</w:t>
            </w:r>
          </w:p>
        </w:tc>
        <w:tc>
          <w:tcPr>
            <w:tcW w:w="4535" w:type="dxa"/>
            <w:vAlign w:val="center"/>
          </w:tcPr>
          <w:p w14:paraId="4EA5F1E7">
            <w:pPr>
              <w:pStyle w:val="13"/>
            </w:pPr>
            <w:r>
              <w:t>对个人和家庭的补助</w:t>
            </w:r>
          </w:p>
        </w:tc>
        <w:tc>
          <w:tcPr>
            <w:tcW w:w="2551" w:type="dxa"/>
            <w:vAlign w:val="center"/>
          </w:tcPr>
          <w:p w14:paraId="109D9468">
            <w:pPr>
              <w:pStyle w:val="14"/>
            </w:pPr>
            <w:r>
              <w:t>31.63</w:t>
            </w:r>
          </w:p>
        </w:tc>
        <w:tc>
          <w:tcPr>
            <w:tcW w:w="2551" w:type="dxa"/>
            <w:vAlign w:val="center"/>
          </w:tcPr>
          <w:p w14:paraId="1E54960E">
            <w:pPr>
              <w:pStyle w:val="14"/>
            </w:pPr>
            <w:r>
              <w:t>31.63</w:t>
            </w:r>
          </w:p>
        </w:tc>
        <w:tc>
          <w:tcPr>
            <w:tcW w:w="2551" w:type="dxa"/>
            <w:vAlign w:val="center"/>
          </w:tcPr>
          <w:p w14:paraId="2B92B0EF">
            <w:pPr>
              <w:pStyle w:val="14"/>
            </w:pPr>
          </w:p>
        </w:tc>
      </w:tr>
      <w:tr w14:paraId="41B61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DB691">
            <w:pPr>
              <w:pStyle w:val="12"/>
            </w:pPr>
            <w:r>
              <w:t>11</w:t>
            </w:r>
          </w:p>
        </w:tc>
        <w:tc>
          <w:tcPr>
            <w:tcW w:w="1191" w:type="dxa"/>
            <w:vAlign w:val="center"/>
          </w:tcPr>
          <w:p w14:paraId="0FFFE544">
            <w:pPr>
              <w:pStyle w:val="13"/>
            </w:pPr>
            <w:r>
              <w:t>30302</w:t>
            </w:r>
          </w:p>
        </w:tc>
        <w:tc>
          <w:tcPr>
            <w:tcW w:w="4535" w:type="dxa"/>
            <w:vAlign w:val="center"/>
          </w:tcPr>
          <w:p w14:paraId="5A48A80B">
            <w:pPr>
              <w:pStyle w:val="13"/>
            </w:pPr>
            <w:r>
              <w:t>退休费</w:t>
            </w:r>
          </w:p>
        </w:tc>
        <w:tc>
          <w:tcPr>
            <w:tcW w:w="2551" w:type="dxa"/>
            <w:vAlign w:val="center"/>
          </w:tcPr>
          <w:p w14:paraId="0DAC41E6">
            <w:pPr>
              <w:pStyle w:val="14"/>
            </w:pPr>
            <w:r>
              <w:t>30.19</w:t>
            </w:r>
          </w:p>
        </w:tc>
        <w:tc>
          <w:tcPr>
            <w:tcW w:w="2551" w:type="dxa"/>
            <w:vAlign w:val="center"/>
          </w:tcPr>
          <w:p w14:paraId="24A8820D">
            <w:pPr>
              <w:pStyle w:val="14"/>
            </w:pPr>
            <w:r>
              <w:t>30.19</w:t>
            </w:r>
          </w:p>
        </w:tc>
        <w:tc>
          <w:tcPr>
            <w:tcW w:w="2551" w:type="dxa"/>
            <w:vAlign w:val="center"/>
          </w:tcPr>
          <w:p w14:paraId="4C639314">
            <w:pPr>
              <w:pStyle w:val="14"/>
            </w:pPr>
          </w:p>
        </w:tc>
      </w:tr>
      <w:tr w14:paraId="7E42F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74210">
            <w:pPr>
              <w:pStyle w:val="12"/>
            </w:pPr>
            <w:r>
              <w:t>12</w:t>
            </w:r>
          </w:p>
        </w:tc>
        <w:tc>
          <w:tcPr>
            <w:tcW w:w="1191" w:type="dxa"/>
            <w:vAlign w:val="center"/>
          </w:tcPr>
          <w:p w14:paraId="4397AFBA">
            <w:pPr>
              <w:pStyle w:val="13"/>
            </w:pPr>
            <w:r>
              <w:t>30305</w:t>
            </w:r>
          </w:p>
        </w:tc>
        <w:tc>
          <w:tcPr>
            <w:tcW w:w="4535" w:type="dxa"/>
            <w:vAlign w:val="center"/>
          </w:tcPr>
          <w:p w14:paraId="74895B9F">
            <w:pPr>
              <w:pStyle w:val="13"/>
            </w:pPr>
            <w:r>
              <w:t>生活补助</w:t>
            </w:r>
          </w:p>
        </w:tc>
        <w:tc>
          <w:tcPr>
            <w:tcW w:w="2551" w:type="dxa"/>
            <w:vAlign w:val="center"/>
          </w:tcPr>
          <w:p w14:paraId="5BA65389">
            <w:pPr>
              <w:pStyle w:val="14"/>
            </w:pPr>
            <w:r>
              <w:t>1.44</w:t>
            </w:r>
          </w:p>
        </w:tc>
        <w:tc>
          <w:tcPr>
            <w:tcW w:w="2551" w:type="dxa"/>
            <w:vAlign w:val="center"/>
          </w:tcPr>
          <w:p w14:paraId="48DE68C4">
            <w:pPr>
              <w:pStyle w:val="14"/>
            </w:pPr>
            <w:r>
              <w:t>1.44</w:t>
            </w:r>
          </w:p>
        </w:tc>
        <w:tc>
          <w:tcPr>
            <w:tcW w:w="2551" w:type="dxa"/>
            <w:vAlign w:val="center"/>
          </w:tcPr>
          <w:p w14:paraId="7EE22F66">
            <w:pPr>
              <w:pStyle w:val="14"/>
            </w:pPr>
          </w:p>
        </w:tc>
      </w:tr>
    </w:tbl>
    <w:p w14:paraId="70E4D979">
      <w:pPr>
        <w:sectPr>
          <w:pgSz w:w="16840" w:h="11900" w:orient="landscape"/>
          <w:pgMar w:top="1361" w:right="1020" w:bottom="1134" w:left="1020" w:header="720" w:footer="720" w:gutter="0"/>
          <w:cols w:space="720" w:num="1"/>
        </w:sectPr>
      </w:pPr>
    </w:p>
    <w:p w14:paraId="423660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1F3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ACE9AA">
            <w:pPr>
              <w:pStyle w:val="8"/>
            </w:pPr>
            <w:r>
              <w:t>360010隆尧县固城中学</w:t>
            </w:r>
          </w:p>
        </w:tc>
        <w:tc>
          <w:tcPr>
            <w:tcW w:w="2551" w:type="dxa"/>
            <w:tcBorders>
              <w:top w:val="single" w:color="FFFFFF" w:sz="6" w:space="0"/>
              <w:left w:val="single" w:color="FFFFFF" w:sz="6" w:space="0"/>
              <w:right w:val="single" w:color="FFFFFF" w:sz="6" w:space="0"/>
            </w:tcBorders>
            <w:vAlign w:val="center"/>
          </w:tcPr>
          <w:p w14:paraId="5DB1721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A8117F8">
            <w:pPr>
              <w:pStyle w:val="10"/>
            </w:pPr>
            <w:r>
              <w:t>单位：万元</w:t>
            </w:r>
          </w:p>
        </w:tc>
      </w:tr>
      <w:tr w14:paraId="190FF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39F44B">
            <w:pPr>
              <w:pStyle w:val="11"/>
            </w:pPr>
            <w:r>
              <w:t>序号</w:t>
            </w:r>
          </w:p>
        </w:tc>
        <w:tc>
          <w:tcPr>
            <w:tcW w:w="5726" w:type="dxa"/>
            <w:gridSpan w:val="2"/>
            <w:vAlign w:val="center"/>
          </w:tcPr>
          <w:p w14:paraId="78886DC6">
            <w:pPr>
              <w:pStyle w:val="11"/>
            </w:pPr>
            <w:r>
              <w:t>功能分类科目</w:t>
            </w:r>
          </w:p>
        </w:tc>
        <w:tc>
          <w:tcPr>
            <w:tcW w:w="2551" w:type="dxa"/>
            <w:vMerge w:val="restart"/>
            <w:vAlign w:val="center"/>
          </w:tcPr>
          <w:p w14:paraId="420C19B5">
            <w:pPr>
              <w:pStyle w:val="11"/>
            </w:pPr>
            <w:r>
              <w:t>合计</w:t>
            </w:r>
          </w:p>
        </w:tc>
        <w:tc>
          <w:tcPr>
            <w:tcW w:w="2551" w:type="dxa"/>
            <w:vMerge w:val="restart"/>
            <w:vAlign w:val="center"/>
          </w:tcPr>
          <w:p w14:paraId="6249E0C9">
            <w:pPr>
              <w:pStyle w:val="11"/>
            </w:pPr>
            <w:r>
              <w:t>基本支出</w:t>
            </w:r>
          </w:p>
        </w:tc>
        <w:tc>
          <w:tcPr>
            <w:tcW w:w="2551" w:type="dxa"/>
            <w:vMerge w:val="restart"/>
            <w:vAlign w:val="center"/>
          </w:tcPr>
          <w:p w14:paraId="24AF3A75">
            <w:pPr>
              <w:pStyle w:val="11"/>
            </w:pPr>
            <w:r>
              <w:t>项目支出</w:t>
            </w:r>
          </w:p>
        </w:tc>
      </w:tr>
      <w:tr w14:paraId="0D124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F51A0B"/>
        </w:tc>
        <w:tc>
          <w:tcPr>
            <w:tcW w:w="1191" w:type="dxa"/>
            <w:vAlign w:val="center"/>
          </w:tcPr>
          <w:p w14:paraId="36315212">
            <w:pPr>
              <w:pStyle w:val="11"/>
            </w:pPr>
            <w:r>
              <w:t>科目编码</w:t>
            </w:r>
          </w:p>
        </w:tc>
        <w:tc>
          <w:tcPr>
            <w:tcW w:w="4535" w:type="dxa"/>
            <w:vAlign w:val="center"/>
          </w:tcPr>
          <w:p w14:paraId="7DA82A97">
            <w:pPr>
              <w:pStyle w:val="11"/>
            </w:pPr>
            <w:r>
              <w:t>科目名称</w:t>
            </w:r>
          </w:p>
        </w:tc>
        <w:tc>
          <w:tcPr>
            <w:tcW w:w="2551" w:type="dxa"/>
            <w:vMerge w:val="continue"/>
          </w:tcPr>
          <w:p w14:paraId="5323A92F"/>
        </w:tc>
        <w:tc>
          <w:tcPr>
            <w:tcW w:w="2551" w:type="dxa"/>
            <w:vMerge w:val="continue"/>
          </w:tcPr>
          <w:p w14:paraId="5505E2D7"/>
        </w:tc>
        <w:tc>
          <w:tcPr>
            <w:tcW w:w="2551" w:type="dxa"/>
            <w:vMerge w:val="continue"/>
          </w:tcPr>
          <w:p w14:paraId="261BCC43"/>
        </w:tc>
      </w:tr>
      <w:tr w14:paraId="1ADAF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50E40">
            <w:pPr>
              <w:pStyle w:val="11"/>
            </w:pPr>
            <w:r>
              <w:t>栏次</w:t>
            </w:r>
          </w:p>
        </w:tc>
        <w:tc>
          <w:tcPr>
            <w:tcW w:w="1191" w:type="dxa"/>
            <w:vAlign w:val="center"/>
          </w:tcPr>
          <w:p w14:paraId="2AFDA2CD">
            <w:pPr>
              <w:pStyle w:val="11"/>
            </w:pPr>
            <w:r>
              <w:t>1</w:t>
            </w:r>
          </w:p>
        </w:tc>
        <w:tc>
          <w:tcPr>
            <w:tcW w:w="4535" w:type="dxa"/>
            <w:vAlign w:val="center"/>
          </w:tcPr>
          <w:p w14:paraId="47FC72C0">
            <w:pPr>
              <w:pStyle w:val="11"/>
            </w:pPr>
            <w:r>
              <w:t>2</w:t>
            </w:r>
          </w:p>
        </w:tc>
        <w:tc>
          <w:tcPr>
            <w:tcW w:w="2551" w:type="dxa"/>
            <w:vAlign w:val="center"/>
          </w:tcPr>
          <w:p w14:paraId="0566FD41">
            <w:pPr>
              <w:pStyle w:val="11"/>
            </w:pPr>
            <w:r>
              <w:t>3</w:t>
            </w:r>
          </w:p>
        </w:tc>
        <w:tc>
          <w:tcPr>
            <w:tcW w:w="2551" w:type="dxa"/>
            <w:vAlign w:val="center"/>
          </w:tcPr>
          <w:p w14:paraId="20B867CE">
            <w:pPr>
              <w:pStyle w:val="11"/>
            </w:pPr>
            <w:r>
              <w:t>4</w:t>
            </w:r>
          </w:p>
        </w:tc>
        <w:tc>
          <w:tcPr>
            <w:tcW w:w="2551" w:type="dxa"/>
            <w:vAlign w:val="center"/>
          </w:tcPr>
          <w:p w14:paraId="73AF0B7B">
            <w:pPr>
              <w:pStyle w:val="11"/>
            </w:pPr>
            <w:r>
              <w:t>5</w:t>
            </w:r>
          </w:p>
        </w:tc>
      </w:tr>
      <w:tr w14:paraId="701CA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28CE4">
            <w:pPr>
              <w:pStyle w:val="12"/>
            </w:pPr>
          </w:p>
        </w:tc>
        <w:tc>
          <w:tcPr>
            <w:tcW w:w="1191" w:type="dxa"/>
            <w:vAlign w:val="center"/>
          </w:tcPr>
          <w:p w14:paraId="18F3B557">
            <w:pPr>
              <w:pStyle w:val="13"/>
            </w:pPr>
          </w:p>
        </w:tc>
        <w:tc>
          <w:tcPr>
            <w:tcW w:w="4535" w:type="dxa"/>
            <w:vAlign w:val="center"/>
          </w:tcPr>
          <w:p w14:paraId="329F0771">
            <w:pPr>
              <w:pStyle w:val="13"/>
            </w:pPr>
          </w:p>
        </w:tc>
        <w:tc>
          <w:tcPr>
            <w:tcW w:w="2551" w:type="dxa"/>
            <w:vAlign w:val="center"/>
          </w:tcPr>
          <w:p w14:paraId="424B6771">
            <w:pPr>
              <w:pStyle w:val="14"/>
            </w:pPr>
          </w:p>
        </w:tc>
        <w:tc>
          <w:tcPr>
            <w:tcW w:w="2551" w:type="dxa"/>
            <w:vAlign w:val="center"/>
          </w:tcPr>
          <w:p w14:paraId="00919A28">
            <w:pPr>
              <w:pStyle w:val="14"/>
            </w:pPr>
          </w:p>
        </w:tc>
        <w:tc>
          <w:tcPr>
            <w:tcW w:w="2551" w:type="dxa"/>
            <w:vAlign w:val="center"/>
          </w:tcPr>
          <w:p w14:paraId="1A4CD826">
            <w:pPr>
              <w:pStyle w:val="14"/>
            </w:pPr>
          </w:p>
        </w:tc>
      </w:tr>
    </w:tbl>
    <w:p w14:paraId="489DF7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E7AF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3D6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4F58D6">
            <w:pPr>
              <w:pStyle w:val="8"/>
            </w:pPr>
            <w:r>
              <w:t>360010隆尧县固城中学</w:t>
            </w:r>
          </w:p>
        </w:tc>
        <w:tc>
          <w:tcPr>
            <w:tcW w:w="2551" w:type="dxa"/>
            <w:tcBorders>
              <w:top w:val="single" w:color="FFFFFF" w:sz="6" w:space="0"/>
              <w:left w:val="single" w:color="FFFFFF" w:sz="6" w:space="0"/>
              <w:right w:val="single" w:color="FFFFFF" w:sz="6" w:space="0"/>
            </w:tcBorders>
            <w:vAlign w:val="center"/>
          </w:tcPr>
          <w:p w14:paraId="31EC6C4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9953B07">
            <w:pPr>
              <w:pStyle w:val="10"/>
            </w:pPr>
            <w:r>
              <w:t>单位：万元</w:t>
            </w:r>
          </w:p>
        </w:tc>
      </w:tr>
      <w:tr w14:paraId="5A617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13EB2B">
            <w:pPr>
              <w:pStyle w:val="11"/>
            </w:pPr>
            <w:r>
              <w:t>序号</w:t>
            </w:r>
          </w:p>
        </w:tc>
        <w:tc>
          <w:tcPr>
            <w:tcW w:w="5726" w:type="dxa"/>
            <w:gridSpan w:val="2"/>
            <w:vAlign w:val="center"/>
          </w:tcPr>
          <w:p w14:paraId="335FDEB9">
            <w:pPr>
              <w:pStyle w:val="11"/>
            </w:pPr>
            <w:r>
              <w:t>功能分类科目</w:t>
            </w:r>
          </w:p>
        </w:tc>
        <w:tc>
          <w:tcPr>
            <w:tcW w:w="2551" w:type="dxa"/>
            <w:vMerge w:val="restart"/>
            <w:vAlign w:val="center"/>
          </w:tcPr>
          <w:p w14:paraId="5FBD6C4A">
            <w:pPr>
              <w:pStyle w:val="11"/>
            </w:pPr>
            <w:r>
              <w:t>合计</w:t>
            </w:r>
          </w:p>
        </w:tc>
        <w:tc>
          <w:tcPr>
            <w:tcW w:w="2551" w:type="dxa"/>
            <w:vMerge w:val="restart"/>
            <w:vAlign w:val="center"/>
          </w:tcPr>
          <w:p w14:paraId="10AC0246">
            <w:pPr>
              <w:pStyle w:val="11"/>
            </w:pPr>
            <w:r>
              <w:t>基本支出</w:t>
            </w:r>
          </w:p>
        </w:tc>
        <w:tc>
          <w:tcPr>
            <w:tcW w:w="2551" w:type="dxa"/>
            <w:vMerge w:val="restart"/>
            <w:vAlign w:val="center"/>
          </w:tcPr>
          <w:p w14:paraId="69CEAE90">
            <w:pPr>
              <w:pStyle w:val="11"/>
            </w:pPr>
            <w:r>
              <w:t>项目支出</w:t>
            </w:r>
          </w:p>
        </w:tc>
      </w:tr>
      <w:tr w14:paraId="34533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220AE9"/>
        </w:tc>
        <w:tc>
          <w:tcPr>
            <w:tcW w:w="1191" w:type="dxa"/>
            <w:vAlign w:val="center"/>
          </w:tcPr>
          <w:p w14:paraId="16B682E5">
            <w:pPr>
              <w:pStyle w:val="11"/>
            </w:pPr>
            <w:r>
              <w:t>科目编码</w:t>
            </w:r>
          </w:p>
        </w:tc>
        <w:tc>
          <w:tcPr>
            <w:tcW w:w="4535" w:type="dxa"/>
            <w:vAlign w:val="center"/>
          </w:tcPr>
          <w:p w14:paraId="20DE21A4">
            <w:pPr>
              <w:pStyle w:val="11"/>
            </w:pPr>
            <w:r>
              <w:t>科目名称</w:t>
            </w:r>
          </w:p>
        </w:tc>
        <w:tc>
          <w:tcPr>
            <w:tcW w:w="2551" w:type="dxa"/>
            <w:vMerge w:val="continue"/>
          </w:tcPr>
          <w:p w14:paraId="7073508A"/>
        </w:tc>
        <w:tc>
          <w:tcPr>
            <w:tcW w:w="2551" w:type="dxa"/>
            <w:vMerge w:val="continue"/>
          </w:tcPr>
          <w:p w14:paraId="77C7F189"/>
        </w:tc>
        <w:tc>
          <w:tcPr>
            <w:tcW w:w="2551" w:type="dxa"/>
            <w:vMerge w:val="continue"/>
          </w:tcPr>
          <w:p w14:paraId="511FF22E"/>
        </w:tc>
      </w:tr>
      <w:tr w14:paraId="23B1D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F3BABA">
            <w:pPr>
              <w:pStyle w:val="11"/>
            </w:pPr>
            <w:r>
              <w:t>栏次</w:t>
            </w:r>
          </w:p>
        </w:tc>
        <w:tc>
          <w:tcPr>
            <w:tcW w:w="1191" w:type="dxa"/>
            <w:vAlign w:val="center"/>
          </w:tcPr>
          <w:p w14:paraId="21DBC159">
            <w:pPr>
              <w:pStyle w:val="11"/>
            </w:pPr>
            <w:r>
              <w:t>1</w:t>
            </w:r>
          </w:p>
        </w:tc>
        <w:tc>
          <w:tcPr>
            <w:tcW w:w="4535" w:type="dxa"/>
            <w:vAlign w:val="center"/>
          </w:tcPr>
          <w:p w14:paraId="40C34652">
            <w:pPr>
              <w:pStyle w:val="11"/>
            </w:pPr>
            <w:r>
              <w:t>2</w:t>
            </w:r>
          </w:p>
        </w:tc>
        <w:tc>
          <w:tcPr>
            <w:tcW w:w="2551" w:type="dxa"/>
            <w:vAlign w:val="center"/>
          </w:tcPr>
          <w:p w14:paraId="383963C0">
            <w:pPr>
              <w:pStyle w:val="11"/>
            </w:pPr>
            <w:r>
              <w:t>3</w:t>
            </w:r>
          </w:p>
        </w:tc>
        <w:tc>
          <w:tcPr>
            <w:tcW w:w="2551" w:type="dxa"/>
            <w:vAlign w:val="center"/>
          </w:tcPr>
          <w:p w14:paraId="68F6AAA0">
            <w:pPr>
              <w:pStyle w:val="11"/>
            </w:pPr>
            <w:r>
              <w:t>4</w:t>
            </w:r>
          </w:p>
        </w:tc>
        <w:tc>
          <w:tcPr>
            <w:tcW w:w="2551" w:type="dxa"/>
            <w:vAlign w:val="center"/>
          </w:tcPr>
          <w:p w14:paraId="7BB32946">
            <w:pPr>
              <w:pStyle w:val="11"/>
            </w:pPr>
            <w:r>
              <w:t>5</w:t>
            </w:r>
          </w:p>
        </w:tc>
      </w:tr>
      <w:tr w14:paraId="4B3EE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F6086">
            <w:pPr>
              <w:pStyle w:val="12"/>
            </w:pPr>
          </w:p>
        </w:tc>
        <w:tc>
          <w:tcPr>
            <w:tcW w:w="1191" w:type="dxa"/>
            <w:vAlign w:val="center"/>
          </w:tcPr>
          <w:p w14:paraId="3DB663A3">
            <w:pPr>
              <w:pStyle w:val="13"/>
            </w:pPr>
          </w:p>
        </w:tc>
        <w:tc>
          <w:tcPr>
            <w:tcW w:w="4535" w:type="dxa"/>
            <w:vAlign w:val="center"/>
          </w:tcPr>
          <w:p w14:paraId="0A00386F">
            <w:pPr>
              <w:pStyle w:val="13"/>
            </w:pPr>
          </w:p>
        </w:tc>
        <w:tc>
          <w:tcPr>
            <w:tcW w:w="2551" w:type="dxa"/>
            <w:vAlign w:val="center"/>
          </w:tcPr>
          <w:p w14:paraId="40FA4AD6">
            <w:pPr>
              <w:pStyle w:val="14"/>
            </w:pPr>
          </w:p>
        </w:tc>
        <w:tc>
          <w:tcPr>
            <w:tcW w:w="2551" w:type="dxa"/>
            <w:vAlign w:val="center"/>
          </w:tcPr>
          <w:p w14:paraId="65C35462">
            <w:pPr>
              <w:pStyle w:val="14"/>
            </w:pPr>
          </w:p>
        </w:tc>
        <w:tc>
          <w:tcPr>
            <w:tcW w:w="2551" w:type="dxa"/>
            <w:vAlign w:val="center"/>
          </w:tcPr>
          <w:p w14:paraId="4FFEB5E1">
            <w:pPr>
              <w:pStyle w:val="14"/>
            </w:pPr>
          </w:p>
        </w:tc>
      </w:tr>
    </w:tbl>
    <w:p w14:paraId="2C75F9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CC5C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0D0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D9CF47">
            <w:pPr>
              <w:pStyle w:val="8"/>
            </w:pPr>
            <w:r>
              <w:t>360010隆尧县固城中学</w:t>
            </w:r>
          </w:p>
        </w:tc>
        <w:tc>
          <w:tcPr>
            <w:tcW w:w="2381" w:type="dxa"/>
            <w:tcBorders>
              <w:top w:val="single" w:color="FFFFFF" w:sz="6" w:space="0"/>
              <w:left w:val="single" w:color="FFFFFF" w:sz="6" w:space="0"/>
              <w:right w:val="single" w:color="FFFFFF" w:sz="6" w:space="0"/>
            </w:tcBorders>
            <w:vAlign w:val="center"/>
          </w:tcPr>
          <w:p w14:paraId="4F44AF3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2D4FB9B">
            <w:pPr>
              <w:pStyle w:val="10"/>
            </w:pPr>
            <w:r>
              <w:t>单位：万元</w:t>
            </w:r>
          </w:p>
        </w:tc>
      </w:tr>
      <w:tr w14:paraId="4436B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CF9E0B">
            <w:pPr>
              <w:pStyle w:val="11"/>
            </w:pPr>
            <w:r>
              <w:t>序号</w:t>
            </w:r>
          </w:p>
        </w:tc>
        <w:tc>
          <w:tcPr>
            <w:tcW w:w="3798" w:type="dxa"/>
            <w:vMerge w:val="restart"/>
            <w:vAlign w:val="center"/>
          </w:tcPr>
          <w:p w14:paraId="3D1ADB10">
            <w:pPr>
              <w:pStyle w:val="11"/>
            </w:pPr>
            <w:r>
              <w:t>项  目</w:t>
            </w:r>
          </w:p>
        </w:tc>
        <w:tc>
          <w:tcPr>
            <w:tcW w:w="9524" w:type="dxa"/>
            <w:gridSpan w:val="4"/>
            <w:vAlign w:val="center"/>
          </w:tcPr>
          <w:p w14:paraId="42D5E707">
            <w:pPr>
              <w:pStyle w:val="11"/>
            </w:pPr>
            <w:r>
              <w:t>资 金 性 质</w:t>
            </w:r>
          </w:p>
        </w:tc>
      </w:tr>
      <w:tr w14:paraId="16647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BB1FE7"/>
        </w:tc>
        <w:tc>
          <w:tcPr>
            <w:tcW w:w="3798" w:type="dxa"/>
            <w:vMerge w:val="continue"/>
          </w:tcPr>
          <w:p w14:paraId="78563D31"/>
        </w:tc>
        <w:tc>
          <w:tcPr>
            <w:tcW w:w="2381" w:type="dxa"/>
            <w:vAlign w:val="center"/>
          </w:tcPr>
          <w:p w14:paraId="3AEB4DE1">
            <w:pPr>
              <w:pStyle w:val="11"/>
            </w:pPr>
            <w:r>
              <w:t>合计</w:t>
            </w:r>
          </w:p>
        </w:tc>
        <w:tc>
          <w:tcPr>
            <w:tcW w:w="2381" w:type="dxa"/>
            <w:vAlign w:val="center"/>
          </w:tcPr>
          <w:p w14:paraId="4E8CD001">
            <w:pPr>
              <w:pStyle w:val="11"/>
            </w:pPr>
            <w:r>
              <w:t>一般公共预算              财政拨款</w:t>
            </w:r>
          </w:p>
        </w:tc>
        <w:tc>
          <w:tcPr>
            <w:tcW w:w="2381" w:type="dxa"/>
            <w:vAlign w:val="center"/>
          </w:tcPr>
          <w:p w14:paraId="360B3D0A">
            <w:pPr>
              <w:pStyle w:val="11"/>
            </w:pPr>
            <w:r>
              <w:t>政府性基金                  预算拨款</w:t>
            </w:r>
          </w:p>
        </w:tc>
        <w:tc>
          <w:tcPr>
            <w:tcW w:w="2381" w:type="dxa"/>
            <w:vAlign w:val="center"/>
          </w:tcPr>
          <w:p w14:paraId="15B61802">
            <w:pPr>
              <w:pStyle w:val="11"/>
            </w:pPr>
            <w:r>
              <w:t>国有资本经营              预算财政拨款</w:t>
            </w:r>
          </w:p>
        </w:tc>
      </w:tr>
      <w:tr w14:paraId="28054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57CBFF">
            <w:pPr>
              <w:pStyle w:val="11"/>
            </w:pPr>
            <w:r>
              <w:t>栏次</w:t>
            </w:r>
          </w:p>
        </w:tc>
        <w:tc>
          <w:tcPr>
            <w:tcW w:w="3798" w:type="dxa"/>
            <w:vAlign w:val="center"/>
          </w:tcPr>
          <w:p w14:paraId="69B50BF3">
            <w:pPr>
              <w:pStyle w:val="11"/>
            </w:pPr>
            <w:r>
              <w:t>1</w:t>
            </w:r>
          </w:p>
        </w:tc>
        <w:tc>
          <w:tcPr>
            <w:tcW w:w="2381" w:type="dxa"/>
            <w:vAlign w:val="center"/>
          </w:tcPr>
          <w:p w14:paraId="566BA571">
            <w:pPr>
              <w:pStyle w:val="11"/>
            </w:pPr>
            <w:r>
              <w:t>2</w:t>
            </w:r>
          </w:p>
        </w:tc>
        <w:tc>
          <w:tcPr>
            <w:tcW w:w="2381" w:type="dxa"/>
            <w:vAlign w:val="center"/>
          </w:tcPr>
          <w:p w14:paraId="37099002">
            <w:pPr>
              <w:pStyle w:val="11"/>
            </w:pPr>
            <w:r>
              <w:t>3</w:t>
            </w:r>
          </w:p>
        </w:tc>
        <w:tc>
          <w:tcPr>
            <w:tcW w:w="2381" w:type="dxa"/>
            <w:vAlign w:val="center"/>
          </w:tcPr>
          <w:p w14:paraId="5CD3CD5B">
            <w:pPr>
              <w:pStyle w:val="11"/>
            </w:pPr>
            <w:r>
              <w:t>4</w:t>
            </w:r>
          </w:p>
        </w:tc>
        <w:tc>
          <w:tcPr>
            <w:tcW w:w="2381" w:type="dxa"/>
            <w:vAlign w:val="center"/>
          </w:tcPr>
          <w:p w14:paraId="79404AB8">
            <w:pPr>
              <w:pStyle w:val="11"/>
            </w:pPr>
            <w:r>
              <w:t>5</w:t>
            </w:r>
          </w:p>
        </w:tc>
      </w:tr>
      <w:tr w14:paraId="34EC0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6CBC4B">
            <w:pPr>
              <w:pStyle w:val="12"/>
            </w:pPr>
          </w:p>
        </w:tc>
        <w:tc>
          <w:tcPr>
            <w:tcW w:w="3798" w:type="dxa"/>
            <w:vAlign w:val="center"/>
          </w:tcPr>
          <w:p w14:paraId="448F856E">
            <w:pPr>
              <w:pStyle w:val="13"/>
            </w:pPr>
          </w:p>
        </w:tc>
        <w:tc>
          <w:tcPr>
            <w:tcW w:w="2381" w:type="dxa"/>
            <w:vAlign w:val="center"/>
          </w:tcPr>
          <w:p w14:paraId="5F406294">
            <w:pPr>
              <w:pStyle w:val="14"/>
            </w:pPr>
          </w:p>
        </w:tc>
        <w:tc>
          <w:tcPr>
            <w:tcW w:w="2381" w:type="dxa"/>
            <w:vAlign w:val="center"/>
          </w:tcPr>
          <w:p w14:paraId="77DA3915">
            <w:pPr>
              <w:pStyle w:val="14"/>
            </w:pPr>
          </w:p>
        </w:tc>
        <w:tc>
          <w:tcPr>
            <w:tcW w:w="2381" w:type="dxa"/>
            <w:vAlign w:val="center"/>
          </w:tcPr>
          <w:p w14:paraId="3A6F67FF">
            <w:pPr>
              <w:pStyle w:val="14"/>
            </w:pPr>
          </w:p>
        </w:tc>
        <w:tc>
          <w:tcPr>
            <w:tcW w:w="2381" w:type="dxa"/>
            <w:vAlign w:val="center"/>
          </w:tcPr>
          <w:p w14:paraId="4E8B2FC3">
            <w:pPr>
              <w:pStyle w:val="14"/>
            </w:pPr>
          </w:p>
        </w:tc>
      </w:tr>
    </w:tbl>
    <w:p w14:paraId="5D23271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1C4B3BD">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隆尧县固城中学2025年单位预算信息公开情况说明</w:t>
      </w:r>
    </w:p>
    <w:p w14:paraId="0138DF9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按照《中华人民共和国预算法》、《地方预决算公开操作规程》和《关于进一步推进预算公开工作的实施意见》规定，现将隆尧县固城中学2025年单位预算公开如下：</w:t>
      </w:r>
    </w:p>
    <w:p w14:paraId="6D6D9AC2">
      <w:pPr>
        <w:spacing w:before="10" w:after="10" w:line="240" w:lineRule="auto"/>
        <w:ind w:firstLine="640"/>
        <w:jc w:val="left"/>
        <w:outlineLvl w:val="5"/>
      </w:pPr>
      <w:r>
        <w:rPr>
          <w:rFonts w:ascii="黑体" w:hAnsi="黑体" w:eastAsia="黑体" w:cs="黑体"/>
          <w:color w:val="000000"/>
          <w:sz w:val="32"/>
        </w:rPr>
        <w:t>一、单位职责及机构设置情况</w:t>
      </w:r>
    </w:p>
    <w:p w14:paraId="74D347A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BD4DE2B">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06158139">
      <w:pPr>
        <w:pStyle w:val="18"/>
      </w:pPr>
      <w:r>
        <w:t>隆尧县固中学事业编制146名．其中，校长1名（正股级），副校长3名（副股级）；经费形式为财政性资金基本保证。</w:t>
      </w:r>
    </w:p>
    <w:p w14:paraId="334DF49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91F42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4B37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CE8E16">
            <w:pPr>
              <w:pStyle w:val="11"/>
            </w:pPr>
            <w:r>
              <w:t>单位名称</w:t>
            </w:r>
          </w:p>
        </w:tc>
        <w:tc>
          <w:tcPr>
            <w:tcW w:w="1843" w:type="dxa"/>
            <w:vAlign w:val="center"/>
          </w:tcPr>
          <w:p w14:paraId="505E6231">
            <w:pPr>
              <w:pStyle w:val="11"/>
            </w:pPr>
            <w:r>
              <w:t>单位性质</w:t>
            </w:r>
          </w:p>
        </w:tc>
        <w:tc>
          <w:tcPr>
            <w:tcW w:w="2126" w:type="dxa"/>
            <w:vAlign w:val="center"/>
          </w:tcPr>
          <w:p w14:paraId="23587C07">
            <w:pPr>
              <w:pStyle w:val="11"/>
            </w:pPr>
            <w:r>
              <w:t>单位规格</w:t>
            </w:r>
          </w:p>
        </w:tc>
        <w:tc>
          <w:tcPr>
            <w:tcW w:w="3827" w:type="dxa"/>
            <w:vAlign w:val="center"/>
          </w:tcPr>
          <w:p w14:paraId="06F7E27E">
            <w:pPr>
              <w:pStyle w:val="11"/>
            </w:pPr>
            <w:r>
              <w:t>经费保障形式</w:t>
            </w:r>
          </w:p>
        </w:tc>
      </w:tr>
      <w:tr w14:paraId="3CB08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6BED8E8">
            <w:pPr>
              <w:pStyle w:val="13"/>
            </w:pPr>
            <w:r>
              <w:t>隆尧县固城中学</w:t>
            </w:r>
          </w:p>
        </w:tc>
        <w:tc>
          <w:tcPr>
            <w:tcW w:w="1843" w:type="dxa"/>
            <w:vAlign w:val="center"/>
          </w:tcPr>
          <w:p w14:paraId="768D216D">
            <w:pPr>
              <w:pStyle w:val="12"/>
            </w:pPr>
            <w:r>
              <w:t>事业</w:t>
            </w:r>
          </w:p>
        </w:tc>
        <w:tc>
          <w:tcPr>
            <w:tcW w:w="2126" w:type="dxa"/>
            <w:vAlign w:val="center"/>
          </w:tcPr>
          <w:p w14:paraId="0D8CB052">
            <w:pPr>
              <w:pStyle w:val="12"/>
            </w:pPr>
            <w:r>
              <w:t>股级</w:t>
            </w:r>
          </w:p>
        </w:tc>
        <w:tc>
          <w:tcPr>
            <w:tcW w:w="3827" w:type="dxa"/>
            <w:vAlign w:val="center"/>
          </w:tcPr>
          <w:p w14:paraId="38B8F6AF">
            <w:pPr>
              <w:pStyle w:val="12"/>
            </w:pPr>
            <w:r>
              <w:t>财政性资金基本保证</w:t>
            </w:r>
          </w:p>
        </w:tc>
      </w:tr>
    </w:tbl>
    <w:p w14:paraId="066ED071">
      <w:pPr>
        <w:spacing w:before="10" w:after="10" w:line="240" w:lineRule="auto"/>
        <w:ind w:firstLine="640"/>
        <w:jc w:val="left"/>
        <w:outlineLvl w:val="5"/>
      </w:pPr>
      <w:r>
        <w:rPr>
          <w:rFonts w:ascii="黑体" w:hAnsi="黑体" w:eastAsia="黑体" w:cs="黑体"/>
          <w:color w:val="000000"/>
          <w:sz w:val="32"/>
        </w:rPr>
        <w:t>二、单位预算安排的总体情况</w:t>
      </w:r>
    </w:p>
    <w:p w14:paraId="72A8C480">
      <w:pPr>
        <w:pStyle w:val="19"/>
      </w:pPr>
      <w:r>
        <w:t>按照预算管理有关规定，目前我校单位预算的编制实行综合预算管理，即全部收入和支出都反映的预算中。隆尧县固城中学的收支包含在单位预算中。</w:t>
      </w:r>
    </w:p>
    <w:p w14:paraId="6AE034D8">
      <w:pPr>
        <w:pStyle w:val="19"/>
      </w:pPr>
      <w:r>
        <w:t>1、收入说明</w:t>
      </w:r>
    </w:p>
    <w:p w14:paraId="7C40635C">
      <w:pPr>
        <w:pStyle w:val="19"/>
      </w:pPr>
      <w:r>
        <w:t>反映本单位当年全部收入。2025年预算收入2261.13万元，其中：一般公共预算收入2261.13万元，基金预算收入0元，财政专户管理资金收入0元，单位资金收入0元，上年结转结余0万元。</w:t>
      </w:r>
    </w:p>
    <w:p w14:paraId="0E559C26">
      <w:pPr>
        <w:pStyle w:val="19"/>
      </w:pPr>
      <w:r>
        <w:t>2、支出说明</w:t>
      </w:r>
    </w:p>
    <w:p w14:paraId="097A3B88">
      <w:pPr>
        <w:pStyle w:val="19"/>
      </w:pPr>
      <w:r>
        <w:t>收支预算总表支出栏、基本支出表、项目支出表按经济分类和支出功能分类科目编制，反映隆尧县固城中学年度单位预算中支出预算的总体情况。2025年单位支出预算为2261.13万元，其中基本支出1977.98万元、项目支出283.14万元。主要为初中教育2261.13万元</w:t>
      </w:r>
    </w:p>
    <w:p w14:paraId="021BDB7A">
      <w:pPr>
        <w:pStyle w:val="19"/>
      </w:pPr>
      <w:r>
        <w:t>3、比上年增减情况</w:t>
      </w:r>
    </w:p>
    <w:p w14:paraId="7EF65EBC">
      <w:pPr>
        <w:pStyle w:val="19"/>
      </w:pPr>
      <w:r>
        <w:t>2025年单位预算收支安排2261.13万元，较2024年预算增加209.14万元。其中基本支出增加208.79万元，项目支出减少4.58万元。</w:t>
      </w:r>
    </w:p>
    <w:p w14:paraId="1F226951">
      <w:pPr>
        <w:spacing w:before="10" w:after="10" w:line="240" w:lineRule="auto"/>
        <w:ind w:firstLine="640"/>
        <w:jc w:val="left"/>
        <w:outlineLvl w:val="5"/>
      </w:pPr>
      <w:r>
        <w:rPr>
          <w:rFonts w:ascii="黑体" w:hAnsi="黑体" w:eastAsia="黑体" w:cs="黑体"/>
          <w:color w:val="000000"/>
          <w:sz w:val="32"/>
        </w:rPr>
        <w:t>三、机关运行经费安排情况</w:t>
      </w:r>
    </w:p>
    <w:p w14:paraId="3F7ABE57">
      <w:pPr>
        <w:pStyle w:val="20"/>
      </w:pPr>
      <w:r>
        <w:t>2025年，我单位按学生安排公用经费，无机关运行经费。</w:t>
      </w:r>
    </w:p>
    <w:p w14:paraId="64817E9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9715733">
      <w:pPr>
        <w:pStyle w:val="21"/>
      </w:pPr>
      <w:r>
        <w:t>2025年，我单位财政拨款“三公”经费预算安排0万元，其中因公出国（境）费0万元；公务用车购置及运维费0万元（其中：公务用车购置费为0万元，公务用车运行维护费0万元)；公务接待费0万元。与2024年相比无变化。</w:t>
      </w:r>
    </w:p>
    <w:p w14:paraId="5D8F721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C73FBD0">
      <w:pPr>
        <w:spacing w:before="0" w:after="0"/>
        <w:ind w:firstLine="560"/>
        <w:jc w:val="left"/>
        <w:outlineLvl w:val="9"/>
      </w:pPr>
      <w:r>
        <w:rPr>
          <w:rFonts w:ascii="方正仿宋_GBK" w:hAnsi="方正仿宋_GBK" w:eastAsia="方正仿宋_GBK" w:cs="方正仿宋_GBK"/>
          <w:b/>
          <w:color w:val="000000"/>
          <w:sz w:val="28"/>
        </w:rPr>
        <w:t>1、冀财教[2024]123号/中央/2025年义教补助经费/固城中学公用经费绩效目标表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2D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AE034">
            <w:pPr>
              <w:pStyle w:val="14"/>
            </w:pPr>
            <w:r>
              <w:t>单位：万元</w:t>
            </w:r>
          </w:p>
        </w:tc>
      </w:tr>
      <w:tr w14:paraId="12112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45076">
            <w:pPr>
              <w:pStyle w:val="11"/>
            </w:pPr>
            <w:r>
              <w:t>项目编码</w:t>
            </w:r>
          </w:p>
        </w:tc>
        <w:tc>
          <w:tcPr>
            <w:tcW w:w="5103" w:type="dxa"/>
            <w:gridSpan w:val="2"/>
            <w:vAlign w:val="center"/>
          </w:tcPr>
          <w:p w14:paraId="32FD255C">
            <w:pPr>
              <w:pStyle w:val="13"/>
            </w:pPr>
            <w:r>
              <w:t>13052525P00000410047Q</w:t>
            </w:r>
          </w:p>
        </w:tc>
        <w:tc>
          <w:tcPr>
            <w:tcW w:w="2835" w:type="dxa"/>
            <w:vAlign w:val="center"/>
          </w:tcPr>
          <w:p w14:paraId="7FAEC2CD">
            <w:pPr>
              <w:pStyle w:val="11"/>
            </w:pPr>
            <w:r>
              <w:t>项目名称</w:t>
            </w:r>
          </w:p>
        </w:tc>
        <w:tc>
          <w:tcPr>
            <w:tcW w:w="6095" w:type="dxa"/>
            <w:gridSpan w:val="3"/>
            <w:vAlign w:val="center"/>
          </w:tcPr>
          <w:p w14:paraId="4FAD5A0F">
            <w:pPr>
              <w:pStyle w:val="13"/>
            </w:pPr>
            <w:r>
              <w:t>冀财教[2024]123号/中央/2025年义教补助经费/固城中学公用经费</w:t>
            </w:r>
          </w:p>
        </w:tc>
      </w:tr>
      <w:tr w14:paraId="4573F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D58E9">
            <w:pPr>
              <w:pStyle w:val="11"/>
            </w:pPr>
            <w:r>
              <w:t>预算规模及资金用途</w:t>
            </w:r>
          </w:p>
        </w:tc>
        <w:tc>
          <w:tcPr>
            <w:tcW w:w="2268" w:type="dxa"/>
            <w:vAlign w:val="center"/>
          </w:tcPr>
          <w:p w14:paraId="0D643BC9">
            <w:pPr>
              <w:pStyle w:val="11"/>
            </w:pPr>
            <w:r>
              <w:t>预算数</w:t>
            </w:r>
          </w:p>
        </w:tc>
        <w:tc>
          <w:tcPr>
            <w:tcW w:w="2835" w:type="dxa"/>
            <w:vAlign w:val="center"/>
          </w:tcPr>
          <w:p w14:paraId="18BC171A">
            <w:pPr>
              <w:pStyle w:val="13"/>
            </w:pPr>
            <w:r>
              <w:t>153.97</w:t>
            </w:r>
          </w:p>
        </w:tc>
        <w:tc>
          <w:tcPr>
            <w:tcW w:w="2835" w:type="dxa"/>
            <w:vAlign w:val="center"/>
          </w:tcPr>
          <w:p w14:paraId="45EAFEE9">
            <w:pPr>
              <w:pStyle w:val="11"/>
            </w:pPr>
            <w:r>
              <w:t>其中：财政    资金</w:t>
            </w:r>
          </w:p>
        </w:tc>
        <w:tc>
          <w:tcPr>
            <w:tcW w:w="2551" w:type="dxa"/>
            <w:vAlign w:val="center"/>
          </w:tcPr>
          <w:p w14:paraId="286F19CB">
            <w:pPr>
              <w:pStyle w:val="13"/>
            </w:pPr>
            <w:r>
              <w:t>153.97</w:t>
            </w:r>
          </w:p>
        </w:tc>
        <w:tc>
          <w:tcPr>
            <w:tcW w:w="2268" w:type="dxa"/>
            <w:vAlign w:val="center"/>
          </w:tcPr>
          <w:p w14:paraId="409B113B">
            <w:pPr>
              <w:pStyle w:val="11"/>
            </w:pPr>
            <w:r>
              <w:t>其他资金</w:t>
            </w:r>
          </w:p>
        </w:tc>
        <w:tc>
          <w:tcPr>
            <w:tcW w:w="1276" w:type="dxa"/>
            <w:vAlign w:val="center"/>
          </w:tcPr>
          <w:p w14:paraId="74637F16">
            <w:pPr>
              <w:pStyle w:val="13"/>
            </w:pPr>
            <w:r>
              <w:t xml:space="preserve"> </w:t>
            </w:r>
          </w:p>
        </w:tc>
      </w:tr>
      <w:tr w14:paraId="712EA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0575FD"/>
        </w:tc>
        <w:tc>
          <w:tcPr>
            <w:tcW w:w="14033" w:type="dxa"/>
            <w:gridSpan w:val="6"/>
            <w:vAlign w:val="center"/>
          </w:tcPr>
          <w:p w14:paraId="23EC2F79">
            <w:pPr>
              <w:pStyle w:val="13"/>
            </w:pPr>
            <w:r>
              <w:t>用于有效完成学校教学安全秩序，保障学校教学任务有效开展，满足学校正常教学需要。</w:t>
            </w:r>
          </w:p>
        </w:tc>
      </w:tr>
      <w:tr w14:paraId="3CAA7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1FC1C">
            <w:pPr>
              <w:pStyle w:val="11"/>
            </w:pPr>
            <w:r>
              <w:t>资金支出计划（%）</w:t>
            </w:r>
          </w:p>
        </w:tc>
        <w:tc>
          <w:tcPr>
            <w:tcW w:w="5103" w:type="dxa"/>
            <w:gridSpan w:val="2"/>
            <w:vAlign w:val="center"/>
          </w:tcPr>
          <w:p w14:paraId="370ADF53">
            <w:pPr>
              <w:pStyle w:val="11"/>
            </w:pPr>
            <w:r>
              <w:t>3月底</w:t>
            </w:r>
          </w:p>
        </w:tc>
        <w:tc>
          <w:tcPr>
            <w:tcW w:w="2835" w:type="dxa"/>
            <w:vAlign w:val="center"/>
          </w:tcPr>
          <w:p w14:paraId="21E96CAA">
            <w:pPr>
              <w:pStyle w:val="11"/>
            </w:pPr>
            <w:r>
              <w:t>6月底</w:t>
            </w:r>
          </w:p>
        </w:tc>
        <w:tc>
          <w:tcPr>
            <w:tcW w:w="2551" w:type="dxa"/>
            <w:vAlign w:val="center"/>
          </w:tcPr>
          <w:p w14:paraId="7FFE6435">
            <w:pPr>
              <w:pStyle w:val="11"/>
            </w:pPr>
            <w:r>
              <w:t>10月底</w:t>
            </w:r>
          </w:p>
        </w:tc>
        <w:tc>
          <w:tcPr>
            <w:tcW w:w="3544" w:type="dxa"/>
            <w:gridSpan w:val="2"/>
            <w:vAlign w:val="center"/>
          </w:tcPr>
          <w:p w14:paraId="3FE27991">
            <w:pPr>
              <w:pStyle w:val="11"/>
            </w:pPr>
            <w:r>
              <w:t>12月底</w:t>
            </w:r>
          </w:p>
        </w:tc>
      </w:tr>
      <w:tr w14:paraId="6996B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9F706A"/>
        </w:tc>
        <w:tc>
          <w:tcPr>
            <w:tcW w:w="5103" w:type="dxa"/>
            <w:gridSpan w:val="2"/>
            <w:vAlign w:val="center"/>
          </w:tcPr>
          <w:p w14:paraId="05C15811">
            <w:pPr>
              <w:pStyle w:val="12"/>
            </w:pPr>
            <w:r>
              <w:t>25%</w:t>
            </w:r>
          </w:p>
        </w:tc>
        <w:tc>
          <w:tcPr>
            <w:tcW w:w="2835" w:type="dxa"/>
            <w:vAlign w:val="center"/>
          </w:tcPr>
          <w:p w14:paraId="158707BC">
            <w:pPr>
              <w:pStyle w:val="12"/>
            </w:pPr>
            <w:r>
              <w:t>50%</w:t>
            </w:r>
          </w:p>
        </w:tc>
        <w:tc>
          <w:tcPr>
            <w:tcW w:w="2551" w:type="dxa"/>
            <w:vAlign w:val="center"/>
          </w:tcPr>
          <w:p w14:paraId="07842D8A">
            <w:pPr>
              <w:pStyle w:val="12"/>
            </w:pPr>
            <w:r>
              <w:t>75%</w:t>
            </w:r>
          </w:p>
        </w:tc>
        <w:tc>
          <w:tcPr>
            <w:tcW w:w="3544" w:type="dxa"/>
            <w:gridSpan w:val="2"/>
            <w:vAlign w:val="center"/>
          </w:tcPr>
          <w:p w14:paraId="355F1AD3">
            <w:pPr>
              <w:pStyle w:val="12"/>
            </w:pPr>
            <w:r>
              <w:t>100%</w:t>
            </w:r>
          </w:p>
        </w:tc>
      </w:tr>
      <w:tr w14:paraId="26315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A3D83">
            <w:pPr>
              <w:pStyle w:val="11"/>
            </w:pPr>
            <w:r>
              <w:t>绩效目标</w:t>
            </w:r>
          </w:p>
        </w:tc>
        <w:tc>
          <w:tcPr>
            <w:tcW w:w="14033" w:type="dxa"/>
            <w:gridSpan w:val="6"/>
            <w:vAlign w:val="center"/>
          </w:tcPr>
          <w:p w14:paraId="2D7B9C89">
            <w:pPr>
              <w:pStyle w:val="13"/>
            </w:pPr>
            <w:r>
              <w:t>1.按规定拨付公用经费资金，预算执行率≥98%。</w:t>
            </w:r>
          </w:p>
          <w:p w14:paraId="16969501">
            <w:pPr>
              <w:pStyle w:val="13"/>
            </w:pPr>
            <w:r>
              <w:t>2.有效完成学校教学安全秩序，保障学校教学任务有效开展，满足学校正常教学需要。</w:t>
            </w:r>
          </w:p>
        </w:tc>
      </w:tr>
    </w:tbl>
    <w:p w14:paraId="346942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87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508E3">
            <w:pPr>
              <w:pStyle w:val="11"/>
            </w:pPr>
            <w:r>
              <w:t>一级指标</w:t>
            </w:r>
          </w:p>
        </w:tc>
        <w:tc>
          <w:tcPr>
            <w:tcW w:w="2268" w:type="dxa"/>
            <w:vAlign w:val="center"/>
          </w:tcPr>
          <w:p w14:paraId="661523D8">
            <w:pPr>
              <w:pStyle w:val="11"/>
            </w:pPr>
            <w:r>
              <w:t>二级指标</w:t>
            </w:r>
          </w:p>
        </w:tc>
        <w:tc>
          <w:tcPr>
            <w:tcW w:w="2835" w:type="dxa"/>
            <w:vAlign w:val="center"/>
          </w:tcPr>
          <w:p w14:paraId="40C0ADC0">
            <w:pPr>
              <w:pStyle w:val="11"/>
            </w:pPr>
            <w:r>
              <w:t>三级指标</w:t>
            </w:r>
          </w:p>
        </w:tc>
        <w:tc>
          <w:tcPr>
            <w:tcW w:w="5386" w:type="dxa"/>
            <w:vAlign w:val="center"/>
          </w:tcPr>
          <w:p w14:paraId="4B2CF900">
            <w:pPr>
              <w:pStyle w:val="11"/>
            </w:pPr>
            <w:r>
              <w:t>绩效指标描述</w:t>
            </w:r>
          </w:p>
        </w:tc>
        <w:tc>
          <w:tcPr>
            <w:tcW w:w="2268" w:type="dxa"/>
            <w:vAlign w:val="center"/>
          </w:tcPr>
          <w:p w14:paraId="536C0AE7">
            <w:pPr>
              <w:pStyle w:val="11"/>
            </w:pPr>
            <w:r>
              <w:t>指标值</w:t>
            </w:r>
          </w:p>
        </w:tc>
        <w:tc>
          <w:tcPr>
            <w:tcW w:w="1276" w:type="dxa"/>
            <w:vAlign w:val="center"/>
          </w:tcPr>
          <w:p w14:paraId="1312D435">
            <w:pPr>
              <w:pStyle w:val="11"/>
            </w:pPr>
            <w:r>
              <w:t>指标值确定依据</w:t>
            </w:r>
          </w:p>
        </w:tc>
      </w:tr>
      <w:tr w14:paraId="1E190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FEB4D">
            <w:pPr>
              <w:pStyle w:val="12"/>
            </w:pPr>
            <w:r>
              <w:t>产出指标</w:t>
            </w:r>
          </w:p>
        </w:tc>
        <w:tc>
          <w:tcPr>
            <w:tcW w:w="2268" w:type="dxa"/>
            <w:vAlign w:val="center"/>
          </w:tcPr>
          <w:p w14:paraId="5D091E51">
            <w:pPr>
              <w:pStyle w:val="13"/>
            </w:pPr>
            <w:r>
              <w:t>数量指标</w:t>
            </w:r>
          </w:p>
        </w:tc>
        <w:tc>
          <w:tcPr>
            <w:tcW w:w="2835" w:type="dxa"/>
            <w:vAlign w:val="center"/>
          </w:tcPr>
          <w:p w14:paraId="61D6D373">
            <w:pPr>
              <w:pStyle w:val="13"/>
            </w:pPr>
            <w:r>
              <w:t>就读学生数</w:t>
            </w:r>
          </w:p>
        </w:tc>
        <w:tc>
          <w:tcPr>
            <w:tcW w:w="5386" w:type="dxa"/>
            <w:vAlign w:val="center"/>
          </w:tcPr>
          <w:p w14:paraId="543AE06F">
            <w:pPr>
              <w:pStyle w:val="13"/>
            </w:pPr>
            <w:r>
              <w:t>辐射区域内适龄学生人数</w:t>
            </w:r>
          </w:p>
        </w:tc>
        <w:tc>
          <w:tcPr>
            <w:tcW w:w="2268" w:type="dxa"/>
            <w:vAlign w:val="center"/>
          </w:tcPr>
          <w:p w14:paraId="3997FE4D">
            <w:pPr>
              <w:pStyle w:val="13"/>
            </w:pPr>
            <w:r>
              <w:t>1652人</w:t>
            </w:r>
          </w:p>
        </w:tc>
        <w:tc>
          <w:tcPr>
            <w:tcW w:w="1276" w:type="dxa"/>
            <w:vAlign w:val="center"/>
          </w:tcPr>
          <w:p w14:paraId="22EB3835">
            <w:pPr>
              <w:pStyle w:val="13"/>
            </w:pPr>
            <w:r>
              <w:t>城乡义务教育公用经费管理办法</w:t>
            </w:r>
          </w:p>
        </w:tc>
      </w:tr>
      <w:tr w14:paraId="7C4DF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661D2"/>
        </w:tc>
        <w:tc>
          <w:tcPr>
            <w:tcW w:w="2268" w:type="dxa"/>
            <w:vAlign w:val="center"/>
          </w:tcPr>
          <w:p w14:paraId="44F0AE9C">
            <w:pPr>
              <w:pStyle w:val="13"/>
            </w:pPr>
            <w:r>
              <w:t>质量指标</w:t>
            </w:r>
          </w:p>
        </w:tc>
        <w:tc>
          <w:tcPr>
            <w:tcW w:w="2835" w:type="dxa"/>
            <w:vAlign w:val="center"/>
          </w:tcPr>
          <w:p w14:paraId="6827DF37">
            <w:pPr>
              <w:pStyle w:val="13"/>
            </w:pPr>
            <w:r>
              <w:t>预算执行率</w:t>
            </w:r>
          </w:p>
        </w:tc>
        <w:tc>
          <w:tcPr>
            <w:tcW w:w="5386" w:type="dxa"/>
            <w:vAlign w:val="center"/>
          </w:tcPr>
          <w:p w14:paraId="649AF815">
            <w:pPr>
              <w:pStyle w:val="13"/>
            </w:pPr>
            <w:r>
              <w:t>预算执行率</w:t>
            </w:r>
          </w:p>
        </w:tc>
        <w:tc>
          <w:tcPr>
            <w:tcW w:w="2268" w:type="dxa"/>
            <w:vAlign w:val="center"/>
          </w:tcPr>
          <w:p w14:paraId="1668D8E4">
            <w:pPr>
              <w:pStyle w:val="13"/>
            </w:pPr>
            <w:r>
              <w:t>≥98%</w:t>
            </w:r>
          </w:p>
        </w:tc>
        <w:tc>
          <w:tcPr>
            <w:tcW w:w="1276" w:type="dxa"/>
            <w:vAlign w:val="center"/>
          </w:tcPr>
          <w:p w14:paraId="24281651">
            <w:pPr>
              <w:pStyle w:val="13"/>
            </w:pPr>
            <w:r>
              <w:t>城乡义务教育公用经费管理办法</w:t>
            </w:r>
          </w:p>
        </w:tc>
      </w:tr>
      <w:tr w14:paraId="1C283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4A7BD"/>
        </w:tc>
        <w:tc>
          <w:tcPr>
            <w:tcW w:w="2268" w:type="dxa"/>
            <w:vAlign w:val="center"/>
          </w:tcPr>
          <w:p w14:paraId="4293E748">
            <w:pPr>
              <w:pStyle w:val="13"/>
            </w:pPr>
            <w:r>
              <w:t>时效指标</w:t>
            </w:r>
          </w:p>
        </w:tc>
        <w:tc>
          <w:tcPr>
            <w:tcW w:w="2835" w:type="dxa"/>
            <w:vAlign w:val="center"/>
          </w:tcPr>
          <w:p w14:paraId="73313CA6">
            <w:pPr>
              <w:pStyle w:val="13"/>
            </w:pPr>
            <w:r>
              <w:t>义教经费支付完成率</w:t>
            </w:r>
          </w:p>
        </w:tc>
        <w:tc>
          <w:tcPr>
            <w:tcW w:w="5386" w:type="dxa"/>
            <w:vAlign w:val="center"/>
          </w:tcPr>
          <w:p w14:paraId="0D9FB43B">
            <w:pPr>
              <w:pStyle w:val="13"/>
            </w:pPr>
            <w:r>
              <w:t>按照序时进度完成资金支付</w:t>
            </w:r>
          </w:p>
        </w:tc>
        <w:tc>
          <w:tcPr>
            <w:tcW w:w="2268" w:type="dxa"/>
            <w:vAlign w:val="center"/>
          </w:tcPr>
          <w:p w14:paraId="186CF9FC">
            <w:pPr>
              <w:pStyle w:val="13"/>
            </w:pPr>
            <w:r>
              <w:t>≥100%</w:t>
            </w:r>
          </w:p>
        </w:tc>
        <w:tc>
          <w:tcPr>
            <w:tcW w:w="1276" w:type="dxa"/>
            <w:vAlign w:val="center"/>
          </w:tcPr>
          <w:p w14:paraId="0375B3FE">
            <w:pPr>
              <w:pStyle w:val="13"/>
            </w:pPr>
            <w:r>
              <w:t>城乡义务教育公用经费管理办法</w:t>
            </w:r>
          </w:p>
        </w:tc>
      </w:tr>
      <w:tr w14:paraId="53013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DBE20"/>
        </w:tc>
        <w:tc>
          <w:tcPr>
            <w:tcW w:w="2268" w:type="dxa"/>
            <w:vAlign w:val="center"/>
          </w:tcPr>
          <w:p w14:paraId="3C9BA95B">
            <w:pPr>
              <w:pStyle w:val="13"/>
            </w:pPr>
            <w:r>
              <w:t>成本指标</w:t>
            </w:r>
          </w:p>
        </w:tc>
        <w:tc>
          <w:tcPr>
            <w:tcW w:w="2835" w:type="dxa"/>
            <w:vAlign w:val="center"/>
          </w:tcPr>
          <w:p w14:paraId="4BC62A44">
            <w:pPr>
              <w:pStyle w:val="13"/>
            </w:pPr>
            <w:r>
              <w:t>生均拨款标准</w:t>
            </w:r>
          </w:p>
        </w:tc>
        <w:tc>
          <w:tcPr>
            <w:tcW w:w="5386" w:type="dxa"/>
            <w:vAlign w:val="center"/>
          </w:tcPr>
          <w:p w14:paraId="0E219DE3">
            <w:pPr>
              <w:pStyle w:val="13"/>
            </w:pPr>
            <w:r>
              <w:t>我省城乡义务教育学校生均公用经费基准定额为940元/年/生，取暖费120元/年/生，住宿生补助300元/年/生的标准，随班就读学生补助6000元/生/年</w:t>
            </w:r>
          </w:p>
        </w:tc>
        <w:tc>
          <w:tcPr>
            <w:tcW w:w="2268" w:type="dxa"/>
            <w:vAlign w:val="center"/>
          </w:tcPr>
          <w:p w14:paraId="3D70431A">
            <w:pPr>
              <w:pStyle w:val="13"/>
            </w:pPr>
            <w:r>
              <w:t>1060元</w:t>
            </w:r>
          </w:p>
        </w:tc>
        <w:tc>
          <w:tcPr>
            <w:tcW w:w="1276" w:type="dxa"/>
            <w:vAlign w:val="center"/>
          </w:tcPr>
          <w:p w14:paraId="3FEBBEA2">
            <w:pPr>
              <w:pStyle w:val="13"/>
            </w:pPr>
            <w:r>
              <w:t>城乡义务教育公用经费管理办法</w:t>
            </w:r>
          </w:p>
        </w:tc>
      </w:tr>
      <w:tr w14:paraId="71026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2A999">
            <w:pPr>
              <w:pStyle w:val="12"/>
            </w:pPr>
            <w:r>
              <w:t>效益指标</w:t>
            </w:r>
          </w:p>
        </w:tc>
        <w:tc>
          <w:tcPr>
            <w:tcW w:w="2268" w:type="dxa"/>
            <w:vAlign w:val="center"/>
          </w:tcPr>
          <w:p w14:paraId="7AC98582">
            <w:pPr>
              <w:pStyle w:val="13"/>
            </w:pPr>
            <w:r>
              <w:t>社会效益指标</w:t>
            </w:r>
          </w:p>
        </w:tc>
        <w:tc>
          <w:tcPr>
            <w:tcW w:w="2835" w:type="dxa"/>
            <w:vAlign w:val="center"/>
          </w:tcPr>
          <w:p w14:paraId="52A126B1">
            <w:pPr>
              <w:pStyle w:val="13"/>
            </w:pPr>
            <w:r>
              <w:t>学校稳定率</w:t>
            </w:r>
          </w:p>
        </w:tc>
        <w:tc>
          <w:tcPr>
            <w:tcW w:w="5386" w:type="dxa"/>
            <w:vAlign w:val="center"/>
          </w:tcPr>
          <w:p w14:paraId="2E03C751">
            <w:pPr>
              <w:pStyle w:val="13"/>
            </w:pPr>
            <w:r>
              <w:t>维护学校稳定，保障学校正常教学秩序有效开展</w:t>
            </w:r>
          </w:p>
        </w:tc>
        <w:tc>
          <w:tcPr>
            <w:tcW w:w="2268" w:type="dxa"/>
            <w:vAlign w:val="center"/>
          </w:tcPr>
          <w:p w14:paraId="26BF37BB">
            <w:pPr>
              <w:pStyle w:val="13"/>
            </w:pPr>
            <w:r>
              <w:t>≥100%</w:t>
            </w:r>
          </w:p>
        </w:tc>
        <w:tc>
          <w:tcPr>
            <w:tcW w:w="1276" w:type="dxa"/>
            <w:vAlign w:val="center"/>
          </w:tcPr>
          <w:p w14:paraId="10C8FC0F">
            <w:pPr>
              <w:pStyle w:val="13"/>
            </w:pPr>
            <w:r>
              <w:t>城乡义务教育公用经费管理办法</w:t>
            </w:r>
          </w:p>
        </w:tc>
      </w:tr>
      <w:tr w14:paraId="43612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5DC083">
            <w:pPr>
              <w:pStyle w:val="12"/>
            </w:pPr>
            <w:r>
              <w:t>满意度指标</w:t>
            </w:r>
          </w:p>
        </w:tc>
        <w:tc>
          <w:tcPr>
            <w:tcW w:w="2268" w:type="dxa"/>
            <w:vAlign w:val="center"/>
          </w:tcPr>
          <w:p w14:paraId="23179DFD">
            <w:pPr>
              <w:pStyle w:val="13"/>
            </w:pPr>
            <w:r>
              <w:t>服务对象满意度指标</w:t>
            </w:r>
          </w:p>
        </w:tc>
        <w:tc>
          <w:tcPr>
            <w:tcW w:w="2835" w:type="dxa"/>
            <w:vAlign w:val="center"/>
          </w:tcPr>
          <w:p w14:paraId="7A7278E4">
            <w:pPr>
              <w:pStyle w:val="13"/>
            </w:pPr>
            <w:r>
              <w:t>家长和学生满意度</w:t>
            </w:r>
          </w:p>
        </w:tc>
        <w:tc>
          <w:tcPr>
            <w:tcW w:w="5386" w:type="dxa"/>
            <w:vAlign w:val="center"/>
          </w:tcPr>
          <w:p w14:paraId="24D4E463">
            <w:pPr>
              <w:pStyle w:val="13"/>
            </w:pPr>
            <w:r>
              <w:t>家长和学生满意度</w:t>
            </w:r>
          </w:p>
        </w:tc>
        <w:tc>
          <w:tcPr>
            <w:tcW w:w="2268" w:type="dxa"/>
            <w:vAlign w:val="center"/>
          </w:tcPr>
          <w:p w14:paraId="5BBB569F">
            <w:pPr>
              <w:pStyle w:val="13"/>
            </w:pPr>
            <w:r>
              <w:t>≥95%</w:t>
            </w:r>
          </w:p>
        </w:tc>
        <w:tc>
          <w:tcPr>
            <w:tcW w:w="1276" w:type="dxa"/>
            <w:vAlign w:val="center"/>
          </w:tcPr>
          <w:p w14:paraId="7BE930D2">
            <w:pPr>
              <w:pStyle w:val="13"/>
            </w:pPr>
            <w:r>
              <w:t>问卷调查</w:t>
            </w:r>
          </w:p>
        </w:tc>
      </w:tr>
    </w:tbl>
    <w:p w14:paraId="7A4BBE9F">
      <w:pPr>
        <w:sectPr>
          <w:pgSz w:w="16840" w:h="11900" w:orient="landscape"/>
          <w:pgMar w:top="1361" w:right="1020" w:bottom="1134" w:left="1020" w:header="720" w:footer="720" w:gutter="0"/>
          <w:cols w:space="720" w:num="1"/>
        </w:sectPr>
      </w:pPr>
    </w:p>
    <w:p w14:paraId="24E1845F">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2、冀财教[2024]123号/中央/2025年义教补助经费/综合奖补/固城中学公用经费绩效目标表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92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A2807">
            <w:pPr>
              <w:pStyle w:val="14"/>
            </w:pPr>
            <w:r>
              <w:t>单位：万元</w:t>
            </w:r>
          </w:p>
        </w:tc>
      </w:tr>
      <w:tr w14:paraId="60920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C4C3F0">
            <w:pPr>
              <w:pStyle w:val="11"/>
            </w:pPr>
            <w:r>
              <w:t>项目编码</w:t>
            </w:r>
          </w:p>
        </w:tc>
        <w:tc>
          <w:tcPr>
            <w:tcW w:w="5103" w:type="dxa"/>
            <w:gridSpan w:val="2"/>
            <w:vAlign w:val="center"/>
          </w:tcPr>
          <w:p w14:paraId="614D0DA9">
            <w:pPr>
              <w:pStyle w:val="13"/>
            </w:pPr>
            <w:r>
              <w:t>13052525P008756102681</w:t>
            </w:r>
          </w:p>
        </w:tc>
        <w:tc>
          <w:tcPr>
            <w:tcW w:w="2835" w:type="dxa"/>
            <w:vAlign w:val="center"/>
          </w:tcPr>
          <w:p w14:paraId="0E487AE7">
            <w:pPr>
              <w:pStyle w:val="11"/>
            </w:pPr>
            <w:r>
              <w:t>项目名称</w:t>
            </w:r>
          </w:p>
        </w:tc>
        <w:tc>
          <w:tcPr>
            <w:tcW w:w="6095" w:type="dxa"/>
            <w:gridSpan w:val="3"/>
            <w:vAlign w:val="center"/>
          </w:tcPr>
          <w:p w14:paraId="3DC2F0F9">
            <w:pPr>
              <w:pStyle w:val="13"/>
            </w:pPr>
            <w:r>
              <w:t>冀财教[2024]123号/中央/2025年义教补助经费/综合奖补/固城中学公用经费</w:t>
            </w:r>
          </w:p>
        </w:tc>
      </w:tr>
      <w:tr w14:paraId="2F520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4BF17">
            <w:pPr>
              <w:pStyle w:val="11"/>
            </w:pPr>
            <w:r>
              <w:t>预算规模及资金用途</w:t>
            </w:r>
          </w:p>
        </w:tc>
        <w:tc>
          <w:tcPr>
            <w:tcW w:w="2268" w:type="dxa"/>
            <w:vAlign w:val="center"/>
          </w:tcPr>
          <w:p w14:paraId="0F3512EE">
            <w:pPr>
              <w:pStyle w:val="11"/>
            </w:pPr>
            <w:r>
              <w:t>预算数</w:t>
            </w:r>
          </w:p>
        </w:tc>
        <w:tc>
          <w:tcPr>
            <w:tcW w:w="2835" w:type="dxa"/>
            <w:vAlign w:val="center"/>
          </w:tcPr>
          <w:p w14:paraId="6C5C3E45">
            <w:pPr>
              <w:pStyle w:val="13"/>
            </w:pPr>
            <w:r>
              <w:t>8.87</w:t>
            </w:r>
          </w:p>
        </w:tc>
        <w:tc>
          <w:tcPr>
            <w:tcW w:w="2835" w:type="dxa"/>
            <w:vAlign w:val="center"/>
          </w:tcPr>
          <w:p w14:paraId="64D2CE1A">
            <w:pPr>
              <w:pStyle w:val="11"/>
            </w:pPr>
            <w:r>
              <w:t>其中：财政    资金</w:t>
            </w:r>
          </w:p>
        </w:tc>
        <w:tc>
          <w:tcPr>
            <w:tcW w:w="2551" w:type="dxa"/>
            <w:vAlign w:val="center"/>
          </w:tcPr>
          <w:p w14:paraId="5F41F38D">
            <w:pPr>
              <w:pStyle w:val="13"/>
            </w:pPr>
            <w:r>
              <w:t>8.87</w:t>
            </w:r>
          </w:p>
        </w:tc>
        <w:tc>
          <w:tcPr>
            <w:tcW w:w="2268" w:type="dxa"/>
            <w:vAlign w:val="center"/>
          </w:tcPr>
          <w:p w14:paraId="3062BB8D">
            <w:pPr>
              <w:pStyle w:val="11"/>
            </w:pPr>
            <w:r>
              <w:t>其他资金</w:t>
            </w:r>
          </w:p>
        </w:tc>
        <w:tc>
          <w:tcPr>
            <w:tcW w:w="1276" w:type="dxa"/>
            <w:vAlign w:val="center"/>
          </w:tcPr>
          <w:p w14:paraId="6C5330CA">
            <w:pPr>
              <w:pStyle w:val="13"/>
            </w:pPr>
            <w:r>
              <w:t xml:space="preserve"> </w:t>
            </w:r>
          </w:p>
        </w:tc>
      </w:tr>
      <w:tr w14:paraId="0C702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AEF417"/>
        </w:tc>
        <w:tc>
          <w:tcPr>
            <w:tcW w:w="14033" w:type="dxa"/>
            <w:gridSpan w:val="6"/>
            <w:vAlign w:val="center"/>
          </w:tcPr>
          <w:p w14:paraId="7426484D">
            <w:pPr>
              <w:pStyle w:val="13"/>
            </w:pPr>
            <w:r>
              <w:t>用于改善义务教育办学条件，进一步提升教育教学办学质量</w:t>
            </w:r>
            <w:r>
              <w:tab/>
            </w:r>
            <w:r>
              <w:tab/>
            </w:r>
          </w:p>
        </w:tc>
      </w:tr>
      <w:tr w14:paraId="4C681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3B9BC">
            <w:pPr>
              <w:pStyle w:val="11"/>
            </w:pPr>
            <w:r>
              <w:t>资金支出计划（%）</w:t>
            </w:r>
          </w:p>
        </w:tc>
        <w:tc>
          <w:tcPr>
            <w:tcW w:w="5103" w:type="dxa"/>
            <w:gridSpan w:val="2"/>
            <w:vAlign w:val="center"/>
          </w:tcPr>
          <w:p w14:paraId="271451BE">
            <w:pPr>
              <w:pStyle w:val="11"/>
            </w:pPr>
            <w:r>
              <w:t>3月底</w:t>
            </w:r>
          </w:p>
        </w:tc>
        <w:tc>
          <w:tcPr>
            <w:tcW w:w="2835" w:type="dxa"/>
            <w:vAlign w:val="center"/>
          </w:tcPr>
          <w:p w14:paraId="0F2C6847">
            <w:pPr>
              <w:pStyle w:val="11"/>
            </w:pPr>
            <w:r>
              <w:t>6月底</w:t>
            </w:r>
          </w:p>
        </w:tc>
        <w:tc>
          <w:tcPr>
            <w:tcW w:w="2551" w:type="dxa"/>
            <w:vAlign w:val="center"/>
          </w:tcPr>
          <w:p w14:paraId="6E9C3A5E">
            <w:pPr>
              <w:pStyle w:val="11"/>
            </w:pPr>
            <w:r>
              <w:t>10月底</w:t>
            </w:r>
          </w:p>
        </w:tc>
        <w:tc>
          <w:tcPr>
            <w:tcW w:w="3544" w:type="dxa"/>
            <w:gridSpan w:val="2"/>
            <w:vAlign w:val="center"/>
          </w:tcPr>
          <w:p w14:paraId="0C138B26">
            <w:pPr>
              <w:pStyle w:val="11"/>
            </w:pPr>
            <w:r>
              <w:t>12月底</w:t>
            </w:r>
          </w:p>
        </w:tc>
      </w:tr>
      <w:tr w14:paraId="59592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CEF6E"/>
        </w:tc>
        <w:tc>
          <w:tcPr>
            <w:tcW w:w="5103" w:type="dxa"/>
            <w:gridSpan w:val="2"/>
            <w:vAlign w:val="center"/>
          </w:tcPr>
          <w:p w14:paraId="10ABB7F0">
            <w:pPr>
              <w:pStyle w:val="12"/>
            </w:pPr>
            <w:r>
              <w:t xml:space="preserve"> </w:t>
            </w:r>
          </w:p>
        </w:tc>
        <w:tc>
          <w:tcPr>
            <w:tcW w:w="2835" w:type="dxa"/>
            <w:vAlign w:val="center"/>
          </w:tcPr>
          <w:p w14:paraId="41E34FA3">
            <w:pPr>
              <w:pStyle w:val="12"/>
            </w:pPr>
            <w:r>
              <w:t xml:space="preserve"> </w:t>
            </w:r>
          </w:p>
        </w:tc>
        <w:tc>
          <w:tcPr>
            <w:tcW w:w="2551" w:type="dxa"/>
            <w:vAlign w:val="center"/>
          </w:tcPr>
          <w:p w14:paraId="578271EB">
            <w:pPr>
              <w:pStyle w:val="12"/>
            </w:pPr>
            <w:r>
              <w:t>100%</w:t>
            </w:r>
          </w:p>
        </w:tc>
        <w:tc>
          <w:tcPr>
            <w:tcW w:w="3544" w:type="dxa"/>
            <w:gridSpan w:val="2"/>
            <w:vAlign w:val="center"/>
          </w:tcPr>
          <w:p w14:paraId="24BC4EF2">
            <w:pPr>
              <w:pStyle w:val="12"/>
            </w:pPr>
            <w:r>
              <w:t>100%</w:t>
            </w:r>
          </w:p>
        </w:tc>
      </w:tr>
      <w:tr w14:paraId="253FF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1335A">
            <w:pPr>
              <w:pStyle w:val="11"/>
            </w:pPr>
            <w:r>
              <w:t>绩效目标</w:t>
            </w:r>
          </w:p>
        </w:tc>
        <w:tc>
          <w:tcPr>
            <w:tcW w:w="14033" w:type="dxa"/>
            <w:gridSpan w:val="6"/>
            <w:vAlign w:val="center"/>
          </w:tcPr>
          <w:p w14:paraId="7D053B76">
            <w:pPr>
              <w:pStyle w:val="13"/>
            </w:pPr>
            <w:r>
              <w:t>1.改善办学条件、提升办学质量和教育教学水平</w:t>
            </w:r>
          </w:p>
        </w:tc>
      </w:tr>
    </w:tbl>
    <w:p w14:paraId="65E62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CD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823B9">
            <w:pPr>
              <w:pStyle w:val="11"/>
            </w:pPr>
            <w:r>
              <w:t>一级指标</w:t>
            </w:r>
          </w:p>
        </w:tc>
        <w:tc>
          <w:tcPr>
            <w:tcW w:w="2268" w:type="dxa"/>
            <w:vAlign w:val="center"/>
          </w:tcPr>
          <w:p w14:paraId="729762C1">
            <w:pPr>
              <w:pStyle w:val="11"/>
            </w:pPr>
            <w:r>
              <w:t>二级指标</w:t>
            </w:r>
          </w:p>
        </w:tc>
        <w:tc>
          <w:tcPr>
            <w:tcW w:w="2835" w:type="dxa"/>
            <w:vAlign w:val="center"/>
          </w:tcPr>
          <w:p w14:paraId="5145C036">
            <w:pPr>
              <w:pStyle w:val="11"/>
            </w:pPr>
            <w:r>
              <w:t>三级指标</w:t>
            </w:r>
          </w:p>
        </w:tc>
        <w:tc>
          <w:tcPr>
            <w:tcW w:w="5386" w:type="dxa"/>
            <w:vAlign w:val="center"/>
          </w:tcPr>
          <w:p w14:paraId="2C04DD93">
            <w:pPr>
              <w:pStyle w:val="11"/>
            </w:pPr>
            <w:r>
              <w:t>绩效指标描述</w:t>
            </w:r>
          </w:p>
        </w:tc>
        <w:tc>
          <w:tcPr>
            <w:tcW w:w="2268" w:type="dxa"/>
            <w:vAlign w:val="center"/>
          </w:tcPr>
          <w:p w14:paraId="1C66A674">
            <w:pPr>
              <w:pStyle w:val="11"/>
            </w:pPr>
            <w:r>
              <w:t>指标值</w:t>
            </w:r>
          </w:p>
        </w:tc>
        <w:tc>
          <w:tcPr>
            <w:tcW w:w="1276" w:type="dxa"/>
            <w:vAlign w:val="center"/>
          </w:tcPr>
          <w:p w14:paraId="423E65F3">
            <w:pPr>
              <w:pStyle w:val="11"/>
            </w:pPr>
            <w:r>
              <w:t>指标值确定依据</w:t>
            </w:r>
          </w:p>
        </w:tc>
      </w:tr>
      <w:tr w14:paraId="3B699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566AD">
            <w:pPr>
              <w:pStyle w:val="12"/>
            </w:pPr>
            <w:r>
              <w:t>产出指标</w:t>
            </w:r>
          </w:p>
        </w:tc>
        <w:tc>
          <w:tcPr>
            <w:tcW w:w="2268" w:type="dxa"/>
            <w:vAlign w:val="center"/>
          </w:tcPr>
          <w:p w14:paraId="6548AA1D">
            <w:pPr>
              <w:pStyle w:val="13"/>
            </w:pPr>
            <w:r>
              <w:t>数量指标</w:t>
            </w:r>
          </w:p>
        </w:tc>
        <w:tc>
          <w:tcPr>
            <w:tcW w:w="2835" w:type="dxa"/>
            <w:vAlign w:val="center"/>
          </w:tcPr>
          <w:p w14:paraId="7D3C0D48">
            <w:pPr>
              <w:pStyle w:val="13"/>
            </w:pPr>
            <w:r>
              <w:t>就读学生数</w:t>
            </w:r>
          </w:p>
        </w:tc>
        <w:tc>
          <w:tcPr>
            <w:tcW w:w="5386" w:type="dxa"/>
            <w:vAlign w:val="center"/>
          </w:tcPr>
          <w:p w14:paraId="4CFF4D71">
            <w:pPr>
              <w:pStyle w:val="13"/>
            </w:pPr>
            <w:r>
              <w:t>辐射区域内适龄学生人数</w:t>
            </w:r>
          </w:p>
        </w:tc>
        <w:tc>
          <w:tcPr>
            <w:tcW w:w="2268" w:type="dxa"/>
            <w:vAlign w:val="center"/>
          </w:tcPr>
          <w:p w14:paraId="2D070DD4">
            <w:pPr>
              <w:pStyle w:val="13"/>
            </w:pPr>
            <w:r>
              <w:t>1652人</w:t>
            </w:r>
          </w:p>
        </w:tc>
        <w:tc>
          <w:tcPr>
            <w:tcW w:w="1276" w:type="dxa"/>
            <w:vAlign w:val="center"/>
          </w:tcPr>
          <w:p w14:paraId="1F72874B">
            <w:pPr>
              <w:pStyle w:val="13"/>
            </w:pPr>
            <w:r>
              <w:t>城乡义务教育公用经费管理办法</w:t>
            </w:r>
          </w:p>
        </w:tc>
      </w:tr>
      <w:tr w14:paraId="47970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E76C2"/>
        </w:tc>
        <w:tc>
          <w:tcPr>
            <w:tcW w:w="2268" w:type="dxa"/>
            <w:vAlign w:val="center"/>
          </w:tcPr>
          <w:p w14:paraId="49A70C08">
            <w:pPr>
              <w:pStyle w:val="13"/>
            </w:pPr>
            <w:r>
              <w:t>质量指标</w:t>
            </w:r>
          </w:p>
        </w:tc>
        <w:tc>
          <w:tcPr>
            <w:tcW w:w="2835" w:type="dxa"/>
            <w:vAlign w:val="center"/>
          </w:tcPr>
          <w:p w14:paraId="38DA4D0A">
            <w:pPr>
              <w:pStyle w:val="13"/>
            </w:pPr>
            <w:r>
              <w:t>预算执行率</w:t>
            </w:r>
          </w:p>
        </w:tc>
        <w:tc>
          <w:tcPr>
            <w:tcW w:w="5386" w:type="dxa"/>
            <w:vAlign w:val="center"/>
          </w:tcPr>
          <w:p w14:paraId="5A341E8C">
            <w:pPr>
              <w:pStyle w:val="13"/>
            </w:pPr>
            <w:r>
              <w:t>预算执行率</w:t>
            </w:r>
          </w:p>
        </w:tc>
        <w:tc>
          <w:tcPr>
            <w:tcW w:w="2268" w:type="dxa"/>
            <w:vAlign w:val="center"/>
          </w:tcPr>
          <w:p w14:paraId="530DBFC3">
            <w:pPr>
              <w:pStyle w:val="13"/>
            </w:pPr>
            <w:r>
              <w:t>≥98%</w:t>
            </w:r>
          </w:p>
        </w:tc>
        <w:tc>
          <w:tcPr>
            <w:tcW w:w="1276" w:type="dxa"/>
            <w:vAlign w:val="center"/>
          </w:tcPr>
          <w:p w14:paraId="52B0E78F">
            <w:pPr>
              <w:pStyle w:val="13"/>
            </w:pPr>
            <w:r>
              <w:t>城乡义务教育公用经费管理办法</w:t>
            </w:r>
          </w:p>
        </w:tc>
      </w:tr>
      <w:tr w14:paraId="4623D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795B4"/>
        </w:tc>
        <w:tc>
          <w:tcPr>
            <w:tcW w:w="2268" w:type="dxa"/>
            <w:vAlign w:val="center"/>
          </w:tcPr>
          <w:p w14:paraId="2349BA72">
            <w:pPr>
              <w:pStyle w:val="13"/>
            </w:pPr>
            <w:r>
              <w:t>时效指标</w:t>
            </w:r>
          </w:p>
        </w:tc>
        <w:tc>
          <w:tcPr>
            <w:tcW w:w="2835" w:type="dxa"/>
            <w:vAlign w:val="center"/>
          </w:tcPr>
          <w:p w14:paraId="0FB03E99">
            <w:pPr>
              <w:pStyle w:val="13"/>
            </w:pPr>
            <w:r>
              <w:t>义教经费支付完成率</w:t>
            </w:r>
          </w:p>
        </w:tc>
        <w:tc>
          <w:tcPr>
            <w:tcW w:w="5386" w:type="dxa"/>
            <w:vAlign w:val="center"/>
          </w:tcPr>
          <w:p w14:paraId="236AFDF3">
            <w:pPr>
              <w:pStyle w:val="13"/>
            </w:pPr>
            <w:r>
              <w:t>按照序时进度完成资金支付</w:t>
            </w:r>
          </w:p>
        </w:tc>
        <w:tc>
          <w:tcPr>
            <w:tcW w:w="2268" w:type="dxa"/>
            <w:vAlign w:val="center"/>
          </w:tcPr>
          <w:p w14:paraId="7421D6A2">
            <w:pPr>
              <w:pStyle w:val="13"/>
            </w:pPr>
            <w:r>
              <w:t>≥100%</w:t>
            </w:r>
          </w:p>
        </w:tc>
        <w:tc>
          <w:tcPr>
            <w:tcW w:w="1276" w:type="dxa"/>
            <w:vAlign w:val="center"/>
          </w:tcPr>
          <w:p w14:paraId="3E8B3574">
            <w:pPr>
              <w:pStyle w:val="13"/>
            </w:pPr>
            <w:r>
              <w:t>城乡义务教育公用经费管理办法</w:t>
            </w:r>
          </w:p>
        </w:tc>
      </w:tr>
      <w:tr w14:paraId="21BB8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82BEA"/>
        </w:tc>
        <w:tc>
          <w:tcPr>
            <w:tcW w:w="2268" w:type="dxa"/>
            <w:vAlign w:val="center"/>
          </w:tcPr>
          <w:p w14:paraId="5D0F9D18">
            <w:pPr>
              <w:pStyle w:val="13"/>
            </w:pPr>
            <w:r>
              <w:t>成本指标</w:t>
            </w:r>
          </w:p>
        </w:tc>
        <w:tc>
          <w:tcPr>
            <w:tcW w:w="2835" w:type="dxa"/>
            <w:vAlign w:val="center"/>
          </w:tcPr>
          <w:p w14:paraId="1C1D398B">
            <w:pPr>
              <w:pStyle w:val="13"/>
            </w:pPr>
            <w:r>
              <w:t>生均拨款标准</w:t>
            </w:r>
          </w:p>
        </w:tc>
        <w:tc>
          <w:tcPr>
            <w:tcW w:w="5386" w:type="dxa"/>
            <w:vAlign w:val="center"/>
          </w:tcPr>
          <w:p w14:paraId="24CF6C1E">
            <w:pPr>
              <w:pStyle w:val="13"/>
            </w:pPr>
            <w:r>
              <w:t>我省城乡义务教育学校生均公用经费基准定额为940元/年/生，取暖费120元/年/生，住宿生补助300元/年/生的标准，随班就读学生补助6000元/生/年</w:t>
            </w:r>
          </w:p>
        </w:tc>
        <w:tc>
          <w:tcPr>
            <w:tcW w:w="2268" w:type="dxa"/>
            <w:vAlign w:val="center"/>
          </w:tcPr>
          <w:p w14:paraId="23E42BD5">
            <w:pPr>
              <w:pStyle w:val="13"/>
            </w:pPr>
            <w:r>
              <w:t>1060元</w:t>
            </w:r>
          </w:p>
        </w:tc>
        <w:tc>
          <w:tcPr>
            <w:tcW w:w="1276" w:type="dxa"/>
            <w:vAlign w:val="center"/>
          </w:tcPr>
          <w:p w14:paraId="541F7A10">
            <w:pPr>
              <w:pStyle w:val="13"/>
            </w:pPr>
            <w:r>
              <w:t>城乡义务教育公用经费管理办法</w:t>
            </w:r>
          </w:p>
        </w:tc>
      </w:tr>
      <w:tr w14:paraId="22CF7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597F5">
            <w:pPr>
              <w:pStyle w:val="12"/>
            </w:pPr>
            <w:r>
              <w:t>效益指标</w:t>
            </w:r>
          </w:p>
        </w:tc>
        <w:tc>
          <w:tcPr>
            <w:tcW w:w="2268" w:type="dxa"/>
            <w:vAlign w:val="center"/>
          </w:tcPr>
          <w:p w14:paraId="226FC08D">
            <w:pPr>
              <w:pStyle w:val="13"/>
            </w:pPr>
            <w:r>
              <w:t>可持续影响指标</w:t>
            </w:r>
          </w:p>
        </w:tc>
        <w:tc>
          <w:tcPr>
            <w:tcW w:w="2835" w:type="dxa"/>
            <w:vAlign w:val="center"/>
          </w:tcPr>
          <w:p w14:paraId="59CFDF4F">
            <w:pPr>
              <w:pStyle w:val="13"/>
            </w:pPr>
            <w:r>
              <w:t>学校稳定率</w:t>
            </w:r>
          </w:p>
        </w:tc>
        <w:tc>
          <w:tcPr>
            <w:tcW w:w="5386" w:type="dxa"/>
            <w:vAlign w:val="center"/>
          </w:tcPr>
          <w:p w14:paraId="1CEB5E5E">
            <w:pPr>
              <w:pStyle w:val="13"/>
            </w:pPr>
            <w:r>
              <w:t>维护学校稳定，保障学校正常教学秩序有效开展</w:t>
            </w:r>
          </w:p>
        </w:tc>
        <w:tc>
          <w:tcPr>
            <w:tcW w:w="2268" w:type="dxa"/>
            <w:vAlign w:val="center"/>
          </w:tcPr>
          <w:p w14:paraId="6B5C75C3">
            <w:pPr>
              <w:pStyle w:val="13"/>
            </w:pPr>
            <w:r>
              <w:t>100%</w:t>
            </w:r>
          </w:p>
        </w:tc>
        <w:tc>
          <w:tcPr>
            <w:tcW w:w="1276" w:type="dxa"/>
            <w:vAlign w:val="center"/>
          </w:tcPr>
          <w:p w14:paraId="1687857C">
            <w:pPr>
              <w:pStyle w:val="13"/>
            </w:pPr>
            <w:r>
              <w:t>城乡义务教育公用经费管理办法</w:t>
            </w:r>
          </w:p>
        </w:tc>
      </w:tr>
      <w:tr w14:paraId="0E139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4A2F86">
            <w:pPr>
              <w:pStyle w:val="12"/>
            </w:pPr>
            <w:r>
              <w:t>满意度指标</w:t>
            </w:r>
          </w:p>
        </w:tc>
        <w:tc>
          <w:tcPr>
            <w:tcW w:w="2268" w:type="dxa"/>
            <w:vAlign w:val="center"/>
          </w:tcPr>
          <w:p w14:paraId="7A837D5A">
            <w:pPr>
              <w:pStyle w:val="13"/>
            </w:pPr>
            <w:r>
              <w:t>服务对象满意度指标</w:t>
            </w:r>
          </w:p>
        </w:tc>
        <w:tc>
          <w:tcPr>
            <w:tcW w:w="2835" w:type="dxa"/>
            <w:vAlign w:val="center"/>
          </w:tcPr>
          <w:p w14:paraId="574CFA5A">
            <w:pPr>
              <w:pStyle w:val="13"/>
            </w:pPr>
            <w:r>
              <w:t>学生、教师及家长对学校教学环境满意度情况</w:t>
            </w:r>
          </w:p>
        </w:tc>
        <w:tc>
          <w:tcPr>
            <w:tcW w:w="5386" w:type="dxa"/>
            <w:vAlign w:val="center"/>
          </w:tcPr>
          <w:p w14:paraId="3DB2D781">
            <w:pPr>
              <w:pStyle w:val="13"/>
            </w:pPr>
            <w:r>
              <w:t>学生、教师及家长对学校教学环境满意度情况</w:t>
            </w:r>
          </w:p>
        </w:tc>
        <w:tc>
          <w:tcPr>
            <w:tcW w:w="2268" w:type="dxa"/>
            <w:vAlign w:val="center"/>
          </w:tcPr>
          <w:p w14:paraId="55436643">
            <w:pPr>
              <w:pStyle w:val="13"/>
            </w:pPr>
            <w:r>
              <w:t>≥95%</w:t>
            </w:r>
          </w:p>
        </w:tc>
        <w:tc>
          <w:tcPr>
            <w:tcW w:w="1276" w:type="dxa"/>
            <w:vAlign w:val="center"/>
          </w:tcPr>
          <w:p w14:paraId="1D65CEB6">
            <w:pPr>
              <w:pStyle w:val="13"/>
            </w:pPr>
            <w:r>
              <w:t>调查问卷</w:t>
            </w:r>
          </w:p>
        </w:tc>
      </w:tr>
    </w:tbl>
    <w:p w14:paraId="1D149C9D">
      <w:pPr>
        <w:sectPr>
          <w:pgSz w:w="16840" w:h="11900" w:orient="landscape"/>
          <w:pgMar w:top="1361" w:right="1020" w:bottom="1134" w:left="1020" w:header="720" w:footer="720" w:gutter="0"/>
          <w:cols w:space="720" w:num="1"/>
        </w:sectPr>
      </w:pPr>
    </w:p>
    <w:p w14:paraId="3BD98210">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3、冀财教[2024]123号/中央/2025年义教补助经费/综合奖补/固城中学微机室装备购置绩效目标表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D1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86622">
            <w:pPr>
              <w:pStyle w:val="14"/>
            </w:pPr>
            <w:r>
              <w:t>单位：万元</w:t>
            </w:r>
          </w:p>
        </w:tc>
      </w:tr>
      <w:tr w14:paraId="7897B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C17B70">
            <w:pPr>
              <w:pStyle w:val="11"/>
            </w:pPr>
            <w:r>
              <w:t>项目编码</w:t>
            </w:r>
          </w:p>
        </w:tc>
        <w:tc>
          <w:tcPr>
            <w:tcW w:w="5103" w:type="dxa"/>
            <w:gridSpan w:val="2"/>
            <w:vAlign w:val="center"/>
          </w:tcPr>
          <w:p w14:paraId="6343804D">
            <w:pPr>
              <w:pStyle w:val="13"/>
            </w:pPr>
            <w:r>
              <w:t>13052525P00875610251U</w:t>
            </w:r>
          </w:p>
        </w:tc>
        <w:tc>
          <w:tcPr>
            <w:tcW w:w="2835" w:type="dxa"/>
            <w:vAlign w:val="center"/>
          </w:tcPr>
          <w:p w14:paraId="591E7C40">
            <w:pPr>
              <w:pStyle w:val="11"/>
            </w:pPr>
            <w:r>
              <w:t>项目名称</w:t>
            </w:r>
          </w:p>
        </w:tc>
        <w:tc>
          <w:tcPr>
            <w:tcW w:w="6095" w:type="dxa"/>
            <w:gridSpan w:val="3"/>
            <w:vAlign w:val="center"/>
          </w:tcPr>
          <w:p w14:paraId="6FBB6C19">
            <w:pPr>
              <w:pStyle w:val="13"/>
            </w:pPr>
            <w:r>
              <w:t>冀财教[2024]123号/中央/2025年义教补助经费/综合奖补/固城中学微机室装备购置</w:t>
            </w:r>
          </w:p>
        </w:tc>
      </w:tr>
      <w:tr w14:paraId="58C71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5608F">
            <w:pPr>
              <w:pStyle w:val="11"/>
            </w:pPr>
            <w:r>
              <w:t>预算规模及资金用途</w:t>
            </w:r>
          </w:p>
        </w:tc>
        <w:tc>
          <w:tcPr>
            <w:tcW w:w="2268" w:type="dxa"/>
            <w:vAlign w:val="center"/>
          </w:tcPr>
          <w:p w14:paraId="4391BEED">
            <w:pPr>
              <w:pStyle w:val="11"/>
            </w:pPr>
            <w:r>
              <w:t>预算数</w:t>
            </w:r>
          </w:p>
        </w:tc>
        <w:tc>
          <w:tcPr>
            <w:tcW w:w="2835" w:type="dxa"/>
            <w:vAlign w:val="center"/>
          </w:tcPr>
          <w:p w14:paraId="0A461B6E">
            <w:pPr>
              <w:pStyle w:val="13"/>
            </w:pPr>
            <w:r>
              <w:t>22.40</w:t>
            </w:r>
          </w:p>
        </w:tc>
        <w:tc>
          <w:tcPr>
            <w:tcW w:w="2835" w:type="dxa"/>
            <w:vAlign w:val="center"/>
          </w:tcPr>
          <w:p w14:paraId="03EA3652">
            <w:pPr>
              <w:pStyle w:val="11"/>
            </w:pPr>
            <w:r>
              <w:t>其中：财政    资金</w:t>
            </w:r>
          </w:p>
        </w:tc>
        <w:tc>
          <w:tcPr>
            <w:tcW w:w="2551" w:type="dxa"/>
            <w:vAlign w:val="center"/>
          </w:tcPr>
          <w:p w14:paraId="1540AC08">
            <w:pPr>
              <w:pStyle w:val="13"/>
            </w:pPr>
            <w:r>
              <w:t>22.40</w:t>
            </w:r>
          </w:p>
        </w:tc>
        <w:tc>
          <w:tcPr>
            <w:tcW w:w="2268" w:type="dxa"/>
            <w:vAlign w:val="center"/>
          </w:tcPr>
          <w:p w14:paraId="043379DF">
            <w:pPr>
              <w:pStyle w:val="11"/>
            </w:pPr>
            <w:r>
              <w:t>其他资金</w:t>
            </w:r>
          </w:p>
        </w:tc>
        <w:tc>
          <w:tcPr>
            <w:tcW w:w="1276" w:type="dxa"/>
            <w:vAlign w:val="center"/>
          </w:tcPr>
          <w:p w14:paraId="07E0712E">
            <w:pPr>
              <w:pStyle w:val="13"/>
            </w:pPr>
            <w:r>
              <w:t xml:space="preserve"> </w:t>
            </w:r>
          </w:p>
        </w:tc>
      </w:tr>
      <w:tr w14:paraId="6B8AF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A6215F"/>
        </w:tc>
        <w:tc>
          <w:tcPr>
            <w:tcW w:w="14033" w:type="dxa"/>
            <w:gridSpan w:val="6"/>
            <w:vAlign w:val="center"/>
          </w:tcPr>
          <w:p w14:paraId="5003424D">
            <w:pPr>
              <w:pStyle w:val="13"/>
            </w:pPr>
            <w:r>
              <w:t>用于改善义务教育办学条件，进一步提升教育教学办学质量</w:t>
            </w:r>
            <w:r>
              <w:tab/>
            </w:r>
            <w:r>
              <w:tab/>
            </w:r>
          </w:p>
        </w:tc>
      </w:tr>
      <w:tr w14:paraId="2CCED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C99D7">
            <w:pPr>
              <w:pStyle w:val="11"/>
            </w:pPr>
            <w:r>
              <w:t>资金支出计划（%）</w:t>
            </w:r>
          </w:p>
        </w:tc>
        <w:tc>
          <w:tcPr>
            <w:tcW w:w="5103" w:type="dxa"/>
            <w:gridSpan w:val="2"/>
            <w:vAlign w:val="center"/>
          </w:tcPr>
          <w:p w14:paraId="6A1F9154">
            <w:pPr>
              <w:pStyle w:val="11"/>
            </w:pPr>
            <w:r>
              <w:t>3月底</w:t>
            </w:r>
          </w:p>
        </w:tc>
        <w:tc>
          <w:tcPr>
            <w:tcW w:w="2835" w:type="dxa"/>
            <w:vAlign w:val="center"/>
          </w:tcPr>
          <w:p w14:paraId="53B815D9">
            <w:pPr>
              <w:pStyle w:val="11"/>
            </w:pPr>
            <w:r>
              <w:t>6月底</w:t>
            </w:r>
          </w:p>
        </w:tc>
        <w:tc>
          <w:tcPr>
            <w:tcW w:w="2551" w:type="dxa"/>
            <w:vAlign w:val="center"/>
          </w:tcPr>
          <w:p w14:paraId="01EA7885">
            <w:pPr>
              <w:pStyle w:val="11"/>
            </w:pPr>
            <w:r>
              <w:t>10月底</w:t>
            </w:r>
          </w:p>
        </w:tc>
        <w:tc>
          <w:tcPr>
            <w:tcW w:w="3544" w:type="dxa"/>
            <w:gridSpan w:val="2"/>
            <w:vAlign w:val="center"/>
          </w:tcPr>
          <w:p w14:paraId="23FC87CA">
            <w:pPr>
              <w:pStyle w:val="11"/>
            </w:pPr>
            <w:r>
              <w:t>12月底</w:t>
            </w:r>
          </w:p>
        </w:tc>
      </w:tr>
      <w:tr w14:paraId="0608B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2A793"/>
        </w:tc>
        <w:tc>
          <w:tcPr>
            <w:tcW w:w="5103" w:type="dxa"/>
            <w:gridSpan w:val="2"/>
            <w:vAlign w:val="center"/>
          </w:tcPr>
          <w:p w14:paraId="4E4F8722">
            <w:pPr>
              <w:pStyle w:val="12"/>
            </w:pPr>
            <w:r>
              <w:t xml:space="preserve"> </w:t>
            </w:r>
          </w:p>
        </w:tc>
        <w:tc>
          <w:tcPr>
            <w:tcW w:w="2835" w:type="dxa"/>
            <w:vAlign w:val="center"/>
          </w:tcPr>
          <w:p w14:paraId="03969449">
            <w:pPr>
              <w:pStyle w:val="12"/>
            </w:pPr>
            <w:r>
              <w:t xml:space="preserve"> </w:t>
            </w:r>
          </w:p>
        </w:tc>
        <w:tc>
          <w:tcPr>
            <w:tcW w:w="2551" w:type="dxa"/>
            <w:vAlign w:val="center"/>
          </w:tcPr>
          <w:p w14:paraId="5FF500E6">
            <w:pPr>
              <w:pStyle w:val="12"/>
            </w:pPr>
            <w:r>
              <w:t>100%</w:t>
            </w:r>
          </w:p>
        </w:tc>
        <w:tc>
          <w:tcPr>
            <w:tcW w:w="3544" w:type="dxa"/>
            <w:gridSpan w:val="2"/>
            <w:vAlign w:val="center"/>
          </w:tcPr>
          <w:p w14:paraId="25347C7F">
            <w:pPr>
              <w:pStyle w:val="12"/>
            </w:pPr>
            <w:r>
              <w:t>100%</w:t>
            </w:r>
          </w:p>
        </w:tc>
      </w:tr>
      <w:tr w14:paraId="274DF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DAA12">
            <w:pPr>
              <w:pStyle w:val="11"/>
            </w:pPr>
            <w:r>
              <w:t>绩效目标</w:t>
            </w:r>
          </w:p>
        </w:tc>
        <w:tc>
          <w:tcPr>
            <w:tcW w:w="14033" w:type="dxa"/>
            <w:gridSpan w:val="6"/>
            <w:vAlign w:val="center"/>
          </w:tcPr>
          <w:p w14:paraId="7DD9DD0B">
            <w:pPr>
              <w:pStyle w:val="13"/>
            </w:pPr>
            <w:r>
              <w:t>1.改善义务教育办学条件，进一步提升教育教学办学质量</w:t>
            </w:r>
            <w:r>
              <w:tab/>
            </w:r>
            <w:r>
              <w:tab/>
            </w:r>
            <w:r>
              <w:tab/>
            </w:r>
            <w:r>
              <w:tab/>
            </w:r>
            <w:r>
              <w:tab/>
            </w:r>
          </w:p>
          <w:p w14:paraId="518642B9">
            <w:pPr>
              <w:pStyle w:val="13"/>
            </w:pPr>
          </w:p>
        </w:tc>
      </w:tr>
    </w:tbl>
    <w:p w14:paraId="12AC7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E7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078A0">
            <w:pPr>
              <w:pStyle w:val="11"/>
            </w:pPr>
            <w:r>
              <w:t>一级指标</w:t>
            </w:r>
          </w:p>
        </w:tc>
        <w:tc>
          <w:tcPr>
            <w:tcW w:w="2268" w:type="dxa"/>
            <w:vAlign w:val="center"/>
          </w:tcPr>
          <w:p w14:paraId="3BDF7756">
            <w:pPr>
              <w:pStyle w:val="11"/>
            </w:pPr>
            <w:r>
              <w:t>二级指标</w:t>
            </w:r>
          </w:p>
        </w:tc>
        <w:tc>
          <w:tcPr>
            <w:tcW w:w="2835" w:type="dxa"/>
            <w:vAlign w:val="center"/>
          </w:tcPr>
          <w:p w14:paraId="64DCF6E0">
            <w:pPr>
              <w:pStyle w:val="11"/>
            </w:pPr>
            <w:r>
              <w:t>三级指标</w:t>
            </w:r>
          </w:p>
        </w:tc>
        <w:tc>
          <w:tcPr>
            <w:tcW w:w="5386" w:type="dxa"/>
            <w:vAlign w:val="center"/>
          </w:tcPr>
          <w:p w14:paraId="6FCFD190">
            <w:pPr>
              <w:pStyle w:val="11"/>
            </w:pPr>
            <w:r>
              <w:t>绩效指标描述</w:t>
            </w:r>
          </w:p>
        </w:tc>
        <w:tc>
          <w:tcPr>
            <w:tcW w:w="2268" w:type="dxa"/>
            <w:vAlign w:val="center"/>
          </w:tcPr>
          <w:p w14:paraId="2F1B3293">
            <w:pPr>
              <w:pStyle w:val="11"/>
            </w:pPr>
            <w:r>
              <w:t>指标值</w:t>
            </w:r>
          </w:p>
        </w:tc>
        <w:tc>
          <w:tcPr>
            <w:tcW w:w="1276" w:type="dxa"/>
            <w:vAlign w:val="center"/>
          </w:tcPr>
          <w:p w14:paraId="7DB0C943">
            <w:pPr>
              <w:pStyle w:val="11"/>
            </w:pPr>
            <w:r>
              <w:t>指标值确定依据</w:t>
            </w:r>
          </w:p>
        </w:tc>
      </w:tr>
      <w:tr w14:paraId="6F9F6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B7CC2">
            <w:pPr>
              <w:pStyle w:val="12"/>
            </w:pPr>
            <w:r>
              <w:t>产出指标</w:t>
            </w:r>
          </w:p>
        </w:tc>
        <w:tc>
          <w:tcPr>
            <w:tcW w:w="2268" w:type="dxa"/>
            <w:vAlign w:val="center"/>
          </w:tcPr>
          <w:p w14:paraId="58711C64">
            <w:pPr>
              <w:pStyle w:val="13"/>
            </w:pPr>
            <w:r>
              <w:t>数量指标</w:t>
            </w:r>
          </w:p>
        </w:tc>
        <w:tc>
          <w:tcPr>
            <w:tcW w:w="2835" w:type="dxa"/>
            <w:vAlign w:val="center"/>
          </w:tcPr>
          <w:p w14:paraId="22DD105E">
            <w:pPr>
              <w:pStyle w:val="13"/>
            </w:pPr>
            <w:r>
              <w:t>专用设备购置</w:t>
            </w:r>
          </w:p>
        </w:tc>
        <w:tc>
          <w:tcPr>
            <w:tcW w:w="5386" w:type="dxa"/>
            <w:vAlign w:val="center"/>
          </w:tcPr>
          <w:p w14:paraId="309110C3">
            <w:pPr>
              <w:pStyle w:val="13"/>
            </w:pPr>
            <w:r>
              <w:t>学生微机室设备更新</w:t>
            </w:r>
          </w:p>
        </w:tc>
        <w:tc>
          <w:tcPr>
            <w:tcW w:w="2268" w:type="dxa"/>
            <w:vAlign w:val="center"/>
          </w:tcPr>
          <w:p w14:paraId="201B2A51">
            <w:pPr>
              <w:pStyle w:val="13"/>
            </w:pPr>
            <w:r>
              <w:t>56台</w:t>
            </w:r>
          </w:p>
        </w:tc>
        <w:tc>
          <w:tcPr>
            <w:tcW w:w="1276" w:type="dxa"/>
            <w:vAlign w:val="center"/>
          </w:tcPr>
          <w:p w14:paraId="34E9E983">
            <w:pPr>
              <w:pStyle w:val="13"/>
            </w:pPr>
            <w:r>
              <w:t>项目规划</w:t>
            </w:r>
          </w:p>
        </w:tc>
      </w:tr>
      <w:tr w14:paraId="2FD13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14F92"/>
        </w:tc>
        <w:tc>
          <w:tcPr>
            <w:tcW w:w="2268" w:type="dxa"/>
            <w:vAlign w:val="center"/>
          </w:tcPr>
          <w:p w14:paraId="2E9DD449">
            <w:pPr>
              <w:pStyle w:val="13"/>
            </w:pPr>
            <w:r>
              <w:t>质量指标</w:t>
            </w:r>
          </w:p>
        </w:tc>
        <w:tc>
          <w:tcPr>
            <w:tcW w:w="2835" w:type="dxa"/>
            <w:vAlign w:val="center"/>
          </w:tcPr>
          <w:p w14:paraId="458B6D07">
            <w:pPr>
              <w:pStyle w:val="13"/>
            </w:pPr>
            <w:r>
              <w:t>项目实施验收合格率</w:t>
            </w:r>
          </w:p>
        </w:tc>
        <w:tc>
          <w:tcPr>
            <w:tcW w:w="5386" w:type="dxa"/>
            <w:vAlign w:val="center"/>
          </w:tcPr>
          <w:p w14:paraId="00958D8A">
            <w:pPr>
              <w:pStyle w:val="13"/>
            </w:pPr>
            <w:r>
              <w:t>申报程序的合规，项目实施及资金使用符合项目规划</w:t>
            </w:r>
          </w:p>
        </w:tc>
        <w:tc>
          <w:tcPr>
            <w:tcW w:w="2268" w:type="dxa"/>
            <w:vAlign w:val="center"/>
          </w:tcPr>
          <w:p w14:paraId="5BD51AF1">
            <w:pPr>
              <w:pStyle w:val="13"/>
            </w:pPr>
            <w:r>
              <w:t>100%</w:t>
            </w:r>
          </w:p>
        </w:tc>
        <w:tc>
          <w:tcPr>
            <w:tcW w:w="1276" w:type="dxa"/>
            <w:vAlign w:val="center"/>
          </w:tcPr>
          <w:p w14:paraId="653D9E29">
            <w:pPr>
              <w:pStyle w:val="13"/>
            </w:pPr>
            <w:r>
              <w:t>项目规划</w:t>
            </w:r>
          </w:p>
        </w:tc>
      </w:tr>
      <w:tr w14:paraId="66E12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D6281"/>
        </w:tc>
        <w:tc>
          <w:tcPr>
            <w:tcW w:w="2268" w:type="dxa"/>
            <w:vAlign w:val="center"/>
          </w:tcPr>
          <w:p w14:paraId="48A31509">
            <w:pPr>
              <w:pStyle w:val="13"/>
            </w:pPr>
            <w:r>
              <w:t>时效指标</w:t>
            </w:r>
          </w:p>
        </w:tc>
        <w:tc>
          <w:tcPr>
            <w:tcW w:w="2835" w:type="dxa"/>
            <w:vAlign w:val="center"/>
          </w:tcPr>
          <w:p w14:paraId="4E15E35C">
            <w:pPr>
              <w:pStyle w:val="13"/>
            </w:pPr>
            <w:r>
              <w:t>资金支付率</w:t>
            </w:r>
          </w:p>
        </w:tc>
        <w:tc>
          <w:tcPr>
            <w:tcW w:w="5386" w:type="dxa"/>
            <w:vAlign w:val="center"/>
          </w:tcPr>
          <w:p w14:paraId="464EB077">
            <w:pPr>
              <w:pStyle w:val="13"/>
            </w:pPr>
            <w:r>
              <w:t>按照序时进度完成资金支付</w:t>
            </w:r>
          </w:p>
        </w:tc>
        <w:tc>
          <w:tcPr>
            <w:tcW w:w="2268" w:type="dxa"/>
            <w:vAlign w:val="center"/>
          </w:tcPr>
          <w:p w14:paraId="38955AA5">
            <w:pPr>
              <w:pStyle w:val="13"/>
            </w:pPr>
            <w:r>
              <w:t>100%</w:t>
            </w:r>
          </w:p>
        </w:tc>
        <w:tc>
          <w:tcPr>
            <w:tcW w:w="1276" w:type="dxa"/>
            <w:vAlign w:val="center"/>
          </w:tcPr>
          <w:p w14:paraId="48695463">
            <w:pPr>
              <w:pStyle w:val="13"/>
            </w:pPr>
            <w:r>
              <w:t>项目规划</w:t>
            </w:r>
          </w:p>
        </w:tc>
      </w:tr>
      <w:tr w14:paraId="6A559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6364D"/>
        </w:tc>
        <w:tc>
          <w:tcPr>
            <w:tcW w:w="2268" w:type="dxa"/>
            <w:vAlign w:val="center"/>
          </w:tcPr>
          <w:p w14:paraId="5694A00F">
            <w:pPr>
              <w:pStyle w:val="13"/>
            </w:pPr>
            <w:r>
              <w:t>成本指标</w:t>
            </w:r>
          </w:p>
        </w:tc>
        <w:tc>
          <w:tcPr>
            <w:tcW w:w="2835" w:type="dxa"/>
            <w:vAlign w:val="center"/>
          </w:tcPr>
          <w:p w14:paraId="104E10D8">
            <w:pPr>
              <w:pStyle w:val="13"/>
            </w:pPr>
            <w:r>
              <w:t>项目成本控制情况</w:t>
            </w:r>
          </w:p>
        </w:tc>
        <w:tc>
          <w:tcPr>
            <w:tcW w:w="5386" w:type="dxa"/>
            <w:vAlign w:val="center"/>
          </w:tcPr>
          <w:p w14:paraId="66C5CF59">
            <w:pPr>
              <w:pStyle w:val="13"/>
            </w:pPr>
            <w:r>
              <w:t>严格按照招标价格及审计额进行</w:t>
            </w:r>
          </w:p>
        </w:tc>
        <w:tc>
          <w:tcPr>
            <w:tcW w:w="2268" w:type="dxa"/>
            <w:vAlign w:val="center"/>
          </w:tcPr>
          <w:p w14:paraId="3C984342">
            <w:pPr>
              <w:pStyle w:val="13"/>
            </w:pPr>
            <w:r>
              <w:t>≤224000元</w:t>
            </w:r>
          </w:p>
        </w:tc>
        <w:tc>
          <w:tcPr>
            <w:tcW w:w="1276" w:type="dxa"/>
            <w:vAlign w:val="center"/>
          </w:tcPr>
          <w:p w14:paraId="32026782">
            <w:pPr>
              <w:pStyle w:val="13"/>
            </w:pPr>
            <w:r>
              <w:t>项目规划</w:t>
            </w:r>
          </w:p>
        </w:tc>
      </w:tr>
      <w:tr w14:paraId="0938D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FF93CC">
            <w:pPr>
              <w:pStyle w:val="12"/>
            </w:pPr>
            <w:r>
              <w:t>效益指标</w:t>
            </w:r>
          </w:p>
        </w:tc>
        <w:tc>
          <w:tcPr>
            <w:tcW w:w="2268" w:type="dxa"/>
            <w:vAlign w:val="center"/>
          </w:tcPr>
          <w:p w14:paraId="72D39EB8">
            <w:pPr>
              <w:pStyle w:val="13"/>
            </w:pPr>
            <w:r>
              <w:t>可持续影响指标</w:t>
            </w:r>
          </w:p>
        </w:tc>
        <w:tc>
          <w:tcPr>
            <w:tcW w:w="2835" w:type="dxa"/>
            <w:vAlign w:val="center"/>
          </w:tcPr>
          <w:p w14:paraId="3CA393AC">
            <w:pPr>
              <w:pStyle w:val="13"/>
            </w:pPr>
            <w:r>
              <w:t>学校日常运转正常</w:t>
            </w:r>
          </w:p>
        </w:tc>
        <w:tc>
          <w:tcPr>
            <w:tcW w:w="5386" w:type="dxa"/>
            <w:vAlign w:val="center"/>
          </w:tcPr>
          <w:p w14:paraId="249EC54D">
            <w:pPr>
              <w:pStyle w:val="13"/>
            </w:pPr>
            <w:r>
              <w:t>学生受教育年限</w:t>
            </w:r>
          </w:p>
        </w:tc>
        <w:tc>
          <w:tcPr>
            <w:tcW w:w="2268" w:type="dxa"/>
            <w:vAlign w:val="center"/>
          </w:tcPr>
          <w:p w14:paraId="37491431">
            <w:pPr>
              <w:pStyle w:val="13"/>
            </w:pPr>
            <w:r>
              <w:t>3年</w:t>
            </w:r>
          </w:p>
        </w:tc>
        <w:tc>
          <w:tcPr>
            <w:tcW w:w="1276" w:type="dxa"/>
            <w:vAlign w:val="center"/>
          </w:tcPr>
          <w:p w14:paraId="72860FFA">
            <w:pPr>
              <w:pStyle w:val="13"/>
            </w:pPr>
            <w:r>
              <w:t>项目规划</w:t>
            </w:r>
          </w:p>
        </w:tc>
      </w:tr>
      <w:tr w14:paraId="72BB5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AE13F4">
            <w:pPr>
              <w:pStyle w:val="12"/>
            </w:pPr>
            <w:r>
              <w:t>满意度指标</w:t>
            </w:r>
          </w:p>
        </w:tc>
        <w:tc>
          <w:tcPr>
            <w:tcW w:w="2268" w:type="dxa"/>
            <w:vAlign w:val="center"/>
          </w:tcPr>
          <w:p w14:paraId="3721C311">
            <w:pPr>
              <w:pStyle w:val="13"/>
            </w:pPr>
            <w:r>
              <w:t>服务对象满意度指标</w:t>
            </w:r>
          </w:p>
        </w:tc>
        <w:tc>
          <w:tcPr>
            <w:tcW w:w="2835" w:type="dxa"/>
            <w:vAlign w:val="center"/>
          </w:tcPr>
          <w:p w14:paraId="325CAD84">
            <w:pPr>
              <w:pStyle w:val="13"/>
            </w:pPr>
            <w:r>
              <w:t>学生、教师及家长对学校教学环境满意度情况</w:t>
            </w:r>
          </w:p>
        </w:tc>
        <w:tc>
          <w:tcPr>
            <w:tcW w:w="5386" w:type="dxa"/>
            <w:vAlign w:val="center"/>
          </w:tcPr>
          <w:p w14:paraId="052AC3C2">
            <w:pPr>
              <w:pStyle w:val="13"/>
            </w:pPr>
            <w:r>
              <w:t>学生、教师及家长对学校教学环境满意度情况</w:t>
            </w:r>
          </w:p>
        </w:tc>
        <w:tc>
          <w:tcPr>
            <w:tcW w:w="2268" w:type="dxa"/>
            <w:vAlign w:val="center"/>
          </w:tcPr>
          <w:p w14:paraId="6422B019">
            <w:pPr>
              <w:pStyle w:val="13"/>
            </w:pPr>
            <w:r>
              <w:t>≥95%</w:t>
            </w:r>
          </w:p>
        </w:tc>
        <w:tc>
          <w:tcPr>
            <w:tcW w:w="1276" w:type="dxa"/>
            <w:vAlign w:val="center"/>
          </w:tcPr>
          <w:p w14:paraId="2177F94E">
            <w:pPr>
              <w:pStyle w:val="13"/>
            </w:pPr>
            <w:r>
              <w:t>调查问卷</w:t>
            </w:r>
          </w:p>
        </w:tc>
      </w:tr>
    </w:tbl>
    <w:p w14:paraId="784F8C0D">
      <w:pPr>
        <w:sectPr>
          <w:pgSz w:w="16840" w:h="11900" w:orient="landscape"/>
          <w:pgMar w:top="1361" w:right="1020" w:bottom="1134" w:left="1020" w:header="720" w:footer="720" w:gutter="0"/>
          <w:cols w:space="720" w:num="1"/>
        </w:sectPr>
      </w:pPr>
    </w:p>
    <w:p w14:paraId="7CD4AEDA">
      <w:pPr>
        <w:spacing w:before="0" w:after="0"/>
        <w:ind w:firstLine="560"/>
        <w:jc w:val="left"/>
        <w:outlineLvl w:val="9"/>
      </w:pPr>
      <w:r>
        <w:rPr>
          <w:rFonts w:ascii="方正仿宋_GBK" w:hAnsi="方正仿宋_GBK" w:eastAsia="方正仿宋_GBK" w:cs="方正仿宋_GBK"/>
          <w:b/>
          <w:color w:val="000000"/>
          <w:sz w:val="28"/>
        </w:rPr>
        <w:t>4、冀财教[2024]141号/省级/2025年义教补助经费/固城中学公用经费绩效目标表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4A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63C5A">
            <w:pPr>
              <w:pStyle w:val="14"/>
            </w:pPr>
            <w:r>
              <w:t>单位：万元</w:t>
            </w:r>
          </w:p>
        </w:tc>
      </w:tr>
      <w:tr w14:paraId="75625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517C4D">
            <w:pPr>
              <w:pStyle w:val="11"/>
            </w:pPr>
            <w:r>
              <w:t>项目编码</w:t>
            </w:r>
          </w:p>
        </w:tc>
        <w:tc>
          <w:tcPr>
            <w:tcW w:w="5103" w:type="dxa"/>
            <w:gridSpan w:val="2"/>
            <w:vAlign w:val="center"/>
          </w:tcPr>
          <w:p w14:paraId="2D995AFC">
            <w:pPr>
              <w:pStyle w:val="13"/>
            </w:pPr>
            <w:r>
              <w:t>13052525P00000410124F</w:t>
            </w:r>
          </w:p>
        </w:tc>
        <w:tc>
          <w:tcPr>
            <w:tcW w:w="2835" w:type="dxa"/>
            <w:vAlign w:val="center"/>
          </w:tcPr>
          <w:p w14:paraId="211211B7">
            <w:pPr>
              <w:pStyle w:val="11"/>
            </w:pPr>
            <w:r>
              <w:t>项目名称</w:t>
            </w:r>
          </w:p>
        </w:tc>
        <w:tc>
          <w:tcPr>
            <w:tcW w:w="6095" w:type="dxa"/>
            <w:gridSpan w:val="3"/>
            <w:vAlign w:val="center"/>
          </w:tcPr>
          <w:p w14:paraId="3DA9AD37">
            <w:pPr>
              <w:pStyle w:val="13"/>
            </w:pPr>
            <w:r>
              <w:t>冀财教[2024]141号/省级/2025年义教补助经费/固城中学公用经费</w:t>
            </w:r>
          </w:p>
        </w:tc>
      </w:tr>
      <w:tr w14:paraId="4C748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022A7">
            <w:pPr>
              <w:pStyle w:val="11"/>
            </w:pPr>
            <w:r>
              <w:t>预算规模及资金用途</w:t>
            </w:r>
          </w:p>
        </w:tc>
        <w:tc>
          <w:tcPr>
            <w:tcW w:w="2268" w:type="dxa"/>
            <w:vAlign w:val="center"/>
          </w:tcPr>
          <w:p w14:paraId="09C81C06">
            <w:pPr>
              <w:pStyle w:val="11"/>
            </w:pPr>
            <w:r>
              <w:t>预算数</w:t>
            </w:r>
          </w:p>
        </w:tc>
        <w:tc>
          <w:tcPr>
            <w:tcW w:w="2835" w:type="dxa"/>
            <w:vAlign w:val="center"/>
          </w:tcPr>
          <w:p w14:paraId="2532C831">
            <w:pPr>
              <w:pStyle w:val="13"/>
            </w:pPr>
            <w:r>
              <w:t>72.13</w:t>
            </w:r>
          </w:p>
        </w:tc>
        <w:tc>
          <w:tcPr>
            <w:tcW w:w="2835" w:type="dxa"/>
            <w:vAlign w:val="center"/>
          </w:tcPr>
          <w:p w14:paraId="0383AF88">
            <w:pPr>
              <w:pStyle w:val="11"/>
            </w:pPr>
            <w:r>
              <w:t>其中：财政    资金</w:t>
            </w:r>
          </w:p>
        </w:tc>
        <w:tc>
          <w:tcPr>
            <w:tcW w:w="2551" w:type="dxa"/>
            <w:vAlign w:val="center"/>
          </w:tcPr>
          <w:p w14:paraId="71B930DB">
            <w:pPr>
              <w:pStyle w:val="13"/>
            </w:pPr>
            <w:r>
              <w:t>72.13</w:t>
            </w:r>
          </w:p>
        </w:tc>
        <w:tc>
          <w:tcPr>
            <w:tcW w:w="2268" w:type="dxa"/>
            <w:vAlign w:val="center"/>
          </w:tcPr>
          <w:p w14:paraId="18AFCFFD">
            <w:pPr>
              <w:pStyle w:val="11"/>
            </w:pPr>
            <w:r>
              <w:t>其他资金</w:t>
            </w:r>
          </w:p>
        </w:tc>
        <w:tc>
          <w:tcPr>
            <w:tcW w:w="1276" w:type="dxa"/>
            <w:vAlign w:val="center"/>
          </w:tcPr>
          <w:p w14:paraId="63F43A3D">
            <w:pPr>
              <w:pStyle w:val="13"/>
            </w:pPr>
            <w:r>
              <w:t xml:space="preserve"> </w:t>
            </w:r>
          </w:p>
        </w:tc>
      </w:tr>
      <w:tr w14:paraId="3FB4E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B815D"/>
        </w:tc>
        <w:tc>
          <w:tcPr>
            <w:tcW w:w="14033" w:type="dxa"/>
            <w:gridSpan w:val="6"/>
            <w:vAlign w:val="center"/>
          </w:tcPr>
          <w:p w14:paraId="45712384">
            <w:pPr>
              <w:pStyle w:val="13"/>
            </w:pPr>
            <w:r>
              <w:t>用于有效完成学校教学安全秩序，保障学校教学任务有效开展，满足学校正常教学需要。</w:t>
            </w:r>
          </w:p>
        </w:tc>
      </w:tr>
      <w:tr w14:paraId="79B9E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1ACE2">
            <w:pPr>
              <w:pStyle w:val="11"/>
            </w:pPr>
            <w:r>
              <w:t>资金支出计划（%）</w:t>
            </w:r>
          </w:p>
        </w:tc>
        <w:tc>
          <w:tcPr>
            <w:tcW w:w="5103" w:type="dxa"/>
            <w:gridSpan w:val="2"/>
            <w:vAlign w:val="center"/>
          </w:tcPr>
          <w:p w14:paraId="66C6DE49">
            <w:pPr>
              <w:pStyle w:val="11"/>
            </w:pPr>
            <w:r>
              <w:t>3月底</w:t>
            </w:r>
          </w:p>
        </w:tc>
        <w:tc>
          <w:tcPr>
            <w:tcW w:w="2835" w:type="dxa"/>
            <w:vAlign w:val="center"/>
          </w:tcPr>
          <w:p w14:paraId="0E1F77FB">
            <w:pPr>
              <w:pStyle w:val="11"/>
            </w:pPr>
            <w:r>
              <w:t>6月底</w:t>
            </w:r>
          </w:p>
        </w:tc>
        <w:tc>
          <w:tcPr>
            <w:tcW w:w="2551" w:type="dxa"/>
            <w:vAlign w:val="center"/>
          </w:tcPr>
          <w:p w14:paraId="3564128C">
            <w:pPr>
              <w:pStyle w:val="11"/>
            </w:pPr>
            <w:r>
              <w:t>10月底</w:t>
            </w:r>
          </w:p>
        </w:tc>
        <w:tc>
          <w:tcPr>
            <w:tcW w:w="3544" w:type="dxa"/>
            <w:gridSpan w:val="2"/>
            <w:vAlign w:val="center"/>
          </w:tcPr>
          <w:p w14:paraId="759A5061">
            <w:pPr>
              <w:pStyle w:val="11"/>
            </w:pPr>
            <w:r>
              <w:t>12月底</w:t>
            </w:r>
          </w:p>
        </w:tc>
      </w:tr>
      <w:tr w14:paraId="302345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49853"/>
        </w:tc>
        <w:tc>
          <w:tcPr>
            <w:tcW w:w="5103" w:type="dxa"/>
            <w:gridSpan w:val="2"/>
            <w:vAlign w:val="center"/>
          </w:tcPr>
          <w:p w14:paraId="262AAF97">
            <w:pPr>
              <w:pStyle w:val="12"/>
            </w:pPr>
            <w:r>
              <w:t>25%</w:t>
            </w:r>
          </w:p>
        </w:tc>
        <w:tc>
          <w:tcPr>
            <w:tcW w:w="2835" w:type="dxa"/>
            <w:vAlign w:val="center"/>
          </w:tcPr>
          <w:p w14:paraId="01C2EF8A">
            <w:pPr>
              <w:pStyle w:val="12"/>
            </w:pPr>
            <w:r>
              <w:t>50%</w:t>
            </w:r>
          </w:p>
        </w:tc>
        <w:tc>
          <w:tcPr>
            <w:tcW w:w="2551" w:type="dxa"/>
            <w:vAlign w:val="center"/>
          </w:tcPr>
          <w:p w14:paraId="1AD1B455">
            <w:pPr>
              <w:pStyle w:val="12"/>
            </w:pPr>
            <w:r>
              <w:t>75%</w:t>
            </w:r>
          </w:p>
        </w:tc>
        <w:tc>
          <w:tcPr>
            <w:tcW w:w="3544" w:type="dxa"/>
            <w:gridSpan w:val="2"/>
            <w:vAlign w:val="center"/>
          </w:tcPr>
          <w:p w14:paraId="0FF6C28E">
            <w:pPr>
              <w:pStyle w:val="12"/>
            </w:pPr>
            <w:r>
              <w:t>100%</w:t>
            </w:r>
          </w:p>
        </w:tc>
      </w:tr>
      <w:tr w14:paraId="13E10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8B20D">
            <w:pPr>
              <w:pStyle w:val="11"/>
            </w:pPr>
            <w:r>
              <w:t>绩效目标</w:t>
            </w:r>
          </w:p>
        </w:tc>
        <w:tc>
          <w:tcPr>
            <w:tcW w:w="14033" w:type="dxa"/>
            <w:gridSpan w:val="6"/>
            <w:vAlign w:val="center"/>
          </w:tcPr>
          <w:p w14:paraId="512FFFE5">
            <w:pPr>
              <w:pStyle w:val="13"/>
            </w:pPr>
            <w:r>
              <w:t>1.按规定拨付公用经费资金，预算执行率≥98%。</w:t>
            </w:r>
          </w:p>
          <w:p w14:paraId="4F7A3CEA">
            <w:pPr>
              <w:pStyle w:val="13"/>
            </w:pPr>
            <w:r>
              <w:t>2.有效完成学校教学安全秩序，保障学校教学任务有效开展，满足学校正常教学需要。</w:t>
            </w:r>
          </w:p>
        </w:tc>
      </w:tr>
    </w:tbl>
    <w:p w14:paraId="3A141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71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ADB9E">
            <w:pPr>
              <w:pStyle w:val="11"/>
            </w:pPr>
            <w:r>
              <w:t>一级指标</w:t>
            </w:r>
          </w:p>
        </w:tc>
        <w:tc>
          <w:tcPr>
            <w:tcW w:w="2268" w:type="dxa"/>
            <w:vAlign w:val="center"/>
          </w:tcPr>
          <w:p w14:paraId="77013D47">
            <w:pPr>
              <w:pStyle w:val="11"/>
            </w:pPr>
            <w:r>
              <w:t>二级指标</w:t>
            </w:r>
          </w:p>
        </w:tc>
        <w:tc>
          <w:tcPr>
            <w:tcW w:w="2835" w:type="dxa"/>
            <w:vAlign w:val="center"/>
          </w:tcPr>
          <w:p w14:paraId="0D3637BE">
            <w:pPr>
              <w:pStyle w:val="11"/>
            </w:pPr>
            <w:r>
              <w:t>三级指标</w:t>
            </w:r>
          </w:p>
        </w:tc>
        <w:tc>
          <w:tcPr>
            <w:tcW w:w="5386" w:type="dxa"/>
            <w:vAlign w:val="center"/>
          </w:tcPr>
          <w:p w14:paraId="69CA6020">
            <w:pPr>
              <w:pStyle w:val="11"/>
            </w:pPr>
            <w:r>
              <w:t>绩效指标描述</w:t>
            </w:r>
          </w:p>
        </w:tc>
        <w:tc>
          <w:tcPr>
            <w:tcW w:w="2268" w:type="dxa"/>
            <w:vAlign w:val="center"/>
          </w:tcPr>
          <w:p w14:paraId="2BA54FFA">
            <w:pPr>
              <w:pStyle w:val="11"/>
            </w:pPr>
            <w:r>
              <w:t>指标值</w:t>
            </w:r>
          </w:p>
        </w:tc>
        <w:tc>
          <w:tcPr>
            <w:tcW w:w="1276" w:type="dxa"/>
            <w:vAlign w:val="center"/>
          </w:tcPr>
          <w:p w14:paraId="673B1E97">
            <w:pPr>
              <w:pStyle w:val="11"/>
            </w:pPr>
            <w:r>
              <w:t>指标值确定依据</w:t>
            </w:r>
          </w:p>
        </w:tc>
      </w:tr>
      <w:tr w14:paraId="10AB0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A55E0">
            <w:pPr>
              <w:pStyle w:val="12"/>
            </w:pPr>
            <w:r>
              <w:t>产出指标</w:t>
            </w:r>
          </w:p>
        </w:tc>
        <w:tc>
          <w:tcPr>
            <w:tcW w:w="2268" w:type="dxa"/>
            <w:vAlign w:val="center"/>
          </w:tcPr>
          <w:p w14:paraId="2E9C6FC6">
            <w:pPr>
              <w:pStyle w:val="13"/>
            </w:pPr>
            <w:r>
              <w:t>数量指标</w:t>
            </w:r>
          </w:p>
        </w:tc>
        <w:tc>
          <w:tcPr>
            <w:tcW w:w="2835" w:type="dxa"/>
            <w:vAlign w:val="center"/>
          </w:tcPr>
          <w:p w14:paraId="33291480">
            <w:pPr>
              <w:pStyle w:val="13"/>
            </w:pPr>
            <w:r>
              <w:t>就读学生数</w:t>
            </w:r>
          </w:p>
        </w:tc>
        <w:tc>
          <w:tcPr>
            <w:tcW w:w="5386" w:type="dxa"/>
            <w:vAlign w:val="center"/>
          </w:tcPr>
          <w:p w14:paraId="78290399">
            <w:pPr>
              <w:pStyle w:val="13"/>
            </w:pPr>
            <w:r>
              <w:t>辐射区域内适龄学生人数</w:t>
            </w:r>
          </w:p>
        </w:tc>
        <w:tc>
          <w:tcPr>
            <w:tcW w:w="2268" w:type="dxa"/>
            <w:vAlign w:val="center"/>
          </w:tcPr>
          <w:p w14:paraId="4F7A33CA">
            <w:pPr>
              <w:pStyle w:val="13"/>
            </w:pPr>
            <w:r>
              <w:t>1652人</w:t>
            </w:r>
          </w:p>
        </w:tc>
        <w:tc>
          <w:tcPr>
            <w:tcW w:w="1276" w:type="dxa"/>
            <w:vAlign w:val="center"/>
          </w:tcPr>
          <w:p w14:paraId="1C55DD14">
            <w:pPr>
              <w:pStyle w:val="13"/>
            </w:pPr>
            <w:r>
              <w:t>城乡义务教育公用经费管理办法</w:t>
            </w:r>
          </w:p>
        </w:tc>
      </w:tr>
      <w:tr w14:paraId="690E8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7FB0C"/>
        </w:tc>
        <w:tc>
          <w:tcPr>
            <w:tcW w:w="2268" w:type="dxa"/>
            <w:vAlign w:val="center"/>
          </w:tcPr>
          <w:p w14:paraId="31E5AF0C">
            <w:pPr>
              <w:pStyle w:val="13"/>
            </w:pPr>
            <w:r>
              <w:t>质量指标</w:t>
            </w:r>
          </w:p>
        </w:tc>
        <w:tc>
          <w:tcPr>
            <w:tcW w:w="2835" w:type="dxa"/>
            <w:vAlign w:val="center"/>
          </w:tcPr>
          <w:p w14:paraId="48EFCD87">
            <w:pPr>
              <w:pStyle w:val="13"/>
            </w:pPr>
            <w:r>
              <w:t>预算执行率</w:t>
            </w:r>
          </w:p>
        </w:tc>
        <w:tc>
          <w:tcPr>
            <w:tcW w:w="5386" w:type="dxa"/>
            <w:vAlign w:val="center"/>
          </w:tcPr>
          <w:p w14:paraId="61D6951E">
            <w:pPr>
              <w:pStyle w:val="13"/>
            </w:pPr>
            <w:r>
              <w:t>预算执行率</w:t>
            </w:r>
          </w:p>
        </w:tc>
        <w:tc>
          <w:tcPr>
            <w:tcW w:w="2268" w:type="dxa"/>
            <w:vAlign w:val="center"/>
          </w:tcPr>
          <w:p w14:paraId="00377402">
            <w:pPr>
              <w:pStyle w:val="13"/>
            </w:pPr>
            <w:r>
              <w:t>≥98%</w:t>
            </w:r>
          </w:p>
        </w:tc>
        <w:tc>
          <w:tcPr>
            <w:tcW w:w="1276" w:type="dxa"/>
            <w:vAlign w:val="center"/>
          </w:tcPr>
          <w:p w14:paraId="6895D2FE">
            <w:pPr>
              <w:pStyle w:val="13"/>
            </w:pPr>
            <w:r>
              <w:t>城乡义务教育公用经费管理办法</w:t>
            </w:r>
          </w:p>
        </w:tc>
      </w:tr>
      <w:tr w14:paraId="37B04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E6A96"/>
        </w:tc>
        <w:tc>
          <w:tcPr>
            <w:tcW w:w="2268" w:type="dxa"/>
            <w:vAlign w:val="center"/>
          </w:tcPr>
          <w:p w14:paraId="7BFCAAE9">
            <w:pPr>
              <w:pStyle w:val="13"/>
            </w:pPr>
            <w:r>
              <w:t>时效指标</w:t>
            </w:r>
          </w:p>
        </w:tc>
        <w:tc>
          <w:tcPr>
            <w:tcW w:w="2835" w:type="dxa"/>
            <w:vAlign w:val="center"/>
          </w:tcPr>
          <w:p w14:paraId="4758FFC8">
            <w:pPr>
              <w:pStyle w:val="13"/>
            </w:pPr>
            <w:r>
              <w:t>义教经费支付完成率</w:t>
            </w:r>
          </w:p>
        </w:tc>
        <w:tc>
          <w:tcPr>
            <w:tcW w:w="5386" w:type="dxa"/>
            <w:vAlign w:val="center"/>
          </w:tcPr>
          <w:p w14:paraId="25D51785">
            <w:pPr>
              <w:pStyle w:val="13"/>
            </w:pPr>
            <w:r>
              <w:t>按照序时进度完成资金支付</w:t>
            </w:r>
          </w:p>
        </w:tc>
        <w:tc>
          <w:tcPr>
            <w:tcW w:w="2268" w:type="dxa"/>
            <w:vAlign w:val="center"/>
          </w:tcPr>
          <w:p w14:paraId="21FBB9A0">
            <w:pPr>
              <w:pStyle w:val="13"/>
            </w:pPr>
            <w:r>
              <w:t>≥100%</w:t>
            </w:r>
          </w:p>
        </w:tc>
        <w:tc>
          <w:tcPr>
            <w:tcW w:w="1276" w:type="dxa"/>
            <w:vAlign w:val="center"/>
          </w:tcPr>
          <w:p w14:paraId="5D81BDF4">
            <w:pPr>
              <w:pStyle w:val="13"/>
            </w:pPr>
            <w:r>
              <w:t>城乡义务教育公用经费管理办法</w:t>
            </w:r>
          </w:p>
        </w:tc>
      </w:tr>
      <w:tr w14:paraId="2FCF1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8F70B"/>
        </w:tc>
        <w:tc>
          <w:tcPr>
            <w:tcW w:w="2268" w:type="dxa"/>
            <w:vAlign w:val="center"/>
          </w:tcPr>
          <w:p w14:paraId="3F59250F">
            <w:pPr>
              <w:pStyle w:val="13"/>
            </w:pPr>
            <w:r>
              <w:t>成本指标</w:t>
            </w:r>
          </w:p>
        </w:tc>
        <w:tc>
          <w:tcPr>
            <w:tcW w:w="2835" w:type="dxa"/>
            <w:vAlign w:val="center"/>
          </w:tcPr>
          <w:p w14:paraId="594D9A09">
            <w:pPr>
              <w:pStyle w:val="13"/>
            </w:pPr>
            <w:r>
              <w:t>生均拨款标准</w:t>
            </w:r>
          </w:p>
        </w:tc>
        <w:tc>
          <w:tcPr>
            <w:tcW w:w="5386" w:type="dxa"/>
            <w:vAlign w:val="center"/>
          </w:tcPr>
          <w:p w14:paraId="38EBC997">
            <w:pPr>
              <w:pStyle w:val="13"/>
            </w:pPr>
            <w:r>
              <w:t>生均公用经费基准定额为940元/年/生，取暖费120元/年/生，住宿生补助300元/年/生的标准，随班就读学生补助7000元/生/年</w:t>
            </w:r>
          </w:p>
        </w:tc>
        <w:tc>
          <w:tcPr>
            <w:tcW w:w="2268" w:type="dxa"/>
            <w:vAlign w:val="center"/>
          </w:tcPr>
          <w:p w14:paraId="26E4851E">
            <w:pPr>
              <w:pStyle w:val="13"/>
            </w:pPr>
            <w:r>
              <w:t>1060元</w:t>
            </w:r>
          </w:p>
        </w:tc>
        <w:tc>
          <w:tcPr>
            <w:tcW w:w="1276" w:type="dxa"/>
            <w:vAlign w:val="center"/>
          </w:tcPr>
          <w:p w14:paraId="36794878">
            <w:pPr>
              <w:pStyle w:val="13"/>
            </w:pPr>
            <w:r>
              <w:t>城乡义务教育公用经费管理办法</w:t>
            </w:r>
          </w:p>
        </w:tc>
      </w:tr>
      <w:tr w14:paraId="20DD4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13A75A">
            <w:pPr>
              <w:pStyle w:val="12"/>
            </w:pPr>
            <w:r>
              <w:t>效益指标</w:t>
            </w:r>
          </w:p>
        </w:tc>
        <w:tc>
          <w:tcPr>
            <w:tcW w:w="2268" w:type="dxa"/>
            <w:vAlign w:val="center"/>
          </w:tcPr>
          <w:p w14:paraId="3BB9B506">
            <w:pPr>
              <w:pStyle w:val="13"/>
            </w:pPr>
            <w:r>
              <w:t>社会效益指标</w:t>
            </w:r>
          </w:p>
        </w:tc>
        <w:tc>
          <w:tcPr>
            <w:tcW w:w="2835" w:type="dxa"/>
            <w:vAlign w:val="center"/>
          </w:tcPr>
          <w:p w14:paraId="021A15B0">
            <w:pPr>
              <w:pStyle w:val="13"/>
            </w:pPr>
            <w:r>
              <w:t>学校稳定率</w:t>
            </w:r>
          </w:p>
        </w:tc>
        <w:tc>
          <w:tcPr>
            <w:tcW w:w="5386" w:type="dxa"/>
            <w:vAlign w:val="center"/>
          </w:tcPr>
          <w:p w14:paraId="61F7D673">
            <w:pPr>
              <w:pStyle w:val="13"/>
            </w:pPr>
            <w:r>
              <w:t>维护学校稳定，保障学校正常教学</w:t>
            </w:r>
          </w:p>
        </w:tc>
        <w:tc>
          <w:tcPr>
            <w:tcW w:w="2268" w:type="dxa"/>
            <w:vAlign w:val="center"/>
          </w:tcPr>
          <w:p w14:paraId="75538E81">
            <w:pPr>
              <w:pStyle w:val="13"/>
            </w:pPr>
            <w:r>
              <w:t>≥100%</w:t>
            </w:r>
          </w:p>
        </w:tc>
        <w:tc>
          <w:tcPr>
            <w:tcW w:w="1276" w:type="dxa"/>
            <w:vAlign w:val="center"/>
          </w:tcPr>
          <w:p w14:paraId="200F72EA">
            <w:pPr>
              <w:pStyle w:val="13"/>
            </w:pPr>
            <w:r>
              <w:t>城乡义务教育公用经费管理办法</w:t>
            </w:r>
          </w:p>
        </w:tc>
      </w:tr>
      <w:tr w14:paraId="63B47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66E079">
            <w:pPr>
              <w:pStyle w:val="12"/>
            </w:pPr>
            <w:r>
              <w:t>满意度指标</w:t>
            </w:r>
          </w:p>
        </w:tc>
        <w:tc>
          <w:tcPr>
            <w:tcW w:w="2268" w:type="dxa"/>
            <w:vAlign w:val="center"/>
          </w:tcPr>
          <w:p w14:paraId="32D38D41">
            <w:pPr>
              <w:pStyle w:val="13"/>
            </w:pPr>
            <w:r>
              <w:t>服务对象满意度指标</w:t>
            </w:r>
          </w:p>
        </w:tc>
        <w:tc>
          <w:tcPr>
            <w:tcW w:w="2835" w:type="dxa"/>
            <w:vAlign w:val="center"/>
          </w:tcPr>
          <w:p w14:paraId="55709451">
            <w:pPr>
              <w:pStyle w:val="13"/>
            </w:pPr>
            <w:r>
              <w:t>家长和学生满意度</w:t>
            </w:r>
          </w:p>
        </w:tc>
        <w:tc>
          <w:tcPr>
            <w:tcW w:w="5386" w:type="dxa"/>
            <w:vAlign w:val="center"/>
          </w:tcPr>
          <w:p w14:paraId="19CBD463">
            <w:pPr>
              <w:pStyle w:val="13"/>
            </w:pPr>
            <w:r>
              <w:t>家长和学生满意度</w:t>
            </w:r>
          </w:p>
        </w:tc>
        <w:tc>
          <w:tcPr>
            <w:tcW w:w="2268" w:type="dxa"/>
            <w:vAlign w:val="center"/>
          </w:tcPr>
          <w:p w14:paraId="7B592248">
            <w:pPr>
              <w:pStyle w:val="13"/>
            </w:pPr>
            <w:r>
              <w:t>≥95%</w:t>
            </w:r>
          </w:p>
        </w:tc>
        <w:tc>
          <w:tcPr>
            <w:tcW w:w="1276" w:type="dxa"/>
            <w:vAlign w:val="center"/>
          </w:tcPr>
          <w:p w14:paraId="1D41F343">
            <w:pPr>
              <w:pStyle w:val="13"/>
            </w:pPr>
            <w:r>
              <w:t>问卷调查</w:t>
            </w:r>
          </w:p>
        </w:tc>
      </w:tr>
    </w:tbl>
    <w:p w14:paraId="1D92222B">
      <w:pPr>
        <w:sectPr>
          <w:pgSz w:w="16840" w:h="11900" w:orient="landscape"/>
          <w:pgMar w:top="1361" w:right="1020" w:bottom="1134" w:left="1020" w:header="720" w:footer="720" w:gutter="0"/>
          <w:cols w:space="720" w:num="1"/>
        </w:sectPr>
      </w:pPr>
    </w:p>
    <w:p w14:paraId="79A47B54">
      <w:pPr>
        <w:spacing w:before="0" w:after="0"/>
        <w:ind w:firstLine="560"/>
        <w:jc w:val="left"/>
        <w:outlineLvl w:val="9"/>
      </w:pPr>
      <w:r>
        <w:rPr>
          <w:rFonts w:ascii="方正仿宋_GBK" w:hAnsi="方正仿宋_GBK" w:eastAsia="方正仿宋_GBK" w:cs="方正仿宋_GBK"/>
          <w:b/>
          <w:color w:val="000000"/>
          <w:sz w:val="28"/>
        </w:rPr>
        <w:t>5、上年盘活/冀财教[2024]67号/中央/2024年义教经费/规范民办义务教育奖补/固城中学空调购置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69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257D3">
            <w:pPr>
              <w:pStyle w:val="14"/>
            </w:pPr>
            <w:r>
              <w:t>单位：万元</w:t>
            </w:r>
          </w:p>
        </w:tc>
      </w:tr>
      <w:tr w14:paraId="5C2FA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5B1050">
            <w:pPr>
              <w:pStyle w:val="11"/>
            </w:pPr>
            <w:r>
              <w:t>项目编码</w:t>
            </w:r>
          </w:p>
        </w:tc>
        <w:tc>
          <w:tcPr>
            <w:tcW w:w="5103" w:type="dxa"/>
            <w:gridSpan w:val="2"/>
            <w:vAlign w:val="center"/>
          </w:tcPr>
          <w:p w14:paraId="4BC233CF">
            <w:pPr>
              <w:pStyle w:val="13"/>
            </w:pPr>
            <w:r>
              <w:t>13052525P00875610153R</w:t>
            </w:r>
          </w:p>
        </w:tc>
        <w:tc>
          <w:tcPr>
            <w:tcW w:w="2835" w:type="dxa"/>
            <w:vAlign w:val="center"/>
          </w:tcPr>
          <w:p w14:paraId="0C900BF7">
            <w:pPr>
              <w:pStyle w:val="11"/>
            </w:pPr>
            <w:r>
              <w:t>项目名称</w:t>
            </w:r>
          </w:p>
        </w:tc>
        <w:tc>
          <w:tcPr>
            <w:tcW w:w="6095" w:type="dxa"/>
            <w:gridSpan w:val="3"/>
            <w:vAlign w:val="center"/>
          </w:tcPr>
          <w:p w14:paraId="6D44EB29">
            <w:pPr>
              <w:pStyle w:val="13"/>
            </w:pPr>
            <w:r>
              <w:t>上年盘活/冀财教[2024]67号/中央/2024年义教经费/规范民办义务教育奖补/固城中学空调购置</w:t>
            </w:r>
            <w:r>
              <w:tab/>
            </w:r>
          </w:p>
        </w:tc>
      </w:tr>
      <w:tr w14:paraId="76A1A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89EEA">
            <w:pPr>
              <w:pStyle w:val="11"/>
            </w:pPr>
            <w:r>
              <w:t>预算规模及资金用途</w:t>
            </w:r>
          </w:p>
        </w:tc>
        <w:tc>
          <w:tcPr>
            <w:tcW w:w="2268" w:type="dxa"/>
            <w:vAlign w:val="center"/>
          </w:tcPr>
          <w:p w14:paraId="2DFBC423">
            <w:pPr>
              <w:pStyle w:val="11"/>
            </w:pPr>
            <w:r>
              <w:t>预算数</w:t>
            </w:r>
          </w:p>
        </w:tc>
        <w:tc>
          <w:tcPr>
            <w:tcW w:w="2835" w:type="dxa"/>
            <w:vAlign w:val="center"/>
          </w:tcPr>
          <w:p w14:paraId="64F12057">
            <w:pPr>
              <w:pStyle w:val="13"/>
            </w:pPr>
            <w:r>
              <w:t>25.78</w:t>
            </w:r>
          </w:p>
        </w:tc>
        <w:tc>
          <w:tcPr>
            <w:tcW w:w="2835" w:type="dxa"/>
            <w:vAlign w:val="center"/>
          </w:tcPr>
          <w:p w14:paraId="30A42717">
            <w:pPr>
              <w:pStyle w:val="11"/>
            </w:pPr>
            <w:r>
              <w:t>其中：财政    资金</w:t>
            </w:r>
          </w:p>
        </w:tc>
        <w:tc>
          <w:tcPr>
            <w:tcW w:w="2551" w:type="dxa"/>
            <w:vAlign w:val="center"/>
          </w:tcPr>
          <w:p w14:paraId="08293D8E">
            <w:pPr>
              <w:pStyle w:val="13"/>
            </w:pPr>
            <w:r>
              <w:t>25.78</w:t>
            </w:r>
          </w:p>
        </w:tc>
        <w:tc>
          <w:tcPr>
            <w:tcW w:w="2268" w:type="dxa"/>
            <w:vAlign w:val="center"/>
          </w:tcPr>
          <w:p w14:paraId="5FDAD424">
            <w:pPr>
              <w:pStyle w:val="11"/>
            </w:pPr>
            <w:r>
              <w:t>其他资金</w:t>
            </w:r>
          </w:p>
        </w:tc>
        <w:tc>
          <w:tcPr>
            <w:tcW w:w="1276" w:type="dxa"/>
            <w:vAlign w:val="center"/>
          </w:tcPr>
          <w:p w14:paraId="2FAED188">
            <w:pPr>
              <w:pStyle w:val="13"/>
            </w:pPr>
            <w:r>
              <w:t xml:space="preserve"> </w:t>
            </w:r>
          </w:p>
        </w:tc>
      </w:tr>
      <w:tr w14:paraId="7BFDC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97369"/>
        </w:tc>
        <w:tc>
          <w:tcPr>
            <w:tcW w:w="14033" w:type="dxa"/>
            <w:gridSpan w:val="6"/>
            <w:vAlign w:val="center"/>
          </w:tcPr>
          <w:p w14:paraId="3163690C">
            <w:pPr>
              <w:pStyle w:val="13"/>
            </w:pPr>
            <w:r>
              <w:t>保证学校正常运转和改善办学条件</w:t>
            </w:r>
          </w:p>
        </w:tc>
      </w:tr>
      <w:tr w14:paraId="5699F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62184">
            <w:pPr>
              <w:pStyle w:val="11"/>
            </w:pPr>
            <w:r>
              <w:t>资金支出计划（%）</w:t>
            </w:r>
          </w:p>
        </w:tc>
        <w:tc>
          <w:tcPr>
            <w:tcW w:w="5103" w:type="dxa"/>
            <w:gridSpan w:val="2"/>
            <w:vAlign w:val="center"/>
          </w:tcPr>
          <w:p w14:paraId="7C5A93BC">
            <w:pPr>
              <w:pStyle w:val="11"/>
            </w:pPr>
            <w:r>
              <w:t>3月底</w:t>
            </w:r>
          </w:p>
        </w:tc>
        <w:tc>
          <w:tcPr>
            <w:tcW w:w="2835" w:type="dxa"/>
            <w:vAlign w:val="center"/>
          </w:tcPr>
          <w:p w14:paraId="0B0148A1">
            <w:pPr>
              <w:pStyle w:val="11"/>
            </w:pPr>
            <w:r>
              <w:t>6月底</w:t>
            </w:r>
          </w:p>
        </w:tc>
        <w:tc>
          <w:tcPr>
            <w:tcW w:w="2551" w:type="dxa"/>
            <w:vAlign w:val="center"/>
          </w:tcPr>
          <w:p w14:paraId="5F63F6CF">
            <w:pPr>
              <w:pStyle w:val="11"/>
            </w:pPr>
            <w:r>
              <w:t>10月底</w:t>
            </w:r>
          </w:p>
        </w:tc>
        <w:tc>
          <w:tcPr>
            <w:tcW w:w="3544" w:type="dxa"/>
            <w:gridSpan w:val="2"/>
            <w:vAlign w:val="center"/>
          </w:tcPr>
          <w:p w14:paraId="491A2464">
            <w:pPr>
              <w:pStyle w:val="11"/>
            </w:pPr>
            <w:r>
              <w:t>12月底</w:t>
            </w:r>
          </w:p>
        </w:tc>
      </w:tr>
      <w:tr w14:paraId="29634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33DDB"/>
        </w:tc>
        <w:tc>
          <w:tcPr>
            <w:tcW w:w="5103" w:type="dxa"/>
            <w:gridSpan w:val="2"/>
            <w:vAlign w:val="center"/>
          </w:tcPr>
          <w:p w14:paraId="242FC032">
            <w:pPr>
              <w:pStyle w:val="12"/>
            </w:pPr>
            <w:r>
              <w:t xml:space="preserve"> </w:t>
            </w:r>
          </w:p>
        </w:tc>
        <w:tc>
          <w:tcPr>
            <w:tcW w:w="2835" w:type="dxa"/>
            <w:vAlign w:val="center"/>
          </w:tcPr>
          <w:p w14:paraId="0D027F68">
            <w:pPr>
              <w:pStyle w:val="12"/>
            </w:pPr>
            <w:r>
              <w:t xml:space="preserve"> </w:t>
            </w:r>
          </w:p>
        </w:tc>
        <w:tc>
          <w:tcPr>
            <w:tcW w:w="2551" w:type="dxa"/>
            <w:vAlign w:val="center"/>
          </w:tcPr>
          <w:p w14:paraId="503445CB">
            <w:pPr>
              <w:pStyle w:val="12"/>
            </w:pPr>
            <w:r>
              <w:t xml:space="preserve"> </w:t>
            </w:r>
          </w:p>
        </w:tc>
        <w:tc>
          <w:tcPr>
            <w:tcW w:w="3544" w:type="dxa"/>
            <w:gridSpan w:val="2"/>
            <w:vAlign w:val="center"/>
          </w:tcPr>
          <w:p w14:paraId="783B1B81">
            <w:pPr>
              <w:pStyle w:val="12"/>
            </w:pPr>
            <w:r>
              <w:t>100%</w:t>
            </w:r>
          </w:p>
        </w:tc>
      </w:tr>
      <w:tr w14:paraId="7C55B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E17ABD">
            <w:pPr>
              <w:pStyle w:val="11"/>
            </w:pPr>
            <w:r>
              <w:t>绩效目标</w:t>
            </w:r>
          </w:p>
        </w:tc>
        <w:tc>
          <w:tcPr>
            <w:tcW w:w="14033" w:type="dxa"/>
            <w:gridSpan w:val="6"/>
            <w:vAlign w:val="center"/>
          </w:tcPr>
          <w:p w14:paraId="40FB5521">
            <w:pPr>
              <w:pStyle w:val="13"/>
            </w:pPr>
            <w:r>
              <w:t>1.按拨款时序进度完成经费拨付和支出</w:t>
            </w:r>
          </w:p>
          <w:p w14:paraId="7999703B">
            <w:pPr>
              <w:pStyle w:val="13"/>
            </w:pPr>
            <w:r>
              <w:t>2.保证学校正常运转和改善办学条件</w:t>
            </w:r>
          </w:p>
        </w:tc>
      </w:tr>
    </w:tbl>
    <w:p w14:paraId="5CAE18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0D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450D5">
            <w:pPr>
              <w:pStyle w:val="11"/>
            </w:pPr>
            <w:r>
              <w:t>一级指标</w:t>
            </w:r>
          </w:p>
        </w:tc>
        <w:tc>
          <w:tcPr>
            <w:tcW w:w="2268" w:type="dxa"/>
            <w:vAlign w:val="center"/>
          </w:tcPr>
          <w:p w14:paraId="1272EFAE">
            <w:pPr>
              <w:pStyle w:val="11"/>
            </w:pPr>
            <w:r>
              <w:t>二级指标</w:t>
            </w:r>
          </w:p>
        </w:tc>
        <w:tc>
          <w:tcPr>
            <w:tcW w:w="2835" w:type="dxa"/>
            <w:vAlign w:val="center"/>
          </w:tcPr>
          <w:p w14:paraId="4232BB54">
            <w:pPr>
              <w:pStyle w:val="11"/>
            </w:pPr>
            <w:r>
              <w:t>三级指标</w:t>
            </w:r>
          </w:p>
        </w:tc>
        <w:tc>
          <w:tcPr>
            <w:tcW w:w="5386" w:type="dxa"/>
            <w:vAlign w:val="center"/>
          </w:tcPr>
          <w:p w14:paraId="4FB9B76B">
            <w:pPr>
              <w:pStyle w:val="11"/>
            </w:pPr>
            <w:r>
              <w:t>绩效指标描述</w:t>
            </w:r>
          </w:p>
        </w:tc>
        <w:tc>
          <w:tcPr>
            <w:tcW w:w="2268" w:type="dxa"/>
            <w:vAlign w:val="center"/>
          </w:tcPr>
          <w:p w14:paraId="135461C4">
            <w:pPr>
              <w:pStyle w:val="11"/>
            </w:pPr>
            <w:r>
              <w:t>指标值</w:t>
            </w:r>
          </w:p>
        </w:tc>
        <w:tc>
          <w:tcPr>
            <w:tcW w:w="1276" w:type="dxa"/>
            <w:vAlign w:val="center"/>
          </w:tcPr>
          <w:p w14:paraId="2AFD08F7">
            <w:pPr>
              <w:pStyle w:val="11"/>
            </w:pPr>
            <w:r>
              <w:t>指标值确定依据</w:t>
            </w:r>
          </w:p>
        </w:tc>
      </w:tr>
      <w:tr w14:paraId="4B8AE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B719D">
            <w:pPr>
              <w:pStyle w:val="12"/>
            </w:pPr>
            <w:r>
              <w:t>产出指标</w:t>
            </w:r>
          </w:p>
        </w:tc>
        <w:tc>
          <w:tcPr>
            <w:tcW w:w="2268" w:type="dxa"/>
            <w:vAlign w:val="center"/>
          </w:tcPr>
          <w:p w14:paraId="568BF3B7">
            <w:pPr>
              <w:pStyle w:val="13"/>
            </w:pPr>
            <w:r>
              <w:t>数量指标</w:t>
            </w:r>
          </w:p>
        </w:tc>
        <w:tc>
          <w:tcPr>
            <w:tcW w:w="2835" w:type="dxa"/>
            <w:vAlign w:val="center"/>
          </w:tcPr>
          <w:p w14:paraId="4BD83271">
            <w:pPr>
              <w:pStyle w:val="13"/>
            </w:pPr>
            <w:r>
              <w:t>购置空调</w:t>
            </w:r>
          </w:p>
        </w:tc>
        <w:tc>
          <w:tcPr>
            <w:tcW w:w="5386" w:type="dxa"/>
            <w:vAlign w:val="center"/>
          </w:tcPr>
          <w:p w14:paraId="267191D9">
            <w:pPr>
              <w:pStyle w:val="13"/>
            </w:pPr>
            <w:r>
              <w:t>购买72型号空调、35型号空调</w:t>
            </w:r>
          </w:p>
        </w:tc>
        <w:tc>
          <w:tcPr>
            <w:tcW w:w="2268" w:type="dxa"/>
            <w:vAlign w:val="center"/>
          </w:tcPr>
          <w:p w14:paraId="28D94053">
            <w:pPr>
              <w:pStyle w:val="13"/>
            </w:pPr>
            <w:r>
              <w:t>25.78万元</w:t>
            </w:r>
          </w:p>
        </w:tc>
        <w:tc>
          <w:tcPr>
            <w:tcW w:w="1276" w:type="dxa"/>
            <w:vAlign w:val="center"/>
          </w:tcPr>
          <w:p w14:paraId="68F72EC5">
            <w:pPr>
              <w:pStyle w:val="13"/>
            </w:pPr>
            <w:r>
              <w:t>项目规划</w:t>
            </w:r>
          </w:p>
        </w:tc>
      </w:tr>
      <w:tr w14:paraId="29CA0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825A0"/>
        </w:tc>
        <w:tc>
          <w:tcPr>
            <w:tcW w:w="2268" w:type="dxa"/>
            <w:vAlign w:val="center"/>
          </w:tcPr>
          <w:p w14:paraId="6C3BB2A0">
            <w:pPr>
              <w:pStyle w:val="13"/>
            </w:pPr>
            <w:r>
              <w:t>质量指标</w:t>
            </w:r>
          </w:p>
        </w:tc>
        <w:tc>
          <w:tcPr>
            <w:tcW w:w="2835" w:type="dxa"/>
            <w:vAlign w:val="center"/>
          </w:tcPr>
          <w:p w14:paraId="6098093A">
            <w:pPr>
              <w:pStyle w:val="13"/>
            </w:pPr>
            <w:r>
              <w:t>工程实施验收合格率</w:t>
            </w:r>
          </w:p>
        </w:tc>
        <w:tc>
          <w:tcPr>
            <w:tcW w:w="5386" w:type="dxa"/>
            <w:vAlign w:val="center"/>
          </w:tcPr>
          <w:p w14:paraId="3EB14F1A">
            <w:pPr>
              <w:pStyle w:val="13"/>
            </w:pPr>
            <w:r>
              <w:t>申报程序的合规，项目实施及资金使用符合项目规划</w:t>
            </w:r>
          </w:p>
        </w:tc>
        <w:tc>
          <w:tcPr>
            <w:tcW w:w="2268" w:type="dxa"/>
            <w:vAlign w:val="center"/>
          </w:tcPr>
          <w:p w14:paraId="2A3AA280">
            <w:pPr>
              <w:pStyle w:val="13"/>
            </w:pPr>
            <w:r>
              <w:t>≥98%</w:t>
            </w:r>
          </w:p>
        </w:tc>
        <w:tc>
          <w:tcPr>
            <w:tcW w:w="1276" w:type="dxa"/>
            <w:vAlign w:val="center"/>
          </w:tcPr>
          <w:p w14:paraId="2F926948">
            <w:pPr>
              <w:pStyle w:val="13"/>
            </w:pPr>
            <w:r>
              <w:t>项目规划</w:t>
            </w:r>
          </w:p>
        </w:tc>
      </w:tr>
      <w:tr w14:paraId="7C8FF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A2476"/>
        </w:tc>
        <w:tc>
          <w:tcPr>
            <w:tcW w:w="2268" w:type="dxa"/>
            <w:vAlign w:val="center"/>
          </w:tcPr>
          <w:p w14:paraId="11ABFDCF">
            <w:pPr>
              <w:pStyle w:val="13"/>
            </w:pPr>
            <w:r>
              <w:t>时效指标</w:t>
            </w:r>
          </w:p>
        </w:tc>
        <w:tc>
          <w:tcPr>
            <w:tcW w:w="2835" w:type="dxa"/>
            <w:vAlign w:val="center"/>
          </w:tcPr>
          <w:p w14:paraId="43EB115F">
            <w:pPr>
              <w:pStyle w:val="13"/>
            </w:pPr>
            <w:r>
              <w:t>资金支付率</w:t>
            </w:r>
          </w:p>
        </w:tc>
        <w:tc>
          <w:tcPr>
            <w:tcW w:w="5386" w:type="dxa"/>
            <w:vAlign w:val="center"/>
          </w:tcPr>
          <w:p w14:paraId="270054C2">
            <w:pPr>
              <w:pStyle w:val="13"/>
            </w:pPr>
            <w:r>
              <w:t>按照序时进度完成资金支付</w:t>
            </w:r>
          </w:p>
        </w:tc>
        <w:tc>
          <w:tcPr>
            <w:tcW w:w="2268" w:type="dxa"/>
            <w:vAlign w:val="center"/>
          </w:tcPr>
          <w:p w14:paraId="041D50FA">
            <w:pPr>
              <w:pStyle w:val="13"/>
            </w:pPr>
            <w:r>
              <w:t>100%</w:t>
            </w:r>
          </w:p>
        </w:tc>
        <w:tc>
          <w:tcPr>
            <w:tcW w:w="1276" w:type="dxa"/>
            <w:vAlign w:val="center"/>
          </w:tcPr>
          <w:p w14:paraId="1ABEB1CE">
            <w:pPr>
              <w:pStyle w:val="13"/>
            </w:pPr>
            <w:r>
              <w:t>项目规划</w:t>
            </w:r>
          </w:p>
        </w:tc>
      </w:tr>
      <w:tr w14:paraId="3C7AC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A63FE"/>
        </w:tc>
        <w:tc>
          <w:tcPr>
            <w:tcW w:w="2268" w:type="dxa"/>
            <w:vAlign w:val="center"/>
          </w:tcPr>
          <w:p w14:paraId="5BE24673">
            <w:pPr>
              <w:pStyle w:val="13"/>
            </w:pPr>
            <w:r>
              <w:t>成本指标</w:t>
            </w:r>
          </w:p>
        </w:tc>
        <w:tc>
          <w:tcPr>
            <w:tcW w:w="2835" w:type="dxa"/>
            <w:vAlign w:val="center"/>
          </w:tcPr>
          <w:p w14:paraId="671265E5">
            <w:pPr>
              <w:pStyle w:val="13"/>
            </w:pPr>
            <w:r>
              <w:t>项目成本控制情况</w:t>
            </w:r>
          </w:p>
        </w:tc>
        <w:tc>
          <w:tcPr>
            <w:tcW w:w="5386" w:type="dxa"/>
            <w:vAlign w:val="center"/>
          </w:tcPr>
          <w:p w14:paraId="6053C0BE">
            <w:pPr>
              <w:pStyle w:val="13"/>
            </w:pPr>
            <w:r>
              <w:t>严格按照招标价格及审计额进行</w:t>
            </w:r>
          </w:p>
        </w:tc>
        <w:tc>
          <w:tcPr>
            <w:tcW w:w="2268" w:type="dxa"/>
            <w:vAlign w:val="center"/>
          </w:tcPr>
          <w:p w14:paraId="2753AA76">
            <w:pPr>
              <w:pStyle w:val="13"/>
            </w:pPr>
            <w:r>
              <w:t>≤25.78万元</w:t>
            </w:r>
          </w:p>
        </w:tc>
        <w:tc>
          <w:tcPr>
            <w:tcW w:w="1276" w:type="dxa"/>
            <w:vAlign w:val="center"/>
          </w:tcPr>
          <w:p w14:paraId="1010A1DA">
            <w:pPr>
              <w:pStyle w:val="13"/>
            </w:pPr>
            <w:r>
              <w:t>项目规划</w:t>
            </w:r>
          </w:p>
        </w:tc>
      </w:tr>
      <w:tr w14:paraId="45B97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557D94">
            <w:pPr>
              <w:pStyle w:val="12"/>
            </w:pPr>
            <w:r>
              <w:t>效益指标</w:t>
            </w:r>
          </w:p>
        </w:tc>
        <w:tc>
          <w:tcPr>
            <w:tcW w:w="2268" w:type="dxa"/>
            <w:vAlign w:val="center"/>
          </w:tcPr>
          <w:p w14:paraId="3E61C513">
            <w:pPr>
              <w:pStyle w:val="13"/>
            </w:pPr>
            <w:r>
              <w:t>社会效益指标</w:t>
            </w:r>
          </w:p>
        </w:tc>
        <w:tc>
          <w:tcPr>
            <w:tcW w:w="2835" w:type="dxa"/>
            <w:vAlign w:val="center"/>
          </w:tcPr>
          <w:p w14:paraId="5855F682">
            <w:pPr>
              <w:pStyle w:val="13"/>
            </w:pPr>
            <w:r>
              <w:t>教育发展水平</w:t>
            </w:r>
          </w:p>
        </w:tc>
        <w:tc>
          <w:tcPr>
            <w:tcW w:w="5386" w:type="dxa"/>
            <w:vAlign w:val="center"/>
          </w:tcPr>
          <w:p w14:paraId="4379C213">
            <w:pPr>
              <w:pStyle w:val="13"/>
            </w:pPr>
            <w:r>
              <w:t>受益人数</w:t>
            </w:r>
          </w:p>
        </w:tc>
        <w:tc>
          <w:tcPr>
            <w:tcW w:w="2268" w:type="dxa"/>
            <w:vAlign w:val="center"/>
          </w:tcPr>
          <w:p w14:paraId="6D48B71F">
            <w:pPr>
              <w:pStyle w:val="13"/>
            </w:pPr>
            <w:r>
              <w:t>1639人</w:t>
            </w:r>
          </w:p>
        </w:tc>
        <w:tc>
          <w:tcPr>
            <w:tcW w:w="1276" w:type="dxa"/>
            <w:vAlign w:val="center"/>
          </w:tcPr>
          <w:p w14:paraId="3D2F6D3C">
            <w:pPr>
              <w:pStyle w:val="13"/>
            </w:pPr>
            <w:r>
              <w:t>项目规划</w:t>
            </w:r>
          </w:p>
        </w:tc>
      </w:tr>
      <w:tr w14:paraId="60ADF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53AD62">
            <w:pPr>
              <w:pStyle w:val="12"/>
            </w:pPr>
            <w:r>
              <w:t>满意度指标</w:t>
            </w:r>
          </w:p>
        </w:tc>
        <w:tc>
          <w:tcPr>
            <w:tcW w:w="2268" w:type="dxa"/>
            <w:vAlign w:val="center"/>
          </w:tcPr>
          <w:p w14:paraId="53B3A562">
            <w:pPr>
              <w:pStyle w:val="13"/>
            </w:pPr>
            <w:r>
              <w:t>服务对象满意度指标</w:t>
            </w:r>
          </w:p>
        </w:tc>
        <w:tc>
          <w:tcPr>
            <w:tcW w:w="2835" w:type="dxa"/>
            <w:vAlign w:val="center"/>
          </w:tcPr>
          <w:p w14:paraId="17CF28C4">
            <w:pPr>
              <w:pStyle w:val="13"/>
            </w:pPr>
            <w:r>
              <w:t>学生、教师及家长对学校教学环境满意度情况</w:t>
            </w:r>
          </w:p>
        </w:tc>
        <w:tc>
          <w:tcPr>
            <w:tcW w:w="5386" w:type="dxa"/>
            <w:vAlign w:val="center"/>
          </w:tcPr>
          <w:p w14:paraId="5F952A16">
            <w:pPr>
              <w:pStyle w:val="13"/>
            </w:pPr>
            <w:r>
              <w:t>学生、教师及家长对学校教学环境满意度情况</w:t>
            </w:r>
          </w:p>
        </w:tc>
        <w:tc>
          <w:tcPr>
            <w:tcW w:w="2268" w:type="dxa"/>
            <w:vAlign w:val="center"/>
          </w:tcPr>
          <w:p w14:paraId="52720372">
            <w:pPr>
              <w:pStyle w:val="13"/>
            </w:pPr>
            <w:r>
              <w:t>≥95%</w:t>
            </w:r>
          </w:p>
        </w:tc>
        <w:tc>
          <w:tcPr>
            <w:tcW w:w="1276" w:type="dxa"/>
            <w:vAlign w:val="center"/>
          </w:tcPr>
          <w:p w14:paraId="639588EF">
            <w:pPr>
              <w:pStyle w:val="13"/>
            </w:pPr>
            <w:r>
              <w:t>调查问卷</w:t>
            </w:r>
          </w:p>
        </w:tc>
      </w:tr>
    </w:tbl>
    <w:p w14:paraId="286C9078">
      <w:pPr>
        <w:sectPr>
          <w:pgSz w:w="16840" w:h="11900" w:orient="landscape"/>
          <w:pgMar w:top="1361" w:right="1020" w:bottom="1134" w:left="1020" w:header="720" w:footer="720" w:gutter="0"/>
          <w:cols w:space="720" w:num="1"/>
        </w:sectPr>
      </w:pPr>
    </w:p>
    <w:p w14:paraId="2C0FEBF9">
      <w:pPr>
        <w:spacing w:before="10" w:after="10" w:line="240" w:lineRule="auto"/>
        <w:ind w:firstLine="640"/>
        <w:jc w:val="left"/>
        <w:outlineLvl w:val="5"/>
      </w:pPr>
      <w:r>
        <w:rPr>
          <w:rFonts w:ascii="黑体" w:hAnsi="黑体" w:eastAsia="黑体" w:cs="黑体"/>
          <w:color w:val="000000"/>
          <w:sz w:val="32"/>
        </w:rPr>
        <w:t>六、政府采购预算情况</w:t>
      </w:r>
    </w:p>
    <w:p w14:paraId="7F05832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BE4B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4B8D759">
            <w:pPr>
              <w:pStyle w:val="8"/>
            </w:pPr>
            <w:r>
              <w:t>360010隆尧县固城中学</w:t>
            </w:r>
          </w:p>
        </w:tc>
        <w:tc>
          <w:tcPr>
            <w:tcW w:w="7712" w:type="dxa"/>
            <w:gridSpan w:val="8"/>
            <w:tcBorders>
              <w:top w:val="single" w:color="FFFFFF" w:sz="6" w:space="0"/>
              <w:left w:val="single" w:color="FFFFFF" w:sz="6" w:space="0"/>
              <w:right w:val="single" w:color="FFFFFF" w:sz="6" w:space="0"/>
            </w:tcBorders>
            <w:vAlign w:val="center"/>
          </w:tcPr>
          <w:p w14:paraId="2C4B4791">
            <w:pPr>
              <w:pStyle w:val="22"/>
            </w:pPr>
            <w:r>
              <w:t>单位：万元</w:t>
            </w:r>
          </w:p>
        </w:tc>
      </w:tr>
      <w:tr w14:paraId="6FD05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24EA275">
            <w:pPr>
              <w:pStyle w:val="11"/>
            </w:pPr>
            <w:r>
              <w:t>政府采购项目来源</w:t>
            </w:r>
          </w:p>
        </w:tc>
        <w:tc>
          <w:tcPr>
            <w:tcW w:w="1134" w:type="dxa"/>
            <w:vMerge w:val="restart"/>
            <w:vAlign w:val="center"/>
          </w:tcPr>
          <w:p w14:paraId="24467BA9">
            <w:pPr>
              <w:pStyle w:val="11"/>
            </w:pPr>
            <w:r>
              <w:t>采购物品名称</w:t>
            </w:r>
          </w:p>
        </w:tc>
        <w:tc>
          <w:tcPr>
            <w:tcW w:w="1134" w:type="dxa"/>
            <w:vMerge w:val="restart"/>
            <w:vAlign w:val="center"/>
          </w:tcPr>
          <w:p w14:paraId="03E0D2FC">
            <w:pPr>
              <w:pStyle w:val="11"/>
            </w:pPr>
            <w:r>
              <w:t>政府采购目录序号</w:t>
            </w:r>
          </w:p>
        </w:tc>
        <w:tc>
          <w:tcPr>
            <w:tcW w:w="709" w:type="dxa"/>
            <w:vMerge w:val="restart"/>
            <w:vAlign w:val="center"/>
          </w:tcPr>
          <w:p w14:paraId="743D6DA4">
            <w:pPr>
              <w:pStyle w:val="11"/>
            </w:pPr>
            <w:r>
              <w:t>计量  单位</w:t>
            </w:r>
          </w:p>
        </w:tc>
        <w:tc>
          <w:tcPr>
            <w:tcW w:w="850" w:type="dxa"/>
            <w:vMerge w:val="restart"/>
            <w:vAlign w:val="center"/>
          </w:tcPr>
          <w:p w14:paraId="54539A99">
            <w:pPr>
              <w:pStyle w:val="11"/>
            </w:pPr>
            <w:r>
              <w:t>数量</w:t>
            </w:r>
          </w:p>
        </w:tc>
        <w:tc>
          <w:tcPr>
            <w:tcW w:w="850" w:type="dxa"/>
            <w:vMerge w:val="restart"/>
            <w:vAlign w:val="center"/>
          </w:tcPr>
          <w:p w14:paraId="732E52CF">
            <w:pPr>
              <w:pStyle w:val="11"/>
            </w:pPr>
            <w:r>
              <w:t>单价</w:t>
            </w:r>
          </w:p>
        </w:tc>
        <w:tc>
          <w:tcPr>
            <w:tcW w:w="6748" w:type="dxa"/>
            <w:gridSpan w:val="7"/>
            <w:vAlign w:val="center"/>
          </w:tcPr>
          <w:p w14:paraId="3463FABC">
            <w:pPr>
              <w:pStyle w:val="11"/>
            </w:pPr>
            <w:r>
              <w:t>政府采购金额（当年部门预算安排资金）</w:t>
            </w:r>
          </w:p>
        </w:tc>
        <w:tc>
          <w:tcPr>
            <w:tcW w:w="964" w:type="dxa"/>
            <w:vMerge w:val="restart"/>
            <w:vAlign w:val="center"/>
          </w:tcPr>
          <w:p w14:paraId="657F6016">
            <w:pPr>
              <w:pStyle w:val="11"/>
            </w:pPr>
            <w:r>
              <w:t>2025年  预留中  小微企  业份额</w:t>
            </w:r>
          </w:p>
        </w:tc>
      </w:tr>
      <w:tr w14:paraId="398E1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DF95EBE">
            <w:pPr>
              <w:pStyle w:val="11"/>
            </w:pPr>
            <w:r>
              <w:t>项目名称</w:t>
            </w:r>
          </w:p>
        </w:tc>
        <w:tc>
          <w:tcPr>
            <w:tcW w:w="964" w:type="dxa"/>
            <w:vAlign w:val="center"/>
          </w:tcPr>
          <w:p w14:paraId="42DDC927">
            <w:pPr>
              <w:pStyle w:val="11"/>
            </w:pPr>
            <w:r>
              <w:t>预算    资金</w:t>
            </w:r>
          </w:p>
        </w:tc>
        <w:tc>
          <w:tcPr>
            <w:tcW w:w="1134" w:type="dxa"/>
            <w:vMerge w:val="continue"/>
          </w:tcPr>
          <w:p w14:paraId="35989BC0"/>
        </w:tc>
        <w:tc>
          <w:tcPr>
            <w:tcW w:w="1134" w:type="dxa"/>
            <w:vMerge w:val="continue"/>
          </w:tcPr>
          <w:p w14:paraId="164797BD"/>
        </w:tc>
        <w:tc>
          <w:tcPr>
            <w:tcW w:w="709" w:type="dxa"/>
            <w:vMerge w:val="continue"/>
          </w:tcPr>
          <w:p w14:paraId="0A36D0DA"/>
        </w:tc>
        <w:tc>
          <w:tcPr>
            <w:tcW w:w="850" w:type="dxa"/>
            <w:vMerge w:val="continue"/>
          </w:tcPr>
          <w:p w14:paraId="06F26745"/>
        </w:tc>
        <w:tc>
          <w:tcPr>
            <w:tcW w:w="850" w:type="dxa"/>
            <w:vMerge w:val="continue"/>
          </w:tcPr>
          <w:p w14:paraId="11306AE0"/>
        </w:tc>
        <w:tc>
          <w:tcPr>
            <w:tcW w:w="964" w:type="dxa"/>
            <w:vAlign w:val="center"/>
          </w:tcPr>
          <w:p w14:paraId="48DA6577">
            <w:pPr>
              <w:pStyle w:val="11"/>
            </w:pPr>
            <w:r>
              <w:t>合计</w:t>
            </w:r>
          </w:p>
        </w:tc>
        <w:tc>
          <w:tcPr>
            <w:tcW w:w="964" w:type="dxa"/>
            <w:vAlign w:val="center"/>
          </w:tcPr>
          <w:p w14:paraId="4CEDB414">
            <w:pPr>
              <w:pStyle w:val="11"/>
            </w:pPr>
            <w:r>
              <w:t>一般公共预算拨款</w:t>
            </w:r>
          </w:p>
        </w:tc>
        <w:tc>
          <w:tcPr>
            <w:tcW w:w="964" w:type="dxa"/>
            <w:vAlign w:val="center"/>
          </w:tcPr>
          <w:p w14:paraId="74FAC2B8">
            <w:pPr>
              <w:pStyle w:val="11"/>
            </w:pPr>
            <w:r>
              <w:t>基金预算拨款</w:t>
            </w:r>
          </w:p>
        </w:tc>
        <w:tc>
          <w:tcPr>
            <w:tcW w:w="964" w:type="dxa"/>
            <w:vAlign w:val="center"/>
          </w:tcPr>
          <w:p w14:paraId="1693B600">
            <w:pPr>
              <w:pStyle w:val="11"/>
            </w:pPr>
            <w:r>
              <w:t>国有资本经营预算拨款</w:t>
            </w:r>
          </w:p>
        </w:tc>
        <w:tc>
          <w:tcPr>
            <w:tcW w:w="964" w:type="dxa"/>
            <w:vAlign w:val="center"/>
          </w:tcPr>
          <w:p w14:paraId="4004B541">
            <w:pPr>
              <w:pStyle w:val="11"/>
            </w:pPr>
            <w:r>
              <w:t>财政专户核拨</w:t>
            </w:r>
          </w:p>
        </w:tc>
        <w:tc>
          <w:tcPr>
            <w:tcW w:w="964" w:type="dxa"/>
            <w:vAlign w:val="center"/>
          </w:tcPr>
          <w:p w14:paraId="0F594C9F">
            <w:pPr>
              <w:pStyle w:val="11"/>
            </w:pPr>
            <w:r>
              <w:t>单位    资金</w:t>
            </w:r>
          </w:p>
        </w:tc>
        <w:tc>
          <w:tcPr>
            <w:tcW w:w="964" w:type="dxa"/>
            <w:vAlign w:val="center"/>
          </w:tcPr>
          <w:p w14:paraId="10B9A7D1">
            <w:pPr>
              <w:pStyle w:val="11"/>
            </w:pPr>
            <w:r>
              <w:t>上年结转结余</w:t>
            </w:r>
          </w:p>
        </w:tc>
        <w:tc>
          <w:tcPr>
            <w:tcW w:w="964" w:type="dxa"/>
            <w:vMerge w:val="continue"/>
          </w:tcPr>
          <w:p w14:paraId="51A95315"/>
        </w:tc>
      </w:tr>
      <w:tr w14:paraId="3956A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A5B185">
            <w:pPr>
              <w:pStyle w:val="15"/>
            </w:pPr>
            <w:r>
              <w:t>合  计</w:t>
            </w:r>
          </w:p>
        </w:tc>
        <w:tc>
          <w:tcPr>
            <w:tcW w:w="964" w:type="dxa"/>
            <w:vAlign w:val="center"/>
          </w:tcPr>
          <w:p w14:paraId="38A55397">
            <w:pPr>
              <w:pStyle w:val="16"/>
            </w:pPr>
          </w:p>
        </w:tc>
        <w:tc>
          <w:tcPr>
            <w:tcW w:w="1134" w:type="dxa"/>
            <w:vAlign w:val="center"/>
          </w:tcPr>
          <w:p w14:paraId="2552439A">
            <w:pPr>
              <w:pStyle w:val="17"/>
            </w:pPr>
          </w:p>
        </w:tc>
        <w:tc>
          <w:tcPr>
            <w:tcW w:w="1134" w:type="dxa"/>
            <w:vAlign w:val="center"/>
          </w:tcPr>
          <w:p w14:paraId="52F20587">
            <w:pPr>
              <w:pStyle w:val="17"/>
            </w:pPr>
          </w:p>
        </w:tc>
        <w:tc>
          <w:tcPr>
            <w:tcW w:w="709" w:type="dxa"/>
            <w:vAlign w:val="center"/>
          </w:tcPr>
          <w:p w14:paraId="2902C731">
            <w:pPr>
              <w:pStyle w:val="15"/>
            </w:pPr>
          </w:p>
        </w:tc>
        <w:tc>
          <w:tcPr>
            <w:tcW w:w="850" w:type="dxa"/>
            <w:vAlign w:val="center"/>
          </w:tcPr>
          <w:p w14:paraId="4373C05B">
            <w:pPr>
              <w:pStyle w:val="16"/>
            </w:pPr>
          </w:p>
        </w:tc>
        <w:tc>
          <w:tcPr>
            <w:tcW w:w="850" w:type="dxa"/>
            <w:vAlign w:val="center"/>
          </w:tcPr>
          <w:p w14:paraId="3E10A3D6">
            <w:pPr>
              <w:pStyle w:val="16"/>
            </w:pPr>
          </w:p>
        </w:tc>
        <w:tc>
          <w:tcPr>
            <w:tcW w:w="964" w:type="dxa"/>
            <w:vAlign w:val="center"/>
          </w:tcPr>
          <w:p w14:paraId="53EAA5DC">
            <w:pPr>
              <w:pStyle w:val="16"/>
            </w:pPr>
            <w:r>
              <w:t>27.38</w:t>
            </w:r>
          </w:p>
        </w:tc>
        <w:tc>
          <w:tcPr>
            <w:tcW w:w="964" w:type="dxa"/>
            <w:vAlign w:val="center"/>
          </w:tcPr>
          <w:p w14:paraId="092F467A">
            <w:pPr>
              <w:pStyle w:val="16"/>
            </w:pPr>
            <w:r>
              <w:t>27.38</w:t>
            </w:r>
          </w:p>
        </w:tc>
        <w:tc>
          <w:tcPr>
            <w:tcW w:w="964" w:type="dxa"/>
            <w:vAlign w:val="center"/>
          </w:tcPr>
          <w:p w14:paraId="27E77E13">
            <w:pPr>
              <w:pStyle w:val="16"/>
            </w:pPr>
          </w:p>
        </w:tc>
        <w:tc>
          <w:tcPr>
            <w:tcW w:w="964" w:type="dxa"/>
            <w:vAlign w:val="center"/>
          </w:tcPr>
          <w:p w14:paraId="34D8B300">
            <w:pPr>
              <w:pStyle w:val="16"/>
            </w:pPr>
          </w:p>
        </w:tc>
        <w:tc>
          <w:tcPr>
            <w:tcW w:w="964" w:type="dxa"/>
            <w:vAlign w:val="center"/>
          </w:tcPr>
          <w:p w14:paraId="6F51F95E">
            <w:pPr>
              <w:pStyle w:val="16"/>
            </w:pPr>
          </w:p>
        </w:tc>
        <w:tc>
          <w:tcPr>
            <w:tcW w:w="964" w:type="dxa"/>
            <w:vAlign w:val="center"/>
          </w:tcPr>
          <w:p w14:paraId="2C7DDFCC">
            <w:pPr>
              <w:pStyle w:val="16"/>
            </w:pPr>
          </w:p>
        </w:tc>
        <w:tc>
          <w:tcPr>
            <w:tcW w:w="964" w:type="dxa"/>
            <w:vAlign w:val="center"/>
          </w:tcPr>
          <w:p w14:paraId="5CAB2EAB">
            <w:pPr>
              <w:pStyle w:val="16"/>
            </w:pPr>
          </w:p>
        </w:tc>
        <w:tc>
          <w:tcPr>
            <w:tcW w:w="964" w:type="dxa"/>
            <w:vAlign w:val="center"/>
          </w:tcPr>
          <w:p w14:paraId="69E0C33A">
            <w:pPr>
              <w:pStyle w:val="16"/>
            </w:pPr>
            <w:r>
              <w:t>27.38</w:t>
            </w:r>
          </w:p>
        </w:tc>
      </w:tr>
      <w:tr w14:paraId="0B9A7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22B3F1">
            <w:pPr>
              <w:pStyle w:val="15"/>
            </w:pPr>
            <w:r>
              <w:t>隆尧县固城中学小计</w:t>
            </w:r>
          </w:p>
        </w:tc>
        <w:tc>
          <w:tcPr>
            <w:tcW w:w="964" w:type="dxa"/>
            <w:vAlign w:val="center"/>
          </w:tcPr>
          <w:p w14:paraId="392B1D63">
            <w:pPr>
              <w:pStyle w:val="16"/>
            </w:pPr>
          </w:p>
        </w:tc>
        <w:tc>
          <w:tcPr>
            <w:tcW w:w="1134" w:type="dxa"/>
            <w:vAlign w:val="center"/>
          </w:tcPr>
          <w:p w14:paraId="6C0DBDD0">
            <w:pPr>
              <w:pStyle w:val="17"/>
            </w:pPr>
          </w:p>
        </w:tc>
        <w:tc>
          <w:tcPr>
            <w:tcW w:w="1134" w:type="dxa"/>
            <w:vAlign w:val="center"/>
          </w:tcPr>
          <w:p w14:paraId="0F06091F">
            <w:pPr>
              <w:pStyle w:val="17"/>
            </w:pPr>
          </w:p>
        </w:tc>
        <w:tc>
          <w:tcPr>
            <w:tcW w:w="709" w:type="dxa"/>
            <w:vAlign w:val="center"/>
          </w:tcPr>
          <w:p w14:paraId="0D262BF8">
            <w:pPr>
              <w:pStyle w:val="15"/>
            </w:pPr>
          </w:p>
        </w:tc>
        <w:tc>
          <w:tcPr>
            <w:tcW w:w="850" w:type="dxa"/>
            <w:vAlign w:val="center"/>
          </w:tcPr>
          <w:p w14:paraId="2978BCAA">
            <w:pPr>
              <w:pStyle w:val="16"/>
            </w:pPr>
          </w:p>
        </w:tc>
        <w:tc>
          <w:tcPr>
            <w:tcW w:w="850" w:type="dxa"/>
            <w:vAlign w:val="center"/>
          </w:tcPr>
          <w:p w14:paraId="173C3EED">
            <w:pPr>
              <w:pStyle w:val="16"/>
            </w:pPr>
          </w:p>
        </w:tc>
        <w:tc>
          <w:tcPr>
            <w:tcW w:w="964" w:type="dxa"/>
            <w:vAlign w:val="center"/>
          </w:tcPr>
          <w:p w14:paraId="4F06F1D9">
            <w:pPr>
              <w:pStyle w:val="16"/>
            </w:pPr>
            <w:r>
              <w:t>27.38</w:t>
            </w:r>
          </w:p>
        </w:tc>
        <w:tc>
          <w:tcPr>
            <w:tcW w:w="964" w:type="dxa"/>
            <w:vAlign w:val="center"/>
          </w:tcPr>
          <w:p w14:paraId="7850638A">
            <w:pPr>
              <w:pStyle w:val="16"/>
            </w:pPr>
            <w:r>
              <w:t>27.38</w:t>
            </w:r>
          </w:p>
        </w:tc>
        <w:tc>
          <w:tcPr>
            <w:tcW w:w="964" w:type="dxa"/>
            <w:vAlign w:val="center"/>
          </w:tcPr>
          <w:p w14:paraId="23BB0A70">
            <w:pPr>
              <w:pStyle w:val="16"/>
            </w:pPr>
          </w:p>
        </w:tc>
        <w:tc>
          <w:tcPr>
            <w:tcW w:w="964" w:type="dxa"/>
            <w:vAlign w:val="center"/>
          </w:tcPr>
          <w:p w14:paraId="177D7DDF">
            <w:pPr>
              <w:pStyle w:val="16"/>
            </w:pPr>
          </w:p>
        </w:tc>
        <w:tc>
          <w:tcPr>
            <w:tcW w:w="964" w:type="dxa"/>
            <w:vAlign w:val="center"/>
          </w:tcPr>
          <w:p w14:paraId="426FF4C8">
            <w:pPr>
              <w:pStyle w:val="16"/>
            </w:pPr>
          </w:p>
        </w:tc>
        <w:tc>
          <w:tcPr>
            <w:tcW w:w="964" w:type="dxa"/>
            <w:vAlign w:val="center"/>
          </w:tcPr>
          <w:p w14:paraId="31C9D651">
            <w:pPr>
              <w:pStyle w:val="16"/>
            </w:pPr>
          </w:p>
        </w:tc>
        <w:tc>
          <w:tcPr>
            <w:tcW w:w="964" w:type="dxa"/>
            <w:vAlign w:val="center"/>
          </w:tcPr>
          <w:p w14:paraId="2BEDB47C">
            <w:pPr>
              <w:pStyle w:val="16"/>
            </w:pPr>
          </w:p>
        </w:tc>
        <w:tc>
          <w:tcPr>
            <w:tcW w:w="964" w:type="dxa"/>
            <w:vAlign w:val="center"/>
          </w:tcPr>
          <w:p w14:paraId="6D2533DF">
            <w:pPr>
              <w:pStyle w:val="16"/>
            </w:pPr>
            <w:r>
              <w:t>27.38</w:t>
            </w:r>
          </w:p>
        </w:tc>
      </w:tr>
      <w:tr w14:paraId="19AD1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1268" w:hRule="atLeast"/>
          <w:jc w:val="center"/>
        </w:trPr>
        <w:tc>
          <w:tcPr>
            <w:tcW w:w="1701" w:type="dxa"/>
            <w:vAlign w:val="center"/>
          </w:tcPr>
          <w:p w14:paraId="299C6D1B">
            <w:pPr>
              <w:pStyle w:val="13"/>
            </w:pPr>
            <w:r>
              <w:t>冀财教[2024]123号/中央/2025年义教补助经费/固城中学公用经费</w:t>
            </w:r>
          </w:p>
        </w:tc>
        <w:tc>
          <w:tcPr>
            <w:tcW w:w="964" w:type="dxa"/>
            <w:vAlign w:val="center"/>
          </w:tcPr>
          <w:p w14:paraId="7AF5272A">
            <w:pPr>
              <w:pStyle w:val="14"/>
            </w:pPr>
            <w:r>
              <w:t>153.97</w:t>
            </w:r>
          </w:p>
        </w:tc>
        <w:tc>
          <w:tcPr>
            <w:tcW w:w="1134" w:type="dxa"/>
            <w:vAlign w:val="center"/>
          </w:tcPr>
          <w:p w14:paraId="79E00907">
            <w:pPr>
              <w:pStyle w:val="13"/>
            </w:pPr>
            <w:r>
              <w:t>办公桌</w:t>
            </w:r>
          </w:p>
        </w:tc>
        <w:tc>
          <w:tcPr>
            <w:tcW w:w="1134" w:type="dxa"/>
            <w:vAlign w:val="center"/>
          </w:tcPr>
          <w:p w14:paraId="3BA5D79C">
            <w:pPr>
              <w:pStyle w:val="13"/>
            </w:pPr>
            <w:r>
              <w:t>A05010201</w:t>
            </w:r>
          </w:p>
        </w:tc>
        <w:tc>
          <w:tcPr>
            <w:tcW w:w="709" w:type="dxa"/>
            <w:vAlign w:val="center"/>
          </w:tcPr>
          <w:p w14:paraId="53E83C33">
            <w:pPr>
              <w:pStyle w:val="12"/>
            </w:pPr>
            <w:r>
              <w:t>套</w:t>
            </w:r>
          </w:p>
        </w:tc>
        <w:tc>
          <w:tcPr>
            <w:tcW w:w="850" w:type="dxa"/>
            <w:vAlign w:val="center"/>
          </w:tcPr>
          <w:p w14:paraId="4F7112C3">
            <w:pPr>
              <w:pStyle w:val="14"/>
            </w:pPr>
            <w:r>
              <w:t>95</w:t>
            </w:r>
          </w:p>
        </w:tc>
        <w:tc>
          <w:tcPr>
            <w:tcW w:w="850" w:type="dxa"/>
            <w:vAlign w:val="center"/>
          </w:tcPr>
          <w:p w14:paraId="601AFEFD">
            <w:pPr>
              <w:pStyle w:val="14"/>
            </w:pPr>
            <w:r>
              <w:t>0.05</w:t>
            </w:r>
          </w:p>
        </w:tc>
        <w:tc>
          <w:tcPr>
            <w:tcW w:w="964" w:type="dxa"/>
            <w:vAlign w:val="center"/>
          </w:tcPr>
          <w:p w14:paraId="3CEBFAF9">
            <w:pPr>
              <w:pStyle w:val="14"/>
            </w:pPr>
            <w:r>
              <w:t>4.28</w:t>
            </w:r>
          </w:p>
        </w:tc>
        <w:tc>
          <w:tcPr>
            <w:tcW w:w="964" w:type="dxa"/>
            <w:vAlign w:val="center"/>
          </w:tcPr>
          <w:p w14:paraId="791225FF">
            <w:pPr>
              <w:pStyle w:val="14"/>
            </w:pPr>
            <w:r>
              <w:t>4.28</w:t>
            </w:r>
          </w:p>
        </w:tc>
        <w:tc>
          <w:tcPr>
            <w:tcW w:w="964" w:type="dxa"/>
            <w:vAlign w:val="center"/>
          </w:tcPr>
          <w:p w14:paraId="0C57CE18">
            <w:pPr>
              <w:pStyle w:val="14"/>
            </w:pPr>
          </w:p>
        </w:tc>
        <w:tc>
          <w:tcPr>
            <w:tcW w:w="964" w:type="dxa"/>
            <w:vAlign w:val="center"/>
          </w:tcPr>
          <w:p w14:paraId="224CD6FF">
            <w:pPr>
              <w:pStyle w:val="14"/>
            </w:pPr>
          </w:p>
        </w:tc>
        <w:tc>
          <w:tcPr>
            <w:tcW w:w="964" w:type="dxa"/>
            <w:vAlign w:val="center"/>
          </w:tcPr>
          <w:p w14:paraId="1C00C20A">
            <w:pPr>
              <w:pStyle w:val="14"/>
            </w:pPr>
          </w:p>
        </w:tc>
        <w:tc>
          <w:tcPr>
            <w:tcW w:w="964" w:type="dxa"/>
            <w:vAlign w:val="center"/>
          </w:tcPr>
          <w:p w14:paraId="37FBA7B8">
            <w:pPr>
              <w:pStyle w:val="14"/>
            </w:pPr>
          </w:p>
        </w:tc>
        <w:tc>
          <w:tcPr>
            <w:tcW w:w="964" w:type="dxa"/>
            <w:vAlign w:val="center"/>
          </w:tcPr>
          <w:p w14:paraId="6845938D">
            <w:pPr>
              <w:pStyle w:val="14"/>
            </w:pPr>
          </w:p>
        </w:tc>
        <w:tc>
          <w:tcPr>
            <w:tcW w:w="964" w:type="dxa"/>
            <w:vAlign w:val="center"/>
          </w:tcPr>
          <w:p w14:paraId="37A6BD61">
            <w:pPr>
              <w:pStyle w:val="14"/>
            </w:pPr>
            <w:r>
              <w:t>4.28</w:t>
            </w:r>
          </w:p>
        </w:tc>
      </w:tr>
      <w:tr w14:paraId="126BD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76C071">
            <w:pPr>
              <w:pStyle w:val="13"/>
            </w:pPr>
            <w:r>
              <w:t>冀财教[2024]123号/中央/2025年义教补助经费/固城中学公用经费</w:t>
            </w:r>
          </w:p>
        </w:tc>
        <w:tc>
          <w:tcPr>
            <w:tcW w:w="964" w:type="dxa"/>
            <w:vAlign w:val="center"/>
          </w:tcPr>
          <w:p w14:paraId="77BB2BD9">
            <w:pPr>
              <w:pStyle w:val="14"/>
            </w:pPr>
            <w:r>
              <w:t>153.97</w:t>
            </w:r>
          </w:p>
        </w:tc>
        <w:tc>
          <w:tcPr>
            <w:tcW w:w="1134" w:type="dxa"/>
            <w:vAlign w:val="center"/>
          </w:tcPr>
          <w:p w14:paraId="7E14D749">
            <w:pPr>
              <w:pStyle w:val="13"/>
            </w:pPr>
            <w:r>
              <w:t>书柜</w:t>
            </w:r>
          </w:p>
        </w:tc>
        <w:tc>
          <w:tcPr>
            <w:tcW w:w="1134" w:type="dxa"/>
            <w:vAlign w:val="center"/>
          </w:tcPr>
          <w:p w14:paraId="1DFB8F44">
            <w:pPr>
              <w:pStyle w:val="13"/>
            </w:pPr>
            <w:r>
              <w:t>A05010501</w:t>
            </w:r>
          </w:p>
        </w:tc>
        <w:tc>
          <w:tcPr>
            <w:tcW w:w="709" w:type="dxa"/>
            <w:vAlign w:val="center"/>
          </w:tcPr>
          <w:p w14:paraId="026DB480">
            <w:pPr>
              <w:pStyle w:val="12"/>
            </w:pPr>
            <w:r>
              <w:t>个</w:t>
            </w:r>
          </w:p>
        </w:tc>
        <w:tc>
          <w:tcPr>
            <w:tcW w:w="850" w:type="dxa"/>
            <w:vAlign w:val="center"/>
          </w:tcPr>
          <w:p w14:paraId="0D16BBFF">
            <w:pPr>
              <w:pStyle w:val="14"/>
            </w:pPr>
            <w:r>
              <w:t>32</w:t>
            </w:r>
          </w:p>
        </w:tc>
        <w:tc>
          <w:tcPr>
            <w:tcW w:w="850" w:type="dxa"/>
            <w:vAlign w:val="center"/>
          </w:tcPr>
          <w:p w14:paraId="554C5FD7">
            <w:pPr>
              <w:pStyle w:val="14"/>
            </w:pPr>
            <w:r>
              <w:t>0.02</w:t>
            </w:r>
          </w:p>
        </w:tc>
        <w:tc>
          <w:tcPr>
            <w:tcW w:w="964" w:type="dxa"/>
            <w:vAlign w:val="center"/>
          </w:tcPr>
          <w:p w14:paraId="22857A2B">
            <w:pPr>
              <w:pStyle w:val="14"/>
            </w:pPr>
            <w:r>
              <w:t>0.70</w:t>
            </w:r>
          </w:p>
        </w:tc>
        <w:tc>
          <w:tcPr>
            <w:tcW w:w="964" w:type="dxa"/>
            <w:vAlign w:val="center"/>
          </w:tcPr>
          <w:p w14:paraId="4E587421">
            <w:pPr>
              <w:pStyle w:val="14"/>
            </w:pPr>
            <w:r>
              <w:t>0.70</w:t>
            </w:r>
          </w:p>
        </w:tc>
        <w:tc>
          <w:tcPr>
            <w:tcW w:w="964" w:type="dxa"/>
            <w:vAlign w:val="center"/>
          </w:tcPr>
          <w:p w14:paraId="492CCA37">
            <w:pPr>
              <w:pStyle w:val="14"/>
            </w:pPr>
          </w:p>
        </w:tc>
        <w:tc>
          <w:tcPr>
            <w:tcW w:w="964" w:type="dxa"/>
            <w:vAlign w:val="center"/>
          </w:tcPr>
          <w:p w14:paraId="6C49E5FD">
            <w:pPr>
              <w:pStyle w:val="14"/>
            </w:pPr>
          </w:p>
        </w:tc>
        <w:tc>
          <w:tcPr>
            <w:tcW w:w="964" w:type="dxa"/>
            <w:vAlign w:val="center"/>
          </w:tcPr>
          <w:p w14:paraId="20D7078C">
            <w:pPr>
              <w:pStyle w:val="14"/>
            </w:pPr>
          </w:p>
        </w:tc>
        <w:tc>
          <w:tcPr>
            <w:tcW w:w="964" w:type="dxa"/>
            <w:vAlign w:val="center"/>
          </w:tcPr>
          <w:p w14:paraId="24BB719D">
            <w:pPr>
              <w:pStyle w:val="14"/>
            </w:pPr>
          </w:p>
        </w:tc>
        <w:tc>
          <w:tcPr>
            <w:tcW w:w="964" w:type="dxa"/>
            <w:vAlign w:val="center"/>
          </w:tcPr>
          <w:p w14:paraId="59479082">
            <w:pPr>
              <w:pStyle w:val="14"/>
            </w:pPr>
          </w:p>
        </w:tc>
        <w:tc>
          <w:tcPr>
            <w:tcW w:w="964" w:type="dxa"/>
            <w:vAlign w:val="center"/>
          </w:tcPr>
          <w:p w14:paraId="247BE024">
            <w:pPr>
              <w:pStyle w:val="14"/>
            </w:pPr>
            <w:r>
              <w:t>0.70</w:t>
            </w:r>
          </w:p>
        </w:tc>
      </w:tr>
      <w:tr w14:paraId="0DC2C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E6ABFC">
            <w:pPr>
              <w:pStyle w:val="13"/>
            </w:pPr>
            <w:r>
              <w:t>冀财教[2024]123号/中央/2025年义教补助经费/综合奖补/固城中学微机室装备购置</w:t>
            </w:r>
          </w:p>
        </w:tc>
        <w:tc>
          <w:tcPr>
            <w:tcW w:w="964" w:type="dxa"/>
            <w:vAlign w:val="center"/>
          </w:tcPr>
          <w:p w14:paraId="203350BF">
            <w:pPr>
              <w:pStyle w:val="14"/>
            </w:pPr>
            <w:r>
              <w:t>22.40</w:t>
            </w:r>
          </w:p>
        </w:tc>
        <w:tc>
          <w:tcPr>
            <w:tcW w:w="1134" w:type="dxa"/>
            <w:vAlign w:val="center"/>
          </w:tcPr>
          <w:p w14:paraId="258E35D5">
            <w:pPr>
              <w:pStyle w:val="13"/>
            </w:pPr>
            <w:r>
              <w:t>台式计算机</w:t>
            </w:r>
          </w:p>
        </w:tc>
        <w:tc>
          <w:tcPr>
            <w:tcW w:w="1134" w:type="dxa"/>
            <w:vAlign w:val="center"/>
          </w:tcPr>
          <w:p w14:paraId="775FF05B">
            <w:pPr>
              <w:pStyle w:val="13"/>
            </w:pPr>
            <w:r>
              <w:t>A02010105</w:t>
            </w:r>
          </w:p>
        </w:tc>
        <w:tc>
          <w:tcPr>
            <w:tcW w:w="709" w:type="dxa"/>
            <w:vAlign w:val="center"/>
          </w:tcPr>
          <w:p w14:paraId="09C8BE25">
            <w:pPr>
              <w:pStyle w:val="12"/>
            </w:pPr>
            <w:r>
              <w:t>台</w:t>
            </w:r>
          </w:p>
        </w:tc>
        <w:tc>
          <w:tcPr>
            <w:tcW w:w="850" w:type="dxa"/>
            <w:vAlign w:val="center"/>
          </w:tcPr>
          <w:p w14:paraId="59DA5AC6">
            <w:pPr>
              <w:pStyle w:val="14"/>
            </w:pPr>
            <w:r>
              <w:t>56</w:t>
            </w:r>
          </w:p>
        </w:tc>
        <w:tc>
          <w:tcPr>
            <w:tcW w:w="850" w:type="dxa"/>
            <w:vAlign w:val="center"/>
          </w:tcPr>
          <w:p w14:paraId="51BC9FBF">
            <w:pPr>
              <w:pStyle w:val="14"/>
            </w:pPr>
            <w:r>
              <w:t>0.40</w:t>
            </w:r>
          </w:p>
        </w:tc>
        <w:tc>
          <w:tcPr>
            <w:tcW w:w="964" w:type="dxa"/>
            <w:vAlign w:val="center"/>
          </w:tcPr>
          <w:p w14:paraId="6CF6888D">
            <w:pPr>
              <w:pStyle w:val="14"/>
            </w:pPr>
            <w:r>
              <w:t>22.40</w:t>
            </w:r>
          </w:p>
        </w:tc>
        <w:tc>
          <w:tcPr>
            <w:tcW w:w="964" w:type="dxa"/>
            <w:vAlign w:val="center"/>
          </w:tcPr>
          <w:p w14:paraId="072BE43B">
            <w:pPr>
              <w:pStyle w:val="14"/>
            </w:pPr>
            <w:r>
              <w:t>22.40</w:t>
            </w:r>
          </w:p>
        </w:tc>
        <w:tc>
          <w:tcPr>
            <w:tcW w:w="964" w:type="dxa"/>
            <w:vAlign w:val="center"/>
          </w:tcPr>
          <w:p w14:paraId="089F5BC5">
            <w:pPr>
              <w:pStyle w:val="14"/>
            </w:pPr>
          </w:p>
        </w:tc>
        <w:tc>
          <w:tcPr>
            <w:tcW w:w="964" w:type="dxa"/>
            <w:vAlign w:val="center"/>
          </w:tcPr>
          <w:p w14:paraId="6E11210E">
            <w:pPr>
              <w:pStyle w:val="14"/>
            </w:pPr>
          </w:p>
        </w:tc>
        <w:tc>
          <w:tcPr>
            <w:tcW w:w="964" w:type="dxa"/>
            <w:vAlign w:val="center"/>
          </w:tcPr>
          <w:p w14:paraId="6FAFB3A4">
            <w:pPr>
              <w:pStyle w:val="14"/>
            </w:pPr>
          </w:p>
        </w:tc>
        <w:tc>
          <w:tcPr>
            <w:tcW w:w="964" w:type="dxa"/>
            <w:vAlign w:val="center"/>
          </w:tcPr>
          <w:p w14:paraId="1EB41F61">
            <w:pPr>
              <w:pStyle w:val="14"/>
            </w:pPr>
          </w:p>
        </w:tc>
        <w:tc>
          <w:tcPr>
            <w:tcW w:w="964" w:type="dxa"/>
            <w:vAlign w:val="center"/>
          </w:tcPr>
          <w:p w14:paraId="12933DC6">
            <w:pPr>
              <w:pStyle w:val="14"/>
            </w:pPr>
          </w:p>
        </w:tc>
        <w:tc>
          <w:tcPr>
            <w:tcW w:w="964" w:type="dxa"/>
            <w:vAlign w:val="center"/>
          </w:tcPr>
          <w:p w14:paraId="2BA051D8">
            <w:pPr>
              <w:pStyle w:val="14"/>
            </w:pPr>
            <w:r>
              <w:t>22.40</w:t>
            </w:r>
          </w:p>
        </w:tc>
      </w:tr>
    </w:tbl>
    <w:p w14:paraId="698AF48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659EB1">
      <w:pPr>
        <w:spacing w:before="0" w:after="0"/>
        <w:ind w:firstLine="640"/>
        <w:jc w:val="left"/>
        <w:outlineLvl w:val="9"/>
      </w:pPr>
      <w:r>
        <w:rPr>
          <w:rFonts w:ascii="Times New Roman" w:hAnsi="Times New Roman" w:eastAsia="方正仿宋_GBK" w:cs="Times New Roman"/>
          <w:color w:val="000000"/>
          <w:sz w:val="32"/>
        </w:rPr>
        <w:t xml:space="preserve"> </w:t>
      </w:r>
    </w:p>
    <w:p w14:paraId="2299BD4F">
      <w:pPr>
        <w:spacing w:before="10" w:after="10" w:line="240" w:lineRule="auto"/>
        <w:ind w:firstLine="640"/>
        <w:jc w:val="left"/>
        <w:outlineLvl w:val="5"/>
      </w:pPr>
      <w:r>
        <w:rPr>
          <w:rFonts w:ascii="黑体" w:hAnsi="黑体" w:eastAsia="黑体" w:cs="黑体"/>
          <w:color w:val="000000"/>
          <w:sz w:val="32"/>
        </w:rPr>
        <w:t>七、国有资产信息</w:t>
      </w:r>
    </w:p>
    <w:p w14:paraId="291F6480">
      <w:pPr>
        <w:spacing w:before="0" w:after="0" w:line="500" w:lineRule="exact"/>
        <w:ind w:firstLine="560"/>
        <w:jc w:val="left"/>
        <w:outlineLvl w:val="9"/>
      </w:pPr>
      <w:r>
        <w:rPr>
          <w:rFonts w:ascii="Times New Roman" w:hAnsi="Times New Roman" w:eastAsia="方正仿宋_GBK" w:cs="Times New Roman"/>
          <w:b w:val="0"/>
          <w:color w:val="000000"/>
          <w:sz w:val="28"/>
        </w:rPr>
        <w:t>隆尧县固城中学上年末固定资产金额为2878.80万元（详见下表）。本年度拟购置固定资产总额为18.00万元，已按要求列入政府采购预算，详见政府采购预算表。</w:t>
      </w:r>
    </w:p>
    <w:p w14:paraId="3251B04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0EF4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717B05B">
            <w:pPr>
              <w:pStyle w:val="8"/>
            </w:pPr>
            <w:r>
              <w:t>360010隆尧县固城中学</w:t>
            </w:r>
          </w:p>
        </w:tc>
        <w:tc>
          <w:tcPr>
            <w:tcW w:w="5670" w:type="dxa"/>
            <w:gridSpan w:val="2"/>
            <w:tcBorders>
              <w:top w:val="single" w:color="FFFFFF" w:sz="6" w:space="0"/>
              <w:left w:val="single" w:color="FFFFFF" w:sz="6" w:space="0"/>
              <w:right w:val="single" w:color="FFFFFF" w:sz="6" w:space="0"/>
            </w:tcBorders>
            <w:vAlign w:val="center"/>
          </w:tcPr>
          <w:p w14:paraId="6583B65D">
            <w:pPr>
              <w:pStyle w:val="10"/>
            </w:pPr>
            <w:r>
              <w:t>截止时间：2024-12-31</w:t>
            </w:r>
          </w:p>
        </w:tc>
      </w:tr>
      <w:tr w14:paraId="34BB0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B5A0F13">
            <w:pPr>
              <w:pStyle w:val="11"/>
            </w:pPr>
            <w:r>
              <w:t>项   目</w:t>
            </w:r>
          </w:p>
        </w:tc>
        <w:tc>
          <w:tcPr>
            <w:tcW w:w="2835" w:type="dxa"/>
            <w:vAlign w:val="center"/>
          </w:tcPr>
          <w:p w14:paraId="222C7971">
            <w:pPr>
              <w:pStyle w:val="11"/>
            </w:pPr>
            <w:r>
              <w:t>数量</w:t>
            </w:r>
          </w:p>
        </w:tc>
        <w:tc>
          <w:tcPr>
            <w:tcW w:w="2835" w:type="dxa"/>
            <w:vAlign w:val="center"/>
          </w:tcPr>
          <w:p w14:paraId="3BB20622">
            <w:pPr>
              <w:pStyle w:val="11"/>
            </w:pPr>
            <w:r>
              <w:t>价值（金额单位：万元）</w:t>
            </w:r>
          </w:p>
        </w:tc>
      </w:tr>
      <w:tr w14:paraId="18D20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F37EE5">
            <w:pPr>
              <w:pStyle w:val="13"/>
            </w:pPr>
            <w:r>
              <w:t>资产总额</w:t>
            </w:r>
          </w:p>
        </w:tc>
        <w:tc>
          <w:tcPr>
            <w:tcW w:w="2835" w:type="dxa"/>
            <w:vAlign w:val="center"/>
          </w:tcPr>
          <w:p w14:paraId="59618B60">
            <w:pPr>
              <w:pStyle w:val="12"/>
            </w:pPr>
          </w:p>
        </w:tc>
        <w:tc>
          <w:tcPr>
            <w:tcW w:w="2835" w:type="dxa"/>
            <w:vAlign w:val="center"/>
          </w:tcPr>
          <w:p w14:paraId="028868B8">
            <w:pPr>
              <w:pStyle w:val="14"/>
            </w:pPr>
            <w:r>
              <w:t>2878.80</w:t>
            </w:r>
          </w:p>
        </w:tc>
      </w:tr>
      <w:tr w14:paraId="7B4B1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B96C4D">
            <w:pPr>
              <w:pStyle w:val="13"/>
            </w:pPr>
            <w:r>
              <w:t>1、房屋（平方米）</w:t>
            </w:r>
          </w:p>
        </w:tc>
        <w:tc>
          <w:tcPr>
            <w:tcW w:w="2835" w:type="dxa"/>
            <w:vAlign w:val="center"/>
          </w:tcPr>
          <w:p w14:paraId="3066D627">
            <w:pPr>
              <w:pStyle w:val="12"/>
            </w:pPr>
            <w:r>
              <w:t>21730.73</w:t>
            </w:r>
          </w:p>
        </w:tc>
        <w:tc>
          <w:tcPr>
            <w:tcW w:w="2835" w:type="dxa"/>
            <w:vAlign w:val="center"/>
          </w:tcPr>
          <w:p w14:paraId="711C31AC">
            <w:pPr>
              <w:pStyle w:val="14"/>
            </w:pPr>
            <w:r>
              <w:t>1587.66</w:t>
            </w:r>
          </w:p>
        </w:tc>
      </w:tr>
      <w:tr w14:paraId="6C635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3A4184">
            <w:pPr>
              <w:pStyle w:val="13"/>
            </w:pPr>
            <w:r>
              <w:t>　　其中：办公用房（平方米）</w:t>
            </w:r>
          </w:p>
        </w:tc>
        <w:tc>
          <w:tcPr>
            <w:tcW w:w="2835" w:type="dxa"/>
            <w:vAlign w:val="center"/>
          </w:tcPr>
          <w:p w14:paraId="048AE137">
            <w:pPr>
              <w:pStyle w:val="12"/>
            </w:pPr>
            <w:r>
              <w:t>1161</w:t>
            </w:r>
          </w:p>
        </w:tc>
        <w:tc>
          <w:tcPr>
            <w:tcW w:w="2835" w:type="dxa"/>
            <w:vAlign w:val="center"/>
          </w:tcPr>
          <w:p w14:paraId="6D301345">
            <w:pPr>
              <w:pStyle w:val="14"/>
            </w:pPr>
            <w:r>
              <w:t>84.79</w:t>
            </w:r>
          </w:p>
        </w:tc>
      </w:tr>
      <w:tr w14:paraId="4CF0F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45BD52">
            <w:pPr>
              <w:pStyle w:val="13"/>
            </w:pPr>
            <w:r>
              <w:t>2、车辆（台、辆）</w:t>
            </w:r>
          </w:p>
        </w:tc>
        <w:tc>
          <w:tcPr>
            <w:tcW w:w="2835" w:type="dxa"/>
            <w:vAlign w:val="center"/>
          </w:tcPr>
          <w:p w14:paraId="22CF8E16">
            <w:pPr>
              <w:pStyle w:val="12"/>
            </w:pPr>
          </w:p>
        </w:tc>
        <w:tc>
          <w:tcPr>
            <w:tcW w:w="2835" w:type="dxa"/>
            <w:vAlign w:val="center"/>
          </w:tcPr>
          <w:p w14:paraId="22EBB02A">
            <w:pPr>
              <w:pStyle w:val="14"/>
            </w:pPr>
          </w:p>
        </w:tc>
      </w:tr>
      <w:tr w14:paraId="64580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D49FBE">
            <w:pPr>
              <w:pStyle w:val="13"/>
            </w:pPr>
            <w:r>
              <w:t>3、单价在20万元以上的设备</w:t>
            </w:r>
          </w:p>
        </w:tc>
        <w:tc>
          <w:tcPr>
            <w:tcW w:w="2835" w:type="dxa"/>
            <w:vAlign w:val="center"/>
          </w:tcPr>
          <w:p w14:paraId="35653439">
            <w:pPr>
              <w:pStyle w:val="12"/>
            </w:pPr>
          </w:p>
        </w:tc>
        <w:tc>
          <w:tcPr>
            <w:tcW w:w="2835" w:type="dxa"/>
            <w:vAlign w:val="center"/>
          </w:tcPr>
          <w:p w14:paraId="5F1C1CAD">
            <w:pPr>
              <w:pStyle w:val="14"/>
            </w:pPr>
          </w:p>
        </w:tc>
      </w:tr>
      <w:tr w14:paraId="7DB40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4B27CB">
            <w:pPr>
              <w:pStyle w:val="13"/>
            </w:pPr>
            <w:r>
              <w:t>4、其他固定资产</w:t>
            </w:r>
          </w:p>
        </w:tc>
        <w:tc>
          <w:tcPr>
            <w:tcW w:w="2835" w:type="dxa"/>
            <w:vAlign w:val="center"/>
          </w:tcPr>
          <w:p w14:paraId="39C7BC0E">
            <w:pPr>
              <w:pStyle w:val="12"/>
            </w:pPr>
            <w:r>
              <w:t>198606</w:t>
            </w:r>
          </w:p>
        </w:tc>
        <w:tc>
          <w:tcPr>
            <w:tcW w:w="2835" w:type="dxa"/>
            <w:vAlign w:val="center"/>
          </w:tcPr>
          <w:p w14:paraId="7C092FE4">
            <w:pPr>
              <w:pStyle w:val="14"/>
            </w:pPr>
            <w:r>
              <w:t>1291.14</w:t>
            </w:r>
          </w:p>
        </w:tc>
      </w:tr>
    </w:tbl>
    <w:p w14:paraId="499A0EC9">
      <w:pPr>
        <w:spacing w:before="0" w:after="0"/>
        <w:ind w:firstLine="640"/>
        <w:jc w:val="left"/>
        <w:outlineLvl w:val="9"/>
      </w:pPr>
      <w:r>
        <w:rPr>
          <w:rFonts w:ascii="Times New Roman" w:hAnsi="Times New Roman" w:eastAsia="方正仿宋_GBK" w:cs="Times New Roman"/>
          <w:color w:val="000000"/>
          <w:sz w:val="32"/>
        </w:rPr>
        <w:t xml:space="preserve"> </w:t>
      </w:r>
    </w:p>
    <w:p w14:paraId="0F8E4A6D">
      <w:pPr>
        <w:spacing w:before="10" w:after="10" w:line="240" w:lineRule="auto"/>
        <w:ind w:firstLine="640"/>
        <w:jc w:val="left"/>
        <w:outlineLvl w:val="5"/>
      </w:pPr>
      <w:r>
        <w:rPr>
          <w:rFonts w:ascii="黑体" w:hAnsi="黑体" w:eastAsia="黑体" w:cs="黑体"/>
          <w:color w:val="000000"/>
          <w:sz w:val="32"/>
        </w:rPr>
        <w:t>八、名词解释</w:t>
      </w:r>
    </w:p>
    <w:p w14:paraId="42B75E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37FAC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A96E3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8F6C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F08C5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723F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EDECD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BFE39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E3AB8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7013D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4964CD">
      <w:pPr>
        <w:spacing w:before="10" w:after="10" w:line="240" w:lineRule="auto"/>
        <w:ind w:firstLine="640"/>
        <w:jc w:val="left"/>
        <w:outlineLvl w:val="5"/>
      </w:pPr>
      <w:r>
        <w:rPr>
          <w:rFonts w:ascii="黑体" w:hAnsi="黑体" w:eastAsia="黑体" w:cs="黑体"/>
          <w:color w:val="000000"/>
          <w:sz w:val="32"/>
        </w:rPr>
        <w:t>九、其他需要说明的事项</w:t>
      </w:r>
    </w:p>
    <w:p w14:paraId="6F4B31A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9CA74F0">
      <w:pPr>
        <w:spacing w:before="0" w:after="0"/>
        <w:ind w:firstLine="0"/>
        <w:jc w:val="center"/>
        <w:outlineLvl w:val="3"/>
      </w:pPr>
      <w:bookmarkStart w:id="10" w:name="_Toc_4_4_0000000030"/>
      <w:r>
        <w:rPr>
          <w:rFonts w:ascii="方正小标宋_GBK" w:hAnsi="方正小标宋_GBK" w:eastAsia="方正小标宋_GBK" w:cs="方正小标宋_GBK"/>
          <w:b w:val="0"/>
          <w:color w:val="000000"/>
          <w:sz w:val="44"/>
        </w:rPr>
        <w:t>十、河北省隆尧县实验中学收支预算</w:t>
      </w:r>
      <w:bookmarkEnd w:id="10"/>
    </w:p>
    <w:p w14:paraId="113D6F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B9F7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FEE71B3">
            <w:pPr>
              <w:pStyle w:val="8"/>
            </w:pPr>
            <w:r>
              <w:t>360011河北省隆尧县实验中学</w:t>
            </w:r>
          </w:p>
        </w:tc>
        <w:tc>
          <w:tcPr>
            <w:tcW w:w="2126" w:type="dxa"/>
            <w:tcBorders>
              <w:top w:val="single" w:color="FFFFFF" w:sz="6" w:space="0"/>
              <w:left w:val="single" w:color="FFFFFF" w:sz="6" w:space="0"/>
              <w:right w:val="single" w:color="FFFFFF" w:sz="6" w:space="0"/>
            </w:tcBorders>
            <w:vAlign w:val="center"/>
          </w:tcPr>
          <w:p w14:paraId="67F82D7B">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DE9E350">
            <w:pPr>
              <w:pStyle w:val="10"/>
            </w:pPr>
            <w:r>
              <w:t>单位：万元</w:t>
            </w:r>
          </w:p>
        </w:tc>
      </w:tr>
      <w:tr w14:paraId="0FF25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67A997">
            <w:pPr>
              <w:pStyle w:val="11"/>
            </w:pPr>
            <w:r>
              <w:t>序号</w:t>
            </w:r>
          </w:p>
        </w:tc>
        <w:tc>
          <w:tcPr>
            <w:tcW w:w="6661" w:type="dxa"/>
            <w:gridSpan w:val="2"/>
            <w:vAlign w:val="center"/>
          </w:tcPr>
          <w:p w14:paraId="61993111">
            <w:pPr>
              <w:pStyle w:val="11"/>
            </w:pPr>
            <w:r>
              <w:t>收入</w:t>
            </w:r>
          </w:p>
        </w:tc>
        <w:tc>
          <w:tcPr>
            <w:tcW w:w="6661" w:type="dxa"/>
            <w:gridSpan w:val="2"/>
            <w:vAlign w:val="center"/>
          </w:tcPr>
          <w:p w14:paraId="69B0673F">
            <w:pPr>
              <w:pStyle w:val="11"/>
            </w:pPr>
            <w:r>
              <w:t>支出</w:t>
            </w:r>
          </w:p>
        </w:tc>
      </w:tr>
      <w:tr w14:paraId="57183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E313F"/>
        </w:tc>
        <w:tc>
          <w:tcPr>
            <w:tcW w:w="4535" w:type="dxa"/>
            <w:vAlign w:val="center"/>
          </w:tcPr>
          <w:p w14:paraId="52D3CB00">
            <w:pPr>
              <w:pStyle w:val="11"/>
            </w:pPr>
            <w:r>
              <w:t>项  目</w:t>
            </w:r>
          </w:p>
        </w:tc>
        <w:tc>
          <w:tcPr>
            <w:tcW w:w="2126" w:type="dxa"/>
            <w:vAlign w:val="center"/>
          </w:tcPr>
          <w:p w14:paraId="2C48945C">
            <w:pPr>
              <w:pStyle w:val="11"/>
            </w:pPr>
            <w:r>
              <w:t>预算数</w:t>
            </w:r>
          </w:p>
        </w:tc>
        <w:tc>
          <w:tcPr>
            <w:tcW w:w="4535" w:type="dxa"/>
            <w:vAlign w:val="center"/>
          </w:tcPr>
          <w:p w14:paraId="7174D1C9">
            <w:pPr>
              <w:pStyle w:val="11"/>
            </w:pPr>
            <w:r>
              <w:t>项  目</w:t>
            </w:r>
          </w:p>
        </w:tc>
        <w:tc>
          <w:tcPr>
            <w:tcW w:w="2126" w:type="dxa"/>
            <w:vAlign w:val="center"/>
          </w:tcPr>
          <w:p w14:paraId="0A317BA5">
            <w:pPr>
              <w:pStyle w:val="11"/>
            </w:pPr>
            <w:r>
              <w:t>预算数</w:t>
            </w:r>
          </w:p>
        </w:tc>
      </w:tr>
      <w:tr w14:paraId="2E071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76C4F1">
            <w:pPr>
              <w:pStyle w:val="11"/>
            </w:pPr>
            <w:r>
              <w:t>栏次</w:t>
            </w:r>
          </w:p>
        </w:tc>
        <w:tc>
          <w:tcPr>
            <w:tcW w:w="4535" w:type="dxa"/>
            <w:vAlign w:val="center"/>
          </w:tcPr>
          <w:p w14:paraId="5111EDDB">
            <w:pPr>
              <w:pStyle w:val="11"/>
            </w:pPr>
            <w:r>
              <w:t>1</w:t>
            </w:r>
          </w:p>
        </w:tc>
        <w:tc>
          <w:tcPr>
            <w:tcW w:w="2126" w:type="dxa"/>
            <w:vAlign w:val="center"/>
          </w:tcPr>
          <w:p w14:paraId="798B0E63">
            <w:pPr>
              <w:pStyle w:val="11"/>
            </w:pPr>
            <w:r>
              <w:t>2</w:t>
            </w:r>
          </w:p>
        </w:tc>
        <w:tc>
          <w:tcPr>
            <w:tcW w:w="4535" w:type="dxa"/>
            <w:vAlign w:val="center"/>
          </w:tcPr>
          <w:p w14:paraId="63FCF58E">
            <w:pPr>
              <w:pStyle w:val="11"/>
            </w:pPr>
            <w:r>
              <w:t>3</w:t>
            </w:r>
          </w:p>
        </w:tc>
        <w:tc>
          <w:tcPr>
            <w:tcW w:w="2126" w:type="dxa"/>
            <w:vAlign w:val="center"/>
          </w:tcPr>
          <w:p w14:paraId="11EB3B13">
            <w:pPr>
              <w:pStyle w:val="11"/>
            </w:pPr>
            <w:r>
              <w:t>4</w:t>
            </w:r>
          </w:p>
        </w:tc>
      </w:tr>
      <w:tr w14:paraId="46A07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71F82">
            <w:pPr>
              <w:pStyle w:val="12"/>
            </w:pPr>
            <w:r>
              <w:t>1</w:t>
            </w:r>
          </w:p>
        </w:tc>
        <w:tc>
          <w:tcPr>
            <w:tcW w:w="4535" w:type="dxa"/>
            <w:vAlign w:val="center"/>
          </w:tcPr>
          <w:p w14:paraId="162ABDBC">
            <w:pPr>
              <w:pStyle w:val="13"/>
            </w:pPr>
            <w:r>
              <w:t>一、一般公共预算拨款收入</w:t>
            </w:r>
          </w:p>
        </w:tc>
        <w:tc>
          <w:tcPr>
            <w:tcW w:w="2126" w:type="dxa"/>
            <w:vAlign w:val="center"/>
          </w:tcPr>
          <w:p w14:paraId="5675C16A">
            <w:pPr>
              <w:pStyle w:val="14"/>
            </w:pPr>
            <w:r>
              <w:t>3388.14</w:t>
            </w:r>
          </w:p>
        </w:tc>
        <w:tc>
          <w:tcPr>
            <w:tcW w:w="4535" w:type="dxa"/>
            <w:vAlign w:val="center"/>
          </w:tcPr>
          <w:p w14:paraId="3CD83544">
            <w:pPr>
              <w:pStyle w:val="13"/>
            </w:pPr>
            <w:r>
              <w:t>一、一般公共服务支出</w:t>
            </w:r>
          </w:p>
        </w:tc>
        <w:tc>
          <w:tcPr>
            <w:tcW w:w="2126" w:type="dxa"/>
            <w:vAlign w:val="center"/>
          </w:tcPr>
          <w:p w14:paraId="05665ECE">
            <w:pPr>
              <w:pStyle w:val="14"/>
            </w:pPr>
          </w:p>
        </w:tc>
      </w:tr>
      <w:tr w14:paraId="00D0F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8A7D2">
            <w:pPr>
              <w:pStyle w:val="12"/>
            </w:pPr>
            <w:r>
              <w:t>2</w:t>
            </w:r>
          </w:p>
        </w:tc>
        <w:tc>
          <w:tcPr>
            <w:tcW w:w="4535" w:type="dxa"/>
            <w:vAlign w:val="center"/>
          </w:tcPr>
          <w:p w14:paraId="00E9DBA4">
            <w:pPr>
              <w:pStyle w:val="13"/>
            </w:pPr>
            <w:r>
              <w:t>二、政府性基金预算拨款收入</w:t>
            </w:r>
          </w:p>
        </w:tc>
        <w:tc>
          <w:tcPr>
            <w:tcW w:w="2126" w:type="dxa"/>
            <w:vAlign w:val="center"/>
          </w:tcPr>
          <w:p w14:paraId="393807B3">
            <w:pPr>
              <w:pStyle w:val="14"/>
            </w:pPr>
          </w:p>
        </w:tc>
        <w:tc>
          <w:tcPr>
            <w:tcW w:w="4535" w:type="dxa"/>
            <w:vAlign w:val="center"/>
          </w:tcPr>
          <w:p w14:paraId="45F69555">
            <w:pPr>
              <w:pStyle w:val="13"/>
            </w:pPr>
            <w:r>
              <w:t>二、外交支出</w:t>
            </w:r>
          </w:p>
        </w:tc>
        <w:tc>
          <w:tcPr>
            <w:tcW w:w="2126" w:type="dxa"/>
            <w:vAlign w:val="center"/>
          </w:tcPr>
          <w:p w14:paraId="33DF4FCC">
            <w:pPr>
              <w:pStyle w:val="14"/>
            </w:pPr>
          </w:p>
        </w:tc>
      </w:tr>
      <w:tr w14:paraId="634B6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3B028">
            <w:pPr>
              <w:pStyle w:val="12"/>
            </w:pPr>
            <w:r>
              <w:t>3</w:t>
            </w:r>
          </w:p>
        </w:tc>
        <w:tc>
          <w:tcPr>
            <w:tcW w:w="4535" w:type="dxa"/>
            <w:vAlign w:val="center"/>
          </w:tcPr>
          <w:p w14:paraId="48CF7700">
            <w:pPr>
              <w:pStyle w:val="13"/>
            </w:pPr>
            <w:r>
              <w:t>三、国有资本经营预算拨款收入</w:t>
            </w:r>
          </w:p>
        </w:tc>
        <w:tc>
          <w:tcPr>
            <w:tcW w:w="2126" w:type="dxa"/>
            <w:vAlign w:val="center"/>
          </w:tcPr>
          <w:p w14:paraId="30600853">
            <w:pPr>
              <w:pStyle w:val="14"/>
            </w:pPr>
          </w:p>
        </w:tc>
        <w:tc>
          <w:tcPr>
            <w:tcW w:w="4535" w:type="dxa"/>
            <w:vAlign w:val="center"/>
          </w:tcPr>
          <w:p w14:paraId="0B521508">
            <w:pPr>
              <w:pStyle w:val="13"/>
            </w:pPr>
            <w:r>
              <w:t>三、国防支出</w:t>
            </w:r>
          </w:p>
        </w:tc>
        <w:tc>
          <w:tcPr>
            <w:tcW w:w="2126" w:type="dxa"/>
            <w:vAlign w:val="center"/>
          </w:tcPr>
          <w:p w14:paraId="70BF318D">
            <w:pPr>
              <w:pStyle w:val="14"/>
            </w:pPr>
          </w:p>
        </w:tc>
      </w:tr>
      <w:tr w14:paraId="38561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C8F442F">
            <w:pPr>
              <w:pStyle w:val="12"/>
            </w:pPr>
            <w:r>
              <w:t>4</w:t>
            </w:r>
          </w:p>
        </w:tc>
        <w:tc>
          <w:tcPr>
            <w:tcW w:w="4535" w:type="dxa"/>
            <w:vAlign w:val="center"/>
          </w:tcPr>
          <w:p w14:paraId="6F9F1EA8">
            <w:pPr>
              <w:pStyle w:val="13"/>
            </w:pPr>
            <w:r>
              <w:t>四、财政专户管理资金收入</w:t>
            </w:r>
          </w:p>
        </w:tc>
        <w:tc>
          <w:tcPr>
            <w:tcW w:w="2126" w:type="dxa"/>
            <w:vAlign w:val="center"/>
          </w:tcPr>
          <w:p w14:paraId="7CAD68FE">
            <w:pPr>
              <w:pStyle w:val="14"/>
            </w:pPr>
          </w:p>
        </w:tc>
        <w:tc>
          <w:tcPr>
            <w:tcW w:w="4535" w:type="dxa"/>
            <w:vAlign w:val="center"/>
          </w:tcPr>
          <w:p w14:paraId="430A1D68">
            <w:pPr>
              <w:pStyle w:val="13"/>
            </w:pPr>
            <w:r>
              <w:t>四、公共安全支出</w:t>
            </w:r>
          </w:p>
        </w:tc>
        <w:tc>
          <w:tcPr>
            <w:tcW w:w="2126" w:type="dxa"/>
            <w:vAlign w:val="center"/>
          </w:tcPr>
          <w:p w14:paraId="7CD3B8F1">
            <w:pPr>
              <w:pStyle w:val="14"/>
            </w:pPr>
          </w:p>
        </w:tc>
      </w:tr>
      <w:tr w14:paraId="395E4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93B6B">
            <w:pPr>
              <w:pStyle w:val="12"/>
            </w:pPr>
            <w:r>
              <w:t>5</w:t>
            </w:r>
          </w:p>
        </w:tc>
        <w:tc>
          <w:tcPr>
            <w:tcW w:w="4535" w:type="dxa"/>
            <w:vAlign w:val="center"/>
          </w:tcPr>
          <w:p w14:paraId="3BE2ACF8">
            <w:pPr>
              <w:pStyle w:val="13"/>
            </w:pPr>
            <w:r>
              <w:t>五、单位资金</w:t>
            </w:r>
          </w:p>
        </w:tc>
        <w:tc>
          <w:tcPr>
            <w:tcW w:w="2126" w:type="dxa"/>
            <w:vAlign w:val="center"/>
          </w:tcPr>
          <w:p w14:paraId="59521F9C">
            <w:pPr>
              <w:pStyle w:val="14"/>
            </w:pPr>
          </w:p>
        </w:tc>
        <w:tc>
          <w:tcPr>
            <w:tcW w:w="4535" w:type="dxa"/>
            <w:vAlign w:val="center"/>
          </w:tcPr>
          <w:p w14:paraId="30D8C4E0">
            <w:pPr>
              <w:pStyle w:val="13"/>
            </w:pPr>
            <w:r>
              <w:t>五、教育支出</w:t>
            </w:r>
          </w:p>
        </w:tc>
        <w:tc>
          <w:tcPr>
            <w:tcW w:w="2126" w:type="dxa"/>
            <w:vAlign w:val="center"/>
          </w:tcPr>
          <w:p w14:paraId="45FA06A7">
            <w:pPr>
              <w:pStyle w:val="14"/>
            </w:pPr>
            <w:r>
              <w:t>3446.85</w:t>
            </w:r>
          </w:p>
        </w:tc>
      </w:tr>
      <w:tr w14:paraId="7E220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2BE46">
            <w:pPr>
              <w:pStyle w:val="12"/>
            </w:pPr>
            <w:r>
              <w:t>6</w:t>
            </w:r>
          </w:p>
        </w:tc>
        <w:tc>
          <w:tcPr>
            <w:tcW w:w="4535" w:type="dxa"/>
            <w:vAlign w:val="center"/>
          </w:tcPr>
          <w:p w14:paraId="67536577">
            <w:pPr>
              <w:pStyle w:val="13"/>
            </w:pPr>
          </w:p>
        </w:tc>
        <w:tc>
          <w:tcPr>
            <w:tcW w:w="2126" w:type="dxa"/>
            <w:vAlign w:val="center"/>
          </w:tcPr>
          <w:p w14:paraId="2DCBBEDE">
            <w:pPr>
              <w:pStyle w:val="14"/>
            </w:pPr>
          </w:p>
        </w:tc>
        <w:tc>
          <w:tcPr>
            <w:tcW w:w="4535" w:type="dxa"/>
            <w:vAlign w:val="center"/>
          </w:tcPr>
          <w:p w14:paraId="66025642">
            <w:pPr>
              <w:pStyle w:val="13"/>
            </w:pPr>
            <w:r>
              <w:t>六、科学技术支出</w:t>
            </w:r>
          </w:p>
        </w:tc>
        <w:tc>
          <w:tcPr>
            <w:tcW w:w="2126" w:type="dxa"/>
            <w:vAlign w:val="center"/>
          </w:tcPr>
          <w:p w14:paraId="40958AB5">
            <w:pPr>
              <w:pStyle w:val="14"/>
            </w:pPr>
          </w:p>
        </w:tc>
      </w:tr>
      <w:tr w14:paraId="66E8D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7DDD9">
            <w:pPr>
              <w:pStyle w:val="12"/>
            </w:pPr>
            <w:r>
              <w:t>7</w:t>
            </w:r>
          </w:p>
        </w:tc>
        <w:tc>
          <w:tcPr>
            <w:tcW w:w="4535" w:type="dxa"/>
            <w:vAlign w:val="center"/>
          </w:tcPr>
          <w:p w14:paraId="63909AF9">
            <w:pPr>
              <w:pStyle w:val="13"/>
            </w:pPr>
          </w:p>
        </w:tc>
        <w:tc>
          <w:tcPr>
            <w:tcW w:w="2126" w:type="dxa"/>
            <w:vAlign w:val="center"/>
          </w:tcPr>
          <w:p w14:paraId="03200626">
            <w:pPr>
              <w:pStyle w:val="14"/>
            </w:pPr>
          </w:p>
        </w:tc>
        <w:tc>
          <w:tcPr>
            <w:tcW w:w="4535" w:type="dxa"/>
            <w:vAlign w:val="center"/>
          </w:tcPr>
          <w:p w14:paraId="07F18C3D">
            <w:pPr>
              <w:pStyle w:val="13"/>
            </w:pPr>
            <w:r>
              <w:t>七、文化旅游体育与传媒支出</w:t>
            </w:r>
          </w:p>
        </w:tc>
        <w:tc>
          <w:tcPr>
            <w:tcW w:w="2126" w:type="dxa"/>
            <w:vAlign w:val="center"/>
          </w:tcPr>
          <w:p w14:paraId="2C0CCC19">
            <w:pPr>
              <w:pStyle w:val="14"/>
            </w:pPr>
          </w:p>
        </w:tc>
      </w:tr>
      <w:tr w14:paraId="75770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278C2">
            <w:pPr>
              <w:pStyle w:val="12"/>
            </w:pPr>
            <w:r>
              <w:t>8</w:t>
            </w:r>
          </w:p>
        </w:tc>
        <w:tc>
          <w:tcPr>
            <w:tcW w:w="4535" w:type="dxa"/>
            <w:vAlign w:val="center"/>
          </w:tcPr>
          <w:p w14:paraId="273925E2">
            <w:pPr>
              <w:pStyle w:val="13"/>
            </w:pPr>
          </w:p>
        </w:tc>
        <w:tc>
          <w:tcPr>
            <w:tcW w:w="2126" w:type="dxa"/>
            <w:vAlign w:val="center"/>
          </w:tcPr>
          <w:p w14:paraId="7AB90E72">
            <w:pPr>
              <w:pStyle w:val="14"/>
            </w:pPr>
          </w:p>
        </w:tc>
        <w:tc>
          <w:tcPr>
            <w:tcW w:w="4535" w:type="dxa"/>
            <w:vAlign w:val="center"/>
          </w:tcPr>
          <w:p w14:paraId="2898A24E">
            <w:pPr>
              <w:pStyle w:val="13"/>
            </w:pPr>
            <w:r>
              <w:t>八、社会保障和就业支出</w:t>
            </w:r>
          </w:p>
        </w:tc>
        <w:tc>
          <w:tcPr>
            <w:tcW w:w="2126" w:type="dxa"/>
            <w:vAlign w:val="center"/>
          </w:tcPr>
          <w:p w14:paraId="17CFFCA7">
            <w:pPr>
              <w:pStyle w:val="14"/>
            </w:pPr>
          </w:p>
        </w:tc>
      </w:tr>
      <w:tr w14:paraId="6AD9C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DFF81">
            <w:pPr>
              <w:pStyle w:val="12"/>
            </w:pPr>
            <w:r>
              <w:t>9</w:t>
            </w:r>
          </w:p>
        </w:tc>
        <w:tc>
          <w:tcPr>
            <w:tcW w:w="4535" w:type="dxa"/>
            <w:vAlign w:val="center"/>
          </w:tcPr>
          <w:p w14:paraId="6300C0E5">
            <w:pPr>
              <w:pStyle w:val="13"/>
            </w:pPr>
          </w:p>
        </w:tc>
        <w:tc>
          <w:tcPr>
            <w:tcW w:w="2126" w:type="dxa"/>
            <w:vAlign w:val="center"/>
          </w:tcPr>
          <w:p w14:paraId="3F9D341B">
            <w:pPr>
              <w:pStyle w:val="14"/>
            </w:pPr>
          </w:p>
        </w:tc>
        <w:tc>
          <w:tcPr>
            <w:tcW w:w="4535" w:type="dxa"/>
            <w:vAlign w:val="center"/>
          </w:tcPr>
          <w:p w14:paraId="3E549DA5">
            <w:pPr>
              <w:pStyle w:val="13"/>
            </w:pPr>
            <w:r>
              <w:t>九、社会保险基金支出</w:t>
            </w:r>
          </w:p>
        </w:tc>
        <w:tc>
          <w:tcPr>
            <w:tcW w:w="2126" w:type="dxa"/>
            <w:vAlign w:val="center"/>
          </w:tcPr>
          <w:p w14:paraId="7A595C4C">
            <w:pPr>
              <w:pStyle w:val="14"/>
            </w:pPr>
          </w:p>
        </w:tc>
      </w:tr>
      <w:tr w14:paraId="3E6E0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7A055">
            <w:pPr>
              <w:pStyle w:val="12"/>
            </w:pPr>
            <w:r>
              <w:t>10</w:t>
            </w:r>
          </w:p>
        </w:tc>
        <w:tc>
          <w:tcPr>
            <w:tcW w:w="4535" w:type="dxa"/>
            <w:vAlign w:val="center"/>
          </w:tcPr>
          <w:p w14:paraId="523C8A32">
            <w:pPr>
              <w:pStyle w:val="13"/>
            </w:pPr>
          </w:p>
        </w:tc>
        <w:tc>
          <w:tcPr>
            <w:tcW w:w="2126" w:type="dxa"/>
            <w:vAlign w:val="center"/>
          </w:tcPr>
          <w:p w14:paraId="29CBD23E">
            <w:pPr>
              <w:pStyle w:val="14"/>
            </w:pPr>
          </w:p>
        </w:tc>
        <w:tc>
          <w:tcPr>
            <w:tcW w:w="4535" w:type="dxa"/>
            <w:vAlign w:val="center"/>
          </w:tcPr>
          <w:p w14:paraId="0304E593">
            <w:pPr>
              <w:pStyle w:val="13"/>
            </w:pPr>
            <w:r>
              <w:t>十、卫生健康支出</w:t>
            </w:r>
          </w:p>
        </w:tc>
        <w:tc>
          <w:tcPr>
            <w:tcW w:w="2126" w:type="dxa"/>
            <w:vAlign w:val="center"/>
          </w:tcPr>
          <w:p w14:paraId="1A87AFAE">
            <w:pPr>
              <w:pStyle w:val="14"/>
            </w:pPr>
          </w:p>
        </w:tc>
      </w:tr>
      <w:tr w14:paraId="192D4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8DB23">
            <w:pPr>
              <w:pStyle w:val="12"/>
            </w:pPr>
            <w:r>
              <w:t>11</w:t>
            </w:r>
          </w:p>
        </w:tc>
        <w:tc>
          <w:tcPr>
            <w:tcW w:w="4535" w:type="dxa"/>
            <w:vAlign w:val="center"/>
          </w:tcPr>
          <w:p w14:paraId="745CCB58">
            <w:pPr>
              <w:pStyle w:val="13"/>
            </w:pPr>
          </w:p>
        </w:tc>
        <w:tc>
          <w:tcPr>
            <w:tcW w:w="2126" w:type="dxa"/>
            <w:vAlign w:val="center"/>
          </w:tcPr>
          <w:p w14:paraId="10BFED1A">
            <w:pPr>
              <w:pStyle w:val="14"/>
            </w:pPr>
          </w:p>
        </w:tc>
        <w:tc>
          <w:tcPr>
            <w:tcW w:w="4535" w:type="dxa"/>
            <w:vAlign w:val="center"/>
          </w:tcPr>
          <w:p w14:paraId="6F9919F7">
            <w:pPr>
              <w:pStyle w:val="13"/>
            </w:pPr>
            <w:r>
              <w:t>十一、节能环保支出</w:t>
            </w:r>
          </w:p>
        </w:tc>
        <w:tc>
          <w:tcPr>
            <w:tcW w:w="2126" w:type="dxa"/>
            <w:vAlign w:val="center"/>
          </w:tcPr>
          <w:p w14:paraId="39686403">
            <w:pPr>
              <w:pStyle w:val="14"/>
            </w:pPr>
          </w:p>
        </w:tc>
      </w:tr>
      <w:tr w14:paraId="2646A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36D1B">
            <w:pPr>
              <w:pStyle w:val="12"/>
            </w:pPr>
            <w:r>
              <w:t>12</w:t>
            </w:r>
          </w:p>
        </w:tc>
        <w:tc>
          <w:tcPr>
            <w:tcW w:w="4535" w:type="dxa"/>
            <w:vAlign w:val="center"/>
          </w:tcPr>
          <w:p w14:paraId="3C4211AA">
            <w:pPr>
              <w:pStyle w:val="13"/>
            </w:pPr>
          </w:p>
        </w:tc>
        <w:tc>
          <w:tcPr>
            <w:tcW w:w="2126" w:type="dxa"/>
            <w:vAlign w:val="center"/>
          </w:tcPr>
          <w:p w14:paraId="1D9B4833">
            <w:pPr>
              <w:pStyle w:val="14"/>
            </w:pPr>
          </w:p>
        </w:tc>
        <w:tc>
          <w:tcPr>
            <w:tcW w:w="4535" w:type="dxa"/>
            <w:vAlign w:val="center"/>
          </w:tcPr>
          <w:p w14:paraId="4481CFD7">
            <w:pPr>
              <w:pStyle w:val="13"/>
            </w:pPr>
            <w:r>
              <w:t>十二、城乡社区支出</w:t>
            </w:r>
          </w:p>
        </w:tc>
        <w:tc>
          <w:tcPr>
            <w:tcW w:w="2126" w:type="dxa"/>
            <w:vAlign w:val="center"/>
          </w:tcPr>
          <w:p w14:paraId="50026E21">
            <w:pPr>
              <w:pStyle w:val="14"/>
            </w:pPr>
          </w:p>
        </w:tc>
      </w:tr>
      <w:tr w14:paraId="64AB2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802B4">
            <w:pPr>
              <w:pStyle w:val="12"/>
            </w:pPr>
            <w:r>
              <w:t>13</w:t>
            </w:r>
          </w:p>
        </w:tc>
        <w:tc>
          <w:tcPr>
            <w:tcW w:w="4535" w:type="dxa"/>
            <w:vAlign w:val="center"/>
          </w:tcPr>
          <w:p w14:paraId="58DD9535">
            <w:pPr>
              <w:pStyle w:val="13"/>
            </w:pPr>
          </w:p>
        </w:tc>
        <w:tc>
          <w:tcPr>
            <w:tcW w:w="2126" w:type="dxa"/>
            <w:vAlign w:val="center"/>
          </w:tcPr>
          <w:p w14:paraId="17333FFE">
            <w:pPr>
              <w:pStyle w:val="14"/>
            </w:pPr>
          </w:p>
        </w:tc>
        <w:tc>
          <w:tcPr>
            <w:tcW w:w="4535" w:type="dxa"/>
            <w:vAlign w:val="center"/>
          </w:tcPr>
          <w:p w14:paraId="00293E5D">
            <w:pPr>
              <w:pStyle w:val="13"/>
            </w:pPr>
            <w:r>
              <w:t>十三、农林水支出</w:t>
            </w:r>
          </w:p>
        </w:tc>
        <w:tc>
          <w:tcPr>
            <w:tcW w:w="2126" w:type="dxa"/>
            <w:vAlign w:val="center"/>
          </w:tcPr>
          <w:p w14:paraId="5FD0E40F">
            <w:pPr>
              <w:pStyle w:val="14"/>
            </w:pPr>
          </w:p>
        </w:tc>
      </w:tr>
      <w:tr w14:paraId="7FF49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7ABF1">
            <w:pPr>
              <w:pStyle w:val="12"/>
            </w:pPr>
            <w:r>
              <w:t>14</w:t>
            </w:r>
          </w:p>
        </w:tc>
        <w:tc>
          <w:tcPr>
            <w:tcW w:w="4535" w:type="dxa"/>
            <w:vAlign w:val="center"/>
          </w:tcPr>
          <w:p w14:paraId="222032FF">
            <w:pPr>
              <w:pStyle w:val="13"/>
            </w:pPr>
          </w:p>
        </w:tc>
        <w:tc>
          <w:tcPr>
            <w:tcW w:w="2126" w:type="dxa"/>
            <w:vAlign w:val="center"/>
          </w:tcPr>
          <w:p w14:paraId="77B2EEEE">
            <w:pPr>
              <w:pStyle w:val="14"/>
            </w:pPr>
          </w:p>
        </w:tc>
        <w:tc>
          <w:tcPr>
            <w:tcW w:w="4535" w:type="dxa"/>
            <w:vAlign w:val="center"/>
          </w:tcPr>
          <w:p w14:paraId="49E31D80">
            <w:pPr>
              <w:pStyle w:val="13"/>
            </w:pPr>
            <w:r>
              <w:t>十四、交通运输支出</w:t>
            </w:r>
          </w:p>
        </w:tc>
        <w:tc>
          <w:tcPr>
            <w:tcW w:w="2126" w:type="dxa"/>
            <w:vAlign w:val="center"/>
          </w:tcPr>
          <w:p w14:paraId="3858E33B">
            <w:pPr>
              <w:pStyle w:val="14"/>
            </w:pPr>
          </w:p>
        </w:tc>
      </w:tr>
      <w:tr w14:paraId="1894D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9E9F4">
            <w:pPr>
              <w:pStyle w:val="12"/>
            </w:pPr>
            <w:r>
              <w:t>15</w:t>
            </w:r>
          </w:p>
        </w:tc>
        <w:tc>
          <w:tcPr>
            <w:tcW w:w="4535" w:type="dxa"/>
            <w:vAlign w:val="center"/>
          </w:tcPr>
          <w:p w14:paraId="67ADDE8D">
            <w:pPr>
              <w:pStyle w:val="13"/>
            </w:pPr>
          </w:p>
        </w:tc>
        <w:tc>
          <w:tcPr>
            <w:tcW w:w="2126" w:type="dxa"/>
            <w:vAlign w:val="center"/>
          </w:tcPr>
          <w:p w14:paraId="207B734E">
            <w:pPr>
              <w:pStyle w:val="14"/>
            </w:pPr>
          </w:p>
        </w:tc>
        <w:tc>
          <w:tcPr>
            <w:tcW w:w="4535" w:type="dxa"/>
            <w:vAlign w:val="center"/>
          </w:tcPr>
          <w:p w14:paraId="633D23C5">
            <w:pPr>
              <w:pStyle w:val="13"/>
            </w:pPr>
            <w:r>
              <w:t>十五、资源勘探工业信息等支出</w:t>
            </w:r>
          </w:p>
        </w:tc>
        <w:tc>
          <w:tcPr>
            <w:tcW w:w="2126" w:type="dxa"/>
            <w:vAlign w:val="center"/>
          </w:tcPr>
          <w:p w14:paraId="036EA524">
            <w:pPr>
              <w:pStyle w:val="14"/>
            </w:pPr>
          </w:p>
        </w:tc>
      </w:tr>
      <w:tr w14:paraId="4026B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EF6A3">
            <w:pPr>
              <w:pStyle w:val="12"/>
            </w:pPr>
            <w:r>
              <w:t>16</w:t>
            </w:r>
          </w:p>
        </w:tc>
        <w:tc>
          <w:tcPr>
            <w:tcW w:w="4535" w:type="dxa"/>
            <w:vAlign w:val="center"/>
          </w:tcPr>
          <w:p w14:paraId="635501F2">
            <w:pPr>
              <w:pStyle w:val="13"/>
            </w:pPr>
          </w:p>
        </w:tc>
        <w:tc>
          <w:tcPr>
            <w:tcW w:w="2126" w:type="dxa"/>
            <w:vAlign w:val="center"/>
          </w:tcPr>
          <w:p w14:paraId="61428A4B">
            <w:pPr>
              <w:pStyle w:val="14"/>
            </w:pPr>
          </w:p>
        </w:tc>
        <w:tc>
          <w:tcPr>
            <w:tcW w:w="4535" w:type="dxa"/>
            <w:vAlign w:val="center"/>
          </w:tcPr>
          <w:p w14:paraId="472FD125">
            <w:pPr>
              <w:pStyle w:val="13"/>
            </w:pPr>
            <w:r>
              <w:t>十六、商业服务业等支出</w:t>
            </w:r>
          </w:p>
        </w:tc>
        <w:tc>
          <w:tcPr>
            <w:tcW w:w="2126" w:type="dxa"/>
            <w:vAlign w:val="center"/>
          </w:tcPr>
          <w:p w14:paraId="5A89E53E">
            <w:pPr>
              <w:pStyle w:val="14"/>
            </w:pPr>
          </w:p>
        </w:tc>
      </w:tr>
      <w:tr w14:paraId="2A79F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6CF7C">
            <w:pPr>
              <w:pStyle w:val="12"/>
            </w:pPr>
            <w:r>
              <w:t>17</w:t>
            </w:r>
          </w:p>
        </w:tc>
        <w:tc>
          <w:tcPr>
            <w:tcW w:w="4535" w:type="dxa"/>
            <w:vAlign w:val="center"/>
          </w:tcPr>
          <w:p w14:paraId="7DEAF2DE">
            <w:pPr>
              <w:pStyle w:val="13"/>
            </w:pPr>
          </w:p>
        </w:tc>
        <w:tc>
          <w:tcPr>
            <w:tcW w:w="2126" w:type="dxa"/>
            <w:vAlign w:val="center"/>
          </w:tcPr>
          <w:p w14:paraId="5014BE30">
            <w:pPr>
              <w:pStyle w:val="14"/>
            </w:pPr>
          </w:p>
        </w:tc>
        <w:tc>
          <w:tcPr>
            <w:tcW w:w="4535" w:type="dxa"/>
            <w:vAlign w:val="center"/>
          </w:tcPr>
          <w:p w14:paraId="5EA49640">
            <w:pPr>
              <w:pStyle w:val="13"/>
            </w:pPr>
            <w:r>
              <w:t>十七、金融支出</w:t>
            </w:r>
          </w:p>
        </w:tc>
        <w:tc>
          <w:tcPr>
            <w:tcW w:w="2126" w:type="dxa"/>
            <w:vAlign w:val="center"/>
          </w:tcPr>
          <w:p w14:paraId="2B9B15B8">
            <w:pPr>
              <w:pStyle w:val="14"/>
            </w:pPr>
          </w:p>
        </w:tc>
      </w:tr>
      <w:tr w14:paraId="67188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7232E">
            <w:pPr>
              <w:pStyle w:val="12"/>
            </w:pPr>
            <w:r>
              <w:t>18</w:t>
            </w:r>
          </w:p>
        </w:tc>
        <w:tc>
          <w:tcPr>
            <w:tcW w:w="4535" w:type="dxa"/>
            <w:vAlign w:val="center"/>
          </w:tcPr>
          <w:p w14:paraId="6CB82B8F">
            <w:pPr>
              <w:pStyle w:val="13"/>
            </w:pPr>
          </w:p>
        </w:tc>
        <w:tc>
          <w:tcPr>
            <w:tcW w:w="2126" w:type="dxa"/>
            <w:vAlign w:val="center"/>
          </w:tcPr>
          <w:p w14:paraId="3648AC75">
            <w:pPr>
              <w:pStyle w:val="14"/>
            </w:pPr>
          </w:p>
        </w:tc>
        <w:tc>
          <w:tcPr>
            <w:tcW w:w="4535" w:type="dxa"/>
            <w:vAlign w:val="center"/>
          </w:tcPr>
          <w:p w14:paraId="0CB2D78D">
            <w:pPr>
              <w:pStyle w:val="13"/>
            </w:pPr>
            <w:r>
              <w:t>十八、援助其他地区支出</w:t>
            </w:r>
          </w:p>
        </w:tc>
        <w:tc>
          <w:tcPr>
            <w:tcW w:w="2126" w:type="dxa"/>
            <w:vAlign w:val="center"/>
          </w:tcPr>
          <w:p w14:paraId="4F0BFCCA">
            <w:pPr>
              <w:pStyle w:val="14"/>
            </w:pPr>
          </w:p>
        </w:tc>
      </w:tr>
      <w:tr w14:paraId="1821C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03913">
            <w:pPr>
              <w:pStyle w:val="12"/>
            </w:pPr>
            <w:r>
              <w:t>19</w:t>
            </w:r>
          </w:p>
        </w:tc>
        <w:tc>
          <w:tcPr>
            <w:tcW w:w="4535" w:type="dxa"/>
            <w:vAlign w:val="center"/>
          </w:tcPr>
          <w:p w14:paraId="1167DADC">
            <w:pPr>
              <w:pStyle w:val="13"/>
            </w:pPr>
          </w:p>
        </w:tc>
        <w:tc>
          <w:tcPr>
            <w:tcW w:w="2126" w:type="dxa"/>
            <w:vAlign w:val="center"/>
          </w:tcPr>
          <w:p w14:paraId="038402FD">
            <w:pPr>
              <w:pStyle w:val="14"/>
            </w:pPr>
          </w:p>
        </w:tc>
        <w:tc>
          <w:tcPr>
            <w:tcW w:w="4535" w:type="dxa"/>
            <w:vAlign w:val="center"/>
          </w:tcPr>
          <w:p w14:paraId="04537FEF">
            <w:pPr>
              <w:pStyle w:val="13"/>
            </w:pPr>
            <w:r>
              <w:t>十九、自然资源海洋气象等支出</w:t>
            </w:r>
          </w:p>
        </w:tc>
        <w:tc>
          <w:tcPr>
            <w:tcW w:w="2126" w:type="dxa"/>
            <w:vAlign w:val="center"/>
          </w:tcPr>
          <w:p w14:paraId="1B014D6D">
            <w:pPr>
              <w:pStyle w:val="14"/>
            </w:pPr>
          </w:p>
        </w:tc>
      </w:tr>
      <w:tr w14:paraId="28737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6937F">
            <w:pPr>
              <w:pStyle w:val="12"/>
            </w:pPr>
            <w:r>
              <w:t>20</w:t>
            </w:r>
          </w:p>
        </w:tc>
        <w:tc>
          <w:tcPr>
            <w:tcW w:w="4535" w:type="dxa"/>
            <w:vAlign w:val="center"/>
          </w:tcPr>
          <w:p w14:paraId="5E25D267">
            <w:pPr>
              <w:pStyle w:val="13"/>
            </w:pPr>
          </w:p>
        </w:tc>
        <w:tc>
          <w:tcPr>
            <w:tcW w:w="2126" w:type="dxa"/>
            <w:vAlign w:val="center"/>
          </w:tcPr>
          <w:p w14:paraId="6B146901">
            <w:pPr>
              <w:pStyle w:val="14"/>
            </w:pPr>
          </w:p>
        </w:tc>
        <w:tc>
          <w:tcPr>
            <w:tcW w:w="4535" w:type="dxa"/>
            <w:vAlign w:val="center"/>
          </w:tcPr>
          <w:p w14:paraId="06ADE757">
            <w:pPr>
              <w:pStyle w:val="13"/>
            </w:pPr>
            <w:r>
              <w:t>二十、住房保障支出</w:t>
            </w:r>
          </w:p>
        </w:tc>
        <w:tc>
          <w:tcPr>
            <w:tcW w:w="2126" w:type="dxa"/>
            <w:vAlign w:val="center"/>
          </w:tcPr>
          <w:p w14:paraId="7F4CD0AD">
            <w:pPr>
              <w:pStyle w:val="14"/>
            </w:pPr>
          </w:p>
        </w:tc>
      </w:tr>
      <w:tr w14:paraId="1803F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24059">
            <w:pPr>
              <w:pStyle w:val="12"/>
            </w:pPr>
            <w:r>
              <w:t>21</w:t>
            </w:r>
          </w:p>
        </w:tc>
        <w:tc>
          <w:tcPr>
            <w:tcW w:w="4535" w:type="dxa"/>
            <w:vAlign w:val="center"/>
          </w:tcPr>
          <w:p w14:paraId="1EC280E3">
            <w:pPr>
              <w:pStyle w:val="13"/>
            </w:pPr>
          </w:p>
        </w:tc>
        <w:tc>
          <w:tcPr>
            <w:tcW w:w="2126" w:type="dxa"/>
            <w:vAlign w:val="center"/>
          </w:tcPr>
          <w:p w14:paraId="6891DC03">
            <w:pPr>
              <w:pStyle w:val="14"/>
            </w:pPr>
          </w:p>
        </w:tc>
        <w:tc>
          <w:tcPr>
            <w:tcW w:w="4535" w:type="dxa"/>
            <w:vAlign w:val="center"/>
          </w:tcPr>
          <w:p w14:paraId="6E19CFF1">
            <w:pPr>
              <w:pStyle w:val="13"/>
            </w:pPr>
            <w:r>
              <w:t>二十一、粮油物资储备支出</w:t>
            </w:r>
          </w:p>
        </w:tc>
        <w:tc>
          <w:tcPr>
            <w:tcW w:w="2126" w:type="dxa"/>
            <w:vAlign w:val="center"/>
          </w:tcPr>
          <w:p w14:paraId="0FE1CDD1">
            <w:pPr>
              <w:pStyle w:val="14"/>
            </w:pPr>
          </w:p>
        </w:tc>
      </w:tr>
      <w:tr w14:paraId="143CB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235F2">
            <w:pPr>
              <w:pStyle w:val="12"/>
            </w:pPr>
            <w:r>
              <w:t>22</w:t>
            </w:r>
          </w:p>
        </w:tc>
        <w:tc>
          <w:tcPr>
            <w:tcW w:w="4535" w:type="dxa"/>
            <w:vAlign w:val="center"/>
          </w:tcPr>
          <w:p w14:paraId="529F3F06">
            <w:pPr>
              <w:pStyle w:val="13"/>
            </w:pPr>
          </w:p>
        </w:tc>
        <w:tc>
          <w:tcPr>
            <w:tcW w:w="2126" w:type="dxa"/>
            <w:vAlign w:val="center"/>
          </w:tcPr>
          <w:p w14:paraId="5033AEEE">
            <w:pPr>
              <w:pStyle w:val="14"/>
            </w:pPr>
          </w:p>
        </w:tc>
        <w:tc>
          <w:tcPr>
            <w:tcW w:w="4535" w:type="dxa"/>
            <w:vAlign w:val="center"/>
          </w:tcPr>
          <w:p w14:paraId="2BC7D73E">
            <w:pPr>
              <w:pStyle w:val="13"/>
            </w:pPr>
            <w:r>
              <w:t>二十二、国有资本经营预算支出</w:t>
            </w:r>
          </w:p>
        </w:tc>
        <w:tc>
          <w:tcPr>
            <w:tcW w:w="2126" w:type="dxa"/>
            <w:vAlign w:val="center"/>
          </w:tcPr>
          <w:p w14:paraId="70182EBF">
            <w:pPr>
              <w:pStyle w:val="14"/>
            </w:pPr>
          </w:p>
        </w:tc>
      </w:tr>
      <w:tr w14:paraId="55886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12F42">
            <w:pPr>
              <w:pStyle w:val="12"/>
            </w:pPr>
            <w:r>
              <w:t>23</w:t>
            </w:r>
          </w:p>
        </w:tc>
        <w:tc>
          <w:tcPr>
            <w:tcW w:w="4535" w:type="dxa"/>
            <w:vAlign w:val="center"/>
          </w:tcPr>
          <w:p w14:paraId="7061E092">
            <w:pPr>
              <w:pStyle w:val="13"/>
            </w:pPr>
          </w:p>
        </w:tc>
        <w:tc>
          <w:tcPr>
            <w:tcW w:w="2126" w:type="dxa"/>
            <w:vAlign w:val="center"/>
          </w:tcPr>
          <w:p w14:paraId="5209EA3D">
            <w:pPr>
              <w:pStyle w:val="14"/>
            </w:pPr>
          </w:p>
        </w:tc>
        <w:tc>
          <w:tcPr>
            <w:tcW w:w="4535" w:type="dxa"/>
            <w:vAlign w:val="center"/>
          </w:tcPr>
          <w:p w14:paraId="45A6973F">
            <w:pPr>
              <w:pStyle w:val="13"/>
            </w:pPr>
            <w:r>
              <w:t>二十三、灾害防治及应急管理支出</w:t>
            </w:r>
          </w:p>
        </w:tc>
        <w:tc>
          <w:tcPr>
            <w:tcW w:w="2126" w:type="dxa"/>
            <w:vAlign w:val="center"/>
          </w:tcPr>
          <w:p w14:paraId="15189684">
            <w:pPr>
              <w:pStyle w:val="14"/>
            </w:pPr>
          </w:p>
        </w:tc>
      </w:tr>
      <w:tr w14:paraId="0E76F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11C3E">
            <w:pPr>
              <w:pStyle w:val="12"/>
            </w:pPr>
            <w:r>
              <w:t>24</w:t>
            </w:r>
          </w:p>
        </w:tc>
        <w:tc>
          <w:tcPr>
            <w:tcW w:w="4535" w:type="dxa"/>
            <w:vAlign w:val="center"/>
          </w:tcPr>
          <w:p w14:paraId="5CACF220">
            <w:pPr>
              <w:pStyle w:val="13"/>
            </w:pPr>
          </w:p>
        </w:tc>
        <w:tc>
          <w:tcPr>
            <w:tcW w:w="2126" w:type="dxa"/>
            <w:vAlign w:val="center"/>
          </w:tcPr>
          <w:p w14:paraId="1FDAAD07">
            <w:pPr>
              <w:pStyle w:val="14"/>
            </w:pPr>
          </w:p>
        </w:tc>
        <w:tc>
          <w:tcPr>
            <w:tcW w:w="4535" w:type="dxa"/>
            <w:vAlign w:val="center"/>
          </w:tcPr>
          <w:p w14:paraId="124A0E76">
            <w:pPr>
              <w:pStyle w:val="13"/>
            </w:pPr>
            <w:r>
              <w:t>二十四、预备费</w:t>
            </w:r>
          </w:p>
        </w:tc>
        <w:tc>
          <w:tcPr>
            <w:tcW w:w="2126" w:type="dxa"/>
            <w:vAlign w:val="center"/>
          </w:tcPr>
          <w:p w14:paraId="68FBF30B">
            <w:pPr>
              <w:pStyle w:val="14"/>
            </w:pPr>
          </w:p>
        </w:tc>
      </w:tr>
      <w:tr w14:paraId="15222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E79DA">
            <w:pPr>
              <w:pStyle w:val="12"/>
            </w:pPr>
            <w:r>
              <w:t>25</w:t>
            </w:r>
          </w:p>
        </w:tc>
        <w:tc>
          <w:tcPr>
            <w:tcW w:w="4535" w:type="dxa"/>
            <w:vAlign w:val="center"/>
          </w:tcPr>
          <w:p w14:paraId="46198A85">
            <w:pPr>
              <w:pStyle w:val="13"/>
            </w:pPr>
          </w:p>
        </w:tc>
        <w:tc>
          <w:tcPr>
            <w:tcW w:w="2126" w:type="dxa"/>
            <w:vAlign w:val="center"/>
          </w:tcPr>
          <w:p w14:paraId="2D3CB017">
            <w:pPr>
              <w:pStyle w:val="14"/>
            </w:pPr>
          </w:p>
        </w:tc>
        <w:tc>
          <w:tcPr>
            <w:tcW w:w="4535" w:type="dxa"/>
            <w:vAlign w:val="center"/>
          </w:tcPr>
          <w:p w14:paraId="44F6B320">
            <w:pPr>
              <w:pStyle w:val="13"/>
            </w:pPr>
            <w:r>
              <w:t>二十五、其他支出</w:t>
            </w:r>
          </w:p>
        </w:tc>
        <w:tc>
          <w:tcPr>
            <w:tcW w:w="2126" w:type="dxa"/>
            <w:vAlign w:val="center"/>
          </w:tcPr>
          <w:p w14:paraId="71DA158F">
            <w:pPr>
              <w:pStyle w:val="14"/>
            </w:pPr>
          </w:p>
        </w:tc>
      </w:tr>
      <w:tr w14:paraId="63708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06A53">
            <w:pPr>
              <w:pStyle w:val="12"/>
            </w:pPr>
            <w:r>
              <w:t>26</w:t>
            </w:r>
          </w:p>
        </w:tc>
        <w:tc>
          <w:tcPr>
            <w:tcW w:w="4535" w:type="dxa"/>
            <w:vAlign w:val="center"/>
          </w:tcPr>
          <w:p w14:paraId="35873632">
            <w:pPr>
              <w:pStyle w:val="13"/>
            </w:pPr>
          </w:p>
        </w:tc>
        <w:tc>
          <w:tcPr>
            <w:tcW w:w="2126" w:type="dxa"/>
            <w:vAlign w:val="center"/>
          </w:tcPr>
          <w:p w14:paraId="4A3EC54B">
            <w:pPr>
              <w:pStyle w:val="14"/>
            </w:pPr>
          </w:p>
        </w:tc>
        <w:tc>
          <w:tcPr>
            <w:tcW w:w="4535" w:type="dxa"/>
            <w:vAlign w:val="center"/>
          </w:tcPr>
          <w:p w14:paraId="33CC572C">
            <w:pPr>
              <w:pStyle w:val="13"/>
            </w:pPr>
            <w:r>
              <w:t>二十六、转移性支出</w:t>
            </w:r>
          </w:p>
        </w:tc>
        <w:tc>
          <w:tcPr>
            <w:tcW w:w="2126" w:type="dxa"/>
            <w:vAlign w:val="center"/>
          </w:tcPr>
          <w:p w14:paraId="4DF793D5">
            <w:pPr>
              <w:pStyle w:val="14"/>
            </w:pPr>
          </w:p>
        </w:tc>
      </w:tr>
      <w:tr w14:paraId="2B9C7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B2CA1">
            <w:pPr>
              <w:pStyle w:val="12"/>
            </w:pPr>
            <w:r>
              <w:t>27</w:t>
            </w:r>
          </w:p>
        </w:tc>
        <w:tc>
          <w:tcPr>
            <w:tcW w:w="4535" w:type="dxa"/>
            <w:vAlign w:val="center"/>
          </w:tcPr>
          <w:p w14:paraId="6EFE07C2">
            <w:pPr>
              <w:pStyle w:val="13"/>
            </w:pPr>
          </w:p>
        </w:tc>
        <w:tc>
          <w:tcPr>
            <w:tcW w:w="2126" w:type="dxa"/>
            <w:vAlign w:val="center"/>
          </w:tcPr>
          <w:p w14:paraId="380489A8">
            <w:pPr>
              <w:pStyle w:val="14"/>
            </w:pPr>
          </w:p>
        </w:tc>
        <w:tc>
          <w:tcPr>
            <w:tcW w:w="4535" w:type="dxa"/>
            <w:vAlign w:val="center"/>
          </w:tcPr>
          <w:p w14:paraId="773B5F8F">
            <w:pPr>
              <w:pStyle w:val="13"/>
            </w:pPr>
            <w:r>
              <w:t>二十七、债务还本支出</w:t>
            </w:r>
          </w:p>
        </w:tc>
        <w:tc>
          <w:tcPr>
            <w:tcW w:w="2126" w:type="dxa"/>
            <w:vAlign w:val="center"/>
          </w:tcPr>
          <w:p w14:paraId="5F73D764">
            <w:pPr>
              <w:pStyle w:val="14"/>
            </w:pPr>
          </w:p>
        </w:tc>
      </w:tr>
      <w:tr w14:paraId="38A4C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AE535">
            <w:pPr>
              <w:pStyle w:val="12"/>
            </w:pPr>
            <w:r>
              <w:t>28</w:t>
            </w:r>
          </w:p>
        </w:tc>
        <w:tc>
          <w:tcPr>
            <w:tcW w:w="4535" w:type="dxa"/>
            <w:vAlign w:val="center"/>
          </w:tcPr>
          <w:p w14:paraId="33BC5980">
            <w:pPr>
              <w:pStyle w:val="13"/>
            </w:pPr>
          </w:p>
        </w:tc>
        <w:tc>
          <w:tcPr>
            <w:tcW w:w="2126" w:type="dxa"/>
            <w:vAlign w:val="center"/>
          </w:tcPr>
          <w:p w14:paraId="796A033C">
            <w:pPr>
              <w:pStyle w:val="14"/>
            </w:pPr>
          </w:p>
        </w:tc>
        <w:tc>
          <w:tcPr>
            <w:tcW w:w="4535" w:type="dxa"/>
            <w:vAlign w:val="center"/>
          </w:tcPr>
          <w:p w14:paraId="72AF096E">
            <w:pPr>
              <w:pStyle w:val="13"/>
            </w:pPr>
            <w:r>
              <w:t>二十八、债务付息支出</w:t>
            </w:r>
          </w:p>
        </w:tc>
        <w:tc>
          <w:tcPr>
            <w:tcW w:w="2126" w:type="dxa"/>
            <w:vAlign w:val="center"/>
          </w:tcPr>
          <w:p w14:paraId="5F8BF59E">
            <w:pPr>
              <w:pStyle w:val="14"/>
            </w:pPr>
          </w:p>
        </w:tc>
      </w:tr>
      <w:tr w14:paraId="1C156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FF52F">
            <w:pPr>
              <w:pStyle w:val="12"/>
            </w:pPr>
            <w:r>
              <w:t>29</w:t>
            </w:r>
          </w:p>
        </w:tc>
        <w:tc>
          <w:tcPr>
            <w:tcW w:w="4535" w:type="dxa"/>
            <w:vAlign w:val="center"/>
          </w:tcPr>
          <w:p w14:paraId="7867F214">
            <w:pPr>
              <w:pStyle w:val="13"/>
            </w:pPr>
          </w:p>
        </w:tc>
        <w:tc>
          <w:tcPr>
            <w:tcW w:w="2126" w:type="dxa"/>
            <w:vAlign w:val="center"/>
          </w:tcPr>
          <w:p w14:paraId="61F648E4">
            <w:pPr>
              <w:pStyle w:val="14"/>
            </w:pPr>
          </w:p>
        </w:tc>
        <w:tc>
          <w:tcPr>
            <w:tcW w:w="4535" w:type="dxa"/>
            <w:vAlign w:val="center"/>
          </w:tcPr>
          <w:p w14:paraId="68B648EE">
            <w:pPr>
              <w:pStyle w:val="13"/>
            </w:pPr>
            <w:r>
              <w:t>二十九、债务发行费用支出</w:t>
            </w:r>
          </w:p>
        </w:tc>
        <w:tc>
          <w:tcPr>
            <w:tcW w:w="2126" w:type="dxa"/>
            <w:vAlign w:val="center"/>
          </w:tcPr>
          <w:p w14:paraId="0FA266C2">
            <w:pPr>
              <w:pStyle w:val="14"/>
            </w:pPr>
          </w:p>
        </w:tc>
      </w:tr>
      <w:tr w14:paraId="2CDC6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1954F">
            <w:pPr>
              <w:pStyle w:val="12"/>
            </w:pPr>
            <w:r>
              <w:t>30</w:t>
            </w:r>
          </w:p>
        </w:tc>
        <w:tc>
          <w:tcPr>
            <w:tcW w:w="4535" w:type="dxa"/>
            <w:vAlign w:val="center"/>
          </w:tcPr>
          <w:p w14:paraId="64204A26">
            <w:pPr>
              <w:pStyle w:val="13"/>
            </w:pPr>
          </w:p>
        </w:tc>
        <w:tc>
          <w:tcPr>
            <w:tcW w:w="2126" w:type="dxa"/>
            <w:vAlign w:val="center"/>
          </w:tcPr>
          <w:p w14:paraId="2A4770DE">
            <w:pPr>
              <w:pStyle w:val="14"/>
            </w:pPr>
          </w:p>
        </w:tc>
        <w:tc>
          <w:tcPr>
            <w:tcW w:w="4535" w:type="dxa"/>
            <w:vAlign w:val="center"/>
          </w:tcPr>
          <w:p w14:paraId="4FCC5CC3">
            <w:pPr>
              <w:pStyle w:val="13"/>
            </w:pPr>
            <w:r>
              <w:t>三十、抗疫特别国债安排的支出</w:t>
            </w:r>
          </w:p>
        </w:tc>
        <w:tc>
          <w:tcPr>
            <w:tcW w:w="2126" w:type="dxa"/>
            <w:vAlign w:val="center"/>
          </w:tcPr>
          <w:p w14:paraId="131F60E2">
            <w:pPr>
              <w:pStyle w:val="14"/>
            </w:pPr>
          </w:p>
        </w:tc>
      </w:tr>
      <w:tr w14:paraId="45020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658E5">
            <w:pPr>
              <w:pStyle w:val="12"/>
            </w:pPr>
            <w:r>
              <w:t>31</w:t>
            </w:r>
          </w:p>
        </w:tc>
        <w:tc>
          <w:tcPr>
            <w:tcW w:w="4535" w:type="dxa"/>
            <w:vAlign w:val="center"/>
          </w:tcPr>
          <w:p w14:paraId="2C58C5D5">
            <w:pPr>
              <w:pStyle w:val="13"/>
            </w:pPr>
          </w:p>
        </w:tc>
        <w:tc>
          <w:tcPr>
            <w:tcW w:w="2126" w:type="dxa"/>
            <w:vAlign w:val="center"/>
          </w:tcPr>
          <w:p w14:paraId="4D7FF6BE">
            <w:pPr>
              <w:pStyle w:val="14"/>
            </w:pPr>
          </w:p>
        </w:tc>
        <w:tc>
          <w:tcPr>
            <w:tcW w:w="4535" w:type="dxa"/>
            <w:vAlign w:val="center"/>
          </w:tcPr>
          <w:p w14:paraId="1456F91E">
            <w:pPr>
              <w:pStyle w:val="13"/>
            </w:pPr>
            <w:r>
              <w:t>三十一、人行科目</w:t>
            </w:r>
          </w:p>
        </w:tc>
        <w:tc>
          <w:tcPr>
            <w:tcW w:w="2126" w:type="dxa"/>
            <w:vAlign w:val="center"/>
          </w:tcPr>
          <w:p w14:paraId="530C68B9">
            <w:pPr>
              <w:pStyle w:val="14"/>
            </w:pPr>
          </w:p>
        </w:tc>
      </w:tr>
      <w:tr w14:paraId="27339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621A1">
            <w:pPr>
              <w:pStyle w:val="12"/>
            </w:pPr>
            <w:r>
              <w:t>32</w:t>
            </w:r>
          </w:p>
        </w:tc>
        <w:tc>
          <w:tcPr>
            <w:tcW w:w="4535" w:type="dxa"/>
            <w:vAlign w:val="center"/>
          </w:tcPr>
          <w:p w14:paraId="5D482875">
            <w:pPr>
              <w:pStyle w:val="15"/>
            </w:pPr>
            <w:r>
              <w:t>本年收入合计</w:t>
            </w:r>
          </w:p>
        </w:tc>
        <w:tc>
          <w:tcPr>
            <w:tcW w:w="2126" w:type="dxa"/>
            <w:vAlign w:val="center"/>
          </w:tcPr>
          <w:p w14:paraId="33F900AC">
            <w:pPr>
              <w:pStyle w:val="16"/>
            </w:pPr>
            <w:r>
              <w:t>3388.14</w:t>
            </w:r>
          </w:p>
        </w:tc>
        <w:tc>
          <w:tcPr>
            <w:tcW w:w="4535" w:type="dxa"/>
            <w:vAlign w:val="center"/>
          </w:tcPr>
          <w:p w14:paraId="2E1C962E">
            <w:pPr>
              <w:pStyle w:val="15"/>
            </w:pPr>
            <w:r>
              <w:t>本年支出合计</w:t>
            </w:r>
          </w:p>
        </w:tc>
        <w:tc>
          <w:tcPr>
            <w:tcW w:w="2126" w:type="dxa"/>
            <w:vAlign w:val="center"/>
          </w:tcPr>
          <w:p w14:paraId="5B1C4BD4">
            <w:pPr>
              <w:pStyle w:val="16"/>
            </w:pPr>
            <w:r>
              <w:t>3446.85</w:t>
            </w:r>
          </w:p>
        </w:tc>
      </w:tr>
      <w:tr w14:paraId="55FC0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57E22">
            <w:pPr>
              <w:pStyle w:val="12"/>
            </w:pPr>
            <w:r>
              <w:t>33</w:t>
            </w:r>
          </w:p>
        </w:tc>
        <w:tc>
          <w:tcPr>
            <w:tcW w:w="4535" w:type="dxa"/>
            <w:vAlign w:val="center"/>
          </w:tcPr>
          <w:p w14:paraId="5CF6961C">
            <w:pPr>
              <w:pStyle w:val="13"/>
            </w:pPr>
            <w:r>
              <w:t>上年结转结余</w:t>
            </w:r>
          </w:p>
        </w:tc>
        <w:tc>
          <w:tcPr>
            <w:tcW w:w="2126" w:type="dxa"/>
            <w:vAlign w:val="center"/>
          </w:tcPr>
          <w:p w14:paraId="1E2D3DF1">
            <w:pPr>
              <w:pStyle w:val="14"/>
            </w:pPr>
            <w:r>
              <w:t>58.71</w:t>
            </w:r>
          </w:p>
        </w:tc>
        <w:tc>
          <w:tcPr>
            <w:tcW w:w="4535" w:type="dxa"/>
            <w:vAlign w:val="center"/>
          </w:tcPr>
          <w:p w14:paraId="37B8695E">
            <w:pPr>
              <w:pStyle w:val="13"/>
            </w:pPr>
            <w:r>
              <w:t>年终结转结余</w:t>
            </w:r>
          </w:p>
        </w:tc>
        <w:tc>
          <w:tcPr>
            <w:tcW w:w="2126" w:type="dxa"/>
            <w:vAlign w:val="center"/>
          </w:tcPr>
          <w:p w14:paraId="210254D7">
            <w:pPr>
              <w:pStyle w:val="14"/>
            </w:pPr>
          </w:p>
        </w:tc>
      </w:tr>
      <w:tr w14:paraId="1B8A8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FAA83">
            <w:pPr>
              <w:pStyle w:val="12"/>
            </w:pPr>
            <w:r>
              <w:t>34</w:t>
            </w:r>
          </w:p>
        </w:tc>
        <w:tc>
          <w:tcPr>
            <w:tcW w:w="4535" w:type="dxa"/>
            <w:vAlign w:val="center"/>
          </w:tcPr>
          <w:p w14:paraId="36387861">
            <w:pPr>
              <w:pStyle w:val="15"/>
            </w:pPr>
            <w:r>
              <w:t>收入总计</w:t>
            </w:r>
          </w:p>
        </w:tc>
        <w:tc>
          <w:tcPr>
            <w:tcW w:w="2126" w:type="dxa"/>
            <w:vAlign w:val="center"/>
          </w:tcPr>
          <w:p w14:paraId="01A991F8">
            <w:pPr>
              <w:pStyle w:val="16"/>
            </w:pPr>
            <w:r>
              <w:t>3446.85</w:t>
            </w:r>
          </w:p>
        </w:tc>
        <w:tc>
          <w:tcPr>
            <w:tcW w:w="4535" w:type="dxa"/>
            <w:vAlign w:val="center"/>
          </w:tcPr>
          <w:p w14:paraId="527E9958">
            <w:pPr>
              <w:pStyle w:val="15"/>
            </w:pPr>
            <w:r>
              <w:t>支出总计</w:t>
            </w:r>
          </w:p>
        </w:tc>
        <w:tc>
          <w:tcPr>
            <w:tcW w:w="2126" w:type="dxa"/>
            <w:vAlign w:val="center"/>
          </w:tcPr>
          <w:p w14:paraId="2B8CA8C7">
            <w:pPr>
              <w:pStyle w:val="16"/>
            </w:pPr>
            <w:r>
              <w:t>3446.85</w:t>
            </w:r>
          </w:p>
        </w:tc>
      </w:tr>
    </w:tbl>
    <w:p w14:paraId="3671FDAD">
      <w:pPr>
        <w:sectPr>
          <w:pgSz w:w="16840" w:h="11900" w:orient="landscape"/>
          <w:pgMar w:top="1361" w:right="1020" w:bottom="1134" w:left="1020" w:header="720" w:footer="720" w:gutter="0"/>
          <w:cols w:space="720" w:num="1"/>
        </w:sectPr>
      </w:pPr>
    </w:p>
    <w:p w14:paraId="18D8A5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5AD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BF470E">
            <w:pPr>
              <w:pStyle w:val="8"/>
            </w:pPr>
            <w:r>
              <w:t>360011河北省隆尧县实验中学</w:t>
            </w:r>
          </w:p>
        </w:tc>
        <w:tc>
          <w:tcPr>
            <w:tcW w:w="3402" w:type="dxa"/>
            <w:gridSpan w:val="3"/>
            <w:tcBorders>
              <w:top w:val="single" w:color="FFFFFF" w:sz="6" w:space="0"/>
              <w:left w:val="single" w:color="FFFFFF" w:sz="6" w:space="0"/>
              <w:right w:val="single" w:color="FFFFFF" w:sz="6" w:space="0"/>
            </w:tcBorders>
            <w:vAlign w:val="center"/>
          </w:tcPr>
          <w:p w14:paraId="3DB719C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CF6C946">
            <w:pPr>
              <w:pStyle w:val="10"/>
            </w:pPr>
            <w:r>
              <w:t>单位：万元</w:t>
            </w:r>
          </w:p>
        </w:tc>
      </w:tr>
      <w:tr w14:paraId="04890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ABBD81">
            <w:pPr>
              <w:pStyle w:val="11"/>
            </w:pPr>
            <w:r>
              <w:t>序号</w:t>
            </w:r>
          </w:p>
        </w:tc>
        <w:tc>
          <w:tcPr>
            <w:tcW w:w="2551" w:type="dxa"/>
            <w:gridSpan w:val="2"/>
            <w:vAlign w:val="center"/>
          </w:tcPr>
          <w:p w14:paraId="286DFB95">
            <w:pPr>
              <w:pStyle w:val="11"/>
            </w:pPr>
            <w:r>
              <w:t>功能分类科目</w:t>
            </w:r>
          </w:p>
        </w:tc>
        <w:tc>
          <w:tcPr>
            <w:tcW w:w="1134" w:type="dxa"/>
            <w:vMerge w:val="restart"/>
            <w:vAlign w:val="center"/>
          </w:tcPr>
          <w:p w14:paraId="785DD4BF">
            <w:pPr>
              <w:pStyle w:val="11"/>
            </w:pPr>
            <w:r>
              <w:t>合计</w:t>
            </w:r>
          </w:p>
        </w:tc>
        <w:tc>
          <w:tcPr>
            <w:tcW w:w="9072" w:type="dxa"/>
            <w:gridSpan w:val="8"/>
            <w:vAlign w:val="center"/>
          </w:tcPr>
          <w:p w14:paraId="3C503803">
            <w:pPr>
              <w:pStyle w:val="11"/>
            </w:pPr>
            <w:r>
              <w:t>本年收入</w:t>
            </w:r>
          </w:p>
        </w:tc>
        <w:tc>
          <w:tcPr>
            <w:tcW w:w="1134" w:type="dxa"/>
            <w:vMerge w:val="restart"/>
            <w:vAlign w:val="center"/>
          </w:tcPr>
          <w:p w14:paraId="1577C56A">
            <w:pPr>
              <w:pStyle w:val="11"/>
            </w:pPr>
            <w:r>
              <w:t>上年结转</w:t>
            </w:r>
          </w:p>
        </w:tc>
      </w:tr>
      <w:tr w14:paraId="609B7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4A098B"/>
        </w:tc>
        <w:tc>
          <w:tcPr>
            <w:tcW w:w="992" w:type="dxa"/>
            <w:vAlign w:val="center"/>
          </w:tcPr>
          <w:p w14:paraId="0F18797E">
            <w:pPr>
              <w:pStyle w:val="11"/>
            </w:pPr>
            <w:r>
              <w:t>科目    编码</w:t>
            </w:r>
          </w:p>
        </w:tc>
        <w:tc>
          <w:tcPr>
            <w:tcW w:w="1559" w:type="dxa"/>
            <w:vAlign w:val="center"/>
          </w:tcPr>
          <w:p w14:paraId="61F61948">
            <w:pPr>
              <w:pStyle w:val="11"/>
            </w:pPr>
            <w:r>
              <w:t>科目名称</w:t>
            </w:r>
          </w:p>
        </w:tc>
        <w:tc>
          <w:tcPr>
            <w:tcW w:w="1134" w:type="dxa"/>
            <w:vMerge w:val="continue"/>
          </w:tcPr>
          <w:p w14:paraId="3D9CACB0"/>
        </w:tc>
        <w:tc>
          <w:tcPr>
            <w:tcW w:w="1134" w:type="dxa"/>
            <w:vAlign w:val="center"/>
          </w:tcPr>
          <w:p w14:paraId="0382DD0C">
            <w:pPr>
              <w:pStyle w:val="11"/>
            </w:pPr>
            <w:r>
              <w:t>小计</w:t>
            </w:r>
          </w:p>
        </w:tc>
        <w:tc>
          <w:tcPr>
            <w:tcW w:w="1134" w:type="dxa"/>
            <w:vAlign w:val="center"/>
          </w:tcPr>
          <w:p w14:paraId="5777C7A9">
            <w:pPr>
              <w:pStyle w:val="11"/>
            </w:pPr>
            <w:r>
              <w:t>财政拨款 收入</w:t>
            </w:r>
          </w:p>
        </w:tc>
        <w:tc>
          <w:tcPr>
            <w:tcW w:w="1134" w:type="dxa"/>
            <w:vAlign w:val="center"/>
          </w:tcPr>
          <w:p w14:paraId="3F395264">
            <w:pPr>
              <w:pStyle w:val="11"/>
            </w:pPr>
            <w:r>
              <w:t>财政专户 收入</w:t>
            </w:r>
          </w:p>
        </w:tc>
        <w:tc>
          <w:tcPr>
            <w:tcW w:w="1134" w:type="dxa"/>
            <w:vAlign w:val="center"/>
          </w:tcPr>
          <w:p w14:paraId="61ADD851">
            <w:pPr>
              <w:pStyle w:val="11"/>
            </w:pPr>
            <w:r>
              <w:t>事业收入</w:t>
            </w:r>
          </w:p>
        </w:tc>
        <w:tc>
          <w:tcPr>
            <w:tcW w:w="1134" w:type="dxa"/>
            <w:vAlign w:val="center"/>
          </w:tcPr>
          <w:p w14:paraId="51A39BFE">
            <w:pPr>
              <w:pStyle w:val="11"/>
            </w:pPr>
            <w:r>
              <w:t>经营收入</w:t>
            </w:r>
          </w:p>
        </w:tc>
        <w:tc>
          <w:tcPr>
            <w:tcW w:w="1134" w:type="dxa"/>
            <w:vAlign w:val="center"/>
          </w:tcPr>
          <w:p w14:paraId="115C555C">
            <w:pPr>
              <w:pStyle w:val="11"/>
            </w:pPr>
            <w:r>
              <w:t>上级补助收入</w:t>
            </w:r>
          </w:p>
        </w:tc>
        <w:tc>
          <w:tcPr>
            <w:tcW w:w="1134" w:type="dxa"/>
            <w:vAlign w:val="center"/>
          </w:tcPr>
          <w:p w14:paraId="738151DC">
            <w:pPr>
              <w:pStyle w:val="11"/>
            </w:pPr>
            <w:r>
              <w:t>附属单位上缴收入</w:t>
            </w:r>
          </w:p>
        </w:tc>
        <w:tc>
          <w:tcPr>
            <w:tcW w:w="1134" w:type="dxa"/>
            <w:vAlign w:val="center"/>
          </w:tcPr>
          <w:p w14:paraId="18DBC73C">
            <w:pPr>
              <w:pStyle w:val="11"/>
            </w:pPr>
            <w:r>
              <w:t>其他收入</w:t>
            </w:r>
          </w:p>
        </w:tc>
        <w:tc>
          <w:tcPr>
            <w:tcW w:w="1134" w:type="dxa"/>
            <w:vMerge w:val="continue"/>
          </w:tcPr>
          <w:p w14:paraId="599A6A9C"/>
        </w:tc>
      </w:tr>
      <w:tr w14:paraId="7DF0D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B2D7A2">
            <w:pPr>
              <w:pStyle w:val="11"/>
            </w:pPr>
            <w:r>
              <w:t>栏次</w:t>
            </w:r>
          </w:p>
        </w:tc>
        <w:tc>
          <w:tcPr>
            <w:tcW w:w="992" w:type="dxa"/>
            <w:vAlign w:val="center"/>
          </w:tcPr>
          <w:p w14:paraId="2ADFC004">
            <w:pPr>
              <w:pStyle w:val="11"/>
            </w:pPr>
            <w:r>
              <w:t>1</w:t>
            </w:r>
          </w:p>
        </w:tc>
        <w:tc>
          <w:tcPr>
            <w:tcW w:w="1559" w:type="dxa"/>
            <w:vAlign w:val="center"/>
          </w:tcPr>
          <w:p w14:paraId="1D508037">
            <w:pPr>
              <w:pStyle w:val="11"/>
            </w:pPr>
            <w:r>
              <w:t>2</w:t>
            </w:r>
          </w:p>
        </w:tc>
        <w:tc>
          <w:tcPr>
            <w:tcW w:w="1134" w:type="dxa"/>
            <w:vAlign w:val="center"/>
          </w:tcPr>
          <w:p w14:paraId="718C156B">
            <w:pPr>
              <w:pStyle w:val="11"/>
            </w:pPr>
            <w:r>
              <w:t>3</w:t>
            </w:r>
          </w:p>
        </w:tc>
        <w:tc>
          <w:tcPr>
            <w:tcW w:w="1134" w:type="dxa"/>
            <w:vAlign w:val="center"/>
          </w:tcPr>
          <w:p w14:paraId="0B49C9A0">
            <w:pPr>
              <w:pStyle w:val="11"/>
            </w:pPr>
            <w:r>
              <w:t>4</w:t>
            </w:r>
          </w:p>
        </w:tc>
        <w:tc>
          <w:tcPr>
            <w:tcW w:w="1134" w:type="dxa"/>
            <w:vAlign w:val="center"/>
          </w:tcPr>
          <w:p w14:paraId="6DCB4182">
            <w:pPr>
              <w:pStyle w:val="11"/>
            </w:pPr>
            <w:r>
              <w:t>5</w:t>
            </w:r>
          </w:p>
        </w:tc>
        <w:tc>
          <w:tcPr>
            <w:tcW w:w="1134" w:type="dxa"/>
            <w:vAlign w:val="center"/>
          </w:tcPr>
          <w:p w14:paraId="5AAF9A77">
            <w:pPr>
              <w:pStyle w:val="11"/>
            </w:pPr>
            <w:r>
              <w:t>6</w:t>
            </w:r>
          </w:p>
        </w:tc>
        <w:tc>
          <w:tcPr>
            <w:tcW w:w="1134" w:type="dxa"/>
            <w:vAlign w:val="center"/>
          </w:tcPr>
          <w:p w14:paraId="1A824C73">
            <w:pPr>
              <w:pStyle w:val="11"/>
            </w:pPr>
            <w:r>
              <w:t>7</w:t>
            </w:r>
          </w:p>
        </w:tc>
        <w:tc>
          <w:tcPr>
            <w:tcW w:w="1134" w:type="dxa"/>
            <w:vAlign w:val="center"/>
          </w:tcPr>
          <w:p w14:paraId="116BB3BB">
            <w:pPr>
              <w:pStyle w:val="11"/>
            </w:pPr>
            <w:r>
              <w:t>8</w:t>
            </w:r>
          </w:p>
        </w:tc>
        <w:tc>
          <w:tcPr>
            <w:tcW w:w="1134" w:type="dxa"/>
            <w:vAlign w:val="center"/>
          </w:tcPr>
          <w:p w14:paraId="698A2CCC">
            <w:pPr>
              <w:pStyle w:val="11"/>
            </w:pPr>
            <w:r>
              <w:t>9</w:t>
            </w:r>
          </w:p>
        </w:tc>
        <w:tc>
          <w:tcPr>
            <w:tcW w:w="1134" w:type="dxa"/>
            <w:vAlign w:val="center"/>
          </w:tcPr>
          <w:p w14:paraId="352B3517">
            <w:pPr>
              <w:pStyle w:val="11"/>
            </w:pPr>
            <w:r>
              <w:t>10</w:t>
            </w:r>
          </w:p>
        </w:tc>
        <w:tc>
          <w:tcPr>
            <w:tcW w:w="1134" w:type="dxa"/>
            <w:vAlign w:val="center"/>
          </w:tcPr>
          <w:p w14:paraId="00A48C12">
            <w:pPr>
              <w:pStyle w:val="11"/>
            </w:pPr>
            <w:r>
              <w:t>11</w:t>
            </w:r>
          </w:p>
        </w:tc>
        <w:tc>
          <w:tcPr>
            <w:tcW w:w="1134" w:type="dxa"/>
            <w:vAlign w:val="center"/>
          </w:tcPr>
          <w:p w14:paraId="2AC71FA4">
            <w:pPr>
              <w:pStyle w:val="11"/>
            </w:pPr>
            <w:r>
              <w:t>12</w:t>
            </w:r>
          </w:p>
        </w:tc>
      </w:tr>
      <w:tr w14:paraId="52A72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CBE2BE">
            <w:pPr>
              <w:pStyle w:val="12"/>
            </w:pPr>
            <w:r>
              <w:t>1</w:t>
            </w:r>
          </w:p>
        </w:tc>
        <w:tc>
          <w:tcPr>
            <w:tcW w:w="992" w:type="dxa"/>
            <w:vAlign w:val="center"/>
          </w:tcPr>
          <w:p w14:paraId="47A0D0BE">
            <w:pPr>
              <w:pStyle w:val="17"/>
            </w:pPr>
          </w:p>
        </w:tc>
        <w:tc>
          <w:tcPr>
            <w:tcW w:w="1559" w:type="dxa"/>
            <w:vAlign w:val="center"/>
          </w:tcPr>
          <w:p w14:paraId="4C81EEB5">
            <w:pPr>
              <w:pStyle w:val="15"/>
            </w:pPr>
            <w:r>
              <w:t>合计</w:t>
            </w:r>
          </w:p>
        </w:tc>
        <w:tc>
          <w:tcPr>
            <w:tcW w:w="1134" w:type="dxa"/>
            <w:vAlign w:val="center"/>
          </w:tcPr>
          <w:p w14:paraId="2DCD2DA3">
            <w:pPr>
              <w:pStyle w:val="16"/>
            </w:pPr>
            <w:r>
              <w:t>3446.85</w:t>
            </w:r>
          </w:p>
        </w:tc>
        <w:tc>
          <w:tcPr>
            <w:tcW w:w="1134" w:type="dxa"/>
            <w:vAlign w:val="center"/>
          </w:tcPr>
          <w:p w14:paraId="08033AF6">
            <w:pPr>
              <w:pStyle w:val="16"/>
            </w:pPr>
            <w:r>
              <w:t>3388.14</w:t>
            </w:r>
          </w:p>
        </w:tc>
        <w:tc>
          <w:tcPr>
            <w:tcW w:w="1134" w:type="dxa"/>
            <w:vAlign w:val="center"/>
          </w:tcPr>
          <w:p w14:paraId="281FCF0D">
            <w:pPr>
              <w:pStyle w:val="16"/>
            </w:pPr>
            <w:r>
              <w:t>3388.14</w:t>
            </w:r>
          </w:p>
        </w:tc>
        <w:tc>
          <w:tcPr>
            <w:tcW w:w="1134" w:type="dxa"/>
            <w:vAlign w:val="center"/>
          </w:tcPr>
          <w:p w14:paraId="23A990C9">
            <w:pPr>
              <w:pStyle w:val="16"/>
            </w:pPr>
          </w:p>
        </w:tc>
        <w:tc>
          <w:tcPr>
            <w:tcW w:w="1134" w:type="dxa"/>
            <w:vAlign w:val="center"/>
          </w:tcPr>
          <w:p w14:paraId="4A67D801">
            <w:pPr>
              <w:pStyle w:val="16"/>
            </w:pPr>
          </w:p>
        </w:tc>
        <w:tc>
          <w:tcPr>
            <w:tcW w:w="1134" w:type="dxa"/>
            <w:vAlign w:val="center"/>
          </w:tcPr>
          <w:p w14:paraId="2714D395">
            <w:pPr>
              <w:pStyle w:val="16"/>
            </w:pPr>
          </w:p>
        </w:tc>
        <w:tc>
          <w:tcPr>
            <w:tcW w:w="1134" w:type="dxa"/>
            <w:vAlign w:val="center"/>
          </w:tcPr>
          <w:p w14:paraId="79191291">
            <w:pPr>
              <w:pStyle w:val="16"/>
            </w:pPr>
          </w:p>
        </w:tc>
        <w:tc>
          <w:tcPr>
            <w:tcW w:w="1134" w:type="dxa"/>
            <w:vAlign w:val="center"/>
          </w:tcPr>
          <w:p w14:paraId="5C7FC6CF">
            <w:pPr>
              <w:pStyle w:val="16"/>
            </w:pPr>
          </w:p>
        </w:tc>
        <w:tc>
          <w:tcPr>
            <w:tcW w:w="1134" w:type="dxa"/>
            <w:vAlign w:val="center"/>
          </w:tcPr>
          <w:p w14:paraId="32E36B52">
            <w:pPr>
              <w:pStyle w:val="16"/>
            </w:pPr>
          </w:p>
        </w:tc>
        <w:tc>
          <w:tcPr>
            <w:tcW w:w="1134" w:type="dxa"/>
            <w:vAlign w:val="center"/>
          </w:tcPr>
          <w:p w14:paraId="24B2D393">
            <w:pPr>
              <w:pStyle w:val="16"/>
            </w:pPr>
            <w:r>
              <w:t>58.71</w:t>
            </w:r>
          </w:p>
        </w:tc>
      </w:tr>
      <w:tr w14:paraId="2BBEF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AB201E">
            <w:pPr>
              <w:pStyle w:val="12"/>
            </w:pPr>
            <w:r>
              <w:t>2</w:t>
            </w:r>
          </w:p>
        </w:tc>
        <w:tc>
          <w:tcPr>
            <w:tcW w:w="992" w:type="dxa"/>
            <w:vAlign w:val="center"/>
          </w:tcPr>
          <w:p w14:paraId="5416692A">
            <w:pPr>
              <w:pStyle w:val="13"/>
            </w:pPr>
            <w:r>
              <w:t>205</w:t>
            </w:r>
          </w:p>
        </w:tc>
        <w:tc>
          <w:tcPr>
            <w:tcW w:w="1559" w:type="dxa"/>
            <w:vAlign w:val="center"/>
          </w:tcPr>
          <w:p w14:paraId="7CE423B3">
            <w:pPr>
              <w:pStyle w:val="13"/>
            </w:pPr>
            <w:r>
              <w:t>教育支出</w:t>
            </w:r>
          </w:p>
        </w:tc>
        <w:tc>
          <w:tcPr>
            <w:tcW w:w="1134" w:type="dxa"/>
            <w:vAlign w:val="center"/>
          </w:tcPr>
          <w:p w14:paraId="116D4D6A">
            <w:pPr>
              <w:pStyle w:val="14"/>
            </w:pPr>
            <w:r>
              <w:t>3446.85</w:t>
            </w:r>
          </w:p>
        </w:tc>
        <w:tc>
          <w:tcPr>
            <w:tcW w:w="1134" w:type="dxa"/>
            <w:vAlign w:val="center"/>
          </w:tcPr>
          <w:p w14:paraId="4994E8A0">
            <w:pPr>
              <w:pStyle w:val="14"/>
            </w:pPr>
            <w:r>
              <w:t>3388.14</w:t>
            </w:r>
          </w:p>
        </w:tc>
        <w:tc>
          <w:tcPr>
            <w:tcW w:w="1134" w:type="dxa"/>
            <w:vAlign w:val="center"/>
          </w:tcPr>
          <w:p w14:paraId="75BAEF25">
            <w:pPr>
              <w:pStyle w:val="14"/>
            </w:pPr>
            <w:r>
              <w:t>3388.14</w:t>
            </w:r>
          </w:p>
        </w:tc>
        <w:tc>
          <w:tcPr>
            <w:tcW w:w="1134" w:type="dxa"/>
            <w:vAlign w:val="center"/>
          </w:tcPr>
          <w:p w14:paraId="44060187">
            <w:pPr>
              <w:pStyle w:val="14"/>
            </w:pPr>
          </w:p>
        </w:tc>
        <w:tc>
          <w:tcPr>
            <w:tcW w:w="1134" w:type="dxa"/>
            <w:vAlign w:val="center"/>
          </w:tcPr>
          <w:p w14:paraId="7DC081D9">
            <w:pPr>
              <w:pStyle w:val="14"/>
            </w:pPr>
          </w:p>
        </w:tc>
        <w:tc>
          <w:tcPr>
            <w:tcW w:w="1134" w:type="dxa"/>
            <w:vAlign w:val="center"/>
          </w:tcPr>
          <w:p w14:paraId="29857F93">
            <w:pPr>
              <w:pStyle w:val="14"/>
            </w:pPr>
          </w:p>
        </w:tc>
        <w:tc>
          <w:tcPr>
            <w:tcW w:w="1134" w:type="dxa"/>
            <w:vAlign w:val="center"/>
          </w:tcPr>
          <w:p w14:paraId="31E30BBD">
            <w:pPr>
              <w:pStyle w:val="14"/>
            </w:pPr>
          </w:p>
        </w:tc>
        <w:tc>
          <w:tcPr>
            <w:tcW w:w="1134" w:type="dxa"/>
            <w:vAlign w:val="center"/>
          </w:tcPr>
          <w:p w14:paraId="6799E665">
            <w:pPr>
              <w:pStyle w:val="14"/>
            </w:pPr>
          </w:p>
        </w:tc>
        <w:tc>
          <w:tcPr>
            <w:tcW w:w="1134" w:type="dxa"/>
            <w:vAlign w:val="center"/>
          </w:tcPr>
          <w:p w14:paraId="24C1C6D5">
            <w:pPr>
              <w:pStyle w:val="14"/>
            </w:pPr>
          </w:p>
        </w:tc>
        <w:tc>
          <w:tcPr>
            <w:tcW w:w="1134" w:type="dxa"/>
            <w:vAlign w:val="center"/>
          </w:tcPr>
          <w:p w14:paraId="2A27C5C1">
            <w:pPr>
              <w:pStyle w:val="14"/>
            </w:pPr>
            <w:r>
              <w:t>58.71</w:t>
            </w:r>
          </w:p>
        </w:tc>
      </w:tr>
      <w:tr w14:paraId="745C0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5FDE9A52">
            <w:pPr>
              <w:pStyle w:val="12"/>
            </w:pPr>
            <w:r>
              <w:t>3</w:t>
            </w:r>
          </w:p>
        </w:tc>
        <w:tc>
          <w:tcPr>
            <w:tcW w:w="992" w:type="dxa"/>
            <w:vAlign w:val="center"/>
          </w:tcPr>
          <w:p w14:paraId="709085B6">
            <w:pPr>
              <w:pStyle w:val="13"/>
            </w:pPr>
            <w:r>
              <w:t>20502</w:t>
            </w:r>
          </w:p>
        </w:tc>
        <w:tc>
          <w:tcPr>
            <w:tcW w:w="1559" w:type="dxa"/>
            <w:vAlign w:val="center"/>
          </w:tcPr>
          <w:p w14:paraId="64544310">
            <w:pPr>
              <w:pStyle w:val="13"/>
            </w:pPr>
            <w:r>
              <w:t>普通教育</w:t>
            </w:r>
          </w:p>
        </w:tc>
        <w:tc>
          <w:tcPr>
            <w:tcW w:w="1134" w:type="dxa"/>
            <w:vAlign w:val="center"/>
          </w:tcPr>
          <w:p w14:paraId="48C106BD">
            <w:pPr>
              <w:pStyle w:val="14"/>
            </w:pPr>
            <w:r>
              <w:t>3446.85</w:t>
            </w:r>
          </w:p>
        </w:tc>
        <w:tc>
          <w:tcPr>
            <w:tcW w:w="1134" w:type="dxa"/>
            <w:vAlign w:val="center"/>
          </w:tcPr>
          <w:p w14:paraId="5EE2ADD1">
            <w:pPr>
              <w:pStyle w:val="14"/>
            </w:pPr>
            <w:r>
              <w:t>3388.14</w:t>
            </w:r>
          </w:p>
        </w:tc>
        <w:tc>
          <w:tcPr>
            <w:tcW w:w="1134" w:type="dxa"/>
            <w:vAlign w:val="center"/>
          </w:tcPr>
          <w:p w14:paraId="70A26A65">
            <w:pPr>
              <w:pStyle w:val="14"/>
            </w:pPr>
            <w:r>
              <w:t>3388.14</w:t>
            </w:r>
          </w:p>
        </w:tc>
        <w:tc>
          <w:tcPr>
            <w:tcW w:w="1134" w:type="dxa"/>
            <w:vAlign w:val="center"/>
          </w:tcPr>
          <w:p w14:paraId="035FA718">
            <w:pPr>
              <w:pStyle w:val="14"/>
            </w:pPr>
          </w:p>
        </w:tc>
        <w:tc>
          <w:tcPr>
            <w:tcW w:w="1134" w:type="dxa"/>
            <w:vAlign w:val="center"/>
          </w:tcPr>
          <w:p w14:paraId="73BD168B">
            <w:pPr>
              <w:pStyle w:val="14"/>
            </w:pPr>
          </w:p>
        </w:tc>
        <w:tc>
          <w:tcPr>
            <w:tcW w:w="1134" w:type="dxa"/>
            <w:vAlign w:val="center"/>
          </w:tcPr>
          <w:p w14:paraId="33753DD7">
            <w:pPr>
              <w:pStyle w:val="14"/>
            </w:pPr>
          </w:p>
        </w:tc>
        <w:tc>
          <w:tcPr>
            <w:tcW w:w="1134" w:type="dxa"/>
            <w:vAlign w:val="center"/>
          </w:tcPr>
          <w:p w14:paraId="20BBA8D4">
            <w:pPr>
              <w:pStyle w:val="14"/>
            </w:pPr>
          </w:p>
        </w:tc>
        <w:tc>
          <w:tcPr>
            <w:tcW w:w="1134" w:type="dxa"/>
            <w:vAlign w:val="center"/>
          </w:tcPr>
          <w:p w14:paraId="2CF1721F">
            <w:pPr>
              <w:pStyle w:val="14"/>
            </w:pPr>
          </w:p>
        </w:tc>
        <w:tc>
          <w:tcPr>
            <w:tcW w:w="1134" w:type="dxa"/>
            <w:vAlign w:val="center"/>
          </w:tcPr>
          <w:p w14:paraId="5640DFE4">
            <w:pPr>
              <w:pStyle w:val="14"/>
            </w:pPr>
          </w:p>
        </w:tc>
        <w:tc>
          <w:tcPr>
            <w:tcW w:w="1134" w:type="dxa"/>
            <w:vAlign w:val="center"/>
          </w:tcPr>
          <w:p w14:paraId="4ABB8AA1">
            <w:pPr>
              <w:pStyle w:val="14"/>
            </w:pPr>
            <w:r>
              <w:t>58.71</w:t>
            </w:r>
          </w:p>
        </w:tc>
      </w:tr>
      <w:tr w14:paraId="08E9C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0C1D25">
            <w:pPr>
              <w:pStyle w:val="12"/>
            </w:pPr>
            <w:r>
              <w:t>4</w:t>
            </w:r>
          </w:p>
        </w:tc>
        <w:tc>
          <w:tcPr>
            <w:tcW w:w="992" w:type="dxa"/>
            <w:vAlign w:val="center"/>
          </w:tcPr>
          <w:p w14:paraId="0D4C0A29">
            <w:pPr>
              <w:pStyle w:val="13"/>
            </w:pPr>
            <w:r>
              <w:t>2050203</w:t>
            </w:r>
          </w:p>
        </w:tc>
        <w:tc>
          <w:tcPr>
            <w:tcW w:w="1559" w:type="dxa"/>
            <w:vAlign w:val="center"/>
          </w:tcPr>
          <w:p w14:paraId="2DC40080">
            <w:pPr>
              <w:pStyle w:val="13"/>
            </w:pPr>
            <w:r>
              <w:t>初中教育</w:t>
            </w:r>
          </w:p>
        </w:tc>
        <w:tc>
          <w:tcPr>
            <w:tcW w:w="1134" w:type="dxa"/>
            <w:vAlign w:val="center"/>
          </w:tcPr>
          <w:p w14:paraId="18E711B5">
            <w:pPr>
              <w:pStyle w:val="14"/>
            </w:pPr>
            <w:r>
              <w:t>3446.85</w:t>
            </w:r>
          </w:p>
        </w:tc>
        <w:tc>
          <w:tcPr>
            <w:tcW w:w="1134" w:type="dxa"/>
            <w:vAlign w:val="center"/>
          </w:tcPr>
          <w:p w14:paraId="3A21AE47">
            <w:pPr>
              <w:pStyle w:val="14"/>
            </w:pPr>
            <w:r>
              <w:t>3388.14</w:t>
            </w:r>
          </w:p>
        </w:tc>
        <w:tc>
          <w:tcPr>
            <w:tcW w:w="1134" w:type="dxa"/>
            <w:vAlign w:val="center"/>
          </w:tcPr>
          <w:p w14:paraId="5551A7A1">
            <w:pPr>
              <w:pStyle w:val="14"/>
            </w:pPr>
            <w:r>
              <w:t>3388.14</w:t>
            </w:r>
          </w:p>
        </w:tc>
        <w:tc>
          <w:tcPr>
            <w:tcW w:w="1134" w:type="dxa"/>
            <w:vAlign w:val="center"/>
          </w:tcPr>
          <w:p w14:paraId="547688C2">
            <w:pPr>
              <w:pStyle w:val="14"/>
            </w:pPr>
          </w:p>
        </w:tc>
        <w:tc>
          <w:tcPr>
            <w:tcW w:w="1134" w:type="dxa"/>
            <w:vAlign w:val="center"/>
          </w:tcPr>
          <w:p w14:paraId="32B6E5A8">
            <w:pPr>
              <w:pStyle w:val="14"/>
            </w:pPr>
          </w:p>
        </w:tc>
        <w:tc>
          <w:tcPr>
            <w:tcW w:w="1134" w:type="dxa"/>
            <w:vAlign w:val="center"/>
          </w:tcPr>
          <w:p w14:paraId="751405DE">
            <w:pPr>
              <w:pStyle w:val="14"/>
            </w:pPr>
          </w:p>
        </w:tc>
        <w:tc>
          <w:tcPr>
            <w:tcW w:w="1134" w:type="dxa"/>
            <w:vAlign w:val="center"/>
          </w:tcPr>
          <w:p w14:paraId="7DCB2670">
            <w:pPr>
              <w:pStyle w:val="14"/>
            </w:pPr>
          </w:p>
        </w:tc>
        <w:tc>
          <w:tcPr>
            <w:tcW w:w="1134" w:type="dxa"/>
            <w:vAlign w:val="center"/>
          </w:tcPr>
          <w:p w14:paraId="5948C341">
            <w:pPr>
              <w:pStyle w:val="14"/>
            </w:pPr>
          </w:p>
        </w:tc>
        <w:tc>
          <w:tcPr>
            <w:tcW w:w="1134" w:type="dxa"/>
            <w:vAlign w:val="center"/>
          </w:tcPr>
          <w:p w14:paraId="1584746E">
            <w:pPr>
              <w:pStyle w:val="14"/>
            </w:pPr>
          </w:p>
        </w:tc>
        <w:tc>
          <w:tcPr>
            <w:tcW w:w="1134" w:type="dxa"/>
            <w:vAlign w:val="center"/>
          </w:tcPr>
          <w:p w14:paraId="206494B6">
            <w:pPr>
              <w:pStyle w:val="14"/>
            </w:pPr>
            <w:r>
              <w:t>58.71</w:t>
            </w:r>
          </w:p>
        </w:tc>
      </w:tr>
    </w:tbl>
    <w:p w14:paraId="5D109580">
      <w:pPr>
        <w:sectPr>
          <w:pgSz w:w="16840" w:h="11900" w:orient="landscape"/>
          <w:pgMar w:top="1361" w:right="1020" w:bottom="1134" w:left="1020" w:header="720" w:footer="720" w:gutter="0"/>
          <w:cols w:space="720" w:num="1"/>
        </w:sectPr>
      </w:pPr>
    </w:p>
    <w:p w14:paraId="14F634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E11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BBEF85">
            <w:pPr>
              <w:pStyle w:val="8"/>
            </w:pPr>
            <w:r>
              <w:t>360011河北省隆尧县实验中学</w:t>
            </w:r>
          </w:p>
        </w:tc>
        <w:tc>
          <w:tcPr>
            <w:tcW w:w="2722" w:type="dxa"/>
            <w:gridSpan w:val="2"/>
            <w:tcBorders>
              <w:top w:val="single" w:color="FFFFFF" w:sz="6" w:space="0"/>
              <w:left w:val="single" w:color="FFFFFF" w:sz="6" w:space="0"/>
              <w:right w:val="single" w:color="FFFFFF" w:sz="6" w:space="0"/>
            </w:tcBorders>
            <w:vAlign w:val="center"/>
          </w:tcPr>
          <w:p w14:paraId="7885DC8D">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3980CFE">
            <w:pPr>
              <w:pStyle w:val="10"/>
            </w:pPr>
            <w:r>
              <w:t>单位：万元</w:t>
            </w:r>
          </w:p>
        </w:tc>
      </w:tr>
      <w:tr w14:paraId="0B623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DF28C">
            <w:pPr>
              <w:pStyle w:val="11"/>
            </w:pPr>
            <w:r>
              <w:t>序号</w:t>
            </w:r>
          </w:p>
        </w:tc>
        <w:tc>
          <w:tcPr>
            <w:tcW w:w="5527" w:type="dxa"/>
            <w:gridSpan w:val="2"/>
            <w:vAlign w:val="center"/>
          </w:tcPr>
          <w:p w14:paraId="0FBEF445">
            <w:pPr>
              <w:pStyle w:val="11"/>
            </w:pPr>
            <w:r>
              <w:t>功能分类科目</w:t>
            </w:r>
          </w:p>
        </w:tc>
        <w:tc>
          <w:tcPr>
            <w:tcW w:w="1361" w:type="dxa"/>
            <w:vMerge w:val="restart"/>
            <w:vAlign w:val="center"/>
          </w:tcPr>
          <w:p w14:paraId="075D95F1">
            <w:pPr>
              <w:pStyle w:val="11"/>
            </w:pPr>
            <w:r>
              <w:t>合计</w:t>
            </w:r>
          </w:p>
        </w:tc>
        <w:tc>
          <w:tcPr>
            <w:tcW w:w="1361" w:type="dxa"/>
            <w:vMerge w:val="restart"/>
            <w:vAlign w:val="center"/>
          </w:tcPr>
          <w:p w14:paraId="17BA713C">
            <w:pPr>
              <w:pStyle w:val="11"/>
            </w:pPr>
            <w:r>
              <w:t>基本支出</w:t>
            </w:r>
          </w:p>
        </w:tc>
        <w:tc>
          <w:tcPr>
            <w:tcW w:w="1361" w:type="dxa"/>
            <w:vMerge w:val="restart"/>
            <w:vAlign w:val="center"/>
          </w:tcPr>
          <w:p w14:paraId="2DF48B0F">
            <w:pPr>
              <w:pStyle w:val="11"/>
            </w:pPr>
            <w:r>
              <w:t>项目支出</w:t>
            </w:r>
          </w:p>
        </w:tc>
        <w:tc>
          <w:tcPr>
            <w:tcW w:w="1361" w:type="dxa"/>
            <w:vMerge w:val="restart"/>
            <w:vAlign w:val="center"/>
          </w:tcPr>
          <w:p w14:paraId="24739439">
            <w:pPr>
              <w:pStyle w:val="11"/>
            </w:pPr>
            <w:r>
              <w:t>经营支出</w:t>
            </w:r>
          </w:p>
        </w:tc>
        <w:tc>
          <w:tcPr>
            <w:tcW w:w="1361" w:type="dxa"/>
            <w:vMerge w:val="restart"/>
            <w:vAlign w:val="center"/>
          </w:tcPr>
          <w:p w14:paraId="594557B2">
            <w:pPr>
              <w:pStyle w:val="11"/>
            </w:pPr>
            <w:r>
              <w:t>上解上级     支出</w:t>
            </w:r>
          </w:p>
        </w:tc>
        <w:tc>
          <w:tcPr>
            <w:tcW w:w="1361" w:type="dxa"/>
            <w:vMerge w:val="restart"/>
            <w:vAlign w:val="center"/>
          </w:tcPr>
          <w:p w14:paraId="07EC080C">
            <w:pPr>
              <w:pStyle w:val="11"/>
            </w:pPr>
            <w:r>
              <w:t>对附属单位补助支出</w:t>
            </w:r>
          </w:p>
        </w:tc>
      </w:tr>
      <w:tr w14:paraId="03A47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2F6D0A"/>
        </w:tc>
        <w:tc>
          <w:tcPr>
            <w:tcW w:w="992" w:type="dxa"/>
            <w:vAlign w:val="center"/>
          </w:tcPr>
          <w:p w14:paraId="55149160">
            <w:pPr>
              <w:pStyle w:val="11"/>
            </w:pPr>
            <w:r>
              <w:t>科目    编码</w:t>
            </w:r>
          </w:p>
        </w:tc>
        <w:tc>
          <w:tcPr>
            <w:tcW w:w="4535" w:type="dxa"/>
            <w:vAlign w:val="center"/>
          </w:tcPr>
          <w:p w14:paraId="7908EC99">
            <w:pPr>
              <w:pStyle w:val="11"/>
            </w:pPr>
            <w:r>
              <w:t>科目名称</w:t>
            </w:r>
          </w:p>
        </w:tc>
        <w:tc>
          <w:tcPr>
            <w:tcW w:w="1361" w:type="dxa"/>
            <w:vMerge w:val="continue"/>
          </w:tcPr>
          <w:p w14:paraId="7B6B8CD4"/>
        </w:tc>
        <w:tc>
          <w:tcPr>
            <w:tcW w:w="1361" w:type="dxa"/>
            <w:vMerge w:val="continue"/>
          </w:tcPr>
          <w:p w14:paraId="6EF18EB4"/>
        </w:tc>
        <w:tc>
          <w:tcPr>
            <w:tcW w:w="1361" w:type="dxa"/>
            <w:vMerge w:val="continue"/>
          </w:tcPr>
          <w:p w14:paraId="041A2E0C"/>
        </w:tc>
        <w:tc>
          <w:tcPr>
            <w:tcW w:w="1361" w:type="dxa"/>
            <w:vMerge w:val="continue"/>
          </w:tcPr>
          <w:p w14:paraId="5A1ECBD9"/>
        </w:tc>
        <w:tc>
          <w:tcPr>
            <w:tcW w:w="1361" w:type="dxa"/>
            <w:vMerge w:val="continue"/>
          </w:tcPr>
          <w:p w14:paraId="61DDA511"/>
        </w:tc>
        <w:tc>
          <w:tcPr>
            <w:tcW w:w="1361" w:type="dxa"/>
            <w:vMerge w:val="continue"/>
          </w:tcPr>
          <w:p w14:paraId="60E2ED51"/>
        </w:tc>
      </w:tr>
      <w:tr w14:paraId="4E50C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C86608">
            <w:pPr>
              <w:pStyle w:val="11"/>
            </w:pPr>
            <w:r>
              <w:t>栏次</w:t>
            </w:r>
          </w:p>
        </w:tc>
        <w:tc>
          <w:tcPr>
            <w:tcW w:w="992" w:type="dxa"/>
            <w:vAlign w:val="center"/>
          </w:tcPr>
          <w:p w14:paraId="27C3BC15">
            <w:pPr>
              <w:pStyle w:val="11"/>
            </w:pPr>
            <w:r>
              <w:t>1</w:t>
            </w:r>
          </w:p>
        </w:tc>
        <w:tc>
          <w:tcPr>
            <w:tcW w:w="4535" w:type="dxa"/>
            <w:vAlign w:val="center"/>
          </w:tcPr>
          <w:p w14:paraId="0CF8B1F8">
            <w:pPr>
              <w:pStyle w:val="11"/>
            </w:pPr>
            <w:r>
              <w:t>2</w:t>
            </w:r>
          </w:p>
        </w:tc>
        <w:tc>
          <w:tcPr>
            <w:tcW w:w="1361" w:type="dxa"/>
            <w:vAlign w:val="center"/>
          </w:tcPr>
          <w:p w14:paraId="105721AE">
            <w:pPr>
              <w:pStyle w:val="11"/>
            </w:pPr>
            <w:r>
              <w:t>3</w:t>
            </w:r>
          </w:p>
        </w:tc>
        <w:tc>
          <w:tcPr>
            <w:tcW w:w="1361" w:type="dxa"/>
            <w:vAlign w:val="center"/>
          </w:tcPr>
          <w:p w14:paraId="593861E3">
            <w:pPr>
              <w:pStyle w:val="11"/>
            </w:pPr>
            <w:r>
              <w:t>4</w:t>
            </w:r>
          </w:p>
        </w:tc>
        <w:tc>
          <w:tcPr>
            <w:tcW w:w="1361" w:type="dxa"/>
            <w:vAlign w:val="center"/>
          </w:tcPr>
          <w:p w14:paraId="1B70C852">
            <w:pPr>
              <w:pStyle w:val="11"/>
            </w:pPr>
            <w:r>
              <w:t>5</w:t>
            </w:r>
          </w:p>
        </w:tc>
        <w:tc>
          <w:tcPr>
            <w:tcW w:w="1361" w:type="dxa"/>
            <w:vAlign w:val="center"/>
          </w:tcPr>
          <w:p w14:paraId="772E8049">
            <w:pPr>
              <w:pStyle w:val="11"/>
            </w:pPr>
            <w:r>
              <w:t>6</w:t>
            </w:r>
          </w:p>
        </w:tc>
        <w:tc>
          <w:tcPr>
            <w:tcW w:w="1361" w:type="dxa"/>
            <w:vAlign w:val="center"/>
          </w:tcPr>
          <w:p w14:paraId="31DEE892">
            <w:pPr>
              <w:pStyle w:val="11"/>
            </w:pPr>
            <w:r>
              <w:t>7</w:t>
            </w:r>
          </w:p>
        </w:tc>
        <w:tc>
          <w:tcPr>
            <w:tcW w:w="1361" w:type="dxa"/>
            <w:vAlign w:val="center"/>
          </w:tcPr>
          <w:p w14:paraId="407BDD54">
            <w:pPr>
              <w:pStyle w:val="11"/>
            </w:pPr>
            <w:r>
              <w:t>8</w:t>
            </w:r>
          </w:p>
        </w:tc>
      </w:tr>
      <w:tr w14:paraId="2427E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0748E">
            <w:pPr>
              <w:pStyle w:val="12"/>
            </w:pPr>
            <w:r>
              <w:t>1</w:t>
            </w:r>
          </w:p>
        </w:tc>
        <w:tc>
          <w:tcPr>
            <w:tcW w:w="992" w:type="dxa"/>
            <w:vAlign w:val="center"/>
          </w:tcPr>
          <w:p w14:paraId="004DD707">
            <w:pPr>
              <w:pStyle w:val="17"/>
            </w:pPr>
          </w:p>
        </w:tc>
        <w:tc>
          <w:tcPr>
            <w:tcW w:w="4535" w:type="dxa"/>
            <w:vAlign w:val="center"/>
          </w:tcPr>
          <w:p w14:paraId="1D39FC82">
            <w:pPr>
              <w:pStyle w:val="15"/>
            </w:pPr>
            <w:r>
              <w:t>合计</w:t>
            </w:r>
          </w:p>
        </w:tc>
        <w:tc>
          <w:tcPr>
            <w:tcW w:w="1361" w:type="dxa"/>
            <w:vAlign w:val="center"/>
          </w:tcPr>
          <w:p w14:paraId="1441AB5C">
            <w:pPr>
              <w:pStyle w:val="16"/>
            </w:pPr>
            <w:r>
              <w:t>3446.85</w:t>
            </w:r>
          </w:p>
        </w:tc>
        <w:tc>
          <w:tcPr>
            <w:tcW w:w="1361" w:type="dxa"/>
            <w:vAlign w:val="center"/>
          </w:tcPr>
          <w:p w14:paraId="20D861DA">
            <w:pPr>
              <w:pStyle w:val="16"/>
            </w:pPr>
            <w:r>
              <w:t>2589.60</w:t>
            </w:r>
          </w:p>
        </w:tc>
        <w:tc>
          <w:tcPr>
            <w:tcW w:w="1361" w:type="dxa"/>
            <w:vAlign w:val="center"/>
          </w:tcPr>
          <w:p w14:paraId="737EB6A2">
            <w:pPr>
              <w:pStyle w:val="16"/>
            </w:pPr>
            <w:r>
              <w:t>857.25</w:t>
            </w:r>
          </w:p>
        </w:tc>
        <w:tc>
          <w:tcPr>
            <w:tcW w:w="1361" w:type="dxa"/>
            <w:vAlign w:val="center"/>
          </w:tcPr>
          <w:p w14:paraId="15CFC6D4">
            <w:pPr>
              <w:pStyle w:val="16"/>
            </w:pPr>
          </w:p>
        </w:tc>
        <w:tc>
          <w:tcPr>
            <w:tcW w:w="1361" w:type="dxa"/>
            <w:vAlign w:val="center"/>
          </w:tcPr>
          <w:p w14:paraId="1DF866C9">
            <w:pPr>
              <w:pStyle w:val="16"/>
            </w:pPr>
          </w:p>
        </w:tc>
        <w:tc>
          <w:tcPr>
            <w:tcW w:w="1361" w:type="dxa"/>
            <w:vAlign w:val="center"/>
          </w:tcPr>
          <w:p w14:paraId="426FA987">
            <w:pPr>
              <w:pStyle w:val="16"/>
            </w:pPr>
          </w:p>
        </w:tc>
      </w:tr>
      <w:tr w14:paraId="3075D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1046A">
            <w:pPr>
              <w:pStyle w:val="12"/>
            </w:pPr>
            <w:r>
              <w:t>2</w:t>
            </w:r>
          </w:p>
        </w:tc>
        <w:tc>
          <w:tcPr>
            <w:tcW w:w="992" w:type="dxa"/>
            <w:vAlign w:val="center"/>
          </w:tcPr>
          <w:p w14:paraId="3E41170B">
            <w:pPr>
              <w:pStyle w:val="13"/>
            </w:pPr>
            <w:r>
              <w:t>205</w:t>
            </w:r>
          </w:p>
        </w:tc>
        <w:tc>
          <w:tcPr>
            <w:tcW w:w="4535" w:type="dxa"/>
            <w:vAlign w:val="center"/>
          </w:tcPr>
          <w:p w14:paraId="334F922D">
            <w:pPr>
              <w:pStyle w:val="13"/>
            </w:pPr>
            <w:r>
              <w:t>教育支出</w:t>
            </w:r>
          </w:p>
        </w:tc>
        <w:tc>
          <w:tcPr>
            <w:tcW w:w="1361" w:type="dxa"/>
            <w:vAlign w:val="center"/>
          </w:tcPr>
          <w:p w14:paraId="70F072A0">
            <w:pPr>
              <w:pStyle w:val="14"/>
            </w:pPr>
            <w:r>
              <w:t>3446.85</w:t>
            </w:r>
          </w:p>
        </w:tc>
        <w:tc>
          <w:tcPr>
            <w:tcW w:w="1361" w:type="dxa"/>
            <w:vAlign w:val="center"/>
          </w:tcPr>
          <w:p w14:paraId="3CD6C171">
            <w:pPr>
              <w:pStyle w:val="14"/>
            </w:pPr>
            <w:r>
              <w:t>2589.60</w:t>
            </w:r>
          </w:p>
        </w:tc>
        <w:tc>
          <w:tcPr>
            <w:tcW w:w="1361" w:type="dxa"/>
            <w:vAlign w:val="center"/>
          </w:tcPr>
          <w:p w14:paraId="34D9C765">
            <w:pPr>
              <w:pStyle w:val="14"/>
            </w:pPr>
            <w:r>
              <w:t>857.25</w:t>
            </w:r>
          </w:p>
        </w:tc>
        <w:tc>
          <w:tcPr>
            <w:tcW w:w="1361" w:type="dxa"/>
            <w:vAlign w:val="center"/>
          </w:tcPr>
          <w:p w14:paraId="746640F3">
            <w:pPr>
              <w:pStyle w:val="14"/>
            </w:pPr>
          </w:p>
        </w:tc>
        <w:tc>
          <w:tcPr>
            <w:tcW w:w="1361" w:type="dxa"/>
            <w:vAlign w:val="center"/>
          </w:tcPr>
          <w:p w14:paraId="131861BE">
            <w:pPr>
              <w:pStyle w:val="14"/>
            </w:pPr>
          </w:p>
        </w:tc>
        <w:tc>
          <w:tcPr>
            <w:tcW w:w="1361" w:type="dxa"/>
            <w:vAlign w:val="center"/>
          </w:tcPr>
          <w:p w14:paraId="1F8EF439">
            <w:pPr>
              <w:pStyle w:val="14"/>
            </w:pPr>
          </w:p>
        </w:tc>
      </w:tr>
      <w:tr w14:paraId="0FE0A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32014">
            <w:pPr>
              <w:pStyle w:val="12"/>
            </w:pPr>
            <w:r>
              <w:t>3</w:t>
            </w:r>
          </w:p>
        </w:tc>
        <w:tc>
          <w:tcPr>
            <w:tcW w:w="992" w:type="dxa"/>
            <w:vAlign w:val="center"/>
          </w:tcPr>
          <w:p w14:paraId="78180220">
            <w:pPr>
              <w:pStyle w:val="13"/>
            </w:pPr>
            <w:r>
              <w:t>20502</w:t>
            </w:r>
          </w:p>
        </w:tc>
        <w:tc>
          <w:tcPr>
            <w:tcW w:w="4535" w:type="dxa"/>
            <w:vAlign w:val="center"/>
          </w:tcPr>
          <w:p w14:paraId="69DF2631">
            <w:pPr>
              <w:pStyle w:val="13"/>
            </w:pPr>
            <w:r>
              <w:t>普通教育</w:t>
            </w:r>
          </w:p>
        </w:tc>
        <w:tc>
          <w:tcPr>
            <w:tcW w:w="1361" w:type="dxa"/>
            <w:vAlign w:val="center"/>
          </w:tcPr>
          <w:p w14:paraId="5DB7B7F3">
            <w:pPr>
              <w:pStyle w:val="14"/>
            </w:pPr>
            <w:r>
              <w:t>3446.85</w:t>
            </w:r>
          </w:p>
        </w:tc>
        <w:tc>
          <w:tcPr>
            <w:tcW w:w="1361" w:type="dxa"/>
            <w:vAlign w:val="center"/>
          </w:tcPr>
          <w:p w14:paraId="40A783D7">
            <w:pPr>
              <w:pStyle w:val="14"/>
            </w:pPr>
            <w:r>
              <w:t>2589.60</w:t>
            </w:r>
          </w:p>
        </w:tc>
        <w:tc>
          <w:tcPr>
            <w:tcW w:w="1361" w:type="dxa"/>
            <w:vAlign w:val="center"/>
          </w:tcPr>
          <w:p w14:paraId="1A0CE406">
            <w:pPr>
              <w:pStyle w:val="14"/>
            </w:pPr>
            <w:r>
              <w:t>857.25</w:t>
            </w:r>
          </w:p>
        </w:tc>
        <w:tc>
          <w:tcPr>
            <w:tcW w:w="1361" w:type="dxa"/>
            <w:vAlign w:val="center"/>
          </w:tcPr>
          <w:p w14:paraId="41FEF6E6">
            <w:pPr>
              <w:pStyle w:val="14"/>
            </w:pPr>
          </w:p>
        </w:tc>
        <w:tc>
          <w:tcPr>
            <w:tcW w:w="1361" w:type="dxa"/>
            <w:vAlign w:val="center"/>
          </w:tcPr>
          <w:p w14:paraId="04AA362A">
            <w:pPr>
              <w:pStyle w:val="14"/>
            </w:pPr>
          </w:p>
        </w:tc>
        <w:tc>
          <w:tcPr>
            <w:tcW w:w="1361" w:type="dxa"/>
            <w:vAlign w:val="center"/>
          </w:tcPr>
          <w:p w14:paraId="1215EA70">
            <w:pPr>
              <w:pStyle w:val="14"/>
            </w:pPr>
          </w:p>
        </w:tc>
      </w:tr>
      <w:tr w14:paraId="04941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62A05">
            <w:pPr>
              <w:pStyle w:val="12"/>
            </w:pPr>
            <w:r>
              <w:t>4</w:t>
            </w:r>
          </w:p>
        </w:tc>
        <w:tc>
          <w:tcPr>
            <w:tcW w:w="992" w:type="dxa"/>
            <w:vAlign w:val="center"/>
          </w:tcPr>
          <w:p w14:paraId="484E2F97">
            <w:pPr>
              <w:pStyle w:val="13"/>
            </w:pPr>
            <w:r>
              <w:t>2050203</w:t>
            </w:r>
          </w:p>
        </w:tc>
        <w:tc>
          <w:tcPr>
            <w:tcW w:w="4535" w:type="dxa"/>
            <w:vAlign w:val="center"/>
          </w:tcPr>
          <w:p w14:paraId="3AEC29F8">
            <w:pPr>
              <w:pStyle w:val="13"/>
            </w:pPr>
            <w:r>
              <w:t>初中教育</w:t>
            </w:r>
          </w:p>
        </w:tc>
        <w:tc>
          <w:tcPr>
            <w:tcW w:w="1361" w:type="dxa"/>
            <w:vAlign w:val="center"/>
          </w:tcPr>
          <w:p w14:paraId="6E3F7249">
            <w:pPr>
              <w:pStyle w:val="14"/>
            </w:pPr>
            <w:r>
              <w:t>3446.85</w:t>
            </w:r>
          </w:p>
        </w:tc>
        <w:tc>
          <w:tcPr>
            <w:tcW w:w="1361" w:type="dxa"/>
            <w:vAlign w:val="center"/>
          </w:tcPr>
          <w:p w14:paraId="6271B2D4">
            <w:pPr>
              <w:pStyle w:val="14"/>
            </w:pPr>
            <w:r>
              <w:t>2589.60</w:t>
            </w:r>
          </w:p>
        </w:tc>
        <w:tc>
          <w:tcPr>
            <w:tcW w:w="1361" w:type="dxa"/>
            <w:vAlign w:val="center"/>
          </w:tcPr>
          <w:p w14:paraId="6C4F5B23">
            <w:pPr>
              <w:pStyle w:val="14"/>
            </w:pPr>
            <w:r>
              <w:t>857.25</w:t>
            </w:r>
          </w:p>
        </w:tc>
        <w:tc>
          <w:tcPr>
            <w:tcW w:w="1361" w:type="dxa"/>
            <w:vAlign w:val="center"/>
          </w:tcPr>
          <w:p w14:paraId="5EA22901">
            <w:pPr>
              <w:pStyle w:val="14"/>
            </w:pPr>
          </w:p>
        </w:tc>
        <w:tc>
          <w:tcPr>
            <w:tcW w:w="1361" w:type="dxa"/>
            <w:vAlign w:val="center"/>
          </w:tcPr>
          <w:p w14:paraId="4A61E458">
            <w:pPr>
              <w:pStyle w:val="14"/>
            </w:pPr>
          </w:p>
        </w:tc>
        <w:tc>
          <w:tcPr>
            <w:tcW w:w="1361" w:type="dxa"/>
            <w:vAlign w:val="center"/>
          </w:tcPr>
          <w:p w14:paraId="76A0FBAC">
            <w:pPr>
              <w:pStyle w:val="14"/>
            </w:pPr>
          </w:p>
        </w:tc>
      </w:tr>
    </w:tbl>
    <w:p w14:paraId="48504B7F">
      <w:pPr>
        <w:sectPr>
          <w:pgSz w:w="16840" w:h="11900" w:orient="landscape"/>
          <w:pgMar w:top="1361" w:right="1020" w:bottom="1134" w:left="1020" w:header="720" w:footer="720" w:gutter="0"/>
          <w:cols w:space="720" w:num="1"/>
        </w:sectPr>
      </w:pPr>
    </w:p>
    <w:p w14:paraId="370BC8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8411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FA8A2F">
            <w:pPr>
              <w:pStyle w:val="8"/>
            </w:pPr>
            <w:r>
              <w:t>360011河北省隆尧县实验中学</w:t>
            </w:r>
          </w:p>
        </w:tc>
        <w:tc>
          <w:tcPr>
            <w:tcW w:w="3402" w:type="dxa"/>
            <w:tcBorders>
              <w:top w:val="single" w:color="FFFFFF" w:sz="6" w:space="0"/>
              <w:left w:val="single" w:color="FFFFFF" w:sz="6" w:space="0"/>
              <w:right w:val="single" w:color="FFFFFF" w:sz="6" w:space="0"/>
            </w:tcBorders>
            <w:vAlign w:val="center"/>
          </w:tcPr>
          <w:p w14:paraId="69F55D0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C4CC4AC">
            <w:pPr>
              <w:pStyle w:val="10"/>
            </w:pPr>
            <w:r>
              <w:t>单位：万元</w:t>
            </w:r>
          </w:p>
        </w:tc>
      </w:tr>
      <w:tr w14:paraId="5888C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4CE0B">
            <w:pPr>
              <w:pStyle w:val="11"/>
            </w:pPr>
            <w:r>
              <w:t>序号</w:t>
            </w:r>
          </w:p>
        </w:tc>
        <w:tc>
          <w:tcPr>
            <w:tcW w:w="4876" w:type="dxa"/>
            <w:gridSpan w:val="2"/>
            <w:vAlign w:val="center"/>
          </w:tcPr>
          <w:p w14:paraId="36934E15">
            <w:pPr>
              <w:pStyle w:val="11"/>
            </w:pPr>
            <w:r>
              <w:t>收入</w:t>
            </w:r>
          </w:p>
        </w:tc>
        <w:tc>
          <w:tcPr>
            <w:tcW w:w="9298" w:type="dxa"/>
            <w:gridSpan w:val="5"/>
            <w:vAlign w:val="center"/>
          </w:tcPr>
          <w:p w14:paraId="15E6F76E">
            <w:pPr>
              <w:pStyle w:val="11"/>
            </w:pPr>
            <w:r>
              <w:t>支出</w:t>
            </w:r>
          </w:p>
        </w:tc>
      </w:tr>
      <w:tr w14:paraId="7A9F8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A7B602"/>
        </w:tc>
        <w:tc>
          <w:tcPr>
            <w:tcW w:w="3402" w:type="dxa"/>
            <w:vAlign w:val="center"/>
          </w:tcPr>
          <w:p w14:paraId="6A133ECC">
            <w:pPr>
              <w:pStyle w:val="11"/>
            </w:pPr>
            <w:r>
              <w:t>项  目</w:t>
            </w:r>
          </w:p>
        </w:tc>
        <w:tc>
          <w:tcPr>
            <w:tcW w:w="1474" w:type="dxa"/>
            <w:vAlign w:val="center"/>
          </w:tcPr>
          <w:p w14:paraId="1A29D4A7">
            <w:pPr>
              <w:pStyle w:val="11"/>
            </w:pPr>
            <w:r>
              <w:t>金额</w:t>
            </w:r>
          </w:p>
        </w:tc>
        <w:tc>
          <w:tcPr>
            <w:tcW w:w="3402" w:type="dxa"/>
            <w:vAlign w:val="center"/>
          </w:tcPr>
          <w:p w14:paraId="37192D48">
            <w:pPr>
              <w:pStyle w:val="11"/>
            </w:pPr>
            <w:r>
              <w:t>项  目</w:t>
            </w:r>
          </w:p>
        </w:tc>
        <w:tc>
          <w:tcPr>
            <w:tcW w:w="1474" w:type="dxa"/>
            <w:vAlign w:val="center"/>
          </w:tcPr>
          <w:p w14:paraId="020D7702">
            <w:pPr>
              <w:pStyle w:val="11"/>
            </w:pPr>
            <w:r>
              <w:t>合计</w:t>
            </w:r>
          </w:p>
        </w:tc>
        <w:tc>
          <w:tcPr>
            <w:tcW w:w="1474" w:type="dxa"/>
            <w:vAlign w:val="center"/>
          </w:tcPr>
          <w:p w14:paraId="4839B304">
            <w:pPr>
              <w:pStyle w:val="11"/>
            </w:pPr>
            <w:r>
              <w:t>一般公共预算财政拨款</w:t>
            </w:r>
          </w:p>
        </w:tc>
        <w:tc>
          <w:tcPr>
            <w:tcW w:w="1474" w:type="dxa"/>
            <w:vAlign w:val="center"/>
          </w:tcPr>
          <w:p w14:paraId="2784EB88">
            <w:pPr>
              <w:pStyle w:val="11"/>
            </w:pPr>
            <w:r>
              <w:t>政府性基金预算财政    拨款</w:t>
            </w:r>
          </w:p>
        </w:tc>
        <w:tc>
          <w:tcPr>
            <w:tcW w:w="1474" w:type="dxa"/>
            <w:vAlign w:val="center"/>
          </w:tcPr>
          <w:p w14:paraId="2B503D15">
            <w:pPr>
              <w:pStyle w:val="11"/>
            </w:pPr>
            <w:r>
              <w:t>国有资本经营预算财政拨款</w:t>
            </w:r>
          </w:p>
        </w:tc>
      </w:tr>
      <w:tr w14:paraId="4CCDA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718068">
            <w:pPr>
              <w:pStyle w:val="11"/>
            </w:pPr>
            <w:r>
              <w:t>栏次</w:t>
            </w:r>
          </w:p>
        </w:tc>
        <w:tc>
          <w:tcPr>
            <w:tcW w:w="3402" w:type="dxa"/>
            <w:vAlign w:val="center"/>
          </w:tcPr>
          <w:p w14:paraId="5744C3A1">
            <w:pPr>
              <w:pStyle w:val="11"/>
            </w:pPr>
            <w:r>
              <w:t>1</w:t>
            </w:r>
          </w:p>
        </w:tc>
        <w:tc>
          <w:tcPr>
            <w:tcW w:w="1474" w:type="dxa"/>
            <w:vAlign w:val="center"/>
          </w:tcPr>
          <w:p w14:paraId="7075A487">
            <w:pPr>
              <w:pStyle w:val="11"/>
            </w:pPr>
            <w:r>
              <w:t>2</w:t>
            </w:r>
          </w:p>
        </w:tc>
        <w:tc>
          <w:tcPr>
            <w:tcW w:w="3402" w:type="dxa"/>
            <w:vAlign w:val="center"/>
          </w:tcPr>
          <w:p w14:paraId="2732D47E">
            <w:pPr>
              <w:pStyle w:val="11"/>
            </w:pPr>
            <w:r>
              <w:t>3</w:t>
            </w:r>
          </w:p>
        </w:tc>
        <w:tc>
          <w:tcPr>
            <w:tcW w:w="1474" w:type="dxa"/>
            <w:vAlign w:val="center"/>
          </w:tcPr>
          <w:p w14:paraId="62D479C2">
            <w:pPr>
              <w:pStyle w:val="11"/>
            </w:pPr>
            <w:r>
              <w:t>4</w:t>
            </w:r>
          </w:p>
        </w:tc>
        <w:tc>
          <w:tcPr>
            <w:tcW w:w="1474" w:type="dxa"/>
            <w:vAlign w:val="center"/>
          </w:tcPr>
          <w:p w14:paraId="58C025B8">
            <w:pPr>
              <w:pStyle w:val="11"/>
            </w:pPr>
            <w:r>
              <w:t>5</w:t>
            </w:r>
          </w:p>
        </w:tc>
        <w:tc>
          <w:tcPr>
            <w:tcW w:w="1474" w:type="dxa"/>
            <w:vAlign w:val="center"/>
          </w:tcPr>
          <w:p w14:paraId="3314E56B">
            <w:pPr>
              <w:pStyle w:val="11"/>
            </w:pPr>
            <w:r>
              <w:t>6</w:t>
            </w:r>
          </w:p>
        </w:tc>
        <w:tc>
          <w:tcPr>
            <w:tcW w:w="1474" w:type="dxa"/>
            <w:vAlign w:val="center"/>
          </w:tcPr>
          <w:p w14:paraId="21C18E65">
            <w:pPr>
              <w:pStyle w:val="11"/>
            </w:pPr>
            <w:r>
              <w:t>7</w:t>
            </w:r>
          </w:p>
        </w:tc>
      </w:tr>
      <w:tr w14:paraId="1AB77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DDBC6">
            <w:pPr>
              <w:pStyle w:val="12"/>
            </w:pPr>
            <w:r>
              <w:t>1</w:t>
            </w:r>
          </w:p>
        </w:tc>
        <w:tc>
          <w:tcPr>
            <w:tcW w:w="3402" w:type="dxa"/>
            <w:vAlign w:val="center"/>
          </w:tcPr>
          <w:p w14:paraId="6151E5E4">
            <w:pPr>
              <w:pStyle w:val="13"/>
            </w:pPr>
            <w:r>
              <w:t>一、一般公共预算拨款</w:t>
            </w:r>
          </w:p>
        </w:tc>
        <w:tc>
          <w:tcPr>
            <w:tcW w:w="1474" w:type="dxa"/>
            <w:vAlign w:val="center"/>
          </w:tcPr>
          <w:p w14:paraId="0A1CE2EE">
            <w:pPr>
              <w:pStyle w:val="14"/>
            </w:pPr>
            <w:r>
              <w:t>3388.14</w:t>
            </w:r>
          </w:p>
        </w:tc>
        <w:tc>
          <w:tcPr>
            <w:tcW w:w="3402" w:type="dxa"/>
            <w:vAlign w:val="center"/>
          </w:tcPr>
          <w:p w14:paraId="38A52DA6">
            <w:pPr>
              <w:pStyle w:val="13"/>
            </w:pPr>
            <w:r>
              <w:t>一、一般公共服务支出</w:t>
            </w:r>
          </w:p>
        </w:tc>
        <w:tc>
          <w:tcPr>
            <w:tcW w:w="1474" w:type="dxa"/>
            <w:vAlign w:val="center"/>
          </w:tcPr>
          <w:p w14:paraId="4EACC55A">
            <w:pPr>
              <w:pStyle w:val="14"/>
            </w:pPr>
          </w:p>
        </w:tc>
        <w:tc>
          <w:tcPr>
            <w:tcW w:w="1474" w:type="dxa"/>
            <w:vAlign w:val="center"/>
          </w:tcPr>
          <w:p w14:paraId="058B5D03">
            <w:pPr>
              <w:pStyle w:val="14"/>
            </w:pPr>
          </w:p>
        </w:tc>
        <w:tc>
          <w:tcPr>
            <w:tcW w:w="1474" w:type="dxa"/>
            <w:vAlign w:val="center"/>
          </w:tcPr>
          <w:p w14:paraId="62726B15">
            <w:pPr>
              <w:pStyle w:val="14"/>
            </w:pPr>
          </w:p>
        </w:tc>
        <w:tc>
          <w:tcPr>
            <w:tcW w:w="1474" w:type="dxa"/>
            <w:vAlign w:val="center"/>
          </w:tcPr>
          <w:p w14:paraId="74A5B83E">
            <w:pPr>
              <w:pStyle w:val="14"/>
            </w:pPr>
          </w:p>
        </w:tc>
      </w:tr>
      <w:tr w14:paraId="1A3D2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82421">
            <w:pPr>
              <w:pStyle w:val="12"/>
            </w:pPr>
            <w:r>
              <w:t>2</w:t>
            </w:r>
          </w:p>
        </w:tc>
        <w:tc>
          <w:tcPr>
            <w:tcW w:w="3402" w:type="dxa"/>
            <w:vAlign w:val="center"/>
          </w:tcPr>
          <w:p w14:paraId="69EBC1AF">
            <w:pPr>
              <w:pStyle w:val="13"/>
            </w:pPr>
            <w:r>
              <w:t>二、政府性基金预算拨款</w:t>
            </w:r>
          </w:p>
        </w:tc>
        <w:tc>
          <w:tcPr>
            <w:tcW w:w="1474" w:type="dxa"/>
            <w:vAlign w:val="center"/>
          </w:tcPr>
          <w:p w14:paraId="25F3A973">
            <w:pPr>
              <w:pStyle w:val="14"/>
            </w:pPr>
          </w:p>
        </w:tc>
        <w:tc>
          <w:tcPr>
            <w:tcW w:w="3402" w:type="dxa"/>
            <w:vAlign w:val="center"/>
          </w:tcPr>
          <w:p w14:paraId="74DF801F">
            <w:pPr>
              <w:pStyle w:val="13"/>
            </w:pPr>
            <w:r>
              <w:t>二、外交支出</w:t>
            </w:r>
          </w:p>
        </w:tc>
        <w:tc>
          <w:tcPr>
            <w:tcW w:w="1474" w:type="dxa"/>
            <w:vAlign w:val="center"/>
          </w:tcPr>
          <w:p w14:paraId="345E846C">
            <w:pPr>
              <w:pStyle w:val="14"/>
            </w:pPr>
          </w:p>
        </w:tc>
        <w:tc>
          <w:tcPr>
            <w:tcW w:w="1474" w:type="dxa"/>
            <w:vAlign w:val="center"/>
          </w:tcPr>
          <w:p w14:paraId="77A0E8AF">
            <w:pPr>
              <w:pStyle w:val="14"/>
            </w:pPr>
          </w:p>
        </w:tc>
        <w:tc>
          <w:tcPr>
            <w:tcW w:w="1474" w:type="dxa"/>
            <w:vAlign w:val="center"/>
          </w:tcPr>
          <w:p w14:paraId="6F482668">
            <w:pPr>
              <w:pStyle w:val="14"/>
            </w:pPr>
          </w:p>
        </w:tc>
        <w:tc>
          <w:tcPr>
            <w:tcW w:w="1474" w:type="dxa"/>
            <w:vAlign w:val="center"/>
          </w:tcPr>
          <w:p w14:paraId="5ED067CA">
            <w:pPr>
              <w:pStyle w:val="14"/>
            </w:pPr>
          </w:p>
        </w:tc>
      </w:tr>
      <w:tr w14:paraId="12F2E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0FBF3">
            <w:pPr>
              <w:pStyle w:val="12"/>
            </w:pPr>
            <w:r>
              <w:t>3</w:t>
            </w:r>
          </w:p>
        </w:tc>
        <w:tc>
          <w:tcPr>
            <w:tcW w:w="3402" w:type="dxa"/>
            <w:vAlign w:val="center"/>
          </w:tcPr>
          <w:p w14:paraId="1EBDAC3F">
            <w:pPr>
              <w:pStyle w:val="13"/>
            </w:pPr>
            <w:r>
              <w:t>三、国有资本经营预算拨款</w:t>
            </w:r>
          </w:p>
        </w:tc>
        <w:tc>
          <w:tcPr>
            <w:tcW w:w="1474" w:type="dxa"/>
            <w:vAlign w:val="center"/>
          </w:tcPr>
          <w:p w14:paraId="6688ADF4">
            <w:pPr>
              <w:pStyle w:val="14"/>
            </w:pPr>
          </w:p>
        </w:tc>
        <w:tc>
          <w:tcPr>
            <w:tcW w:w="3402" w:type="dxa"/>
            <w:vAlign w:val="center"/>
          </w:tcPr>
          <w:p w14:paraId="2FDABC64">
            <w:pPr>
              <w:pStyle w:val="13"/>
            </w:pPr>
            <w:r>
              <w:t>三、国防支出</w:t>
            </w:r>
          </w:p>
        </w:tc>
        <w:tc>
          <w:tcPr>
            <w:tcW w:w="1474" w:type="dxa"/>
            <w:vAlign w:val="center"/>
          </w:tcPr>
          <w:p w14:paraId="6AFC1423">
            <w:pPr>
              <w:pStyle w:val="14"/>
            </w:pPr>
          </w:p>
        </w:tc>
        <w:tc>
          <w:tcPr>
            <w:tcW w:w="1474" w:type="dxa"/>
            <w:vAlign w:val="center"/>
          </w:tcPr>
          <w:p w14:paraId="4E07F2EC">
            <w:pPr>
              <w:pStyle w:val="14"/>
            </w:pPr>
          </w:p>
        </w:tc>
        <w:tc>
          <w:tcPr>
            <w:tcW w:w="1474" w:type="dxa"/>
            <w:vAlign w:val="center"/>
          </w:tcPr>
          <w:p w14:paraId="37455975">
            <w:pPr>
              <w:pStyle w:val="14"/>
            </w:pPr>
          </w:p>
        </w:tc>
        <w:tc>
          <w:tcPr>
            <w:tcW w:w="1474" w:type="dxa"/>
            <w:vAlign w:val="center"/>
          </w:tcPr>
          <w:p w14:paraId="346E285D">
            <w:pPr>
              <w:pStyle w:val="14"/>
            </w:pPr>
          </w:p>
        </w:tc>
      </w:tr>
      <w:tr w14:paraId="79DFB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86042">
            <w:pPr>
              <w:pStyle w:val="12"/>
            </w:pPr>
            <w:r>
              <w:t>4</w:t>
            </w:r>
          </w:p>
        </w:tc>
        <w:tc>
          <w:tcPr>
            <w:tcW w:w="3402" w:type="dxa"/>
            <w:vAlign w:val="center"/>
          </w:tcPr>
          <w:p w14:paraId="4BD2C624">
            <w:pPr>
              <w:pStyle w:val="13"/>
            </w:pPr>
          </w:p>
        </w:tc>
        <w:tc>
          <w:tcPr>
            <w:tcW w:w="1474" w:type="dxa"/>
            <w:vAlign w:val="center"/>
          </w:tcPr>
          <w:p w14:paraId="4F45D903">
            <w:pPr>
              <w:pStyle w:val="14"/>
            </w:pPr>
          </w:p>
        </w:tc>
        <w:tc>
          <w:tcPr>
            <w:tcW w:w="3402" w:type="dxa"/>
            <w:vAlign w:val="center"/>
          </w:tcPr>
          <w:p w14:paraId="79E296E3">
            <w:pPr>
              <w:pStyle w:val="13"/>
            </w:pPr>
            <w:r>
              <w:t>四、公共安全支出</w:t>
            </w:r>
          </w:p>
        </w:tc>
        <w:tc>
          <w:tcPr>
            <w:tcW w:w="1474" w:type="dxa"/>
            <w:vAlign w:val="center"/>
          </w:tcPr>
          <w:p w14:paraId="1B5DEBBA">
            <w:pPr>
              <w:pStyle w:val="14"/>
            </w:pPr>
          </w:p>
        </w:tc>
        <w:tc>
          <w:tcPr>
            <w:tcW w:w="1474" w:type="dxa"/>
            <w:vAlign w:val="center"/>
          </w:tcPr>
          <w:p w14:paraId="66B1CD9E">
            <w:pPr>
              <w:pStyle w:val="14"/>
            </w:pPr>
          </w:p>
        </w:tc>
        <w:tc>
          <w:tcPr>
            <w:tcW w:w="1474" w:type="dxa"/>
            <w:vAlign w:val="center"/>
          </w:tcPr>
          <w:p w14:paraId="347C422B">
            <w:pPr>
              <w:pStyle w:val="14"/>
            </w:pPr>
          </w:p>
        </w:tc>
        <w:tc>
          <w:tcPr>
            <w:tcW w:w="1474" w:type="dxa"/>
            <w:vAlign w:val="center"/>
          </w:tcPr>
          <w:p w14:paraId="6E796E44">
            <w:pPr>
              <w:pStyle w:val="14"/>
            </w:pPr>
          </w:p>
        </w:tc>
      </w:tr>
      <w:tr w14:paraId="26227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BB1D3">
            <w:pPr>
              <w:pStyle w:val="12"/>
            </w:pPr>
            <w:r>
              <w:t>5</w:t>
            </w:r>
          </w:p>
        </w:tc>
        <w:tc>
          <w:tcPr>
            <w:tcW w:w="3402" w:type="dxa"/>
            <w:vAlign w:val="center"/>
          </w:tcPr>
          <w:p w14:paraId="20EB3DA7">
            <w:pPr>
              <w:pStyle w:val="13"/>
            </w:pPr>
          </w:p>
        </w:tc>
        <w:tc>
          <w:tcPr>
            <w:tcW w:w="1474" w:type="dxa"/>
            <w:vAlign w:val="center"/>
          </w:tcPr>
          <w:p w14:paraId="6133E48D">
            <w:pPr>
              <w:pStyle w:val="14"/>
            </w:pPr>
          </w:p>
        </w:tc>
        <w:tc>
          <w:tcPr>
            <w:tcW w:w="3402" w:type="dxa"/>
            <w:vAlign w:val="center"/>
          </w:tcPr>
          <w:p w14:paraId="328622E0">
            <w:pPr>
              <w:pStyle w:val="13"/>
            </w:pPr>
            <w:r>
              <w:t>五、教育支出</w:t>
            </w:r>
          </w:p>
        </w:tc>
        <w:tc>
          <w:tcPr>
            <w:tcW w:w="1474" w:type="dxa"/>
            <w:vAlign w:val="center"/>
          </w:tcPr>
          <w:p w14:paraId="055780A1">
            <w:pPr>
              <w:pStyle w:val="14"/>
            </w:pPr>
            <w:r>
              <w:t>3446.85</w:t>
            </w:r>
          </w:p>
        </w:tc>
        <w:tc>
          <w:tcPr>
            <w:tcW w:w="1474" w:type="dxa"/>
            <w:vAlign w:val="center"/>
          </w:tcPr>
          <w:p w14:paraId="3B0EE801">
            <w:pPr>
              <w:pStyle w:val="14"/>
            </w:pPr>
            <w:r>
              <w:t>3446.85</w:t>
            </w:r>
          </w:p>
        </w:tc>
        <w:tc>
          <w:tcPr>
            <w:tcW w:w="1474" w:type="dxa"/>
            <w:vAlign w:val="center"/>
          </w:tcPr>
          <w:p w14:paraId="32B14707">
            <w:pPr>
              <w:pStyle w:val="14"/>
            </w:pPr>
          </w:p>
        </w:tc>
        <w:tc>
          <w:tcPr>
            <w:tcW w:w="1474" w:type="dxa"/>
            <w:vAlign w:val="center"/>
          </w:tcPr>
          <w:p w14:paraId="0D071398">
            <w:pPr>
              <w:pStyle w:val="14"/>
            </w:pPr>
          </w:p>
        </w:tc>
      </w:tr>
      <w:tr w14:paraId="36837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AD786">
            <w:pPr>
              <w:pStyle w:val="12"/>
            </w:pPr>
            <w:r>
              <w:t>6</w:t>
            </w:r>
          </w:p>
        </w:tc>
        <w:tc>
          <w:tcPr>
            <w:tcW w:w="3402" w:type="dxa"/>
            <w:vAlign w:val="center"/>
          </w:tcPr>
          <w:p w14:paraId="7F5744FA">
            <w:pPr>
              <w:pStyle w:val="13"/>
            </w:pPr>
          </w:p>
        </w:tc>
        <w:tc>
          <w:tcPr>
            <w:tcW w:w="1474" w:type="dxa"/>
            <w:vAlign w:val="center"/>
          </w:tcPr>
          <w:p w14:paraId="59DCEFDF">
            <w:pPr>
              <w:pStyle w:val="14"/>
            </w:pPr>
          </w:p>
        </w:tc>
        <w:tc>
          <w:tcPr>
            <w:tcW w:w="3402" w:type="dxa"/>
            <w:vAlign w:val="center"/>
          </w:tcPr>
          <w:p w14:paraId="1B6C9581">
            <w:pPr>
              <w:pStyle w:val="13"/>
            </w:pPr>
            <w:r>
              <w:t>六、科学技术支出</w:t>
            </w:r>
          </w:p>
        </w:tc>
        <w:tc>
          <w:tcPr>
            <w:tcW w:w="1474" w:type="dxa"/>
            <w:vAlign w:val="center"/>
          </w:tcPr>
          <w:p w14:paraId="47C62141">
            <w:pPr>
              <w:pStyle w:val="14"/>
            </w:pPr>
          </w:p>
        </w:tc>
        <w:tc>
          <w:tcPr>
            <w:tcW w:w="1474" w:type="dxa"/>
            <w:vAlign w:val="center"/>
          </w:tcPr>
          <w:p w14:paraId="51F045DE">
            <w:pPr>
              <w:pStyle w:val="14"/>
            </w:pPr>
          </w:p>
        </w:tc>
        <w:tc>
          <w:tcPr>
            <w:tcW w:w="1474" w:type="dxa"/>
            <w:vAlign w:val="center"/>
          </w:tcPr>
          <w:p w14:paraId="2F959422">
            <w:pPr>
              <w:pStyle w:val="14"/>
            </w:pPr>
          </w:p>
        </w:tc>
        <w:tc>
          <w:tcPr>
            <w:tcW w:w="1474" w:type="dxa"/>
            <w:vAlign w:val="center"/>
          </w:tcPr>
          <w:p w14:paraId="7DE0CE51">
            <w:pPr>
              <w:pStyle w:val="14"/>
            </w:pPr>
          </w:p>
        </w:tc>
      </w:tr>
      <w:tr w14:paraId="4BC4F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C0B4A">
            <w:pPr>
              <w:pStyle w:val="12"/>
            </w:pPr>
            <w:r>
              <w:t>7</w:t>
            </w:r>
          </w:p>
        </w:tc>
        <w:tc>
          <w:tcPr>
            <w:tcW w:w="3402" w:type="dxa"/>
            <w:vAlign w:val="center"/>
          </w:tcPr>
          <w:p w14:paraId="52B3B95C">
            <w:pPr>
              <w:pStyle w:val="13"/>
            </w:pPr>
          </w:p>
        </w:tc>
        <w:tc>
          <w:tcPr>
            <w:tcW w:w="1474" w:type="dxa"/>
            <w:vAlign w:val="center"/>
          </w:tcPr>
          <w:p w14:paraId="717449F4">
            <w:pPr>
              <w:pStyle w:val="14"/>
            </w:pPr>
          </w:p>
        </w:tc>
        <w:tc>
          <w:tcPr>
            <w:tcW w:w="3402" w:type="dxa"/>
            <w:vAlign w:val="center"/>
          </w:tcPr>
          <w:p w14:paraId="43C65E90">
            <w:pPr>
              <w:pStyle w:val="13"/>
            </w:pPr>
            <w:r>
              <w:t>七、文化旅游体育与传媒支出</w:t>
            </w:r>
          </w:p>
        </w:tc>
        <w:tc>
          <w:tcPr>
            <w:tcW w:w="1474" w:type="dxa"/>
            <w:vAlign w:val="center"/>
          </w:tcPr>
          <w:p w14:paraId="2A455876">
            <w:pPr>
              <w:pStyle w:val="14"/>
            </w:pPr>
          </w:p>
        </w:tc>
        <w:tc>
          <w:tcPr>
            <w:tcW w:w="1474" w:type="dxa"/>
            <w:vAlign w:val="center"/>
          </w:tcPr>
          <w:p w14:paraId="6FEAC0F8">
            <w:pPr>
              <w:pStyle w:val="14"/>
            </w:pPr>
          </w:p>
        </w:tc>
        <w:tc>
          <w:tcPr>
            <w:tcW w:w="1474" w:type="dxa"/>
            <w:vAlign w:val="center"/>
          </w:tcPr>
          <w:p w14:paraId="3E2A7977">
            <w:pPr>
              <w:pStyle w:val="14"/>
            </w:pPr>
          </w:p>
        </w:tc>
        <w:tc>
          <w:tcPr>
            <w:tcW w:w="1474" w:type="dxa"/>
            <w:vAlign w:val="center"/>
          </w:tcPr>
          <w:p w14:paraId="5E68E286">
            <w:pPr>
              <w:pStyle w:val="14"/>
            </w:pPr>
          </w:p>
        </w:tc>
      </w:tr>
      <w:tr w14:paraId="1C8DF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C6919">
            <w:pPr>
              <w:pStyle w:val="12"/>
            </w:pPr>
            <w:r>
              <w:t>8</w:t>
            </w:r>
          </w:p>
        </w:tc>
        <w:tc>
          <w:tcPr>
            <w:tcW w:w="3402" w:type="dxa"/>
            <w:vAlign w:val="center"/>
          </w:tcPr>
          <w:p w14:paraId="792C8257">
            <w:pPr>
              <w:pStyle w:val="13"/>
            </w:pPr>
          </w:p>
        </w:tc>
        <w:tc>
          <w:tcPr>
            <w:tcW w:w="1474" w:type="dxa"/>
            <w:vAlign w:val="center"/>
          </w:tcPr>
          <w:p w14:paraId="0D5579FB">
            <w:pPr>
              <w:pStyle w:val="14"/>
            </w:pPr>
          </w:p>
        </w:tc>
        <w:tc>
          <w:tcPr>
            <w:tcW w:w="3402" w:type="dxa"/>
            <w:vAlign w:val="center"/>
          </w:tcPr>
          <w:p w14:paraId="0A82A796">
            <w:pPr>
              <w:pStyle w:val="13"/>
            </w:pPr>
            <w:r>
              <w:t>八、社会保障和就业支出</w:t>
            </w:r>
          </w:p>
        </w:tc>
        <w:tc>
          <w:tcPr>
            <w:tcW w:w="1474" w:type="dxa"/>
            <w:vAlign w:val="center"/>
          </w:tcPr>
          <w:p w14:paraId="0FA3A077">
            <w:pPr>
              <w:pStyle w:val="14"/>
            </w:pPr>
          </w:p>
        </w:tc>
        <w:tc>
          <w:tcPr>
            <w:tcW w:w="1474" w:type="dxa"/>
            <w:vAlign w:val="center"/>
          </w:tcPr>
          <w:p w14:paraId="4313AD61">
            <w:pPr>
              <w:pStyle w:val="14"/>
            </w:pPr>
          </w:p>
        </w:tc>
        <w:tc>
          <w:tcPr>
            <w:tcW w:w="1474" w:type="dxa"/>
            <w:vAlign w:val="center"/>
          </w:tcPr>
          <w:p w14:paraId="6B3BA01D">
            <w:pPr>
              <w:pStyle w:val="14"/>
            </w:pPr>
          </w:p>
        </w:tc>
        <w:tc>
          <w:tcPr>
            <w:tcW w:w="1474" w:type="dxa"/>
            <w:vAlign w:val="center"/>
          </w:tcPr>
          <w:p w14:paraId="3165EBB8">
            <w:pPr>
              <w:pStyle w:val="14"/>
            </w:pPr>
          </w:p>
        </w:tc>
      </w:tr>
      <w:tr w14:paraId="68656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A5594">
            <w:pPr>
              <w:pStyle w:val="12"/>
            </w:pPr>
            <w:r>
              <w:t>9</w:t>
            </w:r>
          </w:p>
        </w:tc>
        <w:tc>
          <w:tcPr>
            <w:tcW w:w="3402" w:type="dxa"/>
            <w:vAlign w:val="center"/>
          </w:tcPr>
          <w:p w14:paraId="3EA3B0B1">
            <w:pPr>
              <w:pStyle w:val="13"/>
            </w:pPr>
          </w:p>
        </w:tc>
        <w:tc>
          <w:tcPr>
            <w:tcW w:w="1474" w:type="dxa"/>
            <w:vAlign w:val="center"/>
          </w:tcPr>
          <w:p w14:paraId="5D8F67A5">
            <w:pPr>
              <w:pStyle w:val="14"/>
            </w:pPr>
          </w:p>
        </w:tc>
        <w:tc>
          <w:tcPr>
            <w:tcW w:w="3402" w:type="dxa"/>
            <w:vAlign w:val="center"/>
          </w:tcPr>
          <w:p w14:paraId="6BAA324F">
            <w:pPr>
              <w:pStyle w:val="13"/>
            </w:pPr>
            <w:r>
              <w:t>九、社会保险基金支出</w:t>
            </w:r>
          </w:p>
        </w:tc>
        <w:tc>
          <w:tcPr>
            <w:tcW w:w="1474" w:type="dxa"/>
            <w:vAlign w:val="center"/>
          </w:tcPr>
          <w:p w14:paraId="3849D283">
            <w:pPr>
              <w:pStyle w:val="14"/>
            </w:pPr>
          </w:p>
        </w:tc>
        <w:tc>
          <w:tcPr>
            <w:tcW w:w="1474" w:type="dxa"/>
            <w:vAlign w:val="center"/>
          </w:tcPr>
          <w:p w14:paraId="58199765">
            <w:pPr>
              <w:pStyle w:val="14"/>
            </w:pPr>
          </w:p>
        </w:tc>
        <w:tc>
          <w:tcPr>
            <w:tcW w:w="1474" w:type="dxa"/>
            <w:vAlign w:val="center"/>
          </w:tcPr>
          <w:p w14:paraId="49E8BF62">
            <w:pPr>
              <w:pStyle w:val="14"/>
            </w:pPr>
          </w:p>
        </w:tc>
        <w:tc>
          <w:tcPr>
            <w:tcW w:w="1474" w:type="dxa"/>
            <w:vAlign w:val="center"/>
          </w:tcPr>
          <w:p w14:paraId="5FC490D7">
            <w:pPr>
              <w:pStyle w:val="14"/>
            </w:pPr>
          </w:p>
        </w:tc>
      </w:tr>
      <w:tr w14:paraId="2C83B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7C2CD">
            <w:pPr>
              <w:pStyle w:val="12"/>
            </w:pPr>
            <w:r>
              <w:t>10</w:t>
            </w:r>
          </w:p>
        </w:tc>
        <w:tc>
          <w:tcPr>
            <w:tcW w:w="3402" w:type="dxa"/>
            <w:vAlign w:val="center"/>
          </w:tcPr>
          <w:p w14:paraId="29DC6AD5">
            <w:pPr>
              <w:pStyle w:val="13"/>
            </w:pPr>
          </w:p>
        </w:tc>
        <w:tc>
          <w:tcPr>
            <w:tcW w:w="1474" w:type="dxa"/>
            <w:vAlign w:val="center"/>
          </w:tcPr>
          <w:p w14:paraId="3C051D0A">
            <w:pPr>
              <w:pStyle w:val="14"/>
            </w:pPr>
          </w:p>
        </w:tc>
        <w:tc>
          <w:tcPr>
            <w:tcW w:w="3402" w:type="dxa"/>
            <w:vAlign w:val="center"/>
          </w:tcPr>
          <w:p w14:paraId="4879C3E1">
            <w:pPr>
              <w:pStyle w:val="13"/>
            </w:pPr>
            <w:r>
              <w:t>十、卫生健康支出</w:t>
            </w:r>
          </w:p>
        </w:tc>
        <w:tc>
          <w:tcPr>
            <w:tcW w:w="1474" w:type="dxa"/>
            <w:vAlign w:val="center"/>
          </w:tcPr>
          <w:p w14:paraId="3E08C0F4">
            <w:pPr>
              <w:pStyle w:val="14"/>
            </w:pPr>
          </w:p>
        </w:tc>
        <w:tc>
          <w:tcPr>
            <w:tcW w:w="1474" w:type="dxa"/>
            <w:vAlign w:val="center"/>
          </w:tcPr>
          <w:p w14:paraId="441AC000">
            <w:pPr>
              <w:pStyle w:val="14"/>
            </w:pPr>
          </w:p>
        </w:tc>
        <w:tc>
          <w:tcPr>
            <w:tcW w:w="1474" w:type="dxa"/>
            <w:vAlign w:val="center"/>
          </w:tcPr>
          <w:p w14:paraId="0FFD04B9">
            <w:pPr>
              <w:pStyle w:val="14"/>
            </w:pPr>
          </w:p>
        </w:tc>
        <w:tc>
          <w:tcPr>
            <w:tcW w:w="1474" w:type="dxa"/>
            <w:vAlign w:val="center"/>
          </w:tcPr>
          <w:p w14:paraId="1A7E85A7">
            <w:pPr>
              <w:pStyle w:val="14"/>
            </w:pPr>
          </w:p>
        </w:tc>
      </w:tr>
      <w:tr w14:paraId="44F0D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1A25B">
            <w:pPr>
              <w:pStyle w:val="12"/>
            </w:pPr>
            <w:r>
              <w:t>11</w:t>
            </w:r>
          </w:p>
        </w:tc>
        <w:tc>
          <w:tcPr>
            <w:tcW w:w="3402" w:type="dxa"/>
            <w:vAlign w:val="center"/>
          </w:tcPr>
          <w:p w14:paraId="75391112">
            <w:pPr>
              <w:pStyle w:val="13"/>
            </w:pPr>
          </w:p>
        </w:tc>
        <w:tc>
          <w:tcPr>
            <w:tcW w:w="1474" w:type="dxa"/>
            <w:vAlign w:val="center"/>
          </w:tcPr>
          <w:p w14:paraId="45FAFF04">
            <w:pPr>
              <w:pStyle w:val="14"/>
            </w:pPr>
          </w:p>
        </w:tc>
        <w:tc>
          <w:tcPr>
            <w:tcW w:w="3402" w:type="dxa"/>
            <w:vAlign w:val="center"/>
          </w:tcPr>
          <w:p w14:paraId="20854B01">
            <w:pPr>
              <w:pStyle w:val="13"/>
            </w:pPr>
            <w:r>
              <w:t>十一、节能环保支出</w:t>
            </w:r>
          </w:p>
        </w:tc>
        <w:tc>
          <w:tcPr>
            <w:tcW w:w="1474" w:type="dxa"/>
            <w:vAlign w:val="center"/>
          </w:tcPr>
          <w:p w14:paraId="2A28110F">
            <w:pPr>
              <w:pStyle w:val="14"/>
            </w:pPr>
          </w:p>
        </w:tc>
        <w:tc>
          <w:tcPr>
            <w:tcW w:w="1474" w:type="dxa"/>
            <w:vAlign w:val="center"/>
          </w:tcPr>
          <w:p w14:paraId="237EC916">
            <w:pPr>
              <w:pStyle w:val="14"/>
            </w:pPr>
          </w:p>
        </w:tc>
        <w:tc>
          <w:tcPr>
            <w:tcW w:w="1474" w:type="dxa"/>
            <w:vAlign w:val="center"/>
          </w:tcPr>
          <w:p w14:paraId="687D3637">
            <w:pPr>
              <w:pStyle w:val="14"/>
            </w:pPr>
          </w:p>
        </w:tc>
        <w:tc>
          <w:tcPr>
            <w:tcW w:w="1474" w:type="dxa"/>
            <w:vAlign w:val="center"/>
          </w:tcPr>
          <w:p w14:paraId="4FA54C19">
            <w:pPr>
              <w:pStyle w:val="14"/>
            </w:pPr>
          </w:p>
        </w:tc>
      </w:tr>
      <w:tr w14:paraId="187B1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90DA3">
            <w:pPr>
              <w:pStyle w:val="12"/>
            </w:pPr>
            <w:r>
              <w:t>12</w:t>
            </w:r>
          </w:p>
        </w:tc>
        <w:tc>
          <w:tcPr>
            <w:tcW w:w="3402" w:type="dxa"/>
            <w:vAlign w:val="center"/>
          </w:tcPr>
          <w:p w14:paraId="4BABB5D1">
            <w:pPr>
              <w:pStyle w:val="13"/>
            </w:pPr>
          </w:p>
        </w:tc>
        <w:tc>
          <w:tcPr>
            <w:tcW w:w="1474" w:type="dxa"/>
            <w:vAlign w:val="center"/>
          </w:tcPr>
          <w:p w14:paraId="6614B886">
            <w:pPr>
              <w:pStyle w:val="14"/>
            </w:pPr>
          </w:p>
        </w:tc>
        <w:tc>
          <w:tcPr>
            <w:tcW w:w="3402" w:type="dxa"/>
            <w:vAlign w:val="center"/>
          </w:tcPr>
          <w:p w14:paraId="5CCD5F19">
            <w:pPr>
              <w:pStyle w:val="13"/>
            </w:pPr>
            <w:r>
              <w:t>十二、城乡社区支出</w:t>
            </w:r>
          </w:p>
        </w:tc>
        <w:tc>
          <w:tcPr>
            <w:tcW w:w="1474" w:type="dxa"/>
            <w:vAlign w:val="center"/>
          </w:tcPr>
          <w:p w14:paraId="340F83F6">
            <w:pPr>
              <w:pStyle w:val="14"/>
            </w:pPr>
          </w:p>
        </w:tc>
        <w:tc>
          <w:tcPr>
            <w:tcW w:w="1474" w:type="dxa"/>
            <w:vAlign w:val="center"/>
          </w:tcPr>
          <w:p w14:paraId="0AE55185">
            <w:pPr>
              <w:pStyle w:val="14"/>
            </w:pPr>
          </w:p>
        </w:tc>
        <w:tc>
          <w:tcPr>
            <w:tcW w:w="1474" w:type="dxa"/>
            <w:vAlign w:val="center"/>
          </w:tcPr>
          <w:p w14:paraId="41020BC6">
            <w:pPr>
              <w:pStyle w:val="14"/>
            </w:pPr>
          </w:p>
        </w:tc>
        <w:tc>
          <w:tcPr>
            <w:tcW w:w="1474" w:type="dxa"/>
            <w:vAlign w:val="center"/>
          </w:tcPr>
          <w:p w14:paraId="0242D4EF">
            <w:pPr>
              <w:pStyle w:val="14"/>
            </w:pPr>
          </w:p>
        </w:tc>
      </w:tr>
      <w:tr w14:paraId="5913D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752DC">
            <w:pPr>
              <w:pStyle w:val="12"/>
            </w:pPr>
            <w:r>
              <w:t>13</w:t>
            </w:r>
          </w:p>
        </w:tc>
        <w:tc>
          <w:tcPr>
            <w:tcW w:w="3402" w:type="dxa"/>
            <w:vAlign w:val="center"/>
          </w:tcPr>
          <w:p w14:paraId="406C262B">
            <w:pPr>
              <w:pStyle w:val="13"/>
            </w:pPr>
          </w:p>
        </w:tc>
        <w:tc>
          <w:tcPr>
            <w:tcW w:w="1474" w:type="dxa"/>
            <w:vAlign w:val="center"/>
          </w:tcPr>
          <w:p w14:paraId="759126AA">
            <w:pPr>
              <w:pStyle w:val="14"/>
            </w:pPr>
          </w:p>
        </w:tc>
        <w:tc>
          <w:tcPr>
            <w:tcW w:w="3402" w:type="dxa"/>
            <w:vAlign w:val="center"/>
          </w:tcPr>
          <w:p w14:paraId="301FD3BB">
            <w:pPr>
              <w:pStyle w:val="13"/>
            </w:pPr>
            <w:r>
              <w:t>十三、农林水支出</w:t>
            </w:r>
          </w:p>
        </w:tc>
        <w:tc>
          <w:tcPr>
            <w:tcW w:w="1474" w:type="dxa"/>
            <w:vAlign w:val="center"/>
          </w:tcPr>
          <w:p w14:paraId="66A669A5">
            <w:pPr>
              <w:pStyle w:val="14"/>
            </w:pPr>
          </w:p>
        </w:tc>
        <w:tc>
          <w:tcPr>
            <w:tcW w:w="1474" w:type="dxa"/>
            <w:vAlign w:val="center"/>
          </w:tcPr>
          <w:p w14:paraId="6D22B156">
            <w:pPr>
              <w:pStyle w:val="14"/>
            </w:pPr>
          </w:p>
        </w:tc>
        <w:tc>
          <w:tcPr>
            <w:tcW w:w="1474" w:type="dxa"/>
            <w:vAlign w:val="center"/>
          </w:tcPr>
          <w:p w14:paraId="230B1858">
            <w:pPr>
              <w:pStyle w:val="14"/>
            </w:pPr>
          </w:p>
        </w:tc>
        <w:tc>
          <w:tcPr>
            <w:tcW w:w="1474" w:type="dxa"/>
            <w:vAlign w:val="center"/>
          </w:tcPr>
          <w:p w14:paraId="073D243F">
            <w:pPr>
              <w:pStyle w:val="14"/>
            </w:pPr>
          </w:p>
        </w:tc>
      </w:tr>
      <w:tr w14:paraId="68CCE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F1B55">
            <w:pPr>
              <w:pStyle w:val="12"/>
            </w:pPr>
            <w:r>
              <w:t>14</w:t>
            </w:r>
          </w:p>
        </w:tc>
        <w:tc>
          <w:tcPr>
            <w:tcW w:w="3402" w:type="dxa"/>
            <w:vAlign w:val="center"/>
          </w:tcPr>
          <w:p w14:paraId="09622A25">
            <w:pPr>
              <w:pStyle w:val="13"/>
            </w:pPr>
          </w:p>
        </w:tc>
        <w:tc>
          <w:tcPr>
            <w:tcW w:w="1474" w:type="dxa"/>
            <w:vAlign w:val="center"/>
          </w:tcPr>
          <w:p w14:paraId="2357446C">
            <w:pPr>
              <w:pStyle w:val="14"/>
            </w:pPr>
          </w:p>
        </w:tc>
        <w:tc>
          <w:tcPr>
            <w:tcW w:w="3402" w:type="dxa"/>
            <w:vAlign w:val="center"/>
          </w:tcPr>
          <w:p w14:paraId="67E43230">
            <w:pPr>
              <w:pStyle w:val="13"/>
            </w:pPr>
            <w:r>
              <w:t>十四、交通运输支出</w:t>
            </w:r>
          </w:p>
        </w:tc>
        <w:tc>
          <w:tcPr>
            <w:tcW w:w="1474" w:type="dxa"/>
            <w:vAlign w:val="center"/>
          </w:tcPr>
          <w:p w14:paraId="22B5AAE9">
            <w:pPr>
              <w:pStyle w:val="14"/>
            </w:pPr>
          </w:p>
        </w:tc>
        <w:tc>
          <w:tcPr>
            <w:tcW w:w="1474" w:type="dxa"/>
            <w:vAlign w:val="center"/>
          </w:tcPr>
          <w:p w14:paraId="70C023F0">
            <w:pPr>
              <w:pStyle w:val="14"/>
            </w:pPr>
          </w:p>
        </w:tc>
        <w:tc>
          <w:tcPr>
            <w:tcW w:w="1474" w:type="dxa"/>
            <w:vAlign w:val="center"/>
          </w:tcPr>
          <w:p w14:paraId="2777FD17">
            <w:pPr>
              <w:pStyle w:val="14"/>
            </w:pPr>
          </w:p>
        </w:tc>
        <w:tc>
          <w:tcPr>
            <w:tcW w:w="1474" w:type="dxa"/>
            <w:vAlign w:val="center"/>
          </w:tcPr>
          <w:p w14:paraId="23CBCF93">
            <w:pPr>
              <w:pStyle w:val="14"/>
            </w:pPr>
          </w:p>
        </w:tc>
      </w:tr>
      <w:tr w14:paraId="3055C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478EE">
            <w:pPr>
              <w:pStyle w:val="12"/>
            </w:pPr>
            <w:r>
              <w:t>15</w:t>
            </w:r>
          </w:p>
        </w:tc>
        <w:tc>
          <w:tcPr>
            <w:tcW w:w="3402" w:type="dxa"/>
            <w:vAlign w:val="center"/>
          </w:tcPr>
          <w:p w14:paraId="6A0DE25F">
            <w:pPr>
              <w:pStyle w:val="13"/>
            </w:pPr>
          </w:p>
        </w:tc>
        <w:tc>
          <w:tcPr>
            <w:tcW w:w="1474" w:type="dxa"/>
            <w:vAlign w:val="center"/>
          </w:tcPr>
          <w:p w14:paraId="445BD19C">
            <w:pPr>
              <w:pStyle w:val="14"/>
            </w:pPr>
          </w:p>
        </w:tc>
        <w:tc>
          <w:tcPr>
            <w:tcW w:w="3402" w:type="dxa"/>
            <w:vAlign w:val="center"/>
          </w:tcPr>
          <w:p w14:paraId="14ABED24">
            <w:pPr>
              <w:pStyle w:val="13"/>
            </w:pPr>
            <w:r>
              <w:t>十五、资源勘探工业信息等支出</w:t>
            </w:r>
          </w:p>
        </w:tc>
        <w:tc>
          <w:tcPr>
            <w:tcW w:w="1474" w:type="dxa"/>
            <w:vAlign w:val="center"/>
          </w:tcPr>
          <w:p w14:paraId="6454ACE3">
            <w:pPr>
              <w:pStyle w:val="14"/>
            </w:pPr>
          </w:p>
        </w:tc>
        <w:tc>
          <w:tcPr>
            <w:tcW w:w="1474" w:type="dxa"/>
            <w:vAlign w:val="center"/>
          </w:tcPr>
          <w:p w14:paraId="2CD20787">
            <w:pPr>
              <w:pStyle w:val="14"/>
            </w:pPr>
          </w:p>
        </w:tc>
        <w:tc>
          <w:tcPr>
            <w:tcW w:w="1474" w:type="dxa"/>
            <w:vAlign w:val="center"/>
          </w:tcPr>
          <w:p w14:paraId="076750BE">
            <w:pPr>
              <w:pStyle w:val="14"/>
            </w:pPr>
          </w:p>
        </w:tc>
        <w:tc>
          <w:tcPr>
            <w:tcW w:w="1474" w:type="dxa"/>
            <w:vAlign w:val="center"/>
          </w:tcPr>
          <w:p w14:paraId="5DB5AEC0">
            <w:pPr>
              <w:pStyle w:val="14"/>
            </w:pPr>
          </w:p>
        </w:tc>
      </w:tr>
      <w:tr w14:paraId="59F03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4D060">
            <w:pPr>
              <w:pStyle w:val="12"/>
            </w:pPr>
            <w:r>
              <w:t>16</w:t>
            </w:r>
          </w:p>
        </w:tc>
        <w:tc>
          <w:tcPr>
            <w:tcW w:w="3402" w:type="dxa"/>
            <w:vAlign w:val="center"/>
          </w:tcPr>
          <w:p w14:paraId="185C89A9">
            <w:pPr>
              <w:pStyle w:val="13"/>
            </w:pPr>
          </w:p>
        </w:tc>
        <w:tc>
          <w:tcPr>
            <w:tcW w:w="1474" w:type="dxa"/>
            <w:vAlign w:val="center"/>
          </w:tcPr>
          <w:p w14:paraId="07550860">
            <w:pPr>
              <w:pStyle w:val="14"/>
            </w:pPr>
          </w:p>
        </w:tc>
        <w:tc>
          <w:tcPr>
            <w:tcW w:w="3402" w:type="dxa"/>
            <w:vAlign w:val="center"/>
          </w:tcPr>
          <w:p w14:paraId="470F1602">
            <w:pPr>
              <w:pStyle w:val="13"/>
            </w:pPr>
            <w:r>
              <w:t>十六、商业服务业等支出</w:t>
            </w:r>
          </w:p>
        </w:tc>
        <w:tc>
          <w:tcPr>
            <w:tcW w:w="1474" w:type="dxa"/>
            <w:vAlign w:val="center"/>
          </w:tcPr>
          <w:p w14:paraId="1596AB9A">
            <w:pPr>
              <w:pStyle w:val="14"/>
            </w:pPr>
          </w:p>
        </w:tc>
        <w:tc>
          <w:tcPr>
            <w:tcW w:w="1474" w:type="dxa"/>
            <w:vAlign w:val="center"/>
          </w:tcPr>
          <w:p w14:paraId="0B518F6B">
            <w:pPr>
              <w:pStyle w:val="14"/>
            </w:pPr>
          </w:p>
        </w:tc>
        <w:tc>
          <w:tcPr>
            <w:tcW w:w="1474" w:type="dxa"/>
            <w:vAlign w:val="center"/>
          </w:tcPr>
          <w:p w14:paraId="373BD358">
            <w:pPr>
              <w:pStyle w:val="14"/>
            </w:pPr>
          </w:p>
        </w:tc>
        <w:tc>
          <w:tcPr>
            <w:tcW w:w="1474" w:type="dxa"/>
            <w:vAlign w:val="center"/>
          </w:tcPr>
          <w:p w14:paraId="5DDE0112">
            <w:pPr>
              <w:pStyle w:val="14"/>
            </w:pPr>
          </w:p>
        </w:tc>
      </w:tr>
      <w:tr w14:paraId="485C2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514D1">
            <w:pPr>
              <w:pStyle w:val="12"/>
            </w:pPr>
            <w:r>
              <w:t>17</w:t>
            </w:r>
          </w:p>
        </w:tc>
        <w:tc>
          <w:tcPr>
            <w:tcW w:w="3402" w:type="dxa"/>
            <w:vAlign w:val="center"/>
          </w:tcPr>
          <w:p w14:paraId="2F61A9EB">
            <w:pPr>
              <w:pStyle w:val="13"/>
            </w:pPr>
          </w:p>
        </w:tc>
        <w:tc>
          <w:tcPr>
            <w:tcW w:w="1474" w:type="dxa"/>
            <w:vAlign w:val="center"/>
          </w:tcPr>
          <w:p w14:paraId="24F1F32C">
            <w:pPr>
              <w:pStyle w:val="14"/>
            </w:pPr>
          </w:p>
        </w:tc>
        <w:tc>
          <w:tcPr>
            <w:tcW w:w="3402" w:type="dxa"/>
            <w:vAlign w:val="center"/>
          </w:tcPr>
          <w:p w14:paraId="2B43BF69">
            <w:pPr>
              <w:pStyle w:val="13"/>
            </w:pPr>
            <w:r>
              <w:t>十七、金融支出</w:t>
            </w:r>
          </w:p>
        </w:tc>
        <w:tc>
          <w:tcPr>
            <w:tcW w:w="1474" w:type="dxa"/>
            <w:vAlign w:val="center"/>
          </w:tcPr>
          <w:p w14:paraId="40A54233">
            <w:pPr>
              <w:pStyle w:val="14"/>
            </w:pPr>
          </w:p>
        </w:tc>
        <w:tc>
          <w:tcPr>
            <w:tcW w:w="1474" w:type="dxa"/>
            <w:vAlign w:val="center"/>
          </w:tcPr>
          <w:p w14:paraId="797D17E4">
            <w:pPr>
              <w:pStyle w:val="14"/>
            </w:pPr>
          </w:p>
        </w:tc>
        <w:tc>
          <w:tcPr>
            <w:tcW w:w="1474" w:type="dxa"/>
            <w:vAlign w:val="center"/>
          </w:tcPr>
          <w:p w14:paraId="2A086F52">
            <w:pPr>
              <w:pStyle w:val="14"/>
            </w:pPr>
          </w:p>
        </w:tc>
        <w:tc>
          <w:tcPr>
            <w:tcW w:w="1474" w:type="dxa"/>
            <w:vAlign w:val="center"/>
          </w:tcPr>
          <w:p w14:paraId="16262A15">
            <w:pPr>
              <w:pStyle w:val="14"/>
            </w:pPr>
          </w:p>
        </w:tc>
      </w:tr>
      <w:tr w14:paraId="0D29A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93A93">
            <w:pPr>
              <w:pStyle w:val="12"/>
            </w:pPr>
            <w:r>
              <w:t>18</w:t>
            </w:r>
          </w:p>
        </w:tc>
        <w:tc>
          <w:tcPr>
            <w:tcW w:w="3402" w:type="dxa"/>
            <w:vAlign w:val="center"/>
          </w:tcPr>
          <w:p w14:paraId="0D15BB95">
            <w:pPr>
              <w:pStyle w:val="13"/>
            </w:pPr>
          </w:p>
        </w:tc>
        <w:tc>
          <w:tcPr>
            <w:tcW w:w="1474" w:type="dxa"/>
            <w:vAlign w:val="center"/>
          </w:tcPr>
          <w:p w14:paraId="66C81F47">
            <w:pPr>
              <w:pStyle w:val="14"/>
            </w:pPr>
          </w:p>
        </w:tc>
        <w:tc>
          <w:tcPr>
            <w:tcW w:w="3402" w:type="dxa"/>
            <w:vAlign w:val="center"/>
          </w:tcPr>
          <w:p w14:paraId="61D93C69">
            <w:pPr>
              <w:pStyle w:val="13"/>
            </w:pPr>
            <w:r>
              <w:t>十八、援助其他地区支出</w:t>
            </w:r>
          </w:p>
        </w:tc>
        <w:tc>
          <w:tcPr>
            <w:tcW w:w="1474" w:type="dxa"/>
            <w:vAlign w:val="center"/>
          </w:tcPr>
          <w:p w14:paraId="68885654">
            <w:pPr>
              <w:pStyle w:val="14"/>
            </w:pPr>
          </w:p>
        </w:tc>
        <w:tc>
          <w:tcPr>
            <w:tcW w:w="1474" w:type="dxa"/>
            <w:vAlign w:val="center"/>
          </w:tcPr>
          <w:p w14:paraId="08FB3A7A">
            <w:pPr>
              <w:pStyle w:val="14"/>
            </w:pPr>
          </w:p>
        </w:tc>
        <w:tc>
          <w:tcPr>
            <w:tcW w:w="1474" w:type="dxa"/>
            <w:vAlign w:val="center"/>
          </w:tcPr>
          <w:p w14:paraId="194DDAB0">
            <w:pPr>
              <w:pStyle w:val="14"/>
            </w:pPr>
          </w:p>
        </w:tc>
        <w:tc>
          <w:tcPr>
            <w:tcW w:w="1474" w:type="dxa"/>
            <w:vAlign w:val="center"/>
          </w:tcPr>
          <w:p w14:paraId="3AD89D4C">
            <w:pPr>
              <w:pStyle w:val="14"/>
            </w:pPr>
          </w:p>
        </w:tc>
      </w:tr>
      <w:tr w14:paraId="1EB99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3034D">
            <w:pPr>
              <w:pStyle w:val="12"/>
            </w:pPr>
            <w:r>
              <w:t>19</w:t>
            </w:r>
          </w:p>
        </w:tc>
        <w:tc>
          <w:tcPr>
            <w:tcW w:w="3402" w:type="dxa"/>
            <w:vAlign w:val="center"/>
          </w:tcPr>
          <w:p w14:paraId="5E136939">
            <w:pPr>
              <w:pStyle w:val="13"/>
            </w:pPr>
          </w:p>
        </w:tc>
        <w:tc>
          <w:tcPr>
            <w:tcW w:w="1474" w:type="dxa"/>
            <w:vAlign w:val="center"/>
          </w:tcPr>
          <w:p w14:paraId="0595FA0E">
            <w:pPr>
              <w:pStyle w:val="14"/>
            </w:pPr>
          </w:p>
        </w:tc>
        <w:tc>
          <w:tcPr>
            <w:tcW w:w="3402" w:type="dxa"/>
            <w:vAlign w:val="center"/>
          </w:tcPr>
          <w:p w14:paraId="30F8336A">
            <w:pPr>
              <w:pStyle w:val="13"/>
            </w:pPr>
            <w:r>
              <w:t>十九、自然资源海洋气象等支出</w:t>
            </w:r>
          </w:p>
        </w:tc>
        <w:tc>
          <w:tcPr>
            <w:tcW w:w="1474" w:type="dxa"/>
            <w:vAlign w:val="center"/>
          </w:tcPr>
          <w:p w14:paraId="2AC99A8A">
            <w:pPr>
              <w:pStyle w:val="14"/>
            </w:pPr>
          </w:p>
        </w:tc>
        <w:tc>
          <w:tcPr>
            <w:tcW w:w="1474" w:type="dxa"/>
            <w:vAlign w:val="center"/>
          </w:tcPr>
          <w:p w14:paraId="132E3319">
            <w:pPr>
              <w:pStyle w:val="14"/>
            </w:pPr>
          </w:p>
        </w:tc>
        <w:tc>
          <w:tcPr>
            <w:tcW w:w="1474" w:type="dxa"/>
            <w:vAlign w:val="center"/>
          </w:tcPr>
          <w:p w14:paraId="1FD387FC">
            <w:pPr>
              <w:pStyle w:val="14"/>
            </w:pPr>
          </w:p>
        </w:tc>
        <w:tc>
          <w:tcPr>
            <w:tcW w:w="1474" w:type="dxa"/>
            <w:vAlign w:val="center"/>
          </w:tcPr>
          <w:p w14:paraId="5B76E6D2">
            <w:pPr>
              <w:pStyle w:val="14"/>
            </w:pPr>
          </w:p>
        </w:tc>
      </w:tr>
      <w:tr w14:paraId="65258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A75A9">
            <w:pPr>
              <w:pStyle w:val="12"/>
            </w:pPr>
            <w:r>
              <w:t>20</w:t>
            </w:r>
          </w:p>
        </w:tc>
        <w:tc>
          <w:tcPr>
            <w:tcW w:w="3402" w:type="dxa"/>
            <w:vAlign w:val="center"/>
          </w:tcPr>
          <w:p w14:paraId="0BA2A914">
            <w:pPr>
              <w:pStyle w:val="13"/>
            </w:pPr>
          </w:p>
        </w:tc>
        <w:tc>
          <w:tcPr>
            <w:tcW w:w="1474" w:type="dxa"/>
            <w:vAlign w:val="center"/>
          </w:tcPr>
          <w:p w14:paraId="27BEFA4E">
            <w:pPr>
              <w:pStyle w:val="14"/>
            </w:pPr>
          </w:p>
        </w:tc>
        <w:tc>
          <w:tcPr>
            <w:tcW w:w="3402" w:type="dxa"/>
            <w:vAlign w:val="center"/>
          </w:tcPr>
          <w:p w14:paraId="5EAF8123">
            <w:pPr>
              <w:pStyle w:val="13"/>
            </w:pPr>
            <w:r>
              <w:t>二十、住房保障支出</w:t>
            </w:r>
          </w:p>
        </w:tc>
        <w:tc>
          <w:tcPr>
            <w:tcW w:w="1474" w:type="dxa"/>
            <w:vAlign w:val="center"/>
          </w:tcPr>
          <w:p w14:paraId="12D36F9A">
            <w:pPr>
              <w:pStyle w:val="14"/>
            </w:pPr>
          </w:p>
        </w:tc>
        <w:tc>
          <w:tcPr>
            <w:tcW w:w="1474" w:type="dxa"/>
            <w:vAlign w:val="center"/>
          </w:tcPr>
          <w:p w14:paraId="30AED8C5">
            <w:pPr>
              <w:pStyle w:val="14"/>
            </w:pPr>
          </w:p>
        </w:tc>
        <w:tc>
          <w:tcPr>
            <w:tcW w:w="1474" w:type="dxa"/>
            <w:vAlign w:val="center"/>
          </w:tcPr>
          <w:p w14:paraId="32F5C8EA">
            <w:pPr>
              <w:pStyle w:val="14"/>
            </w:pPr>
          </w:p>
        </w:tc>
        <w:tc>
          <w:tcPr>
            <w:tcW w:w="1474" w:type="dxa"/>
            <w:vAlign w:val="center"/>
          </w:tcPr>
          <w:p w14:paraId="50608E4A">
            <w:pPr>
              <w:pStyle w:val="14"/>
            </w:pPr>
          </w:p>
        </w:tc>
      </w:tr>
      <w:tr w14:paraId="13AB7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9133C">
            <w:pPr>
              <w:pStyle w:val="12"/>
            </w:pPr>
            <w:r>
              <w:t>21</w:t>
            </w:r>
          </w:p>
        </w:tc>
        <w:tc>
          <w:tcPr>
            <w:tcW w:w="3402" w:type="dxa"/>
            <w:vAlign w:val="center"/>
          </w:tcPr>
          <w:p w14:paraId="100F743F">
            <w:pPr>
              <w:pStyle w:val="13"/>
            </w:pPr>
          </w:p>
        </w:tc>
        <w:tc>
          <w:tcPr>
            <w:tcW w:w="1474" w:type="dxa"/>
            <w:vAlign w:val="center"/>
          </w:tcPr>
          <w:p w14:paraId="5B52F3A8">
            <w:pPr>
              <w:pStyle w:val="14"/>
            </w:pPr>
          </w:p>
        </w:tc>
        <w:tc>
          <w:tcPr>
            <w:tcW w:w="3402" w:type="dxa"/>
            <w:vAlign w:val="center"/>
          </w:tcPr>
          <w:p w14:paraId="468815C2">
            <w:pPr>
              <w:pStyle w:val="13"/>
            </w:pPr>
            <w:r>
              <w:t>二十一、粮油物资储备支出</w:t>
            </w:r>
          </w:p>
        </w:tc>
        <w:tc>
          <w:tcPr>
            <w:tcW w:w="1474" w:type="dxa"/>
            <w:vAlign w:val="center"/>
          </w:tcPr>
          <w:p w14:paraId="370D68F1">
            <w:pPr>
              <w:pStyle w:val="14"/>
            </w:pPr>
          </w:p>
        </w:tc>
        <w:tc>
          <w:tcPr>
            <w:tcW w:w="1474" w:type="dxa"/>
            <w:vAlign w:val="center"/>
          </w:tcPr>
          <w:p w14:paraId="68D5B767">
            <w:pPr>
              <w:pStyle w:val="14"/>
            </w:pPr>
          </w:p>
        </w:tc>
        <w:tc>
          <w:tcPr>
            <w:tcW w:w="1474" w:type="dxa"/>
            <w:vAlign w:val="center"/>
          </w:tcPr>
          <w:p w14:paraId="2984EF7F">
            <w:pPr>
              <w:pStyle w:val="14"/>
            </w:pPr>
          </w:p>
        </w:tc>
        <w:tc>
          <w:tcPr>
            <w:tcW w:w="1474" w:type="dxa"/>
            <w:vAlign w:val="center"/>
          </w:tcPr>
          <w:p w14:paraId="759EF7F2">
            <w:pPr>
              <w:pStyle w:val="14"/>
            </w:pPr>
          </w:p>
        </w:tc>
      </w:tr>
      <w:tr w14:paraId="3D789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036ED">
            <w:pPr>
              <w:pStyle w:val="12"/>
            </w:pPr>
            <w:r>
              <w:t>22</w:t>
            </w:r>
          </w:p>
        </w:tc>
        <w:tc>
          <w:tcPr>
            <w:tcW w:w="3402" w:type="dxa"/>
            <w:vAlign w:val="center"/>
          </w:tcPr>
          <w:p w14:paraId="29837513">
            <w:pPr>
              <w:pStyle w:val="13"/>
            </w:pPr>
          </w:p>
        </w:tc>
        <w:tc>
          <w:tcPr>
            <w:tcW w:w="1474" w:type="dxa"/>
            <w:vAlign w:val="center"/>
          </w:tcPr>
          <w:p w14:paraId="07D082DE">
            <w:pPr>
              <w:pStyle w:val="14"/>
            </w:pPr>
          </w:p>
        </w:tc>
        <w:tc>
          <w:tcPr>
            <w:tcW w:w="3402" w:type="dxa"/>
            <w:vAlign w:val="center"/>
          </w:tcPr>
          <w:p w14:paraId="59BA3FD0">
            <w:pPr>
              <w:pStyle w:val="13"/>
            </w:pPr>
            <w:r>
              <w:t>二十二、国有资本经营预算支出</w:t>
            </w:r>
          </w:p>
        </w:tc>
        <w:tc>
          <w:tcPr>
            <w:tcW w:w="1474" w:type="dxa"/>
            <w:vAlign w:val="center"/>
          </w:tcPr>
          <w:p w14:paraId="4DDC2066">
            <w:pPr>
              <w:pStyle w:val="14"/>
            </w:pPr>
          </w:p>
        </w:tc>
        <w:tc>
          <w:tcPr>
            <w:tcW w:w="1474" w:type="dxa"/>
            <w:vAlign w:val="center"/>
          </w:tcPr>
          <w:p w14:paraId="012BF693">
            <w:pPr>
              <w:pStyle w:val="14"/>
            </w:pPr>
          </w:p>
        </w:tc>
        <w:tc>
          <w:tcPr>
            <w:tcW w:w="1474" w:type="dxa"/>
            <w:vAlign w:val="center"/>
          </w:tcPr>
          <w:p w14:paraId="094BBCB0">
            <w:pPr>
              <w:pStyle w:val="14"/>
            </w:pPr>
          </w:p>
        </w:tc>
        <w:tc>
          <w:tcPr>
            <w:tcW w:w="1474" w:type="dxa"/>
            <w:vAlign w:val="center"/>
          </w:tcPr>
          <w:p w14:paraId="65B8157E">
            <w:pPr>
              <w:pStyle w:val="14"/>
            </w:pPr>
          </w:p>
        </w:tc>
      </w:tr>
      <w:tr w14:paraId="3C386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7B916">
            <w:pPr>
              <w:pStyle w:val="12"/>
            </w:pPr>
            <w:r>
              <w:t>23</w:t>
            </w:r>
          </w:p>
        </w:tc>
        <w:tc>
          <w:tcPr>
            <w:tcW w:w="3402" w:type="dxa"/>
            <w:vAlign w:val="center"/>
          </w:tcPr>
          <w:p w14:paraId="31F8B9EA">
            <w:pPr>
              <w:pStyle w:val="13"/>
            </w:pPr>
          </w:p>
        </w:tc>
        <w:tc>
          <w:tcPr>
            <w:tcW w:w="1474" w:type="dxa"/>
            <w:vAlign w:val="center"/>
          </w:tcPr>
          <w:p w14:paraId="3DD0F69C">
            <w:pPr>
              <w:pStyle w:val="14"/>
            </w:pPr>
          </w:p>
        </w:tc>
        <w:tc>
          <w:tcPr>
            <w:tcW w:w="3402" w:type="dxa"/>
            <w:vAlign w:val="center"/>
          </w:tcPr>
          <w:p w14:paraId="1E4E7414">
            <w:pPr>
              <w:pStyle w:val="13"/>
            </w:pPr>
            <w:r>
              <w:t>二十三、灾害防治及应急管理支出</w:t>
            </w:r>
          </w:p>
        </w:tc>
        <w:tc>
          <w:tcPr>
            <w:tcW w:w="1474" w:type="dxa"/>
            <w:vAlign w:val="center"/>
          </w:tcPr>
          <w:p w14:paraId="248E880E">
            <w:pPr>
              <w:pStyle w:val="14"/>
            </w:pPr>
          </w:p>
        </w:tc>
        <w:tc>
          <w:tcPr>
            <w:tcW w:w="1474" w:type="dxa"/>
            <w:vAlign w:val="center"/>
          </w:tcPr>
          <w:p w14:paraId="1D92A34C">
            <w:pPr>
              <w:pStyle w:val="14"/>
            </w:pPr>
          </w:p>
        </w:tc>
        <w:tc>
          <w:tcPr>
            <w:tcW w:w="1474" w:type="dxa"/>
            <w:vAlign w:val="center"/>
          </w:tcPr>
          <w:p w14:paraId="58D96554">
            <w:pPr>
              <w:pStyle w:val="14"/>
            </w:pPr>
          </w:p>
        </w:tc>
        <w:tc>
          <w:tcPr>
            <w:tcW w:w="1474" w:type="dxa"/>
            <w:vAlign w:val="center"/>
          </w:tcPr>
          <w:p w14:paraId="5B1D57C5">
            <w:pPr>
              <w:pStyle w:val="14"/>
            </w:pPr>
          </w:p>
        </w:tc>
      </w:tr>
      <w:tr w14:paraId="1F58F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43032">
            <w:pPr>
              <w:pStyle w:val="12"/>
            </w:pPr>
            <w:r>
              <w:t>24</w:t>
            </w:r>
          </w:p>
        </w:tc>
        <w:tc>
          <w:tcPr>
            <w:tcW w:w="3402" w:type="dxa"/>
            <w:vAlign w:val="center"/>
          </w:tcPr>
          <w:p w14:paraId="4F24782F">
            <w:pPr>
              <w:pStyle w:val="13"/>
            </w:pPr>
          </w:p>
        </w:tc>
        <w:tc>
          <w:tcPr>
            <w:tcW w:w="1474" w:type="dxa"/>
            <w:vAlign w:val="center"/>
          </w:tcPr>
          <w:p w14:paraId="5B9E769D">
            <w:pPr>
              <w:pStyle w:val="14"/>
            </w:pPr>
          </w:p>
        </w:tc>
        <w:tc>
          <w:tcPr>
            <w:tcW w:w="3402" w:type="dxa"/>
            <w:vAlign w:val="center"/>
          </w:tcPr>
          <w:p w14:paraId="08158722">
            <w:pPr>
              <w:pStyle w:val="13"/>
            </w:pPr>
            <w:r>
              <w:t>二十四、预备费</w:t>
            </w:r>
          </w:p>
        </w:tc>
        <w:tc>
          <w:tcPr>
            <w:tcW w:w="1474" w:type="dxa"/>
            <w:vAlign w:val="center"/>
          </w:tcPr>
          <w:p w14:paraId="6F08D65C">
            <w:pPr>
              <w:pStyle w:val="14"/>
            </w:pPr>
          </w:p>
        </w:tc>
        <w:tc>
          <w:tcPr>
            <w:tcW w:w="1474" w:type="dxa"/>
            <w:vAlign w:val="center"/>
          </w:tcPr>
          <w:p w14:paraId="1C5D5B92">
            <w:pPr>
              <w:pStyle w:val="14"/>
            </w:pPr>
          </w:p>
        </w:tc>
        <w:tc>
          <w:tcPr>
            <w:tcW w:w="1474" w:type="dxa"/>
            <w:vAlign w:val="center"/>
          </w:tcPr>
          <w:p w14:paraId="7FC9CB63">
            <w:pPr>
              <w:pStyle w:val="14"/>
            </w:pPr>
          </w:p>
        </w:tc>
        <w:tc>
          <w:tcPr>
            <w:tcW w:w="1474" w:type="dxa"/>
            <w:vAlign w:val="center"/>
          </w:tcPr>
          <w:p w14:paraId="5B6A6933">
            <w:pPr>
              <w:pStyle w:val="14"/>
            </w:pPr>
          </w:p>
        </w:tc>
      </w:tr>
      <w:tr w14:paraId="15ACE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F624E">
            <w:pPr>
              <w:pStyle w:val="12"/>
            </w:pPr>
            <w:r>
              <w:t>25</w:t>
            </w:r>
          </w:p>
        </w:tc>
        <w:tc>
          <w:tcPr>
            <w:tcW w:w="3402" w:type="dxa"/>
            <w:vAlign w:val="center"/>
          </w:tcPr>
          <w:p w14:paraId="62212430">
            <w:pPr>
              <w:pStyle w:val="13"/>
            </w:pPr>
          </w:p>
        </w:tc>
        <w:tc>
          <w:tcPr>
            <w:tcW w:w="1474" w:type="dxa"/>
            <w:vAlign w:val="center"/>
          </w:tcPr>
          <w:p w14:paraId="763ABDD4">
            <w:pPr>
              <w:pStyle w:val="14"/>
            </w:pPr>
          </w:p>
        </w:tc>
        <w:tc>
          <w:tcPr>
            <w:tcW w:w="3402" w:type="dxa"/>
            <w:vAlign w:val="center"/>
          </w:tcPr>
          <w:p w14:paraId="44809439">
            <w:pPr>
              <w:pStyle w:val="13"/>
            </w:pPr>
            <w:r>
              <w:t>二十五、其他支出</w:t>
            </w:r>
          </w:p>
        </w:tc>
        <w:tc>
          <w:tcPr>
            <w:tcW w:w="1474" w:type="dxa"/>
            <w:vAlign w:val="center"/>
          </w:tcPr>
          <w:p w14:paraId="162AC3E9">
            <w:pPr>
              <w:pStyle w:val="14"/>
            </w:pPr>
          </w:p>
        </w:tc>
        <w:tc>
          <w:tcPr>
            <w:tcW w:w="1474" w:type="dxa"/>
            <w:vAlign w:val="center"/>
          </w:tcPr>
          <w:p w14:paraId="53EE123A">
            <w:pPr>
              <w:pStyle w:val="14"/>
            </w:pPr>
          </w:p>
        </w:tc>
        <w:tc>
          <w:tcPr>
            <w:tcW w:w="1474" w:type="dxa"/>
            <w:vAlign w:val="center"/>
          </w:tcPr>
          <w:p w14:paraId="34D959D7">
            <w:pPr>
              <w:pStyle w:val="14"/>
            </w:pPr>
          </w:p>
        </w:tc>
        <w:tc>
          <w:tcPr>
            <w:tcW w:w="1474" w:type="dxa"/>
            <w:vAlign w:val="center"/>
          </w:tcPr>
          <w:p w14:paraId="7B8CD0FB">
            <w:pPr>
              <w:pStyle w:val="14"/>
            </w:pPr>
          </w:p>
        </w:tc>
      </w:tr>
      <w:tr w14:paraId="22FCA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CA1AE">
            <w:pPr>
              <w:pStyle w:val="12"/>
            </w:pPr>
            <w:r>
              <w:t>26</w:t>
            </w:r>
          </w:p>
        </w:tc>
        <w:tc>
          <w:tcPr>
            <w:tcW w:w="3402" w:type="dxa"/>
            <w:vAlign w:val="center"/>
          </w:tcPr>
          <w:p w14:paraId="0DDAE82A">
            <w:pPr>
              <w:pStyle w:val="13"/>
            </w:pPr>
          </w:p>
        </w:tc>
        <w:tc>
          <w:tcPr>
            <w:tcW w:w="1474" w:type="dxa"/>
            <w:vAlign w:val="center"/>
          </w:tcPr>
          <w:p w14:paraId="148DD13A">
            <w:pPr>
              <w:pStyle w:val="14"/>
            </w:pPr>
          </w:p>
        </w:tc>
        <w:tc>
          <w:tcPr>
            <w:tcW w:w="3402" w:type="dxa"/>
            <w:vAlign w:val="center"/>
          </w:tcPr>
          <w:p w14:paraId="3A4A6C28">
            <w:pPr>
              <w:pStyle w:val="13"/>
            </w:pPr>
            <w:r>
              <w:t>二十六、转移性支出</w:t>
            </w:r>
          </w:p>
        </w:tc>
        <w:tc>
          <w:tcPr>
            <w:tcW w:w="1474" w:type="dxa"/>
            <w:vAlign w:val="center"/>
          </w:tcPr>
          <w:p w14:paraId="4F2E6963">
            <w:pPr>
              <w:pStyle w:val="14"/>
            </w:pPr>
          </w:p>
        </w:tc>
        <w:tc>
          <w:tcPr>
            <w:tcW w:w="1474" w:type="dxa"/>
            <w:vAlign w:val="center"/>
          </w:tcPr>
          <w:p w14:paraId="293B5620">
            <w:pPr>
              <w:pStyle w:val="14"/>
            </w:pPr>
          </w:p>
        </w:tc>
        <w:tc>
          <w:tcPr>
            <w:tcW w:w="1474" w:type="dxa"/>
            <w:vAlign w:val="center"/>
          </w:tcPr>
          <w:p w14:paraId="71D6AA82">
            <w:pPr>
              <w:pStyle w:val="14"/>
            </w:pPr>
          </w:p>
        </w:tc>
        <w:tc>
          <w:tcPr>
            <w:tcW w:w="1474" w:type="dxa"/>
            <w:vAlign w:val="center"/>
          </w:tcPr>
          <w:p w14:paraId="0CCC4737">
            <w:pPr>
              <w:pStyle w:val="14"/>
            </w:pPr>
          </w:p>
        </w:tc>
      </w:tr>
      <w:tr w14:paraId="66A8B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610B3">
            <w:pPr>
              <w:pStyle w:val="12"/>
            </w:pPr>
            <w:r>
              <w:t>27</w:t>
            </w:r>
          </w:p>
        </w:tc>
        <w:tc>
          <w:tcPr>
            <w:tcW w:w="3402" w:type="dxa"/>
            <w:vAlign w:val="center"/>
          </w:tcPr>
          <w:p w14:paraId="0ECAC5E3">
            <w:pPr>
              <w:pStyle w:val="13"/>
            </w:pPr>
          </w:p>
        </w:tc>
        <w:tc>
          <w:tcPr>
            <w:tcW w:w="1474" w:type="dxa"/>
            <w:vAlign w:val="center"/>
          </w:tcPr>
          <w:p w14:paraId="71A7D66E">
            <w:pPr>
              <w:pStyle w:val="14"/>
            </w:pPr>
          </w:p>
        </w:tc>
        <w:tc>
          <w:tcPr>
            <w:tcW w:w="3402" w:type="dxa"/>
            <w:vAlign w:val="center"/>
          </w:tcPr>
          <w:p w14:paraId="3D46EAEA">
            <w:pPr>
              <w:pStyle w:val="13"/>
            </w:pPr>
            <w:r>
              <w:t>二十七、债务还本支出</w:t>
            </w:r>
          </w:p>
        </w:tc>
        <w:tc>
          <w:tcPr>
            <w:tcW w:w="1474" w:type="dxa"/>
            <w:vAlign w:val="center"/>
          </w:tcPr>
          <w:p w14:paraId="6D90BA2D">
            <w:pPr>
              <w:pStyle w:val="14"/>
            </w:pPr>
          </w:p>
        </w:tc>
        <w:tc>
          <w:tcPr>
            <w:tcW w:w="1474" w:type="dxa"/>
            <w:vAlign w:val="center"/>
          </w:tcPr>
          <w:p w14:paraId="61FD4DF5">
            <w:pPr>
              <w:pStyle w:val="14"/>
            </w:pPr>
          </w:p>
        </w:tc>
        <w:tc>
          <w:tcPr>
            <w:tcW w:w="1474" w:type="dxa"/>
            <w:vAlign w:val="center"/>
          </w:tcPr>
          <w:p w14:paraId="4CC42F99">
            <w:pPr>
              <w:pStyle w:val="14"/>
            </w:pPr>
          </w:p>
        </w:tc>
        <w:tc>
          <w:tcPr>
            <w:tcW w:w="1474" w:type="dxa"/>
            <w:vAlign w:val="center"/>
          </w:tcPr>
          <w:p w14:paraId="12F1C023">
            <w:pPr>
              <w:pStyle w:val="14"/>
            </w:pPr>
          </w:p>
        </w:tc>
      </w:tr>
      <w:tr w14:paraId="5CCF0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9E8A9">
            <w:pPr>
              <w:pStyle w:val="12"/>
            </w:pPr>
            <w:r>
              <w:t>28</w:t>
            </w:r>
          </w:p>
        </w:tc>
        <w:tc>
          <w:tcPr>
            <w:tcW w:w="3402" w:type="dxa"/>
            <w:vAlign w:val="center"/>
          </w:tcPr>
          <w:p w14:paraId="44354997">
            <w:pPr>
              <w:pStyle w:val="13"/>
            </w:pPr>
          </w:p>
        </w:tc>
        <w:tc>
          <w:tcPr>
            <w:tcW w:w="1474" w:type="dxa"/>
            <w:vAlign w:val="center"/>
          </w:tcPr>
          <w:p w14:paraId="4DA636FD">
            <w:pPr>
              <w:pStyle w:val="14"/>
            </w:pPr>
          </w:p>
        </w:tc>
        <w:tc>
          <w:tcPr>
            <w:tcW w:w="3402" w:type="dxa"/>
            <w:vAlign w:val="center"/>
          </w:tcPr>
          <w:p w14:paraId="1CD4A7B4">
            <w:pPr>
              <w:pStyle w:val="13"/>
            </w:pPr>
            <w:r>
              <w:t>二十八、债务付息支出</w:t>
            </w:r>
          </w:p>
        </w:tc>
        <w:tc>
          <w:tcPr>
            <w:tcW w:w="1474" w:type="dxa"/>
            <w:vAlign w:val="center"/>
          </w:tcPr>
          <w:p w14:paraId="28434990">
            <w:pPr>
              <w:pStyle w:val="14"/>
            </w:pPr>
          </w:p>
        </w:tc>
        <w:tc>
          <w:tcPr>
            <w:tcW w:w="1474" w:type="dxa"/>
            <w:vAlign w:val="center"/>
          </w:tcPr>
          <w:p w14:paraId="194D3EA9">
            <w:pPr>
              <w:pStyle w:val="14"/>
            </w:pPr>
          </w:p>
        </w:tc>
        <w:tc>
          <w:tcPr>
            <w:tcW w:w="1474" w:type="dxa"/>
            <w:vAlign w:val="center"/>
          </w:tcPr>
          <w:p w14:paraId="1B8E8304">
            <w:pPr>
              <w:pStyle w:val="14"/>
            </w:pPr>
          </w:p>
        </w:tc>
        <w:tc>
          <w:tcPr>
            <w:tcW w:w="1474" w:type="dxa"/>
            <w:vAlign w:val="center"/>
          </w:tcPr>
          <w:p w14:paraId="57214371">
            <w:pPr>
              <w:pStyle w:val="14"/>
            </w:pPr>
          </w:p>
        </w:tc>
      </w:tr>
      <w:tr w14:paraId="0850E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344F5">
            <w:pPr>
              <w:pStyle w:val="12"/>
            </w:pPr>
            <w:r>
              <w:t>29</w:t>
            </w:r>
          </w:p>
        </w:tc>
        <w:tc>
          <w:tcPr>
            <w:tcW w:w="3402" w:type="dxa"/>
            <w:vAlign w:val="center"/>
          </w:tcPr>
          <w:p w14:paraId="2D24F4AF">
            <w:pPr>
              <w:pStyle w:val="13"/>
            </w:pPr>
          </w:p>
        </w:tc>
        <w:tc>
          <w:tcPr>
            <w:tcW w:w="1474" w:type="dxa"/>
            <w:vAlign w:val="center"/>
          </w:tcPr>
          <w:p w14:paraId="556887E6">
            <w:pPr>
              <w:pStyle w:val="14"/>
            </w:pPr>
          </w:p>
        </w:tc>
        <w:tc>
          <w:tcPr>
            <w:tcW w:w="3402" w:type="dxa"/>
            <w:vAlign w:val="center"/>
          </w:tcPr>
          <w:p w14:paraId="5285A8C3">
            <w:pPr>
              <w:pStyle w:val="13"/>
            </w:pPr>
            <w:r>
              <w:t>二十九、债务发行费用支出</w:t>
            </w:r>
          </w:p>
        </w:tc>
        <w:tc>
          <w:tcPr>
            <w:tcW w:w="1474" w:type="dxa"/>
            <w:vAlign w:val="center"/>
          </w:tcPr>
          <w:p w14:paraId="5C622B23">
            <w:pPr>
              <w:pStyle w:val="14"/>
            </w:pPr>
          </w:p>
        </w:tc>
        <w:tc>
          <w:tcPr>
            <w:tcW w:w="1474" w:type="dxa"/>
            <w:vAlign w:val="center"/>
          </w:tcPr>
          <w:p w14:paraId="5906E5B5">
            <w:pPr>
              <w:pStyle w:val="14"/>
            </w:pPr>
          </w:p>
        </w:tc>
        <w:tc>
          <w:tcPr>
            <w:tcW w:w="1474" w:type="dxa"/>
            <w:vAlign w:val="center"/>
          </w:tcPr>
          <w:p w14:paraId="29B491EE">
            <w:pPr>
              <w:pStyle w:val="14"/>
            </w:pPr>
          </w:p>
        </w:tc>
        <w:tc>
          <w:tcPr>
            <w:tcW w:w="1474" w:type="dxa"/>
            <w:vAlign w:val="center"/>
          </w:tcPr>
          <w:p w14:paraId="034B48B1">
            <w:pPr>
              <w:pStyle w:val="14"/>
            </w:pPr>
          </w:p>
        </w:tc>
      </w:tr>
      <w:tr w14:paraId="30C65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0C484">
            <w:pPr>
              <w:pStyle w:val="12"/>
            </w:pPr>
            <w:r>
              <w:t>30</w:t>
            </w:r>
          </w:p>
        </w:tc>
        <w:tc>
          <w:tcPr>
            <w:tcW w:w="3402" w:type="dxa"/>
            <w:vAlign w:val="center"/>
          </w:tcPr>
          <w:p w14:paraId="01D1F2EE">
            <w:pPr>
              <w:pStyle w:val="13"/>
            </w:pPr>
          </w:p>
        </w:tc>
        <w:tc>
          <w:tcPr>
            <w:tcW w:w="1474" w:type="dxa"/>
            <w:vAlign w:val="center"/>
          </w:tcPr>
          <w:p w14:paraId="3834074B">
            <w:pPr>
              <w:pStyle w:val="14"/>
            </w:pPr>
          </w:p>
        </w:tc>
        <w:tc>
          <w:tcPr>
            <w:tcW w:w="3402" w:type="dxa"/>
            <w:vAlign w:val="center"/>
          </w:tcPr>
          <w:p w14:paraId="26578F0B">
            <w:pPr>
              <w:pStyle w:val="13"/>
            </w:pPr>
            <w:r>
              <w:t>三十、抗疫特别国债安排的支出</w:t>
            </w:r>
          </w:p>
        </w:tc>
        <w:tc>
          <w:tcPr>
            <w:tcW w:w="1474" w:type="dxa"/>
            <w:vAlign w:val="center"/>
          </w:tcPr>
          <w:p w14:paraId="62E396C6">
            <w:pPr>
              <w:pStyle w:val="14"/>
            </w:pPr>
          </w:p>
        </w:tc>
        <w:tc>
          <w:tcPr>
            <w:tcW w:w="1474" w:type="dxa"/>
            <w:vAlign w:val="center"/>
          </w:tcPr>
          <w:p w14:paraId="45E88B87">
            <w:pPr>
              <w:pStyle w:val="14"/>
            </w:pPr>
          </w:p>
        </w:tc>
        <w:tc>
          <w:tcPr>
            <w:tcW w:w="1474" w:type="dxa"/>
            <w:vAlign w:val="center"/>
          </w:tcPr>
          <w:p w14:paraId="0AD67216">
            <w:pPr>
              <w:pStyle w:val="14"/>
            </w:pPr>
          </w:p>
        </w:tc>
        <w:tc>
          <w:tcPr>
            <w:tcW w:w="1474" w:type="dxa"/>
            <w:vAlign w:val="center"/>
          </w:tcPr>
          <w:p w14:paraId="28352025">
            <w:pPr>
              <w:pStyle w:val="14"/>
            </w:pPr>
          </w:p>
        </w:tc>
      </w:tr>
      <w:tr w14:paraId="71C79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AFB8E">
            <w:pPr>
              <w:pStyle w:val="12"/>
            </w:pPr>
            <w:r>
              <w:t>31</w:t>
            </w:r>
          </w:p>
        </w:tc>
        <w:tc>
          <w:tcPr>
            <w:tcW w:w="3402" w:type="dxa"/>
            <w:vAlign w:val="center"/>
          </w:tcPr>
          <w:p w14:paraId="59CB36AF">
            <w:pPr>
              <w:pStyle w:val="13"/>
            </w:pPr>
          </w:p>
        </w:tc>
        <w:tc>
          <w:tcPr>
            <w:tcW w:w="1474" w:type="dxa"/>
            <w:vAlign w:val="center"/>
          </w:tcPr>
          <w:p w14:paraId="2DED353F">
            <w:pPr>
              <w:pStyle w:val="14"/>
            </w:pPr>
          </w:p>
        </w:tc>
        <w:tc>
          <w:tcPr>
            <w:tcW w:w="3402" w:type="dxa"/>
            <w:vAlign w:val="center"/>
          </w:tcPr>
          <w:p w14:paraId="65DDB1DD">
            <w:pPr>
              <w:pStyle w:val="13"/>
            </w:pPr>
            <w:r>
              <w:t>三十一、人行科目</w:t>
            </w:r>
          </w:p>
        </w:tc>
        <w:tc>
          <w:tcPr>
            <w:tcW w:w="1474" w:type="dxa"/>
            <w:vAlign w:val="center"/>
          </w:tcPr>
          <w:p w14:paraId="591D50B7">
            <w:pPr>
              <w:pStyle w:val="14"/>
            </w:pPr>
          </w:p>
        </w:tc>
        <w:tc>
          <w:tcPr>
            <w:tcW w:w="1474" w:type="dxa"/>
            <w:vAlign w:val="center"/>
          </w:tcPr>
          <w:p w14:paraId="4018D22C">
            <w:pPr>
              <w:pStyle w:val="14"/>
            </w:pPr>
          </w:p>
        </w:tc>
        <w:tc>
          <w:tcPr>
            <w:tcW w:w="1474" w:type="dxa"/>
            <w:vAlign w:val="center"/>
          </w:tcPr>
          <w:p w14:paraId="3EE63104">
            <w:pPr>
              <w:pStyle w:val="14"/>
            </w:pPr>
          </w:p>
        </w:tc>
        <w:tc>
          <w:tcPr>
            <w:tcW w:w="1474" w:type="dxa"/>
            <w:vAlign w:val="center"/>
          </w:tcPr>
          <w:p w14:paraId="6C7D1834">
            <w:pPr>
              <w:pStyle w:val="14"/>
            </w:pPr>
          </w:p>
        </w:tc>
      </w:tr>
      <w:tr w14:paraId="1D302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F8430">
            <w:pPr>
              <w:pStyle w:val="12"/>
            </w:pPr>
            <w:r>
              <w:t>32</w:t>
            </w:r>
          </w:p>
        </w:tc>
        <w:tc>
          <w:tcPr>
            <w:tcW w:w="3402" w:type="dxa"/>
            <w:vAlign w:val="center"/>
          </w:tcPr>
          <w:p w14:paraId="08A36F29">
            <w:pPr>
              <w:pStyle w:val="15"/>
            </w:pPr>
            <w:r>
              <w:t>本年收入合计</w:t>
            </w:r>
          </w:p>
        </w:tc>
        <w:tc>
          <w:tcPr>
            <w:tcW w:w="1474" w:type="dxa"/>
            <w:vAlign w:val="center"/>
          </w:tcPr>
          <w:p w14:paraId="0366CBC7">
            <w:pPr>
              <w:pStyle w:val="16"/>
            </w:pPr>
            <w:r>
              <w:t>3388.14</w:t>
            </w:r>
          </w:p>
        </w:tc>
        <w:tc>
          <w:tcPr>
            <w:tcW w:w="3402" w:type="dxa"/>
            <w:vAlign w:val="center"/>
          </w:tcPr>
          <w:p w14:paraId="50870D5E">
            <w:pPr>
              <w:pStyle w:val="15"/>
            </w:pPr>
            <w:r>
              <w:t>本年支出合计</w:t>
            </w:r>
          </w:p>
        </w:tc>
        <w:tc>
          <w:tcPr>
            <w:tcW w:w="1474" w:type="dxa"/>
            <w:vAlign w:val="center"/>
          </w:tcPr>
          <w:p w14:paraId="448D3FC1">
            <w:pPr>
              <w:pStyle w:val="16"/>
            </w:pPr>
            <w:r>
              <w:t>3446.85</w:t>
            </w:r>
          </w:p>
        </w:tc>
        <w:tc>
          <w:tcPr>
            <w:tcW w:w="1474" w:type="dxa"/>
            <w:vAlign w:val="center"/>
          </w:tcPr>
          <w:p w14:paraId="5645EB4E">
            <w:pPr>
              <w:pStyle w:val="16"/>
            </w:pPr>
            <w:r>
              <w:t>3446.85</w:t>
            </w:r>
          </w:p>
        </w:tc>
        <w:tc>
          <w:tcPr>
            <w:tcW w:w="1474" w:type="dxa"/>
            <w:vAlign w:val="center"/>
          </w:tcPr>
          <w:p w14:paraId="3C81B037">
            <w:pPr>
              <w:pStyle w:val="16"/>
            </w:pPr>
          </w:p>
        </w:tc>
        <w:tc>
          <w:tcPr>
            <w:tcW w:w="1474" w:type="dxa"/>
            <w:vAlign w:val="center"/>
          </w:tcPr>
          <w:p w14:paraId="6533E967">
            <w:pPr>
              <w:pStyle w:val="16"/>
            </w:pPr>
          </w:p>
        </w:tc>
      </w:tr>
      <w:tr w14:paraId="675D3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C5936">
            <w:pPr>
              <w:pStyle w:val="12"/>
            </w:pPr>
            <w:r>
              <w:t>33</w:t>
            </w:r>
          </w:p>
        </w:tc>
        <w:tc>
          <w:tcPr>
            <w:tcW w:w="3402" w:type="dxa"/>
            <w:vAlign w:val="center"/>
          </w:tcPr>
          <w:p w14:paraId="3031773C">
            <w:pPr>
              <w:pStyle w:val="13"/>
            </w:pPr>
            <w:r>
              <w:t>年初财政拨款结转和结余</w:t>
            </w:r>
          </w:p>
        </w:tc>
        <w:tc>
          <w:tcPr>
            <w:tcW w:w="1474" w:type="dxa"/>
            <w:vAlign w:val="center"/>
          </w:tcPr>
          <w:p w14:paraId="01F1D11E">
            <w:pPr>
              <w:pStyle w:val="14"/>
            </w:pPr>
            <w:r>
              <w:t>58.71</w:t>
            </w:r>
          </w:p>
        </w:tc>
        <w:tc>
          <w:tcPr>
            <w:tcW w:w="3402" w:type="dxa"/>
            <w:vAlign w:val="center"/>
          </w:tcPr>
          <w:p w14:paraId="570CD1A8">
            <w:pPr>
              <w:pStyle w:val="13"/>
            </w:pPr>
            <w:r>
              <w:t>年末财政拨款结转和结余</w:t>
            </w:r>
          </w:p>
        </w:tc>
        <w:tc>
          <w:tcPr>
            <w:tcW w:w="1474" w:type="dxa"/>
            <w:vAlign w:val="center"/>
          </w:tcPr>
          <w:p w14:paraId="2C1C66CD">
            <w:pPr>
              <w:pStyle w:val="14"/>
            </w:pPr>
          </w:p>
        </w:tc>
        <w:tc>
          <w:tcPr>
            <w:tcW w:w="1474" w:type="dxa"/>
            <w:vAlign w:val="center"/>
          </w:tcPr>
          <w:p w14:paraId="65D97561">
            <w:pPr>
              <w:pStyle w:val="14"/>
            </w:pPr>
          </w:p>
        </w:tc>
        <w:tc>
          <w:tcPr>
            <w:tcW w:w="1474" w:type="dxa"/>
            <w:vAlign w:val="center"/>
          </w:tcPr>
          <w:p w14:paraId="08063B14">
            <w:pPr>
              <w:pStyle w:val="14"/>
            </w:pPr>
          </w:p>
        </w:tc>
        <w:tc>
          <w:tcPr>
            <w:tcW w:w="1474" w:type="dxa"/>
            <w:vAlign w:val="center"/>
          </w:tcPr>
          <w:p w14:paraId="53C1655B">
            <w:pPr>
              <w:pStyle w:val="14"/>
            </w:pPr>
          </w:p>
        </w:tc>
      </w:tr>
      <w:tr w14:paraId="6E3B7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50D24">
            <w:pPr>
              <w:pStyle w:val="12"/>
            </w:pPr>
            <w:r>
              <w:t>34</w:t>
            </w:r>
          </w:p>
        </w:tc>
        <w:tc>
          <w:tcPr>
            <w:tcW w:w="3402" w:type="dxa"/>
            <w:vAlign w:val="center"/>
          </w:tcPr>
          <w:p w14:paraId="03C9D6E6">
            <w:pPr>
              <w:pStyle w:val="13"/>
            </w:pPr>
            <w:r>
              <w:t>一、一般公共预算拨款</w:t>
            </w:r>
          </w:p>
        </w:tc>
        <w:tc>
          <w:tcPr>
            <w:tcW w:w="1474" w:type="dxa"/>
            <w:vAlign w:val="center"/>
          </w:tcPr>
          <w:p w14:paraId="6BFB327C">
            <w:pPr>
              <w:pStyle w:val="14"/>
            </w:pPr>
            <w:r>
              <w:t>58.71</w:t>
            </w:r>
          </w:p>
        </w:tc>
        <w:tc>
          <w:tcPr>
            <w:tcW w:w="3402" w:type="dxa"/>
            <w:vAlign w:val="center"/>
          </w:tcPr>
          <w:p w14:paraId="27E10E32">
            <w:pPr>
              <w:pStyle w:val="13"/>
            </w:pPr>
          </w:p>
        </w:tc>
        <w:tc>
          <w:tcPr>
            <w:tcW w:w="1474" w:type="dxa"/>
            <w:vAlign w:val="center"/>
          </w:tcPr>
          <w:p w14:paraId="2E9F6F5F">
            <w:pPr>
              <w:pStyle w:val="14"/>
            </w:pPr>
          </w:p>
        </w:tc>
        <w:tc>
          <w:tcPr>
            <w:tcW w:w="1474" w:type="dxa"/>
            <w:vAlign w:val="center"/>
          </w:tcPr>
          <w:p w14:paraId="31D33324">
            <w:pPr>
              <w:pStyle w:val="14"/>
            </w:pPr>
          </w:p>
        </w:tc>
        <w:tc>
          <w:tcPr>
            <w:tcW w:w="1474" w:type="dxa"/>
            <w:vAlign w:val="center"/>
          </w:tcPr>
          <w:p w14:paraId="1C8B53BB">
            <w:pPr>
              <w:pStyle w:val="14"/>
            </w:pPr>
          </w:p>
        </w:tc>
        <w:tc>
          <w:tcPr>
            <w:tcW w:w="1474" w:type="dxa"/>
            <w:vAlign w:val="center"/>
          </w:tcPr>
          <w:p w14:paraId="13A1BAA1">
            <w:pPr>
              <w:pStyle w:val="14"/>
            </w:pPr>
          </w:p>
        </w:tc>
      </w:tr>
      <w:tr w14:paraId="441F9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039B9">
            <w:pPr>
              <w:pStyle w:val="12"/>
            </w:pPr>
            <w:r>
              <w:t>35</w:t>
            </w:r>
          </w:p>
        </w:tc>
        <w:tc>
          <w:tcPr>
            <w:tcW w:w="3402" w:type="dxa"/>
            <w:vAlign w:val="center"/>
          </w:tcPr>
          <w:p w14:paraId="301820FD">
            <w:pPr>
              <w:pStyle w:val="13"/>
            </w:pPr>
            <w:r>
              <w:t>二、政府性基金预算拨款</w:t>
            </w:r>
          </w:p>
        </w:tc>
        <w:tc>
          <w:tcPr>
            <w:tcW w:w="1474" w:type="dxa"/>
            <w:vAlign w:val="center"/>
          </w:tcPr>
          <w:p w14:paraId="60997913">
            <w:pPr>
              <w:pStyle w:val="14"/>
            </w:pPr>
          </w:p>
        </w:tc>
        <w:tc>
          <w:tcPr>
            <w:tcW w:w="3402" w:type="dxa"/>
            <w:vAlign w:val="center"/>
          </w:tcPr>
          <w:p w14:paraId="73B2E4F7">
            <w:pPr>
              <w:pStyle w:val="13"/>
            </w:pPr>
          </w:p>
        </w:tc>
        <w:tc>
          <w:tcPr>
            <w:tcW w:w="1474" w:type="dxa"/>
            <w:vAlign w:val="center"/>
          </w:tcPr>
          <w:p w14:paraId="62630AF0">
            <w:pPr>
              <w:pStyle w:val="14"/>
            </w:pPr>
          </w:p>
        </w:tc>
        <w:tc>
          <w:tcPr>
            <w:tcW w:w="1474" w:type="dxa"/>
            <w:vAlign w:val="center"/>
          </w:tcPr>
          <w:p w14:paraId="4405349C">
            <w:pPr>
              <w:pStyle w:val="14"/>
            </w:pPr>
          </w:p>
        </w:tc>
        <w:tc>
          <w:tcPr>
            <w:tcW w:w="1474" w:type="dxa"/>
            <w:vAlign w:val="center"/>
          </w:tcPr>
          <w:p w14:paraId="31670826">
            <w:pPr>
              <w:pStyle w:val="14"/>
            </w:pPr>
          </w:p>
        </w:tc>
        <w:tc>
          <w:tcPr>
            <w:tcW w:w="1474" w:type="dxa"/>
            <w:vAlign w:val="center"/>
          </w:tcPr>
          <w:p w14:paraId="3CF324CD">
            <w:pPr>
              <w:pStyle w:val="14"/>
            </w:pPr>
          </w:p>
        </w:tc>
      </w:tr>
      <w:tr w14:paraId="4C521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52648">
            <w:pPr>
              <w:pStyle w:val="12"/>
            </w:pPr>
            <w:r>
              <w:t>36</w:t>
            </w:r>
          </w:p>
        </w:tc>
        <w:tc>
          <w:tcPr>
            <w:tcW w:w="3402" w:type="dxa"/>
            <w:vAlign w:val="center"/>
          </w:tcPr>
          <w:p w14:paraId="6D749314">
            <w:pPr>
              <w:pStyle w:val="13"/>
            </w:pPr>
            <w:r>
              <w:t>三、国有资本经营预算拨款</w:t>
            </w:r>
          </w:p>
        </w:tc>
        <w:tc>
          <w:tcPr>
            <w:tcW w:w="1474" w:type="dxa"/>
            <w:vAlign w:val="center"/>
          </w:tcPr>
          <w:p w14:paraId="74B5C56C">
            <w:pPr>
              <w:pStyle w:val="14"/>
            </w:pPr>
          </w:p>
        </w:tc>
        <w:tc>
          <w:tcPr>
            <w:tcW w:w="3402" w:type="dxa"/>
            <w:vAlign w:val="center"/>
          </w:tcPr>
          <w:p w14:paraId="7AD0E674">
            <w:pPr>
              <w:pStyle w:val="13"/>
            </w:pPr>
          </w:p>
        </w:tc>
        <w:tc>
          <w:tcPr>
            <w:tcW w:w="1474" w:type="dxa"/>
            <w:vAlign w:val="center"/>
          </w:tcPr>
          <w:p w14:paraId="2B3C0914">
            <w:pPr>
              <w:pStyle w:val="14"/>
            </w:pPr>
          </w:p>
        </w:tc>
        <w:tc>
          <w:tcPr>
            <w:tcW w:w="1474" w:type="dxa"/>
            <w:vAlign w:val="center"/>
          </w:tcPr>
          <w:p w14:paraId="474833EB">
            <w:pPr>
              <w:pStyle w:val="14"/>
            </w:pPr>
          </w:p>
        </w:tc>
        <w:tc>
          <w:tcPr>
            <w:tcW w:w="1474" w:type="dxa"/>
            <w:vAlign w:val="center"/>
          </w:tcPr>
          <w:p w14:paraId="6E87FF76">
            <w:pPr>
              <w:pStyle w:val="14"/>
            </w:pPr>
          </w:p>
        </w:tc>
        <w:tc>
          <w:tcPr>
            <w:tcW w:w="1474" w:type="dxa"/>
            <w:vAlign w:val="center"/>
          </w:tcPr>
          <w:p w14:paraId="0F86CF5D">
            <w:pPr>
              <w:pStyle w:val="14"/>
            </w:pPr>
          </w:p>
        </w:tc>
      </w:tr>
      <w:tr w14:paraId="2641C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4EE29">
            <w:pPr>
              <w:pStyle w:val="12"/>
            </w:pPr>
            <w:r>
              <w:t>37</w:t>
            </w:r>
          </w:p>
        </w:tc>
        <w:tc>
          <w:tcPr>
            <w:tcW w:w="3402" w:type="dxa"/>
            <w:vAlign w:val="center"/>
          </w:tcPr>
          <w:p w14:paraId="551F3CA7">
            <w:pPr>
              <w:pStyle w:val="15"/>
            </w:pPr>
            <w:r>
              <w:t>收入总计</w:t>
            </w:r>
          </w:p>
        </w:tc>
        <w:tc>
          <w:tcPr>
            <w:tcW w:w="1474" w:type="dxa"/>
            <w:vAlign w:val="center"/>
          </w:tcPr>
          <w:p w14:paraId="6D65D5E1">
            <w:pPr>
              <w:pStyle w:val="16"/>
            </w:pPr>
            <w:r>
              <w:t>3446.85</w:t>
            </w:r>
          </w:p>
        </w:tc>
        <w:tc>
          <w:tcPr>
            <w:tcW w:w="3402" w:type="dxa"/>
            <w:vAlign w:val="center"/>
          </w:tcPr>
          <w:p w14:paraId="0F91533E">
            <w:pPr>
              <w:pStyle w:val="15"/>
            </w:pPr>
            <w:r>
              <w:t>支出总计</w:t>
            </w:r>
          </w:p>
        </w:tc>
        <w:tc>
          <w:tcPr>
            <w:tcW w:w="1474" w:type="dxa"/>
            <w:vAlign w:val="center"/>
          </w:tcPr>
          <w:p w14:paraId="19C6192F">
            <w:pPr>
              <w:pStyle w:val="16"/>
            </w:pPr>
            <w:r>
              <w:t>3446.85</w:t>
            </w:r>
          </w:p>
        </w:tc>
        <w:tc>
          <w:tcPr>
            <w:tcW w:w="1474" w:type="dxa"/>
            <w:vAlign w:val="center"/>
          </w:tcPr>
          <w:p w14:paraId="1AFBEA8F">
            <w:pPr>
              <w:pStyle w:val="16"/>
            </w:pPr>
            <w:r>
              <w:t>3446.85</w:t>
            </w:r>
          </w:p>
        </w:tc>
        <w:tc>
          <w:tcPr>
            <w:tcW w:w="1474" w:type="dxa"/>
            <w:vAlign w:val="center"/>
          </w:tcPr>
          <w:p w14:paraId="4807A265">
            <w:pPr>
              <w:pStyle w:val="16"/>
            </w:pPr>
          </w:p>
        </w:tc>
        <w:tc>
          <w:tcPr>
            <w:tcW w:w="1474" w:type="dxa"/>
            <w:vAlign w:val="center"/>
          </w:tcPr>
          <w:p w14:paraId="6FDC5E12">
            <w:pPr>
              <w:pStyle w:val="16"/>
            </w:pPr>
          </w:p>
        </w:tc>
      </w:tr>
    </w:tbl>
    <w:p w14:paraId="0C47F4FD">
      <w:pPr>
        <w:sectPr>
          <w:pgSz w:w="16840" w:h="11900" w:orient="landscape"/>
          <w:pgMar w:top="1361" w:right="1020" w:bottom="1134" w:left="1020" w:header="720" w:footer="720" w:gutter="0"/>
          <w:cols w:space="720" w:num="1"/>
        </w:sectPr>
      </w:pPr>
    </w:p>
    <w:p w14:paraId="396595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D5C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68262D">
            <w:pPr>
              <w:pStyle w:val="8"/>
            </w:pPr>
            <w:r>
              <w:t>360011河北省隆尧县实验中学</w:t>
            </w:r>
          </w:p>
        </w:tc>
        <w:tc>
          <w:tcPr>
            <w:tcW w:w="2551" w:type="dxa"/>
            <w:tcBorders>
              <w:top w:val="single" w:color="FFFFFF" w:sz="6" w:space="0"/>
              <w:left w:val="single" w:color="FFFFFF" w:sz="6" w:space="0"/>
              <w:right w:val="single" w:color="FFFFFF" w:sz="6" w:space="0"/>
            </w:tcBorders>
            <w:vAlign w:val="center"/>
          </w:tcPr>
          <w:p w14:paraId="37CD6E5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B5880A9">
            <w:pPr>
              <w:pStyle w:val="10"/>
            </w:pPr>
            <w:r>
              <w:t>单位：万元</w:t>
            </w:r>
          </w:p>
        </w:tc>
      </w:tr>
      <w:tr w14:paraId="5CF88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8533F0">
            <w:pPr>
              <w:pStyle w:val="11"/>
            </w:pPr>
            <w:r>
              <w:t>序号</w:t>
            </w:r>
          </w:p>
        </w:tc>
        <w:tc>
          <w:tcPr>
            <w:tcW w:w="5726" w:type="dxa"/>
            <w:gridSpan w:val="2"/>
            <w:vAlign w:val="center"/>
          </w:tcPr>
          <w:p w14:paraId="256F7EB8">
            <w:pPr>
              <w:pStyle w:val="11"/>
            </w:pPr>
            <w:r>
              <w:t>功能分类科目</w:t>
            </w:r>
          </w:p>
        </w:tc>
        <w:tc>
          <w:tcPr>
            <w:tcW w:w="2551" w:type="dxa"/>
            <w:vMerge w:val="restart"/>
            <w:vAlign w:val="center"/>
          </w:tcPr>
          <w:p w14:paraId="58E8EF40">
            <w:pPr>
              <w:pStyle w:val="11"/>
            </w:pPr>
            <w:r>
              <w:t>合计</w:t>
            </w:r>
          </w:p>
        </w:tc>
        <w:tc>
          <w:tcPr>
            <w:tcW w:w="2551" w:type="dxa"/>
            <w:vMerge w:val="restart"/>
            <w:vAlign w:val="center"/>
          </w:tcPr>
          <w:p w14:paraId="25612A0C">
            <w:pPr>
              <w:pStyle w:val="11"/>
            </w:pPr>
            <w:r>
              <w:t>基本支出</w:t>
            </w:r>
          </w:p>
        </w:tc>
        <w:tc>
          <w:tcPr>
            <w:tcW w:w="2551" w:type="dxa"/>
            <w:vMerge w:val="restart"/>
            <w:vAlign w:val="center"/>
          </w:tcPr>
          <w:p w14:paraId="39934D65">
            <w:pPr>
              <w:pStyle w:val="11"/>
            </w:pPr>
            <w:r>
              <w:t>项目支出</w:t>
            </w:r>
          </w:p>
        </w:tc>
      </w:tr>
      <w:tr w14:paraId="6AB62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F7AD67"/>
        </w:tc>
        <w:tc>
          <w:tcPr>
            <w:tcW w:w="1191" w:type="dxa"/>
            <w:vAlign w:val="center"/>
          </w:tcPr>
          <w:p w14:paraId="7F53D9D5">
            <w:pPr>
              <w:pStyle w:val="11"/>
            </w:pPr>
            <w:r>
              <w:t>科目编码</w:t>
            </w:r>
          </w:p>
        </w:tc>
        <w:tc>
          <w:tcPr>
            <w:tcW w:w="4535" w:type="dxa"/>
            <w:vAlign w:val="center"/>
          </w:tcPr>
          <w:p w14:paraId="2BF39F99">
            <w:pPr>
              <w:pStyle w:val="11"/>
            </w:pPr>
            <w:r>
              <w:t>科目名称</w:t>
            </w:r>
          </w:p>
        </w:tc>
        <w:tc>
          <w:tcPr>
            <w:tcW w:w="2551" w:type="dxa"/>
            <w:vMerge w:val="continue"/>
          </w:tcPr>
          <w:p w14:paraId="6D3A86CC"/>
        </w:tc>
        <w:tc>
          <w:tcPr>
            <w:tcW w:w="2551" w:type="dxa"/>
            <w:vMerge w:val="continue"/>
          </w:tcPr>
          <w:p w14:paraId="6D4CCD82"/>
        </w:tc>
        <w:tc>
          <w:tcPr>
            <w:tcW w:w="2551" w:type="dxa"/>
            <w:vMerge w:val="continue"/>
          </w:tcPr>
          <w:p w14:paraId="43869860"/>
        </w:tc>
      </w:tr>
      <w:tr w14:paraId="7833F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30995">
            <w:pPr>
              <w:pStyle w:val="11"/>
            </w:pPr>
            <w:r>
              <w:t>栏次</w:t>
            </w:r>
          </w:p>
        </w:tc>
        <w:tc>
          <w:tcPr>
            <w:tcW w:w="1191" w:type="dxa"/>
            <w:vAlign w:val="center"/>
          </w:tcPr>
          <w:p w14:paraId="2CC3DF43">
            <w:pPr>
              <w:pStyle w:val="11"/>
            </w:pPr>
            <w:r>
              <w:t>1</w:t>
            </w:r>
          </w:p>
        </w:tc>
        <w:tc>
          <w:tcPr>
            <w:tcW w:w="4535" w:type="dxa"/>
            <w:vAlign w:val="center"/>
          </w:tcPr>
          <w:p w14:paraId="277BE0D1">
            <w:pPr>
              <w:pStyle w:val="11"/>
            </w:pPr>
            <w:r>
              <w:t>2</w:t>
            </w:r>
          </w:p>
        </w:tc>
        <w:tc>
          <w:tcPr>
            <w:tcW w:w="2551" w:type="dxa"/>
            <w:vAlign w:val="center"/>
          </w:tcPr>
          <w:p w14:paraId="305B2D82">
            <w:pPr>
              <w:pStyle w:val="11"/>
            </w:pPr>
            <w:r>
              <w:t>3</w:t>
            </w:r>
          </w:p>
        </w:tc>
        <w:tc>
          <w:tcPr>
            <w:tcW w:w="2551" w:type="dxa"/>
            <w:vAlign w:val="center"/>
          </w:tcPr>
          <w:p w14:paraId="72006ED9">
            <w:pPr>
              <w:pStyle w:val="11"/>
            </w:pPr>
            <w:r>
              <w:t>4</w:t>
            </w:r>
          </w:p>
        </w:tc>
        <w:tc>
          <w:tcPr>
            <w:tcW w:w="2551" w:type="dxa"/>
            <w:vAlign w:val="center"/>
          </w:tcPr>
          <w:p w14:paraId="31041C00">
            <w:pPr>
              <w:pStyle w:val="11"/>
            </w:pPr>
            <w:r>
              <w:t>5</w:t>
            </w:r>
          </w:p>
        </w:tc>
      </w:tr>
      <w:tr w14:paraId="6DFD1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4C903">
            <w:pPr>
              <w:pStyle w:val="12"/>
            </w:pPr>
            <w:r>
              <w:t>1</w:t>
            </w:r>
          </w:p>
        </w:tc>
        <w:tc>
          <w:tcPr>
            <w:tcW w:w="1191" w:type="dxa"/>
            <w:vAlign w:val="center"/>
          </w:tcPr>
          <w:p w14:paraId="09B2316B">
            <w:pPr>
              <w:pStyle w:val="17"/>
            </w:pPr>
          </w:p>
        </w:tc>
        <w:tc>
          <w:tcPr>
            <w:tcW w:w="4535" w:type="dxa"/>
            <w:vAlign w:val="center"/>
          </w:tcPr>
          <w:p w14:paraId="16CC4935">
            <w:pPr>
              <w:pStyle w:val="15"/>
            </w:pPr>
            <w:r>
              <w:t>合计</w:t>
            </w:r>
          </w:p>
        </w:tc>
        <w:tc>
          <w:tcPr>
            <w:tcW w:w="2551" w:type="dxa"/>
            <w:vAlign w:val="center"/>
          </w:tcPr>
          <w:p w14:paraId="576B939A">
            <w:pPr>
              <w:pStyle w:val="16"/>
            </w:pPr>
            <w:r>
              <w:t>3446.85</w:t>
            </w:r>
          </w:p>
        </w:tc>
        <w:tc>
          <w:tcPr>
            <w:tcW w:w="2551" w:type="dxa"/>
            <w:vAlign w:val="center"/>
          </w:tcPr>
          <w:p w14:paraId="322394BD">
            <w:pPr>
              <w:pStyle w:val="16"/>
            </w:pPr>
            <w:r>
              <w:t>2589.60</w:t>
            </w:r>
          </w:p>
        </w:tc>
        <w:tc>
          <w:tcPr>
            <w:tcW w:w="2551" w:type="dxa"/>
            <w:vAlign w:val="center"/>
          </w:tcPr>
          <w:p w14:paraId="782F6406">
            <w:pPr>
              <w:pStyle w:val="16"/>
            </w:pPr>
            <w:r>
              <w:t>857.25</w:t>
            </w:r>
          </w:p>
        </w:tc>
      </w:tr>
      <w:tr w14:paraId="7C42B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41803">
            <w:pPr>
              <w:pStyle w:val="12"/>
            </w:pPr>
            <w:r>
              <w:t>2</w:t>
            </w:r>
          </w:p>
        </w:tc>
        <w:tc>
          <w:tcPr>
            <w:tcW w:w="1191" w:type="dxa"/>
            <w:vAlign w:val="center"/>
          </w:tcPr>
          <w:p w14:paraId="1FB342FB">
            <w:pPr>
              <w:pStyle w:val="13"/>
            </w:pPr>
            <w:r>
              <w:t>205</w:t>
            </w:r>
          </w:p>
        </w:tc>
        <w:tc>
          <w:tcPr>
            <w:tcW w:w="4535" w:type="dxa"/>
            <w:vAlign w:val="center"/>
          </w:tcPr>
          <w:p w14:paraId="0938FEF8">
            <w:pPr>
              <w:pStyle w:val="13"/>
            </w:pPr>
            <w:r>
              <w:t>教育支出</w:t>
            </w:r>
          </w:p>
        </w:tc>
        <w:tc>
          <w:tcPr>
            <w:tcW w:w="2551" w:type="dxa"/>
            <w:vAlign w:val="center"/>
          </w:tcPr>
          <w:p w14:paraId="738BAF3E">
            <w:pPr>
              <w:pStyle w:val="14"/>
            </w:pPr>
            <w:r>
              <w:t>3446.85</w:t>
            </w:r>
          </w:p>
        </w:tc>
        <w:tc>
          <w:tcPr>
            <w:tcW w:w="2551" w:type="dxa"/>
            <w:vAlign w:val="center"/>
          </w:tcPr>
          <w:p w14:paraId="09BC0ACD">
            <w:pPr>
              <w:pStyle w:val="14"/>
            </w:pPr>
            <w:r>
              <w:t>2589.60</w:t>
            </w:r>
          </w:p>
        </w:tc>
        <w:tc>
          <w:tcPr>
            <w:tcW w:w="2551" w:type="dxa"/>
            <w:vAlign w:val="center"/>
          </w:tcPr>
          <w:p w14:paraId="0A63F9C7">
            <w:pPr>
              <w:pStyle w:val="14"/>
            </w:pPr>
            <w:r>
              <w:t>857.25</w:t>
            </w:r>
          </w:p>
        </w:tc>
      </w:tr>
      <w:tr w14:paraId="44209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204C4">
            <w:pPr>
              <w:pStyle w:val="12"/>
            </w:pPr>
            <w:r>
              <w:t>3</w:t>
            </w:r>
          </w:p>
        </w:tc>
        <w:tc>
          <w:tcPr>
            <w:tcW w:w="1191" w:type="dxa"/>
            <w:vAlign w:val="center"/>
          </w:tcPr>
          <w:p w14:paraId="5850AAF1">
            <w:pPr>
              <w:pStyle w:val="13"/>
            </w:pPr>
            <w:r>
              <w:t>20502</w:t>
            </w:r>
          </w:p>
        </w:tc>
        <w:tc>
          <w:tcPr>
            <w:tcW w:w="4535" w:type="dxa"/>
            <w:vAlign w:val="center"/>
          </w:tcPr>
          <w:p w14:paraId="1CDBD61A">
            <w:pPr>
              <w:pStyle w:val="13"/>
            </w:pPr>
            <w:r>
              <w:t>普通教育</w:t>
            </w:r>
          </w:p>
        </w:tc>
        <w:tc>
          <w:tcPr>
            <w:tcW w:w="2551" w:type="dxa"/>
            <w:vAlign w:val="center"/>
          </w:tcPr>
          <w:p w14:paraId="64F08739">
            <w:pPr>
              <w:pStyle w:val="14"/>
            </w:pPr>
            <w:r>
              <w:t>3446.85</w:t>
            </w:r>
          </w:p>
        </w:tc>
        <w:tc>
          <w:tcPr>
            <w:tcW w:w="2551" w:type="dxa"/>
            <w:vAlign w:val="center"/>
          </w:tcPr>
          <w:p w14:paraId="0DC7EDA0">
            <w:pPr>
              <w:pStyle w:val="14"/>
            </w:pPr>
            <w:r>
              <w:t>2589.60</w:t>
            </w:r>
          </w:p>
        </w:tc>
        <w:tc>
          <w:tcPr>
            <w:tcW w:w="2551" w:type="dxa"/>
            <w:vAlign w:val="center"/>
          </w:tcPr>
          <w:p w14:paraId="24E09474">
            <w:pPr>
              <w:pStyle w:val="14"/>
            </w:pPr>
            <w:r>
              <w:t>857.25</w:t>
            </w:r>
          </w:p>
        </w:tc>
      </w:tr>
      <w:tr w14:paraId="6D617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63D45">
            <w:pPr>
              <w:pStyle w:val="12"/>
            </w:pPr>
            <w:r>
              <w:t>4</w:t>
            </w:r>
          </w:p>
        </w:tc>
        <w:tc>
          <w:tcPr>
            <w:tcW w:w="1191" w:type="dxa"/>
            <w:vAlign w:val="center"/>
          </w:tcPr>
          <w:p w14:paraId="6C40B0C4">
            <w:pPr>
              <w:pStyle w:val="13"/>
            </w:pPr>
            <w:r>
              <w:t>2050203</w:t>
            </w:r>
          </w:p>
        </w:tc>
        <w:tc>
          <w:tcPr>
            <w:tcW w:w="4535" w:type="dxa"/>
            <w:vAlign w:val="center"/>
          </w:tcPr>
          <w:p w14:paraId="2FF3F953">
            <w:pPr>
              <w:pStyle w:val="13"/>
            </w:pPr>
            <w:r>
              <w:t>初中教育</w:t>
            </w:r>
          </w:p>
        </w:tc>
        <w:tc>
          <w:tcPr>
            <w:tcW w:w="2551" w:type="dxa"/>
            <w:vAlign w:val="center"/>
          </w:tcPr>
          <w:p w14:paraId="7EFD4B5E">
            <w:pPr>
              <w:pStyle w:val="14"/>
            </w:pPr>
            <w:r>
              <w:t>3446.85</w:t>
            </w:r>
          </w:p>
        </w:tc>
        <w:tc>
          <w:tcPr>
            <w:tcW w:w="2551" w:type="dxa"/>
            <w:vAlign w:val="center"/>
          </w:tcPr>
          <w:p w14:paraId="12DFB8E0">
            <w:pPr>
              <w:pStyle w:val="14"/>
            </w:pPr>
            <w:r>
              <w:t>2589.60</w:t>
            </w:r>
          </w:p>
        </w:tc>
        <w:tc>
          <w:tcPr>
            <w:tcW w:w="2551" w:type="dxa"/>
            <w:vAlign w:val="center"/>
          </w:tcPr>
          <w:p w14:paraId="2CAC04FF">
            <w:pPr>
              <w:pStyle w:val="14"/>
            </w:pPr>
            <w:r>
              <w:t>857.25</w:t>
            </w:r>
          </w:p>
        </w:tc>
      </w:tr>
    </w:tbl>
    <w:p w14:paraId="26058351">
      <w:pPr>
        <w:sectPr>
          <w:pgSz w:w="16840" w:h="11900" w:orient="landscape"/>
          <w:pgMar w:top="1361" w:right="1020" w:bottom="1134" w:left="1020" w:header="720" w:footer="720" w:gutter="0"/>
          <w:cols w:space="720" w:num="1"/>
        </w:sectPr>
      </w:pPr>
    </w:p>
    <w:p w14:paraId="26BA2A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6A1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818632">
            <w:pPr>
              <w:pStyle w:val="8"/>
            </w:pPr>
            <w:r>
              <w:t>360011河北省隆尧县实验中学</w:t>
            </w:r>
          </w:p>
        </w:tc>
        <w:tc>
          <w:tcPr>
            <w:tcW w:w="2551" w:type="dxa"/>
            <w:tcBorders>
              <w:top w:val="single" w:color="FFFFFF" w:sz="6" w:space="0"/>
              <w:left w:val="single" w:color="FFFFFF" w:sz="6" w:space="0"/>
              <w:right w:val="single" w:color="FFFFFF" w:sz="6" w:space="0"/>
            </w:tcBorders>
            <w:vAlign w:val="center"/>
          </w:tcPr>
          <w:p w14:paraId="6DD6959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1C6C62C">
            <w:pPr>
              <w:pStyle w:val="10"/>
            </w:pPr>
            <w:r>
              <w:t>单位：万元</w:t>
            </w:r>
          </w:p>
        </w:tc>
      </w:tr>
      <w:tr w14:paraId="7D085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25DF4B">
            <w:pPr>
              <w:pStyle w:val="11"/>
            </w:pPr>
            <w:r>
              <w:t>序号</w:t>
            </w:r>
          </w:p>
        </w:tc>
        <w:tc>
          <w:tcPr>
            <w:tcW w:w="5726" w:type="dxa"/>
            <w:gridSpan w:val="2"/>
            <w:vAlign w:val="center"/>
          </w:tcPr>
          <w:p w14:paraId="149E6598">
            <w:pPr>
              <w:pStyle w:val="11"/>
            </w:pPr>
            <w:r>
              <w:t>支出部门经济分类科目</w:t>
            </w:r>
          </w:p>
        </w:tc>
        <w:tc>
          <w:tcPr>
            <w:tcW w:w="7653" w:type="dxa"/>
            <w:gridSpan w:val="3"/>
            <w:vAlign w:val="center"/>
          </w:tcPr>
          <w:p w14:paraId="1B7CD444">
            <w:pPr>
              <w:pStyle w:val="11"/>
            </w:pPr>
            <w:r>
              <w:t>一般公共预算基本支出</w:t>
            </w:r>
          </w:p>
        </w:tc>
      </w:tr>
      <w:tr w14:paraId="665D9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14D420"/>
        </w:tc>
        <w:tc>
          <w:tcPr>
            <w:tcW w:w="1191" w:type="dxa"/>
            <w:vAlign w:val="center"/>
          </w:tcPr>
          <w:p w14:paraId="4ACA857A">
            <w:pPr>
              <w:pStyle w:val="11"/>
            </w:pPr>
            <w:r>
              <w:t>科目编码</w:t>
            </w:r>
          </w:p>
        </w:tc>
        <w:tc>
          <w:tcPr>
            <w:tcW w:w="4535" w:type="dxa"/>
            <w:vAlign w:val="center"/>
          </w:tcPr>
          <w:p w14:paraId="5D930537">
            <w:pPr>
              <w:pStyle w:val="11"/>
            </w:pPr>
            <w:r>
              <w:t>科目名称</w:t>
            </w:r>
          </w:p>
        </w:tc>
        <w:tc>
          <w:tcPr>
            <w:tcW w:w="2551" w:type="dxa"/>
            <w:vAlign w:val="center"/>
          </w:tcPr>
          <w:p w14:paraId="33BE0915">
            <w:pPr>
              <w:pStyle w:val="11"/>
            </w:pPr>
            <w:r>
              <w:t>合计</w:t>
            </w:r>
          </w:p>
        </w:tc>
        <w:tc>
          <w:tcPr>
            <w:tcW w:w="2551" w:type="dxa"/>
            <w:vAlign w:val="center"/>
          </w:tcPr>
          <w:p w14:paraId="3BAB7F2B">
            <w:pPr>
              <w:pStyle w:val="11"/>
            </w:pPr>
            <w:r>
              <w:t>人员经费</w:t>
            </w:r>
          </w:p>
        </w:tc>
        <w:tc>
          <w:tcPr>
            <w:tcW w:w="2551" w:type="dxa"/>
            <w:vAlign w:val="center"/>
          </w:tcPr>
          <w:p w14:paraId="5A5269FA">
            <w:pPr>
              <w:pStyle w:val="11"/>
            </w:pPr>
            <w:r>
              <w:t>公用经费</w:t>
            </w:r>
          </w:p>
        </w:tc>
      </w:tr>
      <w:tr w14:paraId="55883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35224">
            <w:pPr>
              <w:pStyle w:val="11"/>
            </w:pPr>
            <w:r>
              <w:t>栏次</w:t>
            </w:r>
          </w:p>
        </w:tc>
        <w:tc>
          <w:tcPr>
            <w:tcW w:w="1191" w:type="dxa"/>
            <w:vAlign w:val="center"/>
          </w:tcPr>
          <w:p w14:paraId="0D185031">
            <w:pPr>
              <w:pStyle w:val="11"/>
            </w:pPr>
            <w:r>
              <w:t>1</w:t>
            </w:r>
          </w:p>
        </w:tc>
        <w:tc>
          <w:tcPr>
            <w:tcW w:w="4535" w:type="dxa"/>
            <w:vAlign w:val="center"/>
          </w:tcPr>
          <w:p w14:paraId="3B072060">
            <w:pPr>
              <w:pStyle w:val="11"/>
            </w:pPr>
            <w:r>
              <w:t>2</w:t>
            </w:r>
          </w:p>
        </w:tc>
        <w:tc>
          <w:tcPr>
            <w:tcW w:w="2551" w:type="dxa"/>
            <w:vAlign w:val="center"/>
          </w:tcPr>
          <w:p w14:paraId="45B29C47">
            <w:pPr>
              <w:pStyle w:val="11"/>
            </w:pPr>
            <w:r>
              <w:t>3</w:t>
            </w:r>
          </w:p>
        </w:tc>
        <w:tc>
          <w:tcPr>
            <w:tcW w:w="2551" w:type="dxa"/>
            <w:vAlign w:val="center"/>
          </w:tcPr>
          <w:p w14:paraId="618AF839">
            <w:pPr>
              <w:pStyle w:val="11"/>
            </w:pPr>
            <w:r>
              <w:t>4</w:t>
            </w:r>
          </w:p>
        </w:tc>
        <w:tc>
          <w:tcPr>
            <w:tcW w:w="2551" w:type="dxa"/>
            <w:vAlign w:val="center"/>
          </w:tcPr>
          <w:p w14:paraId="32EF63DF">
            <w:pPr>
              <w:pStyle w:val="11"/>
            </w:pPr>
            <w:r>
              <w:t>5</w:t>
            </w:r>
          </w:p>
        </w:tc>
      </w:tr>
      <w:tr w14:paraId="34334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92183">
            <w:pPr>
              <w:pStyle w:val="12"/>
            </w:pPr>
            <w:r>
              <w:t>1</w:t>
            </w:r>
          </w:p>
        </w:tc>
        <w:tc>
          <w:tcPr>
            <w:tcW w:w="1191" w:type="dxa"/>
            <w:vAlign w:val="center"/>
          </w:tcPr>
          <w:p w14:paraId="5DFEFA35">
            <w:pPr>
              <w:pStyle w:val="17"/>
            </w:pPr>
          </w:p>
        </w:tc>
        <w:tc>
          <w:tcPr>
            <w:tcW w:w="4535" w:type="dxa"/>
            <w:vAlign w:val="center"/>
          </w:tcPr>
          <w:p w14:paraId="5E9A08B8">
            <w:pPr>
              <w:pStyle w:val="15"/>
            </w:pPr>
            <w:r>
              <w:t>合计</w:t>
            </w:r>
          </w:p>
        </w:tc>
        <w:tc>
          <w:tcPr>
            <w:tcW w:w="2551" w:type="dxa"/>
            <w:vAlign w:val="center"/>
          </w:tcPr>
          <w:p w14:paraId="0A2D9A82">
            <w:pPr>
              <w:pStyle w:val="16"/>
            </w:pPr>
            <w:r>
              <w:t>2589.60</w:t>
            </w:r>
          </w:p>
        </w:tc>
        <w:tc>
          <w:tcPr>
            <w:tcW w:w="2551" w:type="dxa"/>
            <w:vAlign w:val="center"/>
          </w:tcPr>
          <w:p w14:paraId="49DF42B1">
            <w:pPr>
              <w:pStyle w:val="16"/>
            </w:pPr>
            <w:r>
              <w:t>2589.60</w:t>
            </w:r>
          </w:p>
        </w:tc>
        <w:tc>
          <w:tcPr>
            <w:tcW w:w="2551" w:type="dxa"/>
            <w:vAlign w:val="center"/>
          </w:tcPr>
          <w:p w14:paraId="363993B1">
            <w:pPr>
              <w:pStyle w:val="16"/>
            </w:pPr>
          </w:p>
        </w:tc>
      </w:tr>
      <w:tr w14:paraId="7B6F2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3E353">
            <w:pPr>
              <w:pStyle w:val="12"/>
            </w:pPr>
            <w:r>
              <w:t>2</w:t>
            </w:r>
          </w:p>
        </w:tc>
        <w:tc>
          <w:tcPr>
            <w:tcW w:w="1191" w:type="dxa"/>
            <w:vAlign w:val="center"/>
          </w:tcPr>
          <w:p w14:paraId="604CA790">
            <w:pPr>
              <w:pStyle w:val="13"/>
            </w:pPr>
            <w:r>
              <w:t>301</w:t>
            </w:r>
          </w:p>
        </w:tc>
        <w:tc>
          <w:tcPr>
            <w:tcW w:w="4535" w:type="dxa"/>
            <w:vAlign w:val="center"/>
          </w:tcPr>
          <w:p w14:paraId="7441CCCE">
            <w:pPr>
              <w:pStyle w:val="13"/>
            </w:pPr>
            <w:r>
              <w:t>工资福利支出</w:t>
            </w:r>
          </w:p>
        </w:tc>
        <w:tc>
          <w:tcPr>
            <w:tcW w:w="2551" w:type="dxa"/>
            <w:vAlign w:val="center"/>
          </w:tcPr>
          <w:p w14:paraId="69C49CC8">
            <w:pPr>
              <w:pStyle w:val="14"/>
            </w:pPr>
            <w:r>
              <w:t>2530.80</w:t>
            </w:r>
          </w:p>
        </w:tc>
        <w:tc>
          <w:tcPr>
            <w:tcW w:w="2551" w:type="dxa"/>
            <w:vAlign w:val="center"/>
          </w:tcPr>
          <w:p w14:paraId="4D54F598">
            <w:pPr>
              <w:pStyle w:val="14"/>
            </w:pPr>
            <w:r>
              <w:t>2530.80</w:t>
            </w:r>
          </w:p>
        </w:tc>
        <w:tc>
          <w:tcPr>
            <w:tcW w:w="2551" w:type="dxa"/>
            <w:vAlign w:val="center"/>
          </w:tcPr>
          <w:p w14:paraId="722E44C7">
            <w:pPr>
              <w:pStyle w:val="14"/>
            </w:pPr>
          </w:p>
        </w:tc>
      </w:tr>
      <w:tr w14:paraId="0DBB9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DCD55">
            <w:pPr>
              <w:pStyle w:val="12"/>
            </w:pPr>
            <w:r>
              <w:t>3</w:t>
            </w:r>
          </w:p>
        </w:tc>
        <w:tc>
          <w:tcPr>
            <w:tcW w:w="1191" w:type="dxa"/>
            <w:vAlign w:val="center"/>
          </w:tcPr>
          <w:p w14:paraId="60281455">
            <w:pPr>
              <w:pStyle w:val="13"/>
            </w:pPr>
            <w:r>
              <w:t>30101</w:t>
            </w:r>
          </w:p>
        </w:tc>
        <w:tc>
          <w:tcPr>
            <w:tcW w:w="4535" w:type="dxa"/>
            <w:vAlign w:val="center"/>
          </w:tcPr>
          <w:p w14:paraId="06B5834D">
            <w:pPr>
              <w:pStyle w:val="13"/>
            </w:pPr>
            <w:r>
              <w:t>基本工资</w:t>
            </w:r>
          </w:p>
        </w:tc>
        <w:tc>
          <w:tcPr>
            <w:tcW w:w="2551" w:type="dxa"/>
            <w:vAlign w:val="center"/>
          </w:tcPr>
          <w:p w14:paraId="4C4B6E58">
            <w:pPr>
              <w:pStyle w:val="14"/>
            </w:pPr>
            <w:r>
              <w:t>1220.00</w:t>
            </w:r>
          </w:p>
        </w:tc>
        <w:tc>
          <w:tcPr>
            <w:tcW w:w="2551" w:type="dxa"/>
            <w:vAlign w:val="center"/>
          </w:tcPr>
          <w:p w14:paraId="40195EE6">
            <w:pPr>
              <w:pStyle w:val="14"/>
            </w:pPr>
            <w:r>
              <w:t>1220.00</w:t>
            </w:r>
          </w:p>
        </w:tc>
        <w:tc>
          <w:tcPr>
            <w:tcW w:w="2551" w:type="dxa"/>
            <w:vAlign w:val="center"/>
          </w:tcPr>
          <w:p w14:paraId="45D22F77">
            <w:pPr>
              <w:pStyle w:val="14"/>
            </w:pPr>
          </w:p>
        </w:tc>
      </w:tr>
      <w:tr w14:paraId="6BB0F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BD553">
            <w:pPr>
              <w:pStyle w:val="12"/>
            </w:pPr>
            <w:r>
              <w:t>4</w:t>
            </w:r>
          </w:p>
        </w:tc>
        <w:tc>
          <w:tcPr>
            <w:tcW w:w="1191" w:type="dxa"/>
            <w:vAlign w:val="center"/>
          </w:tcPr>
          <w:p w14:paraId="425301EF">
            <w:pPr>
              <w:pStyle w:val="13"/>
            </w:pPr>
            <w:r>
              <w:t>30102</w:t>
            </w:r>
          </w:p>
        </w:tc>
        <w:tc>
          <w:tcPr>
            <w:tcW w:w="4535" w:type="dxa"/>
            <w:vAlign w:val="center"/>
          </w:tcPr>
          <w:p w14:paraId="0053ACBC">
            <w:pPr>
              <w:pStyle w:val="13"/>
            </w:pPr>
            <w:r>
              <w:t>津贴补贴</w:t>
            </w:r>
          </w:p>
        </w:tc>
        <w:tc>
          <w:tcPr>
            <w:tcW w:w="2551" w:type="dxa"/>
            <w:vAlign w:val="center"/>
          </w:tcPr>
          <w:p w14:paraId="7698BB4E">
            <w:pPr>
              <w:pStyle w:val="14"/>
            </w:pPr>
            <w:r>
              <w:t>39.66</w:t>
            </w:r>
          </w:p>
        </w:tc>
        <w:tc>
          <w:tcPr>
            <w:tcW w:w="2551" w:type="dxa"/>
            <w:vAlign w:val="center"/>
          </w:tcPr>
          <w:p w14:paraId="1103EE0F">
            <w:pPr>
              <w:pStyle w:val="14"/>
            </w:pPr>
            <w:r>
              <w:t>39.66</w:t>
            </w:r>
          </w:p>
        </w:tc>
        <w:tc>
          <w:tcPr>
            <w:tcW w:w="2551" w:type="dxa"/>
            <w:vAlign w:val="center"/>
          </w:tcPr>
          <w:p w14:paraId="0C34FD01">
            <w:pPr>
              <w:pStyle w:val="14"/>
            </w:pPr>
          </w:p>
        </w:tc>
      </w:tr>
      <w:tr w14:paraId="74365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9DB85">
            <w:pPr>
              <w:pStyle w:val="12"/>
            </w:pPr>
            <w:r>
              <w:t>5</w:t>
            </w:r>
          </w:p>
        </w:tc>
        <w:tc>
          <w:tcPr>
            <w:tcW w:w="1191" w:type="dxa"/>
            <w:vAlign w:val="center"/>
          </w:tcPr>
          <w:p w14:paraId="02391CFA">
            <w:pPr>
              <w:pStyle w:val="13"/>
            </w:pPr>
            <w:r>
              <w:t>30107</w:t>
            </w:r>
          </w:p>
        </w:tc>
        <w:tc>
          <w:tcPr>
            <w:tcW w:w="4535" w:type="dxa"/>
            <w:vAlign w:val="center"/>
          </w:tcPr>
          <w:p w14:paraId="2B295C15">
            <w:pPr>
              <w:pStyle w:val="13"/>
            </w:pPr>
            <w:r>
              <w:t>绩效工资</w:t>
            </w:r>
          </w:p>
        </w:tc>
        <w:tc>
          <w:tcPr>
            <w:tcW w:w="2551" w:type="dxa"/>
            <w:vAlign w:val="center"/>
          </w:tcPr>
          <w:p w14:paraId="097ED186">
            <w:pPr>
              <w:pStyle w:val="14"/>
            </w:pPr>
            <w:r>
              <w:t>715.83</w:t>
            </w:r>
          </w:p>
        </w:tc>
        <w:tc>
          <w:tcPr>
            <w:tcW w:w="2551" w:type="dxa"/>
            <w:vAlign w:val="center"/>
          </w:tcPr>
          <w:p w14:paraId="236BFBD7">
            <w:pPr>
              <w:pStyle w:val="14"/>
            </w:pPr>
            <w:r>
              <w:t>715.83</w:t>
            </w:r>
          </w:p>
        </w:tc>
        <w:tc>
          <w:tcPr>
            <w:tcW w:w="2551" w:type="dxa"/>
            <w:vAlign w:val="center"/>
          </w:tcPr>
          <w:p w14:paraId="2B3CC57C">
            <w:pPr>
              <w:pStyle w:val="14"/>
            </w:pPr>
          </w:p>
        </w:tc>
      </w:tr>
      <w:tr w14:paraId="503E1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A7B15">
            <w:pPr>
              <w:pStyle w:val="12"/>
            </w:pPr>
            <w:r>
              <w:t>6</w:t>
            </w:r>
          </w:p>
        </w:tc>
        <w:tc>
          <w:tcPr>
            <w:tcW w:w="1191" w:type="dxa"/>
            <w:vAlign w:val="center"/>
          </w:tcPr>
          <w:p w14:paraId="700C11D2">
            <w:pPr>
              <w:pStyle w:val="13"/>
            </w:pPr>
            <w:r>
              <w:t>30108</w:t>
            </w:r>
          </w:p>
        </w:tc>
        <w:tc>
          <w:tcPr>
            <w:tcW w:w="4535" w:type="dxa"/>
            <w:vAlign w:val="center"/>
          </w:tcPr>
          <w:p w14:paraId="7D29331B">
            <w:pPr>
              <w:pStyle w:val="13"/>
            </w:pPr>
            <w:r>
              <w:t>机关事业单位基本养老保险缴费</w:t>
            </w:r>
          </w:p>
        </w:tc>
        <w:tc>
          <w:tcPr>
            <w:tcW w:w="2551" w:type="dxa"/>
            <w:vAlign w:val="center"/>
          </w:tcPr>
          <w:p w14:paraId="6C405A6A">
            <w:pPr>
              <w:pStyle w:val="14"/>
            </w:pPr>
            <w:r>
              <w:t>236.69</w:t>
            </w:r>
          </w:p>
        </w:tc>
        <w:tc>
          <w:tcPr>
            <w:tcW w:w="2551" w:type="dxa"/>
            <w:vAlign w:val="center"/>
          </w:tcPr>
          <w:p w14:paraId="65D0B931">
            <w:pPr>
              <w:pStyle w:val="14"/>
            </w:pPr>
            <w:r>
              <w:t>236.69</w:t>
            </w:r>
          </w:p>
        </w:tc>
        <w:tc>
          <w:tcPr>
            <w:tcW w:w="2551" w:type="dxa"/>
            <w:vAlign w:val="center"/>
          </w:tcPr>
          <w:p w14:paraId="02EA9842">
            <w:pPr>
              <w:pStyle w:val="14"/>
            </w:pPr>
          </w:p>
        </w:tc>
      </w:tr>
      <w:tr w14:paraId="0FE27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FEBFA">
            <w:pPr>
              <w:pStyle w:val="12"/>
            </w:pPr>
            <w:r>
              <w:t>7</w:t>
            </w:r>
          </w:p>
        </w:tc>
        <w:tc>
          <w:tcPr>
            <w:tcW w:w="1191" w:type="dxa"/>
            <w:vAlign w:val="center"/>
          </w:tcPr>
          <w:p w14:paraId="54C2CB76">
            <w:pPr>
              <w:pStyle w:val="13"/>
            </w:pPr>
            <w:r>
              <w:t>30110</w:t>
            </w:r>
          </w:p>
        </w:tc>
        <w:tc>
          <w:tcPr>
            <w:tcW w:w="4535" w:type="dxa"/>
            <w:vAlign w:val="center"/>
          </w:tcPr>
          <w:p w14:paraId="5B682F86">
            <w:pPr>
              <w:pStyle w:val="13"/>
            </w:pPr>
            <w:r>
              <w:t>职工基本医疗保险缴费</w:t>
            </w:r>
          </w:p>
        </w:tc>
        <w:tc>
          <w:tcPr>
            <w:tcW w:w="2551" w:type="dxa"/>
            <w:vAlign w:val="center"/>
          </w:tcPr>
          <w:p w14:paraId="6714440D">
            <w:pPr>
              <w:pStyle w:val="14"/>
            </w:pPr>
            <w:r>
              <w:t>125.61</w:t>
            </w:r>
          </w:p>
        </w:tc>
        <w:tc>
          <w:tcPr>
            <w:tcW w:w="2551" w:type="dxa"/>
            <w:vAlign w:val="center"/>
          </w:tcPr>
          <w:p w14:paraId="6BDCEE9A">
            <w:pPr>
              <w:pStyle w:val="14"/>
            </w:pPr>
            <w:r>
              <w:t>125.61</w:t>
            </w:r>
          </w:p>
        </w:tc>
        <w:tc>
          <w:tcPr>
            <w:tcW w:w="2551" w:type="dxa"/>
            <w:vAlign w:val="center"/>
          </w:tcPr>
          <w:p w14:paraId="6F9E03A1">
            <w:pPr>
              <w:pStyle w:val="14"/>
            </w:pPr>
          </w:p>
        </w:tc>
      </w:tr>
      <w:tr w14:paraId="5FF3D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18017">
            <w:pPr>
              <w:pStyle w:val="12"/>
            </w:pPr>
            <w:r>
              <w:t>8</w:t>
            </w:r>
          </w:p>
        </w:tc>
        <w:tc>
          <w:tcPr>
            <w:tcW w:w="1191" w:type="dxa"/>
            <w:vAlign w:val="center"/>
          </w:tcPr>
          <w:p w14:paraId="3FFB1F67">
            <w:pPr>
              <w:pStyle w:val="13"/>
            </w:pPr>
            <w:r>
              <w:t>30112</w:t>
            </w:r>
          </w:p>
        </w:tc>
        <w:tc>
          <w:tcPr>
            <w:tcW w:w="4535" w:type="dxa"/>
            <w:vAlign w:val="center"/>
          </w:tcPr>
          <w:p w14:paraId="7679BBC7">
            <w:pPr>
              <w:pStyle w:val="13"/>
            </w:pPr>
            <w:r>
              <w:t>其他社会保障缴费</w:t>
            </w:r>
          </w:p>
        </w:tc>
        <w:tc>
          <w:tcPr>
            <w:tcW w:w="2551" w:type="dxa"/>
            <w:vAlign w:val="center"/>
          </w:tcPr>
          <w:p w14:paraId="17706CAE">
            <w:pPr>
              <w:pStyle w:val="14"/>
            </w:pPr>
            <w:r>
              <w:t>7.08</w:t>
            </w:r>
          </w:p>
        </w:tc>
        <w:tc>
          <w:tcPr>
            <w:tcW w:w="2551" w:type="dxa"/>
            <w:vAlign w:val="center"/>
          </w:tcPr>
          <w:p w14:paraId="78CDD94A">
            <w:pPr>
              <w:pStyle w:val="14"/>
            </w:pPr>
            <w:r>
              <w:t>7.08</w:t>
            </w:r>
          </w:p>
        </w:tc>
        <w:tc>
          <w:tcPr>
            <w:tcW w:w="2551" w:type="dxa"/>
            <w:vAlign w:val="center"/>
          </w:tcPr>
          <w:p w14:paraId="4DE637C3">
            <w:pPr>
              <w:pStyle w:val="14"/>
            </w:pPr>
          </w:p>
        </w:tc>
      </w:tr>
      <w:tr w14:paraId="77E72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BF1CE">
            <w:pPr>
              <w:pStyle w:val="12"/>
            </w:pPr>
            <w:r>
              <w:t>9</w:t>
            </w:r>
          </w:p>
        </w:tc>
        <w:tc>
          <w:tcPr>
            <w:tcW w:w="1191" w:type="dxa"/>
            <w:vAlign w:val="center"/>
          </w:tcPr>
          <w:p w14:paraId="2CB1EC5D">
            <w:pPr>
              <w:pStyle w:val="13"/>
            </w:pPr>
            <w:r>
              <w:t>30113</w:t>
            </w:r>
          </w:p>
        </w:tc>
        <w:tc>
          <w:tcPr>
            <w:tcW w:w="4535" w:type="dxa"/>
            <w:vAlign w:val="center"/>
          </w:tcPr>
          <w:p w14:paraId="39EDE1ED">
            <w:pPr>
              <w:pStyle w:val="13"/>
            </w:pPr>
            <w:r>
              <w:t>住房公积金</w:t>
            </w:r>
          </w:p>
        </w:tc>
        <w:tc>
          <w:tcPr>
            <w:tcW w:w="2551" w:type="dxa"/>
            <w:vAlign w:val="center"/>
          </w:tcPr>
          <w:p w14:paraId="16C979CC">
            <w:pPr>
              <w:pStyle w:val="14"/>
            </w:pPr>
            <w:r>
              <w:t>185.92</w:t>
            </w:r>
          </w:p>
        </w:tc>
        <w:tc>
          <w:tcPr>
            <w:tcW w:w="2551" w:type="dxa"/>
            <w:vAlign w:val="center"/>
          </w:tcPr>
          <w:p w14:paraId="05BB35F6">
            <w:pPr>
              <w:pStyle w:val="14"/>
            </w:pPr>
            <w:r>
              <w:t>185.92</w:t>
            </w:r>
          </w:p>
        </w:tc>
        <w:tc>
          <w:tcPr>
            <w:tcW w:w="2551" w:type="dxa"/>
            <w:vAlign w:val="center"/>
          </w:tcPr>
          <w:p w14:paraId="3B86C782">
            <w:pPr>
              <w:pStyle w:val="14"/>
            </w:pPr>
          </w:p>
        </w:tc>
      </w:tr>
      <w:tr w14:paraId="6494A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0F63B72">
            <w:pPr>
              <w:pStyle w:val="12"/>
            </w:pPr>
            <w:r>
              <w:t>10</w:t>
            </w:r>
          </w:p>
        </w:tc>
        <w:tc>
          <w:tcPr>
            <w:tcW w:w="1191" w:type="dxa"/>
            <w:vAlign w:val="center"/>
          </w:tcPr>
          <w:p w14:paraId="17416D6D">
            <w:pPr>
              <w:pStyle w:val="13"/>
            </w:pPr>
            <w:r>
              <w:t>303</w:t>
            </w:r>
          </w:p>
        </w:tc>
        <w:tc>
          <w:tcPr>
            <w:tcW w:w="4535" w:type="dxa"/>
            <w:vAlign w:val="center"/>
          </w:tcPr>
          <w:p w14:paraId="5041CE25">
            <w:pPr>
              <w:pStyle w:val="13"/>
            </w:pPr>
            <w:r>
              <w:t>对个人和家庭的补助</w:t>
            </w:r>
          </w:p>
        </w:tc>
        <w:tc>
          <w:tcPr>
            <w:tcW w:w="2551" w:type="dxa"/>
            <w:vAlign w:val="center"/>
          </w:tcPr>
          <w:p w14:paraId="774DF0FD">
            <w:pPr>
              <w:pStyle w:val="14"/>
            </w:pPr>
            <w:r>
              <w:t>58.80</w:t>
            </w:r>
          </w:p>
        </w:tc>
        <w:tc>
          <w:tcPr>
            <w:tcW w:w="2551" w:type="dxa"/>
            <w:vAlign w:val="center"/>
          </w:tcPr>
          <w:p w14:paraId="05A924D7">
            <w:pPr>
              <w:pStyle w:val="14"/>
            </w:pPr>
            <w:r>
              <w:t>58.80</w:t>
            </w:r>
          </w:p>
        </w:tc>
        <w:tc>
          <w:tcPr>
            <w:tcW w:w="2551" w:type="dxa"/>
            <w:vAlign w:val="center"/>
          </w:tcPr>
          <w:p w14:paraId="060D33E3">
            <w:pPr>
              <w:pStyle w:val="14"/>
            </w:pPr>
          </w:p>
        </w:tc>
      </w:tr>
      <w:tr w14:paraId="07D6D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1D494">
            <w:pPr>
              <w:pStyle w:val="12"/>
            </w:pPr>
            <w:r>
              <w:t>11</w:t>
            </w:r>
          </w:p>
        </w:tc>
        <w:tc>
          <w:tcPr>
            <w:tcW w:w="1191" w:type="dxa"/>
            <w:vAlign w:val="center"/>
          </w:tcPr>
          <w:p w14:paraId="45CFBCA3">
            <w:pPr>
              <w:pStyle w:val="13"/>
            </w:pPr>
            <w:r>
              <w:t>30302</w:t>
            </w:r>
          </w:p>
        </w:tc>
        <w:tc>
          <w:tcPr>
            <w:tcW w:w="4535" w:type="dxa"/>
            <w:vAlign w:val="center"/>
          </w:tcPr>
          <w:p w14:paraId="18C54399">
            <w:pPr>
              <w:pStyle w:val="13"/>
            </w:pPr>
            <w:r>
              <w:t>退休费</w:t>
            </w:r>
          </w:p>
        </w:tc>
        <w:tc>
          <w:tcPr>
            <w:tcW w:w="2551" w:type="dxa"/>
            <w:vAlign w:val="center"/>
          </w:tcPr>
          <w:p w14:paraId="3BCB0A81">
            <w:pPr>
              <w:pStyle w:val="14"/>
            </w:pPr>
            <w:r>
              <w:t>56.57</w:t>
            </w:r>
          </w:p>
        </w:tc>
        <w:tc>
          <w:tcPr>
            <w:tcW w:w="2551" w:type="dxa"/>
            <w:vAlign w:val="center"/>
          </w:tcPr>
          <w:p w14:paraId="16976514">
            <w:pPr>
              <w:pStyle w:val="14"/>
            </w:pPr>
            <w:r>
              <w:t>56.57</w:t>
            </w:r>
          </w:p>
        </w:tc>
        <w:tc>
          <w:tcPr>
            <w:tcW w:w="2551" w:type="dxa"/>
            <w:vAlign w:val="center"/>
          </w:tcPr>
          <w:p w14:paraId="6941D250">
            <w:pPr>
              <w:pStyle w:val="14"/>
            </w:pPr>
          </w:p>
        </w:tc>
      </w:tr>
      <w:tr w14:paraId="72479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52A36">
            <w:pPr>
              <w:pStyle w:val="12"/>
            </w:pPr>
            <w:r>
              <w:t>12</w:t>
            </w:r>
          </w:p>
        </w:tc>
        <w:tc>
          <w:tcPr>
            <w:tcW w:w="1191" w:type="dxa"/>
            <w:vAlign w:val="center"/>
          </w:tcPr>
          <w:p w14:paraId="156FDBF8">
            <w:pPr>
              <w:pStyle w:val="13"/>
            </w:pPr>
            <w:r>
              <w:t>30305</w:t>
            </w:r>
          </w:p>
        </w:tc>
        <w:tc>
          <w:tcPr>
            <w:tcW w:w="4535" w:type="dxa"/>
            <w:vAlign w:val="center"/>
          </w:tcPr>
          <w:p w14:paraId="08FA088B">
            <w:pPr>
              <w:pStyle w:val="13"/>
            </w:pPr>
            <w:r>
              <w:t>生活补助</w:t>
            </w:r>
          </w:p>
        </w:tc>
        <w:tc>
          <w:tcPr>
            <w:tcW w:w="2551" w:type="dxa"/>
            <w:vAlign w:val="center"/>
          </w:tcPr>
          <w:p w14:paraId="1FFF207B">
            <w:pPr>
              <w:pStyle w:val="14"/>
            </w:pPr>
            <w:r>
              <w:t>2.23</w:t>
            </w:r>
          </w:p>
        </w:tc>
        <w:tc>
          <w:tcPr>
            <w:tcW w:w="2551" w:type="dxa"/>
            <w:vAlign w:val="center"/>
          </w:tcPr>
          <w:p w14:paraId="6F453090">
            <w:pPr>
              <w:pStyle w:val="14"/>
            </w:pPr>
            <w:r>
              <w:t>2.23</w:t>
            </w:r>
          </w:p>
        </w:tc>
        <w:tc>
          <w:tcPr>
            <w:tcW w:w="2551" w:type="dxa"/>
            <w:vAlign w:val="center"/>
          </w:tcPr>
          <w:p w14:paraId="42A8A0F5">
            <w:pPr>
              <w:pStyle w:val="14"/>
            </w:pPr>
          </w:p>
        </w:tc>
      </w:tr>
    </w:tbl>
    <w:p w14:paraId="2C4AB1A1">
      <w:pPr>
        <w:sectPr>
          <w:pgSz w:w="16840" w:h="11900" w:orient="landscape"/>
          <w:pgMar w:top="1361" w:right="1020" w:bottom="1134" w:left="1020" w:header="720" w:footer="720" w:gutter="0"/>
          <w:cols w:space="720" w:num="1"/>
        </w:sectPr>
      </w:pPr>
    </w:p>
    <w:p w14:paraId="010008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57C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F4D305">
            <w:pPr>
              <w:pStyle w:val="8"/>
            </w:pPr>
            <w:r>
              <w:t>360011河北省隆尧县实验中学</w:t>
            </w:r>
          </w:p>
        </w:tc>
        <w:tc>
          <w:tcPr>
            <w:tcW w:w="2551" w:type="dxa"/>
            <w:tcBorders>
              <w:top w:val="single" w:color="FFFFFF" w:sz="6" w:space="0"/>
              <w:left w:val="single" w:color="FFFFFF" w:sz="6" w:space="0"/>
              <w:right w:val="single" w:color="FFFFFF" w:sz="6" w:space="0"/>
            </w:tcBorders>
            <w:vAlign w:val="center"/>
          </w:tcPr>
          <w:p w14:paraId="015AEAB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144D9BB">
            <w:pPr>
              <w:pStyle w:val="10"/>
            </w:pPr>
            <w:r>
              <w:t>单位：万元</w:t>
            </w:r>
          </w:p>
        </w:tc>
      </w:tr>
      <w:tr w14:paraId="4DFD9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1BB34F">
            <w:pPr>
              <w:pStyle w:val="11"/>
            </w:pPr>
            <w:r>
              <w:t>序号</w:t>
            </w:r>
          </w:p>
        </w:tc>
        <w:tc>
          <w:tcPr>
            <w:tcW w:w="5726" w:type="dxa"/>
            <w:gridSpan w:val="2"/>
            <w:vAlign w:val="center"/>
          </w:tcPr>
          <w:p w14:paraId="4FC3B354">
            <w:pPr>
              <w:pStyle w:val="11"/>
            </w:pPr>
            <w:r>
              <w:t>功能分类科目</w:t>
            </w:r>
          </w:p>
        </w:tc>
        <w:tc>
          <w:tcPr>
            <w:tcW w:w="2551" w:type="dxa"/>
            <w:vMerge w:val="restart"/>
            <w:vAlign w:val="center"/>
          </w:tcPr>
          <w:p w14:paraId="38F59F50">
            <w:pPr>
              <w:pStyle w:val="11"/>
            </w:pPr>
            <w:r>
              <w:t>合计</w:t>
            </w:r>
          </w:p>
        </w:tc>
        <w:tc>
          <w:tcPr>
            <w:tcW w:w="2551" w:type="dxa"/>
            <w:vMerge w:val="restart"/>
            <w:vAlign w:val="center"/>
          </w:tcPr>
          <w:p w14:paraId="186652DD">
            <w:pPr>
              <w:pStyle w:val="11"/>
            </w:pPr>
            <w:r>
              <w:t>基本支出</w:t>
            </w:r>
          </w:p>
        </w:tc>
        <w:tc>
          <w:tcPr>
            <w:tcW w:w="2551" w:type="dxa"/>
            <w:vMerge w:val="restart"/>
            <w:vAlign w:val="center"/>
          </w:tcPr>
          <w:p w14:paraId="03034B40">
            <w:pPr>
              <w:pStyle w:val="11"/>
            </w:pPr>
            <w:r>
              <w:t>项目支出</w:t>
            </w:r>
          </w:p>
        </w:tc>
      </w:tr>
      <w:tr w14:paraId="0AA6C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F2682B"/>
        </w:tc>
        <w:tc>
          <w:tcPr>
            <w:tcW w:w="1191" w:type="dxa"/>
            <w:vAlign w:val="center"/>
          </w:tcPr>
          <w:p w14:paraId="1905BA2A">
            <w:pPr>
              <w:pStyle w:val="11"/>
            </w:pPr>
            <w:r>
              <w:t>科目编码</w:t>
            </w:r>
          </w:p>
        </w:tc>
        <w:tc>
          <w:tcPr>
            <w:tcW w:w="4535" w:type="dxa"/>
            <w:vAlign w:val="center"/>
          </w:tcPr>
          <w:p w14:paraId="57429BAC">
            <w:pPr>
              <w:pStyle w:val="11"/>
            </w:pPr>
            <w:r>
              <w:t>科目名称</w:t>
            </w:r>
          </w:p>
        </w:tc>
        <w:tc>
          <w:tcPr>
            <w:tcW w:w="2551" w:type="dxa"/>
            <w:vMerge w:val="continue"/>
          </w:tcPr>
          <w:p w14:paraId="3875F4D4"/>
        </w:tc>
        <w:tc>
          <w:tcPr>
            <w:tcW w:w="2551" w:type="dxa"/>
            <w:vMerge w:val="continue"/>
          </w:tcPr>
          <w:p w14:paraId="3095A973"/>
        </w:tc>
        <w:tc>
          <w:tcPr>
            <w:tcW w:w="2551" w:type="dxa"/>
            <w:vMerge w:val="continue"/>
          </w:tcPr>
          <w:p w14:paraId="710A68AF"/>
        </w:tc>
      </w:tr>
      <w:tr w14:paraId="6FD59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C78F0">
            <w:pPr>
              <w:pStyle w:val="11"/>
            </w:pPr>
            <w:r>
              <w:t>栏次</w:t>
            </w:r>
          </w:p>
        </w:tc>
        <w:tc>
          <w:tcPr>
            <w:tcW w:w="1191" w:type="dxa"/>
            <w:vAlign w:val="center"/>
          </w:tcPr>
          <w:p w14:paraId="740AE8C1">
            <w:pPr>
              <w:pStyle w:val="11"/>
            </w:pPr>
            <w:r>
              <w:t>1</w:t>
            </w:r>
          </w:p>
        </w:tc>
        <w:tc>
          <w:tcPr>
            <w:tcW w:w="4535" w:type="dxa"/>
            <w:vAlign w:val="center"/>
          </w:tcPr>
          <w:p w14:paraId="635F40E7">
            <w:pPr>
              <w:pStyle w:val="11"/>
            </w:pPr>
            <w:r>
              <w:t>2</w:t>
            </w:r>
          </w:p>
        </w:tc>
        <w:tc>
          <w:tcPr>
            <w:tcW w:w="2551" w:type="dxa"/>
            <w:vAlign w:val="center"/>
          </w:tcPr>
          <w:p w14:paraId="373A8A33">
            <w:pPr>
              <w:pStyle w:val="11"/>
            </w:pPr>
            <w:r>
              <w:t>3</w:t>
            </w:r>
          </w:p>
        </w:tc>
        <w:tc>
          <w:tcPr>
            <w:tcW w:w="2551" w:type="dxa"/>
            <w:vAlign w:val="center"/>
          </w:tcPr>
          <w:p w14:paraId="4E2C0403">
            <w:pPr>
              <w:pStyle w:val="11"/>
            </w:pPr>
            <w:r>
              <w:t>4</w:t>
            </w:r>
          </w:p>
        </w:tc>
        <w:tc>
          <w:tcPr>
            <w:tcW w:w="2551" w:type="dxa"/>
            <w:vAlign w:val="center"/>
          </w:tcPr>
          <w:p w14:paraId="7BC5B010">
            <w:pPr>
              <w:pStyle w:val="11"/>
            </w:pPr>
            <w:r>
              <w:t>5</w:t>
            </w:r>
          </w:p>
        </w:tc>
      </w:tr>
      <w:tr w14:paraId="17EF0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9F6C1">
            <w:pPr>
              <w:pStyle w:val="12"/>
            </w:pPr>
          </w:p>
        </w:tc>
        <w:tc>
          <w:tcPr>
            <w:tcW w:w="1191" w:type="dxa"/>
            <w:vAlign w:val="center"/>
          </w:tcPr>
          <w:p w14:paraId="09C275D0">
            <w:pPr>
              <w:pStyle w:val="13"/>
            </w:pPr>
          </w:p>
        </w:tc>
        <w:tc>
          <w:tcPr>
            <w:tcW w:w="4535" w:type="dxa"/>
            <w:vAlign w:val="center"/>
          </w:tcPr>
          <w:p w14:paraId="4CCE6D71">
            <w:pPr>
              <w:pStyle w:val="13"/>
            </w:pPr>
          </w:p>
        </w:tc>
        <w:tc>
          <w:tcPr>
            <w:tcW w:w="2551" w:type="dxa"/>
            <w:vAlign w:val="center"/>
          </w:tcPr>
          <w:p w14:paraId="58D7D3C0">
            <w:pPr>
              <w:pStyle w:val="14"/>
            </w:pPr>
          </w:p>
        </w:tc>
        <w:tc>
          <w:tcPr>
            <w:tcW w:w="2551" w:type="dxa"/>
            <w:vAlign w:val="center"/>
          </w:tcPr>
          <w:p w14:paraId="3F3666BB">
            <w:pPr>
              <w:pStyle w:val="14"/>
            </w:pPr>
          </w:p>
        </w:tc>
        <w:tc>
          <w:tcPr>
            <w:tcW w:w="2551" w:type="dxa"/>
            <w:vAlign w:val="center"/>
          </w:tcPr>
          <w:p w14:paraId="1C7AD1EB">
            <w:pPr>
              <w:pStyle w:val="14"/>
            </w:pPr>
          </w:p>
        </w:tc>
      </w:tr>
    </w:tbl>
    <w:p w14:paraId="674EDB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18D9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336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BCF26D">
            <w:pPr>
              <w:pStyle w:val="8"/>
            </w:pPr>
            <w:r>
              <w:t>360011河北省隆尧县实验中学</w:t>
            </w:r>
          </w:p>
        </w:tc>
        <w:tc>
          <w:tcPr>
            <w:tcW w:w="2551" w:type="dxa"/>
            <w:tcBorders>
              <w:top w:val="single" w:color="FFFFFF" w:sz="6" w:space="0"/>
              <w:left w:val="single" w:color="FFFFFF" w:sz="6" w:space="0"/>
              <w:right w:val="single" w:color="FFFFFF" w:sz="6" w:space="0"/>
            </w:tcBorders>
            <w:vAlign w:val="center"/>
          </w:tcPr>
          <w:p w14:paraId="663507D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290FB96">
            <w:pPr>
              <w:pStyle w:val="10"/>
            </w:pPr>
            <w:r>
              <w:t>单位：万元</w:t>
            </w:r>
          </w:p>
        </w:tc>
      </w:tr>
      <w:tr w14:paraId="244C9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83A96">
            <w:pPr>
              <w:pStyle w:val="11"/>
            </w:pPr>
            <w:r>
              <w:t>序号</w:t>
            </w:r>
          </w:p>
        </w:tc>
        <w:tc>
          <w:tcPr>
            <w:tcW w:w="5726" w:type="dxa"/>
            <w:gridSpan w:val="2"/>
            <w:vAlign w:val="center"/>
          </w:tcPr>
          <w:p w14:paraId="6C1AF85E">
            <w:pPr>
              <w:pStyle w:val="11"/>
            </w:pPr>
            <w:r>
              <w:t>功能分类科目</w:t>
            </w:r>
          </w:p>
        </w:tc>
        <w:tc>
          <w:tcPr>
            <w:tcW w:w="2551" w:type="dxa"/>
            <w:vMerge w:val="restart"/>
            <w:vAlign w:val="center"/>
          </w:tcPr>
          <w:p w14:paraId="575E9AEF">
            <w:pPr>
              <w:pStyle w:val="11"/>
            </w:pPr>
            <w:r>
              <w:t>合计</w:t>
            </w:r>
          </w:p>
        </w:tc>
        <w:tc>
          <w:tcPr>
            <w:tcW w:w="2551" w:type="dxa"/>
            <w:vMerge w:val="restart"/>
            <w:vAlign w:val="center"/>
          </w:tcPr>
          <w:p w14:paraId="707E1D44">
            <w:pPr>
              <w:pStyle w:val="11"/>
            </w:pPr>
            <w:r>
              <w:t>基本支出</w:t>
            </w:r>
          </w:p>
        </w:tc>
        <w:tc>
          <w:tcPr>
            <w:tcW w:w="2551" w:type="dxa"/>
            <w:vMerge w:val="restart"/>
            <w:vAlign w:val="center"/>
          </w:tcPr>
          <w:p w14:paraId="3C5D18E9">
            <w:pPr>
              <w:pStyle w:val="11"/>
            </w:pPr>
            <w:r>
              <w:t>项目支出</w:t>
            </w:r>
          </w:p>
        </w:tc>
      </w:tr>
      <w:tr w14:paraId="2CD00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8E383"/>
        </w:tc>
        <w:tc>
          <w:tcPr>
            <w:tcW w:w="1191" w:type="dxa"/>
            <w:vAlign w:val="center"/>
          </w:tcPr>
          <w:p w14:paraId="146253E4">
            <w:pPr>
              <w:pStyle w:val="11"/>
            </w:pPr>
            <w:r>
              <w:t>科目编码</w:t>
            </w:r>
          </w:p>
        </w:tc>
        <w:tc>
          <w:tcPr>
            <w:tcW w:w="4535" w:type="dxa"/>
            <w:vAlign w:val="center"/>
          </w:tcPr>
          <w:p w14:paraId="609EFCDF">
            <w:pPr>
              <w:pStyle w:val="11"/>
            </w:pPr>
            <w:r>
              <w:t>科目名称</w:t>
            </w:r>
          </w:p>
        </w:tc>
        <w:tc>
          <w:tcPr>
            <w:tcW w:w="2551" w:type="dxa"/>
            <w:vMerge w:val="continue"/>
          </w:tcPr>
          <w:p w14:paraId="0CCB53CD"/>
        </w:tc>
        <w:tc>
          <w:tcPr>
            <w:tcW w:w="2551" w:type="dxa"/>
            <w:vMerge w:val="continue"/>
          </w:tcPr>
          <w:p w14:paraId="4454EDDC"/>
        </w:tc>
        <w:tc>
          <w:tcPr>
            <w:tcW w:w="2551" w:type="dxa"/>
            <w:vMerge w:val="continue"/>
          </w:tcPr>
          <w:p w14:paraId="3C653128"/>
        </w:tc>
      </w:tr>
      <w:tr w14:paraId="26FA7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D5D432">
            <w:pPr>
              <w:pStyle w:val="11"/>
            </w:pPr>
            <w:r>
              <w:t>栏次</w:t>
            </w:r>
          </w:p>
        </w:tc>
        <w:tc>
          <w:tcPr>
            <w:tcW w:w="1191" w:type="dxa"/>
            <w:vAlign w:val="center"/>
          </w:tcPr>
          <w:p w14:paraId="403FFB4A">
            <w:pPr>
              <w:pStyle w:val="11"/>
            </w:pPr>
            <w:r>
              <w:t>1</w:t>
            </w:r>
          </w:p>
        </w:tc>
        <w:tc>
          <w:tcPr>
            <w:tcW w:w="4535" w:type="dxa"/>
            <w:vAlign w:val="center"/>
          </w:tcPr>
          <w:p w14:paraId="7B392917">
            <w:pPr>
              <w:pStyle w:val="11"/>
            </w:pPr>
            <w:r>
              <w:t>2</w:t>
            </w:r>
          </w:p>
        </w:tc>
        <w:tc>
          <w:tcPr>
            <w:tcW w:w="2551" w:type="dxa"/>
            <w:vAlign w:val="center"/>
          </w:tcPr>
          <w:p w14:paraId="68844B95">
            <w:pPr>
              <w:pStyle w:val="11"/>
            </w:pPr>
            <w:r>
              <w:t>3</w:t>
            </w:r>
          </w:p>
        </w:tc>
        <w:tc>
          <w:tcPr>
            <w:tcW w:w="2551" w:type="dxa"/>
            <w:vAlign w:val="center"/>
          </w:tcPr>
          <w:p w14:paraId="03898B3C">
            <w:pPr>
              <w:pStyle w:val="11"/>
            </w:pPr>
            <w:r>
              <w:t>4</w:t>
            </w:r>
          </w:p>
        </w:tc>
        <w:tc>
          <w:tcPr>
            <w:tcW w:w="2551" w:type="dxa"/>
            <w:vAlign w:val="center"/>
          </w:tcPr>
          <w:p w14:paraId="1131DEF6">
            <w:pPr>
              <w:pStyle w:val="11"/>
            </w:pPr>
            <w:r>
              <w:t>5</w:t>
            </w:r>
          </w:p>
        </w:tc>
      </w:tr>
      <w:tr w14:paraId="624E8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FA722">
            <w:pPr>
              <w:pStyle w:val="12"/>
            </w:pPr>
          </w:p>
        </w:tc>
        <w:tc>
          <w:tcPr>
            <w:tcW w:w="1191" w:type="dxa"/>
            <w:vAlign w:val="center"/>
          </w:tcPr>
          <w:p w14:paraId="332A3224">
            <w:pPr>
              <w:pStyle w:val="13"/>
            </w:pPr>
          </w:p>
        </w:tc>
        <w:tc>
          <w:tcPr>
            <w:tcW w:w="4535" w:type="dxa"/>
            <w:vAlign w:val="center"/>
          </w:tcPr>
          <w:p w14:paraId="2A1E8C27">
            <w:pPr>
              <w:pStyle w:val="13"/>
            </w:pPr>
          </w:p>
        </w:tc>
        <w:tc>
          <w:tcPr>
            <w:tcW w:w="2551" w:type="dxa"/>
            <w:vAlign w:val="center"/>
          </w:tcPr>
          <w:p w14:paraId="319E24C8">
            <w:pPr>
              <w:pStyle w:val="14"/>
            </w:pPr>
          </w:p>
        </w:tc>
        <w:tc>
          <w:tcPr>
            <w:tcW w:w="2551" w:type="dxa"/>
            <w:vAlign w:val="center"/>
          </w:tcPr>
          <w:p w14:paraId="632B42ED">
            <w:pPr>
              <w:pStyle w:val="14"/>
            </w:pPr>
          </w:p>
        </w:tc>
        <w:tc>
          <w:tcPr>
            <w:tcW w:w="2551" w:type="dxa"/>
            <w:vAlign w:val="center"/>
          </w:tcPr>
          <w:p w14:paraId="27215F0B">
            <w:pPr>
              <w:pStyle w:val="14"/>
            </w:pPr>
          </w:p>
        </w:tc>
      </w:tr>
    </w:tbl>
    <w:p w14:paraId="75F8D2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4269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AA1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095B50">
            <w:pPr>
              <w:pStyle w:val="8"/>
            </w:pPr>
            <w:r>
              <w:t>360011河北省隆尧县实验中学</w:t>
            </w:r>
          </w:p>
        </w:tc>
        <w:tc>
          <w:tcPr>
            <w:tcW w:w="2381" w:type="dxa"/>
            <w:tcBorders>
              <w:top w:val="single" w:color="FFFFFF" w:sz="6" w:space="0"/>
              <w:left w:val="single" w:color="FFFFFF" w:sz="6" w:space="0"/>
              <w:right w:val="single" w:color="FFFFFF" w:sz="6" w:space="0"/>
            </w:tcBorders>
            <w:vAlign w:val="center"/>
          </w:tcPr>
          <w:p w14:paraId="653A3189">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F83D11A">
            <w:pPr>
              <w:pStyle w:val="10"/>
            </w:pPr>
            <w:r>
              <w:t>单位：万元</w:t>
            </w:r>
          </w:p>
        </w:tc>
      </w:tr>
      <w:tr w14:paraId="1C867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389A0">
            <w:pPr>
              <w:pStyle w:val="11"/>
            </w:pPr>
            <w:r>
              <w:t>序号</w:t>
            </w:r>
          </w:p>
        </w:tc>
        <w:tc>
          <w:tcPr>
            <w:tcW w:w="3798" w:type="dxa"/>
            <w:vMerge w:val="restart"/>
            <w:vAlign w:val="center"/>
          </w:tcPr>
          <w:p w14:paraId="2DFC1355">
            <w:pPr>
              <w:pStyle w:val="11"/>
            </w:pPr>
            <w:r>
              <w:t>项  目</w:t>
            </w:r>
          </w:p>
        </w:tc>
        <w:tc>
          <w:tcPr>
            <w:tcW w:w="9524" w:type="dxa"/>
            <w:gridSpan w:val="4"/>
            <w:vAlign w:val="center"/>
          </w:tcPr>
          <w:p w14:paraId="7155C475">
            <w:pPr>
              <w:pStyle w:val="11"/>
            </w:pPr>
            <w:r>
              <w:t>资 金 性 质</w:t>
            </w:r>
          </w:p>
        </w:tc>
      </w:tr>
      <w:tr w14:paraId="5015D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8E35F4"/>
        </w:tc>
        <w:tc>
          <w:tcPr>
            <w:tcW w:w="3798" w:type="dxa"/>
            <w:vMerge w:val="continue"/>
          </w:tcPr>
          <w:p w14:paraId="79E6AD3D"/>
        </w:tc>
        <w:tc>
          <w:tcPr>
            <w:tcW w:w="2381" w:type="dxa"/>
            <w:vAlign w:val="center"/>
          </w:tcPr>
          <w:p w14:paraId="64770B82">
            <w:pPr>
              <w:pStyle w:val="11"/>
            </w:pPr>
            <w:r>
              <w:t>合计</w:t>
            </w:r>
          </w:p>
        </w:tc>
        <w:tc>
          <w:tcPr>
            <w:tcW w:w="2381" w:type="dxa"/>
            <w:vAlign w:val="center"/>
          </w:tcPr>
          <w:p w14:paraId="689955E5">
            <w:pPr>
              <w:pStyle w:val="11"/>
            </w:pPr>
            <w:r>
              <w:t>一般公共预算              财政拨款</w:t>
            </w:r>
          </w:p>
        </w:tc>
        <w:tc>
          <w:tcPr>
            <w:tcW w:w="2381" w:type="dxa"/>
            <w:vAlign w:val="center"/>
          </w:tcPr>
          <w:p w14:paraId="03278581">
            <w:pPr>
              <w:pStyle w:val="11"/>
            </w:pPr>
            <w:r>
              <w:t>政府性基金                  预算拨款</w:t>
            </w:r>
          </w:p>
        </w:tc>
        <w:tc>
          <w:tcPr>
            <w:tcW w:w="2381" w:type="dxa"/>
            <w:vAlign w:val="center"/>
          </w:tcPr>
          <w:p w14:paraId="301652A0">
            <w:pPr>
              <w:pStyle w:val="11"/>
            </w:pPr>
            <w:r>
              <w:t>国有资本经营              预算财政拨款</w:t>
            </w:r>
          </w:p>
        </w:tc>
      </w:tr>
      <w:tr w14:paraId="2A07A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B1415E">
            <w:pPr>
              <w:pStyle w:val="11"/>
            </w:pPr>
            <w:r>
              <w:t>栏次</w:t>
            </w:r>
          </w:p>
        </w:tc>
        <w:tc>
          <w:tcPr>
            <w:tcW w:w="3798" w:type="dxa"/>
            <w:vAlign w:val="center"/>
          </w:tcPr>
          <w:p w14:paraId="4352056A">
            <w:pPr>
              <w:pStyle w:val="11"/>
            </w:pPr>
            <w:r>
              <w:t>1</w:t>
            </w:r>
          </w:p>
        </w:tc>
        <w:tc>
          <w:tcPr>
            <w:tcW w:w="2381" w:type="dxa"/>
            <w:vAlign w:val="center"/>
          </w:tcPr>
          <w:p w14:paraId="3B52E503">
            <w:pPr>
              <w:pStyle w:val="11"/>
            </w:pPr>
            <w:r>
              <w:t>2</w:t>
            </w:r>
          </w:p>
        </w:tc>
        <w:tc>
          <w:tcPr>
            <w:tcW w:w="2381" w:type="dxa"/>
            <w:vAlign w:val="center"/>
          </w:tcPr>
          <w:p w14:paraId="75E98623">
            <w:pPr>
              <w:pStyle w:val="11"/>
            </w:pPr>
            <w:r>
              <w:t>3</w:t>
            </w:r>
          </w:p>
        </w:tc>
        <w:tc>
          <w:tcPr>
            <w:tcW w:w="2381" w:type="dxa"/>
            <w:vAlign w:val="center"/>
          </w:tcPr>
          <w:p w14:paraId="1D5AA439">
            <w:pPr>
              <w:pStyle w:val="11"/>
            </w:pPr>
            <w:r>
              <w:t>4</w:t>
            </w:r>
          </w:p>
        </w:tc>
        <w:tc>
          <w:tcPr>
            <w:tcW w:w="2381" w:type="dxa"/>
            <w:vAlign w:val="center"/>
          </w:tcPr>
          <w:p w14:paraId="6B920657">
            <w:pPr>
              <w:pStyle w:val="11"/>
            </w:pPr>
            <w:r>
              <w:t>5</w:t>
            </w:r>
          </w:p>
        </w:tc>
      </w:tr>
      <w:tr w14:paraId="631DA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DFDA51">
            <w:pPr>
              <w:pStyle w:val="12"/>
            </w:pPr>
          </w:p>
        </w:tc>
        <w:tc>
          <w:tcPr>
            <w:tcW w:w="3798" w:type="dxa"/>
            <w:vAlign w:val="center"/>
          </w:tcPr>
          <w:p w14:paraId="50BFC84B">
            <w:pPr>
              <w:pStyle w:val="13"/>
            </w:pPr>
          </w:p>
        </w:tc>
        <w:tc>
          <w:tcPr>
            <w:tcW w:w="2381" w:type="dxa"/>
            <w:vAlign w:val="center"/>
          </w:tcPr>
          <w:p w14:paraId="3E207039">
            <w:pPr>
              <w:pStyle w:val="14"/>
            </w:pPr>
          </w:p>
        </w:tc>
        <w:tc>
          <w:tcPr>
            <w:tcW w:w="2381" w:type="dxa"/>
            <w:vAlign w:val="center"/>
          </w:tcPr>
          <w:p w14:paraId="79DD6872">
            <w:pPr>
              <w:pStyle w:val="14"/>
            </w:pPr>
          </w:p>
        </w:tc>
        <w:tc>
          <w:tcPr>
            <w:tcW w:w="2381" w:type="dxa"/>
            <w:vAlign w:val="center"/>
          </w:tcPr>
          <w:p w14:paraId="05F3C668">
            <w:pPr>
              <w:pStyle w:val="14"/>
            </w:pPr>
          </w:p>
        </w:tc>
        <w:tc>
          <w:tcPr>
            <w:tcW w:w="2381" w:type="dxa"/>
            <w:vAlign w:val="center"/>
          </w:tcPr>
          <w:p w14:paraId="7607F3D2">
            <w:pPr>
              <w:pStyle w:val="14"/>
            </w:pPr>
          </w:p>
        </w:tc>
      </w:tr>
    </w:tbl>
    <w:p w14:paraId="3464397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327F5BF">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河北省隆尧县实验中学2025年单位预算信息公开情况说明</w:t>
      </w:r>
    </w:p>
    <w:p w14:paraId="29B1E1B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按照《中华人民共和国预算法》、《地方预决算公开操作规程》和《关于进一步推进预算公开工作的实施意见》规定，现将河北省隆尧县实验中学2025年单位预算公开如下：</w:t>
      </w:r>
    </w:p>
    <w:p w14:paraId="4DA7F490">
      <w:pPr>
        <w:spacing w:before="10" w:after="10" w:line="240" w:lineRule="auto"/>
        <w:ind w:firstLine="640"/>
        <w:jc w:val="left"/>
        <w:outlineLvl w:val="5"/>
      </w:pPr>
      <w:r>
        <w:rPr>
          <w:rFonts w:ascii="黑体" w:hAnsi="黑体" w:eastAsia="黑体" w:cs="黑体"/>
          <w:color w:val="000000"/>
          <w:sz w:val="32"/>
        </w:rPr>
        <w:t>一、单位职责及机构设置情况</w:t>
      </w:r>
    </w:p>
    <w:p w14:paraId="1210A99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7C30B0B">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630B53FE">
      <w:pPr>
        <w:pStyle w:val="18"/>
      </w:pPr>
      <w:r>
        <w:t>河北省隆尧县实验中学事业编制105名．其中，校长1名（正股级），副校长3名（副股级）；经费形式为财政性资金基本保证。</w:t>
      </w:r>
    </w:p>
    <w:p w14:paraId="7D70EEF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A23B7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B2B7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46513F">
            <w:pPr>
              <w:pStyle w:val="11"/>
            </w:pPr>
            <w:r>
              <w:t>单位名称</w:t>
            </w:r>
          </w:p>
        </w:tc>
        <w:tc>
          <w:tcPr>
            <w:tcW w:w="1843" w:type="dxa"/>
            <w:vAlign w:val="center"/>
          </w:tcPr>
          <w:p w14:paraId="020E2C5A">
            <w:pPr>
              <w:pStyle w:val="11"/>
            </w:pPr>
            <w:r>
              <w:t>单位性质</w:t>
            </w:r>
          </w:p>
        </w:tc>
        <w:tc>
          <w:tcPr>
            <w:tcW w:w="2126" w:type="dxa"/>
            <w:vAlign w:val="center"/>
          </w:tcPr>
          <w:p w14:paraId="1C71F872">
            <w:pPr>
              <w:pStyle w:val="11"/>
            </w:pPr>
            <w:r>
              <w:t>单位规格</w:t>
            </w:r>
          </w:p>
        </w:tc>
        <w:tc>
          <w:tcPr>
            <w:tcW w:w="3827" w:type="dxa"/>
            <w:vAlign w:val="center"/>
          </w:tcPr>
          <w:p w14:paraId="58675726">
            <w:pPr>
              <w:pStyle w:val="11"/>
            </w:pPr>
            <w:r>
              <w:t>经费保障形式</w:t>
            </w:r>
          </w:p>
        </w:tc>
      </w:tr>
      <w:tr w14:paraId="22F10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1A036FF">
            <w:pPr>
              <w:pStyle w:val="13"/>
            </w:pPr>
            <w:r>
              <w:t>河北省隆尧县实验中学</w:t>
            </w:r>
          </w:p>
        </w:tc>
        <w:tc>
          <w:tcPr>
            <w:tcW w:w="1843" w:type="dxa"/>
            <w:vAlign w:val="center"/>
          </w:tcPr>
          <w:p w14:paraId="5177A7C9">
            <w:pPr>
              <w:pStyle w:val="12"/>
            </w:pPr>
            <w:r>
              <w:t>事业</w:t>
            </w:r>
          </w:p>
        </w:tc>
        <w:tc>
          <w:tcPr>
            <w:tcW w:w="2126" w:type="dxa"/>
            <w:vAlign w:val="center"/>
          </w:tcPr>
          <w:p w14:paraId="249231A7">
            <w:pPr>
              <w:pStyle w:val="12"/>
            </w:pPr>
            <w:r>
              <w:t>股级</w:t>
            </w:r>
          </w:p>
        </w:tc>
        <w:tc>
          <w:tcPr>
            <w:tcW w:w="3827" w:type="dxa"/>
            <w:vAlign w:val="center"/>
          </w:tcPr>
          <w:p w14:paraId="70250E62">
            <w:pPr>
              <w:pStyle w:val="12"/>
            </w:pPr>
            <w:r>
              <w:t>财政性资金基本保证</w:t>
            </w:r>
          </w:p>
        </w:tc>
      </w:tr>
    </w:tbl>
    <w:p w14:paraId="0A69D2AD">
      <w:pPr>
        <w:spacing w:before="10" w:after="10" w:line="240" w:lineRule="auto"/>
        <w:ind w:firstLine="640"/>
        <w:jc w:val="left"/>
        <w:outlineLvl w:val="5"/>
      </w:pPr>
      <w:r>
        <w:rPr>
          <w:rFonts w:ascii="黑体" w:hAnsi="黑体" w:eastAsia="黑体" w:cs="黑体"/>
          <w:color w:val="000000"/>
          <w:sz w:val="32"/>
        </w:rPr>
        <w:t>二、单位预算安排的总体情况</w:t>
      </w:r>
    </w:p>
    <w:p w14:paraId="1FCC3582">
      <w:pPr>
        <w:pStyle w:val="19"/>
      </w:pPr>
      <w:r>
        <w:t>按照预算管理有关规定，目前我校单位预算的编制实行综合预算管理，即全部收入和支出都反映的预算中。河北省隆尧县实验中学的收支包含在单位预算中。</w:t>
      </w:r>
    </w:p>
    <w:p w14:paraId="1D4068F2">
      <w:pPr>
        <w:pStyle w:val="19"/>
      </w:pPr>
      <w:r>
        <w:t>1、收入说明</w:t>
      </w:r>
    </w:p>
    <w:p w14:paraId="79FAA7E0">
      <w:pPr>
        <w:pStyle w:val="19"/>
      </w:pPr>
      <w:r>
        <w:t>反映本单位当年全部收入。2025年预算收入3446.85万元，其中：一般公共预算收入3388.14万元，基金预算收入0万元，财政专户管理资金收入0万元，单位资金收入0万元，上年结转结余58.71万元。</w:t>
      </w:r>
    </w:p>
    <w:p w14:paraId="42CE3B70">
      <w:pPr>
        <w:pStyle w:val="19"/>
      </w:pPr>
      <w:r>
        <w:t>2、支出说明</w:t>
      </w:r>
    </w:p>
    <w:p w14:paraId="44519A33">
      <w:pPr>
        <w:pStyle w:val="19"/>
      </w:pPr>
      <w:r>
        <w:t>收支预算总表支出栏、基本支出表、项目支出表按经济分类和支出功能分类科目编制，反映隆尧县实验中学年度单位预算中支出预算的总体情况。2025年单位支出预算为3446.85万元，其中基本支出2589.6万元、项目支出857.25万元。</w:t>
      </w:r>
    </w:p>
    <w:p w14:paraId="2D746F86">
      <w:pPr>
        <w:pStyle w:val="19"/>
      </w:pPr>
      <w:r>
        <w:t>3、比上年增减情况</w:t>
      </w:r>
    </w:p>
    <w:p w14:paraId="4CBA67F6">
      <w:pPr>
        <w:pStyle w:val="19"/>
      </w:pPr>
      <w:r>
        <w:t>2025年部门预算收支安排3446.85万元，较2024年预算增加1004.68万元，其中基本支出增加673.26万元，项目支出增加331.42万元。</w:t>
      </w:r>
    </w:p>
    <w:p w14:paraId="0C0D65C6">
      <w:pPr>
        <w:spacing w:before="10" w:after="10" w:line="240" w:lineRule="auto"/>
        <w:ind w:firstLine="640"/>
        <w:jc w:val="left"/>
        <w:outlineLvl w:val="5"/>
      </w:pPr>
      <w:r>
        <w:rPr>
          <w:rFonts w:ascii="黑体" w:hAnsi="黑体" w:eastAsia="黑体" w:cs="黑体"/>
          <w:color w:val="000000"/>
          <w:sz w:val="32"/>
        </w:rPr>
        <w:t>三、机关运行经费安排情况</w:t>
      </w:r>
    </w:p>
    <w:p w14:paraId="4AFD269C">
      <w:pPr>
        <w:pStyle w:val="20"/>
      </w:pPr>
      <w:r>
        <w:t>我单位按学生安排公用经费，无机关运行经费。</w:t>
      </w:r>
    </w:p>
    <w:p w14:paraId="1C2EF6E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4112350">
      <w:pPr>
        <w:pStyle w:val="21"/>
      </w:pPr>
      <w:r>
        <w:t>我单位未安排三公经费。</w:t>
      </w:r>
    </w:p>
    <w:p w14:paraId="2838710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8BEC9F">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1、冀财教[2023]154号/中央/义教经费/校舍安全保障/实验中学维修改造绩效目标表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4A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12D0D">
            <w:pPr>
              <w:pStyle w:val="14"/>
            </w:pPr>
            <w:r>
              <w:t>单位：万元</w:t>
            </w:r>
          </w:p>
        </w:tc>
      </w:tr>
      <w:tr w14:paraId="3135A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A80DDD">
            <w:pPr>
              <w:pStyle w:val="11"/>
            </w:pPr>
            <w:r>
              <w:t>项目编码</w:t>
            </w:r>
          </w:p>
        </w:tc>
        <w:tc>
          <w:tcPr>
            <w:tcW w:w="5103" w:type="dxa"/>
            <w:gridSpan w:val="2"/>
            <w:vAlign w:val="center"/>
          </w:tcPr>
          <w:p w14:paraId="125539AB">
            <w:pPr>
              <w:pStyle w:val="13"/>
            </w:pPr>
            <w:r>
              <w:t>13052524P000006112621</w:t>
            </w:r>
          </w:p>
        </w:tc>
        <w:tc>
          <w:tcPr>
            <w:tcW w:w="2835" w:type="dxa"/>
            <w:vAlign w:val="center"/>
          </w:tcPr>
          <w:p w14:paraId="67E1C5FC">
            <w:pPr>
              <w:pStyle w:val="11"/>
            </w:pPr>
            <w:r>
              <w:t>项目名称</w:t>
            </w:r>
          </w:p>
        </w:tc>
        <w:tc>
          <w:tcPr>
            <w:tcW w:w="6095" w:type="dxa"/>
            <w:gridSpan w:val="3"/>
            <w:vAlign w:val="center"/>
          </w:tcPr>
          <w:p w14:paraId="03F18E37">
            <w:pPr>
              <w:pStyle w:val="13"/>
            </w:pPr>
            <w:r>
              <w:t>冀财教[2023]154号/中央/义教经费/校舍安全保障/实验中学维修改造</w:t>
            </w:r>
          </w:p>
        </w:tc>
      </w:tr>
      <w:tr w14:paraId="6093C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69A11">
            <w:pPr>
              <w:pStyle w:val="11"/>
            </w:pPr>
            <w:r>
              <w:t>预算规模及资金用途</w:t>
            </w:r>
          </w:p>
        </w:tc>
        <w:tc>
          <w:tcPr>
            <w:tcW w:w="2268" w:type="dxa"/>
            <w:vAlign w:val="center"/>
          </w:tcPr>
          <w:p w14:paraId="1518CAAA">
            <w:pPr>
              <w:pStyle w:val="11"/>
            </w:pPr>
            <w:r>
              <w:t>预算数</w:t>
            </w:r>
          </w:p>
        </w:tc>
        <w:tc>
          <w:tcPr>
            <w:tcW w:w="2835" w:type="dxa"/>
            <w:vAlign w:val="center"/>
          </w:tcPr>
          <w:p w14:paraId="5A0D6490">
            <w:pPr>
              <w:pStyle w:val="13"/>
            </w:pPr>
            <w:r>
              <w:t>22.01</w:t>
            </w:r>
          </w:p>
        </w:tc>
        <w:tc>
          <w:tcPr>
            <w:tcW w:w="2835" w:type="dxa"/>
            <w:vAlign w:val="center"/>
          </w:tcPr>
          <w:p w14:paraId="40ABDFC1">
            <w:pPr>
              <w:pStyle w:val="11"/>
            </w:pPr>
            <w:r>
              <w:t>其中：财政    资金</w:t>
            </w:r>
          </w:p>
        </w:tc>
        <w:tc>
          <w:tcPr>
            <w:tcW w:w="2551" w:type="dxa"/>
            <w:vAlign w:val="center"/>
          </w:tcPr>
          <w:p w14:paraId="2E513F6C">
            <w:pPr>
              <w:pStyle w:val="13"/>
            </w:pPr>
            <w:r>
              <w:t>22.01</w:t>
            </w:r>
          </w:p>
        </w:tc>
        <w:tc>
          <w:tcPr>
            <w:tcW w:w="2268" w:type="dxa"/>
            <w:vAlign w:val="center"/>
          </w:tcPr>
          <w:p w14:paraId="1C5E9F0E">
            <w:pPr>
              <w:pStyle w:val="11"/>
            </w:pPr>
            <w:r>
              <w:t>其他资金</w:t>
            </w:r>
          </w:p>
        </w:tc>
        <w:tc>
          <w:tcPr>
            <w:tcW w:w="1276" w:type="dxa"/>
            <w:vAlign w:val="center"/>
          </w:tcPr>
          <w:p w14:paraId="691CF207">
            <w:pPr>
              <w:pStyle w:val="13"/>
            </w:pPr>
            <w:r>
              <w:t xml:space="preserve"> </w:t>
            </w:r>
          </w:p>
        </w:tc>
      </w:tr>
      <w:tr w14:paraId="0F8E0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E982F"/>
        </w:tc>
        <w:tc>
          <w:tcPr>
            <w:tcW w:w="14033" w:type="dxa"/>
            <w:gridSpan w:val="6"/>
            <w:vAlign w:val="center"/>
          </w:tcPr>
          <w:p w14:paraId="4E514106">
            <w:pPr>
              <w:pStyle w:val="13"/>
            </w:pPr>
            <w:r>
              <w:t>改善就学条件，提升学校形象，保障义务教育阶段教学安全，创造良好的校园环境。</w:t>
            </w:r>
          </w:p>
        </w:tc>
      </w:tr>
      <w:tr w14:paraId="1A4E6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21988">
            <w:pPr>
              <w:pStyle w:val="11"/>
            </w:pPr>
            <w:r>
              <w:t>资金支出计划（%）</w:t>
            </w:r>
          </w:p>
        </w:tc>
        <w:tc>
          <w:tcPr>
            <w:tcW w:w="5103" w:type="dxa"/>
            <w:gridSpan w:val="2"/>
            <w:vAlign w:val="center"/>
          </w:tcPr>
          <w:p w14:paraId="5790F627">
            <w:pPr>
              <w:pStyle w:val="11"/>
            </w:pPr>
            <w:r>
              <w:t>3月底</w:t>
            </w:r>
          </w:p>
        </w:tc>
        <w:tc>
          <w:tcPr>
            <w:tcW w:w="2835" w:type="dxa"/>
            <w:vAlign w:val="center"/>
          </w:tcPr>
          <w:p w14:paraId="7ABD6DD9">
            <w:pPr>
              <w:pStyle w:val="11"/>
            </w:pPr>
            <w:r>
              <w:t>6月底</w:t>
            </w:r>
          </w:p>
        </w:tc>
        <w:tc>
          <w:tcPr>
            <w:tcW w:w="2551" w:type="dxa"/>
            <w:vAlign w:val="center"/>
          </w:tcPr>
          <w:p w14:paraId="11D1390A">
            <w:pPr>
              <w:pStyle w:val="11"/>
            </w:pPr>
            <w:r>
              <w:t>10月底</w:t>
            </w:r>
          </w:p>
        </w:tc>
        <w:tc>
          <w:tcPr>
            <w:tcW w:w="3544" w:type="dxa"/>
            <w:gridSpan w:val="2"/>
            <w:vAlign w:val="center"/>
          </w:tcPr>
          <w:p w14:paraId="0B57DA55">
            <w:pPr>
              <w:pStyle w:val="11"/>
            </w:pPr>
            <w:r>
              <w:t>12月底</w:t>
            </w:r>
          </w:p>
        </w:tc>
      </w:tr>
      <w:tr w14:paraId="632A4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F6F3FC"/>
        </w:tc>
        <w:tc>
          <w:tcPr>
            <w:tcW w:w="5103" w:type="dxa"/>
            <w:gridSpan w:val="2"/>
            <w:vAlign w:val="center"/>
          </w:tcPr>
          <w:p w14:paraId="168BF4E8">
            <w:pPr>
              <w:pStyle w:val="12"/>
            </w:pPr>
            <w:r>
              <w:t>80%</w:t>
            </w:r>
          </w:p>
        </w:tc>
        <w:tc>
          <w:tcPr>
            <w:tcW w:w="2835" w:type="dxa"/>
            <w:vAlign w:val="center"/>
          </w:tcPr>
          <w:p w14:paraId="4F66AA23">
            <w:pPr>
              <w:pStyle w:val="12"/>
            </w:pPr>
            <w:r>
              <w:t>97%</w:t>
            </w:r>
          </w:p>
        </w:tc>
        <w:tc>
          <w:tcPr>
            <w:tcW w:w="2551" w:type="dxa"/>
            <w:vAlign w:val="center"/>
          </w:tcPr>
          <w:p w14:paraId="21462CD8">
            <w:pPr>
              <w:pStyle w:val="12"/>
            </w:pPr>
            <w:r>
              <w:t>97%</w:t>
            </w:r>
          </w:p>
        </w:tc>
        <w:tc>
          <w:tcPr>
            <w:tcW w:w="3544" w:type="dxa"/>
            <w:gridSpan w:val="2"/>
            <w:vAlign w:val="center"/>
          </w:tcPr>
          <w:p w14:paraId="055FB98C">
            <w:pPr>
              <w:pStyle w:val="12"/>
            </w:pPr>
            <w:r>
              <w:t>100%</w:t>
            </w:r>
          </w:p>
        </w:tc>
      </w:tr>
      <w:tr w14:paraId="480C9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C3136">
            <w:pPr>
              <w:pStyle w:val="11"/>
            </w:pPr>
            <w:r>
              <w:t>绩效目标</w:t>
            </w:r>
          </w:p>
        </w:tc>
        <w:tc>
          <w:tcPr>
            <w:tcW w:w="14033" w:type="dxa"/>
            <w:gridSpan w:val="6"/>
            <w:vAlign w:val="center"/>
          </w:tcPr>
          <w:p w14:paraId="6DA3E001">
            <w:pPr>
              <w:pStyle w:val="13"/>
            </w:pPr>
            <w:r>
              <w:t>1.改善就学条件，提升学校形象，保障义务教育阶段教学安全，创造良好的校园环境。</w:t>
            </w:r>
            <w:r>
              <w:tab/>
            </w:r>
            <w:r>
              <w:tab/>
            </w:r>
            <w:r>
              <w:tab/>
            </w:r>
            <w:r>
              <w:tab/>
            </w:r>
            <w:r>
              <w:tab/>
            </w:r>
            <w:r>
              <w:tab/>
            </w:r>
          </w:p>
          <w:p w14:paraId="6E015B1E">
            <w:pPr>
              <w:pStyle w:val="13"/>
            </w:pPr>
          </w:p>
          <w:p w14:paraId="09BEAE36">
            <w:pPr>
              <w:pStyle w:val="13"/>
            </w:pPr>
            <w:r>
              <w:t>2.项目需资金134万元，资金拨付率达到100%。</w:t>
            </w:r>
          </w:p>
        </w:tc>
      </w:tr>
    </w:tbl>
    <w:p w14:paraId="22F664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1E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DD4FB8B">
            <w:pPr>
              <w:pStyle w:val="11"/>
            </w:pPr>
            <w:r>
              <w:t>一级指标</w:t>
            </w:r>
          </w:p>
        </w:tc>
        <w:tc>
          <w:tcPr>
            <w:tcW w:w="2268" w:type="dxa"/>
            <w:vAlign w:val="center"/>
          </w:tcPr>
          <w:p w14:paraId="52EE339F">
            <w:pPr>
              <w:pStyle w:val="11"/>
            </w:pPr>
            <w:r>
              <w:t>二级指标</w:t>
            </w:r>
          </w:p>
        </w:tc>
        <w:tc>
          <w:tcPr>
            <w:tcW w:w="2835" w:type="dxa"/>
            <w:vAlign w:val="center"/>
          </w:tcPr>
          <w:p w14:paraId="25A69A00">
            <w:pPr>
              <w:pStyle w:val="11"/>
            </w:pPr>
            <w:r>
              <w:t>三级指标</w:t>
            </w:r>
          </w:p>
        </w:tc>
        <w:tc>
          <w:tcPr>
            <w:tcW w:w="5386" w:type="dxa"/>
            <w:vAlign w:val="center"/>
          </w:tcPr>
          <w:p w14:paraId="2534BF4B">
            <w:pPr>
              <w:pStyle w:val="11"/>
            </w:pPr>
            <w:r>
              <w:t>绩效指标描述</w:t>
            </w:r>
          </w:p>
        </w:tc>
        <w:tc>
          <w:tcPr>
            <w:tcW w:w="2268" w:type="dxa"/>
            <w:vAlign w:val="center"/>
          </w:tcPr>
          <w:p w14:paraId="3ACD24A5">
            <w:pPr>
              <w:pStyle w:val="11"/>
            </w:pPr>
            <w:r>
              <w:t>指标值</w:t>
            </w:r>
          </w:p>
        </w:tc>
        <w:tc>
          <w:tcPr>
            <w:tcW w:w="1276" w:type="dxa"/>
            <w:vAlign w:val="center"/>
          </w:tcPr>
          <w:p w14:paraId="516DDC99">
            <w:pPr>
              <w:pStyle w:val="11"/>
            </w:pPr>
            <w:r>
              <w:t>指标值确定依据</w:t>
            </w:r>
          </w:p>
        </w:tc>
      </w:tr>
      <w:tr w14:paraId="274DD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4BAA8">
            <w:pPr>
              <w:pStyle w:val="12"/>
            </w:pPr>
            <w:r>
              <w:t>产出指标</w:t>
            </w:r>
          </w:p>
        </w:tc>
        <w:tc>
          <w:tcPr>
            <w:tcW w:w="2268" w:type="dxa"/>
            <w:vAlign w:val="center"/>
          </w:tcPr>
          <w:p w14:paraId="35713B69">
            <w:pPr>
              <w:pStyle w:val="13"/>
            </w:pPr>
            <w:r>
              <w:t>数量指标</w:t>
            </w:r>
          </w:p>
        </w:tc>
        <w:tc>
          <w:tcPr>
            <w:tcW w:w="2835" w:type="dxa"/>
            <w:vAlign w:val="center"/>
          </w:tcPr>
          <w:p w14:paraId="4E3C65E8">
            <w:pPr>
              <w:pStyle w:val="13"/>
            </w:pPr>
            <w:r>
              <w:t>实验中学维修改造</w:t>
            </w:r>
          </w:p>
        </w:tc>
        <w:tc>
          <w:tcPr>
            <w:tcW w:w="5386" w:type="dxa"/>
            <w:vAlign w:val="center"/>
          </w:tcPr>
          <w:p w14:paraId="57E44D14">
            <w:pPr>
              <w:pStyle w:val="13"/>
            </w:pPr>
            <w:r>
              <w:t>更换教学楼门窗、院落硬化</w:t>
            </w:r>
          </w:p>
        </w:tc>
        <w:tc>
          <w:tcPr>
            <w:tcW w:w="2268" w:type="dxa"/>
            <w:vAlign w:val="center"/>
          </w:tcPr>
          <w:p w14:paraId="6505F26D">
            <w:pPr>
              <w:pStyle w:val="13"/>
            </w:pPr>
            <w:r>
              <w:t>1项</w:t>
            </w:r>
          </w:p>
        </w:tc>
        <w:tc>
          <w:tcPr>
            <w:tcW w:w="1276" w:type="dxa"/>
            <w:vAlign w:val="center"/>
          </w:tcPr>
          <w:p w14:paraId="3BFEF44D">
            <w:pPr>
              <w:pStyle w:val="13"/>
            </w:pPr>
            <w:r>
              <w:t>项目规划</w:t>
            </w:r>
          </w:p>
        </w:tc>
      </w:tr>
      <w:tr w14:paraId="1D06A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0978C"/>
        </w:tc>
        <w:tc>
          <w:tcPr>
            <w:tcW w:w="2268" w:type="dxa"/>
            <w:vAlign w:val="center"/>
          </w:tcPr>
          <w:p w14:paraId="773EE4D5">
            <w:pPr>
              <w:pStyle w:val="13"/>
            </w:pPr>
            <w:r>
              <w:t>质量指标</w:t>
            </w:r>
          </w:p>
        </w:tc>
        <w:tc>
          <w:tcPr>
            <w:tcW w:w="2835" w:type="dxa"/>
            <w:vAlign w:val="center"/>
          </w:tcPr>
          <w:p w14:paraId="05FF17B4">
            <w:pPr>
              <w:pStyle w:val="13"/>
            </w:pPr>
            <w:r>
              <w:t>工程实施验收合格率</w:t>
            </w:r>
          </w:p>
        </w:tc>
        <w:tc>
          <w:tcPr>
            <w:tcW w:w="5386" w:type="dxa"/>
            <w:vAlign w:val="center"/>
          </w:tcPr>
          <w:p w14:paraId="1E8DD10F">
            <w:pPr>
              <w:pStyle w:val="13"/>
            </w:pPr>
            <w:r>
              <w:t>申报程序的合规，项目实施及资金使用符合项目规划</w:t>
            </w:r>
          </w:p>
        </w:tc>
        <w:tc>
          <w:tcPr>
            <w:tcW w:w="2268" w:type="dxa"/>
            <w:vAlign w:val="center"/>
          </w:tcPr>
          <w:p w14:paraId="6B3617A5">
            <w:pPr>
              <w:pStyle w:val="13"/>
            </w:pPr>
            <w:r>
              <w:t>100%</w:t>
            </w:r>
          </w:p>
        </w:tc>
        <w:tc>
          <w:tcPr>
            <w:tcW w:w="1276" w:type="dxa"/>
            <w:vAlign w:val="center"/>
          </w:tcPr>
          <w:p w14:paraId="168EC63D">
            <w:pPr>
              <w:pStyle w:val="13"/>
            </w:pPr>
            <w:r>
              <w:t>项目规划</w:t>
            </w:r>
          </w:p>
        </w:tc>
      </w:tr>
      <w:tr w14:paraId="44BAA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6ACFF"/>
        </w:tc>
        <w:tc>
          <w:tcPr>
            <w:tcW w:w="2268" w:type="dxa"/>
            <w:vAlign w:val="center"/>
          </w:tcPr>
          <w:p w14:paraId="3FCE261B">
            <w:pPr>
              <w:pStyle w:val="13"/>
            </w:pPr>
            <w:r>
              <w:t>时效指标</w:t>
            </w:r>
          </w:p>
        </w:tc>
        <w:tc>
          <w:tcPr>
            <w:tcW w:w="2835" w:type="dxa"/>
            <w:vAlign w:val="center"/>
          </w:tcPr>
          <w:p w14:paraId="12E5C2F2">
            <w:pPr>
              <w:pStyle w:val="13"/>
            </w:pPr>
            <w:r>
              <w:t>资金支付率</w:t>
            </w:r>
          </w:p>
        </w:tc>
        <w:tc>
          <w:tcPr>
            <w:tcW w:w="5386" w:type="dxa"/>
            <w:vAlign w:val="center"/>
          </w:tcPr>
          <w:p w14:paraId="57092E05">
            <w:pPr>
              <w:pStyle w:val="13"/>
            </w:pPr>
            <w:r>
              <w:t>按照序时进度完成资金支付</w:t>
            </w:r>
          </w:p>
        </w:tc>
        <w:tc>
          <w:tcPr>
            <w:tcW w:w="2268" w:type="dxa"/>
            <w:vAlign w:val="center"/>
          </w:tcPr>
          <w:p w14:paraId="54DB5EF2">
            <w:pPr>
              <w:pStyle w:val="13"/>
            </w:pPr>
            <w:r>
              <w:t>100%</w:t>
            </w:r>
          </w:p>
        </w:tc>
        <w:tc>
          <w:tcPr>
            <w:tcW w:w="1276" w:type="dxa"/>
            <w:vAlign w:val="center"/>
          </w:tcPr>
          <w:p w14:paraId="00F6E60D">
            <w:pPr>
              <w:pStyle w:val="13"/>
            </w:pPr>
            <w:r>
              <w:t>项目规划</w:t>
            </w:r>
          </w:p>
        </w:tc>
      </w:tr>
      <w:tr w14:paraId="68657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F9F1F"/>
        </w:tc>
        <w:tc>
          <w:tcPr>
            <w:tcW w:w="2268" w:type="dxa"/>
            <w:vAlign w:val="center"/>
          </w:tcPr>
          <w:p w14:paraId="09BE5789">
            <w:pPr>
              <w:pStyle w:val="13"/>
            </w:pPr>
            <w:r>
              <w:t>成本指标</w:t>
            </w:r>
          </w:p>
        </w:tc>
        <w:tc>
          <w:tcPr>
            <w:tcW w:w="2835" w:type="dxa"/>
            <w:vAlign w:val="center"/>
          </w:tcPr>
          <w:p w14:paraId="7211C2F3">
            <w:pPr>
              <w:pStyle w:val="13"/>
            </w:pPr>
            <w:r>
              <w:t>项目成本控制情况</w:t>
            </w:r>
          </w:p>
        </w:tc>
        <w:tc>
          <w:tcPr>
            <w:tcW w:w="5386" w:type="dxa"/>
            <w:vAlign w:val="center"/>
          </w:tcPr>
          <w:p w14:paraId="5F4B402E">
            <w:pPr>
              <w:pStyle w:val="13"/>
            </w:pPr>
            <w:r>
              <w:t>严格按照招标价格及审计额进行</w:t>
            </w:r>
          </w:p>
        </w:tc>
        <w:tc>
          <w:tcPr>
            <w:tcW w:w="2268" w:type="dxa"/>
            <w:vAlign w:val="center"/>
          </w:tcPr>
          <w:p w14:paraId="018E8B86">
            <w:pPr>
              <w:pStyle w:val="13"/>
            </w:pPr>
            <w:r>
              <w:t>134万元</w:t>
            </w:r>
          </w:p>
        </w:tc>
        <w:tc>
          <w:tcPr>
            <w:tcW w:w="1276" w:type="dxa"/>
            <w:vAlign w:val="center"/>
          </w:tcPr>
          <w:p w14:paraId="5EC2BF1C">
            <w:pPr>
              <w:pStyle w:val="13"/>
            </w:pPr>
            <w:r>
              <w:t>项目规划</w:t>
            </w:r>
          </w:p>
        </w:tc>
      </w:tr>
      <w:tr w14:paraId="74DA0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3657F6">
            <w:pPr>
              <w:pStyle w:val="12"/>
            </w:pPr>
            <w:r>
              <w:t>效益指标</w:t>
            </w:r>
          </w:p>
        </w:tc>
        <w:tc>
          <w:tcPr>
            <w:tcW w:w="2268" w:type="dxa"/>
            <w:vAlign w:val="center"/>
          </w:tcPr>
          <w:p w14:paraId="00904409">
            <w:pPr>
              <w:pStyle w:val="13"/>
            </w:pPr>
            <w:r>
              <w:t>社会效益指标</w:t>
            </w:r>
          </w:p>
        </w:tc>
        <w:tc>
          <w:tcPr>
            <w:tcW w:w="2835" w:type="dxa"/>
            <w:vAlign w:val="center"/>
          </w:tcPr>
          <w:p w14:paraId="6BECA046">
            <w:pPr>
              <w:pStyle w:val="13"/>
            </w:pPr>
            <w:r>
              <w:t>学校办学环境提升</w:t>
            </w:r>
          </w:p>
        </w:tc>
        <w:tc>
          <w:tcPr>
            <w:tcW w:w="5386" w:type="dxa"/>
            <w:vAlign w:val="center"/>
          </w:tcPr>
          <w:p w14:paraId="13C1E5F4">
            <w:pPr>
              <w:pStyle w:val="13"/>
            </w:pPr>
            <w:r>
              <w:t>学校教学环境提升优化率</w:t>
            </w:r>
          </w:p>
        </w:tc>
        <w:tc>
          <w:tcPr>
            <w:tcW w:w="2268" w:type="dxa"/>
            <w:vAlign w:val="center"/>
          </w:tcPr>
          <w:p w14:paraId="3B24D5FB">
            <w:pPr>
              <w:pStyle w:val="13"/>
            </w:pPr>
            <w:r>
              <w:t>100%</w:t>
            </w:r>
          </w:p>
        </w:tc>
        <w:tc>
          <w:tcPr>
            <w:tcW w:w="1276" w:type="dxa"/>
            <w:vAlign w:val="center"/>
          </w:tcPr>
          <w:p w14:paraId="6EE8CAF9">
            <w:pPr>
              <w:pStyle w:val="13"/>
            </w:pPr>
            <w:r>
              <w:t>项目规划</w:t>
            </w:r>
          </w:p>
        </w:tc>
      </w:tr>
      <w:tr w14:paraId="1DD02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804749">
            <w:pPr>
              <w:pStyle w:val="12"/>
            </w:pPr>
            <w:r>
              <w:t>满意度指标</w:t>
            </w:r>
          </w:p>
        </w:tc>
        <w:tc>
          <w:tcPr>
            <w:tcW w:w="2268" w:type="dxa"/>
            <w:vAlign w:val="center"/>
          </w:tcPr>
          <w:p w14:paraId="5ED78844">
            <w:pPr>
              <w:pStyle w:val="13"/>
            </w:pPr>
            <w:r>
              <w:t>服务对象满意度指标</w:t>
            </w:r>
          </w:p>
        </w:tc>
        <w:tc>
          <w:tcPr>
            <w:tcW w:w="2835" w:type="dxa"/>
            <w:vAlign w:val="center"/>
          </w:tcPr>
          <w:p w14:paraId="07B1B59A">
            <w:pPr>
              <w:pStyle w:val="13"/>
            </w:pPr>
            <w:r>
              <w:t>受益学生家长及调查满意度</w:t>
            </w:r>
          </w:p>
        </w:tc>
        <w:tc>
          <w:tcPr>
            <w:tcW w:w="5386" w:type="dxa"/>
            <w:vAlign w:val="center"/>
          </w:tcPr>
          <w:p w14:paraId="33C5F1C9">
            <w:pPr>
              <w:pStyle w:val="13"/>
            </w:pPr>
            <w:r>
              <w:t>学生、教师及家长对学校教学环境满意度情况</w:t>
            </w:r>
          </w:p>
        </w:tc>
        <w:tc>
          <w:tcPr>
            <w:tcW w:w="2268" w:type="dxa"/>
            <w:vAlign w:val="center"/>
          </w:tcPr>
          <w:p w14:paraId="60663B3D">
            <w:pPr>
              <w:pStyle w:val="13"/>
            </w:pPr>
            <w:r>
              <w:t>≥95%</w:t>
            </w:r>
          </w:p>
        </w:tc>
        <w:tc>
          <w:tcPr>
            <w:tcW w:w="1276" w:type="dxa"/>
            <w:vAlign w:val="center"/>
          </w:tcPr>
          <w:p w14:paraId="6CB36B0B">
            <w:pPr>
              <w:pStyle w:val="13"/>
            </w:pPr>
            <w:r>
              <w:t>项目规划</w:t>
            </w:r>
          </w:p>
        </w:tc>
      </w:tr>
    </w:tbl>
    <w:p w14:paraId="635C68C5">
      <w:pPr>
        <w:sectPr>
          <w:pgSz w:w="16840" w:h="11900" w:orient="landscape"/>
          <w:pgMar w:top="1361" w:right="1020" w:bottom="1134" w:left="1020" w:header="720" w:footer="720" w:gutter="0"/>
          <w:cols w:space="720" w:num="1"/>
        </w:sectPr>
      </w:pPr>
    </w:p>
    <w:p w14:paraId="1F272CC8">
      <w:pPr>
        <w:spacing w:before="0" w:after="0"/>
        <w:ind w:firstLine="560"/>
        <w:jc w:val="left"/>
        <w:outlineLvl w:val="9"/>
      </w:pPr>
      <w:r>
        <w:rPr>
          <w:rFonts w:ascii="方正仿宋_GBK" w:hAnsi="方正仿宋_GBK" w:eastAsia="方正仿宋_GBK" w:cs="方正仿宋_GBK"/>
          <w:b/>
          <w:color w:val="000000"/>
          <w:sz w:val="28"/>
        </w:rPr>
        <w:t>2、冀财教[2023]154号/中央/义教经费/综合奖补/实验中学变压器绩效目标表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24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980FC">
            <w:pPr>
              <w:pStyle w:val="14"/>
            </w:pPr>
            <w:r>
              <w:t>单位：万元</w:t>
            </w:r>
          </w:p>
        </w:tc>
      </w:tr>
      <w:tr w14:paraId="1C19F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6DB2C4">
            <w:pPr>
              <w:pStyle w:val="11"/>
            </w:pPr>
            <w:r>
              <w:t>项目编码</w:t>
            </w:r>
          </w:p>
        </w:tc>
        <w:tc>
          <w:tcPr>
            <w:tcW w:w="5103" w:type="dxa"/>
            <w:gridSpan w:val="2"/>
            <w:vAlign w:val="center"/>
          </w:tcPr>
          <w:p w14:paraId="24CA98C2">
            <w:pPr>
              <w:pStyle w:val="13"/>
            </w:pPr>
            <w:r>
              <w:t>13052524P00000611214W</w:t>
            </w:r>
          </w:p>
        </w:tc>
        <w:tc>
          <w:tcPr>
            <w:tcW w:w="2835" w:type="dxa"/>
            <w:vAlign w:val="center"/>
          </w:tcPr>
          <w:p w14:paraId="24184853">
            <w:pPr>
              <w:pStyle w:val="11"/>
            </w:pPr>
            <w:r>
              <w:t>项目名称</w:t>
            </w:r>
          </w:p>
        </w:tc>
        <w:tc>
          <w:tcPr>
            <w:tcW w:w="6095" w:type="dxa"/>
            <w:gridSpan w:val="3"/>
            <w:vAlign w:val="center"/>
          </w:tcPr>
          <w:p w14:paraId="036E7EB4">
            <w:pPr>
              <w:pStyle w:val="13"/>
            </w:pPr>
            <w:r>
              <w:t>冀财教[2023]154号/中央/义教经费/综合奖补/实验中学变压器</w:t>
            </w:r>
          </w:p>
        </w:tc>
      </w:tr>
      <w:tr w14:paraId="13028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138C7">
            <w:pPr>
              <w:pStyle w:val="11"/>
            </w:pPr>
            <w:r>
              <w:t>预算规模及资金用途</w:t>
            </w:r>
          </w:p>
        </w:tc>
        <w:tc>
          <w:tcPr>
            <w:tcW w:w="2268" w:type="dxa"/>
            <w:vAlign w:val="center"/>
          </w:tcPr>
          <w:p w14:paraId="7AE24466">
            <w:pPr>
              <w:pStyle w:val="11"/>
            </w:pPr>
            <w:r>
              <w:t>预算数</w:t>
            </w:r>
          </w:p>
        </w:tc>
        <w:tc>
          <w:tcPr>
            <w:tcW w:w="2835" w:type="dxa"/>
            <w:vAlign w:val="center"/>
          </w:tcPr>
          <w:p w14:paraId="75F5AF21">
            <w:pPr>
              <w:pStyle w:val="13"/>
            </w:pPr>
            <w:r>
              <w:t>27.88</w:t>
            </w:r>
          </w:p>
        </w:tc>
        <w:tc>
          <w:tcPr>
            <w:tcW w:w="2835" w:type="dxa"/>
            <w:vAlign w:val="center"/>
          </w:tcPr>
          <w:p w14:paraId="75BA61E8">
            <w:pPr>
              <w:pStyle w:val="11"/>
            </w:pPr>
            <w:r>
              <w:t>其中：财政    资金</w:t>
            </w:r>
          </w:p>
        </w:tc>
        <w:tc>
          <w:tcPr>
            <w:tcW w:w="2551" w:type="dxa"/>
            <w:vAlign w:val="center"/>
          </w:tcPr>
          <w:p w14:paraId="10B44C5D">
            <w:pPr>
              <w:pStyle w:val="13"/>
            </w:pPr>
            <w:r>
              <w:t>27.88</w:t>
            </w:r>
          </w:p>
        </w:tc>
        <w:tc>
          <w:tcPr>
            <w:tcW w:w="2268" w:type="dxa"/>
            <w:vAlign w:val="center"/>
          </w:tcPr>
          <w:p w14:paraId="46E6F81D">
            <w:pPr>
              <w:pStyle w:val="11"/>
            </w:pPr>
            <w:r>
              <w:t>其他资金</w:t>
            </w:r>
          </w:p>
        </w:tc>
        <w:tc>
          <w:tcPr>
            <w:tcW w:w="1276" w:type="dxa"/>
            <w:vAlign w:val="center"/>
          </w:tcPr>
          <w:p w14:paraId="03B434E2">
            <w:pPr>
              <w:pStyle w:val="13"/>
            </w:pPr>
            <w:r>
              <w:t xml:space="preserve"> </w:t>
            </w:r>
          </w:p>
        </w:tc>
      </w:tr>
      <w:tr w14:paraId="0DBBB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383F6"/>
        </w:tc>
        <w:tc>
          <w:tcPr>
            <w:tcW w:w="14033" w:type="dxa"/>
            <w:gridSpan w:val="6"/>
            <w:vAlign w:val="center"/>
          </w:tcPr>
          <w:p w14:paraId="59F15873">
            <w:pPr>
              <w:pStyle w:val="13"/>
            </w:pPr>
            <w:r>
              <w:t>保障学校用电，提升教学整体质量，从而进一步提高教学水平</w:t>
            </w:r>
          </w:p>
        </w:tc>
      </w:tr>
      <w:tr w14:paraId="586C3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CA596">
            <w:pPr>
              <w:pStyle w:val="11"/>
            </w:pPr>
            <w:r>
              <w:t>资金支出计划（%）</w:t>
            </w:r>
          </w:p>
        </w:tc>
        <w:tc>
          <w:tcPr>
            <w:tcW w:w="5103" w:type="dxa"/>
            <w:gridSpan w:val="2"/>
            <w:vAlign w:val="center"/>
          </w:tcPr>
          <w:p w14:paraId="11146506">
            <w:pPr>
              <w:pStyle w:val="11"/>
            </w:pPr>
            <w:r>
              <w:t>3月底</w:t>
            </w:r>
          </w:p>
        </w:tc>
        <w:tc>
          <w:tcPr>
            <w:tcW w:w="2835" w:type="dxa"/>
            <w:vAlign w:val="center"/>
          </w:tcPr>
          <w:p w14:paraId="7592FAB6">
            <w:pPr>
              <w:pStyle w:val="11"/>
            </w:pPr>
            <w:r>
              <w:t>6月底</w:t>
            </w:r>
          </w:p>
        </w:tc>
        <w:tc>
          <w:tcPr>
            <w:tcW w:w="2551" w:type="dxa"/>
            <w:vAlign w:val="center"/>
          </w:tcPr>
          <w:p w14:paraId="4058AE0F">
            <w:pPr>
              <w:pStyle w:val="11"/>
            </w:pPr>
            <w:r>
              <w:t>10月底</w:t>
            </w:r>
          </w:p>
        </w:tc>
        <w:tc>
          <w:tcPr>
            <w:tcW w:w="3544" w:type="dxa"/>
            <w:gridSpan w:val="2"/>
            <w:vAlign w:val="center"/>
          </w:tcPr>
          <w:p w14:paraId="64DB3AB6">
            <w:pPr>
              <w:pStyle w:val="11"/>
            </w:pPr>
            <w:r>
              <w:t>12月底</w:t>
            </w:r>
          </w:p>
        </w:tc>
      </w:tr>
      <w:tr w14:paraId="24E30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F47AE"/>
        </w:tc>
        <w:tc>
          <w:tcPr>
            <w:tcW w:w="5103" w:type="dxa"/>
            <w:gridSpan w:val="2"/>
            <w:vAlign w:val="center"/>
          </w:tcPr>
          <w:p w14:paraId="4188972F">
            <w:pPr>
              <w:pStyle w:val="12"/>
            </w:pPr>
            <w:r>
              <w:t xml:space="preserve"> </w:t>
            </w:r>
          </w:p>
        </w:tc>
        <w:tc>
          <w:tcPr>
            <w:tcW w:w="2835" w:type="dxa"/>
            <w:vAlign w:val="center"/>
          </w:tcPr>
          <w:p w14:paraId="45FA92DB">
            <w:pPr>
              <w:pStyle w:val="12"/>
            </w:pPr>
            <w:r>
              <w:t>100%</w:t>
            </w:r>
          </w:p>
        </w:tc>
        <w:tc>
          <w:tcPr>
            <w:tcW w:w="2551" w:type="dxa"/>
            <w:vAlign w:val="center"/>
          </w:tcPr>
          <w:p w14:paraId="0B531056">
            <w:pPr>
              <w:pStyle w:val="12"/>
            </w:pPr>
            <w:r>
              <w:t>100%</w:t>
            </w:r>
          </w:p>
        </w:tc>
        <w:tc>
          <w:tcPr>
            <w:tcW w:w="3544" w:type="dxa"/>
            <w:gridSpan w:val="2"/>
            <w:vAlign w:val="center"/>
          </w:tcPr>
          <w:p w14:paraId="7776676D">
            <w:pPr>
              <w:pStyle w:val="12"/>
            </w:pPr>
            <w:r>
              <w:t>100%</w:t>
            </w:r>
          </w:p>
        </w:tc>
      </w:tr>
      <w:tr w14:paraId="4F0F2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5CE056">
            <w:pPr>
              <w:pStyle w:val="11"/>
            </w:pPr>
            <w:r>
              <w:t>绩效目标</w:t>
            </w:r>
          </w:p>
        </w:tc>
        <w:tc>
          <w:tcPr>
            <w:tcW w:w="14033" w:type="dxa"/>
            <w:gridSpan w:val="6"/>
            <w:vAlign w:val="center"/>
          </w:tcPr>
          <w:p w14:paraId="0FB195B0">
            <w:pPr>
              <w:pStyle w:val="13"/>
            </w:pPr>
            <w:r>
              <w:t>1.提高教学条件，提升教学水平，进一步提高学校环境及条件。</w:t>
            </w:r>
          </w:p>
        </w:tc>
      </w:tr>
    </w:tbl>
    <w:p w14:paraId="3F33A4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85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3E019">
            <w:pPr>
              <w:pStyle w:val="11"/>
            </w:pPr>
            <w:r>
              <w:t>一级指标</w:t>
            </w:r>
          </w:p>
        </w:tc>
        <w:tc>
          <w:tcPr>
            <w:tcW w:w="2268" w:type="dxa"/>
            <w:vAlign w:val="center"/>
          </w:tcPr>
          <w:p w14:paraId="0045E000">
            <w:pPr>
              <w:pStyle w:val="11"/>
            </w:pPr>
            <w:r>
              <w:t>二级指标</w:t>
            </w:r>
          </w:p>
        </w:tc>
        <w:tc>
          <w:tcPr>
            <w:tcW w:w="2835" w:type="dxa"/>
            <w:vAlign w:val="center"/>
          </w:tcPr>
          <w:p w14:paraId="66A5161B">
            <w:pPr>
              <w:pStyle w:val="11"/>
            </w:pPr>
            <w:r>
              <w:t>三级指标</w:t>
            </w:r>
          </w:p>
        </w:tc>
        <w:tc>
          <w:tcPr>
            <w:tcW w:w="5386" w:type="dxa"/>
            <w:vAlign w:val="center"/>
          </w:tcPr>
          <w:p w14:paraId="65F89711">
            <w:pPr>
              <w:pStyle w:val="11"/>
            </w:pPr>
            <w:r>
              <w:t>绩效指标描述</w:t>
            </w:r>
          </w:p>
        </w:tc>
        <w:tc>
          <w:tcPr>
            <w:tcW w:w="2268" w:type="dxa"/>
            <w:vAlign w:val="center"/>
          </w:tcPr>
          <w:p w14:paraId="663864EB">
            <w:pPr>
              <w:pStyle w:val="11"/>
            </w:pPr>
            <w:r>
              <w:t>指标值</w:t>
            </w:r>
          </w:p>
        </w:tc>
        <w:tc>
          <w:tcPr>
            <w:tcW w:w="1276" w:type="dxa"/>
            <w:vAlign w:val="center"/>
          </w:tcPr>
          <w:p w14:paraId="14A7303A">
            <w:pPr>
              <w:pStyle w:val="11"/>
            </w:pPr>
            <w:r>
              <w:t>指标值确定依据</w:t>
            </w:r>
          </w:p>
        </w:tc>
      </w:tr>
      <w:tr w14:paraId="5C569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B4DF8">
            <w:pPr>
              <w:pStyle w:val="12"/>
            </w:pPr>
            <w:r>
              <w:t>产出指标</w:t>
            </w:r>
          </w:p>
        </w:tc>
        <w:tc>
          <w:tcPr>
            <w:tcW w:w="2268" w:type="dxa"/>
            <w:vAlign w:val="center"/>
          </w:tcPr>
          <w:p w14:paraId="024AA6B2">
            <w:pPr>
              <w:pStyle w:val="13"/>
            </w:pPr>
            <w:r>
              <w:t>数量指标</w:t>
            </w:r>
          </w:p>
        </w:tc>
        <w:tc>
          <w:tcPr>
            <w:tcW w:w="2835" w:type="dxa"/>
            <w:vAlign w:val="center"/>
          </w:tcPr>
          <w:p w14:paraId="1F3537C4">
            <w:pPr>
              <w:pStyle w:val="13"/>
            </w:pPr>
            <w:r>
              <w:t>专用设备购置</w:t>
            </w:r>
          </w:p>
        </w:tc>
        <w:tc>
          <w:tcPr>
            <w:tcW w:w="5386" w:type="dxa"/>
            <w:vAlign w:val="center"/>
          </w:tcPr>
          <w:p w14:paraId="51B7E9B9">
            <w:pPr>
              <w:pStyle w:val="13"/>
            </w:pPr>
            <w:r>
              <w:t>学校购置变压器</w:t>
            </w:r>
          </w:p>
        </w:tc>
        <w:tc>
          <w:tcPr>
            <w:tcW w:w="2268" w:type="dxa"/>
            <w:vAlign w:val="center"/>
          </w:tcPr>
          <w:p w14:paraId="6D077B7C">
            <w:pPr>
              <w:pStyle w:val="13"/>
            </w:pPr>
            <w:r>
              <w:t>1项</w:t>
            </w:r>
          </w:p>
        </w:tc>
        <w:tc>
          <w:tcPr>
            <w:tcW w:w="1276" w:type="dxa"/>
            <w:vAlign w:val="center"/>
          </w:tcPr>
          <w:p w14:paraId="5BC54210">
            <w:pPr>
              <w:pStyle w:val="13"/>
            </w:pPr>
            <w:r>
              <w:t>项目规划</w:t>
            </w:r>
          </w:p>
        </w:tc>
      </w:tr>
      <w:tr w14:paraId="331B4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41736"/>
        </w:tc>
        <w:tc>
          <w:tcPr>
            <w:tcW w:w="2268" w:type="dxa"/>
            <w:vAlign w:val="center"/>
          </w:tcPr>
          <w:p w14:paraId="4296A31F">
            <w:pPr>
              <w:pStyle w:val="13"/>
            </w:pPr>
            <w:r>
              <w:t>质量指标</w:t>
            </w:r>
          </w:p>
        </w:tc>
        <w:tc>
          <w:tcPr>
            <w:tcW w:w="2835" w:type="dxa"/>
            <w:vAlign w:val="center"/>
          </w:tcPr>
          <w:p w14:paraId="2F38F43B">
            <w:pPr>
              <w:pStyle w:val="13"/>
            </w:pPr>
            <w:r>
              <w:t>购置设备收合格完成率</w:t>
            </w:r>
          </w:p>
        </w:tc>
        <w:tc>
          <w:tcPr>
            <w:tcW w:w="5386" w:type="dxa"/>
            <w:vAlign w:val="center"/>
          </w:tcPr>
          <w:p w14:paraId="723C05B5">
            <w:pPr>
              <w:pStyle w:val="13"/>
            </w:pPr>
            <w:r>
              <w:t>学校购置设备数量与计划购置数量之比</w:t>
            </w:r>
          </w:p>
        </w:tc>
        <w:tc>
          <w:tcPr>
            <w:tcW w:w="2268" w:type="dxa"/>
            <w:vAlign w:val="center"/>
          </w:tcPr>
          <w:p w14:paraId="36ABAD04">
            <w:pPr>
              <w:pStyle w:val="13"/>
            </w:pPr>
            <w:r>
              <w:t>≥100%</w:t>
            </w:r>
          </w:p>
        </w:tc>
        <w:tc>
          <w:tcPr>
            <w:tcW w:w="1276" w:type="dxa"/>
            <w:vAlign w:val="center"/>
          </w:tcPr>
          <w:p w14:paraId="2CB8F27D">
            <w:pPr>
              <w:pStyle w:val="13"/>
            </w:pPr>
            <w:r>
              <w:t>项目规划</w:t>
            </w:r>
          </w:p>
        </w:tc>
      </w:tr>
      <w:tr w14:paraId="24ADE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6443"/>
        </w:tc>
        <w:tc>
          <w:tcPr>
            <w:tcW w:w="2268" w:type="dxa"/>
            <w:vAlign w:val="center"/>
          </w:tcPr>
          <w:p w14:paraId="1E379EA8">
            <w:pPr>
              <w:pStyle w:val="13"/>
            </w:pPr>
            <w:r>
              <w:t>时效指标</w:t>
            </w:r>
          </w:p>
        </w:tc>
        <w:tc>
          <w:tcPr>
            <w:tcW w:w="2835" w:type="dxa"/>
            <w:vAlign w:val="center"/>
          </w:tcPr>
          <w:p w14:paraId="5596D8E4">
            <w:pPr>
              <w:pStyle w:val="13"/>
            </w:pPr>
            <w:r>
              <w:t>购置设备完成率</w:t>
            </w:r>
          </w:p>
        </w:tc>
        <w:tc>
          <w:tcPr>
            <w:tcW w:w="5386" w:type="dxa"/>
            <w:vAlign w:val="center"/>
          </w:tcPr>
          <w:p w14:paraId="5DD67979">
            <w:pPr>
              <w:pStyle w:val="13"/>
            </w:pPr>
            <w:r>
              <w:t>学校购置设备完成情况</w:t>
            </w:r>
          </w:p>
        </w:tc>
        <w:tc>
          <w:tcPr>
            <w:tcW w:w="2268" w:type="dxa"/>
            <w:vAlign w:val="center"/>
          </w:tcPr>
          <w:p w14:paraId="5615FA7D">
            <w:pPr>
              <w:pStyle w:val="13"/>
            </w:pPr>
            <w:r>
              <w:t>≥100%</w:t>
            </w:r>
          </w:p>
        </w:tc>
        <w:tc>
          <w:tcPr>
            <w:tcW w:w="1276" w:type="dxa"/>
            <w:vAlign w:val="center"/>
          </w:tcPr>
          <w:p w14:paraId="5509D3AF">
            <w:pPr>
              <w:pStyle w:val="13"/>
            </w:pPr>
            <w:r>
              <w:t>项目规划</w:t>
            </w:r>
          </w:p>
        </w:tc>
      </w:tr>
      <w:tr w14:paraId="2DF50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AC8E9"/>
        </w:tc>
        <w:tc>
          <w:tcPr>
            <w:tcW w:w="2268" w:type="dxa"/>
            <w:vAlign w:val="center"/>
          </w:tcPr>
          <w:p w14:paraId="19C4B8AF">
            <w:pPr>
              <w:pStyle w:val="13"/>
            </w:pPr>
            <w:r>
              <w:t>成本指标</w:t>
            </w:r>
          </w:p>
        </w:tc>
        <w:tc>
          <w:tcPr>
            <w:tcW w:w="2835" w:type="dxa"/>
            <w:vAlign w:val="center"/>
          </w:tcPr>
          <w:p w14:paraId="3CE0855B">
            <w:pPr>
              <w:pStyle w:val="13"/>
            </w:pPr>
            <w:r>
              <w:t>购置设备成本</w:t>
            </w:r>
          </w:p>
        </w:tc>
        <w:tc>
          <w:tcPr>
            <w:tcW w:w="5386" w:type="dxa"/>
            <w:vAlign w:val="center"/>
          </w:tcPr>
          <w:p w14:paraId="27050FD7">
            <w:pPr>
              <w:pStyle w:val="13"/>
            </w:pPr>
            <w:r>
              <w:t>用于学校购置设备的资金投入</w:t>
            </w:r>
          </w:p>
        </w:tc>
        <w:tc>
          <w:tcPr>
            <w:tcW w:w="2268" w:type="dxa"/>
            <w:vAlign w:val="center"/>
          </w:tcPr>
          <w:p w14:paraId="03261F33">
            <w:pPr>
              <w:pStyle w:val="13"/>
            </w:pPr>
            <w:r>
              <w:t>278800元</w:t>
            </w:r>
          </w:p>
        </w:tc>
        <w:tc>
          <w:tcPr>
            <w:tcW w:w="1276" w:type="dxa"/>
            <w:vAlign w:val="center"/>
          </w:tcPr>
          <w:p w14:paraId="1F8F024B">
            <w:pPr>
              <w:pStyle w:val="13"/>
            </w:pPr>
            <w:r>
              <w:t>项目规划</w:t>
            </w:r>
          </w:p>
        </w:tc>
      </w:tr>
      <w:tr w14:paraId="71F0D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7E0B83">
            <w:pPr>
              <w:pStyle w:val="12"/>
            </w:pPr>
            <w:r>
              <w:t>效益指标</w:t>
            </w:r>
          </w:p>
        </w:tc>
        <w:tc>
          <w:tcPr>
            <w:tcW w:w="2268" w:type="dxa"/>
            <w:vAlign w:val="center"/>
          </w:tcPr>
          <w:p w14:paraId="45D0BBA0">
            <w:pPr>
              <w:pStyle w:val="13"/>
            </w:pPr>
            <w:r>
              <w:t>社会效益指标</w:t>
            </w:r>
          </w:p>
        </w:tc>
        <w:tc>
          <w:tcPr>
            <w:tcW w:w="2835" w:type="dxa"/>
            <w:vAlign w:val="center"/>
          </w:tcPr>
          <w:p w14:paraId="629C46F6">
            <w:pPr>
              <w:pStyle w:val="13"/>
            </w:pPr>
            <w:r>
              <w:t>提升办学条件</w:t>
            </w:r>
          </w:p>
        </w:tc>
        <w:tc>
          <w:tcPr>
            <w:tcW w:w="5386" w:type="dxa"/>
            <w:vAlign w:val="center"/>
          </w:tcPr>
          <w:p w14:paraId="21C549A0">
            <w:pPr>
              <w:pStyle w:val="13"/>
            </w:pPr>
            <w:r>
              <w:t>有效提高教学条件及教学环境提升</w:t>
            </w:r>
          </w:p>
        </w:tc>
        <w:tc>
          <w:tcPr>
            <w:tcW w:w="2268" w:type="dxa"/>
            <w:vAlign w:val="center"/>
          </w:tcPr>
          <w:p w14:paraId="5101B8EC">
            <w:pPr>
              <w:pStyle w:val="13"/>
            </w:pPr>
            <w:r>
              <w:t>100%</w:t>
            </w:r>
          </w:p>
        </w:tc>
        <w:tc>
          <w:tcPr>
            <w:tcW w:w="1276" w:type="dxa"/>
            <w:vAlign w:val="center"/>
          </w:tcPr>
          <w:p w14:paraId="0C540F8F">
            <w:pPr>
              <w:pStyle w:val="13"/>
            </w:pPr>
            <w:r>
              <w:t>项目规划</w:t>
            </w:r>
          </w:p>
        </w:tc>
      </w:tr>
      <w:tr w14:paraId="6CB09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173639">
            <w:pPr>
              <w:pStyle w:val="12"/>
            </w:pPr>
            <w:r>
              <w:t>满意度指标</w:t>
            </w:r>
          </w:p>
        </w:tc>
        <w:tc>
          <w:tcPr>
            <w:tcW w:w="2268" w:type="dxa"/>
            <w:vAlign w:val="center"/>
          </w:tcPr>
          <w:p w14:paraId="2D5ACA8C">
            <w:pPr>
              <w:pStyle w:val="13"/>
            </w:pPr>
            <w:r>
              <w:t>服务对象满意度指标</w:t>
            </w:r>
          </w:p>
        </w:tc>
        <w:tc>
          <w:tcPr>
            <w:tcW w:w="2835" w:type="dxa"/>
            <w:vAlign w:val="center"/>
          </w:tcPr>
          <w:p w14:paraId="715B8253">
            <w:pPr>
              <w:pStyle w:val="13"/>
            </w:pPr>
            <w:r>
              <w:t>学生满意度</w:t>
            </w:r>
          </w:p>
        </w:tc>
        <w:tc>
          <w:tcPr>
            <w:tcW w:w="5386" w:type="dxa"/>
            <w:vAlign w:val="center"/>
          </w:tcPr>
          <w:p w14:paraId="002152DE">
            <w:pPr>
              <w:pStyle w:val="13"/>
            </w:pPr>
            <w:r>
              <w:t>学生对实施项目的满意度</w:t>
            </w:r>
          </w:p>
        </w:tc>
        <w:tc>
          <w:tcPr>
            <w:tcW w:w="2268" w:type="dxa"/>
            <w:vAlign w:val="center"/>
          </w:tcPr>
          <w:p w14:paraId="68513289">
            <w:pPr>
              <w:pStyle w:val="13"/>
            </w:pPr>
            <w:r>
              <w:t>≥95%</w:t>
            </w:r>
          </w:p>
        </w:tc>
        <w:tc>
          <w:tcPr>
            <w:tcW w:w="1276" w:type="dxa"/>
            <w:vAlign w:val="center"/>
          </w:tcPr>
          <w:p w14:paraId="489FEDF5">
            <w:pPr>
              <w:pStyle w:val="13"/>
            </w:pPr>
            <w:r>
              <w:t>项目规划</w:t>
            </w:r>
          </w:p>
        </w:tc>
      </w:tr>
    </w:tbl>
    <w:p w14:paraId="155B1C34">
      <w:pPr>
        <w:sectPr>
          <w:pgSz w:w="16840" w:h="11900" w:orient="landscape"/>
          <w:pgMar w:top="1361" w:right="1020" w:bottom="1134" w:left="1020" w:header="720" w:footer="720" w:gutter="0"/>
          <w:cols w:space="720" w:num="1"/>
        </w:sectPr>
      </w:pPr>
    </w:p>
    <w:p w14:paraId="22F62FD2">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3、冀财教[2024]123号/中央/2025年义教补助经费/实验中学公用经费绩效目标表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7C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2E361">
            <w:pPr>
              <w:pStyle w:val="14"/>
            </w:pPr>
            <w:r>
              <w:t>单位：万元</w:t>
            </w:r>
          </w:p>
        </w:tc>
      </w:tr>
      <w:tr w14:paraId="08200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7C3D81">
            <w:pPr>
              <w:pStyle w:val="11"/>
            </w:pPr>
            <w:r>
              <w:t>项目编码</w:t>
            </w:r>
          </w:p>
        </w:tc>
        <w:tc>
          <w:tcPr>
            <w:tcW w:w="5103" w:type="dxa"/>
            <w:gridSpan w:val="2"/>
            <w:vAlign w:val="center"/>
          </w:tcPr>
          <w:p w14:paraId="4A8AD45C">
            <w:pPr>
              <w:pStyle w:val="13"/>
            </w:pPr>
            <w:r>
              <w:t>13052525P00000410048C</w:t>
            </w:r>
          </w:p>
        </w:tc>
        <w:tc>
          <w:tcPr>
            <w:tcW w:w="2835" w:type="dxa"/>
            <w:vAlign w:val="center"/>
          </w:tcPr>
          <w:p w14:paraId="0A50942D">
            <w:pPr>
              <w:pStyle w:val="11"/>
            </w:pPr>
            <w:r>
              <w:t>项目名称</w:t>
            </w:r>
          </w:p>
        </w:tc>
        <w:tc>
          <w:tcPr>
            <w:tcW w:w="6095" w:type="dxa"/>
            <w:gridSpan w:val="3"/>
            <w:vAlign w:val="center"/>
          </w:tcPr>
          <w:p w14:paraId="64E6F6F9">
            <w:pPr>
              <w:pStyle w:val="13"/>
            </w:pPr>
            <w:r>
              <w:t>冀财教[2024]123号/中央/2025年义教补助经费/实验中学公用经费</w:t>
            </w:r>
          </w:p>
        </w:tc>
      </w:tr>
      <w:tr w14:paraId="3B736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414D7">
            <w:pPr>
              <w:pStyle w:val="11"/>
            </w:pPr>
            <w:r>
              <w:t>预算规模及资金用途</w:t>
            </w:r>
          </w:p>
        </w:tc>
        <w:tc>
          <w:tcPr>
            <w:tcW w:w="2268" w:type="dxa"/>
            <w:vAlign w:val="center"/>
          </w:tcPr>
          <w:p w14:paraId="125A8FBF">
            <w:pPr>
              <w:pStyle w:val="11"/>
            </w:pPr>
            <w:r>
              <w:t>预算数</w:t>
            </w:r>
          </w:p>
        </w:tc>
        <w:tc>
          <w:tcPr>
            <w:tcW w:w="2835" w:type="dxa"/>
            <w:vAlign w:val="center"/>
          </w:tcPr>
          <w:p w14:paraId="5A90E42E">
            <w:pPr>
              <w:pStyle w:val="13"/>
            </w:pPr>
            <w:r>
              <w:t>424.13</w:t>
            </w:r>
          </w:p>
        </w:tc>
        <w:tc>
          <w:tcPr>
            <w:tcW w:w="2835" w:type="dxa"/>
            <w:vAlign w:val="center"/>
          </w:tcPr>
          <w:p w14:paraId="39712FA9">
            <w:pPr>
              <w:pStyle w:val="11"/>
            </w:pPr>
            <w:r>
              <w:t>其中：财政    资金</w:t>
            </w:r>
          </w:p>
        </w:tc>
        <w:tc>
          <w:tcPr>
            <w:tcW w:w="2551" w:type="dxa"/>
            <w:vAlign w:val="center"/>
          </w:tcPr>
          <w:p w14:paraId="1A63DD07">
            <w:pPr>
              <w:pStyle w:val="13"/>
            </w:pPr>
            <w:r>
              <w:t>424.13</w:t>
            </w:r>
          </w:p>
        </w:tc>
        <w:tc>
          <w:tcPr>
            <w:tcW w:w="2268" w:type="dxa"/>
            <w:vAlign w:val="center"/>
          </w:tcPr>
          <w:p w14:paraId="4342661D">
            <w:pPr>
              <w:pStyle w:val="11"/>
            </w:pPr>
            <w:r>
              <w:t>其他资金</w:t>
            </w:r>
          </w:p>
        </w:tc>
        <w:tc>
          <w:tcPr>
            <w:tcW w:w="1276" w:type="dxa"/>
            <w:vAlign w:val="center"/>
          </w:tcPr>
          <w:p w14:paraId="4BB919DC">
            <w:pPr>
              <w:pStyle w:val="13"/>
            </w:pPr>
            <w:r>
              <w:t xml:space="preserve"> </w:t>
            </w:r>
          </w:p>
        </w:tc>
      </w:tr>
      <w:tr w14:paraId="6CFEE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EC2B4"/>
        </w:tc>
        <w:tc>
          <w:tcPr>
            <w:tcW w:w="14033" w:type="dxa"/>
            <w:gridSpan w:val="6"/>
            <w:vAlign w:val="center"/>
          </w:tcPr>
          <w:p w14:paraId="5D85777B">
            <w:pPr>
              <w:pStyle w:val="13"/>
            </w:pPr>
            <w:r>
              <w:t>用于有效完成学校教学安全秩序，保障学校教学任务有效开展，满足学校正常教学需要。</w:t>
            </w:r>
          </w:p>
        </w:tc>
      </w:tr>
      <w:tr w14:paraId="42EE7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25245">
            <w:pPr>
              <w:pStyle w:val="11"/>
            </w:pPr>
            <w:r>
              <w:t>资金支出计划（%）</w:t>
            </w:r>
          </w:p>
        </w:tc>
        <w:tc>
          <w:tcPr>
            <w:tcW w:w="5103" w:type="dxa"/>
            <w:gridSpan w:val="2"/>
            <w:vAlign w:val="center"/>
          </w:tcPr>
          <w:p w14:paraId="3DB636B0">
            <w:pPr>
              <w:pStyle w:val="11"/>
            </w:pPr>
            <w:r>
              <w:t>3月底</w:t>
            </w:r>
          </w:p>
        </w:tc>
        <w:tc>
          <w:tcPr>
            <w:tcW w:w="2835" w:type="dxa"/>
            <w:vAlign w:val="center"/>
          </w:tcPr>
          <w:p w14:paraId="45A8EC82">
            <w:pPr>
              <w:pStyle w:val="11"/>
            </w:pPr>
            <w:r>
              <w:t>6月底</w:t>
            </w:r>
          </w:p>
        </w:tc>
        <w:tc>
          <w:tcPr>
            <w:tcW w:w="2551" w:type="dxa"/>
            <w:vAlign w:val="center"/>
          </w:tcPr>
          <w:p w14:paraId="09031BEE">
            <w:pPr>
              <w:pStyle w:val="11"/>
            </w:pPr>
            <w:r>
              <w:t>10月底</w:t>
            </w:r>
          </w:p>
        </w:tc>
        <w:tc>
          <w:tcPr>
            <w:tcW w:w="3544" w:type="dxa"/>
            <w:gridSpan w:val="2"/>
            <w:vAlign w:val="center"/>
          </w:tcPr>
          <w:p w14:paraId="42DDEC70">
            <w:pPr>
              <w:pStyle w:val="11"/>
            </w:pPr>
            <w:r>
              <w:t>12月底</w:t>
            </w:r>
          </w:p>
        </w:tc>
      </w:tr>
      <w:tr w14:paraId="148E3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F059FB"/>
        </w:tc>
        <w:tc>
          <w:tcPr>
            <w:tcW w:w="5103" w:type="dxa"/>
            <w:gridSpan w:val="2"/>
            <w:vAlign w:val="center"/>
          </w:tcPr>
          <w:p w14:paraId="0CB29FCF">
            <w:pPr>
              <w:pStyle w:val="12"/>
            </w:pPr>
            <w:r>
              <w:t>25%</w:t>
            </w:r>
          </w:p>
        </w:tc>
        <w:tc>
          <w:tcPr>
            <w:tcW w:w="2835" w:type="dxa"/>
            <w:vAlign w:val="center"/>
          </w:tcPr>
          <w:p w14:paraId="73763A5C">
            <w:pPr>
              <w:pStyle w:val="12"/>
            </w:pPr>
            <w:r>
              <w:t>50%</w:t>
            </w:r>
          </w:p>
        </w:tc>
        <w:tc>
          <w:tcPr>
            <w:tcW w:w="2551" w:type="dxa"/>
            <w:vAlign w:val="center"/>
          </w:tcPr>
          <w:p w14:paraId="77E7FE04">
            <w:pPr>
              <w:pStyle w:val="12"/>
            </w:pPr>
            <w:r>
              <w:t>75%</w:t>
            </w:r>
          </w:p>
        </w:tc>
        <w:tc>
          <w:tcPr>
            <w:tcW w:w="3544" w:type="dxa"/>
            <w:gridSpan w:val="2"/>
            <w:vAlign w:val="center"/>
          </w:tcPr>
          <w:p w14:paraId="3ADD6A0A">
            <w:pPr>
              <w:pStyle w:val="12"/>
            </w:pPr>
            <w:r>
              <w:t>100%</w:t>
            </w:r>
          </w:p>
        </w:tc>
      </w:tr>
      <w:tr w14:paraId="1D37F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803072">
            <w:pPr>
              <w:pStyle w:val="11"/>
            </w:pPr>
            <w:r>
              <w:t>绩效目标</w:t>
            </w:r>
          </w:p>
        </w:tc>
        <w:tc>
          <w:tcPr>
            <w:tcW w:w="14033" w:type="dxa"/>
            <w:gridSpan w:val="6"/>
            <w:vAlign w:val="center"/>
          </w:tcPr>
          <w:p w14:paraId="7A23F32F">
            <w:pPr>
              <w:pStyle w:val="13"/>
            </w:pPr>
            <w:r>
              <w:t>1.按规定拨付公用经费资金，预算执行率≥98%。</w:t>
            </w:r>
          </w:p>
          <w:p w14:paraId="6FA68142">
            <w:pPr>
              <w:pStyle w:val="13"/>
            </w:pPr>
            <w:r>
              <w:t>2.有效完成学校教学安全秩序，保障学校教学任务有效开展，满足学校正常教学需要。</w:t>
            </w:r>
          </w:p>
        </w:tc>
      </w:tr>
    </w:tbl>
    <w:p w14:paraId="7F925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77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6296C">
            <w:pPr>
              <w:pStyle w:val="11"/>
            </w:pPr>
            <w:r>
              <w:t>一级指标</w:t>
            </w:r>
          </w:p>
        </w:tc>
        <w:tc>
          <w:tcPr>
            <w:tcW w:w="2268" w:type="dxa"/>
            <w:vAlign w:val="center"/>
          </w:tcPr>
          <w:p w14:paraId="3122665A">
            <w:pPr>
              <w:pStyle w:val="11"/>
            </w:pPr>
            <w:r>
              <w:t>二级指标</w:t>
            </w:r>
          </w:p>
        </w:tc>
        <w:tc>
          <w:tcPr>
            <w:tcW w:w="2835" w:type="dxa"/>
            <w:vAlign w:val="center"/>
          </w:tcPr>
          <w:p w14:paraId="0BD158DD">
            <w:pPr>
              <w:pStyle w:val="11"/>
            </w:pPr>
            <w:r>
              <w:t>三级指标</w:t>
            </w:r>
          </w:p>
        </w:tc>
        <w:tc>
          <w:tcPr>
            <w:tcW w:w="5386" w:type="dxa"/>
            <w:vAlign w:val="center"/>
          </w:tcPr>
          <w:p w14:paraId="78DEE2B2">
            <w:pPr>
              <w:pStyle w:val="11"/>
            </w:pPr>
            <w:r>
              <w:t>绩效指标描述</w:t>
            </w:r>
          </w:p>
        </w:tc>
        <w:tc>
          <w:tcPr>
            <w:tcW w:w="2268" w:type="dxa"/>
            <w:vAlign w:val="center"/>
          </w:tcPr>
          <w:p w14:paraId="734DCD5E">
            <w:pPr>
              <w:pStyle w:val="11"/>
            </w:pPr>
            <w:r>
              <w:t>指标值</w:t>
            </w:r>
          </w:p>
        </w:tc>
        <w:tc>
          <w:tcPr>
            <w:tcW w:w="1276" w:type="dxa"/>
            <w:vAlign w:val="center"/>
          </w:tcPr>
          <w:p w14:paraId="2A3390DE">
            <w:pPr>
              <w:pStyle w:val="11"/>
            </w:pPr>
            <w:r>
              <w:t>指标值确定依据</w:t>
            </w:r>
          </w:p>
        </w:tc>
      </w:tr>
      <w:tr w14:paraId="4D9E9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6EC72">
            <w:pPr>
              <w:pStyle w:val="12"/>
            </w:pPr>
            <w:r>
              <w:t>产出指标</w:t>
            </w:r>
          </w:p>
        </w:tc>
        <w:tc>
          <w:tcPr>
            <w:tcW w:w="2268" w:type="dxa"/>
            <w:vAlign w:val="center"/>
          </w:tcPr>
          <w:p w14:paraId="030BA56D">
            <w:pPr>
              <w:pStyle w:val="13"/>
            </w:pPr>
            <w:r>
              <w:t>数量指标</w:t>
            </w:r>
          </w:p>
        </w:tc>
        <w:tc>
          <w:tcPr>
            <w:tcW w:w="2835" w:type="dxa"/>
            <w:vAlign w:val="center"/>
          </w:tcPr>
          <w:p w14:paraId="3244C351">
            <w:pPr>
              <w:pStyle w:val="13"/>
            </w:pPr>
            <w:r>
              <w:t>就读学生数</w:t>
            </w:r>
          </w:p>
        </w:tc>
        <w:tc>
          <w:tcPr>
            <w:tcW w:w="5386" w:type="dxa"/>
            <w:vAlign w:val="center"/>
          </w:tcPr>
          <w:p w14:paraId="5097C0B2">
            <w:pPr>
              <w:pStyle w:val="13"/>
            </w:pPr>
            <w:r>
              <w:t>辐射区域内适龄学生人数</w:t>
            </w:r>
          </w:p>
        </w:tc>
        <w:tc>
          <w:tcPr>
            <w:tcW w:w="2268" w:type="dxa"/>
            <w:vAlign w:val="center"/>
          </w:tcPr>
          <w:p w14:paraId="39418A8B">
            <w:pPr>
              <w:pStyle w:val="13"/>
            </w:pPr>
            <w:r>
              <w:t>≥4374人</w:t>
            </w:r>
          </w:p>
        </w:tc>
        <w:tc>
          <w:tcPr>
            <w:tcW w:w="1276" w:type="dxa"/>
            <w:vAlign w:val="center"/>
          </w:tcPr>
          <w:p w14:paraId="248A5D98">
            <w:pPr>
              <w:pStyle w:val="13"/>
            </w:pPr>
            <w:r>
              <w:t>城乡义务教育公用经费管理办法</w:t>
            </w:r>
          </w:p>
        </w:tc>
      </w:tr>
      <w:tr w14:paraId="2BB58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9A104"/>
        </w:tc>
        <w:tc>
          <w:tcPr>
            <w:tcW w:w="2268" w:type="dxa"/>
            <w:vAlign w:val="center"/>
          </w:tcPr>
          <w:p w14:paraId="74E89E5C">
            <w:pPr>
              <w:pStyle w:val="13"/>
            </w:pPr>
            <w:r>
              <w:t>质量指标</w:t>
            </w:r>
          </w:p>
        </w:tc>
        <w:tc>
          <w:tcPr>
            <w:tcW w:w="2835" w:type="dxa"/>
            <w:vAlign w:val="center"/>
          </w:tcPr>
          <w:p w14:paraId="70BE4922">
            <w:pPr>
              <w:pStyle w:val="13"/>
            </w:pPr>
            <w:r>
              <w:t>预算执行率</w:t>
            </w:r>
          </w:p>
        </w:tc>
        <w:tc>
          <w:tcPr>
            <w:tcW w:w="5386" w:type="dxa"/>
            <w:vAlign w:val="center"/>
          </w:tcPr>
          <w:p w14:paraId="60D3A276">
            <w:pPr>
              <w:pStyle w:val="13"/>
            </w:pPr>
            <w:r>
              <w:t>预算执行率</w:t>
            </w:r>
          </w:p>
        </w:tc>
        <w:tc>
          <w:tcPr>
            <w:tcW w:w="2268" w:type="dxa"/>
            <w:vAlign w:val="center"/>
          </w:tcPr>
          <w:p w14:paraId="2916E23E">
            <w:pPr>
              <w:pStyle w:val="13"/>
            </w:pPr>
            <w:r>
              <w:t>≥98%</w:t>
            </w:r>
          </w:p>
        </w:tc>
        <w:tc>
          <w:tcPr>
            <w:tcW w:w="1276" w:type="dxa"/>
            <w:vAlign w:val="center"/>
          </w:tcPr>
          <w:p w14:paraId="4E89D013">
            <w:pPr>
              <w:pStyle w:val="13"/>
            </w:pPr>
            <w:r>
              <w:t>城乡义务教育公用经费管理办法</w:t>
            </w:r>
          </w:p>
        </w:tc>
      </w:tr>
      <w:tr w14:paraId="7731E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D3AAD"/>
        </w:tc>
        <w:tc>
          <w:tcPr>
            <w:tcW w:w="2268" w:type="dxa"/>
            <w:vAlign w:val="center"/>
          </w:tcPr>
          <w:p w14:paraId="0324565B">
            <w:pPr>
              <w:pStyle w:val="13"/>
            </w:pPr>
            <w:r>
              <w:t>时效指标</w:t>
            </w:r>
          </w:p>
        </w:tc>
        <w:tc>
          <w:tcPr>
            <w:tcW w:w="2835" w:type="dxa"/>
            <w:vAlign w:val="center"/>
          </w:tcPr>
          <w:p w14:paraId="48908757">
            <w:pPr>
              <w:pStyle w:val="13"/>
            </w:pPr>
            <w:r>
              <w:t>义教经费支付完成率</w:t>
            </w:r>
          </w:p>
        </w:tc>
        <w:tc>
          <w:tcPr>
            <w:tcW w:w="5386" w:type="dxa"/>
            <w:vAlign w:val="center"/>
          </w:tcPr>
          <w:p w14:paraId="7C443D3A">
            <w:pPr>
              <w:pStyle w:val="13"/>
            </w:pPr>
            <w:r>
              <w:t>按照序时进度完成资金支付</w:t>
            </w:r>
          </w:p>
        </w:tc>
        <w:tc>
          <w:tcPr>
            <w:tcW w:w="2268" w:type="dxa"/>
            <w:vAlign w:val="center"/>
          </w:tcPr>
          <w:p w14:paraId="3435F49A">
            <w:pPr>
              <w:pStyle w:val="13"/>
            </w:pPr>
            <w:r>
              <w:t>≥100%</w:t>
            </w:r>
          </w:p>
        </w:tc>
        <w:tc>
          <w:tcPr>
            <w:tcW w:w="1276" w:type="dxa"/>
            <w:vAlign w:val="center"/>
          </w:tcPr>
          <w:p w14:paraId="4F1016EE">
            <w:pPr>
              <w:pStyle w:val="13"/>
            </w:pPr>
            <w:r>
              <w:t>城乡义务教育公用经费管理办法</w:t>
            </w:r>
          </w:p>
        </w:tc>
      </w:tr>
      <w:tr w14:paraId="19F5C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D5665"/>
        </w:tc>
        <w:tc>
          <w:tcPr>
            <w:tcW w:w="2268" w:type="dxa"/>
            <w:vAlign w:val="center"/>
          </w:tcPr>
          <w:p w14:paraId="4D8BFBE4">
            <w:pPr>
              <w:pStyle w:val="13"/>
            </w:pPr>
            <w:r>
              <w:t>成本指标</w:t>
            </w:r>
          </w:p>
        </w:tc>
        <w:tc>
          <w:tcPr>
            <w:tcW w:w="2835" w:type="dxa"/>
            <w:vAlign w:val="center"/>
          </w:tcPr>
          <w:p w14:paraId="5FB2D4C8">
            <w:pPr>
              <w:pStyle w:val="13"/>
            </w:pPr>
            <w:r>
              <w:t>生均拨款标准</w:t>
            </w:r>
          </w:p>
        </w:tc>
        <w:tc>
          <w:tcPr>
            <w:tcW w:w="5386" w:type="dxa"/>
            <w:vAlign w:val="center"/>
          </w:tcPr>
          <w:p w14:paraId="198D3EE1">
            <w:pPr>
              <w:pStyle w:val="13"/>
            </w:pPr>
            <w:r>
              <w:t>初中：（基本标准940元、寄宿生300元、生活补助120元）/生/学年；特教、随班就读学生：标准7000元/生/学年</w:t>
            </w:r>
          </w:p>
        </w:tc>
        <w:tc>
          <w:tcPr>
            <w:tcW w:w="2268" w:type="dxa"/>
            <w:vAlign w:val="center"/>
          </w:tcPr>
          <w:p w14:paraId="57C2B9A3">
            <w:pPr>
              <w:pStyle w:val="13"/>
            </w:pPr>
            <w:r>
              <w:t>≥1360元</w:t>
            </w:r>
          </w:p>
        </w:tc>
        <w:tc>
          <w:tcPr>
            <w:tcW w:w="1276" w:type="dxa"/>
            <w:vAlign w:val="center"/>
          </w:tcPr>
          <w:p w14:paraId="27832AD3">
            <w:pPr>
              <w:pStyle w:val="13"/>
            </w:pPr>
            <w:r>
              <w:t>城乡义务教育公用经费管理办法</w:t>
            </w:r>
          </w:p>
        </w:tc>
      </w:tr>
      <w:tr w14:paraId="0A5FA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F48295">
            <w:pPr>
              <w:pStyle w:val="12"/>
            </w:pPr>
            <w:r>
              <w:t>效益指标</w:t>
            </w:r>
          </w:p>
        </w:tc>
        <w:tc>
          <w:tcPr>
            <w:tcW w:w="2268" w:type="dxa"/>
            <w:vAlign w:val="center"/>
          </w:tcPr>
          <w:p w14:paraId="6362DA96">
            <w:pPr>
              <w:pStyle w:val="13"/>
            </w:pPr>
            <w:r>
              <w:t>可持续影响指标</w:t>
            </w:r>
          </w:p>
        </w:tc>
        <w:tc>
          <w:tcPr>
            <w:tcW w:w="2835" w:type="dxa"/>
            <w:vAlign w:val="center"/>
          </w:tcPr>
          <w:p w14:paraId="66F61129">
            <w:pPr>
              <w:pStyle w:val="13"/>
            </w:pPr>
            <w:r>
              <w:t>学校稳定率</w:t>
            </w:r>
          </w:p>
        </w:tc>
        <w:tc>
          <w:tcPr>
            <w:tcW w:w="5386" w:type="dxa"/>
            <w:vAlign w:val="center"/>
          </w:tcPr>
          <w:p w14:paraId="0AD5BA70">
            <w:pPr>
              <w:pStyle w:val="13"/>
            </w:pPr>
            <w:r>
              <w:t>维护学校稳定，保障学校正常教学秩序有效开展</w:t>
            </w:r>
          </w:p>
        </w:tc>
        <w:tc>
          <w:tcPr>
            <w:tcW w:w="2268" w:type="dxa"/>
            <w:vAlign w:val="center"/>
          </w:tcPr>
          <w:p w14:paraId="5709C49C">
            <w:pPr>
              <w:pStyle w:val="13"/>
            </w:pPr>
            <w:r>
              <w:t>100%</w:t>
            </w:r>
          </w:p>
        </w:tc>
        <w:tc>
          <w:tcPr>
            <w:tcW w:w="1276" w:type="dxa"/>
            <w:vAlign w:val="center"/>
          </w:tcPr>
          <w:p w14:paraId="56EA7B3D">
            <w:pPr>
              <w:pStyle w:val="13"/>
            </w:pPr>
            <w:r>
              <w:t>城乡义务教育公用经费管理办法</w:t>
            </w:r>
          </w:p>
        </w:tc>
      </w:tr>
      <w:tr w14:paraId="2A984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A81BD2">
            <w:pPr>
              <w:pStyle w:val="12"/>
            </w:pPr>
            <w:r>
              <w:t>满意度指标</w:t>
            </w:r>
          </w:p>
        </w:tc>
        <w:tc>
          <w:tcPr>
            <w:tcW w:w="2268" w:type="dxa"/>
            <w:vAlign w:val="center"/>
          </w:tcPr>
          <w:p w14:paraId="7F3C550E">
            <w:pPr>
              <w:pStyle w:val="13"/>
            </w:pPr>
            <w:r>
              <w:t>服务对象满意度指标</w:t>
            </w:r>
          </w:p>
        </w:tc>
        <w:tc>
          <w:tcPr>
            <w:tcW w:w="2835" w:type="dxa"/>
            <w:vAlign w:val="center"/>
          </w:tcPr>
          <w:p w14:paraId="4354F4A6">
            <w:pPr>
              <w:pStyle w:val="13"/>
            </w:pPr>
            <w:r>
              <w:t>家长和学生满意度</w:t>
            </w:r>
          </w:p>
        </w:tc>
        <w:tc>
          <w:tcPr>
            <w:tcW w:w="5386" w:type="dxa"/>
            <w:vAlign w:val="center"/>
          </w:tcPr>
          <w:p w14:paraId="51CCC6E5">
            <w:pPr>
              <w:pStyle w:val="13"/>
            </w:pPr>
            <w:r>
              <w:t>家长和学生满意度</w:t>
            </w:r>
          </w:p>
        </w:tc>
        <w:tc>
          <w:tcPr>
            <w:tcW w:w="2268" w:type="dxa"/>
            <w:vAlign w:val="center"/>
          </w:tcPr>
          <w:p w14:paraId="30791854">
            <w:pPr>
              <w:pStyle w:val="13"/>
            </w:pPr>
            <w:r>
              <w:t>≥95%</w:t>
            </w:r>
          </w:p>
        </w:tc>
        <w:tc>
          <w:tcPr>
            <w:tcW w:w="1276" w:type="dxa"/>
            <w:vAlign w:val="center"/>
          </w:tcPr>
          <w:p w14:paraId="39D1628D">
            <w:pPr>
              <w:pStyle w:val="13"/>
            </w:pPr>
            <w:r>
              <w:t>问卷调查</w:t>
            </w:r>
          </w:p>
        </w:tc>
      </w:tr>
    </w:tbl>
    <w:p w14:paraId="07C250EB">
      <w:pPr>
        <w:sectPr>
          <w:pgSz w:w="16840" w:h="11900" w:orient="landscape"/>
          <w:pgMar w:top="1361" w:right="1020" w:bottom="1134" w:left="1020" w:header="720" w:footer="720" w:gutter="0"/>
          <w:cols w:space="720" w:num="1"/>
        </w:sectPr>
      </w:pPr>
    </w:p>
    <w:p w14:paraId="68D4630B">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4、冀财教[2024]123号/中央/2025年义教补助经费/综合奖补/实验中学公用经费绩效目标表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DD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057EA">
            <w:pPr>
              <w:pStyle w:val="14"/>
            </w:pPr>
            <w:r>
              <w:t>单位：万元</w:t>
            </w:r>
          </w:p>
        </w:tc>
      </w:tr>
      <w:tr w14:paraId="316EF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1EEDAD">
            <w:pPr>
              <w:pStyle w:val="11"/>
            </w:pPr>
            <w:r>
              <w:t>项目编码</w:t>
            </w:r>
          </w:p>
        </w:tc>
        <w:tc>
          <w:tcPr>
            <w:tcW w:w="5103" w:type="dxa"/>
            <w:gridSpan w:val="2"/>
            <w:vAlign w:val="center"/>
          </w:tcPr>
          <w:p w14:paraId="32D57C85">
            <w:pPr>
              <w:pStyle w:val="13"/>
            </w:pPr>
            <w:r>
              <w:t>13052525P00875610269L</w:t>
            </w:r>
          </w:p>
        </w:tc>
        <w:tc>
          <w:tcPr>
            <w:tcW w:w="2835" w:type="dxa"/>
            <w:vAlign w:val="center"/>
          </w:tcPr>
          <w:p w14:paraId="1865744A">
            <w:pPr>
              <w:pStyle w:val="11"/>
            </w:pPr>
            <w:r>
              <w:t>项目名称</w:t>
            </w:r>
          </w:p>
        </w:tc>
        <w:tc>
          <w:tcPr>
            <w:tcW w:w="6095" w:type="dxa"/>
            <w:gridSpan w:val="3"/>
            <w:vAlign w:val="center"/>
          </w:tcPr>
          <w:p w14:paraId="18AE1F35">
            <w:pPr>
              <w:pStyle w:val="13"/>
            </w:pPr>
            <w:r>
              <w:t>冀财教[2024]123号/中央/2025年义教补助经费/综合奖补/实验中学公用经费</w:t>
            </w:r>
          </w:p>
        </w:tc>
      </w:tr>
      <w:tr w14:paraId="286D5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BB55E">
            <w:pPr>
              <w:pStyle w:val="11"/>
            </w:pPr>
            <w:r>
              <w:t>预算规模及资金用途</w:t>
            </w:r>
          </w:p>
        </w:tc>
        <w:tc>
          <w:tcPr>
            <w:tcW w:w="2268" w:type="dxa"/>
            <w:vAlign w:val="center"/>
          </w:tcPr>
          <w:p w14:paraId="7AF04C6A">
            <w:pPr>
              <w:pStyle w:val="11"/>
            </w:pPr>
            <w:r>
              <w:t>预算数</w:t>
            </w:r>
          </w:p>
        </w:tc>
        <w:tc>
          <w:tcPr>
            <w:tcW w:w="2835" w:type="dxa"/>
            <w:vAlign w:val="center"/>
          </w:tcPr>
          <w:p w14:paraId="624BB138">
            <w:pPr>
              <w:pStyle w:val="13"/>
            </w:pPr>
            <w:r>
              <w:t>1.99</w:t>
            </w:r>
          </w:p>
        </w:tc>
        <w:tc>
          <w:tcPr>
            <w:tcW w:w="2835" w:type="dxa"/>
            <w:vAlign w:val="center"/>
          </w:tcPr>
          <w:p w14:paraId="55B61C7C">
            <w:pPr>
              <w:pStyle w:val="11"/>
            </w:pPr>
            <w:r>
              <w:t>其中：财政    资金</w:t>
            </w:r>
          </w:p>
        </w:tc>
        <w:tc>
          <w:tcPr>
            <w:tcW w:w="2551" w:type="dxa"/>
            <w:vAlign w:val="center"/>
          </w:tcPr>
          <w:p w14:paraId="7599F0EE">
            <w:pPr>
              <w:pStyle w:val="13"/>
            </w:pPr>
            <w:r>
              <w:t>1.99</w:t>
            </w:r>
          </w:p>
        </w:tc>
        <w:tc>
          <w:tcPr>
            <w:tcW w:w="2268" w:type="dxa"/>
            <w:vAlign w:val="center"/>
          </w:tcPr>
          <w:p w14:paraId="0EDC47FC">
            <w:pPr>
              <w:pStyle w:val="11"/>
            </w:pPr>
            <w:r>
              <w:t>其他资金</w:t>
            </w:r>
          </w:p>
        </w:tc>
        <w:tc>
          <w:tcPr>
            <w:tcW w:w="1276" w:type="dxa"/>
            <w:vAlign w:val="center"/>
          </w:tcPr>
          <w:p w14:paraId="33E4FDDD">
            <w:pPr>
              <w:pStyle w:val="13"/>
            </w:pPr>
            <w:r>
              <w:t xml:space="preserve"> </w:t>
            </w:r>
          </w:p>
        </w:tc>
      </w:tr>
      <w:tr w14:paraId="5BE03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C8FD48"/>
        </w:tc>
        <w:tc>
          <w:tcPr>
            <w:tcW w:w="14033" w:type="dxa"/>
            <w:gridSpan w:val="6"/>
            <w:vAlign w:val="center"/>
          </w:tcPr>
          <w:p w14:paraId="2CC4DD5C">
            <w:pPr>
              <w:pStyle w:val="13"/>
            </w:pPr>
            <w:r>
              <w:t>有效完成学校教学安全秩序，保障学校教学任务有效开展，满足学校正常教学需要。</w:t>
            </w:r>
            <w:r>
              <w:tab/>
            </w:r>
          </w:p>
        </w:tc>
      </w:tr>
      <w:tr w14:paraId="72356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1B7B6">
            <w:pPr>
              <w:pStyle w:val="11"/>
            </w:pPr>
            <w:r>
              <w:t>资金支出计划（%）</w:t>
            </w:r>
          </w:p>
        </w:tc>
        <w:tc>
          <w:tcPr>
            <w:tcW w:w="5103" w:type="dxa"/>
            <w:gridSpan w:val="2"/>
            <w:vAlign w:val="center"/>
          </w:tcPr>
          <w:p w14:paraId="1DC00D4E">
            <w:pPr>
              <w:pStyle w:val="11"/>
            </w:pPr>
            <w:r>
              <w:t>3月底</w:t>
            </w:r>
          </w:p>
        </w:tc>
        <w:tc>
          <w:tcPr>
            <w:tcW w:w="2835" w:type="dxa"/>
            <w:vAlign w:val="center"/>
          </w:tcPr>
          <w:p w14:paraId="6CD61C58">
            <w:pPr>
              <w:pStyle w:val="11"/>
            </w:pPr>
            <w:r>
              <w:t>6月底</w:t>
            </w:r>
          </w:p>
        </w:tc>
        <w:tc>
          <w:tcPr>
            <w:tcW w:w="2551" w:type="dxa"/>
            <w:vAlign w:val="center"/>
          </w:tcPr>
          <w:p w14:paraId="4EC0CCA4">
            <w:pPr>
              <w:pStyle w:val="11"/>
            </w:pPr>
            <w:r>
              <w:t>10月底</w:t>
            </w:r>
          </w:p>
        </w:tc>
        <w:tc>
          <w:tcPr>
            <w:tcW w:w="3544" w:type="dxa"/>
            <w:gridSpan w:val="2"/>
            <w:vAlign w:val="center"/>
          </w:tcPr>
          <w:p w14:paraId="2EE289C8">
            <w:pPr>
              <w:pStyle w:val="11"/>
            </w:pPr>
            <w:r>
              <w:t>12月底</w:t>
            </w:r>
          </w:p>
        </w:tc>
      </w:tr>
      <w:tr w14:paraId="631B8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33397"/>
        </w:tc>
        <w:tc>
          <w:tcPr>
            <w:tcW w:w="5103" w:type="dxa"/>
            <w:gridSpan w:val="2"/>
            <w:vAlign w:val="center"/>
          </w:tcPr>
          <w:p w14:paraId="3481CAEA">
            <w:pPr>
              <w:pStyle w:val="12"/>
            </w:pPr>
            <w:r>
              <w:t xml:space="preserve"> </w:t>
            </w:r>
          </w:p>
        </w:tc>
        <w:tc>
          <w:tcPr>
            <w:tcW w:w="2835" w:type="dxa"/>
            <w:vAlign w:val="center"/>
          </w:tcPr>
          <w:p w14:paraId="0284A75D">
            <w:pPr>
              <w:pStyle w:val="12"/>
            </w:pPr>
            <w:r>
              <w:t>50%</w:t>
            </w:r>
          </w:p>
        </w:tc>
        <w:tc>
          <w:tcPr>
            <w:tcW w:w="2551" w:type="dxa"/>
            <w:vAlign w:val="center"/>
          </w:tcPr>
          <w:p w14:paraId="66AF3F9B">
            <w:pPr>
              <w:pStyle w:val="12"/>
            </w:pPr>
            <w:r>
              <w:t>75%</w:t>
            </w:r>
          </w:p>
        </w:tc>
        <w:tc>
          <w:tcPr>
            <w:tcW w:w="3544" w:type="dxa"/>
            <w:gridSpan w:val="2"/>
            <w:vAlign w:val="center"/>
          </w:tcPr>
          <w:p w14:paraId="32E781AA">
            <w:pPr>
              <w:pStyle w:val="12"/>
            </w:pPr>
            <w:r>
              <w:t>100%</w:t>
            </w:r>
          </w:p>
        </w:tc>
      </w:tr>
      <w:tr w14:paraId="6A329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B6D5C">
            <w:pPr>
              <w:pStyle w:val="11"/>
            </w:pPr>
            <w:r>
              <w:t>绩效目标</w:t>
            </w:r>
          </w:p>
        </w:tc>
        <w:tc>
          <w:tcPr>
            <w:tcW w:w="14033" w:type="dxa"/>
            <w:gridSpan w:val="6"/>
            <w:vAlign w:val="center"/>
          </w:tcPr>
          <w:p w14:paraId="0567DD5D">
            <w:pPr>
              <w:pStyle w:val="13"/>
            </w:pPr>
            <w:r>
              <w:t>1.有效完成学校教学安全秩序，保障学校教学任务有效开展，满足学校正常教学需要。</w:t>
            </w:r>
          </w:p>
          <w:p w14:paraId="237D4495">
            <w:pPr>
              <w:pStyle w:val="13"/>
            </w:pPr>
            <w:r>
              <w:t>2.按规定拨付公用经费资金，预算执行率≥98%。</w:t>
            </w:r>
          </w:p>
        </w:tc>
      </w:tr>
    </w:tbl>
    <w:p w14:paraId="5E14A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1D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0C893">
            <w:pPr>
              <w:pStyle w:val="11"/>
            </w:pPr>
            <w:r>
              <w:t>一级指标</w:t>
            </w:r>
          </w:p>
        </w:tc>
        <w:tc>
          <w:tcPr>
            <w:tcW w:w="2268" w:type="dxa"/>
            <w:vAlign w:val="center"/>
          </w:tcPr>
          <w:p w14:paraId="0C4F467D">
            <w:pPr>
              <w:pStyle w:val="11"/>
            </w:pPr>
            <w:r>
              <w:t>二级指标</w:t>
            </w:r>
          </w:p>
        </w:tc>
        <w:tc>
          <w:tcPr>
            <w:tcW w:w="2835" w:type="dxa"/>
            <w:vAlign w:val="center"/>
          </w:tcPr>
          <w:p w14:paraId="4BA5BF2F">
            <w:pPr>
              <w:pStyle w:val="11"/>
            </w:pPr>
            <w:r>
              <w:t>三级指标</w:t>
            </w:r>
          </w:p>
        </w:tc>
        <w:tc>
          <w:tcPr>
            <w:tcW w:w="5386" w:type="dxa"/>
            <w:vAlign w:val="center"/>
          </w:tcPr>
          <w:p w14:paraId="31A9BD33">
            <w:pPr>
              <w:pStyle w:val="11"/>
            </w:pPr>
            <w:r>
              <w:t>绩效指标描述</w:t>
            </w:r>
          </w:p>
        </w:tc>
        <w:tc>
          <w:tcPr>
            <w:tcW w:w="2268" w:type="dxa"/>
            <w:vAlign w:val="center"/>
          </w:tcPr>
          <w:p w14:paraId="075D2FCF">
            <w:pPr>
              <w:pStyle w:val="11"/>
            </w:pPr>
            <w:r>
              <w:t>指标值</w:t>
            </w:r>
          </w:p>
        </w:tc>
        <w:tc>
          <w:tcPr>
            <w:tcW w:w="1276" w:type="dxa"/>
            <w:vAlign w:val="center"/>
          </w:tcPr>
          <w:p w14:paraId="1E937F74">
            <w:pPr>
              <w:pStyle w:val="11"/>
            </w:pPr>
            <w:r>
              <w:t>指标值确定依据</w:t>
            </w:r>
          </w:p>
        </w:tc>
      </w:tr>
      <w:tr w14:paraId="25A80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2D423">
            <w:pPr>
              <w:pStyle w:val="12"/>
            </w:pPr>
            <w:r>
              <w:t>产出指标</w:t>
            </w:r>
          </w:p>
        </w:tc>
        <w:tc>
          <w:tcPr>
            <w:tcW w:w="2268" w:type="dxa"/>
            <w:vAlign w:val="center"/>
          </w:tcPr>
          <w:p w14:paraId="2CF68054">
            <w:pPr>
              <w:pStyle w:val="13"/>
            </w:pPr>
            <w:r>
              <w:t>数量指标</w:t>
            </w:r>
          </w:p>
        </w:tc>
        <w:tc>
          <w:tcPr>
            <w:tcW w:w="2835" w:type="dxa"/>
            <w:vAlign w:val="center"/>
          </w:tcPr>
          <w:p w14:paraId="1B6DD011">
            <w:pPr>
              <w:pStyle w:val="13"/>
            </w:pPr>
            <w:r>
              <w:t>就读学生数</w:t>
            </w:r>
          </w:p>
        </w:tc>
        <w:tc>
          <w:tcPr>
            <w:tcW w:w="5386" w:type="dxa"/>
            <w:vAlign w:val="center"/>
          </w:tcPr>
          <w:p w14:paraId="4C70F8E2">
            <w:pPr>
              <w:pStyle w:val="13"/>
            </w:pPr>
            <w:r>
              <w:t>辐射区域内适龄学生人数</w:t>
            </w:r>
          </w:p>
        </w:tc>
        <w:tc>
          <w:tcPr>
            <w:tcW w:w="2268" w:type="dxa"/>
            <w:vAlign w:val="center"/>
          </w:tcPr>
          <w:p w14:paraId="284F1D24">
            <w:pPr>
              <w:pStyle w:val="13"/>
            </w:pPr>
            <w:r>
              <w:t>≥4374人</w:t>
            </w:r>
          </w:p>
        </w:tc>
        <w:tc>
          <w:tcPr>
            <w:tcW w:w="1276" w:type="dxa"/>
            <w:vAlign w:val="center"/>
          </w:tcPr>
          <w:p w14:paraId="1F07C7E3">
            <w:pPr>
              <w:pStyle w:val="13"/>
            </w:pPr>
            <w:r>
              <w:t>项目规划</w:t>
            </w:r>
          </w:p>
        </w:tc>
      </w:tr>
      <w:tr w14:paraId="30959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E5E55"/>
        </w:tc>
        <w:tc>
          <w:tcPr>
            <w:tcW w:w="2268" w:type="dxa"/>
            <w:vAlign w:val="center"/>
          </w:tcPr>
          <w:p w14:paraId="648A3AF4">
            <w:pPr>
              <w:pStyle w:val="13"/>
            </w:pPr>
            <w:r>
              <w:t>质量指标</w:t>
            </w:r>
          </w:p>
        </w:tc>
        <w:tc>
          <w:tcPr>
            <w:tcW w:w="2835" w:type="dxa"/>
            <w:vAlign w:val="center"/>
          </w:tcPr>
          <w:p w14:paraId="3E5F19E1">
            <w:pPr>
              <w:pStyle w:val="13"/>
            </w:pPr>
            <w:r>
              <w:t>预算执行率</w:t>
            </w:r>
          </w:p>
        </w:tc>
        <w:tc>
          <w:tcPr>
            <w:tcW w:w="5386" w:type="dxa"/>
            <w:vAlign w:val="center"/>
          </w:tcPr>
          <w:p w14:paraId="749EBB1C">
            <w:pPr>
              <w:pStyle w:val="13"/>
            </w:pPr>
            <w:r>
              <w:t>预算执行率</w:t>
            </w:r>
          </w:p>
        </w:tc>
        <w:tc>
          <w:tcPr>
            <w:tcW w:w="2268" w:type="dxa"/>
            <w:vAlign w:val="center"/>
          </w:tcPr>
          <w:p w14:paraId="59F4D324">
            <w:pPr>
              <w:pStyle w:val="13"/>
            </w:pPr>
            <w:r>
              <w:t>≥98%</w:t>
            </w:r>
          </w:p>
        </w:tc>
        <w:tc>
          <w:tcPr>
            <w:tcW w:w="1276" w:type="dxa"/>
            <w:vAlign w:val="center"/>
          </w:tcPr>
          <w:p w14:paraId="663A2969">
            <w:pPr>
              <w:pStyle w:val="13"/>
            </w:pPr>
            <w:r>
              <w:t>项目规划</w:t>
            </w:r>
          </w:p>
        </w:tc>
      </w:tr>
      <w:tr w14:paraId="765ED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3BCAB"/>
        </w:tc>
        <w:tc>
          <w:tcPr>
            <w:tcW w:w="2268" w:type="dxa"/>
            <w:vAlign w:val="center"/>
          </w:tcPr>
          <w:p w14:paraId="0F70AE6A">
            <w:pPr>
              <w:pStyle w:val="13"/>
            </w:pPr>
            <w:r>
              <w:t>时效指标</w:t>
            </w:r>
          </w:p>
        </w:tc>
        <w:tc>
          <w:tcPr>
            <w:tcW w:w="2835" w:type="dxa"/>
            <w:vAlign w:val="center"/>
          </w:tcPr>
          <w:p w14:paraId="3AAD45C8">
            <w:pPr>
              <w:pStyle w:val="13"/>
            </w:pPr>
            <w:r>
              <w:t>义教经费支付完成率</w:t>
            </w:r>
          </w:p>
        </w:tc>
        <w:tc>
          <w:tcPr>
            <w:tcW w:w="5386" w:type="dxa"/>
            <w:vAlign w:val="center"/>
          </w:tcPr>
          <w:p w14:paraId="704B5A36">
            <w:pPr>
              <w:pStyle w:val="13"/>
            </w:pPr>
            <w:r>
              <w:t>按照序时进度完成资金支付</w:t>
            </w:r>
          </w:p>
        </w:tc>
        <w:tc>
          <w:tcPr>
            <w:tcW w:w="2268" w:type="dxa"/>
            <w:vAlign w:val="center"/>
          </w:tcPr>
          <w:p w14:paraId="3F69C04E">
            <w:pPr>
              <w:pStyle w:val="13"/>
            </w:pPr>
            <w:r>
              <w:t>≥100%</w:t>
            </w:r>
          </w:p>
        </w:tc>
        <w:tc>
          <w:tcPr>
            <w:tcW w:w="1276" w:type="dxa"/>
            <w:vAlign w:val="center"/>
          </w:tcPr>
          <w:p w14:paraId="0EB8266C">
            <w:pPr>
              <w:pStyle w:val="13"/>
            </w:pPr>
            <w:r>
              <w:t>项目规划</w:t>
            </w:r>
          </w:p>
        </w:tc>
      </w:tr>
      <w:tr w14:paraId="78890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2ECEF"/>
        </w:tc>
        <w:tc>
          <w:tcPr>
            <w:tcW w:w="2268" w:type="dxa"/>
            <w:vAlign w:val="center"/>
          </w:tcPr>
          <w:p w14:paraId="5953FA95">
            <w:pPr>
              <w:pStyle w:val="13"/>
            </w:pPr>
            <w:r>
              <w:t>成本指标</w:t>
            </w:r>
          </w:p>
        </w:tc>
        <w:tc>
          <w:tcPr>
            <w:tcW w:w="2835" w:type="dxa"/>
            <w:vAlign w:val="center"/>
          </w:tcPr>
          <w:p w14:paraId="17566674">
            <w:pPr>
              <w:pStyle w:val="13"/>
            </w:pPr>
            <w:r>
              <w:t>生均拨款标准</w:t>
            </w:r>
          </w:p>
        </w:tc>
        <w:tc>
          <w:tcPr>
            <w:tcW w:w="5386" w:type="dxa"/>
            <w:vAlign w:val="center"/>
          </w:tcPr>
          <w:p w14:paraId="4CE8A455">
            <w:pPr>
              <w:pStyle w:val="13"/>
            </w:pPr>
            <w:r>
              <w:t>初中：（基本标准940元、寄宿生300元、生活补助120元）/生/学年；特教、随班就读学生：标准7000元/生/学年</w:t>
            </w:r>
          </w:p>
        </w:tc>
        <w:tc>
          <w:tcPr>
            <w:tcW w:w="2268" w:type="dxa"/>
            <w:vAlign w:val="center"/>
          </w:tcPr>
          <w:p w14:paraId="2491F4FE">
            <w:pPr>
              <w:pStyle w:val="13"/>
            </w:pPr>
            <w:r>
              <w:t>≥1360元</w:t>
            </w:r>
          </w:p>
        </w:tc>
        <w:tc>
          <w:tcPr>
            <w:tcW w:w="1276" w:type="dxa"/>
            <w:vAlign w:val="center"/>
          </w:tcPr>
          <w:p w14:paraId="6B73AFD8">
            <w:pPr>
              <w:pStyle w:val="13"/>
            </w:pPr>
            <w:r>
              <w:t>项目规划</w:t>
            </w:r>
          </w:p>
        </w:tc>
      </w:tr>
      <w:tr w14:paraId="704CD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AE19A9">
            <w:pPr>
              <w:pStyle w:val="12"/>
            </w:pPr>
            <w:r>
              <w:t>效益指标</w:t>
            </w:r>
          </w:p>
        </w:tc>
        <w:tc>
          <w:tcPr>
            <w:tcW w:w="2268" w:type="dxa"/>
            <w:vAlign w:val="center"/>
          </w:tcPr>
          <w:p w14:paraId="2B098E01">
            <w:pPr>
              <w:pStyle w:val="13"/>
            </w:pPr>
            <w:r>
              <w:t>社会效益指标</w:t>
            </w:r>
          </w:p>
        </w:tc>
        <w:tc>
          <w:tcPr>
            <w:tcW w:w="2835" w:type="dxa"/>
            <w:vAlign w:val="center"/>
          </w:tcPr>
          <w:p w14:paraId="408654DD">
            <w:pPr>
              <w:pStyle w:val="13"/>
            </w:pPr>
            <w:r>
              <w:t>学校稳定率</w:t>
            </w:r>
          </w:p>
        </w:tc>
        <w:tc>
          <w:tcPr>
            <w:tcW w:w="5386" w:type="dxa"/>
            <w:vAlign w:val="center"/>
          </w:tcPr>
          <w:p w14:paraId="59BCB26E">
            <w:pPr>
              <w:pStyle w:val="13"/>
            </w:pPr>
            <w:r>
              <w:t>维护学校稳定，保障学校正常教学秩序有效开展</w:t>
            </w:r>
          </w:p>
        </w:tc>
        <w:tc>
          <w:tcPr>
            <w:tcW w:w="2268" w:type="dxa"/>
            <w:vAlign w:val="center"/>
          </w:tcPr>
          <w:p w14:paraId="16CE1AAA">
            <w:pPr>
              <w:pStyle w:val="13"/>
            </w:pPr>
            <w:r>
              <w:t>100%</w:t>
            </w:r>
          </w:p>
        </w:tc>
        <w:tc>
          <w:tcPr>
            <w:tcW w:w="1276" w:type="dxa"/>
            <w:vAlign w:val="center"/>
          </w:tcPr>
          <w:p w14:paraId="2B234424">
            <w:pPr>
              <w:pStyle w:val="13"/>
            </w:pPr>
            <w:r>
              <w:t>项目规划</w:t>
            </w:r>
          </w:p>
        </w:tc>
      </w:tr>
      <w:tr w14:paraId="19811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8FC3C5">
            <w:pPr>
              <w:pStyle w:val="12"/>
            </w:pPr>
            <w:r>
              <w:t>满意度指标</w:t>
            </w:r>
          </w:p>
        </w:tc>
        <w:tc>
          <w:tcPr>
            <w:tcW w:w="2268" w:type="dxa"/>
            <w:vAlign w:val="center"/>
          </w:tcPr>
          <w:p w14:paraId="3CC7F34E">
            <w:pPr>
              <w:pStyle w:val="13"/>
            </w:pPr>
            <w:r>
              <w:t>服务对象满意度指标</w:t>
            </w:r>
          </w:p>
        </w:tc>
        <w:tc>
          <w:tcPr>
            <w:tcW w:w="2835" w:type="dxa"/>
            <w:vAlign w:val="center"/>
          </w:tcPr>
          <w:p w14:paraId="399C64C9">
            <w:pPr>
              <w:pStyle w:val="13"/>
            </w:pPr>
            <w:r>
              <w:t>家长和学生满意度</w:t>
            </w:r>
          </w:p>
        </w:tc>
        <w:tc>
          <w:tcPr>
            <w:tcW w:w="5386" w:type="dxa"/>
            <w:vAlign w:val="center"/>
          </w:tcPr>
          <w:p w14:paraId="46C22DEC">
            <w:pPr>
              <w:pStyle w:val="13"/>
            </w:pPr>
            <w:r>
              <w:t>家长和学生满意度</w:t>
            </w:r>
          </w:p>
        </w:tc>
        <w:tc>
          <w:tcPr>
            <w:tcW w:w="2268" w:type="dxa"/>
            <w:vAlign w:val="center"/>
          </w:tcPr>
          <w:p w14:paraId="0779E6EE">
            <w:pPr>
              <w:pStyle w:val="13"/>
            </w:pPr>
            <w:r>
              <w:t>≥95%</w:t>
            </w:r>
          </w:p>
        </w:tc>
        <w:tc>
          <w:tcPr>
            <w:tcW w:w="1276" w:type="dxa"/>
            <w:vAlign w:val="center"/>
          </w:tcPr>
          <w:p w14:paraId="5901851F">
            <w:pPr>
              <w:pStyle w:val="13"/>
            </w:pPr>
            <w:r>
              <w:t>问卷调查</w:t>
            </w:r>
          </w:p>
        </w:tc>
      </w:tr>
    </w:tbl>
    <w:p w14:paraId="15628060">
      <w:pPr>
        <w:sectPr>
          <w:pgSz w:w="16840" w:h="11900" w:orient="landscape"/>
          <w:pgMar w:top="1361" w:right="1020" w:bottom="1134" w:left="1020" w:header="720" w:footer="720" w:gutter="0"/>
          <w:cols w:space="720" w:num="1"/>
        </w:sectPr>
      </w:pPr>
    </w:p>
    <w:p w14:paraId="4985F290">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5、冀财教[2024]123号/中央/2025年义教补助经费/综合奖补/实验中学双回路电源高设备提升绩效目标表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0B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46268">
            <w:pPr>
              <w:pStyle w:val="14"/>
            </w:pPr>
            <w:r>
              <w:t>单位：万元</w:t>
            </w:r>
          </w:p>
        </w:tc>
      </w:tr>
      <w:tr w14:paraId="4FA8D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3F2DA">
            <w:pPr>
              <w:pStyle w:val="11"/>
            </w:pPr>
            <w:r>
              <w:t>项目编码</w:t>
            </w:r>
          </w:p>
        </w:tc>
        <w:tc>
          <w:tcPr>
            <w:tcW w:w="5103" w:type="dxa"/>
            <w:gridSpan w:val="2"/>
            <w:vAlign w:val="center"/>
          </w:tcPr>
          <w:p w14:paraId="6972C504">
            <w:pPr>
              <w:pStyle w:val="13"/>
            </w:pPr>
            <w:r>
              <w:t>13052525P00875610262B</w:t>
            </w:r>
          </w:p>
        </w:tc>
        <w:tc>
          <w:tcPr>
            <w:tcW w:w="2835" w:type="dxa"/>
            <w:vAlign w:val="center"/>
          </w:tcPr>
          <w:p w14:paraId="24E9F38D">
            <w:pPr>
              <w:pStyle w:val="11"/>
            </w:pPr>
            <w:r>
              <w:t>项目名称</w:t>
            </w:r>
          </w:p>
        </w:tc>
        <w:tc>
          <w:tcPr>
            <w:tcW w:w="6095" w:type="dxa"/>
            <w:gridSpan w:val="3"/>
            <w:vAlign w:val="center"/>
          </w:tcPr>
          <w:p w14:paraId="27DF00B7">
            <w:pPr>
              <w:pStyle w:val="13"/>
            </w:pPr>
            <w:r>
              <w:t>冀财教[2024]123号/中央/2025年义教补助经费/综合奖补/实验中学双回路电源高设备提升</w:t>
            </w:r>
          </w:p>
        </w:tc>
      </w:tr>
      <w:tr w14:paraId="1BB38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E0F31">
            <w:pPr>
              <w:pStyle w:val="11"/>
            </w:pPr>
            <w:r>
              <w:t>预算规模及资金用途</w:t>
            </w:r>
          </w:p>
        </w:tc>
        <w:tc>
          <w:tcPr>
            <w:tcW w:w="2268" w:type="dxa"/>
            <w:vAlign w:val="center"/>
          </w:tcPr>
          <w:p w14:paraId="63AEA646">
            <w:pPr>
              <w:pStyle w:val="11"/>
            </w:pPr>
            <w:r>
              <w:t>预算数</w:t>
            </w:r>
          </w:p>
        </w:tc>
        <w:tc>
          <w:tcPr>
            <w:tcW w:w="2835" w:type="dxa"/>
            <w:vAlign w:val="center"/>
          </w:tcPr>
          <w:p w14:paraId="32C128C6">
            <w:pPr>
              <w:pStyle w:val="13"/>
            </w:pPr>
            <w:r>
              <w:t>28.00</w:t>
            </w:r>
          </w:p>
        </w:tc>
        <w:tc>
          <w:tcPr>
            <w:tcW w:w="2835" w:type="dxa"/>
            <w:vAlign w:val="center"/>
          </w:tcPr>
          <w:p w14:paraId="37B006EC">
            <w:pPr>
              <w:pStyle w:val="11"/>
            </w:pPr>
            <w:r>
              <w:t>其中：财政    资金</w:t>
            </w:r>
          </w:p>
        </w:tc>
        <w:tc>
          <w:tcPr>
            <w:tcW w:w="2551" w:type="dxa"/>
            <w:vAlign w:val="center"/>
          </w:tcPr>
          <w:p w14:paraId="4B11452F">
            <w:pPr>
              <w:pStyle w:val="13"/>
            </w:pPr>
            <w:r>
              <w:t>28.00</w:t>
            </w:r>
          </w:p>
        </w:tc>
        <w:tc>
          <w:tcPr>
            <w:tcW w:w="2268" w:type="dxa"/>
            <w:vAlign w:val="center"/>
          </w:tcPr>
          <w:p w14:paraId="3E641AAF">
            <w:pPr>
              <w:pStyle w:val="11"/>
            </w:pPr>
            <w:r>
              <w:t>其他资金</w:t>
            </w:r>
          </w:p>
        </w:tc>
        <w:tc>
          <w:tcPr>
            <w:tcW w:w="1276" w:type="dxa"/>
            <w:vAlign w:val="center"/>
          </w:tcPr>
          <w:p w14:paraId="6B501575">
            <w:pPr>
              <w:pStyle w:val="13"/>
            </w:pPr>
            <w:r>
              <w:t xml:space="preserve"> </w:t>
            </w:r>
          </w:p>
        </w:tc>
      </w:tr>
      <w:tr w14:paraId="02F00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281D5"/>
        </w:tc>
        <w:tc>
          <w:tcPr>
            <w:tcW w:w="14033" w:type="dxa"/>
            <w:gridSpan w:val="6"/>
            <w:vAlign w:val="center"/>
          </w:tcPr>
          <w:p w14:paraId="3994C650">
            <w:pPr>
              <w:pStyle w:val="13"/>
            </w:pPr>
            <w:r>
              <w:t>为提高教学环境，提升教学质量，购置双回路电源高设备提升一套。</w:t>
            </w:r>
          </w:p>
        </w:tc>
      </w:tr>
      <w:tr w14:paraId="3783B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D1D08">
            <w:pPr>
              <w:pStyle w:val="11"/>
            </w:pPr>
            <w:r>
              <w:t>资金支出计划（%）</w:t>
            </w:r>
          </w:p>
        </w:tc>
        <w:tc>
          <w:tcPr>
            <w:tcW w:w="5103" w:type="dxa"/>
            <w:gridSpan w:val="2"/>
            <w:vAlign w:val="center"/>
          </w:tcPr>
          <w:p w14:paraId="418A9C33">
            <w:pPr>
              <w:pStyle w:val="11"/>
            </w:pPr>
            <w:r>
              <w:t>3月底</w:t>
            </w:r>
          </w:p>
        </w:tc>
        <w:tc>
          <w:tcPr>
            <w:tcW w:w="2835" w:type="dxa"/>
            <w:vAlign w:val="center"/>
          </w:tcPr>
          <w:p w14:paraId="04F608EC">
            <w:pPr>
              <w:pStyle w:val="11"/>
            </w:pPr>
            <w:r>
              <w:t>6月底</w:t>
            </w:r>
          </w:p>
        </w:tc>
        <w:tc>
          <w:tcPr>
            <w:tcW w:w="2551" w:type="dxa"/>
            <w:vAlign w:val="center"/>
          </w:tcPr>
          <w:p w14:paraId="2C7A4CC3">
            <w:pPr>
              <w:pStyle w:val="11"/>
            </w:pPr>
            <w:r>
              <w:t>10月底</w:t>
            </w:r>
          </w:p>
        </w:tc>
        <w:tc>
          <w:tcPr>
            <w:tcW w:w="3544" w:type="dxa"/>
            <w:gridSpan w:val="2"/>
            <w:vAlign w:val="center"/>
          </w:tcPr>
          <w:p w14:paraId="0A35CF0E">
            <w:pPr>
              <w:pStyle w:val="11"/>
            </w:pPr>
            <w:r>
              <w:t>12月底</w:t>
            </w:r>
          </w:p>
        </w:tc>
      </w:tr>
      <w:tr w14:paraId="365EF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FA62F"/>
        </w:tc>
        <w:tc>
          <w:tcPr>
            <w:tcW w:w="5103" w:type="dxa"/>
            <w:gridSpan w:val="2"/>
            <w:vAlign w:val="center"/>
          </w:tcPr>
          <w:p w14:paraId="3ADF858D">
            <w:pPr>
              <w:pStyle w:val="12"/>
            </w:pPr>
            <w:r>
              <w:t xml:space="preserve"> </w:t>
            </w:r>
          </w:p>
        </w:tc>
        <w:tc>
          <w:tcPr>
            <w:tcW w:w="2835" w:type="dxa"/>
            <w:vAlign w:val="center"/>
          </w:tcPr>
          <w:p w14:paraId="05F52BC2">
            <w:pPr>
              <w:pStyle w:val="12"/>
            </w:pPr>
            <w:r>
              <w:t>50%</w:t>
            </w:r>
          </w:p>
        </w:tc>
        <w:tc>
          <w:tcPr>
            <w:tcW w:w="2551" w:type="dxa"/>
            <w:vAlign w:val="center"/>
          </w:tcPr>
          <w:p w14:paraId="06D87F2A">
            <w:pPr>
              <w:pStyle w:val="12"/>
            </w:pPr>
            <w:r>
              <w:t>75%</w:t>
            </w:r>
          </w:p>
        </w:tc>
        <w:tc>
          <w:tcPr>
            <w:tcW w:w="3544" w:type="dxa"/>
            <w:gridSpan w:val="2"/>
            <w:vAlign w:val="center"/>
          </w:tcPr>
          <w:p w14:paraId="12CD2768">
            <w:pPr>
              <w:pStyle w:val="12"/>
            </w:pPr>
            <w:r>
              <w:t>100%</w:t>
            </w:r>
          </w:p>
        </w:tc>
      </w:tr>
      <w:tr w14:paraId="6179D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92E41">
            <w:pPr>
              <w:pStyle w:val="11"/>
            </w:pPr>
            <w:r>
              <w:t>绩效目标</w:t>
            </w:r>
          </w:p>
        </w:tc>
        <w:tc>
          <w:tcPr>
            <w:tcW w:w="14033" w:type="dxa"/>
            <w:gridSpan w:val="6"/>
            <w:vAlign w:val="center"/>
          </w:tcPr>
          <w:p w14:paraId="4FA9DC4C">
            <w:pPr>
              <w:pStyle w:val="13"/>
            </w:pPr>
            <w:r>
              <w:t>1.项目需资金28万元，资金拨付率达到100%。</w:t>
            </w:r>
          </w:p>
          <w:p w14:paraId="476DE575">
            <w:pPr>
              <w:pStyle w:val="13"/>
            </w:pPr>
            <w:r>
              <w:t>2.改善就学条件，提升学校形象，保障义务教育阶段教学安全，创造良好的校园环境。</w:t>
            </w:r>
          </w:p>
        </w:tc>
      </w:tr>
    </w:tbl>
    <w:p w14:paraId="260716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5B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5B29E">
            <w:pPr>
              <w:pStyle w:val="11"/>
            </w:pPr>
            <w:r>
              <w:t>一级指标</w:t>
            </w:r>
          </w:p>
        </w:tc>
        <w:tc>
          <w:tcPr>
            <w:tcW w:w="2268" w:type="dxa"/>
            <w:vAlign w:val="center"/>
          </w:tcPr>
          <w:p w14:paraId="4A367CB4">
            <w:pPr>
              <w:pStyle w:val="11"/>
            </w:pPr>
            <w:r>
              <w:t>二级指标</w:t>
            </w:r>
          </w:p>
        </w:tc>
        <w:tc>
          <w:tcPr>
            <w:tcW w:w="2835" w:type="dxa"/>
            <w:vAlign w:val="center"/>
          </w:tcPr>
          <w:p w14:paraId="41AAF315">
            <w:pPr>
              <w:pStyle w:val="11"/>
            </w:pPr>
            <w:r>
              <w:t>三级指标</w:t>
            </w:r>
          </w:p>
        </w:tc>
        <w:tc>
          <w:tcPr>
            <w:tcW w:w="5386" w:type="dxa"/>
            <w:vAlign w:val="center"/>
          </w:tcPr>
          <w:p w14:paraId="40D74FB6">
            <w:pPr>
              <w:pStyle w:val="11"/>
            </w:pPr>
            <w:r>
              <w:t>绩效指标描述</w:t>
            </w:r>
          </w:p>
        </w:tc>
        <w:tc>
          <w:tcPr>
            <w:tcW w:w="2268" w:type="dxa"/>
            <w:vAlign w:val="center"/>
          </w:tcPr>
          <w:p w14:paraId="5C2AF387">
            <w:pPr>
              <w:pStyle w:val="11"/>
            </w:pPr>
            <w:r>
              <w:t>指标值</w:t>
            </w:r>
          </w:p>
        </w:tc>
        <w:tc>
          <w:tcPr>
            <w:tcW w:w="1276" w:type="dxa"/>
            <w:vAlign w:val="center"/>
          </w:tcPr>
          <w:p w14:paraId="3A8A3ED3">
            <w:pPr>
              <w:pStyle w:val="11"/>
            </w:pPr>
            <w:r>
              <w:t>指标值确定依据</w:t>
            </w:r>
          </w:p>
        </w:tc>
      </w:tr>
      <w:tr w14:paraId="09343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33769">
            <w:pPr>
              <w:pStyle w:val="12"/>
            </w:pPr>
            <w:r>
              <w:t>产出指标</w:t>
            </w:r>
          </w:p>
        </w:tc>
        <w:tc>
          <w:tcPr>
            <w:tcW w:w="2268" w:type="dxa"/>
            <w:vAlign w:val="center"/>
          </w:tcPr>
          <w:p w14:paraId="37810BFE">
            <w:pPr>
              <w:pStyle w:val="13"/>
            </w:pPr>
            <w:r>
              <w:t>数量指标</w:t>
            </w:r>
          </w:p>
        </w:tc>
        <w:tc>
          <w:tcPr>
            <w:tcW w:w="2835" w:type="dxa"/>
            <w:vAlign w:val="center"/>
          </w:tcPr>
          <w:p w14:paraId="2BCF0F18">
            <w:pPr>
              <w:pStyle w:val="13"/>
            </w:pPr>
            <w:r>
              <w:t>双回路电源高设备提升</w:t>
            </w:r>
          </w:p>
        </w:tc>
        <w:tc>
          <w:tcPr>
            <w:tcW w:w="5386" w:type="dxa"/>
            <w:vAlign w:val="center"/>
          </w:tcPr>
          <w:p w14:paraId="4FA78A11">
            <w:pPr>
              <w:pStyle w:val="13"/>
            </w:pPr>
            <w:r>
              <w:t>环网柜、避雷器等</w:t>
            </w:r>
          </w:p>
        </w:tc>
        <w:tc>
          <w:tcPr>
            <w:tcW w:w="2268" w:type="dxa"/>
            <w:vAlign w:val="center"/>
          </w:tcPr>
          <w:p w14:paraId="6CE1313F">
            <w:pPr>
              <w:pStyle w:val="13"/>
            </w:pPr>
            <w:r>
              <w:t>≥1项</w:t>
            </w:r>
          </w:p>
        </w:tc>
        <w:tc>
          <w:tcPr>
            <w:tcW w:w="1276" w:type="dxa"/>
            <w:vAlign w:val="center"/>
          </w:tcPr>
          <w:p w14:paraId="41E69C7A">
            <w:pPr>
              <w:pStyle w:val="13"/>
            </w:pPr>
            <w:r>
              <w:t>项目规划</w:t>
            </w:r>
          </w:p>
        </w:tc>
      </w:tr>
      <w:tr w14:paraId="789B4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ACB16"/>
        </w:tc>
        <w:tc>
          <w:tcPr>
            <w:tcW w:w="2268" w:type="dxa"/>
            <w:vAlign w:val="center"/>
          </w:tcPr>
          <w:p w14:paraId="26023A7F">
            <w:pPr>
              <w:pStyle w:val="13"/>
            </w:pPr>
            <w:r>
              <w:t>质量指标</w:t>
            </w:r>
          </w:p>
        </w:tc>
        <w:tc>
          <w:tcPr>
            <w:tcW w:w="2835" w:type="dxa"/>
            <w:vAlign w:val="center"/>
          </w:tcPr>
          <w:p w14:paraId="6E66E111">
            <w:pPr>
              <w:pStyle w:val="13"/>
            </w:pPr>
            <w:r>
              <w:t>工程实施验收合格率</w:t>
            </w:r>
          </w:p>
        </w:tc>
        <w:tc>
          <w:tcPr>
            <w:tcW w:w="5386" w:type="dxa"/>
            <w:vAlign w:val="center"/>
          </w:tcPr>
          <w:p w14:paraId="20E6F704">
            <w:pPr>
              <w:pStyle w:val="13"/>
            </w:pPr>
            <w:r>
              <w:t>申报程序的合规，项目实施及资金使用符合项目规划</w:t>
            </w:r>
          </w:p>
        </w:tc>
        <w:tc>
          <w:tcPr>
            <w:tcW w:w="2268" w:type="dxa"/>
            <w:vAlign w:val="center"/>
          </w:tcPr>
          <w:p w14:paraId="24CA192E">
            <w:pPr>
              <w:pStyle w:val="13"/>
            </w:pPr>
            <w:r>
              <w:t>≥100%</w:t>
            </w:r>
          </w:p>
        </w:tc>
        <w:tc>
          <w:tcPr>
            <w:tcW w:w="1276" w:type="dxa"/>
            <w:vAlign w:val="center"/>
          </w:tcPr>
          <w:p w14:paraId="5F11E27D">
            <w:pPr>
              <w:pStyle w:val="13"/>
            </w:pPr>
            <w:r>
              <w:t>项目规划</w:t>
            </w:r>
          </w:p>
        </w:tc>
      </w:tr>
      <w:tr w14:paraId="7AEEB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8D42D"/>
        </w:tc>
        <w:tc>
          <w:tcPr>
            <w:tcW w:w="2268" w:type="dxa"/>
            <w:vAlign w:val="center"/>
          </w:tcPr>
          <w:p w14:paraId="2759F181">
            <w:pPr>
              <w:pStyle w:val="13"/>
            </w:pPr>
            <w:r>
              <w:t>时效指标</w:t>
            </w:r>
          </w:p>
        </w:tc>
        <w:tc>
          <w:tcPr>
            <w:tcW w:w="2835" w:type="dxa"/>
            <w:vAlign w:val="center"/>
          </w:tcPr>
          <w:p w14:paraId="3254710C">
            <w:pPr>
              <w:pStyle w:val="13"/>
            </w:pPr>
            <w:r>
              <w:t>资金支付率</w:t>
            </w:r>
          </w:p>
        </w:tc>
        <w:tc>
          <w:tcPr>
            <w:tcW w:w="5386" w:type="dxa"/>
            <w:vAlign w:val="center"/>
          </w:tcPr>
          <w:p w14:paraId="41AAAAD3">
            <w:pPr>
              <w:pStyle w:val="13"/>
            </w:pPr>
            <w:r>
              <w:t>按照序时进度完成资金支付</w:t>
            </w:r>
          </w:p>
        </w:tc>
        <w:tc>
          <w:tcPr>
            <w:tcW w:w="2268" w:type="dxa"/>
            <w:vAlign w:val="center"/>
          </w:tcPr>
          <w:p w14:paraId="0DF45D0F">
            <w:pPr>
              <w:pStyle w:val="13"/>
            </w:pPr>
            <w:r>
              <w:t>≥100%</w:t>
            </w:r>
          </w:p>
        </w:tc>
        <w:tc>
          <w:tcPr>
            <w:tcW w:w="1276" w:type="dxa"/>
            <w:vAlign w:val="center"/>
          </w:tcPr>
          <w:p w14:paraId="52A2ECAF">
            <w:pPr>
              <w:pStyle w:val="13"/>
            </w:pPr>
            <w:r>
              <w:t>项目规划</w:t>
            </w:r>
          </w:p>
        </w:tc>
      </w:tr>
      <w:tr w14:paraId="539AA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8E17E"/>
        </w:tc>
        <w:tc>
          <w:tcPr>
            <w:tcW w:w="2268" w:type="dxa"/>
            <w:vAlign w:val="center"/>
          </w:tcPr>
          <w:p w14:paraId="4873E865">
            <w:pPr>
              <w:pStyle w:val="13"/>
            </w:pPr>
            <w:r>
              <w:t>成本指标</w:t>
            </w:r>
          </w:p>
        </w:tc>
        <w:tc>
          <w:tcPr>
            <w:tcW w:w="2835" w:type="dxa"/>
            <w:vAlign w:val="center"/>
          </w:tcPr>
          <w:p w14:paraId="11F58BC6">
            <w:pPr>
              <w:pStyle w:val="13"/>
            </w:pPr>
            <w:r>
              <w:t>项目成本控制情况</w:t>
            </w:r>
          </w:p>
        </w:tc>
        <w:tc>
          <w:tcPr>
            <w:tcW w:w="5386" w:type="dxa"/>
            <w:vAlign w:val="center"/>
          </w:tcPr>
          <w:p w14:paraId="79F3147A">
            <w:pPr>
              <w:pStyle w:val="13"/>
            </w:pPr>
            <w:r>
              <w:t>严格按照招标价格及审计额进行</w:t>
            </w:r>
          </w:p>
        </w:tc>
        <w:tc>
          <w:tcPr>
            <w:tcW w:w="2268" w:type="dxa"/>
            <w:vAlign w:val="center"/>
          </w:tcPr>
          <w:p w14:paraId="003B196B">
            <w:pPr>
              <w:pStyle w:val="13"/>
            </w:pPr>
            <w:r>
              <w:t>28万元</w:t>
            </w:r>
          </w:p>
        </w:tc>
        <w:tc>
          <w:tcPr>
            <w:tcW w:w="1276" w:type="dxa"/>
            <w:vAlign w:val="center"/>
          </w:tcPr>
          <w:p w14:paraId="52AE9964">
            <w:pPr>
              <w:pStyle w:val="13"/>
            </w:pPr>
            <w:r>
              <w:t>项目规划</w:t>
            </w:r>
          </w:p>
        </w:tc>
      </w:tr>
      <w:tr w14:paraId="4047B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A60228">
            <w:pPr>
              <w:pStyle w:val="12"/>
            </w:pPr>
            <w:r>
              <w:t>效益指标</w:t>
            </w:r>
          </w:p>
        </w:tc>
        <w:tc>
          <w:tcPr>
            <w:tcW w:w="2268" w:type="dxa"/>
            <w:vAlign w:val="center"/>
          </w:tcPr>
          <w:p w14:paraId="1EF30110">
            <w:pPr>
              <w:pStyle w:val="13"/>
            </w:pPr>
            <w:r>
              <w:t>社会效益指标</w:t>
            </w:r>
          </w:p>
        </w:tc>
        <w:tc>
          <w:tcPr>
            <w:tcW w:w="2835" w:type="dxa"/>
            <w:vAlign w:val="center"/>
          </w:tcPr>
          <w:p w14:paraId="149350E4">
            <w:pPr>
              <w:pStyle w:val="13"/>
            </w:pPr>
            <w:r>
              <w:t>学校办学环境提升</w:t>
            </w:r>
          </w:p>
        </w:tc>
        <w:tc>
          <w:tcPr>
            <w:tcW w:w="5386" w:type="dxa"/>
            <w:vAlign w:val="center"/>
          </w:tcPr>
          <w:p w14:paraId="15049501">
            <w:pPr>
              <w:pStyle w:val="13"/>
            </w:pPr>
            <w:r>
              <w:t>学校教学环境提升优化率</w:t>
            </w:r>
          </w:p>
        </w:tc>
        <w:tc>
          <w:tcPr>
            <w:tcW w:w="2268" w:type="dxa"/>
            <w:vAlign w:val="center"/>
          </w:tcPr>
          <w:p w14:paraId="2AF20331">
            <w:pPr>
              <w:pStyle w:val="13"/>
            </w:pPr>
            <w:r>
              <w:t>≥100%</w:t>
            </w:r>
          </w:p>
        </w:tc>
        <w:tc>
          <w:tcPr>
            <w:tcW w:w="1276" w:type="dxa"/>
            <w:vAlign w:val="center"/>
          </w:tcPr>
          <w:p w14:paraId="5545A634">
            <w:pPr>
              <w:pStyle w:val="13"/>
            </w:pPr>
            <w:r>
              <w:t>项目规划</w:t>
            </w:r>
          </w:p>
        </w:tc>
      </w:tr>
      <w:tr w14:paraId="0A9E2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3AA31E">
            <w:pPr>
              <w:pStyle w:val="12"/>
            </w:pPr>
            <w:r>
              <w:t>满意度指标</w:t>
            </w:r>
          </w:p>
        </w:tc>
        <w:tc>
          <w:tcPr>
            <w:tcW w:w="2268" w:type="dxa"/>
            <w:vAlign w:val="center"/>
          </w:tcPr>
          <w:p w14:paraId="7FC9188E">
            <w:pPr>
              <w:pStyle w:val="13"/>
            </w:pPr>
            <w:r>
              <w:t>服务对象满意度指标</w:t>
            </w:r>
          </w:p>
        </w:tc>
        <w:tc>
          <w:tcPr>
            <w:tcW w:w="2835" w:type="dxa"/>
            <w:vAlign w:val="center"/>
          </w:tcPr>
          <w:p w14:paraId="0D1DC8C2">
            <w:pPr>
              <w:pStyle w:val="13"/>
            </w:pPr>
            <w:r>
              <w:t>受益学生家长及调查满意度</w:t>
            </w:r>
          </w:p>
        </w:tc>
        <w:tc>
          <w:tcPr>
            <w:tcW w:w="5386" w:type="dxa"/>
            <w:vAlign w:val="center"/>
          </w:tcPr>
          <w:p w14:paraId="4BC21E59">
            <w:pPr>
              <w:pStyle w:val="13"/>
            </w:pPr>
            <w:r>
              <w:t>学生、教师及家长对学校教学环境满意度情况</w:t>
            </w:r>
          </w:p>
        </w:tc>
        <w:tc>
          <w:tcPr>
            <w:tcW w:w="2268" w:type="dxa"/>
            <w:vAlign w:val="center"/>
          </w:tcPr>
          <w:p w14:paraId="573D7A29">
            <w:pPr>
              <w:pStyle w:val="13"/>
            </w:pPr>
            <w:r>
              <w:t>≥95%</w:t>
            </w:r>
          </w:p>
        </w:tc>
        <w:tc>
          <w:tcPr>
            <w:tcW w:w="1276" w:type="dxa"/>
            <w:vAlign w:val="center"/>
          </w:tcPr>
          <w:p w14:paraId="5C230FBC">
            <w:pPr>
              <w:pStyle w:val="13"/>
            </w:pPr>
            <w:r>
              <w:t>项目规划</w:t>
            </w:r>
          </w:p>
        </w:tc>
      </w:tr>
    </w:tbl>
    <w:p w14:paraId="7B4F6E93">
      <w:pPr>
        <w:sectPr>
          <w:pgSz w:w="16840" w:h="11900" w:orient="landscape"/>
          <w:pgMar w:top="1361" w:right="1020" w:bottom="1134" w:left="1020" w:header="720" w:footer="720" w:gutter="0"/>
          <w:cols w:space="720" w:num="1"/>
        </w:sectPr>
      </w:pPr>
    </w:p>
    <w:p w14:paraId="7F22943D">
      <w:pPr>
        <w:spacing w:before="0" w:after="0"/>
        <w:ind w:firstLine="560"/>
        <w:jc w:val="left"/>
        <w:outlineLvl w:val="9"/>
      </w:pPr>
      <w:r>
        <w:rPr>
          <w:rFonts w:ascii="方正仿宋_GBK" w:hAnsi="方正仿宋_GBK" w:eastAsia="方正仿宋_GBK" w:cs="方正仿宋_GBK"/>
          <w:b/>
          <w:color w:val="000000"/>
          <w:sz w:val="28"/>
        </w:rPr>
        <w:t>6、冀财教[2024]138号/省级/2025年薄改与提升/实验中学足球场改造绩效目标表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FE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12195">
            <w:pPr>
              <w:pStyle w:val="14"/>
            </w:pPr>
            <w:r>
              <w:t>单位：万元</w:t>
            </w:r>
          </w:p>
        </w:tc>
      </w:tr>
      <w:tr w14:paraId="19436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03F2DF">
            <w:pPr>
              <w:pStyle w:val="11"/>
            </w:pPr>
            <w:r>
              <w:t>项目编码</w:t>
            </w:r>
          </w:p>
        </w:tc>
        <w:tc>
          <w:tcPr>
            <w:tcW w:w="5103" w:type="dxa"/>
            <w:gridSpan w:val="2"/>
            <w:vAlign w:val="center"/>
          </w:tcPr>
          <w:p w14:paraId="7C9F3E68">
            <w:pPr>
              <w:pStyle w:val="13"/>
            </w:pPr>
            <w:r>
              <w:t>13052525P008770100045</w:t>
            </w:r>
          </w:p>
        </w:tc>
        <w:tc>
          <w:tcPr>
            <w:tcW w:w="2835" w:type="dxa"/>
            <w:vAlign w:val="center"/>
          </w:tcPr>
          <w:p w14:paraId="55CB28B6">
            <w:pPr>
              <w:pStyle w:val="11"/>
            </w:pPr>
            <w:r>
              <w:t>项目名称</w:t>
            </w:r>
          </w:p>
        </w:tc>
        <w:tc>
          <w:tcPr>
            <w:tcW w:w="6095" w:type="dxa"/>
            <w:gridSpan w:val="3"/>
            <w:vAlign w:val="center"/>
          </w:tcPr>
          <w:p w14:paraId="1863BE3C">
            <w:pPr>
              <w:pStyle w:val="13"/>
            </w:pPr>
            <w:r>
              <w:t>冀财教[2024]138号/省级/2025年薄改与提升/实验中学足球场改造</w:t>
            </w:r>
          </w:p>
        </w:tc>
      </w:tr>
      <w:tr w14:paraId="1B9FA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23F21">
            <w:pPr>
              <w:pStyle w:val="11"/>
            </w:pPr>
            <w:r>
              <w:t>预算规模及资金用途</w:t>
            </w:r>
          </w:p>
        </w:tc>
        <w:tc>
          <w:tcPr>
            <w:tcW w:w="2268" w:type="dxa"/>
            <w:vAlign w:val="center"/>
          </w:tcPr>
          <w:p w14:paraId="51A5E0F0">
            <w:pPr>
              <w:pStyle w:val="11"/>
            </w:pPr>
            <w:r>
              <w:t>预算数</w:t>
            </w:r>
          </w:p>
        </w:tc>
        <w:tc>
          <w:tcPr>
            <w:tcW w:w="2835" w:type="dxa"/>
            <w:vAlign w:val="center"/>
          </w:tcPr>
          <w:p w14:paraId="15779E05">
            <w:pPr>
              <w:pStyle w:val="13"/>
            </w:pPr>
            <w:r>
              <w:t>147.00</w:t>
            </w:r>
          </w:p>
        </w:tc>
        <w:tc>
          <w:tcPr>
            <w:tcW w:w="2835" w:type="dxa"/>
            <w:vAlign w:val="center"/>
          </w:tcPr>
          <w:p w14:paraId="7CCCC51F">
            <w:pPr>
              <w:pStyle w:val="11"/>
            </w:pPr>
            <w:r>
              <w:t>其中：财政    资金</w:t>
            </w:r>
          </w:p>
        </w:tc>
        <w:tc>
          <w:tcPr>
            <w:tcW w:w="2551" w:type="dxa"/>
            <w:vAlign w:val="center"/>
          </w:tcPr>
          <w:p w14:paraId="37750B62">
            <w:pPr>
              <w:pStyle w:val="13"/>
            </w:pPr>
            <w:r>
              <w:t>147.00</w:t>
            </w:r>
          </w:p>
        </w:tc>
        <w:tc>
          <w:tcPr>
            <w:tcW w:w="2268" w:type="dxa"/>
            <w:vAlign w:val="center"/>
          </w:tcPr>
          <w:p w14:paraId="75487923">
            <w:pPr>
              <w:pStyle w:val="11"/>
            </w:pPr>
            <w:r>
              <w:t>其他资金</w:t>
            </w:r>
          </w:p>
        </w:tc>
        <w:tc>
          <w:tcPr>
            <w:tcW w:w="1276" w:type="dxa"/>
            <w:vAlign w:val="center"/>
          </w:tcPr>
          <w:p w14:paraId="289C9798">
            <w:pPr>
              <w:pStyle w:val="13"/>
            </w:pPr>
            <w:r>
              <w:t xml:space="preserve"> </w:t>
            </w:r>
          </w:p>
        </w:tc>
      </w:tr>
      <w:tr w14:paraId="24FFC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3E2282"/>
        </w:tc>
        <w:tc>
          <w:tcPr>
            <w:tcW w:w="14033" w:type="dxa"/>
            <w:gridSpan w:val="6"/>
            <w:vAlign w:val="center"/>
          </w:tcPr>
          <w:p w14:paraId="7E5F7A79">
            <w:pPr>
              <w:pStyle w:val="13"/>
            </w:pPr>
            <w:r>
              <w:t>提升教学质量，提高教学环境，为实验中学足球场改造，有效提高学校教学环境。</w:t>
            </w:r>
            <w:r>
              <w:tab/>
            </w:r>
          </w:p>
        </w:tc>
      </w:tr>
      <w:tr w14:paraId="43D44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8D1BF">
            <w:pPr>
              <w:pStyle w:val="11"/>
            </w:pPr>
            <w:r>
              <w:t>资金支出计划（%）</w:t>
            </w:r>
          </w:p>
        </w:tc>
        <w:tc>
          <w:tcPr>
            <w:tcW w:w="5103" w:type="dxa"/>
            <w:gridSpan w:val="2"/>
            <w:vAlign w:val="center"/>
          </w:tcPr>
          <w:p w14:paraId="0AB0739F">
            <w:pPr>
              <w:pStyle w:val="11"/>
            </w:pPr>
            <w:r>
              <w:t>3月底</w:t>
            </w:r>
          </w:p>
        </w:tc>
        <w:tc>
          <w:tcPr>
            <w:tcW w:w="2835" w:type="dxa"/>
            <w:vAlign w:val="center"/>
          </w:tcPr>
          <w:p w14:paraId="1EAF5FA6">
            <w:pPr>
              <w:pStyle w:val="11"/>
            </w:pPr>
            <w:r>
              <w:t>6月底</w:t>
            </w:r>
          </w:p>
        </w:tc>
        <w:tc>
          <w:tcPr>
            <w:tcW w:w="2551" w:type="dxa"/>
            <w:vAlign w:val="center"/>
          </w:tcPr>
          <w:p w14:paraId="3B0D89AC">
            <w:pPr>
              <w:pStyle w:val="11"/>
            </w:pPr>
            <w:r>
              <w:t>10月底</w:t>
            </w:r>
          </w:p>
        </w:tc>
        <w:tc>
          <w:tcPr>
            <w:tcW w:w="3544" w:type="dxa"/>
            <w:gridSpan w:val="2"/>
            <w:vAlign w:val="center"/>
          </w:tcPr>
          <w:p w14:paraId="218C22F1">
            <w:pPr>
              <w:pStyle w:val="11"/>
            </w:pPr>
            <w:r>
              <w:t>12月底</w:t>
            </w:r>
          </w:p>
        </w:tc>
      </w:tr>
      <w:tr w14:paraId="529C6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69827C"/>
        </w:tc>
        <w:tc>
          <w:tcPr>
            <w:tcW w:w="5103" w:type="dxa"/>
            <w:gridSpan w:val="2"/>
            <w:vAlign w:val="center"/>
          </w:tcPr>
          <w:p w14:paraId="47B3FEBC">
            <w:pPr>
              <w:pStyle w:val="12"/>
            </w:pPr>
            <w:r>
              <w:t xml:space="preserve"> </w:t>
            </w:r>
          </w:p>
        </w:tc>
        <w:tc>
          <w:tcPr>
            <w:tcW w:w="2835" w:type="dxa"/>
            <w:vAlign w:val="center"/>
          </w:tcPr>
          <w:p w14:paraId="4DE800B4">
            <w:pPr>
              <w:pStyle w:val="12"/>
            </w:pPr>
            <w:r>
              <w:t>50%</w:t>
            </w:r>
          </w:p>
        </w:tc>
        <w:tc>
          <w:tcPr>
            <w:tcW w:w="2551" w:type="dxa"/>
            <w:vAlign w:val="center"/>
          </w:tcPr>
          <w:p w14:paraId="6D4DE7C8">
            <w:pPr>
              <w:pStyle w:val="12"/>
            </w:pPr>
            <w:r>
              <w:t>75%</w:t>
            </w:r>
          </w:p>
        </w:tc>
        <w:tc>
          <w:tcPr>
            <w:tcW w:w="3544" w:type="dxa"/>
            <w:gridSpan w:val="2"/>
            <w:vAlign w:val="center"/>
          </w:tcPr>
          <w:p w14:paraId="2C324A5A">
            <w:pPr>
              <w:pStyle w:val="12"/>
            </w:pPr>
            <w:r>
              <w:t>100%</w:t>
            </w:r>
          </w:p>
        </w:tc>
      </w:tr>
      <w:tr w14:paraId="4CEDB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4D5FD7">
            <w:pPr>
              <w:pStyle w:val="11"/>
            </w:pPr>
            <w:r>
              <w:t>绩效目标</w:t>
            </w:r>
          </w:p>
        </w:tc>
        <w:tc>
          <w:tcPr>
            <w:tcW w:w="14033" w:type="dxa"/>
            <w:gridSpan w:val="6"/>
            <w:vAlign w:val="center"/>
          </w:tcPr>
          <w:p w14:paraId="4D7659C3">
            <w:pPr>
              <w:pStyle w:val="13"/>
            </w:pPr>
            <w:r>
              <w:t>1.项目需资金147万元，资金拨付率达到100%。</w:t>
            </w:r>
          </w:p>
          <w:p w14:paraId="0B48C19F">
            <w:pPr>
              <w:pStyle w:val="13"/>
            </w:pPr>
            <w:r>
              <w:t>2.改善就学条件，提升学校形象，保障义务教育阶段教学安全，创造良好的校园环境。</w:t>
            </w:r>
          </w:p>
        </w:tc>
      </w:tr>
    </w:tbl>
    <w:p w14:paraId="44689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AD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63E5C">
            <w:pPr>
              <w:pStyle w:val="11"/>
            </w:pPr>
            <w:r>
              <w:t>一级指标</w:t>
            </w:r>
          </w:p>
        </w:tc>
        <w:tc>
          <w:tcPr>
            <w:tcW w:w="2268" w:type="dxa"/>
            <w:vAlign w:val="center"/>
          </w:tcPr>
          <w:p w14:paraId="7AA4D76D">
            <w:pPr>
              <w:pStyle w:val="11"/>
            </w:pPr>
            <w:r>
              <w:t>二级指标</w:t>
            </w:r>
          </w:p>
        </w:tc>
        <w:tc>
          <w:tcPr>
            <w:tcW w:w="2835" w:type="dxa"/>
            <w:vAlign w:val="center"/>
          </w:tcPr>
          <w:p w14:paraId="07829B9A">
            <w:pPr>
              <w:pStyle w:val="11"/>
            </w:pPr>
            <w:r>
              <w:t>三级指标</w:t>
            </w:r>
          </w:p>
        </w:tc>
        <w:tc>
          <w:tcPr>
            <w:tcW w:w="5386" w:type="dxa"/>
            <w:vAlign w:val="center"/>
          </w:tcPr>
          <w:p w14:paraId="75AEA4B3">
            <w:pPr>
              <w:pStyle w:val="11"/>
            </w:pPr>
            <w:r>
              <w:t>绩效指标描述</w:t>
            </w:r>
          </w:p>
        </w:tc>
        <w:tc>
          <w:tcPr>
            <w:tcW w:w="2268" w:type="dxa"/>
            <w:vAlign w:val="center"/>
          </w:tcPr>
          <w:p w14:paraId="3844915E">
            <w:pPr>
              <w:pStyle w:val="11"/>
            </w:pPr>
            <w:r>
              <w:t>指标值</w:t>
            </w:r>
          </w:p>
        </w:tc>
        <w:tc>
          <w:tcPr>
            <w:tcW w:w="1276" w:type="dxa"/>
            <w:vAlign w:val="center"/>
          </w:tcPr>
          <w:p w14:paraId="2391CF9F">
            <w:pPr>
              <w:pStyle w:val="11"/>
            </w:pPr>
            <w:r>
              <w:t>指标值确定依据</w:t>
            </w:r>
          </w:p>
        </w:tc>
      </w:tr>
      <w:tr w14:paraId="0EB89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418EA">
            <w:pPr>
              <w:pStyle w:val="12"/>
            </w:pPr>
            <w:r>
              <w:t>产出指标</w:t>
            </w:r>
          </w:p>
        </w:tc>
        <w:tc>
          <w:tcPr>
            <w:tcW w:w="2268" w:type="dxa"/>
            <w:vAlign w:val="center"/>
          </w:tcPr>
          <w:p w14:paraId="508A2B71">
            <w:pPr>
              <w:pStyle w:val="13"/>
            </w:pPr>
            <w:r>
              <w:t>数量指标</w:t>
            </w:r>
          </w:p>
        </w:tc>
        <w:tc>
          <w:tcPr>
            <w:tcW w:w="2835" w:type="dxa"/>
            <w:vAlign w:val="center"/>
          </w:tcPr>
          <w:p w14:paraId="633FDA7D">
            <w:pPr>
              <w:pStyle w:val="13"/>
            </w:pPr>
            <w:r>
              <w:t xml:space="preserve"> 足球场改造。地面硬化、铺设草坪</w:t>
            </w:r>
          </w:p>
        </w:tc>
        <w:tc>
          <w:tcPr>
            <w:tcW w:w="5386" w:type="dxa"/>
            <w:vAlign w:val="center"/>
          </w:tcPr>
          <w:p w14:paraId="71CF7F7A">
            <w:pPr>
              <w:pStyle w:val="13"/>
            </w:pPr>
            <w:r>
              <w:t xml:space="preserve"> 足球场改造。地面硬化、铺设草坪</w:t>
            </w:r>
          </w:p>
        </w:tc>
        <w:tc>
          <w:tcPr>
            <w:tcW w:w="2268" w:type="dxa"/>
            <w:vAlign w:val="center"/>
          </w:tcPr>
          <w:p w14:paraId="12C23BD7">
            <w:pPr>
              <w:pStyle w:val="13"/>
            </w:pPr>
            <w:r>
              <w:t>1项</w:t>
            </w:r>
          </w:p>
        </w:tc>
        <w:tc>
          <w:tcPr>
            <w:tcW w:w="1276" w:type="dxa"/>
            <w:vAlign w:val="center"/>
          </w:tcPr>
          <w:p w14:paraId="2033737C">
            <w:pPr>
              <w:pStyle w:val="13"/>
            </w:pPr>
            <w:r>
              <w:t>项目规划</w:t>
            </w:r>
          </w:p>
        </w:tc>
      </w:tr>
      <w:tr w14:paraId="4EDFB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F7178"/>
        </w:tc>
        <w:tc>
          <w:tcPr>
            <w:tcW w:w="2268" w:type="dxa"/>
            <w:vAlign w:val="center"/>
          </w:tcPr>
          <w:p w14:paraId="31353870">
            <w:pPr>
              <w:pStyle w:val="13"/>
            </w:pPr>
            <w:r>
              <w:t>质量指标</w:t>
            </w:r>
          </w:p>
        </w:tc>
        <w:tc>
          <w:tcPr>
            <w:tcW w:w="2835" w:type="dxa"/>
            <w:vAlign w:val="center"/>
          </w:tcPr>
          <w:p w14:paraId="4A38B7AB">
            <w:pPr>
              <w:pStyle w:val="13"/>
            </w:pPr>
            <w:r>
              <w:t>工程实施验收合格率</w:t>
            </w:r>
          </w:p>
        </w:tc>
        <w:tc>
          <w:tcPr>
            <w:tcW w:w="5386" w:type="dxa"/>
            <w:vAlign w:val="center"/>
          </w:tcPr>
          <w:p w14:paraId="0A4EA390">
            <w:pPr>
              <w:pStyle w:val="13"/>
            </w:pPr>
            <w:r>
              <w:t>申报程序的合规，项目实施及资金使用符合项目规划</w:t>
            </w:r>
          </w:p>
        </w:tc>
        <w:tc>
          <w:tcPr>
            <w:tcW w:w="2268" w:type="dxa"/>
            <w:vAlign w:val="center"/>
          </w:tcPr>
          <w:p w14:paraId="10F47287">
            <w:pPr>
              <w:pStyle w:val="13"/>
            </w:pPr>
            <w:r>
              <w:t>≥100%</w:t>
            </w:r>
          </w:p>
        </w:tc>
        <w:tc>
          <w:tcPr>
            <w:tcW w:w="1276" w:type="dxa"/>
            <w:vAlign w:val="center"/>
          </w:tcPr>
          <w:p w14:paraId="20FCB636">
            <w:pPr>
              <w:pStyle w:val="13"/>
            </w:pPr>
            <w:r>
              <w:t>项目规划</w:t>
            </w:r>
          </w:p>
        </w:tc>
      </w:tr>
      <w:tr w14:paraId="711F2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AF875"/>
        </w:tc>
        <w:tc>
          <w:tcPr>
            <w:tcW w:w="2268" w:type="dxa"/>
            <w:vAlign w:val="center"/>
          </w:tcPr>
          <w:p w14:paraId="760A101B">
            <w:pPr>
              <w:pStyle w:val="13"/>
            </w:pPr>
            <w:r>
              <w:t>时效指标</w:t>
            </w:r>
          </w:p>
        </w:tc>
        <w:tc>
          <w:tcPr>
            <w:tcW w:w="2835" w:type="dxa"/>
            <w:vAlign w:val="center"/>
          </w:tcPr>
          <w:p w14:paraId="1864EBC7">
            <w:pPr>
              <w:pStyle w:val="13"/>
            </w:pPr>
            <w:r>
              <w:t>资金支付率</w:t>
            </w:r>
          </w:p>
        </w:tc>
        <w:tc>
          <w:tcPr>
            <w:tcW w:w="5386" w:type="dxa"/>
            <w:vAlign w:val="center"/>
          </w:tcPr>
          <w:p w14:paraId="1AFFC49D">
            <w:pPr>
              <w:pStyle w:val="13"/>
            </w:pPr>
            <w:r>
              <w:t>按照序时进度完成资金支付</w:t>
            </w:r>
          </w:p>
        </w:tc>
        <w:tc>
          <w:tcPr>
            <w:tcW w:w="2268" w:type="dxa"/>
            <w:vAlign w:val="center"/>
          </w:tcPr>
          <w:p w14:paraId="2E90FCA5">
            <w:pPr>
              <w:pStyle w:val="13"/>
            </w:pPr>
            <w:r>
              <w:t>≥100%</w:t>
            </w:r>
          </w:p>
        </w:tc>
        <w:tc>
          <w:tcPr>
            <w:tcW w:w="1276" w:type="dxa"/>
            <w:vAlign w:val="center"/>
          </w:tcPr>
          <w:p w14:paraId="01A21387">
            <w:pPr>
              <w:pStyle w:val="13"/>
            </w:pPr>
            <w:r>
              <w:t>项目规划</w:t>
            </w:r>
          </w:p>
        </w:tc>
      </w:tr>
      <w:tr w14:paraId="46542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B8C0E"/>
        </w:tc>
        <w:tc>
          <w:tcPr>
            <w:tcW w:w="2268" w:type="dxa"/>
            <w:vAlign w:val="center"/>
          </w:tcPr>
          <w:p w14:paraId="2416D48C">
            <w:pPr>
              <w:pStyle w:val="13"/>
            </w:pPr>
            <w:r>
              <w:t>成本指标</w:t>
            </w:r>
          </w:p>
        </w:tc>
        <w:tc>
          <w:tcPr>
            <w:tcW w:w="2835" w:type="dxa"/>
            <w:vAlign w:val="center"/>
          </w:tcPr>
          <w:p w14:paraId="26C15CF9">
            <w:pPr>
              <w:pStyle w:val="13"/>
            </w:pPr>
            <w:r>
              <w:t>项目成本控制情况</w:t>
            </w:r>
          </w:p>
        </w:tc>
        <w:tc>
          <w:tcPr>
            <w:tcW w:w="5386" w:type="dxa"/>
            <w:vAlign w:val="center"/>
          </w:tcPr>
          <w:p w14:paraId="7BF06A35">
            <w:pPr>
              <w:pStyle w:val="13"/>
            </w:pPr>
            <w:r>
              <w:t>严格按照招标价格及审计额进行</w:t>
            </w:r>
          </w:p>
        </w:tc>
        <w:tc>
          <w:tcPr>
            <w:tcW w:w="2268" w:type="dxa"/>
            <w:vAlign w:val="center"/>
          </w:tcPr>
          <w:p w14:paraId="27E6D11E">
            <w:pPr>
              <w:pStyle w:val="13"/>
            </w:pPr>
            <w:r>
              <w:t>147万元</w:t>
            </w:r>
          </w:p>
        </w:tc>
        <w:tc>
          <w:tcPr>
            <w:tcW w:w="1276" w:type="dxa"/>
            <w:vAlign w:val="center"/>
          </w:tcPr>
          <w:p w14:paraId="544603AB">
            <w:pPr>
              <w:pStyle w:val="13"/>
            </w:pPr>
            <w:r>
              <w:t>项目规划</w:t>
            </w:r>
          </w:p>
        </w:tc>
      </w:tr>
      <w:tr w14:paraId="009B4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34EA2">
            <w:pPr>
              <w:pStyle w:val="12"/>
            </w:pPr>
            <w:r>
              <w:t>效益指标</w:t>
            </w:r>
          </w:p>
        </w:tc>
        <w:tc>
          <w:tcPr>
            <w:tcW w:w="2268" w:type="dxa"/>
            <w:vAlign w:val="center"/>
          </w:tcPr>
          <w:p w14:paraId="57A8EE85">
            <w:pPr>
              <w:pStyle w:val="13"/>
            </w:pPr>
            <w:r>
              <w:t>社会效益指标</w:t>
            </w:r>
          </w:p>
        </w:tc>
        <w:tc>
          <w:tcPr>
            <w:tcW w:w="2835" w:type="dxa"/>
            <w:vAlign w:val="center"/>
          </w:tcPr>
          <w:p w14:paraId="1081467A">
            <w:pPr>
              <w:pStyle w:val="13"/>
            </w:pPr>
            <w:r>
              <w:t>学校办学环境提升</w:t>
            </w:r>
          </w:p>
        </w:tc>
        <w:tc>
          <w:tcPr>
            <w:tcW w:w="5386" w:type="dxa"/>
            <w:vAlign w:val="center"/>
          </w:tcPr>
          <w:p w14:paraId="432F7104">
            <w:pPr>
              <w:pStyle w:val="13"/>
            </w:pPr>
            <w:r>
              <w:t>学校教学环境提升优化率</w:t>
            </w:r>
          </w:p>
        </w:tc>
        <w:tc>
          <w:tcPr>
            <w:tcW w:w="2268" w:type="dxa"/>
            <w:vAlign w:val="center"/>
          </w:tcPr>
          <w:p w14:paraId="4B80DEB4">
            <w:pPr>
              <w:pStyle w:val="13"/>
            </w:pPr>
            <w:r>
              <w:t>≥100%</w:t>
            </w:r>
          </w:p>
        </w:tc>
        <w:tc>
          <w:tcPr>
            <w:tcW w:w="1276" w:type="dxa"/>
            <w:vAlign w:val="center"/>
          </w:tcPr>
          <w:p w14:paraId="249E41CF">
            <w:pPr>
              <w:pStyle w:val="13"/>
            </w:pPr>
            <w:r>
              <w:t>项目规划</w:t>
            </w:r>
          </w:p>
        </w:tc>
      </w:tr>
      <w:tr w14:paraId="49C24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D5DB00">
            <w:pPr>
              <w:pStyle w:val="12"/>
            </w:pPr>
            <w:r>
              <w:t>满意度指标</w:t>
            </w:r>
          </w:p>
        </w:tc>
        <w:tc>
          <w:tcPr>
            <w:tcW w:w="2268" w:type="dxa"/>
            <w:vAlign w:val="center"/>
          </w:tcPr>
          <w:p w14:paraId="3C4A1364">
            <w:pPr>
              <w:pStyle w:val="13"/>
            </w:pPr>
            <w:r>
              <w:t>服务对象满意度指标</w:t>
            </w:r>
          </w:p>
        </w:tc>
        <w:tc>
          <w:tcPr>
            <w:tcW w:w="2835" w:type="dxa"/>
            <w:vAlign w:val="center"/>
          </w:tcPr>
          <w:p w14:paraId="561F71AC">
            <w:pPr>
              <w:pStyle w:val="13"/>
            </w:pPr>
            <w:r>
              <w:t>受益学生家长及调查满意度</w:t>
            </w:r>
          </w:p>
        </w:tc>
        <w:tc>
          <w:tcPr>
            <w:tcW w:w="5386" w:type="dxa"/>
            <w:vAlign w:val="center"/>
          </w:tcPr>
          <w:p w14:paraId="353BBE83">
            <w:pPr>
              <w:pStyle w:val="13"/>
            </w:pPr>
            <w:r>
              <w:t>学生、教师及家长对学校教学环境满意度情况</w:t>
            </w:r>
          </w:p>
        </w:tc>
        <w:tc>
          <w:tcPr>
            <w:tcW w:w="2268" w:type="dxa"/>
            <w:vAlign w:val="center"/>
          </w:tcPr>
          <w:p w14:paraId="7B4A1F77">
            <w:pPr>
              <w:pStyle w:val="13"/>
            </w:pPr>
            <w:r>
              <w:t>≥95%</w:t>
            </w:r>
          </w:p>
        </w:tc>
        <w:tc>
          <w:tcPr>
            <w:tcW w:w="1276" w:type="dxa"/>
            <w:vAlign w:val="center"/>
          </w:tcPr>
          <w:p w14:paraId="359EC871">
            <w:pPr>
              <w:pStyle w:val="13"/>
            </w:pPr>
            <w:r>
              <w:t>项目规划</w:t>
            </w:r>
          </w:p>
        </w:tc>
      </w:tr>
    </w:tbl>
    <w:p w14:paraId="1100B188">
      <w:pPr>
        <w:sectPr>
          <w:pgSz w:w="16840" w:h="11900" w:orient="landscape"/>
          <w:pgMar w:top="1361" w:right="1020" w:bottom="1134" w:left="1020" w:header="720" w:footer="720" w:gutter="0"/>
          <w:cols w:space="720" w:num="1"/>
        </w:sectPr>
      </w:pPr>
    </w:p>
    <w:p w14:paraId="0DBE95F5">
      <w:pPr>
        <w:spacing w:before="0" w:after="0"/>
        <w:ind w:firstLine="560"/>
        <w:jc w:val="left"/>
        <w:outlineLvl w:val="9"/>
      </w:pPr>
      <w:r>
        <w:rPr>
          <w:rFonts w:ascii="方正仿宋_GBK" w:hAnsi="方正仿宋_GBK" w:eastAsia="方正仿宋_GBK" w:cs="方正仿宋_GBK"/>
          <w:b/>
          <w:color w:val="000000"/>
          <w:sz w:val="28"/>
        </w:rPr>
        <w:t>7、冀财教[2024]141号/省级/2025年义教补助经费/实验中学公用经费绩效目标表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65A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D5072">
            <w:pPr>
              <w:pStyle w:val="14"/>
            </w:pPr>
            <w:r>
              <w:t>单位：万元</w:t>
            </w:r>
          </w:p>
        </w:tc>
      </w:tr>
      <w:tr w14:paraId="32145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EC382">
            <w:pPr>
              <w:pStyle w:val="11"/>
            </w:pPr>
            <w:r>
              <w:t>项目编码</w:t>
            </w:r>
          </w:p>
        </w:tc>
        <w:tc>
          <w:tcPr>
            <w:tcW w:w="5103" w:type="dxa"/>
            <w:gridSpan w:val="2"/>
            <w:vAlign w:val="center"/>
          </w:tcPr>
          <w:p w14:paraId="6822A225">
            <w:pPr>
              <w:pStyle w:val="13"/>
            </w:pPr>
            <w:r>
              <w:t>13052525P000004101253</w:t>
            </w:r>
          </w:p>
        </w:tc>
        <w:tc>
          <w:tcPr>
            <w:tcW w:w="2835" w:type="dxa"/>
            <w:vAlign w:val="center"/>
          </w:tcPr>
          <w:p w14:paraId="40EA8163">
            <w:pPr>
              <w:pStyle w:val="11"/>
            </w:pPr>
            <w:r>
              <w:t>项目名称</w:t>
            </w:r>
          </w:p>
        </w:tc>
        <w:tc>
          <w:tcPr>
            <w:tcW w:w="6095" w:type="dxa"/>
            <w:gridSpan w:val="3"/>
            <w:vAlign w:val="center"/>
          </w:tcPr>
          <w:p w14:paraId="1C7230DD">
            <w:pPr>
              <w:pStyle w:val="13"/>
            </w:pPr>
            <w:r>
              <w:t>冀财教[2024]141号/省级/2025年义教补助经费/实验中学公用经费</w:t>
            </w:r>
          </w:p>
        </w:tc>
      </w:tr>
      <w:tr w14:paraId="5FAB69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2F4B0">
            <w:pPr>
              <w:pStyle w:val="11"/>
            </w:pPr>
            <w:r>
              <w:t>预算规模及资金用途</w:t>
            </w:r>
          </w:p>
        </w:tc>
        <w:tc>
          <w:tcPr>
            <w:tcW w:w="2268" w:type="dxa"/>
            <w:vAlign w:val="center"/>
          </w:tcPr>
          <w:p w14:paraId="75ED0A38">
            <w:pPr>
              <w:pStyle w:val="11"/>
            </w:pPr>
            <w:r>
              <w:t>预算数</w:t>
            </w:r>
          </w:p>
        </w:tc>
        <w:tc>
          <w:tcPr>
            <w:tcW w:w="2835" w:type="dxa"/>
            <w:vAlign w:val="center"/>
          </w:tcPr>
          <w:p w14:paraId="2657897F">
            <w:pPr>
              <w:pStyle w:val="13"/>
            </w:pPr>
            <w:r>
              <w:t>193.71</w:t>
            </w:r>
          </w:p>
        </w:tc>
        <w:tc>
          <w:tcPr>
            <w:tcW w:w="2835" w:type="dxa"/>
            <w:vAlign w:val="center"/>
          </w:tcPr>
          <w:p w14:paraId="3C6D8AD8">
            <w:pPr>
              <w:pStyle w:val="11"/>
            </w:pPr>
            <w:r>
              <w:t>其中：财政    资金</w:t>
            </w:r>
          </w:p>
        </w:tc>
        <w:tc>
          <w:tcPr>
            <w:tcW w:w="2551" w:type="dxa"/>
            <w:vAlign w:val="center"/>
          </w:tcPr>
          <w:p w14:paraId="7756CA45">
            <w:pPr>
              <w:pStyle w:val="13"/>
            </w:pPr>
            <w:r>
              <w:t>193.71</w:t>
            </w:r>
          </w:p>
        </w:tc>
        <w:tc>
          <w:tcPr>
            <w:tcW w:w="2268" w:type="dxa"/>
            <w:vAlign w:val="center"/>
          </w:tcPr>
          <w:p w14:paraId="3D378C47">
            <w:pPr>
              <w:pStyle w:val="11"/>
            </w:pPr>
            <w:r>
              <w:t>其他资金</w:t>
            </w:r>
          </w:p>
        </w:tc>
        <w:tc>
          <w:tcPr>
            <w:tcW w:w="1276" w:type="dxa"/>
            <w:vAlign w:val="center"/>
          </w:tcPr>
          <w:p w14:paraId="55E9906F">
            <w:pPr>
              <w:pStyle w:val="13"/>
            </w:pPr>
            <w:r>
              <w:t xml:space="preserve"> </w:t>
            </w:r>
          </w:p>
        </w:tc>
      </w:tr>
      <w:tr w14:paraId="58D35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0A27F9"/>
        </w:tc>
        <w:tc>
          <w:tcPr>
            <w:tcW w:w="14033" w:type="dxa"/>
            <w:gridSpan w:val="6"/>
            <w:vAlign w:val="center"/>
          </w:tcPr>
          <w:p w14:paraId="7000D6AA">
            <w:pPr>
              <w:pStyle w:val="13"/>
            </w:pPr>
            <w:r>
              <w:t>用于有效完成学校教学安全秩序，保障学校教学任务有效开展，满足学校正常教学需要。</w:t>
            </w:r>
          </w:p>
        </w:tc>
      </w:tr>
      <w:tr w14:paraId="3881F3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C2964">
            <w:pPr>
              <w:pStyle w:val="11"/>
            </w:pPr>
            <w:r>
              <w:t>资金支出计划（%）</w:t>
            </w:r>
          </w:p>
        </w:tc>
        <w:tc>
          <w:tcPr>
            <w:tcW w:w="5103" w:type="dxa"/>
            <w:gridSpan w:val="2"/>
            <w:vAlign w:val="center"/>
          </w:tcPr>
          <w:p w14:paraId="444F38DA">
            <w:pPr>
              <w:pStyle w:val="11"/>
            </w:pPr>
            <w:r>
              <w:t>3月底</w:t>
            </w:r>
          </w:p>
        </w:tc>
        <w:tc>
          <w:tcPr>
            <w:tcW w:w="2835" w:type="dxa"/>
            <w:vAlign w:val="center"/>
          </w:tcPr>
          <w:p w14:paraId="4C5BE94A">
            <w:pPr>
              <w:pStyle w:val="11"/>
            </w:pPr>
            <w:r>
              <w:t>6月底</w:t>
            </w:r>
          </w:p>
        </w:tc>
        <w:tc>
          <w:tcPr>
            <w:tcW w:w="2551" w:type="dxa"/>
            <w:vAlign w:val="center"/>
          </w:tcPr>
          <w:p w14:paraId="08A9932F">
            <w:pPr>
              <w:pStyle w:val="11"/>
            </w:pPr>
            <w:r>
              <w:t>10月底</w:t>
            </w:r>
          </w:p>
        </w:tc>
        <w:tc>
          <w:tcPr>
            <w:tcW w:w="3544" w:type="dxa"/>
            <w:gridSpan w:val="2"/>
            <w:vAlign w:val="center"/>
          </w:tcPr>
          <w:p w14:paraId="34A69AE8">
            <w:pPr>
              <w:pStyle w:val="11"/>
            </w:pPr>
            <w:r>
              <w:t>12月底</w:t>
            </w:r>
          </w:p>
        </w:tc>
      </w:tr>
      <w:tr w14:paraId="350C2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DDC9B"/>
        </w:tc>
        <w:tc>
          <w:tcPr>
            <w:tcW w:w="5103" w:type="dxa"/>
            <w:gridSpan w:val="2"/>
            <w:vAlign w:val="center"/>
          </w:tcPr>
          <w:p w14:paraId="736F17E8">
            <w:pPr>
              <w:pStyle w:val="12"/>
            </w:pPr>
            <w:r>
              <w:t>25%</w:t>
            </w:r>
          </w:p>
        </w:tc>
        <w:tc>
          <w:tcPr>
            <w:tcW w:w="2835" w:type="dxa"/>
            <w:vAlign w:val="center"/>
          </w:tcPr>
          <w:p w14:paraId="6A018A76">
            <w:pPr>
              <w:pStyle w:val="12"/>
            </w:pPr>
            <w:r>
              <w:t>50%</w:t>
            </w:r>
          </w:p>
        </w:tc>
        <w:tc>
          <w:tcPr>
            <w:tcW w:w="2551" w:type="dxa"/>
            <w:vAlign w:val="center"/>
          </w:tcPr>
          <w:p w14:paraId="4225C2E4">
            <w:pPr>
              <w:pStyle w:val="12"/>
            </w:pPr>
            <w:r>
              <w:t>75%</w:t>
            </w:r>
          </w:p>
        </w:tc>
        <w:tc>
          <w:tcPr>
            <w:tcW w:w="3544" w:type="dxa"/>
            <w:gridSpan w:val="2"/>
            <w:vAlign w:val="center"/>
          </w:tcPr>
          <w:p w14:paraId="187410C3">
            <w:pPr>
              <w:pStyle w:val="12"/>
            </w:pPr>
            <w:r>
              <w:t>100%</w:t>
            </w:r>
          </w:p>
        </w:tc>
      </w:tr>
      <w:tr w14:paraId="42B7F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A9B95">
            <w:pPr>
              <w:pStyle w:val="11"/>
            </w:pPr>
            <w:r>
              <w:t>绩效目标</w:t>
            </w:r>
          </w:p>
        </w:tc>
        <w:tc>
          <w:tcPr>
            <w:tcW w:w="14033" w:type="dxa"/>
            <w:gridSpan w:val="6"/>
            <w:vAlign w:val="center"/>
          </w:tcPr>
          <w:p w14:paraId="68B2D60A">
            <w:pPr>
              <w:pStyle w:val="13"/>
            </w:pPr>
            <w:r>
              <w:t>1.按规定拨付公用经费资金，预算执行率≥98%。</w:t>
            </w:r>
          </w:p>
          <w:p w14:paraId="784F261C">
            <w:pPr>
              <w:pStyle w:val="13"/>
            </w:pPr>
            <w:r>
              <w:t>2.有效完成学校教学安全秩序，保障学校教学任务有效开展，满足学校正常教学需要。</w:t>
            </w:r>
          </w:p>
        </w:tc>
      </w:tr>
    </w:tbl>
    <w:p w14:paraId="10D6E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66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4D5FF">
            <w:pPr>
              <w:pStyle w:val="11"/>
            </w:pPr>
            <w:r>
              <w:t>一级指标</w:t>
            </w:r>
          </w:p>
        </w:tc>
        <w:tc>
          <w:tcPr>
            <w:tcW w:w="2268" w:type="dxa"/>
            <w:vAlign w:val="center"/>
          </w:tcPr>
          <w:p w14:paraId="31F27814">
            <w:pPr>
              <w:pStyle w:val="11"/>
            </w:pPr>
            <w:r>
              <w:t>二级指标</w:t>
            </w:r>
          </w:p>
        </w:tc>
        <w:tc>
          <w:tcPr>
            <w:tcW w:w="2835" w:type="dxa"/>
            <w:vAlign w:val="center"/>
          </w:tcPr>
          <w:p w14:paraId="0D025766">
            <w:pPr>
              <w:pStyle w:val="11"/>
            </w:pPr>
            <w:r>
              <w:t>三级指标</w:t>
            </w:r>
          </w:p>
        </w:tc>
        <w:tc>
          <w:tcPr>
            <w:tcW w:w="5386" w:type="dxa"/>
            <w:vAlign w:val="center"/>
          </w:tcPr>
          <w:p w14:paraId="5EFC5395">
            <w:pPr>
              <w:pStyle w:val="11"/>
            </w:pPr>
            <w:r>
              <w:t>绩效指标描述</w:t>
            </w:r>
          </w:p>
        </w:tc>
        <w:tc>
          <w:tcPr>
            <w:tcW w:w="2268" w:type="dxa"/>
            <w:vAlign w:val="center"/>
          </w:tcPr>
          <w:p w14:paraId="0B6EAF9F">
            <w:pPr>
              <w:pStyle w:val="11"/>
            </w:pPr>
            <w:r>
              <w:t>指标值</w:t>
            </w:r>
          </w:p>
        </w:tc>
        <w:tc>
          <w:tcPr>
            <w:tcW w:w="1276" w:type="dxa"/>
            <w:vAlign w:val="center"/>
          </w:tcPr>
          <w:p w14:paraId="61CD0B51">
            <w:pPr>
              <w:pStyle w:val="11"/>
            </w:pPr>
            <w:r>
              <w:t>指标值确定依据</w:t>
            </w:r>
          </w:p>
        </w:tc>
      </w:tr>
      <w:tr w14:paraId="21099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28A2A">
            <w:pPr>
              <w:pStyle w:val="12"/>
            </w:pPr>
            <w:r>
              <w:t>产出指标</w:t>
            </w:r>
          </w:p>
        </w:tc>
        <w:tc>
          <w:tcPr>
            <w:tcW w:w="2268" w:type="dxa"/>
            <w:vAlign w:val="center"/>
          </w:tcPr>
          <w:p w14:paraId="62C3E642">
            <w:pPr>
              <w:pStyle w:val="13"/>
            </w:pPr>
            <w:r>
              <w:t>数量指标</w:t>
            </w:r>
          </w:p>
        </w:tc>
        <w:tc>
          <w:tcPr>
            <w:tcW w:w="2835" w:type="dxa"/>
            <w:vAlign w:val="center"/>
          </w:tcPr>
          <w:p w14:paraId="2175BE60">
            <w:pPr>
              <w:pStyle w:val="13"/>
            </w:pPr>
            <w:r>
              <w:t>就读学生数</w:t>
            </w:r>
          </w:p>
        </w:tc>
        <w:tc>
          <w:tcPr>
            <w:tcW w:w="5386" w:type="dxa"/>
            <w:vAlign w:val="center"/>
          </w:tcPr>
          <w:p w14:paraId="2E1283D1">
            <w:pPr>
              <w:pStyle w:val="13"/>
            </w:pPr>
            <w:r>
              <w:t>辐射区域内适龄学生人数</w:t>
            </w:r>
          </w:p>
        </w:tc>
        <w:tc>
          <w:tcPr>
            <w:tcW w:w="2268" w:type="dxa"/>
            <w:vAlign w:val="center"/>
          </w:tcPr>
          <w:p w14:paraId="542DC199">
            <w:pPr>
              <w:pStyle w:val="13"/>
            </w:pPr>
            <w:r>
              <w:t>≥4374人</w:t>
            </w:r>
          </w:p>
        </w:tc>
        <w:tc>
          <w:tcPr>
            <w:tcW w:w="1276" w:type="dxa"/>
            <w:vAlign w:val="center"/>
          </w:tcPr>
          <w:p w14:paraId="1DD13B7E">
            <w:pPr>
              <w:pStyle w:val="13"/>
            </w:pPr>
            <w:r>
              <w:t>城乡义务教育公用经费管理办法</w:t>
            </w:r>
          </w:p>
        </w:tc>
      </w:tr>
      <w:tr w14:paraId="48F58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A08A1"/>
        </w:tc>
        <w:tc>
          <w:tcPr>
            <w:tcW w:w="2268" w:type="dxa"/>
            <w:vAlign w:val="center"/>
          </w:tcPr>
          <w:p w14:paraId="7F182198">
            <w:pPr>
              <w:pStyle w:val="13"/>
            </w:pPr>
            <w:r>
              <w:t>质量指标</w:t>
            </w:r>
          </w:p>
        </w:tc>
        <w:tc>
          <w:tcPr>
            <w:tcW w:w="2835" w:type="dxa"/>
            <w:vAlign w:val="center"/>
          </w:tcPr>
          <w:p w14:paraId="7D52ECB5">
            <w:pPr>
              <w:pStyle w:val="13"/>
            </w:pPr>
            <w:r>
              <w:t>预算执行率</w:t>
            </w:r>
          </w:p>
        </w:tc>
        <w:tc>
          <w:tcPr>
            <w:tcW w:w="5386" w:type="dxa"/>
            <w:vAlign w:val="center"/>
          </w:tcPr>
          <w:p w14:paraId="109FBEA9">
            <w:pPr>
              <w:pStyle w:val="13"/>
            </w:pPr>
            <w:r>
              <w:t>预算执行率</w:t>
            </w:r>
          </w:p>
        </w:tc>
        <w:tc>
          <w:tcPr>
            <w:tcW w:w="2268" w:type="dxa"/>
            <w:vAlign w:val="center"/>
          </w:tcPr>
          <w:p w14:paraId="3BC55685">
            <w:pPr>
              <w:pStyle w:val="13"/>
            </w:pPr>
            <w:r>
              <w:t>≥98%</w:t>
            </w:r>
          </w:p>
        </w:tc>
        <w:tc>
          <w:tcPr>
            <w:tcW w:w="1276" w:type="dxa"/>
            <w:vAlign w:val="center"/>
          </w:tcPr>
          <w:p w14:paraId="1CB501E3">
            <w:pPr>
              <w:pStyle w:val="13"/>
            </w:pPr>
            <w:r>
              <w:t>城乡义务教育公用经费管理办法</w:t>
            </w:r>
          </w:p>
        </w:tc>
      </w:tr>
      <w:tr w14:paraId="472B6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D7684"/>
        </w:tc>
        <w:tc>
          <w:tcPr>
            <w:tcW w:w="2268" w:type="dxa"/>
            <w:vAlign w:val="center"/>
          </w:tcPr>
          <w:p w14:paraId="04612F96">
            <w:pPr>
              <w:pStyle w:val="13"/>
            </w:pPr>
            <w:r>
              <w:t>时效指标</w:t>
            </w:r>
          </w:p>
        </w:tc>
        <w:tc>
          <w:tcPr>
            <w:tcW w:w="2835" w:type="dxa"/>
            <w:vAlign w:val="center"/>
          </w:tcPr>
          <w:p w14:paraId="09687899">
            <w:pPr>
              <w:pStyle w:val="13"/>
            </w:pPr>
            <w:r>
              <w:t>义教经费支付完成率</w:t>
            </w:r>
          </w:p>
        </w:tc>
        <w:tc>
          <w:tcPr>
            <w:tcW w:w="5386" w:type="dxa"/>
            <w:vAlign w:val="center"/>
          </w:tcPr>
          <w:p w14:paraId="7974E603">
            <w:pPr>
              <w:pStyle w:val="13"/>
            </w:pPr>
            <w:r>
              <w:t>按照序时进度完成资金支付</w:t>
            </w:r>
          </w:p>
        </w:tc>
        <w:tc>
          <w:tcPr>
            <w:tcW w:w="2268" w:type="dxa"/>
            <w:vAlign w:val="center"/>
          </w:tcPr>
          <w:p w14:paraId="5A1ED614">
            <w:pPr>
              <w:pStyle w:val="13"/>
            </w:pPr>
            <w:r>
              <w:t>≥100%</w:t>
            </w:r>
          </w:p>
        </w:tc>
        <w:tc>
          <w:tcPr>
            <w:tcW w:w="1276" w:type="dxa"/>
            <w:vAlign w:val="center"/>
          </w:tcPr>
          <w:p w14:paraId="21AE4B27">
            <w:pPr>
              <w:pStyle w:val="13"/>
            </w:pPr>
            <w:r>
              <w:t>城乡义务教育公用经费管理办法</w:t>
            </w:r>
          </w:p>
        </w:tc>
      </w:tr>
      <w:tr w14:paraId="4E421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5606A788"/>
        </w:tc>
        <w:tc>
          <w:tcPr>
            <w:tcW w:w="2268" w:type="dxa"/>
            <w:vAlign w:val="center"/>
          </w:tcPr>
          <w:p w14:paraId="0A7F7044">
            <w:pPr>
              <w:pStyle w:val="13"/>
            </w:pPr>
            <w:r>
              <w:t>成本指标</w:t>
            </w:r>
          </w:p>
        </w:tc>
        <w:tc>
          <w:tcPr>
            <w:tcW w:w="2835" w:type="dxa"/>
            <w:vAlign w:val="center"/>
          </w:tcPr>
          <w:p w14:paraId="49C3550B">
            <w:pPr>
              <w:pStyle w:val="13"/>
            </w:pPr>
            <w:r>
              <w:t>生均拨款标准</w:t>
            </w:r>
          </w:p>
        </w:tc>
        <w:tc>
          <w:tcPr>
            <w:tcW w:w="5386" w:type="dxa"/>
            <w:vAlign w:val="center"/>
          </w:tcPr>
          <w:p w14:paraId="4AEEB1CE">
            <w:pPr>
              <w:pStyle w:val="13"/>
            </w:pPr>
            <w:r>
              <w:t>初中：（基本标准940元、寄宿生300元、取暖费120元）/生/学年；特教、随班就读学生：标准7000元/生/学年</w:t>
            </w:r>
          </w:p>
        </w:tc>
        <w:tc>
          <w:tcPr>
            <w:tcW w:w="2268" w:type="dxa"/>
            <w:vAlign w:val="center"/>
          </w:tcPr>
          <w:p w14:paraId="0402E7AB">
            <w:pPr>
              <w:pStyle w:val="13"/>
            </w:pPr>
            <w:r>
              <w:t>≥1360元</w:t>
            </w:r>
          </w:p>
        </w:tc>
        <w:tc>
          <w:tcPr>
            <w:tcW w:w="1276" w:type="dxa"/>
            <w:vAlign w:val="center"/>
          </w:tcPr>
          <w:p w14:paraId="063D627B">
            <w:pPr>
              <w:pStyle w:val="13"/>
            </w:pPr>
            <w:r>
              <w:t>城乡义务教育公用经费管理办法</w:t>
            </w:r>
          </w:p>
        </w:tc>
      </w:tr>
      <w:tr w14:paraId="60758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E92D5">
            <w:pPr>
              <w:pStyle w:val="12"/>
            </w:pPr>
            <w:r>
              <w:t>效益指标</w:t>
            </w:r>
          </w:p>
        </w:tc>
        <w:tc>
          <w:tcPr>
            <w:tcW w:w="2268" w:type="dxa"/>
            <w:vAlign w:val="center"/>
          </w:tcPr>
          <w:p w14:paraId="763338C6">
            <w:pPr>
              <w:pStyle w:val="13"/>
            </w:pPr>
            <w:r>
              <w:t>可持续影响指标</w:t>
            </w:r>
          </w:p>
        </w:tc>
        <w:tc>
          <w:tcPr>
            <w:tcW w:w="2835" w:type="dxa"/>
            <w:vAlign w:val="center"/>
          </w:tcPr>
          <w:p w14:paraId="645A3A03">
            <w:pPr>
              <w:pStyle w:val="13"/>
            </w:pPr>
            <w:r>
              <w:t>学校稳定率</w:t>
            </w:r>
          </w:p>
        </w:tc>
        <w:tc>
          <w:tcPr>
            <w:tcW w:w="5386" w:type="dxa"/>
            <w:vAlign w:val="center"/>
          </w:tcPr>
          <w:p w14:paraId="1A0288B1">
            <w:pPr>
              <w:pStyle w:val="13"/>
            </w:pPr>
            <w:r>
              <w:t>维护学校稳定，保障学校正常教学秩序有效开展</w:t>
            </w:r>
          </w:p>
        </w:tc>
        <w:tc>
          <w:tcPr>
            <w:tcW w:w="2268" w:type="dxa"/>
            <w:vAlign w:val="center"/>
          </w:tcPr>
          <w:p w14:paraId="6BECCDC0">
            <w:pPr>
              <w:pStyle w:val="13"/>
            </w:pPr>
            <w:r>
              <w:t>100%</w:t>
            </w:r>
          </w:p>
        </w:tc>
        <w:tc>
          <w:tcPr>
            <w:tcW w:w="1276" w:type="dxa"/>
            <w:vAlign w:val="center"/>
          </w:tcPr>
          <w:p w14:paraId="09730E75">
            <w:pPr>
              <w:pStyle w:val="13"/>
            </w:pPr>
            <w:r>
              <w:t>城乡义务教育公用经费管理办法</w:t>
            </w:r>
          </w:p>
        </w:tc>
      </w:tr>
      <w:tr w14:paraId="73FF4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A19161">
            <w:pPr>
              <w:pStyle w:val="12"/>
            </w:pPr>
            <w:r>
              <w:t>满意度指标</w:t>
            </w:r>
          </w:p>
        </w:tc>
        <w:tc>
          <w:tcPr>
            <w:tcW w:w="2268" w:type="dxa"/>
            <w:vAlign w:val="center"/>
          </w:tcPr>
          <w:p w14:paraId="7346C346">
            <w:pPr>
              <w:pStyle w:val="13"/>
            </w:pPr>
            <w:r>
              <w:t>服务对象满意度指标</w:t>
            </w:r>
          </w:p>
        </w:tc>
        <w:tc>
          <w:tcPr>
            <w:tcW w:w="2835" w:type="dxa"/>
            <w:vAlign w:val="center"/>
          </w:tcPr>
          <w:p w14:paraId="41A89C50">
            <w:pPr>
              <w:pStyle w:val="13"/>
            </w:pPr>
            <w:r>
              <w:t>家长和学生满意度</w:t>
            </w:r>
          </w:p>
        </w:tc>
        <w:tc>
          <w:tcPr>
            <w:tcW w:w="5386" w:type="dxa"/>
            <w:vAlign w:val="center"/>
          </w:tcPr>
          <w:p w14:paraId="72663A46">
            <w:pPr>
              <w:pStyle w:val="13"/>
            </w:pPr>
            <w:r>
              <w:t>家长和学生满意度</w:t>
            </w:r>
          </w:p>
        </w:tc>
        <w:tc>
          <w:tcPr>
            <w:tcW w:w="2268" w:type="dxa"/>
            <w:vAlign w:val="center"/>
          </w:tcPr>
          <w:p w14:paraId="38E2293F">
            <w:pPr>
              <w:pStyle w:val="13"/>
            </w:pPr>
            <w:r>
              <w:t>≥95%</w:t>
            </w:r>
          </w:p>
        </w:tc>
        <w:tc>
          <w:tcPr>
            <w:tcW w:w="1276" w:type="dxa"/>
            <w:vAlign w:val="center"/>
          </w:tcPr>
          <w:p w14:paraId="6167FC22">
            <w:pPr>
              <w:pStyle w:val="13"/>
            </w:pPr>
            <w:r>
              <w:t>问卷调查</w:t>
            </w:r>
          </w:p>
        </w:tc>
      </w:tr>
    </w:tbl>
    <w:p w14:paraId="071E4CD1">
      <w:pPr>
        <w:sectPr>
          <w:pgSz w:w="16840" w:h="11900" w:orient="landscape"/>
          <w:pgMar w:top="1361" w:right="1020" w:bottom="1134" w:left="1020" w:header="720" w:footer="720" w:gutter="0"/>
          <w:cols w:space="720" w:num="1"/>
        </w:sectPr>
      </w:pPr>
    </w:p>
    <w:p w14:paraId="71AE0EDD">
      <w:pPr>
        <w:spacing w:before="0" w:after="0"/>
        <w:ind w:firstLine="560"/>
        <w:jc w:val="left"/>
        <w:outlineLvl w:val="9"/>
      </w:pPr>
      <w:r>
        <w:rPr>
          <w:rFonts w:ascii="方正仿宋_GBK" w:hAnsi="方正仿宋_GBK" w:eastAsia="方正仿宋_GBK" w:cs="方正仿宋_GBK"/>
          <w:b/>
          <w:color w:val="000000"/>
          <w:sz w:val="28"/>
        </w:rPr>
        <w:t>8、冀财教[2024]67号/中央/2024年义教经费/校舍安全/实验中学加装宿舍楼外挂楼梯绩效目标表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17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3A16A">
            <w:pPr>
              <w:pStyle w:val="14"/>
            </w:pPr>
            <w:r>
              <w:t>单位：万元</w:t>
            </w:r>
          </w:p>
        </w:tc>
      </w:tr>
      <w:tr w14:paraId="1E3D8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D54F3">
            <w:pPr>
              <w:pStyle w:val="11"/>
            </w:pPr>
            <w:r>
              <w:t>项目编码</w:t>
            </w:r>
          </w:p>
        </w:tc>
        <w:tc>
          <w:tcPr>
            <w:tcW w:w="5103" w:type="dxa"/>
            <w:gridSpan w:val="2"/>
            <w:vAlign w:val="center"/>
          </w:tcPr>
          <w:p w14:paraId="5C1D3F7D">
            <w:pPr>
              <w:pStyle w:val="13"/>
            </w:pPr>
            <w:r>
              <w:t>13052524P00000611308Q</w:t>
            </w:r>
          </w:p>
        </w:tc>
        <w:tc>
          <w:tcPr>
            <w:tcW w:w="2835" w:type="dxa"/>
            <w:vAlign w:val="center"/>
          </w:tcPr>
          <w:p w14:paraId="65956881">
            <w:pPr>
              <w:pStyle w:val="11"/>
            </w:pPr>
            <w:r>
              <w:t>项目名称</w:t>
            </w:r>
          </w:p>
        </w:tc>
        <w:tc>
          <w:tcPr>
            <w:tcW w:w="6095" w:type="dxa"/>
            <w:gridSpan w:val="3"/>
            <w:vAlign w:val="center"/>
          </w:tcPr>
          <w:p w14:paraId="7DC47951">
            <w:pPr>
              <w:pStyle w:val="13"/>
            </w:pPr>
            <w:r>
              <w:t>冀财教[2024]67号/中央/2024年义教经费/校舍安全/实验中学加装宿舍楼外挂楼梯</w:t>
            </w:r>
          </w:p>
        </w:tc>
      </w:tr>
      <w:tr w14:paraId="3AD74D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12919">
            <w:pPr>
              <w:pStyle w:val="11"/>
            </w:pPr>
            <w:r>
              <w:t>预算规模及资金用途</w:t>
            </w:r>
          </w:p>
        </w:tc>
        <w:tc>
          <w:tcPr>
            <w:tcW w:w="2268" w:type="dxa"/>
            <w:vAlign w:val="center"/>
          </w:tcPr>
          <w:p w14:paraId="63BF0C05">
            <w:pPr>
              <w:pStyle w:val="11"/>
            </w:pPr>
            <w:r>
              <w:t>预算数</w:t>
            </w:r>
          </w:p>
        </w:tc>
        <w:tc>
          <w:tcPr>
            <w:tcW w:w="2835" w:type="dxa"/>
            <w:vAlign w:val="center"/>
          </w:tcPr>
          <w:p w14:paraId="5E3D9A62">
            <w:pPr>
              <w:pStyle w:val="13"/>
            </w:pPr>
            <w:r>
              <w:t>8.82</w:t>
            </w:r>
          </w:p>
        </w:tc>
        <w:tc>
          <w:tcPr>
            <w:tcW w:w="2835" w:type="dxa"/>
            <w:vAlign w:val="center"/>
          </w:tcPr>
          <w:p w14:paraId="60E50FB9">
            <w:pPr>
              <w:pStyle w:val="11"/>
            </w:pPr>
            <w:r>
              <w:t>其中：财政    资金</w:t>
            </w:r>
          </w:p>
        </w:tc>
        <w:tc>
          <w:tcPr>
            <w:tcW w:w="2551" w:type="dxa"/>
            <w:vAlign w:val="center"/>
          </w:tcPr>
          <w:p w14:paraId="4046868B">
            <w:pPr>
              <w:pStyle w:val="13"/>
            </w:pPr>
            <w:r>
              <w:t>8.82</w:t>
            </w:r>
          </w:p>
        </w:tc>
        <w:tc>
          <w:tcPr>
            <w:tcW w:w="2268" w:type="dxa"/>
            <w:vAlign w:val="center"/>
          </w:tcPr>
          <w:p w14:paraId="4DAD90C4">
            <w:pPr>
              <w:pStyle w:val="11"/>
            </w:pPr>
            <w:r>
              <w:t>其他资金</w:t>
            </w:r>
          </w:p>
        </w:tc>
        <w:tc>
          <w:tcPr>
            <w:tcW w:w="1276" w:type="dxa"/>
            <w:vAlign w:val="center"/>
          </w:tcPr>
          <w:p w14:paraId="7D3484C0">
            <w:pPr>
              <w:pStyle w:val="13"/>
            </w:pPr>
            <w:r>
              <w:t xml:space="preserve"> </w:t>
            </w:r>
          </w:p>
        </w:tc>
      </w:tr>
      <w:tr w14:paraId="6D127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18A1A6"/>
        </w:tc>
        <w:tc>
          <w:tcPr>
            <w:tcW w:w="14033" w:type="dxa"/>
            <w:gridSpan w:val="6"/>
            <w:vAlign w:val="center"/>
          </w:tcPr>
          <w:p w14:paraId="43B4D74E">
            <w:pPr>
              <w:pStyle w:val="13"/>
            </w:pPr>
            <w:r>
              <w:t>改善办学条件，提升学校形象，保障义务教育阶段学生安全，创造良好的校园环境。</w:t>
            </w:r>
          </w:p>
        </w:tc>
      </w:tr>
      <w:tr w14:paraId="3E6E1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DBBB5">
            <w:pPr>
              <w:pStyle w:val="11"/>
            </w:pPr>
            <w:r>
              <w:t>资金支出计划（%）</w:t>
            </w:r>
          </w:p>
        </w:tc>
        <w:tc>
          <w:tcPr>
            <w:tcW w:w="5103" w:type="dxa"/>
            <w:gridSpan w:val="2"/>
            <w:vAlign w:val="center"/>
          </w:tcPr>
          <w:p w14:paraId="6E224526">
            <w:pPr>
              <w:pStyle w:val="11"/>
            </w:pPr>
            <w:r>
              <w:t>3月底</w:t>
            </w:r>
          </w:p>
        </w:tc>
        <w:tc>
          <w:tcPr>
            <w:tcW w:w="2835" w:type="dxa"/>
            <w:vAlign w:val="center"/>
          </w:tcPr>
          <w:p w14:paraId="7C377A9D">
            <w:pPr>
              <w:pStyle w:val="11"/>
            </w:pPr>
            <w:r>
              <w:t>6月底</w:t>
            </w:r>
          </w:p>
        </w:tc>
        <w:tc>
          <w:tcPr>
            <w:tcW w:w="2551" w:type="dxa"/>
            <w:vAlign w:val="center"/>
          </w:tcPr>
          <w:p w14:paraId="28C31B4C">
            <w:pPr>
              <w:pStyle w:val="11"/>
            </w:pPr>
            <w:r>
              <w:t>10月底</w:t>
            </w:r>
          </w:p>
        </w:tc>
        <w:tc>
          <w:tcPr>
            <w:tcW w:w="3544" w:type="dxa"/>
            <w:gridSpan w:val="2"/>
            <w:vAlign w:val="center"/>
          </w:tcPr>
          <w:p w14:paraId="1E91082A">
            <w:pPr>
              <w:pStyle w:val="11"/>
            </w:pPr>
            <w:r>
              <w:t>12月底</w:t>
            </w:r>
          </w:p>
        </w:tc>
      </w:tr>
      <w:tr w14:paraId="71829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EDD845"/>
        </w:tc>
        <w:tc>
          <w:tcPr>
            <w:tcW w:w="5103" w:type="dxa"/>
            <w:gridSpan w:val="2"/>
            <w:vAlign w:val="center"/>
          </w:tcPr>
          <w:p w14:paraId="4BA9EBBD">
            <w:pPr>
              <w:pStyle w:val="12"/>
            </w:pPr>
            <w:r>
              <w:t xml:space="preserve"> </w:t>
            </w:r>
          </w:p>
        </w:tc>
        <w:tc>
          <w:tcPr>
            <w:tcW w:w="2835" w:type="dxa"/>
            <w:vAlign w:val="center"/>
          </w:tcPr>
          <w:p w14:paraId="03B3A046">
            <w:pPr>
              <w:pStyle w:val="12"/>
            </w:pPr>
            <w:r>
              <w:t>100%</w:t>
            </w:r>
          </w:p>
        </w:tc>
        <w:tc>
          <w:tcPr>
            <w:tcW w:w="2551" w:type="dxa"/>
            <w:vAlign w:val="center"/>
          </w:tcPr>
          <w:p w14:paraId="4F6FA854">
            <w:pPr>
              <w:pStyle w:val="12"/>
            </w:pPr>
            <w:r>
              <w:t>100%</w:t>
            </w:r>
          </w:p>
        </w:tc>
        <w:tc>
          <w:tcPr>
            <w:tcW w:w="3544" w:type="dxa"/>
            <w:gridSpan w:val="2"/>
            <w:vAlign w:val="center"/>
          </w:tcPr>
          <w:p w14:paraId="3DE71FD3">
            <w:pPr>
              <w:pStyle w:val="12"/>
            </w:pPr>
            <w:r>
              <w:t>100%</w:t>
            </w:r>
          </w:p>
        </w:tc>
      </w:tr>
      <w:tr w14:paraId="67E2C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1EBE39A">
            <w:pPr>
              <w:pStyle w:val="11"/>
            </w:pPr>
            <w:r>
              <w:t>绩效目标</w:t>
            </w:r>
          </w:p>
        </w:tc>
        <w:tc>
          <w:tcPr>
            <w:tcW w:w="14033" w:type="dxa"/>
            <w:gridSpan w:val="6"/>
            <w:vAlign w:val="center"/>
          </w:tcPr>
          <w:p w14:paraId="6B2612AE">
            <w:pPr>
              <w:pStyle w:val="13"/>
            </w:pPr>
            <w:r>
              <w:t>1.改善办学条件，提升学校形象，保障义务教育阶段学生安全，创造良好的校园环境。</w:t>
            </w:r>
          </w:p>
        </w:tc>
      </w:tr>
    </w:tbl>
    <w:p w14:paraId="6FDF14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09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BE6DF">
            <w:pPr>
              <w:pStyle w:val="11"/>
            </w:pPr>
            <w:r>
              <w:t>一级指标</w:t>
            </w:r>
          </w:p>
        </w:tc>
        <w:tc>
          <w:tcPr>
            <w:tcW w:w="2268" w:type="dxa"/>
            <w:vAlign w:val="center"/>
          </w:tcPr>
          <w:p w14:paraId="5BFF9F76">
            <w:pPr>
              <w:pStyle w:val="11"/>
            </w:pPr>
            <w:r>
              <w:t>二级指标</w:t>
            </w:r>
          </w:p>
        </w:tc>
        <w:tc>
          <w:tcPr>
            <w:tcW w:w="2835" w:type="dxa"/>
            <w:vAlign w:val="center"/>
          </w:tcPr>
          <w:p w14:paraId="044EC490">
            <w:pPr>
              <w:pStyle w:val="11"/>
            </w:pPr>
            <w:r>
              <w:t>三级指标</w:t>
            </w:r>
          </w:p>
        </w:tc>
        <w:tc>
          <w:tcPr>
            <w:tcW w:w="5386" w:type="dxa"/>
            <w:vAlign w:val="center"/>
          </w:tcPr>
          <w:p w14:paraId="4730A2A7">
            <w:pPr>
              <w:pStyle w:val="11"/>
            </w:pPr>
            <w:r>
              <w:t>绩效指标描述</w:t>
            </w:r>
          </w:p>
        </w:tc>
        <w:tc>
          <w:tcPr>
            <w:tcW w:w="2268" w:type="dxa"/>
            <w:vAlign w:val="center"/>
          </w:tcPr>
          <w:p w14:paraId="65B38E83">
            <w:pPr>
              <w:pStyle w:val="11"/>
            </w:pPr>
            <w:r>
              <w:t>指标值</w:t>
            </w:r>
          </w:p>
        </w:tc>
        <w:tc>
          <w:tcPr>
            <w:tcW w:w="1276" w:type="dxa"/>
            <w:vAlign w:val="center"/>
          </w:tcPr>
          <w:p w14:paraId="3B98DCA2">
            <w:pPr>
              <w:pStyle w:val="11"/>
            </w:pPr>
            <w:r>
              <w:t>指标值确定依据</w:t>
            </w:r>
          </w:p>
        </w:tc>
      </w:tr>
      <w:tr w14:paraId="0F80D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6A5EC">
            <w:pPr>
              <w:pStyle w:val="12"/>
            </w:pPr>
            <w:r>
              <w:t>产出指标</w:t>
            </w:r>
          </w:p>
        </w:tc>
        <w:tc>
          <w:tcPr>
            <w:tcW w:w="2268" w:type="dxa"/>
            <w:vAlign w:val="center"/>
          </w:tcPr>
          <w:p w14:paraId="34C6A5A0">
            <w:pPr>
              <w:pStyle w:val="13"/>
            </w:pPr>
            <w:r>
              <w:t>数量指标</w:t>
            </w:r>
          </w:p>
        </w:tc>
        <w:tc>
          <w:tcPr>
            <w:tcW w:w="2835" w:type="dxa"/>
            <w:vAlign w:val="center"/>
          </w:tcPr>
          <w:p w14:paraId="27FD50E8">
            <w:pPr>
              <w:pStyle w:val="13"/>
            </w:pPr>
            <w:r>
              <w:t>实验中学校舍安全</w:t>
            </w:r>
          </w:p>
        </w:tc>
        <w:tc>
          <w:tcPr>
            <w:tcW w:w="5386" w:type="dxa"/>
            <w:vAlign w:val="center"/>
          </w:tcPr>
          <w:p w14:paraId="67B35B03">
            <w:pPr>
              <w:pStyle w:val="13"/>
            </w:pPr>
            <w:r>
              <w:t>加装外挂楼梯、窗改门、改线等</w:t>
            </w:r>
          </w:p>
        </w:tc>
        <w:tc>
          <w:tcPr>
            <w:tcW w:w="2268" w:type="dxa"/>
            <w:vAlign w:val="center"/>
          </w:tcPr>
          <w:p w14:paraId="397B0D8B">
            <w:pPr>
              <w:pStyle w:val="13"/>
            </w:pPr>
            <w:r>
              <w:t>1项</w:t>
            </w:r>
          </w:p>
        </w:tc>
        <w:tc>
          <w:tcPr>
            <w:tcW w:w="1276" w:type="dxa"/>
            <w:vAlign w:val="center"/>
          </w:tcPr>
          <w:p w14:paraId="3524F323">
            <w:pPr>
              <w:pStyle w:val="13"/>
            </w:pPr>
            <w:r>
              <w:t>项目规划</w:t>
            </w:r>
          </w:p>
        </w:tc>
      </w:tr>
      <w:tr w14:paraId="09221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18171"/>
        </w:tc>
        <w:tc>
          <w:tcPr>
            <w:tcW w:w="2268" w:type="dxa"/>
            <w:vAlign w:val="center"/>
          </w:tcPr>
          <w:p w14:paraId="00910367">
            <w:pPr>
              <w:pStyle w:val="13"/>
            </w:pPr>
            <w:r>
              <w:t>质量指标</w:t>
            </w:r>
          </w:p>
        </w:tc>
        <w:tc>
          <w:tcPr>
            <w:tcW w:w="2835" w:type="dxa"/>
            <w:vAlign w:val="center"/>
          </w:tcPr>
          <w:p w14:paraId="33D426AA">
            <w:pPr>
              <w:pStyle w:val="13"/>
            </w:pPr>
            <w:r>
              <w:t>工程实施验收合格率</w:t>
            </w:r>
          </w:p>
        </w:tc>
        <w:tc>
          <w:tcPr>
            <w:tcW w:w="5386" w:type="dxa"/>
            <w:vAlign w:val="center"/>
          </w:tcPr>
          <w:p w14:paraId="6648B37A">
            <w:pPr>
              <w:pStyle w:val="13"/>
            </w:pPr>
            <w:r>
              <w:t>申报程序的合规，项目实施及资金使用符合项目规划</w:t>
            </w:r>
          </w:p>
        </w:tc>
        <w:tc>
          <w:tcPr>
            <w:tcW w:w="2268" w:type="dxa"/>
            <w:vAlign w:val="center"/>
          </w:tcPr>
          <w:p w14:paraId="0AA28D61">
            <w:pPr>
              <w:pStyle w:val="13"/>
            </w:pPr>
            <w:r>
              <w:t>100%</w:t>
            </w:r>
          </w:p>
        </w:tc>
        <w:tc>
          <w:tcPr>
            <w:tcW w:w="1276" w:type="dxa"/>
            <w:vAlign w:val="center"/>
          </w:tcPr>
          <w:p w14:paraId="5D2766BA">
            <w:pPr>
              <w:pStyle w:val="13"/>
            </w:pPr>
            <w:r>
              <w:t>项目规划</w:t>
            </w:r>
          </w:p>
        </w:tc>
      </w:tr>
      <w:tr w14:paraId="1305F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15226"/>
        </w:tc>
        <w:tc>
          <w:tcPr>
            <w:tcW w:w="2268" w:type="dxa"/>
            <w:vAlign w:val="center"/>
          </w:tcPr>
          <w:p w14:paraId="66C06375">
            <w:pPr>
              <w:pStyle w:val="13"/>
            </w:pPr>
            <w:r>
              <w:t>时效指标</w:t>
            </w:r>
          </w:p>
        </w:tc>
        <w:tc>
          <w:tcPr>
            <w:tcW w:w="2835" w:type="dxa"/>
            <w:vAlign w:val="center"/>
          </w:tcPr>
          <w:p w14:paraId="0C9E2342">
            <w:pPr>
              <w:pStyle w:val="13"/>
            </w:pPr>
            <w:r>
              <w:t>资金支付率</w:t>
            </w:r>
          </w:p>
        </w:tc>
        <w:tc>
          <w:tcPr>
            <w:tcW w:w="5386" w:type="dxa"/>
            <w:vAlign w:val="center"/>
          </w:tcPr>
          <w:p w14:paraId="57BECEB4">
            <w:pPr>
              <w:pStyle w:val="13"/>
            </w:pPr>
            <w:r>
              <w:t>按照序时进度完成资金支付</w:t>
            </w:r>
          </w:p>
        </w:tc>
        <w:tc>
          <w:tcPr>
            <w:tcW w:w="2268" w:type="dxa"/>
            <w:vAlign w:val="center"/>
          </w:tcPr>
          <w:p w14:paraId="285ABE95">
            <w:pPr>
              <w:pStyle w:val="13"/>
            </w:pPr>
            <w:r>
              <w:t>100%</w:t>
            </w:r>
          </w:p>
        </w:tc>
        <w:tc>
          <w:tcPr>
            <w:tcW w:w="1276" w:type="dxa"/>
            <w:vAlign w:val="center"/>
          </w:tcPr>
          <w:p w14:paraId="3B3735DE">
            <w:pPr>
              <w:pStyle w:val="13"/>
            </w:pPr>
            <w:r>
              <w:t>项目规划</w:t>
            </w:r>
          </w:p>
        </w:tc>
      </w:tr>
      <w:tr w14:paraId="19585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056E2"/>
        </w:tc>
        <w:tc>
          <w:tcPr>
            <w:tcW w:w="2268" w:type="dxa"/>
            <w:vAlign w:val="center"/>
          </w:tcPr>
          <w:p w14:paraId="094D9B8D">
            <w:pPr>
              <w:pStyle w:val="13"/>
            </w:pPr>
            <w:r>
              <w:t>成本指标</w:t>
            </w:r>
          </w:p>
        </w:tc>
        <w:tc>
          <w:tcPr>
            <w:tcW w:w="2835" w:type="dxa"/>
            <w:vAlign w:val="center"/>
          </w:tcPr>
          <w:p w14:paraId="69B64F4E">
            <w:pPr>
              <w:pStyle w:val="13"/>
            </w:pPr>
            <w:r>
              <w:t>项目成本控制情况</w:t>
            </w:r>
          </w:p>
        </w:tc>
        <w:tc>
          <w:tcPr>
            <w:tcW w:w="5386" w:type="dxa"/>
            <w:vAlign w:val="center"/>
          </w:tcPr>
          <w:p w14:paraId="3239AE02">
            <w:pPr>
              <w:pStyle w:val="13"/>
            </w:pPr>
            <w:r>
              <w:t>严格按照招标价格及审计额进行</w:t>
            </w:r>
          </w:p>
        </w:tc>
        <w:tc>
          <w:tcPr>
            <w:tcW w:w="2268" w:type="dxa"/>
            <w:vAlign w:val="center"/>
          </w:tcPr>
          <w:p w14:paraId="74742D3B">
            <w:pPr>
              <w:pStyle w:val="13"/>
            </w:pPr>
            <w:r>
              <w:t>9万元</w:t>
            </w:r>
          </w:p>
        </w:tc>
        <w:tc>
          <w:tcPr>
            <w:tcW w:w="1276" w:type="dxa"/>
            <w:vAlign w:val="center"/>
          </w:tcPr>
          <w:p w14:paraId="7A8845A7">
            <w:pPr>
              <w:pStyle w:val="13"/>
            </w:pPr>
            <w:r>
              <w:t>项目规划</w:t>
            </w:r>
          </w:p>
        </w:tc>
      </w:tr>
      <w:tr w14:paraId="58A7E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574367">
            <w:pPr>
              <w:pStyle w:val="12"/>
            </w:pPr>
            <w:r>
              <w:t>效益指标</w:t>
            </w:r>
          </w:p>
        </w:tc>
        <w:tc>
          <w:tcPr>
            <w:tcW w:w="2268" w:type="dxa"/>
            <w:vAlign w:val="center"/>
          </w:tcPr>
          <w:p w14:paraId="1E2BFA02">
            <w:pPr>
              <w:pStyle w:val="13"/>
            </w:pPr>
            <w:r>
              <w:t>可持续影响指标</w:t>
            </w:r>
          </w:p>
        </w:tc>
        <w:tc>
          <w:tcPr>
            <w:tcW w:w="2835" w:type="dxa"/>
            <w:vAlign w:val="center"/>
          </w:tcPr>
          <w:p w14:paraId="038FFFD0">
            <w:pPr>
              <w:pStyle w:val="13"/>
            </w:pPr>
            <w:r>
              <w:t>学校办学条件提升</w:t>
            </w:r>
          </w:p>
        </w:tc>
        <w:tc>
          <w:tcPr>
            <w:tcW w:w="5386" w:type="dxa"/>
            <w:vAlign w:val="center"/>
          </w:tcPr>
          <w:p w14:paraId="26FE203E">
            <w:pPr>
              <w:pStyle w:val="13"/>
            </w:pPr>
            <w:r>
              <w:t>学校办学条件提升优化率</w:t>
            </w:r>
          </w:p>
        </w:tc>
        <w:tc>
          <w:tcPr>
            <w:tcW w:w="2268" w:type="dxa"/>
            <w:vAlign w:val="center"/>
          </w:tcPr>
          <w:p w14:paraId="42AB1301">
            <w:pPr>
              <w:pStyle w:val="13"/>
            </w:pPr>
            <w:r>
              <w:t>≥100%</w:t>
            </w:r>
          </w:p>
        </w:tc>
        <w:tc>
          <w:tcPr>
            <w:tcW w:w="1276" w:type="dxa"/>
            <w:vAlign w:val="center"/>
          </w:tcPr>
          <w:p w14:paraId="747FEC9F">
            <w:pPr>
              <w:pStyle w:val="13"/>
            </w:pPr>
            <w:r>
              <w:t>项目规划</w:t>
            </w:r>
          </w:p>
        </w:tc>
      </w:tr>
      <w:tr w14:paraId="58F16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1A5BA6">
            <w:pPr>
              <w:pStyle w:val="12"/>
            </w:pPr>
            <w:r>
              <w:t>满意度指标</w:t>
            </w:r>
          </w:p>
        </w:tc>
        <w:tc>
          <w:tcPr>
            <w:tcW w:w="2268" w:type="dxa"/>
            <w:vAlign w:val="center"/>
          </w:tcPr>
          <w:p w14:paraId="68C5F5FC">
            <w:pPr>
              <w:pStyle w:val="13"/>
            </w:pPr>
            <w:r>
              <w:t>服务对象满意度指标</w:t>
            </w:r>
          </w:p>
        </w:tc>
        <w:tc>
          <w:tcPr>
            <w:tcW w:w="2835" w:type="dxa"/>
            <w:vAlign w:val="center"/>
          </w:tcPr>
          <w:p w14:paraId="19DBD5C4">
            <w:pPr>
              <w:pStyle w:val="13"/>
            </w:pPr>
            <w:r>
              <w:t>受益学生家长及调查满意度</w:t>
            </w:r>
          </w:p>
        </w:tc>
        <w:tc>
          <w:tcPr>
            <w:tcW w:w="5386" w:type="dxa"/>
            <w:vAlign w:val="center"/>
          </w:tcPr>
          <w:p w14:paraId="1F02F869">
            <w:pPr>
              <w:pStyle w:val="13"/>
            </w:pPr>
            <w:r>
              <w:t>学生、教师及家长对学校教学环境满意度情况</w:t>
            </w:r>
          </w:p>
        </w:tc>
        <w:tc>
          <w:tcPr>
            <w:tcW w:w="2268" w:type="dxa"/>
            <w:vAlign w:val="center"/>
          </w:tcPr>
          <w:p w14:paraId="284C7622">
            <w:pPr>
              <w:pStyle w:val="13"/>
            </w:pPr>
            <w:r>
              <w:t>≥95%</w:t>
            </w:r>
          </w:p>
        </w:tc>
        <w:tc>
          <w:tcPr>
            <w:tcW w:w="1276" w:type="dxa"/>
            <w:vAlign w:val="center"/>
          </w:tcPr>
          <w:p w14:paraId="6FF20DC1">
            <w:pPr>
              <w:pStyle w:val="13"/>
            </w:pPr>
            <w:r>
              <w:t>调查问卷</w:t>
            </w:r>
          </w:p>
        </w:tc>
      </w:tr>
    </w:tbl>
    <w:p w14:paraId="4F7D312B">
      <w:pPr>
        <w:sectPr>
          <w:pgSz w:w="16840" w:h="11900" w:orient="landscape"/>
          <w:pgMar w:top="1361" w:right="1020" w:bottom="1134" w:left="1020" w:header="720" w:footer="720" w:gutter="0"/>
          <w:cols w:space="720" w:num="1"/>
        </w:sectPr>
      </w:pPr>
    </w:p>
    <w:p w14:paraId="3DA81D43">
      <w:pPr>
        <w:spacing w:before="0" w:after="0"/>
        <w:ind w:firstLine="560"/>
        <w:jc w:val="left"/>
        <w:outlineLvl w:val="9"/>
      </w:pPr>
      <w:r>
        <w:rPr>
          <w:rFonts w:ascii="方正仿宋_GBK" w:hAnsi="方正仿宋_GBK" w:eastAsia="方正仿宋_GBK" w:cs="方正仿宋_GBK"/>
          <w:b/>
          <w:color w:val="000000"/>
          <w:sz w:val="28"/>
        </w:rPr>
        <w:t>9、上年盘活/冀财教[2022]179号/中央/义教经费/校舍安全/隆尧县实验中学（南甫分校）餐厅改造绩效目标表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92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C41AE">
            <w:pPr>
              <w:pStyle w:val="14"/>
            </w:pPr>
            <w:r>
              <w:t>单位：万元</w:t>
            </w:r>
          </w:p>
        </w:tc>
      </w:tr>
      <w:tr w14:paraId="0AD93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E9478">
            <w:pPr>
              <w:pStyle w:val="11"/>
            </w:pPr>
            <w:r>
              <w:t>项目编码</w:t>
            </w:r>
          </w:p>
        </w:tc>
        <w:tc>
          <w:tcPr>
            <w:tcW w:w="5103" w:type="dxa"/>
            <w:gridSpan w:val="2"/>
            <w:vAlign w:val="center"/>
          </w:tcPr>
          <w:p w14:paraId="2C3CE93A">
            <w:pPr>
              <w:pStyle w:val="13"/>
            </w:pPr>
            <w:r>
              <w:t>13052525P00875610195G</w:t>
            </w:r>
          </w:p>
        </w:tc>
        <w:tc>
          <w:tcPr>
            <w:tcW w:w="2835" w:type="dxa"/>
            <w:vAlign w:val="center"/>
          </w:tcPr>
          <w:p w14:paraId="0558B1FD">
            <w:pPr>
              <w:pStyle w:val="11"/>
            </w:pPr>
            <w:r>
              <w:t>项目名称</w:t>
            </w:r>
          </w:p>
        </w:tc>
        <w:tc>
          <w:tcPr>
            <w:tcW w:w="6095" w:type="dxa"/>
            <w:gridSpan w:val="3"/>
            <w:vAlign w:val="center"/>
          </w:tcPr>
          <w:p w14:paraId="5736F218">
            <w:pPr>
              <w:pStyle w:val="13"/>
            </w:pPr>
            <w:r>
              <w:t>上年盘活/冀财教[2022]179号/中央/义教经费/校舍安全/隆尧县实验中学（南甫分校）餐厅改造</w:t>
            </w:r>
          </w:p>
        </w:tc>
      </w:tr>
      <w:tr w14:paraId="1F51C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48432">
            <w:pPr>
              <w:pStyle w:val="11"/>
            </w:pPr>
            <w:r>
              <w:t>预算规模及资金用途</w:t>
            </w:r>
          </w:p>
        </w:tc>
        <w:tc>
          <w:tcPr>
            <w:tcW w:w="2268" w:type="dxa"/>
            <w:vAlign w:val="center"/>
          </w:tcPr>
          <w:p w14:paraId="6C22968F">
            <w:pPr>
              <w:pStyle w:val="11"/>
            </w:pPr>
            <w:r>
              <w:t>预算数</w:t>
            </w:r>
          </w:p>
        </w:tc>
        <w:tc>
          <w:tcPr>
            <w:tcW w:w="2835" w:type="dxa"/>
            <w:vAlign w:val="center"/>
          </w:tcPr>
          <w:p w14:paraId="2027D413">
            <w:pPr>
              <w:pStyle w:val="13"/>
            </w:pPr>
            <w:r>
              <w:t>3.72</w:t>
            </w:r>
          </w:p>
        </w:tc>
        <w:tc>
          <w:tcPr>
            <w:tcW w:w="2835" w:type="dxa"/>
            <w:vAlign w:val="center"/>
          </w:tcPr>
          <w:p w14:paraId="28C96271">
            <w:pPr>
              <w:pStyle w:val="11"/>
            </w:pPr>
            <w:r>
              <w:t>其中：财政    资金</w:t>
            </w:r>
          </w:p>
        </w:tc>
        <w:tc>
          <w:tcPr>
            <w:tcW w:w="2551" w:type="dxa"/>
            <w:vAlign w:val="center"/>
          </w:tcPr>
          <w:p w14:paraId="029CF7A6">
            <w:pPr>
              <w:pStyle w:val="13"/>
            </w:pPr>
            <w:r>
              <w:t>3.72</w:t>
            </w:r>
          </w:p>
        </w:tc>
        <w:tc>
          <w:tcPr>
            <w:tcW w:w="2268" w:type="dxa"/>
            <w:vAlign w:val="center"/>
          </w:tcPr>
          <w:p w14:paraId="22C2BDB9">
            <w:pPr>
              <w:pStyle w:val="11"/>
            </w:pPr>
            <w:r>
              <w:t>其他资金</w:t>
            </w:r>
          </w:p>
        </w:tc>
        <w:tc>
          <w:tcPr>
            <w:tcW w:w="1276" w:type="dxa"/>
            <w:vAlign w:val="center"/>
          </w:tcPr>
          <w:p w14:paraId="0E8F6957">
            <w:pPr>
              <w:pStyle w:val="13"/>
            </w:pPr>
            <w:r>
              <w:t xml:space="preserve"> </w:t>
            </w:r>
          </w:p>
        </w:tc>
      </w:tr>
      <w:tr w14:paraId="43CEF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B28CB"/>
        </w:tc>
        <w:tc>
          <w:tcPr>
            <w:tcW w:w="14033" w:type="dxa"/>
            <w:gridSpan w:val="6"/>
            <w:vAlign w:val="center"/>
          </w:tcPr>
          <w:p w14:paraId="4D1561D7">
            <w:pPr>
              <w:pStyle w:val="13"/>
            </w:pPr>
            <w:r>
              <w:t>改善就学条件，提升学校形象，保障义务教育阶段教学安全，创造良好的校园环境。</w:t>
            </w:r>
            <w:r>
              <w:tab/>
            </w:r>
          </w:p>
          <w:p w14:paraId="6BF025CC">
            <w:pPr>
              <w:pStyle w:val="13"/>
            </w:pPr>
          </w:p>
        </w:tc>
      </w:tr>
      <w:tr w14:paraId="0D8F3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CF0FD">
            <w:pPr>
              <w:pStyle w:val="11"/>
            </w:pPr>
            <w:r>
              <w:t>资金支出计划（%）</w:t>
            </w:r>
          </w:p>
        </w:tc>
        <w:tc>
          <w:tcPr>
            <w:tcW w:w="5103" w:type="dxa"/>
            <w:gridSpan w:val="2"/>
            <w:vAlign w:val="center"/>
          </w:tcPr>
          <w:p w14:paraId="2794F0D0">
            <w:pPr>
              <w:pStyle w:val="11"/>
            </w:pPr>
            <w:r>
              <w:t>3月底</w:t>
            </w:r>
          </w:p>
        </w:tc>
        <w:tc>
          <w:tcPr>
            <w:tcW w:w="2835" w:type="dxa"/>
            <w:vAlign w:val="center"/>
          </w:tcPr>
          <w:p w14:paraId="21F7F1A9">
            <w:pPr>
              <w:pStyle w:val="11"/>
            </w:pPr>
            <w:r>
              <w:t>6月底</w:t>
            </w:r>
          </w:p>
        </w:tc>
        <w:tc>
          <w:tcPr>
            <w:tcW w:w="2551" w:type="dxa"/>
            <w:vAlign w:val="center"/>
          </w:tcPr>
          <w:p w14:paraId="70AE8906">
            <w:pPr>
              <w:pStyle w:val="11"/>
            </w:pPr>
            <w:r>
              <w:t>10月底</w:t>
            </w:r>
          </w:p>
        </w:tc>
        <w:tc>
          <w:tcPr>
            <w:tcW w:w="3544" w:type="dxa"/>
            <w:gridSpan w:val="2"/>
            <w:vAlign w:val="center"/>
          </w:tcPr>
          <w:p w14:paraId="15559E6A">
            <w:pPr>
              <w:pStyle w:val="11"/>
            </w:pPr>
            <w:r>
              <w:t>12月底</w:t>
            </w:r>
          </w:p>
        </w:tc>
      </w:tr>
      <w:tr w14:paraId="282E2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BE1AA5"/>
        </w:tc>
        <w:tc>
          <w:tcPr>
            <w:tcW w:w="5103" w:type="dxa"/>
            <w:gridSpan w:val="2"/>
            <w:vAlign w:val="center"/>
          </w:tcPr>
          <w:p w14:paraId="53CD6AC7">
            <w:pPr>
              <w:pStyle w:val="12"/>
            </w:pPr>
            <w:r>
              <w:t>97%</w:t>
            </w:r>
          </w:p>
        </w:tc>
        <w:tc>
          <w:tcPr>
            <w:tcW w:w="2835" w:type="dxa"/>
            <w:vAlign w:val="center"/>
          </w:tcPr>
          <w:p w14:paraId="5AC4E2F1">
            <w:pPr>
              <w:pStyle w:val="12"/>
            </w:pPr>
            <w:r>
              <w:t>97%</w:t>
            </w:r>
          </w:p>
        </w:tc>
        <w:tc>
          <w:tcPr>
            <w:tcW w:w="2551" w:type="dxa"/>
            <w:vAlign w:val="center"/>
          </w:tcPr>
          <w:p w14:paraId="0DA5E2F7">
            <w:pPr>
              <w:pStyle w:val="12"/>
            </w:pPr>
            <w:r>
              <w:t>100%</w:t>
            </w:r>
          </w:p>
        </w:tc>
        <w:tc>
          <w:tcPr>
            <w:tcW w:w="3544" w:type="dxa"/>
            <w:gridSpan w:val="2"/>
            <w:vAlign w:val="center"/>
          </w:tcPr>
          <w:p w14:paraId="3169107D">
            <w:pPr>
              <w:pStyle w:val="12"/>
            </w:pPr>
            <w:r>
              <w:t>100%</w:t>
            </w:r>
          </w:p>
        </w:tc>
      </w:tr>
      <w:tr w14:paraId="1B334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949009">
            <w:pPr>
              <w:pStyle w:val="11"/>
            </w:pPr>
            <w:r>
              <w:t>绩效目标</w:t>
            </w:r>
          </w:p>
        </w:tc>
        <w:tc>
          <w:tcPr>
            <w:tcW w:w="14033" w:type="dxa"/>
            <w:gridSpan w:val="6"/>
            <w:vAlign w:val="center"/>
          </w:tcPr>
          <w:p w14:paraId="6D69BFA7">
            <w:pPr>
              <w:pStyle w:val="13"/>
            </w:pPr>
            <w:r>
              <w:t>1.项目需资金3.72166万元，资金拨付率达到100%。</w:t>
            </w:r>
            <w:r>
              <w:tab/>
            </w:r>
            <w:r>
              <w:tab/>
            </w:r>
            <w:r>
              <w:tab/>
            </w:r>
          </w:p>
          <w:p w14:paraId="09BA564D">
            <w:pPr>
              <w:pStyle w:val="13"/>
            </w:pPr>
          </w:p>
          <w:p w14:paraId="14574AF2">
            <w:pPr>
              <w:pStyle w:val="13"/>
            </w:pPr>
            <w:r>
              <w:t>2.改善就学条件，提升学校形象，保障义务教育阶段教学安全，创造良好的校园环境。</w:t>
            </w:r>
            <w:r>
              <w:tab/>
            </w:r>
          </w:p>
          <w:p w14:paraId="57D57181">
            <w:pPr>
              <w:pStyle w:val="13"/>
            </w:pPr>
          </w:p>
        </w:tc>
      </w:tr>
    </w:tbl>
    <w:p w14:paraId="474A4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00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26771">
            <w:pPr>
              <w:pStyle w:val="11"/>
            </w:pPr>
            <w:r>
              <w:t>一级指标</w:t>
            </w:r>
          </w:p>
        </w:tc>
        <w:tc>
          <w:tcPr>
            <w:tcW w:w="2268" w:type="dxa"/>
            <w:vAlign w:val="center"/>
          </w:tcPr>
          <w:p w14:paraId="06664D05">
            <w:pPr>
              <w:pStyle w:val="11"/>
            </w:pPr>
            <w:r>
              <w:t>二级指标</w:t>
            </w:r>
          </w:p>
        </w:tc>
        <w:tc>
          <w:tcPr>
            <w:tcW w:w="2835" w:type="dxa"/>
            <w:vAlign w:val="center"/>
          </w:tcPr>
          <w:p w14:paraId="0BFF0237">
            <w:pPr>
              <w:pStyle w:val="11"/>
            </w:pPr>
            <w:r>
              <w:t>三级指标</w:t>
            </w:r>
          </w:p>
        </w:tc>
        <w:tc>
          <w:tcPr>
            <w:tcW w:w="5386" w:type="dxa"/>
            <w:vAlign w:val="center"/>
          </w:tcPr>
          <w:p w14:paraId="2EAD87E5">
            <w:pPr>
              <w:pStyle w:val="11"/>
            </w:pPr>
            <w:r>
              <w:t>绩效指标描述</w:t>
            </w:r>
          </w:p>
        </w:tc>
        <w:tc>
          <w:tcPr>
            <w:tcW w:w="2268" w:type="dxa"/>
            <w:vAlign w:val="center"/>
          </w:tcPr>
          <w:p w14:paraId="0C155F54">
            <w:pPr>
              <w:pStyle w:val="11"/>
            </w:pPr>
            <w:r>
              <w:t>指标值</w:t>
            </w:r>
          </w:p>
        </w:tc>
        <w:tc>
          <w:tcPr>
            <w:tcW w:w="1276" w:type="dxa"/>
            <w:vAlign w:val="center"/>
          </w:tcPr>
          <w:p w14:paraId="7A510140">
            <w:pPr>
              <w:pStyle w:val="11"/>
            </w:pPr>
            <w:r>
              <w:t>指标值确定依据</w:t>
            </w:r>
          </w:p>
        </w:tc>
      </w:tr>
      <w:tr w14:paraId="0E1A2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95FB4">
            <w:pPr>
              <w:pStyle w:val="12"/>
            </w:pPr>
            <w:r>
              <w:t>产出指标</w:t>
            </w:r>
          </w:p>
        </w:tc>
        <w:tc>
          <w:tcPr>
            <w:tcW w:w="2268" w:type="dxa"/>
            <w:vAlign w:val="center"/>
          </w:tcPr>
          <w:p w14:paraId="34BFC135">
            <w:pPr>
              <w:pStyle w:val="13"/>
            </w:pPr>
            <w:r>
              <w:t>数量指标</w:t>
            </w:r>
          </w:p>
        </w:tc>
        <w:tc>
          <w:tcPr>
            <w:tcW w:w="2835" w:type="dxa"/>
            <w:vAlign w:val="center"/>
          </w:tcPr>
          <w:p w14:paraId="1A7E7B39">
            <w:pPr>
              <w:pStyle w:val="13"/>
            </w:pPr>
            <w:r>
              <w:t>餐厅改造</w:t>
            </w:r>
          </w:p>
        </w:tc>
        <w:tc>
          <w:tcPr>
            <w:tcW w:w="5386" w:type="dxa"/>
            <w:vAlign w:val="center"/>
          </w:tcPr>
          <w:p w14:paraId="54F0AC66">
            <w:pPr>
              <w:pStyle w:val="13"/>
            </w:pPr>
            <w:r>
              <w:t>实验中学（南甫分校）餐厅改造为钢结构主体，东西50米，南北15米</w:t>
            </w:r>
          </w:p>
        </w:tc>
        <w:tc>
          <w:tcPr>
            <w:tcW w:w="2268" w:type="dxa"/>
            <w:vAlign w:val="center"/>
          </w:tcPr>
          <w:p w14:paraId="4A501254">
            <w:pPr>
              <w:pStyle w:val="13"/>
            </w:pPr>
            <w:r>
              <w:t>≥750平方米</w:t>
            </w:r>
          </w:p>
        </w:tc>
        <w:tc>
          <w:tcPr>
            <w:tcW w:w="1276" w:type="dxa"/>
            <w:vAlign w:val="center"/>
          </w:tcPr>
          <w:p w14:paraId="7E04A0E6">
            <w:pPr>
              <w:pStyle w:val="13"/>
            </w:pPr>
            <w:r>
              <w:t>项目规划</w:t>
            </w:r>
          </w:p>
        </w:tc>
      </w:tr>
      <w:tr w14:paraId="16916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03452"/>
        </w:tc>
        <w:tc>
          <w:tcPr>
            <w:tcW w:w="2268" w:type="dxa"/>
            <w:vAlign w:val="center"/>
          </w:tcPr>
          <w:p w14:paraId="3D019D00">
            <w:pPr>
              <w:pStyle w:val="13"/>
            </w:pPr>
            <w:r>
              <w:t>质量指标</w:t>
            </w:r>
          </w:p>
        </w:tc>
        <w:tc>
          <w:tcPr>
            <w:tcW w:w="2835" w:type="dxa"/>
            <w:vAlign w:val="center"/>
          </w:tcPr>
          <w:p w14:paraId="6AA9F567">
            <w:pPr>
              <w:pStyle w:val="13"/>
            </w:pPr>
            <w:r>
              <w:t>工程实施验收合格率</w:t>
            </w:r>
          </w:p>
        </w:tc>
        <w:tc>
          <w:tcPr>
            <w:tcW w:w="5386" w:type="dxa"/>
            <w:vAlign w:val="center"/>
          </w:tcPr>
          <w:p w14:paraId="36E7FCBF">
            <w:pPr>
              <w:pStyle w:val="13"/>
            </w:pPr>
            <w:r>
              <w:t>申报程序的合规，项目实施及资金使用符合项目规划</w:t>
            </w:r>
          </w:p>
        </w:tc>
        <w:tc>
          <w:tcPr>
            <w:tcW w:w="2268" w:type="dxa"/>
            <w:vAlign w:val="center"/>
          </w:tcPr>
          <w:p w14:paraId="745164AC">
            <w:pPr>
              <w:pStyle w:val="13"/>
            </w:pPr>
            <w:r>
              <w:t>100%</w:t>
            </w:r>
          </w:p>
        </w:tc>
        <w:tc>
          <w:tcPr>
            <w:tcW w:w="1276" w:type="dxa"/>
            <w:vAlign w:val="center"/>
          </w:tcPr>
          <w:p w14:paraId="7B245E2E">
            <w:pPr>
              <w:pStyle w:val="13"/>
            </w:pPr>
            <w:r>
              <w:t>项目规划</w:t>
            </w:r>
          </w:p>
        </w:tc>
      </w:tr>
      <w:tr w14:paraId="53255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B4F67"/>
        </w:tc>
        <w:tc>
          <w:tcPr>
            <w:tcW w:w="2268" w:type="dxa"/>
            <w:vAlign w:val="center"/>
          </w:tcPr>
          <w:p w14:paraId="56CCA5D7">
            <w:pPr>
              <w:pStyle w:val="13"/>
            </w:pPr>
            <w:r>
              <w:t>时效指标</w:t>
            </w:r>
          </w:p>
        </w:tc>
        <w:tc>
          <w:tcPr>
            <w:tcW w:w="2835" w:type="dxa"/>
            <w:vAlign w:val="center"/>
          </w:tcPr>
          <w:p w14:paraId="60826A8E">
            <w:pPr>
              <w:pStyle w:val="13"/>
            </w:pPr>
            <w:r>
              <w:t>资金支付率</w:t>
            </w:r>
          </w:p>
        </w:tc>
        <w:tc>
          <w:tcPr>
            <w:tcW w:w="5386" w:type="dxa"/>
            <w:vAlign w:val="center"/>
          </w:tcPr>
          <w:p w14:paraId="471F3AFE">
            <w:pPr>
              <w:pStyle w:val="13"/>
            </w:pPr>
            <w:r>
              <w:t>按照序时进度完成资金支付</w:t>
            </w:r>
          </w:p>
        </w:tc>
        <w:tc>
          <w:tcPr>
            <w:tcW w:w="2268" w:type="dxa"/>
            <w:vAlign w:val="center"/>
          </w:tcPr>
          <w:p w14:paraId="26E10836">
            <w:pPr>
              <w:pStyle w:val="13"/>
            </w:pPr>
            <w:r>
              <w:t>100%</w:t>
            </w:r>
          </w:p>
        </w:tc>
        <w:tc>
          <w:tcPr>
            <w:tcW w:w="1276" w:type="dxa"/>
            <w:vAlign w:val="center"/>
          </w:tcPr>
          <w:p w14:paraId="7E071145">
            <w:pPr>
              <w:pStyle w:val="13"/>
            </w:pPr>
            <w:r>
              <w:t>项目规划</w:t>
            </w:r>
          </w:p>
        </w:tc>
      </w:tr>
      <w:tr w14:paraId="08973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50CD1"/>
        </w:tc>
        <w:tc>
          <w:tcPr>
            <w:tcW w:w="2268" w:type="dxa"/>
            <w:vAlign w:val="center"/>
          </w:tcPr>
          <w:p w14:paraId="781A170B">
            <w:pPr>
              <w:pStyle w:val="13"/>
            </w:pPr>
            <w:r>
              <w:t>成本指标</w:t>
            </w:r>
          </w:p>
        </w:tc>
        <w:tc>
          <w:tcPr>
            <w:tcW w:w="2835" w:type="dxa"/>
            <w:vAlign w:val="center"/>
          </w:tcPr>
          <w:p w14:paraId="77213E58">
            <w:pPr>
              <w:pStyle w:val="13"/>
            </w:pPr>
            <w:r>
              <w:t>项目成本控制情况</w:t>
            </w:r>
          </w:p>
        </w:tc>
        <w:tc>
          <w:tcPr>
            <w:tcW w:w="5386" w:type="dxa"/>
            <w:vAlign w:val="center"/>
          </w:tcPr>
          <w:p w14:paraId="16214035">
            <w:pPr>
              <w:pStyle w:val="13"/>
            </w:pPr>
            <w:r>
              <w:t>严格按照结转资金进行</w:t>
            </w:r>
          </w:p>
        </w:tc>
        <w:tc>
          <w:tcPr>
            <w:tcW w:w="2268" w:type="dxa"/>
            <w:vAlign w:val="center"/>
          </w:tcPr>
          <w:p w14:paraId="3274D3AB">
            <w:pPr>
              <w:pStyle w:val="13"/>
            </w:pPr>
            <w:r>
              <w:t>37216.6元</w:t>
            </w:r>
          </w:p>
        </w:tc>
        <w:tc>
          <w:tcPr>
            <w:tcW w:w="1276" w:type="dxa"/>
            <w:vAlign w:val="center"/>
          </w:tcPr>
          <w:p w14:paraId="064F3453">
            <w:pPr>
              <w:pStyle w:val="13"/>
            </w:pPr>
            <w:r>
              <w:t>项目规划</w:t>
            </w:r>
          </w:p>
        </w:tc>
      </w:tr>
      <w:tr w14:paraId="65783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4D0858">
            <w:pPr>
              <w:pStyle w:val="12"/>
            </w:pPr>
            <w:r>
              <w:t>效益指标</w:t>
            </w:r>
          </w:p>
        </w:tc>
        <w:tc>
          <w:tcPr>
            <w:tcW w:w="2268" w:type="dxa"/>
            <w:vAlign w:val="center"/>
          </w:tcPr>
          <w:p w14:paraId="4876C42B">
            <w:pPr>
              <w:pStyle w:val="13"/>
            </w:pPr>
            <w:r>
              <w:t>社会效益指标</w:t>
            </w:r>
          </w:p>
        </w:tc>
        <w:tc>
          <w:tcPr>
            <w:tcW w:w="2835" w:type="dxa"/>
            <w:vAlign w:val="center"/>
          </w:tcPr>
          <w:p w14:paraId="36C524AA">
            <w:pPr>
              <w:pStyle w:val="13"/>
            </w:pPr>
            <w:r>
              <w:t>学校办学环境提升</w:t>
            </w:r>
          </w:p>
        </w:tc>
        <w:tc>
          <w:tcPr>
            <w:tcW w:w="5386" w:type="dxa"/>
            <w:vAlign w:val="center"/>
          </w:tcPr>
          <w:p w14:paraId="18B1F037">
            <w:pPr>
              <w:pStyle w:val="13"/>
            </w:pPr>
            <w:r>
              <w:t>学校教学环境提升及教育教学工作更好开展</w:t>
            </w:r>
          </w:p>
        </w:tc>
        <w:tc>
          <w:tcPr>
            <w:tcW w:w="2268" w:type="dxa"/>
            <w:vAlign w:val="center"/>
          </w:tcPr>
          <w:p w14:paraId="38CC9F58">
            <w:pPr>
              <w:pStyle w:val="13"/>
            </w:pPr>
            <w:r>
              <w:t>≥95%</w:t>
            </w:r>
          </w:p>
        </w:tc>
        <w:tc>
          <w:tcPr>
            <w:tcW w:w="1276" w:type="dxa"/>
            <w:vAlign w:val="center"/>
          </w:tcPr>
          <w:p w14:paraId="04170875">
            <w:pPr>
              <w:pStyle w:val="13"/>
            </w:pPr>
            <w:r>
              <w:t>项目规划</w:t>
            </w:r>
          </w:p>
        </w:tc>
      </w:tr>
      <w:tr w14:paraId="0CA4A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B64298">
            <w:pPr>
              <w:pStyle w:val="12"/>
            </w:pPr>
            <w:r>
              <w:t>满意度指标</w:t>
            </w:r>
          </w:p>
        </w:tc>
        <w:tc>
          <w:tcPr>
            <w:tcW w:w="2268" w:type="dxa"/>
            <w:vAlign w:val="center"/>
          </w:tcPr>
          <w:p w14:paraId="2E20CED0">
            <w:pPr>
              <w:pStyle w:val="13"/>
            </w:pPr>
            <w:r>
              <w:t>服务对象满意度指标</w:t>
            </w:r>
          </w:p>
        </w:tc>
        <w:tc>
          <w:tcPr>
            <w:tcW w:w="2835" w:type="dxa"/>
            <w:vAlign w:val="center"/>
          </w:tcPr>
          <w:p w14:paraId="33C3BB6D">
            <w:pPr>
              <w:pStyle w:val="13"/>
            </w:pPr>
            <w:r>
              <w:t>受益学生家长及调查满意度</w:t>
            </w:r>
          </w:p>
        </w:tc>
        <w:tc>
          <w:tcPr>
            <w:tcW w:w="5386" w:type="dxa"/>
            <w:vAlign w:val="center"/>
          </w:tcPr>
          <w:p w14:paraId="60ADCAF5">
            <w:pPr>
              <w:pStyle w:val="13"/>
            </w:pPr>
            <w:r>
              <w:t>学生、教师及家长对学校教学环境满意度情况</w:t>
            </w:r>
          </w:p>
        </w:tc>
        <w:tc>
          <w:tcPr>
            <w:tcW w:w="2268" w:type="dxa"/>
            <w:vAlign w:val="center"/>
          </w:tcPr>
          <w:p w14:paraId="6DA39B1F">
            <w:pPr>
              <w:pStyle w:val="13"/>
            </w:pPr>
            <w:r>
              <w:t>≥95%</w:t>
            </w:r>
          </w:p>
        </w:tc>
        <w:tc>
          <w:tcPr>
            <w:tcW w:w="1276" w:type="dxa"/>
            <w:vAlign w:val="center"/>
          </w:tcPr>
          <w:p w14:paraId="504F611C">
            <w:pPr>
              <w:pStyle w:val="13"/>
            </w:pPr>
            <w:r>
              <w:t>调查问卷</w:t>
            </w:r>
          </w:p>
        </w:tc>
      </w:tr>
    </w:tbl>
    <w:p w14:paraId="3DE8E261">
      <w:pPr>
        <w:sectPr>
          <w:pgSz w:w="16840" w:h="11900" w:orient="landscape"/>
          <w:pgMar w:top="1361" w:right="1020" w:bottom="1134" w:left="1020" w:header="720" w:footer="720" w:gutter="0"/>
          <w:cols w:space="720" w:num="1"/>
        </w:sectPr>
      </w:pPr>
    </w:p>
    <w:p w14:paraId="45CD8CD1">
      <w:pPr>
        <w:spacing w:before="10" w:after="10" w:line="240" w:lineRule="auto"/>
        <w:ind w:firstLine="640"/>
        <w:jc w:val="left"/>
        <w:outlineLvl w:val="5"/>
      </w:pPr>
      <w:r>
        <w:rPr>
          <w:rFonts w:ascii="黑体" w:hAnsi="黑体" w:eastAsia="黑体" w:cs="黑体"/>
          <w:color w:val="000000"/>
          <w:sz w:val="32"/>
        </w:rPr>
        <w:t>六、政府采购预算情况</w:t>
      </w:r>
    </w:p>
    <w:p w14:paraId="5D8A279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F8C1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4940E49">
            <w:pPr>
              <w:pStyle w:val="8"/>
            </w:pPr>
            <w:r>
              <w:t>360011河北省隆尧县实验中学</w:t>
            </w:r>
          </w:p>
        </w:tc>
        <w:tc>
          <w:tcPr>
            <w:tcW w:w="7712" w:type="dxa"/>
            <w:gridSpan w:val="8"/>
            <w:tcBorders>
              <w:top w:val="single" w:color="FFFFFF" w:sz="6" w:space="0"/>
              <w:left w:val="single" w:color="FFFFFF" w:sz="6" w:space="0"/>
              <w:right w:val="single" w:color="FFFFFF" w:sz="6" w:space="0"/>
            </w:tcBorders>
            <w:vAlign w:val="center"/>
          </w:tcPr>
          <w:p w14:paraId="208D2BAB">
            <w:pPr>
              <w:pStyle w:val="22"/>
            </w:pPr>
            <w:r>
              <w:t>单位：万元</w:t>
            </w:r>
          </w:p>
        </w:tc>
      </w:tr>
      <w:tr w14:paraId="71B46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859B6F9">
            <w:pPr>
              <w:pStyle w:val="11"/>
            </w:pPr>
            <w:r>
              <w:t>政府采购项目来源</w:t>
            </w:r>
          </w:p>
        </w:tc>
        <w:tc>
          <w:tcPr>
            <w:tcW w:w="1134" w:type="dxa"/>
            <w:vMerge w:val="restart"/>
            <w:vAlign w:val="center"/>
          </w:tcPr>
          <w:p w14:paraId="1F04E979">
            <w:pPr>
              <w:pStyle w:val="11"/>
            </w:pPr>
            <w:r>
              <w:t>采购物品名称</w:t>
            </w:r>
          </w:p>
        </w:tc>
        <w:tc>
          <w:tcPr>
            <w:tcW w:w="1134" w:type="dxa"/>
            <w:vMerge w:val="restart"/>
            <w:vAlign w:val="center"/>
          </w:tcPr>
          <w:p w14:paraId="23E36274">
            <w:pPr>
              <w:pStyle w:val="11"/>
            </w:pPr>
            <w:r>
              <w:t>政府采购目录序号</w:t>
            </w:r>
          </w:p>
        </w:tc>
        <w:tc>
          <w:tcPr>
            <w:tcW w:w="709" w:type="dxa"/>
            <w:vMerge w:val="restart"/>
            <w:vAlign w:val="center"/>
          </w:tcPr>
          <w:p w14:paraId="00F10A6A">
            <w:pPr>
              <w:pStyle w:val="11"/>
            </w:pPr>
            <w:r>
              <w:t>计量  单位</w:t>
            </w:r>
          </w:p>
        </w:tc>
        <w:tc>
          <w:tcPr>
            <w:tcW w:w="850" w:type="dxa"/>
            <w:vMerge w:val="restart"/>
            <w:vAlign w:val="center"/>
          </w:tcPr>
          <w:p w14:paraId="7C1489E5">
            <w:pPr>
              <w:pStyle w:val="11"/>
            </w:pPr>
            <w:r>
              <w:t>数量</w:t>
            </w:r>
          </w:p>
        </w:tc>
        <w:tc>
          <w:tcPr>
            <w:tcW w:w="850" w:type="dxa"/>
            <w:vMerge w:val="restart"/>
            <w:vAlign w:val="center"/>
          </w:tcPr>
          <w:p w14:paraId="13F7459D">
            <w:pPr>
              <w:pStyle w:val="11"/>
            </w:pPr>
            <w:r>
              <w:t>单价</w:t>
            </w:r>
          </w:p>
        </w:tc>
        <w:tc>
          <w:tcPr>
            <w:tcW w:w="6748" w:type="dxa"/>
            <w:gridSpan w:val="7"/>
            <w:vAlign w:val="center"/>
          </w:tcPr>
          <w:p w14:paraId="309E6FCD">
            <w:pPr>
              <w:pStyle w:val="11"/>
            </w:pPr>
            <w:r>
              <w:t>政府采购金额（当年部门预算安排资金）</w:t>
            </w:r>
          </w:p>
        </w:tc>
        <w:tc>
          <w:tcPr>
            <w:tcW w:w="964" w:type="dxa"/>
            <w:vMerge w:val="restart"/>
            <w:vAlign w:val="center"/>
          </w:tcPr>
          <w:p w14:paraId="77796D5B">
            <w:pPr>
              <w:pStyle w:val="11"/>
            </w:pPr>
            <w:r>
              <w:t>2025年  预留中  小微企  业份额</w:t>
            </w:r>
          </w:p>
        </w:tc>
      </w:tr>
      <w:tr w14:paraId="57CC4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670FE8C">
            <w:pPr>
              <w:pStyle w:val="11"/>
            </w:pPr>
            <w:r>
              <w:t>项目名称</w:t>
            </w:r>
          </w:p>
        </w:tc>
        <w:tc>
          <w:tcPr>
            <w:tcW w:w="964" w:type="dxa"/>
            <w:vAlign w:val="center"/>
          </w:tcPr>
          <w:p w14:paraId="3870D8BB">
            <w:pPr>
              <w:pStyle w:val="11"/>
            </w:pPr>
            <w:r>
              <w:t>预算    资金</w:t>
            </w:r>
          </w:p>
        </w:tc>
        <w:tc>
          <w:tcPr>
            <w:tcW w:w="1134" w:type="dxa"/>
            <w:vMerge w:val="continue"/>
          </w:tcPr>
          <w:p w14:paraId="41FD1344"/>
        </w:tc>
        <w:tc>
          <w:tcPr>
            <w:tcW w:w="1134" w:type="dxa"/>
            <w:vMerge w:val="continue"/>
          </w:tcPr>
          <w:p w14:paraId="71EAAC74"/>
        </w:tc>
        <w:tc>
          <w:tcPr>
            <w:tcW w:w="709" w:type="dxa"/>
            <w:vMerge w:val="continue"/>
          </w:tcPr>
          <w:p w14:paraId="4511E9D9"/>
        </w:tc>
        <w:tc>
          <w:tcPr>
            <w:tcW w:w="850" w:type="dxa"/>
            <w:vMerge w:val="continue"/>
          </w:tcPr>
          <w:p w14:paraId="359D0308"/>
        </w:tc>
        <w:tc>
          <w:tcPr>
            <w:tcW w:w="850" w:type="dxa"/>
            <w:vMerge w:val="continue"/>
          </w:tcPr>
          <w:p w14:paraId="7E5A8892"/>
        </w:tc>
        <w:tc>
          <w:tcPr>
            <w:tcW w:w="964" w:type="dxa"/>
            <w:vAlign w:val="center"/>
          </w:tcPr>
          <w:p w14:paraId="38588C15">
            <w:pPr>
              <w:pStyle w:val="11"/>
            </w:pPr>
            <w:r>
              <w:t>合计</w:t>
            </w:r>
          </w:p>
        </w:tc>
        <w:tc>
          <w:tcPr>
            <w:tcW w:w="964" w:type="dxa"/>
            <w:vAlign w:val="center"/>
          </w:tcPr>
          <w:p w14:paraId="6701DFAC">
            <w:pPr>
              <w:pStyle w:val="11"/>
            </w:pPr>
            <w:r>
              <w:t>一般公共预算拨款</w:t>
            </w:r>
          </w:p>
        </w:tc>
        <w:tc>
          <w:tcPr>
            <w:tcW w:w="964" w:type="dxa"/>
            <w:vAlign w:val="center"/>
          </w:tcPr>
          <w:p w14:paraId="28EA990B">
            <w:pPr>
              <w:pStyle w:val="11"/>
            </w:pPr>
            <w:r>
              <w:t>基金预算拨款</w:t>
            </w:r>
          </w:p>
        </w:tc>
        <w:tc>
          <w:tcPr>
            <w:tcW w:w="964" w:type="dxa"/>
            <w:vAlign w:val="center"/>
          </w:tcPr>
          <w:p w14:paraId="2FD73595">
            <w:pPr>
              <w:pStyle w:val="11"/>
            </w:pPr>
            <w:r>
              <w:t>国有资本经营预算拨款</w:t>
            </w:r>
          </w:p>
        </w:tc>
        <w:tc>
          <w:tcPr>
            <w:tcW w:w="964" w:type="dxa"/>
            <w:vAlign w:val="center"/>
          </w:tcPr>
          <w:p w14:paraId="79198AD4">
            <w:pPr>
              <w:pStyle w:val="11"/>
            </w:pPr>
            <w:r>
              <w:t>财政专户核拨</w:t>
            </w:r>
          </w:p>
        </w:tc>
        <w:tc>
          <w:tcPr>
            <w:tcW w:w="964" w:type="dxa"/>
            <w:vAlign w:val="center"/>
          </w:tcPr>
          <w:p w14:paraId="300C8FCC">
            <w:pPr>
              <w:pStyle w:val="11"/>
            </w:pPr>
            <w:r>
              <w:t>单位    资金</w:t>
            </w:r>
          </w:p>
        </w:tc>
        <w:tc>
          <w:tcPr>
            <w:tcW w:w="964" w:type="dxa"/>
            <w:vAlign w:val="center"/>
          </w:tcPr>
          <w:p w14:paraId="7B1F6526">
            <w:pPr>
              <w:pStyle w:val="11"/>
            </w:pPr>
            <w:r>
              <w:t>上年结转结余</w:t>
            </w:r>
          </w:p>
        </w:tc>
        <w:tc>
          <w:tcPr>
            <w:tcW w:w="964" w:type="dxa"/>
            <w:vMerge w:val="continue"/>
          </w:tcPr>
          <w:p w14:paraId="08C36D20"/>
        </w:tc>
      </w:tr>
      <w:tr w14:paraId="04A39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3FE268">
            <w:pPr>
              <w:pStyle w:val="13"/>
            </w:pPr>
          </w:p>
        </w:tc>
        <w:tc>
          <w:tcPr>
            <w:tcW w:w="964" w:type="dxa"/>
            <w:vAlign w:val="center"/>
          </w:tcPr>
          <w:p w14:paraId="7FCA2256">
            <w:pPr>
              <w:pStyle w:val="14"/>
            </w:pPr>
          </w:p>
        </w:tc>
        <w:tc>
          <w:tcPr>
            <w:tcW w:w="1134" w:type="dxa"/>
            <w:vAlign w:val="center"/>
          </w:tcPr>
          <w:p w14:paraId="295482B4">
            <w:pPr>
              <w:pStyle w:val="13"/>
            </w:pPr>
          </w:p>
        </w:tc>
        <w:tc>
          <w:tcPr>
            <w:tcW w:w="1134" w:type="dxa"/>
            <w:vAlign w:val="center"/>
          </w:tcPr>
          <w:p w14:paraId="4EF879BD">
            <w:pPr>
              <w:pStyle w:val="13"/>
            </w:pPr>
          </w:p>
        </w:tc>
        <w:tc>
          <w:tcPr>
            <w:tcW w:w="709" w:type="dxa"/>
            <w:vAlign w:val="center"/>
          </w:tcPr>
          <w:p w14:paraId="508978A9">
            <w:pPr>
              <w:pStyle w:val="12"/>
            </w:pPr>
          </w:p>
        </w:tc>
        <w:tc>
          <w:tcPr>
            <w:tcW w:w="850" w:type="dxa"/>
            <w:vAlign w:val="center"/>
          </w:tcPr>
          <w:p w14:paraId="573D5FD1">
            <w:pPr>
              <w:pStyle w:val="14"/>
            </w:pPr>
          </w:p>
        </w:tc>
        <w:tc>
          <w:tcPr>
            <w:tcW w:w="850" w:type="dxa"/>
            <w:vAlign w:val="center"/>
          </w:tcPr>
          <w:p w14:paraId="49B87283">
            <w:pPr>
              <w:pStyle w:val="14"/>
            </w:pPr>
          </w:p>
        </w:tc>
        <w:tc>
          <w:tcPr>
            <w:tcW w:w="964" w:type="dxa"/>
            <w:vAlign w:val="center"/>
          </w:tcPr>
          <w:p w14:paraId="75C62C30">
            <w:pPr>
              <w:pStyle w:val="14"/>
            </w:pPr>
          </w:p>
        </w:tc>
        <w:tc>
          <w:tcPr>
            <w:tcW w:w="964" w:type="dxa"/>
            <w:vAlign w:val="center"/>
          </w:tcPr>
          <w:p w14:paraId="4BB0D692">
            <w:pPr>
              <w:pStyle w:val="14"/>
            </w:pPr>
          </w:p>
        </w:tc>
        <w:tc>
          <w:tcPr>
            <w:tcW w:w="964" w:type="dxa"/>
            <w:vAlign w:val="center"/>
          </w:tcPr>
          <w:p w14:paraId="1FA71DED">
            <w:pPr>
              <w:pStyle w:val="14"/>
            </w:pPr>
          </w:p>
        </w:tc>
        <w:tc>
          <w:tcPr>
            <w:tcW w:w="964" w:type="dxa"/>
            <w:vAlign w:val="center"/>
          </w:tcPr>
          <w:p w14:paraId="278CDCB5">
            <w:pPr>
              <w:pStyle w:val="14"/>
            </w:pPr>
          </w:p>
        </w:tc>
        <w:tc>
          <w:tcPr>
            <w:tcW w:w="964" w:type="dxa"/>
            <w:vAlign w:val="center"/>
          </w:tcPr>
          <w:p w14:paraId="3C9C896A">
            <w:pPr>
              <w:pStyle w:val="14"/>
            </w:pPr>
          </w:p>
        </w:tc>
        <w:tc>
          <w:tcPr>
            <w:tcW w:w="964" w:type="dxa"/>
            <w:vAlign w:val="center"/>
          </w:tcPr>
          <w:p w14:paraId="3D8ED700">
            <w:pPr>
              <w:pStyle w:val="14"/>
            </w:pPr>
          </w:p>
        </w:tc>
        <w:tc>
          <w:tcPr>
            <w:tcW w:w="964" w:type="dxa"/>
            <w:vAlign w:val="center"/>
          </w:tcPr>
          <w:p w14:paraId="6630B898">
            <w:pPr>
              <w:pStyle w:val="14"/>
            </w:pPr>
          </w:p>
        </w:tc>
        <w:tc>
          <w:tcPr>
            <w:tcW w:w="964" w:type="dxa"/>
            <w:vAlign w:val="center"/>
          </w:tcPr>
          <w:p w14:paraId="5300B801">
            <w:pPr>
              <w:pStyle w:val="14"/>
            </w:pPr>
          </w:p>
        </w:tc>
      </w:tr>
    </w:tbl>
    <w:p w14:paraId="56F207B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F189B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F0427AE">
      <w:pPr>
        <w:spacing w:before="0" w:after="0"/>
        <w:ind w:firstLine="640"/>
        <w:jc w:val="left"/>
        <w:outlineLvl w:val="9"/>
      </w:pPr>
      <w:r>
        <w:rPr>
          <w:rFonts w:ascii="Times New Roman" w:hAnsi="Times New Roman" w:eastAsia="方正仿宋_GBK" w:cs="Times New Roman"/>
          <w:color w:val="000000"/>
          <w:sz w:val="32"/>
        </w:rPr>
        <w:t xml:space="preserve"> </w:t>
      </w:r>
    </w:p>
    <w:p w14:paraId="27A961E5">
      <w:pPr>
        <w:spacing w:before="10" w:after="10" w:line="240" w:lineRule="auto"/>
        <w:ind w:firstLine="640"/>
        <w:jc w:val="left"/>
        <w:outlineLvl w:val="5"/>
      </w:pPr>
      <w:r>
        <w:rPr>
          <w:rFonts w:ascii="黑体" w:hAnsi="黑体" w:eastAsia="黑体" w:cs="黑体"/>
          <w:color w:val="000000"/>
          <w:sz w:val="32"/>
        </w:rPr>
        <w:t>七、国有资产信息</w:t>
      </w:r>
    </w:p>
    <w:p w14:paraId="108C603D">
      <w:pPr>
        <w:spacing w:before="0" w:after="0" w:line="500" w:lineRule="exact"/>
        <w:ind w:firstLine="560"/>
        <w:jc w:val="left"/>
        <w:outlineLvl w:val="9"/>
      </w:pPr>
      <w:r>
        <w:rPr>
          <w:rFonts w:ascii="Times New Roman" w:hAnsi="Times New Roman" w:eastAsia="方正仿宋_GBK" w:cs="Times New Roman"/>
          <w:b w:val="0"/>
          <w:color w:val="000000"/>
          <w:sz w:val="28"/>
        </w:rPr>
        <w:t>河北省隆尧县实验中学上年末固定资产金额为1308.70万元（详见下表）。本年度拟购置固定资产总额为49.96万元，已按要求列入政府采购预算，详见政府采购预算表。</w:t>
      </w:r>
    </w:p>
    <w:p w14:paraId="1FA6A6C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4D6A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1C600F4">
            <w:pPr>
              <w:pStyle w:val="8"/>
            </w:pPr>
            <w:r>
              <w:t>360011河北省隆尧县实验中学</w:t>
            </w:r>
          </w:p>
        </w:tc>
        <w:tc>
          <w:tcPr>
            <w:tcW w:w="5670" w:type="dxa"/>
            <w:gridSpan w:val="2"/>
            <w:tcBorders>
              <w:top w:val="single" w:color="FFFFFF" w:sz="6" w:space="0"/>
              <w:left w:val="single" w:color="FFFFFF" w:sz="6" w:space="0"/>
              <w:right w:val="single" w:color="FFFFFF" w:sz="6" w:space="0"/>
            </w:tcBorders>
            <w:vAlign w:val="center"/>
          </w:tcPr>
          <w:p w14:paraId="11941336">
            <w:pPr>
              <w:pStyle w:val="10"/>
            </w:pPr>
            <w:r>
              <w:t>截止时间：2024-12-31</w:t>
            </w:r>
          </w:p>
        </w:tc>
      </w:tr>
      <w:tr w14:paraId="28EC8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219E910">
            <w:pPr>
              <w:pStyle w:val="11"/>
            </w:pPr>
            <w:r>
              <w:t>项   目</w:t>
            </w:r>
          </w:p>
        </w:tc>
        <w:tc>
          <w:tcPr>
            <w:tcW w:w="2835" w:type="dxa"/>
            <w:vAlign w:val="center"/>
          </w:tcPr>
          <w:p w14:paraId="573D60D8">
            <w:pPr>
              <w:pStyle w:val="11"/>
            </w:pPr>
            <w:r>
              <w:t>数量</w:t>
            </w:r>
          </w:p>
        </w:tc>
        <w:tc>
          <w:tcPr>
            <w:tcW w:w="2835" w:type="dxa"/>
            <w:vAlign w:val="center"/>
          </w:tcPr>
          <w:p w14:paraId="0FF0807D">
            <w:pPr>
              <w:pStyle w:val="11"/>
            </w:pPr>
            <w:r>
              <w:t>价值（金额单位：万元）</w:t>
            </w:r>
          </w:p>
        </w:tc>
      </w:tr>
      <w:tr w14:paraId="04C49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929073">
            <w:pPr>
              <w:pStyle w:val="13"/>
            </w:pPr>
            <w:r>
              <w:t>资产总额</w:t>
            </w:r>
          </w:p>
        </w:tc>
        <w:tc>
          <w:tcPr>
            <w:tcW w:w="2835" w:type="dxa"/>
            <w:vAlign w:val="center"/>
          </w:tcPr>
          <w:p w14:paraId="46CE11C5">
            <w:pPr>
              <w:pStyle w:val="12"/>
            </w:pPr>
          </w:p>
        </w:tc>
        <w:tc>
          <w:tcPr>
            <w:tcW w:w="2835" w:type="dxa"/>
            <w:vAlign w:val="center"/>
          </w:tcPr>
          <w:p w14:paraId="5837A5B3">
            <w:pPr>
              <w:pStyle w:val="14"/>
            </w:pPr>
            <w:r>
              <w:t>1308.70</w:t>
            </w:r>
          </w:p>
        </w:tc>
      </w:tr>
      <w:tr w14:paraId="12488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8131E8">
            <w:pPr>
              <w:pStyle w:val="13"/>
            </w:pPr>
            <w:r>
              <w:t>1、房屋（平方米）</w:t>
            </w:r>
          </w:p>
        </w:tc>
        <w:tc>
          <w:tcPr>
            <w:tcW w:w="2835" w:type="dxa"/>
            <w:vAlign w:val="center"/>
          </w:tcPr>
          <w:p w14:paraId="73BDF34C">
            <w:pPr>
              <w:pStyle w:val="12"/>
            </w:pPr>
            <w:r>
              <w:t>10651.79</w:t>
            </w:r>
          </w:p>
        </w:tc>
        <w:tc>
          <w:tcPr>
            <w:tcW w:w="2835" w:type="dxa"/>
            <w:vAlign w:val="center"/>
          </w:tcPr>
          <w:p w14:paraId="4844D542">
            <w:pPr>
              <w:pStyle w:val="14"/>
            </w:pPr>
            <w:r>
              <w:t>753.78</w:t>
            </w:r>
          </w:p>
        </w:tc>
      </w:tr>
      <w:tr w14:paraId="76D2B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3342D8">
            <w:pPr>
              <w:pStyle w:val="13"/>
            </w:pPr>
            <w:r>
              <w:t>　　其中：办公用房（平方米）</w:t>
            </w:r>
          </w:p>
        </w:tc>
        <w:tc>
          <w:tcPr>
            <w:tcW w:w="2835" w:type="dxa"/>
            <w:vAlign w:val="center"/>
          </w:tcPr>
          <w:p w14:paraId="27883D48">
            <w:pPr>
              <w:pStyle w:val="12"/>
            </w:pPr>
            <w:r>
              <w:t>1911.27</w:t>
            </w:r>
          </w:p>
        </w:tc>
        <w:tc>
          <w:tcPr>
            <w:tcW w:w="2835" w:type="dxa"/>
            <w:vAlign w:val="center"/>
          </w:tcPr>
          <w:p w14:paraId="5CE2A731">
            <w:pPr>
              <w:pStyle w:val="14"/>
            </w:pPr>
            <w:r>
              <w:t>135.25</w:t>
            </w:r>
          </w:p>
        </w:tc>
      </w:tr>
      <w:tr w14:paraId="4C321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4FF05D">
            <w:pPr>
              <w:pStyle w:val="13"/>
            </w:pPr>
            <w:r>
              <w:t>2、车辆（台、辆）</w:t>
            </w:r>
          </w:p>
        </w:tc>
        <w:tc>
          <w:tcPr>
            <w:tcW w:w="2835" w:type="dxa"/>
            <w:vAlign w:val="center"/>
          </w:tcPr>
          <w:p w14:paraId="0794A946">
            <w:pPr>
              <w:pStyle w:val="12"/>
            </w:pPr>
          </w:p>
        </w:tc>
        <w:tc>
          <w:tcPr>
            <w:tcW w:w="2835" w:type="dxa"/>
            <w:vAlign w:val="center"/>
          </w:tcPr>
          <w:p w14:paraId="60CB0A36">
            <w:pPr>
              <w:pStyle w:val="14"/>
            </w:pPr>
          </w:p>
        </w:tc>
      </w:tr>
      <w:tr w14:paraId="2E36E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BD94E4">
            <w:pPr>
              <w:pStyle w:val="13"/>
            </w:pPr>
            <w:r>
              <w:t>3、单价在20万元以上的设备</w:t>
            </w:r>
          </w:p>
        </w:tc>
        <w:tc>
          <w:tcPr>
            <w:tcW w:w="2835" w:type="dxa"/>
            <w:vAlign w:val="center"/>
          </w:tcPr>
          <w:p w14:paraId="55F0A58C">
            <w:pPr>
              <w:pStyle w:val="12"/>
            </w:pPr>
            <w:r>
              <w:t>3</w:t>
            </w:r>
          </w:p>
        </w:tc>
        <w:tc>
          <w:tcPr>
            <w:tcW w:w="2835" w:type="dxa"/>
            <w:vAlign w:val="center"/>
          </w:tcPr>
          <w:p w14:paraId="7630B36F">
            <w:pPr>
              <w:pStyle w:val="14"/>
            </w:pPr>
            <w:r>
              <w:t>81.56</w:t>
            </w:r>
          </w:p>
        </w:tc>
      </w:tr>
      <w:tr w14:paraId="4B2EA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E67456">
            <w:pPr>
              <w:pStyle w:val="13"/>
            </w:pPr>
            <w:r>
              <w:t>4、其他固定资产</w:t>
            </w:r>
          </w:p>
        </w:tc>
        <w:tc>
          <w:tcPr>
            <w:tcW w:w="2835" w:type="dxa"/>
            <w:vAlign w:val="center"/>
          </w:tcPr>
          <w:p w14:paraId="3ED82C1A">
            <w:pPr>
              <w:pStyle w:val="12"/>
            </w:pPr>
            <w:r>
              <w:t>47592</w:t>
            </w:r>
          </w:p>
        </w:tc>
        <w:tc>
          <w:tcPr>
            <w:tcW w:w="2835" w:type="dxa"/>
            <w:vAlign w:val="center"/>
          </w:tcPr>
          <w:p w14:paraId="285BED0B">
            <w:pPr>
              <w:pStyle w:val="14"/>
            </w:pPr>
            <w:r>
              <w:t>473.36</w:t>
            </w:r>
          </w:p>
        </w:tc>
      </w:tr>
    </w:tbl>
    <w:p w14:paraId="39853D96">
      <w:pPr>
        <w:spacing w:before="0" w:after="0"/>
        <w:ind w:firstLine="640"/>
        <w:jc w:val="left"/>
        <w:outlineLvl w:val="9"/>
      </w:pPr>
      <w:r>
        <w:rPr>
          <w:rFonts w:ascii="Times New Roman" w:hAnsi="Times New Roman" w:eastAsia="方正仿宋_GBK" w:cs="Times New Roman"/>
          <w:color w:val="000000"/>
          <w:sz w:val="32"/>
        </w:rPr>
        <w:t xml:space="preserve"> </w:t>
      </w:r>
    </w:p>
    <w:p w14:paraId="30EF6C6F">
      <w:pPr>
        <w:spacing w:before="10" w:after="10" w:line="240" w:lineRule="auto"/>
        <w:ind w:firstLine="640"/>
        <w:jc w:val="left"/>
        <w:outlineLvl w:val="5"/>
      </w:pPr>
      <w:r>
        <w:rPr>
          <w:rFonts w:ascii="黑体" w:hAnsi="黑体" w:eastAsia="黑体" w:cs="黑体"/>
          <w:color w:val="000000"/>
          <w:sz w:val="32"/>
        </w:rPr>
        <w:t>八、名词解释</w:t>
      </w:r>
    </w:p>
    <w:p w14:paraId="0A33A1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688A23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A749F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AFD46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C4378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63596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F071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3684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6708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94076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827541">
      <w:pPr>
        <w:spacing w:before="10" w:after="10" w:line="240" w:lineRule="auto"/>
        <w:ind w:firstLine="640"/>
        <w:jc w:val="left"/>
        <w:outlineLvl w:val="5"/>
      </w:pPr>
      <w:r>
        <w:rPr>
          <w:rFonts w:ascii="黑体" w:hAnsi="黑体" w:eastAsia="黑体" w:cs="黑体"/>
          <w:color w:val="000000"/>
          <w:sz w:val="32"/>
        </w:rPr>
        <w:t>九、其他需要说明的事项</w:t>
      </w:r>
    </w:p>
    <w:p w14:paraId="5A84A96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41EDFE0">
      <w:pPr>
        <w:spacing w:before="0" w:after="0"/>
        <w:ind w:firstLine="0"/>
        <w:jc w:val="center"/>
        <w:outlineLvl w:val="3"/>
      </w:pPr>
      <w:bookmarkStart w:id="11" w:name="_Toc_4_4_0000000031"/>
      <w:r>
        <w:rPr>
          <w:rFonts w:ascii="方正小标宋_GBK" w:hAnsi="方正小标宋_GBK" w:eastAsia="方正小标宋_GBK" w:cs="方正小标宋_GBK"/>
          <w:b w:val="0"/>
          <w:color w:val="000000"/>
          <w:sz w:val="44"/>
        </w:rPr>
        <w:t>十一、隆尧县特殊教育学校收支预算</w:t>
      </w:r>
      <w:bookmarkEnd w:id="11"/>
    </w:p>
    <w:p w14:paraId="4915F4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E496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E352D4">
            <w:pPr>
              <w:pStyle w:val="8"/>
            </w:pPr>
            <w:r>
              <w:t>360012隆尧县特殊教育学校</w:t>
            </w:r>
          </w:p>
        </w:tc>
        <w:tc>
          <w:tcPr>
            <w:tcW w:w="2126" w:type="dxa"/>
            <w:tcBorders>
              <w:top w:val="single" w:color="FFFFFF" w:sz="6" w:space="0"/>
              <w:left w:val="single" w:color="FFFFFF" w:sz="6" w:space="0"/>
              <w:right w:val="single" w:color="FFFFFF" w:sz="6" w:space="0"/>
            </w:tcBorders>
            <w:vAlign w:val="center"/>
          </w:tcPr>
          <w:p w14:paraId="65831876">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C13BD24">
            <w:pPr>
              <w:pStyle w:val="10"/>
            </w:pPr>
            <w:r>
              <w:t>单位：万元</w:t>
            </w:r>
          </w:p>
        </w:tc>
      </w:tr>
      <w:tr w14:paraId="03C28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610C22">
            <w:pPr>
              <w:pStyle w:val="11"/>
            </w:pPr>
            <w:r>
              <w:t>序号</w:t>
            </w:r>
          </w:p>
        </w:tc>
        <w:tc>
          <w:tcPr>
            <w:tcW w:w="6661" w:type="dxa"/>
            <w:gridSpan w:val="2"/>
            <w:vAlign w:val="center"/>
          </w:tcPr>
          <w:p w14:paraId="0249B29A">
            <w:pPr>
              <w:pStyle w:val="11"/>
            </w:pPr>
            <w:r>
              <w:t>收入</w:t>
            </w:r>
          </w:p>
        </w:tc>
        <w:tc>
          <w:tcPr>
            <w:tcW w:w="6661" w:type="dxa"/>
            <w:gridSpan w:val="2"/>
            <w:vAlign w:val="center"/>
          </w:tcPr>
          <w:p w14:paraId="3D2F8B6C">
            <w:pPr>
              <w:pStyle w:val="11"/>
            </w:pPr>
            <w:r>
              <w:t>支出</w:t>
            </w:r>
          </w:p>
        </w:tc>
      </w:tr>
      <w:tr w14:paraId="59E4A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19685B"/>
        </w:tc>
        <w:tc>
          <w:tcPr>
            <w:tcW w:w="4535" w:type="dxa"/>
            <w:vAlign w:val="center"/>
          </w:tcPr>
          <w:p w14:paraId="253AD88A">
            <w:pPr>
              <w:pStyle w:val="11"/>
            </w:pPr>
            <w:r>
              <w:t>项  目</w:t>
            </w:r>
          </w:p>
        </w:tc>
        <w:tc>
          <w:tcPr>
            <w:tcW w:w="2126" w:type="dxa"/>
            <w:vAlign w:val="center"/>
          </w:tcPr>
          <w:p w14:paraId="06B6DDEB">
            <w:pPr>
              <w:pStyle w:val="11"/>
            </w:pPr>
            <w:r>
              <w:t>预算数</w:t>
            </w:r>
          </w:p>
        </w:tc>
        <w:tc>
          <w:tcPr>
            <w:tcW w:w="4535" w:type="dxa"/>
            <w:vAlign w:val="center"/>
          </w:tcPr>
          <w:p w14:paraId="0CDE4662">
            <w:pPr>
              <w:pStyle w:val="11"/>
            </w:pPr>
            <w:r>
              <w:t>项  目</w:t>
            </w:r>
          </w:p>
        </w:tc>
        <w:tc>
          <w:tcPr>
            <w:tcW w:w="2126" w:type="dxa"/>
            <w:vAlign w:val="center"/>
          </w:tcPr>
          <w:p w14:paraId="0D12654E">
            <w:pPr>
              <w:pStyle w:val="11"/>
            </w:pPr>
            <w:r>
              <w:t>预算数</w:t>
            </w:r>
          </w:p>
        </w:tc>
      </w:tr>
      <w:tr w14:paraId="12CAF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6C3F96">
            <w:pPr>
              <w:pStyle w:val="11"/>
            </w:pPr>
            <w:r>
              <w:t>栏次</w:t>
            </w:r>
          </w:p>
        </w:tc>
        <w:tc>
          <w:tcPr>
            <w:tcW w:w="4535" w:type="dxa"/>
            <w:vAlign w:val="center"/>
          </w:tcPr>
          <w:p w14:paraId="4D4404A2">
            <w:pPr>
              <w:pStyle w:val="11"/>
            </w:pPr>
            <w:r>
              <w:t>1</w:t>
            </w:r>
          </w:p>
        </w:tc>
        <w:tc>
          <w:tcPr>
            <w:tcW w:w="2126" w:type="dxa"/>
            <w:vAlign w:val="center"/>
          </w:tcPr>
          <w:p w14:paraId="03E4442A">
            <w:pPr>
              <w:pStyle w:val="11"/>
            </w:pPr>
            <w:r>
              <w:t>2</w:t>
            </w:r>
          </w:p>
        </w:tc>
        <w:tc>
          <w:tcPr>
            <w:tcW w:w="4535" w:type="dxa"/>
            <w:vAlign w:val="center"/>
          </w:tcPr>
          <w:p w14:paraId="4FCE9658">
            <w:pPr>
              <w:pStyle w:val="11"/>
            </w:pPr>
            <w:r>
              <w:t>3</w:t>
            </w:r>
          </w:p>
        </w:tc>
        <w:tc>
          <w:tcPr>
            <w:tcW w:w="2126" w:type="dxa"/>
            <w:vAlign w:val="center"/>
          </w:tcPr>
          <w:p w14:paraId="77F5679F">
            <w:pPr>
              <w:pStyle w:val="11"/>
            </w:pPr>
            <w:r>
              <w:t>4</w:t>
            </w:r>
          </w:p>
        </w:tc>
      </w:tr>
      <w:tr w14:paraId="0AA06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CE6FC">
            <w:pPr>
              <w:pStyle w:val="12"/>
            </w:pPr>
            <w:r>
              <w:t>1</w:t>
            </w:r>
          </w:p>
        </w:tc>
        <w:tc>
          <w:tcPr>
            <w:tcW w:w="4535" w:type="dxa"/>
            <w:vAlign w:val="center"/>
          </w:tcPr>
          <w:p w14:paraId="367BD1B2">
            <w:pPr>
              <w:pStyle w:val="13"/>
            </w:pPr>
            <w:r>
              <w:t>一、一般公共预算拨款收入</w:t>
            </w:r>
          </w:p>
        </w:tc>
        <w:tc>
          <w:tcPr>
            <w:tcW w:w="2126" w:type="dxa"/>
            <w:vAlign w:val="center"/>
          </w:tcPr>
          <w:p w14:paraId="10C5BE9E">
            <w:pPr>
              <w:pStyle w:val="14"/>
            </w:pPr>
            <w:r>
              <w:t>191.56</w:t>
            </w:r>
          </w:p>
        </w:tc>
        <w:tc>
          <w:tcPr>
            <w:tcW w:w="4535" w:type="dxa"/>
            <w:vAlign w:val="center"/>
          </w:tcPr>
          <w:p w14:paraId="5C348E63">
            <w:pPr>
              <w:pStyle w:val="13"/>
            </w:pPr>
            <w:r>
              <w:t>一、一般公共服务支出</w:t>
            </w:r>
          </w:p>
        </w:tc>
        <w:tc>
          <w:tcPr>
            <w:tcW w:w="2126" w:type="dxa"/>
            <w:vAlign w:val="center"/>
          </w:tcPr>
          <w:p w14:paraId="7BAE8192">
            <w:pPr>
              <w:pStyle w:val="14"/>
            </w:pPr>
          </w:p>
        </w:tc>
      </w:tr>
      <w:tr w14:paraId="3C711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D24A3">
            <w:pPr>
              <w:pStyle w:val="12"/>
            </w:pPr>
            <w:r>
              <w:t>2</w:t>
            </w:r>
          </w:p>
        </w:tc>
        <w:tc>
          <w:tcPr>
            <w:tcW w:w="4535" w:type="dxa"/>
            <w:vAlign w:val="center"/>
          </w:tcPr>
          <w:p w14:paraId="2993D6E5">
            <w:pPr>
              <w:pStyle w:val="13"/>
            </w:pPr>
            <w:r>
              <w:t>二、政府性基金预算拨款收入</w:t>
            </w:r>
          </w:p>
        </w:tc>
        <w:tc>
          <w:tcPr>
            <w:tcW w:w="2126" w:type="dxa"/>
            <w:vAlign w:val="center"/>
          </w:tcPr>
          <w:p w14:paraId="25574C34">
            <w:pPr>
              <w:pStyle w:val="14"/>
            </w:pPr>
          </w:p>
        </w:tc>
        <w:tc>
          <w:tcPr>
            <w:tcW w:w="4535" w:type="dxa"/>
            <w:vAlign w:val="center"/>
          </w:tcPr>
          <w:p w14:paraId="76175E60">
            <w:pPr>
              <w:pStyle w:val="13"/>
            </w:pPr>
            <w:r>
              <w:t>二、外交支出</w:t>
            </w:r>
          </w:p>
        </w:tc>
        <w:tc>
          <w:tcPr>
            <w:tcW w:w="2126" w:type="dxa"/>
            <w:vAlign w:val="center"/>
          </w:tcPr>
          <w:p w14:paraId="21F33A44">
            <w:pPr>
              <w:pStyle w:val="14"/>
            </w:pPr>
          </w:p>
        </w:tc>
      </w:tr>
      <w:tr w14:paraId="73E12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37BCF">
            <w:pPr>
              <w:pStyle w:val="12"/>
            </w:pPr>
            <w:r>
              <w:t>3</w:t>
            </w:r>
          </w:p>
        </w:tc>
        <w:tc>
          <w:tcPr>
            <w:tcW w:w="4535" w:type="dxa"/>
            <w:vAlign w:val="center"/>
          </w:tcPr>
          <w:p w14:paraId="2663A73F">
            <w:pPr>
              <w:pStyle w:val="13"/>
            </w:pPr>
            <w:r>
              <w:t>三、国有资本经营预算拨款收入</w:t>
            </w:r>
          </w:p>
        </w:tc>
        <w:tc>
          <w:tcPr>
            <w:tcW w:w="2126" w:type="dxa"/>
            <w:vAlign w:val="center"/>
          </w:tcPr>
          <w:p w14:paraId="7277912D">
            <w:pPr>
              <w:pStyle w:val="14"/>
            </w:pPr>
          </w:p>
        </w:tc>
        <w:tc>
          <w:tcPr>
            <w:tcW w:w="4535" w:type="dxa"/>
            <w:vAlign w:val="center"/>
          </w:tcPr>
          <w:p w14:paraId="287016C7">
            <w:pPr>
              <w:pStyle w:val="13"/>
            </w:pPr>
            <w:r>
              <w:t>三、国防支出</w:t>
            </w:r>
          </w:p>
        </w:tc>
        <w:tc>
          <w:tcPr>
            <w:tcW w:w="2126" w:type="dxa"/>
            <w:vAlign w:val="center"/>
          </w:tcPr>
          <w:p w14:paraId="43C1B30E">
            <w:pPr>
              <w:pStyle w:val="14"/>
            </w:pPr>
          </w:p>
        </w:tc>
      </w:tr>
      <w:tr w14:paraId="120AB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C482D">
            <w:pPr>
              <w:pStyle w:val="12"/>
            </w:pPr>
            <w:r>
              <w:t>4</w:t>
            </w:r>
          </w:p>
        </w:tc>
        <w:tc>
          <w:tcPr>
            <w:tcW w:w="4535" w:type="dxa"/>
            <w:vAlign w:val="center"/>
          </w:tcPr>
          <w:p w14:paraId="064EB51A">
            <w:pPr>
              <w:pStyle w:val="13"/>
            </w:pPr>
            <w:r>
              <w:t>四、财政专户管理资金收入</w:t>
            </w:r>
          </w:p>
        </w:tc>
        <w:tc>
          <w:tcPr>
            <w:tcW w:w="2126" w:type="dxa"/>
            <w:vAlign w:val="center"/>
          </w:tcPr>
          <w:p w14:paraId="73E6A495">
            <w:pPr>
              <w:pStyle w:val="14"/>
            </w:pPr>
          </w:p>
        </w:tc>
        <w:tc>
          <w:tcPr>
            <w:tcW w:w="4535" w:type="dxa"/>
            <w:vAlign w:val="center"/>
          </w:tcPr>
          <w:p w14:paraId="6895E21D">
            <w:pPr>
              <w:pStyle w:val="13"/>
            </w:pPr>
            <w:r>
              <w:t>四、公共安全支出</w:t>
            </w:r>
          </w:p>
        </w:tc>
        <w:tc>
          <w:tcPr>
            <w:tcW w:w="2126" w:type="dxa"/>
            <w:vAlign w:val="center"/>
          </w:tcPr>
          <w:p w14:paraId="5C336CC4">
            <w:pPr>
              <w:pStyle w:val="14"/>
            </w:pPr>
          </w:p>
        </w:tc>
      </w:tr>
      <w:tr w14:paraId="4DF56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55422">
            <w:pPr>
              <w:pStyle w:val="12"/>
            </w:pPr>
            <w:r>
              <w:t>5</w:t>
            </w:r>
          </w:p>
        </w:tc>
        <w:tc>
          <w:tcPr>
            <w:tcW w:w="4535" w:type="dxa"/>
            <w:vAlign w:val="center"/>
          </w:tcPr>
          <w:p w14:paraId="3CD04A30">
            <w:pPr>
              <w:pStyle w:val="13"/>
            </w:pPr>
            <w:r>
              <w:t>五、单位资金</w:t>
            </w:r>
          </w:p>
        </w:tc>
        <w:tc>
          <w:tcPr>
            <w:tcW w:w="2126" w:type="dxa"/>
            <w:vAlign w:val="center"/>
          </w:tcPr>
          <w:p w14:paraId="3E5CAF9B">
            <w:pPr>
              <w:pStyle w:val="14"/>
            </w:pPr>
          </w:p>
        </w:tc>
        <w:tc>
          <w:tcPr>
            <w:tcW w:w="4535" w:type="dxa"/>
            <w:vAlign w:val="center"/>
          </w:tcPr>
          <w:p w14:paraId="0FA580BE">
            <w:pPr>
              <w:pStyle w:val="13"/>
            </w:pPr>
            <w:r>
              <w:t>五、教育支出</w:t>
            </w:r>
          </w:p>
        </w:tc>
        <w:tc>
          <w:tcPr>
            <w:tcW w:w="2126" w:type="dxa"/>
            <w:vAlign w:val="center"/>
          </w:tcPr>
          <w:p w14:paraId="62B6011E">
            <w:pPr>
              <w:pStyle w:val="14"/>
            </w:pPr>
            <w:r>
              <w:t>191.56</w:t>
            </w:r>
          </w:p>
        </w:tc>
      </w:tr>
      <w:tr w14:paraId="5745E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3EB2D">
            <w:pPr>
              <w:pStyle w:val="12"/>
            </w:pPr>
            <w:r>
              <w:t>6</w:t>
            </w:r>
          </w:p>
        </w:tc>
        <w:tc>
          <w:tcPr>
            <w:tcW w:w="4535" w:type="dxa"/>
            <w:vAlign w:val="center"/>
          </w:tcPr>
          <w:p w14:paraId="42B2D586">
            <w:pPr>
              <w:pStyle w:val="13"/>
            </w:pPr>
          </w:p>
        </w:tc>
        <w:tc>
          <w:tcPr>
            <w:tcW w:w="2126" w:type="dxa"/>
            <w:vAlign w:val="center"/>
          </w:tcPr>
          <w:p w14:paraId="55A0E06C">
            <w:pPr>
              <w:pStyle w:val="14"/>
            </w:pPr>
          </w:p>
        </w:tc>
        <w:tc>
          <w:tcPr>
            <w:tcW w:w="4535" w:type="dxa"/>
            <w:vAlign w:val="center"/>
          </w:tcPr>
          <w:p w14:paraId="203E64B7">
            <w:pPr>
              <w:pStyle w:val="13"/>
            </w:pPr>
            <w:r>
              <w:t>六、科学技术支出</w:t>
            </w:r>
          </w:p>
        </w:tc>
        <w:tc>
          <w:tcPr>
            <w:tcW w:w="2126" w:type="dxa"/>
            <w:vAlign w:val="center"/>
          </w:tcPr>
          <w:p w14:paraId="4F54822A">
            <w:pPr>
              <w:pStyle w:val="14"/>
            </w:pPr>
          </w:p>
        </w:tc>
      </w:tr>
      <w:tr w14:paraId="0ACE0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82A4E2C">
            <w:pPr>
              <w:pStyle w:val="12"/>
            </w:pPr>
            <w:r>
              <w:t>7</w:t>
            </w:r>
          </w:p>
        </w:tc>
        <w:tc>
          <w:tcPr>
            <w:tcW w:w="4535" w:type="dxa"/>
            <w:vAlign w:val="center"/>
          </w:tcPr>
          <w:p w14:paraId="03CB0858">
            <w:pPr>
              <w:pStyle w:val="13"/>
            </w:pPr>
          </w:p>
        </w:tc>
        <w:tc>
          <w:tcPr>
            <w:tcW w:w="2126" w:type="dxa"/>
            <w:vAlign w:val="center"/>
          </w:tcPr>
          <w:p w14:paraId="672CADF0">
            <w:pPr>
              <w:pStyle w:val="14"/>
            </w:pPr>
          </w:p>
        </w:tc>
        <w:tc>
          <w:tcPr>
            <w:tcW w:w="4535" w:type="dxa"/>
            <w:vAlign w:val="center"/>
          </w:tcPr>
          <w:p w14:paraId="04C78D37">
            <w:pPr>
              <w:pStyle w:val="13"/>
            </w:pPr>
            <w:r>
              <w:t>七、文化旅游体育与传媒支出</w:t>
            </w:r>
          </w:p>
        </w:tc>
        <w:tc>
          <w:tcPr>
            <w:tcW w:w="2126" w:type="dxa"/>
            <w:vAlign w:val="center"/>
          </w:tcPr>
          <w:p w14:paraId="7B7FB3A0">
            <w:pPr>
              <w:pStyle w:val="14"/>
            </w:pPr>
          </w:p>
        </w:tc>
      </w:tr>
      <w:tr w14:paraId="392D0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07395">
            <w:pPr>
              <w:pStyle w:val="12"/>
            </w:pPr>
            <w:r>
              <w:t>8</w:t>
            </w:r>
          </w:p>
        </w:tc>
        <w:tc>
          <w:tcPr>
            <w:tcW w:w="4535" w:type="dxa"/>
            <w:vAlign w:val="center"/>
          </w:tcPr>
          <w:p w14:paraId="1230AA47">
            <w:pPr>
              <w:pStyle w:val="13"/>
            </w:pPr>
          </w:p>
        </w:tc>
        <w:tc>
          <w:tcPr>
            <w:tcW w:w="2126" w:type="dxa"/>
            <w:vAlign w:val="center"/>
          </w:tcPr>
          <w:p w14:paraId="2FD142B4">
            <w:pPr>
              <w:pStyle w:val="14"/>
            </w:pPr>
          </w:p>
        </w:tc>
        <w:tc>
          <w:tcPr>
            <w:tcW w:w="4535" w:type="dxa"/>
            <w:vAlign w:val="center"/>
          </w:tcPr>
          <w:p w14:paraId="5D9C1C35">
            <w:pPr>
              <w:pStyle w:val="13"/>
            </w:pPr>
            <w:r>
              <w:t>八、社会保障和就业支出</w:t>
            </w:r>
          </w:p>
        </w:tc>
        <w:tc>
          <w:tcPr>
            <w:tcW w:w="2126" w:type="dxa"/>
            <w:vAlign w:val="center"/>
          </w:tcPr>
          <w:p w14:paraId="0CF9772F">
            <w:pPr>
              <w:pStyle w:val="14"/>
            </w:pPr>
          </w:p>
        </w:tc>
      </w:tr>
      <w:tr w14:paraId="72B91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18F53">
            <w:pPr>
              <w:pStyle w:val="12"/>
            </w:pPr>
            <w:r>
              <w:t>9</w:t>
            </w:r>
          </w:p>
        </w:tc>
        <w:tc>
          <w:tcPr>
            <w:tcW w:w="4535" w:type="dxa"/>
            <w:vAlign w:val="center"/>
          </w:tcPr>
          <w:p w14:paraId="5DABD709">
            <w:pPr>
              <w:pStyle w:val="13"/>
            </w:pPr>
          </w:p>
        </w:tc>
        <w:tc>
          <w:tcPr>
            <w:tcW w:w="2126" w:type="dxa"/>
            <w:vAlign w:val="center"/>
          </w:tcPr>
          <w:p w14:paraId="04744880">
            <w:pPr>
              <w:pStyle w:val="14"/>
            </w:pPr>
          </w:p>
        </w:tc>
        <w:tc>
          <w:tcPr>
            <w:tcW w:w="4535" w:type="dxa"/>
            <w:vAlign w:val="center"/>
          </w:tcPr>
          <w:p w14:paraId="0C84C814">
            <w:pPr>
              <w:pStyle w:val="13"/>
            </w:pPr>
            <w:r>
              <w:t>九、社会保险基金支出</w:t>
            </w:r>
          </w:p>
        </w:tc>
        <w:tc>
          <w:tcPr>
            <w:tcW w:w="2126" w:type="dxa"/>
            <w:vAlign w:val="center"/>
          </w:tcPr>
          <w:p w14:paraId="55CD7121">
            <w:pPr>
              <w:pStyle w:val="14"/>
            </w:pPr>
          </w:p>
        </w:tc>
      </w:tr>
      <w:tr w14:paraId="70A14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1777B">
            <w:pPr>
              <w:pStyle w:val="12"/>
            </w:pPr>
            <w:r>
              <w:t>10</w:t>
            </w:r>
          </w:p>
        </w:tc>
        <w:tc>
          <w:tcPr>
            <w:tcW w:w="4535" w:type="dxa"/>
            <w:vAlign w:val="center"/>
          </w:tcPr>
          <w:p w14:paraId="4E803F0C">
            <w:pPr>
              <w:pStyle w:val="13"/>
            </w:pPr>
          </w:p>
        </w:tc>
        <w:tc>
          <w:tcPr>
            <w:tcW w:w="2126" w:type="dxa"/>
            <w:vAlign w:val="center"/>
          </w:tcPr>
          <w:p w14:paraId="36E7A80E">
            <w:pPr>
              <w:pStyle w:val="14"/>
            </w:pPr>
          </w:p>
        </w:tc>
        <w:tc>
          <w:tcPr>
            <w:tcW w:w="4535" w:type="dxa"/>
            <w:vAlign w:val="center"/>
          </w:tcPr>
          <w:p w14:paraId="0562FDA2">
            <w:pPr>
              <w:pStyle w:val="13"/>
            </w:pPr>
            <w:r>
              <w:t>十、卫生健康支出</w:t>
            </w:r>
          </w:p>
        </w:tc>
        <w:tc>
          <w:tcPr>
            <w:tcW w:w="2126" w:type="dxa"/>
            <w:vAlign w:val="center"/>
          </w:tcPr>
          <w:p w14:paraId="0911A533">
            <w:pPr>
              <w:pStyle w:val="14"/>
            </w:pPr>
          </w:p>
        </w:tc>
      </w:tr>
      <w:tr w14:paraId="3467C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C942A">
            <w:pPr>
              <w:pStyle w:val="12"/>
            </w:pPr>
            <w:r>
              <w:t>11</w:t>
            </w:r>
          </w:p>
        </w:tc>
        <w:tc>
          <w:tcPr>
            <w:tcW w:w="4535" w:type="dxa"/>
            <w:vAlign w:val="center"/>
          </w:tcPr>
          <w:p w14:paraId="485E9B93">
            <w:pPr>
              <w:pStyle w:val="13"/>
            </w:pPr>
          </w:p>
        </w:tc>
        <w:tc>
          <w:tcPr>
            <w:tcW w:w="2126" w:type="dxa"/>
            <w:vAlign w:val="center"/>
          </w:tcPr>
          <w:p w14:paraId="2CBAB156">
            <w:pPr>
              <w:pStyle w:val="14"/>
            </w:pPr>
          </w:p>
        </w:tc>
        <w:tc>
          <w:tcPr>
            <w:tcW w:w="4535" w:type="dxa"/>
            <w:vAlign w:val="center"/>
          </w:tcPr>
          <w:p w14:paraId="1AE00C6D">
            <w:pPr>
              <w:pStyle w:val="13"/>
            </w:pPr>
            <w:r>
              <w:t>十一、节能环保支出</w:t>
            </w:r>
          </w:p>
        </w:tc>
        <w:tc>
          <w:tcPr>
            <w:tcW w:w="2126" w:type="dxa"/>
            <w:vAlign w:val="center"/>
          </w:tcPr>
          <w:p w14:paraId="2D0C31EC">
            <w:pPr>
              <w:pStyle w:val="14"/>
            </w:pPr>
          </w:p>
        </w:tc>
      </w:tr>
      <w:tr w14:paraId="1B537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736BA28">
            <w:pPr>
              <w:pStyle w:val="12"/>
            </w:pPr>
            <w:r>
              <w:t>12</w:t>
            </w:r>
          </w:p>
        </w:tc>
        <w:tc>
          <w:tcPr>
            <w:tcW w:w="4535" w:type="dxa"/>
            <w:vAlign w:val="center"/>
          </w:tcPr>
          <w:p w14:paraId="5DEE416B">
            <w:pPr>
              <w:pStyle w:val="13"/>
            </w:pPr>
          </w:p>
        </w:tc>
        <w:tc>
          <w:tcPr>
            <w:tcW w:w="2126" w:type="dxa"/>
            <w:vAlign w:val="center"/>
          </w:tcPr>
          <w:p w14:paraId="1A225135">
            <w:pPr>
              <w:pStyle w:val="14"/>
            </w:pPr>
          </w:p>
        </w:tc>
        <w:tc>
          <w:tcPr>
            <w:tcW w:w="4535" w:type="dxa"/>
            <w:vAlign w:val="center"/>
          </w:tcPr>
          <w:p w14:paraId="2FD02657">
            <w:pPr>
              <w:pStyle w:val="13"/>
            </w:pPr>
            <w:r>
              <w:t>十二、城乡社区支出</w:t>
            </w:r>
          </w:p>
        </w:tc>
        <w:tc>
          <w:tcPr>
            <w:tcW w:w="2126" w:type="dxa"/>
            <w:vAlign w:val="center"/>
          </w:tcPr>
          <w:p w14:paraId="7147E88D">
            <w:pPr>
              <w:pStyle w:val="14"/>
            </w:pPr>
          </w:p>
        </w:tc>
      </w:tr>
      <w:tr w14:paraId="0059B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7B0C6">
            <w:pPr>
              <w:pStyle w:val="12"/>
            </w:pPr>
            <w:r>
              <w:t>13</w:t>
            </w:r>
          </w:p>
        </w:tc>
        <w:tc>
          <w:tcPr>
            <w:tcW w:w="4535" w:type="dxa"/>
            <w:vAlign w:val="center"/>
          </w:tcPr>
          <w:p w14:paraId="1C11ABE5">
            <w:pPr>
              <w:pStyle w:val="13"/>
            </w:pPr>
          </w:p>
        </w:tc>
        <w:tc>
          <w:tcPr>
            <w:tcW w:w="2126" w:type="dxa"/>
            <w:vAlign w:val="center"/>
          </w:tcPr>
          <w:p w14:paraId="30B98A27">
            <w:pPr>
              <w:pStyle w:val="14"/>
            </w:pPr>
          </w:p>
        </w:tc>
        <w:tc>
          <w:tcPr>
            <w:tcW w:w="4535" w:type="dxa"/>
            <w:vAlign w:val="center"/>
          </w:tcPr>
          <w:p w14:paraId="3EE7E44B">
            <w:pPr>
              <w:pStyle w:val="13"/>
            </w:pPr>
            <w:r>
              <w:t>十三、农林水支出</w:t>
            </w:r>
          </w:p>
        </w:tc>
        <w:tc>
          <w:tcPr>
            <w:tcW w:w="2126" w:type="dxa"/>
            <w:vAlign w:val="center"/>
          </w:tcPr>
          <w:p w14:paraId="36C45662">
            <w:pPr>
              <w:pStyle w:val="14"/>
            </w:pPr>
          </w:p>
        </w:tc>
      </w:tr>
      <w:tr w14:paraId="3CACA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15E88">
            <w:pPr>
              <w:pStyle w:val="12"/>
            </w:pPr>
            <w:r>
              <w:t>14</w:t>
            </w:r>
          </w:p>
        </w:tc>
        <w:tc>
          <w:tcPr>
            <w:tcW w:w="4535" w:type="dxa"/>
            <w:vAlign w:val="center"/>
          </w:tcPr>
          <w:p w14:paraId="1FE6180B">
            <w:pPr>
              <w:pStyle w:val="13"/>
            </w:pPr>
          </w:p>
        </w:tc>
        <w:tc>
          <w:tcPr>
            <w:tcW w:w="2126" w:type="dxa"/>
            <w:vAlign w:val="center"/>
          </w:tcPr>
          <w:p w14:paraId="6B3F74AF">
            <w:pPr>
              <w:pStyle w:val="14"/>
            </w:pPr>
          </w:p>
        </w:tc>
        <w:tc>
          <w:tcPr>
            <w:tcW w:w="4535" w:type="dxa"/>
            <w:vAlign w:val="center"/>
          </w:tcPr>
          <w:p w14:paraId="5E69291A">
            <w:pPr>
              <w:pStyle w:val="13"/>
            </w:pPr>
            <w:r>
              <w:t>十四、交通运输支出</w:t>
            </w:r>
          </w:p>
        </w:tc>
        <w:tc>
          <w:tcPr>
            <w:tcW w:w="2126" w:type="dxa"/>
            <w:vAlign w:val="center"/>
          </w:tcPr>
          <w:p w14:paraId="3571F6FC">
            <w:pPr>
              <w:pStyle w:val="14"/>
            </w:pPr>
          </w:p>
        </w:tc>
      </w:tr>
      <w:tr w14:paraId="6E443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3F0A2">
            <w:pPr>
              <w:pStyle w:val="12"/>
            </w:pPr>
            <w:r>
              <w:t>15</w:t>
            </w:r>
          </w:p>
        </w:tc>
        <w:tc>
          <w:tcPr>
            <w:tcW w:w="4535" w:type="dxa"/>
            <w:vAlign w:val="center"/>
          </w:tcPr>
          <w:p w14:paraId="075377DE">
            <w:pPr>
              <w:pStyle w:val="13"/>
            </w:pPr>
          </w:p>
        </w:tc>
        <w:tc>
          <w:tcPr>
            <w:tcW w:w="2126" w:type="dxa"/>
            <w:vAlign w:val="center"/>
          </w:tcPr>
          <w:p w14:paraId="70E136F4">
            <w:pPr>
              <w:pStyle w:val="14"/>
            </w:pPr>
          </w:p>
        </w:tc>
        <w:tc>
          <w:tcPr>
            <w:tcW w:w="4535" w:type="dxa"/>
            <w:vAlign w:val="center"/>
          </w:tcPr>
          <w:p w14:paraId="5F78F1AA">
            <w:pPr>
              <w:pStyle w:val="13"/>
            </w:pPr>
            <w:r>
              <w:t>十五、资源勘探工业信息等支出</w:t>
            </w:r>
          </w:p>
        </w:tc>
        <w:tc>
          <w:tcPr>
            <w:tcW w:w="2126" w:type="dxa"/>
            <w:vAlign w:val="center"/>
          </w:tcPr>
          <w:p w14:paraId="58FD741D">
            <w:pPr>
              <w:pStyle w:val="14"/>
            </w:pPr>
          </w:p>
        </w:tc>
      </w:tr>
      <w:tr w14:paraId="1D942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7A582">
            <w:pPr>
              <w:pStyle w:val="12"/>
            </w:pPr>
            <w:r>
              <w:t>16</w:t>
            </w:r>
          </w:p>
        </w:tc>
        <w:tc>
          <w:tcPr>
            <w:tcW w:w="4535" w:type="dxa"/>
            <w:vAlign w:val="center"/>
          </w:tcPr>
          <w:p w14:paraId="08376A8D">
            <w:pPr>
              <w:pStyle w:val="13"/>
            </w:pPr>
          </w:p>
        </w:tc>
        <w:tc>
          <w:tcPr>
            <w:tcW w:w="2126" w:type="dxa"/>
            <w:vAlign w:val="center"/>
          </w:tcPr>
          <w:p w14:paraId="6D91DD65">
            <w:pPr>
              <w:pStyle w:val="14"/>
            </w:pPr>
          </w:p>
        </w:tc>
        <w:tc>
          <w:tcPr>
            <w:tcW w:w="4535" w:type="dxa"/>
            <w:vAlign w:val="center"/>
          </w:tcPr>
          <w:p w14:paraId="7EE1580E">
            <w:pPr>
              <w:pStyle w:val="13"/>
            </w:pPr>
            <w:r>
              <w:t>十六、商业服务业等支出</w:t>
            </w:r>
          </w:p>
        </w:tc>
        <w:tc>
          <w:tcPr>
            <w:tcW w:w="2126" w:type="dxa"/>
            <w:vAlign w:val="center"/>
          </w:tcPr>
          <w:p w14:paraId="6B5B0E52">
            <w:pPr>
              <w:pStyle w:val="14"/>
            </w:pPr>
          </w:p>
        </w:tc>
      </w:tr>
      <w:tr w14:paraId="18797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3C400">
            <w:pPr>
              <w:pStyle w:val="12"/>
            </w:pPr>
            <w:r>
              <w:t>17</w:t>
            </w:r>
          </w:p>
        </w:tc>
        <w:tc>
          <w:tcPr>
            <w:tcW w:w="4535" w:type="dxa"/>
            <w:vAlign w:val="center"/>
          </w:tcPr>
          <w:p w14:paraId="0546C202">
            <w:pPr>
              <w:pStyle w:val="13"/>
            </w:pPr>
          </w:p>
        </w:tc>
        <w:tc>
          <w:tcPr>
            <w:tcW w:w="2126" w:type="dxa"/>
            <w:vAlign w:val="center"/>
          </w:tcPr>
          <w:p w14:paraId="507E41DC">
            <w:pPr>
              <w:pStyle w:val="14"/>
            </w:pPr>
          </w:p>
        </w:tc>
        <w:tc>
          <w:tcPr>
            <w:tcW w:w="4535" w:type="dxa"/>
            <w:vAlign w:val="center"/>
          </w:tcPr>
          <w:p w14:paraId="0B630AE1">
            <w:pPr>
              <w:pStyle w:val="13"/>
            </w:pPr>
            <w:r>
              <w:t>十七、金融支出</w:t>
            </w:r>
          </w:p>
        </w:tc>
        <w:tc>
          <w:tcPr>
            <w:tcW w:w="2126" w:type="dxa"/>
            <w:vAlign w:val="center"/>
          </w:tcPr>
          <w:p w14:paraId="4BF44513">
            <w:pPr>
              <w:pStyle w:val="14"/>
            </w:pPr>
          </w:p>
        </w:tc>
      </w:tr>
      <w:tr w14:paraId="1B81A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321B4">
            <w:pPr>
              <w:pStyle w:val="12"/>
            </w:pPr>
            <w:r>
              <w:t>18</w:t>
            </w:r>
          </w:p>
        </w:tc>
        <w:tc>
          <w:tcPr>
            <w:tcW w:w="4535" w:type="dxa"/>
            <w:vAlign w:val="center"/>
          </w:tcPr>
          <w:p w14:paraId="31987EE5">
            <w:pPr>
              <w:pStyle w:val="13"/>
            </w:pPr>
          </w:p>
        </w:tc>
        <w:tc>
          <w:tcPr>
            <w:tcW w:w="2126" w:type="dxa"/>
            <w:vAlign w:val="center"/>
          </w:tcPr>
          <w:p w14:paraId="2557F2CE">
            <w:pPr>
              <w:pStyle w:val="14"/>
            </w:pPr>
          </w:p>
        </w:tc>
        <w:tc>
          <w:tcPr>
            <w:tcW w:w="4535" w:type="dxa"/>
            <w:vAlign w:val="center"/>
          </w:tcPr>
          <w:p w14:paraId="0DC718B8">
            <w:pPr>
              <w:pStyle w:val="13"/>
            </w:pPr>
            <w:r>
              <w:t>十八、援助其他地区支出</w:t>
            </w:r>
          </w:p>
        </w:tc>
        <w:tc>
          <w:tcPr>
            <w:tcW w:w="2126" w:type="dxa"/>
            <w:vAlign w:val="center"/>
          </w:tcPr>
          <w:p w14:paraId="473D43FD">
            <w:pPr>
              <w:pStyle w:val="14"/>
            </w:pPr>
          </w:p>
        </w:tc>
      </w:tr>
      <w:tr w14:paraId="44874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75947">
            <w:pPr>
              <w:pStyle w:val="12"/>
            </w:pPr>
            <w:r>
              <w:t>19</w:t>
            </w:r>
          </w:p>
        </w:tc>
        <w:tc>
          <w:tcPr>
            <w:tcW w:w="4535" w:type="dxa"/>
            <w:vAlign w:val="center"/>
          </w:tcPr>
          <w:p w14:paraId="28E1544F">
            <w:pPr>
              <w:pStyle w:val="13"/>
            </w:pPr>
          </w:p>
        </w:tc>
        <w:tc>
          <w:tcPr>
            <w:tcW w:w="2126" w:type="dxa"/>
            <w:vAlign w:val="center"/>
          </w:tcPr>
          <w:p w14:paraId="30C07F25">
            <w:pPr>
              <w:pStyle w:val="14"/>
            </w:pPr>
          </w:p>
        </w:tc>
        <w:tc>
          <w:tcPr>
            <w:tcW w:w="4535" w:type="dxa"/>
            <w:vAlign w:val="center"/>
          </w:tcPr>
          <w:p w14:paraId="56C72245">
            <w:pPr>
              <w:pStyle w:val="13"/>
            </w:pPr>
            <w:r>
              <w:t>十九、自然资源海洋气象等支出</w:t>
            </w:r>
          </w:p>
        </w:tc>
        <w:tc>
          <w:tcPr>
            <w:tcW w:w="2126" w:type="dxa"/>
            <w:vAlign w:val="center"/>
          </w:tcPr>
          <w:p w14:paraId="3F6F6274">
            <w:pPr>
              <w:pStyle w:val="14"/>
            </w:pPr>
          </w:p>
        </w:tc>
      </w:tr>
      <w:tr w14:paraId="313F8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3C127">
            <w:pPr>
              <w:pStyle w:val="12"/>
            </w:pPr>
            <w:r>
              <w:t>20</w:t>
            </w:r>
          </w:p>
        </w:tc>
        <w:tc>
          <w:tcPr>
            <w:tcW w:w="4535" w:type="dxa"/>
            <w:vAlign w:val="center"/>
          </w:tcPr>
          <w:p w14:paraId="0BD74E74">
            <w:pPr>
              <w:pStyle w:val="13"/>
            </w:pPr>
          </w:p>
        </w:tc>
        <w:tc>
          <w:tcPr>
            <w:tcW w:w="2126" w:type="dxa"/>
            <w:vAlign w:val="center"/>
          </w:tcPr>
          <w:p w14:paraId="15002FDD">
            <w:pPr>
              <w:pStyle w:val="14"/>
            </w:pPr>
          </w:p>
        </w:tc>
        <w:tc>
          <w:tcPr>
            <w:tcW w:w="4535" w:type="dxa"/>
            <w:vAlign w:val="center"/>
          </w:tcPr>
          <w:p w14:paraId="7B589851">
            <w:pPr>
              <w:pStyle w:val="13"/>
            </w:pPr>
            <w:r>
              <w:t>二十、住房保障支出</w:t>
            </w:r>
          </w:p>
        </w:tc>
        <w:tc>
          <w:tcPr>
            <w:tcW w:w="2126" w:type="dxa"/>
            <w:vAlign w:val="center"/>
          </w:tcPr>
          <w:p w14:paraId="3163042F">
            <w:pPr>
              <w:pStyle w:val="14"/>
            </w:pPr>
          </w:p>
        </w:tc>
      </w:tr>
      <w:tr w14:paraId="2AE59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161F3">
            <w:pPr>
              <w:pStyle w:val="12"/>
            </w:pPr>
            <w:r>
              <w:t>21</w:t>
            </w:r>
          </w:p>
        </w:tc>
        <w:tc>
          <w:tcPr>
            <w:tcW w:w="4535" w:type="dxa"/>
            <w:vAlign w:val="center"/>
          </w:tcPr>
          <w:p w14:paraId="792EF59C">
            <w:pPr>
              <w:pStyle w:val="13"/>
            </w:pPr>
          </w:p>
        </w:tc>
        <w:tc>
          <w:tcPr>
            <w:tcW w:w="2126" w:type="dxa"/>
            <w:vAlign w:val="center"/>
          </w:tcPr>
          <w:p w14:paraId="07219DB6">
            <w:pPr>
              <w:pStyle w:val="14"/>
            </w:pPr>
          </w:p>
        </w:tc>
        <w:tc>
          <w:tcPr>
            <w:tcW w:w="4535" w:type="dxa"/>
            <w:vAlign w:val="center"/>
          </w:tcPr>
          <w:p w14:paraId="50414883">
            <w:pPr>
              <w:pStyle w:val="13"/>
            </w:pPr>
            <w:r>
              <w:t>二十一、粮油物资储备支出</w:t>
            </w:r>
          </w:p>
        </w:tc>
        <w:tc>
          <w:tcPr>
            <w:tcW w:w="2126" w:type="dxa"/>
            <w:vAlign w:val="center"/>
          </w:tcPr>
          <w:p w14:paraId="1A8FC8B9">
            <w:pPr>
              <w:pStyle w:val="14"/>
            </w:pPr>
          </w:p>
        </w:tc>
      </w:tr>
      <w:tr w14:paraId="17DB7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49CD7">
            <w:pPr>
              <w:pStyle w:val="12"/>
            </w:pPr>
            <w:r>
              <w:t>22</w:t>
            </w:r>
          </w:p>
        </w:tc>
        <w:tc>
          <w:tcPr>
            <w:tcW w:w="4535" w:type="dxa"/>
            <w:vAlign w:val="center"/>
          </w:tcPr>
          <w:p w14:paraId="6A646210">
            <w:pPr>
              <w:pStyle w:val="13"/>
            </w:pPr>
          </w:p>
        </w:tc>
        <w:tc>
          <w:tcPr>
            <w:tcW w:w="2126" w:type="dxa"/>
            <w:vAlign w:val="center"/>
          </w:tcPr>
          <w:p w14:paraId="7CF27863">
            <w:pPr>
              <w:pStyle w:val="14"/>
            </w:pPr>
          </w:p>
        </w:tc>
        <w:tc>
          <w:tcPr>
            <w:tcW w:w="4535" w:type="dxa"/>
            <w:vAlign w:val="center"/>
          </w:tcPr>
          <w:p w14:paraId="07736724">
            <w:pPr>
              <w:pStyle w:val="13"/>
            </w:pPr>
            <w:r>
              <w:t>二十二、国有资本经营预算支出</w:t>
            </w:r>
          </w:p>
        </w:tc>
        <w:tc>
          <w:tcPr>
            <w:tcW w:w="2126" w:type="dxa"/>
            <w:vAlign w:val="center"/>
          </w:tcPr>
          <w:p w14:paraId="78B9D4BA">
            <w:pPr>
              <w:pStyle w:val="14"/>
            </w:pPr>
          </w:p>
        </w:tc>
      </w:tr>
      <w:tr w14:paraId="19D03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ED9CF">
            <w:pPr>
              <w:pStyle w:val="12"/>
            </w:pPr>
            <w:r>
              <w:t>23</w:t>
            </w:r>
          </w:p>
        </w:tc>
        <w:tc>
          <w:tcPr>
            <w:tcW w:w="4535" w:type="dxa"/>
            <w:vAlign w:val="center"/>
          </w:tcPr>
          <w:p w14:paraId="425C921D">
            <w:pPr>
              <w:pStyle w:val="13"/>
            </w:pPr>
          </w:p>
        </w:tc>
        <w:tc>
          <w:tcPr>
            <w:tcW w:w="2126" w:type="dxa"/>
            <w:vAlign w:val="center"/>
          </w:tcPr>
          <w:p w14:paraId="4BEBD7EB">
            <w:pPr>
              <w:pStyle w:val="14"/>
            </w:pPr>
          </w:p>
        </w:tc>
        <w:tc>
          <w:tcPr>
            <w:tcW w:w="4535" w:type="dxa"/>
            <w:vAlign w:val="center"/>
          </w:tcPr>
          <w:p w14:paraId="261D3027">
            <w:pPr>
              <w:pStyle w:val="13"/>
            </w:pPr>
            <w:r>
              <w:t>二十三、灾害防治及应急管理支出</w:t>
            </w:r>
          </w:p>
        </w:tc>
        <w:tc>
          <w:tcPr>
            <w:tcW w:w="2126" w:type="dxa"/>
            <w:vAlign w:val="center"/>
          </w:tcPr>
          <w:p w14:paraId="6101AA63">
            <w:pPr>
              <w:pStyle w:val="14"/>
            </w:pPr>
          </w:p>
        </w:tc>
      </w:tr>
      <w:tr w14:paraId="6DB48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431FF">
            <w:pPr>
              <w:pStyle w:val="12"/>
            </w:pPr>
            <w:r>
              <w:t>24</w:t>
            </w:r>
          </w:p>
        </w:tc>
        <w:tc>
          <w:tcPr>
            <w:tcW w:w="4535" w:type="dxa"/>
            <w:vAlign w:val="center"/>
          </w:tcPr>
          <w:p w14:paraId="7B0396A3">
            <w:pPr>
              <w:pStyle w:val="13"/>
            </w:pPr>
          </w:p>
        </w:tc>
        <w:tc>
          <w:tcPr>
            <w:tcW w:w="2126" w:type="dxa"/>
            <w:vAlign w:val="center"/>
          </w:tcPr>
          <w:p w14:paraId="780C6836">
            <w:pPr>
              <w:pStyle w:val="14"/>
            </w:pPr>
          </w:p>
        </w:tc>
        <w:tc>
          <w:tcPr>
            <w:tcW w:w="4535" w:type="dxa"/>
            <w:vAlign w:val="center"/>
          </w:tcPr>
          <w:p w14:paraId="47A49A04">
            <w:pPr>
              <w:pStyle w:val="13"/>
            </w:pPr>
            <w:r>
              <w:t>二十四、预备费</w:t>
            </w:r>
          </w:p>
        </w:tc>
        <w:tc>
          <w:tcPr>
            <w:tcW w:w="2126" w:type="dxa"/>
            <w:vAlign w:val="center"/>
          </w:tcPr>
          <w:p w14:paraId="10A88333">
            <w:pPr>
              <w:pStyle w:val="14"/>
            </w:pPr>
          </w:p>
        </w:tc>
      </w:tr>
      <w:tr w14:paraId="4DA05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A6190">
            <w:pPr>
              <w:pStyle w:val="12"/>
            </w:pPr>
            <w:r>
              <w:t>25</w:t>
            </w:r>
          </w:p>
        </w:tc>
        <w:tc>
          <w:tcPr>
            <w:tcW w:w="4535" w:type="dxa"/>
            <w:vAlign w:val="center"/>
          </w:tcPr>
          <w:p w14:paraId="64450AC4">
            <w:pPr>
              <w:pStyle w:val="13"/>
            </w:pPr>
          </w:p>
        </w:tc>
        <w:tc>
          <w:tcPr>
            <w:tcW w:w="2126" w:type="dxa"/>
            <w:vAlign w:val="center"/>
          </w:tcPr>
          <w:p w14:paraId="5F44E13B">
            <w:pPr>
              <w:pStyle w:val="14"/>
            </w:pPr>
          </w:p>
        </w:tc>
        <w:tc>
          <w:tcPr>
            <w:tcW w:w="4535" w:type="dxa"/>
            <w:vAlign w:val="center"/>
          </w:tcPr>
          <w:p w14:paraId="5F2E9613">
            <w:pPr>
              <w:pStyle w:val="13"/>
            </w:pPr>
            <w:r>
              <w:t>二十五、其他支出</w:t>
            </w:r>
          </w:p>
        </w:tc>
        <w:tc>
          <w:tcPr>
            <w:tcW w:w="2126" w:type="dxa"/>
            <w:vAlign w:val="center"/>
          </w:tcPr>
          <w:p w14:paraId="5BA07867">
            <w:pPr>
              <w:pStyle w:val="14"/>
            </w:pPr>
          </w:p>
        </w:tc>
      </w:tr>
      <w:tr w14:paraId="07BDC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F8F9A">
            <w:pPr>
              <w:pStyle w:val="12"/>
            </w:pPr>
            <w:r>
              <w:t>26</w:t>
            </w:r>
          </w:p>
        </w:tc>
        <w:tc>
          <w:tcPr>
            <w:tcW w:w="4535" w:type="dxa"/>
            <w:vAlign w:val="center"/>
          </w:tcPr>
          <w:p w14:paraId="2D8F590E">
            <w:pPr>
              <w:pStyle w:val="13"/>
            </w:pPr>
          </w:p>
        </w:tc>
        <w:tc>
          <w:tcPr>
            <w:tcW w:w="2126" w:type="dxa"/>
            <w:vAlign w:val="center"/>
          </w:tcPr>
          <w:p w14:paraId="7FFB64BC">
            <w:pPr>
              <w:pStyle w:val="14"/>
            </w:pPr>
          </w:p>
        </w:tc>
        <w:tc>
          <w:tcPr>
            <w:tcW w:w="4535" w:type="dxa"/>
            <w:vAlign w:val="center"/>
          </w:tcPr>
          <w:p w14:paraId="4CDB70CA">
            <w:pPr>
              <w:pStyle w:val="13"/>
            </w:pPr>
            <w:r>
              <w:t>二十六、转移性支出</w:t>
            </w:r>
          </w:p>
        </w:tc>
        <w:tc>
          <w:tcPr>
            <w:tcW w:w="2126" w:type="dxa"/>
            <w:vAlign w:val="center"/>
          </w:tcPr>
          <w:p w14:paraId="78146826">
            <w:pPr>
              <w:pStyle w:val="14"/>
            </w:pPr>
          </w:p>
        </w:tc>
      </w:tr>
      <w:tr w14:paraId="47C70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ADA0A">
            <w:pPr>
              <w:pStyle w:val="12"/>
            </w:pPr>
            <w:r>
              <w:t>27</w:t>
            </w:r>
          </w:p>
        </w:tc>
        <w:tc>
          <w:tcPr>
            <w:tcW w:w="4535" w:type="dxa"/>
            <w:vAlign w:val="center"/>
          </w:tcPr>
          <w:p w14:paraId="2A77A382">
            <w:pPr>
              <w:pStyle w:val="13"/>
            </w:pPr>
          </w:p>
        </w:tc>
        <w:tc>
          <w:tcPr>
            <w:tcW w:w="2126" w:type="dxa"/>
            <w:vAlign w:val="center"/>
          </w:tcPr>
          <w:p w14:paraId="1F23ED8F">
            <w:pPr>
              <w:pStyle w:val="14"/>
            </w:pPr>
          </w:p>
        </w:tc>
        <w:tc>
          <w:tcPr>
            <w:tcW w:w="4535" w:type="dxa"/>
            <w:vAlign w:val="center"/>
          </w:tcPr>
          <w:p w14:paraId="36CCAF93">
            <w:pPr>
              <w:pStyle w:val="13"/>
            </w:pPr>
            <w:r>
              <w:t>二十七、债务还本支出</w:t>
            </w:r>
          </w:p>
        </w:tc>
        <w:tc>
          <w:tcPr>
            <w:tcW w:w="2126" w:type="dxa"/>
            <w:vAlign w:val="center"/>
          </w:tcPr>
          <w:p w14:paraId="3A3C2C1B">
            <w:pPr>
              <w:pStyle w:val="14"/>
            </w:pPr>
          </w:p>
        </w:tc>
      </w:tr>
      <w:tr w14:paraId="37F38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BEF38">
            <w:pPr>
              <w:pStyle w:val="12"/>
            </w:pPr>
            <w:r>
              <w:t>28</w:t>
            </w:r>
          </w:p>
        </w:tc>
        <w:tc>
          <w:tcPr>
            <w:tcW w:w="4535" w:type="dxa"/>
            <w:vAlign w:val="center"/>
          </w:tcPr>
          <w:p w14:paraId="5E68940D">
            <w:pPr>
              <w:pStyle w:val="13"/>
            </w:pPr>
          </w:p>
        </w:tc>
        <w:tc>
          <w:tcPr>
            <w:tcW w:w="2126" w:type="dxa"/>
            <w:vAlign w:val="center"/>
          </w:tcPr>
          <w:p w14:paraId="49486E6C">
            <w:pPr>
              <w:pStyle w:val="14"/>
            </w:pPr>
          </w:p>
        </w:tc>
        <w:tc>
          <w:tcPr>
            <w:tcW w:w="4535" w:type="dxa"/>
            <w:vAlign w:val="center"/>
          </w:tcPr>
          <w:p w14:paraId="31117A7D">
            <w:pPr>
              <w:pStyle w:val="13"/>
            </w:pPr>
            <w:r>
              <w:t>二十八、债务付息支出</w:t>
            </w:r>
          </w:p>
        </w:tc>
        <w:tc>
          <w:tcPr>
            <w:tcW w:w="2126" w:type="dxa"/>
            <w:vAlign w:val="center"/>
          </w:tcPr>
          <w:p w14:paraId="3089FF3F">
            <w:pPr>
              <w:pStyle w:val="14"/>
            </w:pPr>
          </w:p>
        </w:tc>
      </w:tr>
      <w:tr w14:paraId="103DC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4EFE6">
            <w:pPr>
              <w:pStyle w:val="12"/>
            </w:pPr>
            <w:r>
              <w:t>29</w:t>
            </w:r>
          </w:p>
        </w:tc>
        <w:tc>
          <w:tcPr>
            <w:tcW w:w="4535" w:type="dxa"/>
            <w:vAlign w:val="center"/>
          </w:tcPr>
          <w:p w14:paraId="74A2B338">
            <w:pPr>
              <w:pStyle w:val="13"/>
            </w:pPr>
          </w:p>
        </w:tc>
        <w:tc>
          <w:tcPr>
            <w:tcW w:w="2126" w:type="dxa"/>
            <w:vAlign w:val="center"/>
          </w:tcPr>
          <w:p w14:paraId="1F36ACA2">
            <w:pPr>
              <w:pStyle w:val="14"/>
            </w:pPr>
          </w:p>
        </w:tc>
        <w:tc>
          <w:tcPr>
            <w:tcW w:w="4535" w:type="dxa"/>
            <w:vAlign w:val="center"/>
          </w:tcPr>
          <w:p w14:paraId="0CB232CF">
            <w:pPr>
              <w:pStyle w:val="13"/>
            </w:pPr>
            <w:r>
              <w:t>二十九、债务发行费用支出</w:t>
            </w:r>
          </w:p>
        </w:tc>
        <w:tc>
          <w:tcPr>
            <w:tcW w:w="2126" w:type="dxa"/>
            <w:vAlign w:val="center"/>
          </w:tcPr>
          <w:p w14:paraId="567C88D4">
            <w:pPr>
              <w:pStyle w:val="14"/>
            </w:pPr>
          </w:p>
        </w:tc>
      </w:tr>
      <w:tr w14:paraId="2A08D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7C826">
            <w:pPr>
              <w:pStyle w:val="12"/>
            </w:pPr>
            <w:r>
              <w:t>30</w:t>
            </w:r>
          </w:p>
        </w:tc>
        <w:tc>
          <w:tcPr>
            <w:tcW w:w="4535" w:type="dxa"/>
            <w:vAlign w:val="center"/>
          </w:tcPr>
          <w:p w14:paraId="059D0E9F">
            <w:pPr>
              <w:pStyle w:val="13"/>
            </w:pPr>
          </w:p>
        </w:tc>
        <w:tc>
          <w:tcPr>
            <w:tcW w:w="2126" w:type="dxa"/>
            <w:vAlign w:val="center"/>
          </w:tcPr>
          <w:p w14:paraId="49333507">
            <w:pPr>
              <w:pStyle w:val="14"/>
            </w:pPr>
          </w:p>
        </w:tc>
        <w:tc>
          <w:tcPr>
            <w:tcW w:w="4535" w:type="dxa"/>
            <w:vAlign w:val="center"/>
          </w:tcPr>
          <w:p w14:paraId="3BAA492F">
            <w:pPr>
              <w:pStyle w:val="13"/>
            </w:pPr>
            <w:r>
              <w:t>三十、抗疫特别国债安排的支出</w:t>
            </w:r>
          </w:p>
        </w:tc>
        <w:tc>
          <w:tcPr>
            <w:tcW w:w="2126" w:type="dxa"/>
            <w:vAlign w:val="center"/>
          </w:tcPr>
          <w:p w14:paraId="4DCDCC95">
            <w:pPr>
              <w:pStyle w:val="14"/>
            </w:pPr>
          </w:p>
        </w:tc>
      </w:tr>
      <w:tr w14:paraId="45541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7FAB6">
            <w:pPr>
              <w:pStyle w:val="12"/>
            </w:pPr>
            <w:r>
              <w:t>31</w:t>
            </w:r>
          </w:p>
        </w:tc>
        <w:tc>
          <w:tcPr>
            <w:tcW w:w="4535" w:type="dxa"/>
            <w:vAlign w:val="center"/>
          </w:tcPr>
          <w:p w14:paraId="24644F47">
            <w:pPr>
              <w:pStyle w:val="13"/>
            </w:pPr>
          </w:p>
        </w:tc>
        <w:tc>
          <w:tcPr>
            <w:tcW w:w="2126" w:type="dxa"/>
            <w:vAlign w:val="center"/>
          </w:tcPr>
          <w:p w14:paraId="38DC0BC9">
            <w:pPr>
              <w:pStyle w:val="14"/>
            </w:pPr>
          </w:p>
        </w:tc>
        <w:tc>
          <w:tcPr>
            <w:tcW w:w="4535" w:type="dxa"/>
            <w:vAlign w:val="center"/>
          </w:tcPr>
          <w:p w14:paraId="4E14ACB1">
            <w:pPr>
              <w:pStyle w:val="13"/>
            </w:pPr>
            <w:r>
              <w:t>三十一、人行科目</w:t>
            </w:r>
          </w:p>
        </w:tc>
        <w:tc>
          <w:tcPr>
            <w:tcW w:w="2126" w:type="dxa"/>
            <w:vAlign w:val="center"/>
          </w:tcPr>
          <w:p w14:paraId="23640D37">
            <w:pPr>
              <w:pStyle w:val="14"/>
            </w:pPr>
          </w:p>
        </w:tc>
      </w:tr>
      <w:tr w14:paraId="6EB4D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015CD">
            <w:pPr>
              <w:pStyle w:val="12"/>
            </w:pPr>
            <w:r>
              <w:t>32</w:t>
            </w:r>
          </w:p>
        </w:tc>
        <w:tc>
          <w:tcPr>
            <w:tcW w:w="4535" w:type="dxa"/>
            <w:vAlign w:val="center"/>
          </w:tcPr>
          <w:p w14:paraId="74DE4CFD">
            <w:pPr>
              <w:pStyle w:val="15"/>
            </w:pPr>
            <w:r>
              <w:t>本年收入合计</w:t>
            </w:r>
          </w:p>
        </w:tc>
        <w:tc>
          <w:tcPr>
            <w:tcW w:w="2126" w:type="dxa"/>
            <w:vAlign w:val="center"/>
          </w:tcPr>
          <w:p w14:paraId="0431FF5F">
            <w:pPr>
              <w:pStyle w:val="16"/>
            </w:pPr>
            <w:r>
              <w:t>191.56</w:t>
            </w:r>
          </w:p>
        </w:tc>
        <w:tc>
          <w:tcPr>
            <w:tcW w:w="4535" w:type="dxa"/>
            <w:vAlign w:val="center"/>
          </w:tcPr>
          <w:p w14:paraId="355BE840">
            <w:pPr>
              <w:pStyle w:val="15"/>
            </w:pPr>
            <w:r>
              <w:t>本年支出合计</w:t>
            </w:r>
          </w:p>
        </w:tc>
        <w:tc>
          <w:tcPr>
            <w:tcW w:w="2126" w:type="dxa"/>
            <w:vAlign w:val="center"/>
          </w:tcPr>
          <w:p w14:paraId="52039CE5">
            <w:pPr>
              <w:pStyle w:val="16"/>
            </w:pPr>
            <w:r>
              <w:t>191.56</w:t>
            </w:r>
          </w:p>
        </w:tc>
      </w:tr>
      <w:tr w14:paraId="3922E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BDE54">
            <w:pPr>
              <w:pStyle w:val="12"/>
            </w:pPr>
            <w:r>
              <w:t>33</w:t>
            </w:r>
          </w:p>
        </w:tc>
        <w:tc>
          <w:tcPr>
            <w:tcW w:w="4535" w:type="dxa"/>
            <w:vAlign w:val="center"/>
          </w:tcPr>
          <w:p w14:paraId="69947C92">
            <w:pPr>
              <w:pStyle w:val="13"/>
            </w:pPr>
            <w:r>
              <w:t>上年结转结余</w:t>
            </w:r>
          </w:p>
        </w:tc>
        <w:tc>
          <w:tcPr>
            <w:tcW w:w="2126" w:type="dxa"/>
            <w:vAlign w:val="center"/>
          </w:tcPr>
          <w:p w14:paraId="4366C711">
            <w:pPr>
              <w:pStyle w:val="14"/>
            </w:pPr>
          </w:p>
        </w:tc>
        <w:tc>
          <w:tcPr>
            <w:tcW w:w="4535" w:type="dxa"/>
            <w:vAlign w:val="center"/>
          </w:tcPr>
          <w:p w14:paraId="0871C44F">
            <w:pPr>
              <w:pStyle w:val="13"/>
            </w:pPr>
            <w:r>
              <w:t>年终结转结余</w:t>
            </w:r>
          </w:p>
        </w:tc>
        <w:tc>
          <w:tcPr>
            <w:tcW w:w="2126" w:type="dxa"/>
            <w:vAlign w:val="center"/>
          </w:tcPr>
          <w:p w14:paraId="4B6521F0">
            <w:pPr>
              <w:pStyle w:val="14"/>
            </w:pPr>
          </w:p>
        </w:tc>
      </w:tr>
      <w:tr w14:paraId="1D0A0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E3C10">
            <w:pPr>
              <w:pStyle w:val="12"/>
            </w:pPr>
            <w:r>
              <w:t>34</w:t>
            </w:r>
          </w:p>
        </w:tc>
        <w:tc>
          <w:tcPr>
            <w:tcW w:w="4535" w:type="dxa"/>
            <w:vAlign w:val="center"/>
          </w:tcPr>
          <w:p w14:paraId="6A152DAE">
            <w:pPr>
              <w:pStyle w:val="15"/>
            </w:pPr>
            <w:r>
              <w:t>收入总计</w:t>
            </w:r>
          </w:p>
        </w:tc>
        <w:tc>
          <w:tcPr>
            <w:tcW w:w="2126" w:type="dxa"/>
            <w:vAlign w:val="center"/>
          </w:tcPr>
          <w:p w14:paraId="75C4E88B">
            <w:pPr>
              <w:pStyle w:val="16"/>
            </w:pPr>
            <w:r>
              <w:t>191.56</w:t>
            </w:r>
          </w:p>
        </w:tc>
        <w:tc>
          <w:tcPr>
            <w:tcW w:w="4535" w:type="dxa"/>
            <w:vAlign w:val="center"/>
          </w:tcPr>
          <w:p w14:paraId="760A7971">
            <w:pPr>
              <w:pStyle w:val="15"/>
            </w:pPr>
            <w:r>
              <w:t>支出总计</w:t>
            </w:r>
          </w:p>
        </w:tc>
        <w:tc>
          <w:tcPr>
            <w:tcW w:w="2126" w:type="dxa"/>
            <w:vAlign w:val="center"/>
          </w:tcPr>
          <w:p w14:paraId="1E31E48B">
            <w:pPr>
              <w:pStyle w:val="16"/>
            </w:pPr>
            <w:r>
              <w:t>191.56</w:t>
            </w:r>
          </w:p>
        </w:tc>
      </w:tr>
    </w:tbl>
    <w:p w14:paraId="6CB255FE">
      <w:pPr>
        <w:sectPr>
          <w:pgSz w:w="16840" w:h="11900" w:orient="landscape"/>
          <w:pgMar w:top="1361" w:right="1020" w:bottom="1134" w:left="1020" w:header="720" w:footer="720" w:gutter="0"/>
          <w:cols w:space="720" w:num="1"/>
        </w:sectPr>
      </w:pPr>
    </w:p>
    <w:p w14:paraId="037DBD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208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7CB185">
            <w:pPr>
              <w:pStyle w:val="8"/>
            </w:pPr>
            <w:r>
              <w:t>360012隆尧县特殊教育学校</w:t>
            </w:r>
          </w:p>
        </w:tc>
        <w:tc>
          <w:tcPr>
            <w:tcW w:w="3402" w:type="dxa"/>
            <w:gridSpan w:val="3"/>
            <w:tcBorders>
              <w:top w:val="single" w:color="FFFFFF" w:sz="6" w:space="0"/>
              <w:left w:val="single" w:color="FFFFFF" w:sz="6" w:space="0"/>
              <w:right w:val="single" w:color="FFFFFF" w:sz="6" w:space="0"/>
            </w:tcBorders>
            <w:vAlign w:val="center"/>
          </w:tcPr>
          <w:p w14:paraId="436CC38E">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5C01A36">
            <w:pPr>
              <w:pStyle w:val="10"/>
            </w:pPr>
            <w:r>
              <w:t>单位：万元</w:t>
            </w:r>
          </w:p>
        </w:tc>
      </w:tr>
      <w:tr w14:paraId="5AD9F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0E9B36">
            <w:pPr>
              <w:pStyle w:val="11"/>
            </w:pPr>
            <w:r>
              <w:t>序号</w:t>
            </w:r>
          </w:p>
        </w:tc>
        <w:tc>
          <w:tcPr>
            <w:tcW w:w="2551" w:type="dxa"/>
            <w:gridSpan w:val="2"/>
            <w:vAlign w:val="center"/>
          </w:tcPr>
          <w:p w14:paraId="69785BE8">
            <w:pPr>
              <w:pStyle w:val="11"/>
            </w:pPr>
            <w:r>
              <w:t>功能分类科目</w:t>
            </w:r>
          </w:p>
        </w:tc>
        <w:tc>
          <w:tcPr>
            <w:tcW w:w="1134" w:type="dxa"/>
            <w:vMerge w:val="restart"/>
            <w:vAlign w:val="center"/>
          </w:tcPr>
          <w:p w14:paraId="1146CF79">
            <w:pPr>
              <w:pStyle w:val="11"/>
            </w:pPr>
            <w:r>
              <w:t>合计</w:t>
            </w:r>
          </w:p>
        </w:tc>
        <w:tc>
          <w:tcPr>
            <w:tcW w:w="9072" w:type="dxa"/>
            <w:gridSpan w:val="8"/>
            <w:vAlign w:val="center"/>
          </w:tcPr>
          <w:p w14:paraId="77C00490">
            <w:pPr>
              <w:pStyle w:val="11"/>
            </w:pPr>
            <w:r>
              <w:t>本年收入</w:t>
            </w:r>
          </w:p>
        </w:tc>
        <w:tc>
          <w:tcPr>
            <w:tcW w:w="1134" w:type="dxa"/>
            <w:vMerge w:val="restart"/>
            <w:vAlign w:val="center"/>
          </w:tcPr>
          <w:p w14:paraId="4F6E2D45">
            <w:pPr>
              <w:pStyle w:val="11"/>
            </w:pPr>
            <w:r>
              <w:t>上年结转</w:t>
            </w:r>
          </w:p>
        </w:tc>
      </w:tr>
      <w:tr w14:paraId="0BB8D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675F0E"/>
        </w:tc>
        <w:tc>
          <w:tcPr>
            <w:tcW w:w="992" w:type="dxa"/>
            <w:vAlign w:val="center"/>
          </w:tcPr>
          <w:p w14:paraId="4EB24F26">
            <w:pPr>
              <w:pStyle w:val="11"/>
            </w:pPr>
            <w:r>
              <w:t>科目    编码</w:t>
            </w:r>
          </w:p>
        </w:tc>
        <w:tc>
          <w:tcPr>
            <w:tcW w:w="1559" w:type="dxa"/>
            <w:vAlign w:val="center"/>
          </w:tcPr>
          <w:p w14:paraId="7AD09273">
            <w:pPr>
              <w:pStyle w:val="11"/>
            </w:pPr>
            <w:r>
              <w:t>科目名称</w:t>
            </w:r>
          </w:p>
        </w:tc>
        <w:tc>
          <w:tcPr>
            <w:tcW w:w="1134" w:type="dxa"/>
            <w:vMerge w:val="continue"/>
          </w:tcPr>
          <w:p w14:paraId="12E2EF59"/>
        </w:tc>
        <w:tc>
          <w:tcPr>
            <w:tcW w:w="1134" w:type="dxa"/>
            <w:vAlign w:val="center"/>
          </w:tcPr>
          <w:p w14:paraId="326097E5">
            <w:pPr>
              <w:pStyle w:val="11"/>
            </w:pPr>
            <w:r>
              <w:t>小计</w:t>
            </w:r>
          </w:p>
        </w:tc>
        <w:tc>
          <w:tcPr>
            <w:tcW w:w="1134" w:type="dxa"/>
            <w:vAlign w:val="center"/>
          </w:tcPr>
          <w:p w14:paraId="3F82023F">
            <w:pPr>
              <w:pStyle w:val="11"/>
            </w:pPr>
            <w:r>
              <w:t>财政拨款 收入</w:t>
            </w:r>
          </w:p>
        </w:tc>
        <w:tc>
          <w:tcPr>
            <w:tcW w:w="1134" w:type="dxa"/>
            <w:vAlign w:val="center"/>
          </w:tcPr>
          <w:p w14:paraId="01B6D2CB">
            <w:pPr>
              <w:pStyle w:val="11"/>
            </w:pPr>
            <w:r>
              <w:t>财政专户 收入</w:t>
            </w:r>
          </w:p>
        </w:tc>
        <w:tc>
          <w:tcPr>
            <w:tcW w:w="1134" w:type="dxa"/>
            <w:vAlign w:val="center"/>
          </w:tcPr>
          <w:p w14:paraId="59702BFE">
            <w:pPr>
              <w:pStyle w:val="11"/>
            </w:pPr>
            <w:r>
              <w:t>事业收入</w:t>
            </w:r>
          </w:p>
        </w:tc>
        <w:tc>
          <w:tcPr>
            <w:tcW w:w="1134" w:type="dxa"/>
            <w:vAlign w:val="center"/>
          </w:tcPr>
          <w:p w14:paraId="53C5CC95">
            <w:pPr>
              <w:pStyle w:val="11"/>
            </w:pPr>
            <w:r>
              <w:t>经营收入</w:t>
            </w:r>
          </w:p>
        </w:tc>
        <w:tc>
          <w:tcPr>
            <w:tcW w:w="1134" w:type="dxa"/>
            <w:vAlign w:val="center"/>
          </w:tcPr>
          <w:p w14:paraId="4D654829">
            <w:pPr>
              <w:pStyle w:val="11"/>
            </w:pPr>
            <w:r>
              <w:t>上级补助收入</w:t>
            </w:r>
          </w:p>
        </w:tc>
        <w:tc>
          <w:tcPr>
            <w:tcW w:w="1134" w:type="dxa"/>
            <w:vAlign w:val="center"/>
          </w:tcPr>
          <w:p w14:paraId="15CD1292">
            <w:pPr>
              <w:pStyle w:val="11"/>
            </w:pPr>
            <w:r>
              <w:t>附属单位上缴收入</w:t>
            </w:r>
          </w:p>
        </w:tc>
        <w:tc>
          <w:tcPr>
            <w:tcW w:w="1134" w:type="dxa"/>
            <w:vAlign w:val="center"/>
          </w:tcPr>
          <w:p w14:paraId="6AE1B4B7">
            <w:pPr>
              <w:pStyle w:val="11"/>
            </w:pPr>
            <w:r>
              <w:t>其他收入</w:t>
            </w:r>
          </w:p>
        </w:tc>
        <w:tc>
          <w:tcPr>
            <w:tcW w:w="1134" w:type="dxa"/>
            <w:vMerge w:val="continue"/>
          </w:tcPr>
          <w:p w14:paraId="7CB546AA"/>
        </w:tc>
      </w:tr>
      <w:tr w14:paraId="7AB91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357E94">
            <w:pPr>
              <w:pStyle w:val="11"/>
            </w:pPr>
            <w:r>
              <w:t>栏次</w:t>
            </w:r>
          </w:p>
        </w:tc>
        <w:tc>
          <w:tcPr>
            <w:tcW w:w="992" w:type="dxa"/>
            <w:vAlign w:val="center"/>
          </w:tcPr>
          <w:p w14:paraId="59D3492E">
            <w:pPr>
              <w:pStyle w:val="11"/>
            </w:pPr>
            <w:r>
              <w:t>1</w:t>
            </w:r>
          </w:p>
        </w:tc>
        <w:tc>
          <w:tcPr>
            <w:tcW w:w="1559" w:type="dxa"/>
            <w:vAlign w:val="center"/>
          </w:tcPr>
          <w:p w14:paraId="2F18FBE7">
            <w:pPr>
              <w:pStyle w:val="11"/>
            </w:pPr>
            <w:r>
              <w:t>2</w:t>
            </w:r>
          </w:p>
        </w:tc>
        <w:tc>
          <w:tcPr>
            <w:tcW w:w="1134" w:type="dxa"/>
            <w:vAlign w:val="center"/>
          </w:tcPr>
          <w:p w14:paraId="0DD62B2F">
            <w:pPr>
              <w:pStyle w:val="11"/>
            </w:pPr>
            <w:r>
              <w:t>3</w:t>
            </w:r>
          </w:p>
        </w:tc>
        <w:tc>
          <w:tcPr>
            <w:tcW w:w="1134" w:type="dxa"/>
            <w:vAlign w:val="center"/>
          </w:tcPr>
          <w:p w14:paraId="7462BED8">
            <w:pPr>
              <w:pStyle w:val="11"/>
            </w:pPr>
            <w:r>
              <w:t>4</w:t>
            </w:r>
          </w:p>
        </w:tc>
        <w:tc>
          <w:tcPr>
            <w:tcW w:w="1134" w:type="dxa"/>
            <w:vAlign w:val="center"/>
          </w:tcPr>
          <w:p w14:paraId="6BC3EB47">
            <w:pPr>
              <w:pStyle w:val="11"/>
            </w:pPr>
            <w:r>
              <w:t>5</w:t>
            </w:r>
          </w:p>
        </w:tc>
        <w:tc>
          <w:tcPr>
            <w:tcW w:w="1134" w:type="dxa"/>
            <w:vAlign w:val="center"/>
          </w:tcPr>
          <w:p w14:paraId="7D3D2B8E">
            <w:pPr>
              <w:pStyle w:val="11"/>
            </w:pPr>
            <w:r>
              <w:t>6</w:t>
            </w:r>
          </w:p>
        </w:tc>
        <w:tc>
          <w:tcPr>
            <w:tcW w:w="1134" w:type="dxa"/>
            <w:vAlign w:val="center"/>
          </w:tcPr>
          <w:p w14:paraId="0B45B09A">
            <w:pPr>
              <w:pStyle w:val="11"/>
            </w:pPr>
            <w:r>
              <w:t>7</w:t>
            </w:r>
          </w:p>
        </w:tc>
        <w:tc>
          <w:tcPr>
            <w:tcW w:w="1134" w:type="dxa"/>
            <w:vAlign w:val="center"/>
          </w:tcPr>
          <w:p w14:paraId="625BA949">
            <w:pPr>
              <w:pStyle w:val="11"/>
            </w:pPr>
            <w:r>
              <w:t>8</w:t>
            </w:r>
          </w:p>
        </w:tc>
        <w:tc>
          <w:tcPr>
            <w:tcW w:w="1134" w:type="dxa"/>
            <w:vAlign w:val="center"/>
          </w:tcPr>
          <w:p w14:paraId="1EF3BFB7">
            <w:pPr>
              <w:pStyle w:val="11"/>
            </w:pPr>
            <w:r>
              <w:t>9</w:t>
            </w:r>
          </w:p>
        </w:tc>
        <w:tc>
          <w:tcPr>
            <w:tcW w:w="1134" w:type="dxa"/>
            <w:vAlign w:val="center"/>
          </w:tcPr>
          <w:p w14:paraId="7EA681B7">
            <w:pPr>
              <w:pStyle w:val="11"/>
            </w:pPr>
            <w:r>
              <w:t>10</w:t>
            </w:r>
          </w:p>
        </w:tc>
        <w:tc>
          <w:tcPr>
            <w:tcW w:w="1134" w:type="dxa"/>
            <w:vAlign w:val="center"/>
          </w:tcPr>
          <w:p w14:paraId="4A583D86">
            <w:pPr>
              <w:pStyle w:val="11"/>
            </w:pPr>
            <w:r>
              <w:t>11</w:t>
            </w:r>
          </w:p>
        </w:tc>
        <w:tc>
          <w:tcPr>
            <w:tcW w:w="1134" w:type="dxa"/>
            <w:vAlign w:val="center"/>
          </w:tcPr>
          <w:p w14:paraId="3AAD18D6">
            <w:pPr>
              <w:pStyle w:val="11"/>
            </w:pPr>
            <w:r>
              <w:t>12</w:t>
            </w:r>
          </w:p>
        </w:tc>
      </w:tr>
      <w:tr w14:paraId="5DFE4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919130">
            <w:pPr>
              <w:pStyle w:val="12"/>
            </w:pPr>
            <w:r>
              <w:t>1</w:t>
            </w:r>
          </w:p>
        </w:tc>
        <w:tc>
          <w:tcPr>
            <w:tcW w:w="992" w:type="dxa"/>
            <w:vAlign w:val="center"/>
          </w:tcPr>
          <w:p w14:paraId="347AC535">
            <w:pPr>
              <w:pStyle w:val="17"/>
            </w:pPr>
          </w:p>
        </w:tc>
        <w:tc>
          <w:tcPr>
            <w:tcW w:w="1559" w:type="dxa"/>
            <w:vAlign w:val="center"/>
          </w:tcPr>
          <w:p w14:paraId="29A83D82">
            <w:pPr>
              <w:pStyle w:val="15"/>
            </w:pPr>
            <w:r>
              <w:t>合计</w:t>
            </w:r>
          </w:p>
        </w:tc>
        <w:tc>
          <w:tcPr>
            <w:tcW w:w="1134" w:type="dxa"/>
            <w:vAlign w:val="center"/>
          </w:tcPr>
          <w:p w14:paraId="49212BE8">
            <w:pPr>
              <w:pStyle w:val="16"/>
            </w:pPr>
            <w:r>
              <w:t>191.56</w:t>
            </w:r>
          </w:p>
        </w:tc>
        <w:tc>
          <w:tcPr>
            <w:tcW w:w="1134" w:type="dxa"/>
            <w:vAlign w:val="center"/>
          </w:tcPr>
          <w:p w14:paraId="30B63F21">
            <w:pPr>
              <w:pStyle w:val="16"/>
            </w:pPr>
            <w:r>
              <w:t>191.56</w:t>
            </w:r>
          </w:p>
        </w:tc>
        <w:tc>
          <w:tcPr>
            <w:tcW w:w="1134" w:type="dxa"/>
            <w:vAlign w:val="center"/>
          </w:tcPr>
          <w:p w14:paraId="0B0D3563">
            <w:pPr>
              <w:pStyle w:val="16"/>
            </w:pPr>
            <w:r>
              <w:t>191.56</w:t>
            </w:r>
          </w:p>
        </w:tc>
        <w:tc>
          <w:tcPr>
            <w:tcW w:w="1134" w:type="dxa"/>
            <w:vAlign w:val="center"/>
          </w:tcPr>
          <w:p w14:paraId="4D26CBAC">
            <w:pPr>
              <w:pStyle w:val="16"/>
            </w:pPr>
          </w:p>
        </w:tc>
        <w:tc>
          <w:tcPr>
            <w:tcW w:w="1134" w:type="dxa"/>
            <w:vAlign w:val="center"/>
          </w:tcPr>
          <w:p w14:paraId="328FC493">
            <w:pPr>
              <w:pStyle w:val="16"/>
            </w:pPr>
          </w:p>
        </w:tc>
        <w:tc>
          <w:tcPr>
            <w:tcW w:w="1134" w:type="dxa"/>
            <w:vAlign w:val="center"/>
          </w:tcPr>
          <w:p w14:paraId="01D5F12D">
            <w:pPr>
              <w:pStyle w:val="16"/>
            </w:pPr>
          </w:p>
        </w:tc>
        <w:tc>
          <w:tcPr>
            <w:tcW w:w="1134" w:type="dxa"/>
            <w:vAlign w:val="center"/>
          </w:tcPr>
          <w:p w14:paraId="2515492D">
            <w:pPr>
              <w:pStyle w:val="16"/>
            </w:pPr>
          </w:p>
        </w:tc>
        <w:tc>
          <w:tcPr>
            <w:tcW w:w="1134" w:type="dxa"/>
            <w:vAlign w:val="center"/>
          </w:tcPr>
          <w:p w14:paraId="552008F0">
            <w:pPr>
              <w:pStyle w:val="16"/>
            </w:pPr>
          </w:p>
        </w:tc>
        <w:tc>
          <w:tcPr>
            <w:tcW w:w="1134" w:type="dxa"/>
            <w:vAlign w:val="center"/>
          </w:tcPr>
          <w:p w14:paraId="5BE235CA">
            <w:pPr>
              <w:pStyle w:val="16"/>
            </w:pPr>
          </w:p>
        </w:tc>
        <w:tc>
          <w:tcPr>
            <w:tcW w:w="1134" w:type="dxa"/>
            <w:vAlign w:val="center"/>
          </w:tcPr>
          <w:p w14:paraId="70A7CA5C">
            <w:pPr>
              <w:pStyle w:val="16"/>
            </w:pPr>
          </w:p>
        </w:tc>
      </w:tr>
      <w:tr w14:paraId="677C3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3AA346">
            <w:pPr>
              <w:pStyle w:val="12"/>
            </w:pPr>
            <w:r>
              <w:t>2</w:t>
            </w:r>
          </w:p>
        </w:tc>
        <w:tc>
          <w:tcPr>
            <w:tcW w:w="992" w:type="dxa"/>
            <w:vAlign w:val="center"/>
          </w:tcPr>
          <w:p w14:paraId="4239112F">
            <w:pPr>
              <w:pStyle w:val="13"/>
            </w:pPr>
            <w:r>
              <w:t>205</w:t>
            </w:r>
          </w:p>
        </w:tc>
        <w:tc>
          <w:tcPr>
            <w:tcW w:w="1559" w:type="dxa"/>
            <w:vAlign w:val="center"/>
          </w:tcPr>
          <w:p w14:paraId="071BB337">
            <w:pPr>
              <w:pStyle w:val="13"/>
            </w:pPr>
            <w:r>
              <w:t>教育支出</w:t>
            </w:r>
          </w:p>
        </w:tc>
        <w:tc>
          <w:tcPr>
            <w:tcW w:w="1134" w:type="dxa"/>
            <w:vAlign w:val="center"/>
          </w:tcPr>
          <w:p w14:paraId="20386413">
            <w:pPr>
              <w:pStyle w:val="14"/>
            </w:pPr>
            <w:r>
              <w:t>191.56</w:t>
            </w:r>
          </w:p>
        </w:tc>
        <w:tc>
          <w:tcPr>
            <w:tcW w:w="1134" w:type="dxa"/>
            <w:vAlign w:val="center"/>
          </w:tcPr>
          <w:p w14:paraId="7B37B19B">
            <w:pPr>
              <w:pStyle w:val="14"/>
            </w:pPr>
            <w:r>
              <w:t>191.56</w:t>
            </w:r>
          </w:p>
        </w:tc>
        <w:tc>
          <w:tcPr>
            <w:tcW w:w="1134" w:type="dxa"/>
            <w:vAlign w:val="center"/>
          </w:tcPr>
          <w:p w14:paraId="2A68CDF9">
            <w:pPr>
              <w:pStyle w:val="14"/>
            </w:pPr>
            <w:r>
              <w:t>191.56</w:t>
            </w:r>
          </w:p>
        </w:tc>
        <w:tc>
          <w:tcPr>
            <w:tcW w:w="1134" w:type="dxa"/>
            <w:vAlign w:val="center"/>
          </w:tcPr>
          <w:p w14:paraId="44170E61">
            <w:pPr>
              <w:pStyle w:val="14"/>
            </w:pPr>
          </w:p>
        </w:tc>
        <w:tc>
          <w:tcPr>
            <w:tcW w:w="1134" w:type="dxa"/>
            <w:vAlign w:val="center"/>
          </w:tcPr>
          <w:p w14:paraId="35EA3A2C">
            <w:pPr>
              <w:pStyle w:val="14"/>
            </w:pPr>
          </w:p>
        </w:tc>
        <w:tc>
          <w:tcPr>
            <w:tcW w:w="1134" w:type="dxa"/>
            <w:vAlign w:val="center"/>
          </w:tcPr>
          <w:p w14:paraId="0B383AAF">
            <w:pPr>
              <w:pStyle w:val="14"/>
            </w:pPr>
          </w:p>
        </w:tc>
        <w:tc>
          <w:tcPr>
            <w:tcW w:w="1134" w:type="dxa"/>
            <w:vAlign w:val="center"/>
          </w:tcPr>
          <w:p w14:paraId="672FF78E">
            <w:pPr>
              <w:pStyle w:val="14"/>
            </w:pPr>
          </w:p>
        </w:tc>
        <w:tc>
          <w:tcPr>
            <w:tcW w:w="1134" w:type="dxa"/>
            <w:vAlign w:val="center"/>
          </w:tcPr>
          <w:p w14:paraId="20706BC2">
            <w:pPr>
              <w:pStyle w:val="14"/>
            </w:pPr>
          </w:p>
        </w:tc>
        <w:tc>
          <w:tcPr>
            <w:tcW w:w="1134" w:type="dxa"/>
            <w:vAlign w:val="center"/>
          </w:tcPr>
          <w:p w14:paraId="3043B875">
            <w:pPr>
              <w:pStyle w:val="14"/>
            </w:pPr>
          </w:p>
        </w:tc>
        <w:tc>
          <w:tcPr>
            <w:tcW w:w="1134" w:type="dxa"/>
            <w:vAlign w:val="center"/>
          </w:tcPr>
          <w:p w14:paraId="20548A6D">
            <w:pPr>
              <w:pStyle w:val="14"/>
            </w:pPr>
          </w:p>
        </w:tc>
      </w:tr>
      <w:tr w14:paraId="3FBBE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51922E">
            <w:pPr>
              <w:pStyle w:val="12"/>
            </w:pPr>
            <w:r>
              <w:t>3</w:t>
            </w:r>
          </w:p>
        </w:tc>
        <w:tc>
          <w:tcPr>
            <w:tcW w:w="992" w:type="dxa"/>
            <w:vAlign w:val="center"/>
          </w:tcPr>
          <w:p w14:paraId="0C5893E6">
            <w:pPr>
              <w:pStyle w:val="13"/>
            </w:pPr>
            <w:r>
              <w:t>20507</w:t>
            </w:r>
          </w:p>
        </w:tc>
        <w:tc>
          <w:tcPr>
            <w:tcW w:w="1559" w:type="dxa"/>
            <w:vAlign w:val="center"/>
          </w:tcPr>
          <w:p w14:paraId="5C3D1EE3">
            <w:pPr>
              <w:pStyle w:val="13"/>
            </w:pPr>
            <w:r>
              <w:t>特殊教育</w:t>
            </w:r>
          </w:p>
        </w:tc>
        <w:tc>
          <w:tcPr>
            <w:tcW w:w="1134" w:type="dxa"/>
            <w:vAlign w:val="center"/>
          </w:tcPr>
          <w:p w14:paraId="18DA73A7">
            <w:pPr>
              <w:pStyle w:val="14"/>
            </w:pPr>
            <w:r>
              <w:t>191.56</w:t>
            </w:r>
          </w:p>
        </w:tc>
        <w:tc>
          <w:tcPr>
            <w:tcW w:w="1134" w:type="dxa"/>
            <w:vAlign w:val="center"/>
          </w:tcPr>
          <w:p w14:paraId="0D647BFF">
            <w:pPr>
              <w:pStyle w:val="14"/>
            </w:pPr>
            <w:r>
              <w:t>191.56</w:t>
            </w:r>
          </w:p>
        </w:tc>
        <w:tc>
          <w:tcPr>
            <w:tcW w:w="1134" w:type="dxa"/>
            <w:vAlign w:val="center"/>
          </w:tcPr>
          <w:p w14:paraId="6BC5AA39">
            <w:pPr>
              <w:pStyle w:val="14"/>
            </w:pPr>
            <w:r>
              <w:t>191.56</w:t>
            </w:r>
          </w:p>
        </w:tc>
        <w:tc>
          <w:tcPr>
            <w:tcW w:w="1134" w:type="dxa"/>
            <w:vAlign w:val="center"/>
          </w:tcPr>
          <w:p w14:paraId="5777D867">
            <w:pPr>
              <w:pStyle w:val="14"/>
            </w:pPr>
          </w:p>
        </w:tc>
        <w:tc>
          <w:tcPr>
            <w:tcW w:w="1134" w:type="dxa"/>
            <w:vAlign w:val="center"/>
          </w:tcPr>
          <w:p w14:paraId="7F77796B">
            <w:pPr>
              <w:pStyle w:val="14"/>
            </w:pPr>
          </w:p>
        </w:tc>
        <w:tc>
          <w:tcPr>
            <w:tcW w:w="1134" w:type="dxa"/>
            <w:vAlign w:val="center"/>
          </w:tcPr>
          <w:p w14:paraId="53751B66">
            <w:pPr>
              <w:pStyle w:val="14"/>
            </w:pPr>
          </w:p>
        </w:tc>
        <w:tc>
          <w:tcPr>
            <w:tcW w:w="1134" w:type="dxa"/>
            <w:vAlign w:val="center"/>
          </w:tcPr>
          <w:p w14:paraId="670A5778">
            <w:pPr>
              <w:pStyle w:val="14"/>
            </w:pPr>
          </w:p>
        </w:tc>
        <w:tc>
          <w:tcPr>
            <w:tcW w:w="1134" w:type="dxa"/>
            <w:vAlign w:val="center"/>
          </w:tcPr>
          <w:p w14:paraId="1D5C94E8">
            <w:pPr>
              <w:pStyle w:val="14"/>
            </w:pPr>
          </w:p>
        </w:tc>
        <w:tc>
          <w:tcPr>
            <w:tcW w:w="1134" w:type="dxa"/>
            <w:vAlign w:val="center"/>
          </w:tcPr>
          <w:p w14:paraId="61AA8904">
            <w:pPr>
              <w:pStyle w:val="14"/>
            </w:pPr>
          </w:p>
        </w:tc>
        <w:tc>
          <w:tcPr>
            <w:tcW w:w="1134" w:type="dxa"/>
            <w:vAlign w:val="center"/>
          </w:tcPr>
          <w:p w14:paraId="1F95DE4B">
            <w:pPr>
              <w:pStyle w:val="14"/>
            </w:pPr>
          </w:p>
        </w:tc>
      </w:tr>
      <w:tr w14:paraId="5F6A1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9BED50">
            <w:pPr>
              <w:pStyle w:val="12"/>
            </w:pPr>
            <w:r>
              <w:t>4</w:t>
            </w:r>
          </w:p>
        </w:tc>
        <w:tc>
          <w:tcPr>
            <w:tcW w:w="992" w:type="dxa"/>
            <w:vAlign w:val="center"/>
          </w:tcPr>
          <w:p w14:paraId="370A4D7C">
            <w:pPr>
              <w:pStyle w:val="13"/>
            </w:pPr>
            <w:r>
              <w:t>2050701</w:t>
            </w:r>
          </w:p>
        </w:tc>
        <w:tc>
          <w:tcPr>
            <w:tcW w:w="1559" w:type="dxa"/>
            <w:vAlign w:val="center"/>
          </w:tcPr>
          <w:p w14:paraId="270D0C12">
            <w:pPr>
              <w:pStyle w:val="13"/>
            </w:pPr>
            <w:r>
              <w:t>特殊学校教育</w:t>
            </w:r>
          </w:p>
        </w:tc>
        <w:tc>
          <w:tcPr>
            <w:tcW w:w="1134" w:type="dxa"/>
            <w:vAlign w:val="center"/>
          </w:tcPr>
          <w:p w14:paraId="6500CDC0">
            <w:pPr>
              <w:pStyle w:val="14"/>
            </w:pPr>
            <w:r>
              <w:t>191.56</w:t>
            </w:r>
          </w:p>
        </w:tc>
        <w:tc>
          <w:tcPr>
            <w:tcW w:w="1134" w:type="dxa"/>
            <w:vAlign w:val="center"/>
          </w:tcPr>
          <w:p w14:paraId="11BEF9ED">
            <w:pPr>
              <w:pStyle w:val="14"/>
            </w:pPr>
            <w:r>
              <w:t>191.56</w:t>
            </w:r>
          </w:p>
        </w:tc>
        <w:tc>
          <w:tcPr>
            <w:tcW w:w="1134" w:type="dxa"/>
            <w:vAlign w:val="center"/>
          </w:tcPr>
          <w:p w14:paraId="1BEE4792">
            <w:pPr>
              <w:pStyle w:val="14"/>
            </w:pPr>
            <w:r>
              <w:t>191.56</w:t>
            </w:r>
          </w:p>
        </w:tc>
        <w:tc>
          <w:tcPr>
            <w:tcW w:w="1134" w:type="dxa"/>
            <w:vAlign w:val="center"/>
          </w:tcPr>
          <w:p w14:paraId="7770B079">
            <w:pPr>
              <w:pStyle w:val="14"/>
            </w:pPr>
          </w:p>
        </w:tc>
        <w:tc>
          <w:tcPr>
            <w:tcW w:w="1134" w:type="dxa"/>
            <w:vAlign w:val="center"/>
          </w:tcPr>
          <w:p w14:paraId="550C45FA">
            <w:pPr>
              <w:pStyle w:val="14"/>
            </w:pPr>
          </w:p>
        </w:tc>
        <w:tc>
          <w:tcPr>
            <w:tcW w:w="1134" w:type="dxa"/>
            <w:vAlign w:val="center"/>
          </w:tcPr>
          <w:p w14:paraId="1CB47A98">
            <w:pPr>
              <w:pStyle w:val="14"/>
            </w:pPr>
          </w:p>
        </w:tc>
        <w:tc>
          <w:tcPr>
            <w:tcW w:w="1134" w:type="dxa"/>
            <w:vAlign w:val="center"/>
          </w:tcPr>
          <w:p w14:paraId="6A6BA99E">
            <w:pPr>
              <w:pStyle w:val="14"/>
            </w:pPr>
          </w:p>
        </w:tc>
        <w:tc>
          <w:tcPr>
            <w:tcW w:w="1134" w:type="dxa"/>
            <w:vAlign w:val="center"/>
          </w:tcPr>
          <w:p w14:paraId="56206434">
            <w:pPr>
              <w:pStyle w:val="14"/>
            </w:pPr>
          </w:p>
        </w:tc>
        <w:tc>
          <w:tcPr>
            <w:tcW w:w="1134" w:type="dxa"/>
            <w:vAlign w:val="center"/>
          </w:tcPr>
          <w:p w14:paraId="1E0FC871">
            <w:pPr>
              <w:pStyle w:val="14"/>
            </w:pPr>
          </w:p>
        </w:tc>
        <w:tc>
          <w:tcPr>
            <w:tcW w:w="1134" w:type="dxa"/>
            <w:vAlign w:val="center"/>
          </w:tcPr>
          <w:p w14:paraId="0FBE9BBF">
            <w:pPr>
              <w:pStyle w:val="14"/>
            </w:pPr>
          </w:p>
        </w:tc>
      </w:tr>
    </w:tbl>
    <w:p w14:paraId="3F11B936">
      <w:pPr>
        <w:sectPr>
          <w:pgSz w:w="16840" w:h="11900" w:orient="landscape"/>
          <w:pgMar w:top="1361" w:right="1020" w:bottom="1134" w:left="1020" w:header="720" w:footer="720" w:gutter="0"/>
          <w:cols w:space="720" w:num="1"/>
        </w:sectPr>
      </w:pPr>
    </w:p>
    <w:p w14:paraId="1CFC2C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682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E27552">
            <w:pPr>
              <w:pStyle w:val="8"/>
            </w:pPr>
            <w:r>
              <w:t>360012隆尧县特殊教育学校</w:t>
            </w:r>
          </w:p>
        </w:tc>
        <w:tc>
          <w:tcPr>
            <w:tcW w:w="2722" w:type="dxa"/>
            <w:gridSpan w:val="2"/>
            <w:tcBorders>
              <w:top w:val="single" w:color="FFFFFF" w:sz="6" w:space="0"/>
              <w:left w:val="single" w:color="FFFFFF" w:sz="6" w:space="0"/>
              <w:right w:val="single" w:color="FFFFFF" w:sz="6" w:space="0"/>
            </w:tcBorders>
            <w:vAlign w:val="center"/>
          </w:tcPr>
          <w:p w14:paraId="75E5059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62F90C7">
            <w:pPr>
              <w:pStyle w:val="10"/>
            </w:pPr>
            <w:r>
              <w:t>单位：万元</w:t>
            </w:r>
          </w:p>
        </w:tc>
      </w:tr>
      <w:tr w14:paraId="1DEF9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865E4F">
            <w:pPr>
              <w:pStyle w:val="11"/>
            </w:pPr>
            <w:r>
              <w:t>序号</w:t>
            </w:r>
          </w:p>
        </w:tc>
        <w:tc>
          <w:tcPr>
            <w:tcW w:w="5527" w:type="dxa"/>
            <w:gridSpan w:val="2"/>
            <w:vAlign w:val="center"/>
          </w:tcPr>
          <w:p w14:paraId="5B4D46F3">
            <w:pPr>
              <w:pStyle w:val="11"/>
            </w:pPr>
            <w:r>
              <w:t>功能分类科目</w:t>
            </w:r>
          </w:p>
        </w:tc>
        <w:tc>
          <w:tcPr>
            <w:tcW w:w="1361" w:type="dxa"/>
            <w:vMerge w:val="restart"/>
            <w:vAlign w:val="center"/>
          </w:tcPr>
          <w:p w14:paraId="7C0244F5">
            <w:pPr>
              <w:pStyle w:val="11"/>
            </w:pPr>
            <w:r>
              <w:t>合计</w:t>
            </w:r>
          </w:p>
        </w:tc>
        <w:tc>
          <w:tcPr>
            <w:tcW w:w="1361" w:type="dxa"/>
            <w:vMerge w:val="restart"/>
            <w:vAlign w:val="center"/>
          </w:tcPr>
          <w:p w14:paraId="0DA1333C">
            <w:pPr>
              <w:pStyle w:val="11"/>
            </w:pPr>
            <w:r>
              <w:t>基本支出</w:t>
            </w:r>
          </w:p>
        </w:tc>
        <w:tc>
          <w:tcPr>
            <w:tcW w:w="1361" w:type="dxa"/>
            <w:vMerge w:val="restart"/>
            <w:vAlign w:val="center"/>
          </w:tcPr>
          <w:p w14:paraId="2309DAA1">
            <w:pPr>
              <w:pStyle w:val="11"/>
            </w:pPr>
            <w:r>
              <w:t>项目支出</w:t>
            </w:r>
          </w:p>
        </w:tc>
        <w:tc>
          <w:tcPr>
            <w:tcW w:w="1361" w:type="dxa"/>
            <w:vMerge w:val="restart"/>
            <w:vAlign w:val="center"/>
          </w:tcPr>
          <w:p w14:paraId="49F51560">
            <w:pPr>
              <w:pStyle w:val="11"/>
            </w:pPr>
            <w:r>
              <w:t>经营支出</w:t>
            </w:r>
          </w:p>
        </w:tc>
        <w:tc>
          <w:tcPr>
            <w:tcW w:w="1361" w:type="dxa"/>
            <w:vMerge w:val="restart"/>
            <w:vAlign w:val="center"/>
          </w:tcPr>
          <w:p w14:paraId="439DC2C3">
            <w:pPr>
              <w:pStyle w:val="11"/>
            </w:pPr>
            <w:r>
              <w:t>上解上级     支出</w:t>
            </w:r>
          </w:p>
        </w:tc>
        <w:tc>
          <w:tcPr>
            <w:tcW w:w="1361" w:type="dxa"/>
            <w:vMerge w:val="restart"/>
            <w:vAlign w:val="center"/>
          </w:tcPr>
          <w:p w14:paraId="681175EB">
            <w:pPr>
              <w:pStyle w:val="11"/>
            </w:pPr>
            <w:r>
              <w:t>对附属单位补助支出</w:t>
            </w:r>
          </w:p>
        </w:tc>
      </w:tr>
      <w:tr w14:paraId="2F46C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C35681"/>
        </w:tc>
        <w:tc>
          <w:tcPr>
            <w:tcW w:w="992" w:type="dxa"/>
            <w:vAlign w:val="center"/>
          </w:tcPr>
          <w:p w14:paraId="614184D3">
            <w:pPr>
              <w:pStyle w:val="11"/>
            </w:pPr>
            <w:r>
              <w:t>科目    编码</w:t>
            </w:r>
          </w:p>
        </w:tc>
        <w:tc>
          <w:tcPr>
            <w:tcW w:w="4535" w:type="dxa"/>
            <w:vAlign w:val="center"/>
          </w:tcPr>
          <w:p w14:paraId="33EB0C62">
            <w:pPr>
              <w:pStyle w:val="11"/>
            </w:pPr>
            <w:r>
              <w:t>科目名称</w:t>
            </w:r>
          </w:p>
        </w:tc>
        <w:tc>
          <w:tcPr>
            <w:tcW w:w="1361" w:type="dxa"/>
            <w:vMerge w:val="continue"/>
          </w:tcPr>
          <w:p w14:paraId="2DCBC7F7"/>
        </w:tc>
        <w:tc>
          <w:tcPr>
            <w:tcW w:w="1361" w:type="dxa"/>
            <w:vMerge w:val="continue"/>
          </w:tcPr>
          <w:p w14:paraId="0ACE6F67"/>
        </w:tc>
        <w:tc>
          <w:tcPr>
            <w:tcW w:w="1361" w:type="dxa"/>
            <w:vMerge w:val="continue"/>
          </w:tcPr>
          <w:p w14:paraId="138BE4A5"/>
        </w:tc>
        <w:tc>
          <w:tcPr>
            <w:tcW w:w="1361" w:type="dxa"/>
            <w:vMerge w:val="continue"/>
          </w:tcPr>
          <w:p w14:paraId="08F8D785"/>
        </w:tc>
        <w:tc>
          <w:tcPr>
            <w:tcW w:w="1361" w:type="dxa"/>
            <w:vMerge w:val="continue"/>
          </w:tcPr>
          <w:p w14:paraId="11B2B7FF"/>
        </w:tc>
        <w:tc>
          <w:tcPr>
            <w:tcW w:w="1361" w:type="dxa"/>
            <w:vMerge w:val="continue"/>
          </w:tcPr>
          <w:p w14:paraId="3FBB4B41"/>
        </w:tc>
      </w:tr>
      <w:tr w14:paraId="7E20E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859F60">
            <w:pPr>
              <w:pStyle w:val="11"/>
            </w:pPr>
            <w:r>
              <w:t>栏次</w:t>
            </w:r>
          </w:p>
        </w:tc>
        <w:tc>
          <w:tcPr>
            <w:tcW w:w="992" w:type="dxa"/>
            <w:vAlign w:val="center"/>
          </w:tcPr>
          <w:p w14:paraId="7333F07E">
            <w:pPr>
              <w:pStyle w:val="11"/>
            </w:pPr>
            <w:r>
              <w:t>1</w:t>
            </w:r>
          </w:p>
        </w:tc>
        <w:tc>
          <w:tcPr>
            <w:tcW w:w="4535" w:type="dxa"/>
            <w:vAlign w:val="center"/>
          </w:tcPr>
          <w:p w14:paraId="59CA2F29">
            <w:pPr>
              <w:pStyle w:val="11"/>
            </w:pPr>
            <w:r>
              <w:t>2</w:t>
            </w:r>
          </w:p>
        </w:tc>
        <w:tc>
          <w:tcPr>
            <w:tcW w:w="1361" w:type="dxa"/>
            <w:vAlign w:val="center"/>
          </w:tcPr>
          <w:p w14:paraId="0E857684">
            <w:pPr>
              <w:pStyle w:val="11"/>
            </w:pPr>
            <w:r>
              <w:t>3</w:t>
            </w:r>
          </w:p>
        </w:tc>
        <w:tc>
          <w:tcPr>
            <w:tcW w:w="1361" w:type="dxa"/>
            <w:vAlign w:val="center"/>
          </w:tcPr>
          <w:p w14:paraId="071503DD">
            <w:pPr>
              <w:pStyle w:val="11"/>
            </w:pPr>
            <w:r>
              <w:t>4</w:t>
            </w:r>
          </w:p>
        </w:tc>
        <w:tc>
          <w:tcPr>
            <w:tcW w:w="1361" w:type="dxa"/>
            <w:vAlign w:val="center"/>
          </w:tcPr>
          <w:p w14:paraId="6B1C739E">
            <w:pPr>
              <w:pStyle w:val="11"/>
            </w:pPr>
            <w:r>
              <w:t>5</w:t>
            </w:r>
          </w:p>
        </w:tc>
        <w:tc>
          <w:tcPr>
            <w:tcW w:w="1361" w:type="dxa"/>
            <w:vAlign w:val="center"/>
          </w:tcPr>
          <w:p w14:paraId="3B3CFB43">
            <w:pPr>
              <w:pStyle w:val="11"/>
            </w:pPr>
            <w:r>
              <w:t>6</w:t>
            </w:r>
          </w:p>
        </w:tc>
        <w:tc>
          <w:tcPr>
            <w:tcW w:w="1361" w:type="dxa"/>
            <w:vAlign w:val="center"/>
          </w:tcPr>
          <w:p w14:paraId="1595817B">
            <w:pPr>
              <w:pStyle w:val="11"/>
            </w:pPr>
            <w:r>
              <w:t>7</w:t>
            </w:r>
          </w:p>
        </w:tc>
        <w:tc>
          <w:tcPr>
            <w:tcW w:w="1361" w:type="dxa"/>
            <w:vAlign w:val="center"/>
          </w:tcPr>
          <w:p w14:paraId="14ECD668">
            <w:pPr>
              <w:pStyle w:val="11"/>
            </w:pPr>
            <w:r>
              <w:t>8</w:t>
            </w:r>
          </w:p>
        </w:tc>
      </w:tr>
      <w:tr w14:paraId="5D400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CD8C1">
            <w:pPr>
              <w:pStyle w:val="12"/>
            </w:pPr>
            <w:r>
              <w:t>1</w:t>
            </w:r>
          </w:p>
        </w:tc>
        <w:tc>
          <w:tcPr>
            <w:tcW w:w="992" w:type="dxa"/>
            <w:vAlign w:val="center"/>
          </w:tcPr>
          <w:p w14:paraId="6DD390F4">
            <w:pPr>
              <w:pStyle w:val="17"/>
            </w:pPr>
          </w:p>
        </w:tc>
        <w:tc>
          <w:tcPr>
            <w:tcW w:w="4535" w:type="dxa"/>
            <w:vAlign w:val="center"/>
          </w:tcPr>
          <w:p w14:paraId="7718BE79">
            <w:pPr>
              <w:pStyle w:val="15"/>
            </w:pPr>
            <w:r>
              <w:t>合计</w:t>
            </w:r>
          </w:p>
        </w:tc>
        <w:tc>
          <w:tcPr>
            <w:tcW w:w="1361" w:type="dxa"/>
            <w:vAlign w:val="center"/>
          </w:tcPr>
          <w:p w14:paraId="57470E21">
            <w:pPr>
              <w:pStyle w:val="16"/>
            </w:pPr>
            <w:r>
              <w:t>191.56</w:t>
            </w:r>
          </w:p>
        </w:tc>
        <w:tc>
          <w:tcPr>
            <w:tcW w:w="1361" w:type="dxa"/>
            <w:vAlign w:val="center"/>
          </w:tcPr>
          <w:p w14:paraId="512FE4DF">
            <w:pPr>
              <w:pStyle w:val="16"/>
            </w:pPr>
            <w:r>
              <w:t>109.06</w:t>
            </w:r>
          </w:p>
        </w:tc>
        <w:tc>
          <w:tcPr>
            <w:tcW w:w="1361" w:type="dxa"/>
            <w:vAlign w:val="center"/>
          </w:tcPr>
          <w:p w14:paraId="49066C08">
            <w:pPr>
              <w:pStyle w:val="16"/>
            </w:pPr>
            <w:r>
              <w:t>82.50</w:t>
            </w:r>
          </w:p>
        </w:tc>
        <w:tc>
          <w:tcPr>
            <w:tcW w:w="1361" w:type="dxa"/>
            <w:vAlign w:val="center"/>
          </w:tcPr>
          <w:p w14:paraId="63126C32">
            <w:pPr>
              <w:pStyle w:val="16"/>
            </w:pPr>
          </w:p>
        </w:tc>
        <w:tc>
          <w:tcPr>
            <w:tcW w:w="1361" w:type="dxa"/>
            <w:vAlign w:val="center"/>
          </w:tcPr>
          <w:p w14:paraId="63DDFA30">
            <w:pPr>
              <w:pStyle w:val="16"/>
            </w:pPr>
          </w:p>
        </w:tc>
        <w:tc>
          <w:tcPr>
            <w:tcW w:w="1361" w:type="dxa"/>
            <w:vAlign w:val="center"/>
          </w:tcPr>
          <w:p w14:paraId="535B8840">
            <w:pPr>
              <w:pStyle w:val="16"/>
            </w:pPr>
          </w:p>
        </w:tc>
      </w:tr>
      <w:tr w14:paraId="4F9E5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4555E">
            <w:pPr>
              <w:pStyle w:val="12"/>
            </w:pPr>
            <w:r>
              <w:t>2</w:t>
            </w:r>
          </w:p>
        </w:tc>
        <w:tc>
          <w:tcPr>
            <w:tcW w:w="992" w:type="dxa"/>
            <w:vAlign w:val="center"/>
          </w:tcPr>
          <w:p w14:paraId="71C259E0">
            <w:pPr>
              <w:pStyle w:val="13"/>
            </w:pPr>
            <w:r>
              <w:t>205</w:t>
            </w:r>
          </w:p>
        </w:tc>
        <w:tc>
          <w:tcPr>
            <w:tcW w:w="4535" w:type="dxa"/>
            <w:vAlign w:val="center"/>
          </w:tcPr>
          <w:p w14:paraId="719CBE39">
            <w:pPr>
              <w:pStyle w:val="13"/>
            </w:pPr>
            <w:r>
              <w:t>教育支出</w:t>
            </w:r>
          </w:p>
        </w:tc>
        <w:tc>
          <w:tcPr>
            <w:tcW w:w="1361" w:type="dxa"/>
            <w:vAlign w:val="center"/>
          </w:tcPr>
          <w:p w14:paraId="170F2E43">
            <w:pPr>
              <w:pStyle w:val="14"/>
            </w:pPr>
            <w:r>
              <w:t>191.56</w:t>
            </w:r>
          </w:p>
        </w:tc>
        <w:tc>
          <w:tcPr>
            <w:tcW w:w="1361" w:type="dxa"/>
            <w:vAlign w:val="center"/>
          </w:tcPr>
          <w:p w14:paraId="39E89C0C">
            <w:pPr>
              <w:pStyle w:val="14"/>
            </w:pPr>
            <w:r>
              <w:t>109.06</w:t>
            </w:r>
          </w:p>
        </w:tc>
        <w:tc>
          <w:tcPr>
            <w:tcW w:w="1361" w:type="dxa"/>
            <w:vAlign w:val="center"/>
          </w:tcPr>
          <w:p w14:paraId="4A81D1D3">
            <w:pPr>
              <w:pStyle w:val="14"/>
            </w:pPr>
            <w:r>
              <w:t>82.50</w:t>
            </w:r>
          </w:p>
        </w:tc>
        <w:tc>
          <w:tcPr>
            <w:tcW w:w="1361" w:type="dxa"/>
            <w:vAlign w:val="center"/>
          </w:tcPr>
          <w:p w14:paraId="0A895FC2">
            <w:pPr>
              <w:pStyle w:val="14"/>
            </w:pPr>
          </w:p>
        </w:tc>
        <w:tc>
          <w:tcPr>
            <w:tcW w:w="1361" w:type="dxa"/>
            <w:vAlign w:val="center"/>
          </w:tcPr>
          <w:p w14:paraId="21FCE8C7">
            <w:pPr>
              <w:pStyle w:val="14"/>
            </w:pPr>
          </w:p>
        </w:tc>
        <w:tc>
          <w:tcPr>
            <w:tcW w:w="1361" w:type="dxa"/>
            <w:vAlign w:val="center"/>
          </w:tcPr>
          <w:p w14:paraId="77932D65">
            <w:pPr>
              <w:pStyle w:val="14"/>
            </w:pPr>
          </w:p>
        </w:tc>
      </w:tr>
      <w:tr w14:paraId="56079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84BBE">
            <w:pPr>
              <w:pStyle w:val="12"/>
            </w:pPr>
            <w:r>
              <w:t>3</w:t>
            </w:r>
          </w:p>
        </w:tc>
        <w:tc>
          <w:tcPr>
            <w:tcW w:w="992" w:type="dxa"/>
            <w:vAlign w:val="center"/>
          </w:tcPr>
          <w:p w14:paraId="137633A9">
            <w:pPr>
              <w:pStyle w:val="13"/>
            </w:pPr>
            <w:r>
              <w:t>20507</w:t>
            </w:r>
          </w:p>
        </w:tc>
        <w:tc>
          <w:tcPr>
            <w:tcW w:w="4535" w:type="dxa"/>
            <w:vAlign w:val="center"/>
          </w:tcPr>
          <w:p w14:paraId="6F89E279">
            <w:pPr>
              <w:pStyle w:val="13"/>
            </w:pPr>
            <w:r>
              <w:t>特殊教育</w:t>
            </w:r>
          </w:p>
        </w:tc>
        <w:tc>
          <w:tcPr>
            <w:tcW w:w="1361" w:type="dxa"/>
            <w:vAlign w:val="center"/>
          </w:tcPr>
          <w:p w14:paraId="0123F30F">
            <w:pPr>
              <w:pStyle w:val="14"/>
            </w:pPr>
            <w:r>
              <w:t>191.56</w:t>
            </w:r>
          </w:p>
        </w:tc>
        <w:tc>
          <w:tcPr>
            <w:tcW w:w="1361" w:type="dxa"/>
            <w:vAlign w:val="center"/>
          </w:tcPr>
          <w:p w14:paraId="5388EB4A">
            <w:pPr>
              <w:pStyle w:val="14"/>
            </w:pPr>
            <w:r>
              <w:t>109.06</w:t>
            </w:r>
          </w:p>
        </w:tc>
        <w:tc>
          <w:tcPr>
            <w:tcW w:w="1361" w:type="dxa"/>
            <w:vAlign w:val="center"/>
          </w:tcPr>
          <w:p w14:paraId="224EF653">
            <w:pPr>
              <w:pStyle w:val="14"/>
            </w:pPr>
            <w:r>
              <w:t>82.50</w:t>
            </w:r>
          </w:p>
        </w:tc>
        <w:tc>
          <w:tcPr>
            <w:tcW w:w="1361" w:type="dxa"/>
            <w:vAlign w:val="center"/>
          </w:tcPr>
          <w:p w14:paraId="3FBF88F7">
            <w:pPr>
              <w:pStyle w:val="14"/>
            </w:pPr>
          </w:p>
        </w:tc>
        <w:tc>
          <w:tcPr>
            <w:tcW w:w="1361" w:type="dxa"/>
            <w:vAlign w:val="center"/>
          </w:tcPr>
          <w:p w14:paraId="35C2D5BE">
            <w:pPr>
              <w:pStyle w:val="14"/>
            </w:pPr>
          </w:p>
        </w:tc>
        <w:tc>
          <w:tcPr>
            <w:tcW w:w="1361" w:type="dxa"/>
            <w:vAlign w:val="center"/>
          </w:tcPr>
          <w:p w14:paraId="6A735546">
            <w:pPr>
              <w:pStyle w:val="14"/>
            </w:pPr>
          </w:p>
        </w:tc>
      </w:tr>
      <w:tr w14:paraId="7CA66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4FC62A7">
            <w:pPr>
              <w:pStyle w:val="12"/>
            </w:pPr>
            <w:r>
              <w:t>4</w:t>
            </w:r>
          </w:p>
        </w:tc>
        <w:tc>
          <w:tcPr>
            <w:tcW w:w="992" w:type="dxa"/>
            <w:vAlign w:val="center"/>
          </w:tcPr>
          <w:p w14:paraId="49BFDB96">
            <w:pPr>
              <w:pStyle w:val="13"/>
            </w:pPr>
            <w:r>
              <w:t>2050701</w:t>
            </w:r>
          </w:p>
        </w:tc>
        <w:tc>
          <w:tcPr>
            <w:tcW w:w="4535" w:type="dxa"/>
            <w:vAlign w:val="center"/>
          </w:tcPr>
          <w:p w14:paraId="12F4E96E">
            <w:pPr>
              <w:pStyle w:val="13"/>
            </w:pPr>
            <w:r>
              <w:t>特殊学校教育</w:t>
            </w:r>
          </w:p>
        </w:tc>
        <w:tc>
          <w:tcPr>
            <w:tcW w:w="1361" w:type="dxa"/>
            <w:vAlign w:val="center"/>
          </w:tcPr>
          <w:p w14:paraId="068E225E">
            <w:pPr>
              <w:pStyle w:val="14"/>
            </w:pPr>
            <w:r>
              <w:t>191.56</w:t>
            </w:r>
          </w:p>
        </w:tc>
        <w:tc>
          <w:tcPr>
            <w:tcW w:w="1361" w:type="dxa"/>
            <w:vAlign w:val="center"/>
          </w:tcPr>
          <w:p w14:paraId="36168EB7">
            <w:pPr>
              <w:pStyle w:val="14"/>
            </w:pPr>
            <w:r>
              <w:t>109.06</w:t>
            </w:r>
          </w:p>
        </w:tc>
        <w:tc>
          <w:tcPr>
            <w:tcW w:w="1361" w:type="dxa"/>
            <w:vAlign w:val="center"/>
          </w:tcPr>
          <w:p w14:paraId="556945C4">
            <w:pPr>
              <w:pStyle w:val="14"/>
            </w:pPr>
            <w:r>
              <w:t>82.50</w:t>
            </w:r>
          </w:p>
        </w:tc>
        <w:tc>
          <w:tcPr>
            <w:tcW w:w="1361" w:type="dxa"/>
            <w:vAlign w:val="center"/>
          </w:tcPr>
          <w:p w14:paraId="7D22D3BE">
            <w:pPr>
              <w:pStyle w:val="14"/>
            </w:pPr>
          </w:p>
        </w:tc>
        <w:tc>
          <w:tcPr>
            <w:tcW w:w="1361" w:type="dxa"/>
            <w:vAlign w:val="center"/>
          </w:tcPr>
          <w:p w14:paraId="790CB48D">
            <w:pPr>
              <w:pStyle w:val="14"/>
            </w:pPr>
          </w:p>
        </w:tc>
        <w:tc>
          <w:tcPr>
            <w:tcW w:w="1361" w:type="dxa"/>
            <w:vAlign w:val="center"/>
          </w:tcPr>
          <w:p w14:paraId="5E80981F">
            <w:pPr>
              <w:pStyle w:val="14"/>
            </w:pPr>
          </w:p>
        </w:tc>
      </w:tr>
    </w:tbl>
    <w:p w14:paraId="6A381710">
      <w:pPr>
        <w:sectPr>
          <w:pgSz w:w="16840" w:h="11900" w:orient="landscape"/>
          <w:pgMar w:top="1361" w:right="1020" w:bottom="1134" w:left="1020" w:header="720" w:footer="720" w:gutter="0"/>
          <w:cols w:space="720" w:num="1"/>
        </w:sectPr>
      </w:pPr>
    </w:p>
    <w:p w14:paraId="5D431E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565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41732B">
            <w:pPr>
              <w:pStyle w:val="8"/>
            </w:pPr>
            <w:r>
              <w:t>360012隆尧县特殊教育学校</w:t>
            </w:r>
          </w:p>
        </w:tc>
        <w:tc>
          <w:tcPr>
            <w:tcW w:w="3402" w:type="dxa"/>
            <w:tcBorders>
              <w:top w:val="single" w:color="FFFFFF" w:sz="6" w:space="0"/>
              <w:left w:val="single" w:color="FFFFFF" w:sz="6" w:space="0"/>
              <w:right w:val="single" w:color="FFFFFF" w:sz="6" w:space="0"/>
            </w:tcBorders>
            <w:vAlign w:val="center"/>
          </w:tcPr>
          <w:p w14:paraId="3BE963D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71EFDE5">
            <w:pPr>
              <w:pStyle w:val="10"/>
            </w:pPr>
            <w:r>
              <w:t>单位：万元</w:t>
            </w:r>
          </w:p>
        </w:tc>
      </w:tr>
      <w:tr w14:paraId="3DFDD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A1E5C7">
            <w:pPr>
              <w:pStyle w:val="11"/>
            </w:pPr>
            <w:r>
              <w:t>序号</w:t>
            </w:r>
          </w:p>
        </w:tc>
        <w:tc>
          <w:tcPr>
            <w:tcW w:w="4876" w:type="dxa"/>
            <w:gridSpan w:val="2"/>
            <w:vAlign w:val="center"/>
          </w:tcPr>
          <w:p w14:paraId="60A92FC7">
            <w:pPr>
              <w:pStyle w:val="11"/>
            </w:pPr>
            <w:r>
              <w:t>收入</w:t>
            </w:r>
          </w:p>
        </w:tc>
        <w:tc>
          <w:tcPr>
            <w:tcW w:w="9298" w:type="dxa"/>
            <w:gridSpan w:val="5"/>
            <w:vAlign w:val="center"/>
          </w:tcPr>
          <w:p w14:paraId="2A010E60">
            <w:pPr>
              <w:pStyle w:val="11"/>
            </w:pPr>
            <w:r>
              <w:t>支出</w:t>
            </w:r>
          </w:p>
        </w:tc>
      </w:tr>
      <w:tr w14:paraId="67B24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2EAE51"/>
        </w:tc>
        <w:tc>
          <w:tcPr>
            <w:tcW w:w="3402" w:type="dxa"/>
            <w:vAlign w:val="center"/>
          </w:tcPr>
          <w:p w14:paraId="6B8DE55F">
            <w:pPr>
              <w:pStyle w:val="11"/>
            </w:pPr>
            <w:r>
              <w:t>项  目</w:t>
            </w:r>
          </w:p>
        </w:tc>
        <w:tc>
          <w:tcPr>
            <w:tcW w:w="1474" w:type="dxa"/>
            <w:vAlign w:val="center"/>
          </w:tcPr>
          <w:p w14:paraId="295A46F5">
            <w:pPr>
              <w:pStyle w:val="11"/>
            </w:pPr>
            <w:r>
              <w:t>金额</w:t>
            </w:r>
          </w:p>
        </w:tc>
        <w:tc>
          <w:tcPr>
            <w:tcW w:w="3402" w:type="dxa"/>
            <w:vAlign w:val="center"/>
          </w:tcPr>
          <w:p w14:paraId="4E515EBE">
            <w:pPr>
              <w:pStyle w:val="11"/>
            </w:pPr>
            <w:r>
              <w:t>项  目</w:t>
            </w:r>
          </w:p>
        </w:tc>
        <w:tc>
          <w:tcPr>
            <w:tcW w:w="1474" w:type="dxa"/>
            <w:vAlign w:val="center"/>
          </w:tcPr>
          <w:p w14:paraId="00FCDE98">
            <w:pPr>
              <w:pStyle w:val="11"/>
            </w:pPr>
            <w:r>
              <w:t>合计</w:t>
            </w:r>
          </w:p>
        </w:tc>
        <w:tc>
          <w:tcPr>
            <w:tcW w:w="1474" w:type="dxa"/>
            <w:vAlign w:val="center"/>
          </w:tcPr>
          <w:p w14:paraId="592F16D9">
            <w:pPr>
              <w:pStyle w:val="11"/>
            </w:pPr>
            <w:r>
              <w:t>一般公共预算财政拨款</w:t>
            </w:r>
          </w:p>
        </w:tc>
        <w:tc>
          <w:tcPr>
            <w:tcW w:w="1474" w:type="dxa"/>
            <w:vAlign w:val="center"/>
          </w:tcPr>
          <w:p w14:paraId="22276FF8">
            <w:pPr>
              <w:pStyle w:val="11"/>
            </w:pPr>
            <w:r>
              <w:t>政府性基金预算财政    拨款</w:t>
            </w:r>
          </w:p>
        </w:tc>
        <w:tc>
          <w:tcPr>
            <w:tcW w:w="1474" w:type="dxa"/>
            <w:vAlign w:val="center"/>
          </w:tcPr>
          <w:p w14:paraId="56308BD3">
            <w:pPr>
              <w:pStyle w:val="11"/>
            </w:pPr>
            <w:r>
              <w:t>国有资本经营预算财政拨款</w:t>
            </w:r>
          </w:p>
        </w:tc>
      </w:tr>
      <w:tr w14:paraId="339AD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DC73C">
            <w:pPr>
              <w:pStyle w:val="11"/>
            </w:pPr>
            <w:r>
              <w:t>栏次</w:t>
            </w:r>
          </w:p>
        </w:tc>
        <w:tc>
          <w:tcPr>
            <w:tcW w:w="3402" w:type="dxa"/>
            <w:vAlign w:val="center"/>
          </w:tcPr>
          <w:p w14:paraId="12A92AB1">
            <w:pPr>
              <w:pStyle w:val="11"/>
            </w:pPr>
            <w:r>
              <w:t>1</w:t>
            </w:r>
          </w:p>
        </w:tc>
        <w:tc>
          <w:tcPr>
            <w:tcW w:w="1474" w:type="dxa"/>
            <w:vAlign w:val="center"/>
          </w:tcPr>
          <w:p w14:paraId="2BF23169">
            <w:pPr>
              <w:pStyle w:val="11"/>
            </w:pPr>
            <w:r>
              <w:t>2</w:t>
            </w:r>
          </w:p>
        </w:tc>
        <w:tc>
          <w:tcPr>
            <w:tcW w:w="3402" w:type="dxa"/>
            <w:vAlign w:val="center"/>
          </w:tcPr>
          <w:p w14:paraId="14E689BA">
            <w:pPr>
              <w:pStyle w:val="11"/>
            </w:pPr>
            <w:r>
              <w:t>3</w:t>
            </w:r>
          </w:p>
        </w:tc>
        <w:tc>
          <w:tcPr>
            <w:tcW w:w="1474" w:type="dxa"/>
            <w:vAlign w:val="center"/>
          </w:tcPr>
          <w:p w14:paraId="4B2D8855">
            <w:pPr>
              <w:pStyle w:val="11"/>
            </w:pPr>
            <w:r>
              <w:t>4</w:t>
            </w:r>
          </w:p>
        </w:tc>
        <w:tc>
          <w:tcPr>
            <w:tcW w:w="1474" w:type="dxa"/>
            <w:vAlign w:val="center"/>
          </w:tcPr>
          <w:p w14:paraId="14FEC952">
            <w:pPr>
              <w:pStyle w:val="11"/>
            </w:pPr>
            <w:r>
              <w:t>5</w:t>
            </w:r>
          </w:p>
        </w:tc>
        <w:tc>
          <w:tcPr>
            <w:tcW w:w="1474" w:type="dxa"/>
            <w:vAlign w:val="center"/>
          </w:tcPr>
          <w:p w14:paraId="2BA98B5E">
            <w:pPr>
              <w:pStyle w:val="11"/>
            </w:pPr>
            <w:r>
              <w:t>6</w:t>
            </w:r>
          </w:p>
        </w:tc>
        <w:tc>
          <w:tcPr>
            <w:tcW w:w="1474" w:type="dxa"/>
            <w:vAlign w:val="center"/>
          </w:tcPr>
          <w:p w14:paraId="36053AAF">
            <w:pPr>
              <w:pStyle w:val="11"/>
            </w:pPr>
            <w:r>
              <w:t>7</w:t>
            </w:r>
          </w:p>
        </w:tc>
      </w:tr>
      <w:tr w14:paraId="34DE1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DD81573">
            <w:pPr>
              <w:pStyle w:val="12"/>
            </w:pPr>
            <w:r>
              <w:t>1</w:t>
            </w:r>
          </w:p>
        </w:tc>
        <w:tc>
          <w:tcPr>
            <w:tcW w:w="3402" w:type="dxa"/>
            <w:vAlign w:val="center"/>
          </w:tcPr>
          <w:p w14:paraId="2CC795F9">
            <w:pPr>
              <w:pStyle w:val="13"/>
            </w:pPr>
            <w:r>
              <w:t>一、一般公共预算拨款</w:t>
            </w:r>
          </w:p>
        </w:tc>
        <w:tc>
          <w:tcPr>
            <w:tcW w:w="1474" w:type="dxa"/>
            <w:vAlign w:val="center"/>
          </w:tcPr>
          <w:p w14:paraId="51382E04">
            <w:pPr>
              <w:pStyle w:val="14"/>
            </w:pPr>
            <w:r>
              <w:t>191.56</w:t>
            </w:r>
          </w:p>
        </w:tc>
        <w:tc>
          <w:tcPr>
            <w:tcW w:w="3402" w:type="dxa"/>
            <w:vAlign w:val="center"/>
          </w:tcPr>
          <w:p w14:paraId="1B47AC6B">
            <w:pPr>
              <w:pStyle w:val="13"/>
            </w:pPr>
            <w:r>
              <w:t>一、一般公共服务支出</w:t>
            </w:r>
          </w:p>
        </w:tc>
        <w:tc>
          <w:tcPr>
            <w:tcW w:w="1474" w:type="dxa"/>
            <w:vAlign w:val="center"/>
          </w:tcPr>
          <w:p w14:paraId="5608DF54">
            <w:pPr>
              <w:pStyle w:val="14"/>
            </w:pPr>
          </w:p>
        </w:tc>
        <w:tc>
          <w:tcPr>
            <w:tcW w:w="1474" w:type="dxa"/>
            <w:vAlign w:val="center"/>
          </w:tcPr>
          <w:p w14:paraId="2B47E0F7">
            <w:pPr>
              <w:pStyle w:val="14"/>
            </w:pPr>
          </w:p>
        </w:tc>
        <w:tc>
          <w:tcPr>
            <w:tcW w:w="1474" w:type="dxa"/>
            <w:vAlign w:val="center"/>
          </w:tcPr>
          <w:p w14:paraId="7C84434D">
            <w:pPr>
              <w:pStyle w:val="14"/>
            </w:pPr>
          </w:p>
        </w:tc>
        <w:tc>
          <w:tcPr>
            <w:tcW w:w="1474" w:type="dxa"/>
            <w:vAlign w:val="center"/>
          </w:tcPr>
          <w:p w14:paraId="56940E95">
            <w:pPr>
              <w:pStyle w:val="14"/>
            </w:pPr>
          </w:p>
        </w:tc>
      </w:tr>
      <w:tr w14:paraId="17128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3D607">
            <w:pPr>
              <w:pStyle w:val="12"/>
            </w:pPr>
            <w:r>
              <w:t>2</w:t>
            </w:r>
          </w:p>
        </w:tc>
        <w:tc>
          <w:tcPr>
            <w:tcW w:w="3402" w:type="dxa"/>
            <w:vAlign w:val="center"/>
          </w:tcPr>
          <w:p w14:paraId="7BF59A5E">
            <w:pPr>
              <w:pStyle w:val="13"/>
            </w:pPr>
            <w:r>
              <w:t>二、政府性基金预算拨款</w:t>
            </w:r>
          </w:p>
        </w:tc>
        <w:tc>
          <w:tcPr>
            <w:tcW w:w="1474" w:type="dxa"/>
            <w:vAlign w:val="center"/>
          </w:tcPr>
          <w:p w14:paraId="4DF5B51A">
            <w:pPr>
              <w:pStyle w:val="14"/>
            </w:pPr>
          </w:p>
        </w:tc>
        <w:tc>
          <w:tcPr>
            <w:tcW w:w="3402" w:type="dxa"/>
            <w:vAlign w:val="center"/>
          </w:tcPr>
          <w:p w14:paraId="7B9FE54C">
            <w:pPr>
              <w:pStyle w:val="13"/>
            </w:pPr>
            <w:r>
              <w:t>二、外交支出</w:t>
            </w:r>
          </w:p>
        </w:tc>
        <w:tc>
          <w:tcPr>
            <w:tcW w:w="1474" w:type="dxa"/>
            <w:vAlign w:val="center"/>
          </w:tcPr>
          <w:p w14:paraId="3BE69909">
            <w:pPr>
              <w:pStyle w:val="14"/>
            </w:pPr>
          </w:p>
        </w:tc>
        <w:tc>
          <w:tcPr>
            <w:tcW w:w="1474" w:type="dxa"/>
            <w:vAlign w:val="center"/>
          </w:tcPr>
          <w:p w14:paraId="7E7906A4">
            <w:pPr>
              <w:pStyle w:val="14"/>
            </w:pPr>
          </w:p>
        </w:tc>
        <w:tc>
          <w:tcPr>
            <w:tcW w:w="1474" w:type="dxa"/>
            <w:vAlign w:val="center"/>
          </w:tcPr>
          <w:p w14:paraId="6552706E">
            <w:pPr>
              <w:pStyle w:val="14"/>
            </w:pPr>
          </w:p>
        </w:tc>
        <w:tc>
          <w:tcPr>
            <w:tcW w:w="1474" w:type="dxa"/>
            <w:vAlign w:val="center"/>
          </w:tcPr>
          <w:p w14:paraId="2FA6C72E">
            <w:pPr>
              <w:pStyle w:val="14"/>
            </w:pPr>
          </w:p>
        </w:tc>
      </w:tr>
      <w:tr w14:paraId="6FC8F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08F25">
            <w:pPr>
              <w:pStyle w:val="12"/>
            </w:pPr>
            <w:r>
              <w:t>3</w:t>
            </w:r>
          </w:p>
        </w:tc>
        <w:tc>
          <w:tcPr>
            <w:tcW w:w="3402" w:type="dxa"/>
            <w:vAlign w:val="center"/>
          </w:tcPr>
          <w:p w14:paraId="4860ADFC">
            <w:pPr>
              <w:pStyle w:val="13"/>
            </w:pPr>
            <w:r>
              <w:t>三、国有资本经营预算拨款</w:t>
            </w:r>
          </w:p>
        </w:tc>
        <w:tc>
          <w:tcPr>
            <w:tcW w:w="1474" w:type="dxa"/>
            <w:vAlign w:val="center"/>
          </w:tcPr>
          <w:p w14:paraId="6D39E882">
            <w:pPr>
              <w:pStyle w:val="14"/>
            </w:pPr>
          </w:p>
        </w:tc>
        <w:tc>
          <w:tcPr>
            <w:tcW w:w="3402" w:type="dxa"/>
            <w:vAlign w:val="center"/>
          </w:tcPr>
          <w:p w14:paraId="36D65692">
            <w:pPr>
              <w:pStyle w:val="13"/>
            </w:pPr>
            <w:r>
              <w:t>三、国防支出</w:t>
            </w:r>
          </w:p>
        </w:tc>
        <w:tc>
          <w:tcPr>
            <w:tcW w:w="1474" w:type="dxa"/>
            <w:vAlign w:val="center"/>
          </w:tcPr>
          <w:p w14:paraId="0F536CC1">
            <w:pPr>
              <w:pStyle w:val="14"/>
            </w:pPr>
          </w:p>
        </w:tc>
        <w:tc>
          <w:tcPr>
            <w:tcW w:w="1474" w:type="dxa"/>
            <w:vAlign w:val="center"/>
          </w:tcPr>
          <w:p w14:paraId="65CD60CB">
            <w:pPr>
              <w:pStyle w:val="14"/>
            </w:pPr>
          </w:p>
        </w:tc>
        <w:tc>
          <w:tcPr>
            <w:tcW w:w="1474" w:type="dxa"/>
            <w:vAlign w:val="center"/>
          </w:tcPr>
          <w:p w14:paraId="034BA40E">
            <w:pPr>
              <w:pStyle w:val="14"/>
            </w:pPr>
          </w:p>
        </w:tc>
        <w:tc>
          <w:tcPr>
            <w:tcW w:w="1474" w:type="dxa"/>
            <w:vAlign w:val="center"/>
          </w:tcPr>
          <w:p w14:paraId="774170DC">
            <w:pPr>
              <w:pStyle w:val="14"/>
            </w:pPr>
          </w:p>
        </w:tc>
      </w:tr>
      <w:tr w14:paraId="4A476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F6EE9">
            <w:pPr>
              <w:pStyle w:val="12"/>
            </w:pPr>
            <w:r>
              <w:t>4</w:t>
            </w:r>
          </w:p>
        </w:tc>
        <w:tc>
          <w:tcPr>
            <w:tcW w:w="3402" w:type="dxa"/>
            <w:vAlign w:val="center"/>
          </w:tcPr>
          <w:p w14:paraId="3A28F180">
            <w:pPr>
              <w:pStyle w:val="13"/>
            </w:pPr>
          </w:p>
        </w:tc>
        <w:tc>
          <w:tcPr>
            <w:tcW w:w="1474" w:type="dxa"/>
            <w:vAlign w:val="center"/>
          </w:tcPr>
          <w:p w14:paraId="435EDBA5">
            <w:pPr>
              <w:pStyle w:val="14"/>
            </w:pPr>
          </w:p>
        </w:tc>
        <w:tc>
          <w:tcPr>
            <w:tcW w:w="3402" w:type="dxa"/>
            <w:vAlign w:val="center"/>
          </w:tcPr>
          <w:p w14:paraId="5A71CA0C">
            <w:pPr>
              <w:pStyle w:val="13"/>
            </w:pPr>
            <w:r>
              <w:t>四、公共安全支出</w:t>
            </w:r>
          </w:p>
        </w:tc>
        <w:tc>
          <w:tcPr>
            <w:tcW w:w="1474" w:type="dxa"/>
            <w:vAlign w:val="center"/>
          </w:tcPr>
          <w:p w14:paraId="1539D48B">
            <w:pPr>
              <w:pStyle w:val="14"/>
            </w:pPr>
          </w:p>
        </w:tc>
        <w:tc>
          <w:tcPr>
            <w:tcW w:w="1474" w:type="dxa"/>
            <w:vAlign w:val="center"/>
          </w:tcPr>
          <w:p w14:paraId="5304359A">
            <w:pPr>
              <w:pStyle w:val="14"/>
            </w:pPr>
          </w:p>
        </w:tc>
        <w:tc>
          <w:tcPr>
            <w:tcW w:w="1474" w:type="dxa"/>
            <w:vAlign w:val="center"/>
          </w:tcPr>
          <w:p w14:paraId="174DE122">
            <w:pPr>
              <w:pStyle w:val="14"/>
            </w:pPr>
          </w:p>
        </w:tc>
        <w:tc>
          <w:tcPr>
            <w:tcW w:w="1474" w:type="dxa"/>
            <w:vAlign w:val="center"/>
          </w:tcPr>
          <w:p w14:paraId="4B3A143A">
            <w:pPr>
              <w:pStyle w:val="14"/>
            </w:pPr>
          </w:p>
        </w:tc>
      </w:tr>
      <w:tr w14:paraId="151D5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761DB">
            <w:pPr>
              <w:pStyle w:val="12"/>
            </w:pPr>
            <w:r>
              <w:t>5</w:t>
            </w:r>
          </w:p>
        </w:tc>
        <w:tc>
          <w:tcPr>
            <w:tcW w:w="3402" w:type="dxa"/>
            <w:vAlign w:val="center"/>
          </w:tcPr>
          <w:p w14:paraId="0900CACC">
            <w:pPr>
              <w:pStyle w:val="13"/>
            </w:pPr>
          </w:p>
        </w:tc>
        <w:tc>
          <w:tcPr>
            <w:tcW w:w="1474" w:type="dxa"/>
            <w:vAlign w:val="center"/>
          </w:tcPr>
          <w:p w14:paraId="3448B7F0">
            <w:pPr>
              <w:pStyle w:val="14"/>
            </w:pPr>
          </w:p>
        </w:tc>
        <w:tc>
          <w:tcPr>
            <w:tcW w:w="3402" w:type="dxa"/>
            <w:vAlign w:val="center"/>
          </w:tcPr>
          <w:p w14:paraId="36F17979">
            <w:pPr>
              <w:pStyle w:val="13"/>
            </w:pPr>
            <w:r>
              <w:t>五、教育支出</w:t>
            </w:r>
          </w:p>
        </w:tc>
        <w:tc>
          <w:tcPr>
            <w:tcW w:w="1474" w:type="dxa"/>
            <w:vAlign w:val="center"/>
          </w:tcPr>
          <w:p w14:paraId="6292E82A">
            <w:pPr>
              <w:pStyle w:val="14"/>
            </w:pPr>
            <w:r>
              <w:t>191.56</w:t>
            </w:r>
          </w:p>
        </w:tc>
        <w:tc>
          <w:tcPr>
            <w:tcW w:w="1474" w:type="dxa"/>
            <w:vAlign w:val="center"/>
          </w:tcPr>
          <w:p w14:paraId="35443805">
            <w:pPr>
              <w:pStyle w:val="14"/>
            </w:pPr>
            <w:r>
              <w:t>191.56</w:t>
            </w:r>
          </w:p>
        </w:tc>
        <w:tc>
          <w:tcPr>
            <w:tcW w:w="1474" w:type="dxa"/>
            <w:vAlign w:val="center"/>
          </w:tcPr>
          <w:p w14:paraId="3E5EF3F6">
            <w:pPr>
              <w:pStyle w:val="14"/>
            </w:pPr>
          </w:p>
        </w:tc>
        <w:tc>
          <w:tcPr>
            <w:tcW w:w="1474" w:type="dxa"/>
            <w:vAlign w:val="center"/>
          </w:tcPr>
          <w:p w14:paraId="15DFD996">
            <w:pPr>
              <w:pStyle w:val="14"/>
            </w:pPr>
          </w:p>
        </w:tc>
      </w:tr>
      <w:tr w14:paraId="10961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E9765">
            <w:pPr>
              <w:pStyle w:val="12"/>
            </w:pPr>
            <w:r>
              <w:t>6</w:t>
            </w:r>
          </w:p>
        </w:tc>
        <w:tc>
          <w:tcPr>
            <w:tcW w:w="3402" w:type="dxa"/>
            <w:vAlign w:val="center"/>
          </w:tcPr>
          <w:p w14:paraId="6F5CB6EF">
            <w:pPr>
              <w:pStyle w:val="13"/>
            </w:pPr>
          </w:p>
        </w:tc>
        <w:tc>
          <w:tcPr>
            <w:tcW w:w="1474" w:type="dxa"/>
            <w:vAlign w:val="center"/>
          </w:tcPr>
          <w:p w14:paraId="4E22EEC5">
            <w:pPr>
              <w:pStyle w:val="14"/>
            </w:pPr>
          </w:p>
        </w:tc>
        <w:tc>
          <w:tcPr>
            <w:tcW w:w="3402" w:type="dxa"/>
            <w:vAlign w:val="center"/>
          </w:tcPr>
          <w:p w14:paraId="2973D8A0">
            <w:pPr>
              <w:pStyle w:val="13"/>
            </w:pPr>
            <w:r>
              <w:t>六、科学技术支出</w:t>
            </w:r>
          </w:p>
        </w:tc>
        <w:tc>
          <w:tcPr>
            <w:tcW w:w="1474" w:type="dxa"/>
            <w:vAlign w:val="center"/>
          </w:tcPr>
          <w:p w14:paraId="5D64334C">
            <w:pPr>
              <w:pStyle w:val="14"/>
            </w:pPr>
          </w:p>
        </w:tc>
        <w:tc>
          <w:tcPr>
            <w:tcW w:w="1474" w:type="dxa"/>
            <w:vAlign w:val="center"/>
          </w:tcPr>
          <w:p w14:paraId="5E7913DD">
            <w:pPr>
              <w:pStyle w:val="14"/>
            </w:pPr>
          </w:p>
        </w:tc>
        <w:tc>
          <w:tcPr>
            <w:tcW w:w="1474" w:type="dxa"/>
            <w:vAlign w:val="center"/>
          </w:tcPr>
          <w:p w14:paraId="329A1D14">
            <w:pPr>
              <w:pStyle w:val="14"/>
            </w:pPr>
          </w:p>
        </w:tc>
        <w:tc>
          <w:tcPr>
            <w:tcW w:w="1474" w:type="dxa"/>
            <w:vAlign w:val="center"/>
          </w:tcPr>
          <w:p w14:paraId="15235107">
            <w:pPr>
              <w:pStyle w:val="14"/>
            </w:pPr>
          </w:p>
        </w:tc>
      </w:tr>
      <w:tr w14:paraId="1941C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9804C">
            <w:pPr>
              <w:pStyle w:val="12"/>
            </w:pPr>
            <w:r>
              <w:t>7</w:t>
            </w:r>
          </w:p>
        </w:tc>
        <w:tc>
          <w:tcPr>
            <w:tcW w:w="3402" w:type="dxa"/>
            <w:vAlign w:val="center"/>
          </w:tcPr>
          <w:p w14:paraId="6EFA8C4D">
            <w:pPr>
              <w:pStyle w:val="13"/>
            </w:pPr>
          </w:p>
        </w:tc>
        <w:tc>
          <w:tcPr>
            <w:tcW w:w="1474" w:type="dxa"/>
            <w:vAlign w:val="center"/>
          </w:tcPr>
          <w:p w14:paraId="343DE01A">
            <w:pPr>
              <w:pStyle w:val="14"/>
            </w:pPr>
          </w:p>
        </w:tc>
        <w:tc>
          <w:tcPr>
            <w:tcW w:w="3402" w:type="dxa"/>
            <w:vAlign w:val="center"/>
          </w:tcPr>
          <w:p w14:paraId="6410C233">
            <w:pPr>
              <w:pStyle w:val="13"/>
            </w:pPr>
            <w:r>
              <w:t>七、文化旅游体育与传媒支出</w:t>
            </w:r>
          </w:p>
        </w:tc>
        <w:tc>
          <w:tcPr>
            <w:tcW w:w="1474" w:type="dxa"/>
            <w:vAlign w:val="center"/>
          </w:tcPr>
          <w:p w14:paraId="7BAF5C1A">
            <w:pPr>
              <w:pStyle w:val="14"/>
            </w:pPr>
          </w:p>
        </w:tc>
        <w:tc>
          <w:tcPr>
            <w:tcW w:w="1474" w:type="dxa"/>
            <w:vAlign w:val="center"/>
          </w:tcPr>
          <w:p w14:paraId="3070A9D9">
            <w:pPr>
              <w:pStyle w:val="14"/>
            </w:pPr>
          </w:p>
        </w:tc>
        <w:tc>
          <w:tcPr>
            <w:tcW w:w="1474" w:type="dxa"/>
            <w:vAlign w:val="center"/>
          </w:tcPr>
          <w:p w14:paraId="4183BE5E">
            <w:pPr>
              <w:pStyle w:val="14"/>
            </w:pPr>
          </w:p>
        </w:tc>
        <w:tc>
          <w:tcPr>
            <w:tcW w:w="1474" w:type="dxa"/>
            <w:vAlign w:val="center"/>
          </w:tcPr>
          <w:p w14:paraId="47189F1F">
            <w:pPr>
              <w:pStyle w:val="14"/>
            </w:pPr>
          </w:p>
        </w:tc>
      </w:tr>
      <w:tr w14:paraId="71140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E3E90">
            <w:pPr>
              <w:pStyle w:val="12"/>
            </w:pPr>
            <w:r>
              <w:t>8</w:t>
            </w:r>
          </w:p>
        </w:tc>
        <w:tc>
          <w:tcPr>
            <w:tcW w:w="3402" w:type="dxa"/>
            <w:vAlign w:val="center"/>
          </w:tcPr>
          <w:p w14:paraId="6A7DB860">
            <w:pPr>
              <w:pStyle w:val="13"/>
            </w:pPr>
          </w:p>
        </w:tc>
        <w:tc>
          <w:tcPr>
            <w:tcW w:w="1474" w:type="dxa"/>
            <w:vAlign w:val="center"/>
          </w:tcPr>
          <w:p w14:paraId="7FB3287A">
            <w:pPr>
              <w:pStyle w:val="14"/>
            </w:pPr>
          </w:p>
        </w:tc>
        <w:tc>
          <w:tcPr>
            <w:tcW w:w="3402" w:type="dxa"/>
            <w:vAlign w:val="center"/>
          </w:tcPr>
          <w:p w14:paraId="1BC3ED38">
            <w:pPr>
              <w:pStyle w:val="13"/>
            </w:pPr>
            <w:r>
              <w:t>八、社会保障和就业支出</w:t>
            </w:r>
          </w:p>
        </w:tc>
        <w:tc>
          <w:tcPr>
            <w:tcW w:w="1474" w:type="dxa"/>
            <w:vAlign w:val="center"/>
          </w:tcPr>
          <w:p w14:paraId="7C4D4943">
            <w:pPr>
              <w:pStyle w:val="14"/>
            </w:pPr>
          </w:p>
        </w:tc>
        <w:tc>
          <w:tcPr>
            <w:tcW w:w="1474" w:type="dxa"/>
            <w:vAlign w:val="center"/>
          </w:tcPr>
          <w:p w14:paraId="67D1D2C1">
            <w:pPr>
              <w:pStyle w:val="14"/>
            </w:pPr>
          </w:p>
        </w:tc>
        <w:tc>
          <w:tcPr>
            <w:tcW w:w="1474" w:type="dxa"/>
            <w:vAlign w:val="center"/>
          </w:tcPr>
          <w:p w14:paraId="34A7FB60">
            <w:pPr>
              <w:pStyle w:val="14"/>
            </w:pPr>
          </w:p>
        </w:tc>
        <w:tc>
          <w:tcPr>
            <w:tcW w:w="1474" w:type="dxa"/>
            <w:vAlign w:val="center"/>
          </w:tcPr>
          <w:p w14:paraId="00D000C0">
            <w:pPr>
              <w:pStyle w:val="14"/>
            </w:pPr>
          </w:p>
        </w:tc>
      </w:tr>
      <w:tr w14:paraId="4D683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1A083">
            <w:pPr>
              <w:pStyle w:val="12"/>
            </w:pPr>
            <w:r>
              <w:t>9</w:t>
            </w:r>
          </w:p>
        </w:tc>
        <w:tc>
          <w:tcPr>
            <w:tcW w:w="3402" w:type="dxa"/>
            <w:vAlign w:val="center"/>
          </w:tcPr>
          <w:p w14:paraId="7AD21D2F">
            <w:pPr>
              <w:pStyle w:val="13"/>
            </w:pPr>
          </w:p>
        </w:tc>
        <w:tc>
          <w:tcPr>
            <w:tcW w:w="1474" w:type="dxa"/>
            <w:vAlign w:val="center"/>
          </w:tcPr>
          <w:p w14:paraId="31F2D581">
            <w:pPr>
              <w:pStyle w:val="14"/>
            </w:pPr>
          </w:p>
        </w:tc>
        <w:tc>
          <w:tcPr>
            <w:tcW w:w="3402" w:type="dxa"/>
            <w:vAlign w:val="center"/>
          </w:tcPr>
          <w:p w14:paraId="67223899">
            <w:pPr>
              <w:pStyle w:val="13"/>
            </w:pPr>
            <w:r>
              <w:t>九、社会保险基金支出</w:t>
            </w:r>
          </w:p>
        </w:tc>
        <w:tc>
          <w:tcPr>
            <w:tcW w:w="1474" w:type="dxa"/>
            <w:vAlign w:val="center"/>
          </w:tcPr>
          <w:p w14:paraId="66097C5C">
            <w:pPr>
              <w:pStyle w:val="14"/>
            </w:pPr>
          </w:p>
        </w:tc>
        <w:tc>
          <w:tcPr>
            <w:tcW w:w="1474" w:type="dxa"/>
            <w:vAlign w:val="center"/>
          </w:tcPr>
          <w:p w14:paraId="1A9EAE1E">
            <w:pPr>
              <w:pStyle w:val="14"/>
            </w:pPr>
          </w:p>
        </w:tc>
        <w:tc>
          <w:tcPr>
            <w:tcW w:w="1474" w:type="dxa"/>
            <w:vAlign w:val="center"/>
          </w:tcPr>
          <w:p w14:paraId="7F76872D">
            <w:pPr>
              <w:pStyle w:val="14"/>
            </w:pPr>
          </w:p>
        </w:tc>
        <w:tc>
          <w:tcPr>
            <w:tcW w:w="1474" w:type="dxa"/>
            <w:vAlign w:val="center"/>
          </w:tcPr>
          <w:p w14:paraId="609C7F6F">
            <w:pPr>
              <w:pStyle w:val="14"/>
            </w:pPr>
          </w:p>
        </w:tc>
      </w:tr>
      <w:tr w14:paraId="4182F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0DCC3">
            <w:pPr>
              <w:pStyle w:val="12"/>
            </w:pPr>
            <w:r>
              <w:t>10</w:t>
            </w:r>
          </w:p>
        </w:tc>
        <w:tc>
          <w:tcPr>
            <w:tcW w:w="3402" w:type="dxa"/>
            <w:vAlign w:val="center"/>
          </w:tcPr>
          <w:p w14:paraId="5788C4AA">
            <w:pPr>
              <w:pStyle w:val="13"/>
            </w:pPr>
          </w:p>
        </w:tc>
        <w:tc>
          <w:tcPr>
            <w:tcW w:w="1474" w:type="dxa"/>
            <w:vAlign w:val="center"/>
          </w:tcPr>
          <w:p w14:paraId="7D602A16">
            <w:pPr>
              <w:pStyle w:val="14"/>
            </w:pPr>
          </w:p>
        </w:tc>
        <w:tc>
          <w:tcPr>
            <w:tcW w:w="3402" w:type="dxa"/>
            <w:vAlign w:val="center"/>
          </w:tcPr>
          <w:p w14:paraId="0106D465">
            <w:pPr>
              <w:pStyle w:val="13"/>
            </w:pPr>
            <w:r>
              <w:t>十、卫生健康支出</w:t>
            </w:r>
          </w:p>
        </w:tc>
        <w:tc>
          <w:tcPr>
            <w:tcW w:w="1474" w:type="dxa"/>
            <w:vAlign w:val="center"/>
          </w:tcPr>
          <w:p w14:paraId="311401D8">
            <w:pPr>
              <w:pStyle w:val="14"/>
            </w:pPr>
          </w:p>
        </w:tc>
        <w:tc>
          <w:tcPr>
            <w:tcW w:w="1474" w:type="dxa"/>
            <w:vAlign w:val="center"/>
          </w:tcPr>
          <w:p w14:paraId="37726A6B">
            <w:pPr>
              <w:pStyle w:val="14"/>
            </w:pPr>
          </w:p>
        </w:tc>
        <w:tc>
          <w:tcPr>
            <w:tcW w:w="1474" w:type="dxa"/>
            <w:vAlign w:val="center"/>
          </w:tcPr>
          <w:p w14:paraId="1E798288">
            <w:pPr>
              <w:pStyle w:val="14"/>
            </w:pPr>
          </w:p>
        </w:tc>
        <w:tc>
          <w:tcPr>
            <w:tcW w:w="1474" w:type="dxa"/>
            <w:vAlign w:val="center"/>
          </w:tcPr>
          <w:p w14:paraId="273D7D50">
            <w:pPr>
              <w:pStyle w:val="14"/>
            </w:pPr>
          </w:p>
        </w:tc>
      </w:tr>
      <w:tr w14:paraId="5FD6B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89F20">
            <w:pPr>
              <w:pStyle w:val="12"/>
            </w:pPr>
            <w:r>
              <w:t>11</w:t>
            </w:r>
          </w:p>
        </w:tc>
        <w:tc>
          <w:tcPr>
            <w:tcW w:w="3402" w:type="dxa"/>
            <w:vAlign w:val="center"/>
          </w:tcPr>
          <w:p w14:paraId="6D69C50A">
            <w:pPr>
              <w:pStyle w:val="13"/>
            </w:pPr>
          </w:p>
        </w:tc>
        <w:tc>
          <w:tcPr>
            <w:tcW w:w="1474" w:type="dxa"/>
            <w:vAlign w:val="center"/>
          </w:tcPr>
          <w:p w14:paraId="7EF0B509">
            <w:pPr>
              <w:pStyle w:val="14"/>
            </w:pPr>
          </w:p>
        </w:tc>
        <w:tc>
          <w:tcPr>
            <w:tcW w:w="3402" w:type="dxa"/>
            <w:vAlign w:val="center"/>
          </w:tcPr>
          <w:p w14:paraId="72CC2F27">
            <w:pPr>
              <w:pStyle w:val="13"/>
            </w:pPr>
            <w:r>
              <w:t>十一、节能环保支出</w:t>
            </w:r>
          </w:p>
        </w:tc>
        <w:tc>
          <w:tcPr>
            <w:tcW w:w="1474" w:type="dxa"/>
            <w:vAlign w:val="center"/>
          </w:tcPr>
          <w:p w14:paraId="1C36CCAF">
            <w:pPr>
              <w:pStyle w:val="14"/>
            </w:pPr>
          </w:p>
        </w:tc>
        <w:tc>
          <w:tcPr>
            <w:tcW w:w="1474" w:type="dxa"/>
            <w:vAlign w:val="center"/>
          </w:tcPr>
          <w:p w14:paraId="51A0C03E">
            <w:pPr>
              <w:pStyle w:val="14"/>
            </w:pPr>
          </w:p>
        </w:tc>
        <w:tc>
          <w:tcPr>
            <w:tcW w:w="1474" w:type="dxa"/>
            <w:vAlign w:val="center"/>
          </w:tcPr>
          <w:p w14:paraId="7E730C49">
            <w:pPr>
              <w:pStyle w:val="14"/>
            </w:pPr>
          </w:p>
        </w:tc>
        <w:tc>
          <w:tcPr>
            <w:tcW w:w="1474" w:type="dxa"/>
            <w:vAlign w:val="center"/>
          </w:tcPr>
          <w:p w14:paraId="7D36DE90">
            <w:pPr>
              <w:pStyle w:val="14"/>
            </w:pPr>
          </w:p>
        </w:tc>
      </w:tr>
      <w:tr w14:paraId="54493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DDE92">
            <w:pPr>
              <w:pStyle w:val="12"/>
            </w:pPr>
            <w:r>
              <w:t>12</w:t>
            </w:r>
          </w:p>
        </w:tc>
        <w:tc>
          <w:tcPr>
            <w:tcW w:w="3402" w:type="dxa"/>
            <w:vAlign w:val="center"/>
          </w:tcPr>
          <w:p w14:paraId="4B908C0E">
            <w:pPr>
              <w:pStyle w:val="13"/>
            </w:pPr>
          </w:p>
        </w:tc>
        <w:tc>
          <w:tcPr>
            <w:tcW w:w="1474" w:type="dxa"/>
            <w:vAlign w:val="center"/>
          </w:tcPr>
          <w:p w14:paraId="45545E51">
            <w:pPr>
              <w:pStyle w:val="14"/>
            </w:pPr>
          </w:p>
        </w:tc>
        <w:tc>
          <w:tcPr>
            <w:tcW w:w="3402" w:type="dxa"/>
            <w:vAlign w:val="center"/>
          </w:tcPr>
          <w:p w14:paraId="1120C1DC">
            <w:pPr>
              <w:pStyle w:val="13"/>
            </w:pPr>
            <w:r>
              <w:t>十二、城乡社区支出</w:t>
            </w:r>
          </w:p>
        </w:tc>
        <w:tc>
          <w:tcPr>
            <w:tcW w:w="1474" w:type="dxa"/>
            <w:vAlign w:val="center"/>
          </w:tcPr>
          <w:p w14:paraId="690ED10D">
            <w:pPr>
              <w:pStyle w:val="14"/>
            </w:pPr>
          </w:p>
        </w:tc>
        <w:tc>
          <w:tcPr>
            <w:tcW w:w="1474" w:type="dxa"/>
            <w:vAlign w:val="center"/>
          </w:tcPr>
          <w:p w14:paraId="66A375AC">
            <w:pPr>
              <w:pStyle w:val="14"/>
            </w:pPr>
          </w:p>
        </w:tc>
        <w:tc>
          <w:tcPr>
            <w:tcW w:w="1474" w:type="dxa"/>
            <w:vAlign w:val="center"/>
          </w:tcPr>
          <w:p w14:paraId="13DEE5C3">
            <w:pPr>
              <w:pStyle w:val="14"/>
            </w:pPr>
          </w:p>
        </w:tc>
        <w:tc>
          <w:tcPr>
            <w:tcW w:w="1474" w:type="dxa"/>
            <w:vAlign w:val="center"/>
          </w:tcPr>
          <w:p w14:paraId="0C054777">
            <w:pPr>
              <w:pStyle w:val="14"/>
            </w:pPr>
          </w:p>
        </w:tc>
      </w:tr>
      <w:tr w14:paraId="68F0A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C50C7">
            <w:pPr>
              <w:pStyle w:val="12"/>
            </w:pPr>
            <w:r>
              <w:t>13</w:t>
            </w:r>
          </w:p>
        </w:tc>
        <w:tc>
          <w:tcPr>
            <w:tcW w:w="3402" w:type="dxa"/>
            <w:vAlign w:val="center"/>
          </w:tcPr>
          <w:p w14:paraId="4026BF65">
            <w:pPr>
              <w:pStyle w:val="13"/>
            </w:pPr>
          </w:p>
        </w:tc>
        <w:tc>
          <w:tcPr>
            <w:tcW w:w="1474" w:type="dxa"/>
            <w:vAlign w:val="center"/>
          </w:tcPr>
          <w:p w14:paraId="3059E847">
            <w:pPr>
              <w:pStyle w:val="14"/>
            </w:pPr>
          </w:p>
        </w:tc>
        <w:tc>
          <w:tcPr>
            <w:tcW w:w="3402" w:type="dxa"/>
            <w:vAlign w:val="center"/>
          </w:tcPr>
          <w:p w14:paraId="70F8B6EE">
            <w:pPr>
              <w:pStyle w:val="13"/>
            </w:pPr>
            <w:r>
              <w:t>十三、农林水支出</w:t>
            </w:r>
          </w:p>
        </w:tc>
        <w:tc>
          <w:tcPr>
            <w:tcW w:w="1474" w:type="dxa"/>
            <w:vAlign w:val="center"/>
          </w:tcPr>
          <w:p w14:paraId="60BC807E">
            <w:pPr>
              <w:pStyle w:val="14"/>
            </w:pPr>
          </w:p>
        </w:tc>
        <w:tc>
          <w:tcPr>
            <w:tcW w:w="1474" w:type="dxa"/>
            <w:vAlign w:val="center"/>
          </w:tcPr>
          <w:p w14:paraId="46B25E08">
            <w:pPr>
              <w:pStyle w:val="14"/>
            </w:pPr>
          </w:p>
        </w:tc>
        <w:tc>
          <w:tcPr>
            <w:tcW w:w="1474" w:type="dxa"/>
            <w:vAlign w:val="center"/>
          </w:tcPr>
          <w:p w14:paraId="78C415C4">
            <w:pPr>
              <w:pStyle w:val="14"/>
            </w:pPr>
          </w:p>
        </w:tc>
        <w:tc>
          <w:tcPr>
            <w:tcW w:w="1474" w:type="dxa"/>
            <w:vAlign w:val="center"/>
          </w:tcPr>
          <w:p w14:paraId="743EF72B">
            <w:pPr>
              <w:pStyle w:val="14"/>
            </w:pPr>
          </w:p>
        </w:tc>
      </w:tr>
      <w:tr w14:paraId="46B92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E2EB3">
            <w:pPr>
              <w:pStyle w:val="12"/>
            </w:pPr>
            <w:r>
              <w:t>14</w:t>
            </w:r>
          </w:p>
        </w:tc>
        <w:tc>
          <w:tcPr>
            <w:tcW w:w="3402" w:type="dxa"/>
            <w:vAlign w:val="center"/>
          </w:tcPr>
          <w:p w14:paraId="497E8AE7">
            <w:pPr>
              <w:pStyle w:val="13"/>
            </w:pPr>
          </w:p>
        </w:tc>
        <w:tc>
          <w:tcPr>
            <w:tcW w:w="1474" w:type="dxa"/>
            <w:vAlign w:val="center"/>
          </w:tcPr>
          <w:p w14:paraId="14FF74C9">
            <w:pPr>
              <w:pStyle w:val="14"/>
            </w:pPr>
          </w:p>
        </w:tc>
        <w:tc>
          <w:tcPr>
            <w:tcW w:w="3402" w:type="dxa"/>
            <w:vAlign w:val="center"/>
          </w:tcPr>
          <w:p w14:paraId="564A772E">
            <w:pPr>
              <w:pStyle w:val="13"/>
            </w:pPr>
            <w:r>
              <w:t>十四、交通运输支出</w:t>
            </w:r>
          </w:p>
        </w:tc>
        <w:tc>
          <w:tcPr>
            <w:tcW w:w="1474" w:type="dxa"/>
            <w:vAlign w:val="center"/>
          </w:tcPr>
          <w:p w14:paraId="12046E93">
            <w:pPr>
              <w:pStyle w:val="14"/>
            </w:pPr>
          </w:p>
        </w:tc>
        <w:tc>
          <w:tcPr>
            <w:tcW w:w="1474" w:type="dxa"/>
            <w:vAlign w:val="center"/>
          </w:tcPr>
          <w:p w14:paraId="29AEDADF">
            <w:pPr>
              <w:pStyle w:val="14"/>
            </w:pPr>
          </w:p>
        </w:tc>
        <w:tc>
          <w:tcPr>
            <w:tcW w:w="1474" w:type="dxa"/>
            <w:vAlign w:val="center"/>
          </w:tcPr>
          <w:p w14:paraId="7C920535">
            <w:pPr>
              <w:pStyle w:val="14"/>
            </w:pPr>
          </w:p>
        </w:tc>
        <w:tc>
          <w:tcPr>
            <w:tcW w:w="1474" w:type="dxa"/>
            <w:vAlign w:val="center"/>
          </w:tcPr>
          <w:p w14:paraId="19B415C6">
            <w:pPr>
              <w:pStyle w:val="14"/>
            </w:pPr>
          </w:p>
        </w:tc>
      </w:tr>
      <w:tr w14:paraId="222A6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A2285BB">
            <w:pPr>
              <w:pStyle w:val="12"/>
            </w:pPr>
            <w:r>
              <w:t>15</w:t>
            </w:r>
          </w:p>
        </w:tc>
        <w:tc>
          <w:tcPr>
            <w:tcW w:w="3402" w:type="dxa"/>
            <w:vAlign w:val="center"/>
          </w:tcPr>
          <w:p w14:paraId="6514A216">
            <w:pPr>
              <w:pStyle w:val="13"/>
            </w:pPr>
          </w:p>
        </w:tc>
        <w:tc>
          <w:tcPr>
            <w:tcW w:w="1474" w:type="dxa"/>
            <w:vAlign w:val="center"/>
          </w:tcPr>
          <w:p w14:paraId="0A7FBEF8">
            <w:pPr>
              <w:pStyle w:val="14"/>
            </w:pPr>
          </w:p>
        </w:tc>
        <w:tc>
          <w:tcPr>
            <w:tcW w:w="3402" w:type="dxa"/>
            <w:vAlign w:val="center"/>
          </w:tcPr>
          <w:p w14:paraId="072A1075">
            <w:pPr>
              <w:pStyle w:val="13"/>
            </w:pPr>
            <w:r>
              <w:t>十五、资源勘探工业信息等支出</w:t>
            </w:r>
          </w:p>
        </w:tc>
        <w:tc>
          <w:tcPr>
            <w:tcW w:w="1474" w:type="dxa"/>
            <w:vAlign w:val="center"/>
          </w:tcPr>
          <w:p w14:paraId="22AF9B17">
            <w:pPr>
              <w:pStyle w:val="14"/>
            </w:pPr>
          </w:p>
        </w:tc>
        <w:tc>
          <w:tcPr>
            <w:tcW w:w="1474" w:type="dxa"/>
            <w:vAlign w:val="center"/>
          </w:tcPr>
          <w:p w14:paraId="7B9C28D4">
            <w:pPr>
              <w:pStyle w:val="14"/>
            </w:pPr>
          </w:p>
        </w:tc>
        <w:tc>
          <w:tcPr>
            <w:tcW w:w="1474" w:type="dxa"/>
            <w:vAlign w:val="center"/>
          </w:tcPr>
          <w:p w14:paraId="5F3C1B35">
            <w:pPr>
              <w:pStyle w:val="14"/>
            </w:pPr>
          </w:p>
        </w:tc>
        <w:tc>
          <w:tcPr>
            <w:tcW w:w="1474" w:type="dxa"/>
            <w:vAlign w:val="center"/>
          </w:tcPr>
          <w:p w14:paraId="4712B3AF">
            <w:pPr>
              <w:pStyle w:val="14"/>
            </w:pPr>
          </w:p>
        </w:tc>
      </w:tr>
      <w:tr w14:paraId="606ED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7DB9B">
            <w:pPr>
              <w:pStyle w:val="12"/>
            </w:pPr>
            <w:r>
              <w:t>16</w:t>
            </w:r>
          </w:p>
        </w:tc>
        <w:tc>
          <w:tcPr>
            <w:tcW w:w="3402" w:type="dxa"/>
            <w:vAlign w:val="center"/>
          </w:tcPr>
          <w:p w14:paraId="6EF80027">
            <w:pPr>
              <w:pStyle w:val="13"/>
            </w:pPr>
          </w:p>
        </w:tc>
        <w:tc>
          <w:tcPr>
            <w:tcW w:w="1474" w:type="dxa"/>
            <w:vAlign w:val="center"/>
          </w:tcPr>
          <w:p w14:paraId="5207BC06">
            <w:pPr>
              <w:pStyle w:val="14"/>
            </w:pPr>
          </w:p>
        </w:tc>
        <w:tc>
          <w:tcPr>
            <w:tcW w:w="3402" w:type="dxa"/>
            <w:vAlign w:val="center"/>
          </w:tcPr>
          <w:p w14:paraId="06D7279A">
            <w:pPr>
              <w:pStyle w:val="13"/>
            </w:pPr>
            <w:r>
              <w:t>十六、商业服务业等支出</w:t>
            </w:r>
          </w:p>
        </w:tc>
        <w:tc>
          <w:tcPr>
            <w:tcW w:w="1474" w:type="dxa"/>
            <w:vAlign w:val="center"/>
          </w:tcPr>
          <w:p w14:paraId="3B6F1DFB">
            <w:pPr>
              <w:pStyle w:val="14"/>
            </w:pPr>
          </w:p>
        </w:tc>
        <w:tc>
          <w:tcPr>
            <w:tcW w:w="1474" w:type="dxa"/>
            <w:vAlign w:val="center"/>
          </w:tcPr>
          <w:p w14:paraId="2CAF7AC9">
            <w:pPr>
              <w:pStyle w:val="14"/>
            </w:pPr>
          </w:p>
        </w:tc>
        <w:tc>
          <w:tcPr>
            <w:tcW w:w="1474" w:type="dxa"/>
            <w:vAlign w:val="center"/>
          </w:tcPr>
          <w:p w14:paraId="6BE188FA">
            <w:pPr>
              <w:pStyle w:val="14"/>
            </w:pPr>
          </w:p>
        </w:tc>
        <w:tc>
          <w:tcPr>
            <w:tcW w:w="1474" w:type="dxa"/>
            <w:vAlign w:val="center"/>
          </w:tcPr>
          <w:p w14:paraId="2039BAE0">
            <w:pPr>
              <w:pStyle w:val="14"/>
            </w:pPr>
          </w:p>
        </w:tc>
      </w:tr>
      <w:tr w14:paraId="2A31B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DC02B">
            <w:pPr>
              <w:pStyle w:val="12"/>
            </w:pPr>
            <w:r>
              <w:t>17</w:t>
            </w:r>
          </w:p>
        </w:tc>
        <w:tc>
          <w:tcPr>
            <w:tcW w:w="3402" w:type="dxa"/>
            <w:vAlign w:val="center"/>
          </w:tcPr>
          <w:p w14:paraId="4A54839C">
            <w:pPr>
              <w:pStyle w:val="13"/>
            </w:pPr>
          </w:p>
        </w:tc>
        <w:tc>
          <w:tcPr>
            <w:tcW w:w="1474" w:type="dxa"/>
            <w:vAlign w:val="center"/>
          </w:tcPr>
          <w:p w14:paraId="34BC8B2B">
            <w:pPr>
              <w:pStyle w:val="14"/>
            </w:pPr>
          </w:p>
        </w:tc>
        <w:tc>
          <w:tcPr>
            <w:tcW w:w="3402" w:type="dxa"/>
            <w:vAlign w:val="center"/>
          </w:tcPr>
          <w:p w14:paraId="29EDA026">
            <w:pPr>
              <w:pStyle w:val="13"/>
            </w:pPr>
            <w:r>
              <w:t>十七、金融支出</w:t>
            </w:r>
          </w:p>
        </w:tc>
        <w:tc>
          <w:tcPr>
            <w:tcW w:w="1474" w:type="dxa"/>
            <w:vAlign w:val="center"/>
          </w:tcPr>
          <w:p w14:paraId="5A365FE7">
            <w:pPr>
              <w:pStyle w:val="14"/>
            </w:pPr>
          </w:p>
        </w:tc>
        <w:tc>
          <w:tcPr>
            <w:tcW w:w="1474" w:type="dxa"/>
            <w:vAlign w:val="center"/>
          </w:tcPr>
          <w:p w14:paraId="2A87DC59">
            <w:pPr>
              <w:pStyle w:val="14"/>
            </w:pPr>
          </w:p>
        </w:tc>
        <w:tc>
          <w:tcPr>
            <w:tcW w:w="1474" w:type="dxa"/>
            <w:vAlign w:val="center"/>
          </w:tcPr>
          <w:p w14:paraId="2F249F4F">
            <w:pPr>
              <w:pStyle w:val="14"/>
            </w:pPr>
          </w:p>
        </w:tc>
        <w:tc>
          <w:tcPr>
            <w:tcW w:w="1474" w:type="dxa"/>
            <w:vAlign w:val="center"/>
          </w:tcPr>
          <w:p w14:paraId="55AEE0FC">
            <w:pPr>
              <w:pStyle w:val="14"/>
            </w:pPr>
          </w:p>
        </w:tc>
      </w:tr>
      <w:tr w14:paraId="3F62F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26CE0">
            <w:pPr>
              <w:pStyle w:val="12"/>
            </w:pPr>
            <w:r>
              <w:t>18</w:t>
            </w:r>
          </w:p>
        </w:tc>
        <w:tc>
          <w:tcPr>
            <w:tcW w:w="3402" w:type="dxa"/>
            <w:vAlign w:val="center"/>
          </w:tcPr>
          <w:p w14:paraId="001C511C">
            <w:pPr>
              <w:pStyle w:val="13"/>
            </w:pPr>
          </w:p>
        </w:tc>
        <w:tc>
          <w:tcPr>
            <w:tcW w:w="1474" w:type="dxa"/>
            <w:vAlign w:val="center"/>
          </w:tcPr>
          <w:p w14:paraId="1F2F0BF8">
            <w:pPr>
              <w:pStyle w:val="14"/>
            </w:pPr>
          </w:p>
        </w:tc>
        <w:tc>
          <w:tcPr>
            <w:tcW w:w="3402" w:type="dxa"/>
            <w:vAlign w:val="center"/>
          </w:tcPr>
          <w:p w14:paraId="7374FB07">
            <w:pPr>
              <w:pStyle w:val="13"/>
            </w:pPr>
            <w:r>
              <w:t>十八、援助其他地区支出</w:t>
            </w:r>
          </w:p>
        </w:tc>
        <w:tc>
          <w:tcPr>
            <w:tcW w:w="1474" w:type="dxa"/>
            <w:vAlign w:val="center"/>
          </w:tcPr>
          <w:p w14:paraId="0AF2608E">
            <w:pPr>
              <w:pStyle w:val="14"/>
            </w:pPr>
          </w:p>
        </w:tc>
        <w:tc>
          <w:tcPr>
            <w:tcW w:w="1474" w:type="dxa"/>
            <w:vAlign w:val="center"/>
          </w:tcPr>
          <w:p w14:paraId="3C364CA3">
            <w:pPr>
              <w:pStyle w:val="14"/>
            </w:pPr>
          </w:p>
        </w:tc>
        <w:tc>
          <w:tcPr>
            <w:tcW w:w="1474" w:type="dxa"/>
            <w:vAlign w:val="center"/>
          </w:tcPr>
          <w:p w14:paraId="7FD44CA0">
            <w:pPr>
              <w:pStyle w:val="14"/>
            </w:pPr>
          </w:p>
        </w:tc>
        <w:tc>
          <w:tcPr>
            <w:tcW w:w="1474" w:type="dxa"/>
            <w:vAlign w:val="center"/>
          </w:tcPr>
          <w:p w14:paraId="74AC3721">
            <w:pPr>
              <w:pStyle w:val="14"/>
            </w:pPr>
          </w:p>
        </w:tc>
      </w:tr>
      <w:tr w14:paraId="43FF6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EDD9A">
            <w:pPr>
              <w:pStyle w:val="12"/>
            </w:pPr>
            <w:r>
              <w:t>19</w:t>
            </w:r>
          </w:p>
        </w:tc>
        <w:tc>
          <w:tcPr>
            <w:tcW w:w="3402" w:type="dxa"/>
            <w:vAlign w:val="center"/>
          </w:tcPr>
          <w:p w14:paraId="338A1F22">
            <w:pPr>
              <w:pStyle w:val="13"/>
            </w:pPr>
          </w:p>
        </w:tc>
        <w:tc>
          <w:tcPr>
            <w:tcW w:w="1474" w:type="dxa"/>
            <w:vAlign w:val="center"/>
          </w:tcPr>
          <w:p w14:paraId="625EAB2E">
            <w:pPr>
              <w:pStyle w:val="14"/>
            </w:pPr>
          </w:p>
        </w:tc>
        <w:tc>
          <w:tcPr>
            <w:tcW w:w="3402" w:type="dxa"/>
            <w:vAlign w:val="center"/>
          </w:tcPr>
          <w:p w14:paraId="2C1FE345">
            <w:pPr>
              <w:pStyle w:val="13"/>
            </w:pPr>
            <w:r>
              <w:t>十九、自然资源海洋气象等支出</w:t>
            </w:r>
          </w:p>
        </w:tc>
        <w:tc>
          <w:tcPr>
            <w:tcW w:w="1474" w:type="dxa"/>
            <w:vAlign w:val="center"/>
          </w:tcPr>
          <w:p w14:paraId="02ED0D2D">
            <w:pPr>
              <w:pStyle w:val="14"/>
            </w:pPr>
          </w:p>
        </w:tc>
        <w:tc>
          <w:tcPr>
            <w:tcW w:w="1474" w:type="dxa"/>
            <w:vAlign w:val="center"/>
          </w:tcPr>
          <w:p w14:paraId="212688D6">
            <w:pPr>
              <w:pStyle w:val="14"/>
            </w:pPr>
          </w:p>
        </w:tc>
        <w:tc>
          <w:tcPr>
            <w:tcW w:w="1474" w:type="dxa"/>
            <w:vAlign w:val="center"/>
          </w:tcPr>
          <w:p w14:paraId="5E63F84E">
            <w:pPr>
              <w:pStyle w:val="14"/>
            </w:pPr>
          </w:p>
        </w:tc>
        <w:tc>
          <w:tcPr>
            <w:tcW w:w="1474" w:type="dxa"/>
            <w:vAlign w:val="center"/>
          </w:tcPr>
          <w:p w14:paraId="601F010E">
            <w:pPr>
              <w:pStyle w:val="14"/>
            </w:pPr>
          </w:p>
        </w:tc>
      </w:tr>
      <w:tr w14:paraId="19E12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1B671">
            <w:pPr>
              <w:pStyle w:val="12"/>
            </w:pPr>
            <w:r>
              <w:t>20</w:t>
            </w:r>
          </w:p>
        </w:tc>
        <w:tc>
          <w:tcPr>
            <w:tcW w:w="3402" w:type="dxa"/>
            <w:vAlign w:val="center"/>
          </w:tcPr>
          <w:p w14:paraId="529F5199">
            <w:pPr>
              <w:pStyle w:val="13"/>
            </w:pPr>
          </w:p>
        </w:tc>
        <w:tc>
          <w:tcPr>
            <w:tcW w:w="1474" w:type="dxa"/>
            <w:vAlign w:val="center"/>
          </w:tcPr>
          <w:p w14:paraId="5E230936">
            <w:pPr>
              <w:pStyle w:val="14"/>
            </w:pPr>
          </w:p>
        </w:tc>
        <w:tc>
          <w:tcPr>
            <w:tcW w:w="3402" w:type="dxa"/>
            <w:vAlign w:val="center"/>
          </w:tcPr>
          <w:p w14:paraId="68841406">
            <w:pPr>
              <w:pStyle w:val="13"/>
            </w:pPr>
            <w:r>
              <w:t>二十、住房保障支出</w:t>
            </w:r>
          </w:p>
        </w:tc>
        <w:tc>
          <w:tcPr>
            <w:tcW w:w="1474" w:type="dxa"/>
            <w:vAlign w:val="center"/>
          </w:tcPr>
          <w:p w14:paraId="70B01080">
            <w:pPr>
              <w:pStyle w:val="14"/>
            </w:pPr>
          </w:p>
        </w:tc>
        <w:tc>
          <w:tcPr>
            <w:tcW w:w="1474" w:type="dxa"/>
            <w:vAlign w:val="center"/>
          </w:tcPr>
          <w:p w14:paraId="4B028887">
            <w:pPr>
              <w:pStyle w:val="14"/>
            </w:pPr>
          </w:p>
        </w:tc>
        <w:tc>
          <w:tcPr>
            <w:tcW w:w="1474" w:type="dxa"/>
            <w:vAlign w:val="center"/>
          </w:tcPr>
          <w:p w14:paraId="20175956">
            <w:pPr>
              <w:pStyle w:val="14"/>
            </w:pPr>
          </w:p>
        </w:tc>
        <w:tc>
          <w:tcPr>
            <w:tcW w:w="1474" w:type="dxa"/>
            <w:vAlign w:val="center"/>
          </w:tcPr>
          <w:p w14:paraId="6207BAD3">
            <w:pPr>
              <w:pStyle w:val="14"/>
            </w:pPr>
          </w:p>
        </w:tc>
      </w:tr>
      <w:tr w14:paraId="5C4C6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05E4E">
            <w:pPr>
              <w:pStyle w:val="12"/>
            </w:pPr>
            <w:r>
              <w:t>21</w:t>
            </w:r>
          </w:p>
        </w:tc>
        <w:tc>
          <w:tcPr>
            <w:tcW w:w="3402" w:type="dxa"/>
            <w:vAlign w:val="center"/>
          </w:tcPr>
          <w:p w14:paraId="37F5A05A">
            <w:pPr>
              <w:pStyle w:val="13"/>
            </w:pPr>
          </w:p>
        </w:tc>
        <w:tc>
          <w:tcPr>
            <w:tcW w:w="1474" w:type="dxa"/>
            <w:vAlign w:val="center"/>
          </w:tcPr>
          <w:p w14:paraId="3203E1B7">
            <w:pPr>
              <w:pStyle w:val="14"/>
            </w:pPr>
          </w:p>
        </w:tc>
        <w:tc>
          <w:tcPr>
            <w:tcW w:w="3402" w:type="dxa"/>
            <w:vAlign w:val="center"/>
          </w:tcPr>
          <w:p w14:paraId="4741116C">
            <w:pPr>
              <w:pStyle w:val="13"/>
            </w:pPr>
            <w:r>
              <w:t>二十一、粮油物资储备支出</w:t>
            </w:r>
          </w:p>
        </w:tc>
        <w:tc>
          <w:tcPr>
            <w:tcW w:w="1474" w:type="dxa"/>
            <w:vAlign w:val="center"/>
          </w:tcPr>
          <w:p w14:paraId="784A6156">
            <w:pPr>
              <w:pStyle w:val="14"/>
            </w:pPr>
          </w:p>
        </w:tc>
        <w:tc>
          <w:tcPr>
            <w:tcW w:w="1474" w:type="dxa"/>
            <w:vAlign w:val="center"/>
          </w:tcPr>
          <w:p w14:paraId="2AD5951A">
            <w:pPr>
              <w:pStyle w:val="14"/>
            </w:pPr>
          </w:p>
        </w:tc>
        <w:tc>
          <w:tcPr>
            <w:tcW w:w="1474" w:type="dxa"/>
            <w:vAlign w:val="center"/>
          </w:tcPr>
          <w:p w14:paraId="6248255D">
            <w:pPr>
              <w:pStyle w:val="14"/>
            </w:pPr>
          </w:p>
        </w:tc>
        <w:tc>
          <w:tcPr>
            <w:tcW w:w="1474" w:type="dxa"/>
            <w:vAlign w:val="center"/>
          </w:tcPr>
          <w:p w14:paraId="19A2E532">
            <w:pPr>
              <w:pStyle w:val="14"/>
            </w:pPr>
          </w:p>
        </w:tc>
      </w:tr>
      <w:tr w14:paraId="3D982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4F44E">
            <w:pPr>
              <w:pStyle w:val="12"/>
            </w:pPr>
            <w:r>
              <w:t>22</w:t>
            </w:r>
          </w:p>
        </w:tc>
        <w:tc>
          <w:tcPr>
            <w:tcW w:w="3402" w:type="dxa"/>
            <w:vAlign w:val="center"/>
          </w:tcPr>
          <w:p w14:paraId="65430998">
            <w:pPr>
              <w:pStyle w:val="13"/>
            </w:pPr>
          </w:p>
        </w:tc>
        <w:tc>
          <w:tcPr>
            <w:tcW w:w="1474" w:type="dxa"/>
            <w:vAlign w:val="center"/>
          </w:tcPr>
          <w:p w14:paraId="2D641E71">
            <w:pPr>
              <w:pStyle w:val="14"/>
            </w:pPr>
          </w:p>
        </w:tc>
        <w:tc>
          <w:tcPr>
            <w:tcW w:w="3402" w:type="dxa"/>
            <w:vAlign w:val="center"/>
          </w:tcPr>
          <w:p w14:paraId="4767AF8C">
            <w:pPr>
              <w:pStyle w:val="13"/>
            </w:pPr>
            <w:r>
              <w:t>二十二、国有资本经营预算支出</w:t>
            </w:r>
          </w:p>
        </w:tc>
        <w:tc>
          <w:tcPr>
            <w:tcW w:w="1474" w:type="dxa"/>
            <w:vAlign w:val="center"/>
          </w:tcPr>
          <w:p w14:paraId="31FA1B3C">
            <w:pPr>
              <w:pStyle w:val="14"/>
            </w:pPr>
          </w:p>
        </w:tc>
        <w:tc>
          <w:tcPr>
            <w:tcW w:w="1474" w:type="dxa"/>
            <w:vAlign w:val="center"/>
          </w:tcPr>
          <w:p w14:paraId="1AD8DE74">
            <w:pPr>
              <w:pStyle w:val="14"/>
            </w:pPr>
          </w:p>
        </w:tc>
        <w:tc>
          <w:tcPr>
            <w:tcW w:w="1474" w:type="dxa"/>
            <w:vAlign w:val="center"/>
          </w:tcPr>
          <w:p w14:paraId="662F4CE5">
            <w:pPr>
              <w:pStyle w:val="14"/>
            </w:pPr>
          </w:p>
        </w:tc>
        <w:tc>
          <w:tcPr>
            <w:tcW w:w="1474" w:type="dxa"/>
            <w:vAlign w:val="center"/>
          </w:tcPr>
          <w:p w14:paraId="3DEE516B">
            <w:pPr>
              <w:pStyle w:val="14"/>
            </w:pPr>
          </w:p>
        </w:tc>
      </w:tr>
      <w:tr w14:paraId="53F32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4466C">
            <w:pPr>
              <w:pStyle w:val="12"/>
            </w:pPr>
            <w:r>
              <w:t>23</w:t>
            </w:r>
          </w:p>
        </w:tc>
        <w:tc>
          <w:tcPr>
            <w:tcW w:w="3402" w:type="dxa"/>
            <w:vAlign w:val="center"/>
          </w:tcPr>
          <w:p w14:paraId="4D277BB6">
            <w:pPr>
              <w:pStyle w:val="13"/>
            </w:pPr>
          </w:p>
        </w:tc>
        <w:tc>
          <w:tcPr>
            <w:tcW w:w="1474" w:type="dxa"/>
            <w:vAlign w:val="center"/>
          </w:tcPr>
          <w:p w14:paraId="6576874B">
            <w:pPr>
              <w:pStyle w:val="14"/>
            </w:pPr>
          </w:p>
        </w:tc>
        <w:tc>
          <w:tcPr>
            <w:tcW w:w="3402" w:type="dxa"/>
            <w:vAlign w:val="center"/>
          </w:tcPr>
          <w:p w14:paraId="101C43E5">
            <w:pPr>
              <w:pStyle w:val="13"/>
            </w:pPr>
            <w:r>
              <w:t>二十三、灾害防治及应急管理支出</w:t>
            </w:r>
          </w:p>
        </w:tc>
        <w:tc>
          <w:tcPr>
            <w:tcW w:w="1474" w:type="dxa"/>
            <w:vAlign w:val="center"/>
          </w:tcPr>
          <w:p w14:paraId="2A131F00">
            <w:pPr>
              <w:pStyle w:val="14"/>
            </w:pPr>
          </w:p>
        </w:tc>
        <w:tc>
          <w:tcPr>
            <w:tcW w:w="1474" w:type="dxa"/>
            <w:vAlign w:val="center"/>
          </w:tcPr>
          <w:p w14:paraId="5DA8CA2D">
            <w:pPr>
              <w:pStyle w:val="14"/>
            </w:pPr>
          </w:p>
        </w:tc>
        <w:tc>
          <w:tcPr>
            <w:tcW w:w="1474" w:type="dxa"/>
            <w:vAlign w:val="center"/>
          </w:tcPr>
          <w:p w14:paraId="1E9AD770">
            <w:pPr>
              <w:pStyle w:val="14"/>
            </w:pPr>
          </w:p>
        </w:tc>
        <w:tc>
          <w:tcPr>
            <w:tcW w:w="1474" w:type="dxa"/>
            <w:vAlign w:val="center"/>
          </w:tcPr>
          <w:p w14:paraId="0A6C3B19">
            <w:pPr>
              <w:pStyle w:val="14"/>
            </w:pPr>
          </w:p>
        </w:tc>
      </w:tr>
      <w:tr w14:paraId="2B5CF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14C31C0">
            <w:pPr>
              <w:pStyle w:val="12"/>
            </w:pPr>
            <w:r>
              <w:t>24</w:t>
            </w:r>
          </w:p>
        </w:tc>
        <w:tc>
          <w:tcPr>
            <w:tcW w:w="3402" w:type="dxa"/>
            <w:vAlign w:val="center"/>
          </w:tcPr>
          <w:p w14:paraId="49E7E0A2">
            <w:pPr>
              <w:pStyle w:val="13"/>
            </w:pPr>
          </w:p>
        </w:tc>
        <w:tc>
          <w:tcPr>
            <w:tcW w:w="1474" w:type="dxa"/>
            <w:vAlign w:val="center"/>
          </w:tcPr>
          <w:p w14:paraId="7CD99E0A">
            <w:pPr>
              <w:pStyle w:val="14"/>
            </w:pPr>
          </w:p>
        </w:tc>
        <w:tc>
          <w:tcPr>
            <w:tcW w:w="3402" w:type="dxa"/>
            <w:vAlign w:val="center"/>
          </w:tcPr>
          <w:p w14:paraId="7A51B1FD">
            <w:pPr>
              <w:pStyle w:val="13"/>
            </w:pPr>
            <w:r>
              <w:t>二十四、预备费</w:t>
            </w:r>
          </w:p>
        </w:tc>
        <w:tc>
          <w:tcPr>
            <w:tcW w:w="1474" w:type="dxa"/>
            <w:vAlign w:val="center"/>
          </w:tcPr>
          <w:p w14:paraId="30961547">
            <w:pPr>
              <w:pStyle w:val="14"/>
            </w:pPr>
          </w:p>
        </w:tc>
        <w:tc>
          <w:tcPr>
            <w:tcW w:w="1474" w:type="dxa"/>
            <w:vAlign w:val="center"/>
          </w:tcPr>
          <w:p w14:paraId="1D88C40A">
            <w:pPr>
              <w:pStyle w:val="14"/>
            </w:pPr>
          </w:p>
        </w:tc>
        <w:tc>
          <w:tcPr>
            <w:tcW w:w="1474" w:type="dxa"/>
            <w:vAlign w:val="center"/>
          </w:tcPr>
          <w:p w14:paraId="3F6F4078">
            <w:pPr>
              <w:pStyle w:val="14"/>
            </w:pPr>
          </w:p>
        </w:tc>
        <w:tc>
          <w:tcPr>
            <w:tcW w:w="1474" w:type="dxa"/>
            <w:vAlign w:val="center"/>
          </w:tcPr>
          <w:p w14:paraId="1455457C">
            <w:pPr>
              <w:pStyle w:val="14"/>
            </w:pPr>
          </w:p>
        </w:tc>
      </w:tr>
      <w:tr w14:paraId="38BCA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50145">
            <w:pPr>
              <w:pStyle w:val="12"/>
            </w:pPr>
            <w:r>
              <w:t>25</w:t>
            </w:r>
          </w:p>
        </w:tc>
        <w:tc>
          <w:tcPr>
            <w:tcW w:w="3402" w:type="dxa"/>
            <w:vAlign w:val="center"/>
          </w:tcPr>
          <w:p w14:paraId="7C5213EE">
            <w:pPr>
              <w:pStyle w:val="13"/>
            </w:pPr>
          </w:p>
        </w:tc>
        <w:tc>
          <w:tcPr>
            <w:tcW w:w="1474" w:type="dxa"/>
            <w:vAlign w:val="center"/>
          </w:tcPr>
          <w:p w14:paraId="74DC925D">
            <w:pPr>
              <w:pStyle w:val="14"/>
            </w:pPr>
          </w:p>
        </w:tc>
        <w:tc>
          <w:tcPr>
            <w:tcW w:w="3402" w:type="dxa"/>
            <w:vAlign w:val="center"/>
          </w:tcPr>
          <w:p w14:paraId="0CC7CB7D">
            <w:pPr>
              <w:pStyle w:val="13"/>
            </w:pPr>
            <w:r>
              <w:t>二十五、其他支出</w:t>
            </w:r>
          </w:p>
        </w:tc>
        <w:tc>
          <w:tcPr>
            <w:tcW w:w="1474" w:type="dxa"/>
            <w:vAlign w:val="center"/>
          </w:tcPr>
          <w:p w14:paraId="49D1AF5B">
            <w:pPr>
              <w:pStyle w:val="14"/>
            </w:pPr>
          </w:p>
        </w:tc>
        <w:tc>
          <w:tcPr>
            <w:tcW w:w="1474" w:type="dxa"/>
            <w:vAlign w:val="center"/>
          </w:tcPr>
          <w:p w14:paraId="00B0A550">
            <w:pPr>
              <w:pStyle w:val="14"/>
            </w:pPr>
          </w:p>
        </w:tc>
        <w:tc>
          <w:tcPr>
            <w:tcW w:w="1474" w:type="dxa"/>
            <w:vAlign w:val="center"/>
          </w:tcPr>
          <w:p w14:paraId="1BC62399">
            <w:pPr>
              <w:pStyle w:val="14"/>
            </w:pPr>
          </w:p>
        </w:tc>
        <w:tc>
          <w:tcPr>
            <w:tcW w:w="1474" w:type="dxa"/>
            <w:vAlign w:val="center"/>
          </w:tcPr>
          <w:p w14:paraId="6666C4F6">
            <w:pPr>
              <w:pStyle w:val="14"/>
            </w:pPr>
          </w:p>
        </w:tc>
      </w:tr>
      <w:tr w14:paraId="03F6C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D201B">
            <w:pPr>
              <w:pStyle w:val="12"/>
            </w:pPr>
            <w:r>
              <w:t>26</w:t>
            </w:r>
          </w:p>
        </w:tc>
        <w:tc>
          <w:tcPr>
            <w:tcW w:w="3402" w:type="dxa"/>
            <w:vAlign w:val="center"/>
          </w:tcPr>
          <w:p w14:paraId="1511B1A6">
            <w:pPr>
              <w:pStyle w:val="13"/>
            </w:pPr>
          </w:p>
        </w:tc>
        <w:tc>
          <w:tcPr>
            <w:tcW w:w="1474" w:type="dxa"/>
            <w:vAlign w:val="center"/>
          </w:tcPr>
          <w:p w14:paraId="1162909C">
            <w:pPr>
              <w:pStyle w:val="14"/>
            </w:pPr>
          </w:p>
        </w:tc>
        <w:tc>
          <w:tcPr>
            <w:tcW w:w="3402" w:type="dxa"/>
            <w:vAlign w:val="center"/>
          </w:tcPr>
          <w:p w14:paraId="3A4135F8">
            <w:pPr>
              <w:pStyle w:val="13"/>
            </w:pPr>
            <w:r>
              <w:t>二十六、转移性支出</w:t>
            </w:r>
          </w:p>
        </w:tc>
        <w:tc>
          <w:tcPr>
            <w:tcW w:w="1474" w:type="dxa"/>
            <w:vAlign w:val="center"/>
          </w:tcPr>
          <w:p w14:paraId="78EBD877">
            <w:pPr>
              <w:pStyle w:val="14"/>
            </w:pPr>
          </w:p>
        </w:tc>
        <w:tc>
          <w:tcPr>
            <w:tcW w:w="1474" w:type="dxa"/>
            <w:vAlign w:val="center"/>
          </w:tcPr>
          <w:p w14:paraId="5645F6B0">
            <w:pPr>
              <w:pStyle w:val="14"/>
            </w:pPr>
          </w:p>
        </w:tc>
        <w:tc>
          <w:tcPr>
            <w:tcW w:w="1474" w:type="dxa"/>
            <w:vAlign w:val="center"/>
          </w:tcPr>
          <w:p w14:paraId="614D4399">
            <w:pPr>
              <w:pStyle w:val="14"/>
            </w:pPr>
          </w:p>
        </w:tc>
        <w:tc>
          <w:tcPr>
            <w:tcW w:w="1474" w:type="dxa"/>
            <w:vAlign w:val="center"/>
          </w:tcPr>
          <w:p w14:paraId="273766D8">
            <w:pPr>
              <w:pStyle w:val="14"/>
            </w:pPr>
          </w:p>
        </w:tc>
      </w:tr>
      <w:tr w14:paraId="6B196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50913">
            <w:pPr>
              <w:pStyle w:val="12"/>
            </w:pPr>
            <w:r>
              <w:t>27</w:t>
            </w:r>
          </w:p>
        </w:tc>
        <w:tc>
          <w:tcPr>
            <w:tcW w:w="3402" w:type="dxa"/>
            <w:vAlign w:val="center"/>
          </w:tcPr>
          <w:p w14:paraId="1268C9DB">
            <w:pPr>
              <w:pStyle w:val="13"/>
            </w:pPr>
          </w:p>
        </w:tc>
        <w:tc>
          <w:tcPr>
            <w:tcW w:w="1474" w:type="dxa"/>
            <w:vAlign w:val="center"/>
          </w:tcPr>
          <w:p w14:paraId="3804FB79">
            <w:pPr>
              <w:pStyle w:val="14"/>
            </w:pPr>
          </w:p>
        </w:tc>
        <w:tc>
          <w:tcPr>
            <w:tcW w:w="3402" w:type="dxa"/>
            <w:vAlign w:val="center"/>
          </w:tcPr>
          <w:p w14:paraId="108CF012">
            <w:pPr>
              <w:pStyle w:val="13"/>
            </w:pPr>
            <w:r>
              <w:t>二十七、债务还本支出</w:t>
            </w:r>
          </w:p>
        </w:tc>
        <w:tc>
          <w:tcPr>
            <w:tcW w:w="1474" w:type="dxa"/>
            <w:vAlign w:val="center"/>
          </w:tcPr>
          <w:p w14:paraId="2DFEF559">
            <w:pPr>
              <w:pStyle w:val="14"/>
            </w:pPr>
          </w:p>
        </w:tc>
        <w:tc>
          <w:tcPr>
            <w:tcW w:w="1474" w:type="dxa"/>
            <w:vAlign w:val="center"/>
          </w:tcPr>
          <w:p w14:paraId="7FF81CCD">
            <w:pPr>
              <w:pStyle w:val="14"/>
            </w:pPr>
          </w:p>
        </w:tc>
        <w:tc>
          <w:tcPr>
            <w:tcW w:w="1474" w:type="dxa"/>
            <w:vAlign w:val="center"/>
          </w:tcPr>
          <w:p w14:paraId="31D69926">
            <w:pPr>
              <w:pStyle w:val="14"/>
            </w:pPr>
          </w:p>
        </w:tc>
        <w:tc>
          <w:tcPr>
            <w:tcW w:w="1474" w:type="dxa"/>
            <w:vAlign w:val="center"/>
          </w:tcPr>
          <w:p w14:paraId="72FF685D">
            <w:pPr>
              <w:pStyle w:val="14"/>
            </w:pPr>
          </w:p>
        </w:tc>
      </w:tr>
      <w:tr w14:paraId="04750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523D4">
            <w:pPr>
              <w:pStyle w:val="12"/>
            </w:pPr>
            <w:r>
              <w:t>28</w:t>
            </w:r>
          </w:p>
        </w:tc>
        <w:tc>
          <w:tcPr>
            <w:tcW w:w="3402" w:type="dxa"/>
            <w:vAlign w:val="center"/>
          </w:tcPr>
          <w:p w14:paraId="79EF2673">
            <w:pPr>
              <w:pStyle w:val="13"/>
            </w:pPr>
          </w:p>
        </w:tc>
        <w:tc>
          <w:tcPr>
            <w:tcW w:w="1474" w:type="dxa"/>
            <w:vAlign w:val="center"/>
          </w:tcPr>
          <w:p w14:paraId="4C8E6771">
            <w:pPr>
              <w:pStyle w:val="14"/>
            </w:pPr>
          </w:p>
        </w:tc>
        <w:tc>
          <w:tcPr>
            <w:tcW w:w="3402" w:type="dxa"/>
            <w:vAlign w:val="center"/>
          </w:tcPr>
          <w:p w14:paraId="0974F168">
            <w:pPr>
              <w:pStyle w:val="13"/>
            </w:pPr>
            <w:r>
              <w:t>二十八、债务付息支出</w:t>
            </w:r>
          </w:p>
        </w:tc>
        <w:tc>
          <w:tcPr>
            <w:tcW w:w="1474" w:type="dxa"/>
            <w:vAlign w:val="center"/>
          </w:tcPr>
          <w:p w14:paraId="6A9FA39E">
            <w:pPr>
              <w:pStyle w:val="14"/>
            </w:pPr>
          </w:p>
        </w:tc>
        <w:tc>
          <w:tcPr>
            <w:tcW w:w="1474" w:type="dxa"/>
            <w:vAlign w:val="center"/>
          </w:tcPr>
          <w:p w14:paraId="76621379">
            <w:pPr>
              <w:pStyle w:val="14"/>
            </w:pPr>
          </w:p>
        </w:tc>
        <w:tc>
          <w:tcPr>
            <w:tcW w:w="1474" w:type="dxa"/>
            <w:vAlign w:val="center"/>
          </w:tcPr>
          <w:p w14:paraId="73F65F1A">
            <w:pPr>
              <w:pStyle w:val="14"/>
            </w:pPr>
          </w:p>
        </w:tc>
        <w:tc>
          <w:tcPr>
            <w:tcW w:w="1474" w:type="dxa"/>
            <w:vAlign w:val="center"/>
          </w:tcPr>
          <w:p w14:paraId="5A2B2C51">
            <w:pPr>
              <w:pStyle w:val="14"/>
            </w:pPr>
          </w:p>
        </w:tc>
      </w:tr>
      <w:tr w14:paraId="34D0A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E1169">
            <w:pPr>
              <w:pStyle w:val="12"/>
            </w:pPr>
            <w:r>
              <w:t>29</w:t>
            </w:r>
          </w:p>
        </w:tc>
        <w:tc>
          <w:tcPr>
            <w:tcW w:w="3402" w:type="dxa"/>
            <w:vAlign w:val="center"/>
          </w:tcPr>
          <w:p w14:paraId="16BF7C5F">
            <w:pPr>
              <w:pStyle w:val="13"/>
            </w:pPr>
          </w:p>
        </w:tc>
        <w:tc>
          <w:tcPr>
            <w:tcW w:w="1474" w:type="dxa"/>
            <w:vAlign w:val="center"/>
          </w:tcPr>
          <w:p w14:paraId="6C805463">
            <w:pPr>
              <w:pStyle w:val="14"/>
            </w:pPr>
          </w:p>
        </w:tc>
        <w:tc>
          <w:tcPr>
            <w:tcW w:w="3402" w:type="dxa"/>
            <w:vAlign w:val="center"/>
          </w:tcPr>
          <w:p w14:paraId="6E53678F">
            <w:pPr>
              <w:pStyle w:val="13"/>
            </w:pPr>
            <w:r>
              <w:t>二十九、债务发行费用支出</w:t>
            </w:r>
          </w:p>
        </w:tc>
        <w:tc>
          <w:tcPr>
            <w:tcW w:w="1474" w:type="dxa"/>
            <w:vAlign w:val="center"/>
          </w:tcPr>
          <w:p w14:paraId="573244D8">
            <w:pPr>
              <w:pStyle w:val="14"/>
            </w:pPr>
          </w:p>
        </w:tc>
        <w:tc>
          <w:tcPr>
            <w:tcW w:w="1474" w:type="dxa"/>
            <w:vAlign w:val="center"/>
          </w:tcPr>
          <w:p w14:paraId="46A5F9D7">
            <w:pPr>
              <w:pStyle w:val="14"/>
            </w:pPr>
          </w:p>
        </w:tc>
        <w:tc>
          <w:tcPr>
            <w:tcW w:w="1474" w:type="dxa"/>
            <w:vAlign w:val="center"/>
          </w:tcPr>
          <w:p w14:paraId="5DF9D254">
            <w:pPr>
              <w:pStyle w:val="14"/>
            </w:pPr>
          </w:p>
        </w:tc>
        <w:tc>
          <w:tcPr>
            <w:tcW w:w="1474" w:type="dxa"/>
            <w:vAlign w:val="center"/>
          </w:tcPr>
          <w:p w14:paraId="136CF997">
            <w:pPr>
              <w:pStyle w:val="14"/>
            </w:pPr>
          </w:p>
        </w:tc>
      </w:tr>
      <w:tr w14:paraId="3349D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530EF">
            <w:pPr>
              <w:pStyle w:val="12"/>
            </w:pPr>
            <w:r>
              <w:t>30</w:t>
            </w:r>
          </w:p>
        </w:tc>
        <w:tc>
          <w:tcPr>
            <w:tcW w:w="3402" w:type="dxa"/>
            <w:vAlign w:val="center"/>
          </w:tcPr>
          <w:p w14:paraId="5CB76F94">
            <w:pPr>
              <w:pStyle w:val="13"/>
            </w:pPr>
          </w:p>
        </w:tc>
        <w:tc>
          <w:tcPr>
            <w:tcW w:w="1474" w:type="dxa"/>
            <w:vAlign w:val="center"/>
          </w:tcPr>
          <w:p w14:paraId="533E1A41">
            <w:pPr>
              <w:pStyle w:val="14"/>
            </w:pPr>
          </w:p>
        </w:tc>
        <w:tc>
          <w:tcPr>
            <w:tcW w:w="3402" w:type="dxa"/>
            <w:vAlign w:val="center"/>
          </w:tcPr>
          <w:p w14:paraId="7AA7190D">
            <w:pPr>
              <w:pStyle w:val="13"/>
            </w:pPr>
            <w:r>
              <w:t>三十、抗疫特别国债安排的支出</w:t>
            </w:r>
          </w:p>
        </w:tc>
        <w:tc>
          <w:tcPr>
            <w:tcW w:w="1474" w:type="dxa"/>
            <w:vAlign w:val="center"/>
          </w:tcPr>
          <w:p w14:paraId="463E0E5E">
            <w:pPr>
              <w:pStyle w:val="14"/>
            </w:pPr>
          </w:p>
        </w:tc>
        <w:tc>
          <w:tcPr>
            <w:tcW w:w="1474" w:type="dxa"/>
            <w:vAlign w:val="center"/>
          </w:tcPr>
          <w:p w14:paraId="5335CD92">
            <w:pPr>
              <w:pStyle w:val="14"/>
            </w:pPr>
          </w:p>
        </w:tc>
        <w:tc>
          <w:tcPr>
            <w:tcW w:w="1474" w:type="dxa"/>
            <w:vAlign w:val="center"/>
          </w:tcPr>
          <w:p w14:paraId="6EBAABE8">
            <w:pPr>
              <w:pStyle w:val="14"/>
            </w:pPr>
          </w:p>
        </w:tc>
        <w:tc>
          <w:tcPr>
            <w:tcW w:w="1474" w:type="dxa"/>
            <w:vAlign w:val="center"/>
          </w:tcPr>
          <w:p w14:paraId="15549B02">
            <w:pPr>
              <w:pStyle w:val="14"/>
            </w:pPr>
          </w:p>
        </w:tc>
      </w:tr>
      <w:tr w14:paraId="3A6F3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55D4C">
            <w:pPr>
              <w:pStyle w:val="12"/>
            </w:pPr>
            <w:r>
              <w:t>31</w:t>
            </w:r>
          </w:p>
        </w:tc>
        <w:tc>
          <w:tcPr>
            <w:tcW w:w="3402" w:type="dxa"/>
            <w:vAlign w:val="center"/>
          </w:tcPr>
          <w:p w14:paraId="55BDDAAE">
            <w:pPr>
              <w:pStyle w:val="13"/>
            </w:pPr>
          </w:p>
        </w:tc>
        <w:tc>
          <w:tcPr>
            <w:tcW w:w="1474" w:type="dxa"/>
            <w:vAlign w:val="center"/>
          </w:tcPr>
          <w:p w14:paraId="3044EDE4">
            <w:pPr>
              <w:pStyle w:val="14"/>
            </w:pPr>
          </w:p>
        </w:tc>
        <w:tc>
          <w:tcPr>
            <w:tcW w:w="3402" w:type="dxa"/>
            <w:vAlign w:val="center"/>
          </w:tcPr>
          <w:p w14:paraId="3DAFDFC9">
            <w:pPr>
              <w:pStyle w:val="13"/>
            </w:pPr>
            <w:r>
              <w:t>三十一、人行科目</w:t>
            </w:r>
          </w:p>
        </w:tc>
        <w:tc>
          <w:tcPr>
            <w:tcW w:w="1474" w:type="dxa"/>
            <w:vAlign w:val="center"/>
          </w:tcPr>
          <w:p w14:paraId="03BC478D">
            <w:pPr>
              <w:pStyle w:val="14"/>
            </w:pPr>
          </w:p>
        </w:tc>
        <w:tc>
          <w:tcPr>
            <w:tcW w:w="1474" w:type="dxa"/>
            <w:vAlign w:val="center"/>
          </w:tcPr>
          <w:p w14:paraId="705D8B96">
            <w:pPr>
              <w:pStyle w:val="14"/>
            </w:pPr>
          </w:p>
        </w:tc>
        <w:tc>
          <w:tcPr>
            <w:tcW w:w="1474" w:type="dxa"/>
            <w:vAlign w:val="center"/>
          </w:tcPr>
          <w:p w14:paraId="2E96D33F">
            <w:pPr>
              <w:pStyle w:val="14"/>
            </w:pPr>
          </w:p>
        </w:tc>
        <w:tc>
          <w:tcPr>
            <w:tcW w:w="1474" w:type="dxa"/>
            <w:vAlign w:val="center"/>
          </w:tcPr>
          <w:p w14:paraId="4F83A079">
            <w:pPr>
              <w:pStyle w:val="14"/>
            </w:pPr>
          </w:p>
        </w:tc>
      </w:tr>
      <w:tr w14:paraId="138EA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758FD">
            <w:pPr>
              <w:pStyle w:val="12"/>
            </w:pPr>
            <w:r>
              <w:t>32</w:t>
            </w:r>
          </w:p>
        </w:tc>
        <w:tc>
          <w:tcPr>
            <w:tcW w:w="3402" w:type="dxa"/>
            <w:vAlign w:val="center"/>
          </w:tcPr>
          <w:p w14:paraId="15C16127">
            <w:pPr>
              <w:pStyle w:val="15"/>
            </w:pPr>
            <w:r>
              <w:t>本年收入合计</w:t>
            </w:r>
          </w:p>
        </w:tc>
        <w:tc>
          <w:tcPr>
            <w:tcW w:w="1474" w:type="dxa"/>
            <w:vAlign w:val="center"/>
          </w:tcPr>
          <w:p w14:paraId="62A02BDD">
            <w:pPr>
              <w:pStyle w:val="16"/>
            </w:pPr>
            <w:r>
              <w:t>191.56</w:t>
            </w:r>
          </w:p>
        </w:tc>
        <w:tc>
          <w:tcPr>
            <w:tcW w:w="3402" w:type="dxa"/>
            <w:vAlign w:val="center"/>
          </w:tcPr>
          <w:p w14:paraId="75A3738E">
            <w:pPr>
              <w:pStyle w:val="15"/>
            </w:pPr>
            <w:r>
              <w:t>本年支出合计</w:t>
            </w:r>
          </w:p>
        </w:tc>
        <w:tc>
          <w:tcPr>
            <w:tcW w:w="1474" w:type="dxa"/>
            <w:vAlign w:val="center"/>
          </w:tcPr>
          <w:p w14:paraId="0CAAA0C0">
            <w:pPr>
              <w:pStyle w:val="16"/>
            </w:pPr>
            <w:r>
              <w:t>191.56</w:t>
            </w:r>
          </w:p>
        </w:tc>
        <w:tc>
          <w:tcPr>
            <w:tcW w:w="1474" w:type="dxa"/>
            <w:vAlign w:val="center"/>
          </w:tcPr>
          <w:p w14:paraId="25D40B3F">
            <w:pPr>
              <w:pStyle w:val="16"/>
            </w:pPr>
            <w:r>
              <w:t>191.56</w:t>
            </w:r>
          </w:p>
        </w:tc>
        <w:tc>
          <w:tcPr>
            <w:tcW w:w="1474" w:type="dxa"/>
            <w:vAlign w:val="center"/>
          </w:tcPr>
          <w:p w14:paraId="06889C89">
            <w:pPr>
              <w:pStyle w:val="16"/>
            </w:pPr>
          </w:p>
        </w:tc>
        <w:tc>
          <w:tcPr>
            <w:tcW w:w="1474" w:type="dxa"/>
            <w:vAlign w:val="center"/>
          </w:tcPr>
          <w:p w14:paraId="564992FA">
            <w:pPr>
              <w:pStyle w:val="16"/>
            </w:pPr>
          </w:p>
        </w:tc>
      </w:tr>
      <w:tr w14:paraId="48CBE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150ED">
            <w:pPr>
              <w:pStyle w:val="12"/>
            </w:pPr>
            <w:r>
              <w:t>33</w:t>
            </w:r>
          </w:p>
        </w:tc>
        <w:tc>
          <w:tcPr>
            <w:tcW w:w="3402" w:type="dxa"/>
            <w:vAlign w:val="center"/>
          </w:tcPr>
          <w:p w14:paraId="1E67EB6D">
            <w:pPr>
              <w:pStyle w:val="13"/>
            </w:pPr>
            <w:r>
              <w:t>年初财政拨款结转和结余</w:t>
            </w:r>
          </w:p>
        </w:tc>
        <w:tc>
          <w:tcPr>
            <w:tcW w:w="1474" w:type="dxa"/>
            <w:vAlign w:val="center"/>
          </w:tcPr>
          <w:p w14:paraId="31F35E03">
            <w:pPr>
              <w:pStyle w:val="14"/>
            </w:pPr>
          </w:p>
        </w:tc>
        <w:tc>
          <w:tcPr>
            <w:tcW w:w="3402" w:type="dxa"/>
            <w:vAlign w:val="center"/>
          </w:tcPr>
          <w:p w14:paraId="433703B6">
            <w:pPr>
              <w:pStyle w:val="13"/>
            </w:pPr>
            <w:r>
              <w:t>年末财政拨款结转和结余</w:t>
            </w:r>
          </w:p>
        </w:tc>
        <w:tc>
          <w:tcPr>
            <w:tcW w:w="1474" w:type="dxa"/>
            <w:vAlign w:val="center"/>
          </w:tcPr>
          <w:p w14:paraId="4267D5F3">
            <w:pPr>
              <w:pStyle w:val="14"/>
            </w:pPr>
          </w:p>
        </w:tc>
        <w:tc>
          <w:tcPr>
            <w:tcW w:w="1474" w:type="dxa"/>
            <w:vAlign w:val="center"/>
          </w:tcPr>
          <w:p w14:paraId="4BCA1F34">
            <w:pPr>
              <w:pStyle w:val="14"/>
            </w:pPr>
          </w:p>
        </w:tc>
        <w:tc>
          <w:tcPr>
            <w:tcW w:w="1474" w:type="dxa"/>
            <w:vAlign w:val="center"/>
          </w:tcPr>
          <w:p w14:paraId="534F2FA5">
            <w:pPr>
              <w:pStyle w:val="14"/>
            </w:pPr>
          </w:p>
        </w:tc>
        <w:tc>
          <w:tcPr>
            <w:tcW w:w="1474" w:type="dxa"/>
            <w:vAlign w:val="center"/>
          </w:tcPr>
          <w:p w14:paraId="0F36AE53">
            <w:pPr>
              <w:pStyle w:val="14"/>
            </w:pPr>
          </w:p>
        </w:tc>
      </w:tr>
      <w:tr w14:paraId="004C7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B904C">
            <w:pPr>
              <w:pStyle w:val="12"/>
            </w:pPr>
            <w:r>
              <w:t>34</w:t>
            </w:r>
          </w:p>
        </w:tc>
        <w:tc>
          <w:tcPr>
            <w:tcW w:w="3402" w:type="dxa"/>
            <w:vAlign w:val="center"/>
          </w:tcPr>
          <w:p w14:paraId="672DEFEA">
            <w:pPr>
              <w:pStyle w:val="13"/>
            </w:pPr>
            <w:r>
              <w:t>一、一般公共预算拨款</w:t>
            </w:r>
          </w:p>
        </w:tc>
        <w:tc>
          <w:tcPr>
            <w:tcW w:w="1474" w:type="dxa"/>
            <w:vAlign w:val="center"/>
          </w:tcPr>
          <w:p w14:paraId="57021B45">
            <w:pPr>
              <w:pStyle w:val="14"/>
            </w:pPr>
          </w:p>
        </w:tc>
        <w:tc>
          <w:tcPr>
            <w:tcW w:w="3402" w:type="dxa"/>
            <w:vAlign w:val="center"/>
          </w:tcPr>
          <w:p w14:paraId="091BD92A">
            <w:pPr>
              <w:pStyle w:val="13"/>
            </w:pPr>
          </w:p>
        </w:tc>
        <w:tc>
          <w:tcPr>
            <w:tcW w:w="1474" w:type="dxa"/>
            <w:vAlign w:val="center"/>
          </w:tcPr>
          <w:p w14:paraId="4AC2586C">
            <w:pPr>
              <w:pStyle w:val="14"/>
            </w:pPr>
          </w:p>
        </w:tc>
        <w:tc>
          <w:tcPr>
            <w:tcW w:w="1474" w:type="dxa"/>
            <w:vAlign w:val="center"/>
          </w:tcPr>
          <w:p w14:paraId="57784DDC">
            <w:pPr>
              <w:pStyle w:val="14"/>
            </w:pPr>
          </w:p>
        </w:tc>
        <w:tc>
          <w:tcPr>
            <w:tcW w:w="1474" w:type="dxa"/>
            <w:vAlign w:val="center"/>
          </w:tcPr>
          <w:p w14:paraId="4C52BC22">
            <w:pPr>
              <w:pStyle w:val="14"/>
            </w:pPr>
          </w:p>
        </w:tc>
        <w:tc>
          <w:tcPr>
            <w:tcW w:w="1474" w:type="dxa"/>
            <w:vAlign w:val="center"/>
          </w:tcPr>
          <w:p w14:paraId="75362561">
            <w:pPr>
              <w:pStyle w:val="14"/>
            </w:pPr>
          </w:p>
        </w:tc>
      </w:tr>
      <w:tr w14:paraId="6DC67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75EEF">
            <w:pPr>
              <w:pStyle w:val="12"/>
            </w:pPr>
            <w:r>
              <w:t>35</w:t>
            </w:r>
          </w:p>
        </w:tc>
        <w:tc>
          <w:tcPr>
            <w:tcW w:w="3402" w:type="dxa"/>
            <w:vAlign w:val="center"/>
          </w:tcPr>
          <w:p w14:paraId="5AA43748">
            <w:pPr>
              <w:pStyle w:val="13"/>
            </w:pPr>
            <w:r>
              <w:t>二、政府性基金预算拨款</w:t>
            </w:r>
          </w:p>
        </w:tc>
        <w:tc>
          <w:tcPr>
            <w:tcW w:w="1474" w:type="dxa"/>
            <w:vAlign w:val="center"/>
          </w:tcPr>
          <w:p w14:paraId="1EA6F30A">
            <w:pPr>
              <w:pStyle w:val="14"/>
            </w:pPr>
          </w:p>
        </w:tc>
        <w:tc>
          <w:tcPr>
            <w:tcW w:w="3402" w:type="dxa"/>
            <w:vAlign w:val="center"/>
          </w:tcPr>
          <w:p w14:paraId="15C1996E">
            <w:pPr>
              <w:pStyle w:val="13"/>
            </w:pPr>
          </w:p>
        </w:tc>
        <w:tc>
          <w:tcPr>
            <w:tcW w:w="1474" w:type="dxa"/>
            <w:vAlign w:val="center"/>
          </w:tcPr>
          <w:p w14:paraId="768FD6FB">
            <w:pPr>
              <w:pStyle w:val="14"/>
            </w:pPr>
          </w:p>
        </w:tc>
        <w:tc>
          <w:tcPr>
            <w:tcW w:w="1474" w:type="dxa"/>
            <w:vAlign w:val="center"/>
          </w:tcPr>
          <w:p w14:paraId="58B42DBE">
            <w:pPr>
              <w:pStyle w:val="14"/>
            </w:pPr>
          </w:p>
        </w:tc>
        <w:tc>
          <w:tcPr>
            <w:tcW w:w="1474" w:type="dxa"/>
            <w:vAlign w:val="center"/>
          </w:tcPr>
          <w:p w14:paraId="1EE8AD47">
            <w:pPr>
              <w:pStyle w:val="14"/>
            </w:pPr>
          </w:p>
        </w:tc>
        <w:tc>
          <w:tcPr>
            <w:tcW w:w="1474" w:type="dxa"/>
            <w:vAlign w:val="center"/>
          </w:tcPr>
          <w:p w14:paraId="66BEC95A">
            <w:pPr>
              <w:pStyle w:val="14"/>
            </w:pPr>
          </w:p>
        </w:tc>
      </w:tr>
      <w:tr w14:paraId="571A3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6DA40">
            <w:pPr>
              <w:pStyle w:val="12"/>
            </w:pPr>
            <w:r>
              <w:t>36</w:t>
            </w:r>
          </w:p>
        </w:tc>
        <w:tc>
          <w:tcPr>
            <w:tcW w:w="3402" w:type="dxa"/>
            <w:vAlign w:val="center"/>
          </w:tcPr>
          <w:p w14:paraId="7DD42EC8">
            <w:pPr>
              <w:pStyle w:val="13"/>
            </w:pPr>
            <w:r>
              <w:t>三、国有资本经营预算拨款</w:t>
            </w:r>
          </w:p>
        </w:tc>
        <w:tc>
          <w:tcPr>
            <w:tcW w:w="1474" w:type="dxa"/>
            <w:vAlign w:val="center"/>
          </w:tcPr>
          <w:p w14:paraId="10F63604">
            <w:pPr>
              <w:pStyle w:val="14"/>
            </w:pPr>
          </w:p>
        </w:tc>
        <w:tc>
          <w:tcPr>
            <w:tcW w:w="3402" w:type="dxa"/>
            <w:vAlign w:val="center"/>
          </w:tcPr>
          <w:p w14:paraId="57A5511D">
            <w:pPr>
              <w:pStyle w:val="13"/>
            </w:pPr>
          </w:p>
        </w:tc>
        <w:tc>
          <w:tcPr>
            <w:tcW w:w="1474" w:type="dxa"/>
            <w:vAlign w:val="center"/>
          </w:tcPr>
          <w:p w14:paraId="25ED0C01">
            <w:pPr>
              <w:pStyle w:val="14"/>
            </w:pPr>
          </w:p>
        </w:tc>
        <w:tc>
          <w:tcPr>
            <w:tcW w:w="1474" w:type="dxa"/>
            <w:vAlign w:val="center"/>
          </w:tcPr>
          <w:p w14:paraId="74643254">
            <w:pPr>
              <w:pStyle w:val="14"/>
            </w:pPr>
          </w:p>
        </w:tc>
        <w:tc>
          <w:tcPr>
            <w:tcW w:w="1474" w:type="dxa"/>
            <w:vAlign w:val="center"/>
          </w:tcPr>
          <w:p w14:paraId="03F269E4">
            <w:pPr>
              <w:pStyle w:val="14"/>
            </w:pPr>
          </w:p>
        </w:tc>
        <w:tc>
          <w:tcPr>
            <w:tcW w:w="1474" w:type="dxa"/>
            <w:vAlign w:val="center"/>
          </w:tcPr>
          <w:p w14:paraId="51137FD2">
            <w:pPr>
              <w:pStyle w:val="14"/>
            </w:pPr>
          </w:p>
        </w:tc>
      </w:tr>
      <w:tr w14:paraId="2F6BE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6094D">
            <w:pPr>
              <w:pStyle w:val="12"/>
            </w:pPr>
            <w:r>
              <w:t>37</w:t>
            </w:r>
          </w:p>
        </w:tc>
        <w:tc>
          <w:tcPr>
            <w:tcW w:w="3402" w:type="dxa"/>
            <w:vAlign w:val="center"/>
          </w:tcPr>
          <w:p w14:paraId="24BE35F0">
            <w:pPr>
              <w:pStyle w:val="15"/>
            </w:pPr>
            <w:r>
              <w:t>收入总计</w:t>
            </w:r>
          </w:p>
        </w:tc>
        <w:tc>
          <w:tcPr>
            <w:tcW w:w="1474" w:type="dxa"/>
            <w:vAlign w:val="center"/>
          </w:tcPr>
          <w:p w14:paraId="12AC1996">
            <w:pPr>
              <w:pStyle w:val="16"/>
            </w:pPr>
            <w:r>
              <w:t>191.56</w:t>
            </w:r>
          </w:p>
        </w:tc>
        <w:tc>
          <w:tcPr>
            <w:tcW w:w="3402" w:type="dxa"/>
            <w:vAlign w:val="center"/>
          </w:tcPr>
          <w:p w14:paraId="0C8419E4">
            <w:pPr>
              <w:pStyle w:val="15"/>
            </w:pPr>
            <w:r>
              <w:t>支出总计</w:t>
            </w:r>
          </w:p>
        </w:tc>
        <w:tc>
          <w:tcPr>
            <w:tcW w:w="1474" w:type="dxa"/>
            <w:vAlign w:val="center"/>
          </w:tcPr>
          <w:p w14:paraId="469CB441">
            <w:pPr>
              <w:pStyle w:val="16"/>
            </w:pPr>
            <w:r>
              <w:t>191.56</w:t>
            </w:r>
          </w:p>
        </w:tc>
        <w:tc>
          <w:tcPr>
            <w:tcW w:w="1474" w:type="dxa"/>
            <w:vAlign w:val="center"/>
          </w:tcPr>
          <w:p w14:paraId="1B4A5079">
            <w:pPr>
              <w:pStyle w:val="16"/>
            </w:pPr>
            <w:r>
              <w:t>191.56</w:t>
            </w:r>
          </w:p>
        </w:tc>
        <w:tc>
          <w:tcPr>
            <w:tcW w:w="1474" w:type="dxa"/>
            <w:vAlign w:val="center"/>
          </w:tcPr>
          <w:p w14:paraId="6F0C03DC">
            <w:pPr>
              <w:pStyle w:val="16"/>
            </w:pPr>
          </w:p>
        </w:tc>
        <w:tc>
          <w:tcPr>
            <w:tcW w:w="1474" w:type="dxa"/>
            <w:vAlign w:val="center"/>
          </w:tcPr>
          <w:p w14:paraId="60364251">
            <w:pPr>
              <w:pStyle w:val="16"/>
            </w:pPr>
          </w:p>
        </w:tc>
      </w:tr>
    </w:tbl>
    <w:p w14:paraId="4A1B43E9">
      <w:pPr>
        <w:sectPr>
          <w:pgSz w:w="16840" w:h="11900" w:orient="landscape"/>
          <w:pgMar w:top="1361" w:right="1020" w:bottom="1134" w:left="1020" w:header="720" w:footer="720" w:gutter="0"/>
          <w:cols w:space="720" w:num="1"/>
        </w:sectPr>
      </w:pPr>
    </w:p>
    <w:p w14:paraId="568D7E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1DC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C7CAD5">
            <w:pPr>
              <w:pStyle w:val="8"/>
            </w:pPr>
            <w:r>
              <w:t>360012隆尧县特殊教育学校</w:t>
            </w:r>
          </w:p>
        </w:tc>
        <w:tc>
          <w:tcPr>
            <w:tcW w:w="2551" w:type="dxa"/>
            <w:tcBorders>
              <w:top w:val="single" w:color="FFFFFF" w:sz="6" w:space="0"/>
              <w:left w:val="single" w:color="FFFFFF" w:sz="6" w:space="0"/>
              <w:right w:val="single" w:color="FFFFFF" w:sz="6" w:space="0"/>
            </w:tcBorders>
            <w:vAlign w:val="center"/>
          </w:tcPr>
          <w:p w14:paraId="2A7822B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B54DF08">
            <w:pPr>
              <w:pStyle w:val="10"/>
            </w:pPr>
            <w:r>
              <w:t>单位：万元</w:t>
            </w:r>
          </w:p>
        </w:tc>
      </w:tr>
      <w:tr w14:paraId="2FE5A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38CA71">
            <w:pPr>
              <w:pStyle w:val="11"/>
            </w:pPr>
            <w:r>
              <w:t>序号</w:t>
            </w:r>
          </w:p>
        </w:tc>
        <w:tc>
          <w:tcPr>
            <w:tcW w:w="5726" w:type="dxa"/>
            <w:gridSpan w:val="2"/>
            <w:vAlign w:val="center"/>
          </w:tcPr>
          <w:p w14:paraId="54A64308">
            <w:pPr>
              <w:pStyle w:val="11"/>
            </w:pPr>
            <w:r>
              <w:t>功能分类科目</w:t>
            </w:r>
          </w:p>
        </w:tc>
        <w:tc>
          <w:tcPr>
            <w:tcW w:w="2551" w:type="dxa"/>
            <w:vMerge w:val="restart"/>
            <w:vAlign w:val="center"/>
          </w:tcPr>
          <w:p w14:paraId="4C72D76F">
            <w:pPr>
              <w:pStyle w:val="11"/>
            </w:pPr>
            <w:r>
              <w:t>合计</w:t>
            </w:r>
          </w:p>
        </w:tc>
        <w:tc>
          <w:tcPr>
            <w:tcW w:w="2551" w:type="dxa"/>
            <w:vMerge w:val="restart"/>
            <w:vAlign w:val="center"/>
          </w:tcPr>
          <w:p w14:paraId="3FD13B44">
            <w:pPr>
              <w:pStyle w:val="11"/>
            </w:pPr>
            <w:r>
              <w:t>基本支出</w:t>
            </w:r>
          </w:p>
        </w:tc>
        <w:tc>
          <w:tcPr>
            <w:tcW w:w="2551" w:type="dxa"/>
            <w:vMerge w:val="restart"/>
            <w:vAlign w:val="center"/>
          </w:tcPr>
          <w:p w14:paraId="389716CE">
            <w:pPr>
              <w:pStyle w:val="11"/>
            </w:pPr>
            <w:r>
              <w:t>项目支出</w:t>
            </w:r>
          </w:p>
        </w:tc>
      </w:tr>
      <w:tr w14:paraId="504E2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F4C4D"/>
        </w:tc>
        <w:tc>
          <w:tcPr>
            <w:tcW w:w="1191" w:type="dxa"/>
            <w:vAlign w:val="center"/>
          </w:tcPr>
          <w:p w14:paraId="5A3C712B">
            <w:pPr>
              <w:pStyle w:val="11"/>
            </w:pPr>
            <w:r>
              <w:t>科目编码</w:t>
            </w:r>
          </w:p>
        </w:tc>
        <w:tc>
          <w:tcPr>
            <w:tcW w:w="4535" w:type="dxa"/>
            <w:vAlign w:val="center"/>
          </w:tcPr>
          <w:p w14:paraId="14BA0E44">
            <w:pPr>
              <w:pStyle w:val="11"/>
            </w:pPr>
            <w:r>
              <w:t>科目名称</w:t>
            </w:r>
          </w:p>
        </w:tc>
        <w:tc>
          <w:tcPr>
            <w:tcW w:w="2551" w:type="dxa"/>
            <w:vMerge w:val="continue"/>
          </w:tcPr>
          <w:p w14:paraId="6E371A20"/>
        </w:tc>
        <w:tc>
          <w:tcPr>
            <w:tcW w:w="2551" w:type="dxa"/>
            <w:vMerge w:val="continue"/>
          </w:tcPr>
          <w:p w14:paraId="23E3C83B"/>
        </w:tc>
        <w:tc>
          <w:tcPr>
            <w:tcW w:w="2551" w:type="dxa"/>
            <w:vMerge w:val="continue"/>
          </w:tcPr>
          <w:p w14:paraId="20FCEDFA"/>
        </w:tc>
      </w:tr>
      <w:tr w14:paraId="36915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7A58D9">
            <w:pPr>
              <w:pStyle w:val="11"/>
            </w:pPr>
            <w:r>
              <w:t>栏次</w:t>
            </w:r>
          </w:p>
        </w:tc>
        <w:tc>
          <w:tcPr>
            <w:tcW w:w="1191" w:type="dxa"/>
            <w:vAlign w:val="center"/>
          </w:tcPr>
          <w:p w14:paraId="44D8D5DB">
            <w:pPr>
              <w:pStyle w:val="11"/>
            </w:pPr>
            <w:r>
              <w:t>1</w:t>
            </w:r>
          </w:p>
        </w:tc>
        <w:tc>
          <w:tcPr>
            <w:tcW w:w="4535" w:type="dxa"/>
            <w:vAlign w:val="center"/>
          </w:tcPr>
          <w:p w14:paraId="2BA9C85A">
            <w:pPr>
              <w:pStyle w:val="11"/>
            </w:pPr>
            <w:r>
              <w:t>2</w:t>
            </w:r>
          </w:p>
        </w:tc>
        <w:tc>
          <w:tcPr>
            <w:tcW w:w="2551" w:type="dxa"/>
            <w:vAlign w:val="center"/>
          </w:tcPr>
          <w:p w14:paraId="4E14F908">
            <w:pPr>
              <w:pStyle w:val="11"/>
            </w:pPr>
            <w:r>
              <w:t>3</w:t>
            </w:r>
          </w:p>
        </w:tc>
        <w:tc>
          <w:tcPr>
            <w:tcW w:w="2551" w:type="dxa"/>
            <w:vAlign w:val="center"/>
          </w:tcPr>
          <w:p w14:paraId="5080E7AB">
            <w:pPr>
              <w:pStyle w:val="11"/>
            </w:pPr>
            <w:r>
              <w:t>4</w:t>
            </w:r>
          </w:p>
        </w:tc>
        <w:tc>
          <w:tcPr>
            <w:tcW w:w="2551" w:type="dxa"/>
            <w:vAlign w:val="center"/>
          </w:tcPr>
          <w:p w14:paraId="56E9446E">
            <w:pPr>
              <w:pStyle w:val="11"/>
            </w:pPr>
            <w:r>
              <w:t>5</w:t>
            </w:r>
          </w:p>
        </w:tc>
      </w:tr>
      <w:tr w14:paraId="014E4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F2320">
            <w:pPr>
              <w:pStyle w:val="12"/>
            </w:pPr>
            <w:r>
              <w:t>1</w:t>
            </w:r>
          </w:p>
        </w:tc>
        <w:tc>
          <w:tcPr>
            <w:tcW w:w="1191" w:type="dxa"/>
            <w:vAlign w:val="center"/>
          </w:tcPr>
          <w:p w14:paraId="48378223">
            <w:pPr>
              <w:pStyle w:val="17"/>
            </w:pPr>
          </w:p>
        </w:tc>
        <w:tc>
          <w:tcPr>
            <w:tcW w:w="4535" w:type="dxa"/>
            <w:vAlign w:val="center"/>
          </w:tcPr>
          <w:p w14:paraId="0E935499">
            <w:pPr>
              <w:pStyle w:val="15"/>
            </w:pPr>
            <w:r>
              <w:t>合计</w:t>
            </w:r>
          </w:p>
        </w:tc>
        <w:tc>
          <w:tcPr>
            <w:tcW w:w="2551" w:type="dxa"/>
            <w:vAlign w:val="center"/>
          </w:tcPr>
          <w:p w14:paraId="5A85BF9C">
            <w:pPr>
              <w:pStyle w:val="16"/>
            </w:pPr>
            <w:r>
              <w:t>191.56</w:t>
            </w:r>
          </w:p>
        </w:tc>
        <w:tc>
          <w:tcPr>
            <w:tcW w:w="2551" w:type="dxa"/>
            <w:vAlign w:val="center"/>
          </w:tcPr>
          <w:p w14:paraId="66C1FF54">
            <w:pPr>
              <w:pStyle w:val="16"/>
            </w:pPr>
            <w:r>
              <w:t>109.06</w:t>
            </w:r>
          </w:p>
        </w:tc>
        <w:tc>
          <w:tcPr>
            <w:tcW w:w="2551" w:type="dxa"/>
            <w:vAlign w:val="center"/>
          </w:tcPr>
          <w:p w14:paraId="3FB7ADFD">
            <w:pPr>
              <w:pStyle w:val="16"/>
            </w:pPr>
            <w:r>
              <w:t>82.50</w:t>
            </w:r>
          </w:p>
        </w:tc>
      </w:tr>
      <w:tr w14:paraId="29310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BE773">
            <w:pPr>
              <w:pStyle w:val="12"/>
            </w:pPr>
            <w:r>
              <w:t>2</w:t>
            </w:r>
          </w:p>
        </w:tc>
        <w:tc>
          <w:tcPr>
            <w:tcW w:w="1191" w:type="dxa"/>
            <w:vAlign w:val="center"/>
          </w:tcPr>
          <w:p w14:paraId="46D1C88F">
            <w:pPr>
              <w:pStyle w:val="13"/>
            </w:pPr>
            <w:r>
              <w:t>205</w:t>
            </w:r>
          </w:p>
        </w:tc>
        <w:tc>
          <w:tcPr>
            <w:tcW w:w="4535" w:type="dxa"/>
            <w:vAlign w:val="center"/>
          </w:tcPr>
          <w:p w14:paraId="5758AF80">
            <w:pPr>
              <w:pStyle w:val="13"/>
            </w:pPr>
            <w:r>
              <w:t>教育支出</w:t>
            </w:r>
          </w:p>
        </w:tc>
        <w:tc>
          <w:tcPr>
            <w:tcW w:w="2551" w:type="dxa"/>
            <w:vAlign w:val="center"/>
          </w:tcPr>
          <w:p w14:paraId="0885C15A">
            <w:pPr>
              <w:pStyle w:val="14"/>
            </w:pPr>
            <w:r>
              <w:t>191.56</w:t>
            </w:r>
          </w:p>
        </w:tc>
        <w:tc>
          <w:tcPr>
            <w:tcW w:w="2551" w:type="dxa"/>
            <w:vAlign w:val="center"/>
          </w:tcPr>
          <w:p w14:paraId="100E879A">
            <w:pPr>
              <w:pStyle w:val="14"/>
            </w:pPr>
            <w:r>
              <w:t>109.06</w:t>
            </w:r>
          </w:p>
        </w:tc>
        <w:tc>
          <w:tcPr>
            <w:tcW w:w="2551" w:type="dxa"/>
            <w:vAlign w:val="center"/>
          </w:tcPr>
          <w:p w14:paraId="34F95DC4">
            <w:pPr>
              <w:pStyle w:val="14"/>
            </w:pPr>
            <w:r>
              <w:t>82.50</w:t>
            </w:r>
          </w:p>
        </w:tc>
      </w:tr>
      <w:tr w14:paraId="01931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F3D07">
            <w:pPr>
              <w:pStyle w:val="12"/>
            </w:pPr>
            <w:r>
              <w:t>3</w:t>
            </w:r>
          </w:p>
        </w:tc>
        <w:tc>
          <w:tcPr>
            <w:tcW w:w="1191" w:type="dxa"/>
            <w:vAlign w:val="center"/>
          </w:tcPr>
          <w:p w14:paraId="7B9A39E7">
            <w:pPr>
              <w:pStyle w:val="13"/>
            </w:pPr>
            <w:r>
              <w:t>20507</w:t>
            </w:r>
          </w:p>
        </w:tc>
        <w:tc>
          <w:tcPr>
            <w:tcW w:w="4535" w:type="dxa"/>
            <w:vAlign w:val="center"/>
          </w:tcPr>
          <w:p w14:paraId="76A4C4DE">
            <w:pPr>
              <w:pStyle w:val="13"/>
            </w:pPr>
            <w:r>
              <w:t>特殊教育</w:t>
            </w:r>
          </w:p>
        </w:tc>
        <w:tc>
          <w:tcPr>
            <w:tcW w:w="2551" w:type="dxa"/>
            <w:vAlign w:val="center"/>
          </w:tcPr>
          <w:p w14:paraId="47169839">
            <w:pPr>
              <w:pStyle w:val="14"/>
            </w:pPr>
            <w:r>
              <w:t>191.56</w:t>
            </w:r>
          </w:p>
        </w:tc>
        <w:tc>
          <w:tcPr>
            <w:tcW w:w="2551" w:type="dxa"/>
            <w:vAlign w:val="center"/>
          </w:tcPr>
          <w:p w14:paraId="0BA44692">
            <w:pPr>
              <w:pStyle w:val="14"/>
            </w:pPr>
            <w:r>
              <w:t>109.06</w:t>
            </w:r>
          </w:p>
        </w:tc>
        <w:tc>
          <w:tcPr>
            <w:tcW w:w="2551" w:type="dxa"/>
            <w:vAlign w:val="center"/>
          </w:tcPr>
          <w:p w14:paraId="1D154ABE">
            <w:pPr>
              <w:pStyle w:val="14"/>
            </w:pPr>
            <w:r>
              <w:t>82.50</w:t>
            </w:r>
          </w:p>
        </w:tc>
      </w:tr>
      <w:tr w14:paraId="4D744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530AD">
            <w:pPr>
              <w:pStyle w:val="12"/>
            </w:pPr>
            <w:r>
              <w:t>4</w:t>
            </w:r>
          </w:p>
        </w:tc>
        <w:tc>
          <w:tcPr>
            <w:tcW w:w="1191" w:type="dxa"/>
            <w:vAlign w:val="center"/>
          </w:tcPr>
          <w:p w14:paraId="76E00773">
            <w:pPr>
              <w:pStyle w:val="13"/>
            </w:pPr>
            <w:r>
              <w:t>2050701</w:t>
            </w:r>
          </w:p>
        </w:tc>
        <w:tc>
          <w:tcPr>
            <w:tcW w:w="4535" w:type="dxa"/>
            <w:vAlign w:val="center"/>
          </w:tcPr>
          <w:p w14:paraId="030C67BB">
            <w:pPr>
              <w:pStyle w:val="13"/>
            </w:pPr>
            <w:r>
              <w:t>特殊学校教育</w:t>
            </w:r>
          </w:p>
        </w:tc>
        <w:tc>
          <w:tcPr>
            <w:tcW w:w="2551" w:type="dxa"/>
            <w:vAlign w:val="center"/>
          </w:tcPr>
          <w:p w14:paraId="2BB147E0">
            <w:pPr>
              <w:pStyle w:val="14"/>
            </w:pPr>
            <w:r>
              <w:t>191.56</w:t>
            </w:r>
          </w:p>
        </w:tc>
        <w:tc>
          <w:tcPr>
            <w:tcW w:w="2551" w:type="dxa"/>
            <w:vAlign w:val="center"/>
          </w:tcPr>
          <w:p w14:paraId="2C55E26F">
            <w:pPr>
              <w:pStyle w:val="14"/>
            </w:pPr>
            <w:r>
              <w:t>109.06</w:t>
            </w:r>
          </w:p>
        </w:tc>
        <w:tc>
          <w:tcPr>
            <w:tcW w:w="2551" w:type="dxa"/>
            <w:vAlign w:val="center"/>
          </w:tcPr>
          <w:p w14:paraId="255631A5">
            <w:pPr>
              <w:pStyle w:val="14"/>
            </w:pPr>
            <w:r>
              <w:t>82.50</w:t>
            </w:r>
          </w:p>
        </w:tc>
      </w:tr>
    </w:tbl>
    <w:p w14:paraId="1C6DEA72">
      <w:pPr>
        <w:sectPr>
          <w:pgSz w:w="16840" w:h="11900" w:orient="landscape"/>
          <w:pgMar w:top="1361" w:right="1020" w:bottom="1134" w:left="1020" w:header="720" w:footer="720" w:gutter="0"/>
          <w:cols w:space="720" w:num="1"/>
        </w:sectPr>
      </w:pPr>
    </w:p>
    <w:p w14:paraId="1A875F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195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AC964B">
            <w:pPr>
              <w:pStyle w:val="8"/>
            </w:pPr>
            <w:r>
              <w:t>360012隆尧县特殊教育学校</w:t>
            </w:r>
          </w:p>
        </w:tc>
        <w:tc>
          <w:tcPr>
            <w:tcW w:w="2551" w:type="dxa"/>
            <w:tcBorders>
              <w:top w:val="single" w:color="FFFFFF" w:sz="6" w:space="0"/>
              <w:left w:val="single" w:color="FFFFFF" w:sz="6" w:space="0"/>
              <w:right w:val="single" w:color="FFFFFF" w:sz="6" w:space="0"/>
            </w:tcBorders>
            <w:vAlign w:val="center"/>
          </w:tcPr>
          <w:p w14:paraId="2979FC2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2950469">
            <w:pPr>
              <w:pStyle w:val="10"/>
            </w:pPr>
            <w:r>
              <w:t>单位：万元</w:t>
            </w:r>
          </w:p>
        </w:tc>
      </w:tr>
      <w:tr w14:paraId="4661F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BA6D1">
            <w:pPr>
              <w:pStyle w:val="11"/>
            </w:pPr>
            <w:r>
              <w:t>序号</w:t>
            </w:r>
          </w:p>
        </w:tc>
        <w:tc>
          <w:tcPr>
            <w:tcW w:w="5726" w:type="dxa"/>
            <w:gridSpan w:val="2"/>
            <w:vAlign w:val="center"/>
          </w:tcPr>
          <w:p w14:paraId="566F5D0F">
            <w:pPr>
              <w:pStyle w:val="11"/>
            </w:pPr>
            <w:r>
              <w:t>支出部门经济分类科目</w:t>
            </w:r>
          </w:p>
        </w:tc>
        <w:tc>
          <w:tcPr>
            <w:tcW w:w="7653" w:type="dxa"/>
            <w:gridSpan w:val="3"/>
            <w:vAlign w:val="center"/>
          </w:tcPr>
          <w:p w14:paraId="40FAA396">
            <w:pPr>
              <w:pStyle w:val="11"/>
            </w:pPr>
            <w:r>
              <w:t>一般公共预算基本支出</w:t>
            </w:r>
          </w:p>
        </w:tc>
      </w:tr>
      <w:tr w14:paraId="3EFF4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16CF7D"/>
        </w:tc>
        <w:tc>
          <w:tcPr>
            <w:tcW w:w="1191" w:type="dxa"/>
            <w:vAlign w:val="center"/>
          </w:tcPr>
          <w:p w14:paraId="68CF8A57">
            <w:pPr>
              <w:pStyle w:val="11"/>
            </w:pPr>
            <w:r>
              <w:t>科目编码</w:t>
            </w:r>
          </w:p>
        </w:tc>
        <w:tc>
          <w:tcPr>
            <w:tcW w:w="4535" w:type="dxa"/>
            <w:vAlign w:val="center"/>
          </w:tcPr>
          <w:p w14:paraId="198A4B89">
            <w:pPr>
              <w:pStyle w:val="11"/>
            </w:pPr>
            <w:r>
              <w:t>科目名称</w:t>
            </w:r>
          </w:p>
        </w:tc>
        <w:tc>
          <w:tcPr>
            <w:tcW w:w="2551" w:type="dxa"/>
            <w:vAlign w:val="center"/>
          </w:tcPr>
          <w:p w14:paraId="6F19C663">
            <w:pPr>
              <w:pStyle w:val="11"/>
            </w:pPr>
            <w:r>
              <w:t>合计</w:t>
            </w:r>
          </w:p>
        </w:tc>
        <w:tc>
          <w:tcPr>
            <w:tcW w:w="2551" w:type="dxa"/>
            <w:vAlign w:val="center"/>
          </w:tcPr>
          <w:p w14:paraId="5D333DF7">
            <w:pPr>
              <w:pStyle w:val="11"/>
            </w:pPr>
            <w:r>
              <w:t>人员经费</w:t>
            </w:r>
          </w:p>
        </w:tc>
        <w:tc>
          <w:tcPr>
            <w:tcW w:w="2551" w:type="dxa"/>
            <w:vAlign w:val="center"/>
          </w:tcPr>
          <w:p w14:paraId="1D1C600A">
            <w:pPr>
              <w:pStyle w:val="11"/>
            </w:pPr>
            <w:r>
              <w:t>公用经费</w:t>
            </w:r>
          </w:p>
        </w:tc>
      </w:tr>
      <w:tr w14:paraId="24DCC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18FD7A">
            <w:pPr>
              <w:pStyle w:val="11"/>
            </w:pPr>
            <w:r>
              <w:t>栏次</w:t>
            </w:r>
          </w:p>
        </w:tc>
        <w:tc>
          <w:tcPr>
            <w:tcW w:w="1191" w:type="dxa"/>
            <w:vAlign w:val="center"/>
          </w:tcPr>
          <w:p w14:paraId="7E7CDB8B">
            <w:pPr>
              <w:pStyle w:val="11"/>
            </w:pPr>
            <w:r>
              <w:t>1</w:t>
            </w:r>
          </w:p>
        </w:tc>
        <w:tc>
          <w:tcPr>
            <w:tcW w:w="4535" w:type="dxa"/>
            <w:vAlign w:val="center"/>
          </w:tcPr>
          <w:p w14:paraId="710C95BB">
            <w:pPr>
              <w:pStyle w:val="11"/>
            </w:pPr>
            <w:r>
              <w:t>2</w:t>
            </w:r>
          </w:p>
        </w:tc>
        <w:tc>
          <w:tcPr>
            <w:tcW w:w="2551" w:type="dxa"/>
            <w:vAlign w:val="center"/>
          </w:tcPr>
          <w:p w14:paraId="57A0DF0A">
            <w:pPr>
              <w:pStyle w:val="11"/>
            </w:pPr>
            <w:r>
              <w:t>3</w:t>
            </w:r>
          </w:p>
        </w:tc>
        <w:tc>
          <w:tcPr>
            <w:tcW w:w="2551" w:type="dxa"/>
            <w:vAlign w:val="center"/>
          </w:tcPr>
          <w:p w14:paraId="0F582199">
            <w:pPr>
              <w:pStyle w:val="11"/>
            </w:pPr>
            <w:r>
              <w:t>4</w:t>
            </w:r>
          </w:p>
        </w:tc>
        <w:tc>
          <w:tcPr>
            <w:tcW w:w="2551" w:type="dxa"/>
            <w:vAlign w:val="center"/>
          </w:tcPr>
          <w:p w14:paraId="7821F59A">
            <w:pPr>
              <w:pStyle w:val="11"/>
            </w:pPr>
            <w:r>
              <w:t>5</w:t>
            </w:r>
          </w:p>
        </w:tc>
      </w:tr>
      <w:tr w14:paraId="5EA78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D0396">
            <w:pPr>
              <w:pStyle w:val="12"/>
            </w:pPr>
            <w:r>
              <w:t>1</w:t>
            </w:r>
          </w:p>
        </w:tc>
        <w:tc>
          <w:tcPr>
            <w:tcW w:w="1191" w:type="dxa"/>
            <w:vAlign w:val="center"/>
          </w:tcPr>
          <w:p w14:paraId="0F466D1B">
            <w:pPr>
              <w:pStyle w:val="17"/>
            </w:pPr>
          </w:p>
        </w:tc>
        <w:tc>
          <w:tcPr>
            <w:tcW w:w="4535" w:type="dxa"/>
            <w:vAlign w:val="center"/>
          </w:tcPr>
          <w:p w14:paraId="5264BE0C">
            <w:pPr>
              <w:pStyle w:val="15"/>
            </w:pPr>
            <w:r>
              <w:t>合计</w:t>
            </w:r>
          </w:p>
        </w:tc>
        <w:tc>
          <w:tcPr>
            <w:tcW w:w="2551" w:type="dxa"/>
            <w:vAlign w:val="center"/>
          </w:tcPr>
          <w:p w14:paraId="0E7B02EE">
            <w:pPr>
              <w:pStyle w:val="16"/>
            </w:pPr>
            <w:r>
              <w:t>109.06</w:t>
            </w:r>
          </w:p>
        </w:tc>
        <w:tc>
          <w:tcPr>
            <w:tcW w:w="2551" w:type="dxa"/>
            <w:vAlign w:val="center"/>
          </w:tcPr>
          <w:p w14:paraId="4FB2F0EC">
            <w:pPr>
              <w:pStyle w:val="16"/>
            </w:pPr>
            <w:r>
              <w:t>109.06</w:t>
            </w:r>
          </w:p>
        </w:tc>
        <w:tc>
          <w:tcPr>
            <w:tcW w:w="2551" w:type="dxa"/>
            <w:vAlign w:val="center"/>
          </w:tcPr>
          <w:p w14:paraId="59F9530C">
            <w:pPr>
              <w:pStyle w:val="16"/>
            </w:pPr>
          </w:p>
        </w:tc>
      </w:tr>
      <w:tr w14:paraId="57F1F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1677A">
            <w:pPr>
              <w:pStyle w:val="12"/>
            </w:pPr>
            <w:r>
              <w:t>2</w:t>
            </w:r>
          </w:p>
        </w:tc>
        <w:tc>
          <w:tcPr>
            <w:tcW w:w="1191" w:type="dxa"/>
            <w:vAlign w:val="center"/>
          </w:tcPr>
          <w:p w14:paraId="27BE40B3">
            <w:pPr>
              <w:pStyle w:val="13"/>
            </w:pPr>
            <w:r>
              <w:t>301</w:t>
            </w:r>
          </w:p>
        </w:tc>
        <w:tc>
          <w:tcPr>
            <w:tcW w:w="4535" w:type="dxa"/>
            <w:vAlign w:val="center"/>
          </w:tcPr>
          <w:p w14:paraId="606B7746">
            <w:pPr>
              <w:pStyle w:val="13"/>
            </w:pPr>
            <w:r>
              <w:t>工资福利支出</w:t>
            </w:r>
          </w:p>
        </w:tc>
        <w:tc>
          <w:tcPr>
            <w:tcW w:w="2551" w:type="dxa"/>
            <w:vAlign w:val="center"/>
          </w:tcPr>
          <w:p w14:paraId="57D0A3E3">
            <w:pPr>
              <w:pStyle w:val="14"/>
            </w:pPr>
            <w:r>
              <w:t>109.06</w:t>
            </w:r>
          </w:p>
        </w:tc>
        <w:tc>
          <w:tcPr>
            <w:tcW w:w="2551" w:type="dxa"/>
            <w:vAlign w:val="center"/>
          </w:tcPr>
          <w:p w14:paraId="2B07CEA7">
            <w:pPr>
              <w:pStyle w:val="14"/>
            </w:pPr>
            <w:r>
              <w:t>109.06</w:t>
            </w:r>
          </w:p>
        </w:tc>
        <w:tc>
          <w:tcPr>
            <w:tcW w:w="2551" w:type="dxa"/>
            <w:vAlign w:val="center"/>
          </w:tcPr>
          <w:p w14:paraId="6D0DECB9">
            <w:pPr>
              <w:pStyle w:val="14"/>
            </w:pPr>
          </w:p>
        </w:tc>
      </w:tr>
      <w:tr w14:paraId="4D5E6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A8A90">
            <w:pPr>
              <w:pStyle w:val="12"/>
            </w:pPr>
            <w:r>
              <w:t>3</w:t>
            </w:r>
          </w:p>
        </w:tc>
        <w:tc>
          <w:tcPr>
            <w:tcW w:w="1191" w:type="dxa"/>
            <w:vAlign w:val="center"/>
          </w:tcPr>
          <w:p w14:paraId="5B9ACC7E">
            <w:pPr>
              <w:pStyle w:val="13"/>
            </w:pPr>
            <w:r>
              <w:t>30101</w:t>
            </w:r>
          </w:p>
        </w:tc>
        <w:tc>
          <w:tcPr>
            <w:tcW w:w="4535" w:type="dxa"/>
            <w:vAlign w:val="center"/>
          </w:tcPr>
          <w:p w14:paraId="4442EBC2">
            <w:pPr>
              <w:pStyle w:val="13"/>
            </w:pPr>
            <w:r>
              <w:t>基本工资</w:t>
            </w:r>
          </w:p>
        </w:tc>
        <w:tc>
          <w:tcPr>
            <w:tcW w:w="2551" w:type="dxa"/>
            <w:vAlign w:val="center"/>
          </w:tcPr>
          <w:p w14:paraId="4438AC24">
            <w:pPr>
              <w:pStyle w:val="14"/>
            </w:pPr>
            <w:r>
              <w:t>50.48</w:t>
            </w:r>
          </w:p>
        </w:tc>
        <w:tc>
          <w:tcPr>
            <w:tcW w:w="2551" w:type="dxa"/>
            <w:vAlign w:val="center"/>
          </w:tcPr>
          <w:p w14:paraId="4215248F">
            <w:pPr>
              <w:pStyle w:val="14"/>
            </w:pPr>
            <w:r>
              <w:t>50.48</w:t>
            </w:r>
          </w:p>
        </w:tc>
        <w:tc>
          <w:tcPr>
            <w:tcW w:w="2551" w:type="dxa"/>
            <w:vAlign w:val="center"/>
          </w:tcPr>
          <w:p w14:paraId="3221075E">
            <w:pPr>
              <w:pStyle w:val="14"/>
            </w:pPr>
          </w:p>
        </w:tc>
      </w:tr>
      <w:tr w14:paraId="04D26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52E20">
            <w:pPr>
              <w:pStyle w:val="12"/>
            </w:pPr>
            <w:r>
              <w:t>4</w:t>
            </w:r>
          </w:p>
        </w:tc>
        <w:tc>
          <w:tcPr>
            <w:tcW w:w="1191" w:type="dxa"/>
            <w:vAlign w:val="center"/>
          </w:tcPr>
          <w:p w14:paraId="1667B101">
            <w:pPr>
              <w:pStyle w:val="13"/>
            </w:pPr>
            <w:r>
              <w:t>30102</w:t>
            </w:r>
          </w:p>
        </w:tc>
        <w:tc>
          <w:tcPr>
            <w:tcW w:w="4535" w:type="dxa"/>
            <w:vAlign w:val="center"/>
          </w:tcPr>
          <w:p w14:paraId="778EC858">
            <w:pPr>
              <w:pStyle w:val="13"/>
            </w:pPr>
            <w:r>
              <w:t>津贴补贴</w:t>
            </w:r>
          </w:p>
        </w:tc>
        <w:tc>
          <w:tcPr>
            <w:tcW w:w="2551" w:type="dxa"/>
            <w:vAlign w:val="center"/>
          </w:tcPr>
          <w:p w14:paraId="4BA39894">
            <w:pPr>
              <w:pStyle w:val="14"/>
            </w:pPr>
            <w:r>
              <w:t>10.42</w:t>
            </w:r>
          </w:p>
        </w:tc>
        <w:tc>
          <w:tcPr>
            <w:tcW w:w="2551" w:type="dxa"/>
            <w:vAlign w:val="center"/>
          </w:tcPr>
          <w:p w14:paraId="18942852">
            <w:pPr>
              <w:pStyle w:val="14"/>
            </w:pPr>
            <w:r>
              <w:t>10.42</w:t>
            </w:r>
          </w:p>
        </w:tc>
        <w:tc>
          <w:tcPr>
            <w:tcW w:w="2551" w:type="dxa"/>
            <w:vAlign w:val="center"/>
          </w:tcPr>
          <w:p w14:paraId="65C8A50C">
            <w:pPr>
              <w:pStyle w:val="14"/>
            </w:pPr>
          </w:p>
        </w:tc>
      </w:tr>
      <w:tr w14:paraId="46512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3F278">
            <w:pPr>
              <w:pStyle w:val="12"/>
            </w:pPr>
            <w:r>
              <w:t>5</w:t>
            </w:r>
          </w:p>
        </w:tc>
        <w:tc>
          <w:tcPr>
            <w:tcW w:w="1191" w:type="dxa"/>
            <w:vAlign w:val="center"/>
          </w:tcPr>
          <w:p w14:paraId="0EE37BB6">
            <w:pPr>
              <w:pStyle w:val="13"/>
            </w:pPr>
            <w:r>
              <w:t>30107</w:t>
            </w:r>
          </w:p>
        </w:tc>
        <w:tc>
          <w:tcPr>
            <w:tcW w:w="4535" w:type="dxa"/>
            <w:vAlign w:val="center"/>
          </w:tcPr>
          <w:p w14:paraId="55BDCB34">
            <w:pPr>
              <w:pStyle w:val="13"/>
            </w:pPr>
            <w:r>
              <w:t>绩效工资</w:t>
            </w:r>
          </w:p>
        </w:tc>
        <w:tc>
          <w:tcPr>
            <w:tcW w:w="2551" w:type="dxa"/>
            <w:vAlign w:val="center"/>
          </w:tcPr>
          <w:p w14:paraId="6B161D0F">
            <w:pPr>
              <w:pStyle w:val="14"/>
            </w:pPr>
            <w:r>
              <w:t>24.58</w:t>
            </w:r>
          </w:p>
        </w:tc>
        <w:tc>
          <w:tcPr>
            <w:tcW w:w="2551" w:type="dxa"/>
            <w:vAlign w:val="center"/>
          </w:tcPr>
          <w:p w14:paraId="0D12E7C3">
            <w:pPr>
              <w:pStyle w:val="14"/>
            </w:pPr>
            <w:r>
              <w:t>24.58</w:t>
            </w:r>
          </w:p>
        </w:tc>
        <w:tc>
          <w:tcPr>
            <w:tcW w:w="2551" w:type="dxa"/>
            <w:vAlign w:val="center"/>
          </w:tcPr>
          <w:p w14:paraId="779800AD">
            <w:pPr>
              <w:pStyle w:val="14"/>
            </w:pPr>
          </w:p>
        </w:tc>
      </w:tr>
      <w:tr w14:paraId="23856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5C293">
            <w:pPr>
              <w:pStyle w:val="12"/>
            </w:pPr>
            <w:r>
              <w:t>6</w:t>
            </w:r>
          </w:p>
        </w:tc>
        <w:tc>
          <w:tcPr>
            <w:tcW w:w="1191" w:type="dxa"/>
            <w:vAlign w:val="center"/>
          </w:tcPr>
          <w:p w14:paraId="1F830027">
            <w:pPr>
              <w:pStyle w:val="13"/>
            </w:pPr>
            <w:r>
              <w:t>30108</w:t>
            </w:r>
          </w:p>
        </w:tc>
        <w:tc>
          <w:tcPr>
            <w:tcW w:w="4535" w:type="dxa"/>
            <w:vAlign w:val="center"/>
          </w:tcPr>
          <w:p w14:paraId="17DCB930">
            <w:pPr>
              <w:pStyle w:val="13"/>
            </w:pPr>
            <w:r>
              <w:t>机关事业单位基本养老保险缴费</w:t>
            </w:r>
          </w:p>
        </w:tc>
        <w:tc>
          <w:tcPr>
            <w:tcW w:w="2551" w:type="dxa"/>
            <w:vAlign w:val="center"/>
          </w:tcPr>
          <w:p w14:paraId="4BA144BA">
            <w:pPr>
              <w:pStyle w:val="14"/>
            </w:pPr>
            <w:r>
              <w:t>10.25</w:t>
            </w:r>
          </w:p>
        </w:tc>
        <w:tc>
          <w:tcPr>
            <w:tcW w:w="2551" w:type="dxa"/>
            <w:vAlign w:val="center"/>
          </w:tcPr>
          <w:p w14:paraId="555FA02E">
            <w:pPr>
              <w:pStyle w:val="14"/>
            </w:pPr>
            <w:r>
              <w:t>10.25</w:t>
            </w:r>
          </w:p>
        </w:tc>
        <w:tc>
          <w:tcPr>
            <w:tcW w:w="2551" w:type="dxa"/>
            <w:vAlign w:val="center"/>
          </w:tcPr>
          <w:p w14:paraId="7C61BB9D">
            <w:pPr>
              <w:pStyle w:val="14"/>
            </w:pPr>
          </w:p>
        </w:tc>
      </w:tr>
      <w:tr w14:paraId="19501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B5AF0">
            <w:pPr>
              <w:pStyle w:val="12"/>
            </w:pPr>
            <w:r>
              <w:t>7</w:t>
            </w:r>
          </w:p>
        </w:tc>
        <w:tc>
          <w:tcPr>
            <w:tcW w:w="1191" w:type="dxa"/>
            <w:vAlign w:val="center"/>
          </w:tcPr>
          <w:p w14:paraId="67CB162E">
            <w:pPr>
              <w:pStyle w:val="13"/>
            </w:pPr>
            <w:r>
              <w:t>30110</w:t>
            </w:r>
          </w:p>
        </w:tc>
        <w:tc>
          <w:tcPr>
            <w:tcW w:w="4535" w:type="dxa"/>
            <w:vAlign w:val="center"/>
          </w:tcPr>
          <w:p w14:paraId="6B05DA24">
            <w:pPr>
              <w:pStyle w:val="13"/>
            </w:pPr>
            <w:r>
              <w:t>职工基本医疗保险缴费</w:t>
            </w:r>
          </w:p>
        </w:tc>
        <w:tc>
          <w:tcPr>
            <w:tcW w:w="2551" w:type="dxa"/>
            <w:vAlign w:val="center"/>
          </w:tcPr>
          <w:p w14:paraId="70ACB35C">
            <w:pPr>
              <w:pStyle w:val="14"/>
            </w:pPr>
            <w:r>
              <w:t>5.35</w:t>
            </w:r>
          </w:p>
        </w:tc>
        <w:tc>
          <w:tcPr>
            <w:tcW w:w="2551" w:type="dxa"/>
            <w:vAlign w:val="center"/>
          </w:tcPr>
          <w:p w14:paraId="792C119C">
            <w:pPr>
              <w:pStyle w:val="14"/>
            </w:pPr>
            <w:r>
              <w:t>5.35</w:t>
            </w:r>
          </w:p>
        </w:tc>
        <w:tc>
          <w:tcPr>
            <w:tcW w:w="2551" w:type="dxa"/>
            <w:vAlign w:val="center"/>
          </w:tcPr>
          <w:p w14:paraId="607FB618">
            <w:pPr>
              <w:pStyle w:val="14"/>
            </w:pPr>
          </w:p>
        </w:tc>
      </w:tr>
      <w:tr w14:paraId="0BFC8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26E80">
            <w:pPr>
              <w:pStyle w:val="12"/>
            </w:pPr>
            <w:r>
              <w:t>8</w:t>
            </w:r>
          </w:p>
        </w:tc>
        <w:tc>
          <w:tcPr>
            <w:tcW w:w="1191" w:type="dxa"/>
            <w:vAlign w:val="center"/>
          </w:tcPr>
          <w:p w14:paraId="53004B90">
            <w:pPr>
              <w:pStyle w:val="13"/>
            </w:pPr>
            <w:r>
              <w:t>30112</w:t>
            </w:r>
          </w:p>
        </w:tc>
        <w:tc>
          <w:tcPr>
            <w:tcW w:w="4535" w:type="dxa"/>
            <w:vAlign w:val="center"/>
          </w:tcPr>
          <w:p w14:paraId="4AC915B6">
            <w:pPr>
              <w:pStyle w:val="13"/>
            </w:pPr>
            <w:r>
              <w:t>其他社会保障缴费</w:t>
            </w:r>
          </w:p>
        </w:tc>
        <w:tc>
          <w:tcPr>
            <w:tcW w:w="2551" w:type="dxa"/>
            <w:vAlign w:val="center"/>
          </w:tcPr>
          <w:p w14:paraId="2A61EDC5">
            <w:pPr>
              <w:pStyle w:val="14"/>
            </w:pPr>
            <w:r>
              <w:t>0.29</w:t>
            </w:r>
          </w:p>
        </w:tc>
        <w:tc>
          <w:tcPr>
            <w:tcW w:w="2551" w:type="dxa"/>
            <w:vAlign w:val="center"/>
          </w:tcPr>
          <w:p w14:paraId="044E3FAC">
            <w:pPr>
              <w:pStyle w:val="14"/>
            </w:pPr>
            <w:r>
              <w:t>0.29</w:t>
            </w:r>
          </w:p>
        </w:tc>
        <w:tc>
          <w:tcPr>
            <w:tcW w:w="2551" w:type="dxa"/>
            <w:vAlign w:val="center"/>
          </w:tcPr>
          <w:p w14:paraId="400C948D">
            <w:pPr>
              <w:pStyle w:val="14"/>
            </w:pPr>
          </w:p>
        </w:tc>
      </w:tr>
      <w:tr w14:paraId="64C7C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0CA39">
            <w:pPr>
              <w:pStyle w:val="12"/>
            </w:pPr>
            <w:r>
              <w:t>9</w:t>
            </w:r>
          </w:p>
        </w:tc>
        <w:tc>
          <w:tcPr>
            <w:tcW w:w="1191" w:type="dxa"/>
            <w:vAlign w:val="center"/>
          </w:tcPr>
          <w:p w14:paraId="4907F8EE">
            <w:pPr>
              <w:pStyle w:val="13"/>
            </w:pPr>
            <w:r>
              <w:t>30113</w:t>
            </w:r>
          </w:p>
        </w:tc>
        <w:tc>
          <w:tcPr>
            <w:tcW w:w="4535" w:type="dxa"/>
            <w:vAlign w:val="center"/>
          </w:tcPr>
          <w:p w14:paraId="53B73978">
            <w:pPr>
              <w:pStyle w:val="13"/>
            </w:pPr>
            <w:r>
              <w:t>住房公积金</w:t>
            </w:r>
          </w:p>
        </w:tc>
        <w:tc>
          <w:tcPr>
            <w:tcW w:w="2551" w:type="dxa"/>
            <w:vAlign w:val="center"/>
          </w:tcPr>
          <w:p w14:paraId="64A6D77E">
            <w:pPr>
              <w:pStyle w:val="14"/>
            </w:pPr>
            <w:r>
              <w:t>7.69</w:t>
            </w:r>
          </w:p>
        </w:tc>
        <w:tc>
          <w:tcPr>
            <w:tcW w:w="2551" w:type="dxa"/>
            <w:vAlign w:val="center"/>
          </w:tcPr>
          <w:p w14:paraId="197CF056">
            <w:pPr>
              <w:pStyle w:val="14"/>
            </w:pPr>
            <w:r>
              <w:t>7.69</w:t>
            </w:r>
          </w:p>
        </w:tc>
        <w:tc>
          <w:tcPr>
            <w:tcW w:w="2551" w:type="dxa"/>
            <w:vAlign w:val="center"/>
          </w:tcPr>
          <w:p w14:paraId="3BE43637">
            <w:pPr>
              <w:pStyle w:val="14"/>
            </w:pPr>
          </w:p>
        </w:tc>
      </w:tr>
    </w:tbl>
    <w:p w14:paraId="6578FE8F">
      <w:pPr>
        <w:sectPr>
          <w:pgSz w:w="16840" w:h="11900" w:orient="landscape"/>
          <w:pgMar w:top="1361" w:right="1020" w:bottom="1134" w:left="1020" w:header="720" w:footer="720" w:gutter="0"/>
          <w:cols w:space="720" w:num="1"/>
        </w:sectPr>
      </w:pPr>
    </w:p>
    <w:p w14:paraId="0FB66E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31B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AAB0E0">
            <w:pPr>
              <w:pStyle w:val="8"/>
            </w:pPr>
            <w:r>
              <w:t>360012隆尧县特殊教育学校</w:t>
            </w:r>
          </w:p>
        </w:tc>
        <w:tc>
          <w:tcPr>
            <w:tcW w:w="2551" w:type="dxa"/>
            <w:tcBorders>
              <w:top w:val="single" w:color="FFFFFF" w:sz="6" w:space="0"/>
              <w:left w:val="single" w:color="FFFFFF" w:sz="6" w:space="0"/>
              <w:right w:val="single" w:color="FFFFFF" w:sz="6" w:space="0"/>
            </w:tcBorders>
            <w:vAlign w:val="center"/>
          </w:tcPr>
          <w:p w14:paraId="758265F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EA91652">
            <w:pPr>
              <w:pStyle w:val="10"/>
            </w:pPr>
            <w:r>
              <w:t>单位：万元</w:t>
            </w:r>
          </w:p>
        </w:tc>
      </w:tr>
      <w:tr w14:paraId="448AC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929419">
            <w:pPr>
              <w:pStyle w:val="11"/>
            </w:pPr>
            <w:r>
              <w:t>序号</w:t>
            </w:r>
          </w:p>
        </w:tc>
        <w:tc>
          <w:tcPr>
            <w:tcW w:w="5726" w:type="dxa"/>
            <w:gridSpan w:val="2"/>
            <w:vAlign w:val="center"/>
          </w:tcPr>
          <w:p w14:paraId="30B016F3">
            <w:pPr>
              <w:pStyle w:val="11"/>
            </w:pPr>
            <w:r>
              <w:t>功能分类科目</w:t>
            </w:r>
          </w:p>
        </w:tc>
        <w:tc>
          <w:tcPr>
            <w:tcW w:w="2551" w:type="dxa"/>
            <w:vMerge w:val="restart"/>
            <w:vAlign w:val="center"/>
          </w:tcPr>
          <w:p w14:paraId="7D07371D">
            <w:pPr>
              <w:pStyle w:val="11"/>
            </w:pPr>
            <w:r>
              <w:t>合计</w:t>
            </w:r>
          </w:p>
        </w:tc>
        <w:tc>
          <w:tcPr>
            <w:tcW w:w="2551" w:type="dxa"/>
            <w:vMerge w:val="restart"/>
            <w:vAlign w:val="center"/>
          </w:tcPr>
          <w:p w14:paraId="3CE0353F">
            <w:pPr>
              <w:pStyle w:val="11"/>
            </w:pPr>
            <w:r>
              <w:t>基本支出</w:t>
            </w:r>
          </w:p>
        </w:tc>
        <w:tc>
          <w:tcPr>
            <w:tcW w:w="2551" w:type="dxa"/>
            <w:vMerge w:val="restart"/>
            <w:vAlign w:val="center"/>
          </w:tcPr>
          <w:p w14:paraId="52D0F0D1">
            <w:pPr>
              <w:pStyle w:val="11"/>
            </w:pPr>
            <w:r>
              <w:t>项目支出</w:t>
            </w:r>
          </w:p>
        </w:tc>
      </w:tr>
      <w:tr w14:paraId="6F53E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56727"/>
        </w:tc>
        <w:tc>
          <w:tcPr>
            <w:tcW w:w="1191" w:type="dxa"/>
            <w:vAlign w:val="center"/>
          </w:tcPr>
          <w:p w14:paraId="1226BFE9">
            <w:pPr>
              <w:pStyle w:val="11"/>
            </w:pPr>
            <w:r>
              <w:t>科目编码</w:t>
            </w:r>
          </w:p>
        </w:tc>
        <w:tc>
          <w:tcPr>
            <w:tcW w:w="4535" w:type="dxa"/>
            <w:vAlign w:val="center"/>
          </w:tcPr>
          <w:p w14:paraId="0304F970">
            <w:pPr>
              <w:pStyle w:val="11"/>
            </w:pPr>
            <w:r>
              <w:t>科目名称</w:t>
            </w:r>
          </w:p>
        </w:tc>
        <w:tc>
          <w:tcPr>
            <w:tcW w:w="2551" w:type="dxa"/>
            <w:vMerge w:val="continue"/>
          </w:tcPr>
          <w:p w14:paraId="46CED5E1"/>
        </w:tc>
        <w:tc>
          <w:tcPr>
            <w:tcW w:w="2551" w:type="dxa"/>
            <w:vMerge w:val="continue"/>
          </w:tcPr>
          <w:p w14:paraId="726A1D62"/>
        </w:tc>
        <w:tc>
          <w:tcPr>
            <w:tcW w:w="2551" w:type="dxa"/>
            <w:vMerge w:val="continue"/>
          </w:tcPr>
          <w:p w14:paraId="0E38F337"/>
        </w:tc>
      </w:tr>
      <w:tr w14:paraId="78FBA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10911609">
            <w:pPr>
              <w:pStyle w:val="11"/>
            </w:pPr>
            <w:r>
              <w:t>栏次</w:t>
            </w:r>
          </w:p>
        </w:tc>
        <w:tc>
          <w:tcPr>
            <w:tcW w:w="1191" w:type="dxa"/>
            <w:vAlign w:val="center"/>
          </w:tcPr>
          <w:p w14:paraId="42C28AD8">
            <w:pPr>
              <w:pStyle w:val="11"/>
            </w:pPr>
            <w:r>
              <w:t>1</w:t>
            </w:r>
          </w:p>
        </w:tc>
        <w:tc>
          <w:tcPr>
            <w:tcW w:w="4535" w:type="dxa"/>
            <w:vAlign w:val="center"/>
          </w:tcPr>
          <w:p w14:paraId="6C2B3879">
            <w:pPr>
              <w:pStyle w:val="11"/>
            </w:pPr>
            <w:r>
              <w:t>2</w:t>
            </w:r>
          </w:p>
        </w:tc>
        <w:tc>
          <w:tcPr>
            <w:tcW w:w="2551" w:type="dxa"/>
            <w:vAlign w:val="center"/>
          </w:tcPr>
          <w:p w14:paraId="0A838018">
            <w:pPr>
              <w:pStyle w:val="11"/>
            </w:pPr>
            <w:r>
              <w:t>3</w:t>
            </w:r>
          </w:p>
        </w:tc>
        <w:tc>
          <w:tcPr>
            <w:tcW w:w="2551" w:type="dxa"/>
            <w:vAlign w:val="center"/>
          </w:tcPr>
          <w:p w14:paraId="36ED0633">
            <w:pPr>
              <w:pStyle w:val="11"/>
            </w:pPr>
            <w:r>
              <w:t>4</w:t>
            </w:r>
          </w:p>
        </w:tc>
        <w:tc>
          <w:tcPr>
            <w:tcW w:w="2551" w:type="dxa"/>
            <w:vAlign w:val="center"/>
          </w:tcPr>
          <w:p w14:paraId="54EDB0D8">
            <w:pPr>
              <w:pStyle w:val="11"/>
            </w:pPr>
            <w:r>
              <w:t>5</w:t>
            </w:r>
          </w:p>
        </w:tc>
      </w:tr>
      <w:tr w14:paraId="582EE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67E57">
            <w:pPr>
              <w:pStyle w:val="12"/>
            </w:pPr>
          </w:p>
        </w:tc>
        <w:tc>
          <w:tcPr>
            <w:tcW w:w="1191" w:type="dxa"/>
            <w:vAlign w:val="center"/>
          </w:tcPr>
          <w:p w14:paraId="6FAD3A1D">
            <w:pPr>
              <w:pStyle w:val="13"/>
            </w:pPr>
          </w:p>
        </w:tc>
        <w:tc>
          <w:tcPr>
            <w:tcW w:w="4535" w:type="dxa"/>
            <w:vAlign w:val="center"/>
          </w:tcPr>
          <w:p w14:paraId="7B9CB143">
            <w:pPr>
              <w:pStyle w:val="13"/>
            </w:pPr>
          </w:p>
        </w:tc>
        <w:tc>
          <w:tcPr>
            <w:tcW w:w="2551" w:type="dxa"/>
            <w:vAlign w:val="center"/>
          </w:tcPr>
          <w:p w14:paraId="4D1DDF59">
            <w:pPr>
              <w:pStyle w:val="14"/>
            </w:pPr>
          </w:p>
        </w:tc>
        <w:tc>
          <w:tcPr>
            <w:tcW w:w="2551" w:type="dxa"/>
            <w:vAlign w:val="center"/>
          </w:tcPr>
          <w:p w14:paraId="0E75FECF">
            <w:pPr>
              <w:pStyle w:val="14"/>
            </w:pPr>
          </w:p>
        </w:tc>
        <w:tc>
          <w:tcPr>
            <w:tcW w:w="2551" w:type="dxa"/>
            <w:vAlign w:val="center"/>
          </w:tcPr>
          <w:p w14:paraId="3E2D0DED">
            <w:pPr>
              <w:pStyle w:val="14"/>
            </w:pPr>
          </w:p>
        </w:tc>
      </w:tr>
    </w:tbl>
    <w:p w14:paraId="3F7815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44BD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4FD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2DCDED">
            <w:pPr>
              <w:pStyle w:val="8"/>
            </w:pPr>
            <w:r>
              <w:t>360012隆尧县特殊教育学校</w:t>
            </w:r>
          </w:p>
        </w:tc>
        <w:tc>
          <w:tcPr>
            <w:tcW w:w="2551" w:type="dxa"/>
            <w:tcBorders>
              <w:top w:val="single" w:color="FFFFFF" w:sz="6" w:space="0"/>
              <w:left w:val="single" w:color="FFFFFF" w:sz="6" w:space="0"/>
              <w:right w:val="single" w:color="FFFFFF" w:sz="6" w:space="0"/>
            </w:tcBorders>
            <w:vAlign w:val="center"/>
          </w:tcPr>
          <w:p w14:paraId="074A3B7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36286D4">
            <w:pPr>
              <w:pStyle w:val="10"/>
            </w:pPr>
            <w:r>
              <w:t>单位：万元</w:t>
            </w:r>
          </w:p>
        </w:tc>
      </w:tr>
      <w:tr w14:paraId="15FC8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39E9AD">
            <w:pPr>
              <w:pStyle w:val="11"/>
            </w:pPr>
            <w:r>
              <w:t>序号</w:t>
            </w:r>
          </w:p>
        </w:tc>
        <w:tc>
          <w:tcPr>
            <w:tcW w:w="5726" w:type="dxa"/>
            <w:gridSpan w:val="2"/>
            <w:vAlign w:val="center"/>
          </w:tcPr>
          <w:p w14:paraId="0222A77D">
            <w:pPr>
              <w:pStyle w:val="11"/>
            </w:pPr>
            <w:r>
              <w:t>功能分类科目</w:t>
            </w:r>
          </w:p>
        </w:tc>
        <w:tc>
          <w:tcPr>
            <w:tcW w:w="2551" w:type="dxa"/>
            <w:vMerge w:val="restart"/>
            <w:vAlign w:val="center"/>
          </w:tcPr>
          <w:p w14:paraId="5FA60CCB">
            <w:pPr>
              <w:pStyle w:val="11"/>
            </w:pPr>
            <w:r>
              <w:t>合计</w:t>
            </w:r>
          </w:p>
        </w:tc>
        <w:tc>
          <w:tcPr>
            <w:tcW w:w="2551" w:type="dxa"/>
            <w:vMerge w:val="restart"/>
            <w:vAlign w:val="center"/>
          </w:tcPr>
          <w:p w14:paraId="679809B0">
            <w:pPr>
              <w:pStyle w:val="11"/>
            </w:pPr>
            <w:r>
              <w:t>基本支出</w:t>
            </w:r>
          </w:p>
        </w:tc>
        <w:tc>
          <w:tcPr>
            <w:tcW w:w="2551" w:type="dxa"/>
            <w:vMerge w:val="restart"/>
            <w:vAlign w:val="center"/>
          </w:tcPr>
          <w:p w14:paraId="6821F5D1">
            <w:pPr>
              <w:pStyle w:val="11"/>
            </w:pPr>
            <w:r>
              <w:t>项目支出</w:t>
            </w:r>
          </w:p>
        </w:tc>
      </w:tr>
      <w:tr w14:paraId="6D4BA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80BDF1"/>
        </w:tc>
        <w:tc>
          <w:tcPr>
            <w:tcW w:w="1191" w:type="dxa"/>
            <w:vAlign w:val="center"/>
          </w:tcPr>
          <w:p w14:paraId="28596AFF">
            <w:pPr>
              <w:pStyle w:val="11"/>
            </w:pPr>
            <w:r>
              <w:t>科目编码</w:t>
            </w:r>
          </w:p>
        </w:tc>
        <w:tc>
          <w:tcPr>
            <w:tcW w:w="4535" w:type="dxa"/>
            <w:vAlign w:val="center"/>
          </w:tcPr>
          <w:p w14:paraId="0A444268">
            <w:pPr>
              <w:pStyle w:val="11"/>
            </w:pPr>
            <w:r>
              <w:t>科目名称</w:t>
            </w:r>
          </w:p>
        </w:tc>
        <w:tc>
          <w:tcPr>
            <w:tcW w:w="2551" w:type="dxa"/>
            <w:vMerge w:val="continue"/>
          </w:tcPr>
          <w:p w14:paraId="684FD188"/>
        </w:tc>
        <w:tc>
          <w:tcPr>
            <w:tcW w:w="2551" w:type="dxa"/>
            <w:vMerge w:val="continue"/>
          </w:tcPr>
          <w:p w14:paraId="543EBDFC"/>
        </w:tc>
        <w:tc>
          <w:tcPr>
            <w:tcW w:w="2551" w:type="dxa"/>
            <w:vMerge w:val="continue"/>
          </w:tcPr>
          <w:p w14:paraId="24707418"/>
        </w:tc>
      </w:tr>
      <w:tr w14:paraId="1CEE5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FAF4F">
            <w:pPr>
              <w:pStyle w:val="11"/>
            </w:pPr>
            <w:r>
              <w:t>栏次</w:t>
            </w:r>
          </w:p>
        </w:tc>
        <w:tc>
          <w:tcPr>
            <w:tcW w:w="1191" w:type="dxa"/>
            <w:vAlign w:val="center"/>
          </w:tcPr>
          <w:p w14:paraId="451ABF2C">
            <w:pPr>
              <w:pStyle w:val="11"/>
            </w:pPr>
            <w:r>
              <w:t>1</w:t>
            </w:r>
          </w:p>
        </w:tc>
        <w:tc>
          <w:tcPr>
            <w:tcW w:w="4535" w:type="dxa"/>
            <w:vAlign w:val="center"/>
          </w:tcPr>
          <w:p w14:paraId="7907DE91">
            <w:pPr>
              <w:pStyle w:val="11"/>
            </w:pPr>
            <w:r>
              <w:t>2</w:t>
            </w:r>
          </w:p>
        </w:tc>
        <w:tc>
          <w:tcPr>
            <w:tcW w:w="2551" w:type="dxa"/>
            <w:vAlign w:val="center"/>
          </w:tcPr>
          <w:p w14:paraId="57E730F9">
            <w:pPr>
              <w:pStyle w:val="11"/>
            </w:pPr>
            <w:r>
              <w:t>3</w:t>
            </w:r>
          </w:p>
        </w:tc>
        <w:tc>
          <w:tcPr>
            <w:tcW w:w="2551" w:type="dxa"/>
            <w:vAlign w:val="center"/>
          </w:tcPr>
          <w:p w14:paraId="40F66D93">
            <w:pPr>
              <w:pStyle w:val="11"/>
            </w:pPr>
            <w:r>
              <w:t>4</w:t>
            </w:r>
          </w:p>
        </w:tc>
        <w:tc>
          <w:tcPr>
            <w:tcW w:w="2551" w:type="dxa"/>
            <w:vAlign w:val="center"/>
          </w:tcPr>
          <w:p w14:paraId="56408CC9">
            <w:pPr>
              <w:pStyle w:val="11"/>
            </w:pPr>
            <w:r>
              <w:t>5</w:t>
            </w:r>
          </w:p>
        </w:tc>
      </w:tr>
      <w:tr w14:paraId="55883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F8668">
            <w:pPr>
              <w:pStyle w:val="12"/>
            </w:pPr>
          </w:p>
        </w:tc>
        <w:tc>
          <w:tcPr>
            <w:tcW w:w="1191" w:type="dxa"/>
            <w:vAlign w:val="center"/>
          </w:tcPr>
          <w:p w14:paraId="72EF0538">
            <w:pPr>
              <w:pStyle w:val="13"/>
            </w:pPr>
          </w:p>
        </w:tc>
        <w:tc>
          <w:tcPr>
            <w:tcW w:w="4535" w:type="dxa"/>
            <w:vAlign w:val="center"/>
          </w:tcPr>
          <w:p w14:paraId="107FC39A">
            <w:pPr>
              <w:pStyle w:val="13"/>
            </w:pPr>
          </w:p>
        </w:tc>
        <w:tc>
          <w:tcPr>
            <w:tcW w:w="2551" w:type="dxa"/>
            <w:vAlign w:val="center"/>
          </w:tcPr>
          <w:p w14:paraId="0EC8026E">
            <w:pPr>
              <w:pStyle w:val="14"/>
            </w:pPr>
          </w:p>
        </w:tc>
        <w:tc>
          <w:tcPr>
            <w:tcW w:w="2551" w:type="dxa"/>
            <w:vAlign w:val="center"/>
          </w:tcPr>
          <w:p w14:paraId="4C94D182">
            <w:pPr>
              <w:pStyle w:val="14"/>
            </w:pPr>
          </w:p>
        </w:tc>
        <w:tc>
          <w:tcPr>
            <w:tcW w:w="2551" w:type="dxa"/>
            <w:vAlign w:val="center"/>
          </w:tcPr>
          <w:p w14:paraId="088A9FDB">
            <w:pPr>
              <w:pStyle w:val="14"/>
            </w:pPr>
          </w:p>
        </w:tc>
      </w:tr>
    </w:tbl>
    <w:p w14:paraId="27D12E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3386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2F4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D65963">
            <w:pPr>
              <w:pStyle w:val="8"/>
            </w:pPr>
            <w:r>
              <w:t>360012隆尧县特殊教育学校</w:t>
            </w:r>
          </w:p>
        </w:tc>
        <w:tc>
          <w:tcPr>
            <w:tcW w:w="2381" w:type="dxa"/>
            <w:tcBorders>
              <w:top w:val="single" w:color="FFFFFF" w:sz="6" w:space="0"/>
              <w:left w:val="single" w:color="FFFFFF" w:sz="6" w:space="0"/>
              <w:right w:val="single" w:color="FFFFFF" w:sz="6" w:space="0"/>
            </w:tcBorders>
            <w:vAlign w:val="center"/>
          </w:tcPr>
          <w:p w14:paraId="49D57362">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A4ACE83">
            <w:pPr>
              <w:pStyle w:val="10"/>
            </w:pPr>
            <w:r>
              <w:t>单位：万元</w:t>
            </w:r>
          </w:p>
        </w:tc>
      </w:tr>
      <w:tr w14:paraId="3ED55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3A4A10">
            <w:pPr>
              <w:pStyle w:val="11"/>
            </w:pPr>
            <w:r>
              <w:t>序号</w:t>
            </w:r>
          </w:p>
        </w:tc>
        <w:tc>
          <w:tcPr>
            <w:tcW w:w="3798" w:type="dxa"/>
            <w:vMerge w:val="restart"/>
            <w:vAlign w:val="center"/>
          </w:tcPr>
          <w:p w14:paraId="5316C770">
            <w:pPr>
              <w:pStyle w:val="11"/>
            </w:pPr>
            <w:r>
              <w:t>项  目</w:t>
            </w:r>
          </w:p>
        </w:tc>
        <w:tc>
          <w:tcPr>
            <w:tcW w:w="9524" w:type="dxa"/>
            <w:gridSpan w:val="4"/>
            <w:vAlign w:val="center"/>
          </w:tcPr>
          <w:p w14:paraId="04E2B21F">
            <w:pPr>
              <w:pStyle w:val="11"/>
            </w:pPr>
            <w:r>
              <w:t>资 金 性 质</w:t>
            </w:r>
          </w:p>
        </w:tc>
      </w:tr>
      <w:tr w14:paraId="2851A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D119CD"/>
        </w:tc>
        <w:tc>
          <w:tcPr>
            <w:tcW w:w="3798" w:type="dxa"/>
            <w:vMerge w:val="continue"/>
          </w:tcPr>
          <w:p w14:paraId="617D9462"/>
        </w:tc>
        <w:tc>
          <w:tcPr>
            <w:tcW w:w="2381" w:type="dxa"/>
            <w:vAlign w:val="center"/>
          </w:tcPr>
          <w:p w14:paraId="4649BC47">
            <w:pPr>
              <w:pStyle w:val="11"/>
            </w:pPr>
            <w:r>
              <w:t>合计</w:t>
            </w:r>
          </w:p>
        </w:tc>
        <w:tc>
          <w:tcPr>
            <w:tcW w:w="2381" w:type="dxa"/>
            <w:vAlign w:val="center"/>
          </w:tcPr>
          <w:p w14:paraId="20EE564D">
            <w:pPr>
              <w:pStyle w:val="11"/>
            </w:pPr>
            <w:r>
              <w:t>一般公共预算              财政拨款</w:t>
            </w:r>
          </w:p>
        </w:tc>
        <w:tc>
          <w:tcPr>
            <w:tcW w:w="2381" w:type="dxa"/>
            <w:vAlign w:val="center"/>
          </w:tcPr>
          <w:p w14:paraId="066A98B7">
            <w:pPr>
              <w:pStyle w:val="11"/>
            </w:pPr>
            <w:r>
              <w:t>政府性基金                  预算拨款</w:t>
            </w:r>
          </w:p>
        </w:tc>
        <w:tc>
          <w:tcPr>
            <w:tcW w:w="2381" w:type="dxa"/>
            <w:vAlign w:val="center"/>
          </w:tcPr>
          <w:p w14:paraId="077468C8">
            <w:pPr>
              <w:pStyle w:val="11"/>
            </w:pPr>
            <w:r>
              <w:t>国有资本经营              预算财政拨款</w:t>
            </w:r>
          </w:p>
        </w:tc>
      </w:tr>
      <w:tr w14:paraId="122D9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A69EDD">
            <w:pPr>
              <w:pStyle w:val="11"/>
            </w:pPr>
            <w:r>
              <w:t>栏次</w:t>
            </w:r>
          </w:p>
        </w:tc>
        <w:tc>
          <w:tcPr>
            <w:tcW w:w="3798" w:type="dxa"/>
            <w:vAlign w:val="center"/>
          </w:tcPr>
          <w:p w14:paraId="79E8B6EC">
            <w:pPr>
              <w:pStyle w:val="11"/>
            </w:pPr>
            <w:r>
              <w:t>1</w:t>
            </w:r>
          </w:p>
        </w:tc>
        <w:tc>
          <w:tcPr>
            <w:tcW w:w="2381" w:type="dxa"/>
            <w:vAlign w:val="center"/>
          </w:tcPr>
          <w:p w14:paraId="6AE145E4">
            <w:pPr>
              <w:pStyle w:val="11"/>
            </w:pPr>
            <w:r>
              <w:t>2</w:t>
            </w:r>
          </w:p>
        </w:tc>
        <w:tc>
          <w:tcPr>
            <w:tcW w:w="2381" w:type="dxa"/>
            <w:vAlign w:val="center"/>
          </w:tcPr>
          <w:p w14:paraId="626C0C0D">
            <w:pPr>
              <w:pStyle w:val="11"/>
            </w:pPr>
            <w:r>
              <w:t>3</w:t>
            </w:r>
          </w:p>
        </w:tc>
        <w:tc>
          <w:tcPr>
            <w:tcW w:w="2381" w:type="dxa"/>
            <w:vAlign w:val="center"/>
          </w:tcPr>
          <w:p w14:paraId="3FFE00E8">
            <w:pPr>
              <w:pStyle w:val="11"/>
            </w:pPr>
            <w:r>
              <w:t>4</w:t>
            </w:r>
          </w:p>
        </w:tc>
        <w:tc>
          <w:tcPr>
            <w:tcW w:w="2381" w:type="dxa"/>
            <w:vAlign w:val="center"/>
          </w:tcPr>
          <w:p w14:paraId="2407FD69">
            <w:pPr>
              <w:pStyle w:val="11"/>
            </w:pPr>
            <w:r>
              <w:t>5</w:t>
            </w:r>
          </w:p>
        </w:tc>
      </w:tr>
      <w:tr w14:paraId="530D8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FB4039">
            <w:pPr>
              <w:pStyle w:val="12"/>
            </w:pPr>
          </w:p>
        </w:tc>
        <w:tc>
          <w:tcPr>
            <w:tcW w:w="3798" w:type="dxa"/>
            <w:vAlign w:val="center"/>
          </w:tcPr>
          <w:p w14:paraId="1A353FC0">
            <w:pPr>
              <w:pStyle w:val="13"/>
            </w:pPr>
          </w:p>
        </w:tc>
        <w:tc>
          <w:tcPr>
            <w:tcW w:w="2381" w:type="dxa"/>
            <w:vAlign w:val="center"/>
          </w:tcPr>
          <w:p w14:paraId="3489EB87">
            <w:pPr>
              <w:pStyle w:val="14"/>
            </w:pPr>
          </w:p>
        </w:tc>
        <w:tc>
          <w:tcPr>
            <w:tcW w:w="2381" w:type="dxa"/>
            <w:vAlign w:val="center"/>
          </w:tcPr>
          <w:p w14:paraId="158C8943">
            <w:pPr>
              <w:pStyle w:val="14"/>
            </w:pPr>
          </w:p>
        </w:tc>
        <w:tc>
          <w:tcPr>
            <w:tcW w:w="2381" w:type="dxa"/>
            <w:vAlign w:val="center"/>
          </w:tcPr>
          <w:p w14:paraId="5C838253">
            <w:pPr>
              <w:pStyle w:val="14"/>
            </w:pPr>
          </w:p>
        </w:tc>
        <w:tc>
          <w:tcPr>
            <w:tcW w:w="2381" w:type="dxa"/>
            <w:vAlign w:val="center"/>
          </w:tcPr>
          <w:p w14:paraId="656262E9">
            <w:pPr>
              <w:pStyle w:val="14"/>
            </w:pPr>
          </w:p>
        </w:tc>
      </w:tr>
    </w:tbl>
    <w:p w14:paraId="01DE477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6CC8D92">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隆尧县特殊教育学校2025年单位预算信息公开情况说明</w:t>
      </w:r>
    </w:p>
    <w:p w14:paraId="009E7C9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按照《中华人民共和国预算法》、《地方预决算公开操作规程》和《关于进一步推进预算公开工作的实施意见》规定，现将隆尧县特殊教育学校2025年单位预算公开如下：</w:t>
      </w:r>
    </w:p>
    <w:p w14:paraId="45F5D04C">
      <w:pPr>
        <w:spacing w:before="10" w:after="10" w:line="240" w:lineRule="auto"/>
        <w:ind w:firstLine="640"/>
        <w:jc w:val="left"/>
        <w:outlineLvl w:val="5"/>
      </w:pPr>
      <w:r>
        <w:rPr>
          <w:rFonts w:ascii="黑体" w:hAnsi="黑体" w:eastAsia="黑体" w:cs="黑体"/>
          <w:color w:val="000000"/>
          <w:sz w:val="32"/>
        </w:rPr>
        <w:t>一、单位职责及机构设置情况</w:t>
      </w:r>
    </w:p>
    <w:p w14:paraId="0C34C67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F2395C1">
      <w:pPr>
        <w:pStyle w:val="18"/>
      </w:pPr>
      <w:r>
        <w:t>1.贯彻落实特殊教育的方针、政策，开展九年义务教育阶段教育教学工作，促进学生德、智、体、美、劳全面发展；</w:t>
      </w:r>
    </w:p>
    <w:p w14:paraId="63EB5A0E">
      <w:pPr>
        <w:pStyle w:val="18"/>
      </w:pPr>
      <w:r>
        <w:t>2. 负责学生安全教育和管理，确保学生身心健康；</w:t>
      </w:r>
    </w:p>
    <w:p w14:paraId="507C6069">
      <w:pPr>
        <w:pStyle w:val="18"/>
      </w:pPr>
      <w:r>
        <w:t>3. 加强教师队伍建设和管理，为教育教学工作提供保障。</w:t>
      </w:r>
    </w:p>
    <w:p w14:paraId="3831FE51">
      <w:pPr>
        <w:pStyle w:val="18"/>
      </w:pPr>
      <w:r>
        <w:t>隆尧县特殊教育学校事业编制7名，其中校长1名；经费形式为财政性资金基本保证。</w:t>
      </w:r>
    </w:p>
    <w:p w14:paraId="65DD0FF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1ACF1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C2D0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68DBA8">
            <w:pPr>
              <w:pStyle w:val="11"/>
            </w:pPr>
            <w:r>
              <w:t>单位名称</w:t>
            </w:r>
          </w:p>
        </w:tc>
        <w:tc>
          <w:tcPr>
            <w:tcW w:w="1843" w:type="dxa"/>
            <w:vAlign w:val="center"/>
          </w:tcPr>
          <w:p w14:paraId="0B95147D">
            <w:pPr>
              <w:pStyle w:val="11"/>
            </w:pPr>
            <w:r>
              <w:t>单位性质</w:t>
            </w:r>
          </w:p>
        </w:tc>
        <w:tc>
          <w:tcPr>
            <w:tcW w:w="2126" w:type="dxa"/>
            <w:vAlign w:val="center"/>
          </w:tcPr>
          <w:p w14:paraId="227A6B0E">
            <w:pPr>
              <w:pStyle w:val="11"/>
            </w:pPr>
            <w:r>
              <w:t>单位规格</w:t>
            </w:r>
          </w:p>
        </w:tc>
        <w:tc>
          <w:tcPr>
            <w:tcW w:w="3827" w:type="dxa"/>
            <w:vAlign w:val="center"/>
          </w:tcPr>
          <w:p w14:paraId="1326B575">
            <w:pPr>
              <w:pStyle w:val="11"/>
            </w:pPr>
            <w:r>
              <w:t>经费保障形式</w:t>
            </w:r>
          </w:p>
        </w:tc>
      </w:tr>
      <w:tr w14:paraId="1D530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70CE1A3">
            <w:pPr>
              <w:pStyle w:val="13"/>
            </w:pPr>
            <w:r>
              <w:t>隆尧县特殊教育学校</w:t>
            </w:r>
          </w:p>
        </w:tc>
        <w:tc>
          <w:tcPr>
            <w:tcW w:w="1843" w:type="dxa"/>
            <w:vAlign w:val="center"/>
          </w:tcPr>
          <w:p w14:paraId="657667DD">
            <w:pPr>
              <w:pStyle w:val="12"/>
            </w:pPr>
            <w:r>
              <w:t>事业</w:t>
            </w:r>
          </w:p>
        </w:tc>
        <w:tc>
          <w:tcPr>
            <w:tcW w:w="2126" w:type="dxa"/>
            <w:vAlign w:val="center"/>
          </w:tcPr>
          <w:p w14:paraId="077F5BAF">
            <w:pPr>
              <w:pStyle w:val="12"/>
            </w:pPr>
            <w:r>
              <w:t>股级</w:t>
            </w:r>
          </w:p>
        </w:tc>
        <w:tc>
          <w:tcPr>
            <w:tcW w:w="3827" w:type="dxa"/>
            <w:vAlign w:val="center"/>
          </w:tcPr>
          <w:p w14:paraId="0F83B249">
            <w:pPr>
              <w:pStyle w:val="12"/>
            </w:pPr>
            <w:r>
              <w:t>财政性资金基本保证</w:t>
            </w:r>
          </w:p>
        </w:tc>
      </w:tr>
    </w:tbl>
    <w:p w14:paraId="7557EE8A">
      <w:pPr>
        <w:spacing w:before="10" w:after="10" w:line="240" w:lineRule="auto"/>
        <w:ind w:firstLine="640"/>
        <w:jc w:val="left"/>
        <w:outlineLvl w:val="5"/>
      </w:pPr>
      <w:r>
        <w:rPr>
          <w:rFonts w:ascii="黑体" w:hAnsi="黑体" w:eastAsia="黑体" w:cs="黑体"/>
          <w:color w:val="000000"/>
          <w:sz w:val="32"/>
        </w:rPr>
        <w:t>二、单位预算安排的总体情况</w:t>
      </w:r>
    </w:p>
    <w:p w14:paraId="760314E5">
      <w:pPr>
        <w:pStyle w:val="19"/>
      </w:pPr>
      <w:r>
        <w:t>按照预算管理有关规定，目前我单位预算的编制实行综合预算管理，即全部收入和支出都反映在预算中。隆尧县特殊教育学校的收支包含在单位预算中。</w:t>
      </w:r>
    </w:p>
    <w:p w14:paraId="154B7DE5">
      <w:pPr>
        <w:pStyle w:val="19"/>
      </w:pPr>
      <w:r>
        <w:t>1、收入说明</w:t>
      </w:r>
    </w:p>
    <w:p w14:paraId="02E08720">
      <w:pPr>
        <w:pStyle w:val="19"/>
      </w:pPr>
      <w:r>
        <w:t>反映本单位当年全部收入。2025年预算收入191.56万元，其中：一般公共预算收入191.56万元，基金预算收入0万元，国有资本经营预算收入0万元，财政专户核拨收入0万元，单位资金收入0万元，上年结转结余0万元。</w:t>
      </w:r>
    </w:p>
    <w:p w14:paraId="1AAE7C7C">
      <w:pPr>
        <w:pStyle w:val="19"/>
      </w:pPr>
      <w:r>
        <w:t>2、支出说明</w:t>
      </w:r>
    </w:p>
    <w:p w14:paraId="6F9AEC6A">
      <w:pPr>
        <w:pStyle w:val="19"/>
      </w:pPr>
      <w:r>
        <w:t>收支预算总表支出栏、基本支出表、项目支出表按经济分类和支出功能分类科目编制，反映隆尧县特殊教育学校年度部门预算中支出预算的总体情况。2025年支出预算191.56万元，其中基本支出109.06万元，项目支出82.50万元。</w:t>
      </w:r>
    </w:p>
    <w:p w14:paraId="213C1049">
      <w:pPr>
        <w:pStyle w:val="19"/>
      </w:pPr>
      <w:r>
        <w:t>3、比上年增减情况</w:t>
      </w:r>
    </w:p>
    <w:p w14:paraId="5EEE7960">
      <w:pPr>
        <w:pStyle w:val="19"/>
      </w:pPr>
      <w:r>
        <w:t>2025年预算收支安排191.56万元，较2024年预算增加37.09万元，其中：基本支出增加17.96万元，项目支出增加19.13万元。</w:t>
      </w:r>
    </w:p>
    <w:p w14:paraId="1B5244B3">
      <w:pPr>
        <w:spacing w:before="10" w:after="10" w:line="240" w:lineRule="auto"/>
        <w:ind w:firstLine="640"/>
        <w:jc w:val="left"/>
        <w:outlineLvl w:val="5"/>
      </w:pPr>
      <w:r>
        <w:rPr>
          <w:rFonts w:ascii="黑体" w:hAnsi="黑体" w:eastAsia="黑体" w:cs="黑体"/>
          <w:color w:val="000000"/>
          <w:sz w:val="32"/>
        </w:rPr>
        <w:t>三、机关运行经费安排情况</w:t>
      </w:r>
    </w:p>
    <w:p w14:paraId="44965414">
      <w:pPr>
        <w:pStyle w:val="20"/>
      </w:pPr>
      <w:r>
        <w:t>我单位按学生安排公用经费，无机关运行经费。</w:t>
      </w:r>
    </w:p>
    <w:p w14:paraId="74FDB42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353C39">
      <w:pPr>
        <w:pStyle w:val="21"/>
      </w:pPr>
      <w:r>
        <w:t>我单位未安排三公经费。</w:t>
      </w:r>
    </w:p>
    <w:p w14:paraId="4ED0029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C18B5C">
      <w:pPr>
        <w:spacing w:before="0" w:after="0"/>
        <w:ind w:firstLine="560"/>
        <w:jc w:val="left"/>
        <w:outlineLvl w:val="9"/>
      </w:pPr>
      <w:r>
        <w:rPr>
          <w:rFonts w:ascii="方正仿宋_GBK" w:hAnsi="方正仿宋_GBK" w:eastAsia="方正仿宋_GBK" w:cs="方正仿宋_GBK"/>
          <w:b/>
          <w:color w:val="000000"/>
          <w:sz w:val="28"/>
        </w:rPr>
        <w:t>1、冀财教[2024]119号/中央/2025年特殊教育/特教学校专用设备购置绩效目标表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FE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13452">
            <w:pPr>
              <w:pStyle w:val="14"/>
            </w:pPr>
            <w:r>
              <w:t>单位：万元</w:t>
            </w:r>
          </w:p>
        </w:tc>
      </w:tr>
      <w:tr w14:paraId="349AB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2E9C1">
            <w:pPr>
              <w:pStyle w:val="11"/>
            </w:pPr>
            <w:r>
              <w:t>项目编码</w:t>
            </w:r>
          </w:p>
        </w:tc>
        <w:tc>
          <w:tcPr>
            <w:tcW w:w="5103" w:type="dxa"/>
            <w:gridSpan w:val="2"/>
            <w:vAlign w:val="center"/>
          </w:tcPr>
          <w:p w14:paraId="3C43DB31">
            <w:pPr>
              <w:pStyle w:val="13"/>
            </w:pPr>
            <w:r>
              <w:t>13052525P00876110001Q</w:t>
            </w:r>
          </w:p>
        </w:tc>
        <w:tc>
          <w:tcPr>
            <w:tcW w:w="2835" w:type="dxa"/>
            <w:vAlign w:val="center"/>
          </w:tcPr>
          <w:p w14:paraId="70DE83B5">
            <w:pPr>
              <w:pStyle w:val="11"/>
            </w:pPr>
            <w:r>
              <w:t>项目名称</w:t>
            </w:r>
          </w:p>
        </w:tc>
        <w:tc>
          <w:tcPr>
            <w:tcW w:w="6095" w:type="dxa"/>
            <w:gridSpan w:val="3"/>
            <w:vAlign w:val="center"/>
          </w:tcPr>
          <w:p w14:paraId="4C61FC26">
            <w:pPr>
              <w:pStyle w:val="13"/>
            </w:pPr>
            <w:r>
              <w:t>冀财教[2024]119号/中央/2025年特殊教育/特教学校专用设备购置</w:t>
            </w:r>
          </w:p>
        </w:tc>
      </w:tr>
      <w:tr w14:paraId="71AD0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54D2D">
            <w:pPr>
              <w:pStyle w:val="11"/>
            </w:pPr>
            <w:r>
              <w:t>预算规模及资金用途</w:t>
            </w:r>
          </w:p>
        </w:tc>
        <w:tc>
          <w:tcPr>
            <w:tcW w:w="2268" w:type="dxa"/>
            <w:vAlign w:val="center"/>
          </w:tcPr>
          <w:p w14:paraId="6A76BAD5">
            <w:pPr>
              <w:pStyle w:val="11"/>
            </w:pPr>
            <w:r>
              <w:t>预算数</w:t>
            </w:r>
          </w:p>
        </w:tc>
        <w:tc>
          <w:tcPr>
            <w:tcW w:w="2835" w:type="dxa"/>
            <w:vAlign w:val="center"/>
          </w:tcPr>
          <w:p w14:paraId="6381A41D">
            <w:pPr>
              <w:pStyle w:val="13"/>
            </w:pPr>
            <w:r>
              <w:t>11.00</w:t>
            </w:r>
          </w:p>
        </w:tc>
        <w:tc>
          <w:tcPr>
            <w:tcW w:w="2835" w:type="dxa"/>
            <w:vAlign w:val="center"/>
          </w:tcPr>
          <w:p w14:paraId="352BD0D7">
            <w:pPr>
              <w:pStyle w:val="11"/>
            </w:pPr>
            <w:r>
              <w:t>其中：财政    资金</w:t>
            </w:r>
          </w:p>
        </w:tc>
        <w:tc>
          <w:tcPr>
            <w:tcW w:w="2551" w:type="dxa"/>
            <w:vAlign w:val="center"/>
          </w:tcPr>
          <w:p w14:paraId="09DB2E9E">
            <w:pPr>
              <w:pStyle w:val="13"/>
            </w:pPr>
            <w:r>
              <w:t>11.00</w:t>
            </w:r>
          </w:p>
        </w:tc>
        <w:tc>
          <w:tcPr>
            <w:tcW w:w="2268" w:type="dxa"/>
            <w:vAlign w:val="center"/>
          </w:tcPr>
          <w:p w14:paraId="6B919454">
            <w:pPr>
              <w:pStyle w:val="11"/>
            </w:pPr>
            <w:r>
              <w:t>其他资金</w:t>
            </w:r>
          </w:p>
        </w:tc>
        <w:tc>
          <w:tcPr>
            <w:tcW w:w="1276" w:type="dxa"/>
            <w:vAlign w:val="center"/>
          </w:tcPr>
          <w:p w14:paraId="290292A7">
            <w:pPr>
              <w:pStyle w:val="13"/>
            </w:pPr>
            <w:r>
              <w:t xml:space="preserve"> </w:t>
            </w:r>
          </w:p>
        </w:tc>
      </w:tr>
      <w:tr w14:paraId="3C879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A61A62"/>
        </w:tc>
        <w:tc>
          <w:tcPr>
            <w:tcW w:w="14033" w:type="dxa"/>
            <w:gridSpan w:val="6"/>
            <w:vAlign w:val="center"/>
          </w:tcPr>
          <w:p w14:paraId="0EEBD106">
            <w:pPr>
              <w:pStyle w:val="13"/>
            </w:pPr>
            <w:r>
              <w:t>扩大特殊教育资源，进一步改善办学条件，提升特殊教育质量。</w:t>
            </w:r>
          </w:p>
        </w:tc>
      </w:tr>
      <w:tr w14:paraId="01394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BC737">
            <w:pPr>
              <w:pStyle w:val="11"/>
            </w:pPr>
            <w:r>
              <w:t>资金支出计划（%）</w:t>
            </w:r>
          </w:p>
        </w:tc>
        <w:tc>
          <w:tcPr>
            <w:tcW w:w="5103" w:type="dxa"/>
            <w:gridSpan w:val="2"/>
            <w:vAlign w:val="center"/>
          </w:tcPr>
          <w:p w14:paraId="2FCE3B64">
            <w:pPr>
              <w:pStyle w:val="11"/>
            </w:pPr>
            <w:r>
              <w:t>3月底</w:t>
            </w:r>
          </w:p>
        </w:tc>
        <w:tc>
          <w:tcPr>
            <w:tcW w:w="2835" w:type="dxa"/>
            <w:vAlign w:val="center"/>
          </w:tcPr>
          <w:p w14:paraId="379D62B7">
            <w:pPr>
              <w:pStyle w:val="11"/>
            </w:pPr>
            <w:r>
              <w:t>6月底</w:t>
            </w:r>
          </w:p>
        </w:tc>
        <w:tc>
          <w:tcPr>
            <w:tcW w:w="2551" w:type="dxa"/>
            <w:vAlign w:val="center"/>
          </w:tcPr>
          <w:p w14:paraId="66A12217">
            <w:pPr>
              <w:pStyle w:val="11"/>
            </w:pPr>
            <w:r>
              <w:t>10月底</w:t>
            </w:r>
          </w:p>
        </w:tc>
        <w:tc>
          <w:tcPr>
            <w:tcW w:w="3544" w:type="dxa"/>
            <w:gridSpan w:val="2"/>
            <w:vAlign w:val="center"/>
          </w:tcPr>
          <w:p w14:paraId="4BA85ED1">
            <w:pPr>
              <w:pStyle w:val="11"/>
            </w:pPr>
            <w:r>
              <w:t>12月底</w:t>
            </w:r>
          </w:p>
        </w:tc>
      </w:tr>
      <w:tr w14:paraId="0D101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B72BD"/>
        </w:tc>
        <w:tc>
          <w:tcPr>
            <w:tcW w:w="5103" w:type="dxa"/>
            <w:gridSpan w:val="2"/>
            <w:vAlign w:val="center"/>
          </w:tcPr>
          <w:p w14:paraId="6CA41E96">
            <w:pPr>
              <w:pStyle w:val="12"/>
            </w:pPr>
            <w:r>
              <w:t>25%</w:t>
            </w:r>
          </w:p>
        </w:tc>
        <w:tc>
          <w:tcPr>
            <w:tcW w:w="2835" w:type="dxa"/>
            <w:vAlign w:val="center"/>
          </w:tcPr>
          <w:p w14:paraId="21A00C19">
            <w:pPr>
              <w:pStyle w:val="12"/>
            </w:pPr>
            <w:r>
              <w:t>50%</w:t>
            </w:r>
          </w:p>
        </w:tc>
        <w:tc>
          <w:tcPr>
            <w:tcW w:w="2551" w:type="dxa"/>
            <w:vAlign w:val="center"/>
          </w:tcPr>
          <w:p w14:paraId="1E9E710B">
            <w:pPr>
              <w:pStyle w:val="12"/>
            </w:pPr>
            <w:r>
              <w:t>75%</w:t>
            </w:r>
          </w:p>
        </w:tc>
        <w:tc>
          <w:tcPr>
            <w:tcW w:w="3544" w:type="dxa"/>
            <w:gridSpan w:val="2"/>
            <w:vAlign w:val="center"/>
          </w:tcPr>
          <w:p w14:paraId="2950D9AE">
            <w:pPr>
              <w:pStyle w:val="12"/>
            </w:pPr>
            <w:r>
              <w:t>100%</w:t>
            </w:r>
          </w:p>
        </w:tc>
      </w:tr>
      <w:tr w14:paraId="77D6A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DF83A6">
            <w:pPr>
              <w:pStyle w:val="11"/>
            </w:pPr>
            <w:r>
              <w:t>绩效目标</w:t>
            </w:r>
          </w:p>
        </w:tc>
        <w:tc>
          <w:tcPr>
            <w:tcW w:w="14033" w:type="dxa"/>
            <w:gridSpan w:val="6"/>
            <w:vAlign w:val="center"/>
          </w:tcPr>
          <w:p w14:paraId="20F9C31A">
            <w:pPr>
              <w:pStyle w:val="13"/>
            </w:pPr>
            <w:r>
              <w:t>1.按规定拨付资金11万元，资金拨付率达到100%</w:t>
            </w:r>
          </w:p>
          <w:p w14:paraId="659C3295">
            <w:pPr>
              <w:pStyle w:val="13"/>
            </w:pPr>
            <w:r>
              <w:t>2.扩大特殊教育资源，进一步改善办学条件，提升特殊教育质量。</w:t>
            </w:r>
          </w:p>
        </w:tc>
      </w:tr>
    </w:tbl>
    <w:p w14:paraId="2CCDF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FB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CF0D8">
            <w:pPr>
              <w:pStyle w:val="11"/>
            </w:pPr>
            <w:r>
              <w:t>一级指标</w:t>
            </w:r>
          </w:p>
        </w:tc>
        <w:tc>
          <w:tcPr>
            <w:tcW w:w="2268" w:type="dxa"/>
            <w:vAlign w:val="center"/>
          </w:tcPr>
          <w:p w14:paraId="25879907">
            <w:pPr>
              <w:pStyle w:val="11"/>
            </w:pPr>
            <w:r>
              <w:t>二级指标</w:t>
            </w:r>
          </w:p>
        </w:tc>
        <w:tc>
          <w:tcPr>
            <w:tcW w:w="2835" w:type="dxa"/>
            <w:vAlign w:val="center"/>
          </w:tcPr>
          <w:p w14:paraId="1AF72D80">
            <w:pPr>
              <w:pStyle w:val="11"/>
            </w:pPr>
            <w:r>
              <w:t>三级指标</w:t>
            </w:r>
          </w:p>
        </w:tc>
        <w:tc>
          <w:tcPr>
            <w:tcW w:w="5386" w:type="dxa"/>
            <w:vAlign w:val="center"/>
          </w:tcPr>
          <w:p w14:paraId="645FCDE3">
            <w:pPr>
              <w:pStyle w:val="11"/>
            </w:pPr>
            <w:r>
              <w:t>绩效指标描述</w:t>
            </w:r>
          </w:p>
        </w:tc>
        <w:tc>
          <w:tcPr>
            <w:tcW w:w="2268" w:type="dxa"/>
            <w:vAlign w:val="center"/>
          </w:tcPr>
          <w:p w14:paraId="33AAC49F">
            <w:pPr>
              <w:pStyle w:val="11"/>
            </w:pPr>
            <w:r>
              <w:t>指标值</w:t>
            </w:r>
          </w:p>
        </w:tc>
        <w:tc>
          <w:tcPr>
            <w:tcW w:w="1276" w:type="dxa"/>
            <w:vAlign w:val="center"/>
          </w:tcPr>
          <w:p w14:paraId="5800D846">
            <w:pPr>
              <w:pStyle w:val="11"/>
            </w:pPr>
            <w:r>
              <w:t>指标值确定依据</w:t>
            </w:r>
          </w:p>
        </w:tc>
      </w:tr>
      <w:tr w14:paraId="0A2A2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F3C63">
            <w:pPr>
              <w:pStyle w:val="12"/>
            </w:pPr>
            <w:r>
              <w:t>产出指标</w:t>
            </w:r>
          </w:p>
        </w:tc>
        <w:tc>
          <w:tcPr>
            <w:tcW w:w="2268" w:type="dxa"/>
            <w:vAlign w:val="center"/>
          </w:tcPr>
          <w:p w14:paraId="7300CFDF">
            <w:pPr>
              <w:pStyle w:val="13"/>
            </w:pPr>
            <w:r>
              <w:t>数量指标</w:t>
            </w:r>
          </w:p>
        </w:tc>
        <w:tc>
          <w:tcPr>
            <w:tcW w:w="2835" w:type="dxa"/>
            <w:vAlign w:val="center"/>
          </w:tcPr>
          <w:p w14:paraId="161187BD">
            <w:pPr>
              <w:pStyle w:val="13"/>
            </w:pPr>
            <w:r>
              <w:t>受益在校生</w:t>
            </w:r>
          </w:p>
        </w:tc>
        <w:tc>
          <w:tcPr>
            <w:tcW w:w="5386" w:type="dxa"/>
            <w:vAlign w:val="center"/>
          </w:tcPr>
          <w:p w14:paraId="55AEF21E">
            <w:pPr>
              <w:pStyle w:val="13"/>
            </w:pPr>
            <w:r>
              <w:t>适龄在校就读受益学生数</w:t>
            </w:r>
          </w:p>
        </w:tc>
        <w:tc>
          <w:tcPr>
            <w:tcW w:w="2268" w:type="dxa"/>
            <w:vAlign w:val="center"/>
          </w:tcPr>
          <w:p w14:paraId="241CFFD3">
            <w:pPr>
              <w:pStyle w:val="13"/>
            </w:pPr>
            <w:r>
              <w:t>95人</w:t>
            </w:r>
          </w:p>
        </w:tc>
        <w:tc>
          <w:tcPr>
            <w:tcW w:w="1276" w:type="dxa"/>
            <w:vAlign w:val="center"/>
          </w:tcPr>
          <w:p w14:paraId="7FDAD6EA">
            <w:pPr>
              <w:pStyle w:val="13"/>
            </w:pPr>
            <w:r>
              <w:t>项目规划</w:t>
            </w:r>
          </w:p>
        </w:tc>
      </w:tr>
      <w:tr w14:paraId="7B8CD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31447"/>
        </w:tc>
        <w:tc>
          <w:tcPr>
            <w:tcW w:w="2268" w:type="dxa"/>
            <w:vAlign w:val="center"/>
          </w:tcPr>
          <w:p w14:paraId="635F09F9">
            <w:pPr>
              <w:pStyle w:val="13"/>
            </w:pPr>
            <w:r>
              <w:t>质量指标</w:t>
            </w:r>
          </w:p>
        </w:tc>
        <w:tc>
          <w:tcPr>
            <w:tcW w:w="2835" w:type="dxa"/>
            <w:vAlign w:val="center"/>
          </w:tcPr>
          <w:p w14:paraId="4F1B7BD1">
            <w:pPr>
              <w:pStyle w:val="13"/>
            </w:pPr>
            <w:r>
              <w:t>设备验收合格率</w:t>
            </w:r>
          </w:p>
        </w:tc>
        <w:tc>
          <w:tcPr>
            <w:tcW w:w="5386" w:type="dxa"/>
            <w:vAlign w:val="center"/>
          </w:tcPr>
          <w:p w14:paraId="5466954A">
            <w:pPr>
              <w:pStyle w:val="13"/>
            </w:pPr>
            <w:r>
              <w:t>购置设备数量与质量验收合格率</w:t>
            </w:r>
          </w:p>
        </w:tc>
        <w:tc>
          <w:tcPr>
            <w:tcW w:w="2268" w:type="dxa"/>
            <w:vAlign w:val="center"/>
          </w:tcPr>
          <w:p w14:paraId="4527C724">
            <w:pPr>
              <w:pStyle w:val="13"/>
            </w:pPr>
            <w:r>
              <w:t>≥100%</w:t>
            </w:r>
          </w:p>
        </w:tc>
        <w:tc>
          <w:tcPr>
            <w:tcW w:w="1276" w:type="dxa"/>
            <w:vAlign w:val="center"/>
          </w:tcPr>
          <w:p w14:paraId="7540F5F8">
            <w:pPr>
              <w:pStyle w:val="13"/>
            </w:pPr>
            <w:r>
              <w:t>项目规划</w:t>
            </w:r>
          </w:p>
        </w:tc>
      </w:tr>
      <w:tr w14:paraId="00581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D9C1A"/>
        </w:tc>
        <w:tc>
          <w:tcPr>
            <w:tcW w:w="2268" w:type="dxa"/>
            <w:vAlign w:val="center"/>
          </w:tcPr>
          <w:p w14:paraId="15C61B05">
            <w:pPr>
              <w:pStyle w:val="13"/>
            </w:pPr>
            <w:r>
              <w:t>时效指标</w:t>
            </w:r>
          </w:p>
        </w:tc>
        <w:tc>
          <w:tcPr>
            <w:tcW w:w="2835" w:type="dxa"/>
            <w:vAlign w:val="center"/>
          </w:tcPr>
          <w:p w14:paraId="3D939F2C">
            <w:pPr>
              <w:pStyle w:val="13"/>
            </w:pPr>
            <w:r>
              <w:t>成本完成率</w:t>
            </w:r>
          </w:p>
        </w:tc>
        <w:tc>
          <w:tcPr>
            <w:tcW w:w="5386" w:type="dxa"/>
            <w:vAlign w:val="center"/>
          </w:tcPr>
          <w:p w14:paraId="47493742">
            <w:pPr>
              <w:pStyle w:val="13"/>
            </w:pPr>
            <w:r>
              <w:t>购置设备的资金投入</w:t>
            </w:r>
          </w:p>
        </w:tc>
        <w:tc>
          <w:tcPr>
            <w:tcW w:w="2268" w:type="dxa"/>
            <w:vAlign w:val="center"/>
          </w:tcPr>
          <w:p w14:paraId="467A4014">
            <w:pPr>
              <w:pStyle w:val="13"/>
            </w:pPr>
            <w:r>
              <w:t>11万元</w:t>
            </w:r>
          </w:p>
        </w:tc>
        <w:tc>
          <w:tcPr>
            <w:tcW w:w="1276" w:type="dxa"/>
            <w:vAlign w:val="center"/>
          </w:tcPr>
          <w:p w14:paraId="19FB0652">
            <w:pPr>
              <w:pStyle w:val="13"/>
            </w:pPr>
            <w:r>
              <w:t>项目规划</w:t>
            </w:r>
          </w:p>
        </w:tc>
      </w:tr>
      <w:tr w14:paraId="5EEE2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6570D"/>
        </w:tc>
        <w:tc>
          <w:tcPr>
            <w:tcW w:w="2268" w:type="dxa"/>
            <w:vAlign w:val="center"/>
          </w:tcPr>
          <w:p w14:paraId="0DDAFF3C">
            <w:pPr>
              <w:pStyle w:val="13"/>
            </w:pPr>
            <w:r>
              <w:t>成本指标</w:t>
            </w:r>
          </w:p>
        </w:tc>
        <w:tc>
          <w:tcPr>
            <w:tcW w:w="2835" w:type="dxa"/>
            <w:vAlign w:val="center"/>
          </w:tcPr>
          <w:p w14:paraId="2FEDD724">
            <w:pPr>
              <w:pStyle w:val="13"/>
            </w:pPr>
            <w:r>
              <w:t>设备完成率</w:t>
            </w:r>
          </w:p>
        </w:tc>
        <w:tc>
          <w:tcPr>
            <w:tcW w:w="5386" w:type="dxa"/>
            <w:vAlign w:val="center"/>
          </w:tcPr>
          <w:p w14:paraId="1D6E68BC">
            <w:pPr>
              <w:pStyle w:val="13"/>
            </w:pPr>
            <w:r>
              <w:t>购置设备的安装完成率</w:t>
            </w:r>
          </w:p>
        </w:tc>
        <w:tc>
          <w:tcPr>
            <w:tcW w:w="2268" w:type="dxa"/>
            <w:vAlign w:val="center"/>
          </w:tcPr>
          <w:p w14:paraId="7BD39711">
            <w:pPr>
              <w:pStyle w:val="13"/>
            </w:pPr>
            <w:r>
              <w:t>≥100%</w:t>
            </w:r>
          </w:p>
        </w:tc>
        <w:tc>
          <w:tcPr>
            <w:tcW w:w="1276" w:type="dxa"/>
            <w:vAlign w:val="center"/>
          </w:tcPr>
          <w:p w14:paraId="08D40A18">
            <w:pPr>
              <w:pStyle w:val="13"/>
            </w:pPr>
            <w:r>
              <w:t>项目规划</w:t>
            </w:r>
          </w:p>
        </w:tc>
      </w:tr>
      <w:tr w14:paraId="3170D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E0FAF1">
            <w:pPr>
              <w:pStyle w:val="12"/>
            </w:pPr>
            <w:r>
              <w:t>效益指标</w:t>
            </w:r>
          </w:p>
        </w:tc>
        <w:tc>
          <w:tcPr>
            <w:tcW w:w="2268" w:type="dxa"/>
            <w:vAlign w:val="center"/>
          </w:tcPr>
          <w:p w14:paraId="406536DA">
            <w:pPr>
              <w:pStyle w:val="13"/>
            </w:pPr>
            <w:r>
              <w:t>社会效益指标</w:t>
            </w:r>
          </w:p>
        </w:tc>
        <w:tc>
          <w:tcPr>
            <w:tcW w:w="2835" w:type="dxa"/>
            <w:vAlign w:val="center"/>
          </w:tcPr>
          <w:p w14:paraId="7540AF5D">
            <w:pPr>
              <w:pStyle w:val="13"/>
            </w:pPr>
            <w:r>
              <w:t>特殊教育资源</w:t>
            </w:r>
          </w:p>
        </w:tc>
        <w:tc>
          <w:tcPr>
            <w:tcW w:w="5386" w:type="dxa"/>
            <w:vAlign w:val="center"/>
          </w:tcPr>
          <w:p w14:paraId="5A64D4ED">
            <w:pPr>
              <w:pStyle w:val="13"/>
            </w:pPr>
            <w:r>
              <w:t>特殊教育资源扩大率</w:t>
            </w:r>
          </w:p>
        </w:tc>
        <w:tc>
          <w:tcPr>
            <w:tcW w:w="2268" w:type="dxa"/>
            <w:vAlign w:val="center"/>
          </w:tcPr>
          <w:p w14:paraId="71DB87A4">
            <w:pPr>
              <w:pStyle w:val="13"/>
            </w:pPr>
            <w:r>
              <w:t>≥95%</w:t>
            </w:r>
          </w:p>
        </w:tc>
        <w:tc>
          <w:tcPr>
            <w:tcW w:w="1276" w:type="dxa"/>
            <w:vAlign w:val="center"/>
          </w:tcPr>
          <w:p w14:paraId="04EFE905">
            <w:pPr>
              <w:pStyle w:val="13"/>
            </w:pPr>
            <w:r>
              <w:t>项目规划</w:t>
            </w:r>
          </w:p>
        </w:tc>
      </w:tr>
      <w:tr w14:paraId="503DF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8DCBFD">
            <w:pPr>
              <w:pStyle w:val="12"/>
            </w:pPr>
            <w:r>
              <w:t>满意度指标</w:t>
            </w:r>
          </w:p>
        </w:tc>
        <w:tc>
          <w:tcPr>
            <w:tcW w:w="2268" w:type="dxa"/>
            <w:vAlign w:val="center"/>
          </w:tcPr>
          <w:p w14:paraId="7589BD3D">
            <w:pPr>
              <w:pStyle w:val="13"/>
            </w:pPr>
            <w:r>
              <w:t>服务对象满意度指标</w:t>
            </w:r>
          </w:p>
        </w:tc>
        <w:tc>
          <w:tcPr>
            <w:tcW w:w="2835" w:type="dxa"/>
            <w:vAlign w:val="center"/>
          </w:tcPr>
          <w:p w14:paraId="3A7DE4D8">
            <w:pPr>
              <w:pStyle w:val="13"/>
            </w:pPr>
            <w:r>
              <w:t>学生师生家长满意度</w:t>
            </w:r>
          </w:p>
        </w:tc>
        <w:tc>
          <w:tcPr>
            <w:tcW w:w="5386" w:type="dxa"/>
            <w:vAlign w:val="center"/>
          </w:tcPr>
          <w:p w14:paraId="2BBD8687">
            <w:pPr>
              <w:pStyle w:val="13"/>
            </w:pPr>
            <w:r>
              <w:t>学校教师学生及家长满意度</w:t>
            </w:r>
          </w:p>
        </w:tc>
        <w:tc>
          <w:tcPr>
            <w:tcW w:w="2268" w:type="dxa"/>
            <w:vAlign w:val="center"/>
          </w:tcPr>
          <w:p w14:paraId="04FDE454">
            <w:pPr>
              <w:pStyle w:val="13"/>
            </w:pPr>
            <w:r>
              <w:t>≥98%</w:t>
            </w:r>
          </w:p>
        </w:tc>
        <w:tc>
          <w:tcPr>
            <w:tcW w:w="1276" w:type="dxa"/>
            <w:vAlign w:val="center"/>
          </w:tcPr>
          <w:p w14:paraId="7C2A7306">
            <w:pPr>
              <w:pStyle w:val="13"/>
            </w:pPr>
            <w:r>
              <w:t>问卷调查</w:t>
            </w:r>
          </w:p>
        </w:tc>
      </w:tr>
    </w:tbl>
    <w:p w14:paraId="4F044704">
      <w:pPr>
        <w:sectPr>
          <w:pgSz w:w="16840" w:h="11900" w:orient="landscape"/>
          <w:pgMar w:top="1361" w:right="1020" w:bottom="1134" w:left="1020" w:header="720" w:footer="720" w:gutter="0"/>
          <w:cols w:space="720" w:num="1"/>
        </w:sectPr>
      </w:pPr>
    </w:p>
    <w:p w14:paraId="58213549">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2、冀财教[2024]123号/中央/2025年义教补助经费/特殊教育学校公用经费绩效目标表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78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22B41">
            <w:pPr>
              <w:pStyle w:val="14"/>
            </w:pPr>
            <w:r>
              <w:t>单位：万元</w:t>
            </w:r>
          </w:p>
        </w:tc>
      </w:tr>
      <w:tr w14:paraId="0D6CF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7AD86">
            <w:pPr>
              <w:pStyle w:val="11"/>
            </w:pPr>
            <w:r>
              <w:t>项目编码</w:t>
            </w:r>
          </w:p>
        </w:tc>
        <w:tc>
          <w:tcPr>
            <w:tcW w:w="5103" w:type="dxa"/>
            <w:gridSpan w:val="2"/>
            <w:vAlign w:val="center"/>
          </w:tcPr>
          <w:p w14:paraId="27370236">
            <w:pPr>
              <w:pStyle w:val="13"/>
            </w:pPr>
            <w:r>
              <w:t>13052525P000004100536</w:t>
            </w:r>
          </w:p>
        </w:tc>
        <w:tc>
          <w:tcPr>
            <w:tcW w:w="2835" w:type="dxa"/>
            <w:vAlign w:val="center"/>
          </w:tcPr>
          <w:p w14:paraId="372036C8">
            <w:pPr>
              <w:pStyle w:val="11"/>
            </w:pPr>
            <w:r>
              <w:t>项目名称</w:t>
            </w:r>
          </w:p>
        </w:tc>
        <w:tc>
          <w:tcPr>
            <w:tcW w:w="6095" w:type="dxa"/>
            <w:gridSpan w:val="3"/>
            <w:vAlign w:val="center"/>
          </w:tcPr>
          <w:p w14:paraId="124E54FC">
            <w:pPr>
              <w:pStyle w:val="13"/>
            </w:pPr>
            <w:r>
              <w:t>冀财教[2024]123号/中央/2025年义教补助经费/特殊教育学校公用经费</w:t>
            </w:r>
          </w:p>
        </w:tc>
      </w:tr>
      <w:tr w14:paraId="77E6A0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6F1B5">
            <w:pPr>
              <w:pStyle w:val="11"/>
            </w:pPr>
            <w:r>
              <w:t>预算规模及资金用途</w:t>
            </w:r>
          </w:p>
        </w:tc>
        <w:tc>
          <w:tcPr>
            <w:tcW w:w="2268" w:type="dxa"/>
            <w:vAlign w:val="center"/>
          </w:tcPr>
          <w:p w14:paraId="0CB369AF">
            <w:pPr>
              <w:pStyle w:val="11"/>
            </w:pPr>
            <w:r>
              <w:t>预算数</w:t>
            </w:r>
          </w:p>
        </w:tc>
        <w:tc>
          <w:tcPr>
            <w:tcW w:w="2835" w:type="dxa"/>
            <w:vAlign w:val="center"/>
          </w:tcPr>
          <w:p w14:paraId="2D234232">
            <w:pPr>
              <w:pStyle w:val="13"/>
            </w:pPr>
            <w:r>
              <w:t>45.22</w:t>
            </w:r>
          </w:p>
        </w:tc>
        <w:tc>
          <w:tcPr>
            <w:tcW w:w="2835" w:type="dxa"/>
            <w:vAlign w:val="center"/>
          </w:tcPr>
          <w:p w14:paraId="7132F399">
            <w:pPr>
              <w:pStyle w:val="11"/>
            </w:pPr>
            <w:r>
              <w:t>其中：财政    资金</w:t>
            </w:r>
          </w:p>
        </w:tc>
        <w:tc>
          <w:tcPr>
            <w:tcW w:w="2551" w:type="dxa"/>
            <w:vAlign w:val="center"/>
          </w:tcPr>
          <w:p w14:paraId="774AF974">
            <w:pPr>
              <w:pStyle w:val="13"/>
            </w:pPr>
            <w:r>
              <w:t>45.22</w:t>
            </w:r>
          </w:p>
        </w:tc>
        <w:tc>
          <w:tcPr>
            <w:tcW w:w="2268" w:type="dxa"/>
            <w:vAlign w:val="center"/>
          </w:tcPr>
          <w:p w14:paraId="3247A8B1">
            <w:pPr>
              <w:pStyle w:val="11"/>
            </w:pPr>
            <w:r>
              <w:t>其他资金</w:t>
            </w:r>
          </w:p>
        </w:tc>
        <w:tc>
          <w:tcPr>
            <w:tcW w:w="1276" w:type="dxa"/>
            <w:vAlign w:val="center"/>
          </w:tcPr>
          <w:p w14:paraId="566DDA35">
            <w:pPr>
              <w:pStyle w:val="13"/>
            </w:pPr>
            <w:r>
              <w:t xml:space="preserve"> </w:t>
            </w:r>
          </w:p>
        </w:tc>
      </w:tr>
      <w:tr w14:paraId="3B914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98544"/>
        </w:tc>
        <w:tc>
          <w:tcPr>
            <w:tcW w:w="14033" w:type="dxa"/>
            <w:gridSpan w:val="6"/>
            <w:vAlign w:val="center"/>
          </w:tcPr>
          <w:p w14:paraId="0068021F">
            <w:pPr>
              <w:pStyle w:val="13"/>
            </w:pPr>
            <w:r>
              <w:t>保障义务教育学校正常运转，完成教育教学活动和其他日常工作任务等方面的费用支出。</w:t>
            </w:r>
          </w:p>
        </w:tc>
      </w:tr>
      <w:tr w14:paraId="0BF98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8F88F">
            <w:pPr>
              <w:pStyle w:val="11"/>
            </w:pPr>
            <w:r>
              <w:t>资金支出计划（%）</w:t>
            </w:r>
          </w:p>
        </w:tc>
        <w:tc>
          <w:tcPr>
            <w:tcW w:w="5103" w:type="dxa"/>
            <w:gridSpan w:val="2"/>
            <w:vAlign w:val="center"/>
          </w:tcPr>
          <w:p w14:paraId="65481372">
            <w:pPr>
              <w:pStyle w:val="11"/>
            </w:pPr>
            <w:r>
              <w:t>3月底</w:t>
            </w:r>
          </w:p>
        </w:tc>
        <w:tc>
          <w:tcPr>
            <w:tcW w:w="2835" w:type="dxa"/>
            <w:vAlign w:val="center"/>
          </w:tcPr>
          <w:p w14:paraId="297241F1">
            <w:pPr>
              <w:pStyle w:val="11"/>
            </w:pPr>
            <w:r>
              <w:t>6月底</w:t>
            </w:r>
          </w:p>
        </w:tc>
        <w:tc>
          <w:tcPr>
            <w:tcW w:w="2551" w:type="dxa"/>
            <w:vAlign w:val="center"/>
          </w:tcPr>
          <w:p w14:paraId="269B5BDE">
            <w:pPr>
              <w:pStyle w:val="11"/>
            </w:pPr>
            <w:r>
              <w:t>10月底</w:t>
            </w:r>
          </w:p>
        </w:tc>
        <w:tc>
          <w:tcPr>
            <w:tcW w:w="3544" w:type="dxa"/>
            <w:gridSpan w:val="2"/>
            <w:vAlign w:val="center"/>
          </w:tcPr>
          <w:p w14:paraId="211CF1DE">
            <w:pPr>
              <w:pStyle w:val="11"/>
            </w:pPr>
            <w:r>
              <w:t>12月底</w:t>
            </w:r>
          </w:p>
        </w:tc>
      </w:tr>
      <w:tr w14:paraId="7CE17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CE6F7C"/>
        </w:tc>
        <w:tc>
          <w:tcPr>
            <w:tcW w:w="5103" w:type="dxa"/>
            <w:gridSpan w:val="2"/>
            <w:vAlign w:val="center"/>
          </w:tcPr>
          <w:p w14:paraId="7822E5BE">
            <w:pPr>
              <w:pStyle w:val="12"/>
            </w:pPr>
            <w:r>
              <w:t>25%</w:t>
            </w:r>
          </w:p>
        </w:tc>
        <w:tc>
          <w:tcPr>
            <w:tcW w:w="2835" w:type="dxa"/>
            <w:vAlign w:val="center"/>
          </w:tcPr>
          <w:p w14:paraId="36A0ACF9">
            <w:pPr>
              <w:pStyle w:val="12"/>
            </w:pPr>
            <w:r>
              <w:t>50%</w:t>
            </w:r>
          </w:p>
        </w:tc>
        <w:tc>
          <w:tcPr>
            <w:tcW w:w="2551" w:type="dxa"/>
            <w:vAlign w:val="center"/>
          </w:tcPr>
          <w:p w14:paraId="27719A54">
            <w:pPr>
              <w:pStyle w:val="12"/>
            </w:pPr>
            <w:r>
              <w:t>75%</w:t>
            </w:r>
          </w:p>
        </w:tc>
        <w:tc>
          <w:tcPr>
            <w:tcW w:w="3544" w:type="dxa"/>
            <w:gridSpan w:val="2"/>
            <w:vAlign w:val="center"/>
          </w:tcPr>
          <w:p w14:paraId="3EA8D6F3">
            <w:pPr>
              <w:pStyle w:val="12"/>
            </w:pPr>
            <w:r>
              <w:t>100%</w:t>
            </w:r>
          </w:p>
        </w:tc>
      </w:tr>
      <w:tr w14:paraId="5EFEF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84A022">
            <w:pPr>
              <w:pStyle w:val="11"/>
            </w:pPr>
            <w:r>
              <w:t>绩效目标</w:t>
            </w:r>
          </w:p>
        </w:tc>
        <w:tc>
          <w:tcPr>
            <w:tcW w:w="14033" w:type="dxa"/>
            <w:gridSpan w:val="6"/>
            <w:vAlign w:val="center"/>
          </w:tcPr>
          <w:p w14:paraId="4C7672CE">
            <w:pPr>
              <w:pStyle w:val="13"/>
            </w:pPr>
            <w:r>
              <w:t>1.按规定拨付公用经费45.22万元资金，资金拨付率达到100%。</w:t>
            </w:r>
          </w:p>
          <w:p w14:paraId="51F67110">
            <w:pPr>
              <w:pStyle w:val="13"/>
            </w:pPr>
            <w:r>
              <w:t>2.保障义务教育学校正常运转，完成教育教学活动和其他日常工作任务等方面的费用支出。</w:t>
            </w:r>
          </w:p>
        </w:tc>
      </w:tr>
    </w:tbl>
    <w:p w14:paraId="4FF24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33"/>
        <w:gridCol w:w="1511"/>
      </w:tblGrid>
      <w:tr w14:paraId="1DD29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4949487">
            <w:pPr>
              <w:pStyle w:val="11"/>
            </w:pPr>
            <w:r>
              <w:t>一级指标</w:t>
            </w:r>
          </w:p>
        </w:tc>
        <w:tc>
          <w:tcPr>
            <w:tcW w:w="2268" w:type="dxa"/>
            <w:vAlign w:val="center"/>
          </w:tcPr>
          <w:p w14:paraId="195AB9A4">
            <w:pPr>
              <w:pStyle w:val="11"/>
            </w:pPr>
            <w:r>
              <w:t>二级指标</w:t>
            </w:r>
          </w:p>
        </w:tc>
        <w:tc>
          <w:tcPr>
            <w:tcW w:w="2835" w:type="dxa"/>
            <w:vAlign w:val="center"/>
          </w:tcPr>
          <w:p w14:paraId="011DB69D">
            <w:pPr>
              <w:pStyle w:val="11"/>
            </w:pPr>
            <w:r>
              <w:t>三级指标</w:t>
            </w:r>
          </w:p>
        </w:tc>
        <w:tc>
          <w:tcPr>
            <w:tcW w:w="5386" w:type="dxa"/>
            <w:vAlign w:val="center"/>
          </w:tcPr>
          <w:p w14:paraId="233A56BE">
            <w:pPr>
              <w:pStyle w:val="11"/>
            </w:pPr>
            <w:r>
              <w:t>绩效指标描述</w:t>
            </w:r>
          </w:p>
        </w:tc>
        <w:tc>
          <w:tcPr>
            <w:tcW w:w="2033" w:type="dxa"/>
            <w:vAlign w:val="center"/>
          </w:tcPr>
          <w:p w14:paraId="508BB794">
            <w:pPr>
              <w:pStyle w:val="11"/>
            </w:pPr>
            <w:r>
              <w:t>指标值</w:t>
            </w:r>
          </w:p>
        </w:tc>
        <w:tc>
          <w:tcPr>
            <w:tcW w:w="1511" w:type="dxa"/>
            <w:vAlign w:val="center"/>
          </w:tcPr>
          <w:p w14:paraId="76D08EF5">
            <w:pPr>
              <w:pStyle w:val="11"/>
            </w:pPr>
            <w:r>
              <w:t>指标值确定依据</w:t>
            </w:r>
          </w:p>
        </w:tc>
      </w:tr>
      <w:tr w14:paraId="75190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44B12">
            <w:pPr>
              <w:pStyle w:val="12"/>
            </w:pPr>
            <w:r>
              <w:t>产出指标</w:t>
            </w:r>
          </w:p>
        </w:tc>
        <w:tc>
          <w:tcPr>
            <w:tcW w:w="2268" w:type="dxa"/>
            <w:vAlign w:val="center"/>
          </w:tcPr>
          <w:p w14:paraId="4502E5A2">
            <w:pPr>
              <w:pStyle w:val="13"/>
            </w:pPr>
            <w:r>
              <w:t>数量指标</w:t>
            </w:r>
          </w:p>
        </w:tc>
        <w:tc>
          <w:tcPr>
            <w:tcW w:w="2835" w:type="dxa"/>
            <w:vAlign w:val="center"/>
          </w:tcPr>
          <w:p w14:paraId="3B6B0576">
            <w:pPr>
              <w:pStyle w:val="13"/>
            </w:pPr>
            <w:r>
              <w:t>适龄在校生</w:t>
            </w:r>
          </w:p>
        </w:tc>
        <w:tc>
          <w:tcPr>
            <w:tcW w:w="5386" w:type="dxa"/>
            <w:vAlign w:val="center"/>
          </w:tcPr>
          <w:p w14:paraId="15C1CF1D">
            <w:pPr>
              <w:pStyle w:val="13"/>
            </w:pPr>
            <w:r>
              <w:t>适龄在校就读学生人数</w:t>
            </w:r>
          </w:p>
        </w:tc>
        <w:tc>
          <w:tcPr>
            <w:tcW w:w="2033" w:type="dxa"/>
            <w:vAlign w:val="center"/>
          </w:tcPr>
          <w:p w14:paraId="6B87F5FE">
            <w:pPr>
              <w:pStyle w:val="13"/>
            </w:pPr>
            <w:r>
              <w:t>95人</w:t>
            </w:r>
          </w:p>
        </w:tc>
        <w:tc>
          <w:tcPr>
            <w:tcW w:w="1511" w:type="dxa"/>
            <w:vAlign w:val="center"/>
          </w:tcPr>
          <w:p w14:paraId="45BF04F3">
            <w:pPr>
              <w:pStyle w:val="13"/>
            </w:pPr>
            <w:r>
              <w:t>城乡义务教育公用经费管理办法</w:t>
            </w:r>
          </w:p>
        </w:tc>
      </w:tr>
      <w:tr w14:paraId="1EE77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AAB59"/>
        </w:tc>
        <w:tc>
          <w:tcPr>
            <w:tcW w:w="2268" w:type="dxa"/>
            <w:vAlign w:val="center"/>
          </w:tcPr>
          <w:p w14:paraId="526E9B3E">
            <w:pPr>
              <w:pStyle w:val="13"/>
            </w:pPr>
            <w:r>
              <w:t>质量指标</w:t>
            </w:r>
          </w:p>
        </w:tc>
        <w:tc>
          <w:tcPr>
            <w:tcW w:w="2835" w:type="dxa"/>
            <w:vAlign w:val="center"/>
          </w:tcPr>
          <w:p w14:paraId="54450778">
            <w:pPr>
              <w:pStyle w:val="13"/>
            </w:pPr>
            <w:r>
              <w:t>预算执行率</w:t>
            </w:r>
          </w:p>
        </w:tc>
        <w:tc>
          <w:tcPr>
            <w:tcW w:w="5386" w:type="dxa"/>
            <w:vAlign w:val="center"/>
          </w:tcPr>
          <w:p w14:paraId="6631CBAF">
            <w:pPr>
              <w:pStyle w:val="13"/>
            </w:pPr>
            <w:r>
              <w:t>预算执行率</w:t>
            </w:r>
          </w:p>
        </w:tc>
        <w:tc>
          <w:tcPr>
            <w:tcW w:w="2033" w:type="dxa"/>
            <w:vAlign w:val="center"/>
          </w:tcPr>
          <w:p w14:paraId="12B1C337">
            <w:pPr>
              <w:pStyle w:val="13"/>
            </w:pPr>
            <w:r>
              <w:t>≥98%</w:t>
            </w:r>
          </w:p>
        </w:tc>
        <w:tc>
          <w:tcPr>
            <w:tcW w:w="1511" w:type="dxa"/>
            <w:vAlign w:val="center"/>
          </w:tcPr>
          <w:p w14:paraId="2227E471">
            <w:pPr>
              <w:pStyle w:val="13"/>
            </w:pPr>
            <w:r>
              <w:t>城乡义务教育公用经费管理办法</w:t>
            </w:r>
          </w:p>
        </w:tc>
      </w:tr>
      <w:tr w14:paraId="28E13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4C2D69DD"/>
        </w:tc>
        <w:tc>
          <w:tcPr>
            <w:tcW w:w="2268" w:type="dxa"/>
            <w:vAlign w:val="center"/>
          </w:tcPr>
          <w:p w14:paraId="4F06D1D0">
            <w:pPr>
              <w:pStyle w:val="13"/>
            </w:pPr>
            <w:r>
              <w:t>时效指标</w:t>
            </w:r>
          </w:p>
        </w:tc>
        <w:tc>
          <w:tcPr>
            <w:tcW w:w="2835" w:type="dxa"/>
            <w:vAlign w:val="center"/>
          </w:tcPr>
          <w:p w14:paraId="7B42C5CE">
            <w:pPr>
              <w:pStyle w:val="13"/>
            </w:pPr>
            <w:r>
              <w:t>公用经费资金支付率</w:t>
            </w:r>
          </w:p>
        </w:tc>
        <w:tc>
          <w:tcPr>
            <w:tcW w:w="5386" w:type="dxa"/>
            <w:vAlign w:val="center"/>
          </w:tcPr>
          <w:p w14:paraId="223870C8">
            <w:pPr>
              <w:pStyle w:val="13"/>
            </w:pPr>
            <w:r>
              <w:t>按照序时进度完成资金支付</w:t>
            </w:r>
          </w:p>
        </w:tc>
        <w:tc>
          <w:tcPr>
            <w:tcW w:w="2033" w:type="dxa"/>
            <w:vAlign w:val="center"/>
          </w:tcPr>
          <w:p w14:paraId="4485AB3F">
            <w:pPr>
              <w:pStyle w:val="13"/>
            </w:pPr>
            <w:r>
              <w:t>≥100%</w:t>
            </w:r>
          </w:p>
        </w:tc>
        <w:tc>
          <w:tcPr>
            <w:tcW w:w="1511" w:type="dxa"/>
            <w:vAlign w:val="center"/>
          </w:tcPr>
          <w:p w14:paraId="3C90D7DB">
            <w:pPr>
              <w:pStyle w:val="13"/>
            </w:pPr>
            <w:r>
              <w:t>城乡义务教育公用经费管理办法</w:t>
            </w:r>
          </w:p>
        </w:tc>
      </w:tr>
      <w:tr w14:paraId="228E6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12B67"/>
        </w:tc>
        <w:tc>
          <w:tcPr>
            <w:tcW w:w="2268" w:type="dxa"/>
            <w:vAlign w:val="center"/>
          </w:tcPr>
          <w:p w14:paraId="0ED5284F">
            <w:pPr>
              <w:pStyle w:val="13"/>
            </w:pPr>
            <w:r>
              <w:t>成本指标</w:t>
            </w:r>
          </w:p>
        </w:tc>
        <w:tc>
          <w:tcPr>
            <w:tcW w:w="2835" w:type="dxa"/>
            <w:vAlign w:val="center"/>
          </w:tcPr>
          <w:p w14:paraId="7FBBF10E">
            <w:pPr>
              <w:pStyle w:val="13"/>
            </w:pPr>
            <w:r>
              <w:t>生均拨款标准</w:t>
            </w:r>
          </w:p>
        </w:tc>
        <w:tc>
          <w:tcPr>
            <w:tcW w:w="5386" w:type="dxa"/>
            <w:vAlign w:val="center"/>
          </w:tcPr>
          <w:p w14:paraId="6AAA9A03">
            <w:pPr>
              <w:pStyle w:val="13"/>
            </w:pPr>
            <w:r>
              <w:t>特教学生：标准7000元/生/学年</w:t>
            </w:r>
          </w:p>
        </w:tc>
        <w:tc>
          <w:tcPr>
            <w:tcW w:w="2033" w:type="dxa"/>
            <w:vAlign w:val="center"/>
          </w:tcPr>
          <w:p w14:paraId="4C72DD73">
            <w:pPr>
              <w:pStyle w:val="13"/>
            </w:pPr>
            <w:r>
              <w:t>7000元</w:t>
            </w:r>
          </w:p>
        </w:tc>
        <w:tc>
          <w:tcPr>
            <w:tcW w:w="1511" w:type="dxa"/>
            <w:vAlign w:val="center"/>
          </w:tcPr>
          <w:p w14:paraId="645E67F0">
            <w:pPr>
              <w:pStyle w:val="13"/>
            </w:pPr>
            <w:r>
              <w:t>城乡义务教育公用经费管理办法</w:t>
            </w:r>
          </w:p>
        </w:tc>
      </w:tr>
      <w:tr w14:paraId="4F4E8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A0B6CF">
            <w:pPr>
              <w:pStyle w:val="12"/>
            </w:pPr>
            <w:r>
              <w:t>效益指标</w:t>
            </w:r>
          </w:p>
        </w:tc>
        <w:tc>
          <w:tcPr>
            <w:tcW w:w="2268" w:type="dxa"/>
            <w:vAlign w:val="center"/>
          </w:tcPr>
          <w:p w14:paraId="3EDDBA8A">
            <w:pPr>
              <w:pStyle w:val="13"/>
            </w:pPr>
            <w:r>
              <w:t>社会效益指标</w:t>
            </w:r>
          </w:p>
        </w:tc>
        <w:tc>
          <w:tcPr>
            <w:tcW w:w="2835" w:type="dxa"/>
            <w:vAlign w:val="center"/>
          </w:tcPr>
          <w:p w14:paraId="1A7BD7D8">
            <w:pPr>
              <w:pStyle w:val="13"/>
            </w:pPr>
            <w:r>
              <w:t>学校办学能力提升</w:t>
            </w:r>
          </w:p>
        </w:tc>
        <w:tc>
          <w:tcPr>
            <w:tcW w:w="5386" w:type="dxa"/>
            <w:vAlign w:val="center"/>
          </w:tcPr>
          <w:p w14:paraId="3C4AF950">
            <w:pPr>
              <w:pStyle w:val="13"/>
            </w:pPr>
            <w:r>
              <w:t>办学能力及教育教学工作提升率</w:t>
            </w:r>
          </w:p>
        </w:tc>
        <w:tc>
          <w:tcPr>
            <w:tcW w:w="2033" w:type="dxa"/>
            <w:vAlign w:val="center"/>
          </w:tcPr>
          <w:p w14:paraId="57209A56">
            <w:pPr>
              <w:pStyle w:val="13"/>
            </w:pPr>
            <w:r>
              <w:t>≥95%</w:t>
            </w:r>
          </w:p>
        </w:tc>
        <w:tc>
          <w:tcPr>
            <w:tcW w:w="1511" w:type="dxa"/>
            <w:vAlign w:val="center"/>
          </w:tcPr>
          <w:p w14:paraId="24972145">
            <w:pPr>
              <w:pStyle w:val="13"/>
            </w:pPr>
            <w:r>
              <w:t>城乡义务教育公用经费管理办法</w:t>
            </w:r>
          </w:p>
        </w:tc>
      </w:tr>
      <w:tr w14:paraId="24EA5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7B0AA7">
            <w:pPr>
              <w:pStyle w:val="12"/>
            </w:pPr>
            <w:r>
              <w:t>满意度指标</w:t>
            </w:r>
          </w:p>
        </w:tc>
        <w:tc>
          <w:tcPr>
            <w:tcW w:w="2268" w:type="dxa"/>
            <w:vAlign w:val="center"/>
          </w:tcPr>
          <w:p w14:paraId="2B3FB1CA">
            <w:pPr>
              <w:pStyle w:val="13"/>
            </w:pPr>
            <w:r>
              <w:t>服务对象满意度指标</w:t>
            </w:r>
          </w:p>
        </w:tc>
        <w:tc>
          <w:tcPr>
            <w:tcW w:w="2835" w:type="dxa"/>
            <w:vAlign w:val="center"/>
          </w:tcPr>
          <w:p w14:paraId="2CC0F814">
            <w:pPr>
              <w:pStyle w:val="13"/>
            </w:pPr>
            <w:r>
              <w:rPr>
                <w:sz w:val="18"/>
                <w:szCs w:val="18"/>
              </w:rPr>
              <w:t>受益学生教师及家长调查满</w:t>
            </w:r>
            <w:r>
              <w:t>意度</w:t>
            </w:r>
          </w:p>
        </w:tc>
        <w:tc>
          <w:tcPr>
            <w:tcW w:w="5386" w:type="dxa"/>
            <w:vAlign w:val="center"/>
          </w:tcPr>
          <w:p w14:paraId="772A82AE">
            <w:pPr>
              <w:pStyle w:val="13"/>
            </w:pPr>
            <w:r>
              <w:t>学生、教师及家长对学校教育教学工作满意度情况</w:t>
            </w:r>
          </w:p>
        </w:tc>
        <w:tc>
          <w:tcPr>
            <w:tcW w:w="2033" w:type="dxa"/>
            <w:vAlign w:val="center"/>
          </w:tcPr>
          <w:p w14:paraId="43CC8A51">
            <w:pPr>
              <w:pStyle w:val="13"/>
            </w:pPr>
            <w:r>
              <w:t>≥95%</w:t>
            </w:r>
          </w:p>
        </w:tc>
        <w:tc>
          <w:tcPr>
            <w:tcW w:w="1511" w:type="dxa"/>
            <w:vAlign w:val="center"/>
          </w:tcPr>
          <w:p w14:paraId="17FE4495">
            <w:pPr>
              <w:pStyle w:val="13"/>
            </w:pPr>
            <w:r>
              <w:t>问卷调查</w:t>
            </w:r>
          </w:p>
        </w:tc>
      </w:tr>
    </w:tbl>
    <w:p w14:paraId="0E381886">
      <w:pPr>
        <w:sectPr>
          <w:pgSz w:w="16840" w:h="11900" w:orient="landscape"/>
          <w:pgMar w:top="1361" w:right="1020" w:bottom="1134" w:left="1020" w:header="720" w:footer="720" w:gutter="0"/>
          <w:cols w:space="720" w:num="1"/>
        </w:sectPr>
      </w:pPr>
    </w:p>
    <w:p w14:paraId="6D217F8A">
      <w:pPr>
        <w:spacing w:before="0" w:after="0"/>
        <w:ind w:firstLine="560"/>
        <w:jc w:val="left"/>
        <w:outlineLvl w:val="9"/>
      </w:pPr>
      <w:r>
        <w:rPr>
          <w:rFonts w:ascii="方正仿宋_GBK" w:hAnsi="方正仿宋_GBK" w:eastAsia="方正仿宋_GBK" w:cs="方正仿宋_GBK"/>
          <w:b/>
          <w:color w:val="000000"/>
          <w:sz w:val="28"/>
        </w:rPr>
        <w:t>3、冀财教[2024]141号/省级/2025年义教补助经费/特殊教育学校公用经费绩效目标表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E2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520E3B">
            <w:pPr>
              <w:pStyle w:val="14"/>
            </w:pPr>
            <w:r>
              <w:t>单位：万元</w:t>
            </w:r>
          </w:p>
        </w:tc>
      </w:tr>
      <w:tr w14:paraId="0F599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0E8FA">
            <w:pPr>
              <w:pStyle w:val="11"/>
            </w:pPr>
            <w:r>
              <w:t>项目编码</w:t>
            </w:r>
          </w:p>
        </w:tc>
        <w:tc>
          <w:tcPr>
            <w:tcW w:w="5103" w:type="dxa"/>
            <w:gridSpan w:val="2"/>
            <w:vAlign w:val="center"/>
          </w:tcPr>
          <w:p w14:paraId="4A325147">
            <w:pPr>
              <w:pStyle w:val="13"/>
            </w:pPr>
            <w:r>
              <w:t>13052525P00000410130W</w:t>
            </w:r>
          </w:p>
        </w:tc>
        <w:tc>
          <w:tcPr>
            <w:tcW w:w="2835" w:type="dxa"/>
            <w:vAlign w:val="center"/>
          </w:tcPr>
          <w:p w14:paraId="76408A21">
            <w:pPr>
              <w:pStyle w:val="11"/>
            </w:pPr>
            <w:r>
              <w:t>项目名称</w:t>
            </w:r>
          </w:p>
        </w:tc>
        <w:tc>
          <w:tcPr>
            <w:tcW w:w="6095" w:type="dxa"/>
            <w:gridSpan w:val="3"/>
            <w:vAlign w:val="center"/>
          </w:tcPr>
          <w:p w14:paraId="1D96BF51">
            <w:pPr>
              <w:pStyle w:val="13"/>
            </w:pPr>
            <w:r>
              <w:t>冀财教[2024]141号/省级/2025年义教补助经费/特殊教育学校公用经费</w:t>
            </w:r>
          </w:p>
        </w:tc>
      </w:tr>
      <w:tr w14:paraId="417F4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D4D18">
            <w:pPr>
              <w:pStyle w:val="11"/>
            </w:pPr>
            <w:r>
              <w:t>预算规模及资金用途</w:t>
            </w:r>
          </w:p>
        </w:tc>
        <w:tc>
          <w:tcPr>
            <w:tcW w:w="2268" w:type="dxa"/>
            <w:vAlign w:val="center"/>
          </w:tcPr>
          <w:p w14:paraId="17A6E3BA">
            <w:pPr>
              <w:pStyle w:val="11"/>
            </w:pPr>
            <w:r>
              <w:t>预算数</w:t>
            </w:r>
          </w:p>
        </w:tc>
        <w:tc>
          <w:tcPr>
            <w:tcW w:w="2835" w:type="dxa"/>
            <w:vAlign w:val="center"/>
          </w:tcPr>
          <w:p w14:paraId="2B755105">
            <w:pPr>
              <w:pStyle w:val="13"/>
            </w:pPr>
            <w:r>
              <w:t>6.02</w:t>
            </w:r>
          </w:p>
        </w:tc>
        <w:tc>
          <w:tcPr>
            <w:tcW w:w="2835" w:type="dxa"/>
            <w:vAlign w:val="center"/>
          </w:tcPr>
          <w:p w14:paraId="75CCE286">
            <w:pPr>
              <w:pStyle w:val="11"/>
            </w:pPr>
            <w:r>
              <w:t>其中：财政    资金</w:t>
            </w:r>
          </w:p>
        </w:tc>
        <w:tc>
          <w:tcPr>
            <w:tcW w:w="2551" w:type="dxa"/>
            <w:vAlign w:val="center"/>
          </w:tcPr>
          <w:p w14:paraId="6BBA9B17">
            <w:pPr>
              <w:pStyle w:val="13"/>
            </w:pPr>
            <w:r>
              <w:t>6.02</w:t>
            </w:r>
          </w:p>
        </w:tc>
        <w:tc>
          <w:tcPr>
            <w:tcW w:w="2268" w:type="dxa"/>
            <w:vAlign w:val="center"/>
          </w:tcPr>
          <w:p w14:paraId="0D3745B8">
            <w:pPr>
              <w:pStyle w:val="11"/>
            </w:pPr>
            <w:r>
              <w:t>其他资金</w:t>
            </w:r>
          </w:p>
        </w:tc>
        <w:tc>
          <w:tcPr>
            <w:tcW w:w="1276" w:type="dxa"/>
            <w:vAlign w:val="center"/>
          </w:tcPr>
          <w:p w14:paraId="59D9DD17">
            <w:pPr>
              <w:pStyle w:val="13"/>
            </w:pPr>
            <w:r>
              <w:t xml:space="preserve"> </w:t>
            </w:r>
          </w:p>
        </w:tc>
      </w:tr>
      <w:tr w14:paraId="1F383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8B7604"/>
        </w:tc>
        <w:tc>
          <w:tcPr>
            <w:tcW w:w="14033" w:type="dxa"/>
            <w:gridSpan w:val="6"/>
            <w:vAlign w:val="center"/>
          </w:tcPr>
          <w:p w14:paraId="6112972D">
            <w:pPr>
              <w:pStyle w:val="13"/>
            </w:pPr>
            <w:r>
              <w:t>保障义务教育学校正常运转，完成教育教学活动和其他日常工作任务等方面的费用支出。</w:t>
            </w:r>
          </w:p>
        </w:tc>
      </w:tr>
      <w:tr w14:paraId="050BE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75E36">
            <w:pPr>
              <w:pStyle w:val="11"/>
            </w:pPr>
            <w:r>
              <w:t>资金支出计划（%）</w:t>
            </w:r>
          </w:p>
        </w:tc>
        <w:tc>
          <w:tcPr>
            <w:tcW w:w="5103" w:type="dxa"/>
            <w:gridSpan w:val="2"/>
            <w:vAlign w:val="center"/>
          </w:tcPr>
          <w:p w14:paraId="70EF1775">
            <w:pPr>
              <w:pStyle w:val="11"/>
            </w:pPr>
            <w:r>
              <w:t>3月底</w:t>
            </w:r>
          </w:p>
        </w:tc>
        <w:tc>
          <w:tcPr>
            <w:tcW w:w="2835" w:type="dxa"/>
            <w:vAlign w:val="center"/>
          </w:tcPr>
          <w:p w14:paraId="2FEBD9EE">
            <w:pPr>
              <w:pStyle w:val="11"/>
            </w:pPr>
            <w:r>
              <w:t>6月底</w:t>
            </w:r>
          </w:p>
        </w:tc>
        <w:tc>
          <w:tcPr>
            <w:tcW w:w="2551" w:type="dxa"/>
            <w:vAlign w:val="center"/>
          </w:tcPr>
          <w:p w14:paraId="6FC9F093">
            <w:pPr>
              <w:pStyle w:val="11"/>
            </w:pPr>
            <w:r>
              <w:t>10月底</w:t>
            </w:r>
          </w:p>
        </w:tc>
        <w:tc>
          <w:tcPr>
            <w:tcW w:w="3544" w:type="dxa"/>
            <w:gridSpan w:val="2"/>
            <w:vAlign w:val="center"/>
          </w:tcPr>
          <w:p w14:paraId="606BA80D">
            <w:pPr>
              <w:pStyle w:val="11"/>
            </w:pPr>
            <w:r>
              <w:t>12月底</w:t>
            </w:r>
          </w:p>
        </w:tc>
      </w:tr>
      <w:tr w14:paraId="4EB83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ECD679"/>
        </w:tc>
        <w:tc>
          <w:tcPr>
            <w:tcW w:w="5103" w:type="dxa"/>
            <w:gridSpan w:val="2"/>
            <w:vAlign w:val="center"/>
          </w:tcPr>
          <w:p w14:paraId="5E30896F">
            <w:pPr>
              <w:pStyle w:val="12"/>
            </w:pPr>
            <w:r>
              <w:t>25%</w:t>
            </w:r>
          </w:p>
        </w:tc>
        <w:tc>
          <w:tcPr>
            <w:tcW w:w="2835" w:type="dxa"/>
            <w:vAlign w:val="center"/>
          </w:tcPr>
          <w:p w14:paraId="50E7FCFF">
            <w:pPr>
              <w:pStyle w:val="12"/>
            </w:pPr>
            <w:r>
              <w:t>50%</w:t>
            </w:r>
          </w:p>
        </w:tc>
        <w:tc>
          <w:tcPr>
            <w:tcW w:w="2551" w:type="dxa"/>
            <w:vAlign w:val="center"/>
          </w:tcPr>
          <w:p w14:paraId="731A0E5A">
            <w:pPr>
              <w:pStyle w:val="12"/>
            </w:pPr>
            <w:r>
              <w:t>75%</w:t>
            </w:r>
          </w:p>
        </w:tc>
        <w:tc>
          <w:tcPr>
            <w:tcW w:w="3544" w:type="dxa"/>
            <w:gridSpan w:val="2"/>
            <w:vAlign w:val="center"/>
          </w:tcPr>
          <w:p w14:paraId="5F678C85">
            <w:pPr>
              <w:pStyle w:val="12"/>
            </w:pPr>
            <w:r>
              <w:t>100%</w:t>
            </w:r>
          </w:p>
        </w:tc>
      </w:tr>
      <w:tr w14:paraId="543B2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31FE3">
            <w:pPr>
              <w:pStyle w:val="11"/>
            </w:pPr>
            <w:r>
              <w:t>绩效目标</w:t>
            </w:r>
          </w:p>
        </w:tc>
        <w:tc>
          <w:tcPr>
            <w:tcW w:w="14033" w:type="dxa"/>
            <w:gridSpan w:val="6"/>
            <w:vAlign w:val="center"/>
          </w:tcPr>
          <w:p w14:paraId="290C33D4">
            <w:pPr>
              <w:pStyle w:val="13"/>
            </w:pPr>
            <w:r>
              <w:t>1.按规定拨付公用经费6.02万元资金，资金拨付率达到100%.</w:t>
            </w:r>
          </w:p>
          <w:p w14:paraId="45EECE9D">
            <w:pPr>
              <w:pStyle w:val="13"/>
            </w:pPr>
            <w:r>
              <w:t>2.保障义务教育学校正常运转，完成教育教学活动和其他日常工作任务等方面的费用支出。</w:t>
            </w:r>
          </w:p>
        </w:tc>
      </w:tr>
    </w:tbl>
    <w:p w14:paraId="1ECB2B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96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0803C">
            <w:pPr>
              <w:pStyle w:val="11"/>
            </w:pPr>
            <w:r>
              <w:t>一级指标</w:t>
            </w:r>
          </w:p>
        </w:tc>
        <w:tc>
          <w:tcPr>
            <w:tcW w:w="2268" w:type="dxa"/>
            <w:vAlign w:val="center"/>
          </w:tcPr>
          <w:p w14:paraId="3E37E4CA">
            <w:pPr>
              <w:pStyle w:val="11"/>
            </w:pPr>
            <w:r>
              <w:t>二级指标</w:t>
            </w:r>
          </w:p>
        </w:tc>
        <w:tc>
          <w:tcPr>
            <w:tcW w:w="2835" w:type="dxa"/>
            <w:vAlign w:val="center"/>
          </w:tcPr>
          <w:p w14:paraId="757B500F">
            <w:pPr>
              <w:pStyle w:val="11"/>
            </w:pPr>
            <w:r>
              <w:t>三级指标</w:t>
            </w:r>
          </w:p>
        </w:tc>
        <w:tc>
          <w:tcPr>
            <w:tcW w:w="5386" w:type="dxa"/>
            <w:vAlign w:val="center"/>
          </w:tcPr>
          <w:p w14:paraId="54552716">
            <w:pPr>
              <w:pStyle w:val="11"/>
            </w:pPr>
            <w:r>
              <w:t>绩效指标描述</w:t>
            </w:r>
          </w:p>
        </w:tc>
        <w:tc>
          <w:tcPr>
            <w:tcW w:w="2268" w:type="dxa"/>
            <w:vAlign w:val="center"/>
          </w:tcPr>
          <w:p w14:paraId="060CE86D">
            <w:pPr>
              <w:pStyle w:val="11"/>
            </w:pPr>
            <w:r>
              <w:t>指标值</w:t>
            </w:r>
          </w:p>
        </w:tc>
        <w:tc>
          <w:tcPr>
            <w:tcW w:w="1276" w:type="dxa"/>
            <w:vAlign w:val="center"/>
          </w:tcPr>
          <w:p w14:paraId="661702A3">
            <w:pPr>
              <w:pStyle w:val="11"/>
            </w:pPr>
            <w:r>
              <w:t>指标值确定依据</w:t>
            </w:r>
          </w:p>
        </w:tc>
      </w:tr>
      <w:tr w14:paraId="123FB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F4753">
            <w:pPr>
              <w:pStyle w:val="12"/>
            </w:pPr>
            <w:r>
              <w:t>产出指标</w:t>
            </w:r>
          </w:p>
        </w:tc>
        <w:tc>
          <w:tcPr>
            <w:tcW w:w="2268" w:type="dxa"/>
            <w:vAlign w:val="center"/>
          </w:tcPr>
          <w:p w14:paraId="7431F6C4">
            <w:pPr>
              <w:pStyle w:val="13"/>
            </w:pPr>
            <w:r>
              <w:t>数量指标</w:t>
            </w:r>
          </w:p>
        </w:tc>
        <w:tc>
          <w:tcPr>
            <w:tcW w:w="2835" w:type="dxa"/>
            <w:vAlign w:val="center"/>
          </w:tcPr>
          <w:p w14:paraId="0FD96066">
            <w:pPr>
              <w:pStyle w:val="13"/>
            </w:pPr>
            <w:r>
              <w:t>适龄在校生</w:t>
            </w:r>
          </w:p>
        </w:tc>
        <w:tc>
          <w:tcPr>
            <w:tcW w:w="5386" w:type="dxa"/>
            <w:vAlign w:val="center"/>
          </w:tcPr>
          <w:p w14:paraId="31B5C4BF">
            <w:pPr>
              <w:pStyle w:val="13"/>
            </w:pPr>
            <w:r>
              <w:t>适龄在校就读学生人数</w:t>
            </w:r>
          </w:p>
        </w:tc>
        <w:tc>
          <w:tcPr>
            <w:tcW w:w="2268" w:type="dxa"/>
            <w:vAlign w:val="center"/>
          </w:tcPr>
          <w:p w14:paraId="7606BB94">
            <w:pPr>
              <w:pStyle w:val="13"/>
            </w:pPr>
            <w:r>
              <w:t>95人</w:t>
            </w:r>
          </w:p>
        </w:tc>
        <w:tc>
          <w:tcPr>
            <w:tcW w:w="1276" w:type="dxa"/>
            <w:vAlign w:val="center"/>
          </w:tcPr>
          <w:p w14:paraId="34EF5EFB">
            <w:pPr>
              <w:pStyle w:val="13"/>
            </w:pPr>
            <w:r>
              <w:t>城乡义务教育公用经费管理办法</w:t>
            </w:r>
          </w:p>
        </w:tc>
      </w:tr>
      <w:tr w14:paraId="21161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9007A"/>
        </w:tc>
        <w:tc>
          <w:tcPr>
            <w:tcW w:w="2268" w:type="dxa"/>
            <w:vAlign w:val="center"/>
          </w:tcPr>
          <w:p w14:paraId="7E3C3B93">
            <w:pPr>
              <w:pStyle w:val="13"/>
            </w:pPr>
            <w:r>
              <w:t>质量指标</w:t>
            </w:r>
          </w:p>
        </w:tc>
        <w:tc>
          <w:tcPr>
            <w:tcW w:w="2835" w:type="dxa"/>
            <w:vAlign w:val="center"/>
          </w:tcPr>
          <w:p w14:paraId="228D479F">
            <w:pPr>
              <w:pStyle w:val="13"/>
            </w:pPr>
            <w:r>
              <w:t>预算执行率</w:t>
            </w:r>
          </w:p>
        </w:tc>
        <w:tc>
          <w:tcPr>
            <w:tcW w:w="5386" w:type="dxa"/>
            <w:vAlign w:val="center"/>
          </w:tcPr>
          <w:p w14:paraId="40295286">
            <w:pPr>
              <w:pStyle w:val="13"/>
            </w:pPr>
            <w:r>
              <w:t>预算执行率</w:t>
            </w:r>
          </w:p>
        </w:tc>
        <w:tc>
          <w:tcPr>
            <w:tcW w:w="2268" w:type="dxa"/>
            <w:vAlign w:val="center"/>
          </w:tcPr>
          <w:p w14:paraId="798B4077">
            <w:pPr>
              <w:pStyle w:val="13"/>
            </w:pPr>
            <w:r>
              <w:t>≥98%</w:t>
            </w:r>
          </w:p>
        </w:tc>
        <w:tc>
          <w:tcPr>
            <w:tcW w:w="1276" w:type="dxa"/>
            <w:vAlign w:val="center"/>
          </w:tcPr>
          <w:p w14:paraId="52C722CB">
            <w:pPr>
              <w:pStyle w:val="13"/>
            </w:pPr>
            <w:r>
              <w:t>城乡义务教育公用经费管理办法</w:t>
            </w:r>
          </w:p>
        </w:tc>
      </w:tr>
      <w:tr w14:paraId="47C8E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F3874"/>
        </w:tc>
        <w:tc>
          <w:tcPr>
            <w:tcW w:w="2268" w:type="dxa"/>
            <w:vAlign w:val="center"/>
          </w:tcPr>
          <w:p w14:paraId="2164BFBD">
            <w:pPr>
              <w:pStyle w:val="13"/>
            </w:pPr>
            <w:r>
              <w:t>时效指标</w:t>
            </w:r>
          </w:p>
        </w:tc>
        <w:tc>
          <w:tcPr>
            <w:tcW w:w="2835" w:type="dxa"/>
            <w:vAlign w:val="center"/>
          </w:tcPr>
          <w:p w14:paraId="70039885">
            <w:pPr>
              <w:pStyle w:val="13"/>
            </w:pPr>
            <w:r>
              <w:t>公用经费资金支付率</w:t>
            </w:r>
          </w:p>
        </w:tc>
        <w:tc>
          <w:tcPr>
            <w:tcW w:w="5386" w:type="dxa"/>
            <w:vAlign w:val="center"/>
          </w:tcPr>
          <w:p w14:paraId="0CCE45D7">
            <w:pPr>
              <w:pStyle w:val="13"/>
            </w:pPr>
            <w:r>
              <w:t>按照序时进度完成资金支付</w:t>
            </w:r>
          </w:p>
        </w:tc>
        <w:tc>
          <w:tcPr>
            <w:tcW w:w="2268" w:type="dxa"/>
            <w:vAlign w:val="center"/>
          </w:tcPr>
          <w:p w14:paraId="73A1BD17">
            <w:pPr>
              <w:pStyle w:val="13"/>
            </w:pPr>
            <w:r>
              <w:t>≥100%</w:t>
            </w:r>
          </w:p>
        </w:tc>
        <w:tc>
          <w:tcPr>
            <w:tcW w:w="1276" w:type="dxa"/>
            <w:vAlign w:val="center"/>
          </w:tcPr>
          <w:p w14:paraId="61D77638">
            <w:pPr>
              <w:pStyle w:val="13"/>
            </w:pPr>
            <w:r>
              <w:t>城乡义务教育公用经费管理办法</w:t>
            </w:r>
          </w:p>
        </w:tc>
      </w:tr>
      <w:tr w14:paraId="7DD11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83A0F"/>
        </w:tc>
        <w:tc>
          <w:tcPr>
            <w:tcW w:w="2268" w:type="dxa"/>
            <w:vAlign w:val="center"/>
          </w:tcPr>
          <w:p w14:paraId="687ECE28">
            <w:pPr>
              <w:pStyle w:val="13"/>
            </w:pPr>
            <w:r>
              <w:t>成本指标</w:t>
            </w:r>
          </w:p>
        </w:tc>
        <w:tc>
          <w:tcPr>
            <w:tcW w:w="2835" w:type="dxa"/>
            <w:vAlign w:val="center"/>
          </w:tcPr>
          <w:p w14:paraId="362F4EE0">
            <w:pPr>
              <w:pStyle w:val="13"/>
            </w:pPr>
            <w:r>
              <w:t>生均拨款标准</w:t>
            </w:r>
          </w:p>
        </w:tc>
        <w:tc>
          <w:tcPr>
            <w:tcW w:w="5386" w:type="dxa"/>
            <w:vAlign w:val="center"/>
          </w:tcPr>
          <w:p w14:paraId="58EE184A">
            <w:pPr>
              <w:pStyle w:val="13"/>
            </w:pPr>
            <w:r>
              <w:t>特教学生：标准7000元/生/学年</w:t>
            </w:r>
          </w:p>
        </w:tc>
        <w:tc>
          <w:tcPr>
            <w:tcW w:w="2268" w:type="dxa"/>
            <w:vAlign w:val="center"/>
          </w:tcPr>
          <w:p w14:paraId="041A2A84">
            <w:pPr>
              <w:pStyle w:val="13"/>
            </w:pPr>
            <w:r>
              <w:t>7000元</w:t>
            </w:r>
          </w:p>
        </w:tc>
        <w:tc>
          <w:tcPr>
            <w:tcW w:w="1276" w:type="dxa"/>
            <w:vAlign w:val="center"/>
          </w:tcPr>
          <w:p w14:paraId="31F870F8">
            <w:pPr>
              <w:pStyle w:val="13"/>
            </w:pPr>
            <w:r>
              <w:t>城乡义务教育公用经费管理办法</w:t>
            </w:r>
          </w:p>
        </w:tc>
      </w:tr>
      <w:tr w14:paraId="46BA2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699656">
            <w:pPr>
              <w:pStyle w:val="12"/>
            </w:pPr>
            <w:r>
              <w:t>效益指标</w:t>
            </w:r>
          </w:p>
        </w:tc>
        <w:tc>
          <w:tcPr>
            <w:tcW w:w="2268" w:type="dxa"/>
            <w:vAlign w:val="center"/>
          </w:tcPr>
          <w:p w14:paraId="28A3319A">
            <w:pPr>
              <w:pStyle w:val="13"/>
            </w:pPr>
            <w:r>
              <w:t>社会效益指标</w:t>
            </w:r>
          </w:p>
        </w:tc>
        <w:tc>
          <w:tcPr>
            <w:tcW w:w="2835" w:type="dxa"/>
            <w:vAlign w:val="center"/>
          </w:tcPr>
          <w:p w14:paraId="37D8820E">
            <w:pPr>
              <w:pStyle w:val="13"/>
            </w:pPr>
            <w:r>
              <w:t>学校办学能力提升</w:t>
            </w:r>
          </w:p>
        </w:tc>
        <w:tc>
          <w:tcPr>
            <w:tcW w:w="5386" w:type="dxa"/>
            <w:vAlign w:val="center"/>
          </w:tcPr>
          <w:p w14:paraId="259A782D">
            <w:pPr>
              <w:pStyle w:val="13"/>
            </w:pPr>
            <w:r>
              <w:t>办学能力及教育教学工作提升率</w:t>
            </w:r>
          </w:p>
        </w:tc>
        <w:tc>
          <w:tcPr>
            <w:tcW w:w="2268" w:type="dxa"/>
            <w:vAlign w:val="center"/>
          </w:tcPr>
          <w:p w14:paraId="672440C0">
            <w:pPr>
              <w:pStyle w:val="13"/>
            </w:pPr>
            <w:r>
              <w:t>≥95%</w:t>
            </w:r>
          </w:p>
        </w:tc>
        <w:tc>
          <w:tcPr>
            <w:tcW w:w="1276" w:type="dxa"/>
            <w:vAlign w:val="center"/>
          </w:tcPr>
          <w:p w14:paraId="3D2C2CE2">
            <w:pPr>
              <w:pStyle w:val="13"/>
            </w:pPr>
            <w:r>
              <w:t>城乡义务教育公用经费管理办法</w:t>
            </w:r>
          </w:p>
        </w:tc>
      </w:tr>
      <w:tr w14:paraId="58999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0DF6F3">
            <w:pPr>
              <w:pStyle w:val="12"/>
            </w:pPr>
            <w:r>
              <w:t>满意度指标</w:t>
            </w:r>
          </w:p>
        </w:tc>
        <w:tc>
          <w:tcPr>
            <w:tcW w:w="2268" w:type="dxa"/>
            <w:vAlign w:val="center"/>
          </w:tcPr>
          <w:p w14:paraId="6B8A6129">
            <w:pPr>
              <w:pStyle w:val="13"/>
            </w:pPr>
            <w:r>
              <w:t>服务对象满意度指标</w:t>
            </w:r>
          </w:p>
        </w:tc>
        <w:tc>
          <w:tcPr>
            <w:tcW w:w="2835" w:type="dxa"/>
            <w:vAlign w:val="center"/>
          </w:tcPr>
          <w:p w14:paraId="4F23A62A">
            <w:pPr>
              <w:pStyle w:val="13"/>
            </w:pPr>
            <w:r>
              <w:rPr>
                <w:sz w:val="18"/>
                <w:szCs w:val="18"/>
              </w:rPr>
              <w:t>受益学生教师及家长调查满</w:t>
            </w:r>
            <w:r>
              <w:t>意度</w:t>
            </w:r>
          </w:p>
        </w:tc>
        <w:tc>
          <w:tcPr>
            <w:tcW w:w="5386" w:type="dxa"/>
            <w:vAlign w:val="center"/>
          </w:tcPr>
          <w:p w14:paraId="69C19270">
            <w:pPr>
              <w:pStyle w:val="13"/>
            </w:pPr>
            <w:r>
              <w:t>学生、教师及家长对学校教育教学工作满意度情况</w:t>
            </w:r>
          </w:p>
        </w:tc>
        <w:tc>
          <w:tcPr>
            <w:tcW w:w="2268" w:type="dxa"/>
            <w:vAlign w:val="center"/>
          </w:tcPr>
          <w:p w14:paraId="491B7D47">
            <w:pPr>
              <w:pStyle w:val="13"/>
            </w:pPr>
            <w:r>
              <w:t>≥95%</w:t>
            </w:r>
          </w:p>
        </w:tc>
        <w:tc>
          <w:tcPr>
            <w:tcW w:w="1276" w:type="dxa"/>
            <w:vAlign w:val="center"/>
          </w:tcPr>
          <w:p w14:paraId="4E862121">
            <w:pPr>
              <w:pStyle w:val="13"/>
            </w:pPr>
            <w:r>
              <w:t>问卷调查</w:t>
            </w:r>
          </w:p>
        </w:tc>
      </w:tr>
    </w:tbl>
    <w:p w14:paraId="72539923">
      <w:pPr>
        <w:sectPr>
          <w:pgSz w:w="16840" w:h="11900" w:orient="landscape"/>
          <w:pgMar w:top="1361" w:right="1020" w:bottom="1134" w:left="1020" w:header="720" w:footer="720" w:gutter="0"/>
          <w:cols w:space="720" w:num="1"/>
        </w:sectPr>
      </w:pPr>
    </w:p>
    <w:p w14:paraId="701B1F34">
      <w:pPr>
        <w:spacing w:before="0" w:after="0"/>
        <w:ind w:firstLine="560"/>
        <w:jc w:val="left"/>
        <w:outlineLvl w:val="9"/>
      </w:pPr>
      <w:r>
        <w:rPr>
          <w:rFonts w:ascii="方正仿宋_GBK" w:hAnsi="方正仿宋_GBK" w:eastAsia="方正仿宋_GBK" w:cs="方正仿宋_GBK"/>
          <w:b/>
          <w:color w:val="000000"/>
          <w:sz w:val="28"/>
        </w:rPr>
        <w:t>4、冀财教[2024]143号/省级/2025年特殊教育/特教学校专用设备购置绩效目标表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F0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D9D4F">
            <w:pPr>
              <w:pStyle w:val="14"/>
            </w:pPr>
            <w:r>
              <w:t>单位：万元</w:t>
            </w:r>
          </w:p>
        </w:tc>
      </w:tr>
      <w:tr w14:paraId="77D80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15C781">
            <w:pPr>
              <w:pStyle w:val="11"/>
            </w:pPr>
            <w:r>
              <w:t>项目编码</w:t>
            </w:r>
          </w:p>
        </w:tc>
        <w:tc>
          <w:tcPr>
            <w:tcW w:w="5103" w:type="dxa"/>
            <w:gridSpan w:val="2"/>
            <w:vAlign w:val="center"/>
          </w:tcPr>
          <w:p w14:paraId="1B464155">
            <w:pPr>
              <w:pStyle w:val="13"/>
            </w:pPr>
            <w:r>
              <w:t>13052525P00876110002C</w:t>
            </w:r>
          </w:p>
        </w:tc>
        <w:tc>
          <w:tcPr>
            <w:tcW w:w="2835" w:type="dxa"/>
            <w:vAlign w:val="center"/>
          </w:tcPr>
          <w:p w14:paraId="3553B8DC">
            <w:pPr>
              <w:pStyle w:val="11"/>
            </w:pPr>
            <w:r>
              <w:t>项目名称</w:t>
            </w:r>
          </w:p>
        </w:tc>
        <w:tc>
          <w:tcPr>
            <w:tcW w:w="6095" w:type="dxa"/>
            <w:gridSpan w:val="3"/>
            <w:vAlign w:val="center"/>
          </w:tcPr>
          <w:p w14:paraId="25536606">
            <w:pPr>
              <w:pStyle w:val="13"/>
            </w:pPr>
            <w:r>
              <w:t>冀财教[2024]143号/省级/2025年特殊教育/特教学校专用设备购置</w:t>
            </w:r>
          </w:p>
        </w:tc>
      </w:tr>
      <w:tr w14:paraId="601F4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3BC26">
            <w:pPr>
              <w:pStyle w:val="11"/>
            </w:pPr>
            <w:r>
              <w:t>预算规模及资金用途</w:t>
            </w:r>
          </w:p>
        </w:tc>
        <w:tc>
          <w:tcPr>
            <w:tcW w:w="2268" w:type="dxa"/>
            <w:vAlign w:val="center"/>
          </w:tcPr>
          <w:p w14:paraId="26290116">
            <w:pPr>
              <w:pStyle w:val="11"/>
            </w:pPr>
            <w:r>
              <w:t>预算数</w:t>
            </w:r>
          </w:p>
        </w:tc>
        <w:tc>
          <w:tcPr>
            <w:tcW w:w="2835" w:type="dxa"/>
            <w:vAlign w:val="center"/>
          </w:tcPr>
          <w:p w14:paraId="5149AB4E">
            <w:pPr>
              <w:pStyle w:val="13"/>
            </w:pPr>
            <w:r>
              <w:t>5.00</w:t>
            </w:r>
          </w:p>
        </w:tc>
        <w:tc>
          <w:tcPr>
            <w:tcW w:w="2835" w:type="dxa"/>
            <w:vAlign w:val="center"/>
          </w:tcPr>
          <w:p w14:paraId="64D9F998">
            <w:pPr>
              <w:pStyle w:val="11"/>
            </w:pPr>
            <w:r>
              <w:t>其中：财政    资金</w:t>
            </w:r>
          </w:p>
        </w:tc>
        <w:tc>
          <w:tcPr>
            <w:tcW w:w="2551" w:type="dxa"/>
            <w:vAlign w:val="center"/>
          </w:tcPr>
          <w:p w14:paraId="481EF546">
            <w:pPr>
              <w:pStyle w:val="13"/>
            </w:pPr>
            <w:r>
              <w:t>5.00</w:t>
            </w:r>
          </w:p>
        </w:tc>
        <w:tc>
          <w:tcPr>
            <w:tcW w:w="2268" w:type="dxa"/>
            <w:vAlign w:val="center"/>
          </w:tcPr>
          <w:p w14:paraId="4C2B141F">
            <w:pPr>
              <w:pStyle w:val="11"/>
            </w:pPr>
            <w:r>
              <w:t>其他资金</w:t>
            </w:r>
          </w:p>
        </w:tc>
        <w:tc>
          <w:tcPr>
            <w:tcW w:w="1276" w:type="dxa"/>
            <w:vAlign w:val="center"/>
          </w:tcPr>
          <w:p w14:paraId="2DEF5A2C">
            <w:pPr>
              <w:pStyle w:val="13"/>
            </w:pPr>
            <w:r>
              <w:t xml:space="preserve"> </w:t>
            </w:r>
          </w:p>
        </w:tc>
      </w:tr>
      <w:tr w14:paraId="7EDDB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2C5F8"/>
        </w:tc>
        <w:tc>
          <w:tcPr>
            <w:tcW w:w="14033" w:type="dxa"/>
            <w:gridSpan w:val="6"/>
            <w:vAlign w:val="center"/>
          </w:tcPr>
          <w:p w14:paraId="3D9518D3">
            <w:pPr>
              <w:pStyle w:val="13"/>
            </w:pPr>
            <w:r>
              <w:t>扩大特殊教育资源，进一步改善办学条件，提升特殊教育质量。</w:t>
            </w:r>
          </w:p>
        </w:tc>
      </w:tr>
      <w:tr w14:paraId="2C1E6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77C9D">
            <w:pPr>
              <w:pStyle w:val="11"/>
            </w:pPr>
            <w:r>
              <w:t>资金支出计划（%）</w:t>
            </w:r>
          </w:p>
        </w:tc>
        <w:tc>
          <w:tcPr>
            <w:tcW w:w="5103" w:type="dxa"/>
            <w:gridSpan w:val="2"/>
            <w:vAlign w:val="center"/>
          </w:tcPr>
          <w:p w14:paraId="7AA0909A">
            <w:pPr>
              <w:pStyle w:val="11"/>
            </w:pPr>
            <w:r>
              <w:t>3月底</w:t>
            </w:r>
          </w:p>
        </w:tc>
        <w:tc>
          <w:tcPr>
            <w:tcW w:w="2835" w:type="dxa"/>
            <w:vAlign w:val="center"/>
          </w:tcPr>
          <w:p w14:paraId="42C03E13">
            <w:pPr>
              <w:pStyle w:val="11"/>
            </w:pPr>
            <w:r>
              <w:t>6月底</w:t>
            </w:r>
          </w:p>
        </w:tc>
        <w:tc>
          <w:tcPr>
            <w:tcW w:w="2551" w:type="dxa"/>
            <w:vAlign w:val="center"/>
          </w:tcPr>
          <w:p w14:paraId="04BBA6CC">
            <w:pPr>
              <w:pStyle w:val="11"/>
            </w:pPr>
            <w:r>
              <w:t>10月底</w:t>
            </w:r>
          </w:p>
        </w:tc>
        <w:tc>
          <w:tcPr>
            <w:tcW w:w="3544" w:type="dxa"/>
            <w:gridSpan w:val="2"/>
            <w:vAlign w:val="center"/>
          </w:tcPr>
          <w:p w14:paraId="31D15CEE">
            <w:pPr>
              <w:pStyle w:val="11"/>
            </w:pPr>
            <w:r>
              <w:t>12月底</w:t>
            </w:r>
          </w:p>
        </w:tc>
      </w:tr>
      <w:tr w14:paraId="5DA92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11CD1C"/>
        </w:tc>
        <w:tc>
          <w:tcPr>
            <w:tcW w:w="5103" w:type="dxa"/>
            <w:gridSpan w:val="2"/>
            <w:vAlign w:val="center"/>
          </w:tcPr>
          <w:p w14:paraId="3A4FD0E1">
            <w:pPr>
              <w:pStyle w:val="12"/>
            </w:pPr>
            <w:r>
              <w:t>25%</w:t>
            </w:r>
          </w:p>
        </w:tc>
        <w:tc>
          <w:tcPr>
            <w:tcW w:w="2835" w:type="dxa"/>
            <w:vAlign w:val="center"/>
          </w:tcPr>
          <w:p w14:paraId="36D9D72F">
            <w:pPr>
              <w:pStyle w:val="12"/>
            </w:pPr>
            <w:r>
              <w:t>50%</w:t>
            </w:r>
          </w:p>
        </w:tc>
        <w:tc>
          <w:tcPr>
            <w:tcW w:w="2551" w:type="dxa"/>
            <w:vAlign w:val="center"/>
          </w:tcPr>
          <w:p w14:paraId="27D87ED8">
            <w:pPr>
              <w:pStyle w:val="12"/>
            </w:pPr>
            <w:r>
              <w:t>75%</w:t>
            </w:r>
          </w:p>
        </w:tc>
        <w:tc>
          <w:tcPr>
            <w:tcW w:w="3544" w:type="dxa"/>
            <w:gridSpan w:val="2"/>
            <w:vAlign w:val="center"/>
          </w:tcPr>
          <w:p w14:paraId="6794511C">
            <w:pPr>
              <w:pStyle w:val="12"/>
            </w:pPr>
            <w:r>
              <w:t>100%</w:t>
            </w:r>
          </w:p>
        </w:tc>
      </w:tr>
      <w:tr w14:paraId="6CA162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4E94A">
            <w:pPr>
              <w:pStyle w:val="11"/>
            </w:pPr>
            <w:r>
              <w:t>绩效目标</w:t>
            </w:r>
          </w:p>
        </w:tc>
        <w:tc>
          <w:tcPr>
            <w:tcW w:w="14033" w:type="dxa"/>
            <w:gridSpan w:val="6"/>
            <w:vAlign w:val="center"/>
          </w:tcPr>
          <w:p w14:paraId="3FE31404">
            <w:pPr>
              <w:pStyle w:val="13"/>
            </w:pPr>
            <w:r>
              <w:t>1.按规定拨付资金5万元，资金拨付率达到100%</w:t>
            </w:r>
          </w:p>
          <w:p w14:paraId="73744784">
            <w:pPr>
              <w:pStyle w:val="13"/>
            </w:pPr>
            <w:r>
              <w:t>2.扩大特殊教育资源，进一步改善办学条件，提升特殊教育质量。</w:t>
            </w:r>
          </w:p>
        </w:tc>
      </w:tr>
    </w:tbl>
    <w:p w14:paraId="377B0F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68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B53E0">
            <w:pPr>
              <w:pStyle w:val="11"/>
            </w:pPr>
            <w:r>
              <w:t>一级指标</w:t>
            </w:r>
          </w:p>
        </w:tc>
        <w:tc>
          <w:tcPr>
            <w:tcW w:w="2268" w:type="dxa"/>
            <w:vAlign w:val="center"/>
          </w:tcPr>
          <w:p w14:paraId="62E8A129">
            <w:pPr>
              <w:pStyle w:val="11"/>
            </w:pPr>
            <w:r>
              <w:t>二级指标</w:t>
            </w:r>
          </w:p>
        </w:tc>
        <w:tc>
          <w:tcPr>
            <w:tcW w:w="2835" w:type="dxa"/>
            <w:vAlign w:val="center"/>
          </w:tcPr>
          <w:p w14:paraId="384C2189">
            <w:pPr>
              <w:pStyle w:val="11"/>
            </w:pPr>
            <w:r>
              <w:t>三级指标</w:t>
            </w:r>
          </w:p>
        </w:tc>
        <w:tc>
          <w:tcPr>
            <w:tcW w:w="5386" w:type="dxa"/>
            <w:vAlign w:val="center"/>
          </w:tcPr>
          <w:p w14:paraId="2F15F30E">
            <w:pPr>
              <w:pStyle w:val="11"/>
            </w:pPr>
            <w:r>
              <w:t>绩效指标描述</w:t>
            </w:r>
          </w:p>
        </w:tc>
        <w:tc>
          <w:tcPr>
            <w:tcW w:w="2268" w:type="dxa"/>
            <w:vAlign w:val="center"/>
          </w:tcPr>
          <w:p w14:paraId="3E0E4BB5">
            <w:pPr>
              <w:pStyle w:val="11"/>
            </w:pPr>
            <w:r>
              <w:t>指标值</w:t>
            </w:r>
          </w:p>
        </w:tc>
        <w:tc>
          <w:tcPr>
            <w:tcW w:w="1276" w:type="dxa"/>
            <w:vAlign w:val="center"/>
          </w:tcPr>
          <w:p w14:paraId="5AE3A2E3">
            <w:pPr>
              <w:pStyle w:val="11"/>
            </w:pPr>
            <w:r>
              <w:t>指标值确定依据</w:t>
            </w:r>
          </w:p>
        </w:tc>
      </w:tr>
      <w:tr w14:paraId="76E6F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73E17">
            <w:pPr>
              <w:pStyle w:val="12"/>
            </w:pPr>
            <w:r>
              <w:t>产出指标</w:t>
            </w:r>
          </w:p>
        </w:tc>
        <w:tc>
          <w:tcPr>
            <w:tcW w:w="2268" w:type="dxa"/>
            <w:vAlign w:val="center"/>
          </w:tcPr>
          <w:p w14:paraId="4CD45E6B">
            <w:pPr>
              <w:pStyle w:val="13"/>
            </w:pPr>
            <w:r>
              <w:t>数量指标</w:t>
            </w:r>
          </w:p>
        </w:tc>
        <w:tc>
          <w:tcPr>
            <w:tcW w:w="2835" w:type="dxa"/>
            <w:vAlign w:val="center"/>
          </w:tcPr>
          <w:p w14:paraId="5653967D">
            <w:pPr>
              <w:pStyle w:val="13"/>
            </w:pPr>
            <w:r>
              <w:t>受益在校生</w:t>
            </w:r>
          </w:p>
        </w:tc>
        <w:tc>
          <w:tcPr>
            <w:tcW w:w="5386" w:type="dxa"/>
            <w:vAlign w:val="center"/>
          </w:tcPr>
          <w:p w14:paraId="3E50246A">
            <w:pPr>
              <w:pStyle w:val="13"/>
            </w:pPr>
            <w:r>
              <w:t>适龄在校就读受益学生数</w:t>
            </w:r>
          </w:p>
        </w:tc>
        <w:tc>
          <w:tcPr>
            <w:tcW w:w="2268" w:type="dxa"/>
            <w:vAlign w:val="center"/>
          </w:tcPr>
          <w:p w14:paraId="42E0C6EE">
            <w:pPr>
              <w:pStyle w:val="13"/>
            </w:pPr>
            <w:r>
              <w:t>95人</w:t>
            </w:r>
          </w:p>
        </w:tc>
        <w:tc>
          <w:tcPr>
            <w:tcW w:w="1276" w:type="dxa"/>
            <w:vAlign w:val="center"/>
          </w:tcPr>
          <w:p w14:paraId="05333567">
            <w:pPr>
              <w:pStyle w:val="13"/>
            </w:pPr>
            <w:r>
              <w:t>项目规划</w:t>
            </w:r>
          </w:p>
        </w:tc>
      </w:tr>
      <w:tr w14:paraId="0026A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9E66C"/>
        </w:tc>
        <w:tc>
          <w:tcPr>
            <w:tcW w:w="2268" w:type="dxa"/>
            <w:vAlign w:val="center"/>
          </w:tcPr>
          <w:p w14:paraId="6EC518A2">
            <w:pPr>
              <w:pStyle w:val="13"/>
            </w:pPr>
            <w:r>
              <w:t>质量指标</w:t>
            </w:r>
          </w:p>
        </w:tc>
        <w:tc>
          <w:tcPr>
            <w:tcW w:w="2835" w:type="dxa"/>
            <w:vAlign w:val="center"/>
          </w:tcPr>
          <w:p w14:paraId="7E6C5A29">
            <w:pPr>
              <w:pStyle w:val="13"/>
            </w:pPr>
            <w:r>
              <w:t>设备验收合格率</w:t>
            </w:r>
          </w:p>
        </w:tc>
        <w:tc>
          <w:tcPr>
            <w:tcW w:w="5386" w:type="dxa"/>
            <w:vAlign w:val="center"/>
          </w:tcPr>
          <w:p w14:paraId="5DFF8BCD">
            <w:pPr>
              <w:pStyle w:val="13"/>
            </w:pPr>
            <w:r>
              <w:t>购置设备数量与质量验收合格率</w:t>
            </w:r>
          </w:p>
        </w:tc>
        <w:tc>
          <w:tcPr>
            <w:tcW w:w="2268" w:type="dxa"/>
            <w:vAlign w:val="center"/>
          </w:tcPr>
          <w:p w14:paraId="4C2A4528">
            <w:pPr>
              <w:pStyle w:val="13"/>
            </w:pPr>
            <w:r>
              <w:t>≥100%</w:t>
            </w:r>
          </w:p>
        </w:tc>
        <w:tc>
          <w:tcPr>
            <w:tcW w:w="1276" w:type="dxa"/>
            <w:vAlign w:val="center"/>
          </w:tcPr>
          <w:p w14:paraId="1601B03D">
            <w:pPr>
              <w:pStyle w:val="13"/>
            </w:pPr>
            <w:r>
              <w:t>项目规划</w:t>
            </w:r>
          </w:p>
        </w:tc>
      </w:tr>
      <w:tr w14:paraId="05A12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F6F3D"/>
        </w:tc>
        <w:tc>
          <w:tcPr>
            <w:tcW w:w="2268" w:type="dxa"/>
            <w:vAlign w:val="center"/>
          </w:tcPr>
          <w:p w14:paraId="501D425F">
            <w:pPr>
              <w:pStyle w:val="13"/>
            </w:pPr>
            <w:r>
              <w:t>成本指标</w:t>
            </w:r>
          </w:p>
        </w:tc>
        <w:tc>
          <w:tcPr>
            <w:tcW w:w="2835" w:type="dxa"/>
            <w:vAlign w:val="center"/>
          </w:tcPr>
          <w:p w14:paraId="6D9D6EB5">
            <w:pPr>
              <w:pStyle w:val="13"/>
            </w:pPr>
            <w:r>
              <w:t>成本完成率</w:t>
            </w:r>
          </w:p>
        </w:tc>
        <w:tc>
          <w:tcPr>
            <w:tcW w:w="5386" w:type="dxa"/>
            <w:vAlign w:val="center"/>
          </w:tcPr>
          <w:p w14:paraId="6F320E61">
            <w:pPr>
              <w:pStyle w:val="13"/>
            </w:pPr>
            <w:r>
              <w:t>购置设备的资金投入</w:t>
            </w:r>
          </w:p>
        </w:tc>
        <w:tc>
          <w:tcPr>
            <w:tcW w:w="2268" w:type="dxa"/>
            <w:vAlign w:val="center"/>
          </w:tcPr>
          <w:p w14:paraId="1811E43D">
            <w:pPr>
              <w:pStyle w:val="13"/>
            </w:pPr>
            <w:r>
              <w:t>5万元</w:t>
            </w:r>
          </w:p>
        </w:tc>
        <w:tc>
          <w:tcPr>
            <w:tcW w:w="1276" w:type="dxa"/>
            <w:vAlign w:val="center"/>
          </w:tcPr>
          <w:p w14:paraId="0ED06593">
            <w:pPr>
              <w:pStyle w:val="13"/>
            </w:pPr>
            <w:r>
              <w:t>项目规划</w:t>
            </w:r>
          </w:p>
        </w:tc>
      </w:tr>
      <w:tr w14:paraId="03EE0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163CF"/>
        </w:tc>
        <w:tc>
          <w:tcPr>
            <w:tcW w:w="2268" w:type="dxa"/>
            <w:vAlign w:val="center"/>
          </w:tcPr>
          <w:p w14:paraId="6477D83A">
            <w:pPr>
              <w:pStyle w:val="13"/>
            </w:pPr>
            <w:r>
              <w:t>时效指标</w:t>
            </w:r>
          </w:p>
        </w:tc>
        <w:tc>
          <w:tcPr>
            <w:tcW w:w="2835" w:type="dxa"/>
            <w:vAlign w:val="center"/>
          </w:tcPr>
          <w:p w14:paraId="0ED14A55">
            <w:pPr>
              <w:pStyle w:val="13"/>
            </w:pPr>
            <w:r>
              <w:t>设备完成率</w:t>
            </w:r>
          </w:p>
        </w:tc>
        <w:tc>
          <w:tcPr>
            <w:tcW w:w="5386" w:type="dxa"/>
            <w:vAlign w:val="center"/>
          </w:tcPr>
          <w:p w14:paraId="5A8415C2">
            <w:pPr>
              <w:pStyle w:val="13"/>
            </w:pPr>
            <w:r>
              <w:t>购置设备的安装完成率</w:t>
            </w:r>
          </w:p>
        </w:tc>
        <w:tc>
          <w:tcPr>
            <w:tcW w:w="2268" w:type="dxa"/>
            <w:vAlign w:val="center"/>
          </w:tcPr>
          <w:p w14:paraId="2EEFE201">
            <w:pPr>
              <w:pStyle w:val="13"/>
            </w:pPr>
            <w:r>
              <w:t>≥100%</w:t>
            </w:r>
          </w:p>
        </w:tc>
        <w:tc>
          <w:tcPr>
            <w:tcW w:w="1276" w:type="dxa"/>
            <w:vAlign w:val="center"/>
          </w:tcPr>
          <w:p w14:paraId="357B1360">
            <w:pPr>
              <w:pStyle w:val="13"/>
            </w:pPr>
            <w:r>
              <w:t>项目规划</w:t>
            </w:r>
          </w:p>
        </w:tc>
      </w:tr>
      <w:tr w14:paraId="5C42A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B45FDA">
            <w:pPr>
              <w:pStyle w:val="12"/>
            </w:pPr>
            <w:r>
              <w:t>效益指标</w:t>
            </w:r>
          </w:p>
        </w:tc>
        <w:tc>
          <w:tcPr>
            <w:tcW w:w="2268" w:type="dxa"/>
            <w:vAlign w:val="center"/>
          </w:tcPr>
          <w:p w14:paraId="56017A18">
            <w:pPr>
              <w:pStyle w:val="13"/>
            </w:pPr>
            <w:r>
              <w:t>社会效益指标</w:t>
            </w:r>
          </w:p>
        </w:tc>
        <w:tc>
          <w:tcPr>
            <w:tcW w:w="2835" w:type="dxa"/>
            <w:vAlign w:val="center"/>
          </w:tcPr>
          <w:p w14:paraId="6282A6D4">
            <w:pPr>
              <w:pStyle w:val="13"/>
            </w:pPr>
            <w:r>
              <w:t>特殊教育资源</w:t>
            </w:r>
          </w:p>
        </w:tc>
        <w:tc>
          <w:tcPr>
            <w:tcW w:w="5386" w:type="dxa"/>
            <w:vAlign w:val="center"/>
          </w:tcPr>
          <w:p w14:paraId="3C1A72E1">
            <w:pPr>
              <w:pStyle w:val="13"/>
            </w:pPr>
            <w:r>
              <w:t>特殊教育资源扩大率</w:t>
            </w:r>
          </w:p>
        </w:tc>
        <w:tc>
          <w:tcPr>
            <w:tcW w:w="2268" w:type="dxa"/>
            <w:vAlign w:val="center"/>
          </w:tcPr>
          <w:p w14:paraId="4FBF3B87">
            <w:pPr>
              <w:pStyle w:val="13"/>
            </w:pPr>
            <w:r>
              <w:t>≥95%</w:t>
            </w:r>
          </w:p>
        </w:tc>
        <w:tc>
          <w:tcPr>
            <w:tcW w:w="1276" w:type="dxa"/>
            <w:vAlign w:val="center"/>
          </w:tcPr>
          <w:p w14:paraId="6FA39D0E">
            <w:pPr>
              <w:pStyle w:val="13"/>
            </w:pPr>
            <w:r>
              <w:t>项目规划</w:t>
            </w:r>
          </w:p>
        </w:tc>
      </w:tr>
      <w:tr w14:paraId="75C8C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B3624E">
            <w:pPr>
              <w:pStyle w:val="12"/>
            </w:pPr>
            <w:r>
              <w:t>满意度指标</w:t>
            </w:r>
          </w:p>
        </w:tc>
        <w:tc>
          <w:tcPr>
            <w:tcW w:w="2268" w:type="dxa"/>
            <w:vAlign w:val="center"/>
          </w:tcPr>
          <w:p w14:paraId="5DA2437A">
            <w:pPr>
              <w:pStyle w:val="13"/>
            </w:pPr>
            <w:r>
              <w:t>服务对象满意度指标</w:t>
            </w:r>
          </w:p>
        </w:tc>
        <w:tc>
          <w:tcPr>
            <w:tcW w:w="2835" w:type="dxa"/>
            <w:vAlign w:val="center"/>
          </w:tcPr>
          <w:p w14:paraId="2D408C19">
            <w:pPr>
              <w:pStyle w:val="13"/>
            </w:pPr>
            <w:r>
              <w:t>学生师生家长满意度</w:t>
            </w:r>
          </w:p>
        </w:tc>
        <w:tc>
          <w:tcPr>
            <w:tcW w:w="5386" w:type="dxa"/>
            <w:vAlign w:val="center"/>
          </w:tcPr>
          <w:p w14:paraId="54F678C5">
            <w:pPr>
              <w:pStyle w:val="13"/>
            </w:pPr>
            <w:r>
              <w:t>学校教师学生及家长满意度</w:t>
            </w:r>
          </w:p>
        </w:tc>
        <w:tc>
          <w:tcPr>
            <w:tcW w:w="2268" w:type="dxa"/>
            <w:vAlign w:val="center"/>
          </w:tcPr>
          <w:p w14:paraId="1DE01BB7">
            <w:pPr>
              <w:pStyle w:val="13"/>
            </w:pPr>
            <w:r>
              <w:t>≥98%</w:t>
            </w:r>
          </w:p>
        </w:tc>
        <w:tc>
          <w:tcPr>
            <w:tcW w:w="1276" w:type="dxa"/>
            <w:vAlign w:val="center"/>
          </w:tcPr>
          <w:p w14:paraId="4F7166F5">
            <w:pPr>
              <w:pStyle w:val="13"/>
            </w:pPr>
            <w:r>
              <w:t>问卷调查</w:t>
            </w:r>
          </w:p>
        </w:tc>
      </w:tr>
    </w:tbl>
    <w:p w14:paraId="14A9FE6A">
      <w:pPr>
        <w:sectPr>
          <w:pgSz w:w="16840" w:h="11900" w:orient="landscape"/>
          <w:pgMar w:top="1361" w:right="1020" w:bottom="1134" w:left="1020" w:header="720" w:footer="720" w:gutter="0"/>
          <w:cols w:space="720" w:num="1"/>
        </w:sectPr>
      </w:pPr>
    </w:p>
    <w:p w14:paraId="6E5F3833">
      <w:pPr>
        <w:spacing w:before="0" w:after="0"/>
        <w:ind w:firstLine="560"/>
        <w:jc w:val="left"/>
        <w:outlineLvl w:val="9"/>
      </w:pPr>
      <w:r>
        <w:rPr>
          <w:rFonts w:ascii="方正仿宋_GBK" w:hAnsi="方正仿宋_GBK" w:eastAsia="方正仿宋_GBK" w:cs="方正仿宋_GBK"/>
          <w:b/>
          <w:color w:val="000000"/>
          <w:sz w:val="28"/>
        </w:rPr>
        <w:t>5、县级配套/隆尧县特教学校公用经费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68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22264">
            <w:pPr>
              <w:pStyle w:val="14"/>
            </w:pPr>
            <w:r>
              <w:t>单位：万元</w:t>
            </w:r>
          </w:p>
        </w:tc>
      </w:tr>
      <w:tr w14:paraId="48D58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89317B">
            <w:pPr>
              <w:pStyle w:val="11"/>
            </w:pPr>
            <w:r>
              <w:t>项目编码</w:t>
            </w:r>
          </w:p>
        </w:tc>
        <w:tc>
          <w:tcPr>
            <w:tcW w:w="5103" w:type="dxa"/>
            <w:gridSpan w:val="2"/>
            <w:vAlign w:val="center"/>
          </w:tcPr>
          <w:p w14:paraId="00DFB33D">
            <w:pPr>
              <w:pStyle w:val="13"/>
            </w:pPr>
            <w:r>
              <w:t>13052525P00000810002X</w:t>
            </w:r>
          </w:p>
        </w:tc>
        <w:tc>
          <w:tcPr>
            <w:tcW w:w="2835" w:type="dxa"/>
            <w:vAlign w:val="center"/>
          </w:tcPr>
          <w:p w14:paraId="1D686700">
            <w:pPr>
              <w:pStyle w:val="11"/>
            </w:pPr>
            <w:r>
              <w:t>项目名称</w:t>
            </w:r>
          </w:p>
        </w:tc>
        <w:tc>
          <w:tcPr>
            <w:tcW w:w="6095" w:type="dxa"/>
            <w:gridSpan w:val="3"/>
            <w:vAlign w:val="center"/>
          </w:tcPr>
          <w:p w14:paraId="79396375">
            <w:pPr>
              <w:pStyle w:val="13"/>
            </w:pPr>
            <w:r>
              <w:t>县级配套/隆尧县特教学校公用经费</w:t>
            </w:r>
            <w:r>
              <w:tab/>
            </w:r>
          </w:p>
        </w:tc>
      </w:tr>
      <w:tr w14:paraId="4D2D0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0AD07">
            <w:pPr>
              <w:pStyle w:val="11"/>
            </w:pPr>
            <w:r>
              <w:t>预算规模及资金用途</w:t>
            </w:r>
          </w:p>
        </w:tc>
        <w:tc>
          <w:tcPr>
            <w:tcW w:w="2268" w:type="dxa"/>
            <w:vAlign w:val="center"/>
          </w:tcPr>
          <w:p w14:paraId="2DD1D5A4">
            <w:pPr>
              <w:pStyle w:val="11"/>
            </w:pPr>
            <w:r>
              <w:t>预算数</w:t>
            </w:r>
          </w:p>
        </w:tc>
        <w:tc>
          <w:tcPr>
            <w:tcW w:w="2835" w:type="dxa"/>
            <w:vAlign w:val="center"/>
          </w:tcPr>
          <w:p w14:paraId="1EEDE103">
            <w:pPr>
              <w:pStyle w:val="13"/>
            </w:pPr>
            <w:r>
              <w:t>15.26</w:t>
            </w:r>
          </w:p>
        </w:tc>
        <w:tc>
          <w:tcPr>
            <w:tcW w:w="2835" w:type="dxa"/>
            <w:vAlign w:val="center"/>
          </w:tcPr>
          <w:p w14:paraId="036A5F5F">
            <w:pPr>
              <w:pStyle w:val="11"/>
            </w:pPr>
            <w:r>
              <w:t>其中：财政    资金</w:t>
            </w:r>
          </w:p>
        </w:tc>
        <w:tc>
          <w:tcPr>
            <w:tcW w:w="2551" w:type="dxa"/>
            <w:vAlign w:val="center"/>
          </w:tcPr>
          <w:p w14:paraId="7FEB3215">
            <w:pPr>
              <w:pStyle w:val="13"/>
            </w:pPr>
            <w:r>
              <w:t>15.26</w:t>
            </w:r>
          </w:p>
        </w:tc>
        <w:tc>
          <w:tcPr>
            <w:tcW w:w="2268" w:type="dxa"/>
            <w:vAlign w:val="center"/>
          </w:tcPr>
          <w:p w14:paraId="14F62A2A">
            <w:pPr>
              <w:pStyle w:val="11"/>
            </w:pPr>
            <w:r>
              <w:t>其他资金</w:t>
            </w:r>
          </w:p>
        </w:tc>
        <w:tc>
          <w:tcPr>
            <w:tcW w:w="1276" w:type="dxa"/>
            <w:vAlign w:val="center"/>
          </w:tcPr>
          <w:p w14:paraId="32D01177">
            <w:pPr>
              <w:pStyle w:val="13"/>
            </w:pPr>
            <w:r>
              <w:t xml:space="preserve"> </w:t>
            </w:r>
          </w:p>
        </w:tc>
      </w:tr>
      <w:tr w14:paraId="63E44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ADC72"/>
        </w:tc>
        <w:tc>
          <w:tcPr>
            <w:tcW w:w="14033" w:type="dxa"/>
            <w:gridSpan w:val="6"/>
            <w:vAlign w:val="center"/>
          </w:tcPr>
          <w:p w14:paraId="17A92F88">
            <w:pPr>
              <w:pStyle w:val="13"/>
            </w:pPr>
            <w:r>
              <w:t>保障义务教育学校正常运转，完成教育教学活动和其他日常工作任务等方面的费用支出。</w:t>
            </w:r>
          </w:p>
        </w:tc>
      </w:tr>
      <w:tr w14:paraId="5AA29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9A4A9">
            <w:pPr>
              <w:pStyle w:val="11"/>
            </w:pPr>
            <w:r>
              <w:t>资金支出计划（%）</w:t>
            </w:r>
          </w:p>
        </w:tc>
        <w:tc>
          <w:tcPr>
            <w:tcW w:w="5103" w:type="dxa"/>
            <w:gridSpan w:val="2"/>
            <w:vAlign w:val="center"/>
          </w:tcPr>
          <w:p w14:paraId="4B51EA43">
            <w:pPr>
              <w:pStyle w:val="11"/>
            </w:pPr>
            <w:r>
              <w:t>3月底</w:t>
            </w:r>
          </w:p>
        </w:tc>
        <w:tc>
          <w:tcPr>
            <w:tcW w:w="2835" w:type="dxa"/>
            <w:vAlign w:val="center"/>
          </w:tcPr>
          <w:p w14:paraId="6BBBB5F0">
            <w:pPr>
              <w:pStyle w:val="11"/>
            </w:pPr>
            <w:r>
              <w:t>6月底</w:t>
            </w:r>
          </w:p>
        </w:tc>
        <w:tc>
          <w:tcPr>
            <w:tcW w:w="2551" w:type="dxa"/>
            <w:vAlign w:val="center"/>
          </w:tcPr>
          <w:p w14:paraId="4C7A7625">
            <w:pPr>
              <w:pStyle w:val="11"/>
            </w:pPr>
            <w:r>
              <w:t>10月底</w:t>
            </w:r>
          </w:p>
        </w:tc>
        <w:tc>
          <w:tcPr>
            <w:tcW w:w="3544" w:type="dxa"/>
            <w:gridSpan w:val="2"/>
            <w:vAlign w:val="center"/>
          </w:tcPr>
          <w:p w14:paraId="422A0D91">
            <w:pPr>
              <w:pStyle w:val="11"/>
            </w:pPr>
            <w:r>
              <w:t>12月底</w:t>
            </w:r>
          </w:p>
        </w:tc>
      </w:tr>
      <w:tr w14:paraId="7933A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464C6F"/>
        </w:tc>
        <w:tc>
          <w:tcPr>
            <w:tcW w:w="5103" w:type="dxa"/>
            <w:gridSpan w:val="2"/>
            <w:vAlign w:val="center"/>
          </w:tcPr>
          <w:p w14:paraId="15257F8A">
            <w:pPr>
              <w:pStyle w:val="12"/>
            </w:pPr>
            <w:r>
              <w:t>25%</w:t>
            </w:r>
          </w:p>
        </w:tc>
        <w:tc>
          <w:tcPr>
            <w:tcW w:w="2835" w:type="dxa"/>
            <w:vAlign w:val="center"/>
          </w:tcPr>
          <w:p w14:paraId="0EEF551C">
            <w:pPr>
              <w:pStyle w:val="12"/>
            </w:pPr>
            <w:r>
              <w:t>50%</w:t>
            </w:r>
          </w:p>
        </w:tc>
        <w:tc>
          <w:tcPr>
            <w:tcW w:w="2551" w:type="dxa"/>
            <w:vAlign w:val="center"/>
          </w:tcPr>
          <w:p w14:paraId="525D176D">
            <w:pPr>
              <w:pStyle w:val="12"/>
            </w:pPr>
            <w:r>
              <w:t>75%</w:t>
            </w:r>
          </w:p>
        </w:tc>
        <w:tc>
          <w:tcPr>
            <w:tcW w:w="3544" w:type="dxa"/>
            <w:gridSpan w:val="2"/>
            <w:vAlign w:val="center"/>
          </w:tcPr>
          <w:p w14:paraId="1CA59230">
            <w:pPr>
              <w:pStyle w:val="12"/>
            </w:pPr>
            <w:r>
              <w:t>100%</w:t>
            </w:r>
          </w:p>
        </w:tc>
      </w:tr>
      <w:tr w14:paraId="4E5B3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DE0294">
            <w:pPr>
              <w:pStyle w:val="11"/>
            </w:pPr>
            <w:r>
              <w:t>绩效目标</w:t>
            </w:r>
          </w:p>
        </w:tc>
        <w:tc>
          <w:tcPr>
            <w:tcW w:w="14033" w:type="dxa"/>
            <w:gridSpan w:val="6"/>
            <w:vAlign w:val="center"/>
          </w:tcPr>
          <w:p w14:paraId="59B49280">
            <w:pPr>
              <w:pStyle w:val="13"/>
            </w:pPr>
            <w:r>
              <w:t>1.按规定拨付县级公用经费15.26万元资金，资金拨付率达到100%</w:t>
            </w:r>
          </w:p>
          <w:p w14:paraId="33DA6A47">
            <w:pPr>
              <w:pStyle w:val="13"/>
            </w:pPr>
            <w:r>
              <w:t>2.保障义务教育学校正常运转，完成教育教学活动和其他日常工作任务等方面的费用支出。</w:t>
            </w:r>
          </w:p>
        </w:tc>
      </w:tr>
    </w:tbl>
    <w:p w14:paraId="6221EE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C3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FBBDB">
            <w:pPr>
              <w:pStyle w:val="11"/>
            </w:pPr>
            <w:r>
              <w:t>一级指标</w:t>
            </w:r>
          </w:p>
        </w:tc>
        <w:tc>
          <w:tcPr>
            <w:tcW w:w="2268" w:type="dxa"/>
            <w:vAlign w:val="center"/>
          </w:tcPr>
          <w:p w14:paraId="7719B3E4">
            <w:pPr>
              <w:pStyle w:val="11"/>
            </w:pPr>
            <w:r>
              <w:t>二级指标</w:t>
            </w:r>
          </w:p>
        </w:tc>
        <w:tc>
          <w:tcPr>
            <w:tcW w:w="2835" w:type="dxa"/>
            <w:vAlign w:val="center"/>
          </w:tcPr>
          <w:p w14:paraId="77D2314D">
            <w:pPr>
              <w:pStyle w:val="11"/>
            </w:pPr>
            <w:r>
              <w:t>三级指标</w:t>
            </w:r>
          </w:p>
        </w:tc>
        <w:tc>
          <w:tcPr>
            <w:tcW w:w="5386" w:type="dxa"/>
            <w:vAlign w:val="center"/>
          </w:tcPr>
          <w:p w14:paraId="44039C72">
            <w:pPr>
              <w:pStyle w:val="11"/>
            </w:pPr>
            <w:r>
              <w:t>绩效指标描述</w:t>
            </w:r>
          </w:p>
        </w:tc>
        <w:tc>
          <w:tcPr>
            <w:tcW w:w="2268" w:type="dxa"/>
            <w:vAlign w:val="center"/>
          </w:tcPr>
          <w:p w14:paraId="6574B2C8">
            <w:pPr>
              <w:pStyle w:val="11"/>
            </w:pPr>
            <w:r>
              <w:t>指标值</w:t>
            </w:r>
          </w:p>
        </w:tc>
        <w:tc>
          <w:tcPr>
            <w:tcW w:w="1276" w:type="dxa"/>
            <w:vAlign w:val="center"/>
          </w:tcPr>
          <w:p w14:paraId="70CEF1B9">
            <w:pPr>
              <w:pStyle w:val="11"/>
            </w:pPr>
            <w:r>
              <w:t>指标值确定依据</w:t>
            </w:r>
          </w:p>
        </w:tc>
      </w:tr>
      <w:tr w14:paraId="1C8C1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81CAF">
            <w:pPr>
              <w:pStyle w:val="12"/>
            </w:pPr>
            <w:r>
              <w:t>产出指标</w:t>
            </w:r>
          </w:p>
        </w:tc>
        <w:tc>
          <w:tcPr>
            <w:tcW w:w="2268" w:type="dxa"/>
            <w:vAlign w:val="center"/>
          </w:tcPr>
          <w:p w14:paraId="0F2D38F8">
            <w:pPr>
              <w:pStyle w:val="13"/>
            </w:pPr>
            <w:r>
              <w:t>数量指标</w:t>
            </w:r>
          </w:p>
        </w:tc>
        <w:tc>
          <w:tcPr>
            <w:tcW w:w="2835" w:type="dxa"/>
            <w:vAlign w:val="center"/>
          </w:tcPr>
          <w:p w14:paraId="7B340229">
            <w:pPr>
              <w:pStyle w:val="13"/>
            </w:pPr>
            <w:r>
              <w:t>适龄在校生</w:t>
            </w:r>
          </w:p>
        </w:tc>
        <w:tc>
          <w:tcPr>
            <w:tcW w:w="5386" w:type="dxa"/>
            <w:vAlign w:val="center"/>
          </w:tcPr>
          <w:p w14:paraId="43F5D06B">
            <w:pPr>
              <w:pStyle w:val="13"/>
            </w:pPr>
            <w:r>
              <w:t>适龄在校就读学生人数</w:t>
            </w:r>
          </w:p>
        </w:tc>
        <w:tc>
          <w:tcPr>
            <w:tcW w:w="2268" w:type="dxa"/>
            <w:vAlign w:val="center"/>
          </w:tcPr>
          <w:p w14:paraId="7CF7378A">
            <w:pPr>
              <w:pStyle w:val="13"/>
            </w:pPr>
            <w:r>
              <w:t>218人</w:t>
            </w:r>
          </w:p>
        </w:tc>
        <w:tc>
          <w:tcPr>
            <w:tcW w:w="1276" w:type="dxa"/>
            <w:vAlign w:val="center"/>
          </w:tcPr>
          <w:p w14:paraId="19FE1125">
            <w:pPr>
              <w:pStyle w:val="13"/>
            </w:pPr>
            <w:r>
              <w:t>城乡义务教育公用经费管理办法</w:t>
            </w:r>
          </w:p>
        </w:tc>
      </w:tr>
      <w:tr w14:paraId="29A1C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E3C61"/>
        </w:tc>
        <w:tc>
          <w:tcPr>
            <w:tcW w:w="2268" w:type="dxa"/>
            <w:vAlign w:val="center"/>
          </w:tcPr>
          <w:p w14:paraId="692724F1">
            <w:pPr>
              <w:pStyle w:val="13"/>
            </w:pPr>
            <w:r>
              <w:t>质量指标</w:t>
            </w:r>
          </w:p>
        </w:tc>
        <w:tc>
          <w:tcPr>
            <w:tcW w:w="2835" w:type="dxa"/>
            <w:vAlign w:val="center"/>
          </w:tcPr>
          <w:p w14:paraId="0F9E8B90">
            <w:pPr>
              <w:pStyle w:val="13"/>
            </w:pPr>
            <w:r>
              <w:t>预算执行率</w:t>
            </w:r>
          </w:p>
        </w:tc>
        <w:tc>
          <w:tcPr>
            <w:tcW w:w="5386" w:type="dxa"/>
            <w:vAlign w:val="center"/>
          </w:tcPr>
          <w:p w14:paraId="59BCF96B">
            <w:pPr>
              <w:pStyle w:val="13"/>
            </w:pPr>
            <w:r>
              <w:t>预算执行率</w:t>
            </w:r>
          </w:p>
        </w:tc>
        <w:tc>
          <w:tcPr>
            <w:tcW w:w="2268" w:type="dxa"/>
            <w:vAlign w:val="center"/>
          </w:tcPr>
          <w:p w14:paraId="71220618">
            <w:pPr>
              <w:pStyle w:val="13"/>
            </w:pPr>
            <w:r>
              <w:t>≥98%</w:t>
            </w:r>
          </w:p>
        </w:tc>
        <w:tc>
          <w:tcPr>
            <w:tcW w:w="1276" w:type="dxa"/>
            <w:vAlign w:val="center"/>
          </w:tcPr>
          <w:p w14:paraId="19EFC575">
            <w:pPr>
              <w:pStyle w:val="13"/>
            </w:pPr>
            <w:r>
              <w:t>城乡义务教育公用经费管理办法</w:t>
            </w:r>
          </w:p>
        </w:tc>
      </w:tr>
      <w:tr w14:paraId="20D8C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933E1"/>
        </w:tc>
        <w:tc>
          <w:tcPr>
            <w:tcW w:w="2268" w:type="dxa"/>
            <w:vAlign w:val="center"/>
          </w:tcPr>
          <w:p w14:paraId="54C224AE">
            <w:pPr>
              <w:pStyle w:val="13"/>
            </w:pPr>
            <w:r>
              <w:t>时效指标</w:t>
            </w:r>
          </w:p>
        </w:tc>
        <w:tc>
          <w:tcPr>
            <w:tcW w:w="2835" w:type="dxa"/>
            <w:vAlign w:val="center"/>
          </w:tcPr>
          <w:p w14:paraId="5DE5F47F">
            <w:pPr>
              <w:pStyle w:val="13"/>
            </w:pPr>
            <w:r>
              <w:t>资金支付率</w:t>
            </w:r>
          </w:p>
        </w:tc>
        <w:tc>
          <w:tcPr>
            <w:tcW w:w="5386" w:type="dxa"/>
            <w:vAlign w:val="center"/>
          </w:tcPr>
          <w:p w14:paraId="70A90CDF">
            <w:pPr>
              <w:pStyle w:val="13"/>
            </w:pPr>
            <w:r>
              <w:t>按照序时进度完成资金支付</w:t>
            </w:r>
          </w:p>
        </w:tc>
        <w:tc>
          <w:tcPr>
            <w:tcW w:w="2268" w:type="dxa"/>
            <w:vAlign w:val="center"/>
          </w:tcPr>
          <w:p w14:paraId="66238C38">
            <w:pPr>
              <w:pStyle w:val="13"/>
            </w:pPr>
            <w:r>
              <w:t>≥100%</w:t>
            </w:r>
          </w:p>
        </w:tc>
        <w:tc>
          <w:tcPr>
            <w:tcW w:w="1276" w:type="dxa"/>
            <w:vAlign w:val="center"/>
          </w:tcPr>
          <w:p w14:paraId="160EAE14">
            <w:pPr>
              <w:pStyle w:val="13"/>
            </w:pPr>
            <w:r>
              <w:t>城乡义务教育公用经费管理办法</w:t>
            </w:r>
          </w:p>
        </w:tc>
      </w:tr>
      <w:tr w14:paraId="47048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B7F0B"/>
        </w:tc>
        <w:tc>
          <w:tcPr>
            <w:tcW w:w="2268" w:type="dxa"/>
            <w:vAlign w:val="center"/>
          </w:tcPr>
          <w:p w14:paraId="0B50D6DF">
            <w:pPr>
              <w:pStyle w:val="13"/>
            </w:pPr>
            <w:r>
              <w:t>成本指标</w:t>
            </w:r>
          </w:p>
        </w:tc>
        <w:tc>
          <w:tcPr>
            <w:tcW w:w="2835" w:type="dxa"/>
            <w:vAlign w:val="center"/>
          </w:tcPr>
          <w:p w14:paraId="12FBBAEA">
            <w:pPr>
              <w:pStyle w:val="13"/>
            </w:pPr>
            <w:r>
              <w:t>生均拨款标准</w:t>
            </w:r>
          </w:p>
        </w:tc>
        <w:tc>
          <w:tcPr>
            <w:tcW w:w="5386" w:type="dxa"/>
            <w:vAlign w:val="center"/>
          </w:tcPr>
          <w:p w14:paraId="47321D90">
            <w:pPr>
              <w:pStyle w:val="13"/>
            </w:pPr>
            <w:r>
              <w:t>特教学生：标准7000元/生/学年。</w:t>
            </w:r>
          </w:p>
        </w:tc>
        <w:tc>
          <w:tcPr>
            <w:tcW w:w="2268" w:type="dxa"/>
            <w:vAlign w:val="center"/>
          </w:tcPr>
          <w:p w14:paraId="64F27390">
            <w:pPr>
              <w:pStyle w:val="13"/>
            </w:pPr>
            <w:r>
              <w:t>7000元</w:t>
            </w:r>
          </w:p>
        </w:tc>
        <w:tc>
          <w:tcPr>
            <w:tcW w:w="1276" w:type="dxa"/>
            <w:vAlign w:val="center"/>
          </w:tcPr>
          <w:p w14:paraId="2195DBC1">
            <w:pPr>
              <w:pStyle w:val="13"/>
            </w:pPr>
            <w:r>
              <w:t>城乡义务教育公用经费管理办法</w:t>
            </w:r>
          </w:p>
        </w:tc>
      </w:tr>
      <w:tr w14:paraId="60D10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C0896">
            <w:pPr>
              <w:pStyle w:val="12"/>
            </w:pPr>
            <w:r>
              <w:t>效益指标</w:t>
            </w:r>
          </w:p>
        </w:tc>
        <w:tc>
          <w:tcPr>
            <w:tcW w:w="2268" w:type="dxa"/>
            <w:vAlign w:val="center"/>
          </w:tcPr>
          <w:p w14:paraId="569EAFE2">
            <w:pPr>
              <w:pStyle w:val="13"/>
            </w:pPr>
            <w:r>
              <w:t>可持续影响指标</w:t>
            </w:r>
          </w:p>
        </w:tc>
        <w:tc>
          <w:tcPr>
            <w:tcW w:w="2835" w:type="dxa"/>
            <w:vAlign w:val="center"/>
          </w:tcPr>
          <w:p w14:paraId="5DFC1BE5">
            <w:pPr>
              <w:pStyle w:val="13"/>
            </w:pPr>
            <w:r>
              <w:t>学校办学能力提升</w:t>
            </w:r>
          </w:p>
        </w:tc>
        <w:tc>
          <w:tcPr>
            <w:tcW w:w="5386" w:type="dxa"/>
            <w:vAlign w:val="center"/>
          </w:tcPr>
          <w:p w14:paraId="115543CC">
            <w:pPr>
              <w:pStyle w:val="13"/>
            </w:pPr>
            <w:r>
              <w:t>办学能力及教育教学工作提升率</w:t>
            </w:r>
          </w:p>
        </w:tc>
        <w:tc>
          <w:tcPr>
            <w:tcW w:w="2268" w:type="dxa"/>
            <w:vAlign w:val="center"/>
          </w:tcPr>
          <w:p w14:paraId="17A2C50E">
            <w:pPr>
              <w:pStyle w:val="13"/>
            </w:pPr>
            <w:r>
              <w:t>≥95%</w:t>
            </w:r>
          </w:p>
        </w:tc>
        <w:tc>
          <w:tcPr>
            <w:tcW w:w="1276" w:type="dxa"/>
            <w:vAlign w:val="center"/>
          </w:tcPr>
          <w:p w14:paraId="49A1F9C4">
            <w:pPr>
              <w:pStyle w:val="13"/>
            </w:pPr>
            <w:r>
              <w:t>城乡义务教育公用经费管理办法</w:t>
            </w:r>
          </w:p>
        </w:tc>
      </w:tr>
      <w:tr w14:paraId="20217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251A85">
            <w:pPr>
              <w:pStyle w:val="12"/>
            </w:pPr>
            <w:r>
              <w:t>满意度指标</w:t>
            </w:r>
          </w:p>
        </w:tc>
        <w:tc>
          <w:tcPr>
            <w:tcW w:w="2268" w:type="dxa"/>
            <w:vAlign w:val="center"/>
          </w:tcPr>
          <w:p w14:paraId="67274F70">
            <w:pPr>
              <w:pStyle w:val="13"/>
            </w:pPr>
            <w:r>
              <w:t>服务对象满意度指标</w:t>
            </w:r>
          </w:p>
        </w:tc>
        <w:tc>
          <w:tcPr>
            <w:tcW w:w="2835" w:type="dxa"/>
            <w:vAlign w:val="center"/>
          </w:tcPr>
          <w:p w14:paraId="13B145A3">
            <w:pPr>
              <w:pStyle w:val="13"/>
            </w:pPr>
            <w:r>
              <w:t>受益学生教师及家长调查满意度</w:t>
            </w:r>
          </w:p>
        </w:tc>
        <w:tc>
          <w:tcPr>
            <w:tcW w:w="5386" w:type="dxa"/>
            <w:vAlign w:val="center"/>
          </w:tcPr>
          <w:p w14:paraId="355C3C0F">
            <w:pPr>
              <w:pStyle w:val="13"/>
            </w:pPr>
            <w:r>
              <w:t>学生、教师及家长对学校教育教学工作满意度情况</w:t>
            </w:r>
          </w:p>
        </w:tc>
        <w:tc>
          <w:tcPr>
            <w:tcW w:w="2268" w:type="dxa"/>
            <w:vAlign w:val="center"/>
          </w:tcPr>
          <w:p w14:paraId="781492A1">
            <w:pPr>
              <w:pStyle w:val="13"/>
            </w:pPr>
            <w:r>
              <w:t>≥95%</w:t>
            </w:r>
          </w:p>
        </w:tc>
        <w:tc>
          <w:tcPr>
            <w:tcW w:w="1276" w:type="dxa"/>
            <w:vAlign w:val="center"/>
          </w:tcPr>
          <w:p w14:paraId="278F02F1">
            <w:pPr>
              <w:pStyle w:val="13"/>
            </w:pPr>
            <w:r>
              <w:t>问卷调查</w:t>
            </w:r>
          </w:p>
        </w:tc>
      </w:tr>
    </w:tbl>
    <w:p w14:paraId="1773CAA5">
      <w:pPr>
        <w:sectPr>
          <w:pgSz w:w="16840" w:h="11900" w:orient="landscape"/>
          <w:pgMar w:top="1361" w:right="1020" w:bottom="1134" w:left="1020" w:header="720" w:footer="720" w:gutter="0"/>
          <w:cols w:space="720" w:num="1"/>
        </w:sectPr>
      </w:pPr>
    </w:p>
    <w:p w14:paraId="6AFE3FF4">
      <w:pPr>
        <w:spacing w:before="10" w:after="10" w:line="240" w:lineRule="auto"/>
        <w:ind w:firstLine="640"/>
        <w:jc w:val="left"/>
        <w:outlineLvl w:val="5"/>
      </w:pPr>
      <w:r>
        <w:rPr>
          <w:rFonts w:ascii="黑体" w:hAnsi="黑体" w:eastAsia="黑体" w:cs="黑体"/>
          <w:color w:val="000000"/>
          <w:sz w:val="32"/>
        </w:rPr>
        <w:t>六、政府采购预算情况</w:t>
      </w:r>
    </w:p>
    <w:p w14:paraId="49379FE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9B27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4691A0E">
            <w:pPr>
              <w:pStyle w:val="8"/>
            </w:pPr>
            <w:r>
              <w:t>360012隆尧县特殊教育学校</w:t>
            </w:r>
          </w:p>
        </w:tc>
        <w:tc>
          <w:tcPr>
            <w:tcW w:w="7712" w:type="dxa"/>
            <w:gridSpan w:val="8"/>
            <w:tcBorders>
              <w:top w:val="single" w:color="FFFFFF" w:sz="6" w:space="0"/>
              <w:left w:val="single" w:color="FFFFFF" w:sz="6" w:space="0"/>
              <w:right w:val="single" w:color="FFFFFF" w:sz="6" w:space="0"/>
            </w:tcBorders>
            <w:vAlign w:val="center"/>
          </w:tcPr>
          <w:p w14:paraId="491409E2">
            <w:pPr>
              <w:pStyle w:val="22"/>
            </w:pPr>
            <w:r>
              <w:t>单位：万元</w:t>
            </w:r>
          </w:p>
        </w:tc>
      </w:tr>
      <w:tr w14:paraId="60ADF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2665" w:type="dxa"/>
            <w:gridSpan w:val="2"/>
            <w:vAlign w:val="center"/>
          </w:tcPr>
          <w:p w14:paraId="6F1EA78F">
            <w:pPr>
              <w:pStyle w:val="11"/>
            </w:pPr>
            <w:r>
              <w:t>政府采购项目来源</w:t>
            </w:r>
          </w:p>
        </w:tc>
        <w:tc>
          <w:tcPr>
            <w:tcW w:w="1134" w:type="dxa"/>
            <w:vMerge w:val="restart"/>
            <w:vAlign w:val="center"/>
          </w:tcPr>
          <w:p w14:paraId="0B78A74E">
            <w:pPr>
              <w:pStyle w:val="11"/>
            </w:pPr>
            <w:r>
              <w:t>采购物品名称</w:t>
            </w:r>
          </w:p>
        </w:tc>
        <w:tc>
          <w:tcPr>
            <w:tcW w:w="1134" w:type="dxa"/>
            <w:vMerge w:val="restart"/>
            <w:vAlign w:val="center"/>
          </w:tcPr>
          <w:p w14:paraId="621E30E2">
            <w:pPr>
              <w:pStyle w:val="11"/>
            </w:pPr>
            <w:r>
              <w:t>政府采购目录序号</w:t>
            </w:r>
          </w:p>
        </w:tc>
        <w:tc>
          <w:tcPr>
            <w:tcW w:w="709" w:type="dxa"/>
            <w:vMerge w:val="restart"/>
            <w:vAlign w:val="center"/>
          </w:tcPr>
          <w:p w14:paraId="1B4CD6DF">
            <w:pPr>
              <w:pStyle w:val="11"/>
            </w:pPr>
            <w:r>
              <w:t>计量  单位</w:t>
            </w:r>
          </w:p>
        </w:tc>
        <w:tc>
          <w:tcPr>
            <w:tcW w:w="850" w:type="dxa"/>
            <w:vMerge w:val="restart"/>
            <w:vAlign w:val="center"/>
          </w:tcPr>
          <w:p w14:paraId="1C803A08">
            <w:pPr>
              <w:pStyle w:val="11"/>
            </w:pPr>
            <w:r>
              <w:t>数量</w:t>
            </w:r>
          </w:p>
        </w:tc>
        <w:tc>
          <w:tcPr>
            <w:tcW w:w="850" w:type="dxa"/>
            <w:vMerge w:val="restart"/>
            <w:vAlign w:val="center"/>
          </w:tcPr>
          <w:p w14:paraId="082CEFD4">
            <w:pPr>
              <w:pStyle w:val="11"/>
            </w:pPr>
            <w:r>
              <w:t>单价</w:t>
            </w:r>
          </w:p>
        </w:tc>
        <w:tc>
          <w:tcPr>
            <w:tcW w:w="6748" w:type="dxa"/>
            <w:gridSpan w:val="7"/>
            <w:vAlign w:val="center"/>
          </w:tcPr>
          <w:p w14:paraId="2A4B2258">
            <w:pPr>
              <w:pStyle w:val="11"/>
            </w:pPr>
            <w:r>
              <w:t>政府采购金额（当年部门预算安排资金）</w:t>
            </w:r>
          </w:p>
        </w:tc>
        <w:tc>
          <w:tcPr>
            <w:tcW w:w="964" w:type="dxa"/>
            <w:vMerge w:val="restart"/>
            <w:vAlign w:val="center"/>
          </w:tcPr>
          <w:p w14:paraId="79FEBAE3">
            <w:pPr>
              <w:pStyle w:val="11"/>
            </w:pPr>
            <w:r>
              <w:t>2025年  预留中  小微企  业份额</w:t>
            </w:r>
          </w:p>
        </w:tc>
      </w:tr>
      <w:tr w14:paraId="31192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D2E8AA4">
            <w:pPr>
              <w:pStyle w:val="11"/>
            </w:pPr>
            <w:r>
              <w:t>项目名称</w:t>
            </w:r>
          </w:p>
        </w:tc>
        <w:tc>
          <w:tcPr>
            <w:tcW w:w="964" w:type="dxa"/>
            <w:vAlign w:val="center"/>
          </w:tcPr>
          <w:p w14:paraId="1FF0A668">
            <w:pPr>
              <w:pStyle w:val="11"/>
            </w:pPr>
            <w:r>
              <w:t>预算    资金</w:t>
            </w:r>
          </w:p>
        </w:tc>
        <w:tc>
          <w:tcPr>
            <w:tcW w:w="1134" w:type="dxa"/>
            <w:vMerge w:val="continue"/>
          </w:tcPr>
          <w:p w14:paraId="78422F1A"/>
        </w:tc>
        <w:tc>
          <w:tcPr>
            <w:tcW w:w="1134" w:type="dxa"/>
            <w:vMerge w:val="continue"/>
          </w:tcPr>
          <w:p w14:paraId="49293BDA"/>
        </w:tc>
        <w:tc>
          <w:tcPr>
            <w:tcW w:w="709" w:type="dxa"/>
            <w:vMerge w:val="continue"/>
          </w:tcPr>
          <w:p w14:paraId="545FAAA9"/>
        </w:tc>
        <w:tc>
          <w:tcPr>
            <w:tcW w:w="850" w:type="dxa"/>
            <w:vMerge w:val="continue"/>
          </w:tcPr>
          <w:p w14:paraId="413258C7"/>
        </w:tc>
        <w:tc>
          <w:tcPr>
            <w:tcW w:w="850" w:type="dxa"/>
            <w:vMerge w:val="continue"/>
          </w:tcPr>
          <w:p w14:paraId="3BF51FD5"/>
        </w:tc>
        <w:tc>
          <w:tcPr>
            <w:tcW w:w="964" w:type="dxa"/>
            <w:vAlign w:val="center"/>
          </w:tcPr>
          <w:p w14:paraId="2289EBB6">
            <w:pPr>
              <w:pStyle w:val="11"/>
            </w:pPr>
            <w:r>
              <w:t>合计</w:t>
            </w:r>
          </w:p>
        </w:tc>
        <w:tc>
          <w:tcPr>
            <w:tcW w:w="964" w:type="dxa"/>
            <w:vAlign w:val="center"/>
          </w:tcPr>
          <w:p w14:paraId="7057EAC6">
            <w:pPr>
              <w:pStyle w:val="11"/>
            </w:pPr>
            <w:r>
              <w:t>一般公共预算拨款</w:t>
            </w:r>
          </w:p>
        </w:tc>
        <w:tc>
          <w:tcPr>
            <w:tcW w:w="964" w:type="dxa"/>
            <w:vAlign w:val="center"/>
          </w:tcPr>
          <w:p w14:paraId="5C10CA89">
            <w:pPr>
              <w:pStyle w:val="11"/>
            </w:pPr>
            <w:r>
              <w:t>基金预算拨款</w:t>
            </w:r>
          </w:p>
        </w:tc>
        <w:tc>
          <w:tcPr>
            <w:tcW w:w="964" w:type="dxa"/>
            <w:vAlign w:val="center"/>
          </w:tcPr>
          <w:p w14:paraId="5869FA64">
            <w:pPr>
              <w:pStyle w:val="11"/>
            </w:pPr>
            <w:r>
              <w:t>国有资本经营预算拨款</w:t>
            </w:r>
          </w:p>
        </w:tc>
        <w:tc>
          <w:tcPr>
            <w:tcW w:w="964" w:type="dxa"/>
            <w:vAlign w:val="center"/>
          </w:tcPr>
          <w:p w14:paraId="617157F4">
            <w:pPr>
              <w:pStyle w:val="11"/>
            </w:pPr>
            <w:r>
              <w:t>财政专户核拨</w:t>
            </w:r>
          </w:p>
        </w:tc>
        <w:tc>
          <w:tcPr>
            <w:tcW w:w="964" w:type="dxa"/>
            <w:vAlign w:val="center"/>
          </w:tcPr>
          <w:p w14:paraId="1C688F9F">
            <w:pPr>
              <w:pStyle w:val="11"/>
            </w:pPr>
            <w:r>
              <w:t>单位    资金</w:t>
            </w:r>
          </w:p>
        </w:tc>
        <w:tc>
          <w:tcPr>
            <w:tcW w:w="964" w:type="dxa"/>
            <w:vAlign w:val="center"/>
          </w:tcPr>
          <w:p w14:paraId="4765C811">
            <w:pPr>
              <w:pStyle w:val="11"/>
            </w:pPr>
            <w:r>
              <w:t>上年结转结余</w:t>
            </w:r>
          </w:p>
        </w:tc>
        <w:tc>
          <w:tcPr>
            <w:tcW w:w="964" w:type="dxa"/>
            <w:vMerge w:val="continue"/>
          </w:tcPr>
          <w:p w14:paraId="7FB05744"/>
        </w:tc>
      </w:tr>
      <w:tr w14:paraId="1DC4E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ED2041">
            <w:pPr>
              <w:pStyle w:val="13"/>
            </w:pPr>
          </w:p>
        </w:tc>
        <w:tc>
          <w:tcPr>
            <w:tcW w:w="964" w:type="dxa"/>
            <w:vAlign w:val="center"/>
          </w:tcPr>
          <w:p w14:paraId="5FFA49C4">
            <w:pPr>
              <w:pStyle w:val="14"/>
            </w:pPr>
          </w:p>
        </w:tc>
        <w:tc>
          <w:tcPr>
            <w:tcW w:w="1134" w:type="dxa"/>
            <w:vAlign w:val="center"/>
          </w:tcPr>
          <w:p w14:paraId="79697C95">
            <w:pPr>
              <w:pStyle w:val="13"/>
            </w:pPr>
          </w:p>
        </w:tc>
        <w:tc>
          <w:tcPr>
            <w:tcW w:w="1134" w:type="dxa"/>
            <w:vAlign w:val="center"/>
          </w:tcPr>
          <w:p w14:paraId="40F42B6D">
            <w:pPr>
              <w:pStyle w:val="13"/>
            </w:pPr>
          </w:p>
        </w:tc>
        <w:tc>
          <w:tcPr>
            <w:tcW w:w="709" w:type="dxa"/>
            <w:vAlign w:val="center"/>
          </w:tcPr>
          <w:p w14:paraId="76A58706">
            <w:pPr>
              <w:pStyle w:val="12"/>
            </w:pPr>
          </w:p>
        </w:tc>
        <w:tc>
          <w:tcPr>
            <w:tcW w:w="850" w:type="dxa"/>
            <w:vAlign w:val="center"/>
          </w:tcPr>
          <w:p w14:paraId="1C1A599D">
            <w:pPr>
              <w:pStyle w:val="14"/>
            </w:pPr>
          </w:p>
        </w:tc>
        <w:tc>
          <w:tcPr>
            <w:tcW w:w="850" w:type="dxa"/>
            <w:vAlign w:val="center"/>
          </w:tcPr>
          <w:p w14:paraId="2F4344B7">
            <w:pPr>
              <w:pStyle w:val="14"/>
            </w:pPr>
          </w:p>
        </w:tc>
        <w:tc>
          <w:tcPr>
            <w:tcW w:w="964" w:type="dxa"/>
            <w:vAlign w:val="center"/>
          </w:tcPr>
          <w:p w14:paraId="06F33F88">
            <w:pPr>
              <w:pStyle w:val="14"/>
            </w:pPr>
          </w:p>
        </w:tc>
        <w:tc>
          <w:tcPr>
            <w:tcW w:w="964" w:type="dxa"/>
            <w:vAlign w:val="center"/>
          </w:tcPr>
          <w:p w14:paraId="3630B8EB">
            <w:pPr>
              <w:pStyle w:val="14"/>
            </w:pPr>
          </w:p>
        </w:tc>
        <w:tc>
          <w:tcPr>
            <w:tcW w:w="964" w:type="dxa"/>
            <w:vAlign w:val="center"/>
          </w:tcPr>
          <w:p w14:paraId="70530C69">
            <w:pPr>
              <w:pStyle w:val="14"/>
            </w:pPr>
          </w:p>
        </w:tc>
        <w:tc>
          <w:tcPr>
            <w:tcW w:w="964" w:type="dxa"/>
            <w:vAlign w:val="center"/>
          </w:tcPr>
          <w:p w14:paraId="2DBC3EE9">
            <w:pPr>
              <w:pStyle w:val="14"/>
            </w:pPr>
          </w:p>
        </w:tc>
        <w:tc>
          <w:tcPr>
            <w:tcW w:w="964" w:type="dxa"/>
            <w:vAlign w:val="center"/>
          </w:tcPr>
          <w:p w14:paraId="44A0ED71">
            <w:pPr>
              <w:pStyle w:val="14"/>
            </w:pPr>
          </w:p>
        </w:tc>
        <w:tc>
          <w:tcPr>
            <w:tcW w:w="964" w:type="dxa"/>
            <w:vAlign w:val="center"/>
          </w:tcPr>
          <w:p w14:paraId="2A032654">
            <w:pPr>
              <w:pStyle w:val="14"/>
            </w:pPr>
          </w:p>
        </w:tc>
        <w:tc>
          <w:tcPr>
            <w:tcW w:w="964" w:type="dxa"/>
            <w:vAlign w:val="center"/>
          </w:tcPr>
          <w:p w14:paraId="7C317CAA">
            <w:pPr>
              <w:pStyle w:val="14"/>
            </w:pPr>
          </w:p>
        </w:tc>
        <w:tc>
          <w:tcPr>
            <w:tcW w:w="964" w:type="dxa"/>
            <w:vAlign w:val="center"/>
          </w:tcPr>
          <w:p w14:paraId="58513AE5">
            <w:pPr>
              <w:pStyle w:val="14"/>
            </w:pPr>
          </w:p>
        </w:tc>
      </w:tr>
    </w:tbl>
    <w:p w14:paraId="6534D9D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8819D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454BD62">
      <w:pPr>
        <w:spacing w:before="0" w:after="0"/>
        <w:ind w:firstLine="640"/>
        <w:jc w:val="left"/>
        <w:outlineLvl w:val="9"/>
      </w:pPr>
      <w:r>
        <w:rPr>
          <w:rFonts w:ascii="Times New Roman" w:hAnsi="Times New Roman" w:eastAsia="方正仿宋_GBK" w:cs="Times New Roman"/>
          <w:color w:val="000000"/>
          <w:sz w:val="32"/>
        </w:rPr>
        <w:t xml:space="preserve"> </w:t>
      </w:r>
    </w:p>
    <w:p w14:paraId="6517BADD">
      <w:pPr>
        <w:spacing w:before="10" w:after="10" w:line="240" w:lineRule="auto"/>
        <w:ind w:firstLine="640"/>
        <w:jc w:val="left"/>
        <w:outlineLvl w:val="5"/>
      </w:pPr>
      <w:r>
        <w:rPr>
          <w:rFonts w:ascii="黑体" w:hAnsi="黑体" w:eastAsia="黑体" w:cs="黑体"/>
          <w:color w:val="000000"/>
          <w:sz w:val="32"/>
        </w:rPr>
        <w:t>七、国有资产信息</w:t>
      </w:r>
    </w:p>
    <w:p w14:paraId="767809E0">
      <w:pPr>
        <w:spacing w:before="0" w:after="0" w:line="500" w:lineRule="exact"/>
        <w:ind w:firstLine="560"/>
        <w:jc w:val="left"/>
        <w:outlineLvl w:val="9"/>
      </w:pPr>
      <w:r>
        <w:rPr>
          <w:rFonts w:ascii="Times New Roman" w:hAnsi="Times New Roman" w:eastAsia="方正仿宋_GBK" w:cs="Times New Roman"/>
          <w:b w:val="0"/>
          <w:color w:val="000000"/>
          <w:sz w:val="28"/>
        </w:rPr>
        <w:t>隆尧县特殊教育学校上年末固定资产金额为470.58万元（详见下表）。本年度拟购置固定资产总额为37.33万元，已按要求列入政府采购预算，详见政府采购预算表。</w:t>
      </w:r>
    </w:p>
    <w:p w14:paraId="7409FD4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7A35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9769BD9">
            <w:pPr>
              <w:pStyle w:val="8"/>
            </w:pPr>
            <w:r>
              <w:t>360012隆尧县特殊教育学校</w:t>
            </w:r>
          </w:p>
        </w:tc>
        <w:tc>
          <w:tcPr>
            <w:tcW w:w="5670" w:type="dxa"/>
            <w:gridSpan w:val="2"/>
            <w:tcBorders>
              <w:top w:val="single" w:color="FFFFFF" w:sz="6" w:space="0"/>
              <w:left w:val="single" w:color="FFFFFF" w:sz="6" w:space="0"/>
              <w:right w:val="single" w:color="FFFFFF" w:sz="6" w:space="0"/>
            </w:tcBorders>
            <w:vAlign w:val="center"/>
          </w:tcPr>
          <w:p w14:paraId="46B49548">
            <w:pPr>
              <w:pStyle w:val="10"/>
            </w:pPr>
            <w:r>
              <w:t>截止时间：2024-12-31</w:t>
            </w:r>
          </w:p>
        </w:tc>
      </w:tr>
      <w:tr w14:paraId="4A176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90AFD99">
            <w:pPr>
              <w:pStyle w:val="11"/>
            </w:pPr>
            <w:r>
              <w:t>项   目</w:t>
            </w:r>
          </w:p>
        </w:tc>
        <w:tc>
          <w:tcPr>
            <w:tcW w:w="2835" w:type="dxa"/>
            <w:vAlign w:val="center"/>
          </w:tcPr>
          <w:p w14:paraId="74D72635">
            <w:pPr>
              <w:pStyle w:val="11"/>
            </w:pPr>
            <w:r>
              <w:t>数量</w:t>
            </w:r>
          </w:p>
        </w:tc>
        <w:tc>
          <w:tcPr>
            <w:tcW w:w="2835" w:type="dxa"/>
            <w:vAlign w:val="center"/>
          </w:tcPr>
          <w:p w14:paraId="031CFE4C">
            <w:pPr>
              <w:pStyle w:val="11"/>
            </w:pPr>
            <w:r>
              <w:t>价值（金额单位：万元）</w:t>
            </w:r>
          </w:p>
        </w:tc>
      </w:tr>
      <w:tr w14:paraId="0A13A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14:paraId="78590C0A">
            <w:pPr>
              <w:pStyle w:val="13"/>
            </w:pPr>
            <w:r>
              <w:t>资产总额</w:t>
            </w:r>
          </w:p>
        </w:tc>
        <w:tc>
          <w:tcPr>
            <w:tcW w:w="2835" w:type="dxa"/>
            <w:vAlign w:val="center"/>
          </w:tcPr>
          <w:p w14:paraId="67B6780A">
            <w:pPr>
              <w:pStyle w:val="12"/>
            </w:pPr>
          </w:p>
        </w:tc>
        <w:tc>
          <w:tcPr>
            <w:tcW w:w="2835" w:type="dxa"/>
            <w:vAlign w:val="center"/>
          </w:tcPr>
          <w:p w14:paraId="5637CDD5">
            <w:pPr>
              <w:pStyle w:val="14"/>
            </w:pPr>
            <w:r>
              <w:t>470.58</w:t>
            </w:r>
          </w:p>
        </w:tc>
      </w:tr>
      <w:tr w14:paraId="44BED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36DECA">
            <w:pPr>
              <w:pStyle w:val="13"/>
            </w:pPr>
            <w:r>
              <w:t>1、房屋（平方米）</w:t>
            </w:r>
          </w:p>
        </w:tc>
        <w:tc>
          <w:tcPr>
            <w:tcW w:w="2835" w:type="dxa"/>
            <w:vAlign w:val="center"/>
          </w:tcPr>
          <w:p w14:paraId="06A1C658">
            <w:pPr>
              <w:pStyle w:val="12"/>
            </w:pPr>
            <w:r>
              <w:t>2049</w:t>
            </w:r>
          </w:p>
        </w:tc>
        <w:tc>
          <w:tcPr>
            <w:tcW w:w="2835" w:type="dxa"/>
            <w:vAlign w:val="center"/>
          </w:tcPr>
          <w:p w14:paraId="0A08C1D3">
            <w:pPr>
              <w:pStyle w:val="14"/>
            </w:pPr>
            <w:r>
              <w:t>186.96</w:t>
            </w:r>
          </w:p>
        </w:tc>
      </w:tr>
      <w:tr w14:paraId="77EAE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F50E06">
            <w:pPr>
              <w:pStyle w:val="13"/>
            </w:pPr>
            <w:r>
              <w:t>　　其中：办公用房（平方米）</w:t>
            </w:r>
          </w:p>
        </w:tc>
        <w:tc>
          <w:tcPr>
            <w:tcW w:w="2835" w:type="dxa"/>
            <w:vAlign w:val="center"/>
          </w:tcPr>
          <w:p w14:paraId="71AD85DC">
            <w:pPr>
              <w:pStyle w:val="12"/>
            </w:pPr>
            <w:r>
              <w:t>100</w:t>
            </w:r>
          </w:p>
        </w:tc>
        <w:tc>
          <w:tcPr>
            <w:tcW w:w="2835" w:type="dxa"/>
            <w:vAlign w:val="center"/>
          </w:tcPr>
          <w:p w14:paraId="48E00EA7">
            <w:pPr>
              <w:pStyle w:val="14"/>
            </w:pPr>
            <w:r>
              <w:t>9.12</w:t>
            </w:r>
          </w:p>
        </w:tc>
      </w:tr>
      <w:tr w14:paraId="77267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3117D6">
            <w:pPr>
              <w:pStyle w:val="13"/>
            </w:pPr>
            <w:r>
              <w:t>2、车辆（台、辆）</w:t>
            </w:r>
          </w:p>
        </w:tc>
        <w:tc>
          <w:tcPr>
            <w:tcW w:w="2835" w:type="dxa"/>
            <w:vAlign w:val="center"/>
          </w:tcPr>
          <w:p w14:paraId="190DADEF">
            <w:pPr>
              <w:pStyle w:val="12"/>
            </w:pPr>
          </w:p>
        </w:tc>
        <w:tc>
          <w:tcPr>
            <w:tcW w:w="2835" w:type="dxa"/>
            <w:vAlign w:val="center"/>
          </w:tcPr>
          <w:p w14:paraId="1610926D">
            <w:pPr>
              <w:pStyle w:val="14"/>
            </w:pPr>
          </w:p>
        </w:tc>
      </w:tr>
      <w:tr w14:paraId="332EF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9DDBBC">
            <w:pPr>
              <w:pStyle w:val="13"/>
            </w:pPr>
            <w:r>
              <w:t>3、单价在20万元以上的设备</w:t>
            </w:r>
          </w:p>
        </w:tc>
        <w:tc>
          <w:tcPr>
            <w:tcW w:w="2835" w:type="dxa"/>
            <w:vAlign w:val="center"/>
          </w:tcPr>
          <w:p w14:paraId="64F9CF9B">
            <w:pPr>
              <w:pStyle w:val="12"/>
            </w:pPr>
            <w:r>
              <w:t>2</w:t>
            </w:r>
          </w:p>
        </w:tc>
        <w:tc>
          <w:tcPr>
            <w:tcW w:w="2835" w:type="dxa"/>
            <w:vAlign w:val="center"/>
          </w:tcPr>
          <w:p w14:paraId="23AF3DA9">
            <w:pPr>
              <w:pStyle w:val="14"/>
            </w:pPr>
            <w:r>
              <w:t>113.97</w:t>
            </w:r>
          </w:p>
        </w:tc>
      </w:tr>
      <w:tr w14:paraId="0ABFB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230052">
            <w:pPr>
              <w:pStyle w:val="13"/>
            </w:pPr>
            <w:r>
              <w:t>4、其他固定资产</w:t>
            </w:r>
          </w:p>
        </w:tc>
        <w:tc>
          <w:tcPr>
            <w:tcW w:w="2835" w:type="dxa"/>
            <w:vAlign w:val="center"/>
          </w:tcPr>
          <w:p w14:paraId="61324D1C">
            <w:pPr>
              <w:pStyle w:val="12"/>
            </w:pPr>
            <w:r>
              <w:t>323</w:t>
            </w:r>
          </w:p>
        </w:tc>
        <w:tc>
          <w:tcPr>
            <w:tcW w:w="2835" w:type="dxa"/>
            <w:vAlign w:val="center"/>
          </w:tcPr>
          <w:p w14:paraId="35A1294C">
            <w:pPr>
              <w:pStyle w:val="14"/>
            </w:pPr>
            <w:r>
              <w:t>169.65</w:t>
            </w:r>
          </w:p>
        </w:tc>
      </w:tr>
    </w:tbl>
    <w:p w14:paraId="59EB9977">
      <w:pPr>
        <w:spacing w:before="0" w:after="0"/>
        <w:ind w:firstLine="640"/>
        <w:jc w:val="left"/>
        <w:outlineLvl w:val="9"/>
      </w:pPr>
      <w:r>
        <w:rPr>
          <w:rFonts w:ascii="Times New Roman" w:hAnsi="Times New Roman" w:eastAsia="方正仿宋_GBK" w:cs="Times New Roman"/>
          <w:color w:val="000000"/>
          <w:sz w:val="32"/>
        </w:rPr>
        <w:t xml:space="preserve"> </w:t>
      </w:r>
    </w:p>
    <w:p w14:paraId="628447E4">
      <w:pPr>
        <w:spacing w:before="10" w:after="10" w:line="240" w:lineRule="auto"/>
        <w:ind w:firstLine="640"/>
        <w:jc w:val="left"/>
        <w:outlineLvl w:val="5"/>
      </w:pPr>
      <w:r>
        <w:rPr>
          <w:rFonts w:ascii="黑体" w:hAnsi="黑体" w:eastAsia="黑体" w:cs="黑体"/>
          <w:color w:val="000000"/>
          <w:sz w:val="32"/>
        </w:rPr>
        <w:t>八、名词解释</w:t>
      </w:r>
    </w:p>
    <w:p w14:paraId="152D96C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3110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8202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543E3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5EBCD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C1A08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FC59A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75CF4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B8F3FB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1B3C0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202EF5">
      <w:pPr>
        <w:spacing w:before="10" w:after="10" w:line="240" w:lineRule="auto"/>
        <w:ind w:firstLine="640"/>
        <w:jc w:val="left"/>
        <w:outlineLvl w:val="5"/>
      </w:pPr>
      <w:r>
        <w:rPr>
          <w:rFonts w:ascii="黑体" w:hAnsi="黑体" w:eastAsia="黑体" w:cs="黑体"/>
          <w:color w:val="000000"/>
          <w:sz w:val="32"/>
        </w:rPr>
        <w:t>九、其他需要说明的事项</w:t>
      </w:r>
    </w:p>
    <w:p w14:paraId="187BC05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3291C62">
      <w:pPr>
        <w:spacing w:before="0" w:after="0"/>
        <w:ind w:firstLine="0"/>
        <w:jc w:val="center"/>
        <w:outlineLvl w:val="3"/>
      </w:pPr>
      <w:bookmarkStart w:id="12" w:name="_Toc_4_4_0000000032"/>
      <w:r>
        <w:rPr>
          <w:rFonts w:ascii="方正小标宋_GBK" w:hAnsi="方正小标宋_GBK" w:eastAsia="方正小标宋_GBK" w:cs="方正小标宋_GBK"/>
          <w:b w:val="0"/>
          <w:color w:val="000000"/>
          <w:sz w:val="44"/>
        </w:rPr>
        <w:t>十二、隆尧县实验小学收支预算</w:t>
      </w:r>
      <w:bookmarkEnd w:id="12"/>
    </w:p>
    <w:p w14:paraId="73C018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DA32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7CA432">
            <w:pPr>
              <w:pStyle w:val="8"/>
            </w:pPr>
            <w:r>
              <w:t>360013隆尧县实验小学</w:t>
            </w:r>
          </w:p>
        </w:tc>
        <w:tc>
          <w:tcPr>
            <w:tcW w:w="2126" w:type="dxa"/>
            <w:tcBorders>
              <w:top w:val="single" w:color="FFFFFF" w:sz="6" w:space="0"/>
              <w:left w:val="single" w:color="FFFFFF" w:sz="6" w:space="0"/>
              <w:right w:val="single" w:color="FFFFFF" w:sz="6" w:space="0"/>
            </w:tcBorders>
            <w:vAlign w:val="center"/>
          </w:tcPr>
          <w:p w14:paraId="1466FE0C">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C2CA28B">
            <w:pPr>
              <w:pStyle w:val="10"/>
            </w:pPr>
            <w:r>
              <w:t>单位：万元</w:t>
            </w:r>
          </w:p>
        </w:tc>
      </w:tr>
      <w:tr w14:paraId="2C826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81C1D">
            <w:pPr>
              <w:pStyle w:val="11"/>
            </w:pPr>
            <w:r>
              <w:t>序号</w:t>
            </w:r>
          </w:p>
        </w:tc>
        <w:tc>
          <w:tcPr>
            <w:tcW w:w="6661" w:type="dxa"/>
            <w:gridSpan w:val="2"/>
            <w:vAlign w:val="center"/>
          </w:tcPr>
          <w:p w14:paraId="01E5EA49">
            <w:pPr>
              <w:pStyle w:val="11"/>
            </w:pPr>
            <w:r>
              <w:t>收入</w:t>
            </w:r>
          </w:p>
        </w:tc>
        <w:tc>
          <w:tcPr>
            <w:tcW w:w="6661" w:type="dxa"/>
            <w:gridSpan w:val="2"/>
            <w:vAlign w:val="center"/>
          </w:tcPr>
          <w:p w14:paraId="14C1ACD5">
            <w:pPr>
              <w:pStyle w:val="11"/>
            </w:pPr>
            <w:r>
              <w:t>支出</w:t>
            </w:r>
          </w:p>
        </w:tc>
      </w:tr>
      <w:tr w14:paraId="311FC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115F4"/>
        </w:tc>
        <w:tc>
          <w:tcPr>
            <w:tcW w:w="4535" w:type="dxa"/>
            <w:vAlign w:val="center"/>
          </w:tcPr>
          <w:p w14:paraId="53A6C5A0">
            <w:pPr>
              <w:pStyle w:val="11"/>
            </w:pPr>
            <w:r>
              <w:t>项  目</w:t>
            </w:r>
          </w:p>
        </w:tc>
        <w:tc>
          <w:tcPr>
            <w:tcW w:w="2126" w:type="dxa"/>
            <w:vAlign w:val="center"/>
          </w:tcPr>
          <w:p w14:paraId="0EE150EE">
            <w:pPr>
              <w:pStyle w:val="11"/>
            </w:pPr>
            <w:r>
              <w:t>预算数</w:t>
            </w:r>
          </w:p>
        </w:tc>
        <w:tc>
          <w:tcPr>
            <w:tcW w:w="4535" w:type="dxa"/>
            <w:vAlign w:val="center"/>
          </w:tcPr>
          <w:p w14:paraId="518EEAA8">
            <w:pPr>
              <w:pStyle w:val="11"/>
            </w:pPr>
            <w:r>
              <w:t>项  目</w:t>
            </w:r>
          </w:p>
        </w:tc>
        <w:tc>
          <w:tcPr>
            <w:tcW w:w="2126" w:type="dxa"/>
            <w:vAlign w:val="center"/>
          </w:tcPr>
          <w:p w14:paraId="3256001F">
            <w:pPr>
              <w:pStyle w:val="11"/>
            </w:pPr>
            <w:r>
              <w:t>预算数</w:t>
            </w:r>
          </w:p>
        </w:tc>
      </w:tr>
      <w:tr w14:paraId="38316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0E93E">
            <w:pPr>
              <w:pStyle w:val="11"/>
            </w:pPr>
            <w:r>
              <w:t>栏次</w:t>
            </w:r>
          </w:p>
        </w:tc>
        <w:tc>
          <w:tcPr>
            <w:tcW w:w="4535" w:type="dxa"/>
            <w:vAlign w:val="center"/>
          </w:tcPr>
          <w:p w14:paraId="3D6663E5">
            <w:pPr>
              <w:pStyle w:val="11"/>
            </w:pPr>
            <w:r>
              <w:t>1</w:t>
            </w:r>
          </w:p>
        </w:tc>
        <w:tc>
          <w:tcPr>
            <w:tcW w:w="2126" w:type="dxa"/>
            <w:vAlign w:val="center"/>
          </w:tcPr>
          <w:p w14:paraId="208B9E3B">
            <w:pPr>
              <w:pStyle w:val="11"/>
            </w:pPr>
            <w:r>
              <w:t>2</w:t>
            </w:r>
          </w:p>
        </w:tc>
        <w:tc>
          <w:tcPr>
            <w:tcW w:w="4535" w:type="dxa"/>
            <w:vAlign w:val="center"/>
          </w:tcPr>
          <w:p w14:paraId="4DA2C827">
            <w:pPr>
              <w:pStyle w:val="11"/>
            </w:pPr>
            <w:r>
              <w:t>3</w:t>
            </w:r>
          </w:p>
        </w:tc>
        <w:tc>
          <w:tcPr>
            <w:tcW w:w="2126" w:type="dxa"/>
            <w:vAlign w:val="center"/>
          </w:tcPr>
          <w:p w14:paraId="6B462D98">
            <w:pPr>
              <w:pStyle w:val="11"/>
            </w:pPr>
            <w:r>
              <w:t>4</w:t>
            </w:r>
          </w:p>
        </w:tc>
      </w:tr>
      <w:tr w14:paraId="47B86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7FF30">
            <w:pPr>
              <w:pStyle w:val="12"/>
            </w:pPr>
            <w:r>
              <w:t>1</w:t>
            </w:r>
          </w:p>
        </w:tc>
        <w:tc>
          <w:tcPr>
            <w:tcW w:w="4535" w:type="dxa"/>
            <w:vAlign w:val="center"/>
          </w:tcPr>
          <w:p w14:paraId="29D2C889">
            <w:pPr>
              <w:pStyle w:val="13"/>
            </w:pPr>
            <w:r>
              <w:t>一、一般公共预算拨款收入</w:t>
            </w:r>
          </w:p>
        </w:tc>
        <w:tc>
          <w:tcPr>
            <w:tcW w:w="2126" w:type="dxa"/>
            <w:vAlign w:val="center"/>
          </w:tcPr>
          <w:p w14:paraId="3399C17C">
            <w:pPr>
              <w:pStyle w:val="14"/>
            </w:pPr>
            <w:r>
              <w:t>2008.85</w:t>
            </w:r>
          </w:p>
        </w:tc>
        <w:tc>
          <w:tcPr>
            <w:tcW w:w="4535" w:type="dxa"/>
            <w:vAlign w:val="center"/>
          </w:tcPr>
          <w:p w14:paraId="3A3A4A5D">
            <w:pPr>
              <w:pStyle w:val="13"/>
            </w:pPr>
            <w:r>
              <w:t>一、一般公共服务支出</w:t>
            </w:r>
          </w:p>
        </w:tc>
        <w:tc>
          <w:tcPr>
            <w:tcW w:w="2126" w:type="dxa"/>
            <w:vAlign w:val="center"/>
          </w:tcPr>
          <w:p w14:paraId="66B4DE77">
            <w:pPr>
              <w:pStyle w:val="14"/>
            </w:pPr>
          </w:p>
        </w:tc>
      </w:tr>
      <w:tr w14:paraId="69A74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CED84">
            <w:pPr>
              <w:pStyle w:val="12"/>
            </w:pPr>
            <w:r>
              <w:t>2</w:t>
            </w:r>
          </w:p>
        </w:tc>
        <w:tc>
          <w:tcPr>
            <w:tcW w:w="4535" w:type="dxa"/>
            <w:vAlign w:val="center"/>
          </w:tcPr>
          <w:p w14:paraId="611F9196">
            <w:pPr>
              <w:pStyle w:val="13"/>
            </w:pPr>
            <w:r>
              <w:t>二、政府性基金预算拨款收入</w:t>
            </w:r>
          </w:p>
        </w:tc>
        <w:tc>
          <w:tcPr>
            <w:tcW w:w="2126" w:type="dxa"/>
            <w:vAlign w:val="center"/>
          </w:tcPr>
          <w:p w14:paraId="4AC00BF3">
            <w:pPr>
              <w:pStyle w:val="14"/>
            </w:pPr>
          </w:p>
        </w:tc>
        <w:tc>
          <w:tcPr>
            <w:tcW w:w="4535" w:type="dxa"/>
            <w:vAlign w:val="center"/>
          </w:tcPr>
          <w:p w14:paraId="6EDBF106">
            <w:pPr>
              <w:pStyle w:val="13"/>
            </w:pPr>
            <w:r>
              <w:t>二、外交支出</w:t>
            </w:r>
          </w:p>
        </w:tc>
        <w:tc>
          <w:tcPr>
            <w:tcW w:w="2126" w:type="dxa"/>
            <w:vAlign w:val="center"/>
          </w:tcPr>
          <w:p w14:paraId="0E533D96">
            <w:pPr>
              <w:pStyle w:val="14"/>
            </w:pPr>
          </w:p>
        </w:tc>
      </w:tr>
      <w:tr w14:paraId="201A2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9CFAD">
            <w:pPr>
              <w:pStyle w:val="12"/>
            </w:pPr>
            <w:r>
              <w:t>3</w:t>
            </w:r>
          </w:p>
        </w:tc>
        <w:tc>
          <w:tcPr>
            <w:tcW w:w="4535" w:type="dxa"/>
            <w:vAlign w:val="center"/>
          </w:tcPr>
          <w:p w14:paraId="3AF2ACAB">
            <w:pPr>
              <w:pStyle w:val="13"/>
            </w:pPr>
            <w:r>
              <w:t>三、国有资本经营预算拨款收入</w:t>
            </w:r>
          </w:p>
        </w:tc>
        <w:tc>
          <w:tcPr>
            <w:tcW w:w="2126" w:type="dxa"/>
            <w:vAlign w:val="center"/>
          </w:tcPr>
          <w:p w14:paraId="4AAF8E7F">
            <w:pPr>
              <w:pStyle w:val="14"/>
            </w:pPr>
          </w:p>
        </w:tc>
        <w:tc>
          <w:tcPr>
            <w:tcW w:w="4535" w:type="dxa"/>
            <w:vAlign w:val="center"/>
          </w:tcPr>
          <w:p w14:paraId="7FAE2295">
            <w:pPr>
              <w:pStyle w:val="13"/>
            </w:pPr>
            <w:r>
              <w:t>三、国防支出</w:t>
            </w:r>
          </w:p>
        </w:tc>
        <w:tc>
          <w:tcPr>
            <w:tcW w:w="2126" w:type="dxa"/>
            <w:vAlign w:val="center"/>
          </w:tcPr>
          <w:p w14:paraId="7D3667BE">
            <w:pPr>
              <w:pStyle w:val="14"/>
            </w:pPr>
          </w:p>
        </w:tc>
      </w:tr>
      <w:tr w14:paraId="5CA81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791B5">
            <w:pPr>
              <w:pStyle w:val="12"/>
            </w:pPr>
            <w:r>
              <w:t>4</w:t>
            </w:r>
          </w:p>
        </w:tc>
        <w:tc>
          <w:tcPr>
            <w:tcW w:w="4535" w:type="dxa"/>
            <w:vAlign w:val="center"/>
          </w:tcPr>
          <w:p w14:paraId="144237CE">
            <w:pPr>
              <w:pStyle w:val="13"/>
            </w:pPr>
            <w:r>
              <w:t>四、财政专户管理资金收入</w:t>
            </w:r>
          </w:p>
        </w:tc>
        <w:tc>
          <w:tcPr>
            <w:tcW w:w="2126" w:type="dxa"/>
            <w:vAlign w:val="center"/>
          </w:tcPr>
          <w:p w14:paraId="3148206C">
            <w:pPr>
              <w:pStyle w:val="14"/>
            </w:pPr>
          </w:p>
        </w:tc>
        <w:tc>
          <w:tcPr>
            <w:tcW w:w="4535" w:type="dxa"/>
            <w:vAlign w:val="center"/>
          </w:tcPr>
          <w:p w14:paraId="7018661B">
            <w:pPr>
              <w:pStyle w:val="13"/>
            </w:pPr>
            <w:r>
              <w:t>四、公共安全支出</w:t>
            </w:r>
          </w:p>
        </w:tc>
        <w:tc>
          <w:tcPr>
            <w:tcW w:w="2126" w:type="dxa"/>
            <w:vAlign w:val="center"/>
          </w:tcPr>
          <w:p w14:paraId="10C43F85">
            <w:pPr>
              <w:pStyle w:val="14"/>
            </w:pPr>
          </w:p>
        </w:tc>
      </w:tr>
      <w:tr w14:paraId="0AA7A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8DC68">
            <w:pPr>
              <w:pStyle w:val="12"/>
            </w:pPr>
            <w:r>
              <w:t>5</w:t>
            </w:r>
          </w:p>
        </w:tc>
        <w:tc>
          <w:tcPr>
            <w:tcW w:w="4535" w:type="dxa"/>
            <w:vAlign w:val="center"/>
          </w:tcPr>
          <w:p w14:paraId="5350631D">
            <w:pPr>
              <w:pStyle w:val="13"/>
            </w:pPr>
            <w:r>
              <w:t>五、单位资金</w:t>
            </w:r>
          </w:p>
        </w:tc>
        <w:tc>
          <w:tcPr>
            <w:tcW w:w="2126" w:type="dxa"/>
            <w:vAlign w:val="center"/>
          </w:tcPr>
          <w:p w14:paraId="59B19433">
            <w:pPr>
              <w:pStyle w:val="14"/>
            </w:pPr>
          </w:p>
        </w:tc>
        <w:tc>
          <w:tcPr>
            <w:tcW w:w="4535" w:type="dxa"/>
            <w:vAlign w:val="center"/>
          </w:tcPr>
          <w:p w14:paraId="2B212654">
            <w:pPr>
              <w:pStyle w:val="13"/>
            </w:pPr>
            <w:r>
              <w:t>五、教育支出</w:t>
            </w:r>
          </w:p>
        </w:tc>
        <w:tc>
          <w:tcPr>
            <w:tcW w:w="2126" w:type="dxa"/>
            <w:vAlign w:val="center"/>
          </w:tcPr>
          <w:p w14:paraId="08DC95A9">
            <w:pPr>
              <w:pStyle w:val="14"/>
            </w:pPr>
            <w:r>
              <w:t>2008.85</w:t>
            </w:r>
          </w:p>
        </w:tc>
      </w:tr>
      <w:tr w14:paraId="331C2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63D90">
            <w:pPr>
              <w:pStyle w:val="12"/>
            </w:pPr>
            <w:r>
              <w:t>6</w:t>
            </w:r>
          </w:p>
        </w:tc>
        <w:tc>
          <w:tcPr>
            <w:tcW w:w="4535" w:type="dxa"/>
            <w:vAlign w:val="center"/>
          </w:tcPr>
          <w:p w14:paraId="29541A13">
            <w:pPr>
              <w:pStyle w:val="13"/>
            </w:pPr>
          </w:p>
        </w:tc>
        <w:tc>
          <w:tcPr>
            <w:tcW w:w="2126" w:type="dxa"/>
            <w:vAlign w:val="center"/>
          </w:tcPr>
          <w:p w14:paraId="6A49D2D8">
            <w:pPr>
              <w:pStyle w:val="14"/>
            </w:pPr>
          </w:p>
        </w:tc>
        <w:tc>
          <w:tcPr>
            <w:tcW w:w="4535" w:type="dxa"/>
            <w:vAlign w:val="center"/>
          </w:tcPr>
          <w:p w14:paraId="71489B78">
            <w:pPr>
              <w:pStyle w:val="13"/>
            </w:pPr>
            <w:r>
              <w:t>六、科学技术支出</w:t>
            </w:r>
          </w:p>
        </w:tc>
        <w:tc>
          <w:tcPr>
            <w:tcW w:w="2126" w:type="dxa"/>
            <w:vAlign w:val="center"/>
          </w:tcPr>
          <w:p w14:paraId="0A513F83">
            <w:pPr>
              <w:pStyle w:val="14"/>
            </w:pPr>
          </w:p>
        </w:tc>
      </w:tr>
      <w:tr w14:paraId="6234C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58894">
            <w:pPr>
              <w:pStyle w:val="12"/>
            </w:pPr>
            <w:r>
              <w:t>7</w:t>
            </w:r>
          </w:p>
        </w:tc>
        <w:tc>
          <w:tcPr>
            <w:tcW w:w="4535" w:type="dxa"/>
            <w:vAlign w:val="center"/>
          </w:tcPr>
          <w:p w14:paraId="00CC7D35">
            <w:pPr>
              <w:pStyle w:val="13"/>
            </w:pPr>
          </w:p>
        </w:tc>
        <w:tc>
          <w:tcPr>
            <w:tcW w:w="2126" w:type="dxa"/>
            <w:vAlign w:val="center"/>
          </w:tcPr>
          <w:p w14:paraId="4FA811DE">
            <w:pPr>
              <w:pStyle w:val="14"/>
            </w:pPr>
          </w:p>
        </w:tc>
        <w:tc>
          <w:tcPr>
            <w:tcW w:w="4535" w:type="dxa"/>
            <w:vAlign w:val="center"/>
          </w:tcPr>
          <w:p w14:paraId="48B5586A">
            <w:pPr>
              <w:pStyle w:val="13"/>
            </w:pPr>
            <w:r>
              <w:t>七、文化旅游体育与传媒支出</w:t>
            </w:r>
          </w:p>
        </w:tc>
        <w:tc>
          <w:tcPr>
            <w:tcW w:w="2126" w:type="dxa"/>
            <w:vAlign w:val="center"/>
          </w:tcPr>
          <w:p w14:paraId="0C069A85">
            <w:pPr>
              <w:pStyle w:val="14"/>
            </w:pPr>
          </w:p>
        </w:tc>
      </w:tr>
      <w:tr w14:paraId="48DC7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85BBB">
            <w:pPr>
              <w:pStyle w:val="12"/>
            </w:pPr>
            <w:r>
              <w:t>8</w:t>
            </w:r>
          </w:p>
        </w:tc>
        <w:tc>
          <w:tcPr>
            <w:tcW w:w="4535" w:type="dxa"/>
            <w:vAlign w:val="center"/>
          </w:tcPr>
          <w:p w14:paraId="4BECDCA9">
            <w:pPr>
              <w:pStyle w:val="13"/>
            </w:pPr>
          </w:p>
        </w:tc>
        <w:tc>
          <w:tcPr>
            <w:tcW w:w="2126" w:type="dxa"/>
            <w:vAlign w:val="center"/>
          </w:tcPr>
          <w:p w14:paraId="44F10B50">
            <w:pPr>
              <w:pStyle w:val="14"/>
            </w:pPr>
          </w:p>
        </w:tc>
        <w:tc>
          <w:tcPr>
            <w:tcW w:w="4535" w:type="dxa"/>
            <w:vAlign w:val="center"/>
          </w:tcPr>
          <w:p w14:paraId="56E4999E">
            <w:pPr>
              <w:pStyle w:val="13"/>
            </w:pPr>
            <w:r>
              <w:t>八、社会保障和就业支出</w:t>
            </w:r>
          </w:p>
        </w:tc>
        <w:tc>
          <w:tcPr>
            <w:tcW w:w="2126" w:type="dxa"/>
            <w:vAlign w:val="center"/>
          </w:tcPr>
          <w:p w14:paraId="5BD0FD0E">
            <w:pPr>
              <w:pStyle w:val="14"/>
            </w:pPr>
          </w:p>
        </w:tc>
      </w:tr>
      <w:tr w14:paraId="77A60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D9A1A">
            <w:pPr>
              <w:pStyle w:val="12"/>
            </w:pPr>
            <w:r>
              <w:t>9</w:t>
            </w:r>
          </w:p>
        </w:tc>
        <w:tc>
          <w:tcPr>
            <w:tcW w:w="4535" w:type="dxa"/>
            <w:vAlign w:val="center"/>
          </w:tcPr>
          <w:p w14:paraId="45AC3CB0">
            <w:pPr>
              <w:pStyle w:val="13"/>
            </w:pPr>
          </w:p>
        </w:tc>
        <w:tc>
          <w:tcPr>
            <w:tcW w:w="2126" w:type="dxa"/>
            <w:vAlign w:val="center"/>
          </w:tcPr>
          <w:p w14:paraId="50DD552F">
            <w:pPr>
              <w:pStyle w:val="14"/>
            </w:pPr>
          </w:p>
        </w:tc>
        <w:tc>
          <w:tcPr>
            <w:tcW w:w="4535" w:type="dxa"/>
            <w:vAlign w:val="center"/>
          </w:tcPr>
          <w:p w14:paraId="78A6B1FB">
            <w:pPr>
              <w:pStyle w:val="13"/>
            </w:pPr>
            <w:r>
              <w:t>九、社会保险基金支出</w:t>
            </w:r>
          </w:p>
        </w:tc>
        <w:tc>
          <w:tcPr>
            <w:tcW w:w="2126" w:type="dxa"/>
            <w:vAlign w:val="center"/>
          </w:tcPr>
          <w:p w14:paraId="51A93801">
            <w:pPr>
              <w:pStyle w:val="14"/>
            </w:pPr>
          </w:p>
        </w:tc>
      </w:tr>
      <w:tr w14:paraId="6F7E1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F8574">
            <w:pPr>
              <w:pStyle w:val="12"/>
            </w:pPr>
            <w:r>
              <w:t>10</w:t>
            </w:r>
          </w:p>
        </w:tc>
        <w:tc>
          <w:tcPr>
            <w:tcW w:w="4535" w:type="dxa"/>
            <w:vAlign w:val="center"/>
          </w:tcPr>
          <w:p w14:paraId="274E8AED">
            <w:pPr>
              <w:pStyle w:val="13"/>
            </w:pPr>
          </w:p>
        </w:tc>
        <w:tc>
          <w:tcPr>
            <w:tcW w:w="2126" w:type="dxa"/>
            <w:vAlign w:val="center"/>
          </w:tcPr>
          <w:p w14:paraId="3C5C8601">
            <w:pPr>
              <w:pStyle w:val="14"/>
            </w:pPr>
          </w:p>
        </w:tc>
        <w:tc>
          <w:tcPr>
            <w:tcW w:w="4535" w:type="dxa"/>
            <w:vAlign w:val="center"/>
          </w:tcPr>
          <w:p w14:paraId="756512E8">
            <w:pPr>
              <w:pStyle w:val="13"/>
            </w:pPr>
            <w:r>
              <w:t>十、卫生健康支出</w:t>
            </w:r>
          </w:p>
        </w:tc>
        <w:tc>
          <w:tcPr>
            <w:tcW w:w="2126" w:type="dxa"/>
            <w:vAlign w:val="center"/>
          </w:tcPr>
          <w:p w14:paraId="7EB6BD3A">
            <w:pPr>
              <w:pStyle w:val="14"/>
            </w:pPr>
          </w:p>
        </w:tc>
      </w:tr>
      <w:tr w14:paraId="0DE03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2461A">
            <w:pPr>
              <w:pStyle w:val="12"/>
            </w:pPr>
            <w:r>
              <w:t>11</w:t>
            </w:r>
          </w:p>
        </w:tc>
        <w:tc>
          <w:tcPr>
            <w:tcW w:w="4535" w:type="dxa"/>
            <w:vAlign w:val="center"/>
          </w:tcPr>
          <w:p w14:paraId="6C371783">
            <w:pPr>
              <w:pStyle w:val="13"/>
            </w:pPr>
          </w:p>
        </w:tc>
        <w:tc>
          <w:tcPr>
            <w:tcW w:w="2126" w:type="dxa"/>
            <w:vAlign w:val="center"/>
          </w:tcPr>
          <w:p w14:paraId="229F6B79">
            <w:pPr>
              <w:pStyle w:val="14"/>
            </w:pPr>
          </w:p>
        </w:tc>
        <w:tc>
          <w:tcPr>
            <w:tcW w:w="4535" w:type="dxa"/>
            <w:vAlign w:val="center"/>
          </w:tcPr>
          <w:p w14:paraId="1C611518">
            <w:pPr>
              <w:pStyle w:val="13"/>
            </w:pPr>
            <w:r>
              <w:t>十一、节能环保支出</w:t>
            </w:r>
          </w:p>
        </w:tc>
        <w:tc>
          <w:tcPr>
            <w:tcW w:w="2126" w:type="dxa"/>
            <w:vAlign w:val="center"/>
          </w:tcPr>
          <w:p w14:paraId="58EF55C5">
            <w:pPr>
              <w:pStyle w:val="14"/>
            </w:pPr>
          </w:p>
        </w:tc>
      </w:tr>
      <w:tr w14:paraId="1D2ED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46C13">
            <w:pPr>
              <w:pStyle w:val="12"/>
            </w:pPr>
            <w:r>
              <w:t>12</w:t>
            </w:r>
          </w:p>
        </w:tc>
        <w:tc>
          <w:tcPr>
            <w:tcW w:w="4535" w:type="dxa"/>
            <w:vAlign w:val="center"/>
          </w:tcPr>
          <w:p w14:paraId="17B96590">
            <w:pPr>
              <w:pStyle w:val="13"/>
            </w:pPr>
          </w:p>
        </w:tc>
        <w:tc>
          <w:tcPr>
            <w:tcW w:w="2126" w:type="dxa"/>
            <w:vAlign w:val="center"/>
          </w:tcPr>
          <w:p w14:paraId="50B2E3FD">
            <w:pPr>
              <w:pStyle w:val="14"/>
            </w:pPr>
          </w:p>
        </w:tc>
        <w:tc>
          <w:tcPr>
            <w:tcW w:w="4535" w:type="dxa"/>
            <w:vAlign w:val="center"/>
          </w:tcPr>
          <w:p w14:paraId="19DAA7D7">
            <w:pPr>
              <w:pStyle w:val="13"/>
            </w:pPr>
            <w:r>
              <w:t>十二、城乡社区支出</w:t>
            </w:r>
          </w:p>
        </w:tc>
        <w:tc>
          <w:tcPr>
            <w:tcW w:w="2126" w:type="dxa"/>
            <w:vAlign w:val="center"/>
          </w:tcPr>
          <w:p w14:paraId="76E3E137">
            <w:pPr>
              <w:pStyle w:val="14"/>
            </w:pPr>
          </w:p>
        </w:tc>
      </w:tr>
      <w:tr w14:paraId="14A0F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28851">
            <w:pPr>
              <w:pStyle w:val="12"/>
            </w:pPr>
            <w:r>
              <w:t>13</w:t>
            </w:r>
          </w:p>
        </w:tc>
        <w:tc>
          <w:tcPr>
            <w:tcW w:w="4535" w:type="dxa"/>
            <w:vAlign w:val="center"/>
          </w:tcPr>
          <w:p w14:paraId="2DEA865F">
            <w:pPr>
              <w:pStyle w:val="13"/>
            </w:pPr>
          </w:p>
        </w:tc>
        <w:tc>
          <w:tcPr>
            <w:tcW w:w="2126" w:type="dxa"/>
            <w:vAlign w:val="center"/>
          </w:tcPr>
          <w:p w14:paraId="2B9B342F">
            <w:pPr>
              <w:pStyle w:val="14"/>
            </w:pPr>
          </w:p>
        </w:tc>
        <w:tc>
          <w:tcPr>
            <w:tcW w:w="4535" w:type="dxa"/>
            <w:vAlign w:val="center"/>
          </w:tcPr>
          <w:p w14:paraId="097B40D3">
            <w:pPr>
              <w:pStyle w:val="13"/>
            </w:pPr>
            <w:r>
              <w:t>十三、农林水支出</w:t>
            </w:r>
          </w:p>
        </w:tc>
        <w:tc>
          <w:tcPr>
            <w:tcW w:w="2126" w:type="dxa"/>
            <w:vAlign w:val="center"/>
          </w:tcPr>
          <w:p w14:paraId="7AC0E7E1">
            <w:pPr>
              <w:pStyle w:val="14"/>
            </w:pPr>
          </w:p>
        </w:tc>
      </w:tr>
      <w:tr w14:paraId="68CF8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54110">
            <w:pPr>
              <w:pStyle w:val="12"/>
            </w:pPr>
            <w:r>
              <w:t>14</w:t>
            </w:r>
          </w:p>
        </w:tc>
        <w:tc>
          <w:tcPr>
            <w:tcW w:w="4535" w:type="dxa"/>
            <w:vAlign w:val="center"/>
          </w:tcPr>
          <w:p w14:paraId="0737F745">
            <w:pPr>
              <w:pStyle w:val="13"/>
            </w:pPr>
          </w:p>
        </w:tc>
        <w:tc>
          <w:tcPr>
            <w:tcW w:w="2126" w:type="dxa"/>
            <w:vAlign w:val="center"/>
          </w:tcPr>
          <w:p w14:paraId="4C283828">
            <w:pPr>
              <w:pStyle w:val="14"/>
            </w:pPr>
          </w:p>
        </w:tc>
        <w:tc>
          <w:tcPr>
            <w:tcW w:w="4535" w:type="dxa"/>
            <w:vAlign w:val="center"/>
          </w:tcPr>
          <w:p w14:paraId="14598C66">
            <w:pPr>
              <w:pStyle w:val="13"/>
            </w:pPr>
            <w:r>
              <w:t>十四、交通运输支出</w:t>
            </w:r>
          </w:p>
        </w:tc>
        <w:tc>
          <w:tcPr>
            <w:tcW w:w="2126" w:type="dxa"/>
            <w:vAlign w:val="center"/>
          </w:tcPr>
          <w:p w14:paraId="44239894">
            <w:pPr>
              <w:pStyle w:val="14"/>
            </w:pPr>
          </w:p>
        </w:tc>
      </w:tr>
      <w:tr w14:paraId="00D56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438186A">
            <w:pPr>
              <w:pStyle w:val="12"/>
            </w:pPr>
            <w:r>
              <w:t>15</w:t>
            </w:r>
          </w:p>
        </w:tc>
        <w:tc>
          <w:tcPr>
            <w:tcW w:w="4535" w:type="dxa"/>
            <w:vAlign w:val="center"/>
          </w:tcPr>
          <w:p w14:paraId="02F67A10">
            <w:pPr>
              <w:pStyle w:val="13"/>
            </w:pPr>
          </w:p>
        </w:tc>
        <w:tc>
          <w:tcPr>
            <w:tcW w:w="2126" w:type="dxa"/>
            <w:vAlign w:val="center"/>
          </w:tcPr>
          <w:p w14:paraId="5A89B34C">
            <w:pPr>
              <w:pStyle w:val="14"/>
            </w:pPr>
          </w:p>
        </w:tc>
        <w:tc>
          <w:tcPr>
            <w:tcW w:w="4535" w:type="dxa"/>
            <w:vAlign w:val="center"/>
          </w:tcPr>
          <w:p w14:paraId="362DE0FF">
            <w:pPr>
              <w:pStyle w:val="13"/>
            </w:pPr>
            <w:r>
              <w:t>十五、资源勘探工业信息等支出</w:t>
            </w:r>
          </w:p>
        </w:tc>
        <w:tc>
          <w:tcPr>
            <w:tcW w:w="2126" w:type="dxa"/>
            <w:vAlign w:val="center"/>
          </w:tcPr>
          <w:p w14:paraId="6B71F445">
            <w:pPr>
              <w:pStyle w:val="14"/>
            </w:pPr>
          </w:p>
        </w:tc>
      </w:tr>
      <w:tr w14:paraId="518A9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5A575">
            <w:pPr>
              <w:pStyle w:val="12"/>
            </w:pPr>
            <w:r>
              <w:t>16</w:t>
            </w:r>
          </w:p>
        </w:tc>
        <w:tc>
          <w:tcPr>
            <w:tcW w:w="4535" w:type="dxa"/>
            <w:vAlign w:val="center"/>
          </w:tcPr>
          <w:p w14:paraId="511A9AC1">
            <w:pPr>
              <w:pStyle w:val="13"/>
            </w:pPr>
          </w:p>
        </w:tc>
        <w:tc>
          <w:tcPr>
            <w:tcW w:w="2126" w:type="dxa"/>
            <w:vAlign w:val="center"/>
          </w:tcPr>
          <w:p w14:paraId="18E28568">
            <w:pPr>
              <w:pStyle w:val="14"/>
            </w:pPr>
          </w:p>
        </w:tc>
        <w:tc>
          <w:tcPr>
            <w:tcW w:w="4535" w:type="dxa"/>
            <w:vAlign w:val="center"/>
          </w:tcPr>
          <w:p w14:paraId="2137F356">
            <w:pPr>
              <w:pStyle w:val="13"/>
            </w:pPr>
            <w:r>
              <w:t>十六、商业服务业等支出</w:t>
            </w:r>
          </w:p>
        </w:tc>
        <w:tc>
          <w:tcPr>
            <w:tcW w:w="2126" w:type="dxa"/>
            <w:vAlign w:val="center"/>
          </w:tcPr>
          <w:p w14:paraId="577CD680">
            <w:pPr>
              <w:pStyle w:val="14"/>
            </w:pPr>
          </w:p>
        </w:tc>
      </w:tr>
      <w:tr w14:paraId="2F21D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6EE38">
            <w:pPr>
              <w:pStyle w:val="12"/>
            </w:pPr>
            <w:r>
              <w:t>17</w:t>
            </w:r>
          </w:p>
        </w:tc>
        <w:tc>
          <w:tcPr>
            <w:tcW w:w="4535" w:type="dxa"/>
            <w:vAlign w:val="center"/>
          </w:tcPr>
          <w:p w14:paraId="2CEC67DC">
            <w:pPr>
              <w:pStyle w:val="13"/>
            </w:pPr>
          </w:p>
        </w:tc>
        <w:tc>
          <w:tcPr>
            <w:tcW w:w="2126" w:type="dxa"/>
            <w:vAlign w:val="center"/>
          </w:tcPr>
          <w:p w14:paraId="7CE0D055">
            <w:pPr>
              <w:pStyle w:val="14"/>
            </w:pPr>
          </w:p>
        </w:tc>
        <w:tc>
          <w:tcPr>
            <w:tcW w:w="4535" w:type="dxa"/>
            <w:vAlign w:val="center"/>
          </w:tcPr>
          <w:p w14:paraId="0B86E7E0">
            <w:pPr>
              <w:pStyle w:val="13"/>
            </w:pPr>
            <w:r>
              <w:t>十七、金融支出</w:t>
            </w:r>
          </w:p>
        </w:tc>
        <w:tc>
          <w:tcPr>
            <w:tcW w:w="2126" w:type="dxa"/>
            <w:vAlign w:val="center"/>
          </w:tcPr>
          <w:p w14:paraId="6129A278">
            <w:pPr>
              <w:pStyle w:val="14"/>
            </w:pPr>
          </w:p>
        </w:tc>
      </w:tr>
      <w:tr w14:paraId="4E0A3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20532">
            <w:pPr>
              <w:pStyle w:val="12"/>
            </w:pPr>
            <w:r>
              <w:t>18</w:t>
            </w:r>
          </w:p>
        </w:tc>
        <w:tc>
          <w:tcPr>
            <w:tcW w:w="4535" w:type="dxa"/>
            <w:vAlign w:val="center"/>
          </w:tcPr>
          <w:p w14:paraId="40DE44BB">
            <w:pPr>
              <w:pStyle w:val="13"/>
            </w:pPr>
          </w:p>
        </w:tc>
        <w:tc>
          <w:tcPr>
            <w:tcW w:w="2126" w:type="dxa"/>
            <w:vAlign w:val="center"/>
          </w:tcPr>
          <w:p w14:paraId="6C4C9626">
            <w:pPr>
              <w:pStyle w:val="14"/>
            </w:pPr>
          </w:p>
        </w:tc>
        <w:tc>
          <w:tcPr>
            <w:tcW w:w="4535" w:type="dxa"/>
            <w:vAlign w:val="center"/>
          </w:tcPr>
          <w:p w14:paraId="089C5EAD">
            <w:pPr>
              <w:pStyle w:val="13"/>
            </w:pPr>
            <w:r>
              <w:t>十八、援助其他地区支出</w:t>
            </w:r>
          </w:p>
        </w:tc>
        <w:tc>
          <w:tcPr>
            <w:tcW w:w="2126" w:type="dxa"/>
            <w:vAlign w:val="center"/>
          </w:tcPr>
          <w:p w14:paraId="4FEA1EE6">
            <w:pPr>
              <w:pStyle w:val="14"/>
            </w:pPr>
          </w:p>
        </w:tc>
      </w:tr>
      <w:tr w14:paraId="72EE2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735EC">
            <w:pPr>
              <w:pStyle w:val="12"/>
            </w:pPr>
            <w:r>
              <w:t>19</w:t>
            </w:r>
          </w:p>
        </w:tc>
        <w:tc>
          <w:tcPr>
            <w:tcW w:w="4535" w:type="dxa"/>
            <w:vAlign w:val="center"/>
          </w:tcPr>
          <w:p w14:paraId="5541A896">
            <w:pPr>
              <w:pStyle w:val="13"/>
            </w:pPr>
          </w:p>
        </w:tc>
        <w:tc>
          <w:tcPr>
            <w:tcW w:w="2126" w:type="dxa"/>
            <w:vAlign w:val="center"/>
          </w:tcPr>
          <w:p w14:paraId="3DB55C9C">
            <w:pPr>
              <w:pStyle w:val="14"/>
            </w:pPr>
          </w:p>
        </w:tc>
        <w:tc>
          <w:tcPr>
            <w:tcW w:w="4535" w:type="dxa"/>
            <w:vAlign w:val="center"/>
          </w:tcPr>
          <w:p w14:paraId="3A4AEDC1">
            <w:pPr>
              <w:pStyle w:val="13"/>
            </w:pPr>
            <w:r>
              <w:t>十九、自然资源海洋气象等支出</w:t>
            </w:r>
          </w:p>
        </w:tc>
        <w:tc>
          <w:tcPr>
            <w:tcW w:w="2126" w:type="dxa"/>
            <w:vAlign w:val="center"/>
          </w:tcPr>
          <w:p w14:paraId="11F7AC51">
            <w:pPr>
              <w:pStyle w:val="14"/>
            </w:pPr>
          </w:p>
        </w:tc>
      </w:tr>
      <w:tr w14:paraId="7E7E0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01925">
            <w:pPr>
              <w:pStyle w:val="12"/>
            </w:pPr>
            <w:r>
              <w:t>20</w:t>
            </w:r>
          </w:p>
        </w:tc>
        <w:tc>
          <w:tcPr>
            <w:tcW w:w="4535" w:type="dxa"/>
            <w:vAlign w:val="center"/>
          </w:tcPr>
          <w:p w14:paraId="7C112FAB">
            <w:pPr>
              <w:pStyle w:val="13"/>
            </w:pPr>
          </w:p>
        </w:tc>
        <w:tc>
          <w:tcPr>
            <w:tcW w:w="2126" w:type="dxa"/>
            <w:vAlign w:val="center"/>
          </w:tcPr>
          <w:p w14:paraId="3976F75B">
            <w:pPr>
              <w:pStyle w:val="14"/>
            </w:pPr>
          </w:p>
        </w:tc>
        <w:tc>
          <w:tcPr>
            <w:tcW w:w="4535" w:type="dxa"/>
            <w:vAlign w:val="center"/>
          </w:tcPr>
          <w:p w14:paraId="7BCB6528">
            <w:pPr>
              <w:pStyle w:val="13"/>
            </w:pPr>
            <w:r>
              <w:t>二十、住房保障支出</w:t>
            </w:r>
          </w:p>
        </w:tc>
        <w:tc>
          <w:tcPr>
            <w:tcW w:w="2126" w:type="dxa"/>
            <w:vAlign w:val="center"/>
          </w:tcPr>
          <w:p w14:paraId="44CB9181">
            <w:pPr>
              <w:pStyle w:val="14"/>
            </w:pPr>
          </w:p>
        </w:tc>
      </w:tr>
      <w:tr w14:paraId="24902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10C3F">
            <w:pPr>
              <w:pStyle w:val="12"/>
            </w:pPr>
            <w:r>
              <w:t>21</w:t>
            </w:r>
          </w:p>
        </w:tc>
        <w:tc>
          <w:tcPr>
            <w:tcW w:w="4535" w:type="dxa"/>
            <w:vAlign w:val="center"/>
          </w:tcPr>
          <w:p w14:paraId="77BDE513">
            <w:pPr>
              <w:pStyle w:val="13"/>
            </w:pPr>
          </w:p>
        </w:tc>
        <w:tc>
          <w:tcPr>
            <w:tcW w:w="2126" w:type="dxa"/>
            <w:vAlign w:val="center"/>
          </w:tcPr>
          <w:p w14:paraId="2526BEC4">
            <w:pPr>
              <w:pStyle w:val="14"/>
            </w:pPr>
          </w:p>
        </w:tc>
        <w:tc>
          <w:tcPr>
            <w:tcW w:w="4535" w:type="dxa"/>
            <w:vAlign w:val="center"/>
          </w:tcPr>
          <w:p w14:paraId="27E70CF2">
            <w:pPr>
              <w:pStyle w:val="13"/>
            </w:pPr>
            <w:r>
              <w:t>二十一、粮油物资储备支出</w:t>
            </w:r>
          </w:p>
        </w:tc>
        <w:tc>
          <w:tcPr>
            <w:tcW w:w="2126" w:type="dxa"/>
            <w:vAlign w:val="center"/>
          </w:tcPr>
          <w:p w14:paraId="5958B34C">
            <w:pPr>
              <w:pStyle w:val="14"/>
            </w:pPr>
          </w:p>
        </w:tc>
      </w:tr>
      <w:tr w14:paraId="1633C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CC2EF">
            <w:pPr>
              <w:pStyle w:val="12"/>
            </w:pPr>
            <w:r>
              <w:t>22</w:t>
            </w:r>
          </w:p>
        </w:tc>
        <w:tc>
          <w:tcPr>
            <w:tcW w:w="4535" w:type="dxa"/>
            <w:vAlign w:val="center"/>
          </w:tcPr>
          <w:p w14:paraId="59BBCBA5">
            <w:pPr>
              <w:pStyle w:val="13"/>
            </w:pPr>
          </w:p>
        </w:tc>
        <w:tc>
          <w:tcPr>
            <w:tcW w:w="2126" w:type="dxa"/>
            <w:vAlign w:val="center"/>
          </w:tcPr>
          <w:p w14:paraId="35AE471B">
            <w:pPr>
              <w:pStyle w:val="14"/>
            </w:pPr>
          </w:p>
        </w:tc>
        <w:tc>
          <w:tcPr>
            <w:tcW w:w="4535" w:type="dxa"/>
            <w:vAlign w:val="center"/>
          </w:tcPr>
          <w:p w14:paraId="4A2D97E1">
            <w:pPr>
              <w:pStyle w:val="13"/>
            </w:pPr>
            <w:r>
              <w:t>二十二、国有资本经营预算支出</w:t>
            </w:r>
          </w:p>
        </w:tc>
        <w:tc>
          <w:tcPr>
            <w:tcW w:w="2126" w:type="dxa"/>
            <w:vAlign w:val="center"/>
          </w:tcPr>
          <w:p w14:paraId="11F19F2E">
            <w:pPr>
              <w:pStyle w:val="14"/>
            </w:pPr>
          </w:p>
        </w:tc>
      </w:tr>
      <w:tr w14:paraId="6F924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52F70">
            <w:pPr>
              <w:pStyle w:val="12"/>
            </w:pPr>
            <w:r>
              <w:t>23</w:t>
            </w:r>
          </w:p>
        </w:tc>
        <w:tc>
          <w:tcPr>
            <w:tcW w:w="4535" w:type="dxa"/>
            <w:vAlign w:val="center"/>
          </w:tcPr>
          <w:p w14:paraId="732C14FA">
            <w:pPr>
              <w:pStyle w:val="13"/>
            </w:pPr>
          </w:p>
        </w:tc>
        <w:tc>
          <w:tcPr>
            <w:tcW w:w="2126" w:type="dxa"/>
            <w:vAlign w:val="center"/>
          </w:tcPr>
          <w:p w14:paraId="6D7FB94D">
            <w:pPr>
              <w:pStyle w:val="14"/>
            </w:pPr>
          </w:p>
        </w:tc>
        <w:tc>
          <w:tcPr>
            <w:tcW w:w="4535" w:type="dxa"/>
            <w:vAlign w:val="center"/>
          </w:tcPr>
          <w:p w14:paraId="4FDE15A2">
            <w:pPr>
              <w:pStyle w:val="13"/>
            </w:pPr>
            <w:r>
              <w:t>二十三、灾害防治及应急管理支出</w:t>
            </w:r>
          </w:p>
        </w:tc>
        <w:tc>
          <w:tcPr>
            <w:tcW w:w="2126" w:type="dxa"/>
            <w:vAlign w:val="center"/>
          </w:tcPr>
          <w:p w14:paraId="0E53F787">
            <w:pPr>
              <w:pStyle w:val="14"/>
            </w:pPr>
          </w:p>
        </w:tc>
      </w:tr>
      <w:tr w14:paraId="72F1D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27EEB">
            <w:pPr>
              <w:pStyle w:val="12"/>
            </w:pPr>
            <w:r>
              <w:t>24</w:t>
            </w:r>
          </w:p>
        </w:tc>
        <w:tc>
          <w:tcPr>
            <w:tcW w:w="4535" w:type="dxa"/>
            <w:vAlign w:val="center"/>
          </w:tcPr>
          <w:p w14:paraId="3C08ACE9">
            <w:pPr>
              <w:pStyle w:val="13"/>
            </w:pPr>
          </w:p>
        </w:tc>
        <w:tc>
          <w:tcPr>
            <w:tcW w:w="2126" w:type="dxa"/>
            <w:vAlign w:val="center"/>
          </w:tcPr>
          <w:p w14:paraId="6F6A7942">
            <w:pPr>
              <w:pStyle w:val="14"/>
            </w:pPr>
          </w:p>
        </w:tc>
        <w:tc>
          <w:tcPr>
            <w:tcW w:w="4535" w:type="dxa"/>
            <w:vAlign w:val="center"/>
          </w:tcPr>
          <w:p w14:paraId="0DE1E407">
            <w:pPr>
              <w:pStyle w:val="13"/>
            </w:pPr>
            <w:r>
              <w:t>二十四、预备费</w:t>
            </w:r>
          </w:p>
        </w:tc>
        <w:tc>
          <w:tcPr>
            <w:tcW w:w="2126" w:type="dxa"/>
            <w:vAlign w:val="center"/>
          </w:tcPr>
          <w:p w14:paraId="5B5E96F6">
            <w:pPr>
              <w:pStyle w:val="14"/>
            </w:pPr>
          </w:p>
        </w:tc>
      </w:tr>
      <w:tr w14:paraId="5236E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C38C2">
            <w:pPr>
              <w:pStyle w:val="12"/>
            </w:pPr>
            <w:r>
              <w:t>25</w:t>
            </w:r>
          </w:p>
        </w:tc>
        <w:tc>
          <w:tcPr>
            <w:tcW w:w="4535" w:type="dxa"/>
            <w:vAlign w:val="center"/>
          </w:tcPr>
          <w:p w14:paraId="30F2E8B6">
            <w:pPr>
              <w:pStyle w:val="13"/>
            </w:pPr>
          </w:p>
        </w:tc>
        <w:tc>
          <w:tcPr>
            <w:tcW w:w="2126" w:type="dxa"/>
            <w:vAlign w:val="center"/>
          </w:tcPr>
          <w:p w14:paraId="7D9640C2">
            <w:pPr>
              <w:pStyle w:val="14"/>
            </w:pPr>
          </w:p>
        </w:tc>
        <w:tc>
          <w:tcPr>
            <w:tcW w:w="4535" w:type="dxa"/>
            <w:vAlign w:val="center"/>
          </w:tcPr>
          <w:p w14:paraId="79177D49">
            <w:pPr>
              <w:pStyle w:val="13"/>
            </w:pPr>
            <w:r>
              <w:t>二十五、其他支出</w:t>
            </w:r>
          </w:p>
        </w:tc>
        <w:tc>
          <w:tcPr>
            <w:tcW w:w="2126" w:type="dxa"/>
            <w:vAlign w:val="center"/>
          </w:tcPr>
          <w:p w14:paraId="4AAB9372">
            <w:pPr>
              <w:pStyle w:val="14"/>
            </w:pPr>
          </w:p>
        </w:tc>
      </w:tr>
      <w:tr w14:paraId="2F026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03CA1">
            <w:pPr>
              <w:pStyle w:val="12"/>
            </w:pPr>
            <w:r>
              <w:t>26</w:t>
            </w:r>
          </w:p>
        </w:tc>
        <w:tc>
          <w:tcPr>
            <w:tcW w:w="4535" w:type="dxa"/>
            <w:vAlign w:val="center"/>
          </w:tcPr>
          <w:p w14:paraId="33808DDB">
            <w:pPr>
              <w:pStyle w:val="13"/>
            </w:pPr>
          </w:p>
        </w:tc>
        <w:tc>
          <w:tcPr>
            <w:tcW w:w="2126" w:type="dxa"/>
            <w:vAlign w:val="center"/>
          </w:tcPr>
          <w:p w14:paraId="0FE430FB">
            <w:pPr>
              <w:pStyle w:val="14"/>
            </w:pPr>
          </w:p>
        </w:tc>
        <w:tc>
          <w:tcPr>
            <w:tcW w:w="4535" w:type="dxa"/>
            <w:vAlign w:val="center"/>
          </w:tcPr>
          <w:p w14:paraId="597C2844">
            <w:pPr>
              <w:pStyle w:val="13"/>
            </w:pPr>
            <w:r>
              <w:t>二十六、转移性支出</w:t>
            </w:r>
          </w:p>
        </w:tc>
        <w:tc>
          <w:tcPr>
            <w:tcW w:w="2126" w:type="dxa"/>
            <w:vAlign w:val="center"/>
          </w:tcPr>
          <w:p w14:paraId="1FA2EC89">
            <w:pPr>
              <w:pStyle w:val="14"/>
            </w:pPr>
          </w:p>
        </w:tc>
      </w:tr>
      <w:tr w14:paraId="3055D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C877527">
            <w:pPr>
              <w:pStyle w:val="12"/>
            </w:pPr>
            <w:r>
              <w:t>27</w:t>
            </w:r>
          </w:p>
        </w:tc>
        <w:tc>
          <w:tcPr>
            <w:tcW w:w="4535" w:type="dxa"/>
            <w:vAlign w:val="center"/>
          </w:tcPr>
          <w:p w14:paraId="6DCC3093">
            <w:pPr>
              <w:pStyle w:val="13"/>
            </w:pPr>
          </w:p>
        </w:tc>
        <w:tc>
          <w:tcPr>
            <w:tcW w:w="2126" w:type="dxa"/>
            <w:vAlign w:val="center"/>
          </w:tcPr>
          <w:p w14:paraId="2932162E">
            <w:pPr>
              <w:pStyle w:val="14"/>
            </w:pPr>
          </w:p>
        </w:tc>
        <w:tc>
          <w:tcPr>
            <w:tcW w:w="4535" w:type="dxa"/>
            <w:vAlign w:val="center"/>
          </w:tcPr>
          <w:p w14:paraId="3837C7E3">
            <w:pPr>
              <w:pStyle w:val="13"/>
            </w:pPr>
            <w:r>
              <w:t>二十七、债务还本支出</w:t>
            </w:r>
          </w:p>
        </w:tc>
        <w:tc>
          <w:tcPr>
            <w:tcW w:w="2126" w:type="dxa"/>
            <w:vAlign w:val="center"/>
          </w:tcPr>
          <w:p w14:paraId="6CF5C141">
            <w:pPr>
              <w:pStyle w:val="14"/>
            </w:pPr>
          </w:p>
        </w:tc>
      </w:tr>
      <w:tr w14:paraId="174AB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567F2">
            <w:pPr>
              <w:pStyle w:val="12"/>
            </w:pPr>
            <w:r>
              <w:t>28</w:t>
            </w:r>
          </w:p>
        </w:tc>
        <w:tc>
          <w:tcPr>
            <w:tcW w:w="4535" w:type="dxa"/>
            <w:vAlign w:val="center"/>
          </w:tcPr>
          <w:p w14:paraId="45D27879">
            <w:pPr>
              <w:pStyle w:val="13"/>
            </w:pPr>
          </w:p>
        </w:tc>
        <w:tc>
          <w:tcPr>
            <w:tcW w:w="2126" w:type="dxa"/>
            <w:vAlign w:val="center"/>
          </w:tcPr>
          <w:p w14:paraId="70F30CFE">
            <w:pPr>
              <w:pStyle w:val="14"/>
            </w:pPr>
          </w:p>
        </w:tc>
        <w:tc>
          <w:tcPr>
            <w:tcW w:w="4535" w:type="dxa"/>
            <w:vAlign w:val="center"/>
          </w:tcPr>
          <w:p w14:paraId="62D4AA49">
            <w:pPr>
              <w:pStyle w:val="13"/>
            </w:pPr>
            <w:r>
              <w:t>二十八、债务付息支出</w:t>
            </w:r>
          </w:p>
        </w:tc>
        <w:tc>
          <w:tcPr>
            <w:tcW w:w="2126" w:type="dxa"/>
            <w:vAlign w:val="center"/>
          </w:tcPr>
          <w:p w14:paraId="48C20EBB">
            <w:pPr>
              <w:pStyle w:val="14"/>
            </w:pPr>
          </w:p>
        </w:tc>
      </w:tr>
      <w:tr w14:paraId="01859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9C4F9">
            <w:pPr>
              <w:pStyle w:val="12"/>
            </w:pPr>
            <w:r>
              <w:t>29</w:t>
            </w:r>
          </w:p>
        </w:tc>
        <w:tc>
          <w:tcPr>
            <w:tcW w:w="4535" w:type="dxa"/>
            <w:vAlign w:val="center"/>
          </w:tcPr>
          <w:p w14:paraId="499CF1ED">
            <w:pPr>
              <w:pStyle w:val="13"/>
            </w:pPr>
          </w:p>
        </w:tc>
        <w:tc>
          <w:tcPr>
            <w:tcW w:w="2126" w:type="dxa"/>
            <w:vAlign w:val="center"/>
          </w:tcPr>
          <w:p w14:paraId="7840010E">
            <w:pPr>
              <w:pStyle w:val="14"/>
            </w:pPr>
          </w:p>
        </w:tc>
        <w:tc>
          <w:tcPr>
            <w:tcW w:w="4535" w:type="dxa"/>
            <w:vAlign w:val="center"/>
          </w:tcPr>
          <w:p w14:paraId="12317C89">
            <w:pPr>
              <w:pStyle w:val="13"/>
            </w:pPr>
            <w:r>
              <w:t>二十九、债务发行费用支出</w:t>
            </w:r>
          </w:p>
        </w:tc>
        <w:tc>
          <w:tcPr>
            <w:tcW w:w="2126" w:type="dxa"/>
            <w:vAlign w:val="center"/>
          </w:tcPr>
          <w:p w14:paraId="3BC98146">
            <w:pPr>
              <w:pStyle w:val="14"/>
            </w:pPr>
          </w:p>
        </w:tc>
      </w:tr>
      <w:tr w14:paraId="0CD96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284AD">
            <w:pPr>
              <w:pStyle w:val="12"/>
            </w:pPr>
            <w:r>
              <w:t>30</w:t>
            </w:r>
          </w:p>
        </w:tc>
        <w:tc>
          <w:tcPr>
            <w:tcW w:w="4535" w:type="dxa"/>
            <w:vAlign w:val="center"/>
          </w:tcPr>
          <w:p w14:paraId="67D777DC">
            <w:pPr>
              <w:pStyle w:val="13"/>
            </w:pPr>
          </w:p>
        </w:tc>
        <w:tc>
          <w:tcPr>
            <w:tcW w:w="2126" w:type="dxa"/>
            <w:vAlign w:val="center"/>
          </w:tcPr>
          <w:p w14:paraId="3CE12D5D">
            <w:pPr>
              <w:pStyle w:val="14"/>
            </w:pPr>
          </w:p>
        </w:tc>
        <w:tc>
          <w:tcPr>
            <w:tcW w:w="4535" w:type="dxa"/>
            <w:vAlign w:val="center"/>
          </w:tcPr>
          <w:p w14:paraId="4537F447">
            <w:pPr>
              <w:pStyle w:val="13"/>
            </w:pPr>
            <w:r>
              <w:t>三十、抗疫特别国债安排的支出</w:t>
            </w:r>
          </w:p>
        </w:tc>
        <w:tc>
          <w:tcPr>
            <w:tcW w:w="2126" w:type="dxa"/>
            <w:vAlign w:val="center"/>
          </w:tcPr>
          <w:p w14:paraId="5C613541">
            <w:pPr>
              <w:pStyle w:val="14"/>
            </w:pPr>
          </w:p>
        </w:tc>
      </w:tr>
      <w:tr w14:paraId="4C634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2949E">
            <w:pPr>
              <w:pStyle w:val="12"/>
            </w:pPr>
            <w:r>
              <w:t>31</w:t>
            </w:r>
          </w:p>
        </w:tc>
        <w:tc>
          <w:tcPr>
            <w:tcW w:w="4535" w:type="dxa"/>
            <w:vAlign w:val="center"/>
          </w:tcPr>
          <w:p w14:paraId="57F23B05">
            <w:pPr>
              <w:pStyle w:val="13"/>
            </w:pPr>
          </w:p>
        </w:tc>
        <w:tc>
          <w:tcPr>
            <w:tcW w:w="2126" w:type="dxa"/>
            <w:vAlign w:val="center"/>
          </w:tcPr>
          <w:p w14:paraId="01F7396A">
            <w:pPr>
              <w:pStyle w:val="14"/>
            </w:pPr>
          </w:p>
        </w:tc>
        <w:tc>
          <w:tcPr>
            <w:tcW w:w="4535" w:type="dxa"/>
            <w:vAlign w:val="center"/>
          </w:tcPr>
          <w:p w14:paraId="2514D616">
            <w:pPr>
              <w:pStyle w:val="13"/>
            </w:pPr>
            <w:r>
              <w:t>三十一、人行科目</w:t>
            </w:r>
          </w:p>
        </w:tc>
        <w:tc>
          <w:tcPr>
            <w:tcW w:w="2126" w:type="dxa"/>
            <w:vAlign w:val="center"/>
          </w:tcPr>
          <w:p w14:paraId="661ACB85">
            <w:pPr>
              <w:pStyle w:val="14"/>
            </w:pPr>
          </w:p>
        </w:tc>
      </w:tr>
      <w:tr w14:paraId="6C9C3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FC00B">
            <w:pPr>
              <w:pStyle w:val="12"/>
            </w:pPr>
            <w:r>
              <w:t>32</w:t>
            </w:r>
          </w:p>
        </w:tc>
        <w:tc>
          <w:tcPr>
            <w:tcW w:w="4535" w:type="dxa"/>
            <w:vAlign w:val="center"/>
          </w:tcPr>
          <w:p w14:paraId="5450BD60">
            <w:pPr>
              <w:pStyle w:val="15"/>
            </w:pPr>
            <w:r>
              <w:t>本年收入合计</w:t>
            </w:r>
          </w:p>
        </w:tc>
        <w:tc>
          <w:tcPr>
            <w:tcW w:w="2126" w:type="dxa"/>
            <w:vAlign w:val="center"/>
          </w:tcPr>
          <w:p w14:paraId="1E1FD62B">
            <w:pPr>
              <w:pStyle w:val="16"/>
            </w:pPr>
            <w:r>
              <w:t>2008.85</w:t>
            </w:r>
          </w:p>
        </w:tc>
        <w:tc>
          <w:tcPr>
            <w:tcW w:w="4535" w:type="dxa"/>
            <w:vAlign w:val="center"/>
          </w:tcPr>
          <w:p w14:paraId="6594B018">
            <w:pPr>
              <w:pStyle w:val="15"/>
            </w:pPr>
            <w:r>
              <w:t>本年支出合计</w:t>
            </w:r>
          </w:p>
        </w:tc>
        <w:tc>
          <w:tcPr>
            <w:tcW w:w="2126" w:type="dxa"/>
            <w:vAlign w:val="center"/>
          </w:tcPr>
          <w:p w14:paraId="5D696CE9">
            <w:pPr>
              <w:pStyle w:val="16"/>
            </w:pPr>
            <w:r>
              <w:t>2008.85</w:t>
            </w:r>
          </w:p>
        </w:tc>
      </w:tr>
      <w:tr w14:paraId="2C7C5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9D985">
            <w:pPr>
              <w:pStyle w:val="12"/>
            </w:pPr>
            <w:r>
              <w:t>33</w:t>
            </w:r>
          </w:p>
        </w:tc>
        <w:tc>
          <w:tcPr>
            <w:tcW w:w="4535" w:type="dxa"/>
            <w:vAlign w:val="center"/>
          </w:tcPr>
          <w:p w14:paraId="3C2AE08B">
            <w:pPr>
              <w:pStyle w:val="13"/>
            </w:pPr>
            <w:r>
              <w:t>上年结转结余</w:t>
            </w:r>
          </w:p>
        </w:tc>
        <w:tc>
          <w:tcPr>
            <w:tcW w:w="2126" w:type="dxa"/>
            <w:vAlign w:val="center"/>
          </w:tcPr>
          <w:p w14:paraId="11925F6A">
            <w:pPr>
              <w:pStyle w:val="14"/>
            </w:pPr>
          </w:p>
        </w:tc>
        <w:tc>
          <w:tcPr>
            <w:tcW w:w="4535" w:type="dxa"/>
            <w:vAlign w:val="center"/>
          </w:tcPr>
          <w:p w14:paraId="7428C393">
            <w:pPr>
              <w:pStyle w:val="13"/>
            </w:pPr>
            <w:r>
              <w:t>年终结转结余</w:t>
            </w:r>
          </w:p>
        </w:tc>
        <w:tc>
          <w:tcPr>
            <w:tcW w:w="2126" w:type="dxa"/>
            <w:vAlign w:val="center"/>
          </w:tcPr>
          <w:p w14:paraId="09CDB683">
            <w:pPr>
              <w:pStyle w:val="14"/>
            </w:pPr>
          </w:p>
        </w:tc>
      </w:tr>
      <w:tr w14:paraId="434C0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A0251">
            <w:pPr>
              <w:pStyle w:val="12"/>
            </w:pPr>
            <w:r>
              <w:t>34</w:t>
            </w:r>
          </w:p>
        </w:tc>
        <w:tc>
          <w:tcPr>
            <w:tcW w:w="4535" w:type="dxa"/>
            <w:vAlign w:val="center"/>
          </w:tcPr>
          <w:p w14:paraId="2305BFB1">
            <w:pPr>
              <w:pStyle w:val="15"/>
            </w:pPr>
            <w:r>
              <w:t>收入总计</w:t>
            </w:r>
          </w:p>
        </w:tc>
        <w:tc>
          <w:tcPr>
            <w:tcW w:w="2126" w:type="dxa"/>
            <w:vAlign w:val="center"/>
          </w:tcPr>
          <w:p w14:paraId="4F332A9C">
            <w:pPr>
              <w:pStyle w:val="16"/>
            </w:pPr>
            <w:r>
              <w:t>2008.85</w:t>
            </w:r>
          </w:p>
        </w:tc>
        <w:tc>
          <w:tcPr>
            <w:tcW w:w="4535" w:type="dxa"/>
            <w:vAlign w:val="center"/>
          </w:tcPr>
          <w:p w14:paraId="42FCCB7F">
            <w:pPr>
              <w:pStyle w:val="15"/>
            </w:pPr>
            <w:r>
              <w:t>支出总计</w:t>
            </w:r>
          </w:p>
        </w:tc>
        <w:tc>
          <w:tcPr>
            <w:tcW w:w="2126" w:type="dxa"/>
            <w:vAlign w:val="center"/>
          </w:tcPr>
          <w:p w14:paraId="739381B2">
            <w:pPr>
              <w:pStyle w:val="16"/>
            </w:pPr>
            <w:r>
              <w:t>2008.85</w:t>
            </w:r>
          </w:p>
        </w:tc>
      </w:tr>
    </w:tbl>
    <w:p w14:paraId="66B250AC">
      <w:pPr>
        <w:sectPr>
          <w:pgSz w:w="16840" w:h="11900" w:orient="landscape"/>
          <w:pgMar w:top="1361" w:right="1020" w:bottom="1134" w:left="1020" w:header="720" w:footer="720" w:gutter="0"/>
          <w:cols w:space="720" w:num="1"/>
        </w:sectPr>
      </w:pPr>
    </w:p>
    <w:p w14:paraId="265191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BFC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9AA0AA">
            <w:pPr>
              <w:pStyle w:val="8"/>
            </w:pPr>
            <w:r>
              <w:t>360013隆尧县实验小学</w:t>
            </w:r>
          </w:p>
        </w:tc>
        <w:tc>
          <w:tcPr>
            <w:tcW w:w="3402" w:type="dxa"/>
            <w:gridSpan w:val="3"/>
            <w:tcBorders>
              <w:top w:val="single" w:color="FFFFFF" w:sz="6" w:space="0"/>
              <w:left w:val="single" w:color="FFFFFF" w:sz="6" w:space="0"/>
              <w:right w:val="single" w:color="FFFFFF" w:sz="6" w:space="0"/>
            </w:tcBorders>
            <w:vAlign w:val="center"/>
          </w:tcPr>
          <w:p w14:paraId="568B99F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61652A4">
            <w:pPr>
              <w:pStyle w:val="10"/>
            </w:pPr>
            <w:r>
              <w:t>单位：万元</w:t>
            </w:r>
          </w:p>
        </w:tc>
      </w:tr>
      <w:tr w14:paraId="3751C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76AB21">
            <w:pPr>
              <w:pStyle w:val="11"/>
            </w:pPr>
            <w:r>
              <w:t>序号</w:t>
            </w:r>
          </w:p>
        </w:tc>
        <w:tc>
          <w:tcPr>
            <w:tcW w:w="2551" w:type="dxa"/>
            <w:gridSpan w:val="2"/>
            <w:vAlign w:val="center"/>
          </w:tcPr>
          <w:p w14:paraId="64E3FFFF">
            <w:pPr>
              <w:pStyle w:val="11"/>
            </w:pPr>
            <w:r>
              <w:t>功能分类科目</w:t>
            </w:r>
          </w:p>
        </w:tc>
        <w:tc>
          <w:tcPr>
            <w:tcW w:w="1134" w:type="dxa"/>
            <w:vMerge w:val="restart"/>
            <w:vAlign w:val="center"/>
          </w:tcPr>
          <w:p w14:paraId="4011113F">
            <w:pPr>
              <w:pStyle w:val="11"/>
            </w:pPr>
            <w:r>
              <w:t>合计</w:t>
            </w:r>
          </w:p>
        </w:tc>
        <w:tc>
          <w:tcPr>
            <w:tcW w:w="9072" w:type="dxa"/>
            <w:gridSpan w:val="8"/>
            <w:vAlign w:val="center"/>
          </w:tcPr>
          <w:p w14:paraId="24B9926F">
            <w:pPr>
              <w:pStyle w:val="11"/>
            </w:pPr>
            <w:r>
              <w:t>本年收入</w:t>
            </w:r>
          </w:p>
        </w:tc>
        <w:tc>
          <w:tcPr>
            <w:tcW w:w="1134" w:type="dxa"/>
            <w:vMerge w:val="restart"/>
            <w:vAlign w:val="center"/>
          </w:tcPr>
          <w:p w14:paraId="61F6EFCC">
            <w:pPr>
              <w:pStyle w:val="11"/>
            </w:pPr>
            <w:r>
              <w:t>上年结转</w:t>
            </w:r>
          </w:p>
        </w:tc>
      </w:tr>
      <w:tr w14:paraId="5B1E8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90AE4E"/>
        </w:tc>
        <w:tc>
          <w:tcPr>
            <w:tcW w:w="992" w:type="dxa"/>
            <w:vAlign w:val="center"/>
          </w:tcPr>
          <w:p w14:paraId="1761B2DF">
            <w:pPr>
              <w:pStyle w:val="11"/>
            </w:pPr>
            <w:r>
              <w:t>科目    编码</w:t>
            </w:r>
          </w:p>
        </w:tc>
        <w:tc>
          <w:tcPr>
            <w:tcW w:w="1559" w:type="dxa"/>
            <w:vAlign w:val="center"/>
          </w:tcPr>
          <w:p w14:paraId="0C34192A">
            <w:pPr>
              <w:pStyle w:val="11"/>
            </w:pPr>
            <w:r>
              <w:t>科目名称</w:t>
            </w:r>
          </w:p>
        </w:tc>
        <w:tc>
          <w:tcPr>
            <w:tcW w:w="1134" w:type="dxa"/>
            <w:vMerge w:val="continue"/>
          </w:tcPr>
          <w:p w14:paraId="1F47AA79"/>
        </w:tc>
        <w:tc>
          <w:tcPr>
            <w:tcW w:w="1134" w:type="dxa"/>
            <w:vAlign w:val="center"/>
          </w:tcPr>
          <w:p w14:paraId="7FF23FBE">
            <w:pPr>
              <w:pStyle w:val="11"/>
            </w:pPr>
            <w:r>
              <w:t>小计</w:t>
            </w:r>
          </w:p>
        </w:tc>
        <w:tc>
          <w:tcPr>
            <w:tcW w:w="1134" w:type="dxa"/>
            <w:vAlign w:val="center"/>
          </w:tcPr>
          <w:p w14:paraId="1EA5C51D">
            <w:pPr>
              <w:pStyle w:val="11"/>
            </w:pPr>
            <w:r>
              <w:t>财政拨款 收入</w:t>
            </w:r>
          </w:p>
        </w:tc>
        <w:tc>
          <w:tcPr>
            <w:tcW w:w="1134" w:type="dxa"/>
            <w:vAlign w:val="center"/>
          </w:tcPr>
          <w:p w14:paraId="23FA7564">
            <w:pPr>
              <w:pStyle w:val="11"/>
            </w:pPr>
            <w:r>
              <w:t>财政专户 收入</w:t>
            </w:r>
          </w:p>
        </w:tc>
        <w:tc>
          <w:tcPr>
            <w:tcW w:w="1134" w:type="dxa"/>
            <w:vAlign w:val="center"/>
          </w:tcPr>
          <w:p w14:paraId="71C8B401">
            <w:pPr>
              <w:pStyle w:val="11"/>
            </w:pPr>
            <w:r>
              <w:t>事业收入</w:t>
            </w:r>
          </w:p>
        </w:tc>
        <w:tc>
          <w:tcPr>
            <w:tcW w:w="1134" w:type="dxa"/>
            <w:vAlign w:val="center"/>
          </w:tcPr>
          <w:p w14:paraId="32490407">
            <w:pPr>
              <w:pStyle w:val="11"/>
            </w:pPr>
            <w:r>
              <w:t>经营收入</w:t>
            </w:r>
          </w:p>
        </w:tc>
        <w:tc>
          <w:tcPr>
            <w:tcW w:w="1134" w:type="dxa"/>
            <w:vAlign w:val="center"/>
          </w:tcPr>
          <w:p w14:paraId="3A9314E3">
            <w:pPr>
              <w:pStyle w:val="11"/>
            </w:pPr>
            <w:r>
              <w:t>上级补助收入</w:t>
            </w:r>
          </w:p>
        </w:tc>
        <w:tc>
          <w:tcPr>
            <w:tcW w:w="1134" w:type="dxa"/>
            <w:vAlign w:val="center"/>
          </w:tcPr>
          <w:p w14:paraId="0A06CE82">
            <w:pPr>
              <w:pStyle w:val="11"/>
            </w:pPr>
            <w:r>
              <w:t>附属单位上缴收入</w:t>
            </w:r>
          </w:p>
        </w:tc>
        <w:tc>
          <w:tcPr>
            <w:tcW w:w="1134" w:type="dxa"/>
            <w:vAlign w:val="center"/>
          </w:tcPr>
          <w:p w14:paraId="2644E8B9">
            <w:pPr>
              <w:pStyle w:val="11"/>
            </w:pPr>
            <w:r>
              <w:t>其他收入</w:t>
            </w:r>
          </w:p>
        </w:tc>
        <w:tc>
          <w:tcPr>
            <w:tcW w:w="1134" w:type="dxa"/>
            <w:vMerge w:val="continue"/>
          </w:tcPr>
          <w:p w14:paraId="70C87E13"/>
        </w:tc>
      </w:tr>
      <w:tr w14:paraId="70BCF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DC678D">
            <w:pPr>
              <w:pStyle w:val="11"/>
            </w:pPr>
            <w:r>
              <w:t>栏次</w:t>
            </w:r>
          </w:p>
        </w:tc>
        <w:tc>
          <w:tcPr>
            <w:tcW w:w="992" w:type="dxa"/>
            <w:vAlign w:val="center"/>
          </w:tcPr>
          <w:p w14:paraId="01C61D87">
            <w:pPr>
              <w:pStyle w:val="11"/>
            </w:pPr>
            <w:r>
              <w:t>1</w:t>
            </w:r>
          </w:p>
        </w:tc>
        <w:tc>
          <w:tcPr>
            <w:tcW w:w="1559" w:type="dxa"/>
            <w:vAlign w:val="center"/>
          </w:tcPr>
          <w:p w14:paraId="263DC5D8">
            <w:pPr>
              <w:pStyle w:val="11"/>
            </w:pPr>
            <w:r>
              <w:t>2</w:t>
            </w:r>
          </w:p>
        </w:tc>
        <w:tc>
          <w:tcPr>
            <w:tcW w:w="1134" w:type="dxa"/>
            <w:vAlign w:val="center"/>
          </w:tcPr>
          <w:p w14:paraId="2D1BFD10">
            <w:pPr>
              <w:pStyle w:val="11"/>
            </w:pPr>
            <w:r>
              <w:t>3</w:t>
            </w:r>
          </w:p>
        </w:tc>
        <w:tc>
          <w:tcPr>
            <w:tcW w:w="1134" w:type="dxa"/>
            <w:vAlign w:val="center"/>
          </w:tcPr>
          <w:p w14:paraId="1A73683A">
            <w:pPr>
              <w:pStyle w:val="11"/>
            </w:pPr>
            <w:r>
              <w:t>4</w:t>
            </w:r>
          </w:p>
        </w:tc>
        <w:tc>
          <w:tcPr>
            <w:tcW w:w="1134" w:type="dxa"/>
            <w:vAlign w:val="center"/>
          </w:tcPr>
          <w:p w14:paraId="4AC13B3B">
            <w:pPr>
              <w:pStyle w:val="11"/>
            </w:pPr>
            <w:r>
              <w:t>5</w:t>
            </w:r>
          </w:p>
        </w:tc>
        <w:tc>
          <w:tcPr>
            <w:tcW w:w="1134" w:type="dxa"/>
            <w:vAlign w:val="center"/>
          </w:tcPr>
          <w:p w14:paraId="3187B6A9">
            <w:pPr>
              <w:pStyle w:val="11"/>
            </w:pPr>
            <w:r>
              <w:t>6</w:t>
            </w:r>
          </w:p>
        </w:tc>
        <w:tc>
          <w:tcPr>
            <w:tcW w:w="1134" w:type="dxa"/>
            <w:vAlign w:val="center"/>
          </w:tcPr>
          <w:p w14:paraId="10D43EC3">
            <w:pPr>
              <w:pStyle w:val="11"/>
            </w:pPr>
            <w:r>
              <w:t>7</w:t>
            </w:r>
          </w:p>
        </w:tc>
        <w:tc>
          <w:tcPr>
            <w:tcW w:w="1134" w:type="dxa"/>
            <w:vAlign w:val="center"/>
          </w:tcPr>
          <w:p w14:paraId="06E65987">
            <w:pPr>
              <w:pStyle w:val="11"/>
            </w:pPr>
            <w:r>
              <w:t>8</w:t>
            </w:r>
          </w:p>
        </w:tc>
        <w:tc>
          <w:tcPr>
            <w:tcW w:w="1134" w:type="dxa"/>
            <w:vAlign w:val="center"/>
          </w:tcPr>
          <w:p w14:paraId="5F05CFA6">
            <w:pPr>
              <w:pStyle w:val="11"/>
            </w:pPr>
            <w:r>
              <w:t>9</w:t>
            </w:r>
          </w:p>
        </w:tc>
        <w:tc>
          <w:tcPr>
            <w:tcW w:w="1134" w:type="dxa"/>
            <w:vAlign w:val="center"/>
          </w:tcPr>
          <w:p w14:paraId="0D6B26C0">
            <w:pPr>
              <w:pStyle w:val="11"/>
            </w:pPr>
            <w:r>
              <w:t>10</w:t>
            </w:r>
          </w:p>
        </w:tc>
        <w:tc>
          <w:tcPr>
            <w:tcW w:w="1134" w:type="dxa"/>
            <w:vAlign w:val="center"/>
          </w:tcPr>
          <w:p w14:paraId="6E01A872">
            <w:pPr>
              <w:pStyle w:val="11"/>
            </w:pPr>
            <w:r>
              <w:t>11</w:t>
            </w:r>
          </w:p>
        </w:tc>
        <w:tc>
          <w:tcPr>
            <w:tcW w:w="1134" w:type="dxa"/>
            <w:vAlign w:val="center"/>
          </w:tcPr>
          <w:p w14:paraId="3DEC9A69">
            <w:pPr>
              <w:pStyle w:val="11"/>
            </w:pPr>
            <w:r>
              <w:t>12</w:t>
            </w:r>
          </w:p>
        </w:tc>
      </w:tr>
      <w:tr w14:paraId="33EA8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1100C7">
            <w:pPr>
              <w:pStyle w:val="12"/>
            </w:pPr>
            <w:r>
              <w:t>1</w:t>
            </w:r>
          </w:p>
        </w:tc>
        <w:tc>
          <w:tcPr>
            <w:tcW w:w="992" w:type="dxa"/>
            <w:vAlign w:val="center"/>
          </w:tcPr>
          <w:p w14:paraId="74969C86">
            <w:pPr>
              <w:pStyle w:val="17"/>
            </w:pPr>
          </w:p>
        </w:tc>
        <w:tc>
          <w:tcPr>
            <w:tcW w:w="1559" w:type="dxa"/>
            <w:vAlign w:val="center"/>
          </w:tcPr>
          <w:p w14:paraId="162E460D">
            <w:pPr>
              <w:pStyle w:val="15"/>
            </w:pPr>
            <w:r>
              <w:t>合计</w:t>
            </w:r>
          </w:p>
        </w:tc>
        <w:tc>
          <w:tcPr>
            <w:tcW w:w="1134" w:type="dxa"/>
            <w:vAlign w:val="center"/>
          </w:tcPr>
          <w:p w14:paraId="6320D941">
            <w:pPr>
              <w:pStyle w:val="16"/>
            </w:pPr>
            <w:r>
              <w:t>2008.85</w:t>
            </w:r>
          </w:p>
        </w:tc>
        <w:tc>
          <w:tcPr>
            <w:tcW w:w="1134" w:type="dxa"/>
            <w:vAlign w:val="center"/>
          </w:tcPr>
          <w:p w14:paraId="6FA3C23E">
            <w:pPr>
              <w:pStyle w:val="16"/>
            </w:pPr>
            <w:r>
              <w:t>2008.85</w:t>
            </w:r>
          </w:p>
        </w:tc>
        <w:tc>
          <w:tcPr>
            <w:tcW w:w="1134" w:type="dxa"/>
            <w:vAlign w:val="center"/>
          </w:tcPr>
          <w:p w14:paraId="7B02E7B5">
            <w:pPr>
              <w:pStyle w:val="16"/>
            </w:pPr>
            <w:r>
              <w:t>2008.85</w:t>
            </w:r>
          </w:p>
        </w:tc>
        <w:tc>
          <w:tcPr>
            <w:tcW w:w="1134" w:type="dxa"/>
            <w:vAlign w:val="center"/>
          </w:tcPr>
          <w:p w14:paraId="5D2BFA5E">
            <w:pPr>
              <w:pStyle w:val="16"/>
            </w:pPr>
          </w:p>
        </w:tc>
        <w:tc>
          <w:tcPr>
            <w:tcW w:w="1134" w:type="dxa"/>
            <w:vAlign w:val="center"/>
          </w:tcPr>
          <w:p w14:paraId="482A181D">
            <w:pPr>
              <w:pStyle w:val="16"/>
            </w:pPr>
          </w:p>
        </w:tc>
        <w:tc>
          <w:tcPr>
            <w:tcW w:w="1134" w:type="dxa"/>
            <w:vAlign w:val="center"/>
          </w:tcPr>
          <w:p w14:paraId="641B2EC3">
            <w:pPr>
              <w:pStyle w:val="16"/>
            </w:pPr>
          </w:p>
        </w:tc>
        <w:tc>
          <w:tcPr>
            <w:tcW w:w="1134" w:type="dxa"/>
            <w:vAlign w:val="center"/>
          </w:tcPr>
          <w:p w14:paraId="09A2DBA5">
            <w:pPr>
              <w:pStyle w:val="16"/>
            </w:pPr>
          </w:p>
        </w:tc>
        <w:tc>
          <w:tcPr>
            <w:tcW w:w="1134" w:type="dxa"/>
            <w:vAlign w:val="center"/>
          </w:tcPr>
          <w:p w14:paraId="22056D80">
            <w:pPr>
              <w:pStyle w:val="16"/>
            </w:pPr>
          </w:p>
        </w:tc>
        <w:tc>
          <w:tcPr>
            <w:tcW w:w="1134" w:type="dxa"/>
            <w:vAlign w:val="center"/>
          </w:tcPr>
          <w:p w14:paraId="633F8F60">
            <w:pPr>
              <w:pStyle w:val="16"/>
            </w:pPr>
          </w:p>
        </w:tc>
        <w:tc>
          <w:tcPr>
            <w:tcW w:w="1134" w:type="dxa"/>
            <w:vAlign w:val="center"/>
          </w:tcPr>
          <w:p w14:paraId="1EEA4C3E">
            <w:pPr>
              <w:pStyle w:val="16"/>
            </w:pPr>
          </w:p>
        </w:tc>
      </w:tr>
      <w:tr w14:paraId="241BE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64B228">
            <w:pPr>
              <w:pStyle w:val="12"/>
            </w:pPr>
            <w:r>
              <w:t>2</w:t>
            </w:r>
          </w:p>
        </w:tc>
        <w:tc>
          <w:tcPr>
            <w:tcW w:w="992" w:type="dxa"/>
            <w:vAlign w:val="center"/>
          </w:tcPr>
          <w:p w14:paraId="4B796B87">
            <w:pPr>
              <w:pStyle w:val="13"/>
            </w:pPr>
            <w:r>
              <w:t>205</w:t>
            </w:r>
          </w:p>
        </w:tc>
        <w:tc>
          <w:tcPr>
            <w:tcW w:w="1559" w:type="dxa"/>
            <w:vAlign w:val="center"/>
          </w:tcPr>
          <w:p w14:paraId="6C49EFDB">
            <w:pPr>
              <w:pStyle w:val="13"/>
            </w:pPr>
            <w:r>
              <w:t>教育支出</w:t>
            </w:r>
          </w:p>
        </w:tc>
        <w:tc>
          <w:tcPr>
            <w:tcW w:w="1134" w:type="dxa"/>
            <w:vAlign w:val="center"/>
          </w:tcPr>
          <w:p w14:paraId="7BBB1FBF">
            <w:pPr>
              <w:pStyle w:val="14"/>
            </w:pPr>
            <w:r>
              <w:t>2008.85</w:t>
            </w:r>
          </w:p>
        </w:tc>
        <w:tc>
          <w:tcPr>
            <w:tcW w:w="1134" w:type="dxa"/>
            <w:vAlign w:val="center"/>
          </w:tcPr>
          <w:p w14:paraId="604C8F61">
            <w:pPr>
              <w:pStyle w:val="14"/>
            </w:pPr>
            <w:r>
              <w:t>2008.85</w:t>
            </w:r>
          </w:p>
        </w:tc>
        <w:tc>
          <w:tcPr>
            <w:tcW w:w="1134" w:type="dxa"/>
            <w:vAlign w:val="center"/>
          </w:tcPr>
          <w:p w14:paraId="2ABBE87D">
            <w:pPr>
              <w:pStyle w:val="14"/>
            </w:pPr>
            <w:r>
              <w:t>2008.85</w:t>
            </w:r>
          </w:p>
        </w:tc>
        <w:tc>
          <w:tcPr>
            <w:tcW w:w="1134" w:type="dxa"/>
            <w:vAlign w:val="center"/>
          </w:tcPr>
          <w:p w14:paraId="51410D3F">
            <w:pPr>
              <w:pStyle w:val="14"/>
            </w:pPr>
          </w:p>
        </w:tc>
        <w:tc>
          <w:tcPr>
            <w:tcW w:w="1134" w:type="dxa"/>
            <w:vAlign w:val="center"/>
          </w:tcPr>
          <w:p w14:paraId="32FFFEFB">
            <w:pPr>
              <w:pStyle w:val="14"/>
            </w:pPr>
          </w:p>
        </w:tc>
        <w:tc>
          <w:tcPr>
            <w:tcW w:w="1134" w:type="dxa"/>
            <w:vAlign w:val="center"/>
          </w:tcPr>
          <w:p w14:paraId="173D31AA">
            <w:pPr>
              <w:pStyle w:val="14"/>
            </w:pPr>
          </w:p>
        </w:tc>
        <w:tc>
          <w:tcPr>
            <w:tcW w:w="1134" w:type="dxa"/>
            <w:vAlign w:val="center"/>
          </w:tcPr>
          <w:p w14:paraId="758ED506">
            <w:pPr>
              <w:pStyle w:val="14"/>
            </w:pPr>
          </w:p>
        </w:tc>
        <w:tc>
          <w:tcPr>
            <w:tcW w:w="1134" w:type="dxa"/>
            <w:vAlign w:val="center"/>
          </w:tcPr>
          <w:p w14:paraId="5F62C571">
            <w:pPr>
              <w:pStyle w:val="14"/>
            </w:pPr>
          </w:p>
        </w:tc>
        <w:tc>
          <w:tcPr>
            <w:tcW w:w="1134" w:type="dxa"/>
            <w:vAlign w:val="center"/>
          </w:tcPr>
          <w:p w14:paraId="6FCF0DB3">
            <w:pPr>
              <w:pStyle w:val="14"/>
            </w:pPr>
          </w:p>
        </w:tc>
        <w:tc>
          <w:tcPr>
            <w:tcW w:w="1134" w:type="dxa"/>
            <w:vAlign w:val="center"/>
          </w:tcPr>
          <w:p w14:paraId="2811B0E4">
            <w:pPr>
              <w:pStyle w:val="14"/>
            </w:pPr>
          </w:p>
        </w:tc>
      </w:tr>
      <w:tr w14:paraId="70514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2E87BA">
            <w:pPr>
              <w:pStyle w:val="12"/>
            </w:pPr>
            <w:r>
              <w:t>3</w:t>
            </w:r>
          </w:p>
        </w:tc>
        <w:tc>
          <w:tcPr>
            <w:tcW w:w="992" w:type="dxa"/>
            <w:vAlign w:val="center"/>
          </w:tcPr>
          <w:p w14:paraId="5768408B">
            <w:pPr>
              <w:pStyle w:val="13"/>
            </w:pPr>
            <w:r>
              <w:t>20502</w:t>
            </w:r>
          </w:p>
        </w:tc>
        <w:tc>
          <w:tcPr>
            <w:tcW w:w="1559" w:type="dxa"/>
            <w:vAlign w:val="center"/>
          </w:tcPr>
          <w:p w14:paraId="669F881E">
            <w:pPr>
              <w:pStyle w:val="13"/>
            </w:pPr>
            <w:r>
              <w:t>普通教育</w:t>
            </w:r>
          </w:p>
        </w:tc>
        <w:tc>
          <w:tcPr>
            <w:tcW w:w="1134" w:type="dxa"/>
            <w:vAlign w:val="center"/>
          </w:tcPr>
          <w:p w14:paraId="4CCC0942">
            <w:pPr>
              <w:pStyle w:val="14"/>
            </w:pPr>
            <w:r>
              <w:t>2008.85</w:t>
            </w:r>
          </w:p>
        </w:tc>
        <w:tc>
          <w:tcPr>
            <w:tcW w:w="1134" w:type="dxa"/>
            <w:vAlign w:val="center"/>
          </w:tcPr>
          <w:p w14:paraId="0C513EC8">
            <w:pPr>
              <w:pStyle w:val="14"/>
            </w:pPr>
            <w:r>
              <w:t>2008.85</w:t>
            </w:r>
          </w:p>
        </w:tc>
        <w:tc>
          <w:tcPr>
            <w:tcW w:w="1134" w:type="dxa"/>
            <w:vAlign w:val="center"/>
          </w:tcPr>
          <w:p w14:paraId="1E3C14FA">
            <w:pPr>
              <w:pStyle w:val="14"/>
            </w:pPr>
            <w:r>
              <w:t>2008.85</w:t>
            </w:r>
          </w:p>
        </w:tc>
        <w:tc>
          <w:tcPr>
            <w:tcW w:w="1134" w:type="dxa"/>
            <w:vAlign w:val="center"/>
          </w:tcPr>
          <w:p w14:paraId="6C6B8149">
            <w:pPr>
              <w:pStyle w:val="14"/>
            </w:pPr>
          </w:p>
        </w:tc>
        <w:tc>
          <w:tcPr>
            <w:tcW w:w="1134" w:type="dxa"/>
            <w:vAlign w:val="center"/>
          </w:tcPr>
          <w:p w14:paraId="1109665B">
            <w:pPr>
              <w:pStyle w:val="14"/>
            </w:pPr>
          </w:p>
        </w:tc>
        <w:tc>
          <w:tcPr>
            <w:tcW w:w="1134" w:type="dxa"/>
            <w:vAlign w:val="center"/>
          </w:tcPr>
          <w:p w14:paraId="42002F09">
            <w:pPr>
              <w:pStyle w:val="14"/>
            </w:pPr>
          </w:p>
        </w:tc>
        <w:tc>
          <w:tcPr>
            <w:tcW w:w="1134" w:type="dxa"/>
            <w:vAlign w:val="center"/>
          </w:tcPr>
          <w:p w14:paraId="757BB442">
            <w:pPr>
              <w:pStyle w:val="14"/>
            </w:pPr>
          </w:p>
        </w:tc>
        <w:tc>
          <w:tcPr>
            <w:tcW w:w="1134" w:type="dxa"/>
            <w:vAlign w:val="center"/>
          </w:tcPr>
          <w:p w14:paraId="09790459">
            <w:pPr>
              <w:pStyle w:val="14"/>
            </w:pPr>
          </w:p>
        </w:tc>
        <w:tc>
          <w:tcPr>
            <w:tcW w:w="1134" w:type="dxa"/>
            <w:vAlign w:val="center"/>
          </w:tcPr>
          <w:p w14:paraId="03ADDD65">
            <w:pPr>
              <w:pStyle w:val="14"/>
            </w:pPr>
          </w:p>
        </w:tc>
        <w:tc>
          <w:tcPr>
            <w:tcW w:w="1134" w:type="dxa"/>
            <w:vAlign w:val="center"/>
          </w:tcPr>
          <w:p w14:paraId="46B984D0">
            <w:pPr>
              <w:pStyle w:val="14"/>
            </w:pPr>
          </w:p>
        </w:tc>
      </w:tr>
      <w:tr w14:paraId="2A40C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43899A">
            <w:pPr>
              <w:pStyle w:val="12"/>
            </w:pPr>
            <w:r>
              <w:t>4</w:t>
            </w:r>
          </w:p>
        </w:tc>
        <w:tc>
          <w:tcPr>
            <w:tcW w:w="992" w:type="dxa"/>
            <w:vAlign w:val="center"/>
          </w:tcPr>
          <w:p w14:paraId="48628BD0">
            <w:pPr>
              <w:pStyle w:val="13"/>
            </w:pPr>
            <w:r>
              <w:t>2050201</w:t>
            </w:r>
          </w:p>
        </w:tc>
        <w:tc>
          <w:tcPr>
            <w:tcW w:w="1559" w:type="dxa"/>
            <w:vAlign w:val="center"/>
          </w:tcPr>
          <w:p w14:paraId="5F4A0DDB">
            <w:pPr>
              <w:pStyle w:val="13"/>
            </w:pPr>
            <w:r>
              <w:t>学前教育</w:t>
            </w:r>
          </w:p>
        </w:tc>
        <w:tc>
          <w:tcPr>
            <w:tcW w:w="1134" w:type="dxa"/>
            <w:vAlign w:val="center"/>
          </w:tcPr>
          <w:p w14:paraId="405AB658">
            <w:pPr>
              <w:pStyle w:val="14"/>
            </w:pPr>
            <w:r>
              <w:t>0.30</w:t>
            </w:r>
          </w:p>
        </w:tc>
        <w:tc>
          <w:tcPr>
            <w:tcW w:w="1134" w:type="dxa"/>
            <w:vAlign w:val="center"/>
          </w:tcPr>
          <w:p w14:paraId="2660ED43">
            <w:pPr>
              <w:pStyle w:val="14"/>
            </w:pPr>
            <w:r>
              <w:t>0.30</w:t>
            </w:r>
          </w:p>
        </w:tc>
        <w:tc>
          <w:tcPr>
            <w:tcW w:w="1134" w:type="dxa"/>
            <w:vAlign w:val="center"/>
          </w:tcPr>
          <w:p w14:paraId="1E47632D">
            <w:pPr>
              <w:pStyle w:val="14"/>
            </w:pPr>
            <w:r>
              <w:t>0.30</w:t>
            </w:r>
          </w:p>
        </w:tc>
        <w:tc>
          <w:tcPr>
            <w:tcW w:w="1134" w:type="dxa"/>
            <w:vAlign w:val="center"/>
          </w:tcPr>
          <w:p w14:paraId="2761AB9B">
            <w:pPr>
              <w:pStyle w:val="14"/>
            </w:pPr>
          </w:p>
        </w:tc>
        <w:tc>
          <w:tcPr>
            <w:tcW w:w="1134" w:type="dxa"/>
            <w:vAlign w:val="center"/>
          </w:tcPr>
          <w:p w14:paraId="3E79C402">
            <w:pPr>
              <w:pStyle w:val="14"/>
            </w:pPr>
          </w:p>
        </w:tc>
        <w:tc>
          <w:tcPr>
            <w:tcW w:w="1134" w:type="dxa"/>
            <w:vAlign w:val="center"/>
          </w:tcPr>
          <w:p w14:paraId="08F0DFB7">
            <w:pPr>
              <w:pStyle w:val="14"/>
            </w:pPr>
          </w:p>
        </w:tc>
        <w:tc>
          <w:tcPr>
            <w:tcW w:w="1134" w:type="dxa"/>
            <w:vAlign w:val="center"/>
          </w:tcPr>
          <w:p w14:paraId="629519F4">
            <w:pPr>
              <w:pStyle w:val="14"/>
            </w:pPr>
          </w:p>
        </w:tc>
        <w:tc>
          <w:tcPr>
            <w:tcW w:w="1134" w:type="dxa"/>
            <w:vAlign w:val="center"/>
          </w:tcPr>
          <w:p w14:paraId="23E716F9">
            <w:pPr>
              <w:pStyle w:val="14"/>
            </w:pPr>
          </w:p>
        </w:tc>
        <w:tc>
          <w:tcPr>
            <w:tcW w:w="1134" w:type="dxa"/>
            <w:vAlign w:val="center"/>
          </w:tcPr>
          <w:p w14:paraId="4DE65F2D">
            <w:pPr>
              <w:pStyle w:val="14"/>
            </w:pPr>
          </w:p>
        </w:tc>
        <w:tc>
          <w:tcPr>
            <w:tcW w:w="1134" w:type="dxa"/>
            <w:vAlign w:val="center"/>
          </w:tcPr>
          <w:p w14:paraId="44449952">
            <w:pPr>
              <w:pStyle w:val="14"/>
            </w:pPr>
          </w:p>
        </w:tc>
      </w:tr>
      <w:tr w14:paraId="0FD7A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E38E84">
            <w:pPr>
              <w:pStyle w:val="12"/>
            </w:pPr>
            <w:r>
              <w:t>5</w:t>
            </w:r>
          </w:p>
        </w:tc>
        <w:tc>
          <w:tcPr>
            <w:tcW w:w="992" w:type="dxa"/>
            <w:vAlign w:val="center"/>
          </w:tcPr>
          <w:p w14:paraId="10D56C17">
            <w:pPr>
              <w:pStyle w:val="13"/>
            </w:pPr>
            <w:r>
              <w:t>2050202</w:t>
            </w:r>
          </w:p>
        </w:tc>
        <w:tc>
          <w:tcPr>
            <w:tcW w:w="1559" w:type="dxa"/>
            <w:vAlign w:val="center"/>
          </w:tcPr>
          <w:p w14:paraId="50C128D5">
            <w:pPr>
              <w:pStyle w:val="13"/>
            </w:pPr>
            <w:r>
              <w:t>小学教育</w:t>
            </w:r>
          </w:p>
        </w:tc>
        <w:tc>
          <w:tcPr>
            <w:tcW w:w="1134" w:type="dxa"/>
            <w:vAlign w:val="center"/>
          </w:tcPr>
          <w:p w14:paraId="3DF77ECE">
            <w:pPr>
              <w:pStyle w:val="14"/>
            </w:pPr>
            <w:r>
              <w:t>2008.55</w:t>
            </w:r>
          </w:p>
        </w:tc>
        <w:tc>
          <w:tcPr>
            <w:tcW w:w="1134" w:type="dxa"/>
            <w:vAlign w:val="center"/>
          </w:tcPr>
          <w:p w14:paraId="3104896E">
            <w:pPr>
              <w:pStyle w:val="14"/>
            </w:pPr>
            <w:r>
              <w:t>2008.55</w:t>
            </w:r>
          </w:p>
        </w:tc>
        <w:tc>
          <w:tcPr>
            <w:tcW w:w="1134" w:type="dxa"/>
            <w:vAlign w:val="center"/>
          </w:tcPr>
          <w:p w14:paraId="3228DEEC">
            <w:pPr>
              <w:pStyle w:val="14"/>
            </w:pPr>
            <w:r>
              <w:t>2008.55</w:t>
            </w:r>
          </w:p>
        </w:tc>
        <w:tc>
          <w:tcPr>
            <w:tcW w:w="1134" w:type="dxa"/>
            <w:vAlign w:val="center"/>
          </w:tcPr>
          <w:p w14:paraId="10566D49">
            <w:pPr>
              <w:pStyle w:val="14"/>
            </w:pPr>
          </w:p>
        </w:tc>
        <w:tc>
          <w:tcPr>
            <w:tcW w:w="1134" w:type="dxa"/>
            <w:vAlign w:val="center"/>
          </w:tcPr>
          <w:p w14:paraId="1A583D7E">
            <w:pPr>
              <w:pStyle w:val="14"/>
            </w:pPr>
          </w:p>
        </w:tc>
        <w:tc>
          <w:tcPr>
            <w:tcW w:w="1134" w:type="dxa"/>
            <w:vAlign w:val="center"/>
          </w:tcPr>
          <w:p w14:paraId="035DB675">
            <w:pPr>
              <w:pStyle w:val="14"/>
            </w:pPr>
          </w:p>
        </w:tc>
        <w:tc>
          <w:tcPr>
            <w:tcW w:w="1134" w:type="dxa"/>
            <w:vAlign w:val="center"/>
          </w:tcPr>
          <w:p w14:paraId="2D063D3E">
            <w:pPr>
              <w:pStyle w:val="14"/>
            </w:pPr>
          </w:p>
        </w:tc>
        <w:tc>
          <w:tcPr>
            <w:tcW w:w="1134" w:type="dxa"/>
            <w:vAlign w:val="center"/>
          </w:tcPr>
          <w:p w14:paraId="70C2865B">
            <w:pPr>
              <w:pStyle w:val="14"/>
            </w:pPr>
          </w:p>
        </w:tc>
        <w:tc>
          <w:tcPr>
            <w:tcW w:w="1134" w:type="dxa"/>
            <w:vAlign w:val="center"/>
          </w:tcPr>
          <w:p w14:paraId="26A92BEF">
            <w:pPr>
              <w:pStyle w:val="14"/>
            </w:pPr>
          </w:p>
        </w:tc>
        <w:tc>
          <w:tcPr>
            <w:tcW w:w="1134" w:type="dxa"/>
            <w:vAlign w:val="center"/>
          </w:tcPr>
          <w:p w14:paraId="5322F11E">
            <w:pPr>
              <w:pStyle w:val="14"/>
            </w:pPr>
          </w:p>
        </w:tc>
      </w:tr>
    </w:tbl>
    <w:p w14:paraId="1CC435B1">
      <w:pPr>
        <w:sectPr>
          <w:pgSz w:w="16840" w:h="11900" w:orient="landscape"/>
          <w:pgMar w:top="1361" w:right="1020" w:bottom="1134" w:left="1020" w:header="720" w:footer="720" w:gutter="0"/>
          <w:cols w:space="720" w:num="1"/>
        </w:sectPr>
      </w:pPr>
    </w:p>
    <w:p w14:paraId="044DFD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E5B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A54CEC">
            <w:pPr>
              <w:pStyle w:val="8"/>
            </w:pPr>
            <w:r>
              <w:t>360013隆尧县实验小学</w:t>
            </w:r>
          </w:p>
        </w:tc>
        <w:tc>
          <w:tcPr>
            <w:tcW w:w="2722" w:type="dxa"/>
            <w:gridSpan w:val="2"/>
            <w:tcBorders>
              <w:top w:val="single" w:color="FFFFFF" w:sz="6" w:space="0"/>
              <w:left w:val="single" w:color="FFFFFF" w:sz="6" w:space="0"/>
              <w:right w:val="single" w:color="FFFFFF" w:sz="6" w:space="0"/>
            </w:tcBorders>
            <w:vAlign w:val="center"/>
          </w:tcPr>
          <w:p w14:paraId="619BA8A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5FE3104">
            <w:pPr>
              <w:pStyle w:val="10"/>
            </w:pPr>
            <w:r>
              <w:t>单位：万元</w:t>
            </w:r>
          </w:p>
        </w:tc>
      </w:tr>
      <w:tr w14:paraId="73DA6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8155B">
            <w:pPr>
              <w:pStyle w:val="11"/>
            </w:pPr>
            <w:r>
              <w:t>序号</w:t>
            </w:r>
          </w:p>
        </w:tc>
        <w:tc>
          <w:tcPr>
            <w:tcW w:w="5527" w:type="dxa"/>
            <w:gridSpan w:val="2"/>
            <w:vAlign w:val="center"/>
          </w:tcPr>
          <w:p w14:paraId="17D4BADD">
            <w:pPr>
              <w:pStyle w:val="11"/>
            </w:pPr>
            <w:r>
              <w:t>功能分类科目</w:t>
            </w:r>
          </w:p>
        </w:tc>
        <w:tc>
          <w:tcPr>
            <w:tcW w:w="1361" w:type="dxa"/>
            <w:vMerge w:val="restart"/>
            <w:vAlign w:val="center"/>
          </w:tcPr>
          <w:p w14:paraId="115B6C67">
            <w:pPr>
              <w:pStyle w:val="11"/>
            </w:pPr>
            <w:r>
              <w:t>合计</w:t>
            </w:r>
          </w:p>
        </w:tc>
        <w:tc>
          <w:tcPr>
            <w:tcW w:w="1361" w:type="dxa"/>
            <w:vMerge w:val="restart"/>
            <w:vAlign w:val="center"/>
          </w:tcPr>
          <w:p w14:paraId="293B1E88">
            <w:pPr>
              <w:pStyle w:val="11"/>
            </w:pPr>
            <w:r>
              <w:t>基本支出</w:t>
            </w:r>
          </w:p>
        </w:tc>
        <w:tc>
          <w:tcPr>
            <w:tcW w:w="1361" w:type="dxa"/>
            <w:vMerge w:val="restart"/>
            <w:vAlign w:val="center"/>
          </w:tcPr>
          <w:p w14:paraId="6678524C">
            <w:pPr>
              <w:pStyle w:val="11"/>
            </w:pPr>
            <w:r>
              <w:t>项目支出</w:t>
            </w:r>
          </w:p>
        </w:tc>
        <w:tc>
          <w:tcPr>
            <w:tcW w:w="1361" w:type="dxa"/>
            <w:vMerge w:val="restart"/>
            <w:vAlign w:val="center"/>
          </w:tcPr>
          <w:p w14:paraId="5E37B46E">
            <w:pPr>
              <w:pStyle w:val="11"/>
            </w:pPr>
            <w:r>
              <w:t>经营支出</w:t>
            </w:r>
          </w:p>
        </w:tc>
        <w:tc>
          <w:tcPr>
            <w:tcW w:w="1361" w:type="dxa"/>
            <w:vMerge w:val="restart"/>
            <w:vAlign w:val="center"/>
          </w:tcPr>
          <w:p w14:paraId="40E1FB5D">
            <w:pPr>
              <w:pStyle w:val="11"/>
            </w:pPr>
            <w:r>
              <w:t>上解上级     支出</w:t>
            </w:r>
          </w:p>
        </w:tc>
        <w:tc>
          <w:tcPr>
            <w:tcW w:w="1361" w:type="dxa"/>
            <w:vMerge w:val="restart"/>
            <w:vAlign w:val="center"/>
          </w:tcPr>
          <w:p w14:paraId="61152FA6">
            <w:pPr>
              <w:pStyle w:val="11"/>
            </w:pPr>
            <w:r>
              <w:t>对附属单位补助支出</w:t>
            </w:r>
          </w:p>
        </w:tc>
      </w:tr>
      <w:tr w14:paraId="603FC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863BF1"/>
        </w:tc>
        <w:tc>
          <w:tcPr>
            <w:tcW w:w="992" w:type="dxa"/>
            <w:vAlign w:val="center"/>
          </w:tcPr>
          <w:p w14:paraId="37931D46">
            <w:pPr>
              <w:pStyle w:val="11"/>
            </w:pPr>
            <w:r>
              <w:t>科目    编码</w:t>
            </w:r>
          </w:p>
        </w:tc>
        <w:tc>
          <w:tcPr>
            <w:tcW w:w="4535" w:type="dxa"/>
            <w:vAlign w:val="center"/>
          </w:tcPr>
          <w:p w14:paraId="62DBC261">
            <w:pPr>
              <w:pStyle w:val="11"/>
            </w:pPr>
            <w:r>
              <w:t>科目名称</w:t>
            </w:r>
          </w:p>
        </w:tc>
        <w:tc>
          <w:tcPr>
            <w:tcW w:w="1361" w:type="dxa"/>
            <w:vMerge w:val="continue"/>
          </w:tcPr>
          <w:p w14:paraId="21D23EE0"/>
        </w:tc>
        <w:tc>
          <w:tcPr>
            <w:tcW w:w="1361" w:type="dxa"/>
            <w:vMerge w:val="continue"/>
          </w:tcPr>
          <w:p w14:paraId="1D74B412"/>
        </w:tc>
        <w:tc>
          <w:tcPr>
            <w:tcW w:w="1361" w:type="dxa"/>
            <w:vMerge w:val="continue"/>
          </w:tcPr>
          <w:p w14:paraId="294A9568"/>
        </w:tc>
        <w:tc>
          <w:tcPr>
            <w:tcW w:w="1361" w:type="dxa"/>
            <w:vMerge w:val="continue"/>
          </w:tcPr>
          <w:p w14:paraId="3DDA37C9"/>
        </w:tc>
        <w:tc>
          <w:tcPr>
            <w:tcW w:w="1361" w:type="dxa"/>
            <w:vMerge w:val="continue"/>
          </w:tcPr>
          <w:p w14:paraId="3CDB191F"/>
        </w:tc>
        <w:tc>
          <w:tcPr>
            <w:tcW w:w="1361" w:type="dxa"/>
            <w:vMerge w:val="continue"/>
          </w:tcPr>
          <w:p w14:paraId="273FD50D"/>
        </w:tc>
      </w:tr>
      <w:tr w14:paraId="2F7A2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70858DCF">
            <w:pPr>
              <w:pStyle w:val="11"/>
            </w:pPr>
            <w:r>
              <w:t>栏次</w:t>
            </w:r>
          </w:p>
        </w:tc>
        <w:tc>
          <w:tcPr>
            <w:tcW w:w="992" w:type="dxa"/>
            <w:vAlign w:val="center"/>
          </w:tcPr>
          <w:p w14:paraId="11579280">
            <w:pPr>
              <w:pStyle w:val="11"/>
            </w:pPr>
            <w:r>
              <w:t>1</w:t>
            </w:r>
          </w:p>
        </w:tc>
        <w:tc>
          <w:tcPr>
            <w:tcW w:w="4535" w:type="dxa"/>
            <w:vAlign w:val="center"/>
          </w:tcPr>
          <w:p w14:paraId="1230EB2D">
            <w:pPr>
              <w:pStyle w:val="11"/>
            </w:pPr>
            <w:r>
              <w:t>2</w:t>
            </w:r>
          </w:p>
        </w:tc>
        <w:tc>
          <w:tcPr>
            <w:tcW w:w="1361" w:type="dxa"/>
            <w:vAlign w:val="center"/>
          </w:tcPr>
          <w:p w14:paraId="17D7B54E">
            <w:pPr>
              <w:pStyle w:val="11"/>
            </w:pPr>
            <w:r>
              <w:t>3</w:t>
            </w:r>
          </w:p>
        </w:tc>
        <w:tc>
          <w:tcPr>
            <w:tcW w:w="1361" w:type="dxa"/>
            <w:vAlign w:val="center"/>
          </w:tcPr>
          <w:p w14:paraId="5CE96C90">
            <w:pPr>
              <w:pStyle w:val="11"/>
            </w:pPr>
            <w:r>
              <w:t>4</w:t>
            </w:r>
          </w:p>
        </w:tc>
        <w:tc>
          <w:tcPr>
            <w:tcW w:w="1361" w:type="dxa"/>
            <w:vAlign w:val="center"/>
          </w:tcPr>
          <w:p w14:paraId="11FAA07C">
            <w:pPr>
              <w:pStyle w:val="11"/>
            </w:pPr>
            <w:r>
              <w:t>5</w:t>
            </w:r>
          </w:p>
        </w:tc>
        <w:tc>
          <w:tcPr>
            <w:tcW w:w="1361" w:type="dxa"/>
            <w:vAlign w:val="center"/>
          </w:tcPr>
          <w:p w14:paraId="4E0E7F31">
            <w:pPr>
              <w:pStyle w:val="11"/>
            </w:pPr>
            <w:r>
              <w:t>6</w:t>
            </w:r>
          </w:p>
        </w:tc>
        <w:tc>
          <w:tcPr>
            <w:tcW w:w="1361" w:type="dxa"/>
            <w:vAlign w:val="center"/>
          </w:tcPr>
          <w:p w14:paraId="7B20EDCD">
            <w:pPr>
              <w:pStyle w:val="11"/>
            </w:pPr>
            <w:r>
              <w:t>7</w:t>
            </w:r>
          </w:p>
        </w:tc>
        <w:tc>
          <w:tcPr>
            <w:tcW w:w="1361" w:type="dxa"/>
            <w:vAlign w:val="center"/>
          </w:tcPr>
          <w:p w14:paraId="45155D77">
            <w:pPr>
              <w:pStyle w:val="11"/>
            </w:pPr>
            <w:r>
              <w:t>8</w:t>
            </w:r>
          </w:p>
        </w:tc>
      </w:tr>
      <w:tr w14:paraId="5F4B9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1DB21">
            <w:pPr>
              <w:pStyle w:val="12"/>
            </w:pPr>
            <w:r>
              <w:t>1</w:t>
            </w:r>
          </w:p>
        </w:tc>
        <w:tc>
          <w:tcPr>
            <w:tcW w:w="992" w:type="dxa"/>
            <w:vAlign w:val="center"/>
          </w:tcPr>
          <w:p w14:paraId="3DA8A834">
            <w:pPr>
              <w:pStyle w:val="17"/>
            </w:pPr>
          </w:p>
        </w:tc>
        <w:tc>
          <w:tcPr>
            <w:tcW w:w="4535" w:type="dxa"/>
            <w:vAlign w:val="center"/>
          </w:tcPr>
          <w:p w14:paraId="66D1A71C">
            <w:pPr>
              <w:pStyle w:val="15"/>
            </w:pPr>
            <w:r>
              <w:t>合计</w:t>
            </w:r>
          </w:p>
        </w:tc>
        <w:tc>
          <w:tcPr>
            <w:tcW w:w="1361" w:type="dxa"/>
            <w:vAlign w:val="center"/>
          </w:tcPr>
          <w:p w14:paraId="0B55DE7F">
            <w:pPr>
              <w:pStyle w:val="16"/>
            </w:pPr>
            <w:r>
              <w:t>2008.85</w:t>
            </w:r>
          </w:p>
        </w:tc>
        <w:tc>
          <w:tcPr>
            <w:tcW w:w="1361" w:type="dxa"/>
            <w:vAlign w:val="center"/>
          </w:tcPr>
          <w:p w14:paraId="1EC010A7">
            <w:pPr>
              <w:pStyle w:val="16"/>
            </w:pPr>
            <w:r>
              <w:t>1661.66</w:t>
            </w:r>
          </w:p>
        </w:tc>
        <w:tc>
          <w:tcPr>
            <w:tcW w:w="1361" w:type="dxa"/>
            <w:vAlign w:val="center"/>
          </w:tcPr>
          <w:p w14:paraId="74AEACC0">
            <w:pPr>
              <w:pStyle w:val="16"/>
            </w:pPr>
            <w:r>
              <w:t>347.18</w:t>
            </w:r>
          </w:p>
        </w:tc>
        <w:tc>
          <w:tcPr>
            <w:tcW w:w="1361" w:type="dxa"/>
            <w:vAlign w:val="center"/>
          </w:tcPr>
          <w:p w14:paraId="630F11DF">
            <w:pPr>
              <w:pStyle w:val="16"/>
            </w:pPr>
          </w:p>
        </w:tc>
        <w:tc>
          <w:tcPr>
            <w:tcW w:w="1361" w:type="dxa"/>
            <w:vAlign w:val="center"/>
          </w:tcPr>
          <w:p w14:paraId="4C258EE5">
            <w:pPr>
              <w:pStyle w:val="16"/>
            </w:pPr>
          </w:p>
        </w:tc>
        <w:tc>
          <w:tcPr>
            <w:tcW w:w="1361" w:type="dxa"/>
            <w:vAlign w:val="center"/>
          </w:tcPr>
          <w:p w14:paraId="7B7E4EC4">
            <w:pPr>
              <w:pStyle w:val="16"/>
            </w:pPr>
          </w:p>
        </w:tc>
      </w:tr>
      <w:tr w14:paraId="20A4C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B9254">
            <w:pPr>
              <w:pStyle w:val="12"/>
            </w:pPr>
            <w:r>
              <w:t>2</w:t>
            </w:r>
          </w:p>
        </w:tc>
        <w:tc>
          <w:tcPr>
            <w:tcW w:w="992" w:type="dxa"/>
            <w:vAlign w:val="center"/>
          </w:tcPr>
          <w:p w14:paraId="067834A7">
            <w:pPr>
              <w:pStyle w:val="13"/>
            </w:pPr>
            <w:r>
              <w:t>205</w:t>
            </w:r>
          </w:p>
        </w:tc>
        <w:tc>
          <w:tcPr>
            <w:tcW w:w="4535" w:type="dxa"/>
            <w:vAlign w:val="center"/>
          </w:tcPr>
          <w:p w14:paraId="2B5A2C6D">
            <w:pPr>
              <w:pStyle w:val="13"/>
            </w:pPr>
            <w:r>
              <w:t>教育支出</w:t>
            </w:r>
          </w:p>
        </w:tc>
        <w:tc>
          <w:tcPr>
            <w:tcW w:w="1361" w:type="dxa"/>
            <w:vAlign w:val="center"/>
          </w:tcPr>
          <w:p w14:paraId="0A97D042">
            <w:pPr>
              <w:pStyle w:val="14"/>
            </w:pPr>
            <w:r>
              <w:t>2008.85</w:t>
            </w:r>
          </w:p>
        </w:tc>
        <w:tc>
          <w:tcPr>
            <w:tcW w:w="1361" w:type="dxa"/>
            <w:vAlign w:val="center"/>
          </w:tcPr>
          <w:p w14:paraId="5E81E920">
            <w:pPr>
              <w:pStyle w:val="14"/>
            </w:pPr>
            <w:r>
              <w:t>1661.66</w:t>
            </w:r>
          </w:p>
        </w:tc>
        <w:tc>
          <w:tcPr>
            <w:tcW w:w="1361" w:type="dxa"/>
            <w:vAlign w:val="center"/>
          </w:tcPr>
          <w:p w14:paraId="1D6523F3">
            <w:pPr>
              <w:pStyle w:val="14"/>
            </w:pPr>
            <w:r>
              <w:t>347.18</w:t>
            </w:r>
          </w:p>
        </w:tc>
        <w:tc>
          <w:tcPr>
            <w:tcW w:w="1361" w:type="dxa"/>
            <w:vAlign w:val="center"/>
          </w:tcPr>
          <w:p w14:paraId="2CDD406D">
            <w:pPr>
              <w:pStyle w:val="14"/>
            </w:pPr>
          </w:p>
        </w:tc>
        <w:tc>
          <w:tcPr>
            <w:tcW w:w="1361" w:type="dxa"/>
            <w:vAlign w:val="center"/>
          </w:tcPr>
          <w:p w14:paraId="55A78AFB">
            <w:pPr>
              <w:pStyle w:val="14"/>
            </w:pPr>
          </w:p>
        </w:tc>
        <w:tc>
          <w:tcPr>
            <w:tcW w:w="1361" w:type="dxa"/>
            <w:vAlign w:val="center"/>
          </w:tcPr>
          <w:p w14:paraId="6AEC91F9">
            <w:pPr>
              <w:pStyle w:val="14"/>
            </w:pPr>
          </w:p>
        </w:tc>
      </w:tr>
      <w:tr w14:paraId="662E7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F3F88DC">
            <w:pPr>
              <w:pStyle w:val="12"/>
            </w:pPr>
            <w:r>
              <w:t>3</w:t>
            </w:r>
          </w:p>
        </w:tc>
        <w:tc>
          <w:tcPr>
            <w:tcW w:w="992" w:type="dxa"/>
            <w:vAlign w:val="center"/>
          </w:tcPr>
          <w:p w14:paraId="1B0D7100">
            <w:pPr>
              <w:pStyle w:val="13"/>
            </w:pPr>
            <w:r>
              <w:t>20502</w:t>
            </w:r>
          </w:p>
        </w:tc>
        <w:tc>
          <w:tcPr>
            <w:tcW w:w="4535" w:type="dxa"/>
            <w:vAlign w:val="center"/>
          </w:tcPr>
          <w:p w14:paraId="31292277">
            <w:pPr>
              <w:pStyle w:val="13"/>
            </w:pPr>
            <w:r>
              <w:t>普通教育</w:t>
            </w:r>
          </w:p>
        </w:tc>
        <w:tc>
          <w:tcPr>
            <w:tcW w:w="1361" w:type="dxa"/>
            <w:vAlign w:val="center"/>
          </w:tcPr>
          <w:p w14:paraId="403AAD99">
            <w:pPr>
              <w:pStyle w:val="14"/>
            </w:pPr>
            <w:r>
              <w:t>2008.85</w:t>
            </w:r>
          </w:p>
        </w:tc>
        <w:tc>
          <w:tcPr>
            <w:tcW w:w="1361" w:type="dxa"/>
            <w:vAlign w:val="center"/>
          </w:tcPr>
          <w:p w14:paraId="6A18753A">
            <w:pPr>
              <w:pStyle w:val="14"/>
            </w:pPr>
            <w:r>
              <w:t>1661.66</w:t>
            </w:r>
          </w:p>
        </w:tc>
        <w:tc>
          <w:tcPr>
            <w:tcW w:w="1361" w:type="dxa"/>
            <w:vAlign w:val="center"/>
          </w:tcPr>
          <w:p w14:paraId="54832EDB">
            <w:pPr>
              <w:pStyle w:val="14"/>
            </w:pPr>
            <w:r>
              <w:t>347.18</w:t>
            </w:r>
          </w:p>
        </w:tc>
        <w:tc>
          <w:tcPr>
            <w:tcW w:w="1361" w:type="dxa"/>
            <w:vAlign w:val="center"/>
          </w:tcPr>
          <w:p w14:paraId="7EE39B72">
            <w:pPr>
              <w:pStyle w:val="14"/>
            </w:pPr>
          </w:p>
        </w:tc>
        <w:tc>
          <w:tcPr>
            <w:tcW w:w="1361" w:type="dxa"/>
            <w:vAlign w:val="center"/>
          </w:tcPr>
          <w:p w14:paraId="6BA13153">
            <w:pPr>
              <w:pStyle w:val="14"/>
            </w:pPr>
          </w:p>
        </w:tc>
        <w:tc>
          <w:tcPr>
            <w:tcW w:w="1361" w:type="dxa"/>
            <w:vAlign w:val="center"/>
          </w:tcPr>
          <w:p w14:paraId="5596EC88">
            <w:pPr>
              <w:pStyle w:val="14"/>
            </w:pPr>
          </w:p>
        </w:tc>
      </w:tr>
      <w:tr w14:paraId="32EA0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FB09340">
            <w:pPr>
              <w:pStyle w:val="12"/>
            </w:pPr>
            <w:r>
              <w:t>4</w:t>
            </w:r>
          </w:p>
        </w:tc>
        <w:tc>
          <w:tcPr>
            <w:tcW w:w="992" w:type="dxa"/>
            <w:vAlign w:val="center"/>
          </w:tcPr>
          <w:p w14:paraId="7892253E">
            <w:pPr>
              <w:pStyle w:val="13"/>
            </w:pPr>
            <w:r>
              <w:t>2050201</w:t>
            </w:r>
          </w:p>
        </w:tc>
        <w:tc>
          <w:tcPr>
            <w:tcW w:w="4535" w:type="dxa"/>
            <w:vAlign w:val="center"/>
          </w:tcPr>
          <w:p w14:paraId="39300EBB">
            <w:pPr>
              <w:pStyle w:val="13"/>
            </w:pPr>
            <w:r>
              <w:t>学前教育</w:t>
            </w:r>
          </w:p>
        </w:tc>
        <w:tc>
          <w:tcPr>
            <w:tcW w:w="1361" w:type="dxa"/>
            <w:vAlign w:val="center"/>
          </w:tcPr>
          <w:p w14:paraId="663EFA75">
            <w:pPr>
              <w:pStyle w:val="14"/>
            </w:pPr>
            <w:r>
              <w:t>0.30</w:t>
            </w:r>
          </w:p>
        </w:tc>
        <w:tc>
          <w:tcPr>
            <w:tcW w:w="1361" w:type="dxa"/>
            <w:vAlign w:val="center"/>
          </w:tcPr>
          <w:p w14:paraId="12DAF177">
            <w:pPr>
              <w:pStyle w:val="14"/>
            </w:pPr>
          </w:p>
        </w:tc>
        <w:tc>
          <w:tcPr>
            <w:tcW w:w="1361" w:type="dxa"/>
            <w:vAlign w:val="center"/>
          </w:tcPr>
          <w:p w14:paraId="3413BBFA">
            <w:pPr>
              <w:pStyle w:val="14"/>
            </w:pPr>
            <w:r>
              <w:t>0.30</w:t>
            </w:r>
          </w:p>
        </w:tc>
        <w:tc>
          <w:tcPr>
            <w:tcW w:w="1361" w:type="dxa"/>
            <w:vAlign w:val="center"/>
          </w:tcPr>
          <w:p w14:paraId="1BA111F4">
            <w:pPr>
              <w:pStyle w:val="14"/>
            </w:pPr>
          </w:p>
        </w:tc>
        <w:tc>
          <w:tcPr>
            <w:tcW w:w="1361" w:type="dxa"/>
            <w:vAlign w:val="center"/>
          </w:tcPr>
          <w:p w14:paraId="029531A4">
            <w:pPr>
              <w:pStyle w:val="14"/>
            </w:pPr>
          </w:p>
        </w:tc>
        <w:tc>
          <w:tcPr>
            <w:tcW w:w="1361" w:type="dxa"/>
            <w:vAlign w:val="center"/>
          </w:tcPr>
          <w:p w14:paraId="5CB105A5">
            <w:pPr>
              <w:pStyle w:val="14"/>
            </w:pPr>
          </w:p>
        </w:tc>
      </w:tr>
      <w:tr w14:paraId="51A6F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5BA10">
            <w:pPr>
              <w:pStyle w:val="12"/>
            </w:pPr>
            <w:r>
              <w:t>5</w:t>
            </w:r>
          </w:p>
        </w:tc>
        <w:tc>
          <w:tcPr>
            <w:tcW w:w="992" w:type="dxa"/>
            <w:vAlign w:val="center"/>
          </w:tcPr>
          <w:p w14:paraId="262CD401">
            <w:pPr>
              <w:pStyle w:val="13"/>
            </w:pPr>
            <w:r>
              <w:t>2050202</w:t>
            </w:r>
          </w:p>
        </w:tc>
        <w:tc>
          <w:tcPr>
            <w:tcW w:w="4535" w:type="dxa"/>
            <w:vAlign w:val="center"/>
          </w:tcPr>
          <w:p w14:paraId="62794F40">
            <w:pPr>
              <w:pStyle w:val="13"/>
            </w:pPr>
            <w:r>
              <w:t>小学教育</w:t>
            </w:r>
          </w:p>
        </w:tc>
        <w:tc>
          <w:tcPr>
            <w:tcW w:w="1361" w:type="dxa"/>
            <w:vAlign w:val="center"/>
          </w:tcPr>
          <w:p w14:paraId="6C7F28FF">
            <w:pPr>
              <w:pStyle w:val="14"/>
            </w:pPr>
            <w:r>
              <w:t>2008.55</w:t>
            </w:r>
          </w:p>
        </w:tc>
        <w:tc>
          <w:tcPr>
            <w:tcW w:w="1361" w:type="dxa"/>
            <w:vAlign w:val="center"/>
          </w:tcPr>
          <w:p w14:paraId="451AB06B">
            <w:pPr>
              <w:pStyle w:val="14"/>
            </w:pPr>
            <w:r>
              <w:t>1661.66</w:t>
            </w:r>
          </w:p>
        </w:tc>
        <w:tc>
          <w:tcPr>
            <w:tcW w:w="1361" w:type="dxa"/>
            <w:vAlign w:val="center"/>
          </w:tcPr>
          <w:p w14:paraId="4A04228A">
            <w:pPr>
              <w:pStyle w:val="14"/>
            </w:pPr>
            <w:r>
              <w:t>346.88</w:t>
            </w:r>
          </w:p>
        </w:tc>
        <w:tc>
          <w:tcPr>
            <w:tcW w:w="1361" w:type="dxa"/>
            <w:vAlign w:val="center"/>
          </w:tcPr>
          <w:p w14:paraId="0F006C10">
            <w:pPr>
              <w:pStyle w:val="14"/>
            </w:pPr>
          </w:p>
        </w:tc>
        <w:tc>
          <w:tcPr>
            <w:tcW w:w="1361" w:type="dxa"/>
            <w:vAlign w:val="center"/>
          </w:tcPr>
          <w:p w14:paraId="7FCBA2C3">
            <w:pPr>
              <w:pStyle w:val="14"/>
            </w:pPr>
          </w:p>
        </w:tc>
        <w:tc>
          <w:tcPr>
            <w:tcW w:w="1361" w:type="dxa"/>
            <w:vAlign w:val="center"/>
          </w:tcPr>
          <w:p w14:paraId="639DFBAA">
            <w:pPr>
              <w:pStyle w:val="14"/>
            </w:pPr>
          </w:p>
        </w:tc>
      </w:tr>
    </w:tbl>
    <w:p w14:paraId="26F0666F">
      <w:pPr>
        <w:sectPr>
          <w:pgSz w:w="16840" w:h="11900" w:orient="landscape"/>
          <w:pgMar w:top="1361" w:right="1020" w:bottom="1134" w:left="1020" w:header="720" w:footer="720" w:gutter="0"/>
          <w:cols w:space="720" w:num="1"/>
        </w:sectPr>
      </w:pPr>
    </w:p>
    <w:p w14:paraId="05512C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813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794CF2">
            <w:pPr>
              <w:pStyle w:val="8"/>
            </w:pPr>
            <w:r>
              <w:t>360013隆尧县实验小学</w:t>
            </w:r>
          </w:p>
        </w:tc>
        <w:tc>
          <w:tcPr>
            <w:tcW w:w="3402" w:type="dxa"/>
            <w:tcBorders>
              <w:top w:val="single" w:color="FFFFFF" w:sz="6" w:space="0"/>
              <w:left w:val="single" w:color="FFFFFF" w:sz="6" w:space="0"/>
              <w:right w:val="single" w:color="FFFFFF" w:sz="6" w:space="0"/>
            </w:tcBorders>
            <w:vAlign w:val="center"/>
          </w:tcPr>
          <w:p w14:paraId="14F61EE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B053830">
            <w:pPr>
              <w:pStyle w:val="10"/>
            </w:pPr>
            <w:r>
              <w:t>单位：万元</w:t>
            </w:r>
          </w:p>
        </w:tc>
      </w:tr>
      <w:tr w14:paraId="77402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8A627">
            <w:pPr>
              <w:pStyle w:val="11"/>
            </w:pPr>
            <w:r>
              <w:t>序号</w:t>
            </w:r>
          </w:p>
        </w:tc>
        <w:tc>
          <w:tcPr>
            <w:tcW w:w="4876" w:type="dxa"/>
            <w:gridSpan w:val="2"/>
            <w:vAlign w:val="center"/>
          </w:tcPr>
          <w:p w14:paraId="739CC2FF">
            <w:pPr>
              <w:pStyle w:val="11"/>
            </w:pPr>
            <w:r>
              <w:t>收入</w:t>
            </w:r>
          </w:p>
        </w:tc>
        <w:tc>
          <w:tcPr>
            <w:tcW w:w="9298" w:type="dxa"/>
            <w:gridSpan w:val="5"/>
            <w:vAlign w:val="center"/>
          </w:tcPr>
          <w:p w14:paraId="69F6B48B">
            <w:pPr>
              <w:pStyle w:val="11"/>
            </w:pPr>
            <w:r>
              <w:t>支出</w:t>
            </w:r>
          </w:p>
        </w:tc>
      </w:tr>
      <w:tr w14:paraId="62F06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90871A"/>
        </w:tc>
        <w:tc>
          <w:tcPr>
            <w:tcW w:w="3402" w:type="dxa"/>
            <w:vAlign w:val="center"/>
          </w:tcPr>
          <w:p w14:paraId="345BEDAA">
            <w:pPr>
              <w:pStyle w:val="11"/>
            </w:pPr>
            <w:r>
              <w:t>项  目</w:t>
            </w:r>
          </w:p>
        </w:tc>
        <w:tc>
          <w:tcPr>
            <w:tcW w:w="1474" w:type="dxa"/>
            <w:vAlign w:val="center"/>
          </w:tcPr>
          <w:p w14:paraId="22A39DD5">
            <w:pPr>
              <w:pStyle w:val="11"/>
            </w:pPr>
            <w:r>
              <w:t>金额</w:t>
            </w:r>
          </w:p>
        </w:tc>
        <w:tc>
          <w:tcPr>
            <w:tcW w:w="3402" w:type="dxa"/>
            <w:vAlign w:val="center"/>
          </w:tcPr>
          <w:p w14:paraId="48671D9C">
            <w:pPr>
              <w:pStyle w:val="11"/>
            </w:pPr>
            <w:r>
              <w:t>项  目</w:t>
            </w:r>
          </w:p>
        </w:tc>
        <w:tc>
          <w:tcPr>
            <w:tcW w:w="1474" w:type="dxa"/>
            <w:vAlign w:val="center"/>
          </w:tcPr>
          <w:p w14:paraId="4324C1D1">
            <w:pPr>
              <w:pStyle w:val="11"/>
            </w:pPr>
            <w:r>
              <w:t>合计</w:t>
            </w:r>
          </w:p>
        </w:tc>
        <w:tc>
          <w:tcPr>
            <w:tcW w:w="1474" w:type="dxa"/>
            <w:vAlign w:val="center"/>
          </w:tcPr>
          <w:p w14:paraId="7AC17E04">
            <w:pPr>
              <w:pStyle w:val="11"/>
            </w:pPr>
            <w:r>
              <w:t>一般公共预算财政拨款</w:t>
            </w:r>
          </w:p>
        </w:tc>
        <w:tc>
          <w:tcPr>
            <w:tcW w:w="1474" w:type="dxa"/>
            <w:vAlign w:val="center"/>
          </w:tcPr>
          <w:p w14:paraId="1686B566">
            <w:pPr>
              <w:pStyle w:val="11"/>
            </w:pPr>
            <w:r>
              <w:t>政府性基金预算财政    拨款</w:t>
            </w:r>
          </w:p>
        </w:tc>
        <w:tc>
          <w:tcPr>
            <w:tcW w:w="1474" w:type="dxa"/>
            <w:vAlign w:val="center"/>
          </w:tcPr>
          <w:p w14:paraId="46BC95AB">
            <w:pPr>
              <w:pStyle w:val="11"/>
            </w:pPr>
            <w:r>
              <w:t>国有资本经营预算财政拨款</w:t>
            </w:r>
          </w:p>
        </w:tc>
      </w:tr>
      <w:tr w14:paraId="5DFF8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3C4849">
            <w:pPr>
              <w:pStyle w:val="11"/>
            </w:pPr>
            <w:r>
              <w:t>栏次</w:t>
            </w:r>
          </w:p>
        </w:tc>
        <w:tc>
          <w:tcPr>
            <w:tcW w:w="3402" w:type="dxa"/>
            <w:vAlign w:val="center"/>
          </w:tcPr>
          <w:p w14:paraId="3E3886E3">
            <w:pPr>
              <w:pStyle w:val="11"/>
            </w:pPr>
            <w:r>
              <w:t>1</w:t>
            </w:r>
          </w:p>
        </w:tc>
        <w:tc>
          <w:tcPr>
            <w:tcW w:w="1474" w:type="dxa"/>
            <w:vAlign w:val="center"/>
          </w:tcPr>
          <w:p w14:paraId="303FA956">
            <w:pPr>
              <w:pStyle w:val="11"/>
            </w:pPr>
            <w:r>
              <w:t>2</w:t>
            </w:r>
          </w:p>
        </w:tc>
        <w:tc>
          <w:tcPr>
            <w:tcW w:w="3402" w:type="dxa"/>
            <w:vAlign w:val="center"/>
          </w:tcPr>
          <w:p w14:paraId="4F17377D">
            <w:pPr>
              <w:pStyle w:val="11"/>
            </w:pPr>
            <w:r>
              <w:t>3</w:t>
            </w:r>
          </w:p>
        </w:tc>
        <w:tc>
          <w:tcPr>
            <w:tcW w:w="1474" w:type="dxa"/>
            <w:vAlign w:val="center"/>
          </w:tcPr>
          <w:p w14:paraId="24150B27">
            <w:pPr>
              <w:pStyle w:val="11"/>
            </w:pPr>
            <w:r>
              <w:t>4</w:t>
            </w:r>
          </w:p>
        </w:tc>
        <w:tc>
          <w:tcPr>
            <w:tcW w:w="1474" w:type="dxa"/>
            <w:vAlign w:val="center"/>
          </w:tcPr>
          <w:p w14:paraId="38875B50">
            <w:pPr>
              <w:pStyle w:val="11"/>
            </w:pPr>
            <w:r>
              <w:t>5</w:t>
            </w:r>
          </w:p>
        </w:tc>
        <w:tc>
          <w:tcPr>
            <w:tcW w:w="1474" w:type="dxa"/>
            <w:vAlign w:val="center"/>
          </w:tcPr>
          <w:p w14:paraId="31441F37">
            <w:pPr>
              <w:pStyle w:val="11"/>
            </w:pPr>
            <w:r>
              <w:t>6</w:t>
            </w:r>
          </w:p>
        </w:tc>
        <w:tc>
          <w:tcPr>
            <w:tcW w:w="1474" w:type="dxa"/>
            <w:vAlign w:val="center"/>
          </w:tcPr>
          <w:p w14:paraId="2DE0C680">
            <w:pPr>
              <w:pStyle w:val="11"/>
            </w:pPr>
            <w:r>
              <w:t>7</w:t>
            </w:r>
          </w:p>
        </w:tc>
      </w:tr>
      <w:tr w14:paraId="4B95F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A4672">
            <w:pPr>
              <w:pStyle w:val="12"/>
            </w:pPr>
            <w:r>
              <w:t>1</w:t>
            </w:r>
          </w:p>
        </w:tc>
        <w:tc>
          <w:tcPr>
            <w:tcW w:w="3402" w:type="dxa"/>
            <w:vAlign w:val="center"/>
          </w:tcPr>
          <w:p w14:paraId="3C8C2B0C">
            <w:pPr>
              <w:pStyle w:val="13"/>
            </w:pPr>
            <w:r>
              <w:t>一、一般公共预算拨款</w:t>
            </w:r>
          </w:p>
        </w:tc>
        <w:tc>
          <w:tcPr>
            <w:tcW w:w="1474" w:type="dxa"/>
            <w:vAlign w:val="center"/>
          </w:tcPr>
          <w:p w14:paraId="43C68D09">
            <w:pPr>
              <w:pStyle w:val="14"/>
            </w:pPr>
            <w:r>
              <w:t>2008.85</w:t>
            </w:r>
          </w:p>
        </w:tc>
        <w:tc>
          <w:tcPr>
            <w:tcW w:w="3402" w:type="dxa"/>
            <w:vAlign w:val="center"/>
          </w:tcPr>
          <w:p w14:paraId="603755FC">
            <w:pPr>
              <w:pStyle w:val="13"/>
            </w:pPr>
            <w:r>
              <w:t>一、一般公共服务支出</w:t>
            </w:r>
          </w:p>
        </w:tc>
        <w:tc>
          <w:tcPr>
            <w:tcW w:w="1474" w:type="dxa"/>
            <w:vAlign w:val="center"/>
          </w:tcPr>
          <w:p w14:paraId="461C6BBE">
            <w:pPr>
              <w:pStyle w:val="14"/>
            </w:pPr>
          </w:p>
        </w:tc>
        <w:tc>
          <w:tcPr>
            <w:tcW w:w="1474" w:type="dxa"/>
            <w:vAlign w:val="center"/>
          </w:tcPr>
          <w:p w14:paraId="5FDDD219">
            <w:pPr>
              <w:pStyle w:val="14"/>
            </w:pPr>
          </w:p>
        </w:tc>
        <w:tc>
          <w:tcPr>
            <w:tcW w:w="1474" w:type="dxa"/>
            <w:vAlign w:val="center"/>
          </w:tcPr>
          <w:p w14:paraId="40E5C22C">
            <w:pPr>
              <w:pStyle w:val="14"/>
            </w:pPr>
          </w:p>
        </w:tc>
        <w:tc>
          <w:tcPr>
            <w:tcW w:w="1474" w:type="dxa"/>
            <w:vAlign w:val="center"/>
          </w:tcPr>
          <w:p w14:paraId="78E48C16">
            <w:pPr>
              <w:pStyle w:val="14"/>
            </w:pPr>
          </w:p>
        </w:tc>
      </w:tr>
      <w:tr w14:paraId="65280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69015">
            <w:pPr>
              <w:pStyle w:val="12"/>
            </w:pPr>
            <w:r>
              <w:t>2</w:t>
            </w:r>
          </w:p>
        </w:tc>
        <w:tc>
          <w:tcPr>
            <w:tcW w:w="3402" w:type="dxa"/>
            <w:vAlign w:val="center"/>
          </w:tcPr>
          <w:p w14:paraId="2B95C6AB">
            <w:pPr>
              <w:pStyle w:val="13"/>
            </w:pPr>
            <w:r>
              <w:t>二、政府性基金预算拨款</w:t>
            </w:r>
          </w:p>
        </w:tc>
        <w:tc>
          <w:tcPr>
            <w:tcW w:w="1474" w:type="dxa"/>
            <w:vAlign w:val="center"/>
          </w:tcPr>
          <w:p w14:paraId="367C163E">
            <w:pPr>
              <w:pStyle w:val="14"/>
            </w:pPr>
          </w:p>
        </w:tc>
        <w:tc>
          <w:tcPr>
            <w:tcW w:w="3402" w:type="dxa"/>
            <w:vAlign w:val="center"/>
          </w:tcPr>
          <w:p w14:paraId="54270312">
            <w:pPr>
              <w:pStyle w:val="13"/>
            </w:pPr>
            <w:r>
              <w:t>二、外交支出</w:t>
            </w:r>
          </w:p>
        </w:tc>
        <w:tc>
          <w:tcPr>
            <w:tcW w:w="1474" w:type="dxa"/>
            <w:vAlign w:val="center"/>
          </w:tcPr>
          <w:p w14:paraId="23E582B2">
            <w:pPr>
              <w:pStyle w:val="14"/>
            </w:pPr>
          </w:p>
        </w:tc>
        <w:tc>
          <w:tcPr>
            <w:tcW w:w="1474" w:type="dxa"/>
            <w:vAlign w:val="center"/>
          </w:tcPr>
          <w:p w14:paraId="33A58396">
            <w:pPr>
              <w:pStyle w:val="14"/>
            </w:pPr>
          </w:p>
        </w:tc>
        <w:tc>
          <w:tcPr>
            <w:tcW w:w="1474" w:type="dxa"/>
            <w:vAlign w:val="center"/>
          </w:tcPr>
          <w:p w14:paraId="33055527">
            <w:pPr>
              <w:pStyle w:val="14"/>
            </w:pPr>
          </w:p>
        </w:tc>
        <w:tc>
          <w:tcPr>
            <w:tcW w:w="1474" w:type="dxa"/>
            <w:vAlign w:val="center"/>
          </w:tcPr>
          <w:p w14:paraId="12383D4B">
            <w:pPr>
              <w:pStyle w:val="14"/>
            </w:pPr>
          </w:p>
        </w:tc>
      </w:tr>
      <w:tr w14:paraId="67256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41479">
            <w:pPr>
              <w:pStyle w:val="12"/>
            </w:pPr>
            <w:r>
              <w:t>3</w:t>
            </w:r>
          </w:p>
        </w:tc>
        <w:tc>
          <w:tcPr>
            <w:tcW w:w="3402" w:type="dxa"/>
            <w:vAlign w:val="center"/>
          </w:tcPr>
          <w:p w14:paraId="60C17CFA">
            <w:pPr>
              <w:pStyle w:val="13"/>
            </w:pPr>
            <w:r>
              <w:t>三、国有资本经营预算拨款</w:t>
            </w:r>
          </w:p>
        </w:tc>
        <w:tc>
          <w:tcPr>
            <w:tcW w:w="1474" w:type="dxa"/>
            <w:vAlign w:val="center"/>
          </w:tcPr>
          <w:p w14:paraId="5723420F">
            <w:pPr>
              <w:pStyle w:val="14"/>
            </w:pPr>
          </w:p>
        </w:tc>
        <w:tc>
          <w:tcPr>
            <w:tcW w:w="3402" w:type="dxa"/>
            <w:vAlign w:val="center"/>
          </w:tcPr>
          <w:p w14:paraId="05F0945B">
            <w:pPr>
              <w:pStyle w:val="13"/>
            </w:pPr>
            <w:r>
              <w:t>三、国防支出</w:t>
            </w:r>
          </w:p>
        </w:tc>
        <w:tc>
          <w:tcPr>
            <w:tcW w:w="1474" w:type="dxa"/>
            <w:vAlign w:val="center"/>
          </w:tcPr>
          <w:p w14:paraId="1B5AAC31">
            <w:pPr>
              <w:pStyle w:val="14"/>
            </w:pPr>
          </w:p>
        </w:tc>
        <w:tc>
          <w:tcPr>
            <w:tcW w:w="1474" w:type="dxa"/>
            <w:vAlign w:val="center"/>
          </w:tcPr>
          <w:p w14:paraId="2F8CCE69">
            <w:pPr>
              <w:pStyle w:val="14"/>
            </w:pPr>
          </w:p>
        </w:tc>
        <w:tc>
          <w:tcPr>
            <w:tcW w:w="1474" w:type="dxa"/>
            <w:vAlign w:val="center"/>
          </w:tcPr>
          <w:p w14:paraId="45FDD98E">
            <w:pPr>
              <w:pStyle w:val="14"/>
            </w:pPr>
          </w:p>
        </w:tc>
        <w:tc>
          <w:tcPr>
            <w:tcW w:w="1474" w:type="dxa"/>
            <w:vAlign w:val="center"/>
          </w:tcPr>
          <w:p w14:paraId="1E463E8E">
            <w:pPr>
              <w:pStyle w:val="14"/>
            </w:pPr>
          </w:p>
        </w:tc>
      </w:tr>
      <w:tr w14:paraId="36532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1B4FA">
            <w:pPr>
              <w:pStyle w:val="12"/>
            </w:pPr>
            <w:r>
              <w:t>4</w:t>
            </w:r>
          </w:p>
        </w:tc>
        <w:tc>
          <w:tcPr>
            <w:tcW w:w="3402" w:type="dxa"/>
            <w:vAlign w:val="center"/>
          </w:tcPr>
          <w:p w14:paraId="395BAD63">
            <w:pPr>
              <w:pStyle w:val="13"/>
            </w:pPr>
          </w:p>
        </w:tc>
        <w:tc>
          <w:tcPr>
            <w:tcW w:w="1474" w:type="dxa"/>
            <w:vAlign w:val="center"/>
          </w:tcPr>
          <w:p w14:paraId="35744F70">
            <w:pPr>
              <w:pStyle w:val="14"/>
            </w:pPr>
          </w:p>
        </w:tc>
        <w:tc>
          <w:tcPr>
            <w:tcW w:w="3402" w:type="dxa"/>
            <w:vAlign w:val="center"/>
          </w:tcPr>
          <w:p w14:paraId="136B9937">
            <w:pPr>
              <w:pStyle w:val="13"/>
            </w:pPr>
            <w:r>
              <w:t>四、公共安全支出</w:t>
            </w:r>
          </w:p>
        </w:tc>
        <w:tc>
          <w:tcPr>
            <w:tcW w:w="1474" w:type="dxa"/>
            <w:vAlign w:val="center"/>
          </w:tcPr>
          <w:p w14:paraId="12B7CE48">
            <w:pPr>
              <w:pStyle w:val="14"/>
            </w:pPr>
          </w:p>
        </w:tc>
        <w:tc>
          <w:tcPr>
            <w:tcW w:w="1474" w:type="dxa"/>
            <w:vAlign w:val="center"/>
          </w:tcPr>
          <w:p w14:paraId="322AFAFF">
            <w:pPr>
              <w:pStyle w:val="14"/>
            </w:pPr>
          </w:p>
        </w:tc>
        <w:tc>
          <w:tcPr>
            <w:tcW w:w="1474" w:type="dxa"/>
            <w:vAlign w:val="center"/>
          </w:tcPr>
          <w:p w14:paraId="390FFD53">
            <w:pPr>
              <w:pStyle w:val="14"/>
            </w:pPr>
          </w:p>
        </w:tc>
        <w:tc>
          <w:tcPr>
            <w:tcW w:w="1474" w:type="dxa"/>
            <w:vAlign w:val="center"/>
          </w:tcPr>
          <w:p w14:paraId="3F369A79">
            <w:pPr>
              <w:pStyle w:val="14"/>
            </w:pPr>
          </w:p>
        </w:tc>
      </w:tr>
      <w:tr w14:paraId="65BF1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106F3">
            <w:pPr>
              <w:pStyle w:val="12"/>
            </w:pPr>
            <w:r>
              <w:t>5</w:t>
            </w:r>
          </w:p>
        </w:tc>
        <w:tc>
          <w:tcPr>
            <w:tcW w:w="3402" w:type="dxa"/>
            <w:vAlign w:val="center"/>
          </w:tcPr>
          <w:p w14:paraId="72C87C32">
            <w:pPr>
              <w:pStyle w:val="13"/>
            </w:pPr>
          </w:p>
        </w:tc>
        <w:tc>
          <w:tcPr>
            <w:tcW w:w="1474" w:type="dxa"/>
            <w:vAlign w:val="center"/>
          </w:tcPr>
          <w:p w14:paraId="4D868F52">
            <w:pPr>
              <w:pStyle w:val="14"/>
            </w:pPr>
          </w:p>
        </w:tc>
        <w:tc>
          <w:tcPr>
            <w:tcW w:w="3402" w:type="dxa"/>
            <w:vAlign w:val="center"/>
          </w:tcPr>
          <w:p w14:paraId="1156BD18">
            <w:pPr>
              <w:pStyle w:val="13"/>
            </w:pPr>
            <w:r>
              <w:t>五、教育支出</w:t>
            </w:r>
          </w:p>
        </w:tc>
        <w:tc>
          <w:tcPr>
            <w:tcW w:w="1474" w:type="dxa"/>
            <w:vAlign w:val="center"/>
          </w:tcPr>
          <w:p w14:paraId="4A8EC20E">
            <w:pPr>
              <w:pStyle w:val="14"/>
            </w:pPr>
            <w:r>
              <w:t>2008.85</w:t>
            </w:r>
          </w:p>
        </w:tc>
        <w:tc>
          <w:tcPr>
            <w:tcW w:w="1474" w:type="dxa"/>
            <w:vAlign w:val="center"/>
          </w:tcPr>
          <w:p w14:paraId="1D6C0447">
            <w:pPr>
              <w:pStyle w:val="14"/>
            </w:pPr>
            <w:r>
              <w:t>2008.85</w:t>
            </w:r>
          </w:p>
        </w:tc>
        <w:tc>
          <w:tcPr>
            <w:tcW w:w="1474" w:type="dxa"/>
            <w:vAlign w:val="center"/>
          </w:tcPr>
          <w:p w14:paraId="1A2A5BC4">
            <w:pPr>
              <w:pStyle w:val="14"/>
            </w:pPr>
          </w:p>
        </w:tc>
        <w:tc>
          <w:tcPr>
            <w:tcW w:w="1474" w:type="dxa"/>
            <w:vAlign w:val="center"/>
          </w:tcPr>
          <w:p w14:paraId="4A88016D">
            <w:pPr>
              <w:pStyle w:val="14"/>
            </w:pPr>
          </w:p>
        </w:tc>
      </w:tr>
      <w:tr w14:paraId="39791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1A8B8">
            <w:pPr>
              <w:pStyle w:val="12"/>
            </w:pPr>
            <w:r>
              <w:t>6</w:t>
            </w:r>
          </w:p>
        </w:tc>
        <w:tc>
          <w:tcPr>
            <w:tcW w:w="3402" w:type="dxa"/>
            <w:vAlign w:val="center"/>
          </w:tcPr>
          <w:p w14:paraId="06D85980">
            <w:pPr>
              <w:pStyle w:val="13"/>
            </w:pPr>
          </w:p>
        </w:tc>
        <w:tc>
          <w:tcPr>
            <w:tcW w:w="1474" w:type="dxa"/>
            <w:vAlign w:val="center"/>
          </w:tcPr>
          <w:p w14:paraId="420F9DA8">
            <w:pPr>
              <w:pStyle w:val="14"/>
            </w:pPr>
          </w:p>
        </w:tc>
        <w:tc>
          <w:tcPr>
            <w:tcW w:w="3402" w:type="dxa"/>
            <w:vAlign w:val="center"/>
          </w:tcPr>
          <w:p w14:paraId="17354E43">
            <w:pPr>
              <w:pStyle w:val="13"/>
            </w:pPr>
            <w:r>
              <w:t>六、科学技术支出</w:t>
            </w:r>
          </w:p>
        </w:tc>
        <w:tc>
          <w:tcPr>
            <w:tcW w:w="1474" w:type="dxa"/>
            <w:vAlign w:val="center"/>
          </w:tcPr>
          <w:p w14:paraId="6AC9E203">
            <w:pPr>
              <w:pStyle w:val="14"/>
            </w:pPr>
          </w:p>
        </w:tc>
        <w:tc>
          <w:tcPr>
            <w:tcW w:w="1474" w:type="dxa"/>
            <w:vAlign w:val="center"/>
          </w:tcPr>
          <w:p w14:paraId="621A8C69">
            <w:pPr>
              <w:pStyle w:val="14"/>
            </w:pPr>
          </w:p>
        </w:tc>
        <w:tc>
          <w:tcPr>
            <w:tcW w:w="1474" w:type="dxa"/>
            <w:vAlign w:val="center"/>
          </w:tcPr>
          <w:p w14:paraId="48CBB82F">
            <w:pPr>
              <w:pStyle w:val="14"/>
            </w:pPr>
          </w:p>
        </w:tc>
        <w:tc>
          <w:tcPr>
            <w:tcW w:w="1474" w:type="dxa"/>
            <w:vAlign w:val="center"/>
          </w:tcPr>
          <w:p w14:paraId="703AF8B8">
            <w:pPr>
              <w:pStyle w:val="14"/>
            </w:pPr>
          </w:p>
        </w:tc>
      </w:tr>
      <w:tr w14:paraId="04845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64952">
            <w:pPr>
              <w:pStyle w:val="12"/>
            </w:pPr>
            <w:r>
              <w:t>7</w:t>
            </w:r>
          </w:p>
        </w:tc>
        <w:tc>
          <w:tcPr>
            <w:tcW w:w="3402" w:type="dxa"/>
            <w:vAlign w:val="center"/>
          </w:tcPr>
          <w:p w14:paraId="7BAF416A">
            <w:pPr>
              <w:pStyle w:val="13"/>
            </w:pPr>
          </w:p>
        </w:tc>
        <w:tc>
          <w:tcPr>
            <w:tcW w:w="1474" w:type="dxa"/>
            <w:vAlign w:val="center"/>
          </w:tcPr>
          <w:p w14:paraId="670CF053">
            <w:pPr>
              <w:pStyle w:val="14"/>
            </w:pPr>
          </w:p>
        </w:tc>
        <w:tc>
          <w:tcPr>
            <w:tcW w:w="3402" w:type="dxa"/>
            <w:vAlign w:val="center"/>
          </w:tcPr>
          <w:p w14:paraId="787B3A6C">
            <w:pPr>
              <w:pStyle w:val="13"/>
            </w:pPr>
            <w:r>
              <w:t>七、文化旅游体育与传媒支出</w:t>
            </w:r>
          </w:p>
        </w:tc>
        <w:tc>
          <w:tcPr>
            <w:tcW w:w="1474" w:type="dxa"/>
            <w:vAlign w:val="center"/>
          </w:tcPr>
          <w:p w14:paraId="7763640A">
            <w:pPr>
              <w:pStyle w:val="14"/>
            </w:pPr>
          </w:p>
        </w:tc>
        <w:tc>
          <w:tcPr>
            <w:tcW w:w="1474" w:type="dxa"/>
            <w:vAlign w:val="center"/>
          </w:tcPr>
          <w:p w14:paraId="66CCABB2">
            <w:pPr>
              <w:pStyle w:val="14"/>
            </w:pPr>
          </w:p>
        </w:tc>
        <w:tc>
          <w:tcPr>
            <w:tcW w:w="1474" w:type="dxa"/>
            <w:vAlign w:val="center"/>
          </w:tcPr>
          <w:p w14:paraId="612FE9D0">
            <w:pPr>
              <w:pStyle w:val="14"/>
            </w:pPr>
          </w:p>
        </w:tc>
        <w:tc>
          <w:tcPr>
            <w:tcW w:w="1474" w:type="dxa"/>
            <w:vAlign w:val="center"/>
          </w:tcPr>
          <w:p w14:paraId="47CE5DEF">
            <w:pPr>
              <w:pStyle w:val="14"/>
            </w:pPr>
          </w:p>
        </w:tc>
      </w:tr>
      <w:tr w14:paraId="39C8B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E608F">
            <w:pPr>
              <w:pStyle w:val="12"/>
            </w:pPr>
            <w:r>
              <w:t>8</w:t>
            </w:r>
          </w:p>
        </w:tc>
        <w:tc>
          <w:tcPr>
            <w:tcW w:w="3402" w:type="dxa"/>
            <w:vAlign w:val="center"/>
          </w:tcPr>
          <w:p w14:paraId="17CD2D2F">
            <w:pPr>
              <w:pStyle w:val="13"/>
            </w:pPr>
          </w:p>
        </w:tc>
        <w:tc>
          <w:tcPr>
            <w:tcW w:w="1474" w:type="dxa"/>
            <w:vAlign w:val="center"/>
          </w:tcPr>
          <w:p w14:paraId="6242D9F5">
            <w:pPr>
              <w:pStyle w:val="14"/>
            </w:pPr>
          </w:p>
        </w:tc>
        <w:tc>
          <w:tcPr>
            <w:tcW w:w="3402" w:type="dxa"/>
            <w:vAlign w:val="center"/>
          </w:tcPr>
          <w:p w14:paraId="414C3C6A">
            <w:pPr>
              <w:pStyle w:val="13"/>
            </w:pPr>
            <w:r>
              <w:t>八、社会保障和就业支出</w:t>
            </w:r>
          </w:p>
        </w:tc>
        <w:tc>
          <w:tcPr>
            <w:tcW w:w="1474" w:type="dxa"/>
            <w:vAlign w:val="center"/>
          </w:tcPr>
          <w:p w14:paraId="0D5F26C3">
            <w:pPr>
              <w:pStyle w:val="14"/>
            </w:pPr>
          </w:p>
        </w:tc>
        <w:tc>
          <w:tcPr>
            <w:tcW w:w="1474" w:type="dxa"/>
            <w:vAlign w:val="center"/>
          </w:tcPr>
          <w:p w14:paraId="137B0E7B">
            <w:pPr>
              <w:pStyle w:val="14"/>
            </w:pPr>
          </w:p>
        </w:tc>
        <w:tc>
          <w:tcPr>
            <w:tcW w:w="1474" w:type="dxa"/>
            <w:vAlign w:val="center"/>
          </w:tcPr>
          <w:p w14:paraId="30DC10CE">
            <w:pPr>
              <w:pStyle w:val="14"/>
            </w:pPr>
          </w:p>
        </w:tc>
        <w:tc>
          <w:tcPr>
            <w:tcW w:w="1474" w:type="dxa"/>
            <w:vAlign w:val="center"/>
          </w:tcPr>
          <w:p w14:paraId="6747EF7F">
            <w:pPr>
              <w:pStyle w:val="14"/>
            </w:pPr>
          </w:p>
        </w:tc>
      </w:tr>
      <w:tr w14:paraId="50ED7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FBA1D">
            <w:pPr>
              <w:pStyle w:val="12"/>
            </w:pPr>
            <w:r>
              <w:t>9</w:t>
            </w:r>
          </w:p>
        </w:tc>
        <w:tc>
          <w:tcPr>
            <w:tcW w:w="3402" w:type="dxa"/>
            <w:vAlign w:val="center"/>
          </w:tcPr>
          <w:p w14:paraId="4E097F5C">
            <w:pPr>
              <w:pStyle w:val="13"/>
            </w:pPr>
          </w:p>
        </w:tc>
        <w:tc>
          <w:tcPr>
            <w:tcW w:w="1474" w:type="dxa"/>
            <w:vAlign w:val="center"/>
          </w:tcPr>
          <w:p w14:paraId="592AAB89">
            <w:pPr>
              <w:pStyle w:val="14"/>
            </w:pPr>
          </w:p>
        </w:tc>
        <w:tc>
          <w:tcPr>
            <w:tcW w:w="3402" w:type="dxa"/>
            <w:vAlign w:val="center"/>
          </w:tcPr>
          <w:p w14:paraId="1851A218">
            <w:pPr>
              <w:pStyle w:val="13"/>
            </w:pPr>
            <w:r>
              <w:t>九、社会保险基金支出</w:t>
            </w:r>
          </w:p>
        </w:tc>
        <w:tc>
          <w:tcPr>
            <w:tcW w:w="1474" w:type="dxa"/>
            <w:vAlign w:val="center"/>
          </w:tcPr>
          <w:p w14:paraId="17A231A7">
            <w:pPr>
              <w:pStyle w:val="14"/>
            </w:pPr>
          </w:p>
        </w:tc>
        <w:tc>
          <w:tcPr>
            <w:tcW w:w="1474" w:type="dxa"/>
            <w:vAlign w:val="center"/>
          </w:tcPr>
          <w:p w14:paraId="1B64E392">
            <w:pPr>
              <w:pStyle w:val="14"/>
            </w:pPr>
          </w:p>
        </w:tc>
        <w:tc>
          <w:tcPr>
            <w:tcW w:w="1474" w:type="dxa"/>
            <w:vAlign w:val="center"/>
          </w:tcPr>
          <w:p w14:paraId="73D33DB2">
            <w:pPr>
              <w:pStyle w:val="14"/>
            </w:pPr>
          </w:p>
        </w:tc>
        <w:tc>
          <w:tcPr>
            <w:tcW w:w="1474" w:type="dxa"/>
            <w:vAlign w:val="center"/>
          </w:tcPr>
          <w:p w14:paraId="520E2843">
            <w:pPr>
              <w:pStyle w:val="14"/>
            </w:pPr>
          </w:p>
        </w:tc>
      </w:tr>
      <w:tr w14:paraId="11BF3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B814F">
            <w:pPr>
              <w:pStyle w:val="12"/>
            </w:pPr>
            <w:r>
              <w:t>10</w:t>
            </w:r>
          </w:p>
        </w:tc>
        <w:tc>
          <w:tcPr>
            <w:tcW w:w="3402" w:type="dxa"/>
            <w:vAlign w:val="center"/>
          </w:tcPr>
          <w:p w14:paraId="71C722DC">
            <w:pPr>
              <w:pStyle w:val="13"/>
            </w:pPr>
          </w:p>
        </w:tc>
        <w:tc>
          <w:tcPr>
            <w:tcW w:w="1474" w:type="dxa"/>
            <w:vAlign w:val="center"/>
          </w:tcPr>
          <w:p w14:paraId="7D930EA6">
            <w:pPr>
              <w:pStyle w:val="14"/>
            </w:pPr>
          </w:p>
        </w:tc>
        <w:tc>
          <w:tcPr>
            <w:tcW w:w="3402" w:type="dxa"/>
            <w:vAlign w:val="center"/>
          </w:tcPr>
          <w:p w14:paraId="221ECCE9">
            <w:pPr>
              <w:pStyle w:val="13"/>
            </w:pPr>
            <w:r>
              <w:t>十、卫生健康支出</w:t>
            </w:r>
          </w:p>
        </w:tc>
        <w:tc>
          <w:tcPr>
            <w:tcW w:w="1474" w:type="dxa"/>
            <w:vAlign w:val="center"/>
          </w:tcPr>
          <w:p w14:paraId="7690C389">
            <w:pPr>
              <w:pStyle w:val="14"/>
            </w:pPr>
          </w:p>
        </w:tc>
        <w:tc>
          <w:tcPr>
            <w:tcW w:w="1474" w:type="dxa"/>
            <w:vAlign w:val="center"/>
          </w:tcPr>
          <w:p w14:paraId="5232FBB7">
            <w:pPr>
              <w:pStyle w:val="14"/>
            </w:pPr>
          </w:p>
        </w:tc>
        <w:tc>
          <w:tcPr>
            <w:tcW w:w="1474" w:type="dxa"/>
            <w:vAlign w:val="center"/>
          </w:tcPr>
          <w:p w14:paraId="77A9A89F">
            <w:pPr>
              <w:pStyle w:val="14"/>
            </w:pPr>
          </w:p>
        </w:tc>
        <w:tc>
          <w:tcPr>
            <w:tcW w:w="1474" w:type="dxa"/>
            <w:vAlign w:val="center"/>
          </w:tcPr>
          <w:p w14:paraId="7C4760CD">
            <w:pPr>
              <w:pStyle w:val="14"/>
            </w:pPr>
          </w:p>
        </w:tc>
      </w:tr>
      <w:tr w14:paraId="72EA5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11334">
            <w:pPr>
              <w:pStyle w:val="12"/>
            </w:pPr>
            <w:r>
              <w:t>11</w:t>
            </w:r>
          </w:p>
        </w:tc>
        <w:tc>
          <w:tcPr>
            <w:tcW w:w="3402" w:type="dxa"/>
            <w:vAlign w:val="center"/>
          </w:tcPr>
          <w:p w14:paraId="1CD2167A">
            <w:pPr>
              <w:pStyle w:val="13"/>
            </w:pPr>
          </w:p>
        </w:tc>
        <w:tc>
          <w:tcPr>
            <w:tcW w:w="1474" w:type="dxa"/>
            <w:vAlign w:val="center"/>
          </w:tcPr>
          <w:p w14:paraId="3E4C75A8">
            <w:pPr>
              <w:pStyle w:val="14"/>
            </w:pPr>
          </w:p>
        </w:tc>
        <w:tc>
          <w:tcPr>
            <w:tcW w:w="3402" w:type="dxa"/>
            <w:vAlign w:val="center"/>
          </w:tcPr>
          <w:p w14:paraId="4AA04D70">
            <w:pPr>
              <w:pStyle w:val="13"/>
            </w:pPr>
            <w:r>
              <w:t>十一、节能环保支出</w:t>
            </w:r>
          </w:p>
        </w:tc>
        <w:tc>
          <w:tcPr>
            <w:tcW w:w="1474" w:type="dxa"/>
            <w:vAlign w:val="center"/>
          </w:tcPr>
          <w:p w14:paraId="0E1F6202">
            <w:pPr>
              <w:pStyle w:val="14"/>
            </w:pPr>
          </w:p>
        </w:tc>
        <w:tc>
          <w:tcPr>
            <w:tcW w:w="1474" w:type="dxa"/>
            <w:vAlign w:val="center"/>
          </w:tcPr>
          <w:p w14:paraId="177E7301">
            <w:pPr>
              <w:pStyle w:val="14"/>
            </w:pPr>
          </w:p>
        </w:tc>
        <w:tc>
          <w:tcPr>
            <w:tcW w:w="1474" w:type="dxa"/>
            <w:vAlign w:val="center"/>
          </w:tcPr>
          <w:p w14:paraId="031FC81E">
            <w:pPr>
              <w:pStyle w:val="14"/>
            </w:pPr>
          </w:p>
        </w:tc>
        <w:tc>
          <w:tcPr>
            <w:tcW w:w="1474" w:type="dxa"/>
            <w:vAlign w:val="center"/>
          </w:tcPr>
          <w:p w14:paraId="1F7BFBC4">
            <w:pPr>
              <w:pStyle w:val="14"/>
            </w:pPr>
          </w:p>
        </w:tc>
      </w:tr>
      <w:tr w14:paraId="65FC0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4D386">
            <w:pPr>
              <w:pStyle w:val="12"/>
            </w:pPr>
            <w:r>
              <w:t>12</w:t>
            </w:r>
          </w:p>
        </w:tc>
        <w:tc>
          <w:tcPr>
            <w:tcW w:w="3402" w:type="dxa"/>
            <w:vAlign w:val="center"/>
          </w:tcPr>
          <w:p w14:paraId="45759A52">
            <w:pPr>
              <w:pStyle w:val="13"/>
            </w:pPr>
          </w:p>
        </w:tc>
        <w:tc>
          <w:tcPr>
            <w:tcW w:w="1474" w:type="dxa"/>
            <w:vAlign w:val="center"/>
          </w:tcPr>
          <w:p w14:paraId="3B519D0A">
            <w:pPr>
              <w:pStyle w:val="14"/>
            </w:pPr>
          </w:p>
        </w:tc>
        <w:tc>
          <w:tcPr>
            <w:tcW w:w="3402" w:type="dxa"/>
            <w:vAlign w:val="center"/>
          </w:tcPr>
          <w:p w14:paraId="6C939096">
            <w:pPr>
              <w:pStyle w:val="13"/>
            </w:pPr>
            <w:r>
              <w:t>十二、城乡社区支出</w:t>
            </w:r>
          </w:p>
        </w:tc>
        <w:tc>
          <w:tcPr>
            <w:tcW w:w="1474" w:type="dxa"/>
            <w:vAlign w:val="center"/>
          </w:tcPr>
          <w:p w14:paraId="15CBC3D5">
            <w:pPr>
              <w:pStyle w:val="14"/>
            </w:pPr>
          </w:p>
        </w:tc>
        <w:tc>
          <w:tcPr>
            <w:tcW w:w="1474" w:type="dxa"/>
            <w:vAlign w:val="center"/>
          </w:tcPr>
          <w:p w14:paraId="52AD2A14">
            <w:pPr>
              <w:pStyle w:val="14"/>
            </w:pPr>
          </w:p>
        </w:tc>
        <w:tc>
          <w:tcPr>
            <w:tcW w:w="1474" w:type="dxa"/>
            <w:vAlign w:val="center"/>
          </w:tcPr>
          <w:p w14:paraId="31E47EEE">
            <w:pPr>
              <w:pStyle w:val="14"/>
            </w:pPr>
          </w:p>
        </w:tc>
        <w:tc>
          <w:tcPr>
            <w:tcW w:w="1474" w:type="dxa"/>
            <w:vAlign w:val="center"/>
          </w:tcPr>
          <w:p w14:paraId="2EF76225">
            <w:pPr>
              <w:pStyle w:val="14"/>
            </w:pPr>
          </w:p>
        </w:tc>
      </w:tr>
      <w:tr w14:paraId="5DC02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76DA5">
            <w:pPr>
              <w:pStyle w:val="12"/>
            </w:pPr>
            <w:r>
              <w:t>13</w:t>
            </w:r>
          </w:p>
        </w:tc>
        <w:tc>
          <w:tcPr>
            <w:tcW w:w="3402" w:type="dxa"/>
            <w:vAlign w:val="center"/>
          </w:tcPr>
          <w:p w14:paraId="7CE1D9AD">
            <w:pPr>
              <w:pStyle w:val="13"/>
            </w:pPr>
          </w:p>
        </w:tc>
        <w:tc>
          <w:tcPr>
            <w:tcW w:w="1474" w:type="dxa"/>
            <w:vAlign w:val="center"/>
          </w:tcPr>
          <w:p w14:paraId="3A83A99B">
            <w:pPr>
              <w:pStyle w:val="14"/>
            </w:pPr>
          </w:p>
        </w:tc>
        <w:tc>
          <w:tcPr>
            <w:tcW w:w="3402" w:type="dxa"/>
            <w:vAlign w:val="center"/>
          </w:tcPr>
          <w:p w14:paraId="4B8B7942">
            <w:pPr>
              <w:pStyle w:val="13"/>
            </w:pPr>
            <w:r>
              <w:t>十三、农林水支出</w:t>
            </w:r>
          </w:p>
        </w:tc>
        <w:tc>
          <w:tcPr>
            <w:tcW w:w="1474" w:type="dxa"/>
            <w:vAlign w:val="center"/>
          </w:tcPr>
          <w:p w14:paraId="754F47A5">
            <w:pPr>
              <w:pStyle w:val="14"/>
            </w:pPr>
          </w:p>
        </w:tc>
        <w:tc>
          <w:tcPr>
            <w:tcW w:w="1474" w:type="dxa"/>
            <w:vAlign w:val="center"/>
          </w:tcPr>
          <w:p w14:paraId="5D4753B8">
            <w:pPr>
              <w:pStyle w:val="14"/>
            </w:pPr>
          </w:p>
        </w:tc>
        <w:tc>
          <w:tcPr>
            <w:tcW w:w="1474" w:type="dxa"/>
            <w:vAlign w:val="center"/>
          </w:tcPr>
          <w:p w14:paraId="62A40310">
            <w:pPr>
              <w:pStyle w:val="14"/>
            </w:pPr>
          </w:p>
        </w:tc>
        <w:tc>
          <w:tcPr>
            <w:tcW w:w="1474" w:type="dxa"/>
            <w:vAlign w:val="center"/>
          </w:tcPr>
          <w:p w14:paraId="6ACBAB42">
            <w:pPr>
              <w:pStyle w:val="14"/>
            </w:pPr>
          </w:p>
        </w:tc>
      </w:tr>
      <w:tr w14:paraId="6A273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E1DF3">
            <w:pPr>
              <w:pStyle w:val="12"/>
            </w:pPr>
            <w:r>
              <w:t>14</w:t>
            </w:r>
          </w:p>
        </w:tc>
        <w:tc>
          <w:tcPr>
            <w:tcW w:w="3402" w:type="dxa"/>
            <w:vAlign w:val="center"/>
          </w:tcPr>
          <w:p w14:paraId="1B83A922">
            <w:pPr>
              <w:pStyle w:val="13"/>
            </w:pPr>
          </w:p>
        </w:tc>
        <w:tc>
          <w:tcPr>
            <w:tcW w:w="1474" w:type="dxa"/>
            <w:vAlign w:val="center"/>
          </w:tcPr>
          <w:p w14:paraId="32F123A6">
            <w:pPr>
              <w:pStyle w:val="14"/>
            </w:pPr>
          </w:p>
        </w:tc>
        <w:tc>
          <w:tcPr>
            <w:tcW w:w="3402" w:type="dxa"/>
            <w:vAlign w:val="center"/>
          </w:tcPr>
          <w:p w14:paraId="3F8BCB00">
            <w:pPr>
              <w:pStyle w:val="13"/>
            </w:pPr>
            <w:r>
              <w:t>十四、交通运输支出</w:t>
            </w:r>
          </w:p>
        </w:tc>
        <w:tc>
          <w:tcPr>
            <w:tcW w:w="1474" w:type="dxa"/>
            <w:vAlign w:val="center"/>
          </w:tcPr>
          <w:p w14:paraId="3EE03096">
            <w:pPr>
              <w:pStyle w:val="14"/>
            </w:pPr>
          </w:p>
        </w:tc>
        <w:tc>
          <w:tcPr>
            <w:tcW w:w="1474" w:type="dxa"/>
            <w:vAlign w:val="center"/>
          </w:tcPr>
          <w:p w14:paraId="281C839B">
            <w:pPr>
              <w:pStyle w:val="14"/>
            </w:pPr>
          </w:p>
        </w:tc>
        <w:tc>
          <w:tcPr>
            <w:tcW w:w="1474" w:type="dxa"/>
            <w:vAlign w:val="center"/>
          </w:tcPr>
          <w:p w14:paraId="1F637628">
            <w:pPr>
              <w:pStyle w:val="14"/>
            </w:pPr>
          </w:p>
        </w:tc>
        <w:tc>
          <w:tcPr>
            <w:tcW w:w="1474" w:type="dxa"/>
            <w:vAlign w:val="center"/>
          </w:tcPr>
          <w:p w14:paraId="3971CD05">
            <w:pPr>
              <w:pStyle w:val="14"/>
            </w:pPr>
          </w:p>
        </w:tc>
      </w:tr>
      <w:tr w14:paraId="75873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546AC">
            <w:pPr>
              <w:pStyle w:val="12"/>
            </w:pPr>
            <w:r>
              <w:t>15</w:t>
            </w:r>
          </w:p>
        </w:tc>
        <w:tc>
          <w:tcPr>
            <w:tcW w:w="3402" w:type="dxa"/>
            <w:vAlign w:val="center"/>
          </w:tcPr>
          <w:p w14:paraId="2F81D482">
            <w:pPr>
              <w:pStyle w:val="13"/>
            </w:pPr>
          </w:p>
        </w:tc>
        <w:tc>
          <w:tcPr>
            <w:tcW w:w="1474" w:type="dxa"/>
            <w:vAlign w:val="center"/>
          </w:tcPr>
          <w:p w14:paraId="35C5BD8B">
            <w:pPr>
              <w:pStyle w:val="14"/>
            </w:pPr>
          </w:p>
        </w:tc>
        <w:tc>
          <w:tcPr>
            <w:tcW w:w="3402" w:type="dxa"/>
            <w:vAlign w:val="center"/>
          </w:tcPr>
          <w:p w14:paraId="3EB316A4">
            <w:pPr>
              <w:pStyle w:val="13"/>
            </w:pPr>
            <w:r>
              <w:t>十五、资源勘探工业信息等支出</w:t>
            </w:r>
          </w:p>
        </w:tc>
        <w:tc>
          <w:tcPr>
            <w:tcW w:w="1474" w:type="dxa"/>
            <w:vAlign w:val="center"/>
          </w:tcPr>
          <w:p w14:paraId="22D516C8">
            <w:pPr>
              <w:pStyle w:val="14"/>
            </w:pPr>
          </w:p>
        </w:tc>
        <w:tc>
          <w:tcPr>
            <w:tcW w:w="1474" w:type="dxa"/>
            <w:vAlign w:val="center"/>
          </w:tcPr>
          <w:p w14:paraId="3BCDF5E9">
            <w:pPr>
              <w:pStyle w:val="14"/>
            </w:pPr>
          </w:p>
        </w:tc>
        <w:tc>
          <w:tcPr>
            <w:tcW w:w="1474" w:type="dxa"/>
            <w:vAlign w:val="center"/>
          </w:tcPr>
          <w:p w14:paraId="056E338D">
            <w:pPr>
              <w:pStyle w:val="14"/>
            </w:pPr>
          </w:p>
        </w:tc>
        <w:tc>
          <w:tcPr>
            <w:tcW w:w="1474" w:type="dxa"/>
            <w:vAlign w:val="center"/>
          </w:tcPr>
          <w:p w14:paraId="735F072D">
            <w:pPr>
              <w:pStyle w:val="14"/>
            </w:pPr>
          </w:p>
        </w:tc>
      </w:tr>
      <w:tr w14:paraId="5B472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2A185">
            <w:pPr>
              <w:pStyle w:val="12"/>
            </w:pPr>
            <w:r>
              <w:t>16</w:t>
            </w:r>
          </w:p>
        </w:tc>
        <w:tc>
          <w:tcPr>
            <w:tcW w:w="3402" w:type="dxa"/>
            <w:vAlign w:val="center"/>
          </w:tcPr>
          <w:p w14:paraId="1BD565C5">
            <w:pPr>
              <w:pStyle w:val="13"/>
            </w:pPr>
          </w:p>
        </w:tc>
        <w:tc>
          <w:tcPr>
            <w:tcW w:w="1474" w:type="dxa"/>
            <w:vAlign w:val="center"/>
          </w:tcPr>
          <w:p w14:paraId="5022094B">
            <w:pPr>
              <w:pStyle w:val="14"/>
            </w:pPr>
          </w:p>
        </w:tc>
        <w:tc>
          <w:tcPr>
            <w:tcW w:w="3402" w:type="dxa"/>
            <w:vAlign w:val="center"/>
          </w:tcPr>
          <w:p w14:paraId="733D9ECA">
            <w:pPr>
              <w:pStyle w:val="13"/>
            </w:pPr>
            <w:r>
              <w:t>十六、商业服务业等支出</w:t>
            </w:r>
          </w:p>
        </w:tc>
        <w:tc>
          <w:tcPr>
            <w:tcW w:w="1474" w:type="dxa"/>
            <w:vAlign w:val="center"/>
          </w:tcPr>
          <w:p w14:paraId="19D8807D">
            <w:pPr>
              <w:pStyle w:val="14"/>
            </w:pPr>
          </w:p>
        </w:tc>
        <w:tc>
          <w:tcPr>
            <w:tcW w:w="1474" w:type="dxa"/>
            <w:vAlign w:val="center"/>
          </w:tcPr>
          <w:p w14:paraId="376CD036">
            <w:pPr>
              <w:pStyle w:val="14"/>
            </w:pPr>
          </w:p>
        </w:tc>
        <w:tc>
          <w:tcPr>
            <w:tcW w:w="1474" w:type="dxa"/>
            <w:vAlign w:val="center"/>
          </w:tcPr>
          <w:p w14:paraId="1E5B48FD">
            <w:pPr>
              <w:pStyle w:val="14"/>
            </w:pPr>
          </w:p>
        </w:tc>
        <w:tc>
          <w:tcPr>
            <w:tcW w:w="1474" w:type="dxa"/>
            <w:vAlign w:val="center"/>
          </w:tcPr>
          <w:p w14:paraId="5793039C">
            <w:pPr>
              <w:pStyle w:val="14"/>
            </w:pPr>
          </w:p>
        </w:tc>
      </w:tr>
      <w:tr w14:paraId="5A56E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6684F">
            <w:pPr>
              <w:pStyle w:val="12"/>
            </w:pPr>
            <w:r>
              <w:t>17</w:t>
            </w:r>
          </w:p>
        </w:tc>
        <w:tc>
          <w:tcPr>
            <w:tcW w:w="3402" w:type="dxa"/>
            <w:vAlign w:val="center"/>
          </w:tcPr>
          <w:p w14:paraId="2EFBB6B6">
            <w:pPr>
              <w:pStyle w:val="13"/>
            </w:pPr>
          </w:p>
        </w:tc>
        <w:tc>
          <w:tcPr>
            <w:tcW w:w="1474" w:type="dxa"/>
            <w:vAlign w:val="center"/>
          </w:tcPr>
          <w:p w14:paraId="7DE45673">
            <w:pPr>
              <w:pStyle w:val="14"/>
            </w:pPr>
          </w:p>
        </w:tc>
        <w:tc>
          <w:tcPr>
            <w:tcW w:w="3402" w:type="dxa"/>
            <w:vAlign w:val="center"/>
          </w:tcPr>
          <w:p w14:paraId="3B780349">
            <w:pPr>
              <w:pStyle w:val="13"/>
            </w:pPr>
            <w:r>
              <w:t>十七、金融支出</w:t>
            </w:r>
          </w:p>
        </w:tc>
        <w:tc>
          <w:tcPr>
            <w:tcW w:w="1474" w:type="dxa"/>
            <w:vAlign w:val="center"/>
          </w:tcPr>
          <w:p w14:paraId="6131DD4A">
            <w:pPr>
              <w:pStyle w:val="14"/>
            </w:pPr>
          </w:p>
        </w:tc>
        <w:tc>
          <w:tcPr>
            <w:tcW w:w="1474" w:type="dxa"/>
            <w:vAlign w:val="center"/>
          </w:tcPr>
          <w:p w14:paraId="2FA49114">
            <w:pPr>
              <w:pStyle w:val="14"/>
            </w:pPr>
          </w:p>
        </w:tc>
        <w:tc>
          <w:tcPr>
            <w:tcW w:w="1474" w:type="dxa"/>
            <w:vAlign w:val="center"/>
          </w:tcPr>
          <w:p w14:paraId="21532FB3">
            <w:pPr>
              <w:pStyle w:val="14"/>
            </w:pPr>
          </w:p>
        </w:tc>
        <w:tc>
          <w:tcPr>
            <w:tcW w:w="1474" w:type="dxa"/>
            <w:vAlign w:val="center"/>
          </w:tcPr>
          <w:p w14:paraId="23B16860">
            <w:pPr>
              <w:pStyle w:val="14"/>
            </w:pPr>
          </w:p>
        </w:tc>
      </w:tr>
      <w:tr w14:paraId="7F4F6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E1C10">
            <w:pPr>
              <w:pStyle w:val="12"/>
            </w:pPr>
            <w:r>
              <w:t>18</w:t>
            </w:r>
          </w:p>
        </w:tc>
        <w:tc>
          <w:tcPr>
            <w:tcW w:w="3402" w:type="dxa"/>
            <w:vAlign w:val="center"/>
          </w:tcPr>
          <w:p w14:paraId="7179AB09">
            <w:pPr>
              <w:pStyle w:val="13"/>
            </w:pPr>
          </w:p>
        </w:tc>
        <w:tc>
          <w:tcPr>
            <w:tcW w:w="1474" w:type="dxa"/>
            <w:vAlign w:val="center"/>
          </w:tcPr>
          <w:p w14:paraId="0E31F8C6">
            <w:pPr>
              <w:pStyle w:val="14"/>
            </w:pPr>
          </w:p>
        </w:tc>
        <w:tc>
          <w:tcPr>
            <w:tcW w:w="3402" w:type="dxa"/>
            <w:vAlign w:val="center"/>
          </w:tcPr>
          <w:p w14:paraId="16B5DBB7">
            <w:pPr>
              <w:pStyle w:val="13"/>
            </w:pPr>
            <w:r>
              <w:t>十八、援助其他地区支出</w:t>
            </w:r>
          </w:p>
        </w:tc>
        <w:tc>
          <w:tcPr>
            <w:tcW w:w="1474" w:type="dxa"/>
            <w:vAlign w:val="center"/>
          </w:tcPr>
          <w:p w14:paraId="292579FF">
            <w:pPr>
              <w:pStyle w:val="14"/>
            </w:pPr>
          </w:p>
        </w:tc>
        <w:tc>
          <w:tcPr>
            <w:tcW w:w="1474" w:type="dxa"/>
            <w:vAlign w:val="center"/>
          </w:tcPr>
          <w:p w14:paraId="319F6D5A">
            <w:pPr>
              <w:pStyle w:val="14"/>
            </w:pPr>
          </w:p>
        </w:tc>
        <w:tc>
          <w:tcPr>
            <w:tcW w:w="1474" w:type="dxa"/>
            <w:vAlign w:val="center"/>
          </w:tcPr>
          <w:p w14:paraId="0A61ABA7">
            <w:pPr>
              <w:pStyle w:val="14"/>
            </w:pPr>
          </w:p>
        </w:tc>
        <w:tc>
          <w:tcPr>
            <w:tcW w:w="1474" w:type="dxa"/>
            <w:vAlign w:val="center"/>
          </w:tcPr>
          <w:p w14:paraId="129D48AD">
            <w:pPr>
              <w:pStyle w:val="14"/>
            </w:pPr>
          </w:p>
        </w:tc>
      </w:tr>
      <w:tr w14:paraId="24751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AC45A">
            <w:pPr>
              <w:pStyle w:val="12"/>
            </w:pPr>
            <w:r>
              <w:t>19</w:t>
            </w:r>
          </w:p>
        </w:tc>
        <w:tc>
          <w:tcPr>
            <w:tcW w:w="3402" w:type="dxa"/>
            <w:vAlign w:val="center"/>
          </w:tcPr>
          <w:p w14:paraId="27E0BDF1">
            <w:pPr>
              <w:pStyle w:val="13"/>
            </w:pPr>
          </w:p>
        </w:tc>
        <w:tc>
          <w:tcPr>
            <w:tcW w:w="1474" w:type="dxa"/>
            <w:vAlign w:val="center"/>
          </w:tcPr>
          <w:p w14:paraId="30542765">
            <w:pPr>
              <w:pStyle w:val="14"/>
            </w:pPr>
          </w:p>
        </w:tc>
        <w:tc>
          <w:tcPr>
            <w:tcW w:w="3402" w:type="dxa"/>
            <w:vAlign w:val="center"/>
          </w:tcPr>
          <w:p w14:paraId="7100411C">
            <w:pPr>
              <w:pStyle w:val="13"/>
            </w:pPr>
            <w:r>
              <w:t>十九、自然资源海洋气象等支出</w:t>
            </w:r>
          </w:p>
        </w:tc>
        <w:tc>
          <w:tcPr>
            <w:tcW w:w="1474" w:type="dxa"/>
            <w:vAlign w:val="center"/>
          </w:tcPr>
          <w:p w14:paraId="1CFD9AA8">
            <w:pPr>
              <w:pStyle w:val="14"/>
            </w:pPr>
          </w:p>
        </w:tc>
        <w:tc>
          <w:tcPr>
            <w:tcW w:w="1474" w:type="dxa"/>
            <w:vAlign w:val="center"/>
          </w:tcPr>
          <w:p w14:paraId="4319F183">
            <w:pPr>
              <w:pStyle w:val="14"/>
            </w:pPr>
          </w:p>
        </w:tc>
        <w:tc>
          <w:tcPr>
            <w:tcW w:w="1474" w:type="dxa"/>
            <w:vAlign w:val="center"/>
          </w:tcPr>
          <w:p w14:paraId="235F5CB0">
            <w:pPr>
              <w:pStyle w:val="14"/>
            </w:pPr>
          </w:p>
        </w:tc>
        <w:tc>
          <w:tcPr>
            <w:tcW w:w="1474" w:type="dxa"/>
            <w:vAlign w:val="center"/>
          </w:tcPr>
          <w:p w14:paraId="0F68E732">
            <w:pPr>
              <w:pStyle w:val="14"/>
            </w:pPr>
          </w:p>
        </w:tc>
      </w:tr>
      <w:tr w14:paraId="1913E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4D0A9">
            <w:pPr>
              <w:pStyle w:val="12"/>
            </w:pPr>
            <w:r>
              <w:t>20</w:t>
            </w:r>
          </w:p>
        </w:tc>
        <w:tc>
          <w:tcPr>
            <w:tcW w:w="3402" w:type="dxa"/>
            <w:vAlign w:val="center"/>
          </w:tcPr>
          <w:p w14:paraId="2A36B1A4">
            <w:pPr>
              <w:pStyle w:val="13"/>
            </w:pPr>
          </w:p>
        </w:tc>
        <w:tc>
          <w:tcPr>
            <w:tcW w:w="1474" w:type="dxa"/>
            <w:vAlign w:val="center"/>
          </w:tcPr>
          <w:p w14:paraId="159D17A0">
            <w:pPr>
              <w:pStyle w:val="14"/>
            </w:pPr>
          </w:p>
        </w:tc>
        <w:tc>
          <w:tcPr>
            <w:tcW w:w="3402" w:type="dxa"/>
            <w:vAlign w:val="center"/>
          </w:tcPr>
          <w:p w14:paraId="3D402244">
            <w:pPr>
              <w:pStyle w:val="13"/>
            </w:pPr>
            <w:r>
              <w:t>二十、住房保障支出</w:t>
            </w:r>
          </w:p>
        </w:tc>
        <w:tc>
          <w:tcPr>
            <w:tcW w:w="1474" w:type="dxa"/>
            <w:vAlign w:val="center"/>
          </w:tcPr>
          <w:p w14:paraId="0DD07CCA">
            <w:pPr>
              <w:pStyle w:val="14"/>
            </w:pPr>
          </w:p>
        </w:tc>
        <w:tc>
          <w:tcPr>
            <w:tcW w:w="1474" w:type="dxa"/>
            <w:vAlign w:val="center"/>
          </w:tcPr>
          <w:p w14:paraId="3B637488">
            <w:pPr>
              <w:pStyle w:val="14"/>
            </w:pPr>
          </w:p>
        </w:tc>
        <w:tc>
          <w:tcPr>
            <w:tcW w:w="1474" w:type="dxa"/>
            <w:vAlign w:val="center"/>
          </w:tcPr>
          <w:p w14:paraId="766F6738">
            <w:pPr>
              <w:pStyle w:val="14"/>
            </w:pPr>
          </w:p>
        </w:tc>
        <w:tc>
          <w:tcPr>
            <w:tcW w:w="1474" w:type="dxa"/>
            <w:vAlign w:val="center"/>
          </w:tcPr>
          <w:p w14:paraId="1CA74615">
            <w:pPr>
              <w:pStyle w:val="14"/>
            </w:pPr>
          </w:p>
        </w:tc>
      </w:tr>
      <w:tr w14:paraId="31BC9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8E4E0">
            <w:pPr>
              <w:pStyle w:val="12"/>
            </w:pPr>
            <w:r>
              <w:t>21</w:t>
            </w:r>
          </w:p>
        </w:tc>
        <w:tc>
          <w:tcPr>
            <w:tcW w:w="3402" w:type="dxa"/>
            <w:vAlign w:val="center"/>
          </w:tcPr>
          <w:p w14:paraId="7E0E3A05">
            <w:pPr>
              <w:pStyle w:val="13"/>
            </w:pPr>
          </w:p>
        </w:tc>
        <w:tc>
          <w:tcPr>
            <w:tcW w:w="1474" w:type="dxa"/>
            <w:vAlign w:val="center"/>
          </w:tcPr>
          <w:p w14:paraId="789066F4">
            <w:pPr>
              <w:pStyle w:val="14"/>
            </w:pPr>
          </w:p>
        </w:tc>
        <w:tc>
          <w:tcPr>
            <w:tcW w:w="3402" w:type="dxa"/>
            <w:vAlign w:val="center"/>
          </w:tcPr>
          <w:p w14:paraId="3ABC2F7D">
            <w:pPr>
              <w:pStyle w:val="13"/>
            </w:pPr>
            <w:r>
              <w:t>二十一、粮油物资储备支出</w:t>
            </w:r>
          </w:p>
        </w:tc>
        <w:tc>
          <w:tcPr>
            <w:tcW w:w="1474" w:type="dxa"/>
            <w:vAlign w:val="center"/>
          </w:tcPr>
          <w:p w14:paraId="3E0F2FDE">
            <w:pPr>
              <w:pStyle w:val="14"/>
            </w:pPr>
          </w:p>
        </w:tc>
        <w:tc>
          <w:tcPr>
            <w:tcW w:w="1474" w:type="dxa"/>
            <w:vAlign w:val="center"/>
          </w:tcPr>
          <w:p w14:paraId="61E70FA8">
            <w:pPr>
              <w:pStyle w:val="14"/>
            </w:pPr>
          </w:p>
        </w:tc>
        <w:tc>
          <w:tcPr>
            <w:tcW w:w="1474" w:type="dxa"/>
            <w:vAlign w:val="center"/>
          </w:tcPr>
          <w:p w14:paraId="1FE37693">
            <w:pPr>
              <w:pStyle w:val="14"/>
            </w:pPr>
          </w:p>
        </w:tc>
        <w:tc>
          <w:tcPr>
            <w:tcW w:w="1474" w:type="dxa"/>
            <w:vAlign w:val="center"/>
          </w:tcPr>
          <w:p w14:paraId="38522992">
            <w:pPr>
              <w:pStyle w:val="14"/>
            </w:pPr>
          </w:p>
        </w:tc>
      </w:tr>
      <w:tr w14:paraId="09D00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7190C">
            <w:pPr>
              <w:pStyle w:val="12"/>
            </w:pPr>
            <w:r>
              <w:t>22</w:t>
            </w:r>
          </w:p>
        </w:tc>
        <w:tc>
          <w:tcPr>
            <w:tcW w:w="3402" w:type="dxa"/>
            <w:vAlign w:val="center"/>
          </w:tcPr>
          <w:p w14:paraId="30925F7E">
            <w:pPr>
              <w:pStyle w:val="13"/>
            </w:pPr>
          </w:p>
        </w:tc>
        <w:tc>
          <w:tcPr>
            <w:tcW w:w="1474" w:type="dxa"/>
            <w:vAlign w:val="center"/>
          </w:tcPr>
          <w:p w14:paraId="3AE1F779">
            <w:pPr>
              <w:pStyle w:val="14"/>
            </w:pPr>
          </w:p>
        </w:tc>
        <w:tc>
          <w:tcPr>
            <w:tcW w:w="3402" w:type="dxa"/>
            <w:vAlign w:val="center"/>
          </w:tcPr>
          <w:p w14:paraId="29BBFD47">
            <w:pPr>
              <w:pStyle w:val="13"/>
            </w:pPr>
            <w:r>
              <w:t>二十二、国有资本经营预算支出</w:t>
            </w:r>
          </w:p>
        </w:tc>
        <w:tc>
          <w:tcPr>
            <w:tcW w:w="1474" w:type="dxa"/>
            <w:vAlign w:val="center"/>
          </w:tcPr>
          <w:p w14:paraId="1E40EEF0">
            <w:pPr>
              <w:pStyle w:val="14"/>
            </w:pPr>
          </w:p>
        </w:tc>
        <w:tc>
          <w:tcPr>
            <w:tcW w:w="1474" w:type="dxa"/>
            <w:vAlign w:val="center"/>
          </w:tcPr>
          <w:p w14:paraId="3827C1FE">
            <w:pPr>
              <w:pStyle w:val="14"/>
            </w:pPr>
          </w:p>
        </w:tc>
        <w:tc>
          <w:tcPr>
            <w:tcW w:w="1474" w:type="dxa"/>
            <w:vAlign w:val="center"/>
          </w:tcPr>
          <w:p w14:paraId="549E184E">
            <w:pPr>
              <w:pStyle w:val="14"/>
            </w:pPr>
          </w:p>
        </w:tc>
        <w:tc>
          <w:tcPr>
            <w:tcW w:w="1474" w:type="dxa"/>
            <w:vAlign w:val="center"/>
          </w:tcPr>
          <w:p w14:paraId="7DD632F2">
            <w:pPr>
              <w:pStyle w:val="14"/>
            </w:pPr>
          </w:p>
        </w:tc>
      </w:tr>
      <w:tr w14:paraId="7E3C0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E27C7">
            <w:pPr>
              <w:pStyle w:val="12"/>
            </w:pPr>
            <w:r>
              <w:t>23</w:t>
            </w:r>
          </w:p>
        </w:tc>
        <w:tc>
          <w:tcPr>
            <w:tcW w:w="3402" w:type="dxa"/>
            <w:vAlign w:val="center"/>
          </w:tcPr>
          <w:p w14:paraId="26EC4A7B">
            <w:pPr>
              <w:pStyle w:val="13"/>
            </w:pPr>
          </w:p>
        </w:tc>
        <w:tc>
          <w:tcPr>
            <w:tcW w:w="1474" w:type="dxa"/>
            <w:vAlign w:val="center"/>
          </w:tcPr>
          <w:p w14:paraId="15AC4871">
            <w:pPr>
              <w:pStyle w:val="14"/>
            </w:pPr>
          </w:p>
        </w:tc>
        <w:tc>
          <w:tcPr>
            <w:tcW w:w="3402" w:type="dxa"/>
            <w:vAlign w:val="center"/>
          </w:tcPr>
          <w:p w14:paraId="4C9E8C4D">
            <w:pPr>
              <w:pStyle w:val="13"/>
            </w:pPr>
            <w:r>
              <w:t>二十三、灾害防治及应急管理支出</w:t>
            </w:r>
          </w:p>
        </w:tc>
        <w:tc>
          <w:tcPr>
            <w:tcW w:w="1474" w:type="dxa"/>
            <w:vAlign w:val="center"/>
          </w:tcPr>
          <w:p w14:paraId="76E50598">
            <w:pPr>
              <w:pStyle w:val="14"/>
            </w:pPr>
          </w:p>
        </w:tc>
        <w:tc>
          <w:tcPr>
            <w:tcW w:w="1474" w:type="dxa"/>
            <w:vAlign w:val="center"/>
          </w:tcPr>
          <w:p w14:paraId="42DCBA4C">
            <w:pPr>
              <w:pStyle w:val="14"/>
            </w:pPr>
          </w:p>
        </w:tc>
        <w:tc>
          <w:tcPr>
            <w:tcW w:w="1474" w:type="dxa"/>
            <w:vAlign w:val="center"/>
          </w:tcPr>
          <w:p w14:paraId="2813A629">
            <w:pPr>
              <w:pStyle w:val="14"/>
            </w:pPr>
          </w:p>
        </w:tc>
        <w:tc>
          <w:tcPr>
            <w:tcW w:w="1474" w:type="dxa"/>
            <w:vAlign w:val="center"/>
          </w:tcPr>
          <w:p w14:paraId="6635B10F">
            <w:pPr>
              <w:pStyle w:val="14"/>
            </w:pPr>
          </w:p>
        </w:tc>
      </w:tr>
      <w:tr w14:paraId="6522C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20AAA">
            <w:pPr>
              <w:pStyle w:val="12"/>
            </w:pPr>
            <w:r>
              <w:t>24</w:t>
            </w:r>
          </w:p>
        </w:tc>
        <w:tc>
          <w:tcPr>
            <w:tcW w:w="3402" w:type="dxa"/>
            <w:vAlign w:val="center"/>
          </w:tcPr>
          <w:p w14:paraId="77DA929F">
            <w:pPr>
              <w:pStyle w:val="13"/>
            </w:pPr>
          </w:p>
        </w:tc>
        <w:tc>
          <w:tcPr>
            <w:tcW w:w="1474" w:type="dxa"/>
            <w:vAlign w:val="center"/>
          </w:tcPr>
          <w:p w14:paraId="39DE9B53">
            <w:pPr>
              <w:pStyle w:val="14"/>
            </w:pPr>
          </w:p>
        </w:tc>
        <w:tc>
          <w:tcPr>
            <w:tcW w:w="3402" w:type="dxa"/>
            <w:vAlign w:val="center"/>
          </w:tcPr>
          <w:p w14:paraId="2387FD45">
            <w:pPr>
              <w:pStyle w:val="13"/>
            </w:pPr>
            <w:r>
              <w:t>二十四、预备费</w:t>
            </w:r>
          </w:p>
        </w:tc>
        <w:tc>
          <w:tcPr>
            <w:tcW w:w="1474" w:type="dxa"/>
            <w:vAlign w:val="center"/>
          </w:tcPr>
          <w:p w14:paraId="5ADF1456">
            <w:pPr>
              <w:pStyle w:val="14"/>
            </w:pPr>
          </w:p>
        </w:tc>
        <w:tc>
          <w:tcPr>
            <w:tcW w:w="1474" w:type="dxa"/>
            <w:vAlign w:val="center"/>
          </w:tcPr>
          <w:p w14:paraId="4F83E555">
            <w:pPr>
              <w:pStyle w:val="14"/>
            </w:pPr>
          </w:p>
        </w:tc>
        <w:tc>
          <w:tcPr>
            <w:tcW w:w="1474" w:type="dxa"/>
            <w:vAlign w:val="center"/>
          </w:tcPr>
          <w:p w14:paraId="110C439A">
            <w:pPr>
              <w:pStyle w:val="14"/>
            </w:pPr>
          </w:p>
        </w:tc>
        <w:tc>
          <w:tcPr>
            <w:tcW w:w="1474" w:type="dxa"/>
            <w:vAlign w:val="center"/>
          </w:tcPr>
          <w:p w14:paraId="6B66E40C">
            <w:pPr>
              <w:pStyle w:val="14"/>
            </w:pPr>
          </w:p>
        </w:tc>
      </w:tr>
      <w:tr w14:paraId="65A04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532A4">
            <w:pPr>
              <w:pStyle w:val="12"/>
            </w:pPr>
            <w:r>
              <w:t>25</w:t>
            </w:r>
          </w:p>
        </w:tc>
        <w:tc>
          <w:tcPr>
            <w:tcW w:w="3402" w:type="dxa"/>
            <w:vAlign w:val="center"/>
          </w:tcPr>
          <w:p w14:paraId="43015205">
            <w:pPr>
              <w:pStyle w:val="13"/>
            </w:pPr>
          </w:p>
        </w:tc>
        <w:tc>
          <w:tcPr>
            <w:tcW w:w="1474" w:type="dxa"/>
            <w:vAlign w:val="center"/>
          </w:tcPr>
          <w:p w14:paraId="5FF8EA54">
            <w:pPr>
              <w:pStyle w:val="14"/>
            </w:pPr>
          </w:p>
        </w:tc>
        <w:tc>
          <w:tcPr>
            <w:tcW w:w="3402" w:type="dxa"/>
            <w:vAlign w:val="center"/>
          </w:tcPr>
          <w:p w14:paraId="0705E16F">
            <w:pPr>
              <w:pStyle w:val="13"/>
            </w:pPr>
            <w:r>
              <w:t>二十五、其他支出</w:t>
            </w:r>
          </w:p>
        </w:tc>
        <w:tc>
          <w:tcPr>
            <w:tcW w:w="1474" w:type="dxa"/>
            <w:vAlign w:val="center"/>
          </w:tcPr>
          <w:p w14:paraId="2AFC37C2">
            <w:pPr>
              <w:pStyle w:val="14"/>
            </w:pPr>
          </w:p>
        </w:tc>
        <w:tc>
          <w:tcPr>
            <w:tcW w:w="1474" w:type="dxa"/>
            <w:vAlign w:val="center"/>
          </w:tcPr>
          <w:p w14:paraId="757A44BE">
            <w:pPr>
              <w:pStyle w:val="14"/>
            </w:pPr>
          </w:p>
        </w:tc>
        <w:tc>
          <w:tcPr>
            <w:tcW w:w="1474" w:type="dxa"/>
            <w:vAlign w:val="center"/>
          </w:tcPr>
          <w:p w14:paraId="6EED3A12">
            <w:pPr>
              <w:pStyle w:val="14"/>
            </w:pPr>
          </w:p>
        </w:tc>
        <w:tc>
          <w:tcPr>
            <w:tcW w:w="1474" w:type="dxa"/>
            <w:vAlign w:val="center"/>
          </w:tcPr>
          <w:p w14:paraId="52E9AB30">
            <w:pPr>
              <w:pStyle w:val="14"/>
            </w:pPr>
          </w:p>
        </w:tc>
      </w:tr>
      <w:tr w14:paraId="592FD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1A74E">
            <w:pPr>
              <w:pStyle w:val="12"/>
            </w:pPr>
            <w:r>
              <w:t>26</w:t>
            </w:r>
          </w:p>
        </w:tc>
        <w:tc>
          <w:tcPr>
            <w:tcW w:w="3402" w:type="dxa"/>
            <w:vAlign w:val="center"/>
          </w:tcPr>
          <w:p w14:paraId="2DDCFFD3">
            <w:pPr>
              <w:pStyle w:val="13"/>
            </w:pPr>
          </w:p>
        </w:tc>
        <w:tc>
          <w:tcPr>
            <w:tcW w:w="1474" w:type="dxa"/>
            <w:vAlign w:val="center"/>
          </w:tcPr>
          <w:p w14:paraId="4E057177">
            <w:pPr>
              <w:pStyle w:val="14"/>
            </w:pPr>
          </w:p>
        </w:tc>
        <w:tc>
          <w:tcPr>
            <w:tcW w:w="3402" w:type="dxa"/>
            <w:vAlign w:val="center"/>
          </w:tcPr>
          <w:p w14:paraId="27F31BB8">
            <w:pPr>
              <w:pStyle w:val="13"/>
            </w:pPr>
            <w:r>
              <w:t>二十六、转移性支出</w:t>
            </w:r>
          </w:p>
        </w:tc>
        <w:tc>
          <w:tcPr>
            <w:tcW w:w="1474" w:type="dxa"/>
            <w:vAlign w:val="center"/>
          </w:tcPr>
          <w:p w14:paraId="08B0EBC4">
            <w:pPr>
              <w:pStyle w:val="14"/>
            </w:pPr>
          </w:p>
        </w:tc>
        <w:tc>
          <w:tcPr>
            <w:tcW w:w="1474" w:type="dxa"/>
            <w:vAlign w:val="center"/>
          </w:tcPr>
          <w:p w14:paraId="71CB7A8E">
            <w:pPr>
              <w:pStyle w:val="14"/>
            </w:pPr>
          </w:p>
        </w:tc>
        <w:tc>
          <w:tcPr>
            <w:tcW w:w="1474" w:type="dxa"/>
            <w:vAlign w:val="center"/>
          </w:tcPr>
          <w:p w14:paraId="4F306582">
            <w:pPr>
              <w:pStyle w:val="14"/>
            </w:pPr>
          </w:p>
        </w:tc>
        <w:tc>
          <w:tcPr>
            <w:tcW w:w="1474" w:type="dxa"/>
            <w:vAlign w:val="center"/>
          </w:tcPr>
          <w:p w14:paraId="44FD521B">
            <w:pPr>
              <w:pStyle w:val="14"/>
            </w:pPr>
          </w:p>
        </w:tc>
      </w:tr>
      <w:tr w14:paraId="11FDB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70FC7">
            <w:pPr>
              <w:pStyle w:val="12"/>
            </w:pPr>
            <w:r>
              <w:t>27</w:t>
            </w:r>
          </w:p>
        </w:tc>
        <w:tc>
          <w:tcPr>
            <w:tcW w:w="3402" w:type="dxa"/>
            <w:vAlign w:val="center"/>
          </w:tcPr>
          <w:p w14:paraId="4265A4C1">
            <w:pPr>
              <w:pStyle w:val="13"/>
            </w:pPr>
          </w:p>
        </w:tc>
        <w:tc>
          <w:tcPr>
            <w:tcW w:w="1474" w:type="dxa"/>
            <w:vAlign w:val="center"/>
          </w:tcPr>
          <w:p w14:paraId="76835E09">
            <w:pPr>
              <w:pStyle w:val="14"/>
            </w:pPr>
          </w:p>
        </w:tc>
        <w:tc>
          <w:tcPr>
            <w:tcW w:w="3402" w:type="dxa"/>
            <w:vAlign w:val="center"/>
          </w:tcPr>
          <w:p w14:paraId="3A956BE1">
            <w:pPr>
              <w:pStyle w:val="13"/>
            </w:pPr>
            <w:r>
              <w:t>二十七、债务还本支出</w:t>
            </w:r>
          </w:p>
        </w:tc>
        <w:tc>
          <w:tcPr>
            <w:tcW w:w="1474" w:type="dxa"/>
            <w:vAlign w:val="center"/>
          </w:tcPr>
          <w:p w14:paraId="4B378AB4">
            <w:pPr>
              <w:pStyle w:val="14"/>
            </w:pPr>
          </w:p>
        </w:tc>
        <w:tc>
          <w:tcPr>
            <w:tcW w:w="1474" w:type="dxa"/>
            <w:vAlign w:val="center"/>
          </w:tcPr>
          <w:p w14:paraId="29EE9D36">
            <w:pPr>
              <w:pStyle w:val="14"/>
            </w:pPr>
          </w:p>
        </w:tc>
        <w:tc>
          <w:tcPr>
            <w:tcW w:w="1474" w:type="dxa"/>
            <w:vAlign w:val="center"/>
          </w:tcPr>
          <w:p w14:paraId="6144E25F">
            <w:pPr>
              <w:pStyle w:val="14"/>
            </w:pPr>
          </w:p>
        </w:tc>
        <w:tc>
          <w:tcPr>
            <w:tcW w:w="1474" w:type="dxa"/>
            <w:vAlign w:val="center"/>
          </w:tcPr>
          <w:p w14:paraId="68E69D46">
            <w:pPr>
              <w:pStyle w:val="14"/>
            </w:pPr>
          </w:p>
        </w:tc>
      </w:tr>
      <w:tr w14:paraId="01D84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E9BC4">
            <w:pPr>
              <w:pStyle w:val="12"/>
            </w:pPr>
            <w:r>
              <w:t>28</w:t>
            </w:r>
          </w:p>
        </w:tc>
        <w:tc>
          <w:tcPr>
            <w:tcW w:w="3402" w:type="dxa"/>
            <w:vAlign w:val="center"/>
          </w:tcPr>
          <w:p w14:paraId="0C5103B5">
            <w:pPr>
              <w:pStyle w:val="13"/>
            </w:pPr>
          </w:p>
        </w:tc>
        <w:tc>
          <w:tcPr>
            <w:tcW w:w="1474" w:type="dxa"/>
            <w:vAlign w:val="center"/>
          </w:tcPr>
          <w:p w14:paraId="1C1DAC83">
            <w:pPr>
              <w:pStyle w:val="14"/>
            </w:pPr>
          </w:p>
        </w:tc>
        <w:tc>
          <w:tcPr>
            <w:tcW w:w="3402" w:type="dxa"/>
            <w:vAlign w:val="center"/>
          </w:tcPr>
          <w:p w14:paraId="7408A9E9">
            <w:pPr>
              <w:pStyle w:val="13"/>
            </w:pPr>
            <w:r>
              <w:t>二十八、债务付息支出</w:t>
            </w:r>
          </w:p>
        </w:tc>
        <w:tc>
          <w:tcPr>
            <w:tcW w:w="1474" w:type="dxa"/>
            <w:vAlign w:val="center"/>
          </w:tcPr>
          <w:p w14:paraId="130C2444">
            <w:pPr>
              <w:pStyle w:val="14"/>
            </w:pPr>
          </w:p>
        </w:tc>
        <w:tc>
          <w:tcPr>
            <w:tcW w:w="1474" w:type="dxa"/>
            <w:vAlign w:val="center"/>
          </w:tcPr>
          <w:p w14:paraId="45E2D8AA">
            <w:pPr>
              <w:pStyle w:val="14"/>
            </w:pPr>
          </w:p>
        </w:tc>
        <w:tc>
          <w:tcPr>
            <w:tcW w:w="1474" w:type="dxa"/>
            <w:vAlign w:val="center"/>
          </w:tcPr>
          <w:p w14:paraId="620279A0">
            <w:pPr>
              <w:pStyle w:val="14"/>
            </w:pPr>
          </w:p>
        </w:tc>
        <w:tc>
          <w:tcPr>
            <w:tcW w:w="1474" w:type="dxa"/>
            <w:vAlign w:val="center"/>
          </w:tcPr>
          <w:p w14:paraId="01509153">
            <w:pPr>
              <w:pStyle w:val="14"/>
            </w:pPr>
          </w:p>
        </w:tc>
      </w:tr>
      <w:tr w14:paraId="73BE2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0881F">
            <w:pPr>
              <w:pStyle w:val="12"/>
            </w:pPr>
            <w:r>
              <w:t>29</w:t>
            </w:r>
          </w:p>
        </w:tc>
        <w:tc>
          <w:tcPr>
            <w:tcW w:w="3402" w:type="dxa"/>
            <w:vAlign w:val="center"/>
          </w:tcPr>
          <w:p w14:paraId="7F18848D">
            <w:pPr>
              <w:pStyle w:val="13"/>
            </w:pPr>
          </w:p>
        </w:tc>
        <w:tc>
          <w:tcPr>
            <w:tcW w:w="1474" w:type="dxa"/>
            <w:vAlign w:val="center"/>
          </w:tcPr>
          <w:p w14:paraId="34B14CB1">
            <w:pPr>
              <w:pStyle w:val="14"/>
            </w:pPr>
          </w:p>
        </w:tc>
        <w:tc>
          <w:tcPr>
            <w:tcW w:w="3402" w:type="dxa"/>
            <w:vAlign w:val="center"/>
          </w:tcPr>
          <w:p w14:paraId="303183E9">
            <w:pPr>
              <w:pStyle w:val="13"/>
            </w:pPr>
            <w:r>
              <w:t>二十九、债务发行费用支出</w:t>
            </w:r>
          </w:p>
        </w:tc>
        <w:tc>
          <w:tcPr>
            <w:tcW w:w="1474" w:type="dxa"/>
            <w:vAlign w:val="center"/>
          </w:tcPr>
          <w:p w14:paraId="4AE17B56">
            <w:pPr>
              <w:pStyle w:val="14"/>
            </w:pPr>
          </w:p>
        </w:tc>
        <w:tc>
          <w:tcPr>
            <w:tcW w:w="1474" w:type="dxa"/>
            <w:vAlign w:val="center"/>
          </w:tcPr>
          <w:p w14:paraId="52804BC0">
            <w:pPr>
              <w:pStyle w:val="14"/>
            </w:pPr>
          </w:p>
        </w:tc>
        <w:tc>
          <w:tcPr>
            <w:tcW w:w="1474" w:type="dxa"/>
            <w:vAlign w:val="center"/>
          </w:tcPr>
          <w:p w14:paraId="4CBB6BA4">
            <w:pPr>
              <w:pStyle w:val="14"/>
            </w:pPr>
          </w:p>
        </w:tc>
        <w:tc>
          <w:tcPr>
            <w:tcW w:w="1474" w:type="dxa"/>
            <w:vAlign w:val="center"/>
          </w:tcPr>
          <w:p w14:paraId="2E64E1A4">
            <w:pPr>
              <w:pStyle w:val="14"/>
            </w:pPr>
          </w:p>
        </w:tc>
      </w:tr>
      <w:tr w14:paraId="31EEC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1F5F6">
            <w:pPr>
              <w:pStyle w:val="12"/>
            </w:pPr>
            <w:r>
              <w:t>30</w:t>
            </w:r>
          </w:p>
        </w:tc>
        <w:tc>
          <w:tcPr>
            <w:tcW w:w="3402" w:type="dxa"/>
            <w:vAlign w:val="center"/>
          </w:tcPr>
          <w:p w14:paraId="69913151">
            <w:pPr>
              <w:pStyle w:val="13"/>
            </w:pPr>
          </w:p>
        </w:tc>
        <w:tc>
          <w:tcPr>
            <w:tcW w:w="1474" w:type="dxa"/>
            <w:vAlign w:val="center"/>
          </w:tcPr>
          <w:p w14:paraId="73F5DD26">
            <w:pPr>
              <w:pStyle w:val="14"/>
            </w:pPr>
          </w:p>
        </w:tc>
        <w:tc>
          <w:tcPr>
            <w:tcW w:w="3402" w:type="dxa"/>
            <w:vAlign w:val="center"/>
          </w:tcPr>
          <w:p w14:paraId="770BFE1C">
            <w:pPr>
              <w:pStyle w:val="13"/>
            </w:pPr>
            <w:r>
              <w:t>三十、抗疫特别国债安排的支出</w:t>
            </w:r>
          </w:p>
        </w:tc>
        <w:tc>
          <w:tcPr>
            <w:tcW w:w="1474" w:type="dxa"/>
            <w:vAlign w:val="center"/>
          </w:tcPr>
          <w:p w14:paraId="58D68409">
            <w:pPr>
              <w:pStyle w:val="14"/>
            </w:pPr>
          </w:p>
        </w:tc>
        <w:tc>
          <w:tcPr>
            <w:tcW w:w="1474" w:type="dxa"/>
            <w:vAlign w:val="center"/>
          </w:tcPr>
          <w:p w14:paraId="7D0CCE7F">
            <w:pPr>
              <w:pStyle w:val="14"/>
            </w:pPr>
          </w:p>
        </w:tc>
        <w:tc>
          <w:tcPr>
            <w:tcW w:w="1474" w:type="dxa"/>
            <w:vAlign w:val="center"/>
          </w:tcPr>
          <w:p w14:paraId="7568D2DC">
            <w:pPr>
              <w:pStyle w:val="14"/>
            </w:pPr>
          </w:p>
        </w:tc>
        <w:tc>
          <w:tcPr>
            <w:tcW w:w="1474" w:type="dxa"/>
            <w:vAlign w:val="center"/>
          </w:tcPr>
          <w:p w14:paraId="6CB39249">
            <w:pPr>
              <w:pStyle w:val="14"/>
            </w:pPr>
          </w:p>
        </w:tc>
      </w:tr>
      <w:tr w14:paraId="41A2A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C9D1C">
            <w:pPr>
              <w:pStyle w:val="12"/>
            </w:pPr>
            <w:r>
              <w:t>31</w:t>
            </w:r>
          </w:p>
        </w:tc>
        <w:tc>
          <w:tcPr>
            <w:tcW w:w="3402" w:type="dxa"/>
            <w:vAlign w:val="center"/>
          </w:tcPr>
          <w:p w14:paraId="0F8C89B0">
            <w:pPr>
              <w:pStyle w:val="13"/>
            </w:pPr>
          </w:p>
        </w:tc>
        <w:tc>
          <w:tcPr>
            <w:tcW w:w="1474" w:type="dxa"/>
            <w:vAlign w:val="center"/>
          </w:tcPr>
          <w:p w14:paraId="4F63FA56">
            <w:pPr>
              <w:pStyle w:val="14"/>
            </w:pPr>
          </w:p>
        </w:tc>
        <w:tc>
          <w:tcPr>
            <w:tcW w:w="3402" w:type="dxa"/>
            <w:vAlign w:val="center"/>
          </w:tcPr>
          <w:p w14:paraId="202E8EEF">
            <w:pPr>
              <w:pStyle w:val="13"/>
            </w:pPr>
            <w:r>
              <w:t>三十一、人行科目</w:t>
            </w:r>
          </w:p>
        </w:tc>
        <w:tc>
          <w:tcPr>
            <w:tcW w:w="1474" w:type="dxa"/>
            <w:vAlign w:val="center"/>
          </w:tcPr>
          <w:p w14:paraId="7A57AD4A">
            <w:pPr>
              <w:pStyle w:val="14"/>
            </w:pPr>
          </w:p>
        </w:tc>
        <w:tc>
          <w:tcPr>
            <w:tcW w:w="1474" w:type="dxa"/>
            <w:vAlign w:val="center"/>
          </w:tcPr>
          <w:p w14:paraId="05F0DF23">
            <w:pPr>
              <w:pStyle w:val="14"/>
            </w:pPr>
          </w:p>
        </w:tc>
        <w:tc>
          <w:tcPr>
            <w:tcW w:w="1474" w:type="dxa"/>
            <w:vAlign w:val="center"/>
          </w:tcPr>
          <w:p w14:paraId="53FD6332">
            <w:pPr>
              <w:pStyle w:val="14"/>
            </w:pPr>
          </w:p>
        </w:tc>
        <w:tc>
          <w:tcPr>
            <w:tcW w:w="1474" w:type="dxa"/>
            <w:vAlign w:val="center"/>
          </w:tcPr>
          <w:p w14:paraId="1EB63998">
            <w:pPr>
              <w:pStyle w:val="14"/>
            </w:pPr>
          </w:p>
        </w:tc>
      </w:tr>
      <w:tr w14:paraId="4A4A0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223CF">
            <w:pPr>
              <w:pStyle w:val="12"/>
            </w:pPr>
            <w:r>
              <w:t>32</w:t>
            </w:r>
          </w:p>
        </w:tc>
        <w:tc>
          <w:tcPr>
            <w:tcW w:w="3402" w:type="dxa"/>
            <w:vAlign w:val="center"/>
          </w:tcPr>
          <w:p w14:paraId="53FAF163">
            <w:pPr>
              <w:pStyle w:val="15"/>
            </w:pPr>
            <w:r>
              <w:t>本年收入合计</w:t>
            </w:r>
          </w:p>
        </w:tc>
        <w:tc>
          <w:tcPr>
            <w:tcW w:w="1474" w:type="dxa"/>
            <w:vAlign w:val="center"/>
          </w:tcPr>
          <w:p w14:paraId="5DBF955C">
            <w:pPr>
              <w:pStyle w:val="16"/>
            </w:pPr>
            <w:r>
              <w:t>2008.85</w:t>
            </w:r>
          </w:p>
        </w:tc>
        <w:tc>
          <w:tcPr>
            <w:tcW w:w="3402" w:type="dxa"/>
            <w:vAlign w:val="center"/>
          </w:tcPr>
          <w:p w14:paraId="1CA04DB3">
            <w:pPr>
              <w:pStyle w:val="15"/>
            </w:pPr>
            <w:r>
              <w:t>本年支出合计</w:t>
            </w:r>
          </w:p>
        </w:tc>
        <w:tc>
          <w:tcPr>
            <w:tcW w:w="1474" w:type="dxa"/>
            <w:vAlign w:val="center"/>
          </w:tcPr>
          <w:p w14:paraId="70889CCF">
            <w:pPr>
              <w:pStyle w:val="16"/>
            </w:pPr>
            <w:r>
              <w:t>2008.85</w:t>
            </w:r>
          </w:p>
        </w:tc>
        <w:tc>
          <w:tcPr>
            <w:tcW w:w="1474" w:type="dxa"/>
            <w:vAlign w:val="center"/>
          </w:tcPr>
          <w:p w14:paraId="143ED804">
            <w:pPr>
              <w:pStyle w:val="16"/>
            </w:pPr>
            <w:r>
              <w:t>2008.85</w:t>
            </w:r>
          </w:p>
        </w:tc>
        <w:tc>
          <w:tcPr>
            <w:tcW w:w="1474" w:type="dxa"/>
            <w:vAlign w:val="center"/>
          </w:tcPr>
          <w:p w14:paraId="52EA4B51">
            <w:pPr>
              <w:pStyle w:val="16"/>
            </w:pPr>
          </w:p>
        </w:tc>
        <w:tc>
          <w:tcPr>
            <w:tcW w:w="1474" w:type="dxa"/>
            <w:vAlign w:val="center"/>
          </w:tcPr>
          <w:p w14:paraId="69A258BA">
            <w:pPr>
              <w:pStyle w:val="16"/>
            </w:pPr>
          </w:p>
        </w:tc>
      </w:tr>
      <w:tr w14:paraId="45DD0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F44AD">
            <w:pPr>
              <w:pStyle w:val="12"/>
            </w:pPr>
            <w:r>
              <w:t>33</w:t>
            </w:r>
          </w:p>
        </w:tc>
        <w:tc>
          <w:tcPr>
            <w:tcW w:w="3402" w:type="dxa"/>
            <w:vAlign w:val="center"/>
          </w:tcPr>
          <w:p w14:paraId="0883C638">
            <w:pPr>
              <w:pStyle w:val="13"/>
            </w:pPr>
            <w:r>
              <w:t>年初财政拨款结转和结余</w:t>
            </w:r>
          </w:p>
        </w:tc>
        <w:tc>
          <w:tcPr>
            <w:tcW w:w="1474" w:type="dxa"/>
            <w:vAlign w:val="center"/>
          </w:tcPr>
          <w:p w14:paraId="3D99CCC4">
            <w:pPr>
              <w:pStyle w:val="14"/>
            </w:pPr>
          </w:p>
        </w:tc>
        <w:tc>
          <w:tcPr>
            <w:tcW w:w="3402" w:type="dxa"/>
            <w:vAlign w:val="center"/>
          </w:tcPr>
          <w:p w14:paraId="09668883">
            <w:pPr>
              <w:pStyle w:val="13"/>
            </w:pPr>
            <w:r>
              <w:t>年末财政拨款结转和结余</w:t>
            </w:r>
          </w:p>
        </w:tc>
        <w:tc>
          <w:tcPr>
            <w:tcW w:w="1474" w:type="dxa"/>
            <w:vAlign w:val="center"/>
          </w:tcPr>
          <w:p w14:paraId="4835ADE7">
            <w:pPr>
              <w:pStyle w:val="14"/>
            </w:pPr>
          </w:p>
        </w:tc>
        <w:tc>
          <w:tcPr>
            <w:tcW w:w="1474" w:type="dxa"/>
            <w:vAlign w:val="center"/>
          </w:tcPr>
          <w:p w14:paraId="62BFEB44">
            <w:pPr>
              <w:pStyle w:val="14"/>
            </w:pPr>
          </w:p>
        </w:tc>
        <w:tc>
          <w:tcPr>
            <w:tcW w:w="1474" w:type="dxa"/>
            <w:vAlign w:val="center"/>
          </w:tcPr>
          <w:p w14:paraId="0FCB4D1A">
            <w:pPr>
              <w:pStyle w:val="14"/>
            </w:pPr>
          </w:p>
        </w:tc>
        <w:tc>
          <w:tcPr>
            <w:tcW w:w="1474" w:type="dxa"/>
            <w:vAlign w:val="center"/>
          </w:tcPr>
          <w:p w14:paraId="22BE4D10">
            <w:pPr>
              <w:pStyle w:val="14"/>
            </w:pPr>
          </w:p>
        </w:tc>
      </w:tr>
      <w:tr w14:paraId="1065E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8830C">
            <w:pPr>
              <w:pStyle w:val="12"/>
            </w:pPr>
            <w:r>
              <w:t>34</w:t>
            </w:r>
          </w:p>
        </w:tc>
        <w:tc>
          <w:tcPr>
            <w:tcW w:w="3402" w:type="dxa"/>
            <w:vAlign w:val="center"/>
          </w:tcPr>
          <w:p w14:paraId="68DB2E80">
            <w:pPr>
              <w:pStyle w:val="13"/>
            </w:pPr>
            <w:r>
              <w:t>一、一般公共预算拨款</w:t>
            </w:r>
          </w:p>
        </w:tc>
        <w:tc>
          <w:tcPr>
            <w:tcW w:w="1474" w:type="dxa"/>
            <w:vAlign w:val="center"/>
          </w:tcPr>
          <w:p w14:paraId="68FE1A4F">
            <w:pPr>
              <w:pStyle w:val="14"/>
            </w:pPr>
          </w:p>
        </w:tc>
        <w:tc>
          <w:tcPr>
            <w:tcW w:w="3402" w:type="dxa"/>
            <w:vAlign w:val="center"/>
          </w:tcPr>
          <w:p w14:paraId="08BF02CB">
            <w:pPr>
              <w:pStyle w:val="13"/>
            </w:pPr>
          </w:p>
        </w:tc>
        <w:tc>
          <w:tcPr>
            <w:tcW w:w="1474" w:type="dxa"/>
            <w:vAlign w:val="center"/>
          </w:tcPr>
          <w:p w14:paraId="032E246D">
            <w:pPr>
              <w:pStyle w:val="14"/>
            </w:pPr>
          </w:p>
        </w:tc>
        <w:tc>
          <w:tcPr>
            <w:tcW w:w="1474" w:type="dxa"/>
            <w:vAlign w:val="center"/>
          </w:tcPr>
          <w:p w14:paraId="4255FBF9">
            <w:pPr>
              <w:pStyle w:val="14"/>
            </w:pPr>
          </w:p>
        </w:tc>
        <w:tc>
          <w:tcPr>
            <w:tcW w:w="1474" w:type="dxa"/>
            <w:vAlign w:val="center"/>
          </w:tcPr>
          <w:p w14:paraId="4F44E4A1">
            <w:pPr>
              <w:pStyle w:val="14"/>
            </w:pPr>
          </w:p>
        </w:tc>
        <w:tc>
          <w:tcPr>
            <w:tcW w:w="1474" w:type="dxa"/>
            <w:vAlign w:val="center"/>
          </w:tcPr>
          <w:p w14:paraId="050592E5">
            <w:pPr>
              <w:pStyle w:val="14"/>
            </w:pPr>
          </w:p>
        </w:tc>
      </w:tr>
      <w:tr w14:paraId="3394A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C0CD0">
            <w:pPr>
              <w:pStyle w:val="12"/>
            </w:pPr>
            <w:r>
              <w:t>35</w:t>
            </w:r>
          </w:p>
        </w:tc>
        <w:tc>
          <w:tcPr>
            <w:tcW w:w="3402" w:type="dxa"/>
            <w:vAlign w:val="center"/>
          </w:tcPr>
          <w:p w14:paraId="1B5561A3">
            <w:pPr>
              <w:pStyle w:val="13"/>
            </w:pPr>
            <w:r>
              <w:t>二、政府性基金预算拨款</w:t>
            </w:r>
          </w:p>
        </w:tc>
        <w:tc>
          <w:tcPr>
            <w:tcW w:w="1474" w:type="dxa"/>
            <w:vAlign w:val="center"/>
          </w:tcPr>
          <w:p w14:paraId="343AFA30">
            <w:pPr>
              <w:pStyle w:val="14"/>
            </w:pPr>
          </w:p>
        </w:tc>
        <w:tc>
          <w:tcPr>
            <w:tcW w:w="3402" w:type="dxa"/>
            <w:vAlign w:val="center"/>
          </w:tcPr>
          <w:p w14:paraId="12DC79C5">
            <w:pPr>
              <w:pStyle w:val="13"/>
            </w:pPr>
          </w:p>
        </w:tc>
        <w:tc>
          <w:tcPr>
            <w:tcW w:w="1474" w:type="dxa"/>
            <w:vAlign w:val="center"/>
          </w:tcPr>
          <w:p w14:paraId="021A41A8">
            <w:pPr>
              <w:pStyle w:val="14"/>
            </w:pPr>
          </w:p>
        </w:tc>
        <w:tc>
          <w:tcPr>
            <w:tcW w:w="1474" w:type="dxa"/>
            <w:vAlign w:val="center"/>
          </w:tcPr>
          <w:p w14:paraId="6D00BE1B">
            <w:pPr>
              <w:pStyle w:val="14"/>
            </w:pPr>
          </w:p>
        </w:tc>
        <w:tc>
          <w:tcPr>
            <w:tcW w:w="1474" w:type="dxa"/>
            <w:vAlign w:val="center"/>
          </w:tcPr>
          <w:p w14:paraId="26CFC18D">
            <w:pPr>
              <w:pStyle w:val="14"/>
            </w:pPr>
          </w:p>
        </w:tc>
        <w:tc>
          <w:tcPr>
            <w:tcW w:w="1474" w:type="dxa"/>
            <w:vAlign w:val="center"/>
          </w:tcPr>
          <w:p w14:paraId="581F957F">
            <w:pPr>
              <w:pStyle w:val="14"/>
            </w:pPr>
          </w:p>
        </w:tc>
      </w:tr>
      <w:tr w14:paraId="243BD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D40E4">
            <w:pPr>
              <w:pStyle w:val="12"/>
            </w:pPr>
            <w:r>
              <w:t>36</w:t>
            </w:r>
          </w:p>
        </w:tc>
        <w:tc>
          <w:tcPr>
            <w:tcW w:w="3402" w:type="dxa"/>
            <w:vAlign w:val="center"/>
          </w:tcPr>
          <w:p w14:paraId="516B9105">
            <w:pPr>
              <w:pStyle w:val="13"/>
            </w:pPr>
            <w:r>
              <w:t>三、国有资本经营预算拨款</w:t>
            </w:r>
          </w:p>
        </w:tc>
        <w:tc>
          <w:tcPr>
            <w:tcW w:w="1474" w:type="dxa"/>
            <w:vAlign w:val="center"/>
          </w:tcPr>
          <w:p w14:paraId="06F1163B">
            <w:pPr>
              <w:pStyle w:val="14"/>
            </w:pPr>
          </w:p>
        </w:tc>
        <w:tc>
          <w:tcPr>
            <w:tcW w:w="3402" w:type="dxa"/>
            <w:vAlign w:val="center"/>
          </w:tcPr>
          <w:p w14:paraId="34009E46">
            <w:pPr>
              <w:pStyle w:val="13"/>
            </w:pPr>
          </w:p>
        </w:tc>
        <w:tc>
          <w:tcPr>
            <w:tcW w:w="1474" w:type="dxa"/>
            <w:vAlign w:val="center"/>
          </w:tcPr>
          <w:p w14:paraId="797F1C67">
            <w:pPr>
              <w:pStyle w:val="14"/>
            </w:pPr>
          </w:p>
        </w:tc>
        <w:tc>
          <w:tcPr>
            <w:tcW w:w="1474" w:type="dxa"/>
            <w:vAlign w:val="center"/>
          </w:tcPr>
          <w:p w14:paraId="618BED5A">
            <w:pPr>
              <w:pStyle w:val="14"/>
            </w:pPr>
          </w:p>
        </w:tc>
        <w:tc>
          <w:tcPr>
            <w:tcW w:w="1474" w:type="dxa"/>
            <w:vAlign w:val="center"/>
          </w:tcPr>
          <w:p w14:paraId="7BE87E86">
            <w:pPr>
              <w:pStyle w:val="14"/>
            </w:pPr>
          </w:p>
        </w:tc>
        <w:tc>
          <w:tcPr>
            <w:tcW w:w="1474" w:type="dxa"/>
            <w:vAlign w:val="center"/>
          </w:tcPr>
          <w:p w14:paraId="126BBE44">
            <w:pPr>
              <w:pStyle w:val="14"/>
            </w:pPr>
          </w:p>
        </w:tc>
      </w:tr>
      <w:tr w14:paraId="48B13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B77BC">
            <w:pPr>
              <w:pStyle w:val="12"/>
            </w:pPr>
            <w:r>
              <w:t>37</w:t>
            </w:r>
          </w:p>
        </w:tc>
        <w:tc>
          <w:tcPr>
            <w:tcW w:w="3402" w:type="dxa"/>
            <w:vAlign w:val="center"/>
          </w:tcPr>
          <w:p w14:paraId="4E4BAB35">
            <w:pPr>
              <w:pStyle w:val="15"/>
            </w:pPr>
            <w:r>
              <w:t>收入总计</w:t>
            </w:r>
          </w:p>
        </w:tc>
        <w:tc>
          <w:tcPr>
            <w:tcW w:w="1474" w:type="dxa"/>
            <w:vAlign w:val="center"/>
          </w:tcPr>
          <w:p w14:paraId="02B9D2DE">
            <w:pPr>
              <w:pStyle w:val="16"/>
            </w:pPr>
            <w:r>
              <w:t>2008.85</w:t>
            </w:r>
          </w:p>
        </w:tc>
        <w:tc>
          <w:tcPr>
            <w:tcW w:w="3402" w:type="dxa"/>
            <w:vAlign w:val="center"/>
          </w:tcPr>
          <w:p w14:paraId="57BD7667">
            <w:pPr>
              <w:pStyle w:val="15"/>
            </w:pPr>
            <w:r>
              <w:t>支出总计</w:t>
            </w:r>
          </w:p>
        </w:tc>
        <w:tc>
          <w:tcPr>
            <w:tcW w:w="1474" w:type="dxa"/>
            <w:vAlign w:val="center"/>
          </w:tcPr>
          <w:p w14:paraId="7CD957E9">
            <w:pPr>
              <w:pStyle w:val="16"/>
            </w:pPr>
            <w:r>
              <w:t>2008.85</w:t>
            </w:r>
          </w:p>
        </w:tc>
        <w:tc>
          <w:tcPr>
            <w:tcW w:w="1474" w:type="dxa"/>
            <w:vAlign w:val="center"/>
          </w:tcPr>
          <w:p w14:paraId="7F010471">
            <w:pPr>
              <w:pStyle w:val="16"/>
            </w:pPr>
            <w:r>
              <w:t>2008.85</w:t>
            </w:r>
          </w:p>
        </w:tc>
        <w:tc>
          <w:tcPr>
            <w:tcW w:w="1474" w:type="dxa"/>
            <w:vAlign w:val="center"/>
          </w:tcPr>
          <w:p w14:paraId="0A2B1E1E">
            <w:pPr>
              <w:pStyle w:val="16"/>
            </w:pPr>
          </w:p>
        </w:tc>
        <w:tc>
          <w:tcPr>
            <w:tcW w:w="1474" w:type="dxa"/>
            <w:vAlign w:val="center"/>
          </w:tcPr>
          <w:p w14:paraId="762EDE69">
            <w:pPr>
              <w:pStyle w:val="16"/>
            </w:pPr>
          </w:p>
        </w:tc>
      </w:tr>
    </w:tbl>
    <w:p w14:paraId="020514DB">
      <w:pPr>
        <w:sectPr>
          <w:pgSz w:w="16840" w:h="11900" w:orient="landscape"/>
          <w:pgMar w:top="1361" w:right="1020" w:bottom="1134" w:left="1020" w:header="720" w:footer="720" w:gutter="0"/>
          <w:cols w:space="720" w:num="1"/>
        </w:sectPr>
      </w:pPr>
    </w:p>
    <w:p w14:paraId="56992D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E85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F0A48F">
            <w:pPr>
              <w:pStyle w:val="8"/>
            </w:pPr>
            <w:r>
              <w:t>360013隆尧县实验小学</w:t>
            </w:r>
          </w:p>
        </w:tc>
        <w:tc>
          <w:tcPr>
            <w:tcW w:w="2551" w:type="dxa"/>
            <w:tcBorders>
              <w:top w:val="single" w:color="FFFFFF" w:sz="6" w:space="0"/>
              <w:left w:val="single" w:color="FFFFFF" w:sz="6" w:space="0"/>
              <w:right w:val="single" w:color="FFFFFF" w:sz="6" w:space="0"/>
            </w:tcBorders>
            <w:vAlign w:val="center"/>
          </w:tcPr>
          <w:p w14:paraId="077B8BA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2C1708A">
            <w:pPr>
              <w:pStyle w:val="10"/>
            </w:pPr>
            <w:r>
              <w:t>单位：万元</w:t>
            </w:r>
          </w:p>
        </w:tc>
      </w:tr>
      <w:tr w14:paraId="2A3C2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193458">
            <w:pPr>
              <w:pStyle w:val="11"/>
            </w:pPr>
            <w:r>
              <w:t>序号</w:t>
            </w:r>
          </w:p>
        </w:tc>
        <w:tc>
          <w:tcPr>
            <w:tcW w:w="5726" w:type="dxa"/>
            <w:gridSpan w:val="2"/>
            <w:vAlign w:val="center"/>
          </w:tcPr>
          <w:p w14:paraId="75D04864">
            <w:pPr>
              <w:pStyle w:val="11"/>
            </w:pPr>
            <w:r>
              <w:t>功能分类科目</w:t>
            </w:r>
          </w:p>
        </w:tc>
        <w:tc>
          <w:tcPr>
            <w:tcW w:w="2551" w:type="dxa"/>
            <w:vMerge w:val="restart"/>
            <w:vAlign w:val="center"/>
          </w:tcPr>
          <w:p w14:paraId="4098BA0C">
            <w:pPr>
              <w:pStyle w:val="11"/>
            </w:pPr>
            <w:r>
              <w:t>合计</w:t>
            </w:r>
          </w:p>
        </w:tc>
        <w:tc>
          <w:tcPr>
            <w:tcW w:w="2551" w:type="dxa"/>
            <w:vMerge w:val="restart"/>
            <w:vAlign w:val="center"/>
          </w:tcPr>
          <w:p w14:paraId="75529A79">
            <w:pPr>
              <w:pStyle w:val="11"/>
            </w:pPr>
            <w:r>
              <w:t>基本支出</w:t>
            </w:r>
          </w:p>
        </w:tc>
        <w:tc>
          <w:tcPr>
            <w:tcW w:w="2551" w:type="dxa"/>
            <w:vMerge w:val="restart"/>
            <w:vAlign w:val="center"/>
          </w:tcPr>
          <w:p w14:paraId="28E920CB">
            <w:pPr>
              <w:pStyle w:val="11"/>
            </w:pPr>
            <w:r>
              <w:t>项目支出</w:t>
            </w:r>
          </w:p>
        </w:tc>
      </w:tr>
      <w:tr w14:paraId="0AABF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44F1D"/>
        </w:tc>
        <w:tc>
          <w:tcPr>
            <w:tcW w:w="1191" w:type="dxa"/>
            <w:vAlign w:val="center"/>
          </w:tcPr>
          <w:p w14:paraId="515B9446">
            <w:pPr>
              <w:pStyle w:val="11"/>
            </w:pPr>
            <w:r>
              <w:t>科目编码</w:t>
            </w:r>
          </w:p>
        </w:tc>
        <w:tc>
          <w:tcPr>
            <w:tcW w:w="4535" w:type="dxa"/>
            <w:vAlign w:val="center"/>
          </w:tcPr>
          <w:p w14:paraId="1CB661CF">
            <w:pPr>
              <w:pStyle w:val="11"/>
            </w:pPr>
            <w:r>
              <w:t>科目名称</w:t>
            </w:r>
          </w:p>
        </w:tc>
        <w:tc>
          <w:tcPr>
            <w:tcW w:w="2551" w:type="dxa"/>
            <w:vMerge w:val="continue"/>
          </w:tcPr>
          <w:p w14:paraId="4466947B"/>
        </w:tc>
        <w:tc>
          <w:tcPr>
            <w:tcW w:w="2551" w:type="dxa"/>
            <w:vMerge w:val="continue"/>
          </w:tcPr>
          <w:p w14:paraId="201DC7F0"/>
        </w:tc>
        <w:tc>
          <w:tcPr>
            <w:tcW w:w="2551" w:type="dxa"/>
            <w:vMerge w:val="continue"/>
          </w:tcPr>
          <w:p w14:paraId="219524AE"/>
        </w:tc>
      </w:tr>
      <w:tr w14:paraId="4297F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980353">
            <w:pPr>
              <w:pStyle w:val="11"/>
            </w:pPr>
            <w:r>
              <w:t>栏次</w:t>
            </w:r>
          </w:p>
        </w:tc>
        <w:tc>
          <w:tcPr>
            <w:tcW w:w="1191" w:type="dxa"/>
            <w:vAlign w:val="center"/>
          </w:tcPr>
          <w:p w14:paraId="1C1F37F8">
            <w:pPr>
              <w:pStyle w:val="11"/>
            </w:pPr>
            <w:r>
              <w:t>1</w:t>
            </w:r>
          </w:p>
        </w:tc>
        <w:tc>
          <w:tcPr>
            <w:tcW w:w="4535" w:type="dxa"/>
            <w:vAlign w:val="center"/>
          </w:tcPr>
          <w:p w14:paraId="4FC67DDB">
            <w:pPr>
              <w:pStyle w:val="11"/>
            </w:pPr>
            <w:r>
              <w:t>2</w:t>
            </w:r>
          </w:p>
        </w:tc>
        <w:tc>
          <w:tcPr>
            <w:tcW w:w="2551" w:type="dxa"/>
            <w:vAlign w:val="center"/>
          </w:tcPr>
          <w:p w14:paraId="050EBEF5">
            <w:pPr>
              <w:pStyle w:val="11"/>
            </w:pPr>
            <w:r>
              <w:t>3</w:t>
            </w:r>
          </w:p>
        </w:tc>
        <w:tc>
          <w:tcPr>
            <w:tcW w:w="2551" w:type="dxa"/>
            <w:vAlign w:val="center"/>
          </w:tcPr>
          <w:p w14:paraId="1FC12B9C">
            <w:pPr>
              <w:pStyle w:val="11"/>
            </w:pPr>
            <w:r>
              <w:t>4</w:t>
            </w:r>
          </w:p>
        </w:tc>
        <w:tc>
          <w:tcPr>
            <w:tcW w:w="2551" w:type="dxa"/>
            <w:vAlign w:val="center"/>
          </w:tcPr>
          <w:p w14:paraId="35CE6508">
            <w:pPr>
              <w:pStyle w:val="11"/>
            </w:pPr>
            <w:r>
              <w:t>5</w:t>
            </w:r>
          </w:p>
        </w:tc>
      </w:tr>
      <w:tr w14:paraId="0EBB4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ED83E">
            <w:pPr>
              <w:pStyle w:val="12"/>
            </w:pPr>
            <w:r>
              <w:t>1</w:t>
            </w:r>
          </w:p>
        </w:tc>
        <w:tc>
          <w:tcPr>
            <w:tcW w:w="1191" w:type="dxa"/>
            <w:vAlign w:val="center"/>
          </w:tcPr>
          <w:p w14:paraId="44F2166D">
            <w:pPr>
              <w:pStyle w:val="17"/>
            </w:pPr>
          </w:p>
        </w:tc>
        <w:tc>
          <w:tcPr>
            <w:tcW w:w="4535" w:type="dxa"/>
            <w:vAlign w:val="center"/>
          </w:tcPr>
          <w:p w14:paraId="612C67DB">
            <w:pPr>
              <w:pStyle w:val="15"/>
            </w:pPr>
            <w:r>
              <w:t>合计</w:t>
            </w:r>
          </w:p>
        </w:tc>
        <w:tc>
          <w:tcPr>
            <w:tcW w:w="2551" w:type="dxa"/>
            <w:vAlign w:val="center"/>
          </w:tcPr>
          <w:p w14:paraId="5ADAA22F">
            <w:pPr>
              <w:pStyle w:val="16"/>
            </w:pPr>
            <w:r>
              <w:t>2008.85</w:t>
            </w:r>
          </w:p>
        </w:tc>
        <w:tc>
          <w:tcPr>
            <w:tcW w:w="2551" w:type="dxa"/>
            <w:vAlign w:val="center"/>
          </w:tcPr>
          <w:p w14:paraId="76669B39">
            <w:pPr>
              <w:pStyle w:val="16"/>
            </w:pPr>
            <w:r>
              <w:t>1661.66</w:t>
            </w:r>
          </w:p>
        </w:tc>
        <w:tc>
          <w:tcPr>
            <w:tcW w:w="2551" w:type="dxa"/>
            <w:vAlign w:val="center"/>
          </w:tcPr>
          <w:p w14:paraId="0E9CAF31">
            <w:pPr>
              <w:pStyle w:val="16"/>
            </w:pPr>
            <w:r>
              <w:t>347.18</w:t>
            </w:r>
          </w:p>
        </w:tc>
      </w:tr>
      <w:tr w14:paraId="38575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211A6">
            <w:pPr>
              <w:pStyle w:val="12"/>
            </w:pPr>
            <w:r>
              <w:t>2</w:t>
            </w:r>
          </w:p>
        </w:tc>
        <w:tc>
          <w:tcPr>
            <w:tcW w:w="1191" w:type="dxa"/>
            <w:vAlign w:val="center"/>
          </w:tcPr>
          <w:p w14:paraId="2F6E8ACB">
            <w:pPr>
              <w:pStyle w:val="13"/>
            </w:pPr>
            <w:r>
              <w:t>205</w:t>
            </w:r>
          </w:p>
        </w:tc>
        <w:tc>
          <w:tcPr>
            <w:tcW w:w="4535" w:type="dxa"/>
            <w:vAlign w:val="center"/>
          </w:tcPr>
          <w:p w14:paraId="51E1CB86">
            <w:pPr>
              <w:pStyle w:val="13"/>
            </w:pPr>
            <w:r>
              <w:t>教育支出</w:t>
            </w:r>
          </w:p>
        </w:tc>
        <w:tc>
          <w:tcPr>
            <w:tcW w:w="2551" w:type="dxa"/>
            <w:vAlign w:val="center"/>
          </w:tcPr>
          <w:p w14:paraId="4C177B3E">
            <w:pPr>
              <w:pStyle w:val="14"/>
            </w:pPr>
            <w:r>
              <w:t>2008.85</w:t>
            </w:r>
          </w:p>
        </w:tc>
        <w:tc>
          <w:tcPr>
            <w:tcW w:w="2551" w:type="dxa"/>
            <w:vAlign w:val="center"/>
          </w:tcPr>
          <w:p w14:paraId="7FF5FA23">
            <w:pPr>
              <w:pStyle w:val="14"/>
            </w:pPr>
            <w:r>
              <w:t>1661.66</w:t>
            </w:r>
          </w:p>
        </w:tc>
        <w:tc>
          <w:tcPr>
            <w:tcW w:w="2551" w:type="dxa"/>
            <w:vAlign w:val="center"/>
          </w:tcPr>
          <w:p w14:paraId="4243AD73">
            <w:pPr>
              <w:pStyle w:val="14"/>
            </w:pPr>
            <w:r>
              <w:t>347.18</w:t>
            </w:r>
          </w:p>
        </w:tc>
      </w:tr>
      <w:tr w14:paraId="1CB18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84D30">
            <w:pPr>
              <w:pStyle w:val="12"/>
            </w:pPr>
            <w:r>
              <w:t>3</w:t>
            </w:r>
          </w:p>
        </w:tc>
        <w:tc>
          <w:tcPr>
            <w:tcW w:w="1191" w:type="dxa"/>
            <w:vAlign w:val="center"/>
          </w:tcPr>
          <w:p w14:paraId="103D23A6">
            <w:pPr>
              <w:pStyle w:val="13"/>
            </w:pPr>
            <w:r>
              <w:t>20502</w:t>
            </w:r>
          </w:p>
        </w:tc>
        <w:tc>
          <w:tcPr>
            <w:tcW w:w="4535" w:type="dxa"/>
            <w:vAlign w:val="center"/>
          </w:tcPr>
          <w:p w14:paraId="420C4DDC">
            <w:pPr>
              <w:pStyle w:val="13"/>
            </w:pPr>
            <w:r>
              <w:t>普通教育</w:t>
            </w:r>
          </w:p>
        </w:tc>
        <w:tc>
          <w:tcPr>
            <w:tcW w:w="2551" w:type="dxa"/>
            <w:vAlign w:val="center"/>
          </w:tcPr>
          <w:p w14:paraId="34C9ECEC">
            <w:pPr>
              <w:pStyle w:val="14"/>
            </w:pPr>
            <w:r>
              <w:t>2008.85</w:t>
            </w:r>
          </w:p>
        </w:tc>
        <w:tc>
          <w:tcPr>
            <w:tcW w:w="2551" w:type="dxa"/>
            <w:vAlign w:val="center"/>
          </w:tcPr>
          <w:p w14:paraId="00EEC6F8">
            <w:pPr>
              <w:pStyle w:val="14"/>
            </w:pPr>
            <w:r>
              <w:t>1661.66</w:t>
            </w:r>
          </w:p>
        </w:tc>
        <w:tc>
          <w:tcPr>
            <w:tcW w:w="2551" w:type="dxa"/>
            <w:vAlign w:val="center"/>
          </w:tcPr>
          <w:p w14:paraId="44743C79">
            <w:pPr>
              <w:pStyle w:val="14"/>
            </w:pPr>
            <w:r>
              <w:t>347.18</w:t>
            </w:r>
          </w:p>
        </w:tc>
      </w:tr>
      <w:tr w14:paraId="45D90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BCE8A">
            <w:pPr>
              <w:pStyle w:val="12"/>
            </w:pPr>
            <w:r>
              <w:t>4</w:t>
            </w:r>
          </w:p>
        </w:tc>
        <w:tc>
          <w:tcPr>
            <w:tcW w:w="1191" w:type="dxa"/>
            <w:vAlign w:val="center"/>
          </w:tcPr>
          <w:p w14:paraId="508569AC">
            <w:pPr>
              <w:pStyle w:val="13"/>
            </w:pPr>
            <w:r>
              <w:t>2050201</w:t>
            </w:r>
          </w:p>
        </w:tc>
        <w:tc>
          <w:tcPr>
            <w:tcW w:w="4535" w:type="dxa"/>
            <w:vAlign w:val="center"/>
          </w:tcPr>
          <w:p w14:paraId="46D0FD49">
            <w:pPr>
              <w:pStyle w:val="13"/>
            </w:pPr>
            <w:r>
              <w:t>学前教育</w:t>
            </w:r>
          </w:p>
        </w:tc>
        <w:tc>
          <w:tcPr>
            <w:tcW w:w="2551" w:type="dxa"/>
            <w:vAlign w:val="center"/>
          </w:tcPr>
          <w:p w14:paraId="72B6E294">
            <w:pPr>
              <w:pStyle w:val="14"/>
            </w:pPr>
            <w:r>
              <w:t>0.30</w:t>
            </w:r>
          </w:p>
        </w:tc>
        <w:tc>
          <w:tcPr>
            <w:tcW w:w="2551" w:type="dxa"/>
            <w:vAlign w:val="center"/>
          </w:tcPr>
          <w:p w14:paraId="507D46AF">
            <w:pPr>
              <w:pStyle w:val="14"/>
            </w:pPr>
          </w:p>
        </w:tc>
        <w:tc>
          <w:tcPr>
            <w:tcW w:w="2551" w:type="dxa"/>
            <w:vAlign w:val="center"/>
          </w:tcPr>
          <w:p w14:paraId="404B3BFB">
            <w:pPr>
              <w:pStyle w:val="14"/>
            </w:pPr>
            <w:r>
              <w:t>0.30</w:t>
            </w:r>
          </w:p>
        </w:tc>
      </w:tr>
      <w:tr w14:paraId="67775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96B80">
            <w:pPr>
              <w:pStyle w:val="12"/>
            </w:pPr>
            <w:r>
              <w:t>5</w:t>
            </w:r>
          </w:p>
        </w:tc>
        <w:tc>
          <w:tcPr>
            <w:tcW w:w="1191" w:type="dxa"/>
            <w:vAlign w:val="center"/>
          </w:tcPr>
          <w:p w14:paraId="3DE9BEB4">
            <w:pPr>
              <w:pStyle w:val="13"/>
            </w:pPr>
            <w:r>
              <w:t>2050202</w:t>
            </w:r>
          </w:p>
        </w:tc>
        <w:tc>
          <w:tcPr>
            <w:tcW w:w="4535" w:type="dxa"/>
            <w:vAlign w:val="center"/>
          </w:tcPr>
          <w:p w14:paraId="7E327114">
            <w:pPr>
              <w:pStyle w:val="13"/>
            </w:pPr>
            <w:r>
              <w:t>小学教育</w:t>
            </w:r>
          </w:p>
        </w:tc>
        <w:tc>
          <w:tcPr>
            <w:tcW w:w="2551" w:type="dxa"/>
            <w:vAlign w:val="center"/>
          </w:tcPr>
          <w:p w14:paraId="6283412F">
            <w:pPr>
              <w:pStyle w:val="14"/>
            </w:pPr>
            <w:r>
              <w:t>2008.55</w:t>
            </w:r>
          </w:p>
        </w:tc>
        <w:tc>
          <w:tcPr>
            <w:tcW w:w="2551" w:type="dxa"/>
            <w:vAlign w:val="center"/>
          </w:tcPr>
          <w:p w14:paraId="56638C64">
            <w:pPr>
              <w:pStyle w:val="14"/>
            </w:pPr>
            <w:r>
              <w:t>1661.66</w:t>
            </w:r>
          </w:p>
        </w:tc>
        <w:tc>
          <w:tcPr>
            <w:tcW w:w="2551" w:type="dxa"/>
            <w:vAlign w:val="center"/>
          </w:tcPr>
          <w:p w14:paraId="6C6FAF83">
            <w:pPr>
              <w:pStyle w:val="14"/>
            </w:pPr>
            <w:r>
              <w:t>346.88</w:t>
            </w:r>
          </w:p>
        </w:tc>
      </w:tr>
    </w:tbl>
    <w:p w14:paraId="3FFC6A6C">
      <w:pPr>
        <w:sectPr>
          <w:pgSz w:w="16840" w:h="11900" w:orient="landscape"/>
          <w:pgMar w:top="1361" w:right="1020" w:bottom="1134" w:left="1020" w:header="720" w:footer="720" w:gutter="0"/>
          <w:cols w:space="720" w:num="1"/>
        </w:sectPr>
      </w:pPr>
    </w:p>
    <w:p w14:paraId="6F65BB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CD0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65E02D">
            <w:pPr>
              <w:pStyle w:val="8"/>
            </w:pPr>
            <w:r>
              <w:t>360013隆尧县实验小学</w:t>
            </w:r>
          </w:p>
        </w:tc>
        <w:tc>
          <w:tcPr>
            <w:tcW w:w="2551" w:type="dxa"/>
            <w:tcBorders>
              <w:top w:val="single" w:color="FFFFFF" w:sz="6" w:space="0"/>
              <w:left w:val="single" w:color="FFFFFF" w:sz="6" w:space="0"/>
              <w:right w:val="single" w:color="FFFFFF" w:sz="6" w:space="0"/>
            </w:tcBorders>
            <w:vAlign w:val="center"/>
          </w:tcPr>
          <w:p w14:paraId="02EA8E7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71544B9">
            <w:pPr>
              <w:pStyle w:val="10"/>
            </w:pPr>
            <w:r>
              <w:t>单位：万元</w:t>
            </w:r>
          </w:p>
        </w:tc>
      </w:tr>
      <w:tr w14:paraId="2678E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A1975">
            <w:pPr>
              <w:pStyle w:val="11"/>
            </w:pPr>
            <w:r>
              <w:t>序号</w:t>
            </w:r>
          </w:p>
        </w:tc>
        <w:tc>
          <w:tcPr>
            <w:tcW w:w="5726" w:type="dxa"/>
            <w:gridSpan w:val="2"/>
            <w:vAlign w:val="center"/>
          </w:tcPr>
          <w:p w14:paraId="5CA50C46">
            <w:pPr>
              <w:pStyle w:val="11"/>
            </w:pPr>
            <w:r>
              <w:t>支出部门经济分类科目</w:t>
            </w:r>
          </w:p>
        </w:tc>
        <w:tc>
          <w:tcPr>
            <w:tcW w:w="7653" w:type="dxa"/>
            <w:gridSpan w:val="3"/>
            <w:vAlign w:val="center"/>
          </w:tcPr>
          <w:p w14:paraId="3D62B381">
            <w:pPr>
              <w:pStyle w:val="11"/>
            </w:pPr>
            <w:r>
              <w:t>一般公共预算基本支出</w:t>
            </w:r>
          </w:p>
        </w:tc>
      </w:tr>
      <w:tr w14:paraId="538E7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E795C"/>
        </w:tc>
        <w:tc>
          <w:tcPr>
            <w:tcW w:w="1191" w:type="dxa"/>
            <w:vAlign w:val="center"/>
          </w:tcPr>
          <w:p w14:paraId="118A9EEF">
            <w:pPr>
              <w:pStyle w:val="11"/>
            </w:pPr>
            <w:r>
              <w:t>科目编码</w:t>
            </w:r>
          </w:p>
        </w:tc>
        <w:tc>
          <w:tcPr>
            <w:tcW w:w="4535" w:type="dxa"/>
            <w:vAlign w:val="center"/>
          </w:tcPr>
          <w:p w14:paraId="49C3A3B0">
            <w:pPr>
              <w:pStyle w:val="11"/>
            </w:pPr>
            <w:r>
              <w:t>科目名称</w:t>
            </w:r>
          </w:p>
        </w:tc>
        <w:tc>
          <w:tcPr>
            <w:tcW w:w="2551" w:type="dxa"/>
            <w:vAlign w:val="center"/>
          </w:tcPr>
          <w:p w14:paraId="3BD13902">
            <w:pPr>
              <w:pStyle w:val="11"/>
            </w:pPr>
            <w:r>
              <w:t>合计</w:t>
            </w:r>
          </w:p>
        </w:tc>
        <w:tc>
          <w:tcPr>
            <w:tcW w:w="2551" w:type="dxa"/>
            <w:vAlign w:val="center"/>
          </w:tcPr>
          <w:p w14:paraId="31FB275E">
            <w:pPr>
              <w:pStyle w:val="11"/>
            </w:pPr>
            <w:r>
              <w:t>人员经费</w:t>
            </w:r>
          </w:p>
        </w:tc>
        <w:tc>
          <w:tcPr>
            <w:tcW w:w="2551" w:type="dxa"/>
            <w:vAlign w:val="center"/>
          </w:tcPr>
          <w:p w14:paraId="7885CEF3">
            <w:pPr>
              <w:pStyle w:val="11"/>
            </w:pPr>
            <w:r>
              <w:t>公用经费</w:t>
            </w:r>
          </w:p>
        </w:tc>
      </w:tr>
      <w:tr w14:paraId="2B6D1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74A6C7">
            <w:pPr>
              <w:pStyle w:val="11"/>
            </w:pPr>
            <w:r>
              <w:t>栏次</w:t>
            </w:r>
          </w:p>
        </w:tc>
        <w:tc>
          <w:tcPr>
            <w:tcW w:w="1191" w:type="dxa"/>
            <w:vAlign w:val="center"/>
          </w:tcPr>
          <w:p w14:paraId="12BD1705">
            <w:pPr>
              <w:pStyle w:val="11"/>
            </w:pPr>
            <w:r>
              <w:t>1</w:t>
            </w:r>
          </w:p>
        </w:tc>
        <w:tc>
          <w:tcPr>
            <w:tcW w:w="4535" w:type="dxa"/>
            <w:vAlign w:val="center"/>
          </w:tcPr>
          <w:p w14:paraId="09D07FD6">
            <w:pPr>
              <w:pStyle w:val="11"/>
            </w:pPr>
            <w:r>
              <w:t>2</w:t>
            </w:r>
          </w:p>
        </w:tc>
        <w:tc>
          <w:tcPr>
            <w:tcW w:w="2551" w:type="dxa"/>
            <w:vAlign w:val="center"/>
          </w:tcPr>
          <w:p w14:paraId="20A0FC3B">
            <w:pPr>
              <w:pStyle w:val="11"/>
            </w:pPr>
            <w:r>
              <w:t>3</w:t>
            </w:r>
          </w:p>
        </w:tc>
        <w:tc>
          <w:tcPr>
            <w:tcW w:w="2551" w:type="dxa"/>
            <w:vAlign w:val="center"/>
          </w:tcPr>
          <w:p w14:paraId="18049F11">
            <w:pPr>
              <w:pStyle w:val="11"/>
            </w:pPr>
            <w:r>
              <w:t>4</w:t>
            </w:r>
          </w:p>
        </w:tc>
        <w:tc>
          <w:tcPr>
            <w:tcW w:w="2551" w:type="dxa"/>
            <w:vAlign w:val="center"/>
          </w:tcPr>
          <w:p w14:paraId="365C2BDE">
            <w:pPr>
              <w:pStyle w:val="11"/>
            </w:pPr>
            <w:r>
              <w:t>5</w:t>
            </w:r>
          </w:p>
        </w:tc>
      </w:tr>
      <w:tr w14:paraId="6A3D1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CB3F5">
            <w:pPr>
              <w:pStyle w:val="12"/>
            </w:pPr>
            <w:r>
              <w:t>1</w:t>
            </w:r>
          </w:p>
        </w:tc>
        <w:tc>
          <w:tcPr>
            <w:tcW w:w="1191" w:type="dxa"/>
            <w:vAlign w:val="center"/>
          </w:tcPr>
          <w:p w14:paraId="1F8A0F8B">
            <w:pPr>
              <w:pStyle w:val="17"/>
            </w:pPr>
          </w:p>
        </w:tc>
        <w:tc>
          <w:tcPr>
            <w:tcW w:w="4535" w:type="dxa"/>
            <w:vAlign w:val="center"/>
          </w:tcPr>
          <w:p w14:paraId="185B20DC">
            <w:pPr>
              <w:pStyle w:val="15"/>
            </w:pPr>
            <w:r>
              <w:t>合计</w:t>
            </w:r>
          </w:p>
        </w:tc>
        <w:tc>
          <w:tcPr>
            <w:tcW w:w="2551" w:type="dxa"/>
            <w:vAlign w:val="center"/>
          </w:tcPr>
          <w:p w14:paraId="31965666">
            <w:pPr>
              <w:pStyle w:val="16"/>
            </w:pPr>
            <w:r>
              <w:t>1661.66</w:t>
            </w:r>
          </w:p>
        </w:tc>
        <w:tc>
          <w:tcPr>
            <w:tcW w:w="2551" w:type="dxa"/>
            <w:vAlign w:val="center"/>
          </w:tcPr>
          <w:p w14:paraId="6CB4DFE8">
            <w:pPr>
              <w:pStyle w:val="16"/>
            </w:pPr>
            <w:r>
              <w:t>1661.66</w:t>
            </w:r>
          </w:p>
        </w:tc>
        <w:tc>
          <w:tcPr>
            <w:tcW w:w="2551" w:type="dxa"/>
            <w:vAlign w:val="center"/>
          </w:tcPr>
          <w:p w14:paraId="78FF3DD9">
            <w:pPr>
              <w:pStyle w:val="16"/>
            </w:pPr>
          </w:p>
        </w:tc>
      </w:tr>
      <w:tr w14:paraId="2E558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46192">
            <w:pPr>
              <w:pStyle w:val="12"/>
            </w:pPr>
            <w:r>
              <w:t>2</w:t>
            </w:r>
          </w:p>
        </w:tc>
        <w:tc>
          <w:tcPr>
            <w:tcW w:w="1191" w:type="dxa"/>
            <w:vAlign w:val="center"/>
          </w:tcPr>
          <w:p w14:paraId="4360690F">
            <w:pPr>
              <w:pStyle w:val="13"/>
            </w:pPr>
            <w:r>
              <w:t>301</w:t>
            </w:r>
          </w:p>
        </w:tc>
        <w:tc>
          <w:tcPr>
            <w:tcW w:w="4535" w:type="dxa"/>
            <w:vAlign w:val="center"/>
          </w:tcPr>
          <w:p w14:paraId="712FA452">
            <w:pPr>
              <w:pStyle w:val="13"/>
            </w:pPr>
            <w:r>
              <w:t>工资福利支出</w:t>
            </w:r>
          </w:p>
        </w:tc>
        <w:tc>
          <w:tcPr>
            <w:tcW w:w="2551" w:type="dxa"/>
            <w:vAlign w:val="center"/>
          </w:tcPr>
          <w:p w14:paraId="008AFD17">
            <w:pPr>
              <w:pStyle w:val="14"/>
            </w:pPr>
            <w:r>
              <w:t>1637.07</w:t>
            </w:r>
          </w:p>
        </w:tc>
        <w:tc>
          <w:tcPr>
            <w:tcW w:w="2551" w:type="dxa"/>
            <w:vAlign w:val="center"/>
          </w:tcPr>
          <w:p w14:paraId="754A4E83">
            <w:pPr>
              <w:pStyle w:val="14"/>
            </w:pPr>
            <w:r>
              <w:t>1637.07</w:t>
            </w:r>
          </w:p>
        </w:tc>
        <w:tc>
          <w:tcPr>
            <w:tcW w:w="2551" w:type="dxa"/>
            <w:vAlign w:val="center"/>
          </w:tcPr>
          <w:p w14:paraId="2A6D1EB0">
            <w:pPr>
              <w:pStyle w:val="14"/>
            </w:pPr>
          </w:p>
        </w:tc>
      </w:tr>
      <w:tr w14:paraId="344AB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4CA28">
            <w:pPr>
              <w:pStyle w:val="12"/>
            </w:pPr>
            <w:r>
              <w:t>3</w:t>
            </w:r>
          </w:p>
        </w:tc>
        <w:tc>
          <w:tcPr>
            <w:tcW w:w="1191" w:type="dxa"/>
            <w:vAlign w:val="center"/>
          </w:tcPr>
          <w:p w14:paraId="66EB9EEC">
            <w:pPr>
              <w:pStyle w:val="13"/>
            </w:pPr>
            <w:r>
              <w:t>30101</w:t>
            </w:r>
          </w:p>
        </w:tc>
        <w:tc>
          <w:tcPr>
            <w:tcW w:w="4535" w:type="dxa"/>
            <w:vAlign w:val="center"/>
          </w:tcPr>
          <w:p w14:paraId="1794E459">
            <w:pPr>
              <w:pStyle w:val="13"/>
            </w:pPr>
            <w:r>
              <w:t>基本工资</w:t>
            </w:r>
          </w:p>
        </w:tc>
        <w:tc>
          <w:tcPr>
            <w:tcW w:w="2551" w:type="dxa"/>
            <w:vAlign w:val="center"/>
          </w:tcPr>
          <w:p w14:paraId="6AAA7428">
            <w:pPr>
              <w:pStyle w:val="14"/>
            </w:pPr>
            <w:r>
              <w:t>806.60</w:t>
            </w:r>
          </w:p>
        </w:tc>
        <w:tc>
          <w:tcPr>
            <w:tcW w:w="2551" w:type="dxa"/>
            <w:vAlign w:val="center"/>
          </w:tcPr>
          <w:p w14:paraId="3DC8290A">
            <w:pPr>
              <w:pStyle w:val="14"/>
            </w:pPr>
            <w:r>
              <w:t>806.60</w:t>
            </w:r>
          </w:p>
        </w:tc>
        <w:tc>
          <w:tcPr>
            <w:tcW w:w="2551" w:type="dxa"/>
            <w:vAlign w:val="center"/>
          </w:tcPr>
          <w:p w14:paraId="5D1EAB09">
            <w:pPr>
              <w:pStyle w:val="14"/>
            </w:pPr>
          </w:p>
        </w:tc>
      </w:tr>
      <w:tr w14:paraId="5122D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48750">
            <w:pPr>
              <w:pStyle w:val="12"/>
            </w:pPr>
            <w:r>
              <w:t>4</w:t>
            </w:r>
          </w:p>
        </w:tc>
        <w:tc>
          <w:tcPr>
            <w:tcW w:w="1191" w:type="dxa"/>
            <w:vAlign w:val="center"/>
          </w:tcPr>
          <w:p w14:paraId="03D827A2">
            <w:pPr>
              <w:pStyle w:val="13"/>
            </w:pPr>
            <w:r>
              <w:t>30102</w:t>
            </w:r>
          </w:p>
        </w:tc>
        <w:tc>
          <w:tcPr>
            <w:tcW w:w="4535" w:type="dxa"/>
            <w:vAlign w:val="center"/>
          </w:tcPr>
          <w:p w14:paraId="31B67899">
            <w:pPr>
              <w:pStyle w:val="13"/>
            </w:pPr>
            <w:r>
              <w:t>津贴补贴</w:t>
            </w:r>
          </w:p>
        </w:tc>
        <w:tc>
          <w:tcPr>
            <w:tcW w:w="2551" w:type="dxa"/>
            <w:vAlign w:val="center"/>
          </w:tcPr>
          <w:p w14:paraId="7AE46B46">
            <w:pPr>
              <w:pStyle w:val="14"/>
            </w:pPr>
            <w:r>
              <w:t>24.94</w:t>
            </w:r>
          </w:p>
        </w:tc>
        <w:tc>
          <w:tcPr>
            <w:tcW w:w="2551" w:type="dxa"/>
            <w:vAlign w:val="center"/>
          </w:tcPr>
          <w:p w14:paraId="49941B2D">
            <w:pPr>
              <w:pStyle w:val="14"/>
            </w:pPr>
            <w:r>
              <w:t>24.94</w:t>
            </w:r>
          </w:p>
        </w:tc>
        <w:tc>
          <w:tcPr>
            <w:tcW w:w="2551" w:type="dxa"/>
            <w:vAlign w:val="center"/>
          </w:tcPr>
          <w:p w14:paraId="3B08C7DA">
            <w:pPr>
              <w:pStyle w:val="14"/>
            </w:pPr>
          </w:p>
        </w:tc>
      </w:tr>
      <w:tr w14:paraId="52BCA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59AB1">
            <w:pPr>
              <w:pStyle w:val="12"/>
            </w:pPr>
            <w:r>
              <w:t>5</w:t>
            </w:r>
          </w:p>
        </w:tc>
        <w:tc>
          <w:tcPr>
            <w:tcW w:w="1191" w:type="dxa"/>
            <w:vAlign w:val="center"/>
          </w:tcPr>
          <w:p w14:paraId="31DF6BEA">
            <w:pPr>
              <w:pStyle w:val="13"/>
            </w:pPr>
            <w:r>
              <w:t>30107</w:t>
            </w:r>
          </w:p>
        </w:tc>
        <w:tc>
          <w:tcPr>
            <w:tcW w:w="4535" w:type="dxa"/>
            <w:vAlign w:val="center"/>
          </w:tcPr>
          <w:p w14:paraId="062CFCBF">
            <w:pPr>
              <w:pStyle w:val="13"/>
            </w:pPr>
            <w:r>
              <w:t>绩效工资</w:t>
            </w:r>
          </w:p>
        </w:tc>
        <w:tc>
          <w:tcPr>
            <w:tcW w:w="2551" w:type="dxa"/>
            <w:vAlign w:val="center"/>
          </w:tcPr>
          <w:p w14:paraId="413A188A">
            <w:pPr>
              <w:pStyle w:val="14"/>
            </w:pPr>
            <w:r>
              <w:t>441.14</w:t>
            </w:r>
          </w:p>
        </w:tc>
        <w:tc>
          <w:tcPr>
            <w:tcW w:w="2551" w:type="dxa"/>
            <w:vAlign w:val="center"/>
          </w:tcPr>
          <w:p w14:paraId="7FA8FAE7">
            <w:pPr>
              <w:pStyle w:val="14"/>
            </w:pPr>
            <w:r>
              <w:t>441.14</w:t>
            </w:r>
          </w:p>
        </w:tc>
        <w:tc>
          <w:tcPr>
            <w:tcW w:w="2551" w:type="dxa"/>
            <w:vAlign w:val="center"/>
          </w:tcPr>
          <w:p w14:paraId="08F820CA">
            <w:pPr>
              <w:pStyle w:val="14"/>
            </w:pPr>
          </w:p>
        </w:tc>
      </w:tr>
      <w:tr w14:paraId="34D14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DBFB6">
            <w:pPr>
              <w:pStyle w:val="12"/>
            </w:pPr>
            <w:r>
              <w:t>6</w:t>
            </w:r>
          </w:p>
        </w:tc>
        <w:tc>
          <w:tcPr>
            <w:tcW w:w="1191" w:type="dxa"/>
            <w:vAlign w:val="center"/>
          </w:tcPr>
          <w:p w14:paraId="647F6F02">
            <w:pPr>
              <w:pStyle w:val="13"/>
            </w:pPr>
            <w:r>
              <w:t>30108</w:t>
            </w:r>
          </w:p>
        </w:tc>
        <w:tc>
          <w:tcPr>
            <w:tcW w:w="4535" w:type="dxa"/>
            <w:vAlign w:val="center"/>
          </w:tcPr>
          <w:p w14:paraId="759F7887">
            <w:pPr>
              <w:pStyle w:val="13"/>
            </w:pPr>
            <w:r>
              <w:t>机关事业单位基本养老保险缴费</w:t>
            </w:r>
          </w:p>
        </w:tc>
        <w:tc>
          <w:tcPr>
            <w:tcW w:w="2551" w:type="dxa"/>
            <w:vAlign w:val="center"/>
          </w:tcPr>
          <w:p w14:paraId="508FD0C7">
            <w:pPr>
              <w:pStyle w:val="14"/>
            </w:pPr>
            <w:r>
              <w:t>158.02</w:t>
            </w:r>
          </w:p>
        </w:tc>
        <w:tc>
          <w:tcPr>
            <w:tcW w:w="2551" w:type="dxa"/>
            <w:vAlign w:val="center"/>
          </w:tcPr>
          <w:p w14:paraId="05A8A09D">
            <w:pPr>
              <w:pStyle w:val="14"/>
            </w:pPr>
            <w:r>
              <w:t>158.02</w:t>
            </w:r>
          </w:p>
        </w:tc>
        <w:tc>
          <w:tcPr>
            <w:tcW w:w="2551" w:type="dxa"/>
            <w:vAlign w:val="center"/>
          </w:tcPr>
          <w:p w14:paraId="054B79FB">
            <w:pPr>
              <w:pStyle w:val="14"/>
            </w:pPr>
          </w:p>
        </w:tc>
      </w:tr>
      <w:tr w14:paraId="28A05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6CFCF">
            <w:pPr>
              <w:pStyle w:val="12"/>
            </w:pPr>
            <w:r>
              <w:t>7</w:t>
            </w:r>
          </w:p>
        </w:tc>
        <w:tc>
          <w:tcPr>
            <w:tcW w:w="1191" w:type="dxa"/>
            <w:vAlign w:val="center"/>
          </w:tcPr>
          <w:p w14:paraId="3B63E976">
            <w:pPr>
              <w:pStyle w:val="13"/>
            </w:pPr>
            <w:r>
              <w:t>30110</w:t>
            </w:r>
          </w:p>
        </w:tc>
        <w:tc>
          <w:tcPr>
            <w:tcW w:w="4535" w:type="dxa"/>
            <w:vAlign w:val="center"/>
          </w:tcPr>
          <w:p w14:paraId="0C5B4F55">
            <w:pPr>
              <w:pStyle w:val="13"/>
            </w:pPr>
            <w:r>
              <w:t>职工基本医疗保险缴费</w:t>
            </w:r>
          </w:p>
        </w:tc>
        <w:tc>
          <w:tcPr>
            <w:tcW w:w="2551" w:type="dxa"/>
            <w:vAlign w:val="center"/>
          </w:tcPr>
          <w:p w14:paraId="12D01D16">
            <w:pPr>
              <w:pStyle w:val="14"/>
            </w:pPr>
            <w:r>
              <w:t>77.69</w:t>
            </w:r>
          </w:p>
        </w:tc>
        <w:tc>
          <w:tcPr>
            <w:tcW w:w="2551" w:type="dxa"/>
            <w:vAlign w:val="center"/>
          </w:tcPr>
          <w:p w14:paraId="2618475D">
            <w:pPr>
              <w:pStyle w:val="14"/>
            </w:pPr>
            <w:r>
              <w:t>77.69</w:t>
            </w:r>
          </w:p>
        </w:tc>
        <w:tc>
          <w:tcPr>
            <w:tcW w:w="2551" w:type="dxa"/>
            <w:vAlign w:val="center"/>
          </w:tcPr>
          <w:p w14:paraId="0D23C70C">
            <w:pPr>
              <w:pStyle w:val="14"/>
            </w:pPr>
          </w:p>
        </w:tc>
      </w:tr>
      <w:tr w14:paraId="4CF61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662A5">
            <w:pPr>
              <w:pStyle w:val="12"/>
            </w:pPr>
            <w:r>
              <w:t>8</w:t>
            </w:r>
          </w:p>
        </w:tc>
        <w:tc>
          <w:tcPr>
            <w:tcW w:w="1191" w:type="dxa"/>
            <w:vAlign w:val="center"/>
          </w:tcPr>
          <w:p w14:paraId="1CAD7676">
            <w:pPr>
              <w:pStyle w:val="13"/>
            </w:pPr>
            <w:r>
              <w:t>30112</w:t>
            </w:r>
          </w:p>
        </w:tc>
        <w:tc>
          <w:tcPr>
            <w:tcW w:w="4535" w:type="dxa"/>
            <w:vAlign w:val="center"/>
          </w:tcPr>
          <w:p w14:paraId="3BD7CC5E">
            <w:pPr>
              <w:pStyle w:val="13"/>
            </w:pPr>
            <w:r>
              <w:t>其他社会保障缴费</w:t>
            </w:r>
          </w:p>
        </w:tc>
        <w:tc>
          <w:tcPr>
            <w:tcW w:w="2551" w:type="dxa"/>
            <w:vAlign w:val="center"/>
          </w:tcPr>
          <w:p w14:paraId="3E3B164B">
            <w:pPr>
              <w:pStyle w:val="14"/>
            </w:pPr>
            <w:r>
              <w:t>4.70</w:t>
            </w:r>
          </w:p>
        </w:tc>
        <w:tc>
          <w:tcPr>
            <w:tcW w:w="2551" w:type="dxa"/>
            <w:vAlign w:val="center"/>
          </w:tcPr>
          <w:p w14:paraId="4DA641D4">
            <w:pPr>
              <w:pStyle w:val="14"/>
            </w:pPr>
            <w:r>
              <w:t>4.70</w:t>
            </w:r>
          </w:p>
        </w:tc>
        <w:tc>
          <w:tcPr>
            <w:tcW w:w="2551" w:type="dxa"/>
            <w:vAlign w:val="center"/>
          </w:tcPr>
          <w:p w14:paraId="793DA8E2">
            <w:pPr>
              <w:pStyle w:val="14"/>
            </w:pPr>
          </w:p>
        </w:tc>
      </w:tr>
      <w:tr w14:paraId="321B1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C3B1F">
            <w:pPr>
              <w:pStyle w:val="12"/>
            </w:pPr>
            <w:r>
              <w:t>9</w:t>
            </w:r>
          </w:p>
        </w:tc>
        <w:tc>
          <w:tcPr>
            <w:tcW w:w="1191" w:type="dxa"/>
            <w:vAlign w:val="center"/>
          </w:tcPr>
          <w:p w14:paraId="3DD81FE0">
            <w:pPr>
              <w:pStyle w:val="13"/>
            </w:pPr>
            <w:r>
              <w:t>30113</w:t>
            </w:r>
          </w:p>
        </w:tc>
        <w:tc>
          <w:tcPr>
            <w:tcW w:w="4535" w:type="dxa"/>
            <w:vAlign w:val="center"/>
          </w:tcPr>
          <w:p w14:paraId="43C4A12F">
            <w:pPr>
              <w:pStyle w:val="13"/>
            </w:pPr>
            <w:r>
              <w:t>住房公积金</w:t>
            </w:r>
          </w:p>
        </w:tc>
        <w:tc>
          <w:tcPr>
            <w:tcW w:w="2551" w:type="dxa"/>
            <w:vAlign w:val="center"/>
          </w:tcPr>
          <w:p w14:paraId="13370799">
            <w:pPr>
              <w:pStyle w:val="14"/>
            </w:pPr>
            <w:r>
              <w:t>123.98</w:t>
            </w:r>
          </w:p>
        </w:tc>
        <w:tc>
          <w:tcPr>
            <w:tcW w:w="2551" w:type="dxa"/>
            <w:vAlign w:val="center"/>
          </w:tcPr>
          <w:p w14:paraId="4B69C70D">
            <w:pPr>
              <w:pStyle w:val="14"/>
            </w:pPr>
            <w:r>
              <w:t>123.98</w:t>
            </w:r>
          </w:p>
        </w:tc>
        <w:tc>
          <w:tcPr>
            <w:tcW w:w="2551" w:type="dxa"/>
            <w:vAlign w:val="center"/>
          </w:tcPr>
          <w:p w14:paraId="54302902">
            <w:pPr>
              <w:pStyle w:val="14"/>
            </w:pPr>
          </w:p>
        </w:tc>
      </w:tr>
      <w:tr w14:paraId="795E3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D0FF5">
            <w:pPr>
              <w:pStyle w:val="12"/>
            </w:pPr>
            <w:r>
              <w:t>10</w:t>
            </w:r>
          </w:p>
        </w:tc>
        <w:tc>
          <w:tcPr>
            <w:tcW w:w="1191" w:type="dxa"/>
            <w:vAlign w:val="center"/>
          </w:tcPr>
          <w:p w14:paraId="609DA8FF">
            <w:pPr>
              <w:pStyle w:val="13"/>
            </w:pPr>
            <w:r>
              <w:t>303</w:t>
            </w:r>
          </w:p>
        </w:tc>
        <w:tc>
          <w:tcPr>
            <w:tcW w:w="4535" w:type="dxa"/>
            <w:vAlign w:val="center"/>
          </w:tcPr>
          <w:p w14:paraId="5A68DA35">
            <w:pPr>
              <w:pStyle w:val="13"/>
            </w:pPr>
            <w:r>
              <w:t>对个人和家庭的补助</w:t>
            </w:r>
          </w:p>
        </w:tc>
        <w:tc>
          <w:tcPr>
            <w:tcW w:w="2551" w:type="dxa"/>
            <w:vAlign w:val="center"/>
          </w:tcPr>
          <w:p w14:paraId="362BFF95">
            <w:pPr>
              <w:pStyle w:val="14"/>
            </w:pPr>
            <w:r>
              <w:t>24.59</w:t>
            </w:r>
          </w:p>
        </w:tc>
        <w:tc>
          <w:tcPr>
            <w:tcW w:w="2551" w:type="dxa"/>
            <w:vAlign w:val="center"/>
          </w:tcPr>
          <w:p w14:paraId="4ABC8EF1">
            <w:pPr>
              <w:pStyle w:val="14"/>
            </w:pPr>
            <w:r>
              <w:t>24.59</w:t>
            </w:r>
          </w:p>
        </w:tc>
        <w:tc>
          <w:tcPr>
            <w:tcW w:w="2551" w:type="dxa"/>
            <w:vAlign w:val="center"/>
          </w:tcPr>
          <w:p w14:paraId="2E286930">
            <w:pPr>
              <w:pStyle w:val="14"/>
            </w:pPr>
          </w:p>
        </w:tc>
      </w:tr>
      <w:tr w14:paraId="486DD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8FF87">
            <w:pPr>
              <w:pStyle w:val="12"/>
            </w:pPr>
            <w:r>
              <w:t>11</w:t>
            </w:r>
          </w:p>
        </w:tc>
        <w:tc>
          <w:tcPr>
            <w:tcW w:w="1191" w:type="dxa"/>
            <w:vAlign w:val="center"/>
          </w:tcPr>
          <w:p w14:paraId="6B89FE56">
            <w:pPr>
              <w:pStyle w:val="13"/>
            </w:pPr>
            <w:r>
              <w:t>30302</w:t>
            </w:r>
          </w:p>
        </w:tc>
        <w:tc>
          <w:tcPr>
            <w:tcW w:w="4535" w:type="dxa"/>
            <w:vAlign w:val="center"/>
          </w:tcPr>
          <w:p w14:paraId="6E7899FA">
            <w:pPr>
              <w:pStyle w:val="13"/>
            </w:pPr>
            <w:r>
              <w:t>退休费</w:t>
            </w:r>
          </w:p>
        </w:tc>
        <w:tc>
          <w:tcPr>
            <w:tcW w:w="2551" w:type="dxa"/>
            <w:vAlign w:val="center"/>
          </w:tcPr>
          <w:p w14:paraId="642A1C74">
            <w:pPr>
              <w:pStyle w:val="14"/>
            </w:pPr>
            <w:r>
              <w:t>24.59</w:t>
            </w:r>
          </w:p>
        </w:tc>
        <w:tc>
          <w:tcPr>
            <w:tcW w:w="2551" w:type="dxa"/>
            <w:vAlign w:val="center"/>
          </w:tcPr>
          <w:p w14:paraId="2D8F85C9">
            <w:pPr>
              <w:pStyle w:val="14"/>
            </w:pPr>
            <w:r>
              <w:t>24.59</w:t>
            </w:r>
          </w:p>
        </w:tc>
        <w:tc>
          <w:tcPr>
            <w:tcW w:w="2551" w:type="dxa"/>
            <w:vAlign w:val="center"/>
          </w:tcPr>
          <w:p w14:paraId="4CDA6B4A">
            <w:pPr>
              <w:pStyle w:val="14"/>
            </w:pPr>
          </w:p>
        </w:tc>
      </w:tr>
    </w:tbl>
    <w:p w14:paraId="619ECF06">
      <w:pPr>
        <w:sectPr>
          <w:pgSz w:w="16840" w:h="11900" w:orient="landscape"/>
          <w:pgMar w:top="1361" w:right="1020" w:bottom="1134" w:left="1020" w:header="720" w:footer="720" w:gutter="0"/>
          <w:cols w:space="720" w:num="1"/>
        </w:sectPr>
      </w:pPr>
    </w:p>
    <w:p w14:paraId="444846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856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60D32D">
            <w:pPr>
              <w:pStyle w:val="8"/>
            </w:pPr>
            <w:r>
              <w:t>360013隆尧县实验小学</w:t>
            </w:r>
          </w:p>
        </w:tc>
        <w:tc>
          <w:tcPr>
            <w:tcW w:w="2551" w:type="dxa"/>
            <w:tcBorders>
              <w:top w:val="single" w:color="FFFFFF" w:sz="6" w:space="0"/>
              <w:left w:val="single" w:color="FFFFFF" w:sz="6" w:space="0"/>
              <w:right w:val="single" w:color="FFFFFF" w:sz="6" w:space="0"/>
            </w:tcBorders>
            <w:vAlign w:val="center"/>
          </w:tcPr>
          <w:p w14:paraId="489E8E8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05166FA">
            <w:pPr>
              <w:pStyle w:val="10"/>
            </w:pPr>
            <w:r>
              <w:t>单位：万元</w:t>
            </w:r>
          </w:p>
        </w:tc>
      </w:tr>
      <w:tr w14:paraId="3876D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873606">
            <w:pPr>
              <w:pStyle w:val="11"/>
            </w:pPr>
            <w:r>
              <w:t>序号</w:t>
            </w:r>
          </w:p>
        </w:tc>
        <w:tc>
          <w:tcPr>
            <w:tcW w:w="5726" w:type="dxa"/>
            <w:gridSpan w:val="2"/>
            <w:vAlign w:val="center"/>
          </w:tcPr>
          <w:p w14:paraId="44527158">
            <w:pPr>
              <w:pStyle w:val="11"/>
            </w:pPr>
            <w:r>
              <w:t>功能分类科目</w:t>
            </w:r>
          </w:p>
        </w:tc>
        <w:tc>
          <w:tcPr>
            <w:tcW w:w="2551" w:type="dxa"/>
            <w:vMerge w:val="restart"/>
            <w:vAlign w:val="center"/>
          </w:tcPr>
          <w:p w14:paraId="38101145">
            <w:pPr>
              <w:pStyle w:val="11"/>
            </w:pPr>
            <w:r>
              <w:t>合计</w:t>
            </w:r>
          </w:p>
        </w:tc>
        <w:tc>
          <w:tcPr>
            <w:tcW w:w="2551" w:type="dxa"/>
            <w:vMerge w:val="restart"/>
            <w:vAlign w:val="center"/>
          </w:tcPr>
          <w:p w14:paraId="12A7D644">
            <w:pPr>
              <w:pStyle w:val="11"/>
            </w:pPr>
            <w:r>
              <w:t>基本支出</w:t>
            </w:r>
          </w:p>
        </w:tc>
        <w:tc>
          <w:tcPr>
            <w:tcW w:w="2551" w:type="dxa"/>
            <w:vMerge w:val="restart"/>
            <w:vAlign w:val="center"/>
          </w:tcPr>
          <w:p w14:paraId="67B82007">
            <w:pPr>
              <w:pStyle w:val="11"/>
            </w:pPr>
            <w:r>
              <w:t>项目支出</w:t>
            </w:r>
          </w:p>
        </w:tc>
      </w:tr>
      <w:tr w14:paraId="574B8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68AE35"/>
        </w:tc>
        <w:tc>
          <w:tcPr>
            <w:tcW w:w="1191" w:type="dxa"/>
            <w:vAlign w:val="center"/>
          </w:tcPr>
          <w:p w14:paraId="6E362A93">
            <w:pPr>
              <w:pStyle w:val="11"/>
            </w:pPr>
            <w:r>
              <w:t>科目编码</w:t>
            </w:r>
          </w:p>
        </w:tc>
        <w:tc>
          <w:tcPr>
            <w:tcW w:w="4535" w:type="dxa"/>
            <w:vAlign w:val="center"/>
          </w:tcPr>
          <w:p w14:paraId="735EE42B">
            <w:pPr>
              <w:pStyle w:val="11"/>
            </w:pPr>
            <w:r>
              <w:t>科目名称</w:t>
            </w:r>
          </w:p>
        </w:tc>
        <w:tc>
          <w:tcPr>
            <w:tcW w:w="2551" w:type="dxa"/>
            <w:vMerge w:val="continue"/>
          </w:tcPr>
          <w:p w14:paraId="05A51967"/>
        </w:tc>
        <w:tc>
          <w:tcPr>
            <w:tcW w:w="2551" w:type="dxa"/>
            <w:vMerge w:val="continue"/>
          </w:tcPr>
          <w:p w14:paraId="2D0D9E63"/>
        </w:tc>
        <w:tc>
          <w:tcPr>
            <w:tcW w:w="2551" w:type="dxa"/>
            <w:vMerge w:val="continue"/>
          </w:tcPr>
          <w:p w14:paraId="4A871271"/>
        </w:tc>
      </w:tr>
      <w:tr w14:paraId="78160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C58E1F">
            <w:pPr>
              <w:pStyle w:val="11"/>
            </w:pPr>
            <w:r>
              <w:t>栏次</w:t>
            </w:r>
          </w:p>
        </w:tc>
        <w:tc>
          <w:tcPr>
            <w:tcW w:w="1191" w:type="dxa"/>
            <w:vAlign w:val="center"/>
          </w:tcPr>
          <w:p w14:paraId="29FBBAB6">
            <w:pPr>
              <w:pStyle w:val="11"/>
            </w:pPr>
            <w:r>
              <w:t>1</w:t>
            </w:r>
          </w:p>
        </w:tc>
        <w:tc>
          <w:tcPr>
            <w:tcW w:w="4535" w:type="dxa"/>
            <w:vAlign w:val="center"/>
          </w:tcPr>
          <w:p w14:paraId="4D5AE4D0">
            <w:pPr>
              <w:pStyle w:val="11"/>
            </w:pPr>
            <w:r>
              <w:t>2</w:t>
            </w:r>
          </w:p>
        </w:tc>
        <w:tc>
          <w:tcPr>
            <w:tcW w:w="2551" w:type="dxa"/>
            <w:vAlign w:val="center"/>
          </w:tcPr>
          <w:p w14:paraId="1351FFF2">
            <w:pPr>
              <w:pStyle w:val="11"/>
            </w:pPr>
            <w:r>
              <w:t>3</w:t>
            </w:r>
          </w:p>
        </w:tc>
        <w:tc>
          <w:tcPr>
            <w:tcW w:w="2551" w:type="dxa"/>
            <w:vAlign w:val="center"/>
          </w:tcPr>
          <w:p w14:paraId="2305776F">
            <w:pPr>
              <w:pStyle w:val="11"/>
            </w:pPr>
            <w:r>
              <w:t>4</w:t>
            </w:r>
          </w:p>
        </w:tc>
        <w:tc>
          <w:tcPr>
            <w:tcW w:w="2551" w:type="dxa"/>
            <w:vAlign w:val="center"/>
          </w:tcPr>
          <w:p w14:paraId="55242B36">
            <w:pPr>
              <w:pStyle w:val="11"/>
            </w:pPr>
            <w:r>
              <w:t>5</w:t>
            </w:r>
          </w:p>
        </w:tc>
      </w:tr>
      <w:tr w14:paraId="00573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5AB22">
            <w:pPr>
              <w:pStyle w:val="12"/>
            </w:pPr>
          </w:p>
        </w:tc>
        <w:tc>
          <w:tcPr>
            <w:tcW w:w="1191" w:type="dxa"/>
            <w:vAlign w:val="center"/>
          </w:tcPr>
          <w:p w14:paraId="28367FE0">
            <w:pPr>
              <w:pStyle w:val="13"/>
            </w:pPr>
          </w:p>
        </w:tc>
        <w:tc>
          <w:tcPr>
            <w:tcW w:w="4535" w:type="dxa"/>
            <w:vAlign w:val="center"/>
          </w:tcPr>
          <w:p w14:paraId="699CA0FA">
            <w:pPr>
              <w:pStyle w:val="13"/>
            </w:pPr>
          </w:p>
        </w:tc>
        <w:tc>
          <w:tcPr>
            <w:tcW w:w="2551" w:type="dxa"/>
            <w:vAlign w:val="center"/>
          </w:tcPr>
          <w:p w14:paraId="3E482CD5">
            <w:pPr>
              <w:pStyle w:val="14"/>
            </w:pPr>
          </w:p>
        </w:tc>
        <w:tc>
          <w:tcPr>
            <w:tcW w:w="2551" w:type="dxa"/>
            <w:vAlign w:val="center"/>
          </w:tcPr>
          <w:p w14:paraId="501BF60B">
            <w:pPr>
              <w:pStyle w:val="14"/>
            </w:pPr>
          </w:p>
        </w:tc>
        <w:tc>
          <w:tcPr>
            <w:tcW w:w="2551" w:type="dxa"/>
            <w:vAlign w:val="center"/>
          </w:tcPr>
          <w:p w14:paraId="62F694FE">
            <w:pPr>
              <w:pStyle w:val="14"/>
            </w:pPr>
          </w:p>
        </w:tc>
      </w:tr>
    </w:tbl>
    <w:p w14:paraId="07A8EC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D5A0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77B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4C8D34">
            <w:pPr>
              <w:pStyle w:val="8"/>
            </w:pPr>
            <w:r>
              <w:t>360013隆尧县实验小学</w:t>
            </w:r>
          </w:p>
        </w:tc>
        <w:tc>
          <w:tcPr>
            <w:tcW w:w="2551" w:type="dxa"/>
            <w:tcBorders>
              <w:top w:val="single" w:color="FFFFFF" w:sz="6" w:space="0"/>
              <w:left w:val="single" w:color="FFFFFF" w:sz="6" w:space="0"/>
              <w:right w:val="single" w:color="FFFFFF" w:sz="6" w:space="0"/>
            </w:tcBorders>
            <w:vAlign w:val="center"/>
          </w:tcPr>
          <w:p w14:paraId="0BC1104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98C7B16">
            <w:pPr>
              <w:pStyle w:val="10"/>
            </w:pPr>
            <w:r>
              <w:t>单位：万元</w:t>
            </w:r>
          </w:p>
        </w:tc>
      </w:tr>
      <w:tr w14:paraId="15F1A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EE8BE">
            <w:pPr>
              <w:pStyle w:val="11"/>
            </w:pPr>
            <w:r>
              <w:t>序号</w:t>
            </w:r>
          </w:p>
        </w:tc>
        <w:tc>
          <w:tcPr>
            <w:tcW w:w="5726" w:type="dxa"/>
            <w:gridSpan w:val="2"/>
            <w:vAlign w:val="center"/>
          </w:tcPr>
          <w:p w14:paraId="57D81838">
            <w:pPr>
              <w:pStyle w:val="11"/>
            </w:pPr>
            <w:r>
              <w:t>功能分类科目</w:t>
            </w:r>
          </w:p>
        </w:tc>
        <w:tc>
          <w:tcPr>
            <w:tcW w:w="2551" w:type="dxa"/>
            <w:vMerge w:val="restart"/>
            <w:vAlign w:val="center"/>
          </w:tcPr>
          <w:p w14:paraId="68DB6A0A">
            <w:pPr>
              <w:pStyle w:val="11"/>
            </w:pPr>
            <w:r>
              <w:t>合计</w:t>
            </w:r>
          </w:p>
        </w:tc>
        <w:tc>
          <w:tcPr>
            <w:tcW w:w="2551" w:type="dxa"/>
            <w:vMerge w:val="restart"/>
            <w:vAlign w:val="center"/>
          </w:tcPr>
          <w:p w14:paraId="0E74ADCF">
            <w:pPr>
              <w:pStyle w:val="11"/>
            </w:pPr>
            <w:r>
              <w:t>基本支出</w:t>
            </w:r>
          </w:p>
        </w:tc>
        <w:tc>
          <w:tcPr>
            <w:tcW w:w="2551" w:type="dxa"/>
            <w:vMerge w:val="restart"/>
            <w:vAlign w:val="center"/>
          </w:tcPr>
          <w:p w14:paraId="6A33056B">
            <w:pPr>
              <w:pStyle w:val="11"/>
            </w:pPr>
            <w:r>
              <w:t>项目支出</w:t>
            </w:r>
          </w:p>
        </w:tc>
      </w:tr>
      <w:tr w14:paraId="42365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1A8EE6"/>
        </w:tc>
        <w:tc>
          <w:tcPr>
            <w:tcW w:w="1191" w:type="dxa"/>
            <w:vAlign w:val="center"/>
          </w:tcPr>
          <w:p w14:paraId="034B4EDB">
            <w:pPr>
              <w:pStyle w:val="11"/>
            </w:pPr>
            <w:r>
              <w:t>科目编码</w:t>
            </w:r>
          </w:p>
        </w:tc>
        <w:tc>
          <w:tcPr>
            <w:tcW w:w="4535" w:type="dxa"/>
            <w:vAlign w:val="center"/>
          </w:tcPr>
          <w:p w14:paraId="211BDA78">
            <w:pPr>
              <w:pStyle w:val="11"/>
            </w:pPr>
            <w:r>
              <w:t>科目名称</w:t>
            </w:r>
          </w:p>
        </w:tc>
        <w:tc>
          <w:tcPr>
            <w:tcW w:w="2551" w:type="dxa"/>
            <w:vMerge w:val="continue"/>
          </w:tcPr>
          <w:p w14:paraId="43B9F2C5"/>
        </w:tc>
        <w:tc>
          <w:tcPr>
            <w:tcW w:w="2551" w:type="dxa"/>
            <w:vMerge w:val="continue"/>
          </w:tcPr>
          <w:p w14:paraId="773634FA"/>
        </w:tc>
        <w:tc>
          <w:tcPr>
            <w:tcW w:w="2551" w:type="dxa"/>
            <w:vMerge w:val="continue"/>
          </w:tcPr>
          <w:p w14:paraId="78875FAC"/>
        </w:tc>
      </w:tr>
      <w:tr w14:paraId="70EB2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CAD521">
            <w:pPr>
              <w:pStyle w:val="11"/>
            </w:pPr>
            <w:r>
              <w:t>栏次</w:t>
            </w:r>
          </w:p>
        </w:tc>
        <w:tc>
          <w:tcPr>
            <w:tcW w:w="1191" w:type="dxa"/>
            <w:vAlign w:val="center"/>
          </w:tcPr>
          <w:p w14:paraId="7DBADD23">
            <w:pPr>
              <w:pStyle w:val="11"/>
            </w:pPr>
            <w:r>
              <w:t>1</w:t>
            </w:r>
          </w:p>
        </w:tc>
        <w:tc>
          <w:tcPr>
            <w:tcW w:w="4535" w:type="dxa"/>
            <w:vAlign w:val="center"/>
          </w:tcPr>
          <w:p w14:paraId="75A0100E">
            <w:pPr>
              <w:pStyle w:val="11"/>
            </w:pPr>
            <w:r>
              <w:t>2</w:t>
            </w:r>
          </w:p>
        </w:tc>
        <w:tc>
          <w:tcPr>
            <w:tcW w:w="2551" w:type="dxa"/>
            <w:vAlign w:val="center"/>
          </w:tcPr>
          <w:p w14:paraId="2CA61BE7">
            <w:pPr>
              <w:pStyle w:val="11"/>
            </w:pPr>
            <w:r>
              <w:t>3</w:t>
            </w:r>
          </w:p>
        </w:tc>
        <w:tc>
          <w:tcPr>
            <w:tcW w:w="2551" w:type="dxa"/>
            <w:vAlign w:val="center"/>
          </w:tcPr>
          <w:p w14:paraId="18C980C3">
            <w:pPr>
              <w:pStyle w:val="11"/>
            </w:pPr>
            <w:r>
              <w:t>4</w:t>
            </w:r>
          </w:p>
        </w:tc>
        <w:tc>
          <w:tcPr>
            <w:tcW w:w="2551" w:type="dxa"/>
            <w:vAlign w:val="center"/>
          </w:tcPr>
          <w:p w14:paraId="782089D6">
            <w:pPr>
              <w:pStyle w:val="11"/>
            </w:pPr>
            <w:r>
              <w:t>5</w:t>
            </w:r>
          </w:p>
        </w:tc>
      </w:tr>
      <w:tr w14:paraId="68344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2E1ED">
            <w:pPr>
              <w:pStyle w:val="12"/>
            </w:pPr>
          </w:p>
        </w:tc>
        <w:tc>
          <w:tcPr>
            <w:tcW w:w="1191" w:type="dxa"/>
            <w:vAlign w:val="center"/>
          </w:tcPr>
          <w:p w14:paraId="53E2FBAC">
            <w:pPr>
              <w:pStyle w:val="13"/>
            </w:pPr>
          </w:p>
        </w:tc>
        <w:tc>
          <w:tcPr>
            <w:tcW w:w="4535" w:type="dxa"/>
            <w:vAlign w:val="center"/>
          </w:tcPr>
          <w:p w14:paraId="427D47EA">
            <w:pPr>
              <w:pStyle w:val="13"/>
            </w:pPr>
          </w:p>
        </w:tc>
        <w:tc>
          <w:tcPr>
            <w:tcW w:w="2551" w:type="dxa"/>
            <w:vAlign w:val="center"/>
          </w:tcPr>
          <w:p w14:paraId="3AFD62C9">
            <w:pPr>
              <w:pStyle w:val="14"/>
            </w:pPr>
          </w:p>
        </w:tc>
        <w:tc>
          <w:tcPr>
            <w:tcW w:w="2551" w:type="dxa"/>
            <w:vAlign w:val="center"/>
          </w:tcPr>
          <w:p w14:paraId="2E3D3741">
            <w:pPr>
              <w:pStyle w:val="14"/>
            </w:pPr>
          </w:p>
        </w:tc>
        <w:tc>
          <w:tcPr>
            <w:tcW w:w="2551" w:type="dxa"/>
            <w:vAlign w:val="center"/>
          </w:tcPr>
          <w:p w14:paraId="3FAD7544">
            <w:pPr>
              <w:pStyle w:val="14"/>
            </w:pPr>
          </w:p>
        </w:tc>
      </w:tr>
    </w:tbl>
    <w:p w14:paraId="579B07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9390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DF3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D98A8D">
            <w:pPr>
              <w:pStyle w:val="8"/>
            </w:pPr>
            <w:r>
              <w:t>360013隆尧县实验小学</w:t>
            </w:r>
          </w:p>
        </w:tc>
        <w:tc>
          <w:tcPr>
            <w:tcW w:w="2381" w:type="dxa"/>
            <w:tcBorders>
              <w:top w:val="single" w:color="FFFFFF" w:sz="6" w:space="0"/>
              <w:left w:val="single" w:color="FFFFFF" w:sz="6" w:space="0"/>
              <w:right w:val="single" w:color="FFFFFF" w:sz="6" w:space="0"/>
            </w:tcBorders>
            <w:vAlign w:val="center"/>
          </w:tcPr>
          <w:p w14:paraId="2A88727E">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184550C">
            <w:pPr>
              <w:pStyle w:val="10"/>
            </w:pPr>
            <w:r>
              <w:t>单位：万元</w:t>
            </w:r>
          </w:p>
        </w:tc>
      </w:tr>
      <w:tr w14:paraId="08495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A9F42">
            <w:pPr>
              <w:pStyle w:val="11"/>
            </w:pPr>
            <w:r>
              <w:t>序号</w:t>
            </w:r>
          </w:p>
        </w:tc>
        <w:tc>
          <w:tcPr>
            <w:tcW w:w="3798" w:type="dxa"/>
            <w:vMerge w:val="restart"/>
            <w:vAlign w:val="center"/>
          </w:tcPr>
          <w:p w14:paraId="24EE6916">
            <w:pPr>
              <w:pStyle w:val="11"/>
            </w:pPr>
            <w:r>
              <w:t>项  目</w:t>
            </w:r>
          </w:p>
        </w:tc>
        <w:tc>
          <w:tcPr>
            <w:tcW w:w="9524" w:type="dxa"/>
            <w:gridSpan w:val="4"/>
            <w:vAlign w:val="center"/>
          </w:tcPr>
          <w:p w14:paraId="1328B26F">
            <w:pPr>
              <w:pStyle w:val="11"/>
            </w:pPr>
            <w:r>
              <w:t>资 金 性 质</w:t>
            </w:r>
          </w:p>
        </w:tc>
      </w:tr>
      <w:tr w14:paraId="6A427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F62F1D"/>
        </w:tc>
        <w:tc>
          <w:tcPr>
            <w:tcW w:w="3798" w:type="dxa"/>
            <w:vMerge w:val="continue"/>
          </w:tcPr>
          <w:p w14:paraId="01CC1BF3"/>
        </w:tc>
        <w:tc>
          <w:tcPr>
            <w:tcW w:w="2381" w:type="dxa"/>
            <w:vAlign w:val="center"/>
          </w:tcPr>
          <w:p w14:paraId="33701C55">
            <w:pPr>
              <w:pStyle w:val="11"/>
            </w:pPr>
            <w:r>
              <w:t>合计</w:t>
            </w:r>
          </w:p>
        </w:tc>
        <w:tc>
          <w:tcPr>
            <w:tcW w:w="2381" w:type="dxa"/>
            <w:vAlign w:val="center"/>
          </w:tcPr>
          <w:p w14:paraId="29B696FC">
            <w:pPr>
              <w:pStyle w:val="11"/>
            </w:pPr>
            <w:r>
              <w:t>一般公共预算              财政拨款</w:t>
            </w:r>
          </w:p>
        </w:tc>
        <w:tc>
          <w:tcPr>
            <w:tcW w:w="2381" w:type="dxa"/>
            <w:vAlign w:val="center"/>
          </w:tcPr>
          <w:p w14:paraId="30125C6A">
            <w:pPr>
              <w:pStyle w:val="11"/>
            </w:pPr>
            <w:r>
              <w:t>政府性基金                  预算拨款</w:t>
            </w:r>
          </w:p>
        </w:tc>
        <w:tc>
          <w:tcPr>
            <w:tcW w:w="2381" w:type="dxa"/>
            <w:vAlign w:val="center"/>
          </w:tcPr>
          <w:p w14:paraId="73F189C9">
            <w:pPr>
              <w:pStyle w:val="11"/>
            </w:pPr>
            <w:r>
              <w:t>国有资本经营              预算财政拨款</w:t>
            </w:r>
          </w:p>
        </w:tc>
      </w:tr>
      <w:tr w14:paraId="7B0CB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1B7DD6">
            <w:pPr>
              <w:pStyle w:val="11"/>
            </w:pPr>
            <w:r>
              <w:t>栏次</w:t>
            </w:r>
          </w:p>
        </w:tc>
        <w:tc>
          <w:tcPr>
            <w:tcW w:w="3798" w:type="dxa"/>
            <w:vAlign w:val="center"/>
          </w:tcPr>
          <w:p w14:paraId="5529DFEA">
            <w:pPr>
              <w:pStyle w:val="11"/>
            </w:pPr>
            <w:r>
              <w:t>1</w:t>
            </w:r>
          </w:p>
        </w:tc>
        <w:tc>
          <w:tcPr>
            <w:tcW w:w="2381" w:type="dxa"/>
            <w:vAlign w:val="center"/>
          </w:tcPr>
          <w:p w14:paraId="6D358333">
            <w:pPr>
              <w:pStyle w:val="11"/>
            </w:pPr>
            <w:r>
              <w:t>2</w:t>
            </w:r>
          </w:p>
        </w:tc>
        <w:tc>
          <w:tcPr>
            <w:tcW w:w="2381" w:type="dxa"/>
            <w:vAlign w:val="center"/>
          </w:tcPr>
          <w:p w14:paraId="6B1956B7">
            <w:pPr>
              <w:pStyle w:val="11"/>
            </w:pPr>
            <w:r>
              <w:t>3</w:t>
            </w:r>
          </w:p>
        </w:tc>
        <w:tc>
          <w:tcPr>
            <w:tcW w:w="2381" w:type="dxa"/>
            <w:vAlign w:val="center"/>
          </w:tcPr>
          <w:p w14:paraId="7BC4BB5E">
            <w:pPr>
              <w:pStyle w:val="11"/>
            </w:pPr>
            <w:r>
              <w:t>4</w:t>
            </w:r>
          </w:p>
        </w:tc>
        <w:tc>
          <w:tcPr>
            <w:tcW w:w="2381" w:type="dxa"/>
            <w:vAlign w:val="center"/>
          </w:tcPr>
          <w:p w14:paraId="3978BC33">
            <w:pPr>
              <w:pStyle w:val="11"/>
            </w:pPr>
            <w:r>
              <w:t>5</w:t>
            </w:r>
          </w:p>
        </w:tc>
      </w:tr>
      <w:tr w14:paraId="7AF9A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17A81C">
            <w:pPr>
              <w:pStyle w:val="12"/>
            </w:pPr>
          </w:p>
        </w:tc>
        <w:tc>
          <w:tcPr>
            <w:tcW w:w="3798" w:type="dxa"/>
            <w:vAlign w:val="center"/>
          </w:tcPr>
          <w:p w14:paraId="42BDAB24">
            <w:pPr>
              <w:pStyle w:val="13"/>
            </w:pPr>
          </w:p>
        </w:tc>
        <w:tc>
          <w:tcPr>
            <w:tcW w:w="2381" w:type="dxa"/>
            <w:vAlign w:val="center"/>
          </w:tcPr>
          <w:p w14:paraId="376B9447">
            <w:pPr>
              <w:pStyle w:val="14"/>
            </w:pPr>
          </w:p>
        </w:tc>
        <w:tc>
          <w:tcPr>
            <w:tcW w:w="2381" w:type="dxa"/>
            <w:vAlign w:val="center"/>
          </w:tcPr>
          <w:p w14:paraId="6704E98D">
            <w:pPr>
              <w:pStyle w:val="14"/>
            </w:pPr>
          </w:p>
        </w:tc>
        <w:tc>
          <w:tcPr>
            <w:tcW w:w="2381" w:type="dxa"/>
            <w:vAlign w:val="center"/>
          </w:tcPr>
          <w:p w14:paraId="4ED62068">
            <w:pPr>
              <w:pStyle w:val="14"/>
            </w:pPr>
          </w:p>
        </w:tc>
        <w:tc>
          <w:tcPr>
            <w:tcW w:w="2381" w:type="dxa"/>
            <w:vAlign w:val="center"/>
          </w:tcPr>
          <w:p w14:paraId="5D158C51">
            <w:pPr>
              <w:pStyle w:val="14"/>
            </w:pPr>
          </w:p>
        </w:tc>
      </w:tr>
    </w:tbl>
    <w:p w14:paraId="69928E1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F222BF1">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隆尧县实验小学2025年单位预算信息公开情况说明</w:t>
      </w:r>
    </w:p>
    <w:p w14:paraId="6055BE4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按照《中华人民共和国预算法》、《地方预决算公开操作规程》和《关于进一步推进预算公开工作的实施意见》规定，现将隆尧县实验小学2025年单位预算公开如下：</w:t>
      </w:r>
    </w:p>
    <w:p w14:paraId="7B287B52">
      <w:pPr>
        <w:spacing w:before="10" w:after="10" w:line="240" w:lineRule="auto"/>
        <w:ind w:firstLine="640"/>
        <w:jc w:val="left"/>
        <w:outlineLvl w:val="5"/>
      </w:pPr>
      <w:r>
        <w:rPr>
          <w:rFonts w:ascii="黑体" w:hAnsi="黑体" w:eastAsia="黑体" w:cs="黑体"/>
          <w:color w:val="000000"/>
          <w:sz w:val="32"/>
        </w:rPr>
        <w:t>一、单位职责及机构设置情况</w:t>
      </w:r>
    </w:p>
    <w:p w14:paraId="386D60F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021804A">
      <w:pPr>
        <w:pStyle w:val="18"/>
      </w:pPr>
      <w:r>
        <w:t>贯彻落实基础教育的方针、政策，开展小学阶段教育教学工作，促进学生德、智、体、美、劳全面发展；负责学生安全教育和管理，确保学生身心健康；加强教师队伍建设和管理，为教育教学工作提供保障。</w:t>
      </w:r>
    </w:p>
    <w:p w14:paraId="3A6C1927">
      <w:pPr>
        <w:pStyle w:val="18"/>
      </w:pPr>
      <w:r>
        <w:t>隆尧县实验小学事业编制140名．其中，校长1名（正股级），副校长3名（副股级）；经费形式为财政性资金基本保证。</w:t>
      </w:r>
    </w:p>
    <w:p w14:paraId="553A254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C7B97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A7DE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6CA88D">
            <w:pPr>
              <w:pStyle w:val="11"/>
            </w:pPr>
            <w:r>
              <w:t>单位名称</w:t>
            </w:r>
          </w:p>
        </w:tc>
        <w:tc>
          <w:tcPr>
            <w:tcW w:w="1843" w:type="dxa"/>
            <w:vAlign w:val="center"/>
          </w:tcPr>
          <w:p w14:paraId="183632DC">
            <w:pPr>
              <w:pStyle w:val="11"/>
            </w:pPr>
            <w:r>
              <w:t>单位性质</w:t>
            </w:r>
          </w:p>
        </w:tc>
        <w:tc>
          <w:tcPr>
            <w:tcW w:w="2126" w:type="dxa"/>
            <w:vAlign w:val="center"/>
          </w:tcPr>
          <w:p w14:paraId="74E6C33E">
            <w:pPr>
              <w:pStyle w:val="11"/>
            </w:pPr>
            <w:r>
              <w:t>单位规格</w:t>
            </w:r>
          </w:p>
        </w:tc>
        <w:tc>
          <w:tcPr>
            <w:tcW w:w="3827" w:type="dxa"/>
            <w:vAlign w:val="center"/>
          </w:tcPr>
          <w:p w14:paraId="4226AFC6">
            <w:pPr>
              <w:pStyle w:val="11"/>
            </w:pPr>
            <w:r>
              <w:t>经费保障形式</w:t>
            </w:r>
          </w:p>
        </w:tc>
      </w:tr>
      <w:tr w14:paraId="36B61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69F098A">
            <w:pPr>
              <w:pStyle w:val="13"/>
            </w:pPr>
            <w:r>
              <w:t>隆尧县实验小学</w:t>
            </w:r>
          </w:p>
        </w:tc>
        <w:tc>
          <w:tcPr>
            <w:tcW w:w="1843" w:type="dxa"/>
            <w:vAlign w:val="center"/>
          </w:tcPr>
          <w:p w14:paraId="6702F6DF">
            <w:pPr>
              <w:pStyle w:val="12"/>
            </w:pPr>
            <w:r>
              <w:t>事业</w:t>
            </w:r>
          </w:p>
        </w:tc>
        <w:tc>
          <w:tcPr>
            <w:tcW w:w="2126" w:type="dxa"/>
            <w:vAlign w:val="center"/>
          </w:tcPr>
          <w:p w14:paraId="585073D0">
            <w:pPr>
              <w:pStyle w:val="12"/>
            </w:pPr>
            <w:r>
              <w:t>股级</w:t>
            </w:r>
          </w:p>
        </w:tc>
        <w:tc>
          <w:tcPr>
            <w:tcW w:w="3827" w:type="dxa"/>
            <w:vAlign w:val="center"/>
          </w:tcPr>
          <w:p w14:paraId="117AD5D0">
            <w:pPr>
              <w:pStyle w:val="12"/>
            </w:pPr>
            <w:r>
              <w:t>财政性资金基本保证</w:t>
            </w:r>
          </w:p>
        </w:tc>
      </w:tr>
    </w:tbl>
    <w:p w14:paraId="1840913C">
      <w:pPr>
        <w:spacing w:before="10" w:after="10" w:line="240" w:lineRule="auto"/>
        <w:ind w:firstLine="640"/>
        <w:jc w:val="left"/>
        <w:outlineLvl w:val="5"/>
      </w:pPr>
      <w:r>
        <w:rPr>
          <w:rFonts w:ascii="黑体" w:hAnsi="黑体" w:eastAsia="黑体" w:cs="黑体"/>
          <w:color w:val="000000"/>
          <w:sz w:val="32"/>
        </w:rPr>
        <w:t>二、单位预算安排的总体情况</w:t>
      </w:r>
    </w:p>
    <w:p w14:paraId="38E090AF">
      <w:pPr>
        <w:pStyle w:val="19"/>
      </w:pPr>
      <w:r>
        <w:t>按照预算管理有关规定，目前我校单位预算的编制实行综合预算管理，即全部收入和支出都反映的预算中。隆尧县实验小学的收支包含在单位预算中。</w:t>
      </w:r>
    </w:p>
    <w:p w14:paraId="0A0461A9">
      <w:pPr>
        <w:pStyle w:val="19"/>
      </w:pPr>
      <w:r>
        <w:t>1、收入说明</w:t>
      </w:r>
    </w:p>
    <w:p w14:paraId="4D2A08F7">
      <w:pPr>
        <w:pStyle w:val="19"/>
      </w:pPr>
      <w:r>
        <w:t>反映本单位当年全部收入。2025年预算收入2008.85万元，其中：一般公共预算收入2008.85万元，基金预算收入0万元，财政专户管理资金收入0万元，单位资金收入0万元，上年结转结余146万元。</w:t>
      </w:r>
    </w:p>
    <w:p w14:paraId="2602FF16">
      <w:pPr>
        <w:pStyle w:val="19"/>
      </w:pPr>
      <w:r>
        <w:t>2、支出说明</w:t>
      </w:r>
    </w:p>
    <w:p w14:paraId="4506534F">
      <w:pPr>
        <w:pStyle w:val="19"/>
      </w:pPr>
      <w:r>
        <w:t>收支预算总表支出栏、基本支出表、项目支出表按经济分类和支出功能分类科目编制，反映隆尧县实验小学年度单位预算中支出预算的总体情况。2025年单位支出预算为208.85万元，其中基本支出1661.66万元、项目支出347.18万元。</w:t>
      </w:r>
    </w:p>
    <w:p w14:paraId="0AABFE5A">
      <w:pPr>
        <w:pStyle w:val="19"/>
      </w:pPr>
      <w:r>
        <w:t>3、比上年增减情况</w:t>
      </w:r>
    </w:p>
    <w:p w14:paraId="0AAE9097">
      <w:pPr>
        <w:pStyle w:val="19"/>
      </w:pPr>
      <w:r>
        <w:t>2025年部门预算收支安排2008.85万元，较2024年预算减少23.37万元，其中基本支出增加173.15万元.项目支出减少196.53万元。</w:t>
      </w:r>
    </w:p>
    <w:p w14:paraId="3CCFB1E0">
      <w:pPr>
        <w:spacing w:before="10" w:after="10" w:line="240" w:lineRule="auto"/>
        <w:ind w:firstLine="640"/>
        <w:jc w:val="left"/>
        <w:outlineLvl w:val="5"/>
      </w:pPr>
      <w:r>
        <w:rPr>
          <w:rFonts w:ascii="黑体" w:hAnsi="黑体" w:eastAsia="黑体" w:cs="黑体"/>
          <w:color w:val="000000"/>
          <w:sz w:val="32"/>
        </w:rPr>
        <w:t>三、机关运行经费安排情况</w:t>
      </w:r>
    </w:p>
    <w:p w14:paraId="270AE998">
      <w:pPr>
        <w:pStyle w:val="20"/>
      </w:pPr>
      <w:r>
        <w:t>我单位按学生安排公用经费，无机关运行经费。</w:t>
      </w:r>
    </w:p>
    <w:p w14:paraId="24B229E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A86276">
      <w:pPr>
        <w:pStyle w:val="21"/>
      </w:pPr>
      <w:r>
        <w:t>我单位未安排三公经费。</w:t>
      </w:r>
    </w:p>
    <w:p w14:paraId="09E62A9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3581CEE">
      <w:pPr>
        <w:spacing w:before="0" w:after="0"/>
        <w:ind w:firstLine="560"/>
        <w:jc w:val="left"/>
        <w:outlineLvl w:val="9"/>
      </w:pPr>
      <w:r>
        <w:rPr>
          <w:rFonts w:ascii="方正仿宋_GBK" w:hAnsi="方正仿宋_GBK" w:eastAsia="方正仿宋_GBK" w:cs="方正仿宋_GBK"/>
          <w:b/>
          <w:color w:val="000000"/>
          <w:sz w:val="28"/>
        </w:rPr>
        <w:t>1、冀财教[2024]123号/中央/2025年义教补助经费/实验小学公用经费绩效目标表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68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3C271">
            <w:pPr>
              <w:pStyle w:val="14"/>
            </w:pPr>
            <w:r>
              <w:t>单位：万元</w:t>
            </w:r>
          </w:p>
        </w:tc>
      </w:tr>
      <w:tr w14:paraId="27BA6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66C12E">
            <w:pPr>
              <w:pStyle w:val="11"/>
            </w:pPr>
            <w:r>
              <w:t>项目编码</w:t>
            </w:r>
          </w:p>
        </w:tc>
        <w:tc>
          <w:tcPr>
            <w:tcW w:w="5103" w:type="dxa"/>
            <w:gridSpan w:val="2"/>
            <w:vAlign w:val="center"/>
          </w:tcPr>
          <w:p w14:paraId="355DD57C">
            <w:pPr>
              <w:pStyle w:val="13"/>
            </w:pPr>
            <w:r>
              <w:t>13052525P00000410054R</w:t>
            </w:r>
          </w:p>
        </w:tc>
        <w:tc>
          <w:tcPr>
            <w:tcW w:w="2835" w:type="dxa"/>
            <w:vAlign w:val="center"/>
          </w:tcPr>
          <w:p w14:paraId="59CB0E09">
            <w:pPr>
              <w:pStyle w:val="11"/>
            </w:pPr>
            <w:r>
              <w:t>项目名称</w:t>
            </w:r>
          </w:p>
        </w:tc>
        <w:tc>
          <w:tcPr>
            <w:tcW w:w="6095" w:type="dxa"/>
            <w:gridSpan w:val="3"/>
            <w:vAlign w:val="center"/>
          </w:tcPr>
          <w:p w14:paraId="5A09AA69">
            <w:pPr>
              <w:pStyle w:val="13"/>
            </w:pPr>
            <w:r>
              <w:t>冀财教[2024]123号/中央/2025年义教补助经费/实验小学公用经费</w:t>
            </w:r>
          </w:p>
        </w:tc>
      </w:tr>
      <w:tr w14:paraId="4CD64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93E09">
            <w:pPr>
              <w:pStyle w:val="11"/>
            </w:pPr>
            <w:r>
              <w:t>预算规模及资金用途</w:t>
            </w:r>
          </w:p>
        </w:tc>
        <w:tc>
          <w:tcPr>
            <w:tcW w:w="2268" w:type="dxa"/>
            <w:vAlign w:val="center"/>
          </w:tcPr>
          <w:p w14:paraId="58F2FB82">
            <w:pPr>
              <w:pStyle w:val="11"/>
            </w:pPr>
            <w:r>
              <w:t>预算数</w:t>
            </w:r>
          </w:p>
        </w:tc>
        <w:tc>
          <w:tcPr>
            <w:tcW w:w="2835" w:type="dxa"/>
            <w:vAlign w:val="center"/>
          </w:tcPr>
          <w:p w14:paraId="2B9362C8">
            <w:pPr>
              <w:pStyle w:val="13"/>
            </w:pPr>
            <w:r>
              <w:t>226.45</w:t>
            </w:r>
          </w:p>
        </w:tc>
        <w:tc>
          <w:tcPr>
            <w:tcW w:w="2835" w:type="dxa"/>
            <w:vAlign w:val="center"/>
          </w:tcPr>
          <w:p w14:paraId="46F276BC">
            <w:pPr>
              <w:pStyle w:val="11"/>
            </w:pPr>
            <w:r>
              <w:t>其中：财政    资金</w:t>
            </w:r>
          </w:p>
        </w:tc>
        <w:tc>
          <w:tcPr>
            <w:tcW w:w="2551" w:type="dxa"/>
            <w:vAlign w:val="center"/>
          </w:tcPr>
          <w:p w14:paraId="75D791CD">
            <w:pPr>
              <w:pStyle w:val="13"/>
            </w:pPr>
            <w:r>
              <w:t>226.45</w:t>
            </w:r>
          </w:p>
        </w:tc>
        <w:tc>
          <w:tcPr>
            <w:tcW w:w="2268" w:type="dxa"/>
            <w:vAlign w:val="center"/>
          </w:tcPr>
          <w:p w14:paraId="24ADBC7B">
            <w:pPr>
              <w:pStyle w:val="11"/>
            </w:pPr>
            <w:r>
              <w:t>其他资金</w:t>
            </w:r>
          </w:p>
        </w:tc>
        <w:tc>
          <w:tcPr>
            <w:tcW w:w="1276" w:type="dxa"/>
            <w:vAlign w:val="center"/>
          </w:tcPr>
          <w:p w14:paraId="30C77821">
            <w:pPr>
              <w:pStyle w:val="13"/>
            </w:pPr>
            <w:r>
              <w:t xml:space="preserve"> </w:t>
            </w:r>
          </w:p>
        </w:tc>
      </w:tr>
      <w:tr w14:paraId="32410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D4CB3"/>
        </w:tc>
        <w:tc>
          <w:tcPr>
            <w:tcW w:w="14033" w:type="dxa"/>
            <w:gridSpan w:val="6"/>
            <w:vAlign w:val="center"/>
          </w:tcPr>
          <w:p w14:paraId="4A3B9706">
            <w:pPr>
              <w:pStyle w:val="13"/>
            </w:pPr>
            <w:r>
              <w:t>有效完成学校教学安全秩序，保障学校教学任务有效开展，满足学校正常教学需要。</w:t>
            </w:r>
          </w:p>
        </w:tc>
      </w:tr>
      <w:tr w14:paraId="5C902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AD7D3">
            <w:pPr>
              <w:pStyle w:val="11"/>
            </w:pPr>
            <w:r>
              <w:t>资金支出计划（%）</w:t>
            </w:r>
          </w:p>
        </w:tc>
        <w:tc>
          <w:tcPr>
            <w:tcW w:w="5103" w:type="dxa"/>
            <w:gridSpan w:val="2"/>
            <w:vAlign w:val="center"/>
          </w:tcPr>
          <w:p w14:paraId="76B57884">
            <w:pPr>
              <w:pStyle w:val="11"/>
            </w:pPr>
            <w:r>
              <w:t>3月底</w:t>
            </w:r>
          </w:p>
        </w:tc>
        <w:tc>
          <w:tcPr>
            <w:tcW w:w="2835" w:type="dxa"/>
            <w:vAlign w:val="center"/>
          </w:tcPr>
          <w:p w14:paraId="21A7AFDB">
            <w:pPr>
              <w:pStyle w:val="11"/>
            </w:pPr>
            <w:r>
              <w:t>6月底</w:t>
            </w:r>
          </w:p>
        </w:tc>
        <w:tc>
          <w:tcPr>
            <w:tcW w:w="2551" w:type="dxa"/>
            <w:vAlign w:val="center"/>
          </w:tcPr>
          <w:p w14:paraId="69A45FFF">
            <w:pPr>
              <w:pStyle w:val="11"/>
            </w:pPr>
            <w:r>
              <w:t>10月底</w:t>
            </w:r>
          </w:p>
        </w:tc>
        <w:tc>
          <w:tcPr>
            <w:tcW w:w="3544" w:type="dxa"/>
            <w:gridSpan w:val="2"/>
            <w:vAlign w:val="center"/>
          </w:tcPr>
          <w:p w14:paraId="1816549F">
            <w:pPr>
              <w:pStyle w:val="11"/>
            </w:pPr>
            <w:r>
              <w:t>12月底</w:t>
            </w:r>
          </w:p>
        </w:tc>
      </w:tr>
      <w:tr w14:paraId="4319E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03700B"/>
        </w:tc>
        <w:tc>
          <w:tcPr>
            <w:tcW w:w="5103" w:type="dxa"/>
            <w:gridSpan w:val="2"/>
            <w:vAlign w:val="center"/>
          </w:tcPr>
          <w:p w14:paraId="4710B172">
            <w:pPr>
              <w:pStyle w:val="12"/>
            </w:pPr>
            <w:r>
              <w:t>25%</w:t>
            </w:r>
          </w:p>
        </w:tc>
        <w:tc>
          <w:tcPr>
            <w:tcW w:w="2835" w:type="dxa"/>
            <w:vAlign w:val="center"/>
          </w:tcPr>
          <w:p w14:paraId="050C67FC">
            <w:pPr>
              <w:pStyle w:val="12"/>
            </w:pPr>
            <w:r>
              <w:t>50%</w:t>
            </w:r>
          </w:p>
        </w:tc>
        <w:tc>
          <w:tcPr>
            <w:tcW w:w="2551" w:type="dxa"/>
            <w:vAlign w:val="center"/>
          </w:tcPr>
          <w:p w14:paraId="11996ED7">
            <w:pPr>
              <w:pStyle w:val="12"/>
            </w:pPr>
            <w:r>
              <w:t>75%</w:t>
            </w:r>
          </w:p>
        </w:tc>
        <w:tc>
          <w:tcPr>
            <w:tcW w:w="3544" w:type="dxa"/>
            <w:gridSpan w:val="2"/>
            <w:vAlign w:val="center"/>
          </w:tcPr>
          <w:p w14:paraId="20B75BA1">
            <w:pPr>
              <w:pStyle w:val="12"/>
            </w:pPr>
            <w:r>
              <w:t>100%</w:t>
            </w:r>
          </w:p>
        </w:tc>
      </w:tr>
      <w:tr w14:paraId="19E5C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900C08">
            <w:pPr>
              <w:pStyle w:val="11"/>
            </w:pPr>
            <w:r>
              <w:t>绩效目标</w:t>
            </w:r>
          </w:p>
        </w:tc>
        <w:tc>
          <w:tcPr>
            <w:tcW w:w="14033" w:type="dxa"/>
            <w:gridSpan w:val="6"/>
            <w:vAlign w:val="center"/>
          </w:tcPr>
          <w:p w14:paraId="53BDBF97">
            <w:pPr>
              <w:pStyle w:val="13"/>
            </w:pPr>
            <w:r>
              <w:t>1.有效完成学校教学安全秩序，保障学校教学任务有效开展，满足学校正常教学需要。</w:t>
            </w:r>
          </w:p>
          <w:p w14:paraId="3F8C6A71">
            <w:pPr>
              <w:pStyle w:val="13"/>
            </w:pPr>
            <w:r>
              <w:t>2.按规定拨付公用经费资金，预算执行率≥98%。</w:t>
            </w:r>
          </w:p>
        </w:tc>
      </w:tr>
    </w:tbl>
    <w:p w14:paraId="29F65D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77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C5608AD">
            <w:pPr>
              <w:pStyle w:val="11"/>
            </w:pPr>
            <w:r>
              <w:t>一级指标</w:t>
            </w:r>
          </w:p>
        </w:tc>
        <w:tc>
          <w:tcPr>
            <w:tcW w:w="2268" w:type="dxa"/>
            <w:vAlign w:val="center"/>
          </w:tcPr>
          <w:p w14:paraId="0405D6DF">
            <w:pPr>
              <w:pStyle w:val="11"/>
            </w:pPr>
            <w:r>
              <w:t>二级指标</w:t>
            </w:r>
          </w:p>
        </w:tc>
        <w:tc>
          <w:tcPr>
            <w:tcW w:w="2835" w:type="dxa"/>
            <w:vAlign w:val="center"/>
          </w:tcPr>
          <w:p w14:paraId="040FB5A9">
            <w:pPr>
              <w:pStyle w:val="11"/>
            </w:pPr>
            <w:r>
              <w:t>三级指标</w:t>
            </w:r>
          </w:p>
        </w:tc>
        <w:tc>
          <w:tcPr>
            <w:tcW w:w="5386" w:type="dxa"/>
            <w:vAlign w:val="center"/>
          </w:tcPr>
          <w:p w14:paraId="1147FBD6">
            <w:pPr>
              <w:pStyle w:val="11"/>
            </w:pPr>
            <w:r>
              <w:t>绩效指标描述</w:t>
            </w:r>
          </w:p>
        </w:tc>
        <w:tc>
          <w:tcPr>
            <w:tcW w:w="2268" w:type="dxa"/>
            <w:vAlign w:val="center"/>
          </w:tcPr>
          <w:p w14:paraId="6DFDA3E8">
            <w:pPr>
              <w:pStyle w:val="11"/>
            </w:pPr>
            <w:r>
              <w:t>指标值</w:t>
            </w:r>
          </w:p>
        </w:tc>
        <w:tc>
          <w:tcPr>
            <w:tcW w:w="1276" w:type="dxa"/>
            <w:vAlign w:val="center"/>
          </w:tcPr>
          <w:p w14:paraId="28169046">
            <w:pPr>
              <w:pStyle w:val="11"/>
            </w:pPr>
            <w:r>
              <w:t>指标值确定依据</w:t>
            </w:r>
          </w:p>
        </w:tc>
      </w:tr>
      <w:tr w14:paraId="7A7A8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C9E74">
            <w:pPr>
              <w:pStyle w:val="12"/>
            </w:pPr>
            <w:r>
              <w:t>产出指标</w:t>
            </w:r>
          </w:p>
        </w:tc>
        <w:tc>
          <w:tcPr>
            <w:tcW w:w="2268" w:type="dxa"/>
            <w:vAlign w:val="center"/>
          </w:tcPr>
          <w:p w14:paraId="6AC271CA">
            <w:pPr>
              <w:pStyle w:val="13"/>
            </w:pPr>
            <w:r>
              <w:t>数量指标</w:t>
            </w:r>
          </w:p>
        </w:tc>
        <w:tc>
          <w:tcPr>
            <w:tcW w:w="2835" w:type="dxa"/>
            <w:vAlign w:val="center"/>
          </w:tcPr>
          <w:p w14:paraId="205E7B8C">
            <w:pPr>
              <w:pStyle w:val="13"/>
            </w:pPr>
            <w:r>
              <w:t>就读学生数</w:t>
            </w:r>
          </w:p>
        </w:tc>
        <w:tc>
          <w:tcPr>
            <w:tcW w:w="5386" w:type="dxa"/>
            <w:vAlign w:val="center"/>
          </w:tcPr>
          <w:p w14:paraId="1B70F253">
            <w:pPr>
              <w:pStyle w:val="13"/>
            </w:pPr>
            <w:r>
              <w:t>辐射区域内适龄学生人数</w:t>
            </w:r>
          </w:p>
        </w:tc>
        <w:tc>
          <w:tcPr>
            <w:tcW w:w="2268" w:type="dxa"/>
            <w:vAlign w:val="center"/>
          </w:tcPr>
          <w:p w14:paraId="1DE1ED6C">
            <w:pPr>
              <w:pStyle w:val="13"/>
            </w:pPr>
            <w:r>
              <w:t>3697人</w:t>
            </w:r>
          </w:p>
        </w:tc>
        <w:tc>
          <w:tcPr>
            <w:tcW w:w="1276" w:type="dxa"/>
            <w:vAlign w:val="center"/>
          </w:tcPr>
          <w:p w14:paraId="60C1FA74">
            <w:pPr>
              <w:pStyle w:val="13"/>
            </w:pPr>
            <w:r>
              <w:t>城乡义务教育公用经费管理办法</w:t>
            </w:r>
          </w:p>
        </w:tc>
      </w:tr>
      <w:tr w14:paraId="71373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99538"/>
        </w:tc>
        <w:tc>
          <w:tcPr>
            <w:tcW w:w="2268" w:type="dxa"/>
            <w:vAlign w:val="center"/>
          </w:tcPr>
          <w:p w14:paraId="16CBF2DB">
            <w:pPr>
              <w:pStyle w:val="13"/>
            </w:pPr>
            <w:r>
              <w:t>质量指标</w:t>
            </w:r>
          </w:p>
        </w:tc>
        <w:tc>
          <w:tcPr>
            <w:tcW w:w="2835" w:type="dxa"/>
            <w:vAlign w:val="center"/>
          </w:tcPr>
          <w:p w14:paraId="563BB8C0">
            <w:pPr>
              <w:pStyle w:val="13"/>
            </w:pPr>
            <w:r>
              <w:t>预算执行率</w:t>
            </w:r>
          </w:p>
        </w:tc>
        <w:tc>
          <w:tcPr>
            <w:tcW w:w="5386" w:type="dxa"/>
            <w:vAlign w:val="center"/>
          </w:tcPr>
          <w:p w14:paraId="6D90951D">
            <w:pPr>
              <w:pStyle w:val="13"/>
            </w:pPr>
            <w:r>
              <w:t>预算执行率</w:t>
            </w:r>
          </w:p>
        </w:tc>
        <w:tc>
          <w:tcPr>
            <w:tcW w:w="2268" w:type="dxa"/>
            <w:vAlign w:val="center"/>
          </w:tcPr>
          <w:p w14:paraId="5465A523">
            <w:pPr>
              <w:pStyle w:val="13"/>
            </w:pPr>
            <w:r>
              <w:t>≥98%</w:t>
            </w:r>
          </w:p>
        </w:tc>
        <w:tc>
          <w:tcPr>
            <w:tcW w:w="1276" w:type="dxa"/>
            <w:vAlign w:val="center"/>
          </w:tcPr>
          <w:p w14:paraId="03468B02">
            <w:pPr>
              <w:pStyle w:val="13"/>
            </w:pPr>
            <w:r>
              <w:t>城乡义务教育公用经费管理办法</w:t>
            </w:r>
          </w:p>
        </w:tc>
      </w:tr>
      <w:tr w14:paraId="36F0A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98B8D"/>
        </w:tc>
        <w:tc>
          <w:tcPr>
            <w:tcW w:w="2268" w:type="dxa"/>
            <w:vAlign w:val="center"/>
          </w:tcPr>
          <w:p w14:paraId="25E5F907">
            <w:pPr>
              <w:pStyle w:val="13"/>
            </w:pPr>
            <w:r>
              <w:t>时效指标</w:t>
            </w:r>
          </w:p>
        </w:tc>
        <w:tc>
          <w:tcPr>
            <w:tcW w:w="2835" w:type="dxa"/>
            <w:vAlign w:val="center"/>
          </w:tcPr>
          <w:p w14:paraId="7FCA5316">
            <w:pPr>
              <w:pStyle w:val="13"/>
            </w:pPr>
            <w:r>
              <w:t>义教经费支付完成率</w:t>
            </w:r>
          </w:p>
        </w:tc>
        <w:tc>
          <w:tcPr>
            <w:tcW w:w="5386" w:type="dxa"/>
            <w:vAlign w:val="center"/>
          </w:tcPr>
          <w:p w14:paraId="79729191">
            <w:pPr>
              <w:pStyle w:val="13"/>
            </w:pPr>
            <w:r>
              <w:t>按照序时进度完成资金支付</w:t>
            </w:r>
          </w:p>
        </w:tc>
        <w:tc>
          <w:tcPr>
            <w:tcW w:w="2268" w:type="dxa"/>
            <w:vAlign w:val="center"/>
          </w:tcPr>
          <w:p w14:paraId="3A50BC06">
            <w:pPr>
              <w:pStyle w:val="13"/>
            </w:pPr>
            <w:r>
              <w:t>100%</w:t>
            </w:r>
          </w:p>
        </w:tc>
        <w:tc>
          <w:tcPr>
            <w:tcW w:w="1276" w:type="dxa"/>
            <w:vAlign w:val="center"/>
          </w:tcPr>
          <w:p w14:paraId="1DABC9DB">
            <w:pPr>
              <w:pStyle w:val="13"/>
            </w:pPr>
            <w:r>
              <w:t>城乡义务教育公用经费管理办法</w:t>
            </w:r>
          </w:p>
        </w:tc>
      </w:tr>
      <w:tr w14:paraId="48EF1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0A297"/>
        </w:tc>
        <w:tc>
          <w:tcPr>
            <w:tcW w:w="2268" w:type="dxa"/>
            <w:vAlign w:val="center"/>
          </w:tcPr>
          <w:p w14:paraId="613BC202">
            <w:pPr>
              <w:pStyle w:val="13"/>
            </w:pPr>
            <w:r>
              <w:t>成本指标</w:t>
            </w:r>
          </w:p>
        </w:tc>
        <w:tc>
          <w:tcPr>
            <w:tcW w:w="2835" w:type="dxa"/>
            <w:vAlign w:val="center"/>
          </w:tcPr>
          <w:p w14:paraId="52CC98CB">
            <w:pPr>
              <w:pStyle w:val="13"/>
            </w:pPr>
            <w:r>
              <w:t>生均拨款标准</w:t>
            </w:r>
          </w:p>
        </w:tc>
        <w:tc>
          <w:tcPr>
            <w:tcW w:w="5386" w:type="dxa"/>
            <w:vAlign w:val="center"/>
          </w:tcPr>
          <w:p w14:paraId="24C0141E">
            <w:pPr>
              <w:pStyle w:val="13"/>
            </w:pPr>
            <w:r>
              <w:t>小学：（基本标准720元、寄宿生300元、生活补助120元）/生/学年；特教、随班就读学生：标准6000元/生/学年</w:t>
            </w:r>
          </w:p>
        </w:tc>
        <w:tc>
          <w:tcPr>
            <w:tcW w:w="2268" w:type="dxa"/>
            <w:vAlign w:val="center"/>
          </w:tcPr>
          <w:p w14:paraId="38B89AB1">
            <w:pPr>
              <w:pStyle w:val="13"/>
            </w:pPr>
            <w:r>
              <w:t>840元</w:t>
            </w:r>
          </w:p>
        </w:tc>
        <w:tc>
          <w:tcPr>
            <w:tcW w:w="1276" w:type="dxa"/>
            <w:vAlign w:val="center"/>
          </w:tcPr>
          <w:p w14:paraId="095DDD55">
            <w:pPr>
              <w:pStyle w:val="13"/>
            </w:pPr>
            <w:r>
              <w:t>城乡义务教育公用经费管理办法</w:t>
            </w:r>
          </w:p>
        </w:tc>
      </w:tr>
      <w:tr w14:paraId="44577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17CBC6">
            <w:pPr>
              <w:pStyle w:val="12"/>
            </w:pPr>
            <w:r>
              <w:t>效益指标</w:t>
            </w:r>
          </w:p>
        </w:tc>
        <w:tc>
          <w:tcPr>
            <w:tcW w:w="2268" w:type="dxa"/>
            <w:vAlign w:val="center"/>
          </w:tcPr>
          <w:p w14:paraId="72D35169">
            <w:pPr>
              <w:pStyle w:val="13"/>
            </w:pPr>
            <w:r>
              <w:t>可持续影响指标</w:t>
            </w:r>
          </w:p>
        </w:tc>
        <w:tc>
          <w:tcPr>
            <w:tcW w:w="2835" w:type="dxa"/>
            <w:vAlign w:val="center"/>
          </w:tcPr>
          <w:p w14:paraId="39076786">
            <w:pPr>
              <w:pStyle w:val="13"/>
            </w:pPr>
            <w:r>
              <w:t>学校稳定率</w:t>
            </w:r>
          </w:p>
        </w:tc>
        <w:tc>
          <w:tcPr>
            <w:tcW w:w="5386" w:type="dxa"/>
            <w:vAlign w:val="center"/>
          </w:tcPr>
          <w:p w14:paraId="720A88E3">
            <w:pPr>
              <w:pStyle w:val="13"/>
            </w:pPr>
            <w:r>
              <w:t>维护学校稳定，保障学校正常教学秩序有效开展</w:t>
            </w:r>
          </w:p>
        </w:tc>
        <w:tc>
          <w:tcPr>
            <w:tcW w:w="2268" w:type="dxa"/>
            <w:vAlign w:val="center"/>
          </w:tcPr>
          <w:p w14:paraId="0505CD6A">
            <w:pPr>
              <w:pStyle w:val="13"/>
            </w:pPr>
            <w:r>
              <w:t>100%</w:t>
            </w:r>
          </w:p>
        </w:tc>
        <w:tc>
          <w:tcPr>
            <w:tcW w:w="1276" w:type="dxa"/>
            <w:vAlign w:val="center"/>
          </w:tcPr>
          <w:p w14:paraId="503DB163">
            <w:pPr>
              <w:pStyle w:val="13"/>
            </w:pPr>
            <w:r>
              <w:t>城乡义务教育公用经费管理办法</w:t>
            </w:r>
          </w:p>
        </w:tc>
      </w:tr>
      <w:tr w14:paraId="3412F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4F64A656">
            <w:pPr>
              <w:pStyle w:val="12"/>
            </w:pPr>
            <w:r>
              <w:t>满意度指标</w:t>
            </w:r>
          </w:p>
        </w:tc>
        <w:tc>
          <w:tcPr>
            <w:tcW w:w="2268" w:type="dxa"/>
            <w:vAlign w:val="center"/>
          </w:tcPr>
          <w:p w14:paraId="58A752DE">
            <w:pPr>
              <w:pStyle w:val="13"/>
            </w:pPr>
            <w:r>
              <w:t>服务对象满意度指标</w:t>
            </w:r>
          </w:p>
        </w:tc>
        <w:tc>
          <w:tcPr>
            <w:tcW w:w="2835" w:type="dxa"/>
            <w:vAlign w:val="center"/>
          </w:tcPr>
          <w:p w14:paraId="25B7F489">
            <w:pPr>
              <w:pStyle w:val="13"/>
            </w:pPr>
            <w:r>
              <w:t>家长和学生满意度</w:t>
            </w:r>
          </w:p>
        </w:tc>
        <w:tc>
          <w:tcPr>
            <w:tcW w:w="5386" w:type="dxa"/>
            <w:vAlign w:val="center"/>
          </w:tcPr>
          <w:p w14:paraId="12D51FCC">
            <w:pPr>
              <w:pStyle w:val="13"/>
            </w:pPr>
            <w:r>
              <w:t>家长和学生满意度</w:t>
            </w:r>
          </w:p>
        </w:tc>
        <w:tc>
          <w:tcPr>
            <w:tcW w:w="2268" w:type="dxa"/>
            <w:vAlign w:val="center"/>
          </w:tcPr>
          <w:p w14:paraId="514A52B6">
            <w:pPr>
              <w:pStyle w:val="13"/>
            </w:pPr>
            <w:r>
              <w:t>≥95%</w:t>
            </w:r>
          </w:p>
        </w:tc>
        <w:tc>
          <w:tcPr>
            <w:tcW w:w="1276" w:type="dxa"/>
            <w:vAlign w:val="center"/>
          </w:tcPr>
          <w:p w14:paraId="017ABD07">
            <w:pPr>
              <w:pStyle w:val="13"/>
            </w:pPr>
            <w:r>
              <w:t>问卷调查</w:t>
            </w:r>
          </w:p>
        </w:tc>
      </w:tr>
    </w:tbl>
    <w:p w14:paraId="47882CE1">
      <w:pPr>
        <w:sectPr>
          <w:pgSz w:w="16840" w:h="11900" w:orient="landscape"/>
          <w:pgMar w:top="1361" w:right="1020" w:bottom="1134" w:left="1020" w:header="720" w:footer="720" w:gutter="0"/>
          <w:cols w:space="720" w:num="1"/>
        </w:sectPr>
      </w:pPr>
    </w:p>
    <w:p w14:paraId="6A1785C6">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2、冀财教[2024]123号/中央/2025年义教补助经费/综合奖补/实验小学公用经费绩效目标表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F2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B495B">
            <w:pPr>
              <w:pStyle w:val="14"/>
            </w:pPr>
            <w:r>
              <w:t>单位：万元</w:t>
            </w:r>
          </w:p>
        </w:tc>
      </w:tr>
      <w:tr w14:paraId="341F5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5CF32">
            <w:pPr>
              <w:pStyle w:val="11"/>
            </w:pPr>
            <w:r>
              <w:t>项目编码</w:t>
            </w:r>
          </w:p>
        </w:tc>
        <w:tc>
          <w:tcPr>
            <w:tcW w:w="5103" w:type="dxa"/>
            <w:gridSpan w:val="2"/>
            <w:vAlign w:val="center"/>
          </w:tcPr>
          <w:p w14:paraId="614F0D0C">
            <w:pPr>
              <w:pStyle w:val="13"/>
            </w:pPr>
            <w:r>
              <w:t>13052525P00875610274E</w:t>
            </w:r>
          </w:p>
        </w:tc>
        <w:tc>
          <w:tcPr>
            <w:tcW w:w="2835" w:type="dxa"/>
            <w:vAlign w:val="center"/>
          </w:tcPr>
          <w:p w14:paraId="039D126D">
            <w:pPr>
              <w:pStyle w:val="11"/>
            </w:pPr>
            <w:r>
              <w:t>项目名称</w:t>
            </w:r>
          </w:p>
        </w:tc>
        <w:tc>
          <w:tcPr>
            <w:tcW w:w="6095" w:type="dxa"/>
            <w:gridSpan w:val="3"/>
            <w:vAlign w:val="center"/>
          </w:tcPr>
          <w:p w14:paraId="0360A907">
            <w:pPr>
              <w:pStyle w:val="13"/>
            </w:pPr>
            <w:r>
              <w:t>冀财教[2024]123号/中央/2025年义教补助经费/综合奖补/实验小学公用经费</w:t>
            </w:r>
          </w:p>
        </w:tc>
      </w:tr>
      <w:tr w14:paraId="65667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AF833">
            <w:pPr>
              <w:pStyle w:val="11"/>
            </w:pPr>
            <w:r>
              <w:t>预算规模及资金用途</w:t>
            </w:r>
          </w:p>
        </w:tc>
        <w:tc>
          <w:tcPr>
            <w:tcW w:w="2268" w:type="dxa"/>
            <w:vAlign w:val="center"/>
          </w:tcPr>
          <w:p w14:paraId="38C09ECF">
            <w:pPr>
              <w:pStyle w:val="11"/>
            </w:pPr>
            <w:r>
              <w:t>预算数</w:t>
            </w:r>
          </w:p>
        </w:tc>
        <w:tc>
          <w:tcPr>
            <w:tcW w:w="2835" w:type="dxa"/>
            <w:vAlign w:val="center"/>
          </w:tcPr>
          <w:p w14:paraId="5147B47D">
            <w:pPr>
              <w:pStyle w:val="13"/>
            </w:pPr>
            <w:r>
              <w:t>2.17</w:t>
            </w:r>
          </w:p>
        </w:tc>
        <w:tc>
          <w:tcPr>
            <w:tcW w:w="2835" w:type="dxa"/>
            <w:vAlign w:val="center"/>
          </w:tcPr>
          <w:p w14:paraId="64FAF5EF">
            <w:pPr>
              <w:pStyle w:val="11"/>
            </w:pPr>
            <w:r>
              <w:t>其中：财政    资金</w:t>
            </w:r>
          </w:p>
        </w:tc>
        <w:tc>
          <w:tcPr>
            <w:tcW w:w="2551" w:type="dxa"/>
            <w:vAlign w:val="center"/>
          </w:tcPr>
          <w:p w14:paraId="38042A9E">
            <w:pPr>
              <w:pStyle w:val="13"/>
            </w:pPr>
            <w:r>
              <w:t>2.17</w:t>
            </w:r>
          </w:p>
        </w:tc>
        <w:tc>
          <w:tcPr>
            <w:tcW w:w="2268" w:type="dxa"/>
            <w:vAlign w:val="center"/>
          </w:tcPr>
          <w:p w14:paraId="40F9C49C">
            <w:pPr>
              <w:pStyle w:val="11"/>
            </w:pPr>
            <w:r>
              <w:t>其他资金</w:t>
            </w:r>
          </w:p>
        </w:tc>
        <w:tc>
          <w:tcPr>
            <w:tcW w:w="1276" w:type="dxa"/>
            <w:vAlign w:val="center"/>
          </w:tcPr>
          <w:p w14:paraId="4AD0DDEE">
            <w:pPr>
              <w:pStyle w:val="13"/>
            </w:pPr>
            <w:r>
              <w:t xml:space="preserve"> </w:t>
            </w:r>
          </w:p>
        </w:tc>
      </w:tr>
      <w:tr w14:paraId="16CFA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246FC"/>
        </w:tc>
        <w:tc>
          <w:tcPr>
            <w:tcW w:w="14033" w:type="dxa"/>
            <w:gridSpan w:val="6"/>
            <w:vAlign w:val="center"/>
          </w:tcPr>
          <w:p w14:paraId="45FB61CC">
            <w:pPr>
              <w:pStyle w:val="13"/>
            </w:pPr>
            <w:r>
              <w:t>有效完成学校教学安全秩序，保障学校教学任务有效开展，满足学校正常教学需要。</w:t>
            </w:r>
            <w:r>
              <w:tab/>
            </w:r>
            <w:r>
              <w:tab/>
            </w:r>
            <w:r>
              <w:tab/>
            </w:r>
            <w:r>
              <w:tab/>
            </w:r>
            <w:r>
              <w:tab/>
            </w:r>
            <w:r>
              <w:tab/>
            </w:r>
            <w:r>
              <w:tab/>
            </w:r>
          </w:p>
        </w:tc>
      </w:tr>
      <w:tr w14:paraId="3BE2F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A9636">
            <w:pPr>
              <w:pStyle w:val="11"/>
            </w:pPr>
            <w:r>
              <w:t>资金支出计划（%）</w:t>
            </w:r>
          </w:p>
        </w:tc>
        <w:tc>
          <w:tcPr>
            <w:tcW w:w="5103" w:type="dxa"/>
            <w:gridSpan w:val="2"/>
            <w:vAlign w:val="center"/>
          </w:tcPr>
          <w:p w14:paraId="02E09C9E">
            <w:pPr>
              <w:pStyle w:val="11"/>
            </w:pPr>
            <w:r>
              <w:t>3月底</w:t>
            </w:r>
          </w:p>
        </w:tc>
        <w:tc>
          <w:tcPr>
            <w:tcW w:w="2835" w:type="dxa"/>
            <w:vAlign w:val="center"/>
          </w:tcPr>
          <w:p w14:paraId="03C7DCB4">
            <w:pPr>
              <w:pStyle w:val="11"/>
            </w:pPr>
            <w:r>
              <w:t>6月底</w:t>
            </w:r>
          </w:p>
        </w:tc>
        <w:tc>
          <w:tcPr>
            <w:tcW w:w="2551" w:type="dxa"/>
            <w:vAlign w:val="center"/>
          </w:tcPr>
          <w:p w14:paraId="0294A363">
            <w:pPr>
              <w:pStyle w:val="11"/>
            </w:pPr>
            <w:r>
              <w:t>10月底</w:t>
            </w:r>
          </w:p>
        </w:tc>
        <w:tc>
          <w:tcPr>
            <w:tcW w:w="3544" w:type="dxa"/>
            <w:gridSpan w:val="2"/>
            <w:vAlign w:val="center"/>
          </w:tcPr>
          <w:p w14:paraId="02724A83">
            <w:pPr>
              <w:pStyle w:val="11"/>
            </w:pPr>
            <w:r>
              <w:t>12月底</w:t>
            </w:r>
          </w:p>
        </w:tc>
      </w:tr>
      <w:tr w14:paraId="08F60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97EAB0"/>
        </w:tc>
        <w:tc>
          <w:tcPr>
            <w:tcW w:w="5103" w:type="dxa"/>
            <w:gridSpan w:val="2"/>
            <w:vAlign w:val="center"/>
          </w:tcPr>
          <w:p w14:paraId="57218E01">
            <w:pPr>
              <w:pStyle w:val="12"/>
            </w:pPr>
            <w:r>
              <w:t xml:space="preserve"> </w:t>
            </w:r>
          </w:p>
        </w:tc>
        <w:tc>
          <w:tcPr>
            <w:tcW w:w="2835" w:type="dxa"/>
            <w:vAlign w:val="center"/>
          </w:tcPr>
          <w:p w14:paraId="3DF00F95">
            <w:pPr>
              <w:pStyle w:val="12"/>
            </w:pPr>
            <w:r>
              <w:t>75%</w:t>
            </w:r>
          </w:p>
        </w:tc>
        <w:tc>
          <w:tcPr>
            <w:tcW w:w="2551" w:type="dxa"/>
            <w:vAlign w:val="center"/>
          </w:tcPr>
          <w:p w14:paraId="775EAD14">
            <w:pPr>
              <w:pStyle w:val="12"/>
            </w:pPr>
            <w:r>
              <w:t>100%</w:t>
            </w:r>
          </w:p>
        </w:tc>
        <w:tc>
          <w:tcPr>
            <w:tcW w:w="3544" w:type="dxa"/>
            <w:gridSpan w:val="2"/>
            <w:vAlign w:val="center"/>
          </w:tcPr>
          <w:p w14:paraId="3D189F70">
            <w:pPr>
              <w:pStyle w:val="12"/>
            </w:pPr>
            <w:r>
              <w:t>100%</w:t>
            </w:r>
          </w:p>
        </w:tc>
      </w:tr>
      <w:tr w14:paraId="4C8F6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787801">
            <w:pPr>
              <w:pStyle w:val="11"/>
            </w:pPr>
            <w:r>
              <w:t>绩效目标</w:t>
            </w:r>
          </w:p>
        </w:tc>
        <w:tc>
          <w:tcPr>
            <w:tcW w:w="14033" w:type="dxa"/>
            <w:gridSpan w:val="6"/>
            <w:vAlign w:val="center"/>
          </w:tcPr>
          <w:p w14:paraId="5E590AC7">
            <w:pPr>
              <w:pStyle w:val="13"/>
            </w:pPr>
            <w:r>
              <w:t>1.按规定拨付公用经费资金，预算执行率≥98%。</w:t>
            </w:r>
            <w:r>
              <w:tab/>
            </w:r>
            <w:r>
              <w:tab/>
            </w:r>
            <w:r>
              <w:tab/>
            </w:r>
            <w:r>
              <w:tab/>
            </w:r>
            <w:r>
              <w:tab/>
            </w:r>
            <w:r>
              <w:tab/>
            </w:r>
          </w:p>
          <w:p w14:paraId="3E6BB38D">
            <w:pPr>
              <w:pStyle w:val="13"/>
            </w:pPr>
            <w:r>
              <w:t>2.有效完成学校教学安全秩序，保障学校教学任务有效开展，满足学校正常教学需要。</w:t>
            </w:r>
            <w:r>
              <w:tab/>
            </w:r>
            <w:r>
              <w:tab/>
            </w:r>
            <w:r>
              <w:tab/>
            </w:r>
          </w:p>
        </w:tc>
      </w:tr>
    </w:tbl>
    <w:p w14:paraId="1F5BFE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13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BCE32">
            <w:pPr>
              <w:pStyle w:val="11"/>
            </w:pPr>
            <w:r>
              <w:t>一级指标</w:t>
            </w:r>
          </w:p>
        </w:tc>
        <w:tc>
          <w:tcPr>
            <w:tcW w:w="2268" w:type="dxa"/>
            <w:vAlign w:val="center"/>
          </w:tcPr>
          <w:p w14:paraId="03B1DFE5">
            <w:pPr>
              <w:pStyle w:val="11"/>
            </w:pPr>
            <w:r>
              <w:t>二级指标</w:t>
            </w:r>
          </w:p>
        </w:tc>
        <w:tc>
          <w:tcPr>
            <w:tcW w:w="2835" w:type="dxa"/>
            <w:vAlign w:val="center"/>
          </w:tcPr>
          <w:p w14:paraId="2C53AD87">
            <w:pPr>
              <w:pStyle w:val="11"/>
            </w:pPr>
            <w:r>
              <w:t>三级指标</w:t>
            </w:r>
          </w:p>
        </w:tc>
        <w:tc>
          <w:tcPr>
            <w:tcW w:w="5386" w:type="dxa"/>
            <w:vAlign w:val="center"/>
          </w:tcPr>
          <w:p w14:paraId="5529299B">
            <w:pPr>
              <w:pStyle w:val="11"/>
            </w:pPr>
            <w:r>
              <w:t>绩效指标描述</w:t>
            </w:r>
          </w:p>
        </w:tc>
        <w:tc>
          <w:tcPr>
            <w:tcW w:w="2268" w:type="dxa"/>
            <w:vAlign w:val="center"/>
          </w:tcPr>
          <w:p w14:paraId="42FF1FC1">
            <w:pPr>
              <w:pStyle w:val="11"/>
            </w:pPr>
            <w:r>
              <w:t>指标值</w:t>
            </w:r>
          </w:p>
        </w:tc>
        <w:tc>
          <w:tcPr>
            <w:tcW w:w="1276" w:type="dxa"/>
            <w:vAlign w:val="center"/>
          </w:tcPr>
          <w:p w14:paraId="26EA5C61">
            <w:pPr>
              <w:pStyle w:val="11"/>
            </w:pPr>
            <w:r>
              <w:t>指标值确定依据</w:t>
            </w:r>
          </w:p>
        </w:tc>
      </w:tr>
      <w:tr w14:paraId="7CB37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0AEEE">
            <w:pPr>
              <w:pStyle w:val="12"/>
            </w:pPr>
            <w:r>
              <w:t>产出指标</w:t>
            </w:r>
          </w:p>
        </w:tc>
        <w:tc>
          <w:tcPr>
            <w:tcW w:w="2268" w:type="dxa"/>
            <w:vAlign w:val="center"/>
          </w:tcPr>
          <w:p w14:paraId="3D830D50">
            <w:pPr>
              <w:pStyle w:val="13"/>
            </w:pPr>
            <w:r>
              <w:t>数量指标</w:t>
            </w:r>
          </w:p>
        </w:tc>
        <w:tc>
          <w:tcPr>
            <w:tcW w:w="2835" w:type="dxa"/>
            <w:vAlign w:val="center"/>
          </w:tcPr>
          <w:p w14:paraId="010C0FD9">
            <w:pPr>
              <w:pStyle w:val="13"/>
            </w:pPr>
            <w:r>
              <w:t>就读学生数</w:t>
            </w:r>
          </w:p>
        </w:tc>
        <w:tc>
          <w:tcPr>
            <w:tcW w:w="5386" w:type="dxa"/>
            <w:vAlign w:val="center"/>
          </w:tcPr>
          <w:p w14:paraId="02D57157">
            <w:pPr>
              <w:pStyle w:val="13"/>
            </w:pPr>
            <w:r>
              <w:t>辐射区域内适龄学生人数</w:t>
            </w:r>
          </w:p>
        </w:tc>
        <w:tc>
          <w:tcPr>
            <w:tcW w:w="2268" w:type="dxa"/>
            <w:vAlign w:val="center"/>
          </w:tcPr>
          <w:p w14:paraId="7E5E35D8">
            <w:pPr>
              <w:pStyle w:val="13"/>
            </w:pPr>
            <w:r>
              <w:t>≥3697人</w:t>
            </w:r>
          </w:p>
        </w:tc>
        <w:tc>
          <w:tcPr>
            <w:tcW w:w="1276" w:type="dxa"/>
            <w:vAlign w:val="center"/>
          </w:tcPr>
          <w:p w14:paraId="6FEE13DB">
            <w:pPr>
              <w:pStyle w:val="13"/>
            </w:pPr>
            <w:r>
              <w:t>城乡义务教育公用经费管理办法</w:t>
            </w:r>
          </w:p>
        </w:tc>
      </w:tr>
      <w:tr w14:paraId="481EF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84384"/>
        </w:tc>
        <w:tc>
          <w:tcPr>
            <w:tcW w:w="2268" w:type="dxa"/>
            <w:vAlign w:val="center"/>
          </w:tcPr>
          <w:p w14:paraId="529990C0">
            <w:pPr>
              <w:pStyle w:val="13"/>
            </w:pPr>
            <w:r>
              <w:t>质量指标</w:t>
            </w:r>
          </w:p>
        </w:tc>
        <w:tc>
          <w:tcPr>
            <w:tcW w:w="2835" w:type="dxa"/>
            <w:vAlign w:val="center"/>
          </w:tcPr>
          <w:p w14:paraId="484C8702">
            <w:pPr>
              <w:pStyle w:val="13"/>
            </w:pPr>
            <w:r>
              <w:t>预算执行率</w:t>
            </w:r>
          </w:p>
        </w:tc>
        <w:tc>
          <w:tcPr>
            <w:tcW w:w="5386" w:type="dxa"/>
            <w:vAlign w:val="center"/>
          </w:tcPr>
          <w:p w14:paraId="79C182BA">
            <w:pPr>
              <w:pStyle w:val="13"/>
            </w:pPr>
            <w:r>
              <w:t>预算执行率</w:t>
            </w:r>
          </w:p>
        </w:tc>
        <w:tc>
          <w:tcPr>
            <w:tcW w:w="2268" w:type="dxa"/>
            <w:vAlign w:val="center"/>
          </w:tcPr>
          <w:p w14:paraId="2FBA5B6D">
            <w:pPr>
              <w:pStyle w:val="13"/>
            </w:pPr>
            <w:r>
              <w:t>≥98%</w:t>
            </w:r>
          </w:p>
        </w:tc>
        <w:tc>
          <w:tcPr>
            <w:tcW w:w="1276" w:type="dxa"/>
            <w:vAlign w:val="center"/>
          </w:tcPr>
          <w:p w14:paraId="15AF8DC2">
            <w:pPr>
              <w:pStyle w:val="13"/>
            </w:pPr>
            <w:r>
              <w:t>城乡义务教育公用经费管理办法</w:t>
            </w:r>
          </w:p>
        </w:tc>
      </w:tr>
      <w:tr w14:paraId="156CB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C41FF"/>
        </w:tc>
        <w:tc>
          <w:tcPr>
            <w:tcW w:w="2268" w:type="dxa"/>
            <w:vAlign w:val="center"/>
          </w:tcPr>
          <w:p w14:paraId="7EF166A9">
            <w:pPr>
              <w:pStyle w:val="13"/>
            </w:pPr>
            <w:r>
              <w:t>时效指标</w:t>
            </w:r>
          </w:p>
        </w:tc>
        <w:tc>
          <w:tcPr>
            <w:tcW w:w="2835" w:type="dxa"/>
            <w:vAlign w:val="center"/>
          </w:tcPr>
          <w:p w14:paraId="6F29458E">
            <w:pPr>
              <w:pStyle w:val="13"/>
            </w:pPr>
            <w:r>
              <w:t>义教经费支付完成率</w:t>
            </w:r>
          </w:p>
        </w:tc>
        <w:tc>
          <w:tcPr>
            <w:tcW w:w="5386" w:type="dxa"/>
            <w:vAlign w:val="center"/>
          </w:tcPr>
          <w:p w14:paraId="40E86F15">
            <w:pPr>
              <w:pStyle w:val="13"/>
            </w:pPr>
            <w:r>
              <w:t>按照序时进度完成资金支付</w:t>
            </w:r>
          </w:p>
        </w:tc>
        <w:tc>
          <w:tcPr>
            <w:tcW w:w="2268" w:type="dxa"/>
            <w:vAlign w:val="center"/>
          </w:tcPr>
          <w:p w14:paraId="4A3D5ADD">
            <w:pPr>
              <w:pStyle w:val="13"/>
            </w:pPr>
            <w:r>
              <w:t>≥100%</w:t>
            </w:r>
          </w:p>
        </w:tc>
        <w:tc>
          <w:tcPr>
            <w:tcW w:w="1276" w:type="dxa"/>
            <w:vAlign w:val="center"/>
          </w:tcPr>
          <w:p w14:paraId="19B228B9">
            <w:pPr>
              <w:pStyle w:val="13"/>
            </w:pPr>
            <w:r>
              <w:t>城乡义务教育公用经费管理办法</w:t>
            </w:r>
          </w:p>
        </w:tc>
      </w:tr>
      <w:tr w14:paraId="52C33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52C88"/>
        </w:tc>
        <w:tc>
          <w:tcPr>
            <w:tcW w:w="2268" w:type="dxa"/>
            <w:vAlign w:val="center"/>
          </w:tcPr>
          <w:p w14:paraId="6B9DFC68">
            <w:pPr>
              <w:pStyle w:val="13"/>
            </w:pPr>
            <w:r>
              <w:t>成本指标</w:t>
            </w:r>
          </w:p>
        </w:tc>
        <w:tc>
          <w:tcPr>
            <w:tcW w:w="2835" w:type="dxa"/>
            <w:vAlign w:val="center"/>
          </w:tcPr>
          <w:p w14:paraId="44FD1E7F">
            <w:pPr>
              <w:pStyle w:val="13"/>
            </w:pPr>
            <w:r>
              <w:t>生均拨款标准</w:t>
            </w:r>
          </w:p>
        </w:tc>
        <w:tc>
          <w:tcPr>
            <w:tcW w:w="5386" w:type="dxa"/>
            <w:vAlign w:val="center"/>
          </w:tcPr>
          <w:p w14:paraId="4E21F802">
            <w:pPr>
              <w:pStyle w:val="13"/>
            </w:pPr>
            <w:r>
              <w:t>初中：（基本标准840元、寄宿生300元、生活补助120元）/生/学年；特教、随班就读学生：标准7000元/生/学年</w:t>
            </w:r>
          </w:p>
        </w:tc>
        <w:tc>
          <w:tcPr>
            <w:tcW w:w="2268" w:type="dxa"/>
            <w:vAlign w:val="center"/>
          </w:tcPr>
          <w:p w14:paraId="45DAB4F1">
            <w:pPr>
              <w:pStyle w:val="13"/>
            </w:pPr>
            <w:r>
              <w:t>≥1360元</w:t>
            </w:r>
          </w:p>
        </w:tc>
        <w:tc>
          <w:tcPr>
            <w:tcW w:w="1276" w:type="dxa"/>
            <w:vAlign w:val="center"/>
          </w:tcPr>
          <w:p w14:paraId="0E6D7D6C">
            <w:pPr>
              <w:pStyle w:val="13"/>
            </w:pPr>
            <w:r>
              <w:t>城乡义务教育公用经费管理办法</w:t>
            </w:r>
          </w:p>
        </w:tc>
      </w:tr>
      <w:tr w14:paraId="43A01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2737D4">
            <w:pPr>
              <w:pStyle w:val="12"/>
            </w:pPr>
            <w:r>
              <w:t>效益指标</w:t>
            </w:r>
          </w:p>
        </w:tc>
        <w:tc>
          <w:tcPr>
            <w:tcW w:w="2268" w:type="dxa"/>
            <w:vAlign w:val="center"/>
          </w:tcPr>
          <w:p w14:paraId="7B8E956B">
            <w:pPr>
              <w:pStyle w:val="13"/>
            </w:pPr>
            <w:r>
              <w:t>社会效益指标</w:t>
            </w:r>
          </w:p>
        </w:tc>
        <w:tc>
          <w:tcPr>
            <w:tcW w:w="2835" w:type="dxa"/>
            <w:vAlign w:val="center"/>
          </w:tcPr>
          <w:p w14:paraId="081586DB">
            <w:pPr>
              <w:pStyle w:val="13"/>
            </w:pPr>
            <w:r>
              <w:t>学校稳定率</w:t>
            </w:r>
          </w:p>
        </w:tc>
        <w:tc>
          <w:tcPr>
            <w:tcW w:w="5386" w:type="dxa"/>
            <w:vAlign w:val="center"/>
          </w:tcPr>
          <w:p w14:paraId="16228AE5">
            <w:pPr>
              <w:pStyle w:val="13"/>
            </w:pPr>
            <w:r>
              <w:t>维护学校稳定，保障学校正常教学秩序有效开展</w:t>
            </w:r>
          </w:p>
        </w:tc>
        <w:tc>
          <w:tcPr>
            <w:tcW w:w="2268" w:type="dxa"/>
            <w:vAlign w:val="center"/>
          </w:tcPr>
          <w:p w14:paraId="532584E9">
            <w:pPr>
              <w:pStyle w:val="13"/>
            </w:pPr>
            <w:r>
              <w:t>100%</w:t>
            </w:r>
          </w:p>
        </w:tc>
        <w:tc>
          <w:tcPr>
            <w:tcW w:w="1276" w:type="dxa"/>
            <w:vAlign w:val="center"/>
          </w:tcPr>
          <w:p w14:paraId="5F95997A">
            <w:pPr>
              <w:pStyle w:val="13"/>
            </w:pPr>
            <w:r>
              <w:t>城乡义务教育公用经费管理办法</w:t>
            </w:r>
          </w:p>
        </w:tc>
      </w:tr>
      <w:tr w14:paraId="03444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A96236">
            <w:pPr>
              <w:pStyle w:val="12"/>
            </w:pPr>
            <w:r>
              <w:t>满意度指标</w:t>
            </w:r>
          </w:p>
        </w:tc>
        <w:tc>
          <w:tcPr>
            <w:tcW w:w="2268" w:type="dxa"/>
            <w:vAlign w:val="center"/>
          </w:tcPr>
          <w:p w14:paraId="480F2F4D">
            <w:pPr>
              <w:pStyle w:val="13"/>
            </w:pPr>
            <w:r>
              <w:t>服务对象满意度指标</w:t>
            </w:r>
          </w:p>
        </w:tc>
        <w:tc>
          <w:tcPr>
            <w:tcW w:w="2835" w:type="dxa"/>
            <w:vAlign w:val="center"/>
          </w:tcPr>
          <w:p w14:paraId="0610B32A">
            <w:pPr>
              <w:pStyle w:val="13"/>
            </w:pPr>
            <w:r>
              <w:t>家长和学生满意度</w:t>
            </w:r>
          </w:p>
        </w:tc>
        <w:tc>
          <w:tcPr>
            <w:tcW w:w="5386" w:type="dxa"/>
            <w:vAlign w:val="center"/>
          </w:tcPr>
          <w:p w14:paraId="3843D71C">
            <w:pPr>
              <w:pStyle w:val="13"/>
            </w:pPr>
            <w:r>
              <w:t>家长和学生满意度</w:t>
            </w:r>
          </w:p>
        </w:tc>
        <w:tc>
          <w:tcPr>
            <w:tcW w:w="2268" w:type="dxa"/>
            <w:vAlign w:val="center"/>
          </w:tcPr>
          <w:p w14:paraId="119B068E">
            <w:pPr>
              <w:pStyle w:val="13"/>
            </w:pPr>
            <w:r>
              <w:t>≥95%</w:t>
            </w:r>
          </w:p>
        </w:tc>
        <w:tc>
          <w:tcPr>
            <w:tcW w:w="1276" w:type="dxa"/>
            <w:vAlign w:val="center"/>
          </w:tcPr>
          <w:p w14:paraId="30C84C85">
            <w:pPr>
              <w:pStyle w:val="13"/>
            </w:pPr>
            <w:r>
              <w:t>问卷调查</w:t>
            </w:r>
          </w:p>
        </w:tc>
      </w:tr>
    </w:tbl>
    <w:p w14:paraId="699D1B86">
      <w:pPr>
        <w:sectPr>
          <w:pgSz w:w="16840" w:h="11900" w:orient="landscape"/>
          <w:pgMar w:top="1361" w:right="1020" w:bottom="1134" w:left="1020" w:header="720" w:footer="720" w:gutter="0"/>
          <w:cols w:space="720" w:num="1"/>
        </w:sectPr>
      </w:pPr>
    </w:p>
    <w:p w14:paraId="0CF49956">
      <w:pPr>
        <w:spacing w:before="0" w:after="0"/>
        <w:ind w:firstLine="560"/>
        <w:jc w:val="left"/>
        <w:outlineLvl w:val="9"/>
      </w:pPr>
      <w:r>
        <w:rPr>
          <w:rFonts w:ascii="方正仿宋_GBK" w:hAnsi="方正仿宋_GBK" w:eastAsia="方正仿宋_GBK" w:cs="方正仿宋_GBK"/>
          <w:b/>
          <w:color w:val="000000"/>
          <w:sz w:val="28"/>
        </w:rPr>
        <w:t>3、冀财教[2024]141号/省级/2025年义教补助经费/实验小学公用经费绩效目标表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35C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CD33C">
            <w:pPr>
              <w:pStyle w:val="14"/>
            </w:pPr>
            <w:r>
              <w:t>单位：万元</w:t>
            </w:r>
          </w:p>
        </w:tc>
      </w:tr>
      <w:tr w14:paraId="4A3ED8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85E6E5">
            <w:pPr>
              <w:pStyle w:val="11"/>
            </w:pPr>
            <w:r>
              <w:t>项目编码</w:t>
            </w:r>
          </w:p>
        </w:tc>
        <w:tc>
          <w:tcPr>
            <w:tcW w:w="5103" w:type="dxa"/>
            <w:gridSpan w:val="2"/>
            <w:vAlign w:val="center"/>
          </w:tcPr>
          <w:p w14:paraId="57F28663">
            <w:pPr>
              <w:pStyle w:val="13"/>
            </w:pPr>
            <w:r>
              <w:t>13052525P00000410131G</w:t>
            </w:r>
          </w:p>
        </w:tc>
        <w:tc>
          <w:tcPr>
            <w:tcW w:w="2835" w:type="dxa"/>
            <w:vAlign w:val="center"/>
          </w:tcPr>
          <w:p w14:paraId="54088883">
            <w:pPr>
              <w:pStyle w:val="11"/>
            </w:pPr>
            <w:r>
              <w:t>项目名称</w:t>
            </w:r>
          </w:p>
        </w:tc>
        <w:tc>
          <w:tcPr>
            <w:tcW w:w="6095" w:type="dxa"/>
            <w:gridSpan w:val="3"/>
            <w:vAlign w:val="center"/>
          </w:tcPr>
          <w:p w14:paraId="737CAD58">
            <w:pPr>
              <w:pStyle w:val="13"/>
            </w:pPr>
            <w:r>
              <w:t>冀财教[2024]141号/省级/2025年义教补助经费/实验小学公用经费</w:t>
            </w:r>
          </w:p>
        </w:tc>
      </w:tr>
      <w:tr w14:paraId="161B4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3A77779B">
            <w:pPr>
              <w:pStyle w:val="11"/>
            </w:pPr>
            <w:r>
              <w:t>预算规模及资金用途</w:t>
            </w:r>
          </w:p>
        </w:tc>
        <w:tc>
          <w:tcPr>
            <w:tcW w:w="2268" w:type="dxa"/>
            <w:vAlign w:val="center"/>
          </w:tcPr>
          <w:p w14:paraId="16E821FB">
            <w:pPr>
              <w:pStyle w:val="11"/>
            </w:pPr>
            <w:r>
              <w:t>预算数</w:t>
            </w:r>
          </w:p>
        </w:tc>
        <w:tc>
          <w:tcPr>
            <w:tcW w:w="2835" w:type="dxa"/>
            <w:vAlign w:val="center"/>
          </w:tcPr>
          <w:p w14:paraId="59BE28E5">
            <w:pPr>
              <w:pStyle w:val="13"/>
            </w:pPr>
            <w:r>
              <w:t>106.56</w:t>
            </w:r>
          </w:p>
        </w:tc>
        <w:tc>
          <w:tcPr>
            <w:tcW w:w="2835" w:type="dxa"/>
            <w:vAlign w:val="center"/>
          </w:tcPr>
          <w:p w14:paraId="1DF19129">
            <w:pPr>
              <w:pStyle w:val="11"/>
            </w:pPr>
            <w:r>
              <w:t>其中：财政    资金</w:t>
            </w:r>
          </w:p>
        </w:tc>
        <w:tc>
          <w:tcPr>
            <w:tcW w:w="2551" w:type="dxa"/>
            <w:vAlign w:val="center"/>
          </w:tcPr>
          <w:p w14:paraId="1695DD03">
            <w:pPr>
              <w:pStyle w:val="13"/>
            </w:pPr>
            <w:r>
              <w:t>106.56</w:t>
            </w:r>
          </w:p>
        </w:tc>
        <w:tc>
          <w:tcPr>
            <w:tcW w:w="2268" w:type="dxa"/>
            <w:vAlign w:val="center"/>
          </w:tcPr>
          <w:p w14:paraId="6FD5954D">
            <w:pPr>
              <w:pStyle w:val="11"/>
            </w:pPr>
            <w:r>
              <w:t>其他资金</w:t>
            </w:r>
          </w:p>
        </w:tc>
        <w:tc>
          <w:tcPr>
            <w:tcW w:w="1276" w:type="dxa"/>
            <w:vAlign w:val="center"/>
          </w:tcPr>
          <w:p w14:paraId="2FFC5B28">
            <w:pPr>
              <w:pStyle w:val="13"/>
            </w:pPr>
            <w:r>
              <w:t xml:space="preserve"> </w:t>
            </w:r>
          </w:p>
        </w:tc>
      </w:tr>
      <w:tr w14:paraId="4E7E8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A787DD"/>
        </w:tc>
        <w:tc>
          <w:tcPr>
            <w:tcW w:w="14033" w:type="dxa"/>
            <w:gridSpan w:val="6"/>
            <w:vAlign w:val="center"/>
          </w:tcPr>
          <w:p w14:paraId="61FF00A0">
            <w:pPr>
              <w:pStyle w:val="13"/>
            </w:pPr>
            <w:r>
              <w:t>用于有效完成学校教学安全秩序，保障学校教学任务有效开展，满足学校正常教学需要。</w:t>
            </w:r>
          </w:p>
        </w:tc>
      </w:tr>
      <w:tr w14:paraId="3194D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1F163">
            <w:pPr>
              <w:pStyle w:val="11"/>
            </w:pPr>
            <w:r>
              <w:t>资金支出计划（%）</w:t>
            </w:r>
          </w:p>
        </w:tc>
        <w:tc>
          <w:tcPr>
            <w:tcW w:w="5103" w:type="dxa"/>
            <w:gridSpan w:val="2"/>
            <w:vAlign w:val="center"/>
          </w:tcPr>
          <w:p w14:paraId="63DD7D25">
            <w:pPr>
              <w:pStyle w:val="11"/>
            </w:pPr>
            <w:r>
              <w:t>3月底</w:t>
            </w:r>
          </w:p>
        </w:tc>
        <w:tc>
          <w:tcPr>
            <w:tcW w:w="2835" w:type="dxa"/>
            <w:vAlign w:val="center"/>
          </w:tcPr>
          <w:p w14:paraId="214BB960">
            <w:pPr>
              <w:pStyle w:val="11"/>
            </w:pPr>
            <w:r>
              <w:t>6月底</w:t>
            </w:r>
          </w:p>
        </w:tc>
        <w:tc>
          <w:tcPr>
            <w:tcW w:w="2551" w:type="dxa"/>
            <w:vAlign w:val="center"/>
          </w:tcPr>
          <w:p w14:paraId="6B61165F">
            <w:pPr>
              <w:pStyle w:val="11"/>
            </w:pPr>
            <w:r>
              <w:t>10月底</w:t>
            </w:r>
          </w:p>
        </w:tc>
        <w:tc>
          <w:tcPr>
            <w:tcW w:w="3544" w:type="dxa"/>
            <w:gridSpan w:val="2"/>
            <w:vAlign w:val="center"/>
          </w:tcPr>
          <w:p w14:paraId="3A245A0C">
            <w:pPr>
              <w:pStyle w:val="11"/>
            </w:pPr>
            <w:r>
              <w:t>12月底</w:t>
            </w:r>
          </w:p>
        </w:tc>
      </w:tr>
      <w:tr w14:paraId="4F990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704293"/>
        </w:tc>
        <w:tc>
          <w:tcPr>
            <w:tcW w:w="5103" w:type="dxa"/>
            <w:gridSpan w:val="2"/>
            <w:vAlign w:val="center"/>
          </w:tcPr>
          <w:p w14:paraId="2FAFB749">
            <w:pPr>
              <w:pStyle w:val="12"/>
            </w:pPr>
            <w:r>
              <w:t>25%</w:t>
            </w:r>
          </w:p>
        </w:tc>
        <w:tc>
          <w:tcPr>
            <w:tcW w:w="2835" w:type="dxa"/>
            <w:vAlign w:val="center"/>
          </w:tcPr>
          <w:p w14:paraId="02123076">
            <w:pPr>
              <w:pStyle w:val="12"/>
            </w:pPr>
            <w:r>
              <w:t>50%</w:t>
            </w:r>
          </w:p>
        </w:tc>
        <w:tc>
          <w:tcPr>
            <w:tcW w:w="2551" w:type="dxa"/>
            <w:vAlign w:val="center"/>
          </w:tcPr>
          <w:p w14:paraId="3EB88DBE">
            <w:pPr>
              <w:pStyle w:val="12"/>
            </w:pPr>
            <w:r>
              <w:t>75%</w:t>
            </w:r>
          </w:p>
        </w:tc>
        <w:tc>
          <w:tcPr>
            <w:tcW w:w="3544" w:type="dxa"/>
            <w:gridSpan w:val="2"/>
            <w:vAlign w:val="center"/>
          </w:tcPr>
          <w:p w14:paraId="1E823697">
            <w:pPr>
              <w:pStyle w:val="12"/>
            </w:pPr>
            <w:r>
              <w:t>100%</w:t>
            </w:r>
          </w:p>
        </w:tc>
      </w:tr>
      <w:tr w14:paraId="1EA5A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33DEBD">
            <w:pPr>
              <w:pStyle w:val="11"/>
            </w:pPr>
            <w:r>
              <w:t>绩效目标</w:t>
            </w:r>
          </w:p>
        </w:tc>
        <w:tc>
          <w:tcPr>
            <w:tcW w:w="14033" w:type="dxa"/>
            <w:gridSpan w:val="6"/>
            <w:vAlign w:val="center"/>
          </w:tcPr>
          <w:p w14:paraId="4A5273AF">
            <w:pPr>
              <w:pStyle w:val="13"/>
            </w:pPr>
            <w:r>
              <w:t>1.按规定拨付公用经费资金，预算执行率≥98%。</w:t>
            </w:r>
          </w:p>
          <w:p w14:paraId="11FAFEEE">
            <w:pPr>
              <w:pStyle w:val="13"/>
            </w:pPr>
            <w:r>
              <w:t>2.有效完成学校教学安全秩序，保障学校教学任务有效开展，满足学校正常教学需要。</w:t>
            </w:r>
          </w:p>
        </w:tc>
      </w:tr>
    </w:tbl>
    <w:p w14:paraId="412EC0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F9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C9346">
            <w:pPr>
              <w:pStyle w:val="11"/>
            </w:pPr>
            <w:r>
              <w:t>一级指标</w:t>
            </w:r>
          </w:p>
        </w:tc>
        <w:tc>
          <w:tcPr>
            <w:tcW w:w="2268" w:type="dxa"/>
            <w:vAlign w:val="center"/>
          </w:tcPr>
          <w:p w14:paraId="3B970074">
            <w:pPr>
              <w:pStyle w:val="11"/>
            </w:pPr>
            <w:r>
              <w:t>二级指标</w:t>
            </w:r>
          </w:p>
        </w:tc>
        <w:tc>
          <w:tcPr>
            <w:tcW w:w="2835" w:type="dxa"/>
            <w:vAlign w:val="center"/>
          </w:tcPr>
          <w:p w14:paraId="08763B9F">
            <w:pPr>
              <w:pStyle w:val="11"/>
            </w:pPr>
            <w:r>
              <w:t>三级指标</w:t>
            </w:r>
          </w:p>
        </w:tc>
        <w:tc>
          <w:tcPr>
            <w:tcW w:w="5386" w:type="dxa"/>
            <w:vAlign w:val="center"/>
          </w:tcPr>
          <w:p w14:paraId="358137BA">
            <w:pPr>
              <w:pStyle w:val="11"/>
            </w:pPr>
            <w:r>
              <w:t>绩效指标描述</w:t>
            </w:r>
          </w:p>
        </w:tc>
        <w:tc>
          <w:tcPr>
            <w:tcW w:w="2268" w:type="dxa"/>
            <w:vAlign w:val="center"/>
          </w:tcPr>
          <w:p w14:paraId="5D905B31">
            <w:pPr>
              <w:pStyle w:val="11"/>
            </w:pPr>
            <w:r>
              <w:t>指标值</w:t>
            </w:r>
          </w:p>
        </w:tc>
        <w:tc>
          <w:tcPr>
            <w:tcW w:w="1276" w:type="dxa"/>
            <w:vAlign w:val="center"/>
          </w:tcPr>
          <w:p w14:paraId="1392E8F8">
            <w:pPr>
              <w:pStyle w:val="11"/>
            </w:pPr>
            <w:r>
              <w:t>指标值确定依据</w:t>
            </w:r>
          </w:p>
        </w:tc>
      </w:tr>
      <w:tr w14:paraId="49C9F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BEA51">
            <w:pPr>
              <w:pStyle w:val="12"/>
            </w:pPr>
            <w:r>
              <w:t>产出指标</w:t>
            </w:r>
          </w:p>
        </w:tc>
        <w:tc>
          <w:tcPr>
            <w:tcW w:w="2268" w:type="dxa"/>
            <w:vAlign w:val="center"/>
          </w:tcPr>
          <w:p w14:paraId="0C0EAF99">
            <w:pPr>
              <w:pStyle w:val="13"/>
            </w:pPr>
            <w:r>
              <w:t>数量指标</w:t>
            </w:r>
          </w:p>
        </w:tc>
        <w:tc>
          <w:tcPr>
            <w:tcW w:w="2835" w:type="dxa"/>
            <w:vAlign w:val="center"/>
          </w:tcPr>
          <w:p w14:paraId="767AF4F4">
            <w:pPr>
              <w:pStyle w:val="13"/>
            </w:pPr>
            <w:r>
              <w:t>就读学生数</w:t>
            </w:r>
          </w:p>
        </w:tc>
        <w:tc>
          <w:tcPr>
            <w:tcW w:w="5386" w:type="dxa"/>
            <w:vAlign w:val="center"/>
          </w:tcPr>
          <w:p w14:paraId="09F721AD">
            <w:pPr>
              <w:pStyle w:val="13"/>
            </w:pPr>
            <w:r>
              <w:t>辐射区域内适龄学生人数</w:t>
            </w:r>
          </w:p>
        </w:tc>
        <w:tc>
          <w:tcPr>
            <w:tcW w:w="2268" w:type="dxa"/>
            <w:vAlign w:val="center"/>
          </w:tcPr>
          <w:p w14:paraId="28514450">
            <w:pPr>
              <w:pStyle w:val="13"/>
            </w:pPr>
            <w:r>
              <w:t>3697人</w:t>
            </w:r>
          </w:p>
        </w:tc>
        <w:tc>
          <w:tcPr>
            <w:tcW w:w="1276" w:type="dxa"/>
            <w:vAlign w:val="center"/>
          </w:tcPr>
          <w:p w14:paraId="743E39E4">
            <w:pPr>
              <w:pStyle w:val="13"/>
            </w:pPr>
            <w:r>
              <w:t>城乡义务教育公用经费管理办法</w:t>
            </w:r>
          </w:p>
        </w:tc>
      </w:tr>
      <w:tr w14:paraId="11E1F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ED4B1"/>
        </w:tc>
        <w:tc>
          <w:tcPr>
            <w:tcW w:w="2268" w:type="dxa"/>
            <w:vAlign w:val="center"/>
          </w:tcPr>
          <w:p w14:paraId="2F69F5E1">
            <w:pPr>
              <w:pStyle w:val="13"/>
            </w:pPr>
            <w:r>
              <w:t>质量指标</w:t>
            </w:r>
          </w:p>
        </w:tc>
        <w:tc>
          <w:tcPr>
            <w:tcW w:w="2835" w:type="dxa"/>
            <w:vAlign w:val="center"/>
          </w:tcPr>
          <w:p w14:paraId="61E7576A">
            <w:pPr>
              <w:pStyle w:val="13"/>
            </w:pPr>
            <w:r>
              <w:t>预算执行率</w:t>
            </w:r>
          </w:p>
        </w:tc>
        <w:tc>
          <w:tcPr>
            <w:tcW w:w="5386" w:type="dxa"/>
            <w:vAlign w:val="center"/>
          </w:tcPr>
          <w:p w14:paraId="39F97464">
            <w:pPr>
              <w:pStyle w:val="13"/>
            </w:pPr>
            <w:r>
              <w:t>预算执行率</w:t>
            </w:r>
          </w:p>
        </w:tc>
        <w:tc>
          <w:tcPr>
            <w:tcW w:w="2268" w:type="dxa"/>
            <w:vAlign w:val="center"/>
          </w:tcPr>
          <w:p w14:paraId="22435815">
            <w:pPr>
              <w:pStyle w:val="13"/>
            </w:pPr>
            <w:r>
              <w:t>≥98%</w:t>
            </w:r>
          </w:p>
        </w:tc>
        <w:tc>
          <w:tcPr>
            <w:tcW w:w="1276" w:type="dxa"/>
            <w:vAlign w:val="center"/>
          </w:tcPr>
          <w:p w14:paraId="04ED485B">
            <w:pPr>
              <w:pStyle w:val="13"/>
            </w:pPr>
            <w:r>
              <w:t>城乡义务教育公用经费管理办法</w:t>
            </w:r>
          </w:p>
        </w:tc>
      </w:tr>
      <w:tr w14:paraId="550DE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4C94B"/>
        </w:tc>
        <w:tc>
          <w:tcPr>
            <w:tcW w:w="2268" w:type="dxa"/>
            <w:vAlign w:val="center"/>
          </w:tcPr>
          <w:p w14:paraId="1894E95F">
            <w:pPr>
              <w:pStyle w:val="13"/>
            </w:pPr>
            <w:r>
              <w:t>时效指标</w:t>
            </w:r>
          </w:p>
        </w:tc>
        <w:tc>
          <w:tcPr>
            <w:tcW w:w="2835" w:type="dxa"/>
            <w:vAlign w:val="center"/>
          </w:tcPr>
          <w:p w14:paraId="6E57D71C">
            <w:pPr>
              <w:pStyle w:val="13"/>
            </w:pPr>
            <w:r>
              <w:t>义教经费支付完成率</w:t>
            </w:r>
          </w:p>
        </w:tc>
        <w:tc>
          <w:tcPr>
            <w:tcW w:w="5386" w:type="dxa"/>
            <w:vAlign w:val="center"/>
          </w:tcPr>
          <w:p w14:paraId="60C43639">
            <w:pPr>
              <w:pStyle w:val="13"/>
            </w:pPr>
            <w:r>
              <w:t>按照序时进度完成资金支付</w:t>
            </w:r>
          </w:p>
        </w:tc>
        <w:tc>
          <w:tcPr>
            <w:tcW w:w="2268" w:type="dxa"/>
            <w:vAlign w:val="center"/>
          </w:tcPr>
          <w:p w14:paraId="2F855CAE">
            <w:pPr>
              <w:pStyle w:val="13"/>
            </w:pPr>
            <w:r>
              <w:t>100%</w:t>
            </w:r>
          </w:p>
        </w:tc>
        <w:tc>
          <w:tcPr>
            <w:tcW w:w="1276" w:type="dxa"/>
            <w:vAlign w:val="center"/>
          </w:tcPr>
          <w:p w14:paraId="17607ED8">
            <w:pPr>
              <w:pStyle w:val="13"/>
            </w:pPr>
            <w:r>
              <w:t>城乡义务教育公用经费管理办法</w:t>
            </w:r>
          </w:p>
        </w:tc>
      </w:tr>
      <w:tr w14:paraId="0AEC4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AF6C5"/>
        </w:tc>
        <w:tc>
          <w:tcPr>
            <w:tcW w:w="2268" w:type="dxa"/>
            <w:vAlign w:val="center"/>
          </w:tcPr>
          <w:p w14:paraId="68FAFC6D">
            <w:pPr>
              <w:pStyle w:val="13"/>
            </w:pPr>
            <w:r>
              <w:t>成本指标</w:t>
            </w:r>
          </w:p>
        </w:tc>
        <w:tc>
          <w:tcPr>
            <w:tcW w:w="2835" w:type="dxa"/>
            <w:vAlign w:val="center"/>
          </w:tcPr>
          <w:p w14:paraId="28959FE0">
            <w:pPr>
              <w:pStyle w:val="13"/>
            </w:pPr>
            <w:r>
              <w:t>生均拨款标准</w:t>
            </w:r>
          </w:p>
        </w:tc>
        <w:tc>
          <w:tcPr>
            <w:tcW w:w="5386" w:type="dxa"/>
            <w:vAlign w:val="center"/>
          </w:tcPr>
          <w:p w14:paraId="78CF89D5">
            <w:pPr>
              <w:pStyle w:val="13"/>
            </w:pPr>
            <w:r>
              <w:t>小学：（基本标准720元、寄宿生300元、生活补助120元）/生/学年；特教、随班就读学生：标准6000元/生/学年</w:t>
            </w:r>
          </w:p>
        </w:tc>
        <w:tc>
          <w:tcPr>
            <w:tcW w:w="2268" w:type="dxa"/>
            <w:vAlign w:val="center"/>
          </w:tcPr>
          <w:p w14:paraId="6F39E0D1">
            <w:pPr>
              <w:pStyle w:val="13"/>
            </w:pPr>
            <w:r>
              <w:t>840元</w:t>
            </w:r>
          </w:p>
        </w:tc>
        <w:tc>
          <w:tcPr>
            <w:tcW w:w="1276" w:type="dxa"/>
            <w:vAlign w:val="center"/>
          </w:tcPr>
          <w:p w14:paraId="5F0175F4">
            <w:pPr>
              <w:pStyle w:val="13"/>
            </w:pPr>
            <w:r>
              <w:t>城乡义务教育公用经费管理办法</w:t>
            </w:r>
          </w:p>
        </w:tc>
      </w:tr>
      <w:tr w14:paraId="4AF78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3AB5D">
            <w:pPr>
              <w:pStyle w:val="12"/>
            </w:pPr>
            <w:r>
              <w:t>效益指标</w:t>
            </w:r>
          </w:p>
        </w:tc>
        <w:tc>
          <w:tcPr>
            <w:tcW w:w="2268" w:type="dxa"/>
            <w:vAlign w:val="center"/>
          </w:tcPr>
          <w:p w14:paraId="4D20B4C7">
            <w:pPr>
              <w:pStyle w:val="13"/>
            </w:pPr>
            <w:r>
              <w:t>可持续影响指标</w:t>
            </w:r>
          </w:p>
        </w:tc>
        <w:tc>
          <w:tcPr>
            <w:tcW w:w="2835" w:type="dxa"/>
            <w:vAlign w:val="center"/>
          </w:tcPr>
          <w:p w14:paraId="29297AEB">
            <w:pPr>
              <w:pStyle w:val="13"/>
            </w:pPr>
            <w:r>
              <w:t>学校稳定率</w:t>
            </w:r>
          </w:p>
        </w:tc>
        <w:tc>
          <w:tcPr>
            <w:tcW w:w="5386" w:type="dxa"/>
            <w:vAlign w:val="center"/>
          </w:tcPr>
          <w:p w14:paraId="32619D7E">
            <w:pPr>
              <w:pStyle w:val="13"/>
            </w:pPr>
            <w:r>
              <w:t>维护学校稳定，保障学校正常教学秩序有效开展</w:t>
            </w:r>
          </w:p>
        </w:tc>
        <w:tc>
          <w:tcPr>
            <w:tcW w:w="2268" w:type="dxa"/>
            <w:vAlign w:val="center"/>
          </w:tcPr>
          <w:p w14:paraId="5ED39792">
            <w:pPr>
              <w:pStyle w:val="13"/>
            </w:pPr>
            <w:r>
              <w:t>100%</w:t>
            </w:r>
          </w:p>
        </w:tc>
        <w:tc>
          <w:tcPr>
            <w:tcW w:w="1276" w:type="dxa"/>
            <w:vAlign w:val="center"/>
          </w:tcPr>
          <w:p w14:paraId="1FE21E50">
            <w:pPr>
              <w:pStyle w:val="13"/>
            </w:pPr>
            <w:r>
              <w:t>城乡义务教育公用经费管理办法</w:t>
            </w:r>
          </w:p>
        </w:tc>
      </w:tr>
      <w:tr w14:paraId="298F1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6CEAC7">
            <w:pPr>
              <w:pStyle w:val="12"/>
            </w:pPr>
            <w:r>
              <w:t>满意度指标</w:t>
            </w:r>
          </w:p>
        </w:tc>
        <w:tc>
          <w:tcPr>
            <w:tcW w:w="2268" w:type="dxa"/>
            <w:vAlign w:val="center"/>
          </w:tcPr>
          <w:p w14:paraId="4D2A45CC">
            <w:pPr>
              <w:pStyle w:val="13"/>
            </w:pPr>
            <w:r>
              <w:t>服务对象满意度指标</w:t>
            </w:r>
          </w:p>
        </w:tc>
        <w:tc>
          <w:tcPr>
            <w:tcW w:w="2835" w:type="dxa"/>
            <w:vAlign w:val="center"/>
          </w:tcPr>
          <w:p w14:paraId="1478F926">
            <w:pPr>
              <w:pStyle w:val="13"/>
            </w:pPr>
            <w:r>
              <w:t>家长和学生满意度</w:t>
            </w:r>
          </w:p>
        </w:tc>
        <w:tc>
          <w:tcPr>
            <w:tcW w:w="5386" w:type="dxa"/>
            <w:vAlign w:val="center"/>
          </w:tcPr>
          <w:p w14:paraId="088E31C0">
            <w:pPr>
              <w:pStyle w:val="13"/>
            </w:pPr>
            <w:r>
              <w:t>家长和学生满意度</w:t>
            </w:r>
          </w:p>
        </w:tc>
        <w:tc>
          <w:tcPr>
            <w:tcW w:w="2268" w:type="dxa"/>
            <w:vAlign w:val="center"/>
          </w:tcPr>
          <w:p w14:paraId="148A4139">
            <w:pPr>
              <w:pStyle w:val="13"/>
            </w:pPr>
            <w:r>
              <w:t>≥95%</w:t>
            </w:r>
          </w:p>
        </w:tc>
        <w:tc>
          <w:tcPr>
            <w:tcW w:w="1276" w:type="dxa"/>
            <w:vAlign w:val="center"/>
          </w:tcPr>
          <w:p w14:paraId="19C7C3E2">
            <w:pPr>
              <w:pStyle w:val="13"/>
            </w:pPr>
            <w:r>
              <w:t>问卷调查</w:t>
            </w:r>
          </w:p>
        </w:tc>
      </w:tr>
    </w:tbl>
    <w:p w14:paraId="1FF91B14">
      <w:pPr>
        <w:sectPr>
          <w:pgSz w:w="16840" w:h="11900" w:orient="landscape"/>
          <w:pgMar w:top="1361" w:right="1020" w:bottom="1134" w:left="1020" w:header="720" w:footer="720" w:gutter="0"/>
          <w:cols w:space="720" w:num="1"/>
        </w:sectPr>
      </w:pPr>
    </w:p>
    <w:p w14:paraId="708D6132">
      <w:pPr>
        <w:spacing w:before="0" w:after="0"/>
        <w:ind w:firstLine="560"/>
        <w:jc w:val="left"/>
        <w:outlineLvl w:val="9"/>
      </w:pPr>
      <w:r>
        <w:rPr>
          <w:rFonts w:ascii="方正仿宋_GBK" w:hAnsi="方正仿宋_GBK" w:eastAsia="方正仿宋_GBK" w:cs="方正仿宋_GBK"/>
          <w:b/>
          <w:color w:val="000000"/>
          <w:sz w:val="28"/>
        </w:rPr>
        <w:t>4、冀财教[2024]141号/省级/2025年义教补助经费/校舍安全保障/实验小学门房等维修改造绩效目标表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9A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61BCA">
            <w:pPr>
              <w:pStyle w:val="14"/>
            </w:pPr>
            <w:r>
              <w:t>单位：万元</w:t>
            </w:r>
          </w:p>
        </w:tc>
      </w:tr>
      <w:tr w14:paraId="2EFD4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F38900">
            <w:pPr>
              <w:pStyle w:val="11"/>
            </w:pPr>
            <w:r>
              <w:t>项目编码</w:t>
            </w:r>
          </w:p>
        </w:tc>
        <w:tc>
          <w:tcPr>
            <w:tcW w:w="5103" w:type="dxa"/>
            <w:gridSpan w:val="2"/>
            <w:vAlign w:val="center"/>
          </w:tcPr>
          <w:p w14:paraId="3FE6EEFD">
            <w:pPr>
              <w:pStyle w:val="13"/>
            </w:pPr>
            <w:r>
              <w:t>13052525P00876210027U</w:t>
            </w:r>
          </w:p>
        </w:tc>
        <w:tc>
          <w:tcPr>
            <w:tcW w:w="2835" w:type="dxa"/>
            <w:vAlign w:val="center"/>
          </w:tcPr>
          <w:p w14:paraId="040053C2">
            <w:pPr>
              <w:pStyle w:val="11"/>
            </w:pPr>
            <w:r>
              <w:t>项目名称</w:t>
            </w:r>
          </w:p>
        </w:tc>
        <w:tc>
          <w:tcPr>
            <w:tcW w:w="6095" w:type="dxa"/>
            <w:gridSpan w:val="3"/>
            <w:vAlign w:val="center"/>
          </w:tcPr>
          <w:p w14:paraId="76C10373">
            <w:pPr>
              <w:pStyle w:val="13"/>
            </w:pPr>
            <w:r>
              <w:t>冀财教[2024]141号/省级/2025年义教补助经费/校舍安全保障/实验小学门房等维修改造</w:t>
            </w:r>
          </w:p>
        </w:tc>
      </w:tr>
      <w:tr w14:paraId="6ACA0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FF3D0">
            <w:pPr>
              <w:pStyle w:val="11"/>
            </w:pPr>
            <w:r>
              <w:t>预算规模及资金用途</w:t>
            </w:r>
          </w:p>
        </w:tc>
        <w:tc>
          <w:tcPr>
            <w:tcW w:w="2268" w:type="dxa"/>
            <w:vAlign w:val="center"/>
          </w:tcPr>
          <w:p w14:paraId="2B3EC553">
            <w:pPr>
              <w:pStyle w:val="11"/>
            </w:pPr>
            <w:r>
              <w:t>预算数</w:t>
            </w:r>
          </w:p>
        </w:tc>
        <w:tc>
          <w:tcPr>
            <w:tcW w:w="2835" w:type="dxa"/>
            <w:vAlign w:val="center"/>
          </w:tcPr>
          <w:p w14:paraId="3937BBF9">
            <w:pPr>
              <w:pStyle w:val="13"/>
            </w:pPr>
            <w:r>
              <w:t>12.00</w:t>
            </w:r>
          </w:p>
        </w:tc>
        <w:tc>
          <w:tcPr>
            <w:tcW w:w="2835" w:type="dxa"/>
            <w:vAlign w:val="center"/>
          </w:tcPr>
          <w:p w14:paraId="1AD9205E">
            <w:pPr>
              <w:pStyle w:val="11"/>
            </w:pPr>
            <w:r>
              <w:t>其中：财政    资金</w:t>
            </w:r>
          </w:p>
        </w:tc>
        <w:tc>
          <w:tcPr>
            <w:tcW w:w="2551" w:type="dxa"/>
            <w:vAlign w:val="center"/>
          </w:tcPr>
          <w:p w14:paraId="5EDE3BEF">
            <w:pPr>
              <w:pStyle w:val="13"/>
            </w:pPr>
            <w:r>
              <w:t>12.00</w:t>
            </w:r>
          </w:p>
        </w:tc>
        <w:tc>
          <w:tcPr>
            <w:tcW w:w="2268" w:type="dxa"/>
            <w:vAlign w:val="center"/>
          </w:tcPr>
          <w:p w14:paraId="1DAFCAD9">
            <w:pPr>
              <w:pStyle w:val="11"/>
            </w:pPr>
            <w:r>
              <w:t>其他资金</w:t>
            </w:r>
          </w:p>
        </w:tc>
        <w:tc>
          <w:tcPr>
            <w:tcW w:w="1276" w:type="dxa"/>
            <w:vAlign w:val="center"/>
          </w:tcPr>
          <w:p w14:paraId="79443EE9">
            <w:pPr>
              <w:pStyle w:val="13"/>
            </w:pPr>
            <w:r>
              <w:t xml:space="preserve"> </w:t>
            </w:r>
          </w:p>
        </w:tc>
      </w:tr>
      <w:tr w14:paraId="5CDCC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5B169E"/>
        </w:tc>
        <w:tc>
          <w:tcPr>
            <w:tcW w:w="14033" w:type="dxa"/>
            <w:gridSpan w:val="6"/>
            <w:vAlign w:val="center"/>
          </w:tcPr>
          <w:p w14:paraId="38FA458E">
            <w:pPr>
              <w:pStyle w:val="13"/>
            </w:pPr>
            <w:r>
              <w:t>改善就学条件，提升学校形象，保障义务教育阶段教学安全，创造良好的校园环境。</w:t>
            </w:r>
            <w:r>
              <w:tab/>
            </w:r>
            <w:r>
              <w:tab/>
            </w:r>
            <w:r>
              <w:tab/>
            </w:r>
            <w:r>
              <w:tab/>
            </w:r>
            <w:r>
              <w:tab/>
            </w:r>
            <w:r>
              <w:tab/>
            </w:r>
            <w:r>
              <w:tab/>
            </w:r>
          </w:p>
        </w:tc>
      </w:tr>
      <w:tr w14:paraId="0AB32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B48DB">
            <w:pPr>
              <w:pStyle w:val="11"/>
            </w:pPr>
            <w:r>
              <w:t>资金支出计划（%）</w:t>
            </w:r>
          </w:p>
        </w:tc>
        <w:tc>
          <w:tcPr>
            <w:tcW w:w="5103" w:type="dxa"/>
            <w:gridSpan w:val="2"/>
            <w:vAlign w:val="center"/>
          </w:tcPr>
          <w:p w14:paraId="3DAECBF2">
            <w:pPr>
              <w:pStyle w:val="11"/>
            </w:pPr>
            <w:r>
              <w:t>3月底</w:t>
            </w:r>
          </w:p>
        </w:tc>
        <w:tc>
          <w:tcPr>
            <w:tcW w:w="2835" w:type="dxa"/>
            <w:vAlign w:val="center"/>
          </w:tcPr>
          <w:p w14:paraId="37AC0877">
            <w:pPr>
              <w:pStyle w:val="11"/>
            </w:pPr>
            <w:r>
              <w:t>6月底</w:t>
            </w:r>
          </w:p>
        </w:tc>
        <w:tc>
          <w:tcPr>
            <w:tcW w:w="2551" w:type="dxa"/>
            <w:vAlign w:val="center"/>
          </w:tcPr>
          <w:p w14:paraId="10DC5468">
            <w:pPr>
              <w:pStyle w:val="11"/>
            </w:pPr>
            <w:r>
              <w:t>10月底</w:t>
            </w:r>
          </w:p>
        </w:tc>
        <w:tc>
          <w:tcPr>
            <w:tcW w:w="3544" w:type="dxa"/>
            <w:gridSpan w:val="2"/>
            <w:vAlign w:val="center"/>
          </w:tcPr>
          <w:p w14:paraId="7858C7A0">
            <w:pPr>
              <w:pStyle w:val="11"/>
            </w:pPr>
            <w:r>
              <w:t>12月底</w:t>
            </w:r>
          </w:p>
        </w:tc>
      </w:tr>
      <w:tr w14:paraId="2BCCD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257D39"/>
        </w:tc>
        <w:tc>
          <w:tcPr>
            <w:tcW w:w="5103" w:type="dxa"/>
            <w:gridSpan w:val="2"/>
            <w:vAlign w:val="center"/>
          </w:tcPr>
          <w:p w14:paraId="6F171CDC">
            <w:pPr>
              <w:pStyle w:val="12"/>
            </w:pPr>
            <w:r>
              <w:t xml:space="preserve"> </w:t>
            </w:r>
          </w:p>
        </w:tc>
        <w:tc>
          <w:tcPr>
            <w:tcW w:w="2835" w:type="dxa"/>
            <w:vAlign w:val="center"/>
          </w:tcPr>
          <w:p w14:paraId="46DD895D">
            <w:pPr>
              <w:pStyle w:val="12"/>
            </w:pPr>
            <w:r>
              <w:t>75%</w:t>
            </w:r>
          </w:p>
        </w:tc>
        <w:tc>
          <w:tcPr>
            <w:tcW w:w="2551" w:type="dxa"/>
            <w:vAlign w:val="center"/>
          </w:tcPr>
          <w:p w14:paraId="2976A03E">
            <w:pPr>
              <w:pStyle w:val="12"/>
            </w:pPr>
            <w:r>
              <w:t>100%</w:t>
            </w:r>
          </w:p>
        </w:tc>
        <w:tc>
          <w:tcPr>
            <w:tcW w:w="3544" w:type="dxa"/>
            <w:gridSpan w:val="2"/>
            <w:vAlign w:val="center"/>
          </w:tcPr>
          <w:p w14:paraId="5AFC0636">
            <w:pPr>
              <w:pStyle w:val="12"/>
            </w:pPr>
            <w:r>
              <w:t>100%</w:t>
            </w:r>
          </w:p>
        </w:tc>
      </w:tr>
      <w:tr w14:paraId="43308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E6B3F5">
            <w:pPr>
              <w:pStyle w:val="11"/>
            </w:pPr>
            <w:r>
              <w:t>绩效目标</w:t>
            </w:r>
          </w:p>
        </w:tc>
        <w:tc>
          <w:tcPr>
            <w:tcW w:w="14033" w:type="dxa"/>
            <w:gridSpan w:val="6"/>
            <w:vAlign w:val="center"/>
          </w:tcPr>
          <w:p w14:paraId="3ED4CF4A">
            <w:pPr>
              <w:pStyle w:val="13"/>
            </w:pPr>
            <w:r>
              <w:t>1.完成实验小学门房等维修改造，满足学校正常教学需要。</w:t>
            </w:r>
            <w:r>
              <w:tab/>
            </w:r>
          </w:p>
          <w:p w14:paraId="309A1922">
            <w:pPr>
              <w:pStyle w:val="13"/>
            </w:pPr>
            <w:r>
              <w:t>2.按规定拨付专项资金，资金支付率达到100%。</w:t>
            </w:r>
            <w:r>
              <w:tab/>
            </w:r>
          </w:p>
        </w:tc>
      </w:tr>
    </w:tbl>
    <w:p w14:paraId="3F7D4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30E00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8F39B">
            <w:pPr>
              <w:pStyle w:val="11"/>
            </w:pPr>
            <w:r>
              <w:t>一级指标</w:t>
            </w:r>
          </w:p>
        </w:tc>
        <w:tc>
          <w:tcPr>
            <w:tcW w:w="2268" w:type="dxa"/>
            <w:vAlign w:val="center"/>
          </w:tcPr>
          <w:p w14:paraId="755C3B9E">
            <w:pPr>
              <w:pStyle w:val="11"/>
            </w:pPr>
            <w:r>
              <w:t>二级指标</w:t>
            </w:r>
          </w:p>
        </w:tc>
        <w:tc>
          <w:tcPr>
            <w:tcW w:w="2835" w:type="dxa"/>
            <w:vAlign w:val="center"/>
          </w:tcPr>
          <w:p w14:paraId="5F37B852">
            <w:pPr>
              <w:pStyle w:val="11"/>
            </w:pPr>
            <w:r>
              <w:t>三级指标</w:t>
            </w:r>
          </w:p>
        </w:tc>
        <w:tc>
          <w:tcPr>
            <w:tcW w:w="5386" w:type="dxa"/>
            <w:vAlign w:val="center"/>
          </w:tcPr>
          <w:p w14:paraId="2AC6EBAC">
            <w:pPr>
              <w:pStyle w:val="11"/>
            </w:pPr>
            <w:r>
              <w:t>绩效指标描述</w:t>
            </w:r>
          </w:p>
        </w:tc>
        <w:tc>
          <w:tcPr>
            <w:tcW w:w="1583" w:type="dxa"/>
            <w:vAlign w:val="center"/>
          </w:tcPr>
          <w:p w14:paraId="57D67E78">
            <w:pPr>
              <w:pStyle w:val="11"/>
            </w:pPr>
            <w:r>
              <w:t>指标值</w:t>
            </w:r>
          </w:p>
        </w:tc>
        <w:tc>
          <w:tcPr>
            <w:tcW w:w="1961" w:type="dxa"/>
            <w:vAlign w:val="center"/>
          </w:tcPr>
          <w:p w14:paraId="3ECD1CB1">
            <w:pPr>
              <w:pStyle w:val="11"/>
            </w:pPr>
            <w:r>
              <w:t>指标值确定依据</w:t>
            </w:r>
          </w:p>
        </w:tc>
      </w:tr>
      <w:tr w14:paraId="47143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83E8A">
            <w:pPr>
              <w:pStyle w:val="12"/>
            </w:pPr>
            <w:r>
              <w:t>产出指标</w:t>
            </w:r>
          </w:p>
        </w:tc>
        <w:tc>
          <w:tcPr>
            <w:tcW w:w="2268" w:type="dxa"/>
            <w:vAlign w:val="center"/>
          </w:tcPr>
          <w:p w14:paraId="21F5AB96">
            <w:pPr>
              <w:pStyle w:val="13"/>
            </w:pPr>
            <w:r>
              <w:t>数量指标</w:t>
            </w:r>
          </w:p>
        </w:tc>
        <w:tc>
          <w:tcPr>
            <w:tcW w:w="2835" w:type="dxa"/>
            <w:vAlign w:val="center"/>
          </w:tcPr>
          <w:p w14:paraId="022C5918">
            <w:pPr>
              <w:pStyle w:val="13"/>
            </w:pPr>
            <w:r>
              <w:t>门岗外墙扣装铝塑板、外墙挂网刮砂浆、电动伸缩门等</w:t>
            </w:r>
          </w:p>
        </w:tc>
        <w:tc>
          <w:tcPr>
            <w:tcW w:w="5386" w:type="dxa"/>
            <w:vAlign w:val="center"/>
          </w:tcPr>
          <w:p w14:paraId="3274F760">
            <w:pPr>
              <w:pStyle w:val="13"/>
            </w:pPr>
            <w:r>
              <w:t>门岗外墙扣装铝塑板、外墙挂网刮砂浆、电动伸缩门等</w:t>
            </w:r>
          </w:p>
        </w:tc>
        <w:tc>
          <w:tcPr>
            <w:tcW w:w="1583" w:type="dxa"/>
            <w:vAlign w:val="center"/>
          </w:tcPr>
          <w:p w14:paraId="0A79F245">
            <w:pPr>
              <w:pStyle w:val="13"/>
            </w:pPr>
            <w:r>
              <w:t>1项</w:t>
            </w:r>
          </w:p>
        </w:tc>
        <w:tc>
          <w:tcPr>
            <w:tcW w:w="1961" w:type="dxa"/>
            <w:vAlign w:val="center"/>
          </w:tcPr>
          <w:p w14:paraId="4530D1B9">
            <w:pPr>
              <w:pStyle w:val="13"/>
            </w:pPr>
            <w:r>
              <w:t>城乡义务教育公用经费管理办法</w:t>
            </w:r>
          </w:p>
        </w:tc>
      </w:tr>
      <w:tr w14:paraId="0F826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E4F73"/>
        </w:tc>
        <w:tc>
          <w:tcPr>
            <w:tcW w:w="2268" w:type="dxa"/>
            <w:vAlign w:val="center"/>
          </w:tcPr>
          <w:p w14:paraId="05B933F5">
            <w:pPr>
              <w:pStyle w:val="13"/>
            </w:pPr>
            <w:r>
              <w:t>质量指标</w:t>
            </w:r>
          </w:p>
        </w:tc>
        <w:tc>
          <w:tcPr>
            <w:tcW w:w="2835" w:type="dxa"/>
            <w:vAlign w:val="center"/>
          </w:tcPr>
          <w:p w14:paraId="323EFD77">
            <w:pPr>
              <w:pStyle w:val="13"/>
            </w:pPr>
            <w:r>
              <w:t>资金支付率</w:t>
            </w:r>
          </w:p>
        </w:tc>
        <w:tc>
          <w:tcPr>
            <w:tcW w:w="5386" w:type="dxa"/>
            <w:vAlign w:val="center"/>
          </w:tcPr>
          <w:p w14:paraId="3E5A0579">
            <w:pPr>
              <w:pStyle w:val="13"/>
            </w:pPr>
            <w:r>
              <w:t>按照序时进度完成资金支付</w:t>
            </w:r>
          </w:p>
        </w:tc>
        <w:tc>
          <w:tcPr>
            <w:tcW w:w="1583" w:type="dxa"/>
            <w:vAlign w:val="center"/>
          </w:tcPr>
          <w:p w14:paraId="359BC735">
            <w:pPr>
              <w:pStyle w:val="13"/>
            </w:pPr>
            <w:r>
              <w:t>≥100%</w:t>
            </w:r>
          </w:p>
        </w:tc>
        <w:tc>
          <w:tcPr>
            <w:tcW w:w="1961" w:type="dxa"/>
            <w:vAlign w:val="center"/>
          </w:tcPr>
          <w:p w14:paraId="3DEEE348">
            <w:pPr>
              <w:pStyle w:val="13"/>
            </w:pPr>
            <w:r>
              <w:t>城乡义务教育公用经费管理办法</w:t>
            </w:r>
          </w:p>
        </w:tc>
      </w:tr>
      <w:tr w14:paraId="0ED28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49B02"/>
        </w:tc>
        <w:tc>
          <w:tcPr>
            <w:tcW w:w="2268" w:type="dxa"/>
            <w:vAlign w:val="center"/>
          </w:tcPr>
          <w:p w14:paraId="1EB62FD8">
            <w:pPr>
              <w:pStyle w:val="13"/>
            </w:pPr>
            <w:r>
              <w:t>时效指标</w:t>
            </w:r>
          </w:p>
        </w:tc>
        <w:tc>
          <w:tcPr>
            <w:tcW w:w="2835" w:type="dxa"/>
            <w:vAlign w:val="center"/>
          </w:tcPr>
          <w:p w14:paraId="57B5C2E6">
            <w:pPr>
              <w:pStyle w:val="13"/>
            </w:pPr>
            <w:r>
              <w:t>项目竣工验收合格率</w:t>
            </w:r>
          </w:p>
        </w:tc>
        <w:tc>
          <w:tcPr>
            <w:tcW w:w="5386" w:type="dxa"/>
            <w:vAlign w:val="center"/>
          </w:tcPr>
          <w:p w14:paraId="6E21DD8A">
            <w:pPr>
              <w:pStyle w:val="13"/>
            </w:pPr>
            <w:r>
              <w:t>项目改造质量达标率</w:t>
            </w:r>
          </w:p>
        </w:tc>
        <w:tc>
          <w:tcPr>
            <w:tcW w:w="1583" w:type="dxa"/>
            <w:vAlign w:val="center"/>
          </w:tcPr>
          <w:p w14:paraId="0E0157EE">
            <w:pPr>
              <w:pStyle w:val="13"/>
            </w:pPr>
            <w:r>
              <w:t>≥100%</w:t>
            </w:r>
          </w:p>
        </w:tc>
        <w:tc>
          <w:tcPr>
            <w:tcW w:w="1961" w:type="dxa"/>
            <w:vAlign w:val="center"/>
          </w:tcPr>
          <w:p w14:paraId="7695C092">
            <w:pPr>
              <w:pStyle w:val="13"/>
            </w:pPr>
            <w:r>
              <w:t>城乡义务教育公用经费管理办法</w:t>
            </w:r>
          </w:p>
        </w:tc>
      </w:tr>
      <w:tr w14:paraId="0C89A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A0BAC"/>
        </w:tc>
        <w:tc>
          <w:tcPr>
            <w:tcW w:w="2268" w:type="dxa"/>
            <w:vAlign w:val="center"/>
          </w:tcPr>
          <w:p w14:paraId="5BBDB35F">
            <w:pPr>
              <w:pStyle w:val="13"/>
            </w:pPr>
            <w:r>
              <w:t>成本指标</w:t>
            </w:r>
          </w:p>
        </w:tc>
        <w:tc>
          <w:tcPr>
            <w:tcW w:w="2835" w:type="dxa"/>
            <w:vAlign w:val="center"/>
          </w:tcPr>
          <w:p w14:paraId="61F2CE12">
            <w:pPr>
              <w:pStyle w:val="13"/>
            </w:pPr>
            <w:r>
              <w:t>项目实际成本</w:t>
            </w:r>
          </w:p>
        </w:tc>
        <w:tc>
          <w:tcPr>
            <w:tcW w:w="5386" w:type="dxa"/>
            <w:vAlign w:val="center"/>
          </w:tcPr>
          <w:p w14:paraId="277BD5A2">
            <w:pPr>
              <w:pStyle w:val="13"/>
            </w:pPr>
            <w:r>
              <w:t>门岗外墙扣装铝塑板、外墙挂网刮砂浆、电动伸缩门等</w:t>
            </w:r>
          </w:p>
        </w:tc>
        <w:tc>
          <w:tcPr>
            <w:tcW w:w="1583" w:type="dxa"/>
            <w:vAlign w:val="center"/>
          </w:tcPr>
          <w:p w14:paraId="17651176">
            <w:pPr>
              <w:pStyle w:val="13"/>
            </w:pPr>
            <w:r>
              <w:t>12万元</w:t>
            </w:r>
          </w:p>
        </w:tc>
        <w:tc>
          <w:tcPr>
            <w:tcW w:w="1961" w:type="dxa"/>
            <w:vAlign w:val="center"/>
          </w:tcPr>
          <w:p w14:paraId="7E9577EB">
            <w:pPr>
              <w:pStyle w:val="13"/>
            </w:pPr>
            <w:r>
              <w:t>城乡义务教育公用经费管理办法</w:t>
            </w:r>
          </w:p>
        </w:tc>
      </w:tr>
      <w:tr w14:paraId="3CB03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A7176">
            <w:pPr>
              <w:pStyle w:val="12"/>
            </w:pPr>
            <w:r>
              <w:t>效益指标</w:t>
            </w:r>
          </w:p>
        </w:tc>
        <w:tc>
          <w:tcPr>
            <w:tcW w:w="2268" w:type="dxa"/>
            <w:vAlign w:val="center"/>
          </w:tcPr>
          <w:p w14:paraId="02E34ED8">
            <w:pPr>
              <w:pStyle w:val="13"/>
            </w:pPr>
            <w:r>
              <w:t>经济效益指标</w:t>
            </w:r>
          </w:p>
        </w:tc>
        <w:tc>
          <w:tcPr>
            <w:tcW w:w="2835" w:type="dxa"/>
            <w:vAlign w:val="center"/>
          </w:tcPr>
          <w:p w14:paraId="456F294C">
            <w:pPr>
              <w:pStyle w:val="13"/>
            </w:pPr>
            <w:r>
              <w:t>教育发展水平</w:t>
            </w:r>
          </w:p>
        </w:tc>
        <w:tc>
          <w:tcPr>
            <w:tcW w:w="5386" w:type="dxa"/>
            <w:vAlign w:val="center"/>
          </w:tcPr>
          <w:p w14:paraId="41E1E2B9">
            <w:pPr>
              <w:pStyle w:val="13"/>
            </w:pPr>
            <w:r>
              <w:t>辖区内教育环境明显好转</w:t>
            </w:r>
          </w:p>
        </w:tc>
        <w:tc>
          <w:tcPr>
            <w:tcW w:w="1583" w:type="dxa"/>
            <w:vAlign w:val="center"/>
          </w:tcPr>
          <w:p w14:paraId="2C5A9509">
            <w:pPr>
              <w:pStyle w:val="13"/>
            </w:pPr>
            <w:r>
              <w:t>≥95%</w:t>
            </w:r>
          </w:p>
        </w:tc>
        <w:tc>
          <w:tcPr>
            <w:tcW w:w="1961" w:type="dxa"/>
            <w:vAlign w:val="center"/>
          </w:tcPr>
          <w:p w14:paraId="4322EF6A">
            <w:pPr>
              <w:pStyle w:val="13"/>
            </w:pPr>
            <w:r>
              <w:t>城乡义务教育公用经费管理办法</w:t>
            </w:r>
          </w:p>
        </w:tc>
      </w:tr>
      <w:tr w14:paraId="73039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35D8A"/>
        </w:tc>
        <w:tc>
          <w:tcPr>
            <w:tcW w:w="2268" w:type="dxa"/>
            <w:vAlign w:val="center"/>
          </w:tcPr>
          <w:p w14:paraId="6A4B6B90">
            <w:pPr>
              <w:pStyle w:val="13"/>
            </w:pPr>
            <w:r>
              <w:t>社会效益指标</w:t>
            </w:r>
          </w:p>
        </w:tc>
        <w:tc>
          <w:tcPr>
            <w:tcW w:w="2835" w:type="dxa"/>
            <w:vAlign w:val="center"/>
          </w:tcPr>
          <w:p w14:paraId="7B91EEE4">
            <w:pPr>
              <w:pStyle w:val="13"/>
            </w:pPr>
            <w:r>
              <w:t>校园环境</w:t>
            </w:r>
          </w:p>
        </w:tc>
        <w:tc>
          <w:tcPr>
            <w:tcW w:w="5386" w:type="dxa"/>
            <w:vAlign w:val="center"/>
          </w:tcPr>
          <w:p w14:paraId="4A0B6734">
            <w:pPr>
              <w:pStyle w:val="13"/>
            </w:pPr>
            <w:r>
              <w:t>办学条件和环境得到改善</w:t>
            </w:r>
          </w:p>
        </w:tc>
        <w:tc>
          <w:tcPr>
            <w:tcW w:w="1583" w:type="dxa"/>
            <w:vAlign w:val="center"/>
          </w:tcPr>
          <w:p w14:paraId="1E92C645">
            <w:pPr>
              <w:pStyle w:val="13"/>
            </w:pPr>
            <w:r>
              <w:t>≥98%</w:t>
            </w:r>
          </w:p>
        </w:tc>
        <w:tc>
          <w:tcPr>
            <w:tcW w:w="1961" w:type="dxa"/>
            <w:vAlign w:val="center"/>
          </w:tcPr>
          <w:p w14:paraId="604F7758">
            <w:pPr>
              <w:pStyle w:val="13"/>
            </w:pPr>
            <w:r>
              <w:t>城乡义务教育公用经费管理办法</w:t>
            </w:r>
          </w:p>
        </w:tc>
      </w:tr>
      <w:tr w14:paraId="75BA5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323B5">
            <w:pPr>
              <w:pStyle w:val="12"/>
            </w:pPr>
            <w:r>
              <w:t>满意度指标</w:t>
            </w:r>
          </w:p>
        </w:tc>
        <w:tc>
          <w:tcPr>
            <w:tcW w:w="2268" w:type="dxa"/>
            <w:vAlign w:val="center"/>
          </w:tcPr>
          <w:p w14:paraId="2A63AB9C">
            <w:pPr>
              <w:pStyle w:val="13"/>
            </w:pPr>
            <w:r>
              <w:t>服务对象满意度指标</w:t>
            </w:r>
          </w:p>
        </w:tc>
        <w:tc>
          <w:tcPr>
            <w:tcW w:w="2835" w:type="dxa"/>
            <w:vAlign w:val="center"/>
          </w:tcPr>
          <w:p w14:paraId="20BA4319">
            <w:pPr>
              <w:pStyle w:val="13"/>
            </w:pPr>
            <w:r>
              <w:t>受益学生家长及调查满意度</w:t>
            </w:r>
          </w:p>
        </w:tc>
        <w:tc>
          <w:tcPr>
            <w:tcW w:w="5386" w:type="dxa"/>
            <w:vAlign w:val="center"/>
          </w:tcPr>
          <w:p w14:paraId="00B7FB01">
            <w:pPr>
              <w:pStyle w:val="13"/>
            </w:pPr>
            <w:r>
              <w:t>学生、教师及家长对学校工作满意度情况</w:t>
            </w:r>
          </w:p>
        </w:tc>
        <w:tc>
          <w:tcPr>
            <w:tcW w:w="1583" w:type="dxa"/>
            <w:vAlign w:val="center"/>
          </w:tcPr>
          <w:p w14:paraId="79816D25">
            <w:pPr>
              <w:pStyle w:val="13"/>
            </w:pPr>
            <w:r>
              <w:t>95%</w:t>
            </w:r>
          </w:p>
        </w:tc>
        <w:tc>
          <w:tcPr>
            <w:tcW w:w="1961" w:type="dxa"/>
            <w:vAlign w:val="center"/>
          </w:tcPr>
          <w:p w14:paraId="2556481C">
            <w:pPr>
              <w:pStyle w:val="13"/>
            </w:pPr>
            <w:r>
              <w:t>城乡义务教育公用经费管理办法</w:t>
            </w:r>
          </w:p>
        </w:tc>
      </w:tr>
    </w:tbl>
    <w:p w14:paraId="106852EB">
      <w:pPr>
        <w:sectPr>
          <w:pgSz w:w="16840" w:h="11900" w:orient="landscape"/>
          <w:pgMar w:top="1361" w:right="1020" w:bottom="1134" w:left="1020" w:header="720" w:footer="720" w:gutter="0"/>
          <w:cols w:space="720" w:num="1"/>
        </w:sectPr>
      </w:pPr>
    </w:p>
    <w:p w14:paraId="53722581">
      <w:pPr>
        <w:spacing w:before="10" w:after="10" w:line="240" w:lineRule="auto"/>
        <w:ind w:firstLine="640"/>
        <w:jc w:val="left"/>
        <w:outlineLvl w:val="5"/>
      </w:pPr>
      <w:r>
        <w:rPr>
          <w:rFonts w:ascii="黑体" w:hAnsi="黑体" w:eastAsia="黑体" w:cs="黑体"/>
          <w:color w:val="000000"/>
          <w:sz w:val="32"/>
        </w:rPr>
        <w:t>六、政府采购预算情况</w:t>
      </w:r>
    </w:p>
    <w:p w14:paraId="294B37D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6CD4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6D7F9E5">
            <w:pPr>
              <w:pStyle w:val="8"/>
            </w:pPr>
            <w:r>
              <w:t>360013隆尧县实验小学</w:t>
            </w:r>
          </w:p>
        </w:tc>
        <w:tc>
          <w:tcPr>
            <w:tcW w:w="7712" w:type="dxa"/>
            <w:gridSpan w:val="8"/>
            <w:tcBorders>
              <w:top w:val="single" w:color="FFFFFF" w:sz="6" w:space="0"/>
              <w:left w:val="single" w:color="FFFFFF" w:sz="6" w:space="0"/>
              <w:right w:val="single" w:color="FFFFFF" w:sz="6" w:space="0"/>
            </w:tcBorders>
            <w:vAlign w:val="center"/>
          </w:tcPr>
          <w:p w14:paraId="42457C66">
            <w:pPr>
              <w:pStyle w:val="22"/>
            </w:pPr>
            <w:r>
              <w:t>单位：万元</w:t>
            </w:r>
          </w:p>
        </w:tc>
      </w:tr>
      <w:tr w14:paraId="1EB8E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3B54AEE">
            <w:pPr>
              <w:pStyle w:val="11"/>
            </w:pPr>
            <w:r>
              <w:t>政府采购项目来源</w:t>
            </w:r>
          </w:p>
        </w:tc>
        <w:tc>
          <w:tcPr>
            <w:tcW w:w="1134" w:type="dxa"/>
            <w:vMerge w:val="restart"/>
            <w:vAlign w:val="center"/>
          </w:tcPr>
          <w:p w14:paraId="02BEF99D">
            <w:pPr>
              <w:pStyle w:val="11"/>
            </w:pPr>
            <w:r>
              <w:t>采购物品名称</w:t>
            </w:r>
          </w:p>
        </w:tc>
        <w:tc>
          <w:tcPr>
            <w:tcW w:w="1134" w:type="dxa"/>
            <w:vMerge w:val="restart"/>
            <w:vAlign w:val="center"/>
          </w:tcPr>
          <w:p w14:paraId="5ECD4CA0">
            <w:pPr>
              <w:pStyle w:val="11"/>
            </w:pPr>
            <w:r>
              <w:t>政府采购目录序号</w:t>
            </w:r>
          </w:p>
        </w:tc>
        <w:tc>
          <w:tcPr>
            <w:tcW w:w="709" w:type="dxa"/>
            <w:vMerge w:val="restart"/>
            <w:vAlign w:val="center"/>
          </w:tcPr>
          <w:p w14:paraId="2A9FB649">
            <w:pPr>
              <w:pStyle w:val="11"/>
            </w:pPr>
            <w:r>
              <w:t>计量  单位</w:t>
            </w:r>
          </w:p>
        </w:tc>
        <w:tc>
          <w:tcPr>
            <w:tcW w:w="850" w:type="dxa"/>
            <w:vMerge w:val="restart"/>
            <w:vAlign w:val="center"/>
          </w:tcPr>
          <w:p w14:paraId="12500AEE">
            <w:pPr>
              <w:pStyle w:val="11"/>
            </w:pPr>
            <w:r>
              <w:t>数量</w:t>
            </w:r>
          </w:p>
        </w:tc>
        <w:tc>
          <w:tcPr>
            <w:tcW w:w="850" w:type="dxa"/>
            <w:vMerge w:val="restart"/>
            <w:vAlign w:val="center"/>
          </w:tcPr>
          <w:p w14:paraId="1C62717C">
            <w:pPr>
              <w:pStyle w:val="11"/>
            </w:pPr>
            <w:r>
              <w:t>单价</w:t>
            </w:r>
          </w:p>
        </w:tc>
        <w:tc>
          <w:tcPr>
            <w:tcW w:w="6748" w:type="dxa"/>
            <w:gridSpan w:val="7"/>
            <w:vAlign w:val="center"/>
          </w:tcPr>
          <w:p w14:paraId="10A82BD0">
            <w:pPr>
              <w:pStyle w:val="11"/>
            </w:pPr>
            <w:r>
              <w:t>政府采购金额（当年部门预算安排资金）</w:t>
            </w:r>
          </w:p>
        </w:tc>
        <w:tc>
          <w:tcPr>
            <w:tcW w:w="964" w:type="dxa"/>
            <w:vMerge w:val="restart"/>
            <w:vAlign w:val="center"/>
          </w:tcPr>
          <w:p w14:paraId="2196EAEE">
            <w:pPr>
              <w:pStyle w:val="11"/>
            </w:pPr>
            <w:r>
              <w:t>2025年  预留中  小微企  业份额</w:t>
            </w:r>
          </w:p>
        </w:tc>
      </w:tr>
      <w:tr w14:paraId="708E6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D68788D">
            <w:pPr>
              <w:pStyle w:val="11"/>
            </w:pPr>
            <w:r>
              <w:t>项目名称</w:t>
            </w:r>
          </w:p>
        </w:tc>
        <w:tc>
          <w:tcPr>
            <w:tcW w:w="964" w:type="dxa"/>
            <w:vAlign w:val="center"/>
          </w:tcPr>
          <w:p w14:paraId="1C88066D">
            <w:pPr>
              <w:pStyle w:val="11"/>
            </w:pPr>
            <w:r>
              <w:t>预算    资金</w:t>
            </w:r>
          </w:p>
        </w:tc>
        <w:tc>
          <w:tcPr>
            <w:tcW w:w="1134" w:type="dxa"/>
            <w:vMerge w:val="continue"/>
          </w:tcPr>
          <w:p w14:paraId="125BD426"/>
        </w:tc>
        <w:tc>
          <w:tcPr>
            <w:tcW w:w="1134" w:type="dxa"/>
            <w:vMerge w:val="continue"/>
          </w:tcPr>
          <w:p w14:paraId="13F4B6A8"/>
        </w:tc>
        <w:tc>
          <w:tcPr>
            <w:tcW w:w="709" w:type="dxa"/>
            <w:vMerge w:val="continue"/>
          </w:tcPr>
          <w:p w14:paraId="430FFE02"/>
        </w:tc>
        <w:tc>
          <w:tcPr>
            <w:tcW w:w="850" w:type="dxa"/>
            <w:vMerge w:val="continue"/>
          </w:tcPr>
          <w:p w14:paraId="53CB37C8"/>
        </w:tc>
        <w:tc>
          <w:tcPr>
            <w:tcW w:w="850" w:type="dxa"/>
            <w:vMerge w:val="continue"/>
          </w:tcPr>
          <w:p w14:paraId="0DC7DA41"/>
        </w:tc>
        <w:tc>
          <w:tcPr>
            <w:tcW w:w="964" w:type="dxa"/>
            <w:vAlign w:val="center"/>
          </w:tcPr>
          <w:p w14:paraId="30820A75">
            <w:pPr>
              <w:pStyle w:val="11"/>
            </w:pPr>
            <w:r>
              <w:t>合计</w:t>
            </w:r>
          </w:p>
        </w:tc>
        <w:tc>
          <w:tcPr>
            <w:tcW w:w="964" w:type="dxa"/>
            <w:vAlign w:val="center"/>
          </w:tcPr>
          <w:p w14:paraId="71AB4EAC">
            <w:pPr>
              <w:pStyle w:val="11"/>
            </w:pPr>
            <w:r>
              <w:t>一般公共预算拨款</w:t>
            </w:r>
          </w:p>
        </w:tc>
        <w:tc>
          <w:tcPr>
            <w:tcW w:w="964" w:type="dxa"/>
            <w:vAlign w:val="center"/>
          </w:tcPr>
          <w:p w14:paraId="1C32A102">
            <w:pPr>
              <w:pStyle w:val="11"/>
            </w:pPr>
            <w:r>
              <w:t>基金预算拨款</w:t>
            </w:r>
          </w:p>
        </w:tc>
        <w:tc>
          <w:tcPr>
            <w:tcW w:w="964" w:type="dxa"/>
            <w:vAlign w:val="center"/>
          </w:tcPr>
          <w:p w14:paraId="62F1C517">
            <w:pPr>
              <w:pStyle w:val="11"/>
            </w:pPr>
            <w:r>
              <w:t>国有资本经营预算拨款</w:t>
            </w:r>
          </w:p>
        </w:tc>
        <w:tc>
          <w:tcPr>
            <w:tcW w:w="964" w:type="dxa"/>
            <w:vAlign w:val="center"/>
          </w:tcPr>
          <w:p w14:paraId="5D08F59A">
            <w:pPr>
              <w:pStyle w:val="11"/>
            </w:pPr>
            <w:r>
              <w:t>财政专户核拨</w:t>
            </w:r>
          </w:p>
        </w:tc>
        <w:tc>
          <w:tcPr>
            <w:tcW w:w="964" w:type="dxa"/>
            <w:vAlign w:val="center"/>
          </w:tcPr>
          <w:p w14:paraId="034CBE6C">
            <w:pPr>
              <w:pStyle w:val="11"/>
            </w:pPr>
            <w:r>
              <w:t>单位    资金</w:t>
            </w:r>
          </w:p>
        </w:tc>
        <w:tc>
          <w:tcPr>
            <w:tcW w:w="964" w:type="dxa"/>
            <w:vAlign w:val="center"/>
          </w:tcPr>
          <w:p w14:paraId="6D3212DB">
            <w:pPr>
              <w:pStyle w:val="11"/>
            </w:pPr>
            <w:r>
              <w:t>上年结转结余</w:t>
            </w:r>
          </w:p>
        </w:tc>
        <w:tc>
          <w:tcPr>
            <w:tcW w:w="964" w:type="dxa"/>
            <w:vMerge w:val="continue"/>
          </w:tcPr>
          <w:p w14:paraId="00F63087"/>
        </w:tc>
      </w:tr>
      <w:tr w14:paraId="6E6B4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EF40EE">
            <w:pPr>
              <w:pStyle w:val="15"/>
            </w:pPr>
            <w:r>
              <w:t>合  计</w:t>
            </w:r>
          </w:p>
        </w:tc>
        <w:tc>
          <w:tcPr>
            <w:tcW w:w="964" w:type="dxa"/>
            <w:vAlign w:val="center"/>
          </w:tcPr>
          <w:p w14:paraId="79BF4077">
            <w:pPr>
              <w:pStyle w:val="16"/>
            </w:pPr>
          </w:p>
        </w:tc>
        <w:tc>
          <w:tcPr>
            <w:tcW w:w="1134" w:type="dxa"/>
            <w:vAlign w:val="center"/>
          </w:tcPr>
          <w:p w14:paraId="72D78073">
            <w:pPr>
              <w:pStyle w:val="17"/>
            </w:pPr>
          </w:p>
        </w:tc>
        <w:tc>
          <w:tcPr>
            <w:tcW w:w="1134" w:type="dxa"/>
            <w:vAlign w:val="center"/>
          </w:tcPr>
          <w:p w14:paraId="4FD801E3">
            <w:pPr>
              <w:pStyle w:val="17"/>
            </w:pPr>
          </w:p>
        </w:tc>
        <w:tc>
          <w:tcPr>
            <w:tcW w:w="709" w:type="dxa"/>
            <w:vAlign w:val="center"/>
          </w:tcPr>
          <w:p w14:paraId="17738B6A">
            <w:pPr>
              <w:pStyle w:val="15"/>
            </w:pPr>
          </w:p>
        </w:tc>
        <w:tc>
          <w:tcPr>
            <w:tcW w:w="850" w:type="dxa"/>
            <w:vAlign w:val="center"/>
          </w:tcPr>
          <w:p w14:paraId="3D5A1915">
            <w:pPr>
              <w:pStyle w:val="16"/>
            </w:pPr>
          </w:p>
        </w:tc>
        <w:tc>
          <w:tcPr>
            <w:tcW w:w="850" w:type="dxa"/>
            <w:vAlign w:val="center"/>
          </w:tcPr>
          <w:p w14:paraId="23370226">
            <w:pPr>
              <w:pStyle w:val="16"/>
            </w:pPr>
          </w:p>
        </w:tc>
        <w:tc>
          <w:tcPr>
            <w:tcW w:w="964" w:type="dxa"/>
            <w:vAlign w:val="center"/>
          </w:tcPr>
          <w:p w14:paraId="5CFB7B65">
            <w:pPr>
              <w:pStyle w:val="16"/>
            </w:pPr>
            <w:r>
              <w:t>11.01</w:t>
            </w:r>
          </w:p>
        </w:tc>
        <w:tc>
          <w:tcPr>
            <w:tcW w:w="964" w:type="dxa"/>
            <w:vAlign w:val="center"/>
          </w:tcPr>
          <w:p w14:paraId="2836928F">
            <w:pPr>
              <w:pStyle w:val="16"/>
            </w:pPr>
            <w:r>
              <w:t>11.01</w:t>
            </w:r>
          </w:p>
        </w:tc>
        <w:tc>
          <w:tcPr>
            <w:tcW w:w="964" w:type="dxa"/>
            <w:vAlign w:val="center"/>
          </w:tcPr>
          <w:p w14:paraId="60F5DDD7">
            <w:pPr>
              <w:pStyle w:val="16"/>
            </w:pPr>
          </w:p>
        </w:tc>
        <w:tc>
          <w:tcPr>
            <w:tcW w:w="964" w:type="dxa"/>
            <w:vAlign w:val="center"/>
          </w:tcPr>
          <w:p w14:paraId="41109C0E">
            <w:pPr>
              <w:pStyle w:val="16"/>
            </w:pPr>
          </w:p>
        </w:tc>
        <w:tc>
          <w:tcPr>
            <w:tcW w:w="964" w:type="dxa"/>
            <w:vAlign w:val="center"/>
          </w:tcPr>
          <w:p w14:paraId="16ADE11A">
            <w:pPr>
              <w:pStyle w:val="16"/>
            </w:pPr>
          </w:p>
        </w:tc>
        <w:tc>
          <w:tcPr>
            <w:tcW w:w="964" w:type="dxa"/>
            <w:vAlign w:val="center"/>
          </w:tcPr>
          <w:p w14:paraId="4F9D84D1">
            <w:pPr>
              <w:pStyle w:val="16"/>
            </w:pPr>
          </w:p>
        </w:tc>
        <w:tc>
          <w:tcPr>
            <w:tcW w:w="964" w:type="dxa"/>
            <w:vAlign w:val="center"/>
          </w:tcPr>
          <w:p w14:paraId="1506EC90">
            <w:pPr>
              <w:pStyle w:val="16"/>
            </w:pPr>
          </w:p>
        </w:tc>
        <w:tc>
          <w:tcPr>
            <w:tcW w:w="964" w:type="dxa"/>
            <w:vAlign w:val="center"/>
          </w:tcPr>
          <w:p w14:paraId="291DB0FD">
            <w:pPr>
              <w:pStyle w:val="16"/>
            </w:pPr>
            <w:r>
              <w:t>11.01</w:t>
            </w:r>
          </w:p>
        </w:tc>
      </w:tr>
      <w:tr w14:paraId="482ED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24AA82">
            <w:pPr>
              <w:pStyle w:val="15"/>
            </w:pPr>
            <w:r>
              <w:t>隆尧县实验小学小计</w:t>
            </w:r>
          </w:p>
        </w:tc>
        <w:tc>
          <w:tcPr>
            <w:tcW w:w="964" w:type="dxa"/>
            <w:vAlign w:val="center"/>
          </w:tcPr>
          <w:p w14:paraId="28C53BC1">
            <w:pPr>
              <w:pStyle w:val="16"/>
            </w:pPr>
          </w:p>
        </w:tc>
        <w:tc>
          <w:tcPr>
            <w:tcW w:w="1134" w:type="dxa"/>
            <w:vAlign w:val="center"/>
          </w:tcPr>
          <w:p w14:paraId="34168CC7">
            <w:pPr>
              <w:pStyle w:val="17"/>
            </w:pPr>
          </w:p>
        </w:tc>
        <w:tc>
          <w:tcPr>
            <w:tcW w:w="1134" w:type="dxa"/>
            <w:vAlign w:val="center"/>
          </w:tcPr>
          <w:p w14:paraId="5F099045">
            <w:pPr>
              <w:pStyle w:val="17"/>
            </w:pPr>
          </w:p>
        </w:tc>
        <w:tc>
          <w:tcPr>
            <w:tcW w:w="709" w:type="dxa"/>
            <w:vAlign w:val="center"/>
          </w:tcPr>
          <w:p w14:paraId="274773D6">
            <w:pPr>
              <w:pStyle w:val="15"/>
            </w:pPr>
          </w:p>
        </w:tc>
        <w:tc>
          <w:tcPr>
            <w:tcW w:w="850" w:type="dxa"/>
            <w:vAlign w:val="center"/>
          </w:tcPr>
          <w:p w14:paraId="45E897D2">
            <w:pPr>
              <w:pStyle w:val="16"/>
            </w:pPr>
          </w:p>
        </w:tc>
        <w:tc>
          <w:tcPr>
            <w:tcW w:w="850" w:type="dxa"/>
            <w:vAlign w:val="center"/>
          </w:tcPr>
          <w:p w14:paraId="61B68342">
            <w:pPr>
              <w:pStyle w:val="16"/>
            </w:pPr>
          </w:p>
        </w:tc>
        <w:tc>
          <w:tcPr>
            <w:tcW w:w="964" w:type="dxa"/>
            <w:vAlign w:val="center"/>
          </w:tcPr>
          <w:p w14:paraId="631C95CF">
            <w:pPr>
              <w:pStyle w:val="16"/>
            </w:pPr>
            <w:r>
              <w:t>11.01</w:t>
            </w:r>
          </w:p>
        </w:tc>
        <w:tc>
          <w:tcPr>
            <w:tcW w:w="964" w:type="dxa"/>
            <w:vAlign w:val="center"/>
          </w:tcPr>
          <w:p w14:paraId="053AAD3D">
            <w:pPr>
              <w:pStyle w:val="16"/>
            </w:pPr>
            <w:r>
              <w:t>11.01</w:t>
            </w:r>
          </w:p>
        </w:tc>
        <w:tc>
          <w:tcPr>
            <w:tcW w:w="964" w:type="dxa"/>
            <w:vAlign w:val="center"/>
          </w:tcPr>
          <w:p w14:paraId="2041DA1F">
            <w:pPr>
              <w:pStyle w:val="16"/>
            </w:pPr>
          </w:p>
        </w:tc>
        <w:tc>
          <w:tcPr>
            <w:tcW w:w="964" w:type="dxa"/>
            <w:vAlign w:val="center"/>
          </w:tcPr>
          <w:p w14:paraId="412CDC3B">
            <w:pPr>
              <w:pStyle w:val="16"/>
            </w:pPr>
          </w:p>
        </w:tc>
        <w:tc>
          <w:tcPr>
            <w:tcW w:w="964" w:type="dxa"/>
            <w:vAlign w:val="center"/>
          </w:tcPr>
          <w:p w14:paraId="5E20AEDD">
            <w:pPr>
              <w:pStyle w:val="16"/>
            </w:pPr>
          </w:p>
        </w:tc>
        <w:tc>
          <w:tcPr>
            <w:tcW w:w="964" w:type="dxa"/>
            <w:vAlign w:val="center"/>
          </w:tcPr>
          <w:p w14:paraId="7E64C0E5">
            <w:pPr>
              <w:pStyle w:val="16"/>
            </w:pPr>
          </w:p>
        </w:tc>
        <w:tc>
          <w:tcPr>
            <w:tcW w:w="964" w:type="dxa"/>
            <w:vAlign w:val="center"/>
          </w:tcPr>
          <w:p w14:paraId="67F55A8B">
            <w:pPr>
              <w:pStyle w:val="16"/>
            </w:pPr>
          </w:p>
        </w:tc>
        <w:tc>
          <w:tcPr>
            <w:tcW w:w="964" w:type="dxa"/>
            <w:vAlign w:val="center"/>
          </w:tcPr>
          <w:p w14:paraId="7BB57487">
            <w:pPr>
              <w:pStyle w:val="16"/>
            </w:pPr>
            <w:r>
              <w:t>11.01</w:t>
            </w:r>
          </w:p>
        </w:tc>
      </w:tr>
      <w:tr w14:paraId="09546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5F73E66">
            <w:pPr>
              <w:pStyle w:val="13"/>
            </w:pPr>
            <w:r>
              <w:t>冀财教[2024]141号/省级/2025年义教补助经费/实验小学公用经费</w:t>
            </w:r>
          </w:p>
        </w:tc>
        <w:tc>
          <w:tcPr>
            <w:tcW w:w="964" w:type="dxa"/>
            <w:vAlign w:val="center"/>
          </w:tcPr>
          <w:p w14:paraId="7E4C6136">
            <w:pPr>
              <w:pStyle w:val="14"/>
            </w:pPr>
            <w:r>
              <w:t>106.56</w:t>
            </w:r>
          </w:p>
        </w:tc>
        <w:tc>
          <w:tcPr>
            <w:tcW w:w="1134" w:type="dxa"/>
            <w:vAlign w:val="center"/>
          </w:tcPr>
          <w:p w14:paraId="7BABE989">
            <w:pPr>
              <w:pStyle w:val="13"/>
            </w:pPr>
            <w:r>
              <w:t>台式计算机</w:t>
            </w:r>
          </w:p>
        </w:tc>
        <w:tc>
          <w:tcPr>
            <w:tcW w:w="1134" w:type="dxa"/>
            <w:vAlign w:val="center"/>
          </w:tcPr>
          <w:p w14:paraId="6B62FA01">
            <w:pPr>
              <w:pStyle w:val="13"/>
            </w:pPr>
            <w:r>
              <w:t>A02010105</w:t>
            </w:r>
          </w:p>
        </w:tc>
        <w:tc>
          <w:tcPr>
            <w:tcW w:w="709" w:type="dxa"/>
            <w:vAlign w:val="center"/>
          </w:tcPr>
          <w:p w14:paraId="3E4CED0C">
            <w:pPr>
              <w:pStyle w:val="12"/>
            </w:pPr>
            <w:r>
              <w:t>台</w:t>
            </w:r>
          </w:p>
        </w:tc>
        <w:tc>
          <w:tcPr>
            <w:tcW w:w="850" w:type="dxa"/>
            <w:vAlign w:val="center"/>
          </w:tcPr>
          <w:p w14:paraId="43C5AA48">
            <w:pPr>
              <w:pStyle w:val="14"/>
            </w:pPr>
            <w:r>
              <w:t>2</w:t>
            </w:r>
          </w:p>
        </w:tc>
        <w:tc>
          <w:tcPr>
            <w:tcW w:w="850" w:type="dxa"/>
            <w:vAlign w:val="center"/>
          </w:tcPr>
          <w:p w14:paraId="6D4BDB25">
            <w:pPr>
              <w:pStyle w:val="14"/>
            </w:pPr>
            <w:r>
              <w:t>0.40</w:t>
            </w:r>
          </w:p>
        </w:tc>
        <w:tc>
          <w:tcPr>
            <w:tcW w:w="964" w:type="dxa"/>
            <w:vAlign w:val="center"/>
          </w:tcPr>
          <w:p w14:paraId="3343638E">
            <w:pPr>
              <w:pStyle w:val="14"/>
            </w:pPr>
            <w:r>
              <w:t>0.80</w:t>
            </w:r>
          </w:p>
        </w:tc>
        <w:tc>
          <w:tcPr>
            <w:tcW w:w="964" w:type="dxa"/>
            <w:vAlign w:val="center"/>
          </w:tcPr>
          <w:p w14:paraId="6E1848AC">
            <w:pPr>
              <w:pStyle w:val="14"/>
            </w:pPr>
            <w:r>
              <w:t>0.80</w:t>
            </w:r>
          </w:p>
        </w:tc>
        <w:tc>
          <w:tcPr>
            <w:tcW w:w="964" w:type="dxa"/>
            <w:vAlign w:val="center"/>
          </w:tcPr>
          <w:p w14:paraId="174CEDC6">
            <w:pPr>
              <w:pStyle w:val="14"/>
            </w:pPr>
          </w:p>
        </w:tc>
        <w:tc>
          <w:tcPr>
            <w:tcW w:w="964" w:type="dxa"/>
            <w:vAlign w:val="center"/>
          </w:tcPr>
          <w:p w14:paraId="3198C543">
            <w:pPr>
              <w:pStyle w:val="14"/>
            </w:pPr>
          </w:p>
        </w:tc>
        <w:tc>
          <w:tcPr>
            <w:tcW w:w="964" w:type="dxa"/>
            <w:vAlign w:val="center"/>
          </w:tcPr>
          <w:p w14:paraId="71F82072">
            <w:pPr>
              <w:pStyle w:val="14"/>
            </w:pPr>
          </w:p>
        </w:tc>
        <w:tc>
          <w:tcPr>
            <w:tcW w:w="964" w:type="dxa"/>
            <w:vAlign w:val="center"/>
          </w:tcPr>
          <w:p w14:paraId="491A0093">
            <w:pPr>
              <w:pStyle w:val="14"/>
            </w:pPr>
          </w:p>
        </w:tc>
        <w:tc>
          <w:tcPr>
            <w:tcW w:w="964" w:type="dxa"/>
            <w:vAlign w:val="center"/>
          </w:tcPr>
          <w:p w14:paraId="33342039">
            <w:pPr>
              <w:pStyle w:val="14"/>
            </w:pPr>
          </w:p>
        </w:tc>
        <w:tc>
          <w:tcPr>
            <w:tcW w:w="964" w:type="dxa"/>
            <w:vAlign w:val="center"/>
          </w:tcPr>
          <w:p w14:paraId="1AD6A377">
            <w:pPr>
              <w:pStyle w:val="14"/>
            </w:pPr>
            <w:r>
              <w:t>0.80</w:t>
            </w:r>
          </w:p>
        </w:tc>
      </w:tr>
      <w:tr w14:paraId="10827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C4645C">
            <w:pPr>
              <w:pStyle w:val="13"/>
            </w:pPr>
            <w:r>
              <w:t>冀财教[2024]141号/省级/2025年义教补助经费/实验小学公用经费</w:t>
            </w:r>
          </w:p>
        </w:tc>
        <w:tc>
          <w:tcPr>
            <w:tcW w:w="964" w:type="dxa"/>
            <w:vAlign w:val="center"/>
          </w:tcPr>
          <w:p w14:paraId="378B8924">
            <w:pPr>
              <w:pStyle w:val="14"/>
            </w:pPr>
            <w:r>
              <w:t>106.56</w:t>
            </w:r>
          </w:p>
        </w:tc>
        <w:tc>
          <w:tcPr>
            <w:tcW w:w="1134" w:type="dxa"/>
            <w:vAlign w:val="center"/>
          </w:tcPr>
          <w:p w14:paraId="504D43FA">
            <w:pPr>
              <w:pStyle w:val="13"/>
            </w:pPr>
            <w:r>
              <w:t>台式计算机</w:t>
            </w:r>
          </w:p>
        </w:tc>
        <w:tc>
          <w:tcPr>
            <w:tcW w:w="1134" w:type="dxa"/>
            <w:vAlign w:val="center"/>
          </w:tcPr>
          <w:p w14:paraId="61339C0B">
            <w:pPr>
              <w:pStyle w:val="13"/>
            </w:pPr>
            <w:r>
              <w:t>A02010105</w:t>
            </w:r>
          </w:p>
        </w:tc>
        <w:tc>
          <w:tcPr>
            <w:tcW w:w="709" w:type="dxa"/>
            <w:vAlign w:val="center"/>
          </w:tcPr>
          <w:p w14:paraId="2FC42959">
            <w:pPr>
              <w:pStyle w:val="12"/>
            </w:pPr>
            <w:r>
              <w:t>台</w:t>
            </w:r>
          </w:p>
        </w:tc>
        <w:tc>
          <w:tcPr>
            <w:tcW w:w="850" w:type="dxa"/>
            <w:vAlign w:val="center"/>
          </w:tcPr>
          <w:p w14:paraId="07E6277C">
            <w:pPr>
              <w:pStyle w:val="14"/>
            </w:pPr>
            <w:r>
              <w:t>1</w:t>
            </w:r>
          </w:p>
        </w:tc>
        <w:tc>
          <w:tcPr>
            <w:tcW w:w="850" w:type="dxa"/>
            <w:vAlign w:val="center"/>
          </w:tcPr>
          <w:p w14:paraId="4EED2DB7">
            <w:pPr>
              <w:pStyle w:val="14"/>
            </w:pPr>
            <w:r>
              <w:t>0.35</w:t>
            </w:r>
          </w:p>
        </w:tc>
        <w:tc>
          <w:tcPr>
            <w:tcW w:w="964" w:type="dxa"/>
            <w:vAlign w:val="center"/>
          </w:tcPr>
          <w:p w14:paraId="71B70C90">
            <w:pPr>
              <w:pStyle w:val="14"/>
            </w:pPr>
            <w:r>
              <w:t>0.35</w:t>
            </w:r>
          </w:p>
        </w:tc>
        <w:tc>
          <w:tcPr>
            <w:tcW w:w="964" w:type="dxa"/>
            <w:vAlign w:val="center"/>
          </w:tcPr>
          <w:p w14:paraId="044316BA">
            <w:pPr>
              <w:pStyle w:val="14"/>
            </w:pPr>
            <w:r>
              <w:t>0.35</w:t>
            </w:r>
          </w:p>
        </w:tc>
        <w:tc>
          <w:tcPr>
            <w:tcW w:w="964" w:type="dxa"/>
            <w:vAlign w:val="center"/>
          </w:tcPr>
          <w:p w14:paraId="21C6D189">
            <w:pPr>
              <w:pStyle w:val="14"/>
            </w:pPr>
          </w:p>
        </w:tc>
        <w:tc>
          <w:tcPr>
            <w:tcW w:w="964" w:type="dxa"/>
            <w:vAlign w:val="center"/>
          </w:tcPr>
          <w:p w14:paraId="496C6513">
            <w:pPr>
              <w:pStyle w:val="14"/>
            </w:pPr>
          </w:p>
        </w:tc>
        <w:tc>
          <w:tcPr>
            <w:tcW w:w="964" w:type="dxa"/>
            <w:vAlign w:val="center"/>
          </w:tcPr>
          <w:p w14:paraId="360961E5">
            <w:pPr>
              <w:pStyle w:val="14"/>
            </w:pPr>
          </w:p>
        </w:tc>
        <w:tc>
          <w:tcPr>
            <w:tcW w:w="964" w:type="dxa"/>
            <w:vAlign w:val="center"/>
          </w:tcPr>
          <w:p w14:paraId="263E36FB">
            <w:pPr>
              <w:pStyle w:val="14"/>
            </w:pPr>
          </w:p>
        </w:tc>
        <w:tc>
          <w:tcPr>
            <w:tcW w:w="964" w:type="dxa"/>
            <w:vAlign w:val="center"/>
          </w:tcPr>
          <w:p w14:paraId="367A6FDE">
            <w:pPr>
              <w:pStyle w:val="14"/>
            </w:pPr>
          </w:p>
        </w:tc>
        <w:tc>
          <w:tcPr>
            <w:tcW w:w="964" w:type="dxa"/>
            <w:vAlign w:val="center"/>
          </w:tcPr>
          <w:p w14:paraId="49441809">
            <w:pPr>
              <w:pStyle w:val="14"/>
            </w:pPr>
            <w:r>
              <w:t>0.35</w:t>
            </w:r>
          </w:p>
        </w:tc>
      </w:tr>
      <w:tr w14:paraId="5CA64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72A39E81">
            <w:pPr>
              <w:pStyle w:val="13"/>
            </w:pPr>
            <w:r>
              <w:t>冀财教[2024]141号/省级/2025年义教补助经费/实验小学公用经费</w:t>
            </w:r>
          </w:p>
        </w:tc>
        <w:tc>
          <w:tcPr>
            <w:tcW w:w="964" w:type="dxa"/>
            <w:vAlign w:val="center"/>
          </w:tcPr>
          <w:p w14:paraId="431EA8BC">
            <w:pPr>
              <w:pStyle w:val="14"/>
            </w:pPr>
            <w:r>
              <w:t>106.56</w:t>
            </w:r>
          </w:p>
        </w:tc>
        <w:tc>
          <w:tcPr>
            <w:tcW w:w="1134" w:type="dxa"/>
            <w:vAlign w:val="center"/>
          </w:tcPr>
          <w:p w14:paraId="40E12259">
            <w:pPr>
              <w:pStyle w:val="13"/>
            </w:pPr>
            <w:r>
              <w:t>A3 黑白打印机</w:t>
            </w:r>
          </w:p>
        </w:tc>
        <w:tc>
          <w:tcPr>
            <w:tcW w:w="1134" w:type="dxa"/>
            <w:vAlign w:val="center"/>
          </w:tcPr>
          <w:p w14:paraId="569AFBE6">
            <w:pPr>
              <w:pStyle w:val="13"/>
            </w:pPr>
            <w:r>
              <w:t>A02021001</w:t>
            </w:r>
          </w:p>
        </w:tc>
        <w:tc>
          <w:tcPr>
            <w:tcW w:w="709" w:type="dxa"/>
            <w:vAlign w:val="center"/>
          </w:tcPr>
          <w:p w14:paraId="0DC4D67B">
            <w:pPr>
              <w:pStyle w:val="12"/>
            </w:pPr>
            <w:r>
              <w:t>台</w:t>
            </w:r>
          </w:p>
        </w:tc>
        <w:tc>
          <w:tcPr>
            <w:tcW w:w="850" w:type="dxa"/>
            <w:vAlign w:val="center"/>
          </w:tcPr>
          <w:p w14:paraId="6C89FBE3">
            <w:pPr>
              <w:pStyle w:val="14"/>
            </w:pPr>
            <w:r>
              <w:t>2</w:t>
            </w:r>
          </w:p>
        </w:tc>
        <w:tc>
          <w:tcPr>
            <w:tcW w:w="850" w:type="dxa"/>
            <w:vAlign w:val="center"/>
          </w:tcPr>
          <w:p w14:paraId="2C2FAD49">
            <w:pPr>
              <w:pStyle w:val="14"/>
            </w:pPr>
            <w:r>
              <w:t>0.18</w:t>
            </w:r>
          </w:p>
        </w:tc>
        <w:tc>
          <w:tcPr>
            <w:tcW w:w="964" w:type="dxa"/>
            <w:vAlign w:val="center"/>
          </w:tcPr>
          <w:p w14:paraId="48D30D7A">
            <w:pPr>
              <w:pStyle w:val="14"/>
            </w:pPr>
            <w:r>
              <w:t>0.36</w:t>
            </w:r>
          </w:p>
        </w:tc>
        <w:tc>
          <w:tcPr>
            <w:tcW w:w="964" w:type="dxa"/>
            <w:vAlign w:val="center"/>
          </w:tcPr>
          <w:p w14:paraId="70B688CD">
            <w:pPr>
              <w:pStyle w:val="14"/>
            </w:pPr>
            <w:r>
              <w:t>0.36</w:t>
            </w:r>
          </w:p>
        </w:tc>
        <w:tc>
          <w:tcPr>
            <w:tcW w:w="964" w:type="dxa"/>
            <w:vAlign w:val="center"/>
          </w:tcPr>
          <w:p w14:paraId="35C090BB">
            <w:pPr>
              <w:pStyle w:val="14"/>
            </w:pPr>
          </w:p>
        </w:tc>
        <w:tc>
          <w:tcPr>
            <w:tcW w:w="964" w:type="dxa"/>
            <w:vAlign w:val="center"/>
          </w:tcPr>
          <w:p w14:paraId="4AC74AA0">
            <w:pPr>
              <w:pStyle w:val="14"/>
            </w:pPr>
          </w:p>
        </w:tc>
        <w:tc>
          <w:tcPr>
            <w:tcW w:w="964" w:type="dxa"/>
            <w:vAlign w:val="center"/>
          </w:tcPr>
          <w:p w14:paraId="34681F81">
            <w:pPr>
              <w:pStyle w:val="14"/>
            </w:pPr>
          </w:p>
        </w:tc>
        <w:tc>
          <w:tcPr>
            <w:tcW w:w="964" w:type="dxa"/>
            <w:vAlign w:val="center"/>
          </w:tcPr>
          <w:p w14:paraId="59A92A71">
            <w:pPr>
              <w:pStyle w:val="14"/>
            </w:pPr>
          </w:p>
        </w:tc>
        <w:tc>
          <w:tcPr>
            <w:tcW w:w="964" w:type="dxa"/>
            <w:vAlign w:val="center"/>
          </w:tcPr>
          <w:p w14:paraId="5431468E">
            <w:pPr>
              <w:pStyle w:val="14"/>
            </w:pPr>
          </w:p>
        </w:tc>
        <w:tc>
          <w:tcPr>
            <w:tcW w:w="964" w:type="dxa"/>
            <w:vAlign w:val="center"/>
          </w:tcPr>
          <w:p w14:paraId="4686382A">
            <w:pPr>
              <w:pStyle w:val="14"/>
            </w:pPr>
            <w:r>
              <w:t>0.36</w:t>
            </w:r>
          </w:p>
        </w:tc>
      </w:tr>
      <w:tr w14:paraId="5E209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6A4197">
            <w:pPr>
              <w:pStyle w:val="13"/>
            </w:pPr>
            <w:r>
              <w:t>冀财教[2024]141号/省级/2025年义教补助经费/实验小学公用经费</w:t>
            </w:r>
          </w:p>
        </w:tc>
        <w:tc>
          <w:tcPr>
            <w:tcW w:w="964" w:type="dxa"/>
            <w:vAlign w:val="center"/>
          </w:tcPr>
          <w:p w14:paraId="1280CC96">
            <w:pPr>
              <w:pStyle w:val="14"/>
            </w:pPr>
            <w:r>
              <w:t>106.56</w:t>
            </w:r>
          </w:p>
        </w:tc>
        <w:tc>
          <w:tcPr>
            <w:tcW w:w="1134" w:type="dxa"/>
            <w:vAlign w:val="center"/>
          </w:tcPr>
          <w:p w14:paraId="367C9FF8">
            <w:pPr>
              <w:pStyle w:val="13"/>
            </w:pPr>
            <w:r>
              <w:t>A3 黑白打印机</w:t>
            </w:r>
          </w:p>
        </w:tc>
        <w:tc>
          <w:tcPr>
            <w:tcW w:w="1134" w:type="dxa"/>
            <w:vAlign w:val="center"/>
          </w:tcPr>
          <w:p w14:paraId="5162DF18">
            <w:pPr>
              <w:pStyle w:val="13"/>
            </w:pPr>
            <w:r>
              <w:t>A02021001</w:t>
            </w:r>
          </w:p>
        </w:tc>
        <w:tc>
          <w:tcPr>
            <w:tcW w:w="709" w:type="dxa"/>
            <w:vAlign w:val="center"/>
          </w:tcPr>
          <w:p w14:paraId="602BA132">
            <w:pPr>
              <w:pStyle w:val="12"/>
            </w:pPr>
            <w:r>
              <w:t>台</w:t>
            </w:r>
          </w:p>
        </w:tc>
        <w:tc>
          <w:tcPr>
            <w:tcW w:w="850" w:type="dxa"/>
            <w:vAlign w:val="center"/>
          </w:tcPr>
          <w:p w14:paraId="2729C3E7">
            <w:pPr>
              <w:pStyle w:val="14"/>
            </w:pPr>
            <w:r>
              <w:t>1</w:t>
            </w:r>
          </w:p>
        </w:tc>
        <w:tc>
          <w:tcPr>
            <w:tcW w:w="850" w:type="dxa"/>
            <w:vAlign w:val="center"/>
          </w:tcPr>
          <w:p w14:paraId="48DDD8EE">
            <w:pPr>
              <w:pStyle w:val="14"/>
            </w:pPr>
            <w:r>
              <w:t>3.00</w:t>
            </w:r>
          </w:p>
        </w:tc>
        <w:tc>
          <w:tcPr>
            <w:tcW w:w="964" w:type="dxa"/>
            <w:vAlign w:val="center"/>
          </w:tcPr>
          <w:p w14:paraId="39EB79F0">
            <w:pPr>
              <w:pStyle w:val="14"/>
            </w:pPr>
            <w:r>
              <w:t>3.00</w:t>
            </w:r>
          </w:p>
        </w:tc>
        <w:tc>
          <w:tcPr>
            <w:tcW w:w="964" w:type="dxa"/>
            <w:vAlign w:val="center"/>
          </w:tcPr>
          <w:p w14:paraId="7664798C">
            <w:pPr>
              <w:pStyle w:val="14"/>
            </w:pPr>
            <w:r>
              <w:t>3.00</w:t>
            </w:r>
          </w:p>
        </w:tc>
        <w:tc>
          <w:tcPr>
            <w:tcW w:w="964" w:type="dxa"/>
            <w:vAlign w:val="center"/>
          </w:tcPr>
          <w:p w14:paraId="0F847EBD">
            <w:pPr>
              <w:pStyle w:val="14"/>
            </w:pPr>
          </w:p>
        </w:tc>
        <w:tc>
          <w:tcPr>
            <w:tcW w:w="964" w:type="dxa"/>
            <w:vAlign w:val="center"/>
          </w:tcPr>
          <w:p w14:paraId="285250C0">
            <w:pPr>
              <w:pStyle w:val="14"/>
            </w:pPr>
          </w:p>
        </w:tc>
        <w:tc>
          <w:tcPr>
            <w:tcW w:w="964" w:type="dxa"/>
            <w:vAlign w:val="center"/>
          </w:tcPr>
          <w:p w14:paraId="7630D43C">
            <w:pPr>
              <w:pStyle w:val="14"/>
            </w:pPr>
          </w:p>
        </w:tc>
        <w:tc>
          <w:tcPr>
            <w:tcW w:w="964" w:type="dxa"/>
            <w:vAlign w:val="center"/>
          </w:tcPr>
          <w:p w14:paraId="73B2352E">
            <w:pPr>
              <w:pStyle w:val="14"/>
            </w:pPr>
          </w:p>
        </w:tc>
        <w:tc>
          <w:tcPr>
            <w:tcW w:w="964" w:type="dxa"/>
            <w:vAlign w:val="center"/>
          </w:tcPr>
          <w:p w14:paraId="4505581D">
            <w:pPr>
              <w:pStyle w:val="14"/>
            </w:pPr>
          </w:p>
        </w:tc>
        <w:tc>
          <w:tcPr>
            <w:tcW w:w="964" w:type="dxa"/>
            <w:vAlign w:val="center"/>
          </w:tcPr>
          <w:p w14:paraId="2D31334D">
            <w:pPr>
              <w:pStyle w:val="14"/>
            </w:pPr>
            <w:r>
              <w:t>3.00</w:t>
            </w:r>
          </w:p>
        </w:tc>
      </w:tr>
      <w:tr w14:paraId="22FC4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044C19">
            <w:pPr>
              <w:pStyle w:val="13"/>
            </w:pPr>
            <w:r>
              <w:t>冀财教[2024]141号/省级/2025年义教补助经费/实验小学公用经费</w:t>
            </w:r>
          </w:p>
        </w:tc>
        <w:tc>
          <w:tcPr>
            <w:tcW w:w="964" w:type="dxa"/>
            <w:vAlign w:val="center"/>
          </w:tcPr>
          <w:p w14:paraId="30B03041">
            <w:pPr>
              <w:pStyle w:val="14"/>
            </w:pPr>
            <w:r>
              <w:t>106.56</w:t>
            </w:r>
          </w:p>
        </w:tc>
        <w:tc>
          <w:tcPr>
            <w:tcW w:w="1134" w:type="dxa"/>
            <w:vAlign w:val="center"/>
          </w:tcPr>
          <w:p w14:paraId="58E22D77">
            <w:pPr>
              <w:pStyle w:val="13"/>
            </w:pPr>
            <w:r>
              <w:t>书籍、课本</w:t>
            </w:r>
          </w:p>
        </w:tc>
        <w:tc>
          <w:tcPr>
            <w:tcW w:w="1134" w:type="dxa"/>
            <w:vAlign w:val="center"/>
          </w:tcPr>
          <w:p w14:paraId="02AD71AE">
            <w:pPr>
              <w:pStyle w:val="13"/>
            </w:pPr>
            <w:r>
              <w:t>A04010101</w:t>
            </w:r>
          </w:p>
        </w:tc>
        <w:tc>
          <w:tcPr>
            <w:tcW w:w="709" w:type="dxa"/>
            <w:vAlign w:val="center"/>
          </w:tcPr>
          <w:p w14:paraId="4FA6609C">
            <w:pPr>
              <w:pStyle w:val="12"/>
            </w:pPr>
            <w:r>
              <w:t>套</w:t>
            </w:r>
          </w:p>
        </w:tc>
        <w:tc>
          <w:tcPr>
            <w:tcW w:w="850" w:type="dxa"/>
            <w:vAlign w:val="center"/>
          </w:tcPr>
          <w:p w14:paraId="4CAEA94C">
            <w:pPr>
              <w:pStyle w:val="14"/>
            </w:pPr>
            <w:r>
              <w:t>1</w:t>
            </w:r>
          </w:p>
        </w:tc>
        <w:tc>
          <w:tcPr>
            <w:tcW w:w="850" w:type="dxa"/>
            <w:vAlign w:val="center"/>
          </w:tcPr>
          <w:p w14:paraId="7A5A0276">
            <w:pPr>
              <w:pStyle w:val="14"/>
            </w:pPr>
            <w:r>
              <w:t>5.00</w:t>
            </w:r>
          </w:p>
        </w:tc>
        <w:tc>
          <w:tcPr>
            <w:tcW w:w="964" w:type="dxa"/>
            <w:vAlign w:val="center"/>
          </w:tcPr>
          <w:p w14:paraId="5FF4E292">
            <w:pPr>
              <w:pStyle w:val="14"/>
            </w:pPr>
            <w:r>
              <w:t>5.00</w:t>
            </w:r>
          </w:p>
        </w:tc>
        <w:tc>
          <w:tcPr>
            <w:tcW w:w="964" w:type="dxa"/>
            <w:vAlign w:val="center"/>
          </w:tcPr>
          <w:p w14:paraId="0317FF22">
            <w:pPr>
              <w:pStyle w:val="14"/>
            </w:pPr>
            <w:r>
              <w:t>5.00</w:t>
            </w:r>
          </w:p>
        </w:tc>
        <w:tc>
          <w:tcPr>
            <w:tcW w:w="964" w:type="dxa"/>
            <w:vAlign w:val="center"/>
          </w:tcPr>
          <w:p w14:paraId="00B78F5F">
            <w:pPr>
              <w:pStyle w:val="14"/>
            </w:pPr>
          </w:p>
        </w:tc>
        <w:tc>
          <w:tcPr>
            <w:tcW w:w="964" w:type="dxa"/>
            <w:vAlign w:val="center"/>
          </w:tcPr>
          <w:p w14:paraId="67AB0AC6">
            <w:pPr>
              <w:pStyle w:val="14"/>
            </w:pPr>
          </w:p>
        </w:tc>
        <w:tc>
          <w:tcPr>
            <w:tcW w:w="964" w:type="dxa"/>
            <w:vAlign w:val="center"/>
          </w:tcPr>
          <w:p w14:paraId="47E55030">
            <w:pPr>
              <w:pStyle w:val="14"/>
            </w:pPr>
          </w:p>
        </w:tc>
        <w:tc>
          <w:tcPr>
            <w:tcW w:w="964" w:type="dxa"/>
            <w:vAlign w:val="center"/>
          </w:tcPr>
          <w:p w14:paraId="1BC22C9D">
            <w:pPr>
              <w:pStyle w:val="14"/>
            </w:pPr>
          </w:p>
        </w:tc>
        <w:tc>
          <w:tcPr>
            <w:tcW w:w="964" w:type="dxa"/>
            <w:vAlign w:val="center"/>
          </w:tcPr>
          <w:p w14:paraId="544D679C">
            <w:pPr>
              <w:pStyle w:val="14"/>
            </w:pPr>
          </w:p>
        </w:tc>
        <w:tc>
          <w:tcPr>
            <w:tcW w:w="964" w:type="dxa"/>
            <w:vAlign w:val="center"/>
          </w:tcPr>
          <w:p w14:paraId="04D1AA09">
            <w:pPr>
              <w:pStyle w:val="14"/>
            </w:pPr>
            <w:r>
              <w:t>5.00</w:t>
            </w:r>
          </w:p>
        </w:tc>
      </w:tr>
      <w:tr w14:paraId="7ECAD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0F69E9">
            <w:pPr>
              <w:pStyle w:val="13"/>
            </w:pPr>
            <w:r>
              <w:t>冀财教[2024]141号/省级/2025年义教补助经费/实验小学公用经费</w:t>
            </w:r>
          </w:p>
        </w:tc>
        <w:tc>
          <w:tcPr>
            <w:tcW w:w="964" w:type="dxa"/>
            <w:vAlign w:val="center"/>
          </w:tcPr>
          <w:p w14:paraId="40198566">
            <w:pPr>
              <w:pStyle w:val="14"/>
            </w:pPr>
            <w:r>
              <w:t>106.56</w:t>
            </w:r>
          </w:p>
        </w:tc>
        <w:tc>
          <w:tcPr>
            <w:tcW w:w="1134" w:type="dxa"/>
            <w:vAlign w:val="center"/>
          </w:tcPr>
          <w:p w14:paraId="38D8D99B">
            <w:pPr>
              <w:pStyle w:val="13"/>
            </w:pPr>
            <w:r>
              <w:t>办公桌</w:t>
            </w:r>
          </w:p>
        </w:tc>
        <w:tc>
          <w:tcPr>
            <w:tcW w:w="1134" w:type="dxa"/>
            <w:vAlign w:val="center"/>
          </w:tcPr>
          <w:p w14:paraId="68C11B67">
            <w:pPr>
              <w:pStyle w:val="13"/>
            </w:pPr>
            <w:r>
              <w:t>A05010201</w:t>
            </w:r>
          </w:p>
        </w:tc>
        <w:tc>
          <w:tcPr>
            <w:tcW w:w="709" w:type="dxa"/>
            <w:vAlign w:val="center"/>
          </w:tcPr>
          <w:p w14:paraId="226E2512">
            <w:pPr>
              <w:pStyle w:val="12"/>
            </w:pPr>
            <w:r>
              <w:t>张</w:t>
            </w:r>
          </w:p>
        </w:tc>
        <w:tc>
          <w:tcPr>
            <w:tcW w:w="850" w:type="dxa"/>
            <w:vAlign w:val="center"/>
          </w:tcPr>
          <w:p w14:paraId="653FD653">
            <w:pPr>
              <w:pStyle w:val="14"/>
            </w:pPr>
            <w:r>
              <w:t>14</w:t>
            </w:r>
          </w:p>
        </w:tc>
        <w:tc>
          <w:tcPr>
            <w:tcW w:w="850" w:type="dxa"/>
            <w:vAlign w:val="center"/>
          </w:tcPr>
          <w:p w14:paraId="1E52E0ED">
            <w:pPr>
              <w:pStyle w:val="14"/>
            </w:pPr>
            <w:r>
              <w:t>0.09</w:t>
            </w:r>
          </w:p>
        </w:tc>
        <w:tc>
          <w:tcPr>
            <w:tcW w:w="964" w:type="dxa"/>
            <w:vAlign w:val="center"/>
          </w:tcPr>
          <w:p w14:paraId="639F0525">
            <w:pPr>
              <w:pStyle w:val="14"/>
            </w:pPr>
            <w:r>
              <w:t>1.20</w:t>
            </w:r>
          </w:p>
        </w:tc>
        <w:tc>
          <w:tcPr>
            <w:tcW w:w="964" w:type="dxa"/>
            <w:vAlign w:val="center"/>
          </w:tcPr>
          <w:p w14:paraId="155BA0D8">
            <w:pPr>
              <w:pStyle w:val="14"/>
            </w:pPr>
            <w:r>
              <w:t>1.20</w:t>
            </w:r>
          </w:p>
        </w:tc>
        <w:tc>
          <w:tcPr>
            <w:tcW w:w="964" w:type="dxa"/>
            <w:vAlign w:val="center"/>
          </w:tcPr>
          <w:p w14:paraId="107BE443">
            <w:pPr>
              <w:pStyle w:val="14"/>
            </w:pPr>
          </w:p>
        </w:tc>
        <w:tc>
          <w:tcPr>
            <w:tcW w:w="964" w:type="dxa"/>
            <w:vAlign w:val="center"/>
          </w:tcPr>
          <w:p w14:paraId="7AA9D6FD">
            <w:pPr>
              <w:pStyle w:val="14"/>
            </w:pPr>
          </w:p>
        </w:tc>
        <w:tc>
          <w:tcPr>
            <w:tcW w:w="964" w:type="dxa"/>
            <w:vAlign w:val="center"/>
          </w:tcPr>
          <w:p w14:paraId="127DF0CA">
            <w:pPr>
              <w:pStyle w:val="14"/>
            </w:pPr>
          </w:p>
        </w:tc>
        <w:tc>
          <w:tcPr>
            <w:tcW w:w="964" w:type="dxa"/>
            <w:vAlign w:val="center"/>
          </w:tcPr>
          <w:p w14:paraId="5D006F63">
            <w:pPr>
              <w:pStyle w:val="14"/>
            </w:pPr>
          </w:p>
        </w:tc>
        <w:tc>
          <w:tcPr>
            <w:tcW w:w="964" w:type="dxa"/>
            <w:vAlign w:val="center"/>
          </w:tcPr>
          <w:p w14:paraId="7B518634">
            <w:pPr>
              <w:pStyle w:val="14"/>
            </w:pPr>
          </w:p>
        </w:tc>
        <w:tc>
          <w:tcPr>
            <w:tcW w:w="964" w:type="dxa"/>
            <w:vAlign w:val="center"/>
          </w:tcPr>
          <w:p w14:paraId="53B0A123">
            <w:pPr>
              <w:pStyle w:val="14"/>
            </w:pPr>
            <w:r>
              <w:t>1.20</w:t>
            </w:r>
          </w:p>
        </w:tc>
      </w:tr>
      <w:tr w14:paraId="7E3F8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2F2AAB8A">
            <w:pPr>
              <w:pStyle w:val="13"/>
            </w:pPr>
            <w:r>
              <w:t>冀财教[2024]141号/省级/2025年义教补助经费/实验小学公用经费</w:t>
            </w:r>
          </w:p>
        </w:tc>
        <w:tc>
          <w:tcPr>
            <w:tcW w:w="964" w:type="dxa"/>
            <w:vAlign w:val="center"/>
          </w:tcPr>
          <w:p w14:paraId="2A60EEDF">
            <w:pPr>
              <w:pStyle w:val="14"/>
            </w:pPr>
            <w:r>
              <w:t>106.56</w:t>
            </w:r>
          </w:p>
        </w:tc>
        <w:tc>
          <w:tcPr>
            <w:tcW w:w="1134" w:type="dxa"/>
            <w:vAlign w:val="center"/>
          </w:tcPr>
          <w:p w14:paraId="2D676376">
            <w:pPr>
              <w:pStyle w:val="13"/>
            </w:pPr>
            <w:r>
              <w:t>文件柜</w:t>
            </w:r>
          </w:p>
        </w:tc>
        <w:tc>
          <w:tcPr>
            <w:tcW w:w="1134" w:type="dxa"/>
            <w:vAlign w:val="center"/>
          </w:tcPr>
          <w:p w14:paraId="7D2DA480">
            <w:pPr>
              <w:pStyle w:val="13"/>
            </w:pPr>
            <w:r>
              <w:t>A05010502</w:t>
            </w:r>
          </w:p>
        </w:tc>
        <w:tc>
          <w:tcPr>
            <w:tcW w:w="709" w:type="dxa"/>
            <w:vAlign w:val="center"/>
          </w:tcPr>
          <w:p w14:paraId="01776A88">
            <w:pPr>
              <w:pStyle w:val="12"/>
            </w:pPr>
            <w:r>
              <w:t>个</w:t>
            </w:r>
          </w:p>
        </w:tc>
        <w:tc>
          <w:tcPr>
            <w:tcW w:w="850" w:type="dxa"/>
            <w:vAlign w:val="center"/>
          </w:tcPr>
          <w:p w14:paraId="39CC73F4">
            <w:pPr>
              <w:pStyle w:val="14"/>
            </w:pPr>
            <w:r>
              <w:t>6</w:t>
            </w:r>
          </w:p>
        </w:tc>
        <w:tc>
          <w:tcPr>
            <w:tcW w:w="850" w:type="dxa"/>
            <w:vAlign w:val="center"/>
          </w:tcPr>
          <w:p w14:paraId="22D10EAA">
            <w:pPr>
              <w:pStyle w:val="14"/>
            </w:pPr>
            <w:r>
              <w:t>0.05</w:t>
            </w:r>
          </w:p>
        </w:tc>
        <w:tc>
          <w:tcPr>
            <w:tcW w:w="964" w:type="dxa"/>
            <w:vAlign w:val="center"/>
          </w:tcPr>
          <w:p w14:paraId="2852F1D2">
            <w:pPr>
              <w:pStyle w:val="14"/>
            </w:pPr>
            <w:r>
              <w:t>0.30</w:t>
            </w:r>
          </w:p>
        </w:tc>
        <w:tc>
          <w:tcPr>
            <w:tcW w:w="964" w:type="dxa"/>
            <w:vAlign w:val="center"/>
          </w:tcPr>
          <w:p w14:paraId="03882813">
            <w:pPr>
              <w:pStyle w:val="14"/>
            </w:pPr>
            <w:r>
              <w:t>0.30</w:t>
            </w:r>
          </w:p>
        </w:tc>
        <w:tc>
          <w:tcPr>
            <w:tcW w:w="964" w:type="dxa"/>
            <w:vAlign w:val="center"/>
          </w:tcPr>
          <w:p w14:paraId="4CC99559">
            <w:pPr>
              <w:pStyle w:val="14"/>
            </w:pPr>
          </w:p>
        </w:tc>
        <w:tc>
          <w:tcPr>
            <w:tcW w:w="964" w:type="dxa"/>
            <w:vAlign w:val="center"/>
          </w:tcPr>
          <w:p w14:paraId="3A717FD1">
            <w:pPr>
              <w:pStyle w:val="14"/>
            </w:pPr>
          </w:p>
        </w:tc>
        <w:tc>
          <w:tcPr>
            <w:tcW w:w="964" w:type="dxa"/>
            <w:vAlign w:val="center"/>
          </w:tcPr>
          <w:p w14:paraId="208653DD">
            <w:pPr>
              <w:pStyle w:val="14"/>
            </w:pPr>
          </w:p>
        </w:tc>
        <w:tc>
          <w:tcPr>
            <w:tcW w:w="964" w:type="dxa"/>
            <w:vAlign w:val="center"/>
          </w:tcPr>
          <w:p w14:paraId="1FC5BE63">
            <w:pPr>
              <w:pStyle w:val="14"/>
            </w:pPr>
          </w:p>
        </w:tc>
        <w:tc>
          <w:tcPr>
            <w:tcW w:w="964" w:type="dxa"/>
            <w:vAlign w:val="center"/>
          </w:tcPr>
          <w:p w14:paraId="4C144CC4">
            <w:pPr>
              <w:pStyle w:val="14"/>
            </w:pPr>
          </w:p>
        </w:tc>
        <w:tc>
          <w:tcPr>
            <w:tcW w:w="964" w:type="dxa"/>
            <w:vAlign w:val="center"/>
          </w:tcPr>
          <w:p w14:paraId="45A62C9E">
            <w:pPr>
              <w:pStyle w:val="14"/>
            </w:pPr>
            <w:r>
              <w:t>0.30</w:t>
            </w:r>
          </w:p>
        </w:tc>
      </w:tr>
    </w:tbl>
    <w:p w14:paraId="4CE70FC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B07C10">
      <w:pPr>
        <w:spacing w:before="0" w:after="0"/>
        <w:ind w:firstLine="640"/>
        <w:jc w:val="left"/>
        <w:outlineLvl w:val="9"/>
      </w:pPr>
      <w:r>
        <w:rPr>
          <w:rFonts w:ascii="Times New Roman" w:hAnsi="Times New Roman" w:eastAsia="方正仿宋_GBK" w:cs="Times New Roman"/>
          <w:color w:val="000000"/>
          <w:sz w:val="32"/>
        </w:rPr>
        <w:t xml:space="preserve"> </w:t>
      </w:r>
    </w:p>
    <w:p w14:paraId="42B4FD48">
      <w:pPr>
        <w:spacing w:before="10" w:after="10" w:line="240" w:lineRule="auto"/>
        <w:ind w:firstLine="640"/>
        <w:jc w:val="left"/>
        <w:outlineLvl w:val="5"/>
      </w:pPr>
      <w:r>
        <w:rPr>
          <w:rFonts w:ascii="黑体" w:hAnsi="黑体" w:eastAsia="黑体" w:cs="黑体"/>
          <w:color w:val="000000"/>
          <w:sz w:val="32"/>
        </w:rPr>
        <w:t>七、国有资产信息</w:t>
      </w:r>
    </w:p>
    <w:p w14:paraId="5ACC5EC9">
      <w:pPr>
        <w:spacing w:before="0" w:after="0" w:line="500" w:lineRule="exact"/>
        <w:ind w:firstLine="560"/>
        <w:jc w:val="left"/>
        <w:outlineLvl w:val="9"/>
      </w:pPr>
      <w:r>
        <w:rPr>
          <w:rFonts w:ascii="Times New Roman" w:hAnsi="Times New Roman" w:eastAsia="方正仿宋_GBK" w:cs="Times New Roman"/>
          <w:b w:val="0"/>
          <w:color w:val="000000"/>
          <w:sz w:val="28"/>
        </w:rPr>
        <w:t>隆尧县实验小学上年末固定资产金额为1892.37万元（详见下表）。本年度拟购置固定资产总额为45.15万元，已按要求列入政府采购预算，详见政府采购预算表。</w:t>
      </w:r>
    </w:p>
    <w:p w14:paraId="72CCA9B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EF35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1520504">
            <w:pPr>
              <w:pStyle w:val="8"/>
            </w:pPr>
            <w:r>
              <w:t>360013隆尧县实验小学</w:t>
            </w:r>
          </w:p>
        </w:tc>
        <w:tc>
          <w:tcPr>
            <w:tcW w:w="5670" w:type="dxa"/>
            <w:gridSpan w:val="2"/>
            <w:tcBorders>
              <w:top w:val="single" w:color="FFFFFF" w:sz="6" w:space="0"/>
              <w:left w:val="single" w:color="FFFFFF" w:sz="6" w:space="0"/>
              <w:right w:val="single" w:color="FFFFFF" w:sz="6" w:space="0"/>
            </w:tcBorders>
            <w:vAlign w:val="center"/>
          </w:tcPr>
          <w:p w14:paraId="5CEE90AE">
            <w:pPr>
              <w:pStyle w:val="10"/>
            </w:pPr>
            <w:r>
              <w:t>截止时间：2024-12-31</w:t>
            </w:r>
          </w:p>
        </w:tc>
      </w:tr>
      <w:tr w14:paraId="191FE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610B9AD">
            <w:pPr>
              <w:pStyle w:val="11"/>
            </w:pPr>
            <w:r>
              <w:t>项   目</w:t>
            </w:r>
          </w:p>
        </w:tc>
        <w:tc>
          <w:tcPr>
            <w:tcW w:w="2835" w:type="dxa"/>
            <w:vAlign w:val="center"/>
          </w:tcPr>
          <w:p w14:paraId="6A586310">
            <w:pPr>
              <w:pStyle w:val="11"/>
            </w:pPr>
            <w:r>
              <w:t>数量</w:t>
            </w:r>
          </w:p>
        </w:tc>
        <w:tc>
          <w:tcPr>
            <w:tcW w:w="2835" w:type="dxa"/>
            <w:vAlign w:val="center"/>
          </w:tcPr>
          <w:p w14:paraId="10F50D98">
            <w:pPr>
              <w:pStyle w:val="11"/>
            </w:pPr>
            <w:r>
              <w:t>价值（金额单位：万元）</w:t>
            </w:r>
          </w:p>
        </w:tc>
      </w:tr>
      <w:tr w14:paraId="614A6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CA0DE9">
            <w:pPr>
              <w:pStyle w:val="13"/>
            </w:pPr>
            <w:r>
              <w:t>资产总额</w:t>
            </w:r>
          </w:p>
        </w:tc>
        <w:tc>
          <w:tcPr>
            <w:tcW w:w="2835" w:type="dxa"/>
            <w:vAlign w:val="center"/>
          </w:tcPr>
          <w:p w14:paraId="14DCA263">
            <w:pPr>
              <w:pStyle w:val="12"/>
            </w:pPr>
          </w:p>
        </w:tc>
        <w:tc>
          <w:tcPr>
            <w:tcW w:w="2835" w:type="dxa"/>
            <w:vAlign w:val="center"/>
          </w:tcPr>
          <w:p w14:paraId="44079B81">
            <w:pPr>
              <w:pStyle w:val="14"/>
            </w:pPr>
            <w:r>
              <w:t>1892.37</w:t>
            </w:r>
          </w:p>
        </w:tc>
      </w:tr>
      <w:tr w14:paraId="53F78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505B4D">
            <w:pPr>
              <w:pStyle w:val="13"/>
            </w:pPr>
            <w:r>
              <w:t>1、房屋（平方米）</w:t>
            </w:r>
          </w:p>
        </w:tc>
        <w:tc>
          <w:tcPr>
            <w:tcW w:w="2835" w:type="dxa"/>
            <w:vAlign w:val="center"/>
          </w:tcPr>
          <w:p w14:paraId="54E1625D">
            <w:pPr>
              <w:pStyle w:val="12"/>
            </w:pPr>
            <w:r>
              <w:t>12653.70</w:t>
            </w:r>
          </w:p>
        </w:tc>
        <w:tc>
          <w:tcPr>
            <w:tcW w:w="2835" w:type="dxa"/>
            <w:vAlign w:val="center"/>
          </w:tcPr>
          <w:p w14:paraId="6B24B532">
            <w:pPr>
              <w:pStyle w:val="14"/>
            </w:pPr>
            <w:r>
              <w:t>1081.60</w:t>
            </w:r>
          </w:p>
        </w:tc>
      </w:tr>
      <w:tr w14:paraId="36793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D7B340">
            <w:pPr>
              <w:pStyle w:val="13"/>
            </w:pPr>
            <w:r>
              <w:t>　　其中：办公用房（平方米）</w:t>
            </w:r>
          </w:p>
        </w:tc>
        <w:tc>
          <w:tcPr>
            <w:tcW w:w="2835" w:type="dxa"/>
            <w:vAlign w:val="center"/>
          </w:tcPr>
          <w:p w14:paraId="53034AAF">
            <w:pPr>
              <w:pStyle w:val="12"/>
            </w:pPr>
            <w:r>
              <w:t>10526.28</w:t>
            </w:r>
          </w:p>
        </w:tc>
        <w:tc>
          <w:tcPr>
            <w:tcW w:w="2835" w:type="dxa"/>
            <w:vAlign w:val="center"/>
          </w:tcPr>
          <w:p w14:paraId="681091E4">
            <w:pPr>
              <w:pStyle w:val="14"/>
            </w:pPr>
            <w:r>
              <w:t>899.25</w:t>
            </w:r>
          </w:p>
        </w:tc>
      </w:tr>
      <w:tr w14:paraId="74C8A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40A614">
            <w:pPr>
              <w:pStyle w:val="13"/>
            </w:pPr>
            <w:r>
              <w:t>2、车辆（台、辆）</w:t>
            </w:r>
          </w:p>
        </w:tc>
        <w:tc>
          <w:tcPr>
            <w:tcW w:w="2835" w:type="dxa"/>
            <w:vAlign w:val="center"/>
          </w:tcPr>
          <w:p w14:paraId="21DBCD56">
            <w:pPr>
              <w:pStyle w:val="12"/>
            </w:pPr>
          </w:p>
        </w:tc>
        <w:tc>
          <w:tcPr>
            <w:tcW w:w="2835" w:type="dxa"/>
            <w:vAlign w:val="center"/>
          </w:tcPr>
          <w:p w14:paraId="5F87414F">
            <w:pPr>
              <w:pStyle w:val="14"/>
            </w:pPr>
          </w:p>
        </w:tc>
      </w:tr>
      <w:tr w14:paraId="64FCF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DA3055">
            <w:pPr>
              <w:pStyle w:val="13"/>
            </w:pPr>
            <w:r>
              <w:t>3、单价在20万元以上的设备</w:t>
            </w:r>
          </w:p>
        </w:tc>
        <w:tc>
          <w:tcPr>
            <w:tcW w:w="2835" w:type="dxa"/>
            <w:vAlign w:val="center"/>
          </w:tcPr>
          <w:p w14:paraId="3283C83A">
            <w:pPr>
              <w:pStyle w:val="12"/>
            </w:pPr>
          </w:p>
        </w:tc>
        <w:tc>
          <w:tcPr>
            <w:tcW w:w="2835" w:type="dxa"/>
            <w:vAlign w:val="center"/>
          </w:tcPr>
          <w:p w14:paraId="2154C595">
            <w:pPr>
              <w:pStyle w:val="14"/>
            </w:pPr>
          </w:p>
        </w:tc>
      </w:tr>
      <w:tr w14:paraId="60EEE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16520D">
            <w:pPr>
              <w:pStyle w:val="13"/>
            </w:pPr>
            <w:r>
              <w:t>4、其他固定资产</w:t>
            </w:r>
          </w:p>
        </w:tc>
        <w:tc>
          <w:tcPr>
            <w:tcW w:w="2835" w:type="dxa"/>
            <w:vAlign w:val="center"/>
          </w:tcPr>
          <w:p w14:paraId="1995F6A5">
            <w:pPr>
              <w:pStyle w:val="12"/>
            </w:pPr>
            <w:r>
              <w:t>49387</w:t>
            </w:r>
          </w:p>
        </w:tc>
        <w:tc>
          <w:tcPr>
            <w:tcW w:w="2835" w:type="dxa"/>
            <w:vAlign w:val="center"/>
          </w:tcPr>
          <w:p w14:paraId="4542A895">
            <w:pPr>
              <w:pStyle w:val="14"/>
            </w:pPr>
            <w:r>
              <w:t>810.77</w:t>
            </w:r>
          </w:p>
        </w:tc>
      </w:tr>
    </w:tbl>
    <w:p w14:paraId="34386509">
      <w:pPr>
        <w:spacing w:before="0" w:after="0"/>
        <w:ind w:firstLine="640"/>
        <w:jc w:val="left"/>
        <w:outlineLvl w:val="9"/>
      </w:pPr>
      <w:r>
        <w:rPr>
          <w:rFonts w:ascii="Times New Roman" w:hAnsi="Times New Roman" w:eastAsia="方正仿宋_GBK" w:cs="Times New Roman"/>
          <w:color w:val="000000"/>
          <w:sz w:val="32"/>
        </w:rPr>
        <w:t xml:space="preserve"> </w:t>
      </w:r>
    </w:p>
    <w:p w14:paraId="4876543C">
      <w:pPr>
        <w:spacing w:before="10" w:after="10" w:line="240" w:lineRule="auto"/>
        <w:ind w:firstLine="640"/>
        <w:jc w:val="left"/>
        <w:outlineLvl w:val="5"/>
      </w:pPr>
      <w:r>
        <w:rPr>
          <w:rFonts w:ascii="黑体" w:hAnsi="黑体" w:eastAsia="黑体" w:cs="黑体"/>
          <w:color w:val="000000"/>
          <w:sz w:val="32"/>
        </w:rPr>
        <w:t>八、名词解释</w:t>
      </w:r>
    </w:p>
    <w:p w14:paraId="27ED8DA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66CE1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4FA95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C7B57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18CEEF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B1002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983E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33376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60A6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BB2CC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CD8A2B">
      <w:pPr>
        <w:spacing w:before="10" w:after="10" w:line="240" w:lineRule="auto"/>
        <w:ind w:firstLine="640"/>
        <w:jc w:val="left"/>
        <w:outlineLvl w:val="5"/>
      </w:pPr>
      <w:r>
        <w:rPr>
          <w:rFonts w:ascii="黑体" w:hAnsi="黑体" w:eastAsia="黑体" w:cs="黑体"/>
          <w:color w:val="000000"/>
          <w:sz w:val="32"/>
        </w:rPr>
        <w:t>九、其他需要说明的事项</w:t>
      </w:r>
    </w:p>
    <w:p w14:paraId="271475B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6A5C6FF">
      <w:pPr>
        <w:spacing w:before="0" w:after="0"/>
        <w:ind w:firstLine="0"/>
        <w:jc w:val="center"/>
        <w:outlineLvl w:val="3"/>
      </w:pPr>
      <w:bookmarkStart w:id="13" w:name="_Toc_4_4_0000000033"/>
      <w:r>
        <w:rPr>
          <w:rFonts w:ascii="方正小标宋_GBK" w:hAnsi="方正小标宋_GBK" w:eastAsia="方正小标宋_GBK" w:cs="方正小标宋_GBK"/>
          <w:b w:val="0"/>
          <w:color w:val="000000"/>
          <w:sz w:val="44"/>
        </w:rPr>
        <w:t>十三、隆尧县县直幼儿园收支预算</w:t>
      </w:r>
      <w:bookmarkEnd w:id="13"/>
    </w:p>
    <w:p w14:paraId="70B53B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24DA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80B778">
            <w:pPr>
              <w:pStyle w:val="8"/>
            </w:pPr>
            <w:r>
              <w:t>360014隆尧县县直幼儿园</w:t>
            </w:r>
          </w:p>
        </w:tc>
        <w:tc>
          <w:tcPr>
            <w:tcW w:w="2126" w:type="dxa"/>
            <w:tcBorders>
              <w:top w:val="single" w:color="FFFFFF" w:sz="6" w:space="0"/>
              <w:left w:val="single" w:color="FFFFFF" w:sz="6" w:space="0"/>
              <w:right w:val="single" w:color="FFFFFF" w:sz="6" w:space="0"/>
            </w:tcBorders>
            <w:vAlign w:val="center"/>
          </w:tcPr>
          <w:p w14:paraId="52AB0FF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297BD83">
            <w:pPr>
              <w:pStyle w:val="10"/>
            </w:pPr>
            <w:r>
              <w:t>单位：万元</w:t>
            </w:r>
          </w:p>
        </w:tc>
      </w:tr>
      <w:tr w14:paraId="51EB6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C1F82F">
            <w:pPr>
              <w:pStyle w:val="11"/>
            </w:pPr>
            <w:r>
              <w:t>序号</w:t>
            </w:r>
          </w:p>
        </w:tc>
        <w:tc>
          <w:tcPr>
            <w:tcW w:w="6661" w:type="dxa"/>
            <w:gridSpan w:val="2"/>
            <w:vAlign w:val="center"/>
          </w:tcPr>
          <w:p w14:paraId="428EE7FB">
            <w:pPr>
              <w:pStyle w:val="11"/>
            </w:pPr>
            <w:r>
              <w:t>收入</w:t>
            </w:r>
          </w:p>
        </w:tc>
        <w:tc>
          <w:tcPr>
            <w:tcW w:w="6661" w:type="dxa"/>
            <w:gridSpan w:val="2"/>
            <w:vAlign w:val="center"/>
          </w:tcPr>
          <w:p w14:paraId="6FD78755">
            <w:pPr>
              <w:pStyle w:val="11"/>
            </w:pPr>
            <w:r>
              <w:t>支出</w:t>
            </w:r>
          </w:p>
        </w:tc>
      </w:tr>
      <w:tr w14:paraId="1C418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453CAD"/>
        </w:tc>
        <w:tc>
          <w:tcPr>
            <w:tcW w:w="4535" w:type="dxa"/>
            <w:vAlign w:val="center"/>
          </w:tcPr>
          <w:p w14:paraId="36E43C94">
            <w:pPr>
              <w:pStyle w:val="11"/>
            </w:pPr>
            <w:r>
              <w:t>项  目</w:t>
            </w:r>
          </w:p>
        </w:tc>
        <w:tc>
          <w:tcPr>
            <w:tcW w:w="2126" w:type="dxa"/>
            <w:vAlign w:val="center"/>
          </w:tcPr>
          <w:p w14:paraId="5126B02A">
            <w:pPr>
              <w:pStyle w:val="11"/>
            </w:pPr>
            <w:r>
              <w:t>预算数</w:t>
            </w:r>
          </w:p>
        </w:tc>
        <w:tc>
          <w:tcPr>
            <w:tcW w:w="4535" w:type="dxa"/>
            <w:vAlign w:val="center"/>
          </w:tcPr>
          <w:p w14:paraId="477074A4">
            <w:pPr>
              <w:pStyle w:val="11"/>
            </w:pPr>
            <w:r>
              <w:t>项  目</w:t>
            </w:r>
          </w:p>
        </w:tc>
        <w:tc>
          <w:tcPr>
            <w:tcW w:w="2126" w:type="dxa"/>
            <w:vAlign w:val="center"/>
          </w:tcPr>
          <w:p w14:paraId="1FDE2331">
            <w:pPr>
              <w:pStyle w:val="11"/>
            </w:pPr>
            <w:r>
              <w:t>预算数</w:t>
            </w:r>
          </w:p>
        </w:tc>
      </w:tr>
      <w:tr w14:paraId="432E3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5A53C8">
            <w:pPr>
              <w:pStyle w:val="11"/>
            </w:pPr>
            <w:r>
              <w:t>栏次</w:t>
            </w:r>
          </w:p>
        </w:tc>
        <w:tc>
          <w:tcPr>
            <w:tcW w:w="4535" w:type="dxa"/>
            <w:vAlign w:val="center"/>
          </w:tcPr>
          <w:p w14:paraId="1DB560CF">
            <w:pPr>
              <w:pStyle w:val="11"/>
            </w:pPr>
            <w:r>
              <w:t>1</w:t>
            </w:r>
          </w:p>
        </w:tc>
        <w:tc>
          <w:tcPr>
            <w:tcW w:w="2126" w:type="dxa"/>
            <w:vAlign w:val="center"/>
          </w:tcPr>
          <w:p w14:paraId="1C353DFC">
            <w:pPr>
              <w:pStyle w:val="11"/>
            </w:pPr>
            <w:r>
              <w:t>2</w:t>
            </w:r>
          </w:p>
        </w:tc>
        <w:tc>
          <w:tcPr>
            <w:tcW w:w="4535" w:type="dxa"/>
            <w:vAlign w:val="center"/>
          </w:tcPr>
          <w:p w14:paraId="3CF88009">
            <w:pPr>
              <w:pStyle w:val="11"/>
            </w:pPr>
            <w:r>
              <w:t>3</w:t>
            </w:r>
          </w:p>
        </w:tc>
        <w:tc>
          <w:tcPr>
            <w:tcW w:w="2126" w:type="dxa"/>
            <w:vAlign w:val="center"/>
          </w:tcPr>
          <w:p w14:paraId="7C249DBA">
            <w:pPr>
              <w:pStyle w:val="11"/>
            </w:pPr>
            <w:r>
              <w:t>4</w:t>
            </w:r>
          </w:p>
        </w:tc>
      </w:tr>
      <w:tr w14:paraId="0AC61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F8762">
            <w:pPr>
              <w:pStyle w:val="12"/>
            </w:pPr>
            <w:r>
              <w:t>1</w:t>
            </w:r>
          </w:p>
        </w:tc>
        <w:tc>
          <w:tcPr>
            <w:tcW w:w="4535" w:type="dxa"/>
            <w:vAlign w:val="center"/>
          </w:tcPr>
          <w:p w14:paraId="73E39A7E">
            <w:pPr>
              <w:pStyle w:val="13"/>
            </w:pPr>
            <w:r>
              <w:t>一、一般公共预算拨款收入</w:t>
            </w:r>
          </w:p>
        </w:tc>
        <w:tc>
          <w:tcPr>
            <w:tcW w:w="2126" w:type="dxa"/>
            <w:vAlign w:val="center"/>
          </w:tcPr>
          <w:p w14:paraId="4C3BD220">
            <w:pPr>
              <w:pStyle w:val="14"/>
            </w:pPr>
            <w:r>
              <w:t>226.80</w:t>
            </w:r>
          </w:p>
        </w:tc>
        <w:tc>
          <w:tcPr>
            <w:tcW w:w="4535" w:type="dxa"/>
            <w:vAlign w:val="center"/>
          </w:tcPr>
          <w:p w14:paraId="2BFB9F9A">
            <w:pPr>
              <w:pStyle w:val="13"/>
            </w:pPr>
            <w:r>
              <w:t>一、一般公共服务支出</w:t>
            </w:r>
          </w:p>
        </w:tc>
        <w:tc>
          <w:tcPr>
            <w:tcW w:w="2126" w:type="dxa"/>
            <w:vAlign w:val="center"/>
          </w:tcPr>
          <w:p w14:paraId="177B9CFB">
            <w:pPr>
              <w:pStyle w:val="14"/>
            </w:pPr>
          </w:p>
        </w:tc>
      </w:tr>
      <w:tr w14:paraId="19D4A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4F18B">
            <w:pPr>
              <w:pStyle w:val="12"/>
            </w:pPr>
            <w:r>
              <w:t>2</w:t>
            </w:r>
          </w:p>
        </w:tc>
        <w:tc>
          <w:tcPr>
            <w:tcW w:w="4535" w:type="dxa"/>
            <w:vAlign w:val="center"/>
          </w:tcPr>
          <w:p w14:paraId="562FEB7A">
            <w:pPr>
              <w:pStyle w:val="13"/>
            </w:pPr>
            <w:r>
              <w:t>二、政府性基金预算拨款收入</w:t>
            </w:r>
          </w:p>
        </w:tc>
        <w:tc>
          <w:tcPr>
            <w:tcW w:w="2126" w:type="dxa"/>
            <w:vAlign w:val="center"/>
          </w:tcPr>
          <w:p w14:paraId="66D6C704">
            <w:pPr>
              <w:pStyle w:val="14"/>
            </w:pPr>
          </w:p>
        </w:tc>
        <w:tc>
          <w:tcPr>
            <w:tcW w:w="4535" w:type="dxa"/>
            <w:vAlign w:val="center"/>
          </w:tcPr>
          <w:p w14:paraId="3C998376">
            <w:pPr>
              <w:pStyle w:val="13"/>
            </w:pPr>
            <w:r>
              <w:t>二、外交支出</w:t>
            </w:r>
          </w:p>
        </w:tc>
        <w:tc>
          <w:tcPr>
            <w:tcW w:w="2126" w:type="dxa"/>
            <w:vAlign w:val="center"/>
          </w:tcPr>
          <w:p w14:paraId="2C77911A">
            <w:pPr>
              <w:pStyle w:val="14"/>
            </w:pPr>
          </w:p>
        </w:tc>
      </w:tr>
      <w:tr w14:paraId="1F5CA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EBC7B">
            <w:pPr>
              <w:pStyle w:val="12"/>
            </w:pPr>
            <w:r>
              <w:t>3</w:t>
            </w:r>
          </w:p>
        </w:tc>
        <w:tc>
          <w:tcPr>
            <w:tcW w:w="4535" w:type="dxa"/>
            <w:vAlign w:val="center"/>
          </w:tcPr>
          <w:p w14:paraId="53FF71CC">
            <w:pPr>
              <w:pStyle w:val="13"/>
            </w:pPr>
            <w:r>
              <w:t>三、国有资本经营预算拨款收入</w:t>
            </w:r>
          </w:p>
        </w:tc>
        <w:tc>
          <w:tcPr>
            <w:tcW w:w="2126" w:type="dxa"/>
            <w:vAlign w:val="center"/>
          </w:tcPr>
          <w:p w14:paraId="3497949D">
            <w:pPr>
              <w:pStyle w:val="14"/>
            </w:pPr>
          </w:p>
        </w:tc>
        <w:tc>
          <w:tcPr>
            <w:tcW w:w="4535" w:type="dxa"/>
            <w:vAlign w:val="center"/>
          </w:tcPr>
          <w:p w14:paraId="0109DF88">
            <w:pPr>
              <w:pStyle w:val="13"/>
            </w:pPr>
            <w:r>
              <w:t>三、国防支出</w:t>
            </w:r>
          </w:p>
        </w:tc>
        <w:tc>
          <w:tcPr>
            <w:tcW w:w="2126" w:type="dxa"/>
            <w:vAlign w:val="center"/>
          </w:tcPr>
          <w:p w14:paraId="5F11E28D">
            <w:pPr>
              <w:pStyle w:val="14"/>
            </w:pPr>
          </w:p>
        </w:tc>
      </w:tr>
      <w:tr w14:paraId="47EC7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182E3">
            <w:pPr>
              <w:pStyle w:val="12"/>
            </w:pPr>
            <w:r>
              <w:t>4</w:t>
            </w:r>
          </w:p>
        </w:tc>
        <w:tc>
          <w:tcPr>
            <w:tcW w:w="4535" w:type="dxa"/>
            <w:vAlign w:val="center"/>
          </w:tcPr>
          <w:p w14:paraId="5805F6BF">
            <w:pPr>
              <w:pStyle w:val="13"/>
            </w:pPr>
            <w:r>
              <w:t>四、财政专户管理资金收入</w:t>
            </w:r>
          </w:p>
        </w:tc>
        <w:tc>
          <w:tcPr>
            <w:tcW w:w="2126" w:type="dxa"/>
            <w:vAlign w:val="center"/>
          </w:tcPr>
          <w:p w14:paraId="77ABFFC3">
            <w:pPr>
              <w:pStyle w:val="14"/>
            </w:pPr>
          </w:p>
        </w:tc>
        <w:tc>
          <w:tcPr>
            <w:tcW w:w="4535" w:type="dxa"/>
            <w:vAlign w:val="center"/>
          </w:tcPr>
          <w:p w14:paraId="7B3E4FBC">
            <w:pPr>
              <w:pStyle w:val="13"/>
            </w:pPr>
            <w:r>
              <w:t>四、公共安全支出</w:t>
            </w:r>
          </w:p>
        </w:tc>
        <w:tc>
          <w:tcPr>
            <w:tcW w:w="2126" w:type="dxa"/>
            <w:vAlign w:val="center"/>
          </w:tcPr>
          <w:p w14:paraId="700859B9">
            <w:pPr>
              <w:pStyle w:val="14"/>
            </w:pPr>
          </w:p>
        </w:tc>
      </w:tr>
      <w:tr w14:paraId="43E07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73ACD">
            <w:pPr>
              <w:pStyle w:val="12"/>
            </w:pPr>
            <w:r>
              <w:t>5</w:t>
            </w:r>
          </w:p>
        </w:tc>
        <w:tc>
          <w:tcPr>
            <w:tcW w:w="4535" w:type="dxa"/>
            <w:vAlign w:val="center"/>
          </w:tcPr>
          <w:p w14:paraId="3406F583">
            <w:pPr>
              <w:pStyle w:val="13"/>
            </w:pPr>
            <w:r>
              <w:t>五、单位资金</w:t>
            </w:r>
          </w:p>
        </w:tc>
        <w:tc>
          <w:tcPr>
            <w:tcW w:w="2126" w:type="dxa"/>
            <w:vAlign w:val="center"/>
          </w:tcPr>
          <w:p w14:paraId="31CBD9D5">
            <w:pPr>
              <w:pStyle w:val="14"/>
            </w:pPr>
          </w:p>
        </w:tc>
        <w:tc>
          <w:tcPr>
            <w:tcW w:w="4535" w:type="dxa"/>
            <w:vAlign w:val="center"/>
          </w:tcPr>
          <w:p w14:paraId="03F507C2">
            <w:pPr>
              <w:pStyle w:val="13"/>
            </w:pPr>
            <w:r>
              <w:t>五、教育支出</w:t>
            </w:r>
          </w:p>
        </w:tc>
        <w:tc>
          <w:tcPr>
            <w:tcW w:w="2126" w:type="dxa"/>
            <w:vAlign w:val="center"/>
          </w:tcPr>
          <w:p w14:paraId="049FB9BA">
            <w:pPr>
              <w:pStyle w:val="14"/>
            </w:pPr>
            <w:r>
              <w:t>226.80</w:t>
            </w:r>
          </w:p>
        </w:tc>
      </w:tr>
      <w:tr w14:paraId="42E19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EFEB3">
            <w:pPr>
              <w:pStyle w:val="12"/>
            </w:pPr>
            <w:r>
              <w:t>6</w:t>
            </w:r>
          </w:p>
        </w:tc>
        <w:tc>
          <w:tcPr>
            <w:tcW w:w="4535" w:type="dxa"/>
            <w:vAlign w:val="center"/>
          </w:tcPr>
          <w:p w14:paraId="0ED5753F">
            <w:pPr>
              <w:pStyle w:val="13"/>
            </w:pPr>
          </w:p>
        </w:tc>
        <w:tc>
          <w:tcPr>
            <w:tcW w:w="2126" w:type="dxa"/>
            <w:vAlign w:val="center"/>
          </w:tcPr>
          <w:p w14:paraId="0B6D09FE">
            <w:pPr>
              <w:pStyle w:val="14"/>
            </w:pPr>
          </w:p>
        </w:tc>
        <w:tc>
          <w:tcPr>
            <w:tcW w:w="4535" w:type="dxa"/>
            <w:vAlign w:val="center"/>
          </w:tcPr>
          <w:p w14:paraId="62F09EA2">
            <w:pPr>
              <w:pStyle w:val="13"/>
            </w:pPr>
            <w:r>
              <w:t>六、科学技术支出</w:t>
            </w:r>
          </w:p>
        </w:tc>
        <w:tc>
          <w:tcPr>
            <w:tcW w:w="2126" w:type="dxa"/>
            <w:vAlign w:val="center"/>
          </w:tcPr>
          <w:p w14:paraId="340259EE">
            <w:pPr>
              <w:pStyle w:val="14"/>
            </w:pPr>
          </w:p>
        </w:tc>
      </w:tr>
      <w:tr w14:paraId="7EF6E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FD4AF">
            <w:pPr>
              <w:pStyle w:val="12"/>
            </w:pPr>
            <w:r>
              <w:t>7</w:t>
            </w:r>
          </w:p>
        </w:tc>
        <w:tc>
          <w:tcPr>
            <w:tcW w:w="4535" w:type="dxa"/>
            <w:vAlign w:val="center"/>
          </w:tcPr>
          <w:p w14:paraId="3FB7FF13">
            <w:pPr>
              <w:pStyle w:val="13"/>
            </w:pPr>
          </w:p>
        </w:tc>
        <w:tc>
          <w:tcPr>
            <w:tcW w:w="2126" w:type="dxa"/>
            <w:vAlign w:val="center"/>
          </w:tcPr>
          <w:p w14:paraId="1658CD52">
            <w:pPr>
              <w:pStyle w:val="14"/>
            </w:pPr>
          </w:p>
        </w:tc>
        <w:tc>
          <w:tcPr>
            <w:tcW w:w="4535" w:type="dxa"/>
            <w:vAlign w:val="center"/>
          </w:tcPr>
          <w:p w14:paraId="21BC9E15">
            <w:pPr>
              <w:pStyle w:val="13"/>
            </w:pPr>
            <w:r>
              <w:t>七、文化旅游体育与传媒支出</w:t>
            </w:r>
          </w:p>
        </w:tc>
        <w:tc>
          <w:tcPr>
            <w:tcW w:w="2126" w:type="dxa"/>
            <w:vAlign w:val="center"/>
          </w:tcPr>
          <w:p w14:paraId="3FC527F4">
            <w:pPr>
              <w:pStyle w:val="14"/>
            </w:pPr>
          </w:p>
        </w:tc>
      </w:tr>
      <w:tr w14:paraId="5A955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970FB">
            <w:pPr>
              <w:pStyle w:val="12"/>
            </w:pPr>
            <w:r>
              <w:t>8</w:t>
            </w:r>
          </w:p>
        </w:tc>
        <w:tc>
          <w:tcPr>
            <w:tcW w:w="4535" w:type="dxa"/>
            <w:vAlign w:val="center"/>
          </w:tcPr>
          <w:p w14:paraId="4B38CE75">
            <w:pPr>
              <w:pStyle w:val="13"/>
            </w:pPr>
          </w:p>
        </w:tc>
        <w:tc>
          <w:tcPr>
            <w:tcW w:w="2126" w:type="dxa"/>
            <w:vAlign w:val="center"/>
          </w:tcPr>
          <w:p w14:paraId="58FE6026">
            <w:pPr>
              <w:pStyle w:val="14"/>
            </w:pPr>
          </w:p>
        </w:tc>
        <w:tc>
          <w:tcPr>
            <w:tcW w:w="4535" w:type="dxa"/>
            <w:vAlign w:val="center"/>
          </w:tcPr>
          <w:p w14:paraId="6CDA3AC6">
            <w:pPr>
              <w:pStyle w:val="13"/>
            </w:pPr>
            <w:r>
              <w:t>八、社会保障和就业支出</w:t>
            </w:r>
          </w:p>
        </w:tc>
        <w:tc>
          <w:tcPr>
            <w:tcW w:w="2126" w:type="dxa"/>
            <w:vAlign w:val="center"/>
          </w:tcPr>
          <w:p w14:paraId="0D915ED1">
            <w:pPr>
              <w:pStyle w:val="14"/>
            </w:pPr>
          </w:p>
        </w:tc>
      </w:tr>
      <w:tr w14:paraId="6F5C3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30676">
            <w:pPr>
              <w:pStyle w:val="12"/>
            </w:pPr>
            <w:r>
              <w:t>9</w:t>
            </w:r>
          </w:p>
        </w:tc>
        <w:tc>
          <w:tcPr>
            <w:tcW w:w="4535" w:type="dxa"/>
            <w:vAlign w:val="center"/>
          </w:tcPr>
          <w:p w14:paraId="5EF5494D">
            <w:pPr>
              <w:pStyle w:val="13"/>
            </w:pPr>
          </w:p>
        </w:tc>
        <w:tc>
          <w:tcPr>
            <w:tcW w:w="2126" w:type="dxa"/>
            <w:vAlign w:val="center"/>
          </w:tcPr>
          <w:p w14:paraId="04D2CCB8">
            <w:pPr>
              <w:pStyle w:val="14"/>
            </w:pPr>
          </w:p>
        </w:tc>
        <w:tc>
          <w:tcPr>
            <w:tcW w:w="4535" w:type="dxa"/>
            <w:vAlign w:val="center"/>
          </w:tcPr>
          <w:p w14:paraId="4D066A54">
            <w:pPr>
              <w:pStyle w:val="13"/>
            </w:pPr>
            <w:r>
              <w:t>九、社会保险基金支出</w:t>
            </w:r>
          </w:p>
        </w:tc>
        <w:tc>
          <w:tcPr>
            <w:tcW w:w="2126" w:type="dxa"/>
            <w:vAlign w:val="center"/>
          </w:tcPr>
          <w:p w14:paraId="1579EAB8">
            <w:pPr>
              <w:pStyle w:val="14"/>
            </w:pPr>
          </w:p>
        </w:tc>
      </w:tr>
      <w:tr w14:paraId="1A9FE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BBDBA8C">
            <w:pPr>
              <w:pStyle w:val="12"/>
            </w:pPr>
            <w:r>
              <w:t>10</w:t>
            </w:r>
          </w:p>
        </w:tc>
        <w:tc>
          <w:tcPr>
            <w:tcW w:w="4535" w:type="dxa"/>
            <w:vAlign w:val="center"/>
          </w:tcPr>
          <w:p w14:paraId="7F0A6BFE">
            <w:pPr>
              <w:pStyle w:val="13"/>
            </w:pPr>
          </w:p>
        </w:tc>
        <w:tc>
          <w:tcPr>
            <w:tcW w:w="2126" w:type="dxa"/>
            <w:vAlign w:val="center"/>
          </w:tcPr>
          <w:p w14:paraId="040C10D1">
            <w:pPr>
              <w:pStyle w:val="14"/>
            </w:pPr>
          </w:p>
        </w:tc>
        <w:tc>
          <w:tcPr>
            <w:tcW w:w="4535" w:type="dxa"/>
            <w:vAlign w:val="center"/>
          </w:tcPr>
          <w:p w14:paraId="544BE969">
            <w:pPr>
              <w:pStyle w:val="13"/>
            </w:pPr>
            <w:r>
              <w:t>十、卫生健康支出</w:t>
            </w:r>
          </w:p>
        </w:tc>
        <w:tc>
          <w:tcPr>
            <w:tcW w:w="2126" w:type="dxa"/>
            <w:vAlign w:val="center"/>
          </w:tcPr>
          <w:p w14:paraId="69C5FC83">
            <w:pPr>
              <w:pStyle w:val="14"/>
            </w:pPr>
          </w:p>
        </w:tc>
      </w:tr>
      <w:tr w14:paraId="2A7C2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A9510">
            <w:pPr>
              <w:pStyle w:val="12"/>
            </w:pPr>
            <w:r>
              <w:t>11</w:t>
            </w:r>
          </w:p>
        </w:tc>
        <w:tc>
          <w:tcPr>
            <w:tcW w:w="4535" w:type="dxa"/>
            <w:vAlign w:val="center"/>
          </w:tcPr>
          <w:p w14:paraId="3D7C21DB">
            <w:pPr>
              <w:pStyle w:val="13"/>
            </w:pPr>
          </w:p>
        </w:tc>
        <w:tc>
          <w:tcPr>
            <w:tcW w:w="2126" w:type="dxa"/>
            <w:vAlign w:val="center"/>
          </w:tcPr>
          <w:p w14:paraId="69EE0B22">
            <w:pPr>
              <w:pStyle w:val="14"/>
            </w:pPr>
          </w:p>
        </w:tc>
        <w:tc>
          <w:tcPr>
            <w:tcW w:w="4535" w:type="dxa"/>
            <w:vAlign w:val="center"/>
          </w:tcPr>
          <w:p w14:paraId="4643783B">
            <w:pPr>
              <w:pStyle w:val="13"/>
            </w:pPr>
            <w:r>
              <w:t>十一、节能环保支出</w:t>
            </w:r>
          </w:p>
        </w:tc>
        <w:tc>
          <w:tcPr>
            <w:tcW w:w="2126" w:type="dxa"/>
            <w:vAlign w:val="center"/>
          </w:tcPr>
          <w:p w14:paraId="1A6B147D">
            <w:pPr>
              <w:pStyle w:val="14"/>
            </w:pPr>
          </w:p>
        </w:tc>
      </w:tr>
      <w:tr w14:paraId="34E77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5DEA3">
            <w:pPr>
              <w:pStyle w:val="12"/>
            </w:pPr>
            <w:r>
              <w:t>12</w:t>
            </w:r>
          </w:p>
        </w:tc>
        <w:tc>
          <w:tcPr>
            <w:tcW w:w="4535" w:type="dxa"/>
            <w:vAlign w:val="center"/>
          </w:tcPr>
          <w:p w14:paraId="71917BE7">
            <w:pPr>
              <w:pStyle w:val="13"/>
            </w:pPr>
          </w:p>
        </w:tc>
        <w:tc>
          <w:tcPr>
            <w:tcW w:w="2126" w:type="dxa"/>
            <w:vAlign w:val="center"/>
          </w:tcPr>
          <w:p w14:paraId="60B54F45">
            <w:pPr>
              <w:pStyle w:val="14"/>
            </w:pPr>
          </w:p>
        </w:tc>
        <w:tc>
          <w:tcPr>
            <w:tcW w:w="4535" w:type="dxa"/>
            <w:vAlign w:val="center"/>
          </w:tcPr>
          <w:p w14:paraId="4B9C6F16">
            <w:pPr>
              <w:pStyle w:val="13"/>
            </w:pPr>
            <w:r>
              <w:t>十二、城乡社区支出</w:t>
            </w:r>
          </w:p>
        </w:tc>
        <w:tc>
          <w:tcPr>
            <w:tcW w:w="2126" w:type="dxa"/>
            <w:vAlign w:val="center"/>
          </w:tcPr>
          <w:p w14:paraId="76C956B0">
            <w:pPr>
              <w:pStyle w:val="14"/>
            </w:pPr>
          </w:p>
        </w:tc>
      </w:tr>
      <w:tr w14:paraId="28FF1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B4E62">
            <w:pPr>
              <w:pStyle w:val="12"/>
            </w:pPr>
            <w:r>
              <w:t>13</w:t>
            </w:r>
          </w:p>
        </w:tc>
        <w:tc>
          <w:tcPr>
            <w:tcW w:w="4535" w:type="dxa"/>
            <w:vAlign w:val="center"/>
          </w:tcPr>
          <w:p w14:paraId="3655A7B7">
            <w:pPr>
              <w:pStyle w:val="13"/>
            </w:pPr>
          </w:p>
        </w:tc>
        <w:tc>
          <w:tcPr>
            <w:tcW w:w="2126" w:type="dxa"/>
            <w:vAlign w:val="center"/>
          </w:tcPr>
          <w:p w14:paraId="74F81715">
            <w:pPr>
              <w:pStyle w:val="14"/>
            </w:pPr>
          </w:p>
        </w:tc>
        <w:tc>
          <w:tcPr>
            <w:tcW w:w="4535" w:type="dxa"/>
            <w:vAlign w:val="center"/>
          </w:tcPr>
          <w:p w14:paraId="73170156">
            <w:pPr>
              <w:pStyle w:val="13"/>
            </w:pPr>
            <w:r>
              <w:t>十三、农林水支出</w:t>
            </w:r>
          </w:p>
        </w:tc>
        <w:tc>
          <w:tcPr>
            <w:tcW w:w="2126" w:type="dxa"/>
            <w:vAlign w:val="center"/>
          </w:tcPr>
          <w:p w14:paraId="6865ACE5">
            <w:pPr>
              <w:pStyle w:val="14"/>
            </w:pPr>
          </w:p>
        </w:tc>
      </w:tr>
      <w:tr w14:paraId="11B09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EADBC">
            <w:pPr>
              <w:pStyle w:val="12"/>
            </w:pPr>
            <w:r>
              <w:t>14</w:t>
            </w:r>
          </w:p>
        </w:tc>
        <w:tc>
          <w:tcPr>
            <w:tcW w:w="4535" w:type="dxa"/>
            <w:vAlign w:val="center"/>
          </w:tcPr>
          <w:p w14:paraId="3F53F34D">
            <w:pPr>
              <w:pStyle w:val="13"/>
            </w:pPr>
          </w:p>
        </w:tc>
        <w:tc>
          <w:tcPr>
            <w:tcW w:w="2126" w:type="dxa"/>
            <w:vAlign w:val="center"/>
          </w:tcPr>
          <w:p w14:paraId="3407536F">
            <w:pPr>
              <w:pStyle w:val="14"/>
            </w:pPr>
          </w:p>
        </w:tc>
        <w:tc>
          <w:tcPr>
            <w:tcW w:w="4535" w:type="dxa"/>
            <w:vAlign w:val="center"/>
          </w:tcPr>
          <w:p w14:paraId="73826FBE">
            <w:pPr>
              <w:pStyle w:val="13"/>
            </w:pPr>
            <w:r>
              <w:t>十四、交通运输支出</w:t>
            </w:r>
          </w:p>
        </w:tc>
        <w:tc>
          <w:tcPr>
            <w:tcW w:w="2126" w:type="dxa"/>
            <w:vAlign w:val="center"/>
          </w:tcPr>
          <w:p w14:paraId="1E04F85E">
            <w:pPr>
              <w:pStyle w:val="14"/>
            </w:pPr>
          </w:p>
        </w:tc>
      </w:tr>
      <w:tr w14:paraId="41299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666DE">
            <w:pPr>
              <w:pStyle w:val="12"/>
            </w:pPr>
            <w:r>
              <w:t>15</w:t>
            </w:r>
          </w:p>
        </w:tc>
        <w:tc>
          <w:tcPr>
            <w:tcW w:w="4535" w:type="dxa"/>
            <w:vAlign w:val="center"/>
          </w:tcPr>
          <w:p w14:paraId="58F57F29">
            <w:pPr>
              <w:pStyle w:val="13"/>
            </w:pPr>
          </w:p>
        </w:tc>
        <w:tc>
          <w:tcPr>
            <w:tcW w:w="2126" w:type="dxa"/>
            <w:vAlign w:val="center"/>
          </w:tcPr>
          <w:p w14:paraId="5617B805">
            <w:pPr>
              <w:pStyle w:val="14"/>
            </w:pPr>
          </w:p>
        </w:tc>
        <w:tc>
          <w:tcPr>
            <w:tcW w:w="4535" w:type="dxa"/>
            <w:vAlign w:val="center"/>
          </w:tcPr>
          <w:p w14:paraId="6F3BB76C">
            <w:pPr>
              <w:pStyle w:val="13"/>
            </w:pPr>
            <w:r>
              <w:t>十五、资源勘探工业信息等支出</w:t>
            </w:r>
          </w:p>
        </w:tc>
        <w:tc>
          <w:tcPr>
            <w:tcW w:w="2126" w:type="dxa"/>
            <w:vAlign w:val="center"/>
          </w:tcPr>
          <w:p w14:paraId="24CED818">
            <w:pPr>
              <w:pStyle w:val="14"/>
            </w:pPr>
          </w:p>
        </w:tc>
      </w:tr>
      <w:tr w14:paraId="6820F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D2466">
            <w:pPr>
              <w:pStyle w:val="12"/>
            </w:pPr>
            <w:r>
              <w:t>16</w:t>
            </w:r>
          </w:p>
        </w:tc>
        <w:tc>
          <w:tcPr>
            <w:tcW w:w="4535" w:type="dxa"/>
            <w:vAlign w:val="center"/>
          </w:tcPr>
          <w:p w14:paraId="615D71E9">
            <w:pPr>
              <w:pStyle w:val="13"/>
            </w:pPr>
          </w:p>
        </w:tc>
        <w:tc>
          <w:tcPr>
            <w:tcW w:w="2126" w:type="dxa"/>
            <w:vAlign w:val="center"/>
          </w:tcPr>
          <w:p w14:paraId="1787C579">
            <w:pPr>
              <w:pStyle w:val="14"/>
            </w:pPr>
          </w:p>
        </w:tc>
        <w:tc>
          <w:tcPr>
            <w:tcW w:w="4535" w:type="dxa"/>
            <w:vAlign w:val="center"/>
          </w:tcPr>
          <w:p w14:paraId="5C2E1D40">
            <w:pPr>
              <w:pStyle w:val="13"/>
            </w:pPr>
            <w:r>
              <w:t>十六、商业服务业等支出</w:t>
            </w:r>
          </w:p>
        </w:tc>
        <w:tc>
          <w:tcPr>
            <w:tcW w:w="2126" w:type="dxa"/>
            <w:vAlign w:val="center"/>
          </w:tcPr>
          <w:p w14:paraId="3D6081B9">
            <w:pPr>
              <w:pStyle w:val="14"/>
            </w:pPr>
          </w:p>
        </w:tc>
      </w:tr>
      <w:tr w14:paraId="0C6D1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6B99D">
            <w:pPr>
              <w:pStyle w:val="12"/>
            </w:pPr>
            <w:r>
              <w:t>17</w:t>
            </w:r>
          </w:p>
        </w:tc>
        <w:tc>
          <w:tcPr>
            <w:tcW w:w="4535" w:type="dxa"/>
            <w:vAlign w:val="center"/>
          </w:tcPr>
          <w:p w14:paraId="04FB1309">
            <w:pPr>
              <w:pStyle w:val="13"/>
            </w:pPr>
          </w:p>
        </w:tc>
        <w:tc>
          <w:tcPr>
            <w:tcW w:w="2126" w:type="dxa"/>
            <w:vAlign w:val="center"/>
          </w:tcPr>
          <w:p w14:paraId="34FDF8AC">
            <w:pPr>
              <w:pStyle w:val="14"/>
            </w:pPr>
          </w:p>
        </w:tc>
        <w:tc>
          <w:tcPr>
            <w:tcW w:w="4535" w:type="dxa"/>
            <w:vAlign w:val="center"/>
          </w:tcPr>
          <w:p w14:paraId="793F035E">
            <w:pPr>
              <w:pStyle w:val="13"/>
            </w:pPr>
            <w:r>
              <w:t>十七、金融支出</w:t>
            </w:r>
          </w:p>
        </w:tc>
        <w:tc>
          <w:tcPr>
            <w:tcW w:w="2126" w:type="dxa"/>
            <w:vAlign w:val="center"/>
          </w:tcPr>
          <w:p w14:paraId="58571D22">
            <w:pPr>
              <w:pStyle w:val="14"/>
            </w:pPr>
          </w:p>
        </w:tc>
      </w:tr>
      <w:tr w14:paraId="445C3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F2D69">
            <w:pPr>
              <w:pStyle w:val="12"/>
            </w:pPr>
            <w:r>
              <w:t>18</w:t>
            </w:r>
          </w:p>
        </w:tc>
        <w:tc>
          <w:tcPr>
            <w:tcW w:w="4535" w:type="dxa"/>
            <w:vAlign w:val="center"/>
          </w:tcPr>
          <w:p w14:paraId="6E2543ED">
            <w:pPr>
              <w:pStyle w:val="13"/>
            </w:pPr>
          </w:p>
        </w:tc>
        <w:tc>
          <w:tcPr>
            <w:tcW w:w="2126" w:type="dxa"/>
            <w:vAlign w:val="center"/>
          </w:tcPr>
          <w:p w14:paraId="0374FEEB">
            <w:pPr>
              <w:pStyle w:val="14"/>
            </w:pPr>
          </w:p>
        </w:tc>
        <w:tc>
          <w:tcPr>
            <w:tcW w:w="4535" w:type="dxa"/>
            <w:vAlign w:val="center"/>
          </w:tcPr>
          <w:p w14:paraId="12523BB4">
            <w:pPr>
              <w:pStyle w:val="13"/>
            </w:pPr>
            <w:r>
              <w:t>十八、援助其他地区支出</w:t>
            </w:r>
          </w:p>
        </w:tc>
        <w:tc>
          <w:tcPr>
            <w:tcW w:w="2126" w:type="dxa"/>
            <w:vAlign w:val="center"/>
          </w:tcPr>
          <w:p w14:paraId="19724CF5">
            <w:pPr>
              <w:pStyle w:val="14"/>
            </w:pPr>
          </w:p>
        </w:tc>
      </w:tr>
      <w:tr w14:paraId="1E9CA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D98C8">
            <w:pPr>
              <w:pStyle w:val="12"/>
            </w:pPr>
            <w:r>
              <w:t>19</w:t>
            </w:r>
          </w:p>
        </w:tc>
        <w:tc>
          <w:tcPr>
            <w:tcW w:w="4535" w:type="dxa"/>
            <w:vAlign w:val="center"/>
          </w:tcPr>
          <w:p w14:paraId="2383A5C0">
            <w:pPr>
              <w:pStyle w:val="13"/>
            </w:pPr>
          </w:p>
        </w:tc>
        <w:tc>
          <w:tcPr>
            <w:tcW w:w="2126" w:type="dxa"/>
            <w:vAlign w:val="center"/>
          </w:tcPr>
          <w:p w14:paraId="01AA3FCD">
            <w:pPr>
              <w:pStyle w:val="14"/>
            </w:pPr>
          </w:p>
        </w:tc>
        <w:tc>
          <w:tcPr>
            <w:tcW w:w="4535" w:type="dxa"/>
            <w:vAlign w:val="center"/>
          </w:tcPr>
          <w:p w14:paraId="5D8C74A2">
            <w:pPr>
              <w:pStyle w:val="13"/>
            </w:pPr>
            <w:r>
              <w:t>十九、自然资源海洋气象等支出</w:t>
            </w:r>
          </w:p>
        </w:tc>
        <w:tc>
          <w:tcPr>
            <w:tcW w:w="2126" w:type="dxa"/>
            <w:vAlign w:val="center"/>
          </w:tcPr>
          <w:p w14:paraId="2DD4D264">
            <w:pPr>
              <w:pStyle w:val="14"/>
            </w:pPr>
          </w:p>
        </w:tc>
      </w:tr>
      <w:tr w14:paraId="787EC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1BB4D">
            <w:pPr>
              <w:pStyle w:val="12"/>
            </w:pPr>
            <w:r>
              <w:t>20</w:t>
            </w:r>
          </w:p>
        </w:tc>
        <w:tc>
          <w:tcPr>
            <w:tcW w:w="4535" w:type="dxa"/>
            <w:vAlign w:val="center"/>
          </w:tcPr>
          <w:p w14:paraId="3D95C24D">
            <w:pPr>
              <w:pStyle w:val="13"/>
            </w:pPr>
          </w:p>
        </w:tc>
        <w:tc>
          <w:tcPr>
            <w:tcW w:w="2126" w:type="dxa"/>
            <w:vAlign w:val="center"/>
          </w:tcPr>
          <w:p w14:paraId="144CE575">
            <w:pPr>
              <w:pStyle w:val="14"/>
            </w:pPr>
          </w:p>
        </w:tc>
        <w:tc>
          <w:tcPr>
            <w:tcW w:w="4535" w:type="dxa"/>
            <w:vAlign w:val="center"/>
          </w:tcPr>
          <w:p w14:paraId="0B12DE35">
            <w:pPr>
              <w:pStyle w:val="13"/>
            </w:pPr>
            <w:r>
              <w:t>二十、住房保障支出</w:t>
            </w:r>
          </w:p>
        </w:tc>
        <w:tc>
          <w:tcPr>
            <w:tcW w:w="2126" w:type="dxa"/>
            <w:vAlign w:val="center"/>
          </w:tcPr>
          <w:p w14:paraId="1CFC51A4">
            <w:pPr>
              <w:pStyle w:val="14"/>
            </w:pPr>
          </w:p>
        </w:tc>
      </w:tr>
      <w:tr w14:paraId="3BF8D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4E339">
            <w:pPr>
              <w:pStyle w:val="12"/>
            </w:pPr>
            <w:r>
              <w:t>21</w:t>
            </w:r>
          </w:p>
        </w:tc>
        <w:tc>
          <w:tcPr>
            <w:tcW w:w="4535" w:type="dxa"/>
            <w:vAlign w:val="center"/>
          </w:tcPr>
          <w:p w14:paraId="58DAB75B">
            <w:pPr>
              <w:pStyle w:val="13"/>
            </w:pPr>
          </w:p>
        </w:tc>
        <w:tc>
          <w:tcPr>
            <w:tcW w:w="2126" w:type="dxa"/>
            <w:vAlign w:val="center"/>
          </w:tcPr>
          <w:p w14:paraId="18CEDC81">
            <w:pPr>
              <w:pStyle w:val="14"/>
            </w:pPr>
          </w:p>
        </w:tc>
        <w:tc>
          <w:tcPr>
            <w:tcW w:w="4535" w:type="dxa"/>
            <w:vAlign w:val="center"/>
          </w:tcPr>
          <w:p w14:paraId="1D011829">
            <w:pPr>
              <w:pStyle w:val="13"/>
            </w:pPr>
            <w:r>
              <w:t>二十一、粮油物资储备支出</w:t>
            </w:r>
          </w:p>
        </w:tc>
        <w:tc>
          <w:tcPr>
            <w:tcW w:w="2126" w:type="dxa"/>
            <w:vAlign w:val="center"/>
          </w:tcPr>
          <w:p w14:paraId="28733C08">
            <w:pPr>
              <w:pStyle w:val="14"/>
            </w:pPr>
          </w:p>
        </w:tc>
      </w:tr>
      <w:tr w14:paraId="42F8E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3570F">
            <w:pPr>
              <w:pStyle w:val="12"/>
            </w:pPr>
            <w:r>
              <w:t>22</w:t>
            </w:r>
          </w:p>
        </w:tc>
        <w:tc>
          <w:tcPr>
            <w:tcW w:w="4535" w:type="dxa"/>
            <w:vAlign w:val="center"/>
          </w:tcPr>
          <w:p w14:paraId="33817F07">
            <w:pPr>
              <w:pStyle w:val="13"/>
            </w:pPr>
          </w:p>
        </w:tc>
        <w:tc>
          <w:tcPr>
            <w:tcW w:w="2126" w:type="dxa"/>
            <w:vAlign w:val="center"/>
          </w:tcPr>
          <w:p w14:paraId="6440B93D">
            <w:pPr>
              <w:pStyle w:val="14"/>
            </w:pPr>
          </w:p>
        </w:tc>
        <w:tc>
          <w:tcPr>
            <w:tcW w:w="4535" w:type="dxa"/>
            <w:vAlign w:val="center"/>
          </w:tcPr>
          <w:p w14:paraId="57E2D050">
            <w:pPr>
              <w:pStyle w:val="13"/>
            </w:pPr>
            <w:r>
              <w:t>二十二、国有资本经营预算支出</w:t>
            </w:r>
          </w:p>
        </w:tc>
        <w:tc>
          <w:tcPr>
            <w:tcW w:w="2126" w:type="dxa"/>
            <w:vAlign w:val="center"/>
          </w:tcPr>
          <w:p w14:paraId="4DC6B5D9">
            <w:pPr>
              <w:pStyle w:val="14"/>
            </w:pPr>
          </w:p>
        </w:tc>
      </w:tr>
      <w:tr w14:paraId="400BB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352F4">
            <w:pPr>
              <w:pStyle w:val="12"/>
            </w:pPr>
            <w:r>
              <w:t>23</w:t>
            </w:r>
          </w:p>
        </w:tc>
        <w:tc>
          <w:tcPr>
            <w:tcW w:w="4535" w:type="dxa"/>
            <w:vAlign w:val="center"/>
          </w:tcPr>
          <w:p w14:paraId="66956E17">
            <w:pPr>
              <w:pStyle w:val="13"/>
            </w:pPr>
          </w:p>
        </w:tc>
        <w:tc>
          <w:tcPr>
            <w:tcW w:w="2126" w:type="dxa"/>
            <w:vAlign w:val="center"/>
          </w:tcPr>
          <w:p w14:paraId="73A689DC">
            <w:pPr>
              <w:pStyle w:val="14"/>
            </w:pPr>
          </w:p>
        </w:tc>
        <w:tc>
          <w:tcPr>
            <w:tcW w:w="4535" w:type="dxa"/>
            <w:vAlign w:val="center"/>
          </w:tcPr>
          <w:p w14:paraId="4FA205EF">
            <w:pPr>
              <w:pStyle w:val="13"/>
            </w:pPr>
            <w:r>
              <w:t>二十三、灾害防治及应急管理支出</w:t>
            </w:r>
          </w:p>
        </w:tc>
        <w:tc>
          <w:tcPr>
            <w:tcW w:w="2126" w:type="dxa"/>
            <w:vAlign w:val="center"/>
          </w:tcPr>
          <w:p w14:paraId="1F1BF6D2">
            <w:pPr>
              <w:pStyle w:val="14"/>
            </w:pPr>
          </w:p>
        </w:tc>
      </w:tr>
      <w:tr w14:paraId="31424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FB983">
            <w:pPr>
              <w:pStyle w:val="12"/>
            </w:pPr>
            <w:r>
              <w:t>24</w:t>
            </w:r>
          </w:p>
        </w:tc>
        <w:tc>
          <w:tcPr>
            <w:tcW w:w="4535" w:type="dxa"/>
            <w:vAlign w:val="center"/>
          </w:tcPr>
          <w:p w14:paraId="5DCD73C2">
            <w:pPr>
              <w:pStyle w:val="13"/>
            </w:pPr>
          </w:p>
        </w:tc>
        <w:tc>
          <w:tcPr>
            <w:tcW w:w="2126" w:type="dxa"/>
            <w:vAlign w:val="center"/>
          </w:tcPr>
          <w:p w14:paraId="27C39EF7">
            <w:pPr>
              <w:pStyle w:val="14"/>
            </w:pPr>
          </w:p>
        </w:tc>
        <w:tc>
          <w:tcPr>
            <w:tcW w:w="4535" w:type="dxa"/>
            <w:vAlign w:val="center"/>
          </w:tcPr>
          <w:p w14:paraId="2C6466F3">
            <w:pPr>
              <w:pStyle w:val="13"/>
            </w:pPr>
            <w:r>
              <w:t>二十四、预备费</w:t>
            </w:r>
          </w:p>
        </w:tc>
        <w:tc>
          <w:tcPr>
            <w:tcW w:w="2126" w:type="dxa"/>
            <w:vAlign w:val="center"/>
          </w:tcPr>
          <w:p w14:paraId="2D8DC8B5">
            <w:pPr>
              <w:pStyle w:val="14"/>
            </w:pPr>
          </w:p>
        </w:tc>
      </w:tr>
      <w:tr w14:paraId="20E73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CE67E">
            <w:pPr>
              <w:pStyle w:val="12"/>
            </w:pPr>
            <w:r>
              <w:t>25</w:t>
            </w:r>
          </w:p>
        </w:tc>
        <w:tc>
          <w:tcPr>
            <w:tcW w:w="4535" w:type="dxa"/>
            <w:vAlign w:val="center"/>
          </w:tcPr>
          <w:p w14:paraId="6EFEEF42">
            <w:pPr>
              <w:pStyle w:val="13"/>
            </w:pPr>
          </w:p>
        </w:tc>
        <w:tc>
          <w:tcPr>
            <w:tcW w:w="2126" w:type="dxa"/>
            <w:vAlign w:val="center"/>
          </w:tcPr>
          <w:p w14:paraId="31FC9AC9">
            <w:pPr>
              <w:pStyle w:val="14"/>
            </w:pPr>
          </w:p>
        </w:tc>
        <w:tc>
          <w:tcPr>
            <w:tcW w:w="4535" w:type="dxa"/>
            <w:vAlign w:val="center"/>
          </w:tcPr>
          <w:p w14:paraId="2055730C">
            <w:pPr>
              <w:pStyle w:val="13"/>
            </w:pPr>
            <w:r>
              <w:t>二十五、其他支出</w:t>
            </w:r>
          </w:p>
        </w:tc>
        <w:tc>
          <w:tcPr>
            <w:tcW w:w="2126" w:type="dxa"/>
            <w:vAlign w:val="center"/>
          </w:tcPr>
          <w:p w14:paraId="5DFACAA7">
            <w:pPr>
              <w:pStyle w:val="14"/>
            </w:pPr>
          </w:p>
        </w:tc>
      </w:tr>
      <w:tr w14:paraId="43DD1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37646">
            <w:pPr>
              <w:pStyle w:val="12"/>
            </w:pPr>
            <w:r>
              <w:t>26</w:t>
            </w:r>
          </w:p>
        </w:tc>
        <w:tc>
          <w:tcPr>
            <w:tcW w:w="4535" w:type="dxa"/>
            <w:vAlign w:val="center"/>
          </w:tcPr>
          <w:p w14:paraId="01C93D05">
            <w:pPr>
              <w:pStyle w:val="13"/>
            </w:pPr>
          </w:p>
        </w:tc>
        <w:tc>
          <w:tcPr>
            <w:tcW w:w="2126" w:type="dxa"/>
            <w:vAlign w:val="center"/>
          </w:tcPr>
          <w:p w14:paraId="7495E2D3">
            <w:pPr>
              <w:pStyle w:val="14"/>
            </w:pPr>
          </w:p>
        </w:tc>
        <w:tc>
          <w:tcPr>
            <w:tcW w:w="4535" w:type="dxa"/>
            <w:vAlign w:val="center"/>
          </w:tcPr>
          <w:p w14:paraId="17B94C72">
            <w:pPr>
              <w:pStyle w:val="13"/>
            </w:pPr>
            <w:r>
              <w:t>二十六、转移性支出</w:t>
            </w:r>
          </w:p>
        </w:tc>
        <w:tc>
          <w:tcPr>
            <w:tcW w:w="2126" w:type="dxa"/>
            <w:vAlign w:val="center"/>
          </w:tcPr>
          <w:p w14:paraId="41979E2C">
            <w:pPr>
              <w:pStyle w:val="14"/>
            </w:pPr>
          </w:p>
        </w:tc>
      </w:tr>
      <w:tr w14:paraId="7DCF8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9A5DE">
            <w:pPr>
              <w:pStyle w:val="12"/>
            </w:pPr>
            <w:r>
              <w:t>27</w:t>
            </w:r>
          </w:p>
        </w:tc>
        <w:tc>
          <w:tcPr>
            <w:tcW w:w="4535" w:type="dxa"/>
            <w:vAlign w:val="center"/>
          </w:tcPr>
          <w:p w14:paraId="493AB16D">
            <w:pPr>
              <w:pStyle w:val="13"/>
            </w:pPr>
          </w:p>
        </w:tc>
        <w:tc>
          <w:tcPr>
            <w:tcW w:w="2126" w:type="dxa"/>
            <w:vAlign w:val="center"/>
          </w:tcPr>
          <w:p w14:paraId="68C0D827">
            <w:pPr>
              <w:pStyle w:val="14"/>
            </w:pPr>
          </w:p>
        </w:tc>
        <w:tc>
          <w:tcPr>
            <w:tcW w:w="4535" w:type="dxa"/>
            <w:vAlign w:val="center"/>
          </w:tcPr>
          <w:p w14:paraId="09C8D9A4">
            <w:pPr>
              <w:pStyle w:val="13"/>
            </w:pPr>
            <w:r>
              <w:t>二十七、债务还本支出</w:t>
            </w:r>
          </w:p>
        </w:tc>
        <w:tc>
          <w:tcPr>
            <w:tcW w:w="2126" w:type="dxa"/>
            <w:vAlign w:val="center"/>
          </w:tcPr>
          <w:p w14:paraId="5768D901">
            <w:pPr>
              <w:pStyle w:val="14"/>
            </w:pPr>
          </w:p>
        </w:tc>
      </w:tr>
      <w:tr w14:paraId="6937D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ECC18">
            <w:pPr>
              <w:pStyle w:val="12"/>
            </w:pPr>
            <w:r>
              <w:t>28</w:t>
            </w:r>
          </w:p>
        </w:tc>
        <w:tc>
          <w:tcPr>
            <w:tcW w:w="4535" w:type="dxa"/>
            <w:vAlign w:val="center"/>
          </w:tcPr>
          <w:p w14:paraId="5ED60CAE">
            <w:pPr>
              <w:pStyle w:val="13"/>
            </w:pPr>
          </w:p>
        </w:tc>
        <w:tc>
          <w:tcPr>
            <w:tcW w:w="2126" w:type="dxa"/>
            <w:vAlign w:val="center"/>
          </w:tcPr>
          <w:p w14:paraId="055C1863">
            <w:pPr>
              <w:pStyle w:val="14"/>
            </w:pPr>
          </w:p>
        </w:tc>
        <w:tc>
          <w:tcPr>
            <w:tcW w:w="4535" w:type="dxa"/>
            <w:vAlign w:val="center"/>
          </w:tcPr>
          <w:p w14:paraId="43FF5109">
            <w:pPr>
              <w:pStyle w:val="13"/>
            </w:pPr>
            <w:r>
              <w:t>二十八、债务付息支出</w:t>
            </w:r>
          </w:p>
        </w:tc>
        <w:tc>
          <w:tcPr>
            <w:tcW w:w="2126" w:type="dxa"/>
            <w:vAlign w:val="center"/>
          </w:tcPr>
          <w:p w14:paraId="59D9F5A7">
            <w:pPr>
              <w:pStyle w:val="14"/>
            </w:pPr>
          </w:p>
        </w:tc>
      </w:tr>
      <w:tr w14:paraId="0BA2F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A7075">
            <w:pPr>
              <w:pStyle w:val="12"/>
            </w:pPr>
            <w:r>
              <w:t>29</w:t>
            </w:r>
          </w:p>
        </w:tc>
        <w:tc>
          <w:tcPr>
            <w:tcW w:w="4535" w:type="dxa"/>
            <w:vAlign w:val="center"/>
          </w:tcPr>
          <w:p w14:paraId="2490E4D9">
            <w:pPr>
              <w:pStyle w:val="13"/>
            </w:pPr>
          </w:p>
        </w:tc>
        <w:tc>
          <w:tcPr>
            <w:tcW w:w="2126" w:type="dxa"/>
            <w:vAlign w:val="center"/>
          </w:tcPr>
          <w:p w14:paraId="6D8F0D07">
            <w:pPr>
              <w:pStyle w:val="14"/>
            </w:pPr>
          </w:p>
        </w:tc>
        <w:tc>
          <w:tcPr>
            <w:tcW w:w="4535" w:type="dxa"/>
            <w:vAlign w:val="center"/>
          </w:tcPr>
          <w:p w14:paraId="5BA2A54B">
            <w:pPr>
              <w:pStyle w:val="13"/>
            </w:pPr>
            <w:r>
              <w:t>二十九、债务发行费用支出</w:t>
            </w:r>
          </w:p>
        </w:tc>
        <w:tc>
          <w:tcPr>
            <w:tcW w:w="2126" w:type="dxa"/>
            <w:vAlign w:val="center"/>
          </w:tcPr>
          <w:p w14:paraId="5A58103C">
            <w:pPr>
              <w:pStyle w:val="14"/>
            </w:pPr>
          </w:p>
        </w:tc>
      </w:tr>
      <w:tr w14:paraId="64D22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7C6D1">
            <w:pPr>
              <w:pStyle w:val="12"/>
            </w:pPr>
            <w:r>
              <w:t>30</w:t>
            </w:r>
          </w:p>
        </w:tc>
        <w:tc>
          <w:tcPr>
            <w:tcW w:w="4535" w:type="dxa"/>
            <w:vAlign w:val="center"/>
          </w:tcPr>
          <w:p w14:paraId="11B73A4C">
            <w:pPr>
              <w:pStyle w:val="13"/>
            </w:pPr>
          </w:p>
        </w:tc>
        <w:tc>
          <w:tcPr>
            <w:tcW w:w="2126" w:type="dxa"/>
            <w:vAlign w:val="center"/>
          </w:tcPr>
          <w:p w14:paraId="2D33F2FE">
            <w:pPr>
              <w:pStyle w:val="14"/>
            </w:pPr>
          </w:p>
        </w:tc>
        <w:tc>
          <w:tcPr>
            <w:tcW w:w="4535" w:type="dxa"/>
            <w:vAlign w:val="center"/>
          </w:tcPr>
          <w:p w14:paraId="7BB7B4EF">
            <w:pPr>
              <w:pStyle w:val="13"/>
            </w:pPr>
            <w:r>
              <w:t>三十、抗疫特别国债安排的支出</w:t>
            </w:r>
          </w:p>
        </w:tc>
        <w:tc>
          <w:tcPr>
            <w:tcW w:w="2126" w:type="dxa"/>
            <w:vAlign w:val="center"/>
          </w:tcPr>
          <w:p w14:paraId="32DB1678">
            <w:pPr>
              <w:pStyle w:val="14"/>
            </w:pPr>
          </w:p>
        </w:tc>
      </w:tr>
      <w:tr w14:paraId="486E3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0427E">
            <w:pPr>
              <w:pStyle w:val="12"/>
            </w:pPr>
            <w:r>
              <w:t>31</w:t>
            </w:r>
          </w:p>
        </w:tc>
        <w:tc>
          <w:tcPr>
            <w:tcW w:w="4535" w:type="dxa"/>
            <w:vAlign w:val="center"/>
          </w:tcPr>
          <w:p w14:paraId="74E100B2">
            <w:pPr>
              <w:pStyle w:val="13"/>
            </w:pPr>
          </w:p>
        </w:tc>
        <w:tc>
          <w:tcPr>
            <w:tcW w:w="2126" w:type="dxa"/>
            <w:vAlign w:val="center"/>
          </w:tcPr>
          <w:p w14:paraId="1D0156AE">
            <w:pPr>
              <w:pStyle w:val="14"/>
            </w:pPr>
          </w:p>
        </w:tc>
        <w:tc>
          <w:tcPr>
            <w:tcW w:w="4535" w:type="dxa"/>
            <w:vAlign w:val="center"/>
          </w:tcPr>
          <w:p w14:paraId="5E62B7BD">
            <w:pPr>
              <w:pStyle w:val="13"/>
            </w:pPr>
            <w:r>
              <w:t>三十一、人行科目</w:t>
            </w:r>
          </w:p>
        </w:tc>
        <w:tc>
          <w:tcPr>
            <w:tcW w:w="2126" w:type="dxa"/>
            <w:vAlign w:val="center"/>
          </w:tcPr>
          <w:p w14:paraId="25404F9E">
            <w:pPr>
              <w:pStyle w:val="14"/>
            </w:pPr>
          </w:p>
        </w:tc>
      </w:tr>
      <w:tr w14:paraId="440B0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FE18C">
            <w:pPr>
              <w:pStyle w:val="12"/>
            </w:pPr>
            <w:r>
              <w:t>32</w:t>
            </w:r>
          </w:p>
        </w:tc>
        <w:tc>
          <w:tcPr>
            <w:tcW w:w="4535" w:type="dxa"/>
            <w:vAlign w:val="center"/>
          </w:tcPr>
          <w:p w14:paraId="1FBBF739">
            <w:pPr>
              <w:pStyle w:val="15"/>
            </w:pPr>
            <w:r>
              <w:t>本年收入合计</w:t>
            </w:r>
          </w:p>
        </w:tc>
        <w:tc>
          <w:tcPr>
            <w:tcW w:w="2126" w:type="dxa"/>
            <w:vAlign w:val="center"/>
          </w:tcPr>
          <w:p w14:paraId="7EB6204E">
            <w:pPr>
              <w:pStyle w:val="16"/>
            </w:pPr>
            <w:r>
              <w:t>226.80</w:t>
            </w:r>
          </w:p>
        </w:tc>
        <w:tc>
          <w:tcPr>
            <w:tcW w:w="4535" w:type="dxa"/>
            <w:vAlign w:val="center"/>
          </w:tcPr>
          <w:p w14:paraId="60B06151">
            <w:pPr>
              <w:pStyle w:val="15"/>
            </w:pPr>
            <w:r>
              <w:t>本年支出合计</w:t>
            </w:r>
          </w:p>
        </w:tc>
        <w:tc>
          <w:tcPr>
            <w:tcW w:w="2126" w:type="dxa"/>
            <w:vAlign w:val="center"/>
          </w:tcPr>
          <w:p w14:paraId="4D25C47B">
            <w:pPr>
              <w:pStyle w:val="16"/>
            </w:pPr>
            <w:r>
              <w:t>226.80</w:t>
            </w:r>
          </w:p>
        </w:tc>
      </w:tr>
      <w:tr w14:paraId="5B4F1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6BDBF">
            <w:pPr>
              <w:pStyle w:val="12"/>
            </w:pPr>
            <w:r>
              <w:t>33</w:t>
            </w:r>
          </w:p>
        </w:tc>
        <w:tc>
          <w:tcPr>
            <w:tcW w:w="4535" w:type="dxa"/>
            <w:vAlign w:val="center"/>
          </w:tcPr>
          <w:p w14:paraId="0479305E">
            <w:pPr>
              <w:pStyle w:val="13"/>
            </w:pPr>
            <w:r>
              <w:t>上年结转结余</w:t>
            </w:r>
          </w:p>
        </w:tc>
        <w:tc>
          <w:tcPr>
            <w:tcW w:w="2126" w:type="dxa"/>
            <w:vAlign w:val="center"/>
          </w:tcPr>
          <w:p w14:paraId="5CABF4C1">
            <w:pPr>
              <w:pStyle w:val="14"/>
            </w:pPr>
          </w:p>
        </w:tc>
        <w:tc>
          <w:tcPr>
            <w:tcW w:w="4535" w:type="dxa"/>
            <w:vAlign w:val="center"/>
          </w:tcPr>
          <w:p w14:paraId="7D62AF06">
            <w:pPr>
              <w:pStyle w:val="13"/>
            </w:pPr>
            <w:r>
              <w:t>年终结转结余</w:t>
            </w:r>
          </w:p>
        </w:tc>
        <w:tc>
          <w:tcPr>
            <w:tcW w:w="2126" w:type="dxa"/>
            <w:vAlign w:val="center"/>
          </w:tcPr>
          <w:p w14:paraId="71871C2D">
            <w:pPr>
              <w:pStyle w:val="14"/>
            </w:pPr>
          </w:p>
        </w:tc>
      </w:tr>
      <w:tr w14:paraId="1950F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3F8E8">
            <w:pPr>
              <w:pStyle w:val="12"/>
            </w:pPr>
            <w:r>
              <w:t>34</w:t>
            </w:r>
          </w:p>
        </w:tc>
        <w:tc>
          <w:tcPr>
            <w:tcW w:w="4535" w:type="dxa"/>
            <w:vAlign w:val="center"/>
          </w:tcPr>
          <w:p w14:paraId="660531EF">
            <w:pPr>
              <w:pStyle w:val="15"/>
            </w:pPr>
            <w:r>
              <w:t>收入总计</w:t>
            </w:r>
          </w:p>
        </w:tc>
        <w:tc>
          <w:tcPr>
            <w:tcW w:w="2126" w:type="dxa"/>
            <w:vAlign w:val="center"/>
          </w:tcPr>
          <w:p w14:paraId="34F6CED1">
            <w:pPr>
              <w:pStyle w:val="16"/>
            </w:pPr>
            <w:r>
              <w:t>226.80</w:t>
            </w:r>
          </w:p>
        </w:tc>
        <w:tc>
          <w:tcPr>
            <w:tcW w:w="4535" w:type="dxa"/>
            <w:vAlign w:val="center"/>
          </w:tcPr>
          <w:p w14:paraId="5DDFA2E9">
            <w:pPr>
              <w:pStyle w:val="15"/>
            </w:pPr>
            <w:r>
              <w:t>支出总计</w:t>
            </w:r>
          </w:p>
        </w:tc>
        <w:tc>
          <w:tcPr>
            <w:tcW w:w="2126" w:type="dxa"/>
            <w:vAlign w:val="center"/>
          </w:tcPr>
          <w:p w14:paraId="517C2EC5">
            <w:pPr>
              <w:pStyle w:val="16"/>
            </w:pPr>
            <w:r>
              <w:t>226.80</w:t>
            </w:r>
          </w:p>
        </w:tc>
      </w:tr>
    </w:tbl>
    <w:p w14:paraId="0A48A40B">
      <w:pPr>
        <w:sectPr>
          <w:pgSz w:w="16840" w:h="11900" w:orient="landscape"/>
          <w:pgMar w:top="1361" w:right="1020" w:bottom="1134" w:left="1020" w:header="720" w:footer="720" w:gutter="0"/>
          <w:cols w:space="720" w:num="1"/>
        </w:sectPr>
      </w:pPr>
    </w:p>
    <w:p w14:paraId="684C3C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1B4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50C48D">
            <w:pPr>
              <w:pStyle w:val="8"/>
            </w:pPr>
            <w:r>
              <w:t>360014隆尧县县直幼儿园</w:t>
            </w:r>
          </w:p>
        </w:tc>
        <w:tc>
          <w:tcPr>
            <w:tcW w:w="3402" w:type="dxa"/>
            <w:gridSpan w:val="3"/>
            <w:tcBorders>
              <w:top w:val="single" w:color="FFFFFF" w:sz="6" w:space="0"/>
              <w:left w:val="single" w:color="FFFFFF" w:sz="6" w:space="0"/>
              <w:right w:val="single" w:color="FFFFFF" w:sz="6" w:space="0"/>
            </w:tcBorders>
            <w:vAlign w:val="center"/>
          </w:tcPr>
          <w:p w14:paraId="651D584A">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A46AF31">
            <w:pPr>
              <w:pStyle w:val="10"/>
            </w:pPr>
            <w:r>
              <w:t>单位：万元</w:t>
            </w:r>
          </w:p>
        </w:tc>
      </w:tr>
      <w:tr w14:paraId="07A16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263B51">
            <w:pPr>
              <w:pStyle w:val="11"/>
            </w:pPr>
            <w:r>
              <w:t>序号</w:t>
            </w:r>
          </w:p>
        </w:tc>
        <w:tc>
          <w:tcPr>
            <w:tcW w:w="2551" w:type="dxa"/>
            <w:gridSpan w:val="2"/>
            <w:vAlign w:val="center"/>
          </w:tcPr>
          <w:p w14:paraId="0E54FBDA">
            <w:pPr>
              <w:pStyle w:val="11"/>
            </w:pPr>
            <w:r>
              <w:t>功能分类科目</w:t>
            </w:r>
          </w:p>
        </w:tc>
        <w:tc>
          <w:tcPr>
            <w:tcW w:w="1134" w:type="dxa"/>
            <w:vMerge w:val="restart"/>
            <w:vAlign w:val="center"/>
          </w:tcPr>
          <w:p w14:paraId="1C9AC9C7">
            <w:pPr>
              <w:pStyle w:val="11"/>
            </w:pPr>
            <w:r>
              <w:t>合计</w:t>
            </w:r>
          </w:p>
        </w:tc>
        <w:tc>
          <w:tcPr>
            <w:tcW w:w="9072" w:type="dxa"/>
            <w:gridSpan w:val="8"/>
            <w:vAlign w:val="center"/>
          </w:tcPr>
          <w:p w14:paraId="1CFDE5DA">
            <w:pPr>
              <w:pStyle w:val="11"/>
            </w:pPr>
            <w:r>
              <w:t>本年收入</w:t>
            </w:r>
          </w:p>
        </w:tc>
        <w:tc>
          <w:tcPr>
            <w:tcW w:w="1134" w:type="dxa"/>
            <w:vMerge w:val="restart"/>
            <w:vAlign w:val="center"/>
          </w:tcPr>
          <w:p w14:paraId="3907FF8C">
            <w:pPr>
              <w:pStyle w:val="11"/>
            </w:pPr>
            <w:r>
              <w:t>上年结转</w:t>
            </w:r>
          </w:p>
        </w:tc>
      </w:tr>
      <w:tr w14:paraId="70B2A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76A026"/>
        </w:tc>
        <w:tc>
          <w:tcPr>
            <w:tcW w:w="992" w:type="dxa"/>
            <w:vAlign w:val="center"/>
          </w:tcPr>
          <w:p w14:paraId="609FC095">
            <w:pPr>
              <w:pStyle w:val="11"/>
            </w:pPr>
            <w:r>
              <w:t>科目    编码</w:t>
            </w:r>
          </w:p>
        </w:tc>
        <w:tc>
          <w:tcPr>
            <w:tcW w:w="1559" w:type="dxa"/>
            <w:vAlign w:val="center"/>
          </w:tcPr>
          <w:p w14:paraId="7E6873A6">
            <w:pPr>
              <w:pStyle w:val="11"/>
            </w:pPr>
            <w:r>
              <w:t>科目名称</w:t>
            </w:r>
          </w:p>
        </w:tc>
        <w:tc>
          <w:tcPr>
            <w:tcW w:w="1134" w:type="dxa"/>
            <w:vMerge w:val="continue"/>
          </w:tcPr>
          <w:p w14:paraId="1DFCC6E7"/>
        </w:tc>
        <w:tc>
          <w:tcPr>
            <w:tcW w:w="1134" w:type="dxa"/>
            <w:vAlign w:val="center"/>
          </w:tcPr>
          <w:p w14:paraId="1DCE31E5">
            <w:pPr>
              <w:pStyle w:val="11"/>
            </w:pPr>
            <w:r>
              <w:t>小计</w:t>
            </w:r>
          </w:p>
        </w:tc>
        <w:tc>
          <w:tcPr>
            <w:tcW w:w="1134" w:type="dxa"/>
            <w:vAlign w:val="center"/>
          </w:tcPr>
          <w:p w14:paraId="15258165">
            <w:pPr>
              <w:pStyle w:val="11"/>
            </w:pPr>
            <w:r>
              <w:t>财政拨款 收入</w:t>
            </w:r>
          </w:p>
        </w:tc>
        <w:tc>
          <w:tcPr>
            <w:tcW w:w="1134" w:type="dxa"/>
            <w:vAlign w:val="center"/>
          </w:tcPr>
          <w:p w14:paraId="1E08891C">
            <w:pPr>
              <w:pStyle w:val="11"/>
            </w:pPr>
            <w:r>
              <w:t>财政专户 收入</w:t>
            </w:r>
          </w:p>
        </w:tc>
        <w:tc>
          <w:tcPr>
            <w:tcW w:w="1134" w:type="dxa"/>
            <w:vAlign w:val="center"/>
          </w:tcPr>
          <w:p w14:paraId="76FF4A96">
            <w:pPr>
              <w:pStyle w:val="11"/>
            </w:pPr>
            <w:r>
              <w:t>事业收入</w:t>
            </w:r>
          </w:p>
        </w:tc>
        <w:tc>
          <w:tcPr>
            <w:tcW w:w="1134" w:type="dxa"/>
            <w:vAlign w:val="center"/>
          </w:tcPr>
          <w:p w14:paraId="5600A895">
            <w:pPr>
              <w:pStyle w:val="11"/>
            </w:pPr>
            <w:r>
              <w:t>经营收入</w:t>
            </w:r>
          </w:p>
        </w:tc>
        <w:tc>
          <w:tcPr>
            <w:tcW w:w="1134" w:type="dxa"/>
            <w:vAlign w:val="center"/>
          </w:tcPr>
          <w:p w14:paraId="674D8DAB">
            <w:pPr>
              <w:pStyle w:val="11"/>
            </w:pPr>
            <w:r>
              <w:t>上级补助收入</w:t>
            </w:r>
          </w:p>
        </w:tc>
        <w:tc>
          <w:tcPr>
            <w:tcW w:w="1134" w:type="dxa"/>
            <w:vAlign w:val="center"/>
          </w:tcPr>
          <w:p w14:paraId="09063711">
            <w:pPr>
              <w:pStyle w:val="11"/>
            </w:pPr>
            <w:r>
              <w:t>附属单位上缴收入</w:t>
            </w:r>
          </w:p>
        </w:tc>
        <w:tc>
          <w:tcPr>
            <w:tcW w:w="1134" w:type="dxa"/>
            <w:vAlign w:val="center"/>
          </w:tcPr>
          <w:p w14:paraId="2C983717">
            <w:pPr>
              <w:pStyle w:val="11"/>
            </w:pPr>
            <w:r>
              <w:t>其他收入</w:t>
            </w:r>
          </w:p>
        </w:tc>
        <w:tc>
          <w:tcPr>
            <w:tcW w:w="1134" w:type="dxa"/>
            <w:vMerge w:val="continue"/>
          </w:tcPr>
          <w:p w14:paraId="7B427D1D"/>
        </w:tc>
      </w:tr>
      <w:tr w14:paraId="1DE42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30814B">
            <w:pPr>
              <w:pStyle w:val="11"/>
            </w:pPr>
            <w:r>
              <w:t>栏次</w:t>
            </w:r>
          </w:p>
        </w:tc>
        <w:tc>
          <w:tcPr>
            <w:tcW w:w="992" w:type="dxa"/>
            <w:vAlign w:val="center"/>
          </w:tcPr>
          <w:p w14:paraId="68D7322C">
            <w:pPr>
              <w:pStyle w:val="11"/>
            </w:pPr>
            <w:r>
              <w:t>1</w:t>
            </w:r>
          </w:p>
        </w:tc>
        <w:tc>
          <w:tcPr>
            <w:tcW w:w="1559" w:type="dxa"/>
            <w:vAlign w:val="center"/>
          </w:tcPr>
          <w:p w14:paraId="61E049EF">
            <w:pPr>
              <w:pStyle w:val="11"/>
            </w:pPr>
            <w:r>
              <w:t>2</w:t>
            </w:r>
          </w:p>
        </w:tc>
        <w:tc>
          <w:tcPr>
            <w:tcW w:w="1134" w:type="dxa"/>
            <w:vAlign w:val="center"/>
          </w:tcPr>
          <w:p w14:paraId="42970F82">
            <w:pPr>
              <w:pStyle w:val="11"/>
            </w:pPr>
            <w:r>
              <w:t>3</w:t>
            </w:r>
          </w:p>
        </w:tc>
        <w:tc>
          <w:tcPr>
            <w:tcW w:w="1134" w:type="dxa"/>
            <w:vAlign w:val="center"/>
          </w:tcPr>
          <w:p w14:paraId="4E7209E0">
            <w:pPr>
              <w:pStyle w:val="11"/>
            </w:pPr>
            <w:r>
              <w:t>4</w:t>
            </w:r>
          </w:p>
        </w:tc>
        <w:tc>
          <w:tcPr>
            <w:tcW w:w="1134" w:type="dxa"/>
            <w:vAlign w:val="center"/>
          </w:tcPr>
          <w:p w14:paraId="00874893">
            <w:pPr>
              <w:pStyle w:val="11"/>
            </w:pPr>
            <w:r>
              <w:t>5</w:t>
            </w:r>
          </w:p>
        </w:tc>
        <w:tc>
          <w:tcPr>
            <w:tcW w:w="1134" w:type="dxa"/>
            <w:vAlign w:val="center"/>
          </w:tcPr>
          <w:p w14:paraId="5EC5B43E">
            <w:pPr>
              <w:pStyle w:val="11"/>
            </w:pPr>
            <w:r>
              <w:t>6</w:t>
            </w:r>
          </w:p>
        </w:tc>
        <w:tc>
          <w:tcPr>
            <w:tcW w:w="1134" w:type="dxa"/>
            <w:vAlign w:val="center"/>
          </w:tcPr>
          <w:p w14:paraId="60D5D80D">
            <w:pPr>
              <w:pStyle w:val="11"/>
            </w:pPr>
            <w:r>
              <w:t>7</w:t>
            </w:r>
          </w:p>
        </w:tc>
        <w:tc>
          <w:tcPr>
            <w:tcW w:w="1134" w:type="dxa"/>
            <w:vAlign w:val="center"/>
          </w:tcPr>
          <w:p w14:paraId="5CBF4CA4">
            <w:pPr>
              <w:pStyle w:val="11"/>
            </w:pPr>
            <w:r>
              <w:t>8</w:t>
            </w:r>
          </w:p>
        </w:tc>
        <w:tc>
          <w:tcPr>
            <w:tcW w:w="1134" w:type="dxa"/>
            <w:vAlign w:val="center"/>
          </w:tcPr>
          <w:p w14:paraId="5370900F">
            <w:pPr>
              <w:pStyle w:val="11"/>
            </w:pPr>
            <w:r>
              <w:t>9</w:t>
            </w:r>
          </w:p>
        </w:tc>
        <w:tc>
          <w:tcPr>
            <w:tcW w:w="1134" w:type="dxa"/>
            <w:vAlign w:val="center"/>
          </w:tcPr>
          <w:p w14:paraId="74168FA9">
            <w:pPr>
              <w:pStyle w:val="11"/>
            </w:pPr>
            <w:r>
              <w:t>10</w:t>
            </w:r>
          </w:p>
        </w:tc>
        <w:tc>
          <w:tcPr>
            <w:tcW w:w="1134" w:type="dxa"/>
            <w:vAlign w:val="center"/>
          </w:tcPr>
          <w:p w14:paraId="05E98BC7">
            <w:pPr>
              <w:pStyle w:val="11"/>
            </w:pPr>
            <w:r>
              <w:t>11</w:t>
            </w:r>
          </w:p>
        </w:tc>
        <w:tc>
          <w:tcPr>
            <w:tcW w:w="1134" w:type="dxa"/>
            <w:vAlign w:val="center"/>
          </w:tcPr>
          <w:p w14:paraId="3EDB82CE">
            <w:pPr>
              <w:pStyle w:val="11"/>
            </w:pPr>
            <w:r>
              <w:t>12</w:t>
            </w:r>
          </w:p>
        </w:tc>
      </w:tr>
      <w:tr w14:paraId="42273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85B728">
            <w:pPr>
              <w:pStyle w:val="12"/>
            </w:pPr>
            <w:r>
              <w:t>1</w:t>
            </w:r>
          </w:p>
        </w:tc>
        <w:tc>
          <w:tcPr>
            <w:tcW w:w="992" w:type="dxa"/>
            <w:vAlign w:val="center"/>
          </w:tcPr>
          <w:p w14:paraId="1FD62477">
            <w:pPr>
              <w:pStyle w:val="17"/>
            </w:pPr>
          </w:p>
        </w:tc>
        <w:tc>
          <w:tcPr>
            <w:tcW w:w="1559" w:type="dxa"/>
            <w:vAlign w:val="center"/>
          </w:tcPr>
          <w:p w14:paraId="16CFB2EE">
            <w:pPr>
              <w:pStyle w:val="15"/>
            </w:pPr>
            <w:r>
              <w:t>合计</w:t>
            </w:r>
          </w:p>
        </w:tc>
        <w:tc>
          <w:tcPr>
            <w:tcW w:w="1134" w:type="dxa"/>
            <w:vAlign w:val="center"/>
          </w:tcPr>
          <w:p w14:paraId="2DA33B02">
            <w:pPr>
              <w:pStyle w:val="16"/>
            </w:pPr>
            <w:r>
              <w:t>226.80</w:t>
            </w:r>
          </w:p>
        </w:tc>
        <w:tc>
          <w:tcPr>
            <w:tcW w:w="1134" w:type="dxa"/>
            <w:vAlign w:val="center"/>
          </w:tcPr>
          <w:p w14:paraId="607471A8">
            <w:pPr>
              <w:pStyle w:val="16"/>
            </w:pPr>
            <w:r>
              <w:t>226.80</w:t>
            </w:r>
          </w:p>
        </w:tc>
        <w:tc>
          <w:tcPr>
            <w:tcW w:w="1134" w:type="dxa"/>
            <w:vAlign w:val="center"/>
          </w:tcPr>
          <w:p w14:paraId="79C7F1AC">
            <w:pPr>
              <w:pStyle w:val="16"/>
            </w:pPr>
            <w:r>
              <w:t>226.80</w:t>
            </w:r>
          </w:p>
        </w:tc>
        <w:tc>
          <w:tcPr>
            <w:tcW w:w="1134" w:type="dxa"/>
            <w:vAlign w:val="center"/>
          </w:tcPr>
          <w:p w14:paraId="263D1C4C">
            <w:pPr>
              <w:pStyle w:val="16"/>
            </w:pPr>
          </w:p>
        </w:tc>
        <w:tc>
          <w:tcPr>
            <w:tcW w:w="1134" w:type="dxa"/>
            <w:vAlign w:val="center"/>
          </w:tcPr>
          <w:p w14:paraId="2BF0B071">
            <w:pPr>
              <w:pStyle w:val="16"/>
            </w:pPr>
          </w:p>
        </w:tc>
        <w:tc>
          <w:tcPr>
            <w:tcW w:w="1134" w:type="dxa"/>
            <w:vAlign w:val="center"/>
          </w:tcPr>
          <w:p w14:paraId="145A0101">
            <w:pPr>
              <w:pStyle w:val="16"/>
            </w:pPr>
          </w:p>
        </w:tc>
        <w:tc>
          <w:tcPr>
            <w:tcW w:w="1134" w:type="dxa"/>
            <w:vAlign w:val="center"/>
          </w:tcPr>
          <w:p w14:paraId="2045E96A">
            <w:pPr>
              <w:pStyle w:val="16"/>
            </w:pPr>
          </w:p>
        </w:tc>
        <w:tc>
          <w:tcPr>
            <w:tcW w:w="1134" w:type="dxa"/>
            <w:vAlign w:val="center"/>
          </w:tcPr>
          <w:p w14:paraId="2A4231FF">
            <w:pPr>
              <w:pStyle w:val="16"/>
            </w:pPr>
          </w:p>
        </w:tc>
        <w:tc>
          <w:tcPr>
            <w:tcW w:w="1134" w:type="dxa"/>
            <w:vAlign w:val="center"/>
          </w:tcPr>
          <w:p w14:paraId="6FC32D2A">
            <w:pPr>
              <w:pStyle w:val="16"/>
            </w:pPr>
          </w:p>
        </w:tc>
        <w:tc>
          <w:tcPr>
            <w:tcW w:w="1134" w:type="dxa"/>
            <w:vAlign w:val="center"/>
          </w:tcPr>
          <w:p w14:paraId="576D3AEF">
            <w:pPr>
              <w:pStyle w:val="16"/>
            </w:pPr>
          </w:p>
        </w:tc>
      </w:tr>
      <w:tr w14:paraId="237BA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B06040">
            <w:pPr>
              <w:pStyle w:val="12"/>
            </w:pPr>
            <w:r>
              <w:t>2</w:t>
            </w:r>
          </w:p>
        </w:tc>
        <w:tc>
          <w:tcPr>
            <w:tcW w:w="992" w:type="dxa"/>
            <w:vAlign w:val="center"/>
          </w:tcPr>
          <w:p w14:paraId="32BEDF00">
            <w:pPr>
              <w:pStyle w:val="13"/>
            </w:pPr>
            <w:r>
              <w:t>205</w:t>
            </w:r>
          </w:p>
        </w:tc>
        <w:tc>
          <w:tcPr>
            <w:tcW w:w="1559" w:type="dxa"/>
            <w:vAlign w:val="center"/>
          </w:tcPr>
          <w:p w14:paraId="7900B1A3">
            <w:pPr>
              <w:pStyle w:val="13"/>
            </w:pPr>
            <w:r>
              <w:t>教育支出</w:t>
            </w:r>
          </w:p>
        </w:tc>
        <w:tc>
          <w:tcPr>
            <w:tcW w:w="1134" w:type="dxa"/>
            <w:vAlign w:val="center"/>
          </w:tcPr>
          <w:p w14:paraId="27B6CAB4">
            <w:pPr>
              <w:pStyle w:val="14"/>
            </w:pPr>
            <w:r>
              <w:t>226.80</w:t>
            </w:r>
          </w:p>
        </w:tc>
        <w:tc>
          <w:tcPr>
            <w:tcW w:w="1134" w:type="dxa"/>
            <w:vAlign w:val="center"/>
          </w:tcPr>
          <w:p w14:paraId="571870A5">
            <w:pPr>
              <w:pStyle w:val="14"/>
            </w:pPr>
            <w:r>
              <w:t>226.80</w:t>
            </w:r>
          </w:p>
        </w:tc>
        <w:tc>
          <w:tcPr>
            <w:tcW w:w="1134" w:type="dxa"/>
            <w:vAlign w:val="center"/>
          </w:tcPr>
          <w:p w14:paraId="7FA00CC0">
            <w:pPr>
              <w:pStyle w:val="14"/>
            </w:pPr>
            <w:r>
              <w:t>226.80</w:t>
            </w:r>
          </w:p>
        </w:tc>
        <w:tc>
          <w:tcPr>
            <w:tcW w:w="1134" w:type="dxa"/>
            <w:vAlign w:val="center"/>
          </w:tcPr>
          <w:p w14:paraId="7140C21C">
            <w:pPr>
              <w:pStyle w:val="14"/>
            </w:pPr>
          </w:p>
        </w:tc>
        <w:tc>
          <w:tcPr>
            <w:tcW w:w="1134" w:type="dxa"/>
            <w:vAlign w:val="center"/>
          </w:tcPr>
          <w:p w14:paraId="5D741FF8">
            <w:pPr>
              <w:pStyle w:val="14"/>
            </w:pPr>
          </w:p>
        </w:tc>
        <w:tc>
          <w:tcPr>
            <w:tcW w:w="1134" w:type="dxa"/>
            <w:vAlign w:val="center"/>
          </w:tcPr>
          <w:p w14:paraId="76589FC1">
            <w:pPr>
              <w:pStyle w:val="14"/>
            </w:pPr>
          </w:p>
        </w:tc>
        <w:tc>
          <w:tcPr>
            <w:tcW w:w="1134" w:type="dxa"/>
            <w:vAlign w:val="center"/>
          </w:tcPr>
          <w:p w14:paraId="79837051">
            <w:pPr>
              <w:pStyle w:val="14"/>
            </w:pPr>
          </w:p>
        </w:tc>
        <w:tc>
          <w:tcPr>
            <w:tcW w:w="1134" w:type="dxa"/>
            <w:vAlign w:val="center"/>
          </w:tcPr>
          <w:p w14:paraId="18C5DE3F">
            <w:pPr>
              <w:pStyle w:val="14"/>
            </w:pPr>
          </w:p>
        </w:tc>
        <w:tc>
          <w:tcPr>
            <w:tcW w:w="1134" w:type="dxa"/>
            <w:vAlign w:val="center"/>
          </w:tcPr>
          <w:p w14:paraId="6CE8E70E">
            <w:pPr>
              <w:pStyle w:val="14"/>
            </w:pPr>
          </w:p>
        </w:tc>
        <w:tc>
          <w:tcPr>
            <w:tcW w:w="1134" w:type="dxa"/>
            <w:vAlign w:val="center"/>
          </w:tcPr>
          <w:p w14:paraId="0F283C0D">
            <w:pPr>
              <w:pStyle w:val="14"/>
            </w:pPr>
          </w:p>
        </w:tc>
      </w:tr>
      <w:tr w14:paraId="57B6F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6F1936">
            <w:pPr>
              <w:pStyle w:val="12"/>
            </w:pPr>
            <w:r>
              <w:t>3</w:t>
            </w:r>
          </w:p>
        </w:tc>
        <w:tc>
          <w:tcPr>
            <w:tcW w:w="992" w:type="dxa"/>
            <w:vAlign w:val="center"/>
          </w:tcPr>
          <w:p w14:paraId="4DCA8FD5">
            <w:pPr>
              <w:pStyle w:val="13"/>
            </w:pPr>
            <w:r>
              <w:t>20502</w:t>
            </w:r>
          </w:p>
        </w:tc>
        <w:tc>
          <w:tcPr>
            <w:tcW w:w="1559" w:type="dxa"/>
            <w:vAlign w:val="center"/>
          </w:tcPr>
          <w:p w14:paraId="53D717EC">
            <w:pPr>
              <w:pStyle w:val="13"/>
            </w:pPr>
            <w:r>
              <w:t>普通教育</w:t>
            </w:r>
          </w:p>
        </w:tc>
        <w:tc>
          <w:tcPr>
            <w:tcW w:w="1134" w:type="dxa"/>
            <w:vAlign w:val="center"/>
          </w:tcPr>
          <w:p w14:paraId="6074EB9A">
            <w:pPr>
              <w:pStyle w:val="14"/>
            </w:pPr>
            <w:r>
              <w:t>226.80</w:t>
            </w:r>
          </w:p>
        </w:tc>
        <w:tc>
          <w:tcPr>
            <w:tcW w:w="1134" w:type="dxa"/>
            <w:vAlign w:val="center"/>
          </w:tcPr>
          <w:p w14:paraId="1F795D4F">
            <w:pPr>
              <w:pStyle w:val="14"/>
            </w:pPr>
            <w:r>
              <w:t>226.80</w:t>
            </w:r>
          </w:p>
        </w:tc>
        <w:tc>
          <w:tcPr>
            <w:tcW w:w="1134" w:type="dxa"/>
            <w:vAlign w:val="center"/>
          </w:tcPr>
          <w:p w14:paraId="135855E7">
            <w:pPr>
              <w:pStyle w:val="14"/>
            </w:pPr>
            <w:r>
              <w:t>226.80</w:t>
            </w:r>
          </w:p>
        </w:tc>
        <w:tc>
          <w:tcPr>
            <w:tcW w:w="1134" w:type="dxa"/>
            <w:vAlign w:val="center"/>
          </w:tcPr>
          <w:p w14:paraId="30BD4AAD">
            <w:pPr>
              <w:pStyle w:val="14"/>
            </w:pPr>
          </w:p>
        </w:tc>
        <w:tc>
          <w:tcPr>
            <w:tcW w:w="1134" w:type="dxa"/>
            <w:vAlign w:val="center"/>
          </w:tcPr>
          <w:p w14:paraId="7E1FB20E">
            <w:pPr>
              <w:pStyle w:val="14"/>
            </w:pPr>
          </w:p>
        </w:tc>
        <w:tc>
          <w:tcPr>
            <w:tcW w:w="1134" w:type="dxa"/>
            <w:vAlign w:val="center"/>
          </w:tcPr>
          <w:p w14:paraId="79FDB96F">
            <w:pPr>
              <w:pStyle w:val="14"/>
            </w:pPr>
          </w:p>
        </w:tc>
        <w:tc>
          <w:tcPr>
            <w:tcW w:w="1134" w:type="dxa"/>
            <w:vAlign w:val="center"/>
          </w:tcPr>
          <w:p w14:paraId="6AAF5049">
            <w:pPr>
              <w:pStyle w:val="14"/>
            </w:pPr>
          </w:p>
        </w:tc>
        <w:tc>
          <w:tcPr>
            <w:tcW w:w="1134" w:type="dxa"/>
            <w:vAlign w:val="center"/>
          </w:tcPr>
          <w:p w14:paraId="0D8F0E8D">
            <w:pPr>
              <w:pStyle w:val="14"/>
            </w:pPr>
          </w:p>
        </w:tc>
        <w:tc>
          <w:tcPr>
            <w:tcW w:w="1134" w:type="dxa"/>
            <w:vAlign w:val="center"/>
          </w:tcPr>
          <w:p w14:paraId="19C8D4F2">
            <w:pPr>
              <w:pStyle w:val="14"/>
            </w:pPr>
          </w:p>
        </w:tc>
        <w:tc>
          <w:tcPr>
            <w:tcW w:w="1134" w:type="dxa"/>
            <w:vAlign w:val="center"/>
          </w:tcPr>
          <w:p w14:paraId="37BE7962">
            <w:pPr>
              <w:pStyle w:val="14"/>
            </w:pPr>
          </w:p>
        </w:tc>
      </w:tr>
      <w:tr w14:paraId="22750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19E59F">
            <w:pPr>
              <w:pStyle w:val="12"/>
            </w:pPr>
            <w:r>
              <w:t>4</w:t>
            </w:r>
          </w:p>
        </w:tc>
        <w:tc>
          <w:tcPr>
            <w:tcW w:w="992" w:type="dxa"/>
            <w:vAlign w:val="center"/>
          </w:tcPr>
          <w:p w14:paraId="70899142">
            <w:pPr>
              <w:pStyle w:val="13"/>
            </w:pPr>
            <w:r>
              <w:t>2050201</w:t>
            </w:r>
          </w:p>
        </w:tc>
        <w:tc>
          <w:tcPr>
            <w:tcW w:w="1559" w:type="dxa"/>
            <w:vAlign w:val="center"/>
          </w:tcPr>
          <w:p w14:paraId="6E109B4D">
            <w:pPr>
              <w:pStyle w:val="13"/>
            </w:pPr>
            <w:r>
              <w:t>学前教育</w:t>
            </w:r>
          </w:p>
        </w:tc>
        <w:tc>
          <w:tcPr>
            <w:tcW w:w="1134" w:type="dxa"/>
            <w:vAlign w:val="center"/>
          </w:tcPr>
          <w:p w14:paraId="6472385D">
            <w:pPr>
              <w:pStyle w:val="14"/>
            </w:pPr>
            <w:r>
              <w:t>226.80</w:t>
            </w:r>
          </w:p>
        </w:tc>
        <w:tc>
          <w:tcPr>
            <w:tcW w:w="1134" w:type="dxa"/>
            <w:vAlign w:val="center"/>
          </w:tcPr>
          <w:p w14:paraId="39DE3DE8">
            <w:pPr>
              <w:pStyle w:val="14"/>
            </w:pPr>
            <w:r>
              <w:t>226.80</w:t>
            </w:r>
          </w:p>
        </w:tc>
        <w:tc>
          <w:tcPr>
            <w:tcW w:w="1134" w:type="dxa"/>
            <w:vAlign w:val="center"/>
          </w:tcPr>
          <w:p w14:paraId="29501015">
            <w:pPr>
              <w:pStyle w:val="14"/>
            </w:pPr>
            <w:r>
              <w:t>226.80</w:t>
            </w:r>
          </w:p>
        </w:tc>
        <w:tc>
          <w:tcPr>
            <w:tcW w:w="1134" w:type="dxa"/>
            <w:vAlign w:val="center"/>
          </w:tcPr>
          <w:p w14:paraId="3A1FA3E7">
            <w:pPr>
              <w:pStyle w:val="14"/>
            </w:pPr>
          </w:p>
        </w:tc>
        <w:tc>
          <w:tcPr>
            <w:tcW w:w="1134" w:type="dxa"/>
            <w:vAlign w:val="center"/>
          </w:tcPr>
          <w:p w14:paraId="3590F0AB">
            <w:pPr>
              <w:pStyle w:val="14"/>
            </w:pPr>
          </w:p>
        </w:tc>
        <w:tc>
          <w:tcPr>
            <w:tcW w:w="1134" w:type="dxa"/>
            <w:vAlign w:val="center"/>
          </w:tcPr>
          <w:p w14:paraId="601AF0B7">
            <w:pPr>
              <w:pStyle w:val="14"/>
            </w:pPr>
          </w:p>
        </w:tc>
        <w:tc>
          <w:tcPr>
            <w:tcW w:w="1134" w:type="dxa"/>
            <w:vAlign w:val="center"/>
          </w:tcPr>
          <w:p w14:paraId="4BB92B68">
            <w:pPr>
              <w:pStyle w:val="14"/>
            </w:pPr>
          </w:p>
        </w:tc>
        <w:tc>
          <w:tcPr>
            <w:tcW w:w="1134" w:type="dxa"/>
            <w:vAlign w:val="center"/>
          </w:tcPr>
          <w:p w14:paraId="584F1936">
            <w:pPr>
              <w:pStyle w:val="14"/>
            </w:pPr>
          </w:p>
        </w:tc>
        <w:tc>
          <w:tcPr>
            <w:tcW w:w="1134" w:type="dxa"/>
            <w:vAlign w:val="center"/>
          </w:tcPr>
          <w:p w14:paraId="3BE5A994">
            <w:pPr>
              <w:pStyle w:val="14"/>
            </w:pPr>
          </w:p>
        </w:tc>
        <w:tc>
          <w:tcPr>
            <w:tcW w:w="1134" w:type="dxa"/>
            <w:vAlign w:val="center"/>
          </w:tcPr>
          <w:p w14:paraId="4500A6FC">
            <w:pPr>
              <w:pStyle w:val="14"/>
            </w:pPr>
          </w:p>
        </w:tc>
      </w:tr>
    </w:tbl>
    <w:p w14:paraId="3CAC6AAD">
      <w:pPr>
        <w:sectPr>
          <w:pgSz w:w="16840" w:h="11900" w:orient="landscape"/>
          <w:pgMar w:top="1361" w:right="1020" w:bottom="1134" w:left="1020" w:header="720" w:footer="720" w:gutter="0"/>
          <w:cols w:space="720" w:num="1"/>
        </w:sectPr>
      </w:pPr>
    </w:p>
    <w:p w14:paraId="02735A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100D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FBF1D5">
            <w:pPr>
              <w:pStyle w:val="8"/>
            </w:pPr>
            <w:r>
              <w:t>360014隆尧县县直幼儿园</w:t>
            </w:r>
          </w:p>
        </w:tc>
        <w:tc>
          <w:tcPr>
            <w:tcW w:w="2722" w:type="dxa"/>
            <w:gridSpan w:val="2"/>
            <w:tcBorders>
              <w:top w:val="single" w:color="FFFFFF" w:sz="6" w:space="0"/>
              <w:left w:val="single" w:color="FFFFFF" w:sz="6" w:space="0"/>
              <w:right w:val="single" w:color="FFFFFF" w:sz="6" w:space="0"/>
            </w:tcBorders>
            <w:vAlign w:val="center"/>
          </w:tcPr>
          <w:p w14:paraId="437C789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86E0409">
            <w:pPr>
              <w:pStyle w:val="10"/>
            </w:pPr>
            <w:r>
              <w:t>单位：万元</w:t>
            </w:r>
          </w:p>
        </w:tc>
      </w:tr>
      <w:tr w14:paraId="06342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4941A3">
            <w:pPr>
              <w:pStyle w:val="11"/>
            </w:pPr>
            <w:r>
              <w:t>序号</w:t>
            </w:r>
          </w:p>
        </w:tc>
        <w:tc>
          <w:tcPr>
            <w:tcW w:w="5527" w:type="dxa"/>
            <w:gridSpan w:val="2"/>
            <w:vAlign w:val="center"/>
          </w:tcPr>
          <w:p w14:paraId="297045E0">
            <w:pPr>
              <w:pStyle w:val="11"/>
            </w:pPr>
            <w:r>
              <w:t>功能分类科目</w:t>
            </w:r>
          </w:p>
        </w:tc>
        <w:tc>
          <w:tcPr>
            <w:tcW w:w="1361" w:type="dxa"/>
            <w:vMerge w:val="restart"/>
            <w:vAlign w:val="center"/>
          </w:tcPr>
          <w:p w14:paraId="7803B587">
            <w:pPr>
              <w:pStyle w:val="11"/>
            </w:pPr>
            <w:r>
              <w:t>合计</w:t>
            </w:r>
          </w:p>
        </w:tc>
        <w:tc>
          <w:tcPr>
            <w:tcW w:w="1361" w:type="dxa"/>
            <w:vMerge w:val="restart"/>
            <w:vAlign w:val="center"/>
          </w:tcPr>
          <w:p w14:paraId="7C4F2036">
            <w:pPr>
              <w:pStyle w:val="11"/>
            </w:pPr>
            <w:r>
              <w:t>基本支出</w:t>
            </w:r>
          </w:p>
        </w:tc>
        <w:tc>
          <w:tcPr>
            <w:tcW w:w="1361" w:type="dxa"/>
            <w:vMerge w:val="restart"/>
            <w:vAlign w:val="center"/>
          </w:tcPr>
          <w:p w14:paraId="4E5583BA">
            <w:pPr>
              <w:pStyle w:val="11"/>
            </w:pPr>
            <w:r>
              <w:t>项目支出</w:t>
            </w:r>
          </w:p>
        </w:tc>
        <w:tc>
          <w:tcPr>
            <w:tcW w:w="1361" w:type="dxa"/>
            <w:vMerge w:val="restart"/>
            <w:vAlign w:val="center"/>
          </w:tcPr>
          <w:p w14:paraId="313DBAD9">
            <w:pPr>
              <w:pStyle w:val="11"/>
            </w:pPr>
            <w:r>
              <w:t>经营支出</w:t>
            </w:r>
          </w:p>
        </w:tc>
        <w:tc>
          <w:tcPr>
            <w:tcW w:w="1361" w:type="dxa"/>
            <w:vMerge w:val="restart"/>
            <w:vAlign w:val="center"/>
          </w:tcPr>
          <w:p w14:paraId="2BE1A589">
            <w:pPr>
              <w:pStyle w:val="11"/>
            </w:pPr>
            <w:r>
              <w:t>上解上级     支出</w:t>
            </w:r>
          </w:p>
        </w:tc>
        <w:tc>
          <w:tcPr>
            <w:tcW w:w="1361" w:type="dxa"/>
            <w:vMerge w:val="restart"/>
            <w:vAlign w:val="center"/>
          </w:tcPr>
          <w:p w14:paraId="437DF8CC">
            <w:pPr>
              <w:pStyle w:val="11"/>
            </w:pPr>
            <w:r>
              <w:t>对附属单位补助支出</w:t>
            </w:r>
          </w:p>
        </w:tc>
      </w:tr>
      <w:tr w14:paraId="309D8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110C8B"/>
        </w:tc>
        <w:tc>
          <w:tcPr>
            <w:tcW w:w="992" w:type="dxa"/>
            <w:vAlign w:val="center"/>
          </w:tcPr>
          <w:p w14:paraId="4BCCCD37">
            <w:pPr>
              <w:pStyle w:val="11"/>
            </w:pPr>
            <w:r>
              <w:t>科目    编码</w:t>
            </w:r>
          </w:p>
        </w:tc>
        <w:tc>
          <w:tcPr>
            <w:tcW w:w="4535" w:type="dxa"/>
            <w:vAlign w:val="center"/>
          </w:tcPr>
          <w:p w14:paraId="1A408832">
            <w:pPr>
              <w:pStyle w:val="11"/>
            </w:pPr>
            <w:r>
              <w:t>科目名称</w:t>
            </w:r>
          </w:p>
        </w:tc>
        <w:tc>
          <w:tcPr>
            <w:tcW w:w="1361" w:type="dxa"/>
            <w:vMerge w:val="continue"/>
          </w:tcPr>
          <w:p w14:paraId="32EDDB82"/>
        </w:tc>
        <w:tc>
          <w:tcPr>
            <w:tcW w:w="1361" w:type="dxa"/>
            <w:vMerge w:val="continue"/>
          </w:tcPr>
          <w:p w14:paraId="2FCD1691"/>
        </w:tc>
        <w:tc>
          <w:tcPr>
            <w:tcW w:w="1361" w:type="dxa"/>
            <w:vMerge w:val="continue"/>
          </w:tcPr>
          <w:p w14:paraId="2C714BD8"/>
        </w:tc>
        <w:tc>
          <w:tcPr>
            <w:tcW w:w="1361" w:type="dxa"/>
            <w:vMerge w:val="continue"/>
          </w:tcPr>
          <w:p w14:paraId="18C7AED6"/>
        </w:tc>
        <w:tc>
          <w:tcPr>
            <w:tcW w:w="1361" w:type="dxa"/>
            <w:vMerge w:val="continue"/>
          </w:tcPr>
          <w:p w14:paraId="302CFF59"/>
        </w:tc>
        <w:tc>
          <w:tcPr>
            <w:tcW w:w="1361" w:type="dxa"/>
            <w:vMerge w:val="continue"/>
          </w:tcPr>
          <w:p w14:paraId="5D33B28F"/>
        </w:tc>
      </w:tr>
      <w:tr w14:paraId="41098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F17750">
            <w:pPr>
              <w:pStyle w:val="11"/>
            </w:pPr>
            <w:r>
              <w:t>栏次</w:t>
            </w:r>
          </w:p>
        </w:tc>
        <w:tc>
          <w:tcPr>
            <w:tcW w:w="992" w:type="dxa"/>
            <w:vAlign w:val="center"/>
          </w:tcPr>
          <w:p w14:paraId="2C24C169">
            <w:pPr>
              <w:pStyle w:val="11"/>
            </w:pPr>
            <w:r>
              <w:t>1</w:t>
            </w:r>
          </w:p>
        </w:tc>
        <w:tc>
          <w:tcPr>
            <w:tcW w:w="4535" w:type="dxa"/>
            <w:vAlign w:val="center"/>
          </w:tcPr>
          <w:p w14:paraId="7916AE53">
            <w:pPr>
              <w:pStyle w:val="11"/>
            </w:pPr>
            <w:r>
              <w:t>2</w:t>
            </w:r>
          </w:p>
        </w:tc>
        <w:tc>
          <w:tcPr>
            <w:tcW w:w="1361" w:type="dxa"/>
            <w:vAlign w:val="center"/>
          </w:tcPr>
          <w:p w14:paraId="3FBBE142">
            <w:pPr>
              <w:pStyle w:val="11"/>
            </w:pPr>
            <w:r>
              <w:t>3</w:t>
            </w:r>
          </w:p>
        </w:tc>
        <w:tc>
          <w:tcPr>
            <w:tcW w:w="1361" w:type="dxa"/>
            <w:vAlign w:val="center"/>
          </w:tcPr>
          <w:p w14:paraId="50E782A4">
            <w:pPr>
              <w:pStyle w:val="11"/>
            </w:pPr>
            <w:r>
              <w:t>4</w:t>
            </w:r>
          </w:p>
        </w:tc>
        <w:tc>
          <w:tcPr>
            <w:tcW w:w="1361" w:type="dxa"/>
            <w:vAlign w:val="center"/>
          </w:tcPr>
          <w:p w14:paraId="770DB543">
            <w:pPr>
              <w:pStyle w:val="11"/>
            </w:pPr>
            <w:r>
              <w:t>5</w:t>
            </w:r>
          </w:p>
        </w:tc>
        <w:tc>
          <w:tcPr>
            <w:tcW w:w="1361" w:type="dxa"/>
            <w:vAlign w:val="center"/>
          </w:tcPr>
          <w:p w14:paraId="15DF18AF">
            <w:pPr>
              <w:pStyle w:val="11"/>
            </w:pPr>
            <w:r>
              <w:t>6</w:t>
            </w:r>
          </w:p>
        </w:tc>
        <w:tc>
          <w:tcPr>
            <w:tcW w:w="1361" w:type="dxa"/>
            <w:vAlign w:val="center"/>
          </w:tcPr>
          <w:p w14:paraId="02353140">
            <w:pPr>
              <w:pStyle w:val="11"/>
            </w:pPr>
            <w:r>
              <w:t>7</w:t>
            </w:r>
          </w:p>
        </w:tc>
        <w:tc>
          <w:tcPr>
            <w:tcW w:w="1361" w:type="dxa"/>
            <w:vAlign w:val="center"/>
          </w:tcPr>
          <w:p w14:paraId="5E4024B7">
            <w:pPr>
              <w:pStyle w:val="11"/>
            </w:pPr>
            <w:r>
              <w:t>8</w:t>
            </w:r>
          </w:p>
        </w:tc>
      </w:tr>
      <w:tr w14:paraId="72FEE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64883">
            <w:pPr>
              <w:pStyle w:val="12"/>
            </w:pPr>
            <w:r>
              <w:t>1</w:t>
            </w:r>
          </w:p>
        </w:tc>
        <w:tc>
          <w:tcPr>
            <w:tcW w:w="992" w:type="dxa"/>
            <w:vAlign w:val="center"/>
          </w:tcPr>
          <w:p w14:paraId="3577FE8B">
            <w:pPr>
              <w:pStyle w:val="17"/>
            </w:pPr>
          </w:p>
        </w:tc>
        <w:tc>
          <w:tcPr>
            <w:tcW w:w="4535" w:type="dxa"/>
            <w:vAlign w:val="center"/>
          </w:tcPr>
          <w:p w14:paraId="0045845B">
            <w:pPr>
              <w:pStyle w:val="15"/>
            </w:pPr>
            <w:r>
              <w:t>合计</w:t>
            </w:r>
          </w:p>
        </w:tc>
        <w:tc>
          <w:tcPr>
            <w:tcW w:w="1361" w:type="dxa"/>
            <w:vAlign w:val="center"/>
          </w:tcPr>
          <w:p w14:paraId="574C2217">
            <w:pPr>
              <w:pStyle w:val="16"/>
            </w:pPr>
            <w:r>
              <w:t>226.80</w:t>
            </w:r>
          </w:p>
        </w:tc>
        <w:tc>
          <w:tcPr>
            <w:tcW w:w="1361" w:type="dxa"/>
            <w:vAlign w:val="center"/>
          </w:tcPr>
          <w:p w14:paraId="3BE0E1AF">
            <w:pPr>
              <w:pStyle w:val="16"/>
            </w:pPr>
            <w:r>
              <w:t>28.10</w:t>
            </w:r>
          </w:p>
        </w:tc>
        <w:tc>
          <w:tcPr>
            <w:tcW w:w="1361" w:type="dxa"/>
            <w:vAlign w:val="center"/>
          </w:tcPr>
          <w:p w14:paraId="7D63A640">
            <w:pPr>
              <w:pStyle w:val="16"/>
            </w:pPr>
            <w:r>
              <w:t>198.70</w:t>
            </w:r>
          </w:p>
        </w:tc>
        <w:tc>
          <w:tcPr>
            <w:tcW w:w="1361" w:type="dxa"/>
            <w:vAlign w:val="center"/>
          </w:tcPr>
          <w:p w14:paraId="296F4835">
            <w:pPr>
              <w:pStyle w:val="16"/>
            </w:pPr>
          </w:p>
        </w:tc>
        <w:tc>
          <w:tcPr>
            <w:tcW w:w="1361" w:type="dxa"/>
            <w:vAlign w:val="center"/>
          </w:tcPr>
          <w:p w14:paraId="3F8A1EDF">
            <w:pPr>
              <w:pStyle w:val="16"/>
            </w:pPr>
          </w:p>
        </w:tc>
        <w:tc>
          <w:tcPr>
            <w:tcW w:w="1361" w:type="dxa"/>
            <w:vAlign w:val="center"/>
          </w:tcPr>
          <w:p w14:paraId="7CC71AA0">
            <w:pPr>
              <w:pStyle w:val="16"/>
            </w:pPr>
          </w:p>
        </w:tc>
      </w:tr>
      <w:tr w14:paraId="45360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D2EB9">
            <w:pPr>
              <w:pStyle w:val="12"/>
            </w:pPr>
            <w:r>
              <w:t>2</w:t>
            </w:r>
          </w:p>
        </w:tc>
        <w:tc>
          <w:tcPr>
            <w:tcW w:w="992" w:type="dxa"/>
            <w:vAlign w:val="center"/>
          </w:tcPr>
          <w:p w14:paraId="0F62576F">
            <w:pPr>
              <w:pStyle w:val="13"/>
            </w:pPr>
            <w:r>
              <w:t>205</w:t>
            </w:r>
          </w:p>
        </w:tc>
        <w:tc>
          <w:tcPr>
            <w:tcW w:w="4535" w:type="dxa"/>
            <w:vAlign w:val="center"/>
          </w:tcPr>
          <w:p w14:paraId="0EC6F3CB">
            <w:pPr>
              <w:pStyle w:val="13"/>
            </w:pPr>
            <w:r>
              <w:t>教育支出</w:t>
            </w:r>
          </w:p>
        </w:tc>
        <w:tc>
          <w:tcPr>
            <w:tcW w:w="1361" w:type="dxa"/>
            <w:vAlign w:val="center"/>
          </w:tcPr>
          <w:p w14:paraId="3159529C">
            <w:pPr>
              <w:pStyle w:val="14"/>
            </w:pPr>
            <w:r>
              <w:t>226.80</w:t>
            </w:r>
          </w:p>
        </w:tc>
        <w:tc>
          <w:tcPr>
            <w:tcW w:w="1361" w:type="dxa"/>
            <w:vAlign w:val="center"/>
          </w:tcPr>
          <w:p w14:paraId="430E3300">
            <w:pPr>
              <w:pStyle w:val="14"/>
            </w:pPr>
            <w:r>
              <w:t>28.10</w:t>
            </w:r>
          </w:p>
        </w:tc>
        <w:tc>
          <w:tcPr>
            <w:tcW w:w="1361" w:type="dxa"/>
            <w:vAlign w:val="center"/>
          </w:tcPr>
          <w:p w14:paraId="263438FC">
            <w:pPr>
              <w:pStyle w:val="14"/>
            </w:pPr>
            <w:r>
              <w:t>198.70</w:t>
            </w:r>
          </w:p>
        </w:tc>
        <w:tc>
          <w:tcPr>
            <w:tcW w:w="1361" w:type="dxa"/>
            <w:vAlign w:val="center"/>
          </w:tcPr>
          <w:p w14:paraId="6717B72D">
            <w:pPr>
              <w:pStyle w:val="14"/>
            </w:pPr>
          </w:p>
        </w:tc>
        <w:tc>
          <w:tcPr>
            <w:tcW w:w="1361" w:type="dxa"/>
            <w:vAlign w:val="center"/>
          </w:tcPr>
          <w:p w14:paraId="49DB6284">
            <w:pPr>
              <w:pStyle w:val="14"/>
            </w:pPr>
          </w:p>
        </w:tc>
        <w:tc>
          <w:tcPr>
            <w:tcW w:w="1361" w:type="dxa"/>
            <w:vAlign w:val="center"/>
          </w:tcPr>
          <w:p w14:paraId="3B931462">
            <w:pPr>
              <w:pStyle w:val="14"/>
            </w:pPr>
          </w:p>
        </w:tc>
      </w:tr>
      <w:tr w14:paraId="7AA11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18063">
            <w:pPr>
              <w:pStyle w:val="12"/>
            </w:pPr>
            <w:r>
              <w:t>3</w:t>
            </w:r>
          </w:p>
        </w:tc>
        <w:tc>
          <w:tcPr>
            <w:tcW w:w="992" w:type="dxa"/>
            <w:vAlign w:val="center"/>
          </w:tcPr>
          <w:p w14:paraId="7A0B4F29">
            <w:pPr>
              <w:pStyle w:val="13"/>
            </w:pPr>
            <w:r>
              <w:t>20502</w:t>
            </w:r>
          </w:p>
        </w:tc>
        <w:tc>
          <w:tcPr>
            <w:tcW w:w="4535" w:type="dxa"/>
            <w:vAlign w:val="center"/>
          </w:tcPr>
          <w:p w14:paraId="7553A32A">
            <w:pPr>
              <w:pStyle w:val="13"/>
            </w:pPr>
            <w:r>
              <w:t>普通教育</w:t>
            </w:r>
          </w:p>
        </w:tc>
        <w:tc>
          <w:tcPr>
            <w:tcW w:w="1361" w:type="dxa"/>
            <w:vAlign w:val="center"/>
          </w:tcPr>
          <w:p w14:paraId="4FFD78AE">
            <w:pPr>
              <w:pStyle w:val="14"/>
            </w:pPr>
            <w:r>
              <w:t>226.80</w:t>
            </w:r>
          </w:p>
        </w:tc>
        <w:tc>
          <w:tcPr>
            <w:tcW w:w="1361" w:type="dxa"/>
            <w:vAlign w:val="center"/>
          </w:tcPr>
          <w:p w14:paraId="3BC17F67">
            <w:pPr>
              <w:pStyle w:val="14"/>
            </w:pPr>
            <w:r>
              <w:t>28.10</w:t>
            </w:r>
          </w:p>
        </w:tc>
        <w:tc>
          <w:tcPr>
            <w:tcW w:w="1361" w:type="dxa"/>
            <w:vAlign w:val="center"/>
          </w:tcPr>
          <w:p w14:paraId="304E50E0">
            <w:pPr>
              <w:pStyle w:val="14"/>
            </w:pPr>
            <w:r>
              <w:t>198.70</w:t>
            </w:r>
          </w:p>
        </w:tc>
        <w:tc>
          <w:tcPr>
            <w:tcW w:w="1361" w:type="dxa"/>
            <w:vAlign w:val="center"/>
          </w:tcPr>
          <w:p w14:paraId="62E5C8E3">
            <w:pPr>
              <w:pStyle w:val="14"/>
            </w:pPr>
          </w:p>
        </w:tc>
        <w:tc>
          <w:tcPr>
            <w:tcW w:w="1361" w:type="dxa"/>
            <w:vAlign w:val="center"/>
          </w:tcPr>
          <w:p w14:paraId="11357264">
            <w:pPr>
              <w:pStyle w:val="14"/>
            </w:pPr>
          </w:p>
        </w:tc>
        <w:tc>
          <w:tcPr>
            <w:tcW w:w="1361" w:type="dxa"/>
            <w:vAlign w:val="center"/>
          </w:tcPr>
          <w:p w14:paraId="0A78A8C8">
            <w:pPr>
              <w:pStyle w:val="14"/>
            </w:pPr>
          </w:p>
        </w:tc>
      </w:tr>
      <w:tr w14:paraId="7F720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4B84A">
            <w:pPr>
              <w:pStyle w:val="12"/>
            </w:pPr>
            <w:r>
              <w:t>4</w:t>
            </w:r>
          </w:p>
        </w:tc>
        <w:tc>
          <w:tcPr>
            <w:tcW w:w="992" w:type="dxa"/>
            <w:vAlign w:val="center"/>
          </w:tcPr>
          <w:p w14:paraId="44B9EB64">
            <w:pPr>
              <w:pStyle w:val="13"/>
            </w:pPr>
            <w:r>
              <w:t>2050201</w:t>
            </w:r>
          </w:p>
        </w:tc>
        <w:tc>
          <w:tcPr>
            <w:tcW w:w="4535" w:type="dxa"/>
            <w:vAlign w:val="center"/>
          </w:tcPr>
          <w:p w14:paraId="70169F26">
            <w:pPr>
              <w:pStyle w:val="13"/>
            </w:pPr>
            <w:r>
              <w:t>学前教育</w:t>
            </w:r>
          </w:p>
        </w:tc>
        <w:tc>
          <w:tcPr>
            <w:tcW w:w="1361" w:type="dxa"/>
            <w:vAlign w:val="center"/>
          </w:tcPr>
          <w:p w14:paraId="3EFAAF44">
            <w:pPr>
              <w:pStyle w:val="14"/>
            </w:pPr>
            <w:r>
              <w:t>226.80</w:t>
            </w:r>
          </w:p>
        </w:tc>
        <w:tc>
          <w:tcPr>
            <w:tcW w:w="1361" w:type="dxa"/>
            <w:vAlign w:val="center"/>
          </w:tcPr>
          <w:p w14:paraId="226FE19D">
            <w:pPr>
              <w:pStyle w:val="14"/>
            </w:pPr>
            <w:r>
              <w:t>28.10</w:t>
            </w:r>
          </w:p>
        </w:tc>
        <w:tc>
          <w:tcPr>
            <w:tcW w:w="1361" w:type="dxa"/>
            <w:vAlign w:val="center"/>
          </w:tcPr>
          <w:p w14:paraId="318AE279">
            <w:pPr>
              <w:pStyle w:val="14"/>
            </w:pPr>
            <w:r>
              <w:t>198.70</w:t>
            </w:r>
          </w:p>
        </w:tc>
        <w:tc>
          <w:tcPr>
            <w:tcW w:w="1361" w:type="dxa"/>
            <w:vAlign w:val="center"/>
          </w:tcPr>
          <w:p w14:paraId="1855E45D">
            <w:pPr>
              <w:pStyle w:val="14"/>
            </w:pPr>
          </w:p>
        </w:tc>
        <w:tc>
          <w:tcPr>
            <w:tcW w:w="1361" w:type="dxa"/>
            <w:vAlign w:val="center"/>
          </w:tcPr>
          <w:p w14:paraId="275114E5">
            <w:pPr>
              <w:pStyle w:val="14"/>
            </w:pPr>
          </w:p>
        </w:tc>
        <w:tc>
          <w:tcPr>
            <w:tcW w:w="1361" w:type="dxa"/>
            <w:vAlign w:val="center"/>
          </w:tcPr>
          <w:p w14:paraId="6C674486">
            <w:pPr>
              <w:pStyle w:val="14"/>
            </w:pPr>
          </w:p>
        </w:tc>
      </w:tr>
    </w:tbl>
    <w:p w14:paraId="7C466FD7">
      <w:pPr>
        <w:sectPr>
          <w:pgSz w:w="16840" w:h="11900" w:orient="landscape"/>
          <w:pgMar w:top="1361" w:right="1020" w:bottom="1134" w:left="1020" w:header="720" w:footer="720" w:gutter="0"/>
          <w:cols w:space="720" w:num="1"/>
        </w:sectPr>
      </w:pPr>
    </w:p>
    <w:p w14:paraId="169317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64D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931805">
            <w:pPr>
              <w:pStyle w:val="8"/>
            </w:pPr>
            <w:r>
              <w:t>360014隆尧县县直幼儿园</w:t>
            </w:r>
          </w:p>
        </w:tc>
        <w:tc>
          <w:tcPr>
            <w:tcW w:w="3402" w:type="dxa"/>
            <w:tcBorders>
              <w:top w:val="single" w:color="FFFFFF" w:sz="6" w:space="0"/>
              <w:left w:val="single" w:color="FFFFFF" w:sz="6" w:space="0"/>
              <w:right w:val="single" w:color="FFFFFF" w:sz="6" w:space="0"/>
            </w:tcBorders>
            <w:vAlign w:val="center"/>
          </w:tcPr>
          <w:p w14:paraId="2A8F5D47">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0F2F2E0">
            <w:pPr>
              <w:pStyle w:val="10"/>
            </w:pPr>
            <w:r>
              <w:t>单位：万元</w:t>
            </w:r>
          </w:p>
        </w:tc>
      </w:tr>
      <w:tr w14:paraId="49353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2408E6">
            <w:pPr>
              <w:pStyle w:val="11"/>
            </w:pPr>
            <w:r>
              <w:t>序号</w:t>
            </w:r>
          </w:p>
        </w:tc>
        <w:tc>
          <w:tcPr>
            <w:tcW w:w="4876" w:type="dxa"/>
            <w:gridSpan w:val="2"/>
            <w:vAlign w:val="center"/>
          </w:tcPr>
          <w:p w14:paraId="387FDE83">
            <w:pPr>
              <w:pStyle w:val="11"/>
            </w:pPr>
            <w:r>
              <w:t>收入</w:t>
            </w:r>
          </w:p>
        </w:tc>
        <w:tc>
          <w:tcPr>
            <w:tcW w:w="9298" w:type="dxa"/>
            <w:gridSpan w:val="5"/>
            <w:vAlign w:val="center"/>
          </w:tcPr>
          <w:p w14:paraId="7AE81875">
            <w:pPr>
              <w:pStyle w:val="11"/>
            </w:pPr>
            <w:r>
              <w:t>支出</w:t>
            </w:r>
          </w:p>
        </w:tc>
      </w:tr>
      <w:tr w14:paraId="229A0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CCEA7C"/>
        </w:tc>
        <w:tc>
          <w:tcPr>
            <w:tcW w:w="3402" w:type="dxa"/>
            <w:vAlign w:val="center"/>
          </w:tcPr>
          <w:p w14:paraId="4037B5D3">
            <w:pPr>
              <w:pStyle w:val="11"/>
            </w:pPr>
            <w:r>
              <w:t>项  目</w:t>
            </w:r>
          </w:p>
        </w:tc>
        <w:tc>
          <w:tcPr>
            <w:tcW w:w="1474" w:type="dxa"/>
            <w:vAlign w:val="center"/>
          </w:tcPr>
          <w:p w14:paraId="2F8D32AF">
            <w:pPr>
              <w:pStyle w:val="11"/>
            </w:pPr>
            <w:r>
              <w:t>金额</w:t>
            </w:r>
          </w:p>
        </w:tc>
        <w:tc>
          <w:tcPr>
            <w:tcW w:w="3402" w:type="dxa"/>
            <w:vAlign w:val="center"/>
          </w:tcPr>
          <w:p w14:paraId="3C085C22">
            <w:pPr>
              <w:pStyle w:val="11"/>
            </w:pPr>
            <w:r>
              <w:t>项  目</w:t>
            </w:r>
          </w:p>
        </w:tc>
        <w:tc>
          <w:tcPr>
            <w:tcW w:w="1474" w:type="dxa"/>
            <w:vAlign w:val="center"/>
          </w:tcPr>
          <w:p w14:paraId="09943036">
            <w:pPr>
              <w:pStyle w:val="11"/>
            </w:pPr>
            <w:r>
              <w:t>合计</w:t>
            </w:r>
          </w:p>
        </w:tc>
        <w:tc>
          <w:tcPr>
            <w:tcW w:w="1474" w:type="dxa"/>
            <w:vAlign w:val="center"/>
          </w:tcPr>
          <w:p w14:paraId="2EC94EEA">
            <w:pPr>
              <w:pStyle w:val="11"/>
            </w:pPr>
            <w:r>
              <w:t>一般公共预算财政拨款</w:t>
            </w:r>
          </w:p>
        </w:tc>
        <w:tc>
          <w:tcPr>
            <w:tcW w:w="1474" w:type="dxa"/>
            <w:vAlign w:val="center"/>
          </w:tcPr>
          <w:p w14:paraId="595CDDD2">
            <w:pPr>
              <w:pStyle w:val="11"/>
            </w:pPr>
            <w:r>
              <w:t>政府性基金预算财政    拨款</w:t>
            </w:r>
          </w:p>
        </w:tc>
        <w:tc>
          <w:tcPr>
            <w:tcW w:w="1474" w:type="dxa"/>
            <w:vAlign w:val="center"/>
          </w:tcPr>
          <w:p w14:paraId="4F1644C8">
            <w:pPr>
              <w:pStyle w:val="11"/>
            </w:pPr>
            <w:r>
              <w:t>国有资本经营预算财政拨款</w:t>
            </w:r>
          </w:p>
        </w:tc>
      </w:tr>
      <w:tr w14:paraId="4F46F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434B19">
            <w:pPr>
              <w:pStyle w:val="11"/>
            </w:pPr>
            <w:r>
              <w:t>栏次</w:t>
            </w:r>
          </w:p>
        </w:tc>
        <w:tc>
          <w:tcPr>
            <w:tcW w:w="3402" w:type="dxa"/>
            <w:vAlign w:val="center"/>
          </w:tcPr>
          <w:p w14:paraId="6EBEA7BD">
            <w:pPr>
              <w:pStyle w:val="11"/>
            </w:pPr>
            <w:r>
              <w:t>1</w:t>
            </w:r>
          </w:p>
        </w:tc>
        <w:tc>
          <w:tcPr>
            <w:tcW w:w="1474" w:type="dxa"/>
            <w:vAlign w:val="center"/>
          </w:tcPr>
          <w:p w14:paraId="655C110C">
            <w:pPr>
              <w:pStyle w:val="11"/>
            </w:pPr>
            <w:r>
              <w:t>2</w:t>
            </w:r>
          </w:p>
        </w:tc>
        <w:tc>
          <w:tcPr>
            <w:tcW w:w="3402" w:type="dxa"/>
            <w:vAlign w:val="center"/>
          </w:tcPr>
          <w:p w14:paraId="14866D9F">
            <w:pPr>
              <w:pStyle w:val="11"/>
            </w:pPr>
            <w:r>
              <w:t>3</w:t>
            </w:r>
          </w:p>
        </w:tc>
        <w:tc>
          <w:tcPr>
            <w:tcW w:w="1474" w:type="dxa"/>
            <w:vAlign w:val="center"/>
          </w:tcPr>
          <w:p w14:paraId="052B624A">
            <w:pPr>
              <w:pStyle w:val="11"/>
            </w:pPr>
            <w:r>
              <w:t>4</w:t>
            </w:r>
          </w:p>
        </w:tc>
        <w:tc>
          <w:tcPr>
            <w:tcW w:w="1474" w:type="dxa"/>
            <w:vAlign w:val="center"/>
          </w:tcPr>
          <w:p w14:paraId="4A86A5D8">
            <w:pPr>
              <w:pStyle w:val="11"/>
            </w:pPr>
            <w:r>
              <w:t>5</w:t>
            </w:r>
          </w:p>
        </w:tc>
        <w:tc>
          <w:tcPr>
            <w:tcW w:w="1474" w:type="dxa"/>
            <w:vAlign w:val="center"/>
          </w:tcPr>
          <w:p w14:paraId="3457AA33">
            <w:pPr>
              <w:pStyle w:val="11"/>
            </w:pPr>
            <w:r>
              <w:t>6</w:t>
            </w:r>
          </w:p>
        </w:tc>
        <w:tc>
          <w:tcPr>
            <w:tcW w:w="1474" w:type="dxa"/>
            <w:vAlign w:val="center"/>
          </w:tcPr>
          <w:p w14:paraId="6ACBF142">
            <w:pPr>
              <w:pStyle w:val="11"/>
            </w:pPr>
            <w:r>
              <w:t>7</w:t>
            </w:r>
          </w:p>
        </w:tc>
      </w:tr>
      <w:tr w14:paraId="54FFF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64259">
            <w:pPr>
              <w:pStyle w:val="12"/>
            </w:pPr>
            <w:r>
              <w:t>1</w:t>
            </w:r>
          </w:p>
        </w:tc>
        <w:tc>
          <w:tcPr>
            <w:tcW w:w="3402" w:type="dxa"/>
            <w:vAlign w:val="center"/>
          </w:tcPr>
          <w:p w14:paraId="7A8FD914">
            <w:pPr>
              <w:pStyle w:val="13"/>
            </w:pPr>
            <w:r>
              <w:t>一、一般公共预算拨款</w:t>
            </w:r>
          </w:p>
        </w:tc>
        <w:tc>
          <w:tcPr>
            <w:tcW w:w="1474" w:type="dxa"/>
            <w:vAlign w:val="center"/>
          </w:tcPr>
          <w:p w14:paraId="29ACA7C8">
            <w:pPr>
              <w:pStyle w:val="14"/>
            </w:pPr>
            <w:r>
              <w:t>226.80</w:t>
            </w:r>
          </w:p>
        </w:tc>
        <w:tc>
          <w:tcPr>
            <w:tcW w:w="3402" w:type="dxa"/>
            <w:vAlign w:val="center"/>
          </w:tcPr>
          <w:p w14:paraId="5530B351">
            <w:pPr>
              <w:pStyle w:val="13"/>
            </w:pPr>
            <w:r>
              <w:t>一、一般公共服务支出</w:t>
            </w:r>
          </w:p>
        </w:tc>
        <w:tc>
          <w:tcPr>
            <w:tcW w:w="1474" w:type="dxa"/>
            <w:vAlign w:val="center"/>
          </w:tcPr>
          <w:p w14:paraId="478725E9">
            <w:pPr>
              <w:pStyle w:val="14"/>
            </w:pPr>
          </w:p>
        </w:tc>
        <w:tc>
          <w:tcPr>
            <w:tcW w:w="1474" w:type="dxa"/>
            <w:vAlign w:val="center"/>
          </w:tcPr>
          <w:p w14:paraId="2FD3A627">
            <w:pPr>
              <w:pStyle w:val="14"/>
            </w:pPr>
          </w:p>
        </w:tc>
        <w:tc>
          <w:tcPr>
            <w:tcW w:w="1474" w:type="dxa"/>
            <w:vAlign w:val="center"/>
          </w:tcPr>
          <w:p w14:paraId="5F7D891B">
            <w:pPr>
              <w:pStyle w:val="14"/>
            </w:pPr>
          </w:p>
        </w:tc>
        <w:tc>
          <w:tcPr>
            <w:tcW w:w="1474" w:type="dxa"/>
            <w:vAlign w:val="center"/>
          </w:tcPr>
          <w:p w14:paraId="4A026C38">
            <w:pPr>
              <w:pStyle w:val="14"/>
            </w:pPr>
          </w:p>
        </w:tc>
      </w:tr>
      <w:tr w14:paraId="0F276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95223">
            <w:pPr>
              <w:pStyle w:val="12"/>
            </w:pPr>
            <w:r>
              <w:t>2</w:t>
            </w:r>
          </w:p>
        </w:tc>
        <w:tc>
          <w:tcPr>
            <w:tcW w:w="3402" w:type="dxa"/>
            <w:vAlign w:val="center"/>
          </w:tcPr>
          <w:p w14:paraId="009C151E">
            <w:pPr>
              <w:pStyle w:val="13"/>
            </w:pPr>
            <w:r>
              <w:t>二、政府性基金预算拨款</w:t>
            </w:r>
          </w:p>
        </w:tc>
        <w:tc>
          <w:tcPr>
            <w:tcW w:w="1474" w:type="dxa"/>
            <w:vAlign w:val="center"/>
          </w:tcPr>
          <w:p w14:paraId="5499A65A">
            <w:pPr>
              <w:pStyle w:val="14"/>
            </w:pPr>
          </w:p>
        </w:tc>
        <w:tc>
          <w:tcPr>
            <w:tcW w:w="3402" w:type="dxa"/>
            <w:vAlign w:val="center"/>
          </w:tcPr>
          <w:p w14:paraId="260232AC">
            <w:pPr>
              <w:pStyle w:val="13"/>
            </w:pPr>
            <w:r>
              <w:t>二、外交支出</w:t>
            </w:r>
          </w:p>
        </w:tc>
        <w:tc>
          <w:tcPr>
            <w:tcW w:w="1474" w:type="dxa"/>
            <w:vAlign w:val="center"/>
          </w:tcPr>
          <w:p w14:paraId="6ED6F59A">
            <w:pPr>
              <w:pStyle w:val="14"/>
            </w:pPr>
          </w:p>
        </w:tc>
        <w:tc>
          <w:tcPr>
            <w:tcW w:w="1474" w:type="dxa"/>
            <w:vAlign w:val="center"/>
          </w:tcPr>
          <w:p w14:paraId="4D253E05">
            <w:pPr>
              <w:pStyle w:val="14"/>
            </w:pPr>
          </w:p>
        </w:tc>
        <w:tc>
          <w:tcPr>
            <w:tcW w:w="1474" w:type="dxa"/>
            <w:vAlign w:val="center"/>
          </w:tcPr>
          <w:p w14:paraId="2B15B46C">
            <w:pPr>
              <w:pStyle w:val="14"/>
            </w:pPr>
          </w:p>
        </w:tc>
        <w:tc>
          <w:tcPr>
            <w:tcW w:w="1474" w:type="dxa"/>
            <w:vAlign w:val="center"/>
          </w:tcPr>
          <w:p w14:paraId="6390F371">
            <w:pPr>
              <w:pStyle w:val="14"/>
            </w:pPr>
          </w:p>
        </w:tc>
      </w:tr>
      <w:tr w14:paraId="74748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C0C68">
            <w:pPr>
              <w:pStyle w:val="12"/>
            </w:pPr>
            <w:r>
              <w:t>3</w:t>
            </w:r>
          </w:p>
        </w:tc>
        <w:tc>
          <w:tcPr>
            <w:tcW w:w="3402" w:type="dxa"/>
            <w:vAlign w:val="center"/>
          </w:tcPr>
          <w:p w14:paraId="2575C293">
            <w:pPr>
              <w:pStyle w:val="13"/>
            </w:pPr>
            <w:r>
              <w:t>三、国有资本经营预算拨款</w:t>
            </w:r>
          </w:p>
        </w:tc>
        <w:tc>
          <w:tcPr>
            <w:tcW w:w="1474" w:type="dxa"/>
            <w:vAlign w:val="center"/>
          </w:tcPr>
          <w:p w14:paraId="6A49DD21">
            <w:pPr>
              <w:pStyle w:val="14"/>
            </w:pPr>
          </w:p>
        </w:tc>
        <w:tc>
          <w:tcPr>
            <w:tcW w:w="3402" w:type="dxa"/>
            <w:vAlign w:val="center"/>
          </w:tcPr>
          <w:p w14:paraId="34869F13">
            <w:pPr>
              <w:pStyle w:val="13"/>
            </w:pPr>
            <w:r>
              <w:t>三、国防支出</w:t>
            </w:r>
          </w:p>
        </w:tc>
        <w:tc>
          <w:tcPr>
            <w:tcW w:w="1474" w:type="dxa"/>
            <w:vAlign w:val="center"/>
          </w:tcPr>
          <w:p w14:paraId="43B9FBD7">
            <w:pPr>
              <w:pStyle w:val="14"/>
            </w:pPr>
          </w:p>
        </w:tc>
        <w:tc>
          <w:tcPr>
            <w:tcW w:w="1474" w:type="dxa"/>
            <w:vAlign w:val="center"/>
          </w:tcPr>
          <w:p w14:paraId="5A442C57">
            <w:pPr>
              <w:pStyle w:val="14"/>
            </w:pPr>
          </w:p>
        </w:tc>
        <w:tc>
          <w:tcPr>
            <w:tcW w:w="1474" w:type="dxa"/>
            <w:vAlign w:val="center"/>
          </w:tcPr>
          <w:p w14:paraId="1C6BCF6A">
            <w:pPr>
              <w:pStyle w:val="14"/>
            </w:pPr>
          </w:p>
        </w:tc>
        <w:tc>
          <w:tcPr>
            <w:tcW w:w="1474" w:type="dxa"/>
            <w:vAlign w:val="center"/>
          </w:tcPr>
          <w:p w14:paraId="602206E4">
            <w:pPr>
              <w:pStyle w:val="14"/>
            </w:pPr>
          </w:p>
        </w:tc>
      </w:tr>
      <w:tr w14:paraId="3C144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DE853">
            <w:pPr>
              <w:pStyle w:val="12"/>
            </w:pPr>
            <w:r>
              <w:t>4</w:t>
            </w:r>
          </w:p>
        </w:tc>
        <w:tc>
          <w:tcPr>
            <w:tcW w:w="3402" w:type="dxa"/>
            <w:vAlign w:val="center"/>
          </w:tcPr>
          <w:p w14:paraId="5E6D0545">
            <w:pPr>
              <w:pStyle w:val="13"/>
            </w:pPr>
          </w:p>
        </w:tc>
        <w:tc>
          <w:tcPr>
            <w:tcW w:w="1474" w:type="dxa"/>
            <w:vAlign w:val="center"/>
          </w:tcPr>
          <w:p w14:paraId="3C0FF519">
            <w:pPr>
              <w:pStyle w:val="14"/>
            </w:pPr>
          </w:p>
        </w:tc>
        <w:tc>
          <w:tcPr>
            <w:tcW w:w="3402" w:type="dxa"/>
            <w:vAlign w:val="center"/>
          </w:tcPr>
          <w:p w14:paraId="464228A5">
            <w:pPr>
              <w:pStyle w:val="13"/>
            </w:pPr>
            <w:r>
              <w:t>四、公共安全支出</w:t>
            </w:r>
          </w:p>
        </w:tc>
        <w:tc>
          <w:tcPr>
            <w:tcW w:w="1474" w:type="dxa"/>
            <w:vAlign w:val="center"/>
          </w:tcPr>
          <w:p w14:paraId="5B81D0E8">
            <w:pPr>
              <w:pStyle w:val="14"/>
            </w:pPr>
          </w:p>
        </w:tc>
        <w:tc>
          <w:tcPr>
            <w:tcW w:w="1474" w:type="dxa"/>
            <w:vAlign w:val="center"/>
          </w:tcPr>
          <w:p w14:paraId="5DD89BF5">
            <w:pPr>
              <w:pStyle w:val="14"/>
            </w:pPr>
          </w:p>
        </w:tc>
        <w:tc>
          <w:tcPr>
            <w:tcW w:w="1474" w:type="dxa"/>
            <w:vAlign w:val="center"/>
          </w:tcPr>
          <w:p w14:paraId="08859ECA">
            <w:pPr>
              <w:pStyle w:val="14"/>
            </w:pPr>
          </w:p>
        </w:tc>
        <w:tc>
          <w:tcPr>
            <w:tcW w:w="1474" w:type="dxa"/>
            <w:vAlign w:val="center"/>
          </w:tcPr>
          <w:p w14:paraId="22965B01">
            <w:pPr>
              <w:pStyle w:val="14"/>
            </w:pPr>
          </w:p>
        </w:tc>
      </w:tr>
      <w:tr w14:paraId="13F17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4712E">
            <w:pPr>
              <w:pStyle w:val="12"/>
            </w:pPr>
            <w:r>
              <w:t>5</w:t>
            </w:r>
          </w:p>
        </w:tc>
        <w:tc>
          <w:tcPr>
            <w:tcW w:w="3402" w:type="dxa"/>
            <w:vAlign w:val="center"/>
          </w:tcPr>
          <w:p w14:paraId="093EBE04">
            <w:pPr>
              <w:pStyle w:val="13"/>
            </w:pPr>
          </w:p>
        </w:tc>
        <w:tc>
          <w:tcPr>
            <w:tcW w:w="1474" w:type="dxa"/>
            <w:vAlign w:val="center"/>
          </w:tcPr>
          <w:p w14:paraId="3B53D7EA">
            <w:pPr>
              <w:pStyle w:val="14"/>
            </w:pPr>
          </w:p>
        </w:tc>
        <w:tc>
          <w:tcPr>
            <w:tcW w:w="3402" w:type="dxa"/>
            <w:vAlign w:val="center"/>
          </w:tcPr>
          <w:p w14:paraId="54D8B452">
            <w:pPr>
              <w:pStyle w:val="13"/>
            </w:pPr>
            <w:r>
              <w:t>五、教育支出</w:t>
            </w:r>
          </w:p>
        </w:tc>
        <w:tc>
          <w:tcPr>
            <w:tcW w:w="1474" w:type="dxa"/>
            <w:vAlign w:val="center"/>
          </w:tcPr>
          <w:p w14:paraId="5F72222C">
            <w:pPr>
              <w:pStyle w:val="14"/>
            </w:pPr>
            <w:r>
              <w:t>226.80</w:t>
            </w:r>
          </w:p>
        </w:tc>
        <w:tc>
          <w:tcPr>
            <w:tcW w:w="1474" w:type="dxa"/>
            <w:vAlign w:val="center"/>
          </w:tcPr>
          <w:p w14:paraId="5E0D6CC4">
            <w:pPr>
              <w:pStyle w:val="14"/>
            </w:pPr>
            <w:r>
              <w:t>226.80</w:t>
            </w:r>
          </w:p>
        </w:tc>
        <w:tc>
          <w:tcPr>
            <w:tcW w:w="1474" w:type="dxa"/>
            <w:vAlign w:val="center"/>
          </w:tcPr>
          <w:p w14:paraId="329D3ED9">
            <w:pPr>
              <w:pStyle w:val="14"/>
            </w:pPr>
          </w:p>
        </w:tc>
        <w:tc>
          <w:tcPr>
            <w:tcW w:w="1474" w:type="dxa"/>
            <w:vAlign w:val="center"/>
          </w:tcPr>
          <w:p w14:paraId="2B1F737E">
            <w:pPr>
              <w:pStyle w:val="14"/>
            </w:pPr>
          </w:p>
        </w:tc>
      </w:tr>
      <w:tr w14:paraId="504D5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A3F23">
            <w:pPr>
              <w:pStyle w:val="12"/>
            </w:pPr>
            <w:r>
              <w:t>6</w:t>
            </w:r>
          </w:p>
        </w:tc>
        <w:tc>
          <w:tcPr>
            <w:tcW w:w="3402" w:type="dxa"/>
            <w:vAlign w:val="center"/>
          </w:tcPr>
          <w:p w14:paraId="68DAB78F">
            <w:pPr>
              <w:pStyle w:val="13"/>
            </w:pPr>
          </w:p>
        </w:tc>
        <w:tc>
          <w:tcPr>
            <w:tcW w:w="1474" w:type="dxa"/>
            <w:vAlign w:val="center"/>
          </w:tcPr>
          <w:p w14:paraId="0C0188EF">
            <w:pPr>
              <w:pStyle w:val="14"/>
            </w:pPr>
          </w:p>
        </w:tc>
        <w:tc>
          <w:tcPr>
            <w:tcW w:w="3402" w:type="dxa"/>
            <w:vAlign w:val="center"/>
          </w:tcPr>
          <w:p w14:paraId="38AEF603">
            <w:pPr>
              <w:pStyle w:val="13"/>
            </w:pPr>
            <w:r>
              <w:t>六、科学技术支出</w:t>
            </w:r>
          </w:p>
        </w:tc>
        <w:tc>
          <w:tcPr>
            <w:tcW w:w="1474" w:type="dxa"/>
            <w:vAlign w:val="center"/>
          </w:tcPr>
          <w:p w14:paraId="00D8D2FF">
            <w:pPr>
              <w:pStyle w:val="14"/>
            </w:pPr>
          </w:p>
        </w:tc>
        <w:tc>
          <w:tcPr>
            <w:tcW w:w="1474" w:type="dxa"/>
            <w:vAlign w:val="center"/>
          </w:tcPr>
          <w:p w14:paraId="019938FA">
            <w:pPr>
              <w:pStyle w:val="14"/>
            </w:pPr>
          </w:p>
        </w:tc>
        <w:tc>
          <w:tcPr>
            <w:tcW w:w="1474" w:type="dxa"/>
            <w:vAlign w:val="center"/>
          </w:tcPr>
          <w:p w14:paraId="1E39A3FA">
            <w:pPr>
              <w:pStyle w:val="14"/>
            </w:pPr>
          </w:p>
        </w:tc>
        <w:tc>
          <w:tcPr>
            <w:tcW w:w="1474" w:type="dxa"/>
            <w:vAlign w:val="center"/>
          </w:tcPr>
          <w:p w14:paraId="5B8A7E6C">
            <w:pPr>
              <w:pStyle w:val="14"/>
            </w:pPr>
          </w:p>
        </w:tc>
      </w:tr>
      <w:tr w14:paraId="72395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52AFE">
            <w:pPr>
              <w:pStyle w:val="12"/>
            </w:pPr>
            <w:r>
              <w:t>7</w:t>
            </w:r>
          </w:p>
        </w:tc>
        <w:tc>
          <w:tcPr>
            <w:tcW w:w="3402" w:type="dxa"/>
            <w:vAlign w:val="center"/>
          </w:tcPr>
          <w:p w14:paraId="27C5A152">
            <w:pPr>
              <w:pStyle w:val="13"/>
            </w:pPr>
          </w:p>
        </w:tc>
        <w:tc>
          <w:tcPr>
            <w:tcW w:w="1474" w:type="dxa"/>
            <w:vAlign w:val="center"/>
          </w:tcPr>
          <w:p w14:paraId="4AC38F34">
            <w:pPr>
              <w:pStyle w:val="14"/>
            </w:pPr>
          </w:p>
        </w:tc>
        <w:tc>
          <w:tcPr>
            <w:tcW w:w="3402" w:type="dxa"/>
            <w:vAlign w:val="center"/>
          </w:tcPr>
          <w:p w14:paraId="2C61E82C">
            <w:pPr>
              <w:pStyle w:val="13"/>
            </w:pPr>
            <w:r>
              <w:t>七、文化旅游体育与传媒支出</w:t>
            </w:r>
          </w:p>
        </w:tc>
        <w:tc>
          <w:tcPr>
            <w:tcW w:w="1474" w:type="dxa"/>
            <w:vAlign w:val="center"/>
          </w:tcPr>
          <w:p w14:paraId="23820B0F">
            <w:pPr>
              <w:pStyle w:val="14"/>
            </w:pPr>
          </w:p>
        </w:tc>
        <w:tc>
          <w:tcPr>
            <w:tcW w:w="1474" w:type="dxa"/>
            <w:vAlign w:val="center"/>
          </w:tcPr>
          <w:p w14:paraId="752D8CC8">
            <w:pPr>
              <w:pStyle w:val="14"/>
            </w:pPr>
          </w:p>
        </w:tc>
        <w:tc>
          <w:tcPr>
            <w:tcW w:w="1474" w:type="dxa"/>
            <w:vAlign w:val="center"/>
          </w:tcPr>
          <w:p w14:paraId="5AB433A1">
            <w:pPr>
              <w:pStyle w:val="14"/>
            </w:pPr>
          </w:p>
        </w:tc>
        <w:tc>
          <w:tcPr>
            <w:tcW w:w="1474" w:type="dxa"/>
            <w:vAlign w:val="center"/>
          </w:tcPr>
          <w:p w14:paraId="484E5988">
            <w:pPr>
              <w:pStyle w:val="14"/>
            </w:pPr>
          </w:p>
        </w:tc>
      </w:tr>
      <w:tr w14:paraId="5B465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CE449">
            <w:pPr>
              <w:pStyle w:val="12"/>
            </w:pPr>
            <w:r>
              <w:t>8</w:t>
            </w:r>
          </w:p>
        </w:tc>
        <w:tc>
          <w:tcPr>
            <w:tcW w:w="3402" w:type="dxa"/>
            <w:vAlign w:val="center"/>
          </w:tcPr>
          <w:p w14:paraId="3B1FABBB">
            <w:pPr>
              <w:pStyle w:val="13"/>
            </w:pPr>
          </w:p>
        </w:tc>
        <w:tc>
          <w:tcPr>
            <w:tcW w:w="1474" w:type="dxa"/>
            <w:vAlign w:val="center"/>
          </w:tcPr>
          <w:p w14:paraId="079523BF">
            <w:pPr>
              <w:pStyle w:val="14"/>
            </w:pPr>
          </w:p>
        </w:tc>
        <w:tc>
          <w:tcPr>
            <w:tcW w:w="3402" w:type="dxa"/>
            <w:vAlign w:val="center"/>
          </w:tcPr>
          <w:p w14:paraId="5C30C025">
            <w:pPr>
              <w:pStyle w:val="13"/>
            </w:pPr>
            <w:r>
              <w:t>八、社会保障和就业支出</w:t>
            </w:r>
          </w:p>
        </w:tc>
        <w:tc>
          <w:tcPr>
            <w:tcW w:w="1474" w:type="dxa"/>
            <w:vAlign w:val="center"/>
          </w:tcPr>
          <w:p w14:paraId="076B3984">
            <w:pPr>
              <w:pStyle w:val="14"/>
            </w:pPr>
          </w:p>
        </w:tc>
        <w:tc>
          <w:tcPr>
            <w:tcW w:w="1474" w:type="dxa"/>
            <w:vAlign w:val="center"/>
          </w:tcPr>
          <w:p w14:paraId="4A6AA72D">
            <w:pPr>
              <w:pStyle w:val="14"/>
            </w:pPr>
          </w:p>
        </w:tc>
        <w:tc>
          <w:tcPr>
            <w:tcW w:w="1474" w:type="dxa"/>
            <w:vAlign w:val="center"/>
          </w:tcPr>
          <w:p w14:paraId="2C024AE0">
            <w:pPr>
              <w:pStyle w:val="14"/>
            </w:pPr>
          </w:p>
        </w:tc>
        <w:tc>
          <w:tcPr>
            <w:tcW w:w="1474" w:type="dxa"/>
            <w:vAlign w:val="center"/>
          </w:tcPr>
          <w:p w14:paraId="7D511B95">
            <w:pPr>
              <w:pStyle w:val="14"/>
            </w:pPr>
          </w:p>
        </w:tc>
      </w:tr>
      <w:tr w14:paraId="032F5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5DC24">
            <w:pPr>
              <w:pStyle w:val="12"/>
            </w:pPr>
            <w:r>
              <w:t>9</w:t>
            </w:r>
          </w:p>
        </w:tc>
        <w:tc>
          <w:tcPr>
            <w:tcW w:w="3402" w:type="dxa"/>
            <w:vAlign w:val="center"/>
          </w:tcPr>
          <w:p w14:paraId="6DB6D6C5">
            <w:pPr>
              <w:pStyle w:val="13"/>
            </w:pPr>
          </w:p>
        </w:tc>
        <w:tc>
          <w:tcPr>
            <w:tcW w:w="1474" w:type="dxa"/>
            <w:vAlign w:val="center"/>
          </w:tcPr>
          <w:p w14:paraId="6D08475B">
            <w:pPr>
              <w:pStyle w:val="14"/>
            </w:pPr>
          </w:p>
        </w:tc>
        <w:tc>
          <w:tcPr>
            <w:tcW w:w="3402" w:type="dxa"/>
            <w:vAlign w:val="center"/>
          </w:tcPr>
          <w:p w14:paraId="22E931A1">
            <w:pPr>
              <w:pStyle w:val="13"/>
            </w:pPr>
            <w:r>
              <w:t>九、社会保险基金支出</w:t>
            </w:r>
          </w:p>
        </w:tc>
        <w:tc>
          <w:tcPr>
            <w:tcW w:w="1474" w:type="dxa"/>
            <w:vAlign w:val="center"/>
          </w:tcPr>
          <w:p w14:paraId="3825844B">
            <w:pPr>
              <w:pStyle w:val="14"/>
            </w:pPr>
          </w:p>
        </w:tc>
        <w:tc>
          <w:tcPr>
            <w:tcW w:w="1474" w:type="dxa"/>
            <w:vAlign w:val="center"/>
          </w:tcPr>
          <w:p w14:paraId="2535B73B">
            <w:pPr>
              <w:pStyle w:val="14"/>
            </w:pPr>
          </w:p>
        </w:tc>
        <w:tc>
          <w:tcPr>
            <w:tcW w:w="1474" w:type="dxa"/>
            <w:vAlign w:val="center"/>
          </w:tcPr>
          <w:p w14:paraId="46A10DA1">
            <w:pPr>
              <w:pStyle w:val="14"/>
            </w:pPr>
          </w:p>
        </w:tc>
        <w:tc>
          <w:tcPr>
            <w:tcW w:w="1474" w:type="dxa"/>
            <w:vAlign w:val="center"/>
          </w:tcPr>
          <w:p w14:paraId="7485809F">
            <w:pPr>
              <w:pStyle w:val="14"/>
            </w:pPr>
          </w:p>
        </w:tc>
      </w:tr>
      <w:tr w14:paraId="7E1A7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69D10">
            <w:pPr>
              <w:pStyle w:val="12"/>
            </w:pPr>
            <w:r>
              <w:t>10</w:t>
            </w:r>
          </w:p>
        </w:tc>
        <w:tc>
          <w:tcPr>
            <w:tcW w:w="3402" w:type="dxa"/>
            <w:vAlign w:val="center"/>
          </w:tcPr>
          <w:p w14:paraId="2A0D29B8">
            <w:pPr>
              <w:pStyle w:val="13"/>
            </w:pPr>
          </w:p>
        </w:tc>
        <w:tc>
          <w:tcPr>
            <w:tcW w:w="1474" w:type="dxa"/>
            <w:vAlign w:val="center"/>
          </w:tcPr>
          <w:p w14:paraId="464276BC">
            <w:pPr>
              <w:pStyle w:val="14"/>
            </w:pPr>
          </w:p>
        </w:tc>
        <w:tc>
          <w:tcPr>
            <w:tcW w:w="3402" w:type="dxa"/>
            <w:vAlign w:val="center"/>
          </w:tcPr>
          <w:p w14:paraId="1C8DF9D0">
            <w:pPr>
              <w:pStyle w:val="13"/>
            </w:pPr>
            <w:r>
              <w:t>十、卫生健康支出</w:t>
            </w:r>
          </w:p>
        </w:tc>
        <w:tc>
          <w:tcPr>
            <w:tcW w:w="1474" w:type="dxa"/>
            <w:vAlign w:val="center"/>
          </w:tcPr>
          <w:p w14:paraId="3EEB9FE4">
            <w:pPr>
              <w:pStyle w:val="14"/>
            </w:pPr>
          </w:p>
        </w:tc>
        <w:tc>
          <w:tcPr>
            <w:tcW w:w="1474" w:type="dxa"/>
            <w:vAlign w:val="center"/>
          </w:tcPr>
          <w:p w14:paraId="433DF3B3">
            <w:pPr>
              <w:pStyle w:val="14"/>
            </w:pPr>
          </w:p>
        </w:tc>
        <w:tc>
          <w:tcPr>
            <w:tcW w:w="1474" w:type="dxa"/>
            <w:vAlign w:val="center"/>
          </w:tcPr>
          <w:p w14:paraId="0E1B2D59">
            <w:pPr>
              <w:pStyle w:val="14"/>
            </w:pPr>
          </w:p>
        </w:tc>
        <w:tc>
          <w:tcPr>
            <w:tcW w:w="1474" w:type="dxa"/>
            <w:vAlign w:val="center"/>
          </w:tcPr>
          <w:p w14:paraId="6290B09E">
            <w:pPr>
              <w:pStyle w:val="14"/>
            </w:pPr>
          </w:p>
        </w:tc>
      </w:tr>
      <w:tr w14:paraId="4A43C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1F631">
            <w:pPr>
              <w:pStyle w:val="12"/>
            </w:pPr>
            <w:r>
              <w:t>11</w:t>
            </w:r>
          </w:p>
        </w:tc>
        <w:tc>
          <w:tcPr>
            <w:tcW w:w="3402" w:type="dxa"/>
            <w:vAlign w:val="center"/>
          </w:tcPr>
          <w:p w14:paraId="331317C3">
            <w:pPr>
              <w:pStyle w:val="13"/>
            </w:pPr>
          </w:p>
        </w:tc>
        <w:tc>
          <w:tcPr>
            <w:tcW w:w="1474" w:type="dxa"/>
            <w:vAlign w:val="center"/>
          </w:tcPr>
          <w:p w14:paraId="44A0E22D">
            <w:pPr>
              <w:pStyle w:val="14"/>
            </w:pPr>
          </w:p>
        </w:tc>
        <w:tc>
          <w:tcPr>
            <w:tcW w:w="3402" w:type="dxa"/>
            <w:vAlign w:val="center"/>
          </w:tcPr>
          <w:p w14:paraId="6C4C6E89">
            <w:pPr>
              <w:pStyle w:val="13"/>
            </w:pPr>
            <w:r>
              <w:t>十一、节能环保支出</w:t>
            </w:r>
          </w:p>
        </w:tc>
        <w:tc>
          <w:tcPr>
            <w:tcW w:w="1474" w:type="dxa"/>
            <w:vAlign w:val="center"/>
          </w:tcPr>
          <w:p w14:paraId="762E8FB1">
            <w:pPr>
              <w:pStyle w:val="14"/>
            </w:pPr>
          </w:p>
        </w:tc>
        <w:tc>
          <w:tcPr>
            <w:tcW w:w="1474" w:type="dxa"/>
            <w:vAlign w:val="center"/>
          </w:tcPr>
          <w:p w14:paraId="12957899">
            <w:pPr>
              <w:pStyle w:val="14"/>
            </w:pPr>
          </w:p>
        </w:tc>
        <w:tc>
          <w:tcPr>
            <w:tcW w:w="1474" w:type="dxa"/>
            <w:vAlign w:val="center"/>
          </w:tcPr>
          <w:p w14:paraId="4850477C">
            <w:pPr>
              <w:pStyle w:val="14"/>
            </w:pPr>
          </w:p>
        </w:tc>
        <w:tc>
          <w:tcPr>
            <w:tcW w:w="1474" w:type="dxa"/>
            <w:vAlign w:val="center"/>
          </w:tcPr>
          <w:p w14:paraId="729A6B15">
            <w:pPr>
              <w:pStyle w:val="14"/>
            </w:pPr>
          </w:p>
        </w:tc>
      </w:tr>
      <w:tr w14:paraId="4FB1F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47976">
            <w:pPr>
              <w:pStyle w:val="12"/>
            </w:pPr>
            <w:r>
              <w:t>12</w:t>
            </w:r>
          </w:p>
        </w:tc>
        <w:tc>
          <w:tcPr>
            <w:tcW w:w="3402" w:type="dxa"/>
            <w:vAlign w:val="center"/>
          </w:tcPr>
          <w:p w14:paraId="231A4A1D">
            <w:pPr>
              <w:pStyle w:val="13"/>
            </w:pPr>
          </w:p>
        </w:tc>
        <w:tc>
          <w:tcPr>
            <w:tcW w:w="1474" w:type="dxa"/>
            <w:vAlign w:val="center"/>
          </w:tcPr>
          <w:p w14:paraId="54EF4196">
            <w:pPr>
              <w:pStyle w:val="14"/>
            </w:pPr>
          </w:p>
        </w:tc>
        <w:tc>
          <w:tcPr>
            <w:tcW w:w="3402" w:type="dxa"/>
            <w:vAlign w:val="center"/>
          </w:tcPr>
          <w:p w14:paraId="093E9FA2">
            <w:pPr>
              <w:pStyle w:val="13"/>
            </w:pPr>
            <w:r>
              <w:t>十二、城乡社区支出</w:t>
            </w:r>
          </w:p>
        </w:tc>
        <w:tc>
          <w:tcPr>
            <w:tcW w:w="1474" w:type="dxa"/>
            <w:vAlign w:val="center"/>
          </w:tcPr>
          <w:p w14:paraId="4273FE53">
            <w:pPr>
              <w:pStyle w:val="14"/>
            </w:pPr>
          </w:p>
        </w:tc>
        <w:tc>
          <w:tcPr>
            <w:tcW w:w="1474" w:type="dxa"/>
            <w:vAlign w:val="center"/>
          </w:tcPr>
          <w:p w14:paraId="5131B2D2">
            <w:pPr>
              <w:pStyle w:val="14"/>
            </w:pPr>
          </w:p>
        </w:tc>
        <w:tc>
          <w:tcPr>
            <w:tcW w:w="1474" w:type="dxa"/>
            <w:vAlign w:val="center"/>
          </w:tcPr>
          <w:p w14:paraId="1A4D0BAF">
            <w:pPr>
              <w:pStyle w:val="14"/>
            </w:pPr>
          </w:p>
        </w:tc>
        <w:tc>
          <w:tcPr>
            <w:tcW w:w="1474" w:type="dxa"/>
            <w:vAlign w:val="center"/>
          </w:tcPr>
          <w:p w14:paraId="3574791E">
            <w:pPr>
              <w:pStyle w:val="14"/>
            </w:pPr>
          </w:p>
        </w:tc>
      </w:tr>
      <w:tr w14:paraId="203AC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DD190">
            <w:pPr>
              <w:pStyle w:val="12"/>
            </w:pPr>
            <w:r>
              <w:t>13</w:t>
            </w:r>
          </w:p>
        </w:tc>
        <w:tc>
          <w:tcPr>
            <w:tcW w:w="3402" w:type="dxa"/>
            <w:vAlign w:val="center"/>
          </w:tcPr>
          <w:p w14:paraId="734B48C9">
            <w:pPr>
              <w:pStyle w:val="13"/>
            </w:pPr>
          </w:p>
        </w:tc>
        <w:tc>
          <w:tcPr>
            <w:tcW w:w="1474" w:type="dxa"/>
            <w:vAlign w:val="center"/>
          </w:tcPr>
          <w:p w14:paraId="121A2A06">
            <w:pPr>
              <w:pStyle w:val="14"/>
            </w:pPr>
          </w:p>
        </w:tc>
        <w:tc>
          <w:tcPr>
            <w:tcW w:w="3402" w:type="dxa"/>
            <w:vAlign w:val="center"/>
          </w:tcPr>
          <w:p w14:paraId="1558ABC2">
            <w:pPr>
              <w:pStyle w:val="13"/>
            </w:pPr>
            <w:r>
              <w:t>十三、农林水支出</w:t>
            </w:r>
          </w:p>
        </w:tc>
        <w:tc>
          <w:tcPr>
            <w:tcW w:w="1474" w:type="dxa"/>
            <w:vAlign w:val="center"/>
          </w:tcPr>
          <w:p w14:paraId="7840BE76">
            <w:pPr>
              <w:pStyle w:val="14"/>
            </w:pPr>
          </w:p>
        </w:tc>
        <w:tc>
          <w:tcPr>
            <w:tcW w:w="1474" w:type="dxa"/>
            <w:vAlign w:val="center"/>
          </w:tcPr>
          <w:p w14:paraId="001AC8F4">
            <w:pPr>
              <w:pStyle w:val="14"/>
            </w:pPr>
          </w:p>
        </w:tc>
        <w:tc>
          <w:tcPr>
            <w:tcW w:w="1474" w:type="dxa"/>
            <w:vAlign w:val="center"/>
          </w:tcPr>
          <w:p w14:paraId="7892C0EB">
            <w:pPr>
              <w:pStyle w:val="14"/>
            </w:pPr>
          </w:p>
        </w:tc>
        <w:tc>
          <w:tcPr>
            <w:tcW w:w="1474" w:type="dxa"/>
            <w:vAlign w:val="center"/>
          </w:tcPr>
          <w:p w14:paraId="3C0CB3A3">
            <w:pPr>
              <w:pStyle w:val="14"/>
            </w:pPr>
          </w:p>
        </w:tc>
      </w:tr>
      <w:tr w14:paraId="10CD1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EB606">
            <w:pPr>
              <w:pStyle w:val="12"/>
            </w:pPr>
            <w:r>
              <w:t>14</w:t>
            </w:r>
          </w:p>
        </w:tc>
        <w:tc>
          <w:tcPr>
            <w:tcW w:w="3402" w:type="dxa"/>
            <w:vAlign w:val="center"/>
          </w:tcPr>
          <w:p w14:paraId="4BA0CF99">
            <w:pPr>
              <w:pStyle w:val="13"/>
            </w:pPr>
          </w:p>
        </w:tc>
        <w:tc>
          <w:tcPr>
            <w:tcW w:w="1474" w:type="dxa"/>
            <w:vAlign w:val="center"/>
          </w:tcPr>
          <w:p w14:paraId="6EB2EF35">
            <w:pPr>
              <w:pStyle w:val="14"/>
            </w:pPr>
          </w:p>
        </w:tc>
        <w:tc>
          <w:tcPr>
            <w:tcW w:w="3402" w:type="dxa"/>
            <w:vAlign w:val="center"/>
          </w:tcPr>
          <w:p w14:paraId="39FDF803">
            <w:pPr>
              <w:pStyle w:val="13"/>
            </w:pPr>
            <w:r>
              <w:t>十四、交通运输支出</w:t>
            </w:r>
          </w:p>
        </w:tc>
        <w:tc>
          <w:tcPr>
            <w:tcW w:w="1474" w:type="dxa"/>
            <w:vAlign w:val="center"/>
          </w:tcPr>
          <w:p w14:paraId="01884C4A">
            <w:pPr>
              <w:pStyle w:val="14"/>
            </w:pPr>
          </w:p>
        </w:tc>
        <w:tc>
          <w:tcPr>
            <w:tcW w:w="1474" w:type="dxa"/>
            <w:vAlign w:val="center"/>
          </w:tcPr>
          <w:p w14:paraId="562E0907">
            <w:pPr>
              <w:pStyle w:val="14"/>
            </w:pPr>
          </w:p>
        </w:tc>
        <w:tc>
          <w:tcPr>
            <w:tcW w:w="1474" w:type="dxa"/>
            <w:vAlign w:val="center"/>
          </w:tcPr>
          <w:p w14:paraId="49F1FE3E">
            <w:pPr>
              <w:pStyle w:val="14"/>
            </w:pPr>
          </w:p>
        </w:tc>
        <w:tc>
          <w:tcPr>
            <w:tcW w:w="1474" w:type="dxa"/>
            <w:vAlign w:val="center"/>
          </w:tcPr>
          <w:p w14:paraId="60159D98">
            <w:pPr>
              <w:pStyle w:val="14"/>
            </w:pPr>
          </w:p>
        </w:tc>
      </w:tr>
      <w:tr w14:paraId="11028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A7A86">
            <w:pPr>
              <w:pStyle w:val="12"/>
            </w:pPr>
            <w:r>
              <w:t>15</w:t>
            </w:r>
          </w:p>
        </w:tc>
        <w:tc>
          <w:tcPr>
            <w:tcW w:w="3402" w:type="dxa"/>
            <w:vAlign w:val="center"/>
          </w:tcPr>
          <w:p w14:paraId="457BBFB2">
            <w:pPr>
              <w:pStyle w:val="13"/>
            </w:pPr>
          </w:p>
        </w:tc>
        <w:tc>
          <w:tcPr>
            <w:tcW w:w="1474" w:type="dxa"/>
            <w:vAlign w:val="center"/>
          </w:tcPr>
          <w:p w14:paraId="5E512E4D">
            <w:pPr>
              <w:pStyle w:val="14"/>
            </w:pPr>
          </w:p>
        </w:tc>
        <w:tc>
          <w:tcPr>
            <w:tcW w:w="3402" w:type="dxa"/>
            <w:vAlign w:val="center"/>
          </w:tcPr>
          <w:p w14:paraId="7A9AB03D">
            <w:pPr>
              <w:pStyle w:val="13"/>
            </w:pPr>
            <w:r>
              <w:t>十五、资源勘探工业信息等支出</w:t>
            </w:r>
          </w:p>
        </w:tc>
        <w:tc>
          <w:tcPr>
            <w:tcW w:w="1474" w:type="dxa"/>
            <w:vAlign w:val="center"/>
          </w:tcPr>
          <w:p w14:paraId="2DC52F7B">
            <w:pPr>
              <w:pStyle w:val="14"/>
            </w:pPr>
          </w:p>
        </w:tc>
        <w:tc>
          <w:tcPr>
            <w:tcW w:w="1474" w:type="dxa"/>
            <w:vAlign w:val="center"/>
          </w:tcPr>
          <w:p w14:paraId="36F8BAD0">
            <w:pPr>
              <w:pStyle w:val="14"/>
            </w:pPr>
          </w:p>
        </w:tc>
        <w:tc>
          <w:tcPr>
            <w:tcW w:w="1474" w:type="dxa"/>
            <w:vAlign w:val="center"/>
          </w:tcPr>
          <w:p w14:paraId="2797277D">
            <w:pPr>
              <w:pStyle w:val="14"/>
            </w:pPr>
          </w:p>
        </w:tc>
        <w:tc>
          <w:tcPr>
            <w:tcW w:w="1474" w:type="dxa"/>
            <w:vAlign w:val="center"/>
          </w:tcPr>
          <w:p w14:paraId="013EF23E">
            <w:pPr>
              <w:pStyle w:val="14"/>
            </w:pPr>
          </w:p>
        </w:tc>
      </w:tr>
      <w:tr w14:paraId="58CBD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B742E">
            <w:pPr>
              <w:pStyle w:val="12"/>
            </w:pPr>
            <w:r>
              <w:t>16</w:t>
            </w:r>
          </w:p>
        </w:tc>
        <w:tc>
          <w:tcPr>
            <w:tcW w:w="3402" w:type="dxa"/>
            <w:vAlign w:val="center"/>
          </w:tcPr>
          <w:p w14:paraId="24A7922C">
            <w:pPr>
              <w:pStyle w:val="13"/>
            </w:pPr>
          </w:p>
        </w:tc>
        <w:tc>
          <w:tcPr>
            <w:tcW w:w="1474" w:type="dxa"/>
            <w:vAlign w:val="center"/>
          </w:tcPr>
          <w:p w14:paraId="09441FAE">
            <w:pPr>
              <w:pStyle w:val="14"/>
            </w:pPr>
          </w:p>
        </w:tc>
        <w:tc>
          <w:tcPr>
            <w:tcW w:w="3402" w:type="dxa"/>
            <w:vAlign w:val="center"/>
          </w:tcPr>
          <w:p w14:paraId="31707F26">
            <w:pPr>
              <w:pStyle w:val="13"/>
            </w:pPr>
            <w:r>
              <w:t>十六、商业服务业等支出</w:t>
            </w:r>
          </w:p>
        </w:tc>
        <w:tc>
          <w:tcPr>
            <w:tcW w:w="1474" w:type="dxa"/>
            <w:vAlign w:val="center"/>
          </w:tcPr>
          <w:p w14:paraId="1740E6E5">
            <w:pPr>
              <w:pStyle w:val="14"/>
            </w:pPr>
          </w:p>
        </w:tc>
        <w:tc>
          <w:tcPr>
            <w:tcW w:w="1474" w:type="dxa"/>
            <w:vAlign w:val="center"/>
          </w:tcPr>
          <w:p w14:paraId="3D8E6C20">
            <w:pPr>
              <w:pStyle w:val="14"/>
            </w:pPr>
          </w:p>
        </w:tc>
        <w:tc>
          <w:tcPr>
            <w:tcW w:w="1474" w:type="dxa"/>
            <w:vAlign w:val="center"/>
          </w:tcPr>
          <w:p w14:paraId="60C17022">
            <w:pPr>
              <w:pStyle w:val="14"/>
            </w:pPr>
          </w:p>
        </w:tc>
        <w:tc>
          <w:tcPr>
            <w:tcW w:w="1474" w:type="dxa"/>
            <w:vAlign w:val="center"/>
          </w:tcPr>
          <w:p w14:paraId="7FF8E679">
            <w:pPr>
              <w:pStyle w:val="14"/>
            </w:pPr>
          </w:p>
        </w:tc>
      </w:tr>
      <w:tr w14:paraId="7DF9F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FC339">
            <w:pPr>
              <w:pStyle w:val="12"/>
            </w:pPr>
            <w:r>
              <w:t>17</w:t>
            </w:r>
          </w:p>
        </w:tc>
        <w:tc>
          <w:tcPr>
            <w:tcW w:w="3402" w:type="dxa"/>
            <w:vAlign w:val="center"/>
          </w:tcPr>
          <w:p w14:paraId="4D14016B">
            <w:pPr>
              <w:pStyle w:val="13"/>
            </w:pPr>
          </w:p>
        </w:tc>
        <w:tc>
          <w:tcPr>
            <w:tcW w:w="1474" w:type="dxa"/>
            <w:vAlign w:val="center"/>
          </w:tcPr>
          <w:p w14:paraId="6FB159D5">
            <w:pPr>
              <w:pStyle w:val="14"/>
            </w:pPr>
          </w:p>
        </w:tc>
        <w:tc>
          <w:tcPr>
            <w:tcW w:w="3402" w:type="dxa"/>
            <w:vAlign w:val="center"/>
          </w:tcPr>
          <w:p w14:paraId="55AF05E4">
            <w:pPr>
              <w:pStyle w:val="13"/>
            </w:pPr>
            <w:r>
              <w:t>十七、金融支出</w:t>
            </w:r>
          </w:p>
        </w:tc>
        <w:tc>
          <w:tcPr>
            <w:tcW w:w="1474" w:type="dxa"/>
            <w:vAlign w:val="center"/>
          </w:tcPr>
          <w:p w14:paraId="3BA426D1">
            <w:pPr>
              <w:pStyle w:val="14"/>
            </w:pPr>
          </w:p>
        </w:tc>
        <w:tc>
          <w:tcPr>
            <w:tcW w:w="1474" w:type="dxa"/>
            <w:vAlign w:val="center"/>
          </w:tcPr>
          <w:p w14:paraId="54F348E1">
            <w:pPr>
              <w:pStyle w:val="14"/>
            </w:pPr>
          </w:p>
        </w:tc>
        <w:tc>
          <w:tcPr>
            <w:tcW w:w="1474" w:type="dxa"/>
            <w:vAlign w:val="center"/>
          </w:tcPr>
          <w:p w14:paraId="37C475C9">
            <w:pPr>
              <w:pStyle w:val="14"/>
            </w:pPr>
          </w:p>
        </w:tc>
        <w:tc>
          <w:tcPr>
            <w:tcW w:w="1474" w:type="dxa"/>
            <w:vAlign w:val="center"/>
          </w:tcPr>
          <w:p w14:paraId="3BBC55E8">
            <w:pPr>
              <w:pStyle w:val="14"/>
            </w:pPr>
          </w:p>
        </w:tc>
      </w:tr>
      <w:tr w14:paraId="1DB6E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587E4">
            <w:pPr>
              <w:pStyle w:val="12"/>
            </w:pPr>
            <w:r>
              <w:t>18</w:t>
            </w:r>
          </w:p>
        </w:tc>
        <w:tc>
          <w:tcPr>
            <w:tcW w:w="3402" w:type="dxa"/>
            <w:vAlign w:val="center"/>
          </w:tcPr>
          <w:p w14:paraId="21E8B3D3">
            <w:pPr>
              <w:pStyle w:val="13"/>
            </w:pPr>
          </w:p>
        </w:tc>
        <w:tc>
          <w:tcPr>
            <w:tcW w:w="1474" w:type="dxa"/>
            <w:vAlign w:val="center"/>
          </w:tcPr>
          <w:p w14:paraId="0CBC1620">
            <w:pPr>
              <w:pStyle w:val="14"/>
            </w:pPr>
          </w:p>
        </w:tc>
        <w:tc>
          <w:tcPr>
            <w:tcW w:w="3402" w:type="dxa"/>
            <w:vAlign w:val="center"/>
          </w:tcPr>
          <w:p w14:paraId="68614B76">
            <w:pPr>
              <w:pStyle w:val="13"/>
            </w:pPr>
            <w:r>
              <w:t>十八、援助其他地区支出</w:t>
            </w:r>
          </w:p>
        </w:tc>
        <w:tc>
          <w:tcPr>
            <w:tcW w:w="1474" w:type="dxa"/>
            <w:vAlign w:val="center"/>
          </w:tcPr>
          <w:p w14:paraId="1DA127F3">
            <w:pPr>
              <w:pStyle w:val="14"/>
            </w:pPr>
          </w:p>
        </w:tc>
        <w:tc>
          <w:tcPr>
            <w:tcW w:w="1474" w:type="dxa"/>
            <w:vAlign w:val="center"/>
          </w:tcPr>
          <w:p w14:paraId="072AAD7F">
            <w:pPr>
              <w:pStyle w:val="14"/>
            </w:pPr>
          </w:p>
        </w:tc>
        <w:tc>
          <w:tcPr>
            <w:tcW w:w="1474" w:type="dxa"/>
            <w:vAlign w:val="center"/>
          </w:tcPr>
          <w:p w14:paraId="617C262C">
            <w:pPr>
              <w:pStyle w:val="14"/>
            </w:pPr>
          </w:p>
        </w:tc>
        <w:tc>
          <w:tcPr>
            <w:tcW w:w="1474" w:type="dxa"/>
            <w:vAlign w:val="center"/>
          </w:tcPr>
          <w:p w14:paraId="78BA0C65">
            <w:pPr>
              <w:pStyle w:val="14"/>
            </w:pPr>
          </w:p>
        </w:tc>
      </w:tr>
      <w:tr w14:paraId="0098E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9075C">
            <w:pPr>
              <w:pStyle w:val="12"/>
            </w:pPr>
            <w:r>
              <w:t>19</w:t>
            </w:r>
          </w:p>
        </w:tc>
        <w:tc>
          <w:tcPr>
            <w:tcW w:w="3402" w:type="dxa"/>
            <w:vAlign w:val="center"/>
          </w:tcPr>
          <w:p w14:paraId="179F6CB5">
            <w:pPr>
              <w:pStyle w:val="13"/>
            </w:pPr>
          </w:p>
        </w:tc>
        <w:tc>
          <w:tcPr>
            <w:tcW w:w="1474" w:type="dxa"/>
            <w:vAlign w:val="center"/>
          </w:tcPr>
          <w:p w14:paraId="6D092E4F">
            <w:pPr>
              <w:pStyle w:val="14"/>
            </w:pPr>
          </w:p>
        </w:tc>
        <w:tc>
          <w:tcPr>
            <w:tcW w:w="3402" w:type="dxa"/>
            <w:vAlign w:val="center"/>
          </w:tcPr>
          <w:p w14:paraId="68F4EF0F">
            <w:pPr>
              <w:pStyle w:val="13"/>
            </w:pPr>
            <w:r>
              <w:t>十九、自然资源海洋气象等支出</w:t>
            </w:r>
          </w:p>
        </w:tc>
        <w:tc>
          <w:tcPr>
            <w:tcW w:w="1474" w:type="dxa"/>
            <w:vAlign w:val="center"/>
          </w:tcPr>
          <w:p w14:paraId="75BF5351">
            <w:pPr>
              <w:pStyle w:val="14"/>
            </w:pPr>
          </w:p>
        </w:tc>
        <w:tc>
          <w:tcPr>
            <w:tcW w:w="1474" w:type="dxa"/>
            <w:vAlign w:val="center"/>
          </w:tcPr>
          <w:p w14:paraId="584F5225">
            <w:pPr>
              <w:pStyle w:val="14"/>
            </w:pPr>
          </w:p>
        </w:tc>
        <w:tc>
          <w:tcPr>
            <w:tcW w:w="1474" w:type="dxa"/>
            <w:vAlign w:val="center"/>
          </w:tcPr>
          <w:p w14:paraId="617BC5B3">
            <w:pPr>
              <w:pStyle w:val="14"/>
            </w:pPr>
          </w:p>
        </w:tc>
        <w:tc>
          <w:tcPr>
            <w:tcW w:w="1474" w:type="dxa"/>
            <w:vAlign w:val="center"/>
          </w:tcPr>
          <w:p w14:paraId="1B443E06">
            <w:pPr>
              <w:pStyle w:val="14"/>
            </w:pPr>
          </w:p>
        </w:tc>
      </w:tr>
      <w:tr w14:paraId="21A76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4B15E">
            <w:pPr>
              <w:pStyle w:val="12"/>
            </w:pPr>
            <w:r>
              <w:t>20</w:t>
            </w:r>
          </w:p>
        </w:tc>
        <w:tc>
          <w:tcPr>
            <w:tcW w:w="3402" w:type="dxa"/>
            <w:vAlign w:val="center"/>
          </w:tcPr>
          <w:p w14:paraId="68BB9905">
            <w:pPr>
              <w:pStyle w:val="13"/>
            </w:pPr>
          </w:p>
        </w:tc>
        <w:tc>
          <w:tcPr>
            <w:tcW w:w="1474" w:type="dxa"/>
            <w:vAlign w:val="center"/>
          </w:tcPr>
          <w:p w14:paraId="44BE5998">
            <w:pPr>
              <w:pStyle w:val="14"/>
            </w:pPr>
          </w:p>
        </w:tc>
        <w:tc>
          <w:tcPr>
            <w:tcW w:w="3402" w:type="dxa"/>
            <w:vAlign w:val="center"/>
          </w:tcPr>
          <w:p w14:paraId="639644CC">
            <w:pPr>
              <w:pStyle w:val="13"/>
            </w:pPr>
            <w:r>
              <w:t>二十、住房保障支出</w:t>
            </w:r>
          </w:p>
        </w:tc>
        <w:tc>
          <w:tcPr>
            <w:tcW w:w="1474" w:type="dxa"/>
            <w:vAlign w:val="center"/>
          </w:tcPr>
          <w:p w14:paraId="4B3EA39D">
            <w:pPr>
              <w:pStyle w:val="14"/>
            </w:pPr>
          </w:p>
        </w:tc>
        <w:tc>
          <w:tcPr>
            <w:tcW w:w="1474" w:type="dxa"/>
            <w:vAlign w:val="center"/>
          </w:tcPr>
          <w:p w14:paraId="6CBFB875">
            <w:pPr>
              <w:pStyle w:val="14"/>
            </w:pPr>
          </w:p>
        </w:tc>
        <w:tc>
          <w:tcPr>
            <w:tcW w:w="1474" w:type="dxa"/>
            <w:vAlign w:val="center"/>
          </w:tcPr>
          <w:p w14:paraId="2A975962">
            <w:pPr>
              <w:pStyle w:val="14"/>
            </w:pPr>
          </w:p>
        </w:tc>
        <w:tc>
          <w:tcPr>
            <w:tcW w:w="1474" w:type="dxa"/>
            <w:vAlign w:val="center"/>
          </w:tcPr>
          <w:p w14:paraId="3A19C422">
            <w:pPr>
              <w:pStyle w:val="14"/>
            </w:pPr>
          </w:p>
        </w:tc>
      </w:tr>
      <w:tr w14:paraId="0C53B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3F445">
            <w:pPr>
              <w:pStyle w:val="12"/>
            </w:pPr>
            <w:r>
              <w:t>21</w:t>
            </w:r>
          </w:p>
        </w:tc>
        <w:tc>
          <w:tcPr>
            <w:tcW w:w="3402" w:type="dxa"/>
            <w:vAlign w:val="center"/>
          </w:tcPr>
          <w:p w14:paraId="617CF686">
            <w:pPr>
              <w:pStyle w:val="13"/>
            </w:pPr>
          </w:p>
        </w:tc>
        <w:tc>
          <w:tcPr>
            <w:tcW w:w="1474" w:type="dxa"/>
            <w:vAlign w:val="center"/>
          </w:tcPr>
          <w:p w14:paraId="5679E34A">
            <w:pPr>
              <w:pStyle w:val="14"/>
            </w:pPr>
          </w:p>
        </w:tc>
        <w:tc>
          <w:tcPr>
            <w:tcW w:w="3402" w:type="dxa"/>
            <w:vAlign w:val="center"/>
          </w:tcPr>
          <w:p w14:paraId="75FC31E8">
            <w:pPr>
              <w:pStyle w:val="13"/>
            </w:pPr>
            <w:r>
              <w:t>二十一、粮油物资储备支出</w:t>
            </w:r>
          </w:p>
        </w:tc>
        <w:tc>
          <w:tcPr>
            <w:tcW w:w="1474" w:type="dxa"/>
            <w:vAlign w:val="center"/>
          </w:tcPr>
          <w:p w14:paraId="3A432C09">
            <w:pPr>
              <w:pStyle w:val="14"/>
            </w:pPr>
          </w:p>
        </w:tc>
        <w:tc>
          <w:tcPr>
            <w:tcW w:w="1474" w:type="dxa"/>
            <w:vAlign w:val="center"/>
          </w:tcPr>
          <w:p w14:paraId="609C9354">
            <w:pPr>
              <w:pStyle w:val="14"/>
            </w:pPr>
          </w:p>
        </w:tc>
        <w:tc>
          <w:tcPr>
            <w:tcW w:w="1474" w:type="dxa"/>
            <w:vAlign w:val="center"/>
          </w:tcPr>
          <w:p w14:paraId="2428F61B">
            <w:pPr>
              <w:pStyle w:val="14"/>
            </w:pPr>
          </w:p>
        </w:tc>
        <w:tc>
          <w:tcPr>
            <w:tcW w:w="1474" w:type="dxa"/>
            <w:vAlign w:val="center"/>
          </w:tcPr>
          <w:p w14:paraId="4B3532FC">
            <w:pPr>
              <w:pStyle w:val="14"/>
            </w:pPr>
          </w:p>
        </w:tc>
      </w:tr>
      <w:tr w14:paraId="0C5AE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C6EF3">
            <w:pPr>
              <w:pStyle w:val="12"/>
            </w:pPr>
            <w:r>
              <w:t>22</w:t>
            </w:r>
          </w:p>
        </w:tc>
        <w:tc>
          <w:tcPr>
            <w:tcW w:w="3402" w:type="dxa"/>
            <w:vAlign w:val="center"/>
          </w:tcPr>
          <w:p w14:paraId="7ACCC116">
            <w:pPr>
              <w:pStyle w:val="13"/>
            </w:pPr>
          </w:p>
        </w:tc>
        <w:tc>
          <w:tcPr>
            <w:tcW w:w="1474" w:type="dxa"/>
            <w:vAlign w:val="center"/>
          </w:tcPr>
          <w:p w14:paraId="3D8182FD">
            <w:pPr>
              <w:pStyle w:val="14"/>
            </w:pPr>
          </w:p>
        </w:tc>
        <w:tc>
          <w:tcPr>
            <w:tcW w:w="3402" w:type="dxa"/>
            <w:vAlign w:val="center"/>
          </w:tcPr>
          <w:p w14:paraId="27C4FF90">
            <w:pPr>
              <w:pStyle w:val="13"/>
            </w:pPr>
            <w:r>
              <w:t>二十二、国有资本经营预算支出</w:t>
            </w:r>
          </w:p>
        </w:tc>
        <w:tc>
          <w:tcPr>
            <w:tcW w:w="1474" w:type="dxa"/>
            <w:vAlign w:val="center"/>
          </w:tcPr>
          <w:p w14:paraId="56860822">
            <w:pPr>
              <w:pStyle w:val="14"/>
            </w:pPr>
          </w:p>
        </w:tc>
        <w:tc>
          <w:tcPr>
            <w:tcW w:w="1474" w:type="dxa"/>
            <w:vAlign w:val="center"/>
          </w:tcPr>
          <w:p w14:paraId="1E3FB14D">
            <w:pPr>
              <w:pStyle w:val="14"/>
            </w:pPr>
          </w:p>
        </w:tc>
        <w:tc>
          <w:tcPr>
            <w:tcW w:w="1474" w:type="dxa"/>
            <w:vAlign w:val="center"/>
          </w:tcPr>
          <w:p w14:paraId="46F1F166">
            <w:pPr>
              <w:pStyle w:val="14"/>
            </w:pPr>
          </w:p>
        </w:tc>
        <w:tc>
          <w:tcPr>
            <w:tcW w:w="1474" w:type="dxa"/>
            <w:vAlign w:val="center"/>
          </w:tcPr>
          <w:p w14:paraId="3D06BF54">
            <w:pPr>
              <w:pStyle w:val="14"/>
            </w:pPr>
          </w:p>
        </w:tc>
      </w:tr>
      <w:tr w14:paraId="06109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767ED">
            <w:pPr>
              <w:pStyle w:val="12"/>
            </w:pPr>
            <w:r>
              <w:t>23</w:t>
            </w:r>
          </w:p>
        </w:tc>
        <w:tc>
          <w:tcPr>
            <w:tcW w:w="3402" w:type="dxa"/>
            <w:vAlign w:val="center"/>
          </w:tcPr>
          <w:p w14:paraId="758FA012">
            <w:pPr>
              <w:pStyle w:val="13"/>
            </w:pPr>
          </w:p>
        </w:tc>
        <w:tc>
          <w:tcPr>
            <w:tcW w:w="1474" w:type="dxa"/>
            <w:vAlign w:val="center"/>
          </w:tcPr>
          <w:p w14:paraId="397768F6">
            <w:pPr>
              <w:pStyle w:val="14"/>
            </w:pPr>
          </w:p>
        </w:tc>
        <w:tc>
          <w:tcPr>
            <w:tcW w:w="3402" w:type="dxa"/>
            <w:vAlign w:val="center"/>
          </w:tcPr>
          <w:p w14:paraId="404DA91F">
            <w:pPr>
              <w:pStyle w:val="13"/>
            </w:pPr>
            <w:r>
              <w:t>二十三、灾害防治及应急管理支出</w:t>
            </w:r>
          </w:p>
        </w:tc>
        <w:tc>
          <w:tcPr>
            <w:tcW w:w="1474" w:type="dxa"/>
            <w:vAlign w:val="center"/>
          </w:tcPr>
          <w:p w14:paraId="6A93A15E">
            <w:pPr>
              <w:pStyle w:val="14"/>
            </w:pPr>
          </w:p>
        </w:tc>
        <w:tc>
          <w:tcPr>
            <w:tcW w:w="1474" w:type="dxa"/>
            <w:vAlign w:val="center"/>
          </w:tcPr>
          <w:p w14:paraId="2FCD668C">
            <w:pPr>
              <w:pStyle w:val="14"/>
            </w:pPr>
          </w:p>
        </w:tc>
        <w:tc>
          <w:tcPr>
            <w:tcW w:w="1474" w:type="dxa"/>
            <w:vAlign w:val="center"/>
          </w:tcPr>
          <w:p w14:paraId="29366CC8">
            <w:pPr>
              <w:pStyle w:val="14"/>
            </w:pPr>
          </w:p>
        </w:tc>
        <w:tc>
          <w:tcPr>
            <w:tcW w:w="1474" w:type="dxa"/>
            <w:vAlign w:val="center"/>
          </w:tcPr>
          <w:p w14:paraId="546A8056">
            <w:pPr>
              <w:pStyle w:val="14"/>
            </w:pPr>
          </w:p>
        </w:tc>
      </w:tr>
      <w:tr w14:paraId="7B367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5635F">
            <w:pPr>
              <w:pStyle w:val="12"/>
            </w:pPr>
            <w:r>
              <w:t>24</w:t>
            </w:r>
          </w:p>
        </w:tc>
        <w:tc>
          <w:tcPr>
            <w:tcW w:w="3402" w:type="dxa"/>
            <w:vAlign w:val="center"/>
          </w:tcPr>
          <w:p w14:paraId="28BC274C">
            <w:pPr>
              <w:pStyle w:val="13"/>
            </w:pPr>
          </w:p>
        </w:tc>
        <w:tc>
          <w:tcPr>
            <w:tcW w:w="1474" w:type="dxa"/>
            <w:vAlign w:val="center"/>
          </w:tcPr>
          <w:p w14:paraId="7B458658">
            <w:pPr>
              <w:pStyle w:val="14"/>
            </w:pPr>
          </w:p>
        </w:tc>
        <w:tc>
          <w:tcPr>
            <w:tcW w:w="3402" w:type="dxa"/>
            <w:vAlign w:val="center"/>
          </w:tcPr>
          <w:p w14:paraId="204D53BD">
            <w:pPr>
              <w:pStyle w:val="13"/>
            </w:pPr>
            <w:r>
              <w:t>二十四、预备费</w:t>
            </w:r>
          </w:p>
        </w:tc>
        <w:tc>
          <w:tcPr>
            <w:tcW w:w="1474" w:type="dxa"/>
            <w:vAlign w:val="center"/>
          </w:tcPr>
          <w:p w14:paraId="2C5A4B9D">
            <w:pPr>
              <w:pStyle w:val="14"/>
            </w:pPr>
          </w:p>
        </w:tc>
        <w:tc>
          <w:tcPr>
            <w:tcW w:w="1474" w:type="dxa"/>
            <w:vAlign w:val="center"/>
          </w:tcPr>
          <w:p w14:paraId="74DB2EB5">
            <w:pPr>
              <w:pStyle w:val="14"/>
            </w:pPr>
          </w:p>
        </w:tc>
        <w:tc>
          <w:tcPr>
            <w:tcW w:w="1474" w:type="dxa"/>
            <w:vAlign w:val="center"/>
          </w:tcPr>
          <w:p w14:paraId="77E16780">
            <w:pPr>
              <w:pStyle w:val="14"/>
            </w:pPr>
          </w:p>
        </w:tc>
        <w:tc>
          <w:tcPr>
            <w:tcW w:w="1474" w:type="dxa"/>
            <w:vAlign w:val="center"/>
          </w:tcPr>
          <w:p w14:paraId="022ED120">
            <w:pPr>
              <w:pStyle w:val="14"/>
            </w:pPr>
          </w:p>
        </w:tc>
      </w:tr>
      <w:tr w14:paraId="737B8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8F4AF">
            <w:pPr>
              <w:pStyle w:val="12"/>
            </w:pPr>
            <w:r>
              <w:t>25</w:t>
            </w:r>
          </w:p>
        </w:tc>
        <w:tc>
          <w:tcPr>
            <w:tcW w:w="3402" w:type="dxa"/>
            <w:vAlign w:val="center"/>
          </w:tcPr>
          <w:p w14:paraId="5D511437">
            <w:pPr>
              <w:pStyle w:val="13"/>
            </w:pPr>
          </w:p>
        </w:tc>
        <w:tc>
          <w:tcPr>
            <w:tcW w:w="1474" w:type="dxa"/>
            <w:vAlign w:val="center"/>
          </w:tcPr>
          <w:p w14:paraId="0AAE1189">
            <w:pPr>
              <w:pStyle w:val="14"/>
            </w:pPr>
          </w:p>
        </w:tc>
        <w:tc>
          <w:tcPr>
            <w:tcW w:w="3402" w:type="dxa"/>
            <w:vAlign w:val="center"/>
          </w:tcPr>
          <w:p w14:paraId="054516F2">
            <w:pPr>
              <w:pStyle w:val="13"/>
            </w:pPr>
            <w:r>
              <w:t>二十五、其他支出</w:t>
            </w:r>
          </w:p>
        </w:tc>
        <w:tc>
          <w:tcPr>
            <w:tcW w:w="1474" w:type="dxa"/>
            <w:vAlign w:val="center"/>
          </w:tcPr>
          <w:p w14:paraId="34BA796F">
            <w:pPr>
              <w:pStyle w:val="14"/>
            </w:pPr>
          </w:p>
        </w:tc>
        <w:tc>
          <w:tcPr>
            <w:tcW w:w="1474" w:type="dxa"/>
            <w:vAlign w:val="center"/>
          </w:tcPr>
          <w:p w14:paraId="1CA37CB5">
            <w:pPr>
              <w:pStyle w:val="14"/>
            </w:pPr>
          </w:p>
        </w:tc>
        <w:tc>
          <w:tcPr>
            <w:tcW w:w="1474" w:type="dxa"/>
            <w:vAlign w:val="center"/>
          </w:tcPr>
          <w:p w14:paraId="0071FF8D">
            <w:pPr>
              <w:pStyle w:val="14"/>
            </w:pPr>
          </w:p>
        </w:tc>
        <w:tc>
          <w:tcPr>
            <w:tcW w:w="1474" w:type="dxa"/>
            <w:vAlign w:val="center"/>
          </w:tcPr>
          <w:p w14:paraId="196FDD1A">
            <w:pPr>
              <w:pStyle w:val="14"/>
            </w:pPr>
          </w:p>
        </w:tc>
      </w:tr>
      <w:tr w14:paraId="7E785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3683D">
            <w:pPr>
              <w:pStyle w:val="12"/>
            </w:pPr>
            <w:r>
              <w:t>26</w:t>
            </w:r>
          </w:p>
        </w:tc>
        <w:tc>
          <w:tcPr>
            <w:tcW w:w="3402" w:type="dxa"/>
            <w:vAlign w:val="center"/>
          </w:tcPr>
          <w:p w14:paraId="0B05CF91">
            <w:pPr>
              <w:pStyle w:val="13"/>
            </w:pPr>
          </w:p>
        </w:tc>
        <w:tc>
          <w:tcPr>
            <w:tcW w:w="1474" w:type="dxa"/>
            <w:vAlign w:val="center"/>
          </w:tcPr>
          <w:p w14:paraId="05813421">
            <w:pPr>
              <w:pStyle w:val="14"/>
            </w:pPr>
          </w:p>
        </w:tc>
        <w:tc>
          <w:tcPr>
            <w:tcW w:w="3402" w:type="dxa"/>
            <w:vAlign w:val="center"/>
          </w:tcPr>
          <w:p w14:paraId="67C12D20">
            <w:pPr>
              <w:pStyle w:val="13"/>
            </w:pPr>
            <w:r>
              <w:t>二十六、转移性支出</w:t>
            </w:r>
          </w:p>
        </w:tc>
        <w:tc>
          <w:tcPr>
            <w:tcW w:w="1474" w:type="dxa"/>
            <w:vAlign w:val="center"/>
          </w:tcPr>
          <w:p w14:paraId="1DD8CCFA">
            <w:pPr>
              <w:pStyle w:val="14"/>
            </w:pPr>
          </w:p>
        </w:tc>
        <w:tc>
          <w:tcPr>
            <w:tcW w:w="1474" w:type="dxa"/>
            <w:vAlign w:val="center"/>
          </w:tcPr>
          <w:p w14:paraId="5A7E98A9">
            <w:pPr>
              <w:pStyle w:val="14"/>
            </w:pPr>
          </w:p>
        </w:tc>
        <w:tc>
          <w:tcPr>
            <w:tcW w:w="1474" w:type="dxa"/>
            <w:vAlign w:val="center"/>
          </w:tcPr>
          <w:p w14:paraId="1FEE3D38">
            <w:pPr>
              <w:pStyle w:val="14"/>
            </w:pPr>
          </w:p>
        </w:tc>
        <w:tc>
          <w:tcPr>
            <w:tcW w:w="1474" w:type="dxa"/>
            <w:vAlign w:val="center"/>
          </w:tcPr>
          <w:p w14:paraId="22086753">
            <w:pPr>
              <w:pStyle w:val="14"/>
            </w:pPr>
          </w:p>
        </w:tc>
      </w:tr>
      <w:tr w14:paraId="1C631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AEC3C">
            <w:pPr>
              <w:pStyle w:val="12"/>
            </w:pPr>
            <w:r>
              <w:t>27</w:t>
            </w:r>
          </w:p>
        </w:tc>
        <w:tc>
          <w:tcPr>
            <w:tcW w:w="3402" w:type="dxa"/>
            <w:vAlign w:val="center"/>
          </w:tcPr>
          <w:p w14:paraId="7C566DCF">
            <w:pPr>
              <w:pStyle w:val="13"/>
            </w:pPr>
          </w:p>
        </w:tc>
        <w:tc>
          <w:tcPr>
            <w:tcW w:w="1474" w:type="dxa"/>
            <w:vAlign w:val="center"/>
          </w:tcPr>
          <w:p w14:paraId="782D58BC">
            <w:pPr>
              <w:pStyle w:val="14"/>
            </w:pPr>
          </w:p>
        </w:tc>
        <w:tc>
          <w:tcPr>
            <w:tcW w:w="3402" w:type="dxa"/>
            <w:vAlign w:val="center"/>
          </w:tcPr>
          <w:p w14:paraId="7B332AA4">
            <w:pPr>
              <w:pStyle w:val="13"/>
            </w:pPr>
            <w:r>
              <w:t>二十七、债务还本支出</w:t>
            </w:r>
          </w:p>
        </w:tc>
        <w:tc>
          <w:tcPr>
            <w:tcW w:w="1474" w:type="dxa"/>
            <w:vAlign w:val="center"/>
          </w:tcPr>
          <w:p w14:paraId="1DC584D3">
            <w:pPr>
              <w:pStyle w:val="14"/>
            </w:pPr>
          </w:p>
        </w:tc>
        <w:tc>
          <w:tcPr>
            <w:tcW w:w="1474" w:type="dxa"/>
            <w:vAlign w:val="center"/>
          </w:tcPr>
          <w:p w14:paraId="47073419">
            <w:pPr>
              <w:pStyle w:val="14"/>
            </w:pPr>
          </w:p>
        </w:tc>
        <w:tc>
          <w:tcPr>
            <w:tcW w:w="1474" w:type="dxa"/>
            <w:vAlign w:val="center"/>
          </w:tcPr>
          <w:p w14:paraId="308742CA">
            <w:pPr>
              <w:pStyle w:val="14"/>
            </w:pPr>
          </w:p>
        </w:tc>
        <w:tc>
          <w:tcPr>
            <w:tcW w:w="1474" w:type="dxa"/>
            <w:vAlign w:val="center"/>
          </w:tcPr>
          <w:p w14:paraId="02CB3B41">
            <w:pPr>
              <w:pStyle w:val="14"/>
            </w:pPr>
          </w:p>
        </w:tc>
      </w:tr>
      <w:tr w14:paraId="2D718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EF7CC">
            <w:pPr>
              <w:pStyle w:val="12"/>
            </w:pPr>
            <w:r>
              <w:t>28</w:t>
            </w:r>
          </w:p>
        </w:tc>
        <w:tc>
          <w:tcPr>
            <w:tcW w:w="3402" w:type="dxa"/>
            <w:vAlign w:val="center"/>
          </w:tcPr>
          <w:p w14:paraId="320924AC">
            <w:pPr>
              <w:pStyle w:val="13"/>
            </w:pPr>
          </w:p>
        </w:tc>
        <w:tc>
          <w:tcPr>
            <w:tcW w:w="1474" w:type="dxa"/>
            <w:vAlign w:val="center"/>
          </w:tcPr>
          <w:p w14:paraId="029B3E47">
            <w:pPr>
              <w:pStyle w:val="14"/>
            </w:pPr>
          </w:p>
        </w:tc>
        <w:tc>
          <w:tcPr>
            <w:tcW w:w="3402" w:type="dxa"/>
            <w:vAlign w:val="center"/>
          </w:tcPr>
          <w:p w14:paraId="14C34B72">
            <w:pPr>
              <w:pStyle w:val="13"/>
            </w:pPr>
            <w:r>
              <w:t>二十八、债务付息支出</w:t>
            </w:r>
          </w:p>
        </w:tc>
        <w:tc>
          <w:tcPr>
            <w:tcW w:w="1474" w:type="dxa"/>
            <w:vAlign w:val="center"/>
          </w:tcPr>
          <w:p w14:paraId="54036E98">
            <w:pPr>
              <w:pStyle w:val="14"/>
            </w:pPr>
          </w:p>
        </w:tc>
        <w:tc>
          <w:tcPr>
            <w:tcW w:w="1474" w:type="dxa"/>
            <w:vAlign w:val="center"/>
          </w:tcPr>
          <w:p w14:paraId="4CAEDFA9">
            <w:pPr>
              <w:pStyle w:val="14"/>
            </w:pPr>
          </w:p>
        </w:tc>
        <w:tc>
          <w:tcPr>
            <w:tcW w:w="1474" w:type="dxa"/>
            <w:vAlign w:val="center"/>
          </w:tcPr>
          <w:p w14:paraId="452E0624">
            <w:pPr>
              <w:pStyle w:val="14"/>
            </w:pPr>
          </w:p>
        </w:tc>
        <w:tc>
          <w:tcPr>
            <w:tcW w:w="1474" w:type="dxa"/>
            <w:vAlign w:val="center"/>
          </w:tcPr>
          <w:p w14:paraId="51C3B6F2">
            <w:pPr>
              <w:pStyle w:val="14"/>
            </w:pPr>
          </w:p>
        </w:tc>
      </w:tr>
      <w:tr w14:paraId="7A020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1C274">
            <w:pPr>
              <w:pStyle w:val="12"/>
            </w:pPr>
            <w:r>
              <w:t>29</w:t>
            </w:r>
          </w:p>
        </w:tc>
        <w:tc>
          <w:tcPr>
            <w:tcW w:w="3402" w:type="dxa"/>
            <w:vAlign w:val="center"/>
          </w:tcPr>
          <w:p w14:paraId="3919A770">
            <w:pPr>
              <w:pStyle w:val="13"/>
            </w:pPr>
          </w:p>
        </w:tc>
        <w:tc>
          <w:tcPr>
            <w:tcW w:w="1474" w:type="dxa"/>
            <w:vAlign w:val="center"/>
          </w:tcPr>
          <w:p w14:paraId="485A64F5">
            <w:pPr>
              <w:pStyle w:val="14"/>
            </w:pPr>
          </w:p>
        </w:tc>
        <w:tc>
          <w:tcPr>
            <w:tcW w:w="3402" w:type="dxa"/>
            <w:vAlign w:val="center"/>
          </w:tcPr>
          <w:p w14:paraId="6EF1D405">
            <w:pPr>
              <w:pStyle w:val="13"/>
            </w:pPr>
            <w:r>
              <w:t>二十九、债务发行费用支出</w:t>
            </w:r>
          </w:p>
        </w:tc>
        <w:tc>
          <w:tcPr>
            <w:tcW w:w="1474" w:type="dxa"/>
            <w:vAlign w:val="center"/>
          </w:tcPr>
          <w:p w14:paraId="384E9BAC">
            <w:pPr>
              <w:pStyle w:val="14"/>
            </w:pPr>
          </w:p>
        </w:tc>
        <w:tc>
          <w:tcPr>
            <w:tcW w:w="1474" w:type="dxa"/>
            <w:vAlign w:val="center"/>
          </w:tcPr>
          <w:p w14:paraId="1D57A922">
            <w:pPr>
              <w:pStyle w:val="14"/>
            </w:pPr>
          </w:p>
        </w:tc>
        <w:tc>
          <w:tcPr>
            <w:tcW w:w="1474" w:type="dxa"/>
            <w:vAlign w:val="center"/>
          </w:tcPr>
          <w:p w14:paraId="01E4D04C">
            <w:pPr>
              <w:pStyle w:val="14"/>
            </w:pPr>
          </w:p>
        </w:tc>
        <w:tc>
          <w:tcPr>
            <w:tcW w:w="1474" w:type="dxa"/>
            <w:vAlign w:val="center"/>
          </w:tcPr>
          <w:p w14:paraId="5079FC16">
            <w:pPr>
              <w:pStyle w:val="14"/>
            </w:pPr>
          </w:p>
        </w:tc>
      </w:tr>
      <w:tr w14:paraId="02868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7E191">
            <w:pPr>
              <w:pStyle w:val="12"/>
            </w:pPr>
            <w:r>
              <w:t>30</w:t>
            </w:r>
          </w:p>
        </w:tc>
        <w:tc>
          <w:tcPr>
            <w:tcW w:w="3402" w:type="dxa"/>
            <w:vAlign w:val="center"/>
          </w:tcPr>
          <w:p w14:paraId="7937262C">
            <w:pPr>
              <w:pStyle w:val="13"/>
            </w:pPr>
          </w:p>
        </w:tc>
        <w:tc>
          <w:tcPr>
            <w:tcW w:w="1474" w:type="dxa"/>
            <w:vAlign w:val="center"/>
          </w:tcPr>
          <w:p w14:paraId="17F33F17">
            <w:pPr>
              <w:pStyle w:val="14"/>
            </w:pPr>
          </w:p>
        </w:tc>
        <w:tc>
          <w:tcPr>
            <w:tcW w:w="3402" w:type="dxa"/>
            <w:vAlign w:val="center"/>
          </w:tcPr>
          <w:p w14:paraId="7E92EB7E">
            <w:pPr>
              <w:pStyle w:val="13"/>
            </w:pPr>
            <w:r>
              <w:t>三十、抗疫特别国债安排的支出</w:t>
            </w:r>
          </w:p>
        </w:tc>
        <w:tc>
          <w:tcPr>
            <w:tcW w:w="1474" w:type="dxa"/>
            <w:vAlign w:val="center"/>
          </w:tcPr>
          <w:p w14:paraId="3A998D9D">
            <w:pPr>
              <w:pStyle w:val="14"/>
            </w:pPr>
          </w:p>
        </w:tc>
        <w:tc>
          <w:tcPr>
            <w:tcW w:w="1474" w:type="dxa"/>
            <w:vAlign w:val="center"/>
          </w:tcPr>
          <w:p w14:paraId="0829509B">
            <w:pPr>
              <w:pStyle w:val="14"/>
            </w:pPr>
          </w:p>
        </w:tc>
        <w:tc>
          <w:tcPr>
            <w:tcW w:w="1474" w:type="dxa"/>
            <w:vAlign w:val="center"/>
          </w:tcPr>
          <w:p w14:paraId="2C548583">
            <w:pPr>
              <w:pStyle w:val="14"/>
            </w:pPr>
          </w:p>
        </w:tc>
        <w:tc>
          <w:tcPr>
            <w:tcW w:w="1474" w:type="dxa"/>
            <w:vAlign w:val="center"/>
          </w:tcPr>
          <w:p w14:paraId="5166E8FA">
            <w:pPr>
              <w:pStyle w:val="14"/>
            </w:pPr>
          </w:p>
        </w:tc>
      </w:tr>
      <w:tr w14:paraId="7FFCE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ECC4A">
            <w:pPr>
              <w:pStyle w:val="12"/>
            </w:pPr>
            <w:r>
              <w:t>31</w:t>
            </w:r>
          </w:p>
        </w:tc>
        <w:tc>
          <w:tcPr>
            <w:tcW w:w="3402" w:type="dxa"/>
            <w:vAlign w:val="center"/>
          </w:tcPr>
          <w:p w14:paraId="19D61F03">
            <w:pPr>
              <w:pStyle w:val="13"/>
            </w:pPr>
          </w:p>
        </w:tc>
        <w:tc>
          <w:tcPr>
            <w:tcW w:w="1474" w:type="dxa"/>
            <w:vAlign w:val="center"/>
          </w:tcPr>
          <w:p w14:paraId="4C694E01">
            <w:pPr>
              <w:pStyle w:val="14"/>
            </w:pPr>
          </w:p>
        </w:tc>
        <w:tc>
          <w:tcPr>
            <w:tcW w:w="3402" w:type="dxa"/>
            <w:vAlign w:val="center"/>
          </w:tcPr>
          <w:p w14:paraId="044CA482">
            <w:pPr>
              <w:pStyle w:val="13"/>
            </w:pPr>
            <w:r>
              <w:t>三十一、人行科目</w:t>
            </w:r>
          </w:p>
        </w:tc>
        <w:tc>
          <w:tcPr>
            <w:tcW w:w="1474" w:type="dxa"/>
            <w:vAlign w:val="center"/>
          </w:tcPr>
          <w:p w14:paraId="2CE694BA">
            <w:pPr>
              <w:pStyle w:val="14"/>
            </w:pPr>
          </w:p>
        </w:tc>
        <w:tc>
          <w:tcPr>
            <w:tcW w:w="1474" w:type="dxa"/>
            <w:vAlign w:val="center"/>
          </w:tcPr>
          <w:p w14:paraId="597935D5">
            <w:pPr>
              <w:pStyle w:val="14"/>
            </w:pPr>
          </w:p>
        </w:tc>
        <w:tc>
          <w:tcPr>
            <w:tcW w:w="1474" w:type="dxa"/>
            <w:vAlign w:val="center"/>
          </w:tcPr>
          <w:p w14:paraId="2FC831C0">
            <w:pPr>
              <w:pStyle w:val="14"/>
            </w:pPr>
          </w:p>
        </w:tc>
        <w:tc>
          <w:tcPr>
            <w:tcW w:w="1474" w:type="dxa"/>
            <w:vAlign w:val="center"/>
          </w:tcPr>
          <w:p w14:paraId="1CF81609">
            <w:pPr>
              <w:pStyle w:val="14"/>
            </w:pPr>
          </w:p>
        </w:tc>
      </w:tr>
      <w:tr w14:paraId="03C67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F1596">
            <w:pPr>
              <w:pStyle w:val="12"/>
            </w:pPr>
            <w:r>
              <w:t>32</w:t>
            </w:r>
          </w:p>
        </w:tc>
        <w:tc>
          <w:tcPr>
            <w:tcW w:w="3402" w:type="dxa"/>
            <w:vAlign w:val="center"/>
          </w:tcPr>
          <w:p w14:paraId="7F9DF820">
            <w:pPr>
              <w:pStyle w:val="15"/>
            </w:pPr>
            <w:r>
              <w:t>本年收入合计</w:t>
            </w:r>
          </w:p>
        </w:tc>
        <w:tc>
          <w:tcPr>
            <w:tcW w:w="1474" w:type="dxa"/>
            <w:vAlign w:val="center"/>
          </w:tcPr>
          <w:p w14:paraId="085D089C">
            <w:pPr>
              <w:pStyle w:val="16"/>
            </w:pPr>
            <w:r>
              <w:t>226.80</w:t>
            </w:r>
          </w:p>
        </w:tc>
        <w:tc>
          <w:tcPr>
            <w:tcW w:w="3402" w:type="dxa"/>
            <w:vAlign w:val="center"/>
          </w:tcPr>
          <w:p w14:paraId="34C82A07">
            <w:pPr>
              <w:pStyle w:val="15"/>
            </w:pPr>
            <w:r>
              <w:t>本年支出合计</w:t>
            </w:r>
          </w:p>
        </w:tc>
        <w:tc>
          <w:tcPr>
            <w:tcW w:w="1474" w:type="dxa"/>
            <w:vAlign w:val="center"/>
          </w:tcPr>
          <w:p w14:paraId="1CF5D5E7">
            <w:pPr>
              <w:pStyle w:val="16"/>
            </w:pPr>
            <w:r>
              <w:t>226.80</w:t>
            </w:r>
          </w:p>
        </w:tc>
        <w:tc>
          <w:tcPr>
            <w:tcW w:w="1474" w:type="dxa"/>
            <w:vAlign w:val="center"/>
          </w:tcPr>
          <w:p w14:paraId="11FDB21B">
            <w:pPr>
              <w:pStyle w:val="16"/>
            </w:pPr>
            <w:r>
              <w:t>226.80</w:t>
            </w:r>
          </w:p>
        </w:tc>
        <w:tc>
          <w:tcPr>
            <w:tcW w:w="1474" w:type="dxa"/>
            <w:vAlign w:val="center"/>
          </w:tcPr>
          <w:p w14:paraId="50C05667">
            <w:pPr>
              <w:pStyle w:val="16"/>
            </w:pPr>
          </w:p>
        </w:tc>
        <w:tc>
          <w:tcPr>
            <w:tcW w:w="1474" w:type="dxa"/>
            <w:vAlign w:val="center"/>
          </w:tcPr>
          <w:p w14:paraId="1F806527">
            <w:pPr>
              <w:pStyle w:val="16"/>
            </w:pPr>
          </w:p>
        </w:tc>
      </w:tr>
      <w:tr w14:paraId="5FF24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F7CC4">
            <w:pPr>
              <w:pStyle w:val="12"/>
            </w:pPr>
            <w:r>
              <w:t>33</w:t>
            </w:r>
          </w:p>
        </w:tc>
        <w:tc>
          <w:tcPr>
            <w:tcW w:w="3402" w:type="dxa"/>
            <w:vAlign w:val="center"/>
          </w:tcPr>
          <w:p w14:paraId="116AC902">
            <w:pPr>
              <w:pStyle w:val="13"/>
            </w:pPr>
            <w:r>
              <w:t>年初财政拨款结转和结余</w:t>
            </w:r>
          </w:p>
        </w:tc>
        <w:tc>
          <w:tcPr>
            <w:tcW w:w="1474" w:type="dxa"/>
            <w:vAlign w:val="center"/>
          </w:tcPr>
          <w:p w14:paraId="32011A04">
            <w:pPr>
              <w:pStyle w:val="14"/>
            </w:pPr>
          </w:p>
        </w:tc>
        <w:tc>
          <w:tcPr>
            <w:tcW w:w="3402" w:type="dxa"/>
            <w:vAlign w:val="center"/>
          </w:tcPr>
          <w:p w14:paraId="46BA41BF">
            <w:pPr>
              <w:pStyle w:val="13"/>
            </w:pPr>
            <w:r>
              <w:t>年末财政拨款结转和结余</w:t>
            </w:r>
          </w:p>
        </w:tc>
        <w:tc>
          <w:tcPr>
            <w:tcW w:w="1474" w:type="dxa"/>
            <w:vAlign w:val="center"/>
          </w:tcPr>
          <w:p w14:paraId="4C6D0E77">
            <w:pPr>
              <w:pStyle w:val="14"/>
            </w:pPr>
          </w:p>
        </w:tc>
        <w:tc>
          <w:tcPr>
            <w:tcW w:w="1474" w:type="dxa"/>
            <w:vAlign w:val="center"/>
          </w:tcPr>
          <w:p w14:paraId="7D80BD56">
            <w:pPr>
              <w:pStyle w:val="14"/>
            </w:pPr>
          </w:p>
        </w:tc>
        <w:tc>
          <w:tcPr>
            <w:tcW w:w="1474" w:type="dxa"/>
            <w:vAlign w:val="center"/>
          </w:tcPr>
          <w:p w14:paraId="15DC5679">
            <w:pPr>
              <w:pStyle w:val="14"/>
            </w:pPr>
          </w:p>
        </w:tc>
        <w:tc>
          <w:tcPr>
            <w:tcW w:w="1474" w:type="dxa"/>
            <w:vAlign w:val="center"/>
          </w:tcPr>
          <w:p w14:paraId="1EB2A8C7">
            <w:pPr>
              <w:pStyle w:val="14"/>
            </w:pPr>
          </w:p>
        </w:tc>
      </w:tr>
      <w:tr w14:paraId="29EB2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67F0E">
            <w:pPr>
              <w:pStyle w:val="12"/>
            </w:pPr>
            <w:r>
              <w:t>34</w:t>
            </w:r>
          </w:p>
        </w:tc>
        <w:tc>
          <w:tcPr>
            <w:tcW w:w="3402" w:type="dxa"/>
            <w:vAlign w:val="center"/>
          </w:tcPr>
          <w:p w14:paraId="4D3E3CE4">
            <w:pPr>
              <w:pStyle w:val="13"/>
            </w:pPr>
            <w:r>
              <w:t>一、一般公共预算拨款</w:t>
            </w:r>
          </w:p>
        </w:tc>
        <w:tc>
          <w:tcPr>
            <w:tcW w:w="1474" w:type="dxa"/>
            <w:vAlign w:val="center"/>
          </w:tcPr>
          <w:p w14:paraId="7F436968">
            <w:pPr>
              <w:pStyle w:val="14"/>
            </w:pPr>
          </w:p>
        </w:tc>
        <w:tc>
          <w:tcPr>
            <w:tcW w:w="3402" w:type="dxa"/>
            <w:vAlign w:val="center"/>
          </w:tcPr>
          <w:p w14:paraId="4D7A5AE7">
            <w:pPr>
              <w:pStyle w:val="13"/>
            </w:pPr>
          </w:p>
        </w:tc>
        <w:tc>
          <w:tcPr>
            <w:tcW w:w="1474" w:type="dxa"/>
            <w:vAlign w:val="center"/>
          </w:tcPr>
          <w:p w14:paraId="5B966F7F">
            <w:pPr>
              <w:pStyle w:val="14"/>
            </w:pPr>
          </w:p>
        </w:tc>
        <w:tc>
          <w:tcPr>
            <w:tcW w:w="1474" w:type="dxa"/>
            <w:vAlign w:val="center"/>
          </w:tcPr>
          <w:p w14:paraId="3EE688FA">
            <w:pPr>
              <w:pStyle w:val="14"/>
            </w:pPr>
          </w:p>
        </w:tc>
        <w:tc>
          <w:tcPr>
            <w:tcW w:w="1474" w:type="dxa"/>
            <w:vAlign w:val="center"/>
          </w:tcPr>
          <w:p w14:paraId="196F5E15">
            <w:pPr>
              <w:pStyle w:val="14"/>
            </w:pPr>
          </w:p>
        </w:tc>
        <w:tc>
          <w:tcPr>
            <w:tcW w:w="1474" w:type="dxa"/>
            <w:vAlign w:val="center"/>
          </w:tcPr>
          <w:p w14:paraId="04CDD5AB">
            <w:pPr>
              <w:pStyle w:val="14"/>
            </w:pPr>
          </w:p>
        </w:tc>
      </w:tr>
      <w:tr w14:paraId="5C23F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B914D">
            <w:pPr>
              <w:pStyle w:val="12"/>
            </w:pPr>
            <w:r>
              <w:t>35</w:t>
            </w:r>
          </w:p>
        </w:tc>
        <w:tc>
          <w:tcPr>
            <w:tcW w:w="3402" w:type="dxa"/>
            <w:vAlign w:val="center"/>
          </w:tcPr>
          <w:p w14:paraId="4FD3A372">
            <w:pPr>
              <w:pStyle w:val="13"/>
            </w:pPr>
            <w:r>
              <w:t>二、政府性基金预算拨款</w:t>
            </w:r>
          </w:p>
        </w:tc>
        <w:tc>
          <w:tcPr>
            <w:tcW w:w="1474" w:type="dxa"/>
            <w:vAlign w:val="center"/>
          </w:tcPr>
          <w:p w14:paraId="44992623">
            <w:pPr>
              <w:pStyle w:val="14"/>
            </w:pPr>
          </w:p>
        </w:tc>
        <w:tc>
          <w:tcPr>
            <w:tcW w:w="3402" w:type="dxa"/>
            <w:vAlign w:val="center"/>
          </w:tcPr>
          <w:p w14:paraId="23E13C88">
            <w:pPr>
              <w:pStyle w:val="13"/>
            </w:pPr>
          </w:p>
        </w:tc>
        <w:tc>
          <w:tcPr>
            <w:tcW w:w="1474" w:type="dxa"/>
            <w:vAlign w:val="center"/>
          </w:tcPr>
          <w:p w14:paraId="445CE75B">
            <w:pPr>
              <w:pStyle w:val="14"/>
            </w:pPr>
          </w:p>
        </w:tc>
        <w:tc>
          <w:tcPr>
            <w:tcW w:w="1474" w:type="dxa"/>
            <w:vAlign w:val="center"/>
          </w:tcPr>
          <w:p w14:paraId="49B44900">
            <w:pPr>
              <w:pStyle w:val="14"/>
            </w:pPr>
          </w:p>
        </w:tc>
        <w:tc>
          <w:tcPr>
            <w:tcW w:w="1474" w:type="dxa"/>
            <w:vAlign w:val="center"/>
          </w:tcPr>
          <w:p w14:paraId="4C29B776">
            <w:pPr>
              <w:pStyle w:val="14"/>
            </w:pPr>
          </w:p>
        </w:tc>
        <w:tc>
          <w:tcPr>
            <w:tcW w:w="1474" w:type="dxa"/>
            <w:vAlign w:val="center"/>
          </w:tcPr>
          <w:p w14:paraId="5D6CB112">
            <w:pPr>
              <w:pStyle w:val="14"/>
            </w:pPr>
          </w:p>
        </w:tc>
      </w:tr>
      <w:tr w14:paraId="62B91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3B2F4">
            <w:pPr>
              <w:pStyle w:val="12"/>
            </w:pPr>
            <w:r>
              <w:t>36</w:t>
            </w:r>
          </w:p>
        </w:tc>
        <w:tc>
          <w:tcPr>
            <w:tcW w:w="3402" w:type="dxa"/>
            <w:vAlign w:val="center"/>
          </w:tcPr>
          <w:p w14:paraId="1998509E">
            <w:pPr>
              <w:pStyle w:val="13"/>
            </w:pPr>
            <w:r>
              <w:t>三、国有资本经营预算拨款</w:t>
            </w:r>
          </w:p>
        </w:tc>
        <w:tc>
          <w:tcPr>
            <w:tcW w:w="1474" w:type="dxa"/>
            <w:vAlign w:val="center"/>
          </w:tcPr>
          <w:p w14:paraId="119C5473">
            <w:pPr>
              <w:pStyle w:val="14"/>
            </w:pPr>
          </w:p>
        </w:tc>
        <w:tc>
          <w:tcPr>
            <w:tcW w:w="3402" w:type="dxa"/>
            <w:vAlign w:val="center"/>
          </w:tcPr>
          <w:p w14:paraId="5501F4B3">
            <w:pPr>
              <w:pStyle w:val="13"/>
            </w:pPr>
          </w:p>
        </w:tc>
        <w:tc>
          <w:tcPr>
            <w:tcW w:w="1474" w:type="dxa"/>
            <w:vAlign w:val="center"/>
          </w:tcPr>
          <w:p w14:paraId="580EA788">
            <w:pPr>
              <w:pStyle w:val="14"/>
            </w:pPr>
          </w:p>
        </w:tc>
        <w:tc>
          <w:tcPr>
            <w:tcW w:w="1474" w:type="dxa"/>
            <w:vAlign w:val="center"/>
          </w:tcPr>
          <w:p w14:paraId="7724A699">
            <w:pPr>
              <w:pStyle w:val="14"/>
            </w:pPr>
          </w:p>
        </w:tc>
        <w:tc>
          <w:tcPr>
            <w:tcW w:w="1474" w:type="dxa"/>
            <w:vAlign w:val="center"/>
          </w:tcPr>
          <w:p w14:paraId="6E3C6000">
            <w:pPr>
              <w:pStyle w:val="14"/>
            </w:pPr>
          </w:p>
        </w:tc>
        <w:tc>
          <w:tcPr>
            <w:tcW w:w="1474" w:type="dxa"/>
            <w:vAlign w:val="center"/>
          </w:tcPr>
          <w:p w14:paraId="54B17D3F">
            <w:pPr>
              <w:pStyle w:val="14"/>
            </w:pPr>
          </w:p>
        </w:tc>
      </w:tr>
      <w:tr w14:paraId="0753F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8D554">
            <w:pPr>
              <w:pStyle w:val="12"/>
            </w:pPr>
            <w:r>
              <w:t>37</w:t>
            </w:r>
          </w:p>
        </w:tc>
        <w:tc>
          <w:tcPr>
            <w:tcW w:w="3402" w:type="dxa"/>
            <w:vAlign w:val="center"/>
          </w:tcPr>
          <w:p w14:paraId="094ACC23">
            <w:pPr>
              <w:pStyle w:val="15"/>
            </w:pPr>
            <w:r>
              <w:t>收入总计</w:t>
            </w:r>
          </w:p>
        </w:tc>
        <w:tc>
          <w:tcPr>
            <w:tcW w:w="1474" w:type="dxa"/>
            <w:vAlign w:val="center"/>
          </w:tcPr>
          <w:p w14:paraId="46D850AF">
            <w:pPr>
              <w:pStyle w:val="16"/>
            </w:pPr>
            <w:r>
              <w:t>226.80</w:t>
            </w:r>
          </w:p>
        </w:tc>
        <w:tc>
          <w:tcPr>
            <w:tcW w:w="3402" w:type="dxa"/>
            <w:vAlign w:val="center"/>
          </w:tcPr>
          <w:p w14:paraId="078D13C3">
            <w:pPr>
              <w:pStyle w:val="15"/>
            </w:pPr>
            <w:r>
              <w:t>支出总计</w:t>
            </w:r>
          </w:p>
        </w:tc>
        <w:tc>
          <w:tcPr>
            <w:tcW w:w="1474" w:type="dxa"/>
            <w:vAlign w:val="center"/>
          </w:tcPr>
          <w:p w14:paraId="106BA4E1">
            <w:pPr>
              <w:pStyle w:val="16"/>
            </w:pPr>
            <w:r>
              <w:t>226.80</w:t>
            </w:r>
          </w:p>
        </w:tc>
        <w:tc>
          <w:tcPr>
            <w:tcW w:w="1474" w:type="dxa"/>
            <w:vAlign w:val="center"/>
          </w:tcPr>
          <w:p w14:paraId="5D6767C9">
            <w:pPr>
              <w:pStyle w:val="16"/>
            </w:pPr>
            <w:r>
              <w:t>226.80</w:t>
            </w:r>
          </w:p>
        </w:tc>
        <w:tc>
          <w:tcPr>
            <w:tcW w:w="1474" w:type="dxa"/>
            <w:vAlign w:val="center"/>
          </w:tcPr>
          <w:p w14:paraId="6C2C7D53">
            <w:pPr>
              <w:pStyle w:val="16"/>
            </w:pPr>
          </w:p>
        </w:tc>
        <w:tc>
          <w:tcPr>
            <w:tcW w:w="1474" w:type="dxa"/>
            <w:vAlign w:val="center"/>
          </w:tcPr>
          <w:p w14:paraId="04BF8E89">
            <w:pPr>
              <w:pStyle w:val="16"/>
            </w:pPr>
          </w:p>
        </w:tc>
      </w:tr>
    </w:tbl>
    <w:p w14:paraId="49E0F11D">
      <w:pPr>
        <w:sectPr>
          <w:pgSz w:w="16840" w:h="11900" w:orient="landscape"/>
          <w:pgMar w:top="1361" w:right="1020" w:bottom="1134" w:left="1020" w:header="720" w:footer="720" w:gutter="0"/>
          <w:cols w:space="720" w:num="1"/>
        </w:sectPr>
      </w:pPr>
    </w:p>
    <w:p w14:paraId="02152B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4B7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802790">
            <w:pPr>
              <w:pStyle w:val="8"/>
            </w:pPr>
            <w:r>
              <w:t>360014隆尧县县直幼儿园</w:t>
            </w:r>
          </w:p>
        </w:tc>
        <w:tc>
          <w:tcPr>
            <w:tcW w:w="2551" w:type="dxa"/>
            <w:tcBorders>
              <w:top w:val="single" w:color="FFFFFF" w:sz="6" w:space="0"/>
              <w:left w:val="single" w:color="FFFFFF" w:sz="6" w:space="0"/>
              <w:right w:val="single" w:color="FFFFFF" w:sz="6" w:space="0"/>
            </w:tcBorders>
            <w:vAlign w:val="center"/>
          </w:tcPr>
          <w:p w14:paraId="7A94552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D938FD5">
            <w:pPr>
              <w:pStyle w:val="10"/>
            </w:pPr>
            <w:r>
              <w:t>单位：万元</w:t>
            </w:r>
          </w:p>
        </w:tc>
      </w:tr>
      <w:tr w14:paraId="2F7FC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87199A">
            <w:pPr>
              <w:pStyle w:val="11"/>
            </w:pPr>
            <w:r>
              <w:t>序号</w:t>
            </w:r>
          </w:p>
        </w:tc>
        <w:tc>
          <w:tcPr>
            <w:tcW w:w="5726" w:type="dxa"/>
            <w:gridSpan w:val="2"/>
            <w:vAlign w:val="center"/>
          </w:tcPr>
          <w:p w14:paraId="19663B97">
            <w:pPr>
              <w:pStyle w:val="11"/>
            </w:pPr>
            <w:r>
              <w:t>功能分类科目</w:t>
            </w:r>
          </w:p>
        </w:tc>
        <w:tc>
          <w:tcPr>
            <w:tcW w:w="2551" w:type="dxa"/>
            <w:vMerge w:val="restart"/>
            <w:vAlign w:val="center"/>
          </w:tcPr>
          <w:p w14:paraId="5AB9489A">
            <w:pPr>
              <w:pStyle w:val="11"/>
            </w:pPr>
            <w:r>
              <w:t>合计</w:t>
            </w:r>
          </w:p>
        </w:tc>
        <w:tc>
          <w:tcPr>
            <w:tcW w:w="2551" w:type="dxa"/>
            <w:vMerge w:val="restart"/>
            <w:vAlign w:val="center"/>
          </w:tcPr>
          <w:p w14:paraId="17E6F538">
            <w:pPr>
              <w:pStyle w:val="11"/>
            </w:pPr>
            <w:r>
              <w:t>基本支出</w:t>
            </w:r>
          </w:p>
        </w:tc>
        <w:tc>
          <w:tcPr>
            <w:tcW w:w="2551" w:type="dxa"/>
            <w:vMerge w:val="restart"/>
            <w:vAlign w:val="center"/>
          </w:tcPr>
          <w:p w14:paraId="45D2A9F1">
            <w:pPr>
              <w:pStyle w:val="11"/>
            </w:pPr>
            <w:r>
              <w:t>项目支出</w:t>
            </w:r>
          </w:p>
        </w:tc>
      </w:tr>
      <w:tr w14:paraId="56279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F0A987"/>
        </w:tc>
        <w:tc>
          <w:tcPr>
            <w:tcW w:w="1191" w:type="dxa"/>
            <w:vAlign w:val="center"/>
          </w:tcPr>
          <w:p w14:paraId="3B679D90">
            <w:pPr>
              <w:pStyle w:val="11"/>
            </w:pPr>
            <w:r>
              <w:t>科目编码</w:t>
            </w:r>
          </w:p>
        </w:tc>
        <w:tc>
          <w:tcPr>
            <w:tcW w:w="4535" w:type="dxa"/>
            <w:vAlign w:val="center"/>
          </w:tcPr>
          <w:p w14:paraId="1C9B8631">
            <w:pPr>
              <w:pStyle w:val="11"/>
            </w:pPr>
            <w:r>
              <w:t>科目名称</w:t>
            </w:r>
          </w:p>
        </w:tc>
        <w:tc>
          <w:tcPr>
            <w:tcW w:w="2551" w:type="dxa"/>
            <w:vMerge w:val="continue"/>
          </w:tcPr>
          <w:p w14:paraId="0CC29B36"/>
        </w:tc>
        <w:tc>
          <w:tcPr>
            <w:tcW w:w="2551" w:type="dxa"/>
            <w:vMerge w:val="continue"/>
          </w:tcPr>
          <w:p w14:paraId="540492B0"/>
        </w:tc>
        <w:tc>
          <w:tcPr>
            <w:tcW w:w="2551" w:type="dxa"/>
            <w:vMerge w:val="continue"/>
          </w:tcPr>
          <w:p w14:paraId="0E5E1EFB"/>
        </w:tc>
      </w:tr>
      <w:tr w14:paraId="16100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07AFB">
            <w:pPr>
              <w:pStyle w:val="11"/>
            </w:pPr>
            <w:r>
              <w:t>栏次</w:t>
            </w:r>
          </w:p>
        </w:tc>
        <w:tc>
          <w:tcPr>
            <w:tcW w:w="1191" w:type="dxa"/>
            <w:vAlign w:val="center"/>
          </w:tcPr>
          <w:p w14:paraId="5317DA6B">
            <w:pPr>
              <w:pStyle w:val="11"/>
            </w:pPr>
            <w:r>
              <w:t>1</w:t>
            </w:r>
          </w:p>
        </w:tc>
        <w:tc>
          <w:tcPr>
            <w:tcW w:w="4535" w:type="dxa"/>
            <w:vAlign w:val="center"/>
          </w:tcPr>
          <w:p w14:paraId="0C63A749">
            <w:pPr>
              <w:pStyle w:val="11"/>
            </w:pPr>
            <w:r>
              <w:t>2</w:t>
            </w:r>
          </w:p>
        </w:tc>
        <w:tc>
          <w:tcPr>
            <w:tcW w:w="2551" w:type="dxa"/>
            <w:vAlign w:val="center"/>
          </w:tcPr>
          <w:p w14:paraId="094390F1">
            <w:pPr>
              <w:pStyle w:val="11"/>
            </w:pPr>
            <w:r>
              <w:t>3</w:t>
            </w:r>
          </w:p>
        </w:tc>
        <w:tc>
          <w:tcPr>
            <w:tcW w:w="2551" w:type="dxa"/>
            <w:vAlign w:val="center"/>
          </w:tcPr>
          <w:p w14:paraId="37BF42DC">
            <w:pPr>
              <w:pStyle w:val="11"/>
            </w:pPr>
            <w:r>
              <w:t>4</w:t>
            </w:r>
          </w:p>
        </w:tc>
        <w:tc>
          <w:tcPr>
            <w:tcW w:w="2551" w:type="dxa"/>
            <w:vAlign w:val="center"/>
          </w:tcPr>
          <w:p w14:paraId="2F789364">
            <w:pPr>
              <w:pStyle w:val="11"/>
            </w:pPr>
            <w:r>
              <w:t>5</w:t>
            </w:r>
          </w:p>
        </w:tc>
      </w:tr>
      <w:tr w14:paraId="4992D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F54FC">
            <w:pPr>
              <w:pStyle w:val="12"/>
            </w:pPr>
            <w:r>
              <w:t>1</w:t>
            </w:r>
          </w:p>
        </w:tc>
        <w:tc>
          <w:tcPr>
            <w:tcW w:w="1191" w:type="dxa"/>
            <w:vAlign w:val="center"/>
          </w:tcPr>
          <w:p w14:paraId="55A7443F">
            <w:pPr>
              <w:pStyle w:val="17"/>
            </w:pPr>
          </w:p>
        </w:tc>
        <w:tc>
          <w:tcPr>
            <w:tcW w:w="4535" w:type="dxa"/>
            <w:vAlign w:val="center"/>
          </w:tcPr>
          <w:p w14:paraId="546F8A69">
            <w:pPr>
              <w:pStyle w:val="15"/>
            </w:pPr>
            <w:r>
              <w:t>合计</w:t>
            </w:r>
          </w:p>
        </w:tc>
        <w:tc>
          <w:tcPr>
            <w:tcW w:w="2551" w:type="dxa"/>
            <w:vAlign w:val="center"/>
          </w:tcPr>
          <w:p w14:paraId="395B332B">
            <w:pPr>
              <w:pStyle w:val="16"/>
            </w:pPr>
            <w:r>
              <w:t>226.80</w:t>
            </w:r>
          </w:p>
        </w:tc>
        <w:tc>
          <w:tcPr>
            <w:tcW w:w="2551" w:type="dxa"/>
            <w:vAlign w:val="center"/>
          </w:tcPr>
          <w:p w14:paraId="42828A6C">
            <w:pPr>
              <w:pStyle w:val="16"/>
            </w:pPr>
            <w:r>
              <w:t>28.10</w:t>
            </w:r>
          </w:p>
        </w:tc>
        <w:tc>
          <w:tcPr>
            <w:tcW w:w="2551" w:type="dxa"/>
            <w:vAlign w:val="center"/>
          </w:tcPr>
          <w:p w14:paraId="0329A02B">
            <w:pPr>
              <w:pStyle w:val="16"/>
            </w:pPr>
            <w:r>
              <w:t>198.70</w:t>
            </w:r>
          </w:p>
        </w:tc>
      </w:tr>
      <w:tr w14:paraId="7D91E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2702F">
            <w:pPr>
              <w:pStyle w:val="12"/>
            </w:pPr>
            <w:r>
              <w:t>2</w:t>
            </w:r>
          </w:p>
        </w:tc>
        <w:tc>
          <w:tcPr>
            <w:tcW w:w="1191" w:type="dxa"/>
            <w:vAlign w:val="center"/>
          </w:tcPr>
          <w:p w14:paraId="574FE685">
            <w:pPr>
              <w:pStyle w:val="13"/>
            </w:pPr>
            <w:r>
              <w:t>205</w:t>
            </w:r>
          </w:p>
        </w:tc>
        <w:tc>
          <w:tcPr>
            <w:tcW w:w="4535" w:type="dxa"/>
            <w:vAlign w:val="center"/>
          </w:tcPr>
          <w:p w14:paraId="7FBE14C4">
            <w:pPr>
              <w:pStyle w:val="13"/>
            </w:pPr>
            <w:r>
              <w:t>教育支出</w:t>
            </w:r>
          </w:p>
        </w:tc>
        <w:tc>
          <w:tcPr>
            <w:tcW w:w="2551" w:type="dxa"/>
            <w:vAlign w:val="center"/>
          </w:tcPr>
          <w:p w14:paraId="5AD0392C">
            <w:pPr>
              <w:pStyle w:val="14"/>
            </w:pPr>
            <w:r>
              <w:t>226.80</w:t>
            </w:r>
          </w:p>
        </w:tc>
        <w:tc>
          <w:tcPr>
            <w:tcW w:w="2551" w:type="dxa"/>
            <w:vAlign w:val="center"/>
          </w:tcPr>
          <w:p w14:paraId="00E26CE8">
            <w:pPr>
              <w:pStyle w:val="14"/>
            </w:pPr>
            <w:r>
              <w:t>28.10</w:t>
            </w:r>
          </w:p>
        </w:tc>
        <w:tc>
          <w:tcPr>
            <w:tcW w:w="2551" w:type="dxa"/>
            <w:vAlign w:val="center"/>
          </w:tcPr>
          <w:p w14:paraId="550C70B9">
            <w:pPr>
              <w:pStyle w:val="14"/>
            </w:pPr>
            <w:r>
              <w:t>198.70</w:t>
            </w:r>
          </w:p>
        </w:tc>
      </w:tr>
      <w:tr w14:paraId="3BDEA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D5661">
            <w:pPr>
              <w:pStyle w:val="12"/>
            </w:pPr>
            <w:r>
              <w:t>3</w:t>
            </w:r>
          </w:p>
        </w:tc>
        <w:tc>
          <w:tcPr>
            <w:tcW w:w="1191" w:type="dxa"/>
            <w:vAlign w:val="center"/>
          </w:tcPr>
          <w:p w14:paraId="672C8AA2">
            <w:pPr>
              <w:pStyle w:val="13"/>
            </w:pPr>
            <w:r>
              <w:t>20502</w:t>
            </w:r>
          </w:p>
        </w:tc>
        <w:tc>
          <w:tcPr>
            <w:tcW w:w="4535" w:type="dxa"/>
            <w:vAlign w:val="center"/>
          </w:tcPr>
          <w:p w14:paraId="45AAC851">
            <w:pPr>
              <w:pStyle w:val="13"/>
            </w:pPr>
            <w:r>
              <w:t>普通教育</w:t>
            </w:r>
          </w:p>
        </w:tc>
        <w:tc>
          <w:tcPr>
            <w:tcW w:w="2551" w:type="dxa"/>
            <w:vAlign w:val="center"/>
          </w:tcPr>
          <w:p w14:paraId="6EE8A6EA">
            <w:pPr>
              <w:pStyle w:val="14"/>
            </w:pPr>
            <w:r>
              <w:t>226.80</w:t>
            </w:r>
          </w:p>
        </w:tc>
        <w:tc>
          <w:tcPr>
            <w:tcW w:w="2551" w:type="dxa"/>
            <w:vAlign w:val="center"/>
          </w:tcPr>
          <w:p w14:paraId="448C5A4C">
            <w:pPr>
              <w:pStyle w:val="14"/>
            </w:pPr>
            <w:r>
              <w:t>28.10</w:t>
            </w:r>
          </w:p>
        </w:tc>
        <w:tc>
          <w:tcPr>
            <w:tcW w:w="2551" w:type="dxa"/>
            <w:vAlign w:val="center"/>
          </w:tcPr>
          <w:p w14:paraId="1B34820A">
            <w:pPr>
              <w:pStyle w:val="14"/>
            </w:pPr>
            <w:r>
              <w:t>198.70</w:t>
            </w:r>
          </w:p>
        </w:tc>
      </w:tr>
      <w:tr w14:paraId="1E10F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80054">
            <w:pPr>
              <w:pStyle w:val="12"/>
            </w:pPr>
            <w:r>
              <w:t>4</w:t>
            </w:r>
          </w:p>
        </w:tc>
        <w:tc>
          <w:tcPr>
            <w:tcW w:w="1191" w:type="dxa"/>
            <w:vAlign w:val="center"/>
          </w:tcPr>
          <w:p w14:paraId="33BE40B2">
            <w:pPr>
              <w:pStyle w:val="13"/>
            </w:pPr>
            <w:r>
              <w:t>2050201</w:t>
            </w:r>
          </w:p>
        </w:tc>
        <w:tc>
          <w:tcPr>
            <w:tcW w:w="4535" w:type="dxa"/>
            <w:vAlign w:val="center"/>
          </w:tcPr>
          <w:p w14:paraId="2CF7B813">
            <w:pPr>
              <w:pStyle w:val="13"/>
            </w:pPr>
            <w:r>
              <w:t>学前教育</w:t>
            </w:r>
          </w:p>
        </w:tc>
        <w:tc>
          <w:tcPr>
            <w:tcW w:w="2551" w:type="dxa"/>
            <w:vAlign w:val="center"/>
          </w:tcPr>
          <w:p w14:paraId="2D29643B">
            <w:pPr>
              <w:pStyle w:val="14"/>
            </w:pPr>
            <w:r>
              <w:t>226.80</w:t>
            </w:r>
          </w:p>
        </w:tc>
        <w:tc>
          <w:tcPr>
            <w:tcW w:w="2551" w:type="dxa"/>
            <w:vAlign w:val="center"/>
          </w:tcPr>
          <w:p w14:paraId="3E2742F6">
            <w:pPr>
              <w:pStyle w:val="14"/>
            </w:pPr>
            <w:r>
              <w:t>28.10</w:t>
            </w:r>
          </w:p>
        </w:tc>
        <w:tc>
          <w:tcPr>
            <w:tcW w:w="2551" w:type="dxa"/>
            <w:vAlign w:val="center"/>
          </w:tcPr>
          <w:p w14:paraId="1E721C97">
            <w:pPr>
              <w:pStyle w:val="14"/>
            </w:pPr>
            <w:r>
              <w:t>198.70</w:t>
            </w:r>
          </w:p>
        </w:tc>
      </w:tr>
    </w:tbl>
    <w:p w14:paraId="504F3192">
      <w:pPr>
        <w:sectPr>
          <w:pgSz w:w="16840" w:h="11900" w:orient="landscape"/>
          <w:pgMar w:top="1361" w:right="1020" w:bottom="1134" w:left="1020" w:header="720" w:footer="720" w:gutter="0"/>
          <w:cols w:space="720" w:num="1"/>
        </w:sectPr>
      </w:pPr>
    </w:p>
    <w:p w14:paraId="4381E7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FD1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1B247A">
            <w:pPr>
              <w:pStyle w:val="8"/>
            </w:pPr>
            <w:r>
              <w:t>360014隆尧县县直幼儿园</w:t>
            </w:r>
          </w:p>
        </w:tc>
        <w:tc>
          <w:tcPr>
            <w:tcW w:w="2551" w:type="dxa"/>
            <w:tcBorders>
              <w:top w:val="single" w:color="FFFFFF" w:sz="6" w:space="0"/>
              <w:left w:val="single" w:color="FFFFFF" w:sz="6" w:space="0"/>
              <w:right w:val="single" w:color="FFFFFF" w:sz="6" w:space="0"/>
            </w:tcBorders>
            <w:vAlign w:val="center"/>
          </w:tcPr>
          <w:p w14:paraId="4111A04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034A96A">
            <w:pPr>
              <w:pStyle w:val="10"/>
            </w:pPr>
            <w:r>
              <w:t>单位：万元</w:t>
            </w:r>
          </w:p>
        </w:tc>
      </w:tr>
      <w:tr w14:paraId="67F3E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778C5E">
            <w:pPr>
              <w:pStyle w:val="11"/>
            </w:pPr>
            <w:r>
              <w:t>序号</w:t>
            </w:r>
          </w:p>
        </w:tc>
        <w:tc>
          <w:tcPr>
            <w:tcW w:w="5726" w:type="dxa"/>
            <w:gridSpan w:val="2"/>
            <w:vAlign w:val="center"/>
          </w:tcPr>
          <w:p w14:paraId="5630AEB6">
            <w:pPr>
              <w:pStyle w:val="11"/>
            </w:pPr>
            <w:r>
              <w:t>支出部门经济分类科目</w:t>
            </w:r>
          </w:p>
        </w:tc>
        <w:tc>
          <w:tcPr>
            <w:tcW w:w="7653" w:type="dxa"/>
            <w:gridSpan w:val="3"/>
            <w:vAlign w:val="center"/>
          </w:tcPr>
          <w:p w14:paraId="49155226">
            <w:pPr>
              <w:pStyle w:val="11"/>
            </w:pPr>
            <w:r>
              <w:t>一般公共预算基本支出</w:t>
            </w:r>
          </w:p>
        </w:tc>
      </w:tr>
      <w:tr w14:paraId="19425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7437D"/>
        </w:tc>
        <w:tc>
          <w:tcPr>
            <w:tcW w:w="1191" w:type="dxa"/>
            <w:vAlign w:val="center"/>
          </w:tcPr>
          <w:p w14:paraId="551D7F47">
            <w:pPr>
              <w:pStyle w:val="11"/>
            </w:pPr>
            <w:r>
              <w:t>科目编码</w:t>
            </w:r>
          </w:p>
        </w:tc>
        <w:tc>
          <w:tcPr>
            <w:tcW w:w="4535" w:type="dxa"/>
            <w:vAlign w:val="center"/>
          </w:tcPr>
          <w:p w14:paraId="05948EC3">
            <w:pPr>
              <w:pStyle w:val="11"/>
            </w:pPr>
            <w:r>
              <w:t>科目名称</w:t>
            </w:r>
          </w:p>
        </w:tc>
        <w:tc>
          <w:tcPr>
            <w:tcW w:w="2551" w:type="dxa"/>
            <w:vAlign w:val="center"/>
          </w:tcPr>
          <w:p w14:paraId="4BCCC21D">
            <w:pPr>
              <w:pStyle w:val="11"/>
            </w:pPr>
            <w:r>
              <w:t>合计</w:t>
            </w:r>
          </w:p>
        </w:tc>
        <w:tc>
          <w:tcPr>
            <w:tcW w:w="2551" w:type="dxa"/>
            <w:vAlign w:val="center"/>
          </w:tcPr>
          <w:p w14:paraId="6BCA5123">
            <w:pPr>
              <w:pStyle w:val="11"/>
            </w:pPr>
            <w:r>
              <w:t>人员经费</w:t>
            </w:r>
          </w:p>
        </w:tc>
        <w:tc>
          <w:tcPr>
            <w:tcW w:w="2551" w:type="dxa"/>
            <w:vAlign w:val="center"/>
          </w:tcPr>
          <w:p w14:paraId="1886AD1C">
            <w:pPr>
              <w:pStyle w:val="11"/>
            </w:pPr>
            <w:r>
              <w:t>公用经费</w:t>
            </w:r>
          </w:p>
        </w:tc>
      </w:tr>
      <w:tr w14:paraId="24167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BE8838">
            <w:pPr>
              <w:pStyle w:val="11"/>
            </w:pPr>
            <w:r>
              <w:t>栏次</w:t>
            </w:r>
          </w:p>
        </w:tc>
        <w:tc>
          <w:tcPr>
            <w:tcW w:w="1191" w:type="dxa"/>
            <w:vAlign w:val="center"/>
          </w:tcPr>
          <w:p w14:paraId="0BDA173D">
            <w:pPr>
              <w:pStyle w:val="11"/>
            </w:pPr>
            <w:r>
              <w:t>1</w:t>
            </w:r>
          </w:p>
        </w:tc>
        <w:tc>
          <w:tcPr>
            <w:tcW w:w="4535" w:type="dxa"/>
            <w:vAlign w:val="center"/>
          </w:tcPr>
          <w:p w14:paraId="4DFC3889">
            <w:pPr>
              <w:pStyle w:val="11"/>
            </w:pPr>
            <w:r>
              <w:t>2</w:t>
            </w:r>
          </w:p>
        </w:tc>
        <w:tc>
          <w:tcPr>
            <w:tcW w:w="2551" w:type="dxa"/>
            <w:vAlign w:val="center"/>
          </w:tcPr>
          <w:p w14:paraId="6E6D3C65">
            <w:pPr>
              <w:pStyle w:val="11"/>
            </w:pPr>
            <w:r>
              <w:t>3</w:t>
            </w:r>
          </w:p>
        </w:tc>
        <w:tc>
          <w:tcPr>
            <w:tcW w:w="2551" w:type="dxa"/>
            <w:vAlign w:val="center"/>
          </w:tcPr>
          <w:p w14:paraId="45AE9A42">
            <w:pPr>
              <w:pStyle w:val="11"/>
            </w:pPr>
            <w:r>
              <w:t>4</w:t>
            </w:r>
          </w:p>
        </w:tc>
        <w:tc>
          <w:tcPr>
            <w:tcW w:w="2551" w:type="dxa"/>
            <w:vAlign w:val="center"/>
          </w:tcPr>
          <w:p w14:paraId="6BA91E5E">
            <w:pPr>
              <w:pStyle w:val="11"/>
            </w:pPr>
            <w:r>
              <w:t>5</w:t>
            </w:r>
          </w:p>
        </w:tc>
      </w:tr>
      <w:tr w14:paraId="15AC3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744C5">
            <w:pPr>
              <w:pStyle w:val="12"/>
            </w:pPr>
            <w:r>
              <w:t>1</w:t>
            </w:r>
          </w:p>
        </w:tc>
        <w:tc>
          <w:tcPr>
            <w:tcW w:w="1191" w:type="dxa"/>
            <w:vAlign w:val="center"/>
          </w:tcPr>
          <w:p w14:paraId="0AA7EFE5">
            <w:pPr>
              <w:pStyle w:val="17"/>
            </w:pPr>
          </w:p>
        </w:tc>
        <w:tc>
          <w:tcPr>
            <w:tcW w:w="4535" w:type="dxa"/>
            <w:vAlign w:val="center"/>
          </w:tcPr>
          <w:p w14:paraId="3A1BD486">
            <w:pPr>
              <w:pStyle w:val="15"/>
            </w:pPr>
            <w:r>
              <w:t>合计</w:t>
            </w:r>
          </w:p>
        </w:tc>
        <w:tc>
          <w:tcPr>
            <w:tcW w:w="2551" w:type="dxa"/>
            <w:vAlign w:val="center"/>
          </w:tcPr>
          <w:p w14:paraId="6031371E">
            <w:pPr>
              <w:pStyle w:val="16"/>
            </w:pPr>
            <w:r>
              <w:t>28.10</w:t>
            </w:r>
          </w:p>
        </w:tc>
        <w:tc>
          <w:tcPr>
            <w:tcW w:w="2551" w:type="dxa"/>
            <w:vAlign w:val="center"/>
          </w:tcPr>
          <w:p w14:paraId="086DAC2D">
            <w:pPr>
              <w:pStyle w:val="16"/>
            </w:pPr>
            <w:r>
              <w:t>28.10</w:t>
            </w:r>
          </w:p>
        </w:tc>
        <w:tc>
          <w:tcPr>
            <w:tcW w:w="2551" w:type="dxa"/>
            <w:vAlign w:val="center"/>
          </w:tcPr>
          <w:p w14:paraId="22514976">
            <w:pPr>
              <w:pStyle w:val="16"/>
            </w:pPr>
          </w:p>
        </w:tc>
      </w:tr>
      <w:tr w14:paraId="2F8CA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07967">
            <w:pPr>
              <w:pStyle w:val="12"/>
            </w:pPr>
            <w:r>
              <w:t>2</w:t>
            </w:r>
          </w:p>
        </w:tc>
        <w:tc>
          <w:tcPr>
            <w:tcW w:w="1191" w:type="dxa"/>
            <w:vAlign w:val="center"/>
          </w:tcPr>
          <w:p w14:paraId="48D02DB4">
            <w:pPr>
              <w:pStyle w:val="13"/>
            </w:pPr>
            <w:r>
              <w:t>301</w:t>
            </w:r>
          </w:p>
        </w:tc>
        <w:tc>
          <w:tcPr>
            <w:tcW w:w="4535" w:type="dxa"/>
            <w:vAlign w:val="center"/>
          </w:tcPr>
          <w:p w14:paraId="0A251E92">
            <w:pPr>
              <w:pStyle w:val="13"/>
            </w:pPr>
            <w:r>
              <w:t>工资福利支出</w:t>
            </w:r>
          </w:p>
        </w:tc>
        <w:tc>
          <w:tcPr>
            <w:tcW w:w="2551" w:type="dxa"/>
            <w:vAlign w:val="center"/>
          </w:tcPr>
          <w:p w14:paraId="0F152405">
            <w:pPr>
              <w:pStyle w:val="14"/>
            </w:pPr>
            <w:r>
              <w:t>28.10</w:t>
            </w:r>
          </w:p>
        </w:tc>
        <w:tc>
          <w:tcPr>
            <w:tcW w:w="2551" w:type="dxa"/>
            <w:vAlign w:val="center"/>
          </w:tcPr>
          <w:p w14:paraId="700120CA">
            <w:pPr>
              <w:pStyle w:val="14"/>
            </w:pPr>
            <w:r>
              <w:t>28.10</w:t>
            </w:r>
          </w:p>
        </w:tc>
        <w:tc>
          <w:tcPr>
            <w:tcW w:w="2551" w:type="dxa"/>
            <w:vAlign w:val="center"/>
          </w:tcPr>
          <w:p w14:paraId="5BA00430">
            <w:pPr>
              <w:pStyle w:val="14"/>
            </w:pPr>
          </w:p>
        </w:tc>
      </w:tr>
      <w:tr w14:paraId="2D5F5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49344">
            <w:pPr>
              <w:pStyle w:val="12"/>
            </w:pPr>
            <w:r>
              <w:t>3</w:t>
            </w:r>
          </w:p>
        </w:tc>
        <w:tc>
          <w:tcPr>
            <w:tcW w:w="1191" w:type="dxa"/>
            <w:vAlign w:val="center"/>
          </w:tcPr>
          <w:p w14:paraId="51B695C1">
            <w:pPr>
              <w:pStyle w:val="13"/>
            </w:pPr>
            <w:r>
              <w:t>30101</w:t>
            </w:r>
          </w:p>
        </w:tc>
        <w:tc>
          <w:tcPr>
            <w:tcW w:w="4535" w:type="dxa"/>
            <w:vAlign w:val="center"/>
          </w:tcPr>
          <w:p w14:paraId="089CCDA2">
            <w:pPr>
              <w:pStyle w:val="13"/>
            </w:pPr>
            <w:r>
              <w:t>基本工资</w:t>
            </w:r>
          </w:p>
        </w:tc>
        <w:tc>
          <w:tcPr>
            <w:tcW w:w="2551" w:type="dxa"/>
            <w:vAlign w:val="center"/>
          </w:tcPr>
          <w:p w14:paraId="05BFB88B">
            <w:pPr>
              <w:pStyle w:val="14"/>
            </w:pPr>
            <w:r>
              <w:t>15.42</w:t>
            </w:r>
          </w:p>
        </w:tc>
        <w:tc>
          <w:tcPr>
            <w:tcW w:w="2551" w:type="dxa"/>
            <w:vAlign w:val="center"/>
          </w:tcPr>
          <w:p w14:paraId="4B44F96E">
            <w:pPr>
              <w:pStyle w:val="14"/>
            </w:pPr>
            <w:r>
              <w:t>15.42</w:t>
            </w:r>
          </w:p>
        </w:tc>
        <w:tc>
          <w:tcPr>
            <w:tcW w:w="2551" w:type="dxa"/>
            <w:vAlign w:val="center"/>
          </w:tcPr>
          <w:p w14:paraId="5B66D38B">
            <w:pPr>
              <w:pStyle w:val="14"/>
            </w:pPr>
          </w:p>
        </w:tc>
      </w:tr>
      <w:tr w14:paraId="0AB75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EC3FF">
            <w:pPr>
              <w:pStyle w:val="12"/>
            </w:pPr>
            <w:r>
              <w:t>4</w:t>
            </w:r>
          </w:p>
        </w:tc>
        <w:tc>
          <w:tcPr>
            <w:tcW w:w="1191" w:type="dxa"/>
            <w:vAlign w:val="center"/>
          </w:tcPr>
          <w:p w14:paraId="700EE38C">
            <w:pPr>
              <w:pStyle w:val="13"/>
            </w:pPr>
            <w:r>
              <w:t>30102</w:t>
            </w:r>
          </w:p>
        </w:tc>
        <w:tc>
          <w:tcPr>
            <w:tcW w:w="4535" w:type="dxa"/>
            <w:vAlign w:val="center"/>
          </w:tcPr>
          <w:p w14:paraId="197B127B">
            <w:pPr>
              <w:pStyle w:val="13"/>
            </w:pPr>
            <w:r>
              <w:t>津贴补贴</w:t>
            </w:r>
          </w:p>
        </w:tc>
        <w:tc>
          <w:tcPr>
            <w:tcW w:w="2551" w:type="dxa"/>
            <w:vAlign w:val="center"/>
          </w:tcPr>
          <w:p w14:paraId="730BF98C">
            <w:pPr>
              <w:pStyle w:val="14"/>
            </w:pPr>
            <w:r>
              <w:t>0.25</w:t>
            </w:r>
          </w:p>
        </w:tc>
        <w:tc>
          <w:tcPr>
            <w:tcW w:w="2551" w:type="dxa"/>
            <w:vAlign w:val="center"/>
          </w:tcPr>
          <w:p w14:paraId="20FF210A">
            <w:pPr>
              <w:pStyle w:val="14"/>
            </w:pPr>
            <w:r>
              <w:t>0.25</w:t>
            </w:r>
          </w:p>
        </w:tc>
        <w:tc>
          <w:tcPr>
            <w:tcW w:w="2551" w:type="dxa"/>
            <w:vAlign w:val="center"/>
          </w:tcPr>
          <w:p w14:paraId="61E9B587">
            <w:pPr>
              <w:pStyle w:val="14"/>
            </w:pPr>
          </w:p>
        </w:tc>
      </w:tr>
      <w:tr w14:paraId="33A17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686D6">
            <w:pPr>
              <w:pStyle w:val="12"/>
            </w:pPr>
            <w:r>
              <w:t>5</w:t>
            </w:r>
          </w:p>
        </w:tc>
        <w:tc>
          <w:tcPr>
            <w:tcW w:w="1191" w:type="dxa"/>
            <w:vAlign w:val="center"/>
          </w:tcPr>
          <w:p w14:paraId="74564DF8">
            <w:pPr>
              <w:pStyle w:val="13"/>
            </w:pPr>
            <w:r>
              <w:t>30107</w:t>
            </w:r>
          </w:p>
        </w:tc>
        <w:tc>
          <w:tcPr>
            <w:tcW w:w="4535" w:type="dxa"/>
            <w:vAlign w:val="center"/>
          </w:tcPr>
          <w:p w14:paraId="4A02653B">
            <w:pPr>
              <w:pStyle w:val="13"/>
            </w:pPr>
            <w:r>
              <w:t>绩效工资</w:t>
            </w:r>
          </w:p>
        </w:tc>
        <w:tc>
          <w:tcPr>
            <w:tcW w:w="2551" w:type="dxa"/>
            <w:vAlign w:val="center"/>
          </w:tcPr>
          <w:p w14:paraId="50435C5C">
            <w:pPr>
              <w:pStyle w:val="14"/>
            </w:pPr>
            <w:r>
              <w:t>6.31</w:t>
            </w:r>
          </w:p>
        </w:tc>
        <w:tc>
          <w:tcPr>
            <w:tcW w:w="2551" w:type="dxa"/>
            <w:vAlign w:val="center"/>
          </w:tcPr>
          <w:p w14:paraId="69346C59">
            <w:pPr>
              <w:pStyle w:val="14"/>
            </w:pPr>
            <w:r>
              <w:t>6.31</w:t>
            </w:r>
          </w:p>
        </w:tc>
        <w:tc>
          <w:tcPr>
            <w:tcW w:w="2551" w:type="dxa"/>
            <w:vAlign w:val="center"/>
          </w:tcPr>
          <w:p w14:paraId="1459D6BD">
            <w:pPr>
              <w:pStyle w:val="14"/>
            </w:pPr>
          </w:p>
        </w:tc>
      </w:tr>
      <w:tr w14:paraId="43629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6F39F">
            <w:pPr>
              <w:pStyle w:val="12"/>
            </w:pPr>
            <w:r>
              <w:t>6</w:t>
            </w:r>
          </w:p>
        </w:tc>
        <w:tc>
          <w:tcPr>
            <w:tcW w:w="1191" w:type="dxa"/>
            <w:vAlign w:val="center"/>
          </w:tcPr>
          <w:p w14:paraId="0C2B258A">
            <w:pPr>
              <w:pStyle w:val="13"/>
            </w:pPr>
            <w:r>
              <w:t>30108</w:t>
            </w:r>
          </w:p>
        </w:tc>
        <w:tc>
          <w:tcPr>
            <w:tcW w:w="4535" w:type="dxa"/>
            <w:vAlign w:val="center"/>
          </w:tcPr>
          <w:p w14:paraId="13555E52">
            <w:pPr>
              <w:pStyle w:val="13"/>
            </w:pPr>
            <w:r>
              <w:t>机关事业单位基本养老保险缴费</w:t>
            </w:r>
          </w:p>
        </w:tc>
        <w:tc>
          <w:tcPr>
            <w:tcW w:w="2551" w:type="dxa"/>
            <w:vAlign w:val="center"/>
          </w:tcPr>
          <w:p w14:paraId="15144141">
            <w:pPr>
              <w:pStyle w:val="14"/>
            </w:pPr>
            <w:r>
              <w:t>2.65</w:t>
            </w:r>
          </w:p>
        </w:tc>
        <w:tc>
          <w:tcPr>
            <w:tcW w:w="2551" w:type="dxa"/>
            <w:vAlign w:val="center"/>
          </w:tcPr>
          <w:p w14:paraId="65D4BC21">
            <w:pPr>
              <w:pStyle w:val="14"/>
            </w:pPr>
            <w:r>
              <w:t>2.65</w:t>
            </w:r>
          </w:p>
        </w:tc>
        <w:tc>
          <w:tcPr>
            <w:tcW w:w="2551" w:type="dxa"/>
            <w:vAlign w:val="center"/>
          </w:tcPr>
          <w:p w14:paraId="3C76E78A">
            <w:pPr>
              <w:pStyle w:val="14"/>
            </w:pPr>
          </w:p>
        </w:tc>
      </w:tr>
      <w:tr w14:paraId="0C099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1F04C">
            <w:pPr>
              <w:pStyle w:val="12"/>
            </w:pPr>
            <w:r>
              <w:t>7</w:t>
            </w:r>
          </w:p>
        </w:tc>
        <w:tc>
          <w:tcPr>
            <w:tcW w:w="1191" w:type="dxa"/>
            <w:vAlign w:val="center"/>
          </w:tcPr>
          <w:p w14:paraId="6FBE7C6B">
            <w:pPr>
              <w:pStyle w:val="13"/>
            </w:pPr>
            <w:r>
              <w:t>30110</w:t>
            </w:r>
          </w:p>
        </w:tc>
        <w:tc>
          <w:tcPr>
            <w:tcW w:w="4535" w:type="dxa"/>
            <w:vAlign w:val="center"/>
          </w:tcPr>
          <w:p w14:paraId="43C91B71">
            <w:pPr>
              <w:pStyle w:val="13"/>
            </w:pPr>
            <w:r>
              <w:t>职工基本医疗保险缴费</w:t>
            </w:r>
          </w:p>
        </w:tc>
        <w:tc>
          <w:tcPr>
            <w:tcW w:w="2551" w:type="dxa"/>
            <w:vAlign w:val="center"/>
          </w:tcPr>
          <w:p w14:paraId="023B3F3E">
            <w:pPr>
              <w:pStyle w:val="14"/>
            </w:pPr>
            <w:r>
              <w:t>1.19</w:t>
            </w:r>
          </w:p>
        </w:tc>
        <w:tc>
          <w:tcPr>
            <w:tcW w:w="2551" w:type="dxa"/>
            <w:vAlign w:val="center"/>
          </w:tcPr>
          <w:p w14:paraId="055F5336">
            <w:pPr>
              <w:pStyle w:val="14"/>
            </w:pPr>
            <w:r>
              <w:t>1.19</w:t>
            </w:r>
          </w:p>
        </w:tc>
        <w:tc>
          <w:tcPr>
            <w:tcW w:w="2551" w:type="dxa"/>
            <w:vAlign w:val="center"/>
          </w:tcPr>
          <w:p w14:paraId="267B37D4">
            <w:pPr>
              <w:pStyle w:val="14"/>
            </w:pPr>
          </w:p>
        </w:tc>
      </w:tr>
      <w:tr w14:paraId="09720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4225D">
            <w:pPr>
              <w:pStyle w:val="12"/>
            </w:pPr>
            <w:r>
              <w:t>8</w:t>
            </w:r>
          </w:p>
        </w:tc>
        <w:tc>
          <w:tcPr>
            <w:tcW w:w="1191" w:type="dxa"/>
            <w:vAlign w:val="center"/>
          </w:tcPr>
          <w:p w14:paraId="4B28A9F3">
            <w:pPr>
              <w:pStyle w:val="13"/>
            </w:pPr>
            <w:r>
              <w:t>30112</w:t>
            </w:r>
          </w:p>
        </w:tc>
        <w:tc>
          <w:tcPr>
            <w:tcW w:w="4535" w:type="dxa"/>
            <w:vAlign w:val="center"/>
          </w:tcPr>
          <w:p w14:paraId="5B32507B">
            <w:pPr>
              <w:pStyle w:val="13"/>
            </w:pPr>
            <w:r>
              <w:t>其他社会保障缴费</w:t>
            </w:r>
          </w:p>
        </w:tc>
        <w:tc>
          <w:tcPr>
            <w:tcW w:w="2551" w:type="dxa"/>
            <w:vAlign w:val="center"/>
          </w:tcPr>
          <w:p w14:paraId="45D369DA">
            <w:pPr>
              <w:pStyle w:val="14"/>
            </w:pPr>
            <w:r>
              <w:t>0.12</w:t>
            </w:r>
          </w:p>
        </w:tc>
        <w:tc>
          <w:tcPr>
            <w:tcW w:w="2551" w:type="dxa"/>
            <w:vAlign w:val="center"/>
          </w:tcPr>
          <w:p w14:paraId="1110ECB3">
            <w:pPr>
              <w:pStyle w:val="14"/>
            </w:pPr>
            <w:r>
              <w:t>0.12</w:t>
            </w:r>
          </w:p>
        </w:tc>
        <w:tc>
          <w:tcPr>
            <w:tcW w:w="2551" w:type="dxa"/>
            <w:vAlign w:val="center"/>
          </w:tcPr>
          <w:p w14:paraId="49BCD69E">
            <w:pPr>
              <w:pStyle w:val="14"/>
            </w:pPr>
          </w:p>
        </w:tc>
      </w:tr>
      <w:tr w14:paraId="73551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35935">
            <w:pPr>
              <w:pStyle w:val="12"/>
            </w:pPr>
            <w:r>
              <w:t>9</w:t>
            </w:r>
          </w:p>
        </w:tc>
        <w:tc>
          <w:tcPr>
            <w:tcW w:w="1191" w:type="dxa"/>
            <w:vAlign w:val="center"/>
          </w:tcPr>
          <w:p w14:paraId="701D649A">
            <w:pPr>
              <w:pStyle w:val="13"/>
            </w:pPr>
            <w:r>
              <w:t>30113</w:t>
            </w:r>
          </w:p>
        </w:tc>
        <w:tc>
          <w:tcPr>
            <w:tcW w:w="4535" w:type="dxa"/>
            <w:vAlign w:val="center"/>
          </w:tcPr>
          <w:p w14:paraId="22EE0C57">
            <w:pPr>
              <w:pStyle w:val="13"/>
            </w:pPr>
            <w:r>
              <w:t>住房公积金</w:t>
            </w:r>
          </w:p>
        </w:tc>
        <w:tc>
          <w:tcPr>
            <w:tcW w:w="2551" w:type="dxa"/>
            <w:vAlign w:val="center"/>
          </w:tcPr>
          <w:p w14:paraId="61286F22">
            <w:pPr>
              <w:pStyle w:val="14"/>
            </w:pPr>
            <w:r>
              <w:t>2.15</w:t>
            </w:r>
          </w:p>
        </w:tc>
        <w:tc>
          <w:tcPr>
            <w:tcW w:w="2551" w:type="dxa"/>
            <w:vAlign w:val="center"/>
          </w:tcPr>
          <w:p w14:paraId="4D07FEF3">
            <w:pPr>
              <w:pStyle w:val="14"/>
            </w:pPr>
            <w:r>
              <w:t>2.15</w:t>
            </w:r>
          </w:p>
        </w:tc>
        <w:tc>
          <w:tcPr>
            <w:tcW w:w="2551" w:type="dxa"/>
            <w:vAlign w:val="center"/>
          </w:tcPr>
          <w:p w14:paraId="36E31AFC">
            <w:pPr>
              <w:pStyle w:val="14"/>
            </w:pPr>
          </w:p>
        </w:tc>
      </w:tr>
    </w:tbl>
    <w:p w14:paraId="0FA6CADA">
      <w:pPr>
        <w:sectPr>
          <w:pgSz w:w="16840" w:h="11900" w:orient="landscape"/>
          <w:pgMar w:top="1361" w:right="1020" w:bottom="1134" w:left="1020" w:header="720" w:footer="720" w:gutter="0"/>
          <w:cols w:space="720" w:num="1"/>
        </w:sectPr>
      </w:pPr>
    </w:p>
    <w:p w14:paraId="24921B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05C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D9BDDD">
            <w:pPr>
              <w:pStyle w:val="8"/>
            </w:pPr>
            <w:r>
              <w:t>360014隆尧县县直幼儿园</w:t>
            </w:r>
          </w:p>
        </w:tc>
        <w:tc>
          <w:tcPr>
            <w:tcW w:w="2551" w:type="dxa"/>
            <w:tcBorders>
              <w:top w:val="single" w:color="FFFFFF" w:sz="6" w:space="0"/>
              <w:left w:val="single" w:color="FFFFFF" w:sz="6" w:space="0"/>
              <w:right w:val="single" w:color="FFFFFF" w:sz="6" w:space="0"/>
            </w:tcBorders>
            <w:vAlign w:val="center"/>
          </w:tcPr>
          <w:p w14:paraId="5AD75CC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FB7530D">
            <w:pPr>
              <w:pStyle w:val="10"/>
            </w:pPr>
            <w:r>
              <w:t>单位：万元</w:t>
            </w:r>
          </w:p>
        </w:tc>
      </w:tr>
      <w:tr w14:paraId="1C851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FACA65">
            <w:pPr>
              <w:pStyle w:val="11"/>
            </w:pPr>
            <w:r>
              <w:t>序号</w:t>
            </w:r>
          </w:p>
        </w:tc>
        <w:tc>
          <w:tcPr>
            <w:tcW w:w="5726" w:type="dxa"/>
            <w:gridSpan w:val="2"/>
            <w:vAlign w:val="center"/>
          </w:tcPr>
          <w:p w14:paraId="01D26AFD">
            <w:pPr>
              <w:pStyle w:val="11"/>
            </w:pPr>
            <w:r>
              <w:t>功能分类科目</w:t>
            </w:r>
          </w:p>
        </w:tc>
        <w:tc>
          <w:tcPr>
            <w:tcW w:w="2551" w:type="dxa"/>
            <w:vMerge w:val="restart"/>
            <w:vAlign w:val="center"/>
          </w:tcPr>
          <w:p w14:paraId="7C972362">
            <w:pPr>
              <w:pStyle w:val="11"/>
            </w:pPr>
            <w:r>
              <w:t>合计</w:t>
            </w:r>
          </w:p>
        </w:tc>
        <w:tc>
          <w:tcPr>
            <w:tcW w:w="2551" w:type="dxa"/>
            <w:vMerge w:val="restart"/>
            <w:vAlign w:val="center"/>
          </w:tcPr>
          <w:p w14:paraId="55F5769E">
            <w:pPr>
              <w:pStyle w:val="11"/>
            </w:pPr>
            <w:r>
              <w:t>基本支出</w:t>
            </w:r>
          </w:p>
        </w:tc>
        <w:tc>
          <w:tcPr>
            <w:tcW w:w="2551" w:type="dxa"/>
            <w:vMerge w:val="restart"/>
            <w:vAlign w:val="center"/>
          </w:tcPr>
          <w:p w14:paraId="15AF15A3">
            <w:pPr>
              <w:pStyle w:val="11"/>
            </w:pPr>
            <w:r>
              <w:t>项目支出</w:t>
            </w:r>
          </w:p>
        </w:tc>
      </w:tr>
      <w:tr w14:paraId="455F2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CF7C4F"/>
        </w:tc>
        <w:tc>
          <w:tcPr>
            <w:tcW w:w="1191" w:type="dxa"/>
            <w:vAlign w:val="center"/>
          </w:tcPr>
          <w:p w14:paraId="5DB1B622">
            <w:pPr>
              <w:pStyle w:val="11"/>
            </w:pPr>
            <w:r>
              <w:t>科目编码</w:t>
            </w:r>
          </w:p>
        </w:tc>
        <w:tc>
          <w:tcPr>
            <w:tcW w:w="4535" w:type="dxa"/>
            <w:vAlign w:val="center"/>
          </w:tcPr>
          <w:p w14:paraId="2A63BF0B">
            <w:pPr>
              <w:pStyle w:val="11"/>
            </w:pPr>
            <w:r>
              <w:t>科目名称</w:t>
            </w:r>
          </w:p>
        </w:tc>
        <w:tc>
          <w:tcPr>
            <w:tcW w:w="2551" w:type="dxa"/>
            <w:vMerge w:val="continue"/>
          </w:tcPr>
          <w:p w14:paraId="5D0FE080"/>
        </w:tc>
        <w:tc>
          <w:tcPr>
            <w:tcW w:w="2551" w:type="dxa"/>
            <w:vMerge w:val="continue"/>
          </w:tcPr>
          <w:p w14:paraId="3D4C6AF1"/>
        </w:tc>
        <w:tc>
          <w:tcPr>
            <w:tcW w:w="2551" w:type="dxa"/>
            <w:vMerge w:val="continue"/>
          </w:tcPr>
          <w:p w14:paraId="49305487"/>
        </w:tc>
      </w:tr>
      <w:tr w14:paraId="50AA7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1D71D6">
            <w:pPr>
              <w:pStyle w:val="11"/>
            </w:pPr>
            <w:r>
              <w:t>栏次</w:t>
            </w:r>
          </w:p>
        </w:tc>
        <w:tc>
          <w:tcPr>
            <w:tcW w:w="1191" w:type="dxa"/>
            <w:vAlign w:val="center"/>
          </w:tcPr>
          <w:p w14:paraId="5746907C">
            <w:pPr>
              <w:pStyle w:val="11"/>
            </w:pPr>
            <w:r>
              <w:t>1</w:t>
            </w:r>
          </w:p>
        </w:tc>
        <w:tc>
          <w:tcPr>
            <w:tcW w:w="4535" w:type="dxa"/>
            <w:vAlign w:val="center"/>
          </w:tcPr>
          <w:p w14:paraId="4019C32C">
            <w:pPr>
              <w:pStyle w:val="11"/>
            </w:pPr>
            <w:r>
              <w:t>2</w:t>
            </w:r>
          </w:p>
        </w:tc>
        <w:tc>
          <w:tcPr>
            <w:tcW w:w="2551" w:type="dxa"/>
            <w:vAlign w:val="center"/>
          </w:tcPr>
          <w:p w14:paraId="504F42F5">
            <w:pPr>
              <w:pStyle w:val="11"/>
            </w:pPr>
            <w:r>
              <w:t>3</w:t>
            </w:r>
          </w:p>
        </w:tc>
        <w:tc>
          <w:tcPr>
            <w:tcW w:w="2551" w:type="dxa"/>
            <w:vAlign w:val="center"/>
          </w:tcPr>
          <w:p w14:paraId="71125A2A">
            <w:pPr>
              <w:pStyle w:val="11"/>
            </w:pPr>
            <w:r>
              <w:t>4</w:t>
            </w:r>
          </w:p>
        </w:tc>
        <w:tc>
          <w:tcPr>
            <w:tcW w:w="2551" w:type="dxa"/>
            <w:vAlign w:val="center"/>
          </w:tcPr>
          <w:p w14:paraId="10EB96D9">
            <w:pPr>
              <w:pStyle w:val="11"/>
            </w:pPr>
            <w:r>
              <w:t>5</w:t>
            </w:r>
          </w:p>
        </w:tc>
      </w:tr>
      <w:tr w14:paraId="6EE41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5C14B">
            <w:pPr>
              <w:pStyle w:val="12"/>
            </w:pPr>
          </w:p>
        </w:tc>
        <w:tc>
          <w:tcPr>
            <w:tcW w:w="1191" w:type="dxa"/>
            <w:vAlign w:val="center"/>
          </w:tcPr>
          <w:p w14:paraId="6F052D9A">
            <w:pPr>
              <w:pStyle w:val="13"/>
            </w:pPr>
          </w:p>
        </w:tc>
        <w:tc>
          <w:tcPr>
            <w:tcW w:w="4535" w:type="dxa"/>
            <w:vAlign w:val="center"/>
          </w:tcPr>
          <w:p w14:paraId="0A217A0B">
            <w:pPr>
              <w:pStyle w:val="13"/>
            </w:pPr>
          </w:p>
        </w:tc>
        <w:tc>
          <w:tcPr>
            <w:tcW w:w="2551" w:type="dxa"/>
            <w:vAlign w:val="center"/>
          </w:tcPr>
          <w:p w14:paraId="2059F736">
            <w:pPr>
              <w:pStyle w:val="14"/>
            </w:pPr>
          </w:p>
        </w:tc>
        <w:tc>
          <w:tcPr>
            <w:tcW w:w="2551" w:type="dxa"/>
            <w:vAlign w:val="center"/>
          </w:tcPr>
          <w:p w14:paraId="2C109EDE">
            <w:pPr>
              <w:pStyle w:val="14"/>
            </w:pPr>
          </w:p>
        </w:tc>
        <w:tc>
          <w:tcPr>
            <w:tcW w:w="2551" w:type="dxa"/>
            <w:vAlign w:val="center"/>
          </w:tcPr>
          <w:p w14:paraId="304CCF72">
            <w:pPr>
              <w:pStyle w:val="14"/>
            </w:pPr>
          </w:p>
        </w:tc>
      </w:tr>
    </w:tbl>
    <w:p w14:paraId="4A2434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109FD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2FF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35B040">
            <w:pPr>
              <w:pStyle w:val="8"/>
            </w:pPr>
            <w:r>
              <w:t>360014隆尧县县直幼儿园</w:t>
            </w:r>
          </w:p>
        </w:tc>
        <w:tc>
          <w:tcPr>
            <w:tcW w:w="2551" w:type="dxa"/>
            <w:tcBorders>
              <w:top w:val="single" w:color="FFFFFF" w:sz="6" w:space="0"/>
              <w:left w:val="single" w:color="FFFFFF" w:sz="6" w:space="0"/>
              <w:right w:val="single" w:color="FFFFFF" w:sz="6" w:space="0"/>
            </w:tcBorders>
            <w:vAlign w:val="center"/>
          </w:tcPr>
          <w:p w14:paraId="40D1F81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ED5B008">
            <w:pPr>
              <w:pStyle w:val="10"/>
            </w:pPr>
            <w:r>
              <w:t>单位：万元</w:t>
            </w:r>
          </w:p>
        </w:tc>
      </w:tr>
      <w:tr w14:paraId="49318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0B1F70">
            <w:pPr>
              <w:pStyle w:val="11"/>
            </w:pPr>
            <w:r>
              <w:t>序号</w:t>
            </w:r>
          </w:p>
        </w:tc>
        <w:tc>
          <w:tcPr>
            <w:tcW w:w="5726" w:type="dxa"/>
            <w:gridSpan w:val="2"/>
            <w:vAlign w:val="center"/>
          </w:tcPr>
          <w:p w14:paraId="20B469BD">
            <w:pPr>
              <w:pStyle w:val="11"/>
            </w:pPr>
            <w:r>
              <w:t>功能分类科目</w:t>
            </w:r>
          </w:p>
        </w:tc>
        <w:tc>
          <w:tcPr>
            <w:tcW w:w="2551" w:type="dxa"/>
            <w:vMerge w:val="restart"/>
            <w:vAlign w:val="center"/>
          </w:tcPr>
          <w:p w14:paraId="62825DEB">
            <w:pPr>
              <w:pStyle w:val="11"/>
            </w:pPr>
            <w:r>
              <w:t>合计</w:t>
            </w:r>
          </w:p>
        </w:tc>
        <w:tc>
          <w:tcPr>
            <w:tcW w:w="2551" w:type="dxa"/>
            <w:vMerge w:val="restart"/>
            <w:vAlign w:val="center"/>
          </w:tcPr>
          <w:p w14:paraId="390FF19C">
            <w:pPr>
              <w:pStyle w:val="11"/>
            </w:pPr>
            <w:r>
              <w:t>基本支出</w:t>
            </w:r>
          </w:p>
        </w:tc>
        <w:tc>
          <w:tcPr>
            <w:tcW w:w="2551" w:type="dxa"/>
            <w:vMerge w:val="restart"/>
            <w:vAlign w:val="center"/>
          </w:tcPr>
          <w:p w14:paraId="18AD646F">
            <w:pPr>
              <w:pStyle w:val="11"/>
            </w:pPr>
            <w:r>
              <w:t>项目支出</w:t>
            </w:r>
          </w:p>
        </w:tc>
      </w:tr>
      <w:tr w14:paraId="1EFA0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D8D9AC"/>
        </w:tc>
        <w:tc>
          <w:tcPr>
            <w:tcW w:w="1191" w:type="dxa"/>
            <w:vAlign w:val="center"/>
          </w:tcPr>
          <w:p w14:paraId="502E3863">
            <w:pPr>
              <w:pStyle w:val="11"/>
            </w:pPr>
            <w:r>
              <w:t>科目编码</w:t>
            </w:r>
          </w:p>
        </w:tc>
        <w:tc>
          <w:tcPr>
            <w:tcW w:w="4535" w:type="dxa"/>
            <w:vAlign w:val="center"/>
          </w:tcPr>
          <w:p w14:paraId="0DC1AF51">
            <w:pPr>
              <w:pStyle w:val="11"/>
            </w:pPr>
            <w:r>
              <w:t>科目名称</w:t>
            </w:r>
          </w:p>
        </w:tc>
        <w:tc>
          <w:tcPr>
            <w:tcW w:w="2551" w:type="dxa"/>
            <w:vMerge w:val="continue"/>
          </w:tcPr>
          <w:p w14:paraId="69DE2D72"/>
        </w:tc>
        <w:tc>
          <w:tcPr>
            <w:tcW w:w="2551" w:type="dxa"/>
            <w:vMerge w:val="continue"/>
          </w:tcPr>
          <w:p w14:paraId="7FC9F7F7"/>
        </w:tc>
        <w:tc>
          <w:tcPr>
            <w:tcW w:w="2551" w:type="dxa"/>
            <w:vMerge w:val="continue"/>
          </w:tcPr>
          <w:p w14:paraId="63CB6C3C"/>
        </w:tc>
      </w:tr>
      <w:tr w14:paraId="1CC26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EECF89">
            <w:pPr>
              <w:pStyle w:val="11"/>
            </w:pPr>
            <w:r>
              <w:t>栏次</w:t>
            </w:r>
          </w:p>
        </w:tc>
        <w:tc>
          <w:tcPr>
            <w:tcW w:w="1191" w:type="dxa"/>
            <w:vAlign w:val="center"/>
          </w:tcPr>
          <w:p w14:paraId="24BBAE1F">
            <w:pPr>
              <w:pStyle w:val="11"/>
            </w:pPr>
            <w:r>
              <w:t>1</w:t>
            </w:r>
          </w:p>
        </w:tc>
        <w:tc>
          <w:tcPr>
            <w:tcW w:w="4535" w:type="dxa"/>
            <w:vAlign w:val="center"/>
          </w:tcPr>
          <w:p w14:paraId="3D7EF56B">
            <w:pPr>
              <w:pStyle w:val="11"/>
            </w:pPr>
            <w:r>
              <w:t>2</w:t>
            </w:r>
          </w:p>
        </w:tc>
        <w:tc>
          <w:tcPr>
            <w:tcW w:w="2551" w:type="dxa"/>
            <w:vAlign w:val="center"/>
          </w:tcPr>
          <w:p w14:paraId="2B70BEB9">
            <w:pPr>
              <w:pStyle w:val="11"/>
            </w:pPr>
            <w:r>
              <w:t>3</w:t>
            </w:r>
          </w:p>
        </w:tc>
        <w:tc>
          <w:tcPr>
            <w:tcW w:w="2551" w:type="dxa"/>
            <w:vAlign w:val="center"/>
          </w:tcPr>
          <w:p w14:paraId="7273BC8A">
            <w:pPr>
              <w:pStyle w:val="11"/>
            </w:pPr>
            <w:r>
              <w:t>4</w:t>
            </w:r>
          </w:p>
        </w:tc>
        <w:tc>
          <w:tcPr>
            <w:tcW w:w="2551" w:type="dxa"/>
            <w:vAlign w:val="center"/>
          </w:tcPr>
          <w:p w14:paraId="1B0144C0">
            <w:pPr>
              <w:pStyle w:val="11"/>
            </w:pPr>
            <w:r>
              <w:t>5</w:t>
            </w:r>
          </w:p>
        </w:tc>
      </w:tr>
      <w:tr w14:paraId="2118B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20878">
            <w:pPr>
              <w:pStyle w:val="12"/>
            </w:pPr>
          </w:p>
        </w:tc>
        <w:tc>
          <w:tcPr>
            <w:tcW w:w="1191" w:type="dxa"/>
            <w:vAlign w:val="center"/>
          </w:tcPr>
          <w:p w14:paraId="4704ADB8">
            <w:pPr>
              <w:pStyle w:val="13"/>
            </w:pPr>
          </w:p>
        </w:tc>
        <w:tc>
          <w:tcPr>
            <w:tcW w:w="4535" w:type="dxa"/>
            <w:vAlign w:val="center"/>
          </w:tcPr>
          <w:p w14:paraId="69621E4B">
            <w:pPr>
              <w:pStyle w:val="13"/>
            </w:pPr>
          </w:p>
        </w:tc>
        <w:tc>
          <w:tcPr>
            <w:tcW w:w="2551" w:type="dxa"/>
            <w:vAlign w:val="center"/>
          </w:tcPr>
          <w:p w14:paraId="22A409FD">
            <w:pPr>
              <w:pStyle w:val="14"/>
            </w:pPr>
          </w:p>
        </w:tc>
        <w:tc>
          <w:tcPr>
            <w:tcW w:w="2551" w:type="dxa"/>
            <w:vAlign w:val="center"/>
          </w:tcPr>
          <w:p w14:paraId="44B04669">
            <w:pPr>
              <w:pStyle w:val="14"/>
            </w:pPr>
          </w:p>
        </w:tc>
        <w:tc>
          <w:tcPr>
            <w:tcW w:w="2551" w:type="dxa"/>
            <w:vAlign w:val="center"/>
          </w:tcPr>
          <w:p w14:paraId="5652AE0E">
            <w:pPr>
              <w:pStyle w:val="14"/>
            </w:pPr>
          </w:p>
        </w:tc>
      </w:tr>
    </w:tbl>
    <w:p w14:paraId="269EDC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5377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E14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0D4882">
            <w:pPr>
              <w:pStyle w:val="8"/>
            </w:pPr>
            <w:r>
              <w:t>360014隆尧县县直幼儿园</w:t>
            </w:r>
          </w:p>
        </w:tc>
        <w:tc>
          <w:tcPr>
            <w:tcW w:w="2381" w:type="dxa"/>
            <w:tcBorders>
              <w:top w:val="single" w:color="FFFFFF" w:sz="6" w:space="0"/>
              <w:left w:val="single" w:color="FFFFFF" w:sz="6" w:space="0"/>
              <w:right w:val="single" w:color="FFFFFF" w:sz="6" w:space="0"/>
            </w:tcBorders>
            <w:vAlign w:val="center"/>
          </w:tcPr>
          <w:p w14:paraId="2901B366">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C8CBB66">
            <w:pPr>
              <w:pStyle w:val="10"/>
            </w:pPr>
            <w:r>
              <w:t>单位：万元</w:t>
            </w:r>
          </w:p>
        </w:tc>
      </w:tr>
      <w:tr w14:paraId="42511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67E3E0">
            <w:pPr>
              <w:pStyle w:val="11"/>
            </w:pPr>
            <w:r>
              <w:t>序号</w:t>
            </w:r>
          </w:p>
        </w:tc>
        <w:tc>
          <w:tcPr>
            <w:tcW w:w="3798" w:type="dxa"/>
            <w:vMerge w:val="restart"/>
            <w:vAlign w:val="center"/>
          </w:tcPr>
          <w:p w14:paraId="4AEDCDFF">
            <w:pPr>
              <w:pStyle w:val="11"/>
            </w:pPr>
            <w:r>
              <w:t>项  目</w:t>
            </w:r>
          </w:p>
        </w:tc>
        <w:tc>
          <w:tcPr>
            <w:tcW w:w="9524" w:type="dxa"/>
            <w:gridSpan w:val="4"/>
            <w:vAlign w:val="center"/>
          </w:tcPr>
          <w:p w14:paraId="023722C4">
            <w:pPr>
              <w:pStyle w:val="11"/>
            </w:pPr>
            <w:r>
              <w:t>资 金 性 质</w:t>
            </w:r>
          </w:p>
        </w:tc>
      </w:tr>
      <w:tr w14:paraId="36ABF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435B64"/>
        </w:tc>
        <w:tc>
          <w:tcPr>
            <w:tcW w:w="3798" w:type="dxa"/>
            <w:vMerge w:val="continue"/>
          </w:tcPr>
          <w:p w14:paraId="07E2E136"/>
        </w:tc>
        <w:tc>
          <w:tcPr>
            <w:tcW w:w="2381" w:type="dxa"/>
            <w:vAlign w:val="center"/>
          </w:tcPr>
          <w:p w14:paraId="69EB7061">
            <w:pPr>
              <w:pStyle w:val="11"/>
            </w:pPr>
            <w:r>
              <w:t>合计</w:t>
            </w:r>
          </w:p>
        </w:tc>
        <w:tc>
          <w:tcPr>
            <w:tcW w:w="2381" w:type="dxa"/>
            <w:vAlign w:val="center"/>
          </w:tcPr>
          <w:p w14:paraId="57DC934D">
            <w:pPr>
              <w:pStyle w:val="11"/>
            </w:pPr>
            <w:r>
              <w:t>一般公共预算              财政拨款</w:t>
            </w:r>
          </w:p>
        </w:tc>
        <w:tc>
          <w:tcPr>
            <w:tcW w:w="2381" w:type="dxa"/>
            <w:vAlign w:val="center"/>
          </w:tcPr>
          <w:p w14:paraId="0CCF2B5E">
            <w:pPr>
              <w:pStyle w:val="11"/>
            </w:pPr>
            <w:r>
              <w:t>政府性基金                  预算拨款</w:t>
            </w:r>
          </w:p>
        </w:tc>
        <w:tc>
          <w:tcPr>
            <w:tcW w:w="2381" w:type="dxa"/>
            <w:vAlign w:val="center"/>
          </w:tcPr>
          <w:p w14:paraId="6E536662">
            <w:pPr>
              <w:pStyle w:val="11"/>
            </w:pPr>
            <w:r>
              <w:t>国有资本经营              预算财政拨款</w:t>
            </w:r>
          </w:p>
        </w:tc>
      </w:tr>
      <w:tr w14:paraId="36DB6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7293D2">
            <w:pPr>
              <w:pStyle w:val="11"/>
            </w:pPr>
            <w:r>
              <w:t>栏次</w:t>
            </w:r>
          </w:p>
        </w:tc>
        <w:tc>
          <w:tcPr>
            <w:tcW w:w="3798" w:type="dxa"/>
            <w:vAlign w:val="center"/>
          </w:tcPr>
          <w:p w14:paraId="0FF954D1">
            <w:pPr>
              <w:pStyle w:val="11"/>
            </w:pPr>
            <w:r>
              <w:t>1</w:t>
            </w:r>
          </w:p>
        </w:tc>
        <w:tc>
          <w:tcPr>
            <w:tcW w:w="2381" w:type="dxa"/>
            <w:vAlign w:val="center"/>
          </w:tcPr>
          <w:p w14:paraId="249FAB2F">
            <w:pPr>
              <w:pStyle w:val="11"/>
            </w:pPr>
            <w:r>
              <w:t>2</w:t>
            </w:r>
          </w:p>
        </w:tc>
        <w:tc>
          <w:tcPr>
            <w:tcW w:w="2381" w:type="dxa"/>
            <w:vAlign w:val="center"/>
          </w:tcPr>
          <w:p w14:paraId="13B78E01">
            <w:pPr>
              <w:pStyle w:val="11"/>
            </w:pPr>
            <w:r>
              <w:t>3</w:t>
            </w:r>
          </w:p>
        </w:tc>
        <w:tc>
          <w:tcPr>
            <w:tcW w:w="2381" w:type="dxa"/>
            <w:vAlign w:val="center"/>
          </w:tcPr>
          <w:p w14:paraId="725206B1">
            <w:pPr>
              <w:pStyle w:val="11"/>
            </w:pPr>
            <w:r>
              <w:t>4</w:t>
            </w:r>
          </w:p>
        </w:tc>
        <w:tc>
          <w:tcPr>
            <w:tcW w:w="2381" w:type="dxa"/>
            <w:vAlign w:val="center"/>
          </w:tcPr>
          <w:p w14:paraId="1C9D30BF">
            <w:pPr>
              <w:pStyle w:val="11"/>
            </w:pPr>
            <w:r>
              <w:t>5</w:t>
            </w:r>
          </w:p>
        </w:tc>
      </w:tr>
      <w:tr w14:paraId="7E7E9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7B806B">
            <w:pPr>
              <w:pStyle w:val="12"/>
            </w:pPr>
          </w:p>
        </w:tc>
        <w:tc>
          <w:tcPr>
            <w:tcW w:w="3798" w:type="dxa"/>
            <w:vAlign w:val="center"/>
          </w:tcPr>
          <w:p w14:paraId="61DEBD0E">
            <w:pPr>
              <w:pStyle w:val="13"/>
            </w:pPr>
          </w:p>
        </w:tc>
        <w:tc>
          <w:tcPr>
            <w:tcW w:w="2381" w:type="dxa"/>
            <w:vAlign w:val="center"/>
          </w:tcPr>
          <w:p w14:paraId="663E7546">
            <w:pPr>
              <w:pStyle w:val="14"/>
            </w:pPr>
          </w:p>
        </w:tc>
        <w:tc>
          <w:tcPr>
            <w:tcW w:w="2381" w:type="dxa"/>
            <w:vAlign w:val="center"/>
          </w:tcPr>
          <w:p w14:paraId="3524F8C5">
            <w:pPr>
              <w:pStyle w:val="14"/>
            </w:pPr>
          </w:p>
        </w:tc>
        <w:tc>
          <w:tcPr>
            <w:tcW w:w="2381" w:type="dxa"/>
            <w:vAlign w:val="center"/>
          </w:tcPr>
          <w:p w14:paraId="30BD20B8">
            <w:pPr>
              <w:pStyle w:val="14"/>
            </w:pPr>
          </w:p>
        </w:tc>
        <w:tc>
          <w:tcPr>
            <w:tcW w:w="2381" w:type="dxa"/>
            <w:vAlign w:val="center"/>
          </w:tcPr>
          <w:p w14:paraId="0269D08F">
            <w:pPr>
              <w:pStyle w:val="14"/>
            </w:pPr>
          </w:p>
        </w:tc>
      </w:tr>
    </w:tbl>
    <w:p w14:paraId="0FB17AB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11DB33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隆尧县县直幼儿园2025年单位预算信息公开情况说明</w:t>
      </w:r>
    </w:p>
    <w:p w14:paraId="6E18012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按照《中华人民共和国预算法》、《地方预决算公开操作规程》和《关于进一步推进预算公开工作的实施意见》规定，现将隆尧县县直幼儿园2025年单位预算公开如下：</w:t>
      </w:r>
    </w:p>
    <w:p w14:paraId="4796E1DD">
      <w:pPr>
        <w:spacing w:before="10" w:after="10" w:line="240" w:lineRule="auto"/>
        <w:ind w:firstLine="640"/>
        <w:jc w:val="left"/>
        <w:outlineLvl w:val="5"/>
      </w:pPr>
      <w:r>
        <w:rPr>
          <w:rFonts w:ascii="黑体" w:hAnsi="黑体" w:eastAsia="黑体" w:cs="黑体"/>
          <w:color w:val="000000"/>
          <w:sz w:val="32"/>
        </w:rPr>
        <w:t>一、单位职责及机构设置情况</w:t>
      </w:r>
    </w:p>
    <w:p w14:paraId="1E8781A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F03875">
      <w:pPr>
        <w:pStyle w:val="18"/>
      </w:pPr>
      <w:r>
        <w:rPr>
          <w:rFonts w:hint="eastAsia"/>
        </w:rPr>
        <w:t>隆尧县县直幼儿园为隆尧教育局所属相当股级事业单位，单位类别为公益二类事业单位。县直幼儿园事业编制15名。其中，园长1名（正股级），副园长2名（副股级）；经费形式为财政性资金基本保证。主要职责：开展学龄前幼儿保育和教育工作，促进幼儿身心健康和德、智、体、美全面发展。</w:t>
      </w:r>
    </w:p>
    <w:p w14:paraId="0589683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BC39F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5AF1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746269">
            <w:pPr>
              <w:pStyle w:val="11"/>
            </w:pPr>
            <w:r>
              <w:t>单位名称</w:t>
            </w:r>
          </w:p>
        </w:tc>
        <w:tc>
          <w:tcPr>
            <w:tcW w:w="1843" w:type="dxa"/>
            <w:vAlign w:val="center"/>
          </w:tcPr>
          <w:p w14:paraId="4943C570">
            <w:pPr>
              <w:pStyle w:val="11"/>
            </w:pPr>
            <w:r>
              <w:t>单位性质</w:t>
            </w:r>
          </w:p>
        </w:tc>
        <w:tc>
          <w:tcPr>
            <w:tcW w:w="2126" w:type="dxa"/>
            <w:vAlign w:val="center"/>
          </w:tcPr>
          <w:p w14:paraId="49E75914">
            <w:pPr>
              <w:pStyle w:val="11"/>
            </w:pPr>
            <w:r>
              <w:t>单位规格</w:t>
            </w:r>
          </w:p>
        </w:tc>
        <w:tc>
          <w:tcPr>
            <w:tcW w:w="3827" w:type="dxa"/>
            <w:vAlign w:val="center"/>
          </w:tcPr>
          <w:p w14:paraId="7F351E7F">
            <w:pPr>
              <w:pStyle w:val="11"/>
            </w:pPr>
            <w:r>
              <w:t>经费保障形式</w:t>
            </w:r>
          </w:p>
        </w:tc>
      </w:tr>
      <w:tr w14:paraId="54652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8349BAE">
            <w:pPr>
              <w:pStyle w:val="13"/>
            </w:pPr>
            <w:r>
              <w:t>隆尧县县直幼儿园</w:t>
            </w:r>
          </w:p>
        </w:tc>
        <w:tc>
          <w:tcPr>
            <w:tcW w:w="1843" w:type="dxa"/>
            <w:vAlign w:val="center"/>
          </w:tcPr>
          <w:p w14:paraId="2F182C67">
            <w:pPr>
              <w:pStyle w:val="12"/>
            </w:pPr>
            <w:r>
              <w:t>事业</w:t>
            </w:r>
          </w:p>
        </w:tc>
        <w:tc>
          <w:tcPr>
            <w:tcW w:w="2126" w:type="dxa"/>
            <w:vAlign w:val="center"/>
          </w:tcPr>
          <w:p w14:paraId="39B7B0DE">
            <w:pPr>
              <w:pStyle w:val="12"/>
            </w:pPr>
            <w:r>
              <w:t>股级</w:t>
            </w:r>
          </w:p>
        </w:tc>
        <w:tc>
          <w:tcPr>
            <w:tcW w:w="3827" w:type="dxa"/>
            <w:vAlign w:val="center"/>
          </w:tcPr>
          <w:p w14:paraId="30B1975B">
            <w:pPr>
              <w:pStyle w:val="12"/>
            </w:pPr>
            <w:r>
              <w:t>财政性资金基本保证</w:t>
            </w:r>
          </w:p>
        </w:tc>
      </w:tr>
    </w:tbl>
    <w:p w14:paraId="01623B7B">
      <w:pPr>
        <w:spacing w:before="10" w:after="10" w:line="240" w:lineRule="auto"/>
        <w:ind w:firstLine="640"/>
        <w:jc w:val="left"/>
        <w:outlineLvl w:val="5"/>
      </w:pPr>
      <w:r>
        <w:rPr>
          <w:rFonts w:ascii="黑体" w:hAnsi="黑体" w:eastAsia="黑体" w:cs="黑体"/>
          <w:color w:val="000000"/>
          <w:sz w:val="32"/>
        </w:rPr>
        <w:t>二、单位预算安排的总体情况</w:t>
      </w:r>
    </w:p>
    <w:p w14:paraId="60E165D1">
      <w:pPr>
        <w:pStyle w:val="19"/>
      </w:pPr>
      <w:r>
        <w:t>按照预算管理有关规定，目前我校单位预算的编制实行综合预算管理，即全部收入和支出都反映的预算中。隆尧县县直幼儿园的收支包含在单位预算中。</w:t>
      </w:r>
    </w:p>
    <w:p w14:paraId="347AFF6E">
      <w:pPr>
        <w:pStyle w:val="19"/>
      </w:pPr>
      <w:r>
        <w:t>1、收入说明</w:t>
      </w:r>
    </w:p>
    <w:p w14:paraId="1D89892F">
      <w:pPr>
        <w:pStyle w:val="19"/>
      </w:pPr>
      <w:r>
        <w:t>反映本单位当年全部收入。2025年预算收入226.8万元，其中：一般公共预算收入226.8万元，基金预算收入0万元，基金预算收入0万元，国有资本经营预算收入0万元，财政专户拨收入0万元，单位资金收入0万元，上年结转结余0万元。</w:t>
      </w:r>
    </w:p>
    <w:p w14:paraId="1B95C7DF">
      <w:pPr>
        <w:pStyle w:val="19"/>
      </w:pPr>
      <w:r>
        <w:t>2、支出说明</w:t>
      </w:r>
    </w:p>
    <w:p w14:paraId="116B420F">
      <w:pPr>
        <w:pStyle w:val="19"/>
      </w:pPr>
      <w:r>
        <w:t>收支预算总表支出栏、基本支出表、项目支出表按经济分类和支出功能分类科目编制，反映隆尧县县直幼儿园年度单位预算中支出预算的总体情况。2025年单位支出预算为226.8万元，其中基本支出28.1万元、项目支出198.7万元。主要为学前教育226.8万元。</w:t>
      </w:r>
    </w:p>
    <w:p w14:paraId="7E01DC1A">
      <w:pPr>
        <w:pStyle w:val="19"/>
      </w:pPr>
      <w:r>
        <w:t>3、比上年增减情况</w:t>
      </w:r>
    </w:p>
    <w:p w14:paraId="6C1602AB">
      <w:pPr>
        <w:pStyle w:val="19"/>
      </w:pPr>
      <w:r>
        <w:t>2025年部门预算收支安排226.8万元，我单位为新增单位，无上年度数据。</w:t>
      </w:r>
    </w:p>
    <w:p w14:paraId="3DBC3A5D">
      <w:pPr>
        <w:spacing w:before="10" w:after="10" w:line="240" w:lineRule="auto"/>
        <w:ind w:firstLine="640"/>
        <w:jc w:val="left"/>
        <w:outlineLvl w:val="5"/>
      </w:pPr>
      <w:r>
        <w:rPr>
          <w:rFonts w:ascii="黑体" w:hAnsi="黑体" w:eastAsia="黑体" w:cs="黑体"/>
          <w:color w:val="000000"/>
          <w:sz w:val="32"/>
        </w:rPr>
        <w:t>三、机关运行经费安排情况</w:t>
      </w:r>
    </w:p>
    <w:p w14:paraId="600B26C1">
      <w:pPr>
        <w:pStyle w:val="20"/>
      </w:pPr>
      <w:r>
        <w:t>我单位按学生安排公用经费，无机关运行经费。</w:t>
      </w:r>
    </w:p>
    <w:p w14:paraId="4F111A0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B069ECC">
      <w:pPr>
        <w:pStyle w:val="21"/>
      </w:pPr>
      <w:r>
        <w:t>我单位未安排三公经费。</w:t>
      </w:r>
    </w:p>
    <w:p w14:paraId="6404C37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547BF6">
      <w:pPr>
        <w:spacing w:before="0" w:after="0"/>
        <w:ind w:firstLine="560"/>
        <w:jc w:val="left"/>
        <w:outlineLvl w:val="9"/>
      </w:pPr>
      <w:r>
        <w:rPr>
          <w:rFonts w:ascii="方正仿宋_GBK" w:hAnsi="方正仿宋_GBK" w:eastAsia="方正仿宋_GBK" w:cs="方正仿宋_GBK"/>
          <w:b/>
          <w:color w:val="000000"/>
          <w:sz w:val="28"/>
        </w:rPr>
        <w:t>1、冀财教[2024]121号/中央/2025年学前发展资金/县直幼儿园学前教育幼儿资助绩效目标表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41F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BB3DB">
            <w:pPr>
              <w:pStyle w:val="14"/>
            </w:pPr>
            <w:r>
              <w:t>单位：万元</w:t>
            </w:r>
          </w:p>
        </w:tc>
      </w:tr>
      <w:tr w14:paraId="2F04F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B3E4A">
            <w:pPr>
              <w:pStyle w:val="11"/>
            </w:pPr>
            <w:r>
              <w:t>项目编码</w:t>
            </w:r>
          </w:p>
        </w:tc>
        <w:tc>
          <w:tcPr>
            <w:tcW w:w="5103" w:type="dxa"/>
            <w:gridSpan w:val="2"/>
            <w:vAlign w:val="center"/>
          </w:tcPr>
          <w:p w14:paraId="70B51572">
            <w:pPr>
              <w:pStyle w:val="13"/>
            </w:pPr>
            <w:r>
              <w:t>13052525P00000210049L</w:t>
            </w:r>
          </w:p>
        </w:tc>
        <w:tc>
          <w:tcPr>
            <w:tcW w:w="2835" w:type="dxa"/>
            <w:vAlign w:val="center"/>
          </w:tcPr>
          <w:p w14:paraId="3A71F004">
            <w:pPr>
              <w:pStyle w:val="11"/>
            </w:pPr>
            <w:r>
              <w:t>项目名称</w:t>
            </w:r>
          </w:p>
        </w:tc>
        <w:tc>
          <w:tcPr>
            <w:tcW w:w="6095" w:type="dxa"/>
            <w:gridSpan w:val="3"/>
            <w:vAlign w:val="center"/>
          </w:tcPr>
          <w:p w14:paraId="64081D06">
            <w:pPr>
              <w:pStyle w:val="13"/>
            </w:pPr>
            <w:r>
              <w:t>冀财教[2024]121号/中央/2025年学前发展资金/县直幼儿园学前教育幼儿资助</w:t>
            </w:r>
          </w:p>
        </w:tc>
      </w:tr>
      <w:tr w14:paraId="00307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AE526">
            <w:pPr>
              <w:pStyle w:val="11"/>
            </w:pPr>
            <w:r>
              <w:t>预算规模及资金用途</w:t>
            </w:r>
          </w:p>
        </w:tc>
        <w:tc>
          <w:tcPr>
            <w:tcW w:w="2268" w:type="dxa"/>
            <w:vAlign w:val="center"/>
          </w:tcPr>
          <w:p w14:paraId="656EAA15">
            <w:pPr>
              <w:pStyle w:val="11"/>
            </w:pPr>
            <w:r>
              <w:t>预算数</w:t>
            </w:r>
          </w:p>
        </w:tc>
        <w:tc>
          <w:tcPr>
            <w:tcW w:w="2835" w:type="dxa"/>
            <w:vAlign w:val="center"/>
          </w:tcPr>
          <w:p w14:paraId="56B962BE">
            <w:pPr>
              <w:pStyle w:val="13"/>
            </w:pPr>
            <w:r>
              <w:t>1.38</w:t>
            </w:r>
          </w:p>
        </w:tc>
        <w:tc>
          <w:tcPr>
            <w:tcW w:w="2835" w:type="dxa"/>
            <w:vAlign w:val="center"/>
          </w:tcPr>
          <w:p w14:paraId="19FCE1FE">
            <w:pPr>
              <w:pStyle w:val="11"/>
            </w:pPr>
            <w:r>
              <w:t>其中：财政    资金</w:t>
            </w:r>
          </w:p>
        </w:tc>
        <w:tc>
          <w:tcPr>
            <w:tcW w:w="2551" w:type="dxa"/>
            <w:vAlign w:val="center"/>
          </w:tcPr>
          <w:p w14:paraId="7D5C8240">
            <w:pPr>
              <w:pStyle w:val="13"/>
            </w:pPr>
            <w:r>
              <w:t>1.38</w:t>
            </w:r>
          </w:p>
        </w:tc>
        <w:tc>
          <w:tcPr>
            <w:tcW w:w="2268" w:type="dxa"/>
            <w:vAlign w:val="center"/>
          </w:tcPr>
          <w:p w14:paraId="34F40BF0">
            <w:pPr>
              <w:pStyle w:val="11"/>
            </w:pPr>
            <w:r>
              <w:t>其他资金</w:t>
            </w:r>
          </w:p>
        </w:tc>
        <w:tc>
          <w:tcPr>
            <w:tcW w:w="1276" w:type="dxa"/>
            <w:vAlign w:val="center"/>
          </w:tcPr>
          <w:p w14:paraId="331AA1AD">
            <w:pPr>
              <w:pStyle w:val="13"/>
            </w:pPr>
            <w:r>
              <w:t xml:space="preserve"> </w:t>
            </w:r>
          </w:p>
        </w:tc>
      </w:tr>
      <w:tr w14:paraId="6F1F7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2BCDC"/>
        </w:tc>
        <w:tc>
          <w:tcPr>
            <w:tcW w:w="14033" w:type="dxa"/>
            <w:gridSpan w:val="6"/>
            <w:vAlign w:val="center"/>
          </w:tcPr>
          <w:p w14:paraId="3627DF27">
            <w:pPr>
              <w:pStyle w:val="13"/>
            </w:pPr>
            <w:r>
              <w:t>办公经费</w:t>
            </w:r>
          </w:p>
        </w:tc>
      </w:tr>
      <w:tr w14:paraId="7E9B2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BBA4D53">
            <w:pPr>
              <w:pStyle w:val="11"/>
            </w:pPr>
            <w:r>
              <w:t>资金支出计划（%）</w:t>
            </w:r>
          </w:p>
        </w:tc>
        <w:tc>
          <w:tcPr>
            <w:tcW w:w="5103" w:type="dxa"/>
            <w:gridSpan w:val="2"/>
            <w:vAlign w:val="center"/>
          </w:tcPr>
          <w:p w14:paraId="5EE37118">
            <w:pPr>
              <w:pStyle w:val="11"/>
            </w:pPr>
            <w:r>
              <w:t>3月底</w:t>
            </w:r>
          </w:p>
        </w:tc>
        <w:tc>
          <w:tcPr>
            <w:tcW w:w="2835" w:type="dxa"/>
            <w:vAlign w:val="center"/>
          </w:tcPr>
          <w:p w14:paraId="2AFC0BC1">
            <w:pPr>
              <w:pStyle w:val="11"/>
            </w:pPr>
            <w:r>
              <w:t>6月底</w:t>
            </w:r>
          </w:p>
        </w:tc>
        <w:tc>
          <w:tcPr>
            <w:tcW w:w="2551" w:type="dxa"/>
            <w:vAlign w:val="center"/>
          </w:tcPr>
          <w:p w14:paraId="526FFB51">
            <w:pPr>
              <w:pStyle w:val="11"/>
            </w:pPr>
            <w:r>
              <w:t>10月底</w:t>
            </w:r>
          </w:p>
        </w:tc>
        <w:tc>
          <w:tcPr>
            <w:tcW w:w="3544" w:type="dxa"/>
            <w:gridSpan w:val="2"/>
            <w:vAlign w:val="center"/>
          </w:tcPr>
          <w:p w14:paraId="44900BCF">
            <w:pPr>
              <w:pStyle w:val="11"/>
            </w:pPr>
            <w:r>
              <w:t>12月底</w:t>
            </w:r>
          </w:p>
        </w:tc>
      </w:tr>
      <w:tr w14:paraId="55494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5B28F"/>
        </w:tc>
        <w:tc>
          <w:tcPr>
            <w:tcW w:w="5103" w:type="dxa"/>
            <w:gridSpan w:val="2"/>
            <w:vAlign w:val="center"/>
          </w:tcPr>
          <w:p w14:paraId="628C425E">
            <w:pPr>
              <w:pStyle w:val="12"/>
            </w:pPr>
            <w:r>
              <w:t>25%</w:t>
            </w:r>
          </w:p>
        </w:tc>
        <w:tc>
          <w:tcPr>
            <w:tcW w:w="2835" w:type="dxa"/>
            <w:vAlign w:val="center"/>
          </w:tcPr>
          <w:p w14:paraId="1D04F36F">
            <w:pPr>
              <w:pStyle w:val="12"/>
            </w:pPr>
            <w:r>
              <w:t>50%</w:t>
            </w:r>
          </w:p>
        </w:tc>
        <w:tc>
          <w:tcPr>
            <w:tcW w:w="2551" w:type="dxa"/>
            <w:vAlign w:val="center"/>
          </w:tcPr>
          <w:p w14:paraId="48D76708">
            <w:pPr>
              <w:pStyle w:val="12"/>
            </w:pPr>
            <w:r>
              <w:t>75%</w:t>
            </w:r>
          </w:p>
        </w:tc>
        <w:tc>
          <w:tcPr>
            <w:tcW w:w="3544" w:type="dxa"/>
            <w:gridSpan w:val="2"/>
            <w:vAlign w:val="center"/>
          </w:tcPr>
          <w:p w14:paraId="46E10281">
            <w:pPr>
              <w:pStyle w:val="12"/>
            </w:pPr>
            <w:r>
              <w:t>100%</w:t>
            </w:r>
          </w:p>
        </w:tc>
      </w:tr>
      <w:tr w14:paraId="166E33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9F0DD">
            <w:pPr>
              <w:pStyle w:val="11"/>
            </w:pPr>
            <w:r>
              <w:t>绩效目标</w:t>
            </w:r>
          </w:p>
        </w:tc>
        <w:tc>
          <w:tcPr>
            <w:tcW w:w="14033" w:type="dxa"/>
            <w:gridSpan w:val="6"/>
            <w:vAlign w:val="center"/>
          </w:tcPr>
          <w:p w14:paraId="67EDE8B5">
            <w:pPr>
              <w:pStyle w:val="13"/>
            </w:pPr>
            <w:r>
              <w:t>1.保证本年度资助经费足额落实到位，符合享受资助条件的学生应助尽助。</w:t>
            </w:r>
          </w:p>
          <w:p w14:paraId="7C5C2C7E">
            <w:pPr>
              <w:pStyle w:val="13"/>
            </w:pPr>
            <w:r>
              <w:t>2.保障落实建档立卡及家庭经济困难儿童资助所需资金，确保建档立卡等家庭经济困难幼儿优先获得资助。</w:t>
            </w:r>
            <w:r>
              <w:tab/>
            </w:r>
            <w:r>
              <w:tab/>
            </w:r>
            <w:r>
              <w:tab/>
            </w:r>
            <w:r>
              <w:tab/>
            </w:r>
            <w:r>
              <w:tab/>
            </w:r>
            <w:r>
              <w:tab/>
            </w:r>
          </w:p>
          <w:p w14:paraId="17D46482">
            <w:pPr>
              <w:pStyle w:val="13"/>
            </w:pPr>
          </w:p>
        </w:tc>
      </w:tr>
    </w:tbl>
    <w:p w14:paraId="2A1045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EB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BA09F">
            <w:pPr>
              <w:pStyle w:val="11"/>
            </w:pPr>
            <w:r>
              <w:t>一级指标</w:t>
            </w:r>
          </w:p>
        </w:tc>
        <w:tc>
          <w:tcPr>
            <w:tcW w:w="2268" w:type="dxa"/>
            <w:vAlign w:val="center"/>
          </w:tcPr>
          <w:p w14:paraId="2E824845">
            <w:pPr>
              <w:pStyle w:val="11"/>
            </w:pPr>
            <w:r>
              <w:t>二级指标</w:t>
            </w:r>
          </w:p>
        </w:tc>
        <w:tc>
          <w:tcPr>
            <w:tcW w:w="2835" w:type="dxa"/>
            <w:vAlign w:val="center"/>
          </w:tcPr>
          <w:p w14:paraId="7191AC7F">
            <w:pPr>
              <w:pStyle w:val="11"/>
            </w:pPr>
            <w:r>
              <w:t>三级指标</w:t>
            </w:r>
          </w:p>
        </w:tc>
        <w:tc>
          <w:tcPr>
            <w:tcW w:w="5386" w:type="dxa"/>
            <w:vAlign w:val="center"/>
          </w:tcPr>
          <w:p w14:paraId="4B08BA3E">
            <w:pPr>
              <w:pStyle w:val="11"/>
            </w:pPr>
            <w:r>
              <w:t>绩效指标描述</w:t>
            </w:r>
          </w:p>
        </w:tc>
        <w:tc>
          <w:tcPr>
            <w:tcW w:w="2268" w:type="dxa"/>
            <w:vAlign w:val="center"/>
          </w:tcPr>
          <w:p w14:paraId="13C71D5A">
            <w:pPr>
              <w:pStyle w:val="11"/>
            </w:pPr>
            <w:r>
              <w:t>指标值</w:t>
            </w:r>
          </w:p>
        </w:tc>
        <w:tc>
          <w:tcPr>
            <w:tcW w:w="1276" w:type="dxa"/>
            <w:vAlign w:val="center"/>
          </w:tcPr>
          <w:p w14:paraId="2AD40B50">
            <w:pPr>
              <w:pStyle w:val="11"/>
            </w:pPr>
            <w:r>
              <w:t>指标值确定依据</w:t>
            </w:r>
          </w:p>
        </w:tc>
      </w:tr>
      <w:tr w14:paraId="3B6D1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D8DEE">
            <w:pPr>
              <w:pStyle w:val="12"/>
            </w:pPr>
            <w:r>
              <w:t>产出指标</w:t>
            </w:r>
          </w:p>
        </w:tc>
        <w:tc>
          <w:tcPr>
            <w:tcW w:w="2268" w:type="dxa"/>
            <w:vAlign w:val="center"/>
          </w:tcPr>
          <w:p w14:paraId="366B5317">
            <w:pPr>
              <w:pStyle w:val="13"/>
            </w:pPr>
            <w:r>
              <w:t>数量指标</w:t>
            </w:r>
          </w:p>
        </w:tc>
        <w:tc>
          <w:tcPr>
            <w:tcW w:w="2835" w:type="dxa"/>
            <w:vAlign w:val="center"/>
          </w:tcPr>
          <w:p w14:paraId="58604BE3">
            <w:pPr>
              <w:pStyle w:val="13"/>
            </w:pPr>
            <w:r>
              <w:t>幼儿资助比例</w:t>
            </w:r>
          </w:p>
        </w:tc>
        <w:tc>
          <w:tcPr>
            <w:tcW w:w="5386" w:type="dxa"/>
            <w:vAlign w:val="center"/>
          </w:tcPr>
          <w:p w14:paraId="3AA68AE2">
            <w:pPr>
              <w:pStyle w:val="13"/>
            </w:pPr>
            <w:r>
              <w:t>按学前适龄在园儿童10%测算</w:t>
            </w:r>
          </w:p>
        </w:tc>
        <w:tc>
          <w:tcPr>
            <w:tcW w:w="2268" w:type="dxa"/>
            <w:vAlign w:val="center"/>
          </w:tcPr>
          <w:p w14:paraId="1843183D">
            <w:pPr>
              <w:pStyle w:val="13"/>
            </w:pPr>
            <w:r>
              <w:t>10%</w:t>
            </w:r>
          </w:p>
        </w:tc>
        <w:tc>
          <w:tcPr>
            <w:tcW w:w="1276" w:type="dxa"/>
            <w:vAlign w:val="center"/>
          </w:tcPr>
          <w:p w14:paraId="1B21AE8F">
            <w:pPr>
              <w:pStyle w:val="13"/>
            </w:pPr>
            <w:r>
              <w:t>幼儿资助经费管理办法</w:t>
            </w:r>
          </w:p>
        </w:tc>
      </w:tr>
      <w:tr w14:paraId="2A07A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9818D"/>
        </w:tc>
        <w:tc>
          <w:tcPr>
            <w:tcW w:w="2268" w:type="dxa"/>
            <w:vAlign w:val="center"/>
          </w:tcPr>
          <w:p w14:paraId="5C6D9880">
            <w:pPr>
              <w:pStyle w:val="13"/>
            </w:pPr>
            <w:r>
              <w:t>质量指标</w:t>
            </w:r>
          </w:p>
        </w:tc>
        <w:tc>
          <w:tcPr>
            <w:tcW w:w="2835" w:type="dxa"/>
            <w:vAlign w:val="center"/>
          </w:tcPr>
          <w:p w14:paraId="6E26A328">
            <w:pPr>
              <w:pStyle w:val="13"/>
            </w:pPr>
            <w:r>
              <w:t>资助资金使用率</w:t>
            </w:r>
          </w:p>
        </w:tc>
        <w:tc>
          <w:tcPr>
            <w:tcW w:w="5386" w:type="dxa"/>
            <w:vAlign w:val="center"/>
          </w:tcPr>
          <w:p w14:paraId="7BFC6B61">
            <w:pPr>
              <w:pStyle w:val="13"/>
            </w:pPr>
            <w:r>
              <w:t>符合享受资助条件的学生应助尽助</w:t>
            </w:r>
          </w:p>
        </w:tc>
        <w:tc>
          <w:tcPr>
            <w:tcW w:w="2268" w:type="dxa"/>
            <w:vAlign w:val="center"/>
          </w:tcPr>
          <w:p w14:paraId="429A1640">
            <w:pPr>
              <w:pStyle w:val="13"/>
            </w:pPr>
            <w:r>
              <w:t>≥100%</w:t>
            </w:r>
          </w:p>
        </w:tc>
        <w:tc>
          <w:tcPr>
            <w:tcW w:w="1276" w:type="dxa"/>
            <w:vAlign w:val="center"/>
          </w:tcPr>
          <w:p w14:paraId="5CD7D4B5">
            <w:pPr>
              <w:pStyle w:val="13"/>
            </w:pPr>
            <w:r>
              <w:t>幼儿资助经费管理办法</w:t>
            </w:r>
          </w:p>
        </w:tc>
      </w:tr>
      <w:tr w14:paraId="35B28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E702B"/>
        </w:tc>
        <w:tc>
          <w:tcPr>
            <w:tcW w:w="2268" w:type="dxa"/>
            <w:vAlign w:val="center"/>
          </w:tcPr>
          <w:p w14:paraId="0476CC0B">
            <w:pPr>
              <w:pStyle w:val="13"/>
            </w:pPr>
            <w:r>
              <w:t>时效指标</w:t>
            </w:r>
          </w:p>
        </w:tc>
        <w:tc>
          <w:tcPr>
            <w:tcW w:w="2835" w:type="dxa"/>
            <w:vAlign w:val="center"/>
          </w:tcPr>
          <w:p w14:paraId="093110C5">
            <w:pPr>
              <w:pStyle w:val="13"/>
            </w:pPr>
            <w:r>
              <w:t>资金拨付率</w:t>
            </w:r>
          </w:p>
        </w:tc>
        <w:tc>
          <w:tcPr>
            <w:tcW w:w="5386" w:type="dxa"/>
            <w:vAlign w:val="center"/>
          </w:tcPr>
          <w:p w14:paraId="184B26E0">
            <w:pPr>
              <w:pStyle w:val="13"/>
            </w:pPr>
            <w:r>
              <w:t>所有项目资金支付进度</w:t>
            </w:r>
          </w:p>
        </w:tc>
        <w:tc>
          <w:tcPr>
            <w:tcW w:w="2268" w:type="dxa"/>
            <w:vAlign w:val="center"/>
          </w:tcPr>
          <w:p w14:paraId="7F48C35D">
            <w:pPr>
              <w:pStyle w:val="13"/>
            </w:pPr>
            <w:r>
              <w:t>≥100%</w:t>
            </w:r>
          </w:p>
        </w:tc>
        <w:tc>
          <w:tcPr>
            <w:tcW w:w="1276" w:type="dxa"/>
            <w:vAlign w:val="center"/>
          </w:tcPr>
          <w:p w14:paraId="08A9E53B">
            <w:pPr>
              <w:pStyle w:val="13"/>
            </w:pPr>
            <w:r>
              <w:t>幼儿资助经费管理办法</w:t>
            </w:r>
          </w:p>
        </w:tc>
      </w:tr>
      <w:tr w14:paraId="38BD9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B5680"/>
        </w:tc>
        <w:tc>
          <w:tcPr>
            <w:tcW w:w="2268" w:type="dxa"/>
            <w:vAlign w:val="center"/>
          </w:tcPr>
          <w:p w14:paraId="69F07059">
            <w:pPr>
              <w:pStyle w:val="13"/>
            </w:pPr>
            <w:r>
              <w:t>成本指标</w:t>
            </w:r>
          </w:p>
        </w:tc>
        <w:tc>
          <w:tcPr>
            <w:tcW w:w="2835" w:type="dxa"/>
            <w:vAlign w:val="center"/>
          </w:tcPr>
          <w:p w14:paraId="2D718DC1">
            <w:pPr>
              <w:pStyle w:val="13"/>
            </w:pPr>
            <w:r>
              <w:t>幼儿园生均成本</w:t>
            </w:r>
          </w:p>
        </w:tc>
        <w:tc>
          <w:tcPr>
            <w:tcW w:w="5386" w:type="dxa"/>
            <w:vAlign w:val="center"/>
          </w:tcPr>
          <w:p w14:paraId="7C6781B2">
            <w:pPr>
              <w:pStyle w:val="13"/>
            </w:pPr>
            <w:r>
              <w:t>按照幼儿园资助标准1000元/生/年</w:t>
            </w:r>
          </w:p>
        </w:tc>
        <w:tc>
          <w:tcPr>
            <w:tcW w:w="2268" w:type="dxa"/>
            <w:vAlign w:val="center"/>
          </w:tcPr>
          <w:p w14:paraId="009431CD">
            <w:pPr>
              <w:pStyle w:val="13"/>
            </w:pPr>
            <w:r>
              <w:t>1000元</w:t>
            </w:r>
          </w:p>
        </w:tc>
        <w:tc>
          <w:tcPr>
            <w:tcW w:w="1276" w:type="dxa"/>
            <w:vAlign w:val="center"/>
          </w:tcPr>
          <w:p w14:paraId="0E6D7BD5">
            <w:pPr>
              <w:pStyle w:val="13"/>
            </w:pPr>
            <w:r>
              <w:t>幼儿资助经费管理办法</w:t>
            </w:r>
          </w:p>
        </w:tc>
      </w:tr>
      <w:tr w14:paraId="5B046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AE1A79">
            <w:pPr>
              <w:pStyle w:val="12"/>
            </w:pPr>
            <w:r>
              <w:t>效益指标</w:t>
            </w:r>
          </w:p>
        </w:tc>
        <w:tc>
          <w:tcPr>
            <w:tcW w:w="2268" w:type="dxa"/>
            <w:vAlign w:val="center"/>
          </w:tcPr>
          <w:p w14:paraId="6DE0288C">
            <w:pPr>
              <w:pStyle w:val="13"/>
            </w:pPr>
            <w:r>
              <w:t>可持续影响指标</w:t>
            </w:r>
          </w:p>
        </w:tc>
        <w:tc>
          <w:tcPr>
            <w:tcW w:w="2835" w:type="dxa"/>
            <w:vAlign w:val="center"/>
          </w:tcPr>
          <w:p w14:paraId="14FA8174">
            <w:pPr>
              <w:pStyle w:val="13"/>
            </w:pPr>
            <w:r>
              <w:t>幼儿园正常运转</w:t>
            </w:r>
          </w:p>
        </w:tc>
        <w:tc>
          <w:tcPr>
            <w:tcW w:w="5386" w:type="dxa"/>
            <w:vAlign w:val="center"/>
          </w:tcPr>
          <w:p w14:paraId="330142F1">
            <w:pPr>
              <w:pStyle w:val="13"/>
            </w:pPr>
            <w:r>
              <w:t>幼儿受教育年限</w:t>
            </w:r>
          </w:p>
        </w:tc>
        <w:tc>
          <w:tcPr>
            <w:tcW w:w="2268" w:type="dxa"/>
            <w:vAlign w:val="center"/>
          </w:tcPr>
          <w:p w14:paraId="099774CC">
            <w:pPr>
              <w:pStyle w:val="13"/>
            </w:pPr>
            <w:r>
              <w:t>3年</w:t>
            </w:r>
          </w:p>
        </w:tc>
        <w:tc>
          <w:tcPr>
            <w:tcW w:w="1276" w:type="dxa"/>
            <w:vAlign w:val="center"/>
          </w:tcPr>
          <w:p w14:paraId="54F5E39A">
            <w:pPr>
              <w:pStyle w:val="13"/>
            </w:pPr>
            <w:r>
              <w:t>幼儿资助经费管理办法</w:t>
            </w:r>
          </w:p>
        </w:tc>
      </w:tr>
      <w:tr w14:paraId="26DAF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DC35F0">
            <w:pPr>
              <w:pStyle w:val="12"/>
            </w:pPr>
            <w:r>
              <w:t>满意度指标</w:t>
            </w:r>
          </w:p>
        </w:tc>
        <w:tc>
          <w:tcPr>
            <w:tcW w:w="2268" w:type="dxa"/>
            <w:vAlign w:val="center"/>
          </w:tcPr>
          <w:p w14:paraId="609F916A">
            <w:pPr>
              <w:pStyle w:val="13"/>
            </w:pPr>
            <w:r>
              <w:t>服务对象满意度指标</w:t>
            </w:r>
          </w:p>
        </w:tc>
        <w:tc>
          <w:tcPr>
            <w:tcW w:w="2835" w:type="dxa"/>
            <w:vAlign w:val="center"/>
          </w:tcPr>
          <w:p w14:paraId="1D3F290B">
            <w:pPr>
              <w:pStyle w:val="13"/>
            </w:pPr>
            <w:r>
              <w:t>受益幼儿家长及调查满意度</w:t>
            </w:r>
          </w:p>
        </w:tc>
        <w:tc>
          <w:tcPr>
            <w:tcW w:w="5386" w:type="dxa"/>
            <w:vAlign w:val="center"/>
          </w:tcPr>
          <w:p w14:paraId="766E88B2">
            <w:pPr>
              <w:pStyle w:val="13"/>
            </w:pPr>
            <w:r>
              <w:t>学生、教师及家长对学校保教保育工作满意度情况</w:t>
            </w:r>
          </w:p>
        </w:tc>
        <w:tc>
          <w:tcPr>
            <w:tcW w:w="2268" w:type="dxa"/>
            <w:vAlign w:val="center"/>
          </w:tcPr>
          <w:p w14:paraId="471BCCB9">
            <w:pPr>
              <w:pStyle w:val="13"/>
            </w:pPr>
            <w:r>
              <w:t>≥95%</w:t>
            </w:r>
          </w:p>
        </w:tc>
        <w:tc>
          <w:tcPr>
            <w:tcW w:w="1276" w:type="dxa"/>
            <w:vAlign w:val="center"/>
          </w:tcPr>
          <w:p w14:paraId="74A2F7A1">
            <w:pPr>
              <w:pStyle w:val="13"/>
            </w:pPr>
            <w:r>
              <w:t>幼儿资助经费管理办法</w:t>
            </w:r>
          </w:p>
        </w:tc>
      </w:tr>
    </w:tbl>
    <w:p w14:paraId="6F20EBA0">
      <w:pPr>
        <w:sectPr>
          <w:pgSz w:w="16840" w:h="11900" w:orient="landscape"/>
          <w:pgMar w:top="1361" w:right="1020" w:bottom="1134" w:left="1020" w:header="720" w:footer="720" w:gutter="0"/>
          <w:cols w:space="720" w:num="1"/>
        </w:sectPr>
      </w:pPr>
    </w:p>
    <w:p w14:paraId="2110EE8E">
      <w:pPr>
        <w:spacing w:before="0" w:after="0"/>
        <w:ind w:firstLine="560"/>
        <w:jc w:val="left"/>
        <w:outlineLvl w:val="9"/>
      </w:pPr>
      <w:r>
        <w:rPr>
          <w:rFonts w:ascii="方正仿宋_GBK" w:hAnsi="方正仿宋_GBK" w:eastAsia="方正仿宋_GBK" w:cs="方正仿宋_GBK"/>
          <w:b/>
          <w:color w:val="000000"/>
          <w:sz w:val="28"/>
        </w:rPr>
        <w:t>2、冀财教[2024]121号/中央/2025年学前教育发展/县直幼儿园活动场地建设绩效目标表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6E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9A04B">
            <w:pPr>
              <w:pStyle w:val="14"/>
            </w:pPr>
            <w:r>
              <w:t>单位：万元</w:t>
            </w:r>
          </w:p>
        </w:tc>
      </w:tr>
      <w:tr w14:paraId="00DE2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879FA3">
            <w:pPr>
              <w:pStyle w:val="11"/>
            </w:pPr>
            <w:r>
              <w:t>项目编码</w:t>
            </w:r>
          </w:p>
        </w:tc>
        <w:tc>
          <w:tcPr>
            <w:tcW w:w="5103" w:type="dxa"/>
            <w:gridSpan w:val="2"/>
            <w:vAlign w:val="center"/>
          </w:tcPr>
          <w:p w14:paraId="67D14A32">
            <w:pPr>
              <w:pStyle w:val="13"/>
            </w:pPr>
            <w:r>
              <w:t>13052525P00876910014W</w:t>
            </w:r>
          </w:p>
        </w:tc>
        <w:tc>
          <w:tcPr>
            <w:tcW w:w="2835" w:type="dxa"/>
            <w:vAlign w:val="center"/>
          </w:tcPr>
          <w:p w14:paraId="188CB50C">
            <w:pPr>
              <w:pStyle w:val="11"/>
            </w:pPr>
            <w:r>
              <w:t>项目名称</w:t>
            </w:r>
          </w:p>
        </w:tc>
        <w:tc>
          <w:tcPr>
            <w:tcW w:w="6095" w:type="dxa"/>
            <w:gridSpan w:val="3"/>
            <w:vAlign w:val="center"/>
          </w:tcPr>
          <w:p w14:paraId="3F7368CF">
            <w:pPr>
              <w:pStyle w:val="13"/>
            </w:pPr>
            <w:r>
              <w:t>冀财教[2024]121号/中央/2025年学前教育发展/县直幼儿园活动场地建设</w:t>
            </w:r>
          </w:p>
        </w:tc>
      </w:tr>
      <w:tr w14:paraId="563B7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FD9CD">
            <w:pPr>
              <w:pStyle w:val="11"/>
            </w:pPr>
            <w:r>
              <w:t>预算规模及资金用途</w:t>
            </w:r>
          </w:p>
        </w:tc>
        <w:tc>
          <w:tcPr>
            <w:tcW w:w="2268" w:type="dxa"/>
            <w:vAlign w:val="center"/>
          </w:tcPr>
          <w:p w14:paraId="39A55B76">
            <w:pPr>
              <w:pStyle w:val="11"/>
            </w:pPr>
            <w:r>
              <w:t>预算数</w:t>
            </w:r>
          </w:p>
        </w:tc>
        <w:tc>
          <w:tcPr>
            <w:tcW w:w="2835" w:type="dxa"/>
            <w:vAlign w:val="center"/>
          </w:tcPr>
          <w:p w14:paraId="33B9E8FB">
            <w:pPr>
              <w:pStyle w:val="13"/>
            </w:pPr>
            <w:r>
              <w:t>25.00</w:t>
            </w:r>
          </w:p>
        </w:tc>
        <w:tc>
          <w:tcPr>
            <w:tcW w:w="2835" w:type="dxa"/>
            <w:vAlign w:val="center"/>
          </w:tcPr>
          <w:p w14:paraId="01FCC316">
            <w:pPr>
              <w:pStyle w:val="11"/>
            </w:pPr>
            <w:r>
              <w:t>其中：财政    资金</w:t>
            </w:r>
          </w:p>
        </w:tc>
        <w:tc>
          <w:tcPr>
            <w:tcW w:w="2551" w:type="dxa"/>
            <w:vAlign w:val="center"/>
          </w:tcPr>
          <w:p w14:paraId="708A8474">
            <w:pPr>
              <w:pStyle w:val="13"/>
            </w:pPr>
            <w:r>
              <w:t>25.00</w:t>
            </w:r>
          </w:p>
        </w:tc>
        <w:tc>
          <w:tcPr>
            <w:tcW w:w="2268" w:type="dxa"/>
            <w:vAlign w:val="center"/>
          </w:tcPr>
          <w:p w14:paraId="4EDA5C45">
            <w:pPr>
              <w:pStyle w:val="11"/>
            </w:pPr>
            <w:r>
              <w:t>其他资金</w:t>
            </w:r>
          </w:p>
        </w:tc>
        <w:tc>
          <w:tcPr>
            <w:tcW w:w="1276" w:type="dxa"/>
            <w:vAlign w:val="center"/>
          </w:tcPr>
          <w:p w14:paraId="0A5732B4">
            <w:pPr>
              <w:pStyle w:val="13"/>
            </w:pPr>
            <w:r>
              <w:t xml:space="preserve"> </w:t>
            </w:r>
          </w:p>
        </w:tc>
      </w:tr>
      <w:tr w14:paraId="16514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2CE8D3"/>
        </w:tc>
        <w:tc>
          <w:tcPr>
            <w:tcW w:w="14033" w:type="dxa"/>
            <w:gridSpan w:val="6"/>
            <w:vAlign w:val="center"/>
          </w:tcPr>
          <w:p w14:paraId="0A8D6EBF">
            <w:pPr>
              <w:pStyle w:val="13"/>
            </w:pPr>
            <w:r>
              <w:t>完成县直幼儿园活动场地建设，满足幼儿园正常教学需要。</w:t>
            </w:r>
          </w:p>
        </w:tc>
      </w:tr>
      <w:tr w14:paraId="1B03F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5696C">
            <w:pPr>
              <w:pStyle w:val="11"/>
            </w:pPr>
            <w:r>
              <w:t>资金支出计划（%）</w:t>
            </w:r>
          </w:p>
        </w:tc>
        <w:tc>
          <w:tcPr>
            <w:tcW w:w="5103" w:type="dxa"/>
            <w:gridSpan w:val="2"/>
            <w:vAlign w:val="center"/>
          </w:tcPr>
          <w:p w14:paraId="44EF5349">
            <w:pPr>
              <w:pStyle w:val="11"/>
            </w:pPr>
            <w:r>
              <w:t>3月底</w:t>
            </w:r>
          </w:p>
        </w:tc>
        <w:tc>
          <w:tcPr>
            <w:tcW w:w="2835" w:type="dxa"/>
            <w:vAlign w:val="center"/>
          </w:tcPr>
          <w:p w14:paraId="1F9BD74E">
            <w:pPr>
              <w:pStyle w:val="11"/>
            </w:pPr>
            <w:r>
              <w:t>6月底</w:t>
            </w:r>
          </w:p>
        </w:tc>
        <w:tc>
          <w:tcPr>
            <w:tcW w:w="2551" w:type="dxa"/>
            <w:vAlign w:val="center"/>
          </w:tcPr>
          <w:p w14:paraId="49E513A5">
            <w:pPr>
              <w:pStyle w:val="11"/>
            </w:pPr>
            <w:r>
              <w:t>10月底</w:t>
            </w:r>
          </w:p>
        </w:tc>
        <w:tc>
          <w:tcPr>
            <w:tcW w:w="3544" w:type="dxa"/>
            <w:gridSpan w:val="2"/>
            <w:vAlign w:val="center"/>
          </w:tcPr>
          <w:p w14:paraId="25F77456">
            <w:pPr>
              <w:pStyle w:val="11"/>
            </w:pPr>
            <w:r>
              <w:t>12月底</w:t>
            </w:r>
          </w:p>
        </w:tc>
      </w:tr>
      <w:tr w14:paraId="4592F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796C68"/>
        </w:tc>
        <w:tc>
          <w:tcPr>
            <w:tcW w:w="5103" w:type="dxa"/>
            <w:gridSpan w:val="2"/>
            <w:vAlign w:val="center"/>
          </w:tcPr>
          <w:p w14:paraId="6AFE93A9">
            <w:pPr>
              <w:pStyle w:val="12"/>
            </w:pPr>
            <w:r>
              <w:t>25%</w:t>
            </w:r>
          </w:p>
        </w:tc>
        <w:tc>
          <w:tcPr>
            <w:tcW w:w="2835" w:type="dxa"/>
            <w:vAlign w:val="center"/>
          </w:tcPr>
          <w:p w14:paraId="72257B7D">
            <w:pPr>
              <w:pStyle w:val="12"/>
            </w:pPr>
            <w:r>
              <w:t>50%</w:t>
            </w:r>
          </w:p>
        </w:tc>
        <w:tc>
          <w:tcPr>
            <w:tcW w:w="2551" w:type="dxa"/>
            <w:vAlign w:val="center"/>
          </w:tcPr>
          <w:p w14:paraId="061F8191">
            <w:pPr>
              <w:pStyle w:val="12"/>
            </w:pPr>
            <w:r>
              <w:t>75%</w:t>
            </w:r>
          </w:p>
        </w:tc>
        <w:tc>
          <w:tcPr>
            <w:tcW w:w="3544" w:type="dxa"/>
            <w:gridSpan w:val="2"/>
            <w:vAlign w:val="center"/>
          </w:tcPr>
          <w:p w14:paraId="7933648E">
            <w:pPr>
              <w:pStyle w:val="12"/>
            </w:pPr>
            <w:r>
              <w:t>100%</w:t>
            </w:r>
          </w:p>
        </w:tc>
      </w:tr>
      <w:tr w14:paraId="0D3A9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3CFC4A">
            <w:pPr>
              <w:pStyle w:val="11"/>
            </w:pPr>
            <w:r>
              <w:t>绩效目标</w:t>
            </w:r>
          </w:p>
        </w:tc>
        <w:tc>
          <w:tcPr>
            <w:tcW w:w="14033" w:type="dxa"/>
            <w:gridSpan w:val="6"/>
            <w:vAlign w:val="center"/>
          </w:tcPr>
          <w:p w14:paraId="2C4051FC">
            <w:pPr>
              <w:pStyle w:val="13"/>
            </w:pPr>
            <w:r>
              <w:t>1.完成县直幼儿园活动场地建设，满足幼儿园正常教学需要。</w:t>
            </w:r>
            <w:r>
              <w:tab/>
            </w:r>
            <w:r>
              <w:tab/>
            </w:r>
            <w:r>
              <w:tab/>
            </w:r>
            <w:r>
              <w:tab/>
            </w:r>
            <w:r>
              <w:tab/>
            </w:r>
            <w:r>
              <w:tab/>
            </w:r>
          </w:p>
        </w:tc>
      </w:tr>
    </w:tbl>
    <w:p w14:paraId="0015C3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68"/>
        <w:gridCol w:w="1976"/>
      </w:tblGrid>
      <w:tr w14:paraId="2275F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275C37F">
            <w:pPr>
              <w:pStyle w:val="11"/>
            </w:pPr>
            <w:r>
              <w:t>一级指标</w:t>
            </w:r>
          </w:p>
        </w:tc>
        <w:tc>
          <w:tcPr>
            <w:tcW w:w="2268" w:type="dxa"/>
            <w:vAlign w:val="center"/>
          </w:tcPr>
          <w:p w14:paraId="38376597">
            <w:pPr>
              <w:pStyle w:val="11"/>
            </w:pPr>
            <w:r>
              <w:t>二级指标</w:t>
            </w:r>
          </w:p>
        </w:tc>
        <w:tc>
          <w:tcPr>
            <w:tcW w:w="2835" w:type="dxa"/>
            <w:vAlign w:val="center"/>
          </w:tcPr>
          <w:p w14:paraId="2B10985B">
            <w:pPr>
              <w:pStyle w:val="11"/>
            </w:pPr>
            <w:r>
              <w:t>三级指标</w:t>
            </w:r>
          </w:p>
        </w:tc>
        <w:tc>
          <w:tcPr>
            <w:tcW w:w="5386" w:type="dxa"/>
            <w:vAlign w:val="center"/>
          </w:tcPr>
          <w:p w14:paraId="7789B031">
            <w:pPr>
              <w:pStyle w:val="11"/>
            </w:pPr>
            <w:r>
              <w:t>绩效指标描述</w:t>
            </w:r>
          </w:p>
        </w:tc>
        <w:tc>
          <w:tcPr>
            <w:tcW w:w="1568" w:type="dxa"/>
            <w:vAlign w:val="center"/>
          </w:tcPr>
          <w:p w14:paraId="36F81D87">
            <w:pPr>
              <w:pStyle w:val="11"/>
            </w:pPr>
            <w:r>
              <w:t>指标值</w:t>
            </w:r>
          </w:p>
        </w:tc>
        <w:tc>
          <w:tcPr>
            <w:tcW w:w="1976" w:type="dxa"/>
            <w:vAlign w:val="center"/>
          </w:tcPr>
          <w:p w14:paraId="4AAA3A50">
            <w:pPr>
              <w:pStyle w:val="11"/>
            </w:pPr>
            <w:r>
              <w:t>指标值确定依据</w:t>
            </w:r>
          </w:p>
        </w:tc>
      </w:tr>
      <w:tr w14:paraId="34EEA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655AB">
            <w:pPr>
              <w:pStyle w:val="12"/>
            </w:pPr>
            <w:r>
              <w:t>产出指标</w:t>
            </w:r>
          </w:p>
        </w:tc>
        <w:tc>
          <w:tcPr>
            <w:tcW w:w="2268" w:type="dxa"/>
            <w:vAlign w:val="center"/>
          </w:tcPr>
          <w:p w14:paraId="2AAC10AC">
            <w:pPr>
              <w:pStyle w:val="13"/>
            </w:pPr>
            <w:r>
              <w:t>数量指标</w:t>
            </w:r>
          </w:p>
        </w:tc>
        <w:tc>
          <w:tcPr>
            <w:tcW w:w="2835" w:type="dxa"/>
            <w:vAlign w:val="center"/>
          </w:tcPr>
          <w:p w14:paraId="534C54C6">
            <w:pPr>
              <w:pStyle w:val="13"/>
            </w:pPr>
            <w:r>
              <w:t>幼儿园维修改造</w:t>
            </w:r>
          </w:p>
        </w:tc>
        <w:tc>
          <w:tcPr>
            <w:tcW w:w="5386" w:type="dxa"/>
            <w:vAlign w:val="center"/>
          </w:tcPr>
          <w:p w14:paraId="6DA43D49">
            <w:pPr>
              <w:pStyle w:val="13"/>
            </w:pPr>
            <w:r>
              <w:t>完成幼儿园内活动场地建设维修等</w:t>
            </w:r>
          </w:p>
        </w:tc>
        <w:tc>
          <w:tcPr>
            <w:tcW w:w="1568" w:type="dxa"/>
            <w:vAlign w:val="center"/>
          </w:tcPr>
          <w:p w14:paraId="64773D38">
            <w:pPr>
              <w:pStyle w:val="13"/>
            </w:pPr>
            <w:r>
              <w:t>841.5平米</w:t>
            </w:r>
          </w:p>
        </w:tc>
        <w:tc>
          <w:tcPr>
            <w:tcW w:w="1976" w:type="dxa"/>
            <w:vAlign w:val="center"/>
          </w:tcPr>
          <w:p w14:paraId="288DC3A0">
            <w:pPr>
              <w:pStyle w:val="13"/>
            </w:pPr>
            <w:r>
              <w:t>城乡义务教育公用经费管理办法</w:t>
            </w:r>
          </w:p>
        </w:tc>
      </w:tr>
      <w:tr w14:paraId="4B13C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D4582"/>
        </w:tc>
        <w:tc>
          <w:tcPr>
            <w:tcW w:w="2268" w:type="dxa"/>
            <w:vAlign w:val="center"/>
          </w:tcPr>
          <w:p w14:paraId="4FC26863">
            <w:pPr>
              <w:pStyle w:val="13"/>
            </w:pPr>
            <w:r>
              <w:t>质量指标</w:t>
            </w:r>
          </w:p>
        </w:tc>
        <w:tc>
          <w:tcPr>
            <w:tcW w:w="2835" w:type="dxa"/>
            <w:vAlign w:val="center"/>
          </w:tcPr>
          <w:p w14:paraId="100BDA5B">
            <w:pPr>
              <w:pStyle w:val="13"/>
            </w:pPr>
            <w:r>
              <w:t>预算执行率</w:t>
            </w:r>
          </w:p>
        </w:tc>
        <w:tc>
          <w:tcPr>
            <w:tcW w:w="5386" w:type="dxa"/>
            <w:vAlign w:val="center"/>
          </w:tcPr>
          <w:p w14:paraId="7B85AD2C">
            <w:pPr>
              <w:pStyle w:val="13"/>
            </w:pPr>
            <w:r>
              <w:t>预算执行率≥98</w:t>
            </w:r>
          </w:p>
        </w:tc>
        <w:tc>
          <w:tcPr>
            <w:tcW w:w="1568" w:type="dxa"/>
            <w:vAlign w:val="center"/>
          </w:tcPr>
          <w:p w14:paraId="587F1D4A">
            <w:pPr>
              <w:pStyle w:val="13"/>
            </w:pPr>
            <w:r>
              <w:t>≥98%</w:t>
            </w:r>
          </w:p>
        </w:tc>
        <w:tc>
          <w:tcPr>
            <w:tcW w:w="1976" w:type="dxa"/>
            <w:vAlign w:val="center"/>
          </w:tcPr>
          <w:p w14:paraId="6A599AF2">
            <w:pPr>
              <w:pStyle w:val="13"/>
            </w:pPr>
            <w:r>
              <w:t>城乡义务教育公用经费管理办法</w:t>
            </w:r>
          </w:p>
        </w:tc>
      </w:tr>
      <w:tr w14:paraId="20BFE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6C0A7"/>
        </w:tc>
        <w:tc>
          <w:tcPr>
            <w:tcW w:w="2268" w:type="dxa"/>
            <w:vAlign w:val="center"/>
          </w:tcPr>
          <w:p w14:paraId="77964AA9">
            <w:pPr>
              <w:pStyle w:val="13"/>
            </w:pPr>
            <w:r>
              <w:t>时效指标</w:t>
            </w:r>
          </w:p>
        </w:tc>
        <w:tc>
          <w:tcPr>
            <w:tcW w:w="2835" w:type="dxa"/>
            <w:vAlign w:val="center"/>
          </w:tcPr>
          <w:p w14:paraId="1A772B44">
            <w:pPr>
              <w:pStyle w:val="13"/>
            </w:pPr>
            <w:r>
              <w:t>经费支付完成率</w:t>
            </w:r>
          </w:p>
        </w:tc>
        <w:tc>
          <w:tcPr>
            <w:tcW w:w="5386" w:type="dxa"/>
            <w:vAlign w:val="center"/>
          </w:tcPr>
          <w:p w14:paraId="603C9ACB">
            <w:pPr>
              <w:pStyle w:val="13"/>
            </w:pPr>
            <w:r>
              <w:t>按照序时进度完成资金支付</w:t>
            </w:r>
          </w:p>
        </w:tc>
        <w:tc>
          <w:tcPr>
            <w:tcW w:w="1568" w:type="dxa"/>
            <w:vAlign w:val="center"/>
          </w:tcPr>
          <w:p w14:paraId="6ECD88FA">
            <w:pPr>
              <w:pStyle w:val="13"/>
            </w:pPr>
            <w:r>
              <w:t>≥100%</w:t>
            </w:r>
          </w:p>
        </w:tc>
        <w:tc>
          <w:tcPr>
            <w:tcW w:w="1976" w:type="dxa"/>
            <w:vAlign w:val="center"/>
          </w:tcPr>
          <w:p w14:paraId="784D395A">
            <w:pPr>
              <w:pStyle w:val="13"/>
            </w:pPr>
            <w:r>
              <w:t>城乡义务教育公用经费管理办法</w:t>
            </w:r>
          </w:p>
        </w:tc>
      </w:tr>
      <w:tr w14:paraId="297A9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CE292"/>
        </w:tc>
        <w:tc>
          <w:tcPr>
            <w:tcW w:w="2268" w:type="dxa"/>
            <w:vAlign w:val="center"/>
          </w:tcPr>
          <w:p w14:paraId="07B470B2">
            <w:pPr>
              <w:pStyle w:val="13"/>
            </w:pPr>
            <w:r>
              <w:t>成本指标</w:t>
            </w:r>
          </w:p>
        </w:tc>
        <w:tc>
          <w:tcPr>
            <w:tcW w:w="2835" w:type="dxa"/>
            <w:vAlign w:val="center"/>
          </w:tcPr>
          <w:p w14:paraId="431329C3">
            <w:pPr>
              <w:pStyle w:val="13"/>
            </w:pPr>
            <w:r>
              <w:t>项目实际成本</w:t>
            </w:r>
          </w:p>
        </w:tc>
        <w:tc>
          <w:tcPr>
            <w:tcW w:w="5386" w:type="dxa"/>
            <w:vAlign w:val="center"/>
          </w:tcPr>
          <w:p w14:paraId="637D489F">
            <w:pPr>
              <w:pStyle w:val="13"/>
            </w:pPr>
            <w:r>
              <w:t>幼儿园内多处维修改造</w:t>
            </w:r>
          </w:p>
        </w:tc>
        <w:tc>
          <w:tcPr>
            <w:tcW w:w="1568" w:type="dxa"/>
            <w:vAlign w:val="center"/>
          </w:tcPr>
          <w:p w14:paraId="00DBCF1E">
            <w:pPr>
              <w:pStyle w:val="13"/>
            </w:pPr>
            <w:r>
              <w:t>25万元</w:t>
            </w:r>
          </w:p>
        </w:tc>
        <w:tc>
          <w:tcPr>
            <w:tcW w:w="1976" w:type="dxa"/>
            <w:vAlign w:val="center"/>
          </w:tcPr>
          <w:p w14:paraId="762C9DCF">
            <w:pPr>
              <w:pStyle w:val="13"/>
            </w:pPr>
            <w:r>
              <w:t>城乡义务教育公用经费管理办法</w:t>
            </w:r>
          </w:p>
        </w:tc>
      </w:tr>
      <w:tr w14:paraId="1BF9A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5F7B8F">
            <w:pPr>
              <w:pStyle w:val="12"/>
            </w:pPr>
            <w:r>
              <w:t>效益指标</w:t>
            </w:r>
          </w:p>
        </w:tc>
        <w:tc>
          <w:tcPr>
            <w:tcW w:w="2268" w:type="dxa"/>
            <w:vAlign w:val="center"/>
          </w:tcPr>
          <w:p w14:paraId="12BCAD62">
            <w:pPr>
              <w:pStyle w:val="13"/>
            </w:pPr>
            <w:r>
              <w:t>可持续影响指标</w:t>
            </w:r>
          </w:p>
        </w:tc>
        <w:tc>
          <w:tcPr>
            <w:tcW w:w="2835" w:type="dxa"/>
            <w:vAlign w:val="center"/>
          </w:tcPr>
          <w:p w14:paraId="6C6321DD">
            <w:pPr>
              <w:pStyle w:val="13"/>
            </w:pPr>
            <w:r>
              <w:t>幼儿园运转得到提高</w:t>
            </w:r>
          </w:p>
        </w:tc>
        <w:tc>
          <w:tcPr>
            <w:tcW w:w="5386" w:type="dxa"/>
            <w:vAlign w:val="center"/>
          </w:tcPr>
          <w:p w14:paraId="0194A543">
            <w:pPr>
              <w:pStyle w:val="13"/>
            </w:pPr>
            <w:r>
              <w:t>学生受教育年限</w:t>
            </w:r>
          </w:p>
        </w:tc>
        <w:tc>
          <w:tcPr>
            <w:tcW w:w="1568" w:type="dxa"/>
            <w:vAlign w:val="center"/>
          </w:tcPr>
          <w:p w14:paraId="53295A2B">
            <w:pPr>
              <w:pStyle w:val="13"/>
            </w:pPr>
            <w:r>
              <w:t>3年</w:t>
            </w:r>
          </w:p>
        </w:tc>
        <w:tc>
          <w:tcPr>
            <w:tcW w:w="1976" w:type="dxa"/>
            <w:vAlign w:val="center"/>
          </w:tcPr>
          <w:p w14:paraId="79DA2E90">
            <w:pPr>
              <w:pStyle w:val="13"/>
            </w:pPr>
            <w:r>
              <w:t>城乡义务教育公用经费管理办法</w:t>
            </w:r>
          </w:p>
        </w:tc>
      </w:tr>
      <w:tr w14:paraId="5062A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923097">
            <w:pPr>
              <w:pStyle w:val="12"/>
            </w:pPr>
            <w:r>
              <w:t>满意度指标</w:t>
            </w:r>
          </w:p>
        </w:tc>
        <w:tc>
          <w:tcPr>
            <w:tcW w:w="2268" w:type="dxa"/>
            <w:vAlign w:val="center"/>
          </w:tcPr>
          <w:p w14:paraId="2A333A99">
            <w:pPr>
              <w:pStyle w:val="13"/>
            </w:pPr>
            <w:r>
              <w:t>服务对象满意度指标</w:t>
            </w:r>
          </w:p>
        </w:tc>
        <w:tc>
          <w:tcPr>
            <w:tcW w:w="2835" w:type="dxa"/>
            <w:vAlign w:val="center"/>
          </w:tcPr>
          <w:p w14:paraId="44955738">
            <w:pPr>
              <w:pStyle w:val="13"/>
            </w:pPr>
            <w:r>
              <w:t>服务对象满意度</w:t>
            </w:r>
          </w:p>
        </w:tc>
        <w:tc>
          <w:tcPr>
            <w:tcW w:w="5386" w:type="dxa"/>
            <w:vAlign w:val="center"/>
          </w:tcPr>
          <w:p w14:paraId="6640CC61">
            <w:pPr>
              <w:pStyle w:val="13"/>
            </w:pPr>
            <w:r>
              <w:t>学校老师和学生满意度</w:t>
            </w:r>
          </w:p>
        </w:tc>
        <w:tc>
          <w:tcPr>
            <w:tcW w:w="1568" w:type="dxa"/>
            <w:vAlign w:val="center"/>
          </w:tcPr>
          <w:p w14:paraId="781E86BA">
            <w:pPr>
              <w:pStyle w:val="13"/>
            </w:pPr>
            <w:r>
              <w:t>≥95%</w:t>
            </w:r>
          </w:p>
        </w:tc>
        <w:tc>
          <w:tcPr>
            <w:tcW w:w="1976" w:type="dxa"/>
            <w:vAlign w:val="center"/>
          </w:tcPr>
          <w:p w14:paraId="69C99C80">
            <w:pPr>
              <w:pStyle w:val="13"/>
            </w:pPr>
            <w:r>
              <w:t>城乡义务教育公用经费管理办法</w:t>
            </w:r>
          </w:p>
        </w:tc>
      </w:tr>
    </w:tbl>
    <w:p w14:paraId="2E5095DE">
      <w:pPr>
        <w:sectPr>
          <w:pgSz w:w="16840" w:h="11900" w:orient="landscape"/>
          <w:pgMar w:top="1361" w:right="1020" w:bottom="1134" w:left="1020" w:header="720" w:footer="720" w:gutter="0"/>
          <w:cols w:space="720" w:num="1"/>
        </w:sectPr>
      </w:pPr>
    </w:p>
    <w:p w14:paraId="205B6F9A">
      <w:pPr>
        <w:spacing w:before="0" w:after="0"/>
        <w:ind w:firstLine="560"/>
        <w:jc w:val="left"/>
        <w:outlineLvl w:val="9"/>
      </w:pPr>
      <w:r>
        <w:rPr>
          <w:rFonts w:ascii="方正仿宋_GBK" w:hAnsi="方正仿宋_GBK" w:eastAsia="方正仿宋_GBK" w:cs="方正仿宋_GBK"/>
          <w:b/>
          <w:color w:val="000000"/>
          <w:sz w:val="28"/>
        </w:rPr>
        <w:t>3、冀财教[2024]142号/省级/2025年学前发展资金/县直幼儿园学前教育公用经费绩效目标表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CE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4E362">
            <w:pPr>
              <w:pStyle w:val="14"/>
            </w:pPr>
            <w:r>
              <w:t>单位：万元</w:t>
            </w:r>
          </w:p>
        </w:tc>
      </w:tr>
      <w:tr w14:paraId="6F9C2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A2F6BB">
            <w:pPr>
              <w:pStyle w:val="11"/>
            </w:pPr>
            <w:r>
              <w:t>项目编码</w:t>
            </w:r>
          </w:p>
        </w:tc>
        <w:tc>
          <w:tcPr>
            <w:tcW w:w="5103" w:type="dxa"/>
            <w:gridSpan w:val="2"/>
            <w:vAlign w:val="center"/>
          </w:tcPr>
          <w:p w14:paraId="3CD261CD">
            <w:pPr>
              <w:pStyle w:val="13"/>
            </w:pPr>
            <w:r>
              <w:t>13052525P00875710013N</w:t>
            </w:r>
          </w:p>
        </w:tc>
        <w:tc>
          <w:tcPr>
            <w:tcW w:w="2835" w:type="dxa"/>
            <w:vAlign w:val="center"/>
          </w:tcPr>
          <w:p w14:paraId="550654CA">
            <w:pPr>
              <w:pStyle w:val="11"/>
            </w:pPr>
            <w:r>
              <w:t>项目名称</w:t>
            </w:r>
          </w:p>
        </w:tc>
        <w:tc>
          <w:tcPr>
            <w:tcW w:w="6095" w:type="dxa"/>
            <w:gridSpan w:val="3"/>
            <w:vAlign w:val="center"/>
          </w:tcPr>
          <w:p w14:paraId="4D3910BF">
            <w:pPr>
              <w:pStyle w:val="13"/>
            </w:pPr>
            <w:r>
              <w:t>冀财教[2024]142号/省级/2025年学前发展资金/县直幼儿园学前教育公用经费</w:t>
            </w:r>
          </w:p>
        </w:tc>
      </w:tr>
      <w:tr w14:paraId="7FBA0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EAE13">
            <w:pPr>
              <w:pStyle w:val="11"/>
            </w:pPr>
            <w:r>
              <w:t>预算规模及资金用途</w:t>
            </w:r>
          </w:p>
        </w:tc>
        <w:tc>
          <w:tcPr>
            <w:tcW w:w="2268" w:type="dxa"/>
            <w:vAlign w:val="center"/>
          </w:tcPr>
          <w:p w14:paraId="70B6A76D">
            <w:pPr>
              <w:pStyle w:val="11"/>
            </w:pPr>
            <w:r>
              <w:t>预算数</w:t>
            </w:r>
          </w:p>
        </w:tc>
        <w:tc>
          <w:tcPr>
            <w:tcW w:w="2835" w:type="dxa"/>
            <w:vAlign w:val="center"/>
          </w:tcPr>
          <w:p w14:paraId="2BB203E5">
            <w:pPr>
              <w:pStyle w:val="13"/>
            </w:pPr>
            <w:r>
              <w:t>19.95</w:t>
            </w:r>
          </w:p>
        </w:tc>
        <w:tc>
          <w:tcPr>
            <w:tcW w:w="2835" w:type="dxa"/>
            <w:vAlign w:val="center"/>
          </w:tcPr>
          <w:p w14:paraId="330F6A28">
            <w:pPr>
              <w:pStyle w:val="11"/>
            </w:pPr>
            <w:r>
              <w:t>其中：财政    资金</w:t>
            </w:r>
          </w:p>
        </w:tc>
        <w:tc>
          <w:tcPr>
            <w:tcW w:w="2551" w:type="dxa"/>
            <w:vAlign w:val="center"/>
          </w:tcPr>
          <w:p w14:paraId="6A1D91CC">
            <w:pPr>
              <w:pStyle w:val="13"/>
            </w:pPr>
            <w:r>
              <w:t>19.95</w:t>
            </w:r>
          </w:p>
        </w:tc>
        <w:tc>
          <w:tcPr>
            <w:tcW w:w="2268" w:type="dxa"/>
            <w:vAlign w:val="center"/>
          </w:tcPr>
          <w:p w14:paraId="7386DEA0">
            <w:pPr>
              <w:pStyle w:val="11"/>
            </w:pPr>
            <w:r>
              <w:t>其他资金</w:t>
            </w:r>
          </w:p>
        </w:tc>
        <w:tc>
          <w:tcPr>
            <w:tcW w:w="1276" w:type="dxa"/>
            <w:vAlign w:val="center"/>
          </w:tcPr>
          <w:p w14:paraId="416D3C2E">
            <w:pPr>
              <w:pStyle w:val="13"/>
            </w:pPr>
            <w:r>
              <w:t xml:space="preserve"> </w:t>
            </w:r>
          </w:p>
        </w:tc>
      </w:tr>
      <w:tr w14:paraId="399E7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BD2533"/>
        </w:tc>
        <w:tc>
          <w:tcPr>
            <w:tcW w:w="14033" w:type="dxa"/>
            <w:gridSpan w:val="6"/>
            <w:vAlign w:val="center"/>
          </w:tcPr>
          <w:p w14:paraId="6A4562F7">
            <w:pPr>
              <w:pStyle w:val="13"/>
            </w:pPr>
            <w:r>
              <w:t>保证学前教育正常运行。</w:t>
            </w:r>
          </w:p>
        </w:tc>
      </w:tr>
      <w:tr w14:paraId="577D5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13478">
            <w:pPr>
              <w:pStyle w:val="11"/>
            </w:pPr>
            <w:r>
              <w:t>资金支出计划（%）</w:t>
            </w:r>
          </w:p>
        </w:tc>
        <w:tc>
          <w:tcPr>
            <w:tcW w:w="5103" w:type="dxa"/>
            <w:gridSpan w:val="2"/>
            <w:vAlign w:val="center"/>
          </w:tcPr>
          <w:p w14:paraId="5829C8DA">
            <w:pPr>
              <w:pStyle w:val="11"/>
            </w:pPr>
            <w:r>
              <w:t>3月底</w:t>
            </w:r>
          </w:p>
        </w:tc>
        <w:tc>
          <w:tcPr>
            <w:tcW w:w="2835" w:type="dxa"/>
            <w:vAlign w:val="center"/>
          </w:tcPr>
          <w:p w14:paraId="2ADF0814">
            <w:pPr>
              <w:pStyle w:val="11"/>
            </w:pPr>
            <w:r>
              <w:t>6月底</w:t>
            </w:r>
          </w:p>
        </w:tc>
        <w:tc>
          <w:tcPr>
            <w:tcW w:w="2551" w:type="dxa"/>
            <w:vAlign w:val="center"/>
          </w:tcPr>
          <w:p w14:paraId="0EFB4783">
            <w:pPr>
              <w:pStyle w:val="11"/>
            </w:pPr>
            <w:r>
              <w:t>10月底</w:t>
            </w:r>
          </w:p>
        </w:tc>
        <w:tc>
          <w:tcPr>
            <w:tcW w:w="3544" w:type="dxa"/>
            <w:gridSpan w:val="2"/>
            <w:vAlign w:val="center"/>
          </w:tcPr>
          <w:p w14:paraId="76B025B8">
            <w:pPr>
              <w:pStyle w:val="11"/>
            </w:pPr>
            <w:r>
              <w:t>12月底</w:t>
            </w:r>
          </w:p>
        </w:tc>
      </w:tr>
      <w:tr w14:paraId="125B5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3C69BA"/>
        </w:tc>
        <w:tc>
          <w:tcPr>
            <w:tcW w:w="5103" w:type="dxa"/>
            <w:gridSpan w:val="2"/>
            <w:vAlign w:val="center"/>
          </w:tcPr>
          <w:p w14:paraId="0DF501CC">
            <w:pPr>
              <w:pStyle w:val="12"/>
            </w:pPr>
            <w:r>
              <w:t>25%</w:t>
            </w:r>
          </w:p>
        </w:tc>
        <w:tc>
          <w:tcPr>
            <w:tcW w:w="2835" w:type="dxa"/>
            <w:vAlign w:val="center"/>
          </w:tcPr>
          <w:p w14:paraId="0204D6DB">
            <w:pPr>
              <w:pStyle w:val="12"/>
            </w:pPr>
            <w:r>
              <w:t>50%</w:t>
            </w:r>
          </w:p>
        </w:tc>
        <w:tc>
          <w:tcPr>
            <w:tcW w:w="2551" w:type="dxa"/>
            <w:vAlign w:val="center"/>
          </w:tcPr>
          <w:p w14:paraId="438DB338">
            <w:pPr>
              <w:pStyle w:val="12"/>
            </w:pPr>
            <w:r>
              <w:t>75%</w:t>
            </w:r>
          </w:p>
        </w:tc>
        <w:tc>
          <w:tcPr>
            <w:tcW w:w="3544" w:type="dxa"/>
            <w:gridSpan w:val="2"/>
            <w:vAlign w:val="center"/>
          </w:tcPr>
          <w:p w14:paraId="0A77EF98">
            <w:pPr>
              <w:pStyle w:val="12"/>
            </w:pPr>
            <w:r>
              <w:t>100%</w:t>
            </w:r>
          </w:p>
        </w:tc>
      </w:tr>
      <w:tr w14:paraId="06E28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84A22">
            <w:pPr>
              <w:pStyle w:val="11"/>
            </w:pPr>
            <w:r>
              <w:t>绩效目标</w:t>
            </w:r>
          </w:p>
        </w:tc>
        <w:tc>
          <w:tcPr>
            <w:tcW w:w="14033" w:type="dxa"/>
            <w:gridSpan w:val="6"/>
            <w:vAlign w:val="center"/>
          </w:tcPr>
          <w:p w14:paraId="19530AB3">
            <w:pPr>
              <w:pStyle w:val="13"/>
            </w:pPr>
            <w:r>
              <w:t>1.按规定拨付公用经费资金，预算执行率≥98%。</w:t>
            </w:r>
            <w:r>
              <w:tab/>
            </w:r>
            <w:r>
              <w:tab/>
            </w:r>
            <w:r>
              <w:tab/>
            </w:r>
            <w:r>
              <w:tab/>
            </w:r>
            <w:r>
              <w:tab/>
            </w:r>
            <w:r>
              <w:tab/>
            </w:r>
          </w:p>
        </w:tc>
      </w:tr>
    </w:tbl>
    <w:p w14:paraId="79D2B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CE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7BBD5">
            <w:pPr>
              <w:pStyle w:val="11"/>
            </w:pPr>
            <w:r>
              <w:t>一级指标</w:t>
            </w:r>
          </w:p>
        </w:tc>
        <w:tc>
          <w:tcPr>
            <w:tcW w:w="2268" w:type="dxa"/>
            <w:vAlign w:val="center"/>
          </w:tcPr>
          <w:p w14:paraId="50FFA84A">
            <w:pPr>
              <w:pStyle w:val="11"/>
            </w:pPr>
            <w:r>
              <w:t>二级指标</w:t>
            </w:r>
          </w:p>
        </w:tc>
        <w:tc>
          <w:tcPr>
            <w:tcW w:w="2835" w:type="dxa"/>
            <w:vAlign w:val="center"/>
          </w:tcPr>
          <w:p w14:paraId="1194A3A4">
            <w:pPr>
              <w:pStyle w:val="11"/>
            </w:pPr>
            <w:r>
              <w:t>三级指标</w:t>
            </w:r>
          </w:p>
        </w:tc>
        <w:tc>
          <w:tcPr>
            <w:tcW w:w="5386" w:type="dxa"/>
            <w:vAlign w:val="center"/>
          </w:tcPr>
          <w:p w14:paraId="5279EED0">
            <w:pPr>
              <w:pStyle w:val="11"/>
            </w:pPr>
            <w:r>
              <w:t>绩效指标描述</w:t>
            </w:r>
          </w:p>
        </w:tc>
        <w:tc>
          <w:tcPr>
            <w:tcW w:w="2268" w:type="dxa"/>
            <w:vAlign w:val="center"/>
          </w:tcPr>
          <w:p w14:paraId="6A2FB66E">
            <w:pPr>
              <w:pStyle w:val="11"/>
            </w:pPr>
            <w:r>
              <w:t>指标值</w:t>
            </w:r>
          </w:p>
        </w:tc>
        <w:tc>
          <w:tcPr>
            <w:tcW w:w="1276" w:type="dxa"/>
            <w:vAlign w:val="center"/>
          </w:tcPr>
          <w:p w14:paraId="22E0F244">
            <w:pPr>
              <w:pStyle w:val="11"/>
            </w:pPr>
            <w:r>
              <w:t>指标值确定依据</w:t>
            </w:r>
          </w:p>
        </w:tc>
      </w:tr>
      <w:tr w14:paraId="39584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8444D">
            <w:pPr>
              <w:pStyle w:val="12"/>
            </w:pPr>
            <w:r>
              <w:t>产出指标</w:t>
            </w:r>
          </w:p>
        </w:tc>
        <w:tc>
          <w:tcPr>
            <w:tcW w:w="2268" w:type="dxa"/>
            <w:vAlign w:val="center"/>
          </w:tcPr>
          <w:p w14:paraId="463EF3AB">
            <w:pPr>
              <w:pStyle w:val="13"/>
            </w:pPr>
            <w:r>
              <w:t>数量指标</w:t>
            </w:r>
          </w:p>
        </w:tc>
        <w:tc>
          <w:tcPr>
            <w:tcW w:w="2835" w:type="dxa"/>
            <w:vAlign w:val="center"/>
          </w:tcPr>
          <w:p w14:paraId="486DC9F6">
            <w:pPr>
              <w:pStyle w:val="13"/>
            </w:pPr>
            <w:r>
              <w:t>生均拨款标准</w:t>
            </w:r>
          </w:p>
        </w:tc>
        <w:tc>
          <w:tcPr>
            <w:tcW w:w="5386" w:type="dxa"/>
            <w:vAlign w:val="center"/>
          </w:tcPr>
          <w:p w14:paraId="4181FA54">
            <w:pPr>
              <w:pStyle w:val="13"/>
            </w:pPr>
            <w:r>
              <w:t>学前学生公用经费生均600元。</w:t>
            </w:r>
          </w:p>
        </w:tc>
        <w:tc>
          <w:tcPr>
            <w:tcW w:w="2268" w:type="dxa"/>
            <w:vAlign w:val="center"/>
          </w:tcPr>
          <w:p w14:paraId="0013C4CB">
            <w:pPr>
              <w:pStyle w:val="13"/>
            </w:pPr>
            <w:r>
              <w:t>600元</w:t>
            </w:r>
          </w:p>
        </w:tc>
        <w:tc>
          <w:tcPr>
            <w:tcW w:w="1276" w:type="dxa"/>
            <w:vAlign w:val="center"/>
          </w:tcPr>
          <w:p w14:paraId="5C726179">
            <w:pPr>
              <w:pStyle w:val="13"/>
            </w:pPr>
            <w:r>
              <w:t>学前教育公用经费管理办法</w:t>
            </w:r>
          </w:p>
        </w:tc>
      </w:tr>
      <w:tr w14:paraId="264C1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D336B"/>
        </w:tc>
        <w:tc>
          <w:tcPr>
            <w:tcW w:w="2268" w:type="dxa"/>
            <w:vAlign w:val="center"/>
          </w:tcPr>
          <w:p w14:paraId="54B77898">
            <w:pPr>
              <w:pStyle w:val="13"/>
            </w:pPr>
            <w:r>
              <w:t>质量指标</w:t>
            </w:r>
          </w:p>
        </w:tc>
        <w:tc>
          <w:tcPr>
            <w:tcW w:w="2835" w:type="dxa"/>
            <w:vAlign w:val="center"/>
          </w:tcPr>
          <w:p w14:paraId="7946C0E5">
            <w:pPr>
              <w:pStyle w:val="13"/>
            </w:pPr>
            <w:r>
              <w:t>就读学生数</w:t>
            </w:r>
          </w:p>
        </w:tc>
        <w:tc>
          <w:tcPr>
            <w:tcW w:w="5386" w:type="dxa"/>
            <w:vAlign w:val="center"/>
          </w:tcPr>
          <w:p w14:paraId="26D0A5BA">
            <w:pPr>
              <w:pStyle w:val="13"/>
            </w:pPr>
            <w:r>
              <w:t>辐射区域内适龄学生人数</w:t>
            </w:r>
          </w:p>
        </w:tc>
        <w:tc>
          <w:tcPr>
            <w:tcW w:w="2268" w:type="dxa"/>
            <w:vAlign w:val="center"/>
          </w:tcPr>
          <w:p w14:paraId="0174DC21">
            <w:pPr>
              <w:pStyle w:val="13"/>
            </w:pPr>
            <w:r>
              <w:t>≥160人</w:t>
            </w:r>
          </w:p>
        </w:tc>
        <w:tc>
          <w:tcPr>
            <w:tcW w:w="1276" w:type="dxa"/>
            <w:vAlign w:val="center"/>
          </w:tcPr>
          <w:p w14:paraId="42499C18">
            <w:pPr>
              <w:pStyle w:val="13"/>
            </w:pPr>
            <w:r>
              <w:t>学前教育公用经费管理办法</w:t>
            </w:r>
          </w:p>
        </w:tc>
      </w:tr>
      <w:tr w14:paraId="4DD4E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5B8F6"/>
        </w:tc>
        <w:tc>
          <w:tcPr>
            <w:tcW w:w="2268" w:type="dxa"/>
            <w:vAlign w:val="center"/>
          </w:tcPr>
          <w:p w14:paraId="00603EE7">
            <w:pPr>
              <w:pStyle w:val="13"/>
            </w:pPr>
            <w:r>
              <w:t>时效指标</w:t>
            </w:r>
          </w:p>
        </w:tc>
        <w:tc>
          <w:tcPr>
            <w:tcW w:w="2835" w:type="dxa"/>
            <w:vAlign w:val="center"/>
          </w:tcPr>
          <w:p w14:paraId="727F4D88">
            <w:pPr>
              <w:pStyle w:val="13"/>
            </w:pPr>
            <w:r>
              <w:t>预算执行率</w:t>
            </w:r>
          </w:p>
        </w:tc>
        <w:tc>
          <w:tcPr>
            <w:tcW w:w="5386" w:type="dxa"/>
            <w:vAlign w:val="center"/>
          </w:tcPr>
          <w:p w14:paraId="3702DD50">
            <w:pPr>
              <w:pStyle w:val="13"/>
            </w:pPr>
            <w:r>
              <w:t>预算执行率≥98%</w:t>
            </w:r>
          </w:p>
        </w:tc>
        <w:tc>
          <w:tcPr>
            <w:tcW w:w="2268" w:type="dxa"/>
            <w:vAlign w:val="center"/>
          </w:tcPr>
          <w:p w14:paraId="6DE76F19">
            <w:pPr>
              <w:pStyle w:val="13"/>
            </w:pPr>
            <w:r>
              <w:t>≥98%</w:t>
            </w:r>
          </w:p>
        </w:tc>
        <w:tc>
          <w:tcPr>
            <w:tcW w:w="1276" w:type="dxa"/>
            <w:vAlign w:val="center"/>
          </w:tcPr>
          <w:p w14:paraId="526D3DB0">
            <w:pPr>
              <w:pStyle w:val="13"/>
            </w:pPr>
            <w:r>
              <w:t>学前教育公用经费管理办法</w:t>
            </w:r>
          </w:p>
        </w:tc>
      </w:tr>
      <w:tr w14:paraId="15D8B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18220"/>
        </w:tc>
        <w:tc>
          <w:tcPr>
            <w:tcW w:w="2268" w:type="dxa"/>
            <w:vAlign w:val="center"/>
          </w:tcPr>
          <w:p w14:paraId="1688C31F">
            <w:pPr>
              <w:pStyle w:val="13"/>
            </w:pPr>
            <w:r>
              <w:t>成本指标</w:t>
            </w:r>
          </w:p>
        </w:tc>
        <w:tc>
          <w:tcPr>
            <w:tcW w:w="2835" w:type="dxa"/>
            <w:vAlign w:val="center"/>
          </w:tcPr>
          <w:p w14:paraId="2164918C">
            <w:pPr>
              <w:pStyle w:val="13"/>
            </w:pPr>
            <w:r>
              <w:t>义教经费支付完成率</w:t>
            </w:r>
          </w:p>
        </w:tc>
        <w:tc>
          <w:tcPr>
            <w:tcW w:w="5386" w:type="dxa"/>
            <w:vAlign w:val="center"/>
          </w:tcPr>
          <w:p w14:paraId="09113651">
            <w:pPr>
              <w:pStyle w:val="13"/>
            </w:pPr>
            <w:r>
              <w:t>按照序时进度完成资金支付</w:t>
            </w:r>
          </w:p>
        </w:tc>
        <w:tc>
          <w:tcPr>
            <w:tcW w:w="2268" w:type="dxa"/>
            <w:vAlign w:val="center"/>
          </w:tcPr>
          <w:p w14:paraId="4B9721C0">
            <w:pPr>
              <w:pStyle w:val="13"/>
            </w:pPr>
            <w:r>
              <w:t>100%</w:t>
            </w:r>
          </w:p>
        </w:tc>
        <w:tc>
          <w:tcPr>
            <w:tcW w:w="1276" w:type="dxa"/>
            <w:vAlign w:val="center"/>
          </w:tcPr>
          <w:p w14:paraId="5C65A275">
            <w:pPr>
              <w:pStyle w:val="13"/>
            </w:pPr>
            <w:r>
              <w:t>学前教育公用经费管理办法</w:t>
            </w:r>
          </w:p>
        </w:tc>
      </w:tr>
      <w:tr w14:paraId="45AE9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6311DA">
            <w:pPr>
              <w:pStyle w:val="12"/>
            </w:pPr>
            <w:r>
              <w:t>效益指标</w:t>
            </w:r>
          </w:p>
        </w:tc>
        <w:tc>
          <w:tcPr>
            <w:tcW w:w="2268" w:type="dxa"/>
            <w:vAlign w:val="center"/>
          </w:tcPr>
          <w:p w14:paraId="7B7ABD54">
            <w:pPr>
              <w:pStyle w:val="13"/>
            </w:pPr>
            <w:r>
              <w:t>可持续影响指标</w:t>
            </w:r>
          </w:p>
        </w:tc>
        <w:tc>
          <w:tcPr>
            <w:tcW w:w="2835" w:type="dxa"/>
            <w:vAlign w:val="center"/>
          </w:tcPr>
          <w:p w14:paraId="7EE39C5D">
            <w:pPr>
              <w:pStyle w:val="13"/>
            </w:pPr>
            <w:r>
              <w:t>学校运转得到提高</w:t>
            </w:r>
          </w:p>
        </w:tc>
        <w:tc>
          <w:tcPr>
            <w:tcW w:w="5386" w:type="dxa"/>
            <w:vAlign w:val="center"/>
          </w:tcPr>
          <w:p w14:paraId="5EEB12B3">
            <w:pPr>
              <w:pStyle w:val="13"/>
            </w:pPr>
            <w:r>
              <w:t>学生受教育年限</w:t>
            </w:r>
          </w:p>
        </w:tc>
        <w:tc>
          <w:tcPr>
            <w:tcW w:w="2268" w:type="dxa"/>
            <w:vAlign w:val="center"/>
          </w:tcPr>
          <w:p w14:paraId="72907A3B">
            <w:pPr>
              <w:pStyle w:val="13"/>
            </w:pPr>
            <w:r>
              <w:t>3年</w:t>
            </w:r>
          </w:p>
        </w:tc>
        <w:tc>
          <w:tcPr>
            <w:tcW w:w="1276" w:type="dxa"/>
            <w:vAlign w:val="center"/>
          </w:tcPr>
          <w:p w14:paraId="4592E826">
            <w:pPr>
              <w:pStyle w:val="13"/>
            </w:pPr>
            <w:r>
              <w:t>学前教育公用经费管理办法</w:t>
            </w:r>
          </w:p>
        </w:tc>
      </w:tr>
      <w:tr w14:paraId="35D79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4BEED8">
            <w:pPr>
              <w:pStyle w:val="12"/>
            </w:pPr>
            <w:r>
              <w:t>满意度指标</w:t>
            </w:r>
          </w:p>
        </w:tc>
        <w:tc>
          <w:tcPr>
            <w:tcW w:w="2268" w:type="dxa"/>
            <w:vAlign w:val="center"/>
          </w:tcPr>
          <w:p w14:paraId="7AE22AE9">
            <w:pPr>
              <w:pStyle w:val="13"/>
            </w:pPr>
            <w:r>
              <w:t>服务对象满意度指标</w:t>
            </w:r>
          </w:p>
        </w:tc>
        <w:tc>
          <w:tcPr>
            <w:tcW w:w="2835" w:type="dxa"/>
            <w:vAlign w:val="center"/>
          </w:tcPr>
          <w:p w14:paraId="331EF85E">
            <w:pPr>
              <w:pStyle w:val="13"/>
            </w:pPr>
            <w:r>
              <w:t>服务对象满意度</w:t>
            </w:r>
          </w:p>
        </w:tc>
        <w:tc>
          <w:tcPr>
            <w:tcW w:w="5386" w:type="dxa"/>
            <w:vAlign w:val="center"/>
          </w:tcPr>
          <w:p w14:paraId="6B805AE6">
            <w:pPr>
              <w:pStyle w:val="13"/>
            </w:pPr>
            <w:r>
              <w:t>学校老师和学生满意度</w:t>
            </w:r>
          </w:p>
        </w:tc>
        <w:tc>
          <w:tcPr>
            <w:tcW w:w="2268" w:type="dxa"/>
            <w:vAlign w:val="center"/>
          </w:tcPr>
          <w:p w14:paraId="1B61219D">
            <w:pPr>
              <w:pStyle w:val="13"/>
            </w:pPr>
            <w:r>
              <w:t>≥95%</w:t>
            </w:r>
          </w:p>
        </w:tc>
        <w:tc>
          <w:tcPr>
            <w:tcW w:w="1276" w:type="dxa"/>
            <w:vAlign w:val="center"/>
          </w:tcPr>
          <w:p w14:paraId="35357865">
            <w:pPr>
              <w:pStyle w:val="13"/>
            </w:pPr>
            <w:r>
              <w:t>问卷调查</w:t>
            </w:r>
          </w:p>
        </w:tc>
      </w:tr>
    </w:tbl>
    <w:p w14:paraId="287C71CC">
      <w:pPr>
        <w:sectPr>
          <w:pgSz w:w="16840" w:h="11900" w:orient="landscape"/>
          <w:pgMar w:top="1361" w:right="1020" w:bottom="1134" w:left="1020" w:header="720" w:footer="720" w:gutter="0"/>
          <w:cols w:space="720" w:num="1"/>
        </w:sectPr>
      </w:pPr>
    </w:p>
    <w:p w14:paraId="00C21793">
      <w:pPr>
        <w:spacing w:before="0" w:after="0"/>
        <w:ind w:firstLine="560"/>
        <w:jc w:val="left"/>
        <w:outlineLvl w:val="9"/>
      </w:pPr>
      <w:r>
        <w:rPr>
          <w:rFonts w:ascii="方正仿宋_GBK" w:hAnsi="方正仿宋_GBK" w:eastAsia="方正仿宋_GBK" w:cs="方正仿宋_GBK"/>
          <w:b/>
          <w:color w:val="000000"/>
          <w:sz w:val="28"/>
        </w:rPr>
        <w:t>4、冀财教[2024]142号/省级/2025年学前发展资金/县直幼儿园学前教育幼儿资助绩效目标表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14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4422D">
            <w:pPr>
              <w:pStyle w:val="14"/>
            </w:pPr>
            <w:r>
              <w:t>单位：万元</w:t>
            </w:r>
          </w:p>
        </w:tc>
      </w:tr>
      <w:tr w14:paraId="4506C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9B1F38">
            <w:pPr>
              <w:pStyle w:val="11"/>
            </w:pPr>
            <w:r>
              <w:t>项目编码</w:t>
            </w:r>
          </w:p>
        </w:tc>
        <w:tc>
          <w:tcPr>
            <w:tcW w:w="5103" w:type="dxa"/>
            <w:gridSpan w:val="2"/>
            <w:vAlign w:val="center"/>
          </w:tcPr>
          <w:p w14:paraId="209DBAEC">
            <w:pPr>
              <w:pStyle w:val="13"/>
            </w:pPr>
            <w:r>
              <w:t>13052525P00000210064A</w:t>
            </w:r>
          </w:p>
        </w:tc>
        <w:tc>
          <w:tcPr>
            <w:tcW w:w="2835" w:type="dxa"/>
            <w:vAlign w:val="center"/>
          </w:tcPr>
          <w:p w14:paraId="3E59CA79">
            <w:pPr>
              <w:pStyle w:val="11"/>
            </w:pPr>
            <w:r>
              <w:t>项目名称</w:t>
            </w:r>
          </w:p>
        </w:tc>
        <w:tc>
          <w:tcPr>
            <w:tcW w:w="6095" w:type="dxa"/>
            <w:gridSpan w:val="3"/>
            <w:vAlign w:val="center"/>
          </w:tcPr>
          <w:p w14:paraId="2B06F042">
            <w:pPr>
              <w:pStyle w:val="13"/>
            </w:pPr>
            <w:r>
              <w:t>冀财教[2024]142号/省级/2025年学前发展资金/县直幼儿园学前教育幼儿资助</w:t>
            </w:r>
          </w:p>
        </w:tc>
      </w:tr>
      <w:tr w14:paraId="57F74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A7C37">
            <w:pPr>
              <w:pStyle w:val="11"/>
            </w:pPr>
            <w:r>
              <w:t>预算规模及资金用途</w:t>
            </w:r>
          </w:p>
        </w:tc>
        <w:tc>
          <w:tcPr>
            <w:tcW w:w="2268" w:type="dxa"/>
            <w:vAlign w:val="center"/>
          </w:tcPr>
          <w:p w14:paraId="444E2AEC">
            <w:pPr>
              <w:pStyle w:val="11"/>
            </w:pPr>
            <w:r>
              <w:t>预算数</w:t>
            </w:r>
          </w:p>
        </w:tc>
        <w:tc>
          <w:tcPr>
            <w:tcW w:w="2835" w:type="dxa"/>
            <w:vAlign w:val="center"/>
          </w:tcPr>
          <w:p w14:paraId="67B6629E">
            <w:pPr>
              <w:pStyle w:val="13"/>
            </w:pPr>
            <w:r>
              <w:t>0.46</w:t>
            </w:r>
          </w:p>
        </w:tc>
        <w:tc>
          <w:tcPr>
            <w:tcW w:w="2835" w:type="dxa"/>
            <w:vAlign w:val="center"/>
          </w:tcPr>
          <w:p w14:paraId="075B4E0C">
            <w:pPr>
              <w:pStyle w:val="11"/>
            </w:pPr>
            <w:r>
              <w:t>其中：财政    资金</w:t>
            </w:r>
          </w:p>
        </w:tc>
        <w:tc>
          <w:tcPr>
            <w:tcW w:w="2551" w:type="dxa"/>
            <w:vAlign w:val="center"/>
          </w:tcPr>
          <w:p w14:paraId="45C434E2">
            <w:pPr>
              <w:pStyle w:val="13"/>
            </w:pPr>
            <w:r>
              <w:t>0.46</w:t>
            </w:r>
          </w:p>
        </w:tc>
        <w:tc>
          <w:tcPr>
            <w:tcW w:w="2268" w:type="dxa"/>
            <w:vAlign w:val="center"/>
          </w:tcPr>
          <w:p w14:paraId="627132B9">
            <w:pPr>
              <w:pStyle w:val="11"/>
            </w:pPr>
            <w:r>
              <w:t>其他资金</w:t>
            </w:r>
          </w:p>
        </w:tc>
        <w:tc>
          <w:tcPr>
            <w:tcW w:w="1276" w:type="dxa"/>
            <w:vAlign w:val="center"/>
          </w:tcPr>
          <w:p w14:paraId="7AD7761B">
            <w:pPr>
              <w:pStyle w:val="13"/>
            </w:pPr>
            <w:r>
              <w:t xml:space="preserve"> </w:t>
            </w:r>
          </w:p>
        </w:tc>
      </w:tr>
      <w:tr w14:paraId="7E3AC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589C65"/>
        </w:tc>
        <w:tc>
          <w:tcPr>
            <w:tcW w:w="14033" w:type="dxa"/>
            <w:gridSpan w:val="6"/>
            <w:vAlign w:val="center"/>
          </w:tcPr>
          <w:p w14:paraId="04D50254">
            <w:pPr>
              <w:pStyle w:val="13"/>
            </w:pPr>
            <w:r>
              <w:t>办公经费</w:t>
            </w:r>
          </w:p>
        </w:tc>
      </w:tr>
      <w:tr w14:paraId="6DBAD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4CD30">
            <w:pPr>
              <w:pStyle w:val="11"/>
            </w:pPr>
            <w:r>
              <w:t>资金支出计划（%）</w:t>
            </w:r>
          </w:p>
        </w:tc>
        <w:tc>
          <w:tcPr>
            <w:tcW w:w="5103" w:type="dxa"/>
            <w:gridSpan w:val="2"/>
            <w:vAlign w:val="center"/>
          </w:tcPr>
          <w:p w14:paraId="0400A131">
            <w:pPr>
              <w:pStyle w:val="11"/>
            </w:pPr>
            <w:r>
              <w:t>3月底</w:t>
            </w:r>
          </w:p>
        </w:tc>
        <w:tc>
          <w:tcPr>
            <w:tcW w:w="2835" w:type="dxa"/>
            <w:vAlign w:val="center"/>
          </w:tcPr>
          <w:p w14:paraId="248E09FE">
            <w:pPr>
              <w:pStyle w:val="11"/>
            </w:pPr>
            <w:r>
              <w:t>6月底</w:t>
            </w:r>
          </w:p>
        </w:tc>
        <w:tc>
          <w:tcPr>
            <w:tcW w:w="2551" w:type="dxa"/>
            <w:vAlign w:val="center"/>
          </w:tcPr>
          <w:p w14:paraId="590D3A69">
            <w:pPr>
              <w:pStyle w:val="11"/>
            </w:pPr>
            <w:r>
              <w:t>10月底</w:t>
            </w:r>
          </w:p>
        </w:tc>
        <w:tc>
          <w:tcPr>
            <w:tcW w:w="3544" w:type="dxa"/>
            <w:gridSpan w:val="2"/>
            <w:vAlign w:val="center"/>
          </w:tcPr>
          <w:p w14:paraId="5E46880F">
            <w:pPr>
              <w:pStyle w:val="11"/>
            </w:pPr>
            <w:r>
              <w:t>12月底</w:t>
            </w:r>
          </w:p>
        </w:tc>
      </w:tr>
      <w:tr w14:paraId="3881E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C81BE5"/>
        </w:tc>
        <w:tc>
          <w:tcPr>
            <w:tcW w:w="5103" w:type="dxa"/>
            <w:gridSpan w:val="2"/>
            <w:vAlign w:val="center"/>
          </w:tcPr>
          <w:p w14:paraId="7AA1D00A">
            <w:pPr>
              <w:pStyle w:val="12"/>
            </w:pPr>
            <w:r>
              <w:t>25%</w:t>
            </w:r>
          </w:p>
        </w:tc>
        <w:tc>
          <w:tcPr>
            <w:tcW w:w="2835" w:type="dxa"/>
            <w:vAlign w:val="center"/>
          </w:tcPr>
          <w:p w14:paraId="6FDC3099">
            <w:pPr>
              <w:pStyle w:val="12"/>
            </w:pPr>
            <w:r>
              <w:t>50%</w:t>
            </w:r>
          </w:p>
        </w:tc>
        <w:tc>
          <w:tcPr>
            <w:tcW w:w="2551" w:type="dxa"/>
            <w:vAlign w:val="center"/>
          </w:tcPr>
          <w:p w14:paraId="13B31739">
            <w:pPr>
              <w:pStyle w:val="12"/>
            </w:pPr>
            <w:r>
              <w:t>75%</w:t>
            </w:r>
          </w:p>
        </w:tc>
        <w:tc>
          <w:tcPr>
            <w:tcW w:w="3544" w:type="dxa"/>
            <w:gridSpan w:val="2"/>
            <w:vAlign w:val="center"/>
          </w:tcPr>
          <w:p w14:paraId="4289C537">
            <w:pPr>
              <w:pStyle w:val="12"/>
            </w:pPr>
            <w:r>
              <w:t>100%</w:t>
            </w:r>
          </w:p>
        </w:tc>
      </w:tr>
      <w:tr w14:paraId="053A6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9D45A">
            <w:pPr>
              <w:pStyle w:val="11"/>
            </w:pPr>
            <w:r>
              <w:t>绩效目标</w:t>
            </w:r>
          </w:p>
        </w:tc>
        <w:tc>
          <w:tcPr>
            <w:tcW w:w="14033" w:type="dxa"/>
            <w:gridSpan w:val="6"/>
            <w:vAlign w:val="center"/>
          </w:tcPr>
          <w:p w14:paraId="45C0BC74">
            <w:pPr>
              <w:pStyle w:val="13"/>
            </w:pPr>
            <w:r>
              <w:t>1.保证本年度资助经费足额落实到位，符合享受资助条件的学生应助尽助。</w:t>
            </w:r>
            <w:r>
              <w:tab/>
            </w:r>
            <w:r>
              <w:tab/>
            </w:r>
            <w:r>
              <w:tab/>
            </w:r>
            <w:r>
              <w:tab/>
            </w:r>
            <w:r>
              <w:tab/>
            </w:r>
            <w:r>
              <w:tab/>
            </w:r>
          </w:p>
          <w:p w14:paraId="53E65520">
            <w:pPr>
              <w:pStyle w:val="13"/>
            </w:pPr>
          </w:p>
          <w:p w14:paraId="1BEC4375">
            <w:pPr>
              <w:pStyle w:val="13"/>
            </w:pPr>
            <w:r>
              <w:t>2.保障落实建档立卡及家庭经济困难儿童资助所需资金，确保建档立卡等家庭经济困难幼儿优先获得资助</w:t>
            </w:r>
          </w:p>
        </w:tc>
      </w:tr>
    </w:tbl>
    <w:p w14:paraId="028DBB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50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CCF41">
            <w:pPr>
              <w:pStyle w:val="11"/>
            </w:pPr>
            <w:r>
              <w:t>一级指标</w:t>
            </w:r>
          </w:p>
        </w:tc>
        <w:tc>
          <w:tcPr>
            <w:tcW w:w="2268" w:type="dxa"/>
            <w:vAlign w:val="center"/>
          </w:tcPr>
          <w:p w14:paraId="07818A59">
            <w:pPr>
              <w:pStyle w:val="11"/>
            </w:pPr>
            <w:r>
              <w:t>二级指标</w:t>
            </w:r>
          </w:p>
        </w:tc>
        <w:tc>
          <w:tcPr>
            <w:tcW w:w="2835" w:type="dxa"/>
            <w:vAlign w:val="center"/>
          </w:tcPr>
          <w:p w14:paraId="2C155059">
            <w:pPr>
              <w:pStyle w:val="11"/>
            </w:pPr>
            <w:r>
              <w:t>三级指标</w:t>
            </w:r>
          </w:p>
        </w:tc>
        <w:tc>
          <w:tcPr>
            <w:tcW w:w="5386" w:type="dxa"/>
            <w:vAlign w:val="center"/>
          </w:tcPr>
          <w:p w14:paraId="29410970">
            <w:pPr>
              <w:pStyle w:val="11"/>
            </w:pPr>
            <w:r>
              <w:t>绩效指标描述</w:t>
            </w:r>
          </w:p>
        </w:tc>
        <w:tc>
          <w:tcPr>
            <w:tcW w:w="2268" w:type="dxa"/>
            <w:vAlign w:val="center"/>
          </w:tcPr>
          <w:p w14:paraId="3147C028">
            <w:pPr>
              <w:pStyle w:val="11"/>
            </w:pPr>
            <w:r>
              <w:t>指标值</w:t>
            </w:r>
          </w:p>
        </w:tc>
        <w:tc>
          <w:tcPr>
            <w:tcW w:w="1276" w:type="dxa"/>
            <w:vAlign w:val="center"/>
          </w:tcPr>
          <w:p w14:paraId="7D0977E9">
            <w:pPr>
              <w:pStyle w:val="11"/>
            </w:pPr>
            <w:r>
              <w:t>指标值确定依据</w:t>
            </w:r>
          </w:p>
        </w:tc>
      </w:tr>
      <w:tr w14:paraId="5EEE5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CD34D">
            <w:pPr>
              <w:pStyle w:val="12"/>
            </w:pPr>
            <w:r>
              <w:t>产出指标</w:t>
            </w:r>
          </w:p>
        </w:tc>
        <w:tc>
          <w:tcPr>
            <w:tcW w:w="2268" w:type="dxa"/>
            <w:vAlign w:val="center"/>
          </w:tcPr>
          <w:p w14:paraId="18F58F65">
            <w:pPr>
              <w:pStyle w:val="13"/>
            </w:pPr>
            <w:r>
              <w:t>数量指标</w:t>
            </w:r>
          </w:p>
        </w:tc>
        <w:tc>
          <w:tcPr>
            <w:tcW w:w="2835" w:type="dxa"/>
            <w:vAlign w:val="center"/>
          </w:tcPr>
          <w:p w14:paraId="3252FAC9">
            <w:pPr>
              <w:pStyle w:val="13"/>
            </w:pPr>
            <w:r>
              <w:t>幼儿资助比例</w:t>
            </w:r>
          </w:p>
        </w:tc>
        <w:tc>
          <w:tcPr>
            <w:tcW w:w="5386" w:type="dxa"/>
            <w:vAlign w:val="center"/>
          </w:tcPr>
          <w:p w14:paraId="77362892">
            <w:pPr>
              <w:pStyle w:val="13"/>
            </w:pPr>
            <w:r>
              <w:t>按学前适龄在园儿童10%测算</w:t>
            </w:r>
          </w:p>
        </w:tc>
        <w:tc>
          <w:tcPr>
            <w:tcW w:w="2268" w:type="dxa"/>
            <w:vAlign w:val="center"/>
          </w:tcPr>
          <w:p w14:paraId="1754DEB5">
            <w:pPr>
              <w:pStyle w:val="13"/>
            </w:pPr>
            <w:r>
              <w:t>10%</w:t>
            </w:r>
          </w:p>
        </w:tc>
        <w:tc>
          <w:tcPr>
            <w:tcW w:w="1276" w:type="dxa"/>
            <w:vAlign w:val="center"/>
          </w:tcPr>
          <w:p w14:paraId="402BAEE8">
            <w:pPr>
              <w:pStyle w:val="13"/>
            </w:pPr>
            <w:r>
              <w:t>幼儿资助经费管理办法</w:t>
            </w:r>
          </w:p>
        </w:tc>
      </w:tr>
      <w:tr w14:paraId="5C23B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7B23"/>
        </w:tc>
        <w:tc>
          <w:tcPr>
            <w:tcW w:w="2268" w:type="dxa"/>
            <w:vAlign w:val="center"/>
          </w:tcPr>
          <w:p w14:paraId="0B86F5B5">
            <w:pPr>
              <w:pStyle w:val="13"/>
            </w:pPr>
            <w:r>
              <w:t>质量指标</w:t>
            </w:r>
          </w:p>
        </w:tc>
        <w:tc>
          <w:tcPr>
            <w:tcW w:w="2835" w:type="dxa"/>
            <w:vAlign w:val="center"/>
          </w:tcPr>
          <w:p w14:paraId="434EAD4E">
            <w:pPr>
              <w:pStyle w:val="13"/>
            </w:pPr>
            <w:r>
              <w:t>资助资金使用率</w:t>
            </w:r>
          </w:p>
        </w:tc>
        <w:tc>
          <w:tcPr>
            <w:tcW w:w="5386" w:type="dxa"/>
            <w:vAlign w:val="center"/>
          </w:tcPr>
          <w:p w14:paraId="65AC1ACA">
            <w:pPr>
              <w:pStyle w:val="13"/>
            </w:pPr>
            <w:r>
              <w:t>符合享受资助条件的学生应助尽助</w:t>
            </w:r>
          </w:p>
        </w:tc>
        <w:tc>
          <w:tcPr>
            <w:tcW w:w="2268" w:type="dxa"/>
            <w:vAlign w:val="center"/>
          </w:tcPr>
          <w:p w14:paraId="226AE11E">
            <w:pPr>
              <w:pStyle w:val="13"/>
            </w:pPr>
            <w:r>
              <w:t>≥100%</w:t>
            </w:r>
          </w:p>
        </w:tc>
        <w:tc>
          <w:tcPr>
            <w:tcW w:w="1276" w:type="dxa"/>
            <w:vAlign w:val="center"/>
          </w:tcPr>
          <w:p w14:paraId="4E2DBA87">
            <w:pPr>
              <w:pStyle w:val="13"/>
            </w:pPr>
            <w:r>
              <w:t>幼儿资助经费管理办法</w:t>
            </w:r>
          </w:p>
        </w:tc>
      </w:tr>
      <w:tr w14:paraId="175D0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7499D"/>
        </w:tc>
        <w:tc>
          <w:tcPr>
            <w:tcW w:w="2268" w:type="dxa"/>
            <w:vAlign w:val="center"/>
          </w:tcPr>
          <w:p w14:paraId="2540EDB5">
            <w:pPr>
              <w:pStyle w:val="13"/>
            </w:pPr>
            <w:r>
              <w:t>时效指标</w:t>
            </w:r>
          </w:p>
        </w:tc>
        <w:tc>
          <w:tcPr>
            <w:tcW w:w="2835" w:type="dxa"/>
            <w:vAlign w:val="center"/>
          </w:tcPr>
          <w:p w14:paraId="42A51AFB">
            <w:pPr>
              <w:pStyle w:val="13"/>
            </w:pPr>
            <w:r>
              <w:t>资金拨付率</w:t>
            </w:r>
          </w:p>
        </w:tc>
        <w:tc>
          <w:tcPr>
            <w:tcW w:w="5386" w:type="dxa"/>
            <w:vAlign w:val="center"/>
          </w:tcPr>
          <w:p w14:paraId="6DA7F6C0">
            <w:pPr>
              <w:pStyle w:val="13"/>
            </w:pPr>
            <w:r>
              <w:t>所有项目资金支付进度</w:t>
            </w:r>
          </w:p>
        </w:tc>
        <w:tc>
          <w:tcPr>
            <w:tcW w:w="2268" w:type="dxa"/>
            <w:vAlign w:val="center"/>
          </w:tcPr>
          <w:p w14:paraId="1C84DD41">
            <w:pPr>
              <w:pStyle w:val="13"/>
            </w:pPr>
            <w:r>
              <w:t>≥100%</w:t>
            </w:r>
          </w:p>
        </w:tc>
        <w:tc>
          <w:tcPr>
            <w:tcW w:w="1276" w:type="dxa"/>
            <w:vAlign w:val="center"/>
          </w:tcPr>
          <w:p w14:paraId="784ED0AD">
            <w:pPr>
              <w:pStyle w:val="13"/>
            </w:pPr>
            <w:r>
              <w:t>幼儿资助经费管理办法</w:t>
            </w:r>
          </w:p>
        </w:tc>
      </w:tr>
      <w:tr w14:paraId="71FC1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4A78C"/>
        </w:tc>
        <w:tc>
          <w:tcPr>
            <w:tcW w:w="2268" w:type="dxa"/>
            <w:vAlign w:val="center"/>
          </w:tcPr>
          <w:p w14:paraId="24D99ED0">
            <w:pPr>
              <w:pStyle w:val="13"/>
            </w:pPr>
            <w:r>
              <w:t>成本指标</w:t>
            </w:r>
          </w:p>
        </w:tc>
        <w:tc>
          <w:tcPr>
            <w:tcW w:w="2835" w:type="dxa"/>
            <w:vAlign w:val="center"/>
          </w:tcPr>
          <w:p w14:paraId="0505DF49">
            <w:pPr>
              <w:pStyle w:val="13"/>
            </w:pPr>
            <w:r>
              <w:t>幼儿园生均成本</w:t>
            </w:r>
          </w:p>
        </w:tc>
        <w:tc>
          <w:tcPr>
            <w:tcW w:w="5386" w:type="dxa"/>
            <w:vAlign w:val="center"/>
          </w:tcPr>
          <w:p w14:paraId="4525E9BD">
            <w:pPr>
              <w:pStyle w:val="13"/>
            </w:pPr>
            <w:r>
              <w:t>按照幼儿园资助标准1000元/生/年</w:t>
            </w:r>
          </w:p>
        </w:tc>
        <w:tc>
          <w:tcPr>
            <w:tcW w:w="2268" w:type="dxa"/>
            <w:vAlign w:val="center"/>
          </w:tcPr>
          <w:p w14:paraId="2A2A1942">
            <w:pPr>
              <w:pStyle w:val="13"/>
            </w:pPr>
            <w:r>
              <w:t>1000元</w:t>
            </w:r>
          </w:p>
        </w:tc>
        <w:tc>
          <w:tcPr>
            <w:tcW w:w="1276" w:type="dxa"/>
            <w:vAlign w:val="center"/>
          </w:tcPr>
          <w:p w14:paraId="74C767B6">
            <w:pPr>
              <w:pStyle w:val="13"/>
            </w:pPr>
            <w:r>
              <w:t>幼儿资助经费管理办法</w:t>
            </w:r>
          </w:p>
        </w:tc>
      </w:tr>
      <w:tr w14:paraId="572C7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CA466F">
            <w:pPr>
              <w:pStyle w:val="12"/>
            </w:pPr>
            <w:r>
              <w:t>效益指标</w:t>
            </w:r>
          </w:p>
        </w:tc>
        <w:tc>
          <w:tcPr>
            <w:tcW w:w="2268" w:type="dxa"/>
            <w:vAlign w:val="center"/>
          </w:tcPr>
          <w:p w14:paraId="0B0990FD">
            <w:pPr>
              <w:pStyle w:val="13"/>
            </w:pPr>
            <w:r>
              <w:t>可持续影响指标</w:t>
            </w:r>
          </w:p>
        </w:tc>
        <w:tc>
          <w:tcPr>
            <w:tcW w:w="2835" w:type="dxa"/>
            <w:vAlign w:val="center"/>
          </w:tcPr>
          <w:p w14:paraId="07E040FB">
            <w:pPr>
              <w:pStyle w:val="13"/>
            </w:pPr>
            <w:r>
              <w:t>幼儿园正常运转</w:t>
            </w:r>
          </w:p>
        </w:tc>
        <w:tc>
          <w:tcPr>
            <w:tcW w:w="5386" w:type="dxa"/>
            <w:vAlign w:val="center"/>
          </w:tcPr>
          <w:p w14:paraId="73C193C6">
            <w:pPr>
              <w:pStyle w:val="13"/>
            </w:pPr>
            <w:r>
              <w:t>幼儿受教育年限</w:t>
            </w:r>
          </w:p>
        </w:tc>
        <w:tc>
          <w:tcPr>
            <w:tcW w:w="2268" w:type="dxa"/>
            <w:vAlign w:val="center"/>
          </w:tcPr>
          <w:p w14:paraId="599AC940">
            <w:pPr>
              <w:pStyle w:val="13"/>
            </w:pPr>
            <w:r>
              <w:t>3年</w:t>
            </w:r>
          </w:p>
        </w:tc>
        <w:tc>
          <w:tcPr>
            <w:tcW w:w="1276" w:type="dxa"/>
            <w:vAlign w:val="center"/>
          </w:tcPr>
          <w:p w14:paraId="5AE65136">
            <w:pPr>
              <w:pStyle w:val="13"/>
            </w:pPr>
            <w:r>
              <w:t>幼儿资助经费管理办法</w:t>
            </w:r>
          </w:p>
        </w:tc>
      </w:tr>
      <w:tr w14:paraId="159A8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C0B2C2">
            <w:pPr>
              <w:pStyle w:val="12"/>
            </w:pPr>
            <w:r>
              <w:t>满意度指标</w:t>
            </w:r>
          </w:p>
        </w:tc>
        <w:tc>
          <w:tcPr>
            <w:tcW w:w="2268" w:type="dxa"/>
            <w:vAlign w:val="center"/>
          </w:tcPr>
          <w:p w14:paraId="4E375AF3">
            <w:pPr>
              <w:pStyle w:val="13"/>
            </w:pPr>
            <w:r>
              <w:t>服务对象满意度指标</w:t>
            </w:r>
          </w:p>
        </w:tc>
        <w:tc>
          <w:tcPr>
            <w:tcW w:w="2835" w:type="dxa"/>
            <w:vAlign w:val="center"/>
          </w:tcPr>
          <w:p w14:paraId="3073C9E5">
            <w:pPr>
              <w:pStyle w:val="13"/>
            </w:pPr>
            <w:r>
              <w:t>受益幼儿家长及调查满意度</w:t>
            </w:r>
          </w:p>
        </w:tc>
        <w:tc>
          <w:tcPr>
            <w:tcW w:w="5386" w:type="dxa"/>
            <w:vAlign w:val="center"/>
          </w:tcPr>
          <w:p w14:paraId="585639FB">
            <w:pPr>
              <w:pStyle w:val="13"/>
            </w:pPr>
            <w:r>
              <w:t>学生、教师及家长对学校保教保育工作满意度情况</w:t>
            </w:r>
          </w:p>
        </w:tc>
        <w:tc>
          <w:tcPr>
            <w:tcW w:w="2268" w:type="dxa"/>
            <w:vAlign w:val="center"/>
          </w:tcPr>
          <w:p w14:paraId="06BAB076">
            <w:pPr>
              <w:pStyle w:val="13"/>
            </w:pPr>
            <w:r>
              <w:t>≥95%</w:t>
            </w:r>
          </w:p>
        </w:tc>
        <w:tc>
          <w:tcPr>
            <w:tcW w:w="1276" w:type="dxa"/>
            <w:vAlign w:val="center"/>
          </w:tcPr>
          <w:p w14:paraId="7755D352">
            <w:pPr>
              <w:pStyle w:val="13"/>
            </w:pPr>
            <w:r>
              <w:t>幼儿资助经费管理办法</w:t>
            </w:r>
          </w:p>
        </w:tc>
      </w:tr>
    </w:tbl>
    <w:p w14:paraId="0C84F920">
      <w:pPr>
        <w:sectPr>
          <w:pgSz w:w="16840" w:h="11900" w:orient="landscape"/>
          <w:pgMar w:top="1361" w:right="1020" w:bottom="1134" w:left="1020" w:header="720" w:footer="720" w:gutter="0"/>
          <w:cols w:space="720" w:num="1"/>
        </w:sectPr>
      </w:pPr>
    </w:p>
    <w:p w14:paraId="0C14F1C3">
      <w:pPr>
        <w:spacing w:before="0" w:after="0"/>
        <w:ind w:firstLine="560"/>
        <w:jc w:val="left"/>
        <w:outlineLvl w:val="9"/>
      </w:pPr>
      <w:r>
        <w:rPr>
          <w:rFonts w:ascii="方正仿宋_GBK" w:hAnsi="方正仿宋_GBK" w:eastAsia="方正仿宋_GBK" w:cs="方正仿宋_GBK"/>
          <w:b/>
          <w:color w:val="000000"/>
          <w:sz w:val="28"/>
        </w:rPr>
        <w:t>5、县级配套/县直幼儿园学前教育幼儿资助绩效目标表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34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75CEB">
            <w:pPr>
              <w:pStyle w:val="14"/>
            </w:pPr>
            <w:r>
              <w:t>单位：万元</w:t>
            </w:r>
          </w:p>
        </w:tc>
      </w:tr>
      <w:tr w14:paraId="68C8F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5CC6B">
            <w:pPr>
              <w:pStyle w:val="11"/>
            </w:pPr>
            <w:r>
              <w:t>项目编码</w:t>
            </w:r>
          </w:p>
        </w:tc>
        <w:tc>
          <w:tcPr>
            <w:tcW w:w="5103" w:type="dxa"/>
            <w:gridSpan w:val="2"/>
            <w:vAlign w:val="center"/>
          </w:tcPr>
          <w:p w14:paraId="01777AFA">
            <w:pPr>
              <w:pStyle w:val="13"/>
            </w:pPr>
            <w:r>
              <w:t>13052525P00000210027M</w:t>
            </w:r>
          </w:p>
        </w:tc>
        <w:tc>
          <w:tcPr>
            <w:tcW w:w="2835" w:type="dxa"/>
            <w:vAlign w:val="center"/>
          </w:tcPr>
          <w:p w14:paraId="7C4D0AFD">
            <w:pPr>
              <w:pStyle w:val="11"/>
            </w:pPr>
            <w:r>
              <w:t>项目名称</w:t>
            </w:r>
          </w:p>
        </w:tc>
        <w:tc>
          <w:tcPr>
            <w:tcW w:w="6095" w:type="dxa"/>
            <w:gridSpan w:val="3"/>
            <w:vAlign w:val="center"/>
          </w:tcPr>
          <w:p w14:paraId="236C7D5F">
            <w:pPr>
              <w:pStyle w:val="13"/>
            </w:pPr>
            <w:r>
              <w:t>县级配套/县直幼儿园学前教育幼儿资助</w:t>
            </w:r>
          </w:p>
        </w:tc>
      </w:tr>
      <w:tr w14:paraId="34726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0B88B">
            <w:pPr>
              <w:pStyle w:val="11"/>
            </w:pPr>
            <w:r>
              <w:t>预算规模及资金用途</w:t>
            </w:r>
          </w:p>
        </w:tc>
        <w:tc>
          <w:tcPr>
            <w:tcW w:w="2268" w:type="dxa"/>
            <w:vAlign w:val="center"/>
          </w:tcPr>
          <w:p w14:paraId="255AC65F">
            <w:pPr>
              <w:pStyle w:val="11"/>
            </w:pPr>
            <w:r>
              <w:t>预算数</w:t>
            </w:r>
          </w:p>
        </w:tc>
        <w:tc>
          <w:tcPr>
            <w:tcW w:w="2835" w:type="dxa"/>
            <w:vAlign w:val="center"/>
          </w:tcPr>
          <w:p w14:paraId="22574F28">
            <w:pPr>
              <w:pStyle w:val="13"/>
            </w:pPr>
            <w:r>
              <w:t>0.46</w:t>
            </w:r>
          </w:p>
        </w:tc>
        <w:tc>
          <w:tcPr>
            <w:tcW w:w="2835" w:type="dxa"/>
            <w:vAlign w:val="center"/>
          </w:tcPr>
          <w:p w14:paraId="6CE308B2">
            <w:pPr>
              <w:pStyle w:val="11"/>
            </w:pPr>
            <w:r>
              <w:t>其中：财政    资金</w:t>
            </w:r>
          </w:p>
        </w:tc>
        <w:tc>
          <w:tcPr>
            <w:tcW w:w="2551" w:type="dxa"/>
            <w:vAlign w:val="center"/>
          </w:tcPr>
          <w:p w14:paraId="18B8B96F">
            <w:pPr>
              <w:pStyle w:val="13"/>
            </w:pPr>
            <w:r>
              <w:t>0.46</w:t>
            </w:r>
          </w:p>
        </w:tc>
        <w:tc>
          <w:tcPr>
            <w:tcW w:w="2268" w:type="dxa"/>
            <w:vAlign w:val="center"/>
          </w:tcPr>
          <w:p w14:paraId="4273BBA7">
            <w:pPr>
              <w:pStyle w:val="11"/>
            </w:pPr>
            <w:r>
              <w:t>其他资金</w:t>
            </w:r>
          </w:p>
        </w:tc>
        <w:tc>
          <w:tcPr>
            <w:tcW w:w="1276" w:type="dxa"/>
            <w:vAlign w:val="center"/>
          </w:tcPr>
          <w:p w14:paraId="6159A4DF">
            <w:pPr>
              <w:pStyle w:val="13"/>
            </w:pPr>
            <w:r>
              <w:t xml:space="preserve"> </w:t>
            </w:r>
          </w:p>
        </w:tc>
      </w:tr>
      <w:tr w14:paraId="7149A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EFEF9"/>
        </w:tc>
        <w:tc>
          <w:tcPr>
            <w:tcW w:w="14033" w:type="dxa"/>
            <w:gridSpan w:val="6"/>
            <w:vAlign w:val="center"/>
          </w:tcPr>
          <w:p w14:paraId="496D76EF">
            <w:pPr>
              <w:pStyle w:val="13"/>
            </w:pPr>
            <w:r>
              <w:t>用于保障落实建档立卡及家庭经济困难儿童资助所需资金，确保建档立卡等家庭经济困难幼儿优先获得资助</w:t>
            </w:r>
          </w:p>
        </w:tc>
      </w:tr>
      <w:tr w14:paraId="2B59F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8A664">
            <w:pPr>
              <w:pStyle w:val="11"/>
            </w:pPr>
            <w:r>
              <w:t>资金支出计划（%）</w:t>
            </w:r>
          </w:p>
        </w:tc>
        <w:tc>
          <w:tcPr>
            <w:tcW w:w="5103" w:type="dxa"/>
            <w:gridSpan w:val="2"/>
            <w:vAlign w:val="center"/>
          </w:tcPr>
          <w:p w14:paraId="7BC2F3B9">
            <w:pPr>
              <w:pStyle w:val="11"/>
            </w:pPr>
            <w:r>
              <w:t>3月底</w:t>
            </w:r>
          </w:p>
        </w:tc>
        <w:tc>
          <w:tcPr>
            <w:tcW w:w="2835" w:type="dxa"/>
            <w:vAlign w:val="center"/>
          </w:tcPr>
          <w:p w14:paraId="210AD94E">
            <w:pPr>
              <w:pStyle w:val="11"/>
            </w:pPr>
            <w:r>
              <w:t>6月底</w:t>
            </w:r>
          </w:p>
        </w:tc>
        <w:tc>
          <w:tcPr>
            <w:tcW w:w="2551" w:type="dxa"/>
            <w:vAlign w:val="center"/>
          </w:tcPr>
          <w:p w14:paraId="1E95F3F9">
            <w:pPr>
              <w:pStyle w:val="11"/>
            </w:pPr>
            <w:r>
              <w:t>10月底</w:t>
            </w:r>
          </w:p>
        </w:tc>
        <w:tc>
          <w:tcPr>
            <w:tcW w:w="3544" w:type="dxa"/>
            <w:gridSpan w:val="2"/>
            <w:vAlign w:val="center"/>
          </w:tcPr>
          <w:p w14:paraId="1270A4A2">
            <w:pPr>
              <w:pStyle w:val="11"/>
            </w:pPr>
            <w:r>
              <w:t>12月底</w:t>
            </w:r>
          </w:p>
        </w:tc>
      </w:tr>
      <w:tr w14:paraId="18670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DF88B"/>
        </w:tc>
        <w:tc>
          <w:tcPr>
            <w:tcW w:w="5103" w:type="dxa"/>
            <w:gridSpan w:val="2"/>
            <w:vAlign w:val="center"/>
          </w:tcPr>
          <w:p w14:paraId="678B47DF">
            <w:pPr>
              <w:pStyle w:val="12"/>
            </w:pPr>
            <w:r>
              <w:t xml:space="preserve"> </w:t>
            </w:r>
          </w:p>
        </w:tc>
        <w:tc>
          <w:tcPr>
            <w:tcW w:w="2835" w:type="dxa"/>
            <w:vAlign w:val="center"/>
          </w:tcPr>
          <w:p w14:paraId="2B540F4F">
            <w:pPr>
              <w:pStyle w:val="12"/>
            </w:pPr>
            <w:r>
              <w:t>50%</w:t>
            </w:r>
          </w:p>
        </w:tc>
        <w:tc>
          <w:tcPr>
            <w:tcW w:w="2551" w:type="dxa"/>
            <w:vAlign w:val="center"/>
          </w:tcPr>
          <w:p w14:paraId="2A53A832">
            <w:pPr>
              <w:pStyle w:val="12"/>
            </w:pPr>
            <w:r>
              <w:t>100%</w:t>
            </w:r>
          </w:p>
        </w:tc>
        <w:tc>
          <w:tcPr>
            <w:tcW w:w="3544" w:type="dxa"/>
            <w:gridSpan w:val="2"/>
            <w:vAlign w:val="center"/>
          </w:tcPr>
          <w:p w14:paraId="0B7E3DBD">
            <w:pPr>
              <w:pStyle w:val="12"/>
            </w:pPr>
            <w:r>
              <w:t>100%</w:t>
            </w:r>
          </w:p>
        </w:tc>
      </w:tr>
      <w:tr w14:paraId="730D4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38C45">
            <w:pPr>
              <w:pStyle w:val="11"/>
            </w:pPr>
            <w:r>
              <w:t>绩效目标</w:t>
            </w:r>
          </w:p>
        </w:tc>
        <w:tc>
          <w:tcPr>
            <w:tcW w:w="14033" w:type="dxa"/>
            <w:gridSpan w:val="6"/>
            <w:vAlign w:val="center"/>
          </w:tcPr>
          <w:p w14:paraId="214AACDE">
            <w:pPr>
              <w:pStyle w:val="13"/>
            </w:pPr>
            <w:r>
              <w:t>1.减轻学前受教育幼儿家庭经济负担，提高学前幼儿入学率。</w:t>
            </w:r>
          </w:p>
          <w:p w14:paraId="4923E948">
            <w:pPr>
              <w:pStyle w:val="13"/>
            </w:pPr>
            <w:r>
              <w:t>2.保障落实建档立卡及家庭经济困难儿童资助所需资金，确保建档立卡等家庭经济困难幼儿优先获得资助</w:t>
            </w:r>
          </w:p>
        </w:tc>
      </w:tr>
    </w:tbl>
    <w:p w14:paraId="6D1515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98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C6B63">
            <w:pPr>
              <w:pStyle w:val="11"/>
            </w:pPr>
            <w:r>
              <w:t>一级指标</w:t>
            </w:r>
          </w:p>
        </w:tc>
        <w:tc>
          <w:tcPr>
            <w:tcW w:w="2268" w:type="dxa"/>
            <w:vAlign w:val="center"/>
          </w:tcPr>
          <w:p w14:paraId="55872FCA">
            <w:pPr>
              <w:pStyle w:val="11"/>
            </w:pPr>
            <w:r>
              <w:t>二级指标</w:t>
            </w:r>
          </w:p>
        </w:tc>
        <w:tc>
          <w:tcPr>
            <w:tcW w:w="2835" w:type="dxa"/>
            <w:vAlign w:val="center"/>
          </w:tcPr>
          <w:p w14:paraId="79E54C38">
            <w:pPr>
              <w:pStyle w:val="11"/>
            </w:pPr>
            <w:r>
              <w:t>三级指标</w:t>
            </w:r>
          </w:p>
        </w:tc>
        <w:tc>
          <w:tcPr>
            <w:tcW w:w="5386" w:type="dxa"/>
            <w:vAlign w:val="center"/>
          </w:tcPr>
          <w:p w14:paraId="1F0B555C">
            <w:pPr>
              <w:pStyle w:val="11"/>
            </w:pPr>
            <w:r>
              <w:t>绩效指标描述</w:t>
            </w:r>
          </w:p>
        </w:tc>
        <w:tc>
          <w:tcPr>
            <w:tcW w:w="2268" w:type="dxa"/>
            <w:vAlign w:val="center"/>
          </w:tcPr>
          <w:p w14:paraId="0406CD93">
            <w:pPr>
              <w:pStyle w:val="11"/>
            </w:pPr>
            <w:r>
              <w:t>指标值</w:t>
            </w:r>
          </w:p>
        </w:tc>
        <w:tc>
          <w:tcPr>
            <w:tcW w:w="1276" w:type="dxa"/>
            <w:vAlign w:val="center"/>
          </w:tcPr>
          <w:p w14:paraId="06148CC7">
            <w:pPr>
              <w:pStyle w:val="11"/>
            </w:pPr>
            <w:r>
              <w:t>指标值确定依据</w:t>
            </w:r>
          </w:p>
        </w:tc>
      </w:tr>
      <w:tr w14:paraId="18DC8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58DA9">
            <w:pPr>
              <w:pStyle w:val="12"/>
            </w:pPr>
            <w:r>
              <w:t>产出指标</w:t>
            </w:r>
          </w:p>
        </w:tc>
        <w:tc>
          <w:tcPr>
            <w:tcW w:w="2268" w:type="dxa"/>
            <w:vAlign w:val="center"/>
          </w:tcPr>
          <w:p w14:paraId="2D3A15C4">
            <w:pPr>
              <w:pStyle w:val="13"/>
            </w:pPr>
            <w:r>
              <w:t>数量指标</w:t>
            </w:r>
          </w:p>
        </w:tc>
        <w:tc>
          <w:tcPr>
            <w:tcW w:w="2835" w:type="dxa"/>
            <w:vAlign w:val="center"/>
          </w:tcPr>
          <w:p w14:paraId="2CF9775D">
            <w:pPr>
              <w:pStyle w:val="13"/>
            </w:pPr>
            <w:r>
              <w:t>幼儿资助比例</w:t>
            </w:r>
          </w:p>
        </w:tc>
        <w:tc>
          <w:tcPr>
            <w:tcW w:w="5386" w:type="dxa"/>
            <w:vAlign w:val="center"/>
          </w:tcPr>
          <w:p w14:paraId="1D15241B">
            <w:pPr>
              <w:pStyle w:val="13"/>
            </w:pPr>
            <w:r>
              <w:t>按学前适龄在园儿童实际需资助人数测算</w:t>
            </w:r>
          </w:p>
        </w:tc>
        <w:tc>
          <w:tcPr>
            <w:tcW w:w="2268" w:type="dxa"/>
            <w:vAlign w:val="center"/>
          </w:tcPr>
          <w:p w14:paraId="3D3117E8">
            <w:pPr>
              <w:pStyle w:val="13"/>
            </w:pPr>
            <w:r>
              <w:t>330人</w:t>
            </w:r>
          </w:p>
        </w:tc>
        <w:tc>
          <w:tcPr>
            <w:tcW w:w="1276" w:type="dxa"/>
            <w:vAlign w:val="center"/>
          </w:tcPr>
          <w:p w14:paraId="678F8B0D">
            <w:pPr>
              <w:pStyle w:val="13"/>
            </w:pPr>
            <w:r>
              <w:t>发展学前教育资金管理办法</w:t>
            </w:r>
          </w:p>
        </w:tc>
      </w:tr>
      <w:tr w14:paraId="14BF5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86F71"/>
        </w:tc>
        <w:tc>
          <w:tcPr>
            <w:tcW w:w="2268" w:type="dxa"/>
            <w:vAlign w:val="center"/>
          </w:tcPr>
          <w:p w14:paraId="3AB9C7C2">
            <w:pPr>
              <w:pStyle w:val="13"/>
            </w:pPr>
            <w:r>
              <w:t>质量指标</w:t>
            </w:r>
          </w:p>
        </w:tc>
        <w:tc>
          <w:tcPr>
            <w:tcW w:w="2835" w:type="dxa"/>
            <w:vAlign w:val="center"/>
          </w:tcPr>
          <w:p w14:paraId="78F152A4">
            <w:pPr>
              <w:pStyle w:val="13"/>
            </w:pPr>
            <w:r>
              <w:t>学前教育资助制度落实情况</w:t>
            </w:r>
          </w:p>
        </w:tc>
        <w:tc>
          <w:tcPr>
            <w:tcW w:w="5386" w:type="dxa"/>
            <w:vAlign w:val="center"/>
          </w:tcPr>
          <w:p w14:paraId="3A6021FB">
            <w:pPr>
              <w:pStyle w:val="13"/>
            </w:pPr>
            <w:r>
              <w:t>符合享受资助条件的学生覆盖率</w:t>
            </w:r>
          </w:p>
        </w:tc>
        <w:tc>
          <w:tcPr>
            <w:tcW w:w="2268" w:type="dxa"/>
            <w:vAlign w:val="center"/>
          </w:tcPr>
          <w:p w14:paraId="331A2404">
            <w:pPr>
              <w:pStyle w:val="13"/>
            </w:pPr>
            <w:r>
              <w:t>≥100%</w:t>
            </w:r>
          </w:p>
        </w:tc>
        <w:tc>
          <w:tcPr>
            <w:tcW w:w="1276" w:type="dxa"/>
            <w:vAlign w:val="center"/>
          </w:tcPr>
          <w:p w14:paraId="003FBBC6">
            <w:pPr>
              <w:pStyle w:val="13"/>
            </w:pPr>
            <w:r>
              <w:t>发展学前教育资金管理办法</w:t>
            </w:r>
          </w:p>
        </w:tc>
      </w:tr>
      <w:tr w14:paraId="00719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9A89C"/>
        </w:tc>
        <w:tc>
          <w:tcPr>
            <w:tcW w:w="2268" w:type="dxa"/>
            <w:vAlign w:val="center"/>
          </w:tcPr>
          <w:p w14:paraId="1DE09693">
            <w:pPr>
              <w:pStyle w:val="13"/>
            </w:pPr>
            <w:r>
              <w:t>时效指标</w:t>
            </w:r>
          </w:p>
        </w:tc>
        <w:tc>
          <w:tcPr>
            <w:tcW w:w="2835" w:type="dxa"/>
            <w:vAlign w:val="center"/>
          </w:tcPr>
          <w:p w14:paraId="21B6A6FD">
            <w:pPr>
              <w:pStyle w:val="13"/>
            </w:pPr>
            <w:r>
              <w:t>资金拨付率</w:t>
            </w:r>
          </w:p>
        </w:tc>
        <w:tc>
          <w:tcPr>
            <w:tcW w:w="5386" w:type="dxa"/>
            <w:vAlign w:val="center"/>
          </w:tcPr>
          <w:p w14:paraId="636187F4">
            <w:pPr>
              <w:pStyle w:val="13"/>
            </w:pPr>
            <w:r>
              <w:t>按进度进行资金支付</w:t>
            </w:r>
          </w:p>
        </w:tc>
        <w:tc>
          <w:tcPr>
            <w:tcW w:w="2268" w:type="dxa"/>
            <w:vAlign w:val="center"/>
          </w:tcPr>
          <w:p w14:paraId="05F89328">
            <w:pPr>
              <w:pStyle w:val="13"/>
            </w:pPr>
            <w:r>
              <w:t>≥100%</w:t>
            </w:r>
          </w:p>
        </w:tc>
        <w:tc>
          <w:tcPr>
            <w:tcW w:w="1276" w:type="dxa"/>
            <w:vAlign w:val="center"/>
          </w:tcPr>
          <w:p w14:paraId="16C1BABB">
            <w:pPr>
              <w:pStyle w:val="13"/>
            </w:pPr>
            <w:r>
              <w:t>发展学前教育资金管理办法</w:t>
            </w:r>
          </w:p>
        </w:tc>
      </w:tr>
      <w:tr w14:paraId="732DD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9BE1F"/>
        </w:tc>
        <w:tc>
          <w:tcPr>
            <w:tcW w:w="2268" w:type="dxa"/>
            <w:vAlign w:val="center"/>
          </w:tcPr>
          <w:p w14:paraId="269C5315">
            <w:pPr>
              <w:pStyle w:val="13"/>
            </w:pPr>
            <w:r>
              <w:t>成本指标</w:t>
            </w:r>
          </w:p>
        </w:tc>
        <w:tc>
          <w:tcPr>
            <w:tcW w:w="2835" w:type="dxa"/>
            <w:vAlign w:val="center"/>
          </w:tcPr>
          <w:p w14:paraId="517C0E9A">
            <w:pPr>
              <w:pStyle w:val="13"/>
            </w:pPr>
            <w:r>
              <w:t>生均拨款标准</w:t>
            </w:r>
          </w:p>
        </w:tc>
        <w:tc>
          <w:tcPr>
            <w:tcW w:w="5386" w:type="dxa"/>
            <w:vAlign w:val="center"/>
          </w:tcPr>
          <w:p w14:paraId="5D45E756">
            <w:pPr>
              <w:pStyle w:val="13"/>
            </w:pPr>
            <w:r>
              <w:t>按规定标准落实</w:t>
            </w:r>
          </w:p>
        </w:tc>
        <w:tc>
          <w:tcPr>
            <w:tcW w:w="2268" w:type="dxa"/>
            <w:vAlign w:val="center"/>
          </w:tcPr>
          <w:p w14:paraId="7A2DD123">
            <w:pPr>
              <w:pStyle w:val="13"/>
            </w:pPr>
            <w:r>
              <w:t>500元/生/半年</w:t>
            </w:r>
          </w:p>
        </w:tc>
        <w:tc>
          <w:tcPr>
            <w:tcW w:w="1276" w:type="dxa"/>
            <w:vAlign w:val="center"/>
          </w:tcPr>
          <w:p w14:paraId="2882D40E">
            <w:pPr>
              <w:pStyle w:val="13"/>
            </w:pPr>
            <w:r>
              <w:t>发展学前教育资金管理办法</w:t>
            </w:r>
          </w:p>
        </w:tc>
      </w:tr>
      <w:tr w14:paraId="11B81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7F6AB">
            <w:pPr>
              <w:pStyle w:val="12"/>
            </w:pPr>
            <w:r>
              <w:t>效益指标</w:t>
            </w:r>
          </w:p>
        </w:tc>
        <w:tc>
          <w:tcPr>
            <w:tcW w:w="2268" w:type="dxa"/>
            <w:vAlign w:val="center"/>
          </w:tcPr>
          <w:p w14:paraId="12503678">
            <w:pPr>
              <w:pStyle w:val="13"/>
            </w:pPr>
            <w:r>
              <w:t>可持续影响指标</w:t>
            </w:r>
          </w:p>
        </w:tc>
        <w:tc>
          <w:tcPr>
            <w:tcW w:w="2835" w:type="dxa"/>
            <w:vAlign w:val="center"/>
          </w:tcPr>
          <w:p w14:paraId="081E7424">
            <w:pPr>
              <w:pStyle w:val="13"/>
            </w:pPr>
            <w:r>
              <w:t>教育发展水平明显好转</w:t>
            </w:r>
          </w:p>
        </w:tc>
        <w:tc>
          <w:tcPr>
            <w:tcW w:w="5386" w:type="dxa"/>
            <w:vAlign w:val="center"/>
          </w:tcPr>
          <w:p w14:paraId="031B41DD">
            <w:pPr>
              <w:pStyle w:val="13"/>
            </w:pPr>
            <w:r>
              <w:t>幼儿受教育年限</w:t>
            </w:r>
          </w:p>
        </w:tc>
        <w:tc>
          <w:tcPr>
            <w:tcW w:w="2268" w:type="dxa"/>
            <w:vAlign w:val="center"/>
          </w:tcPr>
          <w:p w14:paraId="22EB9E8E">
            <w:pPr>
              <w:pStyle w:val="13"/>
            </w:pPr>
            <w:r>
              <w:t>3年</w:t>
            </w:r>
          </w:p>
        </w:tc>
        <w:tc>
          <w:tcPr>
            <w:tcW w:w="1276" w:type="dxa"/>
            <w:vAlign w:val="center"/>
          </w:tcPr>
          <w:p w14:paraId="16234A81">
            <w:pPr>
              <w:pStyle w:val="13"/>
            </w:pPr>
            <w:r>
              <w:t>发展学前教育资金管理办法</w:t>
            </w:r>
          </w:p>
        </w:tc>
      </w:tr>
      <w:tr w14:paraId="77F96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4A0D5B">
            <w:pPr>
              <w:pStyle w:val="12"/>
            </w:pPr>
            <w:r>
              <w:t>满意度指标</w:t>
            </w:r>
          </w:p>
        </w:tc>
        <w:tc>
          <w:tcPr>
            <w:tcW w:w="2268" w:type="dxa"/>
            <w:vAlign w:val="center"/>
          </w:tcPr>
          <w:p w14:paraId="15C1AB86">
            <w:pPr>
              <w:pStyle w:val="13"/>
            </w:pPr>
            <w:r>
              <w:t>服务对象满意度指标</w:t>
            </w:r>
          </w:p>
        </w:tc>
        <w:tc>
          <w:tcPr>
            <w:tcW w:w="2835" w:type="dxa"/>
            <w:vAlign w:val="center"/>
          </w:tcPr>
          <w:p w14:paraId="49CD3A9A">
            <w:pPr>
              <w:pStyle w:val="13"/>
            </w:pPr>
            <w:r>
              <w:t>受益幼儿家长及调查满意度</w:t>
            </w:r>
          </w:p>
        </w:tc>
        <w:tc>
          <w:tcPr>
            <w:tcW w:w="5386" w:type="dxa"/>
            <w:vAlign w:val="center"/>
          </w:tcPr>
          <w:p w14:paraId="02523493">
            <w:pPr>
              <w:pStyle w:val="13"/>
            </w:pPr>
            <w:r>
              <w:t>学生、教师及家长对学校保教保育工作满意度情况</w:t>
            </w:r>
          </w:p>
        </w:tc>
        <w:tc>
          <w:tcPr>
            <w:tcW w:w="2268" w:type="dxa"/>
            <w:vAlign w:val="center"/>
          </w:tcPr>
          <w:p w14:paraId="2815BA0E">
            <w:pPr>
              <w:pStyle w:val="13"/>
            </w:pPr>
            <w:r>
              <w:t>≥95%</w:t>
            </w:r>
          </w:p>
        </w:tc>
        <w:tc>
          <w:tcPr>
            <w:tcW w:w="1276" w:type="dxa"/>
            <w:vAlign w:val="center"/>
          </w:tcPr>
          <w:p w14:paraId="6B7E94FB">
            <w:pPr>
              <w:pStyle w:val="13"/>
            </w:pPr>
            <w:r>
              <w:t>调查问卷</w:t>
            </w:r>
          </w:p>
        </w:tc>
      </w:tr>
    </w:tbl>
    <w:p w14:paraId="5E6960D0">
      <w:pPr>
        <w:sectPr>
          <w:pgSz w:w="16840" w:h="11900" w:orient="landscape"/>
          <w:pgMar w:top="1361" w:right="1020" w:bottom="1134" w:left="1020" w:header="720" w:footer="720" w:gutter="0"/>
          <w:cols w:space="720" w:num="1"/>
        </w:sectPr>
      </w:pPr>
    </w:p>
    <w:p w14:paraId="4098BB20">
      <w:pPr>
        <w:spacing w:before="0" w:after="0"/>
        <w:ind w:firstLine="560"/>
        <w:jc w:val="left"/>
        <w:outlineLvl w:val="9"/>
      </w:pPr>
      <w:r>
        <w:rPr>
          <w:rFonts w:ascii="方正仿宋_GBK" w:hAnsi="方正仿宋_GBK" w:eastAsia="方正仿宋_GBK" w:cs="方正仿宋_GBK"/>
          <w:b/>
          <w:color w:val="000000"/>
          <w:sz w:val="28"/>
        </w:rPr>
        <w:t>6、县级资金/县直幼儿园公用经费绩效目标表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244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319A1">
            <w:pPr>
              <w:pStyle w:val="14"/>
            </w:pPr>
            <w:r>
              <w:t>单位：万元</w:t>
            </w:r>
          </w:p>
        </w:tc>
      </w:tr>
      <w:tr w14:paraId="07428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DF648B">
            <w:pPr>
              <w:pStyle w:val="11"/>
            </w:pPr>
            <w:r>
              <w:t>项目编码</w:t>
            </w:r>
          </w:p>
        </w:tc>
        <w:tc>
          <w:tcPr>
            <w:tcW w:w="5103" w:type="dxa"/>
            <w:gridSpan w:val="2"/>
            <w:vAlign w:val="center"/>
          </w:tcPr>
          <w:p w14:paraId="0EDE73F6">
            <w:pPr>
              <w:pStyle w:val="13"/>
            </w:pPr>
            <w:r>
              <w:t>13052524P00875610083M</w:t>
            </w:r>
          </w:p>
        </w:tc>
        <w:tc>
          <w:tcPr>
            <w:tcW w:w="2835" w:type="dxa"/>
            <w:vAlign w:val="center"/>
          </w:tcPr>
          <w:p w14:paraId="0F3CEDB9">
            <w:pPr>
              <w:pStyle w:val="11"/>
            </w:pPr>
            <w:r>
              <w:t>项目名称</w:t>
            </w:r>
          </w:p>
        </w:tc>
        <w:tc>
          <w:tcPr>
            <w:tcW w:w="6095" w:type="dxa"/>
            <w:gridSpan w:val="3"/>
            <w:vAlign w:val="center"/>
          </w:tcPr>
          <w:p w14:paraId="6B53BF29">
            <w:pPr>
              <w:pStyle w:val="13"/>
            </w:pPr>
            <w:r>
              <w:t>县级资金/县直幼儿园公用经费</w:t>
            </w:r>
          </w:p>
        </w:tc>
      </w:tr>
      <w:tr w14:paraId="5BD4D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EA175">
            <w:pPr>
              <w:pStyle w:val="11"/>
            </w:pPr>
            <w:r>
              <w:t>预算规模及资金用途</w:t>
            </w:r>
          </w:p>
        </w:tc>
        <w:tc>
          <w:tcPr>
            <w:tcW w:w="2268" w:type="dxa"/>
            <w:vAlign w:val="center"/>
          </w:tcPr>
          <w:p w14:paraId="18B1E43D">
            <w:pPr>
              <w:pStyle w:val="11"/>
            </w:pPr>
            <w:r>
              <w:t>预算数</w:t>
            </w:r>
          </w:p>
        </w:tc>
        <w:tc>
          <w:tcPr>
            <w:tcW w:w="2835" w:type="dxa"/>
            <w:vAlign w:val="center"/>
          </w:tcPr>
          <w:p w14:paraId="2A254C18">
            <w:pPr>
              <w:pStyle w:val="13"/>
            </w:pPr>
            <w:r>
              <w:t>14.85</w:t>
            </w:r>
          </w:p>
        </w:tc>
        <w:tc>
          <w:tcPr>
            <w:tcW w:w="2835" w:type="dxa"/>
            <w:vAlign w:val="center"/>
          </w:tcPr>
          <w:p w14:paraId="1A7FC1AA">
            <w:pPr>
              <w:pStyle w:val="11"/>
            </w:pPr>
            <w:r>
              <w:t>其中：财政    资金</w:t>
            </w:r>
          </w:p>
        </w:tc>
        <w:tc>
          <w:tcPr>
            <w:tcW w:w="2551" w:type="dxa"/>
            <w:vAlign w:val="center"/>
          </w:tcPr>
          <w:p w14:paraId="704088F2">
            <w:pPr>
              <w:pStyle w:val="13"/>
            </w:pPr>
            <w:r>
              <w:t>14.85</w:t>
            </w:r>
          </w:p>
        </w:tc>
        <w:tc>
          <w:tcPr>
            <w:tcW w:w="2268" w:type="dxa"/>
            <w:vAlign w:val="center"/>
          </w:tcPr>
          <w:p w14:paraId="3C12FD05">
            <w:pPr>
              <w:pStyle w:val="11"/>
            </w:pPr>
            <w:r>
              <w:t>其他资金</w:t>
            </w:r>
          </w:p>
        </w:tc>
        <w:tc>
          <w:tcPr>
            <w:tcW w:w="1276" w:type="dxa"/>
            <w:vAlign w:val="center"/>
          </w:tcPr>
          <w:p w14:paraId="3DCC7DE8">
            <w:pPr>
              <w:pStyle w:val="13"/>
            </w:pPr>
            <w:r>
              <w:t xml:space="preserve"> </w:t>
            </w:r>
          </w:p>
        </w:tc>
      </w:tr>
      <w:tr w14:paraId="5C642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1B487"/>
        </w:tc>
        <w:tc>
          <w:tcPr>
            <w:tcW w:w="14033" w:type="dxa"/>
            <w:gridSpan w:val="6"/>
            <w:vAlign w:val="center"/>
          </w:tcPr>
          <w:p w14:paraId="2B71E50C">
            <w:pPr>
              <w:pStyle w:val="13"/>
            </w:pPr>
            <w:r>
              <w:t>保障幼儿园正常运转。</w:t>
            </w:r>
          </w:p>
        </w:tc>
      </w:tr>
      <w:tr w14:paraId="1F90B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4C575">
            <w:pPr>
              <w:pStyle w:val="11"/>
            </w:pPr>
            <w:r>
              <w:t>资金支出计划（%）</w:t>
            </w:r>
          </w:p>
        </w:tc>
        <w:tc>
          <w:tcPr>
            <w:tcW w:w="5103" w:type="dxa"/>
            <w:gridSpan w:val="2"/>
            <w:vAlign w:val="center"/>
          </w:tcPr>
          <w:p w14:paraId="2377F6A4">
            <w:pPr>
              <w:pStyle w:val="11"/>
            </w:pPr>
            <w:r>
              <w:t>3月底</w:t>
            </w:r>
          </w:p>
        </w:tc>
        <w:tc>
          <w:tcPr>
            <w:tcW w:w="2835" w:type="dxa"/>
            <w:vAlign w:val="center"/>
          </w:tcPr>
          <w:p w14:paraId="4A542813">
            <w:pPr>
              <w:pStyle w:val="11"/>
            </w:pPr>
            <w:r>
              <w:t>6月底</w:t>
            </w:r>
          </w:p>
        </w:tc>
        <w:tc>
          <w:tcPr>
            <w:tcW w:w="2551" w:type="dxa"/>
            <w:vAlign w:val="center"/>
          </w:tcPr>
          <w:p w14:paraId="1474E8BA">
            <w:pPr>
              <w:pStyle w:val="11"/>
            </w:pPr>
            <w:r>
              <w:t>10月底</w:t>
            </w:r>
          </w:p>
        </w:tc>
        <w:tc>
          <w:tcPr>
            <w:tcW w:w="3544" w:type="dxa"/>
            <w:gridSpan w:val="2"/>
            <w:vAlign w:val="center"/>
          </w:tcPr>
          <w:p w14:paraId="7AD02D4B">
            <w:pPr>
              <w:pStyle w:val="11"/>
            </w:pPr>
            <w:r>
              <w:t>12月底</w:t>
            </w:r>
          </w:p>
        </w:tc>
      </w:tr>
      <w:tr w14:paraId="41223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7D77054"/>
        </w:tc>
        <w:tc>
          <w:tcPr>
            <w:tcW w:w="5103" w:type="dxa"/>
            <w:gridSpan w:val="2"/>
            <w:vAlign w:val="center"/>
          </w:tcPr>
          <w:p w14:paraId="4619F66B">
            <w:pPr>
              <w:pStyle w:val="12"/>
            </w:pPr>
            <w:r>
              <w:t>25%</w:t>
            </w:r>
          </w:p>
        </w:tc>
        <w:tc>
          <w:tcPr>
            <w:tcW w:w="2835" w:type="dxa"/>
            <w:vAlign w:val="center"/>
          </w:tcPr>
          <w:p w14:paraId="6FDF6DE0">
            <w:pPr>
              <w:pStyle w:val="12"/>
            </w:pPr>
            <w:r>
              <w:t>50%</w:t>
            </w:r>
          </w:p>
        </w:tc>
        <w:tc>
          <w:tcPr>
            <w:tcW w:w="2551" w:type="dxa"/>
            <w:vAlign w:val="center"/>
          </w:tcPr>
          <w:p w14:paraId="1C62E811">
            <w:pPr>
              <w:pStyle w:val="12"/>
            </w:pPr>
            <w:r>
              <w:t>75%</w:t>
            </w:r>
          </w:p>
        </w:tc>
        <w:tc>
          <w:tcPr>
            <w:tcW w:w="3544" w:type="dxa"/>
            <w:gridSpan w:val="2"/>
            <w:vAlign w:val="center"/>
          </w:tcPr>
          <w:p w14:paraId="48F2C905">
            <w:pPr>
              <w:pStyle w:val="12"/>
            </w:pPr>
            <w:r>
              <w:t>100%</w:t>
            </w:r>
          </w:p>
        </w:tc>
      </w:tr>
      <w:tr w14:paraId="32D49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6D854C">
            <w:pPr>
              <w:pStyle w:val="11"/>
            </w:pPr>
            <w:r>
              <w:t>绩效目标</w:t>
            </w:r>
          </w:p>
        </w:tc>
        <w:tc>
          <w:tcPr>
            <w:tcW w:w="14033" w:type="dxa"/>
            <w:gridSpan w:val="6"/>
            <w:vAlign w:val="center"/>
          </w:tcPr>
          <w:p w14:paraId="4B2E7C33">
            <w:pPr>
              <w:pStyle w:val="13"/>
            </w:pPr>
            <w:r>
              <w:t>1.保障幼儿园正常运转，完成教育教学活动和其他日常工作任务等方面的费用支出。</w:t>
            </w:r>
          </w:p>
          <w:p w14:paraId="2B1D586A">
            <w:pPr>
              <w:pStyle w:val="13"/>
            </w:pPr>
            <w:r>
              <w:t>2.按季度分批次拨付公用经费资金，资金拨付率达到100%。</w:t>
            </w:r>
          </w:p>
        </w:tc>
      </w:tr>
    </w:tbl>
    <w:p w14:paraId="47893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28"/>
        <w:gridCol w:w="1916"/>
      </w:tblGrid>
      <w:tr w14:paraId="735AC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D2A84">
            <w:pPr>
              <w:pStyle w:val="11"/>
            </w:pPr>
            <w:r>
              <w:t>一级指标</w:t>
            </w:r>
          </w:p>
        </w:tc>
        <w:tc>
          <w:tcPr>
            <w:tcW w:w="2268" w:type="dxa"/>
            <w:vAlign w:val="center"/>
          </w:tcPr>
          <w:p w14:paraId="0A705BEA">
            <w:pPr>
              <w:pStyle w:val="11"/>
            </w:pPr>
            <w:r>
              <w:t>二级指标</w:t>
            </w:r>
          </w:p>
        </w:tc>
        <w:tc>
          <w:tcPr>
            <w:tcW w:w="2835" w:type="dxa"/>
            <w:vAlign w:val="center"/>
          </w:tcPr>
          <w:p w14:paraId="4D5CA7A4">
            <w:pPr>
              <w:pStyle w:val="11"/>
            </w:pPr>
            <w:r>
              <w:t>三级指标</w:t>
            </w:r>
          </w:p>
        </w:tc>
        <w:tc>
          <w:tcPr>
            <w:tcW w:w="5386" w:type="dxa"/>
            <w:vAlign w:val="center"/>
          </w:tcPr>
          <w:p w14:paraId="70FD0689">
            <w:pPr>
              <w:pStyle w:val="11"/>
            </w:pPr>
            <w:r>
              <w:t>绩效指标描述</w:t>
            </w:r>
          </w:p>
        </w:tc>
        <w:tc>
          <w:tcPr>
            <w:tcW w:w="1628" w:type="dxa"/>
            <w:vAlign w:val="center"/>
          </w:tcPr>
          <w:p w14:paraId="25CF1539">
            <w:pPr>
              <w:pStyle w:val="11"/>
            </w:pPr>
            <w:r>
              <w:t>指标值</w:t>
            </w:r>
          </w:p>
        </w:tc>
        <w:tc>
          <w:tcPr>
            <w:tcW w:w="1916" w:type="dxa"/>
            <w:vAlign w:val="center"/>
          </w:tcPr>
          <w:p w14:paraId="66AA6094">
            <w:pPr>
              <w:pStyle w:val="11"/>
            </w:pPr>
            <w:r>
              <w:t>指标值确定依据</w:t>
            </w:r>
          </w:p>
        </w:tc>
      </w:tr>
      <w:tr w14:paraId="7AFB4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AA4A0">
            <w:pPr>
              <w:pStyle w:val="12"/>
            </w:pPr>
            <w:r>
              <w:t>产出指标</w:t>
            </w:r>
          </w:p>
        </w:tc>
        <w:tc>
          <w:tcPr>
            <w:tcW w:w="2268" w:type="dxa"/>
            <w:vAlign w:val="center"/>
          </w:tcPr>
          <w:p w14:paraId="243934A8">
            <w:pPr>
              <w:pStyle w:val="13"/>
            </w:pPr>
            <w:r>
              <w:t>数量指标</w:t>
            </w:r>
          </w:p>
        </w:tc>
        <w:tc>
          <w:tcPr>
            <w:tcW w:w="2835" w:type="dxa"/>
            <w:vAlign w:val="center"/>
          </w:tcPr>
          <w:p w14:paraId="29572010">
            <w:pPr>
              <w:pStyle w:val="13"/>
            </w:pPr>
            <w:r>
              <w:t>就读学生数</w:t>
            </w:r>
          </w:p>
        </w:tc>
        <w:tc>
          <w:tcPr>
            <w:tcW w:w="5386" w:type="dxa"/>
            <w:vAlign w:val="center"/>
          </w:tcPr>
          <w:p w14:paraId="156B6EFA">
            <w:pPr>
              <w:pStyle w:val="13"/>
            </w:pPr>
            <w:r>
              <w:t>辐射区域内适龄学生人数</w:t>
            </w:r>
          </w:p>
        </w:tc>
        <w:tc>
          <w:tcPr>
            <w:tcW w:w="1628" w:type="dxa"/>
            <w:vAlign w:val="center"/>
          </w:tcPr>
          <w:p w14:paraId="360361DC">
            <w:pPr>
              <w:pStyle w:val="13"/>
            </w:pPr>
            <w:r>
              <w:t>≥330人</w:t>
            </w:r>
          </w:p>
        </w:tc>
        <w:tc>
          <w:tcPr>
            <w:tcW w:w="1916" w:type="dxa"/>
            <w:vAlign w:val="center"/>
          </w:tcPr>
          <w:p w14:paraId="253865AA">
            <w:pPr>
              <w:pStyle w:val="13"/>
            </w:pPr>
            <w:r>
              <w:t>城乡义务教育公用经费管理办法</w:t>
            </w:r>
          </w:p>
        </w:tc>
      </w:tr>
      <w:tr w14:paraId="3CC96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1843C"/>
        </w:tc>
        <w:tc>
          <w:tcPr>
            <w:tcW w:w="2268" w:type="dxa"/>
            <w:vAlign w:val="center"/>
          </w:tcPr>
          <w:p w14:paraId="028DF586">
            <w:pPr>
              <w:pStyle w:val="13"/>
            </w:pPr>
            <w:r>
              <w:t>质量指标</w:t>
            </w:r>
          </w:p>
        </w:tc>
        <w:tc>
          <w:tcPr>
            <w:tcW w:w="2835" w:type="dxa"/>
            <w:vAlign w:val="center"/>
          </w:tcPr>
          <w:p w14:paraId="253016FF">
            <w:pPr>
              <w:pStyle w:val="13"/>
            </w:pPr>
            <w:r>
              <w:t>预算控制率</w:t>
            </w:r>
          </w:p>
        </w:tc>
        <w:tc>
          <w:tcPr>
            <w:tcW w:w="5386" w:type="dxa"/>
            <w:vAlign w:val="center"/>
          </w:tcPr>
          <w:p w14:paraId="4C292A68">
            <w:pPr>
              <w:pStyle w:val="13"/>
            </w:pPr>
            <w:r>
              <w:t>预算执行</w:t>
            </w:r>
          </w:p>
        </w:tc>
        <w:tc>
          <w:tcPr>
            <w:tcW w:w="1628" w:type="dxa"/>
            <w:vAlign w:val="center"/>
          </w:tcPr>
          <w:p w14:paraId="37BFBD5A">
            <w:pPr>
              <w:pStyle w:val="13"/>
            </w:pPr>
            <w:r>
              <w:t>≥95%</w:t>
            </w:r>
          </w:p>
        </w:tc>
        <w:tc>
          <w:tcPr>
            <w:tcW w:w="1916" w:type="dxa"/>
            <w:vAlign w:val="center"/>
          </w:tcPr>
          <w:p w14:paraId="4F1779F3">
            <w:pPr>
              <w:pStyle w:val="13"/>
            </w:pPr>
            <w:r>
              <w:t>支持学前教育发展县级资金管理方法</w:t>
            </w:r>
          </w:p>
        </w:tc>
      </w:tr>
      <w:tr w14:paraId="5CB12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54996"/>
        </w:tc>
        <w:tc>
          <w:tcPr>
            <w:tcW w:w="2268" w:type="dxa"/>
            <w:vAlign w:val="center"/>
          </w:tcPr>
          <w:p w14:paraId="5B59983F">
            <w:pPr>
              <w:pStyle w:val="13"/>
            </w:pPr>
            <w:r>
              <w:t>时效指标</w:t>
            </w:r>
          </w:p>
        </w:tc>
        <w:tc>
          <w:tcPr>
            <w:tcW w:w="2835" w:type="dxa"/>
            <w:vAlign w:val="center"/>
          </w:tcPr>
          <w:p w14:paraId="091170A4">
            <w:pPr>
              <w:pStyle w:val="13"/>
            </w:pPr>
            <w:r>
              <w:t>义教经费支付完成率</w:t>
            </w:r>
          </w:p>
        </w:tc>
        <w:tc>
          <w:tcPr>
            <w:tcW w:w="5386" w:type="dxa"/>
            <w:vAlign w:val="center"/>
          </w:tcPr>
          <w:p w14:paraId="4A1EFE86">
            <w:pPr>
              <w:pStyle w:val="13"/>
            </w:pPr>
            <w:r>
              <w:t>按照序时进度完成资金支付</w:t>
            </w:r>
          </w:p>
        </w:tc>
        <w:tc>
          <w:tcPr>
            <w:tcW w:w="1628" w:type="dxa"/>
            <w:vAlign w:val="center"/>
          </w:tcPr>
          <w:p w14:paraId="7DFF9147">
            <w:pPr>
              <w:pStyle w:val="13"/>
            </w:pPr>
            <w:r>
              <w:t>100%</w:t>
            </w:r>
          </w:p>
        </w:tc>
        <w:tc>
          <w:tcPr>
            <w:tcW w:w="1916" w:type="dxa"/>
            <w:vAlign w:val="center"/>
          </w:tcPr>
          <w:p w14:paraId="0CA34F1E">
            <w:pPr>
              <w:pStyle w:val="13"/>
            </w:pPr>
            <w:r>
              <w:t>城乡义务教育公用经费管理办法</w:t>
            </w:r>
          </w:p>
        </w:tc>
      </w:tr>
      <w:tr w14:paraId="54BE3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48A72"/>
        </w:tc>
        <w:tc>
          <w:tcPr>
            <w:tcW w:w="2268" w:type="dxa"/>
            <w:vAlign w:val="center"/>
          </w:tcPr>
          <w:p w14:paraId="13DCD4BA">
            <w:pPr>
              <w:pStyle w:val="13"/>
            </w:pPr>
            <w:r>
              <w:t>成本指标</w:t>
            </w:r>
          </w:p>
        </w:tc>
        <w:tc>
          <w:tcPr>
            <w:tcW w:w="2835" w:type="dxa"/>
            <w:vAlign w:val="center"/>
          </w:tcPr>
          <w:p w14:paraId="4EA418A5">
            <w:pPr>
              <w:pStyle w:val="13"/>
            </w:pPr>
            <w:r>
              <w:t>生均拨款标准</w:t>
            </w:r>
          </w:p>
        </w:tc>
        <w:tc>
          <w:tcPr>
            <w:tcW w:w="5386" w:type="dxa"/>
            <w:vAlign w:val="center"/>
          </w:tcPr>
          <w:p w14:paraId="653A101F">
            <w:pPr>
              <w:pStyle w:val="13"/>
            </w:pPr>
            <w:r>
              <w:t>学前：（基本标准600元/生/学年）</w:t>
            </w:r>
          </w:p>
        </w:tc>
        <w:tc>
          <w:tcPr>
            <w:tcW w:w="1628" w:type="dxa"/>
            <w:vAlign w:val="center"/>
          </w:tcPr>
          <w:p w14:paraId="6A4CB64D">
            <w:pPr>
              <w:pStyle w:val="13"/>
            </w:pPr>
            <w:r>
              <w:t>600元</w:t>
            </w:r>
          </w:p>
        </w:tc>
        <w:tc>
          <w:tcPr>
            <w:tcW w:w="1916" w:type="dxa"/>
            <w:vAlign w:val="center"/>
          </w:tcPr>
          <w:p w14:paraId="71C12FF7">
            <w:pPr>
              <w:pStyle w:val="13"/>
            </w:pPr>
            <w:r>
              <w:t>城乡义务教育公用经费管理办法</w:t>
            </w:r>
          </w:p>
        </w:tc>
      </w:tr>
      <w:tr w14:paraId="62F86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B81D76">
            <w:pPr>
              <w:pStyle w:val="12"/>
            </w:pPr>
            <w:r>
              <w:t>效益指标</w:t>
            </w:r>
          </w:p>
        </w:tc>
        <w:tc>
          <w:tcPr>
            <w:tcW w:w="2268" w:type="dxa"/>
            <w:vAlign w:val="center"/>
          </w:tcPr>
          <w:p w14:paraId="150384ED">
            <w:pPr>
              <w:pStyle w:val="13"/>
            </w:pPr>
            <w:r>
              <w:t>社会效益指标</w:t>
            </w:r>
          </w:p>
        </w:tc>
        <w:tc>
          <w:tcPr>
            <w:tcW w:w="2835" w:type="dxa"/>
            <w:vAlign w:val="center"/>
          </w:tcPr>
          <w:p w14:paraId="50517E68">
            <w:pPr>
              <w:pStyle w:val="13"/>
            </w:pPr>
            <w:r>
              <w:t>学校稳定率</w:t>
            </w:r>
          </w:p>
        </w:tc>
        <w:tc>
          <w:tcPr>
            <w:tcW w:w="5386" w:type="dxa"/>
            <w:vAlign w:val="center"/>
          </w:tcPr>
          <w:p w14:paraId="0AB4EA69">
            <w:pPr>
              <w:pStyle w:val="13"/>
            </w:pPr>
            <w:r>
              <w:t>维护学校稳定，保障学校正常教学秩序有效开展</w:t>
            </w:r>
          </w:p>
        </w:tc>
        <w:tc>
          <w:tcPr>
            <w:tcW w:w="1628" w:type="dxa"/>
            <w:vAlign w:val="center"/>
          </w:tcPr>
          <w:p w14:paraId="605460AD">
            <w:pPr>
              <w:pStyle w:val="13"/>
            </w:pPr>
            <w:r>
              <w:t>≥100%</w:t>
            </w:r>
          </w:p>
        </w:tc>
        <w:tc>
          <w:tcPr>
            <w:tcW w:w="1916" w:type="dxa"/>
            <w:vAlign w:val="center"/>
          </w:tcPr>
          <w:p w14:paraId="5688965E">
            <w:pPr>
              <w:pStyle w:val="13"/>
            </w:pPr>
            <w:r>
              <w:t>城乡义务教育公用经费管理办法</w:t>
            </w:r>
          </w:p>
        </w:tc>
      </w:tr>
      <w:tr w14:paraId="0569F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89126A">
            <w:pPr>
              <w:pStyle w:val="12"/>
            </w:pPr>
            <w:r>
              <w:t>满意度指标</w:t>
            </w:r>
          </w:p>
        </w:tc>
        <w:tc>
          <w:tcPr>
            <w:tcW w:w="2268" w:type="dxa"/>
            <w:vAlign w:val="center"/>
          </w:tcPr>
          <w:p w14:paraId="37DE105C">
            <w:pPr>
              <w:pStyle w:val="13"/>
            </w:pPr>
            <w:r>
              <w:t>服务对象满意度指标</w:t>
            </w:r>
          </w:p>
        </w:tc>
        <w:tc>
          <w:tcPr>
            <w:tcW w:w="2835" w:type="dxa"/>
            <w:vAlign w:val="center"/>
          </w:tcPr>
          <w:p w14:paraId="76EDF8DD">
            <w:pPr>
              <w:pStyle w:val="13"/>
            </w:pPr>
            <w:r>
              <w:t>家长和学生满意度</w:t>
            </w:r>
          </w:p>
        </w:tc>
        <w:tc>
          <w:tcPr>
            <w:tcW w:w="5386" w:type="dxa"/>
            <w:vAlign w:val="center"/>
          </w:tcPr>
          <w:p w14:paraId="79F47D3E">
            <w:pPr>
              <w:pStyle w:val="13"/>
            </w:pPr>
            <w:r>
              <w:t>家长和学生满意度</w:t>
            </w:r>
          </w:p>
        </w:tc>
        <w:tc>
          <w:tcPr>
            <w:tcW w:w="1628" w:type="dxa"/>
            <w:vAlign w:val="center"/>
          </w:tcPr>
          <w:p w14:paraId="1120E708">
            <w:pPr>
              <w:pStyle w:val="13"/>
            </w:pPr>
            <w:r>
              <w:t>≥95%</w:t>
            </w:r>
          </w:p>
        </w:tc>
        <w:tc>
          <w:tcPr>
            <w:tcW w:w="1916" w:type="dxa"/>
            <w:vAlign w:val="center"/>
          </w:tcPr>
          <w:p w14:paraId="2F6F1BCA">
            <w:pPr>
              <w:pStyle w:val="13"/>
            </w:pPr>
            <w:r>
              <w:t>问卷调查</w:t>
            </w:r>
          </w:p>
        </w:tc>
      </w:tr>
    </w:tbl>
    <w:p w14:paraId="2D1270F5">
      <w:pPr>
        <w:sectPr>
          <w:pgSz w:w="16840" w:h="11900" w:orient="landscape"/>
          <w:pgMar w:top="1361" w:right="1020" w:bottom="1134" w:left="1020" w:header="720" w:footer="720" w:gutter="0"/>
          <w:cols w:space="720" w:num="1"/>
        </w:sectPr>
      </w:pPr>
    </w:p>
    <w:p w14:paraId="5F1CFCDC">
      <w:pPr>
        <w:spacing w:before="0" w:after="0"/>
        <w:ind w:firstLine="560"/>
        <w:jc w:val="left"/>
        <w:outlineLvl w:val="9"/>
      </w:pPr>
      <w:r>
        <w:rPr>
          <w:rFonts w:ascii="方正仿宋_GBK" w:hAnsi="方正仿宋_GBK" w:eastAsia="方正仿宋_GBK" w:cs="方正仿宋_GBK"/>
          <w:b/>
          <w:color w:val="000000"/>
          <w:sz w:val="28"/>
        </w:rPr>
        <w:t>7、学前专项经费/县直幼儿园绩效目标表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45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04A42">
            <w:pPr>
              <w:pStyle w:val="14"/>
            </w:pPr>
            <w:r>
              <w:t>单位：万元</w:t>
            </w:r>
          </w:p>
        </w:tc>
      </w:tr>
      <w:tr w14:paraId="11BFB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2301A3">
            <w:pPr>
              <w:pStyle w:val="11"/>
            </w:pPr>
            <w:r>
              <w:t>项目编码</w:t>
            </w:r>
          </w:p>
        </w:tc>
        <w:tc>
          <w:tcPr>
            <w:tcW w:w="5103" w:type="dxa"/>
            <w:gridSpan w:val="2"/>
            <w:vAlign w:val="center"/>
          </w:tcPr>
          <w:p w14:paraId="312E03F9">
            <w:pPr>
              <w:pStyle w:val="13"/>
            </w:pPr>
            <w:r>
              <w:t>13052524P008756100269</w:t>
            </w:r>
          </w:p>
        </w:tc>
        <w:tc>
          <w:tcPr>
            <w:tcW w:w="2835" w:type="dxa"/>
            <w:vAlign w:val="center"/>
          </w:tcPr>
          <w:p w14:paraId="5CA9D871">
            <w:pPr>
              <w:pStyle w:val="11"/>
            </w:pPr>
            <w:r>
              <w:t>项目名称</w:t>
            </w:r>
          </w:p>
        </w:tc>
        <w:tc>
          <w:tcPr>
            <w:tcW w:w="6095" w:type="dxa"/>
            <w:gridSpan w:val="3"/>
            <w:vAlign w:val="center"/>
          </w:tcPr>
          <w:p w14:paraId="3618F1A7">
            <w:pPr>
              <w:pStyle w:val="13"/>
            </w:pPr>
            <w:r>
              <w:t>学前专项经费/县直幼儿园</w:t>
            </w:r>
          </w:p>
        </w:tc>
      </w:tr>
      <w:tr w14:paraId="47293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91AE5">
            <w:pPr>
              <w:pStyle w:val="11"/>
            </w:pPr>
            <w:r>
              <w:t>预算规模及资金用途</w:t>
            </w:r>
          </w:p>
        </w:tc>
        <w:tc>
          <w:tcPr>
            <w:tcW w:w="2268" w:type="dxa"/>
            <w:vAlign w:val="center"/>
          </w:tcPr>
          <w:p w14:paraId="7F772465">
            <w:pPr>
              <w:pStyle w:val="11"/>
            </w:pPr>
            <w:r>
              <w:t>预算数</w:t>
            </w:r>
          </w:p>
        </w:tc>
        <w:tc>
          <w:tcPr>
            <w:tcW w:w="2835" w:type="dxa"/>
            <w:vAlign w:val="center"/>
          </w:tcPr>
          <w:p w14:paraId="5853D3F3">
            <w:pPr>
              <w:pStyle w:val="13"/>
            </w:pPr>
            <w:r>
              <w:t>136.60</w:t>
            </w:r>
          </w:p>
        </w:tc>
        <w:tc>
          <w:tcPr>
            <w:tcW w:w="2835" w:type="dxa"/>
            <w:vAlign w:val="center"/>
          </w:tcPr>
          <w:p w14:paraId="114339C7">
            <w:pPr>
              <w:pStyle w:val="11"/>
            </w:pPr>
            <w:r>
              <w:t>其中：财政    资金</w:t>
            </w:r>
          </w:p>
        </w:tc>
        <w:tc>
          <w:tcPr>
            <w:tcW w:w="2551" w:type="dxa"/>
            <w:vAlign w:val="center"/>
          </w:tcPr>
          <w:p w14:paraId="1CCD9964">
            <w:pPr>
              <w:pStyle w:val="13"/>
            </w:pPr>
            <w:r>
              <w:t>136.60</w:t>
            </w:r>
          </w:p>
        </w:tc>
        <w:tc>
          <w:tcPr>
            <w:tcW w:w="2268" w:type="dxa"/>
            <w:vAlign w:val="center"/>
          </w:tcPr>
          <w:p w14:paraId="287B9863">
            <w:pPr>
              <w:pStyle w:val="11"/>
            </w:pPr>
            <w:r>
              <w:t>其他资金</w:t>
            </w:r>
          </w:p>
        </w:tc>
        <w:tc>
          <w:tcPr>
            <w:tcW w:w="1276" w:type="dxa"/>
            <w:vAlign w:val="center"/>
          </w:tcPr>
          <w:p w14:paraId="1E2A2596">
            <w:pPr>
              <w:pStyle w:val="13"/>
            </w:pPr>
            <w:r>
              <w:t xml:space="preserve"> </w:t>
            </w:r>
          </w:p>
        </w:tc>
      </w:tr>
      <w:tr w14:paraId="2B232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ABDA83"/>
        </w:tc>
        <w:tc>
          <w:tcPr>
            <w:tcW w:w="14033" w:type="dxa"/>
            <w:gridSpan w:val="6"/>
            <w:vAlign w:val="center"/>
          </w:tcPr>
          <w:p w14:paraId="73666F73">
            <w:pPr>
              <w:pStyle w:val="13"/>
            </w:pPr>
            <w:r>
              <w:t>用于保障学前教育正常运转</w:t>
            </w:r>
          </w:p>
        </w:tc>
      </w:tr>
      <w:tr w14:paraId="0851D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103A3">
            <w:pPr>
              <w:pStyle w:val="11"/>
            </w:pPr>
            <w:r>
              <w:t>资金支出计划（%）</w:t>
            </w:r>
          </w:p>
        </w:tc>
        <w:tc>
          <w:tcPr>
            <w:tcW w:w="5103" w:type="dxa"/>
            <w:gridSpan w:val="2"/>
            <w:vAlign w:val="center"/>
          </w:tcPr>
          <w:p w14:paraId="016EFF92">
            <w:pPr>
              <w:pStyle w:val="11"/>
            </w:pPr>
            <w:r>
              <w:t>3月底</w:t>
            </w:r>
          </w:p>
        </w:tc>
        <w:tc>
          <w:tcPr>
            <w:tcW w:w="2835" w:type="dxa"/>
            <w:vAlign w:val="center"/>
          </w:tcPr>
          <w:p w14:paraId="6878B81E">
            <w:pPr>
              <w:pStyle w:val="11"/>
            </w:pPr>
            <w:r>
              <w:t>6月底</w:t>
            </w:r>
          </w:p>
        </w:tc>
        <w:tc>
          <w:tcPr>
            <w:tcW w:w="2551" w:type="dxa"/>
            <w:vAlign w:val="center"/>
          </w:tcPr>
          <w:p w14:paraId="0010AD6B">
            <w:pPr>
              <w:pStyle w:val="11"/>
            </w:pPr>
            <w:r>
              <w:t>10月底</w:t>
            </w:r>
          </w:p>
        </w:tc>
        <w:tc>
          <w:tcPr>
            <w:tcW w:w="3544" w:type="dxa"/>
            <w:gridSpan w:val="2"/>
            <w:vAlign w:val="center"/>
          </w:tcPr>
          <w:p w14:paraId="10327930">
            <w:pPr>
              <w:pStyle w:val="11"/>
            </w:pPr>
            <w:r>
              <w:t>12月底</w:t>
            </w:r>
          </w:p>
        </w:tc>
      </w:tr>
      <w:tr w14:paraId="4FD1E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56AEF3"/>
        </w:tc>
        <w:tc>
          <w:tcPr>
            <w:tcW w:w="5103" w:type="dxa"/>
            <w:gridSpan w:val="2"/>
            <w:vAlign w:val="center"/>
          </w:tcPr>
          <w:p w14:paraId="4AE5FA13">
            <w:pPr>
              <w:pStyle w:val="12"/>
            </w:pPr>
            <w:r>
              <w:t>25%</w:t>
            </w:r>
          </w:p>
        </w:tc>
        <w:tc>
          <w:tcPr>
            <w:tcW w:w="2835" w:type="dxa"/>
            <w:vAlign w:val="center"/>
          </w:tcPr>
          <w:p w14:paraId="74EE7088">
            <w:pPr>
              <w:pStyle w:val="12"/>
            </w:pPr>
            <w:r>
              <w:t>50%</w:t>
            </w:r>
          </w:p>
        </w:tc>
        <w:tc>
          <w:tcPr>
            <w:tcW w:w="2551" w:type="dxa"/>
            <w:vAlign w:val="center"/>
          </w:tcPr>
          <w:p w14:paraId="7ADBD6CE">
            <w:pPr>
              <w:pStyle w:val="12"/>
            </w:pPr>
            <w:r>
              <w:t>75%</w:t>
            </w:r>
          </w:p>
        </w:tc>
        <w:tc>
          <w:tcPr>
            <w:tcW w:w="3544" w:type="dxa"/>
            <w:gridSpan w:val="2"/>
            <w:vAlign w:val="center"/>
          </w:tcPr>
          <w:p w14:paraId="1F04220E">
            <w:pPr>
              <w:pStyle w:val="12"/>
            </w:pPr>
            <w:r>
              <w:t>100%</w:t>
            </w:r>
          </w:p>
        </w:tc>
      </w:tr>
      <w:tr w14:paraId="41106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8A4934">
            <w:pPr>
              <w:pStyle w:val="11"/>
            </w:pPr>
            <w:r>
              <w:t>绩效目标</w:t>
            </w:r>
          </w:p>
        </w:tc>
        <w:tc>
          <w:tcPr>
            <w:tcW w:w="14033" w:type="dxa"/>
            <w:gridSpan w:val="6"/>
            <w:vAlign w:val="center"/>
          </w:tcPr>
          <w:p w14:paraId="6DC71800">
            <w:pPr>
              <w:pStyle w:val="13"/>
            </w:pPr>
            <w:r>
              <w:t>1.按要求完成公立幼儿园保育费按月/季度上缴财政。</w:t>
            </w:r>
          </w:p>
          <w:p w14:paraId="07FDB3D8">
            <w:pPr>
              <w:pStyle w:val="13"/>
            </w:pPr>
            <w:r>
              <w:t>2.按上缴财政序时进度完成公立幼儿园保育费支出。</w:t>
            </w:r>
          </w:p>
          <w:p w14:paraId="0998718D">
            <w:pPr>
              <w:pStyle w:val="13"/>
            </w:pPr>
            <w:r>
              <w:t>3.按预算要求完成2025年度学前教学任务提升及教学质量提高。</w:t>
            </w:r>
          </w:p>
        </w:tc>
      </w:tr>
    </w:tbl>
    <w:p w14:paraId="1D9DE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9F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52C88">
            <w:pPr>
              <w:pStyle w:val="11"/>
            </w:pPr>
            <w:r>
              <w:t>一级指标</w:t>
            </w:r>
          </w:p>
        </w:tc>
        <w:tc>
          <w:tcPr>
            <w:tcW w:w="2268" w:type="dxa"/>
            <w:vAlign w:val="center"/>
          </w:tcPr>
          <w:p w14:paraId="272F1430">
            <w:pPr>
              <w:pStyle w:val="11"/>
            </w:pPr>
            <w:r>
              <w:t>二级指标</w:t>
            </w:r>
          </w:p>
        </w:tc>
        <w:tc>
          <w:tcPr>
            <w:tcW w:w="2835" w:type="dxa"/>
            <w:vAlign w:val="center"/>
          </w:tcPr>
          <w:p w14:paraId="00218871">
            <w:pPr>
              <w:pStyle w:val="11"/>
            </w:pPr>
            <w:r>
              <w:t>三级指标</w:t>
            </w:r>
          </w:p>
        </w:tc>
        <w:tc>
          <w:tcPr>
            <w:tcW w:w="5386" w:type="dxa"/>
            <w:vAlign w:val="center"/>
          </w:tcPr>
          <w:p w14:paraId="4000B7F8">
            <w:pPr>
              <w:pStyle w:val="11"/>
            </w:pPr>
            <w:r>
              <w:t>绩效指标描述</w:t>
            </w:r>
          </w:p>
        </w:tc>
        <w:tc>
          <w:tcPr>
            <w:tcW w:w="2268" w:type="dxa"/>
            <w:vAlign w:val="center"/>
          </w:tcPr>
          <w:p w14:paraId="5A3ECE17">
            <w:pPr>
              <w:pStyle w:val="11"/>
            </w:pPr>
            <w:r>
              <w:t>指标值</w:t>
            </w:r>
          </w:p>
        </w:tc>
        <w:tc>
          <w:tcPr>
            <w:tcW w:w="1276" w:type="dxa"/>
            <w:vAlign w:val="center"/>
          </w:tcPr>
          <w:p w14:paraId="0D245A09">
            <w:pPr>
              <w:pStyle w:val="11"/>
            </w:pPr>
            <w:r>
              <w:t>指标值确定依据</w:t>
            </w:r>
          </w:p>
        </w:tc>
      </w:tr>
      <w:tr w14:paraId="3D85D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88E21">
            <w:pPr>
              <w:pStyle w:val="12"/>
            </w:pPr>
            <w:r>
              <w:t>产出指标</w:t>
            </w:r>
          </w:p>
        </w:tc>
        <w:tc>
          <w:tcPr>
            <w:tcW w:w="2268" w:type="dxa"/>
            <w:vAlign w:val="center"/>
          </w:tcPr>
          <w:p w14:paraId="37CB9722">
            <w:pPr>
              <w:pStyle w:val="13"/>
            </w:pPr>
            <w:r>
              <w:t>数量指标</w:t>
            </w:r>
          </w:p>
        </w:tc>
        <w:tc>
          <w:tcPr>
            <w:tcW w:w="2835" w:type="dxa"/>
            <w:vAlign w:val="center"/>
          </w:tcPr>
          <w:p w14:paraId="2A81FDF8">
            <w:pPr>
              <w:pStyle w:val="13"/>
            </w:pPr>
            <w:r>
              <w:t>适龄在校生</w:t>
            </w:r>
          </w:p>
        </w:tc>
        <w:tc>
          <w:tcPr>
            <w:tcW w:w="5386" w:type="dxa"/>
            <w:vAlign w:val="center"/>
          </w:tcPr>
          <w:p w14:paraId="3F833C80">
            <w:pPr>
              <w:pStyle w:val="13"/>
            </w:pPr>
            <w:r>
              <w:t>适龄在校就读学生人数</w:t>
            </w:r>
          </w:p>
        </w:tc>
        <w:tc>
          <w:tcPr>
            <w:tcW w:w="2268" w:type="dxa"/>
            <w:vAlign w:val="center"/>
          </w:tcPr>
          <w:p w14:paraId="71E0F555">
            <w:pPr>
              <w:pStyle w:val="13"/>
            </w:pPr>
            <w:r>
              <w:t>320人</w:t>
            </w:r>
          </w:p>
        </w:tc>
        <w:tc>
          <w:tcPr>
            <w:tcW w:w="1276" w:type="dxa"/>
            <w:vAlign w:val="center"/>
          </w:tcPr>
          <w:p w14:paraId="3C318A25">
            <w:pPr>
              <w:pStyle w:val="13"/>
            </w:pPr>
            <w:r>
              <w:t>年度工作计划</w:t>
            </w:r>
          </w:p>
        </w:tc>
      </w:tr>
      <w:tr w14:paraId="21D75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71EC9"/>
        </w:tc>
        <w:tc>
          <w:tcPr>
            <w:tcW w:w="2268" w:type="dxa"/>
            <w:vAlign w:val="center"/>
          </w:tcPr>
          <w:p w14:paraId="79436653">
            <w:pPr>
              <w:pStyle w:val="13"/>
            </w:pPr>
            <w:r>
              <w:t>质量指标</w:t>
            </w:r>
          </w:p>
        </w:tc>
        <w:tc>
          <w:tcPr>
            <w:tcW w:w="2835" w:type="dxa"/>
            <w:vAlign w:val="center"/>
          </w:tcPr>
          <w:p w14:paraId="065802E7">
            <w:pPr>
              <w:pStyle w:val="13"/>
            </w:pPr>
            <w:r>
              <w:t>按月上缴财政完成率</w:t>
            </w:r>
          </w:p>
        </w:tc>
        <w:tc>
          <w:tcPr>
            <w:tcW w:w="5386" w:type="dxa"/>
            <w:vAlign w:val="center"/>
          </w:tcPr>
          <w:p w14:paraId="2F7D9B85">
            <w:pPr>
              <w:pStyle w:val="13"/>
            </w:pPr>
            <w:r>
              <w:t>按月完成公立幼儿园保育费上缴财政</w:t>
            </w:r>
          </w:p>
        </w:tc>
        <w:tc>
          <w:tcPr>
            <w:tcW w:w="2268" w:type="dxa"/>
            <w:vAlign w:val="center"/>
          </w:tcPr>
          <w:p w14:paraId="0CD8FC7E">
            <w:pPr>
              <w:pStyle w:val="13"/>
            </w:pPr>
            <w:r>
              <w:t>100%</w:t>
            </w:r>
          </w:p>
        </w:tc>
        <w:tc>
          <w:tcPr>
            <w:tcW w:w="1276" w:type="dxa"/>
            <w:vAlign w:val="center"/>
          </w:tcPr>
          <w:p w14:paraId="47E52F78">
            <w:pPr>
              <w:pStyle w:val="13"/>
            </w:pPr>
            <w:r>
              <w:t>年度工作计划</w:t>
            </w:r>
          </w:p>
        </w:tc>
      </w:tr>
      <w:tr w14:paraId="4D5E7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42694"/>
        </w:tc>
        <w:tc>
          <w:tcPr>
            <w:tcW w:w="2268" w:type="dxa"/>
            <w:vAlign w:val="center"/>
          </w:tcPr>
          <w:p w14:paraId="5B712756">
            <w:pPr>
              <w:pStyle w:val="13"/>
            </w:pPr>
            <w:r>
              <w:t>时效指标</w:t>
            </w:r>
          </w:p>
        </w:tc>
        <w:tc>
          <w:tcPr>
            <w:tcW w:w="2835" w:type="dxa"/>
            <w:vAlign w:val="center"/>
          </w:tcPr>
          <w:p w14:paraId="4D2ED04E">
            <w:pPr>
              <w:pStyle w:val="13"/>
            </w:pPr>
            <w:r>
              <w:t>资金支付率</w:t>
            </w:r>
          </w:p>
        </w:tc>
        <w:tc>
          <w:tcPr>
            <w:tcW w:w="5386" w:type="dxa"/>
            <w:vAlign w:val="center"/>
          </w:tcPr>
          <w:p w14:paraId="5F6654FE">
            <w:pPr>
              <w:pStyle w:val="13"/>
            </w:pPr>
            <w:r>
              <w:t>按照上缴财政进度完成公立幼儿园保育费支付</w:t>
            </w:r>
          </w:p>
        </w:tc>
        <w:tc>
          <w:tcPr>
            <w:tcW w:w="2268" w:type="dxa"/>
            <w:vAlign w:val="center"/>
          </w:tcPr>
          <w:p w14:paraId="20FB8828">
            <w:pPr>
              <w:pStyle w:val="13"/>
            </w:pPr>
            <w:r>
              <w:t>100%</w:t>
            </w:r>
          </w:p>
        </w:tc>
        <w:tc>
          <w:tcPr>
            <w:tcW w:w="1276" w:type="dxa"/>
            <w:vAlign w:val="center"/>
          </w:tcPr>
          <w:p w14:paraId="151BAB27">
            <w:pPr>
              <w:pStyle w:val="13"/>
            </w:pPr>
            <w:r>
              <w:t>年度工作计划</w:t>
            </w:r>
          </w:p>
        </w:tc>
      </w:tr>
      <w:tr w14:paraId="5542F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EF559"/>
        </w:tc>
        <w:tc>
          <w:tcPr>
            <w:tcW w:w="2268" w:type="dxa"/>
            <w:vAlign w:val="center"/>
          </w:tcPr>
          <w:p w14:paraId="30A28929">
            <w:pPr>
              <w:pStyle w:val="13"/>
            </w:pPr>
            <w:r>
              <w:t>成本指标</w:t>
            </w:r>
          </w:p>
        </w:tc>
        <w:tc>
          <w:tcPr>
            <w:tcW w:w="2835" w:type="dxa"/>
            <w:vAlign w:val="center"/>
          </w:tcPr>
          <w:p w14:paraId="5B3966DD">
            <w:pPr>
              <w:pStyle w:val="13"/>
            </w:pPr>
            <w:r>
              <w:t>生均拨款标准拨付率</w:t>
            </w:r>
          </w:p>
        </w:tc>
        <w:tc>
          <w:tcPr>
            <w:tcW w:w="5386" w:type="dxa"/>
            <w:vAlign w:val="center"/>
          </w:tcPr>
          <w:p w14:paraId="646E5FEA">
            <w:pPr>
              <w:pStyle w:val="13"/>
            </w:pPr>
            <w:r>
              <w:t>城市一类园280元/月/生，城市二类园230元/月/生。城市三类200元/月/生，农村示范园170元/月/生农村一类园150元/月/生，农村二类园130元/月/生，农村三类园100元/月/生</w:t>
            </w:r>
          </w:p>
        </w:tc>
        <w:tc>
          <w:tcPr>
            <w:tcW w:w="2268" w:type="dxa"/>
            <w:vAlign w:val="center"/>
          </w:tcPr>
          <w:p w14:paraId="3214B20B">
            <w:pPr>
              <w:pStyle w:val="13"/>
            </w:pPr>
            <w:r>
              <w:t>100%</w:t>
            </w:r>
          </w:p>
        </w:tc>
        <w:tc>
          <w:tcPr>
            <w:tcW w:w="1276" w:type="dxa"/>
            <w:vAlign w:val="center"/>
          </w:tcPr>
          <w:p w14:paraId="557969EE">
            <w:pPr>
              <w:pStyle w:val="13"/>
            </w:pPr>
            <w:r>
              <w:t>年度工作计划</w:t>
            </w:r>
          </w:p>
        </w:tc>
      </w:tr>
      <w:tr w14:paraId="133DF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4D9F033E">
            <w:pPr>
              <w:pStyle w:val="12"/>
            </w:pPr>
            <w:r>
              <w:t>效益指标</w:t>
            </w:r>
          </w:p>
        </w:tc>
        <w:tc>
          <w:tcPr>
            <w:tcW w:w="2268" w:type="dxa"/>
            <w:vAlign w:val="center"/>
          </w:tcPr>
          <w:p w14:paraId="21B6B083">
            <w:pPr>
              <w:pStyle w:val="13"/>
            </w:pPr>
            <w:r>
              <w:t>社会效益指标</w:t>
            </w:r>
          </w:p>
        </w:tc>
        <w:tc>
          <w:tcPr>
            <w:tcW w:w="2835" w:type="dxa"/>
            <w:vAlign w:val="center"/>
          </w:tcPr>
          <w:p w14:paraId="1EEE3B87">
            <w:pPr>
              <w:pStyle w:val="13"/>
            </w:pPr>
            <w:r>
              <w:t>幼儿园办园能力提升</w:t>
            </w:r>
          </w:p>
        </w:tc>
        <w:tc>
          <w:tcPr>
            <w:tcW w:w="5386" w:type="dxa"/>
            <w:vAlign w:val="center"/>
          </w:tcPr>
          <w:p w14:paraId="737C72B1">
            <w:pPr>
              <w:pStyle w:val="13"/>
            </w:pPr>
            <w:r>
              <w:t>幼儿园办园能力提升情况及教育教学工作等开展的情况</w:t>
            </w:r>
          </w:p>
        </w:tc>
        <w:tc>
          <w:tcPr>
            <w:tcW w:w="2268" w:type="dxa"/>
            <w:vAlign w:val="center"/>
          </w:tcPr>
          <w:p w14:paraId="3D0AFD6A">
            <w:pPr>
              <w:pStyle w:val="13"/>
            </w:pPr>
            <w:r>
              <w:t>100%</w:t>
            </w:r>
          </w:p>
        </w:tc>
        <w:tc>
          <w:tcPr>
            <w:tcW w:w="1276" w:type="dxa"/>
            <w:vAlign w:val="center"/>
          </w:tcPr>
          <w:p w14:paraId="4A670DA6">
            <w:pPr>
              <w:pStyle w:val="13"/>
            </w:pPr>
            <w:r>
              <w:t>年度工作计划</w:t>
            </w:r>
          </w:p>
        </w:tc>
      </w:tr>
      <w:tr w14:paraId="77241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2D0647">
            <w:pPr>
              <w:pStyle w:val="12"/>
            </w:pPr>
            <w:r>
              <w:t>满意度指标</w:t>
            </w:r>
          </w:p>
        </w:tc>
        <w:tc>
          <w:tcPr>
            <w:tcW w:w="2268" w:type="dxa"/>
            <w:vAlign w:val="center"/>
          </w:tcPr>
          <w:p w14:paraId="6BDF8E74">
            <w:pPr>
              <w:pStyle w:val="13"/>
            </w:pPr>
            <w:r>
              <w:t>服务对象满意度指标</w:t>
            </w:r>
          </w:p>
        </w:tc>
        <w:tc>
          <w:tcPr>
            <w:tcW w:w="2835" w:type="dxa"/>
            <w:vAlign w:val="center"/>
          </w:tcPr>
          <w:p w14:paraId="10629D24">
            <w:pPr>
              <w:pStyle w:val="13"/>
            </w:pPr>
            <w:r>
              <w:t>受益学生家长及调查满意度</w:t>
            </w:r>
          </w:p>
        </w:tc>
        <w:tc>
          <w:tcPr>
            <w:tcW w:w="5386" w:type="dxa"/>
            <w:vAlign w:val="center"/>
          </w:tcPr>
          <w:p w14:paraId="24B80052">
            <w:pPr>
              <w:pStyle w:val="13"/>
            </w:pPr>
            <w:r>
              <w:t>幼儿、教师及家长对学校保教保育工作满意度情况</w:t>
            </w:r>
          </w:p>
        </w:tc>
        <w:tc>
          <w:tcPr>
            <w:tcW w:w="2268" w:type="dxa"/>
            <w:vAlign w:val="center"/>
          </w:tcPr>
          <w:p w14:paraId="1F51B6C8">
            <w:pPr>
              <w:pStyle w:val="13"/>
            </w:pPr>
            <w:r>
              <w:t>≥95%</w:t>
            </w:r>
          </w:p>
        </w:tc>
        <w:tc>
          <w:tcPr>
            <w:tcW w:w="1276" w:type="dxa"/>
            <w:vAlign w:val="center"/>
          </w:tcPr>
          <w:p w14:paraId="2AA836D1">
            <w:pPr>
              <w:pStyle w:val="13"/>
            </w:pPr>
            <w:r>
              <w:t>年度工作计划</w:t>
            </w:r>
          </w:p>
        </w:tc>
      </w:tr>
    </w:tbl>
    <w:p w14:paraId="019BF55B">
      <w:pPr>
        <w:sectPr>
          <w:pgSz w:w="16840" w:h="11900" w:orient="landscape"/>
          <w:pgMar w:top="1361" w:right="1020" w:bottom="1134" w:left="1020" w:header="720" w:footer="720" w:gutter="0"/>
          <w:cols w:space="720" w:num="1"/>
        </w:sectPr>
      </w:pPr>
    </w:p>
    <w:p w14:paraId="74CFD16C">
      <w:pPr>
        <w:spacing w:before="10" w:after="10" w:line="240" w:lineRule="auto"/>
        <w:ind w:firstLine="640"/>
        <w:jc w:val="left"/>
        <w:outlineLvl w:val="5"/>
      </w:pPr>
      <w:r>
        <w:rPr>
          <w:rFonts w:ascii="黑体" w:hAnsi="黑体" w:eastAsia="黑体" w:cs="黑体"/>
          <w:color w:val="000000"/>
          <w:sz w:val="32"/>
        </w:rPr>
        <w:t>六、政府采购预算情况</w:t>
      </w:r>
    </w:p>
    <w:p w14:paraId="4BFCDED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B4D7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41FBD94">
            <w:pPr>
              <w:pStyle w:val="8"/>
            </w:pPr>
            <w:r>
              <w:t>360014隆尧县县直幼儿园</w:t>
            </w:r>
          </w:p>
        </w:tc>
        <w:tc>
          <w:tcPr>
            <w:tcW w:w="7712" w:type="dxa"/>
            <w:gridSpan w:val="8"/>
            <w:tcBorders>
              <w:top w:val="single" w:color="FFFFFF" w:sz="6" w:space="0"/>
              <w:left w:val="single" w:color="FFFFFF" w:sz="6" w:space="0"/>
              <w:right w:val="single" w:color="FFFFFF" w:sz="6" w:space="0"/>
            </w:tcBorders>
            <w:vAlign w:val="center"/>
          </w:tcPr>
          <w:p w14:paraId="0BB026A9">
            <w:pPr>
              <w:pStyle w:val="22"/>
            </w:pPr>
            <w:r>
              <w:t>单位：万元</w:t>
            </w:r>
          </w:p>
        </w:tc>
      </w:tr>
      <w:tr w14:paraId="4E166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1A92E47">
            <w:pPr>
              <w:pStyle w:val="11"/>
            </w:pPr>
            <w:r>
              <w:t>政府采购项目来源</w:t>
            </w:r>
          </w:p>
        </w:tc>
        <w:tc>
          <w:tcPr>
            <w:tcW w:w="1134" w:type="dxa"/>
            <w:vMerge w:val="restart"/>
            <w:vAlign w:val="center"/>
          </w:tcPr>
          <w:p w14:paraId="67B21AA2">
            <w:pPr>
              <w:pStyle w:val="11"/>
            </w:pPr>
            <w:r>
              <w:t>采购物品名称</w:t>
            </w:r>
          </w:p>
        </w:tc>
        <w:tc>
          <w:tcPr>
            <w:tcW w:w="1134" w:type="dxa"/>
            <w:vMerge w:val="restart"/>
            <w:vAlign w:val="center"/>
          </w:tcPr>
          <w:p w14:paraId="34A1DEAA">
            <w:pPr>
              <w:pStyle w:val="11"/>
            </w:pPr>
            <w:r>
              <w:t>政府采购目录序号</w:t>
            </w:r>
          </w:p>
        </w:tc>
        <w:tc>
          <w:tcPr>
            <w:tcW w:w="709" w:type="dxa"/>
            <w:vMerge w:val="restart"/>
            <w:vAlign w:val="center"/>
          </w:tcPr>
          <w:p w14:paraId="0F7DAF65">
            <w:pPr>
              <w:pStyle w:val="11"/>
            </w:pPr>
            <w:r>
              <w:t>计量  单位</w:t>
            </w:r>
          </w:p>
        </w:tc>
        <w:tc>
          <w:tcPr>
            <w:tcW w:w="850" w:type="dxa"/>
            <w:vMerge w:val="restart"/>
            <w:vAlign w:val="center"/>
          </w:tcPr>
          <w:p w14:paraId="7D473E40">
            <w:pPr>
              <w:pStyle w:val="11"/>
            </w:pPr>
            <w:r>
              <w:t>数量</w:t>
            </w:r>
          </w:p>
        </w:tc>
        <w:tc>
          <w:tcPr>
            <w:tcW w:w="850" w:type="dxa"/>
            <w:vMerge w:val="restart"/>
            <w:vAlign w:val="center"/>
          </w:tcPr>
          <w:p w14:paraId="6AE904FB">
            <w:pPr>
              <w:pStyle w:val="11"/>
            </w:pPr>
            <w:r>
              <w:t>单价</w:t>
            </w:r>
          </w:p>
        </w:tc>
        <w:tc>
          <w:tcPr>
            <w:tcW w:w="6748" w:type="dxa"/>
            <w:gridSpan w:val="7"/>
            <w:vAlign w:val="center"/>
          </w:tcPr>
          <w:p w14:paraId="270D2C83">
            <w:pPr>
              <w:pStyle w:val="11"/>
            </w:pPr>
            <w:r>
              <w:t>政府采购金额（当年部门预算安排资金）</w:t>
            </w:r>
          </w:p>
        </w:tc>
        <w:tc>
          <w:tcPr>
            <w:tcW w:w="964" w:type="dxa"/>
            <w:vMerge w:val="restart"/>
            <w:vAlign w:val="center"/>
          </w:tcPr>
          <w:p w14:paraId="04759B8A">
            <w:pPr>
              <w:pStyle w:val="11"/>
            </w:pPr>
            <w:r>
              <w:t>2025年  预留中  小微企  业份额</w:t>
            </w:r>
          </w:p>
        </w:tc>
      </w:tr>
      <w:tr w14:paraId="5FB50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E4F7971">
            <w:pPr>
              <w:pStyle w:val="11"/>
            </w:pPr>
            <w:r>
              <w:t>项目名称</w:t>
            </w:r>
          </w:p>
        </w:tc>
        <w:tc>
          <w:tcPr>
            <w:tcW w:w="964" w:type="dxa"/>
            <w:vAlign w:val="center"/>
          </w:tcPr>
          <w:p w14:paraId="0A29EBED">
            <w:pPr>
              <w:pStyle w:val="11"/>
            </w:pPr>
            <w:r>
              <w:t>预算    资金</w:t>
            </w:r>
          </w:p>
        </w:tc>
        <w:tc>
          <w:tcPr>
            <w:tcW w:w="1134" w:type="dxa"/>
            <w:vMerge w:val="continue"/>
          </w:tcPr>
          <w:p w14:paraId="0AF7DB39"/>
        </w:tc>
        <w:tc>
          <w:tcPr>
            <w:tcW w:w="1134" w:type="dxa"/>
            <w:vMerge w:val="continue"/>
          </w:tcPr>
          <w:p w14:paraId="6C89071F"/>
        </w:tc>
        <w:tc>
          <w:tcPr>
            <w:tcW w:w="709" w:type="dxa"/>
            <w:vMerge w:val="continue"/>
          </w:tcPr>
          <w:p w14:paraId="1ED673D9"/>
        </w:tc>
        <w:tc>
          <w:tcPr>
            <w:tcW w:w="850" w:type="dxa"/>
            <w:vMerge w:val="continue"/>
          </w:tcPr>
          <w:p w14:paraId="1F41C56C"/>
        </w:tc>
        <w:tc>
          <w:tcPr>
            <w:tcW w:w="850" w:type="dxa"/>
            <w:vMerge w:val="continue"/>
          </w:tcPr>
          <w:p w14:paraId="11C11334"/>
        </w:tc>
        <w:tc>
          <w:tcPr>
            <w:tcW w:w="964" w:type="dxa"/>
            <w:vAlign w:val="center"/>
          </w:tcPr>
          <w:p w14:paraId="2BDBAE3E">
            <w:pPr>
              <w:pStyle w:val="11"/>
            </w:pPr>
            <w:r>
              <w:t>合计</w:t>
            </w:r>
          </w:p>
        </w:tc>
        <w:tc>
          <w:tcPr>
            <w:tcW w:w="964" w:type="dxa"/>
            <w:vAlign w:val="center"/>
          </w:tcPr>
          <w:p w14:paraId="759A793D">
            <w:pPr>
              <w:pStyle w:val="11"/>
            </w:pPr>
            <w:r>
              <w:t>一般公共预算拨款</w:t>
            </w:r>
          </w:p>
        </w:tc>
        <w:tc>
          <w:tcPr>
            <w:tcW w:w="964" w:type="dxa"/>
            <w:vAlign w:val="center"/>
          </w:tcPr>
          <w:p w14:paraId="5252F98B">
            <w:pPr>
              <w:pStyle w:val="11"/>
            </w:pPr>
            <w:r>
              <w:t>基金预算拨款</w:t>
            </w:r>
          </w:p>
        </w:tc>
        <w:tc>
          <w:tcPr>
            <w:tcW w:w="964" w:type="dxa"/>
            <w:vAlign w:val="center"/>
          </w:tcPr>
          <w:p w14:paraId="75EF3BBD">
            <w:pPr>
              <w:pStyle w:val="11"/>
            </w:pPr>
            <w:r>
              <w:t>国有资本经营预算拨款</w:t>
            </w:r>
          </w:p>
        </w:tc>
        <w:tc>
          <w:tcPr>
            <w:tcW w:w="964" w:type="dxa"/>
            <w:vAlign w:val="center"/>
          </w:tcPr>
          <w:p w14:paraId="2C53B9E0">
            <w:pPr>
              <w:pStyle w:val="11"/>
            </w:pPr>
            <w:r>
              <w:t>财政专户核拨</w:t>
            </w:r>
          </w:p>
        </w:tc>
        <w:tc>
          <w:tcPr>
            <w:tcW w:w="964" w:type="dxa"/>
            <w:vAlign w:val="center"/>
          </w:tcPr>
          <w:p w14:paraId="441CA65C">
            <w:pPr>
              <w:pStyle w:val="11"/>
            </w:pPr>
            <w:r>
              <w:t>单位    资金</w:t>
            </w:r>
          </w:p>
        </w:tc>
        <w:tc>
          <w:tcPr>
            <w:tcW w:w="964" w:type="dxa"/>
            <w:vAlign w:val="center"/>
          </w:tcPr>
          <w:p w14:paraId="2FE2BADA">
            <w:pPr>
              <w:pStyle w:val="11"/>
            </w:pPr>
            <w:r>
              <w:t>上年结转结余</w:t>
            </w:r>
          </w:p>
        </w:tc>
        <w:tc>
          <w:tcPr>
            <w:tcW w:w="964" w:type="dxa"/>
            <w:vMerge w:val="continue"/>
          </w:tcPr>
          <w:p w14:paraId="2FE61056"/>
        </w:tc>
      </w:tr>
      <w:tr w14:paraId="1B5DF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BF3FE4">
            <w:pPr>
              <w:pStyle w:val="13"/>
            </w:pPr>
          </w:p>
        </w:tc>
        <w:tc>
          <w:tcPr>
            <w:tcW w:w="964" w:type="dxa"/>
            <w:vAlign w:val="center"/>
          </w:tcPr>
          <w:p w14:paraId="7A78CDFF">
            <w:pPr>
              <w:pStyle w:val="14"/>
            </w:pPr>
          </w:p>
        </w:tc>
        <w:tc>
          <w:tcPr>
            <w:tcW w:w="1134" w:type="dxa"/>
            <w:vAlign w:val="center"/>
          </w:tcPr>
          <w:p w14:paraId="6C2C4BEE">
            <w:pPr>
              <w:pStyle w:val="13"/>
            </w:pPr>
          </w:p>
        </w:tc>
        <w:tc>
          <w:tcPr>
            <w:tcW w:w="1134" w:type="dxa"/>
            <w:vAlign w:val="center"/>
          </w:tcPr>
          <w:p w14:paraId="557A7225">
            <w:pPr>
              <w:pStyle w:val="13"/>
            </w:pPr>
          </w:p>
        </w:tc>
        <w:tc>
          <w:tcPr>
            <w:tcW w:w="709" w:type="dxa"/>
            <w:vAlign w:val="center"/>
          </w:tcPr>
          <w:p w14:paraId="45E55496">
            <w:pPr>
              <w:pStyle w:val="12"/>
            </w:pPr>
          </w:p>
        </w:tc>
        <w:tc>
          <w:tcPr>
            <w:tcW w:w="850" w:type="dxa"/>
            <w:vAlign w:val="center"/>
          </w:tcPr>
          <w:p w14:paraId="253F49EC">
            <w:pPr>
              <w:pStyle w:val="14"/>
            </w:pPr>
          </w:p>
        </w:tc>
        <w:tc>
          <w:tcPr>
            <w:tcW w:w="850" w:type="dxa"/>
            <w:vAlign w:val="center"/>
          </w:tcPr>
          <w:p w14:paraId="5F0611A2">
            <w:pPr>
              <w:pStyle w:val="14"/>
            </w:pPr>
          </w:p>
        </w:tc>
        <w:tc>
          <w:tcPr>
            <w:tcW w:w="964" w:type="dxa"/>
            <w:vAlign w:val="center"/>
          </w:tcPr>
          <w:p w14:paraId="1296DA4F">
            <w:pPr>
              <w:pStyle w:val="14"/>
            </w:pPr>
          </w:p>
        </w:tc>
        <w:tc>
          <w:tcPr>
            <w:tcW w:w="964" w:type="dxa"/>
            <w:vAlign w:val="center"/>
          </w:tcPr>
          <w:p w14:paraId="00361B24">
            <w:pPr>
              <w:pStyle w:val="14"/>
            </w:pPr>
          </w:p>
        </w:tc>
        <w:tc>
          <w:tcPr>
            <w:tcW w:w="964" w:type="dxa"/>
            <w:vAlign w:val="center"/>
          </w:tcPr>
          <w:p w14:paraId="51EFE114">
            <w:pPr>
              <w:pStyle w:val="14"/>
            </w:pPr>
          </w:p>
        </w:tc>
        <w:tc>
          <w:tcPr>
            <w:tcW w:w="964" w:type="dxa"/>
            <w:vAlign w:val="center"/>
          </w:tcPr>
          <w:p w14:paraId="4E08B9F3">
            <w:pPr>
              <w:pStyle w:val="14"/>
            </w:pPr>
          </w:p>
        </w:tc>
        <w:tc>
          <w:tcPr>
            <w:tcW w:w="964" w:type="dxa"/>
            <w:vAlign w:val="center"/>
          </w:tcPr>
          <w:p w14:paraId="384AD461">
            <w:pPr>
              <w:pStyle w:val="14"/>
            </w:pPr>
          </w:p>
        </w:tc>
        <w:tc>
          <w:tcPr>
            <w:tcW w:w="964" w:type="dxa"/>
            <w:vAlign w:val="center"/>
          </w:tcPr>
          <w:p w14:paraId="7D665E49">
            <w:pPr>
              <w:pStyle w:val="14"/>
            </w:pPr>
          </w:p>
        </w:tc>
        <w:tc>
          <w:tcPr>
            <w:tcW w:w="964" w:type="dxa"/>
            <w:vAlign w:val="center"/>
          </w:tcPr>
          <w:p w14:paraId="3B3251E5">
            <w:pPr>
              <w:pStyle w:val="14"/>
            </w:pPr>
          </w:p>
        </w:tc>
        <w:tc>
          <w:tcPr>
            <w:tcW w:w="964" w:type="dxa"/>
            <w:vAlign w:val="center"/>
          </w:tcPr>
          <w:p w14:paraId="674FACE2">
            <w:pPr>
              <w:pStyle w:val="14"/>
            </w:pPr>
          </w:p>
        </w:tc>
      </w:tr>
    </w:tbl>
    <w:p w14:paraId="6DEED4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71EA7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176947">
      <w:pPr>
        <w:spacing w:before="0" w:after="0"/>
        <w:ind w:firstLine="640"/>
        <w:jc w:val="left"/>
        <w:outlineLvl w:val="9"/>
      </w:pPr>
      <w:r>
        <w:rPr>
          <w:rFonts w:ascii="Times New Roman" w:hAnsi="Times New Roman" w:eastAsia="方正仿宋_GBK" w:cs="Times New Roman"/>
          <w:color w:val="000000"/>
          <w:sz w:val="32"/>
        </w:rPr>
        <w:t xml:space="preserve"> </w:t>
      </w:r>
    </w:p>
    <w:p w14:paraId="5EB8A464">
      <w:pPr>
        <w:spacing w:before="10" w:after="10" w:line="240" w:lineRule="auto"/>
        <w:ind w:firstLine="640"/>
        <w:jc w:val="left"/>
        <w:outlineLvl w:val="5"/>
      </w:pPr>
      <w:r>
        <w:rPr>
          <w:rFonts w:ascii="黑体" w:hAnsi="黑体" w:eastAsia="黑体" w:cs="黑体"/>
          <w:color w:val="000000"/>
          <w:sz w:val="32"/>
        </w:rPr>
        <w:t>七、国有资产信息</w:t>
      </w:r>
    </w:p>
    <w:p w14:paraId="1EAD1851">
      <w:pPr>
        <w:spacing w:before="0" w:after="0" w:line="500" w:lineRule="exact"/>
        <w:ind w:firstLine="560"/>
        <w:jc w:val="left"/>
        <w:outlineLvl w:val="9"/>
      </w:pPr>
      <w:r>
        <w:rPr>
          <w:rFonts w:ascii="Times New Roman" w:hAnsi="Times New Roman" w:eastAsia="方正仿宋_GBK" w:cs="Times New Roman"/>
          <w:b w:val="0"/>
          <w:color w:val="000000"/>
          <w:sz w:val="28"/>
        </w:rPr>
        <w:t>隆尧县县直幼儿园上年末固定资产金额为0.00万元（详见下表）。本年度拟购置固定资产总额为</w:t>
      </w:r>
      <w:r>
        <w:rPr>
          <w:rFonts w:hint="eastAsia" w:eastAsia="方正仿宋_GBK" w:cs="Times New Roman"/>
          <w:b w:val="0"/>
          <w:color w:val="000000"/>
          <w:sz w:val="28"/>
          <w:lang w:val="en-US" w:eastAsia="zh-CN"/>
        </w:rPr>
        <w:t>13.35</w:t>
      </w:r>
      <w:r>
        <w:rPr>
          <w:rFonts w:ascii="Times New Roman" w:hAnsi="Times New Roman" w:eastAsia="方正仿宋_GBK" w:cs="Times New Roman"/>
          <w:b w:val="0"/>
          <w:color w:val="000000"/>
          <w:sz w:val="28"/>
        </w:rPr>
        <w:t>万元，已按要求列入政府采购预算，详见政府采购预算表。</w:t>
      </w:r>
    </w:p>
    <w:p w14:paraId="407E0CD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B01E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64F9DF4">
            <w:pPr>
              <w:pStyle w:val="8"/>
            </w:pPr>
            <w:r>
              <w:t>360014隆尧县县直幼儿园</w:t>
            </w:r>
          </w:p>
        </w:tc>
        <w:tc>
          <w:tcPr>
            <w:tcW w:w="5670" w:type="dxa"/>
            <w:gridSpan w:val="2"/>
            <w:tcBorders>
              <w:top w:val="single" w:color="FFFFFF" w:sz="6" w:space="0"/>
              <w:left w:val="single" w:color="FFFFFF" w:sz="6" w:space="0"/>
              <w:right w:val="single" w:color="FFFFFF" w:sz="6" w:space="0"/>
            </w:tcBorders>
            <w:vAlign w:val="center"/>
          </w:tcPr>
          <w:p w14:paraId="06F42C1D">
            <w:pPr>
              <w:pStyle w:val="10"/>
            </w:pPr>
            <w:r>
              <w:t>截止时间：2024-12-31</w:t>
            </w:r>
          </w:p>
        </w:tc>
      </w:tr>
      <w:tr w14:paraId="6A159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19386C8">
            <w:pPr>
              <w:pStyle w:val="11"/>
            </w:pPr>
            <w:r>
              <w:t>项   目</w:t>
            </w:r>
          </w:p>
        </w:tc>
        <w:tc>
          <w:tcPr>
            <w:tcW w:w="2835" w:type="dxa"/>
            <w:vAlign w:val="center"/>
          </w:tcPr>
          <w:p w14:paraId="41BBCF1F">
            <w:pPr>
              <w:pStyle w:val="11"/>
            </w:pPr>
            <w:r>
              <w:t>数量</w:t>
            </w:r>
          </w:p>
        </w:tc>
        <w:tc>
          <w:tcPr>
            <w:tcW w:w="2835" w:type="dxa"/>
            <w:vAlign w:val="center"/>
          </w:tcPr>
          <w:p w14:paraId="3757B58C">
            <w:pPr>
              <w:pStyle w:val="11"/>
            </w:pPr>
            <w:r>
              <w:t>价值（金额单位：万元）</w:t>
            </w:r>
          </w:p>
        </w:tc>
      </w:tr>
      <w:tr w14:paraId="53D8F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3B4B0F">
            <w:pPr>
              <w:pStyle w:val="13"/>
            </w:pPr>
          </w:p>
        </w:tc>
        <w:tc>
          <w:tcPr>
            <w:tcW w:w="2835" w:type="dxa"/>
            <w:vAlign w:val="center"/>
          </w:tcPr>
          <w:p w14:paraId="472B6C5F">
            <w:pPr>
              <w:pStyle w:val="12"/>
            </w:pPr>
          </w:p>
        </w:tc>
        <w:tc>
          <w:tcPr>
            <w:tcW w:w="2835" w:type="dxa"/>
            <w:vAlign w:val="center"/>
          </w:tcPr>
          <w:p w14:paraId="1709503C">
            <w:pPr>
              <w:pStyle w:val="14"/>
            </w:pPr>
          </w:p>
        </w:tc>
      </w:tr>
    </w:tbl>
    <w:p w14:paraId="65A1AEB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47AD58E">
      <w:pPr>
        <w:spacing w:before="0" w:after="0"/>
        <w:ind w:firstLine="640"/>
        <w:jc w:val="left"/>
        <w:outlineLvl w:val="9"/>
      </w:pPr>
      <w:r>
        <w:rPr>
          <w:rFonts w:ascii="Times New Roman" w:hAnsi="Times New Roman" w:eastAsia="方正仿宋_GBK" w:cs="Times New Roman"/>
          <w:color w:val="000000"/>
          <w:sz w:val="32"/>
        </w:rPr>
        <w:t xml:space="preserve"> </w:t>
      </w:r>
    </w:p>
    <w:p w14:paraId="10D0FA80">
      <w:pPr>
        <w:spacing w:before="10" w:after="10" w:line="240" w:lineRule="auto"/>
        <w:ind w:firstLine="640"/>
        <w:jc w:val="left"/>
        <w:outlineLvl w:val="5"/>
      </w:pPr>
      <w:r>
        <w:rPr>
          <w:rFonts w:ascii="黑体" w:hAnsi="黑体" w:eastAsia="黑体" w:cs="黑体"/>
          <w:color w:val="000000"/>
          <w:sz w:val="32"/>
        </w:rPr>
        <w:t>八、名词解释</w:t>
      </w:r>
    </w:p>
    <w:p w14:paraId="14F5F2A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383F6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D086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33E27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E948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DC51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86757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473B2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7E848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AB8C2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6C7780">
      <w:pPr>
        <w:spacing w:before="10" w:after="10" w:line="240" w:lineRule="auto"/>
        <w:ind w:firstLine="640"/>
        <w:jc w:val="left"/>
        <w:outlineLvl w:val="5"/>
      </w:pPr>
      <w:r>
        <w:rPr>
          <w:rFonts w:ascii="黑体" w:hAnsi="黑体" w:eastAsia="黑体" w:cs="黑体"/>
          <w:color w:val="000000"/>
          <w:sz w:val="32"/>
        </w:rPr>
        <w:t>九、其他需要说明的事项</w:t>
      </w:r>
    </w:p>
    <w:p w14:paraId="20F07E5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39380AF">
      <w:pPr>
        <w:spacing w:before="0" w:after="0"/>
        <w:ind w:firstLine="0"/>
        <w:jc w:val="center"/>
        <w:outlineLvl w:val="3"/>
      </w:pPr>
      <w:bookmarkStart w:id="14" w:name="_Toc_4_4_0000000034"/>
      <w:r>
        <w:rPr>
          <w:rFonts w:ascii="方正小标宋_GBK" w:hAnsi="方正小标宋_GBK" w:eastAsia="方正小标宋_GBK" w:cs="方正小标宋_GBK"/>
          <w:b w:val="0"/>
          <w:color w:val="000000"/>
          <w:sz w:val="44"/>
        </w:rPr>
        <w:t>十四、隆尧县职业技术教育中心收支预算</w:t>
      </w:r>
      <w:bookmarkEnd w:id="14"/>
    </w:p>
    <w:p w14:paraId="1C0D99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C023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6DCB68">
            <w:pPr>
              <w:pStyle w:val="8"/>
            </w:pPr>
            <w:r>
              <w:t>360015隆尧县职业技术教育中心</w:t>
            </w:r>
          </w:p>
        </w:tc>
        <w:tc>
          <w:tcPr>
            <w:tcW w:w="2126" w:type="dxa"/>
            <w:tcBorders>
              <w:top w:val="single" w:color="FFFFFF" w:sz="6" w:space="0"/>
              <w:left w:val="single" w:color="FFFFFF" w:sz="6" w:space="0"/>
              <w:right w:val="single" w:color="FFFFFF" w:sz="6" w:space="0"/>
            </w:tcBorders>
            <w:vAlign w:val="center"/>
          </w:tcPr>
          <w:p w14:paraId="387E167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F499724">
            <w:pPr>
              <w:pStyle w:val="10"/>
            </w:pPr>
            <w:r>
              <w:t>单位：万元</w:t>
            </w:r>
          </w:p>
        </w:tc>
      </w:tr>
      <w:tr w14:paraId="15B0F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8C040F">
            <w:pPr>
              <w:pStyle w:val="11"/>
            </w:pPr>
            <w:r>
              <w:t>序号</w:t>
            </w:r>
          </w:p>
        </w:tc>
        <w:tc>
          <w:tcPr>
            <w:tcW w:w="6661" w:type="dxa"/>
            <w:gridSpan w:val="2"/>
            <w:vAlign w:val="center"/>
          </w:tcPr>
          <w:p w14:paraId="33B9EC19">
            <w:pPr>
              <w:pStyle w:val="11"/>
            </w:pPr>
            <w:r>
              <w:t>收入</w:t>
            </w:r>
          </w:p>
        </w:tc>
        <w:tc>
          <w:tcPr>
            <w:tcW w:w="6661" w:type="dxa"/>
            <w:gridSpan w:val="2"/>
            <w:vAlign w:val="center"/>
          </w:tcPr>
          <w:p w14:paraId="01E13ABA">
            <w:pPr>
              <w:pStyle w:val="11"/>
            </w:pPr>
            <w:r>
              <w:t>支出</w:t>
            </w:r>
          </w:p>
        </w:tc>
      </w:tr>
      <w:tr w14:paraId="65696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641B18"/>
        </w:tc>
        <w:tc>
          <w:tcPr>
            <w:tcW w:w="4535" w:type="dxa"/>
            <w:vAlign w:val="center"/>
          </w:tcPr>
          <w:p w14:paraId="003795CD">
            <w:pPr>
              <w:pStyle w:val="11"/>
            </w:pPr>
            <w:r>
              <w:t>项  目</w:t>
            </w:r>
          </w:p>
        </w:tc>
        <w:tc>
          <w:tcPr>
            <w:tcW w:w="2126" w:type="dxa"/>
            <w:vAlign w:val="center"/>
          </w:tcPr>
          <w:p w14:paraId="2D013D8D">
            <w:pPr>
              <w:pStyle w:val="11"/>
            </w:pPr>
            <w:r>
              <w:t>预算数</w:t>
            </w:r>
          </w:p>
        </w:tc>
        <w:tc>
          <w:tcPr>
            <w:tcW w:w="4535" w:type="dxa"/>
            <w:vAlign w:val="center"/>
          </w:tcPr>
          <w:p w14:paraId="49415A55">
            <w:pPr>
              <w:pStyle w:val="11"/>
            </w:pPr>
            <w:r>
              <w:t>项  目</w:t>
            </w:r>
          </w:p>
        </w:tc>
        <w:tc>
          <w:tcPr>
            <w:tcW w:w="2126" w:type="dxa"/>
            <w:vAlign w:val="center"/>
          </w:tcPr>
          <w:p w14:paraId="05D03C5F">
            <w:pPr>
              <w:pStyle w:val="11"/>
            </w:pPr>
            <w:r>
              <w:t>预算数</w:t>
            </w:r>
          </w:p>
        </w:tc>
      </w:tr>
      <w:tr w14:paraId="53790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8DDCBC">
            <w:pPr>
              <w:pStyle w:val="11"/>
            </w:pPr>
            <w:r>
              <w:t>栏次</w:t>
            </w:r>
          </w:p>
        </w:tc>
        <w:tc>
          <w:tcPr>
            <w:tcW w:w="4535" w:type="dxa"/>
            <w:vAlign w:val="center"/>
          </w:tcPr>
          <w:p w14:paraId="3057C001">
            <w:pPr>
              <w:pStyle w:val="11"/>
            </w:pPr>
            <w:r>
              <w:t>1</w:t>
            </w:r>
          </w:p>
        </w:tc>
        <w:tc>
          <w:tcPr>
            <w:tcW w:w="2126" w:type="dxa"/>
            <w:vAlign w:val="center"/>
          </w:tcPr>
          <w:p w14:paraId="18B15757">
            <w:pPr>
              <w:pStyle w:val="11"/>
            </w:pPr>
            <w:r>
              <w:t>2</w:t>
            </w:r>
          </w:p>
        </w:tc>
        <w:tc>
          <w:tcPr>
            <w:tcW w:w="4535" w:type="dxa"/>
            <w:vAlign w:val="center"/>
          </w:tcPr>
          <w:p w14:paraId="51494821">
            <w:pPr>
              <w:pStyle w:val="11"/>
            </w:pPr>
            <w:r>
              <w:t>3</w:t>
            </w:r>
          </w:p>
        </w:tc>
        <w:tc>
          <w:tcPr>
            <w:tcW w:w="2126" w:type="dxa"/>
            <w:vAlign w:val="center"/>
          </w:tcPr>
          <w:p w14:paraId="78D42BC4">
            <w:pPr>
              <w:pStyle w:val="11"/>
            </w:pPr>
            <w:r>
              <w:t>4</w:t>
            </w:r>
          </w:p>
        </w:tc>
      </w:tr>
      <w:tr w14:paraId="7D183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99C77">
            <w:pPr>
              <w:pStyle w:val="12"/>
            </w:pPr>
            <w:r>
              <w:t>1</w:t>
            </w:r>
          </w:p>
        </w:tc>
        <w:tc>
          <w:tcPr>
            <w:tcW w:w="4535" w:type="dxa"/>
            <w:vAlign w:val="center"/>
          </w:tcPr>
          <w:p w14:paraId="2EC25650">
            <w:pPr>
              <w:pStyle w:val="13"/>
            </w:pPr>
            <w:r>
              <w:t>一、一般公共预算拨款收入</w:t>
            </w:r>
          </w:p>
        </w:tc>
        <w:tc>
          <w:tcPr>
            <w:tcW w:w="2126" w:type="dxa"/>
            <w:vAlign w:val="center"/>
          </w:tcPr>
          <w:p w14:paraId="506B5241">
            <w:pPr>
              <w:pStyle w:val="14"/>
            </w:pPr>
            <w:r>
              <w:t>3482.02</w:t>
            </w:r>
          </w:p>
        </w:tc>
        <w:tc>
          <w:tcPr>
            <w:tcW w:w="4535" w:type="dxa"/>
            <w:vAlign w:val="center"/>
          </w:tcPr>
          <w:p w14:paraId="32418682">
            <w:pPr>
              <w:pStyle w:val="13"/>
            </w:pPr>
            <w:r>
              <w:t>一、一般公共服务支出</w:t>
            </w:r>
          </w:p>
        </w:tc>
        <w:tc>
          <w:tcPr>
            <w:tcW w:w="2126" w:type="dxa"/>
            <w:vAlign w:val="center"/>
          </w:tcPr>
          <w:p w14:paraId="512B7261">
            <w:pPr>
              <w:pStyle w:val="14"/>
            </w:pPr>
          </w:p>
        </w:tc>
      </w:tr>
      <w:tr w14:paraId="37D69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3FB0FA9">
            <w:pPr>
              <w:pStyle w:val="12"/>
            </w:pPr>
            <w:r>
              <w:t>2</w:t>
            </w:r>
          </w:p>
        </w:tc>
        <w:tc>
          <w:tcPr>
            <w:tcW w:w="4535" w:type="dxa"/>
            <w:vAlign w:val="center"/>
          </w:tcPr>
          <w:p w14:paraId="2F61F622">
            <w:pPr>
              <w:pStyle w:val="13"/>
            </w:pPr>
            <w:r>
              <w:t>二、政府性基金预算拨款收入</w:t>
            </w:r>
          </w:p>
        </w:tc>
        <w:tc>
          <w:tcPr>
            <w:tcW w:w="2126" w:type="dxa"/>
            <w:vAlign w:val="center"/>
          </w:tcPr>
          <w:p w14:paraId="2A73F5E0">
            <w:pPr>
              <w:pStyle w:val="14"/>
            </w:pPr>
          </w:p>
        </w:tc>
        <w:tc>
          <w:tcPr>
            <w:tcW w:w="4535" w:type="dxa"/>
            <w:vAlign w:val="center"/>
          </w:tcPr>
          <w:p w14:paraId="5F8630E4">
            <w:pPr>
              <w:pStyle w:val="13"/>
            </w:pPr>
            <w:r>
              <w:t>二、外交支出</w:t>
            </w:r>
          </w:p>
        </w:tc>
        <w:tc>
          <w:tcPr>
            <w:tcW w:w="2126" w:type="dxa"/>
            <w:vAlign w:val="center"/>
          </w:tcPr>
          <w:p w14:paraId="6BBACFDE">
            <w:pPr>
              <w:pStyle w:val="14"/>
            </w:pPr>
          </w:p>
        </w:tc>
      </w:tr>
      <w:tr w14:paraId="490D7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81233">
            <w:pPr>
              <w:pStyle w:val="12"/>
            </w:pPr>
            <w:r>
              <w:t>3</w:t>
            </w:r>
          </w:p>
        </w:tc>
        <w:tc>
          <w:tcPr>
            <w:tcW w:w="4535" w:type="dxa"/>
            <w:vAlign w:val="center"/>
          </w:tcPr>
          <w:p w14:paraId="1EC532D1">
            <w:pPr>
              <w:pStyle w:val="13"/>
            </w:pPr>
            <w:r>
              <w:t>三、国有资本经营预算拨款收入</w:t>
            </w:r>
          </w:p>
        </w:tc>
        <w:tc>
          <w:tcPr>
            <w:tcW w:w="2126" w:type="dxa"/>
            <w:vAlign w:val="center"/>
          </w:tcPr>
          <w:p w14:paraId="57337F3A">
            <w:pPr>
              <w:pStyle w:val="14"/>
            </w:pPr>
          </w:p>
        </w:tc>
        <w:tc>
          <w:tcPr>
            <w:tcW w:w="4535" w:type="dxa"/>
            <w:vAlign w:val="center"/>
          </w:tcPr>
          <w:p w14:paraId="304F3754">
            <w:pPr>
              <w:pStyle w:val="13"/>
            </w:pPr>
            <w:r>
              <w:t>三、国防支出</w:t>
            </w:r>
          </w:p>
        </w:tc>
        <w:tc>
          <w:tcPr>
            <w:tcW w:w="2126" w:type="dxa"/>
            <w:vAlign w:val="center"/>
          </w:tcPr>
          <w:p w14:paraId="5501A07F">
            <w:pPr>
              <w:pStyle w:val="14"/>
            </w:pPr>
          </w:p>
        </w:tc>
      </w:tr>
      <w:tr w14:paraId="7EADA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F900B">
            <w:pPr>
              <w:pStyle w:val="12"/>
            </w:pPr>
            <w:r>
              <w:t>4</w:t>
            </w:r>
          </w:p>
        </w:tc>
        <w:tc>
          <w:tcPr>
            <w:tcW w:w="4535" w:type="dxa"/>
            <w:vAlign w:val="center"/>
          </w:tcPr>
          <w:p w14:paraId="22B1AE22">
            <w:pPr>
              <w:pStyle w:val="13"/>
            </w:pPr>
            <w:r>
              <w:t>四、财政专户管理资金收入</w:t>
            </w:r>
          </w:p>
        </w:tc>
        <w:tc>
          <w:tcPr>
            <w:tcW w:w="2126" w:type="dxa"/>
            <w:vAlign w:val="center"/>
          </w:tcPr>
          <w:p w14:paraId="45F4F0B2">
            <w:pPr>
              <w:pStyle w:val="14"/>
            </w:pPr>
            <w:r>
              <w:t>162.00</w:t>
            </w:r>
          </w:p>
        </w:tc>
        <w:tc>
          <w:tcPr>
            <w:tcW w:w="4535" w:type="dxa"/>
            <w:vAlign w:val="center"/>
          </w:tcPr>
          <w:p w14:paraId="51BF7E45">
            <w:pPr>
              <w:pStyle w:val="13"/>
            </w:pPr>
            <w:r>
              <w:t>四、公共安全支出</w:t>
            </w:r>
          </w:p>
        </w:tc>
        <w:tc>
          <w:tcPr>
            <w:tcW w:w="2126" w:type="dxa"/>
            <w:vAlign w:val="center"/>
          </w:tcPr>
          <w:p w14:paraId="780D50F8">
            <w:pPr>
              <w:pStyle w:val="14"/>
            </w:pPr>
          </w:p>
        </w:tc>
      </w:tr>
      <w:tr w14:paraId="379E1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B4FC9">
            <w:pPr>
              <w:pStyle w:val="12"/>
            </w:pPr>
            <w:r>
              <w:t>5</w:t>
            </w:r>
          </w:p>
        </w:tc>
        <w:tc>
          <w:tcPr>
            <w:tcW w:w="4535" w:type="dxa"/>
            <w:vAlign w:val="center"/>
          </w:tcPr>
          <w:p w14:paraId="1D5D554A">
            <w:pPr>
              <w:pStyle w:val="13"/>
            </w:pPr>
            <w:r>
              <w:t>五、单位资金</w:t>
            </w:r>
          </w:p>
        </w:tc>
        <w:tc>
          <w:tcPr>
            <w:tcW w:w="2126" w:type="dxa"/>
            <w:vAlign w:val="center"/>
          </w:tcPr>
          <w:p w14:paraId="675844C7">
            <w:pPr>
              <w:pStyle w:val="14"/>
            </w:pPr>
          </w:p>
        </w:tc>
        <w:tc>
          <w:tcPr>
            <w:tcW w:w="4535" w:type="dxa"/>
            <w:vAlign w:val="center"/>
          </w:tcPr>
          <w:p w14:paraId="574B484C">
            <w:pPr>
              <w:pStyle w:val="13"/>
            </w:pPr>
            <w:r>
              <w:t>五、教育支出</w:t>
            </w:r>
          </w:p>
        </w:tc>
        <w:tc>
          <w:tcPr>
            <w:tcW w:w="2126" w:type="dxa"/>
            <w:vAlign w:val="center"/>
          </w:tcPr>
          <w:p w14:paraId="4A0399B8">
            <w:pPr>
              <w:pStyle w:val="14"/>
            </w:pPr>
            <w:r>
              <w:t>3707.95</w:t>
            </w:r>
          </w:p>
        </w:tc>
      </w:tr>
      <w:tr w14:paraId="64F07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629CBB4">
            <w:pPr>
              <w:pStyle w:val="12"/>
            </w:pPr>
            <w:r>
              <w:t>6</w:t>
            </w:r>
          </w:p>
        </w:tc>
        <w:tc>
          <w:tcPr>
            <w:tcW w:w="4535" w:type="dxa"/>
            <w:vAlign w:val="center"/>
          </w:tcPr>
          <w:p w14:paraId="5FCDA44A">
            <w:pPr>
              <w:pStyle w:val="13"/>
            </w:pPr>
          </w:p>
        </w:tc>
        <w:tc>
          <w:tcPr>
            <w:tcW w:w="2126" w:type="dxa"/>
            <w:vAlign w:val="center"/>
          </w:tcPr>
          <w:p w14:paraId="0F38C87C">
            <w:pPr>
              <w:pStyle w:val="14"/>
            </w:pPr>
          </w:p>
        </w:tc>
        <w:tc>
          <w:tcPr>
            <w:tcW w:w="4535" w:type="dxa"/>
            <w:vAlign w:val="center"/>
          </w:tcPr>
          <w:p w14:paraId="21301302">
            <w:pPr>
              <w:pStyle w:val="13"/>
            </w:pPr>
            <w:r>
              <w:t>六、科学技术支出</w:t>
            </w:r>
          </w:p>
        </w:tc>
        <w:tc>
          <w:tcPr>
            <w:tcW w:w="2126" w:type="dxa"/>
            <w:vAlign w:val="center"/>
          </w:tcPr>
          <w:p w14:paraId="33AF5D45">
            <w:pPr>
              <w:pStyle w:val="14"/>
            </w:pPr>
          </w:p>
        </w:tc>
      </w:tr>
      <w:tr w14:paraId="35EC1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B7E8D">
            <w:pPr>
              <w:pStyle w:val="12"/>
            </w:pPr>
            <w:r>
              <w:t>7</w:t>
            </w:r>
          </w:p>
        </w:tc>
        <w:tc>
          <w:tcPr>
            <w:tcW w:w="4535" w:type="dxa"/>
            <w:vAlign w:val="center"/>
          </w:tcPr>
          <w:p w14:paraId="053D5819">
            <w:pPr>
              <w:pStyle w:val="13"/>
            </w:pPr>
          </w:p>
        </w:tc>
        <w:tc>
          <w:tcPr>
            <w:tcW w:w="2126" w:type="dxa"/>
            <w:vAlign w:val="center"/>
          </w:tcPr>
          <w:p w14:paraId="36A18B2F">
            <w:pPr>
              <w:pStyle w:val="14"/>
            </w:pPr>
          </w:p>
        </w:tc>
        <w:tc>
          <w:tcPr>
            <w:tcW w:w="4535" w:type="dxa"/>
            <w:vAlign w:val="center"/>
          </w:tcPr>
          <w:p w14:paraId="69DFE9FB">
            <w:pPr>
              <w:pStyle w:val="13"/>
            </w:pPr>
            <w:r>
              <w:t>七、文化旅游体育与传媒支出</w:t>
            </w:r>
          </w:p>
        </w:tc>
        <w:tc>
          <w:tcPr>
            <w:tcW w:w="2126" w:type="dxa"/>
            <w:vAlign w:val="center"/>
          </w:tcPr>
          <w:p w14:paraId="4D523E70">
            <w:pPr>
              <w:pStyle w:val="14"/>
            </w:pPr>
          </w:p>
        </w:tc>
      </w:tr>
      <w:tr w14:paraId="5650D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EDED1">
            <w:pPr>
              <w:pStyle w:val="12"/>
            </w:pPr>
            <w:r>
              <w:t>8</w:t>
            </w:r>
          </w:p>
        </w:tc>
        <w:tc>
          <w:tcPr>
            <w:tcW w:w="4535" w:type="dxa"/>
            <w:vAlign w:val="center"/>
          </w:tcPr>
          <w:p w14:paraId="248ABE64">
            <w:pPr>
              <w:pStyle w:val="13"/>
            </w:pPr>
          </w:p>
        </w:tc>
        <w:tc>
          <w:tcPr>
            <w:tcW w:w="2126" w:type="dxa"/>
            <w:vAlign w:val="center"/>
          </w:tcPr>
          <w:p w14:paraId="212290A5">
            <w:pPr>
              <w:pStyle w:val="14"/>
            </w:pPr>
          </w:p>
        </w:tc>
        <w:tc>
          <w:tcPr>
            <w:tcW w:w="4535" w:type="dxa"/>
            <w:vAlign w:val="center"/>
          </w:tcPr>
          <w:p w14:paraId="7340FFD2">
            <w:pPr>
              <w:pStyle w:val="13"/>
            </w:pPr>
            <w:r>
              <w:t>八、社会保障和就业支出</w:t>
            </w:r>
          </w:p>
        </w:tc>
        <w:tc>
          <w:tcPr>
            <w:tcW w:w="2126" w:type="dxa"/>
            <w:vAlign w:val="center"/>
          </w:tcPr>
          <w:p w14:paraId="33C884C9">
            <w:pPr>
              <w:pStyle w:val="14"/>
            </w:pPr>
          </w:p>
        </w:tc>
      </w:tr>
      <w:tr w14:paraId="58D02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6C857">
            <w:pPr>
              <w:pStyle w:val="12"/>
            </w:pPr>
            <w:r>
              <w:t>9</w:t>
            </w:r>
          </w:p>
        </w:tc>
        <w:tc>
          <w:tcPr>
            <w:tcW w:w="4535" w:type="dxa"/>
            <w:vAlign w:val="center"/>
          </w:tcPr>
          <w:p w14:paraId="71D16C83">
            <w:pPr>
              <w:pStyle w:val="13"/>
            </w:pPr>
          </w:p>
        </w:tc>
        <w:tc>
          <w:tcPr>
            <w:tcW w:w="2126" w:type="dxa"/>
            <w:vAlign w:val="center"/>
          </w:tcPr>
          <w:p w14:paraId="296287AE">
            <w:pPr>
              <w:pStyle w:val="14"/>
            </w:pPr>
          </w:p>
        </w:tc>
        <w:tc>
          <w:tcPr>
            <w:tcW w:w="4535" w:type="dxa"/>
            <w:vAlign w:val="center"/>
          </w:tcPr>
          <w:p w14:paraId="2967BFD5">
            <w:pPr>
              <w:pStyle w:val="13"/>
            </w:pPr>
            <w:r>
              <w:t>九、社会保险基金支出</w:t>
            </w:r>
          </w:p>
        </w:tc>
        <w:tc>
          <w:tcPr>
            <w:tcW w:w="2126" w:type="dxa"/>
            <w:vAlign w:val="center"/>
          </w:tcPr>
          <w:p w14:paraId="7C4E576D">
            <w:pPr>
              <w:pStyle w:val="14"/>
            </w:pPr>
          </w:p>
        </w:tc>
      </w:tr>
      <w:tr w14:paraId="63E58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F1B84">
            <w:pPr>
              <w:pStyle w:val="12"/>
            </w:pPr>
            <w:r>
              <w:t>10</w:t>
            </w:r>
          </w:p>
        </w:tc>
        <w:tc>
          <w:tcPr>
            <w:tcW w:w="4535" w:type="dxa"/>
            <w:vAlign w:val="center"/>
          </w:tcPr>
          <w:p w14:paraId="78A94DDA">
            <w:pPr>
              <w:pStyle w:val="13"/>
            </w:pPr>
          </w:p>
        </w:tc>
        <w:tc>
          <w:tcPr>
            <w:tcW w:w="2126" w:type="dxa"/>
            <w:vAlign w:val="center"/>
          </w:tcPr>
          <w:p w14:paraId="2EFE25F5">
            <w:pPr>
              <w:pStyle w:val="14"/>
            </w:pPr>
          </w:p>
        </w:tc>
        <w:tc>
          <w:tcPr>
            <w:tcW w:w="4535" w:type="dxa"/>
            <w:vAlign w:val="center"/>
          </w:tcPr>
          <w:p w14:paraId="5AB86CB1">
            <w:pPr>
              <w:pStyle w:val="13"/>
            </w:pPr>
            <w:r>
              <w:t>十、卫生健康支出</w:t>
            </w:r>
          </w:p>
        </w:tc>
        <w:tc>
          <w:tcPr>
            <w:tcW w:w="2126" w:type="dxa"/>
            <w:vAlign w:val="center"/>
          </w:tcPr>
          <w:p w14:paraId="231826AB">
            <w:pPr>
              <w:pStyle w:val="14"/>
            </w:pPr>
          </w:p>
        </w:tc>
      </w:tr>
      <w:tr w14:paraId="67A04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33986">
            <w:pPr>
              <w:pStyle w:val="12"/>
            </w:pPr>
            <w:r>
              <w:t>11</w:t>
            </w:r>
          </w:p>
        </w:tc>
        <w:tc>
          <w:tcPr>
            <w:tcW w:w="4535" w:type="dxa"/>
            <w:vAlign w:val="center"/>
          </w:tcPr>
          <w:p w14:paraId="2638E6CD">
            <w:pPr>
              <w:pStyle w:val="13"/>
            </w:pPr>
          </w:p>
        </w:tc>
        <w:tc>
          <w:tcPr>
            <w:tcW w:w="2126" w:type="dxa"/>
            <w:vAlign w:val="center"/>
          </w:tcPr>
          <w:p w14:paraId="425BE655">
            <w:pPr>
              <w:pStyle w:val="14"/>
            </w:pPr>
          </w:p>
        </w:tc>
        <w:tc>
          <w:tcPr>
            <w:tcW w:w="4535" w:type="dxa"/>
            <w:vAlign w:val="center"/>
          </w:tcPr>
          <w:p w14:paraId="51F80135">
            <w:pPr>
              <w:pStyle w:val="13"/>
            </w:pPr>
            <w:r>
              <w:t>十一、节能环保支出</w:t>
            </w:r>
          </w:p>
        </w:tc>
        <w:tc>
          <w:tcPr>
            <w:tcW w:w="2126" w:type="dxa"/>
            <w:vAlign w:val="center"/>
          </w:tcPr>
          <w:p w14:paraId="1CFF74E7">
            <w:pPr>
              <w:pStyle w:val="14"/>
            </w:pPr>
          </w:p>
        </w:tc>
      </w:tr>
      <w:tr w14:paraId="02CB7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B54ED">
            <w:pPr>
              <w:pStyle w:val="12"/>
            </w:pPr>
            <w:r>
              <w:t>12</w:t>
            </w:r>
          </w:p>
        </w:tc>
        <w:tc>
          <w:tcPr>
            <w:tcW w:w="4535" w:type="dxa"/>
            <w:vAlign w:val="center"/>
          </w:tcPr>
          <w:p w14:paraId="46D62CC3">
            <w:pPr>
              <w:pStyle w:val="13"/>
            </w:pPr>
          </w:p>
        </w:tc>
        <w:tc>
          <w:tcPr>
            <w:tcW w:w="2126" w:type="dxa"/>
            <w:vAlign w:val="center"/>
          </w:tcPr>
          <w:p w14:paraId="42205E09">
            <w:pPr>
              <w:pStyle w:val="14"/>
            </w:pPr>
          </w:p>
        </w:tc>
        <w:tc>
          <w:tcPr>
            <w:tcW w:w="4535" w:type="dxa"/>
            <w:vAlign w:val="center"/>
          </w:tcPr>
          <w:p w14:paraId="2CF7E68D">
            <w:pPr>
              <w:pStyle w:val="13"/>
            </w:pPr>
            <w:r>
              <w:t>十二、城乡社区支出</w:t>
            </w:r>
          </w:p>
        </w:tc>
        <w:tc>
          <w:tcPr>
            <w:tcW w:w="2126" w:type="dxa"/>
            <w:vAlign w:val="center"/>
          </w:tcPr>
          <w:p w14:paraId="277AAC4F">
            <w:pPr>
              <w:pStyle w:val="14"/>
            </w:pPr>
          </w:p>
        </w:tc>
      </w:tr>
      <w:tr w14:paraId="3134E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60C5B">
            <w:pPr>
              <w:pStyle w:val="12"/>
            </w:pPr>
            <w:r>
              <w:t>13</w:t>
            </w:r>
          </w:p>
        </w:tc>
        <w:tc>
          <w:tcPr>
            <w:tcW w:w="4535" w:type="dxa"/>
            <w:vAlign w:val="center"/>
          </w:tcPr>
          <w:p w14:paraId="3D5D2338">
            <w:pPr>
              <w:pStyle w:val="13"/>
            </w:pPr>
          </w:p>
        </w:tc>
        <w:tc>
          <w:tcPr>
            <w:tcW w:w="2126" w:type="dxa"/>
            <w:vAlign w:val="center"/>
          </w:tcPr>
          <w:p w14:paraId="634A2789">
            <w:pPr>
              <w:pStyle w:val="14"/>
            </w:pPr>
          </w:p>
        </w:tc>
        <w:tc>
          <w:tcPr>
            <w:tcW w:w="4535" w:type="dxa"/>
            <w:vAlign w:val="center"/>
          </w:tcPr>
          <w:p w14:paraId="49966B5B">
            <w:pPr>
              <w:pStyle w:val="13"/>
            </w:pPr>
            <w:r>
              <w:t>十三、农林水支出</w:t>
            </w:r>
          </w:p>
        </w:tc>
        <w:tc>
          <w:tcPr>
            <w:tcW w:w="2126" w:type="dxa"/>
            <w:vAlign w:val="center"/>
          </w:tcPr>
          <w:p w14:paraId="746C83CA">
            <w:pPr>
              <w:pStyle w:val="14"/>
            </w:pPr>
          </w:p>
        </w:tc>
      </w:tr>
      <w:tr w14:paraId="02D67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74887">
            <w:pPr>
              <w:pStyle w:val="12"/>
            </w:pPr>
            <w:r>
              <w:t>14</w:t>
            </w:r>
          </w:p>
        </w:tc>
        <w:tc>
          <w:tcPr>
            <w:tcW w:w="4535" w:type="dxa"/>
            <w:vAlign w:val="center"/>
          </w:tcPr>
          <w:p w14:paraId="25E1FE72">
            <w:pPr>
              <w:pStyle w:val="13"/>
            </w:pPr>
          </w:p>
        </w:tc>
        <w:tc>
          <w:tcPr>
            <w:tcW w:w="2126" w:type="dxa"/>
            <w:vAlign w:val="center"/>
          </w:tcPr>
          <w:p w14:paraId="1EE433D2">
            <w:pPr>
              <w:pStyle w:val="14"/>
            </w:pPr>
          </w:p>
        </w:tc>
        <w:tc>
          <w:tcPr>
            <w:tcW w:w="4535" w:type="dxa"/>
            <w:vAlign w:val="center"/>
          </w:tcPr>
          <w:p w14:paraId="49E88201">
            <w:pPr>
              <w:pStyle w:val="13"/>
            </w:pPr>
            <w:r>
              <w:t>十四、交通运输支出</w:t>
            </w:r>
          </w:p>
        </w:tc>
        <w:tc>
          <w:tcPr>
            <w:tcW w:w="2126" w:type="dxa"/>
            <w:vAlign w:val="center"/>
          </w:tcPr>
          <w:p w14:paraId="2C0A19CF">
            <w:pPr>
              <w:pStyle w:val="14"/>
            </w:pPr>
          </w:p>
        </w:tc>
      </w:tr>
      <w:tr w14:paraId="2951F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4C5C9">
            <w:pPr>
              <w:pStyle w:val="12"/>
            </w:pPr>
            <w:r>
              <w:t>15</w:t>
            </w:r>
          </w:p>
        </w:tc>
        <w:tc>
          <w:tcPr>
            <w:tcW w:w="4535" w:type="dxa"/>
            <w:vAlign w:val="center"/>
          </w:tcPr>
          <w:p w14:paraId="343BBA1A">
            <w:pPr>
              <w:pStyle w:val="13"/>
            </w:pPr>
          </w:p>
        </w:tc>
        <w:tc>
          <w:tcPr>
            <w:tcW w:w="2126" w:type="dxa"/>
            <w:vAlign w:val="center"/>
          </w:tcPr>
          <w:p w14:paraId="7CC6E3F4">
            <w:pPr>
              <w:pStyle w:val="14"/>
            </w:pPr>
          </w:p>
        </w:tc>
        <w:tc>
          <w:tcPr>
            <w:tcW w:w="4535" w:type="dxa"/>
            <w:vAlign w:val="center"/>
          </w:tcPr>
          <w:p w14:paraId="7CCCA11E">
            <w:pPr>
              <w:pStyle w:val="13"/>
            </w:pPr>
            <w:r>
              <w:t>十五、资源勘探工业信息等支出</w:t>
            </w:r>
          </w:p>
        </w:tc>
        <w:tc>
          <w:tcPr>
            <w:tcW w:w="2126" w:type="dxa"/>
            <w:vAlign w:val="center"/>
          </w:tcPr>
          <w:p w14:paraId="64DAC302">
            <w:pPr>
              <w:pStyle w:val="14"/>
            </w:pPr>
          </w:p>
        </w:tc>
      </w:tr>
      <w:tr w14:paraId="43CEE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4CFC3D8">
            <w:pPr>
              <w:pStyle w:val="12"/>
            </w:pPr>
            <w:r>
              <w:t>16</w:t>
            </w:r>
          </w:p>
        </w:tc>
        <w:tc>
          <w:tcPr>
            <w:tcW w:w="4535" w:type="dxa"/>
            <w:vAlign w:val="center"/>
          </w:tcPr>
          <w:p w14:paraId="0FE83DE6">
            <w:pPr>
              <w:pStyle w:val="13"/>
            </w:pPr>
          </w:p>
        </w:tc>
        <w:tc>
          <w:tcPr>
            <w:tcW w:w="2126" w:type="dxa"/>
            <w:vAlign w:val="center"/>
          </w:tcPr>
          <w:p w14:paraId="3C1FC354">
            <w:pPr>
              <w:pStyle w:val="14"/>
            </w:pPr>
          </w:p>
        </w:tc>
        <w:tc>
          <w:tcPr>
            <w:tcW w:w="4535" w:type="dxa"/>
            <w:vAlign w:val="center"/>
          </w:tcPr>
          <w:p w14:paraId="502BB534">
            <w:pPr>
              <w:pStyle w:val="13"/>
            </w:pPr>
            <w:r>
              <w:t>十六、商业服务业等支出</w:t>
            </w:r>
          </w:p>
        </w:tc>
        <w:tc>
          <w:tcPr>
            <w:tcW w:w="2126" w:type="dxa"/>
            <w:vAlign w:val="center"/>
          </w:tcPr>
          <w:p w14:paraId="33DB03BA">
            <w:pPr>
              <w:pStyle w:val="14"/>
            </w:pPr>
          </w:p>
        </w:tc>
      </w:tr>
      <w:tr w14:paraId="1A7FA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007B9F9">
            <w:pPr>
              <w:pStyle w:val="12"/>
            </w:pPr>
            <w:r>
              <w:t>17</w:t>
            </w:r>
          </w:p>
        </w:tc>
        <w:tc>
          <w:tcPr>
            <w:tcW w:w="4535" w:type="dxa"/>
            <w:vAlign w:val="center"/>
          </w:tcPr>
          <w:p w14:paraId="4233C600">
            <w:pPr>
              <w:pStyle w:val="13"/>
            </w:pPr>
          </w:p>
        </w:tc>
        <w:tc>
          <w:tcPr>
            <w:tcW w:w="2126" w:type="dxa"/>
            <w:vAlign w:val="center"/>
          </w:tcPr>
          <w:p w14:paraId="23D48E12">
            <w:pPr>
              <w:pStyle w:val="14"/>
            </w:pPr>
          </w:p>
        </w:tc>
        <w:tc>
          <w:tcPr>
            <w:tcW w:w="4535" w:type="dxa"/>
            <w:vAlign w:val="center"/>
          </w:tcPr>
          <w:p w14:paraId="65EF6B46">
            <w:pPr>
              <w:pStyle w:val="13"/>
            </w:pPr>
            <w:r>
              <w:t>十七、金融支出</w:t>
            </w:r>
          </w:p>
        </w:tc>
        <w:tc>
          <w:tcPr>
            <w:tcW w:w="2126" w:type="dxa"/>
            <w:vAlign w:val="center"/>
          </w:tcPr>
          <w:p w14:paraId="69DB34E7">
            <w:pPr>
              <w:pStyle w:val="14"/>
            </w:pPr>
          </w:p>
        </w:tc>
      </w:tr>
      <w:tr w14:paraId="3E6E3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99D05">
            <w:pPr>
              <w:pStyle w:val="12"/>
            </w:pPr>
            <w:r>
              <w:t>18</w:t>
            </w:r>
          </w:p>
        </w:tc>
        <w:tc>
          <w:tcPr>
            <w:tcW w:w="4535" w:type="dxa"/>
            <w:vAlign w:val="center"/>
          </w:tcPr>
          <w:p w14:paraId="2777A07B">
            <w:pPr>
              <w:pStyle w:val="13"/>
            </w:pPr>
          </w:p>
        </w:tc>
        <w:tc>
          <w:tcPr>
            <w:tcW w:w="2126" w:type="dxa"/>
            <w:vAlign w:val="center"/>
          </w:tcPr>
          <w:p w14:paraId="25498A3C">
            <w:pPr>
              <w:pStyle w:val="14"/>
            </w:pPr>
          </w:p>
        </w:tc>
        <w:tc>
          <w:tcPr>
            <w:tcW w:w="4535" w:type="dxa"/>
            <w:vAlign w:val="center"/>
          </w:tcPr>
          <w:p w14:paraId="06A0BA5A">
            <w:pPr>
              <w:pStyle w:val="13"/>
            </w:pPr>
            <w:r>
              <w:t>十八、援助其他地区支出</w:t>
            </w:r>
          </w:p>
        </w:tc>
        <w:tc>
          <w:tcPr>
            <w:tcW w:w="2126" w:type="dxa"/>
            <w:vAlign w:val="center"/>
          </w:tcPr>
          <w:p w14:paraId="05C2AE56">
            <w:pPr>
              <w:pStyle w:val="14"/>
            </w:pPr>
          </w:p>
        </w:tc>
      </w:tr>
      <w:tr w14:paraId="32DA8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ACB24BA">
            <w:pPr>
              <w:pStyle w:val="12"/>
            </w:pPr>
            <w:r>
              <w:t>19</w:t>
            </w:r>
          </w:p>
        </w:tc>
        <w:tc>
          <w:tcPr>
            <w:tcW w:w="4535" w:type="dxa"/>
            <w:vAlign w:val="center"/>
          </w:tcPr>
          <w:p w14:paraId="4E8F1DB3">
            <w:pPr>
              <w:pStyle w:val="13"/>
            </w:pPr>
          </w:p>
        </w:tc>
        <w:tc>
          <w:tcPr>
            <w:tcW w:w="2126" w:type="dxa"/>
            <w:vAlign w:val="center"/>
          </w:tcPr>
          <w:p w14:paraId="412CD053">
            <w:pPr>
              <w:pStyle w:val="14"/>
            </w:pPr>
          </w:p>
        </w:tc>
        <w:tc>
          <w:tcPr>
            <w:tcW w:w="4535" w:type="dxa"/>
            <w:vAlign w:val="center"/>
          </w:tcPr>
          <w:p w14:paraId="4D8B0677">
            <w:pPr>
              <w:pStyle w:val="13"/>
            </w:pPr>
            <w:r>
              <w:t>十九、自然资源海洋气象等支出</w:t>
            </w:r>
          </w:p>
        </w:tc>
        <w:tc>
          <w:tcPr>
            <w:tcW w:w="2126" w:type="dxa"/>
            <w:vAlign w:val="center"/>
          </w:tcPr>
          <w:p w14:paraId="5F744208">
            <w:pPr>
              <w:pStyle w:val="14"/>
            </w:pPr>
          </w:p>
        </w:tc>
      </w:tr>
      <w:tr w14:paraId="2E05F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DAE8F62">
            <w:pPr>
              <w:pStyle w:val="12"/>
            </w:pPr>
            <w:r>
              <w:t>20</w:t>
            </w:r>
          </w:p>
        </w:tc>
        <w:tc>
          <w:tcPr>
            <w:tcW w:w="4535" w:type="dxa"/>
            <w:vAlign w:val="center"/>
          </w:tcPr>
          <w:p w14:paraId="3D0CDFE1">
            <w:pPr>
              <w:pStyle w:val="13"/>
            </w:pPr>
          </w:p>
        </w:tc>
        <w:tc>
          <w:tcPr>
            <w:tcW w:w="2126" w:type="dxa"/>
            <w:vAlign w:val="center"/>
          </w:tcPr>
          <w:p w14:paraId="1077D0C7">
            <w:pPr>
              <w:pStyle w:val="14"/>
            </w:pPr>
          </w:p>
        </w:tc>
        <w:tc>
          <w:tcPr>
            <w:tcW w:w="4535" w:type="dxa"/>
            <w:vAlign w:val="center"/>
          </w:tcPr>
          <w:p w14:paraId="4B2FD3FA">
            <w:pPr>
              <w:pStyle w:val="13"/>
            </w:pPr>
            <w:r>
              <w:t>二十、住房保障支出</w:t>
            </w:r>
          </w:p>
        </w:tc>
        <w:tc>
          <w:tcPr>
            <w:tcW w:w="2126" w:type="dxa"/>
            <w:vAlign w:val="center"/>
          </w:tcPr>
          <w:p w14:paraId="2128E5C7">
            <w:pPr>
              <w:pStyle w:val="14"/>
            </w:pPr>
          </w:p>
        </w:tc>
      </w:tr>
      <w:tr w14:paraId="405E5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CE09F">
            <w:pPr>
              <w:pStyle w:val="12"/>
            </w:pPr>
            <w:r>
              <w:t>21</w:t>
            </w:r>
          </w:p>
        </w:tc>
        <w:tc>
          <w:tcPr>
            <w:tcW w:w="4535" w:type="dxa"/>
            <w:vAlign w:val="center"/>
          </w:tcPr>
          <w:p w14:paraId="22B4978C">
            <w:pPr>
              <w:pStyle w:val="13"/>
            </w:pPr>
          </w:p>
        </w:tc>
        <w:tc>
          <w:tcPr>
            <w:tcW w:w="2126" w:type="dxa"/>
            <w:vAlign w:val="center"/>
          </w:tcPr>
          <w:p w14:paraId="40A8F47A">
            <w:pPr>
              <w:pStyle w:val="14"/>
            </w:pPr>
          </w:p>
        </w:tc>
        <w:tc>
          <w:tcPr>
            <w:tcW w:w="4535" w:type="dxa"/>
            <w:vAlign w:val="center"/>
          </w:tcPr>
          <w:p w14:paraId="1D17B219">
            <w:pPr>
              <w:pStyle w:val="13"/>
            </w:pPr>
            <w:r>
              <w:t>二十一、粮油物资储备支出</w:t>
            </w:r>
          </w:p>
        </w:tc>
        <w:tc>
          <w:tcPr>
            <w:tcW w:w="2126" w:type="dxa"/>
            <w:vAlign w:val="center"/>
          </w:tcPr>
          <w:p w14:paraId="385FA928">
            <w:pPr>
              <w:pStyle w:val="14"/>
            </w:pPr>
          </w:p>
        </w:tc>
      </w:tr>
      <w:tr w14:paraId="5432C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B2E07">
            <w:pPr>
              <w:pStyle w:val="12"/>
            </w:pPr>
            <w:r>
              <w:t>22</w:t>
            </w:r>
          </w:p>
        </w:tc>
        <w:tc>
          <w:tcPr>
            <w:tcW w:w="4535" w:type="dxa"/>
            <w:vAlign w:val="center"/>
          </w:tcPr>
          <w:p w14:paraId="17C894C8">
            <w:pPr>
              <w:pStyle w:val="13"/>
            </w:pPr>
          </w:p>
        </w:tc>
        <w:tc>
          <w:tcPr>
            <w:tcW w:w="2126" w:type="dxa"/>
            <w:vAlign w:val="center"/>
          </w:tcPr>
          <w:p w14:paraId="38076A3C">
            <w:pPr>
              <w:pStyle w:val="14"/>
            </w:pPr>
          </w:p>
        </w:tc>
        <w:tc>
          <w:tcPr>
            <w:tcW w:w="4535" w:type="dxa"/>
            <w:vAlign w:val="center"/>
          </w:tcPr>
          <w:p w14:paraId="3EF4FB87">
            <w:pPr>
              <w:pStyle w:val="13"/>
            </w:pPr>
            <w:r>
              <w:t>二十二、国有资本经营预算支出</w:t>
            </w:r>
          </w:p>
        </w:tc>
        <w:tc>
          <w:tcPr>
            <w:tcW w:w="2126" w:type="dxa"/>
            <w:vAlign w:val="center"/>
          </w:tcPr>
          <w:p w14:paraId="36191F94">
            <w:pPr>
              <w:pStyle w:val="14"/>
            </w:pPr>
          </w:p>
        </w:tc>
      </w:tr>
      <w:tr w14:paraId="2BB10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18976CD">
            <w:pPr>
              <w:pStyle w:val="12"/>
            </w:pPr>
            <w:r>
              <w:t>23</w:t>
            </w:r>
          </w:p>
        </w:tc>
        <w:tc>
          <w:tcPr>
            <w:tcW w:w="4535" w:type="dxa"/>
            <w:vAlign w:val="center"/>
          </w:tcPr>
          <w:p w14:paraId="6E1C7322">
            <w:pPr>
              <w:pStyle w:val="13"/>
            </w:pPr>
          </w:p>
        </w:tc>
        <w:tc>
          <w:tcPr>
            <w:tcW w:w="2126" w:type="dxa"/>
            <w:vAlign w:val="center"/>
          </w:tcPr>
          <w:p w14:paraId="23710554">
            <w:pPr>
              <w:pStyle w:val="14"/>
            </w:pPr>
          </w:p>
        </w:tc>
        <w:tc>
          <w:tcPr>
            <w:tcW w:w="4535" w:type="dxa"/>
            <w:vAlign w:val="center"/>
          </w:tcPr>
          <w:p w14:paraId="5C0DA09F">
            <w:pPr>
              <w:pStyle w:val="13"/>
            </w:pPr>
            <w:r>
              <w:t>二十三、灾害防治及应急管理支出</w:t>
            </w:r>
          </w:p>
        </w:tc>
        <w:tc>
          <w:tcPr>
            <w:tcW w:w="2126" w:type="dxa"/>
            <w:vAlign w:val="center"/>
          </w:tcPr>
          <w:p w14:paraId="23395002">
            <w:pPr>
              <w:pStyle w:val="14"/>
            </w:pPr>
          </w:p>
        </w:tc>
      </w:tr>
      <w:tr w14:paraId="150BD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DD86A">
            <w:pPr>
              <w:pStyle w:val="12"/>
            </w:pPr>
            <w:r>
              <w:t>24</w:t>
            </w:r>
          </w:p>
        </w:tc>
        <w:tc>
          <w:tcPr>
            <w:tcW w:w="4535" w:type="dxa"/>
            <w:vAlign w:val="center"/>
          </w:tcPr>
          <w:p w14:paraId="0EDEB4D5">
            <w:pPr>
              <w:pStyle w:val="13"/>
            </w:pPr>
          </w:p>
        </w:tc>
        <w:tc>
          <w:tcPr>
            <w:tcW w:w="2126" w:type="dxa"/>
            <w:vAlign w:val="center"/>
          </w:tcPr>
          <w:p w14:paraId="0D313D12">
            <w:pPr>
              <w:pStyle w:val="14"/>
            </w:pPr>
          </w:p>
        </w:tc>
        <w:tc>
          <w:tcPr>
            <w:tcW w:w="4535" w:type="dxa"/>
            <w:vAlign w:val="center"/>
          </w:tcPr>
          <w:p w14:paraId="139F563F">
            <w:pPr>
              <w:pStyle w:val="13"/>
            </w:pPr>
            <w:r>
              <w:t>二十四、预备费</w:t>
            </w:r>
          </w:p>
        </w:tc>
        <w:tc>
          <w:tcPr>
            <w:tcW w:w="2126" w:type="dxa"/>
            <w:vAlign w:val="center"/>
          </w:tcPr>
          <w:p w14:paraId="076C7018">
            <w:pPr>
              <w:pStyle w:val="14"/>
            </w:pPr>
          </w:p>
        </w:tc>
      </w:tr>
      <w:tr w14:paraId="3468B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6375C">
            <w:pPr>
              <w:pStyle w:val="12"/>
            </w:pPr>
            <w:r>
              <w:t>25</w:t>
            </w:r>
          </w:p>
        </w:tc>
        <w:tc>
          <w:tcPr>
            <w:tcW w:w="4535" w:type="dxa"/>
            <w:vAlign w:val="center"/>
          </w:tcPr>
          <w:p w14:paraId="27B49C0C">
            <w:pPr>
              <w:pStyle w:val="13"/>
            </w:pPr>
          </w:p>
        </w:tc>
        <w:tc>
          <w:tcPr>
            <w:tcW w:w="2126" w:type="dxa"/>
            <w:vAlign w:val="center"/>
          </w:tcPr>
          <w:p w14:paraId="108F2B0B">
            <w:pPr>
              <w:pStyle w:val="14"/>
            </w:pPr>
          </w:p>
        </w:tc>
        <w:tc>
          <w:tcPr>
            <w:tcW w:w="4535" w:type="dxa"/>
            <w:vAlign w:val="center"/>
          </w:tcPr>
          <w:p w14:paraId="15EF8CD6">
            <w:pPr>
              <w:pStyle w:val="13"/>
            </w:pPr>
            <w:r>
              <w:t>二十五、其他支出</w:t>
            </w:r>
          </w:p>
        </w:tc>
        <w:tc>
          <w:tcPr>
            <w:tcW w:w="2126" w:type="dxa"/>
            <w:vAlign w:val="center"/>
          </w:tcPr>
          <w:p w14:paraId="3C70CDA4">
            <w:pPr>
              <w:pStyle w:val="14"/>
            </w:pPr>
          </w:p>
        </w:tc>
      </w:tr>
      <w:tr w14:paraId="6B231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E4060">
            <w:pPr>
              <w:pStyle w:val="12"/>
            </w:pPr>
            <w:r>
              <w:t>26</w:t>
            </w:r>
          </w:p>
        </w:tc>
        <w:tc>
          <w:tcPr>
            <w:tcW w:w="4535" w:type="dxa"/>
            <w:vAlign w:val="center"/>
          </w:tcPr>
          <w:p w14:paraId="14A5C8FD">
            <w:pPr>
              <w:pStyle w:val="13"/>
            </w:pPr>
          </w:p>
        </w:tc>
        <w:tc>
          <w:tcPr>
            <w:tcW w:w="2126" w:type="dxa"/>
            <w:vAlign w:val="center"/>
          </w:tcPr>
          <w:p w14:paraId="0F82E908">
            <w:pPr>
              <w:pStyle w:val="14"/>
            </w:pPr>
          </w:p>
        </w:tc>
        <w:tc>
          <w:tcPr>
            <w:tcW w:w="4535" w:type="dxa"/>
            <w:vAlign w:val="center"/>
          </w:tcPr>
          <w:p w14:paraId="34BE21CE">
            <w:pPr>
              <w:pStyle w:val="13"/>
            </w:pPr>
            <w:r>
              <w:t>二十六、转移性支出</w:t>
            </w:r>
          </w:p>
        </w:tc>
        <w:tc>
          <w:tcPr>
            <w:tcW w:w="2126" w:type="dxa"/>
            <w:vAlign w:val="center"/>
          </w:tcPr>
          <w:p w14:paraId="0E4F56CF">
            <w:pPr>
              <w:pStyle w:val="14"/>
            </w:pPr>
          </w:p>
        </w:tc>
      </w:tr>
      <w:tr w14:paraId="2B814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E8EE33B">
            <w:pPr>
              <w:pStyle w:val="12"/>
            </w:pPr>
            <w:r>
              <w:t>27</w:t>
            </w:r>
          </w:p>
        </w:tc>
        <w:tc>
          <w:tcPr>
            <w:tcW w:w="4535" w:type="dxa"/>
            <w:vAlign w:val="center"/>
          </w:tcPr>
          <w:p w14:paraId="29895104">
            <w:pPr>
              <w:pStyle w:val="13"/>
            </w:pPr>
          </w:p>
        </w:tc>
        <w:tc>
          <w:tcPr>
            <w:tcW w:w="2126" w:type="dxa"/>
            <w:vAlign w:val="center"/>
          </w:tcPr>
          <w:p w14:paraId="6D89B912">
            <w:pPr>
              <w:pStyle w:val="14"/>
            </w:pPr>
          </w:p>
        </w:tc>
        <w:tc>
          <w:tcPr>
            <w:tcW w:w="4535" w:type="dxa"/>
            <w:vAlign w:val="center"/>
          </w:tcPr>
          <w:p w14:paraId="6D38D9CE">
            <w:pPr>
              <w:pStyle w:val="13"/>
            </w:pPr>
            <w:r>
              <w:t>二十七、债务还本支出</w:t>
            </w:r>
          </w:p>
        </w:tc>
        <w:tc>
          <w:tcPr>
            <w:tcW w:w="2126" w:type="dxa"/>
            <w:vAlign w:val="center"/>
          </w:tcPr>
          <w:p w14:paraId="7D9E4315">
            <w:pPr>
              <w:pStyle w:val="14"/>
            </w:pPr>
          </w:p>
        </w:tc>
      </w:tr>
      <w:tr w14:paraId="20D17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D37B1">
            <w:pPr>
              <w:pStyle w:val="12"/>
            </w:pPr>
            <w:r>
              <w:t>28</w:t>
            </w:r>
          </w:p>
        </w:tc>
        <w:tc>
          <w:tcPr>
            <w:tcW w:w="4535" w:type="dxa"/>
            <w:vAlign w:val="center"/>
          </w:tcPr>
          <w:p w14:paraId="199BAC20">
            <w:pPr>
              <w:pStyle w:val="13"/>
            </w:pPr>
          </w:p>
        </w:tc>
        <w:tc>
          <w:tcPr>
            <w:tcW w:w="2126" w:type="dxa"/>
            <w:vAlign w:val="center"/>
          </w:tcPr>
          <w:p w14:paraId="2B2DF6A8">
            <w:pPr>
              <w:pStyle w:val="14"/>
            </w:pPr>
          </w:p>
        </w:tc>
        <w:tc>
          <w:tcPr>
            <w:tcW w:w="4535" w:type="dxa"/>
            <w:vAlign w:val="center"/>
          </w:tcPr>
          <w:p w14:paraId="40A2E6F9">
            <w:pPr>
              <w:pStyle w:val="13"/>
            </w:pPr>
            <w:r>
              <w:t>二十八、债务付息支出</w:t>
            </w:r>
          </w:p>
        </w:tc>
        <w:tc>
          <w:tcPr>
            <w:tcW w:w="2126" w:type="dxa"/>
            <w:vAlign w:val="center"/>
          </w:tcPr>
          <w:p w14:paraId="43D592B3">
            <w:pPr>
              <w:pStyle w:val="14"/>
            </w:pPr>
          </w:p>
        </w:tc>
      </w:tr>
      <w:tr w14:paraId="5D116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418F0">
            <w:pPr>
              <w:pStyle w:val="12"/>
            </w:pPr>
            <w:r>
              <w:t>29</w:t>
            </w:r>
          </w:p>
        </w:tc>
        <w:tc>
          <w:tcPr>
            <w:tcW w:w="4535" w:type="dxa"/>
            <w:vAlign w:val="center"/>
          </w:tcPr>
          <w:p w14:paraId="4FA6B782">
            <w:pPr>
              <w:pStyle w:val="13"/>
            </w:pPr>
          </w:p>
        </w:tc>
        <w:tc>
          <w:tcPr>
            <w:tcW w:w="2126" w:type="dxa"/>
            <w:vAlign w:val="center"/>
          </w:tcPr>
          <w:p w14:paraId="75AA70D1">
            <w:pPr>
              <w:pStyle w:val="14"/>
            </w:pPr>
          </w:p>
        </w:tc>
        <w:tc>
          <w:tcPr>
            <w:tcW w:w="4535" w:type="dxa"/>
            <w:vAlign w:val="center"/>
          </w:tcPr>
          <w:p w14:paraId="70BFE786">
            <w:pPr>
              <w:pStyle w:val="13"/>
            </w:pPr>
            <w:r>
              <w:t>二十九、债务发行费用支出</w:t>
            </w:r>
          </w:p>
        </w:tc>
        <w:tc>
          <w:tcPr>
            <w:tcW w:w="2126" w:type="dxa"/>
            <w:vAlign w:val="center"/>
          </w:tcPr>
          <w:p w14:paraId="0337C687">
            <w:pPr>
              <w:pStyle w:val="14"/>
            </w:pPr>
          </w:p>
        </w:tc>
      </w:tr>
      <w:tr w14:paraId="13735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83BE7">
            <w:pPr>
              <w:pStyle w:val="12"/>
            </w:pPr>
            <w:r>
              <w:t>30</w:t>
            </w:r>
          </w:p>
        </w:tc>
        <w:tc>
          <w:tcPr>
            <w:tcW w:w="4535" w:type="dxa"/>
            <w:vAlign w:val="center"/>
          </w:tcPr>
          <w:p w14:paraId="77E87645">
            <w:pPr>
              <w:pStyle w:val="13"/>
            </w:pPr>
          </w:p>
        </w:tc>
        <w:tc>
          <w:tcPr>
            <w:tcW w:w="2126" w:type="dxa"/>
            <w:vAlign w:val="center"/>
          </w:tcPr>
          <w:p w14:paraId="516D65EC">
            <w:pPr>
              <w:pStyle w:val="14"/>
            </w:pPr>
          </w:p>
        </w:tc>
        <w:tc>
          <w:tcPr>
            <w:tcW w:w="4535" w:type="dxa"/>
            <w:vAlign w:val="center"/>
          </w:tcPr>
          <w:p w14:paraId="5E5C3ACA">
            <w:pPr>
              <w:pStyle w:val="13"/>
            </w:pPr>
            <w:r>
              <w:t>三十、抗疫特别国债安排的支出</w:t>
            </w:r>
          </w:p>
        </w:tc>
        <w:tc>
          <w:tcPr>
            <w:tcW w:w="2126" w:type="dxa"/>
            <w:vAlign w:val="center"/>
          </w:tcPr>
          <w:p w14:paraId="342BE091">
            <w:pPr>
              <w:pStyle w:val="14"/>
            </w:pPr>
          </w:p>
        </w:tc>
      </w:tr>
      <w:tr w14:paraId="3CE53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8E9A3">
            <w:pPr>
              <w:pStyle w:val="12"/>
            </w:pPr>
            <w:r>
              <w:t>31</w:t>
            </w:r>
          </w:p>
        </w:tc>
        <w:tc>
          <w:tcPr>
            <w:tcW w:w="4535" w:type="dxa"/>
            <w:vAlign w:val="center"/>
          </w:tcPr>
          <w:p w14:paraId="1380E472">
            <w:pPr>
              <w:pStyle w:val="13"/>
            </w:pPr>
          </w:p>
        </w:tc>
        <w:tc>
          <w:tcPr>
            <w:tcW w:w="2126" w:type="dxa"/>
            <w:vAlign w:val="center"/>
          </w:tcPr>
          <w:p w14:paraId="3FBB0445">
            <w:pPr>
              <w:pStyle w:val="14"/>
            </w:pPr>
          </w:p>
        </w:tc>
        <w:tc>
          <w:tcPr>
            <w:tcW w:w="4535" w:type="dxa"/>
            <w:vAlign w:val="center"/>
          </w:tcPr>
          <w:p w14:paraId="677405AE">
            <w:pPr>
              <w:pStyle w:val="13"/>
            </w:pPr>
            <w:r>
              <w:t>三十一、人行科目</w:t>
            </w:r>
          </w:p>
        </w:tc>
        <w:tc>
          <w:tcPr>
            <w:tcW w:w="2126" w:type="dxa"/>
            <w:vAlign w:val="center"/>
          </w:tcPr>
          <w:p w14:paraId="6E390DE4">
            <w:pPr>
              <w:pStyle w:val="14"/>
            </w:pPr>
          </w:p>
        </w:tc>
      </w:tr>
      <w:tr w14:paraId="4228A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636FD">
            <w:pPr>
              <w:pStyle w:val="12"/>
            </w:pPr>
            <w:r>
              <w:t>32</w:t>
            </w:r>
          </w:p>
        </w:tc>
        <w:tc>
          <w:tcPr>
            <w:tcW w:w="4535" w:type="dxa"/>
            <w:vAlign w:val="center"/>
          </w:tcPr>
          <w:p w14:paraId="21ADC8A4">
            <w:pPr>
              <w:pStyle w:val="15"/>
            </w:pPr>
            <w:r>
              <w:t>本年收入合计</w:t>
            </w:r>
          </w:p>
        </w:tc>
        <w:tc>
          <w:tcPr>
            <w:tcW w:w="2126" w:type="dxa"/>
            <w:vAlign w:val="center"/>
          </w:tcPr>
          <w:p w14:paraId="0703A680">
            <w:pPr>
              <w:pStyle w:val="16"/>
              <w:rPr>
                <w:rFonts w:hint="default" w:eastAsia="方正书宋_GBK"/>
                <w:lang w:val="en-US" w:eastAsia="zh-CN"/>
              </w:rPr>
            </w:pPr>
            <w:r>
              <w:rPr>
                <w:rFonts w:hint="eastAsia"/>
                <w:lang w:val="en-US" w:eastAsia="zh-CN"/>
              </w:rPr>
              <w:t>3644.02</w:t>
            </w:r>
          </w:p>
        </w:tc>
        <w:tc>
          <w:tcPr>
            <w:tcW w:w="4535" w:type="dxa"/>
            <w:vAlign w:val="center"/>
          </w:tcPr>
          <w:p w14:paraId="1DA79196">
            <w:pPr>
              <w:pStyle w:val="15"/>
            </w:pPr>
            <w:r>
              <w:t>本年支出合计</w:t>
            </w:r>
          </w:p>
        </w:tc>
        <w:tc>
          <w:tcPr>
            <w:tcW w:w="2126" w:type="dxa"/>
            <w:vAlign w:val="center"/>
          </w:tcPr>
          <w:p w14:paraId="1842CB93">
            <w:pPr>
              <w:pStyle w:val="16"/>
            </w:pPr>
            <w:r>
              <w:t>3707.95</w:t>
            </w:r>
          </w:p>
        </w:tc>
      </w:tr>
      <w:tr w14:paraId="176CB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CB0E6">
            <w:pPr>
              <w:pStyle w:val="12"/>
            </w:pPr>
            <w:r>
              <w:t>33</w:t>
            </w:r>
          </w:p>
        </w:tc>
        <w:tc>
          <w:tcPr>
            <w:tcW w:w="4535" w:type="dxa"/>
            <w:vAlign w:val="center"/>
          </w:tcPr>
          <w:p w14:paraId="7B1F7ADB">
            <w:pPr>
              <w:pStyle w:val="13"/>
            </w:pPr>
            <w:r>
              <w:t>上年结转结余</w:t>
            </w:r>
          </w:p>
        </w:tc>
        <w:tc>
          <w:tcPr>
            <w:tcW w:w="2126" w:type="dxa"/>
            <w:vAlign w:val="center"/>
          </w:tcPr>
          <w:p w14:paraId="5108B704">
            <w:pPr>
              <w:pStyle w:val="14"/>
            </w:pPr>
            <w:r>
              <w:t>63.93</w:t>
            </w:r>
          </w:p>
        </w:tc>
        <w:tc>
          <w:tcPr>
            <w:tcW w:w="4535" w:type="dxa"/>
            <w:vAlign w:val="center"/>
          </w:tcPr>
          <w:p w14:paraId="6E109EAF">
            <w:pPr>
              <w:pStyle w:val="13"/>
            </w:pPr>
            <w:r>
              <w:t>年终结转结余</w:t>
            </w:r>
          </w:p>
        </w:tc>
        <w:tc>
          <w:tcPr>
            <w:tcW w:w="2126" w:type="dxa"/>
            <w:vAlign w:val="center"/>
          </w:tcPr>
          <w:p w14:paraId="6F9AAD9D">
            <w:pPr>
              <w:pStyle w:val="14"/>
            </w:pPr>
          </w:p>
        </w:tc>
      </w:tr>
      <w:tr w14:paraId="53E37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A418E">
            <w:pPr>
              <w:pStyle w:val="12"/>
            </w:pPr>
            <w:r>
              <w:t>34</w:t>
            </w:r>
          </w:p>
        </w:tc>
        <w:tc>
          <w:tcPr>
            <w:tcW w:w="4535" w:type="dxa"/>
            <w:vAlign w:val="center"/>
          </w:tcPr>
          <w:p w14:paraId="7C7AC7AA">
            <w:pPr>
              <w:pStyle w:val="15"/>
            </w:pPr>
            <w:r>
              <w:t>收入总计</w:t>
            </w:r>
          </w:p>
        </w:tc>
        <w:tc>
          <w:tcPr>
            <w:tcW w:w="2126" w:type="dxa"/>
            <w:vAlign w:val="center"/>
          </w:tcPr>
          <w:p w14:paraId="6273F2AC">
            <w:pPr>
              <w:pStyle w:val="16"/>
            </w:pPr>
            <w:r>
              <w:t>3707.95</w:t>
            </w:r>
          </w:p>
        </w:tc>
        <w:tc>
          <w:tcPr>
            <w:tcW w:w="4535" w:type="dxa"/>
            <w:vAlign w:val="center"/>
          </w:tcPr>
          <w:p w14:paraId="140AE752">
            <w:pPr>
              <w:pStyle w:val="15"/>
            </w:pPr>
            <w:r>
              <w:t>支出总计</w:t>
            </w:r>
          </w:p>
        </w:tc>
        <w:tc>
          <w:tcPr>
            <w:tcW w:w="2126" w:type="dxa"/>
            <w:vAlign w:val="center"/>
          </w:tcPr>
          <w:p w14:paraId="61327316">
            <w:pPr>
              <w:pStyle w:val="16"/>
            </w:pPr>
            <w:r>
              <w:t>3545.95</w:t>
            </w:r>
          </w:p>
        </w:tc>
      </w:tr>
    </w:tbl>
    <w:p w14:paraId="5B246051">
      <w:pPr>
        <w:sectPr>
          <w:pgSz w:w="16840" w:h="11900" w:orient="landscape"/>
          <w:pgMar w:top="1361" w:right="1020" w:bottom="1134" w:left="1020" w:header="720" w:footer="720" w:gutter="0"/>
          <w:cols w:space="720" w:num="1"/>
        </w:sectPr>
      </w:pPr>
    </w:p>
    <w:p w14:paraId="32A02D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BE9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25CC5D">
            <w:pPr>
              <w:pStyle w:val="8"/>
            </w:pPr>
            <w:r>
              <w:t>360015隆尧县职业技术教育中心</w:t>
            </w:r>
          </w:p>
        </w:tc>
        <w:tc>
          <w:tcPr>
            <w:tcW w:w="3402" w:type="dxa"/>
            <w:gridSpan w:val="3"/>
            <w:tcBorders>
              <w:top w:val="single" w:color="FFFFFF" w:sz="6" w:space="0"/>
              <w:left w:val="single" w:color="FFFFFF" w:sz="6" w:space="0"/>
              <w:right w:val="single" w:color="FFFFFF" w:sz="6" w:space="0"/>
            </w:tcBorders>
            <w:vAlign w:val="center"/>
          </w:tcPr>
          <w:p w14:paraId="08EB7DE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0D5CD3C">
            <w:pPr>
              <w:pStyle w:val="10"/>
            </w:pPr>
            <w:r>
              <w:t>单位：万元</w:t>
            </w:r>
          </w:p>
        </w:tc>
      </w:tr>
      <w:tr w14:paraId="7476F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F8923E">
            <w:pPr>
              <w:pStyle w:val="11"/>
            </w:pPr>
            <w:r>
              <w:t>序号</w:t>
            </w:r>
          </w:p>
        </w:tc>
        <w:tc>
          <w:tcPr>
            <w:tcW w:w="2551" w:type="dxa"/>
            <w:gridSpan w:val="2"/>
            <w:vAlign w:val="center"/>
          </w:tcPr>
          <w:p w14:paraId="7DBA0420">
            <w:pPr>
              <w:pStyle w:val="11"/>
            </w:pPr>
            <w:r>
              <w:t>功能分类科目</w:t>
            </w:r>
          </w:p>
        </w:tc>
        <w:tc>
          <w:tcPr>
            <w:tcW w:w="1134" w:type="dxa"/>
            <w:vMerge w:val="restart"/>
            <w:vAlign w:val="center"/>
          </w:tcPr>
          <w:p w14:paraId="60968FFE">
            <w:pPr>
              <w:pStyle w:val="11"/>
            </w:pPr>
            <w:r>
              <w:t>合计</w:t>
            </w:r>
          </w:p>
        </w:tc>
        <w:tc>
          <w:tcPr>
            <w:tcW w:w="9072" w:type="dxa"/>
            <w:gridSpan w:val="8"/>
            <w:vAlign w:val="center"/>
          </w:tcPr>
          <w:p w14:paraId="6D09FD12">
            <w:pPr>
              <w:pStyle w:val="11"/>
            </w:pPr>
            <w:r>
              <w:t>本年收入</w:t>
            </w:r>
          </w:p>
        </w:tc>
        <w:tc>
          <w:tcPr>
            <w:tcW w:w="1134" w:type="dxa"/>
            <w:vMerge w:val="restart"/>
            <w:vAlign w:val="center"/>
          </w:tcPr>
          <w:p w14:paraId="09246AE9">
            <w:pPr>
              <w:pStyle w:val="11"/>
            </w:pPr>
            <w:r>
              <w:t>上年结转</w:t>
            </w:r>
          </w:p>
        </w:tc>
      </w:tr>
      <w:tr w14:paraId="49962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3E1978"/>
        </w:tc>
        <w:tc>
          <w:tcPr>
            <w:tcW w:w="992" w:type="dxa"/>
            <w:vAlign w:val="center"/>
          </w:tcPr>
          <w:p w14:paraId="3B19DE8F">
            <w:pPr>
              <w:pStyle w:val="11"/>
            </w:pPr>
            <w:r>
              <w:t>科目    编码</w:t>
            </w:r>
          </w:p>
        </w:tc>
        <w:tc>
          <w:tcPr>
            <w:tcW w:w="1559" w:type="dxa"/>
            <w:vAlign w:val="center"/>
          </w:tcPr>
          <w:p w14:paraId="771517B6">
            <w:pPr>
              <w:pStyle w:val="11"/>
            </w:pPr>
            <w:r>
              <w:t>科目名称</w:t>
            </w:r>
          </w:p>
        </w:tc>
        <w:tc>
          <w:tcPr>
            <w:tcW w:w="1134" w:type="dxa"/>
            <w:vMerge w:val="continue"/>
          </w:tcPr>
          <w:p w14:paraId="3DCE75CD"/>
        </w:tc>
        <w:tc>
          <w:tcPr>
            <w:tcW w:w="1134" w:type="dxa"/>
            <w:vAlign w:val="center"/>
          </w:tcPr>
          <w:p w14:paraId="13CD9D11">
            <w:pPr>
              <w:pStyle w:val="11"/>
            </w:pPr>
            <w:r>
              <w:t>小计</w:t>
            </w:r>
          </w:p>
        </w:tc>
        <w:tc>
          <w:tcPr>
            <w:tcW w:w="1134" w:type="dxa"/>
            <w:vAlign w:val="center"/>
          </w:tcPr>
          <w:p w14:paraId="53197E4E">
            <w:pPr>
              <w:pStyle w:val="11"/>
            </w:pPr>
            <w:r>
              <w:t>财政拨款 收入</w:t>
            </w:r>
          </w:p>
        </w:tc>
        <w:tc>
          <w:tcPr>
            <w:tcW w:w="1134" w:type="dxa"/>
            <w:vAlign w:val="center"/>
          </w:tcPr>
          <w:p w14:paraId="754E1851">
            <w:pPr>
              <w:pStyle w:val="11"/>
            </w:pPr>
            <w:r>
              <w:t>财政专户 收入</w:t>
            </w:r>
          </w:p>
        </w:tc>
        <w:tc>
          <w:tcPr>
            <w:tcW w:w="1134" w:type="dxa"/>
            <w:vAlign w:val="center"/>
          </w:tcPr>
          <w:p w14:paraId="35212D03">
            <w:pPr>
              <w:pStyle w:val="11"/>
            </w:pPr>
            <w:r>
              <w:t>事业收入</w:t>
            </w:r>
          </w:p>
        </w:tc>
        <w:tc>
          <w:tcPr>
            <w:tcW w:w="1134" w:type="dxa"/>
            <w:vAlign w:val="center"/>
          </w:tcPr>
          <w:p w14:paraId="640F922E">
            <w:pPr>
              <w:pStyle w:val="11"/>
            </w:pPr>
            <w:r>
              <w:t>经营收入</w:t>
            </w:r>
          </w:p>
        </w:tc>
        <w:tc>
          <w:tcPr>
            <w:tcW w:w="1134" w:type="dxa"/>
            <w:vAlign w:val="center"/>
          </w:tcPr>
          <w:p w14:paraId="4CEECCC0">
            <w:pPr>
              <w:pStyle w:val="11"/>
            </w:pPr>
            <w:r>
              <w:t>上级补助收入</w:t>
            </w:r>
          </w:p>
        </w:tc>
        <w:tc>
          <w:tcPr>
            <w:tcW w:w="1134" w:type="dxa"/>
            <w:vAlign w:val="center"/>
          </w:tcPr>
          <w:p w14:paraId="69B37B7C">
            <w:pPr>
              <w:pStyle w:val="11"/>
            </w:pPr>
            <w:r>
              <w:t>附属单位上缴收入</w:t>
            </w:r>
          </w:p>
        </w:tc>
        <w:tc>
          <w:tcPr>
            <w:tcW w:w="1134" w:type="dxa"/>
            <w:vAlign w:val="center"/>
          </w:tcPr>
          <w:p w14:paraId="4A53C7C3">
            <w:pPr>
              <w:pStyle w:val="11"/>
            </w:pPr>
            <w:r>
              <w:t>其他收入</w:t>
            </w:r>
          </w:p>
        </w:tc>
        <w:tc>
          <w:tcPr>
            <w:tcW w:w="1134" w:type="dxa"/>
            <w:vMerge w:val="continue"/>
          </w:tcPr>
          <w:p w14:paraId="5824919D"/>
        </w:tc>
      </w:tr>
      <w:tr w14:paraId="73D3F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D1A8BA">
            <w:pPr>
              <w:pStyle w:val="11"/>
            </w:pPr>
            <w:r>
              <w:t>栏次</w:t>
            </w:r>
          </w:p>
        </w:tc>
        <w:tc>
          <w:tcPr>
            <w:tcW w:w="992" w:type="dxa"/>
            <w:vAlign w:val="center"/>
          </w:tcPr>
          <w:p w14:paraId="436E6146">
            <w:pPr>
              <w:pStyle w:val="11"/>
            </w:pPr>
            <w:r>
              <w:t>1</w:t>
            </w:r>
          </w:p>
        </w:tc>
        <w:tc>
          <w:tcPr>
            <w:tcW w:w="1559" w:type="dxa"/>
            <w:vAlign w:val="center"/>
          </w:tcPr>
          <w:p w14:paraId="7F8676C9">
            <w:pPr>
              <w:pStyle w:val="11"/>
            </w:pPr>
            <w:r>
              <w:t>2</w:t>
            </w:r>
          </w:p>
        </w:tc>
        <w:tc>
          <w:tcPr>
            <w:tcW w:w="1134" w:type="dxa"/>
            <w:vAlign w:val="center"/>
          </w:tcPr>
          <w:p w14:paraId="640164FF">
            <w:pPr>
              <w:pStyle w:val="11"/>
            </w:pPr>
            <w:r>
              <w:t>3</w:t>
            </w:r>
          </w:p>
        </w:tc>
        <w:tc>
          <w:tcPr>
            <w:tcW w:w="1134" w:type="dxa"/>
            <w:vAlign w:val="center"/>
          </w:tcPr>
          <w:p w14:paraId="0A72F6EE">
            <w:pPr>
              <w:pStyle w:val="11"/>
            </w:pPr>
            <w:r>
              <w:t>4</w:t>
            </w:r>
          </w:p>
        </w:tc>
        <w:tc>
          <w:tcPr>
            <w:tcW w:w="1134" w:type="dxa"/>
            <w:vAlign w:val="center"/>
          </w:tcPr>
          <w:p w14:paraId="0EA0E20B">
            <w:pPr>
              <w:pStyle w:val="11"/>
            </w:pPr>
            <w:r>
              <w:t>5</w:t>
            </w:r>
          </w:p>
        </w:tc>
        <w:tc>
          <w:tcPr>
            <w:tcW w:w="1134" w:type="dxa"/>
            <w:vAlign w:val="center"/>
          </w:tcPr>
          <w:p w14:paraId="2F147428">
            <w:pPr>
              <w:pStyle w:val="11"/>
            </w:pPr>
            <w:r>
              <w:t>6</w:t>
            </w:r>
          </w:p>
        </w:tc>
        <w:tc>
          <w:tcPr>
            <w:tcW w:w="1134" w:type="dxa"/>
            <w:vAlign w:val="center"/>
          </w:tcPr>
          <w:p w14:paraId="5474EBD9">
            <w:pPr>
              <w:pStyle w:val="11"/>
            </w:pPr>
            <w:r>
              <w:t>7</w:t>
            </w:r>
          </w:p>
        </w:tc>
        <w:tc>
          <w:tcPr>
            <w:tcW w:w="1134" w:type="dxa"/>
            <w:vAlign w:val="center"/>
          </w:tcPr>
          <w:p w14:paraId="4EFEA098">
            <w:pPr>
              <w:pStyle w:val="11"/>
            </w:pPr>
            <w:r>
              <w:t>8</w:t>
            </w:r>
          </w:p>
        </w:tc>
        <w:tc>
          <w:tcPr>
            <w:tcW w:w="1134" w:type="dxa"/>
            <w:vAlign w:val="center"/>
          </w:tcPr>
          <w:p w14:paraId="72856A5A">
            <w:pPr>
              <w:pStyle w:val="11"/>
            </w:pPr>
            <w:r>
              <w:t>9</w:t>
            </w:r>
          </w:p>
        </w:tc>
        <w:tc>
          <w:tcPr>
            <w:tcW w:w="1134" w:type="dxa"/>
            <w:vAlign w:val="center"/>
          </w:tcPr>
          <w:p w14:paraId="76E72E6F">
            <w:pPr>
              <w:pStyle w:val="11"/>
            </w:pPr>
            <w:r>
              <w:t>10</w:t>
            </w:r>
          </w:p>
        </w:tc>
        <w:tc>
          <w:tcPr>
            <w:tcW w:w="1134" w:type="dxa"/>
            <w:vAlign w:val="center"/>
          </w:tcPr>
          <w:p w14:paraId="1C6132E0">
            <w:pPr>
              <w:pStyle w:val="11"/>
            </w:pPr>
            <w:r>
              <w:t>11</w:t>
            </w:r>
          </w:p>
        </w:tc>
        <w:tc>
          <w:tcPr>
            <w:tcW w:w="1134" w:type="dxa"/>
            <w:vAlign w:val="center"/>
          </w:tcPr>
          <w:p w14:paraId="71DF35C4">
            <w:pPr>
              <w:pStyle w:val="11"/>
            </w:pPr>
            <w:r>
              <w:t>12</w:t>
            </w:r>
          </w:p>
        </w:tc>
      </w:tr>
      <w:tr w14:paraId="47AA2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C01E81">
            <w:pPr>
              <w:pStyle w:val="12"/>
            </w:pPr>
            <w:r>
              <w:t>1</w:t>
            </w:r>
          </w:p>
        </w:tc>
        <w:tc>
          <w:tcPr>
            <w:tcW w:w="992" w:type="dxa"/>
            <w:vAlign w:val="center"/>
          </w:tcPr>
          <w:p w14:paraId="062FA247">
            <w:pPr>
              <w:pStyle w:val="17"/>
            </w:pPr>
          </w:p>
        </w:tc>
        <w:tc>
          <w:tcPr>
            <w:tcW w:w="1559" w:type="dxa"/>
            <w:vAlign w:val="center"/>
          </w:tcPr>
          <w:p w14:paraId="2E24BCA3">
            <w:pPr>
              <w:pStyle w:val="15"/>
            </w:pPr>
            <w:r>
              <w:t>合计</w:t>
            </w:r>
          </w:p>
        </w:tc>
        <w:tc>
          <w:tcPr>
            <w:tcW w:w="1134" w:type="dxa"/>
            <w:vAlign w:val="center"/>
          </w:tcPr>
          <w:p w14:paraId="726F63B2">
            <w:pPr>
              <w:pStyle w:val="16"/>
            </w:pPr>
            <w:r>
              <w:t>3707.95</w:t>
            </w:r>
          </w:p>
        </w:tc>
        <w:tc>
          <w:tcPr>
            <w:tcW w:w="1134" w:type="dxa"/>
            <w:vAlign w:val="center"/>
          </w:tcPr>
          <w:p w14:paraId="791FEC4C">
            <w:pPr>
              <w:pStyle w:val="16"/>
            </w:pPr>
            <w:r>
              <w:t>3644.02</w:t>
            </w:r>
          </w:p>
        </w:tc>
        <w:tc>
          <w:tcPr>
            <w:tcW w:w="1134" w:type="dxa"/>
            <w:vAlign w:val="center"/>
          </w:tcPr>
          <w:p w14:paraId="2BABF38D">
            <w:pPr>
              <w:pStyle w:val="16"/>
            </w:pPr>
            <w:r>
              <w:t>3482.02</w:t>
            </w:r>
          </w:p>
        </w:tc>
        <w:tc>
          <w:tcPr>
            <w:tcW w:w="1134" w:type="dxa"/>
            <w:vAlign w:val="center"/>
          </w:tcPr>
          <w:p w14:paraId="1D95B48D">
            <w:pPr>
              <w:pStyle w:val="16"/>
            </w:pPr>
            <w:r>
              <w:t>162.00</w:t>
            </w:r>
          </w:p>
        </w:tc>
        <w:tc>
          <w:tcPr>
            <w:tcW w:w="1134" w:type="dxa"/>
            <w:vAlign w:val="center"/>
          </w:tcPr>
          <w:p w14:paraId="30D35AF8">
            <w:pPr>
              <w:pStyle w:val="16"/>
            </w:pPr>
          </w:p>
        </w:tc>
        <w:tc>
          <w:tcPr>
            <w:tcW w:w="1134" w:type="dxa"/>
            <w:vAlign w:val="center"/>
          </w:tcPr>
          <w:p w14:paraId="6E484163">
            <w:pPr>
              <w:pStyle w:val="16"/>
            </w:pPr>
          </w:p>
        </w:tc>
        <w:tc>
          <w:tcPr>
            <w:tcW w:w="1134" w:type="dxa"/>
            <w:vAlign w:val="center"/>
          </w:tcPr>
          <w:p w14:paraId="2A66D41A">
            <w:pPr>
              <w:pStyle w:val="16"/>
            </w:pPr>
          </w:p>
        </w:tc>
        <w:tc>
          <w:tcPr>
            <w:tcW w:w="1134" w:type="dxa"/>
            <w:vAlign w:val="center"/>
          </w:tcPr>
          <w:p w14:paraId="04EFE535">
            <w:pPr>
              <w:pStyle w:val="16"/>
            </w:pPr>
          </w:p>
        </w:tc>
        <w:tc>
          <w:tcPr>
            <w:tcW w:w="1134" w:type="dxa"/>
            <w:vAlign w:val="center"/>
          </w:tcPr>
          <w:p w14:paraId="0E327990">
            <w:pPr>
              <w:pStyle w:val="16"/>
            </w:pPr>
          </w:p>
        </w:tc>
        <w:tc>
          <w:tcPr>
            <w:tcW w:w="1134" w:type="dxa"/>
            <w:vAlign w:val="center"/>
          </w:tcPr>
          <w:p w14:paraId="1D5006EB">
            <w:pPr>
              <w:pStyle w:val="16"/>
            </w:pPr>
            <w:r>
              <w:t>63.93</w:t>
            </w:r>
          </w:p>
        </w:tc>
      </w:tr>
      <w:tr w14:paraId="74617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887461">
            <w:pPr>
              <w:pStyle w:val="12"/>
            </w:pPr>
            <w:r>
              <w:t>2</w:t>
            </w:r>
          </w:p>
        </w:tc>
        <w:tc>
          <w:tcPr>
            <w:tcW w:w="992" w:type="dxa"/>
            <w:vAlign w:val="center"/>
          </w:tcPr>
          <w:p w14:paraId="369ED800">
            <w:pPr>
              <w:pStyle w:val="13"/>
            </w:pPr>
            <w:r>
              <w:t>205</w:t>
            </w:r>
          </w:p>
        </w:tc>
        <w:tc>
          <w:tcPr>
            <w:tcW w:w="1559" w:type="dxa"/>
            <w:vAlign w:val="center"/>
          </w:tcPr>
          <w:p w14:paraId="2AEBEF06">
            <w:pPr>
              <w:pStyle w:val="13"/>
            </w:pPr>
            <w:r>
              <w:t>教育支出</w:t>
            </w:r>
          </w:p>
        </w:tc>
        <w:tc>
          <w:tcPr>
            <w:tcW w:w="1134" w:type="dxa"/>
            <w:vAlign w:val="center"/>
          </w:tcPr>
          <w:p w14:paraId="17E78212">
            <w:pPr>
              <w:pStyle w:val="14"/>
            </w:pPr>
            <w:r>
              <w:t>3707.95</w:t>
            </w:r>
          </w:p>
        </w:tc>
        <w:tc>
          <w:tcPr>
            <w:tcW w:w="1134" w:type="dxa"/>
            <w:vAlign w:val="center"/>
          </w:tcPr>
          <w:p w14:paraId="1003D79D">
            <w:pPr>
              <w:pStyle w:val="14"/>
            </w:pPr>
            <w:r>
              <w:t>3644.02</w:t>
            </w:r>
          </w:p>
        </w:tc>
        <w:tc>
          <w:tcPr>
            <w:tcW w:w="1134" w:type="dxa"/>
            <w:vAlign w:val="center"/>
          </w:tcPr>
          <w:p w14:paraId="14B5E22F">
            <w:pPr>
              <w:pStyle w:val="14"/>
            </w:pPr>
            <w:r>
              <w:t>3482.02</w:t>
            </w:r>
          </w:p>
        </w:tc>
        <w:tc>
          <w:tcPr>
            <w:tcW w:w="1134" w:type="dxa"/>
            <w:vAlign w:val="center"/>
          </w:tcPr>
          <w:p w14:paraId="2F6E7347">
            <w:pPr>
              <w:pStyle w:val="14"/>
            </w:pPr>
            <w:r>
              <w:t>162.00</w:t>
            </w:r>
          </w:p>
        </w:tc>
        <w:tc>
          <w:tcPr>
            <w:tcW w:w="1134" w:type="dxa"/>
            <w:vAlign w:val="center"/>
          </w:tcPr>
          <w:p w14:paraId="7D8C3BDA">
            <w:pPr>
              <w:pStyle w:val="14"/>
            </w:pPr>
          </w:p>
        </w:tc>
        <w:tc>
          <w:tcPr>
            <w:tcW w:w="1134" w:type="dxa"/>
            <w:vAlign w:val="center"/>
          </w:tcPr>
          <w:p w14:paraId="46B5632F">
            <w:pPr>
              <w:pStyle w:val="14"/>
            </w:pPr>
          </w:p>
        </w:tc>
        <w:tc>
          <w:tcPr>
            <w:tcW w:w="1134" w:type="dxa"/>
            <w:vAlign w:val="center"/>
          </w:tcPr>
          <w:p w14:paraId="2EC425F3">
            <w:pPr>
              <w:pStyle w:val="14"/>
            </w:pPr>
          </w:p>
        </w:tc>
        <w:tc>
          <w:tcPr>
            <w:tcW w:w="1134" w:type="dxa"/>
            <w:vAlign w:val="center"/>
          </w:tcPr>
          <w:p w14:paraId="08EB337F">
            <w:pPr>
              <w:pStyle w:val="14"/>
            </w:pPr>
          </w:p>
        </w:tc>
        <w:tc>
          <w:tcPr>
            <w:tcW w:w="1134" w:type="dxa"/>
            <w:vAlign w:val="center"/>
          </w:tcPr>
          <w:p w14:paraId="3BE4E2F0">
            <w:pPr>
              <w:pStyle w:val="14"/>
            </w:pPr>
          </w:p>
        </w:tc>
        <w:tc>
          <w:tcPr>
            <w:tcW w:w="1134" w:type="dxa"/>
            <w:vAlign w:val="center"/>
          </w:tcPr>
          <w:p w14:paraId="68FBB1FE">
            <w:pPr>
              <w:pStyle w:val="14"/>
            </w:pPr>
            <w:r>
              <w:t>63.93</w:t>
            </w:r>
          </w:p>
        </w:tc>
      </w:tr>
      <w:tr w14:paraId="71859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68F796">
            <w:pPr>
              <w:pStyle w:val="12"/>
            </w:pPr>
            <w:r>
              <w:t>3</w:t>
            </w:r>
          </w:p>
        </w:tc>
        <w:tc>
          <w:tcPr>
            <w:tcW w:w="992" w:type="dxa"/>
            <w:vAlign w:val="center"/>
          </w:tcPr>
          <w:p w14:paraId="4750191E">
            <w:pPr>
              <w:pStyle w:val="13"/>
            </w:pPr>
            <w:r>
              <w:t>20502</w:t>
            </w:r>
          </w:p>
        </w:tc>
        <w:tc>
          <w:tcPr>
            <w:tcW w:w="1559" w:type="dxa"/>
            <w:vAlign w:val="center"/>
          </w:tcPr>
          <w:p w14:paraId="59C7D452">
            <w:pPr>
              <w:pStyle w:val="13"/>
            </w:pPr>
            <w:r>
              <w:t>普通教育</w:t>
            </w:r>
          </w:p>
        </w:tc>
        <w:tc>
          <w:tcPr>
            <w:tcW w:w="1134" w:type="dxa"/>
            <w:vAlign w:val="center"/>
          </w:tcPr>
          <w:p w14:paraId="41942D3D">
            <w:pPr>
              <w:pStyle w:val="14"/>
            </w:pPr>
            <w:r>
              <w:t>233.85</w:t>
            </w:r>
          </w:p>
        </w:tc>
        <w:tc>
          <w:tcPr>
            <w:tcW w:w="1134" w:type="dxa"/>
            <w:vAlign w:val="center"/>
          </w:tcPr>
          <w:p w14:paraId="489270A2">
            <w:pPr>
              <w:pStyle w:val="14"/>
            </w:pPr>
            <w:r>
              <w:t>233.85</w:t>
            </w:r>
          </w:p>
        </w:tc>
        <w:tc>
          <w:tcPr>
            <w:tcW w:w="1134" w:type="dxa"/>
            <w:vAlign w:val="center"/>
          </w:tcPr>
          <w:p w14:paraId="017DCB6F">
            <w:pPr>
              <w:pStyle w:val="14"/>
            </w:pPr>
            <w:r>
              <w:t>127.85</w:t>
            </w:r>
          </w:p>
        </w:tc>
        <w:tc>
          <w:tcPr>
            <w:tcW w:w="1134" w:type="dxa"/>
            <w:vAlign w:val="center"/>
          </w:tcPr>
          <w:p w14:paraId="7FEBE73F">
            <w:pPr>
              <w:pStyle w:val="14"/>
            </w:pPr>
            <w:r>
              <w:t>106.00</w:t>
            </w:r>
          </w:p>
        </w:tc>
        <w:tc>
          <w:tcPr>
            <w:tcW w:w="1134" w:type="dxa"/>
            <w:vAlign w:val="center"/>
          </w:tcPr>
          <w:p w14:paraId="2D302D47">
            <w:pPr>
              <w:pStyle w:val="14"/>
            </w:pPr>
          </w:p>
        </w:tc>
        <w:tc>
          <w:tcPr>
            <w:tcW w:w="1134" w:type="dxa"/>
            <w:vAlign w:val="center"/>
          </w:tcPr>
          <w:p w14:paraId="26B453F8">
            <w:pPr>
              <w:pStyle w:val="14"/>
            </w:pPr>
          </w:p>
        </w:tc>
        <w:tc>
          <w:tcPr>
            <w:tcW w:w="1134" w:type="dxa"/>
            <w:vAlign w:val="center"/>
          </w:tcPr>
          <w:p w14:paraId="1400871C">
            <w:pPr>
              <w:pStyle w:val="14"/>
            </w:pPr>
          </w:p>
        </w:tc>
        <w:tc>
          <w:tcPr>
            <w:tcW w:w="1134" w:type="dxa"/>
            <w:vAlign w:val="center"/>
          </w:tcPr>
          <w:p w14:paraId="3E7DE4A2">
            <w:pPr>
              <w:pStyle w:val="14"/>
            </w:pPr>
          </w:p>
        </w:tc>
        <w:tc>
          <w:tcPr>
            <w:tcW w:w="1134" w:type="dxa"/>
            <w:vAlign w:val="center"/>
          </w:tcPr>
          <w:p w14:paraId="3C031883">
            <w:pPr>
              <w:pStyle w:val="14"/>
            </w:pPr>
          </w:p>
        </w:tc>
        <w:tc>
          <w:tcPr>
            <w:tcW w:w="1134" w:type="dxa"/>
            <w:vAlign w:val="center"/>
          </w:tcPr>
          <w:p w14:paraId="466F8EE9">
            <w:pPr>
              <w:pStyle w:val="14"/>
            </w:pPr>
          </w:p>
        </w:tc>
      </w:tr>
      <w:tr w14:paraId="0A0C0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126C40">
            <w:pPr>
              <w:pStyle w:val="12"/>
            </w:pPr>
            <w:r>
              <w:t>4</w:t>
            </w:r>
          </w:p>
        </w:tc>
        <w:tc>
          <w:tcPr>
            <w:tcW w:w="992" w:type="dxa"/>
            <w:vAlign w:val="center"/>
          </w:tcPr>
          <w:p w14:paraId="691B9092">
            <w:pPr>
              <w:pStyle w:val="13"/>
            </w:pPr>
            <w:r>
              <w:t>2050204</w:t>
            </w:r>
          </w:p>
        </w:tc>
        <w:tc>
          <w:tcPr>
            <w:tcW w:w="1559" w:type="dxa"/>
            <w:vAlign w:val="center"/>
          </w:tcPr>
          <w:p w14:paraId="061AB71C">
            <w:pPr>
              <w:pStyle w:val="13"/>
            </w:pPr>
            <w:r>
              <w:t>高中教育</w:t>
            </w:r>
          </w:p>
        </w:tc>
        <w:tc>
          <w:tcPr>
            <w:tcW w:w="1134" w:type="dxa"/>
            <w:vAlign w:val="center"/>
          </w:tcPr>
          <w:p w14:paraId="760DB348">
            <w:pPr>
              <w:pStyle w:val="14"/>
            </w:pPr>
            <w:r>
              <w:t>233.85</w:t>
            </w:r>
          </w:p>
        </w:tc>
        <w:tc>
          <w:tcPr>
            <w:tcW w:w="1134" w:type="dxa"/>
            <w:vAlign w:val="center"/>
          </w:tcPr>
          <w:p w14:paraId="40E9D63E">
            <w:pPr>
              <w:pStyle w:val="14"/>
            </w:pPr>
            <w:r>
              <w:t>233.85</w:t>
            </w:r>
          </w:p>
        </w:tc>
        <w:tc>
          <w:tcPr>
            <w:tcW w:w="1134" w:type="dxa"/>
            <w:vAlign w:val="center"/>
          </w:tcPr>
          <w:p w14:paraId="40DF86E9">
            <w:pPr>
              <w:pStyle w:val="14"/>
            </w:pPr>
            <w:r>
              <w:t>127.85</w:t>
            </w:r>
          </w:p>
        </w:tc>
        <w:tc>
          <w:tcPr>
            <w:tcW w:w="1134" w:type="dxa"/>
            <w:vAlign w:val="center"/>
          </w:tcPr>
          <w:p w14:paraId="5F30C6F9">
            <w:pPr>
              <w:pStyle w:val="14"/>
            </w:pPr>
            <w:r>
              <w:t>106.00</w:t>
            </w:r>
          </w:p>
        </w:tc>
        <w:tc>
          <w:tcPr>
            <w:tcW w:w="1134" w:type="dxa"/>
            <w:vAlign w:val="center"/>
          </w:tcPr>
          <w:p w14:paraId="56A68E79">
            <w:pPr>
              <w:pStyle w:val="14"/>
            </w:pPr>
          </w:p>
        </w:tc>
        <w:tc>
          <w:tcPr>
            <w:tcW w:w="1134" w:type="dxa"/>
            <w:vAlign w:val="center"/>
          </w:tcPr>
          <w:p w14:paraId="5D73E77F">
            <w:pPr>
              <w:pStyle w:val="14"/>
            </w:pPr>
          </w:p>
        </w:tc>
        <w:tc>
          <w:tcPr>
            <w:tcW w:w="1134" w:type="dxa"/>
            <w:vAlign w:val="center"/>
          </w:tcPr>
          <w:p w14:paraId="65F9E1EB">
            <w:pPr>
              <w:pStyle w:val="14"/>
            </w:pPr>
          </w:p>
        </w:tc>
        <w:tc>
          <w:tcPr>
            <w:tcW w:w="1134" w:type="dxa"/>
            <w:vAlign w:val="center"/>
          </w:tcPr>
          <w:p w14:paraId="73957143">
            <w:pPr>
              <w:pStyle w:val="14"/>
            </w:pPr>
          </w:p>
        </w:tc>
        <w:tc>
          <w:tcPr>
            <w:tcW w:w="1134" w:type="dxa"/>
            <w:vAlign w:val="center"/>
          </w:tcPr>
          <w:p w14:paraId="4D5FD7A8">
            <w:pPr>
              <w:pStyle w:val="14"/>
            </w:pPr>
          </w:p>
        </w:tc>
        <w:tc>
          <w:tcPr>
            <w:tcW w:w="1134" w:type="dxa"/>
            <w:vAlign w:val="center"/>
          </w:tcPr>
          <w:p w14:paraId="4F89DA9D">
            <w:pPr>
              <w:pStyle w:val="14"/>
            </w:pPr>
          </w:p>
        </w:tc>
      </w:tr>
      <w:tr w14:paraId="72B56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227CC7">
            <w:pPr>
              <w:pStyle w:val="12"/>
            </w:pPr>
            <w:r>
              <w:t>5</w:t>
            </w:r>
          </w:p>
        </w:tc>
        <w:tc>
          <w:tcPr>
            <w:tcW w:w="992" w:type="dxa"/>
            <w:vAlign w:val="center"/>
          </w:tcPr>
          <w:p w14:paraId="0A0C4576">
            <w:pPr>
              <w:pStyle w:val="13"/>
            </w:pPr>
            <w:r>
              <w:t>20503</w:t>
            </w:r>
          </w:p>
        </w:tc>
        <w:tc>
          <w:tcPr>
            <w:tcW w:w="1559" w:type="dxa"/>
            <w:vAlign w:val="center"/>
          </w:tcPr>
          <w:p w14:paraId="7B399363">
            <w:pPr>
              <w:pStyle w:val="13"/>
            </w:pPr>
            <w:r>
              <w:t>职业教育</w:t>
            </w:r>
          </w:p>
        </w:tc>
        <w:tc>
          <w:tcPr>
            <w:tcW w:w="1134" w:type="dxa"/>
            <w:vAlign w:val="center"/>
          </w:tcPr>
          <w:p w14:paraId="0D8A2603">
            <w:pPr>
              <w:pStyle w:val="14"/>
            </w:pPr>
            <w:r>
              <w:t>3474.09</w:t>
            </w:r>
          </w:p>
        </w:tc>
        <w:tc>
          <w:tcPr>
            <w:tcW w:w="1134" w:type="dxa"/>
            <w:vAlign w:val="center"/>
          </w:tcPr>
          <w:p w14:paraId="310B3084">
            <w:pPr>
              <w:pStyle w:val="14"/>
            </w:pPr>
            <w:r>
              <w:t>3410.16</w:t>
            </w:r>
          </w:p>
        </w:tc>
        <w:tc>
          <w:tcPr>
            <w:tcW w:w="1134" w:type="dxa"/>
            <w:vAlign w:val="center"/>
          </w:tcPr>
          <w:p w14:paraId="082F7158">
            <w:pPr>
              <w:pStyle w:val="14"/>
            </w:pPr>
            <w:r>
              <w:t>3354.16</w:t>
            </w:r>
          </w:p>
        </w:tc>
        <w:tc>
          <w:tcPr>
            <w:tcW w:w="1134" w:type="dxa"/>
            <w:vAlign w:val="center"/>
          </w:tcPr>
          <w:p w14:paraId="5411FDAB">
            <w:pPr>
              <w:pStyle w:val="14"/>
            </w:pPr>
            <w:r>
              <w:t>56.00</w:t>
            </w:r>
          </w:p>
        </w:tc>
        <w:tc>
          <w:tcPr>
            <w:tcW w:w="1134" w:type="dxa"/>
            <w:vAlign w:val="center"/>
          </w:tcPr>
          <w:p w14:paraId="5690B1F8">
            <w:pPr>
              <w:pStyle w:val="14"/>
            </w:pPr>
          </w:p>
        </w:tc>
        <w:tc>
          <w:tcPr>
            <w:tcW w:w="1134" w:type="dxa"/>
            <w:vAlign w:val="center"/>
          </w:tcPr>
          <w:p w14:paraId="737AA0E4">
            <w:pPr>
              <w:pStyle w:val="14"/>
            </w:pPr>
          </w:p>
        </w:tc>
        <w:tc>
          <w:tcPr>
            <w:tcW w:w="1134" w:type="dxa"/>
            <w:vAlign w:val="center"/>
          </w:tcPr>
          <w:p w14:paraId="1D97EBCC">
            <w:pPr>
              <w:pStyle w:val="14"/>
            </w:pPr>
          </w:p>
        </w:tc>
        <w:tc>
          <w:tcPr>
            <w:tcW w:w="1134" w:type="dxa"/>
            <w:vAlign w:val="center"/>
          </w:tcPr>
          <w:p w14:paraId="62193E18">
            <w:pPr>
              <w:pStyle w:val="14"/>
            </w:pPr>
          </w:p>
        </w:tc>
        <w:tc>
          <w:tcPr>
            <w:tcW w:w="1134" w:type="dxa"/>
            <w:vAlign w:val="center"/>
          </w:tcPr>
          <w:p w14:paraId="4C996EE9">
            <w:pPr>
              <w:pStyle w:val="14"/>
            </w:pPr>
          </w:p>
        </w:tc>
        <w:tc>
          <w:tcPr>
            <w:tcW w:w="1134" w:type="dxa"/>
            <w:vAlign w:val="center"/>
          </w:tcPr>
          <w:p w14:paraId="4A603B70">
            <w:pPr>
              <w:pStyle w:val="14"/>
            </w:pPr>
            <w:r>
              <w:t>63.93</w:t>
            </w:r>
          </w:p>
        </w:tc>
      </w:tr>
      <w:tr w14:paraId="01B09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4A8914">
            <w:pPr>
              <w:pStyle w:val="12"/>
            </w:pPr>
            <w:r>
              <w:t>6</w:t>
            </w:r>
          </w:p>
        </w:tc>
        <w:tc>
          <w:tcPr>
            <w:tcW w:w="992" w:type="dxa"/>
            <w:vAlign w:val="center"/>
          </w:tcPr>
          <w:p w14:paraId="20FAAF60">
            <w:pPr>
              <w:pStyle w:val="13"/>
            </w:pPr>
            <w:r>
              <w:t>2050302</w:t>
            </w:r>
          </w:p>
        </w:tc>
        <w:tc>
          <w:tcPr>
            <w:tcW w:w="1559" w:type="dxa"/>
            <w:vAlign w:val="center"/>
          </w:tcPr>
          <w:p w14:paraId="46B03E89">
            <w:pPr>
              <w:pStyle w:val="13"/>
            </w:pPr>
            <w:r>
              <w:t>中等职业教育</w:t>
            </w:r>
          </w:p>
        </w:tc>
        <w:tc>
          <w:tcPr>
            <w:tcW w:w="1134" w:type="dxa"/>
            <w:vAlign w:val="center"/>
          </w:tcPr>
          <w:p w14:paraId="16C948E0">
            <w:pPr>
              <w:pStyle w:val="14"/>
            </w:pPr>
            <w:r>
              <w:t>3474.09</w:t>
            </w:r>
          </w:p>
        </w:tc>
        <w:tc>
          <w:tcPr>
            <w:tcW w:w="1134" w:type="dxa"/>
            <w:vAlign w:val="center"/>
          </w:tcPr>
          <w:p w14:paraId="57E85A52">
            <w:pPr>
              <w:pStyle w:val="14"/>
            </w:pPr>
            <w:r>
              <w:t>3410.16</w:t>
            </w:r>
          </w:p>
        </w:tc>
        <w:tc>
          <w:tcPr>
            <w:tcW w:w="1134" w:type="dxa"/>
            <w:vAlign w:val="center"/>
          </w:tcPr>
          <w:p w14:paraId="792A3A28">
            <w:pPr>
              <w:pStyle w:val="14"/>
            </w:pPr>
            <w:r>
              <w:t>3354.16</w:t>
            </w:r>
          </w:p>
        </w:tc>
        <w:tc>
          <w:tcPr>
            <w:tcW w:w="1134" w:type="dxa"/>
            <w:vAlign w:val="center"/>
          </w:tcPr>
          <w:p w14:paraId="528E120E">
            <w:pPr>
              <w:pStyle w:val="14"/>
            </w:pPr>
            <w:r>
              <w:t>56.00</w:t>
            </w:r>
          </w:p>
        </w:tc>
        <w:tc>
          <w:tcPr>
            <w:tcW w:w="1134" w:type="dxa"/>
            <w:vAlign w:val="center"/>
          </w:tcPr>
          <w:p w14:paraId="1F4024C1">
            <w:pPr>
              <w:pStyle w:val="14"/>
            </w:pPr>
          </w:p>
        </w:tc>
        <w:tc>
          <w:tcPr>
            <w:tcW w:w="1134" w:type="dxa"/>
            <w:vAlign w:val="center"/>
          </w:tcPr>
          <w:p w14:paraId="2D883081">
            <w:pPr>
              <w:pStyle w:val="14"/>
            </w:pPr>
          </w:p>
        </w:tc>
        <w:tc>
          <w:tcPr>
            <w:tcW w:w="1134" w:type="dxa"/>
            <w:vAlign w:val="center"/>
          </w:tcPr>
          <w:p w14:paraId="59A96D6D">
            <w:pPr>
              <w:pStyle w:val="14"/>
            </w:pPr>
          </w:p>
        </w:tc>
        <w:tc>
          <w:tcPr>
            <w:tcW w:w="1134" w:type="dxa"/>
            <w:vAlign w:val="center"/>
          </w:tcPr>
          <w:p w14:paraId="7B7A88FC">
            <w:pPr>
              <w:pStyle w:val="14"/>
            </w:pPr>
          </w:p>
        </w:tc>
        <w:tc>
          <w:tcPr>
            <w:tcW w:w="1134" w:type="dxa"/>
            <w:vAlign w:val="center"/>
          </w:tcPr>
          <w:p w14:paraId="1FFC392B">
            <w:pPr>
              <w:pStyle w:val="14"/>
            </w:pPr>
          </w:p>
        </w:tc>
        <w:tc>
          <w:tcPr>
            <w:tcW w:w="1134" w:type="dxa"/>
            <w:vAlign w:val="center"/>
          </w:tcPr>
          <w:p w14:paraId="15A1CB9B">
            <w:pPr>
              <w:pStyle w:val="14"/>
            </w:pPr>
            <w:r>
              <w:t>63.93</w:t>
            </w:r>
          </w:p>
        </w:tc>
      </w:tr>
    </w:tbl>
    <w:p w14:paraId="4A1839D6">
      <w:pPr>
        <w:sectPr>
          <w:pgSz w:w="16840" w:h="11900" w:orient="landscape"/>
          <w:pgMar w:top="1361" w:right="1020" w:bottom="1134" w:left="1020" w:header="720" w:footer="720" w:gutter="0"/>
          <w:cols w:space="720" w:num="1"/>
        </w:sectPr>
      </w:pPr>
    </w:p>
    <w:p w14:paraId="63CFE9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52F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7DDD3D">
            <w:pPr>
              <w:pStyle w:val="8"/>
            </w:pPr>
            <w:r>
              <w:t>360015隆尧县职业技术教育中心</w:t>
            </w:r>
          </w:p>
        </w:tc>
        <w:tc>
          <w:tcPr>
            <w:tcW w:w="2722" w:type="dxa"/>
            <w:gridSpan w:val="2"/>
            <w:tcBorders>
              <w:top w:val="single" w:color="FFFFFF" w:sz="6" w:space="0"/>
              <w:left w:val="single" w:color="FFFFFF" w:sz="6" w:space="0"/>
              <w:right w:val="single" w:color="FFFFFF" w:sz="6" w:space="0"/>
            </w:tcBorders>
            <w:vAlign w:val="center"/>
          </w:tcPr>
          <w:p w14:paraId="44DF1585">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439F6B8">
            <w:pPr>
              <w:pStyle w:val="10"/>
            </w:pPr>
            <w:r>
              <w:t>单位：万元</w:t>
            </w:r>
          </w:p>
        </w:tc>
      </w:tr>
      <w:tr w14:paraId="790E1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142FE9">
            <w:pPr>
              <w:pStyle w:val="11"/>
            </w:pPr>
            <w:r>
              <w:t>序号</w:t>
            </w:r>
          </w:p>
        </w:tc>
        <w:tc>
          <w:tcPr>
            <w:tcW w:w="5527" w:type="dxa"/>
            <w:gridSpan w:val="2"/>
            <w:vAlign w:val="center"/>
          </w:tcPr>
          <w:p w14:paraId="01F42C6F">
            <w:pPr>
              <w:pStyle w:val="11"/>
            </w:pPr>
            <w:r>
              <w:t>功能分类科目</w:t>
            </w:r>
          </w:p>
        </w:tc>
        <w:tc>
          <w:tcPr>
            <w:tcW w:w="1361" w:type="dxa"/>
            <w:vMerge w:val="restart"/>
            <w:vAlign w:val="center"/>
          </w:tcPr>
          <w:p w14:paraId="0D64F796">
            <w:pPr>
              <w:pStyle w:val="11"/>
            </w:pPr>
            <w:r>
              <w:t>合计</w:t>
            </w:r>
          </w:p>
        </w:tc>
        <w:tc>
          <w:tcPr>
            <w:tcW w:w="1361" w:type="dxa"/>
            <w:vMerge w:val="restart"/>
            <w:vAlign w:val="center"/>
          </w:tcPr>
          <w:p w14:paraId="709A6026">
            <w:pPr>
              <w:pStyle w:val="11"/>
            </w:pPr>
            <w:r>
              <w:t>基本支出</w:t>
            </w:r>
          </w:p>
        </w:tc>
        <w:tc>
          <w:tcPr>
            <w:tcW w:w="1361" w:type="dxa"/>
            <w:vMerge w:val="restart"/>
            <w:vAlign w:val="center"/>
          </w:tcPr>
          <w:p w14:paraId="3DC26A3C">
            <w:pPr>
              <w:pStyle w:val="11"/>
            </w:pPr>
            <w:r>
              <w:t>项目支出</w:t>
            </w:r>
          </w:p>
        </w:tc>
        <w:tc>
          <w:tcPr>
            <w:tcW w:w="1361" w:type="dxa"/>
            <w:vMerge w:val="restart"/>
            <w:vAlign w:val="center"/>
          </w:tcPr>
          <w:p w14:paraId="006E75EE">
            <w:pPr>
              <w:pStyle w:val="11"/>
            </w:pPr>
            <w:r>
              <w:t>经营支出</w:t>
            </w:r>
          </w:p>
        </w:tc>
        <w:tc>
          <w:tcPr>
            <w:tcW w:w="1361" w:type="dxa"/>
            <w:vMerge w:val="restart"/>
            <w:vAlign w:val="center"/>
          </w:tcPr>
          <w:p w14:paraId="5836C76E">
            <w:pPr>
              <w:pStyle w:val="11"/>
            </w:pPr>
            <w:r>
              <w:t>上解上级     支出</w:t>
            </w:r>
          </w:p>
        </w:tc>
        <w:tc>
          <w:tcPr>
            <w:tcW w:w="1361" w:type="dxa"/>
            <w:vMerge w:val="restart"/>
            <w:vAlign w:val="center"/>
          </w:tcPr>
          <w:p w14:paraId="67A94938">
            <w:pPr>
              <w:pStyle w:val="11"/>
            </w:pPr>
            <w:r>
              <w:t>对附属单位补助支出</w:t>
            </w:r>
          </w:p>
        </w:tc>
      </w:tr>
      <w:tr w14:paraId="62359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C4D303"/>
        </w:tc>
        <w:tc>
          <w:tcPr>
            <w:tcW w:w="992" w:type="dxa"/>
            <w:vAlign w:val="center"/>
          </w:tcPr>
          <w:p w14:paraId="4E3050E6">
            <w:pPr>
              <w:pStyle w:val="11"/>
            </w:pPr>
            <w:r>
              <w:t>科目    编码</w:t>
            </w:r>
          </w:p>
        </w:tc>
        <w:tc>
          <w:tcPr>
            <w:tcW w:w="4535" w:type="dxa"/>
            <w:vAlign w:val="center"/>
          </w:tcPr>
          <w:p w14:paraId="15561BC1">
            <w:pPr>
              <w:pStyle w:val="11"/>
            </w:pPr>
            <w:r>
              <w:t>科目名称</w:t>
            </w:r>
          </w:p>
        </w:tc>
        <w:tc>
          <w:tcPr>
            <w:tcW w:w="1361" w:type="dxa"/>
            <w:vMerge w:val="continue"/>
          </w:tcPr>
          <w:p w14:paraId="285933F8"/>
        </w:tc>
        <w:tc>
          <w:tcPr>
            <w:tcW w:w="1361" w:type="dxa"/>
            <w:vMerge w:val="continue"/>
          </w:tcPr>
          <w:p w14:paraId="66D00999"/>
        </w:tc>
        <w:tc>
          <w:tcPr>
            <w:tcW w:w="1361" w:type="dxa"/>
            <w:vMerge w:val="continue"/>
          </w:tcPr>
          <w:p w14:paraId="21A30519"/>
        </w:tc>
        <w:tc>
          <w:tcPr>
            <w:tcW w:w="1361" w:type="dxa"/>
            <w:vMerge w:val="continue"/>
          </w:tcPr>
          <w:p w14:paraId="115B506A"/>
        </w:tc>
        <w:tc>
          <w:tcPr>
            <w:tcW w:w="1361" w:type="dxa"/>
            <w:vMerge w:val="continue"/>
          </w:tcPr>
          <w:p w14:paraId="083AEE41"/>
        </w:tc>
        <w:tc>
          <w:tcPr>
            <w:tcW w:w="1361" w:type="dxa"/>
            <w:vMerge w:val="continue"/>
          </w:tcPr>
          <w:p w14:paraId="7867A144"/>
        </w:tc>
      </w:tr>
      <w:tr w14:paraId="47208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2046A">
            <w:pPr>
              <w:pStyle w:val="11"/>
            </w:pPr>
            <w:r>
              <w:t>栏次</w:t>
            </w:r>
          </w:p>
        </w:tc>
        <w:tc>
          <w:tcPr>
            <w:tcW w:w="992" w:type="dxa"/>
            <w:vAlign w:val="center"/>
          </w:tcPr>
          <w:p w14:paraId="697E54A5">
            <w:pPr>
              <w:pStyle w:val="11"/>
            </w:pPr>
            <w:r>
              <w:t>1</w:t>
            </w:r>
          </w:p>
        </w:tc>
        <w:tc>
          <w:tcPr>
            <w:tcW w:w="4535" w:type="dxa"/>
            <w:vAlign w:val="center"/>
          </w:tcPr>
          <w:p w14:paraId="632CF3DA">
            <w:pPr>
              <w:pStyle w:val="11"/>
            </w:pPr>
            <w:r>
              <w:t>2</w:t>
            </w:r>
          </w:p>
        </w:tc>
        <w:tc>
          <w:tcPr>
            <w:tcW w:w="1361" w:type="dxa"/>
            <w:vAlign w:val="center"/>
          </w:tcPr>
          <w:p w14:paraId="2297A4C4">
            <w:pPr>
              <w:pStyle w:val="11"/>
            </w:pPr>
            <w:r>
              <w:t>3</w:t>
            </w:r>
          </w:p>
        </w:tc>
        <w:tc>
          <w:tcPr>
            <w:tcW w:w="1361" w:type="dxa"/>
            <w:vAlign w:val="center"/>
          </w:tcPr>
          <w:p w14:paraId="66DF1E01">
            <w:pPr>
              <w:pStyle w:val="11"/>
            </w:pPr>
            <w:r>
              <w:t>4</w:t>
            </w:r>
          </w:p>
        </w:tc>
        <w:tc>
          <w:tcPr>
            <w:tcW w:w="1361" w:type="dxa"/>
            <w:vAlign w:val="center"/>
          </w:tcPr>
          <w:p w14:paraId="1B30837F">
            <w:pPr>
              <w:pStyle w:val="11"/>
            </w:pPr>
            <w:r>
              <w:t>5</w:t>
            </w:r>
          </w:p>
        </w:tc>
        <w:tc>
          <w:tcPr>
            <w:tcW w:w="1361" w:type="dxa"/>
            <w:vAlign w:val="center"/>
          </w:tcPr>
          <w:p w14:paraId="52861EEB">
            <w:pPr>
              <w:pStyle w:val="11"/>
            </w:pPr>
            <w:r>
              <w:t>6</w:t>
            </w:r>
          </w:p>
        </w:tc>
        <w:tc>
          <w:tcPr>
            <w:tcW w:w="1361" w:type="dxa"/>
            <w:vAlign w:val="center"/>
          </w:tcPr>
          <w:p w14:paraId="4453DFE4">
            <w:pPr>
              <w:pStyle w:val="11"/>
            </w:pPr>
            <w:r>
              <w:t>7</w:t>
            </w:r>
          </w:p>
        </w:tc>
        <w:tc>
          <w:tcPr>
            <w:tcW w:w="1361" w:type="dxa"/>
            <w:vAlign w:val="center"/>
          </w:tcPr>
          <w:p w14:paraId="5AD4320E">
            <w:pPr>
              <w:pStyle w:val="11"/>
            </w:pPr>
            <w:r>
              <w:t>8</w:t>
            </w:r>
          </w:p>
        </w:tc>
      </w:tr>
      <w:tr w14:paraId="2E812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C1248">
            <w:pPr>
              <w:pStyle w:val="12"/>
            </w:pPr>
            <w:r>
              <w:t>1</w:t>
            </w:r>
          </w:p>
        </w:tc>
        <w:tc>
          <w:tcPr>
            <w:tcW w:w="992" w:type="dxa"/>
            <w:vAlign w:val="center"/>
          </w:tcPr>
          <w:p w14:paraId="4343DACD">
            <w:pPr>
              <w:pStyle w:val="17"/>
            </w:pPr>
          </w:p>
        </w:tc>
        <w:tc>
          <w:tcPr>
            <w:tcW w:w="4535" w:type="dxa"/>
            <w:vAlign w:val="center"/>
          </w:tcPr>
          <w:p w14:paraId="4A61A4FD">
            <w:pPr>
              <w:pStyle w:val="15"/>
            </w:pPr>
            <w:r>
              <w:t>合计</w:t>
            </w:r>
          </w:p>
        </w:tc>
        <w:tc>
          <w:tcPr>
            <w:tcW w:w="1361" w:type="dxa"/>
            <w:vAlign w:val="center"/>
          </w:tcPr>
          <w:p w14:paraId="41AEAAC3">
            <w:pPr>
              <w:pStyle w:val="16"/>
            </w:pPr>
            <w:r>
              <w:t>3707.95</w:t>
            </w:r>
          </w:p>
        </w:tc>
        <w:tc>
          <w:tcPr>
            <w:tcW w:w="1361" w:type="dxa"/>
            <w:vAlign w:val="center"/>
          </w:tcPr>
          <w:p w14:paraId="3DEB876E">
            <w:pPr>
              <w:pStyle w:val="16"/>
            </w:pPr>
            <w:r>
              <w:t>2729.58</w:t>
            </w:r>
          </w:p>
        </w:tc>
        <w:tc>
          <w:tcPr>
            <w:tcW w:w="1361" w:type="dxa"/>
            <w:vAlign w:val="center"/>
          </w:tcPr>
          <w:p w14:paraId="355CA98D">
            <w:pPr>
              <w:pStyle w:val="16"/>
            </w:pPr>
            <w:r>
              <w:t>978.37</w:t>
            </w:r>
          </w:p>
        </w:tc>
        <w:tc>
          <w:tcPr>
            <w:tcW w:w="1361" w:type="dxa"/>
            <w:vAlign w:val="center"/>
          </w:tcPr>
          <w:p w14:paraId="58DF00C9">
            <w:pPr>
              <w:pStyle w:val="16"/>
            </w:pPr>
          </w:p>
        </w:tc>
        <w:tc>
          <w:tcPr>
            <w:tcW w:w="1361" w:type="dxa"/>
            <w:vAlign w:val="center"/>
          </w:tcPr>
          <w:p w14:paraId="7F62D4C3">
            <w:pPr>
              <w:pStyle w:val="16"/>
            </w:pPr>
          </w:p>
        </w:tc>
        <w:tc>
          <w:tcPr>
            <w:tcW w:w="1361" w:type="dxa"/>
            <w:vAlign w:val="center"/>
          </w:tcPr>
          <w:p w14:paraId="113FA493">
            <w:pPr>
              <w:pStyle w:val="16"/>
            </w:pPr>
          </w:p>
        </w:tc>
      </w:tr>
      <w:tr w14:paraId="7C14D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CEEBF">
            <w:pPr>
              <w:pStyle w:val="12"/>
            </w:pPr>
            <w:r>
              <w:t>2</w:t>
            </w:r>
          </w:p>
        </w:tc>
        <w:tc>
          <w:tcPr>
            <w:tcW w:w="992" w:type="dxa"/>
            <w:vAlign w:val="center"/>
          </w:tcPr>
          <w:p w14:paraId="62625A6B">
            <w:pPr>
              <w:pStyle w:val="13"/>
            </w:pPr>
            <w:r>
              <w:t>205</w:t>
            </w:r>
          </w:p>
        </w:tc>
        <w:tc>
          <w:tcPr>
            <w:tcW w:w="4535" w:type="dxa"/>
            <w:vAlign w:val="center"/>
          </w:tcPr>
          <w:p w14:paraId="66A12021">
            <w:pPr>
              <w:pStyle w:val="13"/>
            </w:pPr>
            <w:r>
              <w:t>教育支出</w:t>
            </w:r>
          </w:p>
        </w:tc>
        <w:tc>
          <w:tcPr>
            <w:tcW w:w="1361" w:type="dxa"/>
            <w:vAlign w:val="center"/>
          </w:tcPr>
          <w:p w14:paraId="72B87355">
            <w:pPr>
              <w:pStyle w:val="14"/>
            </w:pPr>
            <w:r>
              <w:t>3707.95</w:t>
            </w:r>
          </w:p>
        </w:tc>
        <w:tc>
          <w:tcPr>
            <w:tcW w:w="1361" w:type="dxa"/>
            <w:vAlign w:val="center"/>
          </w:tcPr>
          <w:p w14:paraId="62804A7D">
            <w:pPr>
              <w:pStyle w:val="14"/>
            </w:pPr>
            <w:r>
              <w:t>2729.58</w:t>
            </w:r>
          </w:p>
        </w:tc>
        <w:tc>
          <w:tcPr>
            <w:tcW w:w="1361" w:type="dxa"/>
            <w:vAlign w:val="center"/>
          </w:tcPr>
          <w:p w14:paraId="7EA11023">
            <w:pPr>
              <w:pStyle w:val="14"/>
            </w:pPr>
            <w:r>
              <w:t>978.37</w:t>
            </w:r>
          </w:p>
        </w:tc>
        <w:tc>
          <w:tcPr>
            <w:tcW w:w="1361" w:type="dxa"/>
            <w:vAlign w:val="center"/>
          </w:tcPr>
          <w:p w14:paraId="6407478E">
            <w:pPr>
              <w:pStyle w:val="14"/>
            </w:pPr>
          </w:p>
        </w:tc>
        <w:tc>
          <w:tcPr>
            <w:tcW w:w="1361" w:type="dxa"/>
            <w:vAlign w:val="center"/>
          </w:tcPr>
          <w:p w14:paraId="5928663B">
            <w:pPr>
              <w:pStyle w:val="14"/>
            </w:pPr>
          </w:p>
        </w:tc>
        <w:tc>
          <w:tcPr>
            <w:tcW w:w="1361" w:type="dxa"/>
            <w:vAlign w:val="center"/>
          </w:tcPr>
          <w:p w14:paraId="36326AFC">
            <w:pPr>
              <w:pStyle w:val="14"/>
            </w:pPr>
          </w:p>
        </w:tc>
      </w:tr>
      <w:tr w14:paraId="2F2DB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99F9A">
            <w:pPr>
              <w:pStyle w:val="12"/>
            </w:pPr>
            <w:r>
              <w:t>3</w:t>
            </w:r>
          </w:p>
        </w:tc>
        <w:tc>
          <w:tcPr>
            <w:tcW w:w="992" w:type="dxa"/>
            <w:vAlign w:val="center"/>
          </w:tcPr>
          <w:p w14:paraId="447448E3">
            <w:pPr>
              <w:pStyle w:val="13"/>
            </w:pPr>
            <w:r>
              <w:t>20502</w:t>
            </w:r>
          </w:p>
        </w:tc>
        <w:tc>
          <w:tcPr>
            <w:tcW w:w="4535" w:type="dxa"/>
            <w:vAlign w:val="center"/>
          </w:tcPr>
          <w:p w14:paraId="20734471">
            <w:pPr>
              <w:pStyle w:val="13"/>
            </w:pPr>
            <w:r>
              <w:t>普通教育</w:t>
            </w:r>
          </w:p>
        </w:tc>
        <w:tc>
          <w:tcPr>
            <w:tcW w:w="1361" w:type="dxa"/>
            <w:vAlign w:val="center"/>
          </w:tcPr>
          <w:p w14:paraId="05563E27">
            <w:pPr>
              <w:pStyle w:val="14"/>
            </w:pPr>
            <w:r>
              <w:t>233.85</w:t>
            </w:r>
          </w:p>
        </w:tc>
        <w:tc>
          <w:tcPr>
            <w:tcW w:w="1361" w:type="dxa"/>
            <w:vAlign w:val="center"/>
          </w:tcPr>
          <w:p w14:paraId="252501E3">
            <w:pPr>
              <w:pStyle w:val="14"/>
            </w:pPr>
          </w:p>
        </w:tc>
        <w:tc>
          <w:tcPr>
            <w:tcW w:w="1361" w:type="dxa"/>
            <w:vAlign w:val="center"/>
          </w:tcPr>
          <w:p w14:paraId="011C2FCD">
            <w:pPr>
              <w:pStyle w:val="14"/>
            </w:pPr>
            <w:r>
              <w:t>233.85</w:t>
            </w:r>
          </w:p>
        </w:tc>
        <w:tc>
          <w:tcPr>
            <w:tcW w:w="1361" w:type="dxa"/>
            <w:vAlign w:val="center"/>
          </w:tcPr>
          <w:p w14:paraId="539A6B48">
            <w:pPr>
              <w:pStyle w:val="14"/>
            </w:pPr>
          </w:p>
        </w:tc>
        <w:tc>
          <w:tcPr>
            <w:tcW w:w="1361" w:type="dxa"/>
            <w:vAlign w:val="center"/>
          </w:tcPr>
          <w:p w14:paraId="3DB05769">
            <w:pPr>
              <w:pStyle w:val="14"/>
            </w:pPr>
          </w:p>
        </w:tc>
        <w:tc>
          <w:tcPr>
            <w:tcW w:w="1361" w:type="dxa"/>
            <w:vAlign w:val="center"/>
          </w:tcPr>
          <w:p w14:paraId="68A74F81">
            <w:pPr>
              <w:pStyle w:val="14"/>
            </w:pPr>
          </w:p>
        </w:tc>
      </w:tr>
      <w:tr w14:paraId="1BAE2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F9B9C">
            <w:pPr>
              <w:pStyle w:val="12"/>
            </w:pPr>
            <w:r>
              <w:t>4</w:t>
            </w:r>
          </w:p>
        </w:tc>
        <w:tc>
          <w:tcPr>
            <w:tcW w:w="992" w:type="dxa"/>
            <w:vAlign w:val="center"/>
          </w:tcPr>
          <w:p w14:paraId="009DDD37">
            <w:pPr>
              <w:pStyle w:val="13"/>
            </w:pPr>
            <w:r>
              <w:t>2050204</w:t>
            </w:r>
          </w:p>
        </w:tc>
        <w:tc>
          <w:tcPr>
            <w:tcW w:w="4535" w:type="dxa"/>
            <w:vAlign w:val="center"/>
          </w:tcPr>
          <w:p w14:paraId="354B4CEC">
            <w:pPr>
              <w:pStyle w:val="13"/>
            </w:pPr>
            <w:r>
              <w:t>高中教育</w:t>
            </w:r>
          </w:p>
        </w:tc>
        <w:tc>
          <w:tcPr>
            <w:tcW w:w="1361" w:type="dxa"/>
            <w:vAlign w:val="center"/>
          </w:tcPr>
          <w:p w14:paraId="27F60CA7">
            <w:pPr>
              <w:pStyle w:val="14"/>
            </w:pPr>
            <w:r>
              <w:t>233.85</w:t>
            </w:r>
          </w:p>
        </w:tc>
        <w:tc>
          <w:tcPr>
            <w:tcW w:w="1361" w:type="dxa"/>
            <w:vAlign w:val="center"/>
          </w:tcPr>
          <w:p w14:paraId="740EF458">
            <w:pPr>
              <w:pStyle w:val="14"/>
            </w:pPr>
          </w:p>
        </w:tc>
        <w:tc>
          <w:tcPr>
            <w:tcW w:w="1361" w:type="dxa"/>
            <w:vAlign w:val="center"/>
          </w:tcPr>
          <w:p w14:paraId="4BE52DA6">
            <w:pPr>
              <w:pStyle w:val="14"/>
            </w:pPr>
            <w:r>
              <w:t>233.85</w:t>
            </w:r>
          </w:p>
        </w:tc>
        <w:tc>
          <w:tcPr>
            <w:tcW w:w="1361" w:type="dxa"/>
            <w:vAlign w:val="center"/>
          </w:tcPr>
          <w:p w14:paraId="74889008">
            <w:pPr>
              <w:pStyle w:val="14"/>
            </w:pPr>
          </w:p>
        </w:tc>
        <w:tc>
          <w:tcPr>
            <w:tcW w:w="1361" w:type="dxa"/>
            <w:vAlign w:val="center"/>
          </w:tcPr>
          <w:p w14:paraId="69F76E48">
            <w:pPr>
              <w:pStyle w:val="14"/>
            </w:pPr>
          </w:p>
        </w:tc>
        <w:tc>
          <w:tcPr>
            <w:tcW w:w="1361" w:type="dxa"/>
            <w:vAlign w:val="center"/>
          </w:tcPr>
          <w:p w14:paraId="4E7B7B94">
            <w:pPr>
              <w:pStyle w:val="14"/>
            </w:pPr>
          </w:p>
        </w:tc>
      </w:tr>
      <w:tr w14:paraId="7AC08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5A677">
            <w:pPr>
              <w:pStyle w:val="12"/>
            </w:pPr>
            <w:r>
              <w:t>5</w:t>
            </w:r>
          </w:p>
        </w:tc>
        <w:tc>
          <w:tcPr>
            <w:tcW w:w="992" w:type="dxa"/>
            <w:vAlign w:val="center"/>
          </w:tcPr>
          <w:p w14:paraId="61741E11">
            <w:pPr>
              <w:pStyle w:val="13"/>
            </w:pPr>
            <w:r>
              <w:t>20503</w:t>
            </w:r>
          </w:p>
        </w:tc>
        <w:tc>
          <w:tcPr>
            <w:tcW w:w="4535" w:type="dxa"/>
            <w:vAlign w:val="center"/>
          </w:tcPr>
          <w:p w14:paraId="0F6F734D">
            <w:pPr>
              <w:pStyle w:val="13"/>
            </w:pPr>
            <w:r>
              <w:t>职业教育</w:t>
            </w:r>
          </w:p>
        </w:tc>
        <w:tc>
          <w:tcPr>
            <w:tcW w:w="1361" w:type="dxa"/>
            <w:vAlign w:val="center"/>
          </w:tcPr>
          <w:p w14:paraId="328E37C2">
            <w:pPr>
              <w:pStyle w:val="14"/>
            </w:pPr>
            <w:r>
              <w:t>3474.09</w:t>
            </w:r>
          </w:p>
        </w:tc>
        <w:tc>
          <w:tcPr>
            <w:tcW w:w="1361" w:type="dxa"/>
            <w:vAlign w:val="center"/>
          </w:tcPr>
          <w:p w14:paraId="2979F308">
            <w:pPr>
              <w:pStyle w:val="14"/>
            </w:pPr>
            <w:r>
              <w:t>2729.58</w:t>
            </w:r>
          </w:p>
        </w:tc>
        <w:tc>
          <w:tcPr>
            <w:tcW w:w="1361" w:type="dxa"/>
            <w:vAlign w:val="center"/>
          </w:tcPr>
          <w:p w14:paraId="32B39EC1">
            <w:pPr>
              <w:pStyle w:val="14"/>
            </w:pPr>
            <w:r>
              <w:t>744.51</w:t>
            </w:r>
          </w:p>
        </w:tc>
        <w:tc>
          <w:tcPr>
            <w:tcW w:w="1361" w:type="dxa"/>
            <w:vAlign w:val="center"/>
          </w:tcPr>
          <w:p w14:paraId="6FB62542">
            <w:pPr>
              <w:pStyle w:val="14"/>
            </w:pPr>
          </w:p>
        </w:tc>
        <w:tc>
          <w:tcPr>
            <w:tcW w:w="1361" w:type="dxa"/>
            <w:vAlign w:val="center"/>
          </w:tcPr>
          <w:p w14:paraId="56C9C399">
            <w:pPr>
              <w:pStyle w:val="14"/>
            </w:pPr>
          </w:p>
        </w:tc>
        <w:tc>
          <w:tcPr>
            <w:tcW w:w="1361" w:type="dxa"/>
            <w:vAlign w:val="center"/>
          </w:tcPr>
          <w:p w14:paraId="4AFB2977">
            <w:pPr>
              <w:pStyle w:val="14"/>
            </w:pPr>
          </w:p>
        </w:tc>
      </w:tr>
      <w:tr w14:paraId="16668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9257F">
            <w:pPr>
              <w:pStyle w:val="12"/>
            </w:pPr>
            <w:r>
              <w:t>6</w:t>
            </w:r>
          </w:p>
        </w:tc>
        <w:tc>
          <w:tcPr>
            <w:tcW w:w="992" w:type="dxa"/>
            <w:vAlign w:val="center"/>
          </w:tcPr>
          <w:p w14:paraId="50594DA0">
            <w:pPr>
              <w:pStyle w:val="13"/>
            </w:pPr>
            <w:r>
              <w:t>2050302</w:t>
            </w:r>
          </w:p>
        </w:tc>
        <w:tc>
          <w:tcPr>
            <w:tcW w:w="4535" w:type="dxa"/>
            <w:vAlign w:val="center"/>
          </w:tcPr>
          <w:p w14:paraId="5A3525A2">
            <w:pPr>
              <w:pStyle w:val="13"/>
            </w:pPr>
            <w:r>
              <w:t>中等职业教育</w:t>
            </w:r>
          </w:p>
        </w:tc>
        <w:tc>
          <w:tcPr>
            <w:tcW w:w="1361" w:type="dxa"/>
            <w:vAlign w:val="center"/>
          </w:tcPr>
          <w:p w14:paraId="45A514F6">
            <w:pPr>
              <w:pStyle w:val="14"/>
            </w:pPr>
            <w:r>
              <w:t>3474.09</w:t>
            </w:r>
          </w:p>
        </w:tc>
        <w:tc>
          <w:tcPr>
            <w:tcW w:w="1361" w:type="dxa"/>
            <w:vAlign w:val="center"/>
          </w:tcPr>
          <w:p w14:paraId="7855D91B">
            <w:pPr>
              <w:pStyle w:val="14"/>
            </w:pPr>
            <w:r>
              <w:t>2729.58</w:t>
            </w:r>
          </w:p>
        </w:tc>
        <w:tc>
          <w:tcPr>
            <w:tcW w:w="1361" w:type="dxa"/>
            <w:vAlign w:val="center"/>
          </w:tcPr>
          <w:p w14:paraId="1BEC4740">
            <w:pPr>
              <w:pStyle w:val="14"/>
            </w:pPr>
            <w:r>
              <w:t>744.51</w:t>
            </w:r>
          </w:p>
        </w:tc>
        <w:tc>
          <w:tcPr>
            <w:tcW w:w="1361" w:type="dxa"/>
            <w:vAlign w:val="center"/>
          </w:tcPr>
          <w:p w14:paraId="2635885D">
            <w:pPr>
              <w:pStyle w:val="14"/>
            </w:pPr>
          </w:p>
        </w:tc>
        <w:tc>
          <w:tcPr>
            <w:tcW w:w="1361" w:type="dxa"/>
            <w:vAlign w:val="center"/>
          </w:tcPr>
          <w:p w14:paraId="662A36A2">
            <w:pPr>
              <w:pStyle w:val="14"/>
            </w:pPr>
          </w:p>
        </w:tc>
        <w:tc>
          <w:tcPr>
            <w:tcW w:w="1361" w:type="dxa"/>
            <w:vAlign w:val="center"/>
          </w:tcPr>
          <w:p w14:paraId="709F87CF">
            <w:pPr>
              <w:pStyle w:val="14"/>
            </w:pPr>
          </w:p>
        </w:tc>
      </w:tr>
    </w:tbl>
    <w:p w14:paraId="675FEC8E">
      <w:pPr>
        <w:sectPr>
          <w:pgSz w:w="16840" w:h="11900" w:orient="landscape"/>
          <w:pgMar w:top="1361" w:right="1020" w:bottom="1134" w:left="1020" w:header="720" w:footer="720" w:gutter="0"/>
          <w:cols w:space="720" w:num="1"/>
        </w:sectPr>
      </w:pPr>
    </w:p>
    <w:p w14:paraId="0527B6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536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92B9D4">
            <w:pPr>
              <w:pStyle w:val="8"/>
            </w:pPr>
            <w:r>
              <w:t>360015隆尧县职业技术教育中心</w:t>
            </w:r>
          </w:p>
        </w:tc>
        <w:tc>
          <w:tcPr>
            <w:tcW w:w="3402" w:type="dxa"/>
            <w:tcBorders>
              <w:top w:val="single" w:color="FFFFFF" w:sz="6" w:space="0"/>
              <w:left w:val="single" w:color="FFFFFF" w:sz="6" w:space="0"/>
              <w:right w:val="single" w:color="FFFFFF" w:sz="6" w:space="0"/>
            </w:tcBorders>
            <w:vAlign w:val="center"/>
          </w:tcPr>
          <w:p w14:paraId="692BEE9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435A8E9">
            <w:pPr>
              <w:pStyle w:val="10"/>
            </w:pPr>
            <w:r>
              <w:t>单位：万元</w:t>
            </w:r>
          </w:p>
        </w:tc>
      </w:tr>
      <w:tr w14:paraId="600E0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90D76">
            <w:pPr>
              <w:pStyle w:val="11"/>
            </w:pPr>
            <w:r>
              <w:t>序号</w:t>
            </w:r>
          </w:p>
        </w:tc>
        <w:tc>
          <w:tcPr>
            <w:tcW w:w="4876" w:type="dxa"/>
            <w:gridSpan w:val="2"/>
            <w:vAlign w:val="center"/>
          </w:tcPr>
          <w:p w14:paraId="43E326C3">
            <w:pPr>
              <w:pStyle w:val="11"/>
            </w:pPr>
            <w:r>
              <w:t>收入</w:t>
            </w:r>
          </w:p>
        </w:tc>
        <w:tc>
          <w:tcPr>
            <w:tcW w:w="9298" w:type="dxa"/>
            <w:gridSpan w:val="5"/>
            <w:vAlign w:val="center"/>
          </w:tcPr>
          <w:p w14:paraId="179EE02F">
            <w:pPr>
              <w:pStyle w:val="11"/>
            </w:pPr>
            <w:r>
              <w:t>支出</w:t>
            </w:r>
          </w:p>
        </w:tc>
      </w:tr>
      <w:tr w14:paraId="374C6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0E6592"/>
        </w:tc>
        <w:tc>
          <w:tcPr>
            <w:tcW w:w="3402" w:type="dxa"/>
            <w:vAlign w:val="center"/>
          </w:tcPr>
          <w:p w14:paraId="2D98BDAD">
            <w:pPr>
              <w:pStyle w:val="11"/>
            </w:pPr>
            <w:r>
              <w:t>项  目</w:t>
            </w:r>
          </w:p>
        </w:tc>
        <w:tc>
          <w:tcPr>
            <w:tcW w:w="1474" w:type="dxa"/>
            <w:vAlign w:val="center"/>
          </w:tcPr>
          <w:p w14:paraId="0DC23C3D">
            <w:pPr>
              <w:pStyle w:val="11"/>
            </w:pPr>
            <w:r>
              <w:t>金额</w:t>
            </w:r>
          </w:p>
        </w:tc>
        <w:tc>
          <w:tcPr>
            <w:tcW w:w="3402" w:type="dxa"/>
            <w:vAlign w:val="center"/>
          </w:tcPr>
          <w:p w14:paraId="05E70248">
            <w:pPr>
              <w:pStyle w:val="11"/>
            </w:pPr>
            <w:r>
              <w:t>项  目</w:t>
            </w:r>
          </w:p>
        </w:tc>
        <w:tc>
          <w:tcPr>
            <w:tcW w:w="1474" w:type="dxa"/>
            <w:vAlign w:val="center"/>
          </w:tcPr>
          <w:p w14:paraId="569A2AD8">
            <w:pPr>
              <w:pStyle w:val="11"/>
            </w:pPr>
            <w:r>
              <w:t>合计</w:t>
            </w:r>
          </w:p>
        </w:tc>
        <w:tc>
          <w:tcPr>
            <w:tcW w:w="1474" w:type="dxa"/>
            <w:vAlign w:val="center"/>
          </w:tcPr>
          <w:p w14:paraId="54439A9D">
            <w:pPr>
              <w:pStyle w:val="11"/>
            </w:pPr>
            <w:r>
              <w:t>一般公共预算财政拨款</w:t>
            </w:r>
          </w:p>
        </w:tc>
        <w:tc>
          <w:tcPr>
            <w:tcW w:w="1474" w:type="dxa"/>
            <w:vAlign w:val="center"/>
          </w:tcPr>
          <w:p w14:paraId="1FEDE649">
            <w:pPr>
              <w:pStyle w:val="11"/>
            </w:pPr>
            <w:r>
              <w:t>政府性基金预算财政    拨款</w:t>
            </w:r>
          </w:p>
        </w:tc>
        <w:tc>
          <w:tcPr>
            <w:tcW w:w="1474" w:type="dxa"/>
            <w:vAlign w:val="center"/>
          </w:tcPr>
          <w:p w14:paraId="4BC2436D">
            <w:pPr>
              <w:pStyle w:val="11"/>
            </w:pPr>
            <w:r>
              <w:t>国有资本经营预算财政拨款</w:t>
            </w:r>
          </w:p>
        </w:tc>
      </w:tr>
      <w:tr w14:paraId="7DDDF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E9170E">
            <w:pPr>
              <w:pStyle w:val="11"/>
            </w:pPr>
            <w:r>
              <w:t>栏次</w:t>
            </w:r>
          </w:p>
        </w:tc>
        <w:tc>
          <w:tcPr>
            <w:tcW w:w="3402" w:type="dxa"/>
            <w:vAlign w:val="center"/>
          </w:tcPr>
          <w:p w14:paraId="0815CCF7">
            <w:pPr>
              <w:pStyle w:val="11"/>
            </w:pPr>
            <w:r>
              <w:t>1</w:t>
            </w:r>
          </w:p>
        </w:tc>
        <w:tc>
          <w:tcPr>
            <w:tcW w:w="1474" w:type="dxa"/>
            <w:vAlign w:val="center"/>
          </w:tcPr>
          <w:p w14:paraId="0C8ADB7F">
            <w:pPr>
              <w:pStyle w:val="11"/>
            </w:pPr>
            <w:r>
              <w:t>2</w:t>
            </w:r>
          </w:p>
        </w:tc>
        <w:tc>
          <w:tcPr>
            <w:tcW w:w="3402" w:type="dxa"/>
            <w:vAlign w:val="center"/>
          </w:tcPr>
          <w:p w14:paraId="410A8270">
            <w:pPr>
              <w:pStyle w:val="11"/>
            </w:pPr>
            <w:r>
              <w:t>3</w:t>
            </w:r>
          </w:p>
        </w:tc>
        <w:tc>
          <w:tcPr>
            <w:tcW w:w="1474" w:type="dxa"/>
            <w:vAlign w:val="center"/>
          </w:tcPr>
          <w:p w14:paraId="6FD87B49">
            <w:pPr>
              <w:pStyle w:val="11"/>
            </w:pPr>
            <w:r>
              <w:t>4</w:t>
            </w:r>
          </w:p>
        </w:tc>
        <w:tc>
          <w:tcPr>
            <w:tcW w:w="1474" w:type="dxa"/>
            <w:vAlign w:val="center"/>
          </w:tcPr>
          <w:p w14:paraId="172655D8">
            <w:pPr>
              <w:pStyle w:val="11"/>
            </w:pPr>
            <w:r>
              <w:t>5</w:t>
            </w:r>
          </w:p>
        </w:tc>
        <w:tc>
          <w:tcPr>
            <w:tcW w:w="1474" w:type="dxa"/>
            <w:vAlign w:val="center"/>
          </w:tcPr>
          <w:p w14:paraId="0BF9FDB0">
            <w:pPr>
              <w:pStyle w:val="11"/>
            </w:pPr>
            <w:r>
              <w:t>6</w:t>
            </w:r>
          </w:p>
        </w:tc>
        <w:tc>
          <w:tcPr>
            <w:tcW w:w="1474" w:type="dxa"/>
            <w:vAlign w:val="center"/>
          </w:tcPr>
          <w:p w14:paraId="7EF2E5B1">
            <w:pPr>
              <w:pStyle w:val="11"/>
            </w:pPr>
            <w:r>
              <w:t>7</w:t>
            </w:r>
          </w:p>
        </w:tc>
      </w:tr>
      <w:tr w14:paraId="4973A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E2BCB">
            <w:pPr>
              <w:pStyle w:val="12"/>
            </w:pPr>
            <w:r>
              <w:t>1</w:t>
            </w:r>
          </w:p>
        </w:tc>
        <w:tc>
          <w:tcPr>
            <w:tcW w:w="3402" w:type="dxa"/>
            <w:vAlign w:val="center"/>
          </w:tcPr>
          <w:p w14:paraId="52D0AED5">
            <w:pPr>
              <w:pStyle w:val="13"/>
            </w:pPr>
            <w:r>
              <w:t>一、一般公共预算拨款</w:t>
            </w:r>
          </w:p>
        </w:tc>
        <w:tc>
          <w:tcPr>
            <w:tcW w:w="1474" w:type="dxa"/>
            <w:vAlign w:val="center"/>
          </w:tcPr>
          <w:p w14:paraId="40708D10">
            <w:pPr>
              <w:pStyle w:val="14"/>
            </w:pPr>
            <w:r>
              <w:t>3482.02</w:t>
            </w:r>
          </w:p>
        </w:tc>
        <w:tc>
          <w:tcPr>
            <w:tcW w:w="3402" w:type="dxa"/>
            <w:vAlign w:val="center"/>
          </w:tcPr>
          <w:p w14:paraId="179CD668">
            <w:pPr>
              <w:pStyle w:val="13"/>
            </w:pPr>
            <w:r>
              <w:t>一、一般公共服务支出</w:t>
            </w:r>
          </w:p>
        </w:tc>
        <w:tc>
          <w:tcPr>
            <w:tcW w:w="1474" w:type="dxa"/>
            <w:vAlign w:val="center"/>
          </w:tcPr>
          <w:p w14:paraId="59B59E8F">
            <w:pPr>
              <w:pStyle w:val="14"/>
            </w:pPr>
          </w:p>
        </w:tc>
        <w:tc>
          <w:tcPr>
            <w:tcW w:w="1474" w:type="dxa"/>
            <w:vAlign w:val="center"/>
          </w:tcPr>
          <w:p w14:paraId="20B3B6E4">
            <w:pPr>
              <w:pStyle w:val="14"/>
            </w:pPr>
          </w:p>
        </w:tc>
        <w:tc>
          <w:tcPr>
            <w:tcW w:w="1474" w:type="dxa"/>
            <w:vAlign w:val="center"/>
          </w:tcPr>
          <w:p w14:paraId="4CFDC128">
            <w:pPr>
              <w:pStyle w:val="14"/>
            </w:pPr>
          </w:p>
        </w:tc>
        <w:tc>
          <w:tcPr>
            <w:tcW w:w="1474" w:type="dxa"/>
            <w:vAlign w:val="center"/>
          </w:tcPr>
          <w:p w14:paraId="1B5CC584">
            <w:pPr>
              <w:pStyle w:val="14"/>
            </w:pPr>
          </w:p>
        </w:tc>
      </w:tr>
      <w:tr w14:paraId="37CFE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1A2CD">
            <w:pPr>
              <w:pStyle w:val="12"/>
            </w:pPr>
            <w:r>
              <w:t>2</w:t>
            </w:r>
          </w:p>
        </w:tc>
        <w:tc>
          <w:tcPr>
            <w:tcW w:w="3402" w:type="dxa"/>
            <w:vAlign w:val="center"/>
          </w:tcPr>
          <w:p w14:paraId="7D13C6AF">
            <w:pPr>
              <w:pStyle w:val="13"/>
            </w:pPr>
            <w:r>
              <w:t>二、政府性基金预算拨款</w:t>
            </w:r>
          </w:p>
        </w:tc>
        <w:tc>
          <w:tcPr>
            <w:tcW w:w="1474" w:type="dxa"/>
            <w:vAlign w:val="center"/>
          </w:tcPr>
          <w:p w14:paraId="36DB56E4">
            <w:pPr>
              <w:pStyle w:val="14"/>
            </w:pPr>
          </w:p>
        </w:tc>
        <w:tc>
          <w:tcPr>
            <w:tcW w:w="3402" w:type="dxa"/>
            <w:vAlign w:val="center"/>
          </w:tcPr>
          <w:p w14:paraId="25302118">
            <w:pPr>
              <w:pStyle w:val="13"/>
            </w:pPr>
            <w:r>
              <w:t>二、外交支出</w:t>
            </w:r>
          </w:p>
        </w:tc>
        <w:tc>
          <w:tcPr>
            <w:tcW w:w="1474" w:type="dxa"/>
            <w:vAlign w:val="center"/>
          </w:tcPr>
          <w:p w14:paraId="1474DD75">
            <w:pPr>
              <w:pStyle w:val="14"/>
            </w:pPr>
          </w:p>
        </w:tc>
        <w:tc>
          <w:tcPr>
            <w:tcW w:w="1474" w:type="dxa"/>
            <w:vAlign w:val="center"/>
          </w:tcPr>
          <w:p w14:paraId="504E9D36">
            <w:pPr>
              <w:pStyle w:val="14"/>
            </w:pPr>
          </w:p>
        </w:tc>
        <w:tc>
          <w:tcPr>
            <w:tcW w:w="1474" w:type="dxa"/>
            <w:vAlign w:val="center"/>
          </w:tcPr>
          <w:p w14:paraId="6C571613">
            <w:pPr>
              <w:pStyle w:val="14"/>
            </w:pPr>
          </w:p>
        </w:tc>
        <w:tc>
          <w:tcPr>
            <w:tcW w:w="1474" w:type="dxa"/>
            <w:vAlign w:val="center"/>
          </w:tcPr>
          <w:p w14:paraId="6A629031">
            <w:pPr>
              <w:pStyle w:val="14"/>
            </w:pPr>
          </w:p>
        </w:tc>
      </w:tr>
      <w:tr w14:paraId="7B78C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B7551">
            <w:pPr>
              <w:pStyle w:val="12"/>
            </w:pPr>
            <w:r>
              <w:t>3</w:t>
            </w:r>
          </w:p>
        </w:tc>
        <w:tc>
          <w:tcPr>
            <w:tcW w:w="3402" w:type="dxa"/>
            <w:vAlign w:val="center"/>
          </w:tcPr>
          <w:p w14:paraId="53684BC8">
            <w:pPr>
              <w:pStyle w:val="13"/>
            </w:pPr>
            <w:r>
              <w:t>三、国有资本经营预算拨款</w:t>
            </w:r>
          </w:p>
        </w:tc>
        <w:tc>
          <w:tcPr>
            <w:tcW w:w="1474" w:type="dxa"/>
            <w:vAlign w:val="center"/>
          </w:tcPr>
          <w:p w14:paraId="02841D91">
            <w:pPr>
              <w:pStyle w:val="14"/>
            </w:pPr>
          </w:p>
        </w:tc>
        <w:tc>
          <w:tcPr>
            <w:tcW w:w="3402" w:type="dxa"/>
            <w:vAlign w:val="center"/>
          </w:tcPr>
          <w:p w14:paraId="089BF621">
            <w:pPr>
              <w:pStyle w:val="13"/>
            </w:pPr>
            <w:r>
              <w:t>三、国防支出</w:t>
            </w:r>
          </w:p>
        </w:tc>
        <w:tc>
          <w:tcPr>
            <w:tcW w:w="1474" w:type="dxa"/>
            <w:vAlign w:val="center"/>
          </w:tcPr>
          <w:p w14:paraId="26FB0739">
            <w:pPr>
              <w:pStyle w:val="14"/>
            </w:pPr>
          </w:p>
        </w:tc>
        <w:tc>
          <w:tcPr>
            <w:tcW w:w="1474" w:type="dxa"/>
            <w:vAlign w:val="center"/>
          </w:tcPr>
          <w:p w14:paraId="576018D7">
            <w:pPr>
              <w:pStyle w:val="14"/>
            </w:pPr>
          </w:p>
        </w:tc>
        <w:tc>
          <w:tcPr>
            <w:tcW w:w="1474" w:type="dxa"/>
            <w:vAlign w:val="center"/>
          </w:tcPr>
          <w:p w14:paraId="7F7FA503">
            <w:pPr>
              <w:pStyle w:val="14"/>
            </w:pPr>
          </w:p>
        </w:tc>
        <w:tc>
          <w:tcPr>
            <w:tcW w:w="1474" w:type="dxa"/>
            <w:vAlign w:val="center"/>
          </w:tcPr>
          <w:p w14:paraId="6166EB47">
            <w:pPr>
              <w:pStyle w:val="14"/>
            </w:pPr>
          </w:p>
        </w:tc>
      </w:tr>
      <w:tr w14:paraId="6A17F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9F60A">
            <w:pPr>
              <w:pStyle w:val="12"/>
            </w:pPr>
            <w:r>
              <w:t>4</w:t>
            </w:r>
          </w:p>
        </w:tc>
        <w:tc>
          <w:tcPr>
            <w:tcW w:w="3402" w:type="dxa"/>
            <w:vAlign w:val="center"/>
          </w:tcPr>
          <w:p w14:paraId="66DBF8B0">
            <w:pPr>
              <w:pStyle w:val="13"/>
            </w:pPr>
          </w:p>
        </w:tc>
        <w:tc>
          <w:tcPr>
            <w:tcW w:w="1474" w:type="dxa"/>
            <w:vAlign w:val="center"/>
          </w:tcPr>
          <w:p w14:paraId="4E76F634">
            <w:pPr>
              <w:pStyle w:val="14"/>
            </w:pPr>
          </w:p>
        </w:tc>
        <w:tc>
          <w:tcPr>
            <w:tcW w:w="3402" w:type="dxa"/>
            <w:vAlign w:val="center"/>
          </w:tcPr>
          <w:p w14:paraId="42E22766">
            <w:pPr>
              <w:pStyle w:val="13"/>
            </w:pPr>
            <w:r>
              <w:t>四、公共安全支出</w:t>
            </w:r>
          </w:p>
        </w:tc>
        <w:tc>
          <w:tcPr>
            <w:tcW w:w="1474" w:type="dxa"/>
            <w:vAlign w:val="center"/>
          </w:tcPr>
          <w:p w14:paraId="77379AA0">
            <w:pPr>
              <w:pStyle w:val="14"/>
            </w:pPr>
          </w:p>
        </w:tc>
        <w:tc>
          <w:tcPr>
            <w:tcW w:w="1474" w:type="dxa"/>
            <w:vAlign w:val="center"/>
          </w:tcPr>
          <w:p w14:paraId="50B3D8D0">
            <w:pPr>
              <w:pStyle w:val="14"/>
            </w:pPr>
          </w:p>
        </w:tc>
        <w:tc>
          <w:tcPr>
            <w:tcW w:w="1474" w:type="dxa"/>
            <w:vAlign w:val="center"/>
          </w:tcPr>
          <w:p w14:paraId="60BECBF3">
            <w:pPr>
              <w:pStyle w:val="14"/>
            </w:pPr>
          </w:p>
        </w:tc>
        <w:tc>
          <w:tcPr>
            <w:tcW w:w="1474" w:type="dxa"/>
            <w:vAlign w:val="center"/>
          </w:tcPr>
          <w:p w14:paraId="0D27F136">
            <w:pPr>
              <w:pStyle w:val="14"/>
            </w:pPr>
          </w:p>
        </w:tc>
      </w:tr>
      <w:tr w14:paraId="41978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6098F">
            <w:pPr>
              <w:pStyle w:val="12"/>
            </w:pPr>
            <w:r>
              <w:t>5</w:t>
            </w:r>
          </w:p>
        </w:tc>
        <w:tc>
          <w:tcPr>
            <w:tcW w:w="3402" w:type="dxa"/>
            <w:vAlign w:val="center"/>
          </w:tcPr>
          <w:p w14:paraId="5C761A6C">
            <w:pPr>
              <w:pStyle w:val="13"/>
            </w:pPr>
          </w:p>
        </w:tc>
        <w:tc>
          <w:tcPr>
            <w:tcW w:w="1474" w:type="dxa"/>
            <w:vAlign w:val="center"/>
          </w:tcPr>
          <w:p w14:paraId="29C4A73D">
            <w:pPr>
              <w:pStyle w:val="14"/>
            </w:pPr>
          </w:p>
        </w:tc>
        <w:tc>
          <w:tcPr>
            <w:tcW w:w="3402" w:type="dxa"/>
            <w:vAlign w:val="center"/>
          </w:tcPr>
          <w:p w14:paraId="5A4227E0">
            <w:pPr>
              <w:pStyle w:val="13"/>
            </w:pPr>
            <w:r>
              <w:t>五、教育支出</w:t>
            </w:r>
          </w:p>
        </w:tc>
        <w:tc>
          <w:tcPr>
            <w:tcW w:w="1474" w:type="dxa"/>
            <w:vAlign w:val="center"/>
          </w:tcPr>
          <w:p w14:paraId="33B3499E">
            <w:pPr>
              <w:pStyle w:val="14"/>
            </w:pPr>
            <w:r>
              <w:t>3545.95</w:t>
            </w:r>
          </w:p>
        </w:tc>
        <w:tc>
          <w:tcPr>
            <w:tcW w:w="1474" w:type="dxa"/>
            <w:vAlign w:val="center"/>
          </w:tcPr>
          <w:p w14:paraId="2242F164">
            <w:pPr>
              <w:pStyle w:val="14"/>
            </w:pPr>
            <w:r>
              <w:t>3545.95</w:t>
            </w:r>
          </w:p>
        </w:tc>
        <w:tc>
          <w:tcPr>
            <w:tcW w:w="1474" w:type="dxa"/>
            <w:vAlign w:val="center"/>
          </w:tcPr>
          <w:p w14:paraId="367C0180">
            <w:pPr>
              <w:pStyle w:val="14"/>
            </w:pPr>
          </w:p>
        </w:tc>
        <w:tc>
          <w:tcPr>
            <w:tcW w:w="1474" w:type="dxa"/>
            <w:vAlign w:val="center"/>
          </w:tcPr>
          <w:p w14:paraId="379A6E87">
            <w:pPr>
              <w:pStyle w:val="14"/>
            </w:pPr>
          </w:p>
        </w:tc>
      </w:tr>
      <w:tr w14:paraId="797B1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98A32">
            <w:pPr>
              <w:pStyle w:val="12"/>
            </w:pPr>
            <w:r>
              <w:t>6</w:t>
            </w:r>
          </w:p>
        </w:tc>
        <w:tc>
          <w:tcPr>
            <w:tcW w:w="3402" w:type="dxa"/>
            <w:vAlign w:val="center"/>
          </w:tcPr>
          <w:p w14:paraId="09E3B50B">
            <w:pPr>
              <w:pStyle w:val="13"/>
            </w:pPr>
          </w:p>
        </w:tc>
        <w:tc>
          <w:tcPr>
            <w:tcW w:w="1474" w:type="dxa"/>
            <w:vAlign w:val="center"/>
          </w:tcPr>
          <w:p w14:paraId="032EE4D8">
            <w:pPr>
              <w:pStyle w:val="14"/>
            </w:pPr>
          </w:p>
        </w:tc>
        <w:tc>
          <w:tcPr>
            <w:tcW w:w="3402" w:type="dxa"/>
            <w:vAlign w:val="center"/>
          </w:tcPr>
          <w:p w14:paraId="4272B542">
            <w:pPr>
              <w:pStyle w:val="13"/>
            </w:pPr>
            <w:r>
              <w:t>六、科学技术支出</w:t>
            </w:r>
          </w:p>
        </w:tc>
        <w:tc>
          <w:tcPr>
            <w:tcW w:w="1474" w:type="dxa"/>
            <w:vAlign w:val="center"/>
          </w:tcPr>
          <w:p w14:paraId="59AAD967">
            <w:pPr>
              <w:pStyle w:val="14"/>
            </w:pPr>
          </w:p>
        </w:tc>
        <w:tc>
          <w:tcPr>
            <w:tcW w:w="1474" w:type="dxa"/>
            <w:vAlign w:val="center"/>
          </w:tcPr>
          <w:p w14:paraId="6D6173B0">
            <w:pPr>
              <w:pStyle w:val="14"/>
            </w:pPr>
          </w:p>
        </w:tc>
        <w:tc>
          <w:tcPr>
            <w:tcW w:w="1474" w:type="dxa"/>
            <w:vAlign w:val="center"/>
          </w:tcPr>
          <w:p w14:paraId="007A0308">
            <w:pPr>
              <w:pStyle w:val="14"/>
            </w:pPr>
          </w:p>
        </w:tc>
        <w:tc>
          <w:tcPr>
            <w:tcW w:w="1474" w:type="dxa"/>
            <w:vAlign w:val="center"/>
          </w:tcPr>
          <w:p w14:paraId="1A5D9AD2">
            <w:pPr>
              <w:pStyle w:val="14"/>
            </w:pPr>
          </w:p>
        </w:tc>
      </w:tr>
      <w:tr w14:paraId="78D7E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08321">
            <w:pPr>
              <w:pStyle w:val="12"/>
            </w:pPr>
            <w:r>
              <w:t>7</w:t>
            </w:r>
          </w:p>
        </w:tc>
        <w:tc>
          <w:tcPr>
            <w:tcW w:w="3402" w:type="dxa"/>
            <w:vAlign w:val="center"/>
          </w:tcPr>
          <w:p w14:paraId="3E0961C2">
            <w:pPr>
              <w:pStyle w:val="13"/>
            </w:pPr>
          </w:p>
        </w:tc>
        <w:tc>
          <w:tcPr>
            <w:tcW w:w="1474" w:type="dxa"/>
            <w:vAlign w:val="center"/>
          </w:tcPr>
          <w:p w14:paraId="77D896F4">
            <w:pPr>
              <w:pStyle w:val="14"/>
            </w:pPr>
          </w:p>
        </w:tc>
        <w:tc>
          <w:tcPr>
            <w:tcW w:w="3402" w:type="dxa"/>
            <w:vAlign w:val="center"/>
          </w:tcPr>
          <w:p w14:paraId="14FF711A">
            <w:pPr>
              <w:pStyle w:val="13"/>
            </w:pPr>
            <w:r>
              <w:t>七、文化旅游体育与传媒支出</w:t>
            </w:r>
          </w:p>
        </w:tc>
        <w:tc>
          <w:tcPr>
            <w:tcW w:w="1474" w:type="dxa"/>
            <w:vAlign w:val="center"/>
          </w:tcPr>
          <w:p w14:paraId="43034A47">
            <w:pPr>
              <w:pStyle w:val="14"/>
            </w:pPr>
          </w:p>
        </w:tc>
        <w:tc>
          <w:tcPr>
            <w:tcW w:w="1474" w:type="dxa"/>
            <w:vAlign w:val="center"/>
          </w:tcPr>
          <w:p w14:paraId="177B47F7">
            <w:pPr>
              <w:pStyle w:val="14"/>
            </w:pPr>
          </w:p>
        </w:tc>
        <w:tc>
          <w:tcPr>
            <w:tcW w:w="1474" w:type="dxa"/>
            <w:vAlign w:val="center"/>
          </w:tcPr>
          <w:p w14:paraId="70C993F0">
            <w:pPr>
              <w:pStyle w:val="14"/>
            </w:pPr>
          </w:p>
        </w:tc>
        <w:tc>
          <w:tcPr>
            <w:tcW w:w="1474" w:type="dxa"/>
            <w:vAlign w:val="center"/>
          </w:tcPr>
          <w:p w14:paraId="49FE209E">
            <w:pPr>
              <w:pStyle w:val="14"/>
            </w:pPr>
          </w:p>
        </w:tc>
      </w:tr>
      <w:tr w14:paraId="3E071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0EFDC">
            <w:pPr>
              <w:pStyle w:val="12"/>
            </w:pPr>
            <w:r>
              <w:t>8</w:t>
            </w:r>
          </w:p>
        </w:tc>
        <w:tc>
          <w:tcPr>
            <w:tcW w:w="3402" w:type="dxa"/>
            <w:vAlign w:val="center"/>
          </w:tcPr>
          <w:p w14:paraId="77687D82">
            <w:pPr>
              <w:pStyle w:val="13"/>
            </w:pPr>
          </w:p>
        </w:tc>
        <w:tc>
          <w:tcPr>
            <w:tcW w:w="1474" w:type="dxa"/>
            <w:vAlign w:val="center"/>
          </w:tcPr>
          <w:p w14:paraId="7CD66FD8">
            <w:pPr>
              <w:pStyle w:val="14"/>
            </w:pPr>
          </w:p>
        </w:tc>
        <w:tc>
          <w:tcPr>
            <w:tcW w:w="3402" w:type="dxa"/>
            <w:vAlign w:val="center"/>
          </w:tcPr>
          <w:p w14:paraId="5AC18F18">
            <w:pPr>
              <w:pStyle w:val="13"/>
            </w:pPr>
            <w:r>
              <w:t>八、社会保障和就业支出</w:t>
            </w:r>
          </w:p>
        </w:tc>
        <w:tc>
          <w:tcPr>
            <w:tcW w:w="1474" w:type="dxa"/>
            <w:vAlign w:val="center"/>
          </w:tcPr>
          <w:p w14:paraId="4A12F2DA">
            <w:pPr>
              <w:pStyle w:val="14"/>
            </w:pPr>
          </w:p>
        </w:tc>
        <w:tc>
          <w:tcPr>
            <w:tcW w:w="1474" w:type="dxa"/>
            <w:vAlign w:val="center"/>
          </w:tcPr>
          <w:p w14:paraId="0CFA9949">
            <w:pPr>
              <w:pStyle w:val="14"/>
            </w:pPr>
          </w:p>
        </w:tc>
        <w:tc>
          <w:tcPr>
            <w:tcW w:w="1474" w:type="dxa"/>
            <w:vAlign w:val="center"/>
          </w:tcPr>
          <w:p w14:paraId="07B72676">
            <w:pPr>
              <w:pStyle w:val="14"/>
            </w:pPr>
          </w:p>
        </w:tc>
        <w:tc>
          <w:tcPr>
            <w:tcW w:w="1474" w:type="dxa"/>
            <w:vAlign w:val="center"/>
          </w:tcPr>
          <w:p w14:paraId="724D2DE1">
            <w:pPr>
              <w:pStyle w:val="14"/>
            </w:pPr>
          </w:p>
        </w:tc>
      </w:tr>
      <w:tr w14:paraId="37F1B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8630C">
            <w:pPr>
              <w:pStyle w:val="12"/>
            </w:pPr>
            <w:r>
              <w:t>9</w:t>
            </w:r>
          </w:p>
        </w:tc>
        <w:tc>
          <w:tcPr>
            <w:tcW w:w="3402" w:type="dxa"/>
            <w:vAlign w:val="center"/>
          </w:tcPr>
          <w:p w14:paraId="746E8294">
            <w:pPr>
              <w:pStyle w:val="13"/>
            </w:pPr>
          </w:p>
        </w:tc>
        <w:tc>
          <w:tcPr>
            <w:tcW w:w="1474" w:type="dxa"/>
            <w:vAlign w:val="center"/>
          </w:tcPr>
          <w:p w14:paraId="6A34632A">
            <w:pPr>
              <w:pStyle w:val="14"/>
            </w:pPr>
          </w:p>
        </w:tc>
        <w:tc>
          <w:tcPr>
            <w:tcW w:w="3402" w:type="dxa"/>
            <w:vAlign w:val="center"/>
          </w:tcPr>
          <w:p w14:paraId="0E20B2FF">
            <w:pPr>
              <w:pStyle w:val="13"/>
            </w:pPr>
            <w:r>
              <w:t>九、社会保险基金支出</w:t>
            </w:r>
          </w:p>
        </w:tc>
        <w:tc>
          <w:tcPr>
            <w:tcW w:w="1474" w:type="dxa"/>
            <w:vAlign w:val="center"/>
          </w:tcPr>
          <w:p w14:paraId="73E9D451">
            <w:pPr>
              <w:pStyle w:val="14"/>
            </w:pPr>
          </w:p>
        </w:tc>
        <w:tc>
          <w:tcPr>
            <w:tcW w:w="1474" w:type="dxa"/>
            <w:vAlign w:val="center"/>
          </w:tcPr>
          <w:p w14:paraId="0F04F87C">
            <w:pPr>
              <w:pStyle w:val="14"/>
            </w:pPr>
          </w:p>
        </w:tc>
        <w:tc>
          <w:tcPr>
            <w:tcW w:w="1474" w:type="dxa"/>
            <w:vAlign w:val="center"/>
          </w:tcPr>
          <w:p w14:paraId="3066FC3F">
            <w:pPr>
              <w:pStyle w:val="14"/>
            </w:pPr>
          </w:p>
        </w:tc>
        <w:tc>
          <w:tcPr>
            <w:tcW w:w="1474" w:type="dxa"/>
            <w:vAlign w:val="center"/>
          </w:tcPr>
          <w:p w14:paraId="0B1B1356">
            <w:pPr>
              <w:pStyle w:val="14"/>
            </w:pPr>
          </w:p>
        </w:tc>
      </w:tr>
      <w:tr w14:paraId="05B4A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A4CCAE5">
            <w:pPr>
              <w:pStyle w:val="12"/>
            </w:pPr>
            <w:r>
              <w:t>10</w:t>
            </w:r>
          </w:p>
        </w:tc>
        <w:tc>
          <w:tcPr>
            <w:tcW w:w="3402" w:type="dxa"/>
            <w:vAlign w:val="center"/>
          </w:tcPr>
          <w:p w14:paraId="6AC42D06">
            <w:pPr>
              <w:pStyle w:val="13"/>
            </w:pPr>
          </w:p>
        </w:tc>
        <w:tc>
          <w:tcPr>
            <w:tcW w:w="1474" w:type="dxa"/>
            <w:vAlign w:val="center"/>
          </w:tcPr>
          <w:p w14:paraId="47101B4A">
            <w:pPr>
              <w:pStyle w:val="14"/>
            </w:pPr>
          </w:p>
        </w:tc>
        <w:tc>
          <w:tcPr>
            <w:tcW w:w="3402" w:type="dxa"/>
            <w:vAlign w:val="center"/>
          </w:tcPr>
          <w:p w14:paraId="2F338800">
            <w:pPr>
              <w:pStyle w:val="13"/>
            </w:pPr>
            <w:r>
              <w:t>十、卫生健康支出</w:t>
            </w:r>
          </w:p>
        </w:tc>
        <w:tc>
          <w:tcPr>
            <w:tcW w:w="1474" w:type="dxa"/>
            <w:vAlign w:val="center"/>
          </w:tcPr>
          <w:p w14:paraId="5226E692">
            <w:pPr>
              <w:pStyle w:val="14"/>
            </w:pPr>
          </w:p>
        </w:tc>
        <w:tc>
          <w:tcPr>
            <w:tcW w:w="1474" w:type="dxa"/>
            <w:vAlign w:val="center"/>
          </w:tcPr>
          <w:p w14:paraId="5CB75880">
            <w:pPr>
              <w:pStyle w:val="14"/>
            </w:pPr>
          </w:p>
        </w:tc>
        <w:tc>
          <w:tcPr>
            <w:tcW w:w="1474" w:type="dxa"/>
            <w:vAlign w:val="center"/>
          </w:tcPr>
          <w:p w14:paraId="77BC1320">
            <w:pPr>
              <w:pStyle w:val="14"/>
            </w:pPr>
          </w:p>
        </w:tc>
        <w:tc>
          <w:tcPr>
            <w:tcW w:w="1474" w:type="dxa"/>
            <w:vAlign w:val="center"/>
          </w:tcPr>
          <w:p w14:paraId="7E704978">
            <w:pPr>
              <w:pStyle w:val="14"/>
            </w:pPr>
          </w:p>
        </w:tc>
      </w:tr>
      <w:tr w14:paraId="3CA32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DD6E0">
            <w:pPr>
              <w:pStyle w:val="12"/>
            </w:pPr>
            <w:r>
              <w:t>11</w:t>
            </w:r>
          </w:p>
        </w:tc>
        <w:tc>
          <w:tcPr>
            <w:tcW w:w="3402" w:type="dxa"/>
            <w:vAlign w:val="center"/>
          </w:tcPr>
          <w:p w14:paraId="53A1E33D">
            <w:pPr>
              <w:pStyle w:val="13"/>
            </w:pPr>
          </w:p>
        </w:tc>
        <w:tc>
          <w:tcPr>
            <w:tcW w:w="1474" w:type="dxa"/>
            <w:vAlign w:val="center"/>
          </w:tcPr>
          <w:p w14:paraId="5E715899">
            <w:pPr>
              <w:pStyle w:val="14"/>
            </w:pPr>
          </w:p>
        </w:tc>
        <w:tc>
          <w:tcPr>
            <w:tcW w:w="3402" w:type="dxa"/>
            <w:vAlign w:val="center"/>
          </w:tcPr>
          <w:p w14:paraId="0AA54E56">
            <w:pPr>
              <w:pStyle w:val="13"/>
            </w:pPr>
            <w:r>
              <w:t>十一、节能环保支出</w:t>
            </w:r>
          </w:p>
        </w:tc>
        <w:tc>
          <w:tcPr>
            <w:tcW w:w="1474" w:type="dxa"/>
            <w:vAlign w:val="center"/>
          </w:tcPr>
          <w:p w14:paraId="2D65025E">
            <w:pPr>
              <w:pStyle w:val="14"/>
            </w:pPr>
          </w:p>
        </w:tc>
        <w:tc>
          <w:tcPr>
            <w:tcW w:w="1474" w:type="dxa"/>
            <w:vAlign w:val="center"/>
          </w:tcPr>
          <w:p w14:paraId="62E53507">
            <w:pPr>
              <w:pStyle w:val="14"/>
            </w:pPr>
          </w:p>
        </w:tc>
        <w:tc>
          <w:tcPr>
            <w:tcW w:w="1474" w:type="dxa"/>
            <w:vAlign w:val="center"/>
          </w:tcPr>
          <w:p w14:paraId="6E25B0A4">
            <w:pPr>
              <w:pStyle w:val="14"/>
            </w:pPr>
          </w:p>
        </w:tc>
        <w:tc>
          <w:tcPr>
            <w:tcW w:w="1474" w:type="dxa"/>
            <w:vAlign w:val="center"/>
          </w:tcPr>
          <w:p w14:paraId="2EAD2C8E">
            <w:pPr>
              <w:pStyle w:val="14"/>
            </w:pPr>
          </w:p>
        </w:tc>
      </w:tr>
      <w:tr w14:paraId="42D30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D74ECD2">
            <w:pPr>
              <w:pStyle w:val="12"/>
            </w:pPr>
            <w:r>
              <w:t>12</w:t>
            </w:r>
          </w:p>
        </w:tc>
        <w:tc>
          <w:tcPr>
            <w:tcW w:w="3402" w:type="dxa"/>
            <w:vAlign w:val="center"/>
          </w:tcPr>
          <w:p w14:paraId="5D4EE7AF">
            <w:pPr>
              <w:pStyle w:val="13"/>
            </w:pPr>
          </w:p>
        </w:tc>
        <w:tc>
          <w:tcPr>
            <w:tcW w:w="1474" w:type="dxa"/>
            <w:vAlign w:val="center"/>
          </w:tcPr>
          <w:p w14:paraId="5C6F8A9E">
            <w:pPr>
              <w:pStyle w:val="14"/>
            </w:pPr>
          </w:p>
        </w:tc>
        <w:tc>
          <w:tcPr>
            <w:tcW w:w="3402" w:type="dxa"/>
            <w:vAlign w:val="center"/>
          </w:tcPr>
          <w:p w14:paraId="2927B75F">
            <w:pPr>
              <w:pStyle w:val="13"/>
            </w:pPr>
            <w:r>
              <w:t>十二、城乡社区支出</w:t>
            </w:r>
          </w:p>
        </w:tc>
        <w:tc>
          <w:tcPr>
            <w:tcW w:w="1474" w:type="dxa"/>
            <w:vAlign w:val="center"/>
          </w:tcPr>
          <w:p w14:paraId="16962D5E">
            <w:pPr>
              <w:pStyle w:val="14"/>
            </w:pPr>
          </w:p>
        </w:tc>
        <w:tc>
          <w:tcPr>
            <w:tcW w:w="1474" w:type="dxa"/>
            <w:vAlign w:val="center"/>
          </w:tcPr>
          <w:p w14:paraId="5860B0C0">
            <w:pPr>
              <w:pStyle w:val="14"/>
            </w:pPr>
          </w:p>
        </w:tc>
        <w:tc>
          <w:tcPr>
            <w:tcW w:w="1474" w:type="dxa"/>
            <w:vAlign w:val="center"/>
          </w:tcPr>
          <w:p w14:paraId="55B3220C">
            <w:pPr>
              <w:pStyle w:val="14"/>
            </w:pPr>
          </w:p>
        </w:tc>
        <w:tc>
          <w:tcPr>
            <w:tcW w:w="1474" w:type="dxa"/>
            <w:vAlign w:val="center"/>
          </w:tcPr>
          <w:p w14:paraId="3A8F4026">
            <w:pPr>
              <w:pStyle w:val="14"/>
            </w:pPr>
          </w:p>
        </w:tc>
      </w:tr>
      <w:tr w14:paraId="6AB94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76B3E">
            <w:pPr>
              <w:pStyle w:val="12"/>
            </w:pPr>
            <w:r>
              <w:t>13</w:t>
            </w:r>
          </w:p>
        </w:tc>
        <w:tc>
          <w:tcPr>
            <w:tcW w:w="3402" w:type="dxa"/>
            <w:vAlign w:val="center"/>
          </w:tcPr>
          <w:p w14:paraId="3C9B9568">
            <w:pPr>
              <w:pStyle w:val="13"/>
            </w:pPr>
          </w:p>
        </w:tc>
        <w:tc>
          <w:tcPr>
            <w:tcW w:w="1474" w:type="dxa"/>
            <w:vAlign w:val="center"/>
          </w:tcPr>
          <w:p w14:paraId="37F839D8">
            <w:pPr>
              <w:pStyle w:val="14"/>
            </w:pPr>
          </w:p>
        </w:tc>
        <w:tc>
          <w:tcPr>
            <w:tcW w:w="3402" w:type="dxa"/>
            <w:vAlign w:val="center"/>
          </w:tcPr>
          <w:p w14:paraId="2C6A4166">
            <w:pPr>
              <w:pStyle w:val="13"/>
            </w:pPr>
            <w:r>
              <w:t>十三、农林水支出</w:t>
            </w:r>
          </w:p>
        </w:tc>
        <w:tc>
          <w:tcPr>
            <w:tcW w:w="1474" w:type="dxa"/>
            <w:vAlign w:val="center"/>
          </w:tcPr>
          <w:p w14:paraId="585EA75C">
            <w:pPr>
              <w:pStyle w:val="14"/>
            </w:pPr>
          </w:p>
        </w:tc>
        <w:tc>
          <w:tcPr>
            <w:tcW w:w="1474" w:type="dxa"/>
            <w:vAlign w:val="center"/>
          </w:tcPr>
          <w:p w14:paraId="3FD5094C">
            <w:pPr>
              <w:pStyle w:val="14"/>
            </w:pPr>
          </w:p>
        </w:tc>
        <w:tc>
          <w:tcPr>
            <w:tcW w:w="1474" w:type="dxa"/>
            <w:vAlign w:val="center"/>
          </w:tcPr>
          <w:p w14:paraId="2595ABD2">
            <w:pPr>
              <w:pStyle w:val="14"/>
            </w:pPr>
          </w:p>
        </w:tc>
        <w:tc>
          <w:tcPr>
            <w:tcW w:w="1474" w:type="dxa"/>
            <w:vAlign w:val="center"/>
          </w:tcPr>
          <w:p w14:paraId="449D0642">
            <w:pPr>
              <w:pStyle w:val="14"/>
            </w:pPr>
          </w:p>
        </w:tc>
      </w:tr>
      <w:tr w14:paraId="07686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4245104">
            <w:pPr>
              <w:pStyle w:val="12"/>
            </w:pPr>
            <w:r>
              <w:t>14</w:t>
            </w:r>
          </w:p>
        </w:tc>
        <w:tc>
          <w:tcPr>
            <w:tcW w:w="3402" w:type="dxa"/>
            <w:vAlign w:val="center"/>
          </w:tcPr>
          <w:p w14:paraId="77BA6A47">
            <w:pPr>
              <w:pStyle w:val="13"/>
            </w:pPr>
          </w:p>
        </w:tc>
        <w:tc>
          <w:tcPr>
            <w:tcW w:w="1474" w:type="dxa"/>
            <w:vAlign w:val="center"/>
          </w:tcPr>
          <w:p w14:paraId="03000695">
            <w:pPr>
              <w:pStyle w:val="14"/>
            </w:pPr>
          </w:p>
        </w:tc>
        <w:tc>
          <w:tcPr>
            <w:tcW w:w="3402" w:type="dxa"/>
            <w:vAlign w:val="center"/>
          </w:tcPr>
          <w:p w14:paraId="7644D20B">
            <w:pPr>
              <w:pStyle w:val="13"/>
            </w:pPr>
            <w:r>
              <w:t>十四、交通运输支出</w:t>
            </w:r>
          </w:p>
        </w:tc>
        <w:tc>
          <w:tcPr>
            <w:tcW w:w="1474" w:type="dxa"/>
            <w:vAlign w:val="center"/>
          </w:tcPr>
          <w:p w14:paraId="67BD0DEC">
            <w:pPr>
              <w:pStyle w:val="14"/>
            </w:pPr>
          </w:p>
        </w:tc>
        <w:tc>
          <w:tcPr>
            <w:tcW w:w="1474" w:type="dxa"/>
            <w:vAlign w:val="center"/>
          </w:tcPr>
          <w:p w14:paraId="5123D320">
            <w:pPr>
              <w:pStyle w:val="14"/>
            </w:pPr>
          </w:p>
        </w:tc>
        <w:tc>
          <w:tcPr>
            <w:tcW w:w="1474" w:type="dxa"/>
            <w:vAlign w:val="center"/>
          </w:tcPr>
          <w:p w14:paraId="1EB64FBB">
            <w:pPr>
              <w:pStyle w:val="14"/>
            </w:pPr>
          </w:p>
        </w:tc>
        <w:tc>
          <w:tcPr>
            <w:tcW w:w="1474" w:type="dxa"/>
            <w:vAlign w:val="center"/>
          </w:tcPr>
          <w:p w14:paraId="195BFEA7">
            <w:pPr>
              <w:pStyle w:val="14"/>
            </w:pPr>
          </w:p>
        </w:tc>
      </w:tr>
      <w:tr w14:paraId="7AECC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D31C2">
            <w:pPr>
              <w:pStyle w:val="12"/>
            </w:pPr>
            <w:r>
              <w:t>15</w:t>
            </w:r>
          </w:p>
        </w:tc>
        <w:tc>
          <w:tcPr>
            <w:tcW w:w="3402" w:type="dxa"/>
            <w:vAlign w:val="center"/>
          </w:tcPr>
          <w:p w14:paraId="6F67813C">
            <w:pPr>
              <w:pStyle w:val="13"/>
            </w:pPr>
          </w:p>
        </w:tc>
        <w:tc>
          <w:tcPr>
            <w:tcW w:w="1474" w:type="dxa"/>
            <w:vAlign w:val="center"/>
          </w:tcPr>
          <w:p w14:paraId="68E6F9D6">
            <w:pPr>
              <w:pStyle w:val="14"/>
            </w:pPr>
          </w:p>
        </w:tc>
        <w:tc>
          <w:tcPr>
            <w:tcW w:w="3402" w:type="dxa"/>
            <w:vAlign w:val="center"/>
          </w:tcPr>
          <w:p w14:paraId="4E386FB8">
            <w:pPr>
              <w:pStyle w:val="13"/>
            </w:pPr>
            <w:r>
              <w:t>十五、资源勘探工业信息等支出</w:t>
            </w:r>
          </w:p>
        </w:tc>
        <w:tc>
          <w:tcPr>
            <w:tcW w:w="1474" w:type="dxa"/>
            <w:vAlign w:val="center"/>
          </w:tcPr>
          <w:p w14:paraId="5C9F0B81">
            <w:pPr>
              <w:pStyle w:val="14"/>
            </w:pPr>
          </w:p>
        </w:tc>
        <w:tc>
          <w:tcPr>
            <w:tcW w:w="1474" w:type="dxa"/>
            <w:vAlign w:val="center"/>
          </w:tcPr>
          <w:p w14:paraId="1FE9298A">
            <w:pPr>
              <w:pStyle w:val="14"/>
            </w:pPr>
          </w:p>
        </w:tc>
        <w:tc>
          <w:tcPr>
            <w:tcW w:w="1474" w:type="dxa"/>
            <w:vAlign w:val="center"/>
          </w:tcPr>
          <w:p w14:paraId="442D3517">
            <w:pPr>
              <w:pStyle w:val="14"/>
            </w:pPr>
          </w:p>
        </w:tc>
        <w:tc>
          <w:tcPr>
            <w:tcW w:w="1474" w:type="dxa"/>
            <w:vAlign w:val="center"/>
          </w:tcPr>
          <w:p w14:paraId="09606A7A">
            <w:pPr>
              <w:pStyle w:val="14"/>
            </w:pPr>
          </w:p>
        </w:tc>
      </w:tr>
      <w:tr w14:paraId="57B68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A29F6">
            <w:pPr>
              <w:pStyle w:val="12"/>
            </w:pPr>
            <w:r>
              <w:t>16</w:t>
            </w:r>
          </w:p>
        </w:tc>
        <w:tc>
          <w:tcPr>
            <w:tcW w:w="3402" w:type="dxa"/>
            <w:vAlign w:val="center"/>
          </w:tcPr>
          <w:p w14:paraId="7196AAD3">
            <w:pPr>
              <w:pStyle w:val="13"/>
            </w:pPr>
          </w:p>
        </w:tc>
        <w:tc>
          <w:tcPr>
            <w:tcW w:w="1474" w:type="dxa"/>
            <w:vAlign w:val="center"/>
          </w:tcPr>
          <w:p w14:paraId="33C7EF93">
            <w:pPr>
              <w:pStyle w:val="14"/>
            </w:pPr>
          </w:p>
        </w:tc>
        <w:tc>
          <w:tcPr>
            <w:tcW w:w="3402" w:type="dxa"/>
            <w:vAlign w:val="center"/>
          </w:tcPr>
          <w:p w14:paraId="0B68417D">
            <w:pPr>
              <w:pStyle w:val="13"/>
            </w:pPr>
            <w:r>
              <w:t>十六、商业服务业等支出</w:t>
            </w:r>
          </w:p>
        </w:tc>
        <w:tc>
          <w:tcPr>
            <w:tcW w:w="1474" w:type="dxa"/>
            <w:vAlign w:val="center"/>
          </w:tcPr>
          <w:p w14:paraId="16E94D68">
            <w:pPr>
              <w:pStyle w:val="14"/>
            </w:pPr>
          </w:p>
        </w:tc>
        <w:tc>
          <w:tcPr>
            <w:tcW w:w="1474" w:type="dxa"/>
            <w:vAlign w:val="center"/>
          </w:tcPr>
          <w:p w14:paraId="3500D0C1">
            <w:pPr>
              <w:pStyle w:val="14"/>
            </w:pPr>
          </w:p>
        </w:tc>
        <w:tc>
          <w:tcPr>
            <w:tcW w:w="1474" w:type="dxa"/>
            <w:vAlign w:val="center"/>
          </w:tcPr>
          <w:p w14:paraId="77229717">
            <w:pPr>
              <w:pStyle w:val="14"/>
            </w:pPr>
          </w:p>
        </w:tc>
        <w:tc>
          <w:tcPr>
            <w:tcW w:w="1474" w:type="dxa"/>
            <w:vAlign w:val="center"/>
          </w:tcPr>
          <w:p w14:paraId="6FBAC78B">
            <w:pPr>
              <w:pStyle w:val="14"/>
            </w:pPr>
          </w:p>
        </w:tc>
      </w:tr>
      <w:tr w14:paraId="52810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81A68">
            <w:pPr>
              <w:pStyle w:val="12"/>
            </w:pPr>
            <w:r>
              <w:t>17</w:t>
            </w:r>
          </w:p>
        </w:tc>
        <w:tc>
          <w:tcPr>
            <w:tcW w:w="3402" w:type="dxa"/>
            <w:vAlign w:val="center"/>
          </w:tcPr>
          <w:p w14:paraId="37C9C207">
            <w:pPr>
              <w:pStyle w:val="13"/>
            </w:pPr>
          </w:p>
        </w:tc>
        <w:tc>
          <w:tcPr>
            <w:tcW w:w="1474" w:type="dxa"/>
            <w:vAlign w:val="center"/>
          </w:tcPr>
          <w:p w14:paraId="3E62E86E">
            <w:pPr>
              <w:pStyle w:val="14"/>
            </w:pPr>
          </w:p>
        </w:tc>
        <w:tc>
          <w:tcPr>
            <w:tcW w:w="3402" w:type="dxa"/>
            <w:vAlign w:val="center"/>
          </w:tcPr>
          <w:p w14:paraId="512A8840">
            <w:pPr>
              <w:pStyle w:val="13"/>
            </w:pPr>
            <w:r>
              <w:t>十七、金融支出</w:t>
            </w:r>
          </w:p>
        </w:tc>
        <w:tc>
          <w:tcPr>
            <w:tcW w:w="1474" w:type="dxa"/>
            <w:vAlign w:val="center"/>
          </w:tcPr>
          <w:p w14:paraId="1B3C397E">
            <w:pPr>
              <w:pStyle w:val="14"/>
            </w:pPr>
          </w:p>
        </w:tc>
        <w:tc>
          <w:tcPr>
            <w:tcW w:w="1474" w:type="dxa"/>
            <w:vAlign w:val="center"/>
          </w:tcPr>
          <w:p w14:paraId="41592D73">
            <w:pPr>
              <w:pStyle w:val="14"/>
            </w:pPr>
          </w:p>
        </w:tc>
        <w:tc>
          <w:tcPr>
            <w:tcW w:w="1474" w:type="dxa"/>
            <w:vAlign w:val="center"/>
          </w:tcPr>
          <w:p w14:paraId="57425628">
            <w:pPr>
              <w:pStyle w:val="14"/>
            </w:pPr>
          </w:p>
        </w:tc>
        <w:tc>
          <w:tcPr>
            <w:tcW w:w="1474" w:type="dxa"/>
            <w:vAlign w:val="center"/>
          </w:tcPr>
          <w:p w14:paraId="4263ADA8">
            <w:pPr>
              <w:pStyle w:val="14"/>
            </w:pPr>
          </w:p>
        </w:tc>
      </w:tr>
      <w:tr w14:paraId="27001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397B6">
            <w:pPr>
              <w:pStyle w:val="12"/>
            </w:pPr>
            <w:r>
              <w:t>18</w:t>
            </w:r>
          </w:p>
        </w:tc>
        <w:tc>
          <w:tcPr>
            <w:tcW w:w="3402" w:type="dxa"/>
            <w:vAlign w:val="center"/>
          </w:tcPr>
          <w:p w14:paraId="38069868">
            <w:pPr>
              <w:pStyle w:val="13"/>
            </w:pPr>
          </w:p>
        </w:tc>
        <w:tc>
          <w:tcPr>
            <w:tcW w:w="1474" w:type="dxa"/>
            <w:vAlign w:val="center"/>
          </w:tcPr>
          <w:p w14:paraId="6937402E">
            <w:pPr>
              <w:pStyle w:val="14"/>
            </w:pPr>
          </w:p>
        </w:tc>
        <w:tc>
          <w:tcPr>
            <w:tcW w:w="3402" w:type="dxa"/>
            <w:vAlign w:val="center"/>
          </w:tcPr>
          <w:p w14:paraId="4D56CB5B">
            <w:pPr>
              <w:pStyle w:val="13"/>
            </w:pPr>
            <w:r>
              <w:t>十八、援助其他地区支出</w:t>
            </w:r>
          </w:p>
        </w:tc>
        <w:tc>
          <w:tcPr>
            <w:tcW w:w="1474" w:type="dxa"/>
            <w:vAlign w:val="center"/>
          </w:tcPr>
          <w:p w14:paraId="05768154">
            <w:pPr>
              <w:pStyle w:val="14"/>
            </w:pPr>
          </w:p>
        </w:tc>
        <w:tc>
          <w:tcPr>
            <w:tcW w:w="1474" w:type="dxa"/>
            <w:vAlign w:val="center"/>
          </w:tcPr>
          <w:p w14:paraId="0346D0FF">
            <w:pPr>
              <w:pStyle w:val="14"/>
            </w:pPr>
          </w:p>
        </w:tc>
        <w:tc>
          <w:tcPr>
            <w:tcW w:w="1474" w:type="dxa"/>
            <w:vAlign w:val="center"/>
          </w:tcPr>
          <w:p w14:paraId="051CA4BB">
            <w:pPr>
              <w:pStyle w:val="14"/>
            </w:pPr>
          </w:p>
        </w:tc>
        <w:tc>
          <w:tcPr>
            <w:tcW w:w="1474" w:type="dxa"/>
            <w:vAlign w:val="center"/>
          </w:tcPr>
          <w:p w14:paraId="1A75BA69">
            <w:pPr>
              <w:pStyle w:val="14"/>
            </w:pPr>
          </w:p>
        </w:tc>
      </w:tr>
      <w:tr w14:paraId="37F1D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E42DD">
            <w:pPr>
              <w:pStyle w:val="12"/>
            </w:pPr>
            <w:r>
              <w:t>19</w:t>
            </w:r>
          </w:p>
        </w:tc>
        <w:tc>
          <w:tcPr>
            <w:tcW w:w="3402" w:type="dxa"/>
            <w:vAlign w:val="center"/>
          </w:tcPr>
          <w:p w14:paraId="20EFD98D">
            <w:pPr>
              <w:pStyle w:val="13"/>
            </w:pPr>
          </w:p>
        </w:tc>
        <w:tc>
          <w:tcPr>
            <w:tcW w:w="1474" w:type="dxa"/>
            <w:vAlign w:val="center"/>
          </w:tcPr>
          <w:p w14:paraId="26E1C031">
            <w:pPr>
              <w:pStyle w:val="14"/>
            </w:pPr>
          </w:p>
        </w:tc>
        <w:tc>
          <w:tcPr>
            <w:tcW w:w="3402" w:type="dxa"/>
            <w:vAlign w:val="center"/>
          </w:tcPr>
          <w:p w14:paraId="45527DD2">
            <w:pPr>
              <w:pStyle w:val="13"/>
            </w:pPr>
            <w:r>
              <w:t>十九、自然资源海洋气象等支出</w:t>
            </w:r>
          </w:p>
        </w:tc>
        <w:tc>
          <w:tcPr>
            <w:tcW w:w="1474" w:type="dxa"/>
            <w:vAlign w:val="center"/>
          </w:tcPr>
          <w:p w14:paraId="4114FC34">
            <w:pPr>
              <w:pStyle w:val="14"/>
            </w:pPr>
          </w:p>
        </w:tc>
        <w:tc>
          <w:tcPr>
            <w:tcW w:w="1474" w:type="dxa"/>
            <w:vAlign w:val="center"/>
          </w:tcPr>
          <w:p w14:paraId="158C0DD1">
            <w:pPr>
              <w:pStyle w:val="14"/>
            </w:pPr>
          </w:p>
        </w:tc>
        <w:tc>
          <w:tcPr>
            <w:tcW w:w="1474" w:type="dxa"/>
            <w:vAlign w:val="center"/>
          </w:tcPr>
          <w:p w14:paraId="715A8CA4">
            <w:pPr>
              <w:pStyle w:val="14"/>
            </w:pPr>
          </w:p>
        </w:tc>
        <w:tc>
          <w:tcPr>
            <w:tcW w:w="1474" w:type="dxa"/>
            <w:vAlign w:val="center"/>
          </w:tcPr>
          <w:p w14:paraId="15DBA697">
            <w:pPr>
              <w:pStyle w:val="14"/>
            </w:pPr>
          </w:p>
        </w:tc>
      </w:tr>
      <w:tr w14:paraId="7E3C7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FC5EC">
            <w:pPr>
              <w:pStyle w:val="12"/>
            </w:pPr>
            <w:r>
              <w:t>20</w:t>
            </w:r>
          </w:p>
        </w:tc>
        <w:tc>
          <w:tcPr>
            <w:tcW w:w="3402" w:type="dxa"/>
            <w:vAlign w:val="center"/>
          </w:tcPr>
          <w:p w14:paraId="012BC072">
            <w:pPr>
              <w:pStyle w:val="13"/>
            </w:pPr>
          </w:p>
        </w:tc>
        <w:tc>
          <w:tcPr>
            <w:tcW w:w="1474" w:type="dxa"/>
            <w:vAlign w:val="center"/>
          </w:tcPr>
          <w:p w14:paraId="595B1654">
            <w:pPr>
              <w:pStyle w:val="14"/>
            </w:pPr>
          </w:p>
        </w:tc>
        <w:tc>
          <w:tcPr>
            <w:tcW w:w="3402" w:type="dxa"/>
            <w:vAlign w:val="center"/>
          </w:tcPr>
          <w:p w14:paraId="211CEB51">
            <w:pPr>
              <w:pStyle w:val="13"/>
            </w:pPr>
            <w:r>
              <w:t>二十、住房保障支出</w:t>
            </w:r>
          </w:p>
        </w:tc>
        <w:tc>
          <w:tcPr>
            <w:tcW w:w="1474" w:type="dxa"/>
            <w:vAlign w:val="center"/>
          </w:tcPr>
          <w:p w14:paraId="761B3934">
            <w:pPr>
              <w:pStyle w:val="14"/>
            </w:pPr>
          </w:p>
        </w:tc>
        <w:tc>
          <w:tcPr>
            <w:tcW w:w="1474" w:type="dxa"/>
            <w:vAlign w:val="center"/>
          </w:tcPr>
          <w:p w14:paraId="2F089FE9">
            <w:pPr>
              <w:pStyle w:val="14"/>
            </w:pPr>
          </w:p>
        </w:tc>
        <w:tc>
          <w:tcPr>
            <w:tcW w:w="1474" w:type="dxa"/>
            <w:vAlign w:val="center"/>
          </w:tcPr>
          <w:p w14:paraId="1ADE5C4A">
            <w:pPr>
              <w:pStyle w:val="14"/>
            </w:pPr>
          </w:p>
        </w:tc>
        <w:tc>
          <w:tcPr>
            <w:tcW w:w="1474" w:type="dxa"/>
            <w:vAlign w:val="center"/>
          </w:tcPr>
          <w:p w14:paraId="6E2F1AE4">
            <w:pPr>
              <w:pStyle w:val="14"/>
            </w:pPr>
          </w:p>
        </w:tc>
      </w:tr>
      <w:tr w14:paraId="2458F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949EB">
            <w:pPr>
              <w:pStyle w:val="12"/>
            </w:pPr>
            <w:r>
              <w:t>21</w:t>
            </w:r>
          </w:p>
        </w:tc>
        <w:tc>
          <w:tcPr>
            <w:tcW w:w="3402" w:type="dxa"/>
            <w:vAlign w:val="center"/>
          </w:tcPr>
          <w:p w14:paraId="260622C7">
            <w:pPr>
              <w:pStyle w:val="13"/>
            </w:pPr>
          </w:p>
        </w:tc>
        <w:tc>
          <w:tcPr>
            <w:tcW w:w="1474" w:type="dxa"/>
            <w:vAlign w:val="center"/>
          </w:tcPr>
          <w:p w14:paraId="5F62C2BF">
            <w:pPr>
              <w:pStyle w:val="14"/>
            </w:pPr>
          </w:p>
        </w:tc>
        <w:tc>
          <w:tcPr>
            <w:tcW w:w="3402" w:type="dxa"/>
            <w:vAlign w:val="center"/>
          </w:tcPr>
          <w:p w14:paraId="17F7FAA2">
            <w:pPr>
              <w:pStyle w:val="13"/>
            </w:pPr>
            <w:r>
              <w:t>二十一、粮油物资储备支出</w:t>
            </w:r>
          </w:p>
        </w:tc>
        <w:tc>
          <w:tcPr>
            <w:tcW w:w="1474" w:type="dxa"/>
            <w:vAlign w:val="center"/>
          </w:tcPr>
          <w:p w14:paraId="66C31768">
            <w:pPr>
              <w:pStyle w:val="14"/>
            </w:pPr>
          </w:p>
        </w:tc>
        <w:tc>
          <w:tcPr>
            <w:tcW w:w="1474" w:type="dxa"/>
            <w:vAlign w:val="center"/>
          </w:tcPr>
          <w:p w14:paraId="4DFCECDF">
            <w:pPr>
              <w:pStyle w:val="14"/>
            </w:pPr>
          </w:p>
        </w:tc>
        <w:tc>
          <w:tcPr>
            <w:tcW w:w="1474" w:type="dxa"/>
            <w:vAlign w:val="center"/>
          </w:tcPr>
          <w:p w14:paraId="74A8C54D">
            <w:pPr>
              <w:pStyle w:val="14"/>
            </w:pPr>
          </w:p>
        </w:tc>
        <w:tc>
          <w:tcPr>
            <w:tcW w:w="1474" w:type="dxa"/>
            <w:vAlign w:val="center"/>
          </w:tcPr>
          <w:p w14:paraId="3BA04ECD">
            <w:pPr>
              <w:pStyle w:val="14"/>
            </w:pPr>
          </w:p>
        </w:tc>
      </w:tr>
      <w:tr w14:paraId="638C2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780C4">
            <w:pPr>
              <w:pStyle w:val="12"/>
            </w:pPr>
            <w:r>
              <w:t>22</w:t>
            </w:r>
          </w:p>
        </w:tc>
        <w:tc>
          <w:tcPr>
            <w:tcW w:w="3402" w:type="dxa"/>
            <w:vAlign w:val="center"/>
          </w:tcPr>
          <w:p w14:paraId="6BDD5685">
            <w:pPr>
              <w:pStyle w:val="13"/>
            </w:pPr>
          </w:p>
        </w:tc>
        <w:tc>
          <w:tcPr>
            <w:tcW w:w="1474" w:type="dxa"/>
            <w:vAlign w:val="center"/>
          </w:tcPr>
          <w:p w14:paraId="252F8843">
            <w:pPr>
              <w:pStyle w:val="14"/>
            </w:pPr>
          </w:p>
        </w:tc>
        <w:tc>
          <w:tcPr>
            <w:tcW w:w="3402" w:type="dxa"/>
            <w:vAlign w:val="center"/>
          </w:tcPr>
          <w:p w14:paraId="2E84651A">
            <w:pPr>
              <w:pStyle w:val="13"/>
            </w:pPr>
            <w:r>
              <w:t>二十二、国有资本经营预算支出</w:t>
            </w:r>
          </w:p>
        </w:tc>
        <w:tc>
          <w:tcPr>
            <w:tcW w:w="1474" w:type="dxa"/>
            <w:vAlign w:val="center"/>
          </w:tcPr>
          <w:p w14:paraId="6BF73104">
            <w:pPr>
              <w:pStyle w:val="14"/>
            </w:pPr>
          </w:p>
        </w:tc>
        <w:tc>
          <w:tcPr>
            <w:tcW w:w="1474" w:type="dxa"/>
            <w:vAlign w:val="center"/>
          </w:tcPr>
          <w:p w14:paraId="424958FC">
            <w:pPr>
              <w:pStyle w:val="14"/>
            </w:pPr>
          </w:p>
        </w:tc>
        <w:tc>
          <w:tcPr>
            <w:tcW w:w="1474" w:type="dxa"/>
            <w:vAlign w:val="center"/>
          </w:tcPr>
          <w:p w14:paraId="38276119">
            <w:pPr>
              <w:pStyle w:val="14"/>
            </w:pPr>
          </w:p>
        </w:tc>
        <w:tc>
          <w:tcPr>
            <w:tcW w:w="1474" w:type="dxa"/>
            <w:vAlign w:val="center"/>
          </w:tcPr>
          <w:p w14:paraId="1EA8C6DC">
            <w:pPr>
              <w:pStyle w:val="14"/>
            </w:pPr>
          </w:p>
        </w:tc>
      </w:tr>
      <w:tr w14:paraId="0CDA7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DC2A314">
            <w:pPr>
              <w:pStyle w:val="12"/>
            </w:pPr>
            <w:r>
              <w:t>23</w:t>
            </w:r>
          </w:p>
        </w:tc>
        <w:tc>
          <w:tcPr>
            <w:tcW w:w="3402" w:type="dxa"/>
            <w:vAlign w:val="center"/>
          </w:tcPr>
          <w:p w14:paraId="36D99EA7">
            <w:pPr>
              <w:pStyle w:val="13"/>
            </w:pPr>
          </w:p>
        </w:tc>
        <w:tc>
          <w:tcPr>
            <w:tcW w:w="1474" w:type="dxa"/>
            <w:vAlign w:val="center"/>
          </w:tcPr>
          <w:p w14:paraId="197BF958">
            <w:pPr>
              <w:pStyle w:val="14"/>
            </w:pPr>
          </w:p>
        </w:tc>
        <w:tc>
          <w:tcPr>
            <w:tcW w:w="3402" w:type="dxa"/>
            <w:vAlign w:val="center"/>
          </w:tcPr>
          <w:p w14:paraId="3108CAE1">
            <w:pPr>
              <w:pStyle w:val="13"/>
            </w:pPr>
            <w:r>
              <w:t>二十三、灾害防治及应急管理支出</w:t>
            </w:r>
          </w:p>
        </w:tc>
        <w:tc>
          <w:tcPr>
            <w:tcW w:w="1474" w:type="dxa"/>
            <w:vAlign w:val="center"/>
          </w:tcPr>
          <w:p w14:paraId="531A0DAA">
            <w:pPr>
              <w:pStyle w:val="14"/>
            </w:pPr>
          </w:p>
        </w:tc>
        <w:tc>
          <w:tcPr>
            <w:tcW w:w="1474" w:type="dxa"/>
            <w:vAlign w:val="center"/>
          </w:tcPr>
          <w:p w14:paraId="6A661929">
            <w:pPr>
              <w:pStyle w:val="14"/>
            </w:pPr>
          </w:p>
        </w:tc>
        <w:tc>
          <w:tcPr>
            <w:tcW w:w="1474" w:type="dxa"/>
            <w:vAlign w:val="center"/>
          </w:tcPr>
          <w:p w14:paraId="7034B0E5">
            <w:pPr>
              <w:pStyle w:val="14"/>
            </w:pPr>
          </w:p>
        </w:tc>
        <w:tc>
          <w:tcPr>
            <w:tcW w:w="1474" w:type="dxa"/>
            <w:vAlign w:val="center"/>
          </w:tcPr>
          <w:p w14:paraId="3E9CB808">
            <w:pPr>
              <w:pStyle w:val="14"/>
            </w:pPr>
          </w:p>
        </w:tc>
      </w:tr>
      <w:tr w14:paraId="0EAA3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27EA0D7">
            <w:pPr>
              <w:pStyle w:val="12"/>
            </w:pPr>
            <w:r>
              <w:t>24</w:t>
            </w:r>
          </w:p>
        </w:tc>
        <w:tc>
          <w:tcPr>
            <w:tcW w:w="3402" w:type="dxa"/>
            <w:vAlign w:val="center"/>
          </w:tcPr>
          <w:p w14:paraId="3E0E97CD">
            <w:pPr>
              <w:pStyle w:val="13"/>
            </w:pPr>
          </w:p>
        </w:tc>
        <w:tc>
          <w:tcPr>
            <w:tcW w:w="1474" w:type="dxa"/>
            <w:vAlign w:val="center"/>
          </w:tcPr>
          <w:p w14:paraId="19210539">
            <w:pPr>
              <w:pStyle w:val="14"/>
            </w:pPr>
          </w:p>
        </w:tc>
        <w:tc>
          <w:tcPr>
            <w:tcW w:w="3402" w:type="dxa"/>
            <w:vAlign w:val="center"/>
          </w:tcPr>
          <w:p w14:paraId="5517B5DD">
            <w:pPr>
              <w:pStyle w:val="13"/>
            </w:pPr>
            <w:r>
              <w:t>二十四、预备费</w:t>
            </w:r>
          </w:p>
        </w:tc>
        <w:tc>
          <w:tcPr>
            <w:tcW w:w="1474" w:type="dxa"/>
            <w:vAlign w:val="center"/>
          </w:tcPr>
          <w:p w14:paraId="11BAD9C9">
            <w:pPr>
              <w:pStyle w:val="14"/>
            </w:pPr>
          </w:p>
        </w:tc>
        <w:tc>
          <w:tcPr>
            <w:tcW w:w="1474" w:type="dxa"/>
            <w:vAlign w:val="center"/>
          </w:tcPr>
          <w:p w14:paraId="68D82646">
            <w:pPr>
              <w:pStyle w:val="14"/>
            </w:pPr>
          </w:p>
        </w:tc>
        <w:tc>
          <w:tcPr>
            <w:tcW w:w="1474" w:type="dxa"/>
            <w:vAlign w:val="center"/>
          </w:tcPr>
          <w:p w14:paraId="6749AD23">
            <w:pPr>
              <w:pStyle w:val="14"/>
            </w:pPr>
          </w:p>
        </w:tc>
        <w:tc>
          <w:tcPr>
            <w:tcW w:w="1474" w:type="dxa"/>
            <w:vAlign w:val="center"/>
          </w:tcPr>
          <w:p w14:paraId="267B2442">
            <w:pPr>
              <w:pStyle w:val="14"/>
            </w:pPr>
          </w:p>
        </w:tc>
      </w:tr>
      <w:tr w14:paraId="503DE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B002090">
            <w:pPr>
              <w:pStyle w:val="12"/>
            </w:pPr>
            <w:r>
              <w:t>25</w:t>
            </w:r>
          </w:p>
        </w:tc>
        <w:tc>
          <w:tcPr>
            <w:tcW w:w="3402" w:type="dxa"/>
            <w:vAlign w:val="center"/>
          </w:tcPr>
          <w:p w14:paraId="4B890AED">
            <w:pPr>
              <w:pStyle w:val="13"/>
            </w:pPr>
          </w:p>
        </w:tc>
        <w:tc>
          <w:tcPr>
            <w:tcW w:w="1474" w:type="dxa"/>
            <w:vAlign w:val="center"/>
          </w:tcPr>
          <w:p w14:paraId="1497525A">
            <w:pPr>
              <w:pStyle w:val="14"/>
            </w:pPr>
          </w:p>
        </w:tc>
        <w:tc>
          <w:tcPr>
            <w:tcW w:w="3402" w:type="dxa"/>
            <w:vAlign w:val="center"/>
          </w:tcPr>
          <w:p w14:paraId="36043EB6">
            <w:pPr>
              <w:pStyle w:val="13"/>
            </w:pPr>
            <w:r>
              <w:t>二十五、其他支出</w:t>
            </w:r>
          </w:p>
        </w:tc>
        <w:tc>
          <w:tcPr>
            <w:tcW w:w="1474" w:type="dxa"/>
            <w:vAlign w:val="center"/>
          </w:tcPr>
          <w:p w14:paraId="6C483C89">
            <w:pPr>
              <w:pStyle w:val="14"/>
            </w:pPr>
          </w:p>
        </w:tc>
        <w:tc>
          <w:tcPr>
            <w:tcW w:w="1474" w:type="dxa"/>
            <w:vAlign w:val="center"/>
          </w:tcPr>
          <w:p w14:paraId="05B5B968">
            <w:pPr>
              <w:pStyle w:val="14"/>
            </w:pPr>
          </w:p>
        </w:tc>
        <w:tc>
          <w:tcPr>
            <w:tcW w:w="1474" w:type="dxa"/>
            <w:vAlign w:val="center"/>
          </w:tcPr>
          <w:p w14:paraId="372CBC74">
            <w:pPr>
              <w:pStyle w:val="14"/>
            </w:pPr>
          </w:p>
        </w:tc>
        <w:tc>
          <w:tcPr>
            <w:tcW w:w="1474" w:type="dxa"/>
            <w:vAlign w:val="center"/>
          </w:tcPr>
          <w:p w14:paraId="2BE8F2EA">
            <w:pPr>
              <w:pStyle w:val="14"/>
            </w:pPr>
          </w:p>
        </w:tc>
      </w:tr>
      <w:tr w14:paraId="0BD3D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3C14F">
            <w:pPr>
              <w:pStyle w:val="12"/>
            </w:pPr>
            <w:r>
              <w:t>26</w:t>
            </w:r>
          </w:p>
        </w:tc>
        <w:tc>
          <w:tcPr>
            <w:tcW w:w="3402" w:type="dxa"/>
            <w:vAlign w:val="center"/>
          </w:tcPr>
          <w:p w14:paraId="74E47A46">
            <w:pPr>
              <w:pStyle w:val="13"/>
            </w:pPr>
          </w:p>
        </w:tc>
        <w:tc>
          <w:tcPr>
            <w:tcW w:w="1474" w:type="dxa"/>
            <w:vAlign w:val="center"/>
          </w:tcPr>
          <w:p w14:paraId="63E3BDBD">
            <w:pPr>
              <w:pStyle w:val="14"/>
            </w:pPr>
          </w:p>
        </w:tc>
        <w:tc>
          <w:tcPr>
            <w:tcW w:w="3402" w:type="dxa"/>
            <w:vAlign w:val="center"/>
          </w:tcPr>
          <w:p w14:paraId="1343F303">
            <w:pPr>
              <w:pStyle w:val="13"/>
            </w:pPr>
            <w:r>
              <w:t>二十六、转移性支出</w:t>
            </w:r>
          </w:p>
        </w:tc>
        <w:tc>
          <w:tcPr>
            <w:tcW w:w="1474" w:type="dxa"/>
            <w:vAlign w:val="center"/>
          </w:tcPr>
          <w:p w14:paraId="62CF2D4D">
            <w:pPr>
              <w:pStyle w:val="14"/>
            </w:pPr>
          </w:p>
        </w:tc>
        <w:tc>
          <w:tcPr>
            <w:tcW w:w="1474" w:type="dxa"/>
            <w:vAlign w:val="center"/>
          </w:tcPr>
          <w:p w14:paraId="6398E46E">
            <w:pPr>
              <w:pStyle w:val="14"/>
            </w:pPr>
          </w:p>
        </w:tc>
        <w:tc>
          <w:tcPr>
            <w:tcW w:w="1474" w:type="dxa"/>
            <w:vAlign w:val="center"/>
          </w:tcPr>
          <w:p w14:paraId="00D9102A">
            <w:pPr>
              <w:pStyle w:val="14"/>
            </w:pPr>
          </w:p>
        </w:tc>
        <w:tc>
          <w:tcPr>
            <w:tcW w:w="1474" w:type="dxa"/>
            <w:vAlign w:val="center"/>
          </w:tcPr>
          <w:p w14:paraId="767E6333">
            <w:pPr>
              <w:pStyle w:val="14"/>
            </w:pPr>
          </w:p>
        </w:tc>
      </w:tr>
      <w:tr w14:paraId="54374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5329717">
            <w:pPr>
              <w:pStyle w:val="12"/>
            </w:pPr>
            <w:r>
              <w:t>27</w:t>
            </w:r>
          </w:p>
        </w:tc>
        <w:tc>
          <w:tcPr>
            <w:tcW w:w="3402" w:type="dxa"/>
            <w:vAlign w:val="center"/>
          </w:tcPr>
          <w:p w14:paraId="7C0F6729">
            <w:pPr>
              <w:pStyle w:val="13"/>
            </w:pPr>
          </w:p>
        </w:tc>
        <w:tc>
          <w:tcPr>
            <w:tcW w:w="1474" w:type="dxa"/>
            <w:vAlign w:val="center"/>
          </w:tcPr>
          <w:p w14:paraId="7A5CD0FA">
            <w:pPr>
              <w:pStyle w:val="14"/>
            </w:pPr>
          </w:p>
        </w:tc>
        <w:tc>
          <w:tcPr>
            <w:tcW w:w="3402" w:type="dxa"/>
            <w:vAlign w:val="center"/>
          </w:tcPr>
          <w:p w14:paraId="015D293F">
            <w:pPr>
              <w:pStyle w:val="13"/>
            </w:pPr>
            <w:r>
              <w:t>二十七、债务还本支出</w:t>
            </w:r>
          </w:p>
        </w:tc>
        <w:tc>
          <w:tcPr>
            <w:tcW w:w="1474" w:type="dxa"/>
            <w:vAlign w:val="center"/>
          </w:tcPr>
          <w:p w14:paraId="786FDC53">
            <w:pPr>
              <w:pStyle w:val="14"/>
            </w:pPr>
          </w:p>
        </w:tc>
        <w:tc>
          <w:tcPr>
            <w:tcW w:w="1474" w:type="dxa"/>
            <w:vAlign w:val="center"/>
          </w:tcPr>
          <w:p w14:paraId="33E66628">
            <w:pPr>
              <w:pStyle w:val="14"/>
            </w:pPr>
          </w:p>
        </w:tc>
        <w:tc>
          <w:tcPr>
            <w:tcW w:w="1474" w:type="dxa"/>
            <w:vAlign w:val="center"/>
          </w:tcPr>
          <w:p w14:paraId="784FC3ED">
            <w:pPr>
              <w:pStyle w:val="14"/>
            </w:pPr>
          </w:p>
        </w:tc>
        <w:tc>
          <w:tcPr>
            <w:tcW w:w="1474" w:type="dxa"/>
            <w:vAlign w:val="center"/>
          </w:tcPr>
          <w:p w14:paraId="2581E3AA">
            <w:pPr>
              <w:pStyle w:val="14"/>
            </w:pPr>
          </w:p>
        </w:tc>
      </w:tr>
      <w:tr w14:paraId="7EFDA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53447">
            <w:pPr>
              <w:pStyle w:val="12"/>
            </w:pPr>
            <w:r>
              <w:t>28</w:t>
            </w:r>
          </w:p>
        </w:tc>
        <w:tc>
          <w:tcPr>
            <w:tcW w:w="3402" w:type="dxa"/>
            <w:vAlign w:val="center"/>
          </w:tcPr>
          <w:p w14:paraId="7BB242AF">
            <w:pPr>
              <w:pStyle w:val="13"/>
            </w:pPr>
          </w:p>
        </w:tc>
        <w:tc>
          <w:tcPr>
            <w:tcW w:w="1474" w:type="dxa"/>
            <w:vAlign w:val="center"/>
          </w:tcPr>
          <w:p w14:paraId="4E703EF8">
            <w:pPr>
              <w:pStyle w:val="14"/>
            </w:pPr>
          </w:p>
        </w:tc>
        <w:tc>
          <w:tcPr>
            <w:tcW w:w="3402" w:type="dxa"/>
            <w:vAlign w:val="center"/>
          </w:tcPr>
          <w:p w14:paraId="1115F0E3">
            <w:pPr>
              <w:pStyle w:val="13"/>
            </w:pPr>
            <w:r>
              <w:t>二十八、债务付息支出</w:t>
            </w:r>
          </w:p>
        </w:tc>
        <w:tc>
          <w:tcPr>
            <w:tcW w:w="1474" w:type="dxa"/>
            <w:vAlign w:val="center"/>
          </w:tcPr>
          <w:p w14:paraId="7F0D3BC7">
            <w:pPr>
              <w:pStyle w:val="14"/>
            </w:pPr>
          </w:p>
        </w:tc>
        <w:tc>
          <w:tcPr>
            <w:tcW w:w="1474" w:type="dxa"/>
            <w:vAlign w:val="center"/>
          </w:tcPr>
          <w:p w14:paraId="2EB32367">
            <w:pPr>
              <w:pStyle w:val="14"/>
            </w:pPr>
          </w:p>
        </w:tc>
        <w:tc>
          <w:tcPr>
            <w:tcW w:w="1474" w:type="dxa"/>
            <w:vAlign w:val="center"/>
          </w:tcPr>
          <w:p w14:paraId="72051D9D">
            <w:pPr>
              <w:pStyle w:val="14"/>
            </w:pPr>
          </w:p>
        </w:tc>
        <w:tc>
          <w:tcPr>
            <w:tcW w:w="1474" w:type="dxa"/>
            <w:vAlign w:val="center"/>
          </w:tcPr>
          <w:p w14:paraId="2C76C8BF">
            <w:pPr>
              <w:pStyle w:val="14"/>
            </w:pPr>
          </w:p>
        </w:tc>
      </w:tr>
      <w:tr w14:paraId="38BAA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05561F2">
            <w:pPr>
              <w:pStyle w:val="12"/>
            </w:pPr>
            <w:r>
              <w:t>29</w:t>
            </w:r>
          </w:p>
        </w:tc>
        <w:tc>
          <w:tcPr>
            <w:tcW w:w="3402" w:type="dxa"/>
            <w:vAlign w:val="center"/>
          </w:tcPr>
          <w:p w14:paraId="6C6A472D">
            <w:pPr>
              <w:pStyle w:val="13"/>
            </w:pPr>
          </w:p>
        </w:tc>
        <w:tc>
          <w:tcPr>
            <w:tcW w:w="1474" w:type="dxa"/>
            <w:vAlign w:val="center"/>
          </w:tcPr>
          <w:p w14:paraId="2550503A">
            <w:pPr>
              <w:pStyle w:val="14"/>
            </w:pPr>
          </w:p>
        </w:tc>
        <w:tc>
          <w:tcPr>
            <w:tcW w:w="3402" w:type="dxa"/>
            <w:vAlign w:val="center"/>
          </w:tcPr>
          <w:p w14:paraId="1CA6201C">
            <w:pPr>
              <w:pStyle w:val="13"/>
            </w:pPr>
            <w:r>
              <w:t>二十九、债务发行费用支出</w:t>
            </w:r>
          </w:p>
        </w:tc>
        <w:tc>
          <w:tcPr>
            <w:tcW w:w="1474" w:type="dxa"/>
            <w:vAlign w:val="center"/>
          </w:tcPr>
          <w:p w14:paraId="2251BA0B">
            <w:pPr>
              <w:pStyle w:val="14"/>
            </w:pPr>
          </w:p>
        </w:tc>
        <w:tc>
          <w:tcPr>
            <w:tcW w:w="1474" w:type="dxa"/>
            <w:vAlign w:val="center"/>
          </w:tcPr>
          <w:p w14:paraId="2A5B97FB">
            <w:pPr>
              <w:pStyle w:val="14"/>
            </w:pPr>
          </w:p>
        </w:tc>
        <w:tc>
          <w:tcPr>
            <w:tcW w:w="1474" w:type="dxa"/>
            <w:vAlign w:val="center"/>
          </w:tcPr>
          <w:p w14:paraId="6642FE35">
            <w:pPr>
              <w:pStyle w:val="14"/>
            </w:pPr>
          </w:p>
        </w:tc>
        <w:tc>
          <w:tcPr>
            <w:tcW w:w="1474" w:type="dxa"/>
            <w:vAlign w:val="center"/>
          </w:tcPr>
          <w:p w14:paraId="61C99D5B">
            <w:pPr>
              <w:pStyle w:val="14"/>
            </w:pPr>
          </w:p>
        </w:tc>
      </w:tr>
      <w:tr w14:paraId="2E019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2CD36">
            <w:pPr>
              <w:pStyle w:val="12"/>
            </w:pPr>
            <w:r>
              <w:t>30</w:t>
            </w:r>
          </w:p>
        </w:tc>
        <w:tc>
          <w:tcPr>
            <w:tcW w:w="3402" w:type="dxa"/>
            <w:vAlign w:val="center"/>
          </w:tcPr>
          <w:p w14:paraId="2A9BA0E0">
            <w:pPr>
              <w:pStyle w:val="13"/>
            </w:pPr>
          </w:p>
        </w:tc>
        <w:tc>
          <w:tcPr>
            <w:tcW w:w="1474" w:type="dxa"/>
            <w:vAlign w:val="center"/>
          </w:tcPr>
          <w:p w14:paraId="51F98CC4">
            <w:pPr>
              <w:pStyle w:val="14"/>
            </w:pPr>
          </w:p>
        </w:tc>
        <w:tc>
          <w:tcPr>
            <w:tcW w:w="3402" w:type="dxa"/>
            <w:vAlign w:val="center"/>
          </w:tcPr>
          <w:p w14:paraId="2B5F8312">
            <w:pPr>
              <w:pStyle w:val="13"/>
            </w:pPr>
            <w:r>
              <w:t>三十、抗疫特别国债安排的支出</w:t>
            </w:r>
          </w:p>
        </w:tc>
        <w:tc>
          <w:tcPr>
            <w:tcW w:w="1474" w:type="dxa"/>
            <w:vAlign w:val="center"/>
          </w:tcPr>
          <w:p w14:paraId="184ABBBC">
            <w:pPr>
              <w:pStyle w:val="14"/>
            </w:pPr>
          </w:p>
        </w:tc>
        <w:tc>
          <w:tcPr>
            <w:tcW w:w="1474" w:type="dxa"/>
            <w:vAlign w:val="center"/>
          </w:tcPr>
          <w:p w14:paraId="066B74A2">
            <w:pPr>
              <w:pStyle w:val="14"/>
            </w:pPr>
          </w:p>
        </w:tc>
        <w:tc>
          <w:tcPr>
            <w:tcW w:w="1474" w:type="dxa"/>
            <w:vAlign w:val="center"/>
          </w:tcPr>
          <w:p w14:paraId="28A1D1BD">
            <w:pPr>
              <w:pStyle w:val="14"/>
            </w:pPr>
          </w:p>
        </w:tc>
        <w:tc>
          <w:tcPr>
            <w:tcW w:w="1474" w:type="dxa"/>
            <w:vAlign w:val="center"/>
          </w:tcPr>
          <w:p w14:paraId="5C05120E">
            <w:pPr>
              <w:pStyle w:val="14"/>
            </w:pPr>
          </w:p>
        </w:tc>
      </w:tr>
      <w:tr w14:paraId="01587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DF688">
            <w:pPr>
              <w:pStyle w:val="12"/>
            </w:pPr>
            <w:r>
              <w:t>31</w:t>
            </w:r>
          </w:p>
        </w:tc>
        <w:tc>
          <w:tcPr>
            <w:tcW w:w="3402" w:type="dxa"/>
            <w:vAlign w:val="center"/>
          </w:tcPr>
          <w:p w14:paraId="577E87E0">
            <w:pPr>
              <w:pStyle w:val="13"/>
            </w:pPr>
          </w:p>
        </w:tc>
        <w:tc>
          <w:tcPr>
            <w:tcW w:w="1474" w:type="dxa"/>
            <w:vAlign w:val="center"/>
          </w:tcPr>
          <w:p w14:paraId="48858A1B">
            <w:pPr>
              <w:pStyle w:val="14"/>
            </w:pPr>
          </w:p>
        </w:tc>
        <w:tc>
          <w:tcPr>
            <w:tcW w:w="3402" w:type="dxa"/>
            <w:vAlign w:val="center"/>
          </w:tcPr>
          <w:p w14:paraId="67015ACD">
            <w:pPr>
              <w:pStyle w:val="13"/>
            </w:pPr>
            <w:r>
              <w:t>三十一、人行科目</w:t>
            </w:r>
          </w:p>
        </w:tc>
        <w:tc>
          <w:tcPr>
            <w:tcW w:w="1474" w:type="dxa"/>
            <w:vAlign w:val="center"/>
          </w:tcPr>
          <w:p w14:paraId="1B51EC0F">
            <w:pPr>
              <w:pStyle w:val="14"/>
            </w:pPr>
          </w:p>
        </w:tc>
        <w:tc>
          <w:tcPr>
            <w:tcW w:w="1474" w:type="dxa"/>
            <w:vAlign w:val="center"/>
          </w:tcPr>
          <w:p w14:paraId="4B4B8FD5">
            <w:pPr>
              <w:pStyle w:val="14"/>
            </w:pPr>
          </w:p>
        </w:tc>
        <w:tc>
          <w:tcPr>
            <w:tcW w:w="1474" w:type="dxa"/>
            <w:vAlign w:val="center"/>
          </w:tcPr>
          <w:p w14:paraId="63E4FB4D">
            <w:pPr>
              <w:pStyle w:val="14"/>
            </w:pPr>
          </w:p>
        </w:tc>
        <w:tc>
          <w:tcPr>
            <w:tcW w:w="1474" w:type="dxa"/>
            <w:vAlign w:val="center"/>
          </w:tcPr>
          <w:p w14:paraId="0245AC80">
            <w:pPr>
              <w:pStyle w:val="14"/>
            </w:pPr>
          </w:p>
        </w:tc>
      </w:tr>
      <w:tr w14:paraId="7423C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E2E3E">
            <w:pPr>
              <w:pStyle w:val="12"/>
            </w:pPr>
            <w:r>
              <w:t>32</w:t>
            </w:r>
          </w:p>
        </w:tc>
        <w:tc>
          <w:tcPr>
            <w:tcW w:w="3402" w:type="dxa"/>
            <w:vAlign w:val="center"/>
          </w:tcPr>
          <w:p w14:paraId="4752A8DB">
            <w:pPr>
              <w:pStyle w:val="15"/>
            </w:pPr>
            <w:r>
              <w:t>本年收入合计</w:t>
            </w:r>
          </w:p>
        </w:tc>
        <w:tc>
          <w:tcPr>
            <w:tcW w:w="1474" w:type="dxa"/>
            <w:vAlign w:val="center"/>
          </w:tcPr>
          <w:p w14:paraId="562D3521">
            <w:pPr>
              <w:pStyle w:val="16"/>
            </w:pPr>
            <w:r>
              <w:t>3482.02</w:t>
            </w:r>
          </w:p>
        </w:tc>
        <w:tc>
          <w:tcPr>
            <w:tcW w:w="3402" w:type="dxa"/>
            <w:vAlign w:val="center"/>
          </w:tcPr>
          <w:p w14:paraId="4BC83EDA">
            <w:pPr>
              <w:pStyle w:val="15"/>
            </w:pPr>
            <w:r>
              <w:t>本年支出合计</w:t>
            </w:r>
          </w:p>
        </w:tc>
        <w:tc>
          <w:tcPr>
            <w:tcW w:w="1474" w:type="dxa"/>
            <w:vAlign w:val="center"/>
          </w:tcPr>
          <w:p w14:paraId="4B5B921E">
            <w:pPr>
              <w:pStyle w:val="16"/>
            </w:pPr>
            <w:r>
              <w:t>3545.95</w:t>
            </w:r>
          </w:p>
        </w:tc>
        <w:tc>
          <w:tcPr>
            <w:tcW w:w="1474" w:type="dxa"/>
            <w:vAlign w:val="center"/>
          </w:tcPr>
          <w:p w14:paraId="50960492">
            <w:pPr>
              <w:pStyle w:val="16"/>
            </w:pPr>
            <w:r>
              <w:t>3545.95</w:t>
            </w:r>
          </w:p>
        </w:tc>
        <w:tc>
          <w:tcPr>
            <w:tcW w:w="1474" w:type="dxa"/>
            <w:vAlign w:val="center"/>
          </w:tcPr>
          <w:p w14:paraId="3B347583">
            <w:pPr>
              <w:pStyle w:val="16"/>
            </w:pPr>
          </w:p>
        </w:tc>
        <w:tc>
          <w:tcPr>
            <w:tcW w:w="1474" w:type="dxa"/>
            <w:vAlign w:val="center"/>
          </w:tcPr>
          <w:p w14:paraId="3E892397">
            <w:pPr>
              <w:pStyle w:val="16"/>
            </w:pPr>
          </w:p>
        </w:tc>
      </w:tr>
      <w:tr w14:paraId="6CC9D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D6E38">
            <w:pPr>
              <w:pStyle w:val="12"/>
            </w:pPr>
            <w:r>
              <w:t>33</w:t>
            </w:r>
          </w:p>
        </w:tc>
        <w:tc>
          <w:tcPr>
            <w:tcW w:w="3402" w:type="dxa"/>
            <w:vAlign w:val="center"/>
          </w:tcPr>
          <w:p w14:paraId="677B670D">
            <w:pPr>
              <w:pStyle w:val="13"/>
            </w:pPr>
            <w:r>
              <w:t>年初财政拨款结转和结余</w:t>
            </w:r>
          </w:p>
        </w:tc>
        <w:tc>
          <w:tcPr>
            <w:tcW w:w="1474" w:type="dxa"/>
            <w:vAlign w:val="center"/>
          </w:tcPr>
          <w:p w14:paraId="4776D841">
            <w:pPr>
              <w:pStyle w:val="14"/>
            </w:pPr>
            <w:r>
              <w:t>63.93</w:t>
            </w:r>
          </w:p>
        </w:tc>
        <w:tc>
          <w:tcPr>
            <w:tcW w:w="3402" w:type="dxa"/>
            <w:vAlign w:val="center"/>
          </w:tcPr>
          <w:p w14:paraId="3DEC3A88">
            <w:pPr>
              <w:pStyle w:val="13"/>
            </w:pPr>
            <w:r>
              <w:t>年末财政拨款结转和结余</w:t>
            </w:r>
          </w:p>
        </w:tc>
        <w:tc>
          <w:tcPr>
            <w:tcW w:w="1474" w:type="dxa"/>
            <w:vAlign w:val="center"/>
          </w:tcPr>
          <w:p w14:paraId="57C92264">
            <w:pPr>
              <w:pStyle w:val="14"/>
            </w:pPr>
          </w:p>
        </w:tc>
        <w:tc>
          <w:tcPr>
            <w:tcW w:w="1474" w:type="dxa"/>
            <w:vAlign w:val="center"/>
          </w:tcPr>
          <w:p w14:paraId="6424434A">
            <w:pPr>
              <w:pStyle w:val="14"/>
            </w:pPr>
          </w:p>
        </w:tc>
        <w:tc>
          <w:tcPr>
            <w:tcW w:w="1474" w:type="dxa"/>
            <w:vAlign w:val="center"/>
          </w:tcPr>
          <w:p w14:paraId="669DBF7C">
            <w:pPr>
              <w:pStyle w:val="14"/>
            </w:pPr>
          </w:p>
        </w:tc>
        <w:tc>
          <w:tcPr>
            <w:tcW w:w="1474" w:type="dxa"/>
            <w:vAlign w:val="center"/>
          </w:tcPr>
          <w:p w14:paraId="504041A0">
            <w:pPr>
              <w:pStyle w:val="14"/>
            </w:pPr>
          </w:p>
        </w:tc>
      </w:tr>
      <w:tr w14:paraId="0CE8C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29CA3">
            <w:pPr>
              <w:pStyle w:val="12"/>
            </w:pPr>
            <w:r>
              <w:t>34</w:t>
            </w:r>
          </w:p>
        </w:tc>
        <w:tc>
          <w:tcPr>
            <w:tcW w:w="3402" w:type="dxa"/>
            <w:vAlign w:val="center"/>
          </w:tcPr>
          <w:p w14:paraId="0C56A34B">
            <w:pPr>
              <w:pStyle w:val="13"/>
            </w:pPr>
            <w:r>
              <w:t>一、一般公共预算拨款</w:t>
            </w:r>
          </w:p>
        </w:tc>
        <w:tc>
          <w:tcPr>
            <w:tcW w:w="1474" w:type="dxa"/>
            <w:vAlign w:val="center"/>
          </w:tcPr>
          <w:p w14:paraId="3DA2BB98">
            <w:pPr>
              <w:pStyle w:val="14"/>
            </w:pPr>
            <w:r>
              <w:t>63.93</w:t>
            </w:r>
          </w:p>
        </w:tc>
        <w:tc>
          <w:tcPr>
            <w:tcW w:w="3402" w:type="dxa"/>
            <w:vAlign w:val="center"/>
          </w:tcPr>
          <w:p w14:paraId="18140F83">
            <w:pPr>
              <w:pStyle w:val="13"/>
            </w:pPr>
          </w:p>
        </w:tc>
        <w:tc>
          <w:tcPr>
            <w:tcW w:w="1474" w:type="dxa"/>
            <w:vAlign w:val="center"/>
          </w:tcPr>
          <w:p w14:paraId="46811301">
            <w:pPr>
              <w:pStyle w:val="14"/>
            </w:pPr>
          </w:p>
        </w:tc>
        <w:tc>
          <w:tcPr>
            <w:tcW w:w="1474" w:type="dxa"/>
            <w:vAlign w:val="center"/>
          </w:tcPr>
          <w:p w14:paraId="446800AF">
            <w:pPr>
              <w:pStyle w:val="14"/>
            </w:pPr>
          </w:p>
        </w:tc>
        <w:tc>
          <w:tcPr>
            <w:tcW w:w="1474" w:type="dxa"/>
            <w:vAlign w:val="center"/>
          </w:tcPr>
          <w:p w14:paraId="207B0F19">
            <w:pPr>
              <w:pStyle w:val="14"/>
            </w:pPr>
          </w:p>
        </w:tc>
        <w:tc>
          <w:tcPr>
            <w:tcW w:w="1474" w:type="dxa"/>
            <w:vAlign w:val="center"/>
          </w:tcPr>
          <w:p w14:paraId="24914481">
            <w:pPr>
              <w:pStyle w:val="14"/>
            </w:pPr>
          </w:p>
        </w:tc>
      </w:tr>
      <w:tr w14:paraId="529DC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F38D1">
            <w:pPr>
              <w:pStyle w:val="12"/>
            </w:pPr>
            <w:r>
              <w:t>35</w:t>
            </w:r>
          </w:p>
        </w:tc>
        <w:tc>
          <w:tcPr>
            <w:tcW w:w="3402" w:type="dxa"/>
            <w:vAlign w:val="center"/>
          </w:tcPr>
          <w:p w14:paraId="3137FB2C">
            <w:pPr>
              <w:pStyle w:val="13"/>
            </w:pPr>
            <w:r>
              <w:t>二、政府性基金预算拨款</w:t>
            </w:r>
          </w:p>
        </w:tc>
        <w:tc>
          <w:tcPr>
            <w:tcW w:w="1474" w:type="dxa"/>
            <w:vAlign w:val="center"/>
          </w:tcPr>
          <w:p w14:paraId="450087E2">
            <w:pPr>
              <w:pStyle w:val="14"/>
            </w:pPr>
          </w:p>
        </w:tc>
        <w:tc>
          <w:tcPr>
            <w:tcW w:w="3402" w:type="dxa"/>
            <w:vAlign w:val="center"/>
          </w:tcPr>
          <w:p w14:paraId="0A68F9F8">
            <w:pPr>
              <w:pStyle w:val="13"/>
            </w:pPr>
          </w:p>
        </w:tc>
        <w:tc>
          <w:tcPr>
            <w:tcW w:w="1474" w:type="dxa"/>
            <w:vAlign w:val="center"/>
          </w:tcPr>
          <w:p w14:paraId="4E47E893">
            <w:pPr>
              <w:pStyle w:val="14"/>
            </w:pPr>
          </w:p>
        </w:tc>
        <w:tc>
          <w:tcPr>
            <w:tcW w:w="1474" w:type="dxa"/>
            <w:vAlign w:val="center"/>
          </w:tcPr>
          <w:p w14:paraId="4F1BC02A">
            <w:pPr>
              <w:pStyle w:val="14"/>
            </w:pPr>
          </w:p>
        </w:tc>
        <w:tc>
          <w:tcPr>
            <w:tcW w:w="1474" w:type="dxa"/>
            <w:vAlign w:val="center"/>
          </w:tcPr>
          <w:p w14:paraId="07A76348">
            <w:pPr>
              <w:pStyle w:val="14"/>
            </w:pPr>
          </w:p>
        </w:tc>
        <w:tc>
          <w:tcPr>
            <w:tcW w:w="1474" w:type="dxa"/>
            <w:vAlign w:val="center"/>
          </w:tcPr>
          <w:p w14:paraId="4F8619AD">
            <w:pPr>
              <w:pStyle w:val="14"/>
            </w:pPr>
          </w:p>
        </w:tc>
      </w:tr>
      <w:tr w14:paraId="1E970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1EB129A">
            <w:pPr>
              <w:pStyle w:val="12"/>
            </w:pPr>
            <w:r>
              <w:t>36</w:t>
            </w:r>
          </w:p>
        </w:tc>
        <w:tc>
          <w:tcPr>
            <w:tcW w:w="3402" w:type="dxa"/>
            <w:vAlign w:val="center"/>
          </w:tcPr>
          <w:p w14:paraId="5DB1D6BE">
            <w:pPr>
              <w:pStyle w:val="13"/>
            </w:pPr>
            <w:r>
              <w:t>三、国有资本经营预算拨款</w:t>
            </w:r>
          </w:p>
        </w:tc>
        <w:tc>
          <w:tcPr>
            <w:tcW w:w="1474" w:type="dxa"/>
            <w:vAlign w:val="center"/>
          </w:tcPr>
          <w:p w14:paraId="7B277723">
            <w:pPr>
              <w:pStyle w:val="14"/>
            </w:pPr>
          </w:p>
        </w:tc>
        <w:tc>
          <w:tcPr>
            <w:tcW w:w="3402" w:type="dxa"/>
            <w:vAlign w:val="center"/>
          </w:tcPr>
          <w:p w14:paraId="08224416">
            <w:pPr>
              <w:pStyle w:val="13"/>
            </w:pPr>
          </w:p>
        </w:tc>
        <w:tc>
          <w:tcPr>
            <w:tcW w:w="1474" w:type="dxa"/>
            <w:vAlign w:val="center"/>
          </w:tcPr>
          <w:p w14:paraId="7E353D8B">
            <w:pPr>
              <w:pStyle w:val="14"/>
            </w:pPr>
          </w:p>
        </w:tc>
        <w:tc>
          <w:tcPr>
            <w:tcW w:w="1474" w:type="dxa"/>
            <w:vAlign w:val="center"/>
          </w:tcPr>
          <w:p w14:paraId="05E02611">
            <w:pPr>
              <w:pStyle w:val="14"/>
            </w:pPr>
          </w:p>
        </w:tc>
        <w:tc>
          <w:tcPr>
            <w:tcW w:w="1474" w:type="dxa"/>
            <w:vAlign w:val="center"/>
          </w:tcPr>
          <w:p w14:paraId="6F65F546">
            <w:pPr>
              <w:pStyle w:val="14"/>
            </w:pPr>
          </w:p>
        </w:tc>
        <w:tc>
          <w:tcPr>
            <w:tcW w:w="1474" w:type="dxa"/>
            <w:vAlign w:val="center"/>
          </w:tcPr>
          <w:p w14:paraId="1ECB5BF9">
            <w:pPr>
              <w:pStyle w:val="14"/>
            </w:pPr>
          </w:p>
        </w:tc>
      </w:tr>
      <w:tr w14:paraId="4775F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18751A3">
            <w:pPr>
              <w:pStyle w:val="12"/>
            </w:pPr>
            <w:r>
              <w:t>37</w:t>
            </w:r>
          </w:p>
        </w:tc>
        <w:tc>
          <w:tcPr>
            <w:tcW w:w="3402" w:type="dxa"/>
            <w:vAlign w:val="center"/>
          </w:tcPr>
          <w:p w14:paraId="0450242C">
            <w:pPr>
              <w:pStyle w:val="15"/>
            </w:pPr>
            <w:r>
              <w:t>收入总计</w:t>
            </w:r>
          </w:p>
        </w:tc>
        <w:tc>
          <w:tcPr>
            <w:tcW w:w="1474" w:type="dxa"/>
            <w:vAlign w:val="center"/>
          </w:tcPr>
          <w:p w14:paraId="52F7CEA0">
            <w:pPr>
              <w:pStyle w:val="16"/>
            </w:pPr>
            <w:r>
              <w:t>3545.95</w:t>
            </w:r>
          </w:p>
        </w:tc>
        <w:tc>
          <w:tcPr>
            <w:tcW w:w="3402" w:type="dxa"/>
            <w:vAlign w:val="center"/>
          </w:tcPr>
          <w:p w14:paraId="2459378F">
            <w:pPr>
              <w:pStyle w:val="15"/>
            </w:pPr>
            <w:r>
              <w:t>支出总计</w:t>
            </w:r>
          </w:p>
        </w:tc>
        <w:tc>
          <w:tcPr>
            <w:tcW w:w="1474" w:type="dxa"/>
            <w:vAlign w:val="center"/>
          </w:tcPr>
          <w:p w14:paraId="3B1BB627">
            <w:pPr>
              <w:pStyle w:val="16"/>
            </w:pPr>
            <w:r>
              <w:t>3545.95</w:t>
            </w:r>
          </w:p>
        </w:tc>
        <w:tc>
          <w:tcPr>
            <w:tcW w:w="1474" w:type="dxa"/>
            <w:vAlign w:val="center"/>
          </w:tcPr>
          <w:p w14:paraId="5948B539">
            <w:pPr>
              <w:pStyle w:val="16"/>
            </w:pPr>
            <w:r>
              <w:t>3545.95</w:t>
            </w:r>
          </w:p>
        </w:tc>
        <w:tc>
          <w:tcPr>
            <w:tcW w:w="1474" w:type="dxa"/>
            <w:vAlign w:val="center"/>
          </w:tcPr>
          <w:p w14:paraId="07625805">
            <w:pPr>
              <w:pStyle w:val="16"/>
            </w:pPr>
          </w:p>
        </w:tc>
        <w:tc>
          <w:tcPr>
            <w:tcW w:w="1474" w:type="dxa"/>
            <w:vAlign w:val="center"/>
          </w:tcPr>
          <w:p w14:paraId="2EAB00B9">
            <w:pPr>
              <w:pStyle w:val="16"/>
            </w:pPr>
          </w:p>
        </w:tc>
      </w:tr>
    </w:tbl>
    <w:p w14:paraId="33667FB4">
      <w:pPr>
        <w:sectPr>
          <w:pgSz w:w="16840" w:h="11900" w:orient="landscape"/>
          <w:pgMar w:top="1361" w:right="1020" w:bottom="1134" w:left="1020" w:header="720" w:footer="720" w:gutter="0"/>
          <w:cols w:space="720" w:num="1"/>
        </w:sectPr>
      </w:pPr>
    </w:p>
    <w:p w14:paraId="3398E5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2D5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4BC4B6">
            <w:pPr>
              <w:pStyle w:val="8"/>
            </w:pPr>
            <w:r>
              <w:t>360015隆尧县职业技术教育中心</w:t>
            </w:r>
          </w:p>
        </w:tc>
        <w:tc>
          <w:tcPr>
            <w:tcW w:w="2551" w:type="dxa"/>
            <w:tcBorders>
              <w:top w:val="single" w:color="FFFFFF" w:sz="6" w:space="0"/>
              <w:left w:val="single" w:color="FFFFFF" w:sz="6" w:space="0"/>
              <w:right w:val="single" w:color="FFFFFF" w:sz="6" w:space="0"/>
            </w:tcBorders>
            <w:vAlign w:val="center"/>
          </w:tcPr>
          <w:p w14:paraId="719B689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23C0F1D">
            <w:pPr>
              <w:pStyle w:val="10"/>
            </w:pPr>
            <w:r>
              <w:t>单位：万元</w:t>
            </w:r>
          </w:p>
        </w:tc>
      </w:tr>
      <w:tr w14:paraId="4070E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71BEA">
            <w:pPr>
              <w:pStyle w:val="11"/>
            </w:pPr>
            <w:r>
              <w:t>序号</w:t>
            </w:r>
          </w:p>
        </w:tc>
        <w:tc>
          <w:tcPr>
            <w:tcW w:w="5726" w:type="dxa"/>
            <w:gridSpan w:val="2"/>
            <w:vAlign w:val="center"/>
          </w:tcPr>
          <w:p w14:paraId="2474AFC4">
            <w:pPr>
              <w:pStyle w:val="11"/>
            </w:pPr>
            <w:r>
              <w:t>功能分类科目</w:t>
            </w:r>
          </w:p>
        </w:tc>
        <w:tc>
          <w:tcPr>
            <w:tcW w:w="2551" w:type="dxa"/>
            <w:vMerge w:val="restart"/>
            <w:vAlign w:val="center"/>
          </w:tcPr>
          <w:p w14:paraId="6777A623">
            <w:pPr>
              <w:pStyle w:val="11"/>
            </w:pPr>
            <w:r>
              <w:t>合计</w:t>
            </w:r>
          </w:p>
        </w:tc>
        <w:tc>
          <w:tcPr>
            <w:tcW w:w="2551" w:type="dxa"/>
            <w:vMerge w:val="restart"/>
            <w:vAlign w:val="center"/>
          </w:tcPr>
          <w:p w14:paraId="69323878">
            <w:pPr>
              <w:pStyle w:val="11"/>
            </w:pPr>
            <w:r>
              <w:t>基本支出</w:t>
            </w:r>
          </w:p>
        </w:tc>
        <w:tc>
          <w:tcPr>
            <w:tcW w:w="2551" w:type="dxa"/>
            <w:vMerge w:val="restart"/>
            <w:vAlign w:val="center"/>
          </w:tcPr>
          <w:p w14:paraId="45126E03">
            <w:pPr>
              <w:pStyle w:val="11"/>
            </w:pPr>
            <w:r>
              <w:t>项目支出</w:t>
            </w:r>
          </w:p>
        </w:tc>
      </w:tr>
      <w:tr w14:paraId="4612B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A76483"/>
        </w:tc>
        <w:tc>
          <w:tcPr>
            <w:tcW w:w="1191" w:type="dxa"/>
            <w:vAlign w:val="center"/>
          </w:tcPr>
          <w:p w14:paraId="7F8C2246">
            <w:pPr>
              <w:pStyle w:val="11"/>
            </w:pPr>
            <w:r>
              <w:t>科目编码</w:t>
            </w:r>
          </w:p>
        </w:tc>
        <w:tc>
          <w:tcPr>
            <w:tcW w:w="4535" w:type="dxa"/>
            <w:vAlign w:val="center"/>
          </w:tcPr>
          <w:p w14:paraId="553FA0B1">
            <w:pPr>
              <w:pStyle w:val="11"/>
            </w:pPr>
            <w:r>
              <w:t>科目名称</w:t>
            </w:r>
          </w:p>
        </w:tc>
        <w:tc>
          <w:tcPr>
            <w:tcW w:w="2551" w:type="dxa"/>
            <w:vMerge w:val="continue"/>
          </w:tcPr>
          <w:p w14:paraId="4ADB2E7D"/>
        </w:tc>
        <w:tc>
          <w:tcPr>
            <w:tcW w:w="2551" w:type="dxa"/>
            <w:vMerge w:val="continue"/>
          </w:tcPr>
          <w:p w14:paraId="2E0F0356"/>
        </w:tc>
        <w:tc>
          <w:tcPr>
            <w:tcW w:w="2551" w:type="dxa"/>
            <w:vMerge w:val="continue"/>
          </w:tcPr>
          <w:p w14:paraId="7395E613"/>
        </w:tc>
      </w:tr>
      <w:tr w14:paraId="1259A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2FD41B">
            <w:pPr>
              <w:pStyle w:val="11"/>
            </w:pPr>
            <w:r>
              <w:t>栏次</w:t>
            </w:r>
          </w:p>
        </w:tc>
        <w:tc>
          <w:tcPr>
            <w:tcW w:w="1191" w:type="dxa"/>
            <w:vAlign w:val="center"/>
          </w:tcPr>
          <w:p w14:paraId="4A1355B3">
            <w:pPr>
              <w:pStyle w:val="11"/>
            </w:pPr>
            <w:r>
              <w:t>1</w:t>
            </w:r>
          </w:p>
        </w:tc>
        <w:tc>
          <w:tcPr>
            <w:tcW w:w="4535" w:type="dxa"/>
            <w:vAlign w:val="center"/>
          </w:tcPr>
          <w:p w14:paraId="4A30772C">
            <w:pPr>
              <w:pStyle w:val="11"/>
            </w:pPr>
            <w:r>
              <w:t>2</w:t>
            </w:r>
          </w:p>
        </w:tc>
        <w:tc>
          <w:tcPr>
            <w:tcW w:w="2551" w:type="dxa"/>
            <w:vAlign w:val="center"/>
          </w:tcPr>
          <w:p w14:paraId="602F598A">
            <w:pPr>
              <w:pStyle w:val="11"/>
            </w:pPr>
            <w:r>
              <w:t>3</w:t>
            </w:r>
          </w:p>
        </w:tc>
        <w:tc>
          <w:tcPr>
            <w:tcW w:w="2551" w:type="dxa"/>
            <w:vAlign w:val="center"/>
          </w:tcPr>
          <w:p w14:paraId="6D818860">
            <w:pPr>
              <w:pStyle w:val="11"/>
            </w:pPr>
            <w:r>
              <w:t>4</w:t>
            </w:r>
          </w:p>
        </w:tc>
        <w:tc>
          <w:tcPr>
            <w:tcW w:w="2551" w:type="dxa"/>
            <w:vAlign w:val="center"/>
          </w:tcPr>
          <w:p w14:paraId="6114A4B9">
            <w:pPr>
              <w:pStyle w:val="11"/>
            </w:pPr>
            <w:r>
              <w:t>5</w:t>
            </w:r>
          </w:p>
        </w:tc>
      </w:tr>
      <w:tr w14:paraId="0B149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16D4B">
            <w:pPr>
              <w:pStyle w:val="12"/>
            </w:pPr>
            <w:r>
              <w:t>1</w:t>
            </w:r>
          </w:p>
        </w:tc>
        <w:tc>
          <w:tcPr>
            <w:tcW w:w="1191" w:type="dxa"/>
            <w:vAlign w:val="center"/>
          </w:tcPr>
          <w:p w14:paraId="54670204">
            <w:pPr>
              <w:pStyle w:val="17"/>
            </w:pPr>
          </w:p>
        </w:tc>
        <w:tc>
          <w:tcPr>
            <w:tcW w:w="4535" w:type="dxa"/>
            <w:vAlign w:val="center"/>
          </w:tcPr>
          <w:p w14:paraId="3238444C">
            <w:pPr>
              <w:pStyle w:val="15"/>
            </w:pPr>
            <w:r>
              <w:t>合计</w:t>
            </w:r>
          </w:p>
        </w:tc>
        <w:tc>
          <w:tcPr>
            <w:tcW w:w="2551" w:type="dxa"/>
            <w:vAlign w:val="center"/>
          </w:tcPr>
          <w:p w14:paraId="18C17EB2">
            <w:pPr>
              <w:pStyle w:val="16"/>
            </w:pPr>
            <w:r>
              <w:t>3545.95</w:t>
            </w:r>
          </w:p>
        </w:tc>
        <w:tc>
          <w:tcPr>
            <w:tcW w:w="2551" w:type="dxa"/>
            <w:vAlign w:val="center"/>
          </w:tcPr>
          <w:p w14:paraId="02C0EBA3">
            <w:pPr>
              <w:pStyle w:val="16"/>
            </w:pPr>
            <w:r>
              <w:t>2729.58</w:t>
            </w:r>
          </w:p>
        </w:tc>
        <w:tc>
          <w:tcPr>
            <w:tcW w:w="2551" w:type="dxa"/>
            <w:vAlign w:val="center"/>
          </w:tcPr>
          <w:p w14:paraId="7DEA891C">
            <w:pPr>
              <w:pStyle w:val="16"/>
            </w:pPr>
            <w:r>
              <w:t>816.37</w:t>
            </w:r>
          </w:p>
        </w:tc>
      </w:tr>
      <w:tr w14:paraId="437C3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B6EF7">
            <w:pPr>
              <w:pStyle w:val="12"/>
            </w:pPr>
            <w:r>
              <w:t>2</w:t>
            </w:r>
          </w:p>
        </w:tc>
        <w:tc>
          <w:tcPr>
            <w:tcW w:w="1191" w:type="dxa"/>
            <w:vAlign w:val="center"/>
          </w:tcPr>
          <w:p w14:paraId="1591E399">
            <w:pPr>
              <w:pStyle w:val="13"/>
            </w:pPr>
            <w:r>
              <w:t>205</w:t>
            </w:r>
          </w:p>
        </w:tc>
        <w:tc>
          <w:tcPr>
            <w:tcW w:w="4535" w:type="dxa"/>
            <w:vAlign w:val="center"/>
          </w:tcPr>
          <w:p w14:paraId="787B201F">
            <w:pPr>
              <w:pStyle w:val="13"/>
            </w:pPr>
            <w:r>
              <w:t>教育支出</w:t>
            </w:r>
          </w:p>
        </w:tc>
        <w:tc>
          <w:tcPr>
            <w:tcW w:w="2551" w:type="dxa"/>
            <w:vAlign w:val="center"/>
          </w:tcPr>
          <w:p w14:paraId="316A7CF4">
            <w:pPr>
              <w:pStyle w:val="14"/>
            </w:pPr>
            <w:r>
              <w:t>3545.95</w:t>
            </w:r>
          </w:p>
        </w:tc>
        <w:tc>
          <w:tcPr>
            <w:tcW w:w="2551" w:type="dxa"/>
            <w:vAlign w:val="center"/>
          </w:tcPr>
          <w:p w14:paraId="440AC8F2">
            <w:pPr>
              <w:pStyle w:val="14"/>
            </w:pPr>
            <w:r>
              <w:t>2729.58</w:t>
            </w:r>
          </w:p>
        </w:tc>
        <w:tc>
          <w:tcPr>
            <w:tcW w:w="2551" w:type="dxa"/>
            <w:vAlign w:val="center"/>
          </w:tcPr>
          <w:p w14:paraId="38A784B7">
            <w:pPr>
              <w:pStyle w:val="14"/>
            </w:pPr>
            <w:r>
              <w:t>816.37</w:t>
            </w:r>
          </w:p>
        </w:tc>
      </w:tr>
      <w:tr w14:paraId="3F172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7874A">
            <w:pPr>
              <w:pStyle w:val="12"/>
            </w:pPr>
            <w:r>
              <w:t>3</w:t>
            </w:r>
          </w:p>
        </w:tc>
        <w:tc>
          <w:tcPr>
            <w:tcW w:w="1191" w:type="dxa"/>
            <w:vAlign w:val="center"/>
          </w:tcPr>
          <w:p w14:paraId="0AAC47E0">
            <w:pPr>
              <w:pStyle w:val="13"/>
            </w:pPr>
            <w:r>
              <w:t>20502</w:t>
            </w:r>
          </w:p>
        </w:tc>
        <w:tc>
          <w:tcPr>
            <w:tcW w:w="4535" w:type="dxa"/>
            <w:vAlign w:val="center"/>
          </w:tcPr>
          <w:p w14:paraId="1EC52C3A">
            <w:pPr>
              <w:pStyle w:val="13"/>
            </w:pPr>
            <w:r>
              <w:t>普通教育</w:t>
            </w:r>
          </w:p>
        </w:tc>
        <w:tc>
          <w:tcPr>
            <w:tcW w:w="2551" w:type="dxa"/>
            <w:vAlign w:val="center"/>
          </w:tcPr>
          <w:p w14:paraId="3561B00E">
            <w:pPr>
              <w:pStyle w:val="14"/>
            </w:pPr>
            <w:r>
              <w:t>127.85</w:t>
            </w:r>
          </w:p>
        </w:tc>
        <w:tc>
          <w:tcPr>
            <w:tcW w:w="2551" w:type="dxa"/>
            <w:vAlign w:val="center"/>
          </w:tcPr>
          <w:p w14:paraId="361295D0">
            <w:pPr>
              <w:pStyle w:val="14"/>
            </w:pPr>
          </w:p>
        </w:tc>
        <w:tc>
          <w:tcPr>
            <w:tcW w:w="2551" w:type="dxa"/>
            <w:vAlign w:val="center"/>
          </w:tcPr>
          <w:p w14:paraId="4764949C">
            <w:pPr>
              <w:pStyle w:val="14"/>
            </w:pPr>
            <w:r>
              <w:t>127.85</w:t>
            </w:r>
          </w:p>
        </w:tc>
      </w:tr>
      <w:tr w14:paraId="7E0FF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DFA76">
            <w:pPr>
              <w:pStyle w:val="12"/>
            </w:pPr>
            <w:r>
              <w:t>4</w:t>
            </w:r>
          </w:p>
        </w:tc>
        <w:tc>
          <w:tcPr>
            <w:tcW w:w="1191" w:type="dxa"/>
            <w:vAlign w:val="center"/>
          </w:tcPr>
          <w:p w14:paraId="2EA0C1F0">
            <w:pPr>
              <w:pStyle w:val="13"/>
            </w:pPr>
            <w:r>
              <w:t>2050204</w:t>
            </w:r>
          </w:p>
        </w:tc>
        <w:tc>
          <w:tcPr>
            <w:tcW w:w="4535" w:type="dxa"/>
            <w:vAlign w:val="center"/>
          </w:tcPr>
          <w:p w14:paraId="7E416A14">
            <w:pPr>
              <w:pStyle w:val="13"/>
            </w:pPr>
            <w:r>
              <w:t>高中教育</w:t>
            </w:r>
          </w:p>
        </w:tc>
        <w:tc>
          <w:tcPr>
            <w:tcW w:w="2551" w:type="dxa"/>
            <w:vAlign w:val="center"/>
          </w:tcPr>
          <w:p w14:paraId="12FDFDB5">
            <w:pPr>
              <w:pStyle w:val="14"/>
            </w:pPr>
            <w:r>
              <w:t>127.85</w:t>
            </w:r>
          </w:p>
        </w:tc>
        <w:tc>
          <w:tcPr>
            <w:tcW w:w="2551" w:type="dxa"/>
            <w:vAlign w:val="center"/>
          </w:tcPr>
          <w:p w14:paraId="02C08836">
            <w:pPr>
              <w:pStyle w:val="14"/>
            </w:pPr>
          </w:p>
        </w:tc>
        <w:tc>
          <w:tcPr>
            <w:tcW w:w="2551" w:type="dxa"/>
            <w:vAlign w:val="center"/>
          </w:tcPr>
          <w:p w14:paraId="4307C2DA">
            <w:pPr>
              <w:pStyle w:val="14"/>
            </w:pPr>
            <w:r>
              <w:t>127.85</w:t>
            </w:r>
          </w:p>
        </w:tc>
      </w:tr>
      <w:tr w14:paraId="7BEAA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ABA1B">
            <w:pPr>
              <w:pStyle w:val="12"/>
            </w:pPr>
            <w:r>
              <w:t>5</w:t>
            </w:r>
          </w:p>
        </w:tc>
        <w:tc>
          <w:tcPr>
            <w:tcW w:w="1191" w:type="dxa"/>
            <w:vAlign w:val="center"/>
          </w:tcPr>
          <w:p w14:paraId="361C430F">
            <w:pPr>
              <w:pStyle w:val="13"/>
            </w:pPr>
            <w:r>
              <w:t>20503</w:t>
            </w:r>
          </w:p>
        </w:tc>
        <w:tc>
          <w:tcPr>
            <w:tcW w:w="4535" w:type="dxa"/>
            <w:vAlign w:val="center"/>
          </w:tcPr>
          <w:p w14:paraId="7B77106A">
            <w:pPr>
              <w:pStyle w:val="13"/>
            </w:pPr>
            <w:r>
              <w:t>职业教育</w:t>
            </w:r>
          </w:p>
        </w:tc>
        <w:tc>
          <w:tcPr>
            <w:tcW w:w="2551" w:type="dxa"/>
            <w:vAlign w:val="center"/>
          </w:tcPr>
          <w:p w14:paraId="695E643B">
            <w:pPr>
              <w:pStyle w:val="14"/>
            </w:pPr>
            <w:r>
              <w:t>3418.09</w:t>
            </w:r>
          </w:p>
        </w:tc>
        <w:tc>
          <w:tcPr>
            <w:tcW w:w="2551" w:type="dxa"/>
            <w:vAlign w:val="center"/>
          </w:tcPr>
          <w:p w14:paraId="55665180">
            <w:pPr>
              <w:pStyle w:val="14"/>
            </w:pPr>
            <w:r>
              <w:t>2729.58</w:t>
            </w:r>
          </w:p>
        </w:tc>
        <w:tc>
          <w:tcPr>
            <w:tcW w:w="2551" w:type="dxa"/>
            <w:vAlign w:val="center"/>
          </w:tcPr>
          <w:p w14:paraId="15D3D34A">
            <w:pPr>
              <w:pStyle w:val="14"/>
            </w:pPr>
            <w:r>
              <w:t>688.51</w:t>
            </w:r>
          </w:p>
        </w:tc>
      </w:tr>
      <w:tr w14:paraId="089C6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48847">
            <w:pPr>
              <w:pStyle w:val="12"/>
            </w:pPr>
            <w:r>
              <w:t>6</w:t>
            </w:r>
          </w:p>
        </w:tc>
        <w:tc>
          <w:tcPr>
            <w:tcW w:w="1191" w:type="dxa"/>
            <w:vAlign w:val="center"/>
          </w:tcPr>
          <w:p w14:paraId="05ACD093">
            <w:pPr>
              <w:pStyle w:val="13"/>
            </w:pPr>
            <w:r>
              <w:t>2050302</w:t>
            </w:r>
          </w:p>
        </w:tc>
        <w:tc>
          <w:tcPr>
            <w:tcW w:w="4535" w:type="dxa"/>
            <w:vAlign w:val="center"/>
          </w:tcPr>
          <w:p w14:paraId="0EAF61DE">
            <w:pPr>
              <w:pStyle w:val="13"/>
            </w:pPr>
            <w:r>
              <w:t>中等职业教育</w:t>
            </w:r>
          </w:p>
        </w:tc>
        <w:tc>
          <w:tcPr>
            <w:tcW w:w="2551" w:type="dxa"/>
            <w:vAlign w:val="center"/>
          </w:tcPr>
          <w:p w14:paraId="59D61C02">
            <w:pPr>
              <w:pStyle w:val="14"/>
            </w:pPr>
            <w:r>
              <w:t>3418.09</w:t>
            </w:r>
          </w:p>
        </w:tc>
        <w:tc>
          <w:tcPr>
            <w:tcW w:w="2551" w:type="dxa"/>
            <w:vAlign w:val="center"/>
          </w:tcPr>
          <w:p w14:paraId="47E920A4">
            <w:pPr>
              <w:pStyle w:val="14"/>
            </w:pPr>
            <w:r>
              <w:t>2729.58</w:t>
            </w:r>
          </w:p>
        </w:tc>
        <w:tc>
          <w:tcPr>
            <w:tcW w:w="2551" w:type="dxa"/>
            <w:vAlign w:val="center"/>
          </w:tcPr>
          <w:p w14:paraId="1E8AA5DA">
            <w:pPr>
              <w:pStyle w:val="14"/>
            </w:pPr>
            <w:r>
              <w:t>688.51</w:t>
            </w:r>
          </w:p>
        </w:tc>
      </w:tr>
    </w:tbl>
    <w:p w14:paraId="097EA7B8">
      <w:pPr>
        <w:sectPr>
          <w:pgSz w:w="16840" w:h="11900" w:orient="landscape"/>
          <w:pgMar w:top="1361" w:right="1020" w:bottom="1134" w:left="1020" w:header="720" w:footer="720" w:gutter="0"/>
          <w:cols w:space="720" w:num="1"/>
        </w:sectPr>
      </w:pPr>
    </w:p>
    <w:p w14:paraId="395847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0DE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7B32BB">
            <w:pPr>
              <w:pStyle w:val="8"/>
            </w:pPr>
            <w:r>
              <w:t>360015隆尧县职业技术教育中心</w:t>
            </w:r>
          </w:p>
        </w:tc>
        <w:tc>
          <w:tcPr>
            <w:tcW w:w="2551" w:type="dxa"/>
            <w:tcBorders>
              <w:top w:val="single" w:color="FFFFFF" w:sz="6" w:space="0"/>
              <w:left w:val="single" w:color="FFFFFF" w:sz="6" w:space="0"/>
              <w:right w:val="single" w:color="FFFFFF" w:sz="6" w:space="0"/>
            </w:tcBorders>
            <w:vAlign w:val="center"/>
          </w:tcPr>
          <w:p w14:paraId="45B1CA5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0647834">
            <w:pPr>
              <w:pStyle w:val="10"/>
            </w:pPr>
            <w:r>
              <w:t>单位：万元</w:t>
            </w:r>
          </w:p>
        </w:tc>
      </w:tr>
      <w:tr w14:paraId="204D4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F8996C">
            <w:pPr>
              <w:pStyle w:val="11"/>
            </w:pPr>
            <w:r>
              <w:t>序号</w:t>
            </w:r>
          </w:p>
        </w:tc>
        <w:tc>
          <w:tcPr>
            <w:tcW w:w="5726" w:type="dxa"/>
            <w:gridSpan w:val="2"/>
            <w:vAlign w:val="center"/>
          </w:tcPr>
          <w:p w14:paraId="3D0963EC">
            <w:pPr>
              <w:pStyle w:val="11"/>
            </w:pPr>
            <w:r>
              <w:t>支出部门经济分类科目</w:t>
            </w:r>
          </w:p>
        </w:tc>
        <w:tc>
          <w:tcPr>
            <w:tcW w:w="7653" w:type="dxa"/>
            <w:gridSpan w:val="3"/>
            <w:vAlign w:val="center"/>
          </w:tcPr>
          <w:p w14:paraId="0FD460B4">
            <w:pPr>
              <w:pStyle w:val="11"/>
            </w:pPr>
            <w:r>
              <w:t>一般公共预算基本支出</w:t>
            </w:r>
          </w:p>
        </w:tc>
      </w:tr>
      <w:tr w14:paraId="62C31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694C7"/>
        </w:tc>
        <w:tc>
          <w:tcPr>
            <w:tcW w:w="1191" w:type="dxa"/>
            <w:vAlign w:val="center"/>
          </w:tcPr>
          <w:p w14:paraId="2E946E14">
            <w:pPr>
              <w:pStyle w:val="11"/>
            </w:pPr>
            <w:r>
              <w:t>科目编码</w:t>
            </w:r>
          </w:p>
        </w:tc>
        <w:tc>
          <w:tcPr>
            <w:tcW w:w="4535" w:type="dxa"/>
            <w:vAlign w:val="center"/>
          </w:tcPr>
          <w:p w14:paraId="1D6250DB">
            <w:pPr>
              <w:pStyle w:val="11"/>
            </w:pPr>
            <w:r>
              <w:t>科目名称</w:t>
            </w:r>
          </w:p>
        </w:tc>
        <w:tc>
          <w:tcPr>
            <w:tcW w:w="2551" w:type="dxa"/>
            <w:vAlign w:val="center"/>
          </w:tcPr>
          <w:p w14:paraId="456E4FD6">
            <w:pPr>
              <w:pStyle w:val="11"/>
            </w:pPr>
            <w:r>
              <w:t>合计</w:t>
            </w:r>
          </w:p>
        </w:tc>
        <w:tc>
          <w:tcPr>
            <w:tcW w:w="2551" w:type="dxa"/>
            <w:vAlign w:val="center"/>
          </w:tcPr>
          <w:p w14:paraId="7BE03B18">
            <w:pPr>
              <w:pStyle w:val="11"/>
            </w:pPr>
            <w:r>
              <w:t>人员经费</w:t>
            </w:r>
          </w:p>
        </w:tc>
        <w:tc>
          <w:tcPr>
            <w:tcW w:w="2551" w:type="dxa"/>
            <w:vAlign w:val="center"/>
          </w:tcPr>
          <w:p w14:paraId="57A7CDAE">
            <w:pPr>
              <w:pStyle w:val="11"/>
            </w:pPr>
            <w:r>
              <w:t>公用经费</w:t>
            </w:r>
          </w:p>
        </w:tc>
      </w:tr>
      <w:tr w14:paraId="55771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275DA">
            <w:pPr>
              <w:pStyle w:val="11"/>
            </w:pPr>
            <w:r>
              <w:t>栏次</w:t>
            </w:r>
          </w:p>
        </w:tc>
        <w:tc>
          <w:tcPr>
            <w:tcW w:w="1191" w:type="dxa"/>
            <w:vAlign w:val="center"/>
          </w:tcPr>
          <w:p w14:paraId="128D88B6">
            <w:pPr>
              <w:pStyle w:val="11"/>
            </w:pPr>
            <w:r>
              <w:t>1</w:t>
            </w:r>
          </w:p>
        </w:tc>
        <w:tc>
          <w:tcPr>
            <w:tcW w:w="4535" w:type="dxa"/>
            <w:vAlign w:val="center"/>
          </w:tcPr>
          <w:p w14:paraId="281BA870">
            <w:pPr>
              <w:pStyle w:val="11"/>
            </w:pPr>
            <w:r>
              <w:t>2</w:t>
            </w:r>
          </w:p>
        </w:tc>
        <w:tc>
          <w:tcPr>
            <w:tcW w:w="2551" w:type="dxa"/>
            <w:vAlign w:val="center"/>
          </w:tcPr>
          <w:p w14:paraId="14EFBCF1">
            <w:pPr>
              <w:pStyle w:val="11"/>
            </w:pPr>
            <w:r>
              <w:t>3</w:t>
            </w:r>
          </w:p>
        </w:tc>
        <w:tc>
          <w:tcPr>
            <w:tcW w:w="2551" w:type="dxa"/>
            <w:vAlign w:val="center"/>
          </w:tcPr>
          <w:p w14:paraId="1D0835F3">
            <w:pPr>
              <w:pStyle w:val="11"/>
            </w:pPr>
            <w:r>
              <w:t>4</w:t>
            </w:r>
          </w:p>
        </w:tc>
        <w:tc>
          <w:tcPr>
            <w:tcW w:w="2551" w:type="dxa"/>
            <w:vAlign w:val="center"/>
          </w:tcPr>
          <w:p w14:paraId="25FEA1A6">
            <w:pPr>
              <w:pStyle w:val="11"/>
            </w:pPr>
            <w:r>
              <w:t>5</w:t>
            </w:r>
          </w:p>
        </w:tc>
      </w:tr>
      <w:tr w14:paraId="3E472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8117A">
            <w:pPr>
              <w:pStyle w:val="12"/>
            </w:pPr>
            <w:r>
              <w:t>1</w:t>
            </w:r>
          </w:p>
        </w:tc>
        <w:tc>
          <w:tcPr>
            <w:tcW w:w="1191" w:type="dxa"/>
            <w:vAlign w:val="center"/>
          </w:tcPr>
          <w:p w14:paraId="68C11CE1">
            <w:pPr>
              <w:pStyle w:val="17"/>
            </w:pPr>
          </w:p>
        </w:tc>
        <w:tc>
          <w:tcPr>
            <w:tcW w:w="4535" w:type="dxa"/>
            <w:vAlign w:val="center"/>
          </w:tcPr>
          <w:p w14:paraId="64DAA3D6">
            <w:pPr>
              <w:pStyle w:val="15"/>
            </w:pPr>
            <w:r>
              <w:t>合计</w:t>
            </w:r>
          </w:p>
        </w:tc>
        <w:tc>
          <w:tcPr>
            <w:tcW w:w="2551" w:type="dxa"/>
            <w:vAlign w:val="center"/>
          </w:tcPr>
          <w:p w14:paraId="44A5DCBD">
            <w:pPr>
              <w:pStyle w:val="16"/>
            </w:pPr>
            <w:r>
              <w:t>2729.58</w:t>
            </w:r>
          </w:p>
        </w:tc>
        <w:tc>
          <w:tcPr>
            <w:tcW w:w="2551" w:type="dxa"/>
            <w:vAlign w:val="center"/>
          </w:tcPr>
          <w:p w14:paraId="236F909A">
            <w:pPr>
              <w:pStyle w:val="16"/>
            </w:pPr>
            <w:r>
              <w:t>2729.58</w:t>
            </w:r>
          </w:p>
        </w:tc>
        <w:tc>
          <w:tcPr>
            <w:tcW w:w="2551" w:type="dxa"/>
            <w:vAlign w:val="center"/>
          </w:tcPr>
          <w:p w14:paraId="715C0056">
            <w:pPr>
              <w:pStyle w:val="16"/>
            </w:pPr>
          </w:p>
        </w:tc>
      </w:tr>
      <w:tr w14:paraId="40240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AFA59">
            <w:pPr>
              <w:pStyle w:val="12"/>
            </w:pPr>
            <w:r>
              <w:t>2</w:t>
            </w:r>
          </w:p>
        </w:tc>
        <w:tc>
          <w:tcPr>
            <w:tcW w:w="1191" w:type="dxa"/>
            <w:vAlign w:val="center"/>
          </w:tcPr>
          <w:p w14:paraId="24AD3442">
            <w:pPr>
              <w:pStyle w:val="13"/>
            </w:pPr>
            <w:r>
              <w:t>301</w:t>
            </w:r>
          </w:p>
        </w:tc>
        <w:tc>
          <w:tcPr>
            <w:tcW w:w="4535" w:type="dxa"/>
            <w:vAlign w:val="center"/>
          </w:tcPr>
          <w:p w14:paraId="4C1AC74A">
            <w:pPr>
              <w:pStyle w:val="13"/>
            </w:pPr>
            <w:r>
              <w:t>工资福利支出</w:t>
            </w:r>
          </w:p>
        </w:tc>
        <w:tc>
          <w:tcPr>
            <w:tcW w:w="2551" w:type="dxa"/>
            <w:vAlign w:val="center"/>
          </w:tcPr>
          <w:p w14:paraId="503B7CB0">
            <w:pPr>
              <w:pStyle w:val="14"/>
            </w:pPr>
            <w:r>
              <w:t>2666.91</w:t>
            </w:r>
          </w:p>
        </w:tc>
        <w:tc>
          <w:tcPr>
            <w:tcW w:w="2551" w:type="dxa"/>
            <w:vAlign w:val="center"/>
          </w:tcPr>
          <w:p w14:paraId="6906FCEF">
            <w:pPr>
              <w:pStyle w:val="14"/>
            </w:pPr>
            <w:r>
              <w:t>2666.91</w:t>
            </w:r>
          </w:p>
        </w:tc>
        <w:tc>
          <w:tcPr>
            <w:tcW w:w="2551" w:type="dxa"/>
            <w:vAlign w:val="center"/>
          </w:tcPr>
          <w:p w14:paraId="6BAD2046">
            <w:pPr>
              <w:pStyle w:val="14"/>
            </w:pPr>
          </w:p>
        </w:tc>
      </w:tr>
      <w:tr w14:paraId="74C65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2AAB4">
            <w:pPr>
              <w:pStyle w:val="12"/>
            </w:pPr>
            <w:r>
              <w:t>3</w:t>
            </w:r>
          </w:p>
        </w:tc>
        <w:tc>
          <w:tcPr>
            <w:tcW w:w="1191" w:type="dxa"/>
            <w:vAlign w:val="center"/>
          </w:tcPr>
          <w:p w14:paraId="143F32E6">
            <w:pPr>
              <w:pStyle w:val="13"/>
            </w:pPr>
            <w:r>
              <w:t>30101</w:t>
            </w:r>
          </w:p>
        </w:tc>
        <w:tc>
          <w:tcPr>
            <w:tcW w:w="4535" w:type="dxa"/>
            <w:vAlign w:val="center"/>
          </w:tcPr>
          <w:p w14:paraId="035CCD75">
            <w:pPr>
              <w:pStyle w:val="13"/>
            </w:pPr>
            <w:r>
              <w:t>基本工资</w:t>
            </w:r>
          </w:p>
        </w:tc>
        <w:tc>
          <w:tcPr>
            <w:tcW w:w="2551" w:type="dxa"/>
            <w:vAlign w:val="center"/>
          </w:tcPr>
          <w:p w14:paraId="01514EE7">
            <w:pPr>
              <w:pStyle w:val="14"/>
            </w:pPr>
            <w:r>
              <w:t>1375.47</w:t>
            </w:r>
          </w:p>
        </w:tc>
        <w:tc>
          <w:tcPr>
            <w:tcW w:w="2551" w:type="dxa"/>
            <w:vAlign w:val="center"/>
          </w:tcPr>
          <w:p w14:paraId="44EAEC78">
            <w:pPr>
              <w:pStyle w:val="14"/>
            </w:pPr>
            <w:r>
              <w:t>1375.47</w:t>
            </w:r>
          </w:p>
        </w:tc>
        <w:tc>
          <w:tcPr>
            <w:tcW w:w="2551" w:type="dxa"/>
            <w:vAlign w:val="center"/>
          </w:tcPr>
          <w:p w14:paraId="5C71985C">
            <w:pPr>
              <w:pStyle w:val="14"/>
            </w:pPr>
          </w:p>
        </w:tc>
      </w:tr>
      <w:tr w14:paraId="1FC0D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11F61">
            <w:pPr>
              <w:pStyle w:val="12"/>
            </w:pPr>
            <w:r>
              <w:t>4</w:t>
            </w:r>
          </w:p>
        </w:tc>
        <w:tc>
          <w:tcPr>
            <w:tcW w:w="1191" w:type="dxa"/>
            <w:vAlign w:val="center"/>
          </w:tcPr>
          <w:p w14:paraId="0602ECDE">
            <w:pPr>
              <w:pStyle w:val="13"/>
            </w:pPr>
            <w:r>
              <w:t>30102</w:t>
            </w:r>
          </w:p>
        </w:tc>
        <w:tc>
          <w:tcPr>
            <w:tcW w:w="4535" w:type="dxa"/>
            <w:vAlign w:val="center"/>
          </w:tcPr>
          <w:p w14:paraId="54B9B096">
            <w:pPr>
              <w:pStyle w:val="13"/>
            </w:pPr>
            <w:r>
              <w:t>津贴补贴</w:t>
            </w:r>
          </w:p>
        </w:tc>
        <w:tc>
          <w:tcPr>
            <w:tcW w:w="2551" w:type="dxa"/>
            <w:vAlign w:val="center"/>
          </w:tcPr>
          <w:p w14:paraId="4DD78F1A">
            <w:pPr>
              <w:pStyle w:val="14"/>
            </w:pPr>
            <w:r>
              <w:t>34.95</w:t>
            </w:r>
          </w:p>
        </w:tc>
        <w:tc>
          <w:tcPr>
            <w:tcW w:w="2551" w:type="dxa"/>
            <w:vAlign w:val="center"/>
          </w:tcPr>
          <w:p w14:paraId="2C2749CC">
            <w:pPr>
              <w:pStyle w:val="14"/>
            </w:pPr>
            <w:r>
              <w:t>34.95</w:t>
            </w:r>
          </w:p>
        </w:tc>
        <w:tc>
          <w:tcPr>
            <w:tcW w:w="2551" w:type="dxa"/>
            <w:vAlign w:val="center"/>
          </w:tcPr>
          <w:p w14:paraId="46F8CC6A">
            <w:pPr>
              <w:pStyle w:val="14"/>
            </w:pPr>
          </w:p>
        </w:tc>
      </w:tr>
      <w:tr w14:paraId="62A54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FE0C4">
            <w:pPr>
              <w:pStyle w:val="12"/>
            </w:pPr>
            <w:r>
              <w:t>5</w:t>
            </w:r>
          </w:p>
        </w:tc>
        <w:tc>
          <w:tcPr>
            <w:tcW w:w="1191" w:type="dxa"/>
            <w:vAlign w:val="center"/>
          </w:tcPr>
          <w:p w14:paraId="38885B05">
            <w:pPr>
              <w:pStyle w:val="13"/>
            </w:pPr>
            <w:r>
              <w:t>30107</w:t>
            </w:r>
          </w:p>
        </w:tc>
        <w:tc>
          <w:tcPr>
            <w:tcW w:w="4535" w:type="dxa"/>
            <w:vAlign w:val="center"/>
          </w:tcPr>
          <w:p w14:paraId="49FF82D5">
            <w:pPr>
              <w:pStyle w:val="13"/>
            </w:pPr>
            <w:r>
              <w:t>绩效工资</w:t>
            </w:r>
          </w:p>
        </w:tc>
        <w:tc>
          <w:tcPr>
            <w:tcW w:w="2551" w:type="dxa"/>
            <w:vAlign w:val="center"/>
          </w:tcPr>
          <w:p w14:paraId="7DD4832D">
            <w:pPr>
              <w:pStyle w:val="14"/>
            </w:pPr>
            <w:r>
              <w:t>657.50</w:t>
            </w:r>
          </w:p>
        </w:tc>
        <w:tc>
          <w:tcPr>
            <w:tcW w:w="2551" w:type="dxa"/>
            <w:vAlign w:val="center"/>
          </w:tcPr>
          <w:p w14:paraId="699AC609">
            <w:pPr>
              <w:pStyle w:val="14"/>
            </w:pPr>
            <w:r>
              <w:t>657.50</w:t>
            </w:r>
          </w:p>
        </w:tc>
        <w:tc>
          <w:tcPr>
            <w:tcW w:w="2551" w:type="dxa"/>
            <w:vAlign w:val="center"/>
          </w:tcPr>
          <w:p w14:paraId="539172DB">
            <w:pPr>
              <w:pStyle w:val="14"/>
            </w:pPr>
          </w:p>
        </w:tc>
      </w:tr>
      <w:tr w14:paraId="375A7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C4DB9">
            <w:pPr>
              <w:pStyle w:val="12"/>
            </w:pPr>
            <w:r>
              <w:t>6</w:t>
            </w:r>
          </w:p>
        </w:tc>
        <w:tc>
          <w:tcPr>
            <w:tcW w:w="1191" w:type="dxa"/>
            <w:vAlign w:val="center"/>
          </w:tcPr>
          <w:p w14:paraId="7875AFC6">
            <w:pPr>
              <w:pStyle w:val="13"/>
            </w:pPr>
            <w:r>
              <w:t>30108</w:t>
            </w:r>
          </w:p>
        </w:tc>
        <w:tc>
          <w:tcPr>
            <w:tcW w:w="4535" w:type="dxa"/>
            <w:vAlign w:val="center"/>
          </w:tcPr>
          <w:p w14:paraId="6B170BEC">
            <w:pPr>
              <w:pStyle w:val="13"/>
            </w:pPr>
            <w:r>
              <w:t>机关事业单位基本养老保险缴费</w:t>
            </w:r>
          </w:p>
        </w:tc>
        <w:tc>
          <w:tcPr>
            <w:tcW w:w="2551" w:type="dxa"/>
            <w:vAlign w:val="center"/>
          </w:tcPr>
          <w:p w14:paraId="602A70B8">
            <w:pPr>
              <w:pStyle w:val="14"/>
            </w:pPr>
            <w:r>
              <w:t>263.20</w:t>
            </w:r>
          </w:p>
        </w:tc>
        <w:tc>
          <w:tcPr>
            <w:tcW w:w="2551" w:type="dxa"/>
            <w:vAlign w:val="center"/>
          </w:tcPr>
          <w:p w14:paraId="4966215A">
            <w:pPr>
              <w:pStyle w:val="14"/>
            </w:pPr>
            <w:r>
              <w:t>263.20</w:t>
            </w:r>
          </w:p>
        </w:tc>
        <w:tc>
          <w:tcPr>
            <w:tcW w:w="2551" w:type="dxa"/>
            <w:vAlign w:val="center"/>
          </w:tcPr>
          <w:p w14:paraId="013DA142">
            <w:pPr>
              <w:pStyle w:val="14"/>
            </w:pPr>
          </w:p>
        </w:tc>
      </w:tr>
      <w:tr w14:paraId="5F862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CD987">
            <w:pPr>
              <w:pStyle w:val="12"/>
            </w:pPr>
            <w:r>
              <w:t>7</w:t>
            </w:r>
          </w:p>
        </w:tc>
        <w:tc>
          <w:tcPr>
            <w:tcW w:w="1191" w:type="dxa"/>
            <w:vAlign w:val="center"/>
          </w:tcPr>
          <w:p w14:paraId="6EF97A4C">
            <w:pPr>
              <w:pStyle w:val="13"/>
            </w:pPr>
            <w:r>
              <w:t>30110</w:t>
            </w:r>
          </w:p>
        </w:tc>
        <w:tc>
          <w:tcPr>
            <w:tcW w:w="4535" w:type="dxa"/>
            <w:vAlign w:val="center"/>
          </w:tcPr>
          <w:p w14:paraId="554C2095">
            <w:pPr>
              <w:pStyle w:val="13"/>
            </w:pPr>
            <w:r>
              <w:t>职工基本医疗保险缴费</w:t>
            </w:r>
          </w:p>
        </w:tc>
        <w:tc>
          <w:tcPr>
            <w:tcW w:w="2551" w:type="dxa"/>
            <w:vAlign w:val="center"/>
          </w:tcPr>
          <w:p w14:paraId="54C201DB">
            <w:pPr>
              <w:pStyle w:val="14"/>
            </w:pPr>
            <w:r>
              <w:t>121.50</w:t>
            </w:r>
          </w:p>
        </w:tc>
        <w:tc>
          <w:tcPr>
            <w:tcW w:w="2551" w:type="dxa"/>
            <w:vAlign w:val="center"/>
          </w:tcPr>
          <w:p w14:paraId="5CAF8FCD">
            <w:pPr>
              <w:pStyle w:val="14"/>
            </w:pPr>
            <w:r>
              <w:t>121.50</w:t>
            </w:r>
          </w:p>
        </w:tc>
        <w:tc>
          <w:tcPr>
            <w:tcW w:w="2551" w:type="dxa"/>
            <w:vAlign w:val="center"/>
          </w:tcPr>
          <w:p w14:paraId="7C664045">
            <w:pPr>
              <w:pStyle w:val="14"/>
            </w:pPr>
          </w:p>
        </w:tc>
      </w:tr>
      <w:tr w14:paraId="5B478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CF72A">
            <w:pPr>
              <w:pStyle w:val="12"/>
            </w:pPr>
            <w:r>
              <w:t>8</w:t>
            </w:r>
          </w:p>
        </w:tc>
        <w:tc>
          <w:tcPr>
            <w:tcW w:w="1191" w:type="dxa"/>
            <w:vAlign w:val="center"/>
          </w:tcPr>
          <w:p w14:paraId="70E32205">
            <w:pPr>
              <w:pStyle w:val="13"/>
            </w:pPr>
            <w:r>
              <w:t>30112</w:t>
            </w:r>
          </w:p>
        </w:tc>
        <w:tc>
          <w:tcPr>
            <w:tcW w:w="4535" w:type="dxa"/>
            <w:vAlign w:val="center"/>
          </w:tcPr>
          <w:p w14:paraId="1392F6D6">
            <w:pPr>
              <w:pStyle w:val="13"/>
            </w:pPr>
            <w:r>
              <w:t>其他社会保障缴费</w:t>
            </w:r>
          </w:p>
        </w:tc>
        <w:tc>
          <w:tcPr>
            <w:tcW w:w="2551" w:type="dxa"/>
            <w:vAlign w:val="center"/>
          </w:tcPr>
          <w:p w14:paraId="55CEE7EE">
            <w:pPr>
              <w:pStyle w:val="14"/>
            </w:pPr>
            <w:r>
              <w:t>10.50</w:t>
            </w:r>
          </w:p>
        </w:tc>
        <w:tc>
          <w:tcPr>
            <w:tcW w:w="2551" w:type="dxa"/>
            <w:vAlign w:val="center"/>
          </w:tcPr>
          <w:p w14:paraId="5F4928B3">
            <w:pPr>
              <w:pStyle w:val="14"/>
            </w:pPr>
            <w:r>
              <w:t>10.50</w:t>
            </w:r>
          </w:p>
        </w:tc>
        <w:tc>
          <w:tcPr>
            <w:tcW w:w="2551" w:type="dxa"/>
            <w:vAlign w:val="center"/>
          </w:tcPr>
          <w:p w14:paraId="60E7E09D">
            <w:pPr>
              <w:pStyle w:val="14"/>
            </w:pPr>
          </w:p>
        </w:tc>
      </w:tr>
      <w:tr w14:paraId="3DC2B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F5B9E">
            <w:pPr>
              <w:pStyle w:val="12"/>
            </w:pPr>
            <w:r>
              <w:t>9</w:t>
            </w:r>
          </w:p>
        </w:tc>
        <w:tc>
          <w:tcPr>
            <w:tcW w:w="1191" w:type="dxa"/>
            <w:vAlign w:val="center"/>
          </w:tcPr>
          <w:p w14:paraId="2EB43E8D">
            <w:pPr>
              <w:pStyle w:val="13"/>
            </w:pPr>
            <w:r>
              <w:t>30113</w:t>
            </w:r>
          </w:p>
        </w:tc>
        <w:tc>
          <w:tcPr>
            <w:tcW w:w="4535" w:type="dxa"/>
            <w:vAlign w:val="center"/>
          </w:tcPr>
          <w:p w14:paraId="4C7EAF8E">
            <w:pPr>
              <w:pStyle w:val="13"/>
            </w:pPr>
            <w:r>
              <w:t>住房公积金</w:t>
            </w:r>
          </w:p>
        </w:tc>
        <w:tc>
          <w:tcPr>
            <w:tcW w:w="2551" w:type="dxa"/>
            <w:vAlign w:val="center"/>
          </w:tcPr>
          <w:p w14:paraId="0082BC32">
            <w:pPr>
              <w:pStyle w:val="14"/>
            </w:pPr>
            <w:r>
              <w:t>203.80</w:t>
            </w:r>
          </w:p>
        </w:tc>
        <w:tc>
          <w:tcPr>
            <w:tcW w:w="2551" w:type="dxa"/>
            <w:vAlign w:val="center"/>
          </w:tcPr>
          <w:p w14:paraId="0D8F44D3">
            <w:pPr>
              <w:pStyle w:val="14"/>
            </w:pPr>
            <w:r>
              <w:t>203.80</w:t>
            </w:r>
          </w:p>
        </w:tc>
        <w:tc>
          <w:tcPr>
            <w:tcW w:w="2551" w:type="dxa"/>
            <w:vAlign w:val="center"/>
          </w:tcPr>
          <w:p w14:paraId="4D6B3B76">
            <w:pPr>
              <w:pStyle w:val="14"/>
            </w:pPr>
          </w:p>
        </w:tc>
      </w:tr>
      <w:tr w14:paraId="0B989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DCBFA">
            <w:pPr>
              <w:pStyle w:val="12"/>
            </w:pPr>
            <w:r>
              <w:t>10</w:t>
            </w:r>
          </w:p>
        </w:tc>
        <w:tc>
          <w:tcPr>
            <w:tcW w:w="1191" w:type="dxa"/>
            <w:vAlign w:val="center"/>
          </w:tcPr>
          <w:p w14:paraId="7CE7A9C4">
            <w:pPr>
              <w:pStyle w:val="13"/>
            </w:pPr>
            <w:r>
              <w:t>303</w:t>
            </w:r>
          </w:p>
        </w:tc>
        <w:tc>
          <w:tcPr>
            <w:tcW w:w="4535" w:type="dxa"/>
            <w:vAlign w:val="center"/>
          </w:tcPr>
          <w:p w14:paraId="5DC42C7E">
            <w:pPr>
              <w:pStyle w:val="13"/>
            </w:pPr>
            <w:r>
              <w:t>对个人和家庭的补助</w:t>
            </w:r>
          </w:p>
        </w:tc>
        <w:tc>
          <w:tcPr>
            <w:tcW w:w="2551" w:type="dxa"/>
            <w:vAlign w:val="center"/>
          </w:tcPr>
          <w:p w14:paraId="044DF03C">
            <w:pPr>
              <w:pStyle w:val="14"/>
            </w:pPr>
            <w:r>
              <w:t>62.67</w:t>
            </w:r>
          </w:p>
        </w:tc>
        <w:tc>
          <w:tcPr>
            <w:tcW w:w="2551" w:type="dxa"/>
            <w:vAlign w:val="center"/>
          </w:tcPr>
          <w:p w14:paraId="01F259D6">
            <w:pPr>
              <w:pStyle w:val="14"/>
            </w:pPr>
            <w:r>
              <w:t>62.67</w:t>
            </w:r>
          </w:p>
        </w:tc>
        <w:tc>
          <w:tcPr>
            <w:tcW w:w="2551" w:type="dxa"/>
            <w:vAlign w:val="center"/>
          </w:tcPr>
          <w:p w14:paraId="67908C37">
            <w:pPr>
              <w:pStyle w:val="14"/>
            </w:pPr>
          </w:p>
        </w:tc>
      </w:tr>
      <w:tr w14:paraId="654DD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82324">
            <w:pPr>
              <w:pStyle w:val="12"/>
            </w:pPr>
            <w:r>
              <w:t>11</w:t>
            </w:r>
          </w:p>
        </w:tc>
        <w:tc>
          <w:tcPr>
            <w:tcW w:w="1191" w:type="dxa"/>
            <w:vAlign w:val="center"/>
          </w:tcPr>
          <w:p w14:paraId="03C6C8D0">
            <w:pPr>
              <w:pStyle w:val="13"/>
            </w:pPr>
            <w:r>
              <w:t>30302</w:t>
            </w:r>
          </w:p>
        </w:tc>
        <w:tc>
          <w:tcPr>
            <w:tcW w:w="4535" w:type="dxa"/>
            <w:vAlign w:val="center"/>
          </w:tcPr>
          <w:p w14:paraId="13F9A80E">
            <w:pPr>
              <w:pStyle w:val="13"/>
            </w:pPr>
            <w:r>
              <w:t>退休费</w:t>
            </w:r>
          </w:p>
        </w:tc>
        <w:tc>
          <w:tcPr>
            <w:tcW w:w="2551" w:type="dxa"/>
            <w:vAlign w:val="center"/>
          </w:tcPr>
          <w:p w14:paraId="62253353">
            <w:pPr>
              <w:pStyle w:val="14"/>
            </w:pPr>
            <w:r>
              <w:t>61.95</w:t>
            </w:r>
          </w:p>
        </w:tc>
        <w:tc>
          <w:tcPr>
            <w:tcW w:w="2551" w:type="dxa"/>
            <w:vAlign w:val="center"/>
          </w:tcPr>
          <w:p w14:paraId="0379BD0D">
            <w:pPr>
              <w:pStyle w:val="14"/>
            </w:pPr>
            <w:r>
              <w:t>61.95</w:t>
            </w:r>
          </w:p>
        </w:tc>
        <w:tc>
          <w:tcPr>
            <w:tcW w:w="2551" w:type="dxa"/>
            <w:vAlign w:val="center"/>
          </w:tcPr>
          <w:p w14:paraId="7D66B3D7">
            <w:pPr>
              <w:pStyle w:val="14"/>
            </w:pPr>
          </w:p>
        </w:tc>
      </w:tr>
      <w:tr w14:paraId="068B8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26509">
            <w:pPr>
              <w:pStyle w:val="12"/>
            </w:pPr>
            <w:r>
              <w:t>12</w:t>
            </w:r>
          </w:p>
        </w:tc>
        <w:tc>
          <w:tcPr>
            <w:tcW w:w="1191" w:type="dxa"/>
            <w:vAlign w:val="center"/>
          </w:tcPr>
          <w:p w14:paraId="6A8365A1">
            <w:pPr>
              <w:pStyle w:val="13"/>
            </w:pPr>
            <w:r>
              <w:t>30305</w:t>
            </w:r>
          </w:p>
        </w:tc>
        <w:tc>
          <w:tcPr>
            <w:tcW w:w="4535" w:type="dxa"/>
            <w:vAlign w:val="center"/>
          </w:tcPr>
          <w:p w14:paraId="458E1753">
            <w:pPr>
              <w:pStyle w:val="13"/>
            </w:pPr>
            <w:r>
              <w:t>生活补助</w:t>
            </w:r>
          </w:p>
        </w:tc>
        <w:tc>
          <w:tcPr>
            <w:tcW w:w="2551" w:type="dxa"/>
            <w:vAlign w:val="center"/>
          </w:tcPr>
          <w:p w14:paraId="64FBE291">
            <w:pPr>
              <w:pStyle w:val="14"/>
            </w:pPr>
            <w:r>
              <w:t>0.72</w:t>
            </w:r>
          </w:p>
        </w:tc>
        <w:tc>
          <w:tcPr>
            <w:tcW w:w="2551" w:type="dxa"/>
            <w:vAlign w:val="center"/>
          </w:tcPr>
          <w:p w14:paraId="6EA7A921">
            <w:pPr>
              <w:pStyle w:val="14"/>
            </w:pPr>
            <w:r>
              <w:t>0.72</w:t>
            </w:r>
          </w:p>
        </w:tc>
        <w:tc>
          <w:tcPr>
            <w:tcW w:w="2551" w:type="dxa"/>
            <w:vAlign w:val="center"/>
          </w:tcPr>
          <w:p w14:paraId="6E762657">
            <w:pPr>
              <w:pStyle w:val="14"/>
            </w:pPr>
          </w:p>
        </w:tc>
      </w:tr>
    </w:tbl>
    <w:p w14:paraId="067453F8">
      <w:pPr>
        <w:sectPr>
          <w:pgSz w:w="16840" w:h="11900" w:orient="landscape"/>
          <w:pgMar w:top="1361" w:right="1020" w:bottom="1134" w:left="1020" w:header="720" w:footer="720" w:gutter="0"/>
          <w:cols w:space="720" w:num="1"/>
        </w:sectPr>
      </w:pPr>
    </w:p>
    <w:p w14:paraId="2D74AE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DA1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A7B6B2">
            <w:pPr>
              <w:pStyle w:val="8"/>
            </w:pPr>
            <w:r>
              <w:t>360015隆尧县职业技术教育中心</w:t>
            </w:r>
          </w:p>
        </w:tc>
        <w:tc>
          <w:tcPr>
            <w:tcW w:w="2551" w:type="dxa"/>
            <w:tcBorders>
              <w:top w:val="single" w:color="FFFFFF" w:sz="6" w:space="0"/>
              <w:left w:val="single" w:color="FFFFFF" w:sz="6" w:space="0"/>
              <w:right w:val="single" w:color="FFFFFF" w:sz="6" w:space="0"/>
            </w:tcBorders>
            <w:vAlign w:val="center"/>
          </w:tcPr>
          <w:p w14:paraId="5DC4DF9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6BA418E">
            <w:pPr>
              <w:pStyle w:val="10"/>
            </w:pPr>
            <w:r>
              <w:t>单位：万元</w:t>
            </w:r>
          </w:p>
        </w:tc>
      </w:tr>
      <w:tr w14:paraId="1CD47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B406DD">
            <w:pPr>
              <w:pStyle w:val="11"/>
            </w:pPr>
            <w:r>
              <w:t>序号</w:t>
            </w:r>
          </w:p>
        </w:tc>
        <w:tc>
          <w:tcPr>
            <w:tcW w:w="5726" w:type="dxa"/>
            <w:gridSpan w:val="2"/>
            <w:vAlign w:val="center"/>
          </w:tcPr>
          <w:p w14:paraId="4F0F100B">
            <w:pPr>
              <w:pStyle w:val="11"/>
            </w:pPr>
            <w:r>
              <w:t>功能分类科目</w:t>
            </w:r>
          </w:p>
        </w:tc>
        <w:tc>
          <w:tcPr>
            <w:tcW w:w="2551" w:type="dxa"/>
            <w:vMerge w:val="restart"/>
            <w:vAlign w:val="center"/>
          </w:tcPr>
          <w:p w14:paraId="21A03CBA">
            <w:pPr>
              <w:pStyle w:val="11"/>
            </w:pPr>
            <w:r>
              <w:t>合计</w:t>
            </w:r>
          </w:p>
        </w:tc>
        <w:tc>
          <w:tcPr>
            <w:tcW w:w="2551" w:type="dxa"/>
            <w:vMerge w:val="restart"/>
            <w:vAlign w:val="center"/>
          </w:tcPr>
          <w:p w14:paraId="34A76C70">
            <w:pPr>
              <w:pStyle w:val="11"/>
            </w:pPr>
            <w:r>
              <w:t>基本支出</w:t>
            </w:r>
          </w:p>
        </w:tc>
        <w:tc>
          <w:tcPr>
            <w:tcW w:w="2551" w:type="dxa"/>
            <w:vMerge w:val="restart"/>
            <w:vAlign w:val="center"/>
          </w:tcPr>
          <w:p w14:paraId="029E0363">
            <w:pPr>
              <w:pStyle w:val="11"/>
            </w:pPr>
            <w:r>
              <w:t>项目支出</w:t>
            </w:r>
          </w:p>
        </w:tc>
      </w:tr>
      <w:tr w14:paraId="1CFC0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6EFF0"/>
        </w:tc>
        <w:tc>
          <w:tcPr>
            <w:tcW w:w="1191" w:type="dxa"/>
            <w:vAlign w:val="center"/>
          </w:tcPr>
          <w:p w14:paraId="4946D80A">
            <w:pPr>
              <w:pStyle w:val="11"/>
            </w:pPr>
            <w:r>
              <w:t>科目编码</w:t>
            </w:r>
          </w:p>
        </w:tc>
        <w:tc>
          <w:tcPr>
            <w:tcW w:w="4535" w:type="dxa"/>
            <w:vAlign w:val="center"/>
          </w:tcPr>
          <w:p w14:paraId="5701A053">
            <w:pPr>
              <w:pStyle w:val="11"/>
            </w:pPr>
            <w:r>
              <w:t>科目名称</w:t>
            </w:r>
          </w:p>
        </w:tc>
        <w:tc>
          <w:tcPr>
            <w:tcW w:w="2551" w:type="dxa"/>
            <w:vMerge w:val="continue"/>
          </w:tcPr>
          <w:p w14:paraId="4A31F0E4"/>
        </w:tc>
        <w:tc>
          <w:tcPr>
            <w:tcW w:w="2551" w:type="dxa"/>
            <w:vMerge w:val="continue"/>
          </w:tcPr>
          <w:p w14:paraId="104CFC5B"/>
        </w:tc>
        <w:tc>
          <w:tcPr>
            <w:tcW w:w="2551" w:type="dxa"/>
            <w:vMerge w:val="continue"/>
          </w:tcPr>
          <w:p w14:paraId="028EFD6D"/>
        </w:tc>
      </w:tr>
      <w:tr w14:paraId="5789E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9E27B6">
            <w:pPr>
              <w:pStyle w:val="11"/>
            </w:pPr>
            <w:r>
              <w:t>栏次</w:t>
            </w:r>
          </w:p>
        </w:tc>
        <w:tc>
          <w:tcPr>
            <w:tcW w:w="1191" w:type="dxa"/>
            <w:vAlign w:val="center"/>
          </w:tcPr>
          <w:p w14:paraId="51789124">
            <w:pPr>
              <w:pStyle w:val="11"/>
            </w:pPr>
            <w:r>
              <w:t>1</w:t>
            </w:r>
          </w:p>
        </w:tc>
        <w:tc>
          <w:tcPr>
            <w:tcW w:w="4535" w:type="dxa"/>
            <w:vAlign w:val="center"/>
          </w:tcPr>
          <w:p w14:paraId="39166618">
            <w:pPr>
              <w:pStyle w:val="11"/>
            </w:pPr>
            <w:r>
              <w:t>2</w:t>
            </w:r>
          </w:p>
        </w:tc>
        <w:tc>
          <w:tcPr>
            <w:tcW w:w="2551" w:type="dxa"/>
            <w:vAlign w:val="center"/>
          </w:tcPr>
          <w:p w14:paraId="07D17ADB">
            <w:pPr>
              <w:pStyle w:val="11"/>
            </w:pPr>
            <w:r>
              <w:t>3</w:t>
            </w:r>
          </w:p>
        </w:tc>
        <w:tc>
          <w:tcPr>
            <w:tcW w:w="2551" w:type="dxa"/>
            <w:vAlign w:val="center"/>
          </w:tcPr>
          <w:p w14:paraId="4180D2B3">
            <w:pPr>
              <w:pStyle w:val="11"/>
            </w:pPr>
            <w:r>
              <w:t>4</w:t>
            </w:r>
          </w:p>
        </w:tc>
        <w:tc>
          <w:tcPr>
            <w:tcW w:w="2551" w:type="dxa"/>
            <w:vAlign w:val="center"/>
          </w:tcPr>
          <w:p w14:paraId="72F74061">
            <w:pPr>
              <w:pStyle w:val="11"/>
            </w:pPr>
            <w:r>
              <w:t>5</w:t>
            </w:r>
          </w:p>
        </w:tc>
      </w:tr>
      <w:tr w14:paraId="6EE63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B074E">
            <w:pPr>
              <w:pStyle w:val="12"/>
            </w:pPr>
          </w:p>
        </w:tc>
        <w:tc>
          <w:tcPr>
            <w:tcW w:w="1191" w:type="dxa"/>
            <w:vAlign w:val="center"/>
          </w:tcPr>
          <w:p w14:paraId="49E6B25E">
            <w:pPr>
              <w:pStyle w:val="13"/>
            </w:pPr>
          </w:p>
        </w:tc>
        <w:tc>
          <w:tcPr>
            <w:tcW w:w="4535" w:type="dxa"/>
            <w:vAlign w:val="center"/>
          </w:tcPr>
          <w:p w14:paraId="10F60F33">
            <w:pPr>
              <w:pStyle w:val="13"/>
            </w:pPr>
          </w:p>
        </w:tc>
        <w:tc>
          <w:tcPr>
            <w:tcW w:w="2551" w:type="dxa"/>
            <w:vAlign w:val="center"/>
          </w:tcPr>
          <w:p w14:paraId="453FEB5F">
            <w:pPr>
              <w:pStyle w:val="14"/>
            </w:pPr>
          </w:p>
        </w:tc>
        <w:tc>
          <w:tcPr>
            <w:tcW w:w="2551" w:type="dxa"/>
            <w:vAlign w:val="center"/>
          </w:tcPr>
          <w:p w14:paraId="04CB194F">
            <w:pPr>
              <w:pStyle w:val="14"/>
            </w:pPr>
          </w:p>
        </w:tc>
        <w:tc>
          <w:tcPr>
            <w:tcW w:w="2551" w:type="dxa"/>
            <w:vAlign w:val="center"/>
          </w:tcPr>
          <w:p w14:paraId="1B63084D">
            <w:pPr>
              <w:pStyle w:val="14"/>
            </w:pPr>
          </w:p>
        </w:tc>
      </w:tr>
    </w:tbl>
    <w:p w14:paraId="605D85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1C3A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39E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7E483D">
            <w:pPr>
              <w:pStyle w:val="8"/>
            </w:pPr>
            <w:r>
              <w:t>360015隆尧县职业技术教育中心</w:t>
            </w:r>
          </w:p>
        </w:tc>
        <w:tc>
          <w:tcPr>
            <w:tcW w:w="2551" w:type="dxa"/>
            <w:tcBorders>
              <w:top w:val="single" w:color="FFFFFF" w:sz="6" w:space="0"/>
              <w:left w:val="single" w:color="FFFFFF" w:sz="6" w:space="0"/>
              <w:right w:val="single" w:color="FFFFFF" w:sz="6" w:space="0"/>
            </w:tcBorders>
            <w:vAlign w:val="center"/>
          </w:tcPr>
          <w:p w14:paraId="74D7E36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D0507DE">
            <w:pPr>
              <w:pStyle w:val="10"/>
            </w:pPr>
            <w:r>
              <w:t>单位：万元</w:t>
            </w:r>
          </w:p>
        </w:tc>
      </w:tr>
      <w:tr w14:paraId="6F8FF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77011A">
            <w:pPr>
              <w:pStyle w:val="11"/>
            </w:pPr>
            <w:r>
              <w:t>序号</w:t>
            </w:r>
          </w:p>
        </w:tc>
        <w:tc>
          <w:tcPr>
            <w:tcW w:w="5726" w:type="dxa"/>
            <w:gridSpan w:val="2"/>
            <w:vAlign w:val="center"/>
          </w:tcPr>
          <w:p w14:paraId="69E03D58">
            <w:pPr>
              <w:pStyle w:val="11"/>
            </w:pPr>
            <w:r>
              <w:t>功能分类科目</w:t>
            </w:r>
          </w:p>
        </w:tc>
        <w:tc>
          <w:tcPr>
            <w:tcW w:w="2551" w:type="dxa"/>
            <w:vMerge w:val="restart"/>
            <w:vAlign w:val="center"/>
          </w:tcPr>
          <w:p w14:paraId="348F805C">
            <w:pPr>
              <w:pStyle w:val="11"/>
            </w:pPr>
            <w:r>
              <w:t>合计</w:t>
            </w:r>
          </w:p>
        </w:tc>
        <w:tc>
          <w:tcPr>
            <w:tcW w:w="2551" w:type="dxa"/>
            <w:vMerge w:val="restart"/>
            <w:vAlign w:val="center"/>
          </w:tcPr>
          <w:p w14:paraId="3CB751F8">
            <w:pPr>
              <w:pStyle w:val="11"/>
            </w:pPr>
            <w:r>
              <w:t>基本支出</w:t>
            </w:r>
          </w:p>
        </w:tc>
        <w:tc>
          <w:tcPr>
            <w:tcW w:w="2551" w:type="dxa"/>
            <w:vMerge w:val="restart"/>
            <w:vAlign w:val="center"/>
          </w:tcPr>
          <w:p w14:paraId="21839678">
            <w:pPr>
              <w:pStyle w:val="11"/>
            </w:pPr>
            <w:r>
              <w:t>项目支出</w:t>
            </w:r>
          </w:p>
        </w:tc>
      </w:tr>
      <w:tr w14:paraId="49E2C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68F18B"/>
        </w:tc>
        <w:tc>
          <w:tcPr>
            <w:tcW w:w="1191" w:type="dxa"/>
            <w:vAlign w:val="center"/>
          </w:tcPr>
          <w:p w14:paraId="61276929">
            <w:pPr>
              <w:pStyle w:val="11"/>
            </w:pPr>
            <w:r>
              <w:t>科目编码</w:t>
            </w:r>
          </w:p>
        </w:tc>
        <w:tc>
          <w:tcPr>
            <w:tcW w:w="4535" w:type="dxa"/>
            <w:vAlign w:val="center"/>
          </w:tcPr>
          <w:p w14:paraId="2F0C8212">
            <w:pPr>
              <w:pStyle w:val="11"/>
            </w:pPr>
            <w:r>
              <w:t>科目名称</w:t>
            </w:r>
          </w:p>
        </w:tc>
        <w:tc>
          <w:tcPr>
            <w:tcW w:w="2551" w:type="dxa"/>
            <w:vMerge w:val="continue"/>
          </w:tcPr>
          <w:p w14:paraId="1EF5E8F6"/>
        </w:tc>
        <w:tc>
          <w:tcPr>
            <w:tcW w:w="2551" w:type="dxa"/>
            <w:vMerge w:val="continue"/>
          </w:tcPr>
          <w:p w14:paraId="75CD31AA"/>
        </w:tc>
        <w:tc>
          <w:tcPr>
            <w:tcW w:w="2551" w:type="dxa"/>
            <w:vMerge w:val="continue"/>
          </w:tcPr>
          <w:p w14:paraId="7591D56A"/>
        </w:tc>
      </w:tr>
      <w:tr w14:paraId="0A784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B27B5">
            <w:pPr>
              <w:pStyle w:val="11"/>
            </w:pPr>
            <w:r>
              <w:t>栏次</w:t>
            </w:r>
          </w:p>
        </w:tc>
        <w:tc>
          <w:tcPr>
            <w:tcW w:w="1191" w:type="dxa"/>
            <w:vAlign w:val="center"/>
          </w:tcPr>
          <w:p w14:paraId="50EFC5D3">
            <w:pPr>
              <w:pStyle w:val="11"/>
            </w:pPr>
            <w:r>
              <w:t>1</w:t>
            </w:r>
          </w:p>
        </w:tc>
        <w:tc>
          <w:tcPr>
            <w:tcW w:w="4535" w:type="dxa"/>
            <w:vAlign w:val="center"/>
          </w:tcPr>
          <w:p w14:paraId="3E44FCE4">
            <w:pPr>
              <w:pStyle w:val="11"/>
            </w:pPr>
            <w:r>
              <w:t>2</w:t>
            </w:r>
          </w:p>
        </w:tc>
        <w:tc>
          <w:tcPr>
            <w:tcW w:w="2551" w:type="dxa"/>
            <w:vAlign w:val="center"/>
          </w:tcPr>
          <w:p w14:paraId="5AB454E5">
            <w:pPr>
              <w:pStyle w:val="11"/>
            </w:pPr>
            <w:r>
              <w:t>3</w:t>
            </w:r>
          </w:p>
        </w:tc>
        <w:tc>
          <w:tcPr>
            <w:tcW w:w="2551" w:type="dxa"/>
            <w:vAlign w:val="center"/>
          </w:tcPr>
          <w:p w14:paraId="7B2899FC">
            <w:pPr>
              <w:pStyle w:val="11"/>
            </w:pPr>
            <w:r>
              <w:t>4</w:t>
            </w:r>
          </w:p>
        </w:tc>
        <w:tc>
          <w:tcPr>
            <w:tcW w:w="2551" w:type="dxa"/>
            <w:vAlign w:val="center"/>
          </w:tcPr>
          <w:p w14:paraId="7636EF2A">
            <w:pPr>
              <w:pStyle w:val="11"/>
            </w:pPr>
            <w:r>
              <w:t>5</w:t>
            </w:r>
          </w:p>
        </w:tc>
      </w:tr>
      <w:tr w14:paraId="7AF4F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9C868">
            <w:pPr>
              <w:pStyle w:val="12"/>
            </w:pPr>
          </w:p>
        </w:tc>
        <w:tc>
          <w:tcPr>
            <w:tcW w:w="1191" w:type="dxa"/>
            <w:vAlign w:val="center"/>
          </w:tcPr>
          <w:p w14:paraId="4AAEDD2E">
            <w:pPr>
              <w:pStyle w:val="13"/>
            </w:pPr>
          </w:p>
        </w:tc>
        <w:tc>
          <w:tcPr>
            <w:tcW w:w="4535" w:type="dxa"/>
            <w:vAlign w:val="center"/>
          </w:tcPr>
          <w:p w14:paraId="55D4C31C">
            <w:pPr>
              <w:pStyle w:val="13"/>
            </w:pPr>
          </w:p>
        </w:tc>
        <w:tc>
          <w:tcPr>
            <w:tcW w:w="2551" w:type="dxa"/>
            <w:vAlign w:val="center"/>
          </w:tcPr>
          <w:p w14:paraId="57C75042">
            <w:pPr>
              <w:pStyle w:val="14"/>
            </w:pPr>
          </w:p>
        </w:tc>
        <w:tc>
          <w:tcPr>
            <w:tcW w:w="2551" w:type="dxa"/>
            <w:vAlign w:val="center"/>
          </w:tcPr>
          <w:p w14:paraId="7C0A452E">
            <w:pPr>
              <w:pStyle w:val="14"/>
            </w:pPr>
          </w:p>
        </w:tc>
        <w:tc>
          <w:tcPr>
            <w:tcW w:w="2551" w:type="dxa"/>
            <w:vAlign w:val="center"/>
          </w:tcPr>
          <w:p w14:paraId="34A0AC17">
            <w:pPr>
              <w:pStyle w:val="14"/>
            </w:pPr>
          </w:p>
        </w:tc>
      </w:tr>
    </w:tbl>
    <w:p w14:paraId="509B96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937D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764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88E2CF">
            <w:pPr>
              <w:pStyle w:val="8"/>
            </w:pPr>
            <w:r>
              <w:t>360015隆尧县职业技术教育中心</w:t>
            </w:r>
          </w:p>
        </w:tc>
        <w:tc>
          <w:tcPr>
            <w:tcW w:w="2381" w:type="dxa"/>
            <w:tcBorders>
              <w:top w:val="single" w:color="FFFFFF" w:sz="6" w:space="0"/>
              <w:left w:val="single" w:color="FFFFFF" w:sz="6" w:space="0"/>
              <w:right w:val="single" w:color="FFFFFF" w:sz="6" w:space="0"/>
            </w:tcBorders>
            <w:vAlign w:val="center"/>
          </w:tcPr>
          <w:p w14:paraId="0C5F1C6A">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82F5BE9">
            <w:pPr>
              <w:pStyle w:val="10"/>
            </w:pPr>
            <w:r>
              <w:t>单位：万元</w:t>
            </w:r>
          </w:p>
        </w:tc>
      </w:tr>
      <w:tr w14:paraId="4EEFB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A61D5C">
            <w:pPr>
              <w:pStyle w:val="11"/>
            </w:pPr>
            <w:r>
              <w:t>序号</w:t>
            </w:r>
          </w:p>
        </w:tc>
        <w:tc>
          <w:tcPr>
            <w:tcW w:w="3798" w:type="dxa"/>
            <w:vMerge w:val="restart"/>
            <w:vAlign w:val="center"/>
          </w:tcPr>
          <w:p w14:paraId="37D1C2DA">
            <w:pPr>
              <w:pStyle w:val="11"/>
            </w:pPr>
            <w:r>
              <w:t>项  目</w:t>
            </w:r>
          </w:p>
        </w:tc>
        <w:tc>
          <w:tcPr>
            <w:tcW w:w="9524" w:type="dxa"/>
            <w:gridSpan w:val="4"/>
            <w:vAlign w:val="center"/>
          </w:tcPr>
          <w:p w14:paraId="42457A4E">
            <w:pPr>
              <w:pStyle w:val="11"/>
            </w:pPr>
            <w:r>
              <w:t>资 金 性 质</w:t>
            </w:r>
          </w:p>
        </w:tc>
      </w:tr>
      <w:tr w14:paraId="3E7F6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D575C8"/>
        </w:tc>
        <w:tc>
          <w:tcPr>
            <w:tcW w:w="3798" w:type="dxa"/>
            <w:vMerge w:val="continue"/>
          </w:tcPr>
          <w:p w14:paraId="78B58A28"/>
        </w:tc>
        <w:tc>
          <w:tcPr>
            <w:tcW w:w="2381" w:type="dxa"/>
            <w:vAlign w:val="center"/>
          </w:tcPr>
          <w:p w14:paraId="284BD3A5">
            <w:pPr>
              <w:pStyle w:val="11"/>
            </w:pPr>
            <w:r>
              <w:t>合计</w:t>
            </w:r>
          </w:p>
        </w:tc>
        <w:tc>
          <w:tcPr>
            <w:tcW w:w="2381" w:type="dxa"/>
            <w:vAlign w:val="center"/>
          </w:tcPr>
          <w:p w14:paraId="7D8B41AC">
            <w:pPr>
              <w:pStyle w:val="11"/>
            </w:pPr>
            <w:r>
              <w:t>一般公共预算              财政拨款</w:t>
            </w:r>
          </w:p>
        </w:tc>
        <w:tc>
          <w:tcPr>
            <w:tcW w:w="2381" w:type="dxa"/>
            <w:vAlign w:val="center"/>
          </w:tcPr>
          <w:p w14:paraId="5741DAE4">
            <w:pPr>
              <w:pStyle w:val="11"/>
            </w:pPr>
            <w:r>
              <w:t>政府性基金                  预算拨款</w:t>
            </w:r>
          </w:p>
        </w:tc>
        <w:tc>
          <w:tcPr>
            <w:tcW w:w="2381" w:type="dxa"/>
            <w:vAlign w:val="center"/>
          </w:tcPr>
          <w:p w14:paraId="7942018B">
            <w:pPr>
              <w:pStyle w:val="11"/>
            </w:pPr>
            <w:r>
              <w:t>国有资本经营              预算财政拨款</w:t>
            </w:r>
          </w:p>
        </w:tc>
      </w:tr>
      <w:tr w14:paraId="66468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C2AC26">
            <w:pPr>
              <w:pStyle w:val="11"/>
            </w:pPr>
            <w:r>
              <w:t>栏次</w:t>
            </w:r>
          </w:p>
        </w:tc>
        <w:tc>
          <w:tcPr>
            <w:tcW w:w="3798" w:type="dxa"/>
            <w:vAlign w:val="center"/>
          </w:tcPr>
          <w:p w14:paraId="270084D9">
            <w:pPr>
              <w:pStyle w:val="11"/>
            </w:pPr>
            <w:r>
              <w:t>1</w:t>
            </w:r>
          </w:p>
        </w:tc>
        <w:tc>
          <w:tcPr>
            <w:tcW w:w="2381" w:type="dxa"/>
            <w:vAlign w:val="center"/>
          </w:tcPr>
          <w:p w14:paraId="44B65EE1">
            <w:pPr>
              <w:pStyle w:val="11"/>
            </w:pPr>
            <w:r>
              <w:t>2</w:t>
            </w:r>
          </w:p>
        </w:tc>
        <w:tc>
          <w:tcPr>
            <w:tcW w:w="2381" w:type="dxa"/>
            <w:vAlign w:val="center"/>
          </w:tcPr>
          <w:p w14:paraId="6144D078">
            <w:pPr>
              <w:pStyle w:val="11"/>
            </w:pPr>
            <w:r>
              <w:t>3</w:t>
            </w:r>
          </w:p>
        </w:tc>
        <w:tc>
          <w:tcPr>
            <w:tcW w:w="2381" w:type="dxa"/>
            <w:vAlign w:val="center"/>
          </w:tcPr>
          <w:p w14:paraId="1FA0CCD7">
            <w:pPr>
              <w:pStyle w:val="11"/>
            </w:pPr>
            <w:r>
              <w:t>4</w:t>
            </w:r>
          </w:p>
        </w:tc>
        <w:tc>
          <w:tcPr>
            <w:tcW w:w="2381" w:type="dxa"/>
            <w:vAlign w:val="center"/>
          </w:tcPr>
          <w:p w14:paraId="2D420580">
            <w:pPr>
              <w:pStyle w:val="11"/>
            </w:pPr>
            <w:r>
              <w:t>5</w:t>
            </w:r>
          </w:p>
        </w:tc>
      </w:tr>
      <w:tr w14:paraId="34752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810A57">
            <w:pPr>
              <w:pStyle w:val="12"/>
            </w:pPr>
          </w:p>
        </w:tc>
        <w:tc>
          <w:tcPr>
            <w:tcW w:w="3798" w:type="dxa"/>
            <w:vAlign w:val="center"/>
          </w:tcPr>
          <w:p w14:paraId="53356B90">
            <w:pPr>
              <w:pStyle w:val="13"/>
            </w:pPr>
          </w:p>
        </w:tc>
        <w:tc>
          <w:tcPr>
            <w:tcW w:w="2381" w:type="dxa"/>
            <w:vAlign w:val="center"/>
          </w:tcPr>
          <w:p w14:paraId="7DF157DE">
            <w:pPr>
              <w:pStyle w:val="14"/>
            </w:pPr>
          </w:p>
        </w:tc>
        <w:tc>
          <w:tcPr>
            <w:tcW w:w="2381" w:type="dxa"/>
            <w:vAlign w:val="center"/>
          </w:tcPr>
          <w:p w14:paraId="401B84EA">
            <w:pPr>
              <w:pStyle w:val="14"/>
            </w:pPr>
          </w:p>
        </w:tc>
        <w:tc>
          <w:tcPr>
            <w:tcW w:w="2381" w:type="dxa"/>
            <w:vAlign w:val="center"/>
          </w:tcPr>
          <w:p w14:paraId="4FE2CE58">
            <w:pPr>
              <w:pStyle w:val="14"/>
            </w:pPr>
          </w:p>
        </w:tc>
        <w:tc>
          <w:tcPr>
            <w:tcW w:w="2381" w:type="dxa"/>
            <w:vAlign w:val="center"/>
          </w:tcPr>
          <w:p w14:paraId="0EB63B5C">
            <w:pPr>
              <w:pStyle w:val="14"/>
            </w:pPr>
          </w:p>
        </w:tc>
      </w:tr>
    </w:tbl>
    <w:p w14:paraId="65D061F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139953">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隆尧县职业技术教育中心2025年单位预算信息公开情况说明</w:t>
      </w:r>
    </w:p>
    <w:p w14:paraId="34CE8BB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按照《中华人民共和国预算法》、《地方预决算公开操作规程》和《关于进一步推进预算公开工作的实施意见》规定，现将隆尧县职业技术教育中心2025年单位预算公开如下：</w:t>
      </w:r>
    </w:p>
    <w:p w14:paraId="003860EB">
      <w:pPr>
        <w:spacing w:before="10" w:after="10" w:line="240" w:lineRule="auto"/>
        <w:ind w:firstLine="640"/>
        <w:jc w:val="left"/>
        <w:outlineLvl w:val="5"/>
      </w:pPr>
      <w:r>
        <w:rPr>
          <w:rFonts w:ascii="黑体" w:hAnsi="黑体" w:eastAsia="黑体" w:cs="黑体"/>
          <w:color w:val="000000"/>
          <w:sz w:val="32"/>
        </w:rPr>
        <w:t>一、单位职责及机构设置情况</w:t>
      </w:r>
    </w:p>
    <w:p w14:paraId="0841B6A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05C1B06">
      <w:pPr>
        <w:pStyle w:val="18"/>
      </w:pPr>
      <w:r>
        <w:t>贯彻落实基础教育的方针、政策，开展小学阶段教育教学工作，促进学生德、智、体、美、劳全面发展；负责学生安全教育和管理，确保学生身心健康；加强教师队伍建设和管理，为教育教学工作提供保障。</w:t>
      </w:r>
    </w:p>
    <w:p w14:paraId="3CDC4171">
      <w:pPr>
        <w:pStyle w:val="18"/>
      </w:pPr>
      <w:r>
        <w:t>隆尧县实验小学事业编制140名．其中，校长1名（正股级），副校长3名（副股级）；经费形式为财政性资金基本保证。</w:t>
      </w:r>
    </w:p>
    <w:p w14:paraId="291176D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257B6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CDD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C24CD4">
            <w:pPr>
              <w:pStyle w:val="11"/>
            </w:pPr>
            <w:r>
              <w:t>单位名称</w:t>
            </w:r>
          </w:p>
        </w:tc>
        <w:tc>
          <w:tcPr>
            <w:tcW w:w="1843" w:type="dxa"/>
            <w:vAlign w:val="center"/>
          </w:tcPr>
          <w:p w14:paraId="1EFC841F">
            <w:pPr>
              <w:pStyle w:val="11"/>
            </w:pPr>
            <w:r>
              <w:t>单位性质</w:t>
            </w:r>
          </w:p>
        </w:tc>
        <w:tc>
          <w:tcPr>
            <w:tcW w:w="2126" w:type="dxa"/>
            <w:vAlign w:val="center"/>
          </w:tcPr>
          <w:p w14:paraId="165365B3">
            <w:pPr>
              <w:pStyle w:val="11"/>
            </w:pPr>
            <w:r>
              <w:t>单位规格</w:t>
            </w:r>
          </w:p>
        </w:tc>
        <w:tc>
          <w:tcPr>
            <w:tcW w:w="3827" w:type="dxa"/>
            <w:vAlign w:val="center"/>
          </w:tcPr>
          <w:p w14:paraId="25C1CB90">
            <w:pPr>
              <w:pStyle w:val="11"/>
            </w:pPr>
            <w:r>
              <w:t>经费保障形式</w:t>
            </w:r>
          </w:p>
        </w:tc>
      </w:tr>
      <w:tr w14:paraId="2BE77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9F19FB1">
            <w:pPr>
              <w:pStyle w:val="13"/>
            </w:pPr>
            <w:r>
              <w:t>隆尧县职业技术教育中心</w:t>
            </w:r>
          </w:p>
        </w:tc>
        <w:tc>
          <w:tcPr>
            <w:tcW w:w="1843" w:type="dxa"/>
            <w:vAlign w:val="center"/>
          </w:tcPr>
          <w:p w14:paraId="668D337B">
            <w:pPr>
              <w:pStyle w:val="12"/>
            </w:pPr>
            <w:r>
              <w:t>事业</w:t>
            </w:r>
          </w:p>
        </w:tc>
        <w:tc>
          <w:tcPr>
            <w:tcW w:w="2126" w:type="dxa"/>
            <w:vAlign w:val="center"/>
          </w:tcPr>
          <w:p w14:paraId="1B1A5B31">
            <w:pPr>
              <w:pStyle w:val="12"/>
            </w:pPr>
            <w:r>
              <w:t>正科级</w:t>
            </w:r>
          </w:p>
        </w:tc>
        <w:tc>
          <w:tcPr>
            <w:tcW w:w="3827" w:type="dxa"/>
            <w:vAlign w:val="center"/>
          </w:tcPr>
          <w:p w14:paraId="207AC432">
            <w:pPr>
              <w:pStyle w:val="12"/>
            </w:pPr>
            <w:r>
              <w:t>财政性资金基本保证</w:t>
            </w:r>
          </w:p>
        </w:tc>
      </w:tr>
    </w:tbl>
    <w:p w14:paraId="0C09D769">
      <w:pPr>
        <w:spacing w:before="10" w:after="10" w:line="240" w:lineRule="auto"/>
        <w:ind w:firstLine="640"/>
        <w:jc w:val="left"/>
        <w:outlineLvl w:val="5"/>
      </w:pPr>
      <w:r>
        <w:rPr>
          <w:rFonts w:ascii="黑体" w:hAnsi="黑体" w:eastAsia="黑体" w:cs="黑体"/>
          <w:color w:val="000000"/>
          <w:sz w:val="32"/>
        </w:rPr>
        <w:t>二、单位预算安排的总体情况</w:t>
      </w:r>
    </w:p>
    <w:p w14:paraId="070FFC70">
      <w:pPr>
        <w:pStyle w:val="19"/>
      </w:pPr>
      <w:r>
        <w:t>按照预算管理有关规定，单位预算的编制实行综合预算管理，即全部收入和支出都反映的预算中。隆尧县职业技术教育中心的收支包含在单位预算中。</w:t>
      </w:r>
    </w:p>
    <w:p w14:paraId="64552BCE">
      <w:pPr>
        <w:pStyle w:val="19"/>
      </w:pPr>
      <w:r>
        <w:t>1、收入说明</w:t>
      </w:r>
    </w:p>
    <w:p w14:paraId="6AB1A172">
      <w:pPr>
        <w:pStyle w:val="19"/>
      </w:pPr>
      <w:r>
        <w:t>反映本单位当年全部收入。2025年预算收入3707.95万元，其中：一般公共预算收入3482.02万元，上年结转63.93万元，基金预算收入0万元，财政专户收入162万元，其他来源收入0万元。</w:t>
      </w:r>
    </w:p>
    <w:p w14:paraId="276F80AC">
      <w:pPr>
        <w:pStyle w:val="19"/>
      </w:pPr>
      <w:r>
        <w:t>2、支出说明</w:t>
      </w:r>
    </w:p>
    <w:p w14:paraId="5ACA25BF">
      <w:pPr>
        <w:pStyle w:val="19"/>
      </w:pPr>
      <w:r>
        <w:t>收支预算总表支出栏、基本支出表、项目支出表按经济分类和支出功能分类科目编制，反映我单位预算中支出预算的总体情况。2025年单位支出预算为3707.95万元，其中基本支出2729.58万元:包括人员经费2729.58万元，项目支出816.37万元。财政专户资金162万元.</w:t>
      </w:r>
    </w:p>
    <w:p w14:paraId="4230D8B6">
      <w:pPr>
        <w:pStyle w:val="19"/>
      </w:pPr>
      <w:r>
        <w:t>3、比上年增减情况</w:t>
      </w:r>
    </w:p>
    <w:p w14:paraId="34F33A49">
      <w:pPr>
        <w:pStyle w:val="19"/>
      </w:pPr>
      <w:r>
        <w:t>2025年部门预算收支安排3707.95万元，较2024年减少4.6万元，其中项目支出减少4.6万元主要是根据政府要求各单位落实过紧日子的要求，压减了项目支出。</w:t>
      </w:r>
    </w:p>
    <w:p w14:paraId="64FFCB87">
      <w:pPr>
        <w:spacing w:before="10" w:after="10" w:line="240" w:lineRule="auto"/>
        <w:ind w:firstLine="640"/>
        <w:jc w:val="left"/>
        <w:outlineLvl w:val="5"/>
      </w:pPr>
      <w:r>
        <w:rPr>
          <w:rFonts w:ascii="黑体" w:hAnsi="黑体" w:eastAsia="黑体" w:cs="黑体"/>
          <w:color w:val="000000"/>
          <w:sz w:val="32"/>
        </w:rPr>
        <w:t>三、机关运行经费安排情况</w:t>
      </w:r>
    </w:p>
    <w:p w14:paraId="3ED719BD">
      <w:pPr>
        <w:pStyle w:val="20"/>
      </w:pPr>
      <w:r>
        <w:t>我单按照学生安排公用经费，无机关运行经费。</w:t>
      </w:r>
    </w:p>
    <w:p w14:paraId="33DB206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C179CEC">
      <w:pPr>
        <w:pStyle w:val="21"/>
      </w:pPr>
      <w:r>
        <w:t>财政拨款“三公”经费预算情况及增减变化原因</w:t>
      </w:r>
    </w:p>
    <w:p w14:paraId="74A68AE6">
      <w:pPr>
        <w:pStyle w:val="21"/>
      </w:pPr>
      <w:r>
        <w:t>2025年，我单位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14:paraId="66DA965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BD6335">
      <w:pPr>
        <w:spacing w:before="0" w:after="0"/>
        <w:ind w:firstLine="560"/>
        <w:jc w:val="left"/>
        <w:outlineLvl w:val="9"/>
      </w:pPr>
      <w:r>
        <w:rPr>
          <w:rFonts w:ascii="方正仿宋_GBK" w:hAnsi="方正仿宋_GBK" w:eastAsia="方正仿宋_GBK" w:cs="方正仿宋_GBK"/>
          <w:b/>
          <w:color w:val="000000"/>
          <w:sz w:val="28"/>
        </w:rPr>
        <w:t>1、冀财教[2023]126号/省级/2024年现代职业教育质量提升计划/隆尧县职教中心工业机器人实训室一期建设</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67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5F528">
            <w:pPr>
              <w:pStyle w:val="14"/>
            </w:pPr>
            <w:r>
              <w:t>单位：万元</w:t>
            </w:r>
          </w:p>
        </w:tc>
      </w:tr>
      <w:tr w14:paraId="51355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DB96B">
            <w:pPr>
              <w:pStyle w:val="11"/>
            </w:pPr>
            <w:r>
              <w:t>项目编码</w:t>
            </w:r>
          </w:p>
        </w:tc>
        <w:tc>
          <w:tcPr>
            <w:tcW w:w="5103" w:type="dxa"/>
            <w:gridSpan w:val="2"/>
            <w:vAlign w:val="center"/>
          </w:tcPr>
          <w:p w14:paraId="7326C3FD">
            <w:pPr>
              <w:pStyle w:val="13"/>
            </w:pPr>
            <w:r>
              <w:t>13052524P00000611015X</w:t>
            </w:r>
          </w:p>
        </w:tc>
        <w:tc>
          <w:tcPr>
            <w:tcW w:w="2835" w:type="dxa"/>
            <w:vAlign w:val="center"/>
          </w:tcPr>
          <w:p w14:paraId="5FC0268E">
            <w:pPr>
              <w:pStyle w:val="11"/>
            </w:pPr>
            <w:r>
              <w:t>项目名称</w:t>
            </w:r>
          </w:p>
        </w:tc>
        <w:tc>
          <w:tcPr>
            <w:tcW w:w="6095" w:type="dxa"/>
            <w:gridSpan w:val="3"/>
            <w:vAlign w:val="center"/>
          </w:tcPr>
          <w:p w14:paraId="07141647">
            <w:pPr>
              <w:pStyle w:val="13"/>
            </w:pPr>
            <w:r>
              <w:t>冀财教[2023]126号/省级/2024年现代职业教育质量提升计划/隆尧县职教中心工业机器人实训室一期建设</w:t>
            </w:r>
            <w:r>
              <w:tab/>
            </w:r>
            <w:r>
              <w:tab/>
            </w:r>
          </w:p>
        </w:tc>
      </w:tr>
      <w:tr w14:paraId="18B11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8B911">
            <w:pPr>
              <w:pStyle w:val="11"/>
            </w:pPr>
            <w:r>
              <w:t>预算规模及资金用途</w:t>
            </w:r>
          </w:p>
        </w:tc>
        <w:tc>
          <w:tcPr>
            <w:tcW w:w="2268" w:type="dxa"/>
            <w:vAlign w:val="center"/>
          </w:tcPr>
          <w:p w14:paraId="24980C68">
            <w:pPr>
              <w:pStyle w:val="11"/>
            </w:pPr>
            <w:r>
              <w:t>预算数</w:t>
            </w:r>
          </w:p>
        </w:tc>
        <w:tc>
          <w:tcPr>
            <w:tcW w:w="2835" w:type="dxa"/>
            <w:vAlign w:val="center"/>
          </w:tcPr>
          <w:p w14:paraId="5D1D141E">
            <w:pPr>
              <w:pStyle w:val="13"/>
            </w:pPr>
            <w:r>
              <w:t>54.00</w:t>
            </w:r>
          </w:p>
        </w:tc>
        <w:tc>
          <w:tcPr>
            <w:tcW w:w="2835" w:type="dxa"/>
            <w:vAlign w:val="center"/>
          </w:tcPr>
          <w:p w14:paraId="58E14039">
            <w:pPr>
              <w:pStyle w:val="11"/>
            </w:pPr>
            <w:r>
              <w:t>其中：财政    资金</w:t>
            </w:r>
          </w:p>
        </w:tc>
        <w:tc>
          <w:tcPr>
            <w:tcW w:w="2551" w:type="dxa"/>
            <w:vAlign w:val="center"/>
          </w:tcPr>
          <w:p w14:paraId="7A3C03DF">
            <w:pPr>
              <w:pStyle w:val="13"/>
            </w:pPr>
            <w:r>
              <w:t>54.00</w:t>
            </w:r>
          </w:p>
        </w:tc>
        <w:tc>
          <w:tcPr>
            <w:tcW w:w="2268" w:type="dxa"/>
            <w:vAlign w:val="center"/>
          </w:tcPr>
          <w:p w14:paraId="06A7F991">
            <w:pPr>
              <w:pStyle w:val="11"/>
            </w:pPr>
            <w:r>
              <w:t>其他资金</w:t>
            </w:r>
          </w:p>
        </w:tc>
        <w:tc>
          <w:tcPr>
            <w:tcW w:w="1276" w:type="dxa"/>
            <w:vAlign w:val="center"/>
          </w:tcPr>
          <w:p w14:paraId="313D94FA">
            <w:pPr>
              <w:pStyle w:val="13"/>
            </w:pPr>
            <w:r>
              <w:t xml:space="preserve"> </w:t>
            </w:r>
          </w:p>
        </w:tc>
      </w:tr>
      <w:tr w14:paraId="499C7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6E173"/>
        </w:tc>
        <w:tc>
          <w:tcPr>
            <w:tcW w:w="14033" w:type="dxa"/>
            <w:gridSpan w:val="6"/>
            <w:vAlign w:val="center"/>
          </w:tcPr>
          <w:p w14:paraId="6B19567F">
            <w:pPr>
              <w:pStyle w:val="13"/>
            </w:pPr>
            <w:r>
              <w:t>中央质量提升安排资金54万元用于工业机器人实训室一期建设，改善实训环境，提升教学质量。</w:t>
            </w:r>
          </w:p>
        </w:tc>
      </w:tr>
      <w:tr w14:paraId="4B4CE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9DC24">
            <w:pPr>
              <w:pStyle w:val="11"/>
            </w:pPr>
            <w:r>
              <w:t>资金支出计划（%）</w:t>
            </w:r>
          </w:p>
        </w:tc>
        <w:tc>
          <w:tcPr>
            <w:tcW w:w="5103" w:type="dxa"/>
            <w:gridSpan w:val="2"/>
            <w:vAlign w:val="center"/>
          </w:tcPr>
          <w:p w14:paraId="1E8ED2BD">
            <w:pPr>
              <w:pStyle w:val="11"/>
            </w:pPr>
            <w:r>
              <w:t>3月底</w:t>
            </w:r>
          </w:p>
        </w:tc>
        <w:tc>
          <w:tcPr>
            <w:tcW w:w="2835" w:type="dxa"/>
            <w:vAlign w:val="center"/>
          </w:tcPr>
          <w:p w14:paraId="1DCC9066">
            <w:pPr>
              <w:pStyle w:val="11"/>
            </w:pPr>
            <w:r>
              <w:t>6月底</w:t>
            </w:r>
          </w:p>
        </w:tc>
        <w:tc>
          <w:tcPr>
            <w:tcW w:w="2551" w:type="dxa"/>
            <w:vAlign w:val="center"/>
          </w:tcPr>
          <w:p w14:paraId="480E870D">
            <w:pPr>
              <w:pStyle w:val="11"/>
            </w:pPr>
            <w:r>
              <w:t>10月底</w:t>
            </w:r>
          </w:p>
        </w:tc>
        <w:tc>
          <w:tcPr>
            <w:tcW w:w="3544" w:type="dxa"/>
            <w:gridSpan w:val="2"/>
            <w:vAlign w:val="center"/>
          </w:tcPr>
          <w:p w14:paraId="3DEF2AAD">
            <w:pPr>
              <w:pStyle w:val="11"/>
            </w:pPr>
            <w:r>
              <w:t>12月底</w:t>
            </w:r>
          </w:p>
        </w:tc>
      </w:tr>
      <w:tr w14:paraId="660A2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8D22D"/>
        </w:tc>
        <w:tc>
          <w:tcPr>
            <w:tcW w:w="5103" w:type="dxa"/>
            <w:gridSpan w:val="2"/>
            <w:vAlign w:val="center"/>
          </w:tcPr>
          <w:p w14:paraId="03E3628A">
            <w:pPr>
              <w:pStyle w:val="12"/>
            </w:pPr>
            <w:r>
              <w:t xml:space="preserve"> </w:t>
            </w:r>
          </w:p>
        </w:tc>
        <w:tc>
          <w:tcPr>
            <w:tcW w:w="2835" w:type="dxa"/>
            <w:vAlign w:val="center"/>
          </w:tcPr>
          <w:p w14:paraId="6ECBF4FA">
            <w:pPr>
              <w:pStyle w:val="12"/>
            </w:pPr>
            <w:r>
              <w:t>100%</w:t>
            </w:r>
          </w:p>
        </w:tc>
        <w:tc>
          <w:tcPr>
            <w:tcW w:w="2551" w:type="dxa"/>
            <w:vAlign w:val="center"/>
          </w:tcPr>
          <w:p w14:paraId="7B38D02A">
            <w:pPr>
              <w:pStyle w:val="12"/>
            </w:pPr>
            <w:r>
              <w:t>100%</w:t>
            </w:r>
          </w:p>
        </w:tc>
        <w:tc>
          <w:tcPr>
            <w:tcW w:w="3544" w:type="dxa"/>
            <w:gridSpan w:val="2"/>
            <w:vAlign w:val="center"/>
          </w:tcPr>
          <w:p w14:paraId="6C531169">
            <w:pPr>
              <w:pStyle w:val="12"/>
            </w:pPr>
            <w:r>
              <w:t>100%</w:t>
            </w:r>
          </w:p>
        </w:tc>
      </w:tr>
      <w:tr w14:paraId="12C44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89D4B">
            <w:pPr>
              <w:pStyle w:val="11"/>
            </w:pPr>
            <w:r>
              <w:t>绩效目标</w:t>
            </w:r>
          </w:p>
        </w:tc>
        <w:tc>
          <w:tcPr>
            <w:tcW w:w="14033" w:type="dxa"/>
            <w:gridSpan w:val="6"/>
            <w:vAlign w:val="center"/>
          </w:tcPr>
          <w:p w14:paraId="244FEFA7">
            <w:pPr>
              <w:pStyle w:val="13"/>
            </w:pPr>
            <w:r>
              <w:t>1.中央质量提升安排资金54万元用于工业机器人实训室一期建设，改善实训环境，提升教学质量</w:t>
            </w:r>
          </w:p>
        </w:tc>
      </w:tr>
    </w:tbl>
    <w:p w14:paraId="3BD6E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88"/>
        <w:gridCol w:w="2156"/>
      </w:tblGrid>
      <w:tr w14:paraId="77752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53170">
            <w:pPr>
              <w:pStyle w:val="11"/>
            </w:pPr>
            <w:r>
              <w:t>一级指标</w:t>
            </w:r>
          </w:p>
        </w:tc>
        <w:tc>
          <w:tcPr>
            <w:tcW w:w="2268" w:type="dxa"/>
            <w:vAlign w:val="center"/>
          </w:tcPr>
          <w:p w14:paraId="6D6E9618">
            <w:pPr>
              <w:pStyle w:val="11"/>
            </w:pPr>
            <w:r>
              <w:t>二级指标</w:t>
            </w:r>
          </w:p>
        </w:tc>
        <w:tc>
          <w:tcPr>
            <w:tcW w:w="2835" w:type="dxa"/>
            <w:vAlign w:val="center"/>
          </w:tcPr>
          <w:p w14:paraId="291CEC3F">
            <w:pPr>
              <w:pStyle w:val="11"/>
            </w:pPr>
            <w:r>
              <w:t>三级指标</w:t>
            </w:r>
          </w:p>
        </w:tc>
        <w:tc>
          <w:tcPr>
            <w:tcW w:w="5386" w:type="dxa"/>
            <w:vAlign w:val="center"/>
          </w:tcPr>
          <w:p w14:paraId="2E3533D8">
            <w:pPr>
              <w:pStyle w:val="11"/>
            </w:pPr>
            <w:r>
              <w:t>绩效指标描述</w:t>
            </w:r>
          </w:p>
        </w:tc>
        <w:tc>
          <w:tcPr>
            <w:tcW w:w="1388" w:type="dxa"/>
            <w:vAlign w:val="center"/>
          </w:tcPr>
          <w:p w14:paraId="487C14B3">
            <w:pPr>
              <w:pStyle w:val="11"/>
            </w:pPr>
            <w:r>
              <w:t>指标值</w:t>
            </w:r>
          </w:p>
        </w:tc>
        <w:tc>
          <w:tcPr>
            <w:tcW w:w="2156" w:type="dxa"/>
            <w:vAlign w:val="center"/>
          </w:tcPr>
          <w:p w14:paraId="7BD2CCFC">
            <w:pPr>
              <w:pStyle w:val="11"/>
            </w:pPr>
            <w:r>
              <w:t>指标值确定依据</w:t>
            </w:r>
          </w:p>
        </w:tc>
      </w:tr>
      <w:tr w14:paraId="237AA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23189">
            <w:pPr>
              <w:pStyle w:val="12"/>
            </w:pPr>
            <w:r>
              <w:t>产出指标</w:t>
            </w:r>
          </w:p>
        </w:tc>
        <w:tc>
          <w:tcPr>
            <w:tcW w:w="2268" w:type="dxa"/>
            <w:vAlign w:val="center"/>
          </w:tcPr>
          <w:p w14:paraId="4041644A">
            <w:pPr>
              <w:pStyle w:val="13"/>
            </w:pPr>
            <w:r>
              <w:t>数量指标</w:t>
            </w:r>
          </w:p>
        </w:tc>
        <w:tc>
          <w:tcPr>
            <w:tcW w:w="2835" w:type="dxa"/>
            <w:vAlign w:val="center"/>
          </w:tcPr>
          <w:p w14:paraId="236A98D4">
            <w:pPr>
              <w:pStyle w:val="13"/>
            </w:pPr>
            <w:r>
              <w:t>购置数量</w:t>
            </w:r>
          </w:p>
        </w:tc>
        <w:tc>
          <w:tcPr>
            <w:tcW w:w="5386" w:type="dxa"/>
            <w:vAlign w:val="center"/>
          </w:tcPr>
          <w:p w14:paraId="2E1B98DF">
            <w:pPr>
              <w:pStyle w:val="13"/>
            </w:pPr>
            <w:r>
              <w:t>购置工业机器人实训室建设</w:t>
            </w:r>
          </w:p>
        </w:tc>
        <w:tc>
          <w:tcPr>
            <w:tcW w:w="1388" w:type="dxa"/>
            <w:vAlign w:val="center"/>
          </w:tcPr>
          <w:p w14:paraId="0D48C6E9">
            <w:pPr>
              <w:pStyle w:val="13"/>
            </w:pPr>
            <w:r>
              <w:t>1个</w:t>
            </w:r>
          </w:p>
        </w:tc>
        <w:tc>
          <w:tcPr>
            <w:tcW w:w="2156" w:type="dxa"/>
            <w:vAlign w:val="center"/>
          </w:tcPr>
          <w:p w14:paraId="340CF291">
            <w:pPr>
              <w:pStyle w:val="13"/>
            </w:pPr>
            <w:r>
              <w:t>冀财教【2023】126号</w:t>
            </w:r>
          </w:p>
        </w:tc>
      </w:tr>
      <w:tr w14:paraId="25D98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592D9"/>
        </w:tc>
        <w:tc>
          <w:tcPr>
            <w:tcW w:w="2268" w:type="dxa"/>
            <w:vAlign w:val="center"/>
          </w:tcPr>
          <w:p w14:paraId="6801FB6C">
            <w:pPr>
              <w:pStyle w:val="13"/>
            </w:pPr>
            <w:r>
              <w:t>质量指标</w:t>
            </w:r>
          </w:p>
        </w:tc>
        <w:tc>
          <w:tcPr>
            <w:tcW w:w="2835" w:type="dxa"/>
            <w:vAlign w:val="center"/>
          </w:tcPr>
          <w:p w14:paraId="28B4AA64">
            <w:pPr>
              <w:pStyle w:val="13"/>
            </w:pPr>
            <w:r>
              <w:t>中职学校实训实习设备达标率</w:t>
            </w:r>
          </w:p>
        </w:tc>
        <w:tc>
          <w:tcPr>
            <w:tcW w:w="5386" w:type="dxa"/>
            <w:vAlign w:val="center"/>
          </w:tcPr>
          <w:p w14:paraId="5B6A3B62">
            <w:pPr>
              <w:pStyle w:val="13"/>
            </w:pPr>
            <w:r>
              <w:t>中职学校实训实习设备达标率</w:t>
            </w:r>
          </w:p>
        </w:tc>
        <w:tc>
          <w:tcPr>
            <w:tcW w:w="1388" w:type="dxa"/>
            <w:vAlign w:val="center"/>
          </w:tcPr>
          <w:p w14:paraId="42D3E56A">
            <w:pPr>
              <w:pStyle w:val="13"/>
            </w:pPr>
            <w:r>
              <w:t>≥100%</w:t>
            </w:r>
          </w:p>
        </w:tc>
        <w:tc>
          <w:tcPr>
            <w:tcW w:w="2156" w:type="dxa"/>
            <w:vAlign w:val="center"/>
          </w:tcPr>
          <w:p w14:paraId="1C6262E4">
            <w:pPr>
              <w:pStyle w:val="13"/>
            </w:pPr>
            <w:r>
              <w:t>冀财教【2023】126号</w:t>
            </w:r>
          </w:p>
        </w:tc>
      </w:tr>
      <w:tr w14:paraId="77620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725BF"/>
        </w:tc>
        <w:tc>
          <w:tcPr>
            <w:tcW w:w="2268" w:type="dxa"/>
            <w:vAlign w:val="center"/>
          </w:tcPr>
          <w:p w14:paraId="0C41A462">
            <w:pPr>
              <w:pStyle w:val="13"/>
            </w:pPr>
            <w:r>
              <w:t>时效指标</w:t>
            </w:r>
          </w:p>
        </w:tc>
        <w:tc>
          <w:tcPr>
            <w:tcW w:w="2835" w:type="dxa"/>
            <w:vAlign w:val="center"/>
          </w:tcPr>
          <w:p w14:paraId="4A1D82FB">
            <w:pPr>
              <w:pStyle w:val="13"/>
            </w:pPr>
            <w:r>
              <w:t>中职教师素质提高计划完成情况</w:t>
            </w:r>
          </w:p>
        </w:tc>
        <w:tc>
          <w:tcPr>
            <w:tcW w:w="5386" w:type="dxa"/>
            <w:vAlign w:val="center"/>
          </w:tcPr>
          <w:p w14:paraId="6726CB47">
            <w:pPr>
              <w:pStyle w:val="13"/>
            </w:pPr>
            <w:r>
              <w:t>中职教师素质提高计划完成情况</w:t>
            </w:r>
          </w:p>
        </w:tc>
        <w:tc>
          <w:tcPr>
            <w:tcW w:w="1388" w:type="dxa"/>
            <w:vAlign w:val="center"/>
          </w:tcPr>
          <w:p w14:paraId="3B1CAC49">
            <w:pPr>
              <w:pStyle w:val="13"/>
            </w:pPr>
            <w:r>
              <w:t>≥100%</w:t>
            </w:r>
          </w:p>
        </w:tc>
        <w:tc>
          <w:tcPr>
            <w:tcW w:w="2156" w:type="dxa"/>
            <w:vAlign w:val="center"/>
          </w:tcPr>
          <w:p w14:paraId="1132F3F0">
            <w:pPr>
              <w:pStyle w:val="13"/>
            </w:pPr>
            <w:r>
              <w:t>冀财教【2023】126号</w:t>
            </w:r>
          </w:p>
        </w:tc>
      </w:tr>
      <w:tr w14:paraId="5CB95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FACEE"/>
        </w:tc>
        <w:tc>
          <w:tcPr>
            <w:tcW w:w="2268" w:type="dxa"/>
            <w:vAlign w:val="center"/>
          </w:tcPr>
          <w:p w14:paraId="074B7D89">
            <w:pPr>
              <w:pStyle w:val="13"/>
            </w:pPr>
            <w:r>
              <w:t>成本指标</w:t>
            </w:r>
          </w:p>
        </w:tc>
        <w:tc>
          <w:tcPr>
            <w:tcW w:w="2835" w:type="dxa"/>
            <w:vAlign w:val="center"/>
          </w:tcPr>
          <w:p w14:paraId="1357B126">
            <w:pPr>
              <w:pStyle w:val="13"/>
            </w:pPr>
            <w:r>
              <w:t>达标资金</w:t>
            </w:r>
          </w:p>
        </w:tc>
        <w:tc>
          <w:tcPr>
            <w:tcW w:w="5386" w:type="dxa"/>
            <w:vAlign w:val="center"/>
          </w:tcPr>
          <w:p w14:paraId="72043253">
            <w:pPr>
              <w:pStyle w:val="13"/>
            </w:pPr>
            <w:r>
              <w:t>达标资金</w:t>
            </w:r>
          </w:p>
        </w:tc>
        <w:tc>
          <w:tcPr>
            <w:tcW w:w="1388" w:type="dxa"/>
            <w:vAlign w:val="center"/>
          </w:tcPr>
          <w:p w14:paraId="0C84144C">
            <w:pPr>
              <w:pStyle w:val="13"/>
            </w:pPr>
            <w:r>
              <w:t>54万元</w:t>
            </w:r>
          </w:p>
        </w:tc>
        <w:tc>
          <w:tcPr>
            <w:tcW w:w="2156" w:type="dxa"/>
            <w:vAlign w:val="center"/>
          </w:tcPr>
          <w:p w14:paraId="04DA404D">
            <w:pPr>
              <w:pStyle w:val="13"/>
            </w:pPr>
            <w:r>
              <w:t>冀财教【2023】126号</w:t>
            </w:r>
          </w:p>
        </w:tc>
      </w:tr>
      <w:tr w14:paraId="54E59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ADB2E">
            <w:pPr>
              <w:pStyle w:val="12"/>
            </w:pPr>
            <w:r>
              <w:t>效益指标</w:t>
            </w:r>
          </w:p>
        </w:tc>
        <w:tc>
          <w:tcPr>
            <w:tcW w:w="2268" w:type="dxa"/>
            <w:vAlign w:val="center"/>
          </w:tcPr>
          <w:p w14:paraId="55FCC180">
            <w:pPr>
              <w:pStyle w:val="13"/>
            </w:pPr>
            <w:r>
              <w:t>经济效益指标</w:t>
            </w:r>
          </w:p>
        </w:tc>
        <w:tc>
          <w:tcPr>
            <w:tcW w:w="2835" w:type="dxa"/>
            <w:vAlign w:val="center"/>
          </w:tcPr>
          <w:p w14:paraId="43E2E5D7">
            <w:pPr>
              <w:pStyle w:val="13"/>
            </w:pPr>
            <w:r>
              <w:t>改善实训环境</w:t>
            </w:r>
          </w:p>
        </w:tc>
        <w:tc>
          <w:tcPr>
            <w:tcW w:w="5386" w:type="dxa"/>
            <w:vAlign w:val="center"/>
          </w:tcPr>
          <w:p w14:paraId="3D5C81AE">
            <w:pPr>
              <w:pStyle w:val="13"/>
            </w:pPr>
            <w:r>
              <w:t>改善实训环境</w:t>
            </w:r>
          </w:p>
        </w:tc>
        <w:tc>
          <w:tcPr>
            <w:tcW w:w="1388" w:type="dxa"/>
            <w:vAlign w:val="center"/>
          </w:tcPr>
          <w:p w14:paraId="77F6538A">
            <w:pPr>
              <w:pStyle w:val="13"/>
            </w:pPr>
            <w:r>
              <w:t>≥100%</w:t>
            </w:r>
          </w:p>
        </w:tc>
        <w:tc>
          <w:tcPr>
            <w:tcW w:w="2156" w:type="dxa"/>
            <w:vAlign w:val="center"/>
          </w:tcPr>
          <w:p w14:paraId="309868DD">
            <w:pPr>
              <w:pStyle w:val="13"/>
            </w:pPr>
            <w:r>
              <w:t>冀财教【2023】126号</w:t>
            </w:r>
          </w:p>
        </w:tc>
      </w:tr>
      <w:tr w14:paraId="04B04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F378B"/>
        </w:tc>
        <w:tc>
          <w:tcPr>
            <w:tcW w:w="2268" w:type="dxa"/>
            <w:vAlign w:val="center"/>
          </w:tcPr>
          <w:p w14:paraId="7AE36F05">
            <w:pPr>
              <w:pStyle w:val="13"/>
            </w:pPr>
            <w:r>
              <w:t>社会效益指标</w:t>
            </w:r>
          </w:p>
        </w:tc>
        <w:tc>
          <w:tcPr>
            <w:tcW w:w="2835" w:type="dxa"/>
            <w:vAlign w:val="center"/>
          </w:tcPr>
          <w:p w14:paraId="3321B5D1">
            <w:pPr>
              <w:pStyle w:val="13"/>
            </w:pPr>
            <w:r>
              <w:t>职业学校学生就业率</w:t>
            </w:r>
          </w:p>
        </w:tc>
        <w:tc>
          <w:tcPr>
            <w:tcW w:w="5386" w:type="dxa"/>
            <w:vAlign w:val="center"/>
          </w:tcPr>
          <w:p w14:paraId="3E5505D1">
            <w:pPr>
              <w:pStyle w:val="13"/>
            </w:pPr>
            <w:r>
              <w:t>职业学校学生就业率</w:t>
            </w:r>
          </w:p>
        </w:tc>
        <w:tc>
          <w:tcPr>
            <w:tcW w:w="1388" w:type="dxa"/>
            <w:vAlign w:val="center"/>
          </w:tcPr>
          <w:p w14:paraId="2D4B208C">
            <w:pPr>
              <w:pStyle w:val="13"/>
            </w:pPr>
            <w:r>
              <w:t>≥100%</w:t>
            </w:r>
          </w:p>
        </w:tc>
        <w:tc>
          <w:tcPr>
            <w:tcW w:w="2156" w:type="dxa"/>
            <w:vAlign w:val="center"/>
          </w:tcPr>
          <w:p w14:paraId="60F03C88">
            <w:pPr>
              <w:pStyle w:val="13"/>
            </w:pPr>
            <w:r>
              <w:t>冀财教【2023】126号</w:t>
            </w:r>
          </w:p>
        </w:tc>
      </w:tr>
      <w:tr w14:paraId="67C82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E90C58">
            <w:pPr>
              <w:pStyle w:val="12"/>
            </w:pPr>
            <w:r>
              <w:t>满意度指标</w:t>
            </w:r>
          </w:p>
        </w:tc>
        <w:tc>
          <w:tcPr>
            <w:tcW w:w="2268" w:type="dxa"/>
            <w:vAlign w:val="center"/>
          </w:tcPr>
          <w:p w14:paraId="23CDDC82">
            <w:pPr>
              <w:pStyle w:val="13"/>
            </w:pPr>
            <w:r>
              <w:t>服务对象满意度指标</w:t>
            </w:r>
          </w:p>
        </w:tc>
        <w:tc>
          <w:tcPr>
            <w:tcW w:w="2835" w:type="dxa"/>
            <w:vAlign w:val="center"/>
          </w:tcPr>
          <w:p w14:paraId="0222BAF1">
            <w:pPr>
              <w:pStyle w:val="13"/>
            </w:pPr>
            <w:r>
              <w:t>教师学生家长满意度</w:t>
            </w:r>
          </w:p>
        </w:tc>
        <w:tc>
          <w:tcPr>
            <w:tcW w:w="5386" w:type="dxa"/>
            <w:vAlign w:val="center"/>
          </w:tcPr>
          <w:p w14:paraId="7A230136">
            <w:pPr>
              <w:pStyle w:val="13"/>
            </w:pPr>
            <w:r>
              <w:t>教师学生家长满意度</w:t>
            </w:r>
          </w:p>
        </w:tc>
        <w:tc>
          <w:tcPr>
            <w:tcW w:w="1388" w:type="dxa"/>
            <w:vAlign w:val="center"/>
          </w:tcPr>
          <w:p w14:paraId="761A22DB">
            <w:pPr>
              <w:pStyle w:val="13"/>
            </w:pPr>
            <w:r>
              <w:t>≥95%</w:t>
            </w:r>
          </w:p>
        </w:tc>
        <w:tc>
          <w:tcPr>
            <w:tcW w:w="2156" w:type="dxa"/>
            <w:vAlign w:val="center"/>
          </w:tcPr>
          <w:p w14:paraId="04C2773B">
            <w:pPr>
              <w:pStyle w:val="13"/>
            </w:pPr>
            <w:r>
              <w:t>冀财教【2023】126号</w:t>
            </w:r>
          </w:p>
        </w:tc>
      </w:tr>
    </w:tbl>
    <w:p w14:paraId="071BBE20">
      <w:pPr>
        <w:sectPr>
          <w:pgSz w:w="16840" w:h="11900" w:orient="landscape"/>
          <w:pgMar w:top="1361" w:right="1020" w:bottom="1134" w:left="1020" w:header="720" w:footer="720" w:gutter="0"/>
          <w:cols w:space="720" w:num="1"/>
        </w:sectPr>
      </w:pPr>
    </w:p>
    <w:p w14:paraId="608B9587">
      <w:pPr>
        <w:spacing w:before="0" w:after="0"/>
        <w:ind w:firstLine="560"/>
        <w:jc w:val="left"/>
        <w:outlineLvl w:val="9"/>
      </w:pPr>
      <w:r>
        <w:rPr>
          <w:rFonts w:ascii="方正仿宋_GBK" w:hAnsi="方正仿宋_GBK" w:eastAsia="方正仿宋_GBK" w:cs="方正仿宋_GBK"/>
          <w:b/>
          <w:color w:val="000000"/>
          <w:sz w:val="28"/>
        </w:rPr>
        <w:t>2、冀财教[2024]125号/中央/2025年学生资助/普通高中三免（职教高中）建档立卡绩效目标表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CD2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02DDB">
            <w:pPr>
              <w:pStyle w:val="14"/>
            </w:pPr>
            <w:r>
              <w:t>单位：万元</w:t>
            </w:r>
          </w:p>
        </w:tc>
      </w:tr>
      <w:tr w14:paraId="638F4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C699A">
            <w:pPr>
              <w:pStyle w:val="11"/>
            </w:pPr>
            <w:r>
              <w:t>项目编码</w:t>
            </w:r>
          </w:p>
        </w:tc>
        <w:tc>
          <w:tcPr>
            <w:tcW w:w="5103" w:type="dxa"/>
            <w:gridSpan w:val="2"/>
            <w:vAlign w:val="center"/>
          </w:tcPr>
          <w:p w14:paraId="406F44B2">
            <w:pPr>
              <w:pStyle w:val="13"/>
            </w:pPr>
            <w:r>
              <w:t>13052525P000012100313</w:t>
            </w:r>
          </w:p>
        </w:tc>
        <w:tc>
          <w:tcPr>
            <w:tcW w:w="2835" w:type="dxa"/>
            <w:vAlign w:val="center"/>
          </w:tcPr>
          <w:p w14:paraId="279569B8">
            <w:pPr>
              <w:pStyle w:val="11"/>
            </w:pPr>
            <w:r>
              <w:t>项目名称</w:t>
            </w:r>
          </w:p>
        </w:tc>
        <w:tc>
          <w:tcPr>
            <w:tcW w:w="6095" w:type="dxa"/>
            <w:gridSpan w:val="3"/>
            <w:vAlign w:val="center"/>
          </w:tcPr>
          <w:p w14:paraId="4F639F73">
            <w:pPr>
              <w:pStyle w:val="13"/>
            </w:pPr>
            <w:r>
              <w:t>冀财教[2024]125号/中央/2025年学生资助/普通高中三免（职教高中）建档立卡</w:t>
            </w:r>
          </w:p>
        </w:tc>
      </w:tr>
      <w:tr w14:paraId="416A0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225D8A6F">
            <w:pPr>
              <w:pStyle w:val="11"/>
            </w:pPr>
            <w:r>
              <w:t>预算规模及资金用途</w:t>
            </w:r>
          </w:p>
        </w:tc>
        <w:tc>
          <w:tcPr>
            <w:tcW w:w="2268" w:type="dxa"/>
            <w:vAlign w:val="center"/>
          </w:tcPr>
          <w:p w14:paraId="4F48A7FA">
            <w:pPr>
              <w:pStyle w:val="11"/>
            </w:pPr>
            <w:r>
              <w:t>预算数</w:t>
            </w:r>
          </w:p>
        </w:tc>
        <w:tc>
          <w:tcPr>
            <w:tcW w:w="2835" w:type="dxa"/>
            <w:vAlign w:val="center"/>
          </w:tcPr>
          <w:p w14:paraId="6C6BB679">
            <w:pPr>
              <w:pStyle w:val="13"/>
            </w:pPr>
            <w:r>
              <w:t>2.00</w:t>
            </w:r>
          </w:p>
        </w:tc>
        <w:tc>
          <w:tcPr>
            <w:tcW w:w="2835" w:type="dxa"/>
            <w:vAlign w:val="center"/>
          </w:tcPr>
          <w:p w14:paraId="7268505A">
            <w:pPr>
              <w:pStyle w:val="11"/>
            </w:pPr>
            <w:r>
              <w:t>其中：财政    资金</w:t>
            </w:r>
          </w:p>
        </w:tc>
        <w:tc>
          <w:tcPr>
            <w:tcW w:w="2551" w:type="dxa"/>
            <w:vAlign w:val="center"/>
          </w:tcPr>
          <w:p w14:paraId="3D9DA545">
            <w:pPr>
              <w:pStyle w:val="13"/>
            </w:pPr>
            <w:r>
              <w:t>2.00</w:t>
            </w:r>
          </w:p>
        </w:tc>
        <w:tc>
          <w:tcPr>
            <w:tcW w:w="2268" w:type="dxa"/>
            <w:vAlign w:val="center"/>
          </w:tcPr>
          <w:p w14:paraId="5EB42C08">
            <w:pPr>
              <w:pStyle w:val="11"/>
            </w:pPr>
            <w:r>
              <w:t>其他资金</w:t>
            </w:r>
          </w:p>
        </w:tc>
        <w:tc>
          <w:tcPr>
            <w:tcW w:w="1276" w:type="dxa"/>
            <w:vAlign w:val="center"/>
          </w:tcPr>
          <w:p w14:paraId="65AB38DD">
            <w:pPr>
              <w:pStyle w:val="13"/>
            </w:pPr>
            <w:r>
              <w:t xml:space="preserve"> </w:t>
            </w:r>
          </w:p>
        </w:tc>
      </w:tr>
      <w:tr w14:paraId="1DC10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C41936"/>
        </w:tc>
        <w:tc>
          <w:tcPr>
            <w:tcW w:w="14033" w:type="dxa"/>
            <w:gridSpan w:val="6"/>
            <w:vAlign w:val="center"/>
          </w:tcPr>
          <w:p w14:paraId="711FE384">
            <w:pPr>
              <w:pStyle w:val="13"/>
            </w:pPr>
            <w:r>
              <w:t>中央普高三免资金2万元，用于弥补学生学费住宿费书费后经费不足。</w:t>
            </w:r>
          </w:p>
        </w:tc>
      </w:tr>
      <w:tr w14:paraId="7475B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1BFAE">
            <w:pPr>
              <w:pStyle w:val="11"/>
            </w:pPr>
            <w:r>
              <w:t>资金支出计划（%）</w:t>
            </w:r>
          </w:p>
        </w:tc>
        <w:tc>
          <w:tcPr>
            <w:tcW w:w="5103" w:type="dxa"/>
            <w:gridSpan w:val="2"/>
            <w:vAlign w:val="center"/>
          </w:tcPr>
          <w:p w14:paraId="13DBA7DC">
            <w:pPr>
              <w:pStyle w:val="11"/>
            </w:pPr>
            <w:r>
              <w:t>3月底</w:t>
            </w:r>
          </w:p>
        </w:tc>
        <w:tc>
          <w:tcPr>
            <w:tcW w:w="2835" w:type="dxa"/>
            <w:vAlign w:val="center"/>
          </w:tcPr>
          <w:p w14:paraId="35C7EA51">
            <w:pPr>
              <w:pStyle w:val="11"/>
            </w:pPr>
            <w:r>
              <w:t>6月底</w:t>
            </w:r>
          </w:p>
        </w:tc>
        <w:tc>
          <w:tcPr>
            <w:tcW w:w="2551" w:type="dxa"/>
            <w:vAlign w:val="center"/>
          </w:tcPr>
          <w:p w14:paraId="185EFAEA">
            <w:pPr>
              <w:pStyle w:val="11"/>
            </w:pPr>
            <w:r>
              <w:t>10月底</w:t>
            </w:r>
          </w:p>
        </w:tc>
        <w:tc>
          <w:tcPr>
            <w:tcW w:w="3544" w:type="dxa"/>
            <w:gridSpan w:val="2"/>
            <w:vAlign w:val="center"/>
          </w:tcPr>
          <w:p w14:paraId="430C9EA0">
            <w:pPr>
              <w:pStyle w:val="11"/>
            </w:pPr>
            <w:r>
              <w:t>12月底</w:t>
            </w:r>
          </w:p>
        </w:tc>
      </w:tr>
      <w:tr w14:paraId="7A791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5163B1AA"/>
        </w:tc>
        <w:tc>
          <w:tcPr>
            <w:tcW w:w="5103" w:type="dxa"/>
            <w:gridSpan w:val="2"/>
            <w:vAlign w:val="center"/>
          </w:tcPr>
          <w:p w14:paraId="2ABD23F5">
            <w:pPr>
              <w:pStyle w:val="12"/>
            </w:pPr>
            <w:r>
              <w:t xml:space="preserve"> </w:t>
            </w:r>
          </w:p>
        </w:tc>
        <w:tc>
          <w:tcPr>
            <w:tcW w:w="2835" w:type="dxa"/>
            <w:vAlign w:val="center"/>
          </w:tcPr>
          <w:p w14:paraId="7F2CEA3D">
            <w:pPr>
              <w:pStyle w:val="12"/>
            </w:pPr>
            <w:r>
              <w:t>50%</w:t>
            </w:r>
          </w:p>
        </w:tc>
        <w:tc>
          <w:tcPr>
            <w:tcW w:w="2551" w:type="dxa"/>
            <w:vAlign w:val="center"/>
          </w:tcPr>
          <w:p w14:paraId="3AA2D97F">
            <w:pPr>
              <w:pStyle w:val="12"/>
            </w:pPr>
            <w:r>
              <w:t>50%</w:t>
            </w:r>
          </w:p>
        </w:tc>
        <w:tc>
          <w:tcPr>
            <w:tcW w:w="3544" w:type="dxa"/>
            <w:gridSpan w:val="2"/>
            <w:vAlign w:val="center"/>
          </w:tcPr>
          <w:p w14:paraId="0F94E2F4">
            <w:pPr>
              <w:pStyle w:val="12"/>
            </w:pPr>
            <w:r>
              <w:t>100%</w:t>
            </w:r>
          </w:p>
        </w:tc>
      </w:tr>
      <w:tr w14:paraId="0CBFF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90538">
            <w:pPr>
              <w:pStyle w:val="11"/>
            </w:pPr>
            <w:r>
              <w:t>绩效目标</w:t>
            </w:r>
          </w:p>
        </w:tc>
        <w:tc>
          <w:tcPr>
            <w:tcW w:w="14033" w:type="dxa"/>
            <w:gridSpan w:val="6"/>
            <w:vAlign w:val="center"/>
          </w:tcPr>
          <w:p w14:paraId="21F9A4FD">
            <w:pPr>
              <w:pStyle w:val="13"/>
            </w:pPr>
            <w:r>
              <w:t>1.中央普高三免资金2万元，用于弥补学生学费住宿费书费后经费不足。</w:t>
            </w:r>
          </w:p>
        </w:tc>
      </w:tr>
    </w:tbl>
    <w:p w14:paraId="33903E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29"/>
        <w:gridCol w:w="1500"/>
        <w:gridCol w:w="3401"/>
      </w:tblGrid>
      <w:tr w14:paraId="1A3B8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2F9B7">
            <w:pPr>
              <w:pStyle w:val="11"/>
            </w:pPr>
            <w:r>
              <w:t>一级指标</w:t>
            </w:r>
          </w:p>
        </w:tc>
        <w:tc>
          <w:tcPr>
            <w:tcW w:w="2268" w:type="dxa"/>
            <w:vAlign w:val="center"/>
          </w:tcPr>
          <w:p w14:paraId="2920C70F">
            <w:pPr>
              <w:pStyle w:val="11"/>
            </w:pPr>
            <w:r>
              <w:t>二级指标</w:t>
            </w:r>
          </w:p>
        </w:tc>
        <w:tc>
          <w:tcPr>
            <w:tcW w:w="2835" w:type="dxa"/>
            <w:vAlign w:val="center"/>
          </w:tcPr>
          <w:p w14:paraId="76683380">
            <w:pPr>
              <w:pStyle w:val="11"/>
            </w:pPr>
            <w:r>
              <w:t>三级指标</w:t>
            </w:r>
          </w:p>
        </w:tc>
        <w:tc>
          <w:tcPr>
            <w:tcW w:w="4029" w:type="dxa"/>
            <w:vAlign w:val="center"/>
          </w:tcPr>
          <w:p w14:paraId="52CCEC7F">
            <w:pPr>
              <w:pStyle w:val="11"/>
            </w:pPr>
            <w:r>
              <w:t>绩效指标描述</w:t>
            </w:r>
          </w:p>
        </w:tc>
        <w:tc>
          <w:tcPr>
            <w:tcW w:w="1500" w:type="dxa"/>
            <w:vAlign w:val="center"/>
          </w:tcPr>
          <w:p w14:paraId="5FFFDDAB">
            <w:pPr>
              <w:pStyle w:val="11"/>
            </w:pPr>
            <w:r>
              <w:t>指标值</w:t>
            </w:r>
          </w:p>
        </w:tc>
        <w:tc>
          <w:tcPr>
            <w:tcW w:w="3401" w:type="dxa"/>
            <w:vAlign w:val="center"/>
          </w:tcPr>
          <w:p w14:paraId="508DB2FC">
            <w:pPr>
              <w:pStyle w:val="11"/>
            </w:pPr>
            <w:r>
              <w:t>指标值确定依据</w:t>
            </w:r>
          </w:p>
        </w:tc>
      </w:tr>
      <w:tr w14:paraId="1231A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904FB">
            <w:pPr>
              <w:pStyle w:val="12"/>
            </w:pPr>
            <w:r>
              <w:t>产出指标</w:t>
            </w:r>
          </w:p>
        </w:tc>
        <w:tc>
          <w:tcPr>
            <w:tcW w:w="2268" w:type="dxa"/>
            <w:vAlign w:val="center"/>
          </w:tcPr>
          <w:p w14:paraId="5E13C9ED">
            <w:pPr>
              <w:pStyle w:val="13"/>
            </w:pPr>
            <w:r>
              <w:t>数量指标</w:t>
            </w:r>
          </w:p>
        </w:tc>
        <w:tc>
          <w:tcPr>
            <w:tcW w:w="2835" w:type="dxa"/>
            <w:vAlign w:val="center"/>
          </w:tcPr>
          <w:p w14:paraId="7D5307A9">
            <w:pPr>
              <w:pStyle w:val="13"/>
            </w:pPr>
            <w:r>
              <w:t>普通高中享受三免人数</w:t>
            </w:r>
          </w:p>
        </w:tc>
        <w:tc>
          <w:tcPr>
            <w:tcW w:w="4029" w:type="dxa"/>
            <w:vAlign w:val="center"/>
          </w:tcPr>
          <w:p w14:paraId="41FA1B19">
            <w:pPr>
              <w:pStyle w:val="13"/>
            </w:pPr>
            <w:r>
              <w:t>普通高中享受免学费住宿费书费人数</w:t>
            </w:r>
          </w:p>
        </w:tc>
        <w:tc>
          <w:tcPr>
            <w:tcW w:w="1500" w:type="dxa"/>
            <w:vAlign w:val="center"/>
          </w:tcPr>
          <w:p w14:paraId="6FEE8E37">
            <w:pPr>
              <w:pStyle w:val="13"/>
            </w:pPr>
            <w:r>
              <w:t>47人</w:t>
            </w:r>
          </w:p>
        </w:tc>
        <w:tc>
          <w:tcPr>
            <w:tcW w:w="3401" w:type="dxa"/>
            <w:vAlign w:val="center"/>
          </w:tcPr>
          <w:p w14:paraId="31927C69">
            <w:pPr>
              <w:pStyle w:val="13"/>
            </w:pPr>
            <w:r>
              <w:t>河北省建档立卡家庭经济困难学生资助管理暂行办法</w:t>
            </w:r>
          </w:p>
        </w:tc>
      </w:tr>
      <w:tr w14:paraId="3A557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9E093"/>
        </w:tc>
        <w:tc>
          <w:tcPr>
            <w:tcW w:w="2268" w:type="dxa"/>
            <w:vAlign w:val="center"/>
          </w:tcPr>
          <w:p w14:paraId="1FC7FDB5">
            <w:pPr>
              <w:pStyle w:val="13"/>
            </w:pPr>
            <w:r>
              <w:t>质量指标</w:t>
            </w:r>
          </w:p>
        </w:tc>
        <w:tc>
          <w:tcPr>
            <w:tcW w:w="2835" w:type="dxa"/>
            <w:vAlign w:val="center"/>
          </w:tcPr>
          <w:p w14:paraId="75D37DDA">
            <w:pPr>
              <w:pStyle w:val="13"/>
            </w:pPr>
            <w:r>
              <w:t>完成普高三免资金发放工作</w:t>
            </w:r>
          </w:p>
        </w:tc>
        <w:tc>
          <w:tcPr>
            <w:tcW w:w="4029" w:type="dxa"/>
            <w:vAlign w:val="center"/>
          </w:tcPr>
          <w:p w14:paraId="54209A39">
            <w:pPr>
              <w:pStyle w:val="13"/>
            </w:pPr>
            <w:r>
              <w:t>普高三免为建档立卡学生</w:t>
            </w:r>
          </w:p>
        </w:tc>
        <w:tc>
          <w:tcPr>
            <w:tcW w:w="1500" w:type="dxa"/>
            <w:vAlign w:val="center"/>
          </w:tcPr>
          <w:p w14:paraId="76A4E4E4">
            <w:pPr>
              <w:pStyle w:val="13"/>
            </w:pPr>
            <w:r>
              <w:t>≥100%</w:t>
            </w:r>
          </w:p>
        </w:tc>
        <w:tc>
          <w:tcPr>
            <w:tcW w:w="3401" w:type="dxa"/>
            <w:vAlign w:val="center"/>
          </w:tcPr>
          <w:p w14:paraId="7E083DB5">
            <w:pPr>
              <w:pStyle w:val="13"/>
            </w:pPr>
            <w:r>
              <w:t>河北省建档立卡家庭经济困难学生资助管理暂行办法</w:t>
            </w:r>
          </w:p>
        </w:tc>
      </w:tr>
      <w:tr w14:paraId="08A20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129E5"/>
        </w:tc>
        <w:tc>
          <w:tcPr>
            <w:tcW w:w="2268" w:type="dxa"/>
            <w:vAlign w:val="center"/>
          </w:tcPr>
          <w:p w14:paraId="48582609">
            <w:pPr>
              <w:pStyle w:val="13"/>
            </w:pPr>
            <w:r>
              <w:t>时效指标</w:t>
            </w:r>
          </w:p>
        </w:tc>
        <w:tc>
          <w:tcPr>
            <w:tcW w:w="2835" w:type="dxa"/>
            <w:vAlign w:val="center"/>
          </w:tcPr>
          <w:p w14:paraId="47ECE4A8">
            <w:pPr>
              <w:pStyle w:val="13"/>
            </w:pPr>
            <w:r>
              <w:t>补助资金及时足额发放率</w:t>
            </w:r>
          </w:p>
        </w:tc>
        <w:tc>
          <w:tcPr>
            <w:tcW w:w="4029" w:type="dxa"/>
            <w:vAlign w:val="center"/>
          </w:tcPr>
          <w:p w14:paraId="4E18FA10">
            <w:pPr>
              <w:pStyle w:val="13"/>
            </w:pPr>
            <w:r>
              <w:t>补助资金及时足额到位率</w:t>
            </w:r>
          </w:p>
        </w:tc>
        <w:tc>
          <w:tcPr>
            <w:tcW w:w="1500" w:type="dxa"/>
            <w:vAlign w:val="center"/>
          </w:tcPr>
          <w:p w14:paraId="19B9CCB0">
            <w:pPr>
              <w:pStyle w:val="13"/>
            </w:pPr>
            <w:r>
              <w:t>≥100%</w:t>
            </w:r>
          </w:p>
        </w:tc>
        <w:tc>
          <w:tcPr>
            <w:tcW w:w="3401" w:type="dxa"/>
            <w:vAlign w:val="center"/>
          </w:tcPr>
          <w:p w14:paraId="1772A08D">
            <w:pPr>
              <w:pStyle w:val="13"/>
            </w:pPr>
            <w:r>
              <w:t>河北省建档立卡家庭经济困难学生资助管理暂行办法</w:t>
            </w:r>
          </w:p>
        </w:tc>
      </w:tr>
      <w:tr w14:paraId="67E55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9E966"/>
        </w:tc>
        <w:tc>
          <w:tcPr>
            <w:tcW w:w="2268" w:type="dxa"/>
            <w:vAlign w:val="center"/>
          </w:tcPr>
          <w:p w14:paraId="1F66D3B5">
            <w:pPr>
              <w:pStyle w:val="13"/>
            </w:pPr>
            <w:r>
              <w:t>成本指标</w:t>
            </w:r>
          </w:p>
        </w:tc>
        <w:tc>
          <w:tcPr>
            <w:tcW w:w="2835" w:type="dxa"/>
            <w:vAlign w:val="center"/>
          </w:tcPr>
          <w:p w14:paraId="2332DFDE">
            <w:pPr>
              <w:pStyle w:val="13"/>
            </w:pPr>
            <w:r>
              <w:t>免学费标准</w:t>
            </w:r>
          </w:p>
        </w:tc>
        <w:tc>
          <w:tcPr>
            <w:tcW w:w="4029" w:type="dxa"/>
            <w:vAlign w:val="center"/>
          </w:tcPr>
          <w:p w14:paraId="3FCEBFE8">
            <w:pPr>
              <w:pStyle w:val="13"/>
            </w:pPr>
            <w:r>
              <w:t>普高免学费住宿费书费2800元</w:t>
            </w:r>
          </w:p>
        </w:tc>
        <w:tc>
          <w:tcPr>
            <w:tcW w:w="1500" w:type="dxa"/>
            <w:vAlign w:val="center"/>
          </w:tcPr>
          <w:p w14:paraId="7BD6B9CD">
            <w:pPr>
              <w:pStyle w:val="13"/>
            </w:pPr>
            <w:r>
              <w:t>2800元/生/年</w:t>
            </w:r>
          </w:p>
        </w:tc>
        <w:tc>
          <w:tcPr>
            <w:tcW w:w="3401" w:type="dxa"/>
            <w:vAlign w:val="center"/>
          </w:tcPr>
          <w:p w14:paraId="249AB258">
            <w:pPr>
              <w:pStyle w:val="13"/>
            </w:pPr>
            <w:r>
              <w:t>河北省建档立卡家庭经济困难学生资助管理暂行办法</w:t>
            </w:r>
          </w:p>
        </w:tc>
      </w:tr>
      <w:tr w14:paraId="2C791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891B8">
            <w:pPr>
              <w:pStyle w:val="12"/>
            </w:pPr>
            <w:r>
              <w:t>效益指标</w:t>
            </w:r>
          </w:p>
        </w:tc>
        <w:tc>
          <w:tcPr>
            <w:tcW w:w="2268" w:type="dxa"/>
            <w:vAlign w:val="center"/>
          </w:tcPr>
          <w:p w14:paraId="222AF8E2">
            <w:pPr>
              <w:pStyle w:val="13"/>
            </w:pPr>
            <w:r>
              <w:t>社会效益指标</w:t>
            </w:r>
          </w:p>
        </w:tc>
        <w:tc>
          <w:tcPr>
            <w:tcW w:w="2835" w:type="dxa"/>
            <w:vAlign w:val="center"/>
          </w:tcPr>
          <w:p w14:paraId="7663DDD1">
            <w:pPr>
              <w:pStyle w:val="13"/>
            </w:pPr>
            <w:r>
              <w:t>减轻家庭负担</w:t>
            </w:r>
          </w:p>
        </w:tc>
        <w:tc>
          <w:tcPr>
            <w:tcW w:w="4029" w:type="dxa"/>
            <w:vAlign w:val="center"/>
          </w:tcPr>
          <w:p w14:paraId="77940A7A">
            <w:pPr>
              <w:pStyle w:val="13"/>
            </w:pPr>
            <w:r>
              <w:t>减轻建档立卡家庭学生家长经济负担</w:t>
            </w:r>
          </w:p>
        </w:tc>
        <w:tc>
          <w:tcPr>
            <w:tcW w:w="1500" w:type="dxa"/>
            <w:vAlign w:val="center"/>
          </w:tcPr>
          <w:p w14:paraId="50987047">
            <w:pPr>
              <w:pStyle w:val="13"/>
            </w:pPr>
            <w:r>
              <w:t>≥100%</w:t>
            </w:r>
          </w:p>
        </w:tc>
        <w:tc>
          <w:tcPr>
            <w:tcW w:w="3401" w:type="dxa"/>
            <w:vAlign w:val="center"/>
          </w:tcPr>
          <w:p w14:paraId="12C1925E">
            <w:pPr>
              <w:pStyle w:val="13"/>
            </w:pPr>
            <w:r>
              <w:t>隆财【2017】26号</w:t>
            </w:r>
          </w:p>
        </w:tc>
      </w:tr>
      <w:tr w14:paraId="393ED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70807"/>
        </w:tc>
        <w:tc>
          <w:tcPr>
            <w:tcW w:w="2268" w:type="dxa"/>
            <w:vAlign w:val="center"/>
          </w:tcPr>
          <w:p w14:paraId="7B1994A9">
            <w:pPr>
              <w:pStyle w:val="13"/>
            </w:pPr>
            <w:r>
              <w:t>可持续影响指标</w:t>
            </w:r>
          </w:p>
        </w:tc>
        <w:tc>
          <w:tcPr>
            <w:tcW w:w="2835" w:type="dxa"/>
            <w:vAlign w:val="center"/>
          </w:tcPr>
          <w:p w14:paraId="13E1D1F6">
            <w:pPr>
              <w:pStyle w:val="13"/>
            </w:pPr>
            <w:r>
              <w:t>高中运转</w:t>
            </w:r>
          </w:p>
        </w:tc>
        <w:tc>
          <w:tcPr>
            <w:tcW w:w="4029" w:type="dxa"/>
            <w:vAlign w:val="center"/>
          </w:tcPr>
          <w:p w14:paraId="2C080387">
            <w:pPr>
              <w:pStyle w:val="13"/>
            </w:pPr>
            <w:r>
              <w:t>高中生受教育年限</w:t>
            </w:r>
          </w:p>
        </w:tc>
        <w:tc>
          <w:tcPr>
            <w:tcW w:w="1500" w:type="dxa"/>
            <w:vAlign w:val="center"/>
          </w:tcPr>
          <w:p w14:paraId="53B52515">
            <w:pPr>
              <w:pStyle w:val="13"/>
            </w:pPr>
            <w:r>
              <w:t>3年</w:t>
            </w:r>
          </w:p>
        </w:tc>
        <w:tc>
          <w:tcPr>
            <w:tcW w:w="3401" w:type="dxa"/>
            <w:vAlign w:val="center"/>
          </w:tcPr>
          <w:p w14:paraId="22E6DDCA">
            <w:pPr>
              <w:pStyle w:val="13"/>
            </w:pPr>
            <w:r>
              <w:t>河北省建档立卡家庭经济困难学生资助管理暂行办法</w:t>
            </w:r>
          </w:p>
        </w:tc>
      </w:tr>
      <w:tr w14:paraId="60DCB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FC4F70">
            <w:pPr>
              <w:pStyle w:val="12"/>
            </w:pPr>
            <w:r>
              <w:t>满意度指标</w:t>
            </w:r>
          </w:p>
        </w:tc>
        <w:tc>
          <w:tcPr>
            <w:tcW w:w="2268" w:type="dxa"/>
            <w:vAlign w:val="center"/>
          </w:tcPr>
          <w:p w14:paraId="14C5F1F4">
            <w:pPr>
              <w:pStyle w:val="13"/>
            </w:pPr>
            <w:r>
              <w:t>服务对象满意度指标</w:t>
            </w:r>
          </w:p>
        </w:tc>
        <w:tc>
          <w:tcPr>
            <w:tcW w:w="2835" w:type="dxa"/>
            <w:vAlign w:val="center"/>
          </w:tcPr>
          <w:p w14:paraId="5115CADE">
            <w:pPr>
              <w:pStyle w:val="13"/>
            </w:pPr>
            <w:r>
              <w:t>提升幸福指数</w:t>
            </w:r>
          </w:p>
        </w:tc>
        <w:tc>
          <w:tcPr>
            <w:tcW w:w="4029" w:type="dxa"/>
            <w:vAlign w:val="center"/>
          </w:tcPr>
          <w:p w14:paraId="1302E1F9">
            <w:pPr>
              <w:pStyle w:val="13"/>
            </w:pPr>
            <w:r>
              <w:t>提升贫困家庭学生的幸福指数学生家长满意</w:t>
            </w:r>
          </w:p>
        </w:tc>
        <w:tc>
          <w:tcPr>
            <w:tcW w:w="1500" w:type="dxa"/>
            <w:vAlign w:val="center"/>
          </w:tcPr>
          <w:p w14:paraId="75240F8F">
            <w:pPr>
              <w:pStyle w:val="13"/>
            </w:pPr>
            <w:r>
              <w:t>≥95%</w:t>
            </w:r>
          </w:p>
        </w:tc>
        <w:tc>
          <w:tcPr>
            <w:tcW w:w="3401" w:type="dxa"/>
            <w:vAlign w:val="center"/>
          </w:tcPr>
          <w:p w14:paraId="2AC96087">
            <w:pPr>
              <w:pStyle w:val="13"/>
            </w:pPr>
            <w:r>
              <w:t>河北省建档立卡家庭经济困难学生资助管理暂行办法</w:t>
            </w:r>
          </w:p>
        </w:tc>
      </w:tr>
    </w:tbl>
    <w:p w14:paraId="0D0A99B6">
      <w:pPr>
        <w:sectPr>
          <w:pgSz w:w="16840" w:h="11900" w:orient="landscape"/>
          <w:pgMar w:top="1361" w:right="1020" w:bottom="1134" w:left="1020" w:header="720" w:footer="720" w:gutter="0"/>
          <w:cols w:space="720" w:num="1"/>
        </w:sectPr>
      </w:pPr>
    </w:p>
    <w:p w14:paraId="43DF6AF9">
      <w:pPr>
        <w:spacing w:before="0" w:after="0"/>
        <w:ind w:firstLine="560"/>
        <w:jc w:val="left"/>
        <w:outlineLvl w:val="9"/>
      </w:pPr>
      <w:r>
        <w:rPr>
          <w:rFonts w:ascii="方正仿宋_GBK" w:hAnsi="方正仿宋_GBK" w:eastAsia="方正仿宋_GBK" w:cs="方正仿宋_GBK"/>
          <w:b/>
          <w:color w:val="000000"/>
          <w:sz w:val="28"/>
        </w:rPr>
        <w:t>3、冀财教[2024]125号/中央/2025年学生资助/普通高中助学金（职教高中）绩效目标表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1A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2512E">
            <w:pPr>
              <w:pStyle w:val="14"/>
            </w:pPr>
            <w:r>
              <w:t>单位：万元</w:t>
            </w:r>
          </w:p>
        </w:tc>
      </w:tr>
      <w:tr w14:paraId="7579A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89632D">
            <w:pPr>
              <w:pStyle w:val="11"/>
            </w:pPr>
            <w:r>
              <w:t>项目编码</w:t>
            </w:r>
          </w:p>
        </w:tc>
        <w:tc>
          <w:tcPr>
            <w:tcW w:w="5103" w:type="dxa"/>
            <w:gridSpan w:val="2"/>
            <w:vAlign w:val="center"/>
          </w:tcPr>
          <w:p w14:paraId="766EFCC5">
            <w:pPr>
              <w:pStyle w:val="13"/>
            </w:pPr>
            <w:r>
              <w:t>13052525P000012100365</w:t>
            </w:r>
          </w:p>
        </w:tc>
        <w:tc>
          <w:tcPr>
            <w:tcW w:w="2835" w:type="dxa"/>
            <w:vAlign w:val="center"/>
          </w:tcPr>
          <w:p w14:paraId="7AB36707">
            <w:pPr>
              <w:pStyle w:val="11"/>
            </w:pPr>
            <w:r>
              <w:t>项目名称</w:t>
            </w:r>
          </w:p>
        </w:tc>
        <w:tc>
          <w:tcPr>
            <w:tcW w:w="6095" w:type="dxa"/>
            <w:gridSpan w:val="3"/>
            <w:vAlign w:val="center"/>
          </w:tcPr>
          <w:p w14:paraId="1B4FA78C">
            <w:pPr>
              <w:pStyle w:val="13"/>
            </w:pPr>
            <w:r>
              <w:t>冀财教[2024]125号/中央/2025年学生资助/普通高中助学金（职教高中）</w:t>
            </w:r>
          </w:p>
        </w:tc>
      </w:tr>
      <w:tr w14:paraId="5761B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03E4A">
            <w:pPr>
              <w:pStyle w:val="11"/>
            </w:pPr>
            <w:r>
              <w:t>预算规模及资金用途</w:t>
            </w:r>
          </w:p>
        </w:tc>
        <w:tc>
          <w:tcPr>
            <w:tcW w:w="2268" w:type="dxa"/>
            <w:vAlign w:val="center"/>
          </w:tcPr>
          <w:p w14:paraId="60EDBA51">
            <w:pPr>
              <w:pStyle w:val="11"/>
            </w:pPr>
            <w:r>
              <w:t>预算数</w:t>
            </w:r>
          </w:p>
        </w:tc>
        <w:tc>
          <w:tcPr>
            <w:tcW w:w="2835" w:type="dxa"/>
            <w:vAlign w:val="center"/>
          </w:tcPr>
          <w:p w14:paraId="0A3915A9">
            <w:pPr>
              <w:pStyle w:val="13"/>
            </w:pPr>
            <w:r>
              <w:t>15.00</w:t>
            </w:r>
          </w:p>
        </w:tc>
        <w:tc>
          <w:tcPr>
            <w:tcW w:w="2835" w:type="dxa"/>
            <w:vAlign w:val="center"/>
          </w:tcPr>
          <w:p w14:paraId="1BD7271A">
            <w:pPr>
              <w:pStyle w:val="11"/>
            </w:pPr>
            <w:r>
              <w:t>其中：财政    资金</w:t>
            </w:r>
          </w:p>
        </w:tc>
        <w:tc>
          <w:tcPr>
            <w:tcW w:w="2551" w:type="dxa"/>
            <w:vAlign w:val="center"/>
          </w:tcPr>
          <w:p w14:paraId="7ABBCB2D">
            <w:pPr>
              <w:pStyle w:val="13"/>
            </w:pPr>
            <w:r>
              <w:t>15.00</w:t>
            </w:r>
          </w:p>
        </w:tc>
        <w:tc>
          <w:tcPr>
            <w:tcW w:w="2268" w:type="dxa"/>
            <w:vAlign w:val="center"/>
          </w:tcPr>
          <w:p w14:paraId="478052E6">
            <w:pPr>
              <w:pStyle w:val="11"/>
            </w:pPr>
            <w:r>
              <w:t>其他资金</w:t>
            </w:r>
          </w:p>
        </w:tc>
        <w:tc>
          <w:tcPr>
            <w:tcW w:w="1276" w:type="dxa"/>
            <w:vAlign w:val="center"/>
          </w:tcPr>
          <w:p w14:paraId="673224FA">
            <w:pPr>
              <w:pStyle w:val="13"/>
            </w:pPr>
            <w:r>
              <w:t xml:space="preserve"> </w:t>
            </w:r>
          </w:p>
        </w:tc>
      </w:tr>
      <w:tr w14:paraId="4EAF0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6DFAEEF9"/>
        </w:tc>
        <w:tc>
          <w:tcPr>
            <w:tcW w:w="14033" w:type="dxa"/>
            <w:gridSpan w:val="6"/>
            <w:vAlign w:val="center"/>
          </w:tcPr>
          <w:p w14:paraId="760A825E">
            <w:pPr>
              <w:pStyle w:val="13"/>
            </w:pPr>
            <w:r>
              <w:t>中央安排普高助学金15万元，用于资助贫困学生 完成学业</w:t>
            </w:r>
          </w:p>
        </w:tc>
      </w:tr>
      <w:tr w14:paraId="3654F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E4F63">
            <w:pPr>
              <w:pStyle w:val="11"/>
            </w:pPr>
            <w:r>
              <w:t>资金支出计划（%）</w:t>
            </w:r>
          </w:p>
        </w:tc>
        <w:tc>
          <w:tcPr>
            <w:tcW w:w="5103" w:type="dxa"/>
            <w:gridSpan w:val="2"/>
            <w:vAlign w:val="center"/>
          </w:tcPr>
          <w:p w14:paraId="4C3FE80E">
            <w:pPr>
              <w:pStyle w:val="11"/>
            </w:pPr>
            <w:r>
              <w:t>3月底</w:t>
            </w:r>
          </w:p>
        </w:tc>
        <w:tc>
          <w:tcPr>
            <w:tcW w:w="2835" w:type="dxa"/>
            <w:vAlign w:val="center"/>
          </w:tcPr>
          <w:p w14:paraId="6EE0FA7E">
            <w:pPr>
              <w:pStyle w:val="11"/>
            </w:pPr>
            <w:r>
              <w:t>6月底</w:t>
            </w:r>
          </w:p>
        </w:tc>
        <w:tc>
          <w:tcPr>
            <w:tcW w:w="2551" w:type="dxa"/>
            <w:vAlign w:val="center"/>
          </w:tcPr>
          <w:p w14:paraId="0361C2ED">
            <w:pPr>
              <w:pStyle w:val="11"/>
            </w:pPr>
            <w:r>
              <w:t>10月底</w:t>
            </w:r>
          </w:p>
        </w:tc>
        <w:tc>
          <w:tcPr>
            <w:tcW w:w="3544" w:type="dxa"/>
            <w:gridSpan w:val="2"/>
            <w:vAlign w:val="center"/>
          </w:tcPr>
          <w:p w14:paraId="683F24F5">
            <w:pPr>
              <w:pStyle w:val="11"/>
            </w:pPr>
            <w:r>
              <w:t>12月底</w:t>
            </w:r>
          </w:p>
        </w:tc>
      </w:tr>
      <w:tr w14:paraId="623D3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A839C"/>
        </w:tc>
        <w:tc>
          <w:tcPr>
            <w:tcW w:w="5103" w:type="dxa"/>
            <w:gridSpan w:val="2"/>
            <w:vAlign w:val="center"/>
          </w:tcPr>
          <w:p w14:paraId="20E5580A">
            <w:pPr>
              <w:pStyle w:val="12"/>
            </w:pPr>
            <w:r>
              <w:t xml:space="preserve"> </w:t>
            </w:r>
          </w:p>
        </w:tc>
        <w:tc>
          <w:tcPr>
            <w:tcW w:w="2835" w:type="dxa"/>
            <w:vAlign w:val="center"/>
          </w:tcPr>
          <w:p w14:paraId="61D4CF19">
            <w:pPr>
              <w:pStyle w:val="12"/>
            </w:pPr>
            <w:r>
              <w:t>50%</w:t>
            </w:r>
          </w:p>
        </w:tc>
        <w:tc>
          <w:tcPr>
            <w:tcW w:w="2551" w:type="dxa"/>
            <w:vAlign w:val="center"/>
          </w:tcPr>
          <w:p w14:paraId="2B2382CB">
            <w:pPr>
              <w:pStyle w:val="12"/>
            </w:pPr>
            <w:r>
              <w:t>50%</w:t>
            </w:r>
          </w:p>
        </w:tc>
        <w:tc>
          <w:tcPr>
            <w:tcW w:w="3544" w:type="dxa"/>
            <w:gridSpan w:val="2"/>
            <w:vAlign w:val="center"/>
          </w:tcPr>
          <w:p w14:paraId="328F9CF3">
            <w:pPr>
              <w:pStyle w:val="12"/>
            </w:pPr>
            <w:r>
              <w:t>100%</w:t>
            </w:r>
          </w:p>
        </w:tc>
      </w:tr>
      <w:tr w14:paraId="6D6B6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F40B20">
            <w:pPr>
              <w:pStyle w:val="11"/>
            </w:pPr>
            <w:r>
              <w:t>绩效目标</w:t>
            </w:r>
          </w:p>
        </w:tc>
        <w:tc>
          <w:tcPr>
            <w:tcW w:w="14033" w:type="dxa"/>
            <w:gridSpan w:val="6"/>
            <w:vAlign w:val="center"/>
          </w:tcPr>
          <w:p w14:paraId="722CE3A0">
            <w:pPr>
              <w:pStyle w:val="13"/>
            </w:pPr>
            <w:r>
              <w:t>1.中央安排普高助学金15万元，用于资助贫困学生 完成学业</w:t>
            </w:r>
          </w:p>
        </w:tc>
      </w:tr>
    </w:tbl>
    <w:p w14:paraId="4A0E2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609"/>
        <w:gridCol w:w="1455"/>
        <w:gridCol w:w="3866"/>
      </w:tblGrid>
      <w:tr w14:paraId="58ED2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6E257">
            <w:pPr>
              <w:pStyle w:val="11"/>
            </w:pPr>
            <w:r>
              <w:t>一级指标</w:t>
            </w:r>
          </w:p>
        </w:tc>
        <w:tc>
          <w:tcPr>
            <w:tcW w:w="2268" w:type="dxa"/>
            <w:vAlign w:val="center"/>
          </w:tcPr>
          <w:p w14:paraId="5137F9C5">
            <w:pPr>
              <w:pStyle w:val="11"/>
            </w:pPr>
            <w:r>
              <w:t>二级指标</w:t>
            </w:r>
          </w:p>
        </w:tc>
        <w:tc>
          <w:tcPr>
            <w:tcW w:w="2835" w:type="dxa"/>
            <w:vAlign w:val="center"/>
          </w:tcPr>
          <w:p w14:paraId="59EDEEC7">
            <w:pPr>
              <w:pStyle w:val="11"/>
            </w:pPr>
            <w:r>
              <w:t>三级指标</w:t>
            </w:r>
          </w:p>
        </w:tc>
        <w:tc>
          <w:tcPr>
            <w:tcW w:w="3609" w:type="dxa"/>
            <w:vAlign w:val="center"/>
          </w:tcPr>
          <w:p w14:paraId="458C99EE">
            <w:pPr>
              <w:pStyle w:val="11"/>
            </w:pPr>
            <w:r>
              <w:t>绩效指标描述</w:t>
            </w:r>
          </w:p>
        </w:tc>
        <w:tc>
          <w:tcPr>
            <w:tcW w:w="1455" w:type="dxa"/>
            <w:vAlign w:val="center"/>
          </w:tcPr>
          <w:p w14:paraId="6997252B">
            <w:pPr>
              <w:pStyle w:val="11"/>
            </w:pPr>
            <w:r>
              <w:t>指标值</w:t>
            </w:r>
          </w:p>
        </w:tc>
        <w:tc>
          <w:tcPr>
            <w:tcW w:w="3866" w:type="dxa"/>
            <w:vAlign w:val="center"/>
          </w:tcPr>
          <w:p w14:paraId="281EA38D">
            <w:pPr>
              <w:pStyle w:val="11"/>
            </w:pPr>
            <w:r>
              <w:t>指标值确定依据</w:t>
            </w:r>
          </w:p>
        </w:tc>
      </w:tr>
      <w:tr w14:paraId="585DE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12E9E">
            <w:pPr>
              <w:pStyle w:val="12"/>
            </w:pPr>
            <w:r>
              <w:t>产出指标</w:t>
            </w:r>
          </w:p>
        </w:tc>
        <w:tc>
          <w:tcPr>
            <w:tcW w:w="2268" w:type="dxa"/>
            <w:vAlign w:val="center"/>
          </w:tcPr>
          <w:p w14:paraId="30394084">
            <w:pPr>
              <w:pStyle w:val="13"/>
            </w:pPr>
            <w:r>
              <w:t>数量指标</w:t>
            </w:r>
          </w:p>
        </w:tc>
        <w:tc>
          <w:tcPr>
            <w:tcW w:w="2835" w:type="dxa"/>
            <w:vAlign w:val="center"/>
          </w:tcPr>
          <w:p w14:paraId="2D27447A">
            <w:pPr>
              <w:pStyle w:val="13"/>
            </w:pPr>
            <w:r>
              <w:t>普通高中享受人数</w:t>
            </w:r>
          </w:p>
        </w:tc>
        <w:tc>
          <w:tcPr>
            <w:tcW w:w="3609" w:type="dxa"/>
            <w:vAlign w:val="center"/>
          </w:tcPr>
          <w:p w14:paraId="172482BA">
            <w:pPr>
              <w:pStyle w:val="13"/>
            </w:pPr>
            <w:r>
              <w:t>普通高中享受助学金人数</w:t>
            </w:r>
          </w:p>
        </w:tc>
        <w:tc>
          <w:tcPr>
            <w:tcW w:w="1455" w:type="dxa"/>
            <w:vAlign w:val="center"/>
          </w:tcPr>
          <w:p w14:paraId="019DE395">
            <w:pPr>
              <w:pStyle w:val="13"/>
            </w:pPr>
            <w:r>
              <w:t>≥153人</w:t>
            </w:r>
          </w:p>
        </w:tc>
        <w:tc>
          <w:tcPr>
            <w:tcW w:w="3866" w:type="dxa"/>
            <w:vAlign w:val="center"/>
          </w:tcPr>
          <w:p w14:paraId="7C3799AA">
            <w:pPr>
              <w:pStyle w:val="13"/>
            </w:pPr>
            <w:r>
              <w:t>【隆尧县普通高中高中国家助学金管理办法的通知】隆财【2018】105号，</w:t>
            </w:r>
          </w:p>
        </w:tc>
      </w:tr>
      <w:tr w14:paraId="4A028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38C8B"/>
        </w:tc>
        <w:tc>
          <w:tcPr>
            <w:tcW w:w="2268" w:type="dxa"/>
            <w:vAlign w:val="center"/>
          </w:tcPr>
          <w:p w14:paraId="22B94C1F">
            <w:pPr>
              <w:pStyle w:val="13"/>
            </w:pPr>
            <w:r>
              <w:t>质量指标</w:t>
            </w:r>
          </w:p>
        </w:tc>
        <w:tc>
          <w:tcPr>
            <w:tcW w:w="2835" w:type="dxa"/>
            <w:vAlign w:val="center"/>
          </w:tcPr>
          <w:p w14:paraId="0EC98A98">
            <w:pPr>
              <w:pStyle w:val="13"/>
            </w:pPr>
            <w:r>
              <w:t>完成助学金发放工作</w:t>
            </w:r>
          </w:p>
        </w:tc>
        <w:tc>
          <w:tcPr>
            <w:tcW w:w="3609" w:type="dxa"/>
            <w:vAlign w:val="center"/>
          </w:tcPr>
          <w:p w14:paraId="03E54A48">
            <w:pPr>
              <w:pStyle w:val="13"/>
            </w:pPr>
            <w:r>
              <w:t>普高助学金享受比例</w:t>
            </w:r>
          </w:p>
        </w:tc>
        <w:tc>
          <w:tcPr>
            <w:tcW w:w="1455" w:type="dxa"/>
            <w:vAlign w:val="center"/>
          </w:tcPr>
          <w:p w14:paraId="67C6DBB2">
            <w:pPr>
              <w:pStyle w:val="13"/>
            </w:pPr>
            <w:r>
              <w:t>≥18%</w:t>
            </w:r>
          </w:p>
        </w:tc>
        <w:tc>
          <w:tcPr>
            <w:tcW w:w="3866" w:type="dxa"/>
            <w:vAlign w:val="center"/>
          </w:tcPr>
          <w:p w14:paraId="41BAD0DA">
            <w:pPr>
              <w:pStyle w:val="13"/>
            </w:pPr>
            <w:r>
              <w:t>【隆尧县普通高中高中国家助学金管理办法的通知】隆财【2018】105号，</w:t>
            </w:r>
          </w:p>
        </w:tc>
      </w:tr>
      <w:tr w14:paraId="69D3E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CE8BD"/>
        </w:tc>
        <w:tc>
          <w:tcPr>
            <w:tcW w:w="2268" w:type="dxa"/>
            <w:vAlign w:val="center"/>
          </w:tcPr>
          <w:p w14:paraId="081B2E16">
            <w:pPr>
              <w:pStyle w:val="13"/>
            </w:pPr>
            <w:r>
              <w:t>时效指标</w:t>
            </w:r>
          </w:p>
        </w:tc>
        <w:tc>
          <w:tcPr>
            <w:tcW w:w="2835" w:type="dxa"/>
            <w:vAlign w:val="center"/>
          </w:tcPr>
          <w:p w14:paraId="3449E4FE">
            <w:pPr>
              <w:pStyle w:val="13"/>
            </w:pPr>
            <w:r>
              <w:t>助学金及时足额发放</w:t>
            </w:r>
          </w:p>
        </w:tc>
        <w:tc>
          <w:tcPr>
            <w:tcW w:w="3609" w:type="dxa"/>
            <w:vAlign w:val="center"/>
          </w:tcPr>
          <w:p w14:paraId="784C6F11">
            <w:pPr>
              <w:pStyle w:val="13"/>
            </w:pPr>
            <w:r>
              <w:t>助学金及时足额发放率</w:t>
            </w:r>
          </w:p>
        </w:tc>
        <w:tc>
          <w:tcPr>
            <w:tcW w:w="1455" w:type="dxa"/>
            <w:vAlign w:val="center"/>
          </w:tcPr>
          <w:p w14:paraId="61BBE642">
            <w:pPr>
              <w:pStyle w:val="13"/>
            </w:pPr>
            <w:r>
              <w:t>≥100%</w:t>
            </w:r>
          </w:p>
        </w:tc>
        <w:tc>
          <w:tcPr>
            <w:tcW w:w="3866" w:type="dxa"/>
            <w:vAlign w:val="center"/>
          </w:tcPr>
          <w:p w14:paraId="58A4DF2C">
            <w:pPr>
              <w:pStyle w:val="13"/>
            </w:pPr>
            <w:r>
              <w:t>【隆尧县普通高中高中国家助学金管理办法的通知】隆财【2018】105号，</w:t>
            </w:r>
          </w:p>
        </w:tc>
      </w:tr>
      <w:tr w14:paraId="772BD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EE7A7"/>
        </w:tc>
        <w:tc>
          <w:tcPr>
            <w:tcW w:w="2268" w:type="dxa"/>
            <w:vAlign w:val="center"/>
          </w:tcPr>
          <w:p w14:paraId="006FF934">
            <w:pPr>
              <w:pStyle w:val="13"/>
            </w:pPr>
            <w:r>
              <w:t>成本指标</w:t>
            </w:r>
          </w:p>
        </w:tc>
        <w:tc>
          <w:tcPr>
            <w:tcW w:w="2835" w:type="dxa"/>
            <w:vAlign w:val="center"/>
          </w:tcPr>
          <w:p w14:paraId="3F5B4F09">
            <w:pPr>
              <w:pStyle w:val="13"/>
            </w:pPr>
            <w:r>
              <w:t>普通高中助学金标准</w:t>
            </w:r>
          </w:p>
        </w:tc>
        <w:tc>
          <w:tcPr>
            <w:tcW w:w="3609" w:type="dxa"/>
            <w:vAlign w:val="center"/>
          </w:tcPr>
          <w:p w14:paraId="2A78C703">
            <w:pPr>
              <w:pStyle w:val="13"/>
            </w:pPr>
            <w:r>
              <w:t>普通高中助学金资助标准2300/生/年</w:t>
            </w:r>
          </w:p>
        </w:tc>
        <w:tc>
          <w:tcPr>
            <w:tcW w:w="1455" w:type="dxa"/>
            <w:vAlign w:val="center"/>
          </w:tcPr>
          <w:p w14:paraId="1179EF79">
            <w:pPr>
              <w:pStyle w:val="13"/>
            </w:pPr>
            <w:r>
              <w:t>2300元</w:t>
            </w:r>
          </w:p>
        </w:tc>
        <w:tc>
          <w:tcPr>
            <w:tcW w:w="3866" w:type="dxa"/>
            <w:vAlign w:val="center"/>
          </w:tcPr>
          <w:p w14:paraId="0441ECED">
            <w:pPr>
              <w:pStyle w:val="13"/>
            </w:pPr>
            <w:r>
              <w:t>【隆尧县普通高中高中国家助学金管理办法的通知】隆财【2018】105号，</w:t>
            </w:r>
          </w:p>
        </w:tc>
      </w:tr>
      <w:tr w14:paraId="73C8D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94248">
            <w:pPr>
              <w:pStyle w:val="12"/>
            </w:pPr>
            <w:r>
              <w:t>效益指标</w:t>
            </w:r>
          </w:p>
        </w:tc>
        <w:tc>
          <w:tcPr>
            <w:tcW w:w="2268" w:type="dxa"/>
            <w:vAlign w:val="center"/>
          </w:tcPr>
          <w:p w14:paraId="1A3249A9">
            <w:pPr>
              <w:pStyle w:val="13"/>
            </w:pPr>
            <w:r>
              <w:t>社会效益指标</w:t>
            </w:r>
          </w:p>
        </w:tc>
        <w:tc>
          <w:tcPr>
            <w:tcW w:w="2835" w:type="dxa"/>
            <w:vAlign w:val="center"/>
          </w:tcPr>
          <w:p w14:paraId="1C244FB4">
            <w:pPr>
              <w:pStyle w:val="13"/>
            </w:pPr>
            <w:r>
              <w:t>增加贫困家庭经济收入</w:t>
            </w:r>
          </w:p>
        </w:tc>
        <w:tc>
          <w:tcPr>
            <w:tcW w:w="3609" w:type="dxa"/>
            <w:vAlign w:val="center"/>
          </w:tcPr>
          <w:p w14:paraId="21086E06">
            <w:pPr>
              <w:pStyle w:val="13"/>
            </w:pPr>
            <w:r>
              <w:t>增加贫困家庭经济收入</w:t>
            </w:r>
          </w:p>
        </w:tc>
        <w:tc>
          <w:tcPr>
            <w:tcW w:w="1455" w:type="dxa"/>
            <w:vAlign w:val="center"/>
          </w:tcPr>
          <w:p w14:paraId="04161C54">
            <w:pPr>
              <w:pStyle w:val="13"/>
            </w:pPr>
            <w:r>
              <w:t>≥100%</w:t>
            </w:r>
          </w:p>
        </w:tc>
        <w:tc>
          <w:tcPr>
            <w:tcW w:w="3866" w:type="dxa"/>
            <w:vAlign w:val="center"/>
          </w:tcPr>
          <w:p w14:paraId="5FD8A186">
            <w:pPr>
              <w:pStyle w:val="13"/>
            </w:pPr>
            <w:r>
              <w:t>【隆尧县普通高中高中国家助学金管理办法的通知】隆财【2018】105号，</w:t>
            </w:r>
          </w:p>
        </w:tc>
      </w:tr>
      <w:tr w14:paraId="3FE88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67A4A"/>
        </w:tc>
        <w:tc>
          <w:tcPr>
            <w:tcW w:w="2268" w:type="dxa"/>
            <w:vAlign w:val="center"/>
          </w:tcPr>
          <w:p w14:paraId="6CFDB1BA">
            <w:pPr>
              <w:pStyle w:val="13"/>
            </w:pPr>
            <w:r>
              <w:t>可持续影响指标</w:t>
            </w:r>
          </w:p>
        </w:tc>
        <w:tc>
          <w:tcPr>
            <w:tcW w:w="2835" w:type="dxa"/>
            <w:vAlign w:val="center"/>
          </w:tcPr>
          <w:p w14:paraId="2CCB505D">
            <w:pPr>
              <w:pStyle w:val="13"/>
            </w:pPr>
            <w:r>
              <w:t>高中运转</w:t>
            </w:r>
          </w:p>
        </w:tc>
        <w:tc>
          <w:tcPr>
            <w:tcW w:w="3609" w:type="dxa"/>
            <w:vAlign w:val="center"/>
          </w:tcPr>
          <w:p w14:paraId="508B0CAE">
            <w:pPr>
              <w:pStyle w:val="13"/>
            </w:pPr>
            <w:r>
              <w:t>高中学生受教育年限</w:t>
            </w:r>
          </w:p>
        </w:tc>
        <w:tc>
          <w:tcPr>
            <w:tcW w:w="1455" w:type="dxa"/>
            <w:vAlign w:val="center"/>
          </w:tcPr>
          <w:p w14:paraId="37CE6B14">
            <w:pPr>
              <w:pStyle w:val="13"/>
            </w:pPr>
            <w:r>
              <w:t>3年</w:t>
            </w:r>
          </w:p>
        </w:tc>
        <w:tc>
          <w:tcPr>
            <w:tcW w:w="3866" w:type="dxa"/>
            <w:vAlign w:val="center"/>
          </w:tcPr>
          <w:p w14:paraId="7321924B">
            <w:pPr>
              <w:pStyle w:val="13"/>
            </w:pPr>
            <w:r>
              <w:t>【隆尧县普通高中高中国家助学金管理办法的通知】隆财【2018】105号，</w:t>
            </w:r>
          </w:p>
        </w:tc>
      </w:tr>
      <w:tr w14:paraId="6FAA3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B4F41B">
            <w:pPr>
              <w:pStyle w:val="12"/>
            </w:pPr>
            <w:r>
              <w:t>满意度指标</w:t>
            </w:r>
          </w:p>
        </w:tc>
        <w:tc>
          <w:tcPr>
            <w:tcW w:w="2268" w:type="dxa"/>
            <w:vAlign w:val="center"/>
          </w:tcPr>
          <w:p w14:paraId="1C0FAAF2">
            <w:pPr>
              <w:pStyle w:val="13"/>
            </w:pPr>
            <w:r>
              <w:t>服务对象满意度指标</w:t>
            </w:r>
          </w:p>
        </w:tc>
        <w:tc>
          <w:tcPr>
            <w:tcW w:w="2835" w:type="dxa"/>
            <w:vAlign w:val="center"/>
          </w:tcPr>
          <w:p w14:paraId="62E5BD0A">
            <w:pPr>
              <w:pStyle w:val="13"/>
            </w:pPr>
            <w:r>
              <w:t>学生家长</w:t>
            </w:r>
          </w:p>
        </w:tc>
        <w:tc>
          <w:tcPr>
            <w:tcW w:w="3609" w:type="dxa"/>
            <w:vAlign w:val="center"/>
          </w:tcPr>
          <w:p w14:paraId="00DF447A">
            <w:pPr>
              <w:pStyle w:val="13"/>
            </w:pPr>
            <w:r>
              <w:t>学生家长满意度</w:t>
            </w:r>
          </w:p>
        </w:tc>
        <w:tc>
          <w:tcPr>
            <w:tcW w:w="1455" w:type="dxa"/>
            <w:vAlign w:val="center"/>
          </w:tcPr>
          <w:p w14:paraId="68417D14">
            <w:pPr>
              <w:pStyle w:val="13"/>
            </w:pPr>
            <w:r>
              <w:t>≥95%</w:t>
            </w:r>
          </w:p>
        </w:tc>
        <w:tc>
          <w:tcPr>
            <w:tcW w:w="3866" w:type="dxa"/>
            <w:vAlign w:val="center"/>
          </w:tcPr>
          <w:p w14:paraId="4CB174D9">
            <w:pPr>
              <w:pStyle w:val="13"/>
            </w:pPr>
            <w:r>
              <w:t>座谈会、调查问卷等</w:t>
            </w:r>
          </w:p>
        </w:tc>
      </w:tr>
    </w:tbl>
    <w:p w14:paraId="0A1AB159">
      <w:pPr>
        <w:sectPr>
          <w:pgSz w:w="16840" w:h="11900" w:orient="landscape"/>
          <w:pgMar w:top="1361" w:right="1020" w:bottom="1134" w:left="1020" w:header="720" w:footer="720" w:gutter="0"/>
          <w:cols w:space="720" w:num="1"/>
        </w:sectPr>
      </w:pPr>
    </w:p>
    <w:p w14:paraId="1D9D6CD8">
      <w:pPr>
        <w:spacing w:before="0" w:after="0"/>
        <w:ind w:firstLine="560"/>
        <w:jc w:val="left"/>
        <w:outlineLvl w:val="9"/>
      </w:pPr>
      <w:r>
        <w:rPr>
          <w:rFonts w:ascii="方正仿宋_GBK" w:hAnsi="方正仿宋_GBK" w:eastAsia="方正仿宋_GBK" w:cs="方正仿宋_GBK"/>
          <w:b/>
          <w:color w:val="000000"/>
          <w:sz w:val="28"/>
        </w:rPr>
        <w:t>4、冀财教[2024]125号/中央/2025年学生资助/中职免学费（职教中职）绩效目标表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6C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62C9E">
            <w:pPr>
              <w:pStyle w:val="14"/>
            </w:pPr>
            <w:r>
              <w:t>单位：万元</w:t>
            </w:r>
          </w:p>
        </w:tc>
      </w:tr>
      <w:tr w14:paraId="6B995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3E933">
            <w:pPr>
              <w:pStyle w:val="11"/>
            </w:pPr>
            <w:r>
              <w:t>项目编码</w:t>
            </w:r>
          </w:p>
        </w:tc>
        <w:tc>
          <w:tcPr>
            <w:tcW w:w="5103" w:type="dxa"/>
            <w:gridSpan w:val="2"/>
            <w:vAlign w:val="center"/>
          </w:tcPr>
          <w:p w14:paraId="23940865">
            <w:pPr>
              <w:pStyle w:val="13"/>
            </w:pPr>
            <w:r>
              <w:t>13052525P000014100180</w:t>
            </w:r>
          </w:p>
        </w:tc>
        <w:tc>
          <w:tcPr>
            <w:tcW w:w="2835" w:type="dxa"/>
            <w:vAlign w:val="center"/>
          </w:tcPr>
          <w:p w14:paraId="339474A2">
            <w:pPr>
              <w:pStyle w:val="11"/>
            </w:pPr>
            <w:r>
              <w:t>项目名称</w:t>
            </w:r>
          </w:p>
        </w:tc>
        <w:tc>
          <w:tcPr>
            <w:tcW w:w="6095" w:type="dxa"/>
            <w:gridSpan w:val="3"/>
            <w:vAlign w:val="center"/>
          </w:tcPr>
          <w:p w14:paraId="4C31F0FB">
            <w:pPr>
              <w:pStyle w:val="13"/>
            </w:pPr>
            <w:r>
              <w:t>冀财教[2024]125号/中央/2025年学生资助/中职免学费（职教中职）</w:t>
            </w:r>
          </w:p>
        </w:tc>
      </w:tr>
      <w:tr w14:paraId="0D867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A0F3E">
            <w:pPr>
              <w:pStyle w:val="11"/>
            </w:pPr>
            <w:r>
              <w:t>预算规模及资金用途</w:t>
            </w:r>
          </w:p>
        </w:tc>
        <w:tc>
          <w:tcPr>
            <w:tcW w:w="2268" w:type="dxa"/>
            <w:vAlign w:val="center"/>
          </w:tcPr>
          <w:p w14:paraId="3C38423D">
            <w:pPr>
              <w:pStyle w:val="11"/>
            </w:pPr>
            <w:r>
              <w:t>预算数</w:t>
            </w:r>
          </w:p>
        </w:tc>
        <w:tc>
          <w:tcPr>
            <w:tcW w:w="2835" w:type="dxa"/>
            <w:vAlign w:val="center"/>
          </w:tcPr>
          <w:p w14:paraId="3B44C402">
            <w:pPr>
              <w:pStyle w:val="13"/>
            </w:pPr>
            <w:r>
              <w:t>142.00</w:t>
            </w:r>
          </w:p>
        </w:tc>
        <w:tc>
          <w:tcPr>
            <w:tcW w:w="2835" w:type="dxa"/>
            <w:vAlign w:val="center"/>
          </w:tcPr>
          <w:p w14:paraId="1422E807">
            <w:pPr>
              <w:pStyle w:val="11"/>
            </w:pPr>
            <w:r>
              <w:t>其中：财政    资金</w:t>
            </w:r>
          </w:p>
        </w:tc>
        <w:tc>
          <w:tcPr>
            <w:tcW w:w="2551" w:type="dxa"/>
            <w:vAlign w:val="center"/>
          </w:tcPr>
          <w:p w14:paraId="380B6E47">
            <w:pPr>
              <w:pStyle w:val="13"/>
            </w:pPr>
            <w:r>
              <w:t>142.00</w:t>
            </w:r>
          </w:p>
        </w:tc>
        <w:tc>
          <w:tcPr>
            <w:tcW w:w="2268" w:type="dxa"/>
            <w:vAlign w:val="center"/>
          </w:tcPr>
          <w:p w14:paraId="22C4767E">
            <w:pPr>
              <w:pStyle w:val="11"/>
            </w:pPr>
            <w:r>
              <w:t>其他资金</w:t>
            </w:r>
          </w:p>
        </w:tc>
        <w:tc>
          <w:tcPr>
            <w:tcW w:w="1276" w:type="dxa"/>
            <w:vAlign w:val="center"/>
          </w:tcPr>
          <w:p w14:paraId="7C34E4A4">
            <w:pPr>
              <w:pStyle w:val="13"/>
            </w:pPr>
            <w:r>
              <w:t xml:space="preserve"> </w:t>
            </w:r>
          </w:p>
        </w:tc>
      </w:tr>
      <w:tr w14:paraId="17F0D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446BFC"/>
        </w:tc>
        <w:tc>
          <w:tcPr>
            <w:tcW w:w="14033" w:type="dxa"/>
            <w:gridSpan w:val="6"/>
            <w:vAlign w:val="center"/>
          </w:tcPr>
          <w:p w14:paraId="3271FDA4">
            <w:pPr>
              <w:pStyle w:val="13"/>
            </w:pPr>
            <w:r>
              <w:t>中央安排中职免学费资金142万元，用于减免学生学费后公用经费不足，资金主要用于修缮教学楼、大数据实训室建设等</w:t>
            </w:r>
          </w:p>
        </w:tc>
      </w:tr>
      <w:tr w14:paraId="7D9FF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11D37">
            <w:pPr>
              <w:pStyle w:val="11"/>
            </w:pPr>
            <w:r>
              <w:t>资金支出计划（%）</w:t>
            </w:r>
          </w:p>
        </w:tc>
        <w:tc>
          <w:tcPr>
            <w:tcW w:w="5103" w:type="dxa"/>
            <w:gridSpan w:val="2"/>
            <w:vAlign w:val="center"/>
          </w:tcPr>
          <w:p w14:paraId="3A8E8737">
            <w:pPr>
              <w:pStyle w:val="11"/>
            </w:pPr>
            <w:r>
              <w:t>3月底</w:t>
            </w:r>
          </w:p>
        </w:tc>
        <w:tc>
          <w:tcPr>
            <w:tcW w:w="2835" w:type="dxa"/>
            <w:vAlign w:val="center"/>
          </w:tcPr>
          <w:p w14:paraId="1929F115">
            <w:pPr>
              <w:pStyle w:val="11"/>
            </w:pPr>
            <w:r>
              <w:t>6月底</w:t>
            </w:r>
          </w:p>
        </w:tc>
        <w:tc>
          <w:tcPr>
            <w:tcW w:w="2551" w:type="dxa"/>
            <w:vAlign w:val="center"/>
          </w:tcPr>
          <w:p w14:paraId="1B02628B">
            <w:pPr>
              <w:pStyle w:val="11"/>
            </w:pPr>
            <w:r>
              <w:t>10月底</w:t>
            </w:r>
          </w:p>
        </w:tc>
        <w:tc>
          <w:tcPr>
            <w:tcW w:w="3544" w:type="dxa"/>
            <w:gridSpan w:val="2"/>
            <w:vAlign w:val="center"/>
          </w:tcPr>
          <w:p w14:paraId="6DBB8843">
            <w:pPr>
              <w:pStyle w:val="11"/>
            </w:pPr>
            <w:r>
              <w:t>12月底</w:t>
            </w:r>
          </w:p>
        </w:tc>
      </w:tr>
      <w:tr w14:paraId="1A493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6BE0F1"/>
        </w:tc>
        <w:tc>
          <w:tcPr>
            <w:tcW w:w="5103" w:type="dxa"/>
            <w:gridSpan w:val="2"/>
            <w:vAlign w:val="center"/>
          </w:tcPr>
          <w:p w14:paraId="216631B6">
            <w:pPr>
              <w:pStyle w:val="12"/>
            </w:pPr>
            <w:r>
              <w:t xml:space="preserve"> </w:t>
            </w:r>
          </w:p>
        </w:tc>
        <w:tc>
          <w:tcPr>
            <w:tcW w:w="2835" w:type="dxa"/>
            <w:vAlign w:val="center"/>
          </w:tcPr>
          <w:p w14:paraId="1307FD77">
            <w:pPr>
              <w:pStyle w:val="12"/>
            </w:pPr>
            <w:r>
              <w:t>50%</w:t>
            </w:r>
          </w:p>
        </w:tc>
        <w:tc>
          <w:tcPr>
            <w:tcW w:w="2551" w:type="dxa"/>
            <w:vAlign w:val="center"/>
          </w:tcPr>
          <w:p w14:paraId="2AE1FC2D">
            <w:pPr>
              <w:pStyle w:val="12"/>
            </w:pPr>
            <w:r>
              <w:t>50%</w:t>
            </w:r>
          </w:p>
        </w:tc>
        <w:tc>
          <w:tcPr>
            <w:tcW w:w="3544" w:type="dxa"/>
            <w:gridSpan w:val="2"/>
            <w:vAlign w:val="center"/>
          </w:tcPr>
          <w:p w14:paraId="2BE73973">
            <w:pPr>
              <w:pStyle w:val="12"/>
            </w:pPr>
            <w:r>
              <w:t>100%</w:t>
            </w:r>
          </w:p>
        </w:tc>
      </w:tr>
      <w:tr w14:paraId="057C7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1656A7">
            <w:pPr>
              <w:pStyle w:val="11"/>
            </w:pPr>
            <w:r>
              <w:t>绩效目标</w:t>
            </w:r>
          </w:p>
        </w:tc>
        <w:tc>
          <w:tcPr>
            <w:tcW w:w="14033" w:type="dxa"/>
            <w:gridSpan w:val="6"/>
            <w:vAlign w:val="center"/>
          </w:tcPr>
          <w:p w14:paraId="021444BF">
            <w:pPr>
              <w:pStyle w:val="13"/>
            </w:pPr>
            <w:r>
              <w:t>1.中央中职免学费安排资金142万元，用于减免学生学费后公用经费不足</w:t>
            </w:r>
          </w:p>
        </w:tc>
      </w:tr>
    </w:tbl>
    <w:p w14:paraId="065694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14:paraId="47430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482A9">
            <w:pPr>
              <w:pStyle w:val="11"/>
            </w:pPr>
            <w:r>
              <w:t>一级指标</w:t>
            </w:r>
          </w:p>
        </w:tc>
        <w:tc>
          <w:tcPr>
            <w:tcW w:w="2268" w:type="dxa"/>
            <w:vAlign w:val="center"/>
          </w:tcPr>
          <w:p w14:paraId="62A7726B">
            <w:pPr>
              <w:pStyle w:val="11"/>
            </w:pPr>
            <w:r>
              <w:t>二级指标</w:t>
            </w:r>
          </w:p>
        </w:tc>
        <w:tc>
          <w:tcPr>
            <w:tcW w:w="2835" w:type="dxa"/>
            <w:vAlign w:val="center"/>
          </w:tcPr>
          <w:p w14:paraId="3ED690B4">
            <w:pPr>
              <w:pStyle w:val="11"/>
            </w:pPr>
            <w:r>
              <w:t>三级指标</w:t>
            </w:r>
          </w:p>
        </w:tc>
        <w:tc>
          <w:tcPr>
            <w:tcW w:w="5386" w:type="dxa"/>
            <w:vAlign w:val="center"/>
          </w:tcPr>
          <w:p w14:paraId="6E03AE96">
            <w:pPr>
              <w:pStyle w:val="11"/>
            </w:pPr>
            <w:r>
              <w:t>绩效指标描述</w:t>
            </w:r>
          </w:p>
        </w:tc>
        <w:tc>
          <w:tcPr>
            <w:tcW w:w="1958" w:type="dxa"/>
            <w:vAlign w:val="center"/>
          </w:tcPr>
          <w:p w14:paraId="01F7C92C">
            <w:pPr>
              <w:pStyle w:val="11"/>
            </w:pPr>
            <w:r>
              <w:t>指标值</w:t>
            </w:r>
          </w:p>
        </w:tc>
        <w:tc>
          <w:tcPr>
            <w:tcW w:w="1586" w:type="dxa"/>
            <w:vAlign w:val="center"/>
          </w:tcPr>
          <w:p w14:paraId="2D1A8F4E">
            <w:pPr>
              <w:pStyle w:val="11"/>
            </w:pPr>
            <w:r>
              <w:t>指标值确定依据</w:t>
            </w:r>
          </w:p>
        </w:tc>
      </w:tr>
      <w:tr w14:paraId="5A9DA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517B7918">
            <w:pPr>
              <w:pStyle w:val="12"/>
            </w:pPr>
            <w:r>
              <w:t>产出指标</w:t>
            </w:r>
          </w:p>
        </w:tc>
        <w:tc>
          <w:tcPr>
            <w:tcW w:w="2268" w:type="dxa"/>
            <w:vAlign w:val="center"/>
          </w:tcPr>
          <w:p w14:paraId="4C00DFF3">
            <w:pPr>
              <w:pStyle w:val="13"/>
            </w:pPr>
            <w:r>
              <w:t>数量指标</w:t>
            </w:r>
          </w:p>
        </w:tc>
        <w:tc>
          <w:tcPr>
            <w:tcW w:w="2835" w:type="dxa"/>
            <w:vAlign w:val="center"/>
          </w:tcPr>
          <w:p w14:paraId="138FE083">
            <w:pPr>
              <w:pStyle w:val="13"/>
            </w:pPr>
            <w:r>
              <w:t>免学费补助人数</w:t>
            </w:r>
          </w:p>
        </w:tc>
        <w:tc>
          <w:tcPr>
            <w:tcW w:w="5386" w:type="dxa"/>
            <w:vAlign w:val="center"/>
          </w:tcPr>
          <w:p w14:paraId="5CB1A531">
            <w:pPr>
              <w:pStyle w:val="13"/>
            </w:pPr>
            <w:r>
              <w:t>免学费补助人数</w:t>
            </w:r>
          </w:p>
        </w:tc>
        <w:tc>
          <w:tcPr>
            <w:tcW w:w="1958" w:type="dxa"/>
            <w:vAlign w:val="center"/>
          </w:tcPr>
          <w:p w14:paraId="652CFEEA">
            <w:pPr>
              <w:pStyle w:val="13"/>
            </w:pPr>
            <w:r>
              <w:t>1376人</w:t>
            </w:r>
          </w:p>
        </w:tc>
        <w:tc>
          <w:tcPr>
            <w:tcW w:w="1586" w:type="dxa"/>
            <w:vAlign w:val="center"/>
          </w:tcPr>
          <w:p w14:paraId="6B488AD8">
            <w:pPr>
              <w:pStyle w:val="13"/>
            </w:pPr>
            <w:r>
              <w:t>年度预算</w:t>
            </w:r>
          </w:p>
        </w:tc>
      </w:tr>
      <w:tr w14:paraId="58E45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53DF4"/>
        </w:tc>
        <w:tc>
          <w:tcPr>
            <w:tcW w:w="2268" w:type="dxa"/>
            <w:vAlign w:val="center"/>
          </w:tcPr>
          <w:p w14:paraId="567606CA">
            <w:pPr>
              <w:pStyle w:val="13"/>
            </w:pPr>
            <w:r>
              <w:t>质量指标</w:t>
            </w:r>
          </w:p>
        </w:tc>
        <w:tc>
          <w:tcPr>
            <w:tcW w:w="2835" w:type="dxa"/>
            <w:vAlign w:val="center"/>
          </w:tcPr>
          <w:p w14:paraId="721FD988">
            <w:pPr>
              <w:pStyle w:val="13"/>
            </w:pPr>
            <w:r>
              <w:t>免学费全覆盖</w:t>
            </w:r>
          </w:p>
        </w:tc>
        <w:tc>
          <w:tcPr>
            <w:tcW w:w="5386" w:type="dxa"/>
            <w:vAlign w:val="center"/>
          </w:tcPr>
          <w:p w14:paraId="030B5EFE">
            <w:pPr>
              <w:pStyle w:val="13"/>
            </w:pPr>
            <w:r>
              <w:t>免学费一、二、三年级中职生</w:t>
            </w:r>
          </w:p>
        </w:tc>
        <w:tc>
          <w:tcPr>
            <w:tcW w:w="1958" w:type="dxa"/>
            <w:vAlign w:val="center"/>
          </w:tcPr>
          <w:p w14:paraId="66315171">
            <w:pPr>
              <w:pStyle w:val="13"/>
            </w:pPr>
            <w:r>
              <w:t>≥100%</w:t>
            </w:r>
          </w:p>
        </w:tc>
        <w:tc>
          <w:tcPr>
            <w:tcW w:w="1586" w:type="dxa"/>
            <w:vAlign w:val="center"/>
          </w:tcPr>
          <w:p w14:paraId="1D21C452">
            <w:pPr>
              <w:pStyle w:val="13"/>
            </w:pPr>
            <w:r>
              <w:t>隆尧县中职免学费管理办法</w:t>
            </w:r>
          </w:p>
        </w:tc>
      </w:tr>
      <w:tr w14:paraId="4B013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254C5"/>
        </w:tc>
        <w:tc>
          <w:tcPr>
            <w:tcW w:w="2268" w:type="dxa"/>
            <w:vAlign w:val="center"/>
          </w:tcPr>
          <w:p w14:paraId="40867E97">
            <w:pPr>
              <w:pStyle w:val="13"/>
            </w:pPr>
            <w:r>
              <w:t>时效指标</w:t>
            </w:r>
          </w:p>
        </w:tc>
        <w:tc>
          <w:tcPr>
            <w:tcW w:w="2835" w:type="dxa"/>
            <w:vAlign w:val="center"/>
          </w:tcPr>
          <w:p w14:paraId="6385E7A3">
            <w:pPr>
              <w:pStyle w:val="13"/>
            </w:pPr>
            <w:r>
              <w:t>免学费经费拨付率</w:t>
            </w:r>
          </w:p>
        </w:tc>
        <w:tc>
          <w:tcPr>
            <w:tcW w:w="5386" w:type="dxa"/>
            <w:vAlign w:val="center"/>
          </w:tcPr>
          <w:p w14:paraId="37F3DCB4">
            <w:pPr>
              <w:pStyle w:val="13"/>
            </w:pPr>
            <w:r>
              <w:t>免学费经费及时拨付到位率</w:t>
            </w:r>
          </w:p>
        </w:tc>
        <w:tc>
          <w:tcPr>
            <w:tcW w:w="1958" w:type="dxa"/>
            <w:vAlign w:val="center"/>
          </w:tcPr>
          <w:p w14:paraId="6043F7B0">
            <w:pPr>
              <w:pStyle w:val="13"/>
            </w:pPr>
            <w:r>
              <w:t>≥100%</w:t>
            </w:r>
          </w:p>
        </w:tc>
        <w:tc>
          <w:tcPr>
            <w:tcW w:w="1586" w:type="dxa"/>
            <w:vAlign w:val="center"/>
          </w:tcPr>
          <w:p w14:paraId="7F045F65">
            <w:pPr>
              <w:pStyle w:val="13"/>
            </w:pPr>
            <w:r>
              <w:t>隆尧县中职免学费管理办法</w:t>
            </w:r>
          </w:p>
        </w:tc>
      </w:tr>
      <w:tr w14:paraId="2ECCE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47430"/>
        </w:tc>
        <w:tc>
          <w:tcPr>
            <w:tcW w:w="2268" w:type="dxa"/>
            <w:vAlign w:val="center"/>
          </w:tcPr>
          <w:p w14:paraId="0492AD1D">
            <w:pPr>
              <w:pStyle w:val="13"/>
            </w:pPr>
            <w:r>
              <w:t>成本指标</w:t>
            </w:r>
          </w:p>
        </w:tc>
        <w:tc>
          <w:tcPr>
            <w:tcW w:w="2835" w:type="dxa"/>
            <w:vAlign w:val="center"/>
          </w:tcPr>
          <w:p w14:paraId="200CB6E2">
            <w:pPr>
              <w:pStyle w:val="13"/>
            </w:pPr>
            <w:r>
              <w:t>中职学校免学费补助标准</w:t>
            </w:r>
          </w:p>
        </w:tc>
        <w:tc>
          <w:tcPr>
            <w:tcW w:w="5386" w:type="dxa"/>
            <w:vAlign w:val="center"/>
          </w:tcPr>
          <w:p w14:paraId="6E66B137">
            <w:pPr>
              <w:pStyle w:val="13"/>
            </w:pPr>
            <w:r>
              <w:t>中职学校免学费补助标准</w:t>
            </w:r>
          </w:p>
        </w:tc>
        <w:tc>
          <w:tcPr>
            <w:tcW w:w="1958" w:type="dxa"/>
            <w:vAlign w:val="center"/>
          </w:tcPr>
          <w:p w14:paraId="1B020058">
            <w:pPr>
              <w:pStyle w:val="13"/>
            </w:pPr>
            <w:r>
              <w:t>2000元/生/年</w:t>
            </w:r>
          </w:p>
        </w:tc>
        <w:tc>
          <w:tcPr>
            <w:tcW w:w="1586" w:type="dxa"/>
            <w:vAlign w:val="center"/>
          </w:tcPr>
          <w:p w14:paraId="522E0C56">
            <w:pPr>
              <w:pStyle w:val="13"/>
            </w:pPr>
            <w:r>
              <w:t>隆尧县中职免学费管理办法</w:t>
            </w:r>
          </w:p>
        </w:tc>
      </w:tr>
      <w:tr w14:paraId="31928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6F70F">
            <w:pPr>
              <w:pStyle w:val="12"/>
            </w:pPr>
            <w:r>
              <w:t>效益指标</w:t>
            </w:r>
          </w:p>
        </w:tc>
        <w:tc>
          <w:tcPr>
            <w:tcW w:w="2268" w:type="dxa"/>
            <w:vAlign w:val="center"/>
          </w:tcPr>
          <w:p w14:paraId="0342EBA4">
            <w:pPr>
              <w:pStyle w:val="13"/>
            </w:pPr>
            <w:r>
              <w:t>社会效益指标</w:t>
            </w:r>
          </w:p>
        </w:tc>
        <w:tc>
          <w:tcPr>
            <w:tcW w:w="2835" w:type="dxa"/>
            <w:vAlign w:val="center"/>
          </w:tcPr>
          <w:p w14:paraId="089F7A83">
            <w:pPr>
              <w:pStyle w:val="13"/>
            </w:pPr>
            <w:r>
              <w:t>减轻家庭负担</w:t>
            </w:r>
          </w:p>
        </w:tc>
        <w:tc>
          <w:tcPr>
            <w:tcW w:w="5386" w:type="dxa"/>
            <w:vAlign w:val="center"/>
          </w:tcPr>
          <w:p w14:paraId="1ABD0372">
            <w:pPr>
              <w:pStyle w:val="13"/>
            </w:pPr>
            <w:r>
              <w:t>增加贫困家庭经济收入</w:t>
            </w:r>
          </w:p>
        </w:tc>
        <w:tc>
          <w:tcPr>
            <w:tcW w:w="1958" w:type="dxa"/>
            <w:vAlign w:val="center"/>
          </w:tcPr>
          <w:p w14:paraId="78D91749">
            <w:pPr>
              <w:pStyle w:val="13"/>
            </w:pPr>
            <w:r>
              <w:t>≥98%</w:t>
            </w:r>
          </w:p>
        </w:tc>
        <w:tc>
          <w:tcPr>
            <w:tcW w:w="1586" w:type="dxa"/>
            <w:vAlign w:val="center"/>
          </w:tcPr>
          <w:p w14:paraId="256FCAF8">
            <w:pPr>
              <w:pStyle w:val="13"/>
            </w:pPr>
            <w:r>
              <w:t>隆尧县中职免学费管理办法</w:t>
            </w:r>
          </w:p>
        </w:tc>
      </w:tr>
      <w:tr w14:paraId="2FD51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BE2C6"/>
        </w:tc>
        <w:tc>
          <w:tcPr>
            <w:tcW w:w="2268" w:type="dxa"/>
            <w:vAlign w:val="center"/>
          </w:tcPr>
          <w:p w14:paraId="0FC1084D">
            <w:pPr>
              <w:pStyle w:val="13"/>
            </w:pPr>
            <w:r>
              <w:t>可持续影响指标</w:t>
            </w:r>
          </w:p>
        </w:tc>
        <w:tc>
          <w:tcPr>
            <w:tcW w:w="2835" w:type="dxa"/>
            <w:vAlign w:val="center"/>
          </w:tcPr>
          <w:p w14:paraId="65AFC214">
            <w:pPr>
              <w:pStyle w:val="13"/>
            </w:pPr>
            <w:r>
              <w:t>中职运转</w:t>
            </w:r>
          </w:p>
        </w:tc>
        <w:tc>
          <w:tcPr>
            <w:tcW w:w="5386" w:type="dxa"/>
            <w:vAlign w:val="center"/>
          </w:tcPr>
          <w:p w14:paraId="6D4F4D0D">
            <w:pPr>
              <w:pStyle w:val="13"/>
            </w:pPr>
            <w:r>
              <w:t>高中受教育年限</w:t>
            </w:r>
          </w:p>
        </w:tc>
        <w:tc>
          <w:tcPr>
            <w:tcW w:w="1958" w:type="dxa"/>
            <w:vAlign w:val="center"/>
          </w:tcPr>
          <w:p w14:paraId="045F74D9">
            <w:pPr>
              <w:pStyle w:val="13"/>
            </w:pPr>
            <w:r>
              <w:t>3年</w:t>
            </w:r>
          </w:p>
        </w:tc>
        <w:tc>
          <w:tcPr>
            <w:tcW w:w="1586" w:type="dxa"/>
            <w:vAlign w:val="center"/>
          </w:tcPr>
          <w:p w14:paraId="5576F92A">
            <w:pPr>
              <w:pStyle w:val="13"/>
            </w:pPr>
            <w:r>
              <w:t>隆尧县中职免学费管理办法</w:t>
            </w:r>
          </w:p>
        </w:tc>
      </w:tr>
      <w:tr w14:paraId="789B1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1AE1A02E">
            <w:pPr>
              <w:pStyle w:val="12"/>
            </w:pPr>
            <w:r>
              <w:t>满意度指标</w:t>
            </w:r>
          </w:p>
        </w:tc>
        <w:tc>
          <w:tcPr>
            <w:tcW w:w="2268" w:type="dxa"/>
            <w:vAlign w:val="center"/>
          </w:tcPr>
          <w:p w14:paraId="64450310">
            <w:pPr>
              <w:pStyle w:val="13"/>
            </w:pPr>
            <w:r>
              <w:t>服务对象满意度指标</w:t>
            </w:r>
          </w:p>
        </w:tc>
        <w:tc>
          <w:tcPr>
            <w:tcW w:w="2835" w:type="dxa"/>
            <w:vAlign w:val="center"/>
          </w:tcPr>
          <w:p w14:paraId="0D5D2694">
            <w:pPr>
              <w:pStyle w:val="13"/>
            </w:pPr>
            <w:r>
              <w:t>提升幸福指数</w:t>
            </w:r>
          </w:p>
        </w:tc>
        <w:tc>
          <w:tcPr>
            <w:tcW w:w="5386" w:type="dxa"/>
            <w:vAlign w:val="center"/>
          </w:tcPr>
          <w:p w14:paraId="44BFD1D8">
            <w:pPr>
              <w:pStyle w:val="13"/>
            </w:pPr>
            <w:r>
              <w:t>提升贫困家庭学生的幸福指数学生家长满意</w:t>
            </w:r>
          </w:p>
        </w:tc>
        <w:tc>
          <w:tcPr>
            <w:tcW w:w="1958" w:type="dxa"/>
            <w:vAlign w:val="center"/>
          </w:tcPr>
          <w:p w14:paraId="090A737D">
            <w:pPr>
              <w:pStyle w:val="13"/>
            </w:pPr>
            <w:r>
              <w:t>≥95%</w:t>
            </w:r>
          </w:p>
        </w:tc>
        <w:tc>
          <w:tcPr>
            <w:tcW w:w="1586" w:type="dxa"/>
            <w:vAlign w:val="center"/>
          </w:tcPr>
          <w:p w14:paraId="172D823A">
            <w:pPr>
              <w:pStyle w:val="13"/>
            </w:pPr>
            <w:r>
              <w:t>隆尧县中职免学费管理办法</w:t>
            </w:r>
          </w:p>
        </w:tc>
      </w:tr>
    </w:tbl>
    <w:p w14:paraId="32BD0F3B">
      <w:pPr>
        <w:sectPr>
          <w:pgSz w:w="16840" w:h="11900" w:orient="landscape"/>
          <w:pgMar w:top="1361" w:right="1020" w:bottom="1134" w:left="1020" w:header="720" w:footer="720" w:gutter="0"/>
          <w:cols w:space="720" w:num="1"/>
        </w:sectPr>
      </w:pPr>
    </w:p>
    <w:p w14:paraId="3FF2EEE0">
      <w:pPr>
        <w:spacing w:before="0" w:after="0"/>
        <w:ind w:firstLine="560"/>
        <w:jc w:val="left"/>
        <w:outlineLvl w:val="9"/>
      </w:pPr>
      <w:r>
        <w:rPr>
          <w:rFonts w:ascii="方正仿宋_GBK" w:hAnsi="方正仿宋_GBK" w:eastAsia="方正仿宋_GBK" w:cs="方正仿宋_GBK"/>
          <w:b/>
          <w:color w:val="000000"/>
          <w:sz w:val="28"/>
        </w:rPr>
        <w:t>5、冀财教[2024]125号/中央/2025年学生资助/中职助学金（职教中职）绩效目标表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93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EEEA8">
            <w:pPr>
              <w:pStyle w:val="14"/>
            </w:pPr>
            <w:r>
              <w:t>单位：万元</w:t>
            </w:r>
          </w:p>
        </w:tc>
      </w:tr>
      <w:tr w14:paraId="1D19E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0BBC60">
            <w:pPr>
              <w:pStyle w:val="11"/>
            </w:pPr>
            <w:r>
              <w:t>项目编码</w:t>
            </w:r>
          </w:p>
        </w:tc>
        <w:tc>
          <w:tcPr>
            <w:tcW w:w="5103" w:type="dxa"/>
            <w:gridSpan w:val="2"/>
            <w:vAlign w:val="center"/>
          </w:tcPr>
          <w:p w14:paraId="3F1DAFE1">
            <w:pPr>
              <w:pStyle w:val="13"/>
            </w:pPr>
            <w:r>
              <w:t>13052525P000014100155</w:t>
            </w:r>
          </w:p>
        </w:tc>
        <w:tc>
          <w:tcPr>
            <w:tcW w:w="2835" w:type="dxa"/>
            <w:vAlign w:val="center"/>
          </w:tcPr>
          <w:p w14:paraId="713309FC">
            <w:pPr>
              <w:pStyle w:val="11"/>
            </w:pPr>
            <w:r>
              <w:t>项目名称</w:t>
            </w:r>
          </w:p>
        </w:tc>
        <w:tc>
          <w:tcPr>
            <w:tcW w:w="6095" w:type="dxa"/>
            <w:gridSpan w:val="3"/>
            <w:vAlign w:val="center"/>
          </w:tcPr>
          <w:p w14:paraId="068B0504">
            <w:pPr>
              <w:pStyle w:val="13"/>
            </w:pPr>
            <w:r>
              <w:t>冀财教[2024]125号/中央/2025年学生资助/中职助学金（职教中职）</w:t>
            </w:r>
            <w:r>
              <w:tab/>
            </w:r>
          </w:p>
        </w:tc>
      </w:tr>
      <w:tr w14:paraId="7A515B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A79AB">
            <w:pPr>
              <w:pStyle w:val="11"/>
            </w:pPr>
            <w:r>
              <w:t>预算规模及资金用途</w:t>
            </w:r>
          </w:p>
        </w:tc>
        <w:tc>
          <w:tcPr>
            <w:tcW w:w="2268" w:type="dxa"/>
            <w:vAlign w:val="center"/>
          </w:tcPr>
          <w:p w14:paraId="2FB5FFA1">
            <w:pPr>
              <w:pStyle w:val="11"/>
            </w:pPr>
            <w:r>
              <w:t>预算数</w:t>
            </w:r>
          </w:p>
        </w:tc>
        <w:tc>
          <w:tcPr>
            <w:tcW w:w="2835" w:type="dxa"/>
            <w:vAlign w:val="center"/>
          </w:tcPr>
          <w:p w14:paraId="02097030">
            <w:pPr>
              <w:pStyle w:val="13"/>
            </w:pPr>
            <w:r>
              <w:t>51.00</w:t>
            </w:r>
          </w:p>
        </w:tc>
        <w:tc>
          <w:tcPr>
            <w:tcW w:w="2835" w:type="dxa"/>
            <w:vAlign w:val="center"/>
          </w:tcPr>
          <w:p w14:paraId="015A0ED0">
            <w:pPr>
              <w:pStyle w:val="11"/>
            </w:pPr>
            <w:r>
              <w:t>其中：财政    资金</w:t>
            </w:r>
          </w:p>
        </w:tc>
        <w:tc>
          <w:tcPr>
            <w:tcW w:w="2551" w:type="dxa"/>
            <w:vAlign w:val="center"/>
          </w:tcPr>
          <w:p w14:paraId="306C7B36">
            <w:pPr>
              <w:pStyle w:val="13"/>
            </w:pPr>
            <w:r>
              <w:t>51.00</w:t>
            </w:r>
          </w:p>
        </w:tc>
        <w:tc>
          <w:tcPr>
            <w:tcW w:w="2268" w:type="dxa"/>
            <w:vAlign w:val="center"/>
          </w:tcPr>
          <w:p w14:paraId="09C3938D">
            <w:pPr>
              <w:pStyle w:val="11"/>
            </w:pPr>
            <w:r>
              <w:t>其他资金</w:t>
            </w:r>
          </w:p>
        </w:tc>
        <w:tc>
          <w:tcPr>
            <w:tcW w:w="1276" w:type="dxa"/>
            <w:vAlign w:val="center"/>
          </w:tcPr>
          <w:p w14:paraId="56E4A1CA">
            <w:pPr>
              <w:pStyle w:val="13"/>
            </w:pPr>
            <w:r>
              <w:t xml:space="preserve"> </w:t>
            </w:r>
          </w:p>
        </w:tc>
      </w:tr>
      <w:tr w14:paraId="56E70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359D87"/>
        </w:tc>
        <w:tc>
          <w:tcPr>
            <w:tcW w:w="14033" w:type="dxa"/>
            <w:gridSpan w:val="6"/>
            <w:vAlign w:val="center"/>
          </w:tcPr>
          <w:p w14:paraId="311F30BF">
            <w:pPr>
              <w:pStyle w:val="13"/>
            </w:pPr>
            <w:r>
              <w:t>2025年预算安排中职助学金51万元，用于资助中职贫困学生完成学业</w:t>
            </w:r>
          </w:p>
        </w:tc>
      </w:tr>
      <w:tr w14:paraId="3A4BE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09B2F">
            <w:pPr>
              <w:pStyle w:val="11"/>
            </w:pPr>
            <w:r>
              <w:t>资金支出计划（%）</w:t>
            </w:r>
          </w:p>
        </w:tc>
        <w:tc>
          <w:tcPr>
            <w:tcW w:w="5103" w:type="dxa"/>
            <w:gridSpan w:val="2"/>
            <w:vAlign w:val="center"/>
          </w:tcPr>
          <w:p w14:paraId="480D80E8">
            <w:pPr>
              <w:pStyle w:val="11"/>
            </w:pPr>
            <w:r>
              <w:t>3月底</w:t>
            </w:r>
          </w:p>
        </w:tc>
        <w:tc>
          <w:tcPr>
            <w:tcW w:w="2835" w:type="dxa"/>
            <w:vAlign w:val="center"/>
          </w:tcPr>
          <w:p w14:paraId="1C23F947">
            <w:pPr>
              <w:pStyle w:val="11"/>
            </w:pPr>
            <w:r>
              <w:t>6月底</w:t>
            </w:r>
          </w:p>
        </w:tc>
        <w:tc>
          <w:tcPr>
            <w:tcW w:w="2551" w:type="dxa"/>
            <w:vAlign w:val="center"/>
          </w:tcPr>
          <w:p w14:paraId="6F995FB9">
            <w:pPr>
              <w:pStyle w:val="11"/>
            </w:pPr>
            <w:r>
              <w:t>10月底</w:t>
            </w:r>
          </w:p>
        </w:tc>
        <w:tc>
          <w:tcPr>
            <w:tcW w:w="3544" w:type="dxa"/>
            <w:gridSpan w:val="2"/>
            <w:vAlign w:val="center"/>
          </w:tcPr>
          <w:p w14:paraId="10790023">
            <w:pPr>
              <w:pStyle w:val="11"/>
            </w:pPr>
            <w:r>
              <w:t>12月底</w:t>
            </w:r>
          </w:p>
        </w:tc>
      </w:tr>
      <w:tr w14:paraId="014AC2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CDDAB0"/>
        </w:tc>
        <w:tc>
          <w:tcPr>
            <w:tcW w:w="5103" w:type="dxa"/>
            <w:gridSpan w:val="2"/>
            <w:vAlign w:val="center"/>
          </w:tcPr>
          <w:p w14:paraId="5FF517B4">
            <w:pPr>
              <w:pStyle w:val="12"/>
            </w:pPr>
            <w:r>
              <w:t xml:space="preserve"> </w:t>
            </w:r>
          </w:p>
        </w:tc>
        <w:tc>
          <w:tcPr>
            <w:tcW w:w="2835" w:type="dxa"/>
            <w:vAlign w:val="center"/>
          </w:tcPr>
          <w:p w14:paraId="3701ADB6">
            <w:pPr>
              <w:pStyle w:val="12"/>
            </w:pPr>
            <w:r>
              <w:t>50%</w:t>
            </w:r>
          </w:p>
        </w:tc>
        <w:tc>
          <w:tcPr>
            <w:tcW w:w="2551" w:type="dxa"/>
            <w:vAlign w:val="center"/>
          </w:tcPr>
          <w:p w14:paraId="142E6AA0">
            <w:pPr>
              <w:pStyle w:val="12"/>
            </w:pPr>
            <w:r>
              <w:t>50%</w:t>
            </w:r>
          </w:p>
        </w:tc>
        <w:tc>
          <w:tcPr>
            <w:tcW w:w="3544" w:type="dxa"/>
            <w:gridSpan w:val="2"/>
            <w:vAlign w:val="center"/>
          </w:tcPr>
          <w:p w14:paraId="1763977F">
            <w:pPr>
              <w:pStyle w:val="12"/>
            </w:pPr>
            <w:r>
              <w:t>100%</w:t>
            </w:r>
          </w:p>
        </w:tc>
      </w:tr>
      <w:tr w14:paraId="24EA6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7AA7C">
            <w:pPr>
              <w:pStyle w:val="11"/>
            </w:pPr>
            <w:r>
              <w:t>绩效目标</w:t>
            </w:r>
          </w:p>
        </w:tc>
        <w:tc>
          <w:tcPr>
            <w:tcW w:w="14033" w:type="dxa"/>
            <w:gridSpan w:val="6"/>
            <w:vAlign w:val="center"/>
          </w:tcPr>
          <w:p w14:paraId="493816D7">
            <w:pPr>
              <w:pStyle w:val="13"/>
            </w:pPr>
            <w:r>
              <w:t>1.2025年预算安排中职助学金51万元，用于资助中职贫困学生完成学业</w:t>
            </w:r>
          </w:p>
        </w:tc>
      </w:tr>
    </w:tbl>
    <w:p w14:paraId="7CBE4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49"/>
        <w:gridCol w:w="1305"/>
        <w:gridCol w:w="3776"/>
      </w:tblGrid>
      <w:tr w14:paraId="02CD1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CA7A7">
            <w:pPr>
              <w:pStyle w:val="11"/>
            </w:pPr>
            <w:r>
              <w:t>一级指标</w:t>
            </w:r>
          </w:p>
        </w:tc>
        <w:tc>
          <w:tcPr>
            <w:tcW w:w="2268" w:type="dxa"/>
            <w:vAlign w:val="center"/>
          </w:tcPr>
          <w:p w14:paraId="1A3B8B85">
            <w:pPr>
              <w:pStyle w:val="11"/>
            </w:pPr>
            <w:r>
              <w:t>二级指标</w:t>
            </w:r>
          </w:p>
        </w:tc>
        <w:tc>
          <w:tcPr>
            <w:tcW w:w="2835" w:type="dxa"/>
            <w:vAlign w:val="center"/>
          </w:tcPr>
          <w:p w14:paraId="55EF5D35">
            <w:pPr>
              <w:pStyle w:val="11"/>
            </w:pPr>
            <w:r>
              <w:t>三级指标</w:t>
            </w:r>
          </w:p>
        </w:tc>
        <w:tc>
          <w:tcPr>
            <w:tcW w:w="3849" w:type="dxa"/>
            <w:vAlign w:val="center"/>
          </w:tcPr>
          <w:p w14:paraId="72931F74">
            <w:pPr>
              <w:pStyle w:val="11"/>
            </w:pPr>
            <w:r>
              <w:t>绩效指标描述</w:t>
            </w:r>
          </w:p>
        </w:tc>
        <w:tc>
          <w:tcPr>
            <w:tcW w:w="1305" w:type="dxa"/>
            <w:vAlign w:val="center"/>
          </w:tcPr>
          <w:p w14:paraId="6A9293AC">
            <w:pPr>
              <w:pStyle w:val="11"/>
            </w:pPr>
            <w:r>
              <w:t>指标值</w:t>
            </w:r>
          </w:p>
        </w:tc>
        <w:tc>
          <w:tcPr>
            <w:tcW w:w="3776" w:type="dxa"/>
            <w:vAlign w:val="center"/>
          </w:tcPr>
          <w:p w14:paraId="28FAC409">
            <w:pPr>
              <w:pStyle w:val="11"/>
            </w:pPr>
            <w:r>
              <w:t>指标值确定依据</w:t>
            </w:r>
          </w:p>
        </w:tc>
      </w:tr>
      <w:tr w14:paraId="3048F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4C2DB">
            <w:pPr>
              <w:pStyle w:val="12"/>
            </w:pPr>
            <w:r>
              <w:t>产出指标</w:t>
            </w:r>
          </w:p>
        </w:tc>
        <w:tc>
          <w:tcPr>
            <w:tcW w:w="2268" w:type="dxa"/>
            <w:vAlign w:val="center"/>
          </w:tcPr>
          <w:p w14:paraId="563E0CDE">
            <w:pPr>
              <w:pStyle w:val="13"/>
            </w:pPr>
            <w:r>
              <w:t>数量指标</w:t>
            </w:r>
          </w:p>
        </w:tc>
        <w:tc>
          <w:tcPr>
            <w:tcW w:w="2835" w:type="dxa"/>
            <w:vAlign w:val="center"/>
          </w:tcPr>
          <w:p w14:paraId="68B9FD56">
            <w:pPr>
              <w:pStyle w:val="13"/>
            </w:pPr>
            <w:r>
              <w:t>中职享受助学金人数</w:t>
            </w:r>
          </w:p>
        </w:tc>
        <w:tc>
          <w:tcPr>
            <w:tcW w:w="3849" w:type="dxa"/>
            <w:vAlign w:val="center"/>
          </w:tcPr>
          <w:p w14:paraId="23FF2CE1">
            <w:pPr>
              <w:pStyle w:val="13"/>
            </w:pPr>
            <w:r>
              <w:t>中职享受助学金人数</w:t>
            </w:r>
          </w:p>
        </w:tc>
        <w:tc>
          <w:tcPr>
            <w:tcW w:w="1305" w:type="dxa"/>
            <w:vAlign w:val="center"/>
          </w:tcPr>
          <w:p w14:paraId="3675ABD3">
            <w:pPr>
              <w:pStyle w:val="13"/>
            </w:pPr>
            <w:r>
              <w:t>604人</w:t>
            </w:r>
          </w:p>
        </w:tc>
        <w:tc>
          <w:tcPr>
            <w:tcW w:w="3776" w:type="dxa"/>
            <w:vAlign w:val="center"/>
          </w:tcPr>
          <w:p w14:paraId="4A32675F">
            <w:pPr>
              <w:pStyle w:val="13"/>
            </w:pPr>
            <w:r>
              <w:t>【隆尧县中等职业学校国家助学金管理办法的通知】隆财【2018】105号，</w:t>
            </w:r>
          </w:p>
        </w:tc>
      </w:tr>
      <w:tr w14:paraId="5214B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87C45"/>
        </w:tc>
        <w:tc>
          <w:tcPr>
            <w:tcW w:w="2268" w:type="dxa"/>
            <w:vAlign w:val="center"/>
          </w:tcPr>
          <w:p w14:paraId="70BA826A">
            <w:pPr>
              <w:pStyle w:val="13"/>
            </w:pPr>
            <w:r>
              <w:t>质量指标</w:t>
            </w:r>
          </w:p>
        </w:tc>
        <w:tc>
          <w:tcPr>
            <w:tcW w:w="2835" w:type="dxa"/>
            <w:vAlign w:val="center"/>
          </w:tcPr>
          <w:p w14:paraId="7A1B297A">
            <w:pPr>
              <w:pStyle w:val="13"/>
            </w:pPr>
            <w:r>
              <w:t>完成助学金发放工作</w:t>
            </w:r>
          </w:p>
        </w:tc>
        <w:tc>
          <w:tcPr>
            <w:tcW w:w="3849" w:type="dxa"/>
            <w:vAlign w:val="center"/>
          </w:tcPr>
          <w:p w14:paraId="3FBB628E">
            <w:pPr>
              <w:pStyle w:val="13"/>
            </w:pPr>
            <w:r>
              <w:t>涉农专业学生及其他专业贫困生</w:t>
            </w:r>
          </w:p>
        </w:tc>
        <w:tc>
          <w:tcPr>
            <w:tcW w:w="1305" w:type="dxa"/>
            <w:vAlign w:val="center"/>
          </w:tcPr>
          <w:p w14:paraId="551CA2DC">
            <w:pPr>
              <w:pStyle w:val="13"/>
            </w:pPr>
            <w:r>
              <w:t>604人</w:t>
            </w:r>
          </w:p>
        </w:tc>
        <w:tc>
          <w:tcPr>
            <w:tcW w:w="3776" w:type="dxa"/>
            <w:vAlign w:val="center"/>
          </w:tcPr>
          <w:p w14:paraId="4125F5A9">
            <w:pPr>
              <w:pStyle w:val="13"/>
            </w:pPr>
            <w:r>
              <w:t>【隆尧县中等职业学校国家助学金管理办法的通知】隆财【2018】105号，</w:t>
            </w:r>
          </w:p>
        </w:tc>
      </w:tr>
      <w:tr w14:paraId="2BAAA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F9CC3"/>
        </w:tc>
        <w:tc>
          <w:tcPr>
            <w:tcW w:w="2268" w:type="dxa"/>
            <w:vAlign w:val="center"/>
          </w:tcPr>
          <w:p w14:paraId="2D0CEFEB">
            <w:pPr>
              <w:pStyle w:val="13"/>
            </w:pPr>
            <w:r>
              <w:t>时效指标</w:t>
            </w:r>
          </w:p>
        </w:tc>
        <w:tc>
          <w:tcPr>
            <w:tcW w:w="2835" w:type="dxa"/>
            <w:vAlign w:val="center"/>
          </w:tcPr>
          <w:p w14:paraId="636BE38A">
            <w:pPr>
              <w:pStyle w:val="13"/>
            </w:pPr>
            <w:r>
              <w:t>助学金及时足额发放</w:t>
            </w:r>
          </w:p>
        </w:tc>
        <w:tc>
          <w:tcPr>
            <w:tcW w:w="3849" w:type="dxa"/>
            <w:vAlign w:val="center"/>
          </w:tcPr>
          <w:p w14:paraId="70D70101">
            <w:pPr>
              <w:pStyle w:val="13"/>
            </w:pPr>
            <w:r>
              <w:t>助学金及时足额发放率</w:t>
            </w:r>
          </w:p>
        </w:tc>
        <w:tc>
          <w:tcPr>
            <w:tcW w:w="1305" w:type="dxa"/>
            <w:vAlign w:val="center"/>
          </w:tcPr>
          <w:p w14:paraId="6DB19547">
            <w:pPr>
              <w:pStyle w:val="13"/>
            </w:pPr>
            <w:r>
              <w:t>≥100%</w:t>
            </w:r>
          </w:p>
        </w:tc>
        <w:tc>
          <w:tcPr>
            <w:tcW w:w="3776" w:type="dxa"/>
            <w:vAlign w:val="center"/>
          </w:tcPr>
          <w:p w14:paraId="48FF41C8">
            <w:pPr>
              <w:pStyle w:val="13"/>
            </w:pPr>
            <w:r>
              <w:t>【隆尧县中等职业学校国家助学金管理办法的通知】隆财【2018】105号，</w:t>
            </w:r>
          </w:p>
        </w:tc>
      </w:tr>
      <w:tr w14:paraId="57EEE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275FE"/>
        </w:tc>
        <w:tc>
          <w:tcPr>
            <w:tcW w:w="2268" w:type="dxa"/>
            <w:vAlign w:val="center"/>
          </w:tcPr>
          <w:p w14:paraId="142B5E07">
            <w:pPr>
              <w:pStyle w:val="13"/>
            </w:pPr>
            <w:r>
              <w:t>成本指标</w:t>
            </w:r>
          </w:p>
        </w:tc>
        <w:tc>
          <w:tcPr>
            <w:tcW w:w="2835" w:type="dxa"/>
            <w:vAlign w:val="center"/>
          </w:tcPr>
          <w:p w14:paraId="73959213">
            <w:pPr>
              <w:pStyle w:val="13"/>
            </w:pPr>
            <w:r>
              <w:t>中职助学金标准</w:t>
            </w:r>
          </w:p>
        </w:tc>
        <w:tc>
          <w:tcPr>
            <w:tcW w:w="3849" w:type="dxa"/>
            <w:vAlign w:val="center"/>
          </w:tcPr>
          <w:p w14:paraId="65A141C9">
            <w:pPr>
              <w:pStyle w:val="13"/>
            </w:pPr>
            <w:r>
              <w:t>中职助学金资助标准2000/生/年</w:t>
            </w:r>
          </w:p>
        </w:tc>
        <w:tc>
          <w:tcPr>
            <w:tcW w:w="1305" w:type="dxa"/>
            <w:vAlign w:val="center"/>
          </w:tcPr>
          <w:p w14:paraId="6FFA4F05">
            <w:pPr>
              <w:pStyle w:val="13"/>
            </w:pPr>
            <w:r>
              <w:t>2300元</w:t>
            </w:r>
          </w:p>
        </w:tc>
        <w:tc>
          <w:tcPr>
            <w:tcW w:w="3776" w:type="dxa"/>
            <w:vAlign w:val="center"/>
          </w:tcPr>
          <w:p w14:paraId="76685223">
            <w:pPr>
              <w:pStyle w:val="13"/>
            </w:pPr>
            <w:r>
              <w:t>【隆尧县中等职业学校国家助学金管理办法的通知】隆财【2018】105号，</w:t>
            </w:r>
          </w:p>
        </w:tc>
      </w:tr>
      <w:tr w14:paraId="69C7B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663BE">
            <w:pPr>
              <w:pStyle w:val="12"/>
            </w:pPr>
            <w:r>
              <w:t>效益指标</w:t>
            </w:r>
          </w:p>
        </w:tc>
        <w:tc>
          <w:tcPr>
            <w:tcW w:w="2268" w:type="dxa"/>
            <w:vAlign w:val="center"/>
          </w:tcPr>
          <w:p w14:paraId="0AA0C28D">
            <w:pPr>
              <w:pStyle w:val="13"/>
            </w:pPr>
            <w:r>
              <w:t>社会效益指标</w:t>
            </w:r>
          </w:p>
        </w:tc>
        <w:tc>
          <w:tcPr>
            <w:tcW w:w="2835" w:type="dxa"/>
            <w:vAlign w:val="center"/>
          </w:tcPr>
          <w:p w14:paraId="1FFD4760">
            <w:pPr>
              <w:pStyle w:val="13"/>
            </w:pPr>
            <w:r>
              <w:t>减轻贫困家庭负担</w:t>
            </w:r>
          </w:p>
        </w:tc>
        <w:tc>
          <w:tcPr>
            <w:tcW w:w="3849" w:type="dxa"/>
            <w:vAlign w:val="center"/>
          </w:tcPr>
          <w:p w14:paraId="1686145E">
            <w:pPr>
              <w:pStyle w:val="13"/>
            </w:pPr>
            <w:r>
              <w:t>减轻贫困家庭负担</w:t>
            </w:r>
          </w:p>
        </w:tc>
        <w:tc>
          <w:tcPr>
            <w:tcW w:w="1305" w:type="dxa"/>
            <w:vAlign w:val="center"/>
          </w:tcPr>
          <w:p w14:paraId="0BBFA9E4">
            <w:pPr>
              <w:pStyle w:val="13"/>
            </w:pPr>
            <w:r>
              <w:t>≥100%</w:t>
            </w:r>
          </w:p>
        </w:tc>
        <w:tc>
          <w:tcPr>
            <w:tcW w:w="3776" w:type="dxa"/>
            <w:vAlign w:val="center"/>
          </w:tcPr>
          <w:p w14:paraId="75E3C466">
            <w:pPr>
              <w:pStyle w:val="13"/>
            </w:pPr>
            <w:r>
              <w:t>【隆尧县中等职业学校国家助学金管理办法的通知】隆财【2018】105号，</w:t>
            </w:r>
          </w:p>
        </w:tc>
      </w:tr>
      <w:tr w14:paraId="4791F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1D49E"/>
        </w:tc>
        <w:tc>
          <w:tcPr>
            <w:tcW w:w="2268" w:type="dxa"/>
            <w:vAlign w:val="center"/>
          </w:tcPr>
          <w:p w14:paraId="58407F22">
            <w:pPr>
              <w:pStyle w:val="13"/>
            </w:pPr>
            <w:r>
              <w:t>可持续影响指标</w:t>
            </w:r>
          </w:p>
        </w:tc>
        <w:tc>
          <w:tcPr>
            <w:tcW w:w="2835" w:type="dxa"/>
            <w:vAlign w:val="center"/>
          </w:tcPr>
          <w:p w14:paraId="021BD4DD">
            <w:pPr>
              <w:pStyle w:val="13"/>
            </w:pPr>
            <w:r>
              <w:t>中职运转</w:t>
            </w:r>
          </w:p>
        </w:tc>
        <w:tc>
          <w:tcPr>
            <w:tcW w:w="3849" w:type="dxa"/>
            <w:vAlign w:val="center"/>
          </w:tcPr>
          <w:p w14:paraId="46FA1DBF">
            <w:pPr>
              <w:pStyle w:val="13"/>
            </w:pPr>
            <w:r>
              <w:t>中职生受教育年限</w:t>
            </w:r>
          </w:p>
        </w:tc>
        <w:tc>
          <w:tcPr>
            <w:tcW w:w="1305" w:type="dxa"/>
            <w:vAlign w:val="center"/>
          </w:tcPr>
          <w:p w14:paraId="7A6D4B0C">
            <w:pPr>
              <w:pStyle w:val="13"/>
            </w:pPr>
            <w:r>
              <w:t>3年</w:t>
            </w:r>
          </w:p>
        </w:tc>
        <w:tc>
          <w:tcPr>
            <w:tcW w:w="3776" w:type="dxa"/>
            <w:vAlign w:val="center"/>
          </w:tcPr>
          <w:p w14:paraId="68F587A0">
            <w:pPr>
              <w:pStyle w:val="13"/>
            </w:pPr>
            <w:r>
              <w:t>【隆尧县中等职业学校国家助学金管理办法的通知】隆财【2018】105号，</w:t>
            </w:r>
          </w:p>
        </w:tc>
      </w:tr>
      <w:tr w14:paraId="1B41D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3FF907">
            <w:pPr>
              <w:pStyle w:val="12"/>
            </w:pPr>
            <w:r>
              <w:t>满意度指标</w:t>
            </w:r>
          </w:p>
        </w:tc>
        <w:tc>
          <w:tcPr>
            <w:tcW w:w="2268" w:type="dxa"/>
            <w:vAlign w:val="center"/>
          </w:tcPr>
          <w:p w14:paraId="62C12F9E">
            <w:pPr>
              <w:pStyle w:val="13"/>
            </w:pPr>
            <w:r>
              <w:t>服务对象满意度指标</w:t>
            </w:r>
          </w:p>
        </w:tc>
        <w:tc>
          <w:tcPr>
            <w:tcW w:w="2835" w:type="dxa"/>
            <w:vAlign w:val="center"/>
          </w:tcPr>
          <w:p w14:paraId="01F8F8B8">
            <w:pPr>
              <w:pStyle w:val="13"/>
            </w:pPr>
            <w:r>
              <w:t>学生家长</w:t>
            </w:r>
          </w:p>
        </w:tc>
        <w:tc>
          <w:tcPr>
            <w:tcW w:w="3849" w:type="dxa"/>
            <w:vAlign w:val="center"/>
          </w:tcPr>
          <w:p w14:paraId="2960441A">
            <w:pPr>
              <w:pStyle w:val="13"/>
            </w:pPr>
            <w:r>
              <w:t>学生家长满意度</w:t>
            </w:r>
          </w:p>
        </w:tc>
        <w:tc>
          <w:tcPr>
            <w:tcW w:w="1305" w:type="dxa"/>
            <w:vAlign w:val="center"/>
          </w:tcPr>
          <w:p w14:paraId="2255A516">
            <w:pPr>
              <w:pStyle w:val="13"/>
            </w:pPr>
            <w:r>
              <w:t>≥95%</w:t>
            </w:r>
          </w:p>
        </w:tc>
        <w:tc>
          <w:tcPr>
            <w:tcW w:w="3776" w:type="dxa"/>
            <w:vAlign w:val="center"/>
          </w:tcPr>
          <w:p w14:paraId="22C87646">
            <w:pPr>
              <w:pStyle w:val="13"/>
            </w:pPr>
            <w:r>
              <w:t>【隆尧县中等职业学校国家助学金管理办法的通知】隆财【2018】105号，</w:t>
            </w:r>
          </w:p>
        </w:tc>
      </w:tr>
    </w:tbl>
    <w:p w14:paraId="40E1630D">
      <w:pPr>
        <w:sectPr>
          <w:pgSz w:w="16840" w:h="11900" w:orient="landscape"/>
          <w:pgMar w:top="1361" w:right="1020" w:bottom="1134" w:left="1020" w:header="720" w:footer="720" w:gutter="0"/>
          <w:cols w:space="720" w:num="1"/>
        </w:sectPr>
      </w:pPr>
    </w:p>
    <w:p w14:paraId="3544351A">
      <w:pPr>
        <w:spacing w:before="0" w:after="0"/>
        <w:ind w:firstLine="560"/>
        <w:jc w:val="left"/>
        <w:outlineLvl w:val="9"/>
      </w:pPr>
      <w:r>
        <w:rPr>
          <w:rFonts w:ascii="方正仿宋_GBK" w:hAnsi="方正仿宋_GBK" w:eastAsia="方正仿宋_GBK" w:cs="方正仿宋_GBK"/>
          <w:b/>
          <w:color w:val="000000"/>
          <w:sz w:val="28"/>
        </w:rPr>
        <w:t>6、冀财教[2024]131号/中央/2025年现代职业教育质量提升计划/隆尧县职教中心院落绿化提升改造绩效目标表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52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10DD0">
            <w:pPr>
              <w:pStyle w:val="14"/>
            </w:pPr>
            <w:r>
              <w:t>单位：万元</w:t>
            </w:r>
          </w:p>
        </w:tc>
      </w:tr>
      <w:tr w14:paraId="1A74C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BD5019">
            <w:pPr>
              <w:pStyle w:val="11"/>
            </w:pPr>
            <w:r>
              <w:t>项目编码</w:t>
            </w:r>
          </w:p>
        </w:tc>
        <w:tc>
          <w:tcPr>
            <w:tcW w:w="5103" w:type="dxa"/>
            <w:gridSpan w:val="2"/>
            <w:vAlign w:val="center"/>
          </w:tcPr>
          <w:p w14:paraId="120924AD">
            <w:pPr>
              <w:pStyle w:val="13"/>
            </w:pPr>
            <w:r>
              <w:t>13052525P00876810001G</w:t>
            </w:r>
          </w:p>
        </w:tc>
        <w:tc>
          <w:tcPr>
            <w:tcW w:w="2835" w:type="dxa"/>
            <w:vAlign w:val="center"/>
          </w:tcPr>
          <w:p w14:paraId="201F97E3">
            <w:pPr>
              <w:pStyle w:val="11"/>
            </w:pPr>
            <w:r>
              <w:t>项目名称</w:t>
            </w:r>
          </w:p>
        </w:tc>
        <w:tc>
          <w:tcPr>
            <w:tcW w:w="6095" w:type="dxa"/>
            <w:gridSpan w:val="3"/>
            <w:vAlign w:val="center"/>
          </w:tcPr>
          <w:p w14:paraId="6762F078">
            <w:pPr>
              <w:pStyle w:val="13"/>
            </w:pPr>
            <w:r>
              <w:t>冀财教[2024]131号/中央/2025年现代职业教育质量提升计划/隆尧县职教中心院落绿化提升改造</w:t>
            </w:r>
          </w:p>
        </w:tc>
      </w:tr>
      <w:tr w14:paraId="6CC08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01736">
            <w:pPr>
              <w:pStyle w:val="11"/>
            </w:pPr>
            <w:r>
              <w:t>预算规模及资金用途</w:t>
            </w:r>
          </w:p>
        </w:tc>
        <w:tc>
          <w:tcPr>
            <w:tcW w:w="2268" w:type="dxa"/>
            <w:vAlign w:val="center"/>
          </w:tcPr>
          <w:p w14:paraId="122F4508">
            <w:pPr>
              <w:pStyle w:val="11"/>
            </w:pPr>
            <w:r>
              <w:t>预算数</w:t>
            </w:r>
          </w:p>
        </w:tc>
        <w:tc>
          <w:tcPr>
            <w:tcW w:w="2835" w:type="dxa"/>
            <w:vAlign w:val="center"/>
          </w:tcPr>
          <w:p w14:paraId="03F9658C">
            <w:pPr>
              <w:pStyle w:val="13"/>
            </w:pPr>
            <w:r>
              <w:t>54.00</w:t>
            </w:r>
          </w:p>
        </w:tc>
        <w:tc>
          <w:tcPr>
            <w:tcW w:w="2835" w:type="dxa"/>
            <w:vAlign w:val="center"/>
          </w:tcPr>
          <w:p w14:paraId="23D99C11">
            <w:pPr>
              <w:pStyle w:val="11"/>
            </w:pPr>
            <w:r>
              <w:t>其中：财政    资金</w:t>
            </w:r>
          </w:p>
        </w:tc>
        <w:tc>
          <w:tcPr>
            <w:tcW w:w="2551" w:type="dxa"/>
            <w:vAlign w:val="center"/>
          </w:tcPr>
          <w:p w14:paraId="524B0590">
            <w:pPr>
              <w:pStyle w:val="13"/>
            </w:pPr>
            <w:r>
              <w:t>54.00</w:t>
            </w:r>
          </w:p>
        </w:tc>
        <w:tc>
          <w:tcPr>
            <w:tcW w:w="2268" w:type="dxa"/>
            <w:vAlign w:val="center"/>
          </w:tcPr>
          <w:p w14:paraId="4593E3CF">
            <w:pPr>
              <w:pStyle w:val="11"/>
            </w:pPr>
            <w:r>
              <w:t>其他资金</w:t>
            </w:r>
          </w:p>
        </w:tc>
        <w:tc>
          <w:tcPr>
            <w:tcW w:w="1276" w:type="dxa"/>
            <w:vAlign w:val="center"/>
          </w:tcPr>
          <w:p w14:paraId="2ECB8558">
            <w:pPr>
              <w:pStyle w:val="13"/>
            </w:pPr>
            <w:r>
              <w:t xml:space="preserve"> </w:t>
            </w:r>
          </w:p>
        </w:tc>
      </w:tr>
      <w:tr w14:paraId="744BF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BFA0DA"/>
        </w:tc>
        <w:tc>
          <w:tcPr>
            <w:tcW w:w="14033" w:type="dxa"/>
            <w:gridSpan w:val="6"/>
            <w:vAlign w:val="center"/>
          </w:tcPr>
          <w:p w14:paraId="0F606B23">
            <w:pPr>
              <w:pStyle w:val="13"/>
            </w:pPr>
            <w:r>
              <w:t>质量提升资金用于学校院落改造，修缮后学校环境得到改善，办学品位得到提升。</w:t>
            </w:r>
          </w:p>
        </w:tc>
      </w:tr>
      <w:tr w14:paraId="1C73C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648B5">
            <w:pPr>
              <w:pStyle w:val="11"/>
            </w:pPr>
            <w:r>
              <w:t>资金支出计划（%）</w:t>
            </w:r>
          </w:p>
        </w:tc>
        <w:tc>
          <w:tcPr>
            <w:tcW w:w="5103" w:type="dxa"/>
            <w:gridSpan w:val="2"/>
            <w:vAlign w:val="center"/>
          </w:tcPr>
          <w:p w14:paraId="6B28242A">
            <w:pPr>
              <w:pStyle w:val="11"/>
            </w:pPr>
            <w:r>
              <w:t>3月底</w:t>
            </w:r>
          </w:p>
        </w:tc>
        <w:tc>
          <w:tcPr>
            <w:tcW w:w="2835" w:type="dxa"/>
            <w:vAlign w:val="center"/>
          </w:tcPr>
          <w:p w14:paraId="7944DF19">
            <w:pPr>
              <w:pStyle w:val="11"/>
            </w:pPr>
            <w:r>
              <w:t>6月底</w:t>
            </w:r>
          </w:p>
        </w:tc>
        <w:tc>
          <w:tcPr>
            <w:tcW w:w="2551" w:type="dxa"/>
            <w:vAlign w:val="center"/>
          </w:tcPr>
          <w:p w14:paraId="087503AD">
            <w:pPr>
              <w:pStyle w:val="11"/>
            </w:pPr>
            <w:r>
              <w:t>10月底</w:t>
            </w:r>
          </w:p>
        </w:tc>
        <w:tc>
          <w:tcPr>
            <w:tcW w:w="3544" w:type="dxa"/>
            <w:gridSpan w:val="2"/>
            <w:vAlign w:val="center"/>
          </w:tcPr>
          <w:p w14:paraId="5E5A9C02">
            <w:pPr>
              <w:pStyle w:val="11"/>
            </w:pPr>
            <w:r>
              <w:t>12月底</w:t>
            </w:r>
          </w:p>
        </w:tc>
      </w:tr>
      <w:tr w14:paraId="130AB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CBE36"/>
        </w:tc>
        <w:tc>
          <w:tcPr>
            <w:tcW w:w="5103" w:type="dxa"/>
            <w:gridSpan w:val="2"/>
            <w:vAlign w:val="center"/>
          </w:tcPr>
          <w:p w14:paraId="5BB02361">
            <w:pPr>
              <w:pStyle w:val="12"/>
            </w:pPr>
            <w:r>
              <w:t xml:space="preserve"> </w:t>
            </w:r>
          </w:p>
        </w:tc>
        <w:tc>
          <w:tcPr>
            <w:tcW w:w="2835" w:type="dxa"/>
            <w:vAlign w:val="center"/>
          </w:tcPr>
          <w:p w14:paraId="4CBD602C">
            <w:pPr>
              <w:pStyle w:val="12"/>
            </w:pPr>
            <w:r>
              <w:t xml:space="preserve"> </w:t>
            </w:r>
          </w:p>
        </w:tc>
        <w:tc>
          <w:tcPr>
            <w:tcW w:w="2551" w:type="dxa"/>
            <w:vAlign w:val="center"/>
          </w:tcPr>
          <w:p w14:paraId="2F3D0E79">
            <w:pPr>
              <w:pStyle w:val="12"/>
            </w:pPr>
            <w:r>
              <w:t>100%</w:t>
            </w:r>
          </w:p>
        </w:tc>
        <w:tc>
          <w:tcPr>
            <w:tcW w:w="3544" w:type="dxa"/>
            <w:gridSpan w:val="2"/>
            <w:vAlign w:val="center"/>
          </w:tcPr>
          <w:p w14:paraId="35B4478A">
            <w:pPr>
              <w:pStyle w:val="12"/>
            </w:pPr>
            <w:r>
              <w:t>100%</w:t>
            </w:r>
          </w:p>
        </w:tc>
      </w:tr>
      <w:tr w14:paraId="06B20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AA5CD">
            <w:pPr>
              <w:pStyle w:val="11"/>
            </w:pPr>
            <w:r>
              <w:t>绩效目标</w:t>
            </w:r>
          </w:p>
        </w:tc>
        <w:tc>
          <w:tcPr>
            <w:tcW w:w="14033" w:type="dxa"/>
            <w:gridSpan w:val="6"/>
            <w:vAlign w:val="center"/>
          </w:tcPr>
          <w:p w14:paraId="5F14C4D5">
            <w:pPr>
              <w:pStyle w:val="13"/>
            </w:pPr>
            <w:r>
              <w:t>1.质量提升资金用于学校院落改造，修缮后学校环境得到改善，办学品位得到提升。</w:t>
            </w:r>
          </w:p>
        </w:tc>
      </w:tr>
    </w:tbl>
    <w:p w14:paraId="7BE20A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14:paraId="787B7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A6F33">
            <w:pPr>
              <w:pStyle w:val="11"/>
            </w:pPr>
            <w:r>
              <w:t>一级指标</w:t>
            </w:r>
          </w:p>
        </w:tc>
        <w:tc>
          <w:tcPr>
            <w:tcW w:w="2268" w:type="dxa"/>
            <w:vAlign w:val="center"/>
          </w:tcPr>
          <w:p w14:paraId="67349016">
            <w:pPr>
              <w:pStyle w:val="11"/>
            </w:pPr>
            <w:r>
              <w:t>二级指标</w:t>
            </w:r>
          </w:p>
        </w:tc>
        <w:tc>
          <w:tcPr>
            <w:tcW w:w="2835" w:type="dxa"/>
            <w:vAlign w:val="center"/>
          </w:tcPr>
          <w:p w14:paraId="0A5A1E57">
            <w:pPr>
              <w:pStyle w:val="11"/>
            </w:pPr>
            <w:r>
              <w:t>三级指标</w:t>
            </w:r>
          </w:p>
        </w:tc>
        <w:tc>
          <w:tcPr>
            <w:tcW w:w="5386" w:type="dxa"/>
            <w:vAlign w:val="center"/>
          </w:tcPr>
          <w:p w14:paraId="7C683DBB">
            <w:pPr>
              <w:pStyle w:val="11"/>
            </w:pPr>
            <w:r>
              <w:t>绩效指标描述</w:t>
            </w:r>
          </w:p>
        </w:tc>
        <w:tc>
          <w:tcPr>
            <w:tcW w:w="1598" w:type="dxa"/>
            <w:vAlign w:val="center"/>
          </w:tcPr>
          <w:p w14:paraId="0B1CD41D">
            <w:pPr>
              <w:pStyle w:val="11"/>
            </w:pPr>
            <w:r>
              <w:t>指标值</w:t>
            </w:r>
          </w:p>
        </w:tc>
        <w:tc>
          <w:tcPr>
            <w:tcW w:w="1946" w:type="dxa"/>
            <w:vAlign w:val="center"/>
          </w:tcPr>
          <w:p w14:paraId="36B9BE5C">
            <w:pPr>
              <w:pStyle w:val="11"/>
            </w:pPr>
            <w:r>
              <w:t>指标值确定依据</w:t>
            </w:r>
          </w:p>
        </w:tc>
      </w:tr>
      <w:tr w14:paraId="2A295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29575">
            <w:pPr>
              <w:pStyle w:val="12"/>
            </w:pPr>
            <w:r>
              <w:t>产出指标</w:t>
            </w:r>
          </w:p>
        </w:tc>
        <w:tc>
          <w:tcPr>
            <w:tcW w:w="2268" w:type="dxa"/>
            <w:vAlign w:val="center"/>
          </w:tcPr>
          <w:p w14:paraId="716BB45E">
            <w:pPr>
              <w:pStyle w:val="13"/>
            </w:pPr>
            <w:r>
              <w:t>数量指标</w:t>
            </w:r>
          </w:p>
        </w:tc>
        <w:tc>
          <w:tcPr>
            <w:tcW w:w="2835" w:type="dxa"/>
            <w:vAlign w:val="center"/>
          </w:tcPr>
          <w:p w14:paraId="4F0C26A0">
            <w:pPr>
              <w:pStyle w:val="13"/>
            </w:pPr>
            <w:r>
              <w:t>学校院落进行绿化修缮改造</w:t>
            </w:r>
          </w:p>
        </w:tc>
        <w:tc>
          <w:tcPr>
            <w:tcW w:w="5386" w:type="dxa"/>
            <w:vAlign w:val="center"/>
          </w:tcPr>
          <w:p w14:paraId="07EA1E25">
            <w:pPr>
              <w:pStyle w:val="13"/>
            </w:pPr>
            <w:r>
              <w:t>学校院落进行绿化修缮改造</w:t>
            </w:r>
          </w:p>
        </w:tc>
        <w:tc>
          <w:tcPr>
            <w:tcW w:w="1598" w:type="dxa"/>
            <w:vAlign w:val="center"/>
          </w:tcPr>
          <w:p w14:paraId="11DFD289">
            <w:pPr>
              <w:pStyle w:val="13"/>
            </w:pPr>
            <w:r>
              <w:t>≥4682.3平方米</w:t>
            </w:r>
          </w:p>
        </w:tc>
        <w:tc>
          <w:tcPr>
            <w:tcW w:w="1946" w:type="dxa"/>
            <w:vAlign w:val="center"/>
          </w:tcPr>
          <w:p w14:paraId="283671CB">
            <w:pPr>
              <w:pStyle w:val="13"/>
            </w:pPr>
            <w:r>
              <w:t>冀财教【2024】131号</w:t>
            </w:r>
          </w:p>
        </w:tc>
      </w:tr>
      <w:tr w14:paraId="732D2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ACB5E"/>
        </w:tc>
        <w:tc>
          <w:tcPr>
            <w:tcW w:w="2268" w:type="dxa"/>
            <w:vAlign w:val="center"/>
          </w:tcPr>
          <w:p w14:paraId="6AD40B3A">
            <w:pPr>
              <w:pStyle w:val="13"/>
            </w:pPr>
            <w:r>
              <w:t>质量指标</w:t>
            </w:r>
          </w:p>
        </w:tc>
        <w:tc>
          <w:tcPr>
            <w:tcW w:w="2835" w:type="dxa"/>
            <w:vAlign w:val="center"/>
          </w:tcPr>
          <w:p w14:paraId="3542127A">
            <w:pPr>
              <w:pStyle w:val="13"/>
            </w:pPr>
            <w:r>
              <w:t>工程合格率</w:t>
            </w:r>
          </w:p>
        </w:tc>
        <w:tc>
          <w:tcPr>
            <w:tcW w:w="5386" w:type="dxa"/>
            <w:vAlign w:val="center"/>
          </w:tcPr>
          <w:p w14:paraId="199EFE05">
            <w:pPr>
              <w:pStyle w:val="13"/>
            </w:pPr>
            <w:r>
              <w:t>工程合格率</w:t>
            </w:r>
          </w:p>
        </w:tc>
        <w:tc>
          <w:tcPr>
            <w:tcW w:w="1598" w:type="dxa"/>
            <w:vAlign w:val="center"/>
          </w:tcPr>
          <w:p w14:paraId="3635EB07">
            <w:pPr>
              <w:pStyle w:val="13"/>
            </w:pPr>
            <w:r>
              <w:t>≥100%</w:t>
            </w:r>
          </w:p>
        </w:tc>
        <w:tc>
          <w:tcPr>
            <w:tcW w:w="1946" w:type="dxa"/>
            <w:vAlign w:val="center"/>
          </w:tcPr>
          <w:p w14:paraId="6C2C1541">
            <w:pPr>
              <w:pStyle w:val="13"/>
            </w:pPr>
            <w:r>
              <w:t>冀财教【2024】131号</w:t>
            </w:r>
          </w:p>
        </w:tc>
      </w:tr>
      <w:tr w14:paraId="4E350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49DC"/>
        </w:tc>
        <w:tc>
          <w:tcPr>
            <w:tcW w:w="2268" w:type="dxa"/>
            <w:vAlign w:val="center"/>
          </w:tcPr>
          <w:p w14:paraId="4FDEE2B0">
            <w:pPr>
              <w:pStyle w:val="13"/>
            </w:pPr>
            <w:r>
              <w:t>时效指标</w:t>
            </w:r>
          </w:p>
        </w:tc>
        <w:tc>
          <w:tcPr>
            <w:tcW w:w="2835" w:type="dxa"/>
            <w:vAlign w:val="center"/>
          </w:tcPr>
          <w:p w14:paraId="615B290C">
            <w:pPr>
              <w:pStyle w:val="13"/>
            </w:pPr>
            <w:r>
              <w:t>项目实施时间</w:t>
            </w:r>
          </w:p>
        </w:tc>
        <w:tc>
          <w:tcPr>
            <w:tcW w:w="5386" w:type="dxa"/>
            <w:vAlign w:val="center"/>
          </w:tcPr>
          <w:p w14:paraId="38BD7372">
            <w:pPr>
              <w:pStyle w:val="13"/>
            </w:pPr>
            <w:r>
              <w:t>2025年1月-12月</w:t>
            </w:r>
          </w:p>
        </w:tc>
        <w:tc>
          <w:tcPr>
            <w:tcW w:w="1598" w:type="dxa"/>
            <w:vAlign w:val="center"/>
          </w:tcPr>
          <w:p w14:paraId="2C0D52A0">
            <w:pPr>
              <w:pStyle w:val="13"/>
            </w:pPr>
            <w:r>
              <w:t>≥100%</w:t>
            </w:r>
          </w:p>
        </w:tc>
        <w:tc>
          <w:tcPr>
            <w:tcW w:w="1946" w:type="dxa"/>
            <w:vAlign w:val="center"/>
          </w:tcPr>
          <w:p w14:paraId="754E415A">
            <w:pPr>
              <w:pStyle w:val="13"/>
            </w:pPr>
            <w:r>
              <w:t>冀财教【2024】131号</w:t>
            </w:r>
          </w:p>
        </w:tc>
      </w:tr>
      <w:tr w14:paraId="0977F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19D16"/>
        </w:tc>
        <w:tc>
          <w:tcPr>
            <w:tcW w:w="2268" w:type="dxa"/>
            <w:vAlign w:val="center"/>
          </w:tcPr>
          <w:p w14:paraId="4E7FEAD5">
            <w:pPr>
              <w:pStyle w:val="13"/>
            </w:pPr>
            <w:r>
              <w:t>成本指标</w:t>
            </w:r>
          </w:p>
        </w:tc>
        <w:tc>
          <w:tcPr>
            <w:tcW w:w="2835" w:type="dxa"/>
            <w:vAlign w:val="center"/>
          </w:tcPr>
          <w:p w14:paraId="075ACCFD">
            <w:pPr>
              <w:pStyle w:val="13"/>
            </w:pPr>
            <w:r>
              <w:t>改造修缮成本</w:t>
            </w:r>
          </w:p>
        </w:tc>
        <w:tc>
          <w:tcPr>
            <w:tcW w:w="5386" w:type="dxa"/>
            <w:vAlign w:val="center"/>
          </w:tcPr>
          <w:p w14:paraId="6ACB8C87">
            <w:pPr>
              <w:pStyle w:val="13"/>
            </w:pPr>
            <w:r>
              <w:t>改造修缮成本</w:t>
            </w:r>
          </w:p>
        </w:tc>
        <w:tc>
          <w:tcPr>
            <w:tcW w:w="1598" w:type="dxa"/>
            <w:vAlign w:val="center"/>
          </w:tcPr>
          <w:p w14:paraId="3EF1647B">
            <w:pPr>
              <w:pStyle w:val="13"/>
            </w:pPr>
            <w:r>
              <w:t>54万元</w:t>
            </w:r>
          </w:p>
        </w:tc>
        <w:tc>
          <w:tcPr>
            <w:tcW w:w="1946" w:type="dxa"/>
            <w:vAlign w:val="center"/>
          </w:tcPr>
          <w:p w14:paraId="013A2ADD">
            <w:pPr>
              <w:pStyle w:val="13"/>
            </w:pPr>
            <w:r>
              <w:t>冀财教【2024】131号</w:t>
            </w:r>
          </w:p>
        </w:tc>
      </w:tr>
      <w:tr w14:paraId="1E695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35867E">
            <w:pPr>
              <w:pStyle w:val="12"/>
            </w:pPr>
            <w:r>
              <w:t>效益指标</w:t>
            </w:r>
          </w:p>
        </w:tc>
        <w:tc>
          <w:tcPr>
            <w:tcW w:w="2268" w:type="dxa"/>
            <w:vAlign w:val="center"/>
          </w:tcPr>
          <w:p w14:paraId="415F1F67">
            <w:pPr>
              <w:pStyle w:val="13"/>
            </w:pPr>
            <w:r>
              <w:t>社会效益指标</w:t>
            </w:r>
          </w:p>
        </w:tc>
        <w:tc>
          <w:tcPr>
            <w:tcW w:w="2835" w:type="dxa"/>
            <w:vAlign w:val="center"/>
          </w:tcPr>
          <w:p w14:paraId="466F36FD">
            <w:pPr>
              <w:pStyle w:val="13"/>
            </w:pPr>
            <w:r>
              <w:t>改造修缮后维持年限</w:t>
            </w:r>
          </w:p>
        </w:tc>
        <w:tc>
          <w:tcPr>
            <w:tcW w:w="5386" w:type="dxa"/>
            <w:vAlign w:val="center"/>
          </w:tcPr>
          <w:p w14:paraId="4CF01EB8">
            <w:pPr>
              <w:pStyle w:val="13"/>
            </w:pPr>
            <w:r>
              <w:t>改造修缮后维持年限</w:t>
            </w:r>
          </w:p>
        </w:tc>
        <w:tc>
          <w:tcPr>
            <w:tcW w:w="1598" w:type="dxa"/>
            <w:vAlign w:val="center"/>
          </w:tcPr>
          <w:p w14:paraId="7AED277E">
            <w:pPr>
              <w:pStyle w:val="13"/>
            </w:pPr>
            <w:r>
              <w:t>20年</w:t>
            </w:r>
          </w:p>
        </w:tc>
        <w:tc>
          <w:tcPr>
            <w:tcW w:w="1946" w:type="dxa"/>
            <w:vAlign w:val="center"/>
          </w:tcPr>
          <w:p w14:paraId="55FA571D">
            <w:pPr>
              <w:pStyle w:val="13"/>
            </w:pPr>
            <w:r>
              <w:t>冀财教【2024】131号</w:t>
            </w:r>
          </w:p>
        </w:tc>
      </w:tr>
      <w:tr w14:paraId="7D7FA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3A023C">
            <w:pPr>
              <w:pStyle w:val="12"/>
            </w:pPr>
            <w:r>
              <w:t>满意度指标</w:t>
            </w:r>
          </w:p>
        </w:tc>
        <w:tc>
          <w:tcPr>
            <w:tcW w:w="2268" w:type="dxa"/>
            <w:vAlign w:val="center"/>
          </w:tcPr>
          <w:p w14:paraId="5361AEB5">
            <w:pPr>
              <w:pStyle w:val="13"/>
            </w:pPr>
            <w:r>
              <w:t>服务对象满意度指标</w:t>
            </w:r>
          </w:p>
        </w:tc>
        <w:tc>
          <w:tcPr>
            <w:tcW w:w="2835" w:type="dxa"/>
            <w:vAlign w:val="center"/>
          </w:tcPr>
          <w:p w14:paraId="3AF185EF">
            <w:pPr>
              <w:pStyle w:val="13"/>
            </w:pPr>
            <w:r>
              <w:t>家长学生满意度</w:t>
            </w:r>
          </w:p>
        </w:tc>
        <w:tc>
          <w:tcPr>
            <w:tcW w:w="5386" w:type="dxa"/>
            <w:vAlign w:val="center"/>
          </w:tcPr>
          <w:p w14:paraId="19A109A7">
            <w:pPr>
              <w:pStyle w:val="13"/>
            </w:pPr>
            <w:r>
              <w:t>家长学生满意度</w:t>
            </w:r>
          </w:p>
        </w:tc>
        <w:tc>
          <w:tcPr>
            <w:tcW w:w="1598" w:type="dxa"/>
            <w:vAlign w:val="center"/>
          </w:tcPr>
          <w:p w14:paraId="1E3FB07F">
            <w:pPr>
              <w:pStyle w:val="13"/>
            </w:pPr>
            <w:r>
              <w:t>≥95%</w:t>
            </w:r>
          </w:p>
        </w:tc>
        <w:tc>
          <w:tcPr>
            <w:tcW w:w="1946" w:type="dxa"/>
            <w:vAlign w:val="center"/>
          </w:tcPr>
          <w:p w14:paraId="70D2BBEF">
            <w:pPr>
              <w:pStyle w:val="13"/>
            </w:pPr>
            <w:r>
              <w:t>冀财教【2024】131号</w:t>
            </w:r>
          </w:p>
        </w:tc>
      </w:tr>
    </w:tbl>
    <w:p w14:paraId="2B9E90E7">
      <w:pPr>
        <w:sectPr>
          <w:pgSz w:w="16840" w:h="11900" w:orient="landscape"/>
          <w:pgMar w:top="1361" w:right="1020" w:bottom="1134" w:left="1020" w:header="720" w:footer="720" w:gutter="0"/>
          <w:cols w:space="720" w:num="1"/>
        </w:sectPr>
      </w:pPr>
    </w:p>
    <w:p w14:paraId="373832C2">
      <w:pPr>
        <w:spacing w:before="0" w:after="0"/>
        <w:ind w:firstLine="560"/>
        <w:jc w:val="left"/>
        <w:outlineLvl w:val="9"/>
      </w:pPr>
      <w:r>
        <w:rPr>
          <w:rFonts w:ascii="方正仿宋_GBK" w:hAnsi="方正仿宋_GBK" w:eastAsia="方正仿宋_GBK" w:cs="方正仿宋_GBK"/>
          <w:b/>
          <w:color w:val="000000"/>
          <w:sz w:val="28"/>
        </w:rPr>
        <w:t>7、冀财教[2024]131号/中央/2025年现代职业教育质量提升计划/隆尧县职教中心专用设备购置绩效目标表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8F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CD047">
            <w:pPr>
              <w:pStyle w:val="14"/>
            </w:pPr>
            <w:r>
              <w:t>单位：万元</w:t>
            </w:r>
          </w:p>
        </w:tc>
      </w:tr>
      <w:tr w14:paraId="54063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BFFBC5">
            <w:pPr>
              <w:pStyle w:val="11"/>
            </w:pPr>
            <w:r>
              <w:t>项目编码</w:t>
            </w:r>
          </w:p>
        </w:tc>
        <w:tc>
          <w:tcPr>
            <w:tcW w:w="5103" w:type="dxa"/>
            <w:gridSpan w:val="2"/>
            <w:vAlign w:val="center"/>
          </w:tcPr>
          <w:p w14:paraId="068C7DEC">
            <w:pPr>
              <w:pStyle w:val="13"/>
            </w:pPr>
            <w:r>
              <w:t>13052525P008768100024</w:t>
            </w:r>
          </w:p>
        </w:tc>
        <w:tc>
          <w:tcPr>
            <w:tcW w:w="2835" w:type="dxa"/>
            <w:vAlign w:val="center"/>
          </w:tcPr>
          <w:p w14:paraId="7A2FA60D">
            <w:pPr>
              <w:pStyle w:val="11"/>
            </w:pPr>
            <w:r>
              <w:t>项目名称</w:t>
            </w:r>
          </w:p>
        </w:tc>
        <w:tc>
          <w:tcPr>
            <w:tcW w:w="6095" w:type="dxa"/>
            <w:gridSpan w:val="3"/>
            <w:vAlign w:val="center"/>
          </w:tcPr>
          <w:p w14:paraId="31580E23">
            <w:pPr>
              <w:pStyle w:val="13"/>
            </w:pPr>
            <w:r>
              <w:t>冀财教[2024]131号/中央/2025年现代职业教育质量提升计划/隆尧县职教中心专用设备购置</w:t>
            </w:r>
          </w:p>
        </w:tc>
      </w:tr>
      <w:tr w14:paraId="14DF5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FA233">
            <w:pPr>
              <w:pStyle w:val="11"/>
            </w:pPr>
            <w:r>
              <w:t>预算规模及资金用途</w:t>
            </w:r>
          </w:p>
        </w:tc>
        <w:tc>
          <w:tcPr>
            <w:tcW w:w="2268" w:type="dxa"/>
            <w:vAlign w:val="center"/>
          </w:tcPr>
          <w:p w14:paraId="5B96EBD0">
            <w:pPr>
              <w:pStyle w:val="11"/>
            </w:pPr>
            <w:r>
              <w:t>预算数</w:t>
            </w:r>
          </w:p>
        </w:tc>
        <w:tc>
          <w:tcPr>
            <w:tcW w:w="2835" w:type="dxa"/>
            <w:vAlign w:val="center"/>
          </w:tcPr>
          <w:p w14:paraId="09CB0222">
            <w:pPr>
              <w:pStyle w:val="13"/>
            </w:pPr>
            <w:r>
              <w:t>6.00</w:t>
            </w:r>
          </w:p>
        </w:tc>
        <w:tc>
          <w:tcPr>
            <w:tcW w:w="2835" w:type="dxa"/>
            <w:vAlign w:val="center"/>
          </w:tcPr>
          <w:p w14:paraId="2E2CA55B">
            <w:pPr>
              <w:pStyle w:val="11"/>
            </w:pPr>
            <w:r>
              <w:t>其中：财政    资金</w:t>
            </w:r>
          </w:p>
        </w:tc>
        <w:tc>
          <w:tcPr>
            <w:tcW w:w="2551" w:type="dxa"/>
            <w:vAlign w:val="center"/>
          </w:tcPr>
          <w:p w14:paraId="0C6AB64C">
            <w:pPr>
              <w:pStyle w:val="13"/>
            </w:pPr>
            <w:r>
              <w:t>6.00</w:t>
            </w:r>
          </w:p>
        </w:tc>
        <w:tc>
          <w:tcPr>
            <w:tcW w:w="2268" w:type="dxa"/>
            <w:vAlign w:val="center"/>
          </w:tcPr>
          <w:p w14:paraId="331017C9">
            <w:pPr>
              <w:pStyle w:val="11"/>
            </w:pPr>
            <w:r>
              <w:t>其他资金</w:t>
            </w:r>
          </w:p>
        </w:tc>
        <w:tc>
          <w:tcPr>
            <w:tcW w:w="1276" w:type="dxa"/>
            <w:vAlign w:val="center"/>
          </w:tcPr>
          <w:p w14:paraId="7A65606C">
            <w:pPr>
              <w:pStyle w:val="13"/>
            </w:pPr>
            <w:r>
              <w:t xml:space="preserve"> </w:t>
            </w:r>
          </w:p>
        </w:tc>
      </w:tr>
      <w:tr w14:paraId="18F61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FB1FD"/>
        </w:tc>
        <w:tc>
          <w:tcPr>
            <w:tcW w:w="14033" w:type="dxa"/>
            <w:gridSpan w:val="6"/>
            <w:vAlign w:val="center"/>
          </w:tcPr>
          <w:p w14:paraId="3793F386">
            <w:pPr>
              <w:pStyle w:val="13"/>
            </w:pPr>
            <w:r>
              <w:t>省级现代职业教育质量提升计划安排资金6万元，用于购置办公电脑，改善教室办公条件。</w:t>
            </w:r>
          </w:p>
        </w:tc>
      </w:tr>
      <w:tr w14:paraId="2664A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16100">
            <w:pPr>
              <w:pStyle w:val="11"/>
            </w:pPr>
            <w:r>
              <w:t>资金支出计划（%）</w:t>
            </w:r>
          </w:p>
        </w:tc>
        <w:tc>
          <w:tcPr>
            <w:tcW w:w="5103" w:type="dxa"/>
            <w:gridSpan w:val="2"/>
            <w:vAlign w:val="center"/>
          </w:tcPr>
          <w:p w14:paraId="527E8375">
            <w:pPr>
              <w:pStyle w:val="11"/>
            </w:pPr>
            <w:r>
              <w:t>3月底</w:t>
            </w:r>
          </w:p>
        </w:tc>
        <w:tc>
          <w:tcPr>
            <w:tcW w:w="2835" w:type="dxa"/>
            <w:vAlign w:val="center"/>
          </w:tcPr>
          <w:p w14:paraId="6D02C2FB">
            <w:pPr>
              <w:pStyle w:val="11"/>
            </w:pPr>
            <w:r>
              <w:t>6月底</w:t>
            </w:r>
          </w:p>
        </w:tc>
        <w:tc>
          <w:tcPr>
            <w:tcW w:w="2551" w:type="dxa"/>
            <w:vAlign w:val="center"/>
          </w:tcPr>
          <w:p w14:paraId="356C2112">
            <w:pPr>
              <w:pStyle w:val="11"/>
            </w:pPr>
            <w:r>
              <w:t>10月底</w:t>
            </w:r>
          </w:p>
        </w:tc>
        <w:tc>
          <w:tcPr>
            <w:tcW w:w="3544" w:type="dxa"/>
            <w:gridSpan w:val="2"/>
            <w:vAlign w:val="center"/>
          </w:tcPr>
          <w:p w14:paraId="208F8F1D">
            <w:pPr>
              <w:pStyle w:val="11"/>
            </w:pPr>
            <w:r>
              <w:t>12月底</w:t>
            </w:r>
          </w:p>
        </w:tc>
      </w:tr>
      <w:tr w14:paraId="4EE37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B5D838"/>
        </w:tc>
        <w:tc>
          <w:tcPr>
            <w:tcW w:w="5103" w:type="dxa"/>
            <w:gridSpan w:val="2"/>
            <w:vAlign w:val="center"/>
          </w:tcPr>
          <w:p w14:paraId="5B28AAA2">
            <w:pPr>
              <w:pStyle w:val="12"/>
            </w:pPr>
            <w:r>
              <w:t xml:space="preserve"> </w:t>
            </w:r>
          </w:p>
        </w:tc>
        <w:tc>
          <w:tcPr>
            <w:tcW w:w="2835" w:type="dxa"/>
            <w:vAlign w:val="center"/>
          </w:tcPr>
          <w:p w14:paraId="18CCAF84">
            <w:pPr>
              <w:pStyle w:val="12"/>
            </w:pPr>
            <w:r>
              <w:t>100%</w:t>
            </w:r>
          </w:p>
        </w:tc>
        <w:tc>
          <w:tcPr>
            <w:tcW w:w="2551" w:type="dxa"/>
            <w:vAlign w:val="center"/>
          </w:tcPr>
          <w:p w14:paraId="2E1706BC">
            <w:pPr>
              <w:pStyle w:val="12"/>
            </w:pPr>
            <w:r>
              <w:t>100%</w:t>
            </w:r>
          </w:p>
        </w:tc>
        <w:tc>
          <w:tcPr>
            <w:tcW w:w="3544" w:type="dxa"/>
            <w:gridSpan w:val="2"/>
            <w:vAlign w:val="center"/>
          </w:tcPr>
          <w:p w14:paraId="3D166D59">
            <w:pPr>
              <w:pStyle w:val="12"/>
            </w:pPr>
            <w:r>
              <w:t>100%</w:t>
            </w:r>
          </w:p>
        </w:tc>
      </w:tr>
      <w:tr w14:paraId="4F57B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F594D8">
            <w:pPr>
              <w:pStyle w:val="11"/>
            </w:pPr>
            <w:r>
              <w:t>绩效目标</w:t>
            </w:r>
          </w:p>
        </w:tc>
        <w:tc>
          <w:tcPr>
            <w:tcW w:w="14033" w:type="dxa"/>
            <w:gridSpan w:val="6"/>
            <w:vAlign w:val="center"/>
          </w:tcPr>
          <w:p w14:paraId="0F406A23">
            <w:pPr>
              <w:pStyle w:val="13"/>
            </w:pPr>
            <w:r>
              <w:t>1.省级现代职业教育质量提升计划安排资金6万元，用于购置办公电脑，改善教室办公条件。</w:t>
            </w:r>
          </w:p>
        </w:tc>
      </w:tr>
    </w:tbl>
    <w:p w14:paraId="1D84E3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56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ED0E7">
            <w:pPr>
              <w:pStyle w:val="11"/>
            </w:pPr>
            <w:r>
              <w:t>一级指标</w:t>
            </w:r>
          </w:p>
        </w:tc>
        <w:tc>
          <w:tcPr>
            <w:tcW w:w="2268" w:type="dxa"/>
            <w:vAlign w:val="center"/>
          </w:tcPr>
          <w:p w14:paraId="5E3FE3B1">
            <w:pPr>
              <w:pStyle w:val="11"/>
            </w:pPr>
            <w:r>
              <w:t>二级指标</w:t>
            </w:r>
          </w:p>
        </w:tc>
        <w:tc>
          <w:tcPr>
            <w:tcW w:w="2835" w:type="dxa"/>
            <w:vAlign w:val="center"/>
          </w:tcPr>
          <w:p w14:paraId="544EE24E">
            <w:pPr>
              <w:pStyle w:val="11"/>
            </w:pPr>
            <w:r>
              <w:t>三级指标</w:t>
            </w:r>
          </w:p>
        </w:tc>
        <w:tc>
          <w:tcPr>
            <w:tcW w:w="5386" w:type="dxa"/>
            <w:vAlign w:val="center"/>
          </w:tcPr>
          <w:p w14:paraId="4E7F1BEE">
            <w:pPr>
              <w:pStyle w:val="11"/>
            </w:pPr>
            <w:r>
              <w:t>绩效指标描述</w:t>
            </w:r>
          </w:p>
        </w:tc>
        <w:tc>
          <w:tcPr>
            <w:tcW w:w="2268" w:type="dxa"/>
            <w:vAlign w:val="center"/>
          </w:tcPr>
          <w:p w14:paraId="4A45A2B2">
            <w:pPr>
              <w:pStyle w:val="11"/>
            </w:pPr>
            <w:r>
              <w:t>指标值</w:t>
            </w:r>
          </w:p>
        </w:tc>
        <w:tc>
          <w:tcPr>
            <w:tcW w:w="1276" w:type="dxa"/>
            <w:vAlign w:val="center"/>
          </w:tcPr>
          <w:p w14:paraId="1F75703A">
            <w:pPr>
              <w:pStyle w:val="11"/>
            </w:pPr>
            <w:r>
              <w:t>指标值确定依据</w:t>
            </w:r>
          </w:p>
        </w:tc>
      </w:tr>
      <w:tr w14:paraId="69C17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5FEFE">
            <w:pPr>
              <w:pStyle w:val="12"/>
            </w:pPr>
            <w:r>
              <w:t>产出指标</w:t>
            </w:r>
          </w:p>
        </w:tc>
        <w:tc>
          <w:tcPr>
            <w:tcW w:w="2268" w:type="dxa"/>
            <w:vAlign w:val="center"/>
          </w:tcPr>
          <w:p w14:paraId="3A88BE50">
            <w:pPr>
              <w:pStyle w:val="13"/>
            </w:pPr>
            <w:r>
              <w:t>数量指标</w:t>
            </w:r>
          </w:p>
        </w:tc>
        <w:tc>
          <w:tcPr>
            <w:tcW w:w="2835" w:type="dxa"/>
            <w:vAlign w:val="center"/>
          </w:tcPr>
          <w:p w14:paraId="399F472E">
            <w:pPr>
              <w:pStyle w:val="13"/>
            </w:pPr>
            <w:r>
              <w:t>购置数量</w:t>
            </w:r>
          </w:p>
        </w:tc>
        <w:tc>
          <w:tcPr>
            <w:tcW w:w="5386" w:type="dxa"/>
            <w:vAlign w:val="center"/>
          </w:tcPr>
          <w:p w14:paraId="4DED2EC9">
            <w:pPr>
              <w:pStyle w:val="13"/>
            </w:pPr>
            <w:r>
              <w:t>购置电脑15台</w:t>
            </w:r>
          </w:p>
        </w:tc>
        <w:tc>
          <w:tcPr>
            <w:tcW w:w="2268" w:type="dxa"/>
            <w:vAlign w:val="center"/>
          </w:tcPr>
          <w:p w14:paraId="4FEFD33B">
            <w:pPr>
              <w:pStyle w:val="13"/>
            </w:pPr>
            <w:r>
              <w:t>15台</w:t>
            </w:r>
          </w:p>
        </w:tc>
        <w:tc>
          <w:tcPr>
            <w:tcW w:w="1276" w:type="dxa"/>
            <w:vAlign w:val="center"/>
          </w:tcPr>
          <w:p w14:paraId="4424819C">
            <w:pPr>
              <w:pStyle w:val="13"/>
            </w:pPr>
            <w:r>
              <w:t>2023年项目规划</w:t>
            </w:r>
          </w:p>
        </w:tc>
      </w:tr>
      <w:tr w14:paraId="6B701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7A396"/>
        </w:tc>
        <w:tc>
          <w:tcPr>
            <w:tcW w:w="2268" w:type="dxa"/>
            <w:vAlign w:val="center"/>
          </w:tcPr>
          <w:p w14:paraId="6DD4A480">
            <w:pPr>
              <w:pStyle w:val="13"/>
            </w:pPr>
            <w:r>
              <w:t>质量指标</w:t>
            </w:r>
          </w:p>
        </w:tc>
        <w:tc>
          <w:tcPr>
            <w:tcW w:w="2835" w:type="dxa"/>
            <w:vAlign w:val="center"/>
          </w:tcPr>
          <w:p w14:paraId="44F0F0D5">
            <w:pPr>
              <w:pStyle w:val="13"/>
            </w:pPr>
            <w:r>
              <w:t>改善办公条件</w:t>
            </w:r>
          </w:p>
        </w:tc>
        <w:tc>
          <w:tcPr>
            <w:tcW w:w="5386" w:type="dxa"/>
            <w:vAlign w:val="center"/>
          </w:tcPr>
          <w:p w14:paraId="5EE0D2E0">
            <w:pPr>
              <w:pStyle w:val="13"/>
            </w:pPr>
            <w:r>
              <w:t>改善办公条件</w:t>
            </w:r>
          </w:p>
        </w:tc>
        <w:tc>
          <w:tcPr>
            <w:tcW w:w="2268" w:type="dxa"/>
            <w:vAlign w:val="center"/>
          </w:tcPr>
          <w:p w14:paraId="4B6EB2DA">
            <w:pPr>
              <w:pStyle w:val="13"/>
            </w:pPr>
            <w:r>
              <w:t>≥100%</w:t>
            </w:r>
          </w:p>
        </w:tc>
        <w:tc>
          <w:tcPr>
            <w:tcW w:w="1276" w:type="dxa"/>
            <w:vAlign w:val="center"/>
          </w:tcPr>
          <w:p w14:paraId="5515C8B1">
            <w:pPr>
              <w:pStyle w:val="13"/>
            </w:pPr>
            <w:r>
              <w:t>2023年项目规划</w:t>
            </w:r>
          </w:p>
        </w:tc>
      </w:tr>
      <w:tr w14:paraId="21B33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ABC1A"/>
        </w:tc>
        <w:tc>
          <w:tcPr>
            <w:tcW w:w="2268" w:type="dxa"/>
            <w:vAlign w:val="center"/>
          </w:tcPr>
          <w:p w14:paraId="3768657D">
            <w:pPr>
              <w:pStyle w:val="13"/>
            </w:pPr>
            <w:r>
              <w:t>时效指标</w:t>
            </w:r>
          </w:p>
        </w:tc>
        <w:tc>
          <w:tcPr>
            <w:tcW w:w="2835" w:type="dxa"/>
            <w:vAlign w:val="center"/>
          </w:tcPr>
          <w:p w14:paraId="6FF6BFA2">
            <w:pPr>
              <w:pStyle w:val="13"/>
            </w:pPr>
            <w:r>
              <w:t>中职教师素质提高计划完成情况</w:t>
            </w:r>
          </w:p>
        </w:tc>
        <w:tc>
          <w:tcPr>
            <w:tcW w:w="5386" w:type="dxa"/>
            <w:vAlign w:val="center"/>
          </w:tcPr>
          <w:p w14:paraId="76A00844">
            <w:pPr>
              <w:pStyle w:val="13"/>
            </w:pPr>
            <w:r>
              <w:t>中职教师素质提高计划完成情况</w:t>
            </w:r>
          </w:p>
        </w:tc>
        <w:tc>
          <w:tcPr>
            <w:tcW w:w="2268" w:type="dxa"/>
            <w:vAlign w:val="center"/>
          </w:tcPr>
          <w:p w14:paraId="3B0D44E7">
            <w:pPr>
              <w:pStyle w:val="13"/>
            </w:pPr>
            <w:r>
              <w:t>≥100%</w:t>
            </w:r>
          </w:p>
        </w:tc>
        <w:tc>
          <w:tcPr>
            <w:tcW w:w="1276" w:type="dxa"/>
            <w:vAlign w:val="center"/>
          </w:tcPr>
          <w:p w14:paraId="2644E1E9">
            <w:pPr>
              <w:pStyle w:val="13"/>
            </w:pPr>
            <w:r>
              <w:t>2023年项目规划</w:t>
            </w:r>
          </w:p>
        </w:tc>
      </w:tr>
      <w:tr w14:paraId="1A288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17E9A"/>
        </w:tc>
        <w:tc>
          <w:tcPr>
            <w:tcW w:w="2268" w:type="dxa"/>
            <w:vAlign w:val="center"/>
          </w:tcPr>
          <w:p w14:paraId="0AB869BC">
            <w:pPr>
              <w:pStyle w:val="13"/>
            </w:pPr>
            <w:r>
              <w:t>成本指标</w:t>
            </w:r>
          </w:p>
        </w:tc>
        <w:tc>
          <w:tcPr>
            <w:tcW w:w="2835" w:type="dxa"/>
            <w:vAlign w:val="center"/>
          </w:tcPr>
          <w:p w14:paraId="7BD0CD9C">
            <w:pPr>
              <w:pStyle w:val="13"/>
            </w:pPr>
            <w:r>
              <w:t>购置金额</w:t>
            </w:r>
          </w:p>
        </w:tc>
        <w:tc>
          <w:tcPr>
            <w:tcW w:w="5386" w:type="dxa"/>
            <w:vAlign w:val="center"/>
          </w:tcPr>
          <w:p w14:paraId="2C045B01">
            <w:pPr>
              <w:pStyle w:val="13"/>
            </w:pPr>
            <w:r>
              <w:t>购置金额</w:t>
            </w:r>
          </w:p>
        </w:tc>
        <w:tc>
          <w:tcPr>
            <w:tcW w:w="2268" w:type="dxa"/>
            <w:vAlign w:val="center"/>
          </w:tcPr>
          <w:p w14:paraId="5E147391">
            <w:pPr>
              <w:pStyle w:val="13"/>
            </w:pPr>
            <w:r>
              <w:t>6万元</w:t>
            </w:r>
          </w:p>
        </w:tc>
        <w:tc>
          <w:tcPr>
            <w:tcW w:w="1276" w:type="dxa"/>
            <w:vAlign w:val="center"/>
          </w:tcPr>
          <w:p w14:paraId="17FC0532">
            <w:pPr>
              <w:pStyle w:val="13"/>
            </w:pPr>
            <w:r>
              <w:t>2023年项目规划</w:t>
            </w:r>
          </w:p>
        </w:tc>
      </w:tr>
      <w:tr w14:paraId="10C63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38BCB">
            <w:pPr>
              <w:pStyle w:val="12"/>
            </w:pPr>
            <w:r>
              <w:t>效益指标</w:t>
            </w:r>
          </w:p>
        </w:tc>
        <w:tc>
          <w:tcPr>
            <w:tcW w:w="2268" w:type="dxa"/>
            <w:vAlign w:val="center"/>
          </w:tcPr>
          <w:p w14:paraId="588859BE">
            <w:pPr>
              <w:pStyle w:val="13"/>
            </w:pPr>
            <w:r>
              <w:t>社会效益指标</w:t>
            </w:r>
          </w:p>
        </w:tc>
        <w:tc>
          <w:tcPr>
            <w:tcW w:w="2835" w:type="dxa"/>
            <w:vAlign w:val="center"/>
          </w:tcPr>
          <w:p w14:paraId="7BAFE55A">
            <w:pPr>
              <w:pStyle w:val="13"/>
            </w:pPr>
            <w:r>
              <w:t>培养更多优秀人才</w:t>
            </w:r>
          </w:p>
        </w:tc>
        <w:tc>
          <w:tcPr>
            <w:tcW w:w="5386" w:type="dxa"/>
            <w:vAlign w:val="center"/>
          </w:tcPr>
          <w:p w14:paraId="7CA6A323">
            <w:pPr>
              <w:pStyle w:val="13"/>
            </w:pPr>
            <w:r>
              <w:t>培养更多优秀人才</w:t>
            </w:r>
          </w:p>
        </w:tc>
        <w:tc>
          <w:tcPr>
            <w:tcW w:w="2268" w:type="dxa"/>
            <w:vAlign w:val="center"/>
          </w:tcPr>
          <w:p w14:paraId="45079BDA">
            <w:pPr>
              <w:pStyle w:val="13"/>
            </w:pPr>
            <w:r>
              <w:t>≥100%</w:t>
            </w:r>
          </w:p>
        </w:tc>
        <w:tc>
          <w:tcPr>
            <w:tcW w:w="1276" w:type="dxa"/>
            <w:vAlign w:val="center"/>
          </w:tcPr>
          <w:p w14:paraId="6FFC0970">
            <w:pPr>
              <w:pStyle w:val="13"/>
            </w:pPr>
            <w:r>
              <w:t>2023年项目规划</w:t>
            </w:r>
          </w:p>
        </w:tc>
      </w:tr>
      <w:tr w14:paraId="27356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47D5A"/>
        </w:tc>
        <w:tc>
          <w:tcPr>
            <w:tcW w:w="2268" w:type="dxa"/>
            <w:vAlign w:val="center"/>
          </w:tcPr>
          <w:p w14:paraId="020B3CEC">
            <w:pPr>
              <w:pStyle w:val="13"/>
            </w:pPr>
            <w:r>
              <w:t>可持续影响指标</w:t>
            </w:r>
          </w:p>
        </w:tc>
        <w:tc>
          <w:tcPr>
            <w:tcW w:w="2835" w:type="dxa"/>
            <w:vAlign w:val="center"/>
          </w:tcPr>
          <w:p w14:paraId="3201AED8">
            <w:pPr>
              <w:pStyle w:val="13"/>
            </w:pPr>
            <w:r>
              <w:t>职业学校学生就业率</w:t>
            </w:r>
          </w:p>
        </w:tc>
        <w:tc>
          <w:tcPr>
            <w:tcW w:w="5386" w:type="dxa"/>
            <w:vAlign w:val="center"/>
          </w:tcPr>
          <w:p w14:paraId="4CD716AE">
            <w:pPr>
              <w:pStyle w:val="13"/>
            </w:pPr>
            <w:r>
              <w:t>职业学校学生就业率</w:t>
            </w:r>
          </w:p>
        </w:tc>
        <w:tc>
          <w:tcPr>
            <w:tcW w:w="2268" w:type="dxa"/>
            <w:vAlign w:val="center"/>
          </w:tcPr>
          <w:p w14:paraId="0A17DE5E">
            <w:pPr>
              <w:pStyle w:val="13"/>
            </w:pPr>
            <w:r>
              <w:t>≥90%</w:t>
            </w:r>
          </w:p>
        </w:tc>
        <w:tc>
          <w:tcPr>
            <w:tcW w:w="1276" w:type="dxa"/>
            <w:vAlign w:val="center"/>
          </w:tcPr>
          <w:p w14:paraId="7DBE7881">
            <w:pPr>
              <w:pStyle w:val="13"/>
            </w:pPr>
            <w:r>
              <w:t>2023年项目规划</w:t>
            </w:r>
          </w:p>
        </w:tc>
      </w:tr>
      <w:tr w14:paraId="7BA33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C539D">
            <w:pPr>
              <w:pStyle w:val="12"/>
            </w:pPr>
            <w:r>
              <w:t>满意度指标</w:t>
            </w:r>
          </w:p>
        </w:tc>
        <w:tc>
          <w:tcPr>
            <w:tcW w:w="2268" w:type="dxa"/>
            <w:vAlign w:val="center"/>
          </w:tcPr>
          <w:p w14:paraId="20D941CB">
            <w:pPr>
              <w:pStyle w:val="13"/>
            </w:pPr>
            <w:r>
              <w:t>服务对象满意度指标</w:t>
            </w:r>
          </w:p>
        </w:tc>
        <w:tc>
          <w:tcPr>
            <w:tcW w:w="2835" w:type="dxa"/>
            <w:vAlign w:val="center"/>
          </w:tcPr>
          <w:p w14:paraId="7C642402">
            <w:pPr>
              <w:pStyle w:val="13"/>
            </w:pPr>
            <w:r>
              <w:t>教师学生家长满意度</w:t>
            </w:r>
          </w:p>
        </w:tc>
        <w:tc>
          <w:tcPr>
            <w:tcW w:w="5386" w:type="dxa"/>
            <w:vAlign w:val="center"/>
          </w:tcPr>
          <w:p w14:paraId="09E69A46">
            <w:pPr>
              <w:pStyle w:val="13"/>
            </w:pPr>
            <w:r>
              <w:t>教师学生家长满意度</w:t>
            </w:r>
          </w:p>
        </w:tc>
        <w:tc>
          <w:tcPr>
            <w:tcW w:w="2268" w:type="dxa"/>
            <w:vAlign w:val="center"/>
          </w:tcPr>
          <w:p w14:paraId="55B794F4">
            <w:pPr>
              <w:pStyle w:val="13"/>
            </w:pPr>
            <w:r>
              <w:t>≥95%</w:t>
            </w:r>
          </w:p>
        </w:tc>
        <w:tc>
          <w:tcPr>
            <w:tcW w:w="1276" w:type="dxa"/>
            <w:vAlign w:val="center"/>
          </w:tcPr>
          <w:p w14:paraId="659BBBC0">
            <w:pPr>
              <w:pStyle w:val="13"/>
            </w:pPr>
            <w:r>
              <w:t>2023年项目规划</w:t>
            </w:r>
          </w:p>
        </w:tc>
      </w:tr>
    </w:tbl>
    <w:p w14:paraId="3B124C24">
      <w:pPr>
        <w:sectPr>
          <w:pgSz w:w="16840" w:h="11900" w:orient="landscape"/>
          <w:pgMar w:top="1361" w:right="1020" w:bottom="1134" w:left="1020" w:header="720" w:footer="720" w:gutter="0"/>
          <w:cols w:space="720" w:num="1"/>
        </w:sectPr>
      </w:pPr>
    </w:p>
    <w:p w14:paraId="3C1AF136">
      <w:pPr>
        <w:spacing w:before="0" w:after="0"/>
        <w:ind w:firstLine="560"/>
        <w:jc w:val="left"/>
        <w:outlineLvl w:val="9"/>
      </w:pPr>
      <w:r>
        <w:rPr>
          <w:rFonts w:ascii="方正仿宋_GBK" w:hAnsi="方正仿宋_GBK" w:eastAsia="方正仿宋_GBK" w:cs="方正仿宋_GBK"/>
          <w:b/>
          <w:color w:val="000000"/>
          <w:sz w:val="28"/>
        </w:rPr>
        <w:t>8、冀财教[2024]136号/省级/2025年职教发展/中职两免（职教中职）建档立卡绩效目标表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72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067E0">
            <w:pPr>
              <w:pStyle w:val="14"/>
            </w:pPr>
            <w:r>
              <w:t>单位：万元</w:t>
            </w:r>
          </w:p>
        </w:tc>
      </w:tr>
      <w:tr w14:paraId="73EBC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E104A3">
            <w:pPr>
              <w:pStyle w:val="11"/>
            </w:pPr>
            <w:r>
              <w:t>项目编码</w:t>
            </w:r>
          </w:p>
        </w:tc>
        <w:tc>
          <w:tcPr>
            <w:tcW w:w="5103" w:type="dxa"/>
            <w:gridSpan w:val="2"/>
            <w:vAlign w:val="center"/>
          </w:tcPr>
          <w:p w14:paraId="48544A71">
            <w:pPr>
              <w:pStyle w:val="13"/>
            </w:pPr>
            <w:r>
              <w:t>13052525P008760100013</w:t>
            </w:r>
          </w:p>
        </w:tc>
        <w:tc>
          <w:tcPr>
            <w:tcW w:w="2835" w:type="dxa"/>
            <w:vAlign w:val="center"/>
          </w:tcPr>
          <w:p w14:paraId="54C97CB5">
            <w:pPr>
              <w:pStyle w:val="11"/>
            </w:pPr>
            <w:r>
              <w:t>项目名称</w:t>
            </w:r>
          </w:p>
        </w:tc>
        <w:tc>
          <w:tcPr>
            <w:tcW w:w="6095" w:type="dxa"/>
            <w:gridSpan w:val="3"/>
            <w:vAlign w:val="center"/>
          </w:tcPr>
          <w:p w14:paraId="26531320">
            <w:pPr>
              <w:pStyle w:val="13"/>
            </w:pPr>
            <w:r>
              <w:t>冀财教[2024]136号/省级/2025年职教发展/中职两免（职教中职）建档立卡</w:t>
            </w:r>
          </w:p>
        </w:tc>
      </w:tr>
      <w:tr w14:paraId="12ABB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064DE">
            <w:pPr>
              <w:pStyle w:val="11"/>
            </w:pPr>
            <w:r>
              <w:t>预算规模及资金用途</w:t>
            </w:r>
          </w:p>
        </w:tc>
        <w:tc>
          <w:tcPr>
            <w:tcW w:w="2268" w:type="dxa"/>
            <w:vAlign w:val="center"/>
          </w:tcPr>
          <w:p w14:paraId="56E655ED">
            <w:pPr>
              <w:pStyle w:val="11"/>
            </w:pPr>
            <w:r>
              <w:t>预算数</w:t>
            </w:r>
          </w:p>
        </w:tc>
        <w:tc>
          <w:tcPr>
            <w:tcW w:w="2835" w:type="dxa"/>
            <w:vAlign w:val="center"/>
          </w:tcPr>
          <w:p w14:paraId="5DDC51A3">
            <w:pPr>
              <w:pStyle w:val="13"/>
            </w:pPr>
            <w:r>
              <w:t>0.80</w:t>
            </w:r>
          </w:p>
        </w:tc>
        <w:tc>
          <w:tcPr>
            <w:tcW w:w="2835" w:type="dxa"/>
            <w:vAlign w:val="center"/>
          </w:tcPr>
          <w:p w14:paraId="00351F24">
            <w:pPr>
              <w:pStyle w:val="11"/>
            </w:pPr>
            <w:r>
              <w:t>其中：财政    资金</w:t>
            </w:r>
          </w:p>
        </w:tc>
        <w:tc>
          <w:tcPr>
            <w:tcW w:w="2551" w:type="dxa"/>
            <w:vAlign w:val="center"/>
          </w:tcPr>
          <w:p w14:paraId="4287A34D">
            <w:pPr>
              <w:pStyle w:val="13"/>
            </w:pPr>
            <w:r>
              <w:t>0.80</w:t>
            </w:r>
          </w:p>
        </w:tc>
        <w:tc>
          <w:tcPr>
            <w:tcW w:w="2268" w:type="dxa"/>
            <w:vAlign w:val="center"/>
          </w:tcPr>
          <w:p w14:paraId="2C4021F0">
            <w:pPr>
              <w:pStyle w:val="11"/>
            </w:pPr>
            <w:r>
              <w:t>其他资金</w:t>
            </w:r>
          </w:p>
        </w:tc>
        <w:tc>
          <w:tcPr>
            <w:tcW w:w="1276" w:type="dxa"/>
            <w:vAlign w:val="center"/>
          </w:tcPr>
          <w:p w14:paraId="33B78D30">
            <w:pPr>
              <w:pStyle w:val="13"/>
            </w:pPr>
            <w:r>
              <w:t xml:space="preserve"> </w:t>
            </w:r>
          </w:p>
        </w:tc>
      </w:tr>
      <w:tr w14:paraId="608B2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B12C9"/>
        </w:tc>
        <w:tc>
          <w:tcPr>
            <w:tcW w:w="14033" w:type="dxa"/>
            <w:gridSpan w:val="6"/>
            <w:vAlign w:val="center"/>
          </w:tcPr>
          <w:p w14:paraId="5DF9CE3E">
            <w:pPr>
              <w:pStyle w:val="13"/>
            </w:pPr>
            <w:r>
              <w:t>省级安排中职两免资金0.8万元，用于减免贫困学生住宿费后经费不足。</w:t>
            </w:r>
          </w:p>
        </w:tc>
      </w:tr>
      <w:tr w14:paraId="79CB7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CEE3D">
            <w:pPr>
              <w:pStyle w:val="11"/>
            </w:pPr>
            <w:r>
              <w:t>资金支出计划（%）</w:t>
            </w:r>
          </w:p>
        </w:tc>
        <w:tc>
          <w:tcPr>
            <w:tcW w:w="5103" w:type="dxa"/>
            <w:gridSpan w:val="2"/>
            <w:vAlign w:val="center"/>
          </w:tcPr>
          <w:p w14:paraId="735FBFD7">
            <w:pPr>
              <w:pStyle w:val="11"/>
            </w:pPr>
            <w:r>
              <w:t>3月底</w:t>
            </w:r>
          </w:p>
        </w:tc>
        <w:tc>
          <w:tcPr>
            <w:tcW w:w="2835" w:type="dxa"/>
            <w:vAlign w:val="center"/>
          </w:tcPr>
          <w:p w14:paraId="790930F7">
            <w:pPr>
              <w:pStyle w:val="11"/>
            </w:pPr>
            <w:r>
              <w:t>6月底</w:t>
            </w:r>
          </w:p>
        </w:tc>
        <w:tc>
          <w:tcPr>
            <w:tcW w:w="2551" w:type="dxa"/>
            <w:vAlign w:val="center"/>
          </w:tcPr>
          <w:p w14:paraId="66BABB6C">
            <w:pPr>
              <w:pStyle w:val="11"/>
            </w:pPr>
            <w:r>
              <w:t>10月底</w:t>
            </w:r>
          </w:p>
        </w:tc>
        <w:tc>
          <w:tcPr>
            <w:tcW w:w="3544" w:type="dxa"/>
            <w:gridSpan w:val="2"/>
            <w:vAlign w:val="center"/>
          </w:tcPr>
          <w:p w14:paraId="16A65F6B">
            <w:pPr>
              <w:pStyle w:val="11"/>
            </w:pPr>
            <w:r>
              <w:t>12月底</w:t>
            </w:r>
          </w:p>
        </w:tc>
      </w:tr>
      <w:tr w14:paraId="04C6D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9713D8"/>
        </w:tc>
        <w:tc>
          <w:tcPr>
            <w:tcW w:w="5103" w:type="dxa"/>
            <w:gridSpan w:val="2"/>
            <w:vAlign w:val="center"/>
          </w:tcPr>
          <w:p w14:paraId="211ADF10">
            <w:pPr>
              <w:pStyle w:val="12"/>
            </w:pPr>
            <w:r>
              <w:t xml:space="preserve"> </w:t>
            </w:r>
          </w:p>
        </w:tc>
        <w:tc>
          <w:tcPr>
            <w:tcW w:w="2835" w:type="dxa"/>
            <w:vAlign w:val="center"/>
          </w:tcPr>
          <w:p w14:paraId="2BC1AE1B">
            <w:pPr>
              <w:pStyle w:val="12"/>
            </w:pPr>
            <w:r>
              <w:t>50%</w:t>
            </w:r>
          </w:p>
        </w:tc>
        <w:tc>
          <w:tcPr>
            <w:tcW w:w="2551" w:type="dxa"/>
            <w:vAlign w:val="center"/>
          </w:tcPr>
          <w:p w14:paraId="23EBC808">
            <w:pPr>
              <w:pStyle w:val="12"/>
            </w:pPr>
            <w:r>
              <w:t>50%</w:t>
            </w:r>
          </w:p>
        </w:tc>
        <w:tc>
          <w:tcPr>
            <w:tcW w:w="3544" w:type="dxa"/>
            <w:gridSpan w:val="2"/>
            <w:vAlign w:val="center"/>
          </w:tcPr>
          <w:p w14:paraId="1ED8B987">
            <w:pPr>
              <w:pStyle w:val="12"/>
            </w:pPr>
            <w:r>
              <w:t>100%</w:t>
            </w:r>
          </w:p>
        </w:tc>
      </w:tr>
      <w:tr w14:paraId="4025D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4B8CE">
            <w:pPr>
              <w:pStyle w:val="11"/>
            </w:pPr>
            <w:r>
              <w:t>绩效目标</w:t>
            </w:r>
          </w:p>
        </w:tc>
        <w:tc>
          <w:tcPr>
            <w:tcW w:w="14033" w:type="dxa"/>
            <w:gridSpan w:val="6"/>
            <w:vAlign w:val="center"/>
          </w:tcPr>
          <w:p w14:paraId="5C6D04E9">
            <w:pPr>
              <w:pStyle w:val="13"/>
            </w:pPr>
            <w:r>
              <w:t>1.省级安排中职两免资金0.8万元，用于减免贫困学生住宿费后经费不足。</w:t>
            </w:r>
          </w:p>
        </w:tc>
      </w:tr>
    </w:tbl>
    <w:p w14:paraId="0B078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249"/>
        <w:gridCol w:w="1305"/>
        <w:gridCol w:w="4376"/>
      </w:tblGrid>
      <w:tr w14:paraId="16D63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79115">
            <w:pPr>
              <w:pStyle w:val="11"/>
            </w:pPr>
            <w:r>
              <w:t>一级指标</w:t>
            </w:r>
          </w:p>
        </w:tc>
        <w:tc>
          <w:tcPr>
            <w:tcW w:w="2268" w:type="dxa"/>
            <w:vAlign w:val="center"/>
          </w:tcPr>
          <w:p w14:paraId="0BE3FF49">
            <w:pPr>
              <w:pStyle w:val="11"/>
            </w:pPr>
            <w:r>
              <w:t>二级指标</w:t>
            </w:r>
          </w:p>
        </w:tc>
        <w:tc>
          <w:tcPr>
            <w:tcW w:w="2835" w:type="dxa"/>
            <w:vAlign w:val="center"/>
          </w:tcPr>
          <w:p w14:paraId="0FDB871E">
            <w:pPr>
              <w:pStyle w:val="11"/>
            </w:pPr>
            <w:r>
              <w:t>三级指标</w:t>
            </w:r>
          </w:p>
        </w:tc>
        <w:tc>
          <w:tcPr>
            <w:tcW w:w="3249" w:type="dxa"/>
            <w:vAlign w:val="center"/>
          </w:tcPr>
          <w:p w14:paraId="2C381B84">
            <w:pPr>
              <w:pStyle w:val="11"/>
            </w:pPr>
            <w:r>
              <w:t>绩效指标描述</w:t>
            </w:r>
          </w:p>
        </w:tc>
        <w:tc>
          <w:tcPr>
            <w:tcW w:w="1305" w:type="dxa"/>
            <w:vAlign w:val="center"/>
          </w:tcPr>
          <w:p w14:paraId="4738DFF7">
            <w:pPr>
              <w:pStyle w:val="11"/>
            </w:pPr>
            <w:r>
              <w:t>指标值</w:t>
            </w:r>
          </w:p>
        </w:tc>
        <w:tc>
          <w:tcPr>
            <w:tcW w:w="4376" w:type="dxa"/>
            <w:vAlign w:val="center"/>
          </w:tcPr>
          <w:p w14:paraId="4C37CB12">
            <w:pPr>
              <w:pStyle w:val="11"/>
            </w:pPr>
            <w:r>
              <w:t>指标值确定依据</w:t>
            </w:r>
          </w:p>
        </w:tc>
      </w:tr>
      <w:tr w14:paraId="65861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E8524">
            <w:pPr>
              <w:pStyle w:val="12"/>
            </w:pPr>
            <w:r>
              <w:t>产出指标</w:t>
            </w:r>
          </w:p>
        </w:tc>
        <w:tc>
          <w:tcPr>
            <w:tcW w:w="2268" w:type="dxa"/>
            <w:vAlign w:val="center"/>
          </w:tcPr>
          <w:p w14:paraId="5805AD73">
            <w:pPr>
              <w:pStyle w:val="13"/>
            </w:pPr>
            <w:r>
              <w:t>数量指标</w:t>
            </w:r>
          </w:p>
        </w:tc>
        <w:tc>
          <w:tcPr>
            <w:tcW w:w="2835" w:type="dxa"/>
            <w:vAlign w:val="center"/>
          </w:tcPr>
          <w:p w14:paraId="619955DE">
            <w:pPr>
              <w:pStyle w:val="13"/>
            </w:pPr>
            <w:r>
              <w:t>中职享受三免人数</w:t>
            </w:r>
          </w:p>
        </w:tc>
        <w:tc>
          <w:tcPr>
            <w:tcW w:w="3249" w:type="dxa"/>
            <w:vAlign w:val="center"/>
          </w:tcPr>
          <w:p w14:paraId="61AC4C7C">
            <w:pPr>
              <w:pStyle w:val="13"/>
            </w:pPr>
            <w:r>
              <w:t>中职享受住宿费书费人数</w:t>
            </w:r>
          </w:p>
        </w:tc>
        <w:tc>
          <w:tcPr>
            <w:tcW w:w="1305" w:type="dxa"/>
            <w:vAlign w:val="center"/>
          </w:tcPr>
          <w:p w14:paraId="22D72BAE">
            <w:pPr>
              <w:pStyle w:val="13"/>
            </w:pPr>
            <w:r>
              <w:t>32人</w:t>
            </w:r>
          </w:p>
        </w:tc>
        <w:tc>
          <w:tcPr>
            <w:tcW w:w="4376" w:type="dxa"/>
            <w:vAlign w:val="center"/>
          </w:tcPr>
          <w:p w14:paraId="1AE0FFE7">
            <w:pPr>
              <w:pStyle w:val="13"/>
            </w:pPr>
            <w:r>
              <w:t>河北省建档立卡家庭经济困难学生资助管理暂行办法</w:t>
            </w:r>
          </w:p>
          <w:p w14:paraId="7227580E">
            <w:pPr>
              <w:pStyle w:val="13"/>
            </w:pPr>
          </w:p>
        </w:tc>
      </w:tr>
      <w:tr w14:paraId="278CA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4B30A"/>
        </w:tc>
        <w:tc>
          <w:tcPr>
            <w:tcW w:w="2268" w:type="dxa"/>
            <w:vAlign w:val="center"/>
          </w:tcPr>
          <w:p w14:paraId="4FD72182">
            <w:pPr>
              <w:pStyle w:val="13"/>
            </w:pPr>
            <w:r>
              <w:t>质量指标</w:t>
            </w:r>
          </w:p>
        </w:tc>
        <w:tc>
          <w:tcPr>
            <w:tcW w:w="2835" w:type="dxa"/>
            <w:vAlign w:val="center"/>
          </w:tcPr>
          <w:p w14:paraId="02B93C2F">
            <w:pPr>
              <w:pStyle w:val="13"/>
            </w:pPr>
            <w:r>
              <w:t>完成中职两免资金发放工作</w:t>
            </w:r>
          </w:p>
        </w:tc>
        <w:tc>
          <w:tcPr>
            <w:tcW w:w="3249" w:type="dxa"/>
            <w:vAlign w:val="center"/>
          </w:tcPr>
          <w:p w14:paraId="7F348D60">
            <w:pPr>
              <w:pStyle w:val="13"/>
            </w:pPr>
            <w:r>
              <w:t>中职两免为建档立卡学生</w:t>
            </w:r>
          </w:p>
        </w:tc>
        <w:tc>
          <w:tcPr>
            <w:tcW w:w="1305" w:type="dxa"/>
            <w:vAlign w:val="center"/>
          </w:tcPr>
          <w:p w14:paraId="4461FD28">
            <w:pPr>
              <w:pStyle w:val="13"/>
            </w:pPr>
            <w:r>
              <w:t>≥100%</w:t>
            </w:r>
          </w:p>
        </w:tc>
        <w:tc>
          <w:tcPr>
            <w:tcW w:w="4376" w:type="dxa"/>
            <w:vAlign w:val="center"/>
          </w:tcPr>
          <w:p w14:paraId="62782E39">
            <w:pPr>
              <w:pStyle w:val="13"/>
            </w:pPr>
            <w:r>
              <w:t>河北省建档立卡家庭经济困难学生资助管理暂行办法</w:t>
            </w:r>
          </w:p>
        </w:tc>
      </w:tr>
      <w:tr w14:paraId="33D09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145B8"/>
        </w:tc>
        <w:tc>
          <w:tcPr>
            <w:tcW w:w="2268" w:type="dxa"/>
            <w:vAlign w:val="center"/>
          </w:tcPr>
          <w:p w14:paraId="7E90C843">
            <w:pPr>
              <w:pStyle w:val="13"/>
            </w:pPr>
            <w:r>
              <w:t>时效指标</w:t>
            </w:r>
          </w:p>
        </w:tc>
        <w:tc>
          <w:tcPr>
            <w:tcW w:w="2835" w:type="dxa"/>
            <w:vAlign w:val="center"/>
          </w:tcPr>
          <w:p w14:paraId="320E3F99">
            <w:pPr>
              <w:pStyle w:val="13"/>
            </w:pPr>
            <w:r>
              <w:t>补助资金及时足额发放率</w:t>
            </w:r>
          </w:p>
        </w:tc>
        <w:tc>
          <w:tcPr>
            <w:tcW w:w="3249" w:type="dxa"/>
            <w:vAlign w:val="center"/>
          </w:tcPr>
          <w:p w14:paraId="5AD2C646">
            <w:pPr>
              <w:pStyle w:val="13"/>
            </w:pPr>
            <w:r>
              <w:t>补助资金及时足额到位率</w:t>
            </w:r>
          </w:p>
        </w:tc>
        <w:tc>
          <w:tcPr>
            <w:tcW w:w="1305" w:type="dxa"/>
            <w:vAlign w:val="center"/>
          </w:tcPr>
          <w:p w14:paraId="24CC7023">
            <w:pPr>
              <w:pStyle w:val="13"/>
            </w:pPr>
            <w:r>
              <w:t>≥100%</w:t>
            </w:r>
          </w:p>
        </w:tc>
        <w:tc>
          <w:tcPr>
            <w:tcW w:w="4376" w:type="dxa"/>
            <w:vAlign w:val="center"/>
          </w:tcPr>
          <w:p w14:paraId="2EA522EE">
            <w:pPr>
              <w:pStyle w:val="13"/>
            </w:pPr>
            <w:r>
              <w:t>河北省建档立卡家庭经济困难学生资助管理暂行办法</w:t>
            </w:r>
          </w:p>
        </w:tc>
      </w:tr>
      <w:tr w14:paraId="13B5B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99904"/>
        </w:tc>
        <w:tc>
          <w:tcPr>
            <w:tcW w:w="2268" w:type="dxa"/>
            <w:vAlign w:val="center"/>
          </w:tcPr>
          <w:p w14:paraId="6B669A4F">
            <w:pPr>
              <w:pStyle w:val="13"/>
            </w:pPr>
            <w:r>
              <w:t>成本指标</w:t>
            </w:r>
          </w:p>
        </w:tc>
        <w:tc>
          <w:tcPr>
            <w:tcW w:w="2835" w:type="dxa"/>
            <w:vAlign w:val="center"/>
          </w:tcPr>
          <w:p w14:paraId="4AFAD26B">
            <w:pPr>
              <w:pStyle w:val="13"/>
            </w:pPr>
            <w:r>
              <w:t>免费标准</w:t>
            </w:r>
          </w:p>
        </w:tc>
        <w:tc>
          <w:tcPr>
            <w:tcW w:w="3249" w:type="dxa"/>
            <w:vAlign w:val="center"/>
          </w:tcPr>
          <w:p w14:paraId="46B9E166">
            <w:pPr>
              <w:pStyle w:val="13"/>
            </w:pPr>
            <w:r>
              <w:t>中职住宿费书费800元</w:t>
            </w:r>
          </w:p>
        </w:tc>
        <w:tc>
          <w:tcPr>
            <w:tcW w:w="1305" w:type="dxa"/>
            <w:vAlign w:val="center"/>
          </w:tcPr>
          <w:p w14:paraId="62E85677">
            <w:pPr>
              <w:pStyle w:val="13"/>
            </w:pPr>
            <w:r>
              <w:t>800/元生/年</w:t>
            </w:r>
          </w:p>
        </w:tc>
        <w:tc>
          <w:tcPr>
            <w:tcW w:w="4376" w:type="dxa"/>
            <w:vAlign w:val="center"/>
          </w:tcPr>
          <w:p w14:paraId="5BD3AFBA">
            <w:pPr>
              <w:pStyle w:val="13"/>
            </w:pPr>
            <w:r>
              <w:t>河北省建档立卡家庭经济困难学生资助管理暂行办法</w:t>
            </w:r>
          </w:p>
        </w:tc>
      </w:tr>
      <w:tr w14:paraId="0F23C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EAB37">
            <w:pPr>
              <w:pStyle w:val="12"/>
            </w:pPr>
            <w:r>
              <w:t>效益指标</w:t>
            </w:r>
          </w:p>
        </w:tc>
        <w:tc>
          <w:tcPr>
            <w:tcW w:w="2268" w:type="dxa"/>
            <w:vAlign w:val="center"/>
          </w:tcPr>
          <w:p w14:paraId="6E0ABEAC">
            <w:pPr>
              <w:pStyle w:val="13"/>
            </w:pPr>
            <w:r>
              <w:t>经济效益指标</w:t>
            </w:r>
          </w:p>
        </w:tc>
        <w:tc>
          <w:tcPr>
            <w:tcW w:w="2835" w:type="dxa"/>
            <w:vAlign w:val="center"/>
          </w:tcPr>
          <w:p w14:paraId="255B32F9">
            <w:pPr>
              <w:pStyle w:val="13"/>
            </w:pPr>
            <w:r>
              <w:t>减轻家庭负担</w:t>
            </w:r>
          </w:p>
        </w:tc>
        <w:tc>
          <w:tcPr>
            <w:tcW w:w="3249" w:type="dxa"/>
            <w:vAlign w:val="center"/>
          </w:tcPr>
          <w:p w14:paraId="76D02173">
            <w:pPr>
              <w:pStyle w:val="13"/>
            </w:pPr>
            <w:r>
              <w:t>减轻贫困家庭经济负担</w:t>
            </w:r>
          </w:p>
        </w:tc>
        <w:tc>
          <w:tcPr>
            <w:tcW w:w="1305" w:type="dxa"/>
            <w:vAlign w:val="center"/>
          </w:tcPr>
          <w:p w14:paraId="40F70626">
            <w:pPr>
              <w:pStyle w:val="13"/>
            </w:pPr>
            <w:r>
              <w:t>≥98%</w:t>
            </w:r>
          </w:p>
        </w:tc>
        <w:tc>
          <w:tcPr>
            <w:tcW w:w="4376" w:type="dxa"/>
            <w:vAlign w:val="center"/>
          </w:tcPr>
          <w:p w14:paraId="61CD1487">
            <w:pPr>
              <w:pStyle w:val="13"/>
            </w:pPr>
            <w:r>
              <w:t>河北省建档立卡家庭经济困难学生资助管理暂行办法</w:t>
            </w:r>
          </w:p>
        </w:tc>
      </w:tr>
      <w:tr w14:paraId="3F67C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1CA0C"/>
        </w:tc>
        <w:tc>
          <w:tcPr>
            <w:tcW w:w="2268" w:type="dxa"/>
            <w:vAlign w:val="center"/>
          </w:tcPr>
          <w:p w14:paraId="6A5EEBAE">
            <w:pPr>
              <w:pStyle w:val="13"/>
            </w:pPr>
            <w:r>
              <w:t>社会效益指标</w:t>
            </w:r>
          </w:p>
        </w:tc>
        <w:tc>
          <w:tcPr>
            <w:tcW w:w="2835" w:type="dxa"/>
            <w:vAlign w:val="center"/>
          </w:tcPr>
          <w:p w14:paraId="1434C7F7">
            <w:pPr>
              <w:pStyle w:val="13"/>
            </w:pPr>
            <w:r>
              <w:t>中职运转</w:t>
            </w:r>
          </w:p>
        </w:tc>
        <w:tc>
          <w:tcPr>
            <w:tcW w:w="3249" w:type="dxa"/>
            <w:vAlign w:val="center"/>
          </w:tcPr>
          <w:p w14:paraId="453FDC49">
            <w:pPr>
              <w:pStyle w:val="13"/>
            </w:pPr>
            <w:r>
              <w:t>中职受教育年限</w:t>
            </w:r>
          </w:p>
        </w:tc>
        <w:tc>
          <w:tcPr>
            <w:tcW w:w="1305" w:type="dxa"/>
            <w:vAlign w:val="center"/>
          </w:tcPr>
          <w:p w14:paraId="2395F32D">
            <w:pPr>
              <w:pStyle w:val="13"/>
            </w:pPr>
            <w:r>
              <w:t>3年</w:t>
            </w:r>
          </w:p>
        </w:tc>
        <w:tc>
          <w:tcPr>
            <w:tcW w:w="4376" w:type="dxa"/>
            <w:vAlign w:val="center"/>
          </w:tcPr>
          <w:p w14:paraId="39AB5056">
            <w:pPr>
              <w:pStyle w:val="13"/>
            </w:pPr>
            <w:r>
              <w:t>河北省建档立卡家庭经济困难学生资助管理暂行办法</w:t>
            </w:r>
          </w:p>
        </w:tc>
      </w:tr>
      <w:tr w14:paraId="473B2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B33FAE">
            <w:pPr>
              <w:pStyle w:val="12"/>
            </w:pPr>
            <w:r>
              <w:t>满意度指标</w:t>
            </w:r>
          </w:p>
        </w:tc>
        <w:tc>
          <w:tcPr>
            <w:tcW w:w="2268" w:type="dxa"/>
            <w:vAlign w:val="center"/>
          </w:tcPr>
          <w:p w14:paraId="177A1542">
            <w:pPr>
              <w:pStyle w:val="13"/>
            </w:pPr>
            <w:r>
              <w:t>服务对象满意度指标</w:t>
            </w:r>
          </w:p>
        </w:tc>
        <w:tc>
          <w:tcPr>
            <w:tcW w:w="2835" w:type="dxa"/>
            <w:vAlign w:val="center"/>
          </w:tcPr>
          <w:p w14:paraId="5B92FFB8">
            <w:pPr>
              <w:pStyle w:val="13"/>
            </w:pPr>
            <w:r>
              <w:t>提升幸福指数</w:t>
            </w:r>
          </w:p>
        </w:tc>
        <w:tc>
          <w:tcPr>
            <w:tcW w:w="3249" w:type="dxa"/>
            <w:vAlign w:val="center"/>
          </w:tcPr>
          <w:p w14:paraId="30DDF21D">
            <w:pPr>
              <w:pStyle w:val="13"/>
            </w:pPr>
            <w:r>
              <w:t>提升贫困家庭学生的幸福指数学生家长满意</w:t>
            </w:r>
          </w:p>
        </w:tc>
        <w:tc>
          <w:tcPr>
            <w:tcW w:w="1305" w:type="dxa"/>
            <w:vAlign w:val="center"/>
          </w:tcPr>
          <w:p w14:paraId="47F27BF3">
            <w:pPr>
              <w:pStyle w:val="13"/>
            </w:pPr>
            <w:r>
              <w:t>≥95%</w:t>
            </w:r>
          </w:p>
        </w:tc>
        <w:tc>
          <w:tcPr>
            <w:tcW w:w="4376" w:type="dxa"/>
            <w:vAlign w:val="center"/>
          </w:tcPr>
          <w:p w14:paraId="34FD7BB0">
            <w:pPr>
              <w:pStyle w:val="13"/>
            </w:pPr>
            <w:r>
              <w:t>河北省建档立卡家庭经济困难学生资助管理暂行办法</w:t>
            </w:r>
          </w:p>
        </w:tc>
      </w:tr>
    </w:tbl>
    <w:p w14:paraId="3C2CAF8F">
      <w:pPr>
        <w:sectPr>
          <w:pgSz w:w="16840" w:h="11900" w:orient="landscape"/>
          <w:pgMar w:top="1361" w:right="1020" w:bottom="1134" w:left="1020" w:header="720" w:footer="720" w:gutter="0"/>
          <w:cols w:space="720" w:num="1"/>
        </w:sectPr>
      </w:pPr>
    </w:p>
    <w:p w14:paraId="49326714">
      <w:pPr>
        <w:spacing w:before="0" w:after="0"/>
        <w:ind w:firstLine="560"/>
        <w:jc w:val="left"/>
        <w:outlineLvl w:val="9"/>
      </w:pPr>
      <w:r>
        <w:rPr>
          <w:rFonts w:ascii="方正仿宋_GBK" w:hAnsi="方正仿宋_GBK" w:eastAsia="方正仿宋_GBK" w:cs="方正仿宋_GBK"/>
          <w:b/>
          <w:color w:val="000000"/>
          <w:sz w:val="28"/>
        </w:rPr>
        <w:t>9、冀财教[2024]136号/省级/2025年职教发展/中职免学费（职教中职）绩效目标表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FA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1A0E6">
            <w:pPr>
              <w:pStyle w:val="14"/>
            </w:pPr>
            <w:r>
              <w:t>单位：万元</w:t>
            </w:r>
          </w:p>
        </w:tc>
      </w:tr>
      <w:tr w14:paraId="25653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AE043">
            <w:pPr>
              <w:pStyle w:val="11"/>
            </w:pPr>
            <w:r>
              <w:t>项目编码</w:t>
            </w:r>
          </w:p>
        </w:tc>
        <w:tc>
          <w:tcPr>
            <w:tcW w:w="5103" w:type="dxa"/>
            <w:gridSpan w:val="2"/>
            <w:vAlign w:val="center"/>
          </w:tcPr>
          <w:p w14:paraId="3F67482A">
            <w:pPr>
              <w:pStyle w:val="13"/>
            </w:pPr>
            <w:r>
              <w:t>13052525P00001410012A</w:t>
            </w:r>
          </w:p>
        </w:tc>
        <w:tc>
          <w:tcPr>
            <w:tcW w:w="2835" w:type="dxa"/>
            <w:vAlign w:val="center"/>
          </w:tcPr>
          <w:p w14:paraId="0833703B">
            <w:pPr>
              <w:pStyle w:val="11"/>
            </w:pPr>
            <w:r>
              <w:t>项目名称</w:t>
            </w:r>
          </w:p>
        </w:tc>
        <w:tc>
          <w:tcPr>
            <w:tcW w:w="6095" w:type="dxa"/>
            <w:gridSpan w:val="3"/>
            <w:vAlign w:val="center"/>
          </w:tcPr>
          <w:p w14:paraId="50901105">
            <w:pPr>
              <w:pStyle w:val="13"/>
            </w:pPr>
            <w:r>
              <w:t>冀财教[2024]136号/省级/2025年职教发展/中职免学费（职教中职）</w:t>
            </w:r>
          </w:p>
        </w:tc>
      </w:tr>
      <w:tr w14:paraId="11830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6FA0A">
            <w:pPr>
              <w:pStyle w:val="11"/>
            </w:pPr>
            <w:r>
              <w:t>预算规模及资金用途</w:t>
            </w:r>
          </w:p>
        </w:tc>
        <w:tc>
          <w:tcPr>
            <w:tcW w:w="2268" w:type="dxa"/>
            <w:vAlign w:val="center"/>
          </w:tcPr>
          <w:p w14:paraId="4446A825">
            <w:pPr>
              <w:pStyle w:val="11"/>
            </w:pPr>
            <w:r>
              <w:t>预算数</w:t>
            </w:r>
          </w:p>
        </w:tc>
        <w:tc>
          <w:tcPr>
            <w:tcW w:w="2835" w:type="dxa"/>
            <w:vAlign w:val="center"/>
          </w:tcPr>
          <w:p w14:paraId="47A1142C">
            <w:pPr>
              <w:pStyle w:val="13"/>
            </w:pPr>
            <w:r>
              <w:t>52.00</w:t>
            </w:r>
          </w:p>
        </w:tc>
        <w:tc>
          <w:tcPr>
            <w:tcW w:w="2835" w:type="dxa"/>
            <w:vAlign w:val="center"/>
          </w:tcPr>
          <w:p w14:paraId="239795B5">
            <w:pPr>
              <w:pStyle w:val="11"/>
            </w:pPr>
            <w:r>
              <w:t>其中：财政    资金</w:t>
            </w:r>
          </w:p>
        </w:tc>
        <w:tc>
          <w:tcPr>
            <w:tcW w:w="2551" w:type="dxa"/>
            <w:vAlign w:val="center"/>
          </w:tcPr>
          <w:p w14:paraId="51428B77">
            <w:pPr>
              <w:pStyle w:val="13"/>
            </w:pPr>
            <w:r>
              <w:t>52.00</w:t>
            </w:r>
          </w:p>
        </w:tc>
        <w:tc>
          <w:tcPr>
            <w:tcW w:w="2268" w:type="dxa"/>
            <w:vAlign w:val="center"/>
          </w:tcPr>
          <w:p w14:paraId="4A0C0840">
            <w:pPr>
              <w:pStyle w:val="11"/>
            </w:pPr>
            <w:r>
              <w:t>其他资金</w:t>
            </w:r>
          </w:p>
        </w:tc>
        <w:tc>
          <w:tcPr>
            <w:tcW w:w="1276" w:type="dxa"/>
            <w:vAlign w:val="center"/>
          </w:tcPr>
          <w:p w14:paraId="0E2A8EFF">
            <w:pPr>
              <w:pStyle w:val="13"/>
            </w:pPr>
            <w:r>
              <w:t xml:space="preserve"> </w:t>
            </w:r>
          </w:p>
        </w:tc>
      </w:tr>
      <w:tr w14:paraId="35CD7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2CB2CA"/>
        </w:tc>
        <w:tc>
          <w:tcPr>
            <w:tcW w:w="14033" w:type="dxa"/>
            <w:gridSpan w:val="6"/>
            <w:vAlign w:val="center"/>
          </w:tcPr>
          <w:p w14:paraId="32BBEBB6">
            <w:pPr>
              <w:pStyle w:val="13"/>
            </w:pPr>
            <w:r>
              <w:t>省级中职免学费安排资金52万元，用于减免学费后弥补公用经费不足。</w:t>
            </w:r>
          </w:p>
        </w:tc>
      </w:tr>
      <w:tr w14:paraId="3FF20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F5BA8">
            <w:pPr>
              <w:pStyle w:val="11"/>
            </w:pPr>
            <w:r>
              <w:t>资金支出计划（%）</w:t>
            </w:r>
          </w:p>
        </w:tc>
        <w:tc>
          <w:tcPr>
            <w:tcW w:w="5103" w:type="dxa"/>
            <w:gridSpan w:val="2"/>
            <w:vAlign w:val="center"/>
          </w:tcPr>
          <w:p w14:paraId="6C7D8091">
            <w:pPr>
              <w:pStyle w:val="11"/>
            </w:pPr>
            <w:r>
              <w:t>3月底</w:t>
            </w:r>
          </w:p>
        </w:tc>
        <w:tc>
          <w:tcPr>
            <w:tcW w:w="2835" w:type="dxa"/>
            <w:vAlign w:val="center"/>
          </w:tcPr>
          <w:p w14:paraId="3AC0AA02">
            <w:pPr>
              <w:pStyle w:val="11"/>
            </w:pPr>
            <w:r>
              <w:t>6月底</w:t>
            </w:r>
          </w:p>
        </w:tc>
        <w:tc>
          <w:tcPr>
            <w:tcW w:w="2551" w:type="dxa"/>
            <w:vAlign w:val="center"/>
          </w:tcPr>
          <w:p w14:paraId="51EE0E88">
            <w:pPr>
              <w:pStyle w:val="11"/>
            </w:pPr>
            <w:r>
              <w:t>10月底</w:t>
            </w:r>
          </w:p>
        </w:tc>
        <w:tc>
          <w:tcPr>
            <w:tcW w:w="3544" w:type="dxa"/>
            <w:gridSpan w:val="2"/>
            <w:vAlign w:val="center"/>
          </w:tcPr>
          <w:p w14:paraId="1A35EC1C">
            <w:pPr>
              <w:pStyle w:val="11"/>
            </w:pPr>
            <w:r>
              <w:t>12月底</w:t>
            </w:r>
          </w:p>
        </w:tc>
      </w:tr>
      <w:tr w14:paraId="481DC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A8389"/>
        </w:tc>
        <w:tc>
          <w:tcPr>
            <w:tcW w:w="5103" w:type="dxa"/>
            <w:gridSpan w:val="2"/>
            <w:vAlign w:val="center"/>
          </w:tcPr>
          <w:p w14:paraId="12944D5C">
            <w:pPr>
              <w:pStyle w:val="12"/>
            </w:pPr>
            <w:r>
              <w:t xml:space="preserve"> </w:t>
            </w:r>
          </w:p>
        </w:tc>
        <w:tc>
          <w:tcPr>
            <w:tcW w:w="2835" w:type="dxa"/>
            <w:vAlign w:val="center"/>
          </w:tcPr>
          <w:p w14:paraId="3826DD01">
            <w:pPr>
              <w:pStyle w:val="12"/>
            </w:pPr>
            <w:r>
              <w:t>50%</w:t>
            </w:r>
          </w:p>
        </w:tc>
        <w:tc>
          <w:tcPr>
            <w:tcW w:w="2551" w:type="dxa"/>
            <w:vAlign w:val="center"/>
          </w:tcPr>
          <w:p w14:paraId="580C25F0">
            <w:pPr>
              <w:pStyle w:val="12"/>
            </w:pPr>
            <w:r>
              <w:t>50%</w:t>
            </w:r>
          </w:p>
        </w:tc>
        <w:tc>
          <w:tcPr>
            <w:tcW w:w="3544" w:type="dxa"/>
            <w:gridSpan w:val="2"/>
            <w:vAlign w:val="center"/>
          </w:tcPr>
          <w:p w14:paraId="7FD9A4C3">
            <w:pPr>
              <w:pStyle w:val="12"/>
            </w:pPr>
            <w:r>
              <w:t>100%</w:t>
            </w:r>
          </w:p>
        </w:tc>
      </w:tr>
      <w:tr w14:paraId="20D4B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197AA">
            <w:pPr>
              <w:pStyle w:val="11"/>
            </w:pPr>
            <w:r>
              <w:t>绩效目标</w:t>
            </w:r>
          </w:p>
        </w:tc>
        <w:tc>
          <w:tcPr>
            <w:tcW w:w="14033" w:type="dxa"/>
            <w:gridSpan w:val="6"/>
            <w:vAlign w:val="center"/>
          </w:tcPr>
          <w:p w14:paraId="084F9AF0">
            <w:pPr>
              <w:pStyle w:val="13"/>
            </w:pPr>
            <w:r>
              <w:t>1.省级中职免学费安排资金52万元，用于减免学费后弥补公用经费不足。</w:t>
            </w:r>
          </w:p>
        </w:tc>
      </w:tr>
    </w:tbl>
    <w:p w14:paraId="345393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14:paraId="5FF02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0835B">
            <w:pPr>
              <w:pStyle w:val="11"/>
            </w:pPr>
            <w:r>
              <w:t>一级指标</w:t>
            </w:r>
          </w:p>
        </w:tc>
        <w:tc>
          <w:tcPr>
            <w:tcW w:w="2268" w:type="dxa"/>
            <w:vAlign w:val="center"/>
          </w:tcPr>
          <w:p w14:paraId="7D2E89A2">
            <w:pPr>
              <w:pStyle w:val="11"/>
            </w:pPr>
            <w:r>
              <w:t>二级指标</w:t>
            </w:r>
          </w:p>
        </w:tc>
        <w:tc>
          <w:tcPr>
            <w:tcW w:w="2835" w:type="dxa"/>
            <w:vAlign w:val="center"/>
          </w:tcPr>
          <w:p w14:paraId="74118B97">
            <w:pPr>
              <w:pStyle w:val="11"/>
            </w:pPr>
            <w:r>
              <w:t>三级指标</w:t>
            </w:r>
          </w:p>
        </w:tc>
        <w:tc>
          <w:tcPr>
            <w:tcW w:w="5386" w:type="dxa"/>
            <w:vAlign w:val="center"/>
          </w:tcPr>
          <w:p w14:paraId="40E48B36">
            <w:pPr>
              <w:pStyle w:val="11"/>
            </w:pPr>
            <w:r>
              <w:t>绩效指标描述</w:t>
            </w:r>
          </w:p>
        </w:tc>
        <w:tc>
          <w:tcPr>
            <w:tcW w:w="1643" w:type="dxa"/>
            <w:vAlign w:val="center"/>
          </w:tcPr>
          <w:p w14:paraId="6C27FC22">
            <w:pPr>
              <w:pStyle w:val="11"/>
            </w:pPr>
            <w:r>
              <w:t>指标值</w:t>
            </w:r>
          </w:p>
        </w:tc>
        <w:tc>
          <w:tcPr>
            <w:tcW w:w="1901" w:type="dxa"/>
            <w:vAlign w:val="center"/>
          </w:tcPr>
          <w:p w14:paraId="4EC6D02B">
            <w:pPr>
              <w:pStyle w:val="11"/>
            </w:pPr>
            <w:r>
              <w:t>指标值确定依据</w:t>
            </w:r>
          </w:p>
        </w:tc>
      </w:tr>
      <w:tr w14:paraId="478FC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ADA72">
            <w:pPr>
              <w:pStyle w:val="12"/>
            </w:pPr>
            <w:r>
              <w:t>产出指标</w:t>
            </w:r>
          </w:p>
        </w:tc>
        <w:tc>
          <w:tcPr>
            <w:tcW w:w="2268" w:type="dxa"/>
            <w:vAlign w:val="center"/>
          </w:tcPr>
          <w:p w14:paraId="06F8C6F0">
            <w:pPr>
              <w:pStyle w:val="13"/>
            </w:pPr>
            <w:r>
              <w:t>数量指标</w:t>
            </w:r>
          </w:p>
        </w:tc>
        <w:tc>
          <w:tcPr>
            <w:tcW w:w="2835" w:type="dxa"/>
            <w:vAlign w:val="center"/>
          </w:tcPr>
          <w:p w14:paraId="1EC2944A">
            <w:pPr>
              <w:pStyle w:val="13"/>
            </w:pPr>
            <w:r>
              <w:t>免学费补助人数</w:t>
            </w:r>
          </w:p>
        </w:tc>
        <w:tc>
          <w:tcPr>
            <w:tcW w:w="5386" w:type="dxa"/>
            <w:vAlign w:val="center"/>
          </w:tcPr>
          <w:p w14:paraId="6E9AE26F">
            <w:pPr>
              <w:pStyle w:val="13"/>
            </w:pPr>
            <w:r>
              <w:t>免学费补助人数</w:t>
            </w:r>
          </w:p>
        </w:tc>
        <w:tc>
          <w:tcPr>
            <w:tcW w:w="1643" w:type="dxa"/>
            <w:vAlign w:val="center"/>
          </w:tcPr>
          <w:p w14:paraId="7DB8A36E">
            <w:pPr>
              <w:pStyle w:val="13"/>
            </w:pPr>
            <w:r>
              <w:t>1376人</w:t>
            </w:r>
          </w:p>
        </w:tc>
        <w:tc>
          <w:tcPr>
            <w:tcW w:w="1901" w:type="dxa"/>
            <w:vAlign w:val="center"/>
          </w:tcPr>
          <w:p w14:paraId="4F4E429D">
            <w:pPr>
              <w:pStyle w:val="13"/>
            </w:pPr>
            <w:r>
              <w:t>年度预算</w:t>
            </w:r>
          </w:p>
        </w:tc>
      </w:tr>
      <w:tr w14:paraId="37A35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0F1FD"/>
        </w:tc>
        <w:tc>
          <w:tcPr>
            <w:tcW w:w="2268" w:type="dxa"/>
            <w:vAlign w:val="center"/>
          </w:tcPr>
          <w:p w14:paraId="2717F8B7">
            <w:pPr>
              <w:pStyle w:val="13"/>
            </w:pPr>
            <w:r>
              <w:t>质量指标</w:t>
            </w:r>
          </w:p>
        </w:tc>
        <w:tc>
          <w:tcPr>
            <w:tcW w:w="2835" w:type="dxa"/>
            <w:vAlign w:val="center"/>
          </w:tcPr>
          <w:p w14:paraId="0779EFEA">
            <w:pPr>
              <w:pStyle w:val="13"/>
            </w:pPr>
            <w:r>
              <w:t>免学费全覆盖</w:t>
            </w:r>
          </w:p>
        </w:tc>
        <w:tc>
          <w:tcPr>
            <w:tcW w:w="5386" w:type="dxa"/>
            <w:vAlign w:val="center"/>
          </w:tcPr>
          <w:p w14:paraId="6FA28EAB">
            <w:pPr>
              <w:pStyle w:val="13"/>
            </w:pPr>
            <w:r>
              <w:t>免学费一、二、三年级中职生</w:t>
            </w:r>
          </w:p>
        </w:tc>
        <w:tc>
          <w:tcPr>
            <w:tcW w:w="1643" w:type="dxa"/>
            <w:vAlign w:val="center"/>
          </w:tcPr>
          <w:p w14:paraId="7485AA7A">
            <w:pPr>
              <w:pStyle w:val="13"/>
            </w:pPr>
            <w:r>
              <w:t>≥100%</w:t>
            </w:r>
          </w:p>
        </w:tc>
        <w:tc>
          <w:tcPr>
            <w:tcW w:w="1901" w:type="dxa"/>
            <w:vAlign w:val="center"/>
          </w:tcPr>
          <w:p w14:paraId="2E06BB12">
            <w:pPr>
              <w:pStyle w:val="13"/>
            </w:pPr>
            <w:r>
              <w:t>隆尧县中职免学费管理办法</w:t>
            </w:r>
          </w:p>
        </w:tc>
      </w:tr>
      <w:tr w14:paraId="50EB1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DC7A8"/>
        </w:tc>
        <w:tc>
          <w:tcPr>
            <w:tcW w:w="2268" w:type="dxa"/>
            <w:vAlign w:val="center"/>
          </w:tcPr>
          <w:p w14:paraId="6E6FDA5B">
            <w:pPr>
              <w:pStyle w:val="13"/>
            </w:pPr>
            <w:r>
              <w:t>时效指标</w:t>
            </w:r>
          </w:p>
        </w:tc>
        <w:tc>
          <w:tcPr>
            <w:tcW w:w="2835" w:type="dxa"/>
            <w:vAlign w:val="center"/>
          </w:tcPr>
          <w:p w14:paraId="1112C14E">
            <w:pPr>
              <w:pStyle w:val="13"/>
            </w:pPr>
            <w:r>
              <w:t>免学费经费拨付率</w:t>
            </w:r>
          </w:p>
        </w:tc>
        <w:tc>
          <w:tcPr>
            <w:tcW w:w="5386" w:type="dxa"/>
            <w:vAlign w:val="center"/>
          </w:tcPr>
          <w:p w14:paraId="73383CF1">
            <w:pPr>
              <w:pStyle w:val="13"/>
            </w:pPr>
            <w:r>
              <w:t>免学费经费及时拨付到位率</w:t>
            </w:r>
          </w:p>
        </w:tc>
        <w:tc>
          <w:tcPr>
            <w:tcW w:w="1643" w:type="dxa"/>
            <w:vAlign w:val="center"/>
          </w:tcPr>
          <w:p w14:paraId="0CF2E7A7">
            <w:pPr>
              <w:pStyle w:val="13"/>
            </w:pPr>
            <w:r>
              <w:t>≥100%</w:t>
            </w:r>
          </w:p>
        </w:tc>
        <w:tc>
          <w:tcPr>
            <w:tcW w:w="1901" w:type="dxa"/>
            <w:vAlign w:val="center"/>
          </w:tcPr>
          <w:p w14:paraId="43018A94">
            <w:pPr>
              <w:pStyle w:val="13"/>
            </w:pPr>
            <w:r>
              <w:t>隆尧县中职免学费管理办法</w:t>
            </w:r>
          </w:p>
        </w:tc>
      </w:tr>
      <w:tr w14:paraId="6F3E0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1ADCF"/>
        </w:tc>
        <w:tc>
          <w:tcPr>
            <w:tcW w:w="2268" w:type="dxa"/>
            <w:vAlign w:val="center"/>
          </w:tcPr>
          <w:p w14:paraId="74C234BB">
            <w:pPr>
              <w:pStyle w:val="13"/>
            </w:pPr>
            <w:r>
              <w:t>成本指标</w:t>
            </w:r>
          </w:p>
        </w:tc>
        <w:tc>
          <w:tcPr>
            <w:tcW w:w="2835" w:type="dxa"/>
            <w:vAlign w:val="center"/>
          </w:tcPr>
          <w:p w14:paraId="67FE3A54">
            <w:pPr>
              <w:pStyle w:val="13"/>
            </w:pPr>
            <w:r>
              <w:t>中职学校免学费补助标准</w:t>
            </w:r>
          </w:p>
        </w:tc>
        <w:tc>
          <w:tcPr>
            <w:tcW w:w="5386" w:type="dxa"/>
            <w:vAlign w:val="center"/>
          </w:tcPr>
          <w:p w14:paraId="5731ED2D">
            <w:pPr>
              <w:pStyle w:val="13"/>
            </w:pPr>
            <w:r>
              <w:t>中职学校免学费补助标准</w:t>
            </w:r>
          </w:p>
        </w:tc>
        <w:tc>
          <w:tcPr>
            <w:tcW w:w="1643" w:type="dxa"/>
            <w:vAlign w:val="center"/>
          </w:tcPr>
          <w:p w14:paraId="56928CC4">
            <w:pPr>
              <w:pStyle w:val="13"/>
            </w:pPr>
            <w:r>
              <w:t>2000元/生/年</w:t>
            </w:r>
          </w:p>
        </w:tc>
        <w:tc>
          <w:tcPr>
            <w:tcW w:w="1901" w:type="dxa"/>
            <w:vAlign w:val="center"/>
          </w:tcPr>
          <w:p w14:paraId="4C2ED8B3">
            <w:pPr>
              <w:pStyle w:val="13"/>
            </w:pPr>
            <w:r>
              <w:t>隆尧县中职免学费管理办法</w:t>
            </w:r>
          </w:p>
        </w:tc>
      </w:tr>
      <w:tr w14:paraId="4B0BD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45607">
            <w:pPr>
              <w:pStyle w:val="12"/>
            </w:pPr>
            <w:r>
              <w:t>效益指标</w:t>
            </w:r>
          </w:p>
        </w:tc>
        <w:tc>
          <w:tcPr>
            <w:tcW w:w="2268" w:type="dxa"/>
            <w:vAlign w:val="center"/>
          </w:tcPr>
          <w:p w14:paraId="195C4ACE">
            <w:pPr>
              <w:pStyle w:val="13"/>
            </w:pPr>
            <w:r>
              <w:t>社会效益指标</w:t>
            </w:r>
          </w:p>
        </w:tc>
        <w:tc>
          <w:tcPr>
            <w:tcW w:w="2835" w:type="dxa"/>
            <w:vAlign w:val="center"/>
          </w:tcPr>
          <w:p w14:paraId="45E141D2">
            <w:pPr>
              <w:pStyle w:val="13"/>
            </w:pPr>
            <w:r>
              <w:t>减轻家庭负担</w:t>
            </w:r>
          </w:p>
        </w:tc>
        <w:tc>
          <w:tcPr>
            <w:tcW w:w="5386" w:type="dxa"/>
            <w:vAlign w:val="center"/>
          </w:tcPr>
          <w:p w14:paraId="12C6D9DF">
            <w:pPr>
              <w:pStyle w:val="13"/>
            </w:pPr>
            <w:r>
              <w:t>增加贫困家庭经济收入</w:t>
            </w:r>
          </w:p>
        </w:tc>
        <w:tc>
          <w:tcPr>
            <w:tcW w:w="1643" w:type="dxa"/>
            <w:vAlign w:val="center"/>
          </w:tcPr>
          <w:p w14:paraId="79B85F0E">
            <w:pPr>
              <w:pStyle w:val="13"/>
            </w:pPr>
            <w:r>
              <w:t>≥98%</w:t>
            </w:r>
          </w:p>
        </w:tc>
        <w:tc>
          <w:tcPr>
            <w:tcW w:w="1901" w:type="dxa"/>
            <w:vAlign w:val="center"/>
          </w:tcPr>
          <w:p w14:paraId="036BB8F6">
            <w:pPr>
              <w:pStyle w:val="13"/>
            </w:pPr>
            <w:r>
              <w:t>隆尧县中职免学费管理办法</w:t>
            </w:r>
          </w:p>
        </w:tc>
      </w:tr>
      <w:tr w14:paraId="5FD77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5CCA9"/>
        </w:tc>
        <w:tc>
          <w:tcPr>
            <w:tcW w:w="2268" w:type="dxa"/>
            <w:vAlign w:val="center"/>
          </w:tcPr>
          <w:p w14:paraId="05F8DCA5">
            <w:pPr>
              <w:pStyle w:val="13"/>
            </w:pPr>
            <w:r>
              <w:t>可持续影响指标</w:t>
            </w:r>
          </w:p>
        </w:tc>
        <w:tc>
          <w:tcPr>
            <w:tcW w:w="2835" w:type="dxa"/>
            <w:vAlign w:val="center"/>
          </w:tcPr>
          <w:p w14:paraId="5A4391FC">
            <w:pPr>
              <w:pStyle w:val="13"/>
            </w:pPr>
            <w:r>
              <w:t>中职运转</w:t>
            </w:r>
          </w:p>
        </w:tc>
        <w:tc>
          <w:tcPr>
            <w:tcW w:w="5386" w:type="dxa"/>
            <w:vAlign w:val="center"/>
          </w:tcPr>
          <w:p w14:paraId="46C8B121">
            <w:pPr>
              <w:pStyle w:val="13"/>
            </w:pPr>
            <w:r>
              <w:t>高中受教育年限</w:t>
            </w:r>
          </w:p>
        </w:tc>
        <w:tc>
          <w:tcPr>
            <w:tcW w:w="1643" w:type="dxa"/>
            <w:vAlign w:val="center"/>
          </w:tcPr>
          <w:p w14:paraId="3698BC44">
            <w:pPr>
              <w:pStyle w:val="13"/>
            </w:pPr>
            <w:r>
              <w:t>3年</w:t>
            </w:r>
          </w:p>
        </w:tc>
        <w:tc>
          <w:tcPr>
            <w:tcW w:w="1901" w:type="dxa"/>
            <w:vAlign w:val="center"/>
          </w:tcPr>
          <w:p w14:paraId="7562A7CF">
            <w:pPr>
              <w:pStyle w:val="13"/>
            </w:pPr>
            <w:r>
              <w:t>隆尧县中职免学费管理办法</w:t>
            </w:r>
          </w:p>
        </w:tc>
      </w:tr>
      <w:tr w14:paraId="1782A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E6B67D">
            <w:pPr>
              <w:pStyle w:val="12"/>
            </w:pPr>
            <w:r>
              <w:t>满意度指标</w:t>
            </w:r>
          </w:p>
        </w:tc>
        <w:tc>
          <w:tcPr>
            <w:tcW w:w="2268" w:type="dxa"/>
            <w:vAlign w:val="center"/>
          </w:tcPr>
          <w:p w14:paraId="04BBEE57">
            <w:pPr>
              <w:pStyle w:val="13"/>
            </w:pPr>
            <w:r>
              <w:t>服务对象满意度指标</w:t>
            </w:r>
          </w:p>
        </w:tc>
        <w:tc>
          <w:tcPr>
            <w:tcW w:w="2835" w:type="dxa"/>
            <w:vAlign w:val="center"/>
          </w:tcPr>
          <w:p w14:paraId="576810F9">
            <w:pPr>
              <w:pStyle w:val="13"/>
            </w:pPr>
            <w:r>
              <w:t>提升幸福指数</w:t>
            </w:r>
          </w:p>
        </w:tc>
        <w:tc>
          <w:tcPr>
            <w:tcW w:w="5386" w:type="dxa"/>
            <w:vAlign w:val="center"/>
          </w:tcPr>
          <w:p w14:paraId="0AFF5367">
            <w:pPr>
              <w:pStyle w:val="13"/>
            </w:pPr>
            <w:r>
              <w:t>提升贫困家庭学生的幸福指数学生家长满意</w:t>
            </w:r>
          </w:p>
        </w:tc>
        <w:tc>
          <w:tcPr>
            <w:tcW w:w="1643" w:type="dxa"/>
            <w:vAlign w:val="center"/>
          </w:tcPr>
          <w:p w14:paraId="22C00A16">
            <w:pPr>
              <w:pStyle w:val="13"/>
            </w:pPr>
            <w:r>
              <w:t>≥95%</w:t>
            </w:r>
          </w:p>
        </w:tc>
        <w:tc>
          <w:tcPr>
            <w:tcW w:w="1901" w:type="dxa"/>
            <w:vAlign w:val="center"/>
          </w:tcPr>
          <w:p w14:paraId="139F9655">
            <w:pPr>
              <w:pStyle w:val="13"/>
            </w:pPr>
            <w:r>
              <w:t>隆尧县中职免学费管理办法</w:t>
            </w:r>
          </w:p>
        </w:tc>
      </w:tr>
    </w:tbl>
    <w:p w14:paraId="34E832CE">
      <w:pPr>
        <w:sectPr>
          <w:pgSz w:w="16840" w:h="11900" w:orient="landscape"/>
          <w:pgMar w:top="1361" w:right="1020" w:bottom="1134" w:left="1020" w:header="720" w:footer="720" w:gutter="0"/>
          <w:cols w:space="720" w:num="1"/>
        </w:sectPr>
      </w:pPr>
    </w:p>
    <w:p w14:paraId="0D41C22D">
      <w:pPr>
        <w:spacing w:before="0" w:after="0"/>
        <w:ind w:firstLine="560"/>
        <w:jc w:val="left"/>
        <w:outlineLvl w:val="9"/>
      </w:pPr>
      <w:r>
        <w:rPr>
          <w:rFonts w:ascii="方正仿宋_GBK" w:hAnsi="方正仿宋_GBK" w:eastAsia="方正仿宋_GBK" w:cs="方正仿宋_GBK"/>
          <w:b/>
          <w:color w:val="000000"/>
          <w:sz w:val="28"/>
        </w:rPr>
        <w:t>10、冀财教[2024]136号/省级/2025年职教发展/中职生均公用经费（职教中职）绩效目标表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F6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96662">
            <w:pPr>
              <w:pStyle w:val="14"/>
            </w:pPr>
            <w:r>
              <w:t>单位：万元</w:t>
            </w:r>
          </w:p>
        </w:tc>
      </w:tr>
      <w:tr w14:paraId="5B0DC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344538">
            <w:pPr>
              <w:pStyle w:val="11"/>
            </w:pPr>
            <w:r>
              <w:t>项目编码</w:t>
            </w:r>
          </w:p>
        </w:tc>
        <w:tc>
          <w:tcPr>
            <w:tcW w:w="5103" w:type="dxa"/>
            <w:gridSpan w:val="2"/>
            <w:vAlign w:val="center"/>
          </w:tcPr>
          <w:p w14:paraId="4E6ABB60">
            <w:pPr>
              <w:pStyle w:val="13"/>
            </w:pPr>
            <w:r>
              <w:t>13052525P00875910002J</w:t>
            </w:r>
          </w:p>
        </w:tc>
        <w:tc>
          <w:tcPr>
            <w:tcW w:w="2835" w:type="dxa"/>
            <w:vAlign w:val="center"/>
          </w:tcPr>
          <w:p w14:paraId="4AF02540">
            <w:pPr>
              <w:pStyle w:val="11"/>
            </w:pPr>
            <w:r>
              <w:t>项目名称</w:t>
            </w:r>
          </w:p>
        </w:tc>
        <w:tc>
          <w:tcPr>
            <w:tcW w:w="6095" w:type="dxa"/>
            <w:gridSpan w:val="3"/>
            <w:vAlign w:val="center"/>
          </w:tcPr>
          <w:p w14:paraId="11198303">
            <w:pPr>
              <w:pStyle w:val="13"/>
            </w:pPr>
            <w:r>
              <w:t>冀财教[2024]136号/省级/2025年职教发展/中职生均公用经费（职教中职）</w:t>
            </w:r>
          </w:p>
        </w:tc>
      </w:tr>
      <w:tr w14:paraId="4923B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899F9">
            <w:pPr>
              <w:pStyle w:val="11"/>
            </w:pPr>
            <w:r>
              <w:t>预算规模及资金用途</w:t>
            </w:r>
          </w:p>
        </w:tc>
        <w:tc>
          <w:tcPr>
            <w:tcW w:w="2268" w:type="dxa"/>
            <w:vAlign w:val="center"/>
          </w:tcPr>
          <w:p w14:paraId="4A973038">
            <w:pPr>
              <w:pStyle w:val="11"/>
            </w:pPr>
            <w:r>
              <w:t>预算数</w:t>
            </w:r>
          </w:p>
        </w:tc>
        <w:tc>
          <w:tcPr>
            <w:tcW w:w="2835" w:type="dxa"/>
            <w:vAlign w:val="center"/>
          </w:tcPr>
          <w:p w14:paraId="43832403">
            <w:pPr>
              <w:pStyle w:val="13"/>
            </w:pPr>
            <w:r>
              <w:t>41.00</w:t>
            </w:r>
          </w:p>
        </w:tc>
        <w:tc>
          <w:tcPr>
            <w:tcW w:w="2835" w:type="dxa"/>
            <w:vAlign w:val="center"/>
          </w:tcPr>
          <w:p w14:paraId="1E93BE34">
            <w:pPr>
              <w:pStyle w:val="11"/>
            </w:pPr>
            <w:r>
              <w:t>其中：财政    资金</w:t>
            </w:r>
          </w:p>
        </w:tc>
        <w:tc>
          <w:tcPr>
            <w:tcW w:w="2551" w:type="dxa"/>
            <w:vAlign w:val="center"/>
          </w:tcPr>
          <w:p w14:paraId="27755784">
            <w:pPr>
              <w:pStyle w:val="13"/>
            </w:pPr>
            <w:r>
              <w:t>41.00</w:t>
            </w:r>
          </w:p>
        </w:tc>
        <w:tc>
          <w:tcPr>
            <w:tcW w:w="2268" w:type="dxa"/>
            <w:vAlign w:val="center"/>
          </w:tcPr>
          <w:p w14:paraId="091D9A15">
            <w:pPr>
              <w:pStyle w:val="11"/>
            </w:pPr>
            <w:r>
              <w:t>其他资金</w:t>
            </w:r>
          </w:p>
        </w:tc>
        <w:tc>
          <w:tcPr>
            <w:tcW w:w="1276" w:type="dxa"/>
            <w:vAlign w:val="center"/>
          </w:tcPr>
          <w:p w14:paraId="57240C57">
            <w:pPr>
              <w:pStyle w:val="13"/>
            </w:pPr>
            <w:r>
              <w:t xml:space="preserve"> </w:t>
            </w:r>
          </w:p>
        </w:tc>
      </w:tr>
      <w:tr w14:paraId="0707F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717F1"/>
        </w:tc>
        <w:tc>
          <w:tcPr>
            <w:tcW w:w="14033" w:type="dxa"/>
            <w:gridSpan w:val="6"/>
            <w:vAlign w:val="center"/>
          </w:tcPr>
          <w:p w14:paraId="071213D6">
            <w:pPr>
              <w:pStyle w:val="13"/>
            </w:pPr>
            <w:r>
              <w:t>2025年省级奖补资金中职生均公用经费41万元，用于中职公用经费支出，提高学校运转水平。</w:t>
            </w:r>
          </w:p>
        </w:tc>
      </w:tr>
      <w:tr w14:paraId="4B023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804AA">
            <w:pPr>
              <w:pStyle w:val="11"/>
            </w:pPr>
            <w:r>
              <w:t>资金支出计划（%）</w:t>
            </w:r>
          </w:p>
        </w:tc>
        <w:tc>
          <w:tcPr>
            <w:tcW w:w="5103" w:type="dxa"/>
            <w:gridSpan w:val="2"/>
            <w:vAlign w:val="center"/>
          </w:tcPr>
          <w:p w14:paraId="4DE28CED">
            <w:pPr>
              <w:pStyle w:val="11"/>
            </w:pPr>
            <w:r>
              <w:t>3月底</w:t>
            </w:r>
          </w:p>
        </w:tc>
        <w:tc>
          <w:tcPr>
            <w:tcW w:w="2835" w:type="dxa"/>
            <w:vAlign w:val="center"/>
          </w:tcPr>
          <w:p w14:paraId="473DE8DA">
            <w:pPr>
              <w:pStyle w:val="11"/>
            </w:pPr>
            <w:r>
              <w:t>6月底</w:t>
            </w:r>
          </w:p>
        </w:tc>
        <w:tc>
          <w:tcPr>
            <w:tcW w:w="2551" w:type="dxa"/>
            <w:vAlign w:val="center"/>
          </w:tcPr>
          <w:p w14:paraId="2FD8DABB">
            <w:pPr>
              <w:pStyle w:val="11"/>
            </w:pPr>
            <w:r>
              <w:t>10月底</w:t>
            </w:r>
          </w:p>
        </w:tc>
        <w:tc>
          <w:tcPr>
            <w:tcW w:w="3544" w:type="dxa"/>
            <w:gridSpan w:val="2"/>
            <w:vAlign w:val="center"/>
          </w:tcPr>
          <w:p w14:paraId="65D2F28E">
            <w:pPr>
              <w:pStyle w:val="11"/>
            </w:pPr>
            <w:r>
              <w:t>12月底</w:t>
            </w:r>
          </w:p>
        </w:tc>
      </w:tr>
      <w:tr w14:paraId="662B1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C2A5F0"/>
        </w:tc>
        <w:tc>
          <w:tcPr>
            <w:tcW w:w="5103" w:type="dxa"/>
            <w:gridSpan w:val="2"/>
            <w:vAlign w:val="center"/>
          </w:tcPr>
          <w:p w14:paraId="429C1B8D">
            <w:pPr>
              <w:pStyle w:val="12"/>
            </w:pPr>
            <w:r>
              <w:t xml:space="preserve"> </w:t>
            </w:r>
          </w:p>
        </w:tc>
        <w:tc>
          <w:tcPr>
            <w:tcW w:w="2835" w:type="dxa"/>
            <w:vAlign w:val="center"/>
          </w:tcPr>
          <w:p w14:paraId="3CA338CA">
            <w:pPr>
              <w:pStyle w:val="12"/>
            </w:pPr>
            <w:r>
              <w:t>50%</w:t>
            </w:r>
          </w:p>
        </w:tc>
        <w:tc>
          <w:tcPr>
            <w:tcW w:w="2551" w:type="dxa"/>
            <w:vAlign w:val="center"/>
          </w:tcPr>
          <w:p w14:paraId="37794A5F">
            <w:pPr>
              <w:pStyle w:val="12"/>
            </w:pPr>
            <w:r>
              <w:t>50%</w:t>
            </w:r>
          </w:p>
        </w:tc>
        <w:tc>
          <w:tcPr>
            <w:tcW w:w="3544" w:type="dxa"/>
            <w:gridSpan w:val="2"/>
            <w:vAlign w:val="center"/>
          </w:tcPr>
          <w:p w14:paraId="1AE843CA">
            <w:pPr>
              <w:pStyle w:val="12"/>
            </w:pPr>
            <w:r>
              <w:t>100%</w:t>
            </w:r>
          </w:p>
        </w:tc>
      </w:tr>
      <w:tr w14:paraId="54504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8C71D">
            <w:pPr>
              <w:pStyle w:val="11"/>
            </w:pPr>
            <w:r>
              <w:t>绩效目标</w:t>
            </w:r>
          </w:p>
        </w:tc>
        <w:tc>
          <w:tcPr>
            <w:tcW w:w="14033" w:type="dxa"/>
            <w:gridSpan w:val="6"/>
            <w:vAlign w:val="center"/>
          </w:tcPr>
          <w:p w14:paraId="7DB45313">
            <w:pPr>
              <w:pStyle w:val="13"/>
            </w:pPr>
            <w:r>
              <w:t>1.2025年省级奖补资金中职生均公用经费41万元，用于中职公用经费支出，提高学校运转水平。</w:t>
            </w:r>
          </w:p>
        </w:tc>
      </w:tr>
    </w:tbl>
    <w:p w14:paraId="3E899E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EF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852C0">
            <w:pPr>
              <w:pStyle w:val="11"/>
            </w:pPr>
            <w:r>
              <w:t>一级指标</w:t>
            </w:r>
          </w:p>
        </w:tc>
        <w:tc>
          <w:tcPr>
            <w:tcW w:w="2268" w:type="dxa"/>
            <w:vAlign w:val="center"/>
          </w:tcPr>
          <w:p w14:paraId="75EF24D4">
            <w:pPr>
              <w:pStyle w:val="11"/>
            </w:pPr>
            <w:r>
              <w:t>二级指标</w:t>
            </w:r>
          </w:p>
        </w:tc>
        <w:tc>
          <w:tcPr>
            <w:tcW w:w="2835" w:type="dxa"/>
            <w:vAlign w:val="center"/>
          </w:tcPr>
          <w:p w14:paraId="3302AA70">
            <w:pPr>
              <w:pStyle w:val="11"/>
            </w:pPr>
            <w:r>
              <w:t>三级指标</w:t>
            </w:r>
          </w:p>
        </w:tc>
        <w:tc>
          <w:tcPr>
            <w:tcW w:w="5386" w:type="dxa"/>
            <w:vAlign w:val="center"/>
          </w:tcPr>
          <w:p w14:paraId="3FA23565">
            <w:pPr>
              <w:pStyle w:val="11"/>
            </w:pPr>
            <w:r>
              <w:t>绩效指标描述</w:t>
            </w:r>
          </w:p>
        </w:tc>
        <w:tc>
          <w:tcPr>
            <w:tcW w:w="2268" w:type="dxa"/>
            <w:vAlign w:val="center"/>
          </w:tcPr>
          <w:p w14:paraId="5135573C">
            <w:pPr>
              <w:pStyle w:val="11"/>
            </w:pPr>
            <w:r>
              <w:t>指标值</w:t>
            </w:r>
          </w:p>
        </w:tc>
        <w:tc>
          <w:tcPr>
            <w:tcW w:w="1276" w:type="dxa"/>
            <w:vAlign w:val="center"/>
          </w:tcPr>
          <w:p w14:paraId="30BA763F">
            <w:pPr>
              <w:pStyle w:val="11"/>
            </w:pPr>
            <w:r>
              <w:t>指标值确定依据</w:t>
            </w:r>
          </w:p>
        </w:tc>
      </w:tr>
      <w:tr w14:paraId="5343B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7E532">
            <w:pPr>
              <w:pStyle w:val="12"/>
            </w:pPr>
            <w:r>
              <w:t>产出指标</w:t>
            </w:r>
          </w:p>
        </w:tc>
        <w:tc>
          <w:tcPr>
            <w:tcW w:w="2268" w:type="dxa"/>
            <w:vAlign w:val="center"/>
          </w:tcPr>
          <w:p w14:paraId="0DC691D9">
            <w:pPr>
              <w:pStyle w:val="13"/>
            </w:pPr>
            <w:r>
              <w:t>数量指标</w:t>
            </w:r>
          </w:p>
        </w:tc>
        <w:tc>
          <w:tcPr>
            <w:tcW w:w="2835" w:type="dxa"/>
            <w:vAlign w:val="center"/>
          </w:tcPr>
          <w:p w14:paraId="123DE8CA">
            <w:pPr>
              <w:pStyle w:val="13"/>
            </w:pPr>
            <w:r>
              <w:t>中职在校学生数</w:t>
            </w:r>
          </w:p>
        </w:tc>
        <w:tc>
          <w:tcPr>
            <w:tcW w:w="5386" w:type="dxa"/>
            <w:vAlign w:val="center"/>
          </w:tcPr>
          <w:p w14:paraId="2A46018F">
            <w:pPr>
              <w:pStyle w:val="13"/>
            </w:pPr>
            <w:r>
              <w:t>中职在校学生人数</w:t>
            </w:r>
          </w:p>
        </w:tc>
        <w:tc>
          <w:tcPr>
            <w:tcW w:w="2268" w:type="dxa"/>
            <w:vAlign w:val="center"/>
          </w:tcPr>
          <w:p w14:paraId="4EC3768D">
            <w:pPr>
              <w:pStyle w:val="13"/>
            </w:pPr>
            <w:r>
              <w:t>≥1384人</w:t>
            </w:r>
          </w:p>
        </w:tc>
        <w:tc>
          <w:tcPr>
            <w:tcW w:w="1276" w:type="dxa"/>
            <w:vAlign w:val="center"/>
          </w:tcPr>
          <w:p w14:paraId="0BB5A912">
            <w:pPr>
              <w:pStyle w:val="13"/>
            </w:pPr>
            <w:r>
              <w:t>中职公用经费管理办法</w:t>
            </w:r>
          </w:p>
        </w:tc>
      </w:tr>
      <w:tr w14:paraId="3AD74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9A1AD"/>
        </w:tc>
        <w:tc>
          <w:tcPr>
            <w:tcW w:w="2268" w:type="dxa"/>
            <w:vAlign w:val="center"/>
          </w:tcPr>
          <w:p w14:paraId="620D34AB">
            <w:pPr>
              <w:pStyle w:val="13"/>
            </w:pPr>
            <w:r>
              <w:t>质量指标</w:t>
            </w:r>
          </w:p>
        </w:tc>
        <w:tc>
          <w:tcPr>
            <w:tcW w:w="2835" w:type="dxa"/>
            <w:vAlign w:val="center"/>
          </w:tcPr>
          <w:p w14:paraId="629FE4E1">
            <w:pPr>
              <w:pStyle w:val="13"/>
            </w:pPr>
            <w:r>
              <w:t>提升办学质量</w:t>
            </w:r>
          </w:p>
        </w:tc>
        <w:tc>
          <w:tcPr>
            <w:tcW w:w="5386" w:type="dxa"/>
            <w:vAlign w:val="center"/>
          </w:tcPr>
          <w:p w14:paraId="1201F539">
            <w:pPr>
              <w:pStyle w:val="13"/>
            </w:pPr>
            <w:r>
              <w:t>按学校实际工作运转，按季度办理</w:t>
            </w:r>
          </w:p>
        </w:tc>
        <w:tc>
          <w:tcPr>
            <w:tcW w:w="2268" w:type="dxa"/>
            <w:vAlign w:val="center"/>
          </w:tcPr>
          <w:p w14:paraId="761634E4">
            <w:pPr>
              <w:pStyle w:val="13"/>
            </w:pPr>
            <w:r>
              <w:t>≥100%</w:t>
            </w:r>
          </w:p>
        </w:tc>
        <w:tc>
          <w:tcPr>
            <w:tcW w:w="1276" w:type="dxa"/>
            <w:vAlign w:val="center"/>
          </w:tcPr>
          <w:p w14:paraId="57B6DA54">
            <w:pPr>
              <w:pStyle w:val="13"/>
            </w:pPr>
            <w:r>
              <w:t>中职公用经费管理办法</w:t>
            </w:r>
          </w:p>
        </w:tc>
      </w:tr>
      <w:tr w14:paraId="6FECE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DF6ED"/>
        </w:tc>
        <w:tc>
          <w:tcPr>
            <w:tcW w:w="2268" w:type="dxa"/>
            <w:vAlign w:val="center"/>
          </w:tcPr>
          <w:p w14:paraId="117515F7">
            <w:pPr>
              <w:pStyle w:val="13"/>
            </w:pPr>
            <w:r>
              <w:t>时效指标</w:t>
            </w:r>
          </w:p>
        </w:tc>
        <w:tc>
          <w:tcPr>
            <w:tcW w:w="2835" w:type="dxa"/>
            <w:vAlign w:val="center"/>
          </w:tcPr>
          <w:p w14:paraId="01D88666">
            <w:pPr>
              <w:pStyle w:val="13"/>
            </w:pPr>
            <w:r>
              <w:t>资金支付率</w:t>
            </w:r>
          </w:p>
        </w:tc>
        <w:tc>
          <w:tcPr>
            <w:tcW w:w="5386" w:type="dxa"/>
            <w:vAlign w:val="center"/>
          </w:tcPr>
          <w:p w14:paraId="3C10B824">
            <w:pPr>
              <w:pStyle w:val="13"/>
            </w:pPr>
            <w:r>
              <w:t>按照项目进度完成资金支付</w:t>
            </w:r>
          </w:p>
        </w:tc>
        <w:tc>
          <w:tcPr>
            <w:tcW w:w="2268" w:type="dxa"/>
            <w:vAlign w:val="center"/>
          </w:tcPr>
          <w:p w14:paraId="76355E38">
            <w:pPr>
              <w:pStyle w:val="13"/>
            </w:pPr>
            <w:r>
              <w:t>≥100%</w:t>
            </w:r>
          </w:p>
        </w:tc>
        <w:tc>
          <w:tcPr>
            <w:tcW w:w="1276" w:type="dxa"/>
            <w:vAlign w:val="center"/>
          </w:tcPr>
          <w:p w14:paraId="06E75511">
            <w:pPr>
              <w:pStyle w:val="13"/>
            </w:pPr>
            <w:r>
              <w:t>中职公用经费管理办法</w:t>
            </w:r>
          </w:p>
        </w:tc>
      </w:tr>
      <w:tr w14:paraId="4301F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D8A9B"/>
        </w:tc>
        <w:tc>
          <w:tcPr>
            <w:tcW w:w="2268" w:type="dxa"/>
            <w:vAlign w:val="center"/>
          </w:tcPr>
          <w:p w14:paraId="0D4FD1D1">
            <w:pPr>
              <w:pStyle w:val="13"/>
            </w:pPr>
            <w:r>
              <w:t>成本指标</w:t>
            </w:r>
          </w:p>
        </w:tc>
        <w:tc>
          <w:tcPr>
            <w:tcW w:w="2835" w:type="dxa"/>
            <w:vAlign w:val="center"/>
          </w:tcPr>
          <w:p w14:paraId="673AB5DB">
            <w:pPr>
              <w:pStyle w:val="13"/>
            </w:pPr>
            <w:r>
              <w:t>生均财政投入</w:t>
            </w:r>
          </w:p>
        </w:tc>
        <w:tc>
          <w:tcPr>
            <w:tcW w:w="5386" w:type="dxa"/>
            <w:vAlign w:val="center"/>
          </w:tcPr>
          <w:p w14:paraId="1F4EF7CC">
            <w:pPr>
              <w:pStyle w:val="13"/>
            </w:pPr>
            <w:r>
              <w:t>中职生均奖补公用经费最低标准</w:t>
            </w:r>
          </w:p>
        </w:tc>
        <w:tc>
          <w:tcPr>
            <w:tcW w:w="2268" w:type="dxa"/>
            <w:vAlign w:val="center"/>
          </w:tcPr>
          <w:p w14:paraId="249E2351">
            <w:pPr>
              <w:pStyle w:val="13"/>
            </w:pPr>
            <w:r>
              <w:t>30%</w:t>
            </w:r>
          </w:p>
        </w:tc>
        <w:tc>
          <w:tcPr>
            <w:tcW w:w="1276" w:type="dxa"/>
            <w:vAlign w:val="center"/>
          </w:tcPr>
          <w:p w14:paraId="64A812AA">
            <w:pPr>
              <w:pStyle w:val="13"/>
            </w:pPr>
            <w:r>
              <w:t>冀财教【2016】1号</w:t>
            </w:r>
          </w:p>
        </w:tc>
      </w:tr>
      <w:tr w14:paraId="40D1B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99A24">
            <w:pPr>
              <w:pStyle w:val="12"/>
            </w:pPr>
            <w:r>
              <w:t>效益指标</w:t>
            </w:r>
          </w:p>
        </w:tc>
        <w:tc>
          <w:tcPr>
            <w:tcW w:w="2268" w:type="dxa"/>
            <w:vAlign w:val="center"/>
          </w:tcPr>
          <w:p w14:paraId="51249BFA">
            <w:pPr>
              <w:pStyle w:val="13"/>
            </w:pPr>
            <w:r>
              <w:t>社会效益指标</w:t>
            </w:r>
          </w:p>
        </w:tc>
        <w:tc>
          <w:tcPr>
            <w:tcW w:w="2835" w:type="dxa"/>
            <w:vAlign w:val="center"/>
          </w:tcPr>
          <w:p w14:paraId="0204F4C5">
            <w:pPr>
              <w:pStyle w:val="13"/>
            </w:pPr>
            <w:r>
              <w:t>学校办学能力提升</w:t>
            </w:r>
          </w:p>
        </w:tc>
        <w:tc>
          <w:tcPr>
            <w:tcW w:w="5386" w:type="dxa"/>
            <w:vAlign w:val="center"/>
          </w:tcPr>
          <w:p w14:paraId="0E4902C2">
            <w:pPr>
              <w:pStyle w:val="13"/>
            </w:pPr>
            <w:r>
              <w:t>改善办学条件，提高学生家长认可度</w:t>
            </w:r>
          </w:p>
        </w:tc>
        <w:tc>
          <w:tcPr>
            <w:tcW w:w="2268" w:type="dxa"/>
            <w:vAlign w:val="center"/>
          </w:tcPr>
          <w:p w14:paraId="7A037462">
            <w:pPr>
              <w:pStyle w:val="13"/>
            </w:pPr>
            <w:r>
              <w:t>≥100%</w:t>
            </w:r>
          </w:p>
        </w:tc>
        <w:tc>
          <w:tcPr>
            <w:tcW w:w="1276" w:type="dxa"/>
            <w:vAlign w:val="center"/>
          </w:tcPr>
          <w:p w14:paraId="73A856F8">
            <w:pPr>
              <w:pStyle w:val="13"/>
            </w:pPr>
            <w:r>
              <w:t>中职公用经费管理办法</w:t>
            </w:r>
          </w:p>
        </w:tc>
      </w:tr>
      <w:tr w14:paraId="1DFBE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C8E045">
            <w:pPr>
              <w:pStyle w:val="12"/>
            </w:pPr>
            <w:r>
              <w:t>满意度指标</w:t>
            </w:r>
          </w:p>
        </w:tc>
        <w:tc>
          <w:tcPr>
            <w:tcW w:w="2268" w:type="dxa"/>
            <w:vAlign w:val="center"/>
          </w:tcPr>
          <w:p w14:paraId="0EB38416">
            <w:pPr>
              <w:pStyle w:val="13"/>
            </w:pPr>
            <w:r>
              <w:t>服务对象满意度指标</w:t>
            </w:r>
          </w:p>
        </w:tc>
        <w:tc>
          <w:tcPr>
            <w:tcW w:w="2835" w:type="dxa"/>
            <w:vAlign w:val="center"/>
          </w:tcPr>
          <w:p w14:paraId="253470FD">
            <w:pPr>
              <w:pStyle w:val="13"/>
            </w:pPr>
            <w:r>
              <w:t>学生及家长满意</w:t>
            </w:r>
          </w:p>
        </w:tc>
        <w:tc>
          <w:tcPr>
            <w:tcW w:w="5386" w:type="dxa"/>
            <w:vAlign w:val="center"/>
          </w:tcPr>
          <w:p w14:paraId="352FB322">
            <w:pPr>
              <w:pStyle w:val="13"/>
            </w:pPr>
            <w:r>
              <w:t>学生及家长满意度</w:t>
            </w:r>
          </w:p>
        </w:tc>
        <w:tc>
          <w:tcPr>
            <w:tcW w:w="2268" w:type="dxa"/>
            <w:vAlign w:val="center"/>
          </w:tcPr>
          <w:p w14:paraId="6416E1F3">
            <w:pPr>
              <w:pStyle w:val="13"/>
            </w:pPr>
            <w:r>
              <w:t>≥95%</w:t>
            </w:r>
          </w:p>
        </w:tc>
        <w:tc>
          <w:tcPr>
            <w:tcW w:w="1276" w:type="dxa"/>
            <w:vAlign w:val="center"/>
          </w:tcPr>
          <w:p w14:paraId="17311EAC">
            <w:pPr>
              <w:pStyle w:val="13"/>
            </w:pPr>
            <w:r>
              <w:t>调查问卷</w:t>
            </w:r>
          </w:p>
        </w:tc>
      </w:tr>
    </w:tbl>
    <w:p w14:paraId="35A2E1B2">
      <w:pPr>
        <w:sectPr>
          <w:pgSz w:w="16840" w:h="11900" w:orient="landscape"/>
          <w:pgMar w:top="1361" w:right="1020" w:bottom="1134" w:left="1020" w:header="720" w:footer="720" w:gutter="0"/>
          <w:cols w:space="720" w:num="1"/>
        </w:sectPr>
      </w:pPr>
    </w:p>
    <w:p w14:paraId="153749D7">
      <w:pPr>
        <w:spacing w:before="0" w:after="0"/>
        <w:ind w:firstLine="560"/>
        <w:jc w:val="left"/>
        <w:outlineLvl w:val="9"/>
      </w:pPr>
      <w:r>
        <w:rPr>
          <w:rFonts w:ascii="方正仿宋_GBK" w:hAnsi="方正仿宋_GBK" w:eastAsia="方正仿宋_GBK" w:cs="方正仿宋_GBK"/>
          <w:b/>
          <w:color w:val="000000"/>
          <w:sz w:val="28"/>
        </w:rPr>
        <w:t>11、冀财教[2024]136号/省级/2025年职教发展/中职助学金（职教中职）绩效目标表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6F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78E7C">
            <w:pPr>
              <w:pStyle w:val="14"/>
            </w:pPr>
            <w:r>
              <w:t>单位：万元</w:t>
            </w:r>
          </w:p>
        </w:tc>
      </w:tr>
      <w:tr w14:paraId="794786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A4DEBB">
            <w:pPr>
              <w:pStyle w:val="11"/>
            </w:pPr>
            <w:r>
              <w:t>项目编码</w:t>
            </w:r>
          </w:p>
        </w:tc>
        <w:tc>
          <w:tcPr>
            <w:tcW w:w="5103" w:type="dxa"/>
            <w:gridSpan w:val="2"/>
            <w:vAlign w:val="center"/>
          </w:tcPr>
          <w:p w14:paraId="6DD13473">
            <w:pPr>
              <w:pStyle w:val="13"/>
            </w:pPr>
            <w:r>
              <w:t>13052525P00001410009P</w:t>
            </w:r>
          </w:p>
        </w:tc>
        <w:tc>
          <w:tcPr>
            <w:tcW w:w="2835" w:type="dxa"/>
            <w:vAlign w:val="center"/>
          </w:tcPr>
          <w:p w14:paraId="3B03682A">
            <w:pPr>
              <w:pStyle w:val="11"/>
            </w:pPr>
            <w:r>
              <w:t>项目名称</w:t>
            </w:r>
          </w:p>
        </w:tc>
        <w:tc>
          <w:tcPr>
            <w:tcW w:w="6095" w:type="dxa"/>
            <w:gridSpan w:val="3"/>
            <w:vAlign w:val="center"/>
          </w:tcPr>
          <w:p w14:paraId="4EBE3C95">
            <w:pPr>
              <w:pStyle w:val="13"/>
            </w:pPr>
            <w:r>
              <w:t>冀财教[2024]136号/省级/2025年职教发展/中职助学金（职教中职）</w:t>
            </w:r>
            <w:r>
              <w:tab/>
            </w:r>
          </w:p>
        </w:tc>
      </w:tr>
      <w:tr w14:paraId="108D8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F4FC7">
            <w:pPr>
              <w:pStyle w:val="11"/>
            </w:pPr>
            <w:r>
              <w:t>预算规模及资金用途</w:t>
            </w:r>
          </w:p>
        </w:tc>
        <w:tc>
          <w:tcPr>
            <w:tcW w:w="2268" w:type="dxa"/>
            <w:vAlign w:val="center"/>
          </w:tcPr>
          <w:p w14:paraId="27561505">
            <w:pPr>
              <w:pStyle w:val="11"/>
            </w:pPr>
            <w:r>
              <w:t>预算数</w:t>
            </w:r>
          </w:p>
        </w:tc>
        <w:tc>
          <w:tcPr>
            <w:tcW w:w="2835" w:type="dxa"/>
            <w:vAlign w:val="center"/>
          </w:tcPr>
          <w:p w14:paraId="5A76D5BA">
            <w:pPr>
              <w:pStyle w:val="13"/>
            </w:pPr>
            <w:r>
              <w:t>30.00</w:t>
            </w:r>
          </w:p>
        </w:tc>
        <w:tc>
          <w:tcPr>
            <w:tcW w:w="2835" w:type="dxa"/>
            <w:vAlign w:val="center"/>
          </w:tcPr>
          <w:p w14:paraId="6FEB218D">
            <w:pPr>
              <w:pStyle w:val="11"/>
            </w:pPr>
            <w:r>
              <w:t>其中：财政    资金</w:t>
            </w:r>
          </w:p>
        </w:tc>
        <w:tc>
          <w:tcPr>
            <w:tcW w:w="2551" w:type="dxa"/>
            <w:vAlign w:val="center"/>
          </w:tcPr>
          <w:p w14:paraId="7AD9CAB6">
            <w:pPr>
              <w:pStyle w:val="13"/>
            </w:pPr>
            <w:r>
              <w:t>30.00</w:t>
            </w:r>
          </w:p>
        </w:tc>
        <w:tc>
          <w:tcPr>
            <w:tcW w:w="2268" w:type="dxa"/>
            <w:vAlign w:val="center"/>
          </w:tcPr>
          <w:p w14:paraId="09705399">
            <w:pPr>
              <w:pStyle w:val="11"/>
            </w:pPr>
            <w:r>
              <w:t>其他资金</w:t>
            </w:r>
          </w:p>
        </w:tc>
        <w:tc>
          <w:tcPr>
            <w:tcW w:w="1276" w:type="dxa"/>
            <w:vAlign w:val="center"/>
          </w:tcPr>
          <w:p w14:paraId="0A0E648A">
            <w:pPr>
              <w:pStyle w:val="13"/>
            </w:pPr>
            <w:r>
              <w:t xml:space="preserve"> </w:t>
            </w:r>
          </w:p>
        </w:tc>
      </w:tr>
      <w:tr w14:paraId="41508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F2149"/>
        </w:tc>
        <w:tc>
          <w:tcPr>
            <w:tcW w:w="14033" w:type="dxa"/>
            <w:gridSpan w:val="6"/>
            <w:vAlign w:val="center"/>
          </w:tcPr>
          <w:p w14:paraId="028963CD">
            <w:pPr>
              <w:pStyle w:val="13"/>
            </w:pPr>
            <w:r>
              <w:t>省级安排中职助学金30万元用于资助贫困学生完成学业</w:t>
            </w:r>
          </w:p>
        </w:tc>
      </w:tr>
      <w:tr w14:paraId="7C6DC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A1BFF">
            <w:pPr>
              <w:pStyle w:val="11"/>
            </w:pPr>
            <w:r>
              <w:t>资金支出计划（%）</w:t>
            </w:r>
          </w:p>
        </w:tc>
        <w:tc>
          <w:tcPr>
            <w:tcW w:w="5103" w:type="dxa"/>
            <w:gridSpan w:val="2"/>
            <w:vAlign w:val="center"/>
          </w:tcPr>
          <w:p w14:paraId="7E9F76A2">
            <w:pPr>
              <w:pStyle w:val="11"/>
            </w:pPr>
            <w:r>
              <w:t>3月底</w:t>
            </w:r>
          </w:p>
        </w:tc>
        <w:tc>
          <w:tcPr>
            <w:tcW w:w="2835" w:type="dxa"/>
            <w:vAlign w:val="center"/>
          </w:tcPr>
          <w:p w14:paraId="1D0F53DB">
            <w:pPr>
              <w:pStyle w:val="11"/>
            </w:pPr>
            <w:r>
              <w:t>6月底</w:t>
            </w:r>
          </w:p>
        </w:tc>
        <w:tc>
          <w:tcPr>
            <w:tcW w:w="2551" w:type="dxa"/>
            <w:vAlign w:val="center"/>
          </w:tcPr>
          <w:p w14:paraId="7BAD6151">
            <w:pPr>
              <w:pStyle w:val="11"/>
            </w:pPr>
            <w:r>
              <w:t>10月底</w:t>
            </w:r>
          </w:p>
        </w:tc>
        <w:tc>
          <w:tcPr>
            <w:tcW w:w="3544" w:type="dxa"/>
            <w:gridSpan w:val="2"/>
            <w:vAlign w:val="center"/>
          </w:tcPr>
          <w:p w14:paraId="70790D29">
            <w:pPr>
              <w:pStyle w:val="11"/>
            </w:pPr>
            <w:r>
              <w:t>12月底</w:t>
            </w:r>
          </w:p>
        </w:tc>
      </w:tr>
      <w:tr w14:paraId="3B1FDC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31BC8D"/>
        </w:tc>
        <w:tc>
          <w:tcPr>
            <w:tcW w:w="5103" w:type="dxa"/>
            <w:gridSpan w:val="2"/>
            <w:vAlign w:val="center"/>
          </w:tcPr>
          <w:p w14:paraId="770364AE">
            <w:pPr>
              <w:pStyle w:val="12"/>
            </w:pPr>
            <w:r>
              <w:t xml:space="preserve"> </w:t>
            </w:r>
          </w:p>
        </w:tc>
        <w:tc>
          <w:tcPr>
            <w:tcW w:w="2835" w:type="dxa"/>
            <w:vAlign w:val="center"/>
          </w:tcPr>
          <w:p w14:paraId="7099E277">
            <w:pPr>
              <w:pStyle w:val="12"/>
            </w:pPr>
            <w:r>
              <w:t>50%</w:t>
            </w:r>
          </w:p>
        </w:tc>
        <w:tc>
          <w:tcPr>
            <w:tcW w:w="2551" w:type="dxa"/>
            <w:vAlign w:val="center"/>
          </w:tcPr>
          <w:p w14:paraId="55BD7C37">
            <w:pPr>
              <w:pStyle w:val="12"/>
            </w:pPr>
            <w:r>
              <w:t>50%</w:t>
            </w:r>
          </w:p>
        </w:tc>
        <w:tc>
          <w:tcPr>
            <w:tcW w:w="3544" w:type="dxa"/>
            <w:gridSpan w:val="2"/>
            <w:vAlign w:val="center"/>
          </w:tcPr>
          <w:p w14:paraId="59AC5A88">
            <w:pPr>
              <w:pStyle w:val="12"/>
            </w:pPr>
            <w:r>
              <w:t>100%</w:t>
            </w:r>
          </w:p>
        </w:tc>
      </w:tr>
      <w:tr w14:paraId="56C2A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58403">
            <w:pPr>
              <w:pStyle w:val="11"/>
            </w:pPr>
            <w:r>
              <w:t>绩效目标</w:t>
            </w:r>
          </w:p>
        </w:tc>
        <w:tc>
          <w:tcPr>
            <w:tcW w:w="14033" w:type="dxa"/>
            <w:gridSpan w:val="6"/>
            <w:vAlign w:val="center"/>
          </w:tcPr>
          <w:p w14:paraId="71A3BAF3">
            <w:pPr>
              <w:pStyle w:val="13"/>
            </w:pPr>
            <w:r>
              <w:t>1.省级安排中职助学金30万元用于资助贫困学生完成学业</w:t>
            </w:r>
          </w:p>
        </w:tc>
      </w:tr>
    </w:tbl>
    <w:p w14:paraId="224A77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069"/>
        <w:gridCol w:w="1380"/>
        <w:gridCol w:w="4481"/>
      </w:tblGrid>
      <w:tr w14:paraId="6B62C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1435F3">
            <w:pPr>
              <w:pStyle w:val="11"/>
            </w:pPr>
            <w:r>
              <w:t>一级指标</w:t>
            </w:r>
          </w:p>
        </w:tc>
        <w:tc>
          <w:tcPr>
            <w:tcW w:w="2268" w:type="dxa"/>
            <w:vAlign w:val="center"/>
          </w:tcPr>
          <w:p w14:paraId="2D47056C">
            <w:pPr>
              <w:pStyle w:val="11"/>
            </w:pPr>
            <w:r>
              <w:t>二级指标</w:t>
            </w:r>
          </w:p>
        </w:tc>
        <w:tc>
          <w:tcPr>
            <w:tcW w:w="2835" w:type="dxa"/>
            <w:vAlign w:val="center"/>
          </w:tcPr>
          <w:p w14:paraId="23878D5A">
            <w:pPr>
              <w:pStyle w:val="11"/>
            </w:pPr>
            <w:r>
              <w:t>三级指标</w:t>
            </w:r>
          </w:p>
        </w:tc>
        <w:tc>
          <w:tcPr>
            <w:tcW w:w="3069" w:type="dxa"/>
            <w:vAlign w:val="center"/>
          </w:tcPr>
          <w:p w14:paraId="598B6039">
            <w:pPr>
              <w:pStyle w:val="11"/>
            </w:pPr>
            <w:r>
              <w:t>绩效指标描述</w:t>
            </w:r>
          </w:p>
        </w:tc>
        <w:tc>
          <w:tcPr>
            <w:tcW w:w="1380" w:type="dxa"/>
            <w:vAlign w:val="center"/>
          </w:tcPr>
          <w:p w14:paraId="2023A129">
            <w:pPr>
              <w:pStyle w:val="11"/>
            </w:pPr>
            <w:r>
              <w:t>指标值</w:t>
            </w:r>
          </w:p>
        </w:tc>
        <w:tc>
          <w:tcPr>
            <w:tcW w:w="4481" w:type="dxa"/>
            <w:vAlign w:val="center"/>
          </w:tcPr>
          <w:p w14:paraId="157A1569">
            <w:pPr>
              <w:pStyle w:val="11"/>
            </w:pPr>
            <w:r>
              <w:t>指标值确定依据</w:t>
            </w:r>
          </w:p>
        </w:tc>
      </w:tr>
      <w:tr w14:paraId="07193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CDB60">
            <w:pPr>
              <w:pStyle w:val="12"/>
            </w:pPr>
            <w:r>
              <w:t>产出指标</w:t>
            </w:r>
          </w:p>
        </w:tc>
        <w:tc>
          <w:tcPr>
            <w:tcW w:w="2268" w:type="dxa"/>
            <w:vAlign w:val="center"/>
          </w:tcPr>
          <w:p w14:paraId="1D8AC15A">
            <w:pPr>
              <w:pStyle w:val="13"/>
            </w:pPr>
            <w:r>
              <w:t>数量指标</w:t>
            </w:r>
          </w:p>
        </w:tc>
        <w:tc>
          <w:tcPr>
            <w:tcW w:w="2835" w:type="dxa"/>
            <w:vAlign w:val="center"/>
          </w:tcPr>
          <w:p w14:paraId="3B4DDD19">
            <w:pPr>
              <w:pStyle w:val="13"/>
            </w:pPr>
            <w:r>
              <w:t>中职享受助学金人数</w:t>
            </w:r>
          </w:p>
        </w:tc>
        <w:tc>
          <w:tcPr>
            <w:tcW w:w="3069" w:type="dxa"/>
            <w:vAlign w:val="center"/>
          </w:tcPr>
          <w:p w14:paraId="7F77F100">
            <w:pPr>
              <w:pStyle w:val="13"/>
            </w:pPr>
            <w:r>
              <w:t>中职享受助学金人数</w:t>
            </w:r>
          </w:p>
        </w:tc>
        <w:tc>
          <w:tcPr>
            <w:tcW w:w="1380" w:type="dxa"/>
            <w:vAlign w:val="center"/>
          </w:tcPr>
          <w:p w14:paraId="7FCD5955">
            <w:pPr>
              <w:pStyle w:val="13"/>
            </w:pPr>
            <w:r>
              <w:t>604人</w:t>
            </w:r>
          </w:p>
        </w:tc>
        <w:tc>
          <w:tcPr>
            <w:tcW w:w="4481" w:type="dxa"/>
            <w:vAlign w:val="center"/>
          </w:tcPr>
          <w:p w14:paraId="56DB88C5">
            <w:pPr>
              <w:pStyle w:val="13"/>
            </w:pPr>
            <w:r>
              <w:t>【隆尧县中等职业学校国家助学金管理办法的通知】隆财【2018】105号，</w:t>
            </w:r>
          </w:p>
        </w:tc>
      </w:tr>
      <w:tr w14:paraId="033E4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CE404"/>
        </w:tc>
        <w:tc>
          <w:tcPr>
            <w:tcW w:w="2268" w:type="dxa"/>
            <w:vAlign w:val="center"/>
          </w:tcPr>
          <w:p w14:paraId="55859721">
            <w:pPr>
              <w:pStyle w:val="13"/>
            </w:pPr>
            <w:r>
              <w:t>质量指标</w:t>
            </w:r>
          </w:p>
        </w:tc>
        <w:tc>
          <w:tcPr>
            <w:tcW w:w="2835" w:type="dxa"/>
            <w:vAlign w:val="center"/>
          </w:tcPr>
          <w:p w14:paraId="1627E649">
            <w:pPr>
              <w:pStyle w:val="13"/>
            </w:pPr>
            <w:r>
              <w:t>完成助学金发放工作</w:t>
            </w:r>
          </w:p>
        </w:tc>
        <w:tc>
          <w:tcPr>
            <w:tcW w:w="3069" w:type="dxa"/>
            <w:vAlign w:val="center"/>
          </w:tcPr>
          <w:p w14:paraId="5313CB3C">
            <w:pPr>
              <w:pStyle w:val="13"/>
            </w:pPr>
            <w:r>
              <w:t>涉农专业学生及其他专业贫困生</w:t>
            </w:r>
          </w:p>
        </w:tc>
        <w:tc>
          <w:tcPr>
            <w:tcW w:w="1380" w:type="dxa"/>
            <w:vAlign w:val="center"/>
          </w:tcPr>
          <w:p w14:paraId="3F1069A0">
            <w:pPr>
              <w:pStyle w:val="13"/>
            </w:pPr>
            <w:r>
              <w:t>604人</w:t>
            </w:r>
          </w:p>
        </w:tc>
        <w:tc>
          <w:tcPr>
            <w:tcW w:w="4481" w:type="dxa"/>
            <w:vAlign w:val="center"/>
          </w:tcPr>
          <w:p w14:paraId="58745535">
            <w:pPr>
              <w:pStyle w:val="13"/>
            </w:pPr>
            <w:r>
              <w:t>【隆尧县中等职业学校国家助学金管理办法的通知】隆财【2018】105号，</w:t>
            </w:r>
          </w:p>
        </w:tc>
      </w:tr>
      <w:tr w14:paraId="7D20A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3DD5D"/>
        </w:tc>
        <w:tc>
          <w:tcPr>
            <w:tcW w:w="2268" w:type="dxa"/>
            <w:vAlign w:val="center"/>
          </w:tcPr>
          <w:p w14:paraId="5B5C8BA2">
            <w:pPr>
              <w:pStyle w:val="13"/>
            </w:pPr>
            <w:r>
              <w:t>时效指标</w:t>
            </w:r>
          </w:p>
        </w:tc>
        <w:tc>
          <w:tcPr>
            <w:tcW w:w="2835" w:type="dxa"/>
            <w:vAlign w:val="center"/>
          </w:tcPr>
          <w:p w14:paraId="37E70E2E">
            <w:pPr>
              <w:pStyle w:val="13"/>
            </w:pPr>
            <w:r>
              <w:t>助学金及时足额发放</w:t>
            </w:r>
          </w:p>
        </w:tc>
        <w:tc>
          <w:tcPr>
            <w:tcW w:w="3069" w:type="dxa"/>
            <w:vAlign w:val="center"/>
          </w:tcPr>
          <w:p w14:paraId="0F540736">
            <w:pPr>
              <w:pStyle w:val="13"/>
            </w:pPr>
            <w:r>
              <w:t>助学金及时足额发放率</w:t>
            </w:r>
          </w:p>
        </w:tc>
        <w:tc>
          <w:tcPr>
            <w:tcW w:w="1380" w:type="dxa"/>
            <w:vAlign w:val="center"/>
          </w:tcPr>
          <w:p w14:paraId="4B110CB9">
            <w:pPr>
              <w:pStyle w:val="13"/>
            </w:pPr>
            <w:r>
              <w:t>≥100%</w:t>
            </w:r>
          </w:p>
        </w:tc>
        <w:tc>
          <w:tcPr>
            <w:tcW w:w="4481" w:type="dxa"/>
            <w:vAlign w:val="center"/>
          </w:tcPr>
          <w:p w14:paraId="6E298895">
            <w:pPr>
              <w:pStyle w:val="13"/>
            </w:pPr>
            <w:r>
              <w:t>【隆尧县中等职业学校国家助学金管理办法的通知】隆财【2018】105号，</w:t>
            </w:r>
          </w:p>
        </w:tc>
      </w:tr>
      <w:tr w14:paraId="07D30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0684D"/>
        </w:tc>
        <w:tc>
          <w:tcPr>
            <w:tcW w:w="2268" w:type="dxa"/>
            <w:vAlign w:val="center"/>
          </w:tcPr>
          <w:p w14:paraId="3532A8E7">
            <w:pPr>
              <w:pStyle w:val="13"/>
            </w:pPr>
            <w:r>
              <w:t>成本指标</w:t>
            </w:r>
          </w:p>
        </w:tc>
        <w:tc>
          <w:tcPr>
            <w:tcW w:w="2835" w:type="dxa"/>
            <w:vAlign w:val="center"/>
          </w:tcPr>
          <w:p w14:paraId="3E40AABC">
            <w:pPr>
              <w:pStyle w:val="13"/>
            </w:pPr>
            <w:r>
              <w:t>中职助学金标准</w:t>
            </w:r>
          </w:p>
        </w:tc>
        <w:tc>
          <w:tcPr>
            <w:tcW w:w="3069" w:type="dxa"/>
            <w:vAlign w:val="center"/>
          </w:tcPr>
          <w:p w14:paraId="1A699D05">
            <w:pPr>
              <w:pStyle w:val="13"/>
            </w:pPr>
            <w:r>
              <w:t>中职助学金资助标准2000/生/年</w:t>
            </w:r>
          </w:p>
        </w:tc>
        <w:tc>
          <w:tcPr>
            <w:tcW w:w="1380" w:type="dxa"/>
            <w:vAlign w:val="center"/>
          </w:tcPr>
          <w:p w14:paraId="23E34F79">
            <w:pPr>
              <w:pStyle w:val="13"/>
            </w:pPr>
            <w:r>
              <w:t>2300元</w:t>
            </w:r>
          </w:p>
        </w:tc>
        <w:tc>
          <w:tcPr>
            <w:tcW w:w="4481" w:type="dxa"/>
            <w:vAlign w:val="center"/>
          </w:tcPr>
          <w:p w14:paraId="011097B7">
            <w:pPr>
              <w:pStyle w:val="13"/>
            </w:pPr>
            <w:r>
              <w:t>【隆尧县中等职业学校国家助学金管理办法的通知】隆财【2018】105号，</w:t>
            </w:r>
          </w:p>
        </w:tc>
      </w:tr>
      <w:tr w14:paraId="0A62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C163D">
            <w:pPr>
              <w:pStyle w:val="12"/>
            </w:pPr>
            <w:r>
              <w:t>效益指标</w:t>
            </w:r>
          </w:p>
        </w:tc>
        <w:tc>
          <w:tcPr>
            <w:tcW w:w="2268" w:type="dxa"/>
            <w:vAlign w:val="center"/>
          </w:tcPr>
          <w:p w14:paraId="75B0CA21">
            <w:pPr>
              <w:pStyle w:val="13"/>
            </w:pPr>
            <w:r>
              <w:t>社会效益指标</w:t>
            </w:r>
          </w:p>
        </w:tc>
        <w:tc>
          <w:tcPr>
            <w:tcW w:w="2835" w:type="dxa"/>
            <w:vAlign w:val="center"/>
          </w:tcPr>
          <w:p w14:paraId="6E9C2A6E">
            <w:pPr>
              <w:pStyle w:val="13"/>
            </w:pPr>
            <w:r>
              <w:t>减轻贫困家庭负担</w:t>
            </w:r>
          </w:p>
        </w:tc>
        <w:tc>
          <w:tcPr>
            <w:tcW w:w="3069" w:type="dxa"/>
            <w:vAlign w:val="center"/>
          </w:tcPr>
          <w:p w14:paraId="25A2505F">
            <w:pPr>
              <w:pStyle w:val="13"/>
            </w:pPr>
            <w:r>
              <w:t>减轻贫困家庭负担</w:t>
            </w:r>
          </w:p>
        </w:tc>
        <w:tc>
          <w:tcPr>
            <w:tcW w:w="1380" w:type="dxa"/>
            <w:vAlign w:val="center"/>
          </w:tcPr>
          <w:p w14:paraId="64FD62BD">
            <w:pPr>
              <w:pStyle w:val="13"/>
            </w:pPr>
            <w:r>
              <w:t>≥100%</w:t>
            </w:r>
          </w:p>
        </w:tc>
        <w:tc>
          <w:tcPr>
            <w:tcW w:w="4481" w:type="dxa"/>
            <w:vAlign w:val="center"/>
          </w:tcPr>
          <w:p w14:paraId="77843BB7">
            <w:pPr>
              <w:pStyle w:val="13"/>
            </w:pPr>
            <w:r>
              <w:t>【隆尧县中等职业学校国家助学金管理办法的通知】隆财【2018】105号，</w:t>
            </w:r>
          </w:p>
        </w:tc>
      </w:tr>
      <w:tr w14:paraId="5CBF5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5FAC0"/>
        </w:tc>
        <w:tc>
          <w:tcPr>
            <w:tcW w:w="2268" w:type="dxa"/>
            <w:vAlign w:val="center"/>
          </w:tcPr>
          <w:p w14:paraId="15087709">
            <w:pPr>
              <w:pStyle w:val="13"/>
            </w:pPr>
            <w:r>
              <w:t>可持续影响指标</w:t>
            </w:r>
          </w:p>
        </w:tc>
        <w:tc>
          <w:tcPr>
            <w:tcW w:w="2835" w:type="dxa"/>
            <w:vAlign w:val="center"/>
          </w:tcPr>
          <w:p w14:paraId="1C18DADA">
            <w:pPr>
              <w:pStyle w:val="13"/>
            </w:pPr>
            <w:r>
              <w:t>中职运转</w:t>
            </w:r>
          </w:p>
        </w:tc>
        <w:tc>
          <w:tcPr>
            <w:tcW w:w="3069" w:type="dxa"/>
            <w:vAlign w:val="center"/>
          </w:tcPr>
          <w:p w14:paraId="383946D5">
            <w:pPr>
              <w:pStyle w:val="13"/>
            </w:pPr>
            <w:r>
              <w:t>中职生受教育年限</w:t>
            </w:r>
          </w:p>
        </w:tc>
        <w:tc>
          <w:tcPr>
            <w:tcW w:w="1380" w:type="dxa"/>
            <w:vAlign w:val="center"/>
          </w:tcPr>
          <w:p w14:paraId="6DB81107">
            <w:pPr>
              <w:pStyle w:val="13"/>
            </w:pPr>
            <w:r>
              <w:t>3年</w:t>
            </w:r>
          </w:p>
        </w:tc>
        <w:tc>
          <w:tcPr>
            <w:tcW w:w="4481" w:type="dxa"/>
            <w:vAlign w:val="center"/>
          </w:tcPr>
          <w:p w14:paraId="1F4AD42E">
            <w:pPr>
              <w:pStyle w:val="13"/>
            </w:pPr>
            <w:r>
              <w:t>【隆尧县中等职业学校国家助学金管理办法的通知】隆财【2018】105号，</w:t>
            </w:r>
          </w:p>
        </w:tc>
      </w:tr>
      <w:tr w14:paraId="4B6D1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4A9664">
            <w:pPr>
              <w:pStyle w:val="12"/>
            </w:pPr>
            <w:r>
              <w:t>满意度指标</w:t>
            </w:r>
          </w:p>
        </w:tc>
        <w:tc>
          <w:tcPr>
            <w:tcW w:w="2268" w:type="dxa"/>
            <w:vAlign w:val="center"/>
          </w:tcPr>
          <w:p w14:paraId="500B3B14">
            <w:pPr>
              <w:pStyle w:val="13"/>
            </w:pPr>
            <w:r>
              <w:t>服务对象满意度指标</w:t>
            </w:r>
          </w:p>
        </w:tc>
        <w:tc>
          <w:tcPr>
            <w:tcW w:w="2835" w:type="dxa"/>
            <w:vAlign w:val="center"/>
          </w:tcPr>
          <w:p w14:paraId="2BA10871">
            <w:pPr>
              <w:pStyle w:val="13"/>
            </w:pPr>
            <w:r>
              <w:t>学生家长</w:t>
            </w:r>
          </w:p>
        </w:tc>
        <w:tc>
          <w:tcPr>
            <w:tcW w:w="3069" w:type="dxa"/>
            <w:vAlign w:val="center"/>
          </w:tcPr>
          <w:p w14:paraId="38A43DB3">
            <w:pPr>
              <w:pStyle w:val="13"/>
            </w:pPr>
            <w:r>
              <w:t>学生家长满意度</w:t>
            </w:r>
          </w:p>
        </w:tc>
        <w:tc>
          <w:tcPr>
            <w:tcW w:w="1380" w:type="dxa"/>
            <w:vAlign w:val="center"/>
          </w:tcPr>
          <w:p w14:paraId="7694D9AC">
            <w:pPr>
              <w:pStyle w:val="13"/>
            </w:pPr>
            <w:r>
              <w:t>≥95%</w:t>
            </w:r>
          </w:p>
        </w:tc>
        <w:tc>
          <w:tcPr>
            <w:tcW w:w="4481" w:type="dxa"/>
            <w:vAlign w:val="center"/>
          </w:tcPr>
          <w:p w14:paraId="5F3B2F1D">
            <w:pPr>
              <w:pStyle w:val="13"/>
            </w:pPr>
            <w:r>
              <w:t>【隆尧县中等职业学校国家助学金管理办法的通知】隆财【2018】105号，</w:t>
            </w:r>
          </w:p>
        </w:tc>
      </w:tr>
    </w:tbl>
    <w:p w14:paraId="21C19BFA">
      <w:pPr>
        <w:sectPr>
          <w:pgSz w:w="16840" w:h="11900" w:orient="landscape"/>
          <w:pgMar w:top="1361" w:right="1020" w:bottom="1134" w:left="1020" w:header="720" w:footer="720" w:gutter="0"/>
          <w:cols w:space="720" w:num="1"/>
        </w:sectPr>
      </w:pPr>
    </w:p>
    <w:p w14:paraId="773EEEAC">
      <w:pPr>
        <w:spacing w:before="0" w:after="0"/>
        <w:ind w:firstLine="560"/>
        <w:jc w:val="left"/>
        <w:outlineLvl w:val="9"/>
      </w:pPr>
      <w:r>
        <w:rPr>
          <w:rFonts w:ascii="方正仿宋_GBK" w:hAnsi="方正仿宋_GBK" w:eastAsia="方正仿宋_GBK" w:cs="方正仿宋_GBK"/>
          <w:b/>
          <w:color w:val="000000"/>
          <w:sz w:val="28"/>
        </w:rPr>
        <w:t>12、冀财教[2024]137号/省级/2025年普通高中资金/普通高中三免（职教高中）建档立卡</w:t>
      </w:r>
      <w:r>
        <w:rPr>
          <w:rFonts w:ascii="方正仿宋_GBK" w:hAnsi="方正仿宋_GBK" w:eastAsia="方正仿宋_GBK" w:cs="方正仿宋_GBK"/>
          <w:b/>
          <w:color w:val="000000"/>
          <w:sz w:val="28"/>
        </w:rPr>
        <w:tab/>
      </w:r>
    </w:p>
    <w:p w14:paraId="2BD7A714">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ED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193E9">
            <w:pPr>
              <w:pStyle w:val="14"/>
            </w:pPr>
            <w:r>
              <w:t>单位：万元</w:t>
            </w:r>
          </w:p>
        </w:tc>
      </w:tr>
      <w:tr w14:paraId="7B2F9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D539B1">
            <w:pPr>
              <w:pStyle w:val="11"/>
            </w:pPr>
            <w:r>
              <w:t>项目编码</w:t>
            </w:r>
          </w:p>
        </w:tc>
        <w:tc>
          <w:tcPr>
            <w:tcW w:w="5103" w:type="dxa"/>
            <w:gridSpan w:val="2"/>
            <w:vAlign w:val="center"/>
          </w:tcPr>
          <w:p w14:paraId="05E919B6">
            <w:pPr>
              <w:pStyle w:val="13"/>
            </w:pPr>
            <w:r>
              <w:t>13052525P000012100294</w:t>
            </w:r>
          </w:p>
        </w:tc>
        <w:tc>
          <w:tcPr>
            <w:tcW w:w="2835" w:type="dxa"/>
            <w:vAlign w:val="center"/>
          </w:tcPr>
          <w:p w14:paraId="249CC509">
            <w:pPr>
              <w:pStyle w:val="11"/>
            </w:pPr>
            <w:r>
              <w:t>项目名称</w:t>
            </w:r>
          </w:p>
        </w:tc>
        <w:tc>
          <w:tcPr>
            <w:tcW w:w="6095" w:type="dxa"/>
            <w:gridSpan w:val="3"/>
            <w:vAlign w:val="center"/>
          </w:tcPr>
          <w:p w14:paraId="1E23E33E">
            <w:pPr>
              <w:pStyle w:val="13"/>
            </w:pPr>
            <w:r>
              <w:t>冀财教[2024]137号/省级/2025年普通高中资金/普通高中三免（职教高中）建档立卡</w:t>
            </w:r>
            <w:r>
              <w:tab/>
            </w:r>
          </w:p>
          <w:p w14:paraId="39BFED67">
            <w:pPr>
              <w:pStyle w:val="13"/>
            </w:pPr>
          </w:p>
        </w:tc>
      </w:tr>
      <w:tr w14:paraId="5FBF1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6F4CE">
            <w:pPr>
              <w:pStyle w:val="11"/>
            </w:pPr>
            <w:r>
              <w:t>预算规模及资金用途</w:t>
            </w:r>
          </w:p>
        </w:tc>
        <w:tc>
          <w:tcPr>
            <w:tcW w:w="2268" w:type="dxa"/>
            <w:vAlign w:val="center"/>
          </w:tcPr>
          <w:p w14:paraId="0FFE44EC">
            <w:pPr>
              <w:pStyle w:val="11"/>
            </w:pPr>
            <w:r>
              <w:t>预算数</w:t>
            </w:r>
          </w:p>
        </w:tc>
        <w:tc>
          <w:tcPr>
            <w:tcW w:w="2835" w:type="dxa"/>
            <w:vAlign w:val="center"/>
          </w:tcPr>
          <w:p w14:paraId="6235FC5C">
            <w:pPr>
              <w:pStyle w:val="13"/>
            </w:pPr>
            <w:r>
              <w:t>6.00</w:t>
            </w:r>
          </w:p>
        </w:tc>
        <w:tc>
          <w:tcPr>
            <w:tcW w:w="2835" w:type="dxa"/>
            <w:vAlign w:val="center"/>
          </w:tcPr>
          <w:p w14:paraId="6625D7C0">
            <w:pPr>
              <w:pStyle w:val="11"/>
            </w:pPr>
            <w:r>
              <w:t>其中：财政    资金</w:t>
            </w:r>
          </w:p>
        </w:tc>
        <w:tc>
          <w:tcPr>
            <w:tcW w:w="2551" w:type="dxa"/>
            <w:vAlign w:val="center"/>
          </w:tcPr>
          <w:p w14:paraId="5C50BA41">
            <w:pPr>
              <w:pStyle w:val="13"/>
            </w:pPr>
            <w:r>
              <w:t>6.00</w:t>
            </w:r>
          </w:p>
        </w:tc>
        <w:tc>
          <w:tcPr>
            <w:tcW w:w="2268" w:type="dxa"/>
            <w:vAlign w:val="center"/>
          </w:tcPr>
          <w:p w14:paraId="40DA7A51">
            <w:pPr>
              <w:pStyle w:val="11"/>
            </w:pPr>
            <w:r>
              <w:t>其他资金</w:t>
            </w:r>
          </w:p>
        </w:tc>
        <w:tc>
          <w:tcPr>
            <w:tcW w:w="1276" w:type="dxa"/>
            <w:vAlign w:val="center"/>
          </w:tcPr>
          <w:p w14:paraId="659C595F">
            <w:pPr>
              <w:pStyle w:val="13"/>
            </w:pPr>
            <w:r>
              <w:t xml:space="preserve"> </w:t>
            </w:r>
          </w:p>
        </w:tc>
      </w:tr>
      <w:tr w14:paraId="204B4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18173"/>
        </w:tc>
        <w:tc>
          <w:tcPr>
            <w:tcW w:w="14033" w:type="dxa"/>
            <w:gridSpan w:val="6"/>
            <w:vAlign w:val="center"/>
          </w:tcPr>
          <w:p w14:paraId="07E06110">
            <w:pPr>
              <w:pStyle w:val="13"/>
            </w:pPr>
            <w:r>
              <w:t>省级普高三免资金预算安排6万元，用于减免贫困生书费学费住宿费后弥补公用经费不足。</w:t>
            </w:r>
          </w:p>
        </w:tc>
      </w:tr>
      <w:tr w14:paraId="76F83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1B1A9">
            <w:pPr>
              <w:pStyle w:val="11"/>
            </w:pPr>
            <w:r>
              <w:t>资金支出计划（%）</w:t>
            </w:r>
          </w:p>
        </w:tc>
        <w:tc>
          <w:tcPr>
            <w:tcW w:w="5103" w:type="dxa"/>
            <w:gridSpan w:val="2"/>
            <w:vAlign w:val="center"/>
          </w:tcPr>
          <w:p w14:paraId="336EE9F9">
            <w:pPr>
              <w:pStyle w:val="11"/>
            </w:pPr>
            <w:r>
              <w:t>3月底</w:t>
            </w:r>
          </w:p>
        </w:tc>
        <w:tc>
          <w:tcPr>
            <w:tcW w:w="2835" w:type="dxa"/>
            <w:vAlign w:val="center"/>
          </w:tcPr>
          <w:p w14:paraId="23D86206">
            <w:pPr>
              <w:pStyle w:val="11"/>
            </w:pPr>
            <w:r>
              <w:t>6月底</w:t>
            </w:r>
          </w:p>
        </w:tc>
        <w:tc>
          <w:tcPr>
            <w:tcW w:w="2551" w:type="dxa"/>
            <w:vAlign w:val="center"/>
          </w:tcPr>
          <w:p w14:paraId="61180ABF">
            <w:pPr>
              <w:pStyle w:val="11"/>
            </w:pPr>
            <w:r>
              <w:t>10月底</w:t>
            </w:r>
          </w:p>
        </w:tc>
        <w:tc>
          <w:tcPr>
            <w:tcW w:w="3544" w:type="dxa"/>
            <w:gridSpan w:val="2"/>
            <w:vAlign w:val="center"/>
          </w:tcPr>
          <w:p w14:paraId="1FD85E32">
            <w:pPr>
              <w:pStyle w:val="11"/>
            </w:pPr>
            <w:r>
              <w:t>12月底</w:t>
            </w:r>
          </w:p>
        </w:tc>
      </w:tr>
      <w:tr w14:paraId="3C409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4485B"/>
        </w:tc>
        <w:tc>
          <w:tcPr>
            <w:tcW w:w="5103" w:type="dxa"/>
            <w:gridSpan w:val="2"/>
            <w:vAlign w:val="center"/>
          </w:tcPr>
          <w:p w14:paraId="04F3C848">
            <w:pPr>
              <w:pStyle w:val="12"/>
            </w:pPr>
            <w:r>
              <w:t xml:space="preserve"> </w:t>
            </w:r>
          </w:p>
        </w:tc>
        <w:tc>
          <w:tcPr>
            <w:tcW w:w="2835" w:type="dxa"/>
            <w:vAlign w:val="center"/>
          </w:tcPr>
          <w:p w14:paraId="0D038F5D">
            <w:pPr>
              <w:pStyle w:val="12"/>
            </w:pPr>
            <w:r>
              <w:t>50%</w:t>
            </w:r>
          </w:p>
        </w:tc>
        <w:tc>
          <w:tcPr>
            <w:tcW w:w="2551" w:type="dxa"/>
            <w:vAlign w:val="center"/>
          </w:tcPr>
          <w:p w14:paraId="62CA7E25">
            <w:pPr>
              <w:pStyle w:val="12"/>
            </w:pPr>
            <w:r>
              <w:t>50%</w:t>
            </w:r>
          </w:p>
        </w:tc>
        <w:tc>
          <w:tcPr>
            <w:tcW w:w="3544" w:type="dxa"/>
            <w:gridSpan w:val="2"/>
            <w:vAlign w:val="center"/>
          </w:tcPr>
          <w:p w14:paraId="055C9978">
            <w:pPr>
              <w:pStyle w:val="12"/>
            </w:pPr>
            <w:r>
              <w:t>100%</w:t>
            </w:r>
          </w:p>
        </w:tc>
      </w:tr>
      <w:tr w14:paraId="4F883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A2963B0">
            <w:pPr>
              <w:pStyle w:val="11"/>
            </w:pPr>
            <w:r>
              <w:t>绩效目标</w:t>
            </w:r>
          </w:p>
        </w:tc>
        <w:tc>
          <w:tcPr>
            <w:tcW w:w="14033" w:type="dxa"/>
            <w:gridSpan w:val="6"/>
            <w:vAlign w:val="center"/>
          </w:tcPr>
          <w:p w14:paraId="1DA211C5">
            <w:pPr>
              <w:pStyle w:val="13"/>
            </w:pPr>
            <w:r>
              <w:t>1.省级普高三免资金预算安排6万元，用于减免贫困生书费学费住宿费后弥补公用经费不足。</w:t>
            </w:r>
          </w:p>
        </w:tc>
      </w:tr>
    </w:tbl>
    <w:p w14:paraId="6416B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79"/>
        <w:gridCol w:w="1185"/>
        <w:gridCol w:w="3866"/>
      </w:tblGrid>
      <w:tr w14:paraId="36AD5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F94AB">
            <w:pPr>
              <w:pStyle w:val="11"/>
            </w:pPr>
            <w:r>
              <w:t>一级指标</w:t>
            </w:r>
          </w:p>
        </w:tc>
        <w:tc>
          <w:tcPr>
            <w:tcW w:w="2268" w:type="dxa"/>
            <w:vAlign w:val="center"/>
          </w:tcPr>
          <w:p w14:paraId="2C76430F">
            <w:pPr>
              <w:pStyle w:val="11"/>
            </w:pPr>
            <w:r>
              <w:t>二级指标</w:t>
            </w:r>
          </w:p>
        </w:tc>
        <w:tc>
          <w:tcPr>
            <w:tcW w:w="2835" w:type="dxa"/>
            <w:vAlign w:val="center"/>
          </w:tcPr>
          <w:p w14:paraId="014523F1">
            <w:pPr>
              <w:pStyle w:val="11"/>
            </w:pPr>
            <w:r>
              <w:t>三级指标</w:t>
            </w:r>
          </w:p>
        </w:tc>
        <w:tc>
          <w:tcPr>
            <w:tcW w:w="3879" w:type="dxa"/>
            <w:vAlign w:val="center"/>
          </w:tcPr>
          <w:p w14:paraId="0978F83B">
            <w:pPr>
              <w:pStyle w:val="11"/>
            </w:pPr>
            <w:r>
              <w:t>绩效指标描述</w:t>
            </w:r>
          </w:p>
        </w:tc>
        <w:tc>
          <w:tcPr>
            <w:tcW w:w="1185" w:type="dxa"/>
            <w:vAlign w:val="center"/>
          </w:tcPr>
          <w:p w14:paraId="3A23D4AE">
            <w:pPr>
              <w:pStyle w:val="11"/>
            </w:pPr>
            <w:r>
              <w:t>指标值</w:t>
            </w:r>
          </w:p>
        </w:tc>
        <w:tc>
          <w:tcPr>
            <w:tcW w:w="3866" w:type="dxa"/>
            <w:vAlign w:val="center"/>
          </w:tcPr>
          <w:p w14:paraId="47CAB26A">
            <w:pPr>
              <w:pStyle w:val="11"/>
            </w:pPr>
            <w:r>
              <w:t>指标值确定依据</w:t>
            </w:r>
          </w:p>
        </w:tc>
      </w:tr>
      <w:tr w14:paraId="60C69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35AE1">
            <w:pPr>
              <w:pStyle w:val="12"/>
            </w:pPr>
            <w:r>
              <w:t>产出指标</w:t>
            </w:r>
          </w:p>
        </w:tc>
        <w:tc>
          <w:tcPr>
            <w:tcW w:w="2268" w:type="dxa"/>
            <w:vAlign w:val="center"/>
          </w:tcPr>
          <w:p w14:paraId="0541D886">
            <w:pPr>
              <w:pStyle w:val="13"/>
            </w:pPr>
            <w:r>
              <w:t>数量指标</w:t>
            </w:r>
          </w:p>
        </w:tc>
        <w:tc>
          <w:tcPr>
            <w:tcW w:w="2835" w:type="dxa"/>
            <w:vAlign w:val="center"/>
          </w:tcPr>
          <w:p w14:paraId="3A004A16">
            <w:pPr>
              <w:pStyle w:val="13"/>
            </w:pPr>
            <w:r>
              <w:t>普通高中享受三免人数</w:t>
            </w:r>
          </w:p>
        </w:tc>
        <w:tc>
          <w:tcPr>
            <w:tcW w:w="3879" w:type="dxa"/>
            <w:vAlign w:val="center"/>
          </w:tcPr>
          <w:p w14:paraId="34B78771">
            <w:pPr>
              <w:pStyle w:val="13"/>
            </w:pPr>
            <w:r>
              <w:t>普通高中享受免学费住宿费书费人数</w:t>
            </w:r>
          </w:p>
        </w:tc>
        <w:tc>
          <w:tcPr>
            <w:tcW w:w="1185" w:type="dxa"/>
            <w:vAlign w:val="center"/>
          </w:tcPr>
          <w:p w14:paraId="2C42EB0D">
            <w:pPr>
              <w:pStyle w:val="13"/>
            </w:pPr>
            <w:r>
              <w:t>47人</w:t>
            </w:r>
          </w:p>
        </w:tc>
        <w:tc>
          <w:tcPr>
            <w:tcW w:w="3866" w:type="dxa"/>
            <w:vAlign w:val="center"/>
          </w:tcPr>
          <w:p w14:paraId="199DAB35">
            <w:pPr>
              <w:pStyle w:val="13"/>
            </w:pPr>
            <w:r>
              <w:t>河北省建档立卡家庭经济困难学生资助管理暂行办法</w:t>
            </w:r>
          </w:p>
        </w:tc>
      </w:tr>
      <w:tr w14:paraId="1C4E6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6CE72"/>
        </w:tc>
        <w:tc>
          <w:tcPr>
            <w:tcW w:w="2268" w:type="dxa"/>
            <w:vAlign w:val="center"/>
          </w:tcPr>
          <w:p w14:paraId="79FB69D7">
            <w:pPr>
              <w:pStyle w:val="13"/>
            </w:pPr>
            <w:r>
              <w:t>质量指标</w:t>
            </w:r>
          </w:p>
        </w:tc>
        <w:tc>
          <w:tcPr>
            <w:tcW w:w="2835" w:type="dxa"/>
            <w:vAlign w:val="center"/>
          </w:tcPr>
          <w:p w14:paraId="799A606B">
            <w:pPr>
              <w:pStyle w:val="13"/>
            </w:pPr>
            <w:r>
              <w:t>完成普高三免资金发放工作</w:t>
            </w:r>
          </w:p>
        </w:tc>
        <w:tc>
          <w:tcPr>
            <w:tcW w:w="3879" w:type="dxa"/>
            <w:vAlign w:val="center"/>
          </w:tcPr>
          <w:p w14:paraId="4C738C92">
            <w:pPr>
              <w:pStyle w:val="13"/>
            </w:pPr>
            <w:r>
              <w:t>普高三免为建档立卡学生</w:t>
            </w:r>
          </w:p>
        </w:tc>
        <w:tc>
          <w:tcPr>
            <w:tcW w:w="1185" w:type="dxa"/>
            <w:vAlign w:val="center"/>
          </w:tcPr>
          <w:p w14:paraId="38A4569F">
            <w:pPr>
              <w:pStyle w:val="13"/>
            </w:pPr>
            <w:r>
              <w:t>≥100%</w:t>
            </w:r>
          </w:p>
        </w:tc>
        <w:tc>
          <w:tcPr>
            <w:tcW w:w="3866" w:type="dxa"/>
            <w:vAlign w:val="center"/>
          </w:tcPr>
          <w:p w14:paraId="6412F6C5">
            <w:pPr>
              <w:pStyle w:val="13"/>
            </w:pPr>
            <w:r>
              <w:t>河北省建档立卡家庭经济困难学生资助管理暂行办法</w:t>
            </w:r>
          </w:p>
        </w:tc>
      </w:tr>
      <w:tr w14:paraId="2A0A4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7FF4B"/>
        </w:tc>
        <w:tc>
          <w:tcPr>
            <w:tcW w:w="2268" w:type="dxa"/>
            <w:vAlign w:val="center"/>
          </w:tcPr>
          <w:p w14:paraId="43961458">
            <w:pPr>
              <w:pStyle w:val="13"/>
            </w:pPr>
            <w:r>
              <w:t>时效指标</w:t>
            </w:r>
          </w:p>
        </w:tc>
        <w:tc>
          <w:tcPr>
            <w:tcW w:w="2835" w:type="dxa"/>
            <w:vAlign w:val="center"/>
          </w:tcPr>
          <w:p w14:paraId="5793097F">
            <w:pPr>
              <w:pStyle w:val="13"/>
            </w:pPr>
            <w:r>
              <w:t>补助资金及时足额发放率</w:t>
            </w:r>
          </w:p>
        </w:tc>
        <w:tc>
          <w:tcPr>
            <w:tcW w:w="3879" w:type="dxa"/>
            <w:vAlign w:val="center"/>
          </w:tcPr>
          <w:p w14:paraId="7D0B9E98">
            <w:pPr>
              <w:pStyle w:val="13"/>
            </w:pPr>
            <w:r>
              <w:t>补助资金及时足额到位率</w:t>
            </w:r>
          </w:p>
        </w:tc>
        <w:tc>
          <w:tcPr>
            <w:tcW w:w="1185" w:type="dxa"/>
            <w:vAlign w:val="center"/>
          </w:tcPr>
          <w:p w14:paraId="25A07FFB">
            <w:pPr>
              <w:pStyle w:val="13"/>
            </w:pPr>
            <w:r>
              <w:t>≥100%</w:t>
            </w:r>
          </w:p>
        </w:tc>
        <w:tc>
          <w:tcPr>
            <w:tcW w:w="3866" w:type="dxa"/>
            <w:vAlign w:val="center"/>
          </w:tcPr>
          <w:p w14:paraId="25207FA7">
            <w:pPr>
              <w:pStyle w:val="13"/>
            </w:pPr>
            <w:r>
              <w:t>河北省建档立卡家庭经济困难学生资助管理暂行办法</w:t>
            </w:r>
          </w:p>
        </w:tc>
      </w:tr>
      <w:tr w14:paraId="4F24D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F7018"/>
        </w:tc>
        <w:tc>
          <w:tcPr>
            <w:tcW w:w="2268" w:type="dxa"/>
            <w:vAlign w:val="center"/>
          </w:tcPr>
          <w:p w14:paraId="15236EFA">
            <w:pPr>
              <w:pStyle w:val="13"/>
            </w:pPr>
            <w:r>
              <w:t>成本指标</w:t>
            </w:r>
          </w:p>
        </w:tc>
        <w:tc>
          <w:tcPr>
            <w:tcW w:w="2835" w:type="dxa"/>
            <w:vAlign w:val="center"/>
          </w:tcPr>
          <w:p w14:paraId="342DD053">
            <w:pPr>
              <w:pStyle w:val="13"/>
            </w:pPr>
            <w:r>
              <w:t>免学费标准</w:t>
            </w:r>
          </w:p>
        </w:tc>
        <w:tc>
          <w:tcPr>
            <w:tcW w:w="3879" w:type="dxa"/>
            <w:vAlign w:val="center"/>
          </w:tcPr>
          <w:p w14:paraId="47E50F23">
            <w:pPr>
              <w:pStyle w:val="13"/>
            </w:pPr>
            <w:r>
              <w:t>普高免学费住宿费书费2800元</w:t>
            </w:r>
          </w:p>
        </w:tc>
        <w:tc>
          <w:tcPr>
            <w:tcW w:w="1185" w:type="dxa"/>
            <w:vAlign w:val="center"/>
          </w:tcPr>
          <w:p w14:paraId="3C5A7AB4">
            <w:pPr>
              <w:pStyle w:val="13"/>
            </w:pPr>
            <w:r>
              <w:t>2800元/生/年</w:t>
            </w:r>
          </w:p>
        </w:tc>
        <w:tc>
          <w:tcPr>
            <w:tcW w:w="3866" w:type="dxa"/>
            <w:vAlign w:val="center"/>
          </w:tcPr>
          <w:p w14:paraId="1DC3904F">
            <w:pPr>
              <w:pStyle w:val="13"/>
            </w:pPr>
            <w:r>
              <w:t>河北省建档立卡家庭经济困难学生资助管理暂行办法</w:t>
            </w:r>
          </w:p>
        </w:tc>
      </w:tr>
      <w:tr w14:paraId="6929A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5DFAB">
            <w:pPr>
              <w:pStyle w:val="12"/>
            </w:pPr>
            <w:r>
              <w:t>效益指标</w:t>
            </w:r>
          </w:p>
        </w:tc>
        <w:tc>
          <w:tcPr>
            <w:tcW w:w="2268" w:type="dxa"/>
            <w:vAlign w:val="center"/>
          </w:tcPr>
          <w:p w14:paraId="5CCF8F3F">
            <w:pPr>
              <w:pStyle w:val="13"/>
            </w:pPr>
            <w:r>
              <w:t>社会效益指标</w:t>
            </w:r>
          </w:p>
        </w:tc>
        <w:tc>
          <w:tcPr>
            <w:tcW w:w="2835" w:type="dxa"/>
            <w:vAlign w:val="center"/>
          </w:tcPr>
          <w:p w14:paraId="534F2614">
            <w:pPr>
              <w:pStyle w:val="13"/>
            </w:pPr>
            <w:r>
              <w:t>减轻家庭负担</w:t>
            </w:r>
          </w:p>
        </w:tc>
        <w:tc>
          <w:tcPr>
            <w:tcW w:w="3879" w:type="dxa"/>
            <w:vAlign w:val="center"/>
          </w:tcPr>
          <w:p w14:paraId="5830CE0C">
            <w:pPr>
              <w:pStyle w:val="13"/>
            </w:pPr>
            <w:r>
              <w:t>减轻建档立卡家庭学生家长经济负担</w:t>
            </w:r>
          </w:p>
        </w:tc>
        <w:tc>
          <w:tcPr>
            <w:tcW w:w="1185" w:type="dxa"/>
            <w:vAlign w:val="center"/>
          </w:tcPr>
          <w:p w14:paraId="050FABF9">
            <w:pPr>
              <w:pStyle w:val="13"/>
            </w:pPr>
            <w:r>
              <w:t>≥100%</w:t>
            </w:r>
          </w:p>
        </w:tc>
        <w:tc>
          <w:tcPr>
            <w:tcW w:w="3866" w:type="dxa"/>
            <w:vAlign w:val="center"/>
          </w:tcPr>
          <w:p w14:paraId="78BCC03D">
            <w:pPr>
              <w:pStyle w:val="13"/>
            </w:pPr>
            <w:r>
              <w:t>隆财【2017】26号</w:t>
            </w:r>
          </w:p>
        </w:tc>
      </w:tr>
      <w:tr w14:paraId="440E6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98F61"/>
        </w:tc>
        <w:tc>
          <w:tcPr>
            <w:tcW w:w="2268" w:type="dxa"/>
            <w:vAlign w:val="center"/>
          </w:tcPr>
          <w:p w14:paraId="620BE058">
            <w:pPr>
              <w:pStyle w:val="13"/>
            </w:pPr>
            <w:r>
              <w:t>可持续影响指标</w:t>
            </w:r>
          </w:p>
        </w:tc>
        <w:tc>
          <w:tcPr>
            <w:tcW w:w="2835" w:type="dxa"/>
            <w:vAlign w:val="center"/>
          </w:tcPr>
          <w:p w14:paraId="7B238F6C">
            <w:pPr>
              <w:pStyle w:val="13"/>
            </w:pPr>
            <w:r>
              <w:t>高中运转</w:t>
            </w:r>
          </w:p>
        </w:tc>
        <w:tc>
          <w:tcPr>
            <w:tcW w:w="3879" w:type="dxa"/>
            <w:vAlign w:val="center"/>
          </w:tcPr>
          <w:p w14:paraId="3EE1187B">
            <w:pPr>
              <w:pStyle w:val="13"/>
            </w:pPr>
            <w:r>
              <w:t>高中生受教育年限</w:t>
            </w:r>
          </w:p>
        </w:tc>
        <w:tc>
          <w:tcPr>
            <w:tcW w:w="1185" w:type="dxa"/>
            <w:vAlign w:val="center"/>
          </w:tcPr>
          <w:p w14:paraId="51FDC702">
            <w:pPr>
              <w:pStyle w:val="13"/>
            </w:pPr>
            <w:r>
              <w:t>3年</w:t>
            </w:r>
          </w:p>
        </w:tc>
        <w:tc>
          <w:tcPr>
            <w:tcW w:w="3866" w:type="dxa"/>
            <w:vAlign w:val="center"/>
          </w:tcPr>
          <w:p w14:paraId="519FF208">
            <w:pPr>
              <w:pStyle w:val="13"/>
            </w:pPr>
            <w:r>
              <w:t>河北省建档立卡家庭经济困难学生资助管理暂行办法</w:t>
            </w:r>
          </w:p>
        </w:tc>
      </w:tr>
      <w:tr w14:paraId="06B83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316650">
            <w:pPr>
              <w:pStyle w:val="12"/>
            </w:pPr>
            <w:r>
              <w:t>满意度指标</w:t>
            </w:r>
          </w:p>
        </w:tc>
        <w:tc>
          <w:tcPr>
            <w:tcW w:w="2268" w:type="dxa"/>
            <w:vAlign w:val="center"/>
          </w:tcPr>
          <w:p w14:paraId="0DBDAE77">
            <w:pPr>
              <w:pStyle w:val="13"/>
            </w:pPr>
            <w:r>
              <w:t>服务对象满意度指标</w:t>
            </w:r>
          </w:p>
        </w:tc>
        <w:tc>
          <w:tcPr>
            <w:tcW w:w="2835" w:type="dxa"/>
            <w:vAlign w:val="center"/>
          </w:tcPr>
          <w:p w14:paraId="37B7A5D7">
            <w:pPr>
              <w:pStyle w:val="13"/>
            </w:pPr>
            <w:r>
              <w:t>提升幸福指数</w:t>
            </w:r>
          </w:p>
        </w:tc>
        <w:tc>
          <w:tcPr>
            <w:tcW w:w="3879" w:type="dxa"/>
            <w:vAlign w:val="center"/>
          </w:tcPr>
          <w:p w14:paraId="6E3E2B04">
            <w:pPr>
              <w:pStyle w:val="13"/>
            </w:pPr>
            <w:r>
              <w:t>提升贫困家庭学生的幸福指数学生家长满意</w:t>
            </w:r>
          </w:p>
        </w:tc>
        <w:tc>
          <w:tcPr>
            <w:tcW w:w="1185" w:type="dxa"/>
            <w:vAlign w:val="center"/>
          </w:tcPr>
          <w:p w14:paraId="022A74BA">
            <w:pPr>
              <w:pStyle w:val="13"/>
            </w:pPr>
            <w:r>
              <w:t>≥95%</w:t>
            </w:r>
          </w:p>
        </w:tc>
        <w:tc>
          <w:tcPr>
            <w:tcW w:w="3866" w:type="dxa"/>
            <w:vAlign w:val="center"/>
          </w:tcPr>
          <w:p w14:paraId="0B57CA59">
            <w:pPr>
              <w:pStyle w:val="13"/>
            </w:pPr>
            <w:r>
              <w:t>河北省建档立卡家庭经济困难学生资助管理暂行办法</w:t>
            </w:r>
          </w:p>
        </w:tc>
      </w:tr>
    </w:tbl>
    <w:p w14:paraId="20F6DB6B">
      <w:pPr>
        <w:sectPr>
          <w:pgSz w:w="16840" w:h="11900" w:orient="landscape"/>
          <w:pgMar w:top="1361" w:right="1020" w:bottom="1134" w:left="1020" w:header="720" w:footer="720" w:gutter="0"/>
          <w:cols w:space="720" w:num="1"/>
        </w:sectPr>
      </w:pPr>
    </w:p>
    <w:p w14:paraId="4EADFECD">
      <w:pPr>
        <w:spacing w:before="0" w:after="0"/>
        <w:ind w:firstLine="560"/>
        <w:jc w:val="left"/>
        <w:outlineLvl w:val="9"/>
      </w:pPr>
      <w:r>
        <w:rPr>
          <w:rFonts w:ascii="方正仿宋_GBK" w:hAnsi="方正仿宋_GBK" w:eastAsia="方正仿宋_GBK" w:cs="方正仿宋_GBK"/>
          <w:b/>
          <w:color w:val="000000"/>
          <w:sz w:val="28"/>
        </w:rPr>
        <w:t>13、冀财教[2024]137号/省级/2025年普通高中资金/普通高中助学金（职教高中）绩效目标表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6C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27BF7">
            <w:pPr>
              <w:pStyle w:val="14"/>
            </w:pPr>
            <w:r>
              <w:t>单位：万元</w:t>
            </w:r>
          </w:p>
        </w:tc>
      </w:tr>
      <w:tr w14:paraId="48C46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2430995">
            <w:pPr>
              <w:pStyle w:val="11"/>
            </w:pPr>
            <w:r>
              <w:t>项目编码</w:t>
            </w:r>
          </w:p>
        </w:tc>
        <w:tc>
          <w:tcPr>
            <w:tcW w:w="5103" w:type="dxa"/>
            <w:gridSpan w:val="2"/>
            <w:vAlign w:val="center"/>
          </w:tcPr>
          <w:p w14:paraId="5A55BA7B">
            <w:pPr>
              <w:pStyle w:val="13"/>
            </w:pPr>
            <w:r>
              <w:t>13052525P00001210023E</w:t>
            </w:r>
          </w:p>
        </w:tc>
        <w:tc>
          <w:tcPr>
            <w:tcW w:w="2835" w:type="dxa"/>
            <w:vAlign w:val="center"/>
          </w:tcPr>
          <w:p w14:paraId="19B0785A">
            <w:pPr>
              <w:pStyle w:val="11"/>
            </w:pPr>
            <w:r>
              <w:t>项目名称</w:t>
            </w:r>
          </w:p>
        </w:tc>
        <w:tc>
          <w:tcPr>
            <w:tcW w:w="6095" w:type="dxa"/>
            <w:gridSpan w:val="3"/>
            <w:vAlign w:val="center"/>
          </w:tcPr>
          <w:p w14:paraId="699A3B28">
            <w:pPr>
              <w:pStyle w:val="13"/>
            </w:pPr>
            <w:r>
              <w:t>冀财教[2024]137号/省级/2025年普通高中资金/普通高中助学金（职教高中）</w:t>
            </w:r>
            <w:r>
              <w:tab/>
            </w:r>
            <w:r>
              <w:tab/>
            </w:r>
            <w:r>
              <w:tab/>
            </w:r>
          </w:p>
        </w:tc>
      </w:tr>
      <w:tr w14:paraId="4DB42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B2698">
            <w:pPr>
              <w:pStyle w:val="11"/>
            </w:pPr>
            <w:r>
              <w:t>预算规模及资金用途</w:t>
            </w:r>
          </w:p>
        </w:tc>
        <w:tc>
          <w:tcPr>
            <w:tcW w:w="2268" w:type="dxa"/>
            <w:vAlign w:val="center"/>
          </w:tcPr>
          <w:p w14:paraId="3D349F31">
            <w:pPr>
              <w:pStyle w:val="11"/>
            </w:pPr>
            <w:r>
              <w:t>预算数</w:t>
            </w:r>
          </w:p>
        </w:tc>
        <w:tc>
          <w:tcPr>
            <w:tcW w:w="2835" w:type="dxa"/>
            <w:vAlign w:val="center"/>
          </w:tcPr>
          <w:p w14:paraId="292B9F82">
            <w:pPr>
              <w:pStyle w:val="13"/>
            </w:pPr>
            <w:r>
              <w:t>7.00</w:t>
            </w:r>
          </w:p>
        </w:tc>
        <w:tc>
          <w:tcPr>
            <w:tcW w:w="2835" w:type="dxa"/>
            <w:vAlign w:val="center"/>
          </w:tcPr>
          <w:p w14:paraId="60873F98">
            <w:pPr>
              <w:pStyle w:val="11"/>
            </w:pPr>
            <w:r>
              <w:t>其中：财政    资金</w:t>
            </w:r>
          </w:p>
        </w:tc>
        <w:tc>
          <w:tcPr>
            <w:tcW w:w="2551" w:type="dxa"/>
            <w:vAlign w:val="center"/>
          </w:tcPr>
          <w:p w14:paraId="7CB61C7A">
            <w:pPr>
              <w:pStyle w:val="13"/>
            </w:pPr>
            <w:r>
              <w:t>7.00</w:t>
            </w:r>
          </w:p>
        </w:tc>
        <w:tc>
          <w:tcPr>
            <w:tcW w:w="2268" w:type="dxa"/>
            <w:vAlign w:val="center"/>
          </w:tcPr>
          <w:p w14:paraId="11062A6C">
            <w:pPr>
              <w:pStyle w:val="11"/>
            </w:pPr>
            <w:r>
              <w:t>其他资金</w:t>
            </w:r>
          </w:p>
        </w:tc>
        <w:tc>
          <w:tcPr>
            <w:tcW w:w="1276" w:type="dxa"/>
            <w:vAlign w:val="center"/>
          </w:tcPr>
          <w:p w14:paraId="203F4990">
            <w:pPr>
              <w:pStyle w:val="13"/>
            </w:pPr>
            <w:r>
              <w:t xml:space="preserve"> </w:t>
            </w:r>
          </w:p>
        </w:tc>
      </w:tr>
      <w:tr w14:paraId="365D6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11437D"/>
        </w:tc>
        <w:tc>
          <w:tcPr>
            <w:tcW w:w="14033" w:type="dxa"/>
            <w:gridSpan w:val="6"/>
            <w:vAlign w:val="center"/>
          </w:tcPr>
          <w:p w14:paraId="23EF5301">
            <w:pPr>
              <w:pStyle w:val="13"/>
            </w:pPr>
            <w:r>
              <w:t>2025年预算安排省级普高助学金7万元，用于帮助贫困学生完成学业.</w:t>
            </w:r>
          </w:p>
        </w:tc>
      </w:tr>
      <w:tr w14:paraId="7DE14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93F2E">
            <w:pPr>
              <w:pStyle w:val="11"/>
            </w:pPr>
            <w:r>
              <w:t>资金支出计划（%）</w:t>
            </w:r>
          </w:p>
        </w:tc>
        <w:tc>
          <w:tcPr>
            <w:tcW w:w="5103" w:type="dxa"/>
            <w:gridSpan w:val="2"/>
            <w:vAlign w:val="center"/>
          </w:tcPr>
          <w:p w14:paraId="1FDE0ACE">
            <w:pPr>
              <w:pStyle w:val="11"/>
            </w:pPr>
            <w:r>
              <w:t>3月底</w:t>
            </w:r>
          </w:p>
        </w:tc>
        <w:tc>
          <w:tcPr>
            <w:tcW w:w="2835" w:type="dxa"/>
            <w:vAlign w:val="center"/>
          </w:tcPr>
          <w:p w14:paraId="67D048FA">
            <w:pPr>
              <w:pStyle w:val="11"/>
            </w:pPr>
            <w:r>
              <w:t>6月底</w:t>
            </w:r>
          </w:p>
        </w:tc>
        <w:tc>
          <w:tcPr>
            <w:tcW w:w="2551" w:type="dxa"/>
            <w:vAlign w:val="center"/>
          </w:tcPr>
          <w:p w14:paraId="551A1255">
            <w:pPr>
              <w:pStyle w:val="11"/>
            </w:pPr>
            <w:r>
              <w:t>10月底</w:t>
            </w:r>
          </w:p>
        </w:tc>
        <w:tc>
          <w:tcPr>
            <w:tcW w:w="3544" w:type="dxa"/>
            <w:gridSpan w:val="2"/>
            <w:vAlign w:val="center"/>
          </w:tcPr>
          <w:p w14:paraId="40217E96">
            <w:pPr>
              <w:pStyle w:val="11"/>
            </w:pPr>
            <w:r>
              <w:t>12月底</w:t>
            </w:r>
          </w:p>
        </w:tc>
      </w:tr>
      <w:tr w14:paraId="655A79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0938A"/>
        </w:tc>
        <w:tc>
          <w:tcPr>
            <w:tcW w:w="5103" w:type="dxa"/>
            <w:gridSpan w:val="2"/>
            <w:vAlign w:val="center"/>
          </w:tcPr>
          <w:p w14:paraId="4AA166A5">
            <w:pPr>
              <w:pStyle w:val="12"/>
            </w:pPr>
            <w:r>
              <w:t xml:space="preserve"> </w:t>
            </w:r>
          </w:p>
        </w:tc>
        <w:tc>
          <w:tcPr>
            <w:tcW w:w="2835" w:type="dxa"/>
            <w:vAlign w:val="center"/>
          </w:tcPr>
          <w:p w14:paraId="34C030CC">
            <w:pPr>
              <w:pStyle w:val="12"/>
            </w:pPr>
            <w:r>
              <w:t>50%</w:t>
            </w:r>
          </w:p>
        </w:tc>
        <w:tc>
          <w:tcPr>
            <w:tcW w:w="2551" w:type="dxa"/>
            <w:vAlign w:val="center"/>
          </w:tcPr>
          <w:p w14:paraId="39D90C6D">
            <w:pPr>
              <w:pStyle w:val="12"/>
            </w:pPr>
            <w:r>
              <w:t>50%</w:t>
            </w:r>
          </w:p>
        </w:tc>
        <w:tc>
          <w:tcPr>
            <w:tcW w:w="3544" w:type="dxa"/>
            <w:gridSpan w:val="2"/>
            <w:vAlign w:val="center"/>
          </w:tcPr>
          <w:p w14:paraId="371D7862">
            <w:pPr>
              <w:pStyle w:val="12"/>
            </w:pPr>
            <w:r>
              <w:t>100%</w:t>
            </w:r>
          </w:p>
        </w:tc>
      </w:tr>
      <w:tr w14:paraId="376D3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98B35B">
            <w:pPr>
              <w:pStyle w:val="11"/>
            </w:pPr>
            <w:r>
              <w:t>绩效目标</w:t>
            </w:r>
          </w:p>
        </w:tc>
        <w:tc>
          <w:tcPr>
            <w:tcW w:w="14033" w:type="dxa"/>
            <w:gridSpan w:val="6"/>
            <w:vAlign w:val="center"/>
          </w:tcPr>
          <w:p w14:paraId="5054991C">
            <w:pPr>
              <w:pStyle w:val="13"/>
            </w:pPr>
            <w:r>
              <w:t>1.2025年预算安排省级普高助学金7万元，用于帮助贫困学生完成学业.</w:t>
            </w:r>
          </w:p>
        </w:tc>
      </w:tr>
    </w:tbl>
    <w:p w14:paraId="62BE9F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59"/>
        <w:gridCol w:w="1305"/>
        <w:gridCol w:w="4166"/>
      </w:tblGrid>
      <w:tr w14:paraId="3C51B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AF1F5">
            <w:pPr>
              <w:pStyle w:val="11"/>
            </w:pPr>
            <w:r>
              <w:t>一级指标</w:t>
            </w:r>
          </w:p>
        </w:tc>
        <w:tc>
          <w:tcPr>
            <w:tcW w:w="2268" w:type="dxa"/>
            <w:vAlign w:val="center"/>
          </w:tcPr>
          <w:p w14:paraId="26870585">
            <w:pPr>
              <w:pStyle w:val="11"/>
            </w:pPr>
            <w:r>
              <w:t>二级指标</w:t>
            </w:r>
          </w:p>
        </w:tc>
        <w:tc>
          <w:tcPr>
            <w:tcW w:w="2835" w:type="dxa"/>
            <w:vAlign w:val="center"/>
          </w:tcPr>
          <w:p w14:paraId="52D3090F">
            <w:pPr>
              <w:pStyle w:val="11"/>
            </w:pPr>
            <w:r>
              <w:t>三级指标</w:t>
            </w:r>
          </w:p>
        </w:tc>
        <w:tc>
          <w:tcPr>
            <w:tcW w:w="3459" w:type="dxa"/>
            <w:vAlign w:val="center"/>
          </w:tcPr>
          <w:p w14:paraId="764E561B">
            <w:pPr>
              <w:pStyle w:val="11"/>
            </w:pPr>
            <w:r>
              <w:t>绩效指标描述</w:t>
            </w:r>
          </w:p>
        </w:tc>
        <w:tc>
          <w:tcPr>
            <w:tcW w:w="1305" w:type="dxa"/>
            <w:vAlign w:val="center"/>
          </w:tcPr>
          <w:p w14:paraId="3CFD7E7C">
            <w:pPr>
              <w:pStyle w:val="11"/>
            </w:pPr>
            <w:r>
              <w:t>指标值</w:t>
            </w:r>
          </w:p>
        </w:tc>
        <w:tc>
          <w:tcPr>
            <w:tcW w:w="4166" w:type="dxa"/>
            <w:vAlign w:val="center"/>
          </w:tcPr>
          <w:p w14:paraId="72F97F4E">
            <w:pPr>
              <w:pStyle w:val="11"/>
            </w:pPr>
            <w:r>
              <w:t>指标值确定依据</w:t>
            </w:r>
          </w:p>
        </w:tc>
      </w:tr>
      <w:tr w14:paraId="27510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CEA69">
            <w:pPr>
              <w:pStyle w:val="12"/>
            </w:pPr>
            <w:r>
              <w:t>产出指标</w:t>
            </w:r>
          </w:p>
        </w:tc>
        <w:tc>
          <w:tcPr>
            <w:tcW w:w="2268" w:type="dxa"/>
            <w:vAlign w:val="center"/>
          </w:tcPr>
          <w:p w14:paraId="639AAC99">
            <w:pPr>
              <w:pStyle w:val="13"/>
            </w:pPr>
            <w:r>
              <w:t>数量指标</w:t>
            </w:r>
          </w:p>
        </w:tc>
        <w:tc>
          <w:tcPr>
            <w:tcW w:w="2835" w:type="dxa"/>
            <w:vAlign w:val="center"/>
          </w:tcPr>
          <w:p w14:paraId="129CE254">
            <w:pPr>
              <w:pStyle w:val="13"/>
            </w:pPr>
            <w:r>
              <w:t>普通高中享受人数</w:t>
            </w:r>
          </w:p>
        </w:tc>
        <w:tc>
          <w:tcPr>
            <w:tcW w:w="3459" w:type="dxa"/>
            <w:vAlign w:val="center"/>
          </w:tcPr>
          <w:p w14:paraId="4D35E5F3">
            <w:pPr>
              <w:pStyle w:val="13"/>
            </w:pPr>
            <w:r>
              <w:t>普通高中享受助学金人数</w:t>
            </w:r>
          </w:p>
        </w:tc>
        <w:tc>
          <w:tcPr>
            <w:tcW w:w="1305" w:type="dxa"/>
            <w:vAlign w:val="center"/>
          </w:tcPr>
          <w:p w14:paraId="38D6968B">
            <w:pPr>
              <w:pStyle w:val="13"/>
            </w:pPr>
            <w:r>
              <w:t>≥153人</w:t>
            </w:r>
          </w:p>
        </w:tc>
        <w:tc>
          <w:tcPr>
            <w:tcW w:w="4166" w:type="dxa"/>
            <w:vAlign w:val="center"/>
          </w:tcPr>
          <w:p w14:paraId="26AF1924">
            <w:pPr>
              <w:pStyle w:val="13"/>
            </w:pPr>
            <w:r>
              <w:t>【隆尧县普通高中高中国家助学金管理办法的通知】隆财【2018】105号，</w:t>
            </w:r>
          </w:p>
        </w:tc>
      </w:tr>
      <w:tr w14:paraId="3EA7B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A0A07"/>
        </w:tc>
        <w:tc>
          <w:tcPr>
            <w:tcW w:w="2268" w:type="dxa"/>
            <w:vAlign w:val="center"/>
          </w:tcPr>
          <w:p w14:paraId="15E9DE5B">
            <w:pPr>
              <w:pStyle w:val="13"/>
            </w:pPr>
            <w:r>
              <w:t>质量指标</w:t>
            </w:r>
          </w:p>
        </w:tc>
        <w:tc>
          <w:tcPr>
            <w:tcW w:w="2835" w:type="dxa"/>
            <w:vAlign w:val="center"/>
          </w:tcPr>
          <w:p w14:paraId="344CD237">
            <w:pPr>
              <w:pStyle w:val="13"/>
            </w:pPr>
            <w:r>
              <w:t>完成助学金发放工作</w:t>
            </w:r>
          </w:p>
        </w:tc>
        <w:tc>
          <w:tcPr>
            <w:tcW w:w="3459" w:type="dxa"/>
            <w:vAlign w:val="center"/>
          </w:tcPr>
          <w:p w14:paraId="1028ED77">
            <w:pPr>
              <w:pStyle w:val="13"/>
            </w:pPr>
            <w:r>
              <w:t>普高助学金享受比例</w:t>
            </w:r>
          </w:p>
        </w:tc>
        <w:tc>
          <w:tcPr>
            <w:tcW w:w="1305" w:type="dxa"/>
            <w:vAlign w:val="center"/>
          </w:tcPr>
          <w:p w14:paraId="5B5DB630">
            <w:pPr>
              <w:pStyle w:val="13"/>
            </w:pPr>
            <w:r>
              <w:t>≥18%</w:t>
            </w:r>
          </w:p>
        </w:tc>
        <w:tc>
          <w:tcPr>
            <w:tcW w:w="4166" w:type="dxa"/>
            <w:vAlign w:val="center"/>
          </w:tcPr>
          <w:p w14:paraId="733E4231">
            <w:pPr>
              <w:pStyle w:val="13"/>
            </w:pPr>
            <w:r>
              <w:t>【隆尧县普通高中高中国家助学金管理办法的通知】隆财【2018】105号，</w:t>
            </w:r>
          </w:p>
        </w:tc>
      </w:tr>
      <w:tr w14:paraId="024EF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7ECDB"/>
        </w:tc>
        <w:tc>
          <w:tcPr>
            <w:tcW w:w="2268" w:type="dxa"/>
            <w:vAlign w:val="center"/>
          </w:tcPr>
          <w:p w14:paraId="27A6496C">
            <w:pPr>
              <w:pStyle w:val="13"/>
            </w:pPr>
            <w:r>
              <w:t>时效指标</w:t>
            </w:r>
          </w:p>
        </w:tc>
        <w:tc>
          <w:tcPr>
            <w:tcW w:w="2835" w:type="dxa"/>
            <w:vAlign w:val="center"/>
          </w:tcPr>
          <w:p w14:paraId="4C8401EC">
            <w:pPr>
              <w:pStyle w:val="13"/>
            </w:pPr>
            <w:r>
              <w:t>助学金及时足额发放</w:t>
            </w:r>
          </w:p>
        </w:tc>
        <w:tc>
          <w:tcPr>
            <w:tcW w:w="3459" w:type="dxa"/>
            <w:vAlign w:val="center"/>
          </w:tcPr>
          <w:p w14:paraId="5DF4C088">
            <w:pPr>
              <w:pStyle w:val="13"/>
            </w:pPr>
            <w:r>
              <w:t>助学金及时足额发放率</w:t>
            </w:r>
          </w:p>
        </w:tc>
        <w:tc>
          <w:tcPr>
            <w:tcW w:w="1305" w:type="dxa"/>
            <w:vAlign w:val="center"/>
          </w:tcPr>
          <w:p w14:paraId="60263987">
            <w:pPr>
              <w:pStyle w:val="13"/>
            </w:pPr>
            <w:r>
              <w:t>≥100%</w:t>
            </w:r>
          </w:p>
        </w:tc>
        <w:tc>
          <w:tcPr>
            <w:tcW w:w="4166" w:type="dxa"/>
            <w:vAlign w:val="center"/>
          </w:tcPr>
          <w:p w14:paraId="3C9707EF">
            <w:pPr>
              <w:pStyle w:val="13"/>
            </w:pPr>
            <w:r>
              <w:t>【隆尧县普通高中高中国家助学金管理办法的通知】隆财【2018】105号，</w:t>
            </w:r>
          </w:p>
        </w:tc>
      </w:tr>
      <w:tr w14:paraId="65F55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4A887"/>
        </w:tc>
        <w:tc>
          <w:tcPr>
            <w:tcW w:w="2268" w:type="dxa"/>
            <w:vAlign w:val="center"/>
          </w:tcPr>
          <w:p w14:paraId="78485A35">
            <w:pPr>
              <w:pStyle w:val="13"/>
            </w:pPr>
            <w:r>
              <w:t>成本指标</w:t>
            </w:r>
          </w:p>
        </w:tc>
        <w:tc>
          <w:tcPr>
            <w:tcW w:w="2835" w:type="dxa"/>
            <w:vAlign w:val="center"/>
          </w:tcPr>
          <w:p w14:paraId="64F24675">
            <w:pPr>
              <w:pStyle w:val="13"/>
            </w:pPr>
            <w:r>
              <w:t>普通高中助学金标准</w:t>
            </w:r>
          </w:p>
        </w:tc>
        <w:tc>
          <w:tcPr>
            <w:tcW w:w="3459" w:type="dxa"/>
            <w:vAlign w:val="center"/>
          </w:tcPr>
          <w:p w14:paraId="64E75B2C">
            <w:pPr>
              <w:pStyle w:val="13"/>
            </w:pPr>
            <w:r>
              <w:t>普通高中助学金资助标准2300/生/年</w:t>
            </w:r>
          </w:p>
        </w:tc>
        <w:tc>
          <w:tcPr>
            <w:tcW w:w="1305" w:type="dxa"/>
            <w:vAlign w:val="center"/>
          </w:tcPr>
          <w:p w14:paraId="18C03F91">
            <w:pPr>
              <w:pStyle w:val="13"/>
            </w:pPr>
            <w:r>
              <w:t>2300元</w:t>
            </w:r>
          </w:p>
        </w:tc>
        <w:tc>
          <w:tcPr>
            <w:tcW w:w="4166" w:type="dxa"/>
            <w:vAlign w:val="center"/>
          </w:tcPr>
          <w:p w14:paraId="101DEDBB">
            <w:pPr>
              <w:pStyle w:val="13"/>
            </w:pPr>
            <w:r>
              <w:t>【隆尧县普通高中高中国家助学金管理办法的通知】隆财【2018】105号，</w:t>
            </w:r>
          </w:p>
        </w:tc>
      </w:tr>
      <w:tr w14:paraId="107F2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1002C">
            <w:pPr>
              <w:pStyle w:val="12"/>
            </w:pPr>
            <w:r>
              <w:t>效益指标</w:t>
            </w:r>
          </w:p>
        </w:tc>
        <w:tc>
          <w:tcPr>
            <w:tcW w:w="2268" w:type="dxa"/>
            <w:vAlign w:val="center"/>
          </w:tcPr>
          <w:p w14:paraId="1724294E">
            <w:pPr>
              <w:pStyle w:val="13"/>
            </w:pPr>
            <w:r>
              <w:t>社会效益指标</w:t>
            </w:r>
          </w:p>
        </w:tc>
        <w:tc>
          <w:tcPr>
            <w:tcW w:w="2835" w:type="dxa"/>
            <w:vAlign w:val="center"/>
          </w:tcPr>
          <w:p w14:paraId="082E0F42">
            <w:pPr>
              <w:pStyle w:val="13"/>
            </w:pPr>
            <w:r>
              <w:t>增加贫困家庭经济收入</w:t>
            </w:r>
          </w:p>
        </w:tc>
        <w:tc>
          <w:tcPr>
            <w:tcW w:w="3459" w:type="dxa"/>
            <w:vAlign w:val="center"/>
          </w:tcPr>
          <w:p w14:paraId="57C2B1A4">
            <w:pPr>
              <w:pStyle w:val="13"/>
            </w:pPr>
            <w:r>
              <w:t>增加贫困家庭经济收入</w:t>
            </w:r>
          </w:p>
        </w:tc>
        <w:tc>
          <w:tcPr>
            <w:tcW w:w="1305" w:type="dxa"/>
            <w:vAlign w:val="center"/>
          </w:tcPr>
          <w:p w14:paraId="6E2024DB">
            <w:pPr>
              <w:pStyle w:val="13"/>
            </w:pPr>
            <w:r>
              <w:t>≥100%</w:t>
            </w:r>
          </w:p>
        </w:tc>
        <w:tc>
          <w:tcPr>
            <w:tcW w:w="4166" w:type="dxa"/>
            <w:vAlign w:val="center"/>
          </w:tcPr>
          <w:p w14:paraId="6EE814E9">
            <w:pPr>
              <w:pStyle w:val="13"/>
            </w:pPr>
            <w:r>
              <w:t>【隆尧县普通高中高中国家助学金管理办法的通知】隆财【2018】105号，</w:t>
            </w:r>
          </w:p>
        </w:tc>
      </w:tr>
      <w:tr w14:paraId="6BB7C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FCC4A"/>
        </w:tc>
        <w:tc>
          <w:tcPr>
            <w:tcW w:w="2268" w:type="dxa"/>
            <w:vAlign w:val="center"/>
          </w:tcPr>
          <w:p w14:paraId="30498FA1">
            <w:pPr>
              <w:pStyle w:val="13"/>
            </w:pPr>
            <w:r>
              <w:t>可持续影响指标</w:t>
            </w:r>
          </w:p>
        </w:tc>
        <w:tc>
          <w:tcPr>
            <w:tcW w:w="2835" w:type="dxa"/>
            <w:vAlign w:val="center"/>
          </w:tcPr>
          <w:p w14:paraId="0DBD79DD">
            <w:pPr>
              <w:pStyle w:val="13"/>
            </w:pPr>
            <w:r>
              <w:t>高中运转</w:t>
            </w:r>
          </w:p>
        </w:tc>
        <w:tc>
          <w:tcPr>
            <w:tcW w:w="3459" w:type="dxa"/>
            <w:vAlign w:val="center"/>
          </w:tcPr>
          <w:p w14:paraId="5EB199A2">
            <w:pPr>
              <w:pStyle w:val="13"/>
            </w:pPr>
            <w:r>
              <w:t>高中学生受教育年限</w:t>
            </w:r>
          </w:p>
        </w:tc>
        <w:tc>
          <w:tcPr>
            <w:tcW w:w="1305" w:type="dxa"/>
            <w:vAlign w:val="center"/>
          </w:tcPr>
          <w:p w14:paraId="05E9D7FF">
            <w:pPr>
              <w:pStyle w:val="13"/>
            </w:pPr>
            <w:r>
              <w:t>3年</w:t>
            </w:r>
          </w:p>
        </w:tc>
        <w:tc>
          <w:tcPr>
            <w:tcW w:w="4166" w:type="dxa"/>
            <w:vAlign w:val="center"/>
          </w:tcPr>
          <w:p w14:paraId="3D42BD11">
            <w:pPr>
              <w:pStyle w:val="13"/>
            </w:pPr>
            <w:r>
              <w:t>【隆尧县普通高中高中国家助学金管理办法的通知】隆财【2018】105号，</w:t>
            </w:r>
          </w:p>
        </w:tc>
      </w:tr>
      <w:tr w14:paraId="3EF30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C626AF">
            <w:pPr>
              <w:pStyle w:val="12"/>
            </w:pPr>
            <w:r>
              <w:t>满意度指标</w:t>
            </w:r>
          </w:p>
        </w:tc>
        <w:tc>
          <w:tcPr>
            <w:tcW w:w="2268" w:type="dxa"/>
            <w:vAlign w:val="center"/>
          </w:tcPr>
          <w:p w14:paraId="283197DB">
            <w:pPr>
              <w:pStyle w:val="13"/>
            </w:pPr>
            <w:r>
              <w:t>服务对象满意度指标</w:t>
            </w:r>
          </w:p>
        </w:tc>
        <w:tc>
          <w:tcPr>
            <w:tcW w:w="2835" w:type="dxa"/>
            <w:vAlign w:val="center"/>
          </w:tcPr>
          <w:p w14:paraId="030D602A">
            <w:pPr>
              <w:pStyle w:val="13"/>
            </w:pPr>
            <w:r>
              <w:t>学生家长</w:t>
            </w:r>
          </w:p>
        </w:tc>
        <w:tc>
          <w:tcPr>
            <w:tcW w:w="3459" w:type="dxa"/>
            <w:vAlign w:val="center"/>
          </w:tcPr>
          <w:p w14:paraId="42CD9BF3">
            <w:pPr>
              <w:pStyle w:val="13"/>
            </w:pPr>
            <w:r>
              <w:t>学生家长满意度</w:t>
            </w:r>
          </w:p>
        </w:tc>
        <w:tc>
          <w:tcPr>
            <w:tcW w:w="1305" w:type="dxa"/>
            <w:vAlign w:val="center"/>
          </w:tcPr>
          <w:p w14:paraId="16B8D4EC">
            <w:pPr>
              <w:pStyle w:val="13"/>
            </w:pPr>
            <w:r>
              <w:t>≥95%</w:t>
            </w:r>
          </w:p>
        </w:tc>
        <w:tc>
          <w:tcPr>
            <w:tcW w:w="4166" w:type="dxa"/>
            <w:vAlign w:val="center"/>
          </w:tcPr>
          <w:p w14:paraId="4E247B8B">
            <w:pPr>
              <w:pStyle w:val="13"/>
            </w:pPr>
            <w:r>
              <w:t>座谈会、调查问卷等</w:t>
            </w:r>
          </w:p>
        </w:tc>
      </w:tr>
    </w:tbl>
    <w:p w14:paraId="2B7A7FED">
      <w:pPr>
        <w:sectPr>
          <w:pgSz w:w="16840" w:h="11900" w:orient="landscape"/>
          <w:pgMar w:top="1361" w:right="1020" w:bottom="1134" w:left="1020" w:header="720" w:footer="720" w:gutter="0"/>
          <w:cols w:space="720" w:num="1"/>
        </w:sectPr>
      </w:pPr>
    </w:p>
    <w:p w14:paraId="387B2245">
      <w:pPr>
        <w:spacing w:before="0" w:after="0"/>
        <w:ind w:firstLine="560"/>
        <w:jc w:val="left"/>
        <w:outlineLvl w:val="9"/>
      </w:pPr>
      <w:r>
        <w:rPr>
          <w:rFonts w:ascii="方正仿宋_GBK" w:hAnsi="方正仿宋_GBK" w:eastAsia="方正仿宋_GBK" w:cs="方正仿宋_GBK"/>
          <w:b/>
          <w:color w:val="000000"/>
          <w:sz w:val="28"/>
        </w:rPr>
        <w:t>14、冀财教[2024]63号/中央/2024年现代职业教育质量提升计划/隆尧县职教中心学生储物柜购置项目绩效目标表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3B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C1E06">
            <w:pPr>
              <w:pStyle w:val="14"/>
            </w:pPr>
            <w:r>
              <w:t>单位：万元</w:t>
            </w:r>
          </w:p>
        </w:tc>
      </w:tr>
      <w:tr w14:paraId="3702A1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7AB853">
            <w:pPr>
              <w:pStyle w:val="11"/>
            </w:pPr>
            <w:r>
              <w:t>项目编码</w:t>
            </w:r>
          </w:p>
        </w:tc>
        <w:tc>
          <w:tcPr>
            <w:tcW w:w="5103" w:type="dxa"/>
            <w:gridSpan w:val="2"/>
            <w:vAlign w:val="center"/>
          </w:tcPr>
          <w:p w14:paraId="470A1953">
            <w:pPr>
              <w:pStyle w:val="13"/>
            </w:pPr>
            <w:r>
              <w:t>13052524P00000611305X</w:t>
            </w:r>
          </w:p>
        </w:tc>
        <w:tc>
          <w:tcPr>
            <w:tcW w:w="2835" w:type="dxa"/>
            <w:vAlign w:val="center"/>
          </w:tcPr>
          <w:p w14:paraId="7DE2CD14">
            <w:pPr>
              <w:pStyle w:val="11"/>
            </w:pPr>
            <w:r>
              <w:t>项目名称</w:t>
            </w:r>
          </w:p>
        </w:tc>
        <w:tc>
          <w:tcPr>
            <w:tcW w:w="6095" w:type="dxa"/>
            <w:gridSpan w:val="3"/>
            <w:vAlign w:val="center"/>
          </w:tcPr>
          <w:p w14:paraId="269F943C">
            <w:pPr>
              <w:pStyle w:val="13"/>
            </w:pPr>
            <w:r>
              <w:t>冀财教[2024]63号/中央/2024年现代职业教育质量提升计划/隆尧县职教中心学生储物柜购置项目</w:t>
            </w:r>
          </w:p>
        </w:tc>
      </w:tr>
      <w:tr w14:paraId="6D2C3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909C1">
            <w:pPr>
              <w:pStyle w:val="11"/>
            </w:pPr>
            <w:r>
              <w:t>预算规模及资金用途</w:t>
            </w:r>
          </w:p>
        </w:tc>
        <w:tc>
          <w:tcPr>
            <w:tcW w:w="2268" w:type="dxa"/>
            <w:vAlign w:val="center"/>
          </w:tcPr>
          <w:p w14:paraId="4E4BD82D">
            <w:pPr>
              <w:pStyle w:val="11"/>
            </w:pPr>
            <w:r>
              <w:t>预算数</w:t>
            </w:r>
          </w:p>
        </w:tc>
        <w:tc>
          <w:tcPr>
            <w:tcW w:w="2835" w:type="dxa"/>
            <w:vAlign w:val="center"/>
          </w:tcPr>
          <w:p w14:paraId="3941F630">
            <w:pPr>
              <w:pStyle w:val="13"/>
            </w:pPr>
            <w:r>
              <w:t>9.93</w:t>
            </w:r>
          </w:p>
        </w:tc>
        <w:tc>
          <w:tcPr>
            <w:tcW w:w="2835" w:type="dxa"/>
            <w:vAlign w:val="center"/>
          </w:tcPr>
          <w:p w14:paraId="7A51AF09">
            <w:pPr>
              <w:pStyle w:val="11"/>
            </w:pPr>
            <w:r>
              <w:t>其中：财政    资金</w:t>
            </w:r>
          </w:p>
        </w:tc>
        <w:tc>
          <w:tcPr>
            <w:tcW w:w="2551" w:type="dxa"/>
            <w:vAlign w:val="center"/>
          </w:tcPr>
          <w:p w14:paraId="2B10CC4A">
            <w:pPr>
              <w:pStyle w:val="13"/>
            </w:pPr>
            <w:r>
              <w:t>9.93</w:t>
            </w:r>
          </w:p>
        </w:tc>
        <w:tc>
          <w:tcPr>
            <w:tcW w:w="2268" w:type="dxa"/>
            <w:vAlign w:val="center"/>
          </w:tcPr>
          <w:p w14:paraId="1ACDEA04">
            <w:pPr>
              <w:pStyle w:val="11"/>
            </w:pPr>
            <w:r>
              <w:t>其他资金</w:t>
            </w:r>
          </w:p>
        </w:tc>
        <w:tc>
          <w:tcPr>
            <w:tcW w:w="1276" w:type="dxa"/>
            <w:vAlign w:val="center"/>
          </w:tcPr>
          <w:p w14:paraId="2EEA0268">
            <w:pPr>
              <w:pStyle w:val="13"/>
            </w:pPr>
            <w:r>
              <w:t xml:space="preserve"> </w:t>
            </w:r>
          </w:p>
        </w:tc>
      </w:tr>
      <w:tr w14:paraId="23DD5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2B0DD4"/>
        </w:tc>
        <w:tc>
          <w:tcPr>
            <w:tcW w:w="14033" w:type="dxa"/>
            <w:gridSpan w:val="6"/>
            <w:vAlign w:val="center"/>
          </w:tcPr>
          <w:p w14:paraId="3837D057">
            <w:pPr>
              <w:pStyle w:val="13"/>
            </w:pPr>
            <w:r>
              <w:t>中央质量提升资金安排9.9320万元，由于购置学生宿舍楼储物柜，改善学生住宿条件，提升办学质量。</w:t>
            </w:r>
          </w:p>
        </w:tc>
      </w:tr>
      <w:tr w14:paraId="621B79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6A5BA">
            <w:pPr>
              <w:pStyle w:val="11"/>
            </w:pPr>
            <w:r>
              <w:t>资金支出计划（%）</w:t>
            </w:r>
          </w:p>
        </w:tc>
        <w:tc>
          <w:tcPr>
            <w:tcW w:w="5103" w:type="dxa"/>
            <w:gridSpan w:val="2"/>
            <w:vAlign w:val="center"/>
          </w:tcPr>
          <w:p w14:paraId="31945196">
            <w:pPr>
              <w:pStyle w:val="11"/>
            </w:pPr>
            <w:r>
              <w:t>3月底</w:t>
            </w:r>
          </w:p>
        </w:tc>
        <w:tc>
          <w:tcPr>
            <w:tcW w:w="2835" w:type="dxa"/>
            <w:vAlign w:val="center"/>
          </w:tcPr>
          <w:p w14:paraId="5CEFBF71">
            <w:pPr>
              <w:pStyle w:val="11"/>
            </w:pPr>
            <w:r>
              <w:t>6月底</w:t>
            </w:r>
          </w:p>
        </w:tc>
        <w:tc>
          <w:tcPr>
            <w:tcW w:w="2551" w:type="dxa"/>
            <w:vAlign w:val="center"/>
          </w:tcPr>
          <w:p w14:paraId="29B8D6CD">
            <w:pPr>
              <w:pStyle w:val="11"/>
            </w:pPr>
            <w:r>
              <w:t>10月底</w:t>
            </w:r>
          </w:p>
        </w:tc>
        <w:tc>
          <w:tcPr>
            <w:tcW w:w="3544" w:type="dxa"/>
            <w:gridSpan w:val="2"/>
            <w:vAlign w:val="center"/>
          </w:tcPr>
          <w:p w14:paraId="23DC633B">
            <w:pPr>
              <w:pStyle w:val="11"/>
            </w:pPr>
            <w:r>
              <w:t>12月底</w:t>
            </w:r>
          </w:p>
        </w:tc>
      </w:tr>
      <w:tr w14:paraId="1DED1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FE63CA"/>
        </w:tc>
        <w:tc>
          <w:tcPr>
            <w:tcW w:w="5103" w:type="dxa"/>
            <w:gridSpan w:val="2"/>
            <w:vAlign w:val="center"/>
          </w:tcPr>
          <w:p w14:paraId="3DA57E8F">
            <w:pPr>
              <w:pStyle w:val="12"/>
            </w:pPr>
            <w:r>
              <w:t xml:space="preserve"> </w:t>
            </w:r>
          </w:p>
        </w:tc>
        <w:tc>
          <w:tcPr>
            <w:tcW w:w="2835" w:type="dxa"/>
            <w:vAlign w:val="center"/>
          </w:tcPr>
          <w:p w14:paraId="7F64B318">
            <w:pPr>
              <w:pStyle w:val="12"/>
            </w:pPr>
            <w:r>
              <w:t>100%</w:t>
            </w:r>
          </w:p>
        </w:tc>
        <w:tc>
          <w:tcPr>
            <w:tcW w:w="2551" w:type="dxa"/>
            <w:vAlign w:val="center"/>
          </w:tcPr>
          <w:p w14:paraId="25917DE9">
            <w:pPr>
              <w:pStyle w:val="12"/>
            </w:pPr>
            <w:r>
              <w:t>100%</w:t>
            </w:r>
          </w:p>
        </w:tc>
        <w:tc>
          <w:tcPr>
            <w:tcW w:w="3544" w:type="dxa"/>
            <w:gridSpan w:val="2"/>
            <w:vAlign w:val="center"/>
          </w:tcPr>
          <w:p w14:paraId="29EC2D02">
            <w:pPr>
              <w:pStyle w:val="12"/>
            </w:pPr>
            <w:r>
              <w:t>100%</w:t>
            </w:r>
          </w:p>
        </w:tc>
      </w:tr>
      <w:tr w14:paraId="7D0CE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6D3AF">
            <w:pPr>
              <w:pStyle w:val="11"/>
            </w:pPr>
            <w:r>
              <w:t>绩效目标</w:t>
            </w:r>
          </w:p>
        </w:tc>
        <w:tc>
          <w:tcPr>
            <w:tcW w:w="14033" w:type="dxa"/>
            <w:gridSpan w:val="6"/>
            <w:vAlign w:val="center"/>
          </w:tcPr>
          <w:p w14:paraId="3BF6DA34">
            <w:pPr>
              <w:pStyle w:val="13"/>
            </w:pPr>
            <w:r>
              <w:t>1.中央质量提升资金安排9.9320万元，由于购置学生宿舍楼储物柜，改善学生住宿条件，提升办学质量。</w:t>
            </w:r>
          </w:p>
        </w:tc>
      </w:tr>
    </w:tbl>
    <w:p w14:paraId="61DEDF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4F43F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23000">
            <w:pPr>
              <w:pStyle w:val="11"/>
            </w:pPr>
            <w:r>
              <w:t>一级指标</w:t>
            </w:r>
          </w:p>
        </w:tc>
        <w:tc>
          <w:tcPr>
            <w:tcW w:w="2268" w:type="dxa"/>
            <w:vAlign w:val="center"/>
          </w:tcPr>
          <w:p w14:paraId="2F0721D3">
            <w:pPr>
              <w:pStyle w:val="11"/>
            </w:pPr>
            <w:r>
              <w:t>二级指标</w:t>
            </w:r>
          </w:p>
        </w:tc>
        <w:tc>
          <w:tcPr>
            <w:tcW w:w="2835" w:type="dxa"/>
            <w:vAlign w:val="center"/>
          </w:tcPr>
          <w:p w14:paraId="40EA661C">
            <w:pPr>
              <w:pStyle w:val="11"/>
            </w:pPr>
            <w:r>
              <w:t>三级指标</w:t>
            </w:r>
          </w:p>
        </w:tc>
        <w:tc>
          <w:tcPr>
            <w:tcW w:w="5386" w:type="dxa"/>
            <w:vAlign w:val="center"/>
          </w:tcPr>
          <w:p w14:paraId="30AFC73D">
            <w:pPr>
              <w:pStyle w:val="11"/>
            </w:pPr>
            <w:r>
              <w:t>绩效指标描述</w:t>
            </w:r>
          </w:p>
        </w:tc>
        <w:tc>
          <w:tcPr>
            <w:tcW w:w="1823" w:type="dxa"/>
            <w:vAlign w:val="center"/>
          </w:tcPr>
          <w:p w14:paraId="12C13411">
            <w:pPr>
              <w:pStyle w:val="11"/>
            </w:pPr>
            <w:r>
              <w:t>指标值</w:t>
            </w:r>
          </w:p>
        </w:tc>
        <w:tc>
          <w:tcPr>
            <w:tcW w:w="1721" w:type="dxa"/>
            <w:vAlign w:val="center"/>
          </w:tcPr>
          <w:p w14:paraId="4A093516">
            <w:pPr>
              <w:pStyle w:val="11"/>
            </w:pPr>
            <w:r>
              <w:t>指标值确定依据</w:t>
            </w:r>
          </w:p>
        </w:tc>
      </w:tr>
      <w:tr w14:paraId="335EB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4DEE5">
            <w:pPr>
              <w:pStyle w:val="12"/>
            </w:pPr>
            <w:r>
              <w:t>产出指标</w:t>
            </w:r>
          </w:p>
        </w:tc>
        <w:tc>
          <w:tcPr>
            <w:tcW w:w="2268" w:type="dxa"/>
            <w:vAlign w:val="center"/>
          </w:tcPr>
          <w:p w14:paraId="3C5A7030">
            <w:pPr>
              <w:pStyle w:val="13"/>
            </w:pPr>
            <w:r>
              <w:t>数量指标</w:t>
            </w:r>
          </w:p>
        </w:tc>
        <w:tc>
          <w:tcPr>
            <w:tcW w:w="2835" w:type="dxa"/>
            <w:vAlign w:val="center"/>
          </w:tcPr>
          <w:p w14:paraId="57B450D5">
            <w:pPr>
              <w:pStyle w:val="13"/>
            </w:pPr>
            <w:r>
              <w:t>购置储物柜个数</w:t>
            </w:r>
          </w:p>
        </w:tc>
        <w:tc>
          <w:tcPr>
            <w:tcW w:w="5386" w:type="dxa"/>
            <w:vAlign w:val="center"/>
          </w:tcPr>
          <w:p w14:paraId="7B4D1746">
            <w:pPr>
              <w:pStyle w:val="13"/>
            </w:pPr>
            <w:r>
              <w:t>购置储物柜个数</w:t>
            </w:r>
          </w:p>
        </w:tc>
        <w:tc>
          <w:tcPr>
            <w:tcW w:w="1823" w:type="dxa"/>
            <w:vAlign w:val="center"/>
          </w:tcPr>
          <w:p w14:paraId="2F235885">
            <w:pPr>
              <w:pStyle w:val="13"/>
            </w:pPr>
            <w:r>
              <w:t>250个</w:t>
            </w:r>
          </w:p>
        </w:tc>
        <w:tc>
          <w:tcPr>
            <w:tcW w:w="1721" w:type="dxa"/>
            <w:vAlign w:val="center"/>
          </w:tcPr>
          <w:p w14:paraId="5D6D4DF3">
            <w:pPr>
              <w:pStyle w:val="13"/>
            </w:pPr>
            <w:r>
              <w:t>冀财教【2024】63号</w:t>
            </w:r>
          </w:p>
        </w:tc>
      </w:tr>
      <w:tr w14:paraId="26872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A2DB8"/>
        </w:tc>
        <w:tc>
          <w:tcPr>
            <w:tcW w:w="2268" w:type="dxa"/>
            <w:vAlign w:val="center"/>
          </w:tcPr>
          <w:p w14:paraId="27F47BA3">
            <w:pPr>
              <w:pStyle w:val="13"/>
            </w:pPr>
            <w:r>
              <w:t>质量指标</w:t>
            </w:r>
          </w:p>
        </w:tc>
        <w:tc>
          <w:tcPr>
            <w:tcW w:w="2835" w:type="dxa"/>
            <w:vAlign w:val="center"/>
          </w:tcPr>
          <w:p w14:paraId="56D21DFF">
            <w:pPr>
              <w:pStyle w:val="13"/>
            </w:pPr>
            <w:r>
              <w:t>购置储物柜质量合格</w:t>
            </w:r>
          </w:p>
        </w:tc>
        <w:tc>
          <w:tcPr>
            <w:tcW w:w="5386" w:type="dxa"/>
            <w:vAlign w:val="center"/>
          </w:tcPr>
          <w:p w14:paraId="03EEF634">
            <w:pPr>
              <w:pStyle w:val="13"/>
            </w:pPr>
            <w:r>
              <w:t>购置储物柜质量合格</w:t>
            </w:r>
          </w:p>
        </w:tc>
        <w:tc>
          <w:tcPr>
            <w:tcW w:w="1823" w:type="dxa"/>
            <w:vAlign w:val="center"/>
          </w:tcPr>
          <w:p w14:paraId="4F265C13">
            <w:pPr>
              <w:pStyle w:val="13"/>
            </w:pPr>
            <w:r>
              <w:t>100%</w:t>
            </w:r>
          </w:p>
        </w:tc>
        <w:tc>
          <w:tcPr>
            <w:tcW w:w="1721" w:type="dxa"/>
            <w:vAlign w:val="center"/>
          </w:tcPr>
          <w:p w14:paraId="6E3432F3">
            <w:pPr>
              <w:pStyle w:val="13"/>
            </w:pPr>
            <w:r>
              <w:t>冀财教【2024】63号</w:t>
            </w:r>
          </w:p>
        </w:tc>
      </w:tr>
      <w:tr w14:paraId="53BAF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D9CD2"/>
        </w:tc>
        <w:tc>
          <w:tcPr>
            <w:tcW w:w="2268" w:type="dxa"/>
            <w:vAlign w:val="center"/>
          </w:tcPr>
          <w:p w14:paraId="48EEB9C9">
            <w:pPr>
              <w:pStyle w:val="13"/>
            </w:pPr>
            <w:r>
              <w:t>时效指标</w:t>
            </w:r>
          </w:p>
        </w:tc>
        <w:tc>
          <w:tcPr>
            <w:tcW w:w="2835" w:type="dxa"/>
            <w:vAlign w:val="center"/>
          </w:tcPr>
          <w:p w14:paraId="1C9E3015">
            <w:pPr>
              <w:pStyle w:val="13"/>
            </w:pPr>
            <w:r>
              <w:t>购置时间2025年1月-12月完成</w:t>
            </w:r>
          </w:p>
        </w:tc>
        <w:tc>
          <w:tcPr>
            <w:tcW w:w="5386" w:type="dxa"/>
            <w:vAlign w:val="center"/>
          </w:tcPr>
          <w:p w14:paraId="52008D96">
            <w:pPr>
              <w:pStyle w:val="13"/>
            </w:pPr>
            <w:r>
              <w:t>购置时间2025年1月-12月完成</w:t>
            </w:r>
          </w:p>
        </w:tc>
        <w:tc>
          <w:tcPr>
            <w:tcW w:w="1823" w:type="dxa"/>
            <w:vAlign w:val="center"/>
          </w:tcPr>
          <w:p w14:paraId="287ADDAA">
            <w:pPr>
              <w:pStyle w:val="13"/>
            </w:pPr>
            <w:r>
              <w:t>100%</w:t>
            </w:r>
          </w:p>
        </w:tc>
        <w:tc>
          <w:tcPr>
            <w:tcW w:w="1721" w:type="dxa"/>
            <w:vAlign w:val="center"/>
          </w:tcPr>
          <w:p w14:paraId="40BB01AF">
            <w:pPr>
              <w:pStyle w:val="13"/>
            </w:pPr>
            <w:r>
              <w:t>冀财教【2024】63号</w:t>
            </w:r>
          </w:p>
        </w:tc>
      </w:tr>
      <w:tr w14:paraId="4BD89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53BD0">
            <w:pPr>
              <w:pStyle w:val="12"/>
            </w:pPr>
            <w:r>
              <w:t>效益指标</w:t>
            </w:r>
          </w:p>
        </w:tc>
        <w:tc>
          <w:tcPr>
            <w:tcW w:w="2268" w:type="dxa"/>
            <w:vAlign w:val="center"/>
          </w:tcPr>
          <w:p w14:paraId="0EEDC4C1">
            <w:pPr>
              <w:pStyle w:val="13"/>
            </w:pPr>
            <w:r>
              <w:t>可持续影响指标</w:t>
            </w:r>
          </w:p>
        </w:tc>
        <w:tc>
          <w:tcPr>
            <w:tcW w:w="2835" w:type="dxa"/>
            <w:vAlign w:val="center"/>
          </w:tcPr>
          <w:p w14:paraId="195EDF11">
            <w:pPr>
              <w:pStyle w:val="13"/>
            </w:pPr>
            <w:r>
              <w:t>改善了办学环境</w:t>
            </w:r>
          </w:p>
        </w:tc>
        <w:tc>
          <w:tcPr>
            <w:tcW w:w="5386" w:type="dxa"/>
            <w:vAlign w:val="center"/>
          </w:tcPr>
          <w:p w14:paraId="1C463D7C">
            <w:pPr>
              <w:pStyle w:val="13"/>
            </w:pPr>
            <w:r>
              <w:t>改善了办学环境</w:t>
            </w:r>
          </w:p>
        </w:tc>
        <w:tc>
          <w:tcPr>
            <w:tcW w:w="1823" w:type="dxa"/>
            <w:vAlign w:val="center"/>
          </w:tcPr>
          <w:p w14:paraId="13102FD0">
            <w:pPr>
              <w:pStyle w:val="13"/>
            </w:pPr>
            <w:r>
              <w:t>≥100%</w:t>
            </w:r>
          </w:p>
        </w:tc>
        <w:tc>
          <w:tcPr>
            <w:tcW w:w="1721" w:type="dxa"/>
            <w:vAlign w:val="center"/>
          </w:tcPr>
          <w:p w14:paraId="55901226">
            <w:pPr>
              <w:pStyle w:val="13"/>
            </w:pPr>
            <w:r>
              <w:t>冀财教【2024】63号</w:t>
            </w:r>
          </w:p>
        </w:tc>
      </w:tr>
      <w:tr w14:paraId="2B181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A91B4"/>
        </w:tc>
        <w:tc>
          <w:tcPr>
            <w:tcW w:w="2268" w:type="dxa"/>
            <w:vAlign w:val="center"/>
          </w:tcPr>
          <w:p w14:paraId="56FDF693">
            <w:pPr>
              <w:pStyle w:val="13"/>
            </w:pPr>
            <w:r>
              <w:t>经济效益指标</w:t>
            </w:r>
          </w:p>
        </w:tc>
        <w:tc>
          <w:tcPr>
            <w:tcW w:w="2835" w:type="dxa"/>
            <w:vAlign w:val="center"/>
          </w:tcPr>
          <w:p w14:paraId="47457EB7">
            <w:pPr>
              <w:pStyle w:val="13"/>
            </w:pPr>
            <w:r>
              <w:t>提升了办学品位</w:t>
            </w:r>
          </w:p>
        </w:tc>
        <w:tc>
          <w:tcPr>
            <w:tcW w:w="5386" w:type="dxa"/>
            <w:vAlign w:val="center"/>
          </w:tcPr>
          <w:p w14:paraId="18E2A42A">
            <w:pPr>
              <w:pStyle w:val="13"/>
            </w:pPr>
            <w:r>
              <w:t>提升了办学品位</w:t>
            </w:r>
          </w:p>
        </w:tc>
        <w:tc>
          <w:tcPr>
            <w:tcW w:w="1823" w:type="dxa"/>
            <w:vAlign w:val="center"/>
          </w:tcPr>
          <w:p w14:paraId="6027C238">
            <w:pPr>
              <w:pStyle w:val="13"/>
            </w:pPr>
            <w:r>
              <w:t>≥100%</w:t>
            </w:r>
          </w:p>
        </w:tc>
        <w:tc>
          <w:tcPr>
            <w:tcW w:w="1721" w:type="dxa"/>
            <w:vAlign w:val="center"/>
          </w:tcPr>
          <w:p w14:paraId="5B8914BC">
            <w:pPr>
              <w:pStyle w:val="13"/>
            </w:pPr>
            <w:r>
              <w:t>冀财教【2024】63号</w:t>
            </w:r>
          </w:p>
        </w:tc>
      </w:tr>
      <w:tr w14:paraId="5ED38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A024FB">
            <w:pPr>
              <w:pStyle w:val="12"/>
            </w:pPr>
            <w:r>
              <w:t>满意度指标</w:t>
            </w:r>
          </w:p>
        </w:tc>
        <w:tc>
          <w:tcPr>
            <w:tcW w:w="2268" w:type="dxa"/>
            <w:vAlign w:val="center"/>
          </w:tcPr>
          <w:p w14:paraId="2E7C4953">
            <w:pPr>
              <w:pStyle w:val="13"/>
            </w:pPr>
            <w:r>
              <w:t>服务对象满意度指标</w:t>
            </w:r>
          </w:p>
        </w:tc>
        <w:tc>
          <w:tcPr>
            <w:tcW w:w="2835" w:type="dxa"/>
            <w:vAlign w:val="center"/>
          </w:tcPr>
          <w:p w14:paraId="1E77A23E">
            <w:pPr>
              <w:pStyle w:val="13"/>
            </w:pPr>
            <w:r>
              <w:t>教师学生家长满意度</w:t>
            </w:r>
          </w:p>
        </w:tc>
        <w:tc>
          <w:tcPr>
            <w:tcW w:w="5386" w:type="dxa"/>
            <w:vAlign w:val="center"/>
          </w:tcPr>
          <w:p w14:paraId="38B86ED9">
            <w:pPr>
              <w:pStyle w:val="13"/>
            </w:pPr>
            <w:r>
              <w:t>教师学生家长满意度</w:t>
            </w:r>
          </w:p>
        </w:tc>
        <w:tc>
          <w:tcPr>
            <w:tcW w:w="1823" w:type="dxa"/>
            <w:vAlign w:val="center"/>
          </w:tcPr>
          <w:p w14:paraId="7989AE5C">
            <w:pPr>
              <w:pStyle w:val="13"/>
            </w:pPr>
            <w:r>
              <w:t>≥98%</w:t>
            </w:r>
          </w:p>
        </w:tc>
        <w:tc>
          <w:tcPr>
            <w:tcW w:w="1721" w:type="dxa"/>
            <w:vAlign w:val="center"/>
          </w:tcPr>
          <w:p w14:paraId="30B44476">
            <w:pPr>
              <w:pStyle w:val="13"/>
            </w:pPr>
            <w:r>
              <w:t>冀财教【2024】63号</w:t>
            </w:r>
          </w:p>
        </w:tc>
      </w:tr>
    </w:tbl>
    <w:p w14:paraId="7180BA61">
      <w:pPr>
        <w:sectPr>
          <w:pgSz w:w="16840" w:h="11900" w:orient="landscape"/>
          <w:pgMar w:top="1361" w:right="1020" w:bottom="1134" w:left="1020" w:header="720" w:footer="720" w:gutter="0"/>
          <w:cols w:space="720" w:num="1"/>
        </w:sectPr>
      </w:pPr>
    </w:p>
    <w:p w14:paraId="4BB7F507">
      <w:pPr>
        <w:spacing w:before="0" w:after="0"/>
        <w:ind w:firstLine="560"/>
        <w:jc w:val="left"/>
        <w:outlineLvl w:val="9"/>
      </w:pPr>
      <w:r>
        <w:rPr>
          <w:rFonts w:ascii="方正仿宋_GBK" w:hAnsi="方正仿宋_GBK" w:eastAsia="方正仿宋_GBK" w:cs="方正仿宋_GBK"/>
          <w:b/>
          <w:color w:val="000000"/>
          <w:sz w:val="28"/>
        </w:rPr>
        <w:t>15、普通高中公用经费/职教高中绩效目标表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E1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C84EA">
            <w:pPr>
              <w:pStyle w:val="14"/>
            </w:pPr>
            <w:r>
              <w:t>单位：万元</w:t>
            </w:r>
          </w:p>
        </w:tc>
      </w:tr>
      <w:tr w14:paraId="62ED4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EA8E8E">
            <w:pPr>
              <w:pStyle w:val="11"/>
            </w:pPr>
            <w:r>
              <w:t>项目编码</w:t>
            </w:r>
          </w:p>
        </w:tc>
        <w:tc>
          <w:tcPr>
            <w:tcW w:w="5103" w:type="dxa"/>
            <w:gridSpan w:val="2"/>
            <w:vAlign w:val="center"/>
          </w:tcPr>
          <w:p w14:paraId="4EC59ED7">
            <w:pPr>
              <w:pStyle w:val="13"/>
            </w:pPr>
            <w:r>
              <w:t>13052525P00875810002W</w:t>
            </w:r>
          </w:p>
        </w:tc>
        <w:tc>
          <w:tcPr>
            <w:tcW w:w="2835" w:type="dxa"/>
            <w:vAlign w:val="center"/>
          </w:tcPr>
          <w:p w14:paraId="0BCE98CB">
            <w:pPr>
              <w:pStyle w:val="11"/>
            </w:pPr>
            <w:r>
              <w:t>项目名称</w:t>
            </w:r>
          </w:p>
        </w:tc>
        <w:tc>
          <w:tcPr>
            <w:tcW w:w="6095" w:type="dxa"/>
            <w:gridSpan w:val="3"/>
            <w:vAlign w:val="center"/>
          </w:tcPr>
          <w:p w14:paraId="520466B1">
            <w:pPr>
              <w:pStyle w:val="13"/>
            </w:pPr>
            <w:r>
              <w:t>普通高中公用经费/职教高中</w:t>
            </w:r>
          </w:p>
        </w:tc>
      </w:tr>
      <w:tr w14:paraId="3B7AD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9794E">
            <w:pPr>
              <w:pStyle w:val="11"/>
            </w:pPr>
            <w:r>
              <w:t>预算规模及资金用途</w:t>
            </w:r>
          </w:p>
        </w:tc>
        <w:tc>
          <w:tcPr>
            <w:tcW w:w="2268" w:type="dxa"/>
            <w:vAlign w:val="center"/>
          </w:tcPr>
          <w:p w14:paraId="70CB1BC7">
            <w:pPr>
              <w:pStyle w:val="11"/>
            </w:pPr>
            <w:r>
              <w:t>预算数</w:t>
            </w:r>
          </w:p>
        </w:tc>
        <w:tc>
          <w:tcPr>
            <w:tcW w:w="2835" w:type="dxa"/>
            <w:vAlign w:val="center"/>
          </w:tcPr>
          <w:p w14:paraId="2238343E">
            <w:pPr>
              <w:pStyle w:val="13"/>
            </w:pPr>
            <w:r>
              <w:t>89.50</w:t>
            </w:r>
          </w:p>
        </w:tc>
        <w:tc>
          <w:tcPr>
            <w:tcW w:w="2835" w:type="dxa"/>
            <w:vAlign w:val="center"/>
          </w:tcPr>
          <w:p w14:paraId="18A75696">
            <w:pPr>
              <w:pStyle w:val="11"/>
            </w:pPr>
            <w:r>
              <w:t>其中：财政    资金</w:t>
            </w:r>
          </w:p>
        </w:tc>
        <w:tc>
          <w:tcPr>
            <w:tcW w:w="2551" w:type="dxa"/>
            <w:vAlign w:val="center"/>
          </w:tcPr>
          <w:p w14:paraId="07275DA0">
            <w:pPr>
              <w:pStyle w:val="13"/>
            </w:pPr>
            <w:r>
              <w:t>89.50</w:t>
            </w:r>
          </w:p>
        </w:tc>
        <w:tc>
          <w:tcPr>
            <w:tcW w:w="2268" w:type="dxa"/>
            <w:vAlign w:val="center"/>
          </w:tcPr>
          <w:p w14:paraId="1569FB8D">
            <w:pPr>
              <w:pStyle w:val="11"/>
            </w:pPr>
            <w:r>
              <w:t>其他资金</w:t>
            </w:r>
          </w:p>
        </w:tc>
        <w:tc>
          <w:tcPr>
            <w:tcW w:w="1276" w:type="dxa"/>
            <w:vAlign w:val="center"/>
          </w:tcPr>
          <w:p w14:paraId="16DCE1F3">
            <w:pPr>
              <w:pStyle w:val="13"/>
            </w:pPr>
            <w:r>
              <w:t xml:space="preserve"> </w:t>
            </w:r>
          </w:p>
        </w:tc>
      </w:tr>
      <w:tr w14:paraId="1E489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E44830"/>
        </w:tc>
        <w:tc>
          <w:tcPr>
            <w:tcW w:w="14033" w:type="dxa"/>
            <w:gridSpan w:val="6"/>
            <w:vAlign w:val="center"/>
          </w:tcPr>
          <w:p w14:paraId="3B313A19">
            <w:pPr>
              <w:pStyle w:val="13"/>
            </w:pPr>
            <w:r>
              <w:t>普通高中公用经费安排89.5万元，用于公用经费支出，保障正常的教学任务。</w:t>
            </w:r>
          </w:p>
        </w:tc>
      </w:tr>
      <w:tr w14:paraId="6DCFD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D614B14">
            <w:pPr>
              <w:pStyle w:val="11"/>
            </w:pPr>
            <w:r>
              <w:t>资金支出计划（%）</w:t>
            </w:r>
          </w:p>
        </w:tc>
        <w:tc>
          <w:tcPr>
            <w:tcW w:w="5103" w:type="dxa"/>
            <w:gridSpan w:val="2"/>
            <w:vAlign w:val="center"/>
          </w:tcPr>
          <w:p w14:paraId="01FBEF56">
            <w:pPr>
              <w:pStyle w:val="11"/>
            </w:pPr>
            <w:r>
              <w:t>3月底</w:t>
            </w:r>
          </w:p>
        </w:tc>
        <w:tc>
          <w:tcPr>
            <w:tcW w:w="2835" w:type="dxa"/>
            <w:vAlign w:val="center"/>
          </w:tcPr>
          <w:p w14:paraId="1C16C88D">
            <w:pPr>
              <w:pStyle w:val="11"/>
            </w:pPr>
            <w:r>
              <w:t>6月底</w:t>
            </w:r>
          </w:p>
        </w:tc>
        <w:tc>
          <w:tcPr>
            <w:tcW w:w="2551" w:type="dxa"/>
            <w:vAlign w:val="center"/>
          </w:tcPr>
          <w:p w14:paraId="56BDE553">
            <w:pPr>
              <w:pStyle w:val="11"/>
            </w:pPr>
            <w:r>
              <w:t>10月底</w:t>
            </w:r>
          </w:p>
        </w:tc>
        <w:tc>
          <w:tcPr>
            <w:tcW w:w="3544" w:type="dxa"/>
            <w:gridSpan w:val="2"/>
            <w:vAlign w:val="center"/>
          </w:tcPr>
          <w:p w14:paraId="255D45A8">
            <w:pPr>
              <w:pStyle w:val="11"/>
            </w:pPr>
            <w:r>
              <w:t>12月底</w:t>
            </w:r>
          </w:p>
        </w:tc>
      </w:tr>
      <w:tr w14:paraId="6B346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4CC1440E"/>
        </w:tc>
        <w:tc>
          <w:tcPr>
            <w:tcW w:w="5103" w:type="dxa"/>
            <w:gridSpan w:val="2"/>
            <w:vAlign w:val="center"/>
          </w:tcPr>
          <w:p w14:paraId="4CC07DFD">
            <w:pPr>
              <w:pStyle w:val="12"/>
            </w:pPr>
            <w:r>
              <w:t xml:space="preserve"> </w:t>
            </w:r>
          </w:p>
        </w:tc>
        <w:tc>
          <w:tcPr>
            <w:tcW w:w="2835" w:type="dxa"/>
            <w:vAlign w:val="center"/>
          </w:tcPr>
          <w:p w14:paraId="4F5A172C">
            <w:pPr>
              <w:pStyle w:val="12"/>
            </w:pPr>
            <w:r>
              <w:t>50%</w:t>
            </w:r>
          </w:p>
        </w:tc>
        <w:tc>
          <w:tcPr>
            <w:tcW w:w="2551" w:type="dxa"/>
            <w:vAlign w:val="center"/>
          </w:tcPr>
          <w:p w14:paraId="277A97BA">
            <w:pPr>
              <w:pStyle w:val="12"/>
            </w:pPr>
            <w:r>
              <w:t>75%</w:t>
            </w:r>
          </w:p>
        </w:tc>
        <w:tc>
          <w:tcPr>
            <w:tcW w:w="3544" w:type="dxa"/>
            <w:gridSpan w:val="2"/>
            <w:vAlign w:val="center"/>
          </w:tcPr>
          <w:p w14:paraId="4D30C53F">
            <w:pPr>
              <w:pStyle w:val="12"/>
            </w:pPr>
            <w:r>
              <w:t>100%</w:t>
            </w:r>
          </w:p>
        </w:tc>
      </w:tr>
      <w:tr w14:paraId="2A00D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8EE800B">
            <w:pPr>
              <w:pStyle w:val="11"/>
            </w:pPr>
            <w:r>
              <w:t>绩效目标</w:t>
            </w:r>
          </w:p>
        </w:tc>
        <w:tc>
          <w:tcPr>
            <w:tcW w:w="14033" w:type="dxa"/>
            <w:gridSpan w:val="6"/>
            <w:vAlign w:val="center"/>
          </w:tcPr>
          <w:p w14:paraId="40F242AE">
            <w:pPr>
              <w:pStyle w:val="13"/>
            </w:pPr>
            <w:r>
              <w:t>1.普通高中公用经费安排89.5万元，用于公用经费支出，保障正常的教学任务。</w:t>
            </w:r>
          </w:p>
        </w:tc>
      </w:tr>
    </w:tbl>
    <w:p w14:paraId="11479B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33"/>
        <w:gridCol w:w="1811"/>
      </w:tblGrid>
      <w:tr w14:paraId="1F8B0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15BFC">
            <w:pPr>
              <w:pStyle w:val="11"/>
            </w:pPr>
            <w:r>
              <w:t>一级指标</w:t>
            </w:r>
          </w:p>
        </w:tc>
        <w:tc>
          <w:tcPr>
            <w:tcW w:w="2268" w:type="dxa"/>
            <w:vAlign w:val="center"/>
          </w:tcPr>
          <w:p w14:paraId="0681DCAF">
            <w:pPr>
              <w:pStyle w:val="11"/>
            </w:pPr>
            <w:r>
              <w:t>二级指标</w:t>
            </w:r>
          </w:p>
        </w:tc>
        <w:tc>
          <w:tcPr>
            <w:tcW w:w="2835" w:type="dxa"/>
            <w:vAlign w:val="center"/>
          </w:tcPr>
          <w:p w14:paraId="53BDDA51">
            <w:pPr>
              <w:pStyle w:val="11"/>
            </w:pPr>
            <w:r>
              <w:t>三级指标</w:t>
            </w:r>
          </w:p>
        </w:tc>
        <w:tc>
          <w:tcPr>
            <w:tcW w:w="5386" w:type="dxa"/>
            <w:vAlign w:val="center"/>
          </w:tcPr>
          <w:p w14:paraId="46D75F9F">
            <w:pPr>
              <w:pStyle w:val="11"/>
            </w:pPr>
            <w:r>
              <w:t>绩效指标描述</w:t>
            </w:r>
          </w:p>
        </w:tc>
        <w:tc>
          <w:tcPr>
            <w:tcW w:w="1733" w:type="dxa"/>
            <w:vAlign w:val="center"/>
          </w:tcPr>
          <w:p w14:paraId="6CFB6DA3">
            <w:pPr>
              <w:pStyle w:val="11"/>
            </w:pPr>
            <w:r>
              <w:t>指标值</w:t>
            </w:r>
          </w:p>
        </w:tc>
        <w:tc>
          <w:tcPr>
            <w:tcW w:w="1811" w:type="dxa"/>
            <w:vAlign w:val="center"/>
          </w:tcPr>
          <w:p w14:paraId="55C854A1">
            <w:pPr>
              <w:pStyle w:val="11"/>
            </w:pPr>
            <w:r>
              <w:t>指标值确定依据</w:t>
            </w:r>
          </w:p>
        </w:tc>
      </w:tr>
      <w:tr w14:paraId="4E95F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0B4DF855">
            <w:pPr>
              <w:pStyle w:val="12"/>
            </w:pPr>
            <w:r>
              <w:t>产出指标</w:t>
            </w:r>
          </w:p>
        </w:tc>
        <w:tc>
          <w:tcPr>
            <w:tcW w:w="2268" w:type="dxa"/>
            <w:vAlign w:val="center"/>
          </w:tcPr>
          <w:p w14:paraId="32F35C21">
            <w:pPr>
              <w:pStyle w:val="13"/>
            </w:pPr>
            <w:r>
              <w:t>数量指标</w:t>
            </w:r>
          </w:p>
        </w:tc>
        <w:tc>
          <w:tcPr>
            <w:tcW w:w="2835" w:type="dxa"/>
            <w:vAlign w:val="center"/>
          </w:tcPr>
          <w:p w14:paraId="21572449">
            <w:pPr>
              <w:pStyle w:val="13"/>
            </w:pPr>
            <w:r>
              <w:t>普通高中在校学生人数</w:t>
            </w:r>
          </w:p>
        </w:tc>
        <w:tc>
          <w:tcPr>
            <w:tcW w:w="5386" w:type="dxa"/>
            <w:vAlign w:val="center"/>
          </w:tcPr>
          <w:p w14:paraId="4E5C2BE1">
            <w:pPr>
              <w:pStyle w:val="13"/>
            </w:pPr>
            <w:r>
              <w:t>普通高中在校学生人数</w:t>
            </w:r>
          </w:p>
        </w:tc>
        <w:tc>
          <w:tcPr>
            <w:tcW w:w="1733" w:type="dxa"/>
            <w:vAlign w:val="center"/>
          </w:tcPr>
          <w:p w14:paraId="3872A5D0">
            <w:pPr>
              <w:pStyle w:val="13"/>
            </w:pPr>
            <w:r>
              <w:t>≥895人</w:t>
            </w:r>
          </w:p>
        </w:tc>
        <w:tc>
          <w:tcPr>
            <w:tcW w:w="1811" w:type="dxa"/>
            <w:vAlign w:val="center"/>
          </w:tcPr>
          <w:p w14:paraId="15CBDE28">
            <w:pPr>
              <w:pStyle w:val="13"/>
            </w:pPr>
            <w:r>
              <w:t>普通高中管理办法</w:t>
            </w:r>
          </w:p>
        </w:tc>
      </w:tr>
      <w:tr w14:paraId="20BEC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AC44C"/>
        </w:tc>
        <w:tc>
          <w:tcPr>
            <w:tcW w:w="2268" w:type="dxa"/>
            <w:vAlign w:val="center"/>
          </w:tcPr>
          <w:p w14:paraId="7432951D">
            <w:pPr>
              <w:pStyle w:val="13"/>
            </w:pPr>
            <w:r>
              <w:t>质量指标</w:t>
            </w:r>
          </w:p>
        </w:tc>
        <w:tc>
          <w:tcPr>
            <w:tcW w:w="2835" w:type="dxa"/>
            <w:vAlign w:val="center"/>
          </w:tcPr>
          <w:p w14:paraId="2889DB9B">
            <w:pPr>
              <w:pStyle w:val="13"/>
            </w:pPr>
            <w:r>
              <w:t>提升办学质量</w:t>
            </w:r>
          </w:p>
        </w:tc>
        <w:tc>
          <w:tcPr>
            <w:tcW w:w="5386" w:type="dxa"/>
            <w:vAlign w:val="center"/>
          </w:tcPr>
          <w:p w14:paraId="35EA3200">
            <w:pPr>
              <w:pStyle w:val="13"/>
            </w:pPr>
            <w:r>
              <w:t>按学校实际工作运转，按季度拨付</w:t>
            </w:r>
          </w:p>
        </w:tc>
        <w:tc>
          <w:tcPr>
            <w:tcW w:w="1733" w:type="dxa"/>
            <w:vAlign w:val="center"/>
          </w:tcPr>
          <w:p w14:paraId="6B884A7A">
            <w:pPr>
              <w:pStyle w:val="13"/>
            </w:pPr>
            <w:r>
              <w:t>≥100%</w:t>
            </w:r>
          </w:p>
        </w:tc>
        <w:tc>
          <w:tcPr>
            <w:tcW w:w="1811" w:type="dxa"/>
            <w:vAlign w:val="center"/>
          </w:tcPr>
          <w:p w14:paraId="082AD2F6">
            <w:pPr>
              <w:pStyle w:val="13"/>
            </w:pPr>
            <w:r>
              <w:t>普通高中管理办法</w:t>
            </w:r>
          </w:p>
        </w:tc>
      </w:tr>
      <w:tr w14:paraId="13446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27205"/>
        </w:tc>
        <w:tc>
          <w:tcPr>
            <w:tcW w:w="2268" w:type="dxa"/>
            <w:vAlign w:val="center"/>
          </w:tcPr>
          <w:p w14:paraId="6411BE44">
            <w:pPr>
              <w:pStyle w:val="13"/>
            </w:pPr>
            <w:r>
              <w:t>时效指标</w:t>
            </w:r>
          </w:p>
        </w:tc>
        <w:tc>
          <w:tcPr>
            <w:tcW w:w="2835" w:type="dxa"/>
            <w:vAlign w:val="center"/>
          </w:tcPr>
          <w:p w14:paraId="59DE40B1">
            <w:pPr>
              <w:pStyle w:val="13"/>
            </w:pPr>
            <w:r>
              <w:t>资金支付率</w:t>
            </w:r>
          </w:p>
        </w:tc>
        <w:tc>
          <w:tcPr>
            <w:tcW w:w="5386" w:type="dxa"/>
            <w:vAlign w:val="center"/>
          </w:tcPr>
          <w:p w14:paraId="2F5F71C8">
            <w:pPr>
              <w:pStyle w:val="13"/>
            </w:pPr>
            <w:r>
              <w:t>按照序时进度完成资金支付</w:t>
            </w:r>
          </w:p>
        </w:tc>
        <w:tc>
          <w:tcPr>
            <w:tcW w:w="1733" w:type="dxa"/>
            <w:vAlign w:val="center"/>
          </w:tcPr>
          <w:p w14:paraId="1CD6B182">
            <w:pPr>
              <w:pStyle w:val="13"/>
            </w:pPr>
            <w:r>
              <w:t>≥100%</w:t>
            </w:r>
          </w:p>
        </w:tc>
        <w:tc>
          <w:tcPr>
            <w:tcW w:w="1811" w:type="dxa"/>
            <w:vAlign w:val="center"/>
          </w:tcPr>
          <w:p w14:paraId="7DB3B2A8">
            <w:pPr>
              <w:pStyle w:val="13"/>
            </w:pPr>
            <w:r>
              <w:t>普通高中管理办法</w:t>
            </w:r>
          </w:p>
        </w:tc>
      </w:tr>
      <w:tr w14:paraId="29A45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15545"/>
        </w:tc>
        <w:tc>
          <w:tcPr>
            <w:tcW w:w="2268" w:type="dxa"/>
            <w:vAlign w:val="center"/>
          </w:tcPr>
          <w:p w14:paraId="1E46C5CA">
            <w:pPr>
              <w:pStyle w:val="13"/>
            </w:pPr>
            <w:r>
              <w:t>成本指标</w:t>
            </w:r>
          </w:p>
        </w:tc>
        <w:tc>
          <w:tcPr>
            <w:tcW w:w="2835" w:type="dxa"/>
            <w:vAlign w:val="center"/>
          </w:tcPr>
          <w:p w14:paraId="061972B4">
            <w:pPr>
              <w:pStyle w:val="13"/>
            </w:pPr>
            <w:r>
              <w:t>生均拨款标准</w:t>
            </w:r>
          </w:p>
        </w:tc>
        <w:tc>
          <w:tcPr>
            <w:tcW w:w="5386" w:type="dxa"/>
            <w:vAlign w:val="center"/>
          </w:tcPr>
          <w:p w14:paraId="1DC0D24D">
            <w:pPr>
              <w:pStyle w:val="13"/>
            </w:pPr>
            <w:r>
              <w:t>1000元/生/年</w:t>
            </w:r>
          </w:p>
        </w:tc>
        <w:tc>
          <w:tcPr>
            <w:tcW w:w="1733" w:type="dxa"/>
            <w:vAlign w:val="center"/>
          </w:tcPr>
          <w:p w14:paraId="17983CA7">
            <w:pPr>
              <w:pStyle w:val="13"/>
            </w:pPr>
            <w:r>
              <w:t>≥1000元/生/年</w:t>
            </w:r>
          </w:p>
        </w:tc>
        <w:tc>
          <w:tcPr>
            <w:tcW w:w="1811" w:type="dxa"/>
            <w:vAlign w:val="center"/>
          </w:tcPr>
          <w:p w14:paraId="2FC4A66B">
            <w:pPr>
              <w:pStyle w:val="13"/>
            </w:pPr>
            <w:r>
              <w:t>冀教基【2019】30号</w:t>
            </w:r>
          </w:p>
        </w:tc>
      </w:tr>
      <w:tr w14:paraId="3C1E1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4815A">
            <w:pPr>
              <w:pStyle w:val="12"/>
            </w:pPr>
            <w:r>
              <w:t>效益指标</w:t>
            </w:r>
          </w:p>
        </w:tc>
        <w:tc>
          <w:tcPr>
            <w:tcW w:w="2268" w:type="dxa"/>
            <w:vAlign w:val="center"/>
          </w:tcPr>
          <w:p w14:paraId="1A5E0656">
            <w:pPr>
              <w:pStyle w:val="13"/>
            </w:pPr>
            <w:r>
              <w:t>经济效益指标</w:t>
            </w:r>
          </w:p>
        </w:tc>
        <w:tc>
          <w:tcPr>
            <w:tcW w:w="2835" w:type="dxa"/>
            <w:vAlign w:val="center"/>
          </w:tcPr>
          <w:p w14:paraId="7C345BBF">
            <w:pPr>
              <w:pStyle w:val="13"/>
            </w:pPr>
            <w:r>
              <w:t>项目实施效果</w:t>
            </w:r>
          </w:p>
        </w:tc>
        <w:tc>
          <w:tcPr>
            <w:tcW w:w="5386" w:type="dxa"/>
            <w:vAlign w:val="center"/>
          </w:tcPr>
          <w:p w14:paraId="11D0CB61">
            <w:pPr>
              <w:pStyle w:val="13"/>
            </w:pPr>
            <w:r>
              <w:t>学校正常运转，减轻受教育学生困难</w:t>
            </w:r>
          </w:p>
        </w:tc>
        <w:tc>
          <w:tcPr>
            <w:tcW w:w="1733" w:type="dxa"/>
            <w:vAlign w:val="center"/>
          </w:tcPr>
          <w:p w14:paraId="2CB7F064">
            <w:pPr>
              <w:pStyle w:val="13"/>
            </w:pPr>
            <w:r>
              <w:t>≥100%</w:t>
            </w:r>
          </w:p>
        </w:tc>
        <w:tc>
          <w:tcPr>
            <w:tcW w:w="1811" w:type="dxa"/>
            <w:vAlign w:val="center"/>
          </w:tcPr>
          <w:p w14:paraId="4AC74731">
            <w:pPr>
              <w:pStyle w:val="13"/>
            </w:pPr>
            <w:r>
              <w:t>普通高中管理办法</w:t>
            </w:r>
          </w:p>
        </w:tc>
      </w:tr>
      <w:tr w14:paraId="58CBC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0B1E9"/>
        </w:tc>
        <w:tc>
          <w:tcPr>
            <w:tcW w:w="2268" w:type="dxa"/>
            <w:vAlign w:val="center"/>
          </w:tcPr>
          <w:p w14:paraId="5DB530DD">
            <w:pPr>
              <w:pStyle w:val="13"/>
            </w:pPr>
            <w:r>
              <w:t>社会效益指标</w:t>
            </w:r>
          </w:p>
        </w:tc>
        <w:tc>
          <w:tcPr>
            <w:tcW w:w="2835" w:type="dxa"/>
            <w:vAlign w:val="center"/>
          </w:tcPr>
          <w:p w14:paraId="4969F3F1">
            <w:pPr>
              <w:pStyle w:val="13"/>
            </w:pPr>
            <w:r>
              <w:t>普高教学能力提升</w:t>
            </w:r>
          </w:p>
        </w:tc>
        <w:tc>
          <w:tcPr>
            <w:tcW w:w="5386" w:type="dxa"/>
            <w:vAlign w:val="center"/>
          </w:tcPr>
          <w:p w14:paraId="4BC1D828">
            <w:pPr>
              <w:pStyle w:val="13"/>
            </w:pPr>
            <w:r>
              <w:t>改善校园环境提高教学质量</w:t>
            </w:r>
          </w:p>
        </w:tc>
        <w:tc>
          <w:tcPr>
            <w:tcW w:w="1733" w:type="dxa"/>
            <w:vAlign w:val="center"/>
          </w:tcPr>
          <w:p w14:paraId="4257CE70">
            <w:pPr>
              <w:pStyle w:val="13"/>
            </w:pPr>
            <w:r>
              <w:t>≥100%</w:t>
            </w:r>
          </w:p>
        </w:tc>
        <w:tc>
          <w:tcPr>
            <w:tcW w:w="1811" w:type="dxa"/>
            <w:vAlign w:val="center"/>
          </w:tcPr>
          <w:p w14:paraId="277C8EF4">
            <w:pPr>
              <w:pStyle w:val="13"/>
            </w:pPr>
            <w:r>
              <w:t>普通高中管理办法</w:t>
            </w:r>
          </w:p>
        </w:tc>
      </w:tr>
      <w:tr w14:paraId="280A4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F1F59"/>
        </w:tc>
        <w:tc>
          <w:tcPr>
            <w:tcW w:w="2268" w:type="dxa"/>
            <w:vAlign w:val="center"/>
          </w:tcPr>
          <w:p w14:paraId="68F7CD1E">
            <w:pPr>
              <w:pStyle w:val="13"/>
            </w:pPr>
            <w:r>
              <w:t>生态效益指标</w:t>
            </w:r>
          </w:p>
        </w:tc>
        <w:tc>
          <w:tcPr>
            <w:tcW w:w="2835" w:type="dxa"/>
            <w:vAlign w:val="center"/>
          </w:tcPr>
          <w:p w14:paraId="0E5455B1">
            <w:pPr>
              <w:pStyle w:val="13"/>
            </w:pPr>
            <w:r>
              <w:t>推动教育事业发展</w:t>
            </w:r>
          </w:p>
        </w:tc>
        <w:tc>
          <w:tcPr>
            <w:tcW w:w="5386" w:type="dxa"/>
            <w:vAlign w:val="center"/>
          </w:tcPr>
          <w:p w14:paraId="65B440AA">
            <w:pPr>
              <w:pStyle w:val="13"/>
            </w:pPr>
            <w:r>
              <w:t>推动教育事业发展</w:t>
            </w:r>
          </w:p>
        </w:tc>
        <w:tc>
          <w:tcPr>
            <w:tcW w:w="1733" w:type="dxa"/>
            <w:vAlign w:val="center"/>
          </w:tcPr>
          <w:p w14:paraId="182584DF">
            <w:pPr>
              <w:pStyle w:val="13"/>
            </w:pPr>
            <w:r>
              <w:t>≥100%</w:t>
            </w:r>
          </w:p>
        </w:tc>
        <w:tc>
          <w:tcPr>
            <w:tcW w:w="1811" w:type="dxa"/>
            <w:vAlign w:val="center"/>
          </w:tcPr>
          <w:p w14:paraId="28C3F2FA">
            <w:pPr>
              <w:pStyle w:val="13"/>
            </w:pPr>
            <w:r>
              <w:t>普通高中管理办法</w:t>
            </w:r>
          </w:p>
        </w:tc>
      </w:tr>
      <w:tr w14:paraId="64104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467E1"/>
        </w:tc>
        <w:tc>
          <w:tcPr>
            <w:tcW w:w="2268" w:type="dxa"/>
            <w:vAlign w:val="center"/>
          </w:tcPr>
          <w:p w14:paraId="0EC76915">
            <w:pPr>
              <w:pStyle w:val="13"/>
            </w:pPr>
            <w:r>
              <w:t>可持续影响指标</w:t>
            </w:r>
          </w:p>
        </w:tc>
        <w:tc>
          <w:tcPr>
            <w:tcW w:w="2835" w:type="dxa"/>
            <w:vAlign w:val="center"/>
          </w:tcPr>
          <w:p w14:paraId="03C86C33">
            <w:pPr>
              <w:pStyle w:val="13"/>
            </w:pPr>
            <w:r>
              <w:t>教育发展水平</w:t>
            </w:r>
          </w:p>
        </w:tc>
        <w:tc>
          <w:tcPr>
            <w:tcW w:w="5386" w:type="dxa"/>
            <w:vAlign w:val="center"/>
          </w:tcPr>
          <w:p w14:paraId="5A706996">
            <w:pPr>
              <w:pStyle w:val="13"/>
            </w:pPr>
            <w:r>
              <w:t>提升教育水平</w:t>
            </w:r>
          </w:p>
        </w:tc>
        <w:tc>
          <w:tcPr>
            <w:tcW w:w="1733" w:type="dxa"/>
            <w:vAlign w:val="center"/>
          </w:tcPr>
          <w:p w14:paraId="5DDB4757">
            <w:pPr>
              <w:pStyle w:val="13"/>
            </w:pPr>
            <w:r>
              <w:t>≥100%</w:t>
            </w:r>
          </w:p>
        </w:tc>
        <w:tc>
          <w:tcPr>
            <w:tcW w:w="1811" w:type="dxa"/>
            <w:vAlign w:val="center"/>
          </w:tcPr>
          <w:p w14:paraId="601CE316">
            <w:pPr>
              <w:pStyle w:val="13"/>
            </w:pPr>
            <w:r>
              <w:t>普通高中管理办法</w:t>
            </w:r>
          </w:p>
        </w:tc>
      </w:tr>
      <w:tr w14:paraId="0915A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CE865E">
            <w:pPr>
              <w:pStyle w:val="12"/>
            </w:pPr>
            <w:r>
              <w:t>满意度指标</w:t>
            </w:r>
          </w:p>
        </w:tc>
        <w:tc>
          <w:tcPr>
            <w:tcW w:w="2268" w:type="dxa"/>
            <w:vAlign w:val="center"/>
          </w:tcPr>
          <w:p w14:paraId="068965AF">
            <w:pPr>
              <w:pStyle w:val="13"/>
            </w:pPr>
            <w:r>
              <w:t>服务对象满意度指标</w:t>
            </w:r>
          </w:p>
        </w:tc>
        <w:tc>
          <w:tcPr>
            <w:tcW w:w="2835" w:type="dxa"/>
            <w:vAlign w:val="center"/>
          </w:tcPr>
          <w:p w14:paraId="2C8518E1">
            <w:pPr>
              <w:pStyle w:val="13"/>
            </w:pPr>
            <w:r>
              <w:t>收益学生家长调查满意度</w:t>
            </w:r>
          </w:p>
        </w:tc>
        <w:tc>
          <w:tcPr>
            <w:tcW w:w="5386" w:type="dxa"/>
            <w:vAlign w:val="center"/>
          </w:tcPr>
          <w:p w14:paraId="7688395E">
            <w:pPr>
              <w:pStyle w:val="13"/>
            </w:pPr>
            <w:r>
              <w:t>学生家长满意度</w:t>
            </w:r>
          </w:p>
        </w:tc>
        <w:tc>
          <w:tcPr>
            <w:tcW w:w="1733" w:type="dxa"/>
            <w:vAlign w:val="center"/>
          </w:tcPr>
          <w:p w14:paraId="1E565AF8">
            <w:pPr>
              <w:pStyle w:val="13"/>
            </w:pPr>
            <w:r>
              <w:t>≥98%</w:t>
            </w:r>
          </w:p>
        </w:tc>
        <w:tc>
          <w:tcPr>
            <w:tcW w:w="1811" w:type="dxa"/>
            <w:vAlign w:val="center"/>
          </w:tcPr>
          <w:p w14:paraId="20D9334F">
            <w:pPr>
              <w:pStyle w:val="13"/>
            </w:pPr>
            <w:r>
              <w:t>问卷调查</w:t>
            </w:r>
          </w:p>
        </w:tc>
      </w:tr>
    </w:tbl>
    <w:p w14:paraId="04E9FE68">
      <w:pPr>
        <w:sectPr>
          <w:pgSz w:w="16840" w:h="11900" w:orient="landscape"/>
          <w:pgMar w:top="1361" w:right="1020" w:bottom="1134" w:left="1020" w:header="720" w:footer="720" w:gutter="0"/>
          <w:cols w:space="720" w:num="1"/>
        </w:sectPr>
      </w:pPr>
    </w:p>
    <w:p w14:paraId="35E9D629">
      <w:pPr>
        <w:spacing w:before="0" w:after="0"/>
        <w:ind w:firstLine="560"/>
        <w:jc w:val="left"/>
        <w:outlineLvl w:val="9"/>
      </w:pPr>
      <w:r>
        <w:rPr>
          <w:rFonts w:ascii="方正仿宋_GBK" w:hAnsi="方正仿宋_GBK" w:eastAsia="方正仿宋_GBK" w:cs="方正仿宋_GBK"/>
          <w:b/>
          <w:color w:val="000000"/>
          <w:sz w:val="28"/>
        </w:rPr>
        <w:t>16、普通高中专项经费/职教高中绩效目标表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95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429AF">
            <w:pPr>
              <w:pStyle w:val="14"/>
            </w:pPr>
            <w:r>
              <w:t>单位：万元</w:t>
            </w:r>
          </w:p>
        </w:tc>
      </w:tr>
      <w:tr w14:paraId="0A3F1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9F08C">
            <w:pPr>
              <w:pStyle w:val="11"/>
            </w:pPr>
            <w:r>
              <w:t>项目编码</w:t>
            </w:r>
          </w:p>
        </w:tc>
        <w:tc>
          <w:tcPr>
            <w:tcW w:w="5103" w:type="dxa"/>
            <w:gridSpan w:val="2"/>
            <w:vAlign w:val="center"/>
          </w:tcPr>
          <w:p w14:paraId="4F0955B2">
            <w:pPr>
              <w:pStyle w:val="13"/>
            </w:pPr>
            <w:r>
              <w:t>13052525P008756102120</w:t>
            </w:r>
          </w:p>
        </w:tc>
        <w:tc>
          <w:tcPr>
            <w:tcW w:w="2835" w:type="dxa"/>
            <w:vAlign w:val="center"/>
          </w:tcPr>
          <w:p w14:paraId="4471F45E">
            <w:pPr>
              <w:pStyle w:val="11"/>
            </w:pPr>
            <w:r>
              <w:t>项目名称</w:t>
            </w:r>
          </w:p>
        </w:tc>
        <w:tc>
          <w:tcPr>
            <w:tcW w:w="6095" w:type="dxa"/>
            <w:gridSpan w:val="3"/>
            <w:vAlign w:val="center"/>
          </w:tcPr>
          <w:p w14:paraId="25ACACDC">
            <w:pPr>
              <w:pStyle w:val="13"/>
            </w:pPr>
            <w:r>
              <w:t>普通高中专项经费/职教高中</w:t>
            </w:r>
          </w:p>
        </w:tc>
      </w:tr>
      <w:tr w14:paraId="302B8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17AC7">
            <w:pPr>
              <w:pStyle w:val="11"/>
            </w:pPr>
            <w:r>
              <w:t>预算规模及资金用途</w:t>
            </w:r>
          </w:p>
        </w:tc>
        <w:tc>
          <w:tcPr>
            <w:tcW w:w="2268" w:type="dxa"/>
            <w:vAlign w:val="center"/>
          </w:tcPr>
          <w:p w14:paraId="79F1ED9F">
            <w:pPr>
              <w:pStyle w:val="11"/>
            </w:pPr>
            <w:r>
              <w:t>预算数</w:t>
            </w:r>
          </w:p>
        </w:tc>
        <w:tc>
          <w:tcPr>
            <w:tcW w:w="2835" w:type="dxa"/>
            <w:vAlign w:val="center"/>
          </w:tcPr>
          <w:p w14:paraId="5744508C">
            <w:pPr>
              <w:pStyle w:val="13"/>
            </w:pPr>
            <w:r>
              <w:t>106.00</w:t>
            </w:r>
          </w:p>
        </w:tc>
        <w:tc>
          <w:tcPr>
            <w:tcW w:w="2835" w:type="dxa"/>
            <w:vAlign w:val="center"/>
          </w:tcPr>
          <w:p w14:paraId="1206A81B">
            <w:pPr>
              <w:pStyle w:val="11"/>
            </w:pPr>
            <w:r>
              <w:t>其中：财政    资金</w:t>
            </w:r>
          </w:p>
        </w:tc>
        <w:tc>
          <w:tcPr>
            <w:tcW w:w="2551" w:type="dxa"/>
            <w:vAlign w:val="center"/>
          </w:tcPr>
          <w:p w14:paraId="57353E51">
            <w:pPr>
              <w:pStyle w:val="13"/>
            </w:pPr>
            <w:r>
              <w:t>106.00</w:t>
            </w:r>
          </w:p>
        </w:tc>
        <w:tc>
          <w:tcPr>
            <w:tcW w:w="2268" w:type="dxa"/>
            <w:vAlign w:val="center"/>
          </w:tcPr>
          <w:p w14:paraId="2D69FE88">
            <w:pPr>
              <w:pStyle w:val="11"/>
            </w:pPr>
            <w:r>
              <w:t>其他资金</w:t>
            </w:r>
          </w:p>
        </w:tc>
        <w:tc>
          <w:tcPr>
            <w:tcW w:w="1276" w:type="dxa"/>
            <w:vAlign w:val="center"/>
          </w:tcPr>
          <w:p w14:paraId="6713D7A2">
            <w:pPr>
              <w:pStyle w:val="13"/>
            </w:pPr>
            <w:r>
              <w:t xml:space="preserve"> </w:t>
            </w:r>
          </w:p>
        </w:tc>
      </w:tr>
      <w:tr w14:paraId="11621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E235F"/>
        </w:tc>
        <w:tc>
          <w:tcPr>
            <w:tcW w:w="14033" w:type="dxa"/>
            <w:gridSpan w:val="6"/>
            <w:vAlign w:val="center"/>
          </w:tcPr>
          <w:p w14:paraId="3A5BFCC4">
            <w:pPr>
              <w:pStyle w:val="13"/>
            </w:pPr>
            <w:r>
              <w:t>按时完成学费、住宿费收缴，并全额上缴财政专户，资金主要用于维持学校正常运转。</w:t>
            </w:r>
          </w:p>
        </w:tc>
      </w:tr>
      <w:tr w14:paraId="2A10F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E5409">
            <w:pPr>
              <w:pStyle w:val="11"/>
            </w:pPr>
            <w:r>
              <w:t>资金支出计划（%）</w:t>
            </w:r>
          </w:p>
        </w:tc>
        <w:tc>
          <w:tcPr>
            <w:tcW w:w="5103" w:type="dxa"/>
            <w:gridSpan w:val="2"/>
            <w:vAlign w:val="center"/>
          </w:tcPr>
          <w:p w14:paraId="1BFE0C06">
            <w:pPr>
              <w:pStyle w:val="11"/>
            </w:pPr>
            <w:r>
              <w:t>3月底</w:t>
            </w:r>
          </w:p>
        </w:tc>
        <w:tc>
          <w:tcPr>
            <w:tcW w:w="2835" w:type="dxa"/>
            <w:vAlign w:val="center"/>
          </w:tcPr>
          <w:p w14:paraId="6D7DBD18">
            <w:pPr>
              <w:pStyle w:val="11"/>
            </w:pPr>
            <w:r>
              <w:t>6月底</w:t>
            </w:r>
          </w:p>
        </w:tc>
        <w:tc>
          <w:tcPr>
            <w:tcW w:w="2551" w:type="dxa"/>
            <w:vAlign w:val="center"/>
          </w:tcPr>
          <w:p w14:paraId="0128D9C9">
            <w:pPr>
              <w:pStyle w:val="11"/>
            </w:pPr>
            <w:r>
              <w:t>10月底</w:t>
            </w:r>
          </w:p>
        </w:tc>
        <w:tc>
          <w:tcPr>
            <w:tcW w:w="3544" w:type="dxa"/>
            <w:gridSpan w:val="2"/>
            <w:vAlign w:val="center"/>
          </w:tcPr>
          <w:p w14:paraId="0F5C14D8">
            <w:pPr>
              <w:pStyle w:val="11"/>
            </w:pPr>
            <w:r>
              <w:t>12月底</w:t>
            </w:r>
          </w:p>
        </w:tc>
      </w:tr>
      <w:tr w14:paraId="1C6B7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B83DC"/>
        </w:tc>
        <w:tc>
          <w:tcPr>
            <w:tcW w:w="5103" w:type="dxa"/>
            <w:gridSpan w:val="2"/>
            <w:vAlign w:val="center"/>
          </w:tcPr>
          <w:p w14:paraId="2FBB887F">
            <w:pPr>
              <w:pStyle w:val="12"/>
            </w:pPr>
            <w:r>
              <w:t xml:space="preserve"> </w:t>
            </w:r>
          </w:p>
        </w:tc>
        <w:tc>
          <w:tcPr>
            <w:tcW w:w="2835" w:type="dxa"/>
            <w:vAlign w:val="center"/>
          </w:tcPr>
          <w:p w14:paraId="55C60DD7">
            <w:pPr>
              <w:pStyle w:val="12"/>
            </w:pPr>
            <w:r>
              <w:t>50%</w:t>
            </w:r>
          </w:p>
        </w:tc>
        <w:tc>
          <w:tcPr>
            <w:tcW w:w="2551" w:type="dxa"/>
            <w:vAlign w:val="center"/>
          </w:tcPr>
          <w:p w14:paraId="127517D1">
            <w:pPr>
              <w:pStyle w:val="12"/>
            </w:pPr>
            <w:r>
              <w:t>50%</w:t>
            </w:r>
          </w:p>
        </w:tc>
        <w:tc>
          <w:tcPr>
            <w:tcW w:w="3544" w:type="dxa"/>
            <w:gridSpan w:val="2"/>
            <w:vAlign w:val="center"/>
          </w:tcPr>
          <w:p w14:paraId="1426CDC3">
            <w:pPr>
              <w:pStyle w:val="12"/>
            </w:pPr>
            <w:r>
              <w:t>100%</w:t>
            </w:r>
          </w:p>
        </w:tc>
      </w:tr>
      <w:tr w14:paraId="06987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F5E9ED">
            <w:pPr>
              <w:pStyle w:val="11"/>
            </w:pPr>
            <w:r>
              <w:t>绩效目标</w:t>
            </w:r>
          </w:p>
        </w:tc>
        <w:tc>
          <w:tcPr>
            <w:tcW w:w="14033" w:type="dxa"/>
            <w:gridSpan w:val="6"/>
            <w:vAlign w:val="center"/>
          </w:tcPr>
          <w:p w14:paraId="55CEA709">
            <w:pPr>
              <w:pStyle w:val="13"/>
            </w:pPr>
            <w:r>
              <w:t>1.按时完成学费、住宿费收缴，并全额上缴财政专户，资金主要用于维持学校正常运转。</w:t>
            </w:r>
          </w:p>
        </w:tc>
      </w:tr>
    </w:tbl>
    <w:p w14:paraId="1DAF5A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33"/>
        <w:gridCol w:w="1511"/>
      </w:tblGrid>
      <w:tr w14:paraId="2B8F8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44842">
            <w:pPr>
              <w:pStyle w:val="11"/>
            </w:pPr>
            <w:r>
              <w:t>一级指标</w:t>
            </w:r>
          </w:p>
        </w:tc>
        <w:tc>
          <w:tcPr>
            <w:tcW w:w="2268" w:type="dxa"/>
            <w:vAlign w:val="center"/>
          </w:tcPr>
          <w:p w14:paraId="13D6DA89">
            <w:pPr>
              <w:pStyle w:val="11"/>
            </w:pPr>
            <w:r>
              <w:t>二级指标</w:t>
            </w:r>
          </w:p>
        </w:tc>
        <w:tc>
          <w:tcPr>
            <w:tcW w:w="2835" w:type="dxa"/>
            <w:vAlign w:val="center"/>
          </w:tcPr>
          <w:p w14:paraId="28E391D1">
            <w:pPr>
              <w:pStyle w:val="11"/>
            </w:pPr>
            <w:r>
              <w:t>三级指标</w:t>
            </w:r>
          </w:p>
        </w:tc>
        <w:tc>
          <w:tcPr>
            <w:tcW w:w="5386" w:type="dxa"/>
            <w:vAlign w:val="center"/>
          </w:tcPr>
          <w:p w14:paraId="77D8CFDF">
            <w:pPr>
              <w:pStyle w:val="11"/>
            </w:pPr>
            <w:r>
              <w:t>绩效指标描述</w:t>
            </w:r>
          </w:p>
        </w:tc>
        <w:tc>
          <w:tcPr>
            <w:tcW w:w="2033" w:type="dxa"/>
            <w:vAlign w:val="center"/>
          </w:tcPr>
          <w:p w14:paraId="2E4F9474">
            <w:pPr>
              <w:pStyle w:val="11"/>
            </w:pPr>
            <w:r>
              <w:t>指标值</w:t>
            </w:r>
          </w:p>
        </w:tc>
        <w:tc>
          <w:tcPr>
            <w:tcW w:w="1511" w:type="dxa"/>
            <w:vAlign w:val="center"/>
          </w:tcPr>
          <w:p w14:paraId="66AF86C0">
            <w:pPr>
              <w:pStyle w:val="11"/>
            </w:pPr>
            <w:r>
              <w:t>指标值确定依据</w:t>
            </w:r>
          </w:p>
        </w:tc>
      </w:tr>
      <w:tr w14:paraId="327FC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DAA17">
            <w:pPr>
              <w:pStyle w:val="12"/>
            </w:pPr>
            <w:r>
              <w:t>产出指标</w:t>
            </w:r>
          </w:p>
        </w:tc>
        <w:tc>
          <w:tcPr>
            <w:tcW w:w="2268" w:type="dxa"/>
            <w:vAlign w:val="center"/>
          </w:tcPr>
          <w:p w14:paraId="024968A9">
            <w:pPr>
              <w:pStyle w:val="13"/>
            </w:pPr>
            <w:r>
              <w:t>数量指标</w:t>
            </w:r>
          </w:p>
        </w:tc>
        <w:tc>
          <w:tcPr>
            <w:tcW w:w="2835" w:type="dxa"/>
            <w:vAlign w:val="center"/>
          </w:tcPr>
          <w:p w14:paraId="073EC3E7">
            <w:pPr>
              <w:pStyle w:val="13"/>
            </w:pPr>
            <w:r>
              <w:t>普高在校生</w:t>
            </w:r>
          </w:p>
        </w:tc>
        <w:tc>
          <w:tcPr>
            <w:tcW w:w="5386" w:type="dxa"/>
            <w:vAlign w:val="center"/>
          </w:tcPr>
          <w:p w14:paraId="76E1F144">
            <w:pPr>
              <w:pStyle w:val="13"/>
            </w:pPr>
            <w:r>
              <w:t>普高在校生</w:t>
            </w:r>
          </w:p>
        </w:tc>
        <w:tc>
          <w:tcPr>
            <w:tcW w:w="2033" w:type="dxa"/>
            <w:vAlign w:val="center"/>
          </w:tcPr>
          <w:p w14:paraId="2D4965A7">
            <w:pPr>
              <w:pStyle w:val="13"/>
            </w:pPr>
            <w:r>
              <w:t>≥895人</w:t>
            </w:r>
          </w:p>
        </w:tc>
        <w:tc>
          <w:tcPr>
            <w:tcW w:w="1511" w:type="dxa"/>
            <w:vAlign w:val="center"/>
          </w:tcPr>
          <w:p w14:paraId="53CB5F49">
            <w:pPr>
              <w:pStyle w:val="13"/>
            </w:pPr>
            <w:r>
              <w:t>普通高中专项公用管理办法</w:t>
            </w:r>
          </w:p>
        </w:tc>
      </w:tr>
      <w:tr w14:paraId="05135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377F7"/>
        </w:tc>
        <w:tc>
          <w:tcPr>
            <w:tcW w:w="2268" w:type="dxa"/>
            <w:vAlign w:val="center"/>
          </w:tcPr>
          <w:p w14:paraId="6591FEFB">
            <w:pPr>
              <w:pStyle w:val="13"/>
            </w:pPr>
            <w:r>
              <w:t>质量指标</w:t>
            </w:r>
          </w:p>
        </w:tc>
        <w:tc>
          <w:tcPr>
            <w:tcW w:w="2835" w:type="dxa"/>
            <w:vAlign w:val="center"/>
          </w:tcPr>
          <w:p w14:paraId="54505A2B">
            <w:pPr>
              <w:pStyle w:val="13"/>
            </w:pPr>
            <w:r>
              <w:t>按学期完成学费住宿费收缴</w:t>
            </w:r>
          </w:p>
        </w:tc>
        <w:tc>
          <w:tcPr>
            <w:tcW w:w="5386" w:type="dxa"/>
            <w:vAlign w:val="center"/>
          </w:tcPr>
          <w:p w14:paraId="42861026">
            <w:pPr>
              <w:pStyle w:val="13"/>
            </w:pPr>
            <w:r>
              <w:t>按学期完成学费住宿费收缴</w:t>
            </w:r>
          </w:p>
        </w:tc>
        <w:tc>
          <w:tcPr>
            <w:tcW w:w="2033" w:type="dxa"/>
            <w:vAlign w:val="center"/>
          </w:tcPr>
          <w:p w14:paraId="308660AD">
            <w:pPr>
              <w:pStyle w:val="13"/>
            </w:pPr>
            <w:r>
              <w:t>≥100%</w:t>
            </w:r>
          </w:p>
        </w:tc>
        <w:tc>
          <w:tcPr>
            <w:tcW w:w="1511" w:type="dxa"/>
            <w:vAlign w:val="center"/>
          </w:tcPr>
          <w:p w14:paraId="68FBF19A">
            <w:pPr>
              <w:pStyle w:val="13"/>
            </w:pPr>
            <w:r>
              <w:t>普通高中专项公用管理办法</w:t>
            </w:r>
          </w:p>
        </w:tc>
      </w:tr>
      <w:tr w14:paraId="42B08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D8374"/>
        </w:tc>
        <w:tc>
          <w:tcPr>
            <w:tcW w:w="2268" w:type="dxa"/>
            <w:vAlign w:val="center"/>
          </w:tcPr>
          <w:p w14:paraId="28685B54">
            <w:pPr>
              <w:pStyle w:val="13"/>
            </w:pPr>
            <w:r>
              <w:t>时效指标</w:t>
            </w:r>
          </w:p>
        </w:tc>
        <w:tc>
          <w:tcPr>
            <w:tcW w:w="2835" w:type="dxa"/>
            <w:vAlign w:val="center"/>
          </w:tcPr>
          <w:p w14:paraId="3661512C">
            <w:pPr>
              <w:pStyle w:val="13"/>
            </w:pPr>
            <w:r>
              <w:t>按照时序进度完成资金支付</w:t>
            </w:r>
          </w:p>
        </w:tc>
        <w:tc>
          <w:tcPr>
            <w:tcW w:w="5386" w:type="dxa"/>
            <w:vAlign w:val="center"/>
          </w:tcPr>
          <w:p w14:paraId="05C21F32">
            <w:pPr>
              <w:pStyle w:val="13"/>
            </w:pPr>
            <w:r>
              <w:t>按照时序进度完成资金支付</w:t>
            </w:r>
          </w:p>
        </w:tc>
        <w:tc>
          <w:tcPr>
            <w:tcW w:w="2033" w:type="dxa"/>
            <w:vAlign w:val="center"/>
          </w:tcPr>
          <w:p w14:paraId="48D4C4D0">
            <w:pPr>
              <w:pStyle w:val="13"/>
            </w:pPr>
            <w:r>
              <w:t>≥100%</w:t>
            </w:r>
          </w:p>
        </w:tc>
        <w:tc>
          <w:tcPr>
            <w:tcW w:w="1511" w:type="dxa"/>
            <w:vAlign w:val="center"/>
          </w:tcPr>
          <w:p w14:paraId="4CB22FAE">
            <w:pPr>
              <w:pStyle w:val="13"/>
            </w:pPr>
            <w:r>
              <w:t>普通高中专项公用管理办法</w:t>
            </w:r>
          </w:p>
        </w:tc>
      </w:tr>
      <w:tr w14:paraId="4FBE9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EB36C"/>
        </w:tc>
        <w:tc>
          <w:tcPr>
            <w:tcW w:w="2268" w:type="dxa"/>
            <w:vAlign w:val="center"/>
          </w:tcPr>
          <w:p w14:paraId="702F1DE9">
            <w:pPr>
              <w:pStyle w:val="13"/>
            </w:pPr>
            <w:r>
              <w:t>成本指标</w:t>
            </w:r>
          </w:p>
        </w:tc>
        <w:tc>
          <w:tcPr>
            <w:tcW w:w="2835" w:type="dxa"/>
            <w:vAlign w:val="center"/>
          </w:tcPr>
          <w:p w14:paraId="3078D72B">
            <w:pPr>
              <w:pStyle w:val="13"/>
            </w:pPr>
            <w:r>
              <w:t>按照标准收取学费住宿费</w:t>
            </w:r>
          </w:p>
        </w:tc>
        <w:tc>
          <w:tcPr>
            <w:tcW w:w="5386" w:type="dxa"/>
            <w:vAlign w:val="center"/>
          </w:tcPr>
          <w:p w14:paraId="2C8184AD">
            <w:pPr>
              <w:pStyle w:val="13"/>
            </w:pPr>
            <w:r>
              <w:t>按照标准收取学费住宿费</w:t>
            </w:r>
          </w:p>
        </w:tc>
        <w:tc>
          <w:tcPr>
            <w:tcW w:w="2033" w:type="dxa"/>
            <w:vAlign w:val="center"/>
          </w:tcPr>
          <w:p w14:paraId="65577046">
            <w:pPr>
              <w:pStyle w:val="13"/>
            </w:pPr>
            <w:r>
              <w:t>500元</w:t>
            </w:r>
          </w:p>
        </w:tc>
        <w:tc>
          <w:tcPr>
            <w:tcW w:w="1511" w:type="dxa"/>
            <w:vAlign w:val="center"/>
          </w:tcPr>
          <w:p w14:paraId="50D79ED8">
            <w:pPr>
              <w:pStyle w:val="13"/>
            </w:pPr>
            <w:r>
              <w:t>邢价行费【2016】27号</w:t>
            </w:r>
          </w:p>
        </w:tc>
      </w:tr>
      <w:tr w14:paraId="25C8F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53C81C">
            <w:pPr>
              <w:pStyle w:val="12"/>
            </w:pPr>
            <w:r>
              <w:t>效益指标</w:t>
            </w:r>
          </w:p>
        </w:tc>
        <w:tc>
          <w:tcPr>
            <w:tcW w:w="2268" w:type="dxa"/>
            <w:vAlign w:val="center"/>
          </w:tcPr>
          <w:p w14:paraId="72E14BF9">
            <w:pPr>
              <w:pStyle w:val="13"/>
            </w:pPr>
            <w:r>
              <w:t>经济效益指标</w:t>
            </w:r>
          </w:p>
        </w:tc>
        <w:tc>
          <w:tcPr>
            <w:tcW w:w="2835" w:type="dxa"/>
            <w:vAlign w:val="center"/>
          </w:tcPr>
          <w:p w14:paraId="633606FA">
            <w:pPr>
              <w:pStyle w:val="13"/>
            </w:pPr>
            <w:r>
              <w:t>弥补日常公用经费不足</w:t>
            </w:r>
          </w:p>
        </w:tc>
        <w:tc>
          <w:tcPr>
            <w:tcW w:w="5386" w:type="dxa"/>
            <w:vAlign w:val="center"/>
          </w:tcPr>
          <w:p w14:paraId="03B19A26">
            <w:pPr>
              <w:pStyle w:val="13"/>
            </w:pPr>
            <w:r>
              <w:t>弥补日常公用经费不足</w:t>
            </w:r>
          </w:p>
        </w:tc>
        <w:tc>
          <w:tcPr>
            <w:tcW w:w="2033" w:type="dxa"/>
            <w:vAlign w:val="center"/>
          </w:tcPr>
          <w:p w14:paraId="71183AD4">
            <w:pPr>
              <w:pStyle w:val="13"/>
            </w:pPr>
            <w:r>
              <w:t>≥100%</w:t>
            </w:r>
          </w:p>
        </w:tc>
        <w:tc>
          <w:tcPr>
            <w:tcW w:w="1511" w:type="dxa"/>
            <w:vAlign w:val="center"/>
          </w:tcPr>
          <w:p w14:paraId="148E4064">
            <w:pPr>
              <w:pStyle w:val="13"/>
            </w:pPr>
            <w:r>
              <w:t>普通高中专项公用管理办法</w:t>
            </w:r>
          </w:p>
        </w:tc>
      </w:tr>
      <w:tr w14:paraId="51818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C01ABB">
            <w:pPr>
              <w:pStyle w:val="12"/>
            </w:pPr>
            <w:r>
              <w:t>满意度指标</w:t>
            </w:r>
          </w:p>
        </w:tc>
        <w:tc>
          <w:tcPr>
            <w:tcW w:w="2268" w:type="dxa"/>
            <w:vAlign w:val="center"/>
          </w:tcPr>
          <w:p w14:paraId="1A228D5B">
            <w:pPr>
              <w:pStyle w:val="13"/>
            </w:pPr>
            <w:r>
              <w:t>服务对象满意度指标</w:t>
            </w:r>
          </w:p>
        </w:tc>
        <w:tc>
          <w:tcPr>
            <w:tcW w:w="2835" w:type="dxa"/>
            <w:vAlign w:val="center"/>
          </w:tcPr>
          <w:p w14:paraId="2AA869A2">
            <w:pPr>
              <w:pStyle w:val="13"/>
            </w:pPr>
            <w:r>
              <w:t>学生家长及教师对学校工作满意</w:t>
            </w:r>
          </w:p>
        </w:tc>
        <w:tc>
          <w:tcPr>
            <w:tcW w:w="5386" w:type="dxa"/>
            <w:vAlign w:val="center"/>
          </w:tcPr>
          <w:p w14:paraId="0A46519E">
            <w:pPr>
              <w:pStyle w:val="13"/>
            </w:pPr>
            <w:r>
              <w:t>学生家长及教师对学校工作满意</w:t>
            </w:r>
          </w:p>
        </w:tc>
        <w:tc>
          <w:tcPr>
            <w:tcW w:w="2033" w:type="dxa"/>
            <w:vAlign w:val="center"/>
          </w:tcPr>
          <w:p w14:paraId="76B02BA1">
            <w:pPr>
              <w:pStyle w:val="13"/>
            </w:pPr>
            <w:r>
              <w:t>≥98%</w:t>
            </w:r>
          </w:p>
        </w:tc>
        <w:tc>
          <w:tcPr>
            <w:tcW w:w="1511" w:type="dxa"/>
            <w:vAlign w:val="center"/>
          </w:tcPr>
          <w:p w14:paraId="6BC487C3">
            <w:pPr>
              <w:pStyle w:val="13"/>
            </w:pPr>
            <w:r>
              <w:t>普通高中专项公用管理办法</w:t>
            </w:r>
          </w:p>
        </w:tc>
      </w:tr>
    </w:tbl>
    <w:p w14:paraId="6C799FFB">
      <w:pPr>
        <w:sectPr>
          <w:pgSz w:w="16840" w:h="11900" w:orient="landscape"/>
          <w:pgMar w:top="1361" w:right="1020" w:bottom="1134" w:left="1020" w:header="720" w:footer="720" w:gutter="0"/>
          <w:cols w:space="720" w:num="1"/>
        </w:sectPr>
      </w:pPr>
    </w:p>
    <w:p w14:paraId="610B9EDD">
      <w:pPr>
        <w:spacing w:before="0" w:after="0"/>
        <w:ind w:firstLine="560"/>
        <w:jc w:val="left"/>
        <w:outlineLvl w:val="9"/>
      </w:pPr>
      <w:r>
        <w:rPr>
          <w:rFonts w:ascii="方正仿宋_GBK" w:hAnsi="方正仿宋_GBK" w:eastAsia="方正仿宋_GBK" w:cs="方正仿宋_GBK"/>
          <w:b/>
          <w:color w:val="000000"/>
          <w:sz w:val="28"/>
        </w:rPr>
        <w:t>17、上年盘活/冀财教[2023]126号/省级/2024年现代职业教育质量提升计划/隆尧县职教中心工业机器人实训室一期建设绩效目标表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7A0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B0950">
            <w:pPr>
              <w:pStyle w:val="14"/>
            </w:pPr>
            <w:r>
              <w:t>单位：万元</w:t>
            </w:r>
          </w:p>
        </w:tc>
      </w:tr>
      <w:tr w14:paraId="3F203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E943B">
            <w:pPr>
              <w:pStyle w:val="11"/>
            </w:pPr>
            <w:r>
              <w:t>项目编码</w:t>
            </w:r>
          </w:p>
        </w:tc>
        <w:tc>
          <w:tcPr>
            <w:tcW w:w="5103" w:type="dxa"/>
            <w:gridSpan w:val="2"/>
            <w:vAlign w:val="center"/>
          </w:tcPr>
          <w:p w14:paraId="47CE68D3">
            <w:pPr>
              <w:pStyle w:val="13"/>
            </w:pPr>
            <w:r>
              <w:t>13052525P00875610154D</w:t>
            </w:r>
          </w:p>
        </w:tc>
        <w:tc>
          <w:tcPr>
            <w:tcW w:w="2835" w:type="dxa"/>
            <w:vAlign w:val="center"/>
          </w:tcPr>
          <w:p w14:paraId="41C08CCE">
            <w:pPr>
              <w:pStyle w:val="11"/>
            </w:pPr>
            <w:r>
              <w:t>项目名称</w:t>
            </w:r>
          </w:p>
        </w:tc>
        <w:tc>
          <w:tcPr>
            <w:tcW w:w="6095" w:type="dxa"/>
            <w:gridSpan w:val="3"/>
            <w:vAlign w:val="center"/>
          </w:tcPr>
          <w:p w14:paraId="32BAA6D7">
            <w:pPr>
              <w:pStyle w:val="13"/>
            </w:pPr>
            <w:r>
              <w:t>上年盘活/冀财教[2023]126号/省级/2024年现代职业教育质量提升计划/隆尧县职教中心工业机器人实训室一期建设</w:t>
            </w:r>
            <w:r>
              <w:tab/>
            </w:r>
          </w:p>
        </w:tc>
      </w:tr>
      <w:tr w14:paraId="09CC3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02876">
            <w:pPr>
              <w:pStyle w:val="11"/>
            </w:pPr>
            <w:r>
              <w:t>预算规模及资金用途</w:t>
            </w:r>
          </w:p>
        </w:tc>
        <w:tc>
          <w:tcPr>
            <w:tcW w:w="2268" w:type="dxa"/>
            <w:vAlign w:val="center"/>
          </w:tcPr>
          <w:p w14:paraId="2D6B0E80">
            <w:pPr>
              <w:pStyle w:val="11"/>
            </w:pPr>
            <w:r>
              <w:t>预算数</w:t>
            </w:r>
          </w:p>
        </w:tc>
        <w:tc>
          <w:tcPr>
            <w:tcW w:w="2835" w:type="dxa"/>
            <w:vAlign w:val="center"/>
          </w:tcPr>
          <w:p w14:paraId="50A0DEAC">
            <w:pPr>
              <w:pStyle w:val="13"/>
            </w:pPr>
            <w:r>
              <w:t>24.00</w:t>
            </w:r>
          </w:p>
        </w:tc>
        <w:tc>
          <w:tcPr>
            <w:tcW w:w="2835" w:type="dxa"/>
            <w:vAlign w:val="center"/>
          </w:tcPr>
          <w:p w14:paraId="2446FE8A">
            <w:pPr>
              <w:pStyle w:val="11"/>
            </w:pPr>
            <w:r>
              <w:t>其中：财政    资金</w:t>
            </w:r>
          </w:p>
        </w:tc>
        <w:tc>
          <w:tcPr>
            <w:tcW w:w="2551" w:type="dxa"/>
            <w:vAlign w:val="center"/>
          </w:tcPr>
          <w:p w14:paraId="4AC27CB7">
            <w:pPr>
              <w:pStyle w:val="13"/>
            </w:pPr>
            <w:r>
              <w:t>24.00</w:t>
            </w:r>
          </w:p>
        </w:tc>
        <w:tc>
          <w:tcPr>
            <w:tcW w:w="2268" w:type="dxa"/>
            <w:vAlign w:val="center"/>
          </w:tcPr>
          <w:p w14:paraId="7573FF94">
            <w:pPr>
              <w:pStyle w:val="11"/>
            </w:pPr>
            <w:r>
              <w:t>其他资金</w:t>
            </w:r>
          </w:p>
        </w:tc>
        <w:tc>
          <w:tcPr>
            <w:tcW w:w="1276" w:type="dxa"/>
            <w:vAlign w:val="center"/>
          </w:tcPr>
          <w:p w14:paraId="0EBA3C27">
            <w:pPr>
              <w:pStyle w:val="13"/>
            </w:pPr>
            <w:r>
              <w:t xml:space="preserve"> </w:t>
            </w:r>
          </w:p>
        </w:tc>
      </w:tr>
      <w:tr w14:paraId="08A82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39CAA3"/>
        </w:tc>
        <w:tc>
          <w:tcPr>
            <w:tcW w:w="14033" w:type="dxa"/>
            <w:gridSpan w:val="6"/>
            <w:vAlign w:val="center"/>
          </w:tcPr>
          <w:p w14:paraId="0A5560AA">
            <w:pPr>
              <w:pStyle w:val="13"/>
            </w:pPr>
            <w:r>
              <w:t>上年盘活资金23.9959万元，用于学校工业机器人实训室建设，改善了学校的实训环境，提升了办学品位</w:t>
            </w:r>
          </w:p>
        </w:tc>
      </w:tr>
      <w:tr w14:paraId="2F589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DBE0C">
            <w:pPr>
              <w:pStyle w:val="11"/>
            </w:pPr>
            <w:r>
              <w:t>资金支出计划（%）</w:t>
            </w:r>
          </w:p>
        </w:tc>
        <w:tc>
          <w:tcPr>
            <w:tcW w:w="5103" w:type="dxa"/>
            <w:gridSpan w:val="2"/>
            <w:vAlign w:val="center"/>
          </w:tcPr>
          <w:p w14:paraId="744D3D56">
            <w:pPr>
              <w:pStyle w:val="11"/>
            </w:pPr>
            <w:r>
              <w:t>3月底</w:t>
            </w:r>
          </w:p>
        </w:tc>
        <w:tc>
          <w:tcPr>
            <w:tcW w:w="2835" w:type="dxa"/>
            <w:vAlign w:val="center"/>
          </w:tcPr>
          <w:p w14:paraId="7FEFC599">
            <w:pPr>
              <w:pStyle w:val="11"/>
            </w:pPr>
            <w:r>
              <w:t>6月底</w:t>
            </w:r>
          </w:p>
        </w:tc>
        <w:tc>
          <w:tcPr>
            <w:tcW w:w="2551" w:type="dxa"/>
            <w:vAlign w:val="center"/>
          </w:tcPr>
          <w:p w14:paraId="0416A4E2">
            <w:pPr>
              <w:pStyle w:val="11"/>
            </w:pPr>
            <w:r>
              <w:t>10月底</w:t>
            </w:r>
          </w:p>
        </w:tc>
        <w:tc>
          <w:tcPr>
            <w:tcW w:w="3544" w:type="dxa"/>
            <w:gridSpan w:val="2"/>
            <w:vAlign w:val="center"/>
          </w:tcPr>
          <w:p w14:paraId="4EA4AAB3">
            <w:pPr>
              <w:pStyle w:val="11"/>
            </w:pPr>
            <w:r>
              <w:t>12月底</w:t>
            </w:r>
          </w:p>
        </w:tc>
      </w:tr>
      <w:tr w14:paraId="19074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F5003F"/>
        </w:tc>
        <w:tc>
          <w:tcPr>
            <w:tcW w:w="5103" w:type="dxa"/>
            <w:gridSpan w:val="2"/>
            <w:vAlign w:val="center"/>
          </w:tcPr>
          <w:p w14:paraId="12663D90">
            <w:pPr>
              <w:pStyle w:val="12"/>
            </w:pPr>
            <w:r>
              <w:t xml:space="preserve"> </w:t>
            </w:r>
          </w:p>
        </w:tc>
        <w:tc>
          <w:tcPr>
            <w:tcW w:w="2835" w:type="dxa"/>
            <w:vAlign w:val="center"/>
          </w:tcPr>
          <w:p w14:paraId="2ED176B5">
            <w:pPr>
              <w:pStyle w:val="12"/>
            </w:pPr>
            <w:r>
              <w:t>100%</w:t>
            </w:r>
          </w:p>
        </w:tc>
        <w:tc>
          <w:tcPr>
            <w:tcW w:w="2551" w:type="dxa"/>
            <w:vAlign w:val="center"/>
          </w:tcPr>
          <w:p w14:paraId="3627987F">
            <w:pPr>
              <w:pStyle w:val="12"/>
            </w:pPr>
            <w:r>
              <w:t>100%</w:t>
            </w:r>
          </w:p>
        </w:tc>
        <w:tc>
          <w:tcPr>
            <w:tcW w:w="3544" w:type="dxa"/>
            <w:gridSpan w:val="2"/>
            <w:vAlign w:val="center"/>
          </w:tcPr>
          <w:p w14:paraId="20B428E3">
            <w:pPr>
              <w:pStyle w:val="12"/>
            </w:pPr>
            <w:r>
              <w:t>100%</w:t>
            </w:r>
          </w:p>
        </w:tc>
      </w:tr>
      <w:tr w14:paraId="1F84E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ED414">
            <w:pPr>
              <w:pStyle w:val="11"/>
            </w:pPr>
            <w:r>
              <w:t>绩效目标</w:t>
            </w:r>
          </w:p>
        </w:tc>
        <w:tc>
          <w:tcPr>
            <w:tcW w:w="14033" w:type="dxa"/>
            <w:gridSpan w:val="6"/>
            <w:vAlign w:val="center"/>
          </w:tcPr>
          <w:p w14:paraId="542324AA">
            <w:pPr>
              <w:pStyle w:val="13"/>
            </w:pPr>
            <w:r>
              <w:t>1.上年盘活资金23.9959万元，用于学校工业机器人实训室建设，改善了学校的实训环境，提升了办学品位</w:t>
            </w:r>
          </w:p>
        </w:tc>
      </w:tr>
    </w:tbl>
    <w:p w14:paraId="2DAEDF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5C02E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DB6B0CB">
            <w:pPr>
              <w:pStyle w:val="11"/>
            </w:pPr>
            <w:r>
              <w:t>一级指标</w:t>
            </w:r>
          </w:p>
        </w:tc>
        <w:tc>
          <w:tcPr>
            <w:tcW w:w="2268" w:type="dxa"/>
            <w:vAlign w:val="center"/>
          </w:tcPr>
          <w:p w14:paraId="746A870D">
            <w:pPr>
              <w:pStyle w:val="11"/>
            </w:pPr>
            <w:r>
              <w:t>二级指标</w:t>
            </w:r>
          </w:p>
        </w:tc>
        <w:tc>
          <w:tcPr>
            <w:tcW w:w="2835" w:type="dxa"/>
            <w:vAlign w:val="center"/>
          </w:tcPr>
          <w:p w14:paraId="18A5DE25">
            <w:pPr>
              <w:pStyle w:val="11"/>
            </w:pPr>
            <w:r>
              <w:t>三级指标</w:t>
            </w:r>
          </w:p>
        </w:tc>
        <w:tc>
          <w:tcPr>
            <w:tcW w:w="5386" w:type="dxa"/>
            <w:vAlign w:val="center"/>
          </w:tcPr>
          <w:p w14:paraId="0D7ADF4D">
            <w:pPr>
              <w:pStyle w:val="11"/>
            </w:pPr>
            <w:r>
              <w:t>绩效指标描述</w:t>
            </w:r>
          </w:p>
        </w:tc>
        <w:tc>
          <w:tcPr>
            <w:tcW w:w="1823" w:type="dxa"/>
            <w:vAlign w:val="center"/>
          </w:tcPr>
          <w:p w14:paraId="630F2CE5">
            <w:pPr>
              <w:pStyle w:val="11"/>
            </w:pPr>
            <w:r>
              <w:t>指标值</w:t>
            </w:r>
          </w:p>
        </w:tc>
        <w:tc>
          <w:tcPr>
            <w:tcW w:w="1721" w:type="dxa"/>
            <w:vAlign w:val="center"/>
          </w:tcPr>
          <w:p w14:paraId="4AA9B51E">
            <w:pPr>
              <w:pStyle w:val="11"/>
            </w:pPr>
            <w:r>
              <w:t>指标值确定依据</w:t>
            </w:r>
          </w:p>
        </w:tc>
      </w:tr>
      <w:tr w14:paraId="14C8D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80EB0">
            <w:pPr>
              <w:pStyle w:val="12"/>
            </w:pPr>
            <w:r>
              <w:t>产出指标</w:t>
            </w:r>
          </w:p>
        </w:tc>
        <w:tc>
          <w:tcPr>
            <w:tcW w:w="2268" w:type="dxa"/>
            <w:vAlign w:val="center"/>
          </w:tcPr>
          <w:p w14:paraId="712EB6D0">
            <w:pPr>
              <w:pStyle w:val="13"/>
            </w:pPr>
            <w:r>
              <w:t>数量指标</w:t>
            </w:r>
          </w:p>
        </w:tc>
        <w:tc>
          <w:tcPr>
            <w:tcW w:w="2835" w:type="dxa"/>
            <w:vAlign w:val="center"/>
          </w:tcPr>
          <w:p w14:paraId="209A0E5B">
            <w:pPr>
              <w:pStyle w:val="13"/>
            </w:pPr>
            <w:r>
              <w:t>工业机器人实训室设备购置</w:t>
            </w:r>
          </w:p>
        </w:tc>
        <w:tc>
          <w:tcPr>
            <w:tcW w:w="5386" w:type="dxa"/>
            <w:vAlign w:val="center"/>
          </w:tcPr>
          <w:p w14:paraId="7FCAF562">
            <w:pPr>
              <w:pStyle w:val="13"/>
            </w:pPr>
            <w:r>
              <w:t>工业机器人实训室设备购置</w:t>
            </w:r>
          </w:p>
        </w:tc>
        <w:tc>
          <w:tcPr>
            <w:tcW w:w="1823" w:type="dxa"/>
            <w:vAlign w:val="center"/>
          </w:tcPr>
          <w:p w14:paraId="044B9D4A">
            <w:pPr>
              <w:pStyle w:val="13"/>
            </w:pPr>
            <w:r>
              <w:t>1批</w:t>
            </w:r>
          </w:p>
        </w:tc>
        <w:tc>
          <w:tcPr>
            <w:tcW w:w="1721" w:type="dxa"/>
            <w:vAlign w:val="center"/>
          </w:tcPr>
          <w:p w14:paraId="0FFA1FE6">
            <w:pPr>
              <w:pStyle w:val="13"/>
            </w:pPr>
            <w:r>
              <w:t>冀财教【2023】126号</w:t>
            </w:r>
          </w:p>
        </w:tc>
      </w:tr>
      <w:tr w14:paraId="53206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9313250"/>
        </w:tc>
        <w:tc>
          <w:tcPr>
            <w:tcW w:w="2268" w:type="dxa"/>
            <w:vAlign w:val="center"/>
          </w:tcPr>
          <w:p w14:paraId="7CAB1866">
            <w:pPr>
              <w:pStyle w:val="13"/>
            </w:pPr>
            <w:r>
              <w:t>质量指标</w:t>
            </w:r>
          </w:p>
        </w:tc>
        <w:tc>
          <w:tcPr>
            <w:tcW w:w="2835" w:type="dxa"/>
            <w:vAlign w:val="center"/>
          </w:tcPr>
          <w:p w14:paraId="504D91D4">
            <w:pPr>
              <w:pStyle w:val="13"/>
            </w:pPr>
            <w:r>
              <w:t>工程合格率</w:t>
            </w:r>
          </w:p>
        </w:tc>
        <w:tc>
          <w:tcPr>
            <w:tcW w:w="5386" w:type="dxa"/>
            <w:vAlign w:val="center"/>
          </w:tcPr>
          <w:p w14:paraId="4A6F72F4">
            <w:pPr>
              <w:pStyle w:val="13"/>
            </w:pPr>
            <w:r>
              <w:t>工程合格率</w:t>
            </w:r>
          </w:p>
        </w:tc>
        <w:tc>
          <w:tcPr>
            <w:tcW w:w="1823" w:type="dxa"/>
            <w:vAlign w:val="center"/>
          </w:tcPr>
          <w:p w14:paraId="368D6A7B">
            <w:pPr>
              <w:pStyle w:val="13"/>
            </w:pPr>
            <w:r>
              <w:t>≥100%</w:t>
            </w:r>
          </w:p>
        </w:tc>
        <w:tc>
          <w:tcPr>
            <w:tcW w:w="1721" w:type="dxa"/>
            <w:vAlign w:val="center"/>
          </w:tcPr>
          <w:p w14:paraId="718CBEB3">
            <w:pPr>
              <w:pStyle w:val="13"/>
            </w:pPr>
            <w:r>
              <w:t>冀财教【2023】126号</w:t>
            </w:r>
          </w:p>
        </w:tc>
      </w:tr>
      <w:tr w14:paraId="0569B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AD458"/>
        </w:tc>
        <w:tc>
          <w:tcPr>
            <w:tcW w:w="2268" w:type="dxa"/>
            <w:vAlign w:val="center"/>
          </w:tcPr>
          <w:p w14:paraId="0733896B">
            <w:pPr>
              <w:pStyle w:val="13"/>
            </w:pPr>
            <w:r>
              <w:t>时效指标</w:t>
            </w:r>
          </w:p>
        </w:tc>
        <w:tc>
          <w:tcPr>
            <w:tcW w:w="2835" w:type="dxa"/>
            <w:vAlign w:val="center"/>
          </w:tcPr>
          <w:p w14:paraId="03A99956">
            <w:pPr>
              <w:pStyle w:val="13"/>
            </w:pPr>
            <w:r>
              <w:t>项目实施时间</w:t>
            </w:r>
          </w:p>
        </w:tc>
        <w:tc>
          <w:tcPr>
            <w:tcW w:w="5386" w:type="dxa"/>
            <w:vAlign w:val="center"/>
          </w:tcPr>
          <w:p w14:paraId="7EAE37DB">
            <w:pPr>
              <w:pStyle w:val="13"/>
            </w:pPr>
            <w:r>
              <w:t>2025年1月-12月</w:t>
            </w:r>
          </w:p>
        </w:tc>
        <w:tc>
          <w:tcPr>
            <w:tcW w:w="1823" w:type="dxa"/>
            <w:vAlign w:val="center"/>
          </w:tcPr>
          <w:p w14:paraId="71C68948">
            <w:pPr>
              <w:pStyle w:val="13"/>
            </w:pPr>
            <w:r>
              <w:t>≥100%</w:t>
            </w:r>
          </w:p>
        </w:tc>
        <w:tc>
          <w:tcPr>
            <w:tcW w:w="1721" w:type="dxa"/>
            <w:vAlign w:val="center"/>
          </w:tcPr>
          <w:p w14:paraId="1B171E94">
            <w:pPr>
              <w:pStyle w:val="13"/>
            </w:pPr>
            <w:r>
              <w:t>冀财教【2023】126号</w:t>
            </w:r>
          </w:p>
        </w:tc>
      </w:tr>
      <w:tr w14:paraId="51D8E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EB786"/>
        </w:tc>
        <w:tc>
          <w:tcPr>
            <w:tcW w:w="2268" w:type="dxa"/>
            <w:vAlign w:val="center"/>
          </w:tcPr>
          <w:p w14:paraId="310F0625">
            <w:pPr>
              <w:pStyle w:val="13"/>
            </w:pPr>
            <w:r>
              <w:t>成本指标</w:t>
            </w:r>
          </w:p>
        </w:tc>
        <w:tc>
          <w:tcPr>
            <w:tcW w:w="2835" w:type="dxa"/>
            <w:vAlign w:val="center"/>
          </w:tcPr>
          <w:p w14:paraId="25F94C6E">
            <w:pPr>
              <w:pStyle w:val="13"/>
            </w:pPr>
            <w:r>
              <w:t>实训室建设成本</w:t>
            </w:r>
          </w:p>
        </w:tc>
        <w:tc>
          <w:tcPr>
            <w:tcW w:w="5386" w:type="dxa"/>
            <w:vAlign w:val="center"/>
          </w:tcPr>
          <w:p w14:paraId="5EE34CDE">
            <w:pPr>
              <w:pStyle w:val="13"/>
            </w:pPr>
            <w:r>
              <w:t>工业机器人实训室设备购置</w:t>
            </w:r>
          </w:p>
        </w:tc>
        <w:tc>
          <w:tcPr>
            <w:tcW w:w="1823" w:type="dxa"/>
            <w:vAlign w:val="center"/>
          </w:tcPr>
          <w:p w14:paraId="252D0E51">
            <w:pPr>
              <w:pStyle w:val="13"/>
            </w:pPr>
            <w:r>
              <w:t>33.99万元</w:t>
            </w:r>
          </w:p>
        </w:tc>
        <w:tc>
          <w:tcPr>
            <w:tcW w:w="1721" w:type="dxa"/>
            <w:vAlign w:val="center"/>
          </w:tcPr>
          <w:p w14:paraId="0FC5AC41">
            <w:pPr>
              <w:pStyle w:val="13"/>
            </w:pPr>
            <w:r>
              <w:t>冀财教【2023】126号</w:t>
            </w:r>
          </w:p>
        </w:tc>
      </w:tr>
      <w:tr w14:paraId="6C4FB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BBD3FB">
            <w:pPr>
              <w:pStyle w:val="12"/>
            </w:pPr>
            <w:r>
              <w:t>效益指标</w:t>
            </w:r>
          </w:p>
        </w:tc>
        <w:tc>
          <w:tcPr>
            <w:tcW w:w="2268" w:type="dxa"/>
            <w:vAlign w:val="center"/>
          </w:tcPr>
          <w:p w14:paraId="709BBC10">
            <w:pPr>
              <w:pStyle w:val="13"/>
            </w:pPr>
            <w:r>
              <w:t>经济效益指标</w:t>
            </w:r>
          </w:p>
        </w:tc>
        <w:tc>
          <w:tcPr>
            <w:tcW w:w="2835" w:type="dxa"/>
            <w:vAlign w:val="center"/>
          </w:tcPr>
          <w:p w14:paraId="2773780A">
            <w:pPr>
              <w:pStyle w:val="13"/>
            </w:pPr>
            <w:r>
              <w:t>改造后维持年限</w:t>
            </w:r>
          </w:p>
        </w:tc>
        <w:tc>
          <w:tcPr>
            <w:tcW w:w="5386" w:type="dxa"/>
            <w:vAlign w:val="center"/>
          </w:tcPr>
          <w:p w14:paraId="0E62167B">
            <w:pPr>
              <w:pStyle w:val="13"/>
            </w:pPr>
            <w:r>
              <w:t>改造后维持年限</w:t>
            </w:r>
          </w:p>
        </w:tc>
        <w:tc>
          <w:tcPr>
            <w:tcW w:w="1823" w:type="dxa"/>
            <w:vAlign w:val="center"/>
          </w:tcPr>
          <w:p w14:paraId="58EB8102">
            <w:pPr>
              <w:pStyle w:val="13"/>
            </w:pPr>
            <w:r>
              <w:t>10年</w:t>
            </w:r>
          </w:p>
        </w:tc>
        <w:tc>
          <w:tcPr>
            <w:tcW w:w="1721" w:type="dxa"/>
            <w:vAlign w:val="center"/>
          </w:tcPr>
          <w:p w14:paraId="20ACE1F1">
            <w:pPr>
              <w:pStyle w:val="13"/>
            </w:pPr>
            <w:r>
              <w:t>冀财教【2023】126号</w:t>
            </w:r>
          </w:p>
        </w:tc>
      </w:tr>
      <w:tr w14:paraId="00B56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72FECC">
            <w:pPr>
              <w:pStyle w:val="12"/>
            </w:pPr>
            <w:r>
              <w:t>满意度指标</w:t>
            </w:r>
          </w:p>
        </w:tc>
        <w:tc>
          <w:tcPr>
            <w:tcW w:w="2268" w:type="dxa"/>
            <w:vAlign w:val="center"/>
          </w:tcPr>
          <w:p w14:paraId="69FA878D">
            <w:pPr>
              <w:pStyle w:val="13"/>
            </w:pPr>
            <w:r>
              <w:t>服务对象满意度指标</w:t>
            </w:r>
          </w:p>
        </w:tc>
        <w:tc>
          <w:tcPr>
            <w:tcW w:w="2835" w:type="dxa"/>
            <w:vAlign w:val="center"/>
          </w:tcPr>
          <w:p w14:paraId="2D9F857E">
            <w:pPr>
              <w:pStyle w:val="13"/>
            </w:pPr>
            <w:r>
              <w:t>家长学生满意度</w:t>
            </w:r>
          </w:p>
        </w:tc>
        <w:tc>
          <w:tcPr>
            <w:tcW w:w="5386" w:type="dxa"/>
            <w:vAlign w:val="center"/>
          </w:tcPr>
          <w:p w14:paraId="1C5DFE06">
            <w:pPr>
              <w:pStyle w:val="13"/>
            </w:pPr>
            <w:r>
              <w:t>家长学生满意度</w:t>
            </w:r>
          </w:p>
        </w:tc>
        <w:tc>
          <w:tcPr>
            <w:tcW w:w="1823" w:type="dxa"/>
            <w:vAlign w:val="center"/>
          </w:tcPr>
          <w:p w14:paraId="2D803EC8">
            <w:pPr>
              <w:pStyle w:val="13"/>
            </w:pPr>
            <w:r>
              <w:t>≥95%</w:t>
            </w:r>
          </w:p>
        </w:tc>
        <w:tc>
          <w:tcPr>
            <w:tcW w:w="1721" w:type="dxa"/>
            <w:vAlign w:val="center"/>
          </w:tcPr>
          <w:p w14:paraId="01AF29C5">
            <w:pPr>
              <w:pStyle w:val="13"/>
            </w:pPr>
            <w:r>
              <w:t>冀财教【2023】126号</w:t>
            </w:r>
          </w:p>
        </w:tc>
      </w:tr>
    </w:tbl>
    <w:p w14:paraId="53DC70D5">
      <w:pPr>
        <w:sectPr>
          <w:pgSz w:w="16840" w:h="11900" w:orient="landscape"/>
          <w:pgMar w:top="1361" w:right="1020" w:bottom="1134" w:left="1020" w:header="720" w:footer="720" w:gutter="0"/>
          <w:cols w:space="720" w:num="1"/>
        </w:sectPr>
      </w:pPr>
    </w:p>
    <w:p w14:paraId="607F6F2F">
      <w:pPr>
        <w:spacing w:before="0" w:after="0"/>
        <w:ind w:firstLine="560"/>
        <w:jc w:val="left"/>
        <w:outlineLvl w:val="9"/>
      </w:pPr>
      <w:r>
        <w:rPr>
          <w:rFonts w:ascii="方正仿宋_GBK" w:hAnsi="方正仿宋_GBK" w:eastAsia="方正仿宋_GBK" w:cs="方正仿宋_GBK"/>
          <w:b/>
          <w:color w:val="000000"/>
          <w:sz w:val="28"/>
        </w:rPr>
        <w:t>18、县级配套/普通高中三免（职教高中）建档立卡绩效目标表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03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7EBBB">
            <w:pPr>
              <w:pStyle w:val="14"/>
            </w:pPr>
            <w:r>
              <w:t>单位：万元</w:t>
            </w:r>
          </w:p>
        </w:tc>
      </w:tr>
      <w:tr w14:paraId="3C24C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8DDC0A">
            <w:pPr>
              <w:pStyle w:val="11"/>
            </w:pPr>
            <w:r>
              <w:t>项目编码</w:t>
            </w:r>
          </w:p>
        </w:tc>
        <w:tc>
          <w:tcPr>
            <w:tcW w:w="5103" w:type="dxa"/>
            <w:gridSpan w:val="2"/>
            <w:vAlign w:val="center"/>
          </w:tcPr>
          <w:p w14:paraId="6C3E2F35">
            <w:pPr>
              <w:pStyle w:val="13"/>
            </w:pPr>
            <w:r>
              <w:t>13052525P00001210010P</w:t>
            </w:r>
          </w:p>
        </w:tc>
        <w:tc>
          <w:tcPr>
            <w:tcW w:w="2835" w:type="dxa"/>
            <w:vAlign w:val="center"/>
          </w:tcPr>
          <w:p w14:paraId="71EB07F1">
            <w:pPr>
              <w:pStyle w:val="11"/>
            </w:pPr>
            <w:r>
              <w:t>项目名称</w:t>
            </w:r>
          </w:p>
        </w:tc>
        <w:tc>
          <w:tcPr>
            <w:tcW w:w="6095" w:type="dxa"/>
            <w:gridSpan w:val="3"/>
            <w:vAlign w:val="center"/>
          </w:tcPr>
          <w:p w14:paraId="5F4FAE72">
            <w:pPr>
              <w:pStyle w:val="13"/>
            </w:pPr>
            <w:r>
              <w:t>县级配套/普通高中三免（职教高中）建档立卡</w:t>
            </w:r>
            <w:r>
              <w:tab/>
            </w:r>
            <w:r>
              <w:tab/>
            </w:r>
          </w:p>
        </w:tc>
      </w:tr>
      <w:tr w14:paraId="43533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5D0E0">
            <w:pPr>
              <w:pStyle w:val="11"/>
            </w:pPr>
            <w:r>
              <w:t>预算规模及资金用途</w:t>
            </w:r>
          </w:p>
        </w:tc>
        <w:tc>
          <w:tcPr>
            <w:tcW w:w="2268" w:type="dxa"/>
            <w:vAlign w:val="center"/>
          </w:tcPr>
          <w:p w14:paraId="430B7585">
            <w:pPr>
              <w:pStyle w:val="11"/>
            </w:pPr>
            <w:r>
              <w:t>预算数</w:t>
            </w:r>
          </w:p>
        </w:tc>
        <w:tc>
          <w:tcPr>
            <w:tcW w:w="2835" w:type="dxa"/>
            <w:vAlign w:val="center"/>
          </w:tcPr>
          <w:p w14:paraId="05A7FC9E">
            <w:pPr>
              <w:pStyle w:val="13"/>
            </w:pPr>
            <w:r>
              <w:t>1.32</w:t>
            </w:r>
          </w:p>
        </w:tc>
        <w:tc>
          <w:tcPr>
            <w:tcW w:w="2835" w:type="dxa"/>
            <w:vAlign w:val="center"/>
          </w:tcPr>
          <w:p w14:paraId="7407918B">
            <w:pPr>
              <w:pStyle w:val="11"/>
            </w:pPr>
            <w:r>
              <w:t>其中：财政    资金</w:t>
            </w:r>
          </w:p>
        </w:tc>
        <w:tc>
          <w:tcPr>
            <w:tcW w:w="2551" w:type="dxa"/>
            <w:vAlign w:val="center"/>
          </w:tcPr>
          <w:p w14:paraId="200D05D0">
            <w:pPr>
              <w:pStyle w:val="13"/>
            </w:pPr>
            <w:r>
              <w:t>1.32</w:t>
            </w:r>
          </w:p>
        </w:tc>
        <w:tc>
          <w:tcPr>
            <w:tcW w:w="2268" w:type="dxa"/>
            <w:vAlign w:val="center"/>
          </w:tcPr>
          <w:p w14:paraId="090E9FE8">
            <w:pPr>
              <w:pStyle w:val="11"/>
            </w:pPr>
            <w:r>
              <w:t>其他资金</w:t>
            </w:r>
          </w:p>
        </w:tc>
        <w:tc>
          <w:tcPr>
            <w:tcW w:w="1276" w:type="dxa"/>
            <w:vAlign w:val="center"/>
          </w:tcPr>
          <w:p w14:paraId="54893188">
            <w:pPr>
              <w:pStyle w:val="13"/>
            </w:pPr>
            <w:r>
              <w:t xml:space="preserve"> </w:t>
            </w:r>
          </w:p>
        </w:tc>
      </w:tr>
      <w:tr w14:paraId="0E123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9F56EE"/>
        </w:tc>
        <w:tc>
          <w:tcPr>
            <w:tcW w:w="14033" w:type="dxa"/>
            <w:gridSpan w:val="6"/>
            <w:vAlign w:val="center"/>
          </w:tcPr>
          <w:p w14:paraId="2137C299">
            <w:pPr>
              <w:pStyle w:val="13"/>
            </w:pPr>
            <w:r>
              <w:t>2025年预算安排普高三免资金1.316万元，用于减免学生费用后弥补公用经费不足使用。</w:t>
            </w:r>
          </w:p>
        </w:tc>
      </w:tr>
      <w:tr w14:paraId="5F397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97C0A">
            <w:pPr>
              <w:pStyle w:val="11"/>
            </w:pPr>
            <w:r>
              <w:t>资金支出计划（%）</w:t>
            </w:r>
          </w:p>
        </w:tc>
        <w:tc>
          <w:tcPr>
            <w:tcW w:w="5103" w:type="dxa"/>
            <w:gridSpan w:val="2"/>
            <w:vAlign w:val="center"/>
          </w:tcPr>
          <w:p w14:paraId="1DCE2376">
            <w:pPr>
              <w:pStyle w:val="11"/>
            </w:pPr>
            <w:r>
              <w:t>3月底</w:t>
            </w:r>
          </w:p>
        </w:tc>
        <w:tc>
          <w:tcPr>
            <w:tcW w:w="2835" w:type="dxa"/>
            <w:vAlign w:val="center"/>
          </w:tcPr>
          <w:p w14:paraId="59C22369">
            <w:pPr>
              <w:pStyle w:val="11"/>
            </w:pPr>
            <w:r>
              <w:t>6月底</w:t>
            </w:r>
          </w:p>
        </w:tc>
        <w:tc>
          <w:tcPr>
            <w:tcW w:w="2551" w:type="dxa"/>
            <w:vAlign w:val="center"/>
          </w:tcPr>
          <w:p w14:paraId="64D854E1">
            <w:pPr>
              <w:pStyle w:val="11"/>
            </w:pPr>
            <w:r>
              <w:t>10月底</w:t>
            </w:r>
          </w:p>
        </w:tc>
        <w:tc>
          <w:tcPr>
            <w:tcW w:w="3544" w:type="dxa"/>
            <w:gridSpan w:val="2"/>
            <w:vAlign w:val="center"/>
          </w:tcPr>
          <w:p w14:paraId="724A60D4">
            <w:pPr>
              <w:pStyle w:val="11"/>
            </w:pPr>
            <w:r>
              <w:t>12月底</w:t>
            </w:r>
          </w:p>
        </w:tc>
      </w:tr>
      <w:tr w14:paraId="56F4B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D20557"/>
        </w:tc>
        <w:tc>
          <w:tcPr>
            <w:tcW w:w="5103" w:type="dxa"/>
            <w:gridSpan w:val="2"/>
            <w:vAlign w:val="center"/>
          </w:tcPr>
          <w:p w14:paraId="6DE05D99">
            <w:pPr>
              <w:pStyle w:val="12"/>
            </w:pPr>
            <w:r>
              <w:t xml:space="preserve"> </w:t>
            </w:r>
          </w:p>
        </w:tc>
        <w:tc>
          <w:tcPr>
            <w:tcW w:w="2835" w:type="dxa"/>
            <w:vAlign w:val="center"/>
          </w:tcPr>
          <w:p w14:paraId="167F0981">
            <w:pPr>
              <w:pStyle w:val="12"/>
            </w:pPr>
            <w:r>
              <w:t>50%</w:t>
            </w:r>
          </w:p>
        </w:tc>
        <w:tc>
          <w:tcPr>
            <w:tcW w:w="2551" w:type="dxa"/>
            <w:vAlign w:val="center"/>
          </w:tcPr>
          <w:p w14:paraId="51B46D9A">
            <w:pPr>
              <w:pStyle w:val="12"/>
            </w:pPr>
            <w:r>
              <w:t>50%</w:t>
            </w:r>
          </w:p>
        </w:tc>
        <w:tc>
          <w:tcPr>
            <w:tcW w:w="3544" w:type="dxa"/>
            <w:gridSpan w:val="2"/>
            <w:vAlign w:val="center"/>
          </w:tcPr>
          <w:p w14:paraId="33161643">
            <w:pPr>
              <w:pStyle w:val="12"/>
            </w:pPr>
            <w:r>
              <w:t>100%</w:t>
            </w:r>
          </w:p>
        </w:tc>
      </w:tr>
      <w:tr w14:paraId="3DF2E8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316080">
            <w:pPr>
              <w:pStyle w:val="11"/>
            </w:pPr>
            <w:r>
              <w:t>绩效目标</w:t>
            </w:r>
          </w:p>
        </w:tc>
        <w:tc>
          <w:tcPr>
            <w:tcW w:w="14033" w:type="dxa"/>
            <w:gridSpan w:val="6"/>
            <w:vAlign w:val="center"/>
          </w:tcPr>
          <w:p w14:paraId="2FD1DD79">
            <w:pPr>
              <w:pStyle w:val="13"/>
            </w:pPr>
            <w:r>
              <w:t>1.县级预算安排1.316万元普通高中三免资金，主要用于减免贫困生学费、住宿费、书费后经费不足。</w:t>
            </w:r>
          </w:p>
        </w:tc>
      </w:tr>
    </w:tbl>
    <w:p w14:paraId="72F05C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339"/>
        <w:gridCol w:w="1845"/>
        <w:gridCol w:w="3746"/>
      </w:tblGrid>
      <w:tr w14:paraId="6FA74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D9958">
            <w:pPr>
              <w:pStyle w:val="11"/>
            </w:pPr>
            <w:r>
              <w:t>一级指标</w:t>
            </w:r>
          </w:p>
        </w:tc>
        <w:tc>
          <w:tcPr>
            <w:tcW w:w="2268" w:type="dxa"/>
            <w:vAlign w:val="center"/>
          </w:tcPr>
          <w:p w14:paraId="588FDE0C">
            <w:pPr>
              <w:pStyle w:val="11"/>
            </w:pPr>
            <w:r>
              <w:t>二级指标</w:t>
            </w:r>
          </w:p>
        </w:tc>
        <w:tc>
          <w:tcPr>
            <w:tcW w:w="2835" w:type="dxa"/>
            <w:vAlign w:val="center"/>
          </w:tcPr>
          <w:p w14:paraId="0C0F2623">
            <w:pPr>
              <w:pStyle w:val="11"/>
            </w:pPr>
            <w:r>
              <w:t>三级指标</w:t>
            </w:r>
          </w:p>
        </w:tc>
        <w:tc>
          <w:tcPr>
            <w:tcW w:w="3339" w:type="dxa"/>
            <w:vAlign w:val="center"/>
          </w:tcPr>
          <w:p w14:paraId="17B44DB1">
            <w:pPr>
              <w:pStyle w:val="11"/>
            </w:pPr>
            <w:r>
              <w:t>绩效指标描述</w:t>
            </w:r>
          </w:p>
        </w:tc>
        <w:tc>
          <w:tcPr>
            <w:tcW w:w="1845" w:type="dxa"/>
            <w:vAlign w:val="center"/>
          </w:tcPr>
          <w:p w14:paraId="61617C04">
            <w:pPr>
              <w:pStyle w:val="11"/>
            </w:pPr>
            <w:r>
              <w:t>指标值</w:t>
            </w:r>
          </w:p>
        </w:tc>
        <w:tc>
          <w:tcPr>
            <w:tcW w:w="3746" w:type="dxa"/>
            <w:vAlign w:val="center"/>
          </w:tcPr>
          <w:p w14:paraId="14350A10">
            <w:pPr>
              <w:pStyle w:val="11"/>
            </w:pPr>
            <w:r>
              <w:t>指标值确定依据</w:t>
            </w:r>
          </w:p>
        </w:tc>
      </w:tr>
      <w:tr w14:paraId="0C335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31DAD">
            <w:pPr>
              <w:pStyle w:val="12"/>
            </w:pPr>
            <w:r>
              <w:t>产出指标</w:t>
            </w:r>
          </w:p>
        </w:tc>
        <w:tc>
          <w:tcPr>
            <w:tcW w:w="2268" w:type="dxa"/>
            <w:vAlign w:val="center"/>
          </w:tcPr>
          <w:p w14:paraId="4CAAE62B">
            <w:pPr>
              <w:pStyle w:val="13"/>
            </w:pPr>
            <w:r>
              <w:t>数量指标</w:t>
            </w:r>
          </w:p>
        </w:tc>
        <w:tc>
          <w:tcPr>
            <w:tcW w:w="2835" w:type="dxa"/>
            <w:vAlign w:val="center"/>
          </w:tcPr>
          <w:p w14:paraId="1596520C">
            <w:pPr>
              <w:pStyle w:val="13"/>
            </w:pPr>
            <w:r>
              <w:t>普通高中享受三免人数</w:t>
            </w:r>
          </w:p>
        </w:tc>
        <w:tc>
          <w:tcPr>
            <w:tcW w:w="3339" w:type="dxa"/>
            <w:vAlign w:val="center"/>
          </w:tcPr>
          <w:p w14:paraId="548CCBD8">
            <w:pPr>
              <w:pStyle w:val="13"/>
            </w:pPr>
            <w:r>
              <w:t>普通高中享受免学费住宿费书费人数</w:t>
            </w:r>
          </w:p>
        </w:tc>
        <w:tc>
          <w:tcPr>
            <w:tcW w:w="1845" w:type="dxa"/>
            <w:vAlign w:val="center"/>
          </w:tcPr>
          <w:p w14:paraId="13A49D58">
            <w:pPr>
              <w:pStyle w:val="13"/>
            </w:pPr>
            <w:r>
              <w:t>47人</w:t>
            </w:r>
          </w:p>
        </w:tc>
        <w:tc>
          <w:tcPr>
            <w:tcW w:w="3746" w:type="dxa"/>
            <w:vAlign w:val="center"/>
          </w:tcPr>
          <w:p w14:paraId="1120D9C1">
            <w:pPr>
              <w:pStyle w:val="13"/>
            </w:pPr>
            <w:r>
              <w:t>河北省建档立卡家庭经济困难学生资助管理暂行办法</w:t>
            </w:r>
          </w:p>
        </w:tc>
      </w:tr>
      <w:tr w14:paraId="25F8F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112ED"/>
        </w:tc>
        <w:tc>
          <w:tcPr>
            <w:tcW w:w="2268" w:type="dxa"/>
            <w:vAlign w:val="center"/>
          </w:tcPr>
          <w:p w14:paraId="2866538D">
            <w:pPr>
              <w:pStyle w:val="13"/>
            </w:pPr>
            <w:r>
              <w:t>质量指标</w:t>
            </w:r>
          </w:p>
        </w:tc>
        <w:tc>
          <w:tcPr>
            <w:tcW w:w="2835" w:type="dxa"/>
            <w:vAlign w:val="center"/>
          </w:tcPr>
          <w:p w14:paraId="5FDA3398">
            <w:pPr>
              <w:pStyle w:val="13"/>
            </w:pPr>
            <w:r>
              <w:t>完成普高三免资金发放工作</w:t>
            </w:r>
          </w:p>
        </w:tc>
        <w:tc>
          <w:tcPr>
            <w:tcW w:w="3339" w:type="dxa"/>
            <w:vAlign w:val="center"/>
          </w:tcPr>
          <w:p w14:paraId="16E6D6FD">
            <w:pPr>
              <w:pStyle w:val="13"/>
            </w:pPr>
            <w:r>
              <w:t>普高三免为建档立卡学生</w:t>
            </w:r>
          </w:p>
        </w:tc>
        <w:tc>
          <w:tcPr>
            <w:tcW w:w="1845" w:type="dxa"/>
            <w:vAlign w:val="center"/>
          </w:tcPr>
          <w:p w14:paraId="04267339">
            <w:pPr>
              <w:pStyle w:val="13"/>
            </w:pPr>
            <w:r>
              <w:t>≥100%</w:t>
            </w:r>
          </w:p>
        </w:tc>
        <w:tc>
          <w:tcPr>
            <w:tcW w:w="3746" w:type="dxa"/>
            <w:vAlign w:val="center"/>
          </w:tcPr>
          <w:p w14:paraId="24ED1F4D">
            <w:pPr>
              <w:pStyle w:val="13"/>
            </w:pPr>
            <w:r>
              <w:t>河北省建档立卡家庭经济困难学生资助管理暂行办法</w:t>
            </w:r>
          </w:p>
        </w:tc>
      </w:tr>
      <w:tr w14:paraId="04496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D2498"/>
        </w:tc>
        <w:tc>
          <w:tcPr>
            <w:tcW w:w="2268" w:type="dxa"/>
            <w:vAlign w:val="center"/>
          </w:tcPr>
          <w:p w14:paraId="00FE9A81">
            <w:pPr>
              <w:pStyle w:val="13"/>
            </w:pPr>
            <w:r>
              <w:t>时效指标</w:t>
            </w:r>
          </w:p>
        </w:tc>
        <w:tc>
          <w:tcPr>
            <w:tcW w:w="2835" w:type="dxa"/>
            <w:vAlign w:val="center"/>
          </w:tcPr>
          <w:p w14:paraId="48AD16D8">
            <w:pPr>
              <w:pStyle w:val="13"/>
            </w:pPr>
            <w:r>
              <w:t>补助资金及时足额发放率</w:t>
            </w:r>
          </w:p>
        </w:tc>
        <w:tc>
          <w:tcPr>
            <w:tcW w:w="3339" w:type="dxa"/>
            <w:vAlign w:val="center"/>
          </w:tcPr>
          <w:p w14:paraId="6D2887C8">
            <w:pPr>
              <w:pStyle w:val="13"/>
            </w:pPr>
            <w:r>
              <w:t>补助资金及时足额到位率</w:t>
            </w:r>
          </w:p>
        </w:tc>
        <w:tc>
          <w:tcPr>
            <w:tcW w:w="1845" w:type="dxa"/>
            <w:vAlign w:val="center"/>
          </w:tcPr>
          <w:p w14:paraId="13A9814A">
            <w:pPr>
              <w:pStyle w:val="13"/>
            </w:pPr>
            <w:r>
              <w:t>≥100%</w:t>
            </w:r>
          </w:p>
        </w:tc>
        <w:tc>
          <w:tcPr>
            <w:tcW w:w="3746" w:type="dxa"/>
            <w:vAlign w:val="center"/>
          </w:tcPr>
          <w:p w14:paraId="3EAEC2F3">
            <w:pPr>
              <w:pStyle w:val="13"/>
            </w:pPr>
            <w:r>
              <w:t>河北省建档立卡家庭经济困难学生资助管理暂行办法</w:t>
            </w:r>
          </w:p>
        </w:tc>
      </w:tr>
      <w:tr w14:paraId="55137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0CF5C"/>
        </w:tc>
        <w:tc>
          <w:tcPr>
            <w:tcW w:w="2268" w:type="dxa"/>
            <w:vAlign w:val="center"/>
          </w:tcPr>
          <w:p w14:paraId="7E6BF78A">
            <w:pPr>
              <w:pStyle w:val="13"/>
            </w:pPr>
            <w:r>
              <w:t>成本指标</w:t>
            </w:r>
          </w:p>
        </w:tc>
        <w:tc>
          <w:tcPr>
            <w:tcW w:w="2835" w:type="dxa"/>
            <w:vAlign w:val="center"/>
          </w:tcPr>
          <w:p w14:paraId="20D0F0B5">
            <w:pPr>
              <w:pStyle w:val="13"/>
            </w:pPr>
            <w:r>
              <w:t>免学费标准</w:t>
            </w:r>
          </w:p>
        </w:tc>
        <w:tc>
          <w:tcPr>
            <w:tcW w:w="3339" w:type="dxa"/>
            <w:vAlign w:val="center"/>
          </w:tcPr>
          <w:p w14:paraId="18D0139F">
            <w:pPr>
              <w:pStyle w:val="13"/>
            </w:pPr>
            <w:r>
              <w:t>普高免学费住宿费书费2800元</w:t>
            </w:r>
          </w:p>
        </w:tc>
        <w:tc>
          <w:tcPr>
            <w:tcW w:w="1845" w:type="dxa"/>
            <w:vAlign w:val="center"/>
          </w:tcPr>
          <w:p w14:paraId="48C3B924">
            <w:pPr>
              <w:pStyle w:val="13"/>
            </w:pPr>
            <w:r>
              <w:t>2800元/生/年</w:t>
            </w:r>
          </w:p>
        </w:tc>
        <w:tc>
          <w:tcPr>
            <w:tcW w:w="3746" w:type="dxa"/>
            <w:vAlign w:val="center"/>
          </w:tcPr>
          <w:p w14:paraId="1BF278A7">
            <w:pPr>
              <w:pStyle w:val="13"/>
            </w:pPr>
            <w:r>
              <w:t>河北省建档立卡家庭经济困难学生资助管理暂行办法</w:t>
            </w:r>
          </w:p>
        </w:tc>
      </w:tr>
      <w:tr w14:paraId="2E4A1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82067">
            <w:pPr>
              <w:pStyle w:val="12"/>
            </w:pPr>
            <w:r>
              <w:t>效益指标</w:t>
            </w:r>
          </w:p>
        </w:tc>
        <w:tc>
          <w:tcPr>
            <w:tcW w:w="2268" w:type="dxa"/>
            <w:vAlign w:val="center"/>
          </w:tcPr>
          <w:p w14:paraId="3376D715">
            <w:pPr>
              <w:pStyle w:val="13"/>
            </w:pPr>
            <w:r>
              <w:t>经济效益指标</w:t>
            </w:r>
          </w:p>
        </w:tc>
        <w:tc>
          <w:tcPr>
            <w:tcW w:w="2835" w:type="dxa"/>
            <w:vAlign w:val="center"/>
          </w:tcPr>
          <w:p w14:paraId="31B49DA3">
            <w:pPr>
              <w:pStyle w:val="13"/>
            </w:pPr>
            <w:r>
              <w:t>减轻家庭负担</w:t>
            </w:r>
          </w:p>
        </w:tc>
        <w:tc>
          <w:tcPr>
            <w:tcW w:w="3339" w:type="dxa"/>
            <w:vAlign w:val="center"/>
          </w:tcPr>
          <w:p w14:paraId="61B8AE5A">
            <w:pPr>
              <w:pStyle w:val="13"/>
            </w:pPr>
            <w:r>
              <w:t>减轻建档立卡家庭学生家长经济负担</w:t>
            </w:r>
          </w:p>
        </w:tc>
        <w:tc>
          <w:tcPr>
            <w:tcW w:w="1845" w:type="dxa"/>
            <w:vAlign w:val="center"/>
          </w:tcPr>
          <w:p w14:paraId="5D410B92">
            <w:pPr>
              <w:pStyle w:val="13"/>
            </w:pPr>
            <w:r>
              <w:t>≥100%</w:t>
            </w:r>
          </w:p>
        </w:tc>
        <w:tc>
          <w:tcPr>
            <w:tcW w:w="3746" w:type="dxa"/>
            <w:vAlign w:val="center"/>
          </w:tcPr>
          <w:p w14:paraId="78816A91">
            <w:pPr>
              <w:pStyle w:val="13"/>
            </w:pPr>
            <w:r>
              <w:t>隆财【2017】26号</w:t>
            </w:r>
          </w:p>
        </w:tc>
      </w:tr>
      <w:tr w14:paraId="53BF6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0AA7A"/>
        </w:tc>
        <w:tc>
          <w:tcPr>
            <w:tcW w:w="2268" w:type="dxa"/>
            <w:vAlign w:val="center"/>
          </w:tcPr>
          <w:p w14:paraId="6373000C">
            <w:pPr>
              <w:pStyle w:val="13"/>
            </w:pPr>
            <w:r>
              <w:t>社会效益指标</w:t>
            </w:r>
          </w:p>
        </w:tc>
        <w:tc>
          <w:tcPr>
            <w:tcW w:w="2835" w:type="dxa"/>
            <w:vAlign w:val="center"/>
          </w:tcPr>
          <w:p w14:paraId="146E3147">
            <w:pPr>
              <w:pStyle w:val="13"/>
            </w:pPr>
            <w:r>
              <w:t>高中运转</w:t>
            </w:r>
          </w:p>
        </w:tc>
        <w:tc>
          <w:tcPr>
            <w:tcW w:w="3339" w:type="dxa"/>
            <w:vAlign w:val="center"/>
          </w:tcPr>
          <w:p w14:paraId="727A5AC5">
            <w:pPr>
              <w:pStyle w:val="13"/>
            </w:pPr>
            <w:r>
              <w:t>高中生受教育年限</w:t>
            </w:r>
          </w:p>
        </w:tc>
        <w:tc>
          <w:tcPr>
            <w:tcW w:w="1845" w:type="dxa"/>
            <w:vAlign w:val="center"/>
          </w:tcPr>
          <w:p w14:paraId="5B4D96D0">
            <w:pPr>
              <w:pStyle w:val="13"/>
            </w:pPr>
            <w:r>
              <w:t>3年</w:t>
            </w:r>
          </w:p>
        </w:tc>
        <w:tc>
          <w:tcPr>
            <w:tcW w:w="3746" w:type="dxa"/>
            <w:vAlign w:val="center"/>
          </w:tcPr>
          <w:p w14:paraId="41D2212C">
            <w:pPr>
              <w:pStyle w:val="13"/>
            </w:pPr>
            <w:r>
              <w:t>河北省建档立卡家庭经济困难学生资助管理暂行办法</w:t>
            </w:r>
          </w:p>
        </w:tc>
      </w:tr>
      <w:tr w14:paraId="6C16D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7A4B03">
            <w:pPr>
              <w:pStyle w:val="12"/>
            </w:pPr>
            <w:r>
              <w:t>满意度指标</w:t>
            </w:r>
          </w:p>
        </w:tc>
        <w:tc>
          <w:tcPr>
            <w:tcW w:w="2268" w:type="dxa"/>
            <w:vAlign w:val="center"/>
          </w:tcPr>
          <w:p w14:paraId="4B22866A">
            <w:pPr>
              <w:pStyle w:val="13"/>
            </w:pPr>
            <w:r>
              <w:t>服务对象满意度指标</w:t>
            </w:r>
          </w:p>
        </w:tc>
        <w:tc>
          <w:tcPr>
            <w:tcW w:w="2835" w:type="dxa"/>
            <w:vAlign w:val="center"/>
          </w:tcPr>
          <w:p w14:paraId="6E494082">
            <w:pPr>
              <w:pStyle w:val="13"/>
            </w:pPr>
            <w:r>
              <w:t>提升幸福指数</w:t>
            </w:r>
          </w:p>
        </w:tc>
        <w:tc>
          <w:tcPr>
            <w:tcW w:w="3339" w:type="dxa"/>
            <w:vAlign w:val="center"/>
          </w:tcPr>
          <w:p w14:paraId="327BFEBD">
            <w:pPr>
              <w:pStyle w:val="13"/>
            </w:pPr>
            <w:r>
              <w:t>提升贫困家庭学生的幸福指数学生家长满意</w:t>
            </w:r>
          </w:p>
        </w:tc>
        <w:tc>
          <w:tcPr>
            <w:tcW w:w="1845" w:type="dxa"/>
            <w:vAlign w:val="center"/>
          </w:tcPr>
          <w:p w14:paraId="19F19B79">
            <w:pPr>
              <w:pStyle w:val="13"/>
            </w:pPr>
            <w:r>
              <w:t>≥95%</w:t>
            </w:r>
          </w:p>
        </w:tc>
        <w:tc>
          <w:tcPr>
            <w:tcW w:w="3746" w:type="dxa"/>
            <w:vAlign w:val="center"/>
          </w:tcPr>
          <w:p w14:paraId="61ADEEAC">
            <w:pPr>
              <w:pStyle w:val="13"/>
            </w:pPr>
            <w:r>
              <w:t>河北省建档立卡家庭经济困难学生资助管理暂行办法</w:t>
            </w:r>
          </w:p>
        </w:tc>
      </w:tr>
    </w:tbl>
    <w:p w14:paraId="2FD0F32D">
      <w:pPr>
        <w:sectPr>
          <w:pgSz w:w="16840" w:h="11900" w:orient="landscape"/>
          <w:pgMar w:top="1361" w:right="1020" w:bottom="1134" w:left="1020" w:header="720" w:footer="720" w:gutter="0"/>
          <w:cols w:space="720" w:num="1"/>
        </w:sectPr>
      </w:pPr>
    </w:p>
    <w:p w14:paraId="2FD7D4BA">
      <w:pPr>
        <w:spacing w:before="0" w:after="0"/>
        <w:ind w:firstLine="560"/>
        <w:jc w:val="left"/>
        <w:outlineLvl w:val="9"/>
      </w:pPr>
      <w:r>
        <w:rPr>
          <w:rFonts w:ascii="方正仿宋_GBK" w:hAnsi="方正仿宋_GBK" w:eastAsia="方正仿宋_GBK" w:cs="方正仿宋_GBK"/>
          <w:b/>
          <w:color w:val="000000"/>
          <w:sz w:val="28"/>
        </w:rPr>
        <w:t>19、县级配套/中职两免（职教中职）建档立卡绩效目标表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AA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3D817">
            <w:pPr>
              <w:pStyle w:val="14"/>
            </w:pPr>
            <w:r>
              <w:t>单位：万元</w:t>
            </w:r>
          </w:p>
        </w:tc>
      </w:tr>
      <w:tr w14:paraId="3C20F5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F129AD">
            <w:pPr>
              <w:pStyle w:val="11"/>
            </w:pPr>
            <w:r>
              <w:t>项目编码</w:t>
            </w:r>
          </w:p>
        </w:tc>
        <w:tc>
          <w:tcPr>
            <w:tcW w:w="5103" w:type="dxa"/>
            <w:gridSpan w:val="2"/>
            <w:vAlign w:val="center"/>
          </w:tcPr>
          <w:p w14:paraId="0B23A58D">
            <w:pPr>
              <w:pStyle w:val="13"/>
            </w:pPr>
            <w:r>
              <w:t>13052525P00001410007G</w:t>
            </w:r>
          </w:p>
        </w:tc>
        <w:tc>
          <w:tcPr>
            <w:tcW w:w="2835" w:type="dxa"/>
            <w:vAlign w:val="center"/>
          </w:tcPr>
          <w:p w14:paraId="523219F2">
            <w:pPr>
              <w:pStyle w:val="11"/>
            </w:pPr>
            <w:r>
              <w:t>项目名称</w:t>
            </w:r>
          </w:p>
        </w:tc>
        <w:tc>
          <w:tcPr>
            <w:tcW w:w="6095" w:type="dxa"/>
            <w:gridSpan w:val="3"/>
            <w:vAlign w:val="center"/>
          </w:tcPr>
          <w:p w14:paraId="2BBACF53">
            <w:pPr>
              <w:pStyle w:val="13"/>
            </w:pPr>
            <w:r>
              <w:t>县级配套/中职两免（职教中职）建档立卡</w:t>
            </w:r>
            <w:r>
              <w:tab/>
            </w:r>
          </w:p>
        </w:tc>
      </w:tr>
      <w:tr w14:paraId="5D2C2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2A2DE">
            <w:pPr>
              <w:pStyle w:val="11"/>
            </w:pPr>
            <w:r>
              <w:t>预算规模及资金用途</w:t>
            </w:r>
          </w:p>
        </w:tc>
        <w:tc>
          <w:tcPr>
            <w:tcW w:w="2268" w:type="dxa"/>
            <w:vAlign w:val="center"/>
          </w:tcPr>
          <w:p w14:paraId="369EDCE7">
            <w:pPr>
              <w:pStyle w:val="11"/>
            </w:pPr>
            <w:r>
              <w:t>预算数</w:t>
            </w:r>
          </w:p>
        </w:tc>
        <w:tc>
          <w:tcPr>
            <w:tcW w:w="2835" w:type="dxa"/>
            <w:vAlign w:val="center"/>
          </w:tcPr>
          <w:p w14:paraId="62298F3E">
            <w:pPr>
              <w:pStyle w:val="13"/>
            </w:pPr>
            <w:r>
              <w:t>2.56</w:t>
            </w:r>
          </w:p>
        </w:tc>
        <w:tc>
          <w:tcPr>
            <w:tcW w:w="2835" w:type="dxa"/>
            <w:vAlign w:val="center"/>
          </w:tcPr>
          <w:p w14:paraId="26C1CA8F">
            <w:pPr>
              <w:pStyle w:val="11"/>
            </w:pPr>
            <w:r>
              <w:t>其中：财政    资金</w:t>
            </w:r>
          </w:p>
        </w:tc>
        <w:tc>
          <w:tcPr>
            <w:tcW w:w="2551" w:type="dxa"/>
            <w:vAlign w:val="center"/>
          </w:tcPr>
          <w:p w14:paraId="4AE314A7">
            <w:pPr>
              <w:pStyle w:val="13"/>
            </w:pPr>
            <w:r>
              <w:t>2.56</w:t>
            </w:r>
          </w:p>
        </w:tc>
        <w:tc>
          <w:tcPr>
            <w:tcW w:w="2268" w:type="dxa"/>
            <w:vAlign w:val="center"/>
          </w:tcPr>
          <w:p w14:paraId="072E3505">
            <w:pPr>
              <w:pStyle w:val="11"/>
            </w:pPr>
            <w:r>
              <w:t>其他资金</w:t>
            </w:r>
          </w:p>
        </w:tc>
        <w:tc>
          <w:tcPr>
            <w:tcW w:w="1276" w:type="dxa"/>
            <w:vAlign w:val="center"/>
          </w:tcPr>
          <w:p w14:paraId="17690A6E">
            <w:pPr>
              <w:pStyle w:val="13"/>
            </w:pPr>
            <w:r>
              <w:t xml:space="preserve"> </w:t>
            </w:r>
          </w:p>
        </w:tc>
      </w:tr>
      <w:tr w14:paraId="6D577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8952B"/>
        </w:tc>
        <w:tc>
          <w:tcPr>
            <w:tcW w:w="14033" w:type="dxa"/>
            <w:gridSpan w:val="6"/>
            <w:vAlign w:val="center"/>
          </w:tcPr>
          <w:p w14:paraId="0BC678DF">
            <w:pPr>
              <w:pStyle w:val="13"/>
            </w:pPr>
            <w:r>
              <w:t>中职两免资金县级2025年安排2.56万元，用于见面贫困学生书费、住宿费。</w:t>
            </w:r>
          </w:p>
        </w:tc>
      </w:tr>
      <w:tr w14:paraId="5440D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589F1">
            <w:pPr>
              <w:pStyle w:val="11"/>
            </w:pPr>
            <w:r>
              <w:t>资金支出计划（%）</w:t>
            </w:r>
          </w:p>
        </w:tc>
        <w:tc>
          <w:tcPr>
            <w:tcW w:w="5103" w:type="dxa"/>
            <w:gridSpan w:val="2"/>
            <w:vAlign w:val="center"/>
          </w:tcPr>
          <w:p w14:paraId="7FF94403">
            <w:pPr>
              <w:pStyle w:val="11"/>
            </w:pPr>
            <w:r>
              <w:t>3月底</w:t>
            </w:r>
          </w:p>
        </w:tc>
        <w:tc>
          <w:tcPr>
            <w:tcW w:w="2835" w:type="dxa"/>
            <w:vAlign w:val="center"/>
          </w:tcPr>
          <w:p w14:paraId="6E45356B">
            <w:pPr>
              <w:pStyle w:val="11"/>
            </w:pPr>
            <w:r>
              <w:t>6月底</w:t>
            </w:r>
          </w:p>
        </w:tc>
        <w:tc>
          <w:tcPr>
            <w:tcW w:w="2551" w:type="dxa"/>
            <w:vAlign w:val="center"/>
          </w:tcPr>
          <w:p w14:paraId="3A496042">
            <w:pPr>
              <w:pStyle w:val="11"/>
            </w:pPr>
            <w:r>
              <w:t>10月底</w:t>
            </w:r>
          </w:p>
        </w:tc>
        <w:tc>
          <w:tcPr>
            <w:tcW w:w="3544" w:type="dxa"/>
            <w:gridSpan w:val="2"/>
            <w:vAlign w:val="center"/>
          </w:tcPr>
          <w:p w14:paraId="7829E2ED">
            <w:pPr>
              <w:pStyle w:val="11"/>
            </w:pPr>
            <w:r>
              <w:t>12月底</w:t>
            </w:r>
          </w:p>
        </w:tc>
      </w:tr>
      <w:tr w14:paraId="4B7AD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6C9330"/>
        </w:tc>
        <w:tc>
          <w:tcPr>
            <w:tcW w:w="5103" w:type="dxa"/>
            <w:gridSpan w:val="2"/>
            <w:vAlign w:val="center"/>
          </w:tcPr>
          <w:p w14:paraId="410E167E">
            <w:pPr>
              <w:pStyle w:val="12"/>
            </w:pPr>
            <w:r>
              <w:t xml:space="preserve"> </w:t>
            </w:r>
          </w:p>
        </w:tc>
        <w:tc>
          <w:tcPr>
            <w:tcW w:w="2835" w:type="dxa"/>
            <w:vAlign w:val="center"/>
          </w:tcPr>
          <w:p w14:paraId="5E66DBA6">
            <w:pPr>
              <w:pStyle w:val="12"/>
            </w:pPr>
            <w:r>
              <w:t>50%</w:t>
            </w:r>
          </w:p>
        </w:tc>
        <w:tc>
          <w:tcPr>
            <w:tcW w:w="2551" w:type="dxa"/>
            <w:vAlign w:val="center"/>
          </w:tcPr>
          <w:p w14:paraId="1C2EC0AC">
            <w:pPr>
              <w:pStyle w:val="12"/>
            </w:pPr>
            <w:r>
              <w:t>50%</w:t>
            </w:r>
          </w:p>
        </w:tc>
        <w:tc>
          <w:tcPr>
            <w:tcW w:w="3544" w:type="dxa"/>
            <w:gridSpan w:val="2"/>
            <w:vAlign w:val="center"/>
          </w:tcPr>
          <w:p w14:paraId="166AD2F6">
            <w:pPr>
              <w:pStyle w:val="12"/>
            </w:pPr>
            <w:r>
              <w:t>100%</w:t>
            </w:r>
          </w:p>
        </w:tc>
      </w:tr>
      <w:tr w14:paraId="32D99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5E558">
            <w:pPr>
              <w:pStyle w:val="11"/>
            </w:pPr>
            <w:r>
              <w:t>绩效目标</w:t>
            </w:r>
          </w:p>
        </w:tc>
        <w:tc>
          <w:tcPr>
            <w:tcW w:w="14033" w:type="dxa"/>
            <w:gridSpan w:val="6"/>
            <w:vAlign w:val="center"/>
          </w:tcPr>
          <w:p w14:paraId="0D693E6C">
            <w:pPr>
              <w:pStyle w:val="13"/>
            </w:pPr>
            <w:r>
              <w:t>1.中职两免资金县级2025年安排2.56万元，用于见面贫困学生书费、住宿费。</w:t>
            </w:r>
          </w:p>
        </w:tc>
      </w:tr>
    </w:tbl>
    <w:p w14:paraId="01F70B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19"/>
        <w:gridCol w:w="1740"/>
        <w:gridCol w:w="3371"/>
      </w:tblGrid>
      <w:tr w14:paraId="03597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CDE34">
            <w:pPr>
              <w:pStyle w:val="11"/>
            </w:pPr>
            <w:r>
              <w:t>一级指标</w:t>
            </w:r>
          </w:p>
        </w:tc>
        <w:tc>
          <w:tcPr>
            <w:tcW w:w="2268" w:type="dxa"/>
            <w:vAlign w:val="center"/>
          </w:tcPr>
          <w:p w14:paraId="167F7DBE">
            <w:pPr>
              <w:pStyle w:val="11"/>
            </w:pPr>
            <w:r>
              <w:t>二级指标</w:t>
            </w:r>
          </w:p>
        </w:tc>
        <w:tc>
          <w:tcPr>
            <w:tcW w:w="2835" w:type="dxa"/>
            <w:vAlign w:val="center"/>
          </w:tcPr>
          <w:p w14:paraId="4EAC659A">
            <w:pPr>
              <w:pStyle w:val="11"/>
            </w:pPr>
            <w:r>
              <w:t>三级指标</w:t>
            </w:r>
          </w:p>
        </w:tc>
        <w:tc>
          <w:tcPr>
            <w:tcW w:w="3819" w:type="dxa"/>
            <w:vAlign w:val="center"/>
          </w:tcPr>
          <w:p w14:paraId="4261C9BC">
            <w:pPr>
              <w:pStyle w:val="11"/>
            </w:pPr>
            <w:r>
              <w:t>绩效指标描述</w:t>
            </w:r>
          </w:p>
        </w:tc>
        <w:tc>
          <w:tcPr>
            <w:tcW w:w="1740" w:type="dxa"/>
            <w:vAlign w:val="center"/>
          </w:tcPr>
          <w:p w14:paraId="600CFC5D">
            <w:pPr>
              <w:pStyle w:val="11"/>
            </w:pPr>
            <w:r>
              <w:t>指标值</w:t>
            </w:r>
          </w:p>
        </w:tc>
        <w:tc>
          <w:tcPr>
            <w:tcW w:w="3371" w:type="dxa"/>
            <w:vAlign w:val="center"/>
          </w:tcPr>
          <w:p w14:paraId="7A0CF920">
            <w:pPr>
              <w:pStyle w:val="11"/>
            </w:pPr>
            <w:r>
              <w:t>指标值确定依据</w:t>
            </w:r>
          </w:p>
        </w:tc>
      </w:tr>
      <w:tr w14:paraId="5DD8C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B2016">
            <w:pPr>
              <w:pStyle w:val="12"/>
            </w:pPr>
            <w:r>
              <w:t>产出指标</w:t>
            </w:r>
          </w:p>
        </w:tc>
        <w:tc>
          <w:tcPr>
            <w:tcW w:w="2268" w:type="dxa"/>
            <w:vAlign w:val="center"/>
          </w:tcPr>
          <w:p w14:paraId="767BFDDC">
            <w:pPr>
              <w:pStyle w:val="13"/>
            </w:pPr>
            <w:r>
              <w:t>数量指标</w:t>
            </w:r>
          </w:p>
        </w:tc>
        <w:tc>
          <w:tcPr>
            <w:tcW w:w="2835" w:type="dxa"/>
            <w:vAlign w:val="center"/>
          </w:tcPr>
          <w:p w14:paraId="79298B60">
            <w:pPr>
              <w:pStyle w:val="13"/>
            </w:pPr>
            <w:r>
              <w:t>中职享受三免人数</w:t>
            </w:r>
          </w:p>
        </w:tc>
        <w:tc>
          <w:tcPr>
            <w:tcW w:w="3819" w:type="dxa"/>
            <w:vAlign w:val="center"/>
          </w:tcPr>
          <w:p w14:paraId="6B49CA06">
            <w:pPr>
              <w:pStyle w:val="13"/>
            </w:pPr>
            <w:r>
              <w:t>中职享受住宿费书费人数</w:t>
            </w:r>
          </w:p>
        </w:tc>
        <w:tc>
          <w:tcPr>
            <w:tcW w:w="1740" w:type="dxa"/>
            <w:vAlign w:val="center"/>
          </w:tcPr>
          <w:p w14:paraId="54E82265">
            <w:pPr>
              <w:pStyle w:val="13"/>
            </w:pPr>
            <w:r>
              <w:t>32人</w:t>
            </w:r>
          </w:p>
        </w:tc>
        <w:tc>
          <w:tcPr>
            <w:tcW w:w="3371" w:type="dxa"/>
            <w:vAlign w:val="center"/>
          </w:tcPr>
          <w:p w14:paraId="0859D6E0">
            <w:pPr>
              <w:pStyle w:val="13"/>
            </w:pPr>
            <w:r>
              <w:t>河北省建档立卡家庭经济困难学生资助管理暂行办法</w:t>
            </w:r>
          </w:p>
          <w:p w14:paraId="2D235947">
            <w:pPr>
              <w:pStyle w:val="13"/>
            </w:pPr>
          </w:p>
        </w:tc>
      </w:tr>
      <w:tr w14:paraId="1A3A0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D249D"/>
        </w:tc>
        <w:tc>
          <w:tcPr>
            <w:tcW w:w="2268" w:type="dxa"/>
            <w:vAlign w:val="center"/>
          </w:tcPr>
          <w:p w14:paraId="203E9FFF">
            <w:pPr>
              <w:pStyle w:val="13"/>
            </w:pPr>
            <w:r>
              <w:t>质量指标</w:t>
            </w:r>
          </w:p>
        </w:tc>
        <w:tc>
          <w:tcPr>
            <w:tcW w:w="2835" w:type="dxa"/>
            <w:vAlign w:val="center"/>
          </w:tcPr>
          <w:p w14:paraId="66F3F59E">
            <w:pPr>
              <w:pStyle w:val="13"/>
            </w:pPr>
            <w:r>
              <w:t>完成中职两免资金发放工作</w:t>
            </w:r>
          </w:p>
        </w:tc>
        <w:tc>
          <w:tcPr>
            <w:tcW w:w="3819" w:type="dxa"/>
            <w:vAlign w:val="center"/>
          </w:tcPr>
          <w:p w14:paraId="3D288060">
            <w:pPr>
              <w:pStyle w:val="13"/>
            </w:pPr>
            <w:r>
              <w:t>中职两免为建档立卡学生</w:t>
            </w:r>
          </w:p>
        </w:tc>
        <w:tc>
          <w:tcPr>
            <w:tcW w:w="1740" w:type="dxa"/>
            <w:vAlign w:val="center"/>
          </w:tcPr>
          <w:p w14:paraId="4B8BCDF2">
            <w:pPr>
              <w:pStyle w:val="13"/>
            </w:pPr>
            <w:r>
              <w:t>≥100%</w:t>
            </w:r>
          </w:p>
        </w:tc>
        <w:tc>
          <w:tcPr>
            <w:tcW w:w="3371" w:type="dxa"/>
            <w:vAlign w:val="center"/>
          </w:tcPr>
          <w:p w14:paraId="4B25F824">
            <w:pPr>
              <w:pStyle w:val="13"/>
            </w:pPr>
            <w:r>
              <w:t>河北省建档立卡家庭经济困难学生资助管理暂行办法</w:t>
            </w:r>
          </w:p>
        </w:tc>
      </w:tr>
      <w:tr w14:paraId="704FF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CFCA"/>
        </w:tc>
        <w:tc>
          <w:tcPr>
            <w:tcW w:w="2268" w:type="dxa"/>
            <w:vAlign w:val="center"/>
          </w:tcPr>
          <w:p w14:paraId="151C5501">
            <w:pPr>
              <w:pStyle w:val="13"/>
            </w:pPr>
            <w:r>
              <w:t>时效指标</w:t>
            </w:r>
          </w:p>
        </w:tc>
        <w:tc>
          <w:tcPr>
            <w:tcW w:w="2835" w:type="dxa"/>
            <w:vAlign w:val="center"/>
          </w:tcPr>
          <w:p w14:paraId="06D07CCF">
            <w:pPr>
              <w:pStyle w:val="13"/>
            </w:pPr>
            <w:r>
              <w:t>补助资金及时足额发放率</w:t>
            </w:r>
          </w:p>
        </w:tc>
        <w:tc>
          <w:tcPr>
            <w:tcW w:w="3819" w:type="dxa"/>
            <w:vAlign w:val="center"/>
          </w:tcPr>
          <w:p w14:paraId="634D08A1">
            <w:pPr>
              <w:pStyle w:val="13"/>
            </w:pPr>
            <w:r>
              <w:t>补助资金及时足额到位率</w:t>
            </w:r>
          </w:p>
        </w:tc>
        <w:tc>
          <w:tcPr>
            <w:tcW w:w="1740" w:type="dxa"/>
            <w:vAlign w:val="center"/>
          </w:tcPr>
          <w:p w14:paraId="162D5EF6">
            <w:pPr>
              <w:pStyle w:val="13"/>
            </w:pPr>
            <w:r>
              <w:t>≥100%</w:t>
            </w:r>
          </w:p>
        </w:tc>
        <w:tc>
          <w:tcPr>
            <w:tcW w:w="3371" w:type="dxa"/>
            <w:vAlign w:val="center"/>
          </w:tcPr>
          <w:p w14:paraId="12542E32">
            <w:pPr>
              <w:pStyle w:val="13"/>
            </w:pPr>
            <w:r>
              <w:t>河北省建档立卡家庭经济困难学生资助管理暂行办法</w:t>
            </w:r>
          </w:p>
        </w:tc>
      </w:tr>
      <w:tr w14:paraId="50BA5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BC8A9"/>
        </w:tc>
        <w:tc>
          <w:tcPr>
            <w:tcW w:w="2268" w:type="dxa"/>
            <w:vAlign w:val="center"/>
          </w:tcPr>
          <w:p w14:paraId="1252C442">
            <w:pPr>
              <w:pStyle w:val="13"/>
            </w:pPr>
            <w:r>
              <w:t>成本指标</w:t>
            </w:r>
          </w:p>
        </w:tc>
        <w:tc>
          <w:tcPr>
            <w:tcW w:w="2835" w:type="dxa"/>
            <w:vAlign w:val="center"/>
          </w:tcPr>
          <w:p w14:paraId="5EDDA0C4">
            <w:pPr>
              <w:pStyle w:val="13"/>
            </w:pPr>
            <w:r>
              <w:t>免费标准</w:t>
            </w:r>
          </w:p>
        </w:tc>
        <w:tc>
          <w:tcPr>
            <w:tcW w:w="3819" w:type="dxa"/>
            <w:vAlign w:val="center"/>
          </w:tcPr>
          <w:p w14:paraId="2E918E2F">
            <w:pPr>
              <w:pStyle w:val="13"/>
            </w:pPr>
            <w:r>
              <w:t>中职住宿费书费800元</w:t>
            </w:r>
          </w:p>
        </w:tc>
        <w:tc>
          <w:tcPr>
            <w:tcW w:w="1740" w:type="dxa"/>
            <w:vAlign w:val="center"/>
          </w:tcPr>
          <w:p w14:paraId="0DCB3D26">
            <w:pPr>
              <w:pStyle w:val="13"/>
            </w:pPr>
            <w:r>
              <w:t>800/元生/年</w:t>
            </w:r>
          </w:p>
        </w:tc>
        <w:tc>
          <w:tcPr>
            <w:tcW w:w="3371" w:type="dxa"/>
            <w:vAlign w:val="center"/>
          </w:tcPr>
          <w:p w14:paraId="644D684F">
            <w:pPr>
              <w:pStyle w:val="13"/>
            </w:pPr>
            <w:r>
              <w:t>河北省建档立卡家庭经济困难学生资助管理暂行办法</w:t>
            </w:r>
          </w:p>
        </w:tc>
      </w:tr>
      <w:tr w14:paraId="41407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A38D2">
            <w:pPr>
              <w:pStyle w:val="12"/>
            </w:pPr>
            <w:r>
              <w:t>效益指标</w:t>
            </w:r>
          </w:p>
        </w:tc>
        <w:tc>
          <w:tcPr>
            <w:tcW w:w="2268" w:type="dxa"/>
            <w:vAlign w:val="center"/>
          </w:tcPr>
          <w:p w14:paraId="70398B54">
            <w:pPr>
              <w:pStyle w:val="13"/>
            </w:pPr>
            <w:r>
              <w:t>经济效益指标</w:t>
            </w:r>
          </w:p>
        </w:tc>
        <w:tc>
          <w:tcPr>
            <w:tcW w:w="2835" w:type="dxa"/>
            <w:vAlign w:val="center"/>
          </w:tcPr>
          <w:p w14:paraId="18088D09">
            <w:pPr>
              <w:pStyle w:val="13"/>
            </w:pPr>
            <w:r>
              <w:t>减轻家庭负担</w:t>
            </w:r>
          </w:p>
        </w:tc>
        <w:tc>
          <w:tcPr>
            <w:tcW w:w="3819" w:type="dxa"/>
            <w:vAlign w:val="center"/>
          </w:tcPr>
          <w:p w14:paraId="358D24AE">
            <w:pPr>
              <w:pStyle w:val="13"/>
            </w:pPr>
            <w:r>
              <w:t>减轻贫困家庭经济负担</w:t>
            </w:r>
          </w:p>
        </w:tc>
        <w:tc>
          <w:tcPr>
            <w:tcW w:w="1740" w:type="dxa"/>
            <w:vAlign w:val="center"/>
          </w:tcPr>
          <w:p w14:paraId="49933B1F">
            <w:pPr>
              <w:pStyle w:val="13"/>
            </w:pPr>
            <w:r>
              <w:t>≥98%</w:t>
            </w:r>
          </w:p>
        </w:tc>
        <w:tc>
          <w:tcPr>
            <w:tcW w:w="3371" w:type="dxa"/>
            <w:vAlign w:val="center"/>
          </w:tcPr>
          <w:p w14:paraId="10589236">
            <w:pPr>
              <w:pStyle w:val="13"/>
            </w:pPr>
            <w:r>
              <w:t>河北省建档立卡家庭经济困难学生资助管理暂行办法</w:t>
            </w:r>
          </w:p>
        </w:tc>
      </w:tr>
      <w:tr w14:paraId="7A490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8C229"/>
        </w:tc>
        <w:tc>
          <w:tcPr>
            <w:tcW w:w="2268" w:type="dxa"/>
            <w:vAlign w:val="center"/>
          </w:tcPr>
          <w:p w14:paraId="53F3D4E2">
            <w:pPr>
              <w:pStyle w:val="13"/>
            </w:pPr>
            <w:r>
              <w:t>社会效益指标</w:t>
            </w:r>
          </w:p>
        </w:tc>
        <w:tc>
          <w:tcPr>
            <w:tcW w:w="2835" w:type="dxa"/>
            <w:vAlign w:val="center"/>
          </w:tcPr>
          <w:p w14:paraId="7403A308">
            <w:pPr>
              <w:pStyle w:val="13"/>
            </w:pPr>
            <w:r>
              <w:t>中职运转</w:t>
            </w:r>
          </w:p>
        </w:tc>
        <w:tc>
          <w:tcPr>
            <w:tcW w:w="3819" w:type="dxa"/>
            <w:vAlign w:val="center"/>
          </w:tcPr>
          <w:p w14:paraId="1D56E9FB">
            <w:pPr>
              <w:pStyle w:val="13"/>
            </w:pPr>
            <w:r>
              <w:t>中职受教育年限</w:t>
            </w:r>
          </w:p>
        </w:tc>
        <w:tc>
          <w:tcPr>
            <w:tcW w:w="1740" w:type="dxa"/>
            <w:vAlign w:val="center"/>
          </w:tcPr>
          <w:p w14:paraId="058B1065">
            <w:pPr>
              <w:pStyle w:val="13"/>
            </w:pPr>
            <w:r>
              <w:t>3年</w:t>
            </w:r>
          </w:p>
        </w:tc>
        <w:tc>
          <w:tcPr>
            <w:tcW w:w="3371" w:type="dxa"/>
            <w:vAlign w:val="center"/>
          </w:tcPr>
          <w:p w14:paraId="1E6F9162">
            <w:pPr>
              <w:pStyle w:val="13"/>
            </w:pPr>
            <w:r>
              <w:t>河北省建档立卡家庭经济困难学生资助管理暂行办法</w:t>
            </w:r>
          </w:p>
        </w:tc>
      </w:tr>
      <w:tr w14:paraId="22625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7A7A1">
            <w:pPr>
              <w:pStyle w:val="12"/>
            </w:pPr>
            <w:r>
              <w:t>满意度指标</w:t>
            </w:r>
          </w:p>
        </w:tc>
        <w:tc>
          <w:tcPr>
            <w:tcW w:w="2268" w:type="dxa"/>
            <w:vAlign w:val="center"/>
          </w:tcPr>
          <w:p w14:paraId="3CD77696">
            <w:pPr>
              <w:pStyle w:val="13"/>
            </w:pPr>
            <w:r>
              <w:t>服务对象满意度指标</w:t>
            </w:r>
          </w:p>
        </w:tc>
        <w:tc>
          <w:tcPr>
            <w:tcW w:w="2835" w:type="dxa"/>
            <w:vAlign w:val="center"/>
          </w:tcPr>
          <w:p w14:paraId="36B99F76">
            <w:pPr>
              <w:pStyle w:val="13"/>
            </w:pPr>
            <w:r>
              <w:t>提升幸福指数</w:t>
            </w:r>
          </w:p>
        </w:tc>
        <w:tc>
          <w:tcPr>
            <w:tcW w:w="3819" w:type="dxa"/>
            <w:vAlign w:val="center"/>
          </w:tcPr>
          <w:p w14:paraId="2A43E956">
            <w:pPr>
              <w:pStyle w:val="13"/>
            </w:pPr>
            <w:r>
              <w:t>提升贫困家庭学生的幸福指数学生家长满意</w:t>
            </w:r>
          </w:p>
        </w:tc>
        <w:tc>
          <w:tcPr>
            <w:tcW w:w="1740" w:type="dxa"/>
            <w:vAlign w:val="center"/>
          </w:tcPr>
          <w:p w14:paraId="697A940F">
            <w:pPr>
              <w:pStyle w:val="13"/>
            </w:pPr>
            <w:r>
              <w:t>≥95%</w:t>
            </w:r>
          </w:p>
        </w:tc>
        <w:tc>
          <w:tcPr>
            <w:tcW w:w="3371" w:type="dxa"/>
            <w:vAlign w:val="center"/>
          </w:tcPr>
          <w:p w14:paraId="67835415">
            <w:pPr>
              <w:pStyle w:val="13"/>
            </w:pPr>
            <w:r>
              <w:t>河北省建档立卡家庭经济困难学生资助管理暂行办法</w:t>
            </w:r>
          </w:p>
        </w:tc>
      </w:tr>
    </w:tbl>
    <w:p w14:paraId="6DE92700">
      <w:pPr>
        <w:sectPr>
          <w:pgSz w:w="16840" w:h="11900" w:orient="landscape"/>
          <w:pgMar w:top="1361" w:right="1020" w:bottom="1134" w:left="1020" w:header="720" w:footer="720" w:gutter="0"/>
          <w:cols w:space="720" w:num="1"/>
        </w:sectPr>
      </w:pPr>
    </w:p>
    <w:p w14:paraId="5EFCD53E">
      <w:pPr>
        <w:spacing w:before="0" w:after="0"/>
        <w:ind w:firstLine="560"/>
        <w:jc w:val="left"/>
        <w:outlineLvl w:val="9"/>
      </w:pPr>
      <w:r>
        <w:rPr>
          <w:rFonts w:ascii="方正仿宋_GBK" w:hAnsi="方正仿宋_GBK" w:eastAsia="方正仿宋_GBK" w:cs="方正仿宋_GBK"/>
          <w:b/>
          <w:color w:val="000000"/>
          <w:sz w:val="28"/>
        </w:rPr>
        <w:t>20、县级配套/中职免学费（职教中心）绩效目标表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FE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1A7BA">
            <w:pPr>
              <w:pStyle w:val="14"/>
            </w:pPr>
            <w:r>
              <w:t>单位：万元</w:t>
            </w:r>
          </w:p>
        </w:tc>
      </w:tr>
      <w:tr w14:paraId="714B4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3862BE">
            <w:pPr>
              <w:pStyle w:val="11"/>
            </w:pPr>
            <w:r>
              <w:t>项目编码</w:t>
            </w:r>
          </w:p>
        </w:tc>
        <w:tc>
          <w:tcPr>
            <w:tcW w:w="5103" w:type="dxa"/>
            <w:gridSpan w:val="2"/>
            <w:vAlign w:val="center"/>
          </w:tcPr>
          <w:p w14:paraId="4C0703B5">
            <w:pPr>
              <w:pStyle w:val="13"/>
            </w:pPr>
            <w:r>
              <w:t>13052525P00001410006W</w:t>
            </w:r>
          </w:p>
        </w:tc>
        <w:tc>
          <w:tcPr>
            <w:tcW w:w="2835" w:type="dxa"/>
            <w:vAlign w:val="center"/>
          </w:tcPr>
          <w:p w14:paraId="725C11E8">
            <w:pPr>
              <w:pStyle w:val="11"/>
            </w:pPr>
            <w:r>
              <w:t>项目名称</w:t>
            </w:r>
          </w:p>
        </w:tc>
        <w:tc>
          <w:tcPr>
            <w:tcW w:w="6095" w:type="dxa"/>
            <w:gridSpan w:val="3"/>
            <w:vAlign w:val="center"/>
          </w:tcPr>
          <w:p w14:paraId="7423551E">
            <w:pPr>
              <w:pStyle w:val="13"/>
            </w:pPr>
            <w:r>
              <w:t>县级配套/中职免学费（职教中心）</w:t>
            </w:r>
            <w:r>
              <w:tab/>
            </w:r>
            <w:r>
              <w:tab/>
            </w:r>
            <w:r>
              <w:tab/>
            </w:r>
          </w:p>
        </w:tc>
      </w:tr>
      <w:tr w14:paraId="3909C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DE6BC">
            <w:pPr>
              <w:pStyle w:val="11"/>
            </w:pPr>
            <w:r>
              <w:t>预算规模及资金用途</w:t>
            </w:r>
          </w:p>
        </w:tc>
        <w:tc>
          <w:tcPr>
            <w:tcW w:w="2268" w:type="dxa"/>
            <w:vAlign w:val="center"/>
          </w:tcPr>
          <w:p w14:paraId="073D3B38">
            <w:pPr>
              <w:pStyle w:val="11"/>
            </w:pPr>
            <w:r>
              <w:t>预算数</w:t>
            </w:r>
          </w:p>
        </w:tc>
        <w:tc>
          <w:tcPr>
            <w:tcW w:w="2835" w:type="dxa"/>
            <w:vAlign w:val="center"/>
          </w:tcPr>
          <w:p w14:paraId="0A1CD841">
            <w:pPr>
              <w:pStyle w:val="13"/>
            </w:pPr>
            <w:r>
              <w:t>55.04</w:t>
            </w:r>
          </w:p>
        </w:tc>
        <w:tc>
          <w:tcPr>
            <w:tcW w:w="2835" w:type="dxa"/>
            <w:vAlign w:val="center"/>
          </w:tcPr>
          <w:p w14:paraId="31AF7754">
            <w:pPr>
              <w:pStyle w:val="11"/>
            </w:pPr>
            <w:r>
              <w:t>其中：财政    资金</w:t>
            </w:r>
          </w:p>
        </w:tc>
        <w:tc>
          <w:tcPr>
            <w:tcW w:w="2551" w:type="dxa"/>
            <w:vAlign w:val="center"/>
          </w:tcPr>
          <w:p w14:paraId="101E9E5A">
            <w:pPr>
              <w:pStyle w:val="13"/>
            </w:pPr>
            <w:r>
              <w:t>55.04</w:t>
            </w:r>
          </w:p>
        </w:tc>
        <w:tc>
          <w:tcPr>
            <w:tcW w:w="2268" w:type="dxa"/>
            <w:vAlign w:val="center"/>
          </w:tcPr>
          <w:p w14:paraId="441F69ED">
            <w:pPr>
              <w:pStyle w:val="11"/>
            </w:pPr>
            <w:r>
              <w:t>其他资金</w:t>
            </w:r>
          </w:p>
        </w:tc>
        <w:tc>
          <w:tcPr>
            <w:tcW w:w="1276" w:type="dxa"/>
            <w:vAlign w:val="center"/>
          </w:tcPr>
          <w:p w14:paraId="38090850">
            <w:pPr>
              <w:pStyle w:val="13"/>
            </w:pPr>
            <w:r>
              <w:t xml:space="preserve"> </w:t>
            </w:r>
          </w:p>
        </w:tc>
      </w:tr>
      <w:tr w14:paraId="53644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CF644"/>
        </w:tc>
        <w:tc>
          <w:tcPr>
            <w:tcW w:w="14033" w:type="dxa"/>
            <w:gridSpan w:val="6"/>
            <w:vAlign w:val="center"/>
          </w:tcPr>
          <w:p w14:paraId="20DB7155">
            <w:pPr>
              <w:pStyle w:val="13"/>
            </w:pPr>
            <w:r>
              <w:t>2025年中职免学费县级安排55.04万元，用于减免涉农专业贫困学生及其他专业贫困学生学费后弥补办公经费不足.</w:t>
            </w:r>
          </w:p>
        </w:tc>
      </w:tr>
      <w:tr w14:paraId="3D9A7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0A082">
            <w:pPr>
              <w:pStyle w:val="11"/>
            </w:pPr>
            <w:r>
              <w:t>资金支出计划（%）</w:t>
            </w:r>
          </w:p>
        </w:tc>
        <w:tc>
          <w:tcPr>
            <w:tcW w:w="5103" w:type="dxa"/>
            <w:gridSpan w:val="2"/>
            <w:vAlign w:val="center"/>
          </w:tcPr>
          <w:p w14:paraId="33A096B9">
            <w:pPr>
              <w:pStyle w:val="11"/>
            </w:pPr>
            <w:r>
              <w:t>3月底</w:t>
            </w:r>
          </w:p>
        </w:tc>
        <w:tc>
          <w:tcPr>
            <w:tcW w:w="2835" w:type="dxa"/>
            <w:vAlign w:val="center"/>
          </w:tcPr>
          <w:p w14:paraId="7989128B">
            <w:pPr>
              <w:pStyle w:val="11"/>
            </w:pPr>
            <w:r>
              <w:t>6月底</w:t>
            </w:r>
          </w:p>
        </w:tc>
        <w:tc>
          <w:tcPr>
            <w:tcW w:w="2551" w:type="dxa"/>
            <w:vAlign w:val="center"/>
          </w:tcPr>
          <w:p w14:paraId="33CB0DB0">
            <w:pPr>
              <w:pStyle w:val="11"/>
            </w:pPr>
            <w:r>
              <w:t>10月底</w:t>
            </w:r>
          </w:p>
        </w:tc>
        <w:tc>
          <w:tcPr>
            <w:tcW w:w="3544" w:type="dxa"/>
            <w:gridSpan w:val="2"/>
            <w:vAlign w:val="center"/>
          </w:tcPr>
          <w:p w14:paraId="42C808C0">
            <w:pPr>
              <w:pStyle w:val="11"/>
            </w:pPr>
            <w:r>
              <w:t>12月底</w:t>
            </w:r>
          </w:p>
        </w:tc>
      </w:tr>
      <w:tr w14:paraId="54BD1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AB9AC"/>
        </w:tc>
        <w:tc>
          <w:tcPr>
            <w:tcW w:w="5103" w:type="dxa"/>
            <w:gridSpan w:val="2"/>
            <w:vAlign w:val="center"/>
          </w:tcPr>
          <w:p w14:paraId="2F242194">
            <w:pPr>
              <w:pStyle w:val="12"/>
            </w:pPr>
            <w:r>
              <w:t xml:space="preserve"> </w:t>
            </w:r>
          </w:p>
        </w:tc>
        <w:tc>
          <w:tcPr>
            <w:tcW w:w="2835" w:type="dxa"/>
            <w:vAlign w:val="center"/>
          </w:tcPr>
          <w:p w14:paraId="6C915435">
            <w:pPr>
              <w:pStyle w:val="12"/>
            </w:pPr>
            <w:r>
              <w:t>50%</w:t>
            </w:r>
          </w:p>
        </w:tc>
        <w:tc>
          <w:tcPr>
            <w:tcW w:w="2551" w:type="dxa"/>
            <w:vAlign w:val="center"/>
          </w:tcPr>
          <w:p w14:paraId="54D74118">
            <w:pPr>
              <w:pStyle w:val="12"/>
            </w:pPr>
            <w:r>
              <w:t>50%</w:t>
            </w:r>
          </w:p>
        </w:tc>
        <w:tc>
          <w:tcPr>
            <w:tcW w:w="3544" w:type="dxa"/>
            <w:gridSpan w:val="2"/>
            <w:vAlign w:val="center"/>
          </w:tcPr>
          <w:p w14:paraId="6458185B">
            <w:pPr>
              <w:pStyle w:val="12"/>
            </w:pPr>
            <w:r>
              <w:t>100%</w:t>
            </w:r>
          </w:p>
        </w:tc>
      </w:tr>
      <w:tr w14:paraId="505B3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6A2DD">
            <w:pPr>
              <w:pStyle w:val="11"/>
            </w:pPr>
            <w:r>
              <w:t>绩效目标</w:t>
            </w:r>
          </w:p>
        </w:tc>
        <w:tc>
          <w:tcPr>
            <w:tcW w:w="14033" w:type="dxa"/>
            <w:gridSpan w:val="6"/>
            <w:vAlign w:val="center"/>
          </w:tcPr>
          <w:p w14:paraId="452EC105">
            <w:pPr>
              <w:pStyle w:val="13"/>
            </w:pPr>
            <w:r>
              <w:t>1.2025年中职免学费县级安排55.04万元，用于减免涉农专业贫困学生及其他专业贫困学生学费后弥补办公经费不足.</w:t>
            </w:r>
          </w:p>
        </w:tc>
      </w:tr>
    </w:tbl>
    <w:p w14:paraId="6862AA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14:paraId="68D49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3CCE391">
            <w:pPr>
              <w:pStyle w:val="11"/>
            </w:pPr>
            <w:r>
              <w:t>一级指标</w:t>
            </w:r>
          </w:p>
        </w:tc>
        <w:tc>
          <w:tcPr>
            <w:tcW w:w="2268" w:type="dxa"/>
            <w:vAlign w:val="center"/>
          </w:tcPr>
          <w:p w14:paraId="17250D1D">
            <w:pPr>
              <w:pStyle w:val="11"/>
            </w:pPr>
            <w:r>
              <w:t>二级指标</w:t>
            </w:r>
          </w:p>
        </w:tc>
        <w:tc>
          <w:tcPr>
            <w:tcW w:w="2835" w:type="dxa"/>
            <w:vAlign w:val="center"/>
          </w:tcPr>
          <w:p w14:paraId="68806BD6">
            <w:pPr>
              <w:pStyle w:val="11"/>
            </w:pPr>
            <w:r>
              <w:t>三级指标</w:t>
            </w:r>
          </w:p>
        </w:tc>
        <w:tc>
          <w:tcPr>
            <w:tcW w:w="5386" w:type="dxa"/>
            <w:vAlign w:val="center"/>
          </w:tcPr>
          <w:p w14:paraId="761D2FA6">
            <w:pPr>
              <w:pStyle w:val="11"/>
            </w:pPr>
            <w:r>
              <w:t>绩效指标描述</w:t>
            </w:r>
          </w:p>
        </w:tc>
        <w:tc>
          <w:tcPr>
            <w:tcW w:w="1688" w:type="dxa"/>
            <w:vAlign w:val="center"/>
          </w:tcPr>
          <w:p w14:paraId="38377878">
            <w:pPr>
              <w:pStyle w:val="11"/>
            </w:pPr>
            <w:r>
              <w:t>指标值</w:t>
            </w:r>
          </w:p>
        </w:tc>
        <w:tc>
          <w:tcPr>
            <w:tcW w:w="1856" w:type="dxa"/>
            <w:vAlign w:val="center"/>
          </w:tcPr>
          <w:p w14:paraId="7153638C">
            <w:pPr>
              <w:pStyle w:val="11"/>
            </w:pPr>
            <w:r>
              <w:t>指标值确定依据</w:t>
            </w:r>
          </w:p>
        </w:tc>
      </w:tr>
      <w:tr w14:paraId="24B54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5D252">
            <w:pPr>
              <w:pStyle w:val="12"/>
            </w:pPr>
            <w:r>
              <w:t>产出指标</w:t>
            </w:r>
          </w:p>
        </w:tc>
        <w:tc>
          <w:tcPr>
            <w:tcW w:w="2268" w:type="dxa"/>
            <w:vAlign w:val="center"/>
          </w:tcPr>
          <w:p w14:paraId="55CDBC55">
            <w:pPr>
              <w:pStyle w:val="13"/>
            </w:pPr>
            <w:r>
              <w:t>数量指标</w:t>
            </w:r>
          </w:p>
        </w:tc>
        <w:tc>
          <w:tcPr>
            <w:tcW w:w="2835" w:type="dxa"/>
            <w:vAlign w:val="center"/>
          </w:tcPr>
          <w:p w14:paraId="283CF5C3">
            <w:pPr>
              <w:pStyle w:val="13"/>
            </w:pPr>
            <w:r>
              <w:t>免学费补助人数</w:t>
            </w:r>
          </w:p>
        </w:tc>
        <w:tc>
          <w:tcPr>
            <w:tcW w:w="5386" w:type="dxa"/>
            <w:vAlign w:val="center"/>
          </w:tcPr>
          <w:p w14:paraId="662F1F20">
            <w:pPr>
              <w:pStyle w:val="13"/>
            </w:pPr>
            <w:r>
              <w:t>免学费补助人数</w:t>
            </w:r>
          </w:p>
        </w:tc>
        <w:tc>
          <w:tcPr>
            <w:tcW w:w="1688" w:type="dxa"/>
            <w:vAlign w:val="center"/>
          </w:tcPr>
          <w:p w14:paraId="6B079D93">
            <w:pPr>
              <w:pStyle w:val="13"/>
            </w:pPr>
            <w:r>
              <w:t>1376人</w:t>
            </w:r>
          </w:p>
        </w:tc>
        <w:tc>
          <w:tcPr>
            <w:tcW w:w="1856" w:type="dxa"/>
            <w:vAlign w:val="center"/>
          </w:tcPr>
          <w:p w14:paraId="61F7601E">
            <w:pPr>
              <w:pStyle w:val="13"/>
            </w:pPr>
            <w:r>
              <w:t>年度预算</w:t>
            </w:r>
          </w:p>
        </w:tc>
      </w:tr>
      <w:tr w14:paraId="1552D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03996"/>
        </w:tc>
        <w:tc>
          <w:tcPr>
            <w:tcW w:w="2268" w:type="dxa"/>
            <w:vAlign w:val="center"/>
          </w:tcPr>
          <w:p w14:paraId="1DE07DC8">
            <w:pPr>
              <w:pStyle w:val="13"/>
            </w:pPr>
            <w:r>
              <w:t>质量指标</w:t>
            </w:r>
          </w:p>
        </w:tc>
        <w:tc>
          <w:tcPr>
            <w:tcW w:w="2835" w:type="dxa"/>
            <w:vAlign w:val="center"/>
          </w:tcPr>
          <w:p w14:paraId="420D2DD4">
            <w:pPr>
              <w:pStyle w:val="13"/>
            </w:pPr>
            <w:r>
              <w:t>免学费全覆盖</w:t>
            </w:r>
          </w:p>
        </w:tc>
        <w:tc>
          <w:tcPr>
            <w:tcW w:w="5386" w:type="dxa"/>
            <w:vAlign w:val="center"/>
          </w:tcPr>
          <w:p w14:paraId="4FF36653">
            <w:pPr>
              <w:pStyle w:val="13"/>
            </w:pPr>
            <w:r>
              <w:t>免学费一、二、三年级中职生</w:t>
            </w:r>
          </w:p>
        </w:tc>
        <w:tc>
          <w:tcPr>
            <w:tcW w:w="1688" w:type="dxa"/>
            <w:vAlign w:val="center"/>
          </w:tcPr>
          <w:p w14:paraId="5916ACB5">
            <w:pPr>
              <w:pStyle w:val="13"/>
            </w:pPr>
            <w:r>
              <w:t>≥100%</w:t>
            </w:r>
          </w:p>
        </w:tc>
        <w:tc>
          <w:tcPr>
            <w:tcW w:w="1856" w:type="dxa"/>
            <w:vAlign w:val="center"/>
          </w:tcPr>
          <w:p w14:paraId="071AF2A0">
            <w:pPr>
              <w:pStyle w:val="13"/>
            </w:pPr>
            <w:r>
              <w:t>隆尧县中职免学费管理办法</w:t>
            </w:r>
          </w:p>
        </w:tc>
      </w:tr>
      <w:tr w14:paraId="5D924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1468F"/>
        </w:tc>
        <w:tc>
          <w:tcPr>
            <w:tcW w:w="2268" w:type="dxa"/>
            <w:vAlign w:val="center"/>
          </w:tcPr>
          <w:p w14:paraId="503892EE">
            <w:pPr>
              <w:pStyle w:val="13"/>
            </w:pPr>
            <w:r>
              <w:t>时效指标</w:t>
            </w:r>
          </w:p>
        </w:tc>
        <w:tc>
          <w:tcPr>
            <w:tcW w:w="2835" w:type="dxa"/>
            <w:vAlign w:val="center"/>
          </w:tcPr>
          <w:p w14:paraId="408DE2F4">
            <w:pPr>
              <w:pStyle w:val="13"/>
            </w:pPr>
            <w:r>
              <w:t>免学费经费拨付率</w:t>
            </w:r>
          </w:p>
        </w:tc>
        <w:tc>
          <w:tcPr>
            <w:tcW w:w="5386" w:type="dxa"/>
            <w:vAlign w:val="center"/>
          </w:tcPr>
          <w:p w14:paraId="31158719">
            <w:pPr>
              <w:pStyle w:val="13"/>
            </w:pPr>
            <w:r>
              <w:t>免学费经费及时拨付到位率</w:t>
            </w:r>
          </w:p>
        </w:tc>
        <w:tc>
          <w:tcPr>
            <w:tcW w:w="1688" w:type="dxa"/>
            <w:vAlign w:val="center"/>
          </w:tcPr>
          <w:p w14:paraId="201E4D64">
            <w:pPr>
              <w:pStyle w:val="13"/>
            </w:pPr>
            <w:r>
              <w:t>≥100%</w:t>
            </w:r>
          </w:p>
        </w:tc>
        <w:tc>
          <w:tcPr>
            <w:tcW w:w="1856" w:type="dxa"/>
            <w:vAlign w:val="center"/>
          </w:tcPr>
          <w:p w14:paraId="0124953E">
            <w:pPr>
              <w:pStyle w:val="13"/>
            </w:pPr>
            <w:r>
              <w:t>隆尧县中职免学费管理办法</w:t>
            </w:r>
          </w:p>
        </w:tc>
      </w:tr>
      <w:tr w14:paraId="01633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D6787"/>
        </w:tc>
        <w:tc>
          <w:tcPr>
            <w:tcW w:w="2268" w:type="dxa"/>
            <w:vAlign w:val="center"/>
          </w:tcPr>
          <w:p w14:paraId="5BA8445F">
            <w:pPr>
              <w:pStyle w:val="13"/>
            </w:pPr>
            <w:r>
              <w:t>成本指标</w:t>
            </w:r>
          </w:p>
        </w:tc>
        <w:tc>
          <w:tcPr>
            <w:tcW w:w="2835" w:type="dxa"/>
            <w:vAlign w:val="center"/>
          </w:tcPr>
          <w:p w14:paraId="6117E622">
            <w:pPr>
              <w:pStyle w:val="13"/>
            </w:pPr>
            <w:r>
              <w:t>中职学校免学费补助标准</w:t>
            </w:r>
          </w:p>
        </w:tc>
        <w:tc>
          <w:tcPr>
            <w:tcW w:w="5386" w:type="dxa"/>
            <w:vAlign w:val="center"/>
          </w:tcPr>
          <w:p w14:paraId="147920FD">
            <w:pPr>
              <w:pStyle w:val="13"/>
            </w:pPr>
            <w:r>
              <w:t>中职学校免学费补助标准</w:t>
            </w:r>
          </w:p>
        </w:tc>
        <w:tc>
          <w:tcPr>
            <w:tcW w:w="1688" w:type="dxa"/>
            <w:vAlign w:val="center"/>
          </w:tcPr>
          <w:p w14:paraId="2D5CAB5A">
            <w:pPr>
              <w:pStyle w:val="13"/>
            </w:pPr>
            <w:r>
              <w:t>2000元/生/年</w:t>
            </w:r>
          </w:p>
        </w:tc>
        <w:tc>
          <w:tcPr>
            <w:tcW w:w="1856" w:type="dxa"/>
            <w:vAlign w:val="center"/>
          </w:tcPr>
          <w:p w14:paraId="38D90E10">
            <w:pPr>
              <w:pStyle w:val="13"/>
            </w:pPr>
            <w:r>
              <w:t>隆尧县中职免学费管理办法</w:t>
            </w:r>
          </w:p>
        </w:tc>
      </w:tr>
      <w:tr w14:paraId="0445C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063E9">
            <w:pPr>
              <w:pStyle w:val="12"/>
            </w:pPr>
            <w:r>
              <w:t>效益指标</w:t>
            </w:r>
          </w:p>
        </w:tc>
        <w:tc>
          <w:tcPr>
            <w:tcW w:w="2268" w:type="dxa"/>
            <w:vAlign w:val="center"/>
          </w:tcPr>
          <w:p w14:paraId="0F18D170">
            <w:pPr>
              <w:pStyle w:val="13"/>
            </w:pPr>
            <w:r>
              <w:t>经济效益指标</w:t>
            </w:r>
          </w:p>
        </w:tc>
        <w:tc>
          <w:tcPr>
            <w:tcW w:w="2835" w:type="dxa"/>
            <w:vAlign w:val="center"/>
          </w:tcPr>
          <w:p w14:paraId="772BEE23">
            <w:pPr>
              <w:pStyle w:val="13"/>
            </w:pPr>
            <w:r>
              <w:t>减轻家庭负担</w:t>
            </w:r>
          </w:p>
        </w:tc>
        <w:tc>
          <w:tcPr>
            <w:tcW w:w="5386" w:type="dxa"/>
            <w:vAlign w:val="center"/>
          </w:tcPr>
          <w:p w14:paraId="47B61C0D">
            <w:pPr>
              <w:pStyle w:val="13"/>
            </w:pPr>
            <w:r>
              <w:t>增加贫困家庭经济收入</w:t>
            </w:r>
          </w:p>
        </w:tc>
        <w:tc>
          <w:tcPr>
            <w:tcW w:w="1688" w:type="dxa"/>
            <w:vAlign w:val="center"/>
          </w:tcPr>
          <w:p w14:paraId="35DAF081">
            <w:pPr>
              <w:pStyle w:val="13"/>
            </w:pPr>
            <w:r>
              <w:t>≥98%</w:t>
            </w:r>
          </w:p>
        </w:tc>
        <w:tc>
          <w:tcPr>
            <w:tcW w:w="1856" w:type="dxa"/>
            <w:vAlign w:val="center"/>
          </w:tcPr>
          <w:p w14:paraId="1717F875">
            <w:pPr>
              <w:pStyle w:val="13"/>
            </w:pPr>
            <w:r>
              <w:t>隆尧县中职免学费管理办法</w:t>
            </w:r>
          </w:p>
        </w:tc>
      </w:tr>
      <w:tr w14:paraId="7FE24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753B6"/>
        </w:tc>
        <w:tc>
          <w:tcPr>
            <w:tcW w:w="2268" w:type="dxa"/>
            <w:vAlign w:val="center"/>
          </w:tcPr>
          <w:p w14:paraId="4754E18C">
            <w:pPr>
              <w:pStyle w:val="13"/>
            </w:pPr>
            <w:r>
              <w:t>社会效益指标</w:t>
            </w:r>
          </w:p>
        </w:tc>
        <w:tc>
          <w:tcPr>
            <w:tcW w:w="2835" w:type="dxa"/>
            <w:vAlign w:val="center"/>
          </w:tcPr>
          <w:p w14:paraId="3779A1AE">
            <w:pPr>
              <w:pStyle w:val="13"/>
            </w:pPr>
            <w:r>
              <w:t>中职运转</w:t>
            </w:r>
          </w:p>
        </w:tc>
        <w:tc>
          <w:tcPr>
            <w:tcW w:w="5386" w:type="dxa"/>
            <w:vAlign w:val="center"/>
          </w:tcPr>
          <w:p w14:paraId="3EA758F2">
            <w:pPr>
              <w:pStyle w:val="13"/>
            </w:pPr>
            <w:r>
              <w:t>高中受教育年限</w:t>
            </w:r>
          </w:p>
        </w:tc>
        <w:tc>
          <w:tcPr>
            <w:tcW w:w="1688" w:type="dxa"/>
            <w:vAlign w:val="center"/>
          </w:tcPr>
          <w:p w14:paraId="61F01B20">
            <w:pPr>
              <w:pStyle w:val="13"/>
            </w:pPr>
            <w:r>
              <w:t>3年</w:t>
            </w:r>
          </w:p>
        </w:tc>
        <w:tc>
          <w:tcPr>
            <w:tcW w:w="1856" w:type="dxa"/>
            <w:vAlign w:val="center"/>
          </w:tcPr>
          <w:p w14:paraId="3225D178">
            <w:pPr>
              <w:pStyle w:val="13"/>
            </w:pPr>
            <w:r>
              <w:t>隆尧县中职免学费管理办法</w:t>
            </w:r>
          </w:p>
        </w:tc>
      </w:tr>
      <w:tr w14:paraId="555B3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17305D">
            <w:pPr>
              <w:pStyle w:val="12"/>
            </w:pPr>
            <w:r>
              <w:t>满意度指标</w:t>
            </w:r>
          </w:p>
        </w:tc>
        <w:tc>
          <w:tcPr>
            <w:tcW w:w="2268" w:type="dxa"/>
            <w:vAlign w:val="center"/>
          </w:tcPr>
          <w:p w14:paraId="3D218330">
            <w:pPr>
              <w:pStyle w:val="13"/>
            </w:pPr>
            <w:r>
              <w:t>服务对象满意度指标</w:t>
            </w:r>
          </w:p>
        </w:tc>
        <w:tc>
          <w:tcPr>
            <w:tcW w:w="2835" w:type="dxa"/>
            <w:vAlign w:val="center"/>
          </w:tcPr>
          <w:p w14:paraId="24283ED1">
            <w:pPr>
              <w:pStyle w:val="13"/>
            </w:pPr>
            <w:r>
              <w:t>提升幸福指数</w:t>
            </w:r>
          </w:p>
        </w:tc>
        <w:tc>
          <w:tcPr>
            <w:tcW w:w="5386" w:type="dxa"/>
            <w:vAlign w:val="center"/>
          </w:tcPr>
          <w:p w14:paraId="66BDB866">
            <w:pPr>
              <w:pStyle w:val="13"/>
            </w:pPr>
            <w:r>
              <w:t>提升贫困家庭学生的幸福指数学生家长满意</w:t>
            </w:r>
          </w:p>
        </w:tc>
        <w:tc>
          <w:tcPr>
            <w:tcW w:w="1688" w:type="dxa"/>
            <w:vAlign w:val="center"/>
          </w:tcPr>
          <w:p w14:paraId="33F353BB">
            <w:pPr>
              <w:pStyle w:val="13"/>
            </w:pPr>
            <w:r>
              <w:t>≥95%</w:t>
            </w:r>
          </w:p>
        </w:tc>
        <w:tc>
          <w:tcPr>
            <w:tcW w:w="1856" w:type="dxa"/>
            <w:vAlign w:val="center"/>
          </w:tcPr>
          <w:p w14:paraId="579776D3">
            <w:pPr>
              <w:pStyle w:val="13"/>
            </w:pPr>
            <w:r>
              <w:t>隆尧县中职免学费管理办法</w:t>
            </w:r>
          </w:p>
        </w:tc>
      </w:tr>
    </w:tbl>
    <w:p w14:paraId="48BE6D84">
      <w:pPr>
        <w:sectPr>
          <w:pgSz w:w="16840" w:h="11900" w:orient="landscape"/>
          <w:pgMar w:top="1361" w:right="1020" w:bottom="1134" w:left="1020" w:header="720" w:footer="720" w:gutter="0"/>
          <w:cols w:space="720" w:num="1"/>
        </w:sectPr>
      </w:pPr>
    </w:p>
    <w:p w14:paraId="05276510">
      <w:pPr>
        <w:spacing w:before="0" w:after="0"/>
        <w:ind w:firstLine="560"/>
        <w:jc w:val="left"/>
        <w:outlineLvl w:val="9"/>
      </w:pPr>
      <w:r>
        <w:rPr>
          <w:rFonts w:ascii="方正仿宋_GBK" w:hAnsi="方正仿宋_GBK" w:eastAsia="方正仿宋_GBK" w:cs="方正仿宋_GBK"/>
          <w:b/>
          <w:color w:val="000000"/>
          <w:sz w:val="28"/>
        </w:rPr>
        <w:t>21、县级配套/资助/普通高中助学金（职教高中）</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7A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206A4">
            <w:pPr>
              <w:pStyle w:val="14"/>
            </w:pPr>
            <w:r>
              <w:t>单位：万元</w:t>
            </w:r>
          </w:p>
        </w:tc>
      </w:tr>
      <w:tr w14:paraId="3B0D0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95E7AC">
            <w:pPr>
              <w:pStyle w:val="11"/>
            </w:pPr>
            <w:r>
              <w:t>项目编码</w:t>
            </w:r>
          </w:p>
        </w:tc>
        <w:tc>
          <w:tcPr>
            <w:tcW w:w="5103" w:type="dxa"/>
            <w:gridSpan w:val="2"/>
            <w:vAlign w:val="center"/>
          </w:tcPr>
          <w:p w14:paraId="094677F8">
            <w:pPr>
              <w:pStyle w:val="13"/>
            </w:pPr>
            <w:r>
              <w:t>13052525P00001210006H</w:t>
            </w:r>
          </w:p>
        </w:tc>
        <w:tc>
          <w:tcPr>
            <w:tcW w:w="2835" w:type="dxa"/>
            <w:vAlign w:val="center"/>
          </w:tcPr>
          <w:p w14:paraId="06023667">
            <w:pPr>
              <w:pStyle w:val="11"/>
            </w:pPr>
            <w:r>
              <w:t>项目名称</w:t>
            </w:r>
          </w:p>
        </w:tc>
        <w:tc>
          <w:tcPr>
            <w:tcW w:w="6095" w:type="dxa"/>
            <w:gridSpan w:val="3"/>
            <w:vAlign w:val="center"/>
          </w:tcPr>
          <w:p w14:paraId="648D76B1">
            <w:pPr>
              <w:pStyle w:val="13"/>
            </w:pPr>
            <w:r>
              <w:t>县级配套/资助/普通高中助学金（职教高中）</w:t>
            </w:r>
            <w:r>
              <w:tab/>
            </w:r>
            <w:r>
              <w:tab/>
            </w:r>
          </w:p>
        </w:tc>
      </w:tr>
      <w:tr w14:paraId="52990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8460C">
            <w:pPr>
              <w:pStyle w:val="11"/>
            </w:pPr>
            <w:r>
              <w:t>预算规模及资金用途</w:t>
            </w:r>
          </w:p>
        </w:tc>
        <w:tc>
          <w:tcPr>
            <w:tcW w:w="2268" w:type="dxa"/>
            <w:vAlign w:val="center"/>
          </w:tcPr>
          <w:p w14:paraId="156D2D98">
            <w:pPr>
              <w:pStyle w:val="11"/>
            </w:pPr>
            <w:r>
              <w:t>预算数</w:t>
            </w:r>
          </w:p>
        </w:tc>
        <w:tc>
          <w:tcPr>
            <w:tcW w:w="2835" w:type="dxa"/>
            <w:vAlign w:val="center"/>
          </w:tcPr>
          <w:p w14:paraId="0E3D8E15">
            <w:pPr>
              <w:pStyle w:val="13"/>
            </w:pPr>
            <w:r>
              <w:t>7.04</w:t>
            </w:r>
          </w:p>
        </w:tc>
        <w:tc>
          <w:tcPr>
            <w:tcW w:w="2835" w:type="dxa"/>
            <w:vAlign w:val="center"/>
          </w:tcPr>
          <w:p w14:paraId="7D0EC825">
            <w:pPr>
              <w:pStyle w:val="11"/>
            </w:pPr>
            <w:r>
              <w:t>其中：财政    资金</w:t>
            </w:r>
          </w:p>
        </w:tc>
        <w:tc>
          <w:tcPr>
            <w:tcW w:w="2551" w:type="dxa"/>
            <w:vAlign w:val="center"/>
          </w:tcPr>
          <w:p w14:paraId="1D47E48C">
            <w:pPr>
              <w:pStyle w:val="13"/>
            </w:pPr>
            <w:r>
              <w:t>7.04</w:t>
            </w:r>
          </w:p>
        </w:tc>
        <w:tc>
          <w:tcPr>
            <w:tcW w:w="2268" w:type="dxa"/>
            <w:vAlign w:val="center"/>
          </w:tcPr>
          <w:p w14:paraId="643BEEEA">
            <w:pPr>
              <w:pStyle w:val="11"/>
            </w:pPr>
            <w:r>
              <w:t>其他资金</w:t>
            </w:r>
          </w:p>
        </w:tc>
        <w:tc>
          <w:tcPr>
            <w:tcW w:w="1276" w:type="dxa"/>
            <w:vAlign w:val="center"/>
          </w:tcPr>
          <w:p w14:paraId="4BB0E932">
            <w:pPr>
              <w:pStyle w:val="13"/>
            </w:pPr>
            <w:r>
              <w:t xml:space="preserve"> </w:t>
            </w:r>
          </w:p>
        </w:tc>
      </w:tr>
      <w:tr w14:paraId="57628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102AB9"/>
        </w:tc>
        <w:tc>
          <w:tcPr>
            <w:tcW w:w="14033" w:type="dxa"/>
            <w:gridSpan w:val="6"/>
            <w:vAlign w:val="center"/>
          </w:tcPr>
          <w:p w14:paraId="28C3339C">
            <w:pPr>
              <w:pStyle w:val="13"/>
            </w:pPr>
            <w:r>
              <w:t>县级安排7.038万元普通高中助学金主要用于帮助贫困学生完成学业。</w:t>
            </w:r>
          </w:p>
        </w:tc>
      </w:tr>
      <w:tr w14:paraId="0B232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5129F1AB">
            <w:pPr>
              <w:pStyle w:val="11"/>
            </w:pPr>
            <w:r>
              <w:t>资金支出计划（%）</w:t>
            </w:r>
          </w:p>
        </w:tc>
        <w:tc>
          <w:tcPr>
            <w:tcW w:w="5103" w:type="dxa"/>
            <w:gridSpan w:val="2"/>
            <w:vAlign w:val="center"/>
          </w:tcPr>
          <w:p w14:paraId="099C71DB">
            <w:pPr>
              <w:pStyle w:val="11"/>
            </w:pPr>
            <w:r>
              <w:t>3月底</w:t>
            </w:r>
          </w:p>
        </w:tc>
        <w:tc>
          <w:tcPr>
            <w:tcW w:w="2835" w:type="dxa"/>
            <w:vAlign w:val="center"/>
          </w:tcPr>
          <w:p w14:paraId="10A8188C">
            <w:pPr>
              <w:pStyle w:val="11"/>
            </w:pPr>
            <w:r>
              <w:t>6月底</w:t>
            </w:r>
          </w:p>
        </w:tc>
        <w:tc>
          <w:tcPr>
            <w:tcW w:w="2551" w:type="dxa"/>
            <w:vAlign w:val="center"/>
          </w:tcPr>
          <w:p w14:paraId="78EFF724">
            <w:pPr>
              <w:pStyle w:val="11"/>
            </w:pPr>
            <w:r>
              <w:t>10月底</w:t>
            </w:r>
          </w:p>
        </w:tc>
        <w:tc>
          <w:tcPr>
            <w:tcW w:w="3544" w:type="dxa"/>
            <w:gridSpan w:val="2"/>
            <w:vAlign w:val="center"/>
          </w:tcPr>
          <w:p w14:paraId="0FA21625">
            <w:pPr>
              <w:pStyle w:val="11"/>
            </w:pPr>
            <w:r>
              <w:t>12月底</w:t>
            </w:r>
          </w:p>
        </w:tc>
      </w:tr>
      <w:tr w14:paraId="0959C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11D8C789"/>
        </w:tc>
        <w:tc>
          <w:tcPr>
            <w:tcW w:w="5103" w:type="dxa"/>
            <w:gridSpan w:val="2"/>
            <w:vAlign w:val="center"/>
          </w:tcPr>
          <w:p w14:paraId="1A10C1A3">
            <w:pPr>
              <w:pStyle w:val="12"/>
            </w:pPr>
            <w:r>
              <w:t xml:space="preserve"> </w:t>
            </w:r>
          </w:p>
        </w:tc>
        <w:tc>
          <w:tcPr>
            <w:tcW w:w="2835" w:type="dxa"/>
            <w:vAlign w:val="center"/>
          </w:tcPr>
          <w:p w14:paraId="3D3D0173">
            <w:pPr>
              <w:pStyle w:val="12"/>
            </w:pPr>
            <w:r>
              <w:t>50%</w:t>
            </w:r>
          </w:p>
        </w:tc>
        <w:tc>
          <w:tcPr>
            <w:tcW w:w="2551" w:type="dxa"/>
            <w:vAlign w:val="center"/>
          </w:tcPr>
          <w:p w14:paraId="57F1AA3C">
            <w:pPr>
              <w:pStyle w:val="12"/>
            </w:pPr>
            <w:r>
              <w:t>50%</w:t>
            </w:r>
          </w:p>
        </w:tc>
        <w:tc>
          <w:tcPr>
            <w:tcW w:w="3544" w:type="dxa"/>
            <w:gridSpan w:val="2"/>
            <w:vAlign w:val="center"/>
          </w:tcPr>
          <w:p w14:paraId="4CF54F60">
            <w:pPr>
              <w:pStyle w:val="12"/>
            </w:pPr>
            <w:r>
              <w:t>100%</w:t>
            </w:r>
          </w:p>
        </w:tc>
      </w:tr>
      <w:tr w14:paraId="0D5BF9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5C7BC3">
            <w:pPr>
              <w:pStyle w:val="11"/>
            </w:pPr>
            <w:r>
              <w:t>绩效目标</w:t>
            </w:r>
          </w:p>
        </w:tc>
        <w:tc>
          <w:tcPr>
            <w:tcW w:w="14033" w:type="dxa"/>
            <w:gridSpan w:val="6"/>
            <w:vAlign w:val="center"/>
          </w:tcPr>
          <w:p w14:paraId="2DFB46DB">
            <w:pPr>
              <w:pStyle w:val="13"/>
            </w:pPr>
            <w:r>
              <w:t>1.县级安排7.038万元普通高中助学金主要用于帮助贫困学生完成学业。</w:t>
            </w:r>
          </w:p>
        </w:tc>
      </w:tr>
    </w:tbl>
    <w:p w14:paraId="1C73B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654"/>
        <w:gridCol w:w="1440"/>
        <w:gridCol w:w="3836"/>
      </w:tblGrid>
      <w:tr w14:paraId="6634F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FB6E4">
            <w:pPr>
              <w:pStyle w:val="11"/>
            </w:pPr>
            <w:r>
              <w:t>一级指标</w:t>
            </w:r>
          </w:p>
        </w:tc>
        <w:tc>
          <w:tcPr>
            <w:tcW w:w="2268" w:type="dxa"/>
            <w:vAlign w:val="center"/>
          </w:tcPr>
          <w:p w14:paraId="75811F93">
            <w:pPr>
              <w:pStyle w:val="11"/>
            </w:pPr>
            <w:r>
              <w:t>二级指标</w:t>
            </w:r>
          </w:p>
        </w:tc>
        <w:tc>
          <w:tcPr>
            <w:tcW w:w="2835" w:type="dxa"/>
            <w:vAlign w:val="center"/>
          </w:tcPr>
          <w:p w14:paraId="486E56CC">
            <w:pPr>
              <w:pStyle w:val="11"/>
            </w:pPr>
            <w:r>
              <w:t>三级指标</w:t>
            </w:r>
          </w:p>
        </w:tc>
        <w:tc>
          <w:tcPr>
            <w:tcW w:w="3654" w:type="dxa"/>
            <w:vAlign w:val="center"/>
          </w:tcPr>
          <w:p w14:paraId="049A8341">
            <w:pPr>
              <w:pStyle w:val="11"/>
            </w:pPr>
            <w:r>
              <w:t>绩效指标描述</w:t>
            </w:r>
          </w:p>
        </w:tc>
        <w:tc>
          <w:tcPr>
            <w:tcW w:w="1440" w:type="dxa"/>
            <w:vAlign w:val="center"/>
          </w:tcPr>
          <w:p w14:paraId="5DFA8027">
            <w:pPr>
              <w:pStyle w:val="11"/>
            </w:pPr>
            <w:r>
              <w:t>指标值</w:t>
            </w:r>
          </w:p>
        </w:tc>
        <w:tc>
          <w:tcPr>
            <w:tcW w:w="3836" w:type="dxa"/>
            <w:vAlign w:val="center"/>
          </w:tcPr>
          <w:p w14:paraId="1415F169">
            <w:pPr>
              <w:pStyle w:val="11"/>
            </w:pPr>
            <w:r>
              <w:t>指标值确定依据</w:t>
            </w:r>
          </w:p>
        </w:tc>
      </w:tr>
      <w:tr w14:paraId="643F3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48154">
            <w:pPr>
              <w:pStyle w:val="12"/>
            </w:pPr>
            <w:r>
              <w:t>产出指标</w:t>
            </w:r>
          </w:p>
        </w:tc>
        <w:tc>
          <w:tcPr>
            <w:tcW w:w="2268" w:type="dxa"/>
            <w:vAlign w:val="center"/>
          </w:tcPr>
          <w:p w14:paraId="4CCAF3F4">
            <w:pPr>
              <w:pStyle w:val="13"/>
            </w:pPr>
            <w:r>
              <w:t>数量指标</w:t>
            </w:r>
          </w:p>
        </w:tc>
        <w:tc>
          <w:tcPr>
            <w:tcW w:w="2835" w:type="dxa"/>
            <w:vAlign w:val="center"/>
          </w:tcPr>
          <w:p w14:paraId="290A0B1B">
            <w:pPr>
              <w:pStyle w:val="13"/>
            </w:pPr>
            <w:r>
              <w:t>普通高中享受人数</w:t>
            </w:r>
          </w:p>
        </w:tc>
        <w:tc>
          <w:tcPr>
            <w:tcW w:w="3654" w:type="dxa"/>
            <w:vAlign w:val="center"/>
          </w:tcPr>
          <w:p w14:paraId="6675A5A8">
            <w:pPr>
              <w:pStyle w:val="13"/>
            </w:pPr>
            <w:r>
              <w:t>普通高中享受助学金人数</w:t>
            </w:r>
          </w:p>
        </w:tc>
        <w:tc>
          <w:tcPr>
            <w:tcW w:w="1440" w:type="dxa"/>
            <w:vAlign w:val="center"/>
          </w:tcPr>
          <w:p w14:paraId="06C9EA30">
            <w:pPr>
              <w:pStyle w:val="13"/>
            </w:pPr>
            <w:r>
              <w:t>≥153人</w:t>
            </w:r>
          </w:p>
        </w:tc>
        <w:tc>
          <w:tcPr>
            <w:tcW w:w="3836" w:type="dxa"/>
            <w:vAlign w:val="center"/>
          </w:tcPr>
          <w:p w14:paraId="1BC2DEB8">
            <w:pPr>
              <w:pStyle w:val="13"/>
            </w:pPr>
            <w:r>
              <w:t>【隆尧县普通高中高中国家助学金管理办法的通知】隆财【2018】105号，</w:t>
            </w:r>
          </w:p>
        </w:tc>
      </w:tr>
      <w:tr w14:paraId="6216A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E5031"/>
        </w:tc>
        <w:tc>
          <w:tcPr>
            <w:tcW w:w="2268" w:type="dxa"/>
            <w:vAlign w:val="center"/>
          </w:tcPr>
          <w:p w14:paraId="660DEDB0">
            <w:pPr>
              <w:pStyle w:val="13"/>
            </w:pPr>
            <w:r>
              <w:t>质量指标</w:t>
            </w:r>
          </w:p>
        </w:tc>
        <w:tc>
          <w:tcPr>
            <w:tcW w:w="2835" w:type="dxa"/>
            <w:vAlign w:val="center"/>
          </w:tcPr>
          <w:p w14:paraId="64A50405">
            <w:pPr>
              <w:pStyle w:val="13"/>
            </w:pPr>
            <w:r>
              <w:t>完成助学金发放工作</w:t>
            </w:r>
          </w:p>
        </w:tc>
        <w:tc>
          <w:tcPr>
            <w:tcW w:w="3654" w:type="dxa"/>
            <w:vAlign w:val="center"/>
          </w:tcPr>
          <w:p w14:paraId="0192E6A3">
            <w:pPr>
              <w:pStyle w:val="13"/>
            </w:pPr>
            <w:r>
              <w:t>普高助学金享受比例</w:t>
            </w:r>
          </w:p>
        </w:tc>
        <w:tc>
          <w:tcPr>
            <w:tcW w:w="1440" w:type="dxa"/>
            <w:vAlign w:val="center"/>
          </w:tcPr>
          <w:p w14:paraId="5E301741">
            <w:pPr>
              <w:pStyle w:val="13"/>
            </w:pPr>
            <w:r>
              <w:t>≥18%</w:t>
            </w:r>
          </w:p>
        </w:tc>
        <w:tc>
          <w:tcPr>
            <w:tcW w:w="3836" w:type="dxa"/>
            <w:vAlign w:val="center"/>
          </w:tcPr>
          <w:p w14:paraId="0E27A2EB">
            <w:pPr>
              <w:pStyle w:val="13"/>
            </w:pPr>
            <w:r>
              <w:t>【隆尧县普通高中高中国家助学金管理办法的通知】隆财【2018】105号，</w:t>
            </w:r>
          </w:p>
        </w:tc>
      </w:tr>
      <w:tr w14:paraId="6E4B0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C2511"/>
        </w:tc>
        <w:tc>
          <w:tcPr>
            <w:tcW w:w="2268" w:type="dxa"/>
            <w:vAlign w:val="center"/>
          </w:tcPr>
          <w:p w14:paraId="0B622F21">
            <w:pPr>
              <w:pStyle w:val="13"/>
            </w:pPr>
            <w:r>
              <w:t>时效指标</w:t>
            </w:r>
          </w:p>
        </w:tc>
        <w:tc>
          <w:tcPr>
            <w:tcW w:w="2835" w:type="dxa"/>
            <w:vAlign w:val="center"/>
          </w:tcPr>
          <w:p w14:paraId="200F5C4E">
            <w:pPr>
              <w:pStyle w:val="13"/>
            </w:pPr>
            <w:r>
              <w:t>助学金及时足额发放</w:t>
            </w:r>
          </w:p>
        </w:tc>
        <w:tc>
          <w:tcPr>
            <w:tcW w:w="3654" w:type="dxa"/>
            <w:vAlign w:val="center"/>
          </w:tcPr>
          <w:p w14:paraId="3AAFD1F6">
            <w:pPr>
              <w:pStyle w:val="13"/>
            </w:pPr>
            <w:r>
              <w:t>助学金及时足额发放率</w:t>
            </w:r>
          </w:p>
        </w:tc>
        <w:tc>
          <w:tcPr>
            <w:tcW w:w="1440" w:type="dxa"/>
            <w:vAlign w:val="center"/>
          </w:tcPr>
          <w:p w14:paraId="641D6AC3">
            <w:pPr>
              <w:pStyle w:val="13"/>
            </w:pPr>
            <w:r>
              <w:t>≥100%</w:t>
            </w:r>
          </w:p>
        </w:tc>
        <w:tc>
          <w:tcPr>
            <w:tcW w:w="3836" w:type="dxa"/>
            <w:vAlign w:val="center"/>
          </w:tcPr>
          <w:p w14:paraId="4E01256E">
            <w:pPr>
              <w:pStyle w:val="13"/>
            </w:pPr>
            <w:r>
              <w:t>【隆尧县普通高中高中国家助学金管理办法的通知】隆财【2018】105号，</w:t>
            </w:r>
          </w:p>
        </w:tc>
      </w:tr>
      <w:tr w14:paraId="359D1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F3EC1"/>
        </w:tc>
        <w:tc>
          <w:tcPr>
            <w:tcW w:w="2268" w:type="dxa"/>
            <w:vAlign w:val="center"/>
          </w:tcPr>
          <w:p w14:paraId="6583E9B5">
            <w:pPr>
              <w:pStyle w:val="13"/>
            </w:pPr>
            <w:r>
              <w:t>成本指标</w:t>
            </w:r>
          </w:p>
        </w:tc>
        <w:tc>
          <w:tcPr>
            <w:tcW w:w="2835" w:type="dxa"/>
            <w:vAlign w:val="center"/>
          </w:tcPr>
          <w:p w14:paraId="32A81C1E">
            <w:pPr>
              <w:pStyle w:val="13"/>
            </w:pPr>
            <w:r>
              <w:t>普通高中助学金标准</w:t>
            </w:r>
          </w:p>
        </w:tc>
        <w:tc>
          <w:tcPr>
            <w:tcW w:w="3654" w:type="dxa"/>
            <w:vAlign w:val="center"/>
          </w:tcPr>
          <w:p w14:paraId="5B05B289">
            <w:pPr>
              <w:pStyle w:val="13"/>
            </w:pPr>
            <w:r>
              <w:t>普通高中助学金资助标准2300/生/年</w:t>
            </w:r>
          </w:p>
        </w:tc>
        <w:tc>
          <w:tcPr>
            <w:tcW w:w="1440" w:type="dxa"/>
            <w:vAlign w:val="center"/>
          </w:tcPr>
          <w:p w14:paraId="7413DAE9">
            <w:pPr>
              <w:pStyle w:val="13"/>
            </w:pPr>
            <w:r>
              <w:t>2300元</w:t>
            </w:r>
          </w:p>
        </w:tc>
        <w:tc>
          <w:tcPr>
            <w:tcW w:w="3836" w:type="dxa"/>
            <w:vAlign w:val="center"/>
          </w:tcPr>
          <w:p w14:paraId="3A987284">
            <w:pPr>
              <w:pStyle w:val="13"/>
            </w:pPr>
            <w:r>
              <w:t>【隆尧县普通高中高中国家助学金管理办法的通知】隆财【2018】105号，</w:t>
            </w:r>
          </w:p>
        </w:tc>
      </w:tr>
      <w:tr w14:paraId="4F8BD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1FD9A">
            <w:pPr>
              <w:pStyle w:val="12"/>
            </w:pPr>
            <w:r>
              <w:t>效益指标</w:t>
            </w:r>
          </w:p>
        </w:tc>
        <w:tc>
          <w:tcPr>
            <w:tcW w:w="2268" w:type="dxa"/>
            <w:vAlign w:val="center"/>
          </w:tcPr>
          <w:p w14:paraId="57B8A635">
            <w:pPr>
              <w:pStyle w:val="13"/>
            </w:pPr>
            <w:r>
              <w:t>经济效益指标</w:t>
            </w:r>
          </w:p>
        </w:tc>
        <w:tc>
          <w:tcPr>
            <w:tcW w:w="2835" w:type="dxa"/>
            <w:vAlign w:val="center"/>
          </w:tcPr>
          <w:p w14:paraId="225427EA">
            <w:pPr>
              <w:pStyle w:val="13"/>
            </w:pPr>
            <w:r>
              <w:t>增加贫困家庭经济收入</w:t>
            </w:r>
          </w:p>
        </w:tc>
        <w:tc>
          <w:tcPr>
            <w:tcW w:w="3654" w:type="dxa"/>
            <w:vAlign w:val="center"/>
          </w:tcPr>
          <w:p w14:paraId="37479ACE">
            <w:pPr>
              <w:pStyle w:val="13"/>
            </w:pPr>
            <w:r>
              <w:t>增加贫困家庭经济收入</w:t>
            </w:r>
          </w:p>
        </w:tc>
        <w:tc>
          <w:tcPr>
            <w:tcW w:w="1440" w:type="dxa"/>
            <w:vAlign w:val="center"/>
          </w:tcPr>
          <w:p w14:paraId="1E8DCB4A">
            <w:pPr>
              <w:pStyle w:val="13"/>
            </w:pPr>
            <w:r>
              <w:t>≥100%</w:t>
            </w:r>
          </w:p>
        </w:tc>
        <w:tc>
          <w:tcPr>
            <w:tcW w:w="3836" w:type="dxa"/>
            <w:vAlign w:val="center"/>
          </w:tcPr>
          <w:p w14:paraId="3BC24021">
            <w:pPr>
              <w:pStyle w:val="13"/>
            </w:pPr>
            <w:r>
              <w:t>【隆尧县普通高中高中国家助学金管理办法的通知】隆财【2018】105号，</w:t>
            </w:r>
          </w:p>
        </w:tc>
      </w:tr>
      <w:tr w14:paraId="59C35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60656"/>
        </w:tc>
        <w:tc>
          <w:tcPr>
            <w:tcW w:w="2268" w:type="dxa"/>
            <w:vAlign w:val="center"/>
          </w:tcPr>
          <w:p w14:paraId="3F99A952">
            <w:pPr>
              <w:pStyle w:val="13"/>
            </w:pPr>
            <w:r>
              <w:t>社会效益指标</w:t>
            </w:r>
          </w:p>
        </w:tc>
        <w:tc>
          <w:tcPr>
            <w:tcW w:w="2835" w:type="dxa"/>
            <w:vAlign w:val="center"/>
          </w:tcPr>
          <w:p w14:paraId="3C776F29">
            <w:pPr>
              <w:pStyle w:val="13"/>
            </w:pPr>
            <w:r>
              <w:t>高中运转</w:t>
            </w:r>
          </w:p>
        </w:tc>
        <w:tc>
          <w:tcPr>
            <w:tcW w:w="3654" w:type="dxa"/>
            <w:vAlign w:val="center"/>
          </w:tcPr>
          <w:p w14:paraId="416DCCBF">
            <w:pPr>
              <w:pStyle w:val="13"/>
            </w:pPr>
            <w:r>
              <w:t>高中学生受教育年限</w:t>
            </w:r>
          </w:p>
        </w:tc>
        <w:tc>
          <w:tcPr>
            <w:tcW w:w="1440" w:type="dxa"/>
            <w:vAlign w:val="center"/>
          </w:tcPr>
          <w:p w14:paraId="6A9D6090">
            <w:pPr>
              <w:pStyle w:val="13"/>
            </w:pPr>
            <w:r>
              <w:t>3年</w:t>
            </w:r>
          </w:p>
        </w:tc>
        <w:tc>
          <w:tcPr>
            <w:tcW w:w="3836" w:type="dxa"/>
            <w:vAlign w:val="center"/>
          </w:tcPr>
          <w:p w14:paraId="5E9D162F">
            <w:pPr>
              <w:pStyle w:val="13"/>
            </w:pPr>
            <w:r>
              <w:t>【隆尧县普通高中高中国家助学金管理办法的通知】隆财【2018】105号，</w:t>
            </w:r>
          </w:p>
        </w:tc>
      </w:tr>
      <w:tr w14:paraId="0F583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A9CAFF">
            <w:pPr>
              <w:pStyle w:val="12"/>
            </w:pPr>
            <w:r>
              <w:t>满意度指标</w:t>
            </w:r>
          </w:p>
        </w:tc>
        <w:tc>
          <w:tcPr>
            <w:tcW w:w="2268" w:type="dxa"/>
            <w:vAlign w:val="center"/>
          </w:tcPr>
          <w:p w14:paraId="43FFF412">
            <w:pPr>
              <w:pStyle w:val="13"/>
            </w:pPr>
            <w:r>
              <w:t>服务对象满意度指标</w:t>
            </w:r>
          </w:p>
        </w:tc>
        <w:tc>
          <w:tcPr>
            <w:tcW w:w="2835" w:type="dxa"/>
            <w:vAlign w:val="center"/>
          </w:tcPr>
          <w:p w14:paraId="23564505">
            <w:pPr>
              <w:pStyle w:val="13"/>
            </w:pPr>
            <w:r>
              <w:t>学生家长</w:t>
            </w:r>
          </w:p>
        </w:tc>
        <w:tc>
          <w:tcPr>
            <w:tcW w:w="3654" w:type="dxa"/>
            <w:vAlign w:val="center"/>
          </w:tcPr>
          <w:p w14:paraId="5DC13519">
            <w:pPr>
              <w:pStyle w:val="13"/>
            </w:pPr>
            <w:r>
              <w:t>学生家长满意度</w:t>
            </w:r>
          </w:p>
        </w:tc>
        <w:tc>
          <w:tcPr>
            <w:tcW w:w="1440" w:type="dxa"/>
            <w:vAlign w:val="center"/>
          </w:tcPr>
          <w:p w14:paraId="7BE2A464">
            <w:pPr>
              <w:pStyle w:val="13"/>
            </w:pPr>
            <w:r>
              <w:t>≥95%</w:t>
            </w:r>
          </w:p>
        </w:tc>
        <w:tc>
          <w:tcPr>
            <w:tcW w:w="3836" w:type="dxa"/>
            <w:vAlign w:val="center"/>
          </w:tcPr>
          <w:p w14:paraId="6DE2A027">
            <w:pPr>
              <w:pStyle w:val="13"/>
            </w:pPr>
            <w:r>
              <w:t>座谈会、调查问卷等</w:t>
            </w:r>
          </w:p>
        </w:tc>
      </w:tr>
    </w:tbl>
    <w:p w14:paraId="6FCB1F30">
      <w:pPr>
        <w:sectPr>
          <w:pgSz w:w="16840" w:h="11900" w:orient="landscape"/>
          <w:pgMar w:top="1361" w:right="1020" w:bottom="1134" w:left="1020" w:header="720" w:footer="720" w:gutter="0"/>
          <w:cols w:space="720" w:num="1"/>
        </w:sectPr>
      </w:pPr>
    </w:p>
    <w:p w14:paraId="477FEF56">
      <w:pPr>
        <w:spacing w:before="0" w:after="0"/>
        <w:ind w:firstLine="560"/>
        <w:jc w:val="left"/>
        <w:outlineLvl w:val="9"/>
      </w:pPr>
      <w:r>
        <w:rPr>
          <w:rFonts w:ascii="方正仿宋_GBK" w:hAnsi="方正仿宋_GBK" w:eastAsia="方正仿宋_GBK" w:cs="方正仿宋_GBK"/>
          <w:b/>
          <w:color w:val="000000"/>
          <w:sz w:val="28"/>
        </w:rPr>
        <w:t>22、县级配套/资助/中职助学金（职教中心）绩效目标表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F0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D343A">
            <w:pPr>
              <w:pStyle w:val="14"/>
            </w:pPr>
            <w:r>
              <w:t>单位：万元</w:t>
            </w:r>
          </w:p>
        </w:tc>
      </w:tr>
      <w:tr w14:paraId="5E053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6DAAA">
            <w:pPr>
              <w:pStyle w:val="11"/>
            </w:pPr>
            <w:r>
              <w:t>项目编码</w:t>
            </w:r>
          </w:p>
        </w:tc>
        <w:tc>
          <w:tcPr>
            <w:tcW w:w="5103" w:type="dxa"/>
            <w:gridSpan w:val="2"/>
            <w:vAlign w:val="center"/>
          </w:tcPr>
          <w:p w14:paraId="1E76A26E">
            <w:pPr>
              <w:pStyle w:val="13"/>
            </w:pPr>
            <w:r>
              <w:t>13052525P000014100032</w:t>
            </w:r>
          </w:p>
        </w:tc>
        <w:tc>
          <w:tcPr>
            <w:tcW w:w="2835" w:type="dxa"/>
            <w:vAlign w:val="center"/>
          </w:tcPr>
          <w:p w14:paraId="0E4193E9">
            <w:pPr>
              <w:pStyle w:val="11"/>
            </w:pPr>
            <w:r>
              <w:t>项目名称</w:t>
            </w:r>
          </w:p>
        </w:tc>
        <w:tc>
          <w:tcPr>
            <w:tcW w:w="6095" w:type="dxa"/>
            <w:gridSpan w:val="3"/>
            <w:vAlign w:val="center"/>
          </w:tcPr>
          <w:p w14:paraId="0B888878">
            <w:pPr>
              <w:pStyle w:val="13"/>
            </w:pPr>
            <w:r>
              <w:t>县级配套/资助/中职助学金（职教中心）</w:t>
            </w:r>
          </w:p>
        </w:tc>
      </w:tr>
      <w:tr w14:paraId="733D3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63595">
            <w:pPr>
              <w:pStyle w:val="11"/>
            </w:pPr>
            <w:r>
              <w:t>预算规模及资金用途</w:t>
            </w:r>
          </w:p>
        </w:tc>
        <w:tc>
          <w:tcPr>
            <w:tcW w:w="2268" w:type="dxa"/>
            <w:vAlign w:val="center"/>
          </w:tcPr>
          <w:p w14:paraId="7D62D59C">
            <w:pPr>
              <w:pStyle w:val="11"/>
            </w:pPr>
            <w:r>
              <w:t>预算数</w:t>
            </w:r>
          </w:p>
        </w:tc>
        <w:tc>
          <w:tcPr>
            <w:tcW w:w="2835" w:type="dxa"/>
            <w:vAlign w:val="center"/>
          </w:tcPr>
          <w:p w14:paraId="03299CB5">
            <w:pPr>
              <w:pStyle w:val="13"/>
            </w:pPr>
            <w:r>
              <w:t>27.78</w:t>
            </w:r>
          </w:p>
        </w:tc>
        <w:tc>
          <w:tcPr>
            <w:tcW w:w="2835" w:type="dxa"/>
            <w:vAlign w:val="center"/>
          </w:tcPr>
          <w:p w14:paraId="242CDC97">
            <w:pPr>
              <w:pStyle w:val="11"/>
            </w:pPr>
            <w:r>
              <w:t>其中：财政    资金</w:t>
            </w:r>
          </w:p>
        </w:tc>
        <w:tc>
          <w:tcPr>
            <w:tcW w:w="2551" w:type="dxa"/>
            <w:vAlign w:val="center"/>
          </w:tcPr>
          <w:p w14:paraId="660136B5">
            <w:pPr>
              <w:pStyle w:val="13"/>
            </w:pPr>
            <w:r>
              <w:t>27.78</w:t>
            </w:r>
          </w:p>
        </w:tc>
        <w:tc>
          <w:tcPr>
            <w:tcW w:w="2268" w:type="dxa"/>
            <w:vAlign w:val="center"/>
          </w:tcPr>
          <w:p w14:paraId="51742678">
            <w:pPr>
              <w:pStyle w:val="11"/>
            </w:pPr>
            <w:r>
              <w:t>其他资金</w:t>
            </w:r>
          </w:p>
        </w:tc>
        <w:tc>
          <w:tcPr>
            <w:tcW w:w="1276" w:type="dxa"/>
            <w:vAlign w:val="center"/>
          </w:tcPr>
          <w:p w14:paraId="15D96FAE">
            <w:pPr>
              <w:pStyle w:val="13"/>
            </w:pPr>
            <w:r>
              <w:t xml:space="preserve"> </w:t>
            </w:r>
          </w:p>
        </w:tc>
      </w:tr>
      <w:tr w14:paraId="7C5BE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0C7C2"/>
        </w:tc>
        <w:tc>
          <w:tcPr>
            <w:tcW w:w="14033" w:type="dxa"/>
            <w:gridSpan w:val="6"/>
            <w:vAlign w:val="center"/>
          </w:tcPr>
          <w:p w14:paraId="31A2C5A1">
            <w:pPr>
              <w:pStyle w:val="13"/>
            </w:pPr>
            <w:r>
              <w:t>县级安排中职助学金27.784万元，用于资助涉农专业学生及其他专业贫困生完成学业</w:t>
            </w:r>
          </w:p>
        </w:tc>
      </w:tr>
      <w:tr w14:paraId="0ADFF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F40BCB1">
            <w:pPr>
              <w:pStyle w:val="11"/>
            </w:pPr>
            <w:r>
              <w:t>资金支出计划（%）</w:t>
            </w:r>
          </w:p>
        </w:tc>
        <w:tc>
          <w:tcPr>
            <w:tcW w:w="5103" w:type="dxa"/>
            <w:gridSpan w:val="2"/>
            <w:vAlign w:val="center"/>
          </w:tcPr>
          <w:p w14:paraId="4628B76C">
            <w:pPr>
              <w:pStyle w:val="11"/>
            </w:pPr>
            <w:r>
              <w:t>3月底</w:t>
            </w:r>
          </w:p>
        </w:tc>
        <w:tc>
          <w:tcPr>
            <w:tcW w:w="2835" w:type="dxa"/>
            <w:vAlign w:val="center"/>
          </w:tcPr>
          <w:p w14:paraId="200A79B7">
            <w:pPr>
              <w:pStyle w:val="11"/>
            </w:pPr>
            <w:r>
              <w:t>6月底</w:t>
            </w:r>
          </w:p>
        </w:tc>
        <w:tc>
          <w:tcPr>
            <w:tcW w:w="2551" w:type="dxa"/>
            <w:vAlign w:val="center"/>
          </w:tcPr>
          <w:p w14:paraId="08858C81">
            <w:pPr>
              <w:pStyle w:val="11"/>
            </w:pPr>
            <w:r>
              <w:t>10月底</w:t>
            </w:r>
          </w:p>
        </w:tc>
        <w:tc>
          <w:tcPr>
            <w:tcW w:w="3544" w:type="dxa"/>
            <w:gridSpan w:val="2"/>
            <w:vAlign w:val="center"/>
          </w:tcPr>
          <w:p w14:paraId="2BB9E666">
            <w:pPr>
              <w:pStyle w:val="11"/>
            </w:pPr>
            <w:r>
              <w:t>12月底</w:t>
            </w:r>
          </w:p>
        </w:tc>
      </w:tr>
      <w:tr w14:paraId="20D0E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2F8F0"/>
        </w:tc>
        <w:tc>
          <w:tcPr>
            <w:tcW w:w="5103" w:type="dxa"/>
            <w:gridSpan w:val="2"/>
            <w:vAlign w:val="center"/>
          </w:tcPr>
          <w:p w14:paraId="7E19C636">
            <w:pPr>
              <w:pStyle w:val="12"/>
            </w:pPr>
            <w:r>
              <w:t xml:space="preserve"> </w:t>
            </w:r>
          </w:p>
        </w:tc>
        <w:tc>
          <w:tcPr>
            <w:tcW w:w="2835" w:type="dxa"/>
            <w:vAlign w:val="center"/>
          </w:tcPr>
          <w:p w14:paraId="446B80E2">
            <w:pPr>
              <w:pStyle w:val="12"/>
            </w:pPr>
            <w:r>
              <w:t>50%</w:t>
            </w:r>
          </w:p>
        </w:tc>
        <w:tc>
          <w:tcPr>
            <w:tcW w:w="2551" w:type="dxa"/>
            <w:vAlign w:val="center"/>
          </w:tcPr>
          <w:p w14:paraId="43919E9B">
            <w:pPr>
              <w:pStyle w:val="12"/>
            </w:pPr>
            <w:r>
              <w:t>50%</w:t>
            </w:r>
          </w:p>
        </w:tc>
        <w:tc>
          <w:tcPr>
            <w:tcW w:w="3544" w:type="dxa"/>
            <w:gridSpan w:val="2"/>
            <w:vAlign w:val="center"/>
          </w:tcPr>
          <w:p w14:paraId="7C9A2680">
            <w:pPr>
              <w:pStyle w:val="12"/>
            </w:pPr>
            <w:r>
              <w:t>100%</w:t>
            </w:r>
          </w:p>
        </w:tc>
      </w:tr>
      <w:tr w14:paraId="0FBA1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FA0363">
            <w:pPr>
              <w:pStyle w:val="11"/>
            </w:pPr>
            <w:r>
              <w:t>绩效目标</w:t>
            </w:r>
          </w:p>
        </w:tc>
        <w:tc>
          <w:tcPr>
            <w:tcW w:w="14033" w:type="dxa"/>
            <w:gridSpan w:val="6"/>
            <w:vAlign w:val="center"/>
          </w:tcPr>
          <w:p w14:paraId="45D57AFC">
            <w:pPr>
              <w:pStyle w:val="13"/>
            </w:pPr>
            <w:r>
              <w:t>1.县级安排中职助学金27.784万元，用于资助涉农专业学生及其他专业贫困生完成学业</w:t>
            </w:r>
          </w:p>
        </w:tc>
      </w:tr>
    </w:tbl>
    <w:p w14:paraId="2267FA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10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41A41">
            <w:pPr>
              <w:pStyle w:val="11"/>
            </w:pPr>
            <w:r>
              <w:t>一级指标</w:t>
            </w:r>
          </w:p>
        </w:tc>
        <w:tc>
          <w:tcPr>
            <w:tcW w:w="2268" w:type="dxa"/>
            <w:vAlign w:val="center"/>
          </w:tcPr>
          <w:p w14:paraId="30E037CD">
            <w:pPr>
              <w:pStyle w:val="11"/>
            </w:pPr>
            <w:r>
              <w:t>二级指标</w:t>
            </w:r>
          </w:p>
        </w:tc>
        <w:tc>
          <w:tcPr>
            <w:tcW w:w="2835" w:type="dxa"/>
            <w:vAlign w:val="center"/>
          </w:tcPr>
          <w:p w14:paraId="3A8F6E03">
            <w:pPr>
              <w:pStyle w:val="11"/>
            </w:pPr>
            <w:r>
              <w:t>三级指标</w:t>
            </w:r>
          </w:p>
        </w:tc>
        <w:tc>
          <w:tcPr>
            <w:tcW w:w="5386" w:type="dxa"/>
            <w:vAlign w:val="center"/>
          </w:tcPr>
          <w:p w14:paraId="6A118A18">
            <w:pPr>
              <w:pStyle w:val="11"/>
            </w:pPr>
            <w:r>
              <w:t>绩效指标描述</w:t>
            </w:r>
          </w:p>
        </w:tc>
        <w:tc>
          <w:tcPr>
            <w:tcW w:w="2268" w:type="dxa"/>
            <w:vAlign w:val="center"/>
          </w:tcPr>
          <w:p w14:paraId="6E4D2F89">
            <w:pPr>
              <w:pStyle w:val="11"/>
            </w:pPr>
            <w:r>
              <w:t>指标值</w:t>
            </w:r>
          </w:p>
        </w:tc>
        <w:tc>
          <w:tcPr>
            <w:tcW w:w="1276" w:type="dxa"/>
            <w:vAlign w:val="center"/>
          </w:tcPr>
          <w:p w14:paraId="1E3ABB26">
            <w:pPr>
              <w:pStyle w:val="11"/>
            </w:pPr>
            <w:r>
              <w:t>指标值确定依据</w:t>
            </w:r>
          </w:p>
        </w:tc>
      </w:tr>
      <w:tr w14:paraId="76B5D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2F3A0">
            <w:pPr>
              <w:pStyle w:val="12"/>
            </w:pPr>
            <w:r>
              <w:t>产出指标</w:t>
            </w:r>
          </w:p>
        </w:tc>
        <w:tc>
          <w:tcPr>
            <w:tcW w:w="2268" w:type="dxa"/>
            <w:vAlign w:val="center"/>
          </w:tcPr>
          <w:p w14:paraId="187FC9C5">
            <w:pPr>
              <w:pStyle w:val="13"/>
            </w:pPr>
            <w:r>
              <w:t>数量指标</w:t>
            </w:r>
          </w:p>
        </w:tc>
        <w:tc>
          <w:tcPr>
            <w:tcW w:w="2835" w:type="dxa"/>
            <w:vAlign w:val="center"/>
          </w:tcPr>
          <w:p w14:paraId="0A970B7B">
            <w:pPr>
              <w:pStyle w:val="13"/>
            </w:pPr>
            <w:r>
              <w:t>中职享受助学金人数</w:t>
            </w:r>
          </w:p>
        </w:tc>
        <w:tc>
          <w:tcPr>
            <w:tcW w:w="5386" w:type="dxa"/>
            <w:vAlign w:val="center"/>
          </w:tcPr>
          <w:p w14:paraId="551964FA">
            <w:pPr>
              <w:pStyle w:val="13"/>
            </w:pPr>
            <w:r>
              <w:t>中职享受助学金人数</w:t>
            </w:r>
          </w:p>
        </w:tc>
        <w:tc>
          <w:tcPr>
            <w:tcW w:w="2268" w:type="dxa"/>
            <w:vAlign w:val="center"/>
          </w:tcPr>
          <w:p w14:paraId="6FDD7333">
            <w:pPr>
              <w:pStyle w:val="13"/>
            </w:pPr>
            <w:r>
              <w:t>604人</w:t>
            </w:r>
          </w:p>
        </w:tc>
        <w:tc>
          <w:tcPr>
            <w:tcW w:w="1276" w:type="dxa"/>
            <w:vAlign w:val="center"/>
          </w:tcPr>
          <w:p w14:paraId="491AE636">
            <w:pPr>
              <w:pStyle w:val="13"/>
            </w:pPr>
            <w:r>
              <w:t>【隆尧县中等职业学校国家助学金管理办法的通知】隆财【2018】105号，</w:t>
            </w:r>
          </w:p>
        </w:tc>
      </w:tr>
      <w:tr w14:paraId="7A76F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068F"/>
        </w:tc>
        <w:tc>
          <w:tcPr>
            <w:tcW w:w="2268" w:type="dxa"/>
            <w:vAlign w:val="center"/>
          </w:tcPr>
          <w:p w14:paraId="1D71C7A5">
            <w:pPr>
              <w:pStyle w:val="13"/>
            </w:pPr>
            <w:r>
              <w:t>质量指标</w:t>
            </w:r>
          </w:p>
        </w:tc>
        <w:tc>
          <w:tcPr>
            <w:tcW w:w="2835" w:type="dxa"/>
            <w:vAlign w:val="center"/>
          </w:tcPr>
          <w:p w14:paraId="5FC631DE">
            <w:pPr>
              <w:pStyle w:val="13"/>
            </w:pPr>
            <w:r>
              <w:t>完成助学金发放工作</w:t>
            </w:r>
          </w:p>
        </w:tc>
        <w:tc>
          <w:tcPr>
            <w:tcW w:w="5386" w:type="dxa"/>
            <w:vAlign w:val="center"/>
          </w:tcPr>
          <w:p w14:paraId="7D6C68B8">
            <w:pPr>
              <w:pStyle w:val="13"/>
            </w:pPr>
            <w:r>
              <w:t>涉农专业学生及其他专业贫困生</w:t>
            </w:r>
          </w:p>
        </w:tc>
        <w:tc>
          <w:tcPr>
            <w:tcW w:w="2268" w:type="dxa"/>
            <w:vAlign w:val="center"/>
          </w:tcPr>
          <w:p w14:paraId="288D5D42">
            <w:pPr>
              <w:pStyle w:val="13"/>
            </w:pPr>
            <w:r>
              <w:t>604人</w:t>
            </w:r>
          </w:p>
        </w:tc>
        <w:tc>
          <w:tcPr>
            <w:tcW w:w="1276" w:type="dxa"/>
            <w:vAlign w:val="center"/>
          </w:tcPr>
          <w:p w14:paraId="5FB29CB4">
            <w:pPr>
              <w:pStyle w:val="13"/>
            </w:pPr>
            <w:r>
              <w:t>【隆尧县中等职业学校国家助学金管理办法的通知】隆财【2018】105号，</w:t>
            </w:r>
          </w:p>
        </w:tc>
      </w:tr>
      <w:tr w14:paraId="013A8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C21F4"/>
        </w:tc>
        <w:tc>
          <w:tcPr>
            <w:tcW w:w="2268" w:type="dxa"/>
            <w:vAlign w:val="center"/>
          </w:tcPr>
          <w:p w14:paraId="4B120676">
            <w:pPr>
              <w:pStyle w:val="13"/>
            </w:pPr>
            <w:r>
              <w:t>时效指标</w:t>
            </w:r>
          </w:p>
        </w:tc>
        <w:tc>
          <w:tcPr>
            <w:tcW w:w="2835" w:type="dxa"/>
            <w:vAlign w:val="center"/>
          </w:tcPr>
          <w:p w14:paraId="31DEE5EC">
            <w:pPr>
              <w:pStyle w:val="13"/>
            </w:pPr>
            <w:r>
              <w:t>助学金及时足额发放</w:t>
            </w:r>
          </w:p>
        </w:tc>
        <w:tc>
          <w:tcPr>
            <w:tcW w:w="5386" w:type="dxa"/>
            <w:vAlign w:val="center"/>
          </w:tcPr>
          <w:p w14:paraId="2A37F01A">
            <w:pPr>
              <w:pStyle w:val="13"/>
            </w:pPr>
            <w:r>
              <w:t>助学金及时足额发放率</w:t>
            </w:r>
          </w:p>
        </w:tc>
        <w:tc>
          <w:tcPr>
            <w:tcW w:w="2268" w:type="dxa"/>
            <w:vAlign w:val="center"/>
          </w:tcPr>
          <w:p w14:paraId="40E1954E">
            <w:pPr>
              <w:pStyle w:val="13"/>
            </w:pPr>
            <w:r>
              <w:t>≥100%</w:t>
            </w:r>
          </w:p>
        </w:tc>
        <w:tc>
          <w:tcPr>
            <w:tcW w:w="1276" w:type="dxa"/>
            <w:vAlign w:val="center"/>
          </w:tcPr>
          <w:p w14:paraId="24C812FD">
            <w:pPr>
              <w:pStyle w:val="13"/>
            </w:pPr>
            <w:r>
              <w:t>【隆尧县中等职业学校国家助学金管理办法的通知】隆财【2018】105号，</w:t>
            </w:r>
          </w:p>
        </w:tc>
      </w:tr>
      <w:tr w14:paraId="22296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15584"/>
        </w:tc>
        <w:tc>
          <w:tcPr>
            <w:tcW w:w="2268" w:type="dxa"/>
            <w:vAlign w:val="center"/>
          </w:tcPr>
          <w:p w14:paraId="116F4ADB">
            <w:pPr>
              <w:pStyle w:val="13"/>
            </w:pPr>
            <w:r>
              <w:t>成本指标</w:t>
            </w:r>
          </w:p>
        </w:tc>
        <w:tc>
          <w:tcPr>
            <w:tcW w:w="2835" w:type="dxa"/>
            <w:vAlign w:val="center"/>
          </w:tcPr>
          <w:p w14:paraId="6AF9C3A9">
            <w:pPr>
              <w:pStyle w:val="13"/>
            </w:pPr>
            <w:r>
              <w:t>中职助学金标准</w:t>
            </w:r>
          </w:p>
        </w:tc>
        <w:tc>
          <w:tcPr>
            <w:tcW w:w="5386" w:type="dxa"/>
            <w:vAlign w:val="center"/>
          </w:tcPr>
          <w:p w14:paraId="2A8550CB">
            <w:pPr>
              <w:pStyle w:val="13"/>
            </w:pPr>
            <w:r>
              <w:t>中职助学金资助标准2000/生/年</w:t>
            </w:r>
          </w:p>
        </w:tc>
        <w:tc>
          <w:tcPr>
            <w:tcW w:w="2268" w:type="dxa"/>
            <w:vAlign w:val="center"/>
          </w:tcPr>
          <w:p w14:paraId="699F3F02">
            <w:pPr>
              <w:pStyle w:val="13"/>
            </w:pPr>
            <w:r>
              <w:t>2300元</w:t>
            </w:r>
          </w:p>
        </w:tc>
        <w:tc>
          <w:tcPr>
            <w:tcW w:w="1276" w:type="dxa"/>
            <w:vAlign w:val="center"/>
          </w:tcPr>
          <w:p w14:paraId="0BFD3A37">
            <w:pPr>
              <w:pStyle w:val="13"/>
            </w:pPr>
            <w:r>
              <w:t>【隆尧县中等职业学校国家助学金管理办法的通知】隆财【2018】105号，</w:t>
            </w:r>
          </w:p>
        </w:tc>
      </w:tr>
      <w:tr w14:paraId="785EF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BBC0D">
            <w:pPr>
              <w:pStyle w:val="12"/>
            </w:pPr>
            <w:r>
              <w:t>效益指标</w:t>
            </w:r>
          </w:p>
        </w:tc>
        <w:tc>
          <w:tcPr>
            <w:tcW w:w="2268" w:type="dxa"/>
            <w:vAlign w:val="center"/>
          </w:tcPr>
          <w:p w14:paraId="768536E0">
            <w:pPr>
              <w:pStyle w:val="13"/>
            </w:pPr>
            <w:r>
              <w:t>经济效益指标</w:t>
            </w:r>
          </w:p>
        </w:tc>
        <w:tc>
          <w:tcPr>
            <w:tcW w:w="2835" w:type="dxa"/>
            <w:vAlign w:val="center"/>
          </w:tcPr>
          <w:p w14:paraId="250CEB13">
            <w:pPr>
              <w:pStyle w:val="13"/>
            </w:pPr>
            <w:r>
              <w:t>减轻贫困家庭负担</w:t>
            </w:r>
          </w:p>
        </w:tc>
        <w:tc>
          <w:tcPr>
            <w:tcW w:w="5386" w:type="dxa"/>
            <w:vAlign w:val="center"/>
          </w:tcPr>
          <w:p w14:paraId="1F69F59E">
            <w:pPr>
              <w:pStyle w:val="13"/>
            </w:pPr>
            <w:r>
              <w:t>减轻贫困家庭负担</w:t>
            </w:r>
          </w:p>
        </w:tc>
        <w:tc>
          <w:tcPr>
            <w:tcW w:w="2268" w:type="dxa"/>
            <w:vAlign w:val="center"/>
          </w:tcPr>
          <w:p w14:paraId="4A286BB1">
            <w:pPr>
              <w:pStyle w:val="13"/>
            </w:pPr>
            <w:r>
              <w:t>≥100%</w:t>
            </w:r>
          </w:p>
        </w:tc>
        <w:tc>
          <w:tcPr>
            <w:tcW w:w="1276" w:type="dxa"/>
            <w:vAlign w:val="center"/>
          </w:tcPr>
          <w:p w14:paraId="06D41A7C">
            <w:pPr>
              <w:pStyle w:val="13"/>
            </w:pPr>
            <w:r>
              <w:t>【隆尧县中等职业学校国家助学金管理办法的通知】隆财【2018】105号，</w:t>
            </w:r>
          </w:p>
        </w:tc>
      </w:tr>
      <w:tr w14:paraId="38E66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6FC61"/>
        </w:tc>
        <w:tc>
          <w:tcPr>
            <w:tcW w:w="2268" w:type="dxa"/>
            <w:vAlign w:val="center"/>
          </w:tcPr>
          <w:p w14:paraId="0616B923">
            <w:pPr>
              <w:pStyle w:val="13"/>
            </w:pPr>
            <w:r>
              <w:t>社会效益指标</w:t>
            </w:r>
          </w:p>
        </w:tc>
        <w:tc>
          <w:tcPr>
            <w:tcW w:w="2835" w:type="dxa"/>
            <w:vAlign w:val="center"/>
          </w:tcPr>
          <w:p w14:paraId="4FD4B67E">
            <w:pPr>
              <w:pStyle w:val="13"/>
            </w:pPr>
            <w:r>
              <w:t>中职运转</w:t>
            </w:r>
          </w:p>
        </w:tc>
        <w:tc>
          <w:tcPr>
            <w:tcW w:w="5386" w:type="dxa"/>
            <w:vAlign w:val="center"/>
          </w:tcPr>
          <w:p w14:paraId="6E77C28C">
            <w:pPr>
              <w:pStyle w:val="13"/>
            </w:pPr>
            <w:r>
              <w:t>中职生受教育年限</w:t>
            </w:r>
          </w:p>
        </w:tc>
        <w:tc>
          <w:tcPr>
            <w:tcW w:w="2268" w:type="dxa"/>
            <w:vAlign w:val="center"/>
          </w:tcPr>
          <w:p w14:paraId="08DCB63D">
            <w:pPr>
              <w:pStyle w:val="13"/>
            </w:pPr>
            <w:r>
              <w:t>3年</w:t>
            </w:r>
          </w:p>
        </w:tc>
        <w:tc>
          <w:tcPr>
            <w:tcW w:w="1276" w:type="dxa"/>
            <w:vAlign w:val="center"/>
          </w:tcPr>
          <w:p w14:paraId="22F517EA">
            <w:pPr>
              <w:pStyle w:val="13"/>
            </w:pPr>
            <w:r>
              <w:t>【隆尧县中等职业学校国家助学金管理办法的通知】隆财【2018】105号，</w:t>
            </w:r>
          </w:p>
        </w:tc>
      </w:tr>
      <w:tr w14:paraId="458E9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706447">
            <w:pPr>
              <w:pStyle w:val="12"/>
            </w:pPr>
            <w:r>
              <w:t>满意度指标</w:t>
            </w:r>
          </w:p>
        </w:tc>
        <w:tc>
          <w:tcPr>
            <w:tcW w:w="2268" w:type="dxa"/>
            <w:vAlign w:val="center"/>
          </w:tcPr>
          <w:p w14:paraId="146FB10F">
            <w:pPr>
              <w:pStyle w:val="13"/>
            </w:pPr>
            <w:r>
              <w:t>服务对象满意度指标</w:t>
            </w:r>
          </w:p>
        </w:tc>
        <w:tc>
          <w:tcPr>
            <w:tcW w:w="2835" w:type="dxa"/>
            <w:vAlign w:val="center"/>
          </w:tcPr>
          <w:p w14:paraId="4DA2E816">
            <w:pPr>
              <w:pStyle w:val="13"/>
            </w:pPr>
            <w:r>
              <w:t>学生家长</w:t>
            </w:r>
          </w:p>
        </w:tc>
        <w:tc>
          <w:tcPr>
            <w:tcW w:w="5386" w:type="dxa"/>
            <w:vAlign w:val="center"/>
          </w:tcPr>
          <w:p w14:paraId="47CDB860">
            <w:pPr>
              <w:pStyle w:val="13"/>
            </w:pPr>
            <w:r>
              <w:t>学生家长满意度</w:t>
            </w:r>
          </w:p>
        </w:tc>
        <w:tc>
          <w:tcPr>
            <w:tcW w:w="2268" w:type="dxa"/>
            <w:vAlign w:val="center"/>
          </w:tcPr>
          <w:p w14:paraId="0E87F952">
            <w:pPr>
              <w:pStyle w:val="13"/>
            </w:pPr>
            <w:r>
              <w:t>≥95%</w:t>
            </w:r>
          </w:p>
        </w:tc>
        <w:tc>
          <w:tcPr>
            <w:tcW w:w="1276" w:type="dxa"/>
            <w:vAlign w:val="center"/>
          </w:tcPr>
          <w:p w14:paraId="0F62D2A4">
            <w:pPr>
              <w:pStyle w:val="13"/>
            </w:pPr>
            <w:r>
              <w:t>【隆尧县中等职业学校国家助学金管理办法的通知】隆财【2018】105号，</w:t>
            </w:r>
          </w:p>
        </w:tc>
      </w:tr>
    </w:tbl>
    <w:p w14:paraId="199E7EA3">
      <w:pPr>
        <w:sectPr>
          <w:pgSz w:w="16840" w:h="11900" w:orient="landscape"/>
          <w:pgMar w:top="1361" w:right="1020" w:bottom="1134" w:left="1020" w:header="720" w:footer="720" w:gutter="0"/>
          <w:cols w:space="720" w:num="1"/>
        </w:sectPr>
      </w:pPr>
    </w:p>
    <w:p w14:paraId="1816A6D8">
      <w:pPr>
        <w:spacing w:before="0" w:after="0"/>
        <w:ind w:firstLine="560"/>
        <w:jc w:val="left"/>
        <w:outlineLvl w:val="9"/>
      </w:pPr>
      <w:r>
        <w:rPr>
          <w:rFonts w:ascii="方正仿宋_GBK" w:hAnsi="方正仿宋_GBK" w:eastAsia="方正仿宋_GBK" w:cs="方正仿宋_GBK"/>
          <w:b/>
          <w:color w:val="000000"/>
          <w:sz w:val="28"/>
        </w:rPr>
        <w:t>23、中职公用经费/职教中心绩效目标表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49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0AD39">
            <w:pPr>
              <w:pStyle w:val="14"/>
            </w:pPr>
            <w:r>
              <w:t>单位：万元</w:t>
            </w:r>
          </w:p>
        </w:tc>
      </w:tr>
      <w:tr w14:paraId="1F4B4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8175E0">
            <w:pPr>
              <w:pStyle w:val="11"/>
            </w:pPr>
            <w:r>
              <w:t>项目编码</w:t>
            </w:r>
          </w:p>
        </w:tc>
        <w:tc>
          <w:tcPr>
            <w:tcW w:w="5103" w:type="dxa"/>
            <w:gridSpan w:val="2"/>
            <w:vAlign w:val="center"/>
          </w:tcPr>
          <w:p w14:paraId="482B575B">
            <w:pPr>
              <w:pStyle w:val="13"/>
            </w:pPr>
            <w:r>
              <w:t>13052525P00875910001Y</w:t>
            </w:r>
          </w:p>
        </w:tc>
        <w:tc>
          <w:tcPr>
            <w:tcW w:w="2835" w:type="dxa"/>
            <w:vAlign w:val="center"/>
          </w:tcPr>
          <w:p w14:paraId="4E924130">
            <w:pPr>
              <w:pStyle w:val="11"/>
            </w:pPr>
            <w:r>
              <w:t>项目名称</w:t>
            </w:r>
          </w:p>
        </w:tc>
        <w:tc>
          <w:tcPr>
            <w:tcW w:w="6095" w:type="dxa"/>
            <w:gridSpan w:val="3"/>
            <w:vAlign w:val="center"/>
          </w:tcPr>
          <w:p w14:paraId="5771B473">
            <w:pPr>
              <w:pStyle w:val="13"/>
            </w:pPr>
            <w:r>
              <w:t>中职公用经费/职教中心</w:t>
            </w:r>
          </w:p>
        </w:tc>
      </w:tr>
      <w:tr w14:paraId="4636F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ACAEB">
            <w:pPr>
              <w:pStyle w:val="11"/>
            </w:pPr>
            <w:r>
              <w:t>预算规模及资金用途</w:t>
            </w:r>
          </w:p>
        </w:tc>
        <w:tc>
          <w:tcPr>
            <w:tcW w:w="2268" w:type="dxa"/>
            <w:vAlign w:val="center"/>
          </w:tcPr>
          <w:p w14:paraId="1EF7803E">
            <w:pPr>
              <w:pStyle w:val="11"/>
            </w:pPr>
            <w:r>
              <w:t>预算数</w:t>
            </w:r>
          </w:p>
        </w:tc>
        <w:tc>
          <w:tcPr>
            <w:tcW w:w="2835" w:type="dxa"/>
            <w:vAlign w:val="center"/>
          </w:tcPr>
          <w:p w14:paraId="2DC97C14">
            <w:pPr>
              <w:pStyle w:val="13"/>
            </w:pPr>
            <w:r>
              <w:t>138.40</w:t>
            </w:r>
          </w:p>
        </w:tc>
        <w:tc>
          <w:tcPr>
            <w:tcW w:w="2835" w:type="dxa"/>
            <w:vAlign w:val="center"/>
          </w:tcPr>
          <w:p w14:paraId="2EF6EBCC">
            <w:pPr>
              <w:pStyle w:val="11"/>
            </w:pPr>
            <w:r>
              <w:t>其中：财政    资金</w:t>
            </w:r>
          </w:p>
        </w:tc>
        <w:tc>
          <w:tcPr>
            <w:tcW w:w="2551" w:type="dxa"/>
            <w:vAlign w:val="center"/>
          </w:tcPr>
          <w:p w14:paraId="09BBE7CB">
            <w:pPr>
              <w:pStyle w:val="13"/>
            </w:pPr>
            <w:r>
              <w:t>138.40</w:t>
            </w:r>
          </w:p>
        </w:tc>
        <w:tc>
          <w:tcPr>
            <w:tcW w:w="2268" w:type="dxa"/>
            <w:vAlign w:val="center"/>
          </w:tcPr>
          <w:p w14:paraId="5D74EBF4">
            <w:pPr>
              <w:pStyle w:val="11"/>
            </w:pPr>
            <w:r>
              <w:t>其他资金</w:t>
            </w:r>
          </w:p>
        </w:tc>
        <w:tc>
          <w:tcPr>
            <w:tcW w:w="1276" w:type="dxa"/>
            <w:vAlign w:val="center"/>
          </w:tcPr>
          <w:p w14:paraId="6F9B0AA5">
            <w:pPr>
              <w:pStyle w:val="13"/>
            </w:pPr>
            <w:r>
              <w:t xml:space="preserve"> </w:t>
            </w:r>
          </w:p>
        </w:tc>
      </w:tr>
      <w:tr w14:paraId="4C07C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027B6A"/>
        </w:tc>
        <w:tc>
          <w:tcPr>
            <w:tcW w:w="14033" w:type="dxa"/>
            <w:gridSpan w:val="6"/>
            <w:vAlign w:val="center"/>
          </w:tcPr>
          <w:p w14:paraId="78B13DB0">
            <w:pPr>
              <w:pStyle w:val="13"/>
            </w:pPr>
            <w:r>
              <w:t>2025年预算安排中职公用经费138.4万元，用于保障学校正常运转，改善办学条件。</w:t>
            </w:r>
          </w:p>
        </w:tc>
      </w:tr>
      <w:tr w14:paraId="4680F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986D6">
            <w:pPr>
              <w:pStyle w:val="11"/>
            </w:pPr>
            <w:r>
              <w:t>资金支出计划（%）</w:t>
            </w:r>
          </w:p>
        </w:tc>
        <w:tc>
          <w:tcPr>
            <w:tcW w:w="5103" w:type="dxa"/>
            <w:gridSpan w:val="2"/>
            <w:vAlign w:val="center"/>
          </w:tcPr>
          <w:p w14:paraId="26910396">
            <w:pPr>
              <w:pStyle w:val="11"/>
            </w:pPr>
            <w:r>
              <w:t>3月底</w:t>
            </w:r>
          </w:p>
        </w:tc>
        <w:tc>
          <w:tcPr>
            <w:tcW w:w="2835" w:type="dxa"/>
            <w:vAlign w:val="center"/>
          </w:tcPr>
          <w:p w14:paraId="572AA1AD">
            <w:pPr>
              <w:pStyle w:val="11"/>
            </w:pPr>
            <w:r>
              <w:t>6月底</w:t>
            </w:r>
          </w:p>
        </w:tc>
        <w:tc>
          <w:tcPr>
            <w:tcW w:w="2551" w:type="dxa"/>
            <w:vAlign w:val="center"/>
          </w:tcPr>
          <w:p w14:paraId="7BBDB4EB">
            <w:pPr>
              <w:pStyle w:val="11"/>
            </w:pPr>
            <w:r>
              <w:t>10月底</w:t>
            </w:r>
          </w:p>
        </w:tc>
        <w:tc>
          <w:tcPr>
            <w:tcW w:w="3544" w:type="dxa"/>
            <w:gridSpan w:val="2"/>
            <w:vAlign w:val="center"/>
          </w:tcPr>
          <w:p w14:paraId="6A83BC57">
            <w:pPr>
              <w:pStyle w:val="11"/>
            </w:pPr>
            <w:r>
              <w:t>12月底</w:t>
            </w:r>
          </w:p>
        </w:tc>
      </w:tr>
      <w:tr w14:paraId="6D56F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0BB6A"/>
        </w:tc>
        <w:tc>
          <w:tcPr>
            <w:tcW w:w="5103" w:type="dxa"/>
            <w:gridSpan w:val="2"/>
            <w:vAlign w:val="center"/>
          </w:tcPr>
          <w:p w14:paraId="64C0104D">
            <w:pPr>
              <w:pStyle w:val="12"/>
            </w:pPr>
            <w:r>
              <w:t xml:space="preserve"> </w:t>
            </w:r>
          </w:p>
        </w:tc>
        <w:tc>
          <w:tcPr>
            <w:tcW w:w="2835" w:type="dxa"/>
            <w:vAlign w:val="center"/>
          </w:tcPr>
          <w:p w14:paraId="6B54A887">
            <w:pPr>
              <w:pStyle w:val="12"/>
            </w:pPr>
            <w:r>
              <w:t>50%</w:t>
            </w:r>
          </w:p>
        </w:tc>
        <w:tc>
          <w:tcPr>
            <w:tcW w:w="2551" w:type="dxa"/>
            <w:vAlign w:val="center"/>
          </w:tcPr>
          <w:p w14:paraId="6D49FB66">
            <w:pPr>
              <w:pStyle w:val="12"/>
            </w:pPr>
            <w:r>
              <w:t>50%</w:t>
            </w:r>
          </w:p>
        </w:tc>
        <w:tc>
          <w:tcPr>
            <w:tcW w:w="3544" w:type="dxa"/>
            <w:gridSpan w:val="2"/>
            <w:vAlign w:val="center"/>
          </w:tcPr>
          <w:p w14:paraId="313EC652">
            <w:pPr>
              <w:pStyle w:val="12"/>
            </w:pPr>
            <w:r>
              <w:t>100%</w:t>
            </w:r>
          </w:p>
        </w:tc>
      </w:tr>
      <w:tr w14:paraId="37F3B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A62AA">
            <w:pPr>
              <w:pStyle w:val="11"/>
            </w:pPr>
            <w:r>
              <w:t>绩效目标</w:t>
            </w:r>
          </w:p>
        </w:tc>
        <w:tc>
          <w:tcPr>
            <w:tcW w:w="14033" w:type="dxa"/>
            <w:gridSpan w:val="6"/>
            <w:vAlign w:val="center"/>
          </w:tcPr>
          <w:p w14:paraId="6626EA6F">
            <w:pPr>
              <w:pStyle w:val="13"/>
            </w:pPr>
            <w:r>
              <w:t>1.2025年预算安排中职公用经费138.4万元，用于保障学校正常运转，改善办学条件。</w:t>
            </w:r>
          </w:p>
        </w:tc>
      </w:tr>
    </w:tbl>
    <w:p w14:paraId="006B3A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5D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827F8">
            <w:pPr>
              <w:pStyle w:val="11"/>
            </w:pPr>
            <w:r>
              <w:t>一级指标</w:t>
            </w:r>
          </w:p>
        </w:tc>
        <w:tc>
          <w:tcPr>
            <w:tcW w:w="2268" w:type="dxa"/>
            <w:vAlign w:val="center"/>
          </w:tcPr>
          <w:p w14:paraId="4CF1C821">
            <w:pPr>
              <w:pStyle w:val="11"/>
            </w:pPr>
            <w:r>
              <w:t>二级指标</w:t>
            </w:r>
          </w:p>
        </w:tc>
        <w:tc>
          <w:tcPr>
            <w:tcW w:w="2835" w:type="dxa"/>
            <w:vAlign w:val="center"/>
          </w:tcPr>
          <w:p w14:paraId="59BCD0EB">
            <w:pPr>
              <w:pStyle w:val="11"/>
            </w:pPr>
            <w:r>
              <w:t>三级指标</w:t>
            </w:r>
          </w:p>
        </w:tc>
        <w:tc>
          <w:tcPr>
            <w:tcW w:w="5386" w:type="dxa"/>
            <w:vAlign w:val="center"/>
          </w:tcPr>
          <w:p w14:paraId="094503DA">
            <w:pPr>
              <w:pStyle w:val="11"/>
            </w:pPr>
            <w:r>
              <w:t>绩效指标描述</w:t>
            </w:r>
          </w:p>
        </w:tc>
        <w:tc>
          <w:tcPr>
            <w:tcW w:w="2268" w:type="dxa"/>
            <w:vAlign w:val="center"/>
          </w:tcPr>
          <w:p w14:paraId="774742A8">
            <w:pPr>
              <w:pStyle w:val="11"/>
            </w:pPr>
            <w:r>
              <w:t>指标值</w:t>
            </w:r>
          </w:p>
        </w:tc>
        <w:tc>
          <w:tcPr>
            <w:tcW w:w="1276" w:type="dxa"/>
            <w:vAlign w:val="center"/>
          </w:tcPr>
          <w:p w14:paraId="0F131E67">
            <w:pPr>
              <w:pStyle w:val="11"/>
            </w:pPr>
            <w:r>
              <w:t>指标值确定依据</w:t>
            </w:r>
          </w:p>
        </w:tc>
      </w:tr>
      <w:tr w14:paraId="7CCF2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331A4">
            <w:pPr>
              <w:pStyle w:val="12"/>
            </w:pPr>
            <w:r>
              <w:t>产出指标</w:t>
            </w:r>
          </w:p>
        </w:tc>
        <w:tc>
          <w:tcPr>
            <w:tcW w:w="2268" w:type="dxa"/>
            <w:vAlign w:val="center"/>
          </w:tcPr>
          <w:p w14:paraId="13DC7F57">
            <w:pPr>
              <w:pStyle w:val="13"/>
            </w:pPr>
            <w:r>
              <w:t>数量指标</w:t>
            </w:r>
          </w:p>
        </w:tc>
        <w:tc>
          <w:tcPr>
            <w:tcW w:w="2835" w:type="dxa"/>
            <w:vAlign w:val="center"/>
          </w:tcPr>
          <w:p w14:paraId="3F69C82B">
            <w:pPr>
              <w:pStyle w:val="13"/>
            </w:pPr>
            <w:r>
              <w:t>中职在校学生数</w:t>
            </w:r>
          </w:p>
        </w:tc>
        <w:tc>
          <w:tcPr>
            <w:tcW w:w="5386" w:type="dxa"/>
            <w:vAlign w:val="center"/>
          </w:tcPr>
          <w:p w14:paraId="27271561">
            <w:pPr>
              <w:pStyle w:val="13"/>
            </w:pPr>
            <w:r>
              <w:t>中职在校学生人数</w:t>
            </w:r>
          </w:p>
        </w:tc>
        <w:tc>
          <w:tcPr>
            <w:tcW w:w="2268" w:type="dxa"/>
            <w:vAlign w:val="center"/>
          </w:tcPr>
          <w:p w14:paraId="592BFEEF">
            <w:pPr>
              <w:pStyle w:val="13"/>
            </w:pPr>
            <w:r>
              <w:t>≥1384人</w:t>
            </w:r>
          </w:p>
        </w:tc>
        <w:tc>
          <w:tcPr>
            <w:tcW w:w="1276" w:type="dxa"/>
            <w:vAlign w:val="center"/>
          </w:tcPr>
          <w:p w14:paraId="035D846D">
            <w:pPr>
              <w:pStyle w:val="13"/>
            </w:pPr>
            <w:r>
              <w:t>中职公用经费管理办法</w:t>
            </w:r>
          </w:p>
        </w:tc>
      </w:tr>
      <w:tr w14:paraId="05833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5D0E3"/>
        </w:tc>
        <w:tc>
          <w:tcPr>
            <w:tcW w:w="2268" w:type="dxa"/>
            <w:vAlign w:val="center"/>
          </w:tcPr>
          <w:p w14:paraId="5284A7AF">
            <w:pPr>
              <w:pStyle w:val="13"/>
            </w:pPr>
            <w:r>
              <w:t>质量指标</w:t>
            </w:r>
          </w:p>
        </w:tc>
        <w:tc>
          <w:tcPr>
            <w:tcW w:w="2835" w:type="dxa"/>
            <w:vAlign w:val="center"/>
          </w:tcPr>
          <w:p w14:paraId="2B7E3D88">
            <w:pPr>
              <w:pStyle w:val="13"/>
            </w:pPr>
            <w:r>
              <w:t>提升办学质量</w:t>
            </w:r>
          </w:p>
        </w:tc>
        <w:tc>
          <w:tcPr>
            <w:tcW w:w="5386" w:type="dxa"/>
            <w:vAlign w:val="center"/>
          </w:tcPr>
          <w:p w14:paraId="16716B0E">
            <w:pPr>
              <w:pStyle w:val="13"/>
            </w:pPr>
            <w:r>
              <w:t>按学校实际工作运转，按季度办理</w:t>
            </w:r>
          </w:p>
        </w:tc>
        <w:tc>
          <w:tcPr>
            <w:tcW w:w="2268" w:type="dxa"/>
            <w:vAlign w:val="center"/>
          </w:tcPr>
          <w:p w14:paraId="741B117D">
            <w:pPr>
              <w:pStyle w:val="13"/>
            </w:pPr>
            <w:r>
              <w:t>≥100%</w:t>
            </w:r>
          </w:p>
        </w:tc>
        <w:tc>
          <w:tcPr>
            <w:tcW w:w="1276" w:type="dxa"/>
            <w:vAlign w:val="center"/>
          </w:tcPr>
          <w:p w14:paraId="7971EC71">
            <w:pPr>
              <w:pStyle w:val="13"/>
            </w:pPr>
            <w:r>
              <w:t>中职公用经费管理办法</w:t>
            </w:r>
          </w:p>
        </w:tc>
      </w:tr>
      <w:tr w14:paraId="2AEB3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8DF3A"/>
        </w:tc>
        <w:tc>
          <w:tcPr>
            <w:tcW w:w="2268" w:type="dxa"/>
            <w:vAlign w:val="center"/>
          </w:tcPr>
          <w:p w14:paraId="17FB4903">
            <w:pPr>
              <w:pStyle w:val="13"/>
            </w:pPr>
            <w:r>
              <w:t>时效指标</w:t>
            </w:r>
          </w:p>
        </w:tc>
        <w:tc>
          <w:tcPr>
            <w:tcW w:w="2835" w:type="dxa"/>
            <w:vAlign w:val="center"/>
          </w:tcPr>
          <w:p w14:paraId="533BBE5F">
            <w:pPr>
              <w:pStyle w:val="13"/>
            </w:pPr>
            <w:r>
              <w:t>资金支付率</w:t>
            </w:r>
          </w:p>
        </w:tc>
        <w:tc>
          <w:tcPr>
            <w:tcW w:w="5386" w:type="dxa"/>
            <w:vAlign w:val="center"/>
          </w:tcPr>
          <w:p w14:paraId="044DC2A1">
            <w:pPr>
              <w:pStyle w:val="13"/>
            </w:pPr>
            <w:r>
              <w:t>按照项目进度完成资金支付</w:t>
            </w:r>
          </w:p>
        </w:tc>
        <w:tc>
          <w:tcPr>
            <w:tcW w:w="2268" w:type="dxa"/>
            <w:vAlign w:val="center"/>
          </w:tcPr>
          <w:p w14:paraId="104E64E1">
            <w:pPr>
              <w:pStyle w:val="13"/>
            </w:pPr>
            <w:r>
              <w:t>≥100%</w:t>
            </w:r>
          </w:p>
        </w:tc>
        <w:tc>
          <w:tcPr>
            <w:tcW w:w="1276" w:type="dxa"/>
            <w:vAlign w:val="center"/>
          </w:tcPr>
          <w:p w14:paraId="5A2273DA">
            <w:pPr>
              <w:pStyle w:val="13"/>
            </w:pPr>
            <w:r>
              <w:t>中职公用经费管理办法</w:t>
            </w:r>
          </w:p>
        </w:tc>
      </w:tr>
      <w:tr w14:paraId="34134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94023"/>
        </w:tc>
        <w:tc>
          <w:tcPr>
            <w:tcW w:w="2268" w:type="dxa"/>
            <w:vAlign w:val="center"/>
          </w:tcPr>
          <w:p w14:paraId="619E5AA2">
            <w:pPr>
              <w:pStyle w:val="13"/>
            </w:pPr>
            <w:r>
              <w:t>成本指标</w:t>
            </w:r>
          </w:p>
        </w:tc>
        <w:tc>
          <w:tcPr>
            <w:tcW w:w="2835" w:type="dxa"/>
            <w:vAlign w:val="center"/>
          </w:tcPr>
          <w:p w14:paraId="7C014E92">
            <w:pPr>
              <w:pStyle w:val="13"/>
            </w:pPr>
            <w:r>
              <w:t>生均财政投入</w:t>
            </w:r>
          </w:p>
        </w:tc>
        <w:tc>
          <w:tcPr>
            <w:tcW w:w="5386" w:type="dxa"/>
            <w:vAlign w:val="center"/>
          </w:tcPr>
          <w:p w14:paraId="56FED584">
            <w:pPr>
              <w:pStyle w:val="13"/>
            </w:pPr>
            <w:r>
              <w:t>中职公用经费最低标准</w:t>
            </w:r>
          </w:p>
        </w:tc>
        <w:tc>
          <w:tcPr>
            <w:tcW w:w="2268" w:type="dxa"/>
            <w:vAlign w:val="center"/>
          </w:tcPr>
          <w:p w14:paraId="68430A89">
            <w:pPr>
              <w:pStyle w:val="13"/>
            </w:pPr>
            <w:r>
              <w:t>1000元/生/年</w:t>
            </w:r>
          </w:p>
        </w:tc>
        <w:tc>
          <w:tcPr>
            <w:tcW w:w="1276" w:type="dxa"/>
            <w:vAlign w:val="center"/>
          </w:tcPr>
          <w:p w14:paraId="1665F34F">
            <w:pPr>
              <w:pStyle w:val="13"/>
            </w:pPr>
            <w:r>
              <w:t>冀财教【2016】1号</w:t>
            </w:r>
          </w:p>
        </w:tc>
      </w:tr>
      <w:tr w14:paraId="14965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4496C6">
            <w:pPr>
              <w:pStyle w:val="12"/>
            </w:pPr>
            <w:r>
              <w:t>效益指标</w:t>
            </w:r>
          </w:p>
        </w:tc>
        <w:tc>
          <w:tcPr>
            <w:tcW w:w="2268" w:type="dxa"/>
            <w:vAlign w:val="center"/>
          </w:tcPr>
          <w:p w14:paraId="7FB3B70F">
            <w:pPr>
              <w:pStyle w:val="13"/>
            </w:pPr>
            <w:r>
              <w:t>社会效益指标</w:t>
            </w:r>
          </w:p>
        </w:tc>
        <w:tc>
          <w:tcPr>
            <w:tcW w:w="2835" w:type="dxa"/>
            <w:vAlign w:val="center"/>
          </w:tcPr>
          <w:p w14:paraId="24AA992F">
            <w:pPr>
              <w:pStyle w:val="13"/>
            </w:pPr>
            <w:r>
              <w:t>学校办学能力提升</w:t>
            </w:r>
          </w:p>
        </w:tc>
        <w:tc>
          <w:tcPr>
            <w:tcW w:w="5386" w:type="dxa"/>
            <w:vAlign w:val="center"/>
          </w:tcPr>
          <w:p w14:paraId="3B32948E">
            <w:pPr>
              <w:pStyle w:val="13"/>
            </w:pPr>
            <w:r>
              <w:t>改善办学条件，提高学生家长认可度</w:t>
            </w:r>
          </w:p>
        </w:tc>
        <w:tc>
          <w:tcPr>
            <w:tcW w:w="2268" w:type="dxa"/>
            <w:vAlign w:val="center"/>
          </w:tcPr>
          <w:p w14:paraId="703E4783">
            <w:pPr>
              <w:pStyle w:val="13"/>
            </w:pPr>
            <w:r>
              <w:t>≥100%</w:t>
            </w:r>
          </w:p>
        </w:tc>
        <w:tc>
          <w:tcPr>
            <w:tcW w:w="1276" w:type="dxa"/>
            <w:vAlign w:val="center"/>
          </w:tcPr>
          <w:p w14:paraId="5E6123ED">
            <w:pPr>
              <w:pStyle w:val="13"/>
            </w:pPr>
            <w:r>
              <w:t>中职公用经费管理办法</w:t>
            </w:r>
          </w:p>
        </w:tc>
      </w:tr>
      <w:tr w14:paraId="756CD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41559B">
            <w:pPr>
              <w:pStyle w:val="12"/>
            </w:pPr>
            <w:r>
              <w:t>满意度指标</w:t>
            </w:r>
          </w:p>
        </w:tc>
        <w:tc>
          <w:tcPr>
            <w:tcW w:w="2268" w:type="dxa"/>
            <w:vAlign w:val="center"/>
          </w:tcPr>
          <w:p w14:paraId="29ACDD5C">
            <w:pPr>
              <w:pStyle w:val="13"/>
            </w:pPr>
            <w:r>
              <w:t>服务对象满意度指标</w:t>
            </w:r>
          </w:p>
        </w:tc>
        <w:tc>
          <w:tcPr>
            <w:tcW w:w="2835" w:type="dxa"/>
            <w:vAlign w:val="center"/>
          </w:tcPr>
          <w:p w14:paraId="51D080A5">
            <w:pPr>
              <w:pStyle w:val="13"/>
            </w:pPr>
            <w:r>
              <w:t>学生及家长满意</w:t>
            </w:r>
          </w:p>
        </w:tc>
        <w:tc>
          <w:tcPr>
            <w:tcW w:w="5386" w:type="dxa"/>
            <w:vAlign w:val="center"/>
          </w:tcPr>
          <w:p w14:paraId="315A4F13">
            <w:pPr>
              <w:pStyle w:val="13"/>
            </w:pPr>
            <w:r>
              <w:t>学生及家长满意度</w:t>
            </w:r>
          </w:p>
        </w:tc>
        <w:tc>
          <w:tcPr>
            <w:tcW w:w="2268" w:type="dxa"/>
            <w:vAlign w:val="center"/>
          </w:tcPr>
          <w:p w14:paraId="4D0EDD34">
            <w:pPr>
              <w:pStyle w:val="13"/>
            </w:pPr>
            <w:r>
              <w:t>≥95%</w:t>
            </w:r>
          </w:p>
        </w:tc>
        <w:tc>
          <w:tcPr>
            <w:tcW w:w="1276" w:type="dxa"/>
            <w:vAlign w:val="center"/>
          </w:tcPr>
          <w:p w14:paraId="216ACC66">
            <w:pPr>
              <w:pStyle w:val="13"/>
            </w:pPr>
            <w:r>
              <w:t>调查问卷</w:t>
            </w:r>
          </w:p>
        </w:tc>
      </w:tr>
    </w:tbl>
    <w:p w14:paraId="174B64A3">
      <w:pPr>
        <w:sectPr>
          <w:pgSz w:w="16840" w:h="11900" w:orient="landscape"/>
          <w:pgMar w:top="1361" w:right="1020" w:bottom="1134" w:left="1020" w:header="720" w:footer="720" w:gutter="0"/>
          <w:cols w:space="720" w:num="1"/>
        </w:sectPr>
      </w:pPr>
    </w:p>
    <w:p w14:paraId="7EB3C966">
      <w:pPr>
        <w:spacing w:before="0" w:after="0"/>
        <w:ind w:firstLine="560"/>
        <w:jc w:val="left"/>
        <w:outlineLvl w:val="9"/>
      </w:pPr>
      <w:r>
        <w:rPr>
          <w:rFonts w:ascii="方正仿宋_GBK" w:hAnsi="方正仿宋_GBK" w:eastAsia="方正仿宋_GBK" w:cs="方正仿宋_GBK"/>
          <w:b/>
          <w:color w:val="000000"/>
          <w:sz w:val="28"/>
        </w:rPr>
        <w:t>24、中职专项经费/职教中心绩效目标表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333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94B0C">
            <w:pPr>
              <w:pStyle w:val="14"/>
            </w:pPr>
            <w:r>
              <w:t>单位：万元</w:t>
            </w:r>
          </w:p>
        </w:tc>
      </w:tr>
      <w:tr w14:paraId="1B3A3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39D0C0">
            <w:pPr>
              <w:pStyle w:val="11"/>
            </w:pPr>
            <w:r>
              <w:t>项目编码</w:t>
            </w:r>
          </w:p>
        </w:tc>
        <w:tc>
          <w:tcPr>
            <w:tcW w:w="5103" w:type="dxa"/>
            <w:gridSpan w:val="2"/>
            <w:vAlign w:val="center"/>
          </w:tcPr>
          <w:p w14:paraId="247A04DD">
            <w:pPr>
              <w:pStyle w:val="13"/>
            </w:pPr>
            <w:r>
              <w:t>13052525P00875610222U</w:t>
            </w:r>
          </w:p>
        </w:tc>
        <w:tc>
          <w:tcPr>
            <w:tcW w:w="2835" w:type="dxa"/>
            <w:vAlign w:val="center"/>
          </w:tcPr>
          <w:p w14:paraId="779475F8">
            <w:pPr>
              <w:pStyle w:val="11"/>
            </w:pPr>
            <w:r>
              <w:t>项目名称</w:t>
            </w:r>
          </w:p>
        </w:tc>
        <w:tc>
          <w:tcPr>
            <w:tcW w:w="6095" w:type="dxa"/>
            <w:gridSpan w:val="3"/>
            <w:vAlign w:val="center"/>
          </w:tcPr>
          <w:p w14:paraId="5B14195D">
            <w:pPr>
              <w:pStyle w:val="13"/>
            </w:pPr>
            <w:r>
              <w:t>中职专项经费/职教中心</w:t>
            </w:r>
          </w:p>
        </w:tc>
      </w:tr>
      <w:tr w14:paraId="43E56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21BA3">
            <w:pPr>
              <w:pStyle w:val="11"/>
            </w:pPr>
            <w:r>
              <w:t>预算规模及资金用途</w:t>
            </w:r>
          </w:p>
        </w:tc>
        <w:tc>
          <w:tcPr>
            <w:tcW w:w="2268" w:type="dxa"/>
            <w:vAlign w:val="center"/>
          </w:tcPr>
          <w:p w14:paraId="0ACC252D">
            <w:pPr>
              <w:pStyle w:val="11"/>
            </w:pPr>
            <w:r>
              <w:t>预算数</w:t>
            </w:r>
          </w:p>
        </w:tc>
        <w:tc>
          <w:tcPr>
            <w:tcW w:w="2835" w:type="dxa"/>
            <w:vAlign w:val="center"/>
          </w:tcPr>
          <w:p w14:paraId="4E55C1DC">
            <w:pPr>
              <w:pStyle w:val="13"/>
            </w:pPr>
            <w:r>
              <w:t>56.00</w:t>
            </w:r>
          </w:p>
        </w:tc>
        <w:tc>
          <w:tcPr>
            <w:tcW w:w="2835" w:type="dxa"/>
            <w:vAlign w:val="center"/>
          </w:tcPr>
          <w:p w14:paraId="4642FE4D">
            <w:pPr>
              <w:pStyle w:val="11"/>
            </w:pPr>
            <w:r>
              <w:t>其中：财政    资金</w:t>
            </w:r>
          </w:p>
        </w:tc>
        <w:tc>
          <w:tcPr>
            <w:tcW w:w="2551" w:type="dxa"/>
            <w:vAlign w:val="center"/>
          </w:tcPr>
          <w:p w14:paraId="7BBBA9A6">
            <w:pPr>
              <w:pStyle w:val="13"/>
            </w:pPr>
            <w:r>
              <w:t>56.00</w:t>
            </w:r>
          </w:p>
        </w:tc>
        <w:tc>
          <w:tcPr>
            <w:tcW w:w="2268" w:type="dxa"/>
            <w:vAlign w:val="center"/>
          </w:tcPr>
          <w:p w14:paraId="5BA37001">
            <w:pPr>
              <w:pStyle w:val="11"/>
            </w:pPr>
            <w:r>
              <w:t>其他资金</w:t>
            </w:r>
          </w:p>
        </w:tc>
        <w:tc>
          <w:tcPr>
            <w:tcW w:w="1276" w:type="dxa"/>
            <w:vAlign w:val="center"/>
          </w:tcPr>
          <w:p w14:paraId="2E3CD836">
            <w:pPr>
              <w:pStyle w:val="13"/>
            </w:pPr>
            <w:r>
              <w:t xml:space="preserve"> </w:t>
            </w:r>
          </w:p>
        </w:tc>
      </w:tr>
      <w:tr w14:paraId="5A503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D0BAC"/>
        </w:tc>
        <w:tc>
          <w:tcPr>
            <w:tcW w:w="14033" w:type="dxa"/>
            <w:gridSpan w:val="6"/>
            <w:vAlign w:val="center"/>
          </w:tcPr>
          <w:p w14:paraId="3D0788CB">
            <w:pPr>
              <w:pStyle w:val="13"/>
            </w:pPr>
            <w:r>
              <w:t>按时完成学费住宿费收缴，全额上缴财政专户，保障学校正常运转。</w:t>
            </w:r>
          </w:p>
        </w:tc>
      </w:tr>
      <w:tr w14:paraId="73AF2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3EB0A">
            <w:pPr>
              <w:pStyle w:val="11"/>
            </w:pPr>
            <w:r>
              <w:t>资金支出计划（%）</w:t>
            </w:r>
          </w:p>
        </w:tc>
        <w:tc>
          <w:tcPr>
            <w:tcW w:w="5103" w:type="dxa"/>
            <w:gridSpan w:val="2"/>
            <w:vAlign w:val="center"/>
          </w:tcPr>
          <w:p w14:paraId="2798FF6A">
            <w:pPr>
              <w:pStyle w:val="11"/>
            </w:pPr>
            <w:r>
              <w:t>3月底</w:t>
            </w:r>
          </w:p>
        </w:tc>
        <w:tc>
          <w:tcPr>
            <w:tcW w:w="2835" w:type="dxa"/>
            <w:vAlign w:val="center"/>
          </w:tcPr>
          <w:p w14:paraId="5062B7FF">
            <w:pPr>
              <w:pStyle w:val="11"/>
            </w:pPr>
            <w:r>
              <w:t>6月底</w:t>
            </w:r>
          </w:p>
        </w:tc>
        <w:tc>
          <w:tcPr>
            <w:tcW w:w="2551" w:type="dxa"/>
            <w:vAlign w:val="center"/>
          </w:tcPr>
          <w:p w14:paraId="1D0B18D8">
            <w:pPr>
              <w:pStyle w:val="11"/>
            </w:pPr>
            <w:r>
              <w:t>10月底</w:t>
            </w:r>
          </w:p>
        </w:tc>
        <w:tc>
          <w:tcPr>
            <w:tcW w:w="3544" w:type="dxa"/>
            <w:gridSpan w:val="2"/>
            <w:vAlign w:val="center"/>
          </w:tcPr>
          <w:p w14:paraId="5F0D5E3A">
            <w:pPr>
              <w:pStyle w:val="11"/>
            </w:pPr>
            <w:r>
              <w:t>12月底</w:t>
            </w:r>
          </w:p>
        </w:tc>
      </w:tr>
      <w:tr w14:paraId="63A0C6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021A6"/>
        </w:tc>
        <w:tc>
          <w:tcPr>
            <w:tcW w:w="5103" w:type="dxa"/>
            <w:gridSpan w:val="2"/>
            <w:vAlign w:val="center"/>
          </w:tcPr>
          <w:p w14:paraId="4F17D817">
            <w:pPr>
              <w:pStyle w:val="12"/>
            </w:pPr>
            <w:r>
              <w:t>25%</w:t>
            </w:r>
          </w:p>
        </w:tc>
        <w:tc>
          <w:tcPr>
            <w:tcW w:w="2835" w:type="dxa"/>
            <w:vAlign w:val="center"/>
          </w:tcPr>
          <w:p w14:paraId="36F7BD50">
            <w:pPr>
              <w:pStyle w:val="12"/>
            </w:pPr>
            <w:r>
              <w:t>50%</w:t>
            </w:r>
          </w:p>
        </w:tc>
        <w:tc>
          <w:tcPr>
            <w:tcW w:w="2551" w:type="dxa"/>
            <w:vAlign w:val="center"/>
          </w:tcPr>
          <w:p w14:paraId="3C638A5B">
            <w:pPr>
              <w:pStyle w:val="12"/>
            </w:pPr>
            <w:r>
              <w:t>75%</w:t>
            </w:r>
          </w:p>
        </w:tc>
        <w:tc>
          <w:tcPr>
            <w:tcW w:w="3544" w:type="dxa"/>
            <w:gridSpan w:val="2"/>
            <w:vAlign w:val="center"/>
          </w:tcPr>
          <w:p w14:paraId="371743E4">
            <w:pPr>
              <w:pStyle w:val="12"/>
            </w:pPr>
            <w:r>
              <w:t>100%</w:t>
            </w:r>
          </w:p>
        </w:tc>
      </w:tr>
      <w:tr w14:paraId="171A2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691B8">
            <w:pPr>
              <w:pStyle w:val="11"/>
            </w:pPr>
            <w:r>
              <w:t>绩效目标</w:t>
            </w:r>
          </w:p>
        </w:tc>
        <w:tc>
          <w:tcPr>
            <w:tcW w:w="14033" w:type="dxa"/>
            <w:gridSpan w:val="6"/>
            <w:vAlign w:val="center"/>
          </w:tcPr>
          <w:p w14:paraId="75856782">
            <w:pPr>
              <w:pStyle w:val="13"/>
            </w:pPr>
            <w:r>
              <w:t>1.按时完成学费住宿费收缴，全额上缴财政专户，保障学校正常运转。</w:t>
            </w:r>
          </w:p>
        </w:tc>
      </w:tr>
    </w:tbl>
    <w:p w14:paraId="1C2B97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3E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0F6FE">
            <w:pPr>
              <w:pStyle w:val="11"/>
            </w:pPr>
            <w:r>
              <w:t>一级指标</w:t>
            </w:r>
          </w:p>
        </w:tc>
        <w:tc>
          <w:tcPr>
            <w:tcW w:w="2268" w:type="dxa"/>
            <w:vAlign w:val="center"/>
          </w:tcPr>
          <w:p w14:paraId="010CDFDE">
            <w:pPr>
              <w:pStyle w:val="11"/>
            </w:pPr>
            <w:r>
              <w:t>二级指标</w:t>
            </w:r>
          </w:p>
        </w:tc>
        <w:tc>
          <w:tcPr>
            <w:tcW w:w="2835" w:type="dxa"/>
            <w:vAlign w:val="center"/>
          </w:tcPr>
          <w:p w14:paraId="2F3097FD">
            <w:pPr>
              <w:pStyle w:val="11"/>
            </w:pPr>
            <w:r>
              <w:t>三级指标</w:t>
            </w:r>
          </w:p>
        </w:tc>
        <w:tc>
          <w:tcPr>
            <w:tcW w:w="5386" w:type="dxa"/>
            <w:vAlign w:val="center"/>
          </w:tcPr>
          <w:p w14:paraId="31FAA7F2">
            <w:pPr>
              <w:pStyle w:val="11"/>
            </w:pPr>
            <w:r>
              <w:t>绩效指标描述</w:t>
            </w:r>
          </w:p>
        </w:tc>
        <w:tc>
          <w:tcPr>
            <w:tcW w:w="2268" w:type="dxa"/>
            <w:vAlign w:val="center"/>
          </w:tcPr>
          <w:p w14:paraId="0333AAE4">
            <w:pPr>
              <w:pStyle w:val="11"/>
            </w:pPr>
            <w:r>
              <w:t>指标值</w:t>
            </w:r>
          </w:p>
        </w:tc>
        <w:tc>
          <w:tcPr>
            <w:tcW w:w="1276" w:type="dxa"/>
            <w:vAlign w:val="center"/>
          </w:tcPr>
          <w:p w14:paraId="02582E94">
            <w:pPr>
              <w:pStyle w:val="11"/>
            </w:pPr>
            <w:r>
              <w:t>指标值确定依据</w:t>
            </w:r>
          </w:p>
        </w:tc>
      </w:tr>
      <w:tr w14:paraId="30191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00DCB">
            <w:pPr>
              <w:pStyle w:val="12"/>
            </w:pPr>
            <w:r>
              <w:t>产出指标</w:t>
            </w:r>
          </w:p>
        </w:tc>
        <w:tc>
          <w:tcPr>
            <w:tcW w:w="2268" w:type="dxa"/>
            <w:vAlign w:val="center"/>
          </w:tcPr>
          <w:p w14:paraId="0341A9F4">
            <w:pPr>
              <w:pStyle w:val="13"/>
            </w:pPr>
            <w:r>
              <w:t>数量指标</w:t>
            </w:r>
          </w:p>
        </w:tc>
        <w:tc>
          <w:tcPr>
            <w:tcW w:w="2835" w:type="dxa"/>
            <w:vAlign w:val="center"/>
          </w:tcPr>
          <w:p w14:paraId="0475D8FE">
            <w:pPr>
              <w:pStyle w:val="13"/>
            </w:pPr>
            <w:r>
              <w:t>在校生人数</w:t>
            </w:r>
          </w:p>
        </w:tc>
        <w:tc>
          <w:tcPr>
            <w:tcW w:w="5386" w:type="dxa"/>
            <w:vAlign w:val="center"/>
          </w:tcPr>
          <w:p w14:paraId="264AAC5D">
            <w:pPr>
              <w:pStyle w:val="13"/>
            </w:pPr>
            <w:r>
              <w:t>中职在校学生人数</w:t>
            </w:r>
          </w:p>
        </w:tc>
        <w:tc>
          <w:tcPr>
            <w:tcW w:w="2268" w:type="dxa"/>
            <w:vAlign w:val="center"/>
          </w:tcPr>
          <w:p w14:paraId="6274C1C1">
            <w:pPr>
              <w:pStyle w:val="13"/>
            </w:pPr>
            <w:r>
              <w:t>1384人</w:t>
            </w:r>
          </w:p>
        </w:tc>
        <w:tc>
          <w:tcPr>
            <w:tcW w:w="1276" w:type="dxa"/>
            <w:vAlign w:val="center"/>
          </w:tcPr>
          <w:p w14:paraId="3DB67FD5">
            <w:pPr>
              <w:pStyle w:val="13"/>
            </w:pPr>
            <w:r>
              <w:t>中职专项公用管理办法</w:t>
            </w:r>
          </w:p>
        </w:tc>
      </w:tr>
      <w:tr w14:paraId="5E313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C49A7"/>
        </w:tc>
        <w:tc>
          <w:tcPr>
            <w:tcW w:w="2268" w:type="dxa"/>
            <w:vAlign w:val="center"/>
          </w:tcPr>
          <w:p w14:paraId="5E228405">
            <w:pPr>
              <w:pStyle w:val="13"/>
            </w:pPr>
            <w:r>
              <w:t>质量指标</w:t>
            </w:r>
          </w:p>
        </w:tc>
        <w:tc>
          <w:tcPr>
            <w:tcW w:w="2835" w:type="dxa"/>
            <w:vAlign w:val="center"/>
          </w:tcPr>
          <w:p w14:paraId="45FE1359">
            <w:pPr>
              <w:pStyle w:val="13"/>
            </w:pPr>
            <w:r>
              <w:t>按学期上缴财政专户完成率</w:t>
            </w:r>
          </w:p>
        </w:tc>
        <w:tc>
          <w:tcPr>
            <w:tcW w:w="5386" w:type="dxa"/>
            <w:vAlign w:val="center"/>
          </w:tcPr>
          <w:p w14:paraId="36B3CD6C">
            <w:pPr>
              <w:pStyle w:val="13"/>
            </w:pPr>
            <w:r>
              <w:t>按学期完成学费、住宿费上缴财政专户</w:t>
            </w:r>
          </w:p>
        </w:tc>
        <w:tc>
          <w:tcPr>
            <w:tcW w:w="2268" w:type="dxa"/>
            <w:vAlign w:val="center"/>
          </w:tcPr>
          <w:p w14:paraId="1380216B">
            <w:pPr>
              <w:pStyle w:val="13"/>
            </w:pPr>
            <w:r>
              <w:t>≥100%</w:t>
            </w:r>
          </w:p>
        </w:tc>
        <w:tc>
          <w:tcPr>
            <w:tcW w:w="1276" w:type="dxa"/>
            <w:vAlign w:val="center"/>
          </w:tcPr>
          <w:p w14:paraId="1ADF9828">
            <w:pPr>
              <w:pStyle w:val="13"/>
            </w:pPr>
            <w:r>
              <w:t>中职专项公用管理办法</w:t>
            </w:r>
          </w:p>
        </w:tc>
      </w:tr>
      <w:tr w14:paraId="633D2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C93DE"/>
        </w:tc>
        <w:tc>
          <w:tcPr>
            <w:tcW w:w="2268" w:type="dxa"/>
            <w:vAlign w:val="center"/>
          </w:tcPr>
          <w:p w14:paraId="0AED5229">
            <w:pPr>
              <w:pStyle w:val="13"/>
            </w:pPr>
            <w:r>
              <w:t>时效指标</w:t>
            </w:r>
          </w:p>
        </w:tc>
        <w:tc>
          <w:tcPr>
            <w:tcW w:w="2835" w:type="dxa"/>
            <w:vAlign w:val="center"/>
          </w:tcPr>
          <w:p w14:paraId="515E6E81">
            <w:pPr>
              <w:pStyle w:val="13"/>
            </w:pPr>
            <w:r>
              <w:t>资金支付率</w:t>
            </w:r>
          </w:p>
        </w:tc>
        <w:tc>
          <w:tcPr>
            <w:tcW w:w="5386" w:type="dxa"/>
            <w:vAlign w:val="center"/>
          </w:tcPr>
          <w:p w14:paraId="6DAF4313">
            <w:pPr>
              <w:pStyle w:val="13"/>
            </w:pPr>
            <w:r>
              <w:t>按照序时进度完成资金支付</w:t>
            </w:r>
          </w:p>
        </w:tc>
        <w:tc>
          <w:tcPr>
            <w:tcW w:w="2268" w:type="dxa"/>
            <w:vAlign w:val="center"/>
          </w:tcPr>
          <w:p w14:paraId="2A85DE54">
            <w:pPr>
              <w:pStyle w:val="13"/>
            </w:pPr>
            <w:r>
              <w:t>≥100%</w:t>
            </w:r>
          </w:p>
        </w:tc>
        <w:tc>
          <w:tcPr>
            <w:tcW w:w="1276" w:type="dxa"/>
            <w:vAlign w:val="center"/>
          </w:tcPr>
          <w:p w14:paraId="21CEBDFB">
            <w:pPr>
              <w:pStyle w:val="13"/>
            </w:pPr>
            <w:r>
              <w:t>中职专项公用管理办法</w:t>
            </w:r>
          </w:p>
        </w:tc>
      </w:tr>
      <w:tr w14:paraId="46DAB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B2E78"/>
        </w:tc>
        <w:tc>
          <w:tcPr>
            <w:tcW w:w="2268" w:type="dxa"/>
            <w:vAlign w:val="center"/>
          </w:tcPr>
          <w:p w14:paraId="386FBA0F">
            <w:pPr>
              <w:pStyle w:val="13"/>
            </w:pPr>
            <w:r>
              <w:t>成本指标</w:t>
            </w:r>
          </w:p>
        </w:tc>
        <w:tc>
          <w:tcPr>
            <w:tcW w:w="2835" w:type="dxa"/>
            <w:vAlign w:val="center"/>
          </w:tcPr>
          <w:p w14:paraId="0A9E59E5">
            <w:pPr>
              <w:pStyle w:val="13"/>
            </w:pPr>
            <w:r>
              <w:t>收费标准</w:t>
            </w:r>
          </w:p>
        </w:tc>
        <w:tc>
          <w:tcPr>
            <w:tcW w:w="5386" w:type="dxa"/>
            <w:vAlign w:val="center"/>
          </w:tcPr>
          <w:p w14:paraId="7DF29405">
            <w:pPr>
              <w:pStyle w:val="13"/>
            </w:pPr>
            <w:r>
              <w:t>按照发改局收费标准收取学住宿费公寓楼300元/生/学期、普通宿舍楼200元/生/学期，财政全额返还</w:t>
            </w:r>
          </w:p>
        </w:tc>
        <w:tc>
          <w:tcPr>
            <w:tcW w:w="2268" w:type="dxa"/>
            <w:vAlign w:val="center"/>
          </w:tcPr>
          <w:p w14:paraId="76729936">
            <w:pPr>
              <w:pStyle w:val="13"/>
            </w:pPr>
            <w:r>
              <w:t>280元/生/学期</w:t>
            </w:r>
          </w:p>
        </w:tc>
        <w:tc>
          <w:tcPr>
            <w:tcW w:w="1276" w:type="dxa"/>
            <w:vAlign w:val="center"/>
          </w:tcPr>
          <w:p w14:paraId="71782F44">
            <w:pPr>
              <w:pStyle w:val="13"/>
            </w:pPr>
            <w:r>
              <w:t>隆发改价格【2020】5号</w:t>
            </w:r>
          </w:p>
        </w:tc>
      </w:tr>
      <w:tr w14:paraId="122F6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883D7E">
            <w:pPr>
              <w:pStyle w:val="12"/>
            </w:pPr>
            <w:r>
              <w:t>效益指标</w:t>
            </w:r>
          </w:p>
        </w:tc>
        <w:tc>
          <w:tcPr>
            <w:tcW w:w="2268" w:type="dxa"/>
            <w:vAlign w:val="center"/>
          </w:tcPr>
          <w:p w14:paraId="718DC6E8">
            <w:pPr>
              <w:pStyle w:val="13"/>
            </w:pPr>
            <w:r>
              <w:t>经济效益指标</w:t>
            </w:r>
          </w:p>
        </w:tc>
        <w:tc>
          <w:tcPr>
            <w:tcW w:w="2835" w:type="dxa"/>
            <w:vAlign w:val="center"/>
          </w:tcPr>
          <w:p w14:paraId="55F2C1FE">
            <w:pPr>
              <w:pStyle w:val="13"/>
            </w:pPr>
            <w:r>
              <w:t>学校毛入学率</w:t>
            </w:r>
          </w:p>
        </w:tc>
        <w:tc>
          <w:tcPr>
            <w:tcW w:w="5386" w:type="dxa"/>
            <w:vAlign w:val="center"/>
          </w:tcPr>
          <w:p w14:paraId="260CD5DF">
            <w:pPr>
              <w:pStyle w:val="13"/>
            </w:pPr>
            <w:r>
              <w:t>改善 教学条件提升 学生入学率</w:t>
            </w:r>
          </w:p>
        </w:tc>
        <w:tc>
          <w:tcPr>
            <w:tcW w:w="2268" w:type="dxa"/>
            <w:vAlign w:val="center"/>
          </w:tcPr>
          <w:p w14:paraId="770B59B0">
            <w:pPr>
              <w:pStyle w:val="13"/>
            </w:pPr>
            <w:r>
              <w:t>≥90%</w:t>
            </w:r>
          </w:p>
        </w:tc>
        <w:tc>
          <w:tcPr>
            <w:tcW w:w="1276" w:type="dxa"/>
            <w:vAlign w:val="center"/>
          </w:tcPr>
          <w:p w14:paraId="2C160BFD">
            <w:pPr>
              <w:pStyle w:val="13"/>
            </w:pPr>
            <w:r>
              <w:t>中职专项公用管理办法</w:t>
            </w:r>
          </w:p>
        </w:tc>
      </w:tr>
      <w:tr w14:paraId="1CC5E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D73AB">
            <w:pPr>
              <w:pStyle w:val="12"/>
            </w:pPr>
            <w:r>
              <w:t>满意度指标</w:t>
            </w:r>
          </w:p>
        </w:tc>
        <w:tc>
          <w:tcPr>
            <w:tcW w:w="2268" w:type="dxa"/>
            <w:vAlign w:val="center"/>
          </w:tcPr>
          <w:p w14:paraId="3E97FE02">
            <w:pPr>
              <w:pStyle w:val="13"/>
            </w:pPr>
            <w:r>
              <w:t>服务对象满意度指标</w:t>
            </w:r>
          </w:p>
        </w:tc>
        <w:tc>
          <w:tcPr>
            <w:tcW w:w="2835" w:type="dxa"/>
            <w:vAlign w:val="center"/>
          </w:tcPr>
          <w:p w14:paraId="5184838F">
            <w:pPr>
              <w:pStyle w:val="13"/>
            </w:pPr>
            <w:r>
              <w:t>学生及家长满意</w:t>
            </w:r>
          </w:p>
        </w:tc>
        <w:tc>
          <w:tcPr>
            <w:tcW w:w="5386" w:type="dxa"/>
            <w:vAlign w:val="center"/>
          </w:tcPr>
          <w:p w14:paraId="74487627">
            <w:pPr>
              <w:pStyle w:val="13"/>
            </w:pPr>
            <w:r>
              <w:t>学生及家长满意</w:t>
            </w:r>
          </w:p>
        </w:tc>
        <w:tc>
          <w:tcPr>
            <w:tcW w:w="2268" w:type="dxa"/>
            <w:vAlign w:val="center"/>
          </w:tcPr>
          <w:p w14:paraId="3DB77392">
            <w:pPr>
              <w:pStyle w:val="13"/>
            </w:pPr>
            <w:r>
              <w:t>≥95%</w:t>
            </w:r>
          </w:p>
        </w:tc>
        <w:tc>
          <w:tcPr>
            <w:tcW w:w="1276" w:type="dxa"/>
            <w:vAlign w:val="center"/>
          </w:tcPr>
          <w:p w14:paraId="191A6ECC">
            <w:pPr>
              <w:pStyle w:val="13"/>
            </w:pPr>
            <w:r>
              <w:t>中职专项公用管理办法</w:t>
            </w:r>
          </w:p>
        </w:tc>
      </w:tr>
    </w:tbl>
    <w:p w14:paraId="059C28F9">
      <w:pPr>
        <w:sectPr>
          <w:pgSz w:w="16840" w:h="11900" w:orient="landscape"/>
          <w:pgMar w:top="1361" w:right="1020" w:bottom="1134" w:left="1020" w:header="720" w:footer="720" w:gutter="0"/>
          <w:cols w:space="720" w:num="1"/>
        </w:sectPr>
      </w:pPr>
    </w:p>
    <w:p w14:paraId="780140F4">
      <w:pPr>
        <w:spacing w:before="10" w:after="10" w:line="240" w:lineRule="auto"/>
        <w:ind w:firstLine="640"/>
        <w:jc w:val="left"/>
        <w:outlineLvl w:val="5"/>
      </w:pPr>
      <w:r>
        <w:rPr>
          <w:rFonts w:ascii="黑体" w:hAnsi="黑体" w:eastAsia="黑体" w:cs="黑体"/>
          <w:color w:val="000000"/>
          <w:sz w:val="32"/>
        </w:rPr>
        <w:t>六、政府采购预算情况</w:t>
      </w:r>
    </w:p>
    <w:p w14:paraId="0CF8C3C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F7E4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FFAF457">
            <w:pPr>
              <w:pStyle w:val="8"/>
            </w:pPr>
            <w:r>
              <w:t>360015隆尧县职业技术教育中心</w:t>
            </w:r>
          </w:p>
        </w:tc>
        <w:tc>
          <w:tcPr>
            <w:tcW w:w="7712" w:type="dxa"/>
            <w:gridSpan w:val="8"/>
            <w:tcBorders>
              <w:top w:val="single" w:color="FFFFFF" w:sz="6" w:space="0"/>
              <w:left w:val="single" w:color="FFFFFF" w:sz="6" w:space="0"/>
              <w:right w:val="single" w:color="FFFFFF" w:sz="6" w:space="0"/>
            </w:tcBorders>
            <w:vAlign w:val="center"/>
          </w:tcPr>
          <w:p w14:paraId="0BF75136">
            <w:pPr>
              <w:pStyle w:val="22"/>
            </w:pPr>
            <w:r>
              <w:t>单位：万元</w:t>
            </w:r>
          </w:p>
        </w:tc>
      </w:tr>
      <w:tr w14:paraId="5EEB7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24B6E26">
            <w:pPr>
              <w:pStyle w:val="11"/>
            </w:pPr>
            <w:r>
              <w:t>政府采购项目来源</w:t>
            </w:r>
          </w:p>
        </w:tc>
        <w:tc>
          <w:tcPr>
            <w:tcW w:w="1134" w:type="dxa"/>
            <w:vMerge w:val="restart"/>
            <w:vAlign w:val="center"/>
          </w:tcPr>
          <w:p w14:paraId="50A20897">
            <w:pPr>
              <w:pStyle w:val="11"/>
            </w:pPr>
            <w:r>
              <w:t>采购物品名称</w:t>
            </w:r>
          </w:p>
        </w:tc>
        <w:tc>
          <w:tcPr>
            <w:tcW w:w="1134" w:type="dxa"/>
            <w:vMerge w:val="restart"/>
            <w:vAlign w:val="center"/>
          </w:tcPr>
          <w:p w14:paraId="73E833C6">
            <w:pPr>
              <w:pStyle w:val="11"/>
            </w:pPr>
            <w:r>
              <w:t>政府采购目录序号</w:t>
            </w:r>
          </w:p>
        </w:tc>
        <w:tc>
          <w:tcPr>
            <w:tcW w:w="709" w:type="dxa"/>
            <w:vMerge w:val="restart"/>
            <w:vAlign w:val="center"/>
          </w:tcPr>
          <w:p w14:paraId="05423BC3">
            <w:pPr>
              <w:pStyle w:val="11"/>
            </w:pPr>
            <w:r>
              <w:t>计量  单位</w:t>
            </w:r>
          </w:p>
        </w:tc>
        <w:tc>
          <w:tcPr>
            <w:tcW w:w="850" w:type="dxa"/>
            <w:vMerge w:val="restart"/>
            <w:vAlign w:val="center"/>
          </w:tcPr>
          <w:p w14:paraId="51626006">
            <w:pPr>
              <w:pStyle w:val="11"/>
            </w:pPr>
            <w:r>
              <w:t>数量</w:t>
            </w:r>
          </w:p>
        </w:tc>
        <w:tc>
          <w:tcPr>
            <w:tcW w:w="850" w:type="dxa"/>
            <w:vMerge w:val="restart"/>
            <w:vAlign w:val="center"/>
          </w:tcPr>
          <w:p w14:paraId="46139AAE">
            <w:pPr>
              <w:pStyle w:val="11"/>
            </w:pPr>
            <w:r>
              <w:t>单价</w:t>
            </w:r>
          </w:p>
        </w:tc>
        <w:tc>
          <w:tcPr>
            <w:tcW w:w="6748" w:type="dxa"/>
            <w:gridSpan w:val="7"/>
            <w:vAlign w:val="center"/>
          </w:tcPr>
          <w:p w14:paraId="3EC37649">
            <w:pPr>
              <w:pStyle w:val="11"/>
            </w:pPr>
            <w:r>
              <w:t>政府采购金额（当年部门预算安排资金）</w:t>
            </w:r>
          </w:p>
        </w:tc>
        <w:tc>
          <w:tcPr>
            <w:tcW w:w="964" w:type="dxa"/>
            <w:vMerge w:val="restart"/>
            <w:vAlign w:val="center"/>
          </w:tcPr>
          <w:p w14:paraId="00F3C8D2">
            <w:pPr>
              <w:pStyle w:val="11"/>
            </w:pPr>
            <w:r>
              <w:t>2025年  预留中  小微企  业份额</w:t>
            </w:r>
          </w:p>
        </w:tc>
      </w:tr>
      <w:tr w14:paraId="10115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0272625">
            <w:pPr>
              <w:pStyle w:val="11"/>
            </w:pPr>
            <w:r>
              <w:t>项目名称</w:t>
            </w:r>
          </w:p>
        </w:tc>
        <w:tc>
          <w:tcPr>
            <w:tcW w:w="964" w:type="dxa"/>
            <w:vAlign w:val="center"/>
          </w:tcPr>
          <w:p w14:paraId="596BE112">
            <w:pPr>
              <w:pStyle w:val="11"/>
            </w:pPr>
            <w:r>
              <w:t>预算    资金</w:t>
            </w:r>
          </w:p>
        </w:tc>
        <w:tc>
          <w:tcPr>
            <w:tcW w:w="1134" w:type="dxa"/>
            <w:vMerge w:val="continue"/>
          </w:tcPr>
          <w:p w14:paraId="76A05FAE"/>
        </w:tc>
        <w:tc>
          <w:tcPr>
            <w:tcW w:w="1134" w:type="dxa"/>
            <w:vMerge w:val="continue"/>
          </w:tcPr>
          <w:p w14:paraId="16001C64"/>
        </w:tc>
        <w:tc>
          <w:tcPr>
            <w:tcW w:w="709" w:type="dxa"/>
            <w:vMerge w:val="continue"/>
          </w:tcPr>
          <w:p w14:paraId="516C2572"/>
        </w:tc>
        <w:tc>
          <w:tcPr>
            <w:tcW w:w="850" w:type="dxa"/>
            <w:vMerge w:val="continue"/>
          </w:tcPr>
          <w:p w14:paraId="09AED0D5"/>
        </w:tc>
        <w:tc>
          <w:tcPr>
            <w:tcW w:w="850" w:type="dxa"/>
            <w:vMerge w:val="continue"/>
          </w:tcPr>
          <w:p w14:paraId="26C952C8"/>
        </w:tc>
        <w:tc>
          <w:tcPr>
            <w:tcW w:w="964" w:type="dxa"/>
            <w:vAlign w:val="center"/>
          </w:tcPr>
          <w:p w14:paraId="52A1DDD3">
            <w:pPr>
              <w:pStyle w:val="11"/>
            </w:pPr>
            <w:r>
              <w:t>合计</w:t>
            </w:r>
          </w:p>
        </w:tc>
        <w:tc>
          <w:tcPr>
            <w:tcW w:w="964" w:type="dxa"/>
            <w:vAlign w:val="center"/>
          </w:tcPr>
          <w:p w14:paraId="18577069">
            <w:pPr>
              <w:pStyle w:val="11"/>
            </w:pPr>
            <w:r>
              <w:t>一般公共预算拨款</w:t>
            </w:r>
          </w:p>
        </w:tc>
        <w:tc>
          <w:tcPr>
            <w:tcW w:w="964" w:type="dxa"/>
            <w:vAlign w:val="center"/>
          </w:tcPr>
          <w:p w14:paraId="7128D086">
            <w:pPr>
              <w:pStyle w:val="11"/>
            </w:pPr>
            <w:r>
              <w:t>基金预算拨款</w:t>
            </w:r>
          </w:p>
        </w:tc>
        <w:tc>
          <w:tcPr>
            <w:tcW w:w="964" w:type="dxa"/>
            <w:vAlign w:val="center"/>
          </w:tcPr>
          <w:p w14:paraId="41FD735A">
            <w:pPr>
              <w:pStyle w:val="11"/>
            </w:pPr>
            <w:r>
              <w:t>国有资本经营预算拨款</w:t>
            </w:r>
          </w:p>
        </w:tc>
        <w:tc>
          <w:tcPr>
            <w:tcW w:w="964" w:type="dxa"/>
            <w:vAlign w:val="center"/>
          </w:tcPr>
          <w:p w14:paraId="6B470850">
            <w:pPr>
              <w:pStyle w:val="11"/>
            </w:pPr>
            <w:r>
              <w:t>财政专户核拨</w:t>
            </w:r>
          </w:p>
        </w:tc>
        <w:tc>
          <w:tcPr>
            <w:tcW w:w="964" w:type="dxa"/>
            <w:vAlign w:val="center"/>
          </w:tcPr>
          <w:p w14:paraId="0B027612">
            <w:pPr>
              <w:pStyle w:val="11"/>
            </w:pPr>
            <w:r>
              <w:t>单位    资金</w:t>
            </w:r>
          </w:p>
        </w:tc>
        <w:tc>
          <w:tcPr>
            <w:tcW w:w="964" w:type="dxa"/>
            <w:vAlign w:val="center"/>
          </w:tcPr>
          <w:p w14:paraId="75269770">
            <w:pPr>
              <w:pStyle w:val="11"/>
            </w:pPr>
            <w:r>
              <w:t>上年结转结余</w:t>
            </w:r>
          </w:p>
        </w:tc>
        <w:tc>
          <w:tcPr>
            <w:tcW w:w="964" w:type="dxa"/>
            <w:vMerge w:val="continue"/>
          </w:tcPr>
          <w:p w14:paraId="6DFB2F8F"/>
        </w:tc>
      </w:tr>
      <w:tr w14:paraId="0A759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576962">
            <w:pPr>
              <w:pStyle w:val="13"/>
            </w:pPr>
          </w:p>
        </w:tc>
        <w:tc>
          <w:tcPr>
            <w:tcW w:w="964" w:type="dxa"/>
            <w:vAlign w:val="center"/>
          </w:tcPr>
          <w:p w14:paraId="06D2F745">
            <w:pPr>
              <w:pStyle w:val="14"/>
            </w:pPr>
          </w:p>
        </w:tc>
        <w:tc>
          <w:tcPr>
            <w:tcW w:w="1134" w:type="dxa"/>
            <w:vAlign w:val="center"/>
          </w:tcPr>
          <w:p w14:paraId="6A799C46">
            <w:pPr>
              <w:pStyle w:val="13"/>
            </w:pPr>
          </w:p>
        </w:tc>
        <w:tc>
          <w:tcPr>
            <w:tcW w:w="1134" w:type="dxa"/>
            <w:vAlign w:val="center"/>
          </w:tcPr>
          <w:p w14:paraId="38593F21">
            <w:pPr>
              <w:pStyle w:val="13"/>
            </w:pPr>
          </w:p>
        </w:tc>
        <w:tc>
          <w:tcPr>
            <w:tcW w:w="709" w:type="dxa"/>
            <w:vAlign w:val="center"/>
          </w:tcPr>
          <w:p w14:paraId="08EAFA87">
            <w:pPr>
              <w:pStyle w:val="12"/>
            </w:pPr>
          </w:p>
        </w:tc>
        <w:tc>
          <w:tcPr>
            <w:tcW w:w="850" w:type="dxa"/>
            <w:vAlign w:val="center"/>
          </w:tcPr>
          <w:p w14:paraId="0C677A9F">
            <w:pPr>
              <w:pStyle w:val="14"/>
            </w:pPr>
          </w:p>
        </w:tc>
        <w:tc>
          <w:tcPr>
            <w:tcW w:w="850" w:type="dxa"/>
            <w:vAlign w:val="center"/>
          </w:tcPr>
          <w:p w14:paraId="568E9DCF">
            <w:pPr>
              <w:pStyle w:val="14"/>
            </w:pPr>
          </w:p>
        </w:tc>
        <w:tc>
          <w:tcPr>
            <w:tcW w:w="964" w:type="dxa"/>
            <w:vAlign w:val="center"/>
          </w:tcPr>
          <w:p w14:paraId="1E3DB197">
            <w:pPr>
              <w:pStyle w:val="14"/>
            </w:pPr>
          </w:p>
        </w:tc>
        <w:tc>
          <w:tcPr>
            <w:tcW w:w="964" w:type="dxa"/>
            <w:vAlign w:val="center"/>
          </w:tcPr>
          <w:p w14:paraId="13208FD0">
            <w:pPr>
              <w:pStyle w:val="14"/>
            </w:pPr>
          </w:p>
        </w:tc>
        <w:tc>
          <w:tcPr>
            <w:tcW w:w="964" w:type="dxa"/>
            <w:vAlign w:val="center"/>
          </w:tcPr>
          <w:p w14:paraId="449FEE5E">
            <w:pPr>
              <w:pStyle w:val="14"/>
            </w:pPr>
          </w:p>
        </w:tc>
        <w:tc>
          <w:tcPr>
            <w:tcW w:w="964" w:type="dxa"/>
            <w:vAlign w:val="center"/>
          </w:tcPr>
          <w:p w14:paraId="36247BB9">
            <w:pPr>
              <w:pStyle w:val="14"/>
            </w:pPr>
          </w:p>
        </w:tc>
        <w:tc>
          <w:tcPr>
            <w:tcW w:w="964" w:type="dxa"/>
            <w:vAlign w:val="center"/>
          </w:tcPr>
          <w:p w14:paraId="045C1C1E">
            <w:pPr>
              <w:pStyle w:val="14"/>
            </w:pPr>
          </w:p>
        </w:tc>
        <w:tc>
          <w:tcPr>
            <w:tcW w:w="964" w:type="dxa"/>
            <w:vAlign w:val="center"/>
          </w:tcPr>
          <w:p w14:paraId="4EA86BE9">
            <w:pPr>
              <w:pStyle w:val="14"/>
            </w:pPr>
          </w:p>
        </w:tc>
        <w:tc>
          <w:tcPr>
            <w:tcW w:w="964" w:type="dxa"/>
            <w:vAlign w:val="center"/>
          </w:tcPr>
          <w:p w14:paraId="134D1C6F">
            <w:pPr>
              <w:pStyle w:val="14"/>
            </w:pPr>
          </w:p>
        </w:tc>
        <w:tc>
          <w:tcPr>
            <w:tcW w:w="964" w:type="dxa"/>
            <w:vAlign w:val="center"/>
          </w:tcPr>
          <w:p w14:paraId="0705D823">
            <w:pPr>
              <w:pStyle w:val="14"/>
            </w:pPr>
          </w:p>
        </w:tc>
      </w:tr>
    </w:tbl>
    <w:p w14:paraId="30855D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AE7A9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8A647A">
      <w:pPr>
        <w:spacing w:before="0" w:after="0"/>
        <w:ind w:firstLine="640"/>
        <w:jc w:val="left"/>
        <w:outlineLvl w:val="9"/>
      </w:pPr>
      <w:r>
        <w:rPr>
          <w:rFonts w:ascii="Times New Roman" w:hAnsi="Times New Roman" w:eastAsia="方正仿宋_GBK" w:cs="Times New Roman"/>
          <w:color w:val="000000"/>
          <w:sz w:val="32"/>
        </w:rPr>
        <w:t xml:space="preserve"> </w:t>
      </w:r>
    </w:p>
    <w:p w14:paraId="754E5884">
      <w:pPr>
        <w:spacing w:before="10" w:after="10" w:line="240" w:lineRule="auto"/>
        <w:ind w:firstLine="640"/>
        <w:jc w:val="left"/>
        <w:outlineLvl w:val="5"/>
      </w:pPr>
      <w:r>
        <w:rPr>
          <w:rFonts w:ascii="黑体" w:hAnsi="黑体" w:eastAsia="黑体" w:cs="黑体"/>
          <w:color w:val="000000"/>
          <w:sz w:val="32"/>
        </w:rPr>
        <w:t>七、国有资产信息</w:t>
      </w:r>
    </w:p>
    <w:p w14:paraId="6C789391">
      <w:pPr>
        <w:spacing w:before="0" w:after="0" w:line="500" w:lineRule="exact"/>
        <w:ind w:firstLine="560"/>
        <w:jc w:val="left"/>
        <w:outlineLvl w:val="9"/>
      </w:pPr>
      <w:r>
        <w:rPr>
          <w:rFonts w:ascii="Times New Roman" w:hAnsi="Times New Roman" w:eastAsia="方正仿宋_GBK" w:cs="Times New Roman"/>
          <w:b w:val="0"/>
          <w:color w:val="000000"/>
          <w:sz w:val="28"/>
        </w:rPr>
        <w:t>隆尧县职业技术教育中心上年末固定资产金额为7423.47万元（详见下表）。本年度拟购置固定资产总额为133.10万元，已按要求列入政府采购预算，详见政府采购预算表。</w:t>
      </w:r>
    </w:p>
    <w:p w14:paraId="07522E9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2195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E0FF8BE">
            <w:pPr>
              <w:pStyle w:val="8"/>
            </w:pPr>
            <w:r>
              <w:t>360015隆尧县职业技术教育中心</w:t>
            </w:r>
          </w:p>
        </w:tc>
        <w:tc>
          <w:tcPr>
            <w:tcW w:w="5670" w:type="dxa"/>
            <w:gridSpan w:val="2"/>
            <w:tcBorders>
              <w:top w:val="single" w:color="FFFFFF" w:sz="6" w:space="0"/>
              <w:left w:val="single" w:color="FFFFFF" w:sz="6" w:space="0"/>
              <w:right w:val="single" w:color="FFFFFF" w:sz="6" w:space="0"/>
            </w:tcBorders>
            <w:vAlign w:val="center"/>
          </w:tcPr>
          <w:p w14:paraId="1F419A5D">
            <w:pPr>
              <w:pStyle w:val="10"/>
            </w:pPr>
            <w:r>
              <w:t>截止时间：2024-12-31</w:t>
            </w:r>
          </w:p>
        </w:tc>
      </w:tr>
      <w:tr w14:paraId="29ACC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45AE0CB">
            <w:pPr>
              <w:pStyle w:val="11"/>
            </w:pPr>
            <w:r>
              <w:t>项   目</w:t>
            </w:r>
          </w:p>
        </w:tc>
        <w:tc>
          <w:tcPr>
            <w:tcW w:w="2835" w:type="dxa"/>
            <w:vAlign w:val="center"/>
          </w:tcPr>
          <w:p w14:paraId="0933F378">
            <w:pPr>
              <w:pStyle w:val="11"/>
            </w:pPr>
            <w:r>
              <w:t>数量</w:t>
            </w:r>
          </w:p>
        </w:tc>
        <w:tc>
          <w:tcPr>
            <w:tcW w:w="2835" w:type="dxa"/>
            <w:vAlign w:val="center"/>
          </w:tcPr>
          <w:p w14:paraId="0CF81E70">
            <w:pPr>
              <w:pStyle w:val="11"/>
            </w:pPr>
            <w:r>
              <w:t>价值（金额单位：万元）</w:t>
            </w:r>
          </w:p>
        </w:tc>
      </w:tr>
      <w:tr w14:paraId="1C90F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216732">
            <w:pPr>
              <w:pStyle w:val="13"/>
            </w:pPr>
            <w:r>
              <w:t>资产总额</w:t>
            </w:r>
          </w:p>
        </w:tc>
        <w:tc>
          <w:tcPr>
            <w:tcW w:w="2835" w:type="dxa"/>
            <w:vAlign w:val="center"/>
          </w:tcPr>
          <w:p w14:paraId="43736600">
            <w:pPr>
              <w:pStyle w:val="12"/>
            </w:pPr>
          </w:p>
        </w:tc>
        <w:tc>
          <w:tcPr>
            <w:tcW w:w="2835" w:type="dxa"/>
            <w:vAlign w:val="center"/>
          </w:tcPr>
          <w:p w14:paraId="772C1F40">
            <w:pPr>
              <w:pStyle w:val="14"/>
            </w:pPr>
            <w:r>
              <w:t>7423.47</w:t>
            </w:r>
          </w:p>
        </w:tc>
      </w:tr>
      <w:tr w14:paraId="5FCB9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B35E61">
            <w:pPr>
              <w:pStyle w:val="13"/>
            </w:pPr>
            <w:r>
              <w:t>1、房屋（平方米）</w:t>
            </w:r>
          </w:p>
        </w:tc>
        <w:tc>
          <w:tcPr>
            <w:tcW w:w="2835" w:type="dxa"/>
            <w:vAlign w:val="center"/>
          </w:tcPr>
          <w:p w14:paraId="58B0D9E8">
            <w:pPr>
              <w:pStyle w:val="12"/>
            </w:pPr>
            <w:r>
              <w:t>41930.84</w:t>
            </w:r>
          </w:p>
        </w:tc>
        <w:tc>
          <w:tcPr>
            <w:tcW w:w="2835" w:type="dxa"/>
            <w:vAlign w:val="center"/>
          </w:tcPr>
          <w:p w14:paraId="0E043138">
            <w:pPr>
              <w:pStyle w:val="14"/>
            </w:pPr>
            <w:r>
              <w:t>4421.97</w:t>
            </w:r>
          </w:p>
        </w:tc>
      </w:tr>
      <w:tr w14:paraId="6C355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163AEF">
            <w:pPr>
              <w:pStyle w:val="13"/>
            </w:pPr>
            <w:r>
              <w:t>　　其中：办公用房（平方米）</w:t>
            </w:r>
          </w:p>
        </w:tc>
        <w:tc>
          <w:tcPr>
            <w:tcW w:w="2835" w:type="dxa"/>
            <w:vAlign w:val="center"/>
          </w:tcPr>
          <w:p w14:paraId="508B4AF7">
            <w:pPr>
              <w:pStyle w:val="12"/>
            </w:pPr>
            <w:r>
              <w:t>2259.06</w:t>
            </w:r>
          </w:p>
        </w:tc>
        <w:tc>
          <w:tcPr>
            <w:tcW w:w="2835" w:type="dxa"/>
            <w:vAlign w:val="center"/>
          </w:tcPr>
          <w:p w14:paraId="63EC19EB">
            <w:pPr>
              <w:pStyle w:val="14"/>
            </w:pPr>
            <w:r>
              <w:t>352.02</w:t>
            </w:r>
          </w:p>
        </w:tc>
      </w:tr>
      <w:tr w14:paraId="59F8F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42FDD7">
            <w:pPr>
              <w:pStyle w:val="13"/>
            </w:pPr>
            <w:r>
              <w:t>2、车辆（台、辆）</w:t>
            </w:r>
          </w:p>
        </w:tc>
        <w:tc>
          <w:tcPr>
            <w:tcW w:w="2835" w:type="dxa"/>
            <w:vAlign w:val="center"/>
          </w:tcPr>
          <w:p w14:paraId="65F7BE94">
            <w:pPr>
              <w:pStyle w:val="12"/>
            </w:pPr>
          </w:p>
        </w:tc>
        <w:tc>
          <w:tcPr>
            <w:tcW w:w="2835" w:type="dxa"/>
            <w:vAlign w:val="center"/>
          </w:tcPr>
          <w:p w14:paraId="72AD2E73">
            <w:pPr>
              <w:pStyle w:val="14"/>
            </w:pPr>
          </w:p>
        </w:tc>
      </w:tr>
      <w:tr w14:paraId="4430D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CC9F4E">
            <w:pPr>
              <w:pStyle w:val="13"/>
            </w:pPr>
            <w:r>
              <w:t>3、单价在20万元以上的设备</w:t>
            </w:r>
          </w:p>
        </w:tc>
        <w:tc>
          <w:tcPr>
            <w:tcW w:w="2835" w:type="dxa"/>
            <w:vAlign w:val="center"/>
          </w:tcPr>
          <w:p w14:paraId="4B4F758B">
            <w:pPr>
              <w:pStyle w:val="12"/>
            </w:pPr>
            <w:r>
              <w:t>26</w:t>
            </w:r>
          </w:p>
        </w:tc>
        <w:tc>
          <w:tcPr>
            <w:tcW w:w="2835" w:type="dxa"/>
            <w:vAlign w:val="center"/>
          </w:tcPr>
          <w:p w14:paraId="572D1A2F">
            <w:pPr>
              <w:pStyle w:val="14"/>
            </w:pPr>
            <w:r>
              <w:t>1328.90</w:t>
            </w:r>
          </w:p>
        </w:tc>
      </w:tr>
      <w:tr w14:paraId="4796B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17692D">
            <w:pPr>
              <w:pStyle w:val="13"/>
            </w:pPr>
            <w:r>
              <w:t>4、其他固定资产</w:t>
            </w:r>
          </w:p>
        </w:tc>
        <w:tc>
          <w:tcPr>
            <w:tcW w:w="2835" w:type="dxa"/>
            <w:vAlign w:val="center"/>
          </w:tcPr>
          <w:p w14:paraId="7BDF520C">
            <w:pPr>
              <w:pStyle w:val="12"/>
            </w:pPr>
            <w:r>
              <w:t>12622</w:t>
            </w:r>
          </w:p>
        </w:tc>
        <w:tc>
          <w:tcPr>
            <w:tcW w:w="2835" w:type="dxa"/>
            <w:vAlign w:val="center"/>
          </w:tcPr>
          <w:p w14:paraId="544AB9AF">
            <w:pPr>
              <w:pStyle w:val="14"/>
            </w:pPr>
            <w:r>
              <w:t>1672.60</w:t>
            </w:r>
          </w:p>
        </w:tc>
      </w:tr>
    </w:tbl>
    <w:p w14:paraId="36C44A3F">
      <w:pPr>
        <w:spacing w:before="0" w:after="0"/>
        <w:ind w:firstLine="640"/>
        <w:jc w:val="left"/>
        <w:outlineLvl w:val="9"/>
      </w:pPr>
      <w:r>
        <w:rPr>
          <w:rFonts w:ascii="Times New Roman" w:hAnsi="Times New Roman" w:eastAsia="方正仿宋_GBK" w:cs="Times New Roman"/>
          <w:color w:val="000000"/>
          <w:sz w:val="32"/>
        </w:rPr>
        <w:t xml:space="preserve"> </w:t>
      </w:r>
    </w:p>
    <w:p w14:paraId="42AC270E">
      <w:pPr>
        <w:spacing w:before="10" w:after="10" w:line="240" w:lineRule="auto"/>
        <w:ind w:firstLine="640"/>
        <w:jc w:val="left"/>
        <w:outlineLvl w:val="5"/>
      </w:pPr>
      <w:r>
        <w:rPr>
          <w:rFonts w:ascii="黑体" w:hAnsi="黑体" w:eastAsia="黑体" w:cs="黑体"/>
          <w:color w:val="000000"/>
          <w:sz w:val="32"/>
        </w:rPr>
        <w:t>八、名词解释</w:t>
      </w:r>
    </w:p>
    <w:p w14:paraId="3483837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A8036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C418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B6994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25965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7B0A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FC6AD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0F274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1559E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366AA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265181">
      <w:pPr>
        <w:spacing w:before="10" w:after="10" w:line="240" w:lineRule="auto"/>
        <w:ind w:firstLine="640"/>
        <w:jc w:val="left"/>
        <w:outlineLvl w:val="5"/>
      </w:pPr>
      <w:r>
        <w:rPr>
          <w:rFonts w:ascii="黑体" w:hAnsi="黑体" w:eastAsia="黑体" w:cs="黑体"/>
          <w:color w:val="000000"/>
          <w:sz w:val="32"/>
        </w:rPr>
        <w:t>九、其他需要说明的事项</w:t>
      </w:r>
    </w:p>
    <w:p w14:paraId="484BE0B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9AC18F3">
      <w:pPr>
        <w:spacing w:before="0" w:after="0"/>
        <w:ind w:firstLine="0"/>
        <w:jc w:val="center"/>
        <w:outlineLvl w:val="3"/>
      </w:pPr>
      <w:bookmarkStart w:id="15" w:name="_Toc_4_4_0000000035"/>
      <w:r>
        <w:rPr>
          <w:rFonts w:ascii="方正小标宋_GBK" w:hAnsi="方正小标宋_GBK" w:eastAsia="方正小标宋_GBK" w:cs="方正小标宋_GBK"/>
          <w:b w:val="0"/>
          <w:color w:val="000000"/>
          <w:sz w:val="44"/>
        </w:rPr>
        <w:t>十五、隆尧县城关校区收支预算</w:t>
      </w:r>
      <w:bookmarkEnd w:id="15"/>
    </w:p>
    <w:p w14:paraId="52816B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2262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2CC6DB">
            <w:pPr>
              <w:pStyle w:val="8"/>
            </w:pPr>
            <w:r>
              <w:t>360016隆尧县城关校区</w:t>
            </w:r>
          </w:p>
        </w:tc>
        <w:tc>
          <w:tcPr>
            <w:tcW w:w="2126" w:type="dxa"/>
            <w:tcBorders>
              <w:top w:val="single" w:color="FFFFFF" w:sz="6" w:space="0"/>
              <w:left w:val="single" w:color="FFFFFF" w:sz="6" w:space="0"/>
              <w:right w:val="single" w:color="FFFFFF" w:sz="6" w:space="0"/>
            </w:tcBorders>
            <w:vAlign w:val="center"/>
          </w:tcPr>
          <w:p w14:paraId="62A0916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70C77E7">
            <w:pPr>
              <w:pStyle w:val="10"/>
            </w:pPr>
            <w:r>
              <w:t>单位：万元</w:t>
            </w:r>
          </w:p>
        </w:tc>
      </w:tr>
      <w:tr w14:paraId="427E4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00C8E">
            <w:pPr>
              <w:pStyle w:val="11"/>
            </w:pPr>
            <w:r>
              <w:t>序号</w:t>
            </w:r>
          </w:p>
        </w:tc>
        <w:tc>
          <w:tcPr>
            <w:tcW w:w="6661" w:type="dxa"/>
            <w:gridSpan w:val="2"/>
            <w:vAlign w:val="center"/>
          </w:tcPr>
          <w:p w14:paraId="43F913F2">
            <w:pPr>
              <w:pStyle w:val="11"/>
            </w:pPr>
            <w:r>
              <w:t>收入</w:t>
            </w:r>
          </w:p>
        </w:tc>
        <w:tc>
          <w:tcPr>
            <w:tcW w:w="6661" w:type="dxa"/>
            <w:gridSpan w:val="2"/>
            <w:vAlign w:val="center"/>
          </w:tcPr>
          <w:p w14:paraId="5398D43C">
            <w:pPr>
              <w:pStyle w:val="11"/>
            </w:pPr>
            <w:r>
              <w:t>支出</w:t>
            </w:r>
          </w:p>
        </w:tc>
      </w:tr>
      <w:tr w14:paraId="2770A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A2072A"/>
        </w:tc>
        <w:tc>
          <w:tcPr>
            <w:tcW w:w="4535" w:type="dxa"/>
            <w:vAlign w:val="center"/>
          </w:tcPr>
          <w:p w14:paraId="45B7C353">
            <w:pPr>
              <w:pStyle w:val="11"/>
            </w:pPr>
            <w:r>
              <w:t>项  目</w:t>
            </w:r>
          </w:p>
        </w:tc>
        <w:tc>
          <w:tcPr>
            <w:tcW w:w="2126" w:type="dxa"/>
            <w:vAlign w:val="center"/>
          </w:tcPr>
          <w:p w14:paraId="4B192BC6">
            <w:pPr>
              <w:pStyle w:val="11"/>
            </w:pPr>
            <w:r>
              <w:t>预算数</w:t>
            </w:r>
          </w:p>
        </w:tc>
        <w:tc>
          <w:tcPr>
            <w:tcW w:w="4535" w:type="dxa"/>
            <w:vAlign w:val="center"/>
          </w:tcPr>
          <w:p w14:paraId="5EA8EC89">
            <w:pPr>
              <w:pStyle w:val="11"/>
            </w:pPr>
            <w:r>
              <w:t>项  目</w:t>
            </w:r>
          </w:p>
        </w:tc>
        <w:tc>
          <w:tcPr>
            <w:tcW w:w="2126" w:type="dxa"/>
            <w:vAlign w:val="center"/>
          </w:tcPr>
          <w:p w14:paraId="0D7FD52B">
            <w:pPr>
              <w:pStyle w:val="11"/>
            </w:pPr>
            <w:r>
              <w:t>预算数</w:t>
            </w:r>
          </w:p>
        </w:tc>
      </w:tr>
      <w:tr w14:paraId="60F87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5E74E6">
            <w:pPr>
              <w:pStyle w:val="11"/>
            </w:pPr>
            <w:r>
              <w:t>栏次</w:t>
            </w:r>
          </w:p>
        </w:tc>
        <w:tc>
          <w:tcPr>
            <w:tcW w:w="4535" w:type="dxa"/>
            <w:vAlign w:val="center"/>
          </w:tcPr>
          <w:p w14:paraId="43252CA3">
            <w:pPr>
              <w:pStyle w:val="11"/>
            </w:pPr>
            <w:r>
              <w:t>1</w:t>
            </w:r>
          </w:p>
        </w:tc>
        <w:tc>
          <w:tcPr>
            <w:tcW w:w="2126" w:type="dxa"/>
            <w:vAlign w:val="center"/>
          </w:tcPr>
          <w:p w14:paraId="7F315405">
            <w:pPr>
              <w:pStyle w:val="11"/>
            </w:pPr>
            <w:r>
              <w:t>2</w:t>
            </w:r>
          </w:p>
        </w:tc>
        <w:tc>
          <w:tcPr>
            <w:tcW w:w="4535" w:type="dxa"/>
            <w:vAlign w:val="center"/>
          </w:tcPr>
          <w:p w14:paraId="2575EE26">
            <w:pPr>
              <w:pStyle w:val="11"/>
            </w:pPr>
            <w:r>
              <w:t>3</w:t>
            </w:r>
          </w:p>
        </w:tc>
        <w:tc>
          <w:tcPr>
            <w:tcW w:w="2126" w:type="dxa"/>
            <w:vAlign w:val="center"/>
          </w:tcPr>
          <w:p w14:paraId="20591C63">
            <w:pPr>
              <w:pStyle w:val="11"/>
            </w:pPr>
            <w:r>
              <w:t>4</w:t>
            </w:r>
          </w:p>
        </w:tc>
      </w:tr>
      <w:tr w14:paraId="7A291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65EF858">
            <w:pPr>
              <w:pStyle w:val="12"/>
            </w:pPr>
            <w:r>
              <w:t>1</w:t>
            </w:r>
          </w:p>
        </w:tc>
        <w:tc>
          <w:tcPr>
            <w:tcW w:w="4535" w:type="dxa"/>
            <w:vAlign w:val="center"/>
          </w:tcPr>
          <w:p w14:paraId="72EE9550">
            <w:pPr>
              <w:pStyle w:val="13"/>
            </w:pPr>
            <w:r>
              <w:t>一、一般公共预算拨款收入</w:t>
            </w:r>
          </w:p>
        </w:tc>
        <w:tc>
          <w:tcPr>
            <w:tcW w:w="2126" w:type="dxa"/>
            <w:vAlign w:val="center"/>
          </w:tcPr>
          <w:p w14:paraId="32502877">
            <w:pPr>
              <w:pStyle w:val="14"/>
            </w:pPr>
            <w:r>
              <w:t>6087.61</w:t>
            </w:r>
          </w:p>
        </w:tc>
        <w:tc>
          <w:tcPr>
            <w:tcW w:w="4535" w:type="dxa"/>
            <w:vAlign w:val="center"/>
          </w:tcPr>
          <w:p w14:paraId="61BBBA19">
            <w:pPr>
              <w:pStyle w:val="13"/>
            </w:pPr>
            <w:r>
              <w:t>一、一般公共服务支出</w:t>
            </w:r>
          </w:p>
        </w:tc>
        <w:tc>
          <w:tcPr>
            <w:tcW w:w="2126" w:type="dxa"/>
            <w:vAlign w:val="center"/>
          </w:tcPr>
          <w:p w14:paraId="16D53CB5">
            <w:pPr>
              <w:pStyle w:val="14"/>
            </w:pPr>
          </w:p>
        </w:tc>
      </w:tr>
      <w:tr w14:paraId="4FD25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A3AE6">
            <w:pPr>
              <w:pStyle w:val="12"/>
            </w:pPr>
            <w:r>
              <w:t>2</w:t>
            </w:r>
          </w:p>
        </w:tc>
        <w:tc>
          <w:tcPr>
            <w:tcW w:w="4535" w:type="dxa"/>
            <w:vAlign w:val="center"/>
          </w:tcPr>
          <w:p w14:paraId="3435F7CC">
            <w:pPr>
              <w:pStyle w:val="13"/>
            </w:pPr>
            <w:r>
              <w:t>二、政府性基金预算拨款收入</w:t>
            </w:r>
          </w:p>
        </w:tc>
        <w:tc>
          <w:tcPr>
            <w:tcW w:w="2126" w:type="dxa"/>
            <w:vAlign w:val="center"/>
          </w:tcPr>
          <w:p w14:paraId="36AD1011">
            <w:pPr>
              <w:pStyle w:val="14"/>
            </w:pPr>
          </w:p>
        </w:tc>
        <w:tc>
          <w:tcPr>
            <w:tcW w:w="4535" w:type="dxa"/>
            <w:vAlign w:val="center"/>
          </w:tcPr>
          <w:p w14:paraId="09DC1CD6">
            <w:pPr>
              <w:pStyle w:val="13"/>
            </w:pPr>
            <w:r>
              <w:t>二、外交支出</w:t>
            </w:r>
          </w:p>
        </w:tc>
        <w:tc>
          <w:tcPr>
            <w:tcW w:w="2126" w:type="dxa"/>
            <w:vAlign w:val="center"/>
          </w:tcPr>
          <w:p w14:paraId="405DBCC8">
            <w:pPr>
              <w:pStyle w:val="14"/>
            </w:pPr>
          </w:p>
        </w:tc>
      </w:tr>
      <w:tr w14:paraId="14593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08DCC">
            <w:pPr>
              <w:pStyle w:val="12"/>
            </w:pPr>
            <w:r>
              <w:t>3</w:t>
            </w:r>
          </w:p>
        </w:tc>
        <w:tc>
          <w:tcPr>
            <w:tcW w:w="4535" w:type="dxa"/>
            <w:vAlign w:val="center"/>
          </w:tcPr>
          <w:p w14:paraId="0D848DD6">
            <w:pPr>
              <w:pStyle w:val="13"/>
            </w:pPr>
            <w:r>
              <w:t>三、国有资本经营预算拨款收入</w:t>
            </w:r>
          </w:p>
        </w:tc>
        <w:tc>
          <w:tcPr>
            <w:tcW w:w="2126" w:type="dxa"/>
            <w:vAlign w:val="center"/>
          </w:tcPr>
          <w:p w14:paraId="589076BD">
            <w:pPr>
              <w:pStyle w:val="14"/>
            </w:pPr>
          </w:p>
        </w:tc>
        <w:tc>
          <w:tcPr>
            <w:tcW w:w="4535" w:type="dxa"/>
            <w:vAlign w:val="center"/>
          </w:tcPr>
          <w:p w14:paraId="27D7B6DB">
            <w:pPr>
              <w:pStyle w:val="13"/>
            </w:pPr>
            <w:r>
              <w:t>三、国防支出</w:t>
            </w:r>
          </w:p>
        </w:tc>
        <w:tc>
          <w:tcPr>
            <w:tcW w:w="2126" w:type="dxa"/>
            <w:vAlign w:val="center"/>
          </w:tcPr>
          <w:p w14:paraId="0F727488">
            <w:pPr>
              <w:pStyle w:val="14"/>
            </w:pPr>
          </w:p>
        </w:tc>
      </w:tr>
      <w:tr w14:paraId="2FD43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37CF1">
            <w:pPr>
              <w:pStyle w:val="12"/>
            </w:pPr>
            <w:r>
              <w:t>4</w:t>
            </w:r>
          </w:p>
        </w:tc>
        <w:tc>
          <w:tcPr>
            <w:tcW w:w="4535" w:type="dxa"/>
            <w:vAlign w:val="center"/>
          </w:tcPr>
          <w:p w14:paraId="234514F5">
            <w:pPr>
              <w:pStyle w:val="13"/>
            </w:pPr>
            <w:r>
              <w:t>四、财政专户管理资金收入</w:t>
            </w:r>
          </w:p>
        </w:tc>
        <w:tc>
          <w:tcPr>
            <w:tcW w:w="2126" w:type="dxa"/>
            <w:vAlign w:val="center"/>
          </w:tcPr>
          <w:p w14:paraId="0746AB7A">
            <w:pPr>
              <w:pStyle w:val="14"/>
            </w:pPr>
          </w:p>
        </w:tc>
        <w:tc>
          <w:tcPr>
            <w:tcW w:w="4535" w:type="dxa"/>
            <w:vAlign w:val="center"/>
          </w:tcPr>
          <w:p w14:paraId="18CB1616">
            <w:pPr>
              <w:pStyle w:val="13"/>
            </w:pPr>
            <w:r>
              <w:t>四、公共安全支出</w:t>
            </w:r>
          </w:p>
        </w:tc>
        <w:tc>
          <w:tcPr>
            <w:tcW w:w="2126" w:type="dxa"/>
            <w:vAlign w:val="center"/>
          </w:tcPr>
          <w:p w14:paraId="392E9188">
            <w:pPr>
              <w:pStyle w:val="14"/>
            </w:pPr>
          </w:p>
        </w:tc>
      </w:tr>
      <w:tr w14:paraId="3963E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4AC7D">
            <w:pPr>
              <w:pStyle w:val="12"/>
            </w:pPr>
            <w:r>
              <w:t>5</w:t>
            </w:r>
          </w:p>
        </w:tc>
        <w:tc>
          <w:tcPr>
            <w:tcW w:w="4535" w:type="dxa"/>
            <w:vAlign w:val="center"/>
          </w:tcPr>
          <w:p w14:paraId="5F3ED1D7">
            <w:pPr>
              <w:pStyle w:val="13"/>
            </w:pPr>
            <w:r>
              <w:t>五、单位资金</w:t>
            </w:r>
          </w:p>
        </w:tc>
        <w:tc>
          <w:tcPr>
            <w:tcW w:w="2126" w:type="dxa"/>
            <w:vAlign w:val="center"/>
          </w:tcPr>
          <w:p w14:paraId="76CD5378">
            <w:pPr>
              <w:pStyle w:val="14"/>
            </w:pPr>
          </w:p>
        </w:tc>
        <w:tc>
          <w:tcPr>
            <w:tcW w:w="4535" w:type="dxa"/>
            <w:vAlign w:val="center"/>
          </w:tcPr>
          <w:p w14:paraId="639AA22C">
            <w:pPr>
              <w:pStyle w:val="13"/>
            </w:pPr>
            <w:r>
              <w:t>五、教育支出</w:t>
            </w:r>
          </w:p>
        </w:tc>
        <w:tc>
          <w:tcPr>
            <w:tcW w:w="2126" w:type="dxa"/>
            <w:vAlign w:val="center"/>
          </w:tcPr>
          <w:p w14:paraId="62CFD7D1">
            <w:pPr>
              <w:pStyle w:val="14"/>
            </w:pPr>
            <w:r>
              <w:t>6087.61</w:t>
            </w:r>
          </w:p>
        </w:tc>
      </w:tr>
      <w:tr w14:paraId="65A4D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A7A09">
            <w:pPr>
              <w:pStyle w:val="12"/>
            </w:pPr>
            <w:r>
              <w:t>6</w:t>
            </w:r>
          </w:p>
        </w:tc>
        <w:tc>
          <w:tcPr>
            <w:tcW w:w="4535" w:type="dxa"/>
            <w:vAlign w:val="center"/>
          </w:tcPr>
          <w:p w14:paraId="5655C14D">
            <w:pPr>
              <w:pStyle w:val="13"/>
            </w:pPr>
          </w:p>
        </w:tc>
        <w:tc>
          <w:tcPr>
            <w:tcW w:w="2126" w:type="dxa"/>
            <w:vAlign w:val="center"/>
          </w:tcPr>
          <w:p w14:paraId="0D0C140A">
            <w:pPr>
              <w:pStyle w:val="14"/>
            </w:pPr>
          </w:p>
        </w:tc>
        <w:tc>
          <w:tcPr>
            <w:tcW w:w="4535" w:type="dxa"/>
            <w:vAlign w:val="center"/>
          </w:tcPr>
          <w:p w14:paraId="321F000E">
            <w:pPr>
              <w:pStyle w:val="13"/>
            </w:pPr>
            <w:r>
              <w:t>六、科学技术支出</w:t>
            </w:r>
          </w:p>
        </w:tc>
        <w:tc>
          <w:tcPr>
            <w:tcW w:w="2126" w:type="dxa"/>
            <w:vAlign w:val="center"/>
          </w:tcPr>
          <w:p w14:paraId="1674D817">
            <w:pPr>
              <w:pStyle w:val="14"/>
            </w:pPr>
          </w:p>
        </w:tc>
      </w:tr>
      <w:tr w14:paraId="15E4B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3F7D1B7">
            <w:pPr>
              <w:pStyle w:val="12"/>
            </w:pPr>
            <w:r>
              <w:t>7</w:t>
            </w:r>
          </w:p>
        </w:tc>
        <w:tc>
          <w:tcPr>
            <w:tcW w:w="4535" w:type="dxa"/>
            <w:vAlign w:val="center"/>
          </w:tcPr>
          <w:p w14:paraId="73517B14">
            <w:pPr>
              <w:pStyle w:val="13"/>
            </w:pPr>
          </w:p>
        </w:tc>
        <w:tc>
          <w:tcPr>
            <w:tcW w:w="2126" w:type="dxa"/>
            <w:vAlign w:val="center"/>
          </w:tcPr>
          <w:p w14:paraId="5EE9F57C">
            <w:pPr>
              <w:pStyle w:val="14"/>
            </w:pPr>
          </w:p>
        </w:tc>
        <w:tc>
          <w:tcPr>
            <w:tcW w:w="4535" w:type="dxa"/>
            <w:vAlign w:val="center"/>
          </w:tcPr>
          <w:p w14:paraId="73A64399">
            <w:pPr>
              <w:pStyle w:val="13"/>
            </w:pPr>
            <w:r>
              <w:t>七、文化旅游体育与传媒支出</w:t>
            </w:r>
          </w:p>
        </w:tc>
        <w:tc>
          <w:tcPr>
            <w:tcW w:w="2126" w:type="dxa"/>
            <w:vAlign w:val="center"/>
          </w:tcPr>
          <w:p w14:paraId="60B25C85">
            <w:pPr>
              <w:pStyle w:val="14"/>
            </w:pPr>
          </w:p>
        </w:tc>
      </w:tr>
      <w:tr w14:paraId="54977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4DDAA">
            <w:pPr>
              <w:pStyle w:val="12"/>
            </w:pPr>
            <w:r>
              <w:t>8</w:t>
            </w:r>
          </w:p>
        </w:tc>
        <w:tc>
          <w:tcPr>
            <w:tcW w:w="4535" w:type="dxa"/>
            <w:vAlign w:val="center"/>
          </w:tcPr>
          <w:p w14:paraId="5B76CC7F">
            <w:pPr>
              <w:pStyle w:val="13"/>
            </w:pPr>
          </w:p>
        </w:tc>
        <w:tc>
          <w:tcPr>
            <w:tcW w:w="2126" w:type="dxa"/>
            <w:vAlign w:val="center"/>
          </w:tcPr>
          <w:p w14:paraId="158F88EF">
            <w:pPr>
              <w:pStyle w:val="14"/>
            </w:pPr>
          </w:p>
        </w:tc>
        <w:tc>
          <w:tcPr>
            <w:tcW w:w="4535" w:type="dxa"/>
            <w:vAlign w:val="center"/>
          </w:tcPr>
          <w:p w14:paraId="7E8DAC9F">
            <w:pPr>
              <w:pStyle w:val="13"/>
            </w:pPr>
            <w:r>
              <w:t>八、社会保障和就业支出</w:t>
            </w:r>
          </w:p>
        </w:tc>
        <w:tc>
          <w:tcPr>
            <w:tcW w:w="2126" w:type="dxa"/>
            <w:vAlign w:val="center"/>
          </w:tcPr>
          <w:p w14:paraId="02CBCC06">
            <w:pPr>
              <w:pStyle w:val="14"/>
            </w:pPr>
          </w:p>
        </w:tc>
      </w:tr>
      <w:tr w14:paraId="2C637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28973">
            <w:pPr>
              <w:pStyle w:val="12"/>
            </w:pPr>
            <w:r>
              <w:t>9</w:t>
            </w:r>
          </w:p>
        </w:tc>
        <w:tc>
          <w:tcPr>
            <w:tcW w:w="4535" w:type="dxa"/>
            <w:vAlign w:val="center"/>
          </w:tcPr>
          <w:p w14:paraId="706374CC">
            <w:pPr>
              <w:pStyle w:val="13"/>
            </w:pPr>
          </w:p>
        </w:tc>
        <w:tc>
          <w:tcPr>
            <w:tcW w:w="2126" w:type="dxa"/>
            <w:vAlign w:val="center"/>
          </w:tcPr>
          <w:p w14:paraId="0E20C8D5">
            <w:pPr>
              <w:pStyle w:val="14"/>
            </w:pPr>
          </w:p>
        </w:tc>
        <w:tc>
          <w:tcPr>
            <w:tcW w:w="4535" w:type="dxa"/>
            <w:vAlign w:val="center"/>
          </w:tcPr>
          <w:p w14:paraId="0555661F">
            <w:pPr>
              <w:pStyle w:val="13"/>
            </w:pPr>
            <w:r>
              <w:t>九、社会保险基金支出</w:t>
            </w:r>
          </w:p>
        </w:tc>
        <w:tc>
          <w:tcPr>
            <w:tcW w:w="2126" w:type="dxa"/>
            <w:vAlign w:val="center"/>
          </w:tcPr>
          <w:p w14:paraId="4851D788">
            <w:pPr>
              <w:pStyle w:val="14"/>
            </w:pPr>
          </w:p>
        </w:tc>
      </w:tr>
      <w:tr w14:paraId="49BC1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86213">
            <w:pPr>
              <w:pStyle w:val="12"/>
            </w:pPr>
            <w:r>
              <w:t>10</w:t>
            </w:r>
          </w:p>
        </w:tc>
        <w:tc>
          <w:tcPr>
            <w:tcW w:w="4535" w:type="dxa"/>
            <w:vAlign w:val="center"/>
          </w:tcPr>
          <w:p w14:paraId="7856D496">
            <w:pPr>
              <w:pStyle w:val="13"/>
            </w:pPr>
          </w:p>
        </w:tc>
        <w:tc>
          <w:tcPr>
            <w:tcW w:w="2126" w:type="dxa"/>
            <w:vAlign w:val="center"/>
          </w:tcPr>
          <w:p w14:paraId="3A6E038A">
            <w:pPr>
              <w:pStyle w:val="14"/>
            </w:pPr>
          </w:p>
        </w:tc>
        <w:tc>
          <w:tcPr>
            <w:tcW w:w="4535" w:type="dxa"/>
            <w:vAlign w:val="center"/>
          </w:tcPr>
          <w:p w14:paraId="2C36DCDC">
            <w:pPr>
              <w:pStyle w:val="13"/>
            </w:pPr>
            <w:r>
              <w:t>十、卫生健康支出</w:t>
            </w:r>
          </w:p>
        </w:tc>
        <w:tc>
          <w:tcPr>
            <w:tcW w:w="2126" w:type="dxa"/>
            <w:vAlign w:val="center"/>
          </w:tcPr>
          <w:p w14:paraId="04396813">
            <w:pPr>
              <w:pStyle w:val="14"/>
            </w:pPr>
          </w:p>
        </w:tc>
      </w:tr>
      <w:tr w14:paraId="25771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597E8">
            <w:pPr>
              <w:pStyle w:val="12"/>
            </w:pPr>
            <w:r>
              <w:t>11</w:t>
            </w:r>
          </w:p>
        </w:tc>
        <w:tc>
          <w:tcPr>
            <w:tcW w:w="4535" w:type="dxa"/>
            <w:vAlign w:val="center"/>
          </w:tcPr>
          <w:p w14:paraId="622B9C1E">
            <w:pPr>
              <w:pStyle w:val="13"/>
            </w:pPr>
          </w:p>
        </w:tc>
        <w:tc>
          <w:tcPr>
            <w:tcW w:w="2126" w:type="dxa"/>
            <w:vAlign w:val="center"/>
          </w:tcPr>
          <w:p w14:paraId="255D05B0">
            <w:pPr>
              <w:pStyle w:val="14"/>
            </w:pPr>
          </w:p>
        </w:tc>
        <w:tc>
          <w:tcPr>
            <w:tcW w:w="4535" w:type="dxa"/>
            <w:vAlign w:val="center"/>
          </w:tcPr>
          <w:p w14:paraId="7FA018F8">
            <w:pPr>
              <w:pStyle w:val="13"/>
            </w:pPr>
            <w:r>
              <w:t>十一、节能环保支出</w:t>
            </w:r>
          </w:p>
        </w:tc>
        <w:tc>
          <w:tcPr>
            <w:tcW w:w="2126" w:type="dxa"/>
            <w:vAlign w:val="center"/>
          </w:tcPr>
          <w:p w14:paraId="3D6FF0B0">
            <w:pPr>
              <w:pStyle w:val="14"/>
            </w:pPr>
          </w:p>
        </w:tc>
      </w:tr>
      <w:tr w14:paraId="337AF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45586">
            <w:pPr>
              <w:pStyle w:val="12"/>
            </w:pPr>
            <w:r>
              <w:t>12</w:t>
            </w:r>
          </w:p>
        </w:tc>
        <w:tc>
          <w:tcPr>
            <w:tcW w:w="4535" w:type="dxa"/>
            <w:vAlign w:val="center"/>
          </w:tcPr>
          <w:p w14:paraId="5DEA8C2D">
            <w:pPr>
              <w:pStyle w:val="13"/>
            </w:pPr>
          </w:p>
        </w:tc>
        <w:tc>
          <w:tcPr>
            <w:tcW w:w="2126" w:type="dxa"/>
            <w:vAlign w:val="center"/>
          </w:tcPr>
          <w:p w14:paraId="45E9B7EC">
            <w:pPr>
              <w:pStyle w:val="14"/>
            </w:pPr>
          </w:p>
        </w:tc>
        <w:tc>
          <w:tcPr>
            <w:tcW w:w="4535" w:type="dxa"/>
            <w:vAlign w:val="center"/>
          </w:tcPr>
          <w:p w14:paraId="004AF00A">
            <w:pPr>
              <w:pStyle w:val="13"/>
            </w:pPr>
            <w:r>
              <w:t>十二、城乡社区支出</w:t>
            </w:r>
          </w:p>
        </w:tc>
        <w:tc>
          <w:tcPr>
            <w:tcW w:w="2126" w:type="dxa"/>
            <w:vAlign w:val="center"/>
          </w:tcPr>
          <w:p w14:paraId="0C0A9263">
            <w:pPr>
              <w:pStyle w:val="14"/>
            </w:pPr>
          </w:p>
        </w:tc>
      </w:tr>
      <w:tr w14:paraId="09C27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D332B">
            <w:pPr>
              <w:pStyle w:val="12"/>
            </w:pPr>
            <w:r>
              <w:t>13</w:t>
            </w:r>
          </w:p>
        </w:tc>
        <w:tc>
          <w:tcPr>
            <w:tcW w:w="4535" w:type="dxa"/>
            <w:vAlign w:val="center"/>
          </w:tcPr>
          <w:p w14:paraId="16298780">
            <w:pPr>
              <w:pStyle w:val="13"/>
            </w:pPr>
          </w:p>
        </w:tc>
        <w:tc>
          <w:tcPr>
            <w:tcW w:w="2126" w:type="dxa"/>
            <w:vAlign w:val="center"/>
          </w:tcPr>
          <w:p w14:paraId="2257A400">
            <w:pPr>
              <w:pStyle w:val="14"/>
            </w:pPr>
          </w:p>
        </w:tc>
        <w:tc>
          <w:tcPr>
            <w:tcW w:w="4535" w:type="dxa"/>
            <w:vAlign w:val="center"/>
          </w:tcPr>
          <w:p w14:paraId="509F4F2E">
            <w:pPr>
              <w:pStyle w:val="13"/>
            </w:pPr>
            <w:r>
              <w:t>十三、农林水支出</w:t>
            </w:r>
          </w:p>
        </w:tc>
        <w:tc>
          <w:tcPr>
            <w:tcW w:w="2126" w:type="dxa"/>
            <w:vAlign w:val="center"/>
          </w:tcPr>
          <w:p w14:paraId="188ADB32">
            <w:pPr>
              <w:pStyle w:val="14"/>
            </w:pPr>
          </w:p>
        </w:tc>
      </w:tr>
      <w:tr w14:paraId="2CF18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0CF7B28">
            <w:pPr>
              <w:pStyle w:val="12"/>
            </w:pPr>
            <w:r>
              <w:t>14</w:t>
            </w:r>
          </w:p>
        </w:tc>
        <w:tc>
          <w:tcPr>
            <w:tcW w:w="4535" w:type="dxa"/>
            <w:vAlign w:val="center"/>
          </w:tcPr>
          <w:p w14:paraId="22F0233B">
            <w:pPr>
              <w:pStyle w:val="13"/>
            </w:pPr>
          </w:p>
        </w:tc>
        <w:tc>
          <w:tcPr>
            <w:tcW w:w="2126" w:type="dxa"/>
            <w:vAlign w:val="center"/>
          </w:tcPr>
          <w:p w14:paraId="46954D1A">
            <w:pPr>
              <w:pStyle w:val="14"/>
            </w:pPr>
          </w:p>
        </w:tc>
        <w:tc>
          <w:tcPr>
            <w:tcW w:w="4535" w:type="dxa"/>
            <w:vAlign w:val="center"/>
          </w:tcPr>
          <w:p w14:paraId="3B570147">
            <w:pPr>
              <w:pStyle w:val="13"/>
            </w:pPr>
            <w:r>
              <w:t>十四、交通运输支出</w:t>
            </w:r>
          </w:p>
        </w:tc>
        <w:tc>
          <w:tcPr>
            <w:tcW w:w="2126" w:type="dxa"/>
            <w:vAlign w:val="center"/>
          </w:tcPr>
          <w:p w14:paraId="6A86869C">
            <w:pPr>
              <w:pStyle w:val="14"/>
            </w:pPr>
          </w:p>
        </w:tc>
      </w:tr>
      <w:tr w14:paraId="314FB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715E6">
            <w:pPr>
              <w:pStyle w:val="12"/>
            </w:pPr>
            <w:r>
              <w:t>15</w:t>
            </w:r>
          </w:p>
        </w:tc>
        <w:tc>
          <w:tcPr>
            <w:tcW w:w="4535" w:type="dxa"/>
            <w:vAlign w:val="center"/>
          </w:tcPr>
          <w:p w14:paraId="44A0518A">
            <w:pPr>
              <w:pStyle w:val="13"/>
            </w:pPr>
          </w:p>
        </w:tc>
        <w:tc>
          <w:tcPr>
            <w:tcW w:w="2126" w:type="dxa"/>
            <w:vAlign w:val="center"/>
          </w:tcPr>
          <w:p w14:paraId="0A428223">
            <w:pPr>
              <w:pStyle w:val="14"/>
            </w:pPr>
          </w:p>
        </w:tc>
        <w:tc>
          <w:tcPr>
            <w:tcW w:w="4535" w:type="dxa"/>
            <w:vAlign w:val="center"/>
          </w:tcPr>
          <w:p w14:paraId="55367D25">
            <w:pPr>
              <w:pStyle w:val="13"/>
            </w:pPr>
            <w:r>
              <w:t>十五、资源勘探工业信息等支出</w:t>
            </w:r>
          </w:p>
        </w:tc>
        <w:tc>
          <w:tcPr>
            <w:tcW w:w="2126" w:type="dxa"/>
            <w:vAlign w:val="center"/>
          </w:tcPr>
          <w:p w14:paraId="46AA9FB1">
            <w:pPr>
              <w:pStyle w:val="14"/>
            </w:pPr>
          </w:p>
        </w:tc>
      </w:tr>
      <w:tr w14:paraId="7E2E4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93815">
            <w:pPr>
              <w:pStyle w:val="12"/>
            </w:pPr>
            <w:r>
              <w:t>16</w:t>
            </w:r>
          </w:p>
        </w:tc>
        <w:tc>
          <w:tcPr>
            <w:tcW w:w="4535" w:type="dxa"/>
            <w:vAlign w:val="center"/>
          </w:tcPr>
          <w:p w14:paraId="2C63E2D6">
            <w:pPr>
              <w:pStyle w:val="13"/>
            </w:pPr>
          </w:p>
        </w:tc>
        <w:tc>
          <w:tcPr>
            <w:tcW w:w="2126" w:type="dxa"/>
            <w:vAlign w:val="center"/>
          </w:tcPr>
          <w:p w14:paraId="4E175BC1">
            <w:pPr>
              <w:pStyle w:val="14"/>
            </w:pPr>
          </w:p>
        </w:tc>
        <w:tc>
          <w:tcPr>
            <w:tcW w:w="4535" w:type="dxa"/>
            <w:vAlign w:val="center"/>
          </w:tcPr>
          <w:p w14:paraId="292548D3">
            <w:pPr>
              <w:pStyle w:val="13"/>
            </w:pPr>
            <w:r>
              <w:t>十六、商业服务业等支出</w:t>
            </w:r>
          </w:p>
        </w:tc>
        <w:tc>
          <w:tcPr>
            <w:tcW w:w="2126" w:type="dxa"/>
            <w:vAlign w:val="center"/>
          </w:tcPr>
          <w:p w14:paraId="660B5521">
            <w:pPr>
              <w:pStyle w:val="14"/>
            </w:pPr>
          </w:p>
        </w:tc>
      </w:tr>
      <w:tr w14:paraId="0AB0A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E54C408">
            <w:pPr>
              <w:pStyle w:val="12"/>
            </w:pPr>
            <w:r>
              <w:t>17</w:t>
            </w:r>
          </w:p>
        </w:tc>
        <w:tc>
          <w:tcPr>
            <w:tcW w:w="4535" w:type="dxa"/>
            <w:vAlign w:val="center"/>
          </w:tcPr>
          <w:p w14:paraId="57DD29E1">
            <w:pPr>
              <w:pStyle w:val="13"/>
            </w:pPr>
          </w:p>
        </w:tc>
        <w:tc>
          <w:tcPr>
            <w:tcW w:w="2126" w:type="dxa"/>
            <w:vAlign w:val="center"/>
          </w:tcPr>
          <w:p w14:paraId="725BCC83">
            <w:pPr>
              <w:pStyle w:val="14"/>
            </w:pPr>
          </w:p>
        </w:tc>
        <w:tc>
          <w:tcPr>
            <w:tcW w:w="4535" w:type="dxa"/>
            <w:vAlign w:val="center"/>
          </w:tcPr>
          <w:p w14:paraId="6C65201B">
            <w:pPr>
              <w:pStyle w:val="13"/>
            </w:pPr>
            <w:r>
              <w:t>十七、金融支出</w:t>
            </w:r>
          </w:p>
        </w:tc>
        <w:tc>
          <w:tcPr>
            <w:tcW w:w="2126" w:type="dxa"/>
            <w:vAlign w:val="center"/>
          </w:tcPr>
          <w:p w14:paraId="6BCEEB93">
            <w:pPr>
              <w:pStyle w:val="14"/>
            </w:pPr>
          </w:p>
        </w:tc>
      </w:tr>
      <w:tr w14:paraId="6C61B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D645C">
            <w:pPr>
              <w:pStyle w:val="12"/>
            </w:pPr>
            <w:r>
              <w:t>18</w:t>
            </w:r>
          </w:p>
        </w:tc>
        <w:tc>
          <w:tcPr>
            <w:tcW w:w="4535" w:type="dxa"/>
            <w:vAlign w:val="center"/>
          </w:tcPr>
          <w:p w14:paraId="63F8E116">
            <w:pPr>
              <w:pStyle w:val="13"/>
            </w:pPr>
          </w:p>
        </w:tc>
        <w:tc>
          <w:tcPr>
            <w:tcW w:w="2126" w:type="dxa"/>
            <w:vAlign w:val="center"/>
          </w:tcPr>
          <w:p w14:paraId="5BEB8D9B">
            <w:pPr>
              <w:pStyle w:val="14"/>
            </w:pPr>
          </w:p>
        </w:tc>
        <w:tc>
          <w:tcPr>
            <w:tcW w:w="4535" w:type="dxa"/>
            <w:vAlign w:val="center"/>
          </w:tcPr>
          <w:p w14:paraId="29AD5422">
            <w:pPr>
              <w:pStyle w:val="13"/>
            </w:pPr>
            <w:r>
              <w:t>十八、援助其他地区支出</w:t>
            </w:r>
          </w:p>
        </w:tc>
        <w:tc>
          <w:tcPr>
            <w:tcW w:w="2126" w:type="dxa"/>
            <w:vAlign w:val="center"/>
          </w:tcPr>
          <w:p w14:paraId="71C8AAF1">
            <w:pPr>
              <w:pStyle w:val="14"/>
            </w:pPr>
          </w:p>
        </w:tc>
      </w:tr>
      <w:tr w14:paraId="7DB04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E8369D3">
            <w:pPr>
              <w:pStyle w:val="12"/>
            </w:pPr>
            <w:r>
              <w:t>19</w:t>
            </w:r>
          </w:p>
        </w:tc>
        <w:tc>
          <w:tcPr>
            <w:tcW w:w="4535" w:type="dxa"/>
            <w:vAlign w:val="center"/>
          </w:tcPr>
          <w:p w14:paraId="349D28D5">
            <w:pPr>
              <w:pStyle w:val="13"/>
            </w:pPr>
          </w:p>
        </w:tc>
        <w:tc>
          <w:tcPr>
            <w:tcW w:w="2126" w:type="dxa"/>
            <w:vAlign w:val="center"/>
          </w:tcPr>
          <w:p w14:paraId="3AC4F08C">
            <w:pPr>
              <w:pStyle w:val="14"/>
            </w:pPr>
          </w:p>
        </w:tc>
        <w:tc>
          <w:tcPr>
            <w:tcW w:w="4535" w:type="dxa"/>
            <w:vAlign w:val="center"/>
          </w:tcPr>
          <w:p w14:paraId="239BEFA6">
            <w:pPr>
              <w:pStyle w:val="13"/>
            </w:pPr>
            <w:r>
              <w:t>十九、自然资源海洋气象等支出</w:t>
            </w:r>
          </w:p>
        </w:tc>
        <w:tc>
          <w:tcPr>
            <w:tcW w:w="2126" w:type="dxa"/>
            <w:vAlign w:val="center"/>
          </w:tcPr>
          <w:p w14:paraId="3079CEBF">
            <w:pPr>
              <w:pStyle w:val="14"/>
            </w:pPr>
          </w:p>
        </w:tc>
      </w:tr>
      <w:tr w14:paraId="529AD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E5E9B">
            <w:pPr>
              <w:pStyle w:val="12"/>
            </w:pPr>
            <w:r>
              <w:t>20</w:t>
            </w:r>
          </w:p>
        </w:tc>
        <w:tc>
          <w:tcPr>
            <w:tcW w:w="4535" w:type="dxa"/>
            <w:vAlign w:val="center"/>
          </w:tcPr>
          <w:p w14:paraId="24CD8CFD">
            <w:pPr>
              <w:pStyle w:val="13"/>
            </w:pPr>
          </w:p>
        </w:tc>
        <w:tc>
          <w:tcPr>
            <w:tcW w:w="2126" w:type="dxa"/>
            <w:vAlign w:val="center"/>
          </w:tcPr>
          <w:p w14:paraId="6CAF4CFD">
            <w:pPr>
              <w:pStyle w:val="14"/>
            </w:pPr>
          </w:p>
        </w:tc>
        <w:tc>
          <w:tcPr>
            <w:tcW w:w="4535" w:type="dxa"/>
            <w:vAlign w:val="center"/>
          </w:tcPr>
          <w:p w14:paraId="74AC24AA">
            <w:pPr>
              <w:pStyle w:val="13"/>
            </w:pPr>
            <w:r>
              <w:t>二十、住房保障支出</w:t>
            </w:r>
          </w:p>
        </w:tc>
        <w:tc>
          <w:tcPr>
            <w:tcW w:w="2126" w:type="dxa"/>
            <w:vAlign w:val="center"/>
          </w:tcPr>
          <w:p w14:paraId="480939F1">
            <w:pPr>
              <w:pStyle w:val="14"/>
            </w:pPr>
          </w:p>
        </w:tc>
      </w:tr>
      <w:tr w14:paraId="43115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8A6A0CB">
            <w:pPr>
              <w:pStyle w:val="12"/>
            </w:pPr>
            <w:r>
              <w:t>21</w:t>
            </w:r>
          </w:p>
        </w:tc>
        <w:tc>
          <w:tcPr>
            <w:tcW w:w="4535" w:type="dxa"/>
            <w:vAlign w:val="center"/>
          </w:tcPr>
          <w:p w14:paraId="04845E70">
            <w:pPr>
              <w:pStyle w:val="13"/>
            </w:pPr>
          </w:p>
        </w:tc>
        <w:tc>
          <w:tcPr>
            <w:tcW w:w="2126" w:type="dxa"/>
            <w:vAlign w:val="center"/>
          </w:tcPr>
          <w:p w14:paraId="42EEF21F">
            <w:pPr>
              <w:pStyle w:val="14"/>
            </w:pPr>
          </w:p>
        </w:tc>
        <w:tc>
          <w:tcPr>
            <w:tcW w:w="4535" w:type="dxa"/>
            <w:vAlign w:val="center"/>
          </w:tcPr>
          <w:p w14:paraId="5A5BEB9A">
            <w:pPr>
              <w:pStyle w:val="13"/>
            </w:pPr>
            <w:r>
              <w:t>二十一、粮油物资储备支出</w:t>
            </w:r>
          </w:p>
        </w:tc>
        <w:tc>
          <w:tcPr>
            <w:tcW w:w="2126" w:type="dxa"/>
            <w:vAlign w:val="center"/>
          </w:tcPr>
          <w:p w14:paraId="750BAC17">
            <w:pPr>
              <w:pStyle w:val="14"/>
            </w:pPr>
          </w:p>
        </w:tc>
      </w:tr>
      <w:tr w14:paraId="21FAB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73454">
            <w:pPr>
              <w:pStyle w:val="12"/>
            </w:pPr>
            <w:r>
              <w:t>22</w:t>
            </w:r>
          </w:p>
        </w:tc>
        <w:tc>
          <w:tcPr>
            <w:tcW w:w="4535" w:type="dxa"/>
            <w:vAlign w:val="center"/>
          </w:tcPr>
          <w:p w14:paraId="7DD33BC9">
            <w:pPr>
              <w:pStyle w:val="13"/>
            </w:pPr>
          </w:p>
        </w:tc>
        <w:tc>
          <w:tcPr>
            <w:tcW w:w="2126" w:type="dxa"/>
            <w:vAlign w:val="center"/>
          </w:tcPr>
          <w:p w14:paraId="1F6B0FD4">
            <w:pPr>
              <w:pStyle w:val="14"/>
            </w:pPr>
          </w:p>
        </w:tc>
        <w:tc>
          <w:tcPr>
            <w:tcW w:w="4535" w:type="dxa"/>
            <w:vAlign w:val="center"/>
          </w:tcPr>
          <w:p w14:paraId="2B9E0FD0">
            <w:pPr>
              <w:pStyle w:val="13"/>
            </w:pPr>
            <w:r>
              <w:t>二十二、国有资本经营预算支出</w:t>
            </w:r>
          </w:p>
        </w:tc>
        <w:tc>
          <w:tcPr>
            <w:tcW w:w="2126" w:type="dxa"/>
            <w:vAlign w:val="center"/>
          </w:tcPr>
          <w:p w14:paraId="6F28A8D1">
            <w:pPr>
              <w:pStyle w:val="14"/>
            </w:pPr>
          </w:p>
        </w:tc>
      </w:tr>
      <w:tr w14:paraId="47C04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FD9FF">
            <w:pPr>
              <w:pStyle w:val="12"/>
            </w:pPr>
            <w:r>
              <w:t>23</w:t>
            </w:r>
          </w:p>
        </w:tc>
        <w:tc>
          <w:tcPr>
            <w:tcW w:w="4535" w:type="dxa"/>
            <w:vAlign w:val="center"/>
          </w:tcPr>
          <w:p w14:paraId="10BD020E">
            <w:pPr>
              <w:pStyle w:val="13"/>
            </w:pPr>
          </w:p>
        </w:tc>
        <w:tc>
          <w:tcPr>
            <w:tcW w:w="2126" w:type="dxa"/>
            <w:vAlign w:val="center"/>
          </w:tcPr>
          <w:p w14:paraId="152AE742">
            <w:pPr>
              <w:pStyle w:val="14"/>
            </w:pPr>
          </w:p>
        </w:tc>
        <w:tc>
          <w:tcPr>
            <w:tcW w:w="4535" w:type="dxa"/>
            <w:vAlign w:val="center"/>
          </w:tcPr>
          <w:p w14:paraId="54884920">
            <w:pPr>
              <w:pStyle w:val="13"/>
            </w:pPr>
            <w:r>
              <w:t>二十三、灾害防治及应急管理支出</w:t>
            </w:r>
          </w:p>
        </w:tc>
        <w:tc>
          <w:tcPr>
            <w:tcW w:w="2126" w:type="dxa"/>
            <w:vAlign w:val="center"/>
          </w:tcPr>
          <w:p w14:paraId="3CBDB835">
            <w:pPr>
              <w:pStyle w:val="14"/>
            </w:pPr>
          </w:p>
        </w:tc>
      </w:tr>
      <w:tr w14:paraId="749FA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25E23">
            <w:pPr>
              <w:pStyle w:val="12"/>
            </w:pPr>
            <w:r>
              <w:t>24</w:t>
            </w:r>
          </w:p>
        </w:tc>
        <w:tc>
          <w:tcPr>
            <w:tcW w:w="4535" w:type="dxa"/>
            <w:vAlign w:val="center"/>
          </w:tcPr>
          <w:p w14:paraId="237ED307">
            <w:pPr>
              <w:pStyle w:val="13"/>
            </w:pPr>
          </w:p>
        </w:tc>
        <w:tc>
          <w:tcPr>
            <w:tcW w:w="2126" w:type="dxa"/>
            <w:vAlign w:val="center"/>
          </w:tcPr>
          <w:p w14:paraId="6D1BCE6E">
            <w:pPr>
              <w:pStyle w:val="14"/>
            </w:pPr>
          </w:p>
        </w:tc>
        <w:tc>
          <w:tcPr>
            <w:tcW w:w="4535" w:type="dxa"/>
            <w:vAlign w:val="center"/>
          </w:tcPr>
          <w:p w14:paraId="7A7EA73B">
            <w:pPr>
              <w:pStyle w:val="13"/>
            </w:pPr>
            <w:r>
              <w:t>二十四、预备费</w:t>
            </w:r>
          </w:p>
        </w:tc>
        <w:tc>
          <w:tcPr>
            <w:tcW w:w="2126" w:type="dxa"/>
            <w:vAlign w:val="center"/>
          </w:tcPr>
          <w:p w14:paraId="0448E4A7">
            <w:pPr>
              <w:pStyle w:val="14"/>
            </w:pPr>
          </w:p>
        </w:tc>
      </w:tr>
      <w:tr w14:paraId="7236D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2B183">
            <w:pPr>
              <w:pStyle w:val="12"/>
            </w:pPr>
            <w:r>
              <w:t>25</w:t>
            </w:r>
          </w:p>
        </w:tc>
        <w:tc>
          <w:tcPr>
            <w:tcW w:w="4535" w:type="dxa"/>
            <w:vAlign w:val="center"/>
          </w:tcPr>
          <w:p w14:paraId="755FA9FF">
            <w:pPr>
              <w:pStyle w:val="13"/>
            </w:pPr>
          </w:p>
        </w:tc>
        <w:tc>
          <w:tcPr>
            <w:tcW w:w="2126" w:type="dxa"/>
            <w:vAlign w:val="center"/>
          </w:tcPr>
          <w:p w14:paraId="799CEA6C">
            <w:pPr>
              <w:pStyle w:val="14"/>
            </w:pPr>
          </w:p>
        </w:tc>
        <w:tc>
          <w:tcPr>
            <w:tcW w:w="4535" w:type="dxa"/>
            <w:vAlign w:val="center"/>
          </w:tcPr>
          <w:p w14:paraId="542604F8">
            <w:pPr>
              <w:pStyle w:val="13"/>
            </w:pPr>
            <w:r>
              <w:t>二十五、其他支出</w:t>
            </w:r>
          </w:p>
        </w:tc>
        <w:tc>
          <w:tcPr>
            <w:tcW w:w="2126" w:type="dxa"/>
            <w:vAlign w:val="center"/>
          </w:tcPr>
          <w:p w14:paraId="4CB403D4">
            <w:pPr>
              <w:pStyle w:val="14"/>
            </w:pPr>
          </w:p>
        </w:tc>
      </w:tr>
      <w:tr w14:paraId="76D88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F7961">
            <w:pPr>
              <w:pStyle w:val="12"/>
            </w:pPr>
            <w:r>
              <w:t>26</w:t>
            </w:r>
          </w:p>
        </w:tc>
        <w:tc>
          <w:tcPr>
            <w:tcW w:w="4535" w:type="dxa"/>
            <w:vAlign w:val="center"/>
          </w:tcPr>
          <w:p w14:paraId="66E58801">
            <w:pPr>
              <w:pStyle w:val="13"/>
            </w:pPr>
          </w:p>
        </w:tc>
        <w:tc>
          <w:tcPr>
            <w:tcW w:w="2126" w:type="dxa"/>
            <w:vAlign w:val="center"/>
          </w:tcPr>
          <w:p w14:paraId="3962A59C">
            <w:pPr>
              <w:pStyle w:val="14"/>
            </w:pPr>
          </w:p>
        </w:tc>
        <w:tc>
          <w:tcPr>
            <w:tcW w:w="4535" w:type="dxa"/>
            <w:vAlign w:val="center"/>
          </w:tcPr>
          <w:p w14:paraId="30616E31">
            <w:pPr>
              <w:pStyle w:val="13"/>
            </w:pPr>
            <w:r>
              <w:t>二十六、转移性支出</w:t>
            </w:r>
          </w:p>
        </w:tc>
        <w:tc>
          <w:tcPr>
            <w:tcW w:w="2126" w:type="dxa"/>
            <w:vAlign w:val="center"/>
          </w:tcPr>
          <w:p w14:paraId="29E1A444">
            <w:pPr>
              <w:pStyle w:val="14"/>
            </w:pPr>
          </w:p>
        </w:tc>
      </w:tr>
      <w:tr w14:paraId="0C5B4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B874037">
            <w:pPr>
              <w:pStyle w:val="12"/>
            </w:pPr>
            <w:r>
              <w:t>27</w:t>
            </w:r>
          </w:p>
        </w:tc>
        <w:tc>
          <w:tcPr>
            <w:tcW w:w="4535" w:type="dxa"/>
            <w:vAlign w:val="center"/>
          </w:tcPr>
          <w:p w14:paraId="780B3493">
            <w:pPr>
              <w:pStyle w:val="13"/>
            </w:pPr>
          </w:p>
        </w:tc>
        <w:tc>
          <w:tcPr>
            <w:tcW w:w="2126" w:type="dxa"/>
            <w:vAlign w:val="center"/>
          </w:tcPr>
          <w:p w14:paraId="5C0E2CF4">
            <w:pPr>
              <w:pStyle w:val="14"/>
            </w:pPr>
          </w:p>
        </w:tc>
        <w:tc>
          <w:tcPr>
            <w:tcW w:w="4535" w:type="dxa"/>
            <w:vAlign w:val="center"/>
          </w:tcPr>
          <w:p w14:paraId="3250B8D3">
            <w:pPr>
              <w:pStyle w:val="13"/>
            </w:pPr>
            <w:r>
              <w:t>二十七、债务还本支出</w:t>
            </w:r>
          </w:p>
        </w:tc>
        <w:tc>
          <w:tcPr>
            <w:tcW w:w="2126" w:type="dxa"/>
            <w:vAlign w:val="center"/>
          </w:tcPr>
          <w:p w14:paraId="462CB4AB">
            <w:pPr>
              <w:pStyle w:val="14"/>
            </w:pPr>
          </w:p>
        </w:tc>
      </w:tr>
      <w:tr w14:paraId="1DAF8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B03D9">
            <w:pPr>
              <w:pStyle w:val="12"/>
            </w:pPr>
            <w:r>
              <w:t>28</w:t>
            </w:r>
          </w:p>
        </w:tc>
        <w:tc>
          <w:tcPr>
            <w:tcW w:w="4535" w:type="dxa"/>
            <w:vAlign w:val="center"/>
          </w:tcPr>
          <w:p w14:paraId="75BB720A">
            <w:pPr>
              <w:pStyle w:val="13"/>
            </w:pPr>
          </w:p>
        </w:tc>
        <w:tc>
          <w:tcPr>
            <w:tcW w:w="2126" w:type="dxa"/>
            <w:vAlign w:val="center"/>
          </w:tcPr>
          <w:p w14:paraId="53FA11F6">
            <w:pPr>
              <w:pStyle w:val="14"/>
            </w:pPr>
          </w:p>
        </w:tc>
        <w:tc>
          <w:tcPr>
            <w:tcW w:w="4535" w:type="dxa"/>
            <w:vAlign w:val="center"/>
          </w:tcPr>
          <w:p w14:paraId="5A1D0CA2">
            <w:pPr>
              <w:pStyle w:val="13"/>
            </w:pPr>
            <w:r>
              <w:t>二十八、债务付息支出</w:t>
            </w:r>
          </w:p>
        </w:tc>
        <w:tc>
          <w:tcPr>
            <w:tcW w:w="2126" w:type="dxa"/>
            <w:vAlign w:val="center"/>
          </w:tcPr>
          <w:p w14:paraId="59C815C0">
            <w:pPr>
              <w:pStyle w:val="14"/>
            </w:pPr>
          </w:p>
        </w:tc>
      </w:tr>
      <w:tr w14:paraId="34EB1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56C8DD6">
            <w:pPr>
              <w:pStyle w:val="12"/>
            </w:pPr>
            <w:r>
              <w:t>29</w:t>
            </w:r>
          </w:p>
        </w:tc>
        <w:tc>
          <w:tcPr>
            <w:tcW w:w="4535" w:type="dxa"/>
            <w:vAlign w:val="center"/>
          </w:tcPr>
          <w:p w14:paraId="56E85642">
            <w:pPr>
              <w:pStyle w:val="13"/>
            </w:pPr>
          </w:p>
        </w:tc>
        <w:tc>
          <w:tcPr>
            <w:tcW w:w="2126" w:type="dxa"/>
            <w:vAlign w:val="center"/>
          </w:tcPr>
          <w:p w14:paraId="35F1FAC1">
            <w:pPr>
              <w:pStyle w:val="14"/>
            </w:pPr>
          </w:p>
        </w:tc>
        <w:tc>
          <w:tcPr>
            <w:tcW w:w="4535" w:type="dxa"/>
            <w:vAlign w:val="center"/>
          </w:tcPr>
          <w:p w14:paraId="50174510">
            <w:pPr>
              <w:pStyle w:val="13"/>
            </w:pPr>
            <w:r>
              <w:t>二十九、债务发行费用支出</w:t>
            </w:r>
          </w:p>
        </w:tc>
        <w:tc>
          <w:tcPr>
            <w:tcW w:w="2126" w:type="dxa"/>
            <w:vAlign w:val="center"/>
          </w:tcPr>
          <w:p w14:paraId="488F9263">
            <w:pPr>
              <w:pStyle w:val="14"/>
            </w:pPr>
          </w:p>
        </w:tc>
      </w:tr>
      <w:tr w14:paraId="298E5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1D17E26">
            <w:pPr>
              <w:pStyle w:val="12"/>
            </w:pPr>
            <w:r>
              <w:t>30</w:t>
            </w:r>
          </w:p>
        </w:tc>
        <w:tc>
          <w:tcPr>
            <w:tcW w:w="4535" w:type="dxa"/>
            <w:vAlign w:val="center"/>
          </w:tcPr>
          <w:p w14:paraId="62A362AE">
            <w:pPr>
              <w:pStyle w:val="13"/>
            </w:pPr>
          </w:p>
        </w:tc>
        <w:tc>
          <w:tcPr>
            <w:tcW w:w="2126" w:type="dxa"/>
            <w:vAlign w:val="center"/>
          </w:tcPr>
          <w:p w14:paraId="1E472247">
            <w:pPr>
              <w:pStyle w:val="14"/>
            </w:pPr>
          </w:p>
        </w:tc>
        <w:tc>
          <w:tcPr>
            <w:tcW w:w="4535" w:type="dxa"/>
            <w:vAlign w:val="center"/>
          </w:tcPr>
          <w:p w14:paraId="48EBD57A">
            <w:pPr>
              <w:pStyle w:val="13"/>
            </w:pPr>
            <w:r>
              <w:t>三十、抗疫特别国债安排的支出</w:t>
            </w:r>
          </w:p>
        </w:tc>
        <w:tc>
          <w:tcPr>
            <w:tcW w:w="2126" w:type="dxa"/>
            <w:vAlign w:val="center"/>
          </w:tcPr>
          <w:p w14:paraId="01869397">
            <w:pPr>
              <w:pStyle w:val="14"/>
            </w:pPr>
          </w:p>
        </w:tc>
      </w:tr>
      <w:tr w14:paraId="1F641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11FAA">
            <w:pPr>
              <w:pStyle w:val="12"/>
            </w:pPr>
            <w:r>
              <w:t>31</w:t>
            </w:r>
          </w:p>
        </w:tc>
        <w:tc>
          <w:tcPr>
            <w:tcW w:w="4535" w:type="dxa"/>
            <w:vAlign w:val="center"/>
          </w:tcPr>
          <w:p w14:paraId="17224823">
            <w:pPr>
              <w:pStyle w:val="13"/>
            </w:pPr>
          </w:p>
        </w:tc>
        <w:tc>
          <w:tcPr>
            <w:tcW w:w="2126" w:type="dxa"/>
            <w:vAlign w:val="center"/>
          </w:tcPr>
          <w:p w14:paraId="592A160D">
            <w:pPr>
              <w:pStyle w:val="14"/>
            </w:pPr>
          </w:p>
        </w:tc>
        <w:tc>
          <w:tcPr>
            <w:tcW w:w="4535" w:type="dxa"/>
            <w:vAlign w:val="center"/>
          </w:tcPr>
          <w:p w14:paraId="45C1D03A">
            <w:pPr>
              <w:pStyle w:val="13"/>
            </w:pPr>
            <w:r>
              <w:t>三十一、人行科目</w:t>
            </w:r>
          </w:p>
        </w:tc>
        <w:tc>
          <w:tcPr>
            <w:tcW w:w="2126" w:type="dxa"/>
            <w:vAlign w:val="center"/>
          </w:tcPr>
          <w:p w14:paraId="58A8C32B">
            <w:pPr>
              <w:pStyle w:val="14"/>
            </w:pPr>
          </w:p>
        </w:tc>
      </w:tr>
      <w:tr w14:paraId="21A22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26304">
            <w:pPr>
              <w:pStyle w:val="12"/>
            </w:pPr>
            <w:r>
              <w:t>32</w:t>
            </w:r>
          </w:p>
        </w:tc>
        <w:tc>
          <w:tcPr>
            <w:tcW w:w="4535" w:type="dxa"/>
            <w:vAlign w:val="center"/>
          </w:tcPr>
          <w:p w14:paraId="7EA3273E">
            <w:pPr>
              <w:pStyle w:val="15"/>
            </w:pPr>
            <w:r>
              <w:t>本年收入合计</w:t>
            </w:r>
          </w:p>
        </w:tc>
        <w:tc>
          <w:tcPr>
            <w:tcW w:w="2126" w:type="dxa"/>
            <w:vAlign w:val="center"/>
          </w:tcPr>
          <w:p w14:paraId="4A010F4F">
            <w:pPr>
              <w:pStyle w:val="16"/>
            </w:pPr>
            <w:r>
              <w:t>6087.61</w:t>
            </w:r>
          </w:p>
        </w:tc>
        <w:tc>
          <w:tcPr>
            <w:tcW w:w="4535" w:type="dxa"/>
            <w:vAlign w:val="center"/>
          </w:tcPr>
          <w:p w14:paraId="338992B0">
            <w:pPr>
              <w:pStyle w:val="15"/>
            </w:pPr>
            <w:r>
              <w:t>本年支出合计</w:t>
            </w:r>
          </w:p>
        </w:tc>
        <w:tc>
          <w:tcPr>
            <w:tcW w:w="2126" w:type="dxa"/>
            <w:vAlign w:val="center"/>
          </w:tcPr>
          <w:p w14:paraId="61DE3B47">
            <w:pPr>
              <w:pStyle w:val="16"/>
            </w:pPr>
            <w:r>
              <w:t>6087.61</w:t>
            </w:r>
          </w:p>
        </w:tc>
      </w:tr>
      <w:tr w14:paraId="6A448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24017">
            <w:pPr>
              <w:pStyle w:val="12"/>
            </w:pPr>
            <w:r>
              <w:t>33</w:t>
            </w:r>
          </w:p>
        </w:tc>
        <w:tc>
          <w:tcPr>
            <w:tcW w:w="4535" w:type="dxa"/>
            <w:vAlign w:val="center"/>
          </w:tcPr>
          <w:p w14:paraId="5A8782AA">
            <w:pPr>
              <w:pStyle w:val="13"/>
            </w:pPr>
            <w:r>
              <w:t>上年结转结余</w:t>
            </w:r>
          </w:p>
        </w:tc>
        <w:tc>
          <w:tcPr>
            <w:tcW w:w="2126" w:type="dxa"/>
            <w:vAlign w:val="center"/>
          </w:tcPr>
          <w:p w14:paraId="11EAFA95">
            <w:pPr>
              <w:pStyle w:val="14"/>
            </w:pPr>
          </w:p>
        </w:tc>
        <w:tc>
          <w:tcPr>
            <w:tcW w:w="4535" w:type="dxa"/>
            <w:vAlign w:val="center"/>
          </w:tcPr>
          <w:p w14:paraId="0D0375C1">
            <w:pPr>
              <w:pStyle w:val="13"/>
            </w:pPr>
            <w:r>
              <w:t>年终结转结余</w:t>
            </w:r>
          </w:p>
        </w:tc>
        <w:tc>
          <w:tcPr>
            <w:tcW w:w="2126" w:type="dxa"/>
            <w:vAlign w:val="center"/>
          </w:tcPr>
          <w:p w14:paraId="3BAC8E66">
            <w:pPr>
              <w:pStyle w:val="14"/>
            </w:pPr>
          </w:p>
        </w:tc>
      </w:tr>
      <w:tr w14:paraId="19092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C1AFB">
            <w:pPr>
              <w:pStyle w:val="12"/>
            </w:pPr>
            <w:r>
              <w:t>34</w:t>
            </w:r>
          </w:p>
        </w:tc>
        <w:tc>
          <w:tcPr>
            <w:tcW w:w="4535" w:type="dxa"/>
            <w:vAlign w:val="center"/>
          </w:tcPr>
          <w:p w14:paraId="2C303CD9">
            <w:pPr>
              <w:pStyle w:val="15"/>
            </w:pPr>
            <w:r>
              <w:t>收入总计</w:t>
            </w:r>
          </w:p>
        </w:tc>
        <w:tc>
          <w:tcPr>
            <w:tcW w:w="2126" w:type="dxa"/>
            <w:vAlign w:val="center"/>
          </w:tcPr>
          <w:p w14:paraId="10C0FA5F">
            <w:pPr>
              <w:pStyle w:val="16"/>
            </w:pPr>
            <w:r>
              <w:t>6087.61</w:t>
            </w:r>
          </w:p>
        </w:tc>
        <w:tc>
          <w:tcPr>
            <w:tcW w:w="4535" w:type="dxa"/>
            <w:vAlign w:val="center"/>
          </w:tcPr>
          <w:p w14:paraId="22AA6D41">
            <w:pPr>
              <w:pStyle w:val="15"/>
            </w:pPr>
            <w:r>
              <w:t>支出总计</w:t>
            </w:r>
          </w:p>
        </w:tc>
        <w:tc>
          <w:tcPr>
            <w:tcW w:w="2126" w:type="dxa"/>
            <w:vAlign w:val="center"/>
          </w:tcPr>
          <w:p w14:paraId="65455437">
            <w:pPr>
              <w:pStyle w:val="16"/>
            </w:pPr>
            <w:r>
              <w:t>6087.61</w:t>
            </w:r>
          </w:p>
        </w:tc>
      </w:tr>
    </w:tbl>
    <w:p w14:paraId="17B85E19">
      <w:pPr>
        <w:sectPr>
          <w:pgSz w:w="16840" w:h="11900" w:orient="landscape"/>
          <w:pgMar w:top="1361" w:right="1020" w:bottom="1134" w:left="1020" w:header="720" w:footer="720" w:gutter="0"/>
          <w:cols w:space="720" w:num="1"/>
        </w:sectPr>
      </w:pPr>
    </w:p>
    <w:p w14:paraId="6518F9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B22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2E7F02">
            <w:pPr>
              <w:pStyle w:val="8"/>
            </w:pPr>
            <w:r>
              <w:t>360016隆尧县城关校区</w:t>
            </w:r>
          </w:p>
        </w:tc>
        <w:tc>
          <w:tcPr>
            <w:tcW w:w="3402" w:type="dxa"/>
            <w:gridSpan w:val="3"/>
            <w:tcBorders>
              <w:top w:val="single" w:color="FFFFFF" w:sz="6" w:space="0"/>
              <w:left w:val="single" w:color="FFFFFF" w:sz="6" w:space="0"/>
              <w:right w:val="single" w:color="FFFFFF" w:sz="6" w:space="0"/>
            </w:tcBorders>
            <w:vAlign w:val="center"/>
          </w:tcPr>
          <w:p w14:paraId="089B7F87">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B1FC0A1">
            <w:pPr>
              <w:pStyle w:val="10"/>
            </w:pPr>
            <w:r>
              <w:t>单位：万元</w:t>
            </w:r>
          </w:p>
        </w:tc>
      </w:tr>
      <w:tr w14:paraId="621DB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773B70">
            <w:pPr>
              <w:pStyle w:val="11"/>
            </w:pPr>
            <w:r>
              <w:t>序号</w:t>
            </w:r>
          </w:p>
        </w:tc>
        <w:tc>
          <w:tcPr>
            <w:tcW w:w="2551" w:type="dxa"/>
            <w:gridSpan w:val="2"/>
            <w:vAlign w:val="center"/>
          </w:tcPr>
          <w:p w14:paraId="1B25C211">
            <w:pPr>
              <w:pStyle w:val="11"/>
            </w:pPr>
            <w:r>
              <w:t>功能分类科目</w:t>
            </w:r>
          </w:p>
        </w:tc>
        <w:tc>
          <w:tcPr>
            <w:tcW w:w="1134" w:type="dxa"/>
            <w:vMerge w:val="restart"/>
            <w:vAlign w:val="center"/>
          </w:tcPr>
          <w:p w14:paraId="050DE47B">
            <w:pPr>
              <w:pStyle w:val="11"/>
            </w:pPr>
            <w:r>
              <w:t>合计</w:t>
            </w:r>
          </w:p>
        </w:tc>
        <w:tc>
          <w:tcPr>
            <w:tcW w:w="9072" w:type="dxa"/>
            <w:gridSpan w:val="8"/>
            <w:vAlign w:val="center"/>
          </w:tcPr>
          <w:p w14:paraId="3756AE08">
            <w:pPr>
              <w:pStyle w:val="11"/>
            </w:pPr>
            <w:r>
              <w:t>本年收入</w:t>
            </w:r>
          </w:p>
        </w:tc>
        <w:tc>
          <w:tcPr>
            <w:tcW w:w="1134" w:type="dxa"/>
            <w:vMerge w:val="restart"/>
            <w:vAlign w:val="center"/>
          </w:tcPr>
          <w:p w14:paraId="348CC04B">
            <w:pPr>
              <w:pStyle w:val="11"/>
            </w:pPr>
            <w:r>
              <w:t>上年结转</w:t>
            </w:r>
          </w:p>
        </w:tc>
      </w:tr>
      <w:tr w14:paraId="4F598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8ED1B1"/>
        </w:tc>
        <w:tc>
          <w:tcPr>
            <w:tcW w:w="992" w:type="dxa"/>
            <w:vAlign w:val="center"/>
          </w:tcPr>
          <w:p w14:paraId="2943104E">
            <w:pPr>
              <w:pStyle w:val="11"/>
            </w:pPr>
            <w:r>
              <w:t>科目    编码</w:t>
            </w:r>
          </w:p>
        </w:tc>
        <w:tc>
          <w:tcPr>
            <w:tcW w:w="1559" w:type="dxa"/>
            <w:vAlign w:val="center"/>
          </w:tcPr>
          <w:p w14:paraId="50EBBD2F">
            <w:pPr>
              <w:pStyle w:val="11"/>
            </w:pPr>
            <w:r>
              <w:t>科目名称</w:t>
            </w:r>
          </w:p>
        </w:tc>
        <w:tc>
          <w:tcPr>
            <w:tcW w:w="1134" w:type="dxa"/>
            <w:vMerge w:val="continue"/>
          </w:tcPr>
          <w:p w14:paraId="2549A14E"/>
        </w:tc>
        <w:tc>
          <w:tcPr>
            <w:tcW w:w="1134" w:type="dxa"/>
            <w:vAlign w:val="center"/>
          </w:tcPr>
          <w:p w14:paraId="1DFE7A7A">
            <w:pPr>
              <w:pStyle w:val="11"/>
            </w:pPr>
            <w:r>
              <w:t>小计</w:t>
            </w:r>
          </w:p>
        </w:tc>
        <w:tc>
          <w:tcPr>
            <w:tcW w:w="1134" w:type="dxa"/>
            <w:vAlign w:val="center"/>
          </w:tcPr>
          <w:p w14:paraId="5D8CE55B">
            <w:pPr>
              <w:pStyle w:val="11"/>
            </w:pPr>
            <w:r>
              <w:t>财政拨款 收入</w:t>
            </w:r>
          </w:p>
        </w:tc>
        <w:tc>
          <w:tcPr>
            <w:tcW w:w="1134" w:type="dxa"/>
            <w:vAlign w:val="center"/>
          </w:tcPr>
          <w:p w14:paraId="2DF407E9">
            <w:pPr>
              <w:pStyle w:val="11"/>
            </w:pPr>
            <w:r>
              <w:t>财政专户 收入</w:t>
            </w:r>
          </w:p>
        </w:tc>
        <w:tc>
          <w:tcPr>
            <w:tcW w:w="1134" w:type="dxa"/>
            <w:vAlign w:val="center"/>
          </w:tcPr>
          <w:p w14:paraId="51AF416E">
            <w:pPr>
              <w:pStyle w:val="11"/>
            </w:pPr>
            <w:r>
              <w:t>事业收入</w:t>
            </w:r>
          </w:p>
        </w:tc>
        <w:tc>
          <w:tcPr>
            <w:tcW w:w="1134" w:type="dxa"/>
            <w:vAlign w:val="center"/>
          </w:tcPr>
          <w:p w14:paraId="73A50D2A">
            <w:pPr>
              <w:pStyle w:val="11"/>
            </w:pPr>
            <w:r>
              <w:t>经营收入</w:t>
            </w:r>
          </w:p>
        </w:tc>
        <w:tc>
          <w:tcPr>
            <w:tcW w:w="1134" w:type="dxa"/>
            <w:vAlign w:val="center"/>
          </w:tcPr>
          <w:p w14:paraId="6DCB7FF9">
            <w:pPr>
              <w:pStyle w:val="11"/>
            </w:pPr>
            <w:r>
              <w:t>上级补助收入</w:t>
            </w:r>
          </w:p>
        </w:tc>
        <w:tc>
          <w:tcPr>
            <w:tcW w:w="1134" w:type="dxa"/>
            <w:vAlign w:val="center"/>
          </w:tcPr>
          <w:p w14:paraId="4D0C0C04">
            <w:pPr>
              <w:pStyle w:val="11"/>
            </w:pPr>
            <w:r>
              <w:t>附属单位上缴收入</w:t>
            </w:r>
          </w:p>
        </w:tc>
        <w:tc>
          <w:tcPr>
            <w:tcW w:w="1134" w:type="dxa"/>
            <w:vAlign w:val="center"/>
          </w:tcPr>
          <w:p w14:paraId="154A3B2B">
            <w:pPr>
              <w:pStyle w:val="11"/>
            </w:pPr>
            <w:r>
              <w:t>其他收入</w:t>
            </w:r>
          </w:p>
        </w:tc>
        <w:tc>
          <w:tcPr>
            <w:tcW w:w="1134" w:type="dxa"/>
            <w:vMerge w:val="continue"/>
          </w:tcPr>
          <w:p w14:paraId="76BEB359"/>
        </w:tc>
      </w:tr>
      <w:tr w14:paraId="78169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C4A70D">
            <w:pPr>
              <w:pStyle w:val="11"/>
            </w:pPr>
            <w:r>
              <w:t>栏次</w:t>
            </w:r>
          </w:p>
        </w:tc>
        <w:tc>
          <w:tcPr>
            <w:tcW w:w="992" w:type="dxa"/>
            <w:vAlign w:val="center"/>
          </w:tcPr>
          <w:p w14:paraId="2DA6EE42">
            <w:pPr>
              <w:pStyle w:val="11"/>
            </w:pPr>
            <w:r>
              <w:t>1</w:t>
            </w:r>
          </w:p>
        </w:tc>
        <w:tc>
          <w:tcPr>
            <w:tcW w:w="1559" w:type="dxa"/>
            <w:vAlign w:val="center"/>
          </w:tcPr>
          <w:p w14:paraId="20B43409">
            <w:pPr>
              <w:pStyle w:val="11"/>
            </w:pPr>
            <w:r>
              <w:t>2</w:t>
            </w:r>
          </w:p>
        </w:tc>
        <w:tc>
          <w:tcPr>
            <w:tcW w:w="1134" w:type="dxa"/>
            <w:vAlign w:val="center"/>
          </w:tcPr>
          <w:p w14:paraId="6091054B">
            <w:pPr>
              <w:pStyle w:val="11"/>
            </w:pPr>
            <w:r>
              <w:t>3</w:t>
            </w:r>
          </w:p>
        </w:tc>
        <w:tc>
          <w:tcPr>
            <w:tcW w:w="1134" w:type="dxa"/>
            <w:vAlign w:val="center"/>
          </w:tcPr>
          <w:p w14:paraId="03C560D5">
            <w:pPr>
              <w:pStyle w:val="11"/>
            </w:pPr>
            <w:r>
              <w:t>4</w:t>
            </w:r>
          </w:p>
        </w:tc>
        <w:tc>
          <w:tcPr>
            <w:tcW w:w="1134" w:type="dxa"/>
            <w:vAlign w:val="center"/>
          </w:tcPr>
          <w:p w14:paraId="65C6F173">
            <w:pPr>
              <w:pStyle w:val="11"/>
            </w:pPr>
            <w:r>
              <w:t>5</w:t>
            </w:r>
          </w:p>
        </w:tc>
        <w:tc>
          <w:tcPr>
            <w:tcW w:w="1134" w:type="dxa"/>
            <w:vAlign w:val="center"/>
          </w:tcPr>
          <w:p w14:paraId="510EF881">
            <w:pPr>
              <w:pStyle w:val="11"/>
            </w:pPr>
            <w:r>
              <w:t>6</w:t>
            </w:r>
          </w:p>
        </w:tc>
        <w:tc>
          <w:tcPr>
            <w:tcW w:w="1134" w:type="dxa"/>
            <w:vAlign w:val="center"/>
          </w:tcPr>
          <w:p w14:paraId="70257A6C">
            <w:pPr>
              <w:pStyle w:val="11"/>
            </w:pPr>
            <w:r>
              <w:t>7</w:t>
            </w:r>
          </w:p>
        </w:tc>
        <w:tc>
          <w:tcPr>
            <w:tcW w:w="1134" w:type="dxa"/>
            <w:vAlign w:val="center"/>
          </w:tcPr>
          <w:p w14:paraId="4FED0A4C">
            <w:pPr>
              <w:pStyle w:val="11"/>
            </w:pPr>
            <w:r>
              <w:t>8</w:t>
            </w:r>
          </w:p>
        </w:tc>
        <w:tc>
          <w:tcPr>
            <w:tcW w:w="1134" w:type="dxa"/>
            <w:vAlign w:val="center"/>
          </w:tcPr>
          <w:p w14:paraId="4776E83B">
            <w:pPr>
              <w:pStyle w:val="11"/>
            </w:pPr>
            <w:r>
              <w:t>9</w:t>
            </w:r>
          </w:p>
        </w:tc>
        <w:tc>
          <w:tcPr>
            <w:tcW w:w="1134" w:type="dxa"/>
            <w:vAlign w:val="center"/>
          </w:tcPr>
          <w:p w14:paraId="079FAAC6">
            <w:pPr>
              <w:pStyle w:val="11"/>
            </w:pPr>
            <w:r>
              <w:t>10</w:t>
            </w:r>
          </w:p>
        </w:tc>
        <w:tc>
          <w:tcPr>
            <w:tcW w:w="1134" w:type="dxa"/>
            <w:vAlign w:val="center"/>
          </w:tcPr>
          <w:p w14:paraId="0F2D6B2F">
            <w:pPr>
              <w:pStyle w:val="11"/>
            </w:pPr>
            <w:r>
              <w:t>11</w:t>
            </w:r>
          </w:p>
        </w:tc>
        <w:tc>
          <w:tcPr>
            <w:tcW w:w="1134" w:type="dxa"/>
            <w:vAlign w:val="center"/>
          </w:tcPr>
          <w:p w14:paraId="125E4D2B">
            <w:pPr>
              <w:pStyle w:val="11"/>
            </w:pPr>
            <w:r>
              <w:t>12</w:t>
            </w:r>
          </w:p>
        </w:tc>
      </w:tr>
      <w:tr w14:paraId="5F7BE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F47DF5">
            <w:pPr>
              <w:pStyle w:val="12"/>
            </w:pPr>
            <w:r>
              <w:t>1</w:t>
            </w:r>
          </w:p>
        </w:tc>
        <w:tc>
          <w:tcPr>
            <w:tcW w:w="992" w:type="dxa"/>
            <w:vAlign w:val="center"/>
          </w:tcPr>
          <w:p w14:paraId="01F5F8ED">
            <w:pPr>
              <w:pStyle w:val="17"/>
            </w:pPr>
          </w:p>
        </w:tc>
        <w:tc>
          <w:tcPr>
            <w:tcW w:w="1559" w:type="dxa"/>
            <w:vAlign w:val="center"/>
          </w:tcPr>
          <w:p w14:paraId="72B5D93F">
            <w:pPr>
              <w:pStyle w:val="15"/>
            </w:pPr>
            <w:r>
              <w:t>合计</w:t>
            </w:r>
          </w:p>
        </w:tc>
        <w:tc>
          <w:tcPr>
            <w:tcW w:w="1134" w:type="dxa"/>
            <w:vAlign w:val="center"/>
          </w:tcPr>
          <w:p w14:paraId="6174F798">
            <w:pPr>
              <w:pStyle w:val="16"/>
            </w:pPr>
            <w:r>
              <w:t>6087.61</w:t>
            </w:r>
          </w:p>
        </w:tc>
        <w:tc>
          <w:tcPr>
            <w:tcW w:w="1134" w:type="dxa"/>
            <w:vAlign w:val="center"/>
          </w:tcPr>
          <w:p w14:paraId="0C11875B">
            <w:pPr>
              <w:pStyle w:val="16"/>
            </w:pPr>
            <w:r>
              <w:t>6087.61</w:t>
            </w:r>
          </w:p>
        </w:tc>
        <w:tc>
          <w:tcPr>
            <w:tcW w:w="1134" w:type="dxa"/>
            <w:vAlign w:val="center"/>
          </w:tcPr>
          <w:p w14:paraId="70B61B92">
            <w:pPr>
              <w:pStyle w:val="16"/>
            </w:pPr>
            <w:r>
              <w:t>6087.61</w:t>
            </w:r>
          </w:p>
        </w:tc>
        <w:tc>
          <w:tcPr>
            <w:tcW w:w="1134" w:type="dxa"/>
            <w:vAlign w:val="center"/>
          </w:tcPr>
          <w:p w14:paraId="26546519">
            <w:pPr>
              <w:pStyle w:val="16"/>
            </w:pPr>
          </w:p>
        </w:tc>
        <w:tc>
          <w:tcPr>
            <w:tcW w:w="1134" w:type="dxa"/>
            <w:vAlign w:val="center"/>
          </w:tcPr>
          <w:p w14:paraId="2CCC2B2D">
            <w:pPr>
              <w:pStyle w:val="16"/>
            </w:pPr>
          </w:p>
        </w:tc>
        <w:tc>
          <w:tcPr>
            <w:tcW w:w="1134" w:type="dxa"/>
            <w:vAlign w:val="center"/>
          </w:tcPr>
          <w:p w14:paraId="7D41754D">
            <w:pPr>
              <w:pStyle w:val="16"/>
            </w:pPr>
          </w:p>
        </w:tc>
        <w:tc>
          <w:tcPr>
            <w:tcW w:w="1134" w:type="dxa"/>
            <w:vAlign w:val="center"/>
          </w:tcPr>
          <w:p w14:paraId="26D18FAF">
            <w:pPr>
              <w:pStyle w:val="16"/>
            </w:pPr>
          </w:p>
        </w:tc>
        <w:tc>
          <w:tcPr>
            <w:tcW w:w="1134" w:type="dxa"/>
            <w:vAlign w:val="center"/>
          </w:tcPr>
          <w:p w14:paraId="5EDEC6F3">
            <w:pPr>
              <w:pStyle w:val="16"/>
            </w:pPr>
          </w:p>
        </w:tc>
        <w:tc>
          <w:tcPr>
            <w:tcW w:w="1134" w:type="dxa"/>
            <w:vAlign w:val="center"/>
          </w:tcPr>
          <w:p w14:paraId="70116942">
            <w:pPr>
              <w:pStyle w:val="16"/>
            </w:pPr>
          </w:p>
        </w:tc>
        <w:tc>
          <w:tcPr>
            <w:tcW w:w="1134" w:type="dxa"/>
            <w:vAlign w:val="center"/>
          </w:tcPr>
          <w:p w14:paraId="5D285BF2">
            <w:pPr>
              <w:pStyle w:val="16"/>
            </w:pPr>
          </w:p>
        </w:tc>
      </w:tr>
      <w:tr w14:paraId="6F20B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52D790">
            <w:pPr>
              <w:pStyle w:val="12"/>
            </w:pPr>
            <w:r>
              <w:t>2</w:t>
            </w:r>
          </w:p>
        </w:tc>
        <w:tc>
          <w:tcPr>
            <w:tcW w:w="992" w:type="dxa"/>
            <w:vAlign w:val="center"/>
          </w:tcPr>
          <w:p w14:paraId="0FFD02CD">
            <w:pPr>
              <w:pStyle w:val="13"/>
            </w:pPr>
            <w:r>
              <w:t>205</w:t>
            </w:r>
          </w:p>
        </w:tc>
        <w:tc>
          <w:tcPr>
            <w:tcW w:w="1559" w:type="dxa"/>
            <w:vAlign w:val="center"/>
          </w:tcPr>
          <w:p w14:paraId="0E4E9B07">
            <w:pPr>
              <w:pStyle w:val="13"/>
            </w:pPr>
            <w:r>
              <w:t>教育支出</w:t>
            </w:r>
          </w:p>
        </w:tc>
        <w:tc>
          <w:tcPr>
            <w:tcW w:w="1134" w:type="dxa"/>
            <w:vAlign w:val="center"/>
          </w:tcPr>
          <w:p w14:paraId="62340660">
            <w:pPr>
              <w:pStyle w:val="14"/>
            </w:pPr>
            <w:r>
              <w:t>6087.61</w:t>
            </w:r>
          </w:p>
        </w:tc>
        <w:tc>
          <w:tcPr>
            <w:tcW w:w="1134" w:type="dxa"/>
            <w:vAlign w:val="center"/>
          </w:tcPr>
          <w:p w14:paraId="2AEDAD66">
            <w:pPr>
              <w:pStyle w:val="14"/>
            </w:pPr>
            <w:r>
              <w:t>6087.61</w:t>
            </w:r>
          </w:p>
        </w:tc>
        <w:tc>
          <w:tcPr>
            <w:tcW w:w="1134" w:type="dxa"/>
            <w:vAlign w:val="center"/>
          </w:tcPr>
          <w:p w14:paraId="57F5DCF0">
            <w:pPr>
              <w:pStyle w:val="14"/>
            </w:pPr>
            <w:r>
              <w:t>6087.61</w:t>
            </w:r>
          </w:p>
        </w:tc>
        <w:tc>
          <w:tcPr>
            <w:tcW w:w="1134" w:type="dxa"/>
            <w:vAlign w:val="center"/>
          </w:tcPr>
          <w:p w14:paraId="6708127A">
            <w:pPr>
              <w:pStyle w:val="14"/>
            </w:pPr>
          </w:p>
        </w:tc>
        <w:tc>
          <w:tcPr>
            <w:tcW w:w="1134" w:type="dxa"/>
            <w:vAlign w:val="center"/>
          </w:tcPr>
          <w:p w14:paraId="722AE96C">
            <w:pPr>
              <w:pStyle w:val="14"/>
            </w:pPr>
          </w:p>
        </w:tc>
        <w:tc>
          <w:tcPr>
            <w:tcW w:w="1134" w:type="dxa"/>
            <w:vAlign w:val="center"/>
          </w:tcPr>
          <w:p w14:paraId="450A084C">
            <w:pPr>
              <w:pStyle w:val="14"/>
            </w:pPr>
          </w:p>
        </w:tc>
        <w:tc>
          <w:tcPr>
            <w:tcW w:w="1134" w:type="dxa"/>
            <w:vAlign w:val="center"/>
          </w:tcPr>
          <w:p w14:paraId="166161FA">
            <w:pPr>
              <w:pStyle w:val="14"/>
            </w:pPr>
          </w:p>
        </w:tc>
        <w:tc>
          <w:tcPr>
            <w:tcW w:w="1134" w:type="dxa"/>
            <w:vAlign w:val="center"/>
          </w:tcPr>
          <w:p w14:paraId="6CF7C790">
            <w:pPr>
              <w:pStyle w:val="14"/>
            </w:pPr>
          </w:p>
        </w:tc>
        <w:tc>
          <w:tcPr>
            <w:tcW w:w="1134" w:type="dxa"/>
            <w:vAlign w:val="center"/>
          </w:tcPr>
          <w:p w14:paraId="3DED4315">
            <w:pPr>
              <w:pStyle w:val="14"/>
            </w:pPr>
          </w:p>
        </w:tc>
        <w:tc>
          <w:tcPr>
            <w:tcW w:w="1134" w:type="dxa"/>
            <w:vAlign w:val="center"/>
          </w:tcPr>
          <w:p w14:paraId="478C0BC7">
            <w:pPr>
              <w:pStyle w:val="14"/>
            </w:pPr>
          </w:p>
        </w:tc>
      </w:tr>
      <w:tr w14:paraId="4391E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C6CAB">
            <w:pPr>
              <w:pStyle w:val="12"/>
            </w:pPr>
            <w:r>
              <w:t>3</w:t>
            </w:r>
          </w:p>
        </w:tc>
        <w:tc>
          <w:tcPr>
            <w:tcW w:w="992" w:type="dxa"/>
            <w:vAlign w:val="center"/>
          </w:tcPr>
          <w:p w14:paraId="3D9CF571">
            <w:pPr>
              <w:pStyle w:val="13"/>
            </w:pPr>
            <w:r>
              <w:t>20502</w:t>
            </w:r>
          </w:p>
        </w:tc>
        <w:tc>
          <w:tcPr>
            <w:tcW w:w="1559" w:type="dxa"/>
            <w:vAlign w:val="center"/>
          </w:tcPr>
          <w:p w14:paraId="18A01907">
            <w:pPr>
              <w:pStyle w:val="13"/>
            </w:pPr>
            <w:r>
              <w:t>普通教育</w:t>
            </w:r>
          </w:p>
        </w:tc>
        <w:tc>
          <w:tcPr>
            <w:tcW w:w="1134" w:type="dxa"/>
            <w:vAlign w:val="center"/>
          </w:tcPr>
          <w:p w14:paraId="1F0F6DF5">
            <w:pPr>
              <w:pStyle w:val="14"/>
            </w:pPr>
            <w:r>
              <w:t>6087.61</w:t>
            </w:r>
          </w:p>
        </w:tc>
        <w:tc>
          <w:tcPr>
            <w:tcW w:w="1134" w:type="dxa"/>
            <w:vAlign w:val="center"/>
          </w:tcPr>
          <w:p w14:paraId="2D74A680">
            <w:pPr>
              <w:pStyle w:val="14"/>
            </w:pPr>
            <w:r>
              <w:t>6087.61</w:t>
            </w:r>
          </w:p>
        </w:tc>
        <w:tc>
          <w:tcPr>
            <w:tcW w:w="1134" w:type="dxa"/>
            <w:vAlign w:val="center"/>
          </w:tcPr>
          <w:p w14:paraId="50194CBE">
            <w:pPr>
              <w:pStyle w:val="14"/>
            </w:pPr>
            <w:r>
              <w:t>6087.61</w:t>
            </w:r>
          </w:p>
        </w:tc>
        <w:tc>
          <w:tcPr>
            <w:tcW w:w="1134" w:type="dxa"/>
            <w:vAlign w:val="center"/>
          </w:tcPr>
          <w:p w14:paraId="23CEF874">
            <w:pPr>
              <w:pStyle w:val="14"/>
            </w:pPr>
          </w:p>
        </w:tc>
        <w:tc>
          <w:tcPr>
            <w:tcW w:w="1134" w:type="dxa"/>
            <w:vAlign w:val="center"/>
          </w:tcPr>
          <w:p w14:paraId="6AB3BD97">
            <w:pPr>
              <w:pStyle w:val="14"/>
            </w:pPr>
          </w:p>
        </w:tc>
        <w:tc>
          <w:tcPr>
            <w:tcW w:w="1134" w:type="dxa"/>
            <w:vAlign w:val="center"/>
          </w:tcPr>
          <w:p w14:paraId="1CC87689">
            <w:pPr>
              <w:pStyle w:val="14"/>
            </w:pPr>
          </w:p>
        </w:tc>
        <w:tc>
          <w:tcPr>
            <w:tcW w:w="1134" w:type="dxa"/>
            <w:vAlign w:val="center"/>
          </w:tcPr>
          <w:p w14:paraId="43DEC079">
            <w:pPr>
              <w:pStyle w:val="14"/>
            </w:pPr>
          </w:p>
        </w:tc>
        <w:tc>
          <w:tcPr>
            <w:tcW w:w="1134" w:type="dxa"/>
            <w:vAlign w:val="center"/>
          </w:tcPr>
          <w:p w14:paraId="57EDD4F3">
            <w:pPr>
              <w:pStyle w:val="14"/>
            </w:pPr>
          </w:p>
        </w:tc>
        <w:tc>
          <w:tcPr>
            <w:tcW w:w="1134" w:type="dxa"/>
            <w:vAlign w:val="center"/>
          </w:tcPr>
          <w:p w14:paraId="505B0930">
            <w:pPr>
              <w:pStyle w:val="14"/>
            </w:pPr>
          </w:p>
        </w:tc>
        <w:tc>
          <w:tcPr>
            <w:tcW w:w="1134" w:type="dxa"/>
            <w:vAlign w:val="center"/>
          </w:tcPr>
          <w:p w14:paraId="76308BD3">
            <w:pPr>
              <w:pStyle w:val="14"/>
            </w:pPr>
          </w:p>
        </w:tc>
      </w:tr>
      <w:tr w14:paraId="5582F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4E8ABA59">
            <w:pPr>
              <w:pStyle w:val="12"/>
            </w:pPr>
            <w:r>
              <w:t>4</w:t>
            </w:r>
          </w:p>
        </w:tc>
        <w:tc>
          <w:tcPr>
            <w:tcW w:w="992" w:type="dxa"/>
            <w:vAlign w:val="center"/>
          </w:tcPr>
          <w:p w14:paraId="5F155432">
            <w:pPr>
              <w:pStyle w:val="13"/>
            </w:pPr>
            <w:r>
              <w:t>2050201</w:t>
            </w:r>
          </w:p>
        </w:tc>
        <w:tc>
          <w:tcPr>
            <w:tcW w:w="1559" w:type="dxa"/>
            <w:vAlign w:val="center"/>
          </w:tcPr>
          <w:p w14:paraId="6AC86DD2">
            <w:pPr>
              <w:pStyle w:val="13"/>
            </w:pPr>
            <w:r>
              <w:t>学前教育</w:t>
            </w:r>
          </w:p>
        </w:tc>
        <w:tc>
          <w:tcPr>
            <w:tcW w:w="1134" w:type="dxa"/>
            <w:vAlign w:val="center"/>
          </w:tcPr>
          <w:p w14:paraId="730260B1">
            <w:pPr>
              <w:pStyle w:val="14"/>
            </w:pPr>
            <w:r>
              <w:t>712.55</w:t>
            </w:r>
          </w:p>
        </w:tc>
        <w:tc>
          <w:tcPr>
            <w:tcW w:w="1134" w:type="dxa"/>
            <w:vAlign w:val="center"/>
          </w:tcPr>
          <w:p w14:paraId="4D9D6D02">
            <w:pPr>
              <w:pStyle w:val="14"/>
            </w:pPr>
            <w:r>
              <w:t>712.55</w:t>
            </w:r>
          </w:p>
        </w:tc>
        <w:tc>
          <w:tcPr>
            <w:tcW w:w="1134" w:type="dxa"/>
            <w:vAlign w:val="center"/>
          </w:tcPr>
          <w:p w14:paraId="5AEF2049">
            <w:pPr>
              <w:pStyle w:val="14"/>
            </w:pPr>
            <w:r>
              <w:t>712.55</w:t>
            </w:r>
          </w:p>
        </w:tc>
        <w:tc>
          <w:tcPr>
            <w:tcW w:w="1134" w:type="dxa"/>
            <w:vAlign w:val="center"/>
          </w:tcPr>
          <w:p w14:paraId="54DD50FF">
            <w:pPr>
              <w:pStyle w:val="14"/>
            </w:pPr>
          </w:p>
        </w:tc>
        <w:tc>
          <w:tcPr>
            <w:tcW w:w="1134" w:type="dxa"/>
            <w:vAlign w:val="center"/>
          </w:tcPr>
          <w:p w14:paraId="581D706B">
            <w:pPr>
              <w:pStyle w:val="14"/>
            </w:pPr>
          </w:p>
        </w:tc>
        <w:tc>
          <w:tcPr>
            <w:tcW w:w="1134" w:type="dxa"/>
            <w:vAlign w:val="center"/>
          </w:tcPr>
          <w:p w14:paraId="7FF479D3">
            <w:pPr>
              <w:pStyle w:val="14"/>
            </w:pPr>
          </w:p>
        </w:tc>
        <w:tc>
          <w:tcPr>
            <w:tcW w:w="1134" w:type="dxa"/>
            <w:vAlign w:val="center"/>
          </w:tcPr>
          <w:p w14:paraId="53A3AAA9">
            <w:pPr>
              <w:pStyle w:val="14"/>
            </w:pPr>
          </w:p>
        </w:tc>
        <w:tc>
          <w:tcPr>
            <w:tcW w:w="1134" w:type="dxa"/>
            <w:vAlign w:val="center"/>
          </w:tcPr>
          <w:p w14:paraId="125EE9EE">
            <w:pPr>
              <w:pStyle w:val="14"/>
            </w:pPr>
          </w:p>
        </w:tc>
        <w:tc>
          <w:tcPr>
            <w:tcW w:w="1134" w:type="dxa"/>
            <w:vAlign w:val="center"/>
          </w:tcPr>
          <w:p w14:paraId="391CEE61">
            <w:pPr>
              <w:pStyle w:val="14"/>
            </w:pPr>
          </w:p>
        </w:tc>
        <w:tc>
          <w:tcPr>
            <w:tcW w:w="1134" w:type="dxa"/>
            <w:vAlign w:val="center"/>
          </w:tcPr>
          <w:p w14:paraId="7A5481F6">
            <w:pPr>
              <w:pStyle w:val="14"/>
            </w:pPr>
          </w:p>
        </w:tc>
      </w:tr>
      <w:tr w14:paraId="542C3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0FEA96">
            <w:pPr>
              <w:pStyle w:val="12"/>
            </w:pPr>
            <w:r>
              <w:t>5</w:t>
            </w:r>
          </w:p>
        </w:tc>
        <w:tc>
          <w:tcPr>
            <w:tcW w:w="992" w:type="dxa"/>
            <w:vAlign w:val="center"/>
          </w:tcPr>
          <w:p w14:paraId="5CD8FD0E">
            <w:pPr>
              <w:pStyle w:val="13"/>
            </w:pPr>
            <w:r>
              <w:t>2050202</w:t>
            </w:r>
          </w:p>
        </w:tc>
        <w:tc>
          <w:tcPr>
            <w:tcW w:w="1559" w:type="dxa"/>
            <w:vAlign w:val="center"/>
          </w:tcPr>
          <w:p w14:paraId="10DE21AA">
            <w:pPr>
              <w:pStyle w:val="13"/>
            </w:pPr>
            <w:r>
              <w:t>小学教育</w:t>
            </w:r>
          </w:p>
        </w:tc>
        <w:tc>
          <w:tcPr>
            <w:tcW w:w="1134" w:type="dxa"/>
            <w:vAlign w:val="center"/>
          </w:tcPr>
          <w:p w14:paraId="345A01A6">
            <w:pPr>
              <w:pStyle w:val="14"/>
            </w:pPr>
            <w:r>
              <w:t>5375.06</w:t>
            </w:r>
          </w:p>
        </w:tc>
        <w:tc>
          <w:tcPr>
            <w:tcW w:w="1134" w:type="dxa"/>
            <w:vAlign w:val="center"/>
          </w:tcPr>
          <w:p w14:paraId="22F24F20">
            <w:pPr>
              <w:pStyle w:val="14"/>
            </w:pPr>
            <w:r>
              <w:t>5375.06</w:t>
            </w:r>
          </w:p>
        </w:tc>
        <w:tc>
          <w:tcPr>
            <w:tcW w:w="1134" w:type="dxa"/>
            <w:vAlign w:val="center"/>
          </w:tcPr>
          <w:p w14:paraId="5028C794">
            <w:pPr>
              <w:pStyle w:val="14"/>
            </w:pPr>
            <w:r>
              <w:t>5375.06</w:t>
            </w:r>
          </w:p>
        </w:tc>
        <w:tc>
          <w:tcPr>
            <w:tcW w:w="1134" w:type="dxa"/>
            <w:vAlign w:val="center"/>
          </w:tcPr>
          <w:p w14:paraId="6A0A9B8A">
            <w:pPr>
              <w:pStyle w:val="14"/>
            </w:pPr>
          </w:p>
        </w:tc>
        <w:tc>
          <w:tcPr>
            <w:tcW w:w="1134" w:type="dxa"/>
            <w:vAlign w:val="center"/>
          </w:tcPr>
          <w:p w14:paraId="7BC2A0CE">
            <w:pPr>
              <w:pStyle w:val="14"/>
            </w:pPr>
          </w:p>
        </w:tc>
        <w:tc>
          <w:tcPr>
            <w:tcW w:w="1134" w:type="dxa"/>
            <w:vAlign w:val="center"/>
          </w:tcPr>
          <w:p w14:paraId="021D25CA">
            <w:pPr>
              <w:pStyle w:val="14"/>
            </w:pPr>
          </w:p>
        </w:tc>
        <w:tc>
          <w:tcPr>
            <w:tcW w:w="1134" w:type="dxa"/>
            <w:vAlign w:val="center"/>
          </w:tcPr>
          <w:p w14:paraId="569E59EC">
            <w:pPr>
              <w:pStyle w:val="14"/>
            </w:pPr>
          </w:p>
        </w:tc>
        <w:tc>
          <w:tcPr>
            <w:tcW w:w="1134" w:type="dxa"/>
            <w:vAlign w:val="center"/>
          </w:tcPr>
          <w:p w14:paraId="19871ECB">
            <w:pPr>
              <w:pStyle w:val="14"/>
            </w:pPr>
          </w:p>
        </w:tc>
        <w:tc>
          <w:tcPr>
            <w:tcW w:w="1134" w:type="dxa"/>
            <w:vAlign w:val="center"/>
          </w:tcPr>
          <w:p w14:paraId="3BE8EFBA">
            <w:pPr>
              <w:pStyle w:val="14"/>
            </w:pPr>
          </w:p>
        </w:tc>
        <w:tc>
          <w:tcPr>
            <w:tcW w:w="1134" w:type="dxa"/>
            <w:vAlign w:val="center"/>
          </w:tcPr>
          <w:p w14:paraId="6D3F81D8">
            <w:pPr>
              <w:pStyle w:val="14"/>
            </w:pPr>
          </w:p>
        </w:tc>
      </w:tr>
    </w:tbl>
    <w:p w14:paraId="3402B3CC">
      <w:pPr>
        <w:sectPr>
          <w:pgSz w:w="16840" w:h="11900" w:orient="landscape"/>
          <w:pgMar w:top="1361" w:right="1020" w:bottom="1134" w:left="1020" w:header="720" w:footer="720" w:gutter="0"/>
          <w:cols w:space="720" w:num="1"/>
        </w:sectPr>
      </w:pPr>
    </w:p>
    <w:p w14:paraId="26FEC1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CE2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EAC7D0">
            <w:pPr>
              <w:pStyle w:val="8"/>
            </w:pPr>
            <w:r>
              <w:t>360016隆尧县城关校区</w:t>
            </w:r>
          </w:p>
        </w:tc>
        <w:tc>
          <w:tcPr>
            <w:tcW w:w="2722" w:type="dxa"/>
            <w:gridSpan w:val="2"/>
            <w:tcBorders>
              <w:top w:val="single" w:color="FFFFFF" w:sz="6" w:space="0"/>
              <w:left w:val="single" w:color="FFFFFF" w:sz="6" w:space="0"/>
              <w:right w:val="single" w:color="FFFFFF" w:sz="6" w:space="0"/>
            </w:tcBorders>
            <w:vAlign w:val="center"/>
          </w:tcPr>
          <w:p w14:paraId="09EAB8E9">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94027CB">
            <w:pPr>
              <w:pStyle w:val="10"/>
            </w:pPr>
            <w:r>
              <w:t>单位：万元</w:t>
            </w:r>
          </w:p>
        </w:tc>
      </w:tr>
      <w:tr w14:paraId="286D6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2CF9CE">
            <w:pPr>
              <w:pStyle w:val="11"/>
            </w:pPr>
            <w:r>
              <w:t>序号</w:t>
            </w:r>
          </w:p>
        </w:tc>
        <w:tc>
          <w:tcPr>
            <w:tcW w:w="5527" w:type="dxa"/>
            <w:gridSpan w:val="2"/>
            <w:vAlign w:val="center"/>
          </w:tcPr>
          <w:p w14:paraId="3282D9A0">
            <w:pPr>
              <w:pStyle w:val="11"/>
            </w:pPr>
            <w:r>
              <w:t>功能分类科目</w:t>
            </w:r>
          </w:p>
        </w:tc>
        <w:tc>
          <w:tcPr>
            <w:tcW w:w="1361" w:type="dxa"/>
            <w:vMerge w:val="restart"/>
            <w:vAlign w:val="center"/>
          </w:tcPr>
          <w:p w14:paraId="0D2CEDBA">
            <w:pPr>
              <w:pStyle w:val="11"/>
            </w:pPr>
            <w:r>
              <w:t>合计</w:t>
            </w:r>
          </w:p>
        </w:tc>
        <w:tc>
          <w:tcPr>
            <w:tcW w:w="1361" w:type="dxa"/>
            <w:vMerge w:val="restart"/>
            <w:vAlign w:val="center"/>
          </w:tcPr>
          <w:p w14:paraId="25E38982">
            <w:pPr>
              <w:pStyle w:val="11"/>
            </w:pPr>
            <w:r>
              <w:t>基本支出</w:t>
            </w:r>
          </w:p>
        </w:tc>
        <w:tc>
          <w:tcPr>
            <w:tcW w:w="1361" w:type="dxa"/>
            <w:vMerge w:val="restart"/>
            <w:vAlign w:val="center"/>
          </w:tcPr>
          <w:p w14:paraId="553DFD15">
            <w:pPr>
              <w:pStyle w:val="11"/>
            </w:pPr>
            <w:r>
              <w:t>项目支出</w:t>
            </w:r>
          </w:p>
        </w:tc>
        <w:tc>
          <w:tcPr>
            <w:tcW w:w="1361" w:type="dxa"/>
            <w:vMerge w:val="restart"/>
            <w:vAlign w:val="center"/>
          </w:tcPr>
          <w:p w14:paraId="77D935A0">
            <w:pPr>
              <w:pStyle w:val="11"/>
            </w:pPr>
            <w:r>
              <w:t>经营支出</w:t>
            </w:r>
          </w:p>
        </w:tc>
        <w:tc>
          <w:tcPr>
            <w:tcW w:w="1361" w:type="dxa"/>
            <w:vMerge w:val="restart"/>
            <w:vAlign w:val="center"/>
          </w:tcPr>
          <w:p w14:paraId="72B20B41">
            <w:pPr>
              <w:pStyle w:val="11"/>
            </w:pPr>
            <w:r>
              <w:t>上解上级     支出</w:t>
            </w:r>
          </w:p>
        </w:tc>
        <w:tc>
          <w:tcPr>
            <w:tcW w:w="1361" w:type="dxa"/>
            <w:vMerge w:val="restart"/>
            <w:vAlign w:val="center"/>
          </w:tcPr>
          <w:p w14:paraId="75D4C330">
            <w:pPr>
              <w:pStyle w:val="11"/>
            </w:pPr>
            <w:r>
              <w:t>对附属单位补助支出</w:t>
            </w:r>
          </w:p>
        </w:tc>
      </w:tr>
      <w:tr w14:paraId="788E1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2DF2C1"/>
        </w:tc>
        <w:tc>
          <w:tcPr>
            <w:tcW w:w="992" w:type="dxa"/>
            <w:vAlign w:val="center"/>
          </w:tcPr>
          <w:p w14:paraId="27EF880F">
            <w:pPr>
              <w:pStyle w:val="11"/>
            </w:pPr>
            <w:r>
              <w:t>科目    编码</w:t>
            </w:r>
          </w:p>
        </w:tc>
        <w:tc>
          <w:tcPr>
            <w:tcW w:w="4535" w:type="dxa"/>
            <w:vAlign w:val="center"/>
          </w:tcPr>
          <w:p w14:paraId="397A9220">
            <w:pPr>
              <w:pStyle w:val="11"/>
            </w:pPr>
            <w:r>
              <w:t>科目名称</w:t>
            </w:r>
          </w:p>
        </w:tc>
        <w:tc>
          <w:tcPr>
            <w:tcW w:w="1361" w:type="dxa"/>
            <w:vMerge w:val="continue"/>
          </w:tcPr>
          <w:p w14:paraId="28359D9E"/>
        </w:tc>
        <w:tc>
          <w:tcPr>
            <w:tcW w:w="1361" w:type="dxa"/>
            <w:vMerge w:val="continue"/>
          </w:tcPr>
          <w:p w14:paraId="7A69F1C7"/>
        </w:tc>
        <w:tc>
          <w:tcPr>
            <w:tcW w:w="1361" w:type="dxa"/>
            <w:vMerge w:val="continue"/>
          </w:tcPr>
          <w:p w14:paraId="5D08B172"/>
        </w:tc>
        <w:tc>
          <w:tcPr>
            <w:tcW w:w="1361" w:type="dxa"/>
            <w:vMerge w:val="continue"/>
          </w:tcPr>
          <w:p w14:paraId="1A40D6D5"/>
        </w:tc>
        <w:tc>
          <w:tcPr>
            <w:tcW w:w="1361" w:type="dxa"/>
            <w:vMerge w:val="continue"/>
          </w:tcPr>
          <w:p w14:paraId="0AE1D3FB"/>
        </w:tc>
        <w:tc>
          <w:tcPr>
            <w:tcW w:w="1361" w:type="dxa"/>
            <w:vMerge w:val="continue"/>
          </w:tcPr>
          <w:p w14:paraId="098112C0"/>
        </w:tc>
      </w:tr>
      <w:tr w14:paraId="48BD8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6E0B2">
            <w:pPr>
              <w:pStyle w:val="11"/>
            </w:pPr>
            <w:r>
              <w:t>栏次</w:t>
            </w:r>
          </w:p>
        </w:tc>
        <w:tc>
          <w:tcPr>
            <w:tcW w:w="992" w:type="dxa"/>
            <w:vAlign w:val="center"/>
          </w:tcPr>
          <w:p w14:paraId="15E1341B">
            <w:pPr>
              <w:pStyle w:val="11"/>
            </w:pPr>
            <w:r>
              <w:t>1</w:t>
            </w:r>
          </w:p>
        </w:tc>
        <w:tc>
          <w:tcPr>
            <w:tcW w:w="4535" w:type="dxa"/>
            <w:vAlign w:val="center"/>
          </w:tcPr>
          <w:p w14:paraId="6D6E3742">
            <w:pPr>
              <w:pStyle w:val="11"/>
            </w:pPr>
            <w:r>
              <w:t>2</w:t>
            </w:r>
          </w:p>
        </w:tc>
        <w:tc>
          <w:tcPr>
            <w:tcW w:w="1361" w:type="dxa"/>
            <w:vAlign w:val="center"/>
          </w:tcPr>
          <w:p w14:paraId="75408914">
            <w:pPr>
              <w:pStyle w:val="11"/>
            </w:pPr>
            <w:r>
              <w:t>3</w:t>
            </w:r>
          </w:p>
        </w:tc>
        <w:tc>
          <w:tcPr>
            <w:tcW w:w="1361" w:type="dxa"/>
            <w:vAlign w:val="center"/>
          </w:tcPr>
          <w:p w14:paraId="78B8546F">
            <w:pPr>
              <w:pStyle w:val="11"/>
            </w:pPr>
            <w:r>
              <w:t>4</w:t>
            </w:r>
          </w:p>
        </w:tc>
        <w:tc>
          <w:tcPr>
            <w:tcW w:w="1361" w:type="dxa"/>
            <w:vAlign w:val="center"/>
          </w:tcPr>
          <w:p w14:paraId="0E9F14C7">
            <w:pPr>
              <w:pStyle w:val="11"/>
            </w:pPr>
            <w:r>
              <w:t>5</w:t>
            </w:r>
          </w:p>
        </w:tc>
        <w:tc>
          <w:tcPr>
            <w:tcW w:w="1361" w:type="dxa"/>
            <w:vAlign w:val="center"/>
          </w:tcPr>
          <w:p w14:paraId="610D7A5A">
            <w:pPr>
              <w:pStyle w:val="11"/>
            </w:pPr>
            <w:r>
              <w:t>6</w:t>
            </w:r>
          </w:p>
        </w:tc>
        <w:tc>
          <w:tcPr>
            <w:tcW w:w="1361" w:type="dxa"/>
            <w:vAlign w:val="center"/>
          </w:tcPr>
          <w:p w14:paraId="7D53B62C">
            <w:pPr>
              <w:pStyle w:val="11"/>
            </w:pPr>
            <w:r>
              <w:t>7</w:t>
            </w:r>
          </w:p>
        </w:tc>
        <w:tc>
          <w:tcPr>
            <w:tcW w:w="1361" w:type="dxa"/>
            <w:vAlign w:val="center"/>
          </w:tcPr>
          <w:p w14:paraId="6901BF85">
            <w:pPr>
              <w:pStyle w:val="11"/>
            </w:pPr>
            <w:r>
              <w:t>8</w:t>
            </w:r>
          </w:p>
        </w:tc>
      </w:tr>
      <w:tr w14:paraId="04DE8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83F2A">
            <w:pPr>
              <w:pStyle w:val="12"/>
            </w:pPr>
            <w:r>
              <w:t>1</w:t>
            </w:r>
          </w:p>
        </w:tc>
        <w:tc>
          <w:tcPr>
            <w:tcW w:w="992" w:type="dxa"/>
            <w:vAlign w:val="center"/>
          </w:tcPr>
          <w:p w14:paraId="2DA24153">
            <w:pPr>
              <w:pStyle w:val="17"/>
            </w:pPr>
          </w:p>
        </w:tc>
        <w:tc>
          <w:tcPr>
            <w:tcW w:w="4535" w:type="dxa"/>
            <w:vAlign w:val="center"/>
          </w:tcPr>
          <w:p w14:paraId="4F013836">
            <w:pPr>
              <w:pStyle w:val="15"/>
            </w:pPr>
            <w:r>
              <w:t>合计</w:t>
            </w:r>
          </w:p>
        </w:tc>
        <w:tc>
          <w:tcPr>
            <w:tcW w:w="1361" w:type="dxa"/>
            <w:vAlign w:val="center"/>
          </w:tcPr>
          <w:p w14:paraId="65FC10DA">
            <w:pPr>
              <w:pStyle w:val="16"/>
            </w:pPr>
            <w:r>
              <w:t>6087.61</w:t>
            </w:r>
          </w:p>
        </w:tc>
        <w:tc>
          <w:tcPr>
            <w:tcW w:w="1361" w:type="dxa"/>
            <w:vAlign w:val="center"/>
          </w:tcPr>
          <w:p w14:paraId="04C67E4B">
            <w:pPr>
              <w:pStyle w:val="16"/>
            </w:pPr>
            <w:r>
              <w:t>4632.70</w:t>
            </w:r>
          </w:p>
        </w:tc>
        <w:tc>
          <w:tcPr>
            <w:tcW w:w="1361" w:type="dxa"/>
            <w:vAlign w:val="center"/>
          </w:tcPr>
          <w:p w14:paraId="7EBE3B19">
            <w:pPr>
              <w:pStyle w:val="16"/>
            </w:pPr>
            <w:r>
              <w:t>1454.91</w:t>
            </w:r>
          </w:p>
        </w:tc>
        <w:tc>
          <w:tcPr>
            <w:tcW w:w="1361" w:type="dxa"/>
            <w:vAlign w:val="center"/>
          </w:tcPr>
          <w:p w14:paraId="6E1E038D">
            <w:pPr>
              <w:pStyle w:val="16"/>
            </w:pPr>
          </w:p>
        </w:tc>
        <w:tc>
          <w:tcPr>
            <w:tcW w:w="1361" w:type="dxa"/>
            <w:vAlign w:val="center"/>
          </w:tcPr>
          <w:p w14:paraId="6BA2442D">
            <w:pPr>
              <w:pStyle w:val="16"/>
            </w:pPr>
          </w:p>
        </w:tc>
        <w:tc>
          <w:tcPr>
            <w:tcW w:w="1361" w:type="dxa"/>
            <w:vAlign w:val="center"/>
          </w:tcPr>
          <w:p w14:paraId="087AAF05">
            <w:pPr>
              <w:pStyle w:val="16"/>
            </w:pPr>
          </w:p>
        </w:tc>
      </w:tr>
      <w:tr w14:paraId="3C30A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114BB">
            <w:pPr>
              <w:pStyle w:val="12"/>
            </w:pPr>
            <w:r>
              <w:t>2</w:t>
            </w:r>
          </w:p>
        </w:tc>
        <w:tc>
          <w:tcPr>
            <w:tcW w:w="992" w:type="dxa"/>
            <w:vAlign w:val="center"/>
          </w:tcPr>
          <w:p w14:paraId="5D3AC67F">
            <w:pPr>
              <w:pStyle w:val="13"/>
            </w:pPr>
            <w:r>
              <w:t>205</w:t>
            </w:r>
          </w:p>
        </w:tc>
        <w:tc>
          <w:tcPr>
            <w:tcW w:w="4535" w:type="dxa"/>
            <w:vAlign w:val="center"/>
          </w:tcPr>
          <w:p w14:paraId="62E56738">
            <w:pPr>
              <w:pStyle w:val="13"/>
            </w:pPr>
            <w:r>
              <w:t>教育支出</w:t>
            </w:r>
          </w:p>
        </w:tc>
        <w:tc>
          <w:tcPr>
            <w:tcW w:w="1361" w:type="dxa"/>
            <w:vAlign w:val="center"/>
          </w:tcPr>
          <w:p w14:paraId="29C5053B">
            <w:pPr>
              <w:pStyle w:val="14"/>
            </w:pPr>
            <w:r>
              <w:t>6087.61</w:t>
            </w:r>
          </w:p>
        </w:tc>
        <w:tc>
          <w:tcPr>
            <w:tcW w:w="1361" w:type="dxa"/>
            <w:vAlign w:val="center"/>
          </w:tcPr>
          <w:p w14:paraId="71DF6B18">
            <w:pPr>
              <w:pStyle w:val="14"/>
            </w:pPr>
            <w:r>
              <w:t>4632.70</w:t>
            </w:r>
          </w:p>
        </w:tc>
        <w:tc>
          <w:tcPr>
            <w:tcW w:w="1361" w:type="dxa"/>
            <w:vAlign w:val="center"/>
          </w:tcPr>
          <w:p w14:paraId="05C8CA86">
            <w:pPr>
              <w:pStyle w:val="14"/>
            </w:pPr>
            <w:r>
              <w:t>1454.91</w:t>
            </w:r>
          </w:p>
        </w:tc>
        <w:tc>
          <w:tcPr>
            <w:tcW w:w="1361" w:type="dxa"/>
            <w:vAlign w:val="center"/>
          </w:tcPr>
          <w:p w14:paraId="795DEFF0">
            <w:pPr>
              <w:pStyle w:val="14"/>
            </w:pPr>
          </w:p>
        </w:tc>
        <w:tc>
          <w:tcPr>
            <w:tcW w:w="1361" w:type="dxa"/>
            <w:vAlign w:val="center"/>
          </w:tcPr>
          <w:p w14:paraId="55A459ED">
            <w:pPr>
              <w:pStyle w:val="14"/>
            </w:pPr>
          </w:p>
        </w:tc>
        <w:tc>
          <w:tcPr>
            <w:tcW w:w="1361" w:type="dxa"/>
            <w:vAlign w:val="center"/>
          </w:tcPr>
          <w:p w14:paraId="2D1DCB9C">
            <w:pPr>
              <w:pStyle w:val="14"/>
            </w:pPr>
          </w:p>
        </w:tc>
      </w:tr>
      <w:tr w14:paraId="6B19E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8BC71">
            <w:pPr>
              <w:pStyle w:val="12"/>
            </w:pPr>
            <w:r>
              <w:t>3</w:t>
            </w:r>
          </w:p>
        </w:tc>
        <w:tc>
          <w:tcPr>
            <w:tcW w:w="992" w:type="dxa"/>
            <w:vAlign w:val="center"/>
          </w:tcPr>
          <w:p w14:paraId="49FC2C16">
            <w:pPr>
              <w:pStyle w:val="13"/>
            </w:pPr>
            <w:r>
              <w:t>20502</w:t>
            </w:r>
          </w:p>
        </w:tc>
        <w:tc>
          <w:tcPr>
            <w:tcW w:w="4535" w:type="dxa"/>
            <w:vAlign w:val="center"/>
          </w:tcPr>
          <w:p w14:paraId="184E1C28">
            <w:pPr>
              <w:pStyle w:val="13"/>
            </w:pPr>
            <w:r>
              <w:t>普通教育</w:t>
            </w:r>
          </w:p>
        </w:tc>
        <w:tc>
          <w:tcPr>
            <w:tcW w:w="1361" w:type="dxa"/>
            <w:vAlign w:val="center"/>
          </w:tcPr>
          <w:p w14:paraId="0B32BF34">
            <w:pPr>
              <w:pStyle w:val="14"/>
            </w:pPr>
            <w:r>
              <w:t>6087.61</w:t>
            </w:r>
          </w:p>
        </w:tc>
        <w:tc>
          <w:tcPr>
            <w:tcW w:w="1361" w:type="dxa"/>
            <w:vAlign w:val="center"/>
          </w:tcPr>
          <w:p w14:paraId="33A22302">
            <w:pPr>
              <w:pStyle w:val="14"/>
            </w:pPr>
            <w:r>
              <w:t>4632.70</w:t>
            </w:r>
          </w:p>
        </w:tc>
        <w:tc>
          <w:tcPr>
            <w:tcW w:w="1361" w:type="dxa"/>
            <w:vAlign w:val="center"/>
          </w:tcPr>
          <w:p w14:paraId="6A6B7E12">
            <w:pPr>
              <w:pStyle w:val="14"/>
            </w:pPr>
            <w:r>
              <w:t>1454.91</w:t>
            </w:r>
          </w:p>
        </w:tc>
        <w:tc>
          <w:tcPr>
            <w:tcW w:w="1361" w:type="dxa"/>
            <w:vAlign w:val="center"/>
          </w:tcPr>
          <w:p w14:paraId="267CA0E8">
            <w:pPr>
              <w:pStyle w:val="14"/>
            </w:pPr>
          </w:p>
        </w:tc>
        <w:tc>
          <w:tcPr>
            <w:tcW w:w="1361" w:type="dxa"/>
            <w:vAlign w:val="center"/>
          </w:tcPr>
          <w:p w14:paraId="484E9CA9">
            <w:pPr>
              <w:pStyle w:val="14"/>
            </w:pPr>
          </w:p>
        </w:tc>
        <w:tc>
          <w:tcPr>
            <w:tcW w:w="1361" w:type="dxa"/>
            <w:vAlign w:val="center"/>
          </w:tcPr>
          <w:p w14:paraId="360C61E9">
            <w:pPr>
              <w:pStyle w:val="14"/>
            </w:pPr>
          </w:p>
        </w:tc>
      </w:tr>
      <w:tr w14:paraId="78BCE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9B08D">
            <w:pPr>
              <w:pStyle w:val="12"/>
            </w:pPr>
            <w:r>
              <w:t>4</w:t>
            </w:r>
          </w:p>
        </w:tc>
        <w:tc>
          <w:tcPr>
            <w:tcW w:w="992" w:type="dxa"/>
            <w:vAlign w:val="center"/>
          </w:tcPr>
          <w:p w14:paraId="4EBBE3EC">
            <w:pPr>
              <w:pStyle w:val="13"/>
            </w:pPr>
            <w:r>
              <w:t>2050201</w:t>
            </w:r>
          </w:p>
        </w:tc>
        <w:tc>
          <w:tcPr>
            <w:tcW w:w="4535" w:type="dxa"/>
            <w:vAlign w:val="center"/>
          </w:tcPr>
          <w:p w14:paraId="43C49274">
            <w:pPr>
              <w:pStyle w:val="13"/>
            </w:pPr>
            <w:r>
              <w:t>学前教育</w:t>
            </w:r>
          </w:p>
        </w:tc>
        <w:tc>
          <w:tcPr>
            <w:tcW w:w="1361" w:type="dxa"/>
            <w:vAlign w:val="center"/>
          </w:tcPr>
          <w:p w14:paraId="352C720A">
            <w:pPr>
              <w:pStyle w:val="14"/>
            </w:pPr>
            <w:r>
              <w:t>712.55</w:t>
            </w:r>
          </w:p>
        </w:tc>
        <w:tc>
          <w:tcPr>
            <w:tcW w:w="1361" w:type="dxa"/>
            <w:vAlign w:val="center"/>
          </w:tcPr>
          <w:p w14:paraId="4BF0E38D">
            <w:pPr>
              <w:pStyle w:val="14"/>
            </w:pPr>
          </w:p>
        </w:tc>
        <w:tc>
          <w:tcPr>
            <w:tcW w:w="1361" w:type="dxa"/>
            <w:vAlign w:val="center"/>
          </w:tcPr>
          <w:p w14:paraId="5E94AAED">
            <w:pPr>
              <w:pStyle w:val="14"/>
            </w:pPr>
            <w:r>
              <w:t>712.55</w:t>
            </w:r>
          </w:p>
        </w:tc>
        <w:tc>
          <w:tcPr>
            <w:tcW w:w="1361" w:type="dxa"/>
            <w:vAlign w:val="center"/>
          </w:tcPr>
          <w:p w14:paraId="363F55DE">
            <w:pPr>
              <w:pStyle w:val="14"/>
            </w:pPr>
          </w:p>
        </w:tc>
        <w:tc>
          <w:tcPr>
            <w:tcW w:w="1361" w:type="dxa"/>
            <w:vAlign w:val="center"/>
          </w:tcPr>
          <w:p w14:paraId="441A40D6">
            <w:pPr>
              <w:pStyle w:val="14"/>
            </w:pPr>
          </w:p>
        </w:tc>
        <w:tc>
          <w:tcPr>
            <w:tcW w:w="1361" w:type="dxa"/>
            <w:vAlign w:val="center"/>
          </w:tcPr>
          <w:p w14:paraId="2506F9C5">
            <w:pPr>
              <w:pStyle w:val="14"/>
            </w:pPr>
          </w:p>
        </w:tc>
      </w:tr>
      <w:tr w14:paraId="607ED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95DCA">
            <w:pPr>
              <w:pStyle w:val="12"/>
            </w:pPr>
            <w:r>
              <w:t>5</w:t>
            </w:r>
          </w:p>
        </w:tc>
        <w:tc>
          <w:tcPr>
            <w:tcW w:w="992" w:type="dxa"/>
            <w:vAlign w:val="center"/>
          </w:tcPr>
          <w:p w14:paraId="28CF25BD">
            <w:pPr>
              <w:pStyle w:val="13"/>
            </w:pPr>
            <w:r>
              <w:t>2050202</w:t>
            </w:r>
          </w:p>
        </w:tc>
        <w:tc>
          <w:tcPr>
            <w:tcW w:w="4535" w:type="dxa"/>
            <w:vAlign w:val="center"/>
          </w:tcPr>
          <w:p w14:paraId="319E6BBF">
            <w:pPr>
              <w:pStyle w:val="13"/>
            </w:pPr>
            <w:r>
              <w:t>小学教育</w:t>
            </w:r>
          </w:p>
        </w:tc>
        <w:tc>
          <w:tcPr>
            <w:tcW w:w="1361" w:type="dxa"/>
            <w:vAlign w:val="center"/>
          </w:tcPr>
          <w:p w14:paraId="0566D847">
            <w:pPr>
              <w:pStyle w:val="14"/>
            </w:pPr>
            <w:r>
              <w:t>5375.06</w:t>
            </w:r>
          </w:p>
        </w:tc>
        <w:tc>
          <w:tcPr>
            <w:tcW w:w="1361" w:type="dxa"/>
            <w:vAlign w:val="center"/>
          </w:tcPr>
          <w:p w14:paraId="1625BC47">
            <w:pPr>
              <w:pStyle w:val="14"/>
            </w:pPr>
            <w:r>
              <w:t>4632.70</w:t>
            </w:r>
          </w:p>
        </w:tc>
        <w:tc>
          <w:tcPr>
            <w:tcW w:w="1361" w:type="dxa"/>
            <w:vAlign w:val="center"/>
          </w:tcPr>
          <w:p w14:paraId="79489EDE">
            <w:pPr>
              <w:pStyle w:val="14"/>
            </w:pPr>
            <w:r>
              <w:t>742.36</w:t>
            </w:r>
          </w:p>
        </w:tc>
        <w:tc>
          <w:tcPr>
            <w:tcW w:w="1361" w:type="dxa"/>
            <w:vAlign w:val="center"/>
          </w:tcPr>
          <w:p w14:paraId="3DF8CB12">
            <w:pPr>
              <w:pStyle w:val="14"/>
            </w:pPr>
          </w:p>
        </w:tc>
        <w:tc>
          <w:tcPr>
            <w:tcW w:w="1361" w:type="dxa"/>
            <w:vAlign w:val="center"/>
          </w:tcPr>
          <w:p w14:paraId="6FA150DA">
            <w:pPr>
              <w:pStyle w:val="14"/>
            </w:pPr>
          </w:p>
        </w:tc>
        <w:tc>
          <w:tcPr>
            <w:tcW w:w="1361" w:type="dxa"/>
            <w:vAlign w:val="center"/>
          </w:tcPr>
          <w:p w14:paraId="33F0D59D">
            <w:pPr>
              <w:pStyle w:val="14"/>
            </w:pPr>
          </w:p>
        </w:tc>
      </w:tr>
    </w:tbl>
    <w:p w14:paraId="11571A2F">
      <w:pPr>
        <w:sectPr>
          <w:pgSz w:w="16840" w:h="11900" w:orient="landscape"/>
          <w:pgMar w:top="1361" w:right="1020" w:bottom="1134" w:left="1020" w:header="720" w:footer="720" w:gutter="0"/>
          <w:cols w:space="720" w:num="1"/>
        </w:sectPr>
      </w:pPr>
    </w:p>
    <w:p w14:paraId="6A7586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1EF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89F384">
            <w:pPr>
              <w:pStyle w:val="8"/>
            </w:pPr>
            <w:r>
              <w:t>360016隆尧县城关校区</w:t>
            </w:r>
          </w:p>
        </w:tc>
        <w:tc>
          <w:tcPr>
            <w:tcW w:w="3402" w:type="dxa"/>
            <w:tcBorders>
              <w:top w:val="single" w:color="FFFFFF" w:sz="6" w:space="0"/>
              <w:left w:val="single" w:color="FFFFFF" w:sz="6" w:space="0"/>
              <w:right w:val="single" w:color="FFFFFF" w:sz="6" w:space="0"/>
            </w:tcBorders>
            <w:vAlign w:val="center"/>
          </w:tcPr>
          <w:p w14:paraId="616E178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FF19E59">
            <w:pPr>
              <w:pStyle w:val="10"/>
            </w:pPr>
            <w:r>
              <w:t>单位：万元</w:t>
            </w:r>
          </w:p>
        </w:tc>
      </w:tr>
      <w:tr w14:paraId="03E48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FB5F8">
            <w:pPr>
              <w:pStyle w:val="11"/>
            </w:pPr>
            <w:r>
              <w:t>序号</w:t>
            </w:r>
          </w:p>
        </w:tc>
        <w:tc>
          <w:tcPr>
            <w:tcW w:w="4876" w:type="dxa"/>
            <w:gridSpan w:val="2"/>
            <w:vAlign w:val="center"/>
          </w:tcPr>
          <w:p w14:paraId="6BA6C2F2">
            <w:pPr>
              <w:pStyle w:val="11"/>
            </w:pPr>
            <w:r>
              <w:t>收入</w:t>
            </w:r>
          </w:p>
        </w:tc>
        <w:tc>
          <w:tcPr>
            <w:tcW w:w="9298" w:type="dxa"/>
            <w:gridSpan w:val="5"/>
            <w:vAlign w:val="center"/>
          </w:tcPr>
          <w:p w14:paraId="28A2EAC9">
            <w:pPr>
              <w:pStyle w:val="11"/>
            </w:pPr>
            <w:r>
              <w:t>支出</w:t>
            </w:r>
          </w:p>
        </w:tc>
      </w:tr>
      <w:tr w14:paraId="78776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1D3FE"/>
        </w:tc>
        <w:tc>
          <w:tcPr>
            <w:tcW w:w="3402" w:type="dxa"/>
            <w:vAlign w:val="center"/>
          </w:tcPr>
          <w:p w14:paraId="41CC3E9C">
            <w:pPr>
              <w:pStyle w:val="11"/>
            </w:pPr>
            <w:r>
              <w:t>项  目</w:t>
            </w:r>
          </w:p>
        </w:tc>
        <w:tc>
          <w:tcPr>
            <w:tcW w:w="1474" w:type="dxa"/>
            <w:vAlign w:val="center"/>
          </w:tcPr>
          <w:p w14:paraId="2CF2111F">
            <w:pPr>
              <w:pStyle w:val="11"/>
            </w:pPr>
            <w:r>
              <w:t>金额</w:t>
            </w:r>
          </w:p>
        </w:tc>
        <w:tc>
          <w:tcPr>
            <w:tcW w:w="3402" w:type="dxa"/>
            <w:vAlign w:val="center"/>
          </w:tcPr>
          <w:p w14:paraId="3BD88A66">
            <w:pPr>
              <w:pStyle w:val="11"/>
            </w:pPr>
            <w:r>
              <w:t>项  目</w:t>
            </w:r>
          </w:p>
        </w:tc>
        <w:tc>
          <w:tcPr>
            <w:tcW w:w="1474" w:type="dxa"/>
            <w:vAlign w:val="center"/>
          </w:tcPr>
          <w:p w14:paraId="2618B4D0">
            <w:pPr>
              <w:pStyle w:val="11"/>
            </w:pPr>
            <w:r>
              <w:t>合计</w:t>
            </w:r>
          </w:p>
        </w:tc>
        <w:tc>
          <w:tcPr>
            <w:tcW w:w="1474" w:type="dxa"/>
            <w:vAlign w:val="center"/>
          </w:tcPr>
          <w:p w14:paraId="2AEEBE41">
            <w:pPr>
              <w:pStyle w:val="11"/>
            </w:pPr>
            <w:r>
              <w:t>一般公共预算财政拨款</w:t>
            </w:r>
          </w:p>
        </w:tc>
        <w:tc>
          <w:tcPr>
            <w:tcW w:w="1474" w:type="dxa"/>
            <w:vAlign w:val="center"/>
          </w:tcPr>
          <w:p w14:paraId="23357510">
            <w:pPr>
              <w:pStyle w:val="11"/>
            </w:pPr>
            <w:r>
              <w:t>政府性基金预算财政    拨款</w:t>
            </w:r>
          </w:p>
        </w:tc>
        <w:tc>
          <w:tcPr>
            <w:tcW w:w="1474" w:type="dxa"/>
            <w:vAlign w:val="center"/>
          </w:tcPr>
          <w:p w14:paraId="7D68210E">
            <w:pPr>
              <w:pStyle w:val="11"/>
            </w:pPr>
            <w:r>
              <w:t>国有资本经营预算财政拨款</w:t>
            </w:r>
          </w:p>
        </w:tc>
      </w:tr>
      <w:tr w14:paraId="5E269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DEF20">
            <w:pPr>
              <w:pStyle w:val="11"/>
            </w:pPr>
            <w:r>
              <w:t>栏次</w:t>
            </w:r>
          </w:p>
        </w:tc>
        <w:tc>
          <w:tcPr>
            <w:tcW w:w="3402" w:type="dxa"/>
            <w:vAlign w:val="center"/>
          </w:tcPr>
          <w:p w14:paraId="1A49E9E7">
            <w:pPr>
              <w:pStyle w:val="11"/>
            </w:pPr>
            <w:r>
              <w:t>1</w:t>
            </w:r>
          </w:p>
        </w:tc>
        <w:tc>
          <w:tcPr>
            <w:tcW w:w="1474" w:type="dxa"/>
            <w:vAlign w:val="center"/>
          </w:tcPr>
          <w:p w14:paraId="31CECDB6">
            <w:pPr>
              <w:pStyle w:val="11"/>
            </w:pPr>
            <w:r>
              <w:t>2</w:t>
            </w:r>
          </w:p>
        </w:tc>
        <w:tc>
          <w:tcPr>
            <w:tcW w:w="3402" w:type="dxa"/>
            <w:vAlign w:val="center"/>
          </w:tcPr>
          <w:p w14:paraId="19FCF34C">
            <w:pPr>
              <w:pStyle w:val="11"/>
            </w:pPr>
            <w:r>
              <w:t>3</w:t>
            </w:r>
          </w:p>
        </w:tc>
        <w:tc>
          <w:tcPr>
            <w:tcW w:w="1474" w:type="dxa"/>
            <w:vAlign w:val="center"/>
          </w:tcPr>
          <w:p w14:paraId="42A89403">
            <w:pPr>
              <w:pStyle w:val="11"/>
            </w:pPr>
            <w:r>
              <w:t>4</w:t>
            </w:r>
          </w:p>
        </w:tc>
        <w:tc>
          <w:tcPr>
            <w:tcW w:w="1474" w:type="dxa"/>
            <w:vAlign w:val="center"/>
          </w:tcPr>
          <w:p w14:paraId="1A65B030">
            <w:pPr>
              <w:pStyle w:val="11"/>
            </w:pPr>
            <w:r>
              <w:t>5</w:t>
            </w:r>
          </w:p>
        </w:tc>
        <w:tc>
          <w:tcPr>
            <w:tcW w:w="1474" w:type="dxa"/>
            <w:vAlign w:val="center"/>
          </w:tcPr>
          <w:p w14:paraId="4FC562B3">
            <w:pPr>
              <w:pStyle w:val="11"/>
            </w:pPr>
            <w:r>
              <w:t>6</w:t>
            </w:r>
          </w:p>
        </w:tc>
        <w:tc>
          <w:tcPr>
            <w:tcW w:w="1474" w:type="dxa"/>
            <w:vAlign w:val="center"/>
          </w:tcPr>
          <w:p w14:paraId="7BFF19B1">
            <w:pPr>
              <w:pStyle w:val="11"/>
            </w:pPr>
            <w:r>
              <w:t>7</w:t>
            </w:r>
          </w:p>
        </w:tc>
      </w:tr>
      <w:tr w14:paraId="5E1C8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0A119">
            <w:pPr>
              <w:pStyle w:val="12"/>
            </w:pPr>
            <w:r>
              <w:t>1</w:t>
            </w:r>
          </w:p>
        </w:tc>
        <w:tc>
          <w:tcPr>
            <w:tcW w:w="3402" w:type="dxa"/>
            <w:vAlign w:val="center"/>
          </w:tcPr>
          <w:p w14:paraId="642653E4">
            <w:pPr>
              <w:pStyle w:val="13"/>
            </w:pPr>
            <w:r>
              <w:t>一、一般公共预算拨款</w:t>
            </w:r>
          </w:p>
        </w:tc>
        <w:tc>
          <w:tcPr>
            <w:tcW w:w="1474" w:type="dxa"/>
            <w:vAlign w:val="center"/>
          </w:tcPr>
          <w:p w14:paraId="5BECBB53">
            <w:pPr>
              <w:pStyle w:val="14"/>
            </w:pPr>
            <w:r>
              <w:t>6087.61</w:t>
            </w:r>
          </w:p>
        </w:tc>
        <w:tc>
          <w:tcPr>
            <w:tcW w:w="3402" w:type="dxa"/>
            <w:vAlign w:val="center"/>
          </w:tcPr>
          <w:p w14:paraId="2C9B68FC">
            <w:pPr>
              <w:pStyle w:val="13"/>
            </w:pPr>
            <w:r>
              <w:t>一、一般公共服务支出</w:t>
            </w:r>
          </w:p>
        </w:tc>
        <w:tc>
          <w:tcPr>
            <w:tcW w:w="1474" w:type="dxa"/>
            <w:vAlign w:val="center"/>
          </w:tcPr>
          <w:p w14:paraId="013F5A50">
            <w:pPr>
              <w:pStyle w:val="14"/>
            </w:pPr>
          </w:p>
        </w:tc>
        <w:tc>
          <w:tcPr>
            <w:tcW w:w="1474" w:type="dxa"/>
            <w:vAlign w:val="center"/>
          </w:tcPr>
          <w:p w14:paraId="1BA757E3">
            <w:pPr>
              <w:pStyle w:val="14"/>
            </w:pPr>
          </w:p>
        </w:tc>
        <w:tc>
          <w:tcPr>
            <w:tcW w:w="1474" w:type="dxa"/>
            <w:vAlign w:val="center"/>
          </w:tcPr>
          <w:p w14:paraId="5D470141">
            <w:pPr>
              <w:pStyle w:val="14"/>
            </w:pPr>
          </w:p>
        </w:tc>
        <w:tc>
          <w:tcPr>
            <w:tcW w:w="1474" w:type="dxa"/>
            <w:vAlign w:val="center"/>
          </w:tcPr>
          <w:p w14:paraId="323494F5">
            <w:pPr>
              <w:pStyle w:val="14"/>
            </w:pPr>
          </w:p>
        </w:tc>
      </w:tr>
      <w:tr w14:paraId="2FDF5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81B02">
            <w:pPr>
              <w:pStyle w:val="12"/>
            </w:pPr>
            <w:r>
              <w:t>2</w:t>
            </w:r>
          </w:p>
        </w:tc>
        <w:tc>
          <w:tcPr>
            <w:tcW w:w="3402" w:type="dxa"/>
            <w:vAlign w:val="center"/>
          </w:tcPr>
          <w:p w14:paraId="74685BF9">
            <w:pPr>
              <w:pStyle w:val="13"/>
            </w:pPr>
            <w:r>
              <w:t>二、政府性基金预算拨款</w:t>
            </w:r>
          </w:p>
        </w:tc>
        <w:tc>
          <w:tcPr>
            <w:tcW w:w="1474" w:type="dxa"/>
            <w:vAlign w:val="center"/>
          </w:tcPr>
          <w:p w14:paraId="0EE9457A">
            <w:pPr>
              <w:pStyle w:val="14"/>
            </w:pPr>
          </w:p>
        </w:tc>
        <w:tc>
          <w:tcPr>
            <w:tcW w:w="3402" w:type="dxa"/>
            <w:vAlign w:val="center"/>
          </w:tcPr>
          <w:p w14:paraId="676E0C42">
            <w:pPr>
              <w:pStyle w:val="13"/>
            </w:pPr>
            <w:r>
              <w:t>二、外交支出</w:t>
            </w:r>
          </w:p>
        </w:tc>
        <w:tc>
          <w:tcPr>
            <w:tcW w:w="1474" w:type="dxa"/>
            <w:vAlign w:val="center"/>
          </w:tcPr>
          <w:p w14:paraId="4DAE117B">
            <w:pPr>
              <w:pStyle w:val="14"/>
            </w:pPr>
          </w:p>
        </w:tc>
        <w:tc>
          <w:tcPr>
            <w:tcW w:w="1474" w:type="dxa"/>
            <w:vAlign w:val="center"/>
          </w:tcPr>
          <w:p w14:paraId="5F0B84D8">
            <w:pPr>
              <w:pStyle w:val="14"/>
            </w:pPr>
          </w:p>
        </w:tc>
        <w:tc>
          <w:tcPr>
            <w:tcW w:w="1474" w:type="dxa"/>
            <w:vAlign w:val="center"/>
          </w:tcPr>
          <w:p w14:paraId="70698323">
            <w:pPr>
              <w:pStyle w:val="14"/>
            </w:pPr>
          </w:p>
        </w:tc>
        <w:tc>
          <w:tcPr>
            <w:tcW w:w="1474" w:type="dxa"/>
            <w:vAlign w:val="center"/>
          </w:tcPr>
          <w:p w14:paraId="6B8D4D16">
            <w:pPr>
              <w:pStyle w:val="14"/>
            </w:pPr>
          </w:p>
        </w:tc>
      </w:tr>
      <w:tr w14:paraId="3EC54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65ADE">
            <w:pPr>
              <w:pStyle w:val="12"/>
            </w:pPr>
            <w:r>
              <w:t>3</w:t>
            </w:r>
          </w:p>
        </w:tc>
        <w:tc>
          <w:tcPr>
            <w:tcW w:w="3402" w:type="dxa"/>
            <w:vAlign w:val="center"/>
          </w:tcPr>
          <w:p w14:paraId="14FAEED9">
            <w:pPr>
              <w:pStyle w:val="13"/>
            </w:pPr>
            <w:r>
              <w:t>三、国有资本经营预算拨款</w:t>
            </w:r>
          </w:p>
        </w:tc>
        <w:tc>
          <w:tcPr>
            <w:tcW w:w="1474" w:type="dxa"/>
            <w:vAlign w:val="center"/>
          </w:tcPr>
          <w:p w14:paraId="446EB2AE">
            <w:pPr>
              <w:pStyle w:val="14"/>
            </w:pPr>
          </w:p>
        </w:tc>
        <w:tc>
          <w:tcPr>
            <w:tcW w:w="3402" w:type="dxa"/>
            <w:vAlign w:val="center"/>
          </w:tcPr>
          <w:p w14:paraId="320412BB">
            <w:pPr>
              <w:pStyle w:val="13"/>
            </w:pPr>
            <w:r>
              <w:t>三、国防支出</w:t>
            </w:r>
          </w:p>
        </w:tc>
        <w:tc>
          <w:tcPr>
            <w:tcW w:w="1474" w:type="dxa"/>
            <w:vAlign w:val="center"/>
          </w:tcPr>
          <w:p w14:paraId="3AAADA9D">
            <w:pPr>
              <w:pStyle w:val="14"/>
            </w:pPr>
          </w:p>
        </w:tc>
        <w:tc>
          <w:tcPr>
            <w:tcW w:w="1474" w:type="dxa"/>
            <w:vAlign w:val="center"/>
          </w:tcPr>
          <w:p w14:paraId="7FB2DC1D">
            <w:pPr>
              <w:pStyle w:val="14"/>
            </w:pPr>
          </w:p>
        </w:tc>
        <w:tc>
          <w:tcPr>
            <w:tcW w:w="1474" w:type="dxa"/>
            <w:vAlign w:val="center"/>
          </w:tcPr>
          <w:p w14:paraId="039E35DE">
            <w:pPr>
              <w:pStyle w:val="14"/>
            </w:pPr>
          </w:p>
        </w:tc>
        <w:tc>
          <w:tcPr>
            <w:tcW w:w="1474" w:type="dxa"/>
            <w:vAlign w:val="center"/>
          </w:tcPr>
          <w:p w14:paraId="067F6CAC">
            <w:pPr>
              <w:pStyle w:val="14"/>
            </w:pPr>
          </w:p>
        </w:tc>
      </w:tr>
      <w:tr w14:paraId="134A6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891B9">
            <w:pPr>
              <w:pStyle w:val="12"/>
            </w:pPr>
            <w:r>
              <w:t>4</w:t>
            </w:r>
          </w:p>
        </w:tc>
        <w:tc>
          <w:tcPr>
            <w:tcW w:w="3402" w:type="dxa"/>
            <w:vAlign w:val="center"/>
          </w:tcPr>
          <w:p w14:paraId="2629F6EA">
            <w:pPr>
              <w:pStyle w:val="13"/>
            </w:pPr>
          </w:p>
        </w:tc>
        <w:tc>
          <w:tcPr>
            <w:tcW w:w="1474" w:type="dxa"/>
            <w:vAlign w:val="center"/>
          </w:tcPr>
          <w:p w14:paraId="5CE49CF5">
            <w:pPr>
              <w:pStyle w:val="14"/>
            </w:pPr>
          </w:p>
        </w:tc>
        <w:tc>
          <w:tcPr>
            <w:tcW w:w="3402" w:type="dxa"/>
            <w:vAlign w:val="center"/>
          </w:tcPr>
          <w:p w14:paraId="0D853303">
            <w:pPr>
              <w:pStyle w:val="13"/>
            </w:pPr>
            <w:r>
              <w:t>四、公共安全支出</w:t>
            </w:r>
          </w:p>
        </w:tc>
        <w:tc>
          <w:tcPr>
            <w:tcW w:w="1474" w:type="dxa"/>
            <w:vAlign w:val="center"/>
          </w:tcPr>
          <w:p w14:paraId="14C1FE58">
            <w:pPr>
              <w:pStyle w:val="14"/>
            </w:pPr>
          </w:p>
        </w:tc>
        <w:tc>
          <w:tcPr>
            <w:tcW w:w="1474" w:type="dxa"/>
            <w:vAlign w:val="center"/>
          </w:tcPr>
          <w:p w14:paraId="11B50D36">
            <w:pPr>
              <w:pStyle w:val="14"/>
            </w:pPr>
          </w:p>
        </w:tc>
        <w:tc>
          <w:tcPr>
            <w:tcW w:w="1474" w:type="dxa"/>
            <w:vAlign w:val="center"/>
          </w:tcPr>
          <w:p w14:paraId="744478B9">
            <w:pPr>
              <w:pStyle w:val="14"/>
            </w:pPr>
          </w:p>
        </w:tc>
        <w:tc>
          <w:tcPr>
            <w:tcW w:w="1474" w:type="dxa"/>
            <w:vAlign w:val="center"/>
          </w:tcPr>
          <w:p w14:paraId="49515CA4">
            <w:pPr>
              <w:pStyle w:val="14"/>
            </w:pPr>
          </w:p>
        </w:tc>
      </w:tr>
      <w:tr w14:paraId="3CB27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1292A">
            <w:pPr>
              <w:pStyle w:val="12"/>
            </w:pPr>
            <w:r>
              <w:t>5</w:t>
            </w:r>
          </w:p>
        </w:tc>
        <w:tc>
          <w:tcPr>
            <w:tcW w:w="3402" w:type="dxa"/>
            <w:vAlign w:val="center"/>
          </w:tcPr>
          <w:p w14:paraId="0D6C8B17">
            <w:pPr>
              <w:pStyle w:val="13"/>
            </w:pPr>
          </w:p>
        </w:tc>
        <w:tc>
          <w:tcPr>
            <w:tcW w:w="1474" w:type="dxa"/>
            <w:vAlign w:val="center"/>
          </w:tcPr>
          <w:p w14:paraId="0A48A346">
            <w:pPr>
              <w:pStyle w:val="14"/>
            </w:pPr>
          </w:p>
        </w:tc>
        <w:tc>
          <w:tcPr>
            <w:tcW w:w="3402" w:type="dxa"/>
            <w:vAlign w:val="center"/>
          </w:tcPr>
          <w:p w14:paraId="5F0C294D">
            <w:pPr>
              <w:pStyle w:val="13"/>
            </w:pPr>
            <w:r>
              <w:t>五、教育支出</w:t>
            </w:r>
          </w:p>
        </w:tc>
        <w:tc>
          <w:tcPr>
            <w:tcW w:w="1474" w:type="dxa"/>
            <w:vAlign w:val="center"/>
          </w:tcPr>
          <w:p w14:paraId="5163F152">
            <w:pPr>
              <w:pStyle w:val="14"/>
            </w:pPr>
            <w:r>
              <w:t>6087.61</w:t>
            </w:r>
          </w:p>
        </w:tc>
        <w:tc>
          <w:tcPr>
            <w:tcW w:w="1474" w:type="dxa"/>
            <w:vAlign w:val="center"/>
          </w:tcPr>
          <w:p w14:paraId="0A26EDC5">
            <w:pPr>
              <w:pStyle w:val="14"/>
            </w:pPr>
            <w:r>
              <w:t>6087.61</w:t>
            </w:r>
          </w:p>
        </w:tc>
        <w:tc>
          <w:tcPr>
            <w:tcW w:w="1474" w:type="dxa"/>
            <w:vAlign w:val="center"/>
          </w:tcPr>
          <w:p w14:paraId="7A66DCB9">
            <w:pPr>
              <w:pStyle w:val="14"/>
            </w:pPr>
          </w:p>
        </w:tc>
        <w:tc>
          <w:tcPr>
            <w:tcW w:w="1474" w:type="dxa"/>
            <w:vAlign w:val="center"/>
          </w:tcPr>
          <w:p w14:paraId="7D42AACF">
            <w:pPr>
              <w:pStyle w:val="14"/>
            </w:pPr>
          </w:p>
        </w:tc>
      </w:tr>
      <w:tr w14:paraId="24B1B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DB4D4">
            <w:pPr>
              <w:pStyle w:val="12"/>
            </w:pPr>
            <w:r>
              <w:t>6</w:t>
            </w:r>
          </w:p>
        </w:tc>
        <w:tc>
          <w:tcPr>
            <w:tcW w:w="3402" w:type="dxa"/>
            <w:vAlign w:val="center"/>
          </w:tcPr>
          <w:p w14:paraId="5656795B">
            <w:pPr>
              <w:pStyle w:val="13"/>
            </w:pPr>
          </w:p>
        </w:tc>
        <w:tc>
          <w:tcPr>
            <w:tcW w:w="1474" w:type="dxa"/>
            <w:vAlign w:val="center"/>
          </w:tcPr>
          <w:p w14:paraId="30729074">
            <w:pPr>
              <w:pStyle w:val="14"/>
            </w:pPr>
          </w:p>
        </w:tc>
        <w:tc>
          <w:tcPr>
            <w:tcW w:w="3402" w:type="dxa"/>
            <w:vAlign w:val="center"/>
          </w:tcPr>
          <w:p w14:paraId="0CFBBD0E">
            <w:pPr>
              <w:pStyle w:val="13"/>
            </w:pPr>
            <w:r>
              <w:t>六、科学技术支出</w:t>
            </w:r>
          </w:p>
        </w:tc>
        <w:tc>
          <w:tcPr>
            <w:tcW w:w="1474" w:type="dxa"/>
            <w:vAlign w:val="center"/>
          </w:tcPr>
          <w:p w14:paraId="3DE5B10E">
            <w:pPr>
              <w:pStyle w:val="14"/>
            </w:pPr>
          </w:p>
        </w:tc>
        <w:tc>
          <w:tcPr>
            <w:tcW w:w="1474" w:type="dxa"/>
            <w:vAlign w:val="center"/>
          </w:tcPr>
          <w:p w14:paraId="4E521964">
            <w:pPr>
              <w:pStyle w:val="14"/>
            </w:pPr>
          </w:p>
        </w:tc>
        <w:tc>
          <w:tcPr>
            <w:tcW w:w="1474" w:type="dxa"/>
            <w:vAlign w:val="center"/>
          </w:tcPr>
          <w:p w14:paraId="283CD72C">
            <w:pPr>
              <w:pStyle w:val="14"/>
            </w:pPr>
          </w:p>
        </w:tc>
        <w:tc>
          <w:tcPr>
            <w:tcW w:w="1474" w:type="dxa"/>
            <w:vAlign w:val="center"/>
          </w:tcPr>
          <w:p w14:paraId="1B21F959">
            <w:pPr>
              <w:pStyle w:val="14"/>
            </w:pPr>
          </w:p>
        </w:tc>
      </w:tr>
      <w:tr w14:paraId="18F61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E5D99">
            <w:pPr>
              <w:pStyle w:val="12"/>
            </w:pPr>
            <w:r>
              <w:t>7</w:t>
            </w:r>
          </w:p>
        </w:tc>
        <w:tc>
          <w:tcPr>
            <w:tcW w:w="3402" w:type="dxa"/>
            <w:vAlign w:val="center"/>
          </w:tcPr>
          <w:p w14:paraId="1DFB4AF3">
            <w:pPr>
              <w:pStyle w:val="13"/>
            </w:pPr>
          </w:p>
        </w:tc>
        <w:tc>
          <w:tcPr>
            <w:tcW w:w="1474" w:type="dxa"/>
            <w:vAlign w:val="center"/>
          </w:tcPr>
          <w:p w14:paraId="63F15EE8">
            <w:pPr>
              <w:pStyle w:val="14"/>
            </w:pPr>
          </w:p>
        </w:tc>
        <w:tc>
          <w:tcPr>
            <w:tcW w:w="3402" w:type="dxa"/>
            <w:vAlign w:val="center"/>
          </w:tcPr>
          <w:p w14:paraId="76FB58DC">
            <w:pPr>
              <w:pStyle w:val="13"/>
            </w:pPr>
            <w:r>
              <w:t>七、文化旅游体育与传媒支出</w:t>
            </w:r>
          </w:p>
        </w:tc>
        <w:tc>
          <w:tcPr>
            <w:tcW w:w="1474" w:type="dxa"/>
            <w:vAlign w:val="center"/>
          </w:tcPr>
          <w:p w14:paraId="398533FB">
            <w:pPr>
              <w:pStyle w:val="14"/>
            </w:pPr>
          </w:p>
        </w:tc>
        <w:tc>
          <w:tcPr>
            <w:tcW w:w="1474" w:type="dxa"/>
            <w:vAlign w:val="center"/>
          </w:tcPr>
          <w:p w14:paraId="667368F1">
            <w:pPr>
              <w:pStyle w:val="14"/>
            </w:pPr>
          </w:p>
        </w:tc>
        <w:tc>
          <w:tcPr>
            <w:tcW w:w="1474" w:type="dxa"/>
            <w:vAlign w:val="center"/>
          </w:tcPr>
          <w:p w14:paraId="2A68FD65">
            <w:pPr>
              <w:pStyle w:val="14"/>
            </w:pPr>
          </w:p>
        </w:tc>
        <w:tc>
          <w:tcPr>
            <w:tcW w:w="1474" w:type="dxa"/>
            <w:vAlign w:val="center"/>
          </w:tcPr>
          <w:p w14:paraId="0304F468">
            <w:pPr>
              <w:pStyle w:val="14"/>
            </w:pPr>
          </w:p>
        </w:tc>
      </w:tr>
      <w:tr w14:paraId="7AD94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60F6C">
            <w:pPr>
              <w:pStyle w:val="12"/>
            </w:pPr>
            <w:r>
              <w:t>8</w:t>
            </w:r>
          </w:p>
        </w:tc>
        <w:tc>
          <w:tcPr>
            <w:tcW w:w="3402" w:type="dxa"/>
            <w:vAlign w:val="center"/>
          </w:tcPr>
          <w:p w14:paraId="17703DAE">
            <w:pPr>
              <w:pStyle w:val="13"/>
            </w:pPr>
          </w:p>
        </w:tc>
        <w:tc>
          <w:tcPr>
            <w:tcW w:w="1474" w:type="dxa"/>
            <w:vAlign w:val="center"/>
          </w:tcPr>
          <w:p w14:paraId="2A450AD7">
            <w:pPr>
              <w:pStyle w:val="14"/>
            </w:pPr>
          </w:p>
        </w:tc>
        <w:tc>
          <w:tcPr>
            <w:tcW w:w="3402" w:type="dxa"/>
            <w:vAlign w:val="center"/>
          </w:tcPr>
          <w:p w14:paraId="2F643259">
            <w:pPr>
              <w:pStyle w:val="13"/>
            </w:pPr>
            <w:r>
              <w:t>八、社会保障和就业支出</w:t>
            </w:r>
          </w:p>
        </w:tc>
        <w:tc>
          <w:tcPr>
            <w:tcW w:w="1474" w:type="dxa"/>
            <w:vAlign w:val="center"/>
          </w:tcPr>
          <w:p w14:paraId="7F91DA1C">
            <w:pPr>
              <w:pStyle w:val="14"/>
            </w:pPr>
          </w:p>
        </w:tc>
        <w:tc>
          <w:tcPr>
            <w:tcW w:w="1474" w:type="dxa"/>
            <w:vAlign w:val="center"/>
          </w:tcPr>
          <w:p w14:paraId="6FF2FECA">
            <w:pPr>
              <w:pStyle w:val="14"/>
            </w:pPr>
          </w:p>
        </w:tc>
        <w:tc>
          <w:tcPr>
            <w:tcW w:w="1474" w:type="dxa"/>
            <w:vAlign w:val="center"/>
          </w:tcPr>
          <w:p w14:paraId="75CB3A0C">
            <w:pPr>
              <w:pStyle w:val="14"/>
            </w:pPr>
          </w:p>
        </w:tc>
        <w:tc>
          <w:tcPr>
            <w:tcW w:w="1474" w:type="dxa"/>
            <w:vAlign w:val="center"/>
          </w:tcPr>
          <w:p w14:paraId="623B34C9">
            <w:pPr>
              <w:pStyle w:val="14"/>
            </w:pPr>
          </w:p>
        </w:tc>
      </w:tr>
      <w:tr w14:paraId="2EB4F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F6342">
            <w:pPr>
              <w:pStyle w:val="12"/>
            </w:pPr>
            <w:r>
              <w:t>9</w:t>
            </w:r>
          </w:p>
        </w:tc>
        <w:tc>
          <w:tcPr>
            <w:tcW w:w="3402" w:type="dxa"/>
            <w:vAlign w:val="center"/>
          </w:tcPr>
          <w:p w14:paraId="442EFA05">
            <w:pPr>
              <w:pStyle w:val="13"/>
            </w:pPr>
          </w:p>
        </w:tc>
        <w:tc>
          <w:tcPr>
            <w:tcW w:w="1474" w:type="dxa"/>
            <w:vAlign w:val="center"/>
          </w:tcPr>
          <w:p w14:paraId="47B48ACD">
            <w:pPr>
              <w:pStyle w:val="14"/>
            </w:pPr>
          </w:p>
        </w:tc>
        <w:tc>
          <w:tcPr>
            <w:tcW w:w="3402" w:type="dxa"/>
            <w:vAlign w:val="center"/>
          </w:tcPr>
          <w:p w14:paraId="5E07EF48">
            <w:pPr>
              <w:pStyle w:val="13"/>
            </w:pPr>
            <w:r>
              <w:t>九、社会保险基金支出</w:t>
            </w:r>
          </w:p>
        </w:tc>
        <w:tc>
          <w:tcPr>
            <w:tcW w:w="1474" w:type="dxa"/>
            <w:vAlign w:val="center"/>
          </w:tcPr>
          <w:p w14:paraId="79D99E5F">
            <w:pPr>
              <w:pStyle w:val="14"/>
            </w:pPr>
          </w:p>
        </w:tc>
        <w:tc>
          <w:tcPr>
            <w:tcW w:w="1474" w:type="dxa"/>
            <w:vAlign w:val="center"/>
          </w:tcPr>
          <w:p w14:paraId="3566E623">
            <w:pPr>
              <w:pStyle w:val="14"/>
            </w:pPr>
          </w:p>
        </w:tc>
        <w:tc>
          <w:tcPr>
            <w:tcW w:w="1474" w:type="dxa"/>
            <w:vAlign w:val="center"/>
          </w:tcPr>
          <w:p w14:paraId="180645C9">
            <w:pPr>
              <w:pStyle w:val="14"/>
            </w:pPr>
          </w:p>
        </w:tc>
        <w:tc>
          <w:tcPr>
            <w:tcW w:w="1474" w:type="dxa"/>
            <w:vAlign w:val="center"/>
          </w:tcPr>
          <w:p w14:paraId="07C95C7A">
            <w:pPr>
              <w:pStyle w:val="14"/>
            </w:pPr>
          </w:p>
        </w:tc>
      </w:tr>
      <w:tr w14:paraId="36D5B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CA714">
            <w:pPr>
              <w:pStyle w:val="12"/>
            </w:pPr>
            <w:r>
              <w:t>10</w:t>
            </w:r>
          </w:p>
        </w:tc>
        <w:tc>
          <w:tcPr>
            <w:tcW w:w="3402" w:type="dxa"/>
            <w:vAlign w:val="center"/>
          </w:tcPr>
          <w:p w14:paraId="6AFB19D0">
            <w:pPr>
              <w:pStyle w:val="13"/>
            </w:pPr>
          </w:p>
        </w:tc>
        <w:tc>
          <w:tcPr>
            <w:tcW w:w="1474" w:type="dxa"/>
            <w:vAlign w:val="center"/>
          </w:tcPr>
          <w:p w14:paraId="36415B7D">
            <w:pPr>
              <w:pStyle w:val="14"/>
            </w:pPr>
          </w:p>
        </w:tc>
        <w:tc>
          <w:tcPr>
            <w:tcW w:w="3402" w:type="dxa"/>
            <w:vAlign w:val="center"/>
          </w:tcPr>
          <w:p w14:paraId="42978819">
            <w:pPr>
              <w:pStyle w:val="13"/>
            </w:pPr>
            <w:r>
              <w:t>十、卫生健康支出</w:t>
            </w:r>
          </w:p>
        </w:tc>
        <w:tc>
          <w:tcPr>
            <w:tcW w:w="1474" w:type="dxa"/>
            <w:vAlign w:val="center"/>
          </w:tcPr>
          <w:p w14:paraId="177790C4">
            <w:pPr>
              <w:pStyle w:val="14"/>
            </w:pPr>
          </w:p>
        </w:tc>
        <w:tc>
          <w:tcPr>
            <w:tcW w:w="1474" w:type="dxa"/>
            <w:vAlign w:val="center"/>
          </w:tcPr>
          <w:p w14:paraId="27323387">
            <w:pPr>
              <w:pStyle w:val="14"/>
            </w:pPr>
          </w:p>
        </w:tc>
        <w:tc>
          <w:tcPr>
            <w:tcW w:w="1474" w:type="dxa"/>
            <w:vAlign w:val="center"/>
          </w:tcPr>
          <w:p w14:paraId="5320BCBD">
            <w:pPr>
              <w:pStyle w:val="14"/>
            </w:pPr>
          </w:p>
        </w:tc>
        <w:tc>
          <w:tcPr>
            <w:tcW w:w="1474" w:type="dxa"/>
            <w:vAlign w:val="center"/>
          </w:tcPr>
          <w:p w14:paraId="602E0305">
            <w:pPr>
              <w:pStyle w:val="14"/>
            </w:pPr>
          </w:p>
        </w:tc>
      </w:tr>
      <w:tr w14:paraId="62462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4B785">
            <w:pPr>
              <w:pStyle w:val="12"/>
            </w:pPr>
            <w:r>
              <w:t>11</w:t>
            </w:r>
          </w:p>
        </w:tc>
        <w:tc>
          <w:tcPr>
            <w:tcW w:w="3402" w:type="dxa"/>
            <w:vAlign w:val="center"/>
          </w:tcPr>
          <w:p w14:paraId="215495ED">
            <w:pPr>
              <w:pStyle w:val="13"/>
            </w:pPr>
          </w:p>
        </w:tc>
        <w:tc>
          <w:tcPr>
            <w:tcW w:w="1474" w:type="dxa"/>
            <w:vAlign w:val="center"/>
          </w:tcPr>
          <w:p w14:paraId="6B656975">
            <w:pPr>
              <w:pStyle w:val="14"/>
            </w:pPr>
          </w:p>
        </w:tc>
        <w:tc>
          <w:tcPr>
            <w:tcW w:w="3402" w:type="dxa"/>
            <w:vAlign w:val="center"/>
          </w:tcPr>
          <w:p w14:paraId="4AF02190">
            <w:pPr>
              <w:pStyle w:val="13"/>
            </w:pPr>
            <w:r>
              <w:t>十一、节能环保支出</w:t>
            </w:r>
          </w:p>
        </w:tc>
        <w:tc>
          <w:tcPr>
            <w:tcW w:w="1474" w:type="dxa"/>
            <w:vAlign w:val="center"/>
          </w:tcPr>
          <w:p w14:paraId="719F3E84">
            <w:pPr>
              <w:pStyle w:val="14"/>
            </w:pPr>
          </w:p>
        </w:tc>
        <w:tc>
          <w:tcPr>
            <w:tcW w:w="1474" w:type="dxa"/>
            <w:vAlign w:val="center"/>
          </w:tcPr>
          <w:p w14:paraId="29048CDC">
            <w:pPr>
              <w:pStyle w:val="14"/>
            </w:pPr>
          </w:p>
        </w:tc>
        <w:tc>
          <w:tcPr>
            <w:tcW w:w="1474" w:type="dxa"/>
            <w:vAlign w:val="center"/>
          </w:tcPr>
          <w:p w14:paraId="6A128719">
            <w:pPr>
              <w:pStyle w:val="14"/>
            </w:pPr>
          </w:p>
        </w:tc>
        <w:tc>
          <w:tcPr>
            <w:tcW w:w="1474" w:type="dxa"/>
            <w:vAlign w:val="center"/>
          </w:tcPr>
          <w:p w14:paraId="5781D263">
            <w:pPr>
              <w:pStyle w:val="14"/>
            </w:pPr>
          </w:p>
        </w:tc>
      </w:tr>
      <w:tr w14:paraId="018CD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270F6">
            <w:pPr>
              <w:pStyle w:val="12"/>
            </w:pPr>
            <w:r>
              <w:t>12</w:t>
            </w:r>
          </w:p>
        </w:tc>
        <w:tc>
          <w:tcPr>
            <w:tcW w:w="3402" w:type="dxa"/>
            <w:vAlign w:val="center"/>
          </w:tcPr>
          <w:p w14:paraId="751180C1">
            <w:pPr>
              <w:pStyle w:val="13"/>
            </w:pPr>
          </w:p>
        </w:tc>
        <w:tc>
          <w:tcPr>
            <w:tcW w:w="1474" w:type="dxa"/>
            <w:vAlign w:val="center"/>
          </w:tcPr>
          <w:p w14:paraId="4CE97161">
            <w:pPr>
              <w:pStyle w:val="14"/>
            </w:pPr>
          </w:p>
        </w:tc>
        <w:tc>
          <w:tcPr>
            <w:tcW w:w="3402" w:type="dxa"/>
            <w:vAlign w:val="center"/>
          </w:tcPr>
          <w:p w14:paraId="225EE76F">
            <w:pPr>
              <w:pStyle w:val="13"/>
            </w:pPr>
            <w:r>
              <w:t>十二、城乡社区支出</w:t>
            </w:r>
          </w:p>
        </w:tc>
        <w:tc>
          <w:tcPr>
            <w:tcW w:w="1474" w:type="dxa"/>
            <w:vAlign w:val="center"/>
          </w:tcPr>
          <w:p w14:paraId="685DA622">
            <w:pPr>
              <w:pStyle w:val="14"/>
            </w:pPr>
          </w:p>
        </w:tc>
        <w:tc>
          <w:tcPr>
            <w:tcW w:w="1474" w:type="dxa"/>
            <w:vAlign w:val="center"/>
          </w:tcPr>
          <w:p w14:paraId="51CD46B7">
            <w:pPr>
              <w:pStyle w:val="14"/>
            </w:pPr>
          </w:p>
        </w:tc>
        <w:tc>
          <w:tcPr>
            <w:tcW w:w="1474" w:type="dxa"/>
            <w:vAlign w:val="center"/>
          </w:tcPr>
          <w:p w14:paraId="0DCAD837">
            <w:pPr>
              <w:pStyle w:val="14"/>
            </w:pPr>
          </w:p>
        </w:tc>
        <w:tc>
          <w:tcPr>
            <w:tcW w:w="1474" w:type="dxa"/>
            <w:vAlign w:val="center"/>
          </w:tcPr>
          <w:p w14:paraId="59A64361">
            <w:pPr>
              <w:pStyle w:val="14"/>
            </w:pPr>
          </w:p>
        </w:tc>
      </w:tr>
      <w:tr w14:paraId="23094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2656F">
            <w:pPr>
              <w:pStyle w:val="12"/>
            </w:pPr>
            <w:r>
              <w:t>13</w:t>
            </w:r>
          </w:p>
        </w:tc>
        <w:tc>
          <w:tcPr>
            <w:tcW w:w="3402" w:type="dxa"/>
            <w:vAlign w:val="center"/>
          </w:tcPr>
          <w:p w14:paraId="6FD2D029">
            <w:pPr>
              <w:pStyle w:val="13"/>
            </w:pPr>
          </w:p>
        </w:tc>
        <w:tc>
          <w:tcPr>
            <w:tcW w:w="1474" w:type="dxa"/>
            <w:vAlign w:val="center"/>
          </w:tcPr>
          <w:p w14:paraId="4D702013">
            <w:pPr>
              <w:pStyle w:val="14"/>
            </w:pPr>
          </w:p>
        </w:tc>
        <w:tc>
          <w:tcPr>
            <w:tcW w:w="3402" w:type="dxa"/>
            <w:vAlign w:val="center"/>
          </w:tcPr>
          <w:p w14:paraId="04573921">
            <w:pPr>
              <w:pStyle w:val="13"/>
            </w:pPr>
            <w:r>
              <w:t>十三、农林水支出</w:t>
            </w:r>
          </w:p>
        </w:tc>
        <w:tc>
          <w:tcPr>
            <w:tcW w:w="1474" w:type="dxa"/>
            <w:vAlign w:val="center"/>
          </w:tcPr>
          <w:p w14:paraId="4F2D5D75">
            <w:pPr>
              <w:pStyle w:val="14"/>
            </w:pPr>
          </w:p>
        </w:tc>
        <w:tc>
          <w:tcPr>
            <w:tcW w:w="1474" w:type="dxa"/>
            <w:vAlign w:val="center"/>
          </w:tcPr>
          <w:p w14:paraId="14B53E73">
            <w:pPr>
              <w:pStyle w:val="14"/>
            </w:pPr>
          </w:p>
        </w:tc>
        <w:tc>
          <w:tcPr>
            <w:tcW w:w="1474" w:type="dxa"/>
            <w:vAlign w:val="center"/>
          </w:tcPr>
          <w:p w14:paraId="731D8628">
            <w:pPr>
              <w:pStyle w:val="14"/>
            </w:pPr>
          </w:p>
        </w:tc>
        <w:tc>
          <w:tcPr>
            <w:tcW w:w="1474" w:type="dxa"/>
            <w:vAlign w:val="center"/>
          </w:tcPr>
          <w:p w14:paraId="4F705CF1">
            <w:pPr>
              <w:pStyle w:val="14"/>
            </w:pPr>
          </w:p>
        </w:tc>
      </w:tr>
      <w:tr w14:paraId="24909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34332">
            <w:pPr>
              <w:pStyle w:val="12"/>
            </w:pPr>
            <w:r>
              <w:t>14</w:t>
            </w:r>
          </w:p>
        </w:tc>
        <w:tc>
          <w:tcPr>
            <w:tcW w:w="3402" w:type="dxa"/>
            <w:vAlign w:val="center"/>
          </w:tcPr>
          <w:p w14:paraId="6987DC36">
            <w:pPr>
              <w:pStyle w:val="13"/>
            </w:pPr>
          </w:p>
        </w:tc>
        <w:tc>
          <w:tcPr>
            <w:tcW w:w="1474" w:type="dxa"/>
            <w:vAlign w:val="center"/>
          </w:tcPr>
          <w:p w14:paraId="0187866D">
            <w:pPr>
              <w:pStyle w:val="14"/>
            </w:pPr>
          </w:p>
        </w:tc>
        <w:tc>
          <w:tcPr>
            <w:tcW w:w="3402" w:type="dxa"/>
            <w:vAlign w:val="center"/>
          </w:tcPr>
          <w:p w14:paraId="7A6AD018">
            <w:pPr>
              <w:pStyle w:val="13"/>
            </w:pPr>
            <w:r>
              <w:t>十四、交通运输支出</w:t>
            </w:r>
          </w:p>
        </w:tc>
        <w:tc>
          <w:tcPr>
            <w:tcW w:w="1474" w:type="dxa"/>
            <w:vAlign w:val="center"/>
          </w:tcPr>
          <w:p w14:paraId="391514F2">
            <w:pPr>
              <w:pStyle w:val="14"/>
            </w:pPr>
          </w:p>
        </w:tc>
        <w:tc>
          <w:tcPr>
            <w:tcW w:w="1474" w:type="dxa"/>
            <w:vAlign w:val="center"/>
          </w:tcPr>
          <w:p w14:paraId="7C9E42D6">
            <w:pPr>
              <w:pStyle w:val="14"/>
            </w:pPr>
          </w:p>
        </w:tc>
        <w:tc>
          <w:tcPr>
            <w:tcW w:w="1474" w:type="dxa"/>
            <w:vAlign w:val="center"/>
          </w:tcPr>
          <w:p w14:paraId="37D738B8">
            <w:pPr>
              <w:pStyle w:val="14"/>
            </w:pPr>
          </w:p>
        </w:tc>
        <w:tc>
          <w:tcPr>
            <w:tcW w:w="1474" w:type="dxa"/>
            <w:vAlign w:val="center"/>
          </w:tcPr>
          <w:p w14:paraId="374053C2">
            <w:pPr>
              <w:pStyle w:val="14"/>
            </w:pPr>
          </w:p>
        </w:tc>
      </w:tr>
      <w:tr w14:paraId="12F89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6D08E">
            <w:pPr>
              <w:pStyle w:val="12"/>
            </w:pPr>
            <w:r>
              <w:t>15</w:t>
            </w:r>
          </w:p>
        </w:tc>
        <w:tc>
          <w:tcPr>
            <w:tcW w:w="3402" w:type="dxa"/>
            <w:vAlign w:val="center"/>
          </w:tcPr>
          <w:p w14:paraId="06C07B8E">
            <w:pPr>
              <w:pStyle w:val="13"/>
            </w:pPr>
          </w:p>
        </w:tc>
        <w:tc>
          <w:tcPr>
            <w:tcW w:w="1474" w:type="dxa"/>
            <w:vAlign w:val="center"/>
          </w:tcPr>
          <w:p w14:paraId="06D91166">
            <w:pPr>
              <w:pStyle w:val="14"/>
            </w:pPr>
          </w:p>
        </w:tc>
        <w:tc>
          <w:tcPr>
            <w:tcW w:w="3402" w:type="dxa"/>
            <w:vAlign w:val="center"/>
          </w:tcPr>
          <w:p w14:paraId="321566E7">
            <w:pPr>
              <w:pStyle w:val="13"/>
            </w:pPr>
            <w:r>
              <w:t>十五、资源勘探工业信息等支出</w:t>
            </w:r>
          </w:p>
        </w:tc>
        <w:tc>
          <w:tcPr>
            <w:tcW w:w="1474" w:type="dxa"/>
            <w:vAlign w:val="center"/>
          </w:tcPr>
          <w:p w14:paraId="1BF3340B">
            <w:pPr>
              <w:pStyle w:val="14"/>
            </w:pPr>
          </w:p>
        </w:tc>
        <w:tc>
          <w:tcPr>
            <w:tcW w:w="1474" w:type="dxa"/>
            <w:vAlign w:val="center"/>
          </w:tcPr>
          <w:p w14:paraId="59838D52">
            <w:pPr>
              <w:pStyle w:val="14"/>
            </w:pPr>
          </w:p>
        </w:tc>
        <w:tc>
          <w:tcPr>
            <w:tcW w:w="1474" w:type="dxa"/>
            <w:vAlign w:val="center"/>
          </w:tcPr>
          <w:p w14:paraId="7CBC6C66">
            <w:pPr>
              <w:pStyle w:val="14"/>
            </w:pPr>
          </w:p>
        </w:tc>
        <w:tc>
          <w:tcPr>
            <w:tcW w:w="1474" w:type="dxa"/>
            <w:vAlign w:val="center"/>
          </w:tcPr>
          <w:p w14:paraId="34937048">
            <w:pPr>
              <w:pStyle w:val="14"/>
            </w:pPr>
          </w:p>
        </w:tc>
      </w:tr>
      <w:tr w14:paraId="53F7C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B6FD8">
            <w:pPr>
              <w:pStyle w:val="12"/>
            </w:pPr>
            <w:r>
              <w:t>16</w:t>
            </w:r>
          </w:p>
        </w:tc>
        <w:tc>
          <w:tcPr>
            <w:tcW w:w="3402" w:type="dxa"/>
            <w:vAlign w:val="center"/>
          </w:tcPr>
          <w:p w14:paraId="555E5850">
            <w:pPr>
              <w:pStyle w:val="13"/>
            </w:pPr>
          </w:p>
        </w:tc>
        <w:tc>
          <w:tcPr>
            <w:tcW w:w="1474" w:type="dxa"/>
            <w:vAlign w:val="center"/>
          </w:tcPr>
          <w:p w14:paraId="479DB087">
            <w:pPr>
              <w:pStyle w:val="14"/>
            </w:pPr>
          </w:p>
        </w:tc>
        <w:tc>
          <w:tcPr>
            <w:tcW w:w="3402" w:type="dxa"/>
            <w:vAlign w:val="center"/>
          </w:tcPr>
          <w:p w14:paraId="591A0774">
            <w:pPr>
              <w:pStyle w:val="13"/>
            </w:pPr>
            <w:r>
              <w:t>十六、商业服务业等支出</w:t>
            </w:r>
          </w:p>
        </w:tc>
        <w:tc>
          <w:tcPr>
            <w:tcW w:w="1474" w:type="dxa"/>
            <w:vAlign w:val="center"/>
          </w:tcPr>
          <w:p w14:paraId="64490408">
            <w:pPr>
              <w:pStyle w:val="14"/>
            </w:pPr>
          </w:p>
        </w:tc>
        <w:tc>
          <w:tcPr>
            <w:tcW w:w="1474" w:type="dxa"/>
            <w:vAlign w:val="center"/>
          </w:tcPr>
          <w:p w14:paraId="6321C49E">
            <w:pPr>
              <w:pStyle w:val="14"/>
            </w:pPr>
          </w:p>
        </w:tc>
        <w:tc>
          <w:tcPr>
            <w:tcW w:w="1474" w:type="dxa"/>
            <w:vAlign w:val="center"/>
          </w:tcPr>
          <w:p w14:paraId="2BD2F0E2">
            <w:pPr>
              <w:pStyle w:val="14"/>
            </w:pPr>
          </w:p>
        </w:tc>
        <w:tc>
          <w:tcPr>
            <w:tcW w:w="1474" w:type="dxa"/>
            <w:vAlign w:val="center"/>
          </w:tcPr>
          <w:p w14:paraId="49EE8039">
            <w:pPr>
              <w:pStyle w:val="14"/>
            </w:pPr>
          </w:p>
        </w:tc>
      </w:tr>
      <w:tr w14:paraId="58E30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A77DE">
            <w:pPr>
              <w:pStyle w:val="12"/>
            </w:pPr>
            <w:r>
              <w:t>17</w:t>
            </w:r>
          </w:p>
        </w:tc>
        <w:tc>
          <w:tcPr>
            <w:tcW w:w="3402" w:type="dxa"/>
            <w:vAlign w:val="center"/>
          </w:tcPr>
          <w:p w14:paraId="519A09FD">
            <w:pPr>
              <w:pStyle w:val="13"/>
            </w:pPr>
          </w:p>
        </w:tc>
        <w:tc>
          <w:tcPr>
            <w:tcW w:w="1474" w:type="dxa"/>
            <w:vAlign w:val="center"/>
          </w:tcPr>
          <w:p w14:paraId="2D272997">
            <w:pPr>
              <w:pStyle w:val="14"/>
            </w:pPr>
          </w:p>
        </w:tc>
        <w:tc>
          <w:tcPr>
            <w:tcW w:w="3402" w:type="dxa"/>
            <w:vAlign w:val="center"/>
          </w:tcPr>
          <w:p w14:paraId="550BE666">
            <w:pPr>
              <w:pStyle w:val="13"/>
            </w:pPr>
            <w:r>
              <w:t>十七、金融支出</w:t>
            </w:r>
          </w:p>
        </w:tc>
        <w:tc>
          <w:tcPr>
            <w:tcW w:w="1474" w:type="dxa"/>
            <w:vAlign w:val="center"/>
          </w:tcPr>
          <w:p w14:paraId="6097370A">
            <w:pPr>
              <w:pStyle w:val="14"/>
            </w:pPr>
          </w:p>
        </w:tc>
        <w:tc>
          <w:tcPr>
            <w:tcW w:w="1474" w:type="dxa"/>
            <w:vAlign w:val="center"/>
          </w:tcPr>
          <w:p w14:paraId="769C3D88">
            <w:pPr>
              <w:pStyle w:val="14"/>
            </w:pPr>
          </w:p>
        </w:tc>
        <w:tc>
          <w:tcPr>
            <w:tcW w:w="1474" w:type="dxa"/>
            <w:vAlign w:val="center"/>
          </w:tcPr>
          <w:p w14:paraId="1CD3DA32">
            <w:pPr>
              <w:pStyle w:val="14"/>
            </w:pPr>
          </w:p>
        </w:tc>
        <w:tc>
          <w:tcPr>
            <w:tcW w:w="1474" w:type="dxa"/>
            <w:vAlign w:val="center"/>
          </w:tcPr>
          <w:p w14:paraId="3F6F5210">
            <w:pPr>
              <w:pStyle w:val="14"/>
            </w:pPr>
          </w:p>
        </w:tc>
      </w:tr>
      <w:tr w14:paraId="6A54F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8C768">
            <w:pPr>
              <w:pStyle w:val="12"/>
            </w:pPr>
            <w:r>
              <w:t>18</w:t>
            </w:r>
          </w:p>
        </w:tc>
        <w:tc>
          <w:tcPr>
            <w:tcW w:w="3402" w:type="dxa"/>
            <w:vAlign w:val="center"/>
          </w:tcPr>
          <w:p w14:paraId="05735955">
            <w:pPr>
              <w:pStyle w:val="13"/>
            </w:pPr>
          </w:p>
        </w:tc>
        <w:tc>
          <w:tcPr>
            <w:tcW w:w="1474" w:type="dxa"/>
            <w:vAlign w:val="center"/>
          </w:tcPr>
          <w:p w14:paraId="45FCDDBF">
            <w:pPr>
              <w:pStyle w:val="14"/>
            </w:pPr>
          </w:p>
        </w:tc>
        <w:tc>
          <w:tcPr>
            <w:tcW w:w="3402" w:type="dxa"/>
            <w:vAlign w:val="center"/>
          </w:tcPr>
          <w:p w14:paraId="75FD3F5E">
            <w:pPr>
              <w:pStyle w:val="13"/>
            </w:pPr>
            <w:r>
              <w:t>十八、援助其他地区支出</w:t>
            </w:r>
          </w:p>
        </w:tc>
        <w:tc>
          <w:tcPr>
            <w:tcW w:w="1474" w:type="dxa"/>
            <w:vAlign w:val="center"/>
          </w:tcPr>
          <w:p w14:paraId="636D8689">
            <w:pPr>
              <w:pStyle w:val="14"/>
            </w:pPr>
          </w:p>
        </w:tc>
        <w:tc>
          <w:tcPr>
            <w:tcW w:w="1474" w:type="dxa"/>
            <w:vAlign w:val="center"/>
          </w:tcPr>
          <w:p w14:paraId="0BD928BF">
            <w:pPr>
              <w:pStyle w:val="14"/>
            </w:pPr>
          </w:p>
        </w:tc>
        <w:tc>
          <w:tcPr>
            <w:tcW w:w="1474" w:type="dxa"/>
            <w:vAlign w:val="center"/>
          </w:tcPr>
          <w:p w14:paraId="3D3D68E5">
            <w:pPr>
              <w:pStyle w:val="14"/>
            </w:pPr>
          </w:p>
        </w:tc>
        <w:tc>
          <w:tcPr>
            <w:tcW w:w="1474" w:type="dxa"/>
            <w:vAlign w:val="center"/>
          </w:tcPr>
          <w:p w14:paraId="2E53134F">
            <w:pPr>
              <w:pStyle w:val="14"/>
            </w:pPr>
          </w:p>
        </w:tc>
      </w:tr>
      <w:tr w14:paraId="2CBAE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40DD3">
            <w:pPr>
              <w:pStyle w:val="12"/>
            </w:pPr>
            <w:r>
              <w:t>19</w:t>
            </w:r>
          </w:p>
        </w:tc>
        <w:tc>
          <w:tcPr>
            <w:tcW w:w="3402" w:type="dxa"/>
            <w:vAlign w:val="center"/>
          </w:tcPr>
          <w:p w14:paraId="7EE9119A">
            <w:pPr>
              <w:pStyle w:val="13"/>
            </w:pPr>
          </w:p>
        </w:tc>
        <w:tc>
          <w:tcPr>
            <w:tcW w:w="1474" w:type="dxa"/>
            <w:vAlign w:val="center"/>
          </w:tcPr>
          <w:p w14:paraId="408DD11A">
            <w:pPr>
              <w:pStyle w:val="14"/>
            </w:pPr>
          </w:p>
        </w:tc>
        <w:tc>
          <w:tcPr>
            <w:tcW w:w="3402" w:type="dxa"/>
            <w:vAlign w:val="center"/>
          </w:tcPr>
          <w:p w14:paraId="3F363E46">
            <w:pPr>
              <w:pStyle w:val="13"/>
            </w:pPr>
            <w:r>
              <w:t>十九、自然资源海洋气象等支出</w:t>
            </w:r>
          </w:p>
        </w:tc>
        <w:tc>
          <w:tcPr>
            <w:tcW w:w="1474" w:type="dxa"/>
            <w:vAlign w:val="center"/>
          </w:tcPr>
          <w:p w14:paraId="3BF206F2">
            <w:pPr>
              <w:pStyle w:val="14"/>
            </w:pPr>
          </w:p>
        </w:tc>
        <w:tc>
          <w:tcPr>
            <w:tcW w:w="1474" w:type="dxa"/>
            <w:vAlign w:val="center"/>
          </w:tcPr>
          <w:p w14:paraId="3AB2DBCF">
            <w:pPr>
              <w:pStyle w:val="14"/>
            </w:pPr>
          </w:p>
        </w:tc>
        <w:tc>
          <w:tcPr>
            <w:tcW w:w="1474" w:type="dxa"/>
            <w:vAlign w:val="center"/>
          </w:tcPr>
          <w:p w14:paraId="1EBC6A89">
            <w:pPr>
              <w:pStyle w:val="14"/>
            </w:pPr>
          </w:p>
        </w:tc>
        <w:tc>
          <w:tcPr>
            <w:tcW w:w="1474" w:type="dxa"/>
            <w:vAlign w:val="center"/>
          </w:tcPr>
          <w:p w14:paraId="0E3CEF73">
            <w:pPr>
              <w:pStyle w:val="14"/>
            </w:pPr>
          </w:p>
        </w:tc>
      </w:tr>
      <w:tr w14:paraId="466BB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9A25B">
            <w:pPr>
              <w:pStyle w:val="12"/>
            </w:pPr>
            <w:r>
              <w:t>20</w:t>
            </w:r>
          </w:p>
        </w:tc>
        <w:tc>
          <w:tcPr>
            <w:tcW w:w="3402" w:type="dxa"/>
            <w:vAlign w:val="center"/>
          </w:tcPr>
          <w:p w14:paraId="5D4F8572">
            <w:pPr>
              <w:pStyle w:val="13"/>
            </w:pPr>
          </w:p>
        </w:tc>
        <w:tc>
          <w:tcPr>
            <w:tcW w:w="1474" w:type="dxa"/>
            <w:vAlign w:val="center"/>
          </w:tcPr>
          <w:p w14:paraId="086A2EE0">
            <w:pPr>
              <w:pStyle w:val="14"/>
            </w:pPr>
          </w:p>
        </w:tc>
        <w:tc>
          <w:tcPr>
            <w:tcW w:w="3402" w:type="dxa"/>
            <w:vAlign w:val="center"/>
          </w:tcPr>
          <w:p w14:paraId="4CBCEF0B">
            <w:pPr>
              <w:pStyle w:val="13"/>
            </w:pPr>
            <w:r>
              <w:t>二十、住房保障支出</w:t>
            </w:r>
          </w:p>
        </w:tc>
        <w:tc>
          <w:tcPr>
            <w:tcW w:w="1474" w:type="dxa"/>
            <w:vAlign w:val="center"/>
          </w:tcPr>
          <w:p w14:paraId="5F12EDCF">
            <w:pPr>
              <w:pStyle w:val="14"/>
            </w:pPr>
          </w:p>
        </w:tc>
        <w:tc>
          <w:tcPr>
            <w:tcW w:w="1474" w:type="dxa"/>
            <w:vAlign w:val="center"/>
          </w:tcPr>
          <w:p w14:paraId="3B8FDBE8">
            <w:pPr>
              <w:pStyle w:val="14"/>
            </w:pPr>
          </w:p>
        </w:tc>
        <w:tc>
          <w:tcPr>
            <w:tcW w:w="1474" w:type="dxa"/>
            <w:vAlign w:val="center"/>
          </w:tcPr>
          <w:p w14:paraId="2C509A88">
            <w:pPr>
              <w:pStyle w:val="14"/>
            </w:pPr>
          </w:p>
        </w:tc>
        <w:tc>
          <w:tcPr>
            <w:tcW w:w="1474" w:type="dxa"/>
            <w:vAlign w:val="center"/>
          </w:tcPr>
          <w:p w14:paraId="32FF2D0B">
            <w:pPr>
              <w:pStyle w:val="14"/>
            </w:pPr>
          </w:p>
        </w:tc>
      </w:tr>
      <w:tr w14:paraId="575EA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18691">
            <w:pPr>
              <w:pStyle w:val="12"/>
            </w:pPr>
            <w:r>
              <w:t>21</w:t>
            </w:r>
          </w:p>
        </w:tc>
        <w:tc>
          <w:tcPr>
            <w:tcW w:w="3402" w:type="dxa"/>
            <w:vAlign w:val="center"/>
          </w:tcPr>
          <w:p w14:paraId="249D1D1A">
            <w:pPr>
              <w:pStyle w:val="13"/>
            </w:pPr>
          </w:p>
        </w:tc>
        <w:tc>
          <w:tcPr>
            <w:tcW w:w="1474" w:type="dxa"/>
            <w:vAlign w:val="center"/>
          </w:tcPr>
          <w:p w14:paraId="4235A2B5">
            <w:pPr>
              <w:pStyle w:val="14"/>
            </w:pPr>
          </w:p>
        </w:tc>
        <w:tc>
          <w:tcPr>
            <w:tcW w:w="3402" w:type="dxa"/>
            <w:vAlign w:val="center"/>
          </w:tcPr>
          <w:p w14:paraId="5475619F">
            <w:pPr>
              <w:pStyle w:val="13"/>
            </w:pPr>
            <w:r>
              <w:t>二十一、粮油物资储备支出</w:t>
            </w:r>
          </w:p>
        </w:tc>
        <w:tc>
          <w:tcPr>
            <w:tcW w:w="1474" w:type="dxa"/>
            <w:vAlign w:val="center"/>
          </w:tcPr>
          <w:p w14:paraId="6505CEEE">
            <w:pPr>
              <w:pStyle w:val="14"/>
            </w:pPr>
          </w:p>
        </w:tc>
        <w:tc>
          <w:tcPr>
            <w:tcW w:w="1474" w:type="dxa"/>
            <w:vAlign w:val="center"/>
          </w:tcPr>
          <w:p w14:paraId="55CC3CE6">
            <w:pPr>
              <w:pStyle w:val="14"/>
            </w:pPr>
          </w:p>
        </w:tc>
        <w:tc>
          <w:tcPr>
            <w:tcW w:w="1474" w:type="dxa"/>
            <w:vAlign w:val="center"/>
          </w:tcPr>
          <w:p w14:paraId="38FAFEA5">
            <w:pPr>
              <w:pStyle w:val="14"/>
            </w:pPr>
          </w:p>
        </w:tc>
        <w:tc>
          <w:tcPr>
            <w:tcW w:w="1474" w:type="dxa"/>
            <w:vAlign w:val="center"/>
          </w:tcPr>
          <w:p w14:paraId="6F4799B2">
            <w:pPr>
              <w:pStyle w:val="14"/>
            </w:pPr>
          </w:p>
        </w:tc>
      </w:tr>
      <w:tr w14:paraId="6F623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56BB6">
            <w:pPr>
              <w:pStyle w:val="12"/>
            </w:pPr>
            <w:r>
              <w:t>22</w:t>
            </w:r>
          </w:p>
        </w:tc>
        <w:tc>
          <w:tcPr>
            <w:tcW w:w="3402" w:type="dxa"/>
            <w:vAlign w:val="center"/>
          </w:tcPr>
          <w:p w14:paraId="156F533F">
            <w:pPr>
              <w:pStyle w:val="13"/>
            </w:pPr>
          </w:p>
        </w:tc>
        <w:tc>
          <w:tcPr>
            <w:tcW w:w="1474" w:type="dxa"/>
            <w:vAlign w:val="center"/>
          </w:tcPr>
          <w:p w14:paraId="35133F0B">
            <w:pPr>
              <w:pStyle w:val="14"/>
            </w:pPr>
          </w:p>
        </w:tc>
        <w:tc>
          <w:tcPr>
            <w:tcW w:w="3402" w:type="dxa"/>
            <w:vAlign w:val="center"/>
          </w:tcPr>
          <w:p w14:paraId="4B5D509E">
            <w:pPr>
              <w:pStyle w:val="13"/>
            </w:pPr>
            <w:r>
              <w:t>二十二、国有资本经营预算支出</w:t>
            </w:r>
          </w:p>
        </w:tc>
        <w:tc>
          <w:tcPr>
            <w:tcW w:w="1474" w:type="dxa"/>
            <w:vAlign w:val="center"/>
          </w:tcPr>
          <w:p w14:paraId="558301A0">
            <w:pPr>
              <w:pStyle w:val="14"/>
            </w:pPr>
          </w:p>
        </w:tc>
        <w:tc>
          <w:tcPr>
            <w:tcW w:w="1474" w:type="dxa"/>
            <w:vAlign w:val="center"/>
          </w:tcPr>
          <w:p w14:paraId="2C97784F">
            <w:pPr>
              <w:pStyle w:val="14"/>
            </w:pPr>
          </w:p>
        </w:tc>
        <w:tc>
          <w:tcPr>
            <w:tcW w:w="1474" w:type="dxa"/>
            <w:vAlign w:val="center"/>
          </w:tcPr>
          <w:p w14:paraId="007FA686">
            <w:pPr>
              <w:pStyle w:val="14"/>
            </w:pPr>
          </w:p>
        </w:tc>
        <w:tc>
          <w:tcPr>
            <w:tcW w:w="1474" w:type="dxa"/>
            <w:vAlign w:val="center"/>
          </w:tcPr>
          <w:p w14:paraId="4D41011B">
            <w:pPr>
              <w:pStyle w:val="14"/>
            </w:pPr>
          </w:p>
        </w:tc>
      </w:tr>
      <w:tr w14:paraId="4DC20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5C1A6">
            <w:pPr>
              <w:pStyle w:val="12"/>
            </w:pPr>
            <w:r>
              <w:t>23</w:t>
            </w:r>
          </w:p>
        </w:tc>
        <w:tc>
          <w:tcPr>
            <w:tcW w:w="3402" w:type="dxa"/>
            <w:vAlign w:val="center"/>
          </w:tcPr>
          <w:p w14:paraId="72B4C349">
            <w:pPr>
              <w:pStyle w:val="13"/>
            </w:pPr>
          </w:p>
        </w:tc>
        <w:tc>
          <w:tcPr>
            <w:tcW w:w="1474" w:type="dxa"/>
            <w:vAlign w:val="center"/>
          </w:tcPr>
          <w:p w14:paraId="4855A197">
            <w:pPr>
              <w:pStyle w:val="14"/>
            </w:pPr>
          </w:p>
        </w:tc>
        <w:tc>
          <w:tcPr>
            <w:tcW w:w="3402" w:type="dxa"/>
            <w:vAlign w:val="center"/>
          </w:tcPr>
          <w:p w14:paraId="27E5E131">
            <w:pPr>
              <w:pStyle w:val="13"/>
            </w:pPr>
            <w:r>
              <w:t>二十三、灾害防治及应急管理支出</w:t>
            </w:r>
          </w:p>
        </w:tc>
        <w:tc>
          <w:tcPr>
            <w:tcW w:w="1474" w:type="dxa"/>
            <w:vAlign w:val="center"/>
          </w:tcPr>
          <w:p w14:paraId="030B6FBE">
            <w:pPr>
              <w:pStyle w:val="14"/>
            </w:pPr>
          </w:p>
        </w:tc>
        <w:tc>
          <w:tcPr>
            <w:tcW w:w="1474" w:type="dxa"/>
            <w:vAlign w:val="center"/>
          </w:tcPr>
          <w:p w14:paraId="7F47509A">
            <w:pPr>
              <w:pStyle w:val="14"/>
            </w:pPr>
          </w:p>
        </w:tc>
        <w:tc>
          <w:tcPr>
            <w:tcW w:w="1474" w:type="dxa"/>
            <w:vAlign w:val="center"/>
          </w:tcPr>
          <w:p w14:paraId="68F33612">
            <w:pPr>
              <w:pStyle w:val="14"/>
            </w:pPr>
          </w:p>
        </w:tc>
        <w:tc>
          <w:tcPr>
            <w:tcW w:w="1474" w:type="dxa"/>
            <w:vAlign w:val="center"/>
          </w:tcPr>
          <w:p w14:paraId="47584257">
            <w:pPr>
              <w:pStyle w:val="14"/>
            </w:pPr>
          </w:p>
        </w:tc>
      </w:tr>
      <w:tr w14:paraId="42073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014B7">
            <w:pPr>
              <w:pStyle w:val="12"/>
            </w:pPr>
            <w:r>
              <w:t>24</w:t>
            </w:r>
          </w:p>
        </w:tc>
        <w:tc>
          <w:tcPr>
            <w:tcW w:w="3402" w:type="dxa"/>
            <w:vAlign w:val="center"/>
          </w:tcPr>
          <w:p w14:paraId="3B07DB65">
            <w:pPr>
              <w:pStyle w:val="13"/>
            </w:pPr>
          </w:p>
        </w:tc>
        <w:tc>
          <w:tcPr>
            <w:tcW w:w="1474" w:type="dxa"/>
            <w:vAlign w:val="center"/>
          </w:tcPr>
          <w:p w14:paraId="309C0AA8">
            <w:pPr>
              <w:pStyle w:val="14"/>
            </w:pPr>
          </w:p>
        </w:tc>
        <w:tc>
          <w:tcPr>
            <w:tcW w:w="3402" w:type="dxa"/>
            <w:vAlign w:val="center"/>
          </w:tcPr>
          <w:p w14:paraId="7FB5D096">
            <w:pPr>
              <w:pStyle w:val="13"/>
            </w:pPr>
            <w:r>
              <w:t>二十四、预备费</w:t>
            </w:r>
          </w:p>
        </w:tc>
        <w:tc>
          <w:tcPr>
            <w:tcW w:w="1474" w:type="dxa"/>
            <w:vAlign w:val="center"/>
          </w:tcPr>
          <w:p w14:paraId="7A545307">
            <w:pPr>
              <w:pStyle w:val="14"/>
            </w:pPr>
          </w:p>
        </w:tc>
        <w:tc>
          <w:tcPr>
            <w:tcW w:w="1474" w:type="dxa"/>
            <w:vAlign w:val="center"/>
          </w:tcPr>
          <w:p w14:paraId="42712471">
            <w:pPr>
              <w:pStyle w:val="14"/>
            </w:pPr>
          </w:p>
        </w:tc>
        <w:tc>
          <w:tcPr>
            <w:tcW w:w="1474" w:type="dxa"/>
            <w:vAlign w:val="center"/>
          </w:tcPr>
          <w:p w14:paraId="79E7D655">
            <w:pPr>
              <w:pStyle w:val="14"/>
            </w:pPr>
          </w:p>
        </w:tc>
        <w:tc>
          <w:tcPr>
            <w:tcW w:w="1474" w:type="dxa"/>
            <w:vAlign w:val="center"/>
          </w:tcPr>
          <w:p w14:paraId="352C91F8">
            <w:pPr>
              <w:pStyle w:val="14"/>
            </w:pPr>
          </w:p>
        </w:tc>
      </w:tr>
      <w:tr w14:paraId="2268B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2C422">
            <w:pPr>
              <w:pStyle w:val="12"/>
            </w:pPr>
            <w:r>
              <w:t>25</w:t>
            </w:r>
          </w:p>
        </w:tc>
        <w:tc>
          <w:tcPr>
            <w:tcW w:w="3402" w:type="dxa"/>
            <w:vAlign w:val="center"/>
          </w:tcPr>
          <w:p w14:paraId="235930E7">
            <w:pPr>
              <w:pStyle w:val="13"/>
            </w:pPr>
          </w:p>
        </w:tc>
        <w:tc>
          <w:tcPr>
            <w:tcW w:w="1474" w:type="dxa"/>
            <w:vAlign w:val="center"/>
          </w:tcPr>
          <w:p w14:paraId="504B0FD5">
            <w:pPr>
              <w:pStyle w:val="14"/>
            </w:pPr>
          </w:p>
        </w:tc>
        <w:tc>
          <w:tcPr>
            <w:tcW w:w="3402" w:type="dxa"/>
            <w:vAlign w:val="center"/>
          </w:tcPr>
          <w:p w14:paraId="6268ADC5">
            <w:pPr>
              <w:pStyle w:val="13"/>
            </w:pPr>
            <w:r>
              <w:t>二十五、其他支出</w:t>
            </w:r>
          </w:p>
        </w:tc>
        <w:tc>
          <w:tcPr>
            <w:tcW w:w="1474" w:type="dxa"/>
            <w:vAlign w:val="center"/>
          </w:tcPr>
          <w:p w14:paraId="4A83DEB1">
            <w:pPr>
              <w:pStyle w:val="14"/>
            </w:pPr>
          </w:p>
        </w:tc>
        <w:tc>
          <w:tcPr>
            <w:tcW w:w="1474" w:type="dxa"/>
            <w:vAlign w:val="center"/>
          </w:tcPr>
          <w:p w14:paraId="4D59D76D">
            <w:pPr>
              <w:pStyle w:val="14"/>
            </w:pPr>
          </w:p>
        </w:tc>
        <w:tc>
          <w:tcPr>
            <w:tcW w:w="1474" w:type="dxa"/>
            <w:vAlign w:val="center"/>
          </w:tcPr>
          <w:p w14:paraId="7ECCBE60">
            <w:pPr>
              <w:pStyle w:val="14"/>
            </w:pPr>
          </w:p>
        </w:tc>
        <w:tc>
          <w:tcPr>
            <w:tcW w:w="1474" w:type="dxa"/>
            <w:vAlign w:val="center"/>
          </w:tcPr>
          <w:p w14:paraId="773773F3">
            <w:pPr>
              <w:pStyle w:val="14"/>
            </w:pPr>
          </w:p>
        </w:tc>
      </w:tr>
      <w:tr w14:paraId="30EC3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A49C1">
            <w:pPr>
              <w:pStyle w:val="12"/>
            </w:pPr>
            <w:r>
              <w:t>26</w:t>
            </w:r>
          </w:p>
        </w:tc>
        <w:tc>
          <w:tcPr>
            <w:tcW w:w="3402" w:type="dxa"/>
            <w:vAlign w:val="center"/>
          </w:tcPr>
          <w:p w14:paraId="421A89F6">
            <w:pPr>
              <w:pStyle w:val="13"/>
            </w:pPr>
          </w:p>
        </w:tc>
        <w:tc>
          <w:tcPr>
            <w:tcW w:w="1474" w:type="dxa"/>
            <w:vAlign w:val="center"/>
          </w:tcPr>
          <w:p w14:paraId="06FBB943">
            <w:pPr>
              <w:pStyle w:val="14"/>
            </w:pPr>
          </w:p>
        </w:tc>
        <w:tc>
          <w:tcPr>
            <w:tcW w:w="3402" w:type="dxa"/>
            <w:vAlign w:val="center"/>
          </w:tcPr>
          <w:p w14:paraId="791ACF5F">
            <w:pPr>
              <w:pStyle w:val="13"/>
            </w:pPr>
            <w:r>
              <w:t>二十六、转移性支出</w:t>
            </w:r>
          </w:p>
        </w:tc>
        <w:tc>
          <w:tcPr>
            <w:tcW w:w="1474" w:type="dxa"/>
            <w:vAlign w:val="center"/>
          </w:tcPr>
          <w:p w14:paraId="6E947A8F">
            <w:pPr>
              <w:pStyle w:val="14"/>
            </w:pPr>
          </w:p>
        </w:tc>
        <w:tc>
          <w:tcPr>
            <w:tcW w:w="1474" w:type="dxa"/>
            <w:vAlign w:val="center"/>
          </w:tcPr>
          <w:p w14:paraId="24E9C309">
            <w:pPr>
              <w:pStyle w:val="14"/>
            </w:pPr>
          </w:p>
        </w:tc>
        <w:tc>
          <w:tcPr>
            <w:tcW w:w="1474" w:type="dxa"/>
            <w:vAlign w:val="center"/>
          </w:tcPr>
          <w:p w14:paraId="3E7EF929">
            <w:pPr>
              <w:pStyle w:val="14"/>
            </w:pPr>
          </w:p>
        </w:tc>
        <w:tc>
          <w:tcPr>
            <w:tcW w:w="1474" w:type="dxa"/>
            <w:vAlign w:val="center"/>
          </w:tcPr>
          <w:p w14:paraId="56892CC9">
            <w:pPr>
              <w:pStyle w:val="14"/>
            </w:pPr>
          </w:p>
        </w:tc>
      </w:tr>
      <w:tr w14:paraId="08878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BE215">
            <w:pPr>
              <w:pStyle w:val="12"/>
            </w:pPr>
            <w:r>
              <w:t>27</w:t>
            </w:r>
          </w:p>
        </w:tc>
        <w:tc>
          <w:tcPr>
            <w:tcW w:w="3402" w:type="dxa"/>
            <w:vAlign w:val="center"/>
          </w:tcPr>
          <w:p w14:paraId="1846FB27">
            <w:pPr>
              <w:pStyle w:val="13"/>
            </w:pPr>
          </w:p>
        </w:tc>
        <w:tc>
          <w:tcPr>
            <w:tcW w:w="1474" w:type="dxa"/>
            <w:vAlign w:val="center"/>
          </w:tcPr>
          <w:p w14:paraId="1130E74A">
            <w:pPr>
              <w:pStyle w:val="14"/>
            </w:pPr>
          </w:p>
        </w:tc>
        <w:tc>
          <w:tcPr>
            <w:tcW w:w="3402" w:type="dxa"/>
            <w:vAlign w:val="center"/>
          </w:tcPr>
          <w:p w14:paraId="75034E4B">
            <w:pPr>
              <w:pStyle w:val="13"/>
            </w:pPr>
            <w:r>
              <w:t>二十七、债务还本支出</w:t>
            </w:r>
          </w:p>
        </w:tc>
        <w:tc>
          <w:tcPr>
            <w:tcW w:w="1474" w:type="dxa"/>
            <w:vAlign w:val="center"/>
          </w:tcPr>
          <w:p w14:paraId="3C63AD3D">
            <w:pPr>
              <w:pStyle w:val="14"/>
            </w:pPr>
          </w:p>
        </w:tc>
        <w:tc>
          <w:tcPr>
            <w:tcW w:w="1474" w:type="dxa"/>
            <w:vAlign w:val="center"/>
          </w:tcPr>
          <w:p w14:paraId="09867EF3">
            <w:pPr>
              <w:pStyle w:val="14"/>
            </w:pPr>
          </w:p>
        </w:tc>
        <w:tc>
          <w:tcPr>
            <w:tcW w:w="1474" w:type="dxa"/>
            <w:vAlign w:val="center"/>
          </w:tcPr>
          <w:p w14:paraId="604A4CF4">
            <w:pPr>
              <w:pStyle w:val="14"/>
            </w:pPr>
          </w:p>
        </w:tc>
        <w:tc>
          <w:tcPr>
            <w:tcW w:w="1474" w:type="dxa"/>
            <w:vAlign w:val="center"/>
          </w:tcPr>
          <w:p w14:paraId="69EB1ACF">
            <w:pPr>
              <w:pStyle w:val="14"/>
            </w:pPr>
          </w:p>
        </w:tc>
      </w:tr>
      <w:tr w14:paraId="586C9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BB873">
            <w:pPr>
              <w:pStyle w:val="12"/>
            </w:pPr>
            <w:r>
              <w:t>28</w:t>
            </w:r>
          </w:p>
        </w:tc>
        <w:tc>
          <w:tcPr>
            <w:tcW w:w="3402" w:type="dxa"/>
            <w:vAlign w:val="center"/>
          </w:tcPr>
          <w:p w14:paraId="34B52134">
            <w:pPr>
              <w:pStyle w:val="13"/>
            </w:pPr>
          </w:p>
        </w:tc>
        <w:tc>
          <w:tcPr>
            <w:tcW w:w="1474" w:type="dxa"/>
            <w:vAlign w:val="center"/>
          </w:tcPr>
          <w:p w14:paraId="15A2D7EB">
            <w:pPr>
              <w:pStyle w:val="14"/>
            </w:pPr>
          </w:p>
        </w:tc>
        <w:tc>
          <w:tcPr>
            <w:tcW w:w="3402" w:type="dxa"/>
            <w:vAlign w:val="center"/>
          </w:tcPr>
          <w:p w14:paraId="7C596E31">
            <w:pPr>
              <w:pStyle w:val="13"/>
            </w:pPr>
            <w:r>
              <w:t>二十八、债务付息支出</w:t>
            </w:r>
          </w:p>
        </w:tc>
        <w:tc>
          <w:tcPr>
            <w:tcW w:w="1474" w:type="dxa"/>
            <w:vAlign w:val="center"/>
          </w:tcPr>
          <w:p w14:paraId="115C43FC">
            <w:pPr>
              <w:pStyle w:val="14"/>
            </w:pPr>
          </w:p>
        </w:tc>
        <w:tc>
          <w:tcPr>
            <w:tcW w:w="1474" w:type="dxa"/>
            <w:vAlign w:val="center"/>
          </w:tcPr>
          <w:p w14:paraId="330C0173">
            <w:pPr>
              <w:pStyle w:val="14"/>
            </w:pPr>
          </w:p>
        </w:tc>
        <w:tc>
          <w:tcPr>
            <w:tcW w:w="1474" w:type="dxa"/>
            <w:vAlign w:val="center"/>
          </w:tcPr>
          <w:p w14:paraId="77A7FFAD">
            <w:pPr>
              <w:pStyle w:val="14"/>
            </w:pPr>
          </w:p>
        </w:tc>
        <w:tc>
          <w:tcPr>
            <w:tcW w:w="1474" w:type="dxa"/>
            <w:vAlign w:val="center"/>
          </w:tcPr>
          <w:p w14:paraId="6F77B85B">
            <w:pPr>
              <w:pStyle w:val="14"/>
            </w:pPr>
          </w:p>
        </w:tc>
      </w:tr>
      <w:tr w14:paraId="23608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66003">
            <w:pPr>
              <w:pStyle w:val="12"/>
            </w:pPr>
            <w:r>
              <w:t>29</w:t>
            </w:r>
          </w:p>
        </w:tc>
        <w:tc>
          <w:tcPr>
            <w:tcW w:w="3402" w:type="dxa"/>
            <w:vAlign w:val="center"/>
          </w:tcPr>
          <w:p w14:paraId="18AC31E8">
            <w:pPr>
              <w:pStyle w:val="13"/>
            </w:pPr>
          </w:p>
        </w:tc>
        <w:tc>
          <w:tcPr>
            <w:tcW w:w="1474" w:type="dxa"/>
            <w:vAlign w:val="center"/>
          </w:tcPr>
          <w:p w14:paraId="7EDD876B">
            <w:pPr>
              <w:pStyle w:val="14"/>
            </w:pPr>
          </w:p>
        </w:tc>
        <w:tc>
          <w:tcPr>
            <w:tcW w:w="3402" w:type="dxa"/>
            <w:vAlign w:val="center"/>
          </w:tcPr>
          <w:p w14:paraId="69BEA3CB">
            <w:pPr>
              <w:pStyle w:val="13"/>
            </w:pPr>
            <w:r>
              <w:t>二十九、债务发行费用支出</w:t>
            </w:r>
          </w:p>
        </w:tc>
        <w:tc>
          <w:tcPr>
            <w:tcW w:w="1474" w:type="dxa"/>
            <w:vAlign w:val="center"/>
          </w:tcPr>
          <w:p w14:paraId="71240BC2">
            <w:pPr>
              <w:pStyle w:val="14"/>
            </w:pPr>
          </w:p>
        </w:tc>
        <w:tc>
          <w:tcPr>
            <w:tcW w:w="1474" w:type="dxa"/>
            <w:vAlign w:val="center"/>
          </w:tcPr>
          <w:p w14:paraId="55AA5D77">
            <w:pPr>
              <w:pStyle w:val="14"/>
            </w:pPr>
          </w:p>
        </w:tc>
        <w:tc>
          <w:tcPr>
            <w:tcW w:w="1474" w:type="dxa"/>
            <w:vAlign w:val="center"/>
          </w:tcPr>
          <w:p w14:paraId="11D38CC9">
            <w:pPr>
              <w:pStyle w:val="14"/>
            </w:pPr>
          </w:p>
        </w:tc>
        <w:tc>
          <w:tcPr>
            <w:tcW w:w="1474" w:type="dxa"/>
            <w:vAlign w:val="center"/>
          </w:tcPr>
          <w:p w14:paraId="4F0D0F35">
            <w:pPr>
              <w:pStyle w:val="14"/>
            </w:pPr>
          </w:p>
        </w:tc>
      </w:tr>
      <w:tr w14:paraId="27458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D52BD">
            <w:pPr>
              <w:pStyle w:val="12"/>
            </w:pPr>
            <w:r>
              <w:t>30</w:t>
            </w:r>
          </w:p>
        </w:tc>
        <w:tc>
          <w:tcPr>
            <w:tcW w:w="3402" w:type="dxa"/>
            <w:vAlign w:val="center"/>
          </w:tcPr>
          <w:p w14:paraId="6B5E5C12">
            <w:pPr>
              <w:pStyle w:val="13"/>
            </w:pPr>
          </w:p>
        </w:tc>
        <w:tc>
          <w:tcPr>
            <w:tcW w:w="1474" w:type="dxa"/>
            <w:vAlign w:val="center"/>
          </w:tcPr>
          <w:p w14:paraId="5D6352B0">
            <w:pPr>
              <w:pStyle w:val="14"/>
            </w:pPr>
          </w:p>
        </w:tc>
        <w:tc>
          <w:tcPr>
            <w:tcW w:w="3402" w:type="dxa"/>
            <w:vAlign w:val="center"/>
          </w:tcPr>
          <w:p w14:paraId="0A979D0D">
            <w:pPr>
              <w:pStyle w:val="13"/>
            </w:pPr>
            <w:r>
              <w:t>三十、抗疫特别国债安排的支出</w:t>
            </w:r>
          </w:p>
        </w:tc>
        <w:tc>
          <w:tcPr>
            <w:tcW w:w="1474" w:type="dxa"/>
            <w:vAlign w:val="center"/>
          </w:tcPr>
          <w:p w14:paraId="48BEA34F">
            <w:pPr>
              <w:pStyle w:val="14"/>
            </w:pPr>
          </w:p>
        </w:tc>
        <w:tc>
          <w:tcPr>
            <w:tcW w:w="1474" w:type="dxa"/>
            <w:vAlign w:val="center"/>
          </w:tcPr>
          <w:p w14:paraId="3F48E543">
            <w:pPr>
              <w:pStyle w:val="14"/>
            </w:pPr>
          </w:p>
        </w:tc>
        <w:tc>
          <w:tcPr>
            <w:tcW w:w="1474" w:type="dxa"/>
            <w:vAlign w:val="center"/>
          </w:tcPr>
          <w:p w14:paraId="74E97BE0">
            <w:pPr>
              <w:pStyle w:val="14"/>
            </w:pPr>
          </w:p>
        </w:tc>
        <w:tc>
          <w:tcPr>
            <w:tcW w:w="1474" w:type="dxa"/>
            <w:vAlign w:val="center"/>
          </w:tcPr>
          <w:p w14:paraId="62660B89">
            <w:pPr>
              <w:pStyle w:val="14"/>
            </w:pPr>
          </w:p>
        </w:tc>
      </w:tr>
      <w:tr w14:paraId="25EDD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65886">
            <w:pPr>
              <w:pStyle w:val="12"/>
            </w:pPr>
            <w:r>
              <w:t>31</w:t>
            </w:r>
          </w:p>
        </w:tc>
        <w:tc>
          <w:tcPr>
            <w:tcW w:w="3402" w:type="dxa"/>
            <w:vAlign w:val="center"/>
          </w:tcPr>
          <w:p w14:paraId="36ACBAC0">
            <w:pPr>
              <w:pStyle w:val="13"/>
            </w:pPr>
          </w:p>
        </w:tc>
        <w:tc>
          <w:tcPr>
            <w:tcW w:w="1474" w:type="dxa"/>
            <w:vAlign w:val="center"/>
          </w:tcPr>
          <w:p w14:paraId="3BB85B59">
            <w:pPr>
              <w:pStyle w:val="14"/>
            </w:pPr>
          </w:p>
        </w:tc>
        <w:tc>
          <w:tcPr>
            <w:tcW w:w="3402" w:type="dxa"/>
            <w:vAlign w:val="center"/>
          </w:tcPr>
          <w:p w14:paraId="6276D613">
            <w:pPr>
              <w:pStyle w:val="13"/>
            </w:pPr>
            <w:r>
              <w:t>三十一、人行科目</w:t>
            </w:r>
          </w:p>
        </w:tc>
        <w:tc>
          <w:tcPr>
            <w:tcW w:w="1474" w:type="dxa"/>
            <w:vAlign w:val="center"/>
          </w:tcPr>
          <w:p w14:paraId="1D40F3B0">
            <w:pPr>
              <w:pStyle w:val="14"/>
            </w:pPr>
          </w:p>
        </w:tc>
        <w:tc>
          <w:tcPr>
            <w:tcW w:w="1474" w:type="dxa"/>
            <w:vAlign w:val="center"/>
          </w:tcPr>
          <w:p w14:paraId="52F594ED">
            <w:pPr>
              <w:pStyle w:val="14"/>
            </w:pPr>
          </w:p>
        </w:tc>
        <w:tc>
          <w:tcPr>
            <w:tcW w:w="1474" w:type="dxa"/>
            <w:vAlign w:val="center"/>
          </w:tcPr>
          <w:p w14:paraId="24B5CA34">
            <w:pPr>
              <w:pStyle w:val="14"/>
            </w:pPr>
          </w:p>
        </w:tc>
        <w:tc>
          <w:tcPr>
            <w:tcW w:w="1474" w:type="dxa"/>
            <w:vAlign w:val="center"/>
          </w:tcPr>
          <w:p w14:paraId="40F95C4C">
            <w:pPr>
              <w:pStyle w:val="14"/>
            </w:pPr>
          </w:p>
        </w:tc>
      </w:tr>
      <w:tr w14:paraId="07C40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E219A">
            <w:pPr>
              <w:pStyle w:val="12"/>
            </w:pPr>
            <w:r>
              <w:t>32</w:t>
            </w:r>
          </w:p>
        </w:tc>
        <w:tc>
          <w:tcPr>
            <w:tcW w:w="3402" w:type="dxa"/>
            <w:vAlign w:val="center"/>
          </w:tcPr>
          <w:p w14:paraId="43D7D92D">
            <w:pPr>
              <w:pStyle w:val="15"/>
            </w:pPr>
            <w:r>
              <w:t>本年收入合计</w:t>
            </w:r>
          </w:p>
        </w:tc>
        <w:tc>
          <w:tcPr>
            <w:tcW w:w="1474" w:type="dxa"/>
            <w:vAlign w:val="center"/>
          </w:tcPr>
          <w:p w14:paraId="5D2B7D44">
            <w:pPr>
              <w:pStyle w:val="16"/>
            </w:pPr>
            <w:r>
              <w:t>6087.61</w:t>
            </w:r>
          </w:p>
        </w:tc>
        <w:tc>
          <w:tcPr>
            <w:tcW w:w="3402" w:type="dxa"/>
            <w:vAlign w:val="center"/>
          </w:tcPr>
          <w:p w14:paraId="594075B9">
            <w:pPr>
              <w:pStyle w:val="15"/>
            </w:pPr>
            <w:r>
              <w:t>本年支出合计</w:t>
            </w:r>
          </w:p>
        </w:tc>
        <w:tc>
          <w:tcPr>
            <w:tcW w:w="1474" w:type="dxa"/>
            <w:vAlign w:val="center"/>
          </w:tcPr>
          <w:p w14:paraId="7ABBF706">
            <w:pPr>
              <w:pStyle w:val="16"/>
            </w:pPr>
            <w:r>
              <w:t>6087.61</w:t>
            </w:r>
          </w:p>
        </w:tc>
        <w:tc>
          <w:tcPr>
            <w:tcW w:w="1474" w:type="dxa"/>
            <w:vAlign w:val="center"/>
          </w:tcPr>
          <w:p w14:paraId="57E0E2F7">
            <w:pPr>
              <w:pStyle w:val="16"/>
            </w:pPr>
            <w:r>
              <w:t>6087.61</w:t>
            </w:r>
          </w:p>
        </w:tc>
        <w:tc>
          <w:tcPr>
            <w:tcW w:w="1474" w:type="dxa"/>
            <w:vAlign w:val="center"/>
          </w:tcPr>
          <w:p w14:paraId="13FE72C9">
            <w:pPr>
              <w:pStyle w:val="16"/>
            </w:pPr>
          </w:p>
        </w:tc>
        <w:tc>
          <w:tcPr>
            <w:tcW w:w="1474" w:type="dxa"/>
            <w:vAlign w:val="center"/>
          </w:tcPr>
          <w:p w14:paraId="25E435A3">
            <w:pPr>
              <w:pStyle w:val="16"/>
            </w:pPr>
          </w:p>
        </w:tc>
      </w:tr>
      <w:tr w14:paraId="480F3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27B0F">
            <w:pPr>
              <w:pStyle w:val="12"/>
            </w:pPr>
            <w:r>
              <w:t>33</w:t>
            </w:r>
          </w:p>
        </w:tc>
        <w:tc>
          <w:tcPr>
            <w:tcW w:w="3402" w:type="dxa"/>
            <w:vAlign w:val="center"/>
          </w:tcPr>
          <w:p w14:paraId="0CDD9271">
            <w:pPr>
              <w:pStyle w:val="13"/>
            </w:pPr>
            <w:r>
              <w:t>年初财政拨款结转和结余</w:t>
            </w:r>
          </w:p>
        </w:tc>
        <w:tc>
          <w:tcPr>
            <w:tcW w:w="1474" w:type="dxa"/>
            <w:vAlign w:val="center"/>
          </w:tcPr>
          <w:p w14:paraId="017DF1D0">
            <w:pPr>
              <w:pStyle w:val="14"/>
            </w:pPr>
          </w:p>
        </w:tc>
        <w:tc>
          <w:tcPr>
            <w:tcW w:w="3402" w:type="dxa"/>
            <w:vAlign w:val="center"/>
          </w:tcPr>
          <w:p w14:paraId="387E52E4">
            <w:pPr>
              <w:pStyle w:val="13"/>
            </w:pPr>
            <w:r>
              <w:t>年末财政拨款结转和结余</w:t>
            </w:r>
          </w:p>
        </w:tc>
        <w:tc>
          <w:tcPr>
            <w:tcW w:w="1474" w:type="dxa"/>
            <w:vAlign w:val="center"/>
          </w:tcPr>
          <w:p w14:paraId="546316D7">
            <w:pPr>
              <w:pStyle w:val="14"/>
            </w:pPr>
          </w:p>
        </w:tc>
        <w:tc>
          <w:tcPr>
            <w:tcW w:w="1474" w:type="dxa"/>
            <w:vAlign w:val="center"/>
          </w:tcPr>
          <w:p w14:paraId="0291A855">
            <w:pPr>
              <w:pStyle w:val="14"/>
            </w:pPr>
          </w:p>
        </w:tc>
        <w:tc>
          <w:tcPr>
            <w:tcW w:w="1474" w:type="dxa"/>
            <w:vAlign w:val="center"/>
          </w:tcPr>
          <w:p w14:paraId="057DF660">
            <w:pPr>
              <w:pStyle w:val="14"/>
            </w:pPr>
          </w:p>
        </w:tc>
        <w:tc>
          <w:tcPr>
            <w:tcW w:w="1474" w:type="dxa"/>
            <w:vAlign w:val="center"/>
          </w:tcPr>
          <w:p w14:paraId="0CA1C17A">
            <w:pPr>
              <w:pStyle w:val="14"/>
            </w:pPr>
          </w:p>
        </w:tc>
      </w:tr>
      <w:tr w14:paraId="07212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89FE5">
            <w:pPr>
              <w:pStyle w:val="12"/>
            </w:pPr>
            <w:r>
              <w:t>34</w:t>
            </w:r>
          </w:p>
        </w:tc>
        <w:tc>
          <w:tcPr>
            <w:tcW w:w="3402" w:type="dxa"/>
            <w:vAlign w:val="center"/>
          </w:tcPr>
          <w:p w14:paraId="021221AA">
            <w:pPr>
              <w:pStyle w:val="13"/>
            </w:pPr>
            <w:r>
              <w:t>一、一般公共预算拨款</w:t>
            </w:r>
          </w:p>
        </w:tc>
        <w:tc>
          <w:tcPr>
            <w:tcW w:w="1474" w:type="dxa"/>
            <w:vAlign w:val="center"/>
          </w:tcPr>
          <w:p w14:paraId="0F26351A">
            <w:pPr>
              <w:pStyle w:val="14"/>
            </w:pPr>
          </w:p>
        </w:tc>
        <w:tc>
          <w:tcPr>
            <w:tcW w:w="3402" w:type="dxa"/>
            <w:vAlign w:val="center"/>
          </w:tcPr>
          <w:p w14:paraId="5E131056">
            <w:pPr>
              <w:pStyle w:val="13"/>
            </w:pPr>
          </w:p>
        </w:tc>
        <w:tc>
          <w:tcPr>
            <w:tcW w:w="1474" w:type="dxa"/>
            <w:vAlign w:val="center"/>
          </w:tcPr>
          <w:p w14:paraId="2FDBA5B8">
            <w:pPr>
              <w:pStyle w:val="14"/>
            </w:pPr>
          </w:p>
        </w:tc>
        <w:tc>
          <w:tcPr>
            <w:tcW w:w="1474" w:type="dxa"/>
            <w:vAlign w:val="center"/>
          </w:tcPr>
          <w:p w14:paraId="1ABC1B01">
            <w:pPr>
              <w:pStyle w:val="14"/>
            </w:pPr>
          </w:p>
        </w:tc>
        <w:tc>
          <w:tcPr>
            <w:tcW w:w="1474" w:type="dxa"/>
            <w:vAlign w:val="center"/>
          </w:tcPr>
          <w:p w14:paraId="1A5965EA">
            <w:pPr>
              <w:pStyle w:val="14"/>
            </w:pPr>
          </w:p>
        </w:tc>
        <w:tc>
          <w:tcPr>
            <w:tcW w:w="1474" w:type="dxa"/>
            <w:vAlign w:val="center"/>
          </w:tcPr>
          <w:p w14:paraId="78F3E173">
            <w:pPr>
              <w:pStyle w:val="14"/>
            </w:pPr>
          </w:p>
        </w:tc>
      </w:tr>
      <w:tr w14:paraId="5D6CC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97543">
            <w:pPr>
              <w:pStyle w:val="12"/>
            </w:pPr>
            <w:r>
              <w:t>35</w:t>
            </w:r>
          </w:p>
        </w:tc>
        <w:tc>
          <w:tcPr>
            <w:tcW w:w="3402" w:type="dxa"/>
            <w:vAlign w:val="center"/>
          </w:tcPr>
          <w:p w14:paraId="7604DA1E">
            <w:pPr>
              <w:pStyle w:val="13"/>
            </w:pPr>
            <w:r>
              <w:t>二、政府性基金预算拨款</w:t>
            </w:r>
          </w:p>
        </w:tc>
        <w:tc>
          <w:tcPr>
            <w:tcW w:w="1474" w:type="dxa"/>
            <w:vAlign w:val="center"/>
          </w:tcPr>
          <w:p w14:paraId="394BF483">
            <w:pPr>
              <w:pStyle w:val="14"/>
            </w:pPr>
          </w:p>
        </w:tc>
        <w:tc>
          <w:tcPr>
            <w:tcW w:w="3402" w:type="dxa"/>
            <w:vAlign w:val="center"/>
          </w:tcPr>
          <w:p w14:paraId="30EF2FE0">
            <w:pPr>
              <w:pStyle w:val="13"/>
            </w:pPr>
          </w:p>
        </w:tc>
        <w:tc>
          <w:tcPr>
            <w:tcW w:w="1474" w:type="dxa"/>
            <w:vAlign w:val="center"/>
          </w:tcPr>
          <w:p w14:paraId="3E7F5E5C">
            <w:pPr>
              <w:pStyle w:val="14"/>
            </w:pPr>
          </w:p>
        </w:tc>
        <w:tc>
          <w:tcPr>
            <w:tcW w:w="1474" w:type="dxa"/>
            <w:vAlign w:val="center"/>
          </w:tcPr>
          <w:p w14:paraId="649E953C">
            <w:pPr>
              <w:pStyle w:val="14"/>
            </w:pPr>
          </w:p>
        </w:tc>
        <w:tc>
          <w:tcPr>
            <w:tcW w:w="1474" w:type="dxa"/>
            <w:vAlign w:val="center"/>
          </w:tcPr>
          <w:p w14:paraId="064E7EFC">
            <w:pPr>
              <w:pStyle w:val="14"/>
            </w:pPr>
          </w:p>
        </w:tc>
        <w:tc>
          <w:tcPr>
            <w:tcW w:w="1474" w:type="dxa"/>
            <w:vAlign w:val="center"/>
          </w:tcPr>
          <w:p w14:paraId="708A7503">
            <w:pPr>
              <w:pStyle w:val="14"/>
            </w:pPr>
          </w:p>
        </w:tc>
      </w:tr>
      <w:tr w14:paraId="1EE94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E9BF2">
            <w:pPr>
              <w:pStyle w:val="12"/>
            </w:pPr>
            <w:r>
              <w:t>36</w:t>
            </w:r>
          </w:p>
        </w:tc>
        <w:tc>
          <w:tcPr>
            <w:tcW w:w="3402" w:type="dxa"/>
            <w:vAlign w:val="center"/>
          </w:tcPr>
          <w:p w14:paraId="5CF77F2F">
            <w:pPr>
              <w:pStyle w:val="13"/>
            </w:pPr>
            <w:r>
              <w:t>三、国有资本经营预算拨款</w:t>
            </w:r>
          </w:p>
        </w:tc>
        <w:tc>
          <w:tcPr>
            <w:tcW w:w="1474" w:type="dxa"/>
            <w:vAlign w:val="center"/>
          </w:tcPr>
          <w:p w14:paraId="42C410CB">
            <w:pPr>
              <w:pStyle w:val="14"/>
            </w:pPr>
          </w:p>
        </w:tc>
        <w:tc>
          <w:tcPr>
            <w:tcW w:w="3402" w:type="dxa"/>
            <w:vAlign w:val="center"/>
          </w:tcPr>
          <w:p w14:paraId="3A377137">
            <w:pPr>
              <w:pStyle w:val="13"/>
            </w:pPr>
          </w:p>
        </w:tc>
        <w:tc>
          <w:tcPr>
            <w:tcW w:w="1474" w:type="dxa"/>
            <w:vAlign w:val="center"/>
          </w:tcPr>
          <w:p w14:paraId="66CD49DA">
            <w:pPr>
              <w:pStyle w:val="14"/>
            </w:pPr>
          </w:p>
        </w:tc>
        <w:tc>
          <w:tcPr>
            <w:tcW w:w="1474" w:type="dxa"/>
            <w:vAlign w:val="center"/>
          </w:tcPr>
          <w:p w14:paraId="370DC178">
            <w:pPr>
              <w:pStyle w:val="14"/>
            </w:pPr>
          </w:p>
        </w:tc>
        <w:tc>
          <w:tcPr>
            <w:tcW w:w="1474" w:type="dxa"/>
            <w:vAlign w:val="center"/>
          </w:tcPr>
          <w:p w14:paraId="540A9E2E">
            <w:pPr>
              <w:pStyle w:val="14"/>
            </w:pPr>
          </w:p>
        </w:tc>
        <w:tc>
          <w:tcPr>
            <w:tcW w:w="1474" w:type="dxa"/>
            <w:vAlign w:val="center"/>
          </w:tcPr>
          <w:p w14:paraId="2D039596">
            <w:pPr>
              <w:pStyle w:val="14"/>
            </w:pPr>
          </w:p>
        </w:tc>
      </w:tr>
      <w:tr w14:paraId="235C2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F7A25">
            <w:pPr>
              <w:pStyle w:val="12"/>
            </w:pPr>
            <w:r>
              <w:t>37</w:t>
            </w:r>
          </w:p>
        </w:tc>
        <w:tc>
          <w:tcPr>
            <w:tcW w:w="3402" w:type="dxa"/>
            <w:vAlign w:val="center"/>
          </w:tcPr>
          <w:p w14:paraId="6CF19AC0">
            <w:pPr>
              <w:pStyle w:val="15"/>
            </w:pPr>
            <w:r>
              <w:t>收入总计</w:t>
            </w:r>
          </w:p>
        </w:tc>
        <w:tc>
          <w:tcPr>
            <w:tcW w:w="1474" w:type="dxa"/>
            <w:vAlign w:val="center"/>
          </w:tcPr>
          <w:p w14:paraId="7E796719">
            <w:pPr>
              <w:pStyle w:val="16"/>
            </w:pPr>
            <w:r>
              <w:t>6087.61</w:t>
            </w:r>
          </w:p>
        </w:tc>
        <w:tc>
          <w:tcPr>
            <w:tcW w:w="3402" w:type="dxa"/>
            <w:vAlign w:val="center"/>
          </w:tcPr>
          <w:p w14:paraId="2A65602F">
            <w:pPr>
              <w:pStyle w:val="15"/>
            </w:pPr>
            <w:r>
              <w:t>支出总计</w:t>
            </w:r>
          </w:p>
        </w:tc>
        <w:tc>
          <w:tcPr>
            <w:tcW w:w="1474" w:type="dxa"/>
            <w:vAlign w:val="center"/>
          </w:tcPr>
          <w:p w14:paraId="12893C64">
            <w:pPr>
              <w:pStyle w:val="16"/>
            </w:pPr>
            <w:r>
              <w:t>6087.61</w:t>
            </w:r>
          </w:p>
        </w:tc>
        <w:tc>
          <w:tcPr>
            <w:tcW w:w="1474" w:type="dxa"/>
            <w:vAlign w:val="center"/>
          </w:tcPr>
          <w:p w14:paraId="5E2508B9">
            <w:pPr>
              <w:pStyle w:val="16"/>
            </w:pPr>
            <w:r>
              <w:t>6087.61</w:t>
            </w:r>
          </w:p>
        </w:tc>
        <w:tc>
          <w:tcPr>
            <w:tcW w:w="1474" w:type="dxa"/>
            <w:vAlign w:val="center"/>
          </w:tcPr>
          <w:p w14:paraId="43D8638E">
            <w:pPr>
              <w:pStyle w:val="16"/>
            </w:pPr>
          </w:p>
        </w:tc>
        <w:tc>
          <w:tcPr>
            <w:tcW w:w="1474" w:type="dxa"/>
            <w:vAlign w:val="center"/>
          </w:tcPr>
          <w:p w14:paraId="3DA8E15A">
            <w:pPr>
              <w:pStyle w:val="16"/>
            </w:pPr>
          </w:p>
        </w:tc>
      </w:tr>
    </w:tbl>
    <w:p w14:paraId="2B574AED">
      <w:pPr>
        <w:sectPr>
          <w:pgSz w:w="16840" w:h="11900" w:orient="landscape"/>
          <w:pgMar w:top="1361" w:right="1020" w:bottom="1134" w:left="1020" w:header="720" w:footer="720" w:gutter="0"/>
          <w:cols w:space="720" w:num="1"/>
        </w:sectPr>
      </w:pPr>
    </w:p>
    <w:p w14:paraId="19BB5D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1B4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DEFD27">
            <w:pPr>
              <w:pStyle w:val="8"/>
            </w:pPr>
            <w:r>
              <w:t>360016隆尧县城关校区</w:t>
            </w:r>
          </w:p>
        </w:tc>
        <w:tc>
          <w:tcPr>
            <w:tcW w:w="2551" w:type="dxa"/>
            <w:tcBorders>
              <w:top w:val="single" w:color="FFFFFF" w:sz="6" w:space="0"/>
              <w:left w:val="single" w:color="FFFFFF" w:sz="6" w:space="0"/>
              <w:right w:val="single" w:color="FFFFFF" w:sz="6" w:space="0"/>
            </w:tcBorders>
            <w:vAlign w:val="center"/>
          </w:tcPr>
          <w:p w14:paraId="01AD38D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DEBC565">
            <w:pPr>
              <w:pStyle w:val="10"/>
            </w:pPr>
            <w:r>
              <w:t>单位：万元</w:t>
            </w:r>
          </w:p>
        </w:tc>
      </w:tr>
      <w:tr w14:paraId="6BD6A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21C66F">
            <w:pPr>
              <w:pStyle w:val="11"/>
            </w:pPr>
            <w:r>
              <w:t>序号</w:t>
            </w:r>
          </w:p>
        </w:tc>
        <w:tc>
          <w:tcPr>
            <w:tcW w:w="5726" w:type="dxa"/>
            <w:gridSpan w:val="2"/>
            <w:vAlign w:val="center"/>
          </w:tcPr>
          <w:p w14:paraId="6FE6D8F2">
            <w:pPr>
              <w:pStyle w:val="11"/>
            </w:pPr>
            <w:r>
              <w:t>功能分类科目</w:t>
            </w:r>
          </w:p>
        </w:tc>
        <w:tc>
          <w:tcPr>
            <w:tcW w:w="2551" w:type="dxa"/>
            <w:vMerge w:val="restart"/>
            <w:vAlign w:val="center"/>
          </w:tcPr>
          <w:p w14:paraId="79898A7C">
            <w:pPr>
              <w:pStyle w:val="11"/>
            </w:pPr>
            <w:r>
              <w:t>合计</w:t>
            </w:r>
          </w:p>
        </w:tc>
        <w:tc>
          <w:tcPr>
            <w:tcW w:w="2551" w:type="dxa"/>
            <w:vMerge w:val="restart"/>
            <w:vAlign w:val="center"/>
          </w:tcPr>
          <w:p w14:paraId="195B10D6">
            <w:pPr>
              <w:pStyle w:val="11"/>
            </w:pPr>
            <w:r>
              <w:t>基本支出</w:t>
            </w:r>
          </w:p>
        </w:tc>
        <w:tc>
          <w:tcPr>
            <w:tcW w:w="2551" w:type="dxa"/>
            <w:vMerge w:val="restart"/>
            <w:vAlign w:val="center"/>
          </w:tcPr>
          <w:p w14:paraId="110339E0">
            <w:pPr>
              <w:pStyle w:val="11"/>
            </w:pPr>
            <w:r>
              <w:t>项目支出</w:t>
            </w:r>
          </w:p>
        </w:tc>
      </w:tr>
      <w:tr w14:paraId="4943F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3F658C"/>
        </w:tc>
        <w:tc>
          <w:tcPr>
            <w:tcW w:w="1191" w:type="dxa"/>
            <w:vAlign w:val="center"/>
          </w:tcPr>
          <w:p w14:paraId="4671BB8C">
            <w:pPr>
              <w:pStyle w:val="11"/>
            </w:pPr>
            <w:r>
              <w:t>科目编码</w:t>
            </w:r>
          </w:p>
        </w:tc>
        <w:tc>
          <w:tcPr>
            <w:tcW w:w="4535" w:type="dxa"/>
            <w:vAlign w:val="center"/>
          </w:tcPr>
          <w:p w14:paraId="53C81ED2">
            <w:pPr>
              <w:pStyle w:val="11"/>
            </w:pPr>
            <w:r>
              <w:t>科目名称</w:t>
            </w:r>
          </w:p>
        </w:tc>
        <w:tc>
          <w:tcPr>
            <w:tcW w:w="2551" w:type="dxa"/>
            <w:vMerge w:val="continue"/>
          </w:tcPr>
          <w:p w14:paraId="70DA3ABD"/>
        </w:tc>
        <w:tc>
          <w:tcPr>
            <w:tcW w:w="2551" w:type="dxa"/>
            <w:vMerge w:val="continue"/>
          </w:tcPr>
          <w:p w14:paraId="6786117B"/>
        </w:tc>
        <w:tc>
          <w:tcPr>
            <w:tcW w:w="2551" w:type="dxa"/>
            <w:vMerge w:val="continue"/>
          </w:tcPr>
          <w:p w14:paraId="0A5C2298"/>
        </w:tc>
      </w:tr>
      <w:tr w14:paraId="29AB6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0F7F96">
            <w:pPr>
              <w:pStyle w:val="11"/>
            </w:pPr>
            <w:r>
              <w:t>栏次</w:t>
            </w:r>
          </w:p>
        </w:tc>
        <w:tc>
          <w:tcPr>
            <w:tcW w:w="1191" w:type="dxa"/>
            <w:vAlign w:val="center"/>
          </w:tcPr>
          <w:p w14:paraId="403DD57A">
            <w:pPr>
              <w:pStyle w:val="11"/>
            </w:pPr>
            <w:r>
              <w:t>1</w:t>
            </w:r>
          </w:p>
        </w:tc>
        <w:tc>
          <w:tcPr>
            <w:tcW w:w="4535" w:type="dxa"/>
            <w:vAlign w:val="center"/>
          </w:tcPr>
          <w:p w14:paraId="1C4F0766">
            <w:pPr>
              <w:pStyle w:val="11"/>
            </w:pPr>
            <w:r>
              <w:t>2</w:t>
            </w:r>
          </w:p>
        </w:tc>
        <w:tc>
          <w:tcPr>
            <w:tcW w:w="2551" w:type="dxa"/>
            <w:vAlign w:val="center"/>
          </w:tcPr>
          <w:p w14:paraId="5B91A0B3">
            <w:pPr>
              <w:pStyle w:val="11"/>
            </w:pPr>
            <w:r>
              <w:t>3</w:t>
            </w:r>
          </w:p>
        </w:tc>
        <w:tc>
          <w:tcPr>
            <w:tcW w:w="2551" w:type="dxa"/>
            <w:vAlign w:val="center"/>
          </w:tcPr>
          <w:p w14:paraId="33894794">
            <w:pPr>
              <w:pStyle w:val="11"/>
            </w:pPr>
            <w:r>
              <w:t>4</w:t>
            </w:r>
          </w:p>
        </w:tc>
        <w:tc>
          <w:tcPr>
            <w:tcW w:w="2551" w:type="dxa"/>
            <w:vAlign w:val="center"/>
          </w:tcPr>
          <w:p w14:paraId="7000BCA7">
            <w:pPr>
              <w:pStyle w:val="11"/>
            </w:pPr>
            <w:r>
              <w:t>5</w:t>
            </w:r>
          </w:p>
        </w:tc>
      </w:tr>
      <w:tr w14:paraId="62BFE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D1273">
            <w:pPr>
              <w:pStyle w:val="12"/>
            </w:pPr>
            <w:r>
              <w:t>1</w:t>
            </w:r>
          </w:p>
        </w:tc>
        <w:tc>
          <w:tcPr>
            <w:tcW w:w="1191" w:type="dxa"/>
            <w:vAlign w:val="center"/>
          </w:tcPr>
          <w:p w14:paraId="3DDB46D2">
            <w:pPr>
              <w:pStyle w:val="17"/>
            </w:pPr>
          </w:p>
        </w:tc>
        <w:tc>
          <w:tcPr>
            <w:tcW w:w="4535" w:type="dxa"/>
            <w:vAlign w:val="center"/>
          </w:tcPr>
          <w:p w14:paraId="67DCFB68">
            <w:pPr>
              <w:pStyle w:val="15"/>
            </w:pPr>
            <w:r>
              <w:t>合计</w:t>
            </w:r>
          </w:p>
        </w:tc>
        <w:tc>
          <w:tcPr>
            <w:tcW w:w="2551" w:type="dxa"/>
            <w:vAlign w:val="center"/>
          </w:tcPr>
          <w:p w14:paraId="0E278F16">
            <w:pPr>
              <w:pStyle w:val="16"/>
            </w:pPr>
            <w:r>
              <w:t>6087.61</w:t>
            </w:r>
          </w:p>
        </w:tc>
        <w:tc>
          <w:tcPr>
            <w:tcW w:w="2551" w:type="dxa"/>
            <w:vAlign w:val="center"/>
          </w:tcPr>
          <w:p w14:paraId="6223ACED">
            <w:pPr>
              <w:pStyle w:val="16"/>
            </w:pPr>
            <w:r>
              <w:t>4632.70</w:t>
            </w:r>
          </w:p>
        </w:tc>
        <w:tc>
          <w:tcPr>
            <w:tcW w:w="2551" w:type="dxa"/>
            <w:vAlign w:val="center"/>
          </w:tcPr>
          <w:p w14:paraId="0D8B3776">
            <w:pPr>
              <w:pStyle w:val="16"/>
            </w:pPr>
            <w:r>
              <w:t>1454.91</w:t>
            </w:r>
          </w:p>
        </w:tc>
      </w:tr>
      <w:tr w14:paraId="037FE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FC752">
            <w:pPr>
              <w:pStyle w:val="12"/>
            </w:pPr>
            <w:r>
              <w:t>2</w:t>
            </w:r>
          </w:p>
        </w:tc>
        <w:tc>
          <w:tcPr>
            <w:tcW w:w="1191" w:type="dxa"/>
            <w:vAlign w:val="center"/>
          </w:tcPr>
          <w:p w14:paraId="3C72BA2F">
            <w:pPr>
              <w:pStyle w:val="13"/>
            </w:pPr>
            <w:r>
              <w:t>205</w:t>
            </w:r>
          </w:p>
        </w:tc>
        <w:tc>
          <w:tcPr>
            <w:tcW w:w="4535" w:type="dxa"/>
            <w:vAlign w:val="center"/>
          </w:tcPr>
          <w:p w14:paraId="3AB338EF">
            <w:pPr>
              <w:pStyle w:val="13"/>
            </w:pPr>
            <w:r>
              <w:t>教育支出</w:t>
            </w:r>
          </w:p>
        </w:tc>
        <w:tc>
          <w:tcPr>
            <w:tcW w:w="2551" w:type="dxa"/>
            <w:vAlign w:val="center"/>
          </w:tcPr>
          <w:p w14:paraId="4CF53F46">
            <w:pPr>
              <w:pStyle w:val="14"/>
            </w:pPr>
            <w:r>
              <w:t>6087.61</w:t>
            </w:r>
          </w:p>
        </w:tc>
        <w:tc>
          <w:tcPr>
            <w:tcW w:w="2551" w:type="dxa"/>
            <w:vAlign w:val="center"/>
          </w:tcPr>
          <w:p w14:paraId="6EA2EA23">
            <w:pPr>
              <w:pStyle w:val="14"/>
            </w:pPr>
            <w:r>
              <w:t>4632.70</w:t>
            </w:r>
          </w:p>
        </w:tc>
        <w:tc>
          <w:tcPr>
            <w:tcW w:w="2551" w:type="dxa"/>
            <w:vAlign w:val="center"/>
          </w:tcPr>
          <w:p w14:paraId="29A3AA1C">
            <w:pPr>
              <w:pStyle w:val="14"/>
            </w:pPr>
            <w:r>
              <w:t>1454.91</w:t>
            </w:r>
          </w:p>
        </w:tc>
      </w:tr>
      <w:tr w14:paraId="7EB89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07F92">
            <w:pPr>
              <w:pStyle w:val="12"/>
            </w:pPr>
            <w:r>
              <w:t>3</w:t>
            </w:r>
          </w:p>
        </w:tc>
        <w:tc>
          <w:tcPr>
            <w:tcW w:w="1191" w:type="dxa"/>
            <w:vAlign w:val="center"/>
          </w:tcPr>
          <w:p w14:paraId="2F1CCC7A">
            <w:pPr>
              <w:pStyle w:val="13"/>
            </w:pPr>
            <w:r>
              <w:t>20502</w:t>
            </w:r>
          </w:p>
        </w:tc>
        <w:tc>
          <w:tcPr>
            <w:tcW w:w="4535" w:type="dxa"/>
            <w:vAlign w:val="center"/>
          </w:tcPr>
          <w:p w14:paraId="4D794F29">
            <w:pPr>
              <w:pStyle w:val="13"/>
            </w:pPr>
            <w:r>
              <w:t>普通教育</w:t>
            </w:r>
          </w:p>
        </w:tc>
        <w:tc>
          <w:tcPr>
            <w:tcW w:w="2551" w:type="dxa"/>
            <w:vAlign w:val="center"/>
          </w:tcPr>
          <w:p w14:paraId="02E946EF">
            <w:pPr>
              <w:pStyle w:val="14"/>
            </w:pPr>
            <w:r>
              <w:t>6087.61</w:t>
            </w:r>
          </w:p>
        </w:tc>
        <w:tc>
          <w:tcPr>
            <w:tcW w:w="2551" w:type="dxa"/>
            <w:vAlign w:val="center"/>
          </w:tcPr>
          <w:p w14:paraId="2E642A05">
            <w:pPr>
              <w:pStyle w:val="14"/>
            </w:pPr>
            <w:r>
              <w:t>4632.70</w:t>
            </w:r>
          </w:p>
        </w:tc>
        <w:tc>
          <w:tcPr>
            <w:tcW w:w="2551" w:type="dxa"/>
            <w:vAlign w:val="center"/>
          </w:tcPr>
          <w:p w14:paraId="4CD0DAE7">
            <w:pPr>
              <w:pStyle w:val="14"/>
            </w:pPr>
            <w:r>
              <w:t>1454.91</w:t>
            </w:r>
          </w:p>
        </w:tc>
      </w:tr>
      <w:tr w14:paraId="6408A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2B0DA">
            <w:pPr>
              <w:pStyle w:val="12"/>
            </w:pPr>
            <w:r>
              <w:t>4</w:t>
            </w:r>
          </w:p>
        </w:tc>
        <w:tc>
          <w:tcPr>
            <w:tcW w:w="1191" w:type="dxa"/>
            <w:vAlign w:val="center"/>
          </w:tcPr>
          <w:p w14:paraId="2B72F426">
            <w:pPr>
              <w:pStyle w:val="13"/>
            </w:pPr>
            <w:r>
              <w:t>2050201</w:t>
            </w:r>
          </w:p>
        </w:tc>
        <w:tc>
          <w:tcPr>
            <w:tcW w:w="4535" w:type="dxa"/>
            <w:vAlign w:val="center"/>
          </w:tcPr>
          <w:p w14:paraId="55C92E8C">
            <w:pPr>
              <w:pStyle w:val="13"/>
            </w:pPr>
            <w:r>
              <w:t>学前教育</w:t>
            </w:r>
          </w:p>
        </w:tc>
        <w:tc>
          <w:tcPr>
            <w:tcW w:w="2551" w:type="dxa"/>
            <w:vAlign w:val="center"/>
          </w:tcPr>
          <w:p w14:paraId="338ED856">
            <w:pPr>
              <w:pStyle w:val="14"/>
            </w:pPr>
            <w:r>
              <w:t>712.55</w:t>
            </w:r>
          </w:p>
        </w:tc>
        <w:tc>
          <w:tcPr>
            <w:tcW w:w="2551" w:type="dxa"/>
            <w:vAlign w:val="center"/>
          </w:tcPr>
          <w:p w14:paraId="469F4AF0">
            <w:pPr>
              <w:pStyle w:val="14"/>
            </w:pPr>
          </w:p>
        </w:tc>
        <w:tc>
          <w:tcPr>
            <w:tcW w:w="2551" w:type="dxa"/>
            <w:vAlign w:val="center"/>
          </w:tcPr>
          <w:p w14:paraId="6C893E18">
            <w:pPr>
              <w:pStyle w:val="14"/>
            </w:pPr>
            <w:r>
              <w:t>712.55</w:t>
            </w:r>
          </w:p>
        </w:tc>
      </w:tr>
      <w:tr w14:paraId="2B82B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01DB5">
            <w:pPr>
              <w:pStyle w:val="12"/>
            </w:pPr>
            <w:r>
              <w:t>5</w:t>
            </w:r>
          </w:p>
        </w:tc>
        <w:tc>
          <w:tcPr>
            <w:tcW w:w="1191" w:type="dxa"/>
            <w:vAlign w:val="center"/>
          </w:tcPr>
          <w:p w14:paraId="2C4AB5C3">
            <w:pPr>
              <w:pStyle w:val="13"/>
            </w:pPr>
            <w:r>
              <w:t>2050202</w:t>
            </w:r>
          </w:p>
        </w:tc>
        <w:tc>
          <w:tcPr>
            <w:tcW w:w="4535" w:type="dxa"/>
            <w:vAlign w:val="center"/>
          </w:tcPr>
          <w:p w14:paraId="5ABAB303">
            <w:pPr>
              <w:pStyle w:val="13"/>
            </w:pPr>
            <w:r>
              <w:t>小学教育</w:t>
            </w:r>
          </w:p>
        </w:tc>
        <w:tc>
          <w:tcPr>
            <w:tcW w:w="2551" w:type="dxa"/>
            <w:vAlign w:val="center"/>
          </w:tcPr>
          <w:p w14:paraId="4CA4A513">
            <w:pPr>
              <w:pStyle w:val="14"/>
            </w:pPr>
            <w:r>
              <w:t>5375.06</w:t>
            </w:r>
          </w:p>
        </w:tc>
        <w:tc>
          <w:tcPr>
            <w:tcW w:w="2551" w:type="dxa"/>
            <w:vAlign w:val="center"/>
          </w:tcPr>
          <w:p w14:paraId="3600FBC8">
            <w:pPr>
              <w:pStyle w:val="14"/>
            </w:pPr>
            <w:r>
              <w:t>4632.70</w:t>
            </w:r>
          </w:p>
        </w:tc>
        <w:tc>
          <w:tcPr>
            <w:tcW w:w="2551" w:type="dxa"/>
            <w:vAlign w:val="center"/>
          </w:tcPr>
          <w:p w14:paraId="6086C20B">
            <w:pPr>
              <w:pStyle w:val="14"/>
            </w:pPr>
            <w:r>
              <w:t>742.36</w:t>
            </w:r>
          </w:p>
        </w:tc>
      </w:tr>
    </w:tbl>
    <w:p w14:paraId="53929A7C">
      <w:pPr>
        <w:sectPr>
          <w:pgSz w:w="16840" w:h="11900" w:orient="landscape"/>
          <w:pgMar w:top="1361" w:right="1020" w:bottom="1134" w:left="1020" w:header="720" w:footer="720" w:gutter="0"/>
          <w:cols w:space="720" w:num="1"/>
        </w:sectPr>
      </w:pPr>
    </w:p>
    <w:p w14:paraId="71AD77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1C3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577AE8">
            <w:pPr>
              <w:pStyle w:val="8"/>
            </w:pPr>
            <w:r>
              <w:t>360016隆尧县城关校区</w:t>
            </w:r>
          </w:p>
        </w:tc>
        <w:tc>
          <w:tcPr>
            <w:tcW w:w="2551" w:type="dxa"/>
            <w:tcBorders>
              <w:top w:val="single" w:color="FFFFFF" w:sz="6" w:space="0"/>
              <w:left w:val="single" w:color="FFFFFF" w:sz="6" w:space="0"/>
              <w:right w:val="single" w:color="FFFFFF" w:sz="6" w:space="0"/>
            </w:tcBorders>
            <w:vAlign w:val="center"/>
          </w:tcPr>
          <w:p w14:paraId="7B9F350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41642ED">
            <w:pPr>
              <w:pStyle w:val="10"/>
            </w:pPr>
            <w:r>
              <w:t>单位：万元</w:t>
            </w:r>
          </w:p>
        </w:tc>
      </w:tr>
      <w:tr w14:paraId="7B5B6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752137">
            <w:pPr>
              <w:pStyle w:val="11"/>
            </w:pPr>
            <w:r>
              <w:t>序号</w:t>
            </w:r>
          </w:p>
        </w:tc>
        <w:tc>
          <w:tcPr>
            <w:tcW w:w="5726" w:type="dxa"/>
            <w:gridSpan w:val="2"/>
            <w:vAlign w:val="center"/>
          </w:tcPr>
          <w:p w14:paraId="1A7C7F3C">
            <w:pPr>
              <w:pStyle w:val="11"/>
            </w:pPr>
            <w:r>
              <w:t>支出部门经济分类科目</w:t>
            </w:r>
          </w:p>
        </w:tc>
        <w:tc>
          <w:tcPr>
            <w:tcW w:w="7653" w:type="dxa"/>
            <w:gridSpan w:val="3"/>
            <w:vAlign w:val="center"/>
          </w:tcPr>
          <w:p w14:paraId="6A66EA6E">
            <w:pPr>
              <w:pStyle w:val="11"/>
            </w:pPr>
            <w:r>
              <w:t>一般公共预算基本支出</w:t>
            </w:r>
          </w:p>
        </w:tc>
      </w:tr>
      <w:tr w14:paraId="31099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1FE089"/>
        </w:tc>
        <w:tc>
          <w:tcPr>
            <w:tcW w:w="1191" w:type="dxa"/>
            <w:vAlign w:val="center"/>
          </w:tcPr>
          <w:p w14:paraId="629716F7">
            <w:pPr>
              <w:pStyle w:val="11"/>
            </w:pPr>
            <w:r>
              <w:t>科目编码</w:t>
            </w:r>
          </w:p>
        </w:tc>
        <w:tc>
          <w:tcPr>
            <w:tcW w:w="4535" w:type="dxa"/>
            <w:vAlign w:val="center"/>
          </w:tcPr>
          <w:p w14:paraId="7D29280F">
            <w:pPr>
              <w:pStyle w:val="11"/>
            </w:pPr>
            <w:r>
              <w:t>科目名称</w:t>
            </w:r>
          </w:p>
        </w:tc>
        <w:tc>
          <w:tcPr>
            <w:tcW w:w="2551" w:type="dxa"/>
            <w:vAlign w:val="center"/>
          </w:tcPr>
          <w:p w14:paraId="1574D113">
            <w:pPr>
              <w:pStyle w:val="11"/>
            </w:pPr>
            <w:r>
              <w:t>合计</w:t>
            </w:r>
          </w:p>
        </w:tc>
        <w:tc>
          <w:tcPr>
            <w:tcW w:w="2551" w:type="dxa"/>
            <w:vAlign w:val="center"/>
          </w:tcPr>
          <w:p w14:paraId="63489FF9">
            <w:pPr>
              <w:pStyle w:val="11"/>
            </w:pPr>
            <w:r>
              <w:t>人员经费</w:t>
            </w:r>
          </w:p>
        </w:tc>
        <w:tc>
          <w:tcPr>
            <w:tcW w:w="2551" w:type="dxa"/>
            <w:vAlign w:val="center"/>
          </w:tcPr>
          <w:p w14:paraId="711062D5">
            <w:pPr>
              <w:pStyle w:val="11"/>
            </w:pPr>
            <w:r>
              <w:t>公用经费</w:t>
            </w:r>
          </w:p>
        </w:tc>
      </w:tr>
      <w:tr w14:paraId="6C045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E50B38">
            <w:pPr>
              <w:pStyle w:val="11"/>
            </w:pPr>
            <w:r>
              <w:t>栏次</w:t>
            </w:r>
          </w:p>
        </w:tc>
        <w:tc>
          <w:tcPr>
            <w:tcW w:w="1191" w:type="dxa"/>
            <w:vAlign w:val="center"/>
          </w:tcPr>
          <w:p w14:paraId="6FA5885B">
            <w:pPr>
              <w:pStyle w:val="11"/>
            </w:pPr>
            <w:r>
              <w:t>1</w:t>
            </w:r>
          </w:p>
        </w:tc>
        <w:tc>
          <w:tcPr>
            <w:tcW w:w="4535" w:type="dxa"/>
            <w:vAlign w:val="center"/>
          </w:tcPr>
          <w:p w14:paraId="1B8D3891">
            <w:pPr>
              <w:pStyle w:val="11"/>
            </w:pPr>
            <w:r>
              <w:t>2</w:t>
            </w:r>
          </w:p>
        </w:tc>
        <w:tc>
          <w:tcPr>
            <w:tcW w:w="2551" w:type="dxa"/>
            <w:vAlign w:val="center"/>
          </w:tcPr>
          <w:p w14:paraId="5698D822">
            <w:pPr>
              <w:pStyle w:val="11"/>
            </w:pPr>
            <w:r>
              <w:t>3</w:t>
            </w:r>
          </w:p>
        </w:tc>
        <w:tc>
          <w:tcPr>
            <w:tcW w:w="2551" w:type="dxa"/>
            <w:vAlign w:val="center"/>
          </w:tcPr>
          <w:p w14:paraId="198DE118">
            <w:pPr>
              <w:pStyle w:val="11"/>
            </w:pPr>
            <w:r>
              <w:t>4</w:t>
            </w:r>
          </w:p>
        </w:tc>
        <w:tc>
          <w:tcPr>
            <w:tcW w:w="2551" w:type="dxa"/>
            <w:vAlign w:val="center"/>
          </w:tcPr>
          <w:p w14:paraId="1F581BC9">
            <w:pPr>
              <w:pStyle w:val="11"/>
            </w:pPr>
            <w:r>
              <w:t>5</w:t>
            </w:r>
          </w:p>
        </w:tc>
      </w:tr>
      <w:tr w14:paraId="458A2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8C4E6">
            <w:pPr>
              <w:pStyle w:val="12"/>
            </w:pPr>
            <w:r>
              <w:t>1</w:t>
            </w:r>
          </w:p>
        </w:tc>
        <w:tc>
          <w:tcPr>
            <w:tcW w:w="1191" w:type="dxa"/>
            <w:vAlign w:val="center"/>
          </w:tcPr>
          <w:p w14:paraId="03934081">
            <w:pPr>
              <w:pStyle w:val="17"/>
            </w:pPr>
          </w:p>
        </w:tc>
        <w:tc>
          <w:tcPr>
            <w:tcW w:w="4535" w:type="dxa"/>
            <w:vAlign w:val="center"/>
          </w:tcPr>
          <w:p w14:paraId="7787A401">
            <w:pPr>
              <w:pStyle w:val="15"/>
            </w:pPr>
            <w:r>
              <w:t>合计</w:t>
            </w:r>
          </w:p>
        </w:tc>
        <w:tc>
          <w:tcPr>
            <w:tcW w:w="2551" w:type="dxa"/>
            <w:vAlign w:val="center"/>
          </w:tcPr>
          <w:p w14:paraId="13377935">
            <w:pPr>
              <w:pStyle w:val="16"/>
            </w:pPr>
            <w:r>
              <w:t>4632.70</w:t>
            </w:r>
          </w:p>
        </w:tc>
        <w:tc>
          <w:tcPr>
            <w:tcW w:w="2551" w:type="dxa"/>
            <w:vAlign w:val="center"/>
          </w:tcPr>
          <w:p w14:paraId="6C75D14E">
            <w:pPr>
              <w:pStyle w:val="16"/>
            </w:pPr>
            <w:r>
              <w:t>4632.70</w:t>
            </w:r>
          </w:p>
        </w:tc>
        <w:tc>
          <w:tcPr>
            <w:tcW w:w="2551" w:type="dxa"/>
            <w:vAlign w:val="center"/>
          </w:tcPr>
          <w:p w14:paraId="1FA087C0">
            <w:pPr>
              <w:pStyle w:val="16"/>
            </w:pPr>
          </w:p>
        </w:tc>
      </w:tr>
      <w:tr w14:paraId="4FE5A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B5FD9">
            <w:pPr>
              <w:pStyle w:val="12"/>
            </w:pPr>
            <w:r>
              <w:t>2</w:t>
            </w:r>
          </w:p>
        </w:tc>
        <w:tc>
          <w:tcPr>
            <w:tcW w:w="1191" w:type="dxa"/>
            <w:vAlign w:val="center"/>
          </w:tcPr>
          <w:p w14:paraId="666F2675">
            <w:pPr>
              <w:pStyle w:val="13"/>
            </w:pPr>
            <w:r>
              <w:t>301</w:t>
            </w:r>
          </w:p>
        </w:tc>
        <w:tc>
          <w:tcPr>
            <w:tcW w:w="4535" w:type="dxa"/>
            <w:vAlign w:val="center"/>
          </w:tcPr>
          <w:p w14:paraId="5EC168B5">
            <w:pPr>
              <w:pStyle w:val="13"/>
            </w:pPr>
            <w:r>
              <w:t>工资福利支出</w:t>
            </w:r>
          </w:p>
        </w:tc>
        <w:tc>
          <w:tcPr>
            <w:tcW w:w="2551" w:type="dxa"/>
            <w:vAlign w:val="center"/>
          </w:tcPr>
          <w:p w14:paraId="144B0DE8">
            <w:pPr>
              <w:pStyle w:val="14"/>
            </w:pPr>
            <w:r>
              <w:t>4118.32</w:t>
            </w:r>
          </w:p>
        </w:tc>
        <w:tc>
          <w:tcPr>
            <w:tcW w:w="2551" w:type="dxa"/>
            <w:vAlign w:val="center"/>
          </w:tcPr>
          <w:p w14:paraId="77A4E5B9">
            <w:pPr>
              <w:pStyle w:val="14"/>
            </w:pPr>
            <w:r>
              <w:t>4118.32</w:t>
            </w:r>
          </w:p>
        </w:tc>
        <w:tc>
          <w:tcPr>
            <w:tcW w:w="2551" w:type="dxa"/>
            <w:vAlign w:val="center"/>
          </w:tcPr>
          <w:p w14:paraId="22F09D95">
            <w:pPr>
              <w:pStyle w:val="14"/>
            </w:pPr>
          </w:p>
        </w:tc>
      </w:tr>
      <w:tr w14:paraId="2474C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3BCB6">
            <w:pPr>
              <w:pStyle w:val="12"/>
            </w:pPr>
            <w:r>
              <w:t>3</w:t>
            </w:r>
          </w:p>
        </w:tc>
        <w:tc>
          <w:tcPr>
            <w:tcW w:w="1191" w:type="dxa"/>
            <w:vAlign w:val="center"/>
          </w:tcPr>
          <w:p w14:paraId="317D2D88">
            <w:pPr>
              <w:pStyle w:val="13"/>
            </w:pPr>
            <w:r>
              <w:t>30101</w:t>
            </w:r>
          </w:p>
        </w:tc>
        <w:tc>
          <w:tcPr>
            <w:tcW w:w="4535" w:type="dxa"/>
            <w:vAlign w:val="center"/>
          </w:tcPr>
          <w:p w14:paraId="4D8BF83E">
            <w:pPr>
              <w:pStyle w:val="13"/>
            </w:pPr>
            <w:r>
              <w:t>基本工资</w:t>
            </w:r>
          </w:p>
        </w:tc>
        <w:tc>
          <w:tcPr>
            <w:tcW w:w="2551" w:type="dxa"/>
            <w:vAlign w:val="center"/>
          </w:tcPr>
          <w:p w14:paraId="0F33C526">
            <w:pPr>
              <w:pStyle w:val="14"/>
            </w:pPr>
            <w:r>
              <w:t>1975.99</w:t>
            </w:r>
          </w:p>
        </w:tc>
        <w:tc>
          <w:tcPr>
            <w:tcW w:w="2551" w:type="dxa"/>
            <w:vAlign w:val="center"/>
          </w:tcPr>
          <w:p w14:paraId="226E7869">
            <w:pPr>
              <w:pStyle w:val="14"/>
            </w:pPr>
            <w:r>
              <w:t>1975.99</w:t>
            </w:r>
          </w:p>
        </w:tc>
        <w:tc>
          <w:tcPr>
            <w:tcW w:w="2551" w:type="dxa"/>
            <w:vAlign w:val="center"/>
          </w:tcPr>
          <w:p w14:paraId="713AE61F">
            <w:pPr>
              <w:pStyle w:val="14"/>
            </w:pPr>
          </w:p>
        </w:tc>
      </w:tr>
      <w:tr w14:paraId="73095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37620">
            <w:pPr>
              <w:pStyle w:val="12"/>
            </w:pPr>
            <w:r>
              <w:t>4</w:t>
            </w:r>
          </w:p>
        </w:tc>
        <w:tc>
          <w:tcPr>
            <w:tcW w:w="1191" w:type="dxa"/>
            <w:vAlign w:val="center"/>
          </w:tcPr>
          <w:p w14:paraId="47A9D245">
            <w:pPr>
              <w:pStyle w:val="13"/>
            </w:pPr>
            <w:r>
              <w:t>30102</w:t>
            </w:r>
          </w:p>
        </w:tc>
        <w:tc>
          <w:tcPr>
            <w:tcW w:w="4535" w:type="dxa"/>
            <w:vAlign w:val="center"/>
          </w:tcPr>
          <w:p w14:paraId="0B85F438">
            <w:pPr>
              <w:pStyle w:val="13"/>
            </w:pPr>
            <w:r>
              <w:t>津贴补贴</w:t>
            </w:r>
          </w:p>
        </w:tc>
        <w:tc>
          <w:tcPr>
            <w:tcW w:w="2551" w:type="dxa"/>
            <w:vAlign w:val="center"/>
          </w:tcPr>
          <w:p w14:paraId="4E262F23">
            <w:pPr>
              <w:pStyle w:val="14"/>
            </w:pPr>
            <w:r>
              <w:t>113.82</w:t>
            </w:r>
          </w:p>
        </w:tc>
        <w:tc>
          <w:tcPr>
            <w:tcW w:w="2551" w:type="dxa"/>
            <w:vAlign w:val="center"/>
          </w:tcPr>
          <w:p w14:paraId="27CC5490">
            <w:pPr>
              <w:pStyle w:val="14"/>
            </w:pPr>
            <w:r>
              <w:t>113.82</w:t>
            </w:r>
          </w:p>
        </w:tc>
        <w:tc>
          <w:tcPr>
            <w:tcW w:w="2551" w:type="dxa"/>
            <w:vAlign w:val="center"/>
          </w:tcPr>
          <w:p w14:paraId="544F374F">
            <w:pPr>
              <w:pStyle w:val="14"/>
            </w:pPr>
          </w:p>
        </w:tc>
      </w:tr>
      <w:tr w14:paraId="16C41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66A40">
            <w:pPr>
              <w:pStyle w:val="12"/>
            </w:pPr>
            <w:r>
              <w:t>5</w:t>
            </w:r>
          </w:p>
        </w:tc>
        <w:tc>
          <w:tcPr>
            <w:tcW w:w="1191" w:type="dxa"/>
            <w:vAlign w:val="center"/>
          </w:tcPr>
          <w:p w14:paraId="65164EF8">
            <w:pPr>
              <w:pStyle w:val="13"/>
            </w:pPr>
            <w:r>
              <w:t>30107</w:t>
            </w:r>
          </w:p>
        </w:tc>
        <w:tc>
          <w:tcPr>
            <w:tcW w:w="4535" w:type="dxa"/>
            <w:vAlign w:val="center"/>
          </w:tcPr>
          <w:p w14:paraId="68D1F11F">
            <w:pPr>
              <w:pStyle w:val="13"/>
            </w:pPr>
            <w:r>
              <w:t>绩效工资</w:t>
            </w:r>
          </w:p>
        </w:tc>
        <w:tc>
          <w:tcPr>
            <w:tcW w:w="2551" w:type="dxa"/>
            <w:vAlign w:val="center"/>
          </w:tcPr>
          <w:p w14:paraId="3E441D46">
            <w:pPr>
              <w:pStyle w:val="14"/>
            </w:pPr>
            <w:r>
              <w:t>1148.79</w:t>
            </w:r>
          </w:p>
        </w:tc>
        <w:tc>
          <w:tcPr>
            <w:tcW w:w="2551" w:type="dxa"/>
            <w:vAlign w:val="center"/>
          </w:tcPr>
          <w:p w14:paraId="685EB1FE">
            <w:pPr>
              <w:pStyle w:val="14"/>
            </w:pPr>
            <w:r>
              <w:t>1148.79</w:t>
            </w:r>
          </w:p>
        </w:tc>
        <w:tc>
          <w:tcPr>
            <w:tcW w:w="2551" w:type="dxa"/>
            <w:vAlign w:val="center"/>
          </w:tcPr>
          <w:p w14:paraId="45F57568">
            <w:pPr>
              <w:pStyle w:val="14"/>
            </w:pPr>
          </w:p>
        </w:tc>
      </w:tr>
      <w:tr w14:paraId="2DAA4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2A596">
            <w:pPr>
              <w:pStyle w:val="12"/>
            </w:pPr>
            <w:r>
              <w:t>6</w:t>
            </w:r>
          </w:p>
        </w:tc>
        <w:tc>
          <w:tcPr>
            <w:tcW w:w="1191" w:type="dxa"/>
            <w:vAlign w:val="center"/>
          </w:tcPr>
          <w:p w14:paraId="1E7AA55D">
            <w:pPr>
              <w:pStyle w:val="13"/>
            </w:pPr>
            <w:r>
              <w:t>30108</w:t>
            </w:r>
          </w:p>
        </w:tc>
        <w:tc>
          <w:tcPr>
            <w:tcW w:w="4535" w:type="dxa"/>
            <w:vAlign w:val="center"/>
          </w:tcPr>
          <w:p w14:paraId="23BB0C9A">
            <w:pPr>
              <w:pStyle w:val="13"/>
            </w:pPr>
            <w:r>
              <w:t>机关事业单位基本养老保险缴费</w:t>
            </w:r>
          </w:p>
        </w:tc>
        <w:tc>
          <w:tcPr>
            <w:tcW w:w="2551" w:type="dxa"/>
            <w:vAlign w:val="center"/>
          </w:tcPr>
          <w:p w14:paraId="15A819E4">
            <w:pPr>
              <w:pStyle w:val="14"/>
            </w:pPr>
            <w:r>
              <w:t>384.14</w:t>
            </w:r>
          </w:p>
        </w:tc>
        <w:tc>
          <w:tcPr>
            <w:tcW w:w="2551" w:type="dxa"/>
            <w:vAlign w:val="center"/>
          </w:tcPr>
          <w:p w14:paraId="6B9055D0">
            <w:pPr>
              <w:pStyle w:val="14"/>
            </w:pPr>
            <w:r>
              <w:t>384.14</w:t>
            </w:r>
          </w:p>
        </w:tc>
        <w:tc>
          <w:tcPr>
            <w:tcW w:w="2551" w:type="dxa"/>
            <w:vAlign w:val="center"/>
          </w:tcPr>
          <w:p w14:paraId="7CD59E0B">
            <w:pPr>
              <w:pStyle w:val="14"/>
            </w:pPr>
          </w:p>
        </w:tc>
      </w:tr>
      <w:tr w14:paraId="5959D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CFCD4">
            <w:pPr>
              <w:pStyle w:val="12"/>
            </w:pPr>
            <w:r>
              <w:t>7</w:t>
            </w:r>
          </w:p>
        </w:tc>
        <w:tc>
          <w:tcPr>
            <w:tcW w:w="1191" w:type="dxa"/>
            <w:vAlign w:val="center"/>
          </w:tcPr>
          <w:p w14:paraId="74DB3AD8">
            <w:pPr>
              <w:pStyle w:val="13"/>
            </w:pPr>
            <w:r>
              <w:t>30110</w:t>
            </w:r>
          </w:p>
        </w:tc>
        <w:tc>
          <w:tcPr>
            <w:tcW w:w="4535" w:type="dxa"/>
            <w:vAlign w:val="center"/>
          </w:tcPr>
          <w:p w14:paraId="44FCDECA">
            <w:pPr>
              <w:pStyle w:val="13"/>
            </w:pPr>
            <w:r>
              <w:t>职工基本医疗保险缴费</w:t>
            </w:r>
          </w:p>
        </w:tc>
        <w:tc>
          <w:tcPr>
            <w:tcW w:w="2551" w:type="dxa"/>
            <w:vAlign w:val="center"/>
          </w:tcPr>
          <w:p w14:paraId="1C1017BC">
            <w:pPr>
              <w:pStyle w:val="14"/>
            </w:pPr>
            <w:r>
              <w:t>181.18</w:t>
            </w:r>
          </w:p>
        </w:tc>
        <w:tc>
          <w:tcPr>
            <w:tcW w:w="2551" w:type="dxa"/>
            <w:vAlign w:val="center"/>
          </w:tcPr>
          <w:p w14:paraId="1A46F94A">
            <w:pPr>
              <w:pStyle w:val="14"/>
            </w:pPr>
            <w:r>
              <w:t>181.18</w:t>
            </w:r>
          </w:p>
        </w:tc>
        <w:tc>
          <w:tcPr>
            <w:tcW w:w="2551" w:type="dxa"/>
            <w:vAlign w:val="center"/>
          </w:tcPr>
          <w:p w14:paraId="268F7EBA">
            <w:pPr>
              <w:pStyle w:val="14"/>
            </w:pPr>
          </w:p>
        </w:tc>
      </w:tr>
      <w:tr w14:paraId="207BE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6207E">
            <w:pPr>
              <w:pStyle w:val="12"/>
            </w:pPr>
            <w:r>
              <w:t>8</w:t>
            </w:r>
          </w:p>
        </w:tc>
        <w:tc>
          <w:tcPr>
            <w:tcW w:w="1191" w:type="dxa"/>
            <w:vAlign w:val="center"/>
          </w:tcPr>
          <w:p w14:paraId="3C5973E6">
            <w:pPr>
              <w:pStyle w:val="13"/>
            </w:pPr>
            <w:r>
              <w:t>30112</w:t>
            </w:r>
          </w:p>
        </w:tc>
        <w:tc>
          <w:tcPr>
            <w:tcW w:w="4535" w:type="dxa"/>
            <w:vAlign w:val="center"/>
          </w:tcPr>
          <w:p w14:paraId="146A3662">
            <w:pPr>
              <w:pStyle w:val="13"/>
            </w:pPr>
            <w:r>
              <w:t>其他社会保障缴费</w:t>
            </w:r>
          </w:p>
        </w:tc>
        <w:tc>
          <w:tcPr>
            <w:tcW w:w="2551" w:type="dxa"/>
            <w:vAlign w:val="center"/>
          </w:tcPr>
          <w:p w14:paraId="791A3D8A">
            <w:pPr>
              <w:pStyle w:val="14"/>
            </w:pPr>
            <w:r>
              <w:t>15.33</w:t>
            </w:r>
          </w:p>
        </w:tc>
        <w:tc>
          <w:tcPr>
            <w:tcW w:w="2551" w:type="dxa"/>
            <w:vAlign w:val="center"/>
          </w:tcPr>
          <w:p w14:paraId="0ACEA0FC">
            <w:pPr>
              <w:pStyle w:val="14"/>
            </w:pPr>
            <w:r>
              <w:t>15.33</w:t>
            </w:r>
          </w:p>
        </w:tc>
        <w:tc>
          <w:tcPr>
            <w:tcW w:w="2551" w:type="dxa"/>
            <w:vAlign w:val="center"/>
          </w:tcPr>
          <w:p w14:paraId="3440C6F6">
            <w:pPr>
              <w:pStyle w:val="14"/>
            </w:pPr>
          </w:p>
        </w:tc>
      </w:tr>
      <w:tr w14:paraId="3699B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764F6">
            <w:pPr>
              <w:pStyle w:val="12"/>
            </w:pPr>
            <w:r>
              <w:t>9</w:t>
            </w:r>
          </w:p>
        </w:tc>
        <w:tc>
          <w:tcPr>
            <w:tcW w:w="1191" w:type="dxa"/>
            <w:vAlign w:val="center"/>
          </w:tcPr>
          <w:p w14:paraId="68806BB3">
            <w:pPr>
              <w:pStyle w:val="13"/>
            </w:pPr>
            <w:r>
              <w:t>30113</w:t>
            </w:r>
          </w:p>
        </w:tc>
        <w:tc>
          <w:tcPr>
            <w:tcW w:w="4535" w:type="dxa"/>
            <w:vAlign w:val="center"/>
          </w:tcPr>
          <w:p w14:paraId="09147504">
            <w:pPr>
              <w:pStyle w:val="13"/>
            </w:pPr>
            <w:r>
              <w:t>住房公积金</w:t>
            </w:r>
          </w:p>
        </w:tc>
        <w:tc>
          <w:tcPr>
            <w:tcW w:w="2551" w:type="dxa"/>
            <w:vAlign w:val="center"/>
          </w:tcPr>
          <w:p w14:paraId="573FA551">
            <w:pPr>
              <w:pStyle w:val="14"/>
            </w:pPr>
            <w:r>
              <w:t>299.08</w:t>
            </w:r>
          </w:p>
        </w:tc>
        <w:tc>
          <w:tcPr>
            <w:tcW w:w="2551" w:type="dxa"/>
            <w:vAlign w:val="center"/>
          </w:tcPr>
          <w:p w14:paraId="0CEF0E23">
            <w:pPr>
              <w:pStyle w:val="14"/>
            </w:pPr>
            <w:r>
              <w:t>299.08</w:t>
            </w:r>
          </w:p>
        </w:tc>
        <w:tc>
          <w:tcPr>
            <w:tcW w:w="2551" w:type="dxa"/>
            <w:vAlign w:val="center"/>
          </w:tcPr>
          <w:p w14:paraId="1D90041A">
            <w:pPr>
              <w:pStyle w:val="14"/>
            </w:pPr>
          </w:p>
        </w:tc>
      </w:tr>
      <w:tr w14:paraId="2DE3C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227C8">
            <w:pPr>
              <w:pStyle w:val="12"/>
            </w:pPr>
            <w:r>
              <w:t>10</w:t>
            </w:r>
          </w:p>
        </w:tc>
        <w:tc>
          <w:tcPr>
            <w:tcW w:w="1191" w:type="dxa"/>
            <w:vAlign w:val="center"/>
          </w:tcPr>
          <w:p w14:paraId="3D638BE2">
            <w:pPr>
              <w:pStyle w:val="13"/>
            </w:pPr>
            <w:r>
              <w:t>303</w:t>
            </w:r>
          </w:p>
        </w:tc>
        <w:tc>
          <w:tcPr>
            <w:tcW w:w="4535" w:type="dxa"/>
            <w:vAlign w:val="center"/>
          </w:tcPr>
          <w:p w14:paraId="0E539BF2">
            <w:pPr>
              <w:pStyle w:val="13"/>
            </w:pPr>
            <w:r>
              <w:t>对个人和家庭的补助</w:t>
            </w:r>
          </w:p>
        </w:tc>
        <w:tc>
          <w:tcPr>
            <w:tcW w:w="2551" w:type="dxa"/>
            <w:vAlign w:val="center"/>
          </w:tcPr>
          <w:p w14:paraId="7083EE7C">
            <w:pPr>
              <w:pStyle w:val="14"/>
            </w:pPr>
            <w:r>
              <w:t>514.38</w:t>
            </w:r>
          </w:p>
        </w:tc>
        <w:tc>
          <w:tcPr>
            <w:tcW w:w="2551" w:type="dxa"/>
            <w:vAlign w:val="center"/>
          </w:tcPr>
          <w:p w14:paraId="131D944B">
            <w:pPr>
              <w:pStyle w:val="14"/>
            </w:pPr>
            <w:r>
              <w:t>514.38</w:t>
            </w:r>
          </w:p>
        </w:tc>
        <w:tc>
          <w:tcPr>
            <w:tcW w:w="2551" w:type="dxa"/>
            <w:vAlign w:val="center"/>
          </w:tcPr>
          <w:p w14:paraId="28858D97">
            <w:pPr>
              <w:pStyle w:val="14"/>
            </w:pPr>
          </w:p>
        </w:tc>
      </w:tr>
      <w:tr w14:paraId="6DAD1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A57F4">
            <w:pPr>
              <w:pStyle w:val="12"/>
            </w:pPr>
            <w:r>
              <w:t>11</w:t>
            </w:r>
          </w:p>
        </w:tc>
        <w:tc>
          <w:tcPr>
            <w:tcW w:w="1191" w:type="dxa"/>
            <w:vAlign w:val="center"/>
          </w:tcPr>
          <w:p w14:paraId="72BB4B5D">
            <w:pPr>
              <w:pStyle w:val="13"/>
            </w:pPr>
            <w:r>
              <w:t>30302</w:t>
            </w:r>
          </w:p>
        </w:tc>
        <w:tc>
          <w:tcPr>
            <w:tcW w:w="4535" w:type="dxa"/>
            <w:vAlign w:val="center"/>
          </w:tcPr>
          <w:p w14:paraId="738F3825">
            <w:pPr>
              <w:pStyle w:val="13"/>
            </w:pPr>
            <w:r>
              <w:t>退休费</w:t>
            </w:r>
          </w:p>
        </w:tc>
        <w:tc>
          <w:tcPr>
            <w:tcW w:w="2551" w:type="dxa"/>
            <w:vAlign w:val="center"/>
          </w:tcPr>
          <w:p w14:paraId="19F353D4">
            <w:pPr>
              <w:pStyle w:val="14"/>
            </w:pPr>
            <w:r>
              <w:t>498.58</w:t>
            </w:r>
          </w:p>
        </w:tc>
        <w:tc>
          <w:tcPr>
            <w:tcW w:w="2551" w:type="dxa"/>
            <w:vAlign w:val="center"/>
          </w:tcPr>
          <w:p w14:paraId="4AE7B4B2">
            <w:pPr>
              <w:pStyle w:val="14"/>
            </w:pPr>
            <w:r>
              <w:t>498.58</w:t>
            </w:r>
          </w:p>
        </w:tc>
        <w:tc>
          <w:tcPr>
            <w:tcW w:w="2551" w:type="dxa"/>
            <w:vAlign w:val="center"/>
          </w:tcPr>
          <w:p w14:paraId="1C855D69">
            <w:pPr>
              <w:pStyle w:val="14"/>
            </w:pPr>
          </w:p>
        </w:tc>
      </w:tr>
      <w:tr w14:paraId="0E55E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30E74">
            <w:pPr>
              <w:pStyle w:val="12"/>
            </w:pPr>
            <w:r>
              <w:t>12</w:t>
            </w:r>
          </w:p>
        </w:tc>
        <w:tc>
          <w:tcPr>
            <w:tcW w:w="1191" w:type="dxa"/>
            <w:vAlign w:val="center"/>
          </w:tcPr>
          <w:p w14:paraId="0F746802">
            <w:pPr>
              <w:pStyle w:val="13"/>
            </w:pPr>
            <w:r>
              <w:t>30305</w:t>
            </w:r>
          </w:p>
        </w:tc>
        <w:tc>
          <w:tcPr>
            <w:tcW w:w="4535" w:type="dxa"/>
            <w:vAlign w:val="center"/>
          </w:tcPr>
          <w:p w14:paraId="5D0ACEB3">
            <w:pPr>
              <w:pStyle w:val="13"/>
            </w:pPr>
            <w:r>
              <w:t>生活补助</w:t>
            </w:r>
          </w:p>
        </w:tc>
        <w:tc>
          <w:tcPr>
            <w:tcW w:w="2551" w:type="dxa"/>
            <w:vAlign w:val="center"/>
          </w:tcPr>
          <w:p w14:paraId="3F76840C">
            <w:pPr>
              <w:pStyle w:val="14"/>
            </w:pPr>
            <w:r>
              <w:t>15.80</w:t>
            </w:r>
          </w:p>
        </w:tc>
        <w:tc>
          <w:tcPr>
            <w:tcW w:w="2551" w:type="dxa"/>
            <w:vAlign w:val="center"/>
          </w:tcPr>
          <w:p w14:paraId="39D724C3">
            <w:pPr>
              <w:pStyle w:val="14"/>
            </w:pPr>
            <w:r>
              <w:t>15.80</w:t>
            </w:r>
          </w:p>
        </w:tc>
        <w:tc>
          <w:tcPr>
            <w:tcW w:w="2551" w:type="dxa"/>
            <w:vAlign w:val="center"/>
          </w:tcPr>
          <w:p w14:paraId="47E70C07">
            <w:pPr>
              <w:pStyle w:val="14"/>
            </w:pPr>
          </w:p>
        </w:tc>
      </w:tr>
    </w:tbl>
    <w:p w14:paraId="34DA8487">
      <w:pPr>
        <w:sectPr>
          <w:pgSz w:w="16840" w:h="11900" w:orient="landscape"/>
          <w:pgMar w:top="1361" w:right="1020" w:bottom="1134" w:left="1020" w:header="720" w:footer="720" w:gutter="0"/>
          <w:cols w:space="720" w:num="1"/>
        </w:sectPr>
      </w:pPr>
    </w:p>
    <w:p w14:paraId="4EFB22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928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95122">
            <w:pPr>
              <w:pStyle w:val="8"/>
            </w:pPr>
            <w:r>
              <w:t>360016隆尧县城关校区</w:t>
            </w:r>
          </w:p>
        </w:tc>
        <w:tc>
          <w:tcPr>
            <w:tcW w:w="2551" w:type="dxa"/>
            <w:tcBorders>
              <w:top w:val="single" w:color="FFFFFF" w:sz="6" w:space="0"/>
              <w:left w:val="single" w:color="FFFFFF" w:sz="6" w:space="0"/>
              <w:right w:val="single" w:color="FFFFFF" w:sz="6" w:space="0"/>
            </w:tcBorders>
            <w:vAlign w:val="center"/>
          </w:tcPr>
          <w:p w14:paraId="694EF93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45EBAB2">
            <w:pPr>
              <w:pStyle w:val="10"/>
            </w:pPr>
            <w:r>
              <w:t>单位：万元</w:t>
            </w:r>
          </w:p>
        </w:tc>
      </w:tr>
      <w:tr w14:paraId="71C49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26A9F">
            <w:pPr>
              <w:pStyle w:val="11"/>
            </w:pPr>
            <w:r>
              <w:t>序号</w:t>
            </w:r>
          </w:p>
        </w:tc>
        <w:tc>
          <w:tcPr>
            <w:tcW w:w="5726" w:type="dxa"/>
            <w:gridSpan w:val="2"/>
            <w:vAlign w:val="center"/>
          </w:tcPr>
          <w:p w14:paraId="10DD9F45">
            <w:pPr>
              <w:pStyle w:val="11"/>
            </w:pPr>
            <w:r>
              <w:t>功能分类科目</w:t>
            </w:r>
          </w:p>
        </w:tc>
        <w:tc>
          <w:tcPr>
            <w:tcW w:w="2551" w:type="dxa"/>
            <w:vMerge w:val="restart"/>
            <w:vAlign w:val="center"/>
          </w:tcPr>
          <w:p w14:paraId="0AB5CDAE">
            <w:pPr>
              <w:pStyle w:val="11"/>
            </w:pPr>
            <w:r>
              <w:t>合计</w:t>
            </w:r>
          </w:p>
        </w:tc>
        <w:tc>
          <w:tcPr>
            <w:tcW w:w="2551" w:type="dxa"/>
            <w:vMerge w:val="restart"/>
            <w:vAlign w:val="center"/>
          </w:tcPr>
          <w:p w14:paraId="58DF490E">
            <w:pPr>
              <w:pStyle w:val="11"/>
            </w:pPr>
            <w:r>
              <w:t>基本支出</w:t>
            </w:r>
          </w:p>
        </w:tc>
        <w:tc>
          <w:tcPr>
            <w:tcW w:w="2551" w:type="dxa"/>
            <w:vMerge w:val="restart"/>
            <w:vAlign w:val="center"/>
          </w:tcPr>
          <w:p w14:paraId="197C0558">
            <w:pPr>
              <w:pStyle w:val="11"/>
            </w:pPr>
            <w:r>
              <w:t>项目支出</w:t>
            </w:r>
          </w:p>
        </w:tc>
      </w:tr>
      <w:tr w14:paraId="0CFEE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38BA8"/>
        </w:tc>
        <w:tc>
          <w:tcPr>
            <w:tcW w:w="1191" w:type="dxa"/>
            <w:vAlign w:val="center"/>
          </w:tcPr>
          <w:p w14:paraId="35B05FAD">
            <w:pPr>
              <w:pStyle w:val="11"/>
            </w:pPr>
            <w:r>
              <w:t>科目编码</w:t>
            </w:r>
          </w:p>
        </w:tc>
        <w:tc>
          <w:tcPr>
            <w:tcW w:w="4535" w:type="dxa"/>
            <w:vAlign w:val="center"/>
          </w:tcPr>
          <w:p w14:paraId="34E317F5">
            <w:pPr>
              <w:pStyle w:val="11"/>
            </w:pPr>
            <w:r>
              <w:t>科目名称</w:t>
            </w:r>
          </w:p>
        </w:tc>
        <w:tc>
          <w:tcPr>
            <w:tcW w:w="2551" w:type="dxa"/>
            <w:vMerge w:val="continue"/>
          </w:tcPr>
          <w:p w14:paraId="171735C2"/>
        </w:tc>
        <w:tc>
          <w:tcPr>
            <w:tcW w:w="2551" w:type="dxa"/>
            <w:vMerge w:val="continue"/>
          </w:tcPr>
          <w:p w14:paraId="375EBC52"/>
        </w:tc>
        <w:tc>
          <w:tcPr>
            <w:tcW w:w="2551" w:type="dxa"/>
            <w:vMerge w:val="continue"/>
          </w:tcPr>
          <w:p w14:paraId="23E779CD"/>
        </w:tc>
      </w:tr>
      <w:tr w14:paraId="5A638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586222">
            <w:pPr>
              <w:pStyle w:val="11"/>
            </w:pPr>
            <w:r>
              <w:t>栏次</w:t>
            </w:r>
          </w:p>
        </w:tc>
        <w:tc>
          <w:tcPr>
            <w:tcW w:w="1191" w:type="dxa"/>
            <w:vAlign w:val="center"/>
          </w:tcPr>
          <w:p w14:paraId="35A420BB">
            <w:pPr>
              <w:pStyle w:val="11"/>
            </w:pPr>
            <w:r>
              <w:t>1</w:t>
            </w:r>
          </w:p>
        </w:tc>
        <w:tc>
          <w:tcPr>
            <w:tcW w:w="4535" w:type="dxa"/>
            <w:vAlign w:val="center"/>
          </w:tcPr>
          <w:p w14:paraId="7A43EFEA">
            <w:pPr>
              <w:pStyle w:val="11"/>
            </w:pPr>
            <w:r>
              <w:t>2</w:t>
            </w:r>
          </w:p>
        </w:tc>
        <w:tc>
          <w:tcPr>
            <w:tcW w:w="2551" w:type="dxa"/>
            <w:vAlign w:val="center"/>
          </w:tcPr>
          <w:p w14:paraId="19047363">
            <w:pPr>
              <w:pStyle w:val="11"/>
            </w:pPr>
            <w:r>
              <w:t>3</w:t>
            </w:r>
          </w:p>
        </w:tc>
        <w:tc>
          <w:tcPr>
            <w:tcW w:w="2551" w:type="dxa"/>
            <w:vAlign w:val="center"/>
          </w:tcPr>
          <w:p w14:paraId="3DBEC1B2">
            <w:pPr>
              <w:pStyle w:val="11"/>
            </w:pPr>
            <w:r>
              <w:t>4</w:t>
            </w:r>
          </w:p>
        </w:tc>
        <w:tc>
          <w:tcPr>
            <w:tcW w:w="2551" w:type="dxa"/>
            <w:vAlign w:val="center"/>
          </w:tcPr>
          <w:p w14:paraId="0096B649">
            <w:pPr>
              <w:pStyle w:val="11"/>
            </w:pPr>
            <w:r>
              <w:t>5</w:t>
            </w:r>
          </w:p>
        </w:tc>
      </w:tr>
      <w:tr w14:paraId="07C35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EF9C6">
            <w:pPr>
              <w:pStyle w:val="12"/>
            </w:pPr>
          </w:p>
        </w:tc>
        <w:tc>
          <w:tcPr>
            <w:tcW w:w="1191" w:type="dxa"/>
            <w:vAlign w:val="center"/>
          </w:tcPr>
          <w:p w14:paraId="53837351">
            <w:pPr>
              <w:pStyle w:val="13"/>
            </w:pPr>
          </w:p>
        </w:tc>
        <w:tc>
          <w:tcPr>
            <w:tcW w:w="4535" w:type="dxa"/>
            <w:vAlign w:val="center"/>
          </w:tcPr>
          <w:p w14:paraId="7A499463">
            <w:pPr>
              <w:pStyle w:val="13"/>
            </w:pPr>
          </w:p>
        </w:tc>
        <w:tc>
          <w:tcPr>
            <w:tcW w:w="2551" w:type="dxa"/>
            <w:vAlign w:val="center"/>
          </w:tcPr>
          <w:p w14:paraId="6CFF06CB">
            <w:pPr>
              <w:pStyle w:val="14"/>
            </w:pPr>
          </w:p>
        </w:tc>
        <w:tc>
          <w:tcPr>
            <w:tcW w:w="2551" w:type="dxa"/>
            <w:vAlign w:val="center"/>
          </w:tcPr>
          <w:p w14:paraId="6519678A">
            <w:pPr>
              <w:pStyle w:val="14"/>
            </w:pPr>
          </w:p>
        </w:tc>
        <w:tc>
          <w:tcPr>
            <w:tcW w:w="2551" w:type="dxa"/>
            <w:vAlign w:val="center"/>
          </w:tcPr>
          <w:p w14:paraId="1DAD4112">
            <w:pPr>
              <w:pStyle w:val="14"/>
            </w:pPr>
          </w:p>
        </w:tc>
      </w:tr>
    </w:tbl>
    <w:p w14:paraId="7EF478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52D0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B75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39CBC3">
            <w:pPr>
              <w:pStyle w:val="8"/>
            </w:pPr>
            <w:r>
              <w:t>360016隆尧县城关校区</w:t>
            </w:r>
          </w:p>
        </w:tc>
        <w:tc>
          <w:tcPr>
            <w:tcW w:w="2551" w:type="dxa"/>
            <w:tcBorders>
              <w:top w:val="single" w:color="FFFFFF" w:sz="6" w:space="0"/>
              <w:left w:val="single" w:color="FFFFFF" w:sz="6" w:space="0"/>
              <w:right w:val="single" w:color="FFFFFF" w:sz="6" w:space="0"/>
            </w:tcBorders>
            <w:vAlign w:val="center"/>
          </w:tcPr>
          <w:p w14:paraId="3CC7EAE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39FF55E">
            <w:pPr>
              <w:pStyle w:val="10"/>
            </w:pPr>
            <w:r>
              <w:t>单位：万元</w:t>
            </w:r>
          </w:p>
        </w:tc>
      </w:tr>
      <w:tr w14:paraId="28DF6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CA9EFE">
            <w:pPr>
              <w:pStyle w:val="11"/>
            </w:pPr>
            <w:r>
              <w:t>序号</w:t>
            </w:r>
          </w:p>
        </w:tc>
        <w:tc>
          <w:tcPr>
            <w:tcW w:w="5726" w:type="dxa"/>
            <w:gridSpan w:val="2"/>
            <w:vAlign w:val="center"/>
          </w:tcPr>
          <w:p w14:paraId="758CA3D7">
            <w:pPr>
              <w:pStyle w:val="11"/>
            </w:pPr>
            <w:r>
              <w:t>功能分类科目</w:t>
            </w:r>
          </w:p>
        </w:tc>
        <w:tc>
          <w:tcPr>
            <w:tcW w:w="2551" w:type="dxa"/>
            <w:vMerge w:val="restart"/>
            <w:vAlign w:val="center"/>
          </w:tcPr>
          <w:p w14:paraId="3846E09B">
            <w:pPr>
              <w:pStyle w:val="11"/>
            </w:pPr>
            <w:r>
              <w:t>合计</w:t>
            </w:r>
          </w:p>
        </w:tc>
        <w:tc>
          <w:tcPr>
            <w:tcW w:w="2551" w:type="dxa"/>
            <w:vMerge w:val="restart"/>
            <w:vAlign w:val="center"/>
          </w:tcPr>
          <w:p w14:paraId="2D45219D">
            <w:pPr>
              <w:pStyle w:val="11"/>
            </w:pPr>
            <w:r>
              <w:t>基本支出</w:t>
            </w:r>
          </w:p>
        </w:tc>
        <w:tc>
          <w:tcPr>
            <w:tcW w:w="2551" w:type="dxa"/>
            <w:vMerge w:val="restart"/>
            <w:vAlign w:val="center"/>
          </w:tcPr>
          <w:p w14:paraId="152CD479">
            <w:pPr>
              <w:pStyle w:val="11"/>
            </w:pPr>
            <w:r>
              <w:t>项目支出</w:t>
            </w:r>
          </w:p>
        </w:tc>
      </w:tr>
      <w:tr w14:paraId="750AC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E5E606"/>
        </w:tc>
        <w:tc>
          <w:tcPr>
            <w:tcW w:w="1191" w:type="dxa"/>
            <w:vAlign w:val="center"/>
          </w:tcPr>
          <w:p w14:paraId="4D79CB01">
            <w:pPr>
              <w:pStyle w:val="11"/>
            </w:pPr>
            <w:r>
              <w:t>科目编码</w:t>
            </w:r>
          </w:p>
        </w:tc>
        <w:tc>
          <w:tcPr>
            <w:tcW w:w="4535" w:type="dxa"/>
            <w:vAlign w:val="center"/>
          </w:tcPr>
          <w:p w14:paraId="17E284AD">
            <w:pPr>
              <w:pStyle w:val="11"/>
            </w:pPr>
            <w:r>
              <w:t>科目名称</w:t>
            </w:r>
          </w:p>
        </w:tc>
        <w:tc>
          <w:tcPr>
            <w:tcW w:w="2551" w:type="dxa"/>
            <w:vMerge w:val="continue"/>
          </w:tcPr>
          <w:p w14:paraId="2095C6AB"/>
        </w:tc>
        <w:tc>
          <w:tcPr>
            <w:tcW w:w="2551" w:type="dxa"/>
            <w:vMerge w:val="continue"/>
          </w:tcPr>
          <w:p w14:paraId="7B582936"/>
        </w:tc>
        <w:tc>
          <w:tcPr>
            <w:tcW w:w="2551" w:type="dxa"/>
            <w:vMerge w:val="continue"/>
          </w:tcPr>
          <w:p w14:paraId="7677883E"/>
        </w:tc>
      </w:tr>
      <w:tr w14:paraId="046F6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4CB0A2">
            <w:pPr>
              <w:pStyle w:val="11"/>
            </w:pPr>
            <w:r>
              <w:t>栏次</w:t>
            </w:r>
          </w:p>
        </w:tc>
        <w:tc>
          <w:tcPr>
            <w:tcW w:w="1191" w:type="dxa"/>
            <w:vAlign w:val="center"/>
          </w:tcPr>
          <w:p w14:paraId="7B019B18">
            <w:pPr>
              <w:pStyle w:val="11"/>
            </w:pPr>
            <w:r>
              <w:t>1</w:t>
            </w:r>
          </w:p>
        </w:tc>
        <w:tc>
          <w:tcPr>
            <w:tcW w:w="4535" w:type="dxa"/>
            <w:vAlign w:val="center"/>
          </w:tcPr>
          <w:p w14:paraId="1C71D752">
            <w:pPr>
              <w:pStyle w:val="11"/>
            </w:pPr>
            <w:r>
              <w:t>2</w:t>
            </w:r>
          </w:p>
        </w:tc>
        <w:tc>
          <w:tcPr>
            <w:tcW w:w="2551" w:type="dxa"/>
            <w:vAlign w:val="center"/>
          </w:tcPr>
          <w:p w14:paraId="4BC0CB83">
            <w:pPr>
              <w:pStyle w:val="11"/>
            </w:pPr>
            <w:r>
              <w:t>3</w:t>
            </w:r>
          </w:p>
        </w:tc>
        <w:tc>
          <w:tcPr>
            <w:tcW w:w="2551" w:type="dxa"/>
            <w:vAlign w:val="center"/>
          </w:tcPr>
          <w:p w14:paraId="705952BE">
            <w:pPr>
              <w:pStyle w:val="11"/>
            </w:pPr>
            <w:r>
              <w:t>4</w:t>
            </w:r>
          </w:p>
        </w:tc>
        <w:tc>
          <w:tcPr>
            <w:tcW w:w="2551" w:type="dxa"/>
            <w:vAlign w:val="center"/>
          </w:tcPr>
          <w:p w14:paraId="4901A838">
            <w:pPr>
              <w:pStyle w:val="11"/>
            </w:pPr>
            <w:r>
              <w:t>5</w:t>
            </w:r>
          </w:p>
        </w:tc>
      </w:tr>
      <w:tr w14:paraId="3804C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E1C06">
            <w:pPr>
              <w:pStyle w:val="12"/>
            </w:pPr>
          </w:p>
        </w:tc>
        <w:tc>
          <w:tcPr>
            <w:tcW w:w="1191" w:type="dxa"/>
            <w:vAlign w:val="center"/>
          </w:tcPr>
          <w:p w14:paraId="32B1BC56">
            <w:pPr>
              <w:pStyle w:val="13"/>
            </w:pPr>
          </w:p>
        </w:tc>
        <w:tc>
          <w:tcPr>
            <w:tcW w:w="4535" w:type="dxa"/>
            <w:vAlign w:val="center"/>
          </w:tcPr>
          <w:p w14:paraId="55B66CC1">
            <w:pPr>
              <w:pStyle w:val="13"/>
            </w:pPr>
          </w:p>
        </w:tc>
        <w:tc>
          <w:tcPr>
            <w:tcW w:w="2551" w:type="dxa"/>
            <w:vAlign w:val="center"/>
          </w:tcPr>
          <w:p w14:paraId="6EB60BD2">
            <w:pPr>
              <w:pStyle w:val="14"/>
            </w:pPr>
          </w:p>
        </w:tc>
        <w:tc>
          <w:tcPr>
            <w:tcW w:w="2551" w:type="dxa"/>
            <w:vAlign w:val="center"/>
          </w:tcPr>
          <w:p w14:paraId="5A35C5FA">
            <w:pPr>
              <w:pStyle w:val="14"/>
            </w:pPr>
          </w:p>
        </w:tc>
        <w:tc>
          <w:tcPr>
            <w:tcW w:w="2551" w:type="dxa"/>
            <w:vAlign w:val="center"/>
          </w:tcPr>
          <w:p w14:paraId="58845AD5">
            <w:pPr>
              <w:pStyle w:val="14"/>
            </w:pPr>
          </w:p>
        </w:tc>
      </w:tr>
    </w:tbl>
    <w:p w14:paraId="69D546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9BB1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8DD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E75811">
            <w:pPr>
              <w:pStyle w:val="8"/>
            </w:pPr>
            <w:r>
              <w:t>360016隆尧县城关校区</w:t>
            </w:r>
          </w:p>
        </w:tc>
        <w:tc>
          <w:tcPr>
            <w:tcW w:w="2381" w:type="dxa"/>
            <w:tcBorders>
              <w:top w:val="single" w:color="FFFFFF" w:sz="6" w:space="0"/>
              <w:left w:val="single" w:color="FFFFFF" w:sz="6" w:space="0"/>
              <w:right w:val="single" w:color="FFFFFF" w:sz="6" w:space="0"/>
            </w:tcBorders>
            <w:vAlign w:val="center"/>
          </w:tcPr>
          <w:p w14:paraId="291CDD92">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D1B6241">
            <w:pPr>
              <w:pStyle w:val="10"/>
            </w:pPr>
            <w:r>
              <w:t>单位：万元</w:t>
            </w:r>
          </w:p>
        </w:tc>
      </w:tr>
      <w:tr w14:paraId="6AE79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2F06D8">
            <w:pPr>
              <w:pStyle w:val="11"/>
            </w:pPr>
            <w:r>
              <w:t>序号</w:t>
            </w:r>
          </w:p>
        </w:tc>
        <w:tc>
          <w:tcPr>
            <w:tcW w:w="3798" w:type="dxa"/>
            <w:vMerge w:val="restart"/>
            <w:vAlign w:val="center"/>
          </w:tcPr>
          <w:p w14:paraId="76249D06">
            <w:pPr>
              <w:pStyle w:val="11"/>
            </w:pPr>
            <w:r>
              <w:t>项  目</w:t>
            </w:r>
          </w:p>
        </w:tc>
        <w:tc>
          <w:tcPr>
            <w:tcW w:w="9524" w:type="dxa"/>
            <w:gridSpan w:val="4"/>
            <w:vAlign w:val="center"/>
          </w:tcPr>
          <w:p w14:paraId="28523545">
            <w:pPr>
              <w:pStyle w:val="11"/>
            </w:pPr>
            <w:r>
              <w:t>资 金 性 质</w:t>
            </w:r>
          </w:p>
        </w:tc>
      </w:tr>
      <w:tr w14:paraId="4EF4D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3710F6"/>
        </w:tc>
        <w:tc>
          <w:tcPr>
            <w:tcW w:w="3798" w:type="dxa"/>
            <w:vMerge w:val="continue"/>
          </w:tcPr>
          <w:p w14:paraId="7F037875"/>
        </w:tc>
        <w:tc>
          <w:tcPr>
            <w:tcW w:w="2381" w:type="dxa"/>
            <w:vAlign w:val="center"/>
          </w:tcPr>
          <w:p w14:paraId="2418B5F1">
            <w:pPr>
              <w:pStyle w:val="11"/>
            </w:pPr>
            <w:r>
              <w:t>合计</w:t>
            </w:r>
          </w:p>
        </w:tc>
        <w:tc>
          <w:tcPr>
            <w:tcW w:w="2381" w:type="dxa"/>
            <w:vAlign w:val="center"/>
          </w:tcPr>
          <w:p w14:paraId="4CF3AE19">
            <w:pPr>
              <w:pStyle w:val="11"/>
            </w:pPr>
            <w:r>
              <w:t>一般公共预算              财政拨款</w:t>
            </w:r>
          </w:p>
        </w:tc>
        <w:tc>
          <w:tcPr>
            <w:tcW w:w="2381" w:type="dxa"/>
            <w:vAlign w:val="center"/>
          </w:tcPr>
          <w:p w14:paraId="281DBEA6">
            <w:pPr>
              <w:pStyle w:val="11"/>
            </w:pPr>
            <w:r>
              <w:t>政府性基金                  预算拨款</w:t>
            </w:r>
          </w:p>
        </w:tc>
        <w:tc>
          <w:tcPr>
            <w:tcW w:w="2381" w:type="dxa"/>
            <w:vAlign w:val="center"/>
          </w:tcPr>
          <w:p w14:paraId="091648E7">
            <w:pPr>
              <w:pStyle w:val="11"/>
            </w:pPr>
            <w:r>
              <w:t>国有资本经营              预算财政拨款</w:t>
            </w:r>
          </w:p>
        </w:tc>
      </w:tr>
      <w:tr w14:paraId="33C18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A87FD2">
            <w:pPr>
              <w:pStyle w:val="11"/>
            </w:pPr>
            <w:r>
              <w:t>栏次</w:t>
            </w:r>
          </w:p>
        </w:tc>
        <w:tc>
          <w:tcPr>
            <w:tcW w:w="3798" w:type="dxa"/>
            <w:vAlign w:val="center"/>
          </w:tcPr>
          <w:p w14:paraId="69E417A8">
            <w:pPr>
              <w:pStyle w:val="11"/>
            </w:pPr>
            <w:r>
              <w:t>1</w:t>
            </w:r>
          </w:p>
        </w:tc>
        <w:tc>
          <w:tcPr>
            <w:tcW w:w="2381" w:type="dxa"/>
            <w:vAlign w:val="center"/>
          </w:tcPr>
          <w:p w14:paraId="4C4E00C3">
            <w:pPr>
              <w:pStyle w:val="11"/>
            </w:pPr>
            <w:r>
              <w:t>2</w:t>
            </w:r>
          </w:p>
        </w:tc>
        <w:tc>
          <w:tcPr>
            <w:tcW w:w="2381" w:type="dxa"/>
            <w:vAlign w:val="center"/>
          </w:tcPr>
          <w:p w14:paraId="5183AFCA">
            <w:pPr>
              <w:pStyle w:val="11"/>
            </w:pPr>
            <w:r>
              <w:t>3</w:t>
            </w:r>
          </w:p>
        </w:tc>
        <w:tc>
          <w:tcPr>
            <w:tcW w:w="2381" w:type="dxa"/>
            <w:vAlign w:val="center"/>
          </w:tcPr>
          <w:p w14:paraId="43B808B9">
            <w:pPr>
              <w:pStyle w:val="11"/>
            </w:pPr>
            <w:r>
              <w:t>4</w:t>
            </w:r>
          </w:p>
        </w:tc>
        <w:tc>
          <w:tcPr>
            <w:tcW w:w="2381" w:type="dxa"/>
            <w:vAlign w:val="center"/>
          </w:tcPr>
          <w:p w14:paraId="44C0419F">
            <w:pPr>
              <w:pStyle w:val="11"/>
            </w:pPr>
            <w:r>
              <w:t>5</w:t>
            </w:r>
          </w:p>
        </w:tc>
      </w:tr>
      <w:tr w14:paraId="18E4A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BCB57B">
            <w:pPr>
              <w:pStyle w:val="12"/>
            </w:pPr>
          </w:p>
        </w:tc>
        <w:tc>
          <w:tcPr>
            <w:tcW w:w="3798" w:type="dxa"/>
            <w:vAlign w:val="center"/>
          </w:tcPr>
          <w:p w14:paraId="103F6E9F">
            <w:pPr>
              <w:pStyle w:val="13"/>
            </w:pPr>
          </w:p>
        </w:tc>
        <w:tc>
          <w:tcPr>
            <w:tcW w:w="2381" w:type="dxa"/>
            <w:vAlign w:val="center"/>
          </w:tcPr>
          <w:p w14:paraId="3F3599DF">
            <w:pPr>
              <w:pStyle w:val="14"/>
            </w:pPr>
          </w:p>
        </w:tc>
        <w:tc>
          <w:tcPr>
            <w:tcW w:w="2381" w:type="dxa"/>
            <w:vAlign w:val="center"/>
          </w:tcPr>
          <w:p w14:paraId="55E3E350">
            <w:pPr>
              <w:pStyle w:val="14"/>
            </w:pPr>
          </w:p>
        </w:tc>
        <w:tc>
          <w:tcPr>
            <w:tcW w:w="2381" w:type="dxa"/>
            <w:vAlign w:val="center"/>
          </w:tcPr>
          <w:p w14:paraId="7F98D614">
            <w:pPr>
              <w:pStyle w:val="14"/>
            </w:pPr>
          </w:p>
        </w:tc>
        <w:tc>
          <w:tcPr>
            <w:tcW w:w="2381" w:type="dxa"/>
            <w:vAlign w:val="center"/>
          </w:tcPr>
          <w:p w14:paraId="7933325B">
            <w:pPr>
              <w:pStyle w:val="14"/>
            </w:pPr>
          </w:p>
        </w:tc>
      </w:tr>
    </w:tbl>
    <w:p w14:paraId="3AC9638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DF4513">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隆尧县城关校区2025年单位预算信息公开情况说明</w:t>
      </w:r>
    </w:p>
    <w:p w14:paraId="6AD2271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按照《中华人民共和国预算法》、《地方预决算公开操作规程》和《关于进一步推进预算公开工作的实施意见》规定，现将隆尧县城关校区2025年单位预算公开如下：</w:t>
      </w:r>
    </w:p>
    <w:p w14:paraId="204B5527">
      <w:pPr>
        <w:spacing w:before="10" w:after="10" w:line="240" w:lineRule="auto"/>
        <w:ind w:firstLine="640"/>
        <w:jc w:val="left"/>
        <w:outlineLvl w:val="5"/>
      </w:pPr>
      <w:r>
        <w:rPr>
          <w:rFonts w:ascii="黑体" w:hAnsi="黑体" w:eastAsia="黑体" w:cs="黑体"/>
          <w:color w:val="000000"/>
          <w:sz w:val="32"/>
        </w:rPr>
        <w:t>一、单位职责及机构设置情况</w:t>
      </w:r>
    </w:p>
    <w:p w14:paraId="6554BD1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65B9D70">
      <w:pPr>
        <w:pStyle w:val="18"/>
      </w:pPr>
      <w:r>
        <w:t>贯彻落实基础教育的方针、政策，开展小学阶段教育教学工作，促进学生德、智、体、美、劳全面发展；负责学生安全教育和管理，确保学生身心健康；加强教师队伍建设和管理，为教育教学工作提供保障。</w:t>
      </w:r>
    </w:p>
    <w:p w14:paraId="5F6CF3C2">
      <w:pPr>
        <w:pStyle w:val="18"/>
      </w:pPr>
      <w:r>
        <w:t>隆尧县城关校区事业编制523名．其中，校长1名（正股级），副校长4名（副股级）；经费形式为财政性资金基本保证。</w:t>
      </w:r>
    </w:p>
    <w:p w14:paraId="5555958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925D3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04AC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8C4B6B">
            <w:pPr>
              <w:pStyle w:val="11"/>
            </w:pPr>
            <w:r>
              <w:t>单位名称</w:t>
            </w:r>
          </w:p>
        </w:tc>
        <w:tc>
          <w:tcPr>
            <w:tcW w:w="1843" w:type="dxa"/>
            <w:vAlign w:val="center"/>
          </w:tcPr>
          <w:p w14:paraId="471D0F5B">
            <w:pPr>
              <w:pStyle w:val="11"/>
            </w:pPr>
            <w:r>
              <w:t>单位性质</w:t>
            </w:r>
          </w:p>
        </w:tc>
        <w:tc>
          <w:tcPr>
            <w:tcW w:w="2126" w:type="dxa"/>
            <w:vAlign w:val="center"/>
          </w:tcPr>
          <w:p w14:paraId="14DB6309">
            <w:pPr>
              <w:pStyle w:val="11"/>
            </w:pPr>
            <w:r>
              <w:t>单位规格</w:t>
            </w:r>
          </w:p>
        </w:tc>
        <w:tc>
          <w:tcPr>
            <w:tcW w:w="3827" w:type="dxa"/>
            <w:vAlign w:val="center"/>
          </w:tcPr>
          <w:p w14:paraId="5B2E59D5">
            <w:pPr>
              <w:pStyle w:val="11"/>
            </w:pPr>
            <w:r>
              <w:t>经费保障形式</w:t>
            </w:r>
          </w:p>
        </w:tc>
      </w:tr>
      <w:tr w14:paraId="50F23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7C62240">
            <w:pPr>
              <w:pStyle w:val="13"/>
            </w:pPr>
            <w:r>
              <w:t>隆尧县城关校区</w:t>
            </w:r>
          </w:p>
        </w:tc>
        <w:tc>
          <w:tcPr>
            <w:tcW w:w="1843" w:type="dxa"/>
            <w:vAlign w:val="center"/>
          </w:tcPr>
          <w:p w14:paraId="00860BA3">
            <w:pPr>
              <w:pStyle w:val="12"/>
            </w:pPr>
            <w:r>
              <w:t>事业</w:t>
            </w:r>
          </w:p>
        </w:tc>
        <w:tc>
          <w:tcPr>
            <w:tcW w:w="2126" w:type="dxa"/>
            <w:vAlign w:val="center"/>
          </w:tcPr>
          <w:p w14:paraId="75F9C5CC">
            <w:pPr>
              <w:pStyle w:val="12"/>
            </w:pPr>
            <w:r>
              <w:t>股级</w:t>
            </w:r>
          </w:p>
        </w:tc>
        <w:tc>
          <w:tcPr>
            <w:tcW w:w="3827" w:type="dxa"/>
            <w:vAlign w:val="center"/>
          </w:tcPr>
          <w:p w14:paraId="642B3595">
            <w:pPr>
              <w:pStyle w:val="12"/>
            </w:pPr>
            <w:r>
              <w:t>财政性资金基本保证</w:t>
            </w:r>
          </w:p>
        </w:tc>
      </w:tr>
    </w:tbl>
    <w:p w14:paraId="00D3E9E2">
      <w:pPr>
        <w:spacing w:before="10" w:after="10" w:line="240" w:lineRule="auto"/>
        <w:ind w:firstLine="640"/>
        <w:jc w:val="left"/>
        <w:outlineLvl w:val="5"/>
      </w:pPr>
      <w:r>
        <w:rPr>
          <w:rFonts w:ascii="黑体" w:hAnsi="黑体" w:eastAsia="黑体" w:cs="黑体"/>
          <w:color w:val="000000"/>
          <w:sz w:val="32"/>
        </w:rPr>
        <w:t>二、单位预算安排的总体情况</w:t>
      </w:r>
    </w:p>
    <w:p w14:paraId="2B9711B9">
      <w:pPr>
        <w:pStyle w:val="19"/>
      </w:pPr>
      <w:r>
        <w:t>二、单位预算安排的总体情况</w:t>
      </w:r>
    </w:p>
    <w:p w14:paraId="4E4EF1D8">
      <w:pPr>
        <w:pStyle w:val="19"/>
      </w:pPr>
      <w:r>
        <w:t>按照预算管理有关规定，目前我校区单位预算的编制实行综合预算管理，即全部收入和支出都反映的预算中。隆尧县城关校区的收支包含在单位预算中。</w:t>
      </w:r>
    </w:p>
    <w:p w14:paraId="4F950EFC">
      <w:pPr>
        <w:pStyle w:val="19"/>
      </w:pPr>
      <w:r>
        <w:t>1、收入说明</w:t>
      </w:r>
    </w:p>
    <w:p w14:paraId="024E235F">
      <w:pPr>
        <w:pStyle w:val="19"/>
      </w:pPr>
      <w:r>
        <w:t>反映本单位当年全部收入。2025年预算收入6087.61万元，其中：一般公共预算收入6087.61万元，基金预算收入0万元，上年结转收入0万元，财政专户收入0万元，其他来源收入0万元。</w:t>
      </w:r>
    </w:p>
    <w:p w14:paraId="154680E5">
      <w:pPr>
        <w:pStyle w:val="19"/>
      </w:pPr>
      <w:r>
        <w:t>2、支出说明</w:t>
      </w:r>
    </w:p>
    <w:p w14:paraId="16F2B907">
      <w:pPr>
        <w:pStyle w:val="19"/>
      </w:pPr>
      <w:r>
        <w:t>收支预算总表支出栏、基本支出表、项目支出表按经济分类和支出功能分类科目编制，反映我单位预算中支出预算的总体情况。2025年单位支出预算为6087.61万元，其中基本支出4632.7万元；项目支出1454.91万元。</w:t>
      </w:r>
    </w:p>
    <w:p w14:paraId="787CDFC8">
      <w:pPr>
        <w:pStyle w:val="19"/>
      </w:pPr>
      <w:r>
        <w:t>3、比上年增减情况</w:t>
      </w:r>
    </w:p>
    <w:p w14:paraId="38F774CE">
      <w:pPr>
        <w:pStyle w:val="19"/>
      </w:pPr>
      <w:r>
        <w:t>2025年部门预算收支安排6087.61万元，较2024年预算减少1972.48万元，其中基本支出减少1167.62万元，项目支出减少804.86万元。</w:t>
      </w:r>
    </w:p>
    <w:p w14:paraId="7333AB42">
      <w:pPr>
        <w:spacing w:before="10" w:after="10" w:line="240" w:lineRule="auto"/>
        <w:ind w:firstLine="640"/>
        <w:jc w:val="left"/>
        <w:outlineLvl w:val="5"/>
      </w:pPr>
      <w:r>
        <w:rPr>
          <w:rFonts w:ascii="黑体" w:hAnsi="黑体" w:eastAsia="黑体" w:cs="黑体"/>
          <w:color w:val="000000"/>
          <w:sz w:val="32"/>
        </w:rPr>
        <w:t>三、机关运行经费安排情况</w:t>
      </w:r>
    </w:p>
    <w:p w14:paraId="54E9CEEA">
      <w:pPr>
        <w:pStyle w:val="20"/>
      </w:pPr>
      <w:r>
        <w:t>三、机关运行经费安排情况</w:t>
      </w:r>
    </w:p>
    <w:p w14:paraId="5EEF17EB">
      <w:pPr>
        <w:pStyle w:val="20"/>
      </w:pPr>
      <w:r>
        <w:t>机关运行经费安排情况</w:t>
      </w:r>
    </w:p>
    <w:p w14:paraId="2BC39BE9">
      <w:pPr>
        <w:pStyle w:val="20"/>
      </w:pPr>
      <w:r>
        <w:t>2025年我单位机关运行经费安排0万元</w:t>
      </w:r>
    </w:p>
    <w:p w14:paraId="52352FA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835BB3E">
      <w:pPr>
        <w:pStyle w:val="21"/>
      </w:pPr>
      <w:r>
        <w:t>四、财政拨款“三公”经费预算情况及增减变化原因</w:t>
      </w:r>
    </w:p>
    <w:p w14:paraId="467C42B3">
      <w:pPr>
        <w:pStyle w:val="21"/>
      </w:pPr>
      <w:r>
        <w:t>我单位未安排三公经费。</w:t>
      </w:r>
    </w:p>
    <w:p w14:paraId="5EC4DC5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641352">
      <w:pPr>
        <w:spacing w:before="0" w:after="0"/>
        <w:ind w:firstLine="560"/>
        <w:jc w:val="left"/>
        <w:outlineLvl w:val="9"/>
      </w:pPr>
      <w:r>
        <w:rPr>
          <w:rFonts w:ascii="方正仿宋_GBK" w:hAnsi="方正仿宋_GBK" w:eastAsia="方正仿宋_GBK" w:cs="方正仿宋_GBK"/>
          <w:b/>
          <w:color w:val="000000"/>
          <w:sz w:val="28"/>
        </w:rPr>
        <w:t>1、冀财教[2024]121号/中央/2025年学前发展资金/城关校区学前教育幼儿资助绩效目标表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0E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51CC5">
            <w:pPr>
              <w:pStyle w:val="14"/>
            </w:pPr>
            <w:r>
              <w:t>单位：万元</w:t>
            </w:r>
          </w:p>
        </w:tc>
      </w:tr>
      <w:tr w14:paraId="2B023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6248528">
            <w:pPr>
              <w:pStyle w:val="11"/>
            </w:pPr>
            <w:r>
              <w:t>项目编码</w:t>
            </w:r>
          </w:p>
        </w:tc>
        <w:tc>
          <w:tcPr>
            <w:tcW w:w="5103" w:type="dxa"/>
            <w:gridSpan w:val="2"/>
            <w:vAlign w:val="center"/>
          </w:tcPr>
          <w:p w14:paraId="395E274E">
            <w:pPr>
              <w:pStyle w:val="13"/>
            </w:pPr>
            <w:r>
              <w:t>13052525P000002100500</w:t>
            </w:r>
          </w:p>
        </w:tc>
        <w:tc>
          <w:tcPr>
            <w:tcW w:w="2835" w:type="dxa"/>
            <w:vAlign w:val="center"/>
          </w:tcPr>
          <w:p w14:paraId="664564F3">
            <w:pPr>
              <w:pStyle w:val="11"/>
            </w:pPr>
            <w:r>
              <w:t>项目名称</w:t>
            </w:r>
          </w:p>
        </w:tc>
        <w:tc>
          <w:tcPr>
            <w:tcW w:w="6095" w:type="dxa"/>
            <w:gridSpan w:val="3"/>
            <w:vAlign w:val="center"/>
          </w:tcPr>
          <w:p w14:paraId="178194E4">
            <w:pPr>
              <w:pStyle w:val="13"/>
            </w:pPr>
            <w:r>
              <w:t>冀财教[2024]121号/中央/2025年学前发展资金/城关校区学前教育幼儿资助</w:t>
            </w:r>
          </w:p>
        </w:tc>
      </w:tr>
      <w:tr w14:paraId="5FBD1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190FE">
            <w:pPr>
              <w:pStyle w:val="11"/>
            </w:pPr>
            <w:r>
              <w:t>预算规模及资金用途</w:t>
            </w:r>
          </w:p>
        </w:tc>
        <w:tc>
          <w:tcPr>
            <w:tcW w:w="2268" w:type="dxa"/>
            <w:vAlign w:val="center"/>
          </w:tcPr>
          <w:p w14:paraId="7D9614B0">
            <w:pPr>
              <w:pStyle w:val="11"/>
            </w:pPr>
            <w:r>
              <w:t>预算数</w:t>
            </w:r>
          </w:p>
        </w:tc>
        <w:tc>
          <w:tcPr>
            <w:tcW w:w="2835" w:type="dxa"/>
            <w:vAlign w:val="center"/>
          </w:tcPr>
          <w:p w14:paraId="3BBD0117">
            <w:pPr>
              <w:pStyle w:val="13"/>
            </w:pPr>
            <w:r>
              <w:t>7.44</w:t>
            </w:r>
          </w:p>
        </w:tc>
        <w:tc>
          <w:tcPr>
            <w:tcW w:w="2835" w:type="dxa"/>
            <w:vAlign w:val="center"/>
          </w:tcPr>
          <w:p w14:paraId="695F6A53">
            <w:pPr>
              <w:pStyle w:val="11"/>
            </w:pPr>
            <w:r>
              <w:t>其中：财政    资金</w:t>
            </w:r>
          </w:p>
        </w:tc>
        <w:tc>
          <w:tcPr>
            <w:tcW w:w="2551" w:type="dxa"/>
            <w:vAlign w:val="center"/>
          </w:tcPr>
          <w:p w14:paraId="471E857B">
            <w:pPr>
              <w:pStyle w:val="13"/>
            </w:pPr>
            <w:r>
              <w:t>7.44</w:t>
            </w:r>
          </w:p>
        </w:tc>
        <w:tc>
          <w:tcPr>
            <w:tcW w:w="2268" w:type="dxa"/>
            <w:vAlign w:val="center"/>
          </w:tcPr>
          <w:p w14:paraId="070C907F">
            <w:pPr>
              <w:pStyle w:val="11"/>
            </w:pPr>
            <w:r>
              <w:t>其他资金</w:t>
            </w:r>
          </w:p>
        </w:tc>
        <w:tc>
          <w:tcPr>
            <w:tcW w:w="1276" w:type="dxa"/>
            <w:vAlign w:val="center"/>
          </w:tcPr>
          <w:p w14:paraId="3312AE58">
            <w:pPr>
              <w:pStyle w:val="13"/>
            </w:pPr>
            <w:r>
              <w:t xml:space="preserve"> </w:t>
            </w:r>
          </w:p>
        </w:tc>
      </w:tr>
      <w:tr w14:paraId="0AD6C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12F022"/>
        </w:tc>
        <w:tc>
          <w:tcPr>
            <w:tcW w:w="14033" w:type="dxa"/>
            <w:gridSpan w:val="6"/>
            <w:vAlign w:val="center"/>
          </w:tcPr>
          <w:p w14:paraId="14C18758">
            <w:pPr>
              <w:pStyle w:val="13"/>
            </w:pPr>
            <w:r>
              <w:t>保障落实建档立卡及家庭经济困难儿童资助所需资金，确保建档立卡等家庭经济困难幼儿优先获得资助，保证本年度资助经费足额落实到位，符合享受资助条件的学生应助尽助。</w:t>
            </w:r>
          </w:p>
        </w:tc>
      </w:tr>
      <w:tr w14:paraId="3079E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25629">
            <w:pPr>
              <w:pStyle w:val="11"/>
            </w:pPr>
            <w:r>
              <w:t>资金支出计划（%）</w:t>
            </w:r>
          </w:p>
        </w:tc>
        <w:tc>
          <w:tcPr>
            <w:tcW w:w="5103" w:type="dxa"/>
            <w:gridSpan w:val="2"/>
            <w:vAlign w:val="center"/>
          </w:tcPr>
          <w:p w14:paraId="43C75EE7">
            <w:pPr>
              <w:pStyle w:val="11"/>
            </w:pPr>
            <w:r>
              <w:t>3月底</w:t>
            </w:r>
          </w:p>
        </w:tc>
        <w:tc>
          <w:tcPr>
            <w:tcW w:w="2835" w:type="dxa"/>
            <w:vAlign w:val="center"/>
          </w:tcPr>
          <w:p w14:paraId="57EB7EB3">
            <w:pPr>
              <w:pStyle w:val="11"/>
            </w:pPr>
            <w:r>
              <w:t>6月底</w:t>
            </w:r>
          </w:p>
        </w:tc>
        <w:tc>
          <w:tcPr>
            <w:tcW w:w="2551" w:type="dxa"/>
            <w:vAlign w:val="center"/>
          </w:tcPr>
          <w:p w14:paraId="3895DDFE">
            <w:pPr>
              <w:pStyle w:val="11"/>
            </w:pPr>
            <w:r>
              <w:t>10月底</w:t>
            </w:r>
          </w:p>
        </w:tc>
        <w:tc>
          <w:tcPr>
            <w:tcW w:w="3544" w:type="dxa"/>
            <w:gridSpan w:val="2"/>
            <w:vAlign w:val="center"/>
          </w:tcPr>
          <w:p w14:paraId="0E1AEE1F">
            <w:pPr>
              <w:pStyle w:val="11"/>
            </w:pPr>
            <w:r>
              <w:t>12月底</w:t>
            </w:r>
          </w:p>
        </w:tc>
      </w:tr>
      <w:tr w14:paraId="14E6D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DB3B08"/>
        </w:tc>
        <w:tc>
          <w:tcPr>
            <w:tcW w:w="5103" w:type="dxa"/>
            <w:gridSpan w:val="2"/>
            <w:vAlign w:val="center"/>
          </w:tcPr>
          <w:p w14:paraId="6F754FB3">
            <w:pPr>
              <w:pStyle w:val="12"/>
            </w:pPr>
            <w:r>
              <w:t xml:space="preserve"> </w:t>
            </w:r>
          </w:p>
        </w:tc>
        <w:tc>
          <w:tcPr>
            <w:tcW w:w="2835" w:type="dxa"/>
            <w:vAlign w:val="center"/>
          </w:tcPr>
          <w:p w14:paraId="2F0FB270">
            <w:pPr>
              <w:pStyle w:val="12"/>
            </w:pPr>
            <w:r>
              <w:t>50%</w:t>
            </w:r>
          </w:p>
        </w:tc>
        <w:tc>
          <w:tcPr>
            <w:tcW w:w="2551" w:type="dxa"/>
            <w:vAlign w:val="center"/>
          </w:tcPr>
          <w:p w14:paraId="6202EC7D">
            <w:pPr>
              <w:pStyle w:val="12"/>
            </w:pPr>
            <w:r>
              <w:t>50%</w:t>
            </w:r>
          </w:p>
        </w:tc>
        <w:tc>
          <w:tcPr>
            <w:tcW w:w="3544" w:type="dxa"/>
            <w:gridSpan w:val="2"/>
            <w:vAlign w:val="center"/>
          </w:tcPr>
          <w:p w14:paraId="6FCF2F5F">
            <w:pPr>
              <w:pStyle w:val="12"/>
            </w:pPr>
            <w:r>
              <w:t>100%</w:t>
            </w:r>
          </w:p>
        </w:tc>
      </w:tr>
      <w:tr w14:paraId="47D3A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DE9274">
            <w:pPr>
              <w:pStyle w:val="11"/>
            </w:pPr>
            <w:r>
              <w:t>绩效目标</w:t>
            </w:r>
          </w:p>
        </w:tc>
        <w:tc>
          <w:tcPr>
            <w:tcW w:w="14033" w:type="dxa"/>
            <w:gridSpan w:val="6"/>
            <w:vAlign w:val="center"/>
          </w:tcPr>
          <w:p w14:paraId="3B22E264">
            <w:pPr>
              <w:pStyle w:val="13"/>
            </w:pPr>
            <w:r>
              <w:t>1.保障落实建档立卡及家庭经济困难儿童资助所需资金，确保建档立卡等家庭经济困难幼儿优先获得资助</w:t>
            </w:r>
          </w:p>
          <w:p w14:paraId="00627276">
            <w:pPr>
              <w:pStyle w:val="13"/>
            </w:pPr>
            <w:r>
              <w:t>2.保证本年度资助经费足额落实到位，符合享受资助条件的学生应助尽助。</w:t>
            </w:r>
          </w:p>
        </w:tc>
      </w:tr>
    </w:tbl>
    <w:p w14:paraId="2BFB1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A2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5F2E2">
            <w:pPr>
              <w:pStyle w:val="11"/>
            </w:pPr>
            <w:r>
              <w:t>一级指标</w:t>
            </w:r>
          </w:p>
        </w:tc>
        <w:tc>
          <w:tcPr>
            <w:tcW w:w="2268" w:type="dxa"/>
            <w:vAlign w:val="center"/>
          </w:tcPr>
          <w:p w14:paraId="088E36E6">
            <w:pPr>
              <w:pStyle w:val="11"/>
            </w:pPr>
            <w:r>
              <w:t>二级指标</w:t>
            </w:r>
          </w:p>
        </w:tc>
        <w:tc>
          <w:tcPr>
            <w:tcW w:w="2835" w:type="dxa"/>
            <w:vAlign w:val="center"/>
          </w:tcPr>
          <w:p w14:paraId="37E47EE2">
            <w:pPr>
              <w:pStyle w:val="11"/>
            </w:pPr>
            <w:r>
              <w:t>三级指标</w:t>
            </w:r>
          </w:p>
        </w:tc>
        <w:tc>
          <w:tcPr>
            <w:tcW w:w="5386" w:type="dxa"/>
            <w:vAlign w:val="center"/>
          </w:tcPr>
          <w:p w14:paraId="5D4740D5">
            <w:pPr>
              <w:pStyle w:val="11"/>
            </w:pPr>
            <w:r>
              <w:t>绩效指标描述</w:t>
            </w:r>
          </w:p>
        </w:tc>
        <w:tc>
          <w:tcPr>
            <w:tcW w:w="2268" w:type="dxa"/>
            <w:vAlign w:val="center"/>
          </w:tcPr>
          <w:p w14:paraId="0CDC7A4B">
            <w:pPr>
              <w:pStyle w:val="11"/>
            </w:pPr>
            <w:r>
              <w:t>指标值</w:t>
            </w:r>
          </w:p>
        </w:tc>
        <w:tc>
          <w:tcPr>
            <w:tcW w:w="1276" w:type="dxa"/>
            <w:vAlign w:val="center"/>
          </w:tcPr>
          <w:p w14:paraId="1CCABB9D">
            <w:pPr>
              <w:pStyle w:val="11"/>
            </w:pPr>
            <w:r>
              <w:t>指标值确定依据</w:t>
            </w:r>
          </w:p>
        </w:tc>
      </w:tr>
      <w:tr w14:paraId="5BA63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184B4">
            <w:pPr>
              <w:pStyle w:val="12"/>
            </w:pPr>
            <w:r>
              <w:t>产出指标</w:t>
            </w:r>
          </w:p>
        </w:tc>
        <w:tc>
          <w:tcPr>
            <w:tcW w:w="2268" w:type="dxa"/>
            <w:vAlign w:val="center"/>
          </w:tcPr>
          <w:p w14:paraId="4170754A">
            <w:pPr>
              <w:pStyle w:val="13"/>
            </w:pPr>
            <w:r>
              <w:t>数量指标</w:t>
            </w:r>
          </w:p>
        </w:tc>
        <w:tc>
          <w:tcPr>
            <w:tcW w:w="2835" w:type="dxa"/>
            <w:vAlign w:val="center"/>
          </w:tcPr>
          <w:p w14:paraId="12ABA407">
            <w:pPr>
              <w:pStyle w:val="13"/>
            </w:pPr>
            <w:r>
              <w:t>幼儿资助比例</w:t>
            </w:r>
          </w:p>
        </w:tc>
        <w:tc>
          <w:tcPr>
            <w:tcW w:w="5386" w:type="dxa"/>
            <w:vAlign w:val="center"/>
          </w:tcPr>
          <w:p w14:paraId="1D9C5A17">
            <w:pPr>
              <w:pStyle w:val="13"/>
            </w:pPr>
            <w:r>
              <w:t>按学前适龄在园儿童10%测算</w:t>
            </w:r>
          </w:p>
        </w:tc>
        <w:tc>
          <w:tcPr>
            <w:tcW w:w="2268" w:type="dxa"/>
            <w:vAlign w:val="center"/>
          </w:tcPr>
          <w:p w14:paraId="57B3898A">
            <w:pPr>
              <w:pStyle w:val="13"/>
            </w:pPr>
            <w:r>
              <w:t>≥10%</w:t>
            </w:r>
          </w:p>
        </w:tc>
        <w:tc>
          <w:tcPr>
            <w:tcW w:w="1276" w:type="dxa"/>
            <w:vAlign w:val="center"/>
          </w:tcPr>
          <w:p w14:paraId="2970635D">
            <w:pPr>
              <w:pStyle w:val="13"/>
            </w:pPr>
            <w:r>
              <w:t>幼儿资助经费管理办法</w:t>
            </w:r>
          </w:p>
        </w:tc>
      </w:tr>
      <w:tr w14:paraId="43EFD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E36B2"/>
        </w:tc>
        <w:tc>
          <w:tcPr>
            <w:tcW w:w="2268" w:type="dxa"/>
            <w:vAlign w:val="center"/>
          </w:tcPr>
          <w:p w14:paraId="2EEF2DF0">
            <w:pPr>
              <w:pStyle w:val="13"/>
            </w:pPr>
            <w:r>
              <w:t>质量指标</w:t>
            </w:r>
          </w:p>
        </w:tc>
        <w:tc>
          <w:tcPr>
            <w:tcW w:w="2835" w:type="dxa"/>
            <w:vAlign w:val="center"/>
          </w:tcPr>
          <w:p w14:paraId="3DD61CD7">
            <w:pPr>
              <w:pStyle w:val="13"/>
            </w:pPr>
            <w:r>
              <w:t>学前教育资助制度落实情况</w:t>
            </w:r>
          </w:p>
        </w:tc>
        <w:tc>
          <w:tcPr>
            <w:tcW w:w="5386" w:type="dxa"/>
            <w:vAlign w:val="center"/>
          </w:tcPr>
          <w:p w14:paraId="3511761C">
            <w:pPr>
              <w:pStyle w:val="13"/>
            </w:pPr>
            <w:r>
              <w:t>符合享受资助条件的学生应助尽助</w:t>
            </w:r>
          </w:p>
        </w:tc>
        <w:tc>
          <w:tcPr>
            <w:tcW w:w="2268" w:type="dxa"/>
            <w:vAlign w:val="center"/>
          </w:tcPr>
          <w:p w14:paraId="7EFB8699">
            <w:pPr>
              <w:pStyle w:val="13"/>
            </w:pPr>
            <w:r>
              <w:t>100%</w:t>
            </w:r>
          </w:p>
        </w:tc>
        <w:tc>
          <w:tcPr>
            <w:tcW w:w="1276" w:type="dxa"/>
            <w:vAlign w:val="center"/>
          </w:tcPr>
          <w:p w14:paraId="56DEC033">
            <w:pPr>
              <w:pStyle w:val="13"/>
            </w:pPr>
            <w:r>
              <w:t>幼儿资助经费管理办法</w:t>
            </w:r>
          </w:p>
        </w:tc>
      </w:tr>
      <w:tr w14:paraId="5BB05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5D7A9"/>
        </w:tc>
        <w:tc>
          <w:tcPr>
            <w:tcW w:w="2268" w:type="dxa"/>
            <w:vAlign w:val="center"/>
          </w:tcPr>
          <w:p w14:paraId="76F7E623">
            <w:pPr>
              <w:pStyle w:val="13"/>
            </w:pPr>
            <w:r>
              <w:t>时效指标</w:t>
            </w:r>
          </w:p>
        </w:tc>
        <w:tc>
          <w:tcPr>
            <w:tcW w:w="2835" w:type="dxa"/>
            <w:vAlign w:val="center"/>
          </w:tcPr>
          <w:p w14:paraId="62B4CC15">
            <w:pPr>
              <w:pStyle w:val="13"/>
            </w:pPr>
            <w:r>
              <w:t>资金拨付率</w:t>
            </w:r>
          </w:p>
        </w:tc>
        <w:tc>
          <w:tcPr>
            <w:tcW w:w="5386" w:type="dxa"/>
            <w:vAlign w:val="center"/>
          </w:tcPr>
          <w:p w14:paraId="626C144F">
            <w:pPr>
              <w:pStyle w:val="13"/>
            </w:pPr>
            <w:r>
              <w:t>所有项目资金支付进度</w:t>
            </w:r>
          </w:p>
        </w:tc>
        <w:tc>
          <w:tcPr>
            <w:tcW w:w="2268" w:type="dxa"/>
            <w:vAlign w:val="center"/>
          </w:tcPr>
          <w:p w14:paraId="0E01D02D">
            <w:pPr>
              <w:pStyle w:val="13"/>
            </w:pPr>
            <w:r>
              <w:t>100%</w:t>
            </w:r>
          </w:p>
        </w:tc>
        <w:tc>
          <w:tcPr>
            <w:tcW w:w="1276" w:type="dxa"/>
            <w:vAlign w:val="center"/>
          </w:tcPr>
          <w:p w14:paraId="670CD330">
            <w:pPr>
              <w:pStyle w:val="13"/>
            </w:pPr>
            <w:r>
              <w:t>幼儿资助经费管理办法</w:t>
            </w:r>
          </w:p>
        </w:tc>
      </w:tr>
      <w:tr w14:paraId="04B0A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BC089"/>
        </w:tc>
        <w:tc>
          <w:tcPr>
            <w:tcW w:w="2268" w:type="dxa"/>
            <w:vAlign w:val="center"/>
          </w:tcPr>
          <w:p w14:paraId="363C39C5">
            <w:pPr>
              <w:pStyle w:val="13"/>
            </w:pPr>
            <w:r>
              <w:t>成本指标</w:t>
            </w:r>
          </w:p>
        </w:tc>
        <w:tc>
          <w:tcPr>
            <w:tcW w:w="2835" w:type="dxa"/>
            <w:vAlign w:val="center"/>
          </w:tcPr>
          <w:p w14:paraId="6445741A">
            <w:pPr>
              <w:pStyle w:val="13"/>
            </w:pPr>
            <w:r>
              <w:t>幼儿园资助标准</w:t>
            </w:r>
          </w:p>
        </w:tc>
        <w:tc>
          <w:tcPr>
            <w:tcW w:w="5386" w:type="dxa"/>
            <w:vAlign w:val="center"/>
          </w:tcPr>
          <w:p w14:paraId="27E76D45">
            <w:pPr>
              <w:pStyle w:val="13"/>
            </w:pPr>
            <w:r>
              <w:t>按照幼儿园资助标准1000元/生/年</w:t>
            </w:r>
          </w:p>
        </w:tc>
        <w:tc>
          <w:tcPr>
            <w:tcW w:w="2268" w:type="dxa"/>
            <w:vAlign w:val="center"/>
          </w:tcPr>
          <w:p w14:paraId="0ACA8FFC">
            <w:pPr>
              <w:pStyle w:val="13"/>
            </w:pPr>
            <w:r>
              <w:t>74400元</w:t>
            </w:r>
          </w:p>
        </w:tc>
        <w:tc>
          <w:tcPr>
            <w:tcW w:w="1276" w:type="dxa"/>
            <w:vAlign w:val="center"/>
          </w:tcPr>
          <w:p w14:paraId="1A1FDD11">
            <w:pPr>
              <w:pStyle w:val="13"/>
            </w:pPr>
            <w:r>
              <w:t>幼儿资助经费管理办法</w:t>
            </w:r>
          </w:p>
        </w:tc>
      </w:tr>
      <w:tr w14:paraId="34E83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5666B6">
            <w:pPr>
              <w:pStyle w:val="12"/>
            </w:pPr>
            <w:r>
              <w:t>效益指标</w:t>
            </w:r>
          </w:p>
        </w:tc>
        <w:tc>
          <w:tcPr>
            <w:tcW w:w="2268" w:type="dxa"/>
            <w:vAlign w:val="center"/>
          </w:tcPr>
          <w:p w14:paraId="55654186">
            <w:pPr>
              <w:pStyle w:val="13"/>
            </w:pPr>
            <w:r>
              <w:t>可持续影响指标</w:t>
            </w:r>
          </w:p>
        </w:tc>
        <w:tc>
          <w:tcPr>
            <w:tcW w:w="2835" w:type="dxa"/>
            <w:vAlign w:val="center"/>
          </w:tcPr>
          <w:p w14:paraId="1B97AF79">
            <w:pPr>
              <w:pStyle w:val="13"/>
            </w:pPr>
            <w:r>
              <w:t>幼儿园运转</w:t>
            </w:r>
          </w:p>
        </w:tc>
        <w:tc>
          <w:tcPr>
            <w:tcW w:w="5386" w:type="dxa"/>
            <w:vAlign w:val="center"/>
          </w:tcPr>
          <w:p w14:paraId="5493ACAE">
            <w:pPr>
              <w:pStyle w:val="13"/>
            </w:pPr>
            <w:r>
              <w:t>幼儿受教育年限</w:t>
            </w:r>
          </w:p>
        </w:tc>
        <w:tc>
          <w:tcPr>
            <w:tcW w:w="2268" w:type="dxa"/>
            <w:vAlign w:val="center"/>
          </w:tcPr>
          <w:p w14:paraId="5E1DE0B7">
            <w:pPr>
              <w:pStyle w:val="13"/>
            </w:pPr>
            <w:r>
              <w:t>3年</w:t>
            </w:r>
          </w:p>
        </w:tc>
        <w:tc>
          <w:tcPr>
            <w:tcW w:w="1276" w:type="dxa"/>
            <w:vAlign w:val="center"/>
          </w:tcPr>
          <w:p w14:paraId="5E6057DC">
            <w:pPr>
              <w:pStyle w:val="13"/>
            </w:pPr>
            <w:r>
              <w:t>幼儿资助经费管理办法</w:t>
            </w:r>
          </w:p>
        </w:tc>
      </w:tr>
      <w:tr w14:paraId="30B10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33C9D">
            <w:pPr>
              <w:pStyle w:val="12"/>
            </w:pPr>
            <w:r>
              <w:t>满意度指标</w:t>
            </w:r>
          </w:p>
        </w:tc>
        <w:tc>
          <w:tcPr>
            <w:tcW w:w="2268" w:type="dxa"/>
            <w:vAlign w:val="center"/>
          </w:tcPr>
          <w:p w14:paraId="0AE1B3E1">
            <w:pPr>
              <w:pStyle w:val="13"/>
            </w:pPr>
            <w:r>
              <w:t>服务对象满意度指标</w:t>
            </w:r>
          </w:p>
        </w:tc>
        <w:tc>
          <w:tcPr>
            <w:tcW w:w="2835" w:type="dxa"/>
            <w:vAlign w:val="center"/>
          </w:tcPr>
          <w:p w14:paraId="2E4034E0">
            <w:pPr>
              <w:pStyle w:val="13"/>
            </w:pPr>
            <w:r>
              <w:t>受益幼儿家长及调查满意度</w:t>
            </w:r>
          </w:p>
        </w:tc>
        <w:tc>
          <w:tcPr>
            <w:tcW w:w="5386" w:type="dxa"/>
            <w:vAlign w:val="center"/>
          </w:tcPr>
          <w:p w14:paraId="2BC2526B">
            <w:pPr>
              <w:pStyle w:val="13"/>
            </w:pPr>
            <w:r>
              <w:t>学生、教师及家长对学校保教保育工作满意度情况</w:t>
            </w:r>
          </w:p>
        </w:tc>
        <w:tc>
          <w:tcPr>
            <w:tcW w:w="2268" w:type="dxa"/>
            <w:vAlign w:val="center"/>
          </w:tcPr>
          <w:p w14:paraId="3ED998B1">
            <w:pPr>
              <w:pStyle w:val="13"/>
            </w:pPr>
            <w:r>
              <w:t>≥95%</w:t>
            </w:r>
          </w:p>
        </w:tc>
        <w:tc>
          <w:tcPr>
            <w:tcW w:w="1276" w:type="dxa"/>
            <w:vAlign w:val="center"/>
          </w:tcPr>
          <w:p w14:paraId="0F7EE08A">
            <w:pPr>
              <w:pStyle w:val="13"/>
            </w:pPr>
            <w:r>
              <w:t>幼儿资助经费管理办法</w:t>
            </w:r>
          </w:p>
        </w:tc>
      </w:tr>
    </w:tbl>
    <w:p w14:paraId="07395BCF">
      <w:pPr>
        <w:sectPr>
          <w:pgSz w:w="16840" w:h="11900" w:orient="landscape"/>
          <w:pgMar w:top="1361" w:right="1020" w:bottom="1134" w:left="1020" w:header="720" w:footer="720" w:gutter="0"/>
          <w:cols w:space="720" w:num="1"/>
        </w:sectPr>
      </w:pPr>
    </w:p>
    <w:p w14:paraId="3DCDC204">
      <w:pPr>
        <w:spacing w:before="0" w:after="0"/>
        <w:ind w:firstLine="560"/>
        <w:jc w:val="left"/>
        <w:outlineLvl w:val="9"/>
      </w:pPr>
      <w:r>
        <w:rPr>
          <w:rFonts w:ascii="方正仿宋_GBK" w:hAnsi="方正仿宋_GBK" w:eastAsia="方正仿宋_GBK" w:cs="方正仿宋_GBK"/>
          <w:b/>
          <w:color w:val="000000"/>
          <w:sz w:val="28"/>
        </w:rPr>
        <w:t>2、冀财教[2024]121号/中央/2025年学前教育发展/柳行幼儿园活动室改造绩效目标表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DA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D1DE8">
            <w:pPr>
              <w:pStyle w:val="14"/>
            </w:pPr>
            <w:r>
              <w:t>单位：万元</w:t>
            </w:r>
          </w:p>
        </w:tc>
      </w:tr>
      <w:tr w14:paraId="38B37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1B0AEB">
            <w:pPr>
              <w:pStyle w:val="11"/>
            </w:pPr>
            <w:r>
              <w:t>项目编码</w:t>
            </w:r>
          </w:p>
        </w:tc>
        <w:tc>
          <w:tcPr>
            <w:tcW w:w="5103" w:type="dxa"/>
            <w:gridSpan w:val="2"/>
            <w:vAlign w:val="center"/>
          </w:tcPr>
          <w:p w14:paraId="390A5DD2">
            <w:pPr>
              <w:pStyle w:val="13"/>
            </w:pPr>
            <w:r>
              <w:t>13052525P00876910020A</w:t>
            </w:r>
          </w:p>
        </w:tc>
        <w:tc>
          <w:tcPr>
            <w:tcW w:w="2835" w:type="dxa"/>
            <w:vAlign w:val="center"/>
          </w:tcPr>
          <w:p w14:paraId="624C58F3">
            <w:pPr>
              <w:pStyle w:val="11"/>
            </w:pPr>
            <w:r>
              <w:t>项目名称</w:t>
            </w:r>
          </w:p>
        </w:tc>
        <w:tc>
          <w:tcPr>
            <w:tcW w:w="6095" w:type="dxa"/>
            <w:gridSpan w:val="3"/>
            <w:vAlign w:val="center"/>
          </w:tcPr>
          <w:p w14:paraId="77B72896">
            <w:pPr>
              <w:pStyle w:val="13"/>
            </w:pPr>
            <w:r>
              <w:t>冀财教[2024]121号/中央/2025年学前教育发展/柳行幼儿园活动室改造</w:t>
            </w:r>
          </w:p>
        </w:tc>
      </w:tr>
      <w:tr w14:paraId="03709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5B992">
            <w:pPr>
              <w:pStyle w:val="11"/>
            </w:pPr>
            <w:r>
              <w:t>预算规模及资金用途</w:t>
            </w:r>
          </w:p>
        </w:tc>
        <w:tc>
          <w:tcPr>
            <w:tcW w:w="2268" w:type="dxa"/>
            <w:vAlign w:val="center"/>
          </w:tcPr>
          <w:p w14:paraId="32066DC1">
            <w:pPr>
              <w:pStyle w:val="11"/>
            </w:pPr>
            <w:r>
              <w:t>预算数</w:t>
            </w:r>
          </w:p>
        </w:tc>
        <w:tc>
          <w:tcPr>
            <w:tcW w:w="2835" w:type="dxa"/>
            <w:vAlign w:val="center"/>
          </w:tcPr>
          <w:p w14:paraId="47A9659D">
            <w:pPr>
              <w:pStyle w:val="13"/>
            </w:pPr>
            <w:r>
              <w:t>107.00</w:t>
            </w:r>
          </w:p>
        </w:tc>
        <w:tc>
          <w:tcPr>
            <w:tcW w:w="2835" w:type="dxa"/>
            <w:vAlign w:val="center"/>
          </w:tcPr>
          <w:p w14:paraId="6CC44C68">
            <w:pPr>
              <w:pStyle w:val="11"/>
            </w:pPr>
            <w:r>
              <w:t>其中：财政    资金</w:t>
            </w:r>
          </w:p>
        </w:tc>
        <w:tc>
          <w:tcPr>
            <w:tcW w:w="2551" w:type="dxa"/>
            <w:vAlign w:val="center"/>
          </w:tcPr>
          <w:p w14:paraId="4BC5D77E">
            <w:pPr>
              <w:pStyle w:val="13"/>
            </w:pPr>
            <w:r>
              <w:t>107.00</w:t>
            </w:r>
          </w:p>
        </w:tc>
        <w:tc>
          <w:tcPr>
            <w:tcW w:w="2268" w:type="dxa"/>
            <w:vAlign w:val="center"/>
          </w:tcPr>
          <w:p w14:paraId="7FC9B084">
            <w:pPr>
              <w:pStyle w:val="11"/>
            </w:pPr>
            <w:r>
              <w:t>其他资金</w:t>
            </w:r>
          </w:p>
        </w:tc>
        <w:tc>
          <w:tcPr>
            <w:tcW w:w="1276" w:type="dxa"/>
            <w:vAlign w:val="center"/>
          </w:tcPr>
          <w:p w14:paraId="769226F8">
            <w:pPr>
              <w:pStyle w:val="13"/>
            </w:pPr>
            <w:r>
              <w:t xml:space="preserve"> </w:t>
            </w:r>
          </w:p>
        </w:tc>
      </w:tr>
      <w:tr w14:paraId="06C61D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C4B9C9"/>
        </w:tc>
        <w:tc>
          <w:tcPr>
            <w:tcW w:w="14033" w:type="dxa"/>
            <w:gridSpan w:val="6"/>
            <w:vAlign w:val="center"/>
          </w:tcPr>
          <w:p w14:paraId="09D9E89A">
            <w:pPr>
              <w:pStyle w:val="13"/>
            </w:pPr>
            <w:r>
              <w:t>提升教学质量，提高教学环境，为柳行小学建设活动室，有效提高学校教学环境。</w:t>
            </w:r>
            <w:r>
              <w:tab/>
            </w:r>
            <w:r>
              <w:tab/>
            </w:r>
            <w:r>
              <w:tab/>
            </w:r>
            <w:r>
              <w:tab/>
            </w:r>
            <w:r>
              <w:tab/>
            </w:r>
            <w:r>
              <w:tab/>
            </w:r>
          </w:p>
          <w:p w14:paraId="55BB4867">
            <w:pPr>
              <w:pStyle w:val="13"/>
            </w:pPr>
          </w:p>
        </w:tc>
      </w:tr>
      <w:tr w14:paraId="6A00D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BBA6F">
            <w:pPr>
              <w:pStyle w:val="11"/>
            </w:pPr>
            <w:r>
              <w:t>资金支出计划（%）</w:t>
            </w:r>
          </w:p>
        </w:tc>
        <w:tc>
          <w:tcPr>
            <w:tcW w:w="5103" w:type="dxa"/>
            <w:gridSpan w:val="2"/>
            <w:vAlign w:val="center"/>
          </w:tcPr>
          <w:p w14:paraId="4C5036FB">
            <w:pPr>
              <w:pStyle w:val="11"/>
            </w:pPr>
            <w:r>
              <w:t>3月底</w:t>
            </w:r>
          </w:p>
        </w:tc>
        <w:tc>
          <w:tcPr>
            <w:tcW w:w="2835" w:type="dxa"/>
            <w:vAlign w:val="center"/>
          </w:tcPr>
          <w:p w14:paraId="4308E8A6">
            <w:pPr>
              <w:pStyle w:val="11"/>
            </w:pPr>
            <w:r>
              <w:t>6月底</w:t>
            </w:r>
          </w:p>
        </w:tc>
        <w:tc>
          <w:tcPr>
            <w:tcW w:w="2551" w:type="dxa"/>
            <w:vAlign w:val="center"/>
          </w:tcPr>
          <w:p w14:paraId="7E264F5E">
            <w:pPr>
              <w:pStyle w:val="11"/>
            </w:pPr>
            <w:r>
              <w:t>10月底</w:t>
            </w:r>
          </w:p>
        </w:tc>
        <w:tc>
          <w:tcPr>
            <w:tcW w:w="3544" w:type="dxa"/>
            <w:gridSpan w:val="2"/>
            <w:vAlign w:val="center"/>
          </w:tcPr>
          <w:p w14:paraId="49B6D58C">
            <w:pPr>
              <w:pStyle w:val="11"/>
            </w:pPr>
            <w:r>
              <w:t>12月底</w:t>
            </w:r>
          </w:p>
        </w:tc>
      </w:tr>
      <w:tr w14:paraId="37DCE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6D4593"/>
        </w:tc>
        <w:tc>
          <w:tcPr>
            <w:tcW w:w="5103" w:type="dxa"/>
            <w:gridSpan w:val="2"/>
            <w:vAlign w:val="center"/>
          </w:tcPr>
          <w:p w14:paraId="5B7F892A">
            <w:pPr>
              <w:pStyle w:val="12"/>
            </w:pPr>
            <w:r>
              <w:t xml:space="preserve"> </w:t>
            </w:r>
          </w:p>
        </w:tc>
        <w:tc>
          <w:tcPr>
            <w:tcW w:w="2835" w:type="dxa"/>
            <w:vAlign w:val="center"/>
          </w:tcPr>
          <w:p w14:paraId="1D0D7589">
            <w:pPr>
              <w:pStyle w:val="12"/>
            </w:pPr>
            <w:r>
              <w:t>50%</w:t>
            </w:r>
          </w:p>
        </w:tc>
        <w:tc>
          <w:tcPr>
            <w:tcW w:w="2551" w:type="dxa"/>
            <w:vAlign w:val="center"/>
          </w:tcPr>
          <w:p w14:paraId="14F52A13">
            <w:pPr>
              <w:pStyle w:val="12"/>
            </w:pPr>
            <w:r>
              <w:t>75%</w:t>
            </w:r>
          </w:p>
        </w:tc>
        <w:tc>
          <w:tcPr>
            <w:tcW w:w="3544" w:type="dxa"/>
            <w:gridSpan w:val="2"/>
            <w:vAlign w:val="center"/>
          </w:tcPr>
          <w:p w14:paraId="26F4E0E4">
            <w:pPr>
              <w:pStyle w:val="12"/>
            </w:pPr>
            <w:r>
              <w:t>100%</w:t>
            </w:r>
          </w:p>
        </w:tc>
      </w:tr>
      <w:tr w14:paraId="2AEA8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CD7CBD">
            <w:pPr>
              <w:pStyle w:val="11"/>
            </w:pPr>
            <w:r>
              <w:t>绩效目标</w:t>
            </w:r>
          </w:p>
        </w:tc>
        <w:tc>
          <w:tcPr>
            <w:tcW w:w="14033" w:type="dxa"/>
            <w:gridSpan w:val="6"/>
            <w:vAlign w:val="center"/>
          </w:tcPr>
          <w:p w14:paraId="239FDE64">
            <w:pPr>
              <w:pStyle w:val="13"/>
            </w:pPr>
            <w:r>
              <w:t>1.提升教学质量，提高教学环境，为柳行小学建设活动室，有效提高学校教学环境。</w:t>
            </w:r>
          </w:p>
        </w:tc>
      </w:tr>
    </w:tbl>
    <w:p w14:paraId="201168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C4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6DA18">
            <w:pPr>
              <w:pStyle w:val="11"/>
            </w:pPr>
            <w:r>
              <w:t>一级指标</w:t>
            </w:r>
          </w:p>
        </w:tc>
        <w:tc>
          <w:tcPr>
            <w:tcW w:w="2268" w:type="dxa"/>
            <w:vAlign w:val="center"/>
          </w:tcPr>
          <w:p w14:paraId="0238B3DE">
            <w:pPr>
              <w:pStyle w:val="11"/>
            </w:pPr>
            <w:r>
              <w:t>二级指标</w:t>
            </w:r>
          </w:p>
        </w:tc>
        <w:tc>
          <w:tcPr>
            <w:tcW w:w="2835" w:type="dxa"/>
            <w:vAlign w:val="center"/>
          </w:tcPr>
          <w:p w14:paraId="1F37015F">
            <w:pPr>
              <w:pStyle w:val="11"/>
            </w:pPr>
            <w:r>
              <w:t>三级指标</w:t>
            </w:r>
          </w:p>
        </w:tc>
        <w:tc>
          <w:tcPr>
            <w:tcW w:w="5386" w:type="dxa"/>
            <w:vAlign w:val="center"/>
          </w:tcPr>
          <w:p w14:paraId="4BD29EDB">
            <w:pPr>
              <w:pStyle w:val="11"/>
            </w:pPr>
            <w:r>
              <w:t>绩效指标描述</w:t>
            </w:r>
          </w:p>
        </w:tc>
        <w:tc>
          <w:tcPr>
            <w:tcW w:w="2268" w:type="dxa"/>
            <w:vAlign w:val="center"/>
          </w:tcPr>
          <w:p w14:paraId="6183306B">
            <w:pPr>
              <w:pStyle w:val="11"/>
            </w:pPr>
            <w:r>
              <w:t>指标值</w:t>
            </w:r>
          </w:p>
        </w:tc>
        <w:tc>
          <w:tcPr>
            <w:tcW w:w="1276" w:type="dxa"/>
            <w:vAlign w:val="center"/>
          </w:tcPr>
          <w:p w14:paraId="6C11BC0C">
            <w:pPr>
              <w:pStyle w:val="11"/>
            </w:pPr>
            <w:r>
              <w:t>指标值确定依据</w:t>
            </w:r>
          </w:p>
        </w:tc>
      </w:tr>
      <w:tr w14:paraId="716F4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04592">
            <w:pPr>
              <w:pStyle w:val="12"/>
            </w:pPr>
            <w:r>
              <w:t>产出指标</w:t>
            </w:r>
          </w:p>
        </w:tc>
        <w:tc>
          <w:tcPr>
            <w:tcW w:w="2268" w:type="dxa"/>
            <w:vAlign w:val="center"/>
          </w:tcPr>
          <w:p w14:paraId="3FBEEC23">
            <w:pPr>
              <w:pStyle w:val="13"/>
            </w:pPr>
            <w:r>
              <w:t>数量指标</w:t>
            </w:r>
          </w:p>
        </w:tc>
        <w:tc>
          <w:tcPr>
            <w:tcW w:w="2835" w:type="dxa"/>
            <w:vAlign w:val="center"/>
          </w:tcPr>
          <w:p w14:paraId="42F82281">
            <w:pPr>
              <w:pStyle w:val="13"/>
            </w:pPr>
            <w:r>
              <w:t>活动室建设</w:t>
            </w:r>
          </w:p>
        </w:tc>
        <w:tc>
          <w:tcPr>
            <w:tcW w:w="5386" w:type="dxa"/>
            <w:vAlign w:val="center"/>
          </w:tcPr>
          <w:p w14:paraId="420E1F98">
            <w:pPr>
              <w:pStyle w:val="13"/>
            </w:pPr>
            <w:r>
              <w:t>项目主要内容包括：新建40*18米平房框架结构</w:t>
            </w:r>
          </w:p>
        </w:tc>
        <w:tc>
          <w:tcPr>
            <w:tcW w:w="2268" w:type="dxa"/>
            <w:vAlign w:val="center"/>
          </w:tcPr>
          <w:p w14:paraId="5625CA4F">
            <w:pPr>
              <w:pStyle w:val="13"/>
            </w:pPr>
            <w:r>
              <w:t>720平方米</w:t>
            </w:r>
          </w:p>
        </w:tc>
        <w:tc>
          <w:tcPr>
            <w:tcW w:w="1276" w:type="dxa"/>
            <w:vAlign w:val="center"/>
          </w:tcPr>
          <w:p w14:paraId="0BFD053B">
            <w:pPr>
              <w:pStyle w:val="13"/>
            </w:pPr>
            <w:r>
              <w:t>项目规划</w:t>
            </w:r>
          </w:p>
        </w:tc>
      </w:tr>
      <w:tr w14:paraId="76E41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01A57"/>
        </w:tc>
        <w:tc>
          <w:tcPr>
            <w:tcW w:w="2268" w:type="dxa"/>
            <w:vAlign w:val="center"/>
          </w:tcPr>
          <w:p w14:paraId="1A53ED70">
            <w:pPr>
              <w:pStyle w:val="13"/>
            </w:pPr>
            <w:r>
              <w:t>质量指标</w:t>
            </w:r>
          </w:p>
        </w:tc>
        <w:tc>
          <w:tcPr>
            <w:tcW w:w="2835" w:type="dxa"/>
            <w:vAlign w:val="center"/>
          </w:tcPr>
          <w:p w14:paraId="4AA75440">
            <w:pPr>
              <w:pStyle w:val="13"/>
            </w:pPr>
            <w:r>
              <w:t>工程验收实施合格率</w:t>
            </w:r>
          </w:p>
        </w:tc>
        <w:tc>
          <w:tcPr>
            <w:tcW w:w="5386" w:type="dxa"/>
            <w:vAlign w:val="center"/>
          </w:tcPr>
          <w:p w14:paraId="6165AEDB">
            <w:pPr>
              <w:pStyle w:val="13"/>
            </w:pPr>
            <w:r>
              <w:t>申报程序的合格，项目实施及资金使用</w:t>
            </w:r>
          </w:p>
        </w:tc>
        <w:tc>
          <w:tcPr>
            <w:tcW w:w="2268" w:type="dxa"/>
            <w:vAlign w:val="center"/>
          </w:tcPr>
          <w:p w14:paraId="2B6E61D6">
            <w:pPr>
              <w:pStyle w:val="13"/>
            </w:pPr>
            <w:r>
              <w:t>100%</w:t>
            </w:r>
          </w:p>
        </w:tc>
        <w:tc>
          <w:tcPr>
            <w:tcW w:w="1276" w:type="dxa"/>
            <w:vAlign w:val="center"/>
          </w:tcPr>
          <w:p w14:paraId="4E46A499">
            <w:pPr>
              <w:pStyle w:val="13"/>
            </w:pPr>
            <w:r>
              <w:t>项目规划</w:t>
            </w:r>
          </w:p>
        </w:tc>
      </w:tr>
      <w:tr w14:paraId="27A16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A47C4"/>
        </w:tc>
        <w:tc>
          <w:tcPr>
            <w:tcW w:w="2268" w:type="dxa"/>
            <w:vAlign w:val="center"/>
          </w:tcPr>
          <w:p w14:paraId="7BF3384B">
            <w:pPr>
              <w:pStyle w:val="13"/>
            </w:pPr>
            <w:r>
              <w:t>时效指标</w:t>
            </w:r>
          </w:p>
        </w:tc>
        <w:tc>
          <w:tcPr>
            <w:tcW w:w="2835" w:type="dxa"/>
            <w:vAlign w:val="center"/>
          </w:tcPr>
          <w:p w14:paraId="30B91B7C">
            <w:pPr>
              <w:pStyle w:val="13"/>
            </w:pPr>
            <w:r>
              <w:t>资金支付率</w:t>
            </w:r>
          </w:p>
        </w:tc>
        <w:tc>
          <w:tcPr>
            <w:tcW w:w="5386" w:type="dxa"/>
            <w:vAlign w:val="center"/>
          </w:tcPr>
          <w:p w14:paraId="49F86A13">
            <w:pPr>
              <w:pStyle w:val="13"/>
            </w:pPr>
            <w:r>
              <w:t>按照时序进度完成资金支付</w:t>
            </w:r>
          </w:p>
        </w:tc>
        <w:tc>
          <w:tcPr>
            <w:tcW w:w="2268" w:type="dxa"/>
            <w:vAlign w:val="center"/>
          </w:tcPr>
          <w:p w14:paraId="1743E3A4">
            <w:pPr>
              <w:pStyle w:val="13"/>
            </w:pPr>
            <w:r>
              <w:t>100%</w:t>
            </w:r>
          </w:p>
        </w:tc>
        <w:tc>
          <w:tcPr>
            <w:tcW w:w="1276" w:type="dxa"/>
            <w:vAlign w:val="center"/>
          </w:tcPr>
          <w:p w14:paraId="74906B7D">
            <w:pPr>
              <w:pStyle w:val="13"/>
            </w:pPr>
            <w:r>
              <w:t>项目规划</w:t>
            </w:r>
          </w:p>
        </w:tc>
      </w:tr>
      <w:tr w14:paraId="6EFF8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885FF"/>
        </w:tc>
        <w:tc>
          <w:tcPr>
            <w:tcW w:w="2268" w:type="dxa"/>
            <w:vAlign w:val="center"/>
          </w:tcPr>
          <w:p w14:paraId="06DCDE1F">
            <w:pPr>
              <w:pStyle w:val="13"/>
            </w:pPr>
            <w:r>
              <w:t>成本指标</w:t>
            </w:r>
          </w:p>
        </w:tc>
        <w:tc>
          <w:tcPr>
            <w:tcW w:w="2835" w:type="dxa"/>
            <w:vAlign w:val="center"/>
          </w:tcPr>
          <w:p w14:paraId="5EF08848">
            <w:pPr>
              <w:pStyle w:val="13"/>
            </w:pPr>
            <w:r>
              <w:t>项目成本控制情况</w:t>
            </w:r>
          </w:p>
        </w:tc>
        <w:tc>
          <w:tcPr>
            <w:tcW w:w="5386" w:type="dxa"/>
            <w:vAlign w:val="center"/>
          </w:tcPr>
          <w:p w14:paraId="697B513E">
            <w:pPr>
              <w:pStyle w:val="13"/>
            </w:pPr>
            <w:r>
              <w:t>严格按照招标价及审计价进行</w:t>
            </w:r>
          </w:p>
        </w:tc>
        <w:tc>
          <w:tcPr>
            <w:tcW w:w="2268" w:type="dxa"/>
            <w:vAlign w:val="center"/>
          </w:tcPr>
          <w:p w14:paraId="668299CB">
            <w:pPr>
              <w:pStyle w:val="13"/>
            </w:pPr>
            <w:r>
              <w:t>107万元</w:t>
            </w:r>
          </w:p>
        </w:tc>
        <w:tc>
          <w:tcPr>
            <w:tcW w:w="1276" w:type="dxa"/>
            <w:vAlign w:val="center"/>
          </w:tcPr>
          <w:p w14:paraId="5E12A582">
            <w:pPr>
              <w:pStyle w:val="13"/>
            </w:pPr>
            <w:r>
              <w:t>项目规划</w:t>
            </w:r>
          </w:p>
        </w:tc>
      </w:tr>
      <w:tr w14:paraId="13D9E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593809">
            <w:pPr>
              <w:pStyle w:val="12"/>
            </w:pPr>
            <w:r>
              <w:t>效益指标</w:t>
            </w:r>
          </w:p>
        </w:tc>
        <w:tc>
          <w:tcPr>
            <w:tcW w:w="2268" w:type="dxa"/>
            <w:vAlign w:val="center"/>
          </w:tcPr>
          <w:p w14:paraId="1D05C384">
            <w:pPr>
              <w:pStyle w:val="13"/>
            </w:pPr>
            <w:r>
              <w:t>可持续影响指标</w:t>
            </w:r>
          </w:p>
        </w:tc>
        <w:tc>
          <w:tcPr>
            <w:tcW w:w="2835" w:type="dxa"/>
            <w:vAlign w:val="center"/>
          </w:tcPr>
          <w:p w14:paraId="466DD4F9">
            <w:pPr>
              <w:pStyle w:val="13"/>
            </w:pPr>
            <w:r>
              <w:t>学校办学环境提升</w:t>
            </w:r>
          </w:p>
        </w:tc>
        <w:tc>
          <w:tcPr>
            <w:tcW w:w="5386" w:type="dxa"/>
            <w:vAlign w:val="center"/>
          </w:tcPr>
          <w:p w14:paraId="5FACCE11">
            <w:pPr>
              <w:pStyle w:val="13"/>
            </w:pPr>
            <w:r>
              <w:t>学校教育环境提升及教育教学工作更好开展</w:t>
            </w:r>
          </w:p>
        </w:tc>
        <w:tc>
          <w:tcPr>
            <w:tcW w:w="2268" w:type="dxa"/>
            <w:vAlign w:val="center"/>
          </w:tcPr>
          <w:p w14:paraId="4E54A9B9">
            <w:pPr>
              <w:pStyle w:val="13"/>
            </w:pPr>
            <w:r>
              <w:t>98%</w:t>
            </w:r>
          </w:p>
        </w:tc>
        <w:tc>
          <w:tcPr>
            <w:tcW w:w="1276" w:type="dxa"/>
            <w:vAlign w:val="center"/>
          </w:tcPr>
          <w:p w14:paraId="50B8116E">
            <w:pPr>
              <w:pStyle w:val="13"/>
            </w:pPr>
            <w:r>
              <w:t>项目规划</w:t>
            </w:r>
          </w:p>
        </w:tc>
      </w:tr>
      <w:tr w14:paraId="5EECF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84F10">
            <w:pPr>
              <w:pStyle w:val="12"/>
            </w:pPr>
            <w:r>
              <w:t>满意度指标</w:t>
            </w:r>
          </w:p>
        </w:tc>
        <w:tc>
          <w:tcPr>
            <w:tcW w:w="2268" w:type="dxa"/>
            <w:vAlign w:val="center"/>
          </w:tcPr>
          <w:p w14:paraId="48A4AD54">
            <w:pPr>
              <w:pStyle w:val="13"/>
            </w:pPr>
            <w:r>
              <w:t>服务对象满意度指标</w:t>
            </w:r>
          </w:p>
        </w:tc>
        <w:tc>
          <w:tcPr>
            <w:tcW w:w="2835" w:type="dxa"/>
            <w:vAlign w:val="center"/>
          </w:tcPr>
          <w:p w14:paraId="2CADCD44">
            <w:pPr>
              <w:pStyle w:val="13"/>
            </w:pPr>
            <w:r>
              <w:t>学生及家长满意度</w:t>
            </w:r>
          </w:p>
        </w:tc>
        <w:tc>
          <w:tcPr>
            <w:tcW w:w="5386" w:type="dxa"/>
            <w:vAlign w:val="center"/>
          </w:tcPr>
          <w:p w14:paraId="67CF0949">
            <w:pPr>
              <w:pStyle w:val="13"/>
            </w:pPr>
            <w:r>
              <w:t>大幅提高学生和学生家长满意度</w:t>
            </w:r>
          </w:p>
        </w:tc>
        <w:tc>
          <w:tcPr>
            <w:tcW w:w="2268" w:type="dxa"/>
            <w:vAlign w:val="center"/>
          </w:tcPr>
          <w:p w14:paraId="6C549276">
            <w:pPr>
              <w:pStyle w:val="13"/>
            </w:pPr>
            <w:r>
              <w:t>≥95%</w:t>
            </w:r>
          </w:p>
        </w:tc>
        <w:tc>
          <w:tcPr>
            <w:tcW w:w="1276" w:type="dxa"/>
            <w:vAlign w:val="center"/>
          </w:tcPr>
          <w:p w14:paraId="23521BEF">
            <w:pPr>
              <w:pStyle w:val="13"/>
            </w:pPr>
            <w:r>
              <w:t>项目规划</w:t>
            </w:r>
          </w:p>
        </w:tc>
      </w:tr>
    </w:tbl>
    <w:p w14:paraId="10F94325">
      <w:pPr>
        <w:sectPr>
          <w:pgSz w:w="16840" w:h="11900" w:orient="landscape"/>
          <w:pgMar w:top="1361" w:right="1020" w:bottom="1134" w:left="1020" w:header="720" w:footer="720" w:gutter="0"/>
          <w:cols w:space="720" w:num="1"/>
        </w:sectPr>
      </w:pPr>
    </w:p>
    <w:p w14:paraId="035ED678">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3、冀财教[2024]123号/中央/2025年义教补助经费/东甫小学公用经费绩效目标表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96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BB52D">
            <w:pPr>
              <w:pStyle w:val="14"/>
            </w:pPr>
            <w:r>
              <w:t>单位：万元</w:t>
            </w:r>
          </w:p>
        </w:tc>
      </w:tr>
      <w:tr w14:paraId="75B44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7E2F4">
            <w:pPr>
              <w:pStyle w:val="11"/>
            </w:pPr>
            <w:r>
              <w:t>项目编码</w:t>
            </w:r>
          </w:p>
        </w:tc>
        <w:tc>
          <w:tcPr>
            <w:tcW w:w="5103" w:type="dxa"/>
            <w:gridSpan w:val="2"/>
            <w:vAlign w:val="center"/>
          </w:tcPr>
          <w:p w14:paraId="44D8BDEC">
            <w:pPr>
              <w:pStyle w:val="13"/>
            </w:pPr>
            <w:r>
              <w:t>13052525P00000410059U</w:t>
            </w:r>
          </w:p>
        </w:tc>
        <w:tc>
          <w:tcPr>
            <w:tcW w:w="2835" w:type="dxa"/>
            <w:vAlign w:val="center"/>
          </w:tcPr>
          <w:p w14:paraId="09F90E51">
            <w:pPr>
              <w:pStyle w:val="11"/>
            </w:pPr>
            <w:r>
              <w:t>项目名称</w:t>
            </w:r>
          </w:p>
        </w:tc>
        <w:tc>
          <w:tcPr>
            <w:tcW w:w="6095" w:type="dxa"/>
            <w:gridSpan w:val="3"/>
            <w:vAlign w:val="center"/>
          </w:tcPr>
          <w:p w14:paraId="1080DEC6">
            <w:pPr>
              <w:pStyle w:val="13"/>
            </w:pPr>
            <w:r>
              <w:t>冀财教[2024]123号/中央/2025年义教补助经费/东甫小学公用经费</w:t>
            </w:r>
          </w:p>
        </w:tc>
      </w:tr>
      <w:tr w14:paraId="74B7E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72972">
            <w:pPr>
              <w:pStyle w:val="11"/>
            </w:pPr>
            <w:r>
              <w:t>预算规模及资金用途</w:t>
            </w:r>
          </w:p>
        </w:tc>
        <w:tc>
          <w:tcPr>
            <w:tcW w:w="2268" w:type="dxa"/>
            <w:vAlign w:val="center"/>
          </w:tcPr>
          <w:p w14:paraId="09C63CE6">
            <w:pPr>
              <w:pStyle w:val="11"/>
            </w:pPr>
            <w:r>
              <w:t>预算数</w:t>
            </w:r>
          </w:p>
        </w:tc>
        <w:tc>
          <w:tcPr>
            <w:tcW w:w="2835" w:type="dxa"/>
            <w:vAlign w:val="center"/>
          </w:tcPr>
          <w:p w14:paraId="27609E6F">
            <w:pPr>
              <w:pStyle w:val="13"/>
            </w:pPr>
            <w:r>
              <w:t>56.69</w:t>
            </w:r>
          </w:p>
        </w:tc>
        <w:tc>
          <w:tcPr>
            <w:tcW w:w="2835" w:type="dxa"/>
            <w:vAlign w:val="center"/>
          </w:tcPr>
          <w:p w14:paraId="7D6C0D87">
            <w:pPr>
              <w:pStyle w:val="11"/>
            </w:pPr>
            <w:r>
              <w:t>其中：财政    资金</w:t>
            </w:r>
          </w:p>
        </w:tc>
        <w:tc>
          <w:tcPr>
            <w:tcW w:w="2551" w:type="dxa"/>
            <w:vAlign w:val="center"/>
          </w:tcPr>
          <w:p w14:paraId="77C89078">
            <w:pPr>
              <w:pStyle w:val="13"/>
            </w:pPr>
            <w:r>
              <w:t>56.69</w:t>
            </w:r>
          </w:p>
        </w:tc>
        <w:tc>
          <w:tcPr>
            <w:tcW w:w="2268" w:type="dxa"/>
            <w:vAlign w:val="center"/>
          </w:tcPr>
          <w:p w14:paraId="6DF3228C">
            <w:pPr>
              <w:pStyle w:val="11"/>
            </w:pPr>
            <w:r>
              <w:t>其他资金</w:t>
            </w:r>
          </w:p>
        </w:tc>
        <w:tc>
          <w:tcPr>
            <w:tcW w:w="1276" w:type="dxa"/>
            <w:vAlign w:val="center"/>
          </w:tcPr>
          <w:p w14:paraId="672B5E67">
            <w:pPr>
              <w:pStyle w:val="13"/>
            </w:pPr>
            <w:r>
              <w:t xml:space="preserve"> </w:t>
            </w:r>
          </w:p>
        </w:tc>
      </w:tr>
      <w:tr w14:paraId="31597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B89D2"/>
        </w:tc>
        <w:tc>
          <w:tcPr>
            <w:tcW w:w="14033" w:type="dxa"/>
            <w:gridSpan w:val="6"/>
            <w:vAlign w:val="center"/>
          </w:tcPr>
          <w:p w14:paraId="35D592EB">
            <w:pPr>
              <w:pStyle w:val="13"/>
            </w:pPr>
            <w:r>
              <w:t>有效完成学校教学安全秩序，保障学校教学任务有效开展，满足学校正常教学需要。</w:t>
            </w:r>
          </w:p>
        </w:tc>
      </w:tr>
      <w:tr w14:paraId="39F2E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2CB07">
            <w:pPr>
              <w:pStyle w:val="11"/>
            </w:pPr>
            <w:r>
              <w:t>资金支出计划（%）</w:t>
            </w:r>
          </w:p>
        </w:tc>
        <w:tc>
          <w:tcPr>
            <w:tcW w:w="5103" w:type="dxa"/>
            <w:gridSpan w:val="2"/>
            <w:vAlign w:val="center"/>
          </w:tcPr>
          <w:p w14:paraId="7439BE9B">
            <w:pPr>
              <w:pStyle w:val="11"/>
            </w:pPr>
            <w:r>
              <w:t>3月底</w:t>
            </w:r>
          </w:p>
        </w:tc>
        <w:tc>
          <w:tcPr>
            <w:tcW w:w="2835" w:type="dxa"/>
            <w:vAlign w:val="center"/>
          </w:tcPr>
          <w:p w14:paraId="2A55056C">
            <w:pPr>
              <w:pStyle w:val="11"/>
            </w:pPr>
            <w:r>
              <w:t>6月底</w:t>
            </w:r>
          </w:p>
        </w:tc>
        <w:tc>
          <w:tcPr>
            <w:tcW w:w="2551" w:type="dxa"/>
            <w:vAlign w:val="center"/>
          </w:tcPr>
          <w:p w14:paraId="4B58E947">
            <w:pPr>
              <w:pStyle w:val="11"/>
            </w:pPr>
            <w:r>
              <w:t>10月底</w:t>
            </w:r>
          </w:p>
        </w:tc>
        <w:tc>
          <w:tcPr>
            <w:tcW w:w="3544" w:type="dxa"/>
            <w:gridSpan w:val="2"/>
            <w:vAlign w:val="center"/>
          </w:tcPr>
          <w:p w14:paraId="420FF6AB">
            <w:pPr>
              <w:pStyle w:val="11"/>
            </w:pPr>
            <w:r>
              <w:t>12月底</w:t>
            </w:r>
          </w:p>
        </w:tc>
      </w:tr>
      <w:tr w14:paraId="70C0F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616F8A"/>
        </w:tc>
        <w:tc>
          <w:tcPr>
            <w:tcW w:w="5103" w:type="dxa"/>
            <w:gridSpan w:val="2"/>
            <w:vAlign w:val="center"/>
          </w:tcPr>
          <w:p w14:paraId="09A35265">
            <w:pPr>
              <w:pStyle w:val="12"/>
            </w:pPr>
            <w:r>
              <w:t>25%</w:t>
            </w:r>
          </w:p>
        </w:tc>
        <w:tc>
          <w:tcPr>
            <w:tcW w:w="2835" w:type="dxa"/>
            <w:vAlign w:val="center"/>
          </w:tcPr>
          <w:p w14:paraId="6E01AE42">
            <w:pPr>
              <w:pStyle w:val="12"/>
            </w:pPr>
            <w:r>
              <w:t>50%</w:t>
            </w:r>
          </w:p>
        </w:tc>
        <w:tc>
          <w:tcPr>
            <w:tcW w:w="2551" w:type="dxa"/>
            <w:vAlign w:val="center"/>
          </w:tcPr>
          <w:p w14:paraId="035AEEEA">
            <w:pPr>
              <w:pStyle w:val="12"/>
            </w:pPr>
            <w:r>
              <w:t>75%</w:t>
            </w:r>
          </w:p>
        </w:tc>
        <w:tc>
          <w:tcPr>
            <w:tcW w:w="3544" w:type="dxa"/>
            <w:gridSpan w:val="2"/>
            <w:vAlign w:val="center"/>
          </w:tcPr>
          <w:p w14:paraId="2D0F362B">
            <w:pPr>
              <w:pStyle w:val="12"/>
            </w:pPr>
            <w:r>
              <w:t>100%</w:t>
            </w:r>
          </w:p>
        </w:tc>
      </w:tr>
      <w:tr w14:paraId="413C0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25649">
            <w:pPr>
              <w:pStyle w:val="11"/>
            </w:pPr>
            <w:r>
              <w:t>绩效目标</w:t>
            </w:r>
          </w:p>
        </w:tc>
        <w:tc>
          <w:tcPr>
            <w:tcW w:w="14033" w:type="dxa"/>
            <w:gridSpan w:val="6"/>
            <w:vAlign w:val="center"/>
          </w:tcPr>
          <w:p w14:paraId="2EF0D514">
            <w:pPr>
              <w:pStyle w:val="13"/>
            </w:pPr>
            <w:r>
              <w:t>1.按规定拨付公用经费资金，预算执行率≥98%。</w:t>
            </w:r>
          </w:p>
          <w:p w14:paraId="6C34D219">
            <w:pPr>
              <w:pStyle w:val="13"/>
            </w:pPr>
            <w:r>
              <w:t>2.有效完成学校教学安全秩序，保障学校教学任务有效开展，满足学校正常教学需要。</w:t>
            </w:r>
          </w:p>
        </w:tc>
      </w:tr>
    </w:tbl>
    <w:p w14:paraId="0BA054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E4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0537F">
            <w:pPr>
              <w:pStyle w:val="11"/>
            </w:pPr>
            <w:r>
              <w:t>一级指标</w:t>
            </w:r>
          </w:p>
        </w:tc>
        <w:tc>
          <w:tcPr>
            <w:tcW w:w="2268" w:type="dxa"/>
            <w:vAlign w:val="center"/>
          </w:tcPr>
          <w:p w14:paraId="7ECDD2C5">
            <w:pPr>
              <w:pStyle w:val="11"/>
            </w:pPr>
            <w:r>
              <w:t>二级指标</w:t>
            </w:r>
          </w:p>
        </w:tc>
        <w:tc>
          <w:tcPr>
            <w:tcW w:w="2835" w:type="dxa"/>
            <w:vAlign w:val="center"/>
          </w:tcPr>
          <w:p w14:paraId="224F6140">
            <w:pPr>
              <w:pStyle w:val="11"/>
            </w:pPr>
            <w:r>
              <w:t>三级指标</w:t>
            </w:r>
          </w:p>
        </w:tc>
        <w:tc>
          <w:tcPr>
            <w:tcW w:w="5386" w:type="dxa"/>
            <w:vAlign w:val="center"/>
          </w:tcPr>
          <w:p w14:paraId="73BCE1A5">
            <w:pPr>
              <w:pStyle w:val="11"/>
            </w:pPr>
            <w:r>
              <w:t>绩效指标描述</w:t>
            </w:r>
          </w:p>
        </w:tc>
        <w:tc>
          <w:tcPr>
            <w:tcW w:w="2268" w:type="dxa"/>
            <w:vAlign w:val="center"/>
          </w:tcPr>
          <w:p w14:paraId="182FC4EF">
            <w:pPr>
              <w:pStyle w:val="11"/>
            </w:pPr>
            <w:r>
              <w:t>指标值</w:t>
            </w:r>
          </w:p>
        </w:tc>
        <w:tc>
          <w:tcPr>
            <w:tcW w:w="1276" w:type="dxa"/>
            <w:vAlign w:val="center"/>
          </w:tcPr>
          <w:p w14:paraId="1A1D9229">
            <w:pPr>
              <w:pStyle w:val="11"/>
            </w:pPr>
            <w:r>
              <w:t>指标值确定依据</w:t>
            </w:r>
          </w:p>
        </w:tc>
      </w:tr>
      <w:tr w14:paraId="6EDC4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669A6">
            <w:pPr>
              <w:pStyle w:val="12"/>
            </w:pPr>
            <w:r>
              <w:t>产出指标</w:t>
            </w:r>
          </w:p>
        </w:tc>
        <w:tc>
          <w:tcPr>
            <w:tcW w:w="2268" w:type="dxa"/>
            <w:vAlign w:val="center"/>
          </w:tcPr>
          <w:p w14:paraId="4A4DBAF8">
            <w:pPr>
              <w:pStyle w:val="13"/>
            </w:pPr>
            <w:r>
              <w:t>数量指标</w:t>
            </w:r>
          </w:p>
        </w:tc>
        <w:tc>
          <w:tcPr>
            <w:tcW w:w="2835" w:type="dxa"/>
            <w:vAlign w:val="center"/>
          </w:tcPr>
          <w:p w14:paraId="38EE669A">
            <w:pPr>
              <w:pStyle w:val="13"/>
            </w:pPr>
            <w:r>
              <w:t>就读学生数</w:t>
            </w:r>
          </w:p>
        </w:tc>
        <w:tc>
          <w:tcPr>
            <w:tcW w:w="5386" w:type="dxa"/>
            <w:vAlign w:val="center"/>
          </w:tcPr>
          <w:p w14:paraId="4CB4C762">
            <w:pPr>
              <w:pStyle w:val="13"/>
            </w:pPr>
            <w:r>
              <w:t>辐射区域内适龄学生人数</w:t>
            </w:r>
          </w:p>
        </w:tc>
        <w:tc>
          <w:tcPr>
            <w:tcW w:w="2268" w:type="dxa"/>
            <w:vAlign w:val="center"/>
          </w:tcPr>
          <w:p w14:paraId="059F293B">
            <w:pPr>
              <w:pStyle w:val="13"/>
            </w:pPr>
            <w:r>
              <w:t>736人</w:t>
            </w:r>
          </w:p>
        </w:tc>
        <w:tc>
          <w:tcPr>
            <w:tcW w:w="1276" w:type="dxa"/>
            <w:vAlign w:val="center"/>
          </w:tcPr>
          <w:p w14:paraId="7B461C91">
            <w:pPr>
              <w:pStyle w:val="13"/>
            </w:pPr>
            <w:r>
              <w:t>城乡义务教育公用经费管理办法</w:t>
            </w:r>
          </w:p>
        </w:tc>
      </w:tr>
      <w:tr w14:paraId="61B32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E1E4D"/>
        </w:tc>
        <w:tc>
          <w:tcPr>
            <w:tcW w:w="2268" w:type="dxa"/>
            <w:vAlign w:val="center"/>
          </w:tcPr>
          <w:p w14:paraId="2B77F91A">
            <w:pPr>
              <w:pStyle w:val="13"/>
            </w:pPr>
            <w:r>
              <w:t>质量指标</w:t>
            </w:r>
          </w:p>
        </w:tc>
        <w:tc>
          <w:tcPr>
            <w:tcW w:w="2835" w:type="dxa"/>
            <w:vAlign w:val="center"/>
          </w:tcPr>
          <w:p w14:paraId="65B21B15">
            <w:pPr>
              <w:pStyle w:val="13"/>
            </w:pPr>
            <w:r>
              <w:t>预算执行率</w:t>
            </w:r>
          </w:p>
        </w:tc>
        <w:tc>
          <w:tcPr>
            <w:tcW w:w="5386" w:type="dxa"/>
            <w:vAlign w:val="center"/>
          </w:tcPr>
          <w:p w14:paraId="7C14ED00">
            <w:pPr>
              <w:pStyle w:val="13"/>
            </w:pPr>
            <w:r>
              <w:t>预算执行率</w:t>
            </w:r>
          </w:p>
        </w:tc>
        <w:tc>
          <w:tcPr>
            <w:tcW w:w="2268" w:type="dxa"/>
            <w:vAlign w:val="center"/>
          </w:tcPr>
          <w:p w14:paraId="1786B749">
            <w:pPr>
              <w:pStyle w:val="13"/>
            </w:pPr>
            <w:r>
              <w:t>≥98%</w:t>
            </w:r>
          </w:p>
        </w:tc>
        <w:tc>
          <w:tcPr>
            <w:tcW w:w="1276" w:type="dxa"/>
            <w:vAlign w:val="center"/>
          </w:tcPr>
          <w:p w14:paraId="6EB7DB61">
            <w:pPr>
              <w:pStyle w:val="13"/>
            </w:pPr>
            <w:r>
              <w:t>城乡义务教育公用经费管理办法</w:t>
            </w:r>
          </w:p>
        </w:tc>
      </w:tr>
      <w:tr w14:paraId="51B51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84CE2"/>
        </w:tc>
        <w:tc>
          <w:tcPr>
            <w:tcW w:w="2268" w:type="dxa"/>
            <w:vAlign w:val="center"/>
          </w:tcPr>
          <w:p w14:paraId="367D47E5">
            <w:pPr>
              <w:pStyle w:val="13"/>
            </w:pPr>
            <w:r>
              <w:t>时效指标</w:t>
            </w:r>
          </w:p>
        </w:tc>
        <w:tc>
          <w:tcPr>
            <w:tcW w:w="2835" w:type="dxa"/>
            <w:vAlign w:val="center"/>
          </w:tcPr>
          <w:p w14:paraId="3C41AC50">
            <w:pPr>
              <w:pStyle w:val="13"/>
            </w:pPr>
            <w:r>
              <w:t>义教经费支付完成率</w:t>
            </w:r>
          </w:p>
        </w:tc>
        <w:tc>
          <w:tcPr>
            <w:tcW w:w="5386" w:type="dxa"/>
            <w:vAlign w:val="center"/>
          </w:tcPr>
          <w:p w14:paraId="2ABE1CA2">
            <w:pPr>
              <w:pStyle w:val="13"/>
            </w:pPr>
            <w:r>
              <w:t>按照序时进度完成资金支付</w:t>
            </w:r>
          </w:p>
        </w:tc>
        <w:tc>
          <w:tcPr>
            <w:tcW w:w="2268" w:type="dxa"/>
            <w:vAlign w:val="center"/>
          </w:tcPr>
          <w:p w14:paraId="44FCF2C2">
            <w:pPr>
              <w:pStyle w:val="13"/>
            </w:pPr>
            <w:r>
              <w:t>100%</w:t>
            </w:r>
          </w:p>
        </w:tc>
        <w:tc>
          <w:tcPr>
            <w:tcW w:w="1276" w:type="dxa"/>
            <w:vAlign w:val="center"/>
          </w:tcPr>
          <w:p w14:paraId="5B32918C">
            <w:pPr>
              <w:pStyle w:val="13"/>
            </w:pPr>
            <w:r>
              <w:t>城乡义务教育公用经费管理办法</w:t>
            </w:r>
          </w:p>
        </w:tc>
      </w:tr>
      <w:tr w14:paraId="0A2B9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CDCE9"/>
        </w:tc>
        <w:tc>
          <w:tcPr>
            <w:tcW w:w="2268" w:type="dxa"/>
            <w:vAlign w:val="center"/>
          </w:tcPr>
          <w:p w14:paraId="701B2B17">
            <w:pPr>
              <w:pStyle w:val="13"/>
            </w:pPr>
            <w:r>
              <w:t>成本指标</w:t>
            </w:r>
          </w:p>
        </w:tc>
        <w:tc>
          <w:tcPr>
            <w:tcW w:w="2835" w:type="dxa"/>
            <w:vAlign w:val="center"/>
          </w:tcPr>
          <w:p w14:paraId="06F3618C">
            <w:pPr>
              <w:pStyle w:val="13"/>
            </w:pPr>
            <w:r>
              <w:t>生均拨款标准</w:t>
            </w:r>
          </w:p>
        </w:tc>
        <w:tc>
          <w:tcPr>
            <w:tcW w:w="5386" w:type="dxa"/>
            <w:vAlign w:val="center"/>
          </w:tcPr>
          <w:p w14:paraId="46AEA8C9">
            <w:pPr>
              <w:pStyle w:val="13"/>
            </w:pPr>
            <w:r>
              <w:t>小学：（基本标准720元、寄宿生300元、生活补助120元）/生/学年；特教、随班就读学生：标准7000元/生/学年</w:t>
            </w:r>
          </w:p>
        </w:tc>
        <w:tc>
          <w:tcPr>
            <w:tcW w:w="2268" w:type="dxa"/>
            <w:vAlign w:val="center"/>
          </w:tcPr>
          <w:p w14:paraId="174E7BF1">
            <w:pPr>
              <w:pStyle w:val="13"/>
            </w:pPr>
            <w:r>
              <w:t>840元</w:t>
            </w:r>
          </w:p>
        </w:tc>
        <w:tc>
          <w:tcPr>
            <w:tcW w:w="1276" w:type="dxa"/>
            <w:vAlign w:val="center"/>
          </w:tcPr>
          <w:p w14:paraId="5B718E86">
            <w:pPr>
              <w:pStyle w:val="13"/>
            </w:pPr>
            <w:r>
              <w:t>城乡义务教育公用经费管理办法</w:t>
            </w:r>
          </w:p>
        </w:tc>
      </w:tr>
      <w:tr w14:paraId="571D1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4E7ED">
            <w:pPr>
              <w:pStyle w:val="12"/>
            </w:pPr>
            <w:r>
              <w:t>效益指标</w:t>
            </w:r>
          </w:p>
        </w:tc>
        <w:tc>
          <w:tcPr>
            <w:tcW w:w="2268" w:type="dxa"/>
            <w:vAlign w:val="center"/>
          </w:tcPr>
          <w:p w14:paraId="3D0E397F">
            <w:pPr>
              <w:pStyle w:val="13"/>
            </w:pPr>
            <w:r>
              <w:t>可持续影响指标</w:t>
            </w:r>
          </w:p>
        </w:tc>
        <w:tc>
          <w:tcPr>
            <w:tcW w:w="2835" w:type="dxa"/>
            <w:vAlign w:val="center"/>
          </w:tcPr>
          <w:p w14:paraId="2FBB431A">
            <w:pPr>
              <w:pStyle w:val="13"/>
            </w:pPr>
            <w:r>
              <w:t>学校稳定率</w:t>
            </w:r>
          </w:p>
        </w:tc>
        <w:tc>
          <w:tcPr>
            <w:tcW w:w="5386" w:type="dxa"/>
            <w:vAlign w:val="center"/>
          </w:tcPr>
          <w:p w14:paraId="3E59812C">
            <w:pPr>
              <w:pStyle w:val="13"/>
            </w:pPr>
            <w:r>
              <w:t>维护学校稳定，保障学校正常教学秩序有效开展</w:t>
            </w:r>
          </w:p>
        </w:tc>
        <w:tc>
          <w:tcPr>
            <w:tcW w:w="2268" w:type="dxa"/>
            <w:vAlign w:val="center"/>
          </w:tcPr>
          <w:p w14:paraId="437D753F">
            <w:pPr>
              <w:pStyle w:val="13"/>
            </w:pPr>
            <w:r>
              <w:t>100%</w:t>
            </w:r>
          </w:p>
        </w:tc>
        <w:tc>
          <w:tcPr>
            <w:tcW w:w="1276" w:type="dxa"/>
            <w:vAlign w:val="center"/>
          </w:tcPr>
          <w:p w14:paraId="2D377B47">
            <w:pPr>
              <w:pStyle w:val="13"/>
            </w:pPr>
            <w:r>
              <w:t>城乡义务教育公用经费管理办法</w:t>
            </w:r>
          </w:p>
        </w:tc>
      </w:tr>
      <w:tr w14:paraId="5FD5A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3F578D">
            <w:pPr>
              <w:pStyle w:val="12"/>
            </w:pPr>
            <w:r>
              <w:t>满意度指标</w:t>
            </w:r>
          </w:p>
        </w:tc>
        <w:tc>
          <w:tcPr>
            <w:tcW w:w="2268" w:type="dxa"/>
            <w:vAlign w:val="center"/>
          </w:tcPr>
          <w:p w14:paraId="4C5DBFC2">
            <w:pPr>
              <w:pStyle w:val="13"/>
            </w:pPr>
            <w:r>
              <w:t>服务对象满意度指标</w:t>
            </w:r>
          </w:p>
        </w:tc>
        <w:tc>
          <w:tcPr>
            <w:tcW w:w="2835" w:type="dxa"/>
            <w:vAlign w:val="center"/>
          </w:tcPr>
          <w:p w14:paraId="67413B01">
            <w:pPr>
              <w:pStyle w:val="13"/>
            </w:pPr>
            <w:r>
              <w:t>家长和学生满意度</w:t>
            </w:r>
          </w:p>
        </w:tc>
        <w:tc>
          <w:tcPr>
            <w:tcW w:w="5386" w:type="dxa"/>
            <w:vAlign w:val="center"/>
          </w:tcPr>
          <w:p w14:paraId="322DF3DC">
            <w:pPr>
              <w:pStyle w:val="13"/>
            </w:pPr>
            <w:r>
              <w:t>家长和学生满意度</w:t>
            </w:r>
          </w:p>
        </w:tc>
        <w:tc>
          <w:tcPr>
            <w:tcW w:w="2268" w:type="dxa"/>
            <w:vAlign w:val="center"/>
          </w:tcPr>
          <w:p w14:paraId="6B083252">
            <w:pPr>
              <w:pStyle w:val="13"/>
            </w:pPr>
            <w:r>
              <w:t>≥95%</w:t>
            </w:r>
          </w:p>
        </w:tc>
        <w:tc>
          <w:tcPr>
            <w:tcW w:w="1276" w:type="dxa"/>
            <w:vAlign w:val="center"/>
          </w:tcPr>
          <w:p w14:paraId="64AE9AFC">
            <w:pPr>
              <w:pStyle w:val="13"/>
            </w:pPr>
            <w:r>
              <w:t>问卷调查</w:t>
            </w:r>
          </w:p>
        </w:tc>
      </w:tr>
    </w:tbl>
    <w:p w14:paraId="58308608">
      <w:pPr>
        <w:sectPr>
          <w:pgSz w:w="16840" w:h="11900" w:orient="landscape"/>
          <w:pgMar w:top="1361" w:right="1020" w:bottom="1134" w:left="1020" w:header="720" w:footer="720" w:gutter="0"/>
          <w:cols w:space="720" w:num="1"/>
        </w:sectPr>
      </w:pPr>
    </w:p>
    <w:p w14:paraId="3CEAC9DF">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4、冀财教[2024]123号/中央/2025年义教补助经费/柳行小学公用经费绩效目标表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35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B1E2C">
            <w:pPr>
              <w:pStyle w:val="14"/>
            </w:pPr>
            <w:r>
              <w:t>单位：万元</w:t>
            </w:r>
          </w:p>
        </w:tc>
      </w:tr>
      <w:tr w14:paraId="297DE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9B1CA9">
            <w:pPr>
              <w:pStyle w:val="11"/>
            </w:pPr>
            <w:r>
              <w:t>项目编码</w:t>
            </w:r>
          </w:p>
        </w:tc>
        <w:tc>
          <w:tcPr>
            <w:tcW w:w="5103" w:type="dxa"/>
            <w:gridSpan w:val="2"/>
            <w:vAlign w:val="center"/>
          </w:tcPr>
          <w:p w14:paraId="669AC94D">
            <w:pPr>
              <w:pStyle w:val="13"/>
            </w:pPr>
            <w:r>
              <w:t>13052525P00000410062E</w:t>
            </w:r>
          </w:p>
        </w:tc>
        <w:tc>
          <w:tcPr>
            <w:tcW w:w="2835" w:type="dxa"/>
            <w:vAlign w:val="center"/>
          </w:tcPr>
          <w:p w14:paraId="4C9A3C61">
            <w:pPr>
              <w:pStyle w:val="11"/>
            </w:pPr>
            <w:r>
              <w:t>项目名称</w:t>
            </w:r>
          </w:p>
        </w:tc>
        <w:tc>
          <w:tcPr>
            <w:tcW w:w="6095" w:type="dxa"/>
            <w:gridSpan w:val="3"/>
            <w:vAlign w:val="center"/>
          </w:tcPr>
          <w:p w14:paraId="4B6A1866">
            <w:pPr>
              <w:pStyle w:val="13"/>
            </w:pPr>
            <w:r>
              <w:t>冀财教[2024]123号/中央/2025年义教补助经费/柳行小学公用经费</w:t>
            </w:r>
          </w:p>
        </w:tc>
      </w:tr>
      <w:tr w14:paraId="3E943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B6197">
            <w:pPr>
              <w:pStyle w:val="11"/>
            </w:pPr>
            <w:r>
              <w:t>预算规模及资金用途</w:t>
            </w:r>
          </w:p>
        </w:tc>
        <w:tc>
          <w:tcPr>
            <w:tcW w:w="2268" w:type="dxa"/>
            <w:vAlign w:val="center"/>
          </w:tcPr>
          <w:p w14:paraId="48D36572">
            <w:pPr>
              <w:pStyle w:val="11"/>
            </w:pPr>
            <w:r>
              <w:t>预算数</w:t>
            </w:r>
          </w:p>
        </w:tc>
        <w:tc>
          <w:tcPr>
            <w:tcW w:w="2835" w:type="dxa"/>
            <w:vAlign w:val="center"/>
          </w:tcPr>
          <w:p w14:paraId="2C701B7C">
            <w:pPr>
              <w:pStyle w:val="13"/>
            </w:pPr>
            <w:r>
              <w:t>35.62</w:t>
            </w:r>
          </w:p>
        </w:tc>
        <w:tc>
          <w:tcPr>
            <w:tcW w:w="2835" w:type="dxa"/>
            <w:vAlign w:val="center"/>
          </w:tcPr>
          <w:p w14:paraId="4337A704">
            <w:pPr>
              <w:pStyle w:val="11"/>
            </w:pPr>
            <w:r>
              <w:t>其中：财政    资金</w:t>
            </w:r>
          </w:p>
        </w:tc>
        <w:tc>
          <w:tcPr>
            <w:tcW w:w="2551" w:type="dxa"/>
            <w:vAlign w:val="center"/>
          </w:tcPr>
          <w:p w14:paraId="74306322">
            <w:pPr>
              <w:pStyle w:val="13"/>
            </w:pPr>
            <w:r>
              <w:t>35.62</w:t>
            </w:r>
          </w:p>
        </w:tc>
        <w:tc>
          <w:tcPr>
            <w:tcW w:w="2268" w:type="dxa"/>
            <w:vAlign w:val="center"/>
          </w:tcPr>
          <w:p w14:paraId="7D66C2B0">
            <w:pPr>
              <w:pStyle w:val="11"/>
            </w:pPr>
            <w:r>
              <w:t>其他资金</w:t>
            </w:r>
          </w:p>
        </w:tc>
        <w:tc>
          <w:tcPr>
            <w:tcW w:w="1276" w:type="dxa"/>
            <w:vAlign w:val="center"/>
          </w:tcPr>
          <w:p w14:paraId="14C4D564">
            <w:pPr>
              <w:pStyle w:val="13"/>
            </w:pPr>
            <w:r>
              <w:t xml:space="preserve"> </w:t>
            </w:r>
          </w:p>
        </w:tc>
      </w:tr>
      <w:tr w14:paraId="1D0A5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0925B"/>
        </w:tc>
        <w:tc>
          <w:tcPr>
            <w:tcW w:w="14033" w:type="dxa"/>
            <w:gridSpan w:val="6"/>
            <w:vAlign w:val="center"/>
          </w:tcPr>
          <w:p w14:paraId="621A4CAD">
            <w:pPr>
              <w:pStyle w:val="13"/>
            </w:pPr>
            <w:r>
              <w:t>有效完成学校教学安全秩序，保障学校教学任务有效开展，满足学校正常教学需要。</w:t>
            </w:r>
          </w:p>
        </w:tc>
      </w:tr>
      <w:tr w14:paraId="36BF7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83650">
            <w:pPr>
              <w:pStyle w:val="11"/>
            </w:pPr>
            <w:r>
              <w:t>资金支出计划（%）</w:t>
            </w:r>
          </w:p>
        </w:tc>
        <w:tc>
          <w:tcPr>
            <w:tcW w:w="5103" w:type="dxa"/>
            <w:gridSpan w:val="2"/>
            <w:vAlign w:val="center"/>
          </w:tcPr>
          <w:p w14:paraId="115C8DD9">
            <w:pPr>
              <w:pStyle w:val="11"/>
            </w:pPr>
            <w:r>
              <w:t>3月底</w:t>
            </w:r>
          </w:p>
        </w:tc>
        <w:tc>
          <w:tcPr>
            <w:tcW w:w="2835" w:type="dxa"/>
            <w:vAlign w:val="center"/>
          </w:tcPr>
          <w:p w14:paraId="3C90E9FF">
            <w:pPr>
              <w:pStyle w:val="11"/>
            </w:pPr>
            <w:r>
              <w:t>6月底</w:t>
            </w:r>
          </w:p>
        </w:tc>
        <w:tc>
          <w:tcPr>
            <w:tcW w:w="2551" w:type="dxa"/>
            <w:vAlign w:val="center"/>
          </w:tcPr>
          <w:p w14:paraId="20B7ABA3">
            <w:pPr>
              <w:pStyle w:val="11"/>
            </w:pPr>
            <w:r>
              <w:t>10月底</w:t>
            </w:r>
          </w:p>
        </w:tc>
        <w:tc>
          <w:tcPr>
            <w:tcW w:w="3544" w:type="dxa"/>
            <w:gridSpan w:val="2"/>
            <w:vAlign w:val="center"/>
          </w:tcPr>
          <w:p w14:paraId="3E893933">
            <w:pPr>
              <w:pStyle w:val="11"/>
            </w:pPr>
            <w:r>
              <w:t>12月底</w:t>
            </w:r>
          </w:p>
        </w:tc>
      </w:tr>
      <w:tr w14:paraId="54B57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DC0A7"/>
        </w:tc>
        <w:tc>
          <w:tcPr>
            <w:tcW w:w="5103" w:type="dxa"/>
            <w:gridSpan w:val="2"/>
            <w:vAlign w:val="center"/>
          </w:tcPr>
          <w:p w14:paraId="5A7FBC7C">
            <w:pPr>
              <w:pStyle w:val="12"/>
            </w:pPr>
            <w:r>
              <w:t>25%</w:t>
            </w:r>
          </w:p>
        </w:tc>
        <w:tc>
          <w:tcPr>
            <w:tcW w:w="2835" w:type="dxa"/>
            <w:vAlign w:val="center"/>
          </w:tcPr>
          <w:p w14:paraId="3FB34DFE">
            <w:pPr>
              <w:pStyle w:val="12"/>
            </w:pPr>
            <w:r>
              <w:t>50%</w:t>
            </w:r>
          </w:p>
        </w:tc>
        <w:tc>
          <w:tcPr>
            <w:tcW w:w="2551" w:type="dxa"/>
            <w:vAlign w:val="center"/>
          </w:tcPr>
          <w:p w14:paraId="17CEB17F">
            <w:pPr>
              <w:pStyle w:val="12"/>
            </w:pPr>
            <w:r>
              <w:t>75%</w:t>
            </w:r>
          </w:p>
        </w:tc>
        <w:tc>
          <w:tcPr>
            <w:tcW w:w="3544" w:type="dxa"/>
            <w:gridSpan w:val="2"/>
            <w:vAlign w:val="center"/>
          </w:tcPr>
          <w:p w14:paraId="3EB50DD6">
            <w:pPr>
              <w:pStyle w:val="12"/>
            </w:pPr>
            <w:r>
              <w:t>100%</w:t>
            </w:r>
          </w:p>
        </w:tc>
      </w:tr>
      <w:tr w14:paraId="338CF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A8F988">
            <w:pPr>
              <w:pStyle w:val="11"/>
            </w:pPr>
            <w:r>
              <w:t>绩效目标</w:t>
            </w:r>
          </w:p>
        </w:tc>
        <w:tc>
          <w:tcPr>
            <w:tcW w:w="14033" w:type="dxa"/>
            <w:gridSpan w:val="6"/>
            <w:vAlign w:val="center"/>
          </w:tcPr>
          <w:p w14:paraId="08A4E8E4">
            <w:pPr>
              <w:pStyle w:val="13"/>
            </w:pPr>
            <w:r>
              <w:t>1.按规定拨付公用经费资金，预算执行率≥98%。</w:t>
            </w:r>
          </w:p>
          <w:p w14:paraId="32CD889D">
            <w:pPr>
              <w:pStyle w:val="13"/>
            </w:pPr>
            <w:r>
              <w:t>2.有效完成学校教学安全秩序，保障学校教学任务有效开展，满足学校正常教学需要。</w:t>
            </w:r>
          </w:p>
        </w:tc>
      </w:tr>
    </w:tbl>
    <w:p w14:paraId="5A87EC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1F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F321D">
            <w:pPr>
              <w:pStyle w:val="11"/>
            </w:pPr>
            <w:r>
              <w:t>一级指标</w:t>
            </w:r>
          </w:p>
        </w:tc>
        <w:tc>
          <w:tcPr>
            <w:tcW w:w="2268" w:type="dxa"/>
            <w:vAlign w:val="center"/>
          </w:tcPr>
          <w:p w14:paraId="7F87D890">
            <w:pPr>
              <w:pStyle w:val="11"/>
            </w:pPr>
            <w:r>
              <w:t>二级指标</w:t>
            </w:r>
          </w:p>
        </w:tc>
        <w:tc>
          <w:tcPr>
            <w:tcW w:w="2835" w:type="dxa"/>
            <w:vAlign w:val="center"/>
          </w:tcPr>
          <w:p w14:paraId="35D44182">
            <w:pPr>
              <w:pStyle w:val="11"/>
            </w:pPr>
            <w:r>
              <w:t>三级指标</w:t>
            </w:r>
          </w:p>
        </w:tc>
        <w:tc>
          <w:tcPr>
            <w:tcW w:w="5386" w:type="dxa"/>
            <w:vAlign w:val="center"/>
          </w:tcPr>
          <w:p w14:paraId="2E642EE0">
            <w:pPr>
              <w:pStyle w:val="11"/>
            </w:pPr>
            <w:r>
              <w:t>绩效指标描述</w:t>
            </w:r>
          </w:p>
        </w:tc>
        <w:tc>
          <w:tcPr>
            <w:tcW w:w="2268" w:type="dxa"/>
            <w:vAlign w:val="center"/>
          </w:tcPr>
          <w:p w14:paraId="401D1DED">
            <w:pPr>
              <w:pStyle w:val="11"/>
            </w:pPr>
            <w:r>
              <w:t>指标值</w:t>
            </w:r>
          </w:p>
        </w:tc>
        <w:tc>
          <w:tcPr>
            <w:tcW w:w="1276" w:type="dxa"/>
            <w:vAlign w:val="center"/>
          </w:tcPr>
          <w:p w14:paraId="59643DC6">
            <w:pPr>
              <w:pStyle w:val="11"/>
            </w:pPr>
            <w:r>
              <w:t>指标值确定依据</w:t>
            </w:r>
          </w:p>
        </w:tc>
      </w:tr>
      <w:tr w14:paraId="74E66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CC7F5">
            <w:pPr>
              <w:pStyle w:val="12"/>
            </w:pPr>
            <w:r>
              <w:t>产出指标</w:t>
            </w:r>
          </w:p>
        </w:tc>
        <w:tc>
          <w:tcPr>
            <w:tcW w:w="2268" w:type="dxa"/>
            <w:vAlign w:val="center"/>
          </w:tcPr>
          <w:p w14:paraId="36B6FA10">
            <w:pPr>
              <w:pStyle w:val="13"/>
            </w:pPr>
            <w:r>
              <w:t>数量指标</w:t>
            </w:r>
          </w:p>
        </w:tc>
        <w:tc>
          <w:tcPr>
            <w:tcW w:w="2835" w:type="dxa"/>
            <w:vAlign w:val="center"/>
          </w:tcPr>
          <w:p w14:paraId="6EE2D47E">
            <w:pPr>
              <w:pStyle w:val="13"/>
            </w:pPr>
            <w:r>
              <w:t>就读学生数</w:t>
            </w:r>
          </w:p>
        </w:tc>
        <w:tc>
          <w:tcPr>
            <w:tcW w:w="5386" w:type="dxa"/>
            <w:vAlign w:val="center"/>
          </w:tcPr>
          <w:p w14:paraId="6D5939ED">
            <w:pPr>
              <w:pStyle w:val="13"/>
            </w:pPr>
            <w:r>
              <w:t>辐射区域内适龄学生人数</w:t>
            </w:r>
          </w:p>
        </w:tc>
        <w:tc>
          <w:tcPr>
            <w:tcW w:w="2268" w:type="dxa"/>
            <w:vAlign w:val="center"/>
          </w:tcPr>
          <w:p w14:paraId="60BF1B8D">
            <w:pPr>
              <w:pStyle w:val="13"/>
            </w:pPr>
            <w:r>
              <w:t>569人</w:t>
            </w:r>
          </w:p>
        </w:tc>
        <w:tc>
          <w:tcPr>
            <w:tcW w:w="1276" w:type="dxa"/>
            <w:vAlign w:val="center"/>
          </w:tcPr>
          <w:p w14:paraId="3593BCE6">
            <w:pPr>
              <w:pStyle w:val="13"/>
            </w:pPr>
            <w:r>
              <w:t>城乡义务教育公用经费管理办法</w:t>
            </w:r>
          </w:p>
        </w:tc>
      </w:tr>
      <w:tr w14:paraId="55603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88386"/>
        </w:tc>
        <w:tc>
          <w:tcPr>
            <w:tcW w:w="2268" w:type="dxa"/>
            <w:vAlign w:val="center"/>
          </w:tcPr>
          <w:p w14:paraId="218C1BD3">
            <w:pPr>
              <w:pStyle w:val="13"/>
            </w:pPr>
            <w:r>
              <w:t>质量指标</w:t>
            </w:r>
          </w:p>
        </w:tc>
        <w:tc>
          <w:tcPr>
            <w:tcW w:w="2835" w:type="dxa"/>
            <w:vAlign w:val="center"/>
          </w:tcPr>
          <w:p w14:paraId="392C8956">
            <w:pPr>
              <w:pStyle w:val="13"/>
            </w:pPr>
            <w:r>
              <w:t>预算执行率</w:t>
            </w:r>
          </w:p>
        </w:tc>
        <w:tc>
          <w:tcPr>
            <w:tcW w:w="5386" w:type="dxa"/>
            <w:vAlign w:val="center"/>
          </w:tcPr>
          <w:p w14:paraId="1653037C">
            <w:pPr>
              <w:pStyle w:val="13"/>
            </w:pPr>
            <w:r>
              <w:t>预算执行率</w:t>
            </w:r>
          </w:p>
        </w:tc>
        <w:tc>
          <w:tcPr>
            <w:tcW w:w="2268" w:type="dxa"/>
            <w:vAlign w:val="center"/>
          </w:tcPr>
          <w:p w14:paraId="3DE1D711">
            <w:pPr>
              <w:pStyle w:val="13"/>
            </w:pPr>
            <w:r>
              <w:t>≥98%</w:t>
            </w:r>
          </w:p>
        </w:tc>
        <w:tc>
          <w:tcPr>
            <w:tcW w:w="1276" w:type="dxa"/>
            <w:vAlign w:val="center"/>
          </w:tcPr>
          <w:p w14:paraId="11A0BD1C">
            <w:pPr>
              <w:pStyle w:val="13"/>
            </w:pPr>
            <w:r>
              <w:t>城乡义务教育公用经费管理办法</w:t>
            </w:r>
          </w:p>
        </w:tc>
      </w:tr>
      <w:tr w14:paraId="07EE0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F4569"/>
        </w:tc>
        <w:tc>
          <w:tcPr>
            <w:tcW w:w="2268" w:type="dxa"/>
            <w:vAlign w:val="center"/>
          </w:tcPr>
          <w:p w14:paraId="011DC259">
            <w:pPr>
              <w:pStyle w:val="13"/>
            </w:pPr>
            <w:r>
              <w:t>时效指标</w:t>
            </w:r>
          </w:p>
        </w:tc>
        <w:tc>
          <w:tcPr>
            <w:tcW w:w="2835" w:type="dxa"/>
            <w:vAlign w:val="center"/>
          </w:tcPr>
          <w:p w14:paraId="7D341EA9">
            <w:pPr>
              <w:pStyle w:val="13"/>
            </w:pPr>
            <w:r>
              <w:t>义教经费支付完成率</w:t>
            </w:r>
          </w:p>
        </w:tc>
        <w:tc>
          <w:tcPr>
            <w:tcW w:w="5386" w:type="dxa"/>
            <w:vAlign w:val="center"/>
          </w:tcPr>
          <w:p w14:paraId="1B5223C9">
            <w:pPr>
              <w:pStyle w:val="13"/>
            </w:pPr>
            <w:r>
              <w:t>按照序时进度完成资金支付</w:t>
            </w:r>
          </w:p>
        </w:tc>
        <w:tc>
          <w:tcPr>
            <w:tcW w:w="2268" w:type="dxa"/>
            <w:vAlign w:val="center"/>
          </w:tcPr>
          <w:p w14:paraId="1516A8BE">
            <w:pPr>
              <w:pStyle w:val="13"/>
            </w:pPr>
            <w:r>
              <w:t>100%</w:t>
            </w:r>
          </w:p>
        </w:tc>
        <w:tc>
          <w:tcPr>
            <w:tcW w:w="1276" w:type="dxa"/>
            <w:vAlign w:val="center"/>
          </w:tcPr>
          <w:p w14:paraId="5E2C9492">
            <w:pPr>
              <w:pStyle w:val="13"/>
            </w:pPr>
            <w:r>
              <w:t>城乡义务教育公用经费管理办法</w:t>
            </w:r>
          </w:p>
        </w:tc>
      </w:tr>
      <w:tr w14:paraId="08261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77AC8"/>
        </w:tc>
        <w:tc>
          <w:tcPr>
            <w:tcW w:w="2268" w:type="dxa"/>
            <w:vAlign w:val="center"/>
          </w:tcPr>
          <w:p w14:paraId="19E8206A">
            <w:pPr>
              <w:pStyle w:val="13"/>
            </w:pPr>
            <w:r>
              <w:t>成本指标</w:t>
            </w:r>
          </w:p>
        </w:tc>
        <w:tc>
          <w:tcPr>
            <w:tcW w:w="2835" w:type="dxa"/>
            <w:vAlign w:val="center"/>
          </w:tcPr>
          <w:p w14:paraId="492E743B">
            <w:pPr>
              <w:pStyle w:val="13"/>
            </w:pPr>
            <w:r>
              <w:t>生均拨款标准</w:t>
            </w:r>
          </w:p>
        </w:tc>
        <w:tc>
          <w:tcPr>
            <w:tcW w:w="5386" w:type="dxa"/>
            <w:vAlign w:val="center"/>
          </w:tcPr>
          <w:p w14:paraId="23E357A9">
            <w:pPr>
              <w:pStyle w:val="13"/>
            </w:pPr>
            <w:r>
              <w:t>小学：（基本标准720元、寄宿生300元、生活补助120元）/生/学年；特教、随班就读学生：标准7000元/生/学年</w:t>
            </w:r>
          </w:p>
        </w:tc>
        <w:tc>
          <w:tcPr>
            <w:tcW w:w="2268" w:type="dxa"/>
            <w:vAlign w:val="center"/>
          </w:tcPr>
          <w:p w14:paraId="07A2566D">
            <w:pPr>
              <w:pStyle w:val="13"/>
            </w:pPr>
            <w:r>
              <w:t>840元</w:t>
            </w:r>
          </w:p>
        </w:tc>
        <w:tc>
          <w:tcPr>
            <w:tcW w:w="1276" w:type="dxa"/>
            <w:vAlign w:val="center"/>
          </w:tcPr>
          <w:p w14:paraId="4DB8FA44">
            <w:pPr>
              <w:pStyle w:val="13"/>
            </w:pPr>
            <w:r>
              <w:t>城乡义务教育公用经费管理办法</w:t>
            </w:r>
          </w:p>
        </w:tc>
      </w:tr>
      <w:tr w14:paraId="23841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C006E2">
            <w:pPr>
              <w:pStyle w:val="12"/>
            </w:pPr>
            <w:r>
              <w:t>效益指标</w:t>
            </w:r>
          </w:p>
        </w:tc>
        <w:tc>
          <w:tcPr>
            <w:tcW w:w="2268" w:type="dxa"/>
            <w:vAlign w:val="center"/>
          </w:tcPr>
          <w:p w14:paraId="76C14761">
            <w:pPr>
              <w:pStyle w:val="13"/>
            </w:pPr>
            <w:r>
              <w:t>可持续影响指标</w:t>
            </w:r>
          </w:p>
        </w:tc>
        <w:tc>
          <w:tcPr>
            <w:tcW w:w="2835" w:type="dxa"/>
            <w:vAlign w:val="center"/>
          </w:tcPr>
          <w:p w14:paraId="2186D279">
            <w:pPr>
              <w:pStyle w:val="13"/>
            </w:pPr>
            <w:r>
              <w:t>学校稳定率</w:t>
            </w:r>
          </w:p>
        </w:tc>
        <w:tc>
          <w:tcPr>
            <w:tcW w:w="5386" w:type="dxa"/>
            <w:vAlign w:val="center"/>
          </w:tcPr>
          <w:p w14:paraId="7D727470">
            <w:pPr>
              <w:pStyle w:val="13"/>
            </w:pPr>
            <w:r>
              <w:t>维护学校稳定，保障学校正常教学秩序有效开展</w:t>
            </w:r>
          </w:p>
        </w:tc>
        <w:tc>
          <w:tcPr>
            <w:tcW w:w="2268" w:type="dxa"/>
            <w:vAlign w:val="center"/>
          </w:tcPr>
          <w:p w14:paraId="487BD382">
            <w:pPr>
              <w:pStyle w:val="13"/>
            </w:pPr>
            <w:r>
              <w:t>≥100%</w:t>
            </w:r>
          </w:p>
        </w:tc>
        <w:tc>
          <w:tcPr>
            <w:tcW w:w="1276" w:type="dxa"/>
            <w:vAlign w:val="center"/>
          </w:tcPr>
          <w:p w14:paraId="131B21BC">
            <w:pPr>
              <w:pStyle w:val="13"/>
            </w:pPr>
            <w:r>
              <w:t>城乡义务教育公用经费管理办法</w:t>
            </w:r>
          </w:p>
        </w:tc>
      </w:tr>
      <w:tr w14:paraId="2F368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FDF052">
            <w:pPr>
              <w:pStyle w:val="12"/>
            </w:pPr>
            <w:r>
              <w:t>满意度指标</w:t>
            </w:r>
          </w:p>
        </w:tc>
        <w:tc>
          <w:tcPr>
            <w:tcW w:w="2268" w:type="dxa"/>
            <w:vAlign w:val="center"/>
          </w:tcPr>
          <w:p w14:paraId="028D4906">
            <w:pPr>
              <w:pStyle w:val="13"/>
            </w:pPr>
            <w:r>
              <w:t>服务对象满意度指标</w:t>
            </w:r>
          </w:p>
        </w:tc>
        <w:tc>
          <w:tcPr>
            <w:tcW w:w="2835" w:type="dxa"/>
            <w:vAlign w:val="center"/>
          </w:tcPr>
          <w:p w14:paraId="504C1612">
            <w:pPr>
              <w:pStyle w:val="13"/>
            </w:pPr>
            <w:r>
              <w:t>家长和学生满意度</w:t>
            </w:r>
          </w:p>
        </w:tc>
        <w:tc>
          <w:tcPr>
            <w:tcW w:w="5386" w:type="dxa"/>
            <w:vAlign w:val="center"/>
          </w:tcPr>
          <w:p w14:paraId="26DAFBEF">
            <w:pPr>
              <w:pStyle w:val="13"/>
            </w:pPr>
            <w:r>
              <w:t>家长和学生满意度</w:t>
            </w:r>
          </w:p>
        </w:tc>
        <w:tc>
          <w:tcPr>
            <w:tcW w:w="2268" w:type="dxa"/>
            <w:vAlign w:val="center"/>
          </w:tcPr>
          <w:p w14:paraId="2FE31721">
            <w:pPr>
              <w:pStyle w:val="13"/>
            </w:pPr>
            <w:r>
              <w:t>≥95%</w:t>
            </w:r>
          </w:p>
        </w:tc>
        <w:tc>
          <w:tcPr>
            <w:tcW w:w="1276" w:type="dxa"/>
            <w:vAlign w:val="center"/>
          </w:tcPr>
          <w:p w14:paraId="0AE5C27B">
            <w:pPr>
              <w:pStyle w:val="13"/>
            </w:pPr>
            <w:r>
              <w:t>问卷调查</w:t>
            </w:r>
          </w:p>
        </w:tc>
      </w:tr>
    </w:tbl>
    <w:p w14:paraId="1396E760">
      <w:pPr>
        <w:sectPr>
          <w:pgSz w:w="16840" w:h="11900" w:orient="landscape"/>
          <w:pgMar w:top="1361" w:right="1020" w:bottom="1134" w:left="1020" w:header="720" w:footer="720" w:gutter="0"/>
          <w:cols w:space="720" w:num="1"/>
        </w:sectPr>
      </w:pPr>
    </w:p>
    <w:p w14:paraId="13DB9BF0">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5、冀财教[2024]123号/中央/2025年义教补助经费/南柏舍小学公用经费绩效目标表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F6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1CAEF">
            <w:pPr>
              <w:pStyle w:val="14"/>
            </w:pPr>
            <w:r>
              <w:t>单位：万元</w:t>
            </w:r>
          </w:p>
        </w:tc>
      </w:tr>
      <w:tr w14:paraId="3447FC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A35AD">
            <w:pPr>
              <w:pStyle w:val="11"/>
            </w:pPr>
            <w:r>
              <w:t>项目编码</w:t>
            </w:r>
          </w:p>
        </w:tc>
        <w:tc>
          <w:tcPr>
            <w:tcW w:w="5103" w:type="dxa"/>
            <w:gridSpan w:val="2"/>
            <w:vAlign w:val="center"/>
          </w:tcPr>
          <w:p w14:paraId="2B7242CB">
            <w:pPr>
              <w:pStyle w:val="13"/>
            </w:pPr>
            <w:r>
              <w:t>13052525P00000410061T</w:t>
            </w:r>
          </w:p>
        </w:tc>
        <w:tc>
          <w:tcPr>
            <w:tcW w:w="2835" w:type="dxa"/>
            <w:vAlign w:val="center"/>
          </w:tcPr>
          <w:p w14:paraId="0E046B44">
            <w:pPr>
              <w:pStyle w:val="11"/>
            </w:pPr>
            <w:r>
              <w:t>项目名称</w:t>
            </w:r>
          </w:p>
        </w:tc>
        <w:tc>
          <w:tcPr>
            <w:tcW w:w="6095" w:type="dxa"/>
            <w:gridSpan w:val="3"/>
            <w:vAlign w:val="center"/>
          </w:tcPr>
          <w:p w14:paraId="08F80C47">
            <w:pPr>
              <w:pStyle w:val="13"/>
            </w:pPr>
            <w:r>
              <w:t>冀财教[2024]123号/中央/2025年义教补助经费/南柏舍小学公用经费</w:t>
            </w:r>
          </w:p>
        </w:tc>
      </w:tr>
      <w:tr w14:paraId="5998D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C56B4">
            <w:pPr>
              <w:pStyle w:val="11"/>
            </w:pPr>
            <w:r>
              <w:t>预算规模及资金用途</w:t>
            </w:r>
          </w:p>
        </w:tc>
        <w:tc>
          <w:tcPr>
            <w:tcW w:w="2268" w:type="dxa"/>
            <w:vAlign w:val="center"/>
          </w:tcPr>
          <w:p w14:paraId="207C3CB3">
            <w:pPr>
              <w:pStyle w:val="11"/>
            </w:pPr>
            <w:r>
              <w:t>预算数</w:t>
            </w:r>
          </w:p>
        </w:tc>
        <w:tc>
          <w:tcPr>
            <w:tcW w:w="2835" w:type="dxa"/>
            <w:vAlign w:val="center"/>
          </w:tcPr>
          <w:p w14:paraId="4AC1EBDF">
            <w:pPr>
              <w:pStyle w:val="13"/>
            </w:pPr>
            <w:r>
              <w:t>102.91</w:t>
            </w:r>
          </w:p>
        </w:tc>
        <w:tc>
          <w:tcPr>
            <w:tcW w:w="2835" w:type="dxa"/>
            <w:vAlign w:val="center"/>
          </w:tcPr>
          <w:p w14:paraId="0FBFA0E0">
            <w:pPr>
              <w:pStyle w:val="11"/>
            </w:pPr>
            <w:r>
              <w:t>其中：财政    资金</w:t>
            </w:r>
          </w:p>
        </w:tc>
        <w:tc>
          <w:tcPr>
            <w:tcW w:w="2551" w:type="dxa"/>
            <w:vAlign w:val="center"/>
          </w:tcPr>
          <w:p w14:paraId="4EDDE2EE">
            <w:pPr>
              <w:pStyle w:val="13"/>
            </w:pPr>
            <w:r>
              <w:t>102.91</w:t>
            </w:r>
          </w:p>
        </w:tc>
        <w:tc>
          <w:tcPr>
            <w:tcW w:w="2268" w:type="dxa"/>
            <w:vAlign w:val="center"/>
          </w:tcPr>
          <w:p w14:paraId="1AA06B8E">
            <w:pPr>
              <w:pStyle w:val="11"/>
            </w:pPr>
            <w:r>
              <w:t>其他资金</w:t>
            </w:r>
          </w:p>
        </w:tc>
        <w:tc>
          <w:tcPr>
            <w:tcW w:w="1276" w:type="dxa"/>
            <w:vAlign w:val="center"/>
          </w:tcPr>
          <w:p w14:paraId="071CD5E0">
            <w:pPr>
              <w:pStyle w:val="13"/>
            </w:pPr>
            <w:r>
              <w:t xml:space="preserve"> </w:t>
            </w:r>
          </w:p>
        </w:tc>
      </w:tr>
      <w:tr w14:paraId="43015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89F18"/>
        </w:tc>
        <w:tc>
          <w:tcPr>
            <w:tcW w:w="14033" w:type="dxa"/>
            <w:gridSpan w:val="6"/>
            <w:vAlign w:val="center"/>
          </w:tcPr>
          <w:p w14:paraId="02EA7DD8">
            <w:pPr>
              <w:pStyle w:val="13"/>
            </w:pPr>
            <w:r>
              <w:t>有效完成学校教学安全秩序，保障学校教学任务有效开展，满足学校正常教学需要。</w:t>
            </w:r>
          </w:p>
        </w:tc>
      </w:tr>
      <w:tr w14:paraId="101D7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0B074">
            <w:pPr>
              <w:pStyle w:val="11"/>
            </w:pPr>
            <w:r>
              <w:t>资金支出计划（%）</w:t>
            </w:r>
          </w:p>
        </w:tc>
        <w:tc>
          <w:tcPr>
            <w:tcW w:w="5103" w:type="dxa"/>
            <w:gridSpan w:val="2"/>
            <w:vAlign w:val="center"/>
          </w:tcPr>
          <w:p w14:paraId="46A80D2D">
            <w:pPr>
              <w:pStyle w:val="11"/>
            </w:pPr>
            <w:r>
              <w:t>3月底</w:t>
            </w:r>
          </w:p>
        </w:tc>
        <w:tc>
          <w:tcPr>
            <w:tcW w:w="2835" w:type="dxa"/>
            <w:vAlign w:val="center"/>
          </w:tcPr>
          <w:p w14:paraId="50C9FEB3">
            <w:pPr>
              <w:pStyle w:val="11"/>
            </w:pPr>
            <w:r>
              <w:t>6月底</w:t>
            </w:r>
          </w:p>
        </w:tc>
        <w:tc>
          <w:tcPr>
            <w:tcW w:w="2551" w:type="dxa"/>
            <w:vAlign w:val="center"/>
          </w:tcPr>
          <w:p w14:paraId="182B3282">
            <w:pPr>
              <w:pStyle w:val="11"/>
            </w:pPr>
            <w:r>
              <w:t>10月底</w:t>
            </w:r>
          </w:p>
        </w:tc>
        <w:tc>
          <w:tcPr>
            <w:tcW w:w="3544" w:type="dxa"/>
            <w:gridSpan w:val="2"/>
            <w:vAlign w:val="center"/>
          </w:tcPr>
          <w:p w14:paraId="60B8C15D">
            <w:pPr>
              <w:pStyle w:val="11"/>
            </w:pPr>
            <w:r>
              <w:t>12月底</w:t>
            </w:r>
          </w:p>
        </w:tc>
      </w:tr>
      <w:tr w14:paraId="21292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6EA627"/>
        </w:tc>
        <w:tc>
          <w:tcPr>
            <w:tcW w:w="5103" w:type="dxa"/>
            <w:gridSpan w:val="2"/>
            <w:vAlign w:val="center"/>
          </w:tcPr>
          <w:p w14:paraId="710B2C3E">
            <w:pPr>
              <w:pStyle w:val="12"/>
            </w:pPr>
            <w:r>
              <w:t>25%</w:t>
            </w:r>
          </w:p>
        </w:tc>
        <w:tc>
          <w:tcPr>
            <w:tcW w:w="2835" w:type="dxa"/>
            <w:vAlign w:val="center"/>
          </w:tcPr>
          <w:p w14:paraId="4F69974F">
            <w:pPr>
              <w:pStyle w:val="12"/>
            </w:pPr>
            <w:r>
              <w:t>50%</w:t>
            </w:r>
          </w:p>
        </w:tc>
        <w:tc>
          <w:tcPr>
            <w:tcW w:w="2551" w:type="dxa"/>
            <w:vAlign w:val="center"/>
          </w:tcPr>
          <w:p w14:paraId="150CCF8B">
            <w:pPr>
              <w:pStyle w:val="12"/>
            </w:pPr>
            <w:r>
              <w:t>75%</w:t>
            </w:r>
          </w:p>
        </w:tc>
        <w:tc>
          <w:tcPr>
            <w:tcW w:w="3544" w:type="dxa"/>
            <w:gridSpan w:val="2"/>
            <w:vAlign w:val="center"/>
          </w:tcPr>
          <w:p w14:paraId="3ED52B26">
            <w:pPr>
              <w:pStyle w:val="12"/>
            </w:pPr>
            <w:r>
              <w:t>100%</w:t>
            </w:r>
          </w:p>
        </w:tc>
      </w:tr>
      <w:tr w14:paraId="04607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2BE10A">
            <w:pPr>
              <w:pStyle w:val="11"/>
            </w:pPr>
            <w:r>
              <w:t>绩效目标</w:t>
            </w:r>
          </w:p>
        </w:tc>
        <w:tc>
          <w:tcPr>
            <w:tcW w:w="14033" w:type="dxa"/>
            <w:gridSpan w:val="6"/>
            <w:vAlign w:val="center"/>
          </w:tcPr>
          <w:p w14:paraId="4C3F160C">
            <w:pPr>
              <w:pStyle w:val="13"/>
            </w:pPr>
            <w:r>
              <w:t>1.按规定拨付公用经费资金，预算执行率≥98%。</w:t>
            </w:r>
          </w:p>
          <w:p w14:paraId="23128593">
            <w:pPr>
              <w:pStyle w:val="13"/>
            </w:pPr>
            <w:r>
              <w:t>2.有效完成学校教学安全秩序，保障学校教学任务有效开展，满足学校正常教学需要。</w:t>
            </w:r>
          </w:p>
        </w:tc>
      </w:tr>
    </w:tbl>
    <w:p w14:paraId="20B997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E6B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AFFC4CA">
            <w:pPr>
              <w:pStyle w:val="11"/>
            </w:pPr>
            <w:r>
              <w:t>一级指标</w:t>
            </w:r>
          </w:p>
        </w:tc>
        <w:tc>
          <w:tcPr>
            <w:tcW w:w="2268" w:type="dxa"/>
            <w:vAlign w:val="center"/>
          </w:tcPr>
          <w:p w14:paraId="01BCFA7C">
            <w:pPr>
              <w:pStyle w:val="11"/>
            </w:pPr>
            <w:r>
              <w:t>二级指标</w:t>
            </w:r>
          </w:p>
        </w:tc>
        <w:tc>
          <w:tcPr>
            <w:tcW w:w="2835" w:type="dxa"/>
            <w:vAlign w:val="center"/>
          </w:tcPr>
          <w:p w14:paraId="761E623A">
            <w:pPr>
              <w:pStyle w:val="11"/>
            </w:pPr>
            <w:r>
              <w:t>三级指标</w:t>
            </w:r>
          </w:p>
        </w:tc>
        <w:tc>
          <w:tcPr>
            <w:tcW w:w="5386" w:type="dxa"/>
            <w:vAlign w:val="center"/>
          </w:tcPr>
          <w:p w14:paraId="6ECAAF5D">
            <w:pPr>
              <w:pStyle w:val="11"/>
            </w:pPr>
            <w:r>
              <w:t>绩效指标描述</w:t>
            </w:r>
          </w:p>
        </w:tc>
        <w:tc>
          <w:tcPr>
            <w:tcW w:w="2268" w:type="dxa"/>
            <w:vAlign w:val="center"/>
          </w:tcPr>
          <w:p w14:paraId="290D4FB2">
            <w:pPr>
              <w:pStyle w:val="11"/>
            </w:pPr>
            <w:r>
              <w:t>指标值</w:t>
            </w:r>
          </w:p>
        </w:tc>
        <w:tc>
          <w:tcPr>
            <w:tcW w:w="1276" w:type="dxa"/>
            <w:vAlign w:val="center"/>
          </w:tcPr>
          <w:p w14:paraId="02B302D0">
            <w:pPr>
              <w:pStyle w:val="11"/>
            </w:pPr>
            <w:r>
              <w:t>指标值确定依据</w:t>
            </w:r>
          </w:p>
        </w:tc>
      </w:tr>
      <w:tr w14:paraId="3B36E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7CCA6">
            <w:pPr>
              <w:pStyle w:val="12"/>
            </w:pPr>
            <w:r>
              <w:t>产出指标</w:t>
            </w:r>
          </w:p>
        </w:tc>
        <w:tc>
          <w:tcPr>
            <w:tcW w:w="2268" w:type="dxa"/>
            <w:vAlign w:val="center"/>
          </w:tcPr>
          <w:p w14:paraId="2F5F990B">
            <w:pPr>
              <w:pStyle w:val="13"/>
            </w:pPr>
            <w:r>
              <w:t>数量指标</w:t>
            </w:r>
          </w:p>
        </w:tc>
        <w:tc>
          <w:tcPr>
            <w:tcW w:w="2835" w:type="dxa"/>
            <w:vAlign w:val="center"/>
          </w:tcPr>
          <w:p w14:paraId="4F7CB2B5">
            <w:pPr>
              <w:pStyle w:val="13"/>
            </w:pPr>
            <w:r>
              <w:t>就读学生数</w:t>
            </w:r>
          </w:p>
        </w:tc>
        <w:tc>
          <w:tcPr>
            <w:tcW w:w="5386" w:type="dxa"/>
            <w:vAlign w:val="center"/>
          </w:tcPr>
          <w:p w14:paraId="48607FD3">
            <w:pPr>
              <w:pStyle w:val="13"/>
            </w:pPr>
            <w:r>
              <w:t>辐射区域内适龄学生人数</w:t>
            </w:r>
          </w:p>
        </w:tc>
        <w:tc>
          <w:tcPr>
            <w:tcW w:w="2268" w:type="dxa"/>
            <w:vAlign w:val="center"/>
          </w:tcPr>
          <w:p w14:paraId="22AB56FC">
            <w:pPr>
              <w:pStyle w:val="13"/>
            </w:pPr>
            <w:r>
              <w:t>1539人</w:t>
            </w:r>
          </w:p>
        </w:tc>
        <w:tc>
          <w:tcPr>
            <w:tcW w:w="1276" w:type="dxa"/>
            <w:vAlign w:val="center"/>
          </w:tcPr>
          <w:p w14:paraId="653402F0">
            <w:pPr>
              <w:pStyle w:val="13"/>
            </w:pPr>
            <w:r>
              <w:t>城乡义务教育公用经费管理办法</w:t>
            </w:r>
          </w:p>
        </w:tc>
      </w:tr>
      <w:tr w14:paraId="7A226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2CA68"/>
        </w:tc>
        <w:tc>
          <w:tcPr>
            <w:tcW w:w="2268" w:type="dxa"/>
            <w:vAlign w:val="center"/>
          </w:tcPr>
          <w:p w14:paraId="01E95FF4">
            <w:pPr>
              <w:pStyle w:val="13"/>
            </w:pPr>
            <w:r>
              <w:t>质量指标</w:t>
            </w:r>
          </w:p>
        </w:tc>
        <w:tc>
          <w:tcPr>
            <w:tcW w:w="2835" w:type="dxa"/>
            <w:vAlign w:val="center"/>
          </w:tcPr>
          <w:p w14:paraId="2071DFBC">
            <w:pPr>
              <w:pStyle w:val="13"/>
            </w:pPr>
            <w:r>
              <w:t>预算执行率</w:t>
            </w:r>
          </w:p>
        </w:tc>
        <w:tc>
          <w:tcPr>
            <w:tcW w:w="5386" w:type="dxa"/>
            <w:vAlign w:val="center"/>
          </w:tcPr>
          <w:p w14:paraId="0D38FB2F">
            <w:pPr>
              <w:pStyle w:val="13"/>
            </w:pPr>
            <w:r>
              <w:t>预算执行率</w:t>
            </w:r>
          </w:p>
        </w:tc>
        <w:tc>
          <w:tcPr>
            <w:tcW w:w="2268" w:type="dxa"/>
            <w:vAlign w:val="center"/>
          </w:tcPr>
          <w:p w14:paraId="2ECDA393">
            <w:pPr>
              <w:pStyle w:val="13"/>
            </w:pPr>
            <w:r>
              <w:t>≥98%</w:t>
            </w:r>
          </w:p>
        </w:tc>
        <w:tc>
          <w:tcPr>
            <w:tcW w:w="1276" w:type="dxa"/>
            <w:vAlign w:val="center"/>
          </w:tcPr>
          <w:p w14:paraId="21E988B7">
            <w:pPr>
              <w:pStyle w:val="13"/>
            </w:pPr>
            <w:r>
              <w:t>城乡义务教育公用经费管理办法</w:t>
            </w:r>
          </w:p>
        </w:tc>
      </w:tr>
      <w:tr w14:paraId="545D3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C345B"/>
        </w:tc>
        <w:tc>
          <w:tcPr>
            <w:tcW w:w="2268" w:type="dxa"/>
            <w:vAlign w:val="center"/>
          </w:tcPr>
          <w:p w14:paraId="3E4FCD25">
            <w:pPr>
              <w:pStyle w:val="13"/>
            </w:pPr>
            <w:r>
              <w:t>时效指标</w:t>
            </w:r>
          </w:p>
        </w:tc>
        <w:tc>
          <w:tcPr>
            <w:tcW w:w="2835" w:type="dxa"/>
            <w:vAlign w:val="center"/>
          </w:tcPr>
          <w:p w14:paraId="3B359579">
            <w:pPr>
              <w:pStyle w:val="13"/>
            </w:pPr>
            <w:r>
              <w:t>义教经费支付完成率</w:t>
            </w:r>
          </w:p>
        </w:tc>
        <w:tc>
          <w:tcPr>
            <w:tcW w:w="5386" w:type="dxa"/>
            <w:vAlign w:val="center"/>
          </w:tcPr>
          <w:p w14:paraId="7D86247E">
            <w:pPr>
              <w:pStyle w:val="13"/>
            </w:pPr>
            <w:r>
              <w:t>按照序时进度完成资金支付</w:t>
            </w:r>
          </w:p>
        </w:tc>
        <w:tc>
          <w:tcPr>
            <w:tcW w:w="2268" w:type="dxa"/>
            <w:vAlign w:val="center"/>
          </w:tcPr>
          <w:p w14:paraId="34F38027">
            <w:pPr>
              <w:pStyle w:val="13"/>
            </w:pPr>
            <w:r>
              <w:t>100%</w:t>
            </w:r>
          </w:p>
        </w:tc>
        <w:tc>
          <w:tcPr>
            <w:tcW w:w="1276" w:type="dxa"/>
            <w:vAlign w:val="center"/>
          </w:tcPr>
          <w:p w14:paraId="5027E953">
            <w:pPr>
              <w:pStyle w:val="13"/>
            </w:pPr>
            <w:r>
              <w:t>城乡义务教育公用经费管理办法</w:t>
            </w:r>
          </w:p>
        </w:tc>
      </w:tr>
      <w:tr w14:paraId="2F649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84BE6"/>
        </w:tc>
        <w:tc>
          <w:tcPr>
            <w:tcW w:w="2268" w:type="dxa"/>
            <w:vAlign w:val="center"/>
          </w:tcPr>
          <w:p w14:paraId="7FC77EAE">
            <w:pPr>
              <w:pStyle w:val="13"/>
            </w:pPr>
            <w:r>
              <w:t>成本指标</w:t>
            </w:r>
          </w:p>
        </w:tc>
        <w:tc>
          <w:tcPr>
            <w:tcW w:w="2835" w:type="dxa"/>
            <w:vAlign w:val="center"/>
          </w:tcPr>
          <w:p w14:paraId="51D471E3">
            <w:pPr>
              <w:pStyle w:val="13"/>
            </w:pPr>
            <w:r>
              <w:t>生均拨款标准</w:t>
            </w:r>
          </w:p>
        </w:tc>
        <w:tc>
          <w:tcPr>
            <w:tcW w:w="5386" w:type="dxa"/>
            <w:vAlign w:val="center"/>
          </w:tcPr>
          <w:p w14:paraId="3E7A2788">
            <w:pPr>
              <w:pStyle w:val="13"/>
            </w:pPr>
            <w:r>
              <w:t>小学：（基本标准720元、寄宿生300元、生活补助120元）/生/学年；特教、随班就读学生：标准7000元/生/学年</w:t>
            </w:r>
          </w:p>
        </w:tc>
        <w:tc>
          <w:tcPr>
            <w:tcW w:w="2268" w:type="dxa"/>
            <w:vAlign w:val="center"/>
          </w:tcPr>
          <w:p w14:paraId="4DF1320C">
            <w:pPr>
              <w:pStyle w:val="13"/>
            </w:pPr>
            <w:r>
              <w:t>840元</w:t>
            </w:r>
          </w:p>
        </w:tc>
        <w:tc>
          <w:tcPr>
            <w:tcW w:w="1276" w:type="dxa"/>
            <w:vAlign w:val="center"/>
          </w:tcPr>
          <w:p w14:paraId="15DF736F">
            <w:pPr>
              <w:pStyle w:val="13"/>
            </w:pPr>
            <w:r>
              <w:t>城乡义务教育公用经费管理办法</w:t>
            </w:r>
          </w:p>
        </w:tc>
      </w:tr>
      <w:tr w14:paraId="1A614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F2D8FB">
            <w:pPr>
              <w:pStyle w:val="12"/>
            </w:pPr>
            <w:r>
              <w:t>效益指标</w:t>
            </w:r>
          </w:p>
        </w:tc>
        <w:tc>
          <w:tcPr>
            <w:tcW w:w="2268" w:type="dxa"/>
            <w:vAlign w:val="center"/>
          </w:tcPr>
          <w:p w14:paraId="5CFD726B">
            <w:pPr>
              <w:pStyle w:val="13"/>
            </w:pPr>
            <w:r>
              <w:t>可持续影响指标</w:t>
            </w:r>
          </w:p>
        </w:tc>
        <w:tc>
          <w:tcPr>
            <w:tcW w:w="2835" w:type="dxa"/>
            <w:vAlign w:val="center"/>
          </w:tcPr>
          <w:p w14:paraId="0AFB6694">
            <w:pPr>
              <w:pStyle w:val="13"/>
            </w:pPr>
            <w:r>
              <w:t>学校稳定率</w:t>
            </w:r>
          </w:p>
        </w:tc>
        <w:tc>
          <w:tcPr>
            <w:tcW w:w="5386" w:type="dxa"/>
            <w:vAlign w:val="center"/>
          </w:tcPr>
          <w:p w14:paraId="09146663">
            <w:pPr>
              <w:pStyle w:val="13"/>
            </w:pPr>
            <w:r>
              <w:t>维护学校稳定，保障学校正常教学秩序有效开展</w:t>
            </w:r>
          </w:p>
        </w:tc>
        <w:tc>
          <w:tcPr>
            <w:tcW w:w="2268" w:type="dxa"/>
            <w:vAlign w:val="center"/>
          </w:tcPr>
          <w:p w14:paraId="10E8CEC7">
            <w:pPr>
              <w:pStyle w:val="13"/>
            </w:pPr>
            <w:r>
              <w:t>100%</w:t>
            </w:r>
          </w:p>
        </w:tc>
        <w:tc>
          <w:tcPr>
            <w:tcW w:w="1276" w:type="dxa"/>
            <w:vAlign w:val="center"/>
          </w:tcPr>
          <w:p w14:paraId="68CD75A7">
            <w:pPr>
              <w:pStyle w:val="13"/>
            </w:pPr>
            <w:r>
              <w:t>城乡义务教育公用经费管理办法</w:t>
            </w:r>
          </w:p>
        </w:tc>
      </w:tr>
      <w:tr w14:paraId="5FBE0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348CBE">
            <w:pPr>
              <w:pStyle w:val="12"/>
            </w:pPr>
            <w:r>
              <w:t>满意度指标</w:t>
            </w:r>
          </w:p>
        </w:tc>
        <w:tc>
          <w:tcPr>
            <w:tcW w:w="2268" w:type="dxa"/>
            <w:vAlign w:val="center"/>
          </w:tcPr>
          <w:p w14:paraId="3AE6FB3F">
            <w:pPr>
              <w:pStyle w:val="13"/>
            </w:pPr>
            <w:r>
              <w:t>服务对象满意度指标</w:t>
            </w:r>
          </w:p>
        </w:tc>
        <w:tc>
          <w:tcPr>
            <w:tcW w:w="2835" w:type="dxa"/>
            <w:vAlign w:val="center"/>
          </w:tcPr>
          <w:p w14:paraId="7A5C6B96">
            <w:pPr>
              <w:pStyle w:val="13"/>
            </w:pPr>
            <w:r>
              <w:t>家长和学生满意度</w:t>
            </w:r>
          </w:p>
        </w:tc>
        <w:tc>
          <w:tcPr>
            <w:tcW w:w="5386" w:type="dxa"/>
            <w:vAlign w:val="center"/>
          </w:tcPr>
          <w:p w14:paraId="45004981">
            <w:pPr>
              <w:pStyle w:val="13"/>
            </w:pPr>
            <w:r>
              <w:t>家长和学生满意度</w:t>
            </w:r>
          </w:p>
        </w:tc>
        <w:tc>
          <w:tcPr>
            <w:tcW w:w="2268" w:type="dxa"/>
            <w:vAlign w:val="center"/>
          </w:tcPr>
          <w:p w14:paraId="7C2494EB">
            <w:pPr>
              <w:pStyle w:val="13"/>
            </w:pPr>
            <w:r>
              <w:t>≥95%</w:t>
            </w:r>
          </w:p>
        </w:tc>
        <w:tc>
          <w:tcPr>
            <w:tcW w:w="1276" w:type="dxa"/>
            <w:vAlign w:val="center"/>
          </w:tcPr>
          <w:p w14:paraId="41D450F1">
            <w:pPr>
              <w:pStyle w:val="13"/>
            </w:pPr>
            <w:r>
              <w:t>问卷调查</w:t>
            </w:r>
          </w:p>
        </w:tc>
      </w:tr>
    </w:tbl>
    <w:p w14:paraId="25F71D17">
      <w:pPr>
        <w:sectPr>
          <w:pgSz w:w="16840" w:h="11900" w:orient="landscape"/>
          <w:pgMar w:top="1361" w:right="1020" w:bottom="1134" w:left="1020" w:header="720" w:footer="720" w:gutter="0"/>
          <w:cols w:space="720" w:num="1"/>
        </w:sectPr>
      </w:pPr>
    </w:p>
    <w:p w14:paraId="576279A3">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6、冀财教[2024]123号/中央/2025年义教补助经费/义丰小学公用经费绩效目标表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8A6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8F15E6">
            <w:pPr>
              <w:pStyle w:val="14"/>
            </w:pPr>
            <w:r>
              <w:t>单位：万元</w:t>
            </w:r>
          </w:p>
        </w:tc>
      </w:tr>
      <w:tr w14:paraId="1B8B1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8C7D92">
            <w:pPr>
              <w:pStyle w:val="11"/>
            </w:pPr>
            <w:r>
              <w:t>项目编码</w:t>
            </w:r>
          </w:p>
        </w:tc>
        <w:tc>
          <w:tcPr>
            <w:tcW w:w="5103" w:type="dxa"/>
            <w:gridSpan w:val="2"/>
            <w:vAlign w:val="center"/>
          </w:tcPr>
          <w:p w14:paraId="50312240">
            <w:pPr>
              <w:pStyle w:val="13"/>
            </w:pPr>
            <w:r>
              <w:t>13052525P000004100607</w:t>
            </w:r>
          </w:p>
        </w:tc>
        <w:tc>
          <w:tcPr>
            <w:tcW w:w="2835" w:type="dxa"/>
            <w:vAlign w:val="center"/>
          </w:tcPr>
          <w:p w14:paraId="675A40B8">
            <w:pPr>
              <w:pStyle w:val="11"/>
            </w:pPr>
            <w:r>
              <w:t>项目名称</w:t>
            </w:r>
          </w:p>
        </w:tc>
        <w:tc>
          <w:tcPr>
            <w:tcW w:w="6095" w:type="dxa"/>
            <w:gridSpan w:val="3"/>
            <w:vAlign w:val="center"/>
          </w:tcPr>
          <w:p w14:paraId="791D6F0B">
            <w:pPr>
              <w:pStyle w:val="13"/>
            </w:pPr>
            <w:r>
              <w:t>冀财教[2024]123号/中央/2025年义教补助经费/义丰小学公用经费</w:t>
            </w:r>
          </w:p>
        </w:tc>
      </w:tr>
      <w:tr w14:paraId="19FB4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6679E">
            <w:pPr>
              <w:pStyle w:val="11"/>
            </w:pPr>
            <w:r>
              <w:t>预算规模及资金用途</w:t>
            </w:r>
          </w:p>
        </w:tc>
        <w:tc>
          <w:tcPr>
            <w:tcW w:w="2268" w:type="dxa"/>
            <w:vAlign w:val="center"/>
          </w:tcPr>
          <w:p w14:paraId="12B5D19A">
            <w:pPr>
              <w:pStyle w:val="11"/>
            </w:pPr>
            <w:r>
              <w:t>预算数</w:t>
            </w:r>
          </w:p>
        </w:tc>
        <w:tc>
          <w:tcPr>
            <w:tcW w:w="2835" w:type="dxa"/>
            <w:vAlign w:val="center"/>
          </w:tcPr>
          <w:p w14:paraId="2D929567">
            <w:pPr>
              <w:pStyle w:val="13"/>
            </w:pPr>
            <w:r>
              <w:t>149.73</w:t>
            </w:r>
          </w:p>
        </w:tc>
        <w:tc>
          <w:tcPr>
            <w:tcW w:w="2835" w:type="dxa"/>
            <w:vAlign w:val="center"/>
          </w:tcPr>
          <w:p w14:paraId="1512D262">
            <w:pPr>
              <w:pStyle w:val="11"/>
            </w:pPr>
            <w:r>
              <w:t>其中：财政    资金</w:t>
            </w:r>
          </w:p>
        </w:tc>
        <w:tc>
          <w:tcPr>
            <w:tcW w:w="2551" w:type="dxa"/>
            <w:vAlign w:val="center"/>
          </w:tcPr>
          <w:p w14:paraId="07143BF3">
            <w:pPr>
              <w:pStyle w:val="13"/>
            </w:pPr>
            <w:r>
              <w:t>149.73</w:t>
            </w:r>
          </w:p>
        </w:tc>
        <w:tc>
          <w:tcPr>
            <w:tcW w:w="2268" w:type="dxa"/>
            <w:vAlign w:val="center"/>
          </w:tcPr>
          <w:p w14:paraId="70730864">
            <w:pPr>
              <w:pStyle w:val="11"/>
            </w:pPr>
            <w:r>
              <w:t>其他资金</w:t>
            </w:r>
          </w:p>
        </w:tc>
        <w:tc>
          <w:tcPr>
            <w:tcW w:w="1276" w:type="dxa"/>
            <w:vAlign w:val="center"/>
          </w:tcPr>
          <w:p w14:paraId="55FA4429">
            <w:pPr>
              <w:pStyle w:val="13"/>
            </w:pPr>
            <w:r>
              <w:t xml:space="preserve"> </w:t>
            </w:r>
          </w:p>
        </w:tc>
      </w:tr>
      <w:tr w14:paraId="605A8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EA765"/>
        </w:tc>
        <w:tc>
          <w:tcPr>
            <w:tcW w:w="14033" w:type="dxa"/>
            <w:gridSpan w:val="6"/>
            <w:vAlign w:val="center"/>
          </w:tcPr>
          <w:p w14:paraId="45198B70">
            <w:pPr>
              <w:pStyle w:val="13"/>
            </w:pPr>
            <w:r>
              <w:t>有效完成学校教学安全秩序，保障学校教学任务有效开展，满足学校正常教学需要。</w:t>
            </w:r>
          </w:p>
        </w:tc>
      </w:tr>
      <w:tr w14:paraId="5058D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D0756">
            <w:pPr>
              <w:pStyle w:val="11"/>
            </w:pPr>
            <w:r>
              <w:t>资金支出计划（%）</w:t>
            </w:r>
          </w:p>
        </w:tc>
        <w:tc>
          <w:tcPr>
            <w:tcW w:w="5103" w:type="dxa"/>
            <w:gridSpan w:val="2"/>
            <w:vAlign w:val="center"/>
          </w:tcPr>
          <w:p w14:paraId="6FCB980F">
            <w:pPr>
              <w:pStyle w:val="11"/>
            </w:pPr>
            <w:r>
              <w:t>3月底</w:t>
            </w:r>
          </w:p>
        </w:tc>
        <w:tc>
          <w:tcPr>
            <w:tcW w:w="2835" w:type="dxa"/>
            <w:vAlign w:val="center"/>
          </w:tcPr>
          <w:p w14:paraId="66C1387E">
            <w:pPr>
              <w:pStyle w:val="11"/>
            </w:pPr>
            <w:r>
              <w:t>6月底</w:t>
            </w:r>
          </w:p>
        </w:tc>
        <w:tc>
          <w:tcPr>
            <w:tcW w:w="2551" w:type="dxa"/>
            <w:vAlign w:val="center"/>
          </w:tcPr>
          <w:p w14:paraId="1739BF97">
            <w:pPr>
              <w:pStyle w:val="11"/>
            </w:pPr>
            <w:r>
              <w:t>10月底</w:t>
            </w:r>
          </w:p>
        </w:tc>
        <w:tc>
          <w:tcPr>
            <w:tcW w:w="3544" w:type="dxa"/>
            <w:gridSpan w:val="2"/>
            <w:vAlign w:val="center"/>
          </w:tcPr>
          <w:p w14:paraId="1B16A0AD">
            <w:pPr>
              <w:pStyle w:val="11"/>
            </w:pPr>
            <w:r>
              <w:t>12月底</w:t>
            </w:r>
          </w:p>
        </w:tc>
      </w:tr>
      <w:tr w14:paraId="31DC4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96FBA6"/>
        </w:tc>
        <w:tc>
          <w:tcPr>
            <w:tcW w:w="5103" w:type="dxa"/>
            <w:gridSpan w:val="2"/>
            <w:vAlign w:val="center"/>
          </w:tcPr>
          <w:p w14:paraId="14CD1EE9">
            <w:pPr>
              <w:pStyle w:val="12"/>
            </w:pPr>
            <w:r>
              <w:t>25%</w:t>
            </w:r>
          </w:p>
        </w:tc>
        <w:tc>
          <w:tcPr>
            <w:tcW w:w="2835" w:type="dxa"/>
            <w:vAlign w:val="center"/>
          </w:tcPr>
          <w:p w14:paraId="3E04167C">
            <w:pPr>
              <w:pStyle w:val="12"/>
            </w:pPr>
            <w:r>
              <w:t>50%</w:t>
            </w:r>
          </w:p>
        </w:tc>
        <w:tc>
          <w:tcPr>
            <w:tcW w:w="2551" w:type="dxa"/>
            <w:vAlign w:val="center"/>
          </w:tcPr>
          <w:p w14:paraId="01E1F06E">
            <w:pPr>
              <w:pStyle w:val="12"/>
            </w:pPr>
            <w:r>
              <w:t>75%</w:t>
            </w:r>
          </w:p>
        </w:tc>
        <w:tc>
          <w:tcPr>
            <w:tcW w:w="3544" w:type="dxa"/>
            <w:gridSpan w:val="2"/>
            <w:vAlign w:val="center"/>
          </w:tcPr>
          <w:p w14:paraId="3D1E2888">
            <w:pPr>
              <w:pStyle w:val="12"/>
            </w:pPr>
            <w:r>
              <w:t>100%</w:t>
            </w:r>
          </w:p>
        </w:tc>
      </w:tr>
      <w:tr w14:paraId="3652B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34378A">
            <w:pPr>
              <w:pStyle w:val="11"/>
            </w:pPr>
            <w:r>
              <w:t>绩效目标</w:t>
            </w:r>
          </w:p>
        </w:tc>
        <w:tc>
          <w:tcPr>
            <w:tcW w:w="14033" w:type="dxa"/>
            <w:gridSpan w:val="6"/>
            <w:vAlign w:val="center"/>
          </w:tcPr>
          <w:p w14:paraId="45603F86">
            <w:pPr>
              <w:pStyle w:val="13"/>
            </w:pPr>
            <w:r>
              <w:t>1.按规定拨付公用经费资金，预算执行率≥98%。</w:t>
            </w:r>
          </w:p>
          <w:p w14:paraId="0737C2D7">
            <w:pPr>
              <w:pStyle w:val="13"/>
            </w:pPr>
            <w:r>
              <w:t>2.有效完成学校教学安全秩序，保障学校教学任务有效开展，满足学校正常教学需要。</w:t>
            </w:r>
          </w:p>
        </w:tc>
      </w:tr>
    </w:tbl>
    <w:p w14:paraId="386574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6F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AF9F7">
            <w:pPr>
              <w:pStyle w:val="11"/>
            </w:pPr>
            <w:r>
              <w:t>一级指标</w:t>
            </w:r>
          </w:p>
        </w:tc>
        <w:tc>
          <w:tcPr>
            <w:tcW w:w="2268" w:type="dxa"/>
            <w:vAlign w:val="center"/>
          </w:tcPr>
          <w:p w14:paraId="2F58AE59">
            <w:pPr>
              <w:pStyle w:val="11"/>
            </w:pPr>
            <w:r>
              <w:t>二级指标</w:t>
            </w:r>
          </w:p>
        </w:tc>
        <w:tc>
          <w:tcPr>
            <w:tcW w:w="2835" w:type="dxa"/>
            <w:vAlign w:val="center"/>
          </w:tcPr>
          <w:p w14:paraId="01B60FDA">
            <w:pPr>
              <w:pStyle w:val="11"/>
            </w:pPr>
            <w:r>
              <w:t>三级指标</w:t>
            </w:r>
          </w:p>
        </w:tc>
        <w:tc>
          <w:tcPr>
            <w:tcW w:w="5386" w:type="dxa"/>
            <w:vAlign w:val="center"/>
          </w:tcPr>
          <w:p w14:paraId="151E4CA2">
            <w:pPr>
              <w:pStyle w:val="11"/>
            </w:pPr>
            <w:r>
              <w:t>绩效指标描述</w:t>
            </w:r>
          </w:p>
        </w:tc>
        <w:tc>
          <w:tcPr>
            <w:tcW w:w="2268" w:type="dxa"/>
            <w:vAlign w:val="center"/>
          </w:tcPr>
          <w:p w14:paraId="331E236E">
            <w:pPr>
              <w:pStyle w:val="11"/>
            </w:pPr>
            <w:r>
              <w:t>指标值</w:t>
            </w:r>
          </w:p>
        </w:tc>
        <w:tc>
          <w:tcPr>
            <w:tcW w:w="1276" w:type="dxa"/>
            <w:vAlign w:val="center"/>
          </w:tcPr>
          <w:p w14:paraId="52ACBEFE">
            <w:pPr>
              <w:pStyle w:val="11"/>
            </w:pPr>
            <w:r>
              <w:t>指标值确定依据</w:t>
            </w:r>
          </w:p>
        </w:tc>
      </w:tr>
      <w:tr w14:paraId="3102B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90320">
            <w:pPr>
              <w:pStyle w:val="12"/>
            </w:pPr>
            <w:r>
              <w:t>产出指标</w:t>
            </w:r>
          </w:p>
        </w:tc>
        <w:tc>
          <w:tcPr>
            <w:tcW w:w="2268" w:type="dxa"/>
            <w:vAlign w:val="center"/>
          </w:tcPr>
          <w:p w14:paraId="2A281537">
            <w:pPr>
              <w:pStyle w:val="13"/>
            </w:pPr>
            <w:r>
              <w:t>数量指标</w:t>
            </w:r>
          </w:p>
        </w:tc>
        <w:tc>
          <w:tcPr>
            <w:tcW w:w="2835" w:type="dxa"/>
            <w:vAlign w:val="center"/>
          </w:tcPr>
          <w:p w14:paraId="0DB98357">
            <w:pPr>
              <w:pStyle w:val="13"/>
            </w:pPr>
            <w:r>
              <w:t>就读学生数</w:t>
            </w:r>
          </w:p>
        </w:tc>
        <w:tc>
          <w:tcPr>
            <w:tcW w:w="5386" w:type="dxa"/>
            <w:vAlign w:val="center"/>
          </w:tcPr>
          <w:p w14:paraId="3CB24FAD">
            <w:pPr>
              <w:pStyle w:val="13"/>
            </w:pPr>
            <w:r>
              <w:t>辐射区域内适龄学生人数</w:t>
            </w:r>
          </w:p>
        </w:tc>
        <w:tc>
          <w:tcPr>
            <w:tcW w:w="2268" w:type="dxa"/>
            <w:vAlign w:val="center"/>
          </w:tcPr>
          <w:p w14:paraId="22B2C286">
            <w:pPr>
              <w:pStyle w:val="13"/>
            </w:pPr>
            <w:r>
              <w:t>≥2385人</w:t>
            </w:r>
          </w:p>
        </w:tc>
        <w:tc>
          <w:tcPr>
            <w:tcW w:w="1276" w:type="dxa"/>
            <w:vAlign w:val="center"/>
          </w:tcPr>
          <w:p w14:paraId="0CD6964E">
            <w:pPr>
              <w:pStyle w:val="13"/>
            </w:pPr>
            <w:r>
              <w:t>城乡义务教育公用经费管理办法</w:t>
            </w:r>
          </w:p>
        </w:tc>
      </w:tr>
      <w:tr w14:paraId="46935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DB49E"/>
        </w:tc>
        <w:tc>
          <w:tcPr>
            <w:tcW w:w="2268" w:type="dxa"/>
            <w:vAlign w:val="center"/>
          </w:tcPr>
          <w:p w14:paraId="31FF0D59">
            <w:pPr>
              <w:pStyle w:val="13"/>
            </w:pPr>
            <w:r>
              <w:t>质量指标</w:t>
            </w:r>
          </w:p>
        </w:tc>
        <w:tc>
          <w:tcPr>
            <w:tcW w:w="2835" w:type="dxa"/>
            <w:vAlign w:val="center"/>
          </w:tcPr>
          <w:p w14:paraId="567674F0">
            <w:pPr>
              <w:pStyle w:val="13"/>
            </w:pPr>
            <w:r>
              <w:t>预算执行率</w:t>
            </w:r>
          </w:p>
        </w:tc>
        <w:tc>
          <w:tcPr>
            <w:tcW w:w="5386" w:type="dxa"/>
            <w:vAlign w:val="center"/>
          </w:tcPr>
          <w:p w14:paraId="04DE3541">
            <w:pPr>
              <w:pStyle w:val="13"/>
            </w:pPr>
            <w:r>
              <w:t>预算执行率</w:t>
            </w:r>
          </w:p>
        </w:tc>
        <w:tc>
          <w:tcPr>
            <w:tcW w:w="2268" w:type="dxa"/>
            <w:vAlign w:val="center"/>
          </w:tcPr>
          <w:p w14:paraId="21A77CF8">
            <w:pPr>
              <w:pStyle w:val="13"/>
            </w:pPr>
            <w:r>
              <w:t>≥98%</w:t>
            </w:r>
          </w:p>
        </w:tc>
        <w:tc>
          <w:tcPr>
            <w:tcW w:w="1276" w:type="dxa"/>
            <w:vAlign w:val="center"/>
          </w:tcPr>
          <w:p w14:paraId="02284EA8">
            <w:pPr>
              <w:pStyle w:val="13"/>
            </w:pPr>
            <w:r>
              <w:t>城乡义务教育公用经费管理办法</w:t>
            </w:r>
          </w:p>
        </w:tc>
      </w:tr>
      <w:tr w14:paraId="5248D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52478"/>
        </w:tc>
        <w:tc>
          <w:tcPr>
            <w:tcW w:w="2268" w:type="dxa"/>
            <w:vAlign w:val="center"/>
          </w:tcPr>
          <w:p w14:paraId="4E537EEC">
            <w:pPr>
              <w:pStyle w:val="13"/>
            </w:pPr>
            <w:r>
              <w:t>时效指标</w:t>
            </w:r>
          </w:p>
        </w:tc>
        <w:tc>
          <w:tcPr>
            <w:tcW w:w="2835" w:type="dxa"/>
            <w:vAlign w:val="center"/>
          </w:tcPr>
          <w:p w14:paraId="5E44833F">
            <w:pPr>
              <w:pStyle w:val="13"/>
            </w:pPr>
            <w:r>
              <w:t>义教经费支付完成率</w:t>
            </w:r>
          </w:p>
        </w:tc>
        <w:tc>
          <w:tcPr>
            <w:tcW w:w="5386" w:type="dxa"/>
            <w:vAlign w:val="center"/>
          </w:tcPr>
          <w:p w14:paraId="274BCDDE">
            <w:pPr>
              <w:pStyle w:val="13"/>
            </w:pPr>
            <w:r>
              <w:t>按照序时进度完成资金支付</w:t>
            </w:r>
          </w:p>
        </w:tc>
        <w:tc>
          <w:tcPr>
            <w:tcW w:w="2268" w:type="dxa"/>
            <w:vAlign w:val="center"/>
          </w:tcPr>
          <w:p w14:paraId="5E21C09C">
            <w:pPr>
              <w:pStyle w:val="13"/>
            </w:pPr>
            <w:r>
              <w:t>100%</w:t>
            </w:r>
          </w:p>
        </w:tc>
        <w:tc>
          <w:tcPr>
            <w:tcW w:w="1276" w:type="dxa"/>
            <w:vAlign w:val="center"/>
          </w:tcPr>
          <w:p w14:paraId="4986687F">
            <w:pPr>
              <w:pStyle w:val="13"/>
            </w:pPr>
            <w:r>
              <w:t>城乡义务教育公用经费管理办法</w:t>
            </w:r>
          </w:p>
        </w:tc>
      </w:tr>
      <w:tr w14:paraId="27D86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5561E"/>
        </w:tc>
        <w:tc>
          <w:tcPr>
            <w:tcW w:w="2268" w:type="dxa"/>
            <w:vAlign w:val="center"/>
          </w:tcPr>
          <w:p w14:paraId="4BDD5083">
            <w:pPr>
              <w:pStyle w:val="13"/>
            </w:pPr>
            <w:r>
              <w:t>成本指标</w:t>
            </w:r>
          </w:p>
        </w:tc>
        <w:tc>
          <w:tcPr>
            <w:tcW w:w="2835" w:type="dxa"/>
            <w:vAlign w:val="center"/>
          </w:tcPr>
          <w:p w14:paraId="0177ADF8">
            <w:pPr>
              <w:pStyle w:val="13"/>
            </w:pPr>
            <w:r>
              <w:t>生均拨款标准</w:t>
            </w:r>
          </w:p>
        </w:tc>
        <w:tc>
          <w:tcPr>
            <w:tcW w:w="5386" w:type="dxa"/>
            <w:vAlign w:val="center"/>
          </w:tcPr>
          <w:p w14:paraId="66CAF86B">
            <w:pPr>
              <w:pStyle w:val="13"/>
            </w:pPr>
            <w:r>
              <w:t>小学：（基本标准720元、寄宿生300元、生活补助120元）/生/学年；特教、随班就读学生：标准7000元/生/学年</w:t>
            </w:r>
          </w:p>
        </w:tc>
        <w:tc>
          <w:tcPr>
            <w:tcW w:w="2268" w:type="dxa"/>
            <w:vAlign w:val="center"/>
          </w:tcPr>
          <w:p w14:paraId="0F7E8D88">
            <w:pPr>
              <w:pStyle w:val="13"/>
            </w:pPr>
            <w:r>
              <w:t>840元</w:t>
            </w:r>
          </w:p>
        </w:tc>
        <w:tc>
          <w:tcPr>
            <w:tcW w:w="1276" w:type="dxa"/>
            <w:vAlign w:val="center"/>
          </w:tcPr>
          <w:p w14:paraId="67EF7C96">
            <w:pPr>
              <w:pStyle w:val="13"/>
            </w:pPr>
            <w:r>
              <w:t>城乡义务教育公用经费管理办法</w:t>
            </w:r>
          </w:p>
        </w:tc>
      </w:tr>
      <w:tr w14:paraId="348BB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48348F">
            <w:pPr>
              <w:pStyle w:val="12"/>
            </w:pPr>
            <w:r>
              <w:t>效益指标</w:t>
            </w:r>
          </w:p>
        </w:tc>
        <w:tc>
          <w:tcPr>
            <w:tcW w:w="2268" w:type="dxa"/>
            <w:vAlign w:val="center"/>
          </w:tcPr>
          <w:p w14:paraId="7B22C147">
            <w:pPr>
              <w:pStyle w:val="13"/>
            </w:pPr>
            <w:r>
              <w:t>可持续影响指标</w:t>
            </w:r>
          </w:p>
        </w:tc>
        <w:tc>
          <w:tcPr>
            <w:tcW w:w="2835" w:type="dxa"/>
            <w:vAlign w:val="center"/>
          </w:tcPr>
          <w:p w14:paraId="575F9E74">
            <w:pPr>
              <w:pStyle w:val="13"/>
            </w:pPr>
            <w:r>
              <w:t>学校稳定率</w:t>
            </w:r>
          </w:p>
        </w:tc>
        <w:tc>
          <w:tcPr>
            <w:tcW w:w="5386" w:type="dxa"/>
            <w:vAlign w:val="center"/>
          </w:tcPr>
          <w:p w14:paraId="72E86BFF">
            <w:pPr>
              <w:pStyle w:val="13"/>
            </w:pPr>
            <w:r>
              <w:t>维护学校稳定，保障学校正常教学秩序有效开展</w:t>
            </w:r>
          </w:p>
        </w:tc>
        <w:tc>
          <w:tcPr>
            <w:tcW w:w="2268" w:type="dxa"/>
            <w:vAlign w:val="center"/>
          </w:tcPr>
          <w:p w14:paraId="2ECBF3B8">
            <w:pPr>
              <w:pStyle w:val="13"/>
            </w:pPr>
            <w:r>
              <w:t>100%</w:t>
            </w:r>
          </w:p>
        </w:tc>
        <w:tc>
          <w:tcPr>
            <w:tcW w:w="1276" w:type="dxa"/>
            <w:vAlign w:val="center"/>
          </w:tcPr>
          <w:p w14:paraId="04CB569F">
            <w:pPr>
              <w:pStyle w:val="13"/>
            </w:pPr>
            <w:r>
              <w:t>城乡义务教育公用经费管理办法</w:t>
            </w:r>
          </w:p>
        </w:tc>
      </w:tr>
      <w:tr w14:paraId="25813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3DF73A">
            <w:pPr>
              <w:pStyle w:val="12"/>
            </w:pPr>
            <w:r>
              <w:t>满意度指标</w:t>
            </w:r>
          </w:p>
        </w:tc>
        <w:tc>
          <w:tcPr>
            <w:tcW w:w="2268" w:type="dxa"/>
            <w:vAlign w:val="center"/>
          </w:tcPr>
          <w:p w14:paraId="17174C67">
            <w:pPr>
              <w:pStyle w:val="13"/>
            </w:pPr>
            <w:r>
              <w:t>服务对象满意度指标</w:t>
            </w:r>
          </w:p>
        </w:tc>
        <w:tc>
          <w:tcPr>
            <w:tcW w:w="2835" w:type="dxa"/>
            <w:vAlign w:val="center"/>
          </w:tcPr>
          <w:p w14:paraId="3E899C08">
            <w:pPr>
              <w:pStyle w:val="13"/>
            </w:pPr>
            <w:r>
              <w:t>家长和学生满意度</w:t>
            </w:r>
          </w:p>
        </w:tc>
        <w:tc>
          <w:tcPr>
            <w:tcW w:w="5386" w:type="dxa"/>
            <w:vAlign w:val="center"/>
          </w:tcPr>
          <w:p w14:paraId="2E920FEA">
            <w:pPr>
              <w:pStyle w:val="13"/>
            </w:pPr>
            <w:r>
              <w:t>家长和学生满意度</w:t>
            </w:r>
          </w:p>
        </w:tc>
        <w:tc>
          <w:tcPr>
            <w:tcW w:w="2268" w:type="dxa"/>
            <w:vAlign w:val="center"/>
          </w:tcPr>
          <w:p w14:paraId="6E940CAD">
            <w:pPr>
              <w:pStyle w:val="13"/>
            </w:pPr>
            <w:r>
              <w:t>≥95%</w:t>
            </w:r>
          </w:p>
        </w:tc>
        <w:tc>
          <w:tcPr>
            <w:tcW w:w="1276" w:type="dxa"/>
            <w:vAlign w:val="center"/>
          </w:tcPr>
          <w:p w14:paraId="27419350">
            <w:pPr>
              <w:pStyle w:val="13"/>
            </w:pPr>
            <w:r>
              <w:t>问卷调查</w:t>
            </w:r>
          </w:p>
        </w:tc>
      </w:tr>
    </w:tbl>
    <w:p w14:paraId="4AA57220">
      <w:pPr>
        <w:sectPr>
          <w:pgSz w:w="16840" w:h="11900" w:orient="landscape"/>
          <w:pgMar w:top="1361" w:right="1020" w:bottom="1134" w:left="1020" w:header="720" w:footer="720" w:gutter="0"/>
          <w:cols w:space="720" w:num="1"/>
        </w:sectPr>
      </w:pPr>
    </w:p>
    <w:p w14:paraId="3B1511CC">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7、冀财教[2024]123号/中央/2025年义教补助经费/综合奖补/东甫小学监控设备购置绩效目标表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03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E3858B">
            <w:pPr>
              <w:pStyle w:val="14"/>
            </w:pPr>
            <w:r>
              <w:t>单位：万元</w:t>
            </w:r>
          </w:p>
        </w:tc>
      </w:tr>
      <w:tr w14:paraId="65565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D937F">
            <w:pPr>
              <w:pStyle w:val="11"/>
            </w:pPr>
            <w:r>
              <w:t>项目编码</w:t>
            </w:r>
          </w:p>
        </w:tc>
        <w:tc>
          <w:tcPr>
            <w:tcW w:w="5103" w:type="dxa"/>
            <w:gridSpan w:val="2"/>
            <w:vAlign w:val="center"/>
          </w:tcPr>
          <w:p w14:paraId="4F97ACE5">
            <w:pPr>
              <w:pStyle w:val="13"/>
            </w:pPr>
            <w:r>
              <w:t>13052525P00875610240C</w:t>
            </w:r>
          </w:p>
        </w:tc>
        <w:tc>
          <w:tcPr>
            <w:tcW w:w="2835" w:type="dxa"/>
            <w:vAlign w:val="center"/>
          </w:tcPr>
          <w:p w14:paraId="7BB9095A">
            <w:pPr>
              <w:pStyle w:val="11"/>
            </w:pPr>
            <w:r>
              <w:t>项目名称</w:t>
            </w:r>
          </w:p>
        </w:tc>
        <w:tc>
          <w:tcPr>
            <w:tcW w:w="6095" w:type="dxa"/>
            <w:gridSpan w:val="3"/>
            <w:vAlign w:val="center"/>
          </w:tcPr>
          <w:p w14:paraId="7DA34DCF">
            <w:pPr>
              <w:pStyle w:val="13"/>
            </w:pPr>
            <w:r>
              <w:t>冀财教[2024]123号/中央/2025年义教补助经费/综合奖补/东甫小学监控设备购置</w:t>
            </w:r>
          </w:p>
        </w:tc>
      </w:tr>
      <w:tr w14:paraId="1FEEA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463BA">
            <w:pPr>
              <w:pStyle w:val="11"/>
            </w:pPr>
            <w:r>
              <w:t>预算规模及资金用途</w:t>
            </w:r>
          </w:p>
        </w:tc>
        <w:tc>
          <w:tcPr>
            <w:tcW w:w="2268" w:type="dxa"/>
            <w:vAlign w:val="center"/>
          </w:tcPr>
          <w:p w14:paraId="656A8321">
            <w:pPr>
              <w:pStyle w:val="11"/>
            </w:pPr>
            <w:r>
              <w:t>预算数</w:t>
            </w:r>
          </w:p>
        </w:tc>
        <w:tc>
          <w:tcPr>
            <w:tcW w:w="2835" w:type="dxa"/>
            <w:vAlign w:val="center"/>
          </w:tcPr>
          <w:p w14:paraId="5CF9EA26">
            <w:pPr>
              <w:pStyle w:val="13"/>
            </w:pPr>
            <w:r>
              <w:t>22.00</w:t>
            </w:r>
          </w:p>
        </w:tc>
        <w:tc>
          <w:tcPr>
            <w:tcW w:w="2835" w:type="dxa"/>
            <w:vAlign w:val="center"/>
          </w:tcPr>
          <w:p w14:paraId="383E7B4D">
            <w:pPr>
              <w:pStyle w:val="11"/>
            </w:pPr>
            <w:r>
              <w:t>其中：财政    资金</w:t>
            </w:r>
          </w:p>
        </w:tc>
        <w:tc>
          <w:tcPr>
            <w:tcW w:w="2551" w:type="dxa"/>
            <w:vAlign w:val="center"/>
          </w:tcPr>
          <w:p w14:paraId="283E6608">
            <w:pPr>
              <w:pStyle w:val="13"/>
            </w:pPr>
            <w:r>
              <w:t>22.00</w:t>
            </w:r>
          </w:p>
        </w:tc>
        <w:tc>
          <w:tcPr>
            <w:tcW w:w="2268" w:type="dxa"/>
            <w:vAlign w:val="center"/>
          </w:tcPr>
          <w:p w14:paraId="2AE569B1">
            <w:pPr>
              <w:pStyle w:val="11"/>
            </w:pPr>
            <w:r>
              <w:t>其他资金</w:t>
            </w:r>
          </w:p>
        </w:tc>
        <w:tc>
          <w:tcPr>
            <w:tcW w:w="1276" w:type="dxa"/>
            <w:vAlign w:val="center"/>
          </w:tcPr>
          <w:p w14:paraId="22577A32">
            <w:pPr>
              <w:pStyle w:val="13"/>
            </w:pPr>
            <w:r>
              <w:t xml:space="preserve"> </w:t>
            </w:r>
          </w:p>
        </w:tc>
      </w:tr>
      <w:tr w14:paraId="01434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4E8E03"/>
        </w:tc>
        <w:tc>
          <w:tcPr>
            <w:tcW w:w="14033" w:type="dxa"/>
            <w:gridSpan w:val="6"/>
            <w:vAlign w:val="center"/>
          </w:tcPr>
          <w:p w14:paraId="31DD9D86">
            <w:pPr>
              <w:pStyle w:val="13"/>
            </w:pPr>
            <w:r>
              <w:t>提升教学环境，提高教学质量，公用经费安排购置资金22万元</w:t>
            </w:r>
          </w:p>
        </w:tc>
      </w:tr>
      <w:tr w14:paraId="307A9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3C520">
            <w:pPr>
              <w:pStyle w:val="11"/>
            </w:pPr>
            <w:r>
              <w:t>资金支出计划（%）</w:t>
            </w:r>
          </w:p>
        </w:tc>
        <w:tc>
          <w:tcPr>
            <w:tcW w:w="5103" w:type="dxa"/>
            <w:gridSpan w:val="2"/>
            <w:vAlign w:val="center"/>
          </w:tcPr>
          <w:p w14:paraId="331B43BD">
            <w:pPr>
              <w:pStyle w:val="11"/>
            </w:pPr>
            <w:r>
              <w:t>3月底</w:t>
            </w:r>
          </w:p>
        </w:tc>
        <w:tc>
          <w:tcPr>
            <w:tcW w:w="2835" w:type="dxa"/>
            <w:vAlign w:val="center"/>
          </w:tcPr>
          <w:p w14:paraId="15E882C7">
            <w:pPr>
              <w:pStyle w:val="11"/>
            </w:pPr>
            <w:r>
              <w:t>6月底</w:t>
            </w:r>
          </w:p>
        </w:tc>
        <w:tc>
          <w:tcPr>
            <w:tcW w:w="2551" w:type="dxa"/>
            <w:vAlign w:val="center"/>
          </w:tcPr>
          <w:p w14:paraId="1C7F432E">
            <w:pPr>
              <w:pStyle w:val="11"/>
            </w:pPr>
            <w:r>
              <w:t>10月底</w:t>
            </w:r>
          </w:p>
        </w:tc>
        <w:tc>
          <w:tcPr>
            <w:tcW w:w="3544" w:type="dxa"/>
            <w:gridSpan w:val="2"/>
            <w:vAlign w:val="center"/>
          </w:tcPr>
          <w:p w14:paraId="0F23D439">
            <w:pPr>
              <w:pStyle w:val="11"/>
            </w:pPr>
            <w:r>
              <w:t>12月底</w:t>
            </w:r>
          </w:p>
        </w:tc>
      </w:tr>
      <w:tr w14:paraId="5A06B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8F381E"/>
        </w:tc>
        <w:tc>
          <w:tcPr>
            <w:tcW w:w="5103" w:type="dxa"/>
            <w:gridSpan w:val="2"/>
            <w:vAlign w:val="center"/>
          </w:tcPr>
          <w:p w14:paraId="1A57CEFE">
            <w:pPr>
              <w:pStyle w:val="12"/>
            </w:pPr>
            <w:r>
              <w:t xml:space="preserve"> </w:t>
            </w:r>
          </w:p>
        </w:tc>
        <w:tc>
          <w:tcPr>
            <w:tcW w:w="2835" w:type="dxa"/>
            <w:vAlign w:val="center"/>
          </w:tcPr>
          <w:p w14:paraId="29E5A25A">
            <w:pPr>
              <w:pStyle w:val="12"/>
            </w:pPr>
            <w:r>
              <w:t>50%</w:t>
            </w:r>
          </w:p>
        </w:tc>
        <w:tc>
          <w:tcPr>
            <w:tcW w:w="2551" w:type="dxa"/>
            <w:vAlign w:val="center"/>
          </w:tcPr>
          <w:p w14:paraId="28697325">
            <w:pPr>
              <w:pStyle w:val="12"/>
            </w:pPr>
            <w:r>
              <w:t>75%</w:t>
            </w:r>
          </w:p>
        </w:tc>
        <w:tc>
          <w:tcPr>
            <w:tcW w:w="3544" w:type="dxa"/>
            <w:gridSpan w:val="2"/>
            <w:vAlign w:val="center"/>
          </w:tcPr>
          <w:p w14:paraId="21082DBB">
            <w:pPr>
              <w:pStyle w:val="12"/>
            </w:pPr>
            <w:r>
              <w:t>100%</w:t>
            </w:r>
          </w:p>
        </w:tc>
      </w:tr>
      <w:tr w14:paraId="355DA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21A01">
            <w:pPr>
              <w:pStyle w:val="11"/>
            </w:pPr>
            <w:r>
              <w:t>绩效目标</w:t>
            </w:r>
          </w:p>
        </w:tc>
        <w:tc>
          <w:tcPr>
            <w:tcW w:w="14033" w:type="dxa"/>
            <w:gridSpan w:val="6"/>
            <w:vAlign w:val="center"/>
          </w:tcPr>
          <w:p w14:paraId="5D90ADE8">
            <w:pPr>
              <w:pStyle w:val="13"/>
            </w:pPr>
            <w:r>
              <w:t>1.提升教学环境，提高教学质量，公用经费安排购置资金22万元</w:t>
            </w:r>
          </w:p>
        </w:tc>
      </w:tr>
    </w:tbl>
    <w:p w14:paraId="18C4AF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13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A4773">
            <w:pPr>
              <w:pStyle w:val="11"/>
            </w:pPr>
            <w:r>
              <w:t>一级指标</w:t>
            </w:r>
          </w:p>
        </w:tc>
        <w:tc>
          <w:tcPr>
            <w:tcW w:w="2268" w:type="dxa"/>
            <w:vAlign w:val="center"/>
          </w:tcPr>
          <w:p w14:paraId="2704350B">
            <w:pPr>
              <w:pStyle w:val="11"/>
            </w:pPr>
            <w:r>
              <w:t>二级指标</w:t>
            </w:r>
          </w:p>
        </w:tc>
        <w:tc>
          <w:tcPr>
            <w:tcW w:w="2835" w:type="dxa"/>
            <w:vAlign w:val="center"/>
          </w:tcPr>
          <w:p w14:paraId="2FF3BBBC">
            <w:pPr>
              <w:pStyle w:val="11"/>
            </w:pPr>
            <w:r>
              <w:t>三级指标</w:t>
            </w:r>
          </w:p>
        </w:tc>
        <w:tc>
          <w:tcPr>
            <w:tcW w:w="5386" w:type="dxa"/>
            <w:vAlign w:val="center"/>
          </w:tcPr>
          <w:p w14:paraId="710EB332">
            <w:pPr>
              <w:pStyle w:val="11"/>
            </w:pPr>
            <w:r>
              <w:t>绩效指标描述</w:t>
            </w:r>
          </w:p>
        </w:tc>
        <w:tc>
          <w:tcPr>
            <w:tcW w:w="2268" w:type="dxa"/>
            <w:vAlign w:val="center"/>
          </w:tcPr>
          <w:p w14:paraId="08E5B9C8">
            <w:pPr>
              <w:pStyle w:val="11"/>
            </w:pPr>
            <w:r>
              <w:t>指标值</w:t>
            </w:r>
          </w:p>
        </w:tc>
        <w:tc>
          <w:tcPr>
            <w:tcW w:w="1276" w:type="dxa"/>
            <w:vAlign w:val="center"/>
          </w:tcPr>
          <w:p w14:paraId="39609759">
            <w:pPr>
              <w:pStyle w:val="11"/>
            </w:pPr>
            <w:r>
              <w:t>指标值确定依据</w:t>
            </w:r>
          </w:p>
        </w:tc>
      </w:tr>
      <w:tr w14:paraId="37A7C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65BF6">
            <w:pPr>
              <w:pStyle w:val="12"/>
            </w:pPr>
            <w:r>
              <w:t>产出指标</w:t>
            </w:r>
          </w:p>
        </w:tc>
        <w:tc>
          <w:tcPr>
            <w:tcW w:w="2268" w:type="dxa"/>
            <w:vAlign w:val="center"/>
          </w:tcPr>
          <w:p w14:paraId="3DE1DABD">
            <w:pPr>
              <w:pStyle w:val="13"/>
            </w:pPr>
            <w:r>
              <w:t>数量指标</w:t>
            </w:r>
          </w:p>
        </w:tc>
        <w:tc>
          <w:tcPr>
            <w:tcW w:w="2835" w:type="dxa"/>
            <w:vAlign w:val="center"/>
          </w:tcPr>
          <w:p w14:paraId="52E1DA00">
            <w:pPr>
              <w:pStyle w:val="13"/>
            </w:pPr>
            <w:r>
              <w:t>公用经费设备购置</w:t>
            </w:r>
          </w:p>
        </w:tc>
        <w:tc>
          <w:tcPr>
            <w:tcW w:w="5386" w:type="dxa"/>
            <w:vAlign w:val="center"/>
          </w:tcPr>
          <w:p w14:paraId="0E592D61">
            <w:pPr>
              <w:pStyle w:val="13"/>
            </w:pPr>
            <w:r>
              <w:t>购置监控设备一套</w:t>
            </w:r>
          </w:p>
        </w:tc>
        <w:tc>
          <w:tcPr>
            <w:tcW w:w="2268" w:type="dxa"/>
            <w:vAlign w:val="center"/>
          </w:tcPr>
          <w:p w14:paraId="2692295F">
            <w:pPr>
              <w:pStyle w:val="13"/>
            </w:pPr>
            <w:r>
              <w:t>1套</w:t>
            </w:r>
          </w:p>
        </w:tc>
        <w:tc>
          <w:tcPr>
            <w:tcW w:w="1276" w:type="dxa"/>
            <w:vAlign w:val="center"/>
          </w:tcPr>
          <w:p w14:paraId="1A8DBB51">
            <w:pPr>
              <w:pStyle w:val="13"/>
            </w:pPr>
            <w:r>
              <w:t>按项目规划</w:t>
            </w:r>
          </w:p>
        </w:tc>
      </w:tr>
      <w:tr w14:paraId="43097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1BFE5"/>
        </w:tc>
        <w:tc>
          <w:tcPr>
            <w:tcW w:w="2268" w:type="dxa"/>
            <w:vAlign w:val="center"/>
          </w:tcPr>
          <w:p w14:paraId="7003EE05">
            <w:pPr>
              <w:pStyle w:val="13"/>
            </w:pPr>
            <w:r>
              <w:t>质量指标</w:t>
            </w:r>
          </w:p>
        </w:tc>
        <w:tc>
          <w:tcPr>
            <w:tcW w:w="2835" w:type="dxa"/>
            <w:vAlign w:val="center"/>
          </w:tcPr>
          <w:p w14:paraId="023AF5D8">
            <w:pPr>
              <w:pStyle w:val="13"/>
            </w:pPr>
            <w:r>
              <w:t>购置项目质量合格率</w:t>
            </w:r>
          </w:p>
        </w:tc>
        <w:tc>
          <w:tcPr>
            <w:tcW w:w="5386" w:type="dxa"/>
            <w:vAlign w:val="center"/>
          </w:tcPr>
          <w:p w14:paraId="30BBC2B2">
            <w:pPr>
              <w:pStyle w:val="13"/>
            </w:pPr>
            <w:r>
              <w:t>专用设备购置质量合格率</w:t>
            </w:r>
          </w:p>
        </w:tc>
        <w:tc>
          <w:tcPr>
            <w:tcW w:w="2268" w:type="dxa"/>
            <w:vAlign w:val="center"/>
          </w:tcPr>
          <w:p w14:paraId="18AAA561">
            <w:pPr>
              <w:pStyle w:val="13"/>
            </w:pPr>
            <w:r>
              <w:t>≥100%</w:t>
            </w:r>
          </w:p>
        </w:tc>
        <w:tc>
          <w:tcPr>
            <w:tcW w:w="1276" w:type="dxa"/>
            <w:vAlign w:val="center"/>
          </w:tcPr>
          <w:p w14:paraId="2F9AFB90">
            <w:pPr>
              <w:pStyle w:val="13"/>
            </w:pPr>
            <w:r>
              <w:t>按项目规划</w:t>
            </w:r>
          </w:p>
        </w:tc>
      </w:tr>
      <w:tr w14:paraId="5A8C3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B8140"/>
        </w:tc>
        <w:tc>
          <w:tcPr>
            <w:tcW w:w="2268" w:type="dxa"/>
            <w:vAlign w:val="center"/>
          </w:tcPr>
          <w:p w14:paraId="3408ACAA">
            <w:pPr>
              <w:pStyle w:val="13"/>
            </w:pPr>
            <w:r>
              <w:t>时效指标</w:t>
            </w:r>
          </w:p>
        </w:tc>
        <w:tc>
          <w:tcPr>
            <w:tcW w:w="2835" w:type="dxa"/>
            <w:vAlign w:val="center"/>
          </w:tcPr>
          <w:p w14:paraId="1A773EC1">
            <w:pPr>
              <w:pStyle w:val="13"/>
            </w:pPr>
            <w:r>
              <w:t>按时完成率</w:t>
            </w:r>
          </w:p>
        </w:tc>
        <w:tc>
          <w:tcPr>
            <w:tcW w:w="5386" w:type="dxa"/>
            <w:vAlign w:val="center"/>
          </w:tcPr>
          <w:p w14:paraId="31280D33">
            <w:pPr>
              <w:pStyle w:val="13"/>
            </w:pPr>
            <w:r>
              <w:t>购置项目按时序进度完成比例</w:t>
            </w:r>
          </w:p>
        </w:tc>
        <w:tc>
          <w:tcPr>
            <w:tcW w:w="2268" w:type="dxa"/>
            <w:vAlign w:val="center"/>
          </w:tcPr>
          <w:p w14:paraId="59DFF59A">
            <w:pPr>
              <w:pStyle w:val="13"/>
            </w:pPr>
            <w:r>
              <w:t>≥100%</w:t>
            </w:r>
          </w:p>
        </w:tc>
        <w:tc>
          <w:tcPr>
            <w:tcW w:w="1276" w:type="dxa"/>
            <w:vAlign w:val="center"/>
          </w:tcPr>
          <w:p w14:paraId="2D2E365D">
            <w:pPr>
              <w:pStyle w:val="13"/>
            </w:pPr>
            <w:r>
              <w:t>按项目规划</w:t>
            </w:r>
          </w:p>
        </w:tc>
      </w:tr>
      <w:tr w14:paraId="16B82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3DCA7"/>
        </w:tc>
        <w:tc>
          <w:tcPr>
            <w:tcW w:w="2268" w:type="dxa"/>
            <w:vAlign w:val="center"/>
          </w:tcPr>
          <w:p w14:paraId="06B43E4A">
            <w:pPr>
              <w:pStyle w:val="13"/>
            </w:pPr>
            <w:r>
              <w:t>成本指标</w:t>
            </w:r>
          </w:p>
        </w:tc>
        <w:tc>
          <w:tcPr>
            <w:tcW w:w="2835" w:type="dxa"/>
            <w:vAlign w:val="center"/>
          </w:tcPr>
          <w:p w14:paraId="7CCF9A14">
            <w:pPr>
              <w:pStyle w:val="13"/>
            </w:pPr>
            <w:r>
              <w:t>安装成本</w:t>
            </w:r>
          </w:p>
        </w:tc>
        <w:tc>
          <w:tcPr>
            <w:tcW w:w="5386" w:type="dxa"/>
            <w:vAlign w:val="center"/>
          </w:tcPr>
          <w:p w14:paraId="5D3B389C">
            <w:pPr>
              <w:pStyle w:val="13"/>
            </w:pPr>
            <w:r>
              <w:t>专用设备购置安装成本</w:t>
            </w:r>
          </w:p>
        </w:tc>
        <w:tc>
          <w:tcPr>
            <w:tcW w:w="2268" w:type="dxa"/>
            <w:vAlign w:val="center"/>
          </w:tcPr>
          <w:p w14:paraId="176ED80F">
            <w:pPr>
              <w:pStyle w:val="13"/>
            </w:pPr>
            <w:r>
              <w:t>22万元</w:t>
            </w:r>
          </w:p>
        </w:tc>
        <w:tc>
          <w:tcPr>
            <w:tcW w:w="1276" w:type="dxa"/>
            <w:vAlign w:val="center"/>
          </w:tcPr>
          <w:p w14:paraId="2CEC3498">
            <w:pPr>
              <w:pStyle w:val="13"/>
            </w:pPr>
            <w:r>
              <w:t>按项目规划</w:t>
            </w:r>
          </w:p>
        </w:tc>
      </w:tr>
      <w:tr w14:paraId="1CA30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D0CE2">
            <w:pPr>
              <w:pStyle w:val="12"/>
            </w:pPr>
            <w:r>
              <w:t>效益指标</w:t>
            </w:r>
          </w:p>
        </w:tc>
        <w:tc>
          <w:tcPr>
            <w:tcW w:w="2268" w:type="dxa"/>
            <w:vAlign w:val="center"/>
          </w:tcPr>
          <w:p w14:paraId="78BC55BF">
            <w:pPr>
              <w:pStyle w:val="13"/>
            </w:pPr>
            <w:r>
              <w:t>可持续影响指标</w:t>
            </w:r>
          </w:p>
        </w:tc>
        <w:tc>
          <w:tcPr>
            <w:tcW w:w="2835" w:type="dxa"/>
            <w:vAlign w:val="center"/>
          </w:tcPr>
          <w:p w14:paraId="6CEEF203">
            <w:pPr>
              <w:pStyle w:val="13"/>
            </w:pPr>
            <w:r>
              <w:t>学校运转得到提高</w:t>
            </w:r>
          </w:p>
        </w:tc>
        <w:tc>
          <w:tcPr>
            <w:tcW w:w="5386" w:type="dxa"/>
            <w:vAlign w:val="center"/>
          </w:tcPr>
          <w:p w14:paraId="387A5720">
            <w:pPr>
              <w:pStyle w:val="13"/>
            </w:pPr>
            <w:r>
              <w:t>学生受教育年限</w:t>
            </w:r>
          </w:p>
        </w:tc>
        <w:tc>
          <w:tcPr>
            <w:tcW w:w="2268" w:type="dxa"/>
            <w:vAlign w:val="center"/>
          </w:tcPr>
          <w:p w14:paraId="35DE0D91">
            <w:pPr>
              <w:pStyle w:val="13"/>
            </w:pPr>
            <w:r>
              <w:t>6年</w:t>
            </w:r>
          </w:p>
        </w:tc>
        <w:tc>
          <w:tcPr>
            <w:tcW w:w="1276" w:type="dxa"/>
            <w:vAlign w:val="center"/>
          </w:tcPr>
          <w:p w14:paraId="11BE8D33">
            <w:pPr>
              <w:pStyle w:val="13"/>
            </w:pPr>
            <w:r>
              <w:t>按项目规划</w:t>
            </w:r>
          </w:p>
        </w:tc>
      </w:tr>
      <w:tr w14:paraId="390C0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21C6A5">
            <w:pPr>
              <w:pStyle w:val="12"/>
            </w:pPr>
            <w:r>
              <w:t>满意度指标</w:t>
            </w:r>
          </w:p>
        </w:tc>
        <w:tc>
          <w:tcPr>
            <w:tcW w:w="2268" w:type="dxa"/>
            <w:vAlign w:val="center"/>
          </w:tcPr>
          <w:p w14:paraId="0E3B790C">
            <w:pPr>
              <w:pStyle w:val="13"/>
            </w:pPr>
            <w:r>
              <w:t>服务对象满意度指标</w:t>
            </w:r>
          </w:p>
        </w:tc>
        <w:tc>
          <w:tcPr>
            <w:tcW w:w="2835" w:type="dxa"/>
            <w:vAlign w:val="center"/>
          </w:tcPr>
          <w:p w14:paraId="60DD53C1">
            <w:pPr>
              <w:pStyle w:val="13"/>
            </w:pPr>
            <w:r>
              <w:t>学生和学生家长满意度</w:t>
            </w:r>
          </w:p>
        </w:tc>
        <w:tc>
          <w:tcPr>
            <w:tcW w:w="5386" w:type="dxa"/>
            <w:vAlign w:val="center"/>
          </w:tcPr>
          <w:p w14:paraId="1AE21F4F">
            <w:pPr>
              <w:pStyle w:val="13"/>
            </w:pPr>
            <w:r>
              <w:t>大幅提高学生和学生家长满意度</w:t>
            </w:r>
          </w:p>
        </w:tc>
        <w:tc>
          <w:tcPr>
            <w:tcW w:w="2268" w:type="dxa"/>
            <w:vAlign w:val="center"/>
          </w:tcPr>
          <w:p w14:paraId="5E662FC3">
            <w:pPr>
              <w:pStyle w:val="13"/>
            </w:pPr>
            <w:r>
              <w:t>≥98%</w:t>
            </w:r>
          </w:p>
        </w:tc>
        <w:tc>
          <w:tcPr>
            <w:tcW w:w="1276" w:type="dxa"/>
            <w:vAlign w:val="center"/>
          </w:tcPr>
          <w:p w14:paraId="268BFD08">
            <w:pPr>
              <w:pStyle w:val="13"/>
            </w:pPr>
            <w:r>
              <w:t>按项目规划</w:t>
            </w:r>
          </w:p>
        </w:tc>
      </w:tr>
    </w:tbl>
    <w:p w14:paraId="644ED410">
      <w:pPr>
        <w:sectPr>
          <w:pgSz w:w="16840" w:h="11900" w:orient="landscape"/>
          <w:pgMar w:top="1361" w:right="1020" w:bottom="1134" w:left="1020" w:header="720" w:footer="720" w:gutter="0"/>
          <w:cols w:space="720" w:num="1"/>
        </w:sectPr>
      </w:pPr>
    </w:p>
    <w:p w14:paraId="61457D81">
      <w:pPr>
        <w:spacing w:before="0" w:after="0"/>
        <w:ind w:firstLine="560"/>
        <w:jc w:val="left"/>
        <w:outlineLvl w:val="9"/>
      </w:pPr>
      <w:r>
        <w:rPr>
          <w:rFonts w:ascii="方正仿宋_GBK" w:hAnsi="方正仿宋_GBK" w:eastAsia="方正仿宋_GBK" w:cs="方正仿宋_GBK"/>
          <w:b/>
          <w:color w:val="000000"/>
          <w:sz w:val="28"/>
        </w:rPr>
        <w:t>8、冀财教[2024]123号/中央/2025年义教补助经费/综合奖补/南柏舍小学公用经费绩效目标表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0C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09A30">
            <w:pPr>
              <w:pStyle w:val="14"/>
            </w:pPr>
            <w:r>
              <w:t>单位：万元</w:t>
            </w:r>
          </w:p>
        </w:tc>
      </w:tr>
      <w:tr w14:paraId="749A2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09CB8B">
            <w:pPr>
              <w:pStyle w:val="11"/>
            </w:pPr>
            <w:r>
              <w:t>项目编码</w:t>
            </w:r>
          </w:p>
        </w:tc>
        <w:tc>
          <w:tcPr>
            <w:tcW w:w="5103" w:type="dxa"/>
            <w:gridSpan w:val="2"/>
            <w:vAlign w:val="center"/>
          </w:tcPr>
          <w:p w14:paraId="65786C18">
            <w:pPr>
              <w:pStyle w:val="13"/>
            </w:pPr>
            <w:r>
              <w:t>13052525P008756102410</w:t>
            </w:r>
          </w:p>
        </w:tc>
        <w:tc>
          <w:tcPr>
            <w:tcW w:w="2835" w:type="dxa"/>
            <w:vAlign w:val="center"/>
          </w:tcPr>
          <w:p w14:paraId="2AEEAD08">
            <w:pPr>
              <w:pStyle w:val="11"/>
            </w:pPr>
            <w:r>
              <w:t>项目名称</w:t>
            </w:r>
          </w:p>
        </w:tc>
        <w:tc>
          <w:tcPr>
            <w:tcW w:w="6095" w:type="dxa"/>
            <w:gridSpan w:val="3"/>
            <w:vAlign w:val="center"/>
          </w:tcPr>
          <w:p w14:paraId="01DE1906">
            <w:pPr>
              <w:pStyle w:val="13"/>
            </w:pPr>
            <w:r>
              <w:t>冀财教[2024]123号/中央/2025年义教补助经费/综合奖补/南柏舍小学公用经费</w:t>
            </w:r>
          </w:p>
        </w:tc>
      </w:tr>
      <w:tr w14:paraId="74055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B7908">
            <w:pPr>
              <w:pStyle w:val="11"/>
            </w:pPr>
            <w:r>
              <w:t>预算规模及资金用途</w:t>
            </w:r>
          </w:p>
        </w:tc>
        <w:tc>
          <w:tcPr>
            <w:tcW w:w="2268" w:type="dxa"/>
            <w:vAlign w:val="center"/>
          </w:tcPr>
          <w:p w14:paraId="4255A3D1">
            <w:pPr>
              <w:pStyle w:val="11"/>
            </w:pPr>
            <w:r>
              <w:t>预算数</w:t>
            </w:r>
          </w:p>
        </w:tc>
        <w:tc>
          <w:tcPr>
            <w:tcW w:w="2835" w:type="dxa"/>
            <w:vAlign w:val="center"/>
          </w:tcPr>
          <w:p w14:paraId="0ED44FBF">
            <w:pPr>
              <w:pStyle w:val="13"/>
            </w:pPr>
            <w:r>
              <w:t>12.00</w:t>
            </w:r>
          </w:p>
        </w:tc>
        <w:tc>
          <w:tcPr>
            <w:tcW w:w="2835" w:type="dxa"/>
            <w:vAlign w:val="center"/>
          </w:tcPr>
          <w:p w14:paraId="47A74413">
            <w:pPr>
              <w:pStyle w:val="11"/>
            </w:pPr>
            <w:r>
              <w:t>其中：财政    资金</w:t>
            </w:r>
          </w:p>
        </w:tc>
        <w:tc>
          <w:tcPr>
            <w:tcW w:w="2551" w:type="dxa"/>
            <w:vAlign w:val="center"/>
          </w:tcPr>
          <w:p w14:paraId="14F55826">
            <w:pPr>
              <w:pStyle w:val="13"/>
            </w:pPr>
            <w:r>
              <w:t>12.00</w:t>
            </w:r>
          </w:p>
        </w:tc>
        <w:tc>
          <w:tcPr>
            <w:tcW w:w="2268" w:type="dxa"/>
            <w:vAlign w:val="center"/>
          </w:tcPr>
          <w:p w14:paraId="273385D0">
            <w:pPr>
              <w:pStyle w:val="11"/>
            </w:pPr>
            <w:r>
              <w:t>其他资金</w:t>
            </w:r>
          </w:p>
        </w:tc>
        <w:tc>
          <w:tcPr>
            <w:tcW w:w="1276" w:type="dxa"/>
            <w:vAlign w:val="center"/>
          </w:tcPr>
          <w:p w14:paraId="56C6BE34">
            <w:pPr>
              <w:pStyle w:val="13"/>
            </w:pPr>
            <w:r>
              <w:t xml:space="preserve"> </w:t>
            </w:r>
          </w:p>
        </w:tc>
      </w:tr>
      <w:tr w14:paraId="0C2FC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24C1B"/>
        </w:tc>
        <w:tc>
          <w:tcPr>
            <w:tcW w:w="14033" w:type="dxa"/>
            <w:gridSpan w:val="6"/>
            <w:vAlign w:val="center"/>
          </w:tcPr>
          <w:p w14:paraId="67F8288D">
            <w:pPr>
              <w:pStyle w:val="13"/>
            </w:pPr>
            <w:r>
              <w:t>提升教学环境，提高教学质量，公用经费安排购置资金12万元</w:t>
            </w:r>
          </w:p>
        </w:tc>
      </w:tr>
      <w:tr w14:paraId="23D05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DE710">
            <w:pPr>
              <w:pStyle w:val="11"/>
            </w:pPr>
            <w:r>
              <w:t>资金支出计划（%）</w:t>
            </w:r>
          </w:p>
        </w:tc>
        <w:tc>
          <w:tcPr>
            <w:tcW w:w="5103" w:type="dxa"/>
            <w:gridSpan w:val="2"/>
            <w:vAlign w:val="center"/>
          </w:tcPr>
          <w:p w14:paraId="39B10223">
            <w:pPr>
              <w:pStyle w:val="11"/>
            </w:pPr>
            <w:r>
              <w:t>3月底</w:t>
            </w:r>
          </w:p>
        </w:tc>
        <w:tc>
          <w:tcPr>
            <w:tcW w:w="2835" w:type="dxa"/>
            <w:vAlign w:val="center"/>
          </w:tcPr>
          <w:p w14:paraId="632459EA">
            <w:pPr>
              <w:pStyle w:val="11"/>
            </w:pPr>
            <w:r>
              <w:t>6月底</w:t>
            </w:r>
          </w:p>
        </w:tc>
        <w:tc>
          <w:tcPr>
            <w:tcW w:w="2551" w:type="dxa"/>
            <w:vAlign w:val="center"/>
          </w:tcPr>
          <w:p w14:paraId="73D15E4E">
            <w:pPr>
              <w:pStyle w:val="11"/>
            </w:pPr>
            <w:r>
              <w:t>10月底</w:t>
            </w:r>
          </w:p>
        </w:tc>
        <w:tc>
          <w:tcPr>
            <w:tcW w:w="3544" w:type="dxa"/>
            <w:gridSpan w:val="2"/>
            <w:vAlign w:val="center"/>
          </w:tcPr>
          <w:p w14:paraId="2363A167">
            <w:pPr>
              <w:pStyle w:val="11"/>
            </w:pPr>
            <w:r>
              <w:t>12月底</w:t>
            </w:r>
          </w:p>
        </w:tc>
      </w:tr>
      <w:tr w14:paraId="18651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040DE"/>
        </w:tc>
        <w:tc>
          <w:tcPr>
            <w:tcW w:w="5103" w:type="dxa"/>
            <w:gridSpan w:val="2"/>
            <w:vAlign w:val="center"/>
          </w:tcPr>
          <w:p w14:paraId="2C2C6E1F">
            <w:pPr>
              <w:pStyle w:val="12"/>
            </w:pPr>
            <w:r>
              <w:t xml:space="preserve"> </w:t>
            </w:r>
          </w:p>
        </w:tc>
        <w:tc>
          <w:tcPr>
            <w:tcW w:w="2835" w:type="dxa"/>
            <w:vAlign w:val="center"/>
          </w:tcPr>
          <w:p w14:paraId="02710649">
            <w:pPr>
              <w:pStyle w:val="12"/>
            </w:pPr>
            <w:r>
              <w:t>75%</w:t>
            </w:r>
          </w:p>
        </w:tc>
        <w:tc>
          <w:tcPr>
            <w:tcW w:w="2551" w:type="dxa"/>
            <w:vAlign w:val="center"/>
          </w:tcPr>
          <w:p w14:paraId="3FBF1A81">
            <w:pPr>
              <w:pStyle w:val="12"/>
            </w:pPr>
            <w:r>
              <w:t>100%</w:t>
            </w:r>
          </w:p>
        </w:tc>
        <w:tc>
          <w:tcPr>
            <w:tcW w:w="3544" w:type="dxa"/>
            <w:gridSpan w:val="2"/>
            <w:vAlign w:val="center"/>
          </w:tcPr>
          <w:p w14:paraId="2FB2B0A9">
            <w:pPr>
              <w:pStyle w:val="12"/>
            </w:pPr>
            <w:r>
              <w:t xml:space="preserve"> </w:t>
            </w:r>
          </w:p>
        </w:tc>
      </w:tr>
      <w:tr w14:paraId="64CF9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A0DBC">
            <w:pPr>
              <w:pStyle w:val="11"/>
            </w:pPr>
            <w:r>
              <w:t>绩效目标</w:t>
            </w:r>
          </w:p>
        </w:tc>
        <w:tc>
          <w:tcPr>
            <w:tcW w:w="14033" w:type="dxa"/>
            <w:gridSpan w:val="6"/>
            <w:vAlign w:val="center"/>
          </w:tcPr>
          <w:p w14:paraId="06BBD4D7">
            <w:pPr>
              <w:pStyle w:val="13"/>
            </w:pPr>
            <w:r>
              <w:t>1.提升教学环境，提高教学质量，公用经费安排购置资金12万元</w:t>
            </w:r>
          </w:p>
        </w:tc>
      </w:tr>
    </w:tbl>
    <w:p w14:paraId="37F0D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2D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A21B0">
            <w:pPr>
              <w:pStyle w:val="11"/>
            </w:pPr>
            <w:r>
              <w:t>一级指标</w:t>
            </w:r>
          </w:p>
        </w:tc>
        <w:tc>
          <w:tcPr>
            <w:tcW w:w="2268" w:type="dxa"/>
            <w:vAlign w:val="center"/>
          </w:tcPr>
          <w:p w14:paraId="3BEB0218">
            <w:pPr>
              <w:pStyle w:val="11"/>
            </w:pPr>
            <w:r>
              <w:t>二级指标</w:t>
            </w:r>
          </w:p>
        </w:tc>
        <w:tc>
          <w:tcPr>
            <w:tcW w:w="2835" w:type="dxa"/>
            <w:vAlign w:val="center"/>
          </w:tcPr>
          <w:p w14:paraId="73BBB396">
            <w:pPr>
              <w:pStyle w:val="11"/>
            </w:pPr>
            <w:r>
              <w:t>三级指标</w:t>
            </w:r>
          </w:p>
        </w:tc>
        <w:tc>
          <w:tcPr>
            <w:tcW w:w="5386" w:type="dxa"/>
            <w:vAlign w:val="center"/>
          </w:tcPr>
          <w:p w14:paraId="37F0AC4C">
            <w:pPr>
              <w:pStyle w:val="11"/>
            </w:pPr>
            <w:r>
              <w:t>绩效指标描述</w:t>
            </w:r>
          </w:p>
        </w:tc>
        <w:tc>
          <w:tcPr>
            <w:tcW w:w="2268" w:type="dxa"/>
            <w:vAlign w:val="center"/>
          </w:tcPr>
          <w:p w14:paraId="34B1CEA2">
            <w:pPr>
              <w:pStyle w:val="11"/>
            </w:pPr>
            <w:r>
              <w:t>指标值</w:t>
            </w:r>
          </w:p>
        </w:tc>
        <w:tc>
          <w:tcPr>
            <w:tcW w:w="1276" w:type="dxa"/>
            <w:vAlign w:val="center"/>
          </w:tcPr>
          <w:p w14:paraId="7F9606B8">
            <w:pPr>
              <w:pStyle w:val="11"/>
            </w:pPr>
            <w:r>
              <w:t>指标值确定依据</w:t>
            </w:r>
          </w:p>
        </w:tc>
      </w:tr>
      <w:tr w14:paraId="3F73E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E93C1">
            <w:pPr>
              <w:pStyle w:val="12"/>
            </w:pPr>
            <w:r>
              <w:t>产出指标</w:t>
            </w:r>
          </w:p>
        </w:tc>
        <w:tc>
          <w:tcPr>
            <w:tcW w:w="2268" w:type="dxa"/>
            <w:vAlign w:val="center"/>
          </w:tcPr>
          <w:p w14:paraId="2A1D29FA">
            <w:pPr>
              <w:pStyle w:val="13"/>
            </w:pPr>
            <w:r>
              <w:t>数量指标</w:t>
            </w:r>
          </w:p>
        </w:tc>
        <w:tc>
          <w:tcPr>
            <w:tcW w:w="2835" w:type="dxa"/>
            <w:vAlign w:val="center"/>
          </w:tcPr>
          <w:p w14:paraId="31A905F4">
            <w:pPr>
              <w:pStyle w:val="13"/>
            </w:pPr>
            <w:r>
              <w:t>公用经费设备购置</w:t>
            </w:r>
          </w:p>
        </w:tc>
        <w:tc>
          <w:tcPr>
            <w:tcW w:w="5386" w:type="dxa"/>
            <w:vAlign w:val="center"/>
          </w:tcPr>
          <w:p w14:paraId="7CC41523">
            <w:pPr>
              <w:pStyle w:val="13"/>
            </w:pPr>
            <w:r>
              <w:t>购置监控设备一套、厨房设备一套</w:t>
            </w:r>
          </w:p>
        </w:tc>
        <w:tc>
          <w:tcPr>
            <w:tcW w:w="2268" w:type="dxa"/>
            <w:vAlign w:val="center"/>
          </w:tcPr>
          <w:p w14:paraId="0D161E7B">
            <w:pPr>
              <w:pStyle w:val="13"/>
            </w:pPr>
            <w:r>
              <w:t>2套</w:t>
            </w:r>
          </w:p>
        </w:tc>
        <w:tc>
          <w:tcPr>
            <w:tcW w:w="1276" w:type="dxa"/>
            <w:vAlign w:val="center"/>
          </w:tcPr>
          <w:p w14:paraId="064448E4">
            <w:pPr>
              <w:pStyle w:val="13"/>
            </w:pPr>
            <w:r>
              <w:t>按项目规划</w:t>
            </w:r>
          </w:p>
        </w:tc>
      </w:tr>
      <w:tr w14:paraId="3D02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7692C"/>
        </w:tc>
        <w:tc>
          <w:tcPr>
            <w:tcW w:w="2268" w:type="dxa"/>
            <w:vAlign w:val="center"/>
          </w:tcPr>
          <w:p w14:paraId="2403FFB1">
            <w:pPr>
              <w:pStyle w:val="13"/>
            </w:pPr>
            <w:r>
              <w:t>质量指标</w:t>
            </w:r>
          </w:p>
        </w:tc>
        <w:tc>
          <w:tcPr>
            <w:tcW w:w="2835" w:type="dxa"/>
            <w:vAlign w:val="center"/>
          </w:tcPr>
          <w:p w14:paraId="0ECD866D">
            <w:pPr>
              <w:pStyle w:val="13"/>
            </w:pPr>
            <w:r>
              <w:t>购置项目质量合格率</w:t>
            </w:r>
          </w:p>
        </w:tc>
        <w:tc>
          <w:tcPr>
            <w:tcW w:w="5386" w:type="dxa"/>
            <w:vAlign w:val="center"/>
          </w:tcPr>
          <w:p w14:paraId="768A3C47">
            <w:pPr>
              <w:pStyle w:val="13"/>
            </w:pPr>
            <w:r>
              <w:t>专用设备购置质量合格率</w:t>
            </w:r>
          </w:p>
        </w:tc>
        <w:tc>
          <w:tcPr>
            <w:tcW w:w="2268" w:type="dxa"/>
            <w:vAlign w:val="center"/>
          </w:tcPr>
          <w:p w14:paraId="6B9A24DC">
            <w:pPr>
              <w:pStyle w:val="13"/>
            </w:pPr>
            <w:r>
              <w:t>≥100%</w:t>
            </w:r>
          </w:p>
        </w:tc>
        <w:tc>
          <w:tcPr>
            <w:tcW w:w="1276" w:type="dxa"/>
            <w:vAlign w:val="center"/>
          </w:tcPr>
          <w:p w14:paraId="6C2F0346">
            <w:pPr>
              <w:pStyle w:val="13"/>
            </w:pPr>
            <w:r>
              <w:t>按项目规划</w:t>
            </w:r>
          </w:p>
        </w:tc>
      </w:tr>
      <w:tr w14:paraId="7DE7B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C13AE"/>
        </w:tc>
        <w:tc>
          <w:tcPr>
            <w:tcW w:w="2268" w:type="dxa"/>
            <w:vAlign w:val="center"/>
          </w:tcPr>
          <w:p w14:paraId="10965648">
            <w:pPr>
              <w:pStyle w:val="13"/>
            </w:pPr>
            <w:r>
              <w:t>时效指标</w:t>
            </w:r>
          </w:p>
        </w:tc>
        <w:tc>
          <w:tcPr>
            <w:tcW w:w="2835" w:type="dxa"/>
            <w:vAlign w:val="center"/>
          </w:tcPr>
          <w:p w14:paraId="527EFE26">
            <w:pPr>
              <w:pStyle w:val="13"/>
            </w:pPr>
            <w:r>
              <w:t>按时完成率</w:t>
            </w:r>
          </w:p>
        </w:tc>
        <w:tc>
          <w:tcPr>
            <w:tcW w:w="5386" w:type="dxa"/>
            <w:vAlign w:val="center"/>
          </w:tcPr>
          <w:p w14:paraId="5FC15C39">
            <w:pPr>
              <w:pStyle w:val="13"/>
            </w:pPr>
            <w:r>
              <w:t>购置项目按时序进度完成比例</w:t>
            </w:r>
          </w:p>
        </w:tc>
        <w:tc>
          <w:tcPr>
            <w:tcW w:w="2268" w:type="dxa"/>
            <w:vAlign w:val="center"/>
          </w:tcPr>
          <w:p w14:paraId="5E091D2E">
            <w:pPr>
              <w:pStyle w:val="13"/>
            </w:pPr>
            <w:r>
              <w:t>≥100%</w:t>
            </w:r>
          </w:p>
        </w:tc>
        <w:tc>
          <w:tcPr>
            <w:tcW w:w="1276" w:type="dxa"/>
            <w:vAlign w:val="center"/>
          </w:tcPr>
          <w:p w14:paraId="7BA97988">
            <w:pPr>
              <w:pStyle w:val="13"/>
            </w:pPr>
            <w:r>
              <w:t>按项目规划</w:t>
            </w:r>
          </w:p>
        </w:tc>
      </w:tr>
      <w:tr w14:paraId="2E1DB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63136"/>
        </w:tc>
        <w:tc>
          <w:tcPr>
            <w:tcW w:w="2268" w:type="dxa"/>
            <w:vAlign w:val="center"/>
          </w:tcPr>
          <w:p w14:paraId="2BA62848">
            <w:pPr>
              <w:pStyle w:val="13"/>
            </w:pPr>
            <w:r>
              <w:t>成本指标</w:t>
            </w:r>
          </w:p>
        </w:tc>
        <w:tc>
          <w:tcPr>
            <w:tcW w:w="2835" w:type="dxa"/>
            <w:vAlign w:val="center"/>
          </w:tcPr>
          <w:p w14:paraId="79217A88">
            <w:pPr>
              <w:pStyle w:val="13"/>
            </w:pPr>
            <w:r>
              <w:t>安装成本</w:t>
            </w:r>
          </w:p>
        </w:tc>
        <w:tc>
          <w:tcPr>
            <w:tcW w:w="5386" w:type="dxa"/>
            <w:vAlign w:val="center"/>
          </w:tcPr>
          <w:p w14:paraId="4D56391C">
            <w:pPr>
              <w:pStyle w:val="13"/>
            </w:pPr>
            <w:r>
              <w:t>专用设备购置安装成本</w:t>
            </w:r>
          </w:p>
        </w:tc>
        <w:tc>
          <w:tcPr>
            <w:tcW w:w="2268" w:type="dxa"/>
            <w:vAlign w:val="center"/>
          </w:tcPr>
          <w:p w14:paraId="308DBB7E">
            <w:pPr>
              <w:pStyle w:val="13"/>
            </w:pPr>
            <w:r>
              <w:t>12万元</w:t>
            </w:r>
          </w:p>
        </w:tc>
        <w:tc>
          <w:tcPr>
            <w:tcW w:w="1276" w:type="dxa"/>
            <w:vAlign w:val="center"/>
          </w:tcPr>
          <w:p w14:paraId="0D54278B">
            <w:pPr>
              <w:pStyle w:val="13"/>
            </w:pPr>
            <w:r>
              <w:t>按项目规划</w:t>
            </w:r>
          </w:p>
        </w:tc>
      </w:tr>
      <w:tr w14:paraId="07187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908C52">
            <w:pPr>
              <w:pStyle w:val="12"/>
            </w:pPr>
            <w:r>
              <w:t>效益指标</w:t>
            </w:r>
          </w:p>
        </w:tc>
        <w:tc>
          <w:tcPr>
            <w:tcW w:w="2268" w:type="dxa"/>
            <w:vAlign w:val="center"/>
          </w:tcPr>
          <w:p w14:paraId="5BD92DD2">
            <w:pPr>
              <w:pStyle w:val="13"/>
            </w:pPr>
            <w:r>
              <w:t>可持续影响指标</w:t>
            </w:r>
          </w:p>
        </w:tc>
        <w:tc>
          <w:tcPr>
            <w:tcW w:w="2835" w:type="dxa"/>
            <w:vAlign w:val="center"/>
          </w:tcPr>
          <w:p w14:paraId="19A64D70">
            <w:pPr>
              <w:pStyle w:val="13"/>
            </w:pPr>
            <w:r>
              <w:t>学校运转得到提高</w:t>
            </w:r>
          </w:p>
        </w:tc>
        <w:tc>
          <w:tcPr>
            <w:tcW w:w="5386" w:type="dxa"/>
            <w:vAlign w:val="center"/>
          </w:tcPr>
          <w:p w14:paraId="2E56462F">
            <w:pPr>
              <w:pStyle w:val="13"/>
            </w:pPr>
            <w:r>
              <w:t>学生受教育年限</w:t>
            </w:r>
          </w:p>
        </w:tc>
        <w:tc>
          <w:tcPr>
            <w:tcW w:w="2268" w:type="dxa"/>
            <w:vAlign w:val="center"/>
          </w:tcPr>
          <w:p w14:paraId="5D88CEDB">
            <w:pPr>
              <w:pStyle w:val="13"/>
            </w:pPr>
            <w:r>
              <w:t>6年</w:t>
            </w:r>
          </w:p>
        </w:tc>
        <w:tc>
          <w:tcPr>
            <w:tcW w:w="1276" w:type="dxa"/>
            <w:vAlign w:val="center"/>
          </w:tcPr>
          <w:p w14:paraId="39C67232">
            <w:pPr>
              <w:pStyle w:val="13"/>
            </w:pPr>
            <w:r>
              <w:t>按项目规划</w:t>
            </w:r>
          </w:p>
        </w:tc>
      </w:tr>
      <w:tr w14:paraId="31E60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E22522">
            <w:pPr>
              <w:pStyle w:val="12"/>
            </w:pPr>
            <w:r>
              <w:t>满意度指标</w:t>
            </w:r>
          </w:p>
        </w:tc>
        <w:tc>
          <w:tcPr>
            <w:tcW w:w="2268" w:type="dxa"/>
            <w:vAlign w:val="center"/>
          </w:tcPr>
          <w:p w14:paraId="213DC4A3">
            <w:pPr>
              <w:pStyle w:val="13"/>
            </w:pPr>
            <w:r>
              <w:t>服务对象满意度指标</w:t>
            </w:r>
          </w:p>
        </w:tc>
        <w:tc>
          <w:tcPr>
            <w:tcW w:w="2835" w:type="dxa"/>
            <w:vAlign w:val="center"/>
          </w:tcPr>
          <w:p w14:paraId="1F53A20E">
            <w:pPr>
              <w:pStyle w:val="13"/>
            </w:pPr>
            <w:r>
              <w:t>学生和学生家长满意度</w:t>
            </w:r>
          </w:p>
        </w:tc>
        <w:tc>
          <w:tcPr>
            <w:tcW w:w="5386" w:type="dxa"/>
            <w:vAlign w:val="center"/>
          </w:tcPr>
          <w:p w14:paraId="23A65875">
            <w:pPr>
              <w:pStyle w:val="13"/>
            </w:pPr>
            <w:r>
              <w:t>大幅提高学生和学生家长满意度</w:t>
            </w:r>
          </w:p>
        </w:tc>
        <w:tc>
          <w:tcPr>
            <w:tcW w:w="2268" w:type="dxa"/>
            <w:vAlign w:val="center"/>
          </w:tcPr>
          <w:p w14:paraId="2F758415">
            <w:pPr>
              <w:pStyle w:val="13"/>
            </w:pPr>
            <w:r>
              <w:t>≥98%</w:t>
            </w:r>
          </w:p>
        </w:tc>
        <w:tc>
          <w:tcPr>
            <w:tcW w:w="1276" w:type="dxa"/>
            <w:vAlign w:val="center"/>
          </w:tcPr>
          <w:p w14:paraId="70573745">
            <w:pPr>
              <w:pStyle w:val="13"/>
            </w:pPr>
            <w:r>
              <w:t>按项目规划</w:t>
            </w:r>
          </w:p>
        </w:tc>
      </w:tr>
    </w:tbl>
    <w:p w14:paraId="0BAE8568">
      <w:pPr>
        <w:sectPr>
          <w:pgSz w:w="16840" w:h="11900" w:orient="landscape"/>
          <w:pgMar w:top="1361" w:right="1020" w:bottom="1134" w:left="1020" w:header="720" w:footer="720" w:gutter="0"/>
          <w:cols w:space="720" w:num="1"/>
        </w:sectPr>
      </w:pPr>
    </w:p>
    <w:p w14:paraId="7389A806">
      <w:pPr>
        <w:spacing w:before="0" w:after="0"/>
        <w:ind w:firstLine="560"/>
        <w:jc w:val="left"/>
        <w:outlineLvl w:val="9"/>
      </w:pPr>
      <w:r>
        <w:rPr>
          <w:rFonts w:ascii="方正仿宋_GBK" w:hAnsi="方正仿宋_GBK" w:eastAsia="方正仿宋_GBK" w:cs="方正仿宋_GBK"/>
          <w:b/>
          <w:color w:val="000000"/>
          <w:sz w:val="28"/>
        </w:rPr>
        <w:t>9、冀财教[2024]123号/中央/2025年义教补助经费/综合奖补/义丰小学变压器购置绩效目标表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B5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6F015">
            <w:pPr>
              <w:pStyle w:val="14"/>
            </w:pPr>
            <w:r>
              <w:t>单位：万元</w:t>
            </w:r>
          </w:p>
        </w:tc>
      </w:tr>
      <w:tr w14:paraId="61B43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DEBC20">
            <w:pPr>
              <w:pStyle w:val="11"/>
            </w:pPr>
            <w:r>
              <w:t>项目编码</w:t>
            </w:r>
          </w:p>
        </w:tc>
        <w:tc>
          <w:tcPr>
            <w:tcW w:w="5103" w:type="dxa"/>
            <w:gridSpan w:val="2"/>
            <w:vAlign w:val="center"/>
          </w:tcPr>
          <w:p w14:paraId="66E17A54">
            <w:pPr>
              <w:pStyle w:val="13"/>
            </w:pPr>
            <w:r>
              <w:t>13052525P008756102391</w:t>
            </w:r>
          </w:p>
        </w:tc>
        <w:tc>
          <w:tcPr>
            <w:tcW w:w="2835" w:type="dxa"/>
            <w:vAlign w:val="center"/>
          </w:tcPr>
          <w:p w14:paraId="479FD888">
            <w:pPr>
              <w:pStyle w:val="11"/>
            </w:pPr>
            <w:r>
              <w:t>项目名称</w:t>
            </w:r>
          </w:p>
        </w:tc>
        <w:tc>
          <w:tcPr>
            <w:tcW w:w="6095" w:type="dxa"/>
            <w:gridSpan w:val="3"/>
            <w:vAlign w:val="center"/>
          </w:tcPr>
          <w:p w14:paraId="5C61EBF7">
            <w:pPr>
              <w:pStyle w:val="13"/>
            </w:pPr>
            <w:r>
              <w:t>冀财教[2024]123号/中央/2025年义教补助经费/综合奖补/义丰小学变压器购置</w:t>
            </w:r>
          </w:p>
        </w:tc>
      </w:tr>
      <w:tr w14:paraId="54C5D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E5D67">
            <w:pPr>
              <w:pStyle w:val="11"/>
            </w:pPr>
            <w:r>
              <w:t>预算规模及资金用途</w:t>
            </w:r>
          </w:p>
        </w:tc>
        <w:tc>
          <w:tcPr>
            <w:tcW w:w="2268" w:type="dxa"/>
            <w:vAlign w:val="center"/>
          </w:tcPr>
          <w:p w14:paraId="15C7204E">
            <w:pPr>
              <w:pStyle w:val="11"/>
            </w:pPr>
            <w:r>
              <w:t>预算数</w:t>
            </w:r>
          </w:p>
        </w:tc>
        <w:tc>
          <w:tcPr>
            <w:tcW w:w="2835" w:type="dxa"/>
            <w:vAlign w:val="center"/>
          </w:tcPr>
          <w:p w14:paraId="5361D0FF">
            <w:pPr>
              <w:pStyle w:val="13"/>
            </w:pPr>
            <w:r>
              <w:t>15.00</w:t>
            </w:r>
          </w:p>
        </w:tc>
        <w:tc>
          <w:tcPr>
            <w:tcW w:w="2835" w:type="dxa"/>
            <w:vAlign w:val="center"/>
          </w:tcPr>
          <w:p w14:paraId="0D6A9996">
            <w:pPr>
              <w:pStyle w:val="11"/>
            </w:pPr>
            <w:r>
              <w:t>其中：财政    资金</w:t>
            </w:r>
          </w:p>
        </w:tc>
        <w:tc>
          <w:tcPr>
            <w:tcW w:w="2551" w:type="dxa"/>
            <w:vAlign w:val="center"/>
          </w:tcPr>
          <w:p w14:paraId="4199050C">
            <w:pPr>
              <w:pStyle w:val="13"/>
            </w:pPr>
            <w:r>
              <w:t>15.00</w:t>
            </w:r>
          </w:p>
        </w:tc>
        <w:tc>
          <w:tcPr>
            <w:tcW w:w="2268" w:type="dxa"/>
            <w:vAlign w:val="center"/>
          </w:tcPr>
          <w:p w14:paraId="431391BD">
            <w:pPr>
              <w:pStyle w:val="11"/>
            </w:pPr>
            <w:r>
              <w:t>其他资金</w:t>
            </w:r>
          </w:p>
        </w:tc>
        <w:tc>
          <w:tcPr>
            <w:tcW w:w="1276" w:type="dxa"/>
            <w:vAlign w:val="center"/>
          </w:tcPr>
          <w:p w14:paraId="0AA69FF8">
            <w:pPr>
              <w:pStyle w:val="13"/>
            </w:pPr>
            <w:r>
              <w:t xml:space="preserve"> </w:t>
            </w:r>
          </w:p>
        </w:tc>
      </w:tr>
      <w:tr w14:paraId="0FFB6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8D8C26"/>
        </w:tc>
        <w:tc>
          <w:tcPr>
            <w:tcW w:w="14033" w:type="dxa"/>
            <w:gridSpan w:val="6"/>
            <w:vAlign w:val="center"/>
          </w:tcPr>
          <w:p w14:paraId="5E9D25C8">
            <w:pPr>
              <w:pStyle w:val="13"/>
            </w:pPr>
            <w:r>
              <w:t>为提高教学环境，提升教学质量，现为义丰小学购置变压器一台。</w:t>
            </w:r>
          </w:p>
        </w:tc>
      </w:tr>
      <w:tr w14:paraId="14FAB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D768F">
            <w:pPr>
              <w:pStyle w:val="11"/>
            </w:pPr>
            <w:r>
              <w:t>资金支出计划（%）</w:t>
            </w:r>
          </w:p>
        </w:tc>
        <w:tc>
          <w:tcPr>
            <w:tcW w:w="5103" w:type="dxa"/>
            <w:gridSpan w:val="2"/>
            <w:vAlign w:val="center"/>
          </w:tcPr>
          <w:p w14:paraId="2BD52F3F">
            <w:pPr>
              <w:pStyle w:val="11"/>
            </w:pPr>
            <w:r>
              <w:t>3月底</w:t>
            </w:r>
          </w:p>
        </w:tc>
        <w:tc>
          <w:tcPr>
            <w:tcW w:w="2835" w:type="dxa"/>
            <w:vAlign w:val="center"/>
          </w:tcPr>
          <w:p w14:paraId="6945BEB9">
            <w:pPr>
              <w:pStyle w:val="11"/>
            </w:pPr>
            <w:r>
              <w:t>6月底</w:t>
            </w:r>
          </w:p>
        </w:tc>
        <w:tc>
          <w:tcPr>
            <w:tcW w:w="2551" w:type="dxa"/>
            <w:vAlign w:val="center"/>
          </w:tcPr>
          <w:p w14:paraId="34C7BB98">
            <w:pPr>
              <w:pStyle w:val="11"/>
            </w:pPr>
            <w:r>
              <w:t>10月底</w:t>
            </w:r>
          </w:p>
        </w:tc>
        <w:tc>
          <w:tcPr>
            <w:tcW w:w="3544" w:type="dxa"/>
            <w:gridSpan w:val="2"/>
            <w:vAlign w:val="center"/>
          </w:tcPr>
          <w:p w14:paraId="449F863F">
            <w:pPr>
              <w:pStyle w:val="11"/>
            </w:pPr>
            <w:r>
              <w:t>12月底</w:t>
            </w:r>
          </w:p>
        </w:tc>
      </w:tr>
      <w:tr w14:paraId="74430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293974"/>
        </w:tc>
        <w:tc>
          <w:tcPr>
            <w:tcW w:w="5103" w:type="dxa"/>
            <w:gridSpan w:val="2"/>
            <w:vAlign w:val="center"/>
          </w:tcPr>
          <w:p w14:paraId="45C1C769">
            <w:pPr>
              <w:pStyle w:val="12"/>
            </w:pPr>
            <w:r>
              <w:t xml:space="preserve"> </w:t>
            </w:r>
          </w:p>
        </w:tc>
        <w:tc>
          <w:tcPr>
            <w:tcW w:w="2835" w:type="dxa"/>
            <w:vAlign w:val="center"/>
          </w:tcPr>
          <w:p w14:paraId="480AFBEB">
            <w:pPr>
              <w:pStyle w:val="12"/>
            </w:pPr>
            <w:r>
              <w:t>50%</w:t>
            </w:r>
          </w:p>
        </w:tc>
        <w:tc>
          <w:tcPr>
            <w:tcW w:w="2551" w:type="dxa"/>
            <w:vAlign w:val="center"/>
          </w:tcPr>
          <w:p w14:paraId="696C62E3">
            <w:pPr>
              <w:pStyle w:val="12"/>
            </w:pPr>
            <w:r>
              <w:t>75%</w:t>
            </w:r>
          </w:p>
        </w:tc>
        <w:tc>
          <w:tcPr>
            <w:tcW w:w="3544" w:type="dxa"/>
            <w:gridSpan w:val="2"/>
            <w:vAlign w:val="center"/>
          </w:tcPr>
          <w:p w14:paraId="5C851962">
            <w:pPr>
              <w:pStyle w:val="12"/>
            </w:pPr>
            <w:r>
              <w:t>100%</w:t>
            </w:r>
          </w:p>
        </w:tc>
      </w:tr>
      <w:tr w14:paraId="15619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17270">
            <w:pPr>
              <w:pStyle w:val="11"/>
            </w:pPr>
            <w:r>
              <w:t>绩效目标</w:t>
            </w:r>
          </w:p>
        </w:tc>
        <w:tc>
          <w:tcPr>
            <w:tcW w:w="14033" w:type="dxa"/>
            <w:gridSpan w:val="6"/>
            <w:vAlign w:val="center"/>
          </w:tcPr>
          <w:p w14:paraId="214D3304">
            <w:pPr>
              <w:pStyle w:val="13"/>
            </w:pPr>
            <w:r>
              <w:t>1.为提高教学环境，提升教学质量，现为义丰小学购置变压器一台。</w:t>
            </w:r>
          </w:p>
        </w:tc>
      </w:tr>
    </w:tbl>
    <w:p w14:paraId="399B8E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DE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08BE4">
            <w:pPr>
              <w:pStyle w:val="11"/>
            </w:pPr>
            <w:r>
              <w:t>一级指标</w:t>
            </w:r>
          </w:p>
        </w:tc>
        <w:tc>
          <w:tcPr>
            <w:tcW w:w="2268" w:type="dxa"/>
            <w:vAlign w:val="center"/>
          </w:tcPr>
          <w:p w14:paraId="5FCF7B96">
            <w:pPr>
              <w:pStyle w:val="11"/>
            </w:pPr>
            <w:r>
              <w:t>二级指标</w:t>
            </w:r>
          </w:p>
        </w:tc>
        <w:tc>
          <w:tcPr>
            <w:tcW w:w="2835" w:type="dxa"/>
            <w:vAlign w:val="center"/>
          </w:tcPr>
          <w:p w14:paraId="341F3717">
            <w:pPr>
              <w:pStyle w:val="11"/>
            </w:pPr>
            <w:r>
              <w:t>三级指标</w:t>
            </w:r>
          </w:p>
        </w:tc>
        <w:tc>
          <w:tcPr>
            <w:tcW w:w="5386" w:type="dxa"/>
            <w:vAlign w:val="center"/>
          </w:tcPr>
          <w:p w14:paraId="23052348">
            <w:pPr>
              <w:pStyle w:val="11"/>
            </w:pPr>
            <w:r>
              <w:t>绩效指标描述</w:t>
            </w:r>
          </w:p>
        </w:tc>
        <w:tc>
          <w:tcPr>
            <w:tcW w:w="2268" w:type="dxa"/>
            <w:vAlign w:val="center"/>
          </w:tcPr>
          <w:p w14:paraId="46C81D49">
            <w:pPr>
              <w:pStyle w:val="11"/>
            </w:pPr>
            <w:r>
              <w:t>指标值</w:t>
            </w:r>
          </w:p>
        </w:tc>
        <w:tc>
          <w:tcPr>
            <w:tcW w:w="1276" w:type="dxa"/>
            <w:vAlign w:val="center"/>
          </w:tcPr>
          <w:p w14:paraId="6BA90C50">
            <w:pPr>
              <w:pStyle w:val="11"/>
            </w:pPr>
            <w:r>
              <w:t>指标值确定依据</w:t>
            </w:r>
          </w:p>
        </w:tc>
      </w:tr>
      <w:tr w14:paraId="3776A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8E33C">
            <w:pPr>
              <w:pStyle w:val="12"/>
            </w:pPr>
            <w:r>
              <w:t>产出指标</w:t>
            </w:r>
          </w:p>
        </w:tc>
        <w:tc>
          <w:tcPr>
            <w:tcW w:w="2268" w:type="dxa"/>
            <w:vAlign w:val="center"/>
          </w:tcPr>
          <w:p w14:paraId="41BC6451">
            <w:pPr>
              <w:pStyle w:val="13"/>
            </w:pPr>
            <w:r>
              <w:t>数量指标</w:t>
            </w:r>
          </w:p>
        </w:tc>
        <w:tc>
          <w:tcPr>
            <w:tcW w:w="2835" w:type="dxa"/>
            <w:vAlign w:val="center"/>
          </w:tcPr>
          <w:p w14:paraId="16E652DE">
            <w:pPr>
              <w:pStyle w:val="13"/>
            </w:pPr>
            <w:r>
              <w:t>购置专用设备购置</w:t>
            </w:r>
          </w:p>
        </w:tc>
        <w:tc>
          <w:tcPr>
            <w:tcW w:w="5386" w:type="dxa"/>
            <w:vAlign w:val="center"/>
          </w:tcPr>
          <w:p w14:paraId="5B54C278">
            <w:pPr>
              <w:pStyle w:val="13"/>
            </w:pPr>
            <w:r>
              <w:t>购置500KVA变压器</w:t>
            </w:r>
          </w:p>
        </w:tc>
        <w:tc>
          <w:tcPr>
            <w:tcW w:w="2268" w:type="dxa"/>
            <w:vAlign w:val="center"/>
          </w:tcPr>
          <w:p w14:paraId="3F6283FC">
            <w:pPr>
              <w:pStyle w:val="13"/>
            </w:pPr>
            <w:r>
              <w:t>1台</w:t>
            </w:r>
          </w:p>
        </w:tc>
        <w:tc>
          <w:tcPr>
            <w:tcW w:w="1276" w:type="dxa"/>
            <w:vAlign w:val="center"/>
          </w:tcPr>
          <w:p w14:paraId="71B8F602">
            <w:pPr>
              <w:pStyle w:val="13"/>
            </w:pPr>
            <w:r>
              <w:t>项目规划</w:t>
            </w:r>
          </w:p>
        </w:tc>
      </w:tr>
      <w:tr w14:paraId="0D49A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19895"/>
        </w:tc>
        <w:tc>
          <w:tcPr>
            <w:tcW w:w="2268" w:type="dxa"/>
            <w:vAlign w:val="center"/>
          </w:tcPr>
          <w:p w14:paraId="151458AC">
            <w:pPr>
              <w:pStyle w:val="13"/>
            </w:pPr>
            <w:r>
              <w:t>质量指标</w:t>
            </w:r>
          </w:p>
        </w:tc>
        <w:tc>
          <w:tcPr>
            <w:tcW w:w="2835" w:type="dxa"/>
            <w:vAlign w:val="center"/>
          </w:tcPr>
          <w:p w14:paraId="0E473DD5">
            <w:pPr>
              <w:pStyle w:val="13"/>
            </w:pPr>
            <w:r>
              <w:t>购置项目质量合格率</w:t>
            </w:r>
          </w:p>
        </w:tc>
        <w:tc>
          <w:tcPr>
            <w:tcW w:w="5386" w:type="dxa"/>
            <w:vAlign w:val="center"/>
          </w:tcPr>
          <w:p w14:paraId="15F00026">
            <w:pPr>
              <w:pStyle w:val="13"/>
            </w:pPr>
            <w:r>
              <w:t>专用设备购置质量合格</w:t>
            </w:r>
          </w:p>
        </w:tc>
        <w:tc>
          <w:tcPr>
            <w:tcW w:w="2268" w:type="dxa"/>
            <w:vAlign w:val="center"/>
          </w:tcPr>
          <w:p w14:paraId="2A8B62A8">
            <w:pPr>
              <w:pStyle w:val="13"/>
            </w:pPr>
            <w:r>
              <w:t>≥100%</w:t>
            </w:r>
          </w:p>
        </w:tc>
        <w:tc>
          <w:tcPr>
            <w:tcW w:w="1276" w:type="dxa"/>
            <w:vAlign w:val="center"/>
          </w:tcPr>
          <w:p w14:paraId="7914E457">
            <w:pPr>
              <w:pStyle w:val="13"/>
            </w:pPr>
            <w:r>
              <w:t>项目规划</w:t>
            </w:r>
          </w:p>
        </w:tc>
      </w:tr>
      <w:tr w14:paraId="787EB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2CEAB"/>
        </w:tc>
        <w:tc>
          <w:tcPr>
            <w:tcW w:w="2268" w:type="dxa"/>
            <w:vAlign w:val="center"/>
          </w:tcPr>
          <w:p w14:paraId="041D7D8E">
            <w:pPr>
              <w:pStyle w:val="13"/>
            </w:pPr>
            <w:r>
              <w:t>时效指标</w:t>
            </w:r>
          </w:p>
        </w:tc>
        <w:tc>
          <w:tcPr>
            <w:tcW w:w="2835" w:type="dxa"/>
            <w:vAlign w:val="center"/>
          </w:tcPr>
          <w:p w14:paraId="55684B43">
            <w:pPr>
              <w:pStyle w:val="13"/>
            </w:pPr>
            <w:r>
              <w:t>按时完成率</w:t>
            </w:r>
          </w:p>
        </w:tc>
        <w:tc>
          <w:tcPr>
            <w:tcW w:w="5386" w:type="dxa"/>
            <w:vAlign w:val="center"/>
          </w:tcPr>
          <w:p w14:paraId="70692E42">
            <w:pPr>
              <w:pStyle w:val="13"/>
            </w:pPr>
            <w:r>
              <w:t>购置项目按时序进度完成比例</w:t>
            </w:r>
          </w:p>
        </w:tc>
        <w:tc>
          <w:tcPr>
            <w:tcW w:w="2268" w:type="dxa"/>
            <w:vAlign w:val="center"/>
          </w:tcPr>
          <w:p w14:paraId="7587ACAD">
            <w:pPr>
              <w:pStyle w:val="13"/>
            </w:pPr>
            <w:r>
              <w:t>≥100%</w:t>
            </w:r>
          </w:p>
        </w:tc>
        <w:tc>
          <w:tcPr>
            <w:tcW w:w="1276" w:type="dxa"/>
            <w:vAlign w:val="center"/>
          </w:tcPr>
          <w:p w14:paraId="61ACBAB1">
            <w:pPr>
              <w:pStyle w:val="13"/>
            </w:pPr>
            <w:r>
              <w:t>项目规划</w:t>
            </w:r>
          </w:p>
        </w:tc>
      </w:tr>
      <w:tr w14:paraId="07F31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F22B"/>
        </w:tc>
        <w:tc>
          <w:tcPr>
            <w:tcW w:w="2268" w:type="dxa"/>
            <w:vAlign w:val="center"/>
          </w:tcPr>
          <w:p w14:paraId="68611F9A">
            <w:pPr>
              <w:pStyle w:val="13"/>
            </w:pPr>
            <w:r>
              <w:t>成本指标</w:t>
            </w:r>
          </w:p>
        </w:tc>
        <w:tc>
          <w:tcPr>
            <w:tcW w:w="2835" w:type="dxa"/>
            <w:vAlign w:val="center"/>
          </w:tcPr>
          <w:p w14:paraId="47FDD7B1">
            <w:pPr>
              <w:pStyle w:val="13"/>
            </w:pPr>
            <w:r>
              <w:t>系统安装成本</w:t>
            </w:r>
          </w:p>
        </w:tc>
        <w:tc>
          <w:tcPr>
            <w:tcW w:w="5386" w:type="dxa"/>
            <w:vAlign w:val="center"/>
          </w:tcPr>
          <w:p w14:paraId="01E966D1">
            <w:pPr>
              <w:pStyle w:val="13"/>
            </w:pPr>
            <w:r>
              <w:t>专用设备购置安装成本</w:t>
            </w:r>
          </w:p>
        </w:tc>
        <w:tc>
          <w:tcPr>
            <w:tcW w:w="2268" w:type="dxa"/>
            <w:vAlign w:val="center"/>
          </w:tcPr>
          <w:p w14:paraId="16FD63E0">
            <w:pPr>
              <w:pStyle w:val="13"/>
            </w:pPr>
            <w:r>
              <w:t>15万元</w:t>
            </w:r>
          </w:p>
        </w:tc>
        <w:tc>
          <w:tcPr>
            <w:tcW w:w="1276" w:type="dxa"/>
            <w:vAlign w:val="center"/>
          </w:tcPr>
          <w:p w14:paraId="57542F4A">
            <w:pPr>
              <w:pStyle w:val="13"/>
            </w:pPr>
            <w:r>
              <w:t>项目规划</w:t>
            </w:r>
          </w:p>
        </w:tc>
      </w:tr>
      <w:tr w14:paraId="727F1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A211CA">
            <w:pPr>
              <w:pStyle w:val="12"/>
            </w:pPr>
            <w:r>
              <w:t>效益指标</w:t>
            </w:r>
          </w:p>
        </w:tc>
        <w:tc>
          <w:tcPr>
            <w:tcW w:w="2268" w:type="dxa"/>
            <w:vAlign w:val="center"/>
          </w:tcPr>
          <w:p w14:paraId="3883223E">
            <w:pPr>
              <w:pStyle w:val="13"/>
            </w:pPr>
            <w:r>
              <w:t>可持续影响指标</w:t>
            </w:r>
          </w:p>
        </w:tc>
        <w:tc>
          <w:tcPr>
            <w:tcW w:w="2835" w:type="dxa"/>
            <w:vAlign w:val="center"/>
          </w:tcPr>
          <w:p w14:paraId="448D11F3">
            <w:pPr>
              <w:pStyle w:val="13"/>
            </w:pPr>
            <w:r>
              <w:t>学校运转得到提高</w:t>
            </w:r>
          </w:p>
        </w:tc>
        <w:tc>
          <w:tcPr>
            <w:tcW w:w="5386" w:type="dxa"/>
            <w:vAlign w:val="center"/>
          </w:tcPr>
          <w:p w14:paraId="007FD24C">
            <w:pPr>
              <w:pStyle w:val="13"/>
            </w:pPr>
            <w:r>
              <w:t>学生受教育年限</w:t>
            </w:r>
          </w:p>
        </w:tc>
        <w:tc>
          <w:tcPr>
            <w:tcW w:w="2268" w:type="dxa"/>
            <w:vAlign w:val="center"/>
          </w:tcPr>
          <w:p w14:paraId="0CF6953E">
            <w:pPr>
              <w:pStyle w:val="13"/>
            </w:pPr>
            <w:r>
              <w:t>6年</w:t>
            </w:r>
          </w:p>
        </w:tc>
        <w:tc>
          <w:tcPr>
            <w:tcW w:w="1276" w:type="dxa"/>
            <w:vAlign w:val="center"/>
          </w:tcPr>
          <w:p w14:paraId="1B38E51D">
            <w:pPr>
              <w:pStyle w:val="13"/>
            </w:pPr>
            <w:r>
              <w:t>项目规划</w:t>
            </w:r>
          </w:p>
        </w:tc>
      </w:tr>
      <w:tr w14:paraId="6A0E0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160B3A">
            <w:pPr>
              <w:pStyle w:val="12"/>
            </w:pPr>
            <w:r>
              <w:t>满意度指标</w:t>
            </w:r>
          </w:p>
        </w:tc>
        <w:tc>
          <w:tcPr>
            <w:tcW w:w="2268" w:type="dxa"/>
            <w:vAlign w:val="center"/>
          </w:tcPr>
          <w:p w14:paraId="6E947164">
            <w:pPr>
              <w:pStyle w:val="13"/>
            </w:pPr>
            <w:r>
              <w:t>服务对象满意度指标</w:t>
            </w:r>
          </w:p>
        </w:tc>
        <w:tc>
          <w:tcPr>
            <w:tcW w:w="2835" w:type="dxa"/>
            <w:vAlign w:val="center"/>
          </w:tcPr>
          <w:p w14:paraId="2359D68E">
            <w:pPr>
              <w:pStyle w:val="13"/>
            </w:pPr>
            <w:r>
              <w:t>学生和家长满意度</w:t>
            </w:r>
          </w:p>
        </w:tc>
        <w:tc>
          <w:tcPr>
            <w:tcW w:w="5386" w:type="dxa"/>
            <w:vAlign w:val="center"/>
          </w:tcPr>
          <w:p w14:paraId="33508193">
            <w:pPr>
              <w:pStyle w:val="13"/>
            </w:pPr>
            <w:r>
              <w:t>大幅提高学生和学生家长满意度</w:t>
            </w:r>
          </w:p>
        </w:tc>
        <w:tc>
          <w:tcPr>
            <w:tcW w:w="2268" w:type="dxa"/>
            <w:vAlign w:val="center"/>
          </w:tcPr>
          <w:p w14:paraId="56464CA7">
            <w:pPr>
              <w:pStyle w:val="13"/>
            </w:pPr>
            <w:r>
              <w:t>≥95%</w:t>
            </w:r>
          </w:p>
        </w:tc>
        <w:tc>
          <w:tcPr>
            <w:tcW w:w="1276" w:type="dxa"/>
            <w:vAlign w:val="center"/>
          </w:tcPr>
          <w:p w14:paraId="5239E7E4">
            <w:pPr>
              <w:pStyle w:val="13"/>
            </w:pPr>
            <w:r>
              <w:t>项目规划</w:t>
            </w:r>
          </w:p>
        </w:tc>
      </w:tr>
    </w:tbl>
    <w:p w14:paraId="3EB5664F">
      <w:pPr>
        <w:sectPr>
          <w:pgSz w:w="16840" w:h="11900" w:orient="landscape"/>
          <w:pgMar w:top="1361" w:right="1020" w:bottom="1134" w:left="1020" w:header="720" w:footer="720" w:gutter="0"/>
          <w:cols w:space="720" w:num="1"/>
        </w:sectPr>
      </w:pPr>
    </w:p>
    <w:p w14:paraId="703CA5BF">
      <w:pPr>
        <w:spacing w:before="0" w:after="0"/>
        <w:ind w:firstLine="560"/>
        <w:jc w:val="left"/>
        <w:outlineLvl w:val="9"/>
      </w:pPr>
      <w:r>
        <w:rPr>
          <w:rFonts w:ascii="方正仿宋_GBK" w:hAnsi="方正仿宋_GBK" w:eastAsia="方正仿宋_GBK" w:cs="方正仿宋_GBK"/>
          <w:b/>
          <w:color w:val="000000"/>
          <w:sz w:val="28"/>
        </w:rPr>
        <w:t>10、冀财教[2024]123号/中央/2025年义教补助经费/综合奖补/义丰小学公用经费绩效目标表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7D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A8CE9">
            <w:pPr>
              <w:pStyle w:val="14"/>
            </w:pPr>
            <w:r>
              <w:t>单位：万元</w:t>
            </w:r>
          </w:p>
        </w:tc>
      </w:tr>
      <w:tr w14:paraId="4B460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3CBCE2">
            <w:pPr>
              <w:pStyle w:val="11"/>
            </w:pPr>
            <w:r>
              <w:t>项目编码</w:t>
            </w:r>
          </w:p>
        </w:tc>
        <w:tc>
          <w:tcPr>
            <w:tcW w:w="5103" w:type="dxa"/>
            <w:gridSpan w:val="2"/>
            <w:vAlign w:val="center"/>
          </w:tcPr>
          <w:p w14:paraId="5D9BA0D6">
            <w:pPr>
              <w:pStyle w:val="13"/>
            </w:pPr>
            <w:r>
              <w:t>13052525P00875610242K</w:t>
            </w:r>
          </w:p>
        </w:tc>
        <w:tc>
          <w:tcPr>
            <w:tcW w:w="2835" w:type="dxa"/>
            <w:vAlign w:val="center"/>
          </w:tcPr>
          <w:p w14:paraId="38AD233D">
            <w:pPr>
              <w:pStyle w:val="11"/>
            </w:pPr>
            <w:r>
              <w:t>项目名称</w:t>
            </w:r>
          </w:p>
        </w:tc>
        <w:tc>
          <w:tcPr>
            <w:tcW w:w="6095" w:type="dxa"/>
            <w:gridSpan w:val="3"/>
            <w:vAlign w:val="center"/>
          </w:tcPr>
          <w:p w14:paraId="72363261">
            <w:pPr>
              <w:pStyle w:val="13"/>
            </w:pPr>
            <w:r>
              <w:t>冀财教[2024]123号/中央/2025年义教补助经费/综合奖补/义丰小学公用经费</w:t>
            </w:r>
          </w:p>
        </w:tc>
      </w:tr>
      <w:tr w14:paraId="0BE9C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63F22">
            <w:pPr>
              <w:pStyle w:val="11"/>
            </w:pPr>
            <w:r>
              <w:t>预算规模及资金用途</w:t>
            </w:r>
          </w:p>
        </w:tc>
        <w:tc>
          <w:tcPr>
            <w:tcW w:w="2268" w:type="dxa"/>
            <w:vAlign w:val="center"/>
          </w:tcPr>
          <w:p w14:paraId="70461361">
            <w:pPr>
              <w:pStyle w:val="11"/>
            </w:pPr>
            <w:r>
              <w:t>预算数</w:t>
            </w:r>
          </w:p>
        </w:tc>
        <w:tc>
          <w:tcPr>
            <w:tcW w:w="2835" w:type="dxa"/>
            <w:vAlign w:val="center"/>
          </w:tcPr>
          <w:p w14:paraId="5360AEE3">
            <w:pPr>
              <w:pStyle w:val="13"/>
            </w:pPr>
            <w:r>
              <w:t>9.59</w:t>
            </w:r>
          </w:p>
        </w:tc>
        <w:tc>
          <w:tcPr>
            <w:tcW w:w="2835" w:type="dxa"/>
            <w:vAlign w:val="center"/>
          </w:tcPr>
          <w:p w14:paraId="005B4B78">
            <w:pPr>
              <w:pStyle w:val="11"/>
            </w:pPr>
            <w:r>
              <w:t>其中：财政    资金</w:t>
            </w:r>
          </w:p>
        </w:tc>
        <w:tc>
          <w:tcPr>
            <w:tcW w:w="2551" w:type="dxa"/>
            <w:vAlign w:val="center"/>
          </w:tcPr>
          <w:p w14:paraId="4EBA1ABC">
            <w:pPr>
              <w:pStyle w:val="13"/>
            </w:pPr>
            <w:r>
              <w:t>9.59</w:t>
            </w:r>
          </w:p>
        </w:tc>
        <w:tc>
          <w:tcPr>
            <w:tcW w:w="2268" w:type="dxa"/>
            <w:vAlign w:val="center"/>
          </w:tcPr>
          <w:p w14:paraId="409C13DC">
            <w:pPr>
              <w:pStyle w:val="11"/>
            </w:pPr>
            <w:r>
              <w:t>其他资金</w:t>
            </w:r>
          </w:p>
        </w:tc>
        <w:tc>
          <w:tcPr>
            <w:tcW w:w="1276" w:type="dxa"/>
            <w:vAlign w:val="center"/>
          </w:tcPr>
          <w:p w14:paraId="040CA076">
            <w:pPr>
              <w:pStyle w:val="13"/>
            </w:pPr>
            <w:r>
              <w:t xml:space="preserve"> </w:t>
            </w:r>
          </w:p>
        </w:tc>
      </w:tr>
      <w:tr w14:paraId="119B9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049406"/>
        </w:tc>
        <w:tc>
          <w:tcPr>
            <w:tcW w:w="14033" w:type="dxa"/>
            <w:gridSpan w:val="6"/>
            <w:vAlign w:val="center"/>
          </w:tcPr>
          <w:p w14:paraId="1E5D65DA">
            <w:pPr>
              <w:pStyle w:val="13"/>
            </w:pPr>
            <w:r>
              <w:t>提升教学环境，提高教学质量，公用经费安排购置资金12万元</w:t>
            </w:r>
          </w:p>
        </w:tc>
      </w:tr>
      <w:tr w14:paraId="3D765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3E0C2">
            <w:pPr>
              <w:pStyle w:val="11"/>
            </w:pPr>
            <w:r>
              <w:t>资金支出计划（%）</w:t>
            </w:r>
          </w:p>
        </w:tc>
        <w:tc>
          <w:tcPr>
            <w:tcW w:w="5103" w:type="dxa"/>
            <w:gridSpan w:val="2"/>
            <w:vAlign w:val="center"/>
          </w:tcPr>
          <w:p w14:paraId="35883D83">
            <w:pPr>
              <w:pStyle w:val="11"/>
            </w:pPr>
            <w:r>
              <w:t>3月底</w:t>
            </w:r>
          </w:p>
        </w:tc>
        <w:tc>
          <w:tcPr>
            <w:tcW w:w="2835" w:type="dxa"/>
            <w:vAlign w:val="center"/>
          </w:tcPr>
          <w:p w14:paraId="11DD07F3">
            <w:pPr>
              <w:pStyle w:val="11"/>
            </w:pPr>
            <w:r>
              <w:t>6月底</w:t>
            </w:r>
          </w:p>
        </w:tc>
        <w:tc>
          <w:tcPr>
            <w:tcW w:w="2551" w:type="dxa"/>
            <w:vAlign w:val="center"/>
          </w:tcPr>
          <w:p w14:paraId="0937AE70">
            <w:pPr>
              <w:pStyle w:val="11"/>
            </w:pPr>
            <w:r>
              <w:t>10月底</w:t>
            </w:r>
          </w:p>
        </w:tc>
        <w:tc>
          <w:tcPr>
            <w:tcW w:w="3544" w:type="dxa"/>
            <w:gridSpan w:val="2"/>
            <w:vAlign w:val="center"/>
          </w:tcPr>
          <w:p w14:paraId="049004E9">
            <w:pPr>
              <w:pStyle w:val="11"/>
            </w:pPr>
            <w:r>
              <w:t>12月底</w:t>
            </w:r>
          </w:p>
        </w:tc>
      </w:tr>
      <w:tr w14:paraId="1FBE0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958CB"/>
        </w:tc>
        <w:tc>
          <w:tcPr>
            <w:tcW w:w="5103" w:type="dxa"/>
            <w:gridSpan w:val="2"/>
            <w:vAlign w:val="center"/>
          </w:tcPr>
          <w:p w14:paraId="5677D745">
            <w:pPr>
              <w:pStyle w:val="12"/>
            </w:pPr>
            <w:r>
              <w:t xml:space="preserve"> </w:t>
            </w:r>
          </w:p>
        </w:tc>
        <w:tc>
          <w:tcPr>
            <w:tcW w:w="2835" w:type="dxa"/>
            <w:vAlign w:val="center"/>
          </w:tcPr>
          <w:p w14:paraId="03CBC309">
            <w:pPr>
              <w:pStyle w:val="12"/>
            </w:pPr>
            <w:r>
              <w:t>50%</w:t>
            </w:r>
          </w:p>
        </w:tc>
        <w:tc>
          <w:tcPr>
            <w:tcW w:w="2551" w:type="dxa"/>
            <w:vAlign w:val="center"/>
          </w:tcPr>
          <w:p w14:paraId="531CC88E">
            <w:pPr>
              <w:pStyle w:val="12"/>
            </w:pPr>
            <w:r>
              <w:t>75%</w:t>
            </w:r>
          </w:p>
        </w:tc>
        <w:tc>
          <w:tcPr>
            <w:tcW w:w="3544" w:type="dxa"/>
            <w:gridSpan w:val="2"/>
            <w:vAlign w:val="center"/>
          </w:tcPr>
          <w:p w14:paraId="2ADCD4B0">
            <w:pPr>
              <w:pStyle w:val="12"/>
            </w:pPr>
            <w:r>
              <w:t>100%</w:t>
            </w:r>
          </w:p>
        </w:tc>
      </w:tr>
      <w:tr w14:paraId="6CEED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BCB90">
            <w:pPr>
              <w:pStyle w:val="11"/>
            </w:pPr>
            <w:r>
              <w:t>绩效目标</w:t>
            </w:r>
          </w:p>
        </w:tc>
        <w:tc>
          <w:tcPr>
            <w:tcW w:w="14033" w:type="dxa"/>
            <w:gridSpan w:val="6"/>
            <w:vAlign w:val="center"/>
          </w:tcPr>
          <w:p w14:paraId="4875C123">
            <w:pPr>
              <w:pStyle w:val="13"/>
            </w:pPr>
            <w:r>
              <w:t>1.提升教学环境，提高教学质量，公用经费安排购置资金12万元</w:t>
            </w:r>
          </w:p>
        </w:tc>
      </w:tr>
    </w:tbl>
    <w:p w14:paraId="26FA6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EFD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0845F">
            <w:pPr>
              <w:pStyle w:val="11"/>
            </w:pPr>
            <w:r>
              <w:t>一级指标</w:t>
            </w:r>
          </w:p>
        </w:tc>
        <w:tc>
          <w:tcPr>
            <w:tcW w:w="2268" w:type="dxa"/>
            <w:vAlign w:val="center"/>
          </w:tcPr>
          <w:p w14:paraId="494ADA88">
            <w:pPr>
              <w:pStyle w:val="11"/>
            </w:pPr>
            <w:r>
              <w:t>二级指标</w:t>
            </w:r>
          </w:p>
        </w:tc>
        <w:tc>
          <w:tcPr>
            <w:tcW w:w="2835" w:type="dxa"/>
            <w:vAlign w:val="center"/>
          </w:tcPr>
          <w:p w14:paraId="5FD21A04">
            <w:pPr>
              <w:pStyle w:val="11"/>
            </w:pPr>
            <w:r>
              <w:t>三级指标</w:t>
            </w:r>
          </w:p>
        </w:tc>
        <w:tc>
          <w:tcPr>
            <w:tcW w:w="5386" w:type="dxa"/>
            <w:vAlign w:val="center"/>
          </w:tcPr>
          <w:p w14:paraId="28B11FE9">
            <w:pPr>
              <w:pStyle w:val="11"/>
            </w:pPr>
            <w:r>
              <w:t>绩效指标描述</w:t>
            </w:r>
          </w:p>
        </w:tc>
        <w:tc>
          <w:tcPr>
            <w:tcW w:w="2268" w:type="dxa"/>
            <w:vAlign w:val="center"/>
          </w:tcPr>
          <w:p w14:paraId="383E39A5">
            <w:pPr>
              <w:pStyle w:val="11"/>
            </w:pPr>
            <w:r>
              <w:t>指标值</w:t>
            </w:r>
          </w:p>
        </w:tc>
        <w:tc>
          <w:tcPr>
            <w:tcW w:w="1276" w:type="dxa"/>
            <w:vAlign w:val="center"/>
          </w:tcPr>
          <w:p w14:paraId="4764F945">
            <w:pPr>
              <w:pStyle w:val="11"/>
            </w:pPr>
            <w:r>
              <w:t>指标值确定依据</w:t>
            </w:r>
          </w:p>
        </w:tc>
      </w:tr>
      <w:tr w14:paraId="4CADB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A8126">
            <w:pPr>
              <w:pStyle w:val="12"/>
            </w:pPr>
            <w:r>
              <w:t>产出指标</w:t>
            </w:r>
          </w:p>
        </w:tc>
        <w:tc>
          <w:tcPr>
            <w:tcW w:w="2268" w:type="dxa"/>
            <w:vAlign w:val="center"/>
          </w:tcPr>
          <w:p w14:paraId="0733A076">
            <w:pPr>
              <w:pStyle w:val="13"/>
            </w:pPr>
            <w:r>
              <w:t>数量指标</w:t>
            </w:r>
          </w:p>
        </w:tc>
        <w:tc>
          <w:tcPr>
            <w:tcW w:w="2835" w:type="dxa"/>
            <w:vAlign w:val="center"/>
          </w:tcPr>
          <w:p w14:paraId="4A26DD4D">
            <w:pPr>
              <w:pStyle w:val="13"/>
            </w:pPr>
            <w:r>
              <w:t>公用经费设备购置</w:t>
            </w:r>
          </w:p>
        </w:tc>
        <w:tc>
          <w:tcPr>
            <w:tcW w:w="5386" w:type="dxa"/>
            <w:vAlign w:val="center"/>
          </w:tcPr>
          <w:p w14:paraId="3DAC98DF">
            <w:pPr>
              <w:pStyle w:val="13"/>
            </w:pPr>
            <w:r>
              <w:t>购置监控设备一套</w:t>
            </w:r>
          </w:p>
        </w:tc>
        <w:tc>
          <w:tcPr>
            <w:tcW w:w="2268" w:type="dxa"/>
            <w:vAlign w:val="center"/>
          </w:tcPr>
          <w:p w14:paraId="1CB4E60B">
            <w:pPr>
              <w:pStyle w:val="13"/>
            </w:pPr>
            <w:r>
              <w:t>1套</w:t>
            </w:r>
          </w:p>
        </w:tc>
        <w:tc>
          <w:tcPr>
            <w:tcW w:w="1276" w:type="dxa"/>
            <w:vAlign w:val="center"/>
          </w:tcPr>
          <w:p w14:paraId="45AB48A9">
            <w:pPr>
              <w:pStyle w:val="13"/>
            </w:pPr>
            <w:r>
              <w:t>按项目规划</w:t>
            </w:r>
          </w:p>
        </w:tc>
      </w:tr>
      <w:tr w14:paraId="72F8C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EFBB0"/>
        </w:tc>
        <w:tc>
          <w:tcPr>
            <w:tcW w:w="2268" w:type="dxa"/>
            <w:vAlign w:val="center"/>
          </w:tcPr>
          <w:p w14:paraId="0AF302CA">
            <w:pPr>
              <w:pStyle w:val="13"/>
            </w:pPr>
            <w:r>
              <w:t>质量指标</w:t>
            </w:r>
          </w:p>
        </w:tc>
        <w:tc>
          <w:tcPr>
            <w:tcW w:w="2835" w:type="dxa"/>
            <w:vAlign w:val="center"/>
          </w:tcPr>
          <w:p w14:paraId="538D78D8">
            <w:pPr>
              <w:pStyle w:val="13"/>
            </w:pPr>
            <w:r>
              <w:t>购置项目质量合格率</w:t>
            </w:r>
          </w:p>
        </w:tc>
        <w:tc>
          <w:tcPr>
            <w:tcW w:w="5386" w:type="dxa"/>
            <w:vAlign w:val="center"/>
          </w:tcPr>
          <w:p w14:paraId="35A7CB08">
            <w:pPr>
              <w:pStyle w:val="13"/>
            </w:pPr>
            <w:r>
              <w:t>专用设备购置质量合格率</w:t>
            </w:r>
          </w:p>
        </w:tc>
        <w:tc>
          <w:tcPr>
            <w:tcW w:w="2268" w:type="dxa"/>
            <w:vAlign w:val="center"/>
          </w:tcPr>
          <w:p w14:paraId="0A9E1B6B">
            <w:pPr>
              <w:pStyle w:val="13"/>
            </w:pPr>
            <w:r>
              <w:t>≥100%</w:t>
            </w:r>
          </w:p>
        </w:tc>
        <w:tc>
          <w:tcPr>
            <w:tcW w:w="1276" w:type="dxa"/>
            <w:vAlign w:val="center"/>
          </w:tcPr>
          <w:p w14:paraId="32B2425A">
            <w:pPr>
              <w:pStyle w:val="13"/>
            </w:pPr>
            <w:r>
              <w:t>按项目规划</w:t>
            </w:r>
          </w:p>
        </w:tc>
      </w:tr>
      <w:tr w14:paraId="6D566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FD322"/>
        </w:tc>
        <w:tc>
          <w:tcPr>
            <w:tcW w:w="2268" w:type="dxa"/>
            <w:vAlign w:val="center"/>
          </w:tcPr>
          <w:p w14:paraId="6D64D585">
            <w:pPr>
              <w:pStyle w:val="13"/>
            </w:pPr>
            <w:r>
              <w:t>时效指标</w:t>
            </w:r>
          </w:p>
        </w:tc>
        <w:tc>
          <w:tcPr>
            <w:tcW w:w="2835" w:type="dxa"/>
            <w:vAlign w:val="center"/>
          </w:tcPr>
          <w:p w14:paraId="5A7C5CAD">
            <w:pPr>
              <w:pStyle w:val="13"/>
            </w:pPr>
            <w:r>
              <w:t>按时完成率</w:t>
            </w:r>
          </w:p>
        </w:tc>
        <w:tc>
          <w:tcPr>
            <w:tcW w:w="5386" w:type="dxa"/>
            <w:vAlign w:val="center"/>
          </w:tcPr>
          <w:p w14:paraId="0D291E7A">
            <w:pPr>
              <w:pStyle w:val="13"/>
            </w:pPr>
            <w:r>
              <w:t>购置项目按时序进度完成比例</w:t>
            </w:r>
          </w:p>
        </w:tc>
        <w:tc>
          <w:tcPr>
            <w:tcW w:w="2268" w:type="dxa"/>
            <w:vAlign w:val="center"/>
          </w:tcPr>
          <w:p w14:paraId="6C941BE1">
            <w:pPr>
              <w:pStyle w:val="13"/>
            </w:pPr>
            <w:r>
              <w:t>≥100%</w:t>
            </w:r>
          </w:p>
        </w:tc>
        <w:tc>
          <w:tcPr>
            <w:tcW w:w="1276" w:type="dxa"/>
            <w:vAlign w:val="center"/>
          </w:tcPr>
          <w:p w14:paraId="68DBA148">
            <w:pPr>
              <w:pStyle w:val="13"/>
            </w:pPr>
            <w:r>
              <w:t>按项目规划</w:t>
            </w:r>
          </w:p>
        </w:tc>
      </w:tr>
      <w:tr w14:paraId="722BD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257CC"/>
        </w:tc>
        <w:tc>
          <w:tcPr>
            <w:tcW w:w="2268" w:type="dxa"/>
            <w:vAlign w:val="center"/>
          </w:tcPr>
          <w:p w14:paraId="5FA1BADC">
            <w:pPr>
              <w:pStyle w:val="13"/>
            </w:pPr>
            <w:r>
              <w:t>成本指标</w:t>
            </w:r>
          </w:p>
        </w:tc>
        <w:tc>
          <w:tcPr>
            <w:tcW w:w="2835" w:type="dxa"/>
            <w:vAlign w:val="center"/>
          </w:tcPr>
          <w:p w14:paraId="4C1B2D62">
            <w:pPr>
              <w:pStyle w:val="13"/>
            </w:pPr>
            <w:r>
              <w:t>安装成本</w:t>
            </w:r>
          </w:p>
        </w:tc>
        <w:tc>
          <w:tcPr>
            <w:tcW w:w="5386" w:type="dxa"/>
            <w:vAlign w:val="center"/>
          </w:tcPr>
          <w:p w14:paraId="5A4AE2DC">
            <w:pPr>
              <w:pStyle w:val="13"/>
            </w:pPr>
            <w:r>
              <w:t>专用设备购置安装成本</w:t>
            </w:r>
          </w:p>
        </w:tc>
        <w:tc>
          <w:tcPr>
            <w:tcW w:w="2268" w:type="dxa"/>
            <w:vAlign w:val="center"/>
          </w:tcPr>
          <w:p w14:paraId="5D45A7D4">
            <w:pPr>
              <w:pStyle w:val="13"/>
            </w:pPr>
            <w:r>
              <w:t>95940元</w:t>
            </w:r>
          </w:p>
        </w:tc>
        <w:tc>
          <w:tcPr>
            <w:tcW w:w="1276" w:type="dxa"/>
            <w:vAlign w:val="center"/>
          </w:tcPr>
          <w:p w14:paraId="7F338A8F">
            <w:pPr>
              <w:pStyle w:val="13"/>
            </w:pPr>
            <w:r>
              <w:t>按项目规划</w:t>
            </w:r>
          </w:p>
        </w:tc>
      </w:tr>
      <w:tr w14:paraId="1B09E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B5C9C3">
            <w:pPr>
              <w:pStyle w:val="12"/>
            </w:pPr>
            <w:r>
              <w:t>效益指标</w:t>
            </w:r>
          </w:p>
        </w:tc>
        <w:tc>
          <w:tcPr>
            <w:tcW w:w="2268" w:type="dxa"/>
            <w:vAlign w:val="center"/>
          </w:tcPr>
          <w:p w14:paraId="101E0F34">
            <w:pPr>
              <w:pStyle w:val="13"/>
            </w:pPr>
            <w:r>
              <w:t>可持续影响指标</w:t>
            </w:r>
          </w:p>
        </w:tc>
        <w:tc>
          <w:tcPr>
            <w:tcW w:w="2835" w:type="dxa"/>
            <w:vAlign w:val="center"/>
          </w:tcPr>
          <w:p w14:paraId="14204D88">
            <w:pPr>
              <w:pStyle w:val="13"/>
            </w:pPr>
            <w:r>
              <w:t>学校运转得到提高</w:t>
            </w:r>
          </w:p>
        </w:tc>
        <w:tc>
          <w:tcPr>
            <w:tcW w:w="5386" w:type="dxa"/>
            <w:vAlign w:val="center"/>
          </w:tcPr>
          <w:p w14:paraId="49C4291D">
            <w:pPr>
              <w:pStyle w:val="13"/>
            </w:pPr>
            <w:r>
              <w:t>学生受教育年限</w:t>
            </w:r>
          </w:p>
        </w:tc>
        <w:tc>
          <w:tcPr>
            <w:tcW w:w="2268" w:type="dxa"/>
            <w:vAlign w:val="center"/>
          </w:tcPr>
          <w:p w14:paraId="3309D7BC">
            <w:pPr>
              <w:pStyle w:val="13"/>
            </w:pPr>
            <w:r>
              <w:t>6年</w:t>
            </w:r>
          </w:p>
        </w:tc>
        <w:tc>
          <w:tcPr>
            <w:tcW w:w="1276" w:type="dxa"/>
            <w:vAlign w:val="center"/>
          </w:tcPr>
          <w:p w14:paraId="19EF6739">
            <w:pPr>
              <w:pStyle w:val="13"/>
            </w:pPr>
            <w:r>
              <w:t>按项目规划</w:t>
            </w:r>
          </w:p>
        </w:tc>
      </w:tr>
      <w:tr w14:paraId="3E29A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76B0C3">
            <w:pPr>
              <w:pStyle w:val="12"/>
            </w:pPr>
            <w:r>
              <w:t>满意度指标</w:t>
            </w:r>
          </w:p>
        </w:tc>
        <w:tc>
          <w:tcPr>
            <w:tcW w:w="2268" w:type="dxa"/>
            <w:vAlign w:val="center"/>
          </w:tcPr>
          <w:p w14:paraId="35646D5D">
            <w:pPr>
              <w:pStyle w:val="13"/>
            </w:pPr>
            <w:r>
              <w:t>服务对象满意度指标</w:t>
            </w:r>
          </w:p>
        </w:tc>
        <w:tc>
          <w:tcPr>
            <w:tcW w:w="2835" w:type="dxa"/>
            <w:vAlign w:val="center"/>
          </w:tcPr>
          <w:p w14:paraId="0BBD1546">
            <w:pPr>
              <w:pStyle w:val="13"/>
            </w:pPr>
            <w:r>
              <w:t>学生和学生家长满意度</w:t>
            </w:r>
          </w:p>
        </w:tc>
        <w:tc>
          <w:tcPr>
            <w:tcW w:w="5386" w:type="dxa"/>
            <w:vAlign w:val="center"/>
          </w:tcPr>
          <w:p w14:paraId="104011B3">
            <w:pPr>
              <w:pStyle w:val="13"/>
            </w:pPr>
            <w:r>
              <w:t>大幅提高学生和学生家长满意度</w:t>
            </w:r>
          </w:p>
        </w:tc>
        <w:tc>
          <w:tcPr>
            <w:tcW w:w="2268" w:type="dxa"/>
            <w:vAlign w:val="center"/>
          </w:tcPr>
          <w:p w14:paraId="218CBCB6">
            <w:pPr>
              <w:pStyle w:val="13"/>
            </w:pPr>
            <w:r>
              <w:t>≥98%</w:t>
            </w:r>
          </w:p>
        </w:tc>
        <w:tc>
          <w:tcPr>
            <w:tcW w:w="1276" w:type="dxa"/>
            <w:vAlign w:val="center"/>
          </w:tcPr>
          <w:p w14:paraId="1D5A34F5">
            <w:pPr>
              <w:pStyle w:val="13"/>
            </w:pPr>
            <w:r>
              <w:t>按项目规划</w:t>
            </w:r>
          </w:p>
        </w:tc>
      </w:tr>
    </w:tbl>
    <w:p w14:paraId="4E718F1F">
      <w:pPr>
        <w:sectPr>
          <w:pgSz w:w="16840" w:h="11900" w:orient="landscape"/>
          <w:pgMar w:top="1361" w:right="1020" w:bottom="1134" w:left="1020" w:header="720" w:footer="720" w:gutter="0"/>
          <w:cols w:space="720" w:num="1"/>
        </w:sectPr>
      </w:pPr>
    </w:p>
    <w:p w14:paraId="67401EA2">
      <w:pPr>
        <w:spacing w:before="0" w:after="0"/>
        <w:ind w:firstLine="560"/>
        <w:jc w:val="left"/>
        <w:outlineLvl w:val="9"/>
      </w:pPr>
      <w:r>
        <w:rPr>
          <w:rFonts w:ascii="方正仿宋_GBK" w:hAnsi="方正仿宋_GBK" w:eastAsia="方正仿宋_GBK" w:cs="方正仿宋_GBK"/>
          <w:b/>
          <w:color w:val="000000"/>
          <w:sz w:val="28"/>
        </w:rPr>
        <w:t>11、冀财教[2024]141号/省级/2025年义教补助经费/东甫小学公用经费绩效目标表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B5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AB38B">
            <w:pPr>
              <w:pStyle w:val="14"/>
            </w:pPr>
            <w:r>
              <w:t>单位：万元</w:t>
            </w:r>
          </w:p>
        </w:tc>
      </w:tr>
      <w:tr w14:paraId="22112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D6E84">
            <w:pPr>
              <w:pStyle w:val="11"/>
            </w:pPr>
            <w:r>
              <w:t>项目编码</w:t>
            </w:r>
          </w:p>
        </w:tc>
        <w:tc>
          <w:tcPr>
            <w:tcW w:w="5103" w:type="dxa"/>
            <w:gridSpan w:val="2"/>
            <w:vAlign w:val="center"/>
          </w:tcPr>
          <w:p w14:paraId="0BD98F04">
            <w:pPr>
              <w:pStyle w:val="13"/>
            </w:pPr>
            <w:r>
              <w:t>13052525P000004101420</w:t>
            </w:r>
          </w:p>
        </w:tc>
        <w:tc>
          <w:tcPr>
            <w:tcW w:w="2835" w:type="dxa"/>
            <w:vAlign w:val="center"/>
          </w:tcPr>
          <w:p w14:paraId="1C341A68">
            <w:pPr>
              <w:pStyle w:val="11"/>
            </w:pPr>
            <w:r>
              <w:t>项目名称</w:t>
            </w:r>
          </w:p>
        </w:tc>
        <w:tc>
          <w:tcPr>
            <w:tcW w:w="6095" w:type="dxa"/>
            <w:gridSpan w:val="3"/>
            <w:vAlign w:val="center"/>
          </w:tcPr>
          <w:p w14:paraId="22F1D77E">
            <w:pPr>
              <w:pStyle w:val="13"/>
            </w:pPr>
            <w:r>
              <w:t>冀财教[2024]141号/省级/2025年义教补助经费/东甫小学公用经费</w:t>
            </w:r>
          </w:p>
        </w:tc>
      </w:tr>
      <w:tr w14:paraId="3FFF1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E56F5">
            <w:pPr>
              <w:pStyle w:val="11"/>
            </w:pPr>
            <w:r>
              <w:t>预算规模及资金用途</w:t>
            </w:r>
          </w:p>
        </w:tc>
        <w:tc>
          <w:tcPr>
            <w:tcW w:w="2268" w:type="dxa"/>
            <w:vAlign w:val="center"/>
          </w:tcPr>
          <w:p w14:paraId="055F48B4">
            <w:pPr>
              <w:pStyle w:val="11"/>
            </w:pPr>
            <w:r>
              <w:t>预算数</w:t>
            </w:r>
          </w:p>
        </w:tc>
        <w:tc>
          <w:tcPr>
            <w:tcW w:w="2835" w:type="dxa"/>
            <w:vAlign w:val="center"/>
          </w:tcPr>
          <w:p w14:paraId="69F22A6E">
            <w:pPr>
              <w:pStyle w:val="13"/>
            </w:pPr>
            <w:r>
              <w:t>17.85</w:t>
            </w:r>
          </w:p>
        </w:tc>
        <w:tc>
          <w:tcPr>
            <w:tcW w:w="2835" w:type="dxa"/>
            <w:vAlign w:val="center"/>
          </w:tcPr>
          <w:p w14:paraId="44993E1F">
            <w:pPr>
              <w:pStyle w:val="11"/>
            </w:pPr>
            <w:r>
              <w:t>其中：财政    资金</w:t>
            </w:r>
          </w:p>
        </w:tc>
        <w:tc>
          <w:tcPr>
            <w:tcW w:w="2551" w:type="dxa"/>
            <w:vAlign w:val="center"/>
          </w:tcPr>
          <w:p w14:paraId="73F96BB1">
            <w:pPr>
              <w:pStyle w:val="13"/>
            </w:pPr>
            <w:r>
              <w:t>17.85</w:t>
            </w:r>
          </w:p>
        </w:tc>
        <w:tc>
          <w:tcPr>
            <w:tcW w:w="2268" w:type="dxa"/>
            <w:vAlign w:val="center"/>
          </w:tcPr>
          <w:p w14:paraId="24DFEF7C">
            <w:pPr>
              <w:pStyle w:val="11"/>
            </w:pPr>
            <w:r>
              <w:t>其他资金</w:t>
            </w:r>
          </w:p>
        </w:tc>
        <w:tc>
          <w:tcPr>
            <w:tcW w:w="1276" w:type="dxa"/>
            <w:vAlign w:val="center"/>
          </w:tcPr>
          <w:p w14:paraId="5C880B45">
            <w:pPr>
              <w:pStyle w:val="13"/>
            </w:pPr>
            <w:r>
              <w:t xml:space="preserve"> </w:t>
            </w:r>
          </w:p>
        </w:tc>
      </w:tr>
      <w:tr w14:paraId="1B015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C72509"/>
        </w:tc>
        <w:tc>
          <w:tcPr>
            <w:tcW w:w="14033" w:type="dxa"/>
            <w:gridSpan w:val="6"/>
            <w:vAlign w:val="center"/>
          </w:tcPr>
          <w:p w14:paraId="1C2858DB">
            <w:pPr>
              <w:pStyle w:val="13"/>
            </w:pPr>
            <w:r>
              <w:t>有效完成学校教学安全秩序，保障学校教学任务有效开展，满足学校正常教学需要。</w:t>
            </w:r>
          </w:p>
        </w:tc>
      </w:tr>
      <w:tr w14:paraId="79304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5289A">
            <w:pPr>
              <w:pStyle w:val="11"/>
            </w:pPr>
            <w:r>
              <w:t>资金支出计划（%）</w:t>
            </w:r>
          </w:p>
        </w:tc>
        <w:tc>
          <w:tcPr>
            <w:tcW w:w="5103" w:type="dxa"/>
            <w:gridSpan w:val="2"/>
            <w:vAlign w:val="center"/>
          </w:tcPr>
          <w:p w14:paraId="6F8F0147">
            <w:pPr>
              <w:pStyle w:val="11"/>
            </w:pPr>
            <w:r>
              <w:t>3月底</w:t>
            </w:r>
          </w:p>
        </w:tc>
        <w:tc>
          <w:tcPr>
            <w:tcW w:w="2835" w:type="dxa"/>
            <w:vAlign w:val="center"/>
          </w:tcPr>
          <w:p w14:paraId="2296E249">
            <w:pPr>
              <w:pStyle w:val="11"/>
            </w:pPr>
            <w:r>
              <w:t>6月底</w:t>
            </w:r>
          </w:p>
        </w:tc>
        <w:tc>
          <w:tcPr>
            <w:tcW w:w="2551" w:type="dxa"/>
            <w:vAlign w:val="center"/>
          </w:tcPr>
          <w:p w14:paraId="5E247C76">
            <w:pPr>
              <w:pStyle w:val="11"/>
            </w:pPr>
            <w:r>
              <w:t>10月底</w:t>
            </w:r>
          </w:p>
        </w:tc>
        <w:tc>
          <w:tcPr>
            <w:tcW w:w="3544" w:type="dxa"/>
            <w:gridSpan w:val="2"/>
            <w:vAlign w:val="center"/>
          </w:tcPr>
          <w:p w14:paraId="22FBF60D">
            <w:pPr>
              <w:pStyle w:val="11"/>
            </w:pPr>
            <w:r>
              <w:t>12月底</w:t>
            </w:r>
          </w:p>
        </w:tc>
      </w:tr>
      <w:tr w14:paraId="67D01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C9A33A"/>
        </w:tc>
        <w:tc>
          <w:tcPr>
            <w:tcW w:w="5103" w:type="dxa"/>
            <w:gridSpan w:val="2"/>
            <w:vAlign w:val="center"/>
          </w:tcPr>
          <w:p w14:paraId="028C14CF">
            <w:pPr>
              <w:pStyle w:val="12"/>
            </w:pPr>
            <w:r>
              <w:t>25%</w:t>
            </w:r>
          </w:p>
        </w:tc>
        <w:tc>
          <w:tcPr>
            <w:tcW w:w="2835" w:type="dxa"/>
            <w:vAlign w:val="center"/>
          </w:tcPr>
          <w:p w14:paraId="4925E447">
            <w:pPr>
              <w:pStyle w:val="12"/>
            </w:pPr>
            <w:r>
              <w:t>50%</w:t>
            </w:r>
          </w:p>
        </w:tc>
        <w:tc>
          <w:tcPr>
            <w:tcW w:w="2551" w:type="dxa"/>
            <w:vAlign w:val="center"/>
          </w:tcPr>
          <w:p w14:paraId="726D3731">
            <w:pPr>
              <w:pStyle w:val="12"/>
            </w:pPr>
            <w:r>
              <w:t>75%</w:t>
            </w:r>
          </w:p>
        </w:tc>
        <w:tc>
          <w:tcPr>
            <w:tcW w:w="3544" w:type="dxa"/>
            <w:gridSpan w:val="2"/>
            <w:vAlign w:val="center"/>
          </w:tcPr>
          <w:p w14:paraId="4B3D5BE4">
            <w:pPr>
              <w:pStyle w:val="12"/>
            </w:pPr>
            <w:r>
              <w:t>100%</w:t>
            </w:r>
          </w:p>
        </w:tc>
      </w:tr>
      <w:tr w14:paraId="02AB8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D7187">
            <w:pPr>
              <w:pStyle w:val="11"/>
            </w:pPr>
            <w:r>
              <w:t>绩效目标</w:t>
            </w:r>
          </w:p>
        </w:tc>
        <w:tc>
          <w:tcPr>
            <w:tcW w:w="14033" w:type="dxa"/>
            <w:gridSpan w:val="6"/>
            <w:vAlign w:val="center"/>
          </w:tcPr>
          <w:p w14:paraId="225121AE">
            <w:pPr>
              <w:pStyle w:val="13"/>
            </w:pPr>
            <w:r>
              <w:t>1.按规定拨付公用经费资金，预算执行率≥98%。</w:t>
            </w:r>
          </w:p>
          <w:p w14:paraId="3C3E63D8">
            <w:pPr>
              <w:pStyle w:val="13"/>
            </w:pPr>
            <w:r>
              <w:t>2.有效完成学校教学安全秩序，保障学校教学任务有效开展，满足学校正常教学需要。</w:t>
            </w:r>
          </w:p>
        </w:tc>
      </w:tr>
    </w:tbl>
    <w:p w14:paraId="2FD50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0D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F9D54">
            <w:pPr>
              <w:pStyle w:val="11"/>
            </w:pPr>
            <w:r>
              <w:t>一级指标</w:t>
            </w:r>
          </w:p>
        </w:tc>
        <w:tc>
          <w:tcPr>
            <w:tcW w:w="2268" w:type="dxa"/>
            <w:vAlign w:val="center"/>
          </w:tcPr>
          <w:p w14:paraId="5D62575C">
            <w:pPr>
              <w:pStyle w:val="11"/>
            </w:pPr>
            <w:r>
              <w:t>二级指标</w:t>
            </w:r>
          </w:p>
        </w:tc>
        <w:tc>
          <w:tcPr>
            <w:tcW w:w="2835" w:type="dxa"/>
            <w:vAlign w:val="center"/>
          </w:tcPr>
          <w:p w14:paraId="44D04F07">
            <w:pPr>
              <w:pStyle w:val="11"/>
            </w:pPr>
            <w:r>
              <w:t>三级指标</w:t>
            </w:r>
          </w:p>
        </w:tc>
        <w:tc>
          <w:tcPr>
            <w:tcW w:w="5386" w:type="dxa"/>
            <w:vAlign w:val="center"/>
          </w:tcPr>
          <w:p w14:paraId="6FA21572">
            <w:pPr>
              <w:pStyle w:val="11"/>
            </w:pPr>
            <w:r>
              <w:t>绩效指标描述</w:t>
            </w:r>
          </w:p>
        </w:tc>
        <w:tc>
          <w:tcPr>
            <w:tcW w:w="2268" w:type="dxa"/>
            <w:vAlign w:val="center"/>
          </w:tcPr>
          <w:p w14:paraId="4ABBADA1">
            <w:pPr>
              <w:pStyle w:val="11"/>
            </w:pPr>
            <w:r>
              <w:t>指标值</w:t>
            </w:r>
          </w:p>
        </w:tc>
        <w:tc>
          <w:tcPr>
            <w:tcW w:w="1276" w:type="dxa"/>
            <w:vAlign w:val="center"/>
          </w:tcPr>
          <w:p w14:paraId="5EF791BB">
            <w:pPr>
              <w:pStyle w:val="11"/>
            </w:pPr>
            <w:r>
              <w:t>指标值确定依据</w:t>
            </w:r>
          </w:p>
        </w:tc>
      </w:tr>
      <w:tr w14:paraId="33AAE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C2E3D">
            <w:pPr>
              <w:pStyle w:val="12"/>
            </w:pPr>
            <w:r>
              <w:t>产出指标</w:t>
            </w:r>
          </w:p>
        </w:tc>
        <w:tc>
          <w:tcPr>
            <w:tcW w:w="2268" w:type="dxa"/>
            <w:vAlign w:val="center"/>
          </w:tcPr>
          <w:p w14:paraId="1CF457D5">
            <w:pPr>
              <w:pStyle w:val="13"/>
            </w:pPr>
            <w:r>
              <w:t>数量指标</w:t>
            </w:r>
          </w:p>
        </w:tc>
        <w:tc>
          <w:tcPr>
            <w:tcW w:w="2835" w:type="dxa"/>
            <w:vAlign w:val="center"/>
          </w:tcPr>
          <w:p w14:paraId="6011D444">
            <w:pPr>
              <w:pStyle w:val="13"/>
            </w:pPr>
            <w:r>
              <w:t>就读学生数</w:t>
            </w:r>
          </w:p>
        </w:tc>
        <w:tc>
          <w:tcPr>
            <w:tcW w:w="5386" w:type="dxa"/>
            <w:vAlign w:val="center"/>
          </w:tcPr>
          <w:p w14:paraId="329EB443">
            <w:pPr>
              <w:pStyle w:val="13"/>
            </w:pPr>
            <w:r>
              <w:t>辐射区域内适龄学生人数</w:t>
            </w:r>
          </w:p>
        </w:tc>
        <w:tc>
          <w:tcPr>
            <w:tcW w:w="2268" w:type="dxa"/>
            <w:vAlign w:val="center"/>
          </w:tcPr>
          <w:p w14:paraId="1D432075">
            <w:pPr>
              <w:pStyle w:val="13"/>
            </w:pPr>
            <w:r>
              <w:t>717人</w:t>
            </w:r>
          </w:p>
        </w:tc>
        <w:tc>
          <w:tcPr>
            <w:tcW w:w="1276" w:type="dxa"/>
            <w:vAlign w:val="center"/>
          </w:tcPr>
          <w:p w14:paraId="4E8E80B1">
            <w:pPr>
              <w:pStyle w:val="13"/>
            </w:pPr>
            <w:r>
              <w:t>城乡义务教育公用经费管理办法</w:t>
            </w:r>
          </w:p>
        </w:tc>
      </w:tr>
      <w:tr w14:paraId="1870A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1A3C6"/>
        </w:tc>
        <w:tc>
          <w:tcPr>
            <w:tcW w:w="2268" w:type="dxa"/>
            <w:vAlign w:val="center"/>
          </w:tcPr>
          <w:p w14:paraId="58C4E0A8">
            <w:pPr>
              <w:pStyle w:val="13"/>
            </w:pPr>
            <w:r>
              <w:t>质量指标</w:t>
            </w:r>
          </w:p>
        </w:tc>
        <w:tc>
          <w:tcPr>
            <w:tcW w:w="2835" w:type="dxa"/>
            <w:vAlign w:val="center"/>
          </w:tcPr>
          <w:p w14:paraId="56281E54">
            <w:pPr>
              <w:pStyle w:val="13"/>
            </w:pPr>
            <w:r>
              <w:t>预算执行率</w:t>
            </w:r>
          </w:p>
        </w:tc>
        <w:tc>
          <w:tcPr>
            <w:tcW w:w="5386" w:type="dxa"/>
            <w:vAlign w:val="center"/>
          </w:tcPr>
          <w:p w14:paraId="60D4E881">
            <w:pPr>
              <w:pStyle w:val="13"/>
            </w:pPr>
            <w:r>
              <w:t>预算执行率</w:t>
            </w:r>
          </w:p>
        </w:tc>
        <w:tc>
          <w:tcPr>
            <w:tcW w:w="2268" w:type="dxa"/>
            <w:vAlign w:val="center"/>
          </w:tcPr>
          <w:p w14:paraId="3FD86D9F">
            <w:pPr>
              <w:pStyle w:val="13"/>
            </w:pPr>
            <w:r>
              <w:t>≥98%</w:t>
            </w:r>
          </w:p>
        </w:tc>
        <w:tc>
          <w:tcPr>
            <w:tcW w:w="1276" w:type="dxa"/>
            <w:vAlign w:val="center"/>
          </w:tcPr>
          <w:p w14:paraId="35916B27">
            <w:pPr>
              <w:pStyle w:val="13"/>
            </w:pPr>
            <w:r>
              <w:t>城乡义务教育公用经费管理办法</w:t>
            </w:r>
          </w:p>
        </w:tc>
      </w:tr>
      <w:tr w14:paraId="32767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262E1"/>
        </w:tc>
        <w:tc>
          <w:tcPr>
            <w:tcW w:w="2268" w:type="dxa"/>
            <w:vAlign w:val="center"/>
          </w:tcPr>
          <w:p w14:paraId="3F361694">
            <w:pPr>
              <w:pStyle w:val="13"/>
            </w:pPr>
            <w:r>
              <w:t>时效指标</w:t>
            </w:r>
          </w:p>
        </w:tc>
        <w:tc>
          <w:tcPr>
            <w:tcW w:w="2835" w:type="dxa"/>
            <w:vAlign w:val="center"/>
          </w:tcPr>
          <w:p w14:paraId="270A10F2">
            <w:pPr>
              <w:pStyle w:val="13"/>
            </w:pPr>
            <w:r>
              <w:t>义教经费支付完成率</w:t>
            </w:r>
          </w:p>
        </w:tc>
        <w:tc>
          <w:tcPr>
            <w:tcW w:w="5386" w:type="dxa"/>
            <w:vAlign w:val="center"/>
          </w:tcPr>
          <w:p w14:paraId="7F64C79E">
            <w:pPr>
              <w:pStyle w:val="13"/>
            </w:pPr>
            <w:r>
              <w:t>按照序时进度完成资金支付</w:t>
            </w:r>
          </w:p>
        </w:tc>
        <w:tc>
          <w:tcPr>
            <w:tcW w:w="2268" w:type="dxa"/>
            <w:vAlign w:val="center"/>
          </w:tcPr>
          <w:p w14:paraId="7334C657">
            <w:pPr>
              <w:pStyle w:val="13"/>
            </w:pPr>
            <w:r>
              <w:t>100%</w:t>
            </w:r>
          </w:p>
        </w:tc>
        <w:tc>
          <w:tcPr>
            <w:tcW w:w="1276" w:type="dxa"/>
            <w:vAlign w:val="center"/>
          </w:tcPr>
          <w:p w14:paraId="1192EB3E">
            <w:pPr>
              <w:pStyle w:val="13"/>
            </w:pPr>
            <w:r>
              <w:t>城乡义务教育公用经费管理办法</w:t>
            </w:r>
          </w:p>
        </w:tc>
      </w:tr>
      <w:tr w14:paraId="47B99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86097"/>
        </w:tc>
        <w:tc>
          <w:tcPr>
            <w:tcW w:w="2268" w:type="dxa"/>
            <w:vAlign w:val="center"/>
          </w:tcPr>
          <w:p w14:paraId="016E84F5">
            <w:pPr>
              <w:pStyle w:val="13"/>
            </w:pPr>
            <w:r>
              <w:t>成本指标</w:t>
            </w:r>
          </w:p>
        </w:tc>
        <w:tc>
          <w:tcPr>
            <w:tcW w:w="2835" w:type="dxa"/>
            <w:vAlign w:val="center"/>
          </w:tcPr>
          <w:p w14:paraId="3C5618D8">
            <w:pPr>
              <w:pStyle w:val="13"/>
            </w:pPr>
            <w:r>
              <w:t>生均拨款标准</w:t>
            </w:r>
          </w:p>
        </w:tc>
        <w:tc>
          <w:tcPr>
            <w:tcW w:w="5386" w:type="dxa"/>
            <w:vAlign w:val="center"/>
          </w:tcPr>
          <w:p w14:paraId="59BB8C5C">
            <w:pPr>
              <w:pStyle w:val="13"/>
            </w:pPr>
            <w:r>
              <w:t>小学：（基本标准720元、寄宿生300元、生活补助120元）/生/学年；特教、随班就读学生：标准6000元/生/学年</w:t>
            </w:r>
          </w:p>
        </w:tc>
        <w:tc>
          <w:tcPr>
            <w:tcW w:w="2268" w:type="dxa"/>
            <w:vAlign w:val="center"/>
          </w:tcPr>
          <w:p w14:paraId="4B1B75E8">
            <w:pPr>
              <w:pStyle w:val="13"/>
            </w:pPr>
            <w:r>
              <w:t>840元</w:t>
            </w:r>
          </w:p>
        </w:tc>
        <w:tc>
          <w:tcPr>
            <w:tcW w:w="1276" w:type="dxa"/>
            <w:vAlign w:val="center"/>
          </w:tcPr>
          <w:p w14:paraId="2B232EA6">
            <w:pPr>
              <w:pStyle w:val="13"/>
            </w:pPr>
            <w:r>
              <w:t>城乡义务教育公用经费管理办法</w:t>
            </w:r>
          </w:p>
        </w:tc>
      </w:tr>
      <w:tr w14:paraId="762A3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766C57">
            <w:pPr>
              <w:pStyle w:val="12"/>
            </w:pPr>
            <w:r>
              <w:t>效益指标</w:t>
            </w:r>
          </w:p>
        </w:tc>
        <w:tc>
          <w:tcPr>
            <w:tcW w:w="2268" w:type="dxa"/>
            <w:vAlign w:val="center"/>
          </w:tcPr>
          <w:p w14:paraId="70B99650">
            <w:pPr>
              <w:pStyle w:val="13"/>
            </w:pPr>
            <w:r>
              <w:t>可持续影响指标</w:t>
            </w:r>
          </w:p>
        </w:tc>
        <w:tc>
          <w:tcPr>
            <w:tcW w:w="2835" w:type="dxa"/>
            <w:vAlign w:val="center"/>
          </w:tcPr>
          <w:p w14:paraId="102647D9">
            <w:pPr>
              <w:pStyle w:val="13"/>
            </w:pPr>
            <w:r>
              <w:t>学校稳定率</w:t>
            </w:r>
          </w:p>
        </w:tc>
        <w:tc>
          <w:tcPr>
            <w:tcW w:w="5386" w:type="dxa"/>
            <w:vAlign w:val="center"/>
          </w:tcPr>
          <w:p w14:paraId="78D2984E">
            <w:pPr>
              <w:pStyle w:val="13"/>
            </w:pPr>
            <w:r>
              <w:t>维护学校稳定，保障学校正常教学秩序有效开展</w:t>
            </w:r>
          </w:p>
        </w:tc>
        <w:tc>
          <w:tcPr>
            <w:tcW w:w="2268" w:type="dxa"/>
            <w:vAlign w:val="center"/>
          </w:tcPr>
          <w:p w14:paraId="54E36DC3">
            <w:pPr>
              <w:pStyle w:val="13"/>
            </w:pPr>
            <w:r>
              <w:t>100%</w:t>
            </w:r>
          </w:p>
        </w:tc>
        <w:tc>
          <w:tcPr>
            <w:tcW w:w="1276" w:type="dxa"/>
            <w:vAlign w:val="center"/>
          </w:tcPr>
          <w:p w14:paraId="39E95ABF">
            <w:pPr>
              <w:pStyle w:val="13"/>
            </w:pPr>
            <w:r>
              <w:t>城乡义务教育公用经费管理办法</w:t>
            </w:r>
          </w:p>
        </w:tc>
      </w:tr>
      <w:tr w14:paraId="490EA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7AF0AF">
            <w:pPr>
              <w:pStyle w:val="12"/>
            </w:pPr>
            <w:r>
              <w:t>满意度指标</w:t>
            </w:r>
          </w:p>
        </w:tc>
        <w:tc>
          <w:tcPr>
            <w:tcW w:w="2268" w:type="dxa"/>
            <w:vAlign w:val="center"/>
          </w:tcPr>
          <w:p w14:paraId="4EB3C67C">
            <w:pPr>
              <w:pStyle w:val="13"/>
            </w:pPr>
            <w:r>
              <w:t>服务对象满意度指标</w:t>
            </w:r>
          </w:p>
        </w:tc>
        <w:tc>
          <w:tcPr>
            <w:tcW w:w="2835" w:type="dxa"/>
            <w:vAlign w:val="center"/>
          </w:tcPr>
          <w:p w14:paraId="72C72CBE">
            <w:pPr>
              <w:pStyle w:val="13"/>
            </w:pPr>
            <w:r>
              <w:t>家长和学生满意度</w:t>
            </w:r>
          </w:p>
        </w:tc>
        <w:tc>
          <w:tcPr>
            <w:tcW w:w="5386" w:type="dxa"/>
            <w:vAlign w:val="center"/>
          </w:tcPr>
          <w:p w14:paraId="455976DE">
            <w:pPr>
              <w:pStyle w:val="13"/>
            </w:pPr>
            <w:r>
              <w:t>家长和学生满意度</w:t>
            </w:r>
          </w:p>
        </w:tc>
        <w:tc>
          <w:tcPr>
            <w:tcW w:w="2268" w:type="dxa"/>
            <w:vAlign w:val="center"/>
          </w:tcPr>
          <w:p w14:paraId="38238BAD">
            <w:pPr>
              <w:pStyle w:val="13"/>
            </w:pPr>
            <w:r>
              <w:t>≥95%</w:t>
            </w:r>
          </w:p>
        </w:tc>
        <w:tc>
          <w:tcPr>
            <w:tcW w:w="1276" w:type="dxa"/>
            <w:vAlign w:val="center"/>
          </w:tcPr>
          <w:p w14:paraId="7582BE0C">
            <w:pPr>
              <w:pStyle w:val="13"/>
            </w:pPr>
            <w:r>
              <w:t>问卷调查</w:t>
            </w:r>
          </w:p>
        </w:tc>
      </w:tr>
    </w:tbl>
    <w:p w14:paraId="2712C29C">
      <w:pPr>
        <w:sectPr>
          <w:pgSz w:w="16840" w:h="11900" w:orient="landscape"/>
          <w:pgMar w:top="1361" w:right="1020" w:bottom="1134" w:left="1020" w:header="720" w:footer="720" w:gutter="0"/>
          <w:cols w:space="720" w:num="1"/>
        </w:sectPr>
      </w:pPr>
    </w:p>
    <w:p w14:paraId="01B9DAA9">
      <w:pPr>
        <w:spacing w:before="0" w:after="0"/>
        <w:ind w:firstLine="560"/>
        <w:jc w:val="left"/>
        <w:outlineLvl w:val="9"/>
      </w:pPr>
      <w:r>
        <w:rPr>
          <w:rFonts w:ascii="方正仿宋_GBK" w:hAnsi="方正仿宋_GBK" w:eastAsia="方正仿宋_GBK" w:cs="方正仿宋_GBK"/>
          <w:b/>
          <w:color w:val="000000"/>
          <w:sz w:val="28"/>
        </w:rPr>
        <w:t>12、冀财教[2024]141号/省级/2025年义教补助经费/柳行小学公用经费绩效目标表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D0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203B0">
            <w:pPr>
              <w:pStyle w:val="14"/>
            </w:pPr>
            <w:r>
              <w:t>单位：万元</w:t>
            </w:r>
          </w:p>
        </w:tc>
      </w:tr>
      <w:tr w14:paraId="7881B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E37375">
            <w:pPr>
              <w:pStyle w:val="11"/>
            </w:pPr>
            <w:r>
              <w:t>项目编码</w:t>
            </w:r>
          </w:p>
        </w:tc>
        <w:tc>
          <w:tcPr>
            <w:tcW w:w="5103" w:type="dxa"/>
            <w:gridSpan w:val="2"/>
            <w:vAlign w:val="center"/>
          </w:tcPr>
          <w:p w14:paraId="068026DF">
            <w:pPr>
              <w:pStyle w:val="13"/>
            </w:pPr>
            <w:r>
              <w:t>13052525P00000410200J</w:t>
            </w:r>
          </w:p>
        </w:tc>
        <w:tc>
          <w:tcPr>
            <w:tcW w:w="2835" w:type="dxa"/>
            <w:vAlign w:val="center"/>
          </w:tcPr>
          <w:p w14:paraId="0F83EC35">
            <w:pPr>
              <w:pStyle w:val="11"/>
            </w:pPr>
            <w:r>
              <w:t>项目名称</w:t>
            </w:r>
          </w:p>
        </w:tc>
        <w:tc>
          <w:tcPr>
            <w:tcW w:w="6095" w:type="dxa"/>
            <w:gridSpan w:val="3"/>
            <w:vAlign w:val="center"/>
          </w:tcPr>
          <w:p w14:paraId="7D8C621F">
            <w:pPr>
              <w:pStyle w:val="13"/>
            </w:pPr>
            <w:r>
              <w:t>冀财教[2024]141号/省级/2025年义教补助经费/柳行小学公用经费</w:t>
            </w:r>
          </w:p>
        </w:tc>
      </w:tr>
      <w:tr w14:paraId="5A6CB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B18A4">
            <w:pPr>
              <w:pStyle w:val="11"/>
            </w:pPr>
            <w:r>
              <w:t>预算规模及资金用途</w:t>
            </w:r>
          </w:p>
        </w:tc>
        <w:tc>
          <w:tcPr>
            <w:tcW w:w="2268" w:type="dxa"/>
            <w:vAlign w:val="center"/>
          </w:tcPr>
          <w:p w14:paraId="6A253D2E">
            <w:pPr>
              <w:pStyle w:val="11"/>
            </w:pPr>
            <w:r>
              <w:t>预算数</w:t>
            </w:r>
          </w:p>
        </w:tc>
        <w:tc>
          <w:tcPr>
            <w:tcW w:w="2835" w:type="dxa"/>
            <w:vAlign w:val="center"/>
          </w:tcPr>
          <w:p w14:paraId="026FA9CC">
            <w:pPr>
              <w:pStyle w:val="13"/>
            </w:pPr>
            <w:r>
              <w:t>16.76</w:t>
            </w:r>
          </w:p>
        </w:tc>
        <w:tc>
          <w:tcPr>
            <w:tcW w:w="2835" w:type="dxa"/>
            <w:vAlign w:val="center"/>
          </w:tcPr>
          <w:p w14:paraId="66816323">
            <w:pPr>
              <w:pStyle w:val="11"/>
            </w:pPr>
            <w:r>
              <w:t>其中：财政    资金</w:t>
            </w:r>
          </w:p>
        </w:tc>
        <w:tc>
          <w:tcPr>
            <w:tcW w:w="2551" w:type="dxa"/>
            <w:vAlign w:val="center"/>
          </w:tcPr>
          <w:p w14:paraId="3640A976">
            <w:pPr>
              <w:pStyle w:val="13"/>
            </w:pPr>
            <w:r>
              <w:t>16.76</w:t>
            </w:r>
          </w:p>
        </w:tc>
        <w:tc>
          <w:tcPr>
            <w:tcW w:w="2268" w:type="dxa"/>
            <w:vAlign w:val="center"/>
          </w:tcPr>
          <w:p w14:paraId="3A3BE7AD">
            <w:pPr>
              <w:pStyle w:val="11"/>
            </w:pPr>
            <w:r>
              <w:t>其他资金</w:t>
            </w:r>
          </w:p>
        </w:tc>
        <w:tc>
          <w:tcPr>
            <w:tcW w:w="1276" w:type="dxa"/>
            <w:vAlign w:val="center"/>
          </w:tcPr>
          <w:p w14:paraId="24F9995E">
            <w:pPr>
              <w:pStyle w:val="13"/>
            </w:pPr>
            <w:r>
              <w:t xml:space="preserve"> </w:t>
            </w:r>
          </w:p>
        </w:tc>
      </w:tr>
      <w:tr w14:paraId="04824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156EB"/>
        </w:tc>
        <w:tc>
          <w:tcPr>
            <w:tcW w:w="14033" w:type="dxa"/>
            <w:gridSpan w:val="6"/>
            <w:vAlign w:val="center"/>
          </w:tcPr>
          <w:p w14:paraId="2847DB41">
            <w:pPr>
              <w:pStyle w:val="13"/>
            </w:pPr>
            <w:r>
              <w:t>有效完成学校教学安全秩序，保障学校教学任务有效开展，满足学校正常教学需要。</w:t>
            </w:r>
          </w:p>
        </w:tc>
      </w:tr>
      <w:tr w14:paraId="06002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10554">
            <w:pPr>
              <w:pStyle w:val="11"/>
            </w:pPr>
            <w:r>
              <w:t>资金支出计划（%）</w:t>
            </w:r>
          </w:p>
        </w:tc>
        <w:tc>
          <w:tcPr>
            <w:tcW w:w="5103" w:type="dxa"/>
            <w:gridSpan w:val="2"/>
            <w:vAlign w:val="center"/>
          </w:tcPr>
          <w:p w14:paraId="51E1E600">
            <w:pPr>
              <w:pStyle w:val="11"/>
            </w:pPr>
            <w:r>
              <w:t>3月底</w:t>
            </w:r>
          </w:p>
        </w:tc>
        <w:tc>
          <w:tcPr>
            <w:tcW w:w="2835" w:type="dxa"/>
            <w:vAlign w:val="center"/>
          </w:tcPr>
          <w:p w14:paraId="0ECB47CC">
            <w:pPr>
              <w:pStyle w:val="11"/>
            </w:pPr>
            <w:r>
              <w:t>6月底</w:t>
            </w:r>
          </w:p>
        </w:tc>
        <w:tc>
          <w:tcPr>
            <w:tcW w:w="2551" w:type="dxa"/>
            <w:vAlign w:val="center"/>
          </w:tcPr>
          <w:p w14:paraId="66BA227F">
            <w:pPr>
              <w:pStyle w:val="11"/>
            </w:pPr>
            <w:r>
              <w:t>10月底</w:t>
            </w:r>
          </w:p>
        </w:tc>
        <w:tc>
          <w:tcPr>
            <w:tcW w:w="3544" w:type="dxa"/>
            <w:gridSpan w:val="2"/>
            <w:vAlign w:val="center"/>
          </w:tcPr>
          <w:p w14:paraId="5B140675">
            <w:pPr>
              <w:pStyle w:val="11"/>
            </w:pPr>
            <w:r>
              <w:t>12月底</w:t>
            </w:r>
          </w:p>
        </w:tc>
      </w:tr>
      <w:tr w14:paraId="1BA47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28CBE"/>
        </w:tc>
        <w:tc>
          <w:tcPr>
            <w:tcW w:w="5103" w:type="dxa"/>
            <w:gridSpan w:val="2"/>
            <w:vAlign w:val="center"/>
          </w:tcPr>
          <w:p w14:paraId="38AA1895">
            <w:pPr>
              <w:pStyle w:val="12"/>
            </w:pPr>
            <w:r>
              <w:t>25%</w:t>
            </w:r>
          </w:p>
        </w:tc>
        <w:tc>
          <w:tcPr>
            <w:tcW w:w="2835" w:type="dxa"/>
            <w:vAlign w:val="center"/>
          </w:tcPr>
          <w:p w14:paraId="60B85A74">
            <w:pPr>
              <w:pStyle w:val="12"/>
            </w:pPr>
            <w:r>
              <w:t>50%</w:t>
            </w:r>
          </w:p>
        </w:tc>
        <w:tc>
          <w:tcPr>
            <w:tcW w:w="2551" w:type="dxa"/>
            <w:vAlign w:val="center"/>
          </w:tcPr>
          <w:p w14:paraId="00914F81">
            <w:pPr>
              <w:pStyle w:val="12"/>
            </w:pPr>
            <w:r>
              <w:t>75%</w:t>
            </w:r>
          </w:p>
        </w:tc>
        <w:tc>
          <w:tcPr>
            <w:tcW w:w="3544" w:type="dxa"/>
            <w:gridSpan w:val="2"/>
            <w:vAlign w:val="center"/>
          </w:tcPr>
          <w:p w14:paraId="719CE0FF">
            <w:pPr>
              <w:pStyle w:val="12"/>
            </w:pPr>
            <w:r>
              <w:t>100%</w:t>
            </w:r>
          </w:p>
        </w:tc>
      </w:tr>
      <w:tr w14:paraId="3FD8A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5BF23D">
            <w:pPr>
              <w:pStyle w:val="11"/>
            </w:pPr>
            <w:r>
              <w:t>绩效目标</w:t>
            </w:r>
          </w:p>
        </w:tc>
        <w:tc>
          <w:tcPr>
            <w:tcW w:w="14033" w:type="dxa"/>
            <w:gridSpan w:val="6"/>
            <w:vAlign w:val="center"/>
          </w:tcPr>
          <w:p w14:paraId="56DC594C">
            <w:pPr>
              <w:pStyle w:val="13"/>
            </w:pPr>
            <w:r>
              <w:t>1.按规定拨付公用经费资金，预算执行率≥98%。</w:t>
            </w:r>
          </w:p>
          <w:p w14:paraId="4F94E1B7">
            <w:pPr>
              <w:pStyle w:val="13"/>
            </w:pPr>
            <w:r>
              <w:t>2.有效完成学校教学安全秩序，保障学校教学任务有效开展，满足学校正常教学需要。</w:t>
            </w:r>
          </w:p>
        </w:tc>
      </w:tr>
    </w:tbl>
    <w:p w14:paraId="6E9F7E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23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2CB45">
            <w:pPr>
              <w:pStyle w:val="11"/>
            </w:pPr>
            <w:r>
              <w:t>一级指标</w:t>
            </w:r>
          </w:p>
        </w:tc>
        <w:tc>
          <w:tcPr>
            <w:tcW w:w="2268" w:type="dxa"/>
            <w:vAlign w:val="center"/>
          </w:tcPr>
          <w:p w14:paraId="35A6D4C7">
            <w:pPr>
              <w:pStyle w:val="11"/>
            </w:pPr>
            <w:r>
              <w:t>二级指标</w:t>
            </w:r>
          </w:p>
        </w:tc>
        <w:tc>
          <w:tcPr>
            <w:tcW w:w="2835" w:type="dxa"/>
            <w:vAlign w:val="center"/>
          </w:tcPr>
          <w:p w14:paraId="6956DEA0">
            <w:pPr>
              <w:pStyle w:val="11"/>
            </w:pPr>
            <w:r>
              <w:t>三级指标</w:t>
            </w:r>
          </w:p>
        </w:tc>
        <w:tc>
          <w:tcPr>
            <w:tcW w:w="5386" w:type="dxa"/>
            <w:vAlign w:val="center"/>
          </w:tcPr>
          <w:p w14:paraId="5BE3F858">
            <w:pPr>
              <w:pStyle w:val="11"/>
            </w:pPr>
            <w:r>
              <w:t>绩效指标描述</w:t>
            </w:r>
          </w:p>
        </w:tc>
        <w:tc>
          <w:tcPr>
            <w:tcW w:w="2268" w:type="dxa"/>
            <w:vAlign w:val="center"/>
          </w:tcPr>
          <w:p w14:paraId="68033EA4">
            <w:pPr>
              <w:pStyle w:val="11"/>
            </w:pPr>
            <w:r>
              <w:t>指标值</w:t>
            </w:r>
          </w:p>
        </w:tc>
        <w:tc>
          <w:tcPr>
            <w:tcW w:w="1276" w:type="dxa"/>
            <w:vAlign w:val="center"/>
          </w:tcPr>
          <w:p w14:paraId="1E7426A9">
            <w:pPr>
              <w:pStyle w:val="11"/>
            </w:pPr>
            <w:r>
              <w:t>指标值确定依据</w:t>
            </w:r>
          </w:p>
        </w:tc>
      </w:tr>
      <w:tr w14:paraId="69E60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0A9DC">
            <w:pPr>
              <w:pStyle w:val="12"/>
            </w:pPr>
            <w:r>
              <w:t>产出指标</w:t>
            </w:r>
          </w:p>
        </w:tc>
        <w:tc>
          <w:tcPr>
            <w:tcW w:w="2268" w:type="dxa"/>
            <w:vAlign w:val="center"/>
          </w:tcPr>
          <w:p w14:paraId="5D4552D1">
            <w:pPr>
              <w:pStyle w:val="13"/>
            </w:pPr>
            <w:r>
              <w:t>数量指标</w:t>
            </w:r>
          </w:p>
        </w:tc>
        <w:tc>
          <w:tcPr>
            <w:tcW w:w="2835" w:type="dxa"/>
            <w:vAlign w:val="center"/>
          </w:tcPr>
          <w:p w14:paraId="3228E279">
            <w:pPr>
              <w:pStyle w:val="13"/>
            </w:pPr>
            <w:r>
              <w:t>就读学生数</w:t>
            </w:r>
          </w:p>
        </w:tc>
        <w:tc>
          <w:tcPr>
            <w:tcW w:w="5386" w:type="dxa"/>
            <w:vAlign w:val="center"/>
          </w:tcPr>
          <w:p w14:paraId="55161EFA">
            <w:pPr>
              <w:pStyle w:val="13"/>
            </w:pPr>
            <w:r>
              <w:t>辐射区域内适龄学生人数</w:t>
            </w:r>
          </w:p>
        </w:tc>
        <w:tc>
          <w:tcPr>
            <w:tcW w:w="2268" w:type="dxa"/>
            <w:vAlign w:val="center"/>
          </w:tcPr>
          <w:p w14:paraId="5AB6AE14">
            <w:pPr>
              <w:pStyle w:val="13"/>
            </w:pPr>
            <w:r>
              <w:t>564人</w:t>
            </w:r>
          </w:p>
        </w:tc>
        <w:tc>
          <w:tcPr>
            <w:tcW w:w="1276" w:type="dxa"/>
            <w:vAlign w:val="center"/>
          </w:tcPr>
          <w:p w14:paraId="1076D1F1">
            <w:pPr>
              <w:pStyle w:val="13"/>
            </w:pPr>
            <w:r>
              <w:t>城乡义务教育公用经费管理办法</w:t>
            </w:r>
          </w:p>
        </w:tc>
      </w:tr>
      <w:tr w14:paraId="1E114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2BA4B"/>
        </w:tc>
        <w:tc>
          <w:tcPr>
            <w:tcW w:w="2268" w:type="dxa"/>
            <w:vAlign w:val="center"/>
          </w:tcPr>
          <w:p w14:paraId="75056E31">
            <w:pPr>
              <w:pStyle w:val="13"/>
            </w:pPr>
            <w:r>
              <w:t>质量指标</w:t>
            </w:r>
          </w:p>
        </w:tc>
        <w:tc>
          <w:tcPr>
            <w:tcW w:w="2835" w:type="dxa"/>
            <w:vAlign w:val="center"/>
          </w:tcPr>
          <w:p w14:paraId="61B5E132">
            <w:pPr>
              <w:pStyle w:val="13"/>
            </w:pPr>
            <w:r>
              <w:t>预算执行率</w:t>
            </w:r>
          </w:p>
        </w:tc>
        <w:tc>
          <w:tcPr>
            <w:tcW w:w="5386" w:type="dxa"/>
            <w:vAlign w:val="center"/>
          </w:tcPr>
          <w:p w14:paraId="23C46D97">
            <w:pPr>
              <w:pStyle w:val="13"/>
            </w:pPr>
            <w:r>
              <w:t>预算执行率</w:t>
            </w:r>
          </w:p>
        </w:tc>
        <w:tc>
          <w:tcPr>
            <w:tcW w:w="2268" w:type="dxa"/>
            <w:vAlign w:val="center"/>
          </w:tcPr>
          <w:p w14:paraId="6DC77772">
            <w:pPr>
              <w:pStyle w:val="13"/>
            </w:pPr>
            <w:r>
              <w:t>≥98%</w:t>
            </w:r>
          </w:p>
        </w:tc>
        <w:tc>
          <w:tcPr>
            <w:tcW w:w="1276" w:type="dxa"/>
            <w:vAlign w:val="center"/>
          </w:tcPr>
          <w:p w14:paraId="60ACDD03">
            <w:pPr>
              <w:pStyle w:val="13"/>
            </w:pPr>
            <w:r>
              <w:t>城乡义务教育公用经费管理办法</w:t>
            </w:r>
          </w:p>
        </w:tc>
      </w:tr>
      <w:tr w14:paraId="14ABE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4A11F"/>
        </w:tc>
        <w:tc>
          <w:tcPr>
            <w:tcW w:w="2268" w:type="dxa"/>
            <w:vAlign w:val="center"/>
          </w:tcPr>
          <w:p w14:paraId="7891107A">
            <w:pPr>
              <w:pStyle w:val="13"/>
            </w:pPr>
            <w:r>
              <w:t>时效指标</w:t>
            </w:r>
          </w:p>
        </w:tc>
        <w:tc>
          <w:tcPr>
            <w:tcW w:w="2835" w:type="dxa"/>
            <w:vAlign w:val="center"/>
          </w:tcPr>
          <w:p w14:paraId="689ACF08">
            <w:pPr>
              <w:pStyle w:val="13"/>
            </w:pPr>
            <w:r>
              <w:t>义教经费支付完成率</w:t>
            </w:r>
          </w:p>
        </w:tc>
        <w:tc>
          <w:tcPr>
            <w:tcW w:w="5386" w:type="dxa"/>
            <w:vAlign w:val="center"/>
          </w:tcPr>
          <w:p w14:paraId="0B67CF14">
            <w:pPr>
              <w:pStyle w:val="13"/>
            </w:pPr>
            <w:r>
              <w:t>按照序时进度完成资金支付</w:t>
            </w:r>
          </w:p>
        </w:tc>
        <w:tc>
          <w:tcPr>
            <w:tcW w:w="2268" w:type="dxa"/>
            <w:vAlign w:val="center"/>
          </w:tcPr>
          <w:p w14:paraId="2889F48C">
            <w:pPr>
              <w:pStyle w:val="13"/>
            </w:pPr>
            <w:r>
              <w:t>100%</w:t>
            </w:r>
          </w:p>
        </w:tc>
        <w:tc>
          <w:tcPr>
            <w:tcW w:w="1276" w:type="dxa"/>
            <w:vAlign w:val="center"/>
          </w:tcPr>
          <w:p w14:paraId="022F0288">
            <w:pPr>
              <w:pStyle w:val="13"/>
            </w:pPr>
            <w:r>
              <w:t>城乡义务教育公用经费管理办法</w:t>
            </w:r>
          </w:p>
        </w:tc>
      </w:tr>
      <w:tr w14:paraId="6F840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64376"/>
        </w:tc>
        <w:tc>
          <w:tcPr>
            <w:tcW w:w="2268" w:type="dxa"/>
            <w:vAlign w:val="center"/>
          </w:tcPr>
          <w:p w14:paraId="75353FE5">
            <w:pPr>
              <w:pStyle w:val="13"/>
            </w:pPr>
            <w:r>
              <w:t>成本指标</w:t>
            </w:r>
          </w:p>
        </w:tc>
        <w:tc>
          <w:tcPr>
            <w:tcW w:w="2835" w:type="dxa"/>
            <w:vAlign w:val="center"/>
          </w:tcPr>
          <w:p w14:paraId="19D15DF5">
            <w:pPr>
              <w:pStyle w:val="13"/>
            </w:pPr>
            <w:r>
              <w:t>生均拨款标准</w:t>
            </w:r>
          </w:p>
        </w:tc>
        <w:tc>
          <w:tcPr>
            <w:tcW w:w="5386" w:type="dxa"/>
            <w:vAlign w:val="center"/>
          </w:tcPr>
          <w:p w14:paraId="7293ED6F">
            <w:pPr>
              <w:pStyle w:val="13"/>
            </w:pPr>
            <w:r>
              <w:t>小学：（基本标准720元、寄宿生300元、生活补助120元）/生/学年；特教、随班就读学生：标准7000元/生/学年</w:t>
            </w:r>
          </w:p>
        </w:tc>
        <w:tc>
          <w:tcPr>
            <w:tcW w:w="2268" w:type="dxa"/>
            <w:vAlign w:val="center"/>
          </w:tcPr>
          <w:p w14:paraId="63554E6F">
            <w:pPr>
              <w:pStyle w:val="13"/>
            </w:pPr>
            <w:r>
              <w:t>840元</w:t>
            </w:r>
          </w:p>
        </w:tc>
        <w:tc>
          <w:tcPr>
            <w:tcW w:w="1276" w:type="dxa"/>
            <w:vAlign w:val="center"/>
          </w:tcPr>
          <w:p w14:paraId="4BE2DA42">
            <w:pPr>
              <w:pStyle w:val="13"/>
            </w:pPr>
            <w:r>
              <w:t>城乡义务教育公用经费管理办法</w:t>
            </w:r>
          </w:p>
        </w:tc>
      </w:tr>
      <w:tr w14:paraId="16B40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AD0C33">
            <w:pPr>
              <w:pStyle w:val="12"/>
            </w:pPr>
            <w:r>
              <w:t>效益指标</w:t>
            </w:r>
          </w:p>
        </w:tc>
        <w:tc>
          <w:tcPr>
            <w:tcW w:w="2268" w:type="dxa"/>
            <w:vAlign w:val="center"/>
          </w:tcPr>
          <w:p w14:paraId="24AE05EE">
            <w:pPr>
              <w:pStyle w:val="13"/>
            </w:pPr>
            <w:r>
              <w:t>可持续影响指标</w:t>
            </w:r>
          </w:p>
        </w:tc>
        <w:tc>
          <w:tcPr>
            <w:tcW w:w="2835" w:type="dxa"/>
            <w:vAlign w:val="center"/>
          </w:tcPr>
          <w:p w14:paraId="45B67E96">
            <w:pPr>
              <w:pStyle w:val="13"/>
            </w:pPr>
            <w:r>
              <w:t>学校稳定率</w:t>
            </w:r>
          </w:p>
        </w:tc>
        <w:tc>
          <w:tcPr>
            <w:tcW w:w="5386" w:type="dxa"/>
            <w:vAlign w:val="center"/>
          </w:tcPr>
          <w:p w14:paraId="4A11D017">
            <w:pPr>
              <w:pStyle w:val="13"/>
            </w:pPr>
            <w:r>
              <w:t>维护学校稳定，保障学校正常教学秩序有效开展</w:t>
            </w:r>
          </w:p>
        </w:tc>
        <w:tc>
          <w:tcPr>
            <w:tcW w:w="2268" w:type="dxa"/>
            <w:vAlign w:val="center"/>
          </w:tcPr>
          <w:p w14:paraId="6E9AC63D">
            <w:pPr>
              <w:pStyle w:val="13"/>
            </w:pPr>
            <w:r>
              <w:t>100%</w:t>
            </w:r>
          </w:p>
        </w:tc>
        <w:tc>
          <w:tcPr>
            <w:tcW w:w="1276" w:type="dxa"/>
            <w:vAlign w:val="center"/>
          </w:tcPr>
          <w:p w14:paraId="64873485">
            <w:pPr>
              <w:pStyle w:val="13"/>
            </w:pPr>
            <w:r>
              <w:t>城乡义务教育公用经费管理办法</w:t>
            </w:r>
          </w:p>
        </w:tc>
      </w:tr>
      <w:tr w14:paraId="029DB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EEA0CC">
            <w:pPr>
              <w:pStyle w:val="12"/>
            </w:pPr>
            <w:r>
              <w:t>满意度指标</w:t>
            </w:r>
          </w:p>
        </w:tc>
        <w:tc>
          <w:tcPr>
            <w:tcW w:w="2268" w:type="dxa"/>
            <w:vAlign w:val="center"/>
          </w:tcPr>
          <w:p w14:paraId="2153CE31">
            <w:pPr>
              <w:pStyle w:val="13"/>
            </w:pPr>
            <w:r>
              <w:t>服务对象满意度指标</w:t>
            </w:r>
          </w:p>
        </w:tc>
        <w:tc>
          <w:tcPr>
            <w:tcW w:w="2835" w:type="dxa"/>
            <w:vAlign w:val="center"/>
          </w:tcPr>
          <w:p w14:paraId="70D60412">
            <w:pPr>
              <w:pStyle w:val="13"/>
            </w:pPr>
            <w:r>
              <w:t>家长和学生满意度</w:t>
            </w:r>
          </w:p>
        </w:tc>
        <w:tc>
          <w:tcPr>
            <w:tcW w:w="5386" w:type="dxa"/>
            <w:vAlign w:val="center"/>
          </w:tcPr>
          <w:p w14:paraId="6938451F">
            <w:pPr>
              <w:pStyle w:val="13"/>
            </w:pPr>
            <w:r>
              <w:t>家长和学生满意度</w:t>
            </w:r>
          </w:p>
        </w:tc>
        <w:tc>
          <w:tcPr>
            <w:tcW w:w="2268" w:type="dxa"/>
            <w:vAlign w:val="center"/>
          </w:tcPr>
          <w:p w14:paraId="11F0B979">
            <w:pPr>
              <w:pStyle w:val="13"/>
            </w:pPr>
            <w:r>
              <w:t>≥95%</w:t>
            </w:r>
          </w:p>
        </w:tc>
        <w:tc>
          <w:tcPr>
            <w:tcW w:w="1276" w:type="dxa"/>
            <w:vAlign w:val="center"/>
          </w:tcPr>
          <w:p w14:paraId="390067C1">
            <w:pPr>
              <w:pStyle w:val="13"/>
            </w:pPr>
            <w:r>
              <w:t>问卷调查</w:t>
            </w:r>
          </w:p>
        </w:tc>
      </w:tr>
    </w:tbl>
    <w:p w14:paraId="15722A64">
      <w:pPr>
        <w:sectPr>
          <w:pgSz w:w="16840" w:h="11900" w:orient="landscape"/>
          <w:pgMar w:top="1361" w:right="1020" w:bottom="1134" w:left="1020" w:header="720" w:footer="720" w:gutter="0"/>
          <w:cols w:space="720" w:num="1"/>
        </w:sectPr>
      </w:pPr>
    </w:p>
    <w:p w14:paraId="54992134">
      <w:pPr>
        <w:spacing w:before="0" w:after="0"/>
        <w:ind w:firstLine="560"/>
        <w:jc w:val="left"/>
        <w:outlineLvl w:val="9"/>
      </w:pPr>
      <w:r>
        <w:rPr>
          <w:rFonts w:ascii="方正仿宋_GBK" w:hAnsi="方正仿宋_GBK" w:eastAsia="方正仿宋_GBK" w:cs="方正仿宋_GBK"/>
          <w:b/>
          <w:color w:val="000000"/>
          <w:sz w:val="28"/>
        </w:rPr>
        <w:t>13、冀财教[2024]141号/省级/2025年义教补助经费/南柏舍小学公用经费绩效目标表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A2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3A406">
            <w:pPr>
              <w:pStyle w:val="14"/>
            </w:pPr>
            <w:r>
              <w:t>单位：万元</w:t>
            </w:r>
          </w:p>
        </w:tc>
      </w:tr>
      <w:tr w14:paraId="076FA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5BA5343">
            <w:pPr>
              <w:pStyle w:val="11"/>
            </w:pPr>
            <w:r>
              <w:t>项目编码</w:t>
            </w:r>
          </w:p>
        </w:tc>
        <w:tc>
          <w:tcPr>
            <w:tcW w:w="5103" w:type="dxa"/>
            <w:gridSpan w:val="2"/>
            <w:vAlign w:val="center"/>
          </w:tcPr>
          <w:p w14:paraId="43CE3F19">
            <w:pPr>
              <w:pStyle w:val="13"/>
            </w:pPr>
            <w:r>
              <w:t>13052525P000004101472</w:t>
            </w:r>
          </w:p>
        </w:tc>
        <w:tc>
          <w:tcPr>
            <w:tcW w:w="2835" w:type="dxa"/>
            <w:vAlign w:val="center"/>
          </w:tcPr>
          <w:p w14:paraId="15E9D78A">
            <w:pPr>
              <w:pStyle w:val="11"/>
            </w:pPr>
            <w:r>
              <w:t>项目名称</w:t>
            </w:r>
          </w:p>
        </w:tc>
        <w:tc>
          <w:tcPr>
            <w:tcW w:w="6095" w:type="dxa"/>
            <w:gridSpan w:val="3"/>
            <w:vAlign w:val="center"/>
          </w:tcPr>
          <w:p w14:paraId="4B0E2241">
            <w:pPr>
              <w:pStyle w:val="13"/>
            </w:pPr>
            <w:r>
              <w:t>冀财教[2024]141号/省级/2025年义教补助经费/南柏舍小学公用经费</w:t>
            </w:r>
          </w:p>
        </w:tc>
      </w:tr>
      <w:tr w14:paraId="1AF91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B51D8">
            <w:pPr>
              <w:pStyle w:val="11"/>
            </w:pPr>
            <w:r>
              <w:t>预算规模及资金用途</w:t>
            </w:r>
          </w:p>
        </w:tc>
        <w:tc>
          <w:tcPr>
            <w:tcW w:w="2268" w:type="dxa"/>
            <w:vAlign w:val="center"/>
          </w:tcPr>
          <w:p w14:paraId="16DFD7DE">
            <w:pPr>
              <w:pStyle w:val="11"/>
            </w:pPr>
            <w:r>
              <w:t>预算数</w:t>
            </w:r>
          </w:p>
        </w:tc>
        <w:tc>
          <w:tcPr>
            <w:tcW w:w="2835" w:type="dxa"/>
            <w:vAlign w:val="center"/>
          </w:tcPr>
          <w:p w14:paraId="171C360D">
            <w:pPr>
              <w:pStyle w:val="13"/>
            </w:pPr>
            <w:r>
              <w:t>48.43</w:t>
            </w:r>
          </w:p>
        </w:tc>
        <w:tc>
          <w:tcPr>
            <w:tcW w:w="2835" w:type="dxa"/>
            <w:vAlign w:val="center"/>
          </w:tcPr>
          <w:p w14:paraId="3DF8BDCC">
            <w:pPr>
              <w:pStyle w:val="11"/>
            </w:pPr>
            <w:r>
              <w:t>其中：财政    资金</w:t>
            </w:r>
          </w:p>
        </w:tc>
        <w:tc>
          <w:tcPr>
            <w:tcW w:w="2551" w:type="dxa"/>
            <w:vAlign w:val="center"/>
          </w:tcPr>
          <w:p w14:paraId="682D9869">
            <w:pPr>
              <w:pStyle w:val="13"/>
            </w:pPr>
            <w:r>
              <w:t>48.43</w:t>
            </w:r>
          </w:p>
        </w:tc>
        <w:tc>
          <w:tcPr>
            <w:tcW w:w="2268" w:type="dxa"/>
            <w:vAlign w:val="center"/>
          </w:tcPr>
          <w:p w14:paraId="31690095">
            <w:pPr>
              <w:pStyle w:val="11"/>
            </w:pPr>
            <w:r>
              <w:t>其他资金</w:t>
            </w:r>
          </w:p>
        </w:tc>
        <w:tc>
          <w:tcPr>
            <w:tcW w:w="1276" w:type="dxa"/>
            <w:vAlign w:val="center"/>
          </w:tcPr>
          <w:p w14:paraId="488690C9">
            <w:pPr>
              <w:pStyle w:val="13"/>
            </w:pPr>
            <w:r>
              <w:t xml:space="preserve"> </w:t>
            </w:r>
          </w:p>
        </w:tc>
      </w:tr>
      <w:tr w14:paraId="09B87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9DFEAD4"/>
        </w:tc>
        <w:tc>
          <w:tcPr>
            <w:tcW w:w="14033" w:type="dxa"/>
            <w:gridSpan w:val="6"/>
            <w:vAlign w:val="center"/>
          </w:tcPr>
          <w:p w14:paraId="4E709A60">
            <w:pPr>
              <w:pStyle w:val="13"/>
            </w:pPr>
            <w:r>
              <w:t>有效完成学校教学安全秩序，保障学校教学任务有效开展，满足学校正常教学需要。</w:t>
            </w:r>
          </w:p>
        </w:tc>
      </w:tr>
      <w:tr w14:paraId="62E95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90AAA">
            <w:pPr>
              <w:pStyle w:val="11"/>
            </w:pPr>
            <w:r>
              <w:t>资金支出计划（%）</w:t>
            </w:r>
          </w:p>
        </w:tc>
        <w:tc>
          <w:tcPr>
            <w:tcW w:w="5103" w:type="dxa"/>
            <w:gridSpan w:val="2"/>
            <w:vAlign w:val="center"/>
          </w:tcPr>
          <w:p w14:paraId="7B375E43">
            <w:pPr>
              <w:pStyle w:val="11"/>
            </w:pPr>
            <w:r>
              <w:t>3月底</w:t>
            </w:r>
          </w:p>
        </w:tc>
        <w:tc>
          <w:tcPr>
            <w:tcW w:w="2835" w:type="dxa"/>
            <w:vAlign w:val="center"/>
          </w:tcPr>
          <w:p w14:paraId="76513334">
            <w:pPr>
              <w:pStyle w:val="11"/>
            </w:pPr>
            <w:r>
              <w:t>6月底</w:t>
            </w:r>
          </w:p>
        </w:tc>
        <w:tc>
          <w:tcPr>
            <w:tcW w:w="2551" w:type="dxa"/>
            <w:vAlign w:val="center"/>
          </w:tcPr>
          <w:p w14:paraId="19B24A51">
            <w:pPr>
              <w:pStyle w:val="11"/>
            </w:pPr>
            <w:r>
              <w:t>10月底</w:t>
            </w:r>
          </w:p>
        </w:tc>
        <w:tc>
          <w:tcPr>
            <w:tcW w:w="3544" w:type="dxa"/>
            <w:gridSpan w:val="2"/>
            <w:vAlign w:val="center"/>
          </w:tcPr>
          <w:p w14:paraId="37AE06B5">
            <w:pPr>
              <w:pStyle w:val="11"/>
            </w:pPr>
            <w:r>
              <w:t>12月底</w:t>
            </w:r>
          </w:p>
        </w:tc>
      </w:tr>
      <w:tr w14:paraId="2AB00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AB46F1"/>
        </w:tc>
        <w:tc>
          <w:tcPr>
            <w:tcW w:w="5103" w:type="dxa"/>
            <w:gridSpan w:val="2"/>
            <w:vAlign w:val="center"/>
          </w:tcPr>
          <w:p w14:paraId="55CE8D05">
            <w:pPr>
              <w:pStyle w:val="12"/>
            </w:pPr>
            <w:r>
              <w:t>25%</w:t>
            </w:r>
          </w:p>
        </w:tc>
        <w:tc>
          <w:tcPr>
            <w:tcW w:w="2835" w:type="dxa"/>
            <w:vAlign w:val="center"/>
          </w:tcPr>
          <w:p w14:paraId="0C0CD3EB">
            <w:pPr>
              <w:pStyle w:val="12"/>
            </w:pPr>
            <w:r>
              <w:t>50%</w:t>
            </w:r>
          </w:p>
        </w:tc>
        <w:tc>
          <w:tcPr>
            <w:tcW w:w="2551" w:type="dxa"/>
            <w:vAlign w:val="center"/>
          </w:tcPr>
          <w:p w14:paraId="080A67F6">
            <w:pPr>
              <w:pStyle w:val="12"/>
            </w:pPr>
            <w:r>
              <w:t>75%</w:t>
            </w:r>
          </w:p>
        </w:tc>
        <w:tc>
          <w:tcPr>
            <w:tcW w:w="3544" w:type="dxa"/>
            <w:gridSpan w:val="2"/>
            <w:vAlign w:val="center"/>
          </w:tcPr>
          <w:p w14:paraId="1BD3A85C">
            <w:pPr>
              <w:pStyle w:val="12"/>
            </w:pPr>
            <w:r>
              <w:t>100%</w:t>
            </w:r>
          </w:p>
        </w:tc>
      </w:tr>
      <w:tr w14:paraId="03101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DB1BE">
            <w:pPr>
              <w:pStyle w:val="11"/>
            </w:pPr>
            <w:r>
              <w:t>绩效目标</w:t>
            </w:r>
          </w:p>
        </w:tc>
        <w:tc>
          <w:tcPr>
            <w:tcW w:w="14033" w:type="dxa"/>
            <w:gridSpan w:val="6"/>
            <w:vAlign w:val="center"/>
          </w:tcPr>
          <w:p w14:paraId="4C84E57F">
            <w:pPr>
              <w:pStyle w:val="13"/>
            </w:pPr>
            <w:r>
              <w:t>1.按规定拨付公用经费资金，预算执行率≥98%。</w:t>
            </w:r>
          </w:p>
          <w:p w14:paraId="406A721D">
            <w:pPr>
              <w:pStyle w:val="13"/>
            </w:pPr>
            <w:r>
              <w:t>2.有效完成学校教学安全秩序，保障学校教学任务有效开展，满足学校正常教学需要。</w:t>
            </w:r>
          </w:p>
        </w:tc>
      </w:tr>
    </w:tbl>
    <w:p w14:paraId="493941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FC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781B1">
            <w:pPr>
              <w:pStyle w:val="11"/>
            </w:pPr>
            <w:r>
              <w:t>一级指标</w:t>
            </w:r>
          </w:p>
        </w:tc>
        <w:tc>
          <w:tcPr>
            <w:tcW w:w="2268" w:type="dxa"/>
            <w:vAlign w:val="center"/>
          </w:tcPr>
          <w:p w14:paraId="0120473B">
            <w:pPr>
              <w:pStyle w:val="11"/>
            </w:pPr>
            <w:r>
              <w:t>二级指标</w:t>
            </w:r>
          </w:p>
        </w:tc>
        <w:tc>
          <w:tcPr>
            <w:tcW w:w="2835" w:type="dxa"/>
            <w:vAlign w:val="center"/>
          </w:tcPr>
          <w:p w14:paraId="3B224C9F">
            <w:pPr>
              <w:pStyle w:val="11"/>
            </w:pPr>
            <w:r>
              <w:t>三级指标</w:t>
            </w:r>
          </w:p>
        </w:tc>
        <w:tc>
          <w:tcPr>
            <w:tcW w:w="5386" w:type="dxa"/>
            <w:vAlign w:val="center"/>
          </w:tcPr>
          <w:p w14:paraId="4DFC5DB0">
            <w:pPr>
              <w:pStyle w:val="11"/>
            </w:pPr>
            <w:r>
              <w:t>绩效指标描述</w:t>
            </w:r>
          </w:p>
        </w:tc>
        <w:tc>
          <w:tcPr>
            <w:tcW w:w="2268" w:type="dxa"/>
            <w:vAlign w:val="center"/>
          </w:tcPr>
          <w:p w14:paraId="5251E695">
            <w:pPr>
              <w:pStyle w:val="11"/>
            </w:pPr>
            <w:r>
              <w:t>指标值</w:t>
            </w:r>
          </w:p>
        </w:tc>
        <w:tc>
          <w:tcPr>
            <w:tcW w:w="1276" w:type="dxa"/>
            <w:vAlign w:val="center"/>
          </w:tcPr>
          <w:p w14:paraId="568DBA8A">
            <w:pPr>
              <w:pStyle w:val="11"/>
            </w:pPr>
            <w:r>
              <w:t>指标值确定依据</w:t>
            </w:r>
          </w:p>
        </w:tc>
      </w:tr>
      <w:tr w14:paraId="02182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CA530">
            <w:pPr>
              <w:pStyle w:val="12"/>
            </w:pPr>
            <w:r>
              <w:t>产出指标</w:t>
            </w:r>
          </w:p>
        </w:tc>
        <w:tc>
          <w:tcPr>
            <w:tcW w:w="2268" w:type="dxa"/>
            <w:vAlign w:val="center"/>
          </w:tcPr>
          <w:p w14:paraId="36D4672C">
            <w:pPr>
              <w:pStyle w:val="13"/>
            </w:pPr>
            <w:r>
              <w:t>数量指标</w:t>
            </w:r>
          </w:p>
        </w:tc>
        <w:tc>
          <w:tcPr>
            <w:tcW w:w="2835" w:type="dxa"/>
            <w:vAlign w:val="center"/>
          </w:tcPr>
          <w:p w14:paraId="40B44B1B">
            <w:pPr>
              <w:pStyle w:val="13"/>
            </w:pPr>
            <w:r>
              <w:t>就读学生数</w:t>
            </w:r>
          </w:p>
        </w:tc>
        <w:tc>
          <w:tcPr>
            <w:tcW w:w="5386" w:type="dxa"/>
            <w:vAlign w:val="center"/>
          </w:tcPr>
          <w:p w14:paraId="1C171407">
            <w:pPr>
              <w:pStyle w:val="13"/>
            </w:pPr>
            <w:r>
              <w:t>辐射区域内适龄学生人数</w:t>
            </w:r>
          </w:p>
        </w:tc>
        <w:tc>
          <w:tcPr>
            <w:tcW w:w="2268" w:type="dxa"/>
            <w:vAlign w:val="center"/>
          </w:tcPr>
          <w:p w14:paraId="7C86A3E9">
            <w:pPr>
              <w:pStyle w:val="13"/>
            </w:pPr>
            <w:r>
              <w:t>1539人</w:t>
            </w:r>
          </w:p>
        </w:tc>
        <w:tc>
          <w:tcPr>
            <w:tcW w:w="1276" w:type="dxa"/>
            <w:vAlign w:val="center"/>
          </w:tcPr>
          <w:p w14:paraId="08CD7D76">
            <w:pPr>
              <w:pStyle w:val="13"/>
            </w:pPr>
            <w:r>
              <w:t>城乡义务教育公用经费管理办法</w:t>
            </w:r>
          </w:p>
        </w:tc>
      </w:tr>
      <w:tr w14:paraId="48FCF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78DCD"/>
        </w:tc>
        <w:tc>
          <w:tcPr>
            <w:tcW w:w="2268" w:type="dxa"/>
            <w:vAlign w:val="center"/>
          </w:tcPr>
          <w:p w14:paraId="19044D75">
            <w:pPr>
              <w:pStyle w:val="13"/>
            </w:pPr>
            <w:r>
              <w:t>质量指标</w:t>
            </w:r>
          </w:p>
        </w:tc>
        <w:tc>
          <w:tcPr>
            <w:tcW w:w="2835" w:type="dxa"/>
            <w:vAlign w:val="center"/>
          </w:tcPr>
          <w:p w14:paraId="197793A3">
            <w:pPr>
              <w:pStyle w:val="13"/>
            </w:pPr>
            <w:r>
              <w:t>预算执行率</w:t>
            </w:r>
          </w:p>
        </w:tc>
        <w:tc>
          <w:tcPr>
            <w:tcW w:w="5386" w:type="dxa"/>
            <w:vAlign w:val="center"/>
          </w:tcPr>
          <w:p w14:paraId="5E9F0BF3">
            <w:pPr>
              <w:pStyle w:val="13"/>
            </w:pPr>
            <w:r>
              <w:t>预算执行率</w:t>
            </w:r>
          </w:p>
        </w:tc>
        <w:tc>
          <w:tcPr>
            <w:tcW w:w="2268" w:type="dxa"/>
            <w:vAlign w:val="center"/>
          </w:tcPr>
          <w:p w14:paraId="0271F91B">
            <w:pPr>
              <w:pStyle w:val="13"/>
            </w:pPr>
            <w:r>
              <w:t>≥98%</w:t>
            </w:r>
          </w:p>
        </w:tc>
        <w:tc>
          <w:tcPr>
            <w:tcW w:w="1276" w:type="dxa"/>
            <w:vAlign w:val="center"/>
          </w:tcPr>
          <w:p w14:paraId="4DB5EE82">
            <w:pPr>
              <w:pStyle w:val="13"/>
            </w:pPr>
            <w:r>
              <w:t>城乡义务教育公用经费管理办法</w:t>
            </w:r>
          </w:p>
        </w:tc>
      </w:tr>
      <w:tr w14:paraId="52659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CB71D"/>
        </w:tc>
        <w:tc>
          <w:tcPr>
            <w:tcW w:w="2268" w:type="dxa"/>
            <w:vAlign w:val="center"/>
          </w:tcPr>
          <w:p w14:paraId="3D33AAFD">
            <w:pPr>
              <w:pStyle w:val="13"/>
            </w:pPr>
            <w:r>
              <w:t>时效指标</w:t>
            </w:r>
          </w:p>
        </w:tc>
        <w:tc>
          <w:tcPr>
            <w:tcW w:w="2835" w:type="dxa"/>
            <w:vAlign w:val="center"/>
          </w:tcPr>
          <w:p w14:paraId="4F5B646D">
            <w:pPr>
              <w:pStyle w:val="13"/>
            </w:pPr>
            <w:r>
              <w:t>义教经费支付完成率</w:t>
            </w:r>
          </w:p>
        </w:tc>
        <w:tc>
          <w:tcPr>
            <w:tcW w:w="5386" w:type="dxa"/>
            <w:vAlign w:val="center"/>
          </w:tcPr>
          <w:p w14:paraId="4181D09A">
            <w:pPr>
              <w:pStyle w:val="13"/>
            </w:pPr>
            <w:r>
              <w:t>按照序时进度完成资金支付</w:t>
            </w:r>
          </w:p>
        </w:tc>
        <w:tc>
          <w:tcPr>
            <w:tcW w:w="2268" w:type="dxa"/>
            <w:vAlign w:val="center"/>
          </w:tcPr>
          <w:p w14:paraId="33BE8A45">
            <w:pPr>
              <w:pStyle w:val="13"/>
            </w:pPr>
            <w:r>
              <w:t>100%</w:t>
            </w:r>
          </w:p>
        </w:tc>
        <w:tc>
          <w:tcPr>
            <w:tcW w:w="1276" w:type="dxa"/>
            <w:vAlign w:val="center"/>
          </w:tcPr>
          <w:p w14:paraId="257A0D90">
            <w:pPr>
              <w:pStyle w:val="13"/>
            </w:pPr>
            <w:r>
              <w:t>城乡义务教育公用经费管理办法</w:t>
            </w:r>
          </w:p>
        </w:tc>
      </w:tr>
      <w:tr w14:paraId="0B737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A4E68"/>
        </w:tc>
        <w:tc>
          <w:tcPr>
            <w:tcW w:w="2268" w:type="dxa"/>
            <w:vAlign w:val="center"/>
          </w:tcPr>
          <w:p w14:paraId="0DC82259">
            <w:pPr>
              <w:pStyle w:val="13"/>
            </w:pPr>
            <w:r>
              <w:t>成本指标</w:t>
            </w:r>
          </w:p>
        </w:tc>
        <w:tc>
          <w:tcPr>
            <w:tcW w:w="2835" w:type="dxa"/>
            <w:vAlign w:val="center"/>
          </w:tcPr>
          <w:p w14:paraId="0D464A47">
            <w:pPr>
              <w:pStyle w:val="13"/>
            </w:pPr>
            <w:r>
              <w:t>生均拨款标准</w:t>
            </w:r>
          </w:p>
        </w:tc>
        <w:tc>
          <w:tcPr>
            <w:tcW w:w="5386" w:type="dxa"/>
            <w:vAlign w:val="center"/>
          </w:tcPr>
          <w:p w14:paraId="12D14DA7">
            <w:pPr>
              <w:pStyle w:val="13"/>
            </w:pPr>
            <w:r>
              <w:t>小学：（基本标准720元、寄宿生300元、生活补助120元）/生/学年；特教、随班就读学生：标准7000元/生/学年</w:t>
            </w:r>
          </w:p>
        </w:tc>
        <w:tc>
          <w:tcPr>
            <w:tcW w:w="2268" w:type="dxa"/>
            <w:vAlign w:val="center"/>
          </w:tcPr>
          <w:p w14:paraId="7FDDD1E3">
            <w:pPr>
              <w:pStyle w:val="13"/>
            </w:pPr>
            <w:r>
              <w:t>840元</w:t>
            </w:r>
          </w:p>
        </w:tc>
        <w:tc>
          <w:tcPr>
            <w:tcW w:w="1276" w:type="dxa"/>
            <w:vAlign w:val="center"/>
          </w:tcPr>
          <w:p w14:paraId="00A239CD">
            <w:pPr>
              <w:pStyle w:val="13"/>
            </w:pPr>
            <w:r>
              <w:t>城乡义务教育公用经费管理办法</w:t>
            </w:r>
          </w:p>
        </w:tc>
      </w:tr>
      <w:tr w14:paraId="1FE40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CF037F">
            <w:pPr>
              <w:pStyle w:val="12"/>
            </w:pPr>
            <w:r>
              <w:t>效益指标</w:t>
            </w:r>
          </w:p>
        </w:tc>
        <w:tc>
          <w:tcPr>
            <w:tcW w:w="2268" w:type="dxa"/>
            <w:vAlign w:val="center"/>
          </w:tcPr>
          <w:p w14:paraId="6AFC844A">
            <w:pPr>
              <w:pStyle w:val="13"/>
            </w:pPr>
            <w:r>
              <w:t>可持续影响指标</w:t>
            </w:r>
          </w:p>
        </w:tc>
        <w:tc>
          <w:tcPr>
            <w:tcW w:w="2835" w:type="dxa"/>
            <w:vAlign w:val="center"/>
          </w:tcPr>
          <w:p w14:paraId="49A35136">
            <w:pPr>
              <w:pStyle w:val="13"/>
            </w:pPr>
            <w:r>
              <w:t>学校稳定率</w:t>
            </w:r>
          </w:p>
        </w:tc>
        <w:tc>
          <w:tcPr>
            <w:tcW w:w="5386" w:type="dxa"/>
            <w:vAlign w:val="center"/>
          </w:tcPr>
          <w:p w14:paraId="1CE220F3">
            <w:pPr>
              <w:pStyle w:val="13"/>
            </w:pPr>
            <w:r>
              <w:t>维护学校稳定，保障学校正常教学秩序有效开展</w:t>
            </w:r>
          </w:p>
        </w:tc>
        <w:tc>
          <w:tcPr>
            <w:tcW w:w="2268" w:type="dxa"/>
            <w:vAlign w:val="center"/>
          </w:tcPr>
          <w:p w14:paraId="1B3AA436">
            <w:pPr>
              <w:pStyle w:val="13"/>
            </w:pPr>
            <w:r>
              <w:t>100%</w:t>
            </w:r>
          </w:p>
        </w:tc>
        <w:tc>
          <w:tcPr>
            <w:tcW w:w="1276" w:type="dxa"/>
            <w:vAlign w:val="center"/>
          </w:tcPr>
          <w:p w14:paraId="163EE750">
            <w:pPr>
              <w:pStyle w:val="13"/>
            </w:pPr>
            <w:r>
              <w:t>城乡义务教育公用经费管理办法</w:t>
            </w:r>
          </w:p>
        </w:tc>
      </w:tr>
      <w:tr w14:paraId="446E6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876B9">
            <w:pPr>
              <w:pStyle w:val="12"/>
            </w:pPr>
            <w:r>
              <w:t>满意度指标</w:t>
            </w:r>
          </w:p>
        </w:tc>
        <w:tc>
          <w:tcPr>
            <w:tcW w:w="2268" w:type="dxa"/>
            <w:vAlign w:val="center"/>
          </w:tcPr>
          <w:p w14:paraId="2E163FF9">
            <w:pPr>
              <w:pStyle w:val="13"/>
            </w:pPr>
            <w:r>
              <w:t>服务对象满意度指标</w:t>
            </w:r>
          </w:p>
        </w:tc>
        <w:tc>
          <w:tcPr>
            <w:tcW w:w="2835" w:type="dxa"/>
            <w:vAlign w:val="center"/>
          </w:tcPr>
          <w:p w14:paraId="59CAB8C9">
            <w:pPr>
              <w:pStyle w:val="13"/>
            </w:pPr>
            <w:r>
              <w:t>家长和学生满意度</w:t>
            </w:r>
          </w:p>
        </w:tc>
        <w:tc>
          <w:tcPr>
            <w:tcW w:w="5386" w:type="dxa"/>
            <w:vAlign w:val="center"/>
          </w:tcPr>
          <w:p w14:paraId="5341ADD4">
            <w:pPr>
              <w:pStyle w:val="13"/>
            </w:pPr>
            <w:r>
              <w:t>家长和学生满意度</w:t>
            </w:r>
          </w:p>
        </w:tc>
        <w:tc>
          <w:tcPr>
            <w:tcW w:w="2268" w:type="dxa"/>
            <w:vAlign w:val="center"/>
          </w:tcPr>
          <w:p w14:paraId="51C6B274">
            <w:pPr>
              <w:pStyle w:val="13"/>
            </w:pPr>
            <w:r>
              <w:t>≥95%</w:t>
            </w:r>
          </w:p>
        </w:tc>
        <w:tc>
          <w:tcPr>
            <w:tcW w:w="1276" w:type="dxa"/>
            <w:vAlign w:val="center"/>
          </w:tcPr>
          <w:p w14:paraId="03F75139">
            <w:pPr>
              <w:pStyle w:val="13"/>
            </w:pPr>
            <w:r>
              <w:t>问卷调查</w:t>
            </w:r>
          </w:p>
        </w:tc>
      </w:tr>
    </w:tbl>
    <w:p w14:paraId="3B43DF15">
      <w:pPr>
        <w:sectPr>
          <w:pgSz w:w="16840" w:h="11900" w:orient="landscape"/>
          <w:pgMar w:top="1361" w:right="1020" w:bottom="1134" w:left="1020" w:header="720" w:footer="720" w:gutter="0"/>
          <w:cols w:space="720" w:num="1"/>
        </w:sectPr>
      </w:pPr>
    </w:p>
    <w:p w14:paraId="0D1DCB5B">
      <w:pPr>
        <w:spacing w:before="0" w:after="0"/>
        <w:ind w:firstLine="560"/>
        <w:jc w:val="left"/>
        <w:outlineLvl w:val="9"/>
      </w:pPr>
      <w:r>
        <w:rPr>
          <w:rFonts w:ascii="方正仿宋_GBK" w:hAnsi="方正仿宋_GBK" w:eastAsia="方正仿宋_GBK" w:cs="方正仿宋_GBK"/>
          <w:b/>
          <w:color w:val="000000"/>
          <w:sz w:val="28"/>
        </w:rPr>
        <w:t>14、冀财教[2024]141号/省级/2025年义教补助经费/校舍安全保障/南柏舍小学新建活动室及车棚绩效目标表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B2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470CD">
            <w:pPr>
              <w:pStyle w:val="14"/>
            </w:pPr>
            <w:r>
              <w:t>单位：万元</w:t>
            </w:r>
          </w:p>
        </w:tc>
      </w:tr>
      <w:tr w14:paraId="03E5B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6B5BCB">
            <w:pPr>
              <w:pStyle w:val="11"/>
            </w:pPr>
            <w:r>
              <w:t>项目编码</w:t>
            </w:r>
          </w:p>
        </w:tc>
        <w:tc>
          <w:tcPr>
            <w:tcW w:w="5103" w:type="dxa"/>
            <w:gridSpan w:val="2"/>
            <w:vAlign w:val="center"/>
          </w:tcPr>
          <w:p w14:paraId="47FF4741">
            <w:pPr>
              <w:pStyle w:val="13"/>
            </w:pPr>
            <w:r>
              <w:t>13052525P008762100312</w:t>
            </w:r>
          </w:p>
        </w:tc>
        <w:tc>
          <w:tcPr>
            <w:tcW w:w="2835" w:type="dxa"/>
            <w:vAlign w:val="center"/>
          </w:tcPr>
          <w:p w14:paraId="47466C7D">
            <w:pPr>
              <w:pStyle w:val="11"/>
            </w:pPr>
            <w:r>
              <w:t>项目名称</w:t>
            </w:r>
          </w:p>
        </w:tc>
        <w:tc>
          <w:tcPr>
            <w:tcW w:w="6095" w:type="dxa"/>
            <w:gridSpan w:val="3"/>
            <w:vAlign w:val="center"/>
          </w:tcPr>
          <w:p w14:paraId="3440F811">
            <w:pPr>
              <w:pStyle w:val="13"/>
            </w:pPr>
            <w:r>
              <w:t>冀财教[2024]141号/省级/2025年义教补助经费/校舍安全保障/南柏舍小学新建活动室及车棚</w:t>
            </w:r>
          </w:p>
        </w:tc>
      </w:tr>
      <w:tr w14:paraId="764EA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04893">
            <w:pPr>
              <w:pStyle w:val="11"/>
            </w:pPr>
            <w:r>
              <w:t>预算规模及资金用途</w:t>
            </w:r>
          </w:p>
        </w:tc>
        <w:tc>
          <w:tcPr>
            <w:tcW w:w="2268" w:type="dxa"/>
            <w:vAlign w:val="center"/>
          </w:tcPr>
          <w:p w14:paraId="0577F377">
            <w:pPr>
              <w:pStyle w:val="11"/>
            </w:pPr>
            <w:r>
              <w:t>预算数</w:t>
            </w:r>
          </w:p>
        </w:tc>
        <w:tc>
          <w:tcPr>
            <w:tcW w:w="2835" w:type="dxa"/>
            <w:vAlign w:val="center"/>
          </w:tcPr>
          <w:p w14:paraId="515ABE69">
            <w:pPr>
              <w:pStyle w:val="13"/>
            </w:pPr>
            <w:r>
              <w:t>20.00</w:t>
            </w:r>
          </w:p>
        </w:tc>
        <w:tc>
          <w:tcPr>
            <w:tcW w:w="2835" w:type="dxa"/>
            <w:vAlign w:val="center"/>
          </w:tcPr>
          <w:p w14:paraId="2E662C55">
            <w:pPr>
              <w:pStyle w:val="11"/>
            </w:pPr>
            <w:r>
              <w:t>其中：财政    资金</w:t>
            </w:r>
          </w:p>
        </w:tc>
        <w:tc>
          <w:tcPr>
            <w:tcW w:w="2551" w:type="dxa"/>
            <w:vAlign w:val="center"/>
          </w:tcPr>
          <w:p w14:paraId="6BC44F9E">
            <w:pPr>
              <w:pStyle w:val="13"/>
            </w:pPr>
            <w:r>
              <w:t>20.00</w:t>
            </w:r>
          </w:p>
        </w:tc>
        <w:tc>
          <w:tcPr>
            <w:tcW w:w="2268" w:type="dxa"/>
            <w:vAlign w:val="center"/>
          </w:tcPr>
          <w:p w14:paraId="230D36D4">
            <w:pPr>
              <w:pStyle w:val="11"/>
            </w:pPr>
            <w:r>
              <w:t>其他资金</w:t>
            </w:r>
          </w:p>
        </w:tc>
        <w:tc>
          <w:tcPr>
            <w:tcW w:w="1276" w:type="dxa"/>
            <w:vAlign w:val="center"/>
          </w:tcPr>
          <w:p w14:paraId="34D95E1A">
            <w:pPr>
              <w:pStyle w:val="13"/>
            </w:pPr>
            <w:r>
              <w:t xml:space="preserve"> </w:t>
            </w:r>
          </w:p>
        </w:tc>
      </w:tr>
      <w:tr w14:paraId="7B73A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F4494E"/>
        </w:tc>
        <w:tc>
          <w:tcPr>
            <w:tcW w:w="14033" w:type="dxa"/>
            <w:gridSpan w:val="6"/>
            <w:vAlign w:val="center"/>
          </w:tcPr>
          <w:p w14:paraId="6E2F35EE">
            <w:pPr>
              <w:pStyle w:val="13"/>
            </w:pPr>
            <w:r>
              <w:t>改善就学条件，提升学校形象，保障义务教育阶段教学安全，创造良好的校园环境。</w:t>
            </w:r>
          </w:p>
        </w:tc>
      </w:tr>
      <w:tr w14:paraId="2A690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897E4">
            <w:pPr>
              <w:pStyle w:val="11"/>
            </w:pPr>
            <w:r>
              <w:t>资金支出计划（%）</w:t>
            </w:r>
          </w:p>
        </w:tc>
        <w:tc>
          <w:tcPr>
            <w:tcW w:w="5103" w:type="dxa"/>
            <w:gridSpan w:val="2"/>
            <w:vAlign w:val="center"/>
          </w:tcPr>
          <w:p w14:paraId="2E508897">
            <w:pPr>
              <w:pStyle w:val="11"/>
            </w:pPr>
            <w:r>
              <w:t>3月底</w:t>
            </w:r>
          </w:p>
        </w:tc>
        <w:tc>
          <w:tcPr>
            <w:tcW w:w="2835" w:type="dxa"/>
            <w:vAlign w:val="center"/>
          </w:tcPr>
          <w:p w14:paraId="4B247E9E">
            <w:pPr>
              <w:pStyle w:val="11"/>
            </w:pPr>
            <w:r>
              <w:t>6月底</w:t>
            </w:r>
          </w:p>
        </w:tc>
        <w:tc>
          <w:tcPr>
            <w:tcW w:w="2551" w:type="dxa"/>
            <w:vAlign w:val="center"/>
          </w:tcPr>
          <w:p w14:paraId="36912222">
            <w:pPr>
              <w:pStyle w:val="11"/>
            </w:pPr>
            <w:r>
              <w:t>10月底</w:t>
            </w:r>
          </w:p>
        </w:tc>
        <w:tc>
          <w:tcPr>
            <w:tcW w:w="3544" w:type="dxa"/>
            <w:gridSpan w:val="2"/>
            <w:vAlign w:val="center"/>
          </w:tcPr>
          <w:p w14:paraId="525B19E3">
            <w:pPr>
              <w:pStyle w:val="11"/>
            </w:pPr>
            <w:r>
              <w:t>12月底</w:t>
            </w:r>
          </w:p>
        </w:tc>
      </w:tr>
      <w:tr w14:paraId="23C3A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DCBEA2"/>
        </w:tc>
        <w:tc>
          <w:tcPr>
            <w:tcW w:w="5103" w:type="dxa"/>
            <w:gridSpan w:val="2"/>
            <w:vAlign w:val="center"/>
          </w:tcPr>
          <w:p w14:paraId="532D66A4">
            <w:pPr>
              <w:pStyle w:val="12"/>
            </w:pPr>
            <w:r>
              <w:t xml:space="preserve"> </w:t>
            </w:r>
          </w:p>
        </w:tc>
        <w:tc>
          <w:tcPr>
            <w:tcW w:w="2835" w:type="dxa"/>
            <w:vAlign w:val="center"/>
          </w:tcPr>
          <w:p w14:paraId="34B5EFCA">
            <w:pPr>
              <w:pStyle w:val="12"/>
            </w:pPr>
            <w:r>
              <w:t>75%</w:t>
            </w:r>
          </w:p>
        </w:tc>
        <w:tc>
          <w:tcPr>
            <w:tcW w:w="2551" w:type="dxa"/>
            <w:vAlign w:val="center"/>
          </w:tcPr>
          <w:p w14:paraId="007F17A8">
            <w:pPr>
              <w:pStyle w:val="12"/>
            </w:pPr>
            <w:r>
              <w:t>100%</w:t>
            </w:r>
          </w:p>
        </w:tc>
        <w:tc>
          <w:tcPr>
            <w:tcW w:w="3544" w:type="dxa"/>
            <w:gridSpan w:val="2"/>
            <w:vAlign w:val="center"/>
          </w:tcPr>
          <w:p w14:paraId="71E5FFA7">
            <w:pPr>
              <w:pStyle w:val="12"/>
            </w:pPr>
            <w:r>
              <w:t>100%</w:t>
            </w:r>
          </w:p>
        </w:tc>
      </w:tr>
      <w:tr w14:paraId="0FB42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77A40B">
            <w:pPr>
              <w:pStyle w:val="11"/>
            </w:pPr>
            <w:r>
              <w:t>绩效目标</w:t>
            </w:r>
          </w:p>
        </w:tc>
        <w:tc>
          <w:tcPr>
            <w:tcW w:w="14033" w:type="dxa"/>
            <w:gridSpan w:val="6"/>
            <w:vAlign w:val="center"/>
          </w:tcPr>
          <w:p w14:paraId="4D0CCB1C">
            <w:pPr>
              <w:pStyle w:val="13"/>
            </w:pPr>
            <w:r>
              <w:t>1.项目需资金20万元，资金拨付率达到100%。</w:t>
            </w:r>
          </w:p>
          <w:p w14:paraId="07789651">
            <w:pPr>
              <w:pStyle w:val="13"/>
            </w:pPr>
            <w:r>
              <w:t>2.改善就学条件，提升学校形象，保障义务教育阶段教学安全，创造良好的校园环境。</w:t>
            </w:r>
          </w:p>
        </w:tc>
      </w:tr>
    </w:tbl>
    <w:p w14:paraId="1CE22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B2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A3852">
            <w:pPr>
              <w:pStyle w:val="11"/>
            </w:pPr>
            <w:r>
              <w:t>一级指标</w:t>
            </w:r>
          </w:p>
        </w:tc>
        <w:tc>
          <w:tcPr>
            <w:tcW w:w="2268" w:type="dxa"/>
            <w:vAlign w:val="center"/>
          </w:tcPr>
          <w:p w14:paraId="70D51FB6">
            <w:pPr>
              <w:pStyle w:val="11"/>
            </w:pPr>
            <w:r>
              <w:t>二级指标</w:t>
            </w:r>
          </w:p>
        </w:tc>
        <w:tc>
          <w:tcPr>
            <w:tcW w:w="2835" w:type="dxa"/>
            <w:vAlign w:val="center"/>
          </w:tcPr>
          <w:p w14:paraId="0EA64348">
            <w:pPr>
              <w:pStyle w:val="11"/>
            </w:pPr>
            <w:r>
              <w:t>三级指标</w:t>
            </w:r>
          </w:p>
        </w:tc>
        <w:tc>
          <w:tcPr>
            <w:tcW w:w="5386" w:type="dxa"/>
            <w:vAlign w:val="center"/>
          </w:tcPr>
          <w:p w14:paraId="2CEC1CA7">
            <w:pPr>
              <w:pStyle w:val="11"/>
            </w:pPr>
            <w:r>
              <w:t>绩效指标描述</w:t>
            </w:r>
          </w:p>
        </w:tc>
        <w:tc>
          <w:tcPr>
            <w:tcW w:w="2268" w:type="dxa"/>
            <w:vAlign w:val="center"/>
          </w:tcPr>
          <w:p w14:paraId="307084D2">
            <w:pPr>
              <w:pStyle w:val="11"/>
            </w:pPr>
            <w:r>
              <w:t>指标值</w:t>
            </w:r>
          </w:p>
        </w:tc>
        <w:tc>
          <w:tcPr>
            <w:tcW w:w="1276" w:type="dxa"/>
            <w:vAlign w:val="center"/>
          </w:tcPr>
          <w:p w14:paraId="036FA7E6">
            <w:pPr>
              <w:pStyle w:val="11"/>
            </w:pPr>
            <w:r>
              <w:t>指标值确定依据</w:t>
            </w:r>
          </w:p>
        </w:tc>
      </w:tr>
      <w:tr w14:paraId="15C52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5CF60">
            <w:pPr>
              <w:pStyle w:val="12"/>
            </w:pPr>
            <w:r>
              <w:t>产出指标</w:t>
            </w:r>
          </w:p>
        </w:tc>
        <w:tc>
          <w:tcPr>
            <w:tcW w:w="2268" w:type="dxa"/>
            <w:vAlign w:val="center"/>
          </w:tcPr>
          <w:p w14:paraId="7E6705B3">
            <w:pPr>
              <w:pStyle w:val="13"/>
            </w:pPr>
            <w:r>
              <w:t>数量指标</w:t>
            </w:r>
          </w:p>
        </w:tc>
        <w:tc>
          <w:tcPr>
            <w:tcW w:w="2835" w:type="dxa"/>
            <w:vAlign w:val="center"/>
          </w:tcPr>
          <w:p w14:paraId="5BDD06D8">
            <w:pPr>
              <w:pStyle w:val="13"/>
            </w:pPr>
            <w:r>
              <w:t>彩钢活动室及车棚</w:t>
            </w:r>
          </w:p>
        </w:tc>
        <w:tc>
          <w:tcPr>
            <w:tcW w:w="5386" w:type="dxa"/>
            <w:vAlign w:val="center"/>
          </w:tcPr>
          <w:p w14:paraId="1C91D776">
            <w:pPr>
              <w:pStyle w:val="13"/>
            </w:pPr>
            <w:r>
              <w:t>项目主要内容包括：活动室及车棚改造</w:t>
            </w:r>
          </w:p>
        </w:tc>
        <w:tc>
          <w:tcPr>
            <w:tcW w:w="2268" w:type="dxa"/>
            <w:vAlign w:val="center"/>
          </w:tcPr>
          <w:p w14:paraId="3C55A6AC">
            <w:pPr>
              <w:pStyle w:val="13"/>
            </w:pPr>
            <w:r>
              <w:t>556平方米</w:t>
            </w:r>
          </w:p>
        </w:tc>
        <w:tc>
          <w:tcPr>
            <w:tcW w:w="1276" w:type="dxa"/>
            <w:vAlign w:val="center"/>
          </w:tcPr>
          <w:p w14:paraId="34921D25">
            <w:pPr>
              <w:pStyle w:val="13"/>
            </w:pPr>
            <w:r>
              <w:t>项目规划</w:t>
            </w:r>
          </w:p>
        </w:tc>
      </w:tr>
      <w:tr w14:paraId="70EE3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3E25AE5F"/>
        </w:tc>
        <w:tc>
          <w:tcPr>
            <w:tcW w:w="2268" w:type="dxa"/>
            <w:vAlign w:val="center"/>
          </w:tcPr>
          <w:p w14:paraId="2C744BF5">
            <w:pPr>
              <w:pStyle w:val="13"/>
            </w:pPr>
            <w:r>
              <w:t>质量指标</w:t>
            </w:r>
          </w:p>
        </w:tc>
        <w:tc>
          <w:tcPr>
            <w:tcW w:w="2835" w:type="dxa"/>
            <w:vAlign w:val="center"/>
          </w:tcPr>
          <w:p w14:paraId="07E7E417">
            <w:pPr>
              <w:pStyle w:val="13"/>
            </w:pPr>
            <w:r>
              <w:t>工程实施验收合格率</w:t>
            </w:r>
          </w:p>
        </w:tc>
        <w:tc>
          <w:tcPr>
            <w:tcW w:w="5386" w:type="dxa"/>
            <w:vAlign w:val="center"/>
          </w:tcPr>
          <w:p w14:paraId="1131DAE3">
            <w:pPr>
              <w:pStyle w:val="13"/>
            </w:pPr>
            <w:r>
              <w:t>申报程序的合规，项目实施及资金使用符合项目规划</w:t>
            </w:r>
          </w:p>
        </w:tc>
        <w:tc>
          <w:tcPr>
            <w:tcW w:w="2268" w:type="dxa"/>
            <w:vAlign w:val="center"/>
          </w:tcPr>
          <w:p w14:paraId="6D4E7233">
            <w:pPr>
              <w:pStyle w:val="13"/>
            </w:pPr>
            <w:r>
              <w:t>100%</w:t>
            </w:r>
          </w:p>
        </w:tc>
        <w:tc>
          <w:tcPr>
            <w:tcW w:w="1276" w:type="dxa"/>
            <w:vAlign w:val="center"/>
          </w:tcPr>
          <w:p w14:paraId="249399A7">
            <w:pPr>
              <w:pStyle w:val="13"/>
            </w:pPr>
            <w:r>
              <w:t>项目规划</w:t>
            </w:r>
          </w:p>
        </w:tc>
      </w:tr>
      <w:tr w14:paraId="36F32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8B65D"/>
        </w:tc>
        <w:tc>
          <w:tcPr>
            <w:tcW w:w="2268" w:type="dxa"/>
            <w:vAlign w:val="center"/>
          </w:tcPr>
          <w:p w14:paraId="19529E86">
            <w:pPr>
              <w:pStyle w:val="13"/>
            </w:pPr>
            <w:r>
              <w:t>时效指标</w:t>
            </w:r>
          </w:p>
        </w:tc>
        <w:tc>
          <w:tcPr>
            <w:tcW w:w="2835" w:type="dxa"/>
            <w:vAlign w:val="center"/>
          </w:tcPr>
          <w:p w14:paraId="43D7E8CC">
            <w:pPr>
              <w:pStyle w:val="13"/>
            </w:pPr>
            <w:r>
              <w:t>资金支付率</w:t>
            </w:r>
          </w:p>
        </w:tc>
        <w:tc>
          <w:tcPr>
            <w:tcW w:w="5386" w:type="dxa"/>
            <w:vAlign w:val="center"/>
          </w:tcPr>
          <w:p w14:paraId="4DFC2980">
            <w:pPr>
              <w:pStyle w:val="13"/>
            </w:pPr>
            <w:r>
              <w:t>按照序时进度完成资金支付</w:t>
            </w:r>
          </w:p>
        </w:tc>
        <w:tc>
          <w:tcPr>
            <w:tcW w:w="2268" w:type="dxa"/>
            <w:vAlign w:val="center"/>
          </w:tcPr>
          <w:p w14:paraId="1923D3EA">
            <w:pPr>
              <w:pStyle w:val="13"/>
            </w:pPr>
            <w:r>
              <w:t>100%</w:t>
            </w:r>
          </w:p>
        </w:tc>
        <w:tc>
          <w:tcPr>
            <w:tcW w:w="1276" w:type="dxa"/>
            <w:vAlign w:val="center"/>
          </w:tcPr>
          <w:p w14:paraId="516B8FCB">
            <w:pPr>
              <w:pStyle w:val="13"/>
            </w:pPr>
            <w:r>
              <w:t>项目规划</w:t>
            </w:r>
          </w:p>
        </w:tc>
      </w:tr>
      <w:tr w14:paraId="79EDE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39027"/>
        </w:tc>
        <w:tc>
          <w:tcPr>
            <w:tcW w:w="2268" w:type="dxa"/>
            <w:vAlign w:val="center"/>
          </w:tcPr>
          <w:p w14:paraId="28E48104">
            <w:pPr>
              <w:pStyle w:val="13"/>
            </w:pPr>
            <w:r>
              <w:t>成本指标</w:t>
            </w:r>
          </w:p>
        </w:tc>
        <w:tc>
          <w:tcPr>
            <w:tcW w:w="2835" w:type="dxa"/>
            <w:vAlign w:val="center"/>
          </w:tcPr>
          <w:p w14:paraId="4E84BFEA">
            <w:pPr>
              <w:pStyle w:val="13"/>
            </w:pPr>
            <w:r>
              <w:t>项目成本控制情况</w:t>
            </w:r>
          </w:p>
        </w:tc>
        <w:tc>
          <w:tcPr>
            <w:tcW w:w="5386" w:type="dxa"/>
            <w:vAlign w:val="center"/>
          </w:tcPr>
          <w:p w14:paraId="7231742C">
            <w:pPr>
              <w:pStyle w:val="13"/>
            </w:pPr>
            <w:r>
              <w:t>严格按照招标价格及审计额进行支付</w:t>
            </w:r>
          </w:p>
        </w:tc>
        <w:tc>
          <w:tcPr>
            <w:tcW w:w="2268" w:type="dxa"/>
            <w:vAlign w:val="center"/>
          </w:tcPr>
          <w:p w14:paraId="53F11A7F">
            <w:pPr>
              <w:pStyle w:val="13"/>
            </w:pPr>
            <w:r>
              <w:t>20万元</w:t>
            </w:r>
          </w:p>
        </w:tc>
        <w:tc>
          <w:tcPr>
            <w:tcW w:w="1276" w:type="dxa"/>
            <w:vAlign w:val="center"/>
          </w:tcPr>
          <w:p w14:paraId="3F2825E7">
            <w:pPr>
              <w:pStyle w:val="13"/>
            </w:pPr>
            <w:r>
              <w:t>项目规划</w:t>
            </w:r>
          </w:p>
        </w:tc>
      </w:tr>
      <w:tr w14:paraId="32BAA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56D72E14">
            <w:pPr>
              <w:pStyle w:val="12"/>
            </w:pPr>
            <w:r>
              <w:t>效益指标</w:t>
            </w:r>
          </w:p>
        </w:tc>
        <w:tc>
          <w:tcPr>
            <w:tcW w:w="2268" w:type="dxa"/>
            <w:vAlign w:val="center"/>
          </w:tcPr>
          <w:p w14:paraId="0F0CCA12">
            <w:pPr>
              <w:pStyle w:val="13"/>
            </w:pPr>
            <w:r>
              <w:t>可持续影响指标</w:t>
            </w:r>
          </w:p>
        </w:tc>
        <w:tc>
          <w:tcPr>
            <w:tcW w:w="2835" w:type="dxa"/>
            <w:vAlign w:val="center"/>
          </w:tcPr>
          <w:p w14:paraId="0576FF46">
            <w:pPr>
              <w:pStyle w:val="13"/>
            </w:pPr>
            <w:r>
              <w:t>学校办学环境提升</w:t>
            </w:r>
          </w:p>
        </w:tc>
        <w:tc>
          <w:tcPr>
            <w:tcW w:w="5386" w:type="dxa"/>
            <w:vAlign w:val="center"/>
          </w:tcPr>
          <w:p w14:paraId="43F20D69">
            <w:pPr>
              <w:pStyle w:val="13"/>
            </w:pPr>
            <w:r>
              <w:t>学校教学环境优化率提升</w:t>
            </w:r>
          </w:p>
        </w:tc>
        <w:tc>
          <w:tcPr>
            <w:tcW w:w="2268" w:type="dxa"/>
            <w:vAlign w:val="center"/>
          </w:tcPr>
          <w:p w14:paraId="7C322B8A">
            <w:pPr>
              <w:pStyle w:val="13"/>
            </w:pPr>
            <w:r>
              <w:t>100%</w:t>
            </w:r>
          </w:p>
        </w:tc>
        <w:tc>
          <w:tcPr>
            <w:tcW w:w="1276" w:type="dxa"/>
            <w:vAlign w:val="center"/>
          </w:tcPr>
          <w:p w14:paraId="5C905762">
            <w:pPr>
              <w:pStyle w:val="13"/>
            </w:pPr>
            <w:r>
              <w:t>项目规划</w:t>
            </w:r>
          </w:p>
        </w:tc>
      </w:tr>
      <w:tr w14:paraId="7D990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8EEF43">
            <w:pPr>
              <w:pStyle w:val="12"/>
            </w:pPr>
            <w:r>
              <w:t>满意度指标</w:t>
            </w:r>
          </w:p>
        </w:tc>
        <w:tc>
          <w:tcPr>
            <w:tcW w:w="2268" w:type="dxa"/>
            <w:vAlign w:val="center"/>
          </w:tcPr>
          <w:p w14:paraId="45A5D7AC">
            <w:pPr>
              <w:pStyle w:val="13"/>
            </w:pPr>
            <w:r>
              <w:t>服务对象满意度指标</w:t>
            </w:r>
          </w:p>
        </w:tc>
        <w:tc>
          <w:tcPr>
            <w:tcW w:w="2835" w:type="dxa"/>
            <w:vAlign w:val="center"/>
          </w:tcPr>
          <w:p w14:paraId="5404AFE7">
            <w:pPr>
              <w:pStyle w:val="13"/>
            </w:pPr>
            <w:r>
              <w:t>受益学生家长及调查满意度</w:t>
            </w:r>
          </w:p>
        </w:tc>
        <w:tc>
          <w:tcPr>
            <w:tcW w:w="5386" w:type="dxa"/>
            <w:vAlign w:val="center"/>
          </w:tcPr>
          <w:p w14:paraId="21D68C3B">
            <w:pPr>
              <w:pStyle w:val="13"/>
            </w:pPr>
            <w:r>
              <w:t>学生、教师及家长对学校教学环境满意度情况</w:t>
            </w:r>
          </w:p>
        </w:tc>
        <w:tc>
          <w:tcPr>
            <w:tcW w:w="2268" w:type="dxa"/>
            <w:vAlign w:val="center"/>
          </w:tcPr>
          <w:p w14:paraId="08D1AE25">
            <w:pPr>
              <w:pStyle w:val="13"/>
            </w:pPr>
            <w:r>
              <w:t>≥95%</w:t>
            </w:r>
          </w:p>
        </w:tc>
        <w:tc>
          <w:tcPr>
            <w:tcW w:w="1276" w:type="dxa"/>
            <w:vAlign w:val="center"/>
          </w:tcPr>
          <w:p w14:paraId="176DCE81">
            <w:pPr>
              <w:pStyle w:val="13"/>
            </w:pPr>
            <w:r>
              <w:t>项目规划</w:t>
            </w:r>
          </w:p>
        </w:tc>
      </w:tr>
    </w:tbl>
    <w:p w14:paraId="42EB71CA">
      <w:pPr>
        <w:sectPr>
          <w:pgSz w:w="16840" w:h="11900" w:orient="landscape"/>
          <w:pgMar w:top="1361" w:right="1020" w:bottom="1134" w:left="1020" w:header="720" w:footer="720" w:gutter="0"/>
          <w:cols w:space="720" w:num="1"/>
        </w:sectPr>
      </w:pPr>
    </w:p>
    <w:p w14:paraId="53C4B395">
      <w:pPr>
        <w:spacing w:before="0" w:after="0"/>
        <w:ind w:firstLine="560"/>
        <w:jc w:val="left"/>
        <w:outlineLvl w:val="9"/>
      </w:pPr>
      <w:r>
        <w:rPr>
          <w:rFonts w:ascii="方正仿宋_GBK" w:hAnsi="方正仿宋_GBK" w:eastAsia="方正仿宋_GBK" w:cs="方正仿宋_GBK"/>
          <w:b/>
          <w:color w:val="000000"/>
          <w:sz w:val="28"/>
        </w:rPr>
        <w:t>15、冀财教[2024]141号/省级/2025年义教补助经费/校舍安全保障/义丰小学塑胶操场改造绩效目标表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5C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1AA99">
            <w:pPr>
              <w:pStyle w:val="14"/>
            </w:pPr>
            <w:r>
              <w:t>单位：万元</w:t>
            </w:r>
          </w:p>
        </w:tc>
      </w:tr>
      <w:tr w14:paraId="64502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8E31F">
            <w:pPr>
              <w:pStyle w:val="11"/>
            </w:pPr>
            <w:r>
              <w:t>项目编码</w:t>
            </w:r>
          </w:p>
        </w:tc>
        <w:tc>
          <w:tcPr>
            <w:tcW w:w="5103" w:type="dxa"/>
            <w:gridSpan w:val="2"/>
            <w:vAlign w:val="center"/>
          </w:tcPr>
          <w:p w14:paraId="11B227FC">
            <w:pPr>
              <w:pStyle w:val="13"/>
            </w:pPr>
            <w:r>
              <w:t>13052525P00876210030E</w:t>
            </w:r>
          </w:p>
        </w:tc>
        <w:tc>
          <w:tcPr>
            <w:tcW w:w="2835" w:type="dxa"/>
            <w:vAlign w:val="center"/>
          </w:tcPr>
          <w:p w14:paraId="39A9A0A7">
            <w:pPr>
              <w:pStyle w:val="11"/>
            </w:pPr>
            <w:r>
              <w:t>项目名称</w:t>
            </w:r>
          </w:p>
        </w:tc>
        <w:tc>
          <w:tcPr>
            <w:tcW w:w="6095" w:type="dxa"/>
            <w:gridSpan w:val="3"/>
            <w:vAlign w:val="center"/>
          </w:tcPr>
          <w:p w14:paraId="159F9EB7">
            <w:pPr>
              <w:pStyle w:val="13"/>
            </w:pPr>
            <w:r>
              <w:t>冀财教[2024]141号/省级/2025年义教补助经费/校舍安全保障/义丰小学塑胶操场改造</w:t>
            </w:r>
          </w:p>
        </w:tc>
      </w:tr>
      <w:tr w14:paraId="32F9B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C26CB">
            <w:pPr>
              <w:pStyle w:val="11"/>
            </w:pPr>
            <w:r>
              <w:t>预算规模及资金用途</w:t>
            </w:r>
          </w:p>
        </w:tc>
        <w:tc>
          <w:tcPr>
            <w:tcW w:w="2268" w:type="dxa"/>
            <w:vAlign w:val="center"/>
          </w:tcPr>
          <w:p w14:paraId="3E6F058F">
            <w:pPr>
              <w:pStyle w:val="11"/>
            </w:pPr>
            <w:r>
              <w:t>预算数</w:t>
            </w:r>
          </w:p>
        </w:tc>
        <w:tc>
          <w:tcPr>
            <w:tcW w:w="2835" w:type="dxa"/>
            <w:vAlign w:val="center"/>
          </w:tcPr>
          <w:p w14:paraId="3ADF6262">
            <w:pPr>
              <w:pStyle w:val="13"/>
            </w:pPr>
            <w:r>
              <w:t>161.80</w:t>
            </w:r>
          </w:p>
        </w:tc>
        <w:tc>
          <w:tcPr>
            <w:tcW w:w="2835" w:type="dxa"/>
            <w:vAlign w:val="center"/>
          </w:tcPr>
          <w:p w14:paraId="5A2400B9">
            <w:pPr>
              <w:pStyle w:val="11"/>
            </w:pPr>
            <w:r>
              <w:t>其中：财政    资金</w:t>
            </w:r>
          </w:p>
        </w:tc>
        <w:tc>
          <w:tcPr>
            <w:tcW w:w="2551" w:type="dxa"/>
            <w:vAlign w:val="center"/>
          </w:tcPr>
          <w:p w14:paraId="2F7438B4">
            <w:pPr>
              <w:pStyle w:val="13"/>
            </w:pPr>
            <w:r>
              <w:t>161.80</w:t>
            </w:r>
          </w:p>
        </w:tc>
        <w:tc>
          <w:tcPr>
            <w:tcW w:w="2268" w:type="dxa"/>
            <w:vAlign w:val="center"/>
          </w:tcPr>
          <w:p w14:paraId="50E78EA8">
            <w:pPr>
              <w:pStyle w:val="11"/>
            </w:pPr>
            <w:r>
              <w:t>其他资金</w:t>
            </w:r>
          </w:p>
        </w:tc>
        <w:tc>
          <w:tcPr>
            <w:tcW w:w="1276" w:type="dxa"/>
            <w:vAlign w:val="center"/>
          </w:tcPr>
          <w:p w14:paraId="36020DAB">
            <w:pPr>
              <w:pStyle w:val="13"/>
            </w:pPr>
            <w:r>
              <w:t xml:space="preserve"> </w:t>
            </w:r>
          </w:p>
        </w:tc>
      </w:tr>
      <w:tr w14:paraId="3C569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FA2BE"/>
        </w:tc>
        <w:tc>
          <w:tcPr>
            <w:tcW w:w="14033" w:type="dxa"/>
            <w:gridSpan w:val="6"/>
            <w:vAlign w:val="center"/>
          </w:tcPr>
          <w:p w14:paraId="6F9BA00D">
            <w:pPr>
              <w:pStyle w:val="13"/>
            </w:pPr>
            <w:r>
              <w:t>改善义务教育办学条件，进一步提升教育教学办学质量，为义丰小学铺设塑胶操场。</w:t>
            </w:r>
          </w:p>
        </w:tc>
      </w:tr>
      <w:tr w14:paraId="3219D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04E57">
            <w:pPr>
              <w:pStyle w:val="11"/>
            </w:pPr>
            <w:r>
              <w:t>资金支出计划（%）</w:t>
            </w:r>
          </w:p>
        </w:tc>
        <w:tc>
          <w:tcPr>
            <w:tcW w:w="5103" w:type="dxa"/>
            <w:gridSpan w:val="2"/>
            <w:vAlign w:val="center"/>
          </w:tcPr>
          <w:p w14:paraId="652EC893">
            <w:pPr>
              <w:pStyle w:val="11"/>
            </w:pPr>
            <w:r>
              <w:t>3月底</w:t>
            </w:r>
          </w:p>
        </w:tc>
        <w:tc>
          <w:tcPr>
            <w:tcW w:w="2835" w:type="dxa"/>
            <w:vAlign w:val="center"/>
          </w:tcPr>
          <w:p w14:paraId="1ED580C8">
            <w:pPr>
              <w:pStyle w:val="11"/>
            </w:pPr>
            <w:r>
              <w:t>6月底</w:t>
            </w:r>
          </w:p>
        </w:tc>
        <w:tc>
          <w:tcPr>
            <w:tcW w:w="2551" w:type="dxa"/>
            <w:vAlign w:val="center"/>
          </w:tcPr>
          <w:p w14:paraId="63C29E2E">
            <w:pPr>
              <w:pStyle w:val="11"/>
            </w:pPr>
            <w:r>
              <w:t>10月底</w:t>
            </w:r>
          </w:p>
        </w:tc>
        <w:tc>
          <w:tcPr>
            <w:tcW w:w="3544" w:type="dxa"/>
            <w:gridSpan w:val="2"/>
            <w:vAlign w:val="center"/>
          </w:tcPr>
          <w:p w14:paraId="638BCB03">
            <w:pPr>
              <w:pStyle w:val="11"/>
            </w:pPr>
            <w:r>
              <w:t>12月底</w:t>
            </w:r>
          </w:p>
        </w:tc>
      </w:tr>
      <w:tr w14:paraId="45C125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DB52E"/>
        </w:tc>
        <w:tc>
          <w:tcPr>
            <w:tcW w:w="5103" w:type="dxa"/>
            <w:gridSpan w:val="2"/>
            <w:vAlign w:val="center"/>
          </w:tcPr>
          <w:p w14:paraId="1C1AC87E">
            <w:pPr>
              <w:pStyle w:val="12"/>
            </w:pPr>
            <w:r>
              <w:t xml:space="preserve"> </w:t>
            </w:r>
          </w:p>
        </w:tc>
        <w:tc>
          <w:tcPr>
            <w:tcW w:w="2835" w:type="dxa"/>
            <w:vAlign w:val="center"/>
          </w:tcPr>
          <w:p w14:paraId="2D31A131">
            <w:pPr>
              <w:pStyle w:val="12"/>
            </w:pPr>
            <w:r>
              <w:t>50%</w:t>
            </w:r>
          </w:p>
        </w:tc>
        <w:tc>
          <w:tcPr>
            <w:tcW w:w="2551" w:type="dxa"/>
            <w:vAlign w:val="center"/>
          </w:tcPr>
          <w:p w14:paraId="207CC94F">
            <w:pPr>
              <w:pStyle w:val="12"/>
            </w:pPr>
            <w:r>
              <w:t>75%</w:t>
            </w:r>
          </w:p>
        </w:tc>
        <w:tc>
          <w:tcPr>
            <w:tcW w:w="3544" w:type="dxa"/>
            <w:gridSpan w:val="2"/>
            <w:vAlign w:val="center"/>
          </w:tcPr>
          <w:p w14:paraId="137742B4">
            <w:pPr>
              <w:pStyle w:val="12"/>
            </w:pPr>
            <w:r>
              <w:t>100%</w:t>
            </w:r>
          </w:p>
        </w:tc>
      </w:tr>
      <w:tr w14:paraId="2E7AD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90F538">
            <w:pPr>
              <w:pStyle w:val="11"/>
            </w:pPr>
            <w:r>
              <w:t>绩效目标</w:t>
            </w:r>
          </w:p>
        </w:tc>
        <w:tc>
          <w:tcPr>
            <w:tcW w:w="14033" w:type="dxa"/>
            <w:gridSpan w:val="6"/>
            <w:vAlign w:val="center"/>
          </w:tcPr>
          <w:p w14:paraId="4AC52325">
            <w:pPr>
              <w:pStyle w:val="13"/>
            </w:pPr>
            <w:r>
              <w:t>1.义丰小学塑胶操场项目资金1618000元，资金拨付率达100%</w:t>
            </w:r>
          </w:p>
          <w:p w14:paraId="2292B8A1">
            <w:pPr>
              <w:pStyle w:val="13"/>
            </w:pPr>
            <w:r>
              <w:t>2.改善义务教育办学条件，进一步提升教育教学办学质量</w:t>
            </w:r>
          </w:p>
        </w:tc>
      </w:tr>
    </w:tbl>
    <w:p w14:paraId="1BE8B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D8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64626">
            <w:pPr>
              <w:pStyle w:val="11"/>
            </w:pPr>
            <w:r>
              <w:t>一级指标</w:t>
            </w:r>
          </w:p>
        </w:tc>
        <w:tc>
          <w:tcPr>
            <w:tcW w:w="2268" w:type="dxa"/>
            <w:vAlign w:val="center"/>
          </w:tcPr>
          <w:p w14:paraId="10211965">
            <w:pPr>
              <w:pStyle w:val="11"/>
            </w:pPr>
            <w:r>
              <w:t>二级指标</w:t>
            </w:r>
          </w:p>
        </w:tc>
        <w:tc>
          <w:tcPr>
            <w:tcW w:w="2835" w:type="dxa"/>
            <w:vAlign w:val="center"/>
          </w:tcPr>
          <w:p w14:paraId="6EBDDD44">
            <w:pPr>
              <w:pStyle w:val="11"/>
            </w:pPr>
            <w:r>
              <w:t>三级指标</w:t>
            </w:r>
          </w:p>
        </w:tc>
        <w:tc>
          <w:tcPr>
            <w:tcW w:w="5386" w:type="dxa"/>
            <w:vAlign w:val="center"/>
          </w:tcPr>
          <w:p w14:paraId="0DBCC692">
            <w:pPr>
              <w:pStyle w:val="11"/>
            </w:pPr>
            <w:r>
              <w:t>绩效指标描述</w:t>
            </w:r>
          </w:p>
        </w:tc>
        <w:tc>
          <w:tcPr>
            <w:tcW w:w="2268" w:type="dxa"/>
            <w:vAlign w:val="center"/>
          </w:tcPr>
          <w:p w14:paraId="01613D72">
            <w:pPr>
              <w:pStyle w:val="11"/>
            </w:pPr>
            <w:r>
              <w:t>指标值</w:t>
            </w:r>
          </w:p>
        </w:tc>
        <w:tc>
          <w:tcPr>
            <w:tcW w:w="1276" w:type="dxa"/>
            <w:vAlign w:val="center"/>
          </w:tcPr>
          <w:p w14:paraId="55631388">
            <w:pPr>
              <w:pStyle w:val="11"/>
            </w:pPr>
            <w:r>
              <w:t>指标值确定依据</w:t>
            </w:r>
          </w:p>
        </w:tc>
      </w:tr>
      <w:tr w14:paraId="30D23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737B2">
            <w:pPr>
              <w:pStyle w:val="12"/>
            </w:pPr>
            <w:r>
              <w:t>产出指标</w:t>
            </w:r>
          </w:p>
        </w:tc>
        <w:tc>
          <w:tcPr>
            <w:tcW w:w="2268" w:type="dxa"/>
            <w:vAlign w:val="center"/>
          </w:tcPr>
          <w:p w14:paraId="4A771023">
            <w:pPr>
              <w:pStyle w:val="13"/>
            </w:pPr>
            <w:r>
              <w:t>数量指标</w:t>
            </w:r>
          </w:p>
        </w:tc>
        <w:tc>
          <w:tcPr>
            <w:tcW w:w="2835" w:type="dxa"/>
            <w:vAlign w:val="center"/>
          </w:tcPr>
          <w:p w14:paraId="1C772AC5">
            <w:pPr>
              <w:pStyle w:val="13"/>
            </w:pPr>
            <w:r>
              <w:t>塑胶操场改造</w:t>
            </w:r>
          </w:p>
        </w:tc>
        <w:tc>
          <w:tcPr>
            <w:tcW w:w="5386" w:type="dxa"/>
            <w:vAlign w:val="center"/>
          </w:tcPr>
          <w:p w14:paraId="335DF8AA">
            <w:pPr>
              <w:pStyle w:val="13"/>
            </w:pPr>
            <w:r>
              <w:t>对学校操场进行铺设塑胶跑道面积</w:t>
            </w:r>
          </w:p>
        </w:tc>
        <w:tc>
          <w:tcPr>
            <w:tcW w:w="2268" w:type="dxa"/>
            <w:vAlign w:val="center"/>
          </w:tcPr>
          <w:p w14:paraId="7A99AE33">
            <w:pPr>
              <w:pStyle w:val="13"/>
            </w:pPr>
            <w:r>
              <w:t>≤6000平方米</w:t>
            </w:r>
          </w:p>
        </w:tc>
        <w:tc>
          <w:tcPr>
            <w:tcW w:w="1276" w:type="dxa"/>
            <w:vAlign w:val="center"/>
          </w:tcPr>
          <w:p w14:paraId="5CE06361">
            <w:pPr>
              <w:pStyle w:val="13"/>
            </w:pPr>
            <w:r>
              <w:t>项目规划</w:t>
            </w:r>
          </w:p>
        </w:tc>
      </w:tr>
      <w:tr w14:paraId="766DE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20FD9"/>
        </w:tc>
        <w:tc>
          <w:tcPr>
            <w:tcW w:w="2268" w:type="dxa"/>
            <w:vAlign w:val="center"/>
          </w:tcPr>
          <w:p w14:paraId="1A3E4896">
            <w:pPr>
              <w:pStyle w:val="13"/>
            </w:pPr>
            <w:r>
              <w:t>质量指标</w:t>
            </w:r>
          </w:p>
        </w:tc>
        <w:tc>
          <w:tcPr>
            <w:tcW w:w="2835" w:type="dxa"/>
            <w:vAlign w:val="center"/>
          </w:tcPr>
          <w:p w14:paraId="7DA93F0C">
            <w:pPr>
              <w:pStyle w:val="13"/>
            </w:pPr>
            <w:r>
              <w:t>工程实施验收合格率</w:t>
            </w:r>
          </w:p>
        </w:tc>
        <w:tc>
          <w:tcPr>
            <w:tcW w:w="5386" w:type="dxa"/>
            <w:vAlign w:val="center"/>
          </w:tcPr>
          <w:p w14:paraId="66F09116">
            <w:pPr>
              <w:pStyle w:val="13"/>
            </w:pPr>
            <w:r>
              <w:t>申报程序的合规，项目实施及资金使用符合项目规划</w:t>
            </w:r>
          </w:p>
        </w:tc>
        <w:tc>
          <w:tcPr>
            <w:tcW w:w="2268" w:type="dxa"/>
            <w:vAlign w:val="center"/>
          </w:tcPr>
          <w:p w14:paraId="75650741">
            <w:pPr>
              <w:pStyle w:val="13"/>
            </w:pPr>
            <w:r>
              <w:t>100%</w:t>
            </w:r>
          </w:p>
        </w:tc>
        <w:tc>
          <w:tcPr>
            <w:tcW w:w="1276" w:type="dxa"/>
            <w:vAlign w:val="center"/>
          </w:tcPr>
          <w:p w14:paraId="1310D6CF">
            <w:pPr>
              <w:pStyle w:val="13"/>
            </w:pPr>
            <w:r>
              <w:t>项目规划</w:t>
            </w:r>
          </w:p>
        </w:tc>
      </w:tr>
      <w:tr w14:paraId="1FEE0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5401B"/>
        </w:tc>
        <w:tc>
          <w:tcPr>
            <w:tcW w:w="2268" w:type="dxa"/>
            <w:vAlign w:val="center"/>
          </w:tcPr>
          <w:p w14:paraId="59FA9A2A">
            <w:pPr>
              <w:pStyle w:val="13"/>
            </w:pPr>
            <w:r>
              <w:t>时效指标</w:t>
            </w:r>
          </w:p>
        </w:tc>
        <w:tc>
          <w:tcPr>
            <w:tcW w:w="2835" w:type="dxa"/>
            <w:vAlign w:val="center"/>
          </w:tcPr>
          <w:p w14:paraId="7586AD0E">
            <w:pPr>
              <w:pStyle w:val="13"/>
            </w:pPr>
            <w:r>
              <w:t>资金支付率</w:t>
            </w:r>
          </w:p>
        </w:tc>
        <w:tc>
          <w:tcPr>
            <w:tcW w:w="5386" w:type="dxa"/>
            <w:vAlign w:val="center"/>
          </w:tcPr>
          <w:p w14:paraId="61B5796E">
            <w:pPr>
              <w:pStyle w:val="13"/>
            </w:pPr>
            <w:r>
              <w:t>按照序时进度完成资金支付</w:t>
            </w:r>
          </w:p>
        </w:tc>
        <w:tc>
          <w:tcPr>
            <w:tcW w:w="2268" w:type="dxa"/>
            <w:vAlign w:val="center"/>
          </w:tcPr>
          <w:p w14:paraId="679ADA86">
            <w:pPr>
              <w:pStyle w:val="13"/>
            </w:pPr>
            <w:r>
              <w:t>100%</w:t>
            </w:r>
          </w:p>
        </w:tc>
        <w:tc>
          <w:tcPr>
            <w:tcW w:w="1276" w:type="dxa"/>
            <w:vAlign w:val="center"/>
          </w:tcPr>
          <w:p w14:paraId="16E61BC5">
            <w:pPr>
              <w:pStyle w:val="13"/>
            </w:pPr>
            <w:r>
              <w:t>项目规划</w:t>
            </w:r>
          </w:p>
        </w:tc>
      </w:tr>
      <w:tr w14:paraId="15B9C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3A3E3"/>
        </w:tc>
        <w:tc>
          <w:tcPr>
            <w:tcW w:w="2268" w:type="dxa"/>
            <w:vAlign w:val="center"/>
          </w:tcPr>
          <w:p w14:paraId="1253C0EF">
            <w:pPr>
              <w:pStyle w:val="13"/>
            </w:pPr>
            <w:r>
              <w:t>成本指标</w:t>
            </w:r>
          </w:p>
        </w:tc>
        <w:tc>
          <w:tcPr>
            <w:tcW w:w="2835" w:type="dxa"/>
            <w:vAlign w:val="center"/>
          </w:tcPr>
          <w:p w14:paraId="07568E36">
            <w:pPr>
              <w:pStyle w:val="13"/>
            </w:pPr>
            <w:r>
              <w:t>项目成本控制情况</w:t>
            </w:r>
          </w:p>
        </w:tc>
        <w:tc>
          <w:tcPr>
            <w:tcW w:w="5386" w:type="dxa"/>
            <w:vAlign w:val="center"/>
          </w:tcPr>
          <w:p w14:paraId="76C12564">
            <w:pPr>
              <w:pStyle w:val="13"/>
            </w:pPr>
            <w:r>
              <w:t>严格按照招标价格及审计额进行</w:t>
            </w:r>
          </w:p>
        </w:tc>
        <w:tc>
          <w:tcPr>
            <w:tcW w:w="2268" w:type="dxa"/>
            <w:vAlign w:val="center"/>
          </w:tcPr>
          <w:p w14:paraId="21A664F0">
            <w:pPr>
              <w:pStyle w:val="13"/>
            </w:pPr>
            <w:r>
              <w:t>161.8万元</w:t>
            </w:r>
          </w:p>
        </w:tc>
        <w:tc>
          <w:tcPr>
            <w:tcW w:w="1276" w:type="dxa"/>
            <w:vAlign w:val="center"/>
          </w:tcPr>
          <w:p w14:paraId="10CACCCF">
            <w:pPr>
              <w:pStyle w:val="13"/>
            </w:pPr>
            <w:r>
              <w:t>项目规划</w:t>
            </w:r>
          </w:p>
        </w:tc>
      </w:tr>
      <w:tr w14:paraId="7A9F3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F31DD">
            <w:pPr>
              <w:pStyle w:val="12"/>
            </w:pPr>
            <w:r>
              <w:t>效益指标</w:t>
            </w:r>
          </w:p>
        </w:tc>
        <w:tc>
          <w:tcPr>
            <w:tcW w:w="2268" w:type="dxa"/>
            <w:vAlign w:val="center"/>
          </w:tcPr>
          <w:p w14:paraId="185F574F">
            <w:pPr>
              <w:pStyle w:val="13"/>
            </w:pPr>
            <w:r>
              <w:t>可持续影响指标</w:t>
            </w:r>
          </w:p>
        </w:tc>
        <w:tc>
          <w:tcPr>
            <w:tcW w:w="2835" w:type="dxa"/>
            <w:vAlign w:val="center"/>
          </w:tcPr>
          <w:p w14:paraId="28BA8CE3">
            <w:pPr>
              <w:pStyle w:val="13"/>
            </w:pPr>
            <w:r>
              <w:t>学校办学能力提升</w:t>
            </w:r>
          </w:p>
        </w:tc>
        <w:tc>
          <w:tcPr>
            <w:tcW w:w="5386" w:type="dxa"/>
            <w:vAlign w:val="center"/>
          </w:tcPr>
          <w:p w14:paraId="58673562">
            <w:pPr>
              <w:pStyle w:val="13"/>
            </w:pPr>
            <w:r>
              <w:t>学校办学能力升情况及教育教学工作等开展的情况</w:t>
            </w:r>
          </w:p>
        </w:tc>
        <w:tc>
          <w:tcPr>
            <w:tcW w:w="2268" w:type="dxa"/>
            <w:vAlign w:val="center"/>
          </w:tcPr>
          <w:p w14:paraId="6CE5E011">
            <w:pPr>
              <w:pStyle w:val="13"/>
            </w:pPr>
            <w:r>
              <w:t>≥98%</w:t>
            </w:r>
          </w:p>
        </w:tc>
        <w:tc>
          <w:tcPr>
            <w:tcW w:w="1276" w:type="dxa"/>
            <w:vAlign w:val="center"/>
          </w:tcPr>
          <w:p w14:paraId="7695B897">
            <w:pPr>
              <w:pStyle w:val="13"/>
            </w:pPr>
            <w:r>
              <w:t>项目规划</w:t>
            </w:r>
          </w:p>
        </w:tc>
      </w:tr>
      <w:tr w14:paraId="2A001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3EE505">
            <w:pPr>
              <w:pStyle w:val="12"/>
            </w:pPr>
            <w:r>
              <w:t>满意度指标</w:t>
            </w:r>
          </w:p>
        </w:tc>
        <w:tc>
          <w:tcPr>
            <w:tcW w:w="2268" w:type="dxa"/>
            <w:vAlign w:val="center"/>
          </w:tcPr>
          <w:p w14:paraId="587F27C3">
            <w:pPr>
              <w:pStyle w:val="13"/>
            </w:pPr>
            <w:r>
              <w:t>服务对象满意度指标</w:t>
            </w:r>
          </w:p>
        </w:tc>
        <w:tc>
          <w:tcPr>
            <w:tcW w:w="2835" w:type="dxa"/>
            <w:vAlign w:val="center"/>
          </w:tcPr>
          <w:p w14:paraId="15E28C03">
            <w:pPr>
              <w:pStyle w:val="13"/>
            </w:pPr>
            <w:r>
              <w:t>学生、教师及家长对学校教学环境满意度情况</w:t>
            </w:r>
          </w:p>
        </w:tc>
        <w:tc>
          <w:tcPr>
            <w:tcW w:w="5386" w:type="dxa"/>
            <w:vAlign w:val="center"/>
          </w:tcPr>
          <w:p w14:paraId="2D264FFB">
            <w:pPr>
              <w:pStyle w:val="13"/>
            </w:pPr>
            <w:r>
              <w:t>学生、教师及家长对学校教学环境满意度情况</w:t>
            </w:r>
          </w:p>
        </w:tc>
        <w:tc>
          <w:tcPr>
            <w:tcW w:w="2268" w:type="dxa"/>
            <w:vAlign w:val="center"/>
          </w:tcPr>
          <w:p w14:paraId="2CB39046">
            <w:pPr>
              <w:pStyle w:val="13"/>
            </w:pPr>
            <w:r>
              <w:t>≥95%</w:t>
            </w:r>
          </w:p>
        </w:tc>
        <w:tc>
          <w:tcPr>
            <w:tcW w:w="1276" w:type="dxa"/>
            <w:vAlign w:val="center"/>
          </w:tcPr>
          <w:p w14:paraId="3E6D7A5D">
            <w:pPr>
              <w:pStyle w:val="13"/>
            </w:pPr>
            <w:r>
              <w:t>项目规划</w:t>
            </w:r>
          </w:p>
        </w:tc>
      </w:tr>
    </w:tbl>
    <w:p w14:paraId="6B8C5C59">
      <w:pPr>
        <w:sectPr>
          <w:pgSz w:w="16840" w:h="11900" w:orient="landscape"/>
          <w:pgMar w:top="1361" w:right="1020" w:bottom="1134" w:left="1020" w:header="720" w:footer="720" w:gutter="0"/>
          <w:cols w:space="720" w:num="1"/>
        </w:sectPr>
      </w:pPr>
    </w:p>
    <w:p w14:paraId="21EC3BE6">
      <w:pPr>
        <w:spacing w:before="0" w:after="0"/>
        <w:ind w:firstLine="560"/>
        <w:jc w:val="left"/>
        <w:outlineLvl w:val="9"/>
      </w:pPr>
      <w:r>
        <w:rPr>
          <w:rFonts w:ascii="方正仿宋_GBK" w:hAnsi="方正仿宋_GBK" w:eastAsia="方正仿宋_GBK" w:cs="方正仿宋_GBK"/>
          <w:b/>
          <w:color w:val="000000"/>
          <w:sz w:val="28"/>
        </w:rPr>
        <w:t>16、冀财教[2024]141号/省级/2025年义教补助经费/义丰小学公用经费绩效目标表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86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7B8AE">
            <w:pPr>
              <w:pStyle w:val="14"/>
            </w:pPr>
            <w:r>
              <w:t>单位：万元</w:t>
            </w:r>
          </w:p>
        </w:tc>
      </w:tr>
      <w:tr w14:paraId="3BA31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C89BA">
            <w:pPr>
              <w:pStyle w:val="11"/>
            </w:pPr>
            <w:r>
              <w:t>项目编码</w:t>
            </w:r>
          </w:p>
        </w:tc>
        <w:tc>
          <w:tcPr>
            <w:tcW w:w="5103" w:type="dxa"/>
            <w:gridSpan w:val="2"/>
            <w:vAlign w:val="center"/>
          </w:tcPr>
          <w:p w14:paraId="03CBB147">
            <w:pPr>
              <w:pStyle w:val="13"/>
            </w:pPr>
            <w:r>
              <w:t>13052525P00000410146E</w:t>
            </w:r>
          </w:p>
        </w:tc>
        <w:tc>
          <w:tcPr>
            <w:tcW w:w="2835" w:type="dxa"/>
            <w:vAlign w:val="center"/>
          </w:tcPr>
          <w:p w14:paraId="1BAE39FE">
            <w:pPr>
              <w:pStyle w:val="11"/>
            </w:pPr>
            <w:r>
              <w:t>项目名称</w:t>
            </w:r>
          </w:p>
        </w:tc>
        <w:tc>
          <w:tcPr>
            <w:tcW w:w="6095" w:type="dxa"/>
            <w:gridSpan w:val="3"/>
            <w:vAlign w:val="center"/>
          </w:tcPr>
          <w:p w14:paraId="7512A9F8">
            <w:pPr>
              <w:pStyle w:val="13"/>
            </w:pPr>
            <w:r>
              <w:t>冀财教[2024]141号/省级/2025年义教补助经费/义丰小学公用经费</w:t>
            </w:r>
          </w:p>
        </w:tc>
      </w:tr>
      <w:tr w14:paraId="38360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DE867">
            <w:pPr>
              <w:pStyle w:val="11"/>
            </w:pPr>
            <w:r>
              <w:t>预算规模及资金用途</w:t>
            </w:r>
          </w:p>
        </w:tc>
        <w:tc>
          <w:tcPr>
            <w:tcW w:w="2268" w:type="dxa"/>
            <w:vAlign w:val="center"/>
          </w:tcPr>
          <w:p w14:paraId="56741B30">
            <w:pPr>
              <w:pStyle w:val="11"/>
            </w:pPr>
            <w:r>
              <w:t>预算数</w:t>
            </w:r>
          </w:p>
        </w:tc>
        <w:tc>
          <w:tcPr>
            <w:tcW w:w="2835" w:type="dxa"/>
            <w:vAlign w:val="center"/>
          </w:tcPr>
          <w:p w14:paraId="196A08C3">
            <w:pPr>
              <w:pStyle w:val="13"/>
            </w:pPr>
            <w:r>
              <w:t>70.74</w:t>
            </w:r>
          </w:p>
        </w:tc>
        <w:tc>
          <w:tcPr>
            <w:tcW w:w="2835" w:type="dxa"/>
            <w:vAlign w:val="center"/>
          </w:tcPr>
          <w:p w14:paraId="6A2EF5C3">
            <w:pPr>
              <w:pStyle w:val="11"/>
            </w:pPr>
            <w:r>
              <w:t>其中：财政    资金</w:t>
            </w:r>
          </w:p>
        </w:tc>
        <w:tc>
          <w:tcPr>
            <w:tcW w:w="2551" w:type="dxa"/>
            <w:vAlign w:val="center"/>
          </w:tcPr>
          <w:p w14:paraId="0C814F4E">
            <w:pPr>
              <w:pStyle w:val="13"/>
            </w:pPr>
            <w:r>
              <w:t>70.74</w:t>
            </w:r>
          </w:p>
        </w:tc>
        <w:tc>
          <w:tcPr>
            <w:tcW w:w="2268" w:type="dxa"/>
            <w:vAlign w:val="center"/>
          </w:tcPr>
          <w:p w14:paraId="1294D48A">
            <w:pPr>
              <w:pStyle w:val="11"/>
            </w:pPr>
            <w:r>
              <w:t>其他资金</w:t>
            </w:r>
          </w:p>
        </w:tc>
        <w:tc>
          <w:tcPr>
            <w:tcW w:w="1276" w:type="dxa"/>
            <w:vAlign w:val="center"/>
          </w:tcPr>
          <w:p w14:paraId="4C19AA2D">
            <w:pPr>
              <w:pStyle w:val="13"/>
            </w:pPr>
            <w:r>
              <w:t xml:space="preserve"> </w:t>
            </w:r>
          </w:p>
        </w:tc>
      </w:tr>
      <w:tr w14:paraId="24D7D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EE397"/>
        </w:tc>
        <w:tc>
          <w:tcPr>
            <w:tcW w:w="14033" w:type="dxa"/>
            <w:gridSpan w:val="6"/>
            <w:vAlign w:val="center"/>
          </w:tcPr>
          <w:p w14:paraId="35ED2BAE">
            <w:pPr>
              <w:pStyle w:val="13"/>
            </w:pPr>
            <w:r>
              <w:t>有效完成学校教学安全秩序，保障学校教学任务有效开展，满足学校正常教学需要。</w:t>
            </w:r>
          </w:p>
        </w:tc>
      </w:tr>
      <w:tr w14:paraId="30908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B9BD9">
            <w:pPr>
              <w:pStyle w:val="11"/>
            </w:pPr>
            <w:r>
              <w:t>资金支出计划（%）</w:t>
            </w:r>
          </w:p>
        </w:tc>
        <w:tc>
          <w:tcPr>
            <w:tcW w:w="5103" w:type="dxa"/>
            <w:gridSpan w:val="2"/>
            <w:vAlign w:val="center"/>
          </w:tcPr>
          <w:p w14:paraId="5F38CE65">
            <w:pPr>
              <w:pStyle w:val="11"/>
            </w:pPr>
            <w:r>
              <w:t>3月底</w:t>
            </w:r>
          </w:p>
        </w:tc>
        <w:tc>
          <w:tcPr>
            <w:tcW w:w="2835" w:type="dxa"/>
            <w:vAlign w:val="center"/>
          </w:tcPr>
          <w:p w14:paraId="5A813638">
            <w:pPr>
              <w:pStyle w:val="11"/>
            </w:pPr>
            <w:r>
              <w:t>6月底</w:t>
            </w:r>
          </w:p>
        </w:tc>
        <w:tc>
          <w:tcPr>
            <w:tcW w:w="2551" w:type="dxa"/>
            <w:vAlign w:val="center"/>
          </w:tcPr>
          <w:p w14:paraId="26041A97">
            <w:pPr>
              <w:pStyle w:val="11"/>
            </w:pPr>
            <w:r>
              <w:t>10月底</w:t>
            </w:r>
          </w:p>
        </w:tc>
        <w:tc>
          <w:tcPr>
            <w:tcW w:w="3544" w:type="dxa"/>
            <w:gridSpan w:val="2"/>
            <w:vAlign w:val="center"/>
          </w:tcPr>
          <w:p w14:paraId="7E7E8EFC">
            <w:pPr>
              <w:pStyle w:val="11"/>
            </w:pPr>
            <w:r>
              <w:t>12月底</w:t>
            </w:r>
          </w:p>
        </w:tc>
      </w:tr>
      <w:tr w14:paraId="161F2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3882C3"/>
        </w:tc>
        <w:tc>
          <w:tcPr>
            <w:tcW w:w="5103" w:type="dxa"/>
            <w:gridSpan w:val="2"/>
            <w:vAlign w:val="center"/>
          </w:tcPr>
          <w:p w14:paraId="513D0042">
            <w:pPr>
              <w:pStyle w:val="12"/>
            </w:pPr>
            <w:r>
              <w:t>25%</w:t>
            </w:r>
          </w:p>
        </w:tc>
        <w:tc>
          <w:tcPr>
            <w:tcW w:w="2835" w:type="dxa"/>
            <w:vAlign w:val="center"/>
          </w:tcPr>
          <w:p w14:paraId="6A620FAC">
            <w:pPr>
              <w:pStyle w:val="12"/>
            </w:pPr>
            <w:r>
              <w:t>50%</w:t>
            </w:r>
          </w:p>
        </w:tc>
        <w:tc>
          <w:tcPr>
            <w:tcW w:w="2551" w:type="dxa"/>
            <w:vAlign w:val="center"/>
          </w:tcPr>
          <w:p w14:paraId="21AF34AA">
            <w:pPr>
              <w:pStyle w:val="12"/>
            </w:pPr>
            <w:r>
              <w:t>75%</w:t>
            </w:r>
          </w:p>
        </w:tc>
        <w:tc>
          <w:tcPr>
            <w:tcW w:w="3544" w:type="dxa"/>
            <w:gridSpan w:val="2"/>
            <w:vAlign w:val="center"/>
          </w:tcPr>
          <w:p w14:paraId="71AEC3D5">
            <w:pPr>
              <w:pStyle w:val="12"/>
            </w:pPr>
            <w:r>
              <w:t>100%</w:t>
            </w:r>
          </w:p>
        </w:tc>
      </w:tr>
      <w:tr w14:paraId="2E96C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2EAE4">
            <w:pPr>
              <w:pStyle w:val="11"/>
            </w:pPr>
            <w:r>
              <w:t>绩效目标</w:t>
            </w:r>
          </w:p>
        </w:tc>
        <w:tc>
          <w:tcPr>
            <w:tcW w:w="14033" w:type="dxa"/>
            <w:gridSpan w:val="6"/>
            <w:vAlign w:val="center"/>
          </w:tcPr>
          <w:p w14:paraId="51F26E75">
            <w:pPr>
              <w:pStyle w:val="13"/>
            </w:pPr>
            <w:r>
              <w:t>1.按规定拨付公用经费资金，预算执行率≥98%。</w:t>
            </w:r>
          </w:p>
          <w:p w14:paraId="2F2DC5A1">
            <w:pPr>
              <w:pStyle w:val="13"/>
            </w:pPr>
            <w:r>
              <w:t>2.有效完成学校教学安全秩序，保障学校教学任务有效开展，满足学校正常教学需要。</w:t>
            </w:r>
          </w:p>
        </w:tc>
      </w:tr>
    </w:tbl>
    <w:p w14:paraId="6D98D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B63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72F5B">
            <w:pPr>
              <w:pStyle w:val="11"/>
            </w:pPr>
            <w:r>
              <w:t>一级指标</w:t>
            </w:r>
          </w:p>
        </w:tc>
        <w:tc>
          <w:tcPr>
            <w:tcW w:w="2268" w:type="dxa"/>
            <w:vAlign w:val="center"/>
          </w:tcPr>
          <w:p w14:paraId="2A5BE8B6">
            <w:pPr>
              <w:pStyle w:val="11"/>
            </w:pPr>
            <w:r>
              <w:t>二级指标</w:t>
            </w:r>
          </w:p>
        </w:tc>
        <w:tc>
          <w:tcPr>
            <w:tcW w:w="2835" w:type="dxa"/>
            <w:vAlign w:val="center"/>
          </w:tcPr>
          <w:p w14:paraId="4C06C413">
            <w:pPr>
              <w:pStyle w:val="11"/>
            </w:pPr>
            <w:r>
              <w:t>三级指标</w:t>
            </w:r>
          </w:p>
        </w:tc>
        <w:tc>
          <w:tcPr>
            <w:tcW w:w="5386" w:type="dxa"/>
            <w:vAlign w:val="center"/>
          </w:tcPr>
          <w:p w14:paraId="54507EC4">
            <w:pPr>
              <w:pStyle w:val="11"/>
            </w:pPr>
            <w:r>
              <w:t>绩效指标描述</w:t>
            </w:r>
          </w:p>
        </w:tc>
        <w:tc>
          <w:tcPr>
            <w:tcW w:w="2268" w:type="dxa"/>
            <w:vAlign w:val="center"/>
          </w:tcPr>
          <w:p w14:paraId="150C0E3B">
            <w:pPr>
              <w:pStyle w:val="11"/>
            </w:pPr>
            <w:r>
              <w:t>指标值</w:t>
            </w:r>
          </w:p>
        </w:tc>
        <w:tc>
          <w:tcPr>
            <w:tcW w:w="1276" w:type="dxa"/>
            <w:vAlign w:val="center"/>
          </w:tcPr>
          <w:p w14:paraId="71015C40">
            <w:pPr>
              <w:pStyle w:val="11"/>
            </w:pPr>
            <w:r>
              <w:t>指标值确定依据</w:t>
            </w:r>
          </w:p>
        </w:tc>
      </w:tr>
      <w:tr w14:paraId="3623A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55E40">
            <w:pPr>
              <w:pStyle w:val="12"/>
            </w:pPr>
            <w:r>
              <w:t>产出指标</w:t>
            </w:r>
          </w:p>
        </w:tc>
        <w:tc>
          <w:tcPr>
            <w:tcW w:w="2268" w:type="dxa"/>
            <w:vAlign w:val="center"/>
          </w:tcPr>
          <w:p w14:paraId="217B70A8">
            <w:pPr>
              <w:pStyle w:val="13"/>
            </w:pPr>
            <w:r>
              <w:t>数量指标</w:t>
            </w:r>
          </w:p>
        </w:tc>
        <w:tc>
          <w:tcPr>
            <w:tcW w:w="2835" w:type="dxa"/>
            <w:vAlign w:val="center"/>
          </w:tcPr>
          <w:p w14:paraId="56113B59">
            <w:pPr>
              <w:pStyle w:val="13"/>
            </w:pPr>
            <w:r>
              <w:t>就读学生数</w:t>
            </w:r>
          </w:p>
        </w:tc>
        <w:tc>
          <w:tcPr>
            <w:tcW w:w="5386" w:type="dxa"/>
            <w:vAlign w:val="center"/>
          </w:tcPr>
          <w:p w14:paraId="2945A461">
            <w:pPr>
              <w:pStyle w:val="13"/>
            </w:pPr>
            <w:r>
              <w:t>辐射区域内适龄学生人数</w:t>
            </w:r>
          </w:p>
        </w:tc>
        <w:tc>
          <w:tcPr>
            <w:tcW w:w="2268" w:type="dxa"/>
            <w:vAlign w:val="center"/>
          </w:tcPr>
          <w:p w14:paraId="1F85CA24">
            <w:pPr>
              <w:pStyle w:val="13"/>
            </w:pPr>
            <w:r>
              <w:t>2380人</w:t>
            </w:r>
          </w:p>
        </w:tc>
        <w:tc>
          <w:tcPr>
            <w:tcW w:w="1276" w:type="dxa"/>
            <w:vAlign w:val="center"/>
          </w:tcPr>
          <w:p w14:paraId="0A5EC777">
            <w:pPr>
              <w:pStyle w:val="13"/>
            </w:pPr>
            <w:r>
              <w:t>城乡义务教育公用经费管理办法</w:t>
            </w:r>
          </w:p>
        </w:tc>
      </w:tr>
      <w:tr w14:paraId="5A5D1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3CF72"/>
        </w:tc>
        <w:tc>
          <w:tcPr>
            <w:tcW w:w="2268" w:type="dxa"/>
            <w:vAlign w:val="center"/>
          </w:tcPr>
          <w:p w14:paraId="44315783">
            <w:pPr>
              <w:pStyle w:val="13"/>
            </w:pPr>
            <w:r>
              <w:t>质量指标</w:t>
            </w:r>
          </w:p>
        </w:tc>
        <w:tc>
          <w:tcPr>
            <w:tcW w:w="2835" w:type="dxa"/>
            <w:vAlign w:val="center"/>
          </w:tcPr>
          <w:p w14:paraId="3B9192E1">
            <w:pPr>
              <w:pStyle w:val="13"/>
            </w:pPr>
            <w:r>
              <w:t>预算执行率</w:t>
            </w:r>
          </w:p>
        </w:tc>
        <w:tc>
          <w:tcPr>
            <w:tcW w:w="5386" w:type="dxa"/>
            <w:vAlign w:val="center"/>
          </w:tcPr>
          <w:p w14:paraId="201590F8">
            <w:pPr>
              <w:pStyle w:val="13"/>
            </w:pPr>
            <w:r>
              <w:t>预算执行率</w:t>
            </w:r>
          </w:p>
        </w:tc>
        <w:tc>
          <w:tcPr>
            <w:tcW w:w="2268" w:type="dxa"/>
            <w:vAlign w:val="center"/>
          </w:tcPr>
          <w:p w14:paraId="1B721DE6">
            <w:pPr>
              <w:pStyle w:val="13"/>
            </w:pPr>
            <w:r>
              <w:t>≥98%</w:t>
            </w:r>
          </w:p>
        </w:tc>
        <w:tc>
          <w:tcPr>
            <w:tcW w:w="1276" w:type="dxa"/>
            <w:vAlign w:val="center"/>
          </w:tcPr>
          <w:p w14:paraId="349B239E">
            <w:pPr>
              <w:pStyle w:val="13"/>
            </w:pPr>
            <w:r>
              <w:t>城乡义务教育公用经费管理办法</w:t>
            </w:r>
          </w:p>
        </w:tc>
      </w:tr>
      <w:tr w14:paraId="622E6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EBB2E"/>
        </w:tc>
        <w:tc>
          <w:tcPr>
            <w:tcW w:w="2268" w:type="dxa"/>
            <w:vAlign w:val="center"/>
          </w:tcPr>
          <w:p w14:paraId="4D97AC91">
            <w:pPr>
              <w:pStyle w:val="13"/>
            </w:pPr>
            <w:r>
              <w:t>时效指标</w:t>
            </w:r>
          </w:p>
        </w:tc>
        <w:tc>
          <w:tcPr>
            <w:tcW w:w="2835" w:type="dxa"/>
            <w:vAlign w:val="center"/>
          </w:tcPr>
          <w:p w14:paraId="54E8E693">
            <w:pPr>
              <w:pStyle w:val="13"/>
            </w:pPr>
            <w:r>
              <w:t>义教经费支付完成率</w:t>
            </w:r>
          </w:p>
        </w:tc>
        <w:tc>
          <w:tcPr>
            <w:tcW w:w="5386" w:type="dxa"/>
            <w:vAlign w:val="center"/>
          </w:tcPr>
          <w:p w14:paraId="03D31438">
            <w:pPr>
              <w:pStyle w:val="13"/>
            </w:pPr>
            <w:r>
              <w:t>按照序时进度完成资金支付</w:t>
            </w:r>
          </w:p>
        </w:tc>
        <w:tc>
          <w:tcPr>
            <w:tcW w:w="2268" w:type="dxa"/>
            <w:vAlign w:val="center"/>
          </w:tcPr>
          <w:p w14:paraId="5717FD38">
            <w:pPr>
              <w:pStyle w:val="13"/>
            </w:pPr>
            <w:r>
              <w:t>100%</w:t>
            </w:r>
          </w:p>
        </w:tc>
        <w:tc>
          <w:tcPr>
            <w:tcW w:w="1276" w:type="dxa"/>
            <w:vAlign w:val="center"/>
          </w:tcPr>
          <w:p w14:paraId="3D184849">
            <w:pPr>
              <w:pStyle w:val="13"/>
            </w:pPr>
            <w:r>
              <w:t>城乡义务教育公用经费管理办法</w:t>
            </w:r>
          </w:p>
        </w:tc>
      </w:tr>
      <w:tr w14:paraId="51DB0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4ED18"/>
        </w:tc>
        <w:tc>
          <w:tcPr>
            <w:tcW w:w="2268" w:type="dxa"/>
            <w:vAlign w:val="center"/>
          </w:tcPr>
          <w:p w14:paraId="7BCC8924">
            <w:pPr>
              <w:pStyle w:val="13"/>
            </w:pPr>
            <w:r>
              <w:t>成本指标</w:t>
            </w:r>
          </w:p>
        </w:tc>
        <w:tc>
          <w:tcPr>
            <w:tcW w:w="2835" w:type="dxa"/>
            <w:vAlign w:val="center"/>
          </w:tcPr>
          <w:p w14:paraId="3C67022E">
            <w:pPr>
              <w:pStyle w:val="13"/>
            </w:pPr>
            <w:r>
              <w:t>生均拨款标准</w:t>
            </w:r>
          </w:p>
        </w:tc>
        <w:tc>
          <w:tcPr>
            <w:tcW w:w="5386" w:type="dxa"/>
            <w:vAlign w:val="center"/>
          </w:tcPr>
          <w:p w14:paraId="33334A35">
            <w:pPr>
              <w:pStyle w:val="13"/>
            </w:pPr>
            <w:r>
              <w:t>小学：（基本标准720元、寄宿生300元、生活补助120元）/生/学年；特教、随班就读学生：标准7000元/生/学年</w:t>
            </w:r>
          </w:p>
        </w:tc>
        <w:tc>
          <w:tcPr>
            <w:tcW w:w="2268" w:type="dxa"/>
            <w:vAlign w:val="center"/>
          </w:tcPr>
          <w:p w14:paraId="1FEA8578">
            <w:pPr>
              <w:pStyle w:val="13"/>
            </w:pPr>
            <w:r>
              <w:t>840元</w:t>
            </w:r>
          </w:p>
        </w:tc>
        <w:tc>
          <w:tcPr>
            <w:tcW w:w="1276" w:type="dxa"/>
            <w:vAlign w:val="center"/>
          </w:tcPr>
          <w:p w14:paraId="4BEAB12C">
            <w:pPr>
              <w:pStyle w:val="13"/>
            </w:pPr>
            <w:r>
              <w:t>城乡义务教育公用经费管理办法</w:t>
            </w:r>
          </w:p>
        </w:tc>
      </w:tr>
      <w:tr w14:paraId="70EB7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C3757">
            <w:pPr>
              <w:pStyle w:val="12"/>
            </w:pPr>
            <w:r>
              <w:t>效益指标</w:t>
            </w:r>
          </w:p>
        </w:tc>
        <w:tc>
          <w:tcPr>
            <w:tcW w:w="2268" w:type="dxa"/>
            <w:vAlign w:val="center"/>
          </w:tcPr>
          <w:p w14:paraId="64D0970E">
            <w:pPr>
              <w:pStyle w:val="13"/>
            </w:pPr>
            <w:r>
              <w:t>可持续影响指标</w:t>
            </w:r>
          </w:p>
        </w:tc>
        <w:tc>
          <w:tcPr>
            <w:tcW w:w="2835" w:type="dxa"/>
            <w:vAlign w:val="center"/>
          </w:tcPr>
          <w:p w14:paraId="2596ACBD">
            <w:pPr>
              <w:pStyle w:val="13"/>
            </w:pPr>
            <w:r>
              <w:t>学校稳定率</w:t>
            </w:r>
          </w:p>
        </w:tc>
        <w:tc>
          <w:tcPr>
            <w:tcW w:w="5386" w:type="dxa"/>
            <w:vAlign w:val="center"/>
          </w:tcPr>
          <w:p w14:paraId="7744351B">
            <w:pPr>
              <w:pStyle w:val="13"/>
            </w:pPr>
            <w:r>
              <w:t>维护学校稳定，保障学校正常教学秩序有效开展</w:t>
            </w:r>
          </w:p>
        </w:tc>
        <w:tc>
          <w:tcPr>
            <w:tcW w:w="2268" w:type="dxa"/>
            <w:vAlign w:val="center"/>
          </w:tcPr>
          <w:p w14:paraId="7AB15271">
            <w:pPr>
              <w:pStyle w:val="13"/>
            </w:pPr>
            <w:r>
              <w:t>100%</w:t>
            </w:r>
          </w:p>
        </w:tc>
        <w:tc>
          <w:tcPr>
            <w:tcW w:w="1276" w:type="dxa"/>
            <w:vAlign w:val="center"/>
          </w:tcPr>
          <w:p w14:paraId="65FF6FCF">
            <w:pPr>
              <w:pStyle w:val="13"/>
            </w:pPr>
            <w:r>
              <w:t>城乡义务教育公用经费管理办法</w:t>
            </w:r>
          </w:p>
        </w:tc>
      </w:tr>
      <w:tr w14:paraId="58540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35A9A">
            <w:pPr>
              <w:pStyle w:val="12"/>
            </w:pPr>
            <w:r>
              <w:t>满意度指标</w:t>
            </w:r>
          </w:p>
        </w:tc>
        <w:tc>
          <w:tcPr>
            <w:tcW w:w="2268" w:type="dxa"/>
            <w:vAlign w:val="center"/>
          </w:tcPr>
          <w:p w14:paraId="1D0DF3FC">
            <w:pPr>
              <w:pStyle w:val="13"/>
            </w:pPr>
            <w:r>
              <w:t>服务对象满意度指标</w:t>
            </w:r>
          </w:p>
        </w:tc>
        <w:tc>
          <w:tcPr>
            <w:tcW w:w="2835" w:type="dxa"/>
            <w:vAlign w:val="center"/>
          </w:tcPr>
          <w:p w14:paraId="6212EE1E">
            <w:pPr>
              <w:pStyle w:val="13"/>
            </w:pPr>
            <w:r>
              <w:t>家长和学生满意度</w:t>
            </w:r>
          </w:p>
        </w:tc>
        <w:tc>
          <w:tcPr>
            <w:tcW w:w="5386" w:type="dxa"/>
            <w:vAlign w:val="center"/>
          </w:tcPr>
          <w:p w14:paraId="57124B93">
            <w:pPr>
              <w:pStyle w:val="13"/>
            </w:pPr>
            <w:r>
              <w:t>家长和学生满意度</w:t>
            </w:r>
          </w:p>
        </w:tc>
        <w:tc>
          <w:tcPr>
            <w:tcW w:w="2268" w:type="dxa"/>
            <w:vAlign w:val="center"/>
          </w:tcPr>
          <w:p w14:paraId="349F853A">
            <w:pPr>
              <w:pStyle w:val="13"/>
            </w:pPr>
            <w:r>
              <w:t>≥95%</w:t>
            </w:r>
          </w:p>
        </w:tc>
        <w:tc>
          <w:tcPr>
            <w:tcW w:w="1276" w:type="dxa"/>
            <w:vAlign w:val="center"/>
          </w:tcPr>
          <w:p w14:paraId="2962CD3B">
            <w:pPr>
              <w:pStyle w:val="13"/>
            </w:pPr>
            <w:r>
              <w:t>问卷调查</w:t>
            </w:r>
          </w:p>
        </w:tc>
      </w:tr>
    </w:tbl>
    <w:p w14:paraId="3EC16B28">
      <w:pPr>
        <w:sectPr>
          <w:pgSz w:w="16840" w:h="11900" w:orient="landscape"/>
          <w:pgMar w:top="1361" w:right="1020" w:bottom="1134" w:left="1020" w:header="720" w:footer="720" w:gutter="0"/>
          <w:cols w:space="720" w:num="1"/>
        </w:sectPr>
      </w:pPr>
    </w:p>
    <w:p w14:paraId="77A2F186">
      <w:pPr>
        <w:spacing w:before="0" w:after="0"/>
        <w:ind w:firstLine="560"/>
        <w:jc w:val="left"/>
        <w:outlineLvl w:val="9"/>
      </w:pPr>
      <w:r>
        <w:rPr>
          <w:rFonts w:ascii="方正仿宋_GBK" w:hAnsi="方正仿宋_GBK" w:eastAsia="方正仿宋_GBK" w:cs="方正仿宋_GBK"/>
          <w:b/>
          <w:color w:val="000000"/>
          <w:sz w:val="28"/>
        </w:rPr>
        <w:t>17、冀财教[2024]142号/省级/2025年学前发展资金/城关校区学前教育公用经费绩效目标表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EA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71BC3">
            <w:pPr>
              <w:pStyle w:val="14"/>
            </w:pPr>
            <w:r>
              <w:t>单位：万元</w:t>
            </w:r>
          </w:p>
        </w:tc>
      </w:tr>
      <w:tr w14:paraId="2DA2A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67844">
            <w:pPr>
              <w:pStyle w:val="11"/>
            </w:pPr>
            <w:r>
              <w:t>项目编码</w:t>
            </w:r>
          </w:p>
        </w:tc>
        <w:tc>
          <w:tcPr>
            <w:tcW w:w="5103" w:type="dxa"/>
            <w:gridSpan w:val="2"/>
            <w:vAlign w:val="center"/>
          </w:tcPr>
          <w:p w14:paraId="54E7E4A2">
            <w:pPr>
              <w:pStyle w:val="13"/>
            </w:pPr>
            <w:r>
              <w:t>13052525P00875710001K</w:t>
            </w:r>
          </w:p>
        </w:tc>
        <w:tc>
          <w:tcPr>
            <w:tcW w:w="2835" w:type="dxa"/>
            <w:vAlign w:val="center"/>
          </w:tcPr>
          <w:p w14:paraId="1ABA1A56">
            <w:pPr>
              <w:pStyle w:val="11"/>
            </w:pPr>
            <w:r>
              <w:t>项目名称</w:t>
            </w:r>
          </w:p>
        </w:tc>
        <w:tc>
          <w:tcPr>
            <w:tcW w:w="6095" w:type="dxa"/>
            <w:gridSpan w:val="3"/>
            <w:vAlign w:val="center"/>
          </w:tcPr>
          <w:p w14:paraId="320B0E6B">
            <w:pPr>
              <w:pStyle w:val="13"/>
            </w:pPr>
            <w:r>
              <w:t>冀财教[2024]142号/省级/2025年学前发展资金/城关校区学前教育公用经费</w:t>
            </w:r>
          </w:p>
        </w:tc>
      </w:tr>
      <w:tr w14:paraId="248E7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1F229">
            <w:pPr>
              <w:pStyle w:val="11"/>
            </w:pPr>
            <w:r>
              <w:t>预算规模及资金用途</w:t>
            </w:r>
          </w:p>
        </w:tc>
        <w:tc>
          <w:tcPr>
            <w:tcW w:w="2268" w:type="dxa"/>
            <w:vAlign w:val="center"/>
          </w:tcPr>
          <w:p w14:paraId="05DC7F95">
            <w:pPr>
              <w:pStyle w:val="11"/>
            </w:pPr>
            <w:r>
              <w:t>预算数</w:t>
            </w:r>
          </w:p>
        </w:tc>
        <w:tc>
          <w:tcPr>
            <w:tcW w:w="2835" w:type="dxa"/>
            <w:vAlign w:val="center"/>
          </w:tcPr>
          <w:p w14:paraId="05AD5890">
            <w:pPr>
              <w:pStyle w:val="13"/>
            </w:pPr>
            <w:r>
              <w:t>25.85</w:t>
            </w:r>
          </w:p>
        </w:tc>
        <w:tc>
          <w:tcPr>
            <w:tcW w:w="2835" w:type="dxa"/>
            <w:vAlign w:val="center"/>
          </w:tcPr>
          <w:p w14:paraId="0CBB0731">
            <w:pPr>
              <w:pStyle w:val="11"/>
            </w:pPr>
            <w:r>
              <w:t>其中：财政    资金</w:t>
            </w:r>
          </w:p>
        </w:tc>
        <w:tc>
          <w:tcPr>
            <w:tcW w:w="2551" w:type="dxa"/>
            <w:vAlign w:val="center"/>
          </w:tcPr>
          <w:p w14:paraId="3EB75FDC">
            <w:pPr>
              <w:pStyle w:val="13"/>
            </w:pPr>
            <w:r>
              <w:t>25.85</w:t>
            </w:r>
          </w:p>
        </w:tc>
        <w:tc>
          <w:tcPr>
            <w:tcW w:w="2268" w:type="dxa"/>
            <w:vAlign w:val="center"/>
          </w:tcPr>
          <w:p w14:paraId="6F0F4DCF">
            <w:pPr>
              <w:pStyle w:val="11"/>
            </w:pPr>
            <w:r>
              <w:t>其他资金</w:t>
            </w:r>
          </w:p>
        </w:tc>
        <w:tc>
          <w:tcPr>
            <w:tcW w:w="1276" w:type="dxa"/>
            <w:vAlign w:val="center"/>
          </w:tcPr>
          <w:p w14:paraId="4AF801D5">
            <w:pPr>
              <w:pStyle w:val="13"/>
            </w:pPr>
            <w:r>
              <w:t xml:space="preserve"> </w:t>
            </w:r>
          </w:p>
        </w:tc>
      </w:tr>
      <w:tr w14:paraId="4399E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1259E"/>
        </w:tc>
        <w:tc>
          <w:tcPr>
            <w:tcW w:w="14033" w:type="dxa"/>
            <w:gridSpan w:val="6"/>
            <w:vAlign w:val="center"/>
          </w:tcPr>
          <w:p w14:paraId="0F7C0E9B">
            <w:pPr>
              <w:pStyle w:val="13"/>
            </w:pPr>
            <w:r>
              <w:t xml:space="preserve"> 保障幼儿园正常运转，完成教育教学活动和其他日常工作任务等方面的费用支出。</w:t>
            </w:r>
          </w:p>
        </w:tc>
      </w:tr>
      <w:tr w14:paraId="3BF2B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97DB1">
            <w:pPr>
              <w:pStyle w:val="11"/>
            </w:pPr>
            <w:r>
              <w:t>资金支出计划（%）</w:t>
            </w:r>
          </w:p>
        </w:tc>
        <w:tc>
          <w:tcPr>
            <w:tcW w:w="5103" w:type="dxa"/>
            <w:gridSpan w:val="2"/>
            <w:vAlign w:val="center"/>
          </w:tcPr>
          <w:p w14:paraId="40F8E063">
            <w:pPr>
              <w:pStyle w:val="11"/>
            </w:pPr>
            <w:r>
              <w:t>3月底</w:t>
            </w:r>
          </w:p>
        </w:tc>
        <w:tc>
          <w:tcPr>
            <w:tcW w:w="2835" w:type="dxa"/>
            <w:vAlign w:val="center"/>
          </w:tcPr>
          <w:p w14:paraId="4986F023">
            <w:pPr>
              <w:pStyle w:val="11"/>
            </w:pPr>
            <w:r>
              <w:t>6月底</w:t>
            </w:r>
          </w:p>
        </w:tc>
        <w:tc>
          <w:tcPr>
            <w:tcW w:w="2551" w:type="dxa"/>
            <w:vAlign w:val="center"/>
          </w:tcPr>
          <w:p w14:paraId="3426AD40">
            <w:pPr>
              <w:pStyle w:val="11"/>
            </w:pPr>
            <w:r>
              <w:t>10月底</w:t>
            </w:r>
          </w:p>
        </w:tc>
        <w:tc>
          <w:tcPr>
            <w:tcW w:w="3544" w:type="dxa"/>
            <w:gridSpan w:val="2"/>
            <w:vAlign w:val="center"/>
          </w:tcPr>
          <w:p w14:paraId="0A33756C">
            <w:pPr>
              <w:pStyle w:val="11"/>
            </w:pPr>
            <w:r>
              <w:t>12月底</w:t>
            </w:r>
          </w:p>
        </w:tc>
      </w:tr>
      <w:tr w14:paraId="7041E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21F72E"/>
        </w:tc>
        <w:tc>
          <w:tcPr>
            <w:tcW w:w="5103" w:type="dxa"/>
            <w:gridSpan w:val="2"/>
            <w:vAlign w:val="center"/>
          </w:tcPr>
          <w:p w14:paraId="681DA932">
            <w:pPr>
              <w:pStyle w:val="12"/>
            </w:pPr>
            <w:r>
              <w:t>25%</w:t>
            </w:r>
          </w:p>
        </w:tc>
        <w:tc>
          <w:tcPr>
            <w:tcW w:w="2835" w:type="dxa"/>
            <w:vAlign w:val="center"/>
          </w:tcPr>
          <w:p w14:paraId="06634BBF">
            <w:pPr>
              <w:pStyle w:val="12"/>
            </w:pPr>
            <w:r>
              <w:t>50%</w:t>
            </w:r>
          </w:p>
        </w:tc>
        <w:tc>
          <w:tcPr>
            <w:tcW w:w="2551" w:type="dxa"/>
            <w:vAlign w:val="center"/>
          </w:tcPr>
          <w:p w14:paraId="27692667">
            <w:pPr>
              <w:pStyle w:val="12"/>
            </w:pPr>
            <w:r>
              <w:t>75%</w:t>
            </w:r>
          </w:p>
        </w:tc>
        <w:tc>
          <w:tcPr>
            <w:tcW w:w="3544" w:type="dxa"/>
            <w:gridSpan w:val="2"/>
            <w:vAlign w:val="center"/>
          </w:tcPr>
          <w:p w14:paraId="1C357ACB">
            <w:pPr>
              <w:pStyle w:val="12"/>
            </w:pPr>
            <w:r>
              <w:t>100%</w:t>
            </w:r>
          </w:p>
        </w:tc>
      </w:tr>
      <w:tr w14:paraId="53EF9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DBDA7">
            <w:pPr>
              <w:pStyle w:val="11"/>
            </w:pPr>
            <w:r>
              <w:t>绩效目标</w:t>
            </w:r>
          </w:p>
        </w:tc>
        <w:tc>
          <w:tcPr>
            <w:tcW w:w="14033" w:type="dxa"/>
            <w:gridSpan w:val="6"/>
            <w:vAlign w:val="center"/>
          </w:tcPr>
          <w:p w14:paraId="12C25030">
            <w:pPr>
              <w:pStyle w:val="13"/>
            </w:pPr>
            <w:r>
              <w:t>1. 保障幼儿园正常运转，完成教育教学活动和其他日常工作任务等方面的费用支出。</w:t>
            </w:r>
          </w:p>
          <w:p w14:paraId="15623D17">
            <w:pPr>
              <w:pStyle w:val="13"/>
            </w:pPr>
            <w:r>
              <w:t>2.按季度分批次拨付公用经费资金，资金拨付率达到100%。</w:t>
            </w:r>
          </w:p>
        </w:tc>
      </w:tr>
    </w:tbl>
    <w:p w14:paraId="20527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93"/>
        <w:gridCol w:w="2051"/>
      </w:tblGrid>
      <w:tr w14:paraId="0C212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F47D9">
            <w:pPr>
              <w:pStyle w:val="11"/>
            </w:pPr>
            <w:r>
              <w:t>一级指标</w:t>
            </w:r>
          </w:p>
        </w:tc>
        <w:tc>
          <w:tcPr>
            <w:tcW w:w="2268" w:type="dxa"/>
            <w:vAlign w:val="center"/>
          </w:tcPr>
          <w:p w14:paraId="6E619683">
            <w:pPr>
              <w:pStyle w:val="11"/>
            </w:pPr>
            <w:r>
              <w:t>二级指标</w:t>
            </w:r>
          </w:p>
        </w:tc>
        <w:tc>
          <w:tcPr>
            <w:tcW w:w="2835" w:type="dxa"/>
            <w:vAlign w:val="center"/>
          </w:tcPr>
          <w:p w14:paraId="77263BC3">
            <w:pPr>
              <w:pStyle w:val="11"/>
            </w:pPr>
            <w:r>
              <w:t>三级指标</w:t>
            </w:r>
          </w:p>
        </w:tc>
        <w:tc>
          <w:tcPr>
            <w:tcW w:w="5386" w:type="dxa"/>
            <w:vAlign w:val="center"/>
          </w:tcPr>
          <w:p w14:paraId="6A8B8326">
            <w:pPr>
              <w:pStyle w:val="11"/>
            </w:pPr>
            <w:r>
              <w:t>绩效指标描述</w:t>
            </w:r>
          </w:p>
        </w:tc>
        <w:tc>
          <w:tcPr>
            <w:tcW w:w="1493" w:type="dxa"/>
            <w:vAlign w:val="center"/>
          </w:tcPr>
          <w:p w14:paraId="2087C574">
            <w:pPr>
              <w:pStyle w:val="11"/>
            </w:pPr>
            <w:r>
              <w:t>指标值</w:t>
            </w:r>
          </w:p>
        </w:tc>
        <w:tc>
          <w:tcPr>
            <w:tcW w:w="2051" w:type="dxa"/>
            <w:vAlign w:val="center"/>
          </w:tcPr>
          <w:p w14:paraId="69C8C9C6">
            <w:pPr>
              <w:pStyle w:val="11"/>
            </w:pPr>
            <w:r>
              <w:t>指标值确定依据</w:t>
            </w:r>
          </w:p>
        </w:tc>
      </w:tr>
      <w:tr w14:paraId="75E19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762BD">
            <w:pPr>
              <w:pStyle w:val="12"/>
            </w:pPr>
            <w:r>
              <w:t>产出指标</w:t>
            </w:r>
          </w:p>
        </w:tc>
        <w:tc>
          <w:tcPr>
            <w:tcW w:w="2268" w:type="dxa"/>
            <w:vAlign w:val="center"/>
          </w:tcPr>
          <w:p w14:paraId="7953A05D">
            <w:pPr>
              <w:pStyle w:val="13"/>
            </w:pPr>
            <w:r>
              <w:t>数量指标</w:t>
            </w:r>
          </w:p>
        </w:tc>
        <w:tc>
          <w:tcPr>
            <w:tcW w:w="2835" w:type="dxa"/>
            <w:vAlign w:val="center"/>
          </w:tcPr>
          <w:p w14:paraId="06B81988">
            <w:pPr>
              <w:pStyle w:val="13"/>
            </w:pPr>
            <w:r>
              <w:t>适龄在园生</w:t>
            </w:r>
          </w:p>
        </w:tc>
        <w:tc>
          <w:tcPr>
            <w:tcW w:w="5386" w:type="dxa"/>
            <w:vAlign w:val="center"/>
          </w:tcPr>
          <w:p w14:paraId="703E572B">
            <w:pPr>
              <w:pStyle w:val="13"/>
            </w:pPr>
            <w:r>
              <w:t>适龄在园学生人数</w:t>
            </w:r>
          </w:p>
        </w:tc>
        <w:tc>
          <w:tcPr>
            <w:tcW w:w="1493" w:type="dxa"/>
            <w:vAlign w:val="center"/>
          </w:tcPr>
          <w:p w14:paraId="4FD275E0">
            <w:pPr>
              <w:pStyle w:val="13"/>
            </w:pPr>
            <w:r>
              <w:t>1723人</w:t>
            </w:r>
          </w:p>
        </w:tc>
        <w:tc>
          <w:tcPr>
            <w:tcW w:w="2051" w:type="dxa"/>
            <w:vAlign w:val="center"/>
          </w:tcPr>
          <w:p w14:paraId="0CD918E4">
            <w:pPr>
              <w:pStyle w:val="13"/>
            </w:pPr>
            <w:r>
              <w:t>支持学前教育发展县级资金管理方法</w:t>
            </w:r>
          </w:p>
        </w:tc>
      </w:tr>
      <w:tr w14:paraId="7E1C5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1AFE4"/>
        </w:tc>
        <w:tc>
          <w:tcPr>
            <w:tcW w:w="2268" w:type="dxa"/>
            <w:vAlign w:val="center"/>
          </w:tcPr>
          <w:p w14:paraId="7A04F519">
            <w:pPr>
              <w:pStyle w:val="13"/>
            </w:pPr>
            <w:r>
              <w:t>质量指标</w:t>
            </w:r>
          </w:p>
        </w:tc>
        <w:tc>
          <w:tcPr>
            <w:tcW w:w="2835" w:type="dxa"/>
            <w:vAlign w:val="center"/>
          </w:tcPr>
          <w:p w14:paraId="7375E693">
            <w:pPr>
              <w:pStyle w:val="13"/>
            </w:pPr>
            <w:r>
              <w:t>预算控制率</w:t>
            </w:r>
          </w:p>
        </w:tc>
        <w:tc>
          <w:tcPr>
            <w:tcW w:w="5386" w:type="dxa"/>
            <w:vAlign w:val="center"/>
          </w:tcPr>
          <w:p w14:paraId="5160217B">
            <w:pPr>
              <w:pStyle w:val="13"/>
            </w:pPr>
            <w:r>
              <w:t>预算执行</w:t>
            </w:r>
          </w:p>
        </w:tc>
        <w:tc>
          <w:tcPr>
            <w:tcW w:w="1493" w:type="dxa"/>
            <w:vAlign w:val="center"/>
          </w:tcPr>
          <w:p w14:paraId="0892681E">
            <w:pPr>
              <w:pStyle w:val="13"/>
            </w:pPr>
            <w:r>
              <w:t>≥95%</w:t>
            </w:r>
          </w:p>
        </w:tc>
        <w:tc>
          <w:tcPr>
            <w:tcW w:w="2051" w:type="dxa"/>
            <w:vAlign w:val="center"/>
          </w:tcPr>
          <w:p w14:paraId="2B6BACC4">
            <w:pPr>
              <w:pStyle w:val="13"/>
            </w:pPr>
            <w:r>
              <w:t>支持学前教育发展县级资金管理方法</w:t>
            </w:r>
          </w:p>
        </w:tc>
      </w:tr>
      <w:tr w14:paraId="1C53B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190C"/>
        </w:tc>
        <w:tc>
          <w:tcPr>
            <w:tcW w:w="2268" w:type="dxa"/>
            <w:vAlign w:val="center"/>
          </w:tcPr>
          <w:p w14:paraId="7D2B61F0">
            <w:pPr>
              <w:pStyle w:val="13"/>
            </w:pPr>
            <w:r>
              <w:t>时效指标</w:t>
            </w:r>
          </w:p>
        </w:tc>
        <w:tc>
          <w:tcPr>
            <w:tcW w:w="2835" w:type="dxa"/>
            <w:vAlign w:val="center"/>
          </w:tcPr>
          <w:p w14:paraId="1B2E9D3C">
            <w:pPr>
              <w:pStyle w:val="13"/>
            </w:pPr>
            <w:r>
              <w:t>资金支付率</w:t>
            </w:r>
          </w:p>
        </w:tc>
        <w:tc>
          <w:tcPr>
            <w:tcW w:w="5386" w:type="dxa"/>
            <w:vAlign w:val="center"/>
          </w:tcPr>
          <w:p w14:paraId="1A8C0A91">
            <w:pPr>
              <w:pStyle w:val="13"/>
            </w:pPr>
            <w:r>
              <w:t>按照序时进度完成资金支付</w:t>
            </w:r>
          </w:p>
        </w:tc>
        <w:tc>
          <w:tcPr>
            <w:tcW w:w="1493" w:type="dxa"/>
            <w:vAlign w:val="center"/>
          </w:tcPr>
          <w:p w14:paraId="2D327DE6">
            <w:pPr>
              <w:pStyle w:val="13"/>
            </w:pPr>
            <w:r>
              <w:t>100%</w:t>
            </w:r>
          </w:p>
        </w:tc>
        <w:tc>
          <w:tcPr>
            <w:tcW w:w="2051" w:type="dxa"/>
            <w:vAlign w:val="center"/>
          </w:tcPr>
          <w:p w14:paraId="04944A54">
            <w:pPr>
              <w:pStyle w:val="13"/>
            </w:pPr>
            <w:r>
              <w:t>支持学前教育发展县级资金管理方法</w:t>
            </w:r>
          </w:p>
        </w:tc>
      </w:tr>
      <w:tr w14:paraId="0EB85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AD00"/>
        </w:tc>
        <w:tc>
          <w:tcPr>
            <w:tcW w:w="2268" w:type="dxa"/>
            <w:vAlign w:val="center"/>
          </w:tcPr>
          <w:p w14:paraId="1967420A">
            <w:pPr>
              <w:pStyle w:val="13"/>
            </w:pPr>
            <w:r>
              <w:t>成本指标</w:t>
            </w:r>
          </w:p>
        </w:tc>
        <w:tc>
          <w:tcPr>
            <w:tcW w:w="2835" w:type="dxa"/>
            <w:vAlign w:val="center"/>
          </w:tcPr>
          <w:p w14:paraId="5C4097D3">
            <w:pPr>
              <w:pStyle w:val="13"/>
            </w:pPr>
            <w:r>
              <w:t>生均拨款标准</w:t>
            </w:r>
          </w:p>
        </w:tc>
        <w:tc>
          <w:tcPr>
            <w:tcW w:w="5386" w:type="dxa"/>
            <w:vAlign w:val="center"/>
          </w:tcPr>
          <w:p w14:paraId="7C0A5C03">
            <w:pPr>
              <w:pStyle w:val="13"/>
            </w:pPr>
            <w:r>
              <w:t>学前：（基本标准600元/生/学年）</w:t>
            </w:r>
          </w:p>
        </w:tc>
        <w:tc>
          <w:tcPr>
            <w:tcW w:w="1493" w:type="dxa"/>
            <w:vAlign w:val="center"/>
          </w:tcPr>
          <w:p w14:paraId="6FA364E1">
            <w:pPr>
              <w:pStyle w:val="13"/>
            </w:pPr>
            <w:r>
              <w:t>258450元</w:t>
            </w:r>
          </w:p>
        </w:tc>
        <w:tc>
          <w:tcPr>
            <w:tcW w:w="2051" w:type="dxa"/>
            <w:vAlign w:val="center"/>
          </w:tcPr>
          <w:p w14:paraId="3B27E0B9">
            <w:pPr>
              <w:pStyle w:val="13"/>
            </w:pPr>
            <w:r>
              <w:t>支持学前教育发展县级资金管理方法</w:t>
            </w:r>
          </w:p>
        </w:tc>
      </w:tr>
      <w:tr w14:paraId="2C1B5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79D076">
            <w:pPr>
              <w:pStyle w:val="12"/>
            </w:pPr>
            <w:r>
              <w:t>效益指标</w:t>
            </w:r>
          </w:p>
        </w:tc>
        <w:tc>
          <w:tcPr>
            <w:tcW w:w="2268" w:type="dxa"/>
            <w:vAlign w:val="center"/>
          </w:tcPr>
          <w:p w14:paraId="15DB1D5D">
            <w:pPr>
              <w:pStyle w:val="13"/>
            </w:pPr>
            <w:r>
              <w:t>可持续影响指标</w:t>
            </w:r>
          </w:p>
        </w:tc>
        <w:tc>
          <w:tcPr>
            <w:tcW w:w="2835" w:type="dxa"/>
            <w:vAlign w:val="center"/>
          </w:tcPr>
          <w:p w14:paraId="23E9BA8F">
            <w:pPr>
              <w:pStyle w:val="13"/>
            </w:pPr>
            <w:r>
              <w:t>学校运转得到提升</w:t>
            </w:r>
          </w:p>
        </w:tc>
        <w:tc>
          <w:tcPr>
            <w:tcW w:w="5386" w:type="dxa"/>
            <w:vAlign w:val="center"/>
          </w:tcPr>
          <w:p w14:paraId="452029BE">
            <w:pPr>
              <w:pStyle w:val="13"/>
            </w:pPr>
            <w:r>
              <w:t>幼儿受教育年限</w:t>
            </w:r>
          </w:p>
        </w:tc>
        <w:tc>
          <w:tcPr>
            <w:tcW w:w="1493" w:type="dxa"/>
            <w:vAlign w:val="center"/>
          </w:tcPr>
          <w:p w14:paraId="1DE0F585">
            <w:pPr>
              <w:pStyle w:val="13"/>
            </w:pPr>
            <w:r>
              <w:t>3年</w:t>
            </w:r>
          </w:p>
        </w:tc>
        <w:tc>
          <w:tcPr>
            <w:tcW w:w="2051" w:type="dxa"/>
            <w:vAlign w:val="center"/>
          </w:tcPr>
          <w:p w14:paraId="26D0F7A3">
            <w:pPr>
              <w:pStyle w:val="13"/>
            </w:pPr>
            <w:r>
              <w:t>支持学前教育发展县级资金管理方法</w:t>
            </w:r>
          </w:p>
        </w:tc>
      </w:tr>
      <w:tr w14:paraId="669A6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06169E">
            <w:pPr>
              <w:pStyle w:val="12"/>
            </w:pPr>
            <w:r>
              <w:t>满意度指标</w:t>
            </w:r>
          </w:p>
        </w:tc>
        <w:tc>
          <w:tcPr>
            <w:tcW w:w="2268" w:type="dxa"/>
            <w:vAlign w:val="center"/>
          </w:tcPr>
          <w:p w14:paraId="570090FF">
            <w:pPr>
              <w:pStyle w:val="13"/>
            </w:pPr>
            <w:r>
              <w:t>服务对象满意度指标</w:t>
            </w:r>
          </w:p>
        </w:tc>
        <w:tc>
          <w:tcPr>
            <w:tcW w:w="2835" w:type="dxa"/>
            <w:vAlign w:val="center"/>
          </w:tcPr>
          <w:p w14:paraId="2B663B34">
            <w:pPr>
              <w:pStyle w:val="13"/>
            </w:pPr>
            <w:r>
              <w:t>受益学生家长及调查满意度</w:t>
            </w:r>
          </w:p>
        </w:tc>
        <w:tc>
          <w:tcPr>
            <w:tcW w:w="5386" w:type="dxa"/>
            <w:vAlign w:val="center"/>
          </w:tcPr>
          <w:p w14:paraId="28534944">
            <w:pPr>
              <w:pStyle w:val="13"/>
            </w:pPr>
            <w:r>
              <w:t>学生、教师及家长对学校保教保育工作满意度情况</w:t>
            </w:r>
          </w:p>
        </w:tc>
        <w:tc>
          <w:tcPr>
            <w:tcW w:w="1493" w:type="dxa"/>
            <w:vAlign w:val="center"/>
          </w:tcPr>
          <w:p w14:paraId="06585BE8">
            <w:pPr>
              <w:pStyle w:val="13"/>
            </w:pPr>
            <w:r>
              <w:t>≥95%</w:t>
            </w:r>
          </w:p>
        </w:tc>
        <w:tc>
          <w:tcPr>
            <w:tcW w:w="2051" w:type="dxa"/>
            <w:vAlign w:val="center"/>
          </w:tcPr>
          <w:p w14:paraId="5A1B23FC">
            <w:pPr>
              <w:pStyle w:val="13"/>
            </w:pPr>
            <w:r>
              <w:t>支持学前教育发展县级资金管理方法</w:t>
            </w:r>
          </w:p>
        </w:tc>
      </w:tr>
    </w:tbl>
    <w:p w14:paraId="276EF8E7">
      <w:pPr>
        <w:sectPr>
          <w:pgSz w:w="16840" w:h="11900" w:orient="landscape"/>
          <w:pgMar w:top="1361" w:right="1020" w:bottom="1134" w:left="1020" w:header="720" w:footer="720" w:gutter="0"/>
          <w:cols w:space="720" w:num="1"/>
        </w:sectPr>
      </w:pPr>
    </w:p>
    <w:p w14:paraId="789880DB">
      <w:pPr>
        <w:spacing w:before="0" w:after="0"/>
        <w:ind w:firstLine="560"/>
        <w:jc w:val="left"/>
        <w:outlineLvl w:val="9"/>
      </w:pPr>
      <w:r>
        <w:rPr>
          <w:rFonts w:ascii="方正仿宋_GBK" w:hAnsi="方正仿宋_GBK" w:eastAsia="方正仿宋_GBK" w:cs="方正仿宋_GBK"/>
          <w:b/>
          <w:color w:val="000000"/>
          <w:sz w:val="28"/>
        </w:rPr>
        <w:t>18、冀财教[2024]142号/省级/2025年学前发展资金/城关校区学前教育幼儿资助绩效目标表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AB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EB7F5">
            <w:pPr>
              <w:pStyle w:val="14"/>
            </w:pPr>
            <w:r>
              <w:t>单位：万元</w:t>
            </w:r>
          </w:p>
        </w:tc>
      </w:tr>
      <w:tr w14:paraId="31B48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9FC27A">
            <w:pPr>
              <w:pStyle w:val="11"/>
            </w:pPr>
            <w:r>
              <w:t>项目编码</w:t>
            </w:r>
          </w:p>
        </w:tc>
        <w:tc>
          <w:tcPr>
            <w:tcW w:w="5103" w:type="dxa"/>
            <w:gridSpan w:val="2"/>
            <w:vAlign w:val="center"/>
          </w:tcPr>
          <w:p w14:paraId="204F26E4">
            <w:pPr>
              <w:pStyle w:val="13"/>
            </w:pPr>
            <w:r>
              <w:t>13052525P00000210065X</w:t>
            </w:r>
          </w:p>
        </w:tc>
        <w:tc>
          <w:tcPr>
            <w:tcW w:w="2835" w:type="dxa"/>
            <w:vAlign w:val="center"/>
          </w:tcPr>
          <w:p w14:paraId="11849F84">
            <w:pPr>
              <w:pStyle w:val="11"/>
            </w:pPr>
            <w:r>
              <w:t>项目名称</w:t>
            </w:r>
          </w:p>
        </w:tc>
        <w:tc>
          <w:tcPr>
            <w:tcW w:w="6095" w:type="dxa"/>
            <w:gridSpan w:val="3"/>
            <w:vAlign w:val="center"/>
          </w:tcPr>
          <w:p w14:paraId="33F22F74">
            <w:pPr>
              <w:pStyle w:val="13"/>
            </w:pPr>
            <w:r>
              <w:t>冀财教[2024]142号/省级/2025年学前发展资金/城关校区学前教育幼儿资助</w:t>
            </w:r>
          </w:p>
        </w:tc>
      </w:tr>
      <w:tr w14:paraId="762DB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41C51">
            <w:pPr>
              <w:pStyle w:val="11"/>
            </w:pPr>
            <w:r>
              <w:t>预算规模及资金用途</w:t>
            </w:r>
          </w:p>
        </w:tc>
        <w:tc>
          <w:tcPr>
            <w:tcW w:w="2268" w:type="dxa"/>
            <w:vAlign w:val="center"/>
          </w:tcPr>
          <w:p w14:paraId="12A56A3D">
            <w:pPr>
              <w:pStyle w:val="11"/>
            </w:pPr>
            <w:r>
              <w:t>预算数</w:t>
            </w:r>
          </w:p>
        </w:tc>
        <w:tc>
          <w:tcPr>
            <w:tcW w:w="2835" w:type="dxa"/>
            <w:vAlign w:val="center"/>
          </w:tcPr>
          <w:p w14:paraId="6C7C15D5">
            <w:pPr>
              <w:pStyle w:val="13"/>
            </w:pPr>
            <w:r>
              <w:t>2.48</w:t>
            </w:r>
          </w:p>
        </w:tc>
        <w:tc>
          <w:tcPr>
            <w:tcW w:w="2835" w:type="dxa"/>
            <w:vAlign w:val="center"/>
          </w:tcPr>
          <w:p w14:paraId="19CF86C3">
            <w:pPr>
              <w:pStyle w:val="11"/>
            </w:pPr>
            <w:r>
              <w:t>其中：财政    资金</w:t>
            </w:r>
          </w:p>
        </w:tc>
        <w:tc>
          <w:tcPr>
            <w:tcW w:w="2551" w:type="dxa"/>
            <w:vAlign w:val="center"/>
          </w:tcPr>
          <w:p w14:paraId="25C89E96">
            <w:pPr>
              <w:pStyle w:val="13"/>
            </w:pPr>
            <w:r>
              <w:t>2.48</w:t>
            </w:r>
          </w:p>
        </w:tc>
        <w:tc>
          <w:tcPr>
            <w:tcW w:w="2268" w:type="dxa"/>
            <w:vAlign w:val="center"/>
          </w:tcPr>
          <w:p w14:paraId="40D09DE2">
            <w:pPr>
              <w:pStyle w:val="11"/>
            </w:pPr>
            <w:r>
              <w:t>其他资金</w:t>
            </w:r>
          </w:p>
        </w:tc>
        <w:tc>
          <w:tcPr>
            <w:tcW w:w="1276" w:type="dxa"/>
            <w:vAlign w:val="center"/>
          </w:tcPr>
          <w:p w14:paraId="07B7973F">
            <w:pPr>
              <w:pStyle w:val="13"/>
            </w:pPr>
            <w:r>
              <w:t xml:space="preserve"> </w:t>
            </w:r>
          </w:p>
        </w:tc>
      </w:tr>
      <w:tr w14:paraId="6F92A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BE0DC7"/>
        </w:tc>
        <w:tc>
          <w:tcPr>
            <w:tcW w:w="14033" w:type="dxa"/>
            <w:gridSpan w:val="6"/>
            <w:vAlign w:val="center"/>
          </w:tcPr>
          <w:p w14:paraId="78D07F54">
            <w:pPr>
              <w:pStyle w:val="13"/>
            </w:pPr>
            <w:r>
              <w:t>保证本年度资助经费足额落实到位，符合享受资助条件的学生应助尽助。保障落实建档立卡及家庭经济困难儿童资助所需资金，确保建档立卡等家庭经济困难幼儿优先获得资助</w:t>
            </w:r>
          </w:p>
        </w:tc>
      </w:tr>
      <w:tr w14:paraId="069E3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68FBB">
            <w:pPr>
              <w:pStyle w:val="11"/>
            </w:pPr>
            <w:r>
              <w:t>资金支出计划（%）</w:t>
            </w:r>
          </w:p>
        </w:tc>
        <w:tc>
          <w:tcPr>
            <w:tcW w:w="5103" w:type="dxa"/>
            <w:gridSpan w:val="2"/>
            <w:vAlign w:val="center"/>
          </w:tcPr>
          <w:p w14:paraId="6BEE1B9A">
            <w:pPr>
              <w:pStyle w:val="11"/>
            </w:pPr>
            <w:r>
              <w:t>3月底</w:t>
            </w:r>
          </w:p>
        </w:tc>
        <w:tc>
          <w:tcPr>
            <w:tcW w:w="2835" w:type="dxa"/>
            <w:vAlign w:val="center"/>
          </w:tcPr>
          <w:p w14:paraId="211E0420">
            <w:pPr>
              <w:pStyle w:val="11"/>
            </w:pPr>
            <w:r>
              <w:t>6月底</w:t>
            </w:r>
          </w:p>
        </w:tc>
        <w:tc>
          <w:tcPr>
            <w:tcW w:w="2551" w:type="dxa"/>
            <w:vAlign w:val="center"/>
          </w:tcPr>
          <w:p w14:paraId="23A9D116">
            <w:pPr>
              <w:pStyle w:val="11"/>
            </w:pPr>
            <w:r>
              <w:t>10月底</w:t>
            </w:r>
          </w:p>
        </w:tc>
        <w:tc>
          <w:tcPr>
            <w:tcW w:w="3544" w:type="dxa"/>
            <w:gridSpan w:val="2"/>
            <w:vAlign w:val="center"/>
          </w:tcPr>
          <w:p w14:paraId="437A7CBF">
            <w:pPr>
              <w:pStyle w:val="11"/>
            </w:pPr>
            <w:r>
              <w:t>12月底</w:t>
            </w:r>
          </w:p>
        </w:tc>
      </w:tr>
      <w:tr w14:paraId="02030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E0B80"/>
        </w:tc>
        <w:tc>
          <w:tcPr>
            <w:tcW w:w="5103" w:type="dxa"/>
            <w:gridSpan w:val="2"/>
            <w:vAlign w:val="center"/>
          </w:tcPr>
          <w:p w14:paraId="2E90EB9A">
            <w:pPr>
              <w:pStyle w:val="12"/>
            </w:pPr>
            <w:r>
              <w:t xml:space="preserve"> </w:t>
            </w:r>
          </w:p>
        </w:tc>
        <w:tc>
          <w:tcPr>
            <w:tcW w:w="2835" w:type="dxa"/>
            <w:vAlign w:val="center"/>
          </w:tcPr>
          <w:p w14:paraId="37CC95EE">
            <w:pPr>
              <w:pStyle w:val="12"/>
            </w:pPr>
            <w:r>
              <w:t>50%</w:t>
            </w:r>
          </w:p>
        </w:tc>
        <w:tc>
          <w:tcPr>
            <w:tcW w:w="2551" w:type="dxa"/>
            <w:vAlign w:val="center"/>
          </w:tcPr>
          <w:p w14:paraId="7C0E7CF8">
            <w:pPr>
              <w:pStyle w:val="12"/>
            </w:pPr>
            <w:r>
              <w:t>50%</w:t>
            </w:r>
          </w:p>
        </w:tc>
        <w:tc>
          <w:tcPr>
            <w:tcW w:w="3544" w:type="dxa"/>
            <w:gridSpan w:val="2"/>
            <w:vAlign w:val="center"/>
          </w:tcPr>
          <w:p w14:paraId="165E6FFF">
            <w:pPr>
              <w:pStyle w:val="12"/>
            </w:pPr>
            <w:r>
              <w:t>100%</w:t>
            </w:r>
          </w:p>
        </w:tc>
      </w:tr>
      <w:tr w14:paraId="5A4B6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CE0234">
            <w:pPr>
              <w:pStyle w:val="11"/>
            </w:pPr>
            <w:r>
              <w:t>绩效目标</w:t>
            </w:r>
          </w:p>
        </w:tc>
        <w:tc>
          <w:tcPr>
            <w:tcW w:w="14033" w:type="dxa"/>
            <w:gridSpan w:val="6"/>
            <w:vAlign w:val="center"/>
          </w:tcPr>
          <w:p w14:paraId="2A8E90F6">
            <w:pPr>
              <w:pStyle w:val="13"/>
            </w:pPr>
            <w:r>
              <w:t>1.保证本年度资助经费足额落实到位，符合享受资助条件的学生应助尽助。</w:t>
            </w:r>
          </w:p>
          <w:p w14:paraId="33E43CB6">
            <w:pPr>
              <w:pStyle w:val="13"/>
            </w:pPr>
            <w:r>
              <w:t>2.保障落实建档立卡及家庭经济困难儿童资助所需资金，确保建档立卡等家庭经济困难幼儿优先获得资助</w:t>
            </w:r>
          </w:p>
        </w:tc>
      </w:tr>
    </w:tbl>
    <w:p w14:paraId="51009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CF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8B72A">
            <w:pPr>
              <w:pStyle w:val="11"/>
            </w:pPr>
            <w:r>
              <w:t>一级指标</w:t>
            </w:r>
          </w:p>
        </w:tc>
        <w:tc>
          <w:tcPr>
            <w:tcW w:w="2268" w:type="dxa"/>
            <w:vAlign w:val="center"/>
          </w:tcPr>
          <w:p w14:paraId="3E4FEC89">
            <w:pPr>
              <w:pStyle w:val="11"/>
            </w:pPr>
            <w:r>
              <w:t>二级指标</w:t>
            </w:r>
          </w:p>
        </w:tc>
        <w:tc>
          <w:tcPr>
            <w:tcW w:w="2835" w:type="dxa"/>
            <w:vAlign w:val="center"/>
          </w:tcPr>
          <w:p w14:paraId="658B81F6">
            <w:pPr>
              <w:pStyle w:val="11"/>
            </w:pPr>
            <w:r>
              <w:t>三级指标</w:t>
            </w:r>
          </w:p>
        </w:tc>
        <w:tc>
          <w:tcPr>
            <w:tcW w:w="5386" w:type="dxa"/>
            <w:vAlign w:val="center"/>
          </w:tcPr>
          <w:p w14:paraId="097425E6">
            <w:pPr>
              <w:pStyle w:val="11"/>
            </w:pPr>
            <w:r>
              <w:t>绩效指标描述</w:t>
            </w:r>
          </w:p>
        </w:tc>
        <w:tc>
          <w:tcPr>
            <w:tcW w:w="2268" w:type="dxa"/>
            <w:vAlign w:val="center"/>
          </w:tcPr>
          <w:p w14:paraId="06F9721D">
            <w:pPr>
              <w:pStyle w:val="11"/>
            </w:pPr>
            <w:r>
              <w:t>指标值</w:t>
            </w:r>
          </w:p>
        </w:tc>
        <w:tc>
          <w:tcPr>
            <w:tcW w:w="1276" w:type="dxa"/>
            <w:vAlign w:val="center"/>
          </w:tcPr>
          <w:p w14:paraId="60EFA34C">
            <w:pPr>
              <w:pStyle w:val="11"/>
            </w:pPr>
            <w:r>
              <w:t>指标值确定依据</w:t>
            </w:r>
          </w:p>
        </w:tc>
      </w:tr>
      <w:tr w14:paraId="4E6F7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E0AAC">
            <w:pPr>
              <w:pStyle w:val="12"/>
            </w:pPr>
            <w:r>
              <w:t>产出指标</w:t>
            </w:r>
          </w:p>
        </w:tc>
        <w:tc>
          <w:tcPr>
            <w:tcW w:w="2268" w:type="dxa"/>
            <w:vAlign w:val="center"/>
          </w:tcPr>
          <w:p w14:paraId="26108D26">
            <w:pPr>
              <w:pStyle w:val="13"/>
            </w:pPr>
            <w:r>
              <w:t>数量指标</w:t>
            </w:r>
          </w:p>
        </w:tc>
        <w:tc>
          <w:tcPr>
            <w:tcW w:w="2835" w:type="dxa"/>
            <w:vAlign w:val="center"/>
          </w:tcPr>
          <w:p w14:paraId="4F2299A5">
            <w:pPr>
              <w:pStyle w:val="13"/>
            </w:pPr>
            <w:r>
              <w:t>幼儿资助比例</w:t>
            </w:r>
          </w:p>
        </w:tc>
        <w:tc>
          <w:tcPr>
            <w:tcW w:w="5386" w:type="dxa"/>
            <w:vAlign w:val="center"/>
          </w:tcPr>
          <w:p w14:paraId="66EA9E42">
            <w:pPr>
              <w:pStyle w:val="13"/>
            </w:pPr>
            <w:r>
              <w:t>按学前适龄在园儿童10%测算</w:t>
            </w:r>
          </w:p>
        </w:tc>
        <w:tc>
          <w:tcPr>
            <w:tcW w:w="2268" w:type="dxa"/>
            <w:vAlign w:val="center"/>
          </w:tcPr>
          <w:p w14:paraId="23F12B66">
            <w:pPr>
              <w:pStyle w:val="13"/>
            </w:pPr>
            <w:r>
              <w:t>≥10%</w:t>
            </w:r>
          </w:p>
        </w:tc>
        <w:tc>
          <w:tcPr>
            <w:tcW w:w="1276" w:type="dxa"/>
            <w:vAlign w:val="center"/>
          </w:tcPr>
          <w:p w14:paraId="104C883D">
            <w:pPr>
              <w:pStyle w:val="13"/>
            </w:pPr>
            <w:r>
              <w:t>幼儿资助经费管理办法</w:t>
            </w:r>
          </w:p>
        </w:tc>
      </w:tr>
      <w:tr w14:paraId="41278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08BCD"/>
        </w:tc>
        <w:tc>
          <w:tcPr>
            <w:tcW w:w="2268" w:type="dxa"/>
            <w:vAlign w:val="center"/>
          </w:tcPr>
          <w:p w14:paraId="42ABB9CC">
            <w:pPr>
              <w:pStyle w:val="13"/>
            </w:pPr>
            <w:r>
              <w:t>质量指标</w:t>
            </w:r>
          </w:p>
        </w:tc>
        <w:tc>
          <w:tcPr>
            <w:tcW w:w="2835" w:type="dxa"/>
            <w:vAlign w:val="center"/>
          </w:tcPr>
          <w:p w14:paraId="19B95A03">
            <w:pPr>
              <w:pStyle w:val="13"/>
            </w:pPr>
            <w:r>
              <w:t>学前教育资助制度落实情况</w:t>
            </w:r>
          </w:p>
        </w:tc>
        <w:tc>
          <w:tcPr>
            <w:tcW w:w="5386" w:type="dxa"/>
            <w:vAlign w:val="center"/>
          </w:tcPr>
          <w:p w14:paraId="37D0B3E2">
            <w:pPr>
              <w:pStyle w:val="13"/>
            </w:pPr>
            <w:r>
              <w:t>符合享受资助条件的学生应助尽助</w:t>
            </w:r>
          </w:p>
        </w:tc>
        <w:tc>
          <w:tcPr>
            <w:tcW w:w="2268" w:type="dxa"/>
            <w:vAlign w:val="center"/>
          </w:tcPr>
          <w:p w14:paraId="770D74A3">
            <w:pPr>
              <w:pStyle w:val="13"/>
            </w:pPr>
            <w:r>
              <w:t>100%</w:t>
            </w:r>
          </w:p>
        </w:tc>
        <w:tc>
          <w:tcPr>
            <w:tcW w:w="1276" w:type="dxa"/>
            <w:vAlign w:val="center"/>
          </w:tcPr>
          <w:p w14:paraId="7F24768C">
            <w:pPr>
              <w:pStyle w:val="13"/>
            </w:pPr>
            <w:r>
              <w:t>幼儿资助经费管理办法</w:t>
            </w:r>
          </w:p>
        </w:tc>
      </w:tr>
      <w:tr w14:paraId="70DE4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C9DB2"/>
        </w:tc>
        <w:tc>
          <w:tcPr>
            <w:tcW w:w="2268" w:type="dxa"/>
            <w:vAlign w:val="center"/>
          </w:tcPr>
          <w:p w14:paraId="11DA6C8D">
            <w:pPr>
              <w:pStyle w:val="13"/>
            </w:pPr>
            <w:r>
              <w:t>时效指标</w:t>
            </w:r>
          </w:p>
        </w:tc>
        <w:tc>
          <w:tcPr>
            <w:tcW w:w="2835" w:type="dxa"/>
            <w:vAlign w:val="center"/>
          </w:tcPr>
          <w:p w14:paraId="3D1A85BA">
            <w:pPr>
              <w:pStyle w:val="13"/>
            </w:pPr>
            <w:r>
              <w:t>资金拨付率</w:t>
            </w:r>
          </w:p>
        </w:tc>
        <w:tc>
          <w:tcPr>
            <w:tcW w:w="5386" w:type="dxa"/>
            <w:vAlign w:val="center"/>
          </w:tcPr>
          <w:p w14:paraId="7910C839">
            <w:pPr>
              <w:pStyle w:val="13"/>
            </w:pPr>
            <w:r>
              <w:t>所有项目资金支付进度</w:t>
            </w:r>
          </w:p>
        </w:tc>
        <w:tc>
          <w:tcPr>
            <w:tcW w:w="2268" w:type="dxa"/>
            <w:vAlign w:val="center"/>
          </w:tcPr>
          <w:p w14:paraId="753BBDFF">
            <w:pPr>
              <w:pStyle w:val="13"/>
            </w:pPr>
            <w:r>
              <w:t>100%</w:t>
            </w:r>
          </w:p>
        </w:tc>
        <w:tc>
          <w:tcPr>
            <w:tcW w:w="1276" w:type="dxa"/>
            <w:vAlign w:val="center"/>
          </w:tcPr>
          <w:p w14:paraId="528B6008">
            <w:pPr>
              <w:pStyle w:val="13"/>
            </w:pPr>
            <w:r>
              <w:t>幼儿资助经费管理办法</w:t>
            </w:r>
          </w:p>
        </w:tc>
      </w:tr>
      <w:tr w14:paraId="16F06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DFEB0"/>
        </w:tc>
        <w:tc>
          <w:tcPr>
            <w:tcW w:w="2268" w:type="dxa"/>
            <w:vAlign w:val="center"/>
          </w:tcPr>
          <w:p w14:paraId="4353D52A">
            <w:pPr>
              <w:pStyle w:val="13"/>
            </w:pPr>
            <w:r>
              <w:t>成本指标</w:t>
            </w:r>
          </w:p>
        </w:tc>
        <w:tc>
          <w:tcPr>
            <w:tcW w:w="2835" w:type="dxa"/>
            <w:vAlign w:val="center"/>
          </w:tcPr>
          <w:p w14:paraId="21D984F6">
            <w:pPr>
              <w:pStyle w:val="13"/>
            </w:pPr>
            <w:r>
              <w:t>幼儿园资助标准</w:t>
            </w:r>
          </w:p>
        </w:tc>
        <w:tc>
          <w:tcPr>
            <w:tcW w:w="5386" w:type="dxa"/>
            <w:vAlign w:val="center"/>
          </w:tcPr>
          <w:p w14:paraId="0ECD9BF6">
            <w:pPr>
              <w:pStyle w:val="13"/>
            </w:pPr>
            <w:r>
              <w:t>按照幼儿园资助标准1000元/生/年</w:t>
            </w:r>
          </w:p>
        </w:tc>
        <w:tc>
          <w:tcPr>
            <w:tcW w:w="2268" w:type="dxa"/>
            <w:vAlign w:val="center"/>
          </w:tcPr>
          <w:p w14:paraId="41E7DA2E">
            <w:pPr>
              <w:pStyle w:val="13"/>
            </w:pPr>
            <w:r>
              <w:t>24800元</w:t>
            </w:r>
          </w:p>
        </w:tc>
        <w:tc>
          <w:tcPr>
            <w:tcW w:w="1276" w:type="dxa"/>
            <w:vAlign w:val="center"/>
          </w:tcPr>
          <w:p w14:paraId="6B810239">
            <w:pPr>
              <w:pStyle w:val="13"/>
            </w:pPr>
            <w:r>
              <w:t>幼儿资助经费管理办法</w:t>
            </w:r>
          </w:p>
        </w:tc>
      </w:tr>
      <w:tr w14:paraId="07416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8A3A05">
            <w:pPr>
              <w:pStyle w:val="12"/>
            </w:pPr>
            <w:r>
              <w:t>效益指标</w:t>
            </w:r>
          </w:p>
        </w:tc>
        <w:tc>
          <w:tcPr>
            <w:tcW w:w="2268" w:type="dxa"/>
            <w:vAlign w:val="center"/>
          </w:tcPr>
          <w:p w14:paraId="198C3321">
            <w:pPr>
              <w:pStyle w:val="13"/>
            </w:pPr>
            <w:r>
              <w:t>可持续影响指标</w:t>
            </w:r>
          </w:p>
        </w:tc>
        <w:tc>
          <w:tcPr>
            <w:tcW w:w="2835" w:type="dxa"/>
            <w:vAlign w:val="center"/>
          </w:tcPr>
          <w:p w14:paraId="0289B8F8">
            <w:pPr>
              <w:pStyle w:val="13"/>
            </w:pPr>
            <w:r>
              <w:t>幼儿园运转</w:t>
            </w:r>
          </w:p>
        </w:tc>
        <w:tc>
          <w:tcPr>
            <w:tcW w:w="5386" w:type="dxa"/>
            <w:vAlign w:val="center"/>
          </w:tcPr>
          <w:p w14:paraId="680B938D">
            <w:pPr>
              <w:pStyle w:val="13"/>
            </w:pPr>
            <w:r>
              <w:t>幼儿受教育年限</w:t>
            </w:r>
          </w:p>
        </w:tc>
        <w:tc>
          <w:tcPr>
            <w:tcW w:w="2268" w:type="dxa"/>
            <w:vAlign w:val="center"/>
          </w:tcPr>
          <w:p w14:paraId="5374B7AE">
            <w:pPr>
              <w:pStyle w:val="13"/>
            </w:pPr>
            <w:r>
              <w:t>3年</w:t>
            </w:r>
          </w:p>
        </w:tc>
        <w:tc>
          <w:tcPr>
            <w:tcW w:w="1276" w:type="dxa"/>
            <w:vAlign w:val="center"/>
          </w:tcPr>
          <w:p w14:paraId="167AFA8B">
            <w:pPr>
              <w:pStyle w:val="13"/>
            </w:pPr>
            <w:r>
              <w:t>幼儿资助经费管理办法</w:t>
            </w:r>
          </w:p>
        </w:tc>
      </w:tr>
      <w:tr w14:paraId="46D66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6610F7">
            <w:pPr>
              <w:pStyle w:val="12"/>
            </w:pPr>
            <w:r>
              <w:t>满意度指标</w:t>
            </w:r>
          </w:p>
        </w:tc>
        <w:tc>
          <w:tcPr>
            <w:tcW w:w="2268" w:type="dxa"/>
            <w:vAlign w:val="center"/>
          </w:tcPr>
          <w:p w14:paraId="2468719C">
            <w:pPr>
              <w:pStyle w:val="13"/>
            </w:pPr>
            <w:r>
              <w:t>服务对象满意度指标</w:t>
            </w:r>
          </w:p>
        </w:tc>
        <w:tc>
          <w:tcPr>
            <w:tcW w:w="2835" w:type="dxa"/>
            <w:vAlign w:val="center"/>
          </w:tcPr>
          <w:p w14:paraId="1EE80BA6">
            <w:pPr>
              <w:pStyle w:val="13"/>
            </w:pPr>
            <w:r>
              <w:t>受益幼儿家长及调查满意度</w:t>
            </w:r>
          </w:p>
        </w:tc>
        <w:tc>
          <w:tcPr>
            <w:tcW w:w="5386" w:type="dxa"/>
            <w:vAlign w:val="center"/>
          </w:tcPr>
          <w:p w14:paraId="4638CBD8">
            <w:pPr>
              <w:pStyle w:val="13"/>
            </w:pPr>
            <w:r>
              <w:t>学生、教师及家长对学校保教保育工作满意度情况</w:t>
            </w:r>
          </w:p>
        </w:tc>
        <w:tc>
          <w:tcPr>
            <w:tcW w:w="2268" w:type="dxa"/>
            <w:vAlign w:val="center"/>
          </w:tcPr>
          <w:p w14:paraId="072EE7F0">
            <w:pPr>
              <w:pStyle w:val="13"/>
            </w:pPr>
            <w:r>
              <w:t>≥95%</w:t>
            </w:r>
          </w:p>
        </w:tc>
        <w:tc>
          <w:tcPr>
            <w:tcW w:w="1276" w:type="dxa"/>
            <w:vAlign w:val="center"/>
          </w:tcPr>
          <w:p w14:paraId="6D327829">
            <w:pPr>
              <w:pStyle w:val="13"/>
            </w:pPr>
            <w:r>
              <w:t>幼儿资助经费管理办法</w:t>
            </w:r>
          </w:p>
        </w:tc>
      </w:tr>
    </w:tbl>
    <w:p w14:paraId="2D08BC60">
      <w:pPr>
        <w:sectPr>
          <w:pgSz w:w="16840" w:h="11900" w:orient="landscape"/>
          <w:pgMar w:top="1361" w:right="1020" w:bottom="1134" w:left="1020" w:header="720" w:footer="720" w:gutter="0"/>
          <w:cols w:space="720" w:num="1"/>
        </w:sectPr>
      </w:pPr>
    </w:p>
    <w:p w14:paraId="68F170CE">
      <w:pPr>
        <w:spacing w:before="0" w:after="0"/>
        <w:ind w:firstLine="560"/>
        <w:jc w:val="left"/>
        <w:outlineLvl w:val="9"/>
      </w:pPr>
      <w:r>
        <w:rPr>
          <w:rFonts w:ascii="方正仿宋_GBK" w:hAnsi="方正仿宋_GBK" w:eastAsia="方正仿宋_GBK" w:cs="方正仿宋_GBK"/>
          <w:b/>
          <w:color w:val="000000"/>
          <w:sz w:val="28"/>
        </w:rPr>
        <w:t>19、上年盘活/冀财教[2022]182号/省级/薄改与提升/柳行小学教学楼消防工程绩效目标表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97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B3F91">
            <w:pPr>
              <w:pStyle w:val="14"/>
            </w:pPr>
            <w:r>
              <w:t>单位：万元</w:t>
            </w:r>
          </w:p>
        </w:tc>
      </w:tr>
      <w:tr w14:paraId="3BA0E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24B0A">
            <w:pPr>
              <w:pStyle w:val="11"/>
            </w:pPr>
            <w:r>
              <w:t>项目编码</w:t>
            </w:r>
          </w:p>
        </w:tc>
        <w:tc>
          <w:tcPr>
            <w:tcW w:w="5103" w:type="dxa"/>
            <w:gridSpan w:val="2"/>
            <w:vAlign w:val="center"/>
          </w:tcPr>
          <w:p w14:paraId="4CC23524">
            <w:pPr>
              <w:pStyle w:val="13"/>
            </w:pPr>
            <w:r>
              <w:t>13052525P00875610192M</w:t>
            </w:r>
          </w:p>
        </w:tc>
        <w:tc>
          <w:tcPr>
            <w:tcW w:w="2835" w:type="dxa"/>
            <w:vAlign w:val="center"/>
          </w:tcPr>
          <w:p w14:paraId="554E33E4">
            <w:pPr>
              <w:pStyle w:val="11"/>
            </w:pPr>
            <w:r>
              <w:t>项目名称</w:t>
            </w:r>
          </w:p>
        </w:tc>
        <w:tc>
          <w:tcPr>
            <w:tcW w:w="6095" w:type="dxa"/>
            <w:gridSpan w:val="3"/>
            <w:vAlign w:val="center"/>
          </w:tcPr>
          <w:p w14:paraId="6AE82126">
            <w:pPr>
              <w:pStyle w:val="13"/>
            </w:pPr>
            <w:r>
              <w:t>上年盘活/冀财教[2022]182号/省级/薄改与提升/柳行小学教学楼消防工程</w:t>
            </w:r>
          </w:p>
        </w:tc>
      </w:tr>
      <w:tr w14:paraId="4F9CA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94C83">
            <w:pPr>
              <w:pStyle w:val="11"/>
            </w:pPr>
            <w:r>
              <w:t>预算规模及资金用途</w:t>
            </w:r>
          </w:p>
        </w:tc>
        <w:tc>
          <w:tcPr>
            <w:tcW w:w="2268" w:type="dxa"/>
            <w:vAlign w:val="center"/>
          </w:tcPr>
          <w:p w14:paraId="6E49DAE5">
            <w:pPr>
              <w:pStyle w:val="11"/>
            </w:pPr>
            <w:r>
              <w:t>预算数</w:t>
            </w:r>
          </w:p>
        </w:tc>
        <w:tc>
          <w:tcPr>
            <w:tcW w:w="2835" w:type="dxa"/>
            <w:vAlign w:val="center"/>
          </w:tcPr>
          <w:p w14:paraId="66561323">
            <w:pPr>
              <w:pStyle w:val="13"/>
            </w:pPr>
            <w:r>
              <w:t>3.23</w:t>
            </w:r>
          </w:p>
        </w:tc>
        <w:tc>
          <w:tcPr>
            <w:tcW w:w="2835" w:type="dxa"/>
            <w:vAlign w:val="center"/>
          </w:tcPr>
          <w:p w14:paraId="5FDF7EF4">
            <w:pPr>
              <w:pStyle w:val="11"/>
            </w:pPr>
            <w:r>
              <w:t>其中：财政    资金</w:t>
            </w:r>
          </w:p>
        </w:tc>
        <w:tc>
          <w:tcPr>
            <w:tcW w:w="2551" w:type="dxa"/>
            <w:vAlign w:val="center"/>
          </w:tcPr>
          <w:p w14:paraId="76EC6C31">
            <w:pPr>
              <w:pStyle w:val="13"/>
            </w:pPr>
            <w:r>
              <w:t>3.23</w:t>
            </w:r>
          </w:p>
        </w:tc>
        <w:tc>
          <w:tcPr>
            <w:tcW w:w="2268" w:type="dxa"/>
            <w:vAlign w:val="center"/>
          </w:tcPr>
          <w:p w14:paraId="51E84EEA">
            <w:pPr>
              <w:pStyle w:val="11"/>
            </w:pPr>
            <w:r>
              <w:t>其他资金</w:t>
            </w:r>
          </w:p>
        </w:tc>
        <w:tc>
          <w:tcPr>
            <w:tcW w:w="1276" w:type="dxa"/>
            <w:vAlign w:val="center"/>
          </w:tcPr>
          <w:p w14:paraId="767F6296">
            <w:pPr>
              <w:pStyle w:val="13"/>
            </w:pPr>
            <w:r>
              <w:t xml:space="preserve"> </w:t>
            </w:r>
          </w:p>
        </w:tc>
      </w:tr>
      <w:tr w14:paraId="54F32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3F109D"/>
        </w:tc>
        <w:tc>
          <w:tcPr>
            <w:tcW w:w="14033" w:type="dxa"/>
            <w:gridSpan w:val="6"/>
            <w:vAlign w:val="center"/>
          </w:tcPr>
          <w:p w14:paraId="0593FA8A">
            <w:pPr>
              <w:pStyle w:val="13"/>
            </w:pPr>
            <w:r>
              <w:t>改善就学条件，提升学校形象，保障义务教育阶段教学安全，创造良好的校园环境。</w:t>
            </w:r>
          </w:p>
        </w:tc>
      </w:tr>
      <w:tr w14:paraId="23F03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D4264">
            <w:pPr>
              <w:pStyle w:val="11"/>
            </w:pPr>
            <w:r>
              <w:t>资金支出计划（%）</w:t>
            </w:r>
          </w:p>
        </w:tc>
        <w:tc>
          <w:tcPr>
            <w:tcW w:w="5103" w:type="dxa"/>
            <w:gridSpan w:val="2"/>
            <w:vAlign w:val="center"/>
          </w:tcPr>
          <w:p w14:paraId="7DAE4F21">
            <w:pPr>
              <w:pStyle w:val="11"/>
            </w:pPr>
            <w:r>
              <w:t>3月底</w:t>
            </w:r>
          </w:p>
        </w:tc>
        <w:tc>
          <w:tcPr>
            <w:tcW w:w="2835" w:type="dxa"/>
            <w:vAlign w:val="center"/>
          </w:tcPr>
          <w:p w14:paraId="7E7CF005">
            <w:pPr>
              <w:pStyle w:val="11"/>
            </w:pPr>
            <w:r>
              <w:t>6月底</w:t>
            </w:r>
          </w:p>
        </w:tc>
        <w:tc>
          <w:tcPr>
            <w:tcW w:w="2551" w:type="dxa"/>
            <w:vAlign w:val="center"/>
          </w:tcPr>
          <w:p w14:paraId="4B2982BC">
            <w:pPr>
              <w:pStyle w:val="11"/>
            </w:pPr>
            <w:r>
              <w:t>10月底</w:t>
            </w:r>
          </w:p>
        </w:tc>
        <w:tc>
          <w:tcPr>
            <w:tcW w:w="3544" w:type="dxa"/>
            <w:gridSpan w:val="2"/>
            <w:vAlign w:val="center"/>
          </w:tcPr>
          <w:p w14:paraId="6F161BB7">
            <w:pPr>
              <w:pStyle w:val="11"/>
            </w:pPr>
            <w:r>
              <w:t>12月底</w:t>
            </w:r>
          </w:p>
        </w:tc>
      </w:tr>
      <w:tr w14:paraId="3D30A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ED4028"/>
        </w:tc>
        <w:tc>
          <w:tcPr>
            <w:tcW w:w="5103" w:type="dxa"/>
            <w:gridSpan w:val="2"/>
            <w:vAlign w:val="center"/>
          </w:tcPr>
          <w:p w14:paraId="63B76D04">
            <w:pPr>
              <w:pStyle w:val="12"/>
            </w:pPr>
            <w:r>
              <w:t>97%</w:t>
            </w:r>
          </w:p>
        </w:tc>
        <w:tc>
          <w:tcPr>
            <w:tcW w:w="2835" w:type="dxa"/>
            <w:vAlign w:val="center"/>
          </w:tcPr>
          <w:p w14:paraId="115CFD3C">
            <w:pPr>
              <w:pStyle w:val="12"/>
            </w:pPr>
            <w:r>
              <w:t>100%</w:t>
            </w:r>
          </w:p>
        </w:tc>
        <w:tc>
          <w:tcPr>
            <w:tcW w:w="2551" w:type="dxa"/>
            <w:vAlign w:val="center"/>
          </w:tcPr>
          <w:p w14:paraId="5BA16804">
            <w:pPr>
              <w:pStyle w:val="12"/>
            </w:pPr>
            <w:r>
              <w:t>100%</w:t>
            </w:r>
          </w:p>
        </w:tc>
        <w:tc>
          <w:tcPr>
            <w:tcW w:w="3544" w:type="dxa"/>
            <w:gridSpan w:val="2"/>
            <w:vAlign w:val="center"/>
          </w:tcPr>
          <w:p w14:paraId="29877360">
            <w:pPr>
              <w:pStyle w:val="12"/>
            </w:pPr>
            <w:r>
              <w:t>100%</w:t>
            </w:r>
          </w:p>
        </w:tc>
      </w:tr>
      <w:tr w14:paraId="56678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AF9FA">
            <w:pPr>
              <w:pStyle w:val="11"/>
            </w:pPr>
            <w:r>
              <w:t>绩效目标</w:t>
            </w:r>
          </w:p>
        </w:tc>
        <w:tc>
          <w:tcPr>
            <w:tcW w:w="14033" w:type="dxa"/>
            <w:gridSpan w:val="6"/>
            <w:vAlign w:val="center"/>
          </w:tcPr>
          <w:p w14:paraId="422054A0">
            <w:pPr>
              <w:pStyle w:val="13"/>
            </w:pPr>
            <w:r>
              <w:t>1.项目需资金3.233307万元，资金拨付率达到100%。</w:t>
            </w:r>
          </w:p>
          <w:p w14:paraId="4988F2D1">
            <w:pPr>
              <w:pStyle w:val="13"/>
            </w:pPr>
            <w:r>
              <w:t>2.改善就学条件，提升学校形象，保障义务教育阶段教学安全，创造良好的校园环境。</w:t>
            </w:r>
          </w:p>
        </w:tc>
      </w:tr>
    </w:tbl>
    <w:p w14:paraId="0B071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0D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DF9C3">
            <w:pPr>
              <w:pStyle w:val="11"/>
            </w:pPr>
            <w:r>
              <w:t>一级指标</w:t>
            </w:r>
          </w:p>
        </w:tc>
        <w:tc>
          <w:tcPr>
            <w:tcW w:w="2268" w:type="dxa"/>
            <w:vAlign w:val="center"/>
          </w:tcPr>
          <w:p w14:paraId="5FDFD486">
            <w:pPr>
              <w:pStyle w:val="11"/>
            </w:pPr>
            <w:r>
              <w:t>二级指标</w:t>
            </w:r>
          </w:p>
        </w:tc>
        <w:tc>
          <w:tcPr>
            <w:tcW w:w="2835" w:type="dxa"/>
            <w:vAlign w:val="center"/>
          </w:tcPr>
          <w:p w14:paraId="49C12948">
            <w:pPr>
              <w:pStyle w:val="11"/>
            </w:pPr>
            <w:r>
              <w:t>三级指标</w:t>
            </w:r>
          </w:p>
        </w:tc>
        <w:tc>
          <w:tcPr>
            <w:tcW w:w="5386" w:type="dxa"/>
            <w:vAlign w:val="center"/>
          </w:tcPr>
          <w:p w14:paraId="6A599C73">
            <w:pPr>
              <w:pStyle w:val="11"/>
            </w:pPr>
            <w:r>
              <w:t>绩效指标描述</w:t>
            </w:r>
          </w:p>
        </w:tc>
        <w:tc>
          <w:tcPr>
            <w:tcW w:w="2268" w:type="dxa"/>
            <w:vAlign w:val="center"/>
          </w:tcPr>
          <w:p w14:paraId="0A087EFC">
            <w:pPr>
              <w:pStyle w:val="11"/>
            </w:pPr>
            <w:r>
              <w:t>指标值</w:t>
            </w:r>
          </w:p>
        </w:tc>
        <w:tc>
          <w:tcPr>
            <w:tcW w:w="1276" w:type="dxa"/>
            <w:vAlign w:val="center"/>
          </w:tcPr>
          <w:p w14:paraId="0848BDB3">
            <w:pPr>
              <w:pStyle w:val="11"/>
            </w:pPr>
            <w:r>
              <w:t>指标值确定依据</w:t>
            </w:r>
          </w:p>
        </w:tc>
      </w:tr>
      <w:tr w14:paraId="17AE1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F12CE">
            <w:pPr>
              <w:pStyle w:val="12"/>
            </w:pPr>
            <w:r>
              <w:t>产出指标</w:t>
            </w:r>
          </w:p>
        </w:tc>
        <w:tc>
          <w:tcPr>
            <w:tcW w:w="2268" w:type="dxa"/>
            <w:vAlign w:val="center"/>
          </w:tcPr>
          <w:p w14:paraId="499DBD28">
            <w:pPr>
              <w:pStyle w:val="13"/>
            </w:pPr>
            <w:r>
              <w:t>数量指标</w:t>
            </w:r>
          </w:p>
        </w:tc>
        <w:tc>
          <w:tcPr>
            <w:tcW w:w="2835" w:type="dxa"/>
            <w:vAlign w:val="center"/>
          </w:tcPr>
          <w:p w14:paraId="604C08CD">
            <w:pPr>
              <w:pStyle w:val="13"/>
            </w:pPr>
            <w:r>
              <w:t>综合楼室外消防工程</w:t>
            </w:r>
          </w:p>
        </w:tc>
        <w:tc>
          <w:tcPr>
            <w:tcW w:w="5386" w:type="dxa"/>
            <w:vAlign w:val="center"/>
          </w:tcPr>
          <w:p w14:paraId="6F950E2A">
            <w:pPr>
              <w:pStyle w:val="13"/>
            </w:pPr>
            <w:r>
              <w:t>安装消防泵房、蓄水池、室外网管、消防设备设施等</w:t>
            </w:r>
          </w:p>
        </w:tc>
        <w:tc>
          <w:tcPr>
            <w:tcW w:w="2268" w:type="dxa"/>
            <w:vAlign w:val="center"/>
          </w:tcPr>
          <w:p w14:paraId="7CC5C56B">
            <w:pPr>
              <w:pStyle w:val="13"/>
            </w:pPr>
            <w:r>
              <w:t>56.2平方米</w:t>
            </w:r>
          </w:p>
        </w:tc>
        <w:tc>
          <w:tcPr>
            <w:tcW w:w="1276" w:type="dxa"/>
            <w:vAlign w:val="center"/>
          </w:tcPr>
          <w:p w14:paraId="24CC0DE9">
            <w:pPr>
              <w:pStyle w:val="13"/>
            </w:pPr>
            <w:r>
              <w:t>项目规划</w:t>
            </w:r>
          </w:p>
        </w:tc>
      </w:tr>
      <w:tr w14:paraId="1722E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B4037"/>
        </w:tc>
        <w:tc>
          <w:tcPr>
            <w:tcW w:w="2268" w:type="dxa"/>
            <w:vAlign w:val="center"/>
          </w:tcPr>
          <w:p w14:paraId="00346AF2">
            <w:pPr>
              <w:pStyle w:val="13"/>
            </w:pPr>
            <w:r>
              <w:t>质量指标</w:t>
            </w:r>
          </w:p>
        </w:tc>
        <w:tc>
          <w:tcPr>
            <w:tcW w:w="2835" w:type="dxa"/>
            <w:vAlign w:val="center"/>
          </w:tcPr>
          <w:p w14:paraId="33EAD0B6">
            <w:pPr>
              <w:pStyle w:val="13"/>
            </w:pPr>
            <w:r>
              <w:t>工程实施验收合格率</w:t>
            </w:r>
          </w:p>
        </w:tc>
        <w:tc>
          <w:tcPr>
            <w:tcW w:w="5386" w:type="dxa"/>
            <w:vAlign w:val="center"/>
          </w:tcPr>
          <w:p w14:paraId="195B1A0E">
            <w:pPr>
              <w:pStyle w:val="13"/>
            </w:pPr>
            <w:r>
              <w:t>申报程序的合规，项目实施及资金使用符合项目规划</w:t>
            </w:r>
          </w:p>
        </w:tc>
        <w:tc>
          <w:tcPr>
            <w:tcW w:w="2268" w:type="dxa"/>
            <w:vAlign w:val="center"/>
          </w:tcPr>
          <w:p w14:paraId="5304857D">
            <w:pPr>
              <w:pStyle w:val="13"/>
            </w:pPr>
            <w:r>
              <w:t>100%</w:t>
            </w:r>
          </w:p>
        </w:tc>
        <w:tc>
          <w:tcPr>
            <w:tcW w:w="1276" w:type="dxa"/>
            <w:vAlign w:val="center"/>
          </w:tcPr>
          <w:p w14:paraId="24D20451">
            <w:pPr>
              <w:pStyle w:val="13"/>
            </w:pPr>
            <w:r>
              <w:t>项目规划</w:t>
            </w:r>
          </w:p>
        </w:tc>
      </w:tr>
      <w:tr w14:paraId="1C919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EBB1C"/>
        </w:tc>
        <w:tc>
          <w:tcPr>
            <w:tcW w:w="2268" w:type="dxa"/>
            <w:vAlign w:val="center"/>
          </w:tcPr>
          <w:p w14:paraId="20CCFB4A">
            <w:pPr>
              <w:pStyle w:val="13"/>
            </w:pPr>
            <w:r>
              <w:t>时效指标</w:t>
            </w:r>
          </w:p>
        </w:tc>
        <w:tc>
          <w:tcPr>
            <w:tcW w:w="2835" w:type="dxa"/>
            <w:vAlign w:val="center"/>
          </w:tcPr>
          <w:p w14:paraId="7FFED891">
            <w:pPr>
              <w:pStyle w:val="13"/>
            </w:pPr>
            <w:r>
              <w:t>资金支付率</w:t>
            </w:r>
          </w:p>
        </w:tc>
        <w:tc>
          <w:tcPr>
            <w:tcW w:w="5386" w:type="dxa"/>
            <w:vAlign w:val="center"/>
          </w:tcPr>
          <w:p w14:paraId="64095386">
            <w:pPr>
              <w:pStyle w:val="13"/>
            </w:pPr>
            <w:r>
              <w:t>按照序时进度完成资金支付</w:t>
            </w:r>
          </w:p>
        </w:tc>
        <w:tc>
          <w:tcPr>
            <w:tcW w:w="2268" w:type="dxa"/>
            <w:vAlign w:val="center"/>
          </w:tcPr>
          <w:p w14:paraId="1EAD9B52">
            <w:pPr>
              <w:pStyle w:val="13"/>
            </w:pPr>
            <w:r>
              <w:t>100%</w:t>
            </w:r>
          </w:p>
        </w:tc>
        <w:tc>
          <w:tcPr>
            <w:tcW w:w="1276" w:type="dxa"/>
            <w:vAlign w:val="center"/>
          </w:tcPr>
          <w:p w14:paraId="480CA0C4">
            <w:pPr>
              <w:pStyle w:val="13"/>
            </w:pPr>
            <w:r>
              <w:t>项目规划</w:t>
            </w:r>
          </w:p>
        </w:tc>
      </w:tr>
      <w:tr w14:paraId="26E27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92FD9"/>
        </w:tc>
        <w:tc>
          <w:tcPr>
            <w:tcW w:w="2268" w:type="dxa"/>
            <w:vAlign w:val="center"/>
          </w:tcPr>
          <w:p w14:paraId="3C5DAB7F">
            <w:pPr>
              <w:pStyle w:val="13"/>
            </w:pPr>
            <w:r>
              <w:t>成本指标</w:t>
            </w:r>
          </w:p>
        </w:tc>
        <w:tc>
          <w:tcPr>
            <w:tcW w:w="2835" w:type="dxa"/>
            <w:vAlign w:val="center"/>
          </w:tcPr>
          <w:p w14:paraId="067F1310">
            <w:pPr>
              <w:pStyle w:val="13"/>
            </w:pPr>
            <w:r>
              <w:t>项目成本控制情况</w:t>
            </w:r>
          </w:p>
        </w:tc>
        <w:tc>
          <w:tcPr>
            <w:tcW w:w="5386" w:type="dxa"/>
            <w:vAlign w:val="center"/>
          </w:tcPr>
          <w:p w14:paraId="02A295E0">
            <w:pPr>
              <w:pStyle w:val="13"/>
            </w:pPr>
            <w:r>
              <w:t>严格按照招标价格及审计额进行</w:t>
            </w:r>
          </w:p>
        </w:tc>
        <w:tc>
          <w:tcPr>
            <w:tcW w:w="2268" w:type="dxa"/>
            <w:vAlign w:val="center"/>
          </w:tcPr>
          <w:p w14:paraId="50213FAC">
            <w:pPr>
              <w:pStyle w:val="13"/>
            </w:pPr>
            <w:r>
              <w:t>32333.07元</w:t>
            </w:r>
          </w:p>
        </w:tc>
        <w:tc>
          <w:tcPr>
            <w:tcW w:w="1276" w:type="dxa"/>
            <w:vAlign w:val="center"/>
          </w:tcPr>
          <w:p w14:paraId="6A4E9405">
            <w:pPr>
              <w:pStyle w:val="13"/>
            </w:pPr>
            <w:r>
              <w:t>项目规划</w:t>
            </w:r>
          </w:p>
        </w:tc>
      </w:tr>
      <w:tr w14:paraId="1E40F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4E080">
            <w:pPr>
              <w:pStyle w:val="12"/>
            </w:pPr>
            <w:r>
              <w:t>效益指标</w:t>
            </w:r>
          </w:p>
        </w:tc>
        <w:tc>
          <w:tcPr>
            <w:tcW w:w="2268" w:type="dxa"/>
            <w:vAlign w:val="center"/>
          </w:tcPr>
          <w:p w14:paraId="742873E6">
            <w:pPr>
              <w:pStyle w:val="13"/>
            </w:pPr>
            <w:r>
              <w:t>可持续影响指标</w:t>
            </w:r>
          </w:p>
        </w:tc>
        <w:tc>
          <w:tcPr>
            <w:tcW w:w="2835" w:type="dxa"/>
            <w:vAlign w:val="center"/>
          </w:tcPr>
          <w:p w14:paraId="1D0C40A0">
            <w:pPr>
              <w:pStyle w:val="13"/>
            </w:pPr>
            <w:r>
              <w:t>学校办学环境提升</w:t>
            </w:r>
          </w:p>
        </w:tc>
        <w:tc>
          <w:tcPr>
            <w:tcW w:w="5386" w:type="dxa"/>
            <w:vAlign w:val="center"/>
          </w:tcPr>
          <w:p w14:paraId="0B341BC0">
            <w:pPr>
              <w:pStyle w:val="13"/>
            </w:pPr>
            <w:r>
              <w:t>学校教学环境提升及教育教学工作更好开展</w:t>
            </w:r>
          </w:p>
        </w:tc>
        <w:tc>
          <w:tcPr>
            <w:tcW w:w="2268" w:type="dxa"/>
            <w:vAlign w:val="center"/>
          </w:tcPr>
          <w:p w14:paraId="45163822">
            <w:pPr>
              <w:pStyle w:val="13"/>
            </w:pPr>
            <w:r>
              <w:t>6年</w:t>
            </w:r>
          </w:p>
        </w:tc>
        <w:tc>
          <w:tcPr>
            <w:tcW w:w="1276" w:type="dxa"/>
            <w:vAlign w:val="center"/>
          </w:tcPr>
          <w:p w14:paraId="7483134A">
            <w:pPr>
              <w:pStyle w:val="13"/>
            </w:pPr>
            <w:r>
              <w:t>项目规划</w:t>
            </w:r>
          </w:p>
        </w:tc>
      </w:tr>
      <w:tr w14:paraId="2E320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891885">
            <w:pPr>
              <w:pStyle w:val="12"/>
            </w:pPr>
            <w:r>
              <w:t>满意度指标</w:t>
            </w:r>
          </w:p>
        </w:tc>
        <w:tc>
          <w:tcPr>
            <w:tcW w:w="2268" w:type="dxa"/>
            <w:vAlign w:val="center"/>
          </w:tcPr>
          <w:p w14:paraId="2FDD7A9B">
            <w:pPr>
              <w:pStyle w:val="13"/>
            </w:pPr>
            <w:r>
              <w:t>服务对象满意度指标</w:t>
            </w:r>
          </w:p>
        </w:tc>
        <w:tc>
          <w:tcPr>
            <w:tcW w:w="2835" w:type="dxa"/>
            <w:vAlign w:val="center"/>
          </w:tcPr>
          <w:p w14:paraId="42B83BBA">
            <w:pPr>
              <w:pStyle w:val="13"/>
            </w:pPr>
            <w:r>
              <w:t>受益学生家长及调查满意度</w:t>
            </w:r>
          </w:p>
        </w:tc>
        <w:tc>
          <w:tcPr>
            <w:tcW w:w="5386" w:type="dxa"/>
            <w:vAlign w:val="center"/>
          </w:tcPr>
          <w:p w14:paraId="1C223130">
            <w:pPr>
              <w:pStyle w:val="13"/>
            </w:pPr>
            <w:r>
              <w:t>学生、教师及家长对学校教学环境满意度情况</w:t>
            </w:r>
          </w:p>
        </w:tc>
        <w:tc>
          <w:tcPr>
            <w:tcW w:w="2268" w:type="dxa"/>
            <w:vAlign w:val="center"/>
          </w:tcPr>
          <w:p w14:paraId="0F8B6D04">
            <w:pPr>
              <w:pStyle w:val="13"/>
            </w:pPr>
            <w:r>
              <w:t>≥95%</w:t>
            </w:r>
          </w:p>
        </w:tc>
        <w:tc>
          <w:tcPr>
            <w:tcW w:w="1276" w:type="dxa"/>
            <w:vAlign w:val="center"/>
          </w:tcPr>
          <w:p w14:paraId="77977040">
            <w:pPr>
              <w:pStyle w:val="13"/>
            </w:pPr>
            <w:r>
              <w:t>项目规划</w:t>
            </w:r>
          </w:p>
        </w:tc>
      </w:tr>
    </w:tbl>
    <w:p w14:paraId="52A89AB4">
      <w:pPr>
        <w:sectPr>
          <w:pgSz w:w="16840" w:h="11900" w:orient="landscape"/>
          <w:pgMar w:top="1361" w:right="1020" w:bottom="1134" w:left="1020" w:header="720" w:footer="720" w:gutter="0"/>
          <w:cols w:space="720" w:num="1"/>
        </w:sectPr>
      </w:pPr>
    </w:p>
    <w:p w14:paraId="1DC5D4D1">
      <w:pPr>
        <w:spacing w:before="0" w:after="0"/>
        <w:ind w:firstLine="560"/>
        <w:jc w:val="left"/>
        <w:outlineLvl w:val="9"/>
      </w:pPr>
      <w:r>
        <w:rPr>
          <w:rFonts w:ascii="方正仿宋_GBK" w:hAnsi="方正仿宋_GBK" w:eastAsia="方正仿宋_GBK" w:cs="方正仿宋_GBK"/>
          <w:b/>
          <w:color w:val="000000"/>
          <w:sz w:val="28"/>
        </w:rPr>
        <w:t>20、上年盘活专户/唐尧街小学附属幼儿园新建项目绩效目标表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61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57A2E">
            <w:pPr>
              <w:pStyle w:val="14"/>
            </w:pPr>
            <w:r>
              <w:t>单位：万元</w:t>
            </w:r>
          </w:p>
        </w:tc>
      </w:tr>
      <w:tr w14:paraId="64DD3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34947">
            <w:pPr>
              <w:pStyle w:val="11"/>
            </w:pPr>
            <w:r>
              <w:t>项目编码</w:t>
            </w:r>
          </w:p>
        </w:tc>
        <w:tc>
          <w:tcPr>
            <w:tcW w:w="5103" w:type="dxa"/>
            <w:gridSpan w:val="2"/>
            <w:vAlign w:val="center"/>
          </w:tcPr>
          <w:p w14:paraId="19C93D3B">
            <w:pPr>
              <w:pStyle w:val="13"/>
            </w:pPr>
            <w:r>
              <w:t>13052525P00875610147C</w:t>
            </w:r>
          </w:p>
        </w:tc>
        <w:tc>
          <w:tcPr>
            <w:tcW w:w="2835" w:type="dxa"/>
            <w:vAlign w:val="center"/>
          </w:tcPr>
          <w:p w14:paraId="623A0265">
            <w:pPr>
              <w:pStyle w:val="11"/>
            </w:pPr>
            <w:r>
              <w:t>项目名称</w:t>
            </w:r>
          </w:p>
        </w:tc>
        <w:tc>
          <w:tcPr>
            <w:tcW w:w="6095" w:type="dxa"/>
            <w:gridSpan w:val="3"/>
            <w:vAlign w:val="center"/>
          </w:tcPr>
          <w:p w14:paraId="123D8915">
            <w:pPr>
              <w:pStyle w:val="13"/>
            </w:pPr>
            <w:r>
              <w:t>上年盘活专户/唐尧街小学附属幼儿园新建项目</w:t>
            </w:r>
          </w:p>
        </w:tc>
      </w:tr>
      <w:tr w14:paraId="19C4B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B4E5D">
            <w:pPr>
              <w:pStyle w:val="11"/>
            </w:pPr>
            <w:r>
              <w:t>预算规模及资金用途</w:t>
            </w:r>
          </w:p>
        </w:tc>
        <w:tc>
          <w:tcPr>
            <w:tcW w:w="2268" w:type="dxa"/>
            <w:vAlign w:val="center"/>
          </w:tcPr>
          <w:p w14:paraId="56FEAED2">
            <w:pPr>
              <w:pStyle w:val="11"/>
            </w:pPr>
            <w:r>
              <w:t>预算数</w:t>
            </w:r>
          </w:p>
        </w:tc>
        <w:tc>
          <w:tcPr>
            <w:tcW w:w="2835" w:type="dxa"/>
            <w:vAlign w:val="center"/>
          </w:tcPr>
          <w:p w14:paraId="67724988">
            <w:pPr>
              <w:pStyle w:val="13"/>
            </w:pPr>
            <w:r>
              <w:t>125.92</w:t>
            </w:r>
          </w:p>
        </w:tc>
        <w:tc>
          <w:tcPr>
            <w:tcW w:w="2835" w:type="dxa"/>
            <w:vAlign w:val="center"/>
          </w:tcPr>
          <w:p w14:paraId="34664442">
            <w:pPr>
              <w:pStyle w:val="11"/>
            </w:pPr>
            <w:r>
              <w:t>其中：财政    资金</w:t>
            </w:r>
          </w:p>
        </w:tc>
        <w:tc>
          <w:tcPr>
            <w:tcW w:w="2551" w:type="dxa"/>
            <w:vAlign w:val="center"/>
          </w:tcPr>
          <w:p w14:paraId="13DF72DC">
            <w:pPr>
              <w:pStyle w:val="13"/>
            </w:pPr>
            <w:r>
              <w:t>125.92</w:t>
            </w:r>
          </w:p>
        </w:tc>
        <w:tc>
          <w:tcPr>
            <w:tcW w:w="2268" w:type="dxa"/>
            <w:vAlign w:val="center"/>
          </w:tcPr>
          <w:p w14:paraId="40651A70">
            <w:pPr>
              <w:pStyle w:val="11"/>
            </w:pPr>
            <w:r>
              <w:t>其他资金</w:t>
            </w:r>
          </w:p>
        </w:tc>
        <w:tc>
          <w:tcPr>
            <w:tcW w:w="1276" w:type="dxa"/>
            <w:vAlign w:val="center"/>
          </w:tcPr>
          <w:p w14:paraId="67521362">
            <w:pPr>
              <w:pStyle w:val="13"/>
            </w:pPr>
            <w:r>
              <w:t xml:space="preserve"> </w:t>
            </w:r>
          </w:p>
        </w:tc>
      </w:tr>
      <w:tr w14:paraId="04963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BE856C"/>
        </w:tc>
        <w:tc>
          <w:tcPr>
            <w:tcW w:w="14033" w:type="dxa"/>
            <w:gridSpan w:val="6"/>
            <w:vAlign w:val="center"/>
          </w:tcPr>
          <w:p w14:paraId="20934FEE">
            <w:pPr>
              <w:pStyle w:val="13"/>
            </w:pPr>
            <w:r>
              <w:t>为提高教学环境，促进教学教学发展，新建唐尧街小学附属幼儿园一栋。</w:t>
            </w:r>
          </w:p>
        </w:tc>
      </w:tr>
      <w:tr w14:paraId="3A1F7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ACCFE">
            <w:pPr>
              <w:pStyle w:val="11"/>
            </w:pPr>
            <w:r>
              <w:t>资金支出计划（%）</w:t>
            </w:r>
          </w:p>
        </w:tc>
        <w:tc>
          <w:tcPr>
            <w:tcW w:w="5103" w:type="dxa"/>
            <w:gridSpan w:val="2"/>
            <w:vAlign w:val="center"/>
          </w:tcPr>
          <w:p w14:paraId="3B806E06">
            <w:pPr>
              <w:pStyle w:val="11"/>
            </w:pPr>
            <w:r>
              <w:t>3月底</w:t>
            </w:r>
          </w:p>
        </w:tc>
        <w:tc>
          <w:tcPr>
            <w:tcW w:w="2835" w:type="dxa"/>
            <w:vAlign w:val="center"/>
          </w:tcPr>
          <w:p w14:paraId="3B2E9240">
            <w:pPr>
              <w:pStyle w:val="11"/>
            </w:pPr>
            <w:r>
              <w:t>6月底</w:t>
            </w:r>
          </w:p>
        </w:tc>
        <w:tc>
          <w:tcPr>
            <w:tcW w:w="2551" w:type="dxa"/>
            <w:vAlign w:val="center"/>
          </w:tcPr>
          <w:p w14:paraId="210EC336">
            <w:pPr>
              <w:pStyle w:val="11"/>
            </w:pPr>
            <w:r>
              <w:t>10月底</w:t>
            </w:r>
          </w:p>
        </w:tc>
        <w:tc>
          <w:tcPr>
            <w:tcW w:w="3544" w:type="dxa"/>
            <w:gridSpan w:val="2"/>
            <w:vAlign w:val="center"/>
          </w:tcPr>
          <w:p w14:paraId="63F86401">
            <w:pPr>
              <w:pStyle w:val="11"/>
            </w:pPr>
            <w:r>
              <w:t>12月底</w:t>
            </w:r>
          </w:p>
        </w:tc>
      </w:tr>
      <w:tr w14:paraId="4063C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00617"/>
        </w:tc>
        <w:tc>
          <w:tcPr>
            <w:tcW w:w="5103" w:type="dxa"/>
            <w:gridSpan w:val="2"/>
            <w:vAlign w:val="center"/>
          </w:tcPr>
          <w:p w14:paraId="12785874">
            <w:pPr>
              <w:pStyle w:val="12"/>
            </w:pPr>
            <w:r>
              <w:t>90%</w:t>
            </w:r>
          </w:p>
        </w:tc>
        <w:tc>
          <w:tcPr>
            <w:tcW w:w="2835" w:type="dxa"/>
            <w:vAlign w:val="center"/>
          </w:tcPr>
          <w:p w14:paraId="1460147E">
            <w:pPr>
              <w:pStyle w:val="12"/>
            </w:pPr>
            <w:r>
              <w:t>97%</w:t>
            </w:r>
          </w:p>
        </w:tc>
        <w:tc>
          <w:tcPr>
            <w:tcW w:w="2551" w:type="dxa"/>
            <w:vAlign w:val="center"/>
          </w:tcPr>
          <w:p w14:paraId="74BC49D5">
            <w:pPr>
              <w:pStyle w:val="12"/>
            </w:pPr>
            <w:r>
              <w:t>100%</w:t>
            </w:r>
          </w:p>
        </w:tc>
        <w:tc>
          <w:tcPr>
            <w:tcW w:w="3544" w:type="dxa"/>
            <w:gridSpan w:val="2"/>
            <w:vAlign w:val="center"/>
          </w:tcPr>
          <w:p w14:paraId="64D122EB">
            <w:pPr>
              <w:pStyle w:val="12"/>
            </w:pPr>
            <w:r>
              <w:t>100%</w:t>
            </w:r>
          </w:p>
        </w:tc>
      </w:tr>
      <w:tr w14:paraId="4A39E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12EA71">
            <w:pPr>
              <w:pStyle w:val="11"/>
            </w:pPr>
            <w:r>
              <w:t>绩效目标</w:t>
            </w:r>
          </w:p>
        </w:tc>
        <w:tc>
          <w:tcPr>
            <w:tcW w:w="14033" w:type="dxa"/>
            <w:gridSpan w:val="6"/>
            <w:vAlign w:val="center"/>
          </w:tcPr>
          <w:p w14:paraId="27258742">
            <w:pPr>
              <w:pStyle w:val="13"/>
            </w:pPr>
            <w:r>
              <w:t>1.为提高教学环境，促进教学教学发展，新建唐尧街小学附属幼儿园一栋。</w:t>
            </w:r>
          </w:p>
        </w:tc>
      </w:tr>
    </w:tbl>
    <w:p w14:paraId="18E51D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8F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D11F6">
            <w:pPr>
              <w:pStyle w:val="11"/>
            </w:pPr>
            <w:r>
              <w:t>一级指标</w:t>
            </w:r>
          </w:p>
        </w:tc>
        <w:tc>
          <w:tcPr>
            <w:tcW w:w="2268" w:type="dxa"/>
            <w:vAlign w:val="center"/>
          </w:tcPr>
          <w:p w14:paraId="63DBDD44">
            <w:pPr>
              <w:pStyle w:val="11"/>
            </w:pPr>
            <w:r>
              <w:t>二级指标</w:t>
            </w:r>
          </w:p>
        </w:tc>
        <w:tc>
          <w:tcPr>
            <w:tcW w:w="2835" w:type="dxa"/>
            <w:vAlign w:val="center"/>
          </w:tcPr>
          <w:p w14:paraId="07376605">
            <w:pPr>
              <w:pStyle w:val="11"/>
            </w:pPr>
            <w:r>
              <w:t>三级指标</w:t>
            </w:r>
          </w:p>
        </w:tc>
        <w:tc>
          <w:tcPr>
            <w:tcW w:w="5386" w:type="dxa"/>
            <w:vAlign w:val="center"/>
          </w:tcPr>
          <w:p w14:paraId="053E266F">
            <w:pPr>
              <w:pStyle w:val="11"/>
            </w:pPr>
            <w:r>
              <w:t>绩效指标描述</w:t>
            </w:r>
          </w:p>
        </w:tc>
        <w:tc>
          <w:tcPr>
            <w:tcW w:w="2268" w:type="dxa"/>
            <w:vAlign w:val="center"/>
          </w:tcPr>
          <w:p w14:paraId="4BF8C6A2">
            <w:pPr>
              <w:pStyle w:val="11"/>
            </w:pPr>
            <w:r>
              <w:t>指标值</w:t>
            </w:r>
          </w:p>
        </w:tc>
        <w:tc>
          <w:tcPr>
            <w:tcW w:w="1276" w:type="dxa"/>
            <w:vAlign w:val="center"/>
          </w:tcPr>
          <w:p w14:paraId="179AE6D4">
            <w:pPr>
              <w:pStyle w:val="11"/>
            </w:pPr>
            <w:r>
              <w:t>指标值确定依据</w:t>
            </w:r>
          </w:p>
        </w:tc>
      </w:tr>
      <w:tr w14:paraId="045DE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7AFF1">
            <w:pPr>
              <w:pStyle w:val="12"/>
            </w:pPr>
            <w:r>
              <w:t>产出指标</w:t>
            </w:r>
          </w:p>
        </w:tc>
        <w:tc>
          <w:tcPr>
            <w:tcW w:w="2268" w:type="dxa"/>
            <w:vAlign w:val="center"/>
          </w:tcPr>
          <w:p w14:paraId="7D42B585">
            <w:pPr>
              <w:pStyle w:val="13"/>
            </w:pPr>
            <w:r>
              <w:t>数量指标</w:t>
            </w:r>
          </w:p>
        </w:tc>
        <w:tc>
          <w:tcPr>
            <w:tcW w:w="2835" w:type="dxa"/>
            <w:vAlign w:val="center"/>
          </w:tcPr>
          <w:p w14:paraId="66409849">
            <w:pPr>
              <w:pStyle w:val="13"/>
            </w:pPr>
            <w:r>
              <w:t>唐尧街小学附属幼儿园建设项目</w:t>
            </w:r>
          </w:p>
        </w:tc>
        <w:tc>
          <w:tcPr>
            <w:tcW w:w="5386" w:type="dxa"/>
            <w:vAlign w:val="center"/>
          </w:tcPr>
          <w:p w14:paraId="09246915">
            <w:pPr>
              <w:pStyle w:val="13"/>
            </w:pPr>
            <w:r>
              <w:t>唐尧街小学附属幼儿园建设面积</w:t>
            </w:r>
          </w:p>
        </w:tc>
        <w:tc>
          <w:tcPr>
            <w:tcW w:w="2268" w:type="dxa"/>
            <w:vAlign w:val="center"/>
          </w:tcPr>
          <w:p w14:paraId="3FC5C2E1">
            <w:pPr>
              <w:pStyle w:val="13"/>
            </w:pPr>
            <w:r>
              <w:t>4767.23平方米</w:t>
            </w:r>
          </w:p>
        </w:tc>
        <w:tc>
          <w:tcPr>
            <w:tcW w:w="1276" w:type="dxa"/>
            <w:vAlign w:val="center"/>
          </w:tcPr>
          <w:p w14:paraId="50D6D541">
            <w:pPr>
              <w:pStyle w:val="13"/>
            </w:pPr>
            <w:r>
              <w:t>项目规划</w:t>
            </w:r>
          </w:p>
        </w:tc>
      </w:tr>
      <w:tr w14:paraId="751E2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ED185"/>
        </w:tc>
        <w:tc>
          <w:tcPr>
            <w:tcW w:w="2268" w:type="dxa"/>
            <w:vAlign w:val="center"/>
          </w:tcPr>
          <w:p w14:paraId="66953724">
            <w:pPr>
              <w:pStyle w:val="13"/>
            </w:pPr>
            <w:r>
              <w:t>质量指标</w:t>
            </w:r>
          </w:p>
        </w:tc>
        <w:tc>
          <w:tcPr>
            <w:tcW w:w="2835" w:type="dxa"/>
            <w:vAlign w:val="center"/>
          </w:tcPr>
          <w:p w14:paraId="688A84EE">
            <w:pPr>
              <w:pStyle w:val="13"/>
            </w:pPr>
            <w:r>
              <w:t>工程验收实施合格率</w:t>
            </w:r>
          </w:p>
        </w:tc>
        <w:tc>
          <w:tcPr>
            <w:tcW w:w="5386" w:type="dxa"/>
            <w:vAlign w:val="center"/>
          </w:tcPr>
          <w:p w14:paraId="33509C2A">
            <w:pPr>
              <w:pStyle w:val="13"/>
            </w:pPr>
            <w:r>
              <w:t>申报程序的合规，项目实施及资金使用</w:t>
            </w:r>
          </w:p>
        </w:tc>
        <w:tc>
          <w:tcPr>
            <w:tcW w:w="2268" w:type="dxa"/>
            <w:vAlign w:val="center"/>
          </w:tcPr>
          <w:p w14:paraId="02723562">
            <w:pPr>
              <w:pStyle w:val="13"/>
            </w:pPr>
            <w:r>
              <w:t>100%</w:t>
            </w:r>
          </w:p>
        </w:tc>
        <w:tc>
          <w:tcPr>
            <w:tcW w:w="1276" w:type="dxa"/>
            <w:vAlign w:val="center"/>
          </w:tcPr>
          <w:p w14:paraId="1D901BF9">
            <w:pPr>
              <w:pStyle w:val="13"/>
            </w:pPr>
            <w:r>
              <w:t>项目规划</w:t>
            </w:r>
          </w:p>
        </w:tc>
      </w:tr>
      <w:tr w14:paraId="68C63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02AF0"/>
        </w:tc>
        <w:tc>
          <w:tcPr>
            <w:tcW w:w="2268" w:type="dxa"/>
            <w:vAlign w:val="center"/>
          </w:tcPr>
          <w:p w14:paraId="4F193ED9">
            <w:pPr>
              <w:pStyle w:val="13"/>
            </w:pPr>
            <w:r>
              <w:t>时效指标</w:t>
            </w:r>
          </w:p>
        </w:tc>
        <w:tc>
          <w:tcPr>
            <w:tcW w:w="2835" w:type="dxa"/>
            <w:vAlign w:val="center"/>
          </w:tcPr>
          <w:p w14:paraId="13237038">
            <w:pPr>
              <w:pStyle w:val="13"/>
            </w:pPr>
            <w:r>
              <w:t>资金支付率</w:t>
            </w:r>
          </w:p>
        </w:tc>
        <w:tc>
          <w:tcPr>
            <w:tcW w:w="5386" w:type="dxa"/>
            <w:vAlign w:val="center"/>
          </w:tcPr>
          <w:p w14:paraId="35B1552D">
            <w:pPr>
              <w:pStyle w:val="13"/>
            </w:pPr>
            <w:r>
              <w:t>按照时序进度完成资金支付</w:t>
            </w:r>
          </w:p>
        </w:tc>
        <w:tc>
          <w:tcPr>
            <w:tcW w:w="2268" w:type="dxa"/>
            <w:vAlign w:val="center"/>
          </w:tcPr>
          <w:p w14:paraId="38C728D5">
            <w:pPr>
              <w:pStyle w:val="13"/>
            </w:pPr>
            <w:r>
              <w:t>100%</w:t>
            </w:r>
          </w:p>
        </w:tc>
        <w:tc>
          <w:tcPr>
            <w:tcW w:w="1276" w:type="dxa"/>
            <w:vAlign w:val="center"/>
          </w:tcPr>
          <w:p w14:paraId="2F9DEEDE">
            <w:pPr>
              <w:pStyle w:val="13"/>
            </w:pPr>
            <w:r>
              <w:t>项目规划</w:t>
            </w:r>
          </w:p>
        </w:tc>
      </w:tr>
      <w:tr w14:paraId="30087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2BE73"/>
        </w:tc>
        <w:tc>
          <w:tcPr>
            <w:tcW w:w="2268" w:type="dxa"/>
            <w:vAlign w:val="center"/>
          </w:tcPr>
          <w:p w14:paraId="287220C1">
            <w:pPr>
              <w:pStyle w:val="13"/>
            </w:pPr>
            <w:r>
              <w:t>成本指标</w:t>
            </w:r>
          </w:p>
        </w:tc>
        <w:tc>
          <w:tcPr>
            <w:tcW w:w="2835" w:type="dxa"/>
            <w:vAlign w:val="center"/>
          </w:tcPr>
          <w:p w14:paraId="662C5AB8">
            <w:pPr>
              <w:pStyle w:val="13"/>
            </w:pPr>
            <w:r>
              <w:t>项目成本控制情况</w:t>
            </w:r>
          </w:p>
        </w:tc>
        <w:tc>
          <w:tcPr>
            <w:tcW w:w="5386" w:type="dxa"/>
            <w:vAlign w:val="center"/>
          </w:tcPr>
          <w:p w14:paraId="18BAD65E">
            <w:pPr>
              <w:pStyle w:val="13"/>
            </w:pPr>
            <w:r>
              <w:t>严格按照招标价及审计额进行</w:t>
            </w:r>
          </w:p>
        </w:tc>
        <w:tc>
          <w:tcPr>
            <w:tcW w:w="2268" w:type="dxa"/>
            <w:vAlign w:val="center"/>
          </w:tcPr>
          <w:p w14:paraId="31025464">
            <w:pPr>
              <w:pStyle w:val="13"/>
            </w:pPr>
            <w:r>
              <w:t>≤1783万元</w:t>
            </w:r>
          </w:p>
        </w:tc>
        <w:tc>
          <w:tcPr>
            <w:tcW w:w="1276" w:type="dxa"/>
            <w:vAlign w:val="center"/>
          </w:tcPr>
          <w:p w14:paraId="11C7AFC6">
            <w:pPr>
              <w:pStyle w:val="13"/>
            </w:pPr>
            <w:r>
              <w:t>项目规划</w:t>
            </w:r>
          </w:p>
        </w:tc>
      </w:tr>
      <w:tr w14:paraId="75EBE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072DFB">
            <w:pPr>
              <w:pStyle w:val="12"/>
            </w:pPr>
            <w:r>
              <w:t>效益指标</w:t>
            </w:r>
          </w:p>
        </w:tc>
        <w:tc>
          <w:tcPr>
            <w:tcW w:w="2268" w:type="dxa"/>
            <w:vAlign w:val="center"/>
          </w:tcPr>
          <w:p w14:paraId="11500C64">
            <w:pPr>
              <w:pStyle w:val="13"/>
            </w:pPr>
            <w:r>
              <w:t>可持续影响指标</w:t>
            </w:r>
          </w:p>
        </w:tc>
        <w:tc>
          <w:tcPr>
            <w:tcW w:w="2835" w:type="dxa"/>
            <w:vAlign w:val="center"/>
          </w:tcPr>
          <w:p w14:paraId="0AF25DE7">
            <w:pPr>
              <w:pStyle w:val="13"/>
            </w:pPr>
            <w:r>
              <w:t>学校运转得到提高</w:t>
            </w:r>
          </w:p>
        </w:tc>
        <w:tc>
          <w:tcPr>
            <w:tcW w:w="5386" w:type="dxa"/>
            <w:vAlign w:val="center"/>
          </w:tcPr>
          <w:p w14:paraId="07BAB8A2">
            <w:pPr>
              <w:pStyle w:val="13"/>
            </w:pPr>
            <w:r>
              <w:t>学生受教育年限</w:t>
            </w:r>
          </w:p>
        </w:tc>
        <w:tc>
          <w:tcPr>
            <w:tcW w:w="2268" w:type="dxa"/>
            <w:vAlign w:val="center"/>
          </w:tcPr>
          <w:p w14:paraId="74241812">
            <w:pPr>
              <w:pStyle w:val="13"/>
            </w:pPr>
            <w:r>
              <w:t>3年</w:t>
            </w:r>
          </w:p>
        </w:tc>
        <w:tc>
          <w:tcPr>
            <w:tcW w:w="1276" w:type="dxa"/>
            <w:vAlign w:val="center"/>
          </w:tcPr>
          <w:p w14:paraId="7DF6DBAB">
            <w:pPr>
              <w:pStyle w:val="13"/>
            </w:pPr>
            <w:r>
              <w:t>项目规划</w:t>
            </w:r>
          </w:p>
        </w:tc>
      </w:tr>
      <w:tr w14:paraId="0E6B9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CE50C">
            <w:pPr>
              <w:pStyle w:val="12"/>
            </w:pPr>
            <w:r>
              <w:t>满意度指标</w:t>
            </w:r>
          </w:p>
        </w:tc>
        <w:tc>
          <w:tcPr>
            <w:tcW w:w="2268" w:type="dxa"/>
            <w:vAlign w:val="center"/>
          </w:tcPr>
          <w:p w14:paraId="48CE0B3A">
            <w:pPr>
              <w:pStyle w:val="13"/>
            </w:pPr>
            <w:r>
              <w:t>服务对象满意度指标</w:t>
            </w:r>
          </w:p>
        </w:tc>
        <w:tc>
          <w:tcPr>
            <w:tcW w:w="2835" w:type="dxa"/>
            <w:vAlign w:val="center"/>
          </w:tcPr>
          <w:p w14:paraId="3CFBBE39">
            <w:pPr>
              <w:pStyle w:val="13"/>
            </w:pPr>
            <w:r>
              <w:t>受益学生及家长满意度</w:t>
            </w:r>
          </w:p>
        </w:tc>
        <w:tc>
          <w:tcPr>
            <w:tcW w:w="5386" w:type="dxa"/>
            <w:vAlign w:val="center"/>
          </w:tcPr>
          <w:p w14:paraId="2C5E459E">
            <w:pPr>
              <w:pStyle w:val="13"/>
            </w:pPr>
            <w:r>
              <w:t>大幅提高学生和学生家长满意度</w:t>
            </w:r>
          </w:p>
        </w:tc>
        <w:tc>
          <w:tcPr>
            <w:tcW w:w="2268" w:type="dxa"/>
            <w:vAlign w:val="center"/>
          </w:tcPr>
          <w:p w14:paraId="269815BF">
            <w:pPr>
              <w:pStyle w:val="13"/>
            </w:pPr>
            <w:r>
              <w:t>≥95%</w:t>
            </w:r>
          </w:p>
        </w:tc>
        <w:tc>
          <w:tcPr>
            <w:tcW w:w="1276" w:type="dxa"/>
            <w:vAlign w:val="center"/>
          </w:tcPr>
          <w:p w14:paraId="227C0A5D">
            <w:pPr>
              <w:pStyle w:val="13"/>
            </w:pPr>
            <w:r>
              <w:t>项目规划</w:t>
            </w:r>
          </w:p>
        </w:tc>
      </w:tr>
    </w:tbl>
    <w:p w14:paraId="2016A926">
      <w:pPr>
        <w:sectPr>
          <w:pgSz w:w="16840" w:h="11900" w:orient="landscape"/>
          <w:pgMar w:top="1361" w:right="1020" w:bottom="1134" w:left="1020" w:header="720" w:footer="720" w:gutter="0"/>
          <w:cols w:space="720" w:num="1"/>
        </w:sectPr>
      </w:pPr>
    </w:p>
    <w:p w14:paraId="09513A30">
      <w:pPr>
        <w:spacing w:before="0" w:after="0"/>
        <w:ind w:firstLine="560"/>
        <w:jc w:val="left"/>
        <w:outlineLvl w:val="9"/>
      </w:pPr>
      <w:r>
        <w:rPr>
          <w:rFonts w:ascii="方正仿宋_GBK" w:hAnsi="方正仿宋_GBK" w:eastAsia="方正仿宋_GBK" w:cs="方正仿宋_GBK"/>
          <w:b/>
          <w:color w:val="000000"/>
          <w:sz w:val="28"/>
        </w:rPr>
        <w:t>21、县级配套/城关校区学前教育幼儿资助绩效目标表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69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F91D9">
            <w:pPr>
              <w:pStyle w:val="14"/>
            </w:pPr>
            <w:r>
              <w:t>单位：万元</w:t>
            </w:r>
          </w:p>
        </w:tc>
      </w:tr>
      <w:tr w14:paraId="5B844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C9B34A">
            <w:pPr>
              <w:pStyle w:val="11"/>
            </w:pPr>
            <w:r>
              <w:t>项目编码</w:t>
            </w:r>
          </w:p>
        </w:tc>
        <w:tc>
          <w:tcPr>
            <w:tcW w:w="5103" w:type="dxa"/>
            <w:gridSpan w:val="2"/>
            <w:vAlign w:val="center"/>
          </w:tcPr>
          <w:p w14:paraId="4F727336">
            <w:pPr>
              <w:pStyle w:val="13"/>
            </w:pPr>
            <w:r>
              <w:t>13052525P00000210015J</w:t>
            </w:r>
          </w:p>
        </w:tc>
        <w:tc>
          <w:tcPr>
            <w:tcW w:w="2835" w:type="dxa"/>
            <w:vAlign w:val="center"/>
          </w:tcPr>
          <w:p w14:paraId="72C89545">
            <w:pPr>
              <w:pStyle w:val="11"/>
            </w:pPr>
            <w:r>
              <w:t>项目名称</w:t>
            </w:r>
          </w:p>
        </w:tc>
        <w:tc>
          <w:tcPr>
            <w:tcW w:w="6095" w:type="dxa"/>
            <w:gridSpan w:val="3"/>
            <w:vAlign w:val="center"/>
          </w:tcPr>
          <w:p w14:paraId="12A9B7A7">
            <w:pPr>
              <w:pStyle w:val="13"/>
            </w:pPr>
            <w:r>
              <w:t>县级配套/城关校区学前教育幼儿资助</w:t>
            </w:r>
          </w:p>
        </w:tc>
      </w:tr>
      <w:tr w14:paraId="71DA7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DE0E6">
            <w:pPr>
              <w:pStyle w:val="11"/>
            </w:pPr>
            <w:r>
              <w:t>预算规模及资金用途</w:t>
            </w:r>
          </w:p>
        </w:tc>
        <w:tc>
          <w:tcPr>
            <w:tcW w:w="2268" w:type="dxa"/>
            <w:vAlign w:val="center"/>
          </w:tcPr>
          <w:p w14:paraId="201DBEDD">
            <w:pPr>
              <w:pStyle w:val="11"/>
            </w:pPr>
            <w:r>
              <w:t>预算数</w:t>
            </w:r>
          </w:p>
        </w:tc>
        <w:tc>
          <w:tcPr>
            <w:tcW w:w="2835" w:type="dxa"/>
            <w:vAlign w:val="center"/>
          </w:tcPr>
          <w:p w14:paraId="27B73BA8">
            <w:pPr>
              <w:pStyle w:val="13"/>
            </w:pPr>
            <w:r>
              <w:t>2.48</w:t>
            </w:r>
          </w:p>
        </w:tc>
        <w:tc>
          <w:tcPr>
            <w:tcW w:w="2835" w:type="dxa"/>
            <w:vAlign w:val="center"/>
          </w:tcPr>
          <w:p w14:paraId="6103578A">
            <w:pPr>
              <w:pStyle w:val="11"/>
            </w:pPr>
            <w:r>
              <w:t>其中：财政    资金</w:t>
            </w:r>
          </w:p>
        </w:tc>
        <w:tc>
          <w:tcPr>
            <w:tcW w:w="2551" w:type="dxa"/>
            <w:vAlign w:val="center"/>
          </w:tcPr>
          <w:p w14:paraId="46488375">
            <w:pPr>
              <w:pStyle w:val="13"/>
            </w:pPr>
            <w:r>
              <w:t>2.48</w:t>
            </w:r>
          </w:p>
        </w:tc>
        <w:tc>
          <w:tcPr>
            <w:tcW w:w="2268" w:type="dxa"/>
            <w:vAlign w:val="center"/>
          </w:tcPr>
          <w:p w14:paraId="333C24B7">
            <w:pPr>
              <w:pStyle w:val="11"/>
            </w:pPr>
            <w:r>
              <w:t>其他资金</w:t>
            </w:r>
          </w:p>
        </w:tc>
        <w:tc>
          <w:tcPr>
            <w:tcW w:w="1276" w:type="dxa"/>
            <w:vAlign w:val="center"/>
          </w:tcPr>
          <w:p w14:paraId="14FFA969">
            <w:pPr>
              <w:pStyle w:val="13"/>
            </w:pPr>
            <w:r>
              <w:t xml:space="preserve"> </w:t>
            </w:r>
          </w:p>
        </w:tc>
      </w:tr>
      <w:tr w14:paraId="29B61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30339"/>
        </w:tc>
        <w:tc>
          <w:tcPr>
            <w:tcW w:w="14033" w:type="dxa"/>
            <w:gridSpan w:val="6"/>
            <w:vAlign w:val="center"/>
          </w:tcPr>
          <w:p w14:paraId="24C9EC0F">
            <w:pPr>
              <w:pStyle w:val="13"/>
            </w:pPr>
            <w:r>
              <w:t>用于保障落实建档立卡及家庭经济困难儿童资助所需资金，确保建档立卡等家庭经济困难幼儿优先获得资助</w:t>
            </w:r>
          </w:p>
        </w:tc>
      </w:tr>
      <w:tr w14:paraId="357C9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123A7">
            <w:pPr>
              <w:pStyle w:val="11"/>
            </w:pPr>
            <w:r>
              <w:t>资金支出计划（%）</w:t>
            </w:r>
          </w:p>
        </w:tc>
        <w:tc>
          <w:tcPr>
            <w:tcW w:w="5103" w:type="dxa"/>
            <w:gridSpan w:val="2"/>
            <w:vAlign w:val="center"/>
          </w:tcPr>
          <w:p w14:paraId="138F7024">
            <w:pPr>
              <w:pStyle w:val="11"/>
            </w:pPr>
            <w:r>
              <w:t>3月底</w:t>
            </w:r>
          </w:p>
        </w:tc>
        <w:tc>
          <w:tcPr>
            <w:tcW w:w="2835" w:type="dxa"/>
            <w:vAlign w:val="center"/>
          </w:tcPr>
          <w:p w14:paraId="56D75909">
            <w:pPr>
              <w:pStyle w:val="11"/>
            </w:pPr>
            <w:r>
              <w:t>6月底</w:t>
            </w:r>
          </w:p>
        </w:tc>
        <w:tc>
          <w:tcPr>
            <w:tcW w:w="2551" w:type="dxa"/>
            <w:vAlign w:val="center"/>
          </w:tcPr>
          <w:p w14:paraId="7DF4BEE9">
            <w:pPr>
              <w:pStyle w:val="11"/>
            </w:pPr>
            <w:r>
              <w:t>10月底</w:t>
            </w:r>
          </w:p>
        </w:tc>
        <w:tc>
          <w:tcPr>
            <w:tcW w:w="3544" w:type="dxa"/>
            <w:gridSpan w:val="2"/>
            <w:vAlign w:val="center"/>
          </w:tcPr>
          <w:p w14:paraId="525E2D17">
            <w:pPr>
              <w:pStyle w:val="11"/>
            </w:pPr>
            <w:r>
              <w:t>12月底</w:t>
            </w:r>
          </w:p>
        </w:tc>
      </w:tr>
      <w:tr w14:paraId="1BAB3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30D412"/>
        </w:tc>
        <w:tc>
          <w:tcPr>
            <w:tcW w:w="5103" w:type="dxa"/>
            <w:gridSpan w:val="2"/>
            <w:vAlign w:val="center"/>
          </w:tcPr>
          <w:p w14:paraId="1B419959">
            <w:pPr>
              <w:pStyle w:val="12"/>
            </w:pPr>
            <w:r>
              <w:t xml:space="preserve"> </w:t>
            </w:r>
          </w:p>
        </w:tc>
        <w:tc>
          <w:tcPr>
            <w:tcW w:w="2835" w:type="dxa"/>
            <w:vAlign w:val="center"/>
          </w:tcPr>
          <w:p w14:paraId="1041F430">
            <w:pPr>
              <w:pStyle w:val="12"/>
            </w:pPr>
            <w:r>
              <w:t>50%</w:t>
            </w:r>
          </w:p>
        </w:tc>
        <w:tc>
          <w:tcPr>
            <w:tcW w:w="2551" w:type="dxa"/>
            <w:vAlign w:val="center"/>
          </w:tcPr>
          <w:p w14:paraId="3A9DB71C">
            <w:pPr>
              <w:pStyle w:val="12"/>
            </w:pPr>
            <w:r>
              <w:t>100%</w:t>
            </w:r>
          </w:p>
        </w:tc>
        <w:tc>
          <w:tcPr>
            <w:tcW w:w="3544" w:type="dxa"/>
            <w:gridSpan w:val="2"/>
            <w:vAlign w:val="center"/>
          </w:tcPr>
          <w:p w14:paraId="4854E225">
            <w:pPr>
              <w:pStyle w:val="12"/>
            </w:pPr>
            <w:r>
              <w:t>100%</w:t>
            </w:r>
          </w:p>
        </w:tc>
      </w:tr>
      <w:tr w14:paraId="6237A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D62B2">
            <w:pPr>
              <w:pStyle w:val="11"/>
            </w:pPr>
            <w:r>
              <w:t>绩效目标</w:t>
            </w:r>
          </w:p>
        </w:tc>
        <w:tc>
          <w:tcPr>
            <w:tcW w:w="14033" w:type="dxa"/>
            <w:gridSpan w:val="6"/>
            <w:vAlign w:val="center"/>
          </w:tcPr>
          <w:p w14:paraId="190FADBB">
            <w:pPr>
              <w:pStyle w:val="13"/>
            </w:pPr>
            <w:r>
              <w:t>1.保证本年度资助经费足额落实到位，符合享受资助条件的学生应助尽助。</w:t>
            </w:r>
          </w:p>
          <w:p w14:paraId="65B2D3D5">
            <w:pPr>
              <w:pStyle w:val="13"/>
            </w:pPr>
            <w:r>
              <w:t>2.保障落实建档立卡及家庭经济困难儿童资助所需资金，确保建档立卡等家庭经济困难幼儿优先获得资助</w:t>
            </w:r>
          </w:p>
        </w:tc>
      </w:tr>
    </w:tbl>
    <w:p w14:paraId="30DBA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8D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B69B4">
            <w:pPr>
              <w:pStyle w:val="11"/>
            </w:pPr>
            <w:r>
              <w:t>一级指标</w:t>
            </w:r>
          </w:p>
        </w:tc>
        <w:tc>
          <w:tcPr>
            <w:tcW w:w="2268" w:type="dxa"/>
            <w:vAlign w:val="center"/>
          </w:tcPr>
          <w:p w14:paraId="68604F34">
            <w:pPr>
              <w:pStyle w:val="11"/>
            </w:pPr>
            <w:r>
              <w:t>二级指标</w:t>
            </w:r>
          </w:p>
        </w:tc>
        <w:tc>
          <w:tcPr>
            <w:tcW w:w="2835" w:type="dxa"/>
            <w:vAlign w:val="center"/>
          </w:tcPr>
          <w:p w14:paraId="2C315536">
            <w:pPr>
              <w:pStyle w:val="11"/>
            </w:pPr>
            <w:r>
              <w:t>三级指标</w:t>
            </w:r>
          </w:p>
        </w:tc>
        <w:tc>
          <w:tcPr>
            <w:tcW w:w="5386" w:type="dxa"/>
            <w:vAlign w:val="center"/>
          </w:tcPr>
          <w:p w14:paraId="7B1255ED">
            <w:pPr>
              <w:pStyle w:val="11"/>
            </w:pPr>
            <w:r>
              <w:t>绩效指标描述</w:t>
            </w:r>
          </w:p>
        </w:tc>
        <w:tc>
          <w:tcPr>
            <w:tcW w:w="2268" w:type="dxa"/>
            <w:vAlign w:val="center"/>
          </w:tcPr>
          <w:p w14:paraId="7EA8918F">
            <w:pPr>
              <w:pStyle w:val="11"/>
            </w:pPr>
            <w:r>
              <w:t>指标值</w:t>
            </w:r>
          </w:p>
        </w:tc>
        <w:tc>
          <w:tcPr>
            <w:tcW w:w="1276" w:type="dxa"/>
            <w:vAlign w:val="center"/>
          </w:tcPr>
          <w:p w14:paraId="1480C8BD">
            <w:pPr>
              <w:pStyle w:val="11"/>
            </w:pPr>
            <w:r>
              <w:t>指标值确定依据</w:t>
            </w:r>
          </w:p>
        </w:tc>
      </w:tr>
      <w:tr w14:paraId="6AC54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A0208">
            <w:pPr>
              <w:pStyle w:val="12"/>
            </w:pPr>
            <w:r>
              <w:t>产出指标</w:t>
            </w:r>
          </w:p>
        </w:tc>
        <w:tc>
          <w:tcPr>
            <w:tcW w:w="2268" w:type="dxa"/>
            <w:vAlign w:val="center"/>
          </w:tcPr>
          <w:p w14:paraId="393A0899">
            <w:pPr>
              <w:pStyle w:val="13"/>
            </w:pPr>
            <w:r>
              <w:t>数量指标</w:t>
            </w:r>
          </w:p>
        </w:tc>
        <w:tc>
          <w:tcPr>
            <w:tcW w:w="2835" w:type="dxa"/>
            <w:vAlign w:val="center"/>
          </w:tcPr>
          <w:p w14:paraId="517E1DA6">
            <w:pPr>
              <w:pStyle w:val="13"/>
            </w:pPr>
            <w:r>
              <w:t>幼儿资助比例</w:t>
            </w:r>
          </w:p>
        </w:tc>
        <w:tc>
          <w:tcPr>
            <w:tcW w:w="5386" w:type="dxa"/>
            <w:vAlign w:val="center"/>
          </w:tcPr>
          <w:p w14:paraId="31456248">
            <w:pPr>
              <w:pStyle w:val="13"/>
            </w:pPr>
            <w:r>
              <w:t>按学前适龄在园儿童10%测算</w:t>
            </w:r>
          </w:p>
        </w:tc>
        <w:tc>
          <w:tcPr>
            <w:tcW w:w="2268" w:type="dxa"/>
            <w:vAlign w:val="center"/>
          </w:tcPr>
          <w:p w14:paraId="23B4F63A">
            <w:pPr>
              <w:pStyle w:val="13"/>
            </w:pPr>
            <w:r>
              <w:t>≥10%</w:t>
            </w:r>
          </w:p>
        </w:tc>
        <w:tc>
          <w:tcPr>
            <w:tcW w:w="1276" w:type="dxa"/>
            <w:vAlign w:val="center"/>
          </w:tcPr>
          <w:p w14:paraId="648F6C2F">
            <w:pPr>
              <w:pStyle w:val="13"/>
            </w:pPr>
            <w:r>
              <w:t>幼儿资助经费管理办法</w:t>
            </w:r>
          </w:p>
        </w:tc>
      </w:tr>
      <w:tr w14:paraId="42DB7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611A6"/>
        </w:tc>
        <w:tc>
          <w:tcPr>
            <w:tcW w:w="2268" w:type="dxa"/>
            <w:vAlign w:val="center"/>
          </w:tcPr>
          <w:p w14:paraId="62483C1A">
            <w:pPr>
              <w:pStyle w:val="13"/>
            </w:pPr>
            <w:r>
              <w:t>质量指标</w:t>
            </w:r>
          </w:p>
        </w:tc>
        <w:tc>
          <w:tcPr>
            <w:tcW w:w="2835" w:type="dxa"/>
            <w:vAlign w:val="center"/>
          </w:tcPr>
          <w:p w14:paraId="2E9ED37B">
            <w:pPr>
              <w:pStyle w:val="13"/>
            </w:pPr>
            <w:r>
              <w:t>幼儿园资助标准</w:t>
            </w:r>
          </w:p>
        </w:tc>
        <w:tc>
          <w:tcPr>
            <w:tcW w:w="5386" w:type="dxa"/>
            <w:vAlign w:val="center"/>
          </w:tcPr>
          <w:p w14:paraId="31AE891F">
            <w:pPr>
              <w:pStyle w:val="13"/>
            </w:pPr>
            <w:r>
              <w:t>按照幼儿园资助标准1000元/生/年</w:t>
            </w:r>
          </w:p>
        </w:tc>
        <w:tc>
          <w:tcPr>
            <w:tcW w:w="2268" w:type="dxa"/>
            <w:vAlign w:val="center"/>
          </w:tcPr>
          <w:p w14:paraId="1882401F">
            <w:pPr>
              <w:pStyle w:val="13"/>
            </w:pPr>
            <w:r>
              <w:t>1000元/生/年</w:t>
            </w:r>
          </w:p>
        </w:tc>
        <w:tc>
          <w:tcPr>
            <w:tcW w:w="1276" w:type="dxa"/>
            <w:vAlign w:val="center"/>
          </w:tcPr>
          <w:p w14:paraId="691D8B5B">
            <w:pPr>
              <w:pStyle w:val="13"/>
            </w:pPr>
            <w:r>
              <w:t>幼儿资助经费管理办法</w:t>
            </w:r>
          </w:p>
        </w:tc>
      </w:tr>
      <w:tr w14:paraId="25D10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C2547"/>
        </w:tc>
        <w:tc>
          <w:tcPr>
            <w:tcW w:w="2268" w:type="dxa"/>
            <w:vAlign w:val="center"/>
          </w:tcPr>
          <w:p w14:paraId="7E7819D2">
            <w:pPr>
              <w:pStyle w:val="13"/>
            </w:pPr>
            <w:r>
              <w:t>时效指标</w:t>
            </w:r>
          </w:p>
        </w:tc>
        <w:tc>
          <w:tcPr>
            <w:tcW w:w="2835" w:type="dxa"/>
            <w:vAlign w:val="center"/>
          </w:tcPr>
          <w:p w14:paraId="7B84D786">
            <w:pPr>
              <w:pStyle w:val="13"/>
            </w:pPr>
            <w:r>
              <w:t>学前教育资助制度落实情况</w:t>
            </w:r>
          </w:p>
        </w:tc>
        <w:tc>
          <w:tcPr>
            <w:tcW w:w="5386" w:type="dxa"/>
            <w:vAlign w:val="center"/>
          </w:tcPr>
          <w:p w14:paraId="52D20216">
            <w:pPr>
              <w:pStyle w:val="13"/>
            </w:pPr>
            <w:r>
              <w:t>符合享受资助条件的学生应助尽助</w:t>
            </w:r>
          </w:p>
        </w:tc>
        <w:tc>
          <w:tcPr>
            <w:tcW w:w="2268" w:type="dxa"/>
            <w:vAlign w:val="center"/>
          </w:tcPr>
          <w:p w14:paraId="6B9EE509">
            <w:pPr>
              <w:pStyle w:val="13"/>
            </w:pPr>
            <w:r>
              <w:t>100%</w:t>
            </w:r>
          </w:p>
        </w:tc>
        <w:tc>
          <w:tcPr>
            <w:tcW w:w="1276" w:type="dxa"/>
            <w:vAlign w:val="center"/>
          </w:tcPr>
          <w:p w14:paraId="272A5821">
            <w:pPr>
              <w:pStyle w:val="13"/>
            </w:pPr>
            <w:r>
              <w:t>幼儿资助经费管理办法</w:t>
            </w:r>
          </w:p>
        </w:tc>
      </w:tr>
      <w:tr w14:paraId="55B1C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58161"/>
        </w:tc>
        <w:tc>
          <w:tcPr>
            <w:tcW w:w="2268" w:type="dxa"/>
            <w:vAlign w:val="center"/>
          </w:tcPr>
          <w:p w14:paraId="5F827A6E">
            <w:pPr>
              <w:pStyle w:val="13"/>
            </w:pPr>
            <w:r>
              <w:t>成本指标</w:t>
            </w:r>
          </w:p>
        </w:tc>
        <w:tc>
          <w:tcPr>
            <w:tcW w:w="2835" w:type="dxa"/>
            <w:vAlign w:val="center"/>
          </w:tcPr>
          <w:p w14:paraId="4D55CFEB">
            <w:pPr>
              <w:pStyle w:val="13"/>
            </w:pPr>
            <w:r>
              <w:t>资金拨付率</w:t>
            </w:r>
          </w:p>
        </w:tc>
        <w:tc>
          <w:tcPr>
            <w:tcW w:w="5386" w:type="dxa"/>
            <w:vAlign w:val="center"/>
          </w:tcPr>
          <w:p w14:paraId="793028D6">
            <w:pPr>
              <w:pStyle w:val="13"/>
            </w:pPr>
            <w:r>
              <w:t>所有项目资金支付进度</w:t>
            </w:r>
          </w:p>
        </w:tc>
        <w:tc>
          <w:tcPr>
            <w:tcW w:w="2268" w:type="dxa"/>
            <w:vAlign w:val="center"/>
          </w:tcPr>
          <w:p w14:paraId="5B0D016B">
            <w:pPr>
              <w:pStyle w:val="13"/>
            </w:pPr>
            <w:r>
              <w:t>100%</w:t>
            </w:r>
          </w:p>
        </w:tc>
        <w:tc>
          <w:tcPr>
            <w:tcW w:w="1276" w:type="dxa"/>
            <w:vAlign w:val="center"/>
          </w:tcPr>
          <w:p w14:paraId="0008C42B">
            <w:pPr>
              <w:pStyle w:val="13"/>
            </w:pPr>
            <w:r>
              <w:t>幼儿资助经费管理办法</w:t>
            </w:r>
          </w:p>
        </w:tc>
      </w:tr>
      <w:tr w14:paraId="359B1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DFBE0A">
            <w:pPr>
              <w:pStyle w:val="12"/>
            </w:pPr>
            <w:r>
              <w:t>效益指标</w:t>
            </w:r>
          </w:p>
        </w:tc>
        <w:tc>
          <w:tcPr>
            <w:tcW w:w="2268" w:type="dxa"/>
            <w:vAlign w:val="center"/>
          </w:tcPr>
          <w:p w14:paraId="1F1CCDA9">
            <w:pPr>
              <w:pStyle w:val="13"/>
            </w:pPr>
            <w:r>
              <w:t>社会效益指标</w:t>
            </w:r>
          </w:p>
        </w:tc>
        <w:tc>
          <w:tcPr>
            <w:tcW w:w="2835" w:type="dxa"/>
            <w:vAlign w:val="center"/>
          </w:tcPr>
          <w:p w14:paraId="4F72F831">
            <w:pPr>
              <w:pStyle w:val="13"/>
            </w:pPr>
            <w:r>
              <w:t>幼儿园运转</w:t>
            </w:r>
          </w:p>
        </w:tc>
        <w:tc>
          <w:tcPr>
            <w:tcW w:w="5386" w:type="dxa"/>
            <w:vAlign w:val="center"/>
          </w:tcPr>
          <w:p w14:paraId="6212562E">
            <w:pPr>
              <w:pStyle w:val="13"/>
            </w:pPr>
            <w:r>
              <w:t>幼儿受教育年限</w:t>
            </w:r>
          </w:p>
        </w:tc>
        <w:tc>
          <w:tcPr>
            <w:tcW w:w="2268" w:type="dxa"/>
            <w:vAlign w:val="center"/>
          </w:tcPr>
          <w:p w14:paraId="78B30008">
            <w:pPr>
              <w:pStyle w:val="13"/>
            </w:pPr>
            <w:r>
              <w:t>3年</w:t>
            </w:r>
          </w:p>
        </w:tc>
        <w:tc>
          <w:tcPr>
            <w:tcW w:w="1276" w:type="dxa"/>
            <w:vAlign w:val="center"/>
          </w:tcPr>
          <w:p w14:paraId="4169A9EF">
            <w:pPr>
              <w:pStyle w:val="13"/>
            </w:pPr>
            <w:r>
              <w:t>幼儿资助经费管理办法</w:t>
            </w:r>
          </w:p>
        </w:tc>
      </w:tr>
      <w:tr w14:paraId="17643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F6422">
            <w:pPr>
              <w:pStyle w:val="12"/>
            </w:pPr>
            <w:r>
              <w:t>满意度指标</w:t>
            </w:r>
          </w:p>
        </w:tc>
        <w:tc>
          <w:tcPr>
            <w:tcW w:w="2268" w:type="dxa"/>
            <w:vAlign w:val="center"/>
          </w:tcPr>
          <w:p w14:paraId="154414B8">
            <w:pPr>
              <w:pStyle w:val="13"/>
            </w:pPr>
            <w:r>
              <w:t>服务对象满意度指标</w:t>
            </w:r>
          </w:p>
        </w:tc>
        <w:tc>
          <w:tcPr>
            <w:tcW w:w="2835" w:type="dxa"/>
            <w:vAlign w:val="center"/>
          </w:tcPr>
          <w:p w14:paraId="1289D076">
            <w:pPr>
              <w:pStyle w:val="13"/>
            </w:pPr>
            <w:r>
              <w:t>受益幼儿家长及调查满意度</w:t>
            </w:r>
          </w:p>
        </w:tc>
        <w:tc>
          <w:tcPr>
            <w:tcW w:w="5386" w:type="dxa"/>
            <w:vAlign w:val="center"/>
          </w:tcPr>
          <w:p w14:paraId="4A78AC20">
            <w:pPr>
              <w:pStyle w:val="13"/>
            </w:pPr>
            <w:r>
              <w:t>学生、教师及家长对学校保教保育工作满意度情况</w:t>
            </w:r>
          </w:p>
        </w:tc>
        <w:tc>
          <w:tcPr>
            <w:tcW w:w="2268" w:type="dxa"/>
            <w:vAlign w:val="center"/>
          </w:tcPr>
          <w:p w14:paraId="4ED8663F">
            <w:pPr>
              <w:pStyle w:val="13"/>
            </w:pPr>
            <w:r>
              <w:t>≥95%</w:t>
            </w:r>
          </w:p>
        </w:tc>
        <w:tc>
          <w:tcPr>
            <w:tcW w:w="1276" w:type="dxa"/>
            <w:vAlign w:val="center"/>
          </w:tcPr>
          <w:p w14:paraId="504F7431">
            <w:pPr>
              <w:pStyle w:val="13"/>
            </w:pPr>
            <w:r>
              <w:t>幼儿资助经费管理办法</w:t>
            </w:r>
          </w:p>
        </w:tc>
      </w:tr>
    </w:tbl>
    <w:p w14:paraId="681275DF">
      <w:pPr>
        <w:sectPr>
          <w:pgSz w:w="16840" w:h="11900" w:orient="landscape"/>
          <w:pgMar w:top="1361" w:right="1020" w:bottom="1134" w:left="1020" w:header="720" w:footer="720" w:gutter="0"/>
          <w:cols w:space="720" w:num="1"/>
        </w:sectPr>
      </w:pPr>
    </w:p>
    <w:p w14:paraId="57A4724E">
      <w:pPr>
        <w:spacing w:before="0" w:after="0"/>
        <w:ind w:firstLine="560"/>
        <w:jc w:val="left"/>
        <w:outlineLvl w:val="9"/>
      </w:pPr>
      <w:r>
        <w:rPr>
          <w:rFonts w:ascii="方正仿宋_GBK" w:hAnsi="方正仿宋_GBK" w:eastAsia="方正仿宋_GBK" w:cs="方正仿宋_GBK"/>
          <w:b/>
          <w:color w:val="000000"/>
          <w:sz w:val="28"/>
        </w:rPr>
        <w:t>22、县级资金/城关校区幼儿园公用经费绩效目标表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2C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4FB25">
            <w:pPr>
              <w:pStyle w:val="14"/>
            </w:pPr>
            <w:r>
              <w:t>单位：万元</w:t>
            </w:r>
          </w:p>
        </w:tc>
      </w:tr>
      <w:tr w14:paraId="7C91C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84BB9F">
            <w:pPr>
              <w:pStyle w:val="11"/>
            </w:pPr>
            <w:r>
              <w:t>项目编码</w:t>
            </w:r>
          </w:p>
        </w:tc>
        <w:tc>
          <w:tcPr>
            <w:tcW w:w="5103" w:type="dxa"/>
            <w:gridSpan w:val="2"/>
            <w:vAlign w:val="center"/>
          </w:tcPr>
          <w:p w14:paraId="09453039">
            <w:pPr>
              <w:pStyle w:val="13"/>
            </w:pPr>
            <w:r>
              <w:t>13052524P00875610071J</w:t>
            </w:r>
          </w:p>
        </w:tc>
        <w:tc>
          <w:tcPr>
            <w:tcW w:w="2835" w:type="dxa"/>
            <w:vAlign w:val="center"/>
          </w:tcPr>
          <w:p w14:paraId="52DC94E5">
            <w:pPr>
              <w:pStyle w:val="11"/>
            </w:pPr>
            <w:r>
              <w:t>项目名称</w:t>
            </w:r>
          </w:p>
        </w:tc>
        <w:tc>
          <w:tcPr>
            <w:tcW w:w="6095" w:type="dxa"/>
            <w:gridSpan w:val="3"/>
            <w:vAlign w:val="center"/>
          </w:tcPr>
          <w:p w14:paraId="28426095">
            <w:pPr>
              <w:pStyle w:val="13"/>
            </w:pPr>
            <w:r>
              <w:t>县级资金/城关校区幼儿园公用经费</w:t>
            </w:r>
          </w:p>
        </w:tc>
      </w:tr>
      <w:tr w14:paraId="7C6E2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E1337">
            <w:pPr>
              <w:pStyle w:val="11"/>
            </w:pPr>
            <w:r>
              <w:t>预算规模及资金用途</w:t>
            </w:r>
          </w:p>
        </w:tc>
        <w:tc>
          <w:tcPr>
            <w:tcW w:w="2268" w:type="dxa"/>
            <w:vAlign w:val="center"/>
          </w:tcPr>
          <w:p w14:paraId="5D282C65">
            <w:pPr>
              <w:pStyle w:val="11"/>
            </w:pPr>
            <w:r>
              <w:t>预算数</w:t>
            </w:r>
          </w:p>
        </w:tc>
        <w:tc>
          <w:tcPr>
            <w:tcW w:w="2835" w:type="dxa"/>
            <w:vAlign w:val="center"/>
          </w:tcPr>
          <w:p w14:paraId="7765A052">
            <w:pPr>
              <w:pStyle w:val="13"/>
            </w:pPr>
            <w:r>
              <w:t>77.54</w:t>
            </w:r>
          </w:p>
        </w:tc>
        <w:tc>
          <w:tcPr>
            <w:tcW w:w="2835" w:type="dxa"/>
            <w:vAlign w:val="center"/>
          </w:tcPr>
          <w:p w14:paraId="0FE00480">
            <w:pPr>
              <w:pStyle w:val="11"/>
            </w:pPr>
            <w:r>
              <w:t>其中：财政    资金</w:t>
            </w:r>
          </w:p>
        </w:tc>
        <w:tc>
          <w:tcPr>
            <w:tcW w:w="2551" w:type="dxa"/>
            <w:vAlign w:val="center"/>
          </w:tcPr>
          <w:p w14:paraId="3940436B">
            <w:pPr>
              <w:pStyle w:val="13"/>
            </w:pPr>
            <w:r>
              <w:t>77.54</w:t>
            </w:r>
          </w:p>
        </w:tc>
        <w:tc>
          <w:tcPr>
            <w:tcW w:w="2268" w:type="dxa"/>
            <w:vAlign w:val="center"/>
          </w:tcPr>
          <w:p w14:paraId="55F0BCD5">
            <w:pPr>
              <w:pStyle w:val="11"/>
            </w:pPr>
            <w:r>
              <w:t>其他资金</w:t>
            </w:r>
          </w:p>
        </w:tc>
        <w:tc>
          <w:tcPr>
            <w:tcW w:w="1276" w:type="dxa"/>
            <w:vAlign w:val="center"/>
          </w:tcPr>
          <w:p w14:paraId="7555DD58">
            <w:pPr>
              <w:pStyle w:val="13"/>
            </w:pPr>
            <w:r>
              <w:t xml:space="preserve"> </w:t>
            </w:r>
          </w:p>
        </w:tc>
      </w:tr>
      <w:tr w14:paraId="7CC20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93C0D2"/>
        </w:tc>
        <w:tc>
          <w:tcPr>
            <w:tcW w:w="14033" w:type="dxa"/>
            <w:gridSpan w:val="6"/>
            <w:vAlign w:val="center"/>
          </w:tcPr>
          <w:p w14:paraId="4F36FA80">
            <w:pPr>
              <w:pStyle w:val="13"/>
            </w:pPr>
            <w:r>
              <w:t xml:space="preserve"> 保障幼儿园正常运转，完成教育教学活动和其他日常工作任务等方面的费用支出。</w:t>
            </w:r>
          </w:p>
        </w:tc>
      </w:tr>
      <w:tr w14:paraId="546B5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33BBF">
            <w:pPr>
              <w:pStyle w:val="11"/>
            </w:pPr>
            <w:r>
              <w:t>资金支出计划（%）</w:t>
            </w:r>
          </w:p>
        </w:tc>
        <w:tc>
          <w:tcPr>
            <w:tcW w:w="5103" w:type="dxa"/>
            <w:gridSpan w:val="2"/>
            <w:vAlign w:val="center"/>
          </w:tcPr>
          <w:p w14:paraId="490C3F7F">
            <w:pPr>
              <w:pStyle w:val="11"/>
            </w:pPr>
            <w:r>
              <w:t>3月底</w:t>
            </w:r>
          </w:p>
        </w:tc>
        <w:tc>
          <w:tcPr>
            <w:tcW w:w="2835" w:type="dxa"/>
            <w:vAlign w:val="center"/>
          </w:tcPr>
          <w:p w14:paraId="460015A9">
            <w:pPr>
              <w:pStyle w:val="11"/>
            </w:pPr>
            <w:r>
              <w:t>6月底</w:t>
            </w:r>
          </w:p>
        </w:tc>
        <w:tc>
          <w:tcPr>
            <w:tcW w:w="2551" w:type="dxa"/>
            <w:vAlign w:val="center"/>
          </w:tcPr>
          <w:p w14:paraId="02B06770">
            <w:pPr>
              <w:pStyle w:val="11"/>
            </w:pPr>
            <w:r>
              <w:t>10月底</w:t>
            </w:r>
          </w:p>
        </w:tc>
        <w:tc>
          <w:tcPr>
            <w:tcW w:w="3544" w:type="dxa"/>
            <w:gridSpan w:val="2"/>
            <w:vAlign w:val="center"/>
          </w:tcPr>
          <w:p w14:paraId="02BA9D5E">
            <w:pPr>
              <w:pStyle w:val="11"/>
            </w:pPr>
            <w:r>
              <w:t>12月底</w:t>
            </w:r>
          </w:p>
        </w:tc>
      </w:tr>
      <w:tr w14:paraId="02E9F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924DF7"/>
        </w:tc>
        <w:tc>
          <w:tcPr>
            <w:tcW w:w="5103" w:type="dxa"/>
            <w:gridSpan w:val="2"/>
            <w:vAlign w:val="center"/>
          </w:tcPr>
          <w:p w14:paraId="03380FED">
            <w:pPr>
              <w:pStyle w:val="12"/>
            </w:pPr>
            <w:r>
              <w:t>25%</w:t>
            </w:r>
          </w:p>
        </w:tc>
        <w:tc>
          <w:tcPr>
            <w:tcW w:w="2835" w:type="dxa"/>
            <w:vAlign w:val="center"/>
          </w:tcPr>
          <w:p w14:paraId="29EE7294">
            <w:pPr>
              <w:pStyle w:val="12"/>
            </w:pPr>
            <w:r>
              <w:t>50%</w:t>
            </w:r>
          </w:p>
        </w:tc>
        <w:tc>
          <w:tcPr>
            <w:tcW w:w="2551" w:type="dxa"/>
            <w:vAlign w:val="center"/>
          </w:tcPr>
          <w:p w14:paraId="64096D2C">
            <w:pPr>
              <w:pStyle w:val="12"/>
            </w:pPr>
            <w:r>
              <w:t>75%</w:t>
            </w:r>
          </w:p>
        </w:tc>
        <w:tc>
          <w:tcPr>
            <w:tcW w:w="3544" w:type="dxa"/>
            <w:gridSpan w:val="2"/>
            <w:vAlign w:val="center"/>
          </w:tcPr>
          <w:p w14:paraId="41FA3B57">
            <w:pPr>
              <w:pStyle w:val="12"/>
            </w:pPr>
            <w:r>
              <w:t>100%</w:t>
            </w:r>
          </w:p>
        </w:tc>
      </w:tr>
      <w:tr w14:paraId="39E62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51CB2">
            <w:pPr>
              <w:pStyle w:val="11"/>
            </w:pPr>
            <w:r>
              <w:t>绩效目标</w:t>
            </w:r>
          </w:p>
        </w:tc>
        <w:tc>
          <w:tcPr>
            <w:tcW w:w="14033" w:type="dxa"/>
            <w:gridSpan w:val="6"/>
            <w:vAlign w:val="center"/>
          </w:tcPr>
          <w:p w14:paraId="119DB383">
            <w:pPr>
              <w:pStyle w:val="13"/>
            </w:pPr>
            <w:r>
              <w:t>1.按季度分批次拨付公用经费资金，资金拨付率达到100%。</w:t>
            </w:r>
          </w:p>
          <w:p w14:paraId="53741EAB">
            <w:pPr>
              <w:pStyle w:val="13"/>
            </w:pPr>
            <w:r>
              <w:t>2. 保障幼儿园正常运转，完成教育教学活动和其他日常工作任务等方面的费用支出。</w:t>
            </w:r>
          </w:p>
        </w:tc>
      </w:tr>
    </w:tbl>
    <w:p w14:paraId="6D1637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23"/>
        <w:gridCol w:w="2021"/>
      </w:tblGrid>
      <w:tr w14:paraId="11670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CD928">
            <w:pPr>
              <w:pStyle w:val="11"/>
            </w:pPr>
            <w:r>
              <w:t>一级指标</w:t>
            </w:r>
          </w:p>
        </w:tc>
        <w:tc>
          <w:tcPr>
            <w:tcW w:w="2268" w:type="dxa"/>
            <w:vAlign w:val="center"/>
          </w:tcPr>
          <w:p w14:paraId="0CE308CD">
            <w:pPr>
              <w:pStyle w:val="11"/>
            </w:pPr>
            <w:r>
              <w:t>二级指标</w:t>
            </w:r>
          </w:p>
        </w:tc>
        <w:tc>
          <w:tcPr>
            <w:tcW w:w="2835" w:type="dxa"/>
            <w:vAlign w:val="center"/>
          </w:tcPr>
          <w:p w14:paraId="2B4C4A5F">
            <w:pPr>
              <w:pStyle w:val="11"/>
            </w:pPr>
            <w:r>
              <w:t>三级指标</w:t>
            </w:r>
          </w:p>
        </w:tc>
        <w:tc>
          <w:tcPr>
            <w:tcW w:w="5386" w:type="dxa"/>
            <w:vAlign w:val="center"/>
          </w:tcPr>
          <w:p w14:paraId="0F63F801">
            <w:pPr>
              <w:pStyle w:val="11"/>
            </w:pPr>
            <w:r>
              <w:t>绩效指标描述</w:t>
            </w:r>
          </w:p>
        </w:tc>
        <w:tc>
          <w:tcPr>
            <w:tcW w:w="1523" w:type="dxa"/>
            <w:vAlign w:val="center"/>
          </w:tcPr>
          <w:p w14:paraId="330103AB">
            <w:pPr>
              <w:pStyle w:val="11"/>
            </w:pPr>
            <w:r>
              <w:t>指标值</w:t>
            </w:r>
          </w:p>
        </w:tc>
        <w:tc>
          <w:tcPr>
            <w:tcW w:w="2021" w:type="dxa"/>
            <w:vAlign w:val="center"/>
          </w:tcPr>
          <w:p w14:paraId="25F1BF93">
            <w:pPr>
              <w:pStyle w:val="11"/>
            </w:pPr>
            <w:r>
              <w:t>指标值确定依据</w:t>
            </w:r>
          </w:p>
        </w:tc>
      </w:tr>
      <w:tr w14:paraId="4E901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9C910">
            <w:pPr>
              <w:pStyle w:val="12"/>
            </w:pPr>
            <w:r>
              <w:t>产出指标</w:t>
            </w:r>
          </w:p>
        </w:tc>
        <w:tc>
          <w:tcPr>
            <w:tcW w:w="2268" w:type="dxa"/>
            <w:vAlign w:val="center"/>
          </w:tcPr>
          <w:p w14:paraId="749B0FCB">
            <w:pPr>
              <w:pStyle w:val="13"/>
            </w:pPr>
            <w:r>
              <w:t>数量指标</w:t>
            </w:r>
          </w:p>
        </w:tc>
        <w:tc>
          <w:tcPr>
            <w:tcW w:w="2835" w:type="dxa"/>
            <w:vAlign w:val="center"/>
          </w:tcPr>
          <w:p w14:paraId="4ECFDE20">
            <w:pPr>
              <w:pStyle w:val="13"/>
            </w:pPr>
            <w:r>
              <w:t>适龄在园生</w:t>
            </w:r>
          </w:p>
        </w:tc>
        <w:tc>
          <w:tcPr>
            <w:tcW w:w="5386" w:type="dxa"/>
            <w:vAlign w:val="center"/>
          </w:tcPr>
          <w:p w14:paraId="0AB39C8A">
            <w:pPr>
              <w:pStyle w:val="13"/>
            </w:pPr>
            <w:r>
              <w:t>适龄在园学生人数</w:t>
            </w:r>
          </w:p>
        </w:tc>
        <w:tc>
          <w:tcPr>
            <w:tcW w:w="1523" w:type="dxa"/>
            <w:vAlign w:val="center"/>
          </w:tcPr>
          <w:p w14:paraId="63985CDB">
            <w:pPr>
              <w:pStyle w:val="13"/>
            </w:pPr>
            <w:r>
              <w:t>1723人</w:t>
            </w:r>
          </w:p>
        </w:tc>
        <w:tc>
          <w:tcPr>
            <w:tcW w:w="2021" w:type="dxa"/>
            <w:vAlign w:val="center"/>
          </w:tcPr>
          <w:p w14:paraId="4B535293">
            <w:pPr>
              <w:pStyle w:val="13"/>
            </w:pPr>
            <w:r>
              <w:t>支持学前教育发展县级资金管理方法</w:t>
            </w:r>
          </w:p>
        </w:tc>
      </w:tr>
      <w:tr w14:paraId="207A3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B3B1A"/>
        </w:tc>
        <w:tc>
          <w:tcPr>
            <w:tcW w:w="2268" w:type="dxa"/>
            <w:vAlign w:val="center"/>
          </w:tcPr>
          <w:p w14:paraId="415512F7">
            <w:pPr>
              <w:pStyle w:val="13"/>
            </w:pPr>
            <w:r>
              <w:t>质量指标</w:t>
            </w:r>
          </w:p>
        </w:tc>
        <w:tc>
          <w:tcPr>
            <w:tcW w:w="2835" w:type="dxa"/>
            <w:vAlign w:val="center"/>
          </w:tcPr>
          <w:p w14:paraId="604E6DA2">
            <w:pPr>
              <w:pStyle w:val="13"/>
            </w:pPr>
            <w:r>
              <w:t>预算控制率</w:t>
            </w:r>
          </w:p>
        </w:tc>
        <w:tc>
          <w:tcPr>
            <w:tcW w:w="5386" w:type="dxa"/>
            <w:vAlign w:val="center"/>
          </w:tcPr>
          <w:p w14:paraId="0EFBC25C">
            <w:pPr>
              <w:pStyle w:val="13"/>
            </w:pPr>
            <w:r>
              <w:t>预算执行</w:t>
            </w:r>
          </w:p>
        </w:tc>
        <w:tc>
          <w:tcPr>
            <w:tcW w:w="1523" w:type="dxa"/>
            <w:vAlign w:val="center"/>
          </w:tcPr>
          <w:p w14:paraId="41F772EF">
            <w:pPr>
              <w:pStyle w:val="13"/>
            </w:pPr>
            <w:r>
              <w:t>≥95%</w:t>
            </w:r>
          </w:p>
        </w:tc>
        <w:tc>
          <w:tcPr>
            <w:tcW w:w="2021" w:type="dxa"/>
            <w:vAlign w:val="center"/>
          </w:tcPr>
          <w:p w14:paraId="1B236574">
            <w:pPr>
              <w:pStyle w:val="13"/>
            </w:pPr>
            <w:r>
              <w:t>支持学前教育发展县级资金管理方法</w:t>
            </w:r>
          </w:p>
        </w:tc>
      </w:tr>
      <w:tr w14:paraId="41506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4F7F6"/>
        </w:tc>
        <w:tc>
          <w:tcPr>
            <w:tcW w:w="2268" w:type="dxa"/>
            <w:vAlign w:val="center"/>
          </w:tcPr>
          <w:p w14:paraId="1835E619">
            <w:pPr>
              <w:pStyle w:val="13"/>
            </w:pPr>
            <w:r>
              <w:t>时效指标</w:t>
            </w:r>
          </w:p>
        </w:tc>
        <w:tc>
          <w:tcPr>
            <w:tcW w:w="2835" w:type="dxa"/>
            <w:vAlign w:val="center"/>
          </w:tcPr>
          <w:p w14:paraId="7D28644B">
            <w:pPr>
              <w:pStyle w:val="13"/>
            </w:pPr>
            <w:r>
              <w:t>资金支付率</w:t>
            </w:r>
          </w:p>
        </w:tc>
        <w:tc>
          <w:tcPr>
            <w:tcW w:w="5386" w:type="dxa"/>
            <w:vAlign w:val="center"/>
          </w:tcPr>
          <w:p w14:paraId="17119DCB">
            <w:pPr>
              <w:pStyle w:val="13"/>
            </w:pPr>
            <w:r>
              <w:t>按照序时进度完成资金支付</w:t>
            </w:r>
          </w:p>
        </w:tc>
        <w:tc>
          <w:tcPr>
            <w:tcW w:w="1523" w:type="dxa"/>
            <w:vAlign w:val="center"/>
          </w:tcPr>
          <w:p w14:paraId="66C418C9">
            <w:pPr>
              <w:pStyle w:val="13"/>
            </w:pPr>
            <w:r>
              <w:t>100%</w:t>
            </w:r>
          </w:p>
        </w:tc>
        <w:tc>
          <w:tcPr>
            <w:tcW w:w="2021" w:type="dxa"/>
            <w:vAlign w:val="center"/>
          </w:tcPr>
          <w:p w14:paraId="5F4333E0">
            <w:pPr>
              <w:pStyle w:val="13"/>
            </w:pPr>
            <w:r>
              <w:t>支持学前教育发展县级资金管理方法</w:t>
            </w:r>
          </w:p>
        </w:tc>
      </w:tr>
      <w:tr w14:paraId="7982E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1EFD6"/>
        </w:tc>
        <w:tc>
          <w:tcPr>
            <w:tcW w:w="2268" w:type="dxa"/>
            <w:vAlign w:val="center"/>
          </w:tcPr>
          <w:p w14:paraId="007BDDA5">
            <w:pPr>
              <w:pStyle w:val="13"/>
            </w:pPr>
            <w:r>
              <w:t>成本指标</w:t>
            </w:r>
          </w:p>
        </w:tc>
        <w:tc>
          <w:tcPr>
            <w:tcW w:w="2835" w:type="dxa"/>
            <w:vAlign w:val="center"/>
          </w:tcPr>
          <w:p w14:paraId="1CAADF3F">
            <w:pPr>
              <w:pStyle w:val="13"/>
            </w:pPr>
            <w:r>
              <w:t>生均拨款标准</w:t>
            </w:r>
          </w:p>
        </w:tc>
        <w:tc>
          <w:tcPr>
            <w:tcW w:w="5386" w:type="dxa"/>
            <w:vAlign w:val="center"/>
          </w:tcPr>
          <w:p w14:paraId="53B30617">
            <w:pPr>
              <w:pStyle w:val="13"/>
            </w:pPr>
            <w:r>
              <w:t>学前：（基本标准600元/生/学年）</w:t>
            </w:r>
          </w:p>
        </w:tc>
        <w:tc>
          <w:tcPr>
            <w:tcW w:w="1523" w:type="dxa"/>
            <w:vAlign w:val="center"/>
          </w:tcPr>
          <w:p w14:paraId="0C536A52">
            <w:pPr>
              <w:pStyle w:val="13"/>
            </w:pPr>
            <w:r>
              <w:t>775350元</w:t>
            </w:r>
          </w:p>
        </w:tc>
        <w:tc>
          <w:tcPr>
            <w:tcW w:w="2021" w:type="dxa"/>
            <w:vAlign w:val="center"/>
          </w:tcPr>
          <w:p w14:paraId="024DE077">
            <w:pPr>
              <w:pStyle w:val="13"/>
            </w:pPr>
            <w:r>
              <w:t>支持学前教育发展县级资金管理方法</w:t>
            </w:r>
          </w:p>
        </w:tc>
      </w:tr>
      <w:tr w14:paraId="1E4AE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B4B997">
            <w:pPr>
              <w:pStyle w:val="12"/>
            </w:pPr>
            <w:r>
              <w:t>效益指标</w:t>
            </w:r>
          </w:p>
        </w:tc>
        <w:tc>
          <w:tcPr>
            <w:tcW w:w="2268" w:type="dxa"/>
            <w:vAlign w:val="center"/>
          </w:tcPr>
          <w:p w14:paraId="08EE3403">
            <w:pPr>
              <w:pStyle w:val="13"/>
            </w:pPr>
            <w:r>
              <w:t>社会效益指标</w:t>
            </w:r>
          </w:p>
        </w:tc>
        <w:tc>
          <w:tcPr>
            <w:tcW w:w="2835" w:type="dxa"/>
            <w:vAlign w:val="center"/>
          </w:tcPr>
          <w:p w14:paraId="10AE730C">
            <w:pPr>
              <w:pStyle w:val="13"/>
            </w:pPr>
            <w:r>
              <w:t>学校运转得到提升</w:t>
            </w:r>
          </w:p>
        </w:tc>
        <w:tc>
          <w:tcPr>
            <w:tcW w:w="5386" w:type="dxa"/>
            <w:vAlign w:val="center"/>
          </w:tcPr>
          <w:p w14:paraId="426D9219">
            <w:pPr>
              <w:pStyle w:val="13"/>
            </w:pPr>
            <w:r>
              <w:t>幼儿受教育年限</w:t>
            </w:r>
          </w:p>
        </w:tc>
        <w:tc>
          <w:tcPr>
            <w:tcW w:w="1523" w:type="dxa"/>
            <w:vAlign w:val="center"/>
          </w:tcPr>
          <w:p w14:paraId="5CBCFC4F">
            <w:pPr>
              <w:pStyle w:val="13"/>
            </w:pPr>
            <w:r>
              <w:t>3年</w:t>
            </w:r>
          </w:p>
        </w:tc>
        <w:tc>
          <w:tcPr>
            <w:tcW w:w="2021" w:type="dxa"/>
            <w:vAlign w:val="center"/>
          </w:tcPr>
          <w:p w14:paraId="2A0CEBCF">
            <w:pPr>
              <w:pStyle w:val="13"/>
            </w:pPr>
            <w:r>
              <w:t>支持学前教育发展县级资金管理方法</w:t>
            </w:r>
          </w:p>
        </w:tc>
      </w:tr>
      <w:tr w14:paraId="32A0E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126F49">
            <w:pPr>
              <w:pStyle w:val="12"/>
            </w:pPr>
            <w:r>
              <w:t>满意度指标</w:t>
            </w:r>
          </w:p>
        </w:tc>
        <w:tc>
          <w:tcPr>
            <w:tcW w:w="2268" w:type="dxa"/>
            <w:vAlign w:val="center"/>
          </w:tcPr>
          <w:p w14:paraId="15172D4D">
            <w:pPr>
              <w:pStyle w:val="13"/>
            </w:pPr>
            <w:r>
              <w:t>服务对象满意度指标</w:t>
            </w:r>
          </w:p>
        </w:tc>
        <w:tc>
          <w:tcPr>
            <w:tcW w:w="2835" w:type="dxa"/>
            <w:vAlign w:val="center"/>
          </w:tcPr>
          <w:p w14:paraId="67AD69B3">
            <w:pPr>
              <w:pStyle w:val="13"/>
            </w:pPr>
            <w:r>
              <w:t>受益学生家长及调查满意度</w:t>
            </w:r>
          </w:p>
        </w:tc>
        <w:tc>
          <w:tcPr>
            <w:tcW w:w="5386" w:type="dxa"/>
            <w:vAlign w:val="center"/>
          </w:tcPr>
          <w:p w14:paraId="48622DA5">
            <w:pPr>
              <w:pStyle w:val="13"/>
            </w:pPr>
            <w:r>
              <w:t>学生、教师及家长对学校保教保育工作满意度情况</w:t>
            </w:r>
          </w:p>
        </w:tc>
        <w:tc>
          <w:tcPr>
            <w:tcW w:w="1523" w:type="dxa"/>
            <w:vAlign w:val="center"/>
          </w:tcPr>
          <w:p w14:paraId="1E5D8E12">
            <w:pPr>
              <w:pStyle w:val="13"/>
            </w:pPr>
            <w:r>
              <w:t>≥95%</w:t>
            </w:r>
          </w:p>
        </w:tc>
        <w:tc>
          <w:tcPr>
            <w:tcW w:w="2021" w:type="dxa"/>
            <w:vAlign w:val="center"/>
          </w:tcPr>
          <w:p w14:paraId="5132A3E7">
            <w:pPr>
              <w:pStyle w:val="13"/>
            </w:pPr>
            <w:r>
              <w:t>支持学前教育发展县级资金管理方法</w:t>
            </w:r>
          </w:p>
        </w:tc>
      </w:tr>
    </w:tbl>
    <w:p w14:paraId="3B3812A5">
      <w:pPr>
        <w:sectPr>
          <w:pgSz w:w="16840" w:h="11900" w:orient="landscape"/>
          <w:pgMar w:top="1361" w:right="1020" w:bottom="1134" w:left="1020" w:header="720" w:footer="720" w:gutter="0"/>
          <w:cols w:space="720" w:num="1"/>
        </w:sectPr>
      </w:pPr>
    </w:p>
    <w:p w14:paraId="31DAA24A">
      <w:pPr>
        <w:spacing w:before="0" w:after="0"/>
        <w:ind w:firstLine="560"/>
        <w:jc w:val="left"/>
        <w:outlineLvl w:val="9"/>
      </w:pPr>
      <w:r>
        <w:rPr>
          <w:rFonts w:ascii="方正仿宋_GBK" w:hAnsi="方正仿宋_GBK" w:eastAsia="方正仿宋_GBK" w:cs="方正仿宋_GBK"/>
          <w:b/>
          <w:color w:val="000000"/>
          <w:sz w:val="28"/>
        </w:rPr>
        <w:t>23、学前专项经费/城关校区绩效目标表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23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96E62">
            <w:pPr>
              <w:pStyle w:val="14"/>
            </w:pPr>
            <w:r>
              <w:t>单位：万元</w:t>
            </w:r>
          </w:p>
        </w:tc>
      </w:tr>
      <w:tr w14:paraId="0A51E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C97E9">
            <w:pPr>
              <w:pStyle w:val="11"/>
            </w:pPr>
            <w:r>
              <w:t>项目编码</w:t>
            </w:r>
          </w:p>
        </w:tc>
        <w:tc>
          <w:tcPr>
            <w:tcW w:w="5103" w:type="dxa"/>
            <w:gridSpan w:val="2"/>
            <w:vAlign w:val="center"/>
          </w:tcPr>
          <w:p w14:paraId="338487A1">
            <w:pPr>
              <w:pStyle w:val="13"/>
            </w:pPr>
            <w:r>
              <w:t>13052525P00875610034C</w:t>
            </w:r>
          </w:p>
        </w:tc>
        <w:tc>
          <w:tcPr>
            <w:tcW w:w="2835" w:type="dxa"/>
            <w:vAlign w:val="center"/>
          </w:tcPr>
          <w:p w14:paraId="1C83E58D">
            <w:pPr>
              <w:pStyle w:val="11"/>
            </w:pPr>
            <w:r>
              <w:t>项目名称</w:t>
            </w:r>
          </w:p>
        </w:tc>
        <w:tc>
          <w:tcPr>
            <w:tcW w:w="6095" w:type="dxa"/>
            <w:gridSpan w:val="3"/>
            <w:vAlign w:val="center"/>
          </w:tcPr>
          <w:p w14:paraId="091558D0">
            <w:pPr>
              <w:pStyle w:val="13"/>
            </w:pPr>
            <w:r>
              <w:t>学前专项经费/城关校区</w:t>
            </w:r>
          </w:p>
        </w:tc>
      </w:tr>
      <w:tr w14:paraId="2254D2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F8186">
            <w:pPr>
              <w:pStyle w:val="11"/>
            </w:pPr>
            <w:r>
              <w:t>预算规模及资金用途</w:t>
            </w:r>
          </w:p>
        </w:tc>
        <w:tc>
          <w:tcPr>
            <w:tcW w:w="2268" w:type="dxa"/>
            <w:vAlign w:val="center"/>
          </w:tcPr>
          <w:p w14:paraId="5322F46B">
            <w:pPr>
              <w:pStyle w:val="11"/>
            </w:pPr>
            <w:r>
              <w:t>预算数</w:t>
            </w:r>
          </w:p>
        </w:tc>
        <w:tc>
          <w:tcPr>
            <w:tcW w:w="2835" w:type="dxa"/>
            <w:vAlign w:val="center"/>
          </w:tcPr>
          <w:p w14:paraId="4406C06A">
            <w:pPr>
              <w:pStyle w:val="13"/>
            </w:pPr>
            <w:r>
              <w:t>363.84</w:t>
            </w:r>
          </w:p>
        </w:tc>
        <w:tc>
          <w:tcPr>
            <w:tcW w:w="2835" w:type="dxa"/>
            <w:vAlign w:val="center"/>
          </w:tcPr>
          <w:p w14:paraId="56A64E83">
            <w:pPr>
              <w:pStyle w:val="11"/>
            </w:pPr>
            <w:r>
              <w:t>其中：财政    资金</w:t>
            </w:r>
          </w:p>
        </w:tc>
        <w:tc>
          <w:tcPr>
            <w:tcW w:w="2551" w:type="dxa"/>
            <w:vAlign w:val="center"/>
          </w:tcPr>
          <w:p w14:paraId="52120251">
            <w:pPr>
              <w:pStyle w:val="13"/>
            </w:pPr>
            <w:r>
              <w:t>363.84</w:t>
            </w:r>
          </w:p>
        </w:tc>
        <w:tc>
          <w:tcPr>
            <w:tcW w:w="2268" w:type="dxa"/>
            <w:vAlign w:val="center"/>
          </w:tcPr>
          <w:p w14:paraId="0C176084">
            <w:pPr>
              <w:pStyle w:val="11"/>
            </w:pPr>
            <w:r>
              <w:t>其他资金</w:t>
            </w:r>
          </w:p>
        </w:tc>
        <w:tc>
          <w:tcPr>
            <w:tcW w:w="1276" w:type="dxa"/>
            <w:vAlign w:val="center"/>
          </w:tcPr>
          <w:p w14:paraId="78A78809">
            <w:pPr>
              <w:pStyle w:val="13"/>
            </w:pPr>
            <w:r>
              <w:t xml:space="preserve"> </w:t>
            </w:r>
          </w:p>
        </w:tc>
      </w:tr>
      <w:tr w14:paraId="05D52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1A6ED"/>
        </w:tc>
        <w:tc>
          <w:tcPr>
            <w:tcW w:w="14033" w:type="dxa"/>
            <w:gridSpan w:val="6"/>
            <w:vAlign w:val="center"/>
          </w:tcPr>
          <w:p w14:paraId="202E62C8">
            <w:pPr>
              <w:pStyle w:val="13"/>
            </w:pPr>
            <w:r>
              <w:t>按上缴财政序时进度完成公立幼儿园保育费支出，按预算要求完成2025年度学前教学任务提升及教学质量提高。</w:t>
            </w:r>
          </w:p>
        </w:tc>
      </w:tr>
      <w:tr w14:paraId="6DA26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BAE68">
            <w:pPr>
              <w:pStyle w:val="11"/>
            </w:pPr>
            <w:r>
              <w:t>资金支出计划（%）</w:t>
            </w:r>
          </w:p>
        </w:tc>
        <w:tc>
          <w:tcPr>
            <w:tcW w:w="5103" w:type="dxa"/>
            <w:gridSpan w:val="2"/>
            <w:vAlign w:val="center"/>
          </w:tcPr>
          <w:p w14:paraId="01B9CE64">
            <w:pPr>
              <w:pStyle w:val="11"/>
            </w:pPr>
            <w:r>
              <w:t>3月底</w:t>
            </w:r>
          </w:p>
        </w:tc>
        <w:tc>
          <w:tcPr>
            <w:tcW w:w="2835" w:type="dxa"/>
            <w:vAlign w:val="center"/>
          </w:tcPr>
          <w:p w14:paraId="738BDE26">
            <w:pPr>
              <w:pStyle w:val="11"/>
            </w:pPr>
            <w:r>
              <w:t>6月底</w:t>
            </w:r>
          </w:p>
        </w:tc>
        <w:tc>
          <w:tcPr>
            <w:tcW w:w="2551" w:type="dxa"/>
            <w:vAlign w:val="center"/>
          </w:tcPr>
          <w:p w14:paraId="75DDFCC8">
            <w:pPr>
              <w:pStyle w:val="11"/>
            </w:pPr>
            <w:r>
              <w:t>10月底</w:t>
            </w:r>
          </w:p>
        </w:tc>
        <w:tc>
          <w:tcPr>
            <w:tcW w:w="3544" w:type="dxa"/>
            <w:gridSpan w:val="2"/>
            <w:vAlign w:val="center"/>
          </w:tcPr>
          <w:p w14:paraId="01FF77DC">
            <w:pPr>
              <w:pStyle w:val="11"/>
            </w:pPr>
            <w:r>
              <w:t>12月底</w:t>
            </w:r>
          </w:p>
        </w:tc>
      </w:tr>
      <w:tr w14:paraId="06251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BA517"/>
        </w:tc>
        <w:tc>
          <w:tcPr>
            <w:tcW w:w="5103" w:type="dxa"/>
            <w:gridSpan w:val="2"/>
            <w:vAlign w:val="center"/>
          </w:tcPr>
          <w:p w14:paraId="33D5AA60">
            <w:pPr>
              <w:pStyle w:val="12"/>
            </w:pPr>
            <w:r>
              <w:t xml:space="preserve"> </w:t>
            </w:r>
          </w:p>
        </w:tc>
        <w:tc>
          <w:tcPr>
            <w:tcW w:w="2835" w:type="dxa"/>
            <w:vAlign w:val="center"/>
          </w:tcPr>
          <w:p w14:paraId="4758DE39">
            <w:pPr>
              <w:pStyle w:val="12"/>
            </w:pPr>
            <w:r>
              <w:t>50%</w:t>
            </w:r>
          </w:p>
        </w:tc>
        <w:tc>
          <w:tcPr>
            <w:tcW w:w="2551" w:type="dxa"/>
            <w:vAlign w:val="center"/>
          </w:tcPr>
          <w:p w14:paraId="76D04BBD">
            <w:pPr>
              <w:pStyle w:val="12"/>
            </w:pPr>
            <w:r>
              <w:t>75%</w:t>
            </w:r>
          </w:p>
        </w:tc>
        <w:tc>
          <w:tcPr>
            <w:tcW w:w="3544" w:type="dxa"/>
            <w:gridSpan w:val="2"/>
            <w:vAlign w:val="center"/>
          </w:tcPr>
          <w:p w14:paraId="02EB93D8">
            <w:pPr>
              <w:pStyle w:val="12"/>
            </w:pPr>
            <w:r>
              <w:t>100%</w:t>
            </w:r>
          </w:p>
        </w:tc>
      </w:tr>
      <w:tr w14:paraId="66387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9D309">
            <w:pPr>
              <w:pStyle w:val="11"/>
            </w:pPr>
            <w:r>
              <w:t>绩效目标</w:t>
            </w:r>
          </w:p>
        </w:tc>
        <w:tc>
          <w:tcPr>
            <w:tcW w:w="14033" w:type="dxa"/>
            <w:gridSpan w:val="6"/>
            <w:vAlign w:val="center"/>
          </w:tcPr>
          <w:p w14:paraId="0621D262">
            <w:pPr>
              <w:pStyle w:val="13"/>
            </w:pPr>
            <w:r>
              <w:t>1.按要求完成公立幼儿园保育费按月/季度上缴财政。</w:t>
            </w:r>
          </w:p>
          <w:p w14:paraId="0BB0D172">
            <w:pPr>
              <w:pStyle w:val="13"/>
            </w:pPr>
            <w:r>
              <w:t>2.按上缴财政序时进度完成公立幼儿园保育费支出。</w:t>
            </w:r>
          </w:p>
          <w:p w14:paraId="155853B2">
            <w:pPr>
              <w:pStyle w:val="13"/>
            </w:pPr>
            <w:r>
              <w:t>3.按预算要求完成2025年度学前教学任务提升及教学质量提高。</w:t>
            </w:r>
          </w:p>
        </w:tc>
      </w:tr>
    </w:tbl>
    <w:p w14:paraId="1E8D39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E5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131A2">
            <w:pPr>
              <w:pStyle w:val="11"/>
            </w:pPr>
            <w:r>
              <w:t>一级指标</w:t>
            </w:r>
          </w:p>
        </w:tc>
        <w:tc>
          <w:tcPr>
            <w:tcW w:w="2268" w:type="dxa"/>
            <w:vAlign w:val="center"/>
          </w:tcPr>
          <w:p w14:paraId="4E9DB8E6">
            <w:pPr>
              <w:pStyle w:val="11"/>
            </w:pPr>
            <w:r>
              <w:t>二级指标</w:t>
            </w:r>
          </w:p>
        </w:tc>
        <w:tc>
          <w:tcPr>
            <w:tcW w:w="2835" w:type="dxa"/>
            <w:vAlign w:val="center"/>
          </w:tcPr>
          <w:p w14:paraId="2A3DB085">
            <w:pPr>
              <w:pStyle w:val="11"/>
            </w:pPr>
            <w:r>
              <w:t>三级指标</w:t>
            </w:r>
          </w:p>
        </w:tc>
        <w:tc>
          <w:tcPr>
            <w:tcW w:w="5386" w:type="dxa"/>
            <w:vAlign w:val="center"/>
          </w:tcPr>
          <w:p w14:paraId="222D8BAA">
            <w:pPr>
              <w:pStyle w:val="11"/>
            </w:pPr>
            <w:r>
              <w:t>绩效指标描述</w:t>
            </w:r>
          </w:p>
        </w:tc>
        <w:tc>
          <w:tcPr>
            <w:tcW w:w="2268" w:type="dxa"/>
            <w:vAlign w:val="center"/>
          </w:tcPr>
          <w:p w14:paraId="7526F544">
            <w:pPr>
              <w:pStyle w:val="11"/>
            </w:pPr>
            <w:r>
              <w:t>指标值</w:t>
            </w:r>
          </w:p>
        </w:tc>
        <w:tc>
          <w:tcPr>
            <w:tcW w:w="1276" w:type="dxa"/>
            <w:vAlign w:val="center"/>
          </w:tcPr>
          <w:p w14:paraId="76A75B94">
            <w:pPr>
              <w:pStyle w:val="11"/>
            </w:pPr>
            <w:r>
              <w:t>指标值确定依据</w:t>
            </w:r>
          </w:p>
        </w:tc>
      </w:tr>
      <w:tr w14:paraId="571C2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3D1E5535">
            <w:pPr>
              <w:pStyle w:val="12"/>
            </w:pPr>
            <w:r>
              <w:t>产出指标</w:t>
            </w:r>
          </w:p>
        </w:tc>
        <w:tc>
          <w:tcPr>
            <w:tcW w:w="2268" w:type="dxa"/>
            <w:vAlign w:val="center"/>
          </w:tcPr>
          <w:p w14:paraId="09AC7593">
            <w:pPr>
              <w:pStyle w:val="13"/>
            </w:pPr>
            <w:r>
              <w:t>数量指标</w:t>
            </w:r>
          </w:p>
        </w:tc>
        <w:tc>
          <w:tcPr>
            <w:tcW w:w="2835" w:type="dxa"/>
            <w:vAlign w:val="center"/>
          </w:tcPr>
          <w:p w14:paraId="041D31BA">
            <w:pPr>
              <w:pStyle w:val="13"/>
            </w:pPr>
            <w:r>
              <w:t>适龄在校生</w:t>
            </w:r>
          </w:p>
        </w:tc>
        <w:tc>
          <w:tcPr>
            <w:tcW w:w="5386" w:type="dxa"/>
            <w:vAlign w:val="center"/>
          </w:tcPr>
          <w:p w14:paraId="75910D05">
            <w:pPr>
              <w:pStyle w:val="13"/>
            </w:pPr>
            <w:r>
              <w:t>适龄在校就读学生人数</w:t>
            </w:r>
          </w:p>
        </w:tc>
        <w:tc>
          <w:tcPr>
            <w:tcW w:w="2268" w:type="dxa"/>
            <w:vAlign w:val="center"/>
          </w:tcPr>
          <w:p w14:paraId="3696C0F5">
            <w:pPr>
              <w:pStyle w:val="13"/>
            </w:pPr>
            <w:r>
              <w:t>1723人</w:t>
            </w:r>
          </w:p>
        </w:tc>
        <w:tc>
          <w:tcPr>
            <w:tcW w:w="1276" w:type="dxa"/>
            <w:vAlign w:val="center"/>
          </w:tcPr>
          <w:p w14:paraId="424BDD50">
            <w:pPr>
              <w:pStyle w:val="13"/>
            </w:pPr>
            <w:r>
              <w:t>年度工作计划</w:t>
            </w:r>
          </w:p>
        </w:tc>
      </w:tr>
      <w:tr w14:paraId="3428F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AF622"/>
        </w:tc>
        <w:tc>
          <w:tcPr>
            <w:tcW w:w="2268" w:type="dxa"/>
            <w:vAlign w:val="center"/>
          </w:tcPr>
          <w:p w14:paraId="77B69CF7">
            <w:pPr>
              <w:pStyle w:val="13"/>
            </w:pPr>
            <w:r>
              <w:t>质量指标</w:t>
            </w:r>
          </w:p>
        </w:tc>
        <w:tc>
          <w:tcPr>
            <w:tcW w:w="2835" w:type="dxa"/>
            <w:vAlign w:val="center"/>
          </w:tcPr>
          <w:p w14:paraId="5154283C">
            <w:pPr>
              <w:pStyle w:val="13"/>
            </w:pPr>
            <w:r>
              <w:t>按月上缴财政完成率</w:t>
            </w:r>
          </w:p>
        </w:tc>
        <w:tc>
          <w:tcPr>
            <w:tcW w:w="5386" w:type="dxa"/>
            <w:vAlign w:val="center"/>
          </w:tcPr>
          <w:p w14:paraId="0B5BDD91">
            <w:pPr>
              <w:pStyle w:val="13"/>
            </w:pPr>
            <w:r>
              <w:t>按月完成公立幼儿园保育费上缴财政</w:t>
            </w:r>
          </w:p>
        </w:tc>
        <w:tc>
          <w:tcPr>
            <w:tcW w:w="2268" w:type="dxa"/>
            <w:vAlign w:val="center"/>
          </w:tcPr>
          <w:p w14:paraId="7B1DFDB0">
            <w:pPr>
              <w:pStyle w:val="13"/>
            </w:pPr>
            <w:r>
              <w:t>100%</w:t>
            </w:r>
          </w:p>
        </w:tc>
        <w:tc>
          <w:tcPr>
            <w:tcW w:w="1276" w:type="dxa"/>
            <w:vAlign w:val="center"/>
          </w:tcPr>
          <w:p w14:paraId="18622278">
            <w:pPr>
              <w:pStyle w:val="13"/>
            </w:pPr>
            <w:r>
              <w:t>年度工作计划</w:t>
            </w:r>
          </w:p>
        </w:tc>
      </w:tr>
      <w:tr w14:paraId="4C900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EBC2C"/>
        </w:tc>
        <w:tc>
          <w:tcPr>
            <w:tcW w:w="2268" w:type="dxa"/>
            <w:vAlign w:val="center"/>
          </w:tcPr>
          <w:p w14:paraId="2523A695">
            <w:pPr>
              <w:pStyle w:val="13"/>
            </w:pPr>
            <w:r>
              <w:t>时效指标</w:t>
            </w:r>
          </w:p>
        </w:tc>
        <w:tc>
          <w:tcPr>
            <w:tcW w:w="2835" w:type="dxa"/>
            <w:vAlign w:val="center"/>
          </w:tcPr>
          <w:p w14:paraId="114D646F">
            <w:pPr>
              <w:pStyle w:val="13"/>
            </w:pPr>
            <w:r>
              <w:t>资金支付率</w:t>
            </w:r>
          </w:p>
        </w:tc>
        <w:tc>
          <w:tcPr>
            <w:tcW w:w="5386" w:type="dxa"/>
            <w:vAlign w:val="center"/>
          </w:tcPr>
          <w:p w14:paraId="607FF9AE">
            <w:pPr>
              <w:pStyle w:val="13"/>
            </w:pPr>
            <w:r>
              <w:t>按照上缴财政进度完成公立幼儿园保育费支付</w:t>
            </w:r>
          </w:p>
        </w:tc>
        <w:tc>
          <w:tcPr>
            <w:tcW w:w="2268" w:type="dxa"/>
            <w:vAlign w:val="center"/>
          </w:tcPr>
          <w:p w14:paraId="689001F3">
            <w:pPr>
              <w:pStyle w:val="13"/>
            </w:pPr>
            <w:r>
              <w:t>100%</w:t>
            </w:r>
          </w:p>
        </w:tc>
        <w:tc>
          <w:tcPr>
            <w:tcW w:w="1276" w:type="dxa"/>
            <w:vAlign w:val="center"/>
          </w:tcPr>
          <w:p w14:paraId="36EA3898">
            <w:pPr>
              <w:pStyle w:val="13"/>
            </w:pPr>
            <w:r>
              <w:t>年度工作计划</w:t>
            </w:r>
          </w:p>
        </w:tc>
      </w:tr>
      <w:tr w14:paraId="562D0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6F217"/>
        </w:tc>
        <w:tc>
          <w:tcPr>
            <w:tcW w:w="2268" w:type="dxa"/>
            <w:vAlign w:val="center"/>
          </w:tcPr>
          <w:p w14:paraId="686DD56E">
            <w:pPr>
              <w:pStyle w:val="13"/>
            </w:pPr>
            <w:r>
              <w:t>成本指标</w:t>
            </w:r>
          </w:p>
        </w:tc>
        <w:tc>
          <w:tcPr>
            <w:tcW w:w="2835" w:type="dxa"/>
            <w:vAlign w:val="center"/>
          </w:tcPr>
          <w:p w14:paraId="31305DD4">
            <w:pPr>
              <w:pStyle w:val="13"/>
            </w:pPr>
            <w:r>
              <w:t>生均拨款标准拨付率</w:t>
            </w:r>
          </w:p>
        </w:tc>
        <w:tc>
          <w:tcPr>
            <w:tcW w:w="5386" w:type="dxa"/>
            <w:vAlign w:val="center"/>
          </w:tcPr>
          <w:p w14:paraId="23ABC16D">
            <w:pPr>
              <w:pStyle w:val="13"/>
            </w:pPr>
            <w:r>
              <w:t>城市一类园280元/月/生，城市二类园230元/月/生。城市三类200元/月/生，农村一类园150元/月/生，农村二类园130元/月/生，农村三类园100元/月/生</w:t>
            </w:r>
          </w:p>
        </w:tc>
        <w:tc>
          <w:tcPr>
            <w:tcW w:w="2268" w:type="dxa"/>
            <w:vAlign w:val="center"/>
          </w:tcPr>
          <w:p w14:paraId="401AD225">
            <w:pPr>
              <w:pStyle w:val="13"/>
            </w:pPr>
            <w:r>
              <w:t>100%</w:t>
            </w:r>
          </w:p>
        </w:tc>
        <w:tc>
          <w:tcPr>
            <w:tcW w:w="1276" w:type="dxa"/>
            <w:vAlign w:val="center"/>
          </w:tcPr>
          <w:p w14:paraId="679CF154">
            <w:pPr>
              <w:pStyle w:val="13"/>
            </w:pPr>
            <w:r>
              <w:t>年度工作计划</w:t>
            </w:r>
          </w:p>
        </w:tc>
      </w:tr>
      <w:tr w14:paraId="664DC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B3ACD2">
            <w:pPr>
              <w:pStyle w:val="12"/>
            </w:pPr>
            <w:r>
              <w:t>效益指标</w:t>
            </w:r>
          </w:p>
        </w:tc>
        <w:tc>
          <w:tcPr>
            <w:tcW w:w="2268" w:type="dxa"/>
            <w:vAlign w:val="center"/>
          </w:tcPr>
          <w:p w14:paraId="7334F98D">
            <w:pPr>
              <w:pStyle w:val="13"/>
            </w:pPr>
            <w:r>
              <w:t>社会效益指标</w:t>
            </w:r>
          </w:p>
        </w:tc>
        <w:tc>
          <w:tcPr>
            <w:tcW w:w="2835" w:type="dxa"/>
            <w:vAlign w:val="center"/>
          </w:tcPr>
          <w:p w14:paraId="08B56F23">
            <w:pPr>
              <w:pStyle w:val="13"/>
            </w:pPr>
            <w:r>
              <w:t>幼儿园办园能力提升</w:t>
            </w:r>
          </w:p>
        </w:tc>
        <w:tc>
          <w:tcPr>
            <w:tcW w:w="5386" w:type="dxa"/>
            <w:vAlign w:val="center"/>
          </w:tcPr>
          <w:p w14:paraId="15F37B68">
            <w:pPr>
              <w:pStyle w:val="13"/>
            </w:pPr>
            <w:r>
              <w:t>幼儿园办园能力提升情况及教育教学工作等开展的情况</w:t>
            </w:r>
          </w:p>
        </w:tc>
        <w:tc>
          <w:tcPr>
            <w:tcW w:w="2268" w:type="dxa"/>
            <w:vAlign w:val="center"/>
          </w:tcPr>
          <w:p w14:paraId="60613D0B">
            <w:pPr>
              <w:pStyle w:val="13"/>
            </w:pPr>
            <w:r>
              <w:t>100%</w:t>
            </w:r>
          </w:p>
        </w:tc>
        <w:tc>
          <w:tcPr>
            <w:tcW w:w="1276" w:type="dxa"/>
            <w:vAlign w:val="center"/>
          </w:tcPr>
          <w:p w14:paraId="4CD91060">
            <w:pPr>
              <w:pStyle w:val="13"/>
            </w:pPr>
            <w:r>
              <w:t>年度工作计划</w:t>
            </w:r>
          </w:p>
        </w:tc>
      </w:tr>
      <w:tr w14:paraId="6B471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25CABF49">
            <w:pPr>
              <w:pStyle w:val="12"/>
            </w:pPr>
            <w:r>
              <w:t>满意度指标</w:t>
            </w:r>
          </w:p>
        </w:tc>
        <w:tc>
          <w:tcPr>
            <w:tcW w:w="2268" w:type="dxa"/>
            <w:vAlign w:val="center"/>
          </w:tcPr>
          <w:p w14:paraId="3951D2E4">
            <w:pPr>
              <w:pStyle w:val="13"/>
            </w:pPr>
            <w:r>
              <w:t>服务对象满意度指标</w:t>
            </w:r>
          </w:p>
        </w:tc>
        <w:tc>
          <w:tcPr>
            <w:tcW w:w="2835" w:type="dxa"/>
            <w:vAlign w:val="center"/>
          </w:tcPr>
          <w:p w14:paraId="23C40529">
            <w:pPr>
              <w:pStyle w:val="13"/>
            </w:pPr>
            <w:r>
              <w:t>受益学生家长及调查满意度</w:t>
            </w:r>
          </w:p>
        </w:tc>
        <w:tc>
          <w:tcPr>
            <w:tcW w:w="5386" w:type="dxa"/>
            <w:vAlign w:val="center"/>
          </w:tcPr>
          <w:p w14:paraId="0DFA42D1">
            <w:pPr>
              <w:pStyle w:val="13"/>
            </w:pPr>
            <w:r>
              <w:t>幼儿、教师及家长对学校保教保育工作满意度情况</w:t>
            </w:r>
          </w:p>
        </w:tc>
        <w:tc>
          <w:tcPr>
            <w:tcW w:w="2268" w:type="dxa"/>
            <w:vAlign w:val="center"/>
          </w:tcPr>
          <w:p w14:paraId="5FECB4E0">
            <w:pPr>
              <w:pStyle w:val="13"/>
            </w:pPr>
            <w:r>
              <w:t>≥95%</w:t>
            </w:r>
          </w:p>
        </w:tc>
        <w:tc>
          <w:tcPr>
            <w:tcW w:w="1276" w:type="dxa"/>
            <w:vAlign w:val="center"/>
          </w:tcPr>
          <w:p w14:paraId="0225C07B">
            <w:pPr>
              <w:pStyle w:val="13"/>
            </w:pPr>
            <w:r>
              <w:t>年度工作计划</w:t>
            </w:r>
          </w:p>
        </w:tc>
      </w:tr>
    </w:tbl>
    <w:p w14:paraId="0DB76B3A">
      <w:pPr>
        <w:sectPr>
          <w:pgSz w:w="16840" w:h="11900" w:orient="landscape"/>
          <w:pgMar w:top="1361" w:right="1020" w:bottom="1134" w:left="1020" w:header="720" w:footer="720" w:gutter="0"/>
          <w:cols w:space="720" w:num="1"/>
        </w:sectPr>
      </w:pPr>
    </w:p>
    <w:p w14:paraId="772DA91E">
      <w:pPr>
        <w:spacing w:before="10" w:after="10" w:line="240" w:lineRule="auto"/>
        <w:ind w:firstLine="640"/>
        <w:jc w:val="left"/>
        <w:outlineLvl w:val="5"/>
      </w:pPr>
      <w:r>
        <w:rPr>
          <w:rFonts w:ascii="黑体" w:hAnsi="黑体" w:eastAsia="黑体" w:cs="黑体"/>
          <w:color w:val="000000"/>
          <w:sz w:val="32"/>
        </w:rPr>
        <w:t>六、政府采购预算情况</w:t>
      </w:r>
    </w:p>
    <w:p w14:paraId="551048C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FBBC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1E35815">
            <w:pPr>
              <w:pStyle w:val="8"/>
            </w:pPr>
            <w:r>
              <w:t>360016隆尧县城关校区</w:t>
            </w:r>
          </w:p>
        </w:tc>
        <w:tc>
          <w:tcPr>
            <w:tcW w:w="7712" w:type="dxa"/>
            <w:gridSpan w:val="8"/>
            <w:tcBorders>
              <w:top w:val="single" w:color="FFFFFF" w:sz="6" w:space="0"/>
              <w:left w:val="single" w:color="FFFFFF" w:sz="6" w:space="0"/>
              <w:right w:val="single" w:color="FFFFFF" w:sz="6" w:space="0"/>
            </w:tcBorders>
            <w:vAlign w:val="center"/>
          </w:tcPr>
          <w:p w14:paraId="29754A37">
            <w:pPr>
              <w:pStyle w:val="22"/>
            </w:pPr>
            <w:r>
              <w:t>单位：万元</w:t>
            </w:r>
          </w:p>
        </w:tc>
      </w:tr>
      <w:tr w14:paraId="1BBC7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E89D981">
            <w:pPr>
              <w:pStyle w:val="11"/>
            </w:pPr>
            <w:r>
              <w:t>政府采购项目来源</w:t>
            </w:r>
          </w:p>
        </w:tc>
        <w:tc>
          <w:tcPr>
            <w:tcW w:w="1134" w:type="dxa"/>
            <w:vMerge w:val="restart"/>
            <w:vAlign w:val="center"/>
          </w:tcPr>
          <w:p w14:paraId="1705D5A3">
            <w:pPr>
              <w:pStyle w:val="11"/>
            </w:pPr>
            <w:r>
              <w:t>采购物品名称</w:t>
            </w:r>
          </w:p>
        </w:tc>
        <w:tc>
          <w:tcPr>
            <w:tcW w:w="1134" w:type="dxa"/>
            <w:vMerge w:val="restart"/>
            <w:vAlign w:val="center"/>
          </w:tcPr>
          <w:p w14:paraId="3BEA353D">
            <w:pPr>
              <w:pStyle w:val="11"/>
            </w:pPr>
            <w:r>
              <w:t>政府采购目录序号</w:t>
            </w:r>
          </w:p>
        </w:tc>
        <w:tc>
          <w:tcPr>
            <w:tcW w:w="709" w:type="dxa"/>
            <w:vMerge w:val="restart"/>
            <w:vAlign w:val="center"/>
          </w:tcPr>
          <w:p w14:paraId="7CC498B9">
            <w:pPr>
              <w:pStyle w:val="11"/>
            </w:pPr>
            <w:r>
              <w:t>计量  单位</w:t>
            </w:r>
          </w:p>
        </w:tc>
        <w:tc>
          <w:tcPr>
            <w:tcW w:w="850" w:type="dxa"/>
            <w:vMerge w:val="restart"/>
            <w:vAlign w:val="center"/>
          </w:tcPr>
          <w:p w14:paraId="40A547A2">
            <w:pPr>
              <w:pStyle w:val="11"/>
            </w:pPr>
            <w:r>
              <w:t>数量</w:t>
            </w:r>
          </w:p>
        </w:tc>
        <w:tc>
          <w:tcPr>
            <w:tcW w:w="850" w:type="dxa"/>
            <w:vMerge w:val="restart"/>
            <w:vAlign w:val="center"/>
          </w:tcPr>
          <w:p w14:paraId="275F8618">
            <w:pPr>
              <w:pStyle w:val="11"/>
            </w:pPr>
            <w:r>
              <w:t>单价</w:t>
            </w:r>
          </w:p>
        </w:tc>
        <w:tc>
          <w:tcPr>
            <w:tcW w:w="6748" w:type="dxa"/>
            <w:gridSpan w:val="7"/>
            <w:vAlign w:val="center"/>
          </w:tcPr>
          <w:p w14:paraId="7C6904ED">
            <w:pPr>
              <w:pStyle w:val="11"/>
            </w:pPr>
            <w:r>
              <w:t>政府采购金额（当年部门预算安排资金）</w:t>
            </w:r>
          </w:p>
        </w:tc>
        <w:tc>
          <w:tcPr>
            <w:tcW w:w="964" w:type="dxa"/>
            <w:vMerge w:val="restart"/>
            <w:vAlign w:val="center"/>
          </w:tcPr>
          <w:p w14:paraId="2137B647">
            <w:pPr>
              <w:pStyle w:val="11"/>
            </w:pPr>
            <w:r>
              <w:t>2025年  预留中  小微企  业份额</w:t>
            </w:r>
          </w:p>
        </w:tc>
      </w:tr>
      <w:tr w14:paraId="1CD80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BE127F4">
            <w:pPr>
              <w:pStyle w:val="11"/>
            </w:pPr>
            <w:r>
              <w:t>项目名称</w:t>
            </w:r>
          </w:p>
        </w:tc>
        <w:tc>
          <w:tcPr>
            <w:tcW w:w="964" w:type="dxa"/>
            <w:vAlign w:val="center"/>
          </w:tcPr>
          <w:p w14:paraId="20E9815C">
            <w:pPr>
              <w:pStyle w:val="11"/>
            </w:pPr>
            <w:r>
              <w:t>预算    资金</w:t>
            </w:r>
          </w:p>
        </w:tc>
        <w:tc>
          <w:tcPr>
            <w:tcW w:w="1134" w:type="dxa"/>
            <w:vMerge w:val="continue"/>
          </w:tcPr>
          <w:p w14:paraId="7016E573"/>
        </w:tc>
        <w:tc>
          <w:tcPr>
            <w:tcW w:w="1134" w:type="dxa"/>
            <w:vMerge w:val="continue"/>
          </w:tcPr>
          <w:p w14:paraId="49979AE6"/>
        </w:tc>
        <w:tc>
          <w:tcPr>
            <w:tcW w:w="709" w:type="dxa"/>
            <w:vMerge w:val="continue"/>
          </w:tcPr>
          <w:p w14:paraId="063688C7"/>
        </w:tc>
        <w:tc>
          <w:tcPr>
            <w:tcW w:w="850" w:type="dxa"/>
            <w:vMerge w:val="continue"/>
          </w:tcPr>
          <w:p w14:paraId="2ADE1C6D"/>
        </w:tc>
        <w:tc>
          <w:tcPr>
            <w:tcW w:w="850" w:type="dxa"/>
            <w:vMerge w:val="continue"/>
          </w:tcPr>
          <w:p w14:paraId="40BBD5BA"/>
        </w:tc>
        <w:tc>
          <w:tcPr>
            <w:tcW w:w="964" w:type="dxa"/>
            <w:vAlign w:val="center"/>
          </w:tcPr>
          <w:p w14:paraId="5AC3FC67">
            <w:pPr>
              <w:pStyle w:val="11"/>
            </w:pPr>
            <w:r>
              <w:t>合计</w:t>
            </w:r>
          </w:p>
        </w:tc>
        <w:tc>
          <w:tcPr>
            <w:tcW w:w="964" w:type="dxa"/>
            <w:vAlign w:val="center"/>
          </w:tcPr>
          <w:p w14:paraId="1D6F8551">
            <w:pPr>
              <w:pStyle w:val="11"/>
            </w:pPr>
            <w:r>
              <w:t>一般公共预算拨款</w:t>
            </w:r>
          </w:p>
        </w:tc>
        <w:tc>
          <w:tcPr>
            <w:tcW w:w="964" w:type="dxa"/>
            <w:vAlign w:val="center"/>
          </w:tcPr>
          <w:p w14:paraId="02516115">
            <w:pPr>
              <w:pStyle w:val="11"/>
            </w:pPr>
            <w:r>
              <w:t>基金预算拨款</w:t>
            </w:r>
          </w:p>
        </w:tc>
        <w:tc>
          <w:tcPr>
            <w:tcW w:w="964" w:type="dxa"/>
            <w:vAlign w:val="center"/>
          </w:tcPr>
          <w:p w14:paraId="0B8B1304">
            <w:pPr>
              <w:pStyle w:val="11"/>
            </w:pPr>
            <w:r>
              <w:t>国有资本经营预算拨款</w:t>
            </w:r>
          </w:p>
        </w:tc>
        <w:tc>
          <w:tcPr>
            <w:tcW w:w="964" w:type="dxa"/>
            <w:vAlign w:val="center"/>
          </w:tcPr>
          <w:p w14:paraId="15A629AC">
            <w:pPr>
              <w:pStyle w:val="11"/>
            </w:pPr>
            <w:r>
              <w:t>财政专户核拨</w:t>
            </w:r>
          </w:p>
        </w:tc>
        <w:tc>
          <w:tcPr>
            <w:tcW w:w="964" w:type="dxa"/>
            <w:vAlign w:val="center"/>
          </w:tcPr>
          <w:p w14:paraId="061F396C">
            <w:pPr>
              <w:pStyle w:val="11"/>
            </w:pPr>
            <w:r>
              <w:t>单位    资金</w:t>
            </w:r>
          </w:p>
        </w:tc>
        <w:tc>
          <w:tcPr>
            <w:tcW w:w="964" w:type="dxa"/>
            <w:vAlign w:val="center"/>
          </w:tcPr>
          <w:p w14:paraId="1F76A5B3">
            <w:pPr>
              <w:pStyle w:val="11"/>
            </w:pPr>
            <w:r>
              <w:t>上年结转结余</w:t>
            </w:r>
          </w:p>
        </w:tc>
        <w:tc>
          <w:tcPr>
            <w:tcW w:w="964" w:type="dxa"/>
            <w:vMerge w:val="continue"/>
          </w:tcPr>
          <w:p w14:paraId="05EC77EA"/>
        </w:tc>
      </w:tr>
      <w:tr w14:paraId="0A4A3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353960">
            <w:pPr>
              <w:pStyle w:val="15"/>
            </w:pPr>
            <w:r>
              <w:t>合  计</w:t>
            </w:r>
          </w:p>
        </w:tc>
        <w:tc>
          <w:tcPr>
            <w:tcW w:w="964" w:type="dxa"/>
            <w:vAlign w:val="center"/>
          </w:tcPr>
          <w:p w14:paraId="6B844350">
            <w:pPr>
              <w:pStyle w:val="16"/>
            </w:pPr>
          </w:p>
        </w:tc>
        <w:tc>
          <w:tcPr>
            <w:tcW w:w="1134" w:type="dxa"/>
            <w:vAlign w:val="center"/>
          </w:tcPr>
          <w:p w14:paraId="103C76D1">
            <w:pPr>
              <w:pStyle w:val="17"/>
            </w:pPr>
          </w:p>
        </w:tc>
        <w:tc>
          <w:tcPr>
            <w:tcW w:w="1134" w:type="dxa"/>
            <w:vAlign w:val="center"/>
          </w:tcPr>
          <w:p w14:paraId="2A86ABC6">
            <w:pPr>
              <w:pStyle w:val="17"/>
            </w:pPr>
          </w:p>
        </w:tc>
        <w:tc>
          <w:tcPr>
            <w:tcW w:w="709" w:type="dxa"/>
            <w:vAlign w:val="center"/>
          </w:tcPr>
          <w:p w14:paraId="38A5E1EA">
            <w:pPr>
              <w:pStyle w:val="15"/>
            </w:pPr>
          </w:p>
        </w:tc>
        <w:tc>
          <w:tcPr>
            <w:tcW w:w="850" w:type="dxa"/>
            <w:vAlign w:val="center"/>
          </w:tcPr>
          <w:p w14:paraId="21F2D7EF">
            <w:pPr>
              <w:pStyle w:val="16"/>
            </w:pPr>
          </w:p>
        </w:tc>
        <w:tc>
          <w:tcPr>
            <w:tcW w:w="850" w:type="dxa"/>
            <w:vAlign w:val="center"/>
          </w:tcPr>
          <w:p w14:paraId="3A891B6B">
            <w:pPr>
              <w:pStyle w:val="16"/>
            </w:pPr>
          </w:p>
        </w:tc>
        <w:tc>
          <w:tcPr>
            <w:tcW w:w="964" w:type="dxa"/>
            <w:vAlign w:val="center"/>
          </w:tcPr>
          <w:p w14:paraId="5DB811C1">
            <w:pPr>
              <w:pStyle w:val="16"/>
            </w:pPr>
            <w:r>
              <w:t>15.34</w:t>
            </w:r>
          </w:p>
        </w:tc>
        <w:tc>
          <w:tcPr>
            <w:tcW w:w="964" w:type="dxa"/>
            <w:vAlign w:val="center"/>
          </w:tcPr>
          <w:p w14:paraId="67363F0E">
            <w:pPr>
              <w:pStyle w:val="16"/>
            </w:pPr>
            <w:r>
              <w:t>15.34</w:t>
            </w:r>
          </w:p>
        </w:tc>
        <w:tc>
          <w:tcPr>
            <w:tcW w:w="964" w:type="dxa"/>
            <w:vAlign w:val="center"/>
          </w:tcPr>
          <w:p w14:paraId="164653FE">
            <w:pPr>
              <w:pStyle w:val="16"/>
            </w:pPr>
          </w:p>
        </w:tc>
        <w:tc>
          <w:tcPr>
            <w:tcW w:w="964" w:type="dxa"/>
            <w:vAlign w:val="center"/>
          </w:tcPr>
          <w:p w14:paraId="59E49782">
            <w:pPr>
              <w:pStyle w:val="16"/>
            </w:pPr>
          </w:p>
        </w:tc>
        <w:tc>
          <w:tcPr>
            <w:tcW w:w="964" w:type="dxa"/>
            <w:vAlign w:val="center"/>
          </w:tcPr>
          <w:p w14:paraId="2E9A16FF">
            <w:pPr>
              <w:pStyle w:val="16"/>
            </w:pPr>
          </w:p>
        </w:tc>
        <w:tc>
          <w:tcPr>
            <w:tcW w:w="964" w:type="dxa"/>
            <w:vAlign w:val="center"/>
          </w:tcPr>
          <w:p w14:paraId="2D46BF9C">
            <w:pPr>
              <w:pStyle w:val="16"/>
            </w:pPr>
          </w:p>
        </w:tc>
        <w:tc>
          <w:tcPr>
            <w:tcW w:w="964" w:type="dxa"/>
            <w:vAlign w:val="center"/>
          </w:tcPr>
          <w:p w14:paraId="6F98D69D">
            <w:pPr>
              <w:pStyle w:val="16"/>
            </w:pPr>
          </w:p>
        </w:tc>
        <w:tc>
          <w:tcPr>
            <w:tcW w:w="964" w:type="dxa"/>
            <w:vAlign w:val="center"/>
          </w:tcPr>
          <w:p w14:paraId="3C4EDF59">
            <w:pPr>
              <w:pStyle w:val="16"/>
            </w:pPr>
            <w:r>
              <w:t>15.34</w:t>
            </w:r>
          </w:p>
        </w:tc>
      </w:tr>
      <w:tr w14:paraId="12AFE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EACDD8">
            <w:pPr>
              <w:pStyle w:val="15"/>
            </w:pPr>
            <w:r>
              <w:t>隆尧县城关校区小计</w:t>
            </w:r>
          </w:p>
        </w:tc>
        <w:tc>
          <w:tcPr>
            <w:tcW w:w="964" w:type="dxa"/>
            <w:vAlign w:val="center"/>
          </w:tcPr>
          <w:p w14:paraId="790E7A05">
            <w:pPr>
              <w:pStyle w:val="16"/>
            </w:pPr>
          </w:p>
        </w:tc>
        <w:tc>
          <w:tcPr>
            <w:tcW w:w="1134" w:type="dxa"/>
            <w:vAlign w:val="center"/>
          </w:tcPr>
          <w:p w14:paraId="05A329E2">
            <w:pPr>
              <w:pStyle w:val="17"/>
            </w:pPr>
          </w:p>
        </w:tc>
        <w:tc>
          <w:tcPr>
            <w:tcW w:w="1134" w:type="dxa"/>
            <w:vAlign w:val="center"/>
          </w:tcPr>
          <w:p w14:paraId="0289A645">
            <w:pPr>
              <w:pStyle w:val="17"/>
            </w:pPr>
          </w:p>
        </w:tc>
        <w:tc>
          <w:tcPr>
            <w:tcW w:w="709" w:type="dxa"/>
            <w:vAlign w:val="center"/>
          </w:tcPr>
          <w:p w14:paraId="0FD19149">
            <w:pPr>
              <w:pStyle w:val="15"/>
            </w:pPr>
          </w:p>
        </w:tc>
        <w:tc>
          <w:tcPr>
            <w:tcW w:w="850" w:type="dxa"/>
            <w:vAlign w:val="center"/>
          </w:tcPr>
          <w:p w14:paraId="7253EC73">
            <w:pPr>
              <w:pStyle w:val="16"/>
            </w:pPr>
          </w:p>
        </w:tc>
        <w:tc>
          <w:tcPr>
            <w:tcW w:w="850" w:type="dxa"/>
            <w:vAlign w:val="center"/>
          </w:tcPr>
          <w:p w14:paraId="520A4AC4">
            <w:pPr>
              <w:pStyle w:val="16"/>
            </w:pPr>
          </w:p>
        </w:tc>
        <w:tc>
          <w:tcPr>
            <w:tcW w:w="964" w:type="dxa"/>
            <w:vAlign w:val="center"/>
          </w:tcPr>
          <w:p w14:paraId="521BA4BD">
            <w:pPr>
              <w:pStyle w:val="16"/>
            </w:pPr>
            <w:r>
              <w:t>15.34</w:t>
            </w:r>
          </w:p>
        </w:tc>
        <w:tc>
          <w:tcPr>
            <w:tcW w:w="964" w:type="dxa"/>
            <w:vAlign w:val="center"/>
          </w:tcPr>
          <w:p w14:paraId="3CD45863">
            <w:pPr>
              <w:pStyle w:val="16"/>
            </w:pPr>
            <w:r>
              <w:t>15.34</w:t>
            </w:r>
          </w:p>
        </w:tc>
        <w:tc>
          <w:tcPr>
            <w:tcW w:w="964" w:type="dxa"/>
            <w:vAlign w:val="center"/>
          </w:tcPr>
          <w:p w14:paraId="6926869F">
            <w:pPr>
              <w:pStyle w:val="16"/>
            </w:pPr>
          </w:p>
        </w:tc>
        <w:tc>
          <w:tcPr>
            <w:tcW w:w="964" w:type="dxa"/>
            <w:vAlign w:val="center"/>
          </w:tcPr>
          <w:p w14:paraId="04872500">
            <w:pPr>
              <w:pStyle w:val="16"/>
            </w:pPr>
          </w:p>
        </w:tc>
        <w:tc>
          <w:tcPr>
            <w:tcW w:w="964" w:type="dxa"/>
            <w:vAlign w:val="center"/>
          </w:tcPr>
          <w:p w14:paraId="1C793669">
            <w:pPr>
              <w:pStyle w:val="16"/>
            </w:pPr>
          </w:p>
        </w:tc>
        <w:tc>
          <w:tcPr>
            <w:tcW w:w="964" w:type="dxa"/>
            <w:vAlign w:val="center"/>
          </w:tcPr>
          <w:p w14:paraId="7B2F5670">
            <w:pPr>
              <w:pStyle w:val="16"/>
            </w:pPr>
          </w:p>
        </w:tc>
        <w:tc>
          <w:tcPr>
            <w:tcW w:w="964" w:type="dxa"/>
            <w:vAlign w:val="center"/>
          </w:tcPr>
          <w:p w14:paraId="371776DC">
            <w:pPr>
              <w:pStyle w:val="16"/>
            </w:pPr>
          </w:p>
        </w:tc>
        <w:tc>
          <w:tcPr>
            <w:tcW w:w="964" w:type="dxa"/>
            <w:vAlign w:val="center"/>
          </w:tcPr>
          <w:p w14:paraId="599FDE8A">
            <w:pPr>
              <w:pStyle w:val="16"/>
            </w:pPr>
            <w:r>
              <w:t>15.34</w:t>
            </w:r>
          </w:p>
        </w:tc>
      </w:tr>
      <w:tr w14:paraId="3809D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C85817">
            <w:pPr>
              <w:pStyle w:val="13"/>
            </w:pPr>
            <w:r>
              <w:t>冀财教[2024]141号/省级/2025年义教补助经费/东甫小学公用经费</w:t>
            </w:r>
          </w:p>
        </w:tc>
        <w:tc>
          <w:tcPr>
            <w:tcW w:w="964" w:type="dxa"/>
            <w:vAlign w:val="center"/>
          </w:tcPr>
          <w:p w14:paraId="19F6FAC1">
            <w:pPr>
              <w:pStyle w:val="14"/>
            </w:pPr>
            <w:r>
              <w:t>17.85</w:t>
            </w:r>
          </w:p>
        </w:tc>
        <w:tc>
          <w:tcPr>
            <w:tcW w:w="1134" w:type="dxa"/>
            <w:vAlign w:val="center"/>
          </w:tcPr>
          <w:p w14:paraId="56E801EE">
            <w:pPr>
              <w:pStyle w:val="13"/>
            </w:pPr>
            <w:r>
              <w:t>LED 显示屏</w:t>
            </w:r>
          </w:p>
        </w:tc>
        <w:tc>
          <w:tcPr>
            <w:tcW w:w="1134" w:type="dxa"/>
            <w:vAlign w:val="center"/>
          </w:tcPr>
          <w:p w14:paraId="00748198">
            <w:pPr>
              <w:pStyle w:val="13"/>
            </w:pPr>
            <w:r>
              <w:t>A02021103</w:t>
            </w:r>
          </w:p>
        </w:tc>
        <w:tc>
          <w:tcPr>
            <w:tcW w:w="709" w:type="dxa"/>
            <w:vAlign w:val="center"/>
          </w:tcPr>
          <w:p w14:paraId="49EBE536">
            <w:pPr>
              <w:pStyle w:val="12"/>
            </w:pPr>
            <w:r>
              <w:t>平方米</w:t>
            </w:r>
          </w:p>
        </w:tc>
        <w:tc>
          <w:tcPr>
            <w:tcW w:w="850" w:type="dxa"/>
            <w:vAlign w:val="center"/>
          </w:tcPr>
          <w:p w14:paraId="7D82B864">
            <w:pPr>
              <w:pStyle w:val="14"/>
            </w:pPr>
            <w:r>
              <w:t>6</w:t>
            </w:r>
          </w:p>
        </w:tc>
        <w:tc>
          <w:tcPr>
            <w:tcW w:w="850" w:type="dxa"/>
            <w:vAlign w:val="center"/>
          </w:tcPr>
          <w:p w14:paraId="350A1455">
            <w:pPr>
              <w:pStyle w:val="14"/>
            </w:pPr>
            <w:r>
              <w:t>0.50</w:t>
            </w:r>
          </w:p>
        </w:tc>
        <w:tc>
          <w:tcPr>
            <w:tcW w:w="964" w:type="dxa"/>
            <w:vAlign w:val="center"/>
          </w:tcPr>
          <w:p w14:paraId="5F0DD889">
            <w:pPr>
              <w:pStyle w:val="14"/>
            </w:pPr>
            <w:r>
              <w:t>3.00</w:t>
            </w:r>
          </w:p>
        </w:tc>
        <w:tc>
          <w:tcPr>
            <w:tcW w:w="964" w:type="dxa"/>
            <w:vAlign w:val="center"/>
          </w:tcPr>
          <w:p w14:paraId="42BF23BB">
            <w:pPr>
              <w:pStyle w:val="14"/>
            </w:pPr>
            <w:r>
              <w:t>3.00</w:t>
            </w:r>
          </w:p>
        </w:tc>
        <w:tc>
          <w:tcPr>
            <w:tcW w:w="964" w:type="dxa"/>
            <w:vAlign w:val="center"/>
          </w:tcPr>
          <w:p w14:paraId="527D66AE">
            <w:pPr>
              <w:pStyle w:val="14"/>
            </w:pPr>
          </w:p>
        </w:tc>
        <w:tc>
          <w:tcPr>
            <w:tcW w:w="964" w:type="dxa"/>
            <w:vAlign w:val="center"/>
          </w:tcPr>
          <w:p w14:paraId="0EE33D5C">
            <w:pPr>
              <w:pStyle w:val="14"/>
            </w:pPr>
          </w:p>
        </w:tc>
        <w:tc>
          <w:tcPr>
            <w:tcW w:w="964" w:type="dxa"/>
            <w:vAlign w:val="center"/>
          </w:tcPr>
          <w:p w14:paraId="01AAB399">
            <w:pPr>
              <w:pStyle w:val="14"/>
            </w:pPr>
          </w:p>
        </w:tc>
        <w:tc>
          <w:tcPr>
            <w:tcW w:w="964" w:type="dxa"/>
            <w:vAlign w:val="center"/>
          </w:tcPr>
          <w:p w14:paraId="7CF20E36">
            <w:pPr>
              <w:pStyle w:val="14"/>
            </w:pPr>
          </w:p>
        </w:tc>
        <w:tc>
          <w:tcPr>
            <w:tcW w:w="964" w:type="dxa"/>
            <w:vAlign w:val="center"/>
          </w:tcPr>
          <w:p w14:paraId="5059BB5C">
            <w:pPr>
              <w:pStyle w:val="14"/>
            </w:pPr>
          </w:p>
        </w:tc>
        <w:tc>
          <w:tcPr>
            <w:tcW w:w="964" w:type="dxa"/>
            <w:vAlign w:val="center"/>
          </w:tcPr>
          <w:p w14:paraId="6EF657D3">
            <w:pPr>
              <w:pStyle w:val="14"/>
            </w:pPr>
            <w:r>
              <w:t>3.00</w:t>
            </w:r>
          </w:p>
        </w:tc>
      </w:tr>
      <w:tr w14:paraId="39AD5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C34830">
            <w:pPr>
              <w:pStyle w:val="13"/>
            </w:pPr>
            <w:r>
              <w:t>冀财教[2024]141号/省级/2025年义教补助经费/东甫小学公用经费</w:t>
            </w:r>
          </w:p>
        </w:tc>
        <w:tc>
          <w:tcPr>
            <w:tcW w:w="964" w:type="dxa"/>
            <w:vAlign w:val="center"/>
          </w:tcPr>
          <w:p w14:paraId="25F5B7C1">
            <w:pPr>
              <w:pStyle w:val="14"/>
            </w:pPr>
            <w:r>
              <w:t>17.85</w:t>
            </w:r>
          </w:p>
        </w:tc>
        <w:tc>
          <w:tcPr>
            <w:tcW w:w="1134" w:type="dxa"/>
            <w:vAlign w:val="center"/>
          </w:tcPr>
          <w:p w14:paraId="05DAFA6B">
            <w:pPr>
              <w:pStyle w:val="13"/>
            </w:pPr>
            <w:r>
              <w:t>会议桌</w:t>
            </w:r>
          </w:p>
        </w:tc>
        <w:tc>
          <w:tcPr>
            <w:tcW w:w="1134" w:type="dxa"/>
            <w:vAlign w:val="center"/>
          </w:tcPr>
          <w:p w14:paraId="1A395F93">
            <w:pPr>
              <w:pStyle w:val="13"/>
            </w:pPr>
            <w:r>
              <w:t>A05010202</w:t>
            </w:r>
          </w:p>
        </w:tc>
        <w:tc>
          <w:tcPr>
            <w:tcW w:w="709" w:type="dxa"/>
            <w:vAlign w:val="center"/>
          </w:tcPr>
          <w:p w14:paraId="78B27302">
            <w:pPr>
              <w:pStyle w:val="12"/>
            </w:pPr>
            <w:r>
              <w:t>张</w:t>
            </w:r>
          </w:p>
        </w:tc>
        <w:tc>
          <w:tcPr>
            <w:tcW w:w="850" w:type="dxa"/>
            <w:vAlign w:val="center"/>
          </w:tcPr>
          <w:p w14:paraId="0E5CCAB8">
            <w:pPr>
              <w:pStyle w:val="14"/>
            </w:pPr>
            <w:r>
              <w:t>20</w:t>
            </w:r>
          </w:p>
        </w:tc>
        <w:tc>
          <w:tcPr>
            <w:tcW w:w="850" w:type="dxa"/>
            <w:vAlign w:val="center"/>
          </w:tcPr>
          <w:p w14:paraId="423B49B4">
            <w:pPr>
              <w:pStyle w:val="14"/>
            </w:pPr>
            <w:r>
              <w:t>0.06</w:t>
            </w:r>
          </w:p>
        </w:tc>
        <w:tc>
          <w:tcPr>
            <w:tcW w:w="964" w:type="dxa"/>
            <w:vAlign w:val="center"/>
          </w:tcPr>
          <w:p w14:paraId="7FF8DA28">
            <w:pPr>
              <w:pStyle w:val="14"/>
            </w:pPr>
            <w:r>
              <w:t>1.20</w:t>
            </w:r>
          </w:p>
        </w:tc>
        <w:tc>
          <w:tcPr>
            <w:tcW w:w="964" w:type="dxa"/>
            <w:vAlign w:val="center"/>
          </w:tcPr>
          <w:p w14:paraId="60358771">
            <w:pPr>
              <w:pStyle w:val="14"/>
            </w:pPr>
            <w:r>
              <w:t>1.20</w:t>
            </w:r>
          </w:p>
        </w:tc>
        <w:tc>
          <w:tcPr>
            <w:tcW w:w="964" w:type="dxa"/>
            <w:vAlign w:val="center"/>
          </w:tcPr>
          <w:p w14:paraId="1EDA4287">
            <w:pPr>
              <w:pStyle w:val="14"/>
            </w:pPr>
          </w:p>
        </w:tc>
        <w:tc>
          <w:tcPr>
            <w:tcW w:w="964" w:type="dxa"/>
            <w:vAlign w:val="center"/>
          </w:tcPr>
          <w:p w14:paraId="4A705B58">
            <w:pPr>
              <w:pStyle w:val="14"/>
            </w:pPr>
          </w:p>
        </w:tc>
        <w:tc>
          <w:tcPr>
            <w:tcW w:w="964" w:type="dxa"/>
            <w:vAlign w:val="center"/>
          </w:tcPr>
          <w:p w14:paraId="49D04F83">
            <w:pPr>
              <w:pStyle w:val="14"/>
            </w:pPr>
          </w:p>
        </w:tc>
        <w:tc>
          <w:tcPr>
            <w:tcW w:w="964" w:type="dxa"/>
            <w:vAlign w:val="center"/>
          </w:tcPr>
          <w:p w14:paraId="22567009">
            <w:pPr>
              <w:pStyle w:val="14"/>
            </w:pPr>
          </w:p>
        </w:tc>
        <w:tc>
          <w:tcPr>
            <w:tcW w:w="964" w:type="dxa"/>
            <w:vAlign w:val="center"/>
          </w:tcPr>
          <w:p w14:paraId="3C31F18E">
            <w:pPr>
              <w:pStyle w:val="14"/>
            </w:pPr>
          </w:p>
        </w:tc>
        <w:tc>
          <w:tcPr>
            <w:tcW w:w="964" w:type="dxa"/>
            <w:vAlign w:val="center"/>
          </w:tcPr>
          <w:p w14:paraId="7753A97E">
            <w:pPr>
              <w:pStyle w:val="14"/>
            </w:pPr>
            <w:r>
              <w:t>1.20</w:t>
            </w:r>
          </w:p>
        </w:tc>
      </w:tr>
      <w:tr w14:paraId="34FDF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5D51BA">
            <w:pPr>
              <w:pStyle w:val="13"/>
            </w:pPr>
            <w:r>
              <w:t>冀财教[2024]141号/省级/2025年义教补助经费/东甫小学公用经费</w:t>
            </w:r>
          </w:p>
        </w:tc>
        <w:tc>
          <w:tcPr>
            <w:tcW w:w="964" w:type="dxa"/>
            <w:vAlign w:val="center"/>
          </w:tcPr>
          <w:p w14:paraId="26A2DBDE">
            <w:pPr>
              <w:pStyle w:val="14"/>
            </w:pPr>
            <w:r>
              <w:t>17.85</w:t>
            </w:r>
          </w:p>
        </w:tc>
        <w:tc>
          <w:tcPr>
            <w:tcW w:w="1134" w:type="dxa"/>
            <w:vAlign w:val="center"/>
          </w:tcPr>
          <w:p w14:paraId="614BF5C8">
            <w:pPr>
              <w:pStyle w:val="13"/>
            </w:pPr>
            <w:r>
              <w:t>会议椅</w:t>
            </w:r>
          </w:p>
        </w:tc>
        <w:tc>
          <w:tcPr>
            <w:tcW w:w="1134" w:type="dxa"/>
            <w:vAlign w:val="center"/>
          </w:tcPr>
          <w:p w14:paraId="6A2F89AB">
            <w:pPr>
              <w:pStyle w:val="13"/>
            </w:pPr>
            <w:r>
              <w:t>A05010303</w:t>
            </w:r>
          </w:p>
        </w:tc>
        <w:tc>
          <w:tcPr>
            <w:tcW w:w="709" w:type="dxa"/>
            <w:vAlign w:val="center"/>
          </w:tcPr>
          <w:p w14:paraId="78891279">
            <w:pPr>
              <w:pStyle w:val="12"/>
            </w:pPr>
            <w:r>
              <w:t>把</w:t>
            </w:r>
          </w:p>
        </w:tc>
        <w:tc>
          <w:tcPr>
            <w:tcW w:w="850" w:type="dxa"/>
            <w:vAlign w:val="center"/>
          </w:tcPr>
          <w:p w14:paraId="59D6C254">
            <w:pPr>
              <w:pStyle w:val="14"/>
            </w:pPr>
            <w:r>
              <w:t>40</w:t>
            </w:r>
          </w:p>
        </w:tc>
        <w:tc>
          <w:tcPr>
            <w:tcW w:w="850" w:type="dxa"/>
            <w:vAlign w:val="center"/>
          </w:tcPr>
          <w:p w14:paraId="22C8E4E6">
            <w:pPr>
              <w:pStyle w:val="14"/>
            </w:pPr>
            <w:r>
              <w:t>0.02</w:t>
            </w:r>
          </w:p>
        </w:tc>
        <w:tc>
          <w:tcPr>
            <w:tcW w:w="964" w:type="dxa"/>
            <w:vAlign w:val="center"/>
          </w:tcPr>
          <w:p w14:paraId="31DB7C96">
            <w:pPr>
              <w:pStyle w:val="14"/>
            </w:pPr>
            <w:r>
              <w:t>0.80</w:t>
            </w:r>
          </w:p>
        </w:tc>
        <w:tc>
          <w:tcPr>
            <w:tcW w:w="964" w:type="dxa"/>
            <w:vAlign w:val="center"/>
          </w:tcPr>
          <w:p w14:paraId="7916179A">
            <w:pPr>
              <w:pStyle w:val="14"/>
            </w:pPr>
            <w:r>
              <w:t>0.80</w:t>
            </w:r>
          </w:p>
        </w:tc>
        <w:tc>
          <w:tcPr>
            <w:tcW w:w="964" w:type="dxa"/>
            <w:vAlign w:val="center"/>
          </w:tcPr>
          <w:p w14:paraId="256288E1">
            <w:pPr>
              <w:pStyle w:val="14"/>
            </w:pPr>
          </w:p>
        </w:tc>
        <w:tc>
          <w:tcPr>
            <w:tcW w:w="964" w:type="dxa"/>
            <w:vAlign w:val="center"/>
          </w:tcPr>
          <w:p w14:paraId="51FA76EC">
            <w:pPr>
              <w:pStyle w:val="14"/>
            </w:pPr>
          </w:p>
        </w:tc>
        <w:tc>
          <w:tcPr>
            <w:tcW w:w="964" w:type="dxa"/>
            <w:vAlign w:val="center"/>
          </w:tcPr>
          <w:p w14:paraId="51B686CC">
            <w:pPr>
              <w:pStyle w:val="14"/>
            </w:pPr>
          </w:p>
        </w:tc>
        <w:tc>
          <w:tcPr>
            <w:tcW w:w="964" w:type="dxa"/>
            <w:vAlign w:val="center"/>
          </w:tcPr>
          <w:p w14:paraId="425D5025">
            <w:pPr>
              <w:pStyle w:val="14"/>
            </w:pPr>
          </w:p>
        </w:tc>
        <w:tc>
          <w:tcPr>
            <w:tcW w:w="964" w:type="dxa"/>
            <w:vAlign w:val="center"/>
          </w:tcPr>
          <w:p w14:paraId="1B52B82A">
            <w:pPr>
              <w:pStyle w:val="14"/>
            </w:pPr>
          </w:p>
        </w:tc>
        <w:tc>
          <w:tcPr>
            <w:tcW w:w="964" w:type="dxa"/>
            <w:vAlign w:val="center"/>
          </w:tcPr>
          <w:p w14:paraId="41AC63AD">
            <w:pPr>
              <w:pStyle w:val="14"/>
            </w:pPr>
            <w:r>
              <w:t>0.80</w:t>
            </w:r>
          </w:p>
        </w:tc>
      </w:tr>
      <w:tr w14:paraId="12FF8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27A833">
            <w:pPr>
              <w:pStyle w:val="13"/>
            </w:pPr>
            <w:r>
              <w:t>冀财教[2024]141号/省级/2025年义教补助经费/南柏舍小学公用经费</w:t>
            </w:r>
          </w:p>
        </w:tc>
        <w:tc>
          <w:tcPr>
            <w:tcW w:w="964" w:type="dxa"/>
            <w:vAlign w:val="center"/>
          </w:tcPr>
          <w:p w14:paraId="0996E4A7">
            <w:pPr>
              <w:pStyle w:val="14"/>
            </w:pPr>
            <w:r>
              <w:t>48.43</w:t>
            </w:r>
          </w:p>
        </w:tc>
        <w:tc>
          <w:tcPr>
            <w:tcW w:w="1134" w:type="dxa"/>
            <w:vAlign w:val="center"/>
          </w:tcPr>
          <w:p w14:paraId="2625D4E0">
            <w:pPr>
              <w:pStyle w:val="13"/>
            </w:pPr>
            <w:r>
              <w:t>LED 显示屏</w:t>
            </w:r>
          </w:p>
        </w:tc>
        <w:tc>
          <w:tcPr>
            <w:tcW w:w="1134" w:type="dxa"/>
            <w:vAlign w:val="center"/>
          </w:tcPr>
          <w:p w14:paraId="75BDB3F3">
            <w:pPr>
              <w:pStyle w:val="13"/>
            </w:pPr>
            <w:r>
              <w:t>A02021103</w:t>
            </w:r>
          </w:p>
        </w:tc>
        <w:tc>
          <w:tcPr>
            <w:tcW w:w="709" w:type="dxa"/>
            <w:vAlign w:val="center"/>
          </w:tcPr>
          <w:p w14:paraId="1022B989">
            <w:pPr>
              <w:pStyle w:val="12"/>
            </w:pPr>
            <w:r>
              <w:t>平方米</w:t>
            </w:r>
          </w:p>
        </w:tc>
        <w:tc>
          <w:tcPr>
            <w:tcW w:w="850" w:type="dxa"/>
            <w:vAlign w:val="center"/>
          </w:tcPr>
          <w:p w14:paraId="2E98BDC5">
            <w:pPr>
              <w:pStyle w:val="14"/>
            </w:pPr>
            <w:r>
              <w:t>6</w:t>
            </w:r>
          </w:p>
        </w:tc>
        <w:tc>
          <w:tcPr>
            <w:tcW w:w="850" w:type="dxa"/>
            <w:vAlign w:val="center"/>
          </w:tcPr>
          <w:p w14:paraId="7EAB7991">
            <w:pPr>
              <w:pStyle w:val="14"/>
            </w:pPr>
            <w:r>
              <w:t>0.50</w:t>
            </w:r>
          </w:p>
        </w:tc>
        <w:tc>
          <w:tcPr>
            <w:tcW w:w="964" w:type="dxa"/>
            <w:vAlign w:val="center"/>
          </w:tcPr>
          <w:p w14:paraId="787A16FF">
            <w:pPr>
              <w:pStyle w:val="14"/>
            </w:pPr>
            <w:r>
              <w:t>3.00</w:t>
            </w:r>
          </w:p>
        </w:tc>
        <w:tc>
          <w:tcPr>
            <w:tcW w:w="964" w:type="dxa"/>
            <w:vAlign w:val="center"/>
          </w:tcPr>
          <w:p w14:paraId="72976373">
            <w:pPr>
              <w:pStyle w:val="14"/>
            </w:pPr>
            <w:r>
              <w:t>3.00</w:t>
            </w:r>
          </w:p>
        </w:tc>
        <w:tc>
          <w:tcPr>
            <w:tcW w:w="964" w:type="dxa"/>
            <w:vAlign w:val="center"/>
          </w:tcPr>
          <w:p w14:paraId="10B31E6B">
            <w:pPr>
              <w:pStyle w:val="14"/>
            </w:pPr>
          </w:p>
        </w:tc>
        <w:tc>
          <w:tcPr>
            <w:tcW w:w="964" w:type="dxa"/>
            <w:vAlign w:val="center"/>
          </w:tcPr>
          <w:p w14:paraId="57387B56">
            <w:pPr>
              <w:pStyle w:val="14"/>
            </w:pPr>
          </w:p>
        </w:tc>
        <w:tc>
          <w:tcPr>
            <w:tcW w:w="964" w:type="dxa"/>
            <w:vAlign w:val="center"/>
          </w:tcPr>
          <w:p w14:paraId="410CC5E7">
            <w:pPr>
              <w:pStyle w:val="14"/>
            </w:pPr>
          </w:p>
        </w:tc>
        <w:tc>
          <w:tcPr>
            <w:tcW w:w="964" w:type="dxa"/>
            <w:vAlign w:val="center"/>
          </w:tcPr>
          <w:p w14:paraId="50E9664A">
            <w:pPr>
              <w:pStyle w:val="14"/>
            </w:pPr>
          </w:p>
        </w:tc>
        <w:tc>
          <w:tcPr>
            <w:tcW w:w="964" w:type="dxa"/>
            <w:vAlign w:val="center"/>
          </w:tcPr>
          <w:p w14:paraId="1937F38B">
            <w:pPr>
              <w:pStyle w:val="14"/>
            </w:pPr>
          </w:p>
        </w:tc>
        <w:tc>
          <w:tcPr>
            <w:tcW w:w="964" w:type="dxa"/>
            <w:vAlign w:val="center"/>
          </w:tcPr>
          <w:p w14:paraId="001CC755">
            <w:pPr>
              <w:pStyle w:val="14"/>
            </w:pPr>
            <w:r>
              <w:t>3.00</w:t>
            </w:r>
          </w:p>
        </w:tc>
      </w:tr>
      <w:tr w14:paraId="72FB7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EBE696">
            <w:pPr>
              <w:pStyle w:val="13"/>
            </w:pPr>
            <w:r>
              <w:t>冀财教[2024]141号/省级/2025年义教补助经费/南柏舍小学公用经费</w:t>
            </w:r>
          </w:p>
        </w:tc>
        <w:tc>
          <w:tcPr>
            <w:tcW w:w="964" w:type="dxa"/>
            <w:vAlign w:val="center"/>
          </w:tcPr>
          <w:p w14:paraId="23E3A986">
            <w:pPr>
              <w:pStyle w:val="14"/>
            </w:pPr>
            <w:r>
              <w:t>48.43</w:t>
            </w:r>
          </w:p>
        </w:tc>
        <w:tc>
          <w:tcPr>
            <w:tcW w:w="1134" w:type="dxa"/>
            <w:vAlign w:val="center"/>
          </w:tcPr>
          <w:p w14:paraId="0D9F4067">
            <w:pPr>
              <w:pStyle w:val="13"/>
            </w:pPr>
            <w:r>
              <w:t>会议桌</w:t>
            </w:r>
          </w:p>
        </w:tc>
        <w:tc>
          <w:tcPr>
            <w:tcW w:w="1134" w:type="dxa"/>
            <w:vAlign w:val="center"/>
          </w:tcPr>
          <w:p w14:paraId="3FA1EA42">
            <w:pPr>
              <w:pStyle w:val="13"/>
            </w:pPr>
            <w:r>
              <w:t>A05010202</w:t>
            </w:r>
          </w:p>
        </w:tc>
        <w:tc>
          <w:tcPr>
            <w:tcW w:w="709" w:type="dxa"/>
            <w:vAlign w:val="center"/>
          </w:tcPr>
          <w:p w14:paraId="0C810F9A">
            <w:pPr>
              <w:pStyle w:val="12"/>
            </w:pPr>
            <w:r>
              <w:t>张</w:t>
            </w:r>
          </w:p>
        </w:tc>
        <w:tc>
          <w:tcPr>
            <w:tcW w:w="850" w:type="dxa"/>
            <w:vAlign w:val="center"/>
          </w:tcPr>
          <w:p w14:paraId="6072D91C">
            <w:pPr>
              <w:pStyle w:val="14"/>
            </w:pPr>
            <w:r>
              <w:t>25</w:t>
            </w:r>
          </w:p>
        </w:tc>
        <w:tc>
          <w:tcPr>
            <w:tcW w:w="850" w:type="dxa"/>
            <w:vAlign w:val="center"/>
          </w:tcPr>
          <w:p w14:paraId="06C41639">
            <w:pPr>
              <w:pStyle w:val="14"/>
            </w:pPr>
            <w:r>
              <w:t>0.06</w:t>
            </w:r>
          </w:p>
        </w:tc>
        <w:tc>
          <w:tcPr>
            <w:tcW w:w="964" w:type="dxa"/>
            <w:vAlign w:val="center"/>
          </w:tcPr>
          <w:p w14:paraId="66DBB353">
            <w:pPr>
              <w:pStyle w:val="14"/>
            </w:pPr>
            <w:r>
              <w:t>1.50</w:t>
            </w:r>
          </w:p>
        </w:tc>
        <w:tc>
          <w:tcPr>
            <w:tcW w:w="964" w:type="dxa"/>
            <w:vAlign w:val="center"/>
          </w:tcPr>
          <w:p w14:paraId="3AC42435">
            <w:pPr>
              <w:pStyle w:val="14"/>
            </w:pPr>
            <w:r>
              <w:t>1.50</w:t>
            </w:r>
          </w:p>
        </w:tc>
        <w:tc>
          <w:tcPr>
            <w:tcW w:w="964" w:type="dxa"/>
            <w:vAlign w:val="center"/>
          </w:tcPr>
          <w:p w14:paraId="3B13D4BF">
            <w:pPr>
              <w:pStyle w:val="14"/>
            </w:pPr>
          </w:p>
        </w:tc>
        <w:tc>
          <w:tcPr>
            <w:tcW w:w="964" w:type="dxa"/>
            <w:vAlign w:val="center"/>
          </w:tcPr>
          <w:p w14:paraId="476B92D2">
            <w:pPr>
              <w:pStyle w:val="14"/>
            </w:pPr>
          </w:p>
        </w:tc>
        <w:tc>
          <w:tcPr>
            <w:tcW w:w="964" w:type="dxa"/>
            <w:vAlign w:val="center"/>
          </w:tcPr>
          <w:p w14:paraId="05FB8E8F">
            <w:pPr>
              <w:pStyle w:val="14"/>
            </w:pPr>
          </w:p>
        </w:tc>
        <w:tc>
          <w:tcPr>
            <w:tcW w:w="964" w:type="dxa"/>
            <w:vAlign w:val="center"/>
          </w:tcPr>
          <w:p w14:paraId="4925687E">
            <w:pPr>
              <w:pStyle w:val="14"/>
            </w:pPr>
          </w:p>
        </w:tc>
        <w:tc>
          <w:tcPr>
            <w:tcW w:w="964" w:type="dxa"/>
            <w:vAlign w:val="center"/>
          </w:tcPr>
          <w:p w14:paraId="0B4769E2">
            <w:pPr>
              <w:pStyle w:val="14"/>
            </w:pPr>
          </w:p>
        </w:tc>
        <w:tc>
          <w:tcPr>
            <w:tcW w:w="964" w:type="dxa"/>
            <w:vAlign w:val="center"/>
          </w:tcPr>
          <w:p w14:paraId="68FC8842">
            <w:pPr>
              <w:pStyle w:val="14"/>
            </w:pPr>
            <w:r>
              <w:t>1.50</w:t>
            </w:r>
          </w:p>
        </w:tc>
      </w:tr>
      <w:tr w14:paraId="4232F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04EDCF">
            <w:pPr>
              <w:pStyle w:val="13"/>
            </w:pPr>
            <w:r>
              <w:t>冀财教[2024]141号/省级/2025年义教补助经费/南柏舍小学公用经费</w:t>
            </w:r>
          </w:p>
        </w:tc>
        <w:tc>
          <w:tcPr>
            <w:tcW w:w="964" w:type="dxa"/>
            <w:vAlign w:val="center"/>
          </w:tcPr>
          <w:p w14:paraId="47E30A5C">
            <w:pPr>
              <w:pStyle w:val="14"/>
            </w:pPr>
            <w:r>
              <w:t>48.43</w:t>
            </w:r>
          </w:p>
        </w:tc>
        <w:tc>
          <w:tcPr>
            <w:tcW w:w="1134" w:type="dxa"/>
            <w:vAlign w:val="center"/>
          </w:tcPr>
          <w:p w14:paraId="4A9A2698">
            <w:pPr>
              <w:pStyle w:val="13"/>
            </w:pPr>
            <w:r>
              <w:t>会议椅</w:t>
            </w:r>
          </w:p>
        </w:tc>
        <w:tc>
          <w:tcPr>
            <w:tcW w:w="1134" w:type="dxa"/>
            <w:vAlign w:val="center"/>
          </w:tcPr>
          <w:p w14:paraId="080EF663">
            <w:pPr>
              <w:pStyle w:val="13"/>
            </w:pPr>
            <w:r>
              <w:t>A05010303</w:t>
            </w:r>
          </w:p>
        </w:tc>
        <w:tc>
          <w:tcPr>
            <w:tcW w:w="709" w:type="dxa"/>
            <w:vAlign w:val="center"/>
          </w:tcPr>
          <w:p w14:paraId="07798935">
            <w:pPr>
              <w:pStyle w:val="12"/>
            </w:pPr>
            <w:r>
              <w:t>把</w:t>
            </w:r>
          </w:p>
        </w:tc>
        <w:tc>
          <w:tcPr>
            <w:tcW w:w="850" w:type="dxa"/>
            <w:vAlign w:val="center"/>
          </w:tcPr>
          <w:p w14:paraId="4E705882">
            <w:pPr>
              <w:pStyle w:val="14"/>
            </w:pPr>
            <w:r>
              <w:t>52</w:t>
            </w:r>
          </w:p>
        </w:tc>
        <w:tc>
          <w:tcPr>
            <w:tcW w:w="850" w:type="dxa"/>
            <w:vAlign w:val="center"/>
          </w:tcPr>
          <w:p w14:paraId="1DC52882">
            <w:pPr>
              <w:pStyle w:val="14"/>
            </w:pPr>
            <w:r>
              <w:t>0.02</w:t>
            </w:r>
          </w:p>
        </w:tc>
        <w:tc>
          <w:tcPr>
            <w:tcW w:w="964" w:type="dxa"/>
            <w:vAlign w:val="center"/>
          </w:tcPr>
          <w:p w14:paraId="498D598F">
            <w:pPr>
              <w:pStyle w:val="14"/>
            </w:pPr>
            <w:r>
              <w:t>1.04</w:t>
            </w:r>
          </w:p>
        </w:tc>
        <w:tc>
          <w:tcPr>
            <w:tcW w:w="964" w:type="dxa"/>
            <w:vAlign w:val="center"/>
          </w:tcPr>
          <w:p w14:paraId="178677C5">
            <w:pPr>
              <w:pStyle w:val="14"/>
            </w:pPr>
            <w:r>
              <w:t>1.04</w:t>
            </w:r>
          </w:p>
        </w:tc>
        <w:tc>
          <w:tcPr>
            <w:tcW w:w="964" w:type="dxa"/>
            <w:vAlign w:val="center"/>
          </w:tcPr>
          <w:p w14:paraId="6384F640">
            <w:pPr>
              <w:pStyle w:val="14"/>
            </w:pPr>
          </w:p>
        </w:tc>
        <w:tc>
          <w:tcPr>
            <w:tcW w:w="964" w:type="dxa"/>
            <w:vAlign w:val="center"/>
          </w:tcPr>
          <w:p w14:paraId="26273828">
            <w:pPr>
              <w:pStyle w:val="14"/>
            </w:pPr>
          </w:p>
        </w:tc>
        <w:tc>
          <w:tcPr>
            <w:tcW w:w="964" w:type="dxa"/>
            <w:vAlign w:val="center"/>
          </w:tcPr>
          <w:p w14:paraId="4622E10B">
            <w:pPr>
              <w:pStyle w:val="14"/>
            </w:pPr>
          </w:p>
        </w:tc>
        <w:tc>
          <w:tcPr>
            <w:tcW w:w="964" w:type="dxa"/>
            <w:vAlign w:val="center"/>
          </w:tcPr>
          <w:p w14:paraId="2EA00DF1">
            <w:pPr>
              <w:pStyle w:val="14"/>
            </w:pPr>
          </w:p>
        </w:tc>
        <w:tc>
          <w:tcPr>
            <w:tcW w:w="964" w:type="dxa"/>
            <w:vAlign w:val="center"/>
          </w:tcPr>
          <w:p w14:paraId="52124ACD">
            <w:pPr>
              <w:pStyle w:val="14"/>
            </w:pPr>
          </w:p>
        </w:tc>
        <w:tc>
          <w:tcPr>
            <w:tcW w:w="964" w:type="dxa"/>
            <w:vAlign w:val="center"/>
          </w:tcPr>
          <w:p w14:paraId="3D2D5677">
            <w:pPr>
              <w:pStyle w:val="14"/>
            </w:pPr>
            <w:r>
              <w:t>1.04</w:t>
            </w:r>
          </w:p>
        </w:tc>
      </w:tr>
      <w:tr w14:paraId="79BEC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C5F1CB">
            <w:pPr>
              <w:pStyle w:val="13"/>
            </w:pPr>
            <w:r>
              <w:t>冀财教[2024]141号/省级/2025年义教补助经费/义丰小学公用经费</w:t>
            </w:r>
          </w:p>
        </w:tc>
        <w:tc>
          <w:tcPr>
            <w:tcW w:w="964" w:type="dxa"/>
            <w:vAlign w:val="center"/>
          </w:tcPr>
          <w:p w14:paraId="65E94B95">
            <w:pPr>
              <w:pStyle w:val="14"/>
            </w:pPr>
            <w:r>
              <w:t>70.74</w:t>
            </w:r>
          </w:p>
        </w:tc>
        <w:tc>
          <w:tcPr>
            <w:tcW w:w="1134" w:type="dxa"/>
            <w:vAlign w:val="center"/>
          </w:tcPr>
          <w:p w14:paraId="3552C0C4">
            <w:pPr>
              <w:pStyle w:val="13"/>
            </w:pPr>
            <w:r>
              <w:t>会议桌</w:t>
            </w:r>
          </w:p>
        </w:tc>
        <w:tc>
          <w:tcPr>
            <w:tcW w:w="1134" w:type="dxa"/>
            <w:vAlign w:val="center"/>
          </w:tcPr>
          <w:p w14:paraId="70B0B291">
            <w:pPr>
              <w:pStyle w:val="13"/>
            </w:pPr>
            <w:r>
              <w:t>A05010202</w:t>
            </w:r>
          </w:p>
        </w:tc>
        <w:tc>
          <w:tcPr>
            <w:tcW w:w="709" w:type="dxa"/>
            <w:vAlign w:val="center"/>
          </w:tcPr>
          <w:p w14:paraId="0D47B3B9">
            <w:pPr>
              <w:pStyle w:val="12"/>
            </w:pPr>
            <w:r>
              <w:t>张</w:t>
            </w:r>
          </w:p>
        </w:tc>
        <w:tc>
          <w:tcPr>
            <w:tcW w:w="850" w:type="dxa"/>
            <w:vAlign w:val="center"/>
          </w:tcPr>
          <w:p w14:paraId="61DC59B4">
            <w:pPr>
              <w:pStyle w:val="14"/>
            </w:pPr>
            <w:r>
              <w:t>30</w:t>
            </w:r>
          </w:p>
        </w:tc>
        <w:tc>
          <w:tcPr>
            <w:tcW w:w="850" w:type="dxa"/>
            <w:vAlign w:val="center"/>
          </w:tcPr>
          <w:p w14:paraId="3DAA8D6E">
            <w:pPr>
              <w:pStyle w:val="14"/>
            </w:pPr>
            <w:r>
              <w:t>0.06</w:t>
            </w:r>
          </w:p>
        </w:tc>
        <w:tc>
          <w:tcPr>
            <w:tcW w:w="964" w:type="dxa"/>
            <w:vAlign w:val="center"/>
          </w:tcPr>
          <w:p w14:paraId="01A20315">
            <w:pPr>
              <w:pStyle w:val="14"/>
            </w:pPr>
            <w:r>
              <w:t>1.80</w:t>
            </w:r>
          </w:p>
        </w:tc>
        <w:tc>
          <w:tcPr>
            <w:tcW w:w="964" w:type="dxa"/>
            <w:vAlign w:val="center"/>
          </w:tcPr>
          <w:p w14:paraId="64985E1B">
            <w:pPr>
              <w:pStyle w:val="14"/>
            </w:pPr>
            <w:r>
              <w:t>1.80</w:t>
            </w:r>
          </w:p>
        </w:tc>
        <w:tc>
          <w:tcPr>
            <w:tcW w:w="964" w:type="dxa"/>
            <w:vAlign w:val="center"/>
          </w:tcPr>
          <w:p w14:paraId="7B1BE025">
            <w:pPr>
              <w:pStyle w:val="14"/>
            </w:pPr>
          </w:p>
        </w:tc>
        <w:tc>
          <w:tcPr>
            <w:tcW w:w="964" w:type="dxa"/>
            <w:vAlign w:val="center"/>
          </w:tcPr>
          <w:p w14:paraId="38D79736">
            <w:pPr>
              <w:pStyle w:val="14"/>
            </w:pPr>
          </w:p>
        </w:tc>
        <w:tc>
          <w:tcPr>
            <w:tcW w:w="964" w:type="dxa"/>
            <w:vAlign w:val="center"/>
          </w:tcPr>
          <w:p w14:paraId="6AB5CBBE">
            <w:pPr>
              <w:pStyle w:val="14"/>
            </w:pPr>
          </w:p>
        </w:tc>
        <w:tc>
          <w:tcPr>
            <w:tcW w:w="964" w:type="dxa"/>
            <w:vAlign w:val="center"/>
          </w:tcPr>
          <w:p w14:paraId="0AEC5304">
            <w:pPr>
              <w:pStyle w:val="14"/>
            </w:pPr>
          </w:p>
        </w:tc>
        <w:tc>
          <w:tcPr>
            <w:tcW w:w="964" w:type="dxa"/>
            <w:vAlign w:val="center"/>
          </w:tcPr>
          <w:p w14:paraId="545F365A">
            <w:pPr>
              <w:pStyle w:val="14"/>
            </w:pPr>
          </w:p>
        </w:tc>
        <w:tc>
          <w:tcPr>
            <w:tcW w:w="964" w:type="dxa"/>
            <w:vAlign w:val="center"/>
          </w:tcPr>
          <w:p w14:paraId="725F4BCB">
            <w:pPr>
              <w:pStyle w:val="14"/>
            </w:pPr>
            <w:r>
              <w:t>1.80</w:t>
            </w:r>
          </w:p>
        </w:tc>
      </w:tr>
      <w:tr w14:paraId="44D0E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7F8AB1">
            <w:pPr>
              <w:pStyle w:val="13"/>
            </w:pPr>
            <w:r>
              <w:t>冀财教[2024]141号/省级/2025年义教补助经费/义丰小学公用经费</w:t>
            </w:r>
          </w:p>
        </w:tc>
        <w:tc>
          <w:tcPr>
            <w:tcW w:w="964" w:type="dxa"/>
            <w:vAlign w:val="center"/>
          </w:tcPr>
          <w:p w14:paraId="794B73B3">
            <w:pPr>
              <w:pStyle w:val="14"/>
            </w:pPr>
            <w:r>
              <w:t>70.74</w:t>
            </w:r>
          </w:p>
        </w:tc>
        <w:tc>
          <w:tcPr>
            <w:tcW w:w="1134" w:type="dxa"/>
            <w:vAlign w:val="center"/>
          </w:tcPr>
          <w:p w14:paraId="464ACB5E">
            <w:pPr>
              <w:pStyle w:val="13"/>
            </w:pPr>
            <w:r>
              <w:t>会议椅</w:t>
            </w:r>
          </w:p>
        </w:tc>
        <w:tc>
          <w:tcPr>
            <w:tcW w:w="1134" w:type="dxa"/>
            <w:vAlign w:val="center"/>
          </w:tcPr>
          <w:p w14:paraId="40B3B806">
            <w:pPr>
              <w:pStyle w:val="13"/>
            </w:pPr>
            <w:r>
              <w:t>A05010303</w:t>
            </w:r>
          </w:p>
        </w:tc>
        <w:tc>
          <w:tcPr>
            <w:tcW w:w="709" w:type="dxa"/>
            <w:vAlign w:val="center"/>
          </w:tcPr>
          <w:p w14:paraId="235FC799">
            <w:pPr>
              <w:pStyle w:val="12"/>
            </w:pPr>
            <w:r>
              <w:t>把</w:t>
            </w:r>
          </w:p>
        </w:tc>
        <w:tc>
          <w:tcPr>
            <w:tcW w:w="850" w:type="dxa"/>
            <w:vAlign w:val="center"/>
          </w:tcPr>
          <w:p w14:paraId="7BD23BAF">
            <w:pPr>
              <w:pStyle w:val="14"/>
            </w:pPr>
            <w:r>
              <w:t>60</w:t>
            </w:r>
          </w:p>
        </w:tc>
        <w:tc>
          <w:tcPr>
            <w:tcW w:w="850" w:type="dxa"/>
            <w:vAlign w:val="center"/>
          </w:tcPr>
          <w:p w14:paraId="0883DEE0">
            <w:pPr>
              <w:pStyle w:val="14"/>
            </w:pPr>
            <w:r>
              <w:t>0.02</w:t>
            </w:r>
          </w:p>
        </w:tc>
        <w:tc>
          <w:tcPr>
            <w:tcW w:w="964" w:type="dxa"/>
            <w:vAlign w:val="center"/>
          </w:tcPr>
          <w:p w14:paraId="249DBF57">
            <w:pPr>
              <w:pStyle w:val="14"/>
            </w:pPr>
            <w:r>
              <w:t>1.20</w:t>
            </w:r>
          </w:p>
        </w:tc>
        <w:tc>
          <w:tcPr>
            <w:tcW w:w="964" w:type="dxa"/>
            <w:vAlign w:val="center"/>
          </w:tcPr>
          <w:p w14:paraId="2C9A01C3">
            <w:pPr>
              <w:pStyle w:val="14"/>
            </w:pPr>
            <w:r>
              <w:t>1.20</w:t>
            </w:r>
          </w:p>
        </w:tc>
        <w:tc>
          <w:tcPr>
            <w:tcW w:w="964" w:type="dxa"/>
            <w:vAlign w:val="center"/>
          </w:tcPr>
          <w:p w14:paraId="5E4BB08A">
            <w:pPr>
              <w:pStyle w:val="14"/>
            </w:pPr>
          </w:p>
        </w:tc>
        <w:tc>
          <w:tcPr>
            <w:tcW w:w="964" w:type="dxa"/>
            <w:vAlign w:val="center"/>
          </w:tcPr>
          <w:p w14:paraId="6F0C0BE4">
            <w:pPr>
              <w:pStyle w:val="14"/>
            </w:pPr>
          </w:p>
        </w:tc>
        <w:tc>
          <w:tcPr>
            <w:tcW w:w="964" w:type="dxa"/>
            <w:vAlign w:val="center"/>
          </w:tcPr>
          <w:p w14:paraId="38C52612">
            <w:pPr>
              <w:pStyle w:val="14"/>
            </w:pPr>
          </w:p>
        </w:tc>
        <w:tc>
          <w:tcPr>
            <w:tcW w:w="964" w:type="dxa"/>
            <w:vAlign w:val="center"/>
          </w:tcPr>
          <w:p w14:paraId="01C56CED">
            <w:pPr>
              <w:pStyle w:val="14"/>
            </w:pPr>
          </w:p>
        </w:tc>
        <w:tc>
          <w:tcPr>
            <w:tcW w:w="964" w:type="dxa"/>
            <w:vAlign w:val="center"/>
          </w:tcPr>
          <w:p w14:paraId="21E5C113">
            <w:pPr>
              <w:pStyle w:val="14"/>
            </w:pPr>
          </w:p>
        </w:tc>
        <w:tc>
          <w:tcPr>
            <w:tcW w:w="964" w:type="dxa"/>
            <w:vAlign w:val="center"/>
          </w:tcPr>
          <w:p w14:paraId="1B640C41">
            <w:pPr>
              <w:pStyle w:val="14"/>
            </w:pPr>
            <w:r>
              <w:t>1.20</w:t>
            </w:r>
          </w:p>
        </w:tc>
      </w:tr>
      <w:tr w14:paraId="75639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C8A799">
            <w:pPr>
              <w:pStyle w:val="13"/>
            </w:pPr>
            <w:r>
              <w:t>冀财教[2024]142号/省级/2025年学前发展资金/城关校区学前教育公用经费</w:t>
            </w:r>
          </w:p>
        </w:tc>
        <w:tc>
          <w:tcPr>
            <w:tcW w:w="964" w:type="dxa"/>
            <w:vAlign w:val="center"/>
          </w:tcPr>
          <w:p w14:paraId="3E41C017">
            <w:pPr>
              <w:pStyle w:val="14"/>
            </w:pPr>
            <w:r>
              <w:t>25.85</w:t>
            </w:r>
          </w:p>
        </w:tc>
        <w:tc>
          <w:tcPr>
            <w:tcW w:w="1134" w:type="dxa"/>
            <w:vAlign w:val="center"/>
          </w:tcPr>
          <w:p w14:paraId="44740BA5">
            <w:pPr>
              <w:pStyle w:val="13"/>
            </w:pPr>
            <w:r>
              <w:t>办公桌</w:t>
            </w:r>
          </w:p>
        </w:tc>
        <w:tc>
          <w:tcPr>
            <w:tcW w:w="1134" w:type="dxa"/>
            <w:vAlign w:val="center"/>
          </w:tcPr>
          <w:p w14:paraId="095D7BC4">
            <w:pPr>
              <w:pStyle w:val="13"/>
            </w:pPr>
            <w:r>
              <w:t>A05010201</w:t>
            </w:r>
          </w:p>
        </w:tc>
        <w:tc>
          <w:tcPr>
            <w:tcW w:w="709" w:type="dxa"/>
            <w:vAlign w:val="center"/>
          </w:tcPr>
          <w:p w14:paraId="08E56EC8">
            <w:pPr>
              <w:pStyle w:val="12"/>
            </w:pPr>
            <w:r>
              <w:t>套</w:t>
            </w:r>
          </w:p>
        </w:tc>
        <w:tc>
          <w:tcPr>
            <w:tcW w:w="850" w:type="dxa"/>
            <w:vAlign w:val="center"/>
          </w:tcPr>
          <w:p w14:paraId="1B8C60D0">
            <w:pPr>
              <w:pStyle w:val="14"/>
            </w:pPr>
            <w:r>
              <w:t>4</w:t>
            </w:r>
          </w:p>
        </w:tc>
        <w:tc>
          <w:tcPr>
            <w:tcW w:w="850" w:type="dxa"/>
            <w:vAlign w:val="center"/>
          </w:tcPr>
          <w:p w14:paraId="11AB0792">
            <w:pPr>
              <w:pStyle w:val="14"/>
            </w:pPr>
            <w:r>
              <w:t>0.10</w:t>
            </w:r>
          </w:p>
        </w:tc>
        <w:tc>
          <w:tcPr>
            <w:tcW w:w="964" w:type="dxa"/>
            <w:vAlign w:val="center"/>
          </w:tcPr>
          <w:p w14:paraId="51CD4D55">
            <w:pPr>
              <w:pStyle w:val="14"/>
            </w:pPr>
            <w:r>
              <w:t>0.40</w:t>
            </w:r>
          </w:p>
        </w:tc>
        <w:tc>
          <w:tcPr>
            <w:tcW w:w="964" w:type="dxa"/>
            <w:vAlign w:val="center"/>
          </w:tcPr>
          <w:p w14:paraId="7B35FF09">
            <w:pPr>
              <w:pStyle w:val="14"/>
            </w:pPr>
            <w:r>
              <w:t>0.40</w:t>
            </w:r>
          </w:p>
        </w:tc>
        <w:tc>
          <w:tcPr>
            <w:tcW w:w="964" w:type="dxa"/>
            <w:vAlign w:val="center"/>
          </w:tcPr>
          <w:p w14:paraId="16FA6ABB">
            <w:pPr>
              <w:pStyle w:val="14"/>
            </w:pPr>
          </w:p>
        </w:tc>
        <w:tc>
          <w:tcPr>
            <w:tcW w:w="964" w:type="dxa"/>
            <w:vAlign w:val="center"/>
          </w:tcPr>
          <w:p w14:paraId="54EC6827">
            <w:pPr>
              <w:pStyle w:val="14"/>
            </w:pPr>
          </w:p>
        </w:tc>
        <w:tc>
          <w:tcPr>
            <w:tcW w:w="964" w:type="dxa"/>
            <w:vAlign w:val="center"/>
          </w:tcPr>
          <w:p w14:paraId="5ADFAAA4">
            <w:pPr>
              <w:pStyle w:val="14"/>
            </w:pPr>
          </w:p>
        </w:tc>
        <w:tc>
          <w:tcPr>
            <w:tcW w:w="964" w:type="dxa"/>
            <w:vAlign w:val="center"/>
          </w:tcPr>
          <w:p w14:paraId="6E7F028E">
            <w:pPr>
              <w:pStyle w:val="14"/>
            </w:pPr>
          </w:p>
        </w:tc>
        <w:tc>
          <w:tcPr>
            <w:tcW w:w="964" w:type="dxa"/>
            <w:vAlign w:val="center"/>
          </w:tcPr>
          <w:p w14:paraId="042C94D9">
            <w:pPr>
              <w:pStyle w:val="14"/>
            </w:pPr>
          </w:p>
        </w:tc>
        <w:tc>
          <w:tcPr>
            <w:tcW w:w="964" w:type="dxa"/>
            <w:vAlign w:val="center"/>
          </w:tcPr>
          <w:p w14:paraId="0B51AF32">
            <w:pPr>
              <w:pStyle w:val="14"/>
            </w:pPr>
            <w:r>
              <w:t>0.40</w:t>
            </w:r>
          </w:p>
        </w:tc>
      </w:tr>
      <w:tr w14:paraId="4AB3B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8975A0">
            <w:pPr>
              <w:pStyle w:val="13"/>
            </w:pPr>
            <w:r>
              <w:t>冀财教[2024]142号/省级/2025年学前发展资金/城关校区学前教育公用经费</w:t>
            </w:r>
          </w:p>
        </w:tc>
        <w:tc>
          <w:tcPr>
            <w:tcW w:w="964" w:type="dxa"/>
            <w:vAlign w:val="center"/>
          </w:tcPr>
          <w:p w14:paraId="12389A91">
            <w:pPr>
              <w:pStyle w:val="14"/>
            </w:pPr>
            <w:r>
              <w:t>25.85</w:t>
            </w:r>
          </w:p>
        </w:tc>
        <w:tc>
          <w:tcPr>
            <w:tcW w:w="1134" w:type="dxa"/>
            <w:vAlign w:val="center"/>
          </w:tcPr>
          <w:p w14:paraId="1D017ED8">
            <w:pPr>
              <w:pStyle w:val="13"/>
            </w:pPr>
            <w:r>
              <w:t>办公桌</w:t>
            </w:r>
          </w:p>
        </w:tc>
        <w:tc>
          <w:tcPr>
            <w:tcW w:w="1134" w:type="dxa"/>
            <w:vAlign w:val="center"/>
          </w:tcPr>
          <w:p w14:paraId="349F187B">
            <w:pPr>
              <w:pStyle w:val="13"/>
            </w:pPr>
            <w:r>
              <w:t>A05010201</w:t>
            </w:r>
          </w:p>
        </w:tc>
        <w:tc>
          <w:tcPr>
            <w:tcW w:w="709" w:type="dxa"/>
            <w:vAlign w:val="center"/>
          </w:tcPr>
          <w:p w14:paraId="04AD95EB">
            <w:pPr>
              <w:pStyle w:val="12"/>
            </w:pPr>
            <w:r>
              <w:t>套</w:t>
            </w:r>
          </w:p>
        </w:tc>
        <w:tc>
          <w:tcPr>
            <w:tcW w:w="850" w:type="dxa"/>
            <w:vAlign w:val="center"/>
          </w:tcPr>
          <w:p w14:paraId="5963FFF3">
            <w:pPr>
              <w:pStyle w:val="14"/>
            </w:pPr>
            <w:r>
              <w:t>4</w:t>
            </w:r>
          </w:p>
        </w:tc>
        <w:tc>
          <w:tcPr>
            <w:tcW w:w="850" w:type="dxa"/>
            <w:vAlign w:val="center"/>
          </w:tcPr>
          <w:p w14:paraId="22E12751">
            <w:pPr>
              <w:pStyle w:val="14"/>
            </w:pPr>
            <w:r>
              <w:t>0.10</w:t>
            </w:r>
          </w:p>
        </w:tc>
        <w:tc>
          <w:tcPr>
            <w:tcW w:w="964" w:type="dxa"/>
            <w:vAlign w:val="center"/>
          </w:tcPr>
          <w:p w14:paraId="4FED4A77">
            <w:pPr>
              <w:pStyle w:val="14"/>
            </w:pPr>
            <w:r>
              <w:t>0.40</w:t>
            </w:r>
          </w:p>
        </w:tc>
        <w:tc>
          <w:tcPr>
            <w:tcW w:w="964" w:type="dxa"/>
            <w:vAlign w:val="center"/>
          </w:tcPr>
          <w:p w14:paraId="37640517">
            <w:pPr>
              <w:pStyle w:val="14"/>
            </w:pPr>
            <w:r>
              <w:t>0.40</w:t>
            </w:r>
          </w:p>
        </w:tc>
        <w:tc>
          <w:tcPr>
            <w:tcW w:w="964" w:type="dxa"/>
            <w:vAlign w:val="center"/>
          </w:tcPr>
          <w:p w14:paraId="529AA760">
            <w:pPr>
              <w:pStyle w:val="14"/>
            </w:pPr>
          </w:p>
        </w:tc>
        <w:tc>
          <w:tcPr>
            <w:tcW w:w="964" w:type="dxa"/>
            <w:vAlign w:val="center"/>
          </w:tcPr>
          <w:p w14:paraId="0EFBE048">
            <w:pPr>
              <w:pStyle w:val="14"/>
            </w:pPr>
          </w:p>
        </w:tc>
        <w:tc>
          <w:tcPr>
            <w:tcW w:w="964" w:type="dxa"/>
            <w:vAlign w:val="center"/>
          </w:tcPr>
          <w:p w14:paraId="502DA8F2">
            <w:pPr>
              <w:pStyle w:val="14"/>
            </w:pPr>
          </w:p>
        </w:tc>
        <w:tc>
          <w:tcPr>
            <w:tcW w:w="964" w:type="dxa"/>
            <w:vAlign w:val="center"/>
          </w:tcPr>
          <w:p w14:paraId="72BB2363">
            <w:pPr>
              <w:pStyle w:val="14"/>
            </w:pPr>
          </w:p>
        </w:tc>
        <w:tc>
          <w:tcPr>
            <w:tcW w:w="964" w:type="dxa"/>
            <w:vAlign w:val="center"/>
          </w:tcPr>
          <w:p w14:paraId="5BAE2A7F">
            <w:pPr>
              <w:pStyle w:val="14"/>
            </w:pPr>
          </w:p>
        </w:tc>
        <w:tc>
          <w:tcPr>
            <w:tcW w:w="964" w:type="dxa"/>
            <w:vAlign w:val="center"/>
          </w:tcPr>
          <w:p w14:paraId="399C8F41">
            <w:pPr>
              <w:pStyle w:val="14"/>
            </w:pPr>
            <w:r>
              <w:t>0.40</w:t>
            </w:r>
          </w:p>
        </w:tc>
      </w:tr>
      <w:tr w14:paraId="1EAAC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0228B6">
            <w:pPr>
              <w:pStyle w:val="13"/>
            </w:pPr>
            <w:r>
              <w:t>冀财教[2024]142号/省级/2025年学前发展资金/城关校区学前教育公用经费</w:t>
            </w:r>
          </w:p>
        </w:tc>
        <w:tc>
          <w:tcPr>
            <w:tcW w:w="964" w:type="dxa"/>
            <w:vAlign w:val="center"/>
          </w:tcPr>
          <w:p w14:paraId="291F5CB2">
            <w:pPr>
              <w:pStyle w:val="14"/>
            </w:pPr>
            <w:r>
              <w:t>25.85</w:t>
            </w:r>
          </w:p>
        </w:tc>
        <w:tc>
          <w:tcPr>
            <w:tcW w:w="1134" w:type="dxa"/>
            <w:vAlign w:val="center"/>
          </w:tcPr>
          <w:p w14:paraId="7574BFCA">
            <w:pPr>
              <w:pStyle w:val="13"/>
            </w:pPr>
            <w:r>
              <w:t>书柜</w:t>
            </w:r>
          </w:p>
        </w:tc>
        <w:tc>
          <w:tcPr>
            <w:tcW w:w="1134" w:type="dxa"/>
            <w:vAlign w:val="center"/>
          </w:tcPr>
          <w:p w14:paraId="7579B82C">
            <w:pPr>
              <w:pStyle w:val="13"/>
            </w:pPr>
            <w:r>
              <w:t>A05010501</w:t>
            </w:r>
          </w:p>
        </w:tc>
        <w:tc>
          <w:tcPr>
            <w:tcW w:w="709" w:type="dxa"/>
            <w:vAlign w:val="center"/>
          </w:tcPr>
          <w:p w14:paraId="3DC31652">
            <w:pPr>
              <w:pStyle w:val="12"/>
            </w:pPr>
            <w:r>
              <w:t>个</w:t>
            </w:r>
          </w:p>
        </w:tc>
        <w:tc>
          <w:tcPr>
            <w:tcW w:w="850" w:type="dxa"/>
            <w:vAlign w:val="center"/>
          </w:tcPr>
          <w:p w14:paraId="2F9A085F">
            <w:pPr>
              <w:pStyle w:val="14"/>
            </w:pPr>
            <w:r>
              <w:t>10</w:t>
            </w:r>
          </w:p>
        </w:tc>
        <w:tc>
          <w:tcPr>
            <w:tcW w:w="850" w:type="dxa"/>
            <w:vAlign w:val="center"/>
          </w:tcPr>
          <w:p w14:paraId="29EAF8D6">
            <w:pPr>
              <w:pStyle w:val="14"/>
            </w:pPr>
            <w:r>
              <w:t>0.05</w:t>
            </w:r>
          </w:p>
        </w:tc>
        <w:tc>
          <w:tcPr>
            <w:tcW w:w="964" w:type="dxa"/>
            <w:vAlign w:val="center"/>
          </w:tcPr>
          <w:p w14:paraId="4C8B4029">
            <w:pPr>
              <w:pStyle w:val="14"/>
            </w:pPr>
            <w:r>
              <w:t>0.50</w:t>
            </w:r>
          </w:p>
        </w:tc>
        <w:tc>
          <w:tcPr>
            <w:tcW w:w="964" w:type="dxa"/>
            <w:vAlign w:val="center"/>
          </w:tcPr>
          <w:p w14:paraId="2719492C">
            <w:pPr>
              <w:pStyle w:val="14"/>
            </w:pPr>
            <w:r>
              <w:t>0.50</w:t>
            </w:r>
          </w:p>
        </w:tc>
        <w:tc>
          <w:tcPr>
            <w:tcW w:w="964" w:type="dxa"/>
            <w:vAlign w:val="center"/>
          </w:tcPr>
          <w:p w14:paraId="153F8C2D">
            <w:pPr>
              <w:pStyle w:val="14"/>
            </w:pPr>
          </w:p>
        </w:tc>
        <w:tc>
          <w:tcPr>
            <w:tcW w:w="964" w:type="dxa"/>
            <w:vAlign w:val="center"/>
          </w:tcPr>
          <w:p w14:paraId="7F53E7F3">
            <w:pPr>
              <w:pStyle w:val="14"/>
            </w:pPr>
          </w:p>
        </w:tc>
        <w:tc>
          <w:tcPr>
            <w:tcW w:w="964" w:type="dxa"/>
            <w:vAlign w:val="center"/>
          </w:tcPr>
          <w:p w14:paraId="1B660614">
            <w:pPr>
              <w:pStyle w:val="14"/>
            </w:pPr>
          </w:p>
        </w:tc>
        <w:tc>
          <w:tcPr>
            <w:tcW w:w="964" w:type="dxa"/>
            <w:vAlign w:val="center"/>
          </w:tcPr>
          <w:p w14:paraId="5A72EFD2">
            <w:pPr>
              <w:pStyle w:val="14"/>
            </w:pPr>
          </w:p>
        </w:tc>
        <w:tc>
          <w:tcPr>
            <w:tcW w:w="964" w:type="dxa"/>
            <w:vAlign w:val="center"/>
          </w:tcPr>
          <w:p w14:paraId="3F2AED70">
            <w:pPr>
              <w:pStyle w:val="14"/>
            </w:pPr>
          </w:p>
        </w:tc>
        <w:tc>
          <w:tcPr>
            <w:tcW w:w="964" w:type="dxa"/>
            <w:vAlign w:val="center"/>
          </w:tcPr>
          <w:p w14:paraId="1C9FBF23">
            <w:pPr>
              <w:pStyle w:val="14"/>
            </w:pPr>
            <w:r>
              <w:t>0.50</w:t>
            </w:r>
          </w:p>
        </w:tc>
      </w:tr>
      <w:tr w14:paraId="2A7E5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908A98">
            <w:pPr>
              <w:pStyle w:val="13"/>
            </w:pPr>
            <w:r>
              <w:t>冀财教[2024]142号/省级/2025年学前发展资金/城关校区学前教育公用经费</w:t>
            </w:r>
          </w:p>
        </w:tc>
        <w:tc>
          <w:tcPr>
            <w:tcW w:w="964" w:type="dxa"/>
            <w:vAlign w:val="center"/>
          </w:tcPr>
          <w:p w14:paraId="44D0B3F7">
            <w:pPr>
              <w:pStyle w:val="14"/>
            </w:pPr>
            <w:r>
              <w:t>25.85</w:t>
            </w:r>
          </w:p>
        </w:tc>
        <w:tc>
          <w:tcPr>
            <w:tcW w:w="1134" w:type="dxa"/>
            <w:vAlign w:val="center"/>
          </w:tcPr>
          <w:p w14:paraId="351F1538">
            <w:pPr>
              <w:pStyle w:val="13"/>
            </w:pPr>
            <w:r>
              <w:t>书柜</w:t>
            </w:r>
          </w:p>
        </w:tc>
        <w:tc>
          <w:tcPr>
            <w:tcW w:w="1134" w:type="dxa"/>
            <w:vAlign w:val="center"/>
          </w:tcPr>
          <w:p w14:paraId="5CCB99A5">
            <w:pPr>
              <w:pStyle w:val="13"/>
            </w:pPr>
            <w:r>
              <w:t>A05010501</w:t>
            </w:r>
          </w:p>
        </w:tc>
        <w:tc>
          <w:tcPr>
            <w:tcW w:w="709" w:type="dxa"/>
            <w:vAlign w:val="center"/>
          </w:tcPr>
          <w:p w14:paraId="3015E54A">
            <w:pPr>
              <w:pStyle w:val="12"/>
            </w:pPr>
            <w:r>
              <w:t>个</w:t>
            </w:r>
          </w:p>
        </w:tc>
        <w:tc>
          <w:tcPr>
            <w:tcW w:w="850" w:type="dxa"/>
            <w:vAlign w:val="center"/>
          </w:tcPr>
          <w:p w14:paraId="4D3871AD">
            <w:pPr>
              <w:pStyle w:val="14"/>
            </w:pPr>
            <w:r>
              <w:t>10</w:t>
            </w:r>
          </w:p>
        </w:tc>
        <w:tc>
          <w:tcPr>
            <w:tcW w:w="850" w:type="dxa"/>
            <w:vAlign w:val="center"/>
          </w:tcPr>
          <w:p w14:paraId="635FCE4C">
            <w:pPr>
              <w:pStyle w:val="14"/>
            </w:pPr>
            <w:r>
              <w:t>0.05</w:t>
            </w:r>
          </w:p>
        </w:tc>
        <w:tc>
          <w:tcPr>
            <w:tcW w:w="964" w:type="dxa"/>
            <w:vAlign w:val="center"/>
          </w:tcPr>
          <w:p w14:paraId="395641D0">
            <w:pPr>
              <w:pStyle w:val="14"/>
            </w:pPr>
            <w:r>
              <w:t>0.50</w:t>
            </w:r>
          </w:p>
        </w:tc>
        <w:tc>
          <w:tcPr>
            <w:tcW w:w="964" w:type="dxa"/>
            <w:vAlign w:val="center"/>
          </w:tcPr>
          <w:p w14:paraId="29F92024">
            <w:pPr>
              <w:pStyle w:val="14"/>
            </w:pPr>
            <w:r>
              <w:t>0.50</w:t>
            </w:r>
          </w:p>
        </w:tc>
        <w:tc>
          <w:tcPr>
            <w:tcW w:w="964" w:type="dxa"/>
            <w:vAlign w:val="center"/>
          </w:tcPr>
          <w:p w14:paraId="629E285C">
            <w:pPr>
              <w:pStyle w:val="14"/>
            </w:pPr>
          </w:p>
        </w:tc>
        <w:tc>
          <w:tcPr>
            <w:tcW w:w="964" w:type="dxa"/>
            <w:vAlign w:val="center"/>
          </w:tcPr>
          <w:p w14:paraId="60438E30">
            <w:pPr>
              <w:pStyle w:val="14"/>
            </w:pPr>
          </w:p>
        </w:tc>
        <w:tc>
          <w:tcPr>
            <w:tcW w:w="964" w:type="dxa"/>
            <w:vAlign w:val="center"/>
          </w:tcPr>
          <w:p w14:paraId="21DEDDA8">
            <w:pPr>
              <w:pStyle w:val="14"/>
            </w:pPr>
          </w:p>
        </w:tc>
        <w:tc>
          <w:tcPr>
            <w:tcW w:w="964" w:type="dxa"/>
            <w:vAlign w:val="center"/>
          </w:tcPr>
          <w:p w14:paraId="717AB6BD">
            <w:pPr>
              <w:pStyle w:val="14"/>
            </w:pPr>
          </w:p>
        </w:tc>
        <w:tc>
          <w:tcPr>
            <w:tcW w:w="964" w:type="dxa"/>
            <w:vAlign w:val="center"/>
          </w:tcPr>
          <w:p w14:paraId="1F1176B1">
            <w:pPr>
              <w:pStyle w:val="14"/>
            </w:pPr>
          </w:p>
        </w:tc>
        <w:tc>
          <w:tcPr>
            <w:tcW w:w="964" w:type="dxa"/>
            <w:vAlign w:val="center"/>
          </w:tcPr>
          <w:p w14:paraId="038CFF6E">
            <w:pPr>
              <w:pStyle w:val="14"/>
            </w:pPr>
            <w:r>
              <w:t>0.50</w:t>
            </w:r>
          </w:p>
        </w:tc>
      </w:tr>
    </w:tbl>
    <w:p w14:paraId="7EA3D2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5B17CF">
      <w:pPr>
        <w:spacing w:before="0" w:after="0"/>
        <w:ind w:firstLine="640"/>
        <w:jc w:val="left"/>
        <w:outlineLvl w:val="9"/>
      </w:pPr>
      <w:r>
        <w:rPr>
          <w:rFonts w:ascii="Times New Roman" w:hAnsi="Times New Roman" w:eastAsia="方正仿宋_GBK" w:cs="Times New Roman"/>
          <w:color w:val="000000"/>
          <w:sz w:val="32"/>
        </w:rPr>
        <w:t xml:space="preserve"> </w:t>
      </w:r>
    </w:p>
    <w:p w14:paraId="3284E363">
      <w:pPr>
        <w:spacing w:before="10" w:after="10" w:line="240" w:lineRule="auto"/>
        <w:ind w:firstLine="640"/>
        <w:jc w:val="left"/>
        <w:outlineLvl w:val="5"/>
      </w:pPr>
      <w:r>
        <w:rPr>
          <w:rFonts w:ascii="黑体" w:hAnsi="黑体" w:eastAsia="黑体" w:cs="黑体"/>
          <w:color w:val="000000"/>
          <w:sz w:val="32"/>
        </w:rPr>
        <w:t>七、国有资产信息</w:t>
      </w:r>
    </w:p>
    <w:p w14:paraId="6BC50F3D">
      <w:pPr>
        <w:spacing w:before="0" w:after="0" w:line="500" w:lineRule="exact"/>
        <w:ind w:firstLine="560"/>
        <w:jc w:val="left"/>
        <w:outlineLvl w:val="9"/>
      </w:pPr>
      <w:r>
        <w:rPr>
          <w:rFonts w:ascii="Times New Roman" w:hAnsi="Times New Roman" w:eastAsia="方正仿宋_GBK" w:cs="Times New Roman"/>
          <w:b w:val="0"/>
          <w:color w:val="000000"/>
          <w:sz w:val="28"/>
        </w:rPr>
        <w:t>隆尧县城关校区上年末固定资产金额为14116.69万元（详见下表）。本年度拟购置固定资产总额为32.60万元，已按要求列入政府采购预算，详见政府采购预算表。</w:t>
      </w:r>
    </w:p>
    <w:p w14:paraId="47B87A0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CDC7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1FC7070">
            <w:pPr>
              <w:pStyle w:val="8"/>
            </w:pPr>
            <w:r>
              <w:t>360016隆尧县城关校区</w:t>
            </w:r>
          </w:p>
        </w:tc>
        <w:tc>
          <w:tcPr>
            <w:tcW w:w="5670" w:type="dxa"/>
            <w:gridSpan w:val="2"/>
            <w:tcBorders>
              <w:top w:val="single" w:color="FFFFFF" w:sz="6" w:space="0"/>
              <w:left w:val="single" w:color="FFFFFF" w:sz="6" w:space="0"/>
              <w:right w:val="single" w:color="FFFFFF" w:sz="6" w:space="0"/>
            </w:tcBorders>
            <w:vAlign w:val="center"/>
          </w:tcPr>
          <w:p w14:paraId="6254D14B">
            <w:pPr>
              <w:pStyle w:val="10"/>
            </w:pPr>
            <w:r>
              <w:t>截止时间：2024-12-31</w:t>
            </w:r>
          </w:p>
        </w:tc>
      </w:tr>
      <w:tr w14:paraId="07F38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817739A">
            <w:pPr>
              <w:pStyle w:val="11"/>
            </w:pPr>
            <w:r>
              <w:t>项   目</w:t>
            </w:r>
          </w:p>
        </w:tc>
        <w:tc>
          <w:tcPr>
            <w:tcW w:w="2835" w:type="dxa"/>
            <w:vAlign w:val="center"/>
          </w:tcPr>
          <w:p w14:paraId="206D7CC4">
            <w:pPr>
              <w:pStyle w:val="11"/>
            </w:pPr>
            <w:r>
              <w:t>数量</w:t>
            </w:r>
          </w:p>
        </w:tc>
        <w:tc>
          <w:tcPr>
            <w:tcW w:w="2835" w:type="dxa"/>
            <w:vAlign w:val="center"/>
          </w:tcPr>
          <w:p w14:paraId="02C1D469">
            <w:pPr>
              <w:pStyle w:val="11"/>
            </w:pPr>
            <w:r>
              <w:t>价值（金额单位：万元）</w:t>
            </w:r>
          </w:p>
        </w:tc>
      </w:tr>
      <w:tr w14:paraId="5152C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42673D">
            <w:pPr>
              <w:pStyle w:val="13"/>
            </w:pPr>
            <w:r>
              <w:t>资产总额</w:t>
            </w:r>
          </w:p>
        </w:tc>
        <w:tc>
          <w:tcPr>
            <w:tcW w:w="2835" w:type="dxa"/>
            <w:vAlign w:val="center"/>
          </w:tcPr>
          <w:p w14:paraId="7C5C322B">
            <w:pPr>
              <w:pStyle w:val="12"/>
            </w:pPr>
          </w:p>
        </w:tc>
        <w:tc>
          <w:tcPr>
            <w:tcW w:w="2835" w:type="dxa"/>
            <w:vAlign w:val="center"/>
          </w:tcPr>
          <w:p w14:paraId="3917E52B">
            <w:pPr>
              <w:pStyle w:val="14"/>
            </w:pPr>
            <w:r>
              <w:t>14116.69</w:t>
            </w:r>
          </w:p>
        </w:tc>
      </w:tr>
      <w:tr w14:paraId="2296B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97B523">
            <w:pPr>
              <w:pStyle w:val="13"/>
            </w:pPr>
            <w:r>
              <w:t>1、房屋（平方米）</w:t>
            </w:r>
          </w:p>
        </w:tc>
        <w:tc>
          <w:tcPr>
            <w:tcW w:w="2835" w:type="dxa"/>
            <w:vAlign w:val="center"/>
          </w:tcPr>
          <w:p w14:paraId="0B979DCD">
            <w:pPr>
              <w:pStyle w:val="12"/>
            </w:pPr>
            <w:r>
              <w:t>47304.82</w:t>
            </w:r>
          </w:p>
        </w:tc>
        <w:tc>
          <w:tcPr>
            <w:tcW w:w="2835" w:type="dxa"/>
            <w:vAlign w:val="center"/>
          </w:tcPr>
          <w:p w14:paraId="249BA066">
            <w:pPr>
              <w:pStyle w:val="14"/>
            </w:pPr>
            <w:r>
              <w:t>10652.88</w:t>
            </w:r>
          </w:p>
        </w:tc>
      </w:tr>
      <w:tr w14:paraId="5F282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9B466C">
            <w:pPr>
              <w:pStyle w:val="13"/>
            </w:pPr>
            <w:r>
              <w:t>　　其中：办公用房（平方米）</w:t>
            </w:r>
          </w:p>
        </w:tc>
        <w:tc>
          <w:tcPr>
            <w:tcW w:w="2835" w:type="dxa"/>
            <w:vAlign w:val="center"/>
          </w:tcPr>
          <w:p w14:paraId="4F621890">
            <w:pPr>
              <w:pStyle w:val="12"/>
            </w:pPr>
            <w:r>
              <w:t>19739.30</w:t>
            </w:r>
          </w:p>
        </w:tc>
        <w:tc>
          <w:tcPr>
            <w:tcW w:w="2835" w:type="dxa"/>
            <w:vAlign w:val="center"/>
          </w:tcPr>
          <w:p w14:paraId="1417045E">
            <w:pPr>
              <w:pStyle w:val="14"/>
            </w:pPr>
            <w:r>
              <w:t>444.85</w:t>
            </w:r>
          </w:p>
        </w:tc>
      </w:tr>
      <w:tr w14:paraId="1F6A9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201D6A">
            <w:pPr>
              <w:pStyle w:val="13"/>
            </w:pPr>
            <w:r>
              <w:t>2、车辆（台、辆）</w:t>
            </w:r>
          </w:p>
        </w:tc>
        <w:tc>
          <w:tcPr>
            <w:tcW w:w="2835" w:type="dxa"/>
            <w:vAlign w:val="center"/>
          </w:tcPr>
          <w:p w14:paraId="56F44D6B">
            <w:pPr>
              <w:pStyle w:val="12"/>
            </w:pPr>
          </w:p>
        </w:tc>
        <w:tc>
          <w:tcPr>
            <w:tcW w:w="2835" w:type="dxa"/>
            <w:vAlign w:val="center"/>
          </w:tcPr>
          <w:p w14:paraId="3E842C27">
            <w:pPr>
              <w:pStyle w:val="14"/>
            </w:pPr>
          </w:p>
        </w:tc>
      </w:tr>
      <w:tr w14:paraId="18788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04912F">
            <w:pPr>
              <w:pStyle w:val="13"/>
            </w:pPr>
            <w:r>
              <w:t>3、单价在20万元以上的设备</w:t>
            </w:r>
          </w:p>
        </w:tc>
        <w:tc>
          <w:tcPr>
            <w:tcW w:w="2835" w:type="dxa"/>
            <w:vAlign w:val="center"/>
          </w:tcPr>
          <w:p w14:paraId="735D0A15">
            <w:pPr>
              <w:pStyle w:val="12"/>
            </w:pPr>
          </w:p>
        </w:tc>
        <w:tc>
          <w:tcPr>
            <w:tcW w:w="2835" w:type="dxa"/>
            <w:vAlign w:val="center"/>
          </w:tcPr>
          <w:p w14:paraId="7D20ACA8">
            <w:pPr>
              <w:pStyle w:val="14"/>
            </w:pPr>
          </w:p>
        </w:tc>
      </w:tr>
      <w:tr w14:paraId="5D036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2FF0E4">
            <w:pPr>
              <w:pStyle w:val="13"/>
            </w:pPr>
            <w:r>
              <w:t>4、其他固定资产</w:t>
            </w:r>
          </w:p>
        </w:tc>
        <w:tc>
          <w:tcPr>
            <w:tcW w:w="2835" w:type="dxa"/>
            <w:vAlign w:val="center"/>
          </w:tcPr>
          <w:p w14:paraId="2F97857F">
            <w:pPr>
              <w:pStyle w:val="12"/>
            </w:pPr>
            <w:r>
              <w:t>334719</w:t>
            </w:r>
          </w:p>
        </w:tc>
        <w:tc>
          <w:tcPr>
            <w:tcW w:w="2835" w:type="dxa"/>
            <w:vAlign w:val="center"/>
          </w:tcPr>
          <w:p w14:paraId="1C54551D">
            <w:pPr>
              <w:pStyle w:val="14"/>
            </w:pPr>
            <w:r>
              <w:t>3463.81</w:t>
            </w:r>
          </w:p>
        </w:tc>
      </w:tr>
    </w:tbl>
    <w:p w14:paraId="2F7044C4">
      <w:pPr>
        <w:spacing w:before="0" w:after="0"/>
        <w:ind w:firstLine="640"/>
        <w:jc w:val="left"/>
        <w:outlineLvl w:val="9"/>
      </w:pPr>
      <w:r>
        <w:rPr>
          <w:rFonts w:ascii="Times New Roman" w:hAnsi="Times New Roman" w:eastAsia="方正仿宋_GBK" w:cs="Times New Roman"/>
          <w:color w:val="000000"/>
          <w:sz w:val="32"/>
        </w:rPr>
        <w:t xml:space="preserve"> </w:t>
      </w:r>
    </w:p>
    <w:p w14:paraId="66BFE621">
      <w:pPr>
        <w:spacing w:before="10" w:after="10" w:line="240" w:lineRule="auto"/>
        <w:ind w:firstLine="640"/>
        <w:jc w:val="left"/>
        <w:outlineLvl w:val="5"/>
      </w:pPr>
      <w:r>
        <w:rPr>
          <w:rFonts w:ascii="黑体" w:hAnsi="黑体" w:eastAsia="黑体" w:cs="黑体"/>
          <w:color w:val="000000"/>
          <w:sz w:val="32"/>
        </w:rPr>
        <w:t>八、名词解释</w:t>
      </w:r>
    </w:p>
    <w:p w14:paraId="608E604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C66E1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4652D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2BF53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253B4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38AB7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EF54D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6F424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93D54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2F2D2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D537C2">
      <w:pPr>
        <w:spacing w:before="10" w:after="10" w:line="240" w:lineRule="auto"/>
        <w:ind w:firstLine="640"/>
        <w:jc w:val="left"/>
        <w:outlineLvl w:val="5"/>
      </w:pPr>
      <w:r>
        <w:rPr>
          <w:rFonts w:ascii="黑体" w:hAnsi="黑体" w:eastAsia="黑体" w:cs="黑体"/>
          <w:color w:val="000000"/>
          <w:sz w:val="32"/>
        </w:rPr>
        <w:t>九、其他需要说明的事项</w:t>
      </w:r>
    </w:p>
    <w:p w14:paraId="65E419F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28897B1">
      <w:pPr>
        <w:spacing w:before="0" w:after="0"/>
        <w:ind w:firstLine="0"/>
        <w:jc w:val="center"/>
        <w:outlineLvl w:val="3"/>
      </w:pPr>
      <w:bookmarkStart w:id="16" w:name="_Toc_4_4_0000000036"/>
      <w:r>
        <w:rPr>
          <w:rFonts w:ascii="方正小标宋_GBK" w:hAnsi="方正小标宋_GBK" w:eastAsia="方正小标宋_GBK" w:cs="方正小标宋_GBK"/>
          <w:b w:val="0"/>
          <w:color w:val="000000"/>
          <w:sz w:val="44"/>
        </w:rPr>
        <w:t>十六、隆尧县魏庄校区收支预算</w:t>
      </w:r>
      <w:bookmarkEnd w:id="16"/>
    </w:p>
    <w:p w14:paraId="1BA62C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49B1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06F69D">
            <w:pPr>
              <w:pStyle w:val="8"/>
            </w:pPr>
            <w:r>
              <w:t>360017隆尧县魏庄校区</w:t>
            </w:r>
          </w:p>
        </w:tc>
        <w:tc>
          <w:tcPr>
            <w:tcW w:w="2126" w:type="dxa"/>
            <w:tcBorders>
              <w:top w:val="single" w:color="FFFFFF" w:sz="6" w:space="0"/>
              <w:left w:val="single" w:color="FFFFFF" w:sz="6" w:space="0"/>
              <w:right w:val="single" w:color="FFFFFF" w:sz="6" w:space="0"/>
            </w:tcBorders>
            <w:vAlign w:val="center"/>
          </w:tcPr>
          <w:p w14:paraId="45AF7C08">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6E1989A">
            <w:pPr>
              <w:pStyle w:val="10"/>
            </w:pPr>
            <w:r>
              <w:t>单位：万元</w:t>
            </w:r>
          </w:p>
        </w:tc>
      </w:tr>
      <w:tr w14:paraId="24888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D44AE">
            <w:pPr>
              <w:pStyle w:val="11"/>
            </w:pPr>
            <w:r>
              <w:t>序号</w:t>
            </w:r>
          </w:p>
        </w:tc>
        <w:tc>
          <w:tcPr>
            <w:tcW w:w="6661" w:type="dxa"/>
            <w:gridSpan w:val="2"/>
            <w:vAlign w:val="center"/>
          </w:tcPr>
          <w:p w14:paraId="0963891D">
            <w:pPr>
              <w:pStyle w:val="11"/>
            </w:pPr>
            <w:r>
              <w:t>收入</w:t>
            </w:r>
          </w:p>
        </w:tc>
        <w:tc>
          <w:tcPr>
            <w:tcW w:w="6661" w:type="dxa"/>
            <w:gridSpan w:val="2"/>
            <w:vAlign w:val="center"/>
          </w:tcPr>
          <w:p w14:paraId="60986608">
            <w:pPr>
              <w:pStyle w:val="11"/>
            </w:pPr>
            <w:r>
              <w:t>支出</w:t>
            </w:r>
          </w:p>
        </w:tc>
      </w:tr>
      <w:tr w14:paraId="2D32E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B46DD"/>
        </w:tc>
        <w:tc>
          <w:tcPr>
            <w:tcW w:w="4535" w:type="dxa"/>
            <w:vAlign w:val="center"/>
          </w:tcPr>
          <w:p w14:paraId="6B6E18AF">
            <w:pPr>
              <w:pStyle w:val="11"/>
            </w:pPr>
            <w:r>
              <w:t>项  目</w:t>
            </w:r>
          </w:p>
        </w:tc>
        <w:tc>
          <w:tcPr>
            <w:tcW w:w="2126" w:type="dxa"/>
            <w:vAlign w:val="center"/>
          </w:tcPr>
          <w:p w14:paraId="1980CCFA">
            <w:pPr>
              <w:pStyle w:val="11"/>
            </w:pPr>
            <w:r>
              <w:t>预算数</w:t>
            </w:r>
          </w:p>
        </w:tc>
        <w:tc>
          <w:tcPr>
            <w:tcW w:w="4535" w:type="dxa"/>
            <w:vAlign w:val="center"/>
          </w:tcPr>
          <w:p w14:paraId="36E62072">
            <w:pPr>
              <w:pStyle w:val="11"/>
            </w:pPr>
            <w:r>
              <w:t>项  目</w:t>
            </w:r>
          </w:p>
        </w:tc>
        <w:tc>
          <w:tcPr>
            <w:tcW w:w="2126" w:type="dxa"/>
            <w:vAlign w:val="center"/>
          </w:tcPr>
          <w:p w14:paraId="39F44E28">
            <w:pPr>
              <w:pStyle w:val="11"/>
            </w:pPr>
            <w:r>
              <w:t>预算数</w:t>
            </w:r>
          </w:p>
        </w:tc>
      </w:tr>
      <w:tr w14:paraId="39080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52D06">
            <w:pPr>
              <w:pStyle w:val="11"/>
            </w:pPr>
            <w:r>
              <w:t>栏次</w:t>
            </w:r>
          </w:p>
        </w:tc>
        <w:tc>
          <w:tcPr>
            <w:tcW w:w="4535" w:type="dxa"/>
            <w:vAlign w:val="center"/>
          </w:tcPr>
          <w:p w14:paraId="0F7CEF81">
            <w:pPr>
              <w:pStyle w:val="11"/>
            </w:pPr>
            <w:r>
              <w:t>1</w:t>
            </w:r>
          </w:p>
        </w:tc>
        <w:tc>
          <w:tcPr>
            <w:tcW w:w="2126" w:type="dxa"/>
            <w:vAlign w:val="center"/>
          </w:tcPr>
          <w:p w14:paraId="1F84A011">
            <w:pPr>
              <w:pStyle w:val="11"/>
            </w:pPr>
            <w:r>
              <w:t>2</w:t>
            </w:r>
          </w:p>
        </w:tc>
        <w:tc>
          <w:tcPr>
            <w:tcW w:w="4535" w:type="dxa"/>
            <w:vAlign w:val="center"/>
          </w:tcPr>
          <w:p w14:paraId="23BC4173">
            <w:pPr>
              <w:pStyle w:val="11"/>
            </w:pPr>
            <w:r>
              <w:t>3</w:t>
            </w:r>
          </w:p>
        </w:tc>
        <w:tc>
          <w:tcPr>
            <w:tcW w:w="2126" w:type="dxa"/>
            <w:vAlign w:val="center"/>
          </w:tcPr>
          <w:p w14:paraId="6D793934">
            <w:pPr>
              <w:pStyle w:val="11"/>
            </w:pPr>
            <w:r>
              <w:t>4</w:t>
            </w:r>
          </w:p>
        </w:tc>
      </w:tr>
      <w:tr w14:paraId="7F2DD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749DA">
            <w:pPr>
              <w:pStyle w:val="12"/>
            </w:pPr>
            <w:r>
              <w:t>1</w:t>
            </w:r>
          </w:p>
        </w:tc>
        <w:tc>
          <w:tcPr>
            <w:tcW w:w="4535" w:type="dxa"/>
            <w:vAlign w:val="center"/>
          </w:tcPr>
          <w:p w14:paraId="338DF8D8">
            <w:pPr>
              <w:pStyle w:val="13"/>
            </w:pPr>
            <w:r>
              <w:t>一、一般公共预算拨款收入</w:t>
            </w:r>
          </w:p>
        </w:tc>
        <w:tc>
          <w:tcPr>
            <w:tcW w:w="2126" w:type="dxa"/>
            <w:vAlign w:val="center"/>
          </w:tcPr>
          <w:p w14:paraId="24D790BB">
            <w:pPr>
              <w:pStyle w:val="14"/>
            </w:pPr>
            <w:r>
              <w:t>3137.35</w:t>
            </w:r>
          </w:p>
        </w:tc>
        <w:tc>
          <w:tcPr>
            <w:tcW w:w="4535" w:type="dxa"/>
            <w:vAlign w:val="center"/>
          </w:tcPr>
          <w:p w14:paraId="3B557899">
            <w:pPr>
              <w:pStyle w:val="13"/>
            </w:pPr>
            <w:r>
              <w:t>一、一般公共服务支出</w:t>
            </w:r>
          </w:p>
        </w:tc>
        <w:tc>
          <w:tcPr>
            <w:tcW w:w="2126" w:type="dxa"/>
            <w:vAlign w:val="center"/>
          </w:tcPr>
          <w:p w14:paraId="28FB52FD">
            <w:pPr>
              <w:pStyle w:val="14"/>
            </w:pPr>
          </w:p>
        </w:tc>
      </w:tr>
      <w:tr w14:paraId="31EAF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AB96F">
            <w:pPr>
              <w:pStyle w:val="12"/>
            </w:pPr>
            <w:r>
              <w:t>2</w:t>
            </w:r>
          </w:p>
        </w:tc>
        <w:tc>
          <w:tcPr>
            <w:tcW w:w="4535" w:type="dxa"/>
            <w:vAlign w:val="center"/>
          </w:tcPr>
          <w:p w14:paraId="34ADA43D">
            <w:pPr>
              <w:pStyle w:val="13"/>
            </w:pPr>
            <w:r>
              <w:t>二、政府性基金预算拨款收入</w:t>
            </w:r>
          </w:p>
        </w:tc>
        <w:tc>
          <w:tcPr>
            <w:tcW w:w="2126" w:type="dxa"/>
            <w:vAlign w:val="center"/>
          </w:tcPr>
          <w:p w14:paraId="76BBAF36">
            <w:pPr>
              <w:pStyle w:val="14"/>
            </w:pPr>
          </w:p>
        </w:tc>
        <w:tc>
          <w:tcPr>
            <w:tcW w:w="4535" w:type="dxa"/>
            <w:vAlign w:val="center"/>
          </w:tcPr>
          <w:p w14:paraId="283B59D7">
            <w:pPr>
              <w:pStyle w:val="13"/>
            </w:pPr>
            <w:r>
              <w:t>二、外交支出</w:t>
            </w:r>
          </w:p>
        </w:tc>
        <w:tc>
          <w:tcPr>
            <w:tcW w:w="2126" w:type="dxa"/>
            <w:vAlign w:val="center"/>
          </w:tcPr>
          <w:p w14:paraId="244B8DB6">
            <w:pPr>
              <w:pStyle w:val="14"/>
            </w:pPr>
          </w:p>
        </w:tc>
      </w:tr>
      <w:tr w14:paraId="35BBF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C4BE9">
            <w:pPr>
              <w:pStyle w:val="12"/>
            </w:pPr>
            <w:r>
              <w:t>3</w:t>
            </w:r>
          </w:p>
        </w:tc>
        <w:tc>
          <w:tcPr>
            <w:tcW w:w="4535" w:type="dxa"/>
            <w:vAlign w:val="center"/>
          </w:tcPr>
          <w:p w14:paraId="7DA06C40">
            <w:pPr>
              <w:pStyle w:val="13"/>
            </w:pPr>
            <w:r>
              <w:t>三、国有资本经营预算拨款收入</w:t>
            </w:r>
          </w:p>
        </w:tc>
        <w:tc>
          <w:tcPr>
            <w:tcW w:w="2126" w:type="dxa"/>
            <w:vAlign w:val="center"/>
          </w:tcPr>
          <w:p w14:paraId="2016D7F3">
            <w:pPr>
              <w:pStyle w:val="14"/>
            </w:pPr>
          </w:p>
        </w:tc>
        <w:tc>
          <w:tcPr>
            <w:tcW w:w="4535" w:type="dxa"/>
            <w:vAlign w:val="center"/>
          </w:tcPr>
          <w:p w14:paraId="081C71C1">
            <w:pPr>
              <w:pStyle w:val="13"/>
            </w:pPr>
            <w:r>
              <w:t>三、国防支出</w:t>
            </w:r>
          </w:p>
        </w:tc>
        <w:tc>
          <w:tcPr>
            <w:tcW w:w="2126" w:type="dxa"/>
            <w:vAlign w:val="center"/>
          </w:tcPr>
          <w:p w14:paraId="5B6F2E99">
            <w:pPr>
              <w:pStyle w:val="14"/>
            </w:pPr>
          </w:p>
        </w:tc>
      </w:tr>
      <w:tr w14:paraId="0DE22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0857C">
            <w:pPr>
              <w:pStyle w:val="12"/>
            </w:pPr>
            <w:r>
              <w:t>4</w:t>
            </w:r>
          </w:p>
        </w:tc>
        <w:tc>
          <w:tcPr>
            <w:tcW w:w="4535" w:type="dxa"/>
            <w:vAlign w:val="center"/>
          </w:tcPr>
          <w:p w14:paraId="63122787">
            <w:pPr>
              <w:pStyle w:val="13"/>
            </w:pPr>
            <w:r>
              <w:t>四、财政专户管理资金收入</w:t>
            </w:r>
          </w:p>
        </w:tc>
        <w:tc>
          <w:tcPr>
            <w:tcW w:w="2126" w:type="dxa"/>
            <w:vAlign w:val="center"/>
          </w:tcPr>
          <w:p w14:paraId="420165B6">
            <w:pPr>
              <w:pStyle w:val="14"/>
            </w:pPr>
          </w:p>
        </w:tc>
        <w:tc>
          <w:tcPr>
            <w:tcW w:w="4535" w:type="dxa"/>
            <w:vAlign w:val="center"/>
          </w:tcPr>
          <w:p w14:paraId="71B20987">
            <w:pPr>
              <w:pStyle w:val="13"/>
            </w:pPr>
            <w:r>
              <w:t>四、公共安全支出</w:t>
            </w:r>
          </w:p>
        </w:tc>
        <w:tc>
          <w:tcPr>
            <w:tcW w:w="2126" w:type="dxa"/>
            <w:vAlign w:val="center"/>
          </w:tcPr>
          <w:p w14:paraId="14217A8D">
            <w:pPr>
              <w:pStyle w:val="14"/>
            </w:pPr>
          </w:p>
        </w:tc>
      </w:tr>
      <w:tr w14:paraId="44AD6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CE530">
            <w:pPr>
              <w:pStyle w:val="12"/>
            </w:pPr>
            <w:r>
              <w:t>5</w:t>
            </w:r>
          </w:p>
        </w:tc>
        <w:tc>
          <w:tcPr>
            <w:tcW w:w="4535" w:type="dxa"/>
            <w:vAlign w:val="center"/>
          </w:tcPr>
          <w:p w14:paraId="61E53E90">
            <w:pPr>
              <w:pStyle w:val="13"/>
            </w:pPr>
            <w:r>
              <w:t>五、单位资金</w:t>
            </w:r>
          </w:p>
        </w:tc>
        <w:tc>
          <w:tcPr>
            <w:tcW w:w="2126" w:type="dxa"/>
            <w:vAlign w:val="center"/>
          </w:tcPr>
          <w:p w14:paraId="13756D6C">
            <w:pPr>
              <w:pStyle w:val="14"/>
            </w:pPr>
          </w:p>
        </w:tc>
        <w:tc>
          <w:tcPr>
            <w:tcW w:w="4535" w:type="dxa"/>
            <w:vAlign w:val="center"/>
          </w:tcPr>
          <w:p w14:paraId="22C1DF27">
            <w:pPr>
              <w:pStyle w:val="13"/>
            </w:pPr>
            <w:r>
              <w:t>五、教育支出</w:t>
            </w:r>
          </w:p>
        </w:tc>
        <w:tc>
          <w:tcPr>
            <w:tcW w:w="2126" w:type="dxa"/>
            <w:vAlign w:val="center"/>
          </w:tcPr>
          <w:p w14:paraId="33CD1D85">
            <w:pPr>
              <w:pStyle w:val="14"/>
            </w:pPr>
            <w:r>
              <w:t>3178.44</w:t>
            </w:r>
          </w:p>
        </w:tc>
      </w:tr>
      <w:tr w14:paraId="3A660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F1D79">
            <w:pPr>
              <w:pStyle w:val="12"/>
            </w:pPr>
            <w:r>
              <w:t>6</w:t>
            </w:r>
          </w:p>
        </w:tc>
        <w:tc>
          <w:tcPr>
            <w:tcW w:w="4535" w:type="dxa"/>
            <w:vAlign w:val="center"/>
          </w:tcPr>
          <w:p w14:paraId="01F51206">
            <w:pPr>
              <w:pStyle w:val="13"/>
            </w:pPr>
          </w:p>
        </w:tc>
        <w:tc>
          <w:tcPr>
            <w:tcW w:w="2126" w:type="dxa"/>
            <w:vAlign w:val="center"/>
          </w:tcPr>
          <w:p w14:paraId="4067D657">
            <w:pPr>
              <w:pStyle w:val="14"/>
            </w:pPr>
          </w:p>
        </w:tc>
        <w:tc>
          <w:tcPr>
            <w:tcW w:w="4535" w:type="dxa"/>
            <w:vAlign w:val="center"/>
          </w:tcPr>
          <w:p w14:paraId="46B6997C">
            <w:pPr>
              <w:pStyle w:val="13"/>
            </w:pPr>
            <w:r>
              <w:t>六、科学技术支出</w:t>
            </w:r>
          </w:p>
        </w:tc>
        <w:tc>
          <w:tcPr>
            <w:tcW w:w="2126" w:type="dxa"/>
            <w:vAlign w:val="center"/>
          </w:tcPr>
          <w:p w14:paraId="3DC7A079">
            <w:pPr>
              <w:pStyle w:val="14"/>
            </w:pPr>
          </w:p>
        </w:tc>
      </w:tr>
      <w:tr w14:paraId="07B76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089F0">
            <w:pPr>
              <w:pStyle w:val="12"/>
            </w:pPr>
            <w:r>
              <w:t>7</w:t>
            </w:r>
          </w:p>
        </w:tc>
        <w:tc>
          <w:tcPr>
            <w:tcW w:w="4535" w:type="dxa"/>
            <w:vAlign w:val="center"/>
          </w:tcPr>
          <w:p w14:paraId="6B39E842">
            <w:pPr>
              <w:pStyle w:val="13"/>
            </w:pPr>
          </w:p>
        </w:tc>
        <w:tc>
          <w:tcPr>
            <w:tcW w:w="2126" w:type="dxa"/>
            <w:vAlign w:val="center"/>
          </w:tcPr>
          <w:p w14:paraId="4FC105DB">
            <w:pPr>
              <w:pStyle w:val="14"/>
            </w:pPr>
          </w:p>
        </w:tc>
        <w:tc>
          <w:tcPr>
            <w:tcW w:w="4535" w:type="dxa"/>
            <w:vAlign w:val="center"/>
          </w:tcPr>
          <w:p w14:paraId="379EE112">
            <w:pPr>
              <w:pStyle w:val="13"/>
            </w:pPr>
            <w:r>
              <w:t>七、文化旅游体育与传媒支出</w:t>
            </w:r>
          </w:p>
        </w:tc>
        <w:tc>
          <w:tcPr>
            <w:tcW w:w="2126" w:type="dxa"/>
            <w:vAlign w:val="center"/>
          </w:tcPr>
          <w:p w14:paraId="12606068">
            <w:pPr>
              <w:pStyle w:val="14"/>
            </w:pPr>
          </w:p>
        </w:tc>
      </w:tr>
      <w:tr w14:paraId="5DC30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8B9E3">
            <w:pPr>
              <w:pStyle w:val="12"/>
            </w:pPr>
            <w:r>
              <w:t>8</w:t>
            </w:r>
          </w:p>
        </w:tc>
        <w:tc>
          <w:tcPr>
            <w:tcW w:w="4535" w:type="dxa"/>
            <w:vAlign w:val="center"/>
          </w:tcPr>
          <w:p w14:paraId="3B8536B6">
            <w:pPr>
              <w:pStyle w:val="13"/>
            </w:pPr>
          </w:p>
        </w:tc>
        <w:tc>
          <w:tcPr>
            <w:tcW w:w="2126" w:type="dxa"/>
            <w:vAlign w:val="center"/>
          </w:tcPr>
          <w:p w14:paraId="33FE9D38">
            <w:pPr>
              <w:pStyle w:val="14"/>
            </w:pPr>
          </w:p>
        </w:tc>
        <w:tc>
          <w:tcPr>
            <w:tcW w:w="4535" w:type="dxa"/>
            <w:vAlign w:val="center"/>
          </w:tcPr>
          <w:p w14:paraId="1167F2F2">
            <w:pPr>
              <w:pStyle w:val="13"/>
            </w:pPr>
            <w:r>
              <w:t>八、社会保障和就业支出</w:t>
            </w:r>
          </w:p>
        </w:tc>
        <w:tc>
          <w:tcPr>
            <w:tcW w:w="2126" w:type="dxa"/>
            <w:vAlign w:val="center"/>
          </w:tcPr>
          <w:p w14:paraId="6344DA1E">
            <w:pPr>
              <w:pStyle w:val="14"/>
            </w:pPr>
          </w:p>
        </w:tc>
      </w:tr>
      <w:tr w14:paraId="15EB4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B4E6D">
            <w:pPr>
              <w:pStyle w:val="12"/>
            </w:pPr>
            <w:r>
              <w:t>9</w:t>
            </w:r>
          </w:p>
        </w:tc>
        <w:tc>
          <w:tcPr>
            <w:tcW w:w="4535" w:type="dxa"/>
            <w:vAlign w:val="center"/>
          </w:tcPr>
          <w:p w14:paraId="1F6A8704">
            <w:pPr>
              <w:pStyle w:val="13"/>
            </w:pPr>
          </w:p>
        </w:tc>
        <w:tc>
          <w:tcPr>
            <w:tcW w:w="2126" w:type="dxa"/>
            <w:vAlign w:val="center"/>
          </w:tcPr>
          <w:p w14:paraId="115AE623">
            <w:pPr>
              <w:pStyle w:val="14"/>
            </w:pPr>
          </w:p>
        </w:tc>
        <w:tc>
          <w:tcPr>
            <w:tcW w:w="4535" w:type="dxa"/>
            <w:vAlign w:val="center"/>
          </w:tcPr>
          <w:p w14:paraId="05ED9F8B">
            <w:pPr>
              <w:pStyle w:val="13"/>
            </w:pPr>
            <w:r>
              <w:t>九、社会保险基金支出</w:t>
            </w:r>
          </w:p>
        </w:tc>
        <w:tc>
          <w:tcPr>
            <w:tcW w:w="2126" w:type="dxa"/>
            <w:vAlign w:val="center"/>
          </w:tcPr>
          <w:p w14:paraId="3D477CF5">
            <w:pPr>
              <w:pStyle w:val="14"/>
            </w:pPr>
          </w:p>
        </w:tc>
      </w:tr>
      <w:tr w14:paraId="153F7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AFBE8">
            <w:pPr>
              <w:pStyle w:val="12"/>
            </w:pPr>
            <w:r>
              <w:t>10</w:t>
            </w:r>
          </w:p>
        </w:tc>
        <w:tc>
          <w:tcPr>
            <w:tcW w:w="4535" w:type="dxa"/>
            <w:vAlign w:val="center"/>
          </w:tcPr>
          <w:p w14:paraId="52EAB1F8">
            <w:pPr>
              <w:pStyle w:val="13"/>
            </w:pPr>
          </w:p>
        </w:tc>
        <w:tc>
          <w:tcPr>
            <w:tcW w:w="2126" w:type="dxa"/>
            <w:vAlign w:val="center"/>
          </w:tcPr>
          <w:p w14:paraId="6FFE5E6F">
            <w:pPr>
              <w:pStyle w:val="14"/>
            </w:pPr>
          </w:p>
        </w:tc>
        <w:tc>
          <w:tcPr>
            <w:tcW w:w="4535" w:type="dxa"/>
            <w:vAlign w:val="center"/>
          </w:tcPr>
          <w:p w14:paraId="5C9E082E">
            <w:pPr>
              <w:pStyle w:val="13"/>
            </w:pPr>
            <w:r>
              <w:t>十、卫生健康支出</w:t>
            </w:r>
          </w:p>
        </w:tc>
        <w:tc>
          <w:tcPr>
            <w:tcW w:w="2126" w:type="dxa"/>
            <w:vAlign w:val="center"/>
          </w:tcPr>
          <w:p w14:paraId="0FADB787">
            <w:pPr>
              <w:pStyle w:val="14"/>
            </w:pPr>
          </w:p>
        </w:tc>
      </w:tr>
      <w:tr w14:paraId="75A90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D1BAA">
            <w:pPr>
              <w:pStyle w:val="12"/>
            </w:pPr>
            <w:r>
              <w:t>11</w:t>
            </w:r>
          </w:p>
        </w:tc>
        <w:tc>
          <w:tcPr>
            <w:tcW w:w="4535" w:type="dxa"/>
            <w:vAlign w:val="center"/>
          </w:tcPr>
          <w:p w14:paraId="5635AB0E">
            <w:pPr>
              <w:pStyle w:val="13"/>
            </w:pPr>
          </w:p>
        </w:tc>
        <w:tc>
          <w:tcPr>
            <w:tcW w:w="2126" w:type="dxa"/>
            <w:vAlign w:val="center"/>
          </w:tcPr>
          <w:p w14:paraId="37948C6A">
            <w:pPr>
              <w:pStyle w:val="14"/>
            </w:pPr>
          </w:p>
        </w:tc>
        <w:tc>
          <w:tcPr>
            <w:tcW w:w="4535" w:type="dxa"/>
            <w:vAlign w:val="center"/>
          </w:tcPr>
          <w:p w14:paraId="431C1F15">
            <w:pPr>
              <w:pStyle w:val="13"/>
            </w:pPr>
            <w:r>
              <w:t>十一、节能环保支出</w:t>
            </w:r>
          </w:p>
        </w:tc>
        <w:tc>
          <w:tcPr>
            <w:tcW w:w="2126" w:type="dxa"/>
            <w:vAlign w:val="center"/>
          </w:tcPr>
          <w:p w14:paraId="536136FF">
            <w:pPr>
              <w:pStyle w:val="14"/>
            </w:pPr>
          </w:p>
        </w:tc>
      </w:tr>
      <w:tr w14:paraId="2CE82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518D3">
            <w:pPr>
              <w:pStyle w:val="12"/>
            </w:pPr>
            <w:r>
              <w:t>12</w:t>
            </w:r>
          </w:p>
        </w:tc>
        <w:tc>
          <w:tcPr>
            <w:tcW w:w="4535" w:type="dxa"/>
            <w:vAlign w:val="center"/>
          </w:tcPr>
          <w:p w14:paraId="2175E567">
            <w:pPr>
              <w:pStyle w:val="13"/>
            </w:pPr>
          </w:p>
        </w:tc>
        <w:tc>
          <w:tcPr>
            <w:tcW w:w="2126" w:type="dxa"/>
            <w:vAlign w:val="center"/>
          </w:tcPr>
          <w:p w14:paraId="675BA652">
            <w:pPr>
              <w:pStyle w:val="14"/>
            </w:pPr>
          </w:p>
        </w:tc>
        <w:tc>
          <w:tcPr>
            <w:tcW w:w="4535" w:type="dxa"/>
            <w:vAlign w:val="center"/>
          </w:tcPr>
          <w:p w14:paraId="362530ED">
            <w:pPr>
              <w:pStyle w:val="13"/>
            </w:pPr>
            <w:r>
              <w:t>十二、城乡社区支出</w:t>
            </w:r>
          </w:p>
        </w:tc>
        <w:tc>
          <w:tcPr>
            <w:tcW w:w="2126" w:type="dxa"/>
            <w:vAlign w:val="center"/>
          </w:tcPr>
          <w:p w14:paraId="2CB0EFC5">
            <w:pPr>
              <w:pStyle w:val="14"/>
            </w:pPr>
          </w:p>
        </w:tc>
      </w:tr>
      <w:tr w14:paraId="2407B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791B1">
            <w:pPr>
              <w:pStyle w:val="12"/>
            </w:pPr>
            <w:r>
              <w:t>13</w:t>
            </w:r>
          </w:p>
        </w:tc>
        <w:tc>
          <w:tcPr>
            <w:tcW w:w="4535" w:type="dxa"/>
            <w:vAlign w:val="center"/>
          </w:tcPr>
          <w:p w14:paraId="787A6DA5">
            <w:pPr>
              <w:pStyle w:val="13"/>
            </w:pPr>
          </w:p>
        </w:tc>
        <w:tc>
          <w:tcPr>
            <w:tcW w:w="2126" w:type="dxa"/>
            <w:vAlign w:val="center"/>
          </w:tcPr>
          <w:p w14:paraId="4D4E50EA">
            <w:pPr>
              <w:pStyle w:val="14"/>
            </w:pPr>
          </w:p>
        </w:tc>
        <w:tc>
          <w:tcPr>
            <w:tcW w:w="4535" w:type="dxa"/>
            <w:vAlign w:val="center"/>
          </w:tcPr>
          <w:p w14:paraId="3EB94F0D">
            <w:pPr>
              <w:pStyle w:val="13"/>
            </w:pPr>
            <w:r>
              <w:t>十三、农林水支出</w:t>
            </w:r>
          </w:p>
        </w:tc>
        <w:tc>
          <w:tcPr>
            <w:tcW w:w="2126" w:type="dxa"/>
            <w:vAlign w:val="center"/>
          </w:tcPr>
          <w:p w14:paraId="73EB4585">
            <w:pPr>
              <w:pStyle w:val="14"/>
            </w:pPr>
          </w:p>
        </w:tc>
      </w:tr>
      <w:tr w14:paraId="5CF1C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08168">
            <w:pPr>
              <w:pStyle w:val="12"/>
            </w:pPr>
            <w:r>
              <w:t>14</w:t>
            </w:r>
          </w:p>
        </w:tc>
        <w:tc>
          <w:tcPr>
            <w:tcW w:w="4535" w:type="dxa"/>
            <w:vAlign w:val="center"/>
          </w:tcPr>
          <w:p w14:paraId="7F6C378F">
            <w:pPr>
              <w:pStyle w:val="13"/>
            </w:pPr>
          </w:p>
        </w:tc>
        <w:tc>
          <w:tcPr>
            <w:tcW w:w="2126" w:type="dxa"/>
            <w:vAlign w:val="center"/>
          </w:tcPr>
          <w:p w14:paraId="6810024B">
            <w:pPr>
              <w:pStyle w:val="14"/>
            </w:pPr>
          </w:p>
        </w:tc>
        <w:tc>
          <w:tcPr>
            <w:tcW w:w="4535" w:type="dxa"/>
            <w:vAlign w:val="center"/>
          </w:tcPr>
          <w:p w14:paraId="78701555">
            <w:pPr>
              <w:pStyle w:val="13"/>
            </w:pPr>
            <w:r>
              <w:t>十四、交通运输支出</w:t>
            </w:r>
          </w:p>
        </w:tc>
        <w:tc>
          <w:tcPr>
            <w:tcW w:w="2126" w:type="dxa"/>
            <w:vAlign w:val="center"/>
          </w:tcPr>
          <w:p w14:paraId="64AFA6F4">
            <w:pPr>
              <w:pStyle w:val="14"/>
            </w:pPr>
          </w:p>
        </w:tc>
      </w:tr>
      <w:tr w14:paraId="1D747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F08B5">
            <w:pPr>
              <w:pStyle w:val="12"/>
            </w:pPr>
            <w:r>
              <w:t>15</w:t>
            </w:r>
          </w:p>
        </w:tc>
        <w:tc>
          <w:tcPr>
            <w:tcW w:w="4535" w:type="dxa"/>
            <w:vAlign w:val="center"/>
          </w:tcPr>
          <w:p w14:paraId="70CA6617">
            <w:pPr>
              <w:pStyle w:val="13"/>
            </w:pPr>
          </w:p>
        </w:tc>
        <w:tc>
          <w:tcPr>
            <w:tcW w:w="2126" w:type="dxa"/>
            <w:vAlign w:val="center"/>
          </w:tcPr>
          <w:p w14:paraId="30336638">
            <w:pPr>
              <w:pStyle w:val="14"/>
            </w:pPr>
          </w:p>
        </w:tc>
        <w:tc>
          <w:tcPr>
            <w:tcW w:w="4535" w:type="dxa"/>
            <w:vAlign w:val="center"/>
          </w:tcPr>
          <w:p w14:paraId="322978A6">
            <w:pPr>
              <w:pStyle w:val="13"/>
            </w:pPr>
            <w:r>
              <w:t>十五、资源勘探工业信息等支出</w:t>
            </w:r>
          </w:p>
        </w:tc>
        <w:tc>
          <w:tcPr>
            <w:tcW w:w="2126" w:type="dxa"/>
            <w:vAlign w:val="center"/>
          </w:tcPr>
          <w:p w14:paraId="3289F711">
            <w:pPr>
              <w:pStyle w:val="14"/>
            </w:pPr>
          </w:p>
        </w:tc>
      </w:tr>
      <w:tr w14:paraId="42DE8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0330E">
            <w:pPr>
              <w:pStyle w:val="12"/>
            </w:pPr>
            <w:r>
              <w:t>16</w:t>
            </w:r>
          </w:p>
        </w:tc>
        <w:tc>
          <w:tcPr>
            <w:tcW w:w="4535" w:type="dxa"/>
            <w:vAlign w:val="center"/>
          </w:tcPr>
          <w:p w14:paraId="181FDFB2">
            <w:pPr>
              <w:pStyle w:val="13"/>
            </w:pPr>
          </w:p>
        </w:tc>
        <w:tc>
          <w:tcPr>
            <w:tcW w:w="2126" w:type="dxa"/>
            <w:vAlign w:val="center"/>
          </w:tcPr>
          <w:p w14:paraId="41BD884E">
            <w:pPr>
              <w:pStyle w:val="14"/>
            </w:pPr>
          </w:p>
        </w:tc>
        <w:tc>
          <w:tcPr>
            <w:tcW w:w="4535" w:type="dxa"/>
            <w:vAlign w:val="center"/>
          </w:tcPr>
          <w:p w14:paraId="265B32D8">
            <w:pPr>
              <w:pStyle w:val="13"/>
            </w:pPr>
            <w:r>
              <w:t>十六、商业服务业等支出</w:t>
            </w:r>
          </w:p>
        </w:tc>
        <w:tc>
          <w:tcPr>
            <w:tcW w:w="2126" w:type="dxa"/>
            <w:vAlign w:val="center"/>
          </w:tcPr>
          <w:p w14:paraId="560A18E6">
            <w:pPr>
              <w:pStyle w:val="14"/>
            </w:pPr>
          </w:p>
        </w:tc>
      </w:tr>
      <w:tr w14:paraId="552EE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D4A8D">
            <w:pPr>
              <w:pStyle w:val="12"/>
            </w:pPr>
            <w:r>
              <w:t>17</w:t>
            </w:r>
          </w:p>
        </w:tc>
        <w:tc>
          <w:tcPr>
            <w:tcW w:w="4535" w:type="dxa"/>
            <w:vAlign w:val="center"/>
          </w:tcPr>
          <w:p w14:paraId="081E9F1F">
            <w:pPr>
              <w:pStyle w:val="13"/>
            </w:pPr>
          </w:p>
        </w:tc>
        <w:tc>
          <w:tcPr>
            <w:tcW w:w="2126" w:type="dxa"/>
            <w:vAlign w:val="center"/>
          </w:tcPr>
          <w:p w14:paraId="26D14F6A">
            <w:pPr>
              <w:pStyle w:val="14"/>
            </w:pPr>
          </w:p>
        </w:tc>
        <w:tc>
          <w:tcPr>
            <w:tcW w:w="4535" w:type="dxa"/>
            <w:vAlign w:val="center"/>
          </w:tcPr>
          <w:p w14:paraId="2EE3E3B3">
            <w:pPr>
              <w:pStyle w:val="13"/>
            </w:pPr>
            <w:r>
              <w:t>十七、金融支出</w:t>
            </w:r>
          </w:p>
        </w:tc>
        <w:tc>
          <w:tcPr>
            <w:tcW w:w="2126" w:type="dxa"/>
            <w:vAlign w:val="center"/>
          </w:tcPr>
          <w:p w14:paraId="4F18B3DE">
            <w:pPr>
              <w:pStyle w:val="14"/>
            </w:pPr>
          </w:p>
        </w:tc>
      </w:tr>
      <w:tr w14:paraId="23965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E989D">
            <w:pPr>
              <w:pStyle w:val="12"/>
            </w:pPr>
            <w:r>
              <w:t>18</w:t>
            </w:r>
          </w:p>
        </w:tc>
        <w:tc>
          <w:tcPr>
            <w:tcW w:w="4535" w:type="dxa"/>
            <w:vAlign w:val="center"/>
          </w:tcPr>
          <w:p w14:paraId="561BE4DE">
            <w:pPr>
              <w:pStyle w:val="13"/>
            </w:pPr>
          </w:p>
        </w:tc>
        <w:tc>
          <w:tcPr>
            <w:tcW w:w="2126" w:type="dxa"/>
            <w:vAlign w:val="center"/>
          </w:tcPr>
          <w:p w14:paraId="5D80B152">
            <w:pPr>
              <w:pStyle w:val="14"/>
            </w:pPr>
          </w:p>
        </w:tc>
        <w:tc>
          <w:tcPr>
            <w:tcW w:w="4535" w:type="dxa"/>
            <w:vAlign w:val="center"/>
          </w:tcPr>
          <w:p w14:paraId="2EA707B9">
            <w:pPr>
              <w:pStyle w:val="13"/>
            </w:pPr>
            <w:r>
              <w:t>十八、援助其他地区支出</w:t>
            </w:r>
          </w:p>
        </w:tc>
        <w:tc>
          <w:tcPr>
            <w:tcW w:w="2126" w:type="dxa"/>
            <w:vAlign w:val="center"/>
          </w:tcPr>
          <w:p w14:paraId="23B8D8AC">
            <w:pPr>
              <w:pStyle w:val="14"/>
            </w:pPr>
          </w:p>
        </w:tc>
      </w:tr>
      <w:tr w14:paraId="2B34E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CA0E8">
            <w:pPr>
              <w:pStyle w:val="12"/>
            </w:pPr>
            <w:r>
              <w:t>19</w:t>
            </w:r>
          </w:p>
        </w:tc>
        <w:tc>
          <w:tcPr>
            <w:tcW w:w="4535" w:type="dxa"/>
            <w:vAlign w:val="center"/>
          </w:tcPr>
          <w:p w14:paraId="681E9011">
            <w:pPr>
              <w:pStyle w:val="13"/>
            </w:pPr>
          </w:p>
        </w:tc>
        <w:tc>
          <w:tcPr>
            <w:tcW w:w="2126" w:type="dxa"/>
            <w:vAlign w:val="center"/>
          </w:tcPr>
          <w:p w14:paraId="1BA8CB11">
            <w:pPr>
              <w:pStyle w:val="14"/>
            </w:pPr>
          </w:p>
        </w:tc>
        <w:tc>
          <w:tcPr>
            <w:tcW w:w="4535" w:type="dxa"/>
            <w:vAlign w:val="center"/>
          </w:tcPr>
          <w:p w14:paraId="711FCFA1">
            <w:pPr>
              <w:pStyle w:val="13"/>
            </w:pPr>
            <w:r>
              <w:t>十九、自然资源海洋气象等支出</w:t>
            </w:r>
          </w:p>
        </w:tc>
        <w:tc>
          <w:tcPr>
            <w:tcW w:w="2126" w:type="dxa"/>
            <w:vAlign w:val="center"/>
          </w:tcPr>
          <w:p w14:paraId="0E0E68FD">
            <w:pPr>
              <w:pStyle w:val="14"/>
            </w:pPr>
          </w:p>
        </w:tc>
      </w:tr>
      <w:tr w14:paraId="1395D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74C75">
            <w:pPr>
              <w:pStyle w:val="12"/>
            </w:pPr>
            <w:r>
              <w:t>20</w:t>
            </w:r>
          </w:p>
        </w:tc>
        <w:tc>
          <w:tcPr>
            <w:tcW w:w="4535" w:type="dxa"/>
            <w:vAlign w:val="center"/>
          </w:tcPr>
          <w:p w14:paraId="16B90DD5">
            <w:pPr>
              <w:pStyle w:val="13"/>
            </w:pPr>
          </w:p>
        </w:tc>
        <w:tc>
          <w:tcPr>
            <w:tcW w:w="2126" w:type="dxa"/>
            <w:vAlign w:val="center"/>
          </w:tcPr>
          <w:p w14:paraId="4DD52C74">
            <w:pPr>
              <w:pStyle w:val="14"/>
            </w:pPr>
          </w:p>
        </w:tc>
        <w:tc>
          <w:tcPr>
            <w:tcW w:w="4535" w:type="dxa"/>
            <w:vAlign w:val="center"/>
          </w:tcPr>
          <w:p w14:paraId="2EEDFDAA">
            <w:pPr>
              <w:pStyle w:val="13"/>
            </w:pPr>
            <w:r>
              <w:t>二十、住房保障支出</w:t>
            </w:r>
          </w:p>
        </w:tc>
        <w:tc>
          <w:tcPr>
            <w:tcW w:w="2126" w:type="dxa"/>
            <w:vAlign w:val="center"/>
          </w:tcPr>
          <w:p w14:paraId="213EF6AC">
            <w:pPr>
              <w:pStyle w:val="14"/>
            </w:pPr>
          </w:p>
        </w:tc>
      </w:tr>
      <w:tr w14:paraId="43A1D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51EBD">
            <w:pPr>
              <w:pStyle w:val="12"/>
            </w:pPr>
            <w:r>
              <w:t>21</w:t>
            </w:r>
          </w:p>
        </w:tc>
        <w:tc>
          <w:tcPr>
            <w:tcW w:w="4535" w:type="dxa"/>
            <w:vAlign w:val="center"/>
          </w:tcPr>
          <w:p w14:paraId="3DEAC26F">
            <w:pPr>
              <w:pStyle w:val="13"/>
            </w:pPr>
          </w:p>
        </w:tc>
        <w:tc>
          <w:tcPr>
            <w:tcW w:w="2126" w:type="dxa"/>
            <w:vAlign w:val="center"/>
          </w:tcPr>
          <w:p w14:paraId="3D2E288F">
            <w:pPr>
              <w:pStyle w:val="14"/>
            </w:pPr>
          </w:p>
        </w:tc>
        <w:tc>
          <w:tcPr>
            <w:tcW w:w="4535" w:type="dxa"/>
            <w:vAlign w:val="center"/>
          </w:tcPr>
          <w:p w14:paraId="4BFC0438">
            <w:pPr>
              <w:pStyle w:val="13"/>
            </w:pPr>
            <w:r>
              <w:t>二十一、粮油物资储备支出</w:t>
            </w:r>
          </w:p>
        </w:tc>
        <w:tc>
          <w:tcPr>
            <w:tcW w:w="2126" w:type="dxa"/>
            <w:vAlign w:val="center"/>
          </w:tcPr>
          <w:p w14:paraId="6607ECF5">
            <w:pPr>
              <w:pStyle w:val="14"/>
            </w:pPr>
          </w:p>
        </w:tc>
      </w:tr>
      <w:tr w14:paraId="49FF1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3C31D">
            <w:pPr>
              <w:pStyle w:val="12"/>
            </w:pPr>
            <w:r>
              <w:t>22</w:t>
            </w:r>
          </w:p>
        </w:tc>
        <w:tc>
          <w:tcPr>
            <w:tcW w:w="4535" w:type="dxa"/>
            <w:vAlign w:val="center"/>
          </w:tcPr>
          <w:p w14:paraId="371A54F3">
            <w:pPr>
              <w:pStyle w:val="13"/>
            </w:pPr>
          </w:p>
        </w:tc>
        <w:tc>
          <w:tcPr>
            <w:tcW w:w="2126" w:type="dxa"/>
            <w:vAlign w:val="center"/>
          </w:tcPr>
          <w:p w14:paraId="298AD85D">
            <w:pPr>
              <w:pStyle w:val="14"/>
            </w:pPr>
          </w:p>
        </w:tc>
        <w:tc>
          <w:tcPr>
            <w:tcW w:w="4535" w:type="dxa"/>
            <w:vAlign w:val="center"/>
          </w:tcPr>
          <w:p w14:paraId="047E42D9">
            <w:pPr>
              <w:pStyle w:val="13"/>
            </w:pPr>
            <w:r>
              <w:t>二十二、国有资本经营预算支出</w:t>
            </w:r>
          </w:p>
        </w:tc>
        <w:tc>
          <w:tcPr>
            <w:tcW w:w="2126" w:type="dxa"/>
            <w:vAlign w:val="center"/>
          </w:tcPr>
          <w:p w14:paraId="232F9434">
            <w:pPr>
              <w:pStyle w:val="14"/>
            </w:pPr>
          </w:p>
        </w:tc>
      </w:tr>
      <w:tr w14:paraId="66A47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98036">
            <w:pPr>
              <w:pStyle w:val="12"/>
            </w:pPr>
            <w:r>
              <w:t>23</w:t>
            </w:r>
          </w:p>
        </w:tc>
        <w:tc>
          <w:tcPr>
            <w:tcW w:w="4535" w:type="dxa"/>
            <w:vAlign w:val="center"/>
          </w:tcPr>
          <w:p w14:paraId="2DF41B6F">
            <w:pPr>
              <w:pStyle w:val="13"/>
            </w:pPr>
          </w:p>
        </w:tc>
        <w:tc>
          <w:tcPr>
            <w:tcW w:w="2126" w:type="dxa"/>
            <w:vAlign w:val="center"/>
          </w:tcPr>
          <w:p w14:paraId="11B656D9">
            <w:pPr>
              <w:pStyle w:val="14"/>
            </w:pPr>
          </w:p>
        </w:tc>
        <w:tc>
          <w:tcPr>
            <w:tcW w:w="4535" w:type="dxa"/>
            <w:vAlign w:val="center"/>
          </w:tcPr>
          <w:p w14:paraId="52336596">
            <w:pPr>
              <w:pStyle w:val="13"/>
            </w:pPr>
            <w:r>
              <w:t>二十三、灾害防治及应急管理支出</w:t>
            </w:r>
          </w:p>
        </w:tc>
        <w:tc>
          <w:tcPr>
            <w:tcW w:w="2126" w:type="dxa"/>
            <w:vAlign w:val="center"/>
          </w:tcPr>
          <w:p w14:paraId="148D9A81">
            <w:pPr>
              <w:pStyle w:val="14"/>
            </w:pPr>
          </w:p>
        </w:tc>
      </w:tr>
      <w:tr w14:paraId="51D2F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B3E81">
            <w:pPr>
              <w:pStyle w:val="12"/>
            </w:pPr>
            <w:r>
              <w:t>24</w:t>
            </w:r>
          </w:p>
        </w:tc>
        <w:tc>
          <w:tcPr>
            <w:tcW w:w="4535" w:type="dxa"/>
            <w:vAlign w:val="center"/>
          </w:tcPr>
          <w:p w14:paraId="3B90F6DA">
            <w:pPr>
              <w:pStyle w:val="13"/>
            </w:pPr>
          </w:p>
        </w:tc>
        <w:tc>
          <w:tcPr>
            <w:tcW w:w="2126" w:type="dxa"/>
            <w:vAlign w:val="center"/>
          </w:tcPr>
          <w:p w14:paraId="1C08859E">
            <w:pPr>
              <w:pStyle w:val="14"/>
            </w:pPr>
          </w:p>
        </w:tc>
        <w:tc>
          <w:tcPr>
            <w:tcW w:w="4535" w:type="dxa"/>
            <w:vAlign w:val="center"/>
          </w:tcPr>
          <w:p w14:paraId="6609B2AF">
            <w:pPr>
              <w:pStyle w:val="13"/>
            </w:pPr>
            <w:r>
              <w:t>二十四、预备费</w:t>
            </w:r>
          </w:p>
        </w:tc>
        <w:tc>
          <w:tcPr>
            <w:tcW w:w="2126" w:type="dxa"/>
            <w:vAlign w:val="center"/>
          </w:tcPr>
          <w:p w14:paraId="11D3EDFA">
            <w:pPr>
              <w:pStyle w:val="14"/>
            </w:pPr>
          </w:p>
        </w:tc>
      </w:tr>
      <w:tr w14:paraId="50140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C1E9C">
            <w:pPr>
              <w:pStyle w:val="12"/>
            </w:pPr>
            <w:r>
              <w:t>25</w:t>
            </w:r>
          </w:p>
        </w:tc>
        <w:tc>
          <w:tcPr>
            <w:tcW w:w="4535" w:type="dxa"/>
            <w:vAlign w:val="center"/>
          </w:tcPr>
          <w:p w14:paraId="22FD8B2B">
            <w:pPr>
              <w:pStyle w:val="13"/>
            </w:pPr>
          </w:p>
        </w:tc>
        <w:tc>
          <w:tcPr>
            <w:tcW w:w="2126" w:type="dxa"/>
            <w:vAlign w:val="center"/>
          </w:tcPr>
          <w:p w14:paraId="4747E31D">
            <w:pPr>
              <w:pStyle w:val="14"/>
            </w:pPr>
          </w:p>
        </w:tc>
        <w:tc>
          <w:tcPr>
            <w:tcW w:w="4535" w:type="dxa"/>
            <w:vAlign w:val="center"/>
          </w:tcPr>
          <w:p w14:paraId="4203C987">
            <w:pPr>
              <w:pStyle w:val="13"/>
            </w:pPr>
            <w:r>
              <w:t>二十五、其他支出</w:t>
            </w:r>
          </w:p>
        </w:tc>
        <w:tc>
          <w:tcPr>
            <w:tcW w:w="2126" w:type="dxa"/>
            <w:vAlign w:val="center"/>
          </w:tcPr>
          <w:p w14:paraId="55FE6A3F">
            <w:pPr>
              <w:pStyle w:val="14"/>
            </w:pPr>
          </w:p>
        </w:tc>
      </w:tr>
      <w:tr w14:paraId="177A1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FAA8A">
            <w:pPr>
              <w:pStyle w:val="12"/>
            </w:pPr>
            <w:r>
              <w:t>26</w:t>
            </w:r>
          </w:p>
        </w:tc>
        <w:tc>
          <w:tcPr>
            <w:tcW w:w="4535" w:type="dxa"/>
            <w:vAlign w:val="center"/>
          </w:tcPr>
          <w:p w14:paraId="6A287D4F">
            <w:pPr>
              <w:pStyle w:val="13"/>
            </w:pPr>
          </w:p>
        </w:tc>
        <w:tc>
          <w:tcPr>
            <w:tcW w:w="2126" w:type="dxa"/>
            <w:vAlign w:val="center"/>
          </w:tcPr>
          <w:p w14:paraId="2EDC30B2">
            <w:pPr>
              <w:pStyle w:val="14"/>
            </w:pPr>
          </w:p>
        </w:tc>
        <w:tc>
          <w:tcPr>
            <w:tcW w:w="4535" w:type="dxa"/>
            <w:vAlign w:val="center"/>
          </w:tcPr>
          <w:p w14:paraId="23126850">
            <w:pPr>
              <w:pStyle w:val="13"/>
            </w:pPr>
            <w:r>
              <w:t>二十六、转移性支出</w:t>
            </w:r>
          </w:p>
        </w:tc>
        <w:tc>
          <w:tcPr>
            <w:tcW w:w="2126" w:type="dxa"/>
            <w:vAlign w:val="center"/>
          </w:tcPr>
          <w:p w14:paraId="2184CEB9">
            <w:pPr>
              <w:pStyle w:val="14"/>
            </w:pPr>
          </w:p>
        </w:tc>
      </w:tr>
      <w:tr w14:paraId="6A9F1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A2A44">
            <w:pPr>
              <w:pStyle w:val="12"/>
            </w:pPr>
            <w:r>
              <w:t>27</w:t>
            </w:r>
          </w:p>
        </w:tc>
        <w:tc>
          <w:tcPr>
            <w:tcW w:w="4535" w:type="dxa"/>
            <w:vAlign w:val="center"/>
          </w:tcPr>
          <w:p w14:paraId="6EB57439">
            <w:pPr>
              <w:pStyle w:val="13"/>
            </w:pPr>
          </w:p>
        </w:tc>
        <w:tc>
          <w:tcPr>
            <w:tcW w:w="2126" w:type="dxa"/>
            <w:vAlign w:val="center"/>
          </w:tcPr>
          <w:p w14:paraId="352B1F17">
            <w:pPr>
              <w:pStyle w:val="14"/>
            </w:pPr>
          </w:p>
        </w:tc>
        <w:tc>
          <w:tcPr>
            <w:tcW w:w="4535" w:type="dxa"/>
            <w:vAlign w:val="center"/>
          </w:tcPr>
          <w:p w14:paraId="139C039C">
            <w:pPr>
              <w:pStyle w:val="13"/>
            </w:pPr>
            <w:r>
              <w:t>二十七、债务还本支出</w:t>
            </w:r>
          </w:p>
        </w:tc>
        <w:tc>
          <w:tcPr>
            <w:tcW w:w="2126" w:type="dxa"/>
            <w:vAlign w:val="center"/>
          </w:tcPr>
          <w:p w14:paraId="41ADABF3">
            <w:pPr>
              <w:pStyle w:val="14"/>
            </w:pPr>
          </w:p>
        </w:tc>
      </w:tr>
      <w:tr w14:paraId="6EA54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8F217">
            <w:pPr>
              <w:pStyle w:val="12"/>
            </w:pPr>
            <w:r>
              <w:t>28</w:t>
            </w:r>
          </w:p>
        </w:tc>
        <w:tc>
          <w:tcPr>
            <w:tcW w:w="4535" w:type="dxa"/>
            <w:vAlign w:val="center"/>
          </w:tcPr>
          <w:p w14:paraId="56478D67">
            <w:pPr>
              <w:pStyle w:val="13"/>
            </w:pPr>
          </w:p>
        </w:tc>
        <w:tc>
          <w:tcPr>
            <w:tcW w:w="2126" w:type="dxa"/>
            <w:vAlign w:val="center"/>
          </w:tcPr>
          <w:p w14:paraId="6CA4A476">
            <w:pPr>
              <w:pStyle w:val="14"/>
            </w:pPr>
          </w:p>
        </w:tc>
        <w:tc>
          <w:tcPr>
            <w:tcW w:w="4535" w:type="dxa"/>
            <w:vAlign w:val="center"/>
          </w:tcPr>
          <w:p w14:paraId="1D548EBD">
            <w:pPr>
              <w:pStyle w:val="13"/>
            </w:pPr>
            <w:r>
              <w:t>二十八、债务付息支出</w:t>
            </w:r>
          </w:p>
        </w:tc>
        <w:tc>
          <w:tcPr>
            <w:tcW w:w="2126" w:type="dxa"/>
            <w:vAlign w:val="center"/>
          </w:tcPr>
          <w:p w14:paraId="0664D811">
            <w:pPr>
              <w:pStyle w:val="14"/>
            </w:pPr>
          </w:p>
        </w:tc>
      </w:tr>
      <w:tr w14:paraId="0E3D2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A3DFF">
            <w:pPr>
              <w:pStyle w:val="12"/>
            </w:pPr>
            <w:r>
              <w:t>29</w:t>
            </w:r>
          </w:p>
        </w:tc>
        <w:tc>
          <w:tcPr>
            <w:tcW w:w="4535" w:type="dxa"/>
            <w:vAlign w:val="center"/>
          </w:tcPr>
          <w:p w14:paraId="53BFAE71">
            <w:pPr>
              <w:pStyle w:val="13"/>
            </w:pPr>
          </w:p>
        </w:tc>
        <w:tc>
          <w:tcPr>
            <w:tcW w:w="2126" w:type="dxa"/>
            <w:vAlign w:val="center"/>
          </w:tcPr>
          <w:p w14:paraId="5A864C24">
            <w:pPr>
              <w:pStyle w:val="14"/>
            </w:pPr>
          </w:p>
        </w:tc>
        <w:tc>
          <w:tcPr>
            <w:tcW w:w="4535" w:type="dxa"/>
            <w:vAlign w:val="center"/>
          </w:tcPr>
          <w:p w14:paraId="2C3B4B41">
            <w:pPr>
              <w:pStyle w:val="13"/>
            </w:pPr>
            <w:r>
              <w:t>二十九、债务发行费用支出</w:t>
            </w:r>
          </w:p>
        </w:tc>
        <w:tc>
          <w:tcPr>
            <w:tcW w:w="2126" w:type="dxa"/>
            <w:vAlign w:val="center"/>
          </w:tcPr>
          <w:p w14:paraId="6624313F">
            <w:pPr>
              <w:pStyle w:val="14"/>
            </w:pPr>
          </w:p>
        </w:tc>
      </w:tr>
      <w:tr w14:paraId="03895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3E907">
            <w:pPr>
              <w:pStyle w:val="12"/>
            </w:pPr>
            <w:r>
              <w:t>30</w:t>
            </w:r>
          </w:p>
        </w:tc>
        <w:tc>
          <w:tcPr>
            <w:tcW w:w="4535" w:type="dxa"/>
            <w:vAlign w:val="center"/>
          </w:tcPr>
          <w:p w14:paraId="59F4D1F9">
            <w:pPr>
              <w:pStyle w:val="13"/>
            </w:pPr>
          </w:p>
        </w:tc>
        <w:tc>
          <w:tcPr>
            <w:tcW w:w="2126" w:type="dxa"/>
            <w:vAlign w:val="center"/>
          </w:tcPr>
          <w:p w14:paraId="1F79213E">
            <w:pPr>
              <w:pStyle w:val="14"/>
            </w:pPr>
          </w:p>
        </w:tc>
        <w:tc>
          <w:tcPr>
            <w:tcW w:w="4535" w:type="dxa"/>
            <w:vAlign w:val="center"/>
          </w:tcPr>
          <w:p w14:paraId="22435449">
            <w:pPr>
              <w:pStyle w:val="13"/>
            </w:pPr>
            <w:r>
              <w:t>三十、抗疫特别国债安排的支出</w:t>
            </w:r>
          </w:p>
        </w:tc>
        <w:tc>
          <w:tcPr>
            <w:tcW w:w="2126" w:type="dxa"/>
            <w:vAlign w:val="center"/>
          </w:tcPr>
          <w:p w14:paraId="307E63D5">
            <w:pPr>
              <w:pStyle w:val="14"/>
            </w:pPr>
          </w:p>
        </w:tc>
      </w:tr>
      <w:tr w14:paraId="66A31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FA174">
            <w:pPr>
              <w:pStyle w:val="12"/>
            </w:pPr>
            <w:r>
              <w:t>31</w:t>
            </w:r>
          </w:p>
        </w:tc>
        <w:tc>
          <w:tcPr>
            <w:tcW w:w="4535" w:type="dxa"/>
            <w:vAlign w:val="center"/>
          </w:tcPr>
          <w:p w14:paraId="330639BE">
            <w:pPr>
              <w:pStyle w:val="13"/>
            </w:pPr>
          </w:p>
        </w:tc>
        <w:tc>
          <w:tcPr>
            <w:tcW w:w="2126" w:type="dxa"/>
            <w:vAlign w:val="center"/>
          </w:tcPr>
          <w:p w14:paraId="77401AC8">
            <w:pPr>
              <w:pStyle w:val="14"/>
            </w:pPr>
          </w:p>
        </w:tc>
        <w:tc>
          <w:tcPr>
            <w:tcW w:w="4535" w:type="dxa"/>
            <w:vAlign w:val="center"/>
          </w:tcPr>
          <w:p w14:paraId="3CC46E97">
            <w:pPr>
              <w:pStyle w:val="13"/>
            </w:pPr>
            <w:r>
              <w:t>三十一、人行科目</w:t>
            </w:r>
          </w:p>
        </w:tc>
        <w:tc>
          <w:tcPr>
            <w:tcW w:w="2126" w:type="dxa"/>
            <w:vAlign w:val="center"/>
          </w:tcPr>
          <w:p w14:paraId="390D5B18">
            <w:pPr>
              <w:pStyle w:val="14"/>
            </w:pPr>
          </w:p>
        </w:tc>
      </w:tr>
      <w:tr w14:paraId="70729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9A777">
            <w:pPr>
              <w:pStyle w:val="12"/>
            </w:pPr>
            <w:r>
              <w:t>32</w:t>
            </w:r>
          </w:p>
        </w:tc>
        <w:tc>
          <w:tcPr>
            <w:tcW w:w="4535" w:type="dxa"/>
            <w:vAlign w:val="center"/>
          </w:tcPr>
          <w:p w14:paraId="21EA480B">
            <w:pPr>
              <w:pStyle w:val="15"/>
            </w:pPr>
            <w:r>
              <w:t>本年收入合计</w:t>
            </w:r>
          </w:p>
        </w:tc>
        <w:tc>
          <w:tcPr>
            <w:tcW w:w="2126" w:type="dxa"/>
            <w:vAlign w:val="center"/>
          </w:tcPr>
          <w:p w14:paraId="7F038AB0">
            <w:pPr>
              <w:pStyle w:val="16"/>
            </w:pPr>
            <w:r>
              <w:t>3137.35</w:t>
            </w:r>
          </w:p>
        </w:tc>
        <w:tc>
          <w:tcPr>
            <w:tcW w:w="4535" w:type="dxa"/>
            <w:vAlign w:val="center"/>
          </w:tcPr>
          <w:p w14:paraId="4498ADDE">
            <w:pPr>
              <w:pStyle w:val="15"/>
            </w:pPr>
            <w:r>
              <w:t>本年支出合计</w:t>
            </w:r>
          </w:p>
        </w:tc>
        <w:tc>
          <w:tcPr>
            <w:tcW w:w="2126" w:type="dxa"/>
            <w:vAlign w:val="center"/>
          </w:tcPr>
          <w:p w14:paraId="6D1D9670">
            <w:pPr>
              <w:pStyle w:val="16"/>
            </w:pPr>
            <w:r>
              <w:t>3178.44</w:t>
            </w:r>
          </w:p>
        </w:tc>
      </w:tr>
      <w:tr w14:paraId="47562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57EB4">
            <w:pPr>
              <w:pStyle w:val="12"/>
            </w:pPr>
            <w:r>
              <w:t>33</w:t>
            </w:r>
          </w:p>
        </w:tc>
        <w:tc>
          <w:tcPr>
            <w:tcW w:w="4535" w:type="dxa"/>
            <w:vAlign w:val="center"/>
          </w:tcPr>
          <w:p w14:paraId="25CF4487">
            <w:pPr>
              <w:pStyle w:val="13"/>
            </w:pPr>
            <w:r>
              <w:t>上年结转结余</w:t>
            </w:r>
          </w:p>
        </w:tc>
        <w:tc>
          <w:tcPr>
            <w:tcW w:w="2126" w:type="dxa"/>
            <w:vAlign w:val="center"/>
          </w:tcPr>
          <w:p w14:paraId="727EE099">
            <w:pPr>
              <w:pStyle w:val="14"/>
            </w:pPr>
            <w:r>
              <w:t>41.10</w:t>
            </w:r>
          </w:p>
        </w:tc>
        <w:tc>
          <w:tcPr>
            <w:tcW w:w="4535" w:type="dxa"/>
            <w:vAlign w:val="center"/>
          </w:tcPr>
          <w:p w14:paraId="66448798">
            <w:pPr>
              <w:pStyle w:val="13"/>
            </w:pPr>
            <w:r>
              <w:t>年终结转结余</w:t>
            </w:r>
          </w:p>
        </w:tc>
        <w:tc>
          <w:tcPr>
            <w:tcW w:w="2126" w:type="dxa"/>
            <w:vAlign w:val="center"/>
          </w:tcPr>
          <w:p w14:paraId="42D850EF">
            <w:pPr>
              <w:pStyle w:val="14"/>
            </w:pPr>
          </w:p>
        </w:tc>
      </w:tr>
      <w:tr w14:paraId="1FECD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BD5EA">
            <w:pPr>
              <w:pStyle w:val="12"/>
            </w:pPr>
            <w:r>
              <w:t>34</w:t>
            </w:r>
          </w:p>
        </w:tc>
        <w:tc>
          <w:tcPr>
            <w:tcW w:w="4535" w:type="dxa"/>
            <w:vAlign w:val="center"/>
          </w:tcPr>
          <w:p w14:paraId="0EBED1F7">
            <w:pPr>
              <w:pStyle w:val="15"/>
            </w:pPr>
            <w:r>
              <w:t>收入总计</w:t>
            </w:r>
          </w:p>
        </w:tc>
        <w:tc>
          <w:tcPr>
            <w:tcW w:w="2126" w:type="dxa"/>
            <w:vAlign w:val="center"/>
          </w:tcPr>
          <w:p w14:paraId="09054ACC">
            <w:pPr>
              <w:pStyle w:val="16"/>
            </w:pPr>
            <w:r>
              <w:t>3178.44</w:t>
            </w:r>
          </w:p>
        </w:tc>
        <w:tc>
          <w:tcPr>
            <w:tcW w:w="4535" w:type="dxa"/>
            <w:vAlign w:val="center"/>
          </w:tcPr>
          <w:p w14:paraId="7E7C2200">
            <w:pPr>
              <w:pStyle w:val="15"/>
            </w:pPr>
            <w:r>
              <w:t>支出总计</w:t>
            </w:r>
          </w:p>
        </w:tc>
        <w:tc>
          <w:tcPr>
            <w:tcW w:w="2126" w:type="dxa"/>
            <w:vAlign w:val="center"/>
          </w:tcPr>
          <w:p w14:paraId="2A286127">
            <w:pPr>
              <w:pStyle w:val="16"/>
            </w:pPr>
            <w:r>
              <w:t>3178.44</w:t>
            </w:r>
          </w:p>
        </w:tc>
      </w:tr>
    </w:tbl>
    <w:p w14:paraId="1E2AB5AD">
      <w:pPr>
        <w:sectPr>
          <w:pgSz w:w="16840" w:h="11900" w:orient="landscape"/>
          <w:pgMar w:top="1361" w:right="1020" w:bottom="1134" w:left="1020" w:header="720" w:footer="720" w:gutter="0"/>
          <w:cols w:space="720" w:num="1"/>
        </w:sectPr>
      </w:pPr>
    </w:p>
    <w:p w14:paraId="2B82DE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00A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0B196E">
            <w:pPr>
              <w:pStyle w:val="8"/>
            </w:pPr>
            <w:r>
              <w:t>360017隆尧县魏庄校区</w:t>
            </w:r>
          </w:p>
        </w:tc>
        <w:tc>
          <w:tcPr>
            <w:tcW w:w="3402" w:type="dxa"/>
            <w:gridSpan w:val="3"/>
            <w:tcBorders>
              <w:top w:val="single" w:color="FFFFFF" w:sz="6" w:space="0"/>
              <w:left w:val="single" w:color="FFFFFF" w:sz="6" w:space="0"/>
              <w:right w:val="single" w:color="FFFFFF" w:sz="6" w:space="0"/>
            </w:tcBorders>
            <w:vAlign w:val="center"/>
          </w:tcPr>
          <w:p w14:paraId="20D03F15">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E2F4300">
            <w:pPr>
              <w:pStyle w:val="10"/>
            </w:pPr>
            <w:r>
              <w:t>单位：万元</w:t>
            </w:r>
          </w:p>
        </w:tc>
      </w:tr>
      <w:tr w14:paraId="62F29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C725A6">
            <w:pPr>
              <w:pStyle w:val="11"/>
            </w:pPr>
            <w:r>
              <w:t>序号</w:t>
            </w:r>
          </w:p>
        </w:tc>
        <w:tc>
          <w:tcPr>
            <w:tcW w:w="2551" w:type="dxa"/>
            <w:gridSpan w:val="2"/>
            <w:vAlign w:val="center"/>
          </w:tcPr>
          <w:p w14:paraId="30FAC26B">
            <w:pPr>
              <w:pStyle w:val="11"/>
            </w:pPr>
            <w:r>
              <w:t>功能分类科目</w:t>
            </w:r>
          </w:p>
        </w:tc>
        <w:tc>
          <w:tcPr>
            <w:tcW w:w="1134" w:type="dxa"/>
            <w:vMerge w:val="restart"/>
            <w:vAlign w:val="center"/>
          </w:tcPr>
          <w:p w14:paraId="7BD2B915">
            <w:pPr>
              <w:pStyle w:val="11"/>
            </w:pPr>
            <w:r>
              <w:t>合计</w:t>
            </w:r>
          </w:p>
        </w:tc>
        <w:tc>
          <w:tcPr>
            <w:tcW w:w="9072" w:type="dxa"/>
            <w:gridSpan w:val="8"/>
            <w:vAlign w:val="center"/>
          </w:tcPr>
          <w:p w14:paraId="55687B55">
            <w:pPr>
              <w:pStyle w:val="11"/>
            </w:pPr>
            <w:r>
              <w:t>本年收入</w:t>
            </w:r>
          </w:p>
        </w:tc>
        <w:tc>
          <w:tcPr>
            <w:tcW w:w="1134" w:type="dxa"/>
            <w:vMerge w:val="restart"/>
            <w:vAlign w:val="center"/>
          </w:tcPr>
          <w:p w14:paraId="4B6318B2">
            <w:pPr>
              <w:pStyle w:val="11"/>
            </w:pPr>
            <w:r>
              <w:t>上年结转</w:t>
            </w:r>
          </w:p>
        </w:tc>
      </w:tr>
      <w:tr w14:paraId="4816D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7B6AF1"/>
        </w:tc>
        <w:tc>
          <w:tcPr>
            <w:tcW w:w="992" w:type="dxa"/>
            <w:vAlign w:val="center"/>
          </w:tcPr>
          <w:p w14:paraId="19900F8C">
            <w:pPr>
              <w:pStyle w:val="11"/>
            </w:pPr>
            <w:r>
              <w:t>科目    编码</w:t>
            </w:r>
          </w:p>
        </w:tc>
        <w:tc>
          <w:tcPr>
            <w:tcW w:w="1559" w:type="dxa"/>
            <w:vAlign w:val="center"/>
          </w:tcPr>
          <w:p w14:paraId="4F18038A">
            <w:pPr>
              <w:pStyle w:val="11"/>
            </w:pPr>
            <w:r>
              <w:t>科目名称</w:t>
            </w:r>
          </w:p>
        </w:tc>
        <w:tc>
          <w:tcPr>
            <w:tcW w:w="1134" w:type="dxa"/>
            <w:vMerge w:val="continue"/>
          </w:tcPr>
          <w:p w14:paraId="40CEBB7E"/>
        </w:tc>
        <w:tc>
          <w:tcPr>
            <w:tcW w:w="1134" w:type="dxa"/>
            <w:vAlign w:val="center"/>
          </w:tcPr>
          <w:p w14:paraId="42A3A673">
            <w:pPr>
              <w:pStyle w:val="11"/>
            </w:pPr>
            <w:r>
              <w:t>小计</w:t>
            </w:r>
          </w:p>
        </w:tc>
        <w:tc>
          <w:tcPr>
            <w:tcW w:w="1134" w:type="dxa"/>
            <w:vAlign w:val="center"/>
          </w:tcPr>
          <w:p w14:paraId="2DBC1A1F">
            <w:pPr>
              <w:pStyle w:val="11"/>
            </w:pPr>
            <w:r>
              <w:t>财政拨款 收入</w:t>
            </w:r>
          </w:p>
        </w:tc>
        <w:tc>
          <w:tcPr>
            <w:tcW w:w="1134" w:type="dxa"/>
            <w:vAlign w:val="center"/>
          </w:tcPr>
          <w:p w14:paraId="53C3A38C">
            <w:pPr>
              <w:pStyle w:val="11"/>
            </w:pPr>
            <w:r>
              <w:t>财政专户 收入</w:t>
            </w:r>
          </w:p>
        </w:tc>
        <w:tc>
          <w:tcPr>
            <w:tcW w:w="1134" w:type="dxa"/>
            <w:vAlign w:val="center"/>
          </w:tcPr>
          <w:p w14:paraId="77F55473">
            <w:pPr>
              <w:pStyle w:val="11"/>
            </w:pPr>
            <w:r>
              <w:t>事业收入</w:t>
            </w:r>
          </w:p>
        </w:tc>
        <w:tc>
          <w:tcPr>
            <w:tcW w:w="1134" w:type="dxa"/>
            <w:vAlign w:val="center"/>
          </w:tcPr>
          <w:p w14:paraId="4077487B">
            <w:pPr>
              <w:pStyle w:val="11"/>
            </w:pPr>
            <w:r>
              <w:t>经营收入</w:t>
            </w:r>
          </w:p>
        </w:tc>
        <w:tc>
          <w:tcPr>
            <w:tcW w:w="1134" w:type="dxa"/>
            <w:vAlign w:val="center"/>
          </w:tcPr>
          <w:p w14:paraId="4C740C30">
            <w:pPr>
              <w:pStyle w:val="11"/>
            </w:pPr>
            <w:r>
              <w:t>上级补助收入</w:t>
            </w:r>
          </w:p>
        </w:tc>
        <w:tc>
          <w:tcPr>
            <w:tcW w:w="1134" w:type="dxa"/>
            <w:vAlign w:val="center"/>
          </w:tcPr>
          <w:p w14:paraId="3D9FA33C">
            <w:pPr>
              <w:pStyle w:val="11"/>
            </w:pPr>
            <w:r>
              <w:t>附属单位上缴收入</w:t>
            </w:r>
          </w:p>
        </w:tc>
        <w:tc>
          <w:tcPr>
            <w:tcW w:w="1134" w:type="dxa"/>
            <w:vAlign w:val="center"/>
          </w:tcPr>
          <w:p w14:paraId="1FF04635">
            <w:pPr>
              <w:pStyle w:val="11"/>
            </w:pPr>
            <w:r>
              <w:t>其他收入</w:t>
            </w:r>
          </w:p>
        </w:tc>
        <w:tc>
          <w:tcPr>
            <w:tcW w:w="1134" w:type="dxa"/>
            <w:vMerge w:val="continue"/>
          </w:tcPr>
          <w:p w14:paraId="1E0293D8"/>
        </w:tc>
      </w:tr>
      <w:tr w14:paraId="34614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5B20FF">
            <w:pPr>
              <w:pStyle w:val="11"/>
            </w:pPr>
            <w:r>
              <w:t>栏次</w:t>
            </w:r>
          </w:p>
        </w:tc>
        <w:tc>
          <w:tcPr>
            <w:tcW w:w="992" w:type="dxa"/>
            <w:vAlign w:val="center"/>
          </w:tcPr>
          <w:p w14:paraId="26292953">
            <w:pPr>
              <w:pStyle w:val="11"/>
            </w:pPr>
            <w:r>
              <w:t>1</w:t>
            </w:r>
          </w:p>
        </w:tc>
        <w:tc>
          <w:tcPr>
            <w:tcW w:w="1559" w:type="dxa"/>
            <w:vAlign w:val="center"/>
          </w:tcPr>
          <w:p w14:paraId="2E451EB4">
            <w:pPr>
              <w:pStyle w:val="11"/>
            </w:pPr>
            <w:r>
              <w:t>2</w:t>
            </w:r>
          </w:p>
        </w:tc>
        <w:tc>
          <w:tcPr>
            <w:tcW w:w="1134" w:type="dxa"/>
            <w:vAlign w:val="center"/>
          </w:tcPr>
          <w:p w14:paraId="38897242">
            <w:pPr>
              <w:pStyle w:val="11"/>
            </w:pPr>
            <w:r>
              <w:t>3</w:t>
            </w:r>
          </w:p>
        </w:tc>
        <w:tc>
          <w:tcPr>
            <w:tcW w:w="1134" w:type="dxa"/>
            <w:vAlign w:val="center"/>
          </w:tcPr>
          <w:p w14:paraId="04CC0ADA">
            <w:pPr>
              <w:pStyle w:val="11"/>
            </w:pPr>
            <w:r>
              <w:t>4</w:t>
            </w:r>
          </w:p>
        </w:tc>
        <w:tc>
          <w:tcPr>
            <w:tcW w:w="1134" w:type="dxa"/>
            <w:vAlign w:val="center"/>
          </w:tcPr>
          <w:p w14:paraId="0C2E3C7D">
            <w:pPr>
              <w:pStyle w:val="11"/>
            </w:pPr>
            <w:r>
              <w:t>5</w:t>
            </w:r>
          </w:p>
        </w:tc>
        <w:tc>
          <w:tcPr>
            <w:tcW w:w="1134" w:type="dxa"/>
            <w:vAlign w:val="center"/>
          </w:tcPr>
          <w:p w14:paraId="72B5BB63">
            <w:pPr>
              <w:pStyle w:val="11"/>
            </w:pPr>
            <w:r>
              <w:t>6</w:t>
            </w:r>
          </w:p>
        </w:tc>
        <w:tc>
          <w:tcPr>
            <w:tcW w:w="1134" w:type="dxa"/>
            <w:vAlign w:val="center"/>
          </w:tcPr>
          <w:p w14:paraId="604ADBA7">
            <w:pPr>
              <w:pStyle w:val="11"/>
            </w:pPr>
            <w:r>
              <w:t>7</w:t>
            </w:r>
          </w:p>
        </w:tc>
        <w:tc>
          <w:tcPr>
            <w:tcW w:w="1134" w:type="dxa"/>
            <w:vAlign w:val="center"/>
          </w:tcPr>
          <w:p w14:paraId="396F6AD0">
            <w:pPr>
              <w:pStyle w:val="11"/>
            </w:pPr>
            <w:r>
              <w:t>8</w:t>
            </w:r>
          </w:p>
        </w:tc>
        <w:tc>
          <w:tcPr>
            <w:tcW w:w="1134" w:type="dxa"/>
            <w:vAlign w:val="center"/>
          </w:tcPr>
          <w:p w14:paraId="38FD9227">
            <w:pPr>
              <w:pStyle w:val="11"/>
            </w:pPr>
            <w:r>
              <w:t>9</w:t>
            </w:r>
          </w:p>
        </w:tc>
        <w:tc>
          <w:tcPr>
            <w:tcW w:w="1134" w:type="dxa"/>
            <w:vAlign w:val="center"/>
          </w:tcPr>
          <w:p w14:paraId="19331F3E">
            <w:pPr>
              <w:pStyle w:val="11"/>
            </w:pPr>
            <w:r>
              <w:t>10</w:t>
            </w:r>
          </w:p>
        </w:tc>
        <w:tc>
          <w:tcPr>
            <w:tcW w:w="1134" w:type="dxa"/>
            <w:vAlign w:val="center"/>
          </w:tcPr>
          <w:p w14:paraId="543EDFDD">
            <w:pPr>
              <w:pStyle w:val="11"/>
            </w:pPr>
            <w:r>
              <w:t>11</w:t>
            </w:r>
          </w:p>
        </w:tc>
        <w:tc>
          <w:tcPr>
            <w:tcW w:w="1134" w:type="dxa"/>
            <w:vAlign w:val="center"/>
          </w:tcPr>
          <w:p w14:paraId="23E3CA2E">
            <w:pPr>
              <w:pStyle w:val="11"/>
            </w:pPr>
            <w:r>
              <w:t>12</w:t>
            </w:r>
          </w:p>
        </w:tc>
      </w:tr>
      <w:tr w14:paraId="6A21E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3EF72C">
            <w:pPr>
              <w:pStyle w:val="12"/>
            </w:pPr>
            <w:r>
              <w:t>1</w:t>
            </w:r>
          </w:p>
        </w:tc>
        <w:tc>
          <w:tcPr>
            <w:tcW w:w="992" w:type="dxa"/>
            <w:vAlign w:val="center"/>
          </w:tcPr>
          <w:p w14:paraId="75487B09">
            <w:pPr>
              <w:pStyle w:val="17"/>
            </w:pPr>
          </w:p>
        </w:tc>
        <w:tc>
          <w:tcPr>
            <w:tcW w:w="1559" w:type="dxa"/>
            <w:vAlign w:val="center"/>
          </w:tcPr>
          <w:p w14:paraId="5E134212">
            <w:pPr>
              <w:pStyle w:val="15"/>
            </w:pPr>
            <w:r>
              <w:t>合计</w:t>
            </w:r>
          </w:p>
        </w:tc>
        <w:tc>
          <w:tcPr>
            <w:tcW w:w="1134" w:type="dxa"/>
            <w:vAlign w:val="center"/>
          </w:tcPr>
          <w:p w14:paraId="6A2412EA">
            <w:pPr>
              <w:pStyle w:val="16"/>
            </w:pPr>
            <w:r>
              <w:t>3178.44</w:t>
            </w:r>
          </w:p>
        </w:tc>
        <w:tc>
          <w:tcPr>
            <w:tcW w:w="1134" w:type="dxa"/>
            <w:vAlign w:val="center"/>
          </w:tcPr>
          <w:p w14:paraId="53CDA200">
            <w:pPr>
              <w:pStyle w:val="16"/>
            </w:pPr>
            <w:r>
              <w:t>3137.35</w:t>
            </w:r>
          </w:p>
        </w:tc>
        <w:tc>
          <w:tcPr>
            <w:tcW w:w="1134" w:type="dxa"/>
            <w:vAlign w:val="center"/>
          </w:tcPr>
          <w:p w14:paraId="55B90D2E">
            <w:pPr>
              <w:pStyle w:val="16"/>
            </w:pPr>
            <w:r>
              <w:t>3137.35</w:t>
            </w:r>
          </w:p>
        </w:tc>
        <w:tc>
          <w:tcPr>
            <w:tcW w:w="1134" w:type="dxa"/>
            <w:vAlign w:val="center"/>
          </w:tcPr>
          <w:p w14:paraId="185C662A">
            <w:pPr>
              <w:pStyle w:val="16"/>
            </w:pPr>
          </w:p>
        </w:tc>
        <w:tc>
          <w:tcPr>
            <w:tcW w:w="1134" w:type="dxa"/>
            <w:vAlign w:val="center"/>
          </w:tcPr>
          <w:p w14:paraId="1B1B6C67">
            <w:pPr>
              <w:pStyle w:val="16"/>
            </w:pPr>
          </w:p>
        </w:tc>
        <w:tc>
          <w:tcPr>
            <w:tcW w:w="1134" w:type="dxa"/>
            <w:vAlign w:val="center"/>
          </w:tcPr>
          <w:p w14:paraId="49A10AE9">
            <w:pPr>
              <w:pStyle w:val="16"/>
            </w:pPr>
          </w:p>
        </w:tc>
        <w:tc>
          <w:tcPr>
            <w:tcW w:w="1134" w:type="dxa"/>
            <w:vAlign w:val="center"/>
          </w:tcPr>
          <w:p w14:paraId="1E655690">
            <w:pPr>
              <w:pStyle w:val="16"/>
            </w:pPr>
          </w:p>
        </w:tc>
        <w:tc>
          <w:tcPr>
            <w:tcW w:w="1134" w:type="dxa"/>
            <w:vAlign w:val="center"/>
          </w:tcPr>
          <w:p w14:paraId="49193168">
            <w:pPr>
              <w:pStyle w:val="16"/>
            </w:pPr>
          </w:p>
        </w:tc>
        <w:tc>
          <w:tcPr>
            <w:tcW w:w="1134" w:type="dxa"/>
            <w:vAlign w:val="center"/>
          </w:tcPr>
          <w:p w14:paraId="6F84D834">
            <w:pPr>
              <w:pStyle w:val="16"/>
            </w:pPr>
          </w:p>
        </w:tc>
        <w:tc>
          <w:tcPr>
            <w:tcW w:w="1134" w:type="dxa"/>
            <w:vAlign w:val="center"/>
          </w:tcPr>
          <w:p w14:paraId="05984F09">
            <w:pPr>
              <w:pStyle w:val="16"/>
            </w:pPr>
            <w:r>
              <w:t>41.10</w:t>
            </w:r>
          </w:p>
        </w:tc>
      </w:tr>
      <w:tr w14:paraId="66E91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C6C94C">
            <w:pPr>
              <w:pStyle w:val="12"/>
            </w:pPr>
            <w:r>
              <w:t>2</w:t>
            </w:r>
          </w:p>
        </w:tc>
        <w:tc>
          <w:tcPr>
            <w:tcW w:w="992" w:type="dxa"/>
            <w:vAlign w:val="center"/>
          </w:tcPr>
          <w:p w14:paraId="54ACFB9C">
            <w:pPr>
              <w:pStyle w:val="13"/>
            </w:pPr>
            <w:r>
              <w:t>205</w:t>
            </w:r>
          </w:p>
        </w:tc>
        <w:tc>
          <w:tcPr>
            <w:tcW w:w="1559" w:type="dxa"/>
            <w:vAlign w:val="center"/>
          </w:tcPr>
          <w:p w14:paraId="698708A8">
            <w:pPr>
              <w:pStyle w:val="13"/>
            </w:pPr>
            <w:r>
              <w:t>教育支出</w:t>
            </w:r>
          </w:p>
        </w:tc>
        <w:tc>
          <w:tcPr>
            <w:tcW w:w="1134" w:type="dxa"/>
            <w:vAlign w:val="center"/>
          </w:tcPr>
          <w:p w14:paraId="112DAF04">
            <w:pPr>
              <w:pStyle w:val="14"/>
            </w:pPr>
            <w:r>
              <w:t>3178.44</w:t>
            </w:r>
          </w:p>
        </w:tc>
        <w:tc>
          <w:tcPr>
            <w:tcW w:w="1134" w:type="dxa"/>
            <w:vAlign w:val="center"/>
          </w:tcPr>
          <w:p w14:paraId="378F23A0">
            <w:pPr>
              <w:pStyle w:val="14"/>
            </w:pPr>
            <w:r>
              <w:t>3137.35</w:t>
            </w:r>
          </w:p>
        </w:tc>
        <w:tc>
          <w:tcPr>
            <w:tcW w:w="1134" w:type="dxa"/>
            <w:vAlign w:val="center"/>
          </w:tcPr>
          <w:p w14:paraId="6EF46005">
            <w:pPr>
              <w:pStyle w:val="14"/>
            </w:pPr>
            <w:r>
              <w:t>3137.35</w:t>
            </w:r>
          </w:p>
        </w:tc>
        <w:tc>
          <w:tcPr>
            <w:tcW w:w="1134" w:type="dxa"/>
            <w:vAlign w:val="center"/>
          </w:tcPr>
          <w:p w14:paraId="6FBFE6E0">
            <w:pPr>
              <w:pStyle w:val="14"/>
            </w:pPr>
          </w:p>
        </w:tc>
        <w:tc>
          <w:tcPr>
            <w:tcW w:w="1134" w:type="dxa"/>
            <w:vAlign w:val="center"/>
          </w:tcPr>
          <w:p w14:paraId="6D326F45">
            <w:pPr>
              <w:pStyle w:val="14"/>
            </w:pPr>
          </w:p>
        </w:tc>
        <w:tc>
          <w:tcPr>
            <w:tcW w:w="1134" w:type="dxa"/>
            <w:vAlign w:val="center"/>
          </w:tcPr>
          <w:p w14:paraId="5E3712BB">
            <w:pPr>
              <w:pStyle w:val="14"/>
            </w:pPr>
          </w:p>
        </w:tc>
        <w:tc>
          <w:tcPr>
            <w:tcW w:w="1134" w:type="dxa"/>
            <w:vAlign w:val="center"/>
          </w:tcPr>
          <w:p w14:paraId="53796CE1">
            <w:pPr>
              <w:pStyle w:val="14"/>
            </w:pPr>
          </w:p>
        </w:tc>
        <w:tc>
          <w:tcPr>
            <w:tcW w:w="1134" w:type="dxa"/>
            <w:vAlign w:val="center"/>
          </w:tcPr>
          <w:p w14:paraId="57739D5A">
            <w:pPr>
              <w:pStyle w:val="14"/>
            </w:pPr>
          </w:p>
        </w:tc>
        <w:tc>
          <w:tcPr>
            <w:tcW w:w="1134" w:type="dxa"/>
            <w:vAlign w:val="center"/>
          </w:tcPr>
          <w:p w14:paraId="2A89E5F2">
            <w:pPr>
              <w:pStyle w:val="14"/>
            </w:pPr>
          </w:p>
        </w:tc>
        <w:tc>
          <w:tcPr>
            <w:tcW w:w="1134" w:type="dxa"/>
            <w:vAlign w:val="center"/>
          </w:tcPr>
          <w:p w14:paraId="6D1DD4BD">
            <w:pPr>
              <w:pStyle w:val="14"/>
            </w:pPr>
            <w:r>
              <w:t>41.10</w:t>
            </w:r>
          </w:p>
        </w:tc>
      </w:tr>
      <w:tr w14:paraId="71BD8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DC7581">
            <w:pPr>
              <w:pStyle w:val="12"/>
            </w:pPr>
            <w:r>
              <w:t>3</w:t>
            </w:r>
          </w:p>
        </w:tc>
        <w:tc>
          <w:tcPr>
            <w:tcW w:w="992" w:type="dxa"/>
            <w:vAlign w:val="center"/>
          </w:tcPr>
          <w:p w14:paraId="1499B67D">
            <w:pPr>
              <w:pStyle w:val="13"/>
            </w:pPr>
            <w:r>
              <w:t>20502</w:t>
            </w:r>
          </w:p>
        </w:tc>
        <w:tc>
          <w:tcPr>
            <w:tcW w:w="1559" w:type="dxa"/>
            <w:vAlign w:val="center"/>
          </w:tcPr>
          <w:p w14:paraId="17F5F1BB">
            <w:pPr>
              <w:pStyle w:val="13"/>
            </w:pPr>
            <w:r>
              <w:t>普通教育</w:t>
            </w:r>
          </w:p>
        </w:tc>
        <w:tc>
          <w:tcPr>
            <w:tcW w:w="1134" w:type="dxa"/>
            <w:vAlign w:val="center"/>
          </w:tcPr>
          <w:p w14:paraId="03F7404C">
            <w:pPr>
              <w:pStyle w:val="14"/>
            </w:pPr>
            <w:r>
              <w:t>3178.44</w:t>
            </w:r>
          </w:p>
        </w:tc>
        <w:tc>
          <w:tcPr>
            <w:tcW w:w="1134" w:type="dxa"/>
            <w:vAlign w:val="center"/>
          </w:tcPr>
          <w:p w14:paraId="5DDE8E19">
            <w:pPr>
              <w:pStyle w:val="14"/>
            </w:pPr>
            <w:r>
              <w:t>3137.35</w:t>
            </w:r>
          </w:p>
        </w:tc>
        <w:tc>
          <w:tcPr>
            <w:tcW w:w="1134" w:type="dxa"/>
            <w:vAlign w:val="center"/>
          </w:tcPr>
          <w:p w14:paraId="0CDFFE71">
            <w:pPr>
              <w:pStyle w:val="14"/>
            </w:pPr>
            <w:r>
              <w:t>3137.35</w:t>
            </w:r>
          </w:p>
        </w:tc>
        <w:tc>
          <w:tcPr>
            <w:tcW w:w="1134" w:type="dxa"/>
            <w:vAlign w:val="center"/>
          </w:tcPr>
          <w:p w14:paraId="0FE760AA">
            <w:pPr>
              <w:pStyle w:val="14"/>
            </w:pPr>
          </w:p>
        </w:tc>
        <w:tc>
          <w:tcPr>
            <w:tcW w:w="1134" w:type="dxa"/>
            <w:vAlign w:val="center"/>
          </w:tcPr>
          <w:p w14:paraId="5707A14C">
            <w:pPr>
              <w:pStyle w:val="14"/>
            </w:pPr>
          </w:p>
        </w:tc>
        <w:tc>
          <w:tcPr>
            <w:tcW w:w="1134" w:type="dxa"/>
            <w:vAlign w:val="center"/>
          </w:tcPr>
          <w:p w14:paraId="10A6DA2A">
            <w:pPr>
              <w:pStyle w:val="14"/>
            </w:pPr>
          </w:p>
        </w:tc>
        <w:tc>
          <w:tcPr>
            <w:tcW w:w="1134" w:type="dxa"/>
            <w:vAlign w:val="center"/>
          </w:tcPr>
          <w:p w14:paraId="1C44CF58">
            <w:pPr>
              <w:pStyle w:val="14"/>
            </w:pPr>
          </w:p>
        </w:tc>
        <w:tc>
          <w:tcPr>
            <w:tcW w:w="1134" w:type="dxa"/>
            <w:vAlign w:val="center"/>
          </w:tcPr>
          <w:p w14:paraId="5074F4E0">
            <w:pPr>
              <w:pStyle w:val="14"/>
            </w:pPr>
          </w:p>
        </w:tc>
        <w:tc>
          <w:tcPr>
            <w:tcW w:w="1134" w:type="dxa"/>
            <w:vAlign w:val="center"/>
          </w:tcPr>
          <w:p w14:paraId="2BA7ECA4">
            <w:pPr>
              <w:pStyle w:val="14"/>
            </w:pPr>
          </w:p>
        </w:tc>
        <w:tc>
          <w:tcPr>
            <w:tcW w:w="1134" w:type="dxa"/>
            <w:vAlign w:val="center"/>
          </w:tcPr>
          <w:p w14:paraId="4D20533A">
            <w:pPr>
              <w:pStyle w:val="14"/>
            </w:pPr>
            <w:r>
              <w:t>41.10</w:t>
            </w:r>
          </w:p>
        </w:tc>
      </w:tr>
      <w:tr w14:paraId="0C4AC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0BFC12">
            <w:pPr>
              <w:pStyle w:val="12"/>
            </w:pPr>
            <w:r>
              <w:t>4</w:t>
            </w:r>
          </w:p>
        </w:tc>
        <w:tc>
          <w:tcPr>
            <w:tcW w:w="992" w:type="dxa"/>
            <w:vAlign w:val="center"/>
          </w:tcPr>
          <w:p w14:paraId="6B407854">
            <w:pPr>
              <w:pStyle w:val="13"/>
            </w:pPr>
            <w:r>
              <w:t>2050201</w:t>
            </w:r>
          </w:p>
        </w:tc>
        <w:tc>
          <w:tcPr>
            <w:tcW w:w="1559" w:type="dxa"/>
            <w:vAlign w:val="center"/>
          </w:tcPr>
          <w:p w14:paraId="73C05BEF">
            <w:pPr>
              <w:pStyle w:val="13"/>
            </w:pPr>
            <w:r>
              <w:t>学前教育</w:t>
            </w:r>
          </w:p>
        </w:tc>
        <w:tc>
          <w:tcPr>
            <w:tcW w:w="1134" w:type="dxa"/>
            <w:vAlign w:val="center"/>
          </w:tcPr>
          <w:p w14:paraId="32DA97F9">
            <w:pPr>
              <w:pStyle w:val="14"/>
            </w:pPr>
            <w:r>
              <w:t>23.10</w:t>
            </w:r>
          </w:p>
        </w:tc>
        <w:tc>
          <w:tcPr>
            <w:tcW w:w="1134" w:type="dxa"/>
            <w:vAlign w:val="center"/>
          </w:tcPr>
          <w:p w14:paraId="265F4299">
            <w:pPr>
              <w:pStyle w:val="14"/>
            </w:pPr>
            <w:r>
              <w:t>23.10</w:t>
            </w:r>
          </w:p>
        </w:tc>
        <w:tc>
          <w:tcPr>
            <w:tcW w:w="1134" w:type="dxa"/>
            <w:vAlign w:val="center"/>
          </w:tcPr>
          <w:p w14:paraId="0136FB09">
            <w:pPr>
              <w:pStyle w:val="14"/>
            </w:pPr>
            <w:r>
              <w:t>23.10</w:t>
            </w:r>
          </w:p>
        </w:tc>
        <w:tc>
          <w:tcPr>
            <w:tcW w:w="1134" w:type="dxa"/>
            <w:vAlign w:val="center"/>
          </w:tcPr>
          <w:p w14:paraId="0FE23953">
            <w:pPr>
              <w:pStyle w:val="14"/>
            </w:pPr>
          </w:p>
        </w:tc>
        <w:tc>
          <w:tcPr>
            <w:tcW w:w="1134" w:type="dxa"/>
            <w:vAlign w:val="center"/>
          </w:tcPr>
          <w:p w14:paraId="4043EB46">
            <w:pPr>
              <w:pStyle w:val="14"/>
            </w:pPr>
          </w:p>
        </w:tc>
        <w:tc>
          <w:tcPr>
            <w:tcW w:w="1134" w:type="dxa"/>
            <w:vAlign w:val="center"/>
          </w:tcPr>
          <w:p w14:paraId="27D61211">
            <w:pPr>
              <w:pStyle w:val="14"/>
            </w:pPr>
          </w:p>
        </w:tc>
        <w:tc>
          <w:tcPr>
            <w:tcW w:w="1134" w:type="dxa"/>
            <w:vAlign w:val="center"/>
          </w:tcPr>
          <w:p w14:paraId="3B46327A">
            <w:pPr>
              <w:pStyle w:val="14"/>
            </w:pPr>
          </w:p>
        </w:tc>
        <w:tc>
          <w:tcPr>
            <w:tcW w:w="1134" w:type="dxa"/>
            <w:vAlign w:val="center"/>
          </w:tcPr>
          <w:p w14:paraId="68397140">
            <w:pPr>
              <w:pStyle w:val="14"/>
            </w:pPr>
          </w:p>
        </w:tc>
        <w:tc>
          <w:tcPr>
            <w:tcW w:w="1134" w:type="dxa"/>
            <w:vAlign w:val="center"/>
          </w:tcPr>
          <w:p w14:paraId="5CBEDD16">
            <w:pPr>
              <w:pStyle w:val="14"/>
            </w:pPr>
          </w:p>
        </w:tc>
        <w:tc>
          <w:tcPr>
            <w:tcW w:w="1134" w:type="dxa"/>
            <w:vAlign w:val="center"/>
          </w:tcPr>
          <w:p w14:paraId="610BF592">
            <w:pPr>
              <w:pStyle w:val="14"/>
            </w:pPr>
          </w:p>
        </w:tc>
      </w:tr>
      <w:tr w14:paraId="01F9B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9FF5BF">
            <w:pPr>
              <w:pStyle w:val="12"/>
            </w:pPr>
            <w:r>
              <w:t>5</w:t>
            </w:r>
          </w:p>
        </w:tc>
        <w:tc>
          <w:tcPr>
            <w:tcW w:w="992" w:type="dxa"/>
            <w:vAlign w:val="center"/>
          </w:tcPr>
          <w:p w14:paraId="2BB5F047">
            <w:pPr>
              <w:pStyle w:val="13"/>
            </w:pPr>
            <w:r>
              <w:t>2050202</w:t>
            </w:r>
          </w:p>
        </w:tc>
        <w:tc>
          <w:tcPr>
            <w:tcW w:w="1559" w:type="dxa"/>
            <w:vAlign w:val="center"/>
          </w:tcPr>
          <w:p w14:paraId="41A26E66">
            <w:pPr>
              <w:pStyle w:val="13"/>
            </w:pPr>
            <w:r>
              <w:t>小学教育</w:t>
            </w:r>
          </w:p>
        </w:tc>
        <w:tc>
          <w:tcPr>
            <w:tcW w:w="1134" w:type="dxa"/>
            <w:vAlign w:val="center"/>
          </w:tcPr>
          <w:p w14:paraId="16C3CB57">
            <w:pPr>
              <w:pStyle w:val="14"/>
            </w:pPr>
            <w:r>
              <w:t>3155.34</w:t>
            </w:r>
          </w:p>
        </w:tc>
        <w:tc>
          <w:tcPr>
            <w:tcW w:w="1134" w:type="dxa"/>
            <w:vAlign w:val="center"/>
          </w:tcPr>
          <w:p w14:paraId="3D3F7087">
            <w:pPr>
              <w:pStyle w:val="14"/>
            </w:pPr>
            <w:r>
              <w:t>3114.25</w:t>
            </w:r>
          </w:p>
        </w:tc>
        <w:tc>
          <w:tcPr>
            <w:tcW w:w="1134" w:type="dxa"/>
            <w:vAlign w:val="center"/>
          </w:tcPr>
          <w:p w14:paraId="6CCA2B76">
            <w:pPr>
              <w:pStyle w:val="14"/>
            </w:pPr>
            <w:r>
              <w:t>3114.25</w:t>
            </w:r>
          </w:p>
        </w:tc>
        <w:tc>
          <w:tcPr>
            <w:tcW w:w="1134" w:type="dxa"/>
            <w:vAlign w:val="center"/>
          </w:tcPr>
          <w:p w14:paraId="22F15DC0">
            <w:pPr>
              <w:pStyle w:val="14"/>
            </w:pPr>
          </w:p>
        </w:tc>
        <w:tc>
          <w:tcPr>
            <w:tcW w:w="1134" w:type="dxa"/>
            <w:vAlign w:val="center"/>
          </w:tcPr>
          <w:p w14:paraId="52EFCAE4">
            <w:pPr>
              <w:pStyle w:val="14"/>
            </w:pPr>
          </w:p>
        </w:tc>
        <w:tc>
          <w:tcPr>
            <w:tcW w:w="1134" w:type="dxa"/>
            <w:vAlign w:val="center"/>
          </w:tcPr>
          <w:p w14:paraId="7C935371">
            <w:pPr>
              <w:pStyle w:val="14"/>
            </w:pPr>
          </w:p>
        </w:tc>
        <w:tc>
          <w:tcPr>
            <w:tcW w:w="1134" w:type="dxa"/>
            <w:vAlign w:val="center"/>
          </w:tcPr>
          <w:p w14:paraId="09996D14">
            <w:pPr>
              <w:pStyle w:val="14"/>
            </w:pPr>
          </w:p>
        </w:tc>
        <w:tc>
          <w:tcPr>
            <w:tcW w:w="1134" w:type="dxa"/>
            <w:vAlign w:val="center"/>
          </w:tcPr>
          <w:p w14:paraId="6C3648C9">
            <w:pPr>
              <w:pStyle w:val="14"/>
            </w:pPr>
          </w:p>
        </w:tc>
        <w:tc>
          <w:tcPr>
            <w:tcW w:w="1134" w:type="dxa"/>
            <w:vAlign w:val="center"/>
          </w:tcPr>
          <w:p w14:paraId="4614A5B1">
            <w:pPr>
              <w:pStyle w:val="14"/>
            </w:pPr>
          </w:p>
        </w:tc>
        <w:tc>
          <w:tcPr>
            <w:tcW w:w="1134" w:type="dxa"/>
            <w:vAlign w:val="center"/>
          </w:tcPr>
          <w:p w14:paraId="1BED838A">
            <w:pPr>
              <w:pStyle w:val="14"/>
            </w:pPr>
            <w:r>
              <w:t>41.10</w:t>
            </w:r>
          </w:p>
        </w:tc>
      </w:tr>
    </w:tbl>
    <w:p w14:paraId="48488F79">
      <w:pPr>
        <w:sectPr>
          <w:pgSz w:w="16840" w:h="11900" w:orient="landscape"/>
          <w:pgMar w:top="1361" w:right="1020" w:bottom="1134" w:left="1020" w:header="720" w:footer="720" w:gutter="0"/>
          <w:cols w:space="720" w:num="1"/>
        </w:sectPr>
      </w:pPr>
    </w:p>
    <w:p w14:paraId="061DE2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B9F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813DA18">
            <w:pPr>
              <w:pStyle w:val="8"/>
            </w:pPr>
            <w:r>
              <w:t>360017隆尧县魏庄校区</w:t>
            </w:r>
          </w:p>
        </w:tc>
        <w:tc>
          <w:tcPr>
            <w:tcW w:w="2722" w:type="dxa"/>
            <w:gridSpan w:val="2"/>
            <w:tcBorders>
              <w:top w:val="single" w:color="FFFFFF" w:sz="6" w:space="0"/>
              <w:left w:val="single" w:color="FFFFFF" w:sz="6" w:space="0"/>
              <w:right w:val="single" w:color="FFFFFF" w:sz="6" w:space="0"/>
            </w:tcBorders>
            <w:vAlign w:val="center"/>
          </w:tcPr>
          <w:p w14:paraId="3D027B46">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764ACD1">
            <w:pPr>
              <w:pStyle w:val="10"/>
            </w:pPr>
            <w:r>
              <w:t>单位：万元</w:t>
            </w:r>
          </w:p>
        </w:tc>
      </w:tr>
      <w:tr w14:paraId="528F8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7D6EA255">
            <w:pPr>
              <w:pStyle w:val="11"/>
            </w:pPr>
            <w:r>
              <w:t>序号</w:t>
            </w:r>
          </w:p>
        </w:tc>
        <w:tc>
          <w:tcPr>
            <w:tcW w:w="5527" w:type="dxa"/>
            <w:gridSpan w:val="2"/>
            <w:vAlign w:val="center"/>
          </w:tcPr>
          <w:p w14:paraId="265D3AB0">
            <w:pPr>
              <w:pStyle w:val="11"/>
            </w:pPr>
            <w:r>
              <w:t>功能分类科目</w:t>
            </w:r>
          </w:p>
        </w:tc>
        <w:tc>
          <w:tcPr>
            <w:tcW w:w="1361" w:type="dxa"/>
            <w:vMerge w:val="restart"/>
            <w:vAlign w:val="center"/>
          </w:tcPr>
          <w:p w14:paraId="3DCCF188">
            <w:pPr>
              <w:pStyle w:val="11"/>
            </w:pPr>
            <w:r>
              <w:t>合计</w:t>
            </w:r>
          </w:p>
        </w:tc>
        <w:tc>
          <w:tcPr>
            <w:tcW w:w="1361" w:type="dxa"/>
            <w:vMerge w:val="restart"/>
            <w:vAlign w:val="center"/>
          </w:tcPr>
          <w:p w14:paraId="6545DEAD">
            <w:pPr>
              <w:pStyle w:val="11"/>
            </w:pPr>
            <w:r>
              <w:t>基本支出</w:t>
            </w:r>
          </w:p>
        </w:tc>
        <w:tc>
          <w:tcPr>
            <w:tcW w:w="1361" w:type="dxa"/>
            <w:vMerge w:val="restart"/>
            <w:vAlign w:val="center"/>
          </w:tcPr>
          <w:p w14:paraId="3CCD6852">
            <w:pPr>
              <w:pStyle w:val="11"/>
            </w:pPr>
            <w:r>
              <w:t>项目支出</w:t>
            </w:r>
          </w:p>
        </w:tc>
        <w:tc>
          <w:tcPr>
            <w:tcW w:w="1361" w:type="dxa"/>
            <w:vMerge w:val="restart"/>
            <w:vAlign w:val="center"/>
          </w:tcPr>
          <w:p w14:paraId="7DB9ED51">
            <w:pPr>
              <w:pStyle w:val="11"/>
            </w:pPr>
            <w:r>
              <w:t>经营支出</w:t>
            </w:r>
          </w:p>
        </w:tc>
        <w:tc>
          <w:tcPr>
            <w:tcW w:w="1361" w:type="dxa"/>
            <w:vMerge w:val="restart"/>
            <w:vAlign w:val="center"/>
          </w:tcPr>
          <w:p w14:paraId="753388EE">
            <w:pPr>
              <w:pStyle w:val="11"/>
            </w:pPr>
            <w:r>
              <w:t>上解上级     支出</w:t>
            </w:r>
          </w:p>
        </w:tc>
        <w:tc>
          <w:tcPr>
            <w:tcW w:w="1361" w:type="dxa"/>
            <w:vMerge w:val="restart"/>
            <w:vAlign w:val="center"/>
          </w:tcPr>
          <w:p w14:paraId="0C8F934F">
            <w:pPr>
              <w:pStyle w:val="11"/>
            </w:pPr>
            <w:r>
              <w:t>对附属单位补助支出</w:t>
            </w:r>
          </w:p>
        </w:tc>
      </w:tr>
      <w:tr w14:paraId="29ABD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7A44F2"/>
        </w:tc>
        <w:tc>
          <w:tcPr>
            <w:tcW w:w="992" w:type="dxa"/>
            <w:vAlign w:val="center"/>
          </w:tcPr>
          <w:p w14:paraId="1940CABF">
            <w:pPr>
              <w:pStyle w:val="11"/>
            </w:pPr>
            <w:r>
              <w:t>科目    编码</w:t>
            </w:r>
          </w:p>
        </w:tc>
        <w:tc>
          <w:tcPr>
            <w:tcW w:w="4535" w:type="dxa"/>
            <w:vAlign w:val="center"/>
          </w:tcPr>
          <w:p w14:paraId="519529B5">
            <w:pPr>
              <w:pStyle w:val="11"/>
            </w:pPr>
            <w:r>
              <w:t>科目名称</w:t>
            </w:r>
          </w:p>
        </w:tc>
        <w:tc>
          <w:tcPr>
            <w:tcW w:w="1361" w:type="dxa"/>
            <w:vMerge w:val="continue"/>
          </w:tcPr>
          <w:p w14:paraId="4DFFB1BB"/>
        </w:tc>
        <w:tc>
          <w:tcPr>
            <w:tcW w:w="1361" w:type="dxa"/>
            <w:vMerge w:val="continue"/>
          </w:tcPr>
          <w:p w14:paraId="6C2C9E3E"/>
        </w:tc>
        <w:tc>
          <w:tcPr>
            <w:tcW w:w="1361" w:type="dxa"/>
            <w:vMerge w:val="continue"/>
          </w:tcPr>
          <w:p w14:paraId="198EEB74"/>
        </w:tc>
        <w:tc>
          <w:tcPr>
            <w:tcW w:w="1361" w:type="dxa"/>
            <w:vMerge w:val="continue"/>
          </w:tcPr>
          <w:p w14:paraId="39CCBE63"/>
        </w:tc>
        <w:tc>
          <w:tcPr>
            <w:tcW w:w="1361" w:type="dxa"/>
            <w:vMerge w:val="continue"/>
          </w:tcPr>
          <w:p w14:paraId="64FEE966"/>
        </w:tc>
        <w:tc>
          <w:tcPr>
            <w:tcW w:w="1361" w:type="dxa"/>
            <w:vMerge w:val="continue"/>
          </w:tcPr>
          <w:p w14:paraId="719258BF"/>
        </w:tc>
      </w:tr>
      <w:tr w14:paraId="608E3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7FA11">
            <w:pPr>
              <w:pStyle w:val="11"/>
            </w:pPr>
            <w:r>
              <w:t>栏次</w:t>
            </w:r>
          </w:p>
        </w:tc>
        <w:tc>
          <w:tcPr>
            <w:tcW w:w="992" w:type="dxa"/>
            <w:vAlign w:val="center"/>
          </w:tcPr>
          <w:p w14:paraId="21C2B432">
            <w:pPr>
              <w:pStyle w:val="11"/>
            </w:pPr>
            <w:r>
              <w:t>1</w:t>
            </w:r>
          </w:p>
        </w:tc>
        <w:tc>
          <w:tcPr>
            <w:tcW w:w="4535" w:type="dxa"/>
            <w:vAlign w:val="center"/>
          </w:tcPr>
          <w:p w14:paraId="44B31C06">
            <w:pPr>
              <w:pStyle w:val="11"/>
            </w:pPr>
            <w:r>
              <w:t>2</w:t>
            </w:r>
          </w:p>
        </w:tc>
        <w:tc>
          <w:tcPr>
            <w:tcW w:w="1361" w:type="dxa"/>
            <w:vAlign w:val="center"/>
          </w:tcPr>
          <w:p w14:paraId="43051216">
            <w:pPr>
              <w:pStyle w:val="11"/>
            </w:pPr>
            <w:r>
              <w:t>3</w:t>
            </w:r>
          </w:p>
        </w:tc>
        <w:tc>
          <w:tcPr>
            <w:tcW w:w="1361" w:type="dxa"/>
            <w:vAlign w:val="center"/>
          </w:tcPr>
          <w:p w14:paraId="43E5A309">
            <w:pPr>
              <w:pStyle w:val="11"/>
            </w:pPr>
            <w:r>
              <w:t>4</w:t>
            </w:r>
          </w:p>
        </w:tc>
        <w:tc>
          <w:tcPr>
            <w:tcW w:w="1361" w:type="dxa"/>
            <w:vAlign w:val="center"/>
          </w:tcPr>
          <w:p w14:paraId="18C374B5">
            <w:pPr>
              <w:pStyle w:val="11"/>
            </w:pPr>
            <w:r>
              <w:t>5</w:t>
            </w:r>
          </w:p>
        </w:tc>
        <w:tc>
          <w:tcPr>
            <w:tcW w:w="1361" w:type="dxa"/>
            <w:vAlign w:val="center"/>
          </w:tcPr>
          <w:p w14:paraId="189AF16A">
            <w:pPr>
              <w:pStyle w:val="11"/>
            </w:pPr>
            <w:r>
              <w:t>6</w:t>
            </w:r>
          </w:p>
        </w:tc>
        <w:tc>
          <w:tcPr>
            <w:tcW w:w="1361" w:type="dxa"/>
            <w:vAlign w:val="center"/>
          </w:tcPr>
          <w:p w14:paraId="0F1A4EAD">
            <w:pPr>
              <w:pStyle w:val="11"/>
            </w:pPr>
            <w:r>
              <w:t>7</w:t>
            </w:r>
          </w:p>
        </w:tc>
        <w:tc>
          <w:tcPr>
            <w:tcW w:w="1361" w:type="dxa"/>
            <w:vAlign w:val="center"/>
          </w:tcPr>
          <w:p w14:paraId="6E5B02C5">
            <w:pPr>
              <w:pStyle w:val="11"/>
            </w:pPr>
            <w:r>
              <w:t>8</w:t>
            </w:r>
          </w:p>
        </w:tc>
      </w:tr>
      <w:tr w14:paraId="7CD47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22C65">
            <w:pPr>
              <w:pStyle w:val="12"/>
            </w:pPr>
            <w:r>
              <w:t>1</w:t>
            </w:r>
          </w:p>
        </w:tc>
        <w:tc>
          <w:tcPr>
            <w:tcW w:w="992" w:type="dxa"/>
            <w:vAlign w:val="center"/>
          </w:tcPr>
          <w:p w14:paraId="496B75F9">
            <w:pPr>
              <w:pStyle w:val="17"/>
            </w:pPr>
          </w:p>
        </w:tc>
        <w:tc>
          <w:tcPr>
            <w:tcW w:w="4535" w:type="dxa"/>
            <w:vAlign w:val="center"/>
          </w:tcPr>
          <w:p w14:paraId="072C4B52">
            <w:pPr>
              <w:pStyle w:val="15"/>
            </w:pPr>
            <w:r>
              <w:t>合计</w:t>
            </w:r>
          </w:p>
        </w:tc>
        <w:tc>
          <w:tcPr>
            <w:tcW w:w="1361" w:type="dxa"/>
            <w:vAlign w:val="center"/>
          </w:tcPr>
          <w:p w14:paraId="06FAAA45">
            <w:pPr>
              <w:pStyle w:val="16"/>
            </w:pPr>
            <w:r>
              <w:t>3178.44</w:t>
            </w:r>
          </w:p>
        </w:tc>
        <w:tc>
          <w:tcPr>
            <w:tcW w:w="1361" w:type="dxa"/>
            <w:vAlign w:val="center"/>
          </w:tcPr>
          <w:p w14:paraId="14C07BF6">
            <w:pPr>
              <w:pStyle w:val="16"/>
            </w:pPr>
            <w:r>
              <w:t>2148.65</w:t>
            </w:r>
          </w:p>
        </w:tc>
        <w:tc>
          <w:tcPr>
            <w:tcW w:w="1361" w:type="dxa"/>
            <w:vAlign w:val="center"/>
          </w:tcPr>
          <w:p w14:paraId="7F0831FA">
            <w:pPr>
              <w:pStyle w:val="16"/>
            </w:pPr>
            <w:r>
              <w:t>1029.80</w:t>
            </w:r>
          </w:p>
        </w:tc>
        <w:tc>
          <w:tcPr>
            <w:tcW w:w="1361" w:type="dxa"/>
            <w:vAlign w:val="center"/>
          </w:tcPr>
          <w:p w14:paraId="019006CD">
            <w:pPr>
              <w:pStyle w:val="16"/>
            </w:pPr>
          </w:p>
        </w:tc>
        <w:tc>
          <w:tcPr>
            <w:tcW w:w="1361" w:type="dxa"/>
            <w:vAlign w:val="center"/>
          </w:tcPr>
          <w:p w14:paraId="0D362188">
            <w:pPr>
              <w:pStyle w:val="16"/>
            </w:pPr>
          </w:p>
        </w:tc>
        <w:tc>
          <w:tcPr>
            <w:tcW w:w="1361" w:type="dxa"/>
            <w:vAlign w:val="center"/>
          </w:tcPr>
          <w:p w14:paraId="379B2340">
            <w:pPr>
              <w:pStyle w:val="16"/>
            </w:pPr>
          </w:p>
        </w:tc>
      </w:tr>
      <w:tr w14:paraId="36325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89EB0">
            <w:pPr>
              <w:pStyle w:val="12"/>
            </w:pPr>
            <w:r>
              <w:t>2</w:t>
            </w:r>
          </w:p>
        </w:tc>
        <w:tc>
          <w:tcPr>
            <w:tcW w:w="992" w:type="dxa"/>
            <w:vAlign w:val="center"/>
          </w:tcPr>
          <w:p w14:paraId="0C4041B3">
            <w:pPr>
              <w:pStyle w:val="13"/>
            </w:pPr>
            <w:r>
              <w:t>205</w:t>
            </w:r>
          </w:p>
        </w:tc>
        <w:tc>
          <w:tcPr>
            <w:tcW w:w="4535" w:type="dxa"/>
            <w:vAlign w:val="center"/>
          </w:tcPr>
          <w:p w14:paraId="5A1E036E">
            <w:pPr>
              <w:pStyle w:val="13"/>
            </w:pPr>
            <w:r>
              <w:t>教育支出</w:t>
            </w:r>
          </w:p>
        </w:tc>
        <w:tc>
          <w:tcPr>
            <w:tcW w:w="1361" w:type="dxa"/>
            <w:vAlign w:val="center"/>
          </w:tcPr>
          <w:p w14:paraId="2FFC246F">
            <w:pPr>
              <w:pStyle w:val="14"/>
            </w:pPr>
            <w:r>
              <w:t>3178.44</w:t>
            </w:r>
          </w:p>
        </w:tc>
        <w:tc>
          <w:tcPr>
            <w:tcW w:w="1361" w:type="dxa"/>
            <w:vAlign w:val="center"/>
          </w:tcPr>
          <w:p w14:paraId="74817C19">
            <w:pPr>
              <w:pStyle w:val="14"/>
            </w:pPr>
            <w:r>
              <w:t>2148.65</w:t>
            </w:r>
          </w:p>
        </w:tc>
        <w:tc>
          <w:tcPr>
            <w:tcW w:w="1361" w:type="dxa"/>
            <w:vAlign w:val="center"/>
          </w:tcPr>
          <w:p w14:paraId="561C0871">
            <w:pPr>
              <w:pStyle w:val="14"/>
            </w:pPr>
            <w:r>
              <w:t>1029.80</w:t>
            </w:r>
          </w:p>
        </w:tc>
        <w:tc>
          <w:tcPr>
            <w:tcW w:w="1361" w:type="dxa"/>
            <w:vAlign w:val="center"/>
          </w:tcPr>
          <w:p w14:paraId="04D69CE1">
            <w:pPr>
              <w:pStyle w:val="14"/>
            </w:pPr>
          </w:p>
        </w:tc>
        <w:tc>
          <w:tcPr>
            <w:tcW w:w="1361" w:type="dxa"/>
            <w:vAlign w:val="center"/>
          </w:tcPr>
          <w:p w14:paraId="056D74AA">
            <w:pPr>
              <w:pStyle w:val="14"/>
            </w:pPr>
          </w:p>
        </w:tc>
        <w:tc>
          <w:tcPr>
            <w:tcW w:w="1361" w:type="dxa"/>
            <w:vAlign w:val="center"/>
          </w:tcPr>
          <w:p w14:paraId="34627287">
            <w:pPr>
              <w:pStyle w:val="14"/>
            </w:pPr>
          </w:p>
        </w:tc>
      </w:tr>
      <w:tr w14:paraId="44DA5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97571">
            <w:pPr>
              <w:pStyle w:val="12"/>
            </w:pPr>
            <w:r>
              <w:t>3</w:t>
            </w:r>
          </w:p>
        </w:tc>
        <w:tc>
          <w:tcPr>
            <w:tcW w:w="992" w:type="dxa"/>
            <w:vAlign w:val="center"/>
          </w:tcPr>
          <w:p w14:paraId="07AB42CB">
            <w:pPr>
              <w:pStyle w:val="13"/>
            </w:pPr>
            <w:r>
              <w:t>20502</w:t>
            </w:r>
          </w:p>
        </w:tc>
        <w:tc>
          <w:tcPr>
            <w:tcW w:w="4535" w:type="dxa"/>
            <w:vAlign w:val="center"/>
          </w:tcPr>
          <w:p w14:paraId="505EFD2C">
            <w:pPr>
              <w:pStyle w:val="13"/>
            </w:pPr>
            <w:r>
              <w:t>普通教育</w:t>
            </w:r>
          </w:p>
        </w:tc>
        <w:tc>
          <w:tcPr>
            <w:tcW w:w="1361" w:type="dxa"/>
            <w:vAlign w:val="center"/>
          </w:tcPr>
          <w:p w14:paraId="0EBB9AA6">
            <w:pPr>
              <w:pStyle w:val="14"/>
            </w:pPr>
            <w:r>
              <w:t>3178.44</w:t>
            </w:r>
          </w:p>
        </w:tc>
        <w:tc>
          <w:tcPr>
            <w:tcW w:w="1361" w:type="dxa"/>
            <w:vAlign w:val="center"/>
          </w:tcPr>
          <w:p w14:paraId="5BF0B069">
            <w:pPr>
              <w:pStyle w:val="14"/>
            </w:pPr>
            <w:r>
              <w:t>2148.65</w:t>
            </w:r>
          </w:p>
        </w:tc>
        <w:tc>
          <w:tcPr>
            <w:tcW w:w="1361" w:type="dxa"/>
            <w:vAlign w:val="center"/>
          </w:tcPr>
          <w:p w14:paraId="2EB1917C">
            <w:pPr>
              <w:pStyle w:val="14"/>
            </w:pPr>
            <w:r>
              <w:t>1029.80</w:t>
            </w:r>
          </w:p>
        </w:tc>
        <w:tc>
          <w:tcPr>
            <w:tcW w:w="1361" w:type="dxa"/>
            <w:vAlign w:val="center"/>
          </w:tcPr>
          <w:p w14:paraId="5371E6C4">
            <w:pPr>
              <w:pStyle w:val="14"/>
            </w:pPr>
          </w:p>
        </w:tc>
        <w:tc>
          <w:tcPr>
            <w:tcW w:w="1361" w:type="dxa"/>
            <w:vAlign w:val="center"/>
          </w:tcPr>
          <w:p w14:paraId="19323941">
            <w:pPr>
              <w:pStyle w:val="14"/>
            </w:pPr>
          </w:p>
        </w:tc>
        <w:tc>
          <w:tcPr>
            <w:tcW w:w="1361" w:type="dxa"/>
            <w:vAlign w:val="center"/>
          </w:tcPr>
          <w:p w14:paraId="5B436977">
            <w:pPr>
              <w:pStyle w:val="14"/>
            </w:pPr>
          </w:p>
        </w:tc>
      </w:tr>
      <w:tr w14:paraId="73725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3BB15">
            <w:pPr>
              <w:pStyle w:val="12"/>
            </w:pPr>
            <w:r>
              <w:t>4</w:t>
            </w:r>
          </w:p>
        </w:tc>
        <w:tc>
          <w:tcPr>
            <w:tcW w:w="992" w:type="dxa"/>
            <w:vAlign w:val="center"/>
          </w:tcPr>
          <w:p w14:paraId="57665E2F">
            <w:pPr>
              <w:pStyle w:val="13"/>
            </w:pPr>
            <w:r>
              <w:t>2050201</w:t>
            </w:r>
          </w:p>
        </w:tc>
        <w:tc>
          <w:tcPr>
            <w:tcW w:w="4535" w:type="dxa"/>
            <w:vAlign w:val="center"/>
          </w:tcPr>
          <w:p w14:paraId="3FF53D65">
            <w:pPr>
              <w:pStyle w:val="13"/>
            </w:pPr>
            <w:r>
              <w:t>学前教育</w:t>
            </w:r>
          </w:p>
        </w:tc>
        <w:tc>
          <w:tcPr>
            <w:tcW w:w="1361" w:type="dxa"/>
            <w:vAlign w:val="center"/>
          </w:tcPr>
          <w:p w14:paraId="5268C795">
            <w:pPr>
              <w:pStyle w:val="14"/>
            </w:pPr>
            <w:r>
              <w:t>23.10</w:t>
            </w:r>
          </w:p>
        </w:tc>
        <w:tc>
          <w:tcPr>
            <w:tcW w:w="1361" w:type="dxa"/>
            <w:vAlign w:val="center"/>
          </w:tcPr>
          <w:p w14:paraId="4716FE52">
            <w:pPr>
              <w:pStyle w:val="14"/>
            </w:pPr>
          </w:p>
        </w:tc>
        <w:tc>
          <w:tcPr>
            <w:tcW w:w="1361" w:type="dxa"/>
            <w:vAlign w:val="center"/>
          </w:tcPr>
          <w:p w14:paraId="579BA966">
            <w:pPr>
              <w:pStyle w:val="14"/>
            </w:pPr>
            <w:r>
              <w:t>23.10</w:t>
            </w:r>
          </w:p>
        </w:tc>
        <w:tc>
          <w:tcPr>
            <w:tcW w:w="1361" w:type="dxa"/>
            <w:vAlign w:val="center"/>
          </w:tcPr>
          <w:p w14:paraId="5258F20C">
            <w:pPr>
              <w:pStyle w:val="14"/>
            </w:pPr>
          </w:p>
        </w:tc>
        <w:tc>
          <w:tcPr>
            <w:tcW w:w="1361" w:type="dxa"/>
            <w:vAlign w:val="center"/>
          </w:tcPr>
          <w:p w14:paraId="3D2B58E9">
            <w:pPr>
              <w:pStyle w:val="14"/>
            </w:pPr>
          </w:p>
        </w:tc>
        <w:tc>
          <w:tcPr>
            <w:tcW w:w="1361" w:type="dxa"/>
            <w:vAlign w:val="center"/>
          </w:tcPr>
          <w:p w14:paraId="422BF5DC">
            <w:pPr>
              <w:pStyle w:val="14"/>
            </w:pPr>
          </w:p>
        </w:tc>
      </w:tr>
      <w:tr w14:paraId="7F196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9C73C">
            <w:pPr>
              <w:pStyle w:val="12"/>
            </w:pPr>
            <w:r>
              <w:t>5</w:t>
            </w:r>
          </w:p>
        </w:tc>
        <w:tc>
          <w:tcPr>
            <w:tcW w:w="992" w:type="dxa"/>
            <w:vAlign w:val="center"/>
          </w:tcPr>
          <w:p w14:paraId="1DEB0DBA">
            <w:pPr>
              <w:pStyle w:val="13"/>
            </w:pPr>
            <w:r>
              <w:t>2050202</w:t>
            </w:r>
          </w:p>
        </w:tc>
        <w:tc>
          <w:tcPr>
            <w:tcW w:w="4535" w:type="dxa"/>
            <w:vAlign w:val="center"/>
          </w:tcPr>
          <w:p w14:paraId="10BEF287">
            <w:pPr>
              <w:pStyle w:val="13"/>
            </w:pPr>
            <w:r>
              <w:t>小学教育</w:t>
            </w:r>
          </w:p>
        </w:tc>
        <w:tc>
          <w:tcPr>
            <w:tcW w:w="1361" w:type="dxa"/>
            <w:vAlign w:val="center"/>
          </w:tcPr>
          <w:p w14:paraId="15C76D51">
            <w:pPr>
              <w:pStyle w:val="14"/>
            </w:pPr>
            <w:r>
              <w:t>3155.34</w:t>
            </w:r>
          </w:p>
        </w:tc>
        <w:tc>
          <w:tcPr>
            <w:tcW w:w="1361" w:type="dxa"/>
            <w:vAlign w:val="center"/>
          </w:tcPr>
          <w:p w14:paraId="0B821EA3">
            <w:pPr>
              <w:pStyle w:val="14"/>
            </w:pPr>
            <w:r>
              <w:t>2148.65</w:t>
            </w:r>
          </w:p>
        </w:tc>
        <w:tc>
          <w:tcPr>
            <w:tcW w:w="1361" w:type="dxa"/>
            <w:vAlign w:val="center"/>
          </w:tcPr>
          <w:p w14:paraId="10FEAD44">
            <w:pPr>
              <w:pStyle w:val="14"/>
            </w:pPr>
            <w:r>
              <w:t>1006.70</w:t>
            </w:r>
          </w:p>
        </w:tc>
        <w:tc>
          <w:tcPr>
            <w:tcW w:w="1361" w:type="dxa"/>
            <w:vAlign w:val="center"/>
          </w:tcPr>
          <w:p w14:paraId="5760B8D3">
            <w:pPr>
              <w:pStyle w:val="14"/>
            </w:pPr>
          </w:p>
        </w:tc>
        <w:tc>
          <w:tcPr>
            <w:tcW w:w="1361" w:type="dxa"/>
            <w:vAlign w:val="center"/>
          </w:tcPr>
          <w:p w14:paraId="543CD44A">
            <w:pPr>
              <w:pStyle w:val="14"/>
            </w:pPr>
          </w:p>
        </w:tc>
        <w:tc>
          <w:tcPr>
            <w:tcW w:w="1361" w:type="dxa"/>
            <w:vAlign w:val="center"/>
          </w:tcPr>
          <w:p w14:paraId="5F16A2ED">
            <w:pPr>
              <w:pStyle w:val="14"/>
            </w:pPr>
          </w:p>
        </w:tc>
      </w:tr>
    </w:tbl>
    <w:p w14:paraId="418E4C95">
      <w:pPr>
        <w:sectPr>
          <w:pgSz w:w="16840" w:h="11900" w:orient="landscape"/>
          <w:pgMar w:top="1361" w:right="1020" w:bottom="1134" w:left="1020" w:header="720" w:footer="720" w:gutter="0"/>
          <w:cols w:space="720" w:num="1"/>
        </w:sectPr>
      </w:pPr>
    </w:p>
    <w:p w14:paraId="3F0897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D08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E6E49C">
            <w:pPr>
              <w:pStyle w:val="8"/>
            </w:pPr>
            <w:r>
              <w:t>360017隆尧县魏庄校区</w:t>
            </w:r>
          </w:p>
        </w:tc>
        <w:tc>
          <w:tcPr>
            <w:tcW w:w="3402" w:type="dxa"/>
            <w:tcBorders>
              <w:top w:val="single" w:color="FFFFFF" w:sz="6" w:space="0"/>
              <w:left w:val="single" w:color="FFFFFF" w:sz="6" w:space="0"/>
              <w:right w:val="single" w:color="FFFFFF" w:sz="6" w:space="0"/>
            </w:tcBorders>
            <w:vAlign w:val="center"/>
          </w:tcPr>
          <w:p w14:paraId="0AC440E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2C73B23">
            <w:pPr>
              <w:pStyle w:val="10"/>
            </w:pPr>
            <w:r>
              <w:t>单位：万元</w:t>
            </w:r>
          </w:p>
        </w:tc>
      </w:tr>
      <w:tr w14:paraId="3AC78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82AB18">
            <w:pPr>
              <w:pStyle w:val="11"/>
            </w:pPr>
            <w:r>
              <w:t>序号</w:t>
            </w:r>
          </w:p>
        </w:tc>
        <w:tc>
          <w:tcPr>
            <w:tcW w:w="4876" w:type="dxa"/>
            <w:gridSpan w:val="2"/>
            <w:vAlign w:val="center"/>
          </w:tcPr>
          <w:p w14:paraId="47DD2BD5">
            <w:pPr>
              <w:pStyle w:val="11"/>
            </w:pPr>
            <w:r>
              <w:t>收入</w:t>
            </w:r>
          </w:p>
        </w:tc>
        <w:tc>
          <w:tcPr>
            <w:tcW w:w="9298" w:type="dxa"/>
            <w:gridSpan w:val="5"/>
            <w:vAlign w:val="center"/>
          </w:tcPr>
          <w:p w14:paraId="0D8F618B">
            <w:pPr>
              <w:pStyle w:val="11"/>
            </w:pPr>
            <w:r>
              <w:t>支出</w:t>
            </w:r>
          </w:p>
        </w:tc>
      </w:tr>
      <w:tr w14:paraId="73F03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002475"/>
        </w:tc>
        <w:tc>
          <w:tcPr>
            <w:tcW w:w="3402" w:type="dxa"/>
            <w:vAlign w:val="center"/>
          </w:tcPr>
          <w:p w14:paraId="7585014B">
            <w:pPr>
              <w:pStyle w:val="11"/>
            </w:pPr>
            <w:r>
              <w:t>项  目</w:t>
            </w:r>
          </w:p>
        </w:tc>
        <w:tc>
          <w:tcPr>
            <w:tcW w:w="1474" w:type="dxa"/>
            <w:vAlign w:val="center"/>
          </w:tcPr>
          <w:p w14:paraId="2475DDF3">
            <w:pPr>
              <w:pStyle w:val="11"/>
            </w:pPr>
            <w:r>
              <w:t>金额</w:t>
            </w:r>
          </w:p>
        </w:tc>
        <w:tc>
          <w:tcPr>
            <w:tcW w:w="3402" w:type="dxa"/>
            <w:vAlign w:val="center"/>
          </w:tcPr>
          <w:p w14:paraId="1D795419">
            <w:pPr>
              <w:pStyle w:val="11"/>
            </w:pPr>
            <w:r>
              <w:t>项  目</w:t>
            </w:r>
          </w:p>
        </w:tc>
        <w:tc>
          <w:tcPr>
            <w:tcW w:w="1474" w:type="dxa"/>
            <w:vAlign w:val="center"/>
          </w:tcPr>
          <w:p w14:paraId="66AEF5CA">
            <w:pPr>
              <w:pStyle w:val="11"/>
            </w:pPr>
            <w:r>
              <w:t>合计</w:t>
            </w:r>
          </w:p>
        </w:tc>
        <w:tc>
          <w:tcPr>
            <w:tcW w:w="1474" w:type="dxa"/>
            <w:vAlign w:val="center"/>
          </w:tcPr>
          <w:p w14:paraId="5F226DDF">
            <w:pPr>
              <w:pStyle w:val="11"/>
            </w:pPr>
            <w:r>
              <w:t>一般公共预算财政拨款</w:t>
            </w:r>
          </w:p>
        </w:tc>
        <w:tc>
          <w:tcPr>
            <w:tcW w:w="1474" w:type="dxa"/>
            <w:vAlign w:val="center"/>
          </w:tcPr>
          <w:p w14:paraId="1D4B0D2A">
            <w:pPr>
              <w:pStyle w:val="11"/>
            </w:pPr>
            <w:r>
              <w:t>政府性基金预算财政    拨款</w:t>
            </w:r>
          </w:p>
        </w:tc>
        <w:tc>
          <w:tcPr>
            <w:tcW w:w="1474" w:type="dxa"/>
            <w:vAlign w:val="center"/>
          </w:tcPr>
          <w:p w14:paraId="4DC982D1">
            <w:pPr>
              <w:pStyle w:val="11"/>
            </w:pPr>
            <w:r>
              <w:t>国有资本经营预算财政拨款</w:t>
            </w:r>
          </w:p>
        </w:tc>
      </w:tr>
      <w:tr w14:paraId="74434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634C5A">
            <w:pPr>
              <w:pStyle w:val="11"/>
            </w:pPr>
            <w:r>
              <w:t>栏次</w:t>
            </w:r>
          </w:p>
        </w:tc>
        <w:tc>
          <w:tcPr>
            <w:tcW w:w="3402" w:type="dxa"/>
            <w:vAlign w:val="center"/>
          </w:tcPr>
          <w:p w14:paraId="5B576E74">
            <w:pPr>
              <w:pStyle w:val="11"/>
            </w:pPr>
            <w:r>
              <w:t>1</w:t>
            </w:r>
          </w:p>
        </w:tc>
        <w:tc>
          <w:tcPr>
            <w:tcW w:w="1474" w:type="dxa"/>
            <w:vAlign w:val="center"/>
          </w:tcPr>
          <w:p w14:paraId="564D852F">
            <w:pPr>
              <w:pStyle w:val="11"/>
            </w:pPr>
            <w:r>
              <w:t>2</w:t>
            </w:r>
          </w:p>
        </w:tc>
        <w:tc>
          <w:tcPr>
            <w:tcW w:w="3402" w:type="dxa"/>
            <w:vAlign w:val="center"/>
          </w:tcPr>
          <w:p w14:paraId="05EECD34">
            <w:pPr>
              <w:pStyle w:val="11"/>
            </w:pPr>
            <w:r>
              <w:t>3</w:t>
            </w:r>
          </w:p>
        </w:tc>
        <w:tc>
          <w:tcPr>
            <w:tcW w:w="1474" w:type="dxa"/>
            <w:vAlign w:val="center"/>
          </w:tcPr>
          <w:p w14:paraId="0A9E9ADD">
            <w:pPr>
              <w:pStyle w:val="11"/>
            </w:pPr>
            <w:r>
              <w:t>4</w:t>
            </w:r>
          </w:p>
        </w:tc>
        <w:tc>
          <w:tcPr>
            <w:tcW w:w="1474" w:type="dxa"/>
            <w:vAlign w:val="center"/>
          </w:tcPr>
          <w:p w14:paraId="1B76B91D">
            <w:pPr>
              <w:pStyle w:val="11"/>
            </w:pPr>
            <w:r>
              <w:t>5</w:t>
            </w:r>
          </w:p>
        </w:tc>
        <w:tc>
          <w:tcPr>
            <w:tcW w:w="1474" w:type="dxa"/>
            <w:vAlign w:val="center"/>
          </w:tcPr>
          <w:p w14:paraId="1FA73C31">
            <w:pPr>
              <w:pStyle w:val="11"/>
            </w:pPr>
            <w:r>
              <w:t>6</w:t>
            </w:r>
          </w:p>
        </w:tc>
        <w:tc>
          <w:tcPr>
            <w:tcW w:w="1474" w:type="dxa"/>
            <w:vAlign w:val="center"/>
          </w:tcPr>
          <w:p w14:paraId="124C04DC">
            <w:pPr>
              <w:pStyle w:val="11"/>
            </w:pPr>
            <w:r>
              <w:t>7</w:t>
            </w:r>
          </w:p>
        </w:tc>
      </w:tr>
      <w:tr w14:paraId="6724C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CB702">
            <w:pPr>
              <w:pStyle w:val="12"/>
            </w:pPr>
            <w:r>
              <w:t>1</w:t>
            </w:r>
          </w:p>
        </w:tc>
        <w:tc>
          <w:tcPr>
            <w:tcW w:w="3402" w:type="dxa"/>
            <w:vAlign w:val="center"/>
          </w:tcPr>
          <w:p w14:paraId="7EFB8B77">
            <w:pPr>
              <w:pStyle w:val="13"/>
            </w:pPr>
            <w:r>
              <w:t>一、一般公共预算拨款</w:t>
            </w:r>
          </w:p>
        </w:tc>
        <w:tc>
          <w:tcPr>
            <w:tcW w:w="1474" w:type="dxa"/>
            <w:vAlign w:val="center"/>
          </w:tcPr>
          <w:p w14:paraId="6B5A8473">
            <w:pPr>
              <w:pStyle w:val="14"/>
            </w:pPr>
            <w:r>
              <w:t>3137.35</w:t>
            </w:r>
          </w:p>
        </w:tc>
        <w:tc>
          <w:tcPr>
            <w:tcW w:w="3402" w:type="dxa"/>
            <w:vAlign w:val="center"/>
          </w:tcPr>
          <w:p w14:paraId="6628298D">
            <w:pPr>
              <w:pStyle w:val="13"/>
            </w:pPr>
            <w:r>
              <w:t>一、一般公共服务支出</w:t>
            </w:r>
          </w:p>
        </w:tc>
        <w:tc>
          <w:tcPr>
            <w:tcW w:w="1474" w:type="dxa"/>
            <w:vAlign w:val="center"/>
          </w:tcPr>
          <w:p w14:paraId="21D77184">
            <w:pPr>
              <w:pStyle w:val="14"/>
            </w:pPr>
          </w:p>
        </w:tc>
        <w:tc>
          <w:tcPr>
            <w:tcW w:w="1474" w:type="dxa"/>
            <w:vAlign w:val="center"/>
          </w:tcPr>
          <w:p w14:paraId="15BA4988">
            <w:pPr>
              <w:pStyle w:val="14"/>
            </w:pPr>
          </w:p>
        </w:tc>
        <w:tc>
          <w:tcPr>
            <w:tcW w:w="1474" w:type="dxa"/>
            <w:vAlign w:val="center"/>
          </w:tcPr>
          <w:p w14:paraId="73C1BF9B">
            <w:pPr>
              <w:pStyle w:val="14"/>
            </w:pPr>
          </w:p>
        </w:tc>
        <w:tc>
          <w:tcPr>
            <w:tcW w:w="1474" w:type="dxa"/>
            <w:vAlign w:val="center"/>
          </w:tcPr>
          <w:p w14:paraId="67AFF317">
            <w:pPr>
              <w:pStyle w:val="14"/>
            </w:pPr>
          </w:p>
        </w:tc>
      </w:tr>
      <w:tr w14:paraId="2F265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DF08D">
            <w:pPr>
              <w:pStyle w:val="12"/>
            </w:pPr>
            <w:r>
              <w:t>2</w:t>
            </w:r>
          </w:p>
        </w:tc>
        <w:tc>
          <w:tcPr>
            <w:tcW w:w="3402" w:type="dxa"/>
            <w:vAlign w:val="center"/>
          </w:tcPr>
          <w:p w14:paraId="01DE3BF5">
            <w:pPr>
              <w:pStyle w:val="13"/>
            </w:pPr>
            <w:r>
              <w:t>二、政府性基金预算拨款</w:t>
            </w:r>
          </w:p>
        </w:tc>
        <w:tc>
          <w:tcPr>
            <w:tcW w:w="1474" w:type="dxa"/>
            <w:vAlign w:val="center"/>
          </w:tcPr>
          <w:p w14:paraId="12C0FDD8">
            <w:pPr>
              <w:pStyle w:val="14"/>
            </w:pPr>
          </w:p>
        </w:tc>
        <w:tc>
          <w:tcPr>
            <w:tcW w:w="3402" w:type="dxa"/>
            <w:vAlign w:val="center"/>
          </w:tcPr>
          <w:p w14:paraId="3445E8BD">
            <w:pPr>
              <w:pStyle w:val="13"/>
            </w:pPr>
            <w:r>
              <w:t>二、外交支出</w:t>
            </w:r>
          </w:p>
        </w:tc>
        <w:tc>
          <w:tcPr>
            <w:tcW w:w="1474" w:type="dxa"/>
            <w:vAlign w:val="center"/>
          </w:tcPr>
          <w:p w14:paraId="62E195D6">
            <w:pPr>
              <w:pStyle w:val="14"/>
            </w:pPr>
          </w:p>
        </w:tc>
        <w:tc>
          <w:tcPr>
            <w:tcW w:w="1474" w:type="dxa"/>
            <w:vAlign w:val="center"/>
          </w:tcPr>
          <w:p w14:paraId="0BE5AFA7">
            <w:pPr>
              <w:pStyle w:val="14"/>
            </w:pPr>
          </w:p>
        </w:tc>
        <w:tc>
          <w:tcPr>
            <w:tcW w:w="1474" w:type="dxa"/>
            <w:vAlign w:val="center"/>
          </w:tcPr>
          <w:p w14:paraId="2B66A71F">
            <w:pPr>
              <w:pStyle w:val="14"/>
            </w:pPr>
          </w:p>
        </w:tc>
        <w:tc>
          <w:tcPr>
            <w:tcW w:w="1474" w:type="dxa"/>
            <w:vAlign w:val="center"/>
          </w:tcPr>
          <w:p w14:paraId="5CDBCC00">
            <w:pPr>
              <w:pStyle w:val="14"/>
            </w:pPr>
          </w:p>
        </w:tc>
      </w:tr>
      <w:tr w14:paraId="1FF18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545FC">
            <w:pPr>
              <w:pStyle w:val="12"/>
            </w:pPr>
            <w:r>
              <w:t>3</w:t>
            </w:r>
          </w:p>
        </w:tc>
        <w:tc>
          <w:tcPr>
            <w:tcW w:w="3402" w:type="dxa"/>
            <w:vAlign w:val="center"/>
          </w:tcPr>
          <w:p w14:paraId="312C9E7D">
            <w:pPr>
              <w:pStyle w:val="13"/>
            </w:pPr>
            <w:r>
              <w:t>三、国有资本经营预算拨款</w:t>
            </w:r>
          </w:p>
        </w:tc>
        <w:tc>
          <w:tcPr>
            <w:tcW w:w="1474" w:type="dxa"/>
            <w:vAlign w:val="center"/>
          </w:tcPr>
          <w:p w14:paraId="2625C30B">
            <w:pPr>
              <w:pStyle w:val="14"/>
            </w:pPr>
          </w:p>
        </w:tc>
        <w:tc>
          <w:tcPr>
            <w:tcW w:w="3402" w:type="dxa"/>
            <w:vAlign w:val="center"/>
          </w:tcPr>
          <w:p w14:paraId="685BD617">
            <w:pPr>
              <w:pStyle w:val="13"/>
            </w:pPr>
            <w:r>
              <w:t>三、国防支出</w:t>
            </w:r>
          </w:p>
        </w:tc>
        <w:tc>
          <w:tcPr>
            <w:tcW w:w="1474" w:type="dxa"/>
            <w:vAlign w:val="center"/>
          </w:tcPr>
          <w:p w14:paraId="78B6B2FC">
            <w:pPr>
              <w:pStyle w:val="14"/>
            </w:pPr>
          </w:p>
        </w:tc>
        <w:tc>
          <w:tcPr>
            <w:tcW w:w="1474" w:type="dxa"/>
            <w:vAlign w:val="center"/>
          </w:tcPr>
          <w:p w14:paraId="0E0C6271">
            <w:pPr>
              <w:pStyle w:val="14"/>
            </w:pPr>
          </w:p>
        </w:tc>
        <w:tc>
          <w:tcPr>
            <w:tcW w:w="1474" w:type="dxa"/>
            <w:vAlign w:val="center"/>
          </w:tcPr>
          <w:p w14:paraId="4F9E9D16">
            <w:pPr>
              <w:pStyle w:val="14"/>
            </w:pPr>
          </w:p>
        </w:tc>
        <w:tc>
          <w:tcPr>
            <w:tcW w:w="1474" w:type="dxa"/>
            <w:vAlign w:val="center"/>
          </w:tcPr>
          <w:p w14:paraId="050A0EC9">
            <w:pPr>
              <w:pStyle w:val="14"/>
            </w:pPr>
          </w:p>
        </w:tc>
      </w:tr>
      <w:tr w14:paraId="7B699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4702D">
            <w:pPr>
              <w:pStyle w:val="12"/>
            </w:pPr>
            <w:r>
              <w:t>4</w:t>
            </w:r>
          </w:p>
        </w:tc>
        <w:tc>
          <w:tcPr>
            <w:tcW w:w="3402" w:type="dxa"/>
            <w:vAlign w:val="center"/>
          </w:tcPr>
          <w:p w14:paraId="40288A7F">
            <w:pPr>
              <w:pStyle w:val="13"/>
            </w:pPr>
          </w:p>
        </w:tc>
        <w:tc>
          <w:tcPr>
            <w:tcW w:w="1474" w:type="dxa"/>
            <w:vAlign w:val="center"/>
          </w:tcPr>
          <w:p w14:paraId="4C9C6888">
            <w:pPr>
              <w:pStyle w:val="14"/>
            </w:pPr>
          </w:p>
        </w:tc>
        <w:tc>
          <w:tcPr>
            <w:tcW w:w="3402" w:type="dxa"/>
            <w:vAlign w:val="center"/>
          </w:tcPr>
          <w:p w14:paraId="15188816">
            <w:pPr>
              <w:pStyle w:val="13"/>
            </w:pPr>
            <w:r>
              <w:t>四、公共安全支出</w:t>
            </w:r>
          </w:p>
        </w:tc>
        <w:tc>
          <w:tcPr>
            <w:tcW w:w="1474" w:type="dxa"/>
            <w:vAlign w:val="center"/>
          </w:tcPr>
          <w:p w14:paraId="449C2F9F">
            <w:pPr>
              <w:pStyle w:val="14"/>
            </w:pPr>
          </w:p>
        </w:tc>
        <w:tc>
          <w:tcPr>
            <w:tcW w:w="1474" w:type="dxa"/>
            <w:vAlign w:val="center"/>
          </w:tcPr>
          <w:p w14:paraId="39518245">
            <w:pPr>
              <w:pStyle w:val="14"/>
            </w:pPr>
          </w:p>
        </w:tc>
        <w:tc>
          <w:tcPr>
            <w:tcW w:w="1474" w:type="dxa"/>
            <w:vAlign w:val="center"/>
          </w:tcPr>
          <w:p w14:paraId="7B4502B9">
            <w:pPr>
              <w:pStyle w:val="14"/>
            </w:pPr>
          </w:p>
        </w:tc>
        <w:tc>
          <w:tcPr>
            <w:tcW w:w="1474" w:type="dxa"/>
            <w:vAlign w:val="center"/>
          </w:tcPr>
          <w:p w14:paraId="7AECE623">
            <w:pPr>
              <w:pStyle w:val="14"/>
            </w:pPr>
          </w:p>
        </w:tc>
      </w:tr>
      <w:tr w14:paraId="22A20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57142">
            <w:pPr>
              <w:pStyle w:val="12"/>
            </w:pPr>
            <w:r>
              <w:t>5</w:t>
            </w:r>
          </w:p>
        </w:tc>
        <w:tc>
          <w:tcPr>
            <w:tcW w:w="3402" w:type="dxa"/>
            <w:vAlign w:val="center"/>
          </w:tcPr>
          <w:p w14:paraId="39936871">
            <w:pPr>
              <w:pStyle w:val="13"/>
            </w:pPr>
          </w:p>
        </w:tc>
        <w:tc>
          <w:tcPr>
            <w:tcW w:w="1474" w:type="dxa"/>
            <w:vAlign w:val="center"/>
          </w:tcPr>
          <w:p w14:paraId="29B1221B">
            <w:pPr>
              <w:pStyle w:val="14"/>
            </w:pPr>
          </w:p>
        </w:tc>
        <w:tc>
          <w:tcPr>
            <w:tcW w:w="3402" w:type="dxa"/>
            <w:vAlign w:val="center"/>
          </w:tcPr>
          <w:p w14:paraId="00912A82">
            <w:pPr>
              <w:pStyle w:val="13"/>
            </w:pPr>
            <w:r>
              <w:t>五、教育支出</w:t>
            </w:r>
          </w:p>
        </w:tc>
        <w:tc>
          <w:tcPr>
            <w:tcW w:w="1474" w:type="dxa"/>
            <w:vAlign w:val="center"/>
          </w:tcPr>
          <w:p w14:paraId="00126948">
            <w:pPr>
              <w:pStyle w:val="14"/>
            </w:pPr>
            <w:r>
              <w:t>3178.44</w:t>
            </w:r>
          </w:p>
        </w:tc>
        <w:tc>
          <w:tcPr>
            <w:tcW w:w="1474" w:type="dxa"/>
            <w:vAlign w:val="center"/>
          </w:tcPr>
          <w:p w14:paraId="555D9A93">
            <w:pPr>
              <w:pStyle w:val="14"/>
            </w:pPr>
            <w:r>
              <w:t>3178.44</w:t>
            </w:r>
          </w:p>
        </w:tc>
        <w:tc>
          <w:tcPr>
            <w:tcW w:w="1474" w:type="dxa"/>
            <w:vAlign w:val="center"/>
          </w:tcPr>
          <w:p w14:paraId="7E668F7F">
            <w:pPr>
              <w:pStyle w:val="14"/>
            </w:pPr>
          </w:p>
        </w:tc>
        <w:tc>
          <w:tcPr>
            <w:tcW w:w="1474" w:type="dxa"/>
            <w:vAlign w:val="center"/>
          </w:tcPr>
          <w:p w14:paraId="2EDE07B0">
            <w:pPr>
              <w:pStyle w:val="14"/>
            </w:pPr>
          </w:p>
        </w:tc>
      </w:tr>
      <w:tr w14:paraId="331CD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435F2">
            <w:pPr>
              <w:pStyle w:val="12"/>
            </w:pPr>
            <w:r>
              <w:t>6</w:t>
            </w:r>
          </w:p>
        </w:tc>
        <w:tc>
          <w:tcPr>
            <w:tcW w:w="3402" w:type="dxa"/>
            <w:vAlign w:val="center"/>
          </w:tcPr>
          <w:p w14:paraId="59DCF8F1">
            <w:pPr>
              <w:pStyle w:val="13"/>
            </w:pPr>
          </w:p>
        </w:tc>
        <w:tc>
          <w:tcPr>
            <w:tcW w:w="1474" w:type="dxa"/>
            <w:vAlign w:val="center"/>
          </w:tcPr>
          <w:p w14:paraId="01E7A8CA">
            <w:pPr>
              <w:pStyle w:val="14"/>
            </w:pPr>
          </w:p>
        </w:tc>
        <w:tc>
          <w:tcPr>
            <w:tcW w:w="3402" w:type="dxa"/>
            <w:vAlign w:val="center"/>
          </w:tcPr>
          <w:p w14:paraId="0E742C46">
            <w:pPr>
              <w:pStyle w:val="13"/>
            </w:pPr>
            <w:r>
              <w:t>六、科学技术支出</w:t>
            </w:r>
          </w:p>
        </w:tc>
        <w:tc>
          <w:tcPr>
            <w:tcW w:w="1474" w:type="dxa"/>
            <w:vAlign w:val="center"/>
          </w:tcPr>
          <w:p w14:paraId="7A7812A3">
            <w:pPr>
              <w:pStyle w:val="14"/>
            </w:pPr>
          </w:p>
        </w:tc>
        <w:tc>
          <w:tcPr>
            <w:tcW w:w="1474" w:type="dxa"/>
            <w:vAlign w:val="center"/>
          </w:tcPr>
          <w:p w14:paraId="42C3B99C">
            <w:pPr>
              <w:pStyle w:val="14"/>
            </w:pPr>
          </w:p>
        </w:tc>
        <w:tc>
          <w:tcPr>
            <w:tcW w:w="1474" w:type="dxa"/>
            <w:vAlign w:val="center"/>
          </w:tcPr>
          <w:p w14:paraId="58E2CE22">
            <w:pPr>
              <w:pStyle w:val="14"/>
            </w:pPr>
          </w:p>
        </w:tc>
        <w:tc>
          <w:tcPr>
            <w:tcW w:w="1474" w:type="dxa"/>
            <w:vAlign w:val="center"/>
          </w:tcPr>
          <w:p w14:paraId="72E9B242">
            <w:pPr>
              <w:pStyle w:val="14"/>
            </w:pPr>
          </w:p>
        </w:tc>
      </w:tr>
      <w:tr w14:paraId="63BA8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60F53">
            <w:pPr>
              <w:pStyle w:val="12"/>
            </w:pPr>
            <w:r>
              <w:t>7</w:t>
            </w:r>
          </w:p>
        </w:tc>
        <w:tc>
          <w:tcPr>
            <w:tcW w:w="3402" w:type="dxa"/>
            <w:vAlign w:val="center"/>
          </w:tcPr>
          <w:p w14:paraId="659B5E1A">
            <w:pPr>
              <w:pStyle w:val="13"/>
            </w:pPr>
          </w:p>
        </w:tc>
        <w:tc>
          <w:tcPr>
            <w:tcW w:w="1474" w:type="dxa"/>
            <w:vAlign w:val="center"/>
          </w:tcPr>
          <w:p w14:paraId="0D5E8439">
            <w:pPr>
              <w:pStyle w:val="14"/>
            </w:pPr>
          </w:p>
        </w:tc>
        <w:tc>
          <w:tcPr>
            <w:tcW w:w="3402" w:type="dxa"/>
            <w:vAlign w:val="center"/>
          </w:tcPr>
          <w:p w14:paraId="2829B358">
            <w:pPr>
              <w:pStyle w:val="13"/>
            </w:pPr>
            <w:r>
              <w:t>七、文化旅游体育与传媒支出</w:t>
            </w:r>
          </w:p>
        </w:tc>
        <w:tc>
          <w:tcPr>
            <w:tcW w:w="1474" w:type="dxa"/>
            <w:vAlign w:val="center"/>
          </w:tcPr>
          <w:p w14:paraId="119750E6">
            <w:pPr>
              <w:pStyle w:val="14"/>
            </w:pPr>
          </w:p>
        </w:tc>
        <w:tc>
          <w:tcPr>
            <w:tcW w:w="1474" w:type="dxa"/>
            <w:vAlign w:val="center"/>
          </w:tcPr>
          <w:p w14:paraId="54F91B7F">
            <w:pPr>
              <w:pStyle w:val="14"/>
            </w:pPr>
          </w:p>
        </w:tc>
        <w:tc>
          <w:tcPr>
            <w:tcW w:w="1474" w:type="dxa"/>
            <w:vAlign w:val="center"/>
          </w:tcPr>
          <w:p w14:paraId="1FB53735">
            <w:pPr>
              <w:pStyle w:val="14"/>
            </w:pPr>
          </w:p>
        </w:tc>
        <w:tc>
          <w:tcPr>
            <w:tcW w:w="1474" w:type="dxa"/>
            <w:vAlign w:val="center"/>
          </w:tcPr>
          <w:p w14:paraId="1DFDBBFA">
            <w:pPr>
              <w:pStyle w:val="14"/>
            </w:pPr>
          </w:p>
        </w:tc>
      </w:tr>
      <w:tr w14:paraId="1E479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4A3CB">
            <w:pPr>
              <w:pStyle w:val="12"/>
            </w:pPr>
            <w:r>
              <w:t>8</w:t>
            </w:r>
          </w:p>
        </w:tc>
        <w:tc>
          <w:tcPr>
            <w:tcW w:w="3402" w:type="dxa"/>
            <w:vAlign w:val="center"/>
          </w:tcPr>
          <w:p w14:paraId="6FF7AAF2">
            <w:pPr>
              <w:pStyle w:val="13"/>
            </w:pPr>
          </w:p>
        </w:tc>
        <w:tc>
          <w:tcPr>
            <w:tcW w:w="1474" w:type="dxa"/>
            <w:vAlign w:val="center"/>
          </w:tcPr>
          <w:p w14:paraId="698DEBA7">
            <w:pPr>
              <w:pStyle w:val="14"/>
            </w:pPr>
          </w:p>
        </w:tc>
        <w:tc>
          <w:tcPr>
            <w:tcW w:w="3402" w:type="dxa"/>
            <w:vAlign w:val="center"/>
          </w:tcPr>
          <w:p w14:paraId="0339B5D1">
            <w:pPr>
              <w:pStyle w:val="13"/>
            </w:pPr>
            <w:r>
              <w:t>八、社会保障和就业支出</w:t>
            </w:r>
          </w:p>
        </w:tc>
        <w:tc>
          <w:tcPr>
            <w:tcW w:w="1474" w:type="dxa"/>
            <w:vAlign w:val="center"/>
          </w:tcPr>
          <w:p w14:paraId="438AE1FD">
            <w:pPr>
              <w:pStyle w:val="14"/>
            </w:pPr>
          </w:p>
        </w:tc>
        <w:tc>
          <w:tcPr>
            <w:tcW w:w="1474" w:type="dxa"/>
            <w:vAlign w:val="center"/>
          </w:tcPr>
          <w:p w14:paraId="5A6AA9B3">
            <w:pPr>
              <w:pStyle w:val="14"/>
            </w:pPr>
          </w:p>
        </w:tc>
        <w:tc>
          <w:tcPr>
            <w:tcW w:w="1474" w:type="dxa"/>
            <w:vAlign w:val="center"/>
          </w:tcPr>
          <w:p w14:paraId="5E9A25D8">
            <w:pPr>
              <w:pStyle w:val="14"/>
            </w:pPr>
          </w:p>
        </w:tc>
        <w:tc>
          <w:tcPr>
            <w:tcW w:w="1474" w:type="dxa"/>
            <w:vAlign w:val="center"/>
          </w:tcPr>
          <w:p w14:paraId="3D0194FE">
            <w:pPr>
              <w:pStyle w:val="14"/>
            </w:pPr>
          </w:p>
        </w:tc>
      </w:tr>
      <w:tr w14:paraId="50AD4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9116D">
            <w:pPr>
              <w:pStyle w:val="12"/>
            </w:pPr>
            <w:r>
              <w:t>9</w:t>
            </w:r>
          </w:p>
        </w:tc>
        <w:tc>
          <w:tcPr>
            <w:tcW w:w="3402" w:type="dxa"/>
            <w:vAlign w:val="center"/>
          </w:tcPr>
          <w:p w14:paraId="2DC7297D">
            <w:pPr>
              <w:pStyle w:val="13"/>
            </w:pPr>
          </w:p>
        </w:tc>
        <w:tc>
          <w:tcPr>
            <w:tcW w:w="1474" w:type="dxa"/>
            <w:vAlign w:val="center"/>
          </w:tcPr>
          <w:p w14:paraId="6C07EF9B">
            <w:pPr>
              <w:pStyle w:val="14"/>
            </w:pPr>
          </w:p>
        </w:tc>
        <w:tc>
          <w:tcPr>
            <w:tcW w:w="3402" w:type="dxa"/>
            <w:vAlign w:val="center"/>
          </w:tcPr>
          <w:p w14:paraId="1CDC74FF">
            <w:pPr>
              <w:pStyle w:val="13"/>
            </w:pPr>
            <w:r>
              <w:t>九、社会保险基金支出</w:t>
            </w:r>
          </w:p>
        </w:tc>
        <w:tc>
          <w:tcPr>
            <w:tcW w:w="1474" w:type="dxa"/>
            <w:vAlign w:val="center"/>
          </w:tcPr>
          <w:p w14:paraId="60457133">
            <w:pPr>
              <w:pStyle w:val="14"/>
            </w:pPr>
          </w:p>
        </w:tc>
        <w:tc>
          <w:tcPr>
            <w:tcW w:w="1474" w:type="dxa"/>
            <w:vAlign w:val="center"/>
          </w:tcPr>
          <w:p w14:paraId="33DF67A0">
            <w:pPr>
              <w:pStyle w:val="14"/>
            </w:pPr>
          </w:p>
        </w:tc>
        <w:tc>
          <w:tcPr>
            <w:tcW w:w="1474" w:type="dxa"/>
            <w:vAlign w:val="center"/>
          </w:tcPr>
          <w:p w14:paraId="6DF09C2A">
            <w:pPr>
              <w:pStyle w:val="14"/>
            </w:pPr>
          </w:p>
        </w:tc>
        <w:tc>
          <w:tcPr>
            <w:tcW w:w="1474" w:type="dxa"/>
            <w:vAlign w:val="center"/>
          </w:tcPr>
          <w:p w14:paraId="79AAC46A">
            <w:pPr>
              <w:pStyle w:val="14"/>
            </w:pPr>
          </w:p>
        </w:tc>
      </w:tr>
      <w:tr w14:paraId="0C79D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60648">
            <w:pPr>
              <w:pStyle w:val="12"/>
            </w:pPr>
            <w:r>
              <w:t>10</w:t>
            </w:r>
          </w:p>
        </w:tc>
        <w:tc>
          <w:tcPr>
            <w:tcW w:w="3402" w:type="dxa"/>
            <w:vAlign w:val="center"/>
          </w:tcPr>
          <w:p w14:paraId="24EBAD7C">
            <w:pPr>
              <w:pStyle w:val="13"/>
            </w:pPr>
          </w:p>
        </w:tc>
        <w:tc>
          <w:tcPr>
            <w:tcW w:w="1474" w:type="dxa"/>
            <w:vAlign w:val="center"/>
          </w:tcPr>
          <w:p w14:paraId="0CF95EED">
            <w:pPr>
              <w:pStyle w:val="14"/>
            </w:pPr>
          </w:p>
        </w:tc>
        <w:tc>
          <w:tcPr>
            <w:tcW w:w="3402" w:type="dxa"/>
            <w:vAlign w:val="center"/>
          </w:tcPr>
          <w:p w14:paraId="6461ECC3">
            <w:pPr>
              <w:pStyle w:val="13"/>
            </w:pPr>
            <w:r>
              <w:t>十、卫生健康支出</w:t>
            </w:r>
          </w:p>
        </w:tc>
        <w:tc>
          <w:tcPr>
            <w:tcW w:w="1474" w:type="dxa"/>
            <w:vAlign w:val="center"/>
          </w:tcPr>
          <w:p w14:paraId="0683D7F8">
            <w:pPr>
              <w:pStyle w:val="14"/>
            </w:pPr>
          </w:p>
        </w:tc>
        <w:tc>
          <w:tcPr>
            <w:tcW w:w="1474" w:type="dxa"/>
            <w:vAlign w:val="center"/>
          </w:tcPr>
          <w:p w14:paraId="2654E408">
            <w:pPr>
              <w:pStyle w:val="14"/>
            </w:pPr>
          </w:p>
        </w:tc>
        <w:tc>
          <w:tcPr>
            <w:tcW w:w="1474" w:type="dxa"/>
            <w:vAlign w:val="center"/>
          </w:tcPr>
          <w:p w14:paraId="4C60719F">
            <w:pPr>
              <w:pStyle w:val="14"/>
            </w:pPr>
          </w:p>
        </w:tc>
        <w:tc>
          <w:tcPr>
            <w:tcW w:w="1474" w:type="dxa"/>
            <w:vAlign w:val="center"/>
          </w:tcPr>
          <w:p w14:paraId="6912E87B">
            <w:pPr>
              <w:pStyle w:val="14"/>
            </w:pPr>
          </w:p>
        </w:tc>
      </w:tr>
      <w:tr w14:paraId="53C38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AE1A5">
            <w:pPr>
              <w:pStyle w:val="12"/>
            </w:pPr>
            <w:r>
              <w:t>11</w:t>
            </w:r>
          </w:p>
        </w:tc>
        <w:tc>
          <w:tcPr>
            <w:tcW w:w="3402" w:type="dxa"/>
            <w:vAlign w:val="center"/>
          </w:tcPr>
          <w:p w14:paraId="69EED477">
            <w:pPr>
              <w:pStyle w:val="13"/>
            </w:pPr>
          </w:p>
        </w:tc>
        <w:tc>
          <w:tcPr>
            <w:tcW w:w="1474" w:type="dxa"/>
            <w:vAlign w:val="center"/>
          </w:tcPr>
          <w:p w14:paraId="699F27D9">
            <w:pPr>
              <w:pStyle w:val="14"/>
            </w:pPr>
          </w:p>
        </w:tc>
        <w:tc>
          <w:tcPr>
            <w:tcW w:w="3402" w:type="dxa"/>
            <w:vAlign w:val="center"/>
          </w:tcPr>
          <w:p w14:paraId="672DB11E">
            <w:pPr>
              <w:pStyle w:val="13"/>
            </w:pPr>
            <w:r>
              <w:t>十一、节能环保支出</w:t>
            </w:r>
          </w:p>
        </w:tc>
        <w:tc>
          <w:tcPr>
            <w:tcW w:w="1474" w:type="dxa"/>
            <w:vAlign w:val="center"/>
          </w:tcPr>
          <w:p w14:paraId="655B1962">
            <w:pPr>
              <w:pStyle w:val="14"/>
            </w:pPr>
          </w:p>
        </w:tc>
        <w:tc>
          <w:tcPr>
            <w:tcW w:w="1474" w:type="dxa"/>
            <w:vAlign w:val="center"/>
          </w:tcPr>
          <w:p w14:paraId="4ADB600F">
            <w:pPr>
              <w:pStyle w:val="14"/>
            </w:pPr>
          </w:p>
        </w:tc>
        <w:tc>
          <w:tcPr>
            <w:tcW w:w="1474" w:type="dxa"/>
            <w:vAlign w:val="center"/>
          </w:tcPr>
          <w:p w14:paraId="5DD1BBD1">
            <w:pPr>
              <w:pStyle w:val="14"/>
            </w:pPr>
          </w:p>
        </w:tc>
        <w:tc>
          <w:tcPr>
            <w:tcW w:w="1474" w:type="dxa"/>
            <w:vAlign w:val="center"/>
          </w:tcPr>
          <w:p w14:paraId="5F377754">
            <w:pPr>
              <w:pStyle w:val="14"/>
            </w:pPr>
          </w:p>
        </w:tc>
      </w:tr>
      <w:tr w14:paraId="6B409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7EFBB">
            <w:pPr>
              <w:pStyle w:val="12"/>
            </w:pPr>
            <w:r>
              <w:t>12</w:t>
            </w:r>
          </w:p>
        </w:tc>
        <w:tc>
          <w:tcPr>
            <w:tcW w:w="3402" w:type="dxa"/>
            <w:vAlign w:val="center"/>
          </w:tcPr>
          <w:p w14:paraId="6439E024">
            <w:pPr>
              <w:pStyle w:val="13"/>
            </w:pPr>
          </w:p>
        </w:tc>
        <w:tc>
          <w:tcPr>
            <w:tcW w:w="1474" w:type="dxa"/>
            <w:vAlign w:val="center"/>
          </w:tcPr>
          <w:p w14:paraId="5AE39547">
            <w:pPr>
              <w:pStyle w:val="14"/>
            </w:pPr>
          </w:p>
        </w:tc>
        <w:tc>
          <w:tcPr>
            <w:tcW w:w="3402" w:type="dxa"/>
            <w:vAlign w:val="center"/>
          </w:tcPr>
          <w:p w14:paraId="4C8057CD">
            <w:pPr>
              <w:pStyle w:val="13"/>
            </w:pPr>
            <w:r>
              <w:t>十二、城乡社区支出</w:t>
            </w:r>
          </w:p>
        </w:tc>
        <w:tc>
          <w:tcPr>
            <w:tcW w:w="1474" w:type="dxa"/>
            <w:vAlign w:val="center"/>
          </w:tcPr>
          <w:p w14:paraId="33761157">
            <w:pPr>
              <w:pStyle w:val="14"/>
            </w:pPr>
          </w:p>
        </w:tc>
        <w:tc>
          <w:tcPr>
            <w:tcW w:w="1474" w:type="dxa"/>
            <w:vAlign w:val="center"/>
          </w:tcPr>
          <w:p w14:paraId="1BFB0615">
            <w:pPr>
              <w:pStyle w:val="14"/>
            </w:pPr>
          </w:p>
        </w:tc>
        <w:tc>
          <w:tcPr>
            <w:tcW w:w="1474" w:type="dxa"/>
            <w:vAlign w:val="center"/>
          </w:tcPr>
          <w:p w14:paraId="3761828A">
            <w:pPr>
              <w:pStyle w:val="14"/>
            </w:pPr>
          </w:p>
        </w:tc>
        <w:tc>
          <w:tcPr>
            <w:tcW w:w="1474" w:type="dxa"/>
            <w:vAlign w:val="center"/>
          </w:tcPr>
          <w:p w14:paraId="593C868D">
            <w:pPr>
              <w:pStyle w:val="14"/>
            </w:pPr>
          </w:p>
        </w:tc>
      </w:tr>
      <w:tr w14:paraId="56B8A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F9D24">
            <w:pPr>
              <w:pStyle w:val="12"/>
            </w:pPr>
            <w:r>
              <w:t>13</w:t>
            </w:r>
          </w:p>
        </w:tc>
        <w:tc>
          <w:tcPr>
            <w:tcW w:w="3402" w:type="dxa"/>
            <w:vAlign w:val="center"/>
          </w:tcPr>
          <w:p w14:paraId="11CBD456">
            <w:pPr>
              <w:pStyle w:val="13"/>
            </w:pPr>
          </w:p>
        </w:tc>
        <w:tc>
          <w:tcPr>
            <w:tcW w:w="1474" w:type="dxa"/>
            <w:vAlign w:val="center"/>
          </w:tcPr>
          <w:p w14:paraId="4ABE0C48">
            <w:pPr>
              <w:pStyle w:val="14"/>
            </w:pPr>
          </w:p>
        </w:tc>
        <w:tc>
          <w:tcPr>
            <w:tcW w:w="3402" w:type="dxa"/>
            <w:vAlign w:val="center"/>
          </w:tcPr>
          <w:p w14:paraId="49C0B341">
            <w:pPr>
              <w:pStyle w:val="13"/>
            </w:pPr>
            <w:r>
              <w:t>十三、农林水支出</w:t>
            </w:r>
          </w:p>
        </w:tc>
        <w:tc>
          <w:tcPr>
            <w:tcW w:w="1474" w:type="dxa"/>
            <w:vAlign w:val="center"/>
          </w:tcPr>
          <w:p w14:paraId="03D1C0A4">
            <w:pPr>
              <w:pStyle w:val="14"/>
            </w:pPr>
          </w:p>
        </w:tc>
        <w:tc>
          <w:tcPr>
            <w:tcW w:w="1474" w:type="dxa"/>
            <w:vAlign w:val="center"/>
          </w:tcPr>
          <w:p w14:paraId="5549E669">
            <w:pPr>
              <w:pStyle w:val="14"/>
            </w:pPr>
          </w:p>
        </w:tc>
        <w:tc>
          <w:tcPr>
            <w:tcW w:w="1474" w:type="dxa"/>
            <w:vAlign w:val="center"/>
          </w:tcPr>
          <w:p w14:paraId="6205A5A0">
            <w:pPr>
              <w:pStyle w:val="14"/>
            </w:pPr>
          </w:p>
        </w:tc>
        <w:tc>
          <w:tcPr>
            <w:tcW w:w="1474" w:type="dxa"/>
            <w:vAlign w:val="center"/>
          </w:tcPr>
          <w:p w14:paraId="31FA2F43">
            <w:pPr>
              <w:pStyle w:val="14"/>
            </w:pPr>
          </w:p>
        </w:tc>
      </w:tr>
      <w:tr w14:paraId="5ECF9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7CCD6">
            <w:pPr>
              <w:pStyle w:val="12"/>
            </w:pPr>
            <w:r>
              <w:t>14</w:t>
            </w:r>
          </w:p>
        </w:tc>
        <w:tc>
          <w:tcPr>
            <w:tcW w:w="3402" w:type="dxa"/>
            <w:vAlign w:val="center"/>
          </w:tcPr>
          <w:p w14:paraId="5184A95A">
            <w:pPr>
              <w:pStyle w:val="13"/>
            </w:pPr>
          </w:p>
        </w:tc>
        <w:tc>
          <w:tcPr>
            <w:tcW w:w="1474" w:type="dxa"/>
            <w:vAlign w:val="center"/>
          </w:tcPr>
          <w:p w14:paraId="007D9B1F">
            <w:pPr>
              <w:pStyle w:val="14"/>
            </w:pPr>
          </w:p>
        </w:tc>
        <w:tc>
          <w:tcPr>
            <w:tcW w:w="3402" w:type="dxa"/>
            <w:vAlign w:val="center"/>
          </w:tcPr>
          <w:p w14:paraId="7B993984">
            <w:pPr>
              <w:pStyle w:val="13"/>
            </w:pPr>
            <w:r>
              <w:t>十四、交通运输支出</w:t>
            </w:r>
          </w:p>
        </w:tc>
        <w:tc>
          <w:tcPr>
            <w:tcW w:w="1474" w:type="dxa"/>
            <w:vAlign w:val="center"/>
          </w:tcPr>
          <w:p w14:paraId="303B4F69">
            <w:pPr>
              <w:pStyle w:val="14"/>
            </w:pPr>
          </w:p>
        </w:tc>
        <w:tc>
          <w:tcPr>
            <w:tcW w:w="1474" w:type="dxa"/>
            <w:vAlign w:val="center"/>
          </w:tcPr>
          <w:p w14:paraId="3246FB2F">
            <w:pPr>
              <w:pStyle w:val="14"/>
            </w:pPr>
          </w:p>
        </w:tc>
        <w:tc>
          <w:tcPr>
            <w:tcW w:w="1474" w:type="dxa"/>
            <w:vAlign w:val="center"/>
          </w:tcPr>
          <w:p w14:paraId="52F79073">
            <w:pPr>
              <w:pStyle w:val="14"/>
            </w:pPr>
          </w:p>
        </w:tc>
        <w:tc>
          <w:tcPr>
            <w:tcW w:w="1474" w:type="dxa"/>
            <w:vAlign w:val="center"/>
          </w:tcPr>
          <w:p w14:paraId="49E008B6">
            <w:pPr>
              <w:pStyle w:val="14"/>
            </w:pPr>
          </w:p>
        </w:tc>
      </w:tr>
      <w:tr w14:paraId="58EE0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002FA">
            <w:pPr>
              <w:pStyle w:val="12"/>
            </w:pPr>
            <w:r>
              <w:t>15</w:t>
            </w:r>
          </w:p>
        </w:tc>
        <w:tc>
          <w:tcPr>
            <w:tcW w:w="3402" w:type="dxa"/>
            <w:vAlign w:val="center"/>
          </w:tcPr>
          <w:p w14:paraId="6D4A70E8">
            <w:pPr>
              <w:pStyle w:val="13"/>
            </w:pPr>
          </w:p>
        </w:tc>
        <w:tc>
          <w:tcPr>
            <w:tcW w:w="1474" w:type="dxa"/>
            <w:vAlign w:val="center"/>
          </w:tcPr>
          <w:p w14:paraId="4413F99B">
            <w:pPr>
              <w:pStyle w:val="14"/>
            </w:pPr>
          </w:p>
        </w:tc>
        <w:tc>
          <w:tcPr>
            <w:tcW w:w="3402" w:type="dxa"/>
            <w:vAlign w:val="center"/>
          </w:tcPr>
          <w:p w14:paraId="748BA94E">
            <w:pPr>
              <w:pStyle w:val="13"/>
            </w:pPr>
            <w:r>
              <w:t>十五、资源勘探工业信息等支出</w:t>
            </w:r>
          </w:p>
        </w:tc>
        <w:tc>
          <w:tcPr>
            <w:tcW w:w="1474" w:type="dxa"/>
            <w:vAlign w:val="center"/>
          </w:tcPr>
          <w:p w14:paraId="775D0C02">
            <w:pPr>
              <w:pStyle w:val="14"/>
            </w:pPr>
          </w:p>
        </w:tc>
        <w:tc>
          <w:tcPr>
            <w:tcW w:w="1474" w:type="dxa"/>
            <w:vAlign w:val="center"/>
          </w:tcPr>
          <w:p w14:paraId="7781076C">
            <w:pPr>
              <w:pStyle w:val="14"/>
            </w:pPr>
          </w:p>
        </w:tc>
        <w:tc>
          <w:tcPr>
            <w:tcW w:w="1474" w:type="dxa"/>
            <w:vAlign w:val="center"/>
          </w:tcPr>
          <w:p w14:paraId="7AA23441">
            <w:pPr>
              <w:pStyle w:val="14"/>
            </w:pPr>
          </w:p>
        </w:tc>
        <w:tc>
          <w:tcPr>
            <w:tcW w:w="1474" w:type="dxa"/>
            <w:vAlign w:val="center"/>
          </w:tcPr>
          <w:p w14:paraId="741AD33E">
            <w:pPr>
              <w:pStyle w:val="14"/>
            </w:pPr>
          </w:p>
        </w:tc>
      </w:tr>
      <w:tr w14:paraId="29366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186AA">
            <w:pPr>
              <w:pStyle w:val="12"/>
            </w:pPr>
            <w:r>
              <w:t>16</w:t>
            </w:r>
          </w:p>
        </w:tc>
        <w:tc>
          <w:tcPr>
            <w:tcW w:w="3402" w:type="dxa"/>
            <w:vAlign w:val="center"/>
          </w:tcPr>
          <w:p w14:paraId="22C24FC4">
            <w:pPr>
              <w:pStyle w:val="13"/>
            </w:pPr>
          </w:p>
        </w:tc>
        <w:tc>
          <w:tcPr>
            <w:tcW w:w="1474" w:type="dxa"/>
            <w:vAlign w:val="center"/>
          </w:tcPr>
          <w:p w14:paraId="2C5FD5D8">
            <w:pPr>
              <w:pStyle w:val="14"/>
            </w:pPr>
          </w:p>
        </w:tc>
        <w:tc>
          <w:tcPr>
            <w:tcW w:w="3402" w:type="dxa"/>
            <w:vAlign w:val="center"/>
          </w:tcPr>
          <w:p w14:paraId="748635A4">
            <w:pPr>
              <w:pStyle w:val="13"/>
            </w:pPr>
            <w:r>
              <w:t>十六、商业服务业等支出</w:t>
            </w:r>
          </w:p>
        </w:tc>
        <w:tc>
          <w:tcPr>
            <w:tcW w:w="1474" w:type="dxa"/>
            <w:vAlign w:val="center"/>
          </w:tcPr>
          <w:p w14:paraId="313E1A49">
            <w:pPr>
              <w:pStyle w:val="14"/>
            </w:pPr>
          </w:p>
        </w:tc>
        <w:tc>
          <w:tcPr>
            <w:tcW w:w="1474" w:type="dxa"/>
            <w:vAlign w:val="center"/>
          </w:tcPr>
          <w:p w14:paraId="78E4E0A8">
            <w:pPr>
              <w:pStyle w:val="14"/>
            </w:pPr>
          </w:p>
        </w:tc>
        <w:tc>
          <w:tcPr>
            <w:tcW w:w="1474" w:type="dxa"/>
            <w:vAlign w:val="center"/>
          </w:tcPr>
          <w:p w14:paraId="7D162E4F">
            <w:pPr>
              <w:pStyle w:val="14"/>
            </w:pPr>
          </w:p>
        </w:tc>
        <w:tc>
          <w:tcPr>
            <w:tcW w:w="1474" w:type="dxa"/>
            <w:vAlign w:val="center"/>
          </w:tcPr>
          <w:p w14:paraId="726A9BA9">
            <w:pPr>
              <w:pStyle w:val="14"/>
            </w:pPr>
          </w:p>
        </w:tc>
      </w:tr>
      <w:tr w14:paraId="0FD69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E0A8A">
            <w:pPr>
              <w:pStyle w:val="12"/>
            </w:pPr>
            <w:r>
              <w:t>17</w:t>
            </w:r>
          </w:p>
        </w:tc>
        <w:tc>
          <w:tcPr>
            <w:tcW w:w="3402" w:type="dxa"/>
            <w:vAlign w:val="center"/>
          </w:tcPr>
          <w:p w14:paraId="1EB0136B">
            <w:pPr>
              <w:pStyle w:val="13"/>
            </w:pPr>
          </w:p>
        </w:tc>
        <w:tc>
          <w:tcPr>
            <w:tcW w:w="1474" w:type="dxa"/>
            <w:vAlign w:val="center"/>
          </w:tcPr>
          <w:p w14:paraId="733282E1">
            <w:pPr>
              <w:pStyle w:val="14"/>
            </w:pPr>
          </w:p>
        </w:tc>
        <w:tc>
          <w:tcPr>
            <w:tcW w:w="3402" w:type="dxa"/>
            <w:vAlign w:val="center"/>
          </w:tcPr>
          <w:p w14:paraId="4544BA94">
            <w:pPr>
              <w:pStyle w:val="13"/>
            </w:pPr>
            <w:r>
              <w:t>十七、金融支出</w:t>
            </w:r>
          </w:p>
        </w:tc>
        <w:tc>
          <w:tcPr>
            <w:tcW w:w="1474" w:type="dxa"/>
            <w:vAlign w:val="center"/>
          </w:tcPr>
          <w:p w14:paraId="11F087D3">
            <w:pPr>
              <w:pStyle w:val="14"/>
            </w:pPr>
          </w:p>
        </w:tc>
        <w:tc>
          <w:tcPr>
            <w:tcW w:w="1474" w:type="dxa"/>
            <w:vAlign w:val="center"/>
          </w:tcPr>
          <w:p w14:paraId="29585A36">
            <w:pPr>
              <w:pStyle w:val="14"/>
            </w:pPr>
          </w:p>
        </w:tc>
        <w:tc>
          <w:tcPr>
            <w:tcW w:w="1474" w:type="dxa"/>
            <w:vAlign w:val="center"/>
          </w:tcPr>
          <w:p w14:paraId="0FF05829">
            <w:pPr>
              <w:pStyle w:val="14"/>
            </w:pPr>
          </w:p>
        </w:tc>
        <w:tc>
          <w:tcPr>
            <w:tcW w:w="1474" w:type="dxa"/>
            <w:vAlign w:val="center"/>
          </w:tcPr>
          <w:p w14:paraId="1670355E">
            <w:pPr>
              <w:pStyle w:val="14"/>
            </w:pPr>
          </w:p>
        </w:tc>
      </w:tr>
      <w:tr w14:paraId="1E5AF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0DB46">
            <w:pPr>
              <w:pStyle w:val="12"/>
            </w:pPr>
            <w:r>
              <w:t>18</w:t>
            </w:r>
          </w:p>
        </w:tc>
        <w:tc>
          <w:tcPr>
            <w:tcW w:w="3402" w:type="dxa"/>
            <w:vAlign w:val="center"/>
          </w:tcPr>
          <w:p w14:paraId="2B6C4C4D">
            <w:pPr>
              <w:pStyle w:val="13"/>
            </w:pPr>
          </w:p>
        </w:tc>
        <w:tc>
          <w:tcPr>
            <w:tcW w:w="1474" w:type="dxa"/>
            <w:vAlign w:val="center"/>
          </w:tcPr>
          <w:p w14:paraId="095588FA">
            <w:pPr>
              <w:pStyle w:val="14"/>
            </w:pPr>
          </w:p>
        </w:tc>
        <w:tc>
          <w:tcPr>
            <w:tcW w:w="3402" w:type="dxa"/>
            <w:vAlign w:val="center"/>
          </w:tcPr>
          <w:p w14:paraId="59C9B841">
            <w:pPr>
              <w:pStyle w:val="13"/>
            </w:pPr>
            <w:r>
              <w:t>十八、援助其他地区支出</w:t>
            </w:r>
          </w:p>
        </w:tc>
        <w:tc>
          <w:tcPr>
            <w:tcW w:w="1474" w:type="dxa"/>
            <w:vAlign w:val="center"/>
          </w:tcPr>
          <w:p w14:paraId="72644070">
            <w:pPr>
              <w:pStyle w:val="14"/>
            </w:pPr>
          </w:p>
        </w:tc>
        <w:tc>
          <w:tcPr>
            <w:tcW w:w="1474" w:type="dxa"/>
            <w:vAlign w:val="center"/>
          </w:tcPr>
          <w:p w14:paraId="42A22394">
            <w:pPr>
              <w:pStyle w:val="14"/>
            </w:pPr>
          </w:p>
        </w:tc>
        <w:tc>
          <w:tcPr>
            <w:tcW w:w="1474" w:type="dxa"/>
            <w:vAlign w:val="center"/>
          </w:tcPr>
          <w:p w14:paraId="0125F3AD">
            <w:pPr>
              <w:pStyle w:val="14"/>
            </w:pPr>
          </w:p>
        </w:tc>
        <w:tc>
          <w:tcPr>
            <w:tcW w:w="1474" w:type="dxa"/>
            <w:vAlign w:val="center"/>
          </w:tcPr>
          <w:p w14:paraId="0B77A8E2">
            <w:pPr>
              <w:pStyle w:val="14"/>
            </w:pPr>
          </w:p>
        </w:tc>
      </w:tr>
      <w:tr w14:paraId="38F47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74969">
            <w:pPr>
              <w:pStyle w:val="12"/>
            </w:pPr>
            <w:r>
              <w:t>19</w:t>
            </w:r>
          </w:p>
        </w:tc>
        <w:tc>
          <w:tcPr>
            <w:tcW w:w="3402" w:type="dxa"/>
            <w:vAlign w:val="center"/>
          </w:tcPr>
          <w:p w14:paraId="3FB68D06">
            <w:pPr>
              <w:pStyle w:val="13"/>
            </w:pPr>
          </w:p>
        </w:tc>
        <w:tc>
          <w:tcPr>
            <w:tcW w:w="1474" w:type="dxa"/>
            <w:vAlign w:val="center"/>
          </w:tcPr>
          <w:p w14:paraId="198276AD">
            <w:pPr>
              <w:pStyle w:val="14"/>
            </w:pPr>
          </w:p>
        </w:tc>
        <w:tc>
          <w:tcPr>
            <w:tcW w:w="3402" w:type="dxa"/>
            <w:vAlign w:val="center"/>
          </w:tcPr>
          <w:p w14:paraId="02B79275">
            <w:pPr>
              <w:pStyle w:val="13"/>
            </w:pPr>
            <w:r>
              <w:t>十九、自然资源海洋气象等支出</w:t>
            </w:r>
          </w:p>
        </w:tc>
        <w:tc>
          <w:tcPr>
            <w:tcW w:w="1474" w:type="dxa"/>
            <w:vAlign w:val="center"/>
          </w:tcPr>
          <w:p w14:paraId="5F528073">
            <w:pPr>
              <w:pStyle w:val="14"/>
            </w:pPr>
          </w:p>
        </w:tc>
        <w:tc>
          <w:tcPr>
            <w:tcW w:w="1474" w:type="dxa"/>
            <w:vAlign w:val="center"/>
          </w:tcPr>
          <w:p w14:paraId="2F4AE237">
            <w:pPr>
              <w:pStyle w:val="14"/>
            </w:pPr>
          </w:p>
        </w:tc>
        <w:tc>
          <w:tcPr>
            <w:tcW w:w="1474" w:type="dxa"/>
            <w:vAlign w:val="center"/>
          </w:tcPr>
          <w:p w14:paraId="38C3E8EE">
            <w:pPr>
              <w:pStyle w:val="14"/>
            </w:pPr>
          </w:p>
        </w:tc>
        <w:tc>
          <w:tcPr>
            <w:tcW w:w="1474" w:type="dxa"/>
            <w:vAlign w:val="center"/>
          </w:tcPr>
          <w:p w14:paraId="00B8DAC9">
            <w:pPr>
              <w:pStyle w:val="14"/>
            </w:pPr>
          </w:p>
        </w:tc>
      </w:tr>
      <w:tr w14:paraId="105EA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04946">
            <w:pPr>
              <w:pStyle w:val="12"/>
            </w:pPr>
            <w:r>
              <w:t>20</w:t>
            </w:r>
          </w:p>
        </w:tc>
        <w:tc>
          <w:tcPr>
            <w:tcW w:w="3402" w:type="dxa"/>
            <w:vAlign w:val="center"/>
          </w:tcPr>
          <w:p w14:paraId="21BED5D6">
            <w:pPr>
              <w:pStyle w:val="13"/>
            </w:pPr>
          </w:p>
        </w:tc>
        <w:tc>
          <w:tcPr>
            <w:tcW w:w="1474" w:type="dxa"/>
            <w:vAlign w:val="center"/>
          </w:tcPr>
          <w:p w14:paraId="7D9BE3C3">
            <w:pPr>
              <w:pStyle w:val="14"/>
            </w:pPr>
          </w:p>
        </w:tc>
        <w:tc>
          <w:tcPr>
            <w:tcW w:w="3402" w:type="dxa"/>
            <w:vAlign w:val="center"/>
          </w:tcPr>
          <w:p w14:paraId="26C1D3EF">
            <w:pPr>
              <w:pStyle w:val="13"/>
            </w:pPr>
            <w:r>
              <w:t>二十、住房保障支出</w:t>
            </w:r>
          </w:p>
        </w:tc>
        <w:tc>
          <w:tcPr>
            <w:tcW w:w="1474" w:type="dxa"/>
            <w:vAlign w:val="center"/>
          </w:tcPr>
          <w:p w14:paraId="51E156EF">
            <w:pPr>
              <w:pStyle w:val="14"/>
            </w:pPr>
          </w:p>
        </w:tc>
        <w:tc>
          <w:tcPr>
            <w:tcW w:w="1474" w:type="dxa"/>
            <w:vAlign w:val="center"/>
          </w:tcPr>
          <w:p w14:paraId="3C79FCED">
            <w:pPr>
              <w:pStyle w:val="14"/>
            </w:pPr>
          </w:p>
        </w:tc>
        <w:tc>
          <w:tcPr>
            <w:tcW w:w="1474" w:type="dxa"/>
            <w:vAlign w:val="center"/>
          </w:tcPr>
          <w:p w14:paraId="2DC42416">
            <w:pPr>
              <w:pStyle w:val="14"/>
            </w:pPr>
          </w:p>
        </w:tc>
        <w:tc>
          <w:tcPr>
            <w:tcW w:w="1474" w:type="dxa"/>
            <w:vAlign w:val="center"/>
          </w:tcPr>
          <w:p w14:paraId="22B0045D">
            <w:pPr>
              <w:pStyle w:val="14"/>
            </w:pPr>
          </w:p>
        </w:tc>
      </w:tr>
      <w:tr w14:paraId="0FFC4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780E3">
            <w:pPr>
              <w:pStyle w:val="12"/>
            </w:pPr>
            <w:r>
              <w:t>21</w:t>
            </w:r>
          </w:p>
        </w:tc>
        <w:tc>
          <w:tcPr>
            <w:tcW w:w="3402" w:type="dxa"/>
            <w:vAlign w:val="center"/>
          </w:tcPr>
          <w:p w14:paraId="09B07591">
            <w:pPr>
              <w:pStyle w:val="13"/>
            </w:pPr>
          </w:p>
        </w:tc>
        <w:tc>
          <w:tcPr>
            <w:tcW w:w="1474" w:type="dxa"/>
            <w:vAlign w:val="center"/>
          </w:tcPr>
          <w:p w14:paraId="2D313A4B">
            <w:pPr>
              <w:pStyle w:val="14"/>
            </w:pPr>
          </w:p>
        </w:tc>
        <w:tc>
          <w:tcPr>
            <w:tcW w:w="3402" w:type="dxa"/>
            <w:vAlign w:val="center"/>
          </w:tcPr>
          <w:p w14:paraId="4CD6FE2E">
            <w:pPr>
              <w:pStyle w:val="13"/>
            </w:pPr>
            <w:r>
              <w:t>二十一、粮油物资储备支出</w:t>
            </w:r>
          </w:p>
        </w:tc>
        <w:tc>
          <w:tcPr>
            <w:tcW w:w="1474" w:type="dxa"/>
            <w:vAlign w:val="center"/>
          </w:tcPr>
          <w:p w14:paraId="2836F094">
            <w:pPr>
              <w:pStyle w:val="14"/>
            </w:pPr>
          </w:p>
        </w:tc>
        <w:tc>
          <w:tcPr>
            <w:tcW w:w="1474" w:type="dxa"/>
            <w:vAlign w:val="center"/>
          </w:tcPr>
          <w:p w14:paraId="7E3AFEA8">
            <w:pPr>
              <w:pStyle w:val="14"/>
            </w:pPr>
          </w:p>
        </w:tc>
        <w:tc>
          <w:tcPr>
            <w:tcW w:w="1474" w:type="dxa"/>
            <w:vAlign w:val="center"/>
          </w:tcPr>
          <w:p w14:paraId="155DAC89">
            <w:pPr>
              <w:pStyle w:val="14"/>
            </w:pPr>
          </w:p>
        </w:tc>
        <w:tc>
          <w:tcPr>
            <w:tcW w:w="1474" w:type="dxa"/>
            <w:vAlign w:val="center"/>
          </w:tcPr>
          <w:p w14:paraId="594F26FF">
            <w:pPr>
              <w:pStyle w:val="14"/>
            </w:pPr>
          </w:p>
        </w:tc>
      </w:tr>
      <w:tr w14:paraId="73BAC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346A6">
            <w:pPr>
              <w:pStyle w:val="12"/>
            </w:pPr>
            <w:r>
              <w:t>22</w:t>
            </w:r>
          </w:p>
        </w:tc>
        <w:tc>
          <w:tcPr>
            <w:tcW w:w="3402" w:type="dxa"/>
            <w:vAlign w:val="center"/>
          </w:tcPr>
          <w:p w14:paraId="323C3525">
            <w:pPr>
              <w:pStyle w:val="13"/>
            </w:pPr>
          </w:p>
        </w:tc>
        <w:tc>
          <w:tcPr>
            <w:tcW w:w="1474" w:type="dxa"/>
            <w:vAlign w:val="center"/>
          </w:tcPr>
          <w:p w14:paraId="0BA2B1F7">
            <w:pPr>
              <w:pStyle w:val="14"/>
            </w:pPr>
          </w:p>
        </w:tc>
        <w:tc>
          <w:tcPr>
            <w:tcW w:w="3402" w:type="dxa"/>
            <w:vAlign w:val="center"/>
          </w:tcPr>
          <w:p w14:paraId="6B9E0A36">
            <w:pPr>
              <w:pStyle w:val="13"/>
            </w:pPr>
            <w:r>
              <w:t>二十二、国有资本经营预算支出</w:t>
            </w:r>
          </w:p>
        </w:tc>
        <w:tc>
          <w:tcPr>
            <w:tcW w:w="1474" w:type="dxa"/>
            <w:vAlign w:val="center"/>
          </w:tcPr>
          <w:p w14:paraId="131E560A">
            <w:pPr>
              <w:pStyle w:val="14"/>
            </w:pPr>
          </w:p>
        </w:tc>
        <w:tc>
          <w:tcPr>
            <w:tcW w:w="1474" w:type="dxa"/>
            <w:vAlign w:val="center"/>
          </w:tcPr>
          <w:p w14:paraId="7A5C2F8D">
            <w:pPr>
              <w:pStyle w:val="14"/>
            </w:pPr>
          </w:p>
        </w:tc>
        <w:tc>
          <w:tcPr>
            <w:tcW w:w="1474" w:type="dxa"/>
            <w:vAlign w:val="center"/>
          </w:tcPr>
          <w:p w14:paraId="3B53C545">
            <w:pPr>
              <w:pStyle w:val="14"/>
            </w:pPr>
          </w:p>
        </w:tc>
        <w:tc>
          <w:tcPr>
            <w:tcW w:w="1474" w:type="dxa"/>
            <w:vAlign w:val="center"/>
          </w:tcPr>
          <w:p w14:paraId="1EB76C9B">
            <w:pPr>
              <w:pStyle w:val="14"/>
            </w:pPr>
          </w:p>
        </w:tc>
      </w:tr>
      <w:tr w14:paraId="6088B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545A5">
            <w:pPr>
              <w:pStyle w:val="12"/>
            </w:pPr>
            <w:r>
              <w:t>23</w:t>
            </w:r>
          </w:p>
        </w:tc>
        <w:tc>
          <w:tcPr>
            <w:tcW w:w="3402" w:type="dxa"/>
            <w:vAlign w:val="center"/>
          </w:tcPr>
          <w:p w14:paraId="47AB2905">
            <w:pPr>
              <w:pStyle w:val="13"/>
            </w:pPr>
          </w:p>
        </w:tc>
        <w:tc>
          <w:tcPr>
            <w:tcW w:w="1474" w:type="dxa"/>
            <w:vAlign w:val="center"/>
          </w:tcPr>
          <w:p w14:paraId="5244A34E">
            <w:pPr>
              <w:pStyle w:val="14"/>
            </w:pPr>
          </w:p>
        </w:tc>
        <w:tc>
          <w:tcPr>
            <w:tcW w:w="3402" w:type="dxa"/>
            <w:vAlign w:val="center"/>
          </w:tcPr>
          <w:p w14:paraId="15A898C0">
            <w:pPr>
              <w:pStyle w:val="13"/>
            </w:pPr>
            <w:r>
              <w:t>二十三、灾害防治及应急管理支出</w:t>
            </w:r>
          </w:p>
        </w:tc>
        <w:tc>
          <w:tcPr>
            <w:tcW w:w="1474" w:type="dxa"/>
            <w:vAlign w:val="center"/>
          </w:tcPr>
          <w:p w14:paraId="463DC147">
            <w:pPr>
              <w:pStyle w:val="14"/>
            </w:pPr>
          </w:p>
        </w:tc>
        <w:tc>
          <w:tcPr>
            <w:tcW w:w="1474" w:type="dxa"/>
            <w:vAlign w:val="center"/>
          </w:tcPr>
          <w:p w14:paraId="74E0A05A">
            <w:pPr>
              <w:pStyle w:val="14"/>
            </w:pPr>
          </w:p>
        </w:tc>
        <w:tc>
          <w:tcPr>
            <w:tcW w:w="1474" w:type="dxa"/>
            <w:vAlign w:val="center"/>
          </w:tcPr>
          <w:p w14:paraId="0BB2DDE5">
            <w:pPr>
              <w:pStyle w:val="14"/>
            </w:pPr>
          </w:p>
        </w:tc>
        <w:tc>
          <w:tcPr>
            <w:tcW w:w="1474" w:type="dxa"/>
            <w:vAlign w:val="center"/>
          </w:tcPr>
          <w:p w14:paraId="08D56B4C">
            <w:pPr>
              <w:pStyle w:val="14"/>
            </w:pPr>
          </w:p>
        </w:tc>
      </w:tr>
      <w:tr w14:paraId="4D0F7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82566">
            <w:pPr>
              <w:pStyle w:val="12"/>
            </w:pPr>
            <w:r>
              <w:t>24</w:t>
            </w:r>
          </w:p>
        </w:tc>
        <w:tc>
          <w:tcPr>
            <w:tcW w:w="3402" w:type="dxa"/>
            <w:vAlign w:val="center"/>
          </w:tcPr>
          <w:p w14:paraId="373A0436">
            <w:pPr>
              <w:pStyle w:val="13"/>
            </w:pPr>
          </w:p>
        </w:tc>
        <w:tc>
          <w:tcPr>
            <w:tcW w:w="1474" w:type="dxa"/>
            <w:vAlign w:val="center"/>
          </w:tcPr>
          <w:p w14:paraId="4A4C935C">
            <w:pPr>
              <w:pStyle w:val="14"/>
            </w:pPr>
          </w:p>
        </w:tc>
        <w:tc>
          <w:tcPr>
            <w:tcW w:w="3402" w:type="dxa"/>
            <w:vAlign w:val="center"/>
          </w:tcPr>
          <w:p w14:paraId="4895E258">
            <w:pPr>
              <w:pStyle w:val="13"/>
            </w:pPr>
            <w:r>
              <w:t>二十四、预备费</w:t>
            </w:r>
          </w:p>
        </w:tc>
        <w:tc>
          <w:tcPr>
            <w:tcW w:w="1474" w:type="dxa"/>
            <w:vAlign w:val="center"/>
          </w:tcPr>
          <w:p w14:paraId="453DE125">
            <w:pPr>
              <w:pStyle w:val="14"/>
            </w:pPr>
          </w:p>
        </w:tc>
        <w:tc>
          <w:tcPr>
            <w:tcW w:w="1474" w:type="dxa"/>
            <w:vAlign w:val="center"/>
          </w:tcPr>
          <w:p w14:paraId="4FC36D79">
            <w:pPr>
              <w:pStyle w:val="14"/>
            </w:pPr>
          </w:p>
        </w:tc>
        <w:tc>
          <w:tcPr>
            <w:tcW w:w="1474" w:type="dxa"/>
            <w:vAlign w:val="center"/>
          </w:tcPr>
          <w:p w14:paraId="36ACFB80">
            <w:pPr>
              <w:pStyle w:val="14"/>
            </w:pPr>
          </w:p>
        </w:tc>
        <w:tc>
          <w:tcPr>
            <w:tcW w:w="1474" w:type="dxa"/>
            <w:vAlign w:val="center"/>
          </w:tcPr>
          <w:p w14:paraId="0ECA2B8C">
            <w:pPr>
              <w:pStyle w:val="14"/>
            </w:pPr>
          </w:p>
        </w:tc>
      </w:tr>
      <w:tr w14:paraId="042DB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0C25B">
            <w:pPr>
              <w:pStyle w:val="12"/>
            </w:pPr>
            <w:r>
              <w:t>25</w:t>
            </w:r>
          </w:p>
        </w:tc>
        <w:tc>
          <w:tcPr>
            <w:tcW w:w="3402" w:type="dxa"/>
            <w:vAlign w:val="center"/>
          </w:tcPr>
          <w:p w14:paraId="1C4A76E9">
            <w:pPr>
              <w:pStyle w:val="13"/>
            </w:pPr>
          </w:p>
        </w:tc>
        <w:tc>
          <w:tcPr>
            <w:tcW w:w="1474" w:type="dxa"/>
            <w:vAlign w:val="center"/>
          </w:tcPr>
          <w:p w14:paraId="23F956C8">
            <w:pPr>
              <w:pStyle w:val="14"/>
            </w:pPr>
          </w:p>
        </w:tc>
        <w:tc>
          <w:tcPr>
            <w:tcW w:w="3402" w:type="dxa"/>
            <w:vAlign w:val="center"/>
          </w:tcPr>
          <w:p w14:paraId="2586CF10">
            <w:pPr>
              <w:pStyle w:val="13"/>
            </w:pPr>
            <w:r>
              <w:t>二十五、其他支出</w:t>
            </w:r>
          </w:p>
        </w:tc>
        <w:tc>
          <w:tcPr>
            <w:tcW w:w="1474" w:type="dxa"/>
            <w:vAlign w:val="center"/>
          </w:tcPr>
          <w:p w14:paraId="4AFC93BC">
            <w:pPr>
              <w:pStyle w:val="14"/>
            </w:pPr>
          </w:p>
        </w:tc>
        <w:tc>
          <w:tcPr>
            <w:tcW w:w="1474" w:type="dxa"/>
            <w:vAlign w:val="center"/>
          </w:tcPr>
          <w:p w14:paraId="06D704ED">
            <w:pPr>
              <w:pStyle w:val="14"/>
            </w:pPr>
          </w:p>
        </w:tc>
        <w:tc>
          <w:tcPr>
            <w:tcW w:w="1474" w:type="dxa"/>
            <w:vAlign w:val="center"/>
          </w:tcPr>
          <w:p w14:paraId="4EEB2AE3">
            <w:pPr>
              <w:pStyle w:val="14"/>
            </w:pPr>
          </w:p>
        </w:tc>
        <w:tc>
          <w:tcPr>
            <w:tcW w:w="1474" w:type="dxa"/>
            <w:vAlign w:val="center"/>
          </w:tcPr>
          <w:p w14:paraId="05457509">
            <w:pPr>
              <w:pStyle w:val="14"/>
            </w:pPr>
          </w:p>
        </w:tc>
      </w:tr>
      <w:tr w14:paraId="2578A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D1E7F">
            <w:pPr>
              <w:pStyle w:val="12"/>
            </w:pPr>
            <w:r>
              <w:t>26</w:t>
            </w:r>
          </w:p>
        </w:tc>
        <w:tc>
          <w:tcPr>
            <w:tcW w:w="3402" w:type="dxa"/>
            <w:vAlign w:val="center"/>
          </w:tcPr>
          <w:p w14:paraId="47A5A755">
            <w:pPr>
              <w:pStyle w:val="13"/>
            </w:pPr>
          </w:p>
        </w:tc>
        <w:tc>
          <w:tcPr>
            <w:tcW w:w="1474" w:type="dxa"/>
            <w:vAlign w:val="center"/>
          </w:tcPr>
          <w:p w14:paraId="1987062B">
            <w:pPr>
              <w:pStyle w:val="14"/>
            </w:pPr>
          </w:p>
        </w:tc>
        <w:tc>
          <w:tcPr>
            <w:tcW w:w="3402" w:type="dxa"/>
            <w:vAlign w:val="center"/>
          </w:tcPr>
          <w:p w14:paraId="1C4313A0">
            <w:pPr>
              <w:pStyle w:val="13"/>
            </w:pPr>
            <w:r>
              <w:t>二十六、转移性支出</w:t>
            </w:r>
          </w:p>
        </w:tc>
        <w:tc>
          <w:tcPr>
            <w:tcW w:w="1474" w:type="dxa"/>
            <w:vAlign w:val="center"/>
          </w:tcPr>
          <w:p w14:paraId="4A5E9F09">
            <w:pPr>
              <w:pStyle w:val="14"/>
            </w:pPr>
          </w:p>
        </w:tc>
        <w:tc>
          <w:tcPr>
            <w:tcW w:w="1474" w:type="dxa"/>
            <w:vAlign w:val="center"/>
          </w:tcPr>
          <w:p w14:paraId="364C152F">
            <w:pPr>
              <w:pStyle w:val="14"/>
            </w:pPr>
          </w:p>
        </w:tc>
        <w:tc>
          <w:tcPr>
            <w:tcW w:w="1474" w:type="dxa"/>
            <w:vAlign w:val="center"/>
          </w:tcPr>
          <w:p w14:paraId="5B785470">
            <w:pPr>
              <w:pStyle w:val="14"/>
            </w:pPr>
          </w:p>
        </w:tc>
        <w:tc>
          <w:tcPr>
            <w:tcW w:w="1474" w:type="dxa"/>
            <w:vAlign w:val="center"/>
          </w:tcPr>
          <w:p w14:paraId="50D673F8">
            <w:pPr>
              <w:pStyle w:val="14"/>
            </w:pPr>
          </w:p>
        </w:tc>
      </w:tr>
      <w:tr w14:paraId="75FF5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50CBA">
            <w:pPr>
              <w:pStyle w:val="12"/>
            </w:pPr>
            <w:r>
              <w:t>27</w:t>
            </w:r>
          </w:p>
        </w:tc>
        <w:tc>
          <w:tcPr>
            <w:tcW w:w="3402" w:type="dxa"/>
            <w:vAlign w:val="center"/>
          </w:tcPr>
          <w:p w14:paraId="32F1C2F4">
            <w:pPr>
              <w:pStyle w:val="13"/>
            </w:pPr>
          </w:p>
        </w:tc>
        <w:tc>
          <w:tcPr>
            <w:tcW w:w="1474" w:type="dxa"/>
            <w:vAlign w:val="center"/>
          </w:tcPr>
          <w:p w14:paraId="60874227">
            <w:pPr>
              <w:pStyle w:val="14"/>
            </w:pPr>
          </w:p>
        </w:tc>
        <w:tc>
          <w:tcPr>
            <w:tcW w:w="3402" w:type="dxa"/>
            <w:vAlign w:val="center"/>
          </w:tcPr>
          <w:p w14:paraId="40429A8E">
            <w:pPr>
              <w:pStyle w:val="13"/>
            </w:pPr>
            <w:r>
              <w:t>二十七、债务还本支出</w:t>
            </w:r>
          </w:p>
        </w:tc>
        <w:tc>
          <w:tcPr>
            <w:tcW w:w="1474" w:type="dxa"/>
            <w:vAlign w:val="center"/>
          </w:tcPr>
          <w:p w14:paraId="61B88386">
            <w:pPr>
              <w:pStyle w:val="14"/>
            </w:pPr>
          </w:p>
        </w:tc>
        <w:tc>
          <w:tcPr>
            <w:tcW w:w="1474" w:type="dxa"/>
            <w:vAlign w:val="center"/>
          </w:tcPr>
          <w:p w14:paraId="2FA9C013">
            <w:pPr>
              <w:pStyle w:val="14"/>
            </w:pPr>
          </w:p>
        </w:tc>
        <w:tc>
          <w:tcPr>
            <w:tcW w:w="1474" w:type="dxa"/>
            <w:vAlign w:val="center"/>
          </w:tcPr>
          <w:p w14:paraId="1DFF0C65">
            <w:pPr>
              <w:pStyle w:val="14"/>
            </w:pPr>
          </w:p>
        </w:tc>
        <w:tc>
          <w:tcPr>
            <w:tcW w:w="1474" w:type="dxa"/>
            <w:vAlign w:val="center"/>
          </w:tcPr>
          <w:p w14:paraId="0F9884AF">
            <w:pPr>
              <w:pStyle w:val="14"/>
            </w:pPr>
          </w:p>
        </w:tc>
      </w:tr>
      <w:tr w14:paraId="0A8F3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6B0F3">
            <w:pPr>
              <w:pStyle w:val="12"/>
            </w:pPr>
            <w:r>
              <w:t>28</w:t>
            </w:r>
          </w:p>
        </w:tc>
        <w:tc>
          <w:tcPr>
            <w:tcW w:w="3402" w:type="dxa"/>
            <w:vAlign w:val="center"/>
          </w:tcPr>
          <w:p w14:paraId="7CCCE556">
            <w:pPr>
              <w:pStyle w:val="13"/>
            </w:pPr>
          </w:p>
        </w:tc>
        <w:tc>
          <w:tcPr>
            <w:tcW w:w="1474" w:type="dxa"/>
            <w:vAlign w:val="center"/>
          </w:tcPr>
          <w:p w14:paraId="7E16A8CC">
            <w:pPr>
              <w:pStyle w:val="14"/>
            </w:pPr>
          </w:p>
        </w:tc>
        <w:tc>
          <w:tcPr>
            <w:tcW w:w="3402" w:type="dxa"/>
            <w:vAlign w:val="center"/>
          </w:tcPr>
          <w:p w14:paraId="032F5871">
            <w:pPr>
              <w:pStyle w:val="13"/>
            </w:pPr>
            <w:r>
              <w:t>二十八、债务付息支出</w:t>
            </w:r>
          </w:p>
        </w:tc>
        <w:tc>
          <w:tcPr>
            <w:tcW w:w="1474" w:type="dxa"/>
            <w:vAlign w:val="center"/>
          </w:tcPr>
          <w:p w14:paraId="2113429B">
            <w:pPr>
              <w:pStyle w:val="14"/>
            </w:pPr>
          </w:p>
        </w:tc>
        <w:tc>
          <w:tcPr>
            <w:tcW w:w="1474" w:type="dxa"/>
            <w:vAlign w:val="center"/>
          </w:tcPr>
          <w:p w14:paraId="521C1D46">
            <w:pPr>
              <w:pStyle w:val="14"/>
            </w:pPr>
          </w:p>
        </w:tc>
        <w:tc>
          <w:tcPr>
            <w:tcW w:w="1474" w:type="dxa"/>
            <w:vAlign w:val="center"/>
          </w:tcPr>
          <w:p w14:paraId="7661135C">
            <w:pPr>
              <w:pStyle w:val="14"/>
            </w:pPr>
          </w:p>
        </w:tc>
        <w:tc>
          <w:tcPr>
            <w:tcW w:w="1474" w:type="dxa"/>
            <w:vAlign w:val="center"/>
          </w:tcPr>
          <w:p w14:paraId="3126AF6F">
            <w:pPr>
              <w:pStyle w:val="14"/>
            </w:pPr>
          </w:p>
        </w:tc>
      </w:tr>
      <w:tr w14:paraId="7FF89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264FD">
            <w:pPr>
              <w:pStyle w:val="12"/>
            </w:pPr>
            <w:r>
              <w:t>29</w:t>
            </w:r>
          </w:p>
        </w:tc>
        <w:tc>
          <w:tcPr>
            <w:tcW w:w="3402" w:type="dxa"/>
            <w:vAlign w:val="center"/>
          </w:tcPr>
          <w:p w14:paraId="6BB4A6DB">
            <w:pPr>
              <w:pStyle w:val="13"/>
            </w:pPr>
          </w:p>
        </w:tc>
        <w:tc>
          <w:tcPr>
            <w:tcW w:w="1474" w:type="dxa"/>
            <w:vAlign w:val="center"/>
          </w:tcPr>
          <w:p w14:paraId="02854A62">
            <w:pPr>
              <w:pStyle w:val="14"/>
            </w:pPr>
          </w:p>
        </w:tc>
        <w:tc>
          <w:tcPr>
            <w:tcW w:w="3402" w:type="dxa"/>
            <w:vAlign w:val="center"/>
          </w:tcPr>
          <w:p w14:paraId="23C0080A">
            <w:pPr>
              <w:pStyle w:val="13"/>
            </w:pPr>
            <w:r>
              <w:t>二十九、债务发行费用支出</w:t>
            </w:r>
          </w:p>
        </w:tc>
        <w:tc>
          <w:tcPr>
            <w:tcW w:w="1474" w:type="dxa"/>
            <w:vAlign w:val="center"/>
          </w:tcPr>
          <w:p w14:paraId="4AAF5CAF">
            <w:pPr>
              <w:pStyle w:val="14"/>
            </w:pPr>
          </w:p>
        </w:tc>
        <w:tc>
          <w:tcPr>
            <w:tcW w:w="1474" w:type="dxa"/>
            <w:vAlign w:val="center"/>
          </w:tcPr>
          <w:p w14:paraId="4C75C36F">
            <w:pPr>
              <w:pStyle w:val="14"/>
            </w:pPr>
          </w:p>
        </w:tc>
        <w:tc>
          <w:tcPr>
            <w:tcW w:w="1474" w:type="dxa"/>
            <w:vAlign w:val="center"/>
          </w:tcPr>
          <w:p w14:paraId="77AB9EB5">
            <w:pPr>
              <w:pStyle w:val="14"/>
            </w:pPr>
          </w:p>
        </w:tc>
        <w:tc>
          <w:tcPr>
            <w:tcW w:w="1474" w:type="dxa"/>
            <w:vAlign w:val="center"/>
          </w:tcPr>
          <w:p w14:paraId="2FCF3C52">
            <w:pPr>
              <w:pStyle w:val="14"/>
            </w:pPr>
          </w:p>
        </w:tc>
      </w:tr>
      <w:tr w14:paraId="3C8A9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BB0C8">
            <w:pPr>
              <w:pStyle w:val="12"/>
            </w:pPr>
            <w:r>
              <w:t>30</w:t>
            </w:r>
          </w:p>
        </w:tc>
        <w:tc>
          <w:tcPr>
            <w:tcW w:w="3402" w:type="dxa"/>
            <w:vAlign w:val="center"/>
          </w:tcPr>
          <w:p w14:paraId="5069A1DF">
            <w:pPr>
              <w:pStyle w:val="13"/>
            </w:pPr>
          </w:p>
        </w:tc>
        <w:tc>
          <w:tcPr>
            <w:tcW w:w="1474" w:type="dxa"/>
            <w:vAlign w:val="center"/>
          </w:tcPr>
          <w:p w14:paraId="19288110">
            <w:pPr>
              <w:pStyle w:val="14"/>
            </w:pPr>
          </w:p>
        </w:tc>
        <w:tc>
          <w:tcPr>
            <w:tcW w:w="3402" w:type="dxa"/>
            <w:vAlign w:val="center"/>
          </w:tcPr>
          <w:p w14:paraId="37406FF3">
            <w:pPr>
              <w:pStyle w:val="13"/>
            </w:pPr>
            <w:r>
              <w:t>三十、抗疫特别国债安排的支出</w:t>
            </w:r>
          </w:p>
        </w:tc>
        <w:tc>
          <w:tcPr>
            <w:tcW w:w="1474" w:type="dxa"/>
            <w:vAlign w:val="center"/>
          </w:tcPr>
          <w:p w14:paraId="4AF6FC15">
            <w:pPr>
              <w:pStyle w:val="14"/>
            </w:pPr>
          </w:p>
        </w:tc>
        <w:tc>
          <w:tcPr>
            <w:tcW w:w="1474" w:type="dxa"/>
            <w:vAlign w:val="center"/>
          </w:tcPr>
          <w:p w14:paraId="17619709">
            <w:pPr>
              <w:pStyle w:val="14"/>
            </w:pPr>
          </w:p>
        </w:tc>
        <w:tc>
          <w:tcPr>
            <w:tcW w:w="1474" w:type="dxa"/>
            <w:vAlign w:val="center"/>
          </w:tcPr>
          <w:p w14:paraId="0523D6F6">
            <w:pPr>
              <w:pStyle w:val="14"/>
            </w:pPr>
          </w:p>
        </w:tc>
        <w:tc>
          <w:tcPr>
            <w:tcW w:w="1474" w:type="dxa"/>
            <w:vAlign w:val="center"/>
          </w:tcPr>
          <w:p w14:paraId="60076000">
            <w:pPr>
              <w:pStyle w:val="14"/>
            </w:pPr>
          </w:p>
        </w:tc>
      </w:tr>
      <w:tr w14:paraId="6AEA5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2501A">
            <w:pPr>
              <w:pStyle w:val="12"/>
            </w:pPr>
            <w:r>
              <w:t>31</w:t>
            </w:r>
          </w:p>
        </w:tc>
        <w:tc>
          <w:tcPr>
            <w:tcW w:w="3402" w:type="dxa"/>
            <w:vAlign w:val="center"/>
          </w:tcPr>
          <w:p w14:paraId="78543371">
            <w:pPr>
              <w:pStyle w:val="13"/>
            </w:pPr>
          </w:p>
        </w:tc>
        <w:tc>
          <w:tcPr>
            <w:tcW w:w="1474" w:type="dxa"/>
            <w:vAlign w:val="center"/>
          </w:tcPr>
          <w:p w14:paraId="22CF0A0F">
            <w:pPr>
              <w:pStyle w:val="14"/>
            </w:pPr>
          </w:p>
        </w:tc>
        <w:tc>
          <w:tcPr>
            <w:tcW w:w="3402" w:type="dxa"/>
            <w:vAlign w:val="center"/>
          </w:tcPr>
          <w:p w14:paraId="51A7044E">
            <w:pPr>
              <w:pStyle w:val="13"/>
            </w:pPr>
            <w:r>
              <w:t>三十一、人行科目</w:t>
            </w:r>
          </w:p>
        </w:tc>
        <w:tc>
          <w:tcPr>
            <w:tcW w:w="1474" w:type="dxa"/>
            <w:vAlign w:val="center"/>
          </w:tcPr>
          <w:p w14:paraId="49B02276">
            <w:pPr>
              <w:pStyle w:val="14"/>
            </w:pPr>
          </w:p>
        </w:tc>
        <w:tc>
          <w:tcPr>
            <w:tcW w:w="1474" w:type="dxa"/>
            <w:vAlign w:val="center"/>
          </w:tcPr>
          <w:p w14:paraId="11753AD0">
            <w:pPr>
              <w:pStyle w:val="14"/>
            </w:pPr>
          </w:p>
        </w:tc>
        <w:tc>
          <w:tcPr>
            <w:tcW w:w="1474" w:type="dxa"/>
            <w:vAlign w:val="center"/>
          </w:tcPr>
          <w:p w14:paraId="0C058D15">
            <w:pPr>
              <w:pStyle w:val="14"/>
            </w:pPr>
          </w:p>
        </w:tc>
        <w:tc>
          <w:tcPr>
            <w:tcW w:w="1474" w:type="dxa"/>
            <w:vAlign w:val="center"/>
          </w:tcPr>
          <w:p w14:paraId="3FF3315C">
            <w:pPr>
              <w:pStyle w:val="14"/>
            </w:pPr>
          </w:p>
        </w:tc>
      </w:tr>
      <w:tr w14:paraId="582ED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4807C">
            <w:pPr>
              <w:pStyle w:val="12"/>
            </w:pPr>
            <w:r>
              <w:t>32</w:t>
            </w:r>
          </w:p>
        </w:tc>
        <w:tc>
          <w:tcPr>
            <w:tcW w:w="3402" w:type="dxa"/>
            <w:vAlign w:val="center"/>
          </w:tcPr>
          <w:p w14:paraId="6F0F6667">
            <w:pPr>
              <w:pStyle w:val="15"/>
            </w:pPr>
            <w:r>
              <w:t>本年收入合计</w:t>
            </w:r>
          </w:p>
        </w:tc>
        <w:tc>
          <w:tcPr>
            <w:tcW w:w="1474" w:type="dxa"/>
            <w:vAlign w:val="center"/>
          </w:tcPr>
          <w:p w14:paraId="3CA0DED0">
            <w:pPr>
              <w:pStyle w:val="16"/>
            </w:pPr>
            <w:r>
              <w:t>3137.35</w:t>
            </w:r>
          </w:p>
        </w:tc>
        <w:tc>
          <w:tcPr>
            <w:tcW w:w="3402" w:type="dxa"/>
            <w:vAlign w:val="center"/>
          </w:tcPr>
          <w:p w14:paraId="311B30D2">
            <w:pPr>
              <w:pStyle w:val="15"/>
            </w:pPr>
            <w:r>
              <w:t>本年支出合计</w:t>
            </w:r>
          </w:p>
        </w:tc>
        <w:tc>
          <w:tcPr>
            <w:tcW w:w="1474" w:type="dxa"/>
            <w:vAlign w:val="center"/>
          </w:tcPr>
          <w:p w14:paraId="386AB65C">
            <w:pPr>
              <w:pStyle w:val="16"/>
            </w:pPr>
            <w:r>
              <w:t>3178.44</w:t>
            </w:r>
          </w:p>
        </w:tc>
        <w:tc>
          <w:tcPr>
            <w:tcW w:w="1474" w:type="dxa"/>
            <w:vAlign w:val="center"/>
          </w:tcPr>
          <w:p w14:paraId="4B6830EC">
            <w:pPr>
              <w:pStyle w:val="16"/>
            </w:pPr>
            <w:r>
              <w:t>3178.44</w:t>
            </w:r>
          </w:p>
        </w:tc>
        <w:tc>
          <w:tcPr>
            <w:tcW w:w="1474" w:type="dxa"/>
            <w:vAlign w:val="center"/>
          </w:tcPr>
          <w:p w14:paraId="5CDA9466">
            <w:pPr>
              <w:pStyle w:val="16"/>
            </w:pPr>
          </w:p>
        </w:tc>
        <w:tc>
          <w:tcPr>
            <w:tcW w:w="1474" w:type="dxa"/>
            <w:vAlign w:val="center"/>
          </w:tcPr>
          <w:p w14:paraId="1E9F2327">
            <w:pPr>
              <w:pStyle w:val="16"/>
            </w:pPr>
          </w:p>
        </w:tc>
      </w:tr>
      <w:tr w14:paraId="42C16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AB4F3">
            <w:pPr>
              <w:pStyle w:val="12"/>
            </w:pPr>
            <w:r>
              <w:t>33</w:t>
            </w:r>
          </w:p>
        </w:tc>
        <w:tc>
          <w:tcPr>
            <w:tcW w:w="3402" w:type="dxa"/>
            <w:vAlign w:val="center"/>
          </w:tcPr>
          <w:p w14:paraId="38631F7E">
            <w:pPr>
              <w:pStyle w:val="13"/>
            </w:pPr>
            <w:r>
              <w:t>年初财政拨款结转和结余</w:t>
            </w:r>
          </w:p>
        </w:tc>
        <w:tc>
          <w:tcPr>
            <w:tcW w:w="1474" w:type="dxa"/>
            <w:vAlign w:val="center"/>
          </w:tcPr>
          <w:p w14:paraId="6D196F45">
            <w:pPr>
              <w:pStyle w:val="14"/>
            </w:pPr>
            <w:r>
              <w:t>41.10</w:t>
            </w:r>
          </w:p>
        </w:tc>
        <w:tc>
          <w:tcPr>
            <w:tcW w:w="3402" w:type="dxa"/>
            <w:vAlign w:val="center"/>
          </w:tcPr>
          <w:p w14:paraId="5CE45C7B">
            <w:pPr>
              <w:pStyle w:val="13"/>
            </w:pPr>
            <w:r>
              <w:t>年末财政拨款结转和结余</w:t>
            </w:r>
          </w:p>
        </w:tc>
        <w:tc>
          <w:tcPr>
            <w:tcW w:w="1474" w:type="dxa"/>
            <w:vAlign w:val="center"/>
          </w:tcPr>
          <w:p w14:paraId="107056C1">
            <w:pPr>
              <w:pStyle w:val="14"/>
            </w:pPr>
          </w:p>
        </w:tc>
        <w:tc>
          <w:tcPr>
            <w:tcW w:w="1474" w:type="dxa"/>
            <w:vAlign w:val="center"/>
          </w:tcPr>
          <w:p w14:paraId="4320E3A3">
            <w:pPr>
              <w:pStyle w:val="14"/>
            </w:pPr>
          </w:p>
        </w:tc>
        <w:tc>
          <w:tcPr>
            <w:tcW w:w="1474" w:type="dxa"/>
            <w:vAlign w:val="center"/>
          </w:tcPr>
          <w:p w14:paraId="187C2A89">
            <w:pPr>
              <w:pStyle w:val="14"/>
            </w:pPr>
          </w:p>
        </w:tc>
        <w:tc>
          <w:tcPr>
            <w:tcW w:w="1474" w:type="dxa"/>
            <w:vAlign w:val="center"/>
          </w:tcPr>
          <w:p w14:paraId="45675A63">
            <w:pPr>
              <w:pStyle w:val="14"/>
            </w:pPr>
          </w:p>
        </w:tc>
      </w:tr>
      <w:tr w14:paraId="75A34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F02D7">
            <w:pPr>
              <w:pStyle w:val="12"/>
            </w:pPr>
            <w:r>
              <w:t>34</w:t>
            </w:r>
          </w:p>
        </w:tc>
        <w:tc>
          <w:tcPr>
            <w:tcW w:w="3402" w:type="dxa"/>
            <w:vAlign w:val="center"/>
          </w:tcPr>
          <w:p w14:paraId="029C9582">
            <w:pPr>
              <w:pStyle w:val="13"/>
            </w:pPr>
            <w:r>
              <w:t>一、一般公共预算拨款</w:t>
            </w:r>
          </w:p>
        </w:tc>
        <w:tc>
          <w:tcPr>
            <w:tcW w:w="1474" w:type="dxa"/>
            <w:vAlign w:val="center"/>
          </w:tcPr>
          <w:p w14:paraId="59BF7863">
            <w:pPr>
              <w:pStyle w:val="14"/>
            </w:pPr>
            <w:r>
              <w:t>41.10</w:t>
            </w:r>
          </w:p>
        </w:tc>
        <w:tc>
          <w:tcPr>
            <w:tcW w:w="3402" w:type="dxa"/>
            <w:vAlign w:val="center"/>
          </w:tcPr>
          <w:p w14:paraId="169B8E36">
            <w:pPr>
              <w:pStyle w:val="13"/>
            </w:pPr>
          </w:p>
        </w:tc>
        <w:tc>
          <w:tcPr>
            <w:tcW w:w="1474" w:type="dxa"/>
            <w:vAlign w:val="center"/>
          </w:tcPr>
          <w:p w14:paraId="69A0F445">
            <w:pPr>
              <w:pStyle w:val="14"/>
            </w:pPr>
          </w:p>
        </w:tc>
        <w:tc>
          <w:tcPr>
            <w:tcW w:w="1474" w:type="dxa"/>
            <w:vAlign w:val="center"/>
          </w:tcPr>
          <w:p w14:paraId="7CFEC466">
            <w:pPr>
              <w:pStyle w:val="14"/>
            </w:pPr>
          </w:p>
        </w:tc>
        <w:tc>
          <w:tcPr>
            <w:tcW w:w="1474" w:type="dxa"/>
            <w:vAlign w:val="center"/>
          </w:tcPr>
          <w:p w14:paraId="2A7C223A">
            <w:pPr>
              <w:pStyle w:val="14"/>
            </w:pPr>
          </w:p>
        </w:tc>
        <w:tc>
          <w:tcPr>
            <w:tcW w:w="1474" w:type="dxa"/>
            <w:vAlign w:val="center"/>
          </w:tcPr>
          <w:p w14:paraId="290D555A">
            <w:pPr>
              <w:pStyle w:val="14"/>
            </w:pPr>
          </w:p>
        </w:tc>
      </w:tr>
      <w:tr w14:paraId="4A01D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8E646">
            <w:pPr>
              <w:pStyle w:val="12"/>
            </w:pPr>
            <w:r>
              <w:t>35</w:t>
            </w:r>
          </w:p>
        </w:tc>
        <w:tc>
          <w:tcPr>
            <w:tcW w:w="3402" w:type="dxa"/>
            <w:vAlign w:val="center"/>
          </w:tcPr>
          <w:p w14:paraId="507B1641">
            <w:pPr>
              <w:pStyle w:val="13"/>
            </w:pPr>
            <w:r>
              <w:t>二、政府性基金预算拨款</w:t>
            </w:r>
          </w:p>
        </w:tc>
        <w:tc>
          <w:tcPr>
            <w:tcW w:w="1474" w:type="dxa"/>
            <w:vAlign w:val="center"/>
          </w:tcPr>
          <w:p w14:paraId="7B7A9C10">
            <w:pPr>
              <w:pStyle w:val="14"/>
            </w:pPr>
          </w:p>
        </w:tc>
        <w:tc>
          <w:tcPr>
            <w:tcW w:w="3402" w:type="dxa"/>
            <w:vAlign w:val="center"/>
          </w:tcPr>
          <w:p w14:paraId="3DD68B97">
            <w:pPr>
              <w:pStyle w:val="13"/>
            </w:pPr>
          </w:p>
        </w:tc>
        <w:tc>
          <w:tcPr>
            <w:tcW w:w="1474" w:type="dxa"/>
            <w:vAlign w:val="center"/>
          </w:tcPr>
          <w:p w14:paraId="3521F565">
            <w:pPr>
              <w:pStyle w:val="14"/>
            </w:pPr>
          </w:p>
        </w:tc>
        <w:tc>
          <w:tcPr>
            <w:tcW w:w="1474" w:type="dxa"/>
            <w:vAlign w:val="center"/>
          </w:tcPr>
          <w:p w14:paraId="54191EB2">
            <w:pPr>
              <w:pStyle w:val="14"/>
            </w:pPr>
          </w:p>
        </w:tc>
        <w:tc>
          <w:tcPr>
            <w:tcW w:w="1474" w:type="dxa"/>
            <w:vAlign w:val="center"/>
          </w:tcPr>
          <w:p w14:paraId="1B83783F">
            <w:pPr>
              <w:pStyle w:val="14"/>
            </w:pPr>
          </w:p>
        </w:tc>
        <w:tc>
          <w:tcPr>
            <w:tcW w:w="1474" w:type="dxa"/>
            <w:vAlign w:val="center"/>
          </w:tcPr>
          <w:p w14:paraId="6AC049B8">
            <w:pPr>
              <w:pStyle w:val="14"/>
            </w:pPr>
          </w:p>
        </w:tc>
      </w:tr>
      <w:tr w14:paraId="6E00C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57061">
            <w:pPr>
              <w:pStyle w:val="12"/>
            </w:pPr>
            <w:r>
              <w:t>36</w:t>
            </w:r>
          </w:p>
        </w:tc>
        <w:tc>
          <w:tcPr>
            <w:tcW w:w="3402" w:type="dxa"/>
            <w:vAlign w:val="center"/>
          </w:tcPr>
          <w:p w14:paraId="6231F3DA">
            <w:pPr>
              <w:pStyle w:val="13"/>
            </w:pPr>
            <w:r>
              <w:t>三、国有资本经营预算拨款</w:t>
            </w:r>
          </w:p>
        </w:tc>
        <w:tc>
          <w:tcPr>
            <w:tcW w:w="1474" w:type="dxa"/>
            <w:vAlign w:val="center"/>
          </w:tcPr>
          <w:p w14:paraId="2BEFE496">
            <w:pPr>
              <w:pStyle w:val="14"/>
            </w:pPr>
          </w:p>
        </w:tc>
        <w:tc>
          <w:tcPr>
            <w:tcW w:w="3402" w:type="dxa"/>
            <w:vAlign w:val="center"/>
          </w:tcPr>
          <w:p w14:paraId="0873E945">
            <w:pPr>
              <w:pStyle w:val="13"/>
            </w:pPr>
          </w:p>
        </w:tc>
        <w:tc>
          <w:tcPr>
            <w:tcW w:w="1474" w:type="dxa"/>
            <w:vAlign w:val="center"/>
          </w:tcPr>
          <w:p w14:paraId="20CBC5D5">
            <w:pPr>
              <w:pStyle w:val="14"/>
            </w:pPr>
          </w:p>
        </w:tc>
        <w:tc>
          <w:tcPr>
            <w:tcW w:w="1474" w:type="dxa"/>
            <w:vAlign w:val="center"/>
          </w:tcPr>
          <w:p w14:paraId="432AB33E">
            <w:pPr>
              <w:pStyle w:val="14"/>
            </w:pPr>
          </w:p>
        </w:tc>
        <w:tc>
          <w:tcPr>
            <w:tcW w:w="1474" w:type="dxa"/>
            <w:vAlign w:val="center"/>
          </w:tcPr>
          <w:p w14:paraId="0E7C466A">
            <w:pPr>
              <w:pStyle w:val="14"/>
            </w:pPr>
          </w:p>
        </w:tc>
        <w:tc>
          <w:tcPr>
            <w:tcW w:w="1474" w:type="dxa"/>
            <w:vAlign w:val="center"/>
          </w:tcPr>
          <w:p w14:paraId="4DF1355A">
            <w:pPr>
              <w:pStyle w:val="14"/>
            </w:pPr>
          </w:p>
        </w:tc>
      </w:tr>
      <w:tr w14:paraId="14411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0EDC2">
            <w:pPr>
              <w:pStyle w:val="12"/>
            </w:pPr>
            <w:r>
              <w:t>37</w:t>
            </w:r>
          </w:p>
        </w:tc>
        <w:tc>
          <w:tcPr>
            <w:tcW w:w="3402" w:type="dxa"/>
            <w:vAlign w:val="center"/>
          </w:tcPr>
          <w:p w14:paraId="7866713E">
            <w:pPr>
              <w:pStyle w:val="15"/>
            </w:pPr>
            <w:r>
              <w:t>收入总计</w:t>
            </w:r>
          </w:p>
        </w:tc>
        <w:tc>
          <w:tcPr>
            <w:tcW w:w="1474" w:type="dxa"/>
            <w:vAlign w:val="center"/>
          </w:tcPr>
          <w:p w14:paraId="23327127">
            <w:pPr>
              <w:pStyle w:val="16"/>
            </w:pPr>
            <w:r>
              <w:t>3178.44</w:t>
            </w:r>
          </w:p>
        </w:tc>
        <w:tc>
          <w:tcPr>
            <w:tcW w:w="3402" w:type="dxa"/>
            <w:vAlign w:val="center"/>
          </w:tcPr>
          <w:p w14:paraId="2FF24C3F">
            <w:pPr>
              <w:pStyle w:val="15"/>
            </w:pPr>
            <w:r>
              <w:t>支出总计</w:t>
            </w:r>
          </w:p>
        </w:tc>
        <w:tc>
          <w:tcPr>
            <w:tcW w:w="1474" w:type="dxa"/>
            <w:vAlign w:val="center"/>
          </w:tcPr>
          <w:p w14:paraId="371E2910">
            <w:pPr>
              <w:pStyle w:val="16"/>
            </w:pPr>
            <w:r>
              <w:t>3178.44</w:t>
            </w:r>
          </w:p>
        </w:tc>
        <w:tc>
          <w:tcPr>
            <w:tcW w:w="1474" w:type="dxa"/>
            <w:vAlign w:val="center"/>
          </w:tcPr>
          <w:p w14:paraId="4F630249">
            <w:pPr>
              <w:pStyle w:val="16"/>
            </w:pPr>
            <w:r>
              <w:t>3178.44</w:t>
            </w:r>
          </w:p>
        </w:tc>
        <w:tc>
          <w:tcPr>
            <w:tcW w:w="1474" w:type="dxa"/>
            <w:vAlign w:val="center"/>
          </w:tcPr>
          <w:p w14:paraId="6424C869">
            <w:pPr>
              <w:pStyle w:val="16"/>
            </w:pPr>
          </w:p>
        </w:tc>
        <w:tc>
          <w:tcPr>
            <w:tcW w:w="1474" w:type="dxa"/>
            <w:vAlign w:val="center"/>
          </w:tcPr>
          <w:p w14:paraId="47D0F6BC">
            <w:pPr>
              <w:pStyle w:val="16"/>
            </w:pPr>
          </w:p>
        </w:tc>
      </w:tr>
    </w:tbl>
    <w:p w14:paraId="601B14CF">
      <w:pPr>
        <w:sectPr>
          <w:pgSz w:w="16840" w:h="11900" w:orient="landscape"/>
          <w:pgMar w:top="1361" w:right="1020" w:bottom="1134" w:left="1020" w:header="720" w:footer="720" w:gutter="0"/>
          <w:cols w:space="720" w:num="1"/>
        </w:sectPr>
      </w:pPr>
    </w:p>
    <w:p w14:paraId="310219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E64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45225B">
            <w:pPr>
              <w:pStyle w:val="8"/>
            </w:pPr>
            <w:r>
              <w:t>360017隆尧县魏庄校区</w:t>
            </w:r>
          </w:p>
        </w:tc>
        <w:tc>
          <w:tcPr>
            <w:tcW w:w="2551" w:type="dxa"/>
            <w:tcBorders>
              <w:top w:val="single" w:color="FFFFFF" w:sz="6" w:space="0"/>
              <w:left w:val="single" w:color="FFFFFF" w:sz="6" w:space="0"/>
              <w:right w:val="single" w:color="FFFFFF" w:sz="6" w:space="0"/>
            </w:tcBorders>
            <w:vAlign w:val="center"/>
          </w:tcPr>
          <w:p w14:paraId="644C43C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6F104AB">
            <w:pPr>
              <w:pStyle w:val="10"/>
            </w:pPr>
            <w:r>
              <w:t>单位：万元</w:t>
            </w:r>
          </w:p>
        </w:tc>
      </w:tr>
      <w:tr w14:paraId="4B8A0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DD88F">
            <w:pPr>
              <w:pStyle w:val="11"/>
            </w:pPr>
            <w:r>
              <w:t>序号</w:t>
            </w:r>
          </w:p>
        </w:tc>
        <w:tc>
          <w:tcPr>
            <w:tcW w:w="5726" w:type="dxa"/>
            <w:gridSpan w:val="2"/>
            <w:vAlign w:val="center"/>
          </w:tcPr>
          <w:p w14:paraId="2AB4C3D2">
            <w:pPr>
              <w:pStyle w:val="11"/>
            </w:pPr>
            <w:r>
              <w:t>功能分类科目</w:t>
            </w:r>
          </w:p>
        </w:tc>
        <w:tc>
          <w:tcPr>
            <w:tcW w:w="2551" w:type="dxa"/>
            <w:vMerge w:val="restart"/>
            <w:vAlign w:val="center"/>
          </w:tcPr>
          <w:p w14:paraId="4C103753">
            <w:pPr>
              <w:pStyle w:val="11"/>
            </w:pPr>
            <w:r>
              <w:t>合计</w:t>
            </w:r>
          </w:p>
        </w:tc>
        <w:tc>
          <w:tcPr>
            <w:tcW w:w="2551" w:type="dxa"/>
            <w:vMerge w:val="restart"/>
            <w:vAlign w:val="center"/>
          </w:tcPr>
          <w:p w14:paraId="023BF0EB">
            <w:pPr>
              <w:pStyle w:val="11"/>
            </w:pPr>
            <w:r>
              <w:t>基本支出</w:t>
            </w:r>
          </w:p>
        </w:tc>
        <w:tc>
          <w:tcPr>
            <w:tcW w:w="2551" w:type="dxa"/>
            <w:vMerge w:val="restart"/>
            <w:vAlign w:val="center"/>
          </w:tcPr>
          <w:p w14:paraId="2CD1B4DD">
            <w:pPr>
              <w:pStyle w:val="11"/>
            </w:pPr>
            <w:r>
              <w:t>项目支出</w:t>
            </w:r>
          </w:p>
        </w:tc>
      </w:tr>
      <w:tr w14:paraId="3723D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ACCB2"/>
        </w:tc>
        <w:tc>
          <w:tcPr>
            <w:tcW w:w="1191" w:type="dxa"/>
            <w:vAlign w:val="center"/>
          </w:tcPr>
          <w:p w14:paraId="59759803">
            <w:pPr>
              <w:pStyle w:val="11"/>
            </w:pPr>
            <w:r>
              <w:t>科目编码</w:t>
            </w:r>
          </w:p>
        </w:tc>
        <w:tc>
          <w:tcPr>
            <w:tcW w:w="4535" w:type="dxa"/>
            <w:vAlign w:val="center"/>
          </w:tcPr>
          <w:p w14:paraId="18575D8E">
            <w:pPr>
              <w:pStyle w:val="11"/>
            </w:pPr>
            <w:r>
              <w:t>科目名称</w:t>
            </w:r>
          </w:p>
        </w:tc>
        <w:tc>
          <w:tcPr>
            <w:tcW w:w="2551" w:type="dxa"/>
            <w:vMerge w:val="continue"/>
          </w:tcPr>
          <w:p w14:paraId="75CF36DA"/>
        </w:tc>
        <w:tc>
          <w:tcPr>
            <w:tcW w:w="2551" w:type="dxa"/>
            <w:vMerge w:val="continue"/>
          </w:tcPr>
          <w:p w14:paraId="6C121D15"/>
        </w:tc>
        <w:tc>
          <w:tcPr>
            <w:tcW w:w="2551" w:type="dxa"/>
            <w:vMerge w:val="continue"/>
          </w:tcPr>
          <w:p w14:paraId="185B5220"/>
        </w:tc>
      </w:tr>
      <w:tr w14:paraId="12551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3DBC06">
            <w:pPr>
              <w:pStyle w:val="11"/>
            </w:pPr>
            <w:r>
              <w:t>栏次</w:t>
            </w:r>
          </w:p>
        </w:tc>
        <w:tc>
          <w:tcPr>
            <w:tcW w:w="1191" w:type="dxa"/>
            <w:vAlign w:val="center"/>
          </w:tcPr>
          <w:p w14:paraId="1B6B50F4">
            <w:pPr>
              <w:pStyle w:val="11"/>
            </w:pPr>
            <w:r>
              <w:t>1</w:t>
            </w:r>
          </w:p>
        </w:tc>
        <w:tc>
          <w:tcPr>
            <w:tcW w:w="4535" w:type="dxa"/>
            <w:vAlign w:val="center"/>
          </w:tcPr>
          <w:p w14:paraId="26516D07">
            <w:pPr>
              <w:pStyle w:val="11"/>
            </w:pPr>
            <w:r>
              <w:t>2</w:t>
            </w:r>
          </w:p>
        </w:tc>
        <w:tc>
          <w:tcPr>
            <w:tcW w:w="2551" w:type="dxa"/>
            <w:vAlign w:val="center"/>
          </w:tcPr>
          <w:p w14:paraId="066AC2EF">
            <w:pPr>
              <w:pStyle w:val="11"/>
            </w:pPr>
            <w:r>
              <w:t>3</w:t>
            </w:r>
          </w:p>
        </w:tc>
        <w:tc>
          <w:tcPr>
            <w:tcW w:w="2551" w:type="dxa"/>
            <w:vAlign w:val="center"/>
          </w:tcPr>
          <w:p w14:paraId="5CF7A4B8">
            <w:pPr>
              <w:pStyle w:val="11"/>
            </w:pPr>
            <w:r>
              <w:t>4</w:t>
            </w:r>
          </w:p>
        </w:tc>
        <w:tc>
          <w:tcPr>
            <w:tcW w:w="2551" w:type="dxa"/>
            <w:vAlign w:val="center"/>
          </w:tcPr>
          <w:p w14:paraId="4D705BF3">
            <w:pPr>
              <w:pStyle w:val="11"/>
            </w:pPr>
            <w:r>
              <w:t>5</w:t>
            </w:r>
          </w:p>
        </w:tc>
      </w:tr>
      <w:tr w14:paraId="741D3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7F0F0">
            <w:pPr>
              <w:pStyle w:val="12"/>
            </w:pPr>
            <w:r>
              <w:t>1</w:t>
            </w:r>
          </w:p>
        </w:tc>
        <w:tc>
          <w:tcPr>
            <w:tcW w:w="1191" w:type="dxa"/>
            <w:vAlign w:val="center"/>
          </w:tcPr>
          <w:p w14:paraId="3FEE6DFC">
            <w:pPr>
              <w:pStyle w:val="17"/>
            </w:pPr>
          </w:p>
        </w:tc>
        <w:tc>
          <w:tcPr>
            <w:tcW w:w="4535" w:type="dxa"/>
            <w:vAlign w:val="center"/>
          </w:tcPr>
          <w:p w14:paraId="2FDBFC1E">
            <w:pPr>
              <w:pStyle w:val="15"/>
            </w:pPr>
            <w:r>
              <w:t>合计</w:t>
            </w:r>
          </w:p>
        </w:tc>
        <w:tc>
          <w:tcPr>
            <w:tcW w:w="2551" w:type="dxa"/>
            <w:vAlign w:val="center"/>
          </w:tcPr>
          <w:p w14:paraId="51446879">
            <w:pPr>
              <w:pStyle w:val="16"/>
            </w:pPr>
            <w:r>
              <w:t>3178.44</w:t>
            </w:r>
          </w:p>
        </w:tc>
        <w:tc>
          <w:tcPr>
            <w:tcW w:w="2551" w:type="dxa"/>
            <w:vAlign w:val="center"/>
          </w:tcPr>
          <w:p w14:paraId="25821E19">
            <w:pPr>
              <w:pStyle w:val="16"/>
            </w:pPr>
            <w:r>
              <w:t>2148.65</w:t>
            </w:r>
          </w:p>
        </w:tc>
        <w:tc>
          <w:tcPr>
            <w:tcW w:w="2551" w:type="dxa"/>
            <w:vAlign w:val="center"/>
          </w:tcPr>
          <w:p w14:paraId="2DE33E06">
            <w:pPr>
              <w:pStyle w:val="16"/>
            </w:pPr>
            <w:r>
              <w:t>1029.80</w:t>
            </w:r>
          </w:p>
        </w:tc>
      </w:tr>
      <w:tr w14:paraId="03D2C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725FF">
            <w:pPr>
              <w:pStyle w:val="12"/>
            </w:pPr>
            <w:r>
              <w:t>2</w:t>
            </w:r>
          </w:p>
        </w:tc>
        <w:tc>
          <w:tcPr>
            <w:tcW w:w="1191" w:type="dxa"/>
            <w:vAlign w:val="center"/>
          </w:tcPr>
          <w:p w14:paraId="52E6499B">
            <w:pPr>
              <w:pStyle w:val="13"/>
            </w:pPr>
            <w:r>
              <w:t>205</w:t>
            </w:r>
          </w:p>
        </w:tc>
        <w:tc>
          <w:tcPr>
            <w:tcW w:w="4535" w:type="dxa"/>
            <w:vAlign w:val="center"/>
          </w:tcPr>
          <w:p w14:paraId="30F1A44E">
            <w:pPr>
              <w:pStyle w:val="13"/>
            </w:pPr>
            <w:r>
              <w:t>教育支出</w:t>
            </w:r>
          </w:p>
        </w:tc>
        <w:tc>
          <w:tcPr>
            <w:tcW w:w="2551" w:type="dxa"/>
            <w:vAlign w:val="center"/>
          </w:tcPr>
          <w:p w14:paraId="6D063480">
            <w:pPr>
              <w:pStyle w:val="14"/>
            </w:pPr>
            <w:r>
              <w:t>3178.44</w:t>
            </w:r>
          </w:p>
        </w:tc>
        <w:tc>
          <w:tcPr>
            <w:tcW w:w="2551" w:type="dxa"/>
            <w:vAlign w:val="center"/>
          </w:tcPr>
          <w:p w14:paraId="6AC90779">
            <w:pPr>
              <w:pStyle w:val="14"/>
            </w:pPr>
            <w:r>
              <w:t>2148.65</w:t>
            </w:r>
          </w:p>
        </w:tc>
        <w:tc>
          <w:tcPr>
            <w:tcW w:w="2551" w:type="dxa"/>
            <w:vAlign w:val="center"/>
          </w:tcPr>
          <w:p w14:paraId="12D56ED3">
            <w:pPr>
              <w:pStyle w:val="14"/>
            </w:pPr>
            <w:r>
              <w:t>1029.80</w:t>
            </w:r>
          </w:p>
        </w:tc>
      </w:tr>
      <w:tr w14:paraId="538C3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F8AF6">
            <w:pPr>
              <w:pStyle w:val="12"/>
            </w:pPr>
            <w:r>
              <w:t>3</w:t>
            </w:r>
          </w:p>
        </w:tc>
        <w:tc>
          <w:tcPr>
            <w:tcW w:w="1191" w:type="dxa"/>
            <w:vAlign w:val="center"/>
          </w:tcPr>
          <w:p w14:paraId="6232B9DF">
            <w:pPr>
              <w:pStyle w:val="13"/>
            </w:pPr>
            <w:r>
              <w:t>20502</w:t>
            </w:r>
          </w:p>
        </w:tc>
        <w:tc>
          <w:tcPr>
            <w:tcW w:w="4535" w:type="dxa"/>
            <w:vAlign w:val="center"/>
          </w:tcPr>
          <w:p w14:paraId="0B02CB14">
            <w:pPr>
              <w:pStyle w:val="13"/>
            </w:pPr>
            <w:r>
              <w:t>普通教育</w:t>
            </w:r>
          </w:p>
        </w:tc>
        <w:tc>
          <w:tcPr>
            <w:tcW w:w="2551" w:type="dxa"/>
            <w:vAlign w:val="center"/>
          </w:tcPr>
          <w:p w14:paraId="24CF6FD9">
            <w:pPr>
              <w:pStyle w:val="14"/>
            </w:pPr>
            <w:r>
              <w:t>3178.44</w:t>
            </w:r>
          </w:p>
        </w:tc>
        <w:tc>
          <w:tcPr>
            <w:tcW w:w="2551" w:type="dxa"/>
            <w:vAlign w:val="center"/>
          </w:tcPr>
          <w:p w14:paraId="10C25516">
            <w:pPr>
              <w:pStyle w:val="14"/>
            </w:pPr>
            <w:r>
              <w:t>2148.65</w:t>
            </w:r>
          </w:p>
        </w:tc>
        <w:tc>
          <w:tcPr>
            <w:tcW w:w="2551" w:type="dxa"/>
            <w:vAlign w:val="center"/>
          </w:tcPr>
          <w:p w14:paraId="2C6386C7">
            <w:pPr>
              <w:pStyle w:val="14"/>
            </w:pPr>
            <w:r>
              <w:t>1029.80</w:t>
            </w:r>
          </w:p>
        </w:tc>
      </w:tr>
      <w:tr w14:paraId="6A95D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6621F">
            <w:pPr>
              <w:pStyle w:val="12"/>
            </w:pPr>
            <w:r>
              <w:t>4</w:t>
            </w:r>
          </w:p>
        </w:tc>
        <w:tc>
          <w:tcPr>
            <w:tcW w:w="1191" w:type="dxa"/>
            <w:vAlign w:val="center"/>
          </w:tcPr>
          <w:p w14:paraId="5BAD3EC0">
            <w:pPr>
              <w:pStyle w:val="13"/>
            </w:pPr>
            <w:r>
              <w:t>2050201</w:t>
            </w:r>
          </w:p>
        </w:tc>
        <w:tc>
          <w:tcPr>
            <w:tcW w:w="4535" w:type="dxa"/>
            <w:vAlign w:val="center"/>
          </w:tcPr>
          <w:p w14:paraId="493E5B4D">
            <w:pPr>
              <w:pStyle w:val="13"/>
            </w:pPr>
            <w:r>
              <w:t>学前教育</w:t>
            </w:r>
          </w:p>
        </w:tc>
        <w:tc>
          <w:tcPr>
            <w:tcW w:w="2551" w:type="dxa"/>
            <w:vAlign w:val="center"/>
          </w:tcPr>
          <w:p w14:paraId="2176BF1F">
            <w:pPr>
              <w:pStyle w:val="14"/>
            </w:pPr>
            <w:r>
              <w:t>23.10</w:t>
            </w:r>
          </w:p>
        </w:tc>
        <w:tc>
          <w:tcPr>
            <w:tcW w:w="2551" w:type="dxa"/>
            <w:vAlign w:val="center"/>
          </w:tcPr>
          <w:p w14:paraId="6F8B4929">
            <w:pPr>
              <w:pStyle w:val="14"/>
            </w:pPr>
          </w:p>
        </w:tc>
        <w:tc>
          <w:tcPr>
            <w:tcW w:w="2551" w:type="dxa"/>
            <w:vAlign w:val="center"/>
          </w:tcPr>
          <w:p w14:paraId="5F2FDAF6">
            <w:pPr>
              <w:pStyle w:val="14"/>
            </w:pPr>
            <w:r>
              <w:t>23.10</w:t>
            </w:r>
          </w:p>
        </w:tc>
      </w:tr>
      <w:tr w14:paraId="349F6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6147B">
            <w:pPr>
              <w:pStyle w:val="12"/>
            </w:pPr>
            <w:r>
              <w:t>5</w:t>
            </w:r>
          </w:p>
        </w:tc>
        <w:tc>
          <w:tcPr>
            <w:tcW w:w="1191" w:type="dxa"/>
            <w:vAlign w:val="center"/>
          </w:tcPr>
          <w:p w14:paraId="1C0DFA74">
            <w:pPr>
              <w:pStyle w:val="13"/>
            </w:pPr>
            <w:r>
              <w:t>2050202</w:t>
            </w:r>
          </w:p>
        </w:tc>
        <w:tc>
          <w:tcPr>
            <w:tcW w:w="4535" w:type="dxa"/>
            <w:vAlign w:val="center"/>
          </w:tcPr>
          <w:p w14:paraId="0A16932D">
            <w:pPr>
              <w:pStyle w:val="13"/>
            </w:pPr>
            <w:r>
              <w:t>小学教育</w:t>
            </w:r>
          </w:p>
        </w:tc>
        <w:tc>
          <w:tcPr>
            <w:tcW w:w="2551" w:type="dxa"/>
            <w:vAlign w:val="center"/>
          </w:tcPr>
          <w:p w14:paraId="18156FA1">
            <w:pPr>
              <w:pStyle w:val="14"/>
            </w:pPr>
            <w:r>
              <w:t>3155.34</w:t>
            </w:r>
          </w:p>
        </w:tc>
        <w:tc>
          <w:tcPr>
            <w:tcW w:w="2551" w:type="dxa"/>
            <w:vAlign w:val="center"/>
          </w:tcPr>
          <w:p w14:paraId="49E7430F">
            <w:pPr>
              <w:pStyle w:val="14"/>
            </w:pPr>
            <w:r>
              <w:t>2148.65</w:t>
            </w:r>
          </w:p>
        </w:tc>
        <w:tc>
          <w:tcPr>
            <w:tcW w:w="2551" w:type="dxa"/>
            <w:vAlign w:val="center"/>
          </w:tcPr>
          <w:p w14:paraId="773663D9">
            <w:pPr>
              <w:pStyle w:val="14"/>
            </w:pPr>
            <w:r>
              <w:t>1006.70</w:t>
            </w:r>
          </w:p>
        </w:tc>
      </w:tr>
    </w:tbl>
    <w:p w14:paraId="5080AEB5">
      <w:pPr>
        <w:sectPr>
          <w:pgSz w:w="16840" w:h="11900" w:orient="landscape"/>
          <w:pgMar w:top="1361" w:right="1020" w:bottom="1134" w:left="1020" w:header="720" w:footer="720" w:gutter="0"/>
          <w:cols w:space="720" w:num="1"/>
        </w:sectPr>
      </w:pPr>
    </w:p>
    <w:p w14:paraId="5E473B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46F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4557CD">
            <w:pPr>
              <w:pStyle w:val="8"/>
            </w:pPr>
            <w:r>
              <w:t>360017隆尧县魏庄校区</w:t>
            </w:r>
          </w:p>
        </w:tc>
        <w:tc>
          <w:tcPr>
            <w:tcW w:w="2551" w:type="dxa"/>
            <w:tcBorders>
              <w:top w:val="single" w:color="FFFFFF" w:sz="6" w:space="0"/>
              <w:left w:val="single" w:color="FFFFFF" w:sz="6" w:space="0"/>
              <w:right w:val="single" w:color="FFFFFF" w:sz="6" w:space="0"/>
            </w:tcBorders>
            <w:vAlign w:val="center"/>
          </w:tcPr>
          <w:p w14:paraId="753DB1A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C29E03F">
            <w:pPr>
              <w:pStyle w:val="10"/>
            </w:pPr>
            <w:r>
              <w:t>单位：万元</w:t>
            </w:r>
          </w:p>
        </w:tc>
      </w:tr>
      <w:tr w14:paraId="416D3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6B524C0B">
            <w:pPr>
              <w:pStyle w:val="11"/>
            </w:pPr>
            <w:r>
              <w:t>序号</w:t>
            </w:r>
          </w:p>
        </w:tc>
        <w:tc>
          <w:tcPr>
            <w:tcW w:w="5726" w:type="dxa"/>
            <w:gridSpan w:val="2"/>
            <w:vAlign w:val="center"/>
          </w:tcPr>
          <w:p w14:paraId="5ED967C8">
            <w:pPr>
              <w:pStyle w:val="11"/>
            </w:pPr>
            <w:r>
              <w:t>支出部门经济分类科目</w:t>
            </w:r>
          </w:p>
        </w:tc>
        <w:tc>
          <w:tcPr>
            <w:tcW w:w="7653" w:type="dxa"/>
            <w:gridSpan w:val="3"/>
            <w:vAlign w:val="center"/>
          </w:tcPr>
          <w:p w14:paraId="150145CF">
            <w:pPr>
              <w:pStyle w:val="11"/>
            </w:pPr>
            <w:r>
              <w:t>一般公共预算基本支出</w:t>
            </w:r>
          </w:p>
        </w:tc>
      </w:tr>
      <w:tr w14:paraId="1DCE9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5DCE7"/>
        </w:tc>
        <w:tc>
          <w:tcPr>
            <w:tcW w:w="1191" w:type="dxa"/>
            <w:vAlign w:val="center"/>
          </w:tcPr>
          <w:p w14:paraId="72E52045">
            <w:pPr>
              <w:pStyle w:val="11"/>
            </w:pPr>
            <w:r>
              <w:t>科目编码</w:t>
            </w:r>
          </w:p>
        </w:tc>
        <w:tc>
          <w:tcPr>
            <w:tcW w:w="4535" w:type="dxa"/>
            <w:vAlign w:val="center"/>
          </w:tcPr>
          <w:p w14:paraId="2771EC60">
            <w:pPr>
              <w:pStyle w:val="11"/>
            </w:pPr>
            <w:r>
              <w:t>科目名称</w:t>
            </w:r>
          </w:p>
        </w:tc>
        <w:tc>
          <w:tcPr>
            <w:tcW w:w="2551" w:type="dxa"/>
            <w:vAlign w:val="center"/>
          </w:tcPr>
          <w:p w14:paraId="67564BEC">
            <w:pPr>
              <w:pStyle w:val="11"/>
            </w:pPr>
            <w:r>
              <w:t>合计</w:t>
            </w:r>
          </w:p>
        </w:tc>
        <w:tc>
          <w:tcPr>
            <w:tcW w:w="2551" w:type="dxa"/>
            <w:vAlign w:val="center"/>
          </w:tcPr>
          <w:p w14:paraId="65F388B9">
            <w:pPr>
              <w:pStyle w:val="11"/>
            </w:pPr>
            <w:r>
              <w:t>人员经费</w:t>
            </w:r>
          </w:p>
        </w:tc>
        <w:tc>
          <w:tcPr>
            <w:tcW w:w="2551" w:type="dxa"/>
            <w:vAlign w:val="center"/>
          </w:tcPr>
          <w:p w14:paraId="14E11A47">
            <w:pPr>
              <w:pStyle w:val="11"/>
            </w:pPr>
            <w:r>
              <w:t>公用经费</w:t>
            </w:r>
          </w:p>
        </w:tc>
      </w:tr>
      <w:tr w14:paraId="75D5F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D121C9">
            <w:pPr>
              <w:pStyle w:val="11"/>
            </w:pPr>
            <w:r>
              <w:t>栏次</w:t>
            </w:r>
          </w:p>
        </w:tc>
        <w:tc>
          <w:tcPr>
            <w:tcW w:w="1191" w:type="dxa"/>
            <w:vAlign w:val="center"/>
          </w:tcPr>
          <w:p w14:paraId="38920082">
            <w:pPr>
              <w:pStyle w:val="11"/>
            </w:pPr>
            <w:r>
              <w:t>1</w:t>
            </w:r>
          </w:p>
        </w:tc>
        <w:tc>
          <w:tcPr>
            <w:tcW w:w="4535" w:type="dxa"/>
            <w:vAlign w:val="center"/>
          </w:tcPr>
          <w:p w14:paraId="54D96914">
            <w:pPr>
              <w:pStyle w:val="11"/>
            </w:pPr>
            <w:r>
              <w:t>2</w:t>
            </w:r>
          </w:p>
        </w:tc>
        <w:tc>
          <w:tcPr>
            <w:tcW w:w="2551" w:type="dxa"/>
            <w:vAlign w:val="center"/>
          </w:tcPr>
          <w:p w14:paraId="43A17E6F">
            <w:pPr>
              <w:pStyle w:val="11"/>
            </w:pPr>
            <w:r>
              <w:t>3</w:t>
            </w:r>
          </w:p>
        </w:tc>
        <w:tc>
          <w:tcPr>
            <w:tcW w:w="2551" w:type="dxa"/>
            <w:vAlign w:val="center"/>
          </w:tcPr>
          <w:p w14:paraId="209787CE">
            <w:pPr>
              <w:pStyle w:val="11"/>
            </w:pPr>
            <w:r>
              <w:t>4</w:t>
            </w:r>
          </w:p>
        </w:tc>
        <w:tc>
          <w:tcPr>
            <w:tcW w:w="2551" w:type="dxa"/>
            <w:vAlign w:val="center"/>
          </w:tcPr>
          <w:p w14:paraId="5A22CCB9">
            <w:pPr>
              <w:pStyle w:val="11"/>
            </w:pPr>
            <w:r>
              <w:t>5</w:t>
            </w:r>
          </w:p>
        </w:tc>
      </w:tr>
      <w:tr w14:paraId="12800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41E04">
            <w:pPr>
              <w:pStyle w:val="12"/>
            </w:pPr>
            <w:r>
              <w:t>1</w:t>
            </w:r>
          </w:p>
        </w:tc>
        <w:tc>
          <w:tcPr>
            <w:tcW w:w="1191" w:type="dxa"/>
            <w:vAlign w:val="center"/>
          </w:tcPr>
          <w:p w14:paraId="0F166A75">
            <w:pPr>
              <w:pStyle w:val="17"/>
            </w:pPr>
          </w:p>
        </w:tc>
        <w:tc>
          <w:tcPr>
            <w:tcW w:w="4535" w:type="dxa"/>
            <w:vAlign w:val="center"/>
          </w:tcPr>
          <w:p w14:paraId="0C40B539">
            <w:pPr>
              <w:pStyle w:val="15"/>
            </w:pPr>
            <w:r>
              <w:t>合计</w:t>
            </w:r>
          </w:p>
        </w:tc>
        <w:tc>
          <w:tcPr>
            <w:tcW w:w="2551" w:type="dxa"/>
            <w:vAlign w:val="center"/>
          </w:tcPr>
          <w:p w14:paraId="20A74537">
            <w:pPr>
              <w:pStyle w:val="16"/>
            </w:pPr>
            <w:r>
              <w:t>2148.65</w:t>
            </w:r>
          </w:p>
        </w:tc>
        <w:tc>
          <w:tcPr>
            <w:tcW w:w="2551" w:type="dxa"/>
            <w:vAlign w:val="center"/>
          </w:tcPr>
          <w:p w14:paraId="37FCEA84">
            <w:pPr>
              <w:pStyle w:val="16"/>
            </w:pPr>
            <w:r>
              <w:t>2148.65</w:t>
            </w:r>
          </w:p>
        </w:tc>
        <w:tc>
          <w:tcPr>
            <w:tcW w:w="2551" w:type="dxa"/>
            <w:vAlign w:val="center"/>
          </w:tcPr>
          <w:p w14:paraId="228E46FE">
            <w:pPr>
              <w:pStyle w:val="16"/>
            </w:pPr>
          </w:p>
        </w:tc>
      </w:tr>
      <w:tr w14:paraId="3D5A9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BEF3D02">
            <w:pPr>
              <w:pStyle w:val="12"/>
            </w:pPr>
            <w:r>
              <w:t>2</w:t>
            </w:r>
          </w:p>
        </w:tc>
        <w:tc>
          <w:tcPr>
            <w:tcW w:w="1191" w:type="dxa"/>
            <w:vAlign w:val="center"/>
          </w:tcPr>
          <w:p w14:paraId="429755B5">
            <w:pPr>
              <w:pStyle w:val="13"/>
            </w:pPr>
            <w:r>
              <w:t>301</w:t>
            </w:r>
          </w:p>
        </w:tc>
        <w:tc>
          <w:tcPr>
            <w:tcW w:w="4535" w:type="dxa"/>
            <w:vAlign w:val="center"/>
          </w:tcPr>
          <w:p w14:paraId="6FFF00AB">
            <w:pPr>
              <w:pStyle w:val="13"/>
            </w:pPr>
            <w:r>
              <w:t>工资福利支出</w:t>
            </w:r>
          </w:p>
        </w:tc>
        <w:tc>
          <w:tcPr>
            <w:tcW w:w="2551" w:type="dxa"/>
            <w:vAlign w:val="center"/>
          </w:tcPr>
          <w:p w14:paraId="68218F2F">
            <w:pPr>
              <w:pStyle w:val="14"/>
            </w:pPr>
            <w:r>
              <w:t>2004.14</w:t>
            </w:r>
          </w:p>
        </w:tc>
        <w:tc>
          <w:tcPr>
            <w:tcW w:w="2551" w:type="dxa"/>
            <w:vAlign w:val="center"/>
          </w:tcPr>
          <w:p w14:paraId="1B30ACED">
            <w:pPr>
              <w:pStyle w:val="14"/>
            </w:pPr>
            <w:r>
              <w:t>2004.14</w:t>
            </w:r>
          </w:p>
        </w:tc>
        <w:tc>
          <w:tcPr>
            <w:tcW w:w="2551" w:type="dxa"/>
            <w:vAlign w:val="center"/>
          </w:tcPr>
          <w:p w14:paraId="77C644E4">
            <w:pPr>
              <w:pStyle w:val="14"/>
            </w:pPr>
          </w:p>
        </w:tc>
      </w:tr>
      <w:tr w14:paraId="22FAB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CC118">
            <w:pPr>
              <w:pStyle w:val="12"/>
            </w:pPr>
            <w:r>
              <w:t>3</w:t>
            </w:r>
          </w:p>
        </w:tc>
        <w:tc>
          <w:tcPr>
            <w:tcW w:w="1191" w:type="dxa"/>
            <w:vAlign w:val="center"/>
          </w:tcPr>
          <w:p w14:paraId="0F434B46">
            <w:pPr>
              <w:pStyle w:val="13"/>
            </w:pPr>
            <w:r>
              <w:t>30101</w:t>
            </w:r>
          </w:p>
        </w:tc>
        <w:tc>
          <w:tcPr>
            <w:tcW w:w="4535" w:type="dxa"/>
            <w:vAlign w:val="center"/>
          </w:tcPr>
          <w:p w14:paraId="49793C46">
            <w:pPr>
              <w:pStyle w:val="13"/>
            </w:pPr>
            <w:r>
              <w:t>基本工资</w:t>
            </w:r>
          </w:p>
        </w:tc>
        <w:tc>
          <w:tcPr>
            <w:tcW w:w="2551" w:type="dxa"/>
            <w:vAlign w:val="center"/>
          </w:tcPr>
          <w:p w14:paraId="33D9F551">
            <w:pPr>
              <w:pStyle w:val="14"/>
            </w:pPr>
            <w:r>
              <w:t>925.09</w:t>
            </w:r>
          </w:p>
        </w:tc>
        <w:tc>
          <w:tcPr>
            <w:tcW w:w="2551" w:type="dxa"/>
            <w:vAlign w:val="center"/>
          </w:tcPr>
          <w:p w14:paraId="48960AD4">
            <w:pPr>
              <w:pStyle w:val="14"/>
            </w:pPr>
            <w:r>
              <w:t>925.09</w:t>
            </w:r>
          </w:p>
        </w:tc>
        <w:tc>
          <w:tcPr>
            <w:tcW w:w="2551" w:type="dxa"/>
            <w:vAlign w:val="center"/>
          </w:tcPr>
          <w:p w14:paraId="799AFF93">
            <w:pPr>
              <w:pStyle w:val="14"/>
            </w:pPr>
          </w:p>
        </w:tc>
      </w:tr>
      <w:tr w14:paraId="1ED9C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386E488">
            <w:pPr>
              <w:pStyle w:val="12"/>
            </w:pPr>
            <w:r>
              <w:t>4</w:t>
            </w:r>
          </w:p>
        </w:tc>
        <w:tc>
          <w:tcPr>
            <w:tcW w:w="1191" w:type="dxa"/>
            <w:vAlign w:val="center"/>
          </w:tcPr>
          <w:p w14:paraId="62F06263">
            <w:pPr>
              <w:pStyle w:val="13"/>
            </w:pPr>
            <w:r>
              <w:t>30102</w:t>
            </w:r>
          </w:p>
        </w:tc>
        <w:tc>
          <w:tcPr>
            <w:tcW w:w="4535" w:type="dxa"/>
            <w:vAlign w:val="center"/>
          </w:tcPr>
          <w:p w14:paraId="44E9F50E">
            <w:pPr>
              <w:pStyle w:val="13"/>
            </w:pPr>
            <w:r>
              <w:t>津贴补贴</w:t>
            </w:r>
          </w:p>
        </w:tc>
        <w:tc>
          <w:tcPr>
            <w:tcW w:w="2551" w:type="dxa"/>
            <w:vAlign w:val="center"/>
          </w:tcPr>
          <w:p w14:paraId="79ECE7C8">
            <w:pPr>
              <w:pStyle w:val="14"/>
            </w:pPr>
            <w:r>
              <w:t>88.09</w:t>
            </w:r>
          </w:p>
        </w:tc>
        <w:tc>
          <w:tcPr>
            <w:tcW w:w="2551" w:type="dxa"/>
            <w:vAlign w:val="center"/>
          </w:tcPr>
          <w:p w14:paraId="37012D64">
            <w:pPr>
              <w:pStyle w:val="14"/>
            </w:pPr>
            <w:r>
              <w:t>88.09</w:t>
            </w:r>
          </w:p>
        </w:tc>
        <w:tc>
          <w:tcPr>
            <w:tcW w:w="2551" w:type="dxa"/>
            <w:vAlign w:val="center"/>
          </w:tcPr>
          <w:p w14:paraId="12FEF4FF">
            <w:pPr>
              <w:pStyle w:val="14"/>
            </w:pPr>
          </w:p>
        </w:tc>
      </w:tr>
      <w:tr w14:paraId="6A962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D8684">
            <w:pPr>
              <w:pStyle w:val="12"/>
            </w:pPr>
            <w:r>
              <w:t>5</w:t>
            </w:r>
          </w:p>
        </w:tc>
        <w:tc>
          <w:tcPr>
            <w:tcW w:w="1191" w:type="dxa"/>
            <w:vAlign w:val="center"/>
          </w:tcPr>
          <w:p w14:paraId="4AB1C61C">
            <w:pPr>
              <w:pStyle w:val="13"/>
            </w:pPr>
            <w:r>
              <w:t>30107</w:t>
            </w:r>
          </w:p>
        </w:tc>
        <w:tc>
          <w:tcPr>
            <w:tcW w:w="4535" w:type="dxa"/>
            <w:vAlign w:val="center"/>
          </w:tcPr>
          <w:p w14:paraId="415F2FB4">
            <w:pPr>
              <w:pStyle w:val="13"/>
            </w:pPr>
            <w:r>
              <w:t>绩效工资</w:t>
            </w:r>
          </w:p>
        </w:tc>
        <w:tc>
          <w:tcPr>
            <w:tcW w:w="2551" w:type="dxa"/>
            <w:vAlign w:val="center"/>
          </w:tcPr>
          <w:p w14:paraId="2A2A3742">
            <w:pPr>
              <w:pStyle w:val="14"/>
            </w:pPr>
            <w:r>
              <w:t>531.29</w:t>
            </w:r>
          </w:p>
        </w:tc>
        <w:tc>
          <w:tcPr>
            <w:tcW w:w="2551" w:type="dxa"/>
            <w:vAlign w:val="center"/>
          </w:tcPr>
          <w:p w14:paraId="037355D7">
            <w:pPr>
              <w:pStyle w:val="14"/>
            </w:pPr>
            <w:r>
              <w:t>531.29</w:t>
            </w:r>
          </w:p>
        </w:tc>
        <w:tc>
          <w:tcPr>
            <w:tcW w:w="2551" w:type="dxa"/>
            <w:vAlign w:val="center"/>
          </w:tcPr>
          <w:p w14:paraId="54661EF1">
            <w:pPr>
              <w:pStyle w:val="14"/>
            </w:pPr>
          </w:p>
        </w:tc>
      </w:tr>
      <w:tr w14:paraId="398DB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E590B">
            <w:pPr>
              <w:pStyle w:val="12"/>
            </w:pPr>
            <w:r>
              <w:t>6</w:t>
            </w:r>
          </w:p>
        </w:tc>
        <w:tc>
          <w:tcPr>
            <w:tcW w:w="1191" w:type="dxa"/>
            <w:vAlign w:val="center"/>
          </w:tcPr>
          <w:p w14:paraId="02C39D63">
            <w:pPr>
              <w:pStyle w:val="13"/>
            </w:pPr>
            <w:r>
              <w:t>30108</w:t>
            </w:r>
          </w:p>
        </w:tc>
        <w:tc>
          <w:tcPr>
            <w:tcW w:w="4535" w:type="dxa"/>
            <w:vAlign w:val="center"/>
          </w:tcPr>
          <w:p w14:paraId="012921E1">
            <w:pPr>
              <w:pStyle w:val="13"/>
            </w:pPr>
            <w:r>
              <w:t>机关事业单位基本养老保险缴费</w:t>
            </w:r>
          </w:p>
        </w:tc>
        <w:tc>
          <w:tcPr>
            <w:tcW w:w="2551" w:type="dxa"/>
            <w:vAlign w:val="center"/>
          </w:tcPr>
          <w:p w14:paraId="28C99FAF">
            <w:pPr>
              <w:pStyle w:val="14"/>
            </w:pPr>
            <w:r>
              <w:t>227.71</w:t>
            </w:r>
          </w:p>
        </w:tc>
        <w:tc>
          <w:tcPr>
            <w:tcW w:w="2551" w:type="dxa"/>
            <w:vAlign w:val="center"/>
          </w:tcPr>
          <w:p w14:paraId="12D57E14">
            <w:pPr>
              <w:pStyle w:val="14"/>
            </w:pPr>
            <w:r>
              <w:t>227.71</w:t>
            </w:r>
          </w:p>
        </w:tc>
        <w:tc>
          <w:tcPr>
            <w:tcW w:w="2551" w:type="dxa"/>
            <w:vAlign w:val="center"/>
          </w:tcPr>
          <w:p w14:paraId="6D37A5BD">
            <w:pPr>
              <w:pStyle w:val="14"/>
            </w:pPr>
          </w:p>
        </w:tc>
      </w:tr>
      <w:tr w14:paraId="347FC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BE4C7">
            <w:pPr>
              <w:pStyle w:val="12"/>
            </w:pPr>
            <w:r>
              <w:t>7</w:t>
            </w:r>
          </w:p>
        </w:tc>
        <w:tc>
          <w:tcPr>
            <w:tcW w:w="1191" w:type="dxa"/>
            <w:vAlign w:val="center"/>
          </w:tcPr>
          <w:p w14:paraId="1A3C93F3">
            <w:pPr>
              <w:pStyle w:val="13"/>
            </w:pPr>
            <w:r>
              <w:t>30110</w:t>
            </w:r>
          </w:p>
        </w:tc>
        <w:tc>
          <w:tcPr>
            <w:tcW w:w="4535" w:type="dxa"/>
            <w:vAlign w:val="center"/>
          </w:tcPr>
          <w:p w14:paraId="57317E27">
            <w:pPr>
              <w:pStyle w:val="13"/>
            </w:pPr>
            <w:r>
              <w:t>职工基本医疗保险缴费</w:t>
            </w:r>
          </w:p>
        </w:tc>
        <w:tc>
          <w:tcPr>
            <w:tcW w:w="2551" w:type="dxa"/>
            <w:vAlign w:val="center"/>
          </w:tcPr>
          <w:p w14:paraId="2516EE6F">
            <w:pPr>
              <w:pStyle w:val="14"/>
            </w:pPr>
            <w:r>
              <w:t>84.93</w:t>
            </w:r>
          </w:p>
        </w:tc>
        <w:tc>
          <w:tcPr>
            <w:tcW w:w="2551" w:type="dxa"/>
            <w:vAlign w:val="center"/>
          </w:tcPr>
          <w:p w14:paraId="57C3048D">
            <w:pPr>
              <w:pStyle w:val="14"/>
            </w:pPr>
            <w:r>
              <w:t>84.93</w:t>
            </w:r>
          </w:p>
        </w:tc>
        <w:tc>
          <w:tcPr>
            <w:tcW w:w="2551" w:type="dxa"/>
            <w:vAlign w:val="center"/>
          </w:tcPr>
          <w:p w14:paraId="2D6D0E06">
            <w:pPr>
              <w:pStyle w:val="14"/>
            </w:pPr>
          </w:p>
        </w:tc>
      </w:tr>
      <w:tr w14:paraId="6DF6E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2B3D3">
            <w:pPr>
              <w:pStyle w:val="12"/>
            </w:pPr>
            <w:r>
              <w:t>8</w:t>
            </w:r>
          </w:p>
        </w:tc>
        <w:tc>
          <w:tcPr>
            <w:tcW w:w="1191" w:type="dxa"/>
            <w:vAlign w:val="center"/>
          </w:tcPr>
          <w:p w14:paraId="5A18D3BC">
            <w:pPr>
              <w:pStyle w:val="13"/>
            </w:pPr>
            <w:r>
              <w:t>30112</w:t>
            </w:r>
          </w:p>
        </w:tc>
        <w:tc>
          <w:tcPr>
            <w:tcW w:w="4535" w:type="dxa"/>
            <w:vAlign w:val="center"/>
          </w:tcPr>
          <w:p w14:paraId="3812BF84">
            <w:pPr>
              <w:pStyle w:val="13"/>
            </w:pPr>
            <w:r>
              <w:t>其他社会保障缴费</w:t>
            </w:r>
          </w:p>
        </w:tc>
        <w:tc>
          <w:tcPr>
            <w:tcW w:w="2551" w:type="dxa"/>
            <w:vAlign w:val="center"/>
          </w:tcPr>
          <w:p w14:paraId="08B3B3F2">
            <w:pPr>
              <w:pStyle w:val="14"/>
            </w:pPr>
            <w:r>
              <w:t>5.08</w:t>
            </w:r>
          </w:p>
        </w:tc>
        <w:tc>
          <w:tcPr>
            <w:tcW w:w="2551" w:type="dxa"/>
            <w:vAlign w:val="center"/>
          </w:tcPr>
          <w:p w14:paraId="2CB7DD80">
            <w:pPr>
              <w:pStyle w:val="14"/>
            </w:pPr>
            <w:r>
              <w:t>5.08</w:t>
            </w:r>
          </w:p>
        </w:tc>
        <w:tc>
          <w:tcPr>
            <w:tcW w:w="2551" w:type="dxa"/>
            <w:vAlign w:val="center"/>
          </w:tcPr>
          <w:p w14:paraId="59D4925B">
            <w:pPr>
              <w:pStyle w:val="14"/>
            </w:pPr>
          </w:p>
        </w:tc>
      </w:tr>
      <w:tr w14:paraId="0DCF2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3412A">
            <w:pPr>
              <w:pStyle w:val="12"/>
            </w:pPr>
            <w:r>
              <w:t>9</w:t>
            </w:r>
          </w:p>
        </w:tc>
        <w:tc>
          <w:tcPr>
            <w:tcW w:w="1191" w:type="dxa"/>
            <w:vAlign w:val="center"/>
          </w:tcPr>
          <w:p w14:paraId="69FAA420">
            <w:pPr>
              <w:pStyle w:val="13"/>
            </w:pPr>
            <w:r>
              <w:t>30113</w:t>
            </w:r>
          </w:p>
        </w:tc>
        <w:tc>
          <w:tcPr>
            <w:tcW w:w="4535" w:type="dxa"/>
            <w:vAlign w:val="center"/>
          </w:tcPr>
          <w:p w14:paraId="31E45F9F">
            <w:pPr>
              <w:pStyle w:val="13"/>
            </w:pPr>
            <w:r>
              <w:t>住房公积金</w:t>
            </w:r>
          </w:p>
        </w:tc>
        <w:tc>
          <w:tcPr>
            <w:tcW w:w="2551" w:type="dxa"/>
            <w:vAlign w:val="center"/>
          </w:tcPr>
          <w:p w14:paraId="56C33DFD">
            <w:pPr>
              <w:pStyle w:val="14"/>
            </w:pPr>
            <w:r>
              <w:t>141.95</w:t>
            </w:r>
          </w:p>
        </w:tc>
        <w:tc>
          <w:tcPr>
            <w:tcW w:w="2551" w:type="dxa"/>
            <w:vAlign w:val="center"/>
          </w:tcPr>
          <w:p w14:paraId="6E4DFD5F">
            <w:pPr>
              <w:pStyle w:val="14"/>
            </w:pPr>
            <w:r>
              <w:t>141.95</w:t>
            </w:r>
          </w:p>
        </w:tc>
        <w:tc>
          <w:tcPr>
            <w:tcW w:w="2551" w:type="dxa"/>
            <w:vAlign w:val="center"/>
          </w:tcPr>
          <w:p w14:paraId="20C6B88D">
            <w:pPr>
              <w:pStyle w:val="14"/>
            </w:pPr>
          </w:p>
        </w:tc>
      </w:tr>
      <w:tr w14:paraId="44C6C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D12D6">
            <w:pPr>
              <w:pStyle w:val="12"/>
            </w:pPr>
            <w:r>
              <w:t>10</w:t>
            </w:r>
          </w:p>
        </w:tc>
        <w:tc>
          <w:tcPr>
            <w:tcW w:w="1191" w:type="dxa"/>
            <w:vAlign w:val="center"/>
          </w:tcPr>
          <w:p w14:paraId="5F7C60DF">
            <w:pPr>
              <w:pStyle w:val="13"/>
            </w:pPr>
            <w:r>
              <w:t>303</w:t>
            </w:r>
          </w:p>
        </w:tc>
        <w:tc>
          <w:tcPr>
            <w:tcW w:w="4535" w:type="dxa"/>
            <w:vAlign w:val="center"/>
          </w:tcPr>
          <w:p w14:paraId="7CAE6281">
            <w:pPr>
              <w:pStyle w:val="13"/>
            </w:pPr>
            <w:r>
              <w:t>对个人和家庭的补助</w:t>
            </w:r>
          </w:p>
        </w:tc>
        <w:tc>
          <w:tcPr>
            <w:tcW w:w="2551" w:type="dxa"/>
            <w:vAlign w:val="center"/>
          </w:tcPr>
          <w:p w14:paraId="7696E0AC">
            <w:pPr>
              <w:pStyle w:val="14"/>
            </w:pPr>
            <w:r>
              <w:t>144.51</w:t>
            </w:r>
          </w:p>
        </w:tc>
        <w:tc>
          <w:tcPr>
            <w:tcW w:w="2551" w:type="dxa"/>
            <w:vAlign w:val="center"/>
          </w:tcPr>
          <w:p w14:paraId="5CBB7A24">
            <w:pPr>
              <w:pStyle w:val="14"/>
            </w:pPr>
            <w:r>
              <w:t>144.51</w:t>
            </w:r>
          </w:p>
        </w:tc>
        <w:tc>
          <w:tcPr>
            <w:tcW w:w="2551" w:type="dxa"/>
            <w:vAlign w:val="center"/>
          </w:tcPr>
          <w:p w14:paraId="6112E46E">
            <w:pPr>
              <w:pStyle w:val="14"/>
            </w:pPr>
          </w:p>
        </w:tc>
      </w:tr>
      <w:tr w14:paraId="7EEAD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7A863">
            <w:pPr>
              <w:pStyle w:val="12"/>
            </w:pPr>
            <w:r>
              <w:t>11</w:t>
            </w:r>
          </w:p>
        </w:tc>
        <w:tc>
          <w:tcPr>
            <w:tcW w:w="1191" w:type="dxa"/>
            <w:vAlign w:val="center"/>
          </w:tcPr>
          <w:p w14:paraId="67B3F4E0">
            <w:pPr>
              <w:pStyle w:val="13"/>
            </w:pPr>
            <w:r>
              <w:t>30302</w:t>
            </w:r>
          </w:p>
        </w:tc>
        <w:tc>
          <w:tcPr>
            <w:tcW w:w="4535" w:type="dxa"/>
            <w:vAlign w:val="center"/>
          </w:tcPr>
          <w:p w14:paraId="590D6C01">
            <w:pPr>
              <w:pStyle w:val="13"/>
            </w:pPr>
            <w:r>
              <w:t>退休费</w:t>
            </w:r>
          </w:p>
        </w:tc>
        <w:tc>
          <w:tcPr>
            <w:tcW w:w="2551" w:type="dxa"/>
            <w:vAlign w:val="center"/>
          </w:tcPr>
          <w:p w14:paraId="4402537F">
            <w:pPr>
              <w:pStyle w:val="14"/>
            </w:pPr>
            <w:r>
              <w:t>138.31</w:t>
            </w:r>
          </w:p>
        </w:tc>
        <w:tc>
          <w:tcPr>
            <w:tcW w:w="2551" w:type="dxa"/>
            <w:vAlign w:val="center"/>
          </w:tcPr>
          <w:p w14:paraId="6DD88593">
            <w:pPr>
              <w:pStyle w:val="14"/>
            </w:pPr>
            <w:r>
              <w:t>138.31</w:t>
            </w:r>
          </w:p>
        </w:tc>
        <w:tc>
          <w:tcPr>
            <w:tcW w:w="2551" w:type="dxa"/>
            <w:vAlign w:val="center"/>
          </w:tcPr>
          <w:p w14:paraId="78359D55">
            <w:pPr>
              <w:pStyle w:val="14"/>
            </w:pPr>
          </w:p>
        </w:tc>
      </w:tr>
      <w:tr w14:paraId="1B39B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8BA65">
            <w:pPr>
              <w:pStyle w:val="12"/>
            </w:pPr>
            <w:r>
              <w:t>12</w:t>
            </w:r>
          </w:p>
        </w:tc>
        <w:tc>
          <w:tcPr>
            <w:tcW w:w="1191" w:type="dxa"/>
            <w:vAlign w:val="center"/>
          </w:tcPr>
          <w:p w14:paraId="14109FA9">
            <w:pPr>
              <w:pStyle w:val="13"/>
            </w:pPr>
            <w:r>
              <w:t>30305</w:t>
            </w:r>
          </w:p>
        </w:tc>
        <w:tc>
          <w:tcPr>
            <w:tcW w:w="4535" w:type="dxa"/>
            <w:vAlign w:val="center"/>
          </w:tcPr>
          <w:p w14:paraId="5AFDA23F">
            <w:pPr>
              <w:pStyle w:val="13"/>
            </w:pPr>
            <w:r>
              <w:t>生活补助</w:t>
            </w:r>
          </w:p>
        </w:tc>
        <w:tc>
          <w:tcPr>
            <w:tcW w:w="2551" w:type="dxa"/>
            <w:vAlign w:val="center"/>
          </w:tcPr>
          <w:p w14:paraId="0D639F29">
            <w:pPr>
              <w:pStyle w:val="14"/>
            </w:pPr>
            <w:r>
              <w:t>6.19</w:t>
            </w:r>
          </w:p>
        </w:tc>
        <w:tc>
          <w:tcPr>
            <w:tcW w:w="2551" w:type="dxa"/>
            <w:vAlign w:val="center"/>
          </w:tcPr>
          <w:p w14:paraId="01FEFF93">
            <w:pPr>
              <w:pStyle w:val="14"/>
            </w:pPr>
            <w:r>
              <w:t>6.19</w:t>
            </w:r>
          </w:p>
        </w:tc>
        <w:tc>
          <w:tcPr>
            <w:tcW w:w="2551" w:type="dxa"/>
            <w:vAlign w:val="center"/>
          </w:tcPr>
          <w:p w14:paraId="2EB0B279">
            <w:pPr>
              <w:pStyle w:val="14"/>
            </w:pPr>
          </w:p>
        </w:tc>
      </w:tr>
    </w:tbl>
    <w:p w14:paraId="2ADF104D">
      <w:pPr>
        <w:sectPr>
          <w:pgSz w:w="16840" w:h="11900" w:orient="landscape"/>
          <w:pgMar w:top="1361" w:right="1020" w:bottom="1134" w:left="1020" w:header="720" w:footer="720" w:gutter="0"/>
          <w:cols w:space="720" w:num="1"/>
        </w:sectPr>
      </w:pPr>
    </w:p>
    <w:p w14:paraId="7535DB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9F3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9EC1B7">
            <w:pPr>
              <w:pStyle w:val="8"/>
            </w:pPr>
            <w:r>
              <w:t>360017隆尧县魏庄校区</w:t>
            </w:r>
          </w:p>
        </w:tc>
        <w:tc>
          <w:tcPr>
            <w:tcW w:w="2551" w:type="dxa"/>
            <w:tcBorders>
              <w:top w:val="single" w:color="FFFFFF" w:sz="6" w:space="0"/>
              <w:left w:val="single" w:color="FFFFFF" w:sz="6" w:space="0"/>
              <w:right w:val="single" w:color="FFFFFF" w:sz="6" w:space="0"/>
            </w:tcBorders>
            <w:vAlign w:val="center"/>
          </w:tcPr>
          <w:p w14:paraId="31758FB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1DE414">
            <w:pPr>
              <w:pStyle w:val="10"/>
            </w:pPr>
            <w:r>
              <w:t>单位：万元</w:t>
            </w:r>
          </w:p>
        </w:tc>
      </w:tr>
      <w:tr w14:paraId="14506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9631C">
            <w:pPr>
              <w:pStyle w:val="11"/>
            </w:pPr>
            <w:r>
              <w:t>序号</w:t>
            </w:r>
          </w:p>
        </w:tc>
        <w:tc>
          <w:tcPr>
            <w:tcW w:w="5726" w:type="dxa"/>
            <w:gridSpan w:val="2"/>
            <w:vAlign w:val="center"/>
          </w:tcPr>
          <w:p w14:paraId="3D41246E">
            <w:pPr>
              <w:pStyle w:val="11"/>
            </w:pPr>
            <w:r>
              <w:t>功能分类科目</w:t>
            </w:r>
          </w:p>
        </w:tc>
        <w:tc>
          <w:tcPr>
            <w:tcW w:w="2551" w:type="dxa"/>
            <w:vMerge w:val="restart"/>
            <w:vAlign w:val="center"/>
          </w:tcPr>
          <w:p w14:paraId="7DBC0424">
            <w:pPr>
              <w:pStyle w:val="11"/>
            </w:pPr>
            <w:r>
              <w:t>合计</w:t>
            </w:r>
          </w:p>
        </w:tc>
        <w:tc>
          <w:tcPr>
            <w:tcW w:w="2551" w:type="dxa"/>
            <w:vMerge w:val="restart"/>
            <w:vAlign w:val="center"/>
          </w:tcPr>
          <w:p w14:paraId="75EF7175">
            <w:pPr>
              <w:pStyle w:val="11"/>
            </w:pPr>
            <w:r>
              <w:t>基本支出</w:t>
            </w:r>
          </w:p>
        </w:tc>
        <w:tc>
          <w:tcPr>
            <w:tcW w:w="2551" w:type="dxa"/>
            <w:vMerge w:val="restart"/>
            <w:vAlign w:val="center"/>
          </w:tcPr>
          <w:p w14:paraId="4EEA67E0">
            <w:pPr>
              <w:pStyle w:val="11"/>
            </w:pPr>
            <w:r>
              <w:t>项目支出</w:t>
            </w:r>
          </w:p>
        </w:tc>
      </w:tr>
      <w:tr w14:paraId="39218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E081A3"/>
        </w:tc>
        <w:tc>
          <w:tcPr>
            <w:tcW w:w="1191" w:type="dxa"/>
            <w:vAlign w:val="center"/>
          </w:tcPr>
          <w:p w14:paraId="69722CB7">
            <w:pPr>
              <w:pStyle w:val="11"/>
            </w:pPr>
            <w:r>
              <w:t>科目编码</w:t>
            </w:r>
          </w:p>
        </w:tc>
        <w:tc>
          <w:tcPr>
            <w:tcW w:w="4535" w:type="dxa"/>
            <w:vAlign w:val="center"/>
          </w:tcPr>
          <w:p w14:paraId="7B505D58">
            <w:pPr>
              <w:pStyle w:val="11"/>
            </w:pPr>
            <w:r>
              <w:t>科目名称</w:t>
            </w:r>
          </w:p>
        </w:tc>
        <w:tc>
          <w:tcPr>
            <w:tcW w:w="2551" w:type="dxa"/>
            <w:vMerge w:val="continue"/>
          </w:tcPr>
          <w:p w14:paraId="7236EAAE"/>
        </w:tc>
        <w:tc>
          <w:tcPr>
            <w:tcW w:w="2551" w:type="dxa"/>
            <w:vMerge w:val="continue"/>
          </w:tcPr>
          <w:p w14:paraId="7BF32380"/>
        </w:tc>
        <w:tc>
          <w:tcPr>
            <w:tcW w:w="2551" w:type="dxa"/>
            <w:vMerge w:val="continue"/>
          </w:tcPr>
          <w:p w14:paraId="1722E5FE"/>
        </w:tc>
      </w:tr>
      <w:tr w14:paraId="02C4D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AA49A6">
            <w:pPr>
              <w:pStyle w:val="11"/>
            </w:pPr>
            <w:r>
              <w:t>栏次</w:t>
            </w:r>
          </w:p>
        </w:tc>
        <w:tc>
          <w:tcPr>
            <w:tcW w:w="1191" w:type="dxa"/>
            <w:vAlign w:val="center"/>
          </w:tcPr>
          <w:p w14:paraId="444A3449">
            <w:pPr>
              <w:pStyle w:val="11"/>
            </w:pPr>
            <w:r>
              <w:t>1</w:t>
            </w:r>
          </w:p>
        </w:tc>
        <w:tc>
          <w:tcPr>
            <w:tcW w:w="4535" w:type="dxa"/>
            <w:vAlign w:val="center"/>
          </w:tcPr>
          <w:p w14:paraId="67E45451">
            <w:pPr>
              <w:pStyle w:val="11"/>
            </w:pPr>
            <w:r>
              <w:t>2</w:t>
            </w:r>
          </w:p>
        </w:tc>
        <w:tc>
          <w:tcPr>
            <w:tcW w:w="2551" w:type="dxa"/>
            <w:vAlign w:val="center"/>
          </w:tcPr>
          <w:p w14:paraId="68C63D50">
            <w:pPr>
              <w:pStyle w:val="11"/>
            </w:pPr>
            <w:r>
              <w:t>3</w:t>
            </w:r>
          </w:p>
        </w:tc>
        <w:tc>
          <w:tcPr>
            <w:tcW w:w="2551" w:type="dxa"/>
            <w:vAlign w:val="center"/>
          </w:tcPr>
          <w:p w14:paraId="503FB8EC">
            <w:pPr>
              <w:pStyle w:val="11"/>
            </w:pPr>
            <w:r>
              <w:t>4</w:t>
            </w:r>
          </w:p>
        </w:tc>
        <w:tc>
          <w:tcPr>
            <w:tcW w:w="2551" w:type="dxa"/>
            <w:vAlign w:val="center"/>
          </w:tcPr>
          <w:p w14:paraId="5FAB47EB">
            <w:pPr>
              <w:pStyle w:val="11"/>
            </w:pPr>
            <w:r>
              <w:t>5</w:t>
            </w:r>
          </w:p>
        </w:tc>
      </w:tr>
      <w:tr w14:paraId="1E416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DF3FA">
            <w:pPr>
              <w:pStyle w:val="12"/>
            </w:pPr>
          </w:p>
        </w:tc>
        <w:tc>
          <w:tcPr>
            <w:tcW w:w="1191" w:type="dxa"/>
            <w:vAlign w:val="center"/>
          </w:tcPr>
          <w:p w14:paraId="4BE7A01A">
            <w:pPr>
              <w:pStyle w:val="13"/>
            </w:pPr>
          </w:p>
        </w:tc>
        <w:tc>
          <w:tcPr>
            <w:tcW w:w="4535" w:type="dxa"/>
            <w:vAlign w:val="center"/>
          </w:tcPr>
          <w:p w14:paraId="19D69804">
            <w:pPr>
              <w:pStyle w:val="13"/>
            </w:pPr>
          </w:p>
        </w:tc>
        <w:tc>
          <w:tcPr>
            <w:tcW w:w="2551" w:type="dxa"/>
            <w:vAlign w:val="center"/>
          </w:tcPr>
          <w:p w14:paraId="76DF9E04">
            <w:pPr>
              <w:pStyle w:val="14"/>
            </w:pPr>
          </w:p>
        </w:tc>
        <w:tc>
          <w:tcPr>
            <w:tcW w:w="2551" w:type="dxa"/>
            <w:vAlign w:val="center"/>
          </w:tcPr>
          <w:p w14:paraId="4932D39F">
            <w:pPr>
              <w:pStyle w:val="14"/>
            </w:pPr>
          </w:p>
        </w:tc>
        <w:tc>
          <w:tcPr>
            <w:tcW w:w="2551" w:type="dxa"/>
            <w:vAlign w:val="center"/>
          </w:tcPr>
          <w:p w14:paraId="29E92914">
            <w:pPr>
              <w:pStyle w:val="14"/>
            </w:pPr>
          </w:p>
        </w:tc>
      </w:tr>
    </w:tbl>
    <w:p w14:paraId="4B151E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EB40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7ED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B952FD">
            <w:pPr>
              <w:pStyle w:val="8"/>
            </w:pPr>
            <w:r>
              <w:t>360017隆尧县魏庄校区</w:t>
            </w:r>
          </w:p>
        </w:tc>
        <w:tc>
          <w:tcPr>
            <w:tcW w:w="2551" w:type="dxa"/>
            <w:tcBorders>
              <w:top w:val="single" w:color="FFFFFF" w:sz="6" w:space="0"/>
              <w:left w:val="single" w:color="FFFFFF" w:sz="6" w:space="0"/>
              <w:right w:val="single" w:color="FFFFFF" w:sz="6" w:space="0"/>
            </w:tcBorders>
            <w:vAlign w:val="center"/>
          </w:tcPr>
          <w:p w14:paraId="12DE5F1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C724324">
            <w:pPr>
              <w:pStyle w:val="10"/>
            </w:pPr>
            <w:r>
              <w:t>单位：万元</w:t>
            </w:r>
          </w:p>
        </w:tc>
      </w:tr>
      <w:tr w14:paraId="11876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AC9A69">
            <w:pPr>
              <w:pStyle w:val="11"/>
            </w:pPr>
            <w:r>
              <w:t>序号</w:t>
            </w:r>
          </w:p>
        </w:tc>
        <w:tc>
          <w:tcPr>
            <w:tcW w:w="5726" w:type="dxa"/>
            <w:gridSpan w:val="2"/>
            <w:vAlign w:val="center"/>
          </w:tcPr>
          <w:p w14:paraId="6D433F5E">
            <w:pPr>
              <w:pStyle w:val="11"/>
            </w:pPr>
            <w:r>
              <w:t>功能分类科目</w:t>
            </w:r>
          </w:p>
        </w:tc>
        <w:tc>
          <w:tcPr>
            <w:tcW w:w="2551" w:type="dxa"/>
            <w:vMerge w:val="restart"/>
            <w:vAlign w:val="center"/>
          </w:tcPr>
          <w:p w14:paraId="4AD9E7B3">
            <w:pPr>
              <w:pStyle w:val="11"/>
            </w:pPr>
            <w:r>
              <w:t>合计</w:t>
            </w:r>
          </w:p>
        </w:tc>
        <w:tc>
          <w:tcPr>
            <w:tcW w:w="2551" w:type="dxa"/>
            <w:vMerge w:val="restart"/>
            <w:vAlign w:val="center"/>
          </w:tcPr>
          <w:p w14:paraId="02A243A7">
            <w:pPr>
              <w:pStyle w:val="11"/>
            </w:pPr>
            <w:r>
              <w:t>基本支出</w:t>
            </w:r>
          </w:p>
        </w:tc>
        <w:tc>
          <w:tcPr>
            <w:tcW w:w="2551" w:type="dxa"/>
            <w:vMerge w:val="restart"/>
            <w:vAlign w:val="center"/>
          </w:tcPr>
          <w:p w14:paraId="06BEDBD3">
            <w:pPr>
              <w:pStyle w:val="11"/>
            </w:pPr>
            <w:r>
              <w:t>项目支出</w:t>
            </w:r>
          </w:p>
        </w:tc>
      </w:tr>
      <w:tr w14:paraId="1DB55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9CDA9D"/>
        </w:tc>
        <w:tc>
          <w:tcPr>
            <w:tcW w:w="1191" w:type="dxa"/>
            <w:vAlign w:val="center"/>
          </w:tcPr>
          <w:p w14:paraId="2D7689D5">
            <w:pPr>
              <w:pStyle w:val="11"/>
            </w:pPr>
            <w:r>
              <w:t>科目编码</w:t>
            </w:r>
          </w:p>
        </w:tc>
        <w:tc>
          <w:tcPr>
            <w:tcW w:w="4535" w:type="dxa"/>
            <w:vAlign w:val="center"/>
          </w:tcPr>
          <w:p w14:paraId="5F2A656A">
            <w:pPr>
              <w:pStyle w:val="11"/>
            </w:pPr>
            <w:r>
              <w:t>科目名称</w:t>
            </w:r>
          </w:p>
        </w:tc>
        <w:tc>
          <w:tcPr>
            <w:tcW w:w="2551" w:type="dxa"/>
            <w:vMerge w:val="continue"/>
          </w:tcPr>
          <w:p w14:paraId="2CB35E08"/>
        </w:tc>
        <w:tc>
          <w:tcPr>
            <w:tcW w:w="2551" w:type="dxa"/>
            <w:vMerge w:val="continue"/>
          </w:tcPr>
          <w:p w14:paraId="1B102977"/>
        </w:tc>
        <w:tc>
          <w:tcPr>
            <w:tcW w:w="2551" w:type="dxa"/>
            <w:vMerge w:val="continue"/>
          </w:tcPr>
          <w:p w14:paraId="7808B054"/>
        </w:tc>
      </w:tr>
      <w:tr w14:paraId="4E1FE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3AB603">
            <w:pPr>
              <w:pStyle w:val="11"/>
            </w:pPr>
            <w:r>
              <w:t>栏次</w:t>
            </w:r>
          </w:p>
        </w:tc>
        <w:tc>
          <w:tcPr>
            <w:tcW w:w="1191" w:type="dxa"/>
            <w:vAlign w:val="center"/>
          </w:tcPr>
          <w:p w14:paraId="0DB5B4CE">
            <w:pPr>
              <w:pStyle w:val="11"/>
            </w:pPr>
            <w:r>
              <w:t>1</w:t>
            </w:r>
          </w:p>
        </w:tc>
        <w:tc>
          <w:tcPr>
            <w:tcW w:w="4535" w:type="dxa"/>
            <w:vAlign w:val="center"/>
          </w:tcPr>
          <w:p w14:paraId="32C2036B">
            <w:pPr>
              <w:pStyle w:val="11"/>
            </w:pPr>
            <w:r>
              <w:t>2</w:t>
            </w:r>
          </w:p>
        </w:tc>
        <w:tc>
          <w:tcPr>
            <w:tcW w:w="2551" w:type="dxa"/>
            <w:vAlign w:val="center"/>
          </w:tcPr>
          <w:p w14:paraId="4C9BC74C">
            <w:pPr>
              <w:pStyle w:val="11"/>
            </w:pPr>
            <w:r>
              <w:t>3</w:t>
            </w:r>
          </w:p>
        </w:tc>
        <w:tc>
          <w:tcPr>
            <w:tcW w:w="2551" w:type="dxa"/>
            <w:vAlign w:val="center"/>
          </w:tcPr>
          <w:p w14:paraId="2A0D8163">
            <w:pPr>
              <w:pStyle w:val="11"/>
            </w:pPr>
            <w:r>
              <w:t>4</w:t>
            </w:r>
          </w:p>
        </w:tc>
        <w:tc>
          <w:tcPr>
            <w:tcW w:w="2551" w:type="dxa"/>
            <w:vAlign w:val="center"/>
          </w:tcPr>
          <w:p w14:paraId="1B6DD7EE">
            <w:pPr>
              <w:pStyle w:val="11"/>
            </w:pPr>
            <w:r>
              <w:t>5</w:t>
            </w:r>
          </w:p>
        </w:tc>
      </w:tr>
      <w:tr w14:paraId="30DF2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6EDE44C">
            <w:pPr>
              <w:pStyle w:val="12"/>
            </w:pPr>
          </w:p>
        </w:tc>
        <w:tc>
          <w:tcPr>
            <w:tcW w:w="1191" w:type="dxa"/>
            <w:vAlign w:val="center"/>
          </w:tcPr>
          <w:p w14:paraId="1E6B4E40">
            <w:pPr>
              <w:pStyle w:val="13"/>
            </w:pPr>
          </w:p>
        </w:tc>
        <w:tc>
          <w:tcPr>
            <w:tcW w:w="4535" w:type="dxa"/>
            <w:vAlign w:val="center"/>
          </w:tcPr>
          <w:p w14:paraId="000344E8">
            <w:pPr>
              <w:pStyle w:val="13"/>
            </w:pPr>
          </w:p>
        </w:tc>
        <w:tc>
          <w:tcPr>
            <w:tcW w:w="2551" w:type="dxa"/>
            <w:vAlign w:val="center"/>
          </w:tcPr>
          <w:p w14:paraId="0D33D168">
            <w:pPr>
              <w:pStyle w:val="14"/>
            </w:pPr>
          </w:p>
        </w:tc>
        <w:tc>
          <w:tcPr>
            <w:tcW w:w="2551" w:type="dxa"/>
            <w:vAlign w:val="center"/>
          </w:tcPr>
          <w:p w14:paraId="57806CA7">
            <w:pPr>
              <w:pStyle w:val="14"/>
            </w:pPr>
          </w:p>
        </w:tc>
        <w:tc>
          <w:tcPr>
            <w:tcW w:w="2551" w:type="dxa"/>
            <w:vAlign w:val="center"/>
          </w:tcPr>
          <w:p w14:paraId="4213EC6F">
            <w:pPr>
              <w:pStyle w:val="14"/>
            </w:pPr>
          </w:p>
        </w:tc>
      </w:tr>
    </w:tbl>
    <w:p w14:paraId="356F00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A550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9F1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2165CE">
            <w:pPr>
              <w:pStyle w:val="8"/>
            </w:pPr>
            <w:r>
              <w:t>360017隆尧县魏庄校区</w:t>
            </w:r>
          </w:p>
        </w:tc>
        <w:tc>
          <w:tcPr>
            <w:tcW w:w="2381" w:type="dxa"/>
            <w:tcBorders>
              <w:top w:val="single" w:color="FFFFFF" w:sz="6" w:space="0"/>
              <w:left w:val="single" w:color="FFFFFF" w:sz="6" w:space="0"/>
              <w:right w:val="single" w:color="FFFFFF" w:sz="6" w:space="0"/>
            </w:tcBorders>
            <w:vAlign w:val="center"/>
          </w:tcPr>
          <w:p w14:paraId="6A15FC6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3626C49">
            <w:pPr>
              <w:pStyle w:val="10"/>
            </w:pPr>
            <w:r>
              <w:t>单位：万元</w:t>
            </w:r>
          </w:p>
        </w:tc>
      </w:tr>
      <w:tr w14:paraId="27937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94A6B">
            <w:pPr>
              <w:pStyle w:val="11"/>
            </w:pPr>
            <w:r>
              <w:t>序号</w:t>
            </w:r>
          </w:p>
        </w:tc>
        <w:tc>
          <w:tcPr>
            <w:tcW w:w="3798" w:type="dxa"/>
            <w:vMerge w:val="restart"/>
            <w:vAlign w:val="center"/>
          </w:tcPr>
          <w:p w14:paraId="153DEC1E">
            <w:pPr>
              <w:pStyle w:val="11"/>
            </w:pPr>
            <w:r>
              <w:t>项  目</w:t>
            </w:r>
          </w:p>
        </w:tc>
        <w:tc>
          <w:tcPr>
            <w:tcW w:w="9524" w:type="dxa"/>
            <w:gridSpan w:val="4"/>
            <w:vAlign w:val="center"/>
          </w:tcPr>
          <w:p w14:paraId="0851B89B">
            <w:pPr>
              <w:pStyle w:val="11"/>
            </w:pPr>
            <w:r>
              <w:t>资 金 性 质</w:t>
            </w:r>
          </w:p>
        </w:tc>
      </w:tr>
      <w:tr w14:paraId="1061D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7E58E8"/>
        </w:tc>
        <w:tc>
          <w:tcPr>
            <w:tcW w:w="3798" w:type="dxa"/>
            <w:vMerge w:val="continue"/>
          </w:tcPr>
          <w:p w14:paraId="2D913589"/>
        </w:tc>
        <w:tc>
          <w:tcPr>
            <w:tcW w:w="2381" w:type="dxa"/>
            <w:vAlign w:val="center"/>
          </w:tcPr>
          <w:p w14:paraId="3B88C753">
            <w:pPr>
              <w:pStyle w:val="11"/>
            </w:pPr>
            <w:r>
              <w:t>合计</w:t>
            </w:r>
          </w:p>
        </w:tc>
        <w:tc>
          <w:tcPr>
            <w:tcW w:w="2381" w:type="dxa"/>
            <w:vAlign w:val="center"/>
          </w:tcPr>
          <w:p w14:paraId="6D4E20B0">
            <w:pPr>
              <w:pStyle w:val="11"/>
            </w:pPr>
            <w:r>
              <w:t>一般公共预算              财政拨款</w:t>
            </w:r>
          </w:p>
        </w:tc>
        <w:tc>
          <w:tcPr>
            <w:tcW w:w="2381" w:type="dxa"/>
            <w:vAlign w:val="center"/>
          </w:tcPr>
          <w:p w14:paraId="197372C1">
            <w:pPr>
              <w:pStyle w:val="11"/>
            </w:pPr>
            <w:r>
              <w:t>政府性基金                  预算拨款</w:t>
            </w:r>
          </w:p>
        </w:tc>
        <w:tc>
          <w:tcPr>
            <w:tcW w:w="2381" w:type="dxa"/>
            <w:vAlign w:val="center"/>
          </w:tcPr>
          <w:p w14:paraId="259818BC">
            <w:pPr>
              <w:pStyle w:val="11"/>
            </w:pPr>
            <w:r>
              <w:t>国有资本经营              预算财政拨款</w:t>
            </w:r>
          </w:p>
        </w:tc>
      </w:tr>
      <w:tr w14:paraId="769E1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102440">
            <w:pPr>
              <w:pStyle w:val="11"/>
            </w:pPr>
            <w:r>
              <w:t>栏次</w:t>
            </w:r>
          </w:p>
        </w:tc>
        <w:tc>
          <w:tcPr>
            <w:tcW w:w="3798" w:type="dxa"/>
            <w:vAlign w:val="center"/>
          </w:tcPr>
          <w:p w14:paraId="70C1A3F4">
            <w:pPr>
              <w:pStyle w:val="11"/>
            </w:pPr>
            <w:r>
              <w:t>1</w:t>
            </w:r>
          </w:p>
        </w:tc>
        <w:tc>
          <w:tcPr>
            <w:tcW w:w="2381" w:type="dxa"/>
            <w:vAlign w:val="center"/>
          </w:tcPr>
          <w:p w14:paraId="390434D9">
            <w:pPr>
              <w:pStyle w:val="11"/>
            </w:pPr>
            <w:r>
              <w:t>2</w:t>
            </w:r>
          </w:p>
        </w:tc>
        <w:tc>
          <w:tcPr>
            <w:tcW w:w="2381" w:type="dxa"/>
            <w:vAlign w:val="center"/>
          </w:tcPr>
          <w:p w14:paraId="426A92F2">
            <w:pPr>
              <w:pStyle w:val="11"/>
            </w:pPr>
            <w:r>
              <w:t>3</w:t>
            </w:r>
          </w:p>
        </w:tc>
        <w:tc>
          <w:tcPr>
            <w:tcW w:w="2381" w:type="dxa"/>
            <w:vAlign w:val="center"/>
          </w:tcPr>
          <w:p w14:paraId="46A61E43">
            <w:pPr>
              <w:pStyle w:val="11"/>
            </w:pPr>
            <w:r>
              <w:t>4</w:t>
            </w:r>
          </w:p>
        </w:tc>
        <w:tc>
          <w:tcPr>
            <w:tcW w:w="2381" w:type="dxa"/>
            <w:vAlign w:val="center"/>
          </w:tcPr>
          <w:p w14:paraId="4C234D09">
            <w:pPr>
              <w:pStyle w:val="11"/>
            </w:pPr>
            <w:r>
              <w:t>5</w:t>
            </w:r>
          </w:p>
        </w:tc>
      </w:tr>
      <w:tr w14:paraId="79CB2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BDA5EA">
            <w:pPr>
              <w:pStyle w:val="12"/>
            </w:pPr>
          </w:p>
        </w:tc>
        <w:tc>
          <w:tcPr>
            <w:tcW w:w="3798" w:type="dxa"/>
            <w:vAlign w:val="center"/>
          </w:tcPr>
          <w:p w14:paraId="7BF096A6">
            <w:pPr>
              <w:pStyle w:val="13"/>
            </w:pPr>
          </w:p>
        </w:tc>
        <w:tc>
          <w:tcPr>
            <w:tcW w:w="2381" w:type="dxa"/>
            <w:vAlign w:val="center"/>
          </w:tcPr>
          <w:p w14:paraId="470F55BE">
            <w:pPr>
              <w:pStyle w:val="14"/>
            </w:pPr>
          </w:p>
        </w:tc>
        <w:tc>
          <w:tcPr>
            <w:tcW w:w="2381" w:type="dxa"/>
            <w:vAlign w:val="center"/>
          </w:tcPr>
          <w:p w14:paraId="26A96C78">
            <w:pPr>
              <w:pStyle w:val="14"/>
            </w:pPr>
          </w:p>
        </w:tc>
        <w:tc>
          <w:tcPr>
            <w:tcW w:w="2381" w:type="dxa"/>
            <w:vAlign w:val="center"/>
          </w:tcPr>
          <w:p w14:paraId="6B6444AE">
            <w:pPr>
              <w:pStyle w:val="14"/>
            </w:pPr>
          </w:p>
        </w:tc>
        <w:tc>
          <w:tcPr>
            <w:tcW w:w="2381" w:type="dxa"/>
            <w:vAlign w:val="center"/>
          </w:tcPr>
          <w:p w14:paraId="71FE2524">
            <w:pPr>
              <w:pStyle w:val="14"/>
            </w:pPr>
          </w:p>
        </w:tc>
      </w:tr>
    </w:tbl>
    <w:p w14:paraId="7D135DE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BC3075B">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隆尧县魏庄校区2025年单位预算信息公开情况说明</w:t>
      </w:r>
    </w:p>
    <w:p w14:paraId="7D13E3F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按照《中华人民共和国预算法》、《地方预决算公开操作规程》和《关于进一步推进预算公开工作的实施意见》规定，现将隆尧县魏庄校区2025年单位预算公开如下：</w:t>
      </w:r>
    </w:p>
    <w:p w14:paraId="3558EE58">
      <w:pPr>
        <w:spacing w:before="10" w:after="10" w:line="240" w:lineRule="auto"/>
        <w:ind w:firstLine="640"/>
        <w:jc w:val="left"/>
        <w:outlineLvl w:val="5"/>
      </w:pPr>
      <w:r>
        <w:rPr>
          <w:rFonts w:ascii="黑体" w:hAnsi="黑体" w:eastAsia="黑体" w:cs="黑体"/>
          <w:color w:val="000000"/>
          <w:sz w:val="32"/>
        </w:rPr>
        <w:t>一、单位职责及机构设置情况</w:t>
      </w:r>
    </w:p>
    <w:p w14:paraId="7B5F828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952F4B">
      <w:pPr>
        <w:pStyle w:val="18"/>
      </w:pPr>
      <w:r>
        <w:t>贯彻落实基础教育的方针、政策，开展义教阶段教育教学工作，促进学生德、智、体、美、劳全面发展；负责学生安全教育和管理，确保学生身心健康；加强教师队伍建设和管理，为教育教学工作提供保障。</w:t>
      </w:r>
    </w:p>
    <w:p w14:paraId="02AA91EA">
      <w:pPr>
        <w:pStyle w:val="18"/>
      </w:pPr>
      <w:r>
        <w:t>隆尧县魏庄校区事业编制174名．其中，校长1名（正股级），副校长3名（副股级）；经费形式为财政性资金基本保证。</w:t>
      </w:r>
    </w:p>
    <w:p w14:paraId="097E3E1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BF1E13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DA98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7217D7">
            <w:pPr>
              <w:pStyle w:val="11"/>
            </w:pPr>
            <w:r>
              <w:t>单位名称</w:t>
            </w:r>
          </w:p>
        </w:tc>
        <w:tc>
          <w:tcPr>
            <w:tcW w:w="1843" w:type="dxa"/>
            <w:vAlign w:val="center"/>
          </w:tcPr>
          <w:p w14:paraId="3F1F0DE1">
            <w:pPr>
              <w:pStyle w:val="11"/>
            </w:pPr>
            <w:r>
              <w:t>单位性质</w:t>
            </w:r>
          </w:p>
        </w:tc>
        <w:tc>
          <w:tcPr>
            <w:tcW w:w="2126" w:type="dxa"/>
            <w:vAlign w:val="center"/>
          </w:tcPr>
          <w:p w14:paraId="6912E242">
            <w:pPr>
              <w:pStyle w:val="11"/>
            </w:pPr>
            <w:r>
              <w:t>单位规格</w:t>
            </w:r>
          </w:p>
        </w:tc>
        <w:tc>
          <w:tcPr>
            <w:tcW w:w="3827" w:type="dxa"/>
            <w:vAlign w:val="center"/>
          </w:tcPr>
          <w:p w14:paraId="3FB6FFF9">
            <w:pPr>
              <w:pStyle w:val="11"/>
            </w:pPr>
            <w:r>
              <w:t>经费保障形式</w:t>
            </w:r>
          </w:p>
        </w:tc>
      </w:tr>
      <w:tr w14:paraId="25569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529D2EB">
            <w:pPr>
              <w:pStyle w:val="13"/>
            </w:pPr>
            <w:r>
              <w:t>隆尧县魏庄校区</w:t>
            </w:r>
          </w:p>
        </w:tc>
        <w:tc>
          <w:tcPr>
            <w:tcW w:w="1843" w:type="dxa"/>
            <w:vAlign w:val="center"/>
          </w:tcPr>
          <w:p w14:paraId="5BE998E9">
            <w:pPr>
              <w:pStyle w:val="12"/>
            </w:pPr>
            <w:r>
              <w:t>事业</w:t>
            </w:r>
          </w:p>
        </w:tc>
        <w:tc>
          <w:tcPr>
            <w:tcW w:w="2126" w:type="dxa"/>
            <w:vAlign w:val="center"/>
          </w:tcPr>
          <w:p w14:paraId="105429A3">
            <w:pPr>
              <w:pStyle w:val="12"/>
            </w:pPr>
            <w:r>
              <w:t>股级</w:t>
            </w:r>
          </w:p>
        </w:tc>
        <w:tc>
          <w:tcPr>
            <w:tcW w:w="3827" w:type="dxa"/>
            <w:vAlign w:val="center"/>
          </w:tcPr>
          <w:p w14:paraId="495D8F08">
            <w:pPr>
              <w:pStyle w:val="12"/>
            </w:pPr>
            <w:r>
              <w:t>财政性资金基本保证</w:t>
            </w:r>
          </w:p>
        </w:tc>
      </w:tr>
    </w:tbl>
    <w:p w14:paraId="79C727E7">
      <w:pPr>
        <w:spacing w:before="10" w:after="10" w:line="240" w:lineRule="auto"/>
        <w:ind w:firstLine="640"/>
        <w:jc w:val="left"/>
        <w:outlineLvl w:val="5"/>
      </w:pPr>
      <w:r>
        <w:rPr>
          <w:rFonts w:ascii="黑体" w:hAnsi="黑体" w:eastAsia="黑体" w:cs="黑体"/>
          <w:color w:val="000000"/>
          <w:sz w:val="32"/>
        </w:rPr>
        <w:t>二、单位预算安排的总体情况</w:t>
      </w:r>
    </w:p>
    <w:p w14:paraId="370E9593">
      <w:pPr>
        <w:pStyle w:val="19"/>
      </w:pPr>
      <w:r>
        <w:t>按照预算管理有关规定，目前我校单位预算的编制实行综合预算管理，即全部收入和支出都反映的预算中。隆尧县魏庄校区的收支包含在单位预算中。</w:t>
      </w:r>
    </w:p>
    <w:p w14:paraId="2674B491">
      <w:pPr>
        <w:pStyle w:val="19"/>
      </w:pPr>
      <w:r>
        <w:t>1、收入说明</w:t>
      </w:r>
    </w:p>
    <w:p w14:paraId="65A9FCE3">
      <w:pPr>
        <w:pStyle w:val="19"/>
      </w:pPr>
      <w:r>
        <w:t>反映本单位当年全部收入。2025年预算收入3178.44万元，其中：一般公共预算收入3137.35万元，基金预算收入0万元，基金预算收入0万元，国有资本经营预算收入0万元，财政专户拨收入0万元，单位资金收入0万元，上年结转结余41.1万元。</w:t>
      </w:r>
    </w:p>
    <w:p w14:paraId="7FFEB293">
      <w:pPr>
        <w:pStyle w:val="19"/>
      </w:pPr>
      <w:r>
        <w:t>2、支出说明</w:t>
      </w:r>
    </w:p>
    <w:p w14:paraId="79BD45A6">
      <w:pPr>
        <w:pStyle w:val="19"/>
      </w:pPr>
      <w:r>
        <w:t>收支预算总表支出栏、基本支出表、项目支出表按经济分类和支出功能分类科目编制，反映隆尧县魏庄校区年度单位预算中支出预算的总体情况。2025年单位支出预算为3178.44万元，其中基本支出2148.65万元、项目支出1029.8万元。主要为小学教育3155.34万元，学前教育23.1万元。</w:t>
      </w:r>
    </w:p>
    <w:p w14:paraId="0223062C">
      <w:pPr>
        <w:pStyle w:val="19"/>
      </w:pPr>
      <w:r>
        <w:t>3、比上年增减情况</w:t>
      </w:r>
    </w:p>
    <w:p w14:paraId="4B29DFF1">
      <w:pPr>
        <w:pStyle w:val="19"/>
      </w:pPr>
      <w:r>
        <w:t>2025年部门预算收支安排3178.44万元，较2024年预算增加662.6万元，其中基本支出增加103.07万元，项目支出增加559.54万元。</w:t>
      </w:r>
    </w:p>
    <w:p w14:paraId="3BC095B4">
      <w:pPr>
        <w:spacing w:before="10" w:after="10" w:line="240" w:lineRule="auto"/>
        <w:ind w:firstLine="640"/>
        <w:jc w:val="left"/>
        <w:outlineLvl w:val="5"/>
      </w:pPr>
      <w:r>
        <w:rPr>
          <w:rFonts w:ascii="黑体" w:hAnsi="黑体" w:eastAsia="黑体" w:cs="黑体"/>
          <w:color w:val="000000"/>
          <w:sz w:val="32"/>
        </w:rPr>
        <w:t>三、机关运行经费安排情况</w:t>
      </w:r>
    </w:p>
    <w:p w14:paraId="7C16CAB3">
      <w:pPr>
        <w:pStyle w:val="20"/>
      </w:pPr>
      <w:r>
        <w:t>我单位按学生安排公用经费，无机关运行经费。</w:t>
      </w:r>
    </w:p>
    <w:p w14:paraId="36F90C1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F1E96F3">
      <w:pPr>
        <w:pStyle w:val="21"/>
      </w:pPr>
      <w:r>
        <w:t>我单位未安排三公经费。</w:t>
      </w:r>
    </w:p>
    <w:p w14:paraId="48C1C28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1FF2A71">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1、冀财教[2023]154号/中央/义教经费/校舍安全保障/魏庄校区魏庄中心小学塑胶操场改造绩效目标表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95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11BFA">
            <w:pPr>
              <w:pStyle w:val="14"/>
            </w:pPr>
            <w:r>
              <w:t>单位：万元</w:t>
            </w:r>
          </w:p>
        </w:tc>
      </w:tr>
      <w:tr w14:paraId="009AA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A8251">
            <w:pPr>
              <w:pStyle w:val="11"/>
            </w:pPr>
            <w:r>
              <w:t>项目编码</w:t>
            </w:r>
          </w:p>
        </w:tc>
        <w:tc>
          <w:tcPr>
            <w:tcW w:w="5103" w:type="dxa"/>
            <w:gridSpan w:val="2"/>
            <w:vAlign w:val="center"/>
          </w:tcPr>
          <w:p w14:paraId="601971D2">
            <w:pPr>
              <w:pStyle w:val="13"/>
            </w:pPr>
            <w:r>
              <w:t>13052524P000006112402</w:t>
            </w:r>
          </w:p>
        </w:tc>
        <w:tc>
          <w:tcPr>
            <w:tcW w:w="2835" w:type="dxa"/>
            <w:vAlign w:val="center"/>
          </w:tcPr>
          <w:p w14:paraId="3423B605">
            <w:pPr>
              <w:pStyle w:val="11"/>
            </w:pPr>
            <w:r>
              <w:t>项目名称</w:t>
            </w:r>
          </w:p>
        </w:tc>
        <w:tc>
          <w:tcPr>
            <w:tcW w:w="6095" w:type="dxa"/>
            <w:gridSpan w:val="3"/>
            <w:vAlign w:val="center"/>
          </w:tcPr>
          <w:p w14:paraId="0A62944B">
            <w:pPr>
              <w:pStyle w:val="13"/>
            </w:pPr>
            <w:r>
              <w:t>冀财教[2023]154号/中央/义教经费/校舍安全保障/魏庄校区魏庄中心小学塑胶操场改造</w:t>
            </w:r>
          </w:p>
        </w:tc>
      </w:tr>
      <w:tr w14:paraId="453A8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4E722">
            <w:pPr>
              <w:pStyle w:val="11"/>
            </w:pPr>
            <w:r>
              <w:t>预算规模及资金用途</w:t>
            </w:r>
          </w:p>
        </w:tc>
        <w:tc>
          <w:tcPr>
            <w:tcW w:w="2268" w:type="dxa"/>
            <w:vAlign w:val="center"/>
          </w:tcPr>
          <w:p w14:paraId="611391C1">
            <w:pPr>
              <w:pStyle w:val="11"/>
            </w:pPr>
            <w:r>
              <w:t>预算数</w:t>
            </w:r>
          </w:p>
        </w:tc>
        <w:tc>
          <w:tcPr>
            <w:tcW w:w="2835" w:type="dxa"/>
            <w:vAlign w:val="center"/>
          </w:tcPr>
          <w:p w14:paraId="7611F705">
            <w:pPr>
              <w:pStyle w:val="13"/>
            </w:pPr>
            <w:r>
              <w:t>41.10</w:t>
            </w:r>
          </w:p>
        </w:tc>
        <w:tc>
          <w:tcPr>
            <w:tcW w:w="2835" w:type="dxa"/>
            <w:vAlign w:val="center"/>
          </w:tcPr>
          <w:p w14:paraId="4C1BD83D">
            <w:pPr>
              <w:pStyle w:val="11"/>
            </w:pPr>
            <w:r>
              <w:t>其中：财政    资金</w:t>
            </w:r>
          </w:p>
        </w:tc>
        <w:tc>
          <w:tcPr>
            <w:tcW w:w="2551" w:type="dxa"/>
            <w:vAlign w:val="center"/>
          </w:tcPr>
          <w:p w14:paraId="1DB4307E">
            <w:pPr>
              <w:pStyle w:val="13"/>
            </w:pPr>
            <w:r>
              <w:t>41.10</w:t>
            </w:r>
          </w:p>
        </w:tc>
        <w:tc>
          <w:tcPr>
            <w:tcW w:w="2268" w:type="dxa"/>
            <w:vAlign w:val="center"/>
          </w:tcPr>
          <w:p w14:paraId="020F676B">
            <w:pPr>
              <w:pStyle w:val="11"/>
            </w:pPr>
            <w:r>
              <w:t>其他资金</w:t>
            </w:r>
          </w:p>
        </w:tc>
        <w:tc>
          <w:tcPr>
            <w:tcW w:w="1276" w:type="dxa"/>
            <w:vAlign w:val="center"/>
          </w:tcPr>
          <w:p w14:paraId="5CCC533A">
            <w:pPr>
              <w:pStyle w:val="13"/>
            </w:pPr>
            <w:r>
              <w:t xml:space="preserve"> </w:t>
            </w:r>
          </w:p>
        </w:tc>
      </w:tr>
      <w:tr w14:paraId="40702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3C438C"/>
        </w:tc>
        <w:tc>
          <w:tcPr>
            <w:tcW w:w="14033" w:type="dxa"/>
            <w:gridSpan w:val="6"/>
            <w:vAlign w:val="center"/>
          </w:tcPr>
          <w:p w14:paraId="6DB02E45">
            <w:pPr>
              <w:pStyle w:val="13"/>
            </w:pPr>
            <w:r>
              <w:t>完成魏庄中心小学塑胶操场改造，满足学校正常教学需求</w:t>
            </w:r>
          </w:p>
        </w:tc>
      </w:tr>
      <w:tr w14:paraId="361C5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BCFEB">
            <w:pPr>
              <w:pStyle w:val="11"/>
            </w:pPr>
            <w:r>
              <w:t>资金支出计划（%）</w:t>
            </w:r>
          </w:p>
        </w:tc>
        <w:tc>
          <w:tcPr>
            <w:tcW w:w="5103" w:type="dxa"/>
            <w:gridSpan w:val="2"/>
            <w:vAlign w:val="center"/>
          </w:tcPr>
          <w:p w14:paraId="6B35FF9C">
            <w:pPr>
              <w:pStyle w:val="11"/>
            </w:pPr>
            <w:r>
              <w:t>3月底</w:t>
            </w:r>
          </w:p>
        </w:tc>
        <w:tc>
          <w:tcPr>
            <w:tcW w:w="2835" w:type="dxa"/>
            <w:vAlign w:val="center"/>
          </w:tcPr>
          <w:p w14:paraId="1D84F18A">
            <w:pPr>
              <w:pStyle w:val="11"/>
            </w:pPr>
            <w:r>
              <w:t>6月底</w:t>
            </w:r>
          </w:p>
        </w:tc>
        <w:tc>
          <w:tcPr>
            <w:tcW w:w="2551" w:type="dxa"/>
            <w:vAlign w:val="center"/>
          </w:tcPr>
          <w:p w14:paraId="4F29DC47">
            <w:pPr>
              <w:pStyle w:val="11"/>
            </w:pPr>
            <w:r>
              <w:t>10月底</w:t>
            </w:r>
          </w:p>
        </w:tc>
        <w:tc>
          <w:tcPr>
            <w:tcW w:w="3544" w:type="dxa"/>
            <w:gridSpan w:val="2"/>
            <w:vAlign w:val="center"/>
          </w:tcPr>
          <w:p w14:paraId="3599C83B">
            <w:pPr>
              <w:pStyle w:val="11"/>
            </w:pPr>
            <w:r>
              <w:t>12月底</w:t>
            </w:r>
          </w:p>
        </w:tc>
      </w:tr>
      <w:tr w14:paraId="5B6B8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16E888"/>
        </w:tc>
        <w:tc>
          <w:tcPr>
            <w:tcW w:w="5103" w:type="dxa"/>
            <w:gridSpan w:val="2"/>
            <w:vAlign w:val="center"/>
          </w:tcPr>
          <w:p w14:paraId="01D66DD0">
            <w:pPr>
              <w:pStyle w:val="12"/>
            </w:pPr>
            <w:r>
              <w:t>50%</w:t>
            </w:r>
          </w:p>
        </w:tc>
        <w:tc>
          <w:tcPr>
            <w:tcW w:w="2835" w:type="dxa"/>
            <w:vAlign w:val="center"/>
          </w:tcPr>
          <w:p w14:paraId="66304297">
            <w:pPr>
              <w:pStyle w:val="12"/>
            </w:pPr>
            <w:r>
              <w:t>100%</w:t>
            </w:r>
          </w:p>
        </w:tc>
        <w:tc>
          <w:tcPr>
            <w:tcW w:w="2551" w:type="dxa"/>
            <w:vAlign w:val="center"/>
          </w:tcPr>
          <w:p w14:paraId="3ACE0245">
            <w:pPr>
              <w:pStyle w:val="12"/>
            </w:pPr>
            <w:r>
              <w:t>100%</w:t>
            </w:r>
          </w:p>
        </w:tc>
        <w:tc>
          <w:tcPr>
            <w:tcW w:w="3544" w:type="dxa"/>
            <w:gridSpan w:val="2"/>
            <w:vAlign w:val="center"/>
          </w:tcPr>
          <w:p w14:paraId="21738A0D">
            <w:pPr>
              <w:pStyle w:val="12"/>
            </w:pPr>
            <w:r>
              <w:t>100%</w:t>
            </w:r>
          </w:p>
        </w:tc>
      </w:tr>
      <w:tr w14:paraId="68202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E4033">
            <w:pPr>
              <w:pStyle w:val="11"/>
            </w:pPr>
            <w:r>
              <w:t>绩效目标</w:t>
            </w:r>
          </w:p>
        </w:tc>
        <w:tc>
          <w:tcPr>
            <w:tcW w:w="14033" w:type="dxa"/>
            <w:gridSpan w:val="6"/>
            <w:vAlign w:val="center"/>
          </w:tcPr>
          <w:p w14:paraId="30259C54">
            <w:pPr>
              <w:pStyle w:val="13"/>
            </w:pPr>
            <w:r>
              <w:t>1.完成魏庄中心小学塑胶操场改造，满足学校正常教学需求</w:t>
            </w:r>
          </w:p>
          <w:p w14:paraId="14213ECF">
            <w:pPr>
              <w:pStyle w:val="13"/>
            </w:pPr>
            <w:r>
              <w:t>2.按规定拨付专项资金，资金支付率达到100%</w:t>
            </w:r>
          </w:p>
        </w:tc>
      </w:tr>
    </w:tbl>
    <w:p w14:paraId="6210B8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14:paraId="1F5E0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70E66">
            <w:pPr>
              <w:pStyle w:val="11"/>
            </w:pPr>
            <w:r>
              <w:t>一级指标</w:t>
            </w:r>
          </w:p>
        </w:tc>
        <w:tc>
          <w:tcPr>
            <w:tcW w:w="2268" w:type="dxa"/>
            <w:vAlign w:val="center"/>
          </w:tcPr>
          <w:p w14:paraId="381F9A38">
            <w:pPr>
              <w:pStyle w:val="11"/>
            </w:pPr>
            <w:r>
              <w:t>二级指标</w:t>
            </w:r>
          </w:p>
        </w:tc>
        <w:tc>
          <w:tcPr>
            <w:tcW w:w="2835" w:type="dxa"/>
            <w:vAlign w:val="center"/>
          </w:tcPr>
          <w:p w14:paraId="09ABA9AA">
            <w:pPr>
              <w:pStyle w:val="11"/>
            </w:pPr>
            <w:r>
              <w:t>三级指标</w:t>
            </w:r>
          </w:p>
        </w:tc>
        <w:tc>
          <w:tcPr>
            <w:tcW w:w="5386" w:type="dxa"/>
            <w:vAlign w:val="center"/>
          </w:tcPr>
          <w:p w14:paraId="49AEC165">
            <w:pPr>
              <w:pStyle w:val="11"/>
            </w:pPr>
            <w:r>
              <w:t>绩效指标描述</w:t>
            </w:r>
          </w:p>
        </w:tc>
        <w:tc>
          <w:tcPr>
            <w:tcW w:w="1598" w:type="dxa"/>
            <w:vAlign w:val="center"/>
          </w:tcPr>
          <w:p w14:paraId="2F8AC79D">
            <w:pPr>
              <w:pStyle w:val="11"/>
            </w:pPr>
            <w:r>
              <w:t>指标值</w:t>
            </w:r>
          </w:p>
        </w:tc>
        <w:tc>
          <w:tcPr>
            <w:tcW w:w="1946" w:type="dxa"/>
            <w:vAlign w:val="center"/>
          </w:tcPr>
          <w:p w14:paraId="3E06539C">
            <w:pPr>
              <w:pStyle w:val="11"/>
            </w:pPr>
            <w:r>
              <w:t>指标值确定依据</w:t>
            </w:r>
          </w:p>
        </w:tc>
      </w:tr>
      <w:tr w14:paraId="341EC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2EB96">
            <w:pPr>
              <w:pStyle w:val="12"/>
            </w:pPr>
            <w:r>
              <w:t>产出指标</w:t>
            </w:r>
          </w:p>
        </w:tc>
        <w:tc>
          <w:tcPr>
            <w:tcW w:w="2268" w:type="dxa"/>
            <w:vAlign w:val="center"/>
          </w:tcPr>
          <w:p w14:paraId="6D8B6C8D">
            <w:pPr>
              <w:pStyle w:val="13"/>
            </w:pPr>
            <w:r>
              <w:t>数量指标</w:t>
            </w:r>
          </w:p>
        </w:tc>
        <w:tc>
          <w:tcPr>
            <w:tcW w:w="2835" w:type="dxa"/>
            <w:vAlign w:val="center"/>
          </w:tcPr>
          <w:p w14:paraId="2528891A">
            <w:pPr>
              <w:pStyle w:val="13"/>
            </w:pPr>
            <w:r>
              <w:t>操场改造</w:t>
            </w:r>
          </w:p>
        </w:tc>
        <w:tc>
          <w:tcPr>
            <w:tcW w:w="5386" w:type="dxa"/>
            <w:vAlign w:val="center"/>
          </w:tcPr>
          <w:p w14:paraId="4633F803">
            <w:pPr>
              <w:pStyle w:val="13"/>
            </w:pPr>
            <w:r>
              <w:t>塑胶操场改造</w:t>
            </w:r>
          </w:p>
        </w:tc>
        <w:tc>
          <w:tcPr>
            <w:tcW w:w="1598" w:type="dxa"/>
            <w:vAlign w:val="center"/>
          </w:tcPr>
          <w:p w14:paraId="40DF7831">
            <w:pPr>
              <w:pStyle w:val="13"/>
            </w:pPr>
            <w:r>
              <w:t>5720平米</w:t>
            </w:r>
          </w:p>
        </w:tc>
        <w:tc>
          <w:tcPr>
            <w:tcW w:w="1946" w:type="dxa"/>
            <w:vAlign w:val="center"/>
          </w:tcPr>
          <w:p w14:paraId="305AFC06">
            <w:pPr>
              <w:pStyle w:val="13"/>
            </w:pPr>
            <w:r>
              <w:t>城乡义务教育公用经费管理办法</w:t>
            </w:r>
          </w:p>
        </w:tc>
      </w:tr>
      <w:tr w14:paraId="41103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B1351"/>
        </w:tc>
        <w:tc>
          <w:tcPr>
            <w:tcW w:w="2268" w:type="dxa"/>
            <w:vAlign w:val="center"/>
          </w:tcPr>
          <w:p w14:paraId="5570AB32">
            <w:pPr>
              <w:pStyle w:val="13"/>
            </w:pPr>
            <w:r>
              <w:t>质量指标</w:t>
            </w:r>
          </w:p>
        </w:tc>
        <w:tc>
          <w:tcPr>
            <w:tcW w:w="2835" w:type="dxa"/>
            <w:vAlign w:val="center"/>
          </w:tcPr>
          <w:p w14:paraId="1BDC4C9F">
            <w:pPr>
              <w:pStyle w:val="13"/>
            </w:pPr>
            <w:r>
              <w:t>资金支付率</w:t>
            </w:r>
          </w:p>
        </w:tc>
        <w:tc>
          <w:tcPr>
            <w:tcW w:w="5386" w:type="dxa"/>
            <w:vAlign w:val="center"/>
          </w:tcPr>
          <w:p w14:paraId="5F446270">
            <w:pPr>
              <w:pStyle w:val="13"/>
            </w:pPr>
            <w:r>
              <w:t>按照序时进度完成资金支付</w:t>
            </w:r>
          </w:p>
        </w:tc>
        <w:tc>
          <w:tcPr>
            <w:tcW w:w="1598" w:type="dxa"/>
            <w:vAlign w:val="center"/>
          </w:tcPr>
          <w:p w14:paraId="3F49FBDF">
            <w:pPr>
              <w:pStyle w:val="13"/>
            </w:pPr>
            <w:r>
              <w:t>100%</w:t>
            </w:r>
          </w:p>
        </w:tc>
        <w:tc>
          <w:tcPr>
            <w:tcW w:w="1946" w:type="dxa"/>
            <w:vAlign w:val="center"/>
          </w:tcPr>
          <w:p w14:paraId="4FDE0F58">
            <w:pPr>
              <w:pStyle w:val="13"/>
            </w:pPr>
            <w:r>
              <w:t>城乡义务教育公用经费管理办法</w:t>
            </w:r>
          </w:p>
        </w:tc>
      </w:tr>
      <w:tr w14:paraId="251BD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CD359"/>
        </w:tc>
        <w:tc>
          <w:tcPr>
            <w:tcW w:w="2268" w:type="dxa"/>
            <w:vAlign w:val="center"/>
          </w:tcPr>
          <w:p w14:paraId="09C14B6E">
            <w:pPr>
              <w:pStyle w:val="13"/>
            </w:pPr>
            <w:r>
              <w:t>时效指标</w:t>
            </w:r>
          </w:p>
        </w:tc>
        <w:tc>
          <w:tcPr>
            <w:tcW w:w="2835" w:type="dxa"/>
            <w:vAlign w:val="center"/>
          </w:tcPr>
          <w:p w14:paraId="747CB2A7">
            <w:pPr>
              <w:pStyle w:val="13"/>
            </w:pPr>
            <w:r>
              <w:t>项目竣工验收合格率</w:t>
            </w:r>
          </w:p>
        </w:tc>
        <w:tc>
          <w:tcPr>
            <w:tcW w:w="5386" w:type="dxa"/>
            <w:vAlign w:val="center"/>
          </w:tcPr>
          <w:p w14:paraId="2AA61DB0">
            <w:pPr>
              <w:pStyle w:val="13"/>
            </w:pPr>
            <w:r>
              <w:t>项目改造达标合格率</w:t>
            </w:r>
          </w:p>
        </w:tc>
        <w:tc>
          <w:tcPr>
            <w:tcW w:w="1598" w:type="dxa"/>
            <w:vAlign w:val="center"/>
          </w:tcPr>
          <w:p w14:paraId="18F7D587">
            <w:pPr>
              <w:pStyle w:val="13"/>
            </w:pPr>
            <w:r>
              <w:t>100%</w:t>
            </w:r>
          </w:p>
        </w:tc>
        <w:tc>
          <w:tcPr>
            <w:tcW w:w="1946" w:type="dxa"/>
            <w:vAlign w:val="center"/>
          </w:tcPr>
          <w:p w14:paraId="4EC2AE81">
            <w:pPr>
              <w:pStyle w:val="13"/>
            </w:pPr>
            <w:r>
              <w:t>城乡义务教育公用经费管理办法</w:t>
            </w:r>
          </w:p>
        </w:tc>
      </w:tr>
      <w:tr w14:paraId="2C9B3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29F07"/>
        </w:tc>
        <w:tc>
          <w:tcPr>
            <w:tcW w:w="2268" w:type="dxa"/>
            <w:vAlign w:val="center"/>
          </w:tcPr>
          <w:p w14:paraId="117D6459">
            <w:pPr>
              <w:pStyle w:val="13"/>
            </w:pPr>
            <w:r>
              <w:t>成本指标</w:t>
            </w:r>
          </w:p>
        </w:tc>
        <w:tc>
          <w:tcPr>
            <w:tcW w:w="2835" w:type="dxa"/>
            <w:vAlign w:val="center"/>
          </w:tcPr>
          <w:p w14:paraId="4BE6A19E">
            <w:pPr>
              <w:pStyle w:val="13"/>
            </w:pPr>
            <w:r>
              <w:t>项目实际成本</w:t>
            </w:r>
          </w:p>
        </w:tc>
        <w:tc>
          <w:tcPr>
            <w:tcW w:w="5386" w:type="dxa"/>
            <w:vAlign w:val="center"/>
          </w:tcPr>
          <w:p w14:paraId="657420CA">
            <w:pPr>
              <w:pStyle w:val="13"/>
            </w:pPr>
            <w:r>
              <w:t>塑胶操场改造维修90万</w:t>
            </w:r>
          </w:p>
        </w:tc>
        <w:tc>
          <w:tcPr>
            <w:tcW w:w="1598" w:type="dxa"/>
            <w:vAlign w:val="center"/>
          </w:tcPr>
          <w:p w14:paraId="0F7ECB61">
            <w:pPr>
              <w:pStyle w:val="13"/>
            </w:pPr>
            <w:r>
              <w:t>90万元</w:t>
            </w:r>
          </w:p>
        </w:tc>
        <w:tc>
          <w:tcPr>
            <w:tcW w:w="1946" w:type="dxa"/>
            <w:vAlign w:val="center"/>
          </w:tcPr>
          <w:p w14:paraId="3881651C">
            <w:pPr>
              <w:pStyle w:val="13"/>
            </w:pPr>
            <w:r>
              <w:t>城乡义务教育公用经费管理办法</w:t>
            </w:r>
          </w:p>
        </w:tc>
      </w:tr>
      <w:tr w14:paraId="5FF01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923C5">
            <w:pPr>
              <w:pStyle w:val="12"/>
            </w:pPr>
            <w:r>
              <w:t>效益指标</w:t>
            </w:r>
          </w:p>
        </w:tc>
        <w:tc>
          <w:tcPr>
            <w:tcW w:w="2268" w:type="dxa"/>
            <w:vAlign w:val="center"/>
          </w:tcPr>
          <w:p w14:paraId="75E3E02F">
            <w:pPr>
              <w:pStyle w:val="13"/>
            </w:pPr>
            <w:r>
              <w:t>经济效益指标</w:t>
            </w:r>
          </w:p>
        </w:tc>
        <w:tc>
          <w:tcPr>
            <w:tcW w:w="2835" w:type="dxa"/>
            <w:vAlign w:val="center"/>
          </w:tcPr>
          <w:p w14:paraId="4B63611F">
            <w:pPr>
              <w:pStyle w:val="13"/>
            </w:pPr>
            <w:r>
              <w:t>教育发展水平</w:t>
            </w:r>
          </w:p>
        </w:tc>
        <w:tc>
          <w:tcPr>
            <w:tcW w:w="5386" w:type="dxa"/>
            <w:vAlign w:val="center"/>
          </w:tcPr>
          <w:p w14:paraId="4D1BAB10">
            <w:pPr>
              <w:pStyle w:val="13"/>
            </w:pPr>
            <w:r>
              <w:t>辖区内教育环境明显好转</w:t>
            </w:r>
          </w:p>
        </w:tc>
        <w:tc>
          <w:tcPr>
            <w:tcW w:w="1598" w:type="dxa"/>
            <w:vAlign w:val="center"/>
          </w:tcPr>
          <w:p w14:paraId="75528A6E">
            <w:pPr>
              <w:pStyle w:val="13"/>
            </w:pPr>
            <w:r>
              <w:t>≥95%</w:t>
            </w:r>
          </w:p>
        </w:tc>
        <w:tc>
          <w:tcPr>
            <w:tcW w:w="1946" w:type="dxa"/>
            <w:vAlign w:val="center"/>
          </w:tcPr>
          <w:p w14:paraId="0EEC0703">
            <w:pPr>
              <w:pStyle w:val="13"/>
            </w:pPr>
            <w:r>
              <w:t>城乡义务教育公用经费管理办法</w:t>
            </w:r>
          </w:p>
        </w:tc>
      </w:tr>
      <w:tr w14:paraId="79EDB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67450"/>
        </w:tc>
        <w:tc>
          <w:tcPr>
            <w:tcW w:w="2268" w:type="dxa"/>
            <w:vAlign w:val="center"/>
          </w:tcPr>
          <w:p w14:paraId="34AED85F">
            <w:pPr>
              <w:pStyle w:val="13"/>
            </w:pPr>
            <w:r>
              <w:t>可持续影响指标</w:t>
            </w:r>
          </w:p>
        </w:tc>
        <w:tc>
          <w:tcPr>
            <w:tcW w:w="2835" w:type="dxa"/>
            <w:vAlign w:val="center"/>
          </w:tcPr>
          <w:p w14:paraId="4E11C5F0">
            <w:pPr>
              <w:pStyle w:val="13"/>
            </w:pPr>
            <w:r>
              <w:t>校园环境</w:t>
            </w:r>
          </w:p>
        </w:tc>
        <w:tc>
          <w:tcPr>
            <w:tcW w:w="5386" w:type="dxa"/>
            <w:vAlign w:val="center"/>
          </w:tcPr>
          <w:p w14:paraId="203E337B">
            <w:pPr>
              <w:pStyle w:val="13"/>
            </w:pPr>
            <w:r>
              <w:t>办学条件和环境得到改善</w:t>
            </w:r>
          </w:p>
        </w:tc>
        <w:tc>
          <w:tcPr>
            <w:tcW w:w="1598" w:type="dxa"/>
            <w:vAlign w:val="center"/>
          </w:tcPr>
          <w:p w14:paraId="519DDA81">
            <w:pPr>
              <w:pStyle w:val="13"/>
            </w:pPr>
            <w:r>
              <w:t>≥95%</w:t>
            </w:r>
          </w:p>
        </w:tc>
        <w:tc>
          <w:tcPr>
            <w:tcW w:w="1946" w:type="dxa"/>
            <w:vAlign w:val="center"/>
          </w:tcPr>
          <w:p w14:paraId="45C599AE">
            <w:pPr>
              <w:pStyle w:val="13"/>
            </w:pPr>
            <w:r>
              <w:t>城乡义务教育公用经费管理办法</w:t>
            </w:r>
          </w:p>
        </w:tc>
      </w:tr>
      <w:tr w14:paraId="71236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1DB7C4">
            <w:pPr>
              <w:pStyle w:val="12"/>
            </w:pPr>
            <w:r>
              <w:t>满意度指标</w:t>
            </w:r>
          </w:p>
        </w:tc>
        <w:tc>
          <w:tcPr>
            <w:tcW w:w="2268" w:type="dxa"/>
            <w:vAlign w:val="center"/>
          </w:tcPr>
          <w:p w14:paraId="7D19B3F5">
            <w:pPr>
              <w:pStyle w:val="13"/>
            </w:pPr>
            <w:r>
              <w:t>服务对象满意度指标</w:t>
            </w:r>
          </w:p>
        </w:tc>
        <w:tc>
          <w:tcPr>
            <w:tcW w:w="2835" w:type="dxa"/>
            <w:vAlign w:val="center"/>
          </w:tcPr>
          <w:p w14:paraId="12605183">
            <w:pPr>
              <w:pStyle w:val="13"/>
            </w:pPr>
            <w:r>
              <w:t>受益学生家长及调查满意度</w:t>
            </w:r>
          </w:p>
        </w:tc>
        <w:tc>
          <w:tcPr>
            <w:tcW w:w="5386" w:type="dxa"/>
            <w:vAlign w:val="center"/>
          </w:tcPr>
          <w:p w14:paraId="47704459">
            <w:pPr>
              <w:pStyle w:val="13"/>
            </w:pPr>
            <w:r>
              <w:t>学生、教师及家长对学校工作满意度情况</w:t>
            </w:r>
          </w:p>
        </w:tc>
        <w:tc>
          <w:tcPr>
            <w:tcW w:w="1598" w:type="dxa"/>
            <w:vAlign w:val="center"/>
          </w:tcPr>
          <w:p w14:paraId="30B6CEC8">
            <w:pPr>
              <w:pStyle w:val="13"/>
            </w:pPr>
            <w:r>
              <w:t>≥95%</w:t>
            </w:r>
          </w:p>
        </w:tc>
        <w:tc>
          <w:tcPr>
            <w:tcW w:w="1946" w:type="dxa"/>
            <w:vAlign w:val="center"/>
          </w:tcPr>
          <w:p w14:paraId="34799AC8">
            <w:pPr>
              <w:pStyle w:val="13"/>
            </w:pPr>
            <w:r>
              <w:t>城乡义务教育公用经费管理办法</w:t>
            </w:r>
          </w:p>
        </w:tc>
      </w:tr>
    </w:tbl>
    <w:p w14:paraId="632EF222">
      <w:pPr>
        <w:sectPr>
          <w:pgSz w:w="16840" w:h="11900" w:orient="landscape"/>
          <w:pgMar w:top="1361" w:right="1020" w:bottom="1134" w:left="1020" w:header="720" w:footer="720" w:gutter="0"/>
          <w:cols w:space="720" w:num="1"/>
        </w:sectPr>
      </w:pPr>
    </w:p>
    <w:p w14:paraId="74AAD2E3">
      <w:pPr>
        <w:spacing w:before="0" w:after="0"/>
        <w:ind w:firstLine="560"/>
        <w:jc w:val="left"/>
        <w:outlineLvl w:val="9"/>
      </w:pPr>
      <w:r>
        <w:rPr>
          <w:rFonts w:ascii="方正仿宋_GBK" w:hAnsi="方正仿宋_GBK" w:eastAsia="方正仿宋_GBK" w:cs="方正仿宋_GBK"/>
          <w:b/>
          <w:color w:val="000000"/>
          <w:sz w:val="28"/>
        </w:rPr>
        <w:t>2、冀财教[2024]121号/中央/2025年学前发展资金/魏庄校区学前教育幼儿资助绩效目标表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F1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F7779">
            <w:pPr>
              <w:pStyle w:val="14"/>
            </w:pPr>
            <w:r>
              <w:t>单位：万元</w:t>
            </w:r>
          </w:p>
        </w:tc>
      </w:tr>
      <w:tr w14:paraId="5F206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28117">
            <w:pPr>
              <w:pStyle w:val="11"/>
            </w:pPr>
            <w:r>
              <w:t>项目编码</w:t>
            </w:r>
          </w:p>
        </w:tc>
        <w:tc>
          <w:tcPr>
            <w:tcW w:w="5103" w:type="dxa"/>
            <w:gridSpan w:val="2"/>
            <w:vAlign w:val="center"/>
          </w:tcPr>
          <w:p w14:paraId="1AD07D4D">
            <w:pPr>
              <w:pStyle w:val="13"/>
            </w:pPr>
            <w:r>
              <w:t>13052525P00000210051K</w:t>
            </w:r>
          </w:p>
        </w:tc>
        <w:tc>
          <w:tcPr>
            <w:tcW w:w="2835" w:type="dxa"/>
            <w:vAlign w:val="center"/>
          </w:tcPr>
          <w:p w14:paraId="68DAAEE5">
            <w:pPr>
              <w:pStyle w:val="11"/>
            </w:pPr>
            <w:r>
              <w:t>项目名称</w:t>
            </w:r>
          </w:p>
        </w:tc>
        <w:tc>
          <w:tcPr>
            <w:tcW w:w="6095" w:type="dxa"/>
            <w:gridSpan w:val="3"/>
            <w:vAlign w:val="center"/>
          </w:tcPr>
          <w:p w14:paraId="7B715F96">
            <w:pPr>
              <w:pStyle w:val="13"/>
            </w:pPr>
            <w:r>
              <w:t>冀财教[2024]121号/中央/2025年学前发展资金/魏庄校区学前教育幼儿资助</w:t>
            </w:r>
          </w:p>
        </w:tc>
      </w:tr>
      <w:tr w14:paraId="0B7A7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B055A">
            <w:pPr>
              <w:pStyle w:val="11"/>
            </w:pPr>
            <w:r>
              <w:t>预算规模及资金用途</w:t>
            </w:r>
          </w:p>
        </w:tc>
        <w:tc>
          <w:tcPr>
            <w:tcW w:w="2268" w:type="dxa"/>
            <w:vAlign w:val="center"/>
          </w:tcPr>
          <w:p w14:paraId="5E1A0C0A">
            <w:pPr>
              <w:pStyle w:val="11"/>
            </w:pPr>
            <w:r>
              <w:t>预算数</w:t>
            </w:r>
          </w:p>
        </w:tc>
        <w:tc>
          <w:tcPr>
            <w:tcW w:w="2835" w:type="dxa"/>
            <w:vAlign w:val="center"/>
          </w:tcPr>
          <w:p w14:paraId="6ACC3D31">
            <w:pPr>
              <w:pStyle w:val="13"/>
            </w:pPr>
            <w:r>
              <w:t>1.62</w:t>
            </w:r>
          </w:p>
        </w:tc>
        <w:tc>
          <w:tcPr>
            <w:tcW w:w="2835" w:type="dxa"/>
            <w:vAlign w:val="center"/>
          </w:tcPr>
          <w:p w14:paraId="16CF3A91">
            <w:pPr>
              <w:pStyle w:val="11"/>
            </w:pPr>
            <w:r>
              <w:t>其中：财政    资金</w:t>
            </w:r>
          </w:p>
        </w:tc>
        <w:tc>
          <w:tcPr>
            <w:tcW w:w="2551" w:type="dxa"/>
            <w:vAlign w:val="center"/>
          </w:tcPr>
          <w:p w14:paraId="7C4B4704">
            <w:pPr>
              <w:pStyle w:val="13"/>
            </w:pPr>
            <w:r>
              <w:t>1.62</w:t>
            </w:r>
          </w:p>
        </w:tc>
        <w:tc>
          <w:tcPr>
            <w:tcW w:w="2268" w:type="dxa"/>
            <w:vAlign w:val="center"/>
          </w:tcPr>
          <w:p w14:paraId="4418E275">
            <w:pPr>
              <w:pStyle w:val="11"/>
            </w:pPr>
            <w:r>
              <w:t>其他资金</w:t>
            </w:r>
          </w:p>
        </w:tc>
        <w:tc>
          <w:tcPr>
            <w:tcW w:w="1276" w:type="dxa"/>
            <w:vAlign w:val="center"/>
          </w:tcPr>
          <w:p w14:paraId="595B2172">
            <w:pPr>
              <w:pStyle w:val="13"/>
            </w:pPr>
            <w:r>
              <w:t xml:space="preserve"> </w:t>
            </w:r>
          </w:p>
        </w:tc>
      </w:tr>
      <w:tr w14:paraId="257E6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12AB5"/>
        </w:tc>
        <w:tc>
          <w:tcPr>
            <w:tcW w:w="14033" w:type="dxa"/>
            <w:gridSpan w:val="6"/>
            <w:vAlign w:val="center"/>
          </w:tcPr>
          <w:p w14:paraId="5C9CCF5C">
            <w:pPr>
              <w:pStyle w:val="13"/>
            </w:pPr>
            <w:r>
              <w:t>保证本年度资助经费足额落实到位，符合享受资助条件的学生应助尽助。保障落实建档立卡及家庭经济困难儿童资助所需资金，确保建档立卡等家庭经济困难幼儿优先获得资助</w:t>
            </w:r>
          </w:p>
        </w:tc>
      </w:tr>
      <w:tr w14:paraId="5D41E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D3B42">
            <w:pPr>
              <w:pStyle w:val="11"/>
            </w:pPr>
            <w:r>
              <w:t>资金支出计划（%）</w:t>
            </w:r>
          </w:p>
        </w:tc>
        <w:tc>
          <w:tcPr>
            <w:tcW w:w="5103" w:type="dxa"/>
            <w:gridSpan w:val="2"/>
            <w:vAlign w:val="center"/>
          </w:tcPr>
          <w:p w14:paraId="1819F7B7">
            <w:pPr>
              <w:pStyle w:val="11"/>
            </w:pPr>
            <w:r>
              <w:t>3月底</w:t>
            </w:r>
          </w:p>
        </w:tc>
        <w:tc>
          <w:tcPr>
            <w:tcW w:w="2835" w:type="dxa"/>
            <w:vAlign w:val="center"/>
          </w:tcPr>
          <w:p w14:paraId="7FA1363D">
            <w:pPr>
              <w:pStyle w:val="11"/>
            </w:pPr>
            <w:r>
              <w:t>6月底</w:t>
            </w:r>
          </w:p>
        </w:tc>
        <w:tc>
          <w:tcPr>
            <w:tcW w:w="2551" w:type="dxa"/>
            <w:vAlign w:val="center"/>
          </w:tcPr>
          <w:p w14:paraId="33064DDC">
            <w:pPr>
              <w:pStyle w:val="11"/>
            </w:pPr>
            <w:r>
              <w:t>10月底</w:t>
            </w:r>
          </w:p>
        </w:tc>
        <w:tc>
          <w:tcPr>
            <w:tcW w:w="3544" w:type="dxa"/>
            <w:gridSpan w:val="2"/>
            <w:vAlign w:val="center"/>
          </w:tcPr>
          <w:p w14:paraId="3B418454">
            <w:pPr>
              <w:pStyle w:val="11"/>
            </w:pPr>
            <w:r>
              <w:t>12月底</w:t>
            </w:r>
          </w:p>
        </w:tc>
      </w:tr>
      <w:tr w14:paraId="261B3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588C4"/>
        </w:tc>
        <w:tc>
          <w:tcPr>
            <w:tcW w:w="5103" w:type="dxa"/>
            <w:gridSpan w:val="2"/>
            <w:vAlign w:val="center"/>
          </w:tcPr>
          <w:p w14:paraId="585F86E8">
            <w:pPr>
              <w:pStyle w:val="12"/>
            </w:pPr>
            <w:r>
              <w:t>25%</w:t>
            </w:r>
          </w:p>
        </w:tc>
        <w:tc>
          <w:tcPr>
            <w:tcW w:w="2835" w:type="dxa"/>
            <w:vAlign w:val="center"/>
          </w:tcPr>
          <w:p w14:paraId="20F0B9B6">
            <w:pPr>
              <w:pStyle w:val="12"/>
            </w:pPr>
            <w:r>
              <w:t>50%</w:t>
            </w:r>
          </w:p>
        </w:tc>
        <w:tc>
          <w:tcPr>
            <w:tcW w:w="2551" w:type="dxa"/>
            <w:vAlign w:val="center"/>
          </w:tcPr>
          <w:p w14:paraId="1880EA99">
            <w:pPr>
              <w:pStyle w:val="12"/>
            </w:pPr>
            <w:r>
              <w:t>75%</w:t>
            </w:r>
          </w:p>
        </w:tc>
        <w:tc>
          <w:tcPr>
            <w:tcW w:w="3544" w:type="dxa"/>
            <w:gridSpan w:val="2"/>
            <w:vAlign w:val="center"/>
          </w:tcPr>
          <w:p w14:paraId="29EABB9C">
            <w:pPr>
              <w:pStyle w:val="12"/>
            </w:pPr>
            <w:r>
              <w:t>100%</w:t>
            </w:r>
          </w:p>
        </w:tc>
      </w:tr>
      <w:tr w14:paraId="4733F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F72D69">
            <w:pPr>
              <w:pStyle w:val="11"/>
            </w:pPr>
            <w:r>
              <w:t>绩效目标</w:t>
            </w:r>
          </w:p>
        </w:tc>
        <w:tc>
          <w:tcPr>
            <w:tcW w:w="14033" w:type="dxa"/>
            <w:gridSpan w:val="6"/>
            <w:vAlign w:val="center"/>
          </w:tcPr>
          <w:p w14:paraId="29F73C81">
            <w:pPr>
              <w:pStyle w:val="13"/>
            </w:pPr>
            <w:r>
              <w:t>1.保证本年度资助经费足额落实到位，符合享受资助条件的学生应助尽助。</w:t>
            </w:r>
          </w:p>
          <w:p w14:paraId="09276872">
            <w:pPr>
              <w:pStyle w:val="13"/>
            </w:pPr>
            <w:r>
              <w:t>2.保障落实建档立卡及家庭经济困难儿童资助所需资金，确保建档立卡等家庭经济困难幼儿优先获得资助</w:t>
            </w:r>
          </w:p>
        </w:tc>
      </w:tr>
    </w:tbl>
    <w:p w14:paraId="2C05A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07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7D276">
            <w:pPr>
              <w:pStyle w:val="11"/>
            </w:pPr>
            <w:r>
              <w:t>一级指标</w:t>
            </w:r>
          </w:p>
        </w:tc>
        <w:tc>
          <w:tcPr>
            <w:tcW w:w="2268" w:type="dxa"/>
            <w:vAlign w:val="center"/>
          </w:tcPr>
          <w:p w14:paraId="2D7F5F3A">
            <w:pPr>
              <w:pStyle w:val="11"/>
            </w:pPr>
            <w:r>
              <w:t>二级指标</w:t>
            </w:r>
          </w:p>
        </w:tc>
        <w:tc>
          <w:tcPr>
            <w:tcW w:w="2835" w:type="dxa"/>
            <w:vAlign w:val="center"/>
          </w:tcPr>
          <w:p w14:paraId="53524B44">
            <w:pPr>
              <w:pStyle w:val="11"/>
            </w:pPr>
            <w:r>
              <w:t>三级指标</w:t>
            </w:r>
          </w:p>
        </w:tc>
        <w:tc>
          <w:tcPr>
            <w:tcW w:w="5386" w:type="dxa"/>
            <w:vAlign w:val="center"/>
          </w:tcPr>
          <w:p w14:paraId="7FE9B6FD">
            <w:pPr>
              <w:pStyle w:val="11"/>
            </w:pPr>
            <w:r>
              <w:t>绩效指标描述</w:t>
            </w:r>
          </w:p>
        </w:tc>
        <w:tc>
          <w:tcPr>
            <w:tcW w:w="2268" w:type="dxa"/>
            <w:vAlign w:val="center"/>
          </w:tcPr>
          <w:p w14:paraId="3ADEF827">
            <w:pPr>
              <w:pStyle w:val="11"/>
            </w:pPr>
            <w:r>
              <w:t>指标值</w:t>
            </w:r>
          </w:p>
        </w:tc>
        <w:tc>
          <w:tcPr>
            <w:tcW w:w="1276" w:type="dxa"/>
            <w:vAlign w:val="center"/>
          </w:tcPr>
          <w:p w14:paraId="5F5C4480">
            <w:pPr>
              <w:pStyle w:val="11"/>
            </w:pPr>
            <w:r>
              <w:t>指标值确定依据</w:t>
            </w:r>
          </w:p>
        </w:tc>
      </w:tr>
      <w:tr w14:paraId="0C4AE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72BCD">
            <w:pPr>
              <w:pStyle w:val="12"/>
            </w:pPr>
            <w:r>
              <w:t>产出指标</w:t>
            </w:r>
          </w:p>
        </w:tc>
        <w:tc>
          <w:tcPr>
            <w:tcW w:w="2268" w:type="dxa"/>
            <w:vAlign w:val="center"/>
          </w:tcPr>
          <w:p w14:paraId="31932EA4">
            <w:pPr>
              <w:pStyle w:val="13"/>
            </w:pPr>
            <w:r>
              <w:t>数量指标</w:t>
            </w:r>
          </w:p>
        </w:tc>
        <w:tc>
          <w:tcPr>
            <w:tcW w:w="2835" w:type="dxa"/>
            <w:vAlign w:val="center"/>
          </w:tcPr>
          <w:p w14:paraId="54C1BDFA">
            <w:pPr>
              <w:pStyle w:val="13"/>
            </w:pPr>
            <w:r>
              <w:t>幼儿资助比例</w:t>
            </w:r>
          </w:p>
        </w:tc>
        <w:tc>
          <w:tcPr>
            <w:tcW w:w="5386" w:type="dxa"/>
            <w:vAlign w:val="center"/>
          </w:tcPr>
          <w:p w14:paraId="31A860A7">
            <w:pPr>
              <w:pStyle w:val="13"/>
            </w:pPr>
            <w:r>
              <w:t>按学前适龄在园儿童10%测算</w:t>
            </w:r>
          </w:p>
        </w:tc>
        <w:tc>
          <w:tcPr>
            <w:tcW w:w="2268" w:type="dxa"/>
            <w:vAlign w:val="center"/>
          </w:tcPr>
          <w:p w14:paraId="1A2EDBBC">
            <w:pPr>
              <w:pStyle w:val="13"/>
            </w:pPr>
            <w:r>
              <w:t>10%</w:t>
            </w:r>
          </w:p>
        </w:tc>
        <w:tc>
          <w:tcPr>
            <w:tcW w:w="1276" w:type="dxa"/>
            <w:vAlign w:val="center"/>
          </w:tcPr>
          <w:p w14:paraId="75E33386">
            <w:pPr>
              <w:pStyle w:val="13"/>
            </w:pPr>
            <w:r>
              <w:t>幼儿资助经费管理办法</w:t>
            </w:r>
          </w:p>
        </w:tc>
      </w:tr>
      <w:tr w14:paraId="783C8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D3C9"/>
        </w:tc>
        <w:tc>
          <w:tcPr>
            <w:tcW w:w="2268" w:type="dxa"/>
            <w:vAlign w:val="center"/>
          </w:tcPr>
          <w:p w14:paraId="5C24863F">
            <w:pPr>
              <w:pStyle w:val="13"/>
            </w:pPr>
            <w:r>
              <w:t>质量指标</w:t>
            </w:r>
          </w:p>
        </w:tc>
        <w:tc>
          <w:tcPr>
            <w:tcW w:w="2835" w:type="dxa"/>
            <w:vAlign w:val="center"/>
          </w:tcPr>
          <w:p w14:paraId="0B037983">
            <w:pPr>
              <w:pStyle w:val="13"/>
            </w:pPr>
            <w:r>
              <w:t>资助资金使用率</w:t>
            </w:r>
          </w:p>
        </w:tc>
        <w:tc>
          <w:tcPr>
            <w:tcW w:w="5386" w:type="dxa"/>
            <w:vAlign w:val="center"/>
          </w:tcPr>
          <w:p w14:paraId="0539721B">
            <w:pPr>
              <w:pStyle w:val="13"/>
            </w:pPr>
            <w:r>
              <w:t>符合享受资助条件的学生应助尽助</w:t>
            </w:r>
          </w:p>
        </w:tc>
        <w:tc>
          <w:tcPr>
            <w:tcW w:w="2268" w:type="dxa"/>
            <w:vAlign w:val="center"/>
          </w:tcPr>
          <w:p w14:paraId="25EE310E">
            <w:pPr>
              <w:pStyle w:val="13"/>
            </w:pPr>
            <w:r>
              <w:t>≥100%</w:t>
            </w:r>
          </w:p>
        </w:tc>
        <w:tc>
          <w:tcPr>
            <w:tcW w:w="1276" w:type="dxa"/>
            <w:vAlign w:val="center"/>
          </w:tcPr>
          <w:p w14:paraId="74A02F77">
            <w:pPr>
              <w:pStyle w:val="13"/>
            </w:pPr>
            <w:r>
              <w:t>幼儿资助经费管理办法</w:t>
            </w:r>
          </w:p>
        </w:tc>
      </w:tr>
      <w:tr w14:paraId="374BB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0E213"/>
        </w:tc>
        <w:tc>
          <w:tcPr>
            <w:tcW w:w="2268" w:type="dxa"/>
            <w:vAlign w:val="center"/>
          </w:tcPr>
          <w:p w14:paraId="2B8DFC03">
            <w:pPr>
              <w:pStyle w:val="13"/>
            </w:pPr>
            <w:r>
              <w:t>时效指标</w:t>
            </w:r>
          </w:p>
        </w:tc>
        <w:tc>
          <w:tcPr>
            <w:tcW w:w="2835" w:type="dxa"/>
            <w:vAlign w:val="center"/>
          </w:tcPr>
          <w:p w14:paraId="16A4D7B9">
            <w:pPr>
              <w:pStyle w:val="13"/>
            </w:pPr>
            <w:r>
              <w:t>资金拨付率</w:t>
            </w:r>
          </w:p>
        </w:tc>
        <w:tc>
          <w:tcPr>
            <w:tcW w:w="5386" w:type="dxa"/>
            <w:vAlign w:val="center"/>
          </w:tcPr>
          <w:p w14:paraId="31EF1498">
            <w:pPr>
              <w:pStyle w:val="13"/>
            </w:pPr>
            <w:r>
              <w:t>所有项目资金支付进度</w:t>
            </w:r>
          </w:p>
        </w:tc>
        <w:tc>
          <w:tcPr>
            <w:tcW w:w="2268" w:type="dxa"/>
            <w:vAlign w:val="center"/>
          </w:tcPr>
          <w:p w14:paraId="33772FF4">
            <w:pPr>
              <w:pStyle w:val="13"/>
            </w:pPr>
            <w:r>
              <w:t>≥100%</w:t>
            </w:r>
          </w:p>
        </w:tc>
        <w:tc>
          <w:tcPr>
            <w:tcW w:w="1276" w:type="dxa"/>
            <w:vAlign w:val="center"/>
          </w:tcPr>
          <w:p w14:paraId="6F57949E">
            <w:pPr>
              <w:pStyle w:val="13"/>
            </w:pPr>
            <w:r>
              <w:t>幼儿资助经费管理办法</w:t>
            </w:r>
          </w:p>
        </w:tc>
      </w:tr>
      <w:tr w14:paraId="7392C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F225E"/>
        </w:tc>
        <w:tc>
          <w:tcPr>
            <w:tcW w:w="2268" w:type="dxa"/>
            <w:vAlign w:val="center"/>
          </w:tcPr>
          <w:p w14:paraId="788299E7">
            <w:pPr>
              <w:pStyle w:val="13"/>
            </w:pPr>
            <w:r>
              <w:t>成本指标</w:t>
            </w:r>
          </w:p>
        </w:tc>
        <w:tc>
          <w:tcPr>
            <w:tcW w:w="2835" w:type="dxa"/>
            <w:vAlign w:val="center"/>
          </w:tcPr>
          <w:p w14:paraId="1760B1EA">
            <w:pPr>
              <w:pStyle w:val="13"/>
            </w:pPr>
            <w:r>
              <w:t>幼儿园生均成本</w:t>
            </w:r>
          </w:p>
        </w:tc>
        <w:tc>
          <w:tcPr>
            <w:tcW w:w="5386" w:type="dxa"/>
            <w:vAlign w:val="center"/>
          </w:tcPr>
          <w:p w14:paraId="0899EEC6">
            <w:pPr>
              <w:pStyle w:val="13"/>
            </w:pPr>
            <w:r>
              <w:t>按照幼儿园资助标准1000元/生/年</w:t>
            </w:r>
          </w:p>
        </w:tc>
        <w:tc>
          <w:tcPr>
            <w:tcW w:w="2268" w:type="dxa"/>
            <w:vAlign w:val="center"/>
          </w:tcPr>
          <w:p w14:paraId="7DB72FD0">
            <w:pPr>
              <w:pStyle w:val="13"/>
            </w:pPr>
            <w:r>
              <w:t>1000元</w:t>
            </w:r>
          </w:p>
        </w:tc>
        <w:tc>
          <w:tcPr>
            <w:tcW w:w="1276" w:type="dxa"/>
            <w:vAlign w:val="center"/>
          </w:tcPr>
          <w:p w14:paraId="44AC7394">
            <w:pPr>
              <w:pStyle w:val="13"/>
            </w:pPr>
            <w:r>
              <w:t>幼儿资助经费管理办法</w:t>
            </w:r>
          </w:p>
        </w:tc>
      </w:tr>
      <w:tr w14:paraId="6EA9F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282A6">
            <w:pPr>
              <w:pStyle w:val="12"/>
            </w:pPr>
            <w:r>
              <w:t>效益指标</w:t>
            </w:r>
          </w:p>
        </w:tc>
        <w:tc>
          <w:tcPr>
            <w:tcW w:w="2268" w:type="dxa"/>
            <w:vAlign w:val="center"/>
          </w:tcPr>
          <w:p w14:paraId="0975A497">
            <w:pPr>
              <w:pStyle w:val="13"/>
            </w:pPr>
            <w:r>
              <w:t>可持续影响指标</w:t>
            </w:r>
          </w:p>
        </w:tc>
        <w:tc>
          <w:tcPr>
            <w:tcW w:w="2835" w:type="dxa"/>
            <w:vAlign w:val="center"/>
          </w:tcPr>
          <w:p w14:paraId="738FF2E6">
            <w:pPr>
              <w:pStyle w:val="13"/>
            </w:pPr>
            <w:r>
              <w:t>幼儿园正常运转</w:t>
            </w:r>
          </w:p>
        </w:tc>
        <w:tc>
          <w:tcPr>
            <w:tcW w:w="5386" w:type="dxa"/>
            <w:vAlign w:val="center"/>
          </w:tcPr>
          <w:p w14:paraId="1CC9A524">
            <w:pPr>
              <w:pStyle w:val="13"/>
            </w:pPr>
            <w:r>
              <w:t>幼儿受教育年限</w:t>
            </w:r>
          </w:p>
        </w:tc>
        <w:tc>
          <w:tcPr>
            <w:tcW w:w="2268" w:type="dxa"/>
            <w:vAlign w:val="center"/>
          </w:tcPr>
          <w:p w14:paraId="16FADB62">
            <w:pPr>
              <w:pStyle w:val="13"/>
            </w:pPr>
            <w:r>
              <w:t>3年</w:t>
            </w:r>
          </w:p>
        </w:tc>
        <w:tc>
          <w:tcPr>
            <w:tcW w:w="1276" w:type="dxa"/>
            <w:vAlign w:val="center"/>
          </w:tcPr>
          <w:p w14:paraId="77F30A37">
            <w:pPr>
              <w:pStyle w:val="13"/>
            </w:pPr>
            <w:r>
              <w:t>幼儿资助经费管理办法</w:t>
            </w:r>
          </w:p>
        </w:tc>
      </w:tr>
      <w:tr w14:paraId="3FD7E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A33310">
            <w:pPr>
              <w:pStyle w:val="12"/>
            </w:pPr>
            <w:r>
              <w:t>满意度指标</w:t>
            </w:r>
          </w:p>
        </w:tc>
        <w:tc>
          <w:tcPr>
            <w:tcW w:w="2268" w:type="dxa"/>
            <w:vAlign w:val="center"/>
          </w:tcPr>
          <w:p w14:paraId="5121FF87">
            <w:pPr>
              <w:pStyle w:val="13"/>
            </w:pPr>
            <w:r>
              <w:t>服务对象满意度指标</w:t>
            </w:r>
          </w:p>
        </w:tc>
        <w:tc>
          <w:tcPr>
            <w:tcW w:w="2835" w:type="dxa"/>
            <w:vAlign w:val="center"/>
          </w:tcPr>
          <w:p w14:paraId="11E4C9C9">
            <w:pPr>
              <w:pStyle w:val="13"/>
            </w:pPr>
            <w:r>
              <w:t>受益幼儿家长及调查满意度</w:t>
            </w:r>
          </w:p>
        </w:tc>
        <w:tc>
          <w:tcPr>
            <w:tcW w:w="5386" w:type="dxa"/>
            <w:vAlign w:val="center"/>
          </w:tcPr>
          <w:p w14:paraId="68444C16">
            <w:pPr>
              <w:pStyle w:val="13"/>
            </w:pPr>
            <w:r>
              <w:t>学生、教师及家长对学校保教保育工作满意度情况</w:t>
            </w:r>
          </w:p>
        </w:tc>
        <w:tc>
          <w:tcPr>
            <w:tcW w:w="2268" w:type="dxa"/>
            <w:vAlign w:val="center"/>
          </w:tcPr>
          <w:p w14:paraId="262D1969">
            <w:pPr>
              <w:pStyle w:val="13"/>
            </w:pPr>
            <w:r>
              <w:t>≥95%</w:t>
            </w:r>
          </w:p>
        </w:tc>
        <w:tc>
          <w:tcPr>
            <w:tcW w:w="1276" w:type="dxa"/>
            <w:vAlign w:val="center"/>
          </w:tcPr>
          <w:p w14:paraId="0B67BC9A">
            <w:pPr>
              <w:pStyle w:val="13"/>
            </w:pPr>
            <w:r>
              <w:t>幼儿资助经费管理办法</w:t>
            </w:r>
          </w:p>
        </w:tc>
      </w:tr>
    </w:tbl>
    <w:p w14:paraId="03B3D593">
      <w:pPr>
        <w:sectPr>
          <w:pgSz w:w="16840" w:h="11900" w:orient="landscape"/>
          <w:pgMar w:top="1361" w:right="1020" w:bottom="1134" w:left="1020" w:header="720" w:footer="720" w:gutter="0"/>
          <w:cols w:space="720" w:num="1"/>
        </w:sectPr>
      </w:pPr>
    </w:p>
    <w:p w14:paraId="5E7E19B8">
      <w:pPr>
        <w:spacing w:before="0" w:after="0"/>
        <w:ind w:firstLine="560"/>
        <w:jc w:val="left"/>
        <w:outlineLvl w:val="9"/>
      </w:pPr>
      <w:r>
        <w:rPr>
          <w:rFonts w:ascii="方正仿宋_GBK" w:hAnsi="方正仿宋_GBK" w:eastAsia="方正仿宋_GBK" w:cs="方正仿宋_GBK"/>
          <w:b/>
          <w:color w:val="000000"/>
          <w:sz w:val="28"/>
        </w:rPr>
        <w:t>3、冀财教[2024]122号/中央/2025年薄改与提升/隆尧县魏庄镇魏庄中心小学新建学生宿舍楼及消防工程绩效目标表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81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1F8F0">
            <w:pPr>
              <w:pStyle w:val="14"/>
            </w:pPr>
            <w:r>
              <w:t>单位：万元</w:t>
            </w:r>
          </w:p>
        </w:tc>
      </w:tr>
      <w:tr w14:paraId="0F30C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B6ED30">
            <w:pPr>
              <w:pStyle w:val="11"/>
            </w:pPr>
            <w:r>
              <w:t>项目编码</w:t>
            </w:r>
          </w:p>
        </w:tc>
        <w:tc>
          <w:tcPr>
            <w:tcW w:w="5103" w:type="dxa"/>
            <w:gridSpan w:val="2"/>
            <w:vAlign w:val="center"/>
          </w:tcPr>
          <w:p w14:paraId="743DD4D5">
            <w:pPr>
              <w:pStyle w:val="13"/>
            </w:pPr>
            <w:r>
              <w:t>13052525P00877010002X</w:t>
            </w:r>
          </w:p>
        </w:tc>
        <w:tc>
          <w:tcPr>
            <w:tcW w:w="2835" w:type="dxa"/>
            <w:vAlign w:val="center"/>
          </w:tcPr>
          <w:p w14:paraId="407DFB43">
            <w:pPr>
              <w:pStyle w:val="11"/>
            </w:pPr>
            <w:r>
              <w:t>项目名称</w:t>
            </w:r>
          </w:p>
        </w:tc>
        <w:tc>
          <w:tcPr>
            <w:tcW w:w="6095" w:type="dxa"/>
            <w:gridSpan w:val="3"/>
            <w:vAlign w:val="center"/>
          </w:tcPr>
          <w:p w14:paraId="1C3E3B17">
            <w:pPr>
              <w:pStyle w:val="13"/>
            </w:pPr>
            <w:r>
              <w:t>冀财教[2024]122号/中央/2025年薄改与提升/隆尧县魏庄镇魏庄中心小学新建学生宿舍楼及消防工程</w:t>
            </w:r>
          </w:p>
        </w:tc>
      </w:tr>
      <w:tr w14:paraId="08E44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289CE">
            <w:pPr>
              <w:pStyle w:val="11"/>
            </w:pPr>
            <w:r>
              <w:t>预算规模及资金用途</w:t>
            </w:r>
          </w:p>
        </w:tc>
        <w:tc>
          <w:tcPr>
            <w:tcW w:w="2268" w:type="dxa"/>
            <w:vAlign w:val="center"/>
          </w:tcPr>
          <w:p w14:paraId="116FDFAD">
            <w:pPr>
              <w:pStyle w:val="11"/>
            </w:pPr>
            <w:r>
              <w:t>预算数</w:t>
            </w:r>
          </w:p>
        </w:tc>
        <w:tc>
          <w:tcPr>
            <w:tcW w:w="2835" w:type="dxa"/>
            <w:vAlign w:val="center"/>
          </w:tcPr>
          <w:p w14:paraId="2172AB8D">
            <w:pPr>
              <w:pStyle w:val="13"/>
            </w:pPr>
            <w:r>
              <w:t>603.00</w:t>
            </w:r>
          </w:p>
        </w:tc>
        <w:tc>
          <w:tcPr>
            <w:tcW w:w="2835" w:type="dxa"/>
            <w:vAlign w:val="center"/>
          </w:tcPr>
          <w:p w14:paraId="7762B968">
            <w:pPr>
              <w:pStyle w:val="11"/>
            </w:pPr>
            <w:r>
              <w:t>其中：财政    资金</w:t>
            </w:r>
          </w:p>
        </w:tc>
        <w:tc>
          <w:tcPr>
            <w:tcW w:w="2551" w:type="dxa"/>
            <w:vAlign w:val="center"/>
          </w:tcPr>
          <w:p w14:paraId="5E588F2E">
            <w:pPr>
              <w:pStyle w:val="13"/>
            </w:pPr>
            <w:r>
              <w:t>603.00</w:t>
            </w:r>
          </w:p>
        </w:tc>
        <w:tc>
          <w:tcPr>
            <w:tcW w:w="2268" w:type="dxa"/>
            <w:vAlign w:val="center"/>
          </w:tcPr>
          <w:p w14:paraId="3274EA4C">
            <w:pPr>
              <w:pStyle w:val="11"/>
            </w:pPr>
            <w:r>
              <w:t>其他资金</w:t>
            </w:r>
          </w:p>
        </w:tc>
        <w:tc>
          <w:tcPr>
            <w:tcW w:w="1276" w:type="dxa"/>
            <w:vAlign w:val="center"/>
          </w:tcPr>
          <w:p w14:paraId="51F7390C">
            <w:pPr>
              <w:pStyle w:val="13"/>
            </w:pPr>
            <w:r>
              <w:t xml:space="preserve"> </w:t>
            </w:r>
          </w:p>
        </w:tc>
      </w:tr>
      <w:tr w14:paraId="6DF64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F153D"/>
        </w:tc>
        <w:tc>
          <w:tcPr>
            <w:tcW w:w="14033" w:type="dxa"/>
            <w:gridSpan w:val="6"/>
            <w:vAlign w:val="center"/>
          </w:tcPr>
          <w:p w14:paraId="33073477">
            <w:pPr>
              <w:pStyle w:val="13"/>
            </w:pPr>
            <w:r>
              <w:t>完成魏庄中心小学学生宿舍楼建设，提高学生生活水平。</w:t>
            </w:r>
            <w:r>
              <w:tab/>
            </w:r>
          </w:p>
        </w:tc>
      </w:tr>
      <w:tr w14:paraId="1B339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8F159">
            <w:pPr>
              <w:pStyle w:val="11"/>
            </w:pPr>
            <w:r>
              <w:t>资金支出计划（%）</w:t>
            </w:r>
          </w:p>
        </w:tc>
        <w:tc>
          <w:tcPr>
            <w:tcW w:w="5103" w:type="dxa"/>
            <w:gridSpan w:val="2"/>
            <w:vAlign w:val="center"/>
          </w:tcPr>
          <w:p w14:paraId="2CCEA590">
            <w:pPr>
              <w:pStyle w:val="11"/>
            </w:pPr>
            <w:r>
              <w:t>3月底</w:t>
            </w:r>
          </w:p>
        </w:tc>
        <w:tc>
          <w:tcPr>
            <w:tcW w:w="2835" w:type="dxa"/>
            <w:vAlign w:val="center"/>
          </w:tcPr>
          <w:p w14:paraId="6B925405">
            <w:pPr>
              <w:pStyle w:val="11"/>
            </w:pPr>
            <w:r>
              <w:t>6月底</w:t>
            </w:r>
          </w:p>
        </w:tc>
        <w:tc>
          <w:tcPr>
            <w:tcW w:w="2551" w:type="dxa"/>
            <w:vAlign w:val="center"/>
          </w:tcPr>
          <w:p w14:paraId="43E5DD08">
            <w:pPr>
              <w:pStyle w:val="11"/>
            </w:pPr>
            <w:r>
              <w:t>10月底</w:t>
            </w:r>
          </w:p>
        </w:tc>
        <w:tc>
          <w:tcPr>
            <w:tcW w:w="3544" w:type="dxa"/>
            <w:gridSpan w:val="2"/>
            <w:vAlign w:val="center"/>
          </w:tcPr>
          <w:p w14:paraId="37CBE37A">
            <w:pPr>
              <w:pStyle w:val="11"/>
            </w:pPr>
            <w:r>
              <w:t>12月底</w:t>
            </w:r>
          </w:p>
        </w:tc>
      </w:tr>
      <w:tr w14:paraId="2860D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6738A"/>
        </w:tc>
        <w:tc>
          <w:tcPr>
            <w:tcW w:w="5103" w:type="dxa"/>
            <w:gridSpan w:val="2"/>
            <w:vAlign w:val="center"/>
          </w:tcPr>
          <w:p w14:paraId="379F8718">
            <w:pPr>
              <w:pStyle w:val="12"/>
            </w:pPr>
            <w:r>
              <w:t xml:space="preserve"> </w:t>
            </w:r>
          </w:p>
        </w:tc>
        <w:tc>
          <w:tcPr>
            <w:tcW w:w="2835" w:type="dxa"/>
            <w:vAlign w:val="center"/>
          </w:tcPr>
          <w:p w14:paraId="65E5FA93">
            <w:pPr>
              <w:pStyle w:val="12"/>
            </w:pPr>
            <w:r>
              <w:t>50%</w:t>
            </w:r>
          </w:p>
        </w:tc>
        <w:tc>
          <w:tcPr>
            <w:tcW w:w="2551" w:type="dxa"/>
            <w:vAlign w:val="center"/>
          </w:tcPr>
          <w:p w14:paraId="3E6474CF">
            <w:pPr>
              <w:pStyle w:val="12"/>
            </w:pPr>
            <w:r>
              <w:t>50%</w:t>
            </w:r>
          </w:p>
        </w:tc>
        <w:tc>
          <w:tcPr>
            <w:tcW w:w="3544" w:type="dxa"/>
            <w:gridSpan w:val="2"/>
            <w:vAlign w:val="center"/>
          </w:tcPr>
          <w:p w14:paraId="6930E78A">
            <w:pPr>
              <w:pStyle w:val="12"/>
            </w:pPr>
            <w:r>
              <w:t>100%</w:t>
            </w:r>
          </w:p>
        </w:tc>
      </w:tr>
      <w:tr w14:paraId="64EF3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3803A">
            <w:pPr>
              <w:pStyle w:val="11"/>
            </w:pPr>
            <w:r>
              <w:t>绩效目标</w:t>
            </w:r>
          </w:p>
        </w:tc>
        <w:tc>
          <w:tcPr>
            <w:tcW w:w="14033" w:type="dxa"/>
            <w:gridSpan w:val="6"/>
            <w:vAlign w:val="center"/>
          </w:tcPr>
          <w:p w14:paraId="66901B0D">
            <w:pPr>
              <w:pStyle w:val="13"/>
            </w:pPr>
            <w:r>
              <w:t>1.按照项目进度及时进行项目资金支付。</w:t>
            </w:r>
            <w:r>
              <w:tab/>
            </w:r>
          </w:p>
          <w:p w14:paraId="5CD2550E">
            <w:pPr>
              <w:pStyle w:val="13"/>
            </w:pPr>
            <w:r>
              <w:t>2.按照规划完成魏庄中心小学学生宿舍楼建设，提高学生生活水平。</w:t>
            </w:r>
            <w:r>
              <w:tab/>
            </w:r>
          </w:p>
        </w:tc>
      </w:tr>
    </w:tbl>
    <w:p w14:paraId="7366A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90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C1F03">
            <w:pPr>
              <w:pStyle w:val="11"/>
            </w:pPr>
            <w:r>
              <w:t>一级指标</w:t>
            </w:r>
          </w:p>
        </w:tc>
        <w:tc>
          <w:tcPr>
            <w:tcW w:w="2268" w:type="dxa"/>
            <w:vAlign w:val="center"/>
          </w:tcPr>
          <w:p w14:paraId="186440D8">
            <w:pPr>
              <w:pStyle w:val="11"/>
            </w:pPr>
            <w:r>
              <w:t>二级指标</w:t>
            </w:r>
          </w:p>
        </w:tc>
        <w:tc>
          <w:tcPr>
            <w:tcW w:w="2835" w:type="dxa"/>
            <w:vAlign w:val="center"/>
          </w:tcPr>
          <w:p w14:paraId="09C05EA3">
            <w:pPr>
              <w:pStyle w:val="11"/>
            </w:pPr>
            <w:r>
              <w:t>三级指标</w:t>
            </w:r>
          </w:p>
        </w:tc>
        <w:tc>
          <w:tcPr>
            <w:tcW w:w="5386" w:type="dxa"/>
            <w:vAlign w:val="center"/>
          </w:tcPr>
          <w:p w14:paraId="10206693">
            <w:pPr>
              <w:pStyle w:val="11"/>
            </w:pPr>
            <w:r>
              <w:t>绩效指标描述</w:t>
            </w:r>
          </w:p>
        </w:tc>
        <w:tc>
          <w:tcPr>
            <w:tcW w:w="2268" w:type="dxa"/>
            <w:vAlign w:val="center"/>
          </w:tcPr>
          <w:p w14:paraId="00888EFE">
            <w:pPr>
              <w:pStyle w:val="11"/>
            </w:pPr>
            <w:r>
              <w:t>指标值</w:t>
            </w:r>
          </w:p>
        </w:tc>
        <w:tc>
          <w:tcPr>
            <w:tcW w:w="1276" w:type="dxa"/>
            <w:vAlign w:val="center"/>
          </w:tcPr>
          <w:p w14:paraId="36D839F4">
            <w:pPr>
              <w:pStyle w:val="11"/>
            </w:pPr>
            <w:r>
              <w:t>指标值确定依据</w:t>
            </w:r>
          </w:p>
        </w:tc>
      </w:tr>
      <w:tr w14:paraId="582B1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080A6">
            <w:pPr>
              <w:pStyle w:val="12"/>
            </w:pPr>
            <w:r>
              <w:t>产出指标</w:t>
            </w:r>
          </w:p>
        </w:tc>
        <w:tc>
          <w:tcPr>
            <w:tcW w:w="2268" w:type="dxa"/>
            <w:vAlign w:val="center"/>
          </w:tcPr>
          <w:p w14:paraId="405BF42B">
            <w:pPr>
              <w:pStyle w:val="13"/>
            </w:pPr>
            <w:r>
              <w:t>数量指标</w:t>
            </w:r>
          </w:p>
        </w:tc>
        <w:tc>
          <w:tcPr>
            <w:tcW w:w="2835" w:type="dxa"/>
            <w:vAlign w:val="center"/>
          </w:tcPr>
          <w:p w14:paraId="177FCC22">
            <w:pPr>
              <w:pStyle w:val="13"/>
            </w:pPr>
            <w:r>
              <w:t>新建建筑面积</w:t>
            </w:r>
          </w:p>
        </w:tc>
        <w:tc>
          <w:tcPr>
            <w:tcW w:w="5386" w:type="dxa"/>
            <w:vAlign w:val="center"/>
          </w:tcPr>
          <w:p w14:paraId="0EEE4841">
            <w:pPr>
              <w:pStyle w:val="13"/>
            </w:pPr>
            <w:r>
              <w:t>新建学生宿舍楼面积</w:t>
            </w:r>
          </w:p>
        </w:tc>
        <w:tc>
          <w:tcPr>
            <w:tcW w:w="2268" w:type="dxa"/>
            <w:vAlign w:val="center"/>
          </w:tcPr>
          <w:p w14:paraId="6E4EE695">
            <w:pPr>
              <w:pStyle w:val="13"/>
            </w:pPr>
            <w:r>
              <w:t>≥2968平方米</w:t>
            </w:r>
          </w:p>
        </w:tc>
        <w:tc>
          <w:tcPr>
            <w:tcW w:w="1276" w:type="dxa"/>
            <w:vAlign w:val="center"/>
          </w:tcPr>
          <w:p w14:paraId="2C73DB1C">
            <w:pPr>
              <w:pStyle w:val="13"/>
            </w:pPr>
            <w:r>
              <w:t>项目规划</w:t>
            </w:r>
          </w:p>
        </w:tc>
      </w:tr>
      <w:tr w14:paraId="49032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32554"/>
        </w:tc>
        <w:tc>
          <w:tcPr>
            <w:tcW w:w="2268" w:type="dxa"/>
            <w:vAlign w:val="center"/>
          </w:tcPr>
          <w:p w14:paraId="301890CC">
            <w:pPr>
              <w:pStyle w:val="13"/>
            </w:pPr>
            <w:r>
              <w:t>质量指标</w:t>
            </w:r>
          </w:p>
        </w:tc>
        <w:tc>
          <w:tcPr>
            <w:tcW w:w="2835" w:type="dxa"/>
            <w:vAlign w:val="center"/>
          </w:tcPr>
          <w:p w14:paraId="1BFCF4F1">
            <w:pPr>
              <w:pStyle w:val="13"/>
            </w:pPr>
            <w:r>
              <w:t>工程实施验收合格率</w:t>
            </w:r>
          </w:p>
        </w:tc>
        <w:tc>
          <w:tcPr>
            <w:tcW w:w="5386" w:type="dxa"/>
            <w:vAlign w:val="center"/>
          </w:tcPr>
          <w:p w14:paraId="46151EC6">
            <w:pPr>
              <w:pStyle w:val="13"/>
            </w:pPr>
            <w:r>
              <w:t>申报程序的合规，项目实施及资金使用符合项目规划</w:t>
            </w:r>
          </w:p>
        </w:tc>
        <w:tc>
          <w:tcPr>
            <w:tcW w:w="2268" w:type="dxa"/>
            <w:vAlign w:val="center"/>
          </w:tcPr>
          <w:p w14:paraId="0DD492B9">
            <w:pPr>
              <w:pStyle w:val="13"/>
            </w:pPr>
            <w:r>
              <w:t>100%</w:t>
            </w:r>
          </w:p>
        </w:tc>
        <w:tc>
          <w:tcPr>
            <w:tcW w:w="1276" w:type="dxa"/>
            <w:vAlign w:val="center"/>
          </w:tcPr>
          <w:p w14:paraId="329C2496">
            <w:pPr>
              <w:pStyle w:val="13"/>
            </w:pPr>
            <w:r>
              <w:t>项目规划</w:t>
            </w:r>
          </w:p>
        </w:tc>
      </w:tr>
      <w:tr w14:paraId="6C7D5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BFBEA"/>
        </w:tc>
        <w:tc>
          <w:tcPr>
            <w:tcW w:w="2268" w:type="dxa"/>
            <w:vAlign w:val="center"/>
          </w:tcPr>
          <w:p w14:paraId="4A51CF29">
            <w:pPr>
              <w:pStyle w:val="13"/>
            </w:pPr>
            <w:r>
              <w:t>时效指标</w:t>
            </w:r>
          </w:p>
        </w:tc>
        <w:tc>
          <w:tcPr>
            <w:tcW w:w="2835" w:type="dxa"/>
            <w:vAlign w:val="center"/>
          </w:tcPr>
          <w:p w14:paraId="48EBF72A">
            <w:pPr>
              <w:pStyle w:val="13"/>
            </w:pPr>
            <w:r>
              <w:t>工程完成率</w:t>
            </w:r>
          </w:p>
        </w:tc>
        <w:tc>
          <w:tcPr>
            <w:tcW w:w="5386" w:type="dxa"/>
            <w:vAlign w:val="center"/>
          </w:tcPr>
          <w:p w14:paraId="5D4F2DD9">
            <w:pPr>
              <w:pStyle w:val="13"/>
            </w:pPr>
            <w:r>
              <w:t>按照工程进度完成情况进行资金支付</w:t>
            </w:r>
          </w:p>
        </w:tc>
        <w:tc>
          <w:tcPr>
            <w:tcW w:w="2268" w:type="dxa"/>
            <w:vAlign w:val="center"/>
          </w:tcPr>
          <w:p w14:paraId="6FDA6345">
            <w:pPr>
              <w:pStyle w:val="13"/>
            </w:pPr>
            <w:r>
              <w:t>100%</w:t>
            </w:r>
          </w:p>
        </w:tc>
        <w:tc>
          <w:tcPr>
            <w:tcW w:w="1276" w:type="dxa"/>
            <w:vAlign w:val="center"/>
          </w:tcPr>
          <w:p w14:paraId="78E95D64">
            <w:pPr>
              <w:pStyle w:val="13"/>
            </w:pPr>
            <w:r>
              <w:t>项目规划</w:t>
            </w:r>
          </w:p>
        </w:tc>
      </w:tr>
      <w:tr w14:paraId="1F987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34FD6"/>
        </w:tc>
        <w:tc>
          <w:tcPr>
            <w:tcW w:w="2268" w:type="dxa"/>
            <w:vAlign w:val="center"/>
          </w:tcPr>
          <w:p w14:paraId="759D5A34">
            <w:pPr>
              <w:pStyle w:val="13"/>
            </w:pPr>
            <w:r>
              <w:t>成本指标</w:t>
            </w:r>
          </w:p>
        </w:tc>
        <w:tc>
          <w:tcPr>
            <w:tcW w:w="2835" w:type="dxa"/>
            <w:vAlign w:val="center"/>
          </w:tcPr>
          <w:p w14:paraId="1D9DF9E7">
            <w:pPr>
              <w:pStyle w:val="13"/>
            </w:pPr>
            <w:r>
              <w:t>新建校舍成本</w:t>
            </w:r>
          </w:p>
        </w:tc>
        <w:tc>
          <w:tcPr>
            <w:tcW w:w="5386" w:type="dxa"/>
            <w:vAlign w:val="center"/>
          </w:tcPr>
          <w:p w14:paraId="62AF8AC1">
            <w:pPr>
              <w:pStyle w:val="13"/>
            </w:pPr>
            <w:r>
              <w:t>新建学生宿舍楼成本</w:t>
            </w:r>
          </w:p>
        </w:tc>
        <w:tc>
          <w:tcPr>
            <w:tcW w:w="2268" w:type="dxa"/>
            <w:vAlign w:val="center"/>
          </w:tcPr>
          <w:p w14:paraId="409B4EF2">
            <w:pPr>
              <w:pStyle w:val="13"/>
            </w:pPr>
            <w:r>
              <w:t>≥603万元</w:t>
            </w:r>
          </w:p>
        </w:tc>
        <w:tc>
          <w:tcPr>
            <w:tcW w:w="1276" w:type="dxa"/>
            <w:vAlign w:val="center"/>
          </w:tcPr>
          <w:p w14:paraId="0A1E3046">
            <w:pPr>
              <w:pStyle w:val="13"/>
            </w:pPr>
            <w:r>
              <w:t>项目规划</w:t>
            </w:r>
          </w:p>
        </w:tc>
      </w:tr>
      <w:tr w14:paraId="60F31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D199A5">
            <w:pPr>
              <w:pStyle w:val="12"/>
            </w:pPr>
            <w:r>
              <w:t>效益指标</w:t>
            </w:r>
          </w:p>
        </w:tc>
        <w:tc>
          <w:tcPr>
            <w:tcW w:w="2268" w:type="dxa"/>
            <w:vAlign w:val="center"/>
          </w:tcPr>
          <w:p w14:paraId="0F414396">
            <w:pPr>
              <w:pStyle w:val="13"/>
            </w:pPr>
            <w:r>
              <w:t>社会效益指标</w:t>
            </w:r>
          </w:p>
        </w:tc>
        <w:tc>
          <w:tcPr>
            <w:tcW w:w="2835" w:type="dxa"/>
            <w:vAlign w:val="center"/>
          </w:tcPr>
          <w:p w14:paraId="63B87C4C">
            <w:pPr>
              <w:pStyle w:val="13"/>
            </w:pPr>
            <w:r>
              <w:t>学校办学环境提升</w:t>
            </w:r>
          </w:p>
        </w:tc>
        <w:tc>
          <w:tcPr>
            <w:tcW w:w="5386" w:type="dxa"/>
            <w:vAlign w:val="center"/>
          </w:tcPr>
          <w:p w14:paraId="36F537AA">
            <w:pPr>
              <w:pStyle w:val="13"/>
            </w:pPr>
            <w:r>
              <w:t>学校教学环境提升优化率</w:t>
            </w:r>
          </w:p>
        </w:tc>
        <w:tc>
          <w:tcPr>
            <w:tcW w:w="2268" w:type="dxa"/>
            <w:vAlign w:val="center"/>
          </w:tcPr>
          <w:p w14:paraId="27EA58CC">
            <w:pPr>
              <w:pStyle w:val="13"/>
            </w:pPr>
            <w:r>
              <w:t>≥100%</w:t>
            </w:r>
          </w:p>
        </w:tc>
        <w:tc>
          <w:tcPr>
            <w:tcW w:w="1276" w:type="dxa"/>
            <w:vAlign w:val="center"/>
          </w:tcPr>
          <w:p w14:paraId="72C0FAC9">
            <w:pPr>
              <w:pStyle w:val="13"/>
            </w:pPr>
            <w:r>
              <w:t>项目规划</w:t>
            </w:r>
          </w:p>
        </w:tc>
      </w:tr>
      <w:tr w14:paraId="6C923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5EC69C">
            <w:pPr>
              <w:pStyle w:val="12"/>
            </w:pPr>
            <w:r>
              <w:t>满意度指标</w:t>
            </w:r>
          </w:p>
        </w:tc>
        <w:tc>
          <w:tcPr>
            <w:tcW w:w="2268" w:type="dxa"/>
            <w:vAlign w:val="center"/>
          </w:tcPr>
          <w:p w14:paraId="022FEE9D">
            <w:pPr>
              <w:pStyle w:val="13"/>
            </w:pPr>
            <w:r>
              <w:t>服务对象满意度指标</w:t>
            </w:r>
          </w:p>
        </w:tc>
        <w:tc>
          <w:tcPr>
            <w:tcW w:w="2835" w:type="dxa"/>
            <w:vAlign w:val="center"/>
          </w:tcPr>
          <w:p w14:paraId="5679B165">
            <w:pPr>
              <w:pStyle w:val="13"/>
            </w:pPr>
            <w:r>
              <w:t>受益群众满意度调查</w:t>
            </w:r>
          </w:p>
        </w:tc>
        <w:tc>
          <w:tcPr>
            <w:tcW w:w="5386" w:type="dxa"/>
            <w:vAlign w:val="center"/>
          </w:tcPr>
          <w:p w14:paraId="5A711FDB">
            <w:pPr>
              <w:pStyle w:val="13"/>
            </w:pPr>
            <w:r>
              <w:t>受益群众满意度调查</w:t>
            </w:r>
          </w:p>
        </w:tc>
        <w:tc>
          <w:tcPr>
            <w:tcW w:w="2268" w:type="dxa"/>
            <w:vAlign w:val="center"/>
          </w:tcPr>
          <w:p w14:paraId="72E615C3">
            <w:pPr>
              <w:pStyle w:val="13"/>
            </w:pPr>
            <w:r>
              <w:t>≥95%</w:t>
            </w:r>
          </w:p>
        </w:tc>
        <w:tc>
          <w:tcPr>
            <w:tcW w:w="1276" w:type="dxa"/>
            <w:vAlign w:val="center"/>
          </w:tcPr>
          <w:p w14:paraId="6FC09189">
            <w:pPr>
              <w:pStyle w:val="13"/>
            </w:pPr>
            <w:r>
              <w:t>项目规划</w:t>
            </w:r>
          </w:p>
        </w:tc>
      </w:tr>
    </w:tbl>
    <w:p w14:paraId="4C8CE3BD">
      <w:pPr>
        <w:sectPr>
          <w:pgSz w:w="16840" w:h="11900" w:orient="landscape"/>
          <w:pgMar w:top="1361" w:right="1020" w:bottom="1134" w:left="1020" w:header="720" w:footer="720" w:gutter="0"/>
          <w:cols w:space="720" w:num="1"/>
        </w:sectPr>
      </w:pPr>
    </w:p>
    <w:p w14:paraId="09E5B1AB">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4、冀财教[2024]123号/中央/2025年义教补助经费/魏庄小学公用经费绩效目标表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16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5ED26">
            <w:pPr>
              <w:pStyle w:val="14"/>
            </w:pPr>
            <w:r>
              <w:t>单位：万元</w:t>
            </w:r>
          </w:p>
        </w:tc>
      </w:tr>
      <w:tr w14:paraId="2157E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FB32A">
            <w:pPr>
              <w:pStyle w:val="11"/>
            </w:pPr>
            <w:r>
              <w:t>项目编码</w:t>
            </w:r>
          </w:p>
        </w:tc>
        <w:tc>
          <w:tcPr>
            <w:tcW w:w="5103" w:type="dxa"/>
            <w:gridSpan w:val="2"/>
            <w:vAlign w:val="center"/>
          </w:tcPr>
          <w:p w14:paraId="648D97F1">
            <w:pPr>
              <w:pStyle w:val="13"/>
            </w:pPr>
            <w:r>
              <w:t>13052525P000004100632</w:t>
            </w:r>
          </w:p>
        </w:tc>
        <w:tc>
          <w:tcPr>
            <w:tcW w:w="2835" w:type="dxa"/>
            <w:vAlign w:val="center"/>
          </w:tcPr>
          <w:p w14:paraId="574F1C78">
            <w:pPr>
              <w:pStyle w:val="11"/>
            </w:pPr>
            <w:r>
              <w:t>项目名称</w:t>
            </w:r>
          </w:p>
        </w:tc>
        <w:tc>
          <w:tcPr>
            <w:tcW w:w="6095" w:type="dxa"/>
            <w:gridSpan w:val="3"/>
            <w:vAlign w:val="center"/>
          </w:tcPr>
          <w:p w14:paraId="1437CE4D">
            <w:pPr>
              <w:pStyle w:val="13"/>
            </w:pPr>
            <w:r>
              <w:t>冀财教[2024]123号/中央/2025年义教补助经费/魏庄小学公用经费</w:t>
            </w:r>
          </w:p>
        </w:tc>
      </w:tr>
      <w:tr w14:paraId="6D6F8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07D68">
            <w:pPr>
              <w:pStyle w:val="11"/>
            </w:pPr>
            <w:r>
              <w:t>预算规模及资金用途</w:t>
            </w:r>
          </w:p>
        </w:tc>
        <w:tc>
          <w:tcPr>
            <w:tcW w:w="2268" w:type="dxa"/>
            <w:vAlign w:val="center"/>
          </w:tcPr>
          <w:p w14:paraId="2C96DC85">
            <w:pPr>
              <w:pStyle w:val="11"/>
            </w:pPr>
            <w:r>
              <w:t>预算数</w:t>
            </w:r>
          </w:p>
        </w:tc>
        <w:tc>
          <w:tcPr>
            <w:tcW w:w="2835" w:type="dxa"/>
            <w:vAlign w:val="center"/>
          </w:tcPr>
          <w:p w14:paraId="257CC8C4">
            <w:pPr>
              <w:pStyle w:val="13"/>
            </w:pPr>
            <w:r>
              <w:t>90.59</w:t>
            </w:r>
          </w:p>
        </w:tc>
        <w:tc>
          <w:tcPr>
            <w:tcW w:w="2835" w:type="dxa"/>
            <w:vAlign w:val="center"/>
          </w:tcPr>
          <w:p w14:paraId="709BDF15">
            <w:pPr>
              <w:pStyle w:val="11"/>
            </w:pPr>
            <w:r>
              <w:t>其中：财政    资金</w:t>
            </w:r>
          </w:p>
        </w:tc>
        <w:tc>
          <w:tcPr>
            <w:tcW w:w="2551" w:type="dxa"/>
            <w:vAlign w:val="center"/>
          </w:tcPr>
          <w:p w14:paraId="4889CE81">
            <w:pPr>
              <w:pStyle w:val="13"/>
            </w:pPr>
            <w:r>
              <w:t>90.59</w:t>
            </w:r>
          </w:p>
        </w:tc>
        <w:tc>
          <w:tcPr>
            <w:tcW w:w="2268" w:type="dxa"/>
            <w:vAlign w:val="center"/>
          </w:tcPr>
          <w:p w14:paraId="01CC1468">
            <w:pPr>
              <w:pStyle w:val="11"/>
            </w:pPr>
            <w:r>
              <w:t>其他资金</w:t>
            </w:r>
          </w:p>
        </w:tc>
        <w:tc>
          <w:tcPr>
            <w:tcW w:w="1276" w:type="dxa"/>
            <w:vAlign w:val="center"/>
          </w:tcPr>
          <w:p w14:paraId="4C53D84B">
            <w:pPr>
              <w:pStyle w:val="13"/>
            </w:pPr>
            <w:r>
              <w:t xml:space="preserve"> </w:t>
            </w:r>
          </w:p>
        </w:tc>
      </w:tr>
      <w:tr w14:paraId="7451F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613482"/>
        </w:tc>
        <w:tc>
          <w:tcPr>
            <w:tcW w:w="14033" w:type="dxa"/>
            <w:gridSpan w:val="6"/>
            <w:vAlign w:val="center"/>
          </w:tcPr>
          <w:p w14:paraId="12E4D6BD">
            <w:pPr>
              <w:pStyle w:val="13"/>
            </w:pPr>
            <w:r>
              <w:t>有效完成学校教学安全秩序，保障学校教学任务有效开展，满足学校正常教学需要。</w:t>
            </w:r>
          </w:p>
        </w:tc>
      </w:tr>
      <w:tr w14:paraId="03AC7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B326D">
            <w:pPr>
              <w:pStyle w:val="11"/>
            </w:pPr>
            <w:r>
              <w:t>资金支出计划（%）</w:t>
            </w:r>
          </w:p>
        </w:tc>
        <w:tc>
          <w:tcPr>
            <w:tcW w:w="5103" w:type="dxa"/>
            <w:gridSpan w:val="2"/>
            <w:vAlign w:val="center"/>
          </w:tcPr>
          <w:p w14:paraId="6E37738E">
            <w:pPr>
              <w:pStyle w:val="11"/>
            </w:pPr>
            <w:r>
              <w:t>3月底</w:t>
            </w:r>
          </w:p>
        </w:tc>
        <w:tc>
          <w:tcPr>
            <w:tcW w:w="2835" w:type="dxa"/>
            <w:vAlign w:val="center"/>
          </w:tcPr>
          <w:p w14:paraId="0178170D">
            <w:pPr>
              <w:pStyle w:val="11"/>
            </w:pPr>
            <w:r>
              <w:t>6月底</w:t>
            </w:r>
          </w:p>
        </w:tc>
        <w:tc>
          <w:tcPr>
            <w:tcW w:w="2551" w:type="dxa"/>
            <w:vAlign w:val="center"/>
          </w:tcPr>
          <w:p w14:paraId="4FE05D89">
            <w:pPr>
              <w:pStyle w:val="11"/>
            </w:pPr>
            <w:r>
              <w:t>10月底</w:t>
            </w:r>
          </w:p>
        </w:tc>
        <w:tc>
          <w:tcPr>
            <w:tcW w:w="3544" w:type="dxa"/>
            <w:gridSpan w:val="2"/>
            <w:vAlign w:val="center"/>
          </w:tcPr>
          <w:p w14:paraId="5E330AAD">
            <w:pPr>
              <w:pStyle w:val="11"/>
            </w:pPr>
            <w:r>
              <w:t>12月底</w:t>
            </w:r>
          </w:p>
        </w:tc>
      </w:tr>
      <w:tr w14:paraId="0EAEE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B6832E"/>
        </w:tc>
        <w:tc>
          <w:tcPr>
            <w:tcW w:w="5103" w:type="dxa"/>
            <w:gridSpan w:val="2"/>
            <w:vAlign w:val="center"/>
          </w:tcPr>
          <w:p w14:paraId="2BADBB0D">
            <w:pPr>
              <w:pStyle w:val="12"/>
            </w:pPr>
            <w:r>
              <w:t>25%</w:t>
            </w:r>
          </w:p>
        </w:tc>
        <w:tc>
          <w:tcPr>
            <w:tcW w:w="2835" w:type="dxa"/>
            <w:vAlign w:val="center"/>
          </w:tcPr>
          <w:p w14:paraId="39C301DD">
            <w:pPr>
              <w:pStyle w:val="12"/>
            </w:pPr>
            <w:r>
              <w:t>50%</w:t>
            </w:r>
          </w:p>
        </w:tc>
        <w:tc>
          <w:tcPr>
            <w:tcW w:w="2551" w:type="dxa"/>
            <w:vAlign w:val="center"/>
          </w:tcPr>
          <w:p w14:paraId="62E46222">
            <w:pPr>
              <w:pStyle w:val="12"/>
            </w:pPr>
            <w:r>
              <w:t>75%</w:t>
            </w:r>
          </w:p>
        </w:tc>
        <w:tc>
          <w:tcPr>
            <w:tcW w:w="3544" w:type="dxa"/>
            <w:gridSpan w:val="2"/>
            <w:vAlign w:val="center"/>
          </w:tcPr>
          <w:p w14:paraId="1E593754">
            <w:pPr>
              <w:pStyle w:val="12"/>
            </w:pPr>
            <w:r>
              <w:t>100%</w:t>
            </w:r>
          </w:p>
        </w:tc>
      </w:tr>
      <w:tr w14:paraId="17BB0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AC5276">
            <w:pPr>
              <w:pStyle w:val="11"/>
            </w:pPr>
            <w:r>
              <w:t>绩效目标</w:t>
            </w:r>
          </w:p>
        </w:tc>
        <w:tc>
          <w:tcPr>
            <w:tcW w:w="14033" w:type="dxa"/>
            <w:gridSpan w:val="6"/>
            <w:vAlign w:val="center"/>
          </w:tcPr>
          <w:p w14:paraId="0DDCD2EA">
            <w:pPr>
              <w:pStyle w:val="13"/>
            </w:pPr>
            <w:r>
              <w:t>1.按规定拨付公用经费资金，预算执行率≥98%。</w:t>
            </w:r>
          </w:p>
          <w:p w14:paraId="4F244F04">
            <w:pPr>
              <w:pStyle w:val="13"/>
            </w:pPr>
            <w:r>
              <w:t>2.有效完成学校教学安全秩序，保障学校教学任务有效开展，满足学校正常教学需要。</w:t>
            </w:r>
          </w:p>
        </w:tc>
      </w:tr>
    </w:tbl>
    <w:p w14:paraId="56EE1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87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82C92">
            <w:pPr>
              <w:pStyle w:val="11"/>
            </w:pPr>
            <w:r>
              <w:t>一级指标</w:t>
            </w:r>
          </w:p>
        </w:tc>
        <w:tc>
          <w:tcPr>
            <w:tcW w:w="2268" w:type="dxa"/>
            <w:vAlign w:val="center"/>
          </w:tcPr>
          <w:p w14:paraId="48833049">
            <w:pPr>
              <w:pStyle w:val="11"/>
            </w:pPr>
            <w:r>
              <w:t>二级指标</w:t>
            </w:r>
          </w:p>
        </w:tc>
        <w:tc>
          <w:tcPr>
            <w:tcW w:w="2835" w:type="dxa"/>
            <w:vAlign w:val="center"/>
          </w:tcPr>
          <w:p w14:paraId="32B38BD6">
            <w:pPr>
              <w:pStyle w:val="11"/>
            </w:pPr>
            <w:r>
              <w:t>三级指标</w:t>
            </w:r>
          </w:p>
        </w:tc>
        <w:tc>
          <w:tcPr>
            <w:tcW w:w="5386" w:type="dxa"/>
            <w:vAlign w:val="center"/>
          </w:tcPr>
          <w:p w14:paraId="2CF08A93">
            <w:pPr>
              <w:pStyle w:val="11"/>
            </w:pPr>
            <w:r>
              <w:t>绩效指标描述</w:t>
            </w:r>
          </w:p>
        </w:tc>
        <w:tc>
          <w:tcPr>
            <w:tcW w:w="2268" w:type="dxa"/>
            <w:vAlign w:val="center"/>
          </w:tcPr>
          <w:p w14:paraId="245F4F2D">
            <w:pPr>
              <w:pStyle w:val="11"/>
            </w:pPr>
            <w:r>
              <w:t>指标值</w:t>
            </w:r>
          </w:p>
        </w:tc>
        <w:tc>
          <w:tcPr>
            <w:tcW w:w="1276" w:type="dxa"/>
            <w:vAlign w:val="center"/>
          </w:tcPr>
          <w:p w14:paraId="208BD8A1">
            <w:pPr>
              <w:pStyle w:val="11"/>
            </w:pPr>
            <w:r>
              <w:t>指标值确定依据</w:t>
            </w:r>
          </w:p>
        </w:tc>
      </w:tr>
      <w:tr w14:paraId="71342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DF772">
            <w:pPr>
              <w:pStyle w:val="12"/>
            </w:pPr>
            <w:r>
              <w:t>产出指标</w:t>
            </w:r>
          </w:p>
        </w:tc>
        <w:tc>
          <w:tcPr>
            <w:tcW w:w="2268" w:type="dxa"/>
            <w:vAlign w:val="center"/>
          </w:tcPr>
          <w:p w14:paraId="3C04B19E">
            <w:pPr>
              <w:pStyle w:val="13"/>
            </w:pPr>
            <w:r>
              <w:t>成本指标</w:t>
            </w:r>
          </w:p>
        </w:tc>
        <w:tc>
          <w:tcPr>
            <w:tcW w:w="2835" w:type="dxa"/>
            <w:vAlign w:val="center"/>
          </w:tcPr>
          <w:p w14:paraId="52C5F460">
            <w:pPr>
              <w:pStyle w:val="13"/>
            </w:pPr>
            <w:r>
              <w:t>生均拨款标准</w:t>
            </w:r>
          </w:p>
        </w:tc>
        <w:tc>
          <w:tcPr>
            <w:tcW w:w="5386" w:type="dxa"/>
            <w:vAlign w:val="center"/>
          </w:tcPr>
          <w:p w14:paraId="7ED2D473">
            <w:pPr>
              <w:pStyle w:val="13"/>
            </w:pPr>
            <w:r>
              <w:t>小学生公用经费生均小学720元。取暖费140元/生/年，住宿生300元/生/年,随班就读学生补助7000元/生</w:t>
            </w:r>
          </w:p>
        </w:tc>
        <w:tc>
          <w:tcPr>
            <w:tcW w:w="2268" w:type="dxa"/>
            <w:vAlign w:val="center"/>
          </w:tcPr>
          <w:p w14:paraId="35304B56">
            <w:pPr>
              <w:pStyle w:val="13"/>
            </w:pPr>
            <w:r>
              <w:t>840元</w:t>
            </w:r>
          </w:p>
        </w:tc>
        <w:tc>
          <w:tcPr>
            <w:tcW w:w="1276" w:type="dxa"/>
            <w:vAlign w:val="center"/>
          </w:tcPr>
          <w:p w14:paraId="74771E88">
            <w:pPr>
              <w:pStyle w:val="13"/>
            </w:pPr>
            <w:r>
              <w:t>城乡义务教育公用经费管理办法</w:t>
            </w:r>
          </w:p>
        </w:tc>
      </w:tr>
      <w:tr w14:paraId="7BA7C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43987"/>
        </w:tc>
        <w:tc>
          <w:tcPr>
            <w:tcW w:w="2268" w:type="dxa"/>
            <w:vAlign w:val="center"/>
          </w:tcPr>
          <w:p w14:paraId="37A74893">
            <w:pPr>
              <w:pStyle w:val="13"/>
            </w:pPr>
            <w:r>
              <w:t>数量指标</w:t>
            </w:r>
          </w:p>
        </w:tc>
        <w:tc>
          <w:tcPr>
            <w:tcW w:w="2835" w:type="dxa"/>
            <w:vAlign w:val="center"/>
          </w:tcPr>
          <w:p w14:paraId="3670F316">
            <w:pPr>
              <w:pStyle w:val="13"/>
            </w:pPr>
            <w:r>
              <w:t>就读学生数</w:t>
            </w:r>
          </w:p>
        </w:tc>
        <w:tc>
          <w:tcPr>
            <w:tcW w:w="5386" w:type="dxa"/>
            <w:vAlign w:val="center"/>
          </w:tcPr>
          <w:p w14:paraId="6E801722">
            <w:pPr>
              <w:pStyle w:val="13"/>
            </w:pPr>
            <w:r>
              <w:t>辐射区域内适龄学生人数</w:t>
            </w:r>
          </w:p>
        </w:tc>
        <w:tc>
          <w:tcPr>
            <w:tcW w:w="2268" w:type="dxa"/>
            <w:vAlign w:val="center"/>
          </w:tcPr>
          <w:p w14:paraId="265C575C">
            <w:pPr>
              <w:pStyle w:val="13"/>
            </w:pPr>
            <w:r>
              <w:t>≥1291人</w:t>
            </w:r>
          </w:p>
        </w:tc>
        <w:tc>
          <w:tcPr>
            <w:tcW w:w="1276" w:type="dxa"/>
            <w:vAlign w:val="center"/>
          </w:tcPr>
          <w:p w14:paraId="54170C6C">
            <w:pPr>
              <w:pStyle w:val="13"/>
            </w:pPr>
            <w:r>
              <w:t>城乡义务教育公用经费管理办法</w:t>
            </w:r>
          </w:p>
        </w:tc>
      </w:tr>
      <w:tr w14:paraId="494DB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6F876"/>
        </w:tc>
        <w:tc>
          <w:tcPr>
            <w:tcW w:w="2268" w:type="dxa"/>
            <w:vAlign w:val="center"/>
          </w:tcPr>
          <w:p w14:paraId="0CFB2B2C">
            <w:pPr>
              <w:pStyle w:val="13"/>
            </w:pPr>
            <w:r>
              <w:t>质量指标</w:t>
            </w:r>
          </w:p>
        </w:tc>
        <w:tc>
          <w:tcPr>
            <w:tcW w:w="2835" w:type="dxa"/>
            <w:vAlign w:val="center"/>
          </w:tcPr>
          <w:p w14:paraId="2545B0E1">
            <w:pPr>
              <w:pStyle w:val="13"/>
            </w:pPr>
            <w:r>
              <w:t>预算执行率</w:t>
            </w:r>
          </w:p>
        </w:tc>
        <w:tc>
          <w:tcPr>
            <w:tcW w:w="5386" w:type="dxa"/>
            <w:vAlign w:val="center"/>
          </w:tcPr>
          <w:p w14:paraId="524E6AF6">
            <w:pPr>
              <w:pStyle w:val="13"/>
            </w:pPr>
            <w:r>
              <w:t>预算执行率≥98%</w:t>
            </w:r>
          </w:p>
        </w:tc>
        <w:tc>
          <w:tcPr>
            <w:tcW w:w="2268" w:type="dxa"/>
            <w:vAlign w:val="center"/>
          </w:tcPr>
          <w:p w14:paraId="020F962C">
            <w:pPr>
              <w:pStyle w:val="13"/>
            </w:pPr>
            <w:r>
              <w:t>≥98%</w:t>
            </w:r>
          </w:p>
        </w:tc>
        <w:tc>
          <w:tcPr>
            <w:tcW w:w="1276" w:type="dxa"/>
            <w:vAlign w:val="center"/>
          </w:tcPr>
          <w:p w14:paraId="6967735B">
            <w:pPr>
              <w:pStyle w:val="13"/>
            </w:pPr>
            <w:r>
              <w:t>城乡义务教育公用经费管理办法</w:t>
            </w:r>
          </w:p>
        </w:tc>
      </w:tr>
      <w:tr w14:paraId="46907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4DE66"/>
        </w:tc>
        <w:tc>
          <w:tcPr>
            <w:tcW w:w="2268" w:type="dxa"/>
            <w:vAlign w:val="center"/>
          </w:tcPr>
          <w:p w14:paraId="2F535C3B">
            <w:pPr>
              <w:pStyle w:val="13"/>
            </w:pPr>
            <w:r>
              <w:t>时效指标</w:t>
            </w:r>
          </w:p>
        </w:tc>
        <w:tc>
          <w:tcPr>
            <w:tcW w:w="2835" w:type="dxa"/>
            <w:vAlign w:val="center"/>
          </w:tcPr>
          <w:p w14:paraId="69C57077">
            <w:pPr>
              <w:pStyle w:val="13"/>
            </w:pPr>
            <w:r>
              <w:t>义教经费支付完成率</w:t>
            </w:r>
          </w:p>
        </w:tc>
        <w:tc>
          <w:tcPr>
            <w:tcW w:w="5386" w:type="dxa"/>
            <w:vAlign w:val="center"/>
          </w:tcPr>
          <w:p w14:paraId="4E75E1A7">
            <w:pPr>
              <w:pStyle w:val="13"/>
            </w:pPr>
            <w:r>
              <w:t>按照序时进度完成资金支付</w:t>
            </w:r>
          </w:p>
        </w:tc>
        <w:tc>
          <w:tcPr>
            <w:tcW w:w="2268" w:type="dxa"/>
            <w:vAlign w:val="center"/>
          </w:tcPr>
          <w:p w14:paraId="1C80644E">
            <w:pPr>
              <w:pStyle w:val="13"/>
            </w:pPr>
            <w:r>
              <w:t>100%</w:t>
            </w:r>
          </w:p>
        </w:tc>
        <w:tc>
          <w:tcPr>
            <w:tcW w:w="1276" w:type="dxa"/>
            <w:vAlign w:val="center"/>
          </w:tcPr>
          <w:p w14:paraId="30C55B9D">
            <w:pPr>
              <w:pStyle w:val="13"/>
            </w:pPr>
            <w:r>
              <w:t>城乡义务教育公用经费管理办法</w:t>
            </w:r>
          </w:p>
        </w:tc>
      </w:tr>
      <w:tr w14:paraId="4849C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86E90E">
            <w:pPr>
              <w:pStyle w:val="12"/>
            </w:pPr>
            <w:r>
              <w:t>效益指标</w:t>
            </w:r>
          </w:p>
        </w:tc>
        <w:tc>
          <w:tcPr>
            <w:tcW w:w="2268" w:type="dxa"/>
            <w:vAlign w:val="center"/>
          </w:tcPr>
          <w:p w14:paraId="337794F0">
            <w:pPr>
              <w:pStyle w:val="13"/>
            </w:pPr>
            <w:r>
              <w:t>可持续影响指标</w:t>
            </w:r>
          </w:p>
        </w:tc>
        <w:tc>
          <w:tcPr>
            <w:tcW w:w="2835" w:type="dxa"/>
            <w:vAlign w:val="center"/>
          </w:tcPr>
          <w:p w14:paraId="5702E0C7">
            <w:pPr>
              <w:pStyle w:val="13"/>
            </w:pPr>
            <w:r>
              <w:t>学校运转得到提高</w:t>
            </w:r>
          </w:p>
        </w:tc>
        <w:tc>
          <w:tcPr>
            <w:tcW w:w="5386" w:type="dxa"/>
            <w:vAlign w:val="center"/>
          </w:tcPr>
          <w:p w14:paraId="10FC4F1C">
            <w:pPr>
              <w:pStyle w:val="13"/>
            </w:pPr>
            <w:r>
              <w:t>学生受教育年限</w:t>
            </w:r>
          </w:p>
        </w:tc>
        <w:tc>
          <w:tcPr>
            <w:tcW w:w="2268" w:type="dxa"/>
            <w:vAlign w:val="center"/>
          </w:tcPr>
          <w:p w14:paraId="1E1FC13F">
            <w:pPr>
              <w:pStyle w:val="13"/>
            </w:pPr>
            <w:r>
              <w:t>6年</w:t>
            </w:r>
          </w:p>
        </w:tc>
        <w:tc>
          <w:tcPr>
            <w:tcW w:w="1276" w:type="dxa"/>
            <w:vAlign w:val="center"/>
          </w:tcPr>
          <w:p w14:paraId="0AA28EA7">
            <w:pPr>
              <w:pStyle w:val="13"/>
            </w:pPr>
            <w:r>
              <w:t>城乡义务教育公用经费管理办法</w:t>
            </w:r>
          </w:p>
        </w:tc>
      </w:tr>
      <w:tr w14:paraId="6F7BA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9667FA">
            <w:pPr>
              <w:pStyle w:val="12"/>
            </w:pPr>
            <w:r>
              <w:t>满意度指标</w:t>
            </w:r>
          </w:p>
        </w:tc>
        <w:tc>
          <w:tcPr>
            <w:tcW w:w="2268" w:type="dxa"/>
            <w:vAlign w:val="center"/>
          </w:tcPr>
          <w:p w14:paraId="34A161D7">
            <w:pPr>
              <w:pStyle w:val="13"/>
            </w:pPr>
            <w:r>
              <w:t>服务对象满意度指标</w:t>
            </w:r>
          </w:p>
        </w:tc>
        <w:tc>
          <w:tcPr>
            <w:tcW w:w="2835" w:type="dxa"/>
            <w:vAlign w:val="center"/>
          </w:tcPr>
          <w:p w14:paraId="08C6A25A">
            <w:pPr>
              <w:pStyle w:val="13"/>
            </w:pPr>
            <w:r>
              <w:t>服务对象满意度</w:t>
            </w:r>
          </w:p>
        </w:tc>
        <w:tc>
          <w:tcPr>
            <w:tcW w:w="5386" w:type="dxa"/>
            <w:vAlign w:val="center"/>
          </w:tcPr>
          <w:p w14:paraId="5BACFE81">
            <w:pPr>
              <w:pStyle w:val="13"/>
            </w:pPr>
            <w:r>
              <w:t>学校老师和学生满意度</w:t>
            </w:r>
          </w:p>
        </w:tc>
        <w:tc>
          <w:tcPr>
            <w:tcW w:w="2268" w:type="dxa"/>
            <w:vAlign w:val="center"/>
          </w:tcPr>
          <w:p w14:paraId="4B57748E">
            <w:pPr>
              <w:pStyle w:val="13"/>
            </w:pPr>
            <w:r>
              <w:t>≥95%</w:t>
            </w:r>
          </w:p>
        </w:tc>
        <w:tc>
          <w:tcPr>
            <w:tcW w:w="1276" w:type="dxa"/>
            <w:vAlign w:val="center"/>
          </w:tcPr>
          <w:p w14:paraId="4D71983A">
            <w:pPr>
              <w:pStyle w:val="13"/>
            </w:pPr>
            <w:r>
              <w:t>问卷调查</w:t>
            </w:r>
          </w:p>
        </w:tc>
      </w:tr>
    </w:tbl>
    <w:p w14:paraId="0F6F8A06">
      <w:pPr>
        <w:sectPr>
          <w:pgSz w:w="16840" w:h="11900" w:orient="landscape"/>
          <w:pgMar w:top="1361" w:right="1020" w:bottom="1134" w:left="1020" w:header="720" w:footer="720" w:gutter="0"/>
          <w:cols w:space="720" w:num="1"/>
        </w:sectPr>
      </w:pPr>
    </w:p>
    <w:p w14:paraId="510B231A">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5、冀财教[2024]123号/中央/2025年义教补助经费/肖实小学公用经费绩效目标表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49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F4AC9">
            <w:pPr>
              <w:pStyle w:val="14"/>
            </w:pPr>
            <w:r>
              <w:t>单位：万元</w:t>
            </w:r>
          </w:p>
        </w:tc>
      </w:tr>
      <w:tr w14:paraId="57B5A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91DA45">
            <w:pPr>
              <w:pStyle w:val="11"/>
            </w:pPr>
            <w:r>
              <w:t>项目编码</w:t>
            </w:r>
          </w:p>
        </w:tc>
        <w:tc>
          <w:tcPr>
            <w:tcW w:w="5103" w:type="dxa"/>
            <w:gridSpan w:val="2"/>
            <w:vAlign w:val="center"/>
          </w:tcPr>
          <w:p w14:paraId="540006EB">
            <w:pPr>
              <w:pStyle w:val="13"/>
            </w:pPr>
            <w:r>
              <w:t>13052525P000004100659</w:t>
            </w:r>
          </w:p>
        </w:tc>
        <w:tc>
          <w:tcPr>
            <w:tcW w:w="2835" w:type="dxa"/>
            <w:vAlign w:val="center"/>
          </w:tcPr>
          <w:p w14:paraId="1FE8937B">
            <w:pPr>
              <w:pStyle w:val="11"/>
            </w:pPr>
            <w:r>
              <w:t>项目名称</w:t>
            </w:r>
          </w:p>
        </w:tc>
        <w:tc>
          <w:tcPr>
            <w:tcW w:w="6095" w:type="dxa"/>
            <w:gridSpan w:val="3"/>
            <w:vAlign w:val="center"/>
          </w:tcPr>
          <w:p w14:paraId="2D9AA670">
            <w:pPr>
              <w:pStyle w:val="13"/>
            </w:pPr>
            <w:r>
              <w:t>冀财教[2024]123号/中央/2025年义教补助经费/肖实小学公用经费</w:t>
            </w:r>
          </w:p>
        </w:tc>
      </w:tr>
      <w:tr w14:paraId="3DC46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182C001C">
            <w:pPr>
              <w:pStyle w:val="11"/>
            </w:pPr>
            <w:r>
              <w:t>预算规模及资金用途</w:t>
            </w:r>
          </w:p>
        </w:tc>
        <w:tc>
          <w:tcPr>
            <w:tcW w:w="2268" w:type="dxa"/>
            <w:vAlign w:val="center"/>
          </w:tcPr>
          <w:p w14:paraId="1E205239">
            <w:pPr>
              <w:pStyle w:val="11"/>
            </w:pPr>
            <w:r>
              <w:t>预算数</w:t>
            </w:r>
          </w:p>
        </w:tc>
        <w:tc>
          <w:tcPr>
            <w:tcW w:w="2835" w:type="dxa"/>
            <w:vAlign w:val="center"/>
          </w:tcPr>
          <w:p w14:paraId="2906A702">
            <w:pPr>
              <w:pStyle w:val="13"/>
            </w:pPr>
            <w:r>
              <w:t>16.57</w:t>
            </w:r>
          </w:p>
        </w:tc>
        <w:tc>
          <w:tcPr>
            <w:tcW w:w="2835" w:type="dxa"/>
            <w:vAlign w:val="center"/>
          </w:tcPr>
          <w:p w14:paraId="538D4310">
            <w:pPr>
              <w:pStyle w:val="11"/>
            </w:pPr>
            <w:r>
              <w:t>其中：财政    资金</w:t>
            </w:r>
          </w:p>
        </w:tc>
        <w:tc>
          <w:tcPr>
            <w:tcW w:w="2551" w:type="dxa"/>
            <w:vAlign w:val="center"/>
          </w:tcPr>
          <w:p w14:paraId="454A8850">
            <w:pPr>
              <w:pStyle w:val="13"/>
            </w:pPr>
            <w:r>
              <w:t>16.57</w:t>
            </w:r>
          </w:p>
        </w:tc>
        <w:tc>
          <w:tcPr>
            <w:tcW w:w="2268" w:type="dxa"/>
            <w:vAlign w:val="center"/>
          </w:tcPr>
          <w:p w14:paraId="7F78CE7D">
            <w:pPr>
              <w:pStyle w:val="11"/>
            </w:pPr>
            <w:r>
              <w:t>其他资金</w:t>
            </w:r>
          </w:p>
        </w:tc>
        <w:tc>
          <w:tcPr>
            <w:tcW w:w="1276" w:type="dxa"/>
            <w:vAlign w:val="center"/>
          </w:tcPr>
          <w:p w14:paraId="15ECDF74">
            <w:pPr>
              <w:pStyle w:val="13"/>
            </w:pPr>
            <w:r>
              <w:t xml:space="preserve"> </w:t>
            </w:r>
          </w:p>
        </w:tc>
      </w:tr>
      <w:tr w14:paraId="1D233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E850A"/>
        </w:tc>
        <w:tc>
          <w:tcPr>
            <w:tcW w:w="14033" w:type="dxa"/>
            <w:gridSpan w:val="6"/>
            <w:vAlign w:val="center"/>
          </w:tcPr>
          <w:p w14:paraId="5BA38D73">
            <w:pPr>
              <w:pStyle w:val="13"/>
            </w:pPr>
            <w:r>
              <w:t>有效完成学校教学安全秩序，保障学校教学任务有效开展，满足学校正常教学需要。</w:t>
            </w:r>
          </w:p>
        </w:tc>
      </w:tr>
      <w:tr w14:paraId="0FC16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6C75F">
            <w:pPr>
              <w:pStyle w:val="11"/>
            </w:pPr>
            <w:r>
              <w:t>资金支出计划（%）</w:t>
            </w:r>
          </w:p>
        </w:tc>
        <w:tc>
          <w:tcPr>
            <w:tcW w:w="5103" w:type="dxa"/>
            <w:gridSpan w:val="2"/>
            <w:vAlign w:val="center"/>
          </w:tcPr>
          <w:p w14:paraId="0C2D5059">
            <w:pPr>
              <w:pStyle w:val="11"/>
            </w:pPr>
            <w:r>
              <w:t>3月底</w:t>
            </w:r>
          </w:p>
        </w:tc>
        <w:tc>
          <w:tcPr>
            <w:tcW w:w="2835" w:type="dxa"/>
            <w:vAlign w:val="center"/>
          </w:tcPr>
          <w:p w14:paraId="0AE547BF">
            <w:pPr>
              <w:pStyle w:val="11"/>
            </w:pPr>
            <w:r>
              <w:t>6月底</w:t>
            </w:r>
          </w:p>
        </w:tc>
        <w:tc>
          <w:tcPr>
            <w:tcW w:w="2551" w:type="dxa"/>
            <w:vAlign w:val="center"/>
          </w:tcPr>
          <w:p w14:paraId="7D621026">
            <w:pPr>
              <w:pStyle w:val="11"/>
            </w:pPr>
            <w:r>
              <w:t>10月底</w:t>
            </w:r>
          </w:p>
        </w:tc>
        <w:tc>
          <w:tcPr>
            <w:tcW w:w="3544" w:type="dxa"/>
            <w:gridSpan w:val="2"/>
            <w:vAlign w:val="center"/>
          </w:tcPr>
          <w:p w14:paraId="2D2FEE5B">
            <w:pPr>
              <w:pStyle w:val="11"/>
            </w:pPr>
            <w:r>
              <w:t>12月底</w:t>
            </w:r>
          </w:p>
        </w:tc>
      </w:tr>
      <w:tr w14:paraId="7309A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7A42B3"/>
        </w:tc>
        <w:tc>
          <w:tcPr>
            <w:tcW w:w="5103" w:type="dxa"/>
            <w:gridSpan w:val="2"/>
            <w:vAlign w:val="center"/>
          </w:tcPr>
          <w:p w14:paraId="24C19067">
            <w:pPr>
              <w:pStyle w:val="12"/>
            </w:pPr>
            <w:r>
              <w:t>25%</w:t>
            </w:r>
          </w:p>
        </w:tc>
        <w:tc>
          <w:tcPr>
            <w:tcW w:w="2835" w:type="dxa"/>
            <w:vAlign w:val="center"/>
          </w:tcPr>
          <w:p w14:paraId="3CD9C5B1">
            <w:pPr>
              <w:pStyle w:val="12"/>
            </w:pPr>
            <w:r>
              <w:t>50%</w:t>
            </w:r>
          </w:p>
        </w:tc>
        <w:tc>
          <w:tcPr>
            <w:tcW w:w="2551" w:type="dxa"/>
            <w:vAlign w:val="center"/>
          </w:tcPr>
          <w:p w14:paraId="1245389F">
            <w:pPr>
              <w:pStyle w:val="12"/>
            </w:pPr>
            <w:r>
              <w:t>75%</w:t>
            </w:r>
          </w:p>
        </w:tc>
        <w:tc>
          <w:tcPr>
            <w:tcW w:w="3544" w:type="dxa"/>
            <w:gridSpan w:val="2"/>
            <w:vAlign w:val="center"/>
          </w:tcPr>
          <w:p w14:paraId="35F5194A">
            <w:pPr>
              <w:pStyle w:val="12"/>
            </w:pPr>
            <w:r>
              <w:t>100%</w:t>
            </w:r>
          </w:p>
        </w:tc>
      </w:tr>
      <w:tr w14:paraId="7DA7D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8DFDE">
            <w:pPr>
              <w:pStyle w:val="11"/>
            </w:pPr>
            <w:r>
              <w:t>绩效目标</w:t>
            </w:r>
          </w:p>
        </w:tc>
        <w:tc>
          <w:tcPr>
            <w:tcW w:w="14033" w:type="dxa"/>
            <w:gridSpan w:val="6"/>
            <w:vAlign w:val="center"/>
          </w:tcPr>
          <w:p w14:paraId="1C3EEFF3">
            <w:pPr>
              <w:pStyle w:val="13"/>
            </w:pPr>
            <w:r>
              <w:t>1.有效完成学校教学安全秩序，保障学校教学任务有效开展，满足学校正常教学需要。</w:t>
            </w:r>
          </w:p>
          <w:p w14:paraId="2941A3BF">
            <w:pPr>
              <w:pStyle w:val="13"/>
            </w:pPr>
            <w:r>
              <w:t>2.按规定拨付公用经费资金，预算执行率≥98%。</w:t>
            </w:r>
          </w:p>
        </w:tc>
      </w:tr>
    </w:tbl>
    <w:p w14:paraId="5A30AC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F1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45473">
            <w:pPr>
              <w:pStyle w:val="11"/>
            </w:pPr>
            <w:r>
              <w:t>一级指标</w:t>
            </w:r>
          </w:p>
        </w:tc>
        <w:tc>
          <w:tcPr>
            <w:tcW w:w="2268" w:type="dxa"/>
            <w:vAlign w:val="center"/>
          </w:tcPr>
          <w:p w14:paraId="6427AE2F">
            <w:pPr>
              <w:pStyle w:val="11"/>
            </w:pPr>
            <w:r>
              <w:t>二级指标</w:t>
            </w:r>
          </w:p>
        </w:tc>
        <w:tc>
          <w:tcPr>
            <w:tcW w:w="2835" w:type="dxa"/>
            <w:vAlign w:val="center"/>
          </w:tcPr>
          <w:p w14:paraId="3BC5FC2D">
            <w:pPr>
              <w:pStyle w:val="11"/>
            </w:pPr>
            <w:r>
              <w:t>三级指标</w:t>
            </w:r>
          </w:p>
        </w:tc>
        <w:tc>
          <w:tcPr>
            <w:tcW w:w="5386" w:type="dxa"/>
            <w:vAlign w:val="center"/>
          </w:tcPr>
          <w:p w14:paraId="0DDCE8EE">
            <w:pPr>
              <w:pStyle w:val="11"/>
            </w:pPr>
            <w:r>
              <w:t>绩效指标描述</w:t>
            </w:r>
          </w:p>
        </w:tc>
        <w:tc>
          <w:tcPr>
            <w:tcW w:w="2268" w:type="dxa"/>
            <w:vAlign w:val="center"/>
          </w:tcPr>
          <w:p w14:paraId="6D265E2C">
            <w:pPr>
              <w:pStyle w:val="11"/>
            </w:pPr>
            <w:r>
              <w:t>指标值</w:t>
            </w:r>
          </w:p>
        </w:tc>
        <w:tc>
          <w:tcPr>
            <w:tcW w:w="1276" w:type="dxa"/>
            <w:vAlign w:val="center"/>
          </w:tcPr>
          <w:p w14:paraId="30D14FAD">
            <w:pPr>
              <w:pStyle w:val="11"/>
            </w:pPr>
            <w:r>
              <w:t>指标值确定依据</w:t>
            </w:r>
          </w:p>
        </w:tc>
      </w:tr>
      <w:tr w14:paraId="4DDFE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1FAFF">
            <w:pPr>
              <w:pStyle w:val="12"/>
            </w:pPr>
            <w:r>
              <w:t>产出指标</w:t>
            </w:r>
          </w:p>
        </w:tc>
        <w:tc>
          <w:tcPr>
            <w:tcW w:w="2268" w:type="dxa"/>
            <w:vAlign w:val="center"/>
          </w:tcPr>
          <w:p w14:paraId="482F1A30">
            <w:pPr>
              <w:pStyle w:val="13"/>
            </w:pPr>
            <w:r>
              <w:t>成本指标</w:t>
            </w:r>
          </w:p>
        </w:tc>
        <w:tc>
          <w:tcPr>
            <w:tcW w:w="2835" w:type="dxa"/>
            <w:vAlign w:val="center"/>
          </w:tcPr>
          <w:p w14:paraId="1394FDBF">
            <w:pPr>
              <w:pStyle w:val="13"/>
            </w:pPr>
            <w:r>
              <w:t>生均拨款标准</w:t>
            </w:r>
          </w:p>
        </w:tc>
        <w:tc>
          <w:tcPr>
            <w:tcW w:w="5386" w:type="dxa"/>
            <w:vAlign w:val="center"/>
          </w:tcPr>
          <w:p w14:paraId="5E7252BE">
            <w:pPr>
              <w:pStyle w:val="13"/>
            </w:pPr>
            <w:r>
              <w:t>小学生公用经费生均小学720元。取暖费140元/生/年，随班就读学生补助7000元/生</w:t>
            </w:r>
          </w:p>
        </w:tc>
        <w:tc>
          <w:tcPr>
            <w:tcW w:w="2268" w:type="dxa"/>
            <w:vAlign w:val="center"/>
          </w:tcPr>
          <w:p w14:paraId="1D5B2872">
            <w:pPr>
              <w:pStyle w:val="13"/>
            </w:pPr>
            <w:r>
              <w:t>840元</w:t>
            </w:r>
          </w:p>
        </w:tc>
        <w:tc>
          <w:tcPr>
            <w:tcW w:w="1276" w:type="dxa"/>
            <w:vAlign w:val="center"/>
          </w:tcPr>
          <w:p w14:paraId="6A240607">
            <w:pPr>
              <w:pStyle w:val="13"/>
            </w:pPr>
            <w:r>
              <w:t>城乡义务教育公用经费管理办法</w:t>
            </w:r>
          </w:p>
        </w:tc>
      </w:tr>
      <w:tr w14:paraId="54703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3040D"/>
        </w:tc>
        <w:tc>
          <w:tcPr>
            <w:tcW w:w="2268" w:type="dxa"/>
            <w:vAlign w:val="center"/>
          </w:tcPr>
          <w:p w14:paraId="05742027">
            <w:pPr>
              <w:pStyle w:val="13"/>
            </w:pPr>
            <w:r>
              <w:t>数量指标</w:t>
            </w:r>
          </w:p>
        </w:tc>
        <w:tc>
          <w:tcPr>
            <w:tcW w:w="2835" w:type="dxa"/>
            <w:vAlign w:val="center"/>
          </w:tcPr>
          <w:p w14:paraId="6D8722C3">
            <w:pPr>
              <w:pStyle w:val="13"/>
            </w:pPr>
            <w:r>
              <w:t>就读学生数</w:t>
            </w:r>
          </w:p>
        </w:tc>
        <w:tc>
          <w:tcPr>
            <w:tcW w:w="5386" w:type="dxa"/>
            <w:vAlign w:val="center"/>
          </w:tcPr>
          <w:p w14:paraId="3351CCF2">
            <w:pPr>
              <w:pStyle w:val="13"/>
            </w:pPr>
            <w:r>
              <w:t>辐射区域内适龄学生人数</w:t>
            </w:r>
          </w:p>
        </w:tc>
        <w:tc>
          <w:tcPr>
            <w:tcW w:w="2268" w:type="dxa"/>
            <w:vAlign w:val="center"/>
          </w:tcPr>
          <w:p w14:paraId="40CB73D1">
            <w:pPr>
              <w:pStyle w:val="13"/>
            </w:pPr>
            <w:r>
              <w:t>≥290人</w:t>
            </w:r>
          </w:p>
        </w:tc>
        <w:tc>
          <w:tcPr>
            <w:tcW w:w="1276" w:type="dxa"/>
            <w:vAlign w:val="center"/>
          </w:tcPr>
          <w:p w14:paraId="06AA1D5B">
            <w:pPr>
              <w:pStyle w:val="13"/>
            </w:pPr>
            <w:r>
              <w:t>城乡义务教育公用经费管理办法</w:t>
            </w:r>
          </w:p>
        </w:tc>
      </w:tr>
      <w:tr w14:paraId="2F32C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129CF"/>
        </w:tc>
        <w:tc>
          <w:tcPr>
            <w:tcW w:w="2268" w:type="dxa"/>
            <w:vAlign w:val="center"/>
          </w:tcPr>
          <w:p w14:paraId="656440F6">
            <w:pPr>
              <w:pStyle w:val="13"/>
            </w:pPr>
            <w:r>
              <w:t>质量指标</w:t>
            </w:r>
          </w:p>
        </w:tc>
        <w:tc>
          <w:tcPr>
            <w:tcW w:w="2835" w:type="dxa"/>
            <w:vAlign w:val="center"/>
          </w:tcPr>
          <w:p w14:paraId="4C471B86">
            <w:pPr>
              <w:pStyle w:val="13"/>
            </w:pPr>
            <w:r>
              <w:t>预算执行率</w:t>
            </w:r>
          </w:p>
        </w:tc>
        <w:tc>
          <w:tcPr>
            <w:tcW w:w="5386" w:type="dxa"/>
            <w:vAlign w:val="center"/>
          </w:tcPr>
          <w:p w14:paraId="027523C0">
            <w:pPr>
              <w:pStyle w:val="13"/>
            </w:pPr>
            <w:r>
              <w:t>预算执行率≥98%</w:t>
            </w:r>
          </w:p>
        </w:tc>
        <w:tc>
          <w:tcPr>
            <w:tcW w:w="2268" w:type="dxa"/>
            <w:vAlign w:val="center"/>
          </w:tcPr>
          <w:p w14:paraId="5CD297AF">
            <w:pPr>
              <w:pStyle w:val="13"/>
            </w:pPr>
            <w:r>
              <w:t>≥98%</w:t>
            </w:r>
          </w:p>
        </w:tc>
        <w:tc>
          <w:tcPr>
            <w:tcW w:w="1276" w:type="dxa"/>
            <w:vAlign w:val="center"/>
          </w:tcPr>
          <w:p w14:paraId="1BDE8F88">
            <w:pPr>
              <w:pStyle w:val="13"/>
            </w:pPr>
            <w:r>
              <w:t>城乡义务教育公用经费管理办法</w:t>
            </w:r>
          </w:p>
        </w:tc>
      </w:tr>
      <w:tr w14:paraId="52745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826F3"/>
        </w:tc>
        <w:tc>
          <w:tcPr>
            <w:tcW w:w="2268" w:type="dxa"/>
            <w:vAlign w:val="center"/>
          </w:tcPr>
          <w:p w14:paraId="02F03FE9">
            <w:pPr>
              <w:pStyle w:val="13"/>
            </w:pPr>
            <w:r>
              <w:t>时效指标</w:t>
            </w:r>
          </w:p>
        </w:tc>
        <w:tc>
          <w:tcPr>
            <w:tcW w:w="2835" w:type="dxa"/>
            <w:vAlign w:val="center"/>
          </w:tcPr>
          <w:p w14:paraId="40ED5666">
            <w:pPr>
              <w:pStyle w:val="13"/>
            </w:pPr>
            <w:r>
              <w:t>义教经费支付完成率</w:t>
            </w:r>
          </w:p>
        </w:tc>
        <w:tc>
          <w:tcPr>
            <w:tcW w:w="5386" w:type="dxa"/>
            <w:vAlign w:val="center"/>
          </w:tcPr>
          <w:p w14:paraId="1B94AB61">
            <w:pPr>
              <w:pStyle w:val="13"/>
            </w:pPr>
            <w:r>
              <w:t>按照序时进度完成资金支付</w:t>
            </w:r>
          </w:p>
        </w:tc>
        <w:tc>
          <w:tcPr>
            <w:tcW w:w="2268" w:type="dxa"/>
            <w:vAlign w:val="center"/>
          </w:tcPr>
          <w:p w14:paraId="0072B89F">
            <w:pPr>
              <w:pStyle w:val="13"/>
            </w:pPr>
            <w:r>
              <w:t>100%</w:t>
            </w:r>
          </w:p>
        </w:tc>
        <w:tc>
          <w:tcPr>
            <w:tcW w:w="1276" w:type="dxa"/>
            <w:vAlign w:val="center"/>
          </w:tcPr>
          <w:p w14:paraId="5F010470">
            <w:pPr>
              <w:pStyle w:val="13"/>
            </w:pPr>
            <w:r>
              <w:t>城乡义务教育公用经费管理办法</w:t>
            </w:r>
          </w:p>
        </w:tc>
      </w:tr>
      <w:tr w14:paraId="1E560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DE5119">
            <w:pPr>
              <w:pStyle w:val="12"/>
            </w:pPr>
            <w:r>
              <w:t>效益指标</w:t>
            </w:r>
          </w:p>
        </w:tc>
        <w:tc>
          <w:tcPr>
            <w:tcW w:w="2268" w:type="dxa"/>
            <w:vAlign w:val="center"/>
          </w:tcPr>
          <w:p w14:paraId="60C97113">
            <w:pPr>
              <w:pStyle w:val="13"/>
            </w:pPr>
            <w:r>
              <w:t>可持续影响指标</w:t>
            </w:r>
          </w:p>
        </w:tc>
        <w:tc>
          <w:tcPr>
            <w:tcW w:w="2835" w:type="dxa"/>
            <w:vAlign w:val="center"/>
          </w:tcPr>
          <w:p w14:paraId="453EC9C7">
            <w:pPr>
              <w:pStyle w:val="13"/>
            </w:pPr>
            <w:r>
              <w:t>学校运转得到提高</w:t>
            </w:r>
          </w:p>
        </w:tc>
        <w:tc>
          <w:tcPr>
            <w:tcW w:w="5386" w:type="dxa"/>
            <w:vAlign w:val="center"/>
          </w:tcPr>
          <w:p w14:paraId="6978AF97">
            <w:pPr>
              <w:pStyle w:val="13"/>
            </w:pPr>
            <w:r>
              <w:t>学生受教育年限</w:t>
            </w:r>
          </w:p>
        </w:tc>
        <w:tc>
          <w:tcPr>
            <w:tcW w:w="2268" w:type="dxa"/>
            <w:vAlign w:val="center"/>
          </w:tcPr>
          <w:p w14:paraId="4A9FB917">
            <w:pPr>
              <w:pStyle w:val="13"/>
            </w:pPr>
            <w:r>
              <w:t>6年</w:t>
            </w:r>
          </w:p>
        </w:tc>
        <w:tc>
          <w:tcPr>
            <w:tcW w:w="1276" w:type="dxa"/>
            <w:vAlign w:val="center"/>
          </w:tcPr>
          <w:p w14:paraId="7474F3F0">
            <w:pPr>
              <w:pStyle w:val="13"/>
            </w:pPr>
            <w:r>
              <w:t>城乡义务教育公用经费管理办法</w:t>
            </w:r>
          </w:p>
        </w:tc>
      </w:tr>
      <w:tr w14:paraId="37667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874C2">
            <w:pPr>
              <w:pStyle w:val="12"/>
            </w:pPr>
            <w:r>
              <w:t>满意度指标</w:t>
            </w:r>
          </w:p>
        </w:tc>
        <w:tc>
          <w:tcPr>
            <w:tcW w:w="2268" w:type="dxa"/>
            <w:vAlign w:val="center"/>
          </w:tcPr>
          <w:p w14:paraId="2D34B06A">
            <w:pPr>
              <w:pStyle w:val="13"/>
            </w:pPr>
            <w:r>
              <w:t>服务对象满意度指标</w:t>
            </w:r>
          </w:p>
        </w:tc>
        <w:tc>
          <w:tcPr>
            <w:tcW w:w="2835" w:type="dxa"/>
            <w:vAlign w:val="center"/>
          </w:tcPr>
          <w:p w14:paraId="462EA48D">
            <w:pPr>
              <w:pStyle w:val="13"/>
            </w:pPr>
            <w:r>
              <w:t>服务对象满意度</w:t>
            </w:r>
          </w:p>
        </w:tc>
        <w:tc>
          <w:tcPr>
            <w:tcW w:w="5386" w:type="dxa"/>
            <w:vAlign w:val="center"/>
          </w:tcPr>
          <w:p w14:paraId="11618872">
            <w:pPr>
              <w:pStyle w:val="13"/>
            </w:pPr>
            <w:r>
              <w:t>学校老师和学生满意度</w:t>
            </w:r>
          </w:p>
        </w:tc>
        <w:tc>
          <w:tcPr>
            <w:tcW w:w="2268" w:type="dxa"/>
            <w:vAlign w:val="center"/>
          </w:tcPr>
          <w:p w14:paraId="1ACD60A2">
            <w:pPr>
              <w:pStyle w:val="13"/>
            </w:pPr>
            <w:r>
              <w:t>≥95%</w:t>
            </w:r>
          </w:p>
        </w:tc>
        <w:tc>
          <w:tcPr>
            <w:tcW w:w="1276" w:type="dxa"/>
            <w:vAlign w:val="center"/>
          </w:tcPr>
          <w:p w14:paraId="3BB5ACCC">
            <w:pPr>
              <w:pStyle w:val="13"/>
            </w:pPr>
            <w:r>
              <w:t>问卷调查</w:t>
            </w:r>
          </w:p>
        </w:tc>
      </w:tr>
    </w:tbl>
    <w:p w14:paraId="041D44A5">
      <w:pPr>
        <w:sectPr>
          <w:pgSz w:w="16840" w:h="11900" w:orient="landscape"/>
          <w:pgMar w:top="1361" w:right="1020" w:bottom="1134" w:left="1020" w:header="720" w:footer="720" w:gutter="0"/>
          <w:cols w:space="720" w:num="1"/>
        </w:sectPr>
      </w:pPr>
    </w:p>
    <w:p w14:paraId="6B6C7D68">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6、冀财教[2024]123号/中央/2025年义教补助经费/张汪小学公用经费绩效目标表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4C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45E36">
            <w:pPr>
              <w:pStyle w:val="14"/>
            </w:pPr>
            <w:r>
              <w:t>单位：万元</w:t>
            </w:r>
          </w:p>
        </w:tc>
      </w:tr>
      <w:tr w14:paraId="29527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8F9C1A">
            <w:pPr>
              <w:pStyle w:val="11"/>
            </w:pPr>
            <w:r>
              <w:t>项目编码</w:t>
            </w:r>
          </w:p>
        </w:tc>
        <w:tc>
          <w:tcPr>
            <w:tcW w:w="5103" w:type="dxa"/>
            <w:gridSpan w:val="2"/>
            <w:vAlign w:val="center"/>
          </w:tcPr>
          <w:p w14:paraId="2FDC79DD">
            <w:pPr>
              <w:pStyle w:val="13"/>
            </w:pPr>
            <w:r>
              <w:t>13052525P00000410064M</w:t>
            </w:r>
          </w:p>
        </w:tc>
        <w:tc>
          <w:tcPr>
            <w:tcW w:w="2835" w:type="dxa"/>
            <w:vAlign w:val="center"/>
          </w:tcPr>
          <w:p w14:paraId="381BB070">
            <w:pPr>
              <w:pStyle w:val="11"/>
            </w:pPr>
            <w:r>
              <w:t>项目名称</w:t>
            </w:r>
          </w:p>
        </w:tc>
        <w:tc>
          <w:tcPr>
            <w:tcW w:w="6095" w:type="dxa"/>
            <w:gridSpan w:val="3"/>
            <w:vAlign w:val="center"/>
          </w:tcPr>
          <w:p w14:paraId="0582346A">
            <w:pPr>
              <w:pStyle w:val="13"/>
            </w:pPr>
            <w:r>
              <w:t>冀财教[2024]123号/中央/2025年义教补助经费/张汪小学公用经费</w:t>
            </w:r>
          </w:p>
        </w:tc>
      </w:tr>
      <w:tr w14:paraId="739F62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B5459">
            <w:pPr>
              <w:pStyle w:val="11"/>
            </w:pPr>
            <w:r>
              <w:t>预算规模及资金用途</w:t>
            </w:r>
          </w:p>
        </w:tc>
        <w:tc>
          <w:tcPr>
            <w:tcW w:w="2268" w:type="dxa"/>
            <w:vAlign w:val="center"/>
          </w:tcPr>
          <w:p w14:paraId="10DDC27D">
            <w:pPr>
              <w:pStyle w:val="11"/>
            </w:pPr>
            <w:r>
              <w:t>预算数</w:t>
            </w:r>
          </w:p>
        </w:tc>
        <w:tc>
          <w:tcPr>
            <w:tcW w:w="2835" w:type="dxa"/>
            <w:vAlign w:val="center"/>
          </w:tcPr>
          <w:p w14:paraId="07F1D568">
            <w:pPr>
              <w:pStyle w:val="13"/>
            </w:pPr>
            <w:r>
              <w:t>37.49</w:t>
            </w:r>
          </w:p>
        </w:tc>
        <w:tc>
          <w:tcPr>
            <w:tcW w:w="2835" w:type="dxa"/>
            <w:vAlign w:val="center"/>
          </w:tcPr>
          <w:p w14:paraId="2B395723">
            <w:pPr>
              <w:pStyle w:val="11"/>
            </w:pPr>
            <w:r>
              <w:t>其中：财政    资金</w:t>
            </w:r>
          </w:p>
        </w:tc>
        <w:tc>
          <w:tcPr>
            <w:tcW w:w="2551" w:type="dxa"/>
            <w:vAlign w:val="center"/>
          </w:tcPr>
          <w:p w14:paraId="77C73454">
            <w:pPr>
              <w:pStyle w:val="13"/>
            </w:pPr>
            <w:r>
              <w:t>37.49</w:t>
            </w:r>
          </w:p>
        </w:tc>
        <w:tc>
          <w:tcPr>
            <w:tcW w:w="2268" w:type="dxa"/>
            <w:vAlign w:val="center"/>
          </w:tcPr>
          <w:p w14:paraId="68ABBAF9">
            <w:pPr>
              <w:pStyle w:val="11"/>
            </w:pPr>
            <w:r>
              <w:t>其他资金</w:t>
            </w:r>
          </w:p>
        </w:tc>
        <w:tc>
          <w:tcPr>
            <w:tcW w:w="1276" w:type="dxa"/>
            <w:vAlign w:val="center"/>
          </w:tcPr>
          <w:p w14:paraId="75AD1BD3">
            <w:pPr>
              <w:pStyle w:val="13"/>
            </w:pPr>
            <w:r>
              <w:t xml:space="preserve"> </w:t>
            </w:r>
          </w:p>
        </w:tc>
      </w:tr>
      <w:tr w14:paraId="4FE2E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07295E"/>
        </w:tc>
        <w:tc>
          <w:tcPr>
            <w:tcW w:w="14033" w:type="dxa"/>
            <w:gridSpan w:val="6"/>
            <w:vAlign w:val="center"/>
          </w:tcPr>
          <w:p w14:paraId="36CED22E">
            <w:pPr>
              <w:pStyle w:val="13"/>
            </w:pPr>
            <w:r>
              <w:t>有效完成学校教学安全秩序，保障学校教学任务有效开展，满足学校正常教学需要。</w:t>
            </w:r>
          </w:p>
        </w:tc>
      </w:tr>
      <w:tr w14:paraId="0A25A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6DDD6">
            <w:pPr>
              <w:pStyle w:val="11"/>
            </w:pPr>
            <w:r>
              <w:t>资金支出计划（%）</w:t>
            </w:r>
          </w:p>
        </w:tc>
        <w:tc>
          <w:tcPr>
            <w:tcW w:w="5103" w:type="dxa"/>
            <w:gridSpan w:val="2"/>
            <w:vAlign w:val="center"/>
          </w:tcPr>
          <w:p w14:paraId="393906A4">
            <w:pPr>
              <w:pStyle w:val="11"/>
            </w:pPr>
            <w:r>
              <w:t>3月底</w:t>
            </w:r>
          </w:p>
        </w:tc>
        <w:tc>
          <w:tcPr>
            <w:tcW w:w="2835" w:type="dxa"/>
            <w:vAlign w:val="center"/>
          </w:tcPr>
          <w:p w14:paraId="554FC325">
            <w:pPr>
              <w:pStyle w:val="11"/>
            </w:pPr>
            <w:r>
              <w:t>6月底</w:t>
            </w:r>
          </w:p>
        </w:tc>
        <w:tc>
          <w:tcPr>
            <w:tcW w:w="2551" w:type="dxa"/>
            <w:vAlign w:val="center"/>
          </w:tcPr>
          <w:p w14:paraId="4F0CB8E9">
            <w:pPr>
              <w:pStyle w:val="11"/>
            </w:pPr>
            <w:r>
              <w:t>10月底</w:t>
            </w:r>
          </w:p>
        </w:tc>
        <w:tc>
          <w:tcPr>
            <w:tcW w:w="3544" w:type="dxa"/>
            <w:gridSpan w:val="2"/>
            <w:vAlign w:val="center"/>
          </w:tcPr>
          <w:p w14:paraId="221A5D8B">
            <w:pPr>
              <w:pStyle w:val="11"/>
            </w:pPr>
            <w:r>
              <w:t>12月底</w:t>
            </w:r>
          </w:p>
        </w:tc>
      </w:tr>
      <w:tr w14:paraId="564D1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61DDD"/>
        </w:tc>
        <w:tc>
          <w:tcPr>
            <w:tcW w:w="5103" w:type="dxa"/>
            <w:gridSpan w:val="2"/>
            <w:vAlign w:val="center"/>
          </w:tcPr>
          <w:p w14:paraId="0B1D63A8">
            <w:pPr>
              <w:pStyle w:val="12"/>
            </w:pPr>
            <w:r>
              <w:t>25%</w:t>
            </w:r>
          </w:p>
        </w:tc>
        <w:tc>
          <w:tcPr>
            <w:tcW w:w="2835" w:type="dxa"/>
            <w:vAlign w:val="center"/>
          </w:tcPr>
          <w:p w14:paraId="1039A28B">
            <w:pPr>
              <w:pStyle w:val="12"/>
            </w:pPr>
            <w:r>
              <w:t>50%</w:t>
            </w:r>
          </w:p>
        </w:tc>
        <w:tc>
          <w:tcPr>
            <w:tcW w:w="2551" w:type="dxa"/>
            <w:vAlign w:val="center"/>
          </w:tcPr>
          <w:p w14:paraId="2ACA1074">
            <w:pPr>
              <w:pStyle w:val="12"/>
            </w:pPr>
            <w:r>
              <w:t>75%</w:t>
            </w:r>
          </w:p>
        </w:tc>
        <w:tc>
          <w:tcPr>
            <w:tcW w:w="3544" w:type="dxa"/>
            <w:gridSpan w:val="2"/>
            <w:vAlign w:val="center"/>
          </w:tcPr>
          <w:p w14:paraId="6C09D66D">
            <w:pPr>
              <w:pStyle w:val="12"/>
            </w:pPr>
            <w:r>
              <w:t>100%</w:t>
            </w:r>
          </w:p>
        </w:tc>
      </w:tr>
      <w:tr w14:paraId="017FC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88A1B">
            <w:pPr>
              <w:pStyle w:val="11"/>
            </w:pPr>
            <w:r>
              <w:t>绩效目标</w:t>
            </w:r>
          </w:p>
        </w:tc>
        <w:tc>
          <w:tcPr>
            <w:tcW w:w="14033" w:type="dxa"/>
            <w:gridSpan w:val="6"/>
            <w:vAlign w:val="center"/>
          </w:tcPr>
          <w:p w14:paraId="0C488BE9">
            <w:pPr>
              <w:pStyle w:val="13"/>
            </w:pPr>
            <w:r>
              <w:t>1.有效完成学校教学安全秩序，保障学校教学任务有效开展，满足学校正常教学需要。</w:t>
            </w:r>
          </w:p>
          <w:p w14:paraId="075946DD">
            <w:pPr>
              <w:pStyle w:val="13"/>
            </w:pPr>
            <w:r>
              <w:t>2.按规定拨付公用经费资金，预算执行率≥98%。</w:t>
            </w:r>
          </w:p>
        </w:tc>
      </w:tr>
    </w:tbl>
    <w:p w14:paraId="0C376A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43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F9E0C">
            <w:pPr>
              <w:pStyle w:val="11"/>
            </w:pPr>
            <w:r>
              <w:t>一级指标</w:t>
            </w:r>
          </w:p>
        </w:tc>
        <w:tc>
          <w:tcPr>
            <w:tcW w:w="2268" w:type="dxa"/>
            <w:vAlign w:val="center"/>
          </w:tcPr>
          <w:p w14:paraId="538E2701">
            <w:pPr>
              <w:pStyle w:val="11"/>
            </w:pPr>
            <w:r>
              <w:t>二级指标</w:t>
            </w:r>
          </w:p>
        </w:tc>
        <w:tc>
          <w:tcPr>
            <w:tcW w:w="2835" w:type="dxa"/>
            <w:vAlign w:val="center"/>
          </w:tcPr>
          <w:p w14:paraId="296AC3BC">
            <w:pPr>
              <w:pStyle w:val="11"/>
            </w:pPr>
            <w:r>
              <w:t>三级指标</w:t>
            </w:r>
          </w:p>
        </w:tc>
        <w:tc>
          <w:tcPr>
            <w:tcW w:w="5386" w:type="dxa"/>
            <w:vAlign w:val="center"/>
          </w:tcPr>
          <w:p w14:paraId="663FF708">
            <w:pPr>
              <w:pStyle w:val="11"/>
            </w:pPr>
            <w:r>
              <w:t>绩效指标描述</w:t>
            </w:r>
          </w:p>
        </w:tc>
        <w:tc>
          <w:tcPr>
            <w:tcW w:w="2268" w:type="dxa"/>
            <w:vAlign w:val="center"/>
          </w:tcPr>
          <w:p w14:paraId="7AD0DF46">
            <w:pPr>
              <w:pStyle w:val="11"/>
            </w:pPr>
            <w:r>
              <w:t>指标值</w:t>
            </w:r>
          </w:p>
        </w:tc>
        <w:tc>
          <w:tcPr>
            <w:tcW w:w="1276" w:type="dxa"/>
            <w:vAlign w:val="center"/>
          </w:tcPr>
          <w:p w14:paraId="65B2BA35">
            <w:pPr>
              <w:pStyle w:val="11"/>
            </w:pPr>
            <w:r>
              <w:t>指标值确定依据</w:t>
            </w:r>
          </w:p>
        </w:tc>
      </w:tr>
      <w:tr w14:paraId="49B91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00496">
            <w:pPr>
              <w:pStyle w:val="12"/>
            </w:pPr>
            <w:r>
              <w:t>产出指标</w:t>
            </w:r>
          </w:p>
        </w:tc>
        <w:tc>
          <w:tcPr>
            <w:tcW w:w="2268" w:type="dxa"/>
            <w:vAlign w:val="center"/>
          </w:tcPr>
          <w:p w14:paraId="06732951">
            <w:pPr>
              <w:pStyle w:val="13"/>
            </w:pPr>
            <w:r>
              <w:t>成本指标</w:t>
            </w:r>
          </w:p>
        </w:tc>
        <w:tc>
          <w:tcPr>
            <w:tcW w:w="2835" w:type="dxa"/>
            <w:vAlign w:val="center"/>
          </w:tcPr>
          <w:p w14:paraId="0461FA6F">
            <w:pPr>
              <w:pStyle w:val="13"/>
            </w:pPr>
            <w:r>
              <w:t>生均拨款标准</w:t>
            </w:r>
          </w:p>
        </w:tc>
        <w:tc>
          <w:tcPr>
            <w:tcW w:w="5386" w:type="dxa"/>
            <w:vAlign w:val="center"/>
          </w:tcPr>
          <w:p w14:paraId="34106B63">
            <w:pPr>
              <w:pStyle w:val="13"/>
            </w:pPr>
            <w:r>
              <w:t>小学生公用经费生均小学720元。取暖费140元/生/年，随班就读学生补助7000元/生</w:t>
            </w:r>
          </w:p>
        </w:tc>
        <w:tc>
          <w:tcPr>
            <w:tcW w:w="2268" w:type="dxa"/>
            <w:vAlign w:val="center"/>
          </w:tcPr>
          <w:p w14:paraId="7E715206">
            <w:pPr>
              <w:pStyle w:val="13"/>
            </w:pPr>
            <w:r>
              <w:t>840元</w:t>
            </w:r>
          </w:p>
        </w:tc>
        <w:tc>
          <w:tcPr>
            <w:tcW w:w="1276" w:type="dxa"/>
            <w:vAlign w:val="center"/>
          </w:tcPr>
          <w:p w14:paraId="77175D9B">
            <w:pPr>
              <w:pStyle w:val="13"/>
            </w:pPr>
            <w:r>
              <w:t>城乡义务教育公用经费管理办法</w:t>
            </w:r>
          </w:p>
        </w:tc>
      </w:tr>
      <w:tr w14:paraId="5F38E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292F1"/>
        </w:tc>
        <w:tc>
          <w:tcPr>
            <w:tcW w:w="2268" w:type="dxa"/>
            <w:vAlign w:val="center"/>
          </w:tcPr>
          <w:p w14:paraId="6145C8DD">
            <w:pPr>
              <w:pStyle w:val="13"/>
            </w:pPr>
            <w:r>
              <w:t>数量指标</w:t>
            </w:r>
          </w:p>
        </w:tc>
        <w:tc>
          <w:tcPr>
            <w:tcW w:w="2835" w:type="dxa"/>
            <w:vAlign w:val="center"/>
          </w:tcPr>
          <w:p w14:paraId="19EB3AD1">
            <w:pPr>
              <w:pStyle w:val="13"/>
            </w:pPr>
            <w:r>
              <w:t>就读学生数</w:t>
            </w:r>
          </w:p>
        </w:tc>
        <w:tc>
          <w:tcPr>
            <w:tcW w:w="5386" w:type="dxa"/>
            <w:vAlign w:val="center"/>
          </w:tcPr>
          <w:p w14:paraId="771A7D0E">
            <w:pPr>
              <w:pStyle w:val="13"/>
            </w:pPr>
            <w:r>
              <w:t>辐射区域内适龄学生人数</w:t>
            </w:r>
          </w:p>
        </w:tc>
        <w:tc>
          <w:tcPr>
            <w:tcW w:w="2268" w:type="dxa"/>
            <w:vAlign w:val="center"/>
          </w:tcPr>
          <w:p w14:paraId="62C979F5">
            <w:pPr>
              <w:pStyle w:val="13"/>
            </w:pPr>
            <w:r>
              <w:t>≥644人</w:t>
            </w:r>
          </w:p>
        </w:tc>
        <w:tc>
          <w:tcPr>
            <w:tcW w:w="1276" w:type="dxa"/>
            <w:vAlign w:val="center"/>
          </w:tcPr>
          <w:p w14:paraId="6F7747AF">
            <w:pPr>
              <w:pStyle w:val="13"/>
            </w:pPr>
            <w:r>
              <w:t>城乡义务教育公用经费管理办法</w:t>
            </w:r>
          </w:p>
        </w:tc>
      </w:tr>
      <w:tr w14:paraId="56424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AA695"/>
        </w:tc>
        <w:tc>
          <w:tcPr>
            <w:tcW w:w="2268" w:type="dxa"/>
            <w:vAlign w:val="center"/>
          </w:tcPr>
          <w:p w14:paraId="72A04174">
            <w:pPr>
              <w:pStyle w:val="13"/>
            </w:pPr>
            <w:r>
              <w:t>质量指标</w:t>
            </w:r>
          </w:p>
        </w:tc>
        <w:tc>
          <w:tcPr>
            <w:tcW w:w="2835" w:type="dxa"/>
            <w:vAlign w:val="center"/>
          </w:tcPr>
          <w:p w14:paraId="0FC2D4BD">
            <w:pPr>
              <w:pStyle w:val="13"/>
            </w:pPr>
            <w:r>
              <w:t>预算执行率</w:t>
            </w:r>
          </w:p>
        </w:tc>
        <w:tc>
          <w:tcPr>
            <w:tcW w:w="5386" w:type="dxa"/>
            <w:vAlign w:val="center"/>
          </w:tcPr>
          <w:p w14:paraId="069F0117">
            <w:pPr>
              <w:pStyle w:val="13"/>
            </w:pPr>
            <w:r>
              <w:t>预算执行率≥98%</w:t>
            </w:r>
          </w:p>
        </w:tc>
        <w:tc>
          <w:tcPr>
            <w:tcW w:w="2268" w:type="dxa"/>
            <w:vAlign w:val="center"/>
          </w:tcPr>
          <w:p w14:paraId="769E36D4">
            <w:pPr>
              <w:pStyle w:val="13"/>
            </w:pPr>
            <w:r>
              <w:t>≥98%</w:t>
            </w:r>
          </w:p>
        </w:tc>
        <w:tc>
          <w:tcPr>
            <w:tcW w:w="1276" w:type="dxa"/>
            <w:vAlign w:val="center"/>
          </w:tcPr>
          <w:p w14:paraId="6568EE76">
            <w:pPr>
              <w:pStyle w:val="13"/>
            </w:pPr>
            <w:r>
              <w:t>城乡义务教育公用经费管理办法</w:t>
            </w:r>
          </w:p>
        </w:tc>
      </w:tr>
      <w:tr w14:paraId="7893C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DB938"/>
        </w:tc>
        <w:tc>
          <w:tcPr>
            <w:tcW w:w="2268" w:type="dxa"/>
            <w:vAlign w:val="center"/>
          </w:tcPr>
          <w:p w14:paraId="7E6EEDFB">
            <w:pPr>
              <w:pStyle w:val="13"/>
            </w:pPr>
            <w:r>
              <w:t>时效指标</w:t>
            </w:r>
          </w:p>
        </w:tc>
        <w:tc>
          <w:tcPr>
            <w:tcW w:w="2835" w:type="dxa"/>
            <w:vAlign w:val="center"/>
          </w:tcPr>
          <w:p w14:paraId="30AFD82E">
            <w:pPr>
              <w:pStyle w:val="13"/>
            </w:pPr>
            <w:r>
              <w:t>义教经费支付完成率</w:t>
            </w:r>
          </w:p>
        </w:tc>
        <w:tc>
          <w:tcPr>
            <w:tcW w:w="5386" w:type="dxa"/>
            <w:vAlign w:val="center"/>
          </w:tcPr>
          <w:p w14:paraId="242A332D">
            <w:pPr>
              <w:pStyle w:val="13"/>
            </w:pPr>
            <w:r>
              <w:t>按照序时进度完成资金支付</w:t>
            </w:r>
          </w:p>
        </w:tc>
        <w:tc>
          <w:tcPr>
            <w:tcW w:w="2268" w:type="dxa"/>
            <w:vAlign w:val="center"/>
          </w:tcPr>
          <w:p w14:paraId="52AAF120">
            <w:pPr>
              <w:pStyle w:val="13"/>
            </w:pPr>
            <w:r>
              <w:t>100%</w:t>
            </w:r>
          </w:p>
        </w:tc>
        <w:tc>
          <w:tcPr>
            <w:tcW w:w="1276" w:type="dxa"/>
            <w:vAlign w:val="center"/>
          </w:tcPr>
          <w:p w14:paraId="0609E339">
            <w:pPr>
              <w:pStyle w:val="13"/>
            </w:pPr>
            <w:r>
              <w:t>城乡义务教育公用经费管理办法</w:t>
            </w:r>
          </w:p>
        </w:tc>
      </w:tr>
      <w:tr w14:paraId="2E80D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AD630">
            <w:pPr>
              <w:pStyle w:val="12"/>
            </w:pPr>
            <w:r>
              <w:t>效益指标</w:t>
            </w:r>
          </w:p>
        </w:tc>
        <w:tc>
          <w:tcPr>
            <w:tcW w:w="2268" w:type="dxa"/>
            <w:vAlign w:val="center"/>
          </w:tcPr>
          <w:p w14:paraId="56E1680A">
            <w:pPr>
              <w:pStyle w:val="13"/>
            </w:pPr>
            <w:r>
              <w:t>可持续影响指标</w:t>
            </w:r>
          </w:p>
        </w:tc>
        <w:tc>
          <w:tcPr>
            <w:tcW w:w="2835" w:type="dxa"/>
            <w:vAlign w:val="center"/>
          </w:tcPr>
          <w:p w14:paraId="346BD77B">
            <w:pPr>
              <w:pStyle w:val="13"/>
            </w:pPr>
            <w:r>
              <w:t>学校运转得到提高</w:t>
            </w:r>
          </w:p>
        </w:tc>
        <w:tc>
          <w:tcPr>
            <w:tcW w:w="5386" w:type="dxa"/>
            <w:vAlign w:val="center"/>
          </w:tcPr>
          <w:p w14:paraId="6A4FDAAB">
            <w:pPr>
              <w:pStyle w:val="13"/>
            </w:pPr>
            <w:r>
              <w:t>学生受教育年限</w:t>
            </w:r>
          </w:p>
        </w:tc>
        <w:tc>
          <w:tcPr>
            <w:tcW w:w="2268" w:type="dxa"/>
            <w:vAlign w:val="center"/>
          </w:tcPr>
          <w:p w14:paraId="19F1C061">
            <w:pPr>
              <w:pStyle w:val="13"/>
            </w:pPr>
            <w:r>
              <w:t>6年</w:t>
            </w:r>
          </w:p>
        </w:tc>
        <w:tc>
          <w:tcPr>
            <w:tcW w:w="1276" w:type="dxa"/>
            <w:vAlign w:val="center"/>
          </w:tcPr>
          <w:p w14:paraId="1CF33B4C">
            <w:pPr>
              <w:pStyle w:val="13"/>
            </w:pPr>
            <w:r>
              <w:t>城乡义务教育公用经费管理办法</w:t>
            </w:r>
          </w:p>
        </w:tc>
      </w:tr>
      <w:tr w14:paraId="5A4EA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E70C7C">
            <w:pPr>
              <w:pStyle w:val="12"/>
            </w:pPr>
            <w:r>
              <w:t>满意度指标</w:t>
            </w:r>
          </w:p>
        </w:tc>
        <w:tc>
          <w:tcPr>
            <w:tcW w:w="2268" w:type="dxa"/>
            <w:vAlign w:val="center"/>
          </w:tcPr>
          <w:p w14:paraId="6E1EE176">
            <w:pPr>
              <w:pStyle w:val="13"/>
            </w:pPr>
            <w:r>
              <w:t>服务对象满意度指标</w:t>
            </w:r>
          </w:p>
        </w:tc>
        <w:tc>
          <w:tcPr>
            <w:tcW w:w="2835" w:type="dxa"/>
            <w:vAlign w:val="center"/>
          </w:tcPr>
          <w:p w14:paraId="527CC6ED">
            <w:pPr>
              <w:pStyle w:val="13"/>
            </w:pPr>
            <w:r>
              <w:t>服务对象满意度</w:t>
            </w:r>
          </w:p>
        </w:tc>
        <w:tc>
          <w:tcPr>
            <w:tcW w:w="5386" w:type="dxa"/>
            <w:vAlign w:val="center"/>
          </w:tcPr>
          <w:p w14:paraId="0044A1CF">
            <w:pPr>
              <w:pStyle w:val="13"/>
            </w:pPr>
            <w:r>
              <w:t>学校老师和学生满意度</w:t>
            </w:r>
          </w:p>
        </w:tc>
        <w:tc>
          <w:tcPr>
            <w:tcW w:w="2268" w:type="dxa"/>
            <w:vAlign w:val="center"/>
          </w:tcPr>
          <w:p w14:paraId="3188A1E5">
            <w:pPr>
              <w:pStyle w:val="13"/>
            </w:pPr>
            <w:r>
              <w:t>≥95%</w:t>
            </w:r>
          </w:p>
        </w:tc>
        <w:tc>
          <w:tcPr>
            <w:tcW w:w="1276" w:type="dxa"/>
            <w:vAlign w:val="center"/>
          </w:tcPr>
          <w:p w14:paraId="07418AF0">
            <w:pPr>
              <w:pStyle w:val="13"/>
            </w:pPr>
            <w:r>
              <w:t>问卷调查</w:t>
            </w:r>
          </w:p>
        </w:tc>
      </w:tr>
    </w:tbl>
    <w:p w14:paraId="4B817425">
      <w:pPr>
        <w:sectPr>
          <w:pgSz w:w="16840" w:h="11900" w:orient="landscape"/>
          <w:pgMar w:top="1361" w:right="1020" w:bottom="1134" w:left="1020" w:header="720" w:footer="720" w:gutter="0"/>
          <w:cols w:space="720" w:num="1"/>
        </w:sectPr>
      </w:pPr>
    </w:p>
    <w:p w14:paraId="3C60CBBC">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7、冀财教[2024]123号/中央/2025年义教补助经费/综合奖补/魏庄校区张汪小学公用经费绩效目标表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D3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93C3A">
            <w:pPr>
              <w:pStyle w:val="14"/>
            </w:pPr>
            <w:r>
              <w:t>单位：万元</w:t>
            </w:r>
          </w:p>
        </w:tc>
      </w:tr>
      <w:tr w14:paraId="291A0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1B548D">
            <w:pPr>
              <w:pStyle w:val="11"/>
            </w:pPr>
            <w:r>
              <w:t>项目编码</w:t>
            </w:r>
          </w:p>
        </w:tc>
        <w:tc>
          <w:tcPr>
            <w:tcW w:w="5103" w:type="dxa"/>
            <w:gridSpan w:val="2"/>
            <w:vAlign w:val="center"/>
          </w:tcPr>
          <w:p w14:paraId="792555CF">
            <w:pPr>
              <w:pStyle w:val="13"/>
            </w:pPr>
            <w:r>
              <w:t>13052525P008756102779</w:t>
            </w:r>
          </w:p>
        </w:tc>
        <w:tc>
          <w:tcPr>
            <w:tcW w:w="2835" w:type="dxa"/>
            <w:vAlign w:val="center"/>
          </w:tcPr>
          <w:p w14:paraId="3F741922">
            <w:pPr>
              <w:pStyle w:val="11"/>
            </w:pPr>
            <w:r>
              <w:t>项目名称</w:t>
            </w:r>
          </w:p>
        </w:tc>
        <w:tc>
          <w:tcPr>
            <w:tcW w:w="6095" w:type="dxa"/>
            <w:gridSpan w:val="3"/>
            <w:vAlign w:val="center"/>
          </w:tcPr>
          <w:p w14:paraId="78777368">
            <w:pPr>
              <w:pStyle w:val="13"/>
            </w:pPr>
            <w:r>
              <w:t>冀财教[2024]123号/中央/2025年义教补助经费/综合奖补/魏庄校区张汪小学公用经费</w:t>
            </w:r>
          </w:p>
        </w:tc>
      </w:tr>
      <w:tr w14:paraId="4B7EE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AC4EC">
            <w:pPr>
              <w:pStyle w:val="11"/>
            </w:pPr>
            <w:r>
              <w:t>预算规模及资金用途</w:t>
            </w:r>
          </w:p>
        </w:tc>
        <w:tc>
          <w:tcPr>
            <w:tcW w:w="2268" w:type="dxa"/>
            <w:vAlign w:val="center"/>
          </w:tcPr>
          <w:p w14:paraId="5F970424">
            <w:pPr>
              <w:pStyle w:val="11"/>
            </w:pPr>
            <w:r>
              <w:t>预算数</w:t>
            </w:r>
          </w:p>
        </w:tc>
        <w:tc>
          <w:tcPr>
            <w:tcW w:w="2835" w:type="dxa"/>
            <w:vAlign w:val="center"/>
          </w:tcPr>
          <w:p w14:paraId="77BEBB22">
            <w:pPr>
              <w:pStyle w:val="13"/>
            </w:pPr>
            <w:r>
              <w:t>2.16</w:t>
            </w:r>
          </w:p>
        </w:tc>
        <w:tc>
          <w:tcPr>
            <w:tcW w:w="2835" w:type="dxa"/>
            <w:vAlign w:val="center"/>
          </w:tcPr>
          <w:p w14:paraId="6E906C05">
            <w:pPr>
              <w:pStyle w:val="11"/>
            </w:pPr>
            <w:r>
              <w:t>其中：财政    资金</w:t>
            </w:r>
          </w:p>
        </w:tc>
        <w:tc>
          <w:tcPr>
            <w:tcW w:w="2551" w:type="dxa"/>
            <w:vAlign w:val="center"/>
          </w:tcPr>
          <w:p w14:paraId="1D1EF72B">
            <w:pPr>
              <w:pStyle w:val="13"/>
            </w:pPr>
            <w:r>
              <w:t>2.16</w:t>
            </w:r>
          </w:p>
        </w:tc>
        <w:tc>
          <w:tcPr>
            <w:tcW w:w="2268" w:type="dxa"/>
            <w:vAlign w:val="center"/>
          </w:tcPr>
          <w:p w14:paraId="1DAE931E">
            <w:pPr>
              <w:pStyle w:val="11"/>
            </w:pPr>
            <w:r>
              <w:t>其他资金</w:t>
            </w:r>
          </w:p>
        </w:tc>
        <w:tc>
          <w:tcPr>
            <w:tcW w:w="1276" w:type="dxa"/>
            <w:vAlign w:val="center"/>
          </w:tcPr>
          <w:p w14:paraId="5C8EF628">
            <w:pPr>
              <w:pStyle w:val="13"/>
            </w:pPr>
            <w:r>
              <w:t xml:space="preserve"> </w:t>
            </w:r>
          </w:p>
        </w:tc>
      </w:tr>
      <w:tr w14:paraId="6E432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A1F096"/>
        </w:tc>
        <w:tc>
          <w:tcPr>
            <w:tcW w:w="14033" w:type="dxa"/>
            <w:gridSpan w:val="6"/>
            <w:vAlign w:val="center"/>
          </w:tcPr>
          <w:p w14:paraId="50C2F6B3">
            <w:pPr>
              <w:pStyle w:val="13"/>
            </w:pPr>
            <w:r>
              <w:t>有效完成学校教学安全秩序，保障学校教学任务有效开展，满足学校正常教学需要。</w:t>
            </w:r>
          </w:p>
        </w:tc>
      </w:tr>
      <w:tr w14:paraId="2EA91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B5E6C">
            <w:pPr>
              <w:pStyle w:val="11"/>
            </w:pPr>
            <w:r>
              <w:t>资金支出计划（%）</w:t>
            </w:r>
          </w:p>
        </w:tc>
        <w:tc>
          <w:tcPr>
            <w:tcW w:w="5103" w:type="dxa"/>
            <w:gridSpan w:val="2"/>
            <w:vAlign w:val="center"/>
          </w:tcPr>
          <w:p w14:paraId="12A04B4B">
            <w:pPr>
              <w:pStyle w:val="11"/>
            </w:pPr>
            <w:r>
              <w:t>3月底</w:t>
            </w:r>
          </w:p>
        </w:tc>
        <w:tc>
          <w:tcPr>
            <w:tcW w:w="2835" w:type="dxa"/>
            <w:vAlign w:val="center"/>
          </w:tcPr>
          <w:p w14:paraId="6524B170">
            <w:pPr>
              <w:pStyle w:val="11"/>
            </w:pPr>
            <w:r>
              <w:t>6月底</w:t>
            </w:r>
          </w:p>
        </w:tc>
        <w:tc>
          <w:tcPr>
            <w:tcW w:w="2551" w:type="dxa"/>
            <w:vAlign w:val="center"/>
          </w:tcPr>
          <w:p w14:paraId="74AD8FE3">
            <w:pPr>
              <w:pStyle w:val="11"/>
            </w:pPr>
            <w:r>
              <w:t>10月底</w:t>
            </w:r>
          </w:p>
        </w:tc>
        <w:tc>
          <w:tcPr>
            <w:tcW w:w="3544" w:type="dxa"/>
            <w:gridSpan w:val="2"/>
            <w:vAlign w:val="center"/>
          </w:tcPr>
          <w:p w14:paraId="73F44379">
            <w:pPr>
              <w:pStyle w:val="11"/>
            </w:pPr>
            <w:r>
              <w:t>12月底</w:t>
            </w:r>
          </w:p>
        </w:tc>
      </w:tr>
      <w:tr w14:paraId="1FFC2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3E1FD8"/>
        </w:tc>
        <w:tc>
          <w:tcPr>
            <w:tcW w:w="5103" w:type="dxa"/>
            <w:gridSpan w:val="2"/>
            <w:vAlign w:val="center"/>
          </w:tcPr>
          <w:p w14:paraId="1F90ADD1">
            <w:pPr>
              <w:pStyle w:val="12"/>
            </w:pPr>
            <w:r>
              <w:t xml:space="preserve"> </w:t>
            </w:r>
          </w:p>
        </w:tc>
        <w:tc>
          <w:tcPr>
            <w:tcW w:w="2835" w:type="dxa"/>
            <w:vAlign w:val="center"/>
          </w:tcPr>
          <w:p w14:paraId="1D5C33D6">
            <w:pPr>
              <w:pStyle w:val="12"/>
            </w:pPr>
            <w:r>
              <w:t>100%</w:t>
            </w:r>
          </w:p>
        </w:tc>
        <w:tc>
          <w:tcPr>
            <w:tcW w:w="2551" w:type="dxa"/>
            <w:vAlign w:val="center"/>
          </w:tcPr>
          <w:p w14:paraId="13CF4C8B">
            <w:pPr>
              <w:pStyle w:val="12"/>
            </w:pPr>
            <w:r>
              <w:t>100%</w:t>
            </w:r>
          </w:p>
        </w:tc>
        <w:tc>
          <w:tcPr>
            <w:tcW w:w="3544" w:type="dxa"/>
            <w:gridSpan w:val="2"/>
            <w:vAlign w:val="center"/>
          </w:tcPr>
          <w:p w14:paraId="7C079DFE">
            <w:pPr>
              <w:pStyle w:val="12"/>
            </w:pPr>
            <w:r>
              <w:t>100%</w:t>
            </w:r>
          </w:p>
        </w:tc>
      </w:tr>
      <w:tr w14:paraId="1DB53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F13AC">
            <w:pPr>
              <w:pStyle w:val="11"/>
            </w:pPr>
            <w:r>
              <w:t>绩效目标</w:t>
            </w:r>
          </w:p>
        </w:tc>
        <w:tc>
          <w:tcPr>
            <w:tcW w:w="14033" w:type="dxa"/>
            <w:gridSpan w:val="6"/>
            <w:vAlign w:val="center"/>
          </w:tcPr>
          <w:p w14:paraId="2BA1C1A9">
            <w:pPr>
              <w:pStyle w:val="13"/>
            </w:pPr>
            <w:r>
              <w:t>1.有效完成学校教学安全秩序，保障学校教学任务有效开展，满足学校正常教学需要。</w:t>
            </w:r>
          </w:p>
          <w:p w14:paraId="16EA7DB8">
            <w:pPr>
              <w:pStyle w:val="13"/>
            </w:pPr>
            <w:r>
              <w:t>2.按规定拨付公用经费资金，预算执行率≥98%。</w:t>
            </w:r>
          </w:p>
        </w:tc>
      </w:tr>
    </w:tbl>
    <w:p w14:paraId="79E2D9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CE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20AF6">
            <w:pPr>
              <w:pStyle w:val="11"/>
            </w:pPr>
            <w:r>
              <w:t>一级指标</w:t>
            </w:r>
          </w:p>
        </w:tc>
        <w:tc>
          <w:tcPr>
            <w:tcW w:w="2268" w:type="dxa"/>
            <w:vAlign w:val="center"/>
          </w:tcPr>
          <w:p w14:paraId="5BAADA98">
            <w:pPr>
              <w:pStyle w:val="11"/>
            </w:pPr>
            <w:r>
              <w:t>二级指标</w:t>
            </w:r>
          </w:p>
        </w:tc>
        <w:tc>
          <w:tcPr>
            <w:tcW w:w="2835" w:type="dxa"/>
            <w:vAlign w:val="center"/>
          </w:tcPr>
          <w:p w14:paraId="256D7943">
            <w:pPr>
              <w:pStyle w:val="11"/>
            </w:pPr>
            <w:r>
              <w:t>三级指标</w:t>
            </w:r>
          </w:p>
        </w:tc>
        <w:tc>
          <w:tcPr>
            <w:tcW w:w="5386" w:type="dxa"/>
            <w:vAlign w:val="center"/>
          </w:tcPr>
          <w:p w14:paraId="46911D56">
            <w:pPr>
              <w:pStyle w:val="11"/>
            </w:pPr>
            <w:r>
              <w:t>绩效指标描述</w:t>
            </w:r>
          </w:p>
        </w:tc>
        <w:tc>
          <w:tcPr>
            <w:tcW w:w="2268" w:type="dxa"/>
            <w:vAlign w:val="center"/>
          </w:tcPr>
          <w:p w14:paraId="4D94FB90">
            <w:pPr>
              <w:pStyle w:val="11"/>
            </w:pPr>
            <w:r>
              <w:t>指标值</w:t>
            </w:r>
          </w:p>
        </w:tc>
        <w:tc>
          <w:tcPr>
            <w:tcW w:w="1276" w:type="dxa"/>
            <w:vAlign w:val="center"/>
          </w:tcPr>
          <w:p w14:paraId="685B9A7F">
            <w:pPr>
              <w:pStyle w:val="11"/>
            </w:pPr>
            <w:r>
              <w:t>指标值确定依据</w:t>
            </w:r>
          </w:p>
        </w:tc>
      </w:tr>
      <w:tr w14:paraId="3AD70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28FF3">
            <w:pPr>
              <w:pStyle w:val="12"/>
            </w:pPr>
            <w:r>
              <w:t>产出指标</w:t>
            </w:r>
          </w:p>
        </w:tc>
        <w:tc>
          <w:tcPr>
            <w:tcW w:w="2268" w:type="dxa"/>
            <w:vAlign w:val="center"/>
          </w:tcPr>
          <w:p w14:paraId="4EF43B16">
            <w:pPr>
              <w:pStyle w:val="13"/>
            </w:pPr>
            <w:r>
              <w:t>数量指标</w:t>
            </w:r>
          </w:p>
        </w:tc>
        <w:tc>
          <w:tcPr>
            <w:tcW w:w="2835" w:type="dxa"/>
            <w:vAlign w:val="center"/>
          </w:tcPr>
          <w:p w14:paraId="28507E85">
            <w:pPr>
              <w:pStyle w:val="13"/>
            </w:pPr>
            <w:r>
              <w:t>就读学生数</w:t>
            </w:r>
          </w:p>
        </w:tc>
        <w:tc>
          <w:tcPr>
            <w:tcW w:w="5386" w:type="dxa"/>
            <w:vAlign w:val="center"/>
          </w:tcPr>
          <w:p w14:paraId="30A4813F">
            <w:pPr>
              <w:pStyle w:val="13"/>
            </w:pPr>
            <w:r>
              <w:t>辐射区域内适龄学生人数</w:t>
            </w:r>
          </w:p>
        </w:tc>
        <w:tc>
          <w:tcPr>
            <w:tcW w:w="2268" w:type="dxa"/>
            <w:vAlign w:val="center"/>
          </w:tcPr>
          <w:p w14:paraId="30073276">
            <w:pPr>
              <w:pStyle w:val="13"/>
            </w:pPr>
            <w:r>
              <w:t>644人</w:t>
            </w:r>
          </w:p>
        </w:tc>
        <w:tc>
          <w:tcPr>
            <w:tcW w:w="1276" w:type="dxa"/>
            <w:vAlign w:val="center"/>
          </w:tcPr>
          <w:p w14:paraId="32351283">
            <w:pPr>
              <w:pStyle w:val="13"/>
            </w:pPr>
            <w:r>
              <w:t>城乡义务教育公用经费管理办法</w:t>
            </w:r>
          </w:p>
        </w:tc>
      </w:tr>
      <w:tr w14:paraId="1DD25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E1F9A"/>
        </w:tc>
        <w:tc>
          <w:tcPr>
            <w:tcW w:w="2268" w:type="dxa"/>
            <w:vAlign w:val="center"/>
          </w:tcPr>
          <w:p w14:paraId="4D97919E">
            <w:pPr>
              <w:pStyle w:val="13"/>
            </w:pPr>
            <w:r>
              <w:t>质量指标</w:t>
            </w:r>
          </w:p>
        </w:tc>
        <w:tc>
          <w:tcPr>
            <w:tcW w:w="2835" w:type="dxa"/>
            <w:vAlign w:val="center"/>
          </w:tcPr>
          <w:p w14:paraId="51A75AD6">
            <w:pPr>
              <w:pStyle w:val="13"/>
            </w:pPr>
            <w:r>
              <w:t>预算执行率</w:t>
            </w:r>
          </w:p>
        </w:tc>
        <w:tc>
          <w:tcPr>
            <w:tcW w:w="5386" w:type="dxa"/>
            <w:vAlign w:val="center"/>
          </w:tcPr>
          <w:p w14:paraId="51C13F1F">
            <w:pPr>
              <w:pStyle w:val="13"/>
            </w:pPr>
            <w:r>
              <w:t>预算执行率</w:t>
            </w:r>
          </w:p>
        </w:tc>
        <w:tc>
          <w:tcPr>
            <w:tcW w:w="2268" w:type="dxa"/>
            <w:vAlign w:val="center"/>
          </w:tcPr>
          <w:p w14:paraId="65AA1D45">
            <w:pPr>
              <w:pStyle w:val="13"/>
            </w:pPr>
            <w:r>
              <w:t>≥100%</w:t>
            </w:r>
          </w:p>
        </w:tc>
        <w:tc>
          <w:tcPr>
            <w:tcW w:w="1276" w:type="dxa"/>
            <w:vAlign w:val="center"/>
          </w:tcPr>
          <w:p w14:paraId="439B081D">
            <w:pPr>
              <w:pStyle w:val="13"/>
            </w:pPr>
            <w:r>
              <w:t>城乡义务教育公用经费管理办法</w:t>
            </w:r>
          </w:p>
        </w:tc>
      </w:tr>
      <w:tr w14:paraId="1CE5E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12F2E"/>
        </w:tc>
        <w:tc>
          <w:tcPr>
            <w:tcW w:w="2268" w:type="dxa"/>
            <w:vAlign w:val="center"/>
          </w:tcPr>
          <w:p w14:paraId="1F8FB701">
            <w:pPr>
              <w:pStyle w:val="13"/>
            </w:pPr>
            <w:r>
              <w:t>时效指标</w:t>
            </w:r>
          </w:p>
        </w:tc>
        <w:tc>
          <w:tcPr>
            <w:tcW w:w="2835" w:type="dxa"/>
            <w:vAlign w:val="center"/>
          </w:tcPr>
          <w:p w14:paraId="7B085AAF">
            <w:pPr>
              <w:pStyle w:val="13"/>
            </w:pPr>
            <w:r>
              <w:t>义教经费支付完成率</w:t>
            </w:r>
          </w:p>
        </w:tc>
        <w:tc>
          <w:tcPr>
            <w:tcW w:w="5386" w:type="dxa"/>
            <w:vAlign w:val="center"/>
          </w:tcPr>
          <w:p w14:paraId="16FAAC0C">
            <w:pPr>
              <w:pStyle w:val="13"/>
            </w:pPr>
            <w:r>
              <w:t>按照序时进度完成资金支付</w:t>
            </w:r>
          </w:p>
        </w:tc>
        <w:tc>
          <w:tcPr>
            <w:tcW w:w="2268" w:type="dxa"/>
            <w:vAlign w:val="center"/>
          </w:tcPr>
          <w:p w14:paraId="2D079B9C">
            <w:pPr>
              <w:pStyle w:val="13"/>
            </w:pPr>
            <w:r>
              <w:t>≥100%</w:t>
            </w:r>
          </w:p>
        </w:tc>
        <w:tc>
          <w:tcPr>
            <w:tcW w:w="1276" w:type="dxa"/>
            <w:vAlign w:val="center"/>
          </w:tcPr>
          <w:p w14:paraId="75298DAC">
            <w:pPr>
              <w:pStyle w:val="13"/>
            </w:pPr>
            <w:r>
              <w:t>城乡义务教育公用经费管理办法</w:t>
            </w:r>
          </w:p>
        </w:tc>
      </w:tr>
      <w:tr w14:paraId="40BC9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34D69"/>
        </w:tc>
        <w:tc>
          <w:tcPr>
            <w:tcW w:w="2268" w:type="dxa"/>
            <w:vAlign w:val="center"/>
          </w:tcPr>
          <w:p w14:paraId="36783420">
            <w:pPr>
              <w:pStyle w:val="13"/>
            </w:pPr>
            <w:r>
              <w:t>成本指标</w:t>
            </w:r>
          </w:p>
        </w:tc>
        <w:tc>
          <w:tcPr>
            <w:tcW w:w="2835" w:type="dxa"/>
            <w:vAlign w:val="center"/>
          </w:tcPr>
          <w:p w14:paraId="3149F14F">
            <w:pPr>
              <w:pStyle w:val="13"/>
            </w:pPr>
            <w:r>
              <w:t>生均拨款标准</w:t>
            </w:r>
          </w:p>
        </w:tc>
        <w:tc>
          <w:tcPr>
            <w:tcW w:w="5386" w:type="dxa"/>
            <w:vAlign w:val="center"/>
          </w:tcPr>
          <w:p w14:paraId="21EC007F">
            <w:pPr>
              <w:pStyle w:val="13"/>
            </w:pPr>
            <w:r>
              <w:t>小学：（基本标准720元、寄宿生300元、生活补助120元）/生/学年；特教、随班就读学生：标准7000元/生/学年</w:t>
            </w:r>
          </w:p>
        </w:tc>
        <w:tc>
          <w:tcPr>
            <w:tcW w:w="2268" w:type="dxa"/>
            <w:vAlign w:val="center"/>
          </w:tcPr>
          <w:p w14:paraId="214C148D">
            <w:pPr>
              <w:pStyle w:val="13"/>
            </w:pPr>
            <w:r>
              <w:t>≥840元</w:t>
            </w:r>
          </w:p>
        </w:tc>
        <w:tc>
          <w:tcPr>
            <w:tcW w:w="1276" w:type="dxa"/>
            <w:vAlign w:val="center"/>
          </w:tcPr>
          <w:p w14:paraId="0585EBF8">
            <w:pPr>
              <w:pStyle w:val="13"/>
            </w:pPr>
            <w:r>
              <w:t>城乡义务教育公用经费管理办法</w:t>
            </w:r>
          </w:p>
        </w:tc>
      </w:tr>
      <w:tr w14:paraId="5FED4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06E71">
            <w:pPr>
              <w:pStyle w:val="12"/>
            </w:pPr>
            <w:r>
              <w:t>效益指标</w:t>
            </w:r>
          </w:p>
        </w:tc>
        <w:tc>
          <w:tcPr>
            <w:tcW w:w="2268" w:type="dxa"/>
            <w:vAlign w:val="center"/>
          </w:tcPr>
          <w:p w14:paraId="4AA554F4">
            <w:pPr>
              <w:pStyle w:val="13"/>
            </w:pPr>
            <w:r>
              <w:t>社会效益指标</w:t>
            </w:r>
          </w:p>
        </w:tc>
        <w:tc>
          <w:tcPr>
            <w:tcW w:w="2835" w:type="dxa"/>
            <w:vAlign w:val="center"/>
          </w:tcPr>
          <w:p w14:paraId="36ED13FF">
            <w:pPr>
              <w:pStyle w:val="13"/>
            </w:pPr>
            <w:r>
              <w:t>学校稳定率</w:t>
            </w:r>
          </w:p>
        </w:tc>
        <w:tc>
          <w:tcPr>
            <w:tcW w:w="5386" w:type="dxa"/>
            <w:vAlign w:val="center"/>
          </w:tcPr>
          <w:p w14:paraId="3CA138FF">
            <w:pPr>
              <w:pStyle w:val="13"/>
            </w:pPr>
            <w:r>
              <w:t>维护学校稳定，保障学校正常教学秩序有效开展</w:t>
            </w:r>
          </w:p>
        </w:tc>
        <w:tc>
          <w:tcPr>
            <w:tcW w:w="2268" w:type="dxa"/>
            <w:vAlign w:val="center"/>
          </w:tcPr>
          <w:p w14:paraId="42E2923E">
            <w:pPr>
              <w:pStyle w:val="13"/>
            </w:pPr>
            <w:r>
              <w:t>100%</w:t>
            </w:r>
          </w:p>
        </w:tc>
        <w:tc>
          <w:tcPr>
            <w:tcW w:w="1276" w:type="dxa"/>
            <w:vAlign w:val="center"/>
          </w:tcPr>
          <w:p w14:paraId="722EEFF6">
            <w:pPr>
              <w:pStyle w:val="13"/>
            </w:pPr>
            <w:r>
              <w:t>城乡义务教育公用经费管理办法</w:t>
            </w:r>
          </w:p>
        </w:tc>
      </w:tr>
      <w:tr w14:paraId="750F5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FD6B9">
            <w:pPr>
              <w:pStyle w:val="12"/>
            </w:pPr>
            <w:r>
              <w:t>满意度指标</w:t>
            </w:r>
          </w:p>
        </w:tc>
        <w:tc>
          <w:tcPr>
            <w:tcW w:w="2268" w:type="dxa"/>
            <w:vAlign w:val="center"/>
          </w:tcPr>
          <w:p w14:paraId="05820CF9">
            <w:pPr>
              <w:pStyle w:val="13"/>
            </w:pPr>
            <w:r>
              <w:t>服务对象满意度指标</w:t>
            </w:r>
          </w:p>
        </w:tc>
        <w:tc>
          <w:tcPr>
            <w:tcW w:w="2835" w:type="dxa"/>
            <w:vAlign w:val="center"/>
          </w:tcPr>
          <w:p w14:paraId="70FA28D7">
            <w:pPr>
              <w:pStyle w:val="13"/>
            </w:pPr>
            <w:r>
              <w:t>家长和学生满意度</w:t>
            </w:r>
          </w:p>
        </w:tc>
        <w:tc>
          <w:tcPr>
            <w:tcW w:w="5386" w:type="dxa"/>
            <w:vAlign w:val="center"/>
          </w:tcPr>
          <w:p w14:paraId="637CD095">
            <w:pPr>
              <w:pStyle w:val="13"/>
            </w:pPr>
            <w:r>
              <w:t>家长和学生满意度</w:t>
            </w:r>
          </w:p>
        </w:tc>
        <w:tc>
          <w:tcPr>
            <w:tcW w:w="2268" w:type="dxa"/>
            <w:vAlign w:val="center"/>
          </w:tcPr>
          <w:p w14:paraId="640C5DAC">
            <w:pPr>
              <w:pStyle w:val="13"/>
            </w:pPr>
            <w:r>
              <w:t>≥95%</w:t>
            </w:r>
          </w:p>
        </w:tc>
        <w:tc>
          <w:tcPr>
            <w:tcW w:w="1276" w:type="dxa"/>
            <w:vAlign w:val="center"/>
          </w:tcPr>
          <w:p w14:paraId="2B9D17FF">
            <w:pPr>
              <w:pStyle w:val="13"/>
            </w:pPr>
            <w:r>
              <w:t>问卷调查</w:t>
            </w:r>
          </w:p>
        </w:tc>
      </w:tr>
    </w:tbl>
    <w:p w14:paraId="3A250BF2">
      <w:pPr>
        <w:sectPr>
          <w:pgSz w:w="16840" w:h="11900" w:orient="landscape"/>
          <w:pgMar w:top="1361" w:right="1020" w:bottom="1134" w:left="1020" w:header="720" w:footer="720" w:gutter="0"/>
          <w:cols w:space="720" w:num="1"/>
        </w:sectPr>
      </w:pPr>
    </w:p>
    <w:p w14:paraId="68901F4C">
      <w:pPr>
        <w:spacing w:before="0" w:after="0"/>
        <w:ind w:firstLine="560"/>
        <w:jc w:val="left"/>
        <w:outlineLvl w:val="9"/>
      </w:pPr>
      <w:r>
        <w:rPr>
          <w:rFonts w:ascii="方正仿宋_GBK" w:hAnsi="方正仿宋_GBK" w:eastAsia="方正仿宋_GBK" w:cs="方正仿宋_GBK"/>
          <w:b/>
          <w:color w:val="000000"/>
          <w:sz w:val="28"/>
        </w:rPr>
        <w:t>8、冀财教[2024]141号/省级/2025年义教补助经费/魏庄小学公用经费绩效目标表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375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BE2D9">
            <w:pPr>
              <w:pStyle w:val="14"/>
            </w:pPr>
            <w:r>
              <w:t>单位：万元</w:t>
            </w:r>
          </w:p>
        </w:tc>
      </w:tr>
      <w:tr w14:paraId="7B8F3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66F5C">
            <w:pPr>
              <w:pStyle w:val="11"/>
            </w:pPr>
            <w:r>
              <w:t>项目编码</w:t>
            </w:r>
          </w:p>
        </w:tc>
        <w:tc>
          <w:tcPr>
            <w:tcW w:w="5103" w:type="dxa"/>
            <w:gridSpan w:val="2"/>
            <w:vAlign w:val="center"/>
          </w:tcPr>
          <w:p w14:paraId="294D8110">
            <w:pPr>
              <w:pStyle w:val="13"/>
            </w:pPr>
            <w:r>
              <w:t>13052525P000004101324</w:t>
            </w:r>
          </w:p>
        </w:tc>
        <w:tc>
          <w:tcPr>
            <w:tcW w:w="2835" w:type="dxa"/>
            <w:vAlign w:val="center"/>
          </w:tcPr>
          <w:p w14:paraId="267D4A9E">
            <w:pPr>
              <w:pStyle w:val="11"/>
            </w:pPr>
            <w:r>
              <w:t>项目名称</w:t>
            </w:r>
          </w:p>
        </w:tc>
        <w:tc>
          <w:tcPr>
            <w:tcW w:w="6095" w:type="dxa"/>
            <w:gridSpan w:val="3"/>
            <w:vAlign w:val="center"/>
          </w:tcPr>
          <w:p w14:paraId="0192C240">
            <w:pPr>
              <w:pStyle w:val="13"/>
            </w:pPr>
            <w:r>
              <w:t>冀财教[2024]141号/省级/2025年义教补助经费/魏庄小学公用经费</w:t>
            </w:r>
          </w:p>
        </w:tc>
      </w:tr>
      <w:tr w14:paraId="09DFE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24046">
            <w:pPr>
              <w:pStyle w:val="11"/>
            </w:pPr>
            <w:r>
              <w:t>预算规模及资金用途</w:t>
            </w:r>
          </w:p>
        </w:tc>
        <w:tc>
          <w:tcPr>
            <w:tcW w:w="2268" w:type="dxa"/>
            <w:vAlign w:val="center"/>
          </w:tcPr>
          <w:p w14:paraId="516D2A1C">
            <w:pPr>
              <w:pStyle w:val="11"/>
            </w:pPr>
            <w:r>
              <w:t>预算数</w:t>
            </w:r>
          </w:p>
        </w:tc>
        <w:tc>
          <w:tcPr>
            <w:tcW w:w="2835" w:type="dxa"/>
            <w:vAlign w:val="center"/>
          </w:tcPr>
          <w:p w14:paraId="0FBC5892">
            <w:pPr>
              <w:pStyle w:val="13"/>
            </w:pPr>
            <w:r>
              <w:t>42.63</w:t>
            </w:r>
          </w:p>
        </w:tc>
        <w:tc>
          <w:tcPr>
            <w:tcW w:w="2835" w:type="dxa"/>
            <w:vAlign w:val="center"/>
          </w:tcPr>
          <w:p w14:paraId="462A1A09">
            <w:pPr>
              <w:pStyle w:val="11"/>
            </w:pPr>
            <w:r>
              <w:t>其中：财政    资金</w:t>
            </w:r>
          </w:p>
        </w:tc>
        <w:tc>
          <w:tcPr>
            <w:tcW w:w="2551" w:type="dxa"/>
            <w:vAlign w:val="center"/>
          </w:tcPr>
          <w:p w14:paraId="0EC4F0A2">
            <w:pPr>
              <w:pStyle w:val="13"/>
            </w:pPr>
            <w:r>
              <w:t>42.63</w:t>
            </w:r>
          </w:p>
        </w:tc>
        <w:tc>
          <w:tcPr>
            <w:tcW w:w="2268" w:type="dxa"/>
            <w:vAlign w:val="center"/>
          </w:tcPr>
          <w:p w14:paraId="545C36EA">
            <w:pPr>
              <w:pStyle w:val="11"/>
            </w:pPr>
            <w:r>
              <w:t>其他资金</w:t>
            </w:r>
          </w:p>
        </w:tc>
        <w:tc>
          <w:tcPr>
            <w:tcW w:w="1276" w:type="dxa"/>
            <w:vAlign w:val="center"/>
          </w:tcPr>
          <w:p w14:paraId="47C21044">
            <w:pPr>
              <w:pStyle w:val="13"/>
            </w:pPr>
            <w:r>
              <w:t xml:space="preserve"> </w:t>
            </w:r>
          </w:p>
        </w:tc>
      </w:tr>
      <w:tr w14:paraId="23B11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7C42D"/>
        </w:tc>
        <w:tc>
          <w:tcPr>
            <w:tcW w:w="14033" w:type="dxa"/>
            <w:gridSpan w:val="6"/>
            <w:vAlign w:val="center"/>
          </w:tcPr>
          <w:p w14:paraId="0EF24F32">
            <w:pPr>
              <w:pStyle w:val="13"/>
            </w:pPr>
            <w:r>
              <w:t>有效完成学校教学安全秩序，保障学校教学任务有效开展，满足学校正常教学需要。</w:t>
            </w:r>
          </w:p>
        </w:tc>
      </w:tr>
      <w:tr w14:paraId="4A142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6F208">
            <w:pPr>
              <w:pStyle w:val="11"/>
            </w:pPr>
            <w:r>
              <w:t>资金支出计划（%）</w:t>
            </w:r>
          </w:p>
        </w:tc>
        <w:tc>
          <w:tcPr>
            <w:tcW w:w="5103" w:type="dxa"/>
            <w:gridSpan w:val="2"/>
            <w:vAlign w:val="center"/>
          </w:tcPr>
          <w:p w14:paraId="3419FA58">
            <w:pPr>
              <w:pStyle w:val="11"/>
            </w:pPr>
            <w:r>
              <w:t>3月底</w:t>
            </w:r>
          </w:p>
        </w:tc>
        <w:tc>
          <w:tcPr>
            <w:tcW w:w="2835" w:type="dxa"/>
            <w:vAlign w:val="center"/>
          </w:tcPr>
          <w:p w14:paraId="2360E24E">
            <w:pPr>
              <w:pStyle w:val="11"/>
            </w:pPr>
            <w:r>
              <w:t>6月底</w:t>
            </w:r>
          </w:p>
        </w:tc>
        <w:tc>
          <w:tcPr>
            <w:tcW w:w="2551" w:type="dxa"/>
            <w:vAlign w:val="center"/>
          </w:tcPr>
          <w:p w14:paraId="1BF91F9C">
            <w:pPr>
              <w:pStyle w:val="11"/>
            </w:pPr>
            <w:r>
              <w:t>10月底</w:t>
            </w:r>
          </w:p>
        </w:tc>
        <w:tc>
          <w:tcPr>
            <w:tcW w:w="3544" w:type="dxa"/>
            <w:gridSpan w:val="2"/>
            <w:vAlign w:val="center"/>
          </w:tcPr>
          <w:p w14:paraId="4D7652A6">
            <w:pPr>
              <w:pStyle w:val="11"/>
            </w:pPr>
            <w:r>
              <w:t>12月底</w:t>
            </w:r>
          </w:p>
        </w:tc>
      </w:tr>
      <w:tr w14:paraId="7F698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753AC91C"/>
        </w:tc>
        <w:tc>
          <w:tcPr>
            <w:tcW w:w="5103" w:type="dxa"/>
            <w:gridSpan w:val="2"/>
            <w:vAlign w:val="center"/>
          </w:tcPr>
          <w:p w14:paraId="09847777">
            <w:pPr>
              <w:pStyle w:val="12"/>
            </w:pPr>
            <w:r>
              <w:t>25%</w:t>
            </w:r>
          </w:p>
        </w:tc>
        <w:tc>
          <w:tcPr>
            <w:tcW w:w="2835" w:type="dxa"/>
            <w:vAlign w:val="center"/>
          </w:tcPr>
          <w:p w14:paraId="715480B9">
            <w:pPr>
              <w:pStyle w:val="12"/>
            </w:pPr>
            <w:r>
              <w:t>50%</w:t>
            </w:r>
          </w:p>
        </w:tc>
        <w:tc>
          <w:tcPr>
            <w:tcW w:w="2551" w:type="dxa"/>
            <w:vAlign w:val="center"/>
          </w:tcPr>
          <w:p w14:paraId="05F8C904">
            <w:pPr>
              <w:pStyle w:val="12"/>
            </w:pPr>
            <w:r>
              <w:t>75%</w:t>
            </w:r>
          </w:p>
        </w:tc>
        <w:tc>
          <w:tcPr>
            <w:tcW w:w="3544" w:type="dxa"/>
            <w:gridSpan w:val="2"/>
            <w:vAlign w:val="center"/>
          </w:tcPr>
          <w:p w14:paraId="3DC40CB9">
            <w:pPr>
              <w:pStyle w:val="12"/>
            </w:pPr>
            <w:r>
              <w:t>100%</w:t>
            </w:r>
          </w:p>
        </w:tc>
      </w:tr>
      <w:tr w14:paraId="7E286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51FF94">
            <w:pPr>
              <w:pStyle w:val="11"/>
            </w:pPr>
            <w:r>
              <w:t>绩效目标</w:t>
            </w:r>
          </w:p>
        </w:tc>
        <w:tc>
          <w:tcPr>
            <w:tcW w:w="14033" w:type="dxa"/>
            <w:gridSpan w:val="6"/>
            <w:vAlign w:val="center"/>
          </w:tcPr>
          <w:p w14:paraId="0BA70FD0">
            <w:pPr>
              <w:pStyle w:val="13"/>
            </w:pPr>
            <w:r>
              <w:t>1.有效完成学校教学安全秩序，保障学校教学任务有效开展，满足学校正常教学需要。</w:t>
            </w:r>
          </w:p>
          <w:p w14:paraId="30F743D4">
            <w:pPr>
              <w:pStyle w:val="13"/>
            </w:pPr>
            <w:r>
              <w:t>2.按规定拨付公用经费资金，预算执行率≥98%。</w:t>
            </w:r>
          </w:p>
        </w:tc>
      </w:tr>
    </w:tbl>
    <w:p w14:paraId="302D2F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B2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5126D">
            <w:pPr>
              <w:pStyle w:val="11"/>
            </w:pPr>
            <w:r>
              <w:t>一级指标</w:t>
            </w:r>
          </w:p>
        </w:tc>
        <w:tc>
          <w:tcPr>
            <w:tcW w:w="2268" w:type="dxa"/>
            <w:vAlign w:val="center"/>
          </w:tcPr>
          <w:p w14:paraId="26BAA14F">
            <w:pPr>
              <w:pStyle w:val="11"/>
            </w:pPr>
            <w:r>
              <w:t>二级指标</w:t>
            </w:r>
          </w:p>
        </w:tc>
        <w:tc>
          <w:tcPr>
            <w:tcW w:w="2835" w:type="dxa"/>
            <w:vAlign w:val="center"/>
          </w:tcPr>
          <w:p w14:paraId="281E4F98">
            <w:pPr>
              <w:pStyle w:val="11"/>
            </w:pPr>
            <w:r>
              <w:t>三级指标</w:t>
            </w:r>
          </w:p>
        </w:tc>
        <w:tc>
          <w:tcPr>
            <w:tcW w:w="5386" w:type="dxa"/>
            <w:vAlign w:val="center"/>
          </w:tcPr>
          <w:p w14:paraId="25049552">
            <w:pPr>
              <w:pStyle w:val="11"/>
            </w:pPr>
            <w:r>
              <w:t>绩效指标描述</w:t>
            </w:r>
          </w:p>
        </w:tc>
        <w:tc>
          <w:tcPr>
            <w:tcW w:w="2268" w:type="dxa"/>
            <w:vAlign w:val="center"/>
          </w:tcPr>
          <w:p w14:paraId="4EAA6157">
            <w:pPr>
              <w:pStyle w:val="11"/>
            </w:pPr>
            <w:r>
              <w:t>指标值</w:t>
            </w:r>
          </w:p>
        </w:tc>
        <w:tc>
          <w:tcPr>
            <w:tcW w:w="1276" w:type="dxa"/>
            <w:vAlign w:val="center"/>
          </w:tcPr>
          <w:p w14:paraId="212D5358">
            <w:pPr>
              <w:pStyle w:val="11"/>
            </w:pPr>
            <w:r>
              <w:t>指标值确定依据</w:t>
            </w:r>
          </w:p>
        </w:tc>
      </w:tr>
      <w:tr w14:paraId="29DDD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8B0FD">
            <w:pPr>
              <w:pStyle w:val="12"/>
            </w:pPr>
            <w:r>
              <w:t>产出指标</w:t>
            </w:r>
          </w:p>
        </w:tc>
        <w:tc>
          <w:tcPr>
            <w:tcW w:w="2268" w:type="dxa"/>
            <w:vAlign w:val="center"/>
          </w:tcPr>
          <w:p w14:paraId="11D1EAE1">
            <w:pPr>
              <w:pStyle w:val="13"/>
            </w:pPr>
            <w:r>
              <w:t>成本指标</w:t>
            </w:r>
          </w:p>
        </w:tc>
        <w:tc>
          <w:tcPr>
            <w:tcW w:w="2835" w:type="dxa"/>
            <w:vAlign w:val="center"/>
          </w:tcPr>
          <w:p w14:paraId="5EAEEAFE">
            <w:pPr>
              <w:pStyle w:val="13"/>
            </w:pPr>
            <w:r>
              <w:t>生均拨款标准</w:t>
            </w:r>
          </w:p>
        </w:tc>
        <w:tc>
          <w:tcPr>
            <w:tcW w:w="5386" w:type="dxa"/>
            <w:vAlign w:val="center"/>
          </w:tcPr>
          <w:p w14:paraId="13579E1D">
            <w:pPr>
              <w:pStyle w:val="13"/>
            </w:pPr>
            <w:r>
              <w:t>小学生公用经费生均小学720元。取暖费140元/生/年，住宿生300元/生/年,随班就读学生补助7000元/生</w:t>
            </w:r>
          </w:p>
        </w:tc>
        <w:tc>
          <w:tcPr>
            <w:tcW w:w="2268" w:type="dxa"/>
            <w:vAlign w:val="center"/>
          </w:tcPr>
          <w:p w14:paraId="4C6BEAAB">
            <w:pPr>
              <w:pStyle w:val="13"/>
            </w:pPr>
            <w:r>
              <w:t>840元</w:t>
            </w:r>
          </w:p>
        </w:tc>
        <w:tc>
          <w:tcPr>
            <w:tcW w:w="1276" w:type="dxa"/>
            <w:vAlign w:val="center"/>
          </w:tcPr>
          <w:p w14:paraId="466E5853">
            <w:pPr>
              <w:pStyle w:val="13"/>
            </w:pPr>
            <w:r>
              <w:t>城乡义务教育公用经费管理办法</w:t>
            </w:r>
          </w:p>
        </w:tc>
      </w:tr>
      <w:tr w14:paraId="37C03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5970C"/>
        </w:tc>
        <w:tc>
          <w:tcPr>
            <w:tcW w:w="2268" w:type="dxa"/>
            <w:vAlign w:val="center"/>
          </w:tcPr>
          <w:p w14:paraId="31092BE0">
            <w:pPr>
              <w:pStyle w:val="13"/>
            </w:pPr>
            <w:r>
              <w:t>数量指标</w:t>
            </w:r>
          </w:p>
        </w:tc>
        <w:tc>
          <w:tcPr>
            <w:tcW w:w="2835" w:type="dxa"/>
            <w:vAlign w:val="center"/>
          </w:tcPr>
          <w:p w14:paraId="7A7A53CA">
            <w:pPr>
              <w:pStyle w:val="13"/>
            </w:pPr>
            <w:r>
              <w:t>就读学生数</w:t>
            </w:r>
          </w:p>
        </w:tc>
        <w:tc>
          <w:tcPr>
            <w:tcW w:w="5386" w:type="dxa"/>
            <w:vAlign w:val="center"/>
          </w:tcPr>
          <w:p w14:paraId="5B632337">
            <w:pPr>
              <w:pStyle w:val="13"/>
            </w:pPr>
            <w:r>
              <w:t>辐射区域内适龄学生人数</w:t>
            </w:r>
          </w:p>
        </w:tc>
        <w:tc>
          <w:tcPr>
            <w:tcW w:w="2268" w:type="dxa"/>
            <w:vAlign w:val="center"/>
          </w:tcPr>
          <w:p w14:paraId="7AD7CE70">
            <w:pPr>
              <w:pStyle w:val="13"/>
            </w:pPr>
            <w:r>
              <w:t>≥1291人</w:t>
            </w:r>
          </w:p>
        </w:tc>
        <w:tc>
          <w:tcPr>
            <w:tcW w:w="1276" w:type="dxa"/>
            <w:vAlign w:val="center"/>
          </w:tcPr>
          <w:p w14:paraId="156B4A64">
            <w:pPr>
              <w:pStyle w:val="13"/>
            </w:pPr>
            <w:r>
              <w:t>城乡义务教育公用经费管理办法</w:t>
            </w:r>
          </w:p>
        </w:tc>
      </w:tr>
      <w:tr w14:paraId="5220E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328DF"/>
        </w:tc>
        <w:tc>
          <w:tcPr>
            <w:tcW w:w="2268" w:type="dxa"/>
            <w:vAlign w:val="center"/>
          </w:tcPr>
          <w:p w14:paraId="09756622">
            <w:pPr>
              <w:pStyle w:val="13"/>
            </w:pPr>
            <w:r>
              <w:t>质量指标</w:t>
            </w:r>
          </w:p>
        </w:tc>
        <w:tc>
          <w:tcPr>
            <w:tcW w:w="2835" w:type="dxa"/>
            <w:vAlign w:val="center"/>
          </w:tcPr>
          <w:p w14:paraId="15DD4CEB">
            <w:pPr>
              <w:pStyle w:val="13"/>
            </w:pPr>
            <w:r>
              <w:t>预算执行率</w:t>
            </w:r>
          </w:p>
        </w:tc>
        <w:tc>
          <w:tcPr>
            <w:tcW w:w="5386" w:type="dxa"/>
            <w:vAlign w:val="center"/>
          </w:tcPr>
          <w:p w14:paraId="35916F4C">
            <w:pPr>
              <w:pStyle w:val="13"/>
            </w:pPr>
            <w:r>
              <w:t>预算执行率≥98%</w:t>
            </w:r>
          </w:p>
        </w:tc>
        <w:tc>
          <w:tcPr>
            <w:tcW w:w="2268" w:type="dxa"/>
            <w:vAlign w:val="center"/>
          </w:tcPr>
          <w:p w14:paraId="1BB9C82C">
            <w:pPr>
              <w:pStyle w:val="13"/>
            </w:pPr>
            <w:r>
              <w:t>≥98%</w:t>
            </w:r>
          </w:p>
        </w:tc>
        <w:tc>
          <w:tcPr>
            <w:tcW w:w="1276" w:type="dxa"/>
            <w:vAlign w:val="center"/>
          </w:tcPr>
          <w:p w14:paraId="360DCFE0">
            <w:pPr>
              <w:pStyle w:val="13"/>
            </w:pPr>
            <w:r>
              <w:t>城乡义务教育公用经费管理办法</w:t>
            </w:r>
          </w:p>
        </w:tc>
      </w:tr>
      <w:tr w14:paraId="17115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6AF99"/>
        </w:tc>
        <w:tc>
          <w:tcPr>
            <w:tcW w:w="2268" w:type="dxa"/>
            <w:vAlign w:val="center"/>
          </w:tcPr>
          <w:p w14:paraId="223DB4DB">
            <w:pPr>
              <w:pStyle w:val="13"/>
            </w:pPr>
            <w:r>
              <w:t>时效指标</w:t>
            </w:r>
          </w:p>
        </w:tc>
        <w:tc>
          <w:tcPr>
            <w:tcW w:w="2835" w:type="dxa"/>
            <w:vAlign w:val="center"/>
          </w:tcPr>
          <w:p w14:paraId="46D88C02">
            <w:pPr>
              <w:pStyle w:val="13"/>
            </w:pPr>
            <w:r>
              <w:t>义教经费支付完成率</w:t>
            </w:r>
          </w:p>
        </w:tc>
        <w:tc>
          <w:tcPr>
            <w:tcW w:w="5386" w:type="dxa"/>
            <w:vAlign w:val="center"/>
          </w:tcPr>
          <w:p w14:paraId="65CA60ED">
            <w:pPr>
              <w:pStyle w:val="13"/>
            </w:pPr>
            <w:r>
              <w:t>按照序时进度完成资金支付</w:t>
            </w:r>
          </w:p>
        </w:tc>
        <w:tc>
          <w:tcPr>
            <w:tcW w:w="2268" w:type="dxa"/>
            <w:vAlign w:val="center"/>
          </w:tcPr>
          <w:p w14:paraId="023AA0E3">
            <w:pPr>
              <w:pStyle w:val="13"/>
            </w:pPr>
            <w:r>
              <w:t>100%</w:t>
            </w:r>
          </w:p>
        </w:tc>
        <w:tc>
          <w:tcPr>
            <w:tcW w:w="1276" w:type="dxa"/>
            <w:vAlign w:val="center"/>
          </w:tcPr>
          <w:p w14:paraId="667D1392">
            <w:pPr>
              <w:pStyle w:val="13"/>
            </w:pPr>
            <w:r>
              <w:t>城乡义务教育公用经费管理办法</w:t>
            </w:r>
          </w:p>
        </w:tc>
      </w:tr>
      <w:tr w14:paraId="2597E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A8EDC8">
            <w:pPr>
              <w:pStyle w:val="12"/>
            </w:pPr>
            <w:r>
              <w:t>效益指标</w:t>
            </w:r>
          </w:p>
        </w:tc>
        <w:tc>
          <w:tcPr>
            <w:tcW w:w="2268" w:type="dxa"/>
            <w:vAlign w:val="center"/>
          </w:tcPr>
          <w:p w14:paraId="41F3B313">
            <w:pPr>
              <w:pStyle w:val="13"/>
            </w:pPr>
            <w:r>
              <w:t>可持续影响指标</w:t>
            </w:r>
          </w:p>
        </w:tc>
        <w:tc>
          <w:tcPr>
            <w:tcW w:w="2835" w:type="dxa"/>
            <w:vAlign w:val="center"/>
          </w:tcPr>
          <w:p w14:paraId="02B03CD3">
            <w:pPr>
              <w:pStyle w:val="13"/>
            </w:pPr>
            <w:r>
              <w:t>学校运转得到提高</w:t>
            </w:r>
          </w:p>
        </w:tc>
        <w:tc>
          <w:tcPr>
            <w:tcW w:w="5386" w:type="dxa"/>
            <w:vAlign w:val="center"/>
          </w:tcPr>
          <w:p w14:paraId="1334F9BF">
            <w:pPr>
              <w:pStyle w:val="13"/>
            </w:pPr>
            <w:r>
              <w:t>学生受教育年限</w:t>
            </w:r>
          </w:p>
        </w:tc>
        <w:tc>
          <w:tcPr>
            <w:tcW w:w="2268" w:type="dxa"/>
            <w:vAlign w:val="center"/>
          </w:tcPr>
          <w:p w14:paraId="1E281B41">
            <w:pPr>
              <w:pStyle w:val="13"/>
            </w:pPr>
            <w:r>
              <w:t>6年</w:t>
            </w:r>
          </w:p>
        </w:tc>
        <w:tc>
          <w:tcPr>
            <w:tcW w:w="1276" w:type="dxa"/>
            <w:vAlign w:val="center"/>
          </w:tcPr>
          <w:p w14:paraId="52E128FB">
            <w:pPr>
              <w:pStyle w:val="13"/>
            </w:pPr>
            <w:r>
              <w:t>城乡义务教育公用经费管理办法</w:t>
            </w:r>
          </w:p>
        </w:tc>
      </w:tr>
      <w:tr w14:paraId="5AAE4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4BD118">
            <w:pPr>
              <w:pStyle w:val="12"/>
            </w:pPr>
            <w:r>
              <w:t>满意度指标</w:t>
            </w:r>
          </w:p>
        </w:tc>
        <w:tc>
          <w:tcPr>
            <w:tcW w:w="2268" w:type="dxa"/>
            <w:vAlign w:val="center"/>
          </w:tcPr>
          <w:p w14:paraId="5ABC0919">
            <w:pPr>
              <w:pStyle w:val="13"/>
            </w:pPr>
            <w:r>
              <w:t>服务对象满意度指标</w:t>
            </w:r>
          </w:p>
        </w:tc>
        <w:tc>
          <w:tcPr>
            <w:tcW w:w="2835" w:type="dxa"/>
            <w:vAlign w:val="center"/>
          </w:tcPr>
          <w:p w14:paraId="5113957B">
            <w:pPr>
              <w:pStyle w:val="13"/>
            </w:pPr>
            <w:r>
              <w:t>服务对象满意度</w:t>
            </w:r>
          </w:p>
        </w:tc>
        <w:tc>
          <w:tcPr>
            <w:tcW w:w="5386" w:type="dxa"/>
            <w:vAlign w:val="center"/>
          </w:tcPr>
          <w:p w14:paraId="0806EC7C">
            <w:pPr>
              <w:pStyle w:val="13"/>
            </w:pPr>
            <w:r>
              <w:t>学校老师和学生满意度</w:t>
            </w:r>
          </w:p>
        </w:tc>
        <w:tc>
          <w:tcPr>
            <w:tcW w:w="2268" w:type="dxa"/>
            <w:vAlign w:val="center"/>
          </w:tcPr>
          <w:p w14:paraId="3B7D27AB">
            <w:pPr>
              <w:pStyle w:val="13"/>
            </w:pPr>
            <w:r>
              <w:t>≥95%</w:t>
            </w:r>
          </w:p>
        </w:tc>
        <w:tc>
          <w:tcPr>
            <w:tcW w:w="1276" w:type="dxa"/>
            <w:vAlign w:val="center"/>
          </w:tcPr>
          <w:p w14:paraId="03F3A47F">
            <w:pPr>
              <w:pStyle w:val="13"/>
            </w:pPr>
            <w:r>
              <w:t>问卷调查</w:t>
            </w:r>
          </w:p>
        </w:tc>
      </w:tr>
    </w:tbl>
    <w:p w14:paraId="1E6EE0B8">
      <w:pPr>
        <w:sectPr>
          <w:pgSz w:w="16840" w:h="11900" w:orient="landscape"/>
          <w:pgMar w:top="1361" w:right="1020" w:bottom="1134" w:left="1020" w:header="720" w:footer="720" w:gutter="0"/>
          <w:cols w:space="720" w:num="1"/>
        </w:sectPr>
      </w:pPr>
    </w:p>
    <w:p w14:paraId="014A232D">
      <w:pPr>
        <w:spacing w:before="0" w:after="0"/>
        <w:ind w:firstLine="560"/>
        <w:jc w:val="left"/>
        <w:outlineLvl w:val="9"/>
      </w:pPr>
      <w:r>
        <w:rPr>
          <w:rFonts w:ascii="方正仿宋_GBK" w:hAnsi="方正仿宋_GBK" w:eastAsia="方正仿宋_GBK" w:cs="方正仿宋_GBK"/>
          <w:b/>
          <w:color w:val="000000"/>
          <w:sz w:val="28"/>
        </w:rPr>
        <w:t>9、冀财教[2024]141号/省级/2025年义教补助经费/校舍安全保障/魏庄小学防水维修及外墙粉刷绩效目标表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77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A732B">
            <w:pPr>
              <w:pStyle w:val="14"/>
            </w:pPr>
            <w:r>
              <w:t>单位：万元</w:t>
            </w:r>
          </w:p>
        </w:tc>
      </w:tr>
      <w:tr w14:paraId="73FB3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3B5A3">
            <w:pPr>
              <w:pStyle w:val="11"/>
            </w:pPr>
            <w:r>
              <w:t>项目编码</w:t>
            </w:r>
          </w:p>
        </w:tc>
        <w:tc>
          <w:tcPr>
            <w:tcW w:w="5103" w:type="dxa"/>
            <w:gridSpan w:val="2"/>
            <w:vAlign w:val="center"/>
          </w:tcPr>
          <w:p w14:paraId="3512C2E9">
            <w:pPr>
              <w:pStyle w:val="13"/>
            </w:pPr>
            <w:r>
              <w:t>13052525P00876210032M</w:t>
            </w:r>
          </w:p>
        </w:tc>
        <w:tc>
          <w:tcPr>
            <w:tcW w:w="2835" w:type="dxa"/>
            <w:vAlign w:val="center"/>
          </w:tcPr>
          <w:p w14:paraId="5EB8D81F">
            <w:pPr>
              <w:pStyle w:val="11"/>
            </w:pPr>
            <w:r>
              <w:t>项目名称</w:t>
            </w:r>
          </w:p>
        </w:tc>
        <w:tc>
          <w:tcPr>
            <w:tcW w:w="6095" w:type="dxa"/>
            <w:gridSpan w:val="3"/>
            <w:vAlign w:val="center"/>
          </w:tcPr>
          <w:p w14:paraId="2C3CA971">
            <w:pPr>
              <w:pStyle w:val="13"/>
            </w:pPr>
            <w:r>
              <w:t>冀财教[2024]141号/省级/2025年义教补助经费/校舍安全保障/魏庄小学防水维修及外墙粉刷</w:t>
            </w:r>
          </w:p>
        </w:tc>
      </w:tr>
      <w:tr w14:paraId="27391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EBBBF">
            <w:pPr>
              <w:pStyle w:val="11"/>
            </w:pPr>
            <w:r>
              <w:t>预算规模及资金用途</w:t>
            </w:r>
          </w:p>
        </w:tc>
        <w:tc>
          <w:tcPr>
            <w:tcW w:w="2268" w:type="dxa"/>
            <w:vAlign w:val="center"/>
          </w:tcPr>
          <w:p w14:paraId="78AF5D13">
            <w:pPr>
              <w:pStyle w:val="11"/>
            </w:pPr>
            <w:r>
              <w:t>预算数</w:t>
            </w:r>
          </w:p>
        </w:tc>
        <w:tc>
          <w:tcPr>
            <w:tcW w:w="2835" w:type="dxa"/>
            <w:vAlign w:val="center"/>
          </w:tcPr>
          <w:p w14:paraId="47ABD094">
            <w:pPr>
              <w:pStyle w:val="13"/>
            </w:pPr>
            <w:r>
              <w:t>29.00</w:t>
            </w:r>
          </w:p>
        </w:tc>
        <w:tc>
          <w:tcPr>
            <w:tcW w:w="2835" w:type="dxa"/>
            <w:vAlign w:val="center"/>
          </w:tcPr>
          <w:p w14:paraId="4223D803">
            <w:pPr>
              <w:pStyle w:val="11"/>
            </w:pPr>
            <w:r>
              <w:t>其中：财政    资金</w:t>
            </w:r>
          </w:p>
        </w:tc>
        <w:tc>
          <w:tcPr>
            <w:tcW w:w="2551" w:type="dxa"/>
            <w:vAlign w:val="center"/>
          </w:tcPr>
          <w:p w14:paraId="52924A5A">
            <w:pPr>
              <w:pStyle w:val="13"/>
            </w:pPr>
            <w:r>
              <w:t>29.00</w:t>
            </w:r>
          </w:p>
        </w:tc>
        <w:tc>
          <w:tcPr>
            <w:tcW w:w="2268" w:type="dxa"/>
            <w:vAlign w:val="center"/>
          </w:tcPr>
          <w:p w14:paraId="4E0E2138">
            <w:pPr>
              <w:pStyle w:val="11"/>
            </w:pPr>
            <w:r>
              <w:t>其他资金</w:t>
            </w:r>
          </w:p>
        </w:tc>
        <w:tc>
          <w:tcPr>
            <w:tcW w:w="1276" w:type="dxa"/>
            <w:vAlign w:val="center"/>
          </w:tcPr>
          <w:p w14:paraId="46D0C0EB">
            <w:pPr>
              <w:pStyle w:val="13"/>
            </w:pPr>
            <w:r>
              <w:t xml:space="preserve"> </w:t>
            </w:r>
          </w:p>
        </w:tc>
      </w:tr>
      <w:tr w14:paraId="01040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83443"/>
        </w:tc>
        <w:tc>
          <w:tcPr>
            <w:tcW w:w="14033" w:type="dxa"/>
            <w:gridSpan w:val="6"/>
            <w:vAlign w:val="center"/>
          </w:tcPr>
          <w:p w14:paraId="22D3BB9A">
            <w:pPr>
              <w:pStyle w:val="13"/>
            </w:pPr>
            <w:r>
              <w:t>改善就学条件，提升学校形象，保障义务教育阶段教学安全，创造良好的校园环境。</w:t>
            </w:r>
          </w:p>
        </w:tc>
      </w:tr>
      <w:tr w14:paraId="6FBC6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E5AEA">
            <w:pPr>
              <w:pStyle w:val="11"/>
            </w:pPr>
            <w:r>
              <w:t>资金支出计划（%）</w:t>
            </w:r>
          </w:p>
        </w:tc>
        <w:tc>
          <w:tcPr>
            <w:tcW w:w="5103" w:type="dxa"/>
            <w:gridSpan w:val="2"/>
            <w:vAlign w:val="center"/>
          </w:tcPr>
          <w:p w14:paraId="6FA518CC">
            <w:pPr>
              <w:pStyle w:val="11"/>
            </w:pPr>
            <w:r>
              <w:t>3月底</w:t>
            </w:r>
          </w:p>
        </w:tc>
        <w:tc>
          <w:tcPr>
            <w:tcW w:w="2835" w:type="dxa"/>
            <w:vAlign w:val="center"/>
          </w:tcPr>
          <w:p w14:paraId="44E1DA03">
            <w:pPr>
              <w:pStyle w:val="11"/>
            </w:pPr>
            <w:r>
              <w:t>6月底</w:t>
            </w:r>
          </w:p>
        </w:tc>
        <w:tc>
          <w:tcPr>
            <w:tcW w:w="2551" w:type="dxa"/>
            <w:vAlign w:val="center"/>
          </w:tcPr>
          <w:p w14:paraId="57B765CB">
            <w:pPr>
              <w:pStyle w:val="11"/>
            </w:pPr>
            <w:r>
              <w:t>10月底</w:t>
            </w:r>
          </w:p>
        </w:tc>
        <w:tc>
          <w:tcPr>
            <w:tcW w:w="3544" w:type="dxa"/>
            <w:gridSpan w:val="2"/>
            <w:vAlign w:val="center"/>
          </w:tcPr>
          <w:p w14:paraId="71BC2B2D">
            <w:pPr>
              <w:pStyle w:val="11"/>
            </w:pPr>
            <w:r>
              <w:t>12月底</w:t>
            </w:r>
          </w:p>
        </w:tc>
      </w:tr>
      <w:tr w14:paraId="65B6A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5C56B8"/>
        </w:tc>
        <w:tc>
          <w:tcPr>
            <w:tcW w:w="5103" w:type="dxa"/>
            <w:gridSpan w:val="2"/>
            <w:vAlign w:val="center"/>
          </w:tcPr>
          <w:p w14:paraId="4688EC2C">
            <w:pPr>
              <w:pStyle w:val="12"/>
            </w:pPr>
            <w:r>
              <w:t xml:space="preserve"> </w:t>
            </w:r>
          </w:p>
        </w:tc>
        <w:tc>
          <w:tcPr>
            <w:tcW w:w="2835" w:type="dxa"/>
            <w:vAlign w:val="center"/>
          </w:tcPr>
          <w:p w14:paraId="67EF0AF9">
            <w:pPr>
              <w:pStyle w:val="12"/>
            </w:pPr>
            <w:r>
              <w:t>50%</w:t>
            </w:r>
          </w:p>
        </w:tc>
        <w:tc>
          <w:tcPr>
            <w:tcW w:w="2551" w:type="dxa"/>
            <w:vAlign w:val="center"/>
          </w:tcPr>
          <w:p w14:paraId="6598CD70">
            <w:pPr>
              <w:pStyle w:val="12"/>
            </w:pPr>
            <w:r>
              <w:t>100%</w:t>
            </w:r>
          </w:p>
        </w:tc>
        <w:tc>
          <w:tcPr>
            <w:tcW w:w="3544" w:type="dxa"/>
            <w:gridSpan w:val="2"/>
            <w:vAlign w:val="center"/>
          </w:tcPr>
          <w:p w14:paraId="7FAF7F2E">
            <w:pPr>
              <w:pStyle w:val="12"/>
            </w:pPr>
            <w:r>
              <w:t>100%</w:t>
            </w:r>
          </w:p>
        </w:tc>
      </w:tr>
      <w:tr w14:paraId="73B94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0CFB0">
            <w:pPr>
              <w:pStyle w:val="11"/>
            </w:pPr>
            <w:r>
              <w:t>绩效目标</w:t>
            </w:r>
          </w:p>
        </w:tc>
        <w:tc>
          <w:tcPr>
            <w:tcW w:w="14033" w:type="dxa"/>
            <w:gridSpan w:val="6"/>
            <w:vAlign w:val="center"/>
          </w:tcPr>
          <w:p w14:paraId="2EC77EE5">
            <w:pPr>
              <w:pStyle w:val="13"/>
            </w:pPr>
            <w:r>
              <w:t>1.项目需资金29万元，资金拨付率达到100%。</w:t>
            </w:r>
          </w:p>
          <w:p w14:paraId="44C495FF">
            <w:pPr>
              <w:pStyle w:val="13"/>
            </w:pPr>
            <w:r>
              <w:t>2.改善就学条件，提升学校形象，保障义务教育阶段教学安全，创造良好的校园环境。</w:t>
            </w:r>
          </w:p>
        </w:tc>
      </w:tr>
    </w:tbl>
    <w:p w14:paraId="3F893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2E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D52B2">
            <w:pPr>
              <w:pStyle w:val="11"/>
            </w:pPr>
            <w:r>
              <w:t>一级指标</w:t>
            </w:r>
          </w:p>
        </w:tc>
        <w:tc>
          <w:tcPr>
            <w:tcW w:w="2268" w:type="dxa"/>
            <w:vAlign w:val="center"/>
          </w:tcPr>
          <w:p w14:paraId="343F412A">
            <w:pPr>
              <w:pStyle w:val="11"/>
            </w:pPr>
            <w:r>
              <w:t>二级指标</w:t>
            </w:r>
          </w:p>
        </w:tc>
        <w:tc>
          <w:tcPr>
            <w:tcW w:w="2835" w:type="dxa"/>
            <w:vAlign w:val="center"/>
          </w:tcPr>
          <w:p w14:paraId="25EBB6FE">
            <w:pPr>
              <w:pStyle w:val="11"/>
            </w:pPr>
            <w:r>
              <w:t>三级指标</w:t>
            </w:r>
          </w:p>
        </w:tc>
        <w:tc>
          <w:tcPr>
            <w:tcW w:w="5386" w:type="dxa"/>
            <w:vAlign w:val="center"/>
          </w:tcPr>
          <w:p w14:paraId="5AB67ECD">
            <w:pPr>
              <w:pStyle w:val="11"/>
            </w:pPr>
            <w:r>
              <w:t>绩效指标描述</w:t>
            </w:r>
          </w:p>
        </w:tc>
        <w:tc>
          <w:tcPr>
            <w:tcW w:w="2268" w:type="dxa"/>
            <w:vAlign w:val="center"/>
          </w:tcPr>
          <w:p w14:paraId="20FF1C38">
            <w:pPr>
              <w:pStyle w:val="11"/>
            </w:pPr>
            <w:r>
              <w:t>指标值</w:t>
            </w:r>
          </w:p>
        </w:tc>
        <w:tc>
          <w:tcPr>
            <w:tcW w:w="1276" w:type="dxa"/>
            <w:vAlign w:val="center"/>
          </w:tcPr>
          <w:p w14:paraId="1FABD202">
            <w:pPr>
              <w:pStyle w:val="11"/>
            </w:pPr>
            <w:r>
              <w:t>指标值确定依据</w:t>
            </w:r>
          </w:p>
        </w:tc>
      </w:tr>
      <w:tr w14:paraId="4EF39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CD7E1">
            <w:pPr>
              <w:pStyle w:val="12"/>
            </w:pPr>
            <w:r>
              <w:t>产出指标</w:t>
            </w:r>
          </w:p>
        </w:tc>
        <w:tc>
          <w:tcPr>
            <w:tcW w:w="2268" w:type="dxa"/>
            <w:vAlign w:val="center"/>
          </w:tcPr>
          <w:p w14:paraId="5564BA3E">
            <w:pPr>
              <w:pStyle w:val="13"/>
            </w:pPr>
            <w:r>
              <w:t>数量指标</w:t>
            </w:r>
          </w:p>
        </w:tc>
        <w:tc>
          <w:tcPr>
            <w:tcW w:w="2835" w:type="dxa"/>
            <w:vAlign w:val="center"/>
          </w:tcPr>
          <w:p w14:paraId="3D488A3C">
            <w:pPr>
              <w:pStyle w:val="13"/>
            </w:pPr>
            <w:r>
              <w:t>魏庄小学防水维修及外墙粉刷</w:t>
            </w:r>
          </w:p>
        </w:tc>
        <w:tc>
          <w:tcPr>
            <w:tcW w:w="5386" w:type="dxa"/>
            <w:vAlign w:val="center"/>
          </w:tcPr>
          <w:p w14:paraId="242C3E13">
            <w:pPr>
              <w:pStyle w:val="13"/>
            </w:pPr>
            <w:r>
              <w:t>外墙粉刷、外墙维修、屋顶防水等</w:t>
            </w:r>
          </w:p>
        </w:tc>
        <w:tc>
          <w:tcPr>
            <w:tcW w:w="2268" w:type="dxa"/>
            <w:vAlign w:val="center"/>
          </w:tcPr>
          <w:p w14:paraId="38E56018">
            <w:pPr>
              <w:pStyle w:val="13"/>
            </w:pPr>
            <w:r>
              <w:t>1项</w:t>
            </w:r>
          </w:p>
        </w:tc>
        <w:tc>
          <w:tcPr>
            <w:tcW w:w="1276" w:type="dxa"/>
            <w:vAlign w:val="center"/>
          </w:tcPr>
          <w:p w14:paraId="33A1A889">
            <w:pPr>
              <w:pStyle w:val="13"/>
            </w:pPr>
            <w:r>
              <w:t>项目规划</w:t>
            </w:r>
          </w:p>
        </w:tc>
      </w:tr>
      <w:tr w14:paraId="7035A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3AD85"/>
        </w:tc>
        <w:tc>
          <w:tcPr>
            <w:tcW w:w="2268" w:type="dxa"/>
            <w:vAlign w:val="center"/>
          </w:tcPr>
          <w:p w14:paraId="741389C2">
            <w:pPr>
              <w:pStyle w:val="13"/>
            </w:pPr>
            <w:r>
              <w:t>质量指标</w:t>
            </w:r>
          </w:p>
        </w:tc>
        <w:tc>
          <w:tcPr>
            <w:tcW w:w="2835" w:type="dxa"/>
            <w:vAlign w:val="center"/>
          </w:tcPr>
          <w:p w14:paraId="5D9AB624">
            <w:pPr>
              <w:pStyle w:val="13"/>
            </w:pPr>
            <w:r>
              <w:t>工程实施验收合格率</w:t>
            </w:r>
          </w:p>
        </w:tc>
        <w:tc>
          <w:tcPr>
            <w:tcW w:w="5386" w:type="dxa"/>
            <w:vAlign w:val="center"/>
          </w:tcPr>
          <w:p w14:paraId="7485E97E">
            <w:pPr>
              <w:pStyle w:val="13"/>
            </w:pPr>
            <w:r>
              <w:t>申报程序的合规，项目实施及资金使用符合项目规划</w:t>
            </w:r>
          </w:p>
        </w:tc>
        <w:tc>
          <w:tcPr>
            <w:tcW w:w="2268" w:type="dxa"/>
            <w:vAlign w:val="center"/>
          </w:tcPr>
          <w:p w14:paraId="6E520461">
            <w:pPr>
              <w:pStyle w:val="13"/>
            </w:pPr>
            <w:r>
              <w:t>100%</w:t>
            </w:r>
          </w:p>
        </w:tc>
        <w:tc>
          <w:tcPr>
            <w:tcW w:w="1276" w:type="dxa"/>
            <w:vAlign w:val="center"/>
          </w:tcPr>
          <w:p w14:paraId="0084C99D">
            <w:pPr>
              <w:pStyle w:val="13"/>
            </w:pPr>
            <w:r>
              <w:t>项目规划</w:t>
            </w:r>
          </w:p>
        </w:tc>
      </w:tr>
      <w:tr w14:paraId="369EC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8541A"/>
        </w:tc>
        <w:tc>
          <w:tcPr>
            <w:tcW w:w="2268" w:type="dxa"/>
            <w:vAlign w:val="center"/>
          </w:tcPr>
          <w:p w14:paraId="09ADC980">
            <w:pPr>
              <w:pStyle w:val="13"/>
            </w:pPr>
            <w:r>
              <w:t>时效指标</w:t>
            </w:r>
          </w:p>
        </w:tc>
        <w:tc>
          <w:tcPr>
            <w:tcW w:w="2835" w:type="dxa"/>
            <w:vAlign w:val="center"/>
          </w:tcPr>
          <w:p w14:paraId="485FC19F">
            <w:pPr>
              <w:pStyle w:val="13"/>
            </w:pPr>
            <w:r>
              <w:t>资金支付率</w:t>
            </w:r>
          </w:p>
        </w:tc>
        <w:tc>
          <w:tcPr>
            <w:tcW w:w="5386" w:type="dxa"/>
            <w:vAlign w:val="center"/>
          </w:tcPr>
          <w:p w14:paraId="4FA47468">
            <w:pPr>
              <w:pStyle w:val="13"/>
            </w:pPr>
            <w:r>
              <w:t>按照序时进度完成资金支付</w:t>
            </w:r>
          </w:p>
        </w:tc>
        <w:tc>
          <w:tcPr>
            <w:tcW w:w="2268" w:type="dxa"/>
            <w:vAlign w:val="center"/>
          </w:tcPr>
          <w:p w14:paraId="32C27869">
            <w:pPr>
              <w:pStyle w:val="13"/>
            </w:pPr>
            <w:r>
              <w:t>100%</w:t>
            </w:r>
          </w:p>
        </w:tc>
        <w:tc>
          <w:tcPr>
            <w:tcW w:w="1276" w:type="dxa"/>
            <w:vAlign w:val="center"/>
          </w:tcPr>
          <w:p w14:paraId="7BD5C942">
            <w:pPr>
              <w:pStyle w:val="13"/>
            </w:pPr>
            <w:r>
              <w:t>项目规划</w:t>
            </w:r>
          </w:p>
        </w:tc>
      </w:tr>
      <w:tr w14:paraId="24B2F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E7572"/>
        </w:tc>
        <w:tc>
          <w:tcPr>
            <w:tcW w:w="2268" w:type="dxa"/>
            <w:vAlign w:val="center"/>
          </w:tcPr>
          <w:p w14:paraId="7694230A">
            <w:pPr>
              <w:pStyle w:val="13"/>
            </w:pPr>
            <w:r>
              <w:t>成本指标</w:t>
            </w:r>
          </w:p>
        </w:tc>
        <w:tc>
          <w:tcPr>
            <w:tcW w:w="2835" w:type="dxa"/>
            <w:vAlign w:val="center"/>
          </w:tcPr>
          <w:p w14:paraId="6D8AA536">
            <w:pPr>
              <w:pStyle w:val="13"/>
            </w:pPr>
            <w:r>
              <w:t>项目成本控制情况</w:t>
            </w:r>
          </w:p>
        </w:tc>
        <w:tc>
          <w:tcPr>
            <w:tcW w:w="5386" w:type="dxa"/>
            <w:vAlign w:val="center"/>
          </w:tcPr>
          <w:p w14:paraId="09509A93">
            <w:pPr>
              <w:pStyle w:val="13"/>
            </w:pPr>
            <w:r>
              <w:t>严格按照招标价格及审计额进行</w:t>
            </w:r>
          </w:p>
        </w:tc>
        <w:tc>
          <w:tcPr>
            <w:tcW w:w="2268" w:type="dxa"/>
            <w:vAlign w:val="center"/>
          </w:tcPr>
          <w:p w14:paraId="6A701DFB">
            <w:pPr>
              <w:pStyle w:val="13"/>
            </w:pPr>
            <w:r>
              <w:t>29万元</w:t>
            </w:r>
          </w:p>
        </w:tc>
        <w:tc>
          <w:tcPr>
            <w:tcW w:w="1276" w:type="dxa"/>
            <w:vAlign w:val="center"/>
          </w:tcPr>
          <w:p w14:paraId="1C506307">
            <w:pPr>
              <w:pStyle w:val="13"/>
            </w:pPr>
            <w:r>
              <w:t>项目规划</w:t>
            </w:r>
          </w:p>
        </w:tc>
      </w:tr>
      <w:tr w14:paraId="24C8E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A5C7C7">
            <w:pPr>
              <w:pStyle w:val="12"/>
            </w:pPr>
            <w:r>
              <w:t>效益指标</w:t>
            </w:r>
          </w:p>
        </w:tc>
        <w:tc>
          <w:tcPr>
            <w:tcW w:w="2268" w:type="dxa"/>
            <w:vAlign w:val="center"/>
          </w:tcPr>
          <w:p w14:paraId="3C9AF35A">
            <w:pPr>
              <w:pStyle w:val="13"/>
            </w:pPr>
            <w:r>
              <w:t>可持续影响指标</w:t>
            </w:r>
          </w:p>
        </w:tc>
        <w:tc>
          <w:tcPr>
            <w:tcW w:w="2835" w:type="dxa"/>
            <w:vAlign w:val="center"/>
          </w:tcPr>
          <w:p w14:paraId="6B50368B">
            <w:pPr>
              <w:pStyle w:val="13"/>
            </w:pPr>
            <w:r>
              <w:t>学校办学环境提升</w:t>
            </w:r>
          </w:p>
        </w:tc>
        <w:tc>
          <w:tcPr>
            <w:tcW w:w="5386" w:type="dxa"/>
            <w:vAlign w:val="center"/>
          </w:tcPr>
          <w:p w14:paraId="3CB7EE11">
            <w:pPr>
              <w:pStyle w:val="13"/>
            </w:pPr>
            <w:r>
              <w:t>学校教学环境提升优化率</w:t>
            </w:r>
          </w:p>
        </w:tc>
        <w:tc>
          <w:tcPr>
            <w:tcW w:w="2268" w:type="dxa"/>
            <w:vAlign w:val="center"/>
          </w:tcPr>
          <w:p w14:paraId="534D5139">
            <w:pPr>
              <w:pStyle w:val="13"/>
            </w:pPr>
            <w:r>
              <w:t>≥98%</w:t>
            </w:r>
          </w:p>
        </w:tc>
        <w:tc>
          <w:tcPr>
            <w:tcW w:w="1276" w:type="dxa"/>
            <w:vAlign w:val="center"/>
          </w:tcPr>
          <w:p w14:paraId="0984C5BA">
            <w:pPr>
              <w:pStyle w:val="13"/>
            </w:pPr>
            <w:r>
              <w:t>项目规划</w:t>
            </w:r>
          </w:p>
        </w:tc>
      </w:tr>
      <w:tr w14:paraId="4F213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7E8CE3">
            <w:pPr>
              <w:pStyle w:val="12"/>
            </w:pPr>
            <w:r>
              <w:t>满意度指标</w:t>
            </w:r>
          </w:p>
        </w:tc>
        <w:tc>
          <w:tcPr>
            <w:tcW w:w="2268" w:type="dxa"/>
            <w:vAlign w:val="center"/>
          </w:tcPr>
          <w:p w14:paraId="0526AD71">
            <w:pPr>
              <w:pStyle w:val="13"/>
            </w:pPr>
            <w:r>
              <w:t>服务对象满意度指标</w:t>
            </w:r>
          </w:p>
        </w:tc>
        <w:tc>
          <w:tcPr>
            <w:tcW w:w="2835" w:type="dxa"/>
            <w:vAlign w:val="center"/>
          </w:tcPr>
          <w:p w14:paraId="3588242F">
            <w:pPr>
              <w:pStyle w:val="13"/>
            </w:pPr>
            <w:r>
              <w:t>受益学生家长及调查满意度</w:t>
            </w:r>
          </w:p>
        </w:tc>
        <w:tc>
          <w:tcPr>
            <w:tcW w:w="5386" w:type="dxa"/>
            <w:vAlign w:val="center"/>
          </w:tcPr>
          <w:p w14:paraId="3B0C31F2">
            <w:pPr>
              <w:pStyle w:val="13"/>
            </w:pPr>
            <w:r>
              <w:t>学生、教师及家长对学校教学环境满意度情况</w:t>
            </w:r>
          </w:p>
        </w:tc>
        <w:tc>
          <w:tcPr>
            <w:tcW w:w="2268" w:type="dxa"/>
            <w:vAlign w:val="center"/>
          </w:tcPr>
          <w:p w14:paraId="35480F5A">
            <w:pPr>
              <w:pStyle w:val="13"/>
            </w:pPr>
            <w:r>
              <w:t>≥95%</w:t>
            </w:r>
          </w:p>
        </w:tc>
        <w:tc>
          <w:tcPr>
            <w:tcW w:w="1276" w:type="dxa"/>
            <w:vAlign w:val="center"/>
          </w:tcPr>
          <w:p w14:paraId="68E4A415">
            <w:pPr>
              <w:pStyle w:val="13"/>
            </w:pPr>
            <w:r>
              <w:t>项目规划</w:t>
            </w:r>
          </w:p>
        </w:tc>
      </w:tr>
    </w:tbl>
    <w:p w14:paraId="7491E285">
      <w:pPr>
        <w:sectPr>
          <w:pgSz w:w="16840" w:h="11900" w:orient="landscape"/>
          <w:pgMar w:top="1361" w:right="1020" w:bottom="1134" w:left="1020" w:header="720" w:footer="720" w:gutter="0"/>
          <w:cols w:space="720" w:num="1"/>
        </w:sectPr>
      </w:pPr>
    </w:p>
    <w:p w14:paraId="31AB0116">
      <w:pPr>
        <w:spacing w:before="0" w:after="0"/>
        <w:ind w:firstLine="560"/>
        <w:jc w:val="left"/>
        <w:outlineLvl w:val="9"/>
      </w:pPr>
      <w:r>
        <w:rPr>
          <w:rFonts w:ascii="方正仿宋_GBK" w:hAnsi="方正仿宋_GBK" w:eastAsia="方正仿宋_GBK" w:cs="方正仿宋_GBK"/>
          <w:b/>
          <w:color w:val="000000"/>
          <w:sz w:val="28"/>
        </w:rPr>
        <w:t>10、冀财教[2024]141号/省级/2025年义教补助经费/校舍安全保障/张汪小学外墙粉刷及屋顶扣瓦绩效目标表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92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B5DAD">
            <w:pPr>
              <w:pStyle w:val="14"/>
            </w:pPr>
            <w:r>
              <w:t>单位：万元</w:t>
            </w:r>
          </w:p>
        </w:tc>
      </w:tr>
      <w:tr w14:paraId="168FA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DA642A">
            <w:pPr>
              <w:pStyle w:val="11"/>
            </w:pPr>
            <w:r>
              <w:t>项目编码</w:t>
            </w:r>
          </w:p>
        </w:tc>
        <w:tc>
          <w:tcPr>
            <w:tcW w:w="5103" w:type="dxa"/>
            <w:gridSpan w:val="2"/>
            <w:vAlign w:val="center"/>
          </w:tcPr>
          <w:p w14:paraId="4C43EC84">
            <w:pPr>
              <w:pStyle w:val="13"/>
            </w:pPr>
            <w:r>
              <w:t>13052525P008762100339</w:t>
            </w:r>
          </w:p>
        </w:tc>
        <w:tc>
          <w:tcPr>
            <w:tcW w:w="2835" w:type="dxa"/>
            <w:vAlign w:val="center"/>
          </w:tcPr>
          <w:p w14:paraId="684880C8">
            <w:pPr>
              <w:pStyle w:val="11"/>
            </w:pPr>
            <w:r>
              <w:t>项目名称</w:t>
            </w:r>
          </w:p>
        </w:tc>
        <w:tc>
          <w:tcPr>
            <w:tcW w:w="6095" w:type="dxa"/>
            <w:gridSpan w:val="3"/>
            <w:vAlign w:val="center"/>
          </w:tcPr>
          <w:p w14:paraId="5F030F25">
            <w:pPr>
              <w:pStyle w:val="13"/>
            </w:pPr>
            <w:r>
              <w:t>冀财教[2024]141号/省级/2025年义教补助经费/校舍安全保障/张汪小学外墙粉刷及屋顶扣瓦</w:t>
            </w:r>
          </w:p>
        </w:tc>
      </w:tr>
      <w:tr w14:paraId="4BE6D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34B73">
            <w:pPr>
              <w:pStyle w:val="11"/>
            </w:pPr>
            <w:r>
              <w:t>预算规模及资金用途</w:t>
            </w:r>
          </w:p>
        </w:tc>
        <w:tc>
          <w:tcPr>
            <w:tcW w:w="2268" w:type="dxa"/>
            <w:vAlign w:val="center"/>
          </w:tcPr>
          <w:p w14:paraId="2F208AC7">
            <w:pPr>
              <w:pStyle w:val="11"/>
            </w:pPr>
            <w:r>
              <w:t>预算数</w:t>
            </w:r>
          </w:p>
        </w:tc>
        <w:tc>
          <w:tcPr>
            <w:tcW w:w="2835" w:type="dxa"/>
            <w:vAlign w:val="center"/>
          </w:tcPr>
          <w:p w14:paraId="78ACE166">
            <w:pPr>
              <w:pStyle w:val="13"/>
            </w:pPr>
            <w:r>
              <w:t>18.00</w:t>
            </w:r>
          </w:p>
        </w:tc>
        <w:tc>
          <w:tcPr>
            <w:tcW w:w="2835" w:type="dxa"/>
            <w:vAlign w:val="center"/>
          </w:tcPr>
          <w:p w14:paraId="724EFC32">
            <w:pPr>
              <w:pStyle w:val="11"/>
            </w:pPr>
            <w:r>
              <w:t>其中：财政    资金</w:t>
            </w:r>
          </w:p>
        </w:tc>
        <w:tc>
          <w:tcPr>
            <w:tcW w:w="2551" w:type="dxa"/>
            <w:vAlign w:val="center"/>
          </w:tcPr>
          <w:p w14:paraId="000F6EB6">
            <w:pPr>
              <w:pStyle w:val="13"/>
            </w:pPr>
            <w:r>
              <w:t>18.00</w:t>
            </w:r>
          </w:p>
        </w:tc>
        <w:tc>
          <w:tcPr>
            <w:tcW w:w="2268" w:type="dxa"/>
            <w:vAlign w:val="center"/>
          </w:tcPr>
          <w:p w14:paraId="26776A8A">
            <w:pPr>
              <w:pStyle w:val="11"/>
            </w:pPr>
            <w:r>
              <w:t>其他资金</w:t>
            </w:r>
          </w:p>
        </w:tc>
        <w:tc>
          <w:tcPr>
            <w:tcW w:w="1276" w:type="dxa"/>
            <w:vAlign w:val="center"/>
          </w:tcPr>
          <w:p w14:paraId="34EFCDFC">
            <w:pPr>
              <w:pStyle w:val="13"/>
            </w:pPr>
            <w:r>
              <w:t xml:space="preserve"> </w:t>
            </w:r>
          </w:p>
        </w:tc>
      </w:tr>
      <w:tr w14:paraId="46212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536D2"/>
        </w:tc>
        <w:tc>
          <w:tcPr>
            <w:tcW w:w="14033" w:type="dxa"/>
            <w:gridSpan w:val="6"/>
            <w:vAlign w:val="center"/>
          </w:tcPr>
          <w:p w14:paraId="0917936A">
            <w:pPr>
              <w:pStyle w:val="13"/>
            </w:pPr>
            <w:r>
              <w:t>改善就学条件，提升学校形象，保障义务教育阶段教学安全，创造良好的校园环境。</w:t>
            </w:r>
          </w:p>
        </w:tc>
      </w:tr>
      <w:tr w14:paraId="367E8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C7162">
            <w:pPr>
              <w:pStyle w:val="11"/>
            </w:pPr>
            <w:r>
              <w:t>资金支出计划（%）</w:t>
            </w:r>
          </w:p>
        </w:tc>
        <w:tc>
          <w:tcPr>
            <w:tcW w:w="5103" w:type="dxa"/>
            <w:gridSpan w:val="2"/>
            <w:vAlign w:val="center"/>
          </w:tcPr>
          <w:p w14:paraId="10478D01">
            <w:pPr>
              <w:pStyle w:val="11"/>
            </w:pPr>
            <w:r>
              <w:t>3月底</w:t>
            </w:r>
          </w:p>
        </w:tc>
        <w:tc>
          <w:tcPr>
            <w:tcW w:w="2835" w:type="dxa"/>
            <w:vAlign w:val="center"/>
          </w:tcPr>
          <w:p w14:paraId="37310052">
            <w:pPr>
              <w:pStyle w:val="11"/>
            </w:pPr>
            <w:r>
              <w:t>6月底</w:t>
            </w:r>
          </w:p>
        </w:tc>
        <w:tc>
          <w:tcPr>
            <w:tcW w:w="2551" w:type="dxa"/>
            <w:vAlign w:val="center"/>
          </w:tcPr>
          <w:p w14:paraId="786C8F59">
            <w:pPr>
              <w:pStyle w:val="11"/>
            </w:pPr>
            <w:r>
              <w:t>10月底</w:t>
            </w:r>
          </w:p>
        </w:tc>
        <w:tc>
          <w:tcPr>
            <w:tcW w:w="3544" w:type="dxa"/>
            <w:gridSpan w:val="2"/>
            <w:vAlign w:val="center"/>
          </w:tcPr>
          <w:p w14:paraId="4165E38C">
            <w:pPr>
              <w:pStyle w:val="11"/>
            </w:pPr>
            <w:r>
              <w:t>12月底</w:t>
            </w:r>
          </w:p>
        </w:tc>
      </w:tr>
      <w:tr w14:paraId="7D2AF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51F2BA"/>
        </w:tc>
        <w:tc>
          <w:tcPr>
            <w:tcW w:w="5103" w:type="dxa"/>
            <w:gridSpan w:val="2"/>
            <w:vAlign w:val="center"/>
          </w:tcPr>
          <w:p w14:paraId="0330A63A">
            <w:pPr>
              <w:pStyle w:val="12"/>
            </w:pPr>
            <w:r>
              <w:t xml:space="preserve"> </w:t>
            </w:r>
          </w:p>
        </w:tc>
        <w:tc>
          <w:tcPr>
            <w:tcW w:w="2835" w:type="dxa"/>
            <w:vAlign w:val="center"/>
          </w:tcPr>
          <w:p w14:paraId="0F619BC2">
            <w:pPr>
              <w:pStyle w:val="12"/>
            </w:pPr>
            <w:r>
              <w:t>50%</w:t>
            </w:r>
          </w:p>
        </w:tc>
        <w:tc>
          <w:tcPr>
            <w:tcW w:w="2551" w:type="dxa"/>
            <w:vAlign w:val="center"/>
          </w:tcPr>
          <w:p w14:paraId="7258AD7D">
            <w:pPr>
              <w:pStyle w:val="12"/>
            </w:pPr>
            <w:r>
              <w:t>100%</w:t>
            </w:r>
          </w:p>
        </w:tc>
        <w:tc>
          <w:tcPr>
            <w:tcW w:w="3544" w:type="dxa"/>
            <w:gridSpan w:val="2"/>
            <w:vAlign w:val="center"/>
          </w:tcPr>
          <w:p w14:paraId="7894A248">
            <w:pPr>
              <w:pStyle w:val="12"/>
            </w:pPr>
            <w:r>
              <w:t>100%</w:t>
            </w:r>
          </w:p>
        </w:tc>
      </w:tr>
      <w:tr w14:paraId="0DEFC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4FBFB">
            <w:pPr>
              <w:pStyle w:val="11"/>
            </w:pPr>
            <w:r>
              <w:t>绩效目标</w:t>
            </w:r>
          </w:p>
        </w:tc>
        <w:tc>
          <w:tcPr>
            <w:tcW w:w="14033" w:type="dxa"/>
            <w:gridSpan w:val="6"/>
            <w:vAlign w:val="center"/>
          </w:tcPr>
          <w:p w14:paraId="0EB69B18">
            <w:pPr>
              <w:pStyle w:val="13"/>
            </w:pPr>
            <w:r>
              <w:t>1.改善就学条件，提升学校形象，保障义务教育阶段教学安全，创造良好的校园环境。</w:t>
            </w:r>
          </w:p>
          <w:p w14:paraId="099BFB1B">
            <w:pPr>
              <w:pStyle w:val="13"/>
            </w:pPr>
            <w:r>
              <w:t>2.项目需资金18万元，资金拨付率达到100%。</w:t>
            </w:r>
          </w:p>
        </w:tc>
      </w:tr>
    </w:tbl>
    <w:p w14:paraId="59BD76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5A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86AAA">
            <w:pPr>
              <w:pStyle w:val="11"/>
            </w:pPr>
            <w:r>
              <w:t>一级指标</w:t>
            </w:r>
          </w:p>
        </w:tc>
        <w:tc>
          <w:tcPr>
            <w:tcW w:w="2268" w:type="dxa"/>
            <w:vAlign w:val="center"/>
          </w:tcPr>
          <w:p w14:paraId="30B620B1">
            <w:pPr>
              <w:pStyle w:val="11"/>
            </w:pPr>
            <w:r>
              <w:t>二级指标</w:t>
            </w:r>
          </w:p>
        </w:tc>
        <w:tc>
          <w:tcPr>
            <w:tcW w:w="2835" w:type="dxa"/>
            <w:vAlign w:val="center"/>
          </w:tcPr>
          <w:p w14:paraId="51989CB8">
            <w:pPr>
              <w:pStyle w:val="11"/>
            </w:pPr>
            <w:r>
              <w:t>三级指标</w:t>
            </w:r>
          </w:p>
        </w:tc>
        <w:tc>
          <w:tcPr>
            <w:tcW w:w="5386" w:type="dxa"/>
            <w:vAlign w:val="center"/>
          </w:tcPr>
          <w:p w14:paraId="581ADE9C">
            <w:pPr>
              <w:pStyle w:val="11"/>
            </w:pPr>
            <w:r>
              <w:t>绩效指标描述</w:t>
            </w:r>
          </w:p>
        </w:tc>
        <w:tc>
          <w:tcPr>
            <w:tcW w:w="2268" w:type="dxa"/>
            <w:vAlign w:val="center"/>
          </w:tcPr>
          <w:p w14:paraId="100C6424">
            <w:pPr>
              <w:pStyle w:val="11"/>
            </w:pPr>
            <w:r>
              <w:t>指标值</w:t>
            </w:r>
          </w:p>
        </w:tc>
        <w:tc>
          <w:tcPr>
            <w:tcW w:w="1276" w:type="dxa"/>
            <w:vAlign w:val="center"/>
          </w:tcPr>
          <w:p w14:paraId="1083EA8E">
            <w:pPr>
              <w:pStyle w:val="11"/>
            </w:pPr>
            <w:r>
              <w:t>指标值确定依据</w:t>
            </w:r>
          </w:p>
        </w:tc>
      </w:tr>
      <w:tr w14:paraId="04A86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6F612">
            <w:pPr>
              <w:pStyle w:val="12"/>
            </w:pPr>
            <w:r>
              <w:t>产出指标</w:t>
            </w:r>
          </w:p>
        </w:tc>
        <w:tc>
          <w:tcPr>
            <w:tcW w:w="2268" w:type="dxa"/>
            <w:vAlign w:val="center"/>
          </w:tcPr>
          <w:p w14:paraId="6C1B3B25">
            <w:pPr>
              <w:pStyle w:val="13"/>
            </w:pPr>
            <w:r>
              <w:t>数量指标</w:t>
            </w:r>
          </w:p>
        </w:tc>
        <w:tc>
          <w:tcPr>
            <w:tcW w:w="2835" w:type="dxa"/>
            <w:vAlign w:val="center"/>
          </w:tcPr>
          <w:p w14:paraId="20F33F52">
            <w:pPr>
              <w:pStyle w:val="13"/>
            </w:pPr>
            <w:r>
              <w:t>张汪小学外墙粉刷及屋顶扣瓦</w:t>
            </w:r>
          </w:p>
        </w:tc>
        <w:tc>
          <w:tcPr>
            <w:tcW w:w="5386" w:type="dxa"/>
            <w:vAlign w:val="center"/>
          </w:tcPr>
          <w:p w14:paraId="11B4CD98">
            <w:pPr>
              <w:pStyle w:val="13"/>
            </w:pPr>
            <w:r>
              <w:t>外墙粉刷、屋顶扣瓦</w:t>
            </w:r>
          </w:p>
        </w:tc>
        <w:tc>
          <w:tcPr>
            <w:tcW w:w="2268" w:type="dxa"/>
            <w:vAlign w:val="center"/>
          </w:tcPr>
          <w:p w14:paraId="629B25B4">
            <w:pPr>
              <w:pStyle w:val="13"/>
            </w:pPr>
            <w:r>
              <w:t>1项</w:t>
            </w:r>
          </w:p>
        </w:tc>
        <w:tc>
          <w:tcPr>
            <w:tcW w:w="1276" w:type="dxa"/>
            <w:vAlign w:val="center"/>
          </w:tcPr>
          <w:p w14:paraId="7C32289D">
            <w:pPr>
              <w:pStyle w:val="13"/>
            </w:pPr>
            <w:r>
              <w:t>项目规划</w:t>
            </w:r>
          </w:p>
        </w:tc>
      </w:tr>
      <w:tr w14:paraId="127A6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0B1E2"/>
        </w:tc>
        <w:tc>
          <w:tcPr>
            <w:tcW w:w="2268" w:type="dxa"/>
            <w:vAlign w:val="center"/>
          </w:tcPr>
          <w:p w14:paraId="300A6DCA">
            <w:pPr>
              <w:pStyle w:val="13"/>
            </w:pPr>
            <w:r>
              <w:t>质量指标</w:t>
            </w:r>
          </w:p>
        </w:tc>
        <w:tc>
          <w:tcPr>
            <w:tcW w:w="2835" w:type="dxa"/>
            <w:vAlign w:val="center"/>
          </w:tcPr>
          <w:p w14:paraId="01DC109F">
            <w:pPr>
              <w:pStyle w:val="13"/>
            </w:pPr>
            <w:r>
              <w:t>工程实施验收合格率</w:t>
            </w:r>
          </w:p>
        </w:tc>
        <w:tc>
          <w:tcPr>
            <w:tcW w:w="5386" w:type="dxa"/>
            <w:vAlign w:val="center"/>
          </w:tcPr>
          <w:p w14:paraId="15C9B197">
            <w:pPr>
              <w:pStyle w:val="13"/>
            </w:pPr>
            <w:r>
              <w:t>申报程序的合规，项目实施及资金使用符合项目规划</w:t>
            </w:r>
          </w:p>
        </w:tc>
        <w:tc>
          <w:tcPr>
            <w:tcW w:w="2268" w:type="dxa"/>
            <w:vAlign w:val="center"/>
          </w:tcPr>
          <w:p w14:paraId="1044995B">
            <w:pPr>
              <w:pStyle w:val="13"/>
            </w:pPr>
            <w:r>
              <w:t>100%</w:t>
            </w:r>
          </w:p>
        </w:tc>
        <w:tc>
          <w:tcPr>
            <w:tcW w:w="1276" w:type="dxa"/>
            <w:vAlign w:val="center"/>
          </w:tcPr>
          <w:p w14:paraId="22C32C40">
            <w:pPr>
              <w:pStyle w:val="13"/>
            </w:pPr>
            <w:r>
              <w:t>项目规划</w:t>
            </w:r>
          </w:p>
        </w:tc>
      </w:tr>
      <w:tr w14:paraId="2AFD6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05D25"/>
        </w:tc>
        <w:tc>
          <w:tcPr>
            <w:tcW w:w="2268" w:type="dxa"/>
            <w:vAlign w:val="center"/>
          </w:tcPr>
          <w:p w14:paraId="39F4DA1A">
            <w:pPr>
              <w:pStyle w:val="13"/>
            </w:pPr>
            <w:r>
              <w:t>时效指标</w:t>
            </w:r>
          </w:p>
        </w:tc>
        <w:tc>
          <w:tcPr>
            <w:tcW w:w="2835" w:type="dxa"/>
            <w:vAlign w:val="center"/>
          </w:tcPr>
          <w:p w14:paraId="0EA1CAA6">
            <w:pPr>
              <w:pStyle w:val="13"/>
            </w:pPr>
            <w:r>
              <w:t>资金支付率</w:t>
            </w:r>
          </w:p>
        </w:tc>
        <w:tc>
          <w:tcPr>
            <w:tcW w:w="5386" w:type="dxa"/>
            <w:vAlign w:val="center"/>
          </w:tcPr>
          <w:p w14:paraId="1D625FFA">
            <w:pPr>
              <w:pStyle w:val="13"/>
            </w:pPr>
            <w:r>
              <w:t>按照序时进度完成资金支付</w:t>
            </w:r>
          </w:p>
        </w:tc>
        <w:tc>
          <w:tcPr>
            <w:tcW w:w="2268" w:type="dxa"/>
            <w:vAlign w:val="center"/>
          </w:tcPr>
          <w:p w14:paraId="0DB8A0B0">
            <w:pPr>
              <w:pStyle w:val="13"/>
            </w:pPr>
            <w:r>
              <w:t>100%</w:t>
            </w:r>
          </w:p>
        </w:tc>
        <w:tc>
          <w:tcPr>
            <w:tcW w:w="1276" w:type="dxa"/>
            <w:vAlign w:val="center"/>
          </w:tcPr>
          <w:p w14:paraId="2131D718">
            <w:pPr>
              <w:pStyle w:val="13"/>
            </w:pPr>
            <w:r>
              <w:t>项目规划</w:t>
            </w:r>
          </w:p>
        </w:tc>
      </w:tr>
      <w:tr w14:paraId="03D27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FE4E9"/>
        </w:tc>
        <w:tc>
          <w:tcPr>
            <w:tcW w:w="2268" w:type="dxa"/>
            <w:vAlign w:val="center"/>
          </w:tcPr>
          <w:p w14:paraId="24D15BA4">
            <w:pPr>
              <w:pStyle w:val="13"/>
            </w:pPr>
            <w:r>
              <w:t>成本指标</w:t>
            </w:r>
          </w:p>
        </w:tc>
        <w:tc>
          <w:tcPr>
            <w:tcW w:w="2835" w:type="dxa"/>
            <w:vAlign w:val="center"/>
          </w:tcPr>
          <w:p w14:paraId="7AF1EFB6">
            <w:pPr>
              <w:pStyle w:val="13"/>
            </w:pPr>
            <w:r>
              <w:t>项目成本控制情况</w:t>
            </w:r>
          </w:p>
        </w:tc>
        <w:tc>
          <w:tcPr>
            <w:tcW w:w="5386" w:type="dxa"/>
            <w:vAlign w:val="center"/>
          </w:tcPr>
          <w:p w14:paraId="45816B05">
            <w:pPr>
              <w:pStyle w:val="13"/>
            </w:pPr>
            <w:r>
              <w:t>严格按照招标价格及审计额进行</w:t>
            </w:r>
          </w:p>
        </w:tc>
        <w:tc>
          <w:tcPr>
            <w:tcW w:w="2268" w:type="dxa"/>
            <w:vAlign w:val="center"/>
          </w:tcPr>
          <w:p w14:paraId="46419840">
            <w:pPr>
              <w:pStyle w:val="13"/>
            </w:pPr>
            <w:r>
              <w:t>≥18万元</w:t>
            </w:r>
          </w:p>
        </w:tc>
        <w:tc>
          <w:tcPr>
            <w:tcW w:w="1276" w:type="dxa"/>
            <w:vAlign w:val="center"/>
          </w:tcPr>
          <w:p w14:paraId="11187497">
            <w:pPr>
              <w:pStyle w:val="13"/>
            </w:pPr>
            <w:r>
              <w:t>项目规划</w:t>
            </w:r>
          </w:p>
        </w:tc>
      </w:tr>
      <w:tr w14:paraId="2C803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7648D">
            <w:pPr>
              <w:pStyle w:val="12"/>
            </w:pPr>
            <w:r>
              <w:t>效益指标</w:t>
            </w:r>
          </w:p>
        </w:tc>
        <w:tc>
          <w:tcPr>
            <w:tcW w:w="2268" w:type="dxa"/>
            <w:vAlign w:val="center"/>
          </w:tcPr>
          <w:p w14:paraId="28B84C29">
            <w:pPr>
              <w:pStyle w:val="13"/>
            </w:pPr>
            <w:r>
              <w:t>可持续影响指标</w:t>
            </w:r>
          </w:p>
        </w:tc>
        <w:tc>
          <w:tcPr>
            <w:tcW w:w="2835" w:type="dxa"/>
            <w:vAlign w:val="center"/>
          </w:tcPr>
          <w:p w14:paraId="7446DF76">
            <w:pPr>
              <w:pStyle w:val="13"/>
            </w:pPr>
            <w:r>
              <w:t>学校办学环境提升</w:t>
            </w:r>
          </w:p>
        </w:tc>
        <w:tc>
          <w:tcPr>
            <w:tcW w:w="5386" w:type="dxa"/>
            <w:vAlign w:val="center"/>
          </w:tcPr>
          <w:p w14:paraId="285AB54A">
            <w:pPr>
              <w:pStyle w:val="13"/>
            </w:pPr>
            <w:r>
              <w:t>学校教学环境提升优化率</w:t>
            </w:r>
          </w:p>
        </w:tc>
        <w:tc>
          <w:tcPr>
            <w:tcW w:w="2268" w:type="dxa"/>
            <w:vAlign w:val="center"/>
          </w:tcPr>
          <w:p w14:paraId="4DF9732E">
            <w:pPr>
              <w:pStyle w:val="13"/>
            </w:pPr>
            <w:r>
              <w:t>≥98%</w:t>
            </w:r>
          </w:p>
        </w:tc>
        <w:tc>
          <w:tcPr>
            <w:tcW w:w="1276" w:type="dxa"/>
            <w:vAlign w:val="center"/>
          </w:tcPr>
          <w:p w14:paraId="65114734">
            <w:pPr>
              <w:pStyle w:val="13"/>
            </w:pPr>
            <w:r>
              <w:t>项目规划</w:t>
            </w:r>
          </w:p>
        </w:tc>
      </w:tr>
      <w:tr w14:paraId="591C5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0EB21E">
            <w:pPr>
              <w:pStyle w:val="12"/>
            </w:pPr>
            <w:r>
              <w:t>满意度指标</w:t>
            </w:r>
          </w:p>
        </w:tc>
        <w:tc>
          <w:tcPr>
            <w:tcW w:w="2268" w:type="dxa"/>
            <w:vAlign w:val="center"/>
          </w:tcPr>
          <w:p w14:paraId="2703D650">
            <w:pPr>
              <w:pStyle w:val="13"/>
            </w:pPr>
            <w:r>
              <w:t>服务对象满意度指标</w:t>
            </w:r>
          </w:p>
        </w:tc>
        <w:tc>
          <w:tcPr>
            <w:tcW w:w="2835" w:type="dxa"/>
            <w:vAlign w:val="center"/>
          </w:tcPr>
          <w:p w14:paraId="31AF341F">
            <w:pPr>
              <w:pStyle w:val="13"/>
            </w:pPr>
            <w:r>
              <w:t>受益学生家长及调查满意度</w:t>
            </w:r>
          </w:p>
        </w:tc>
        <w:tc>
          <w:tcPr>
            <w:tcW w:w="5386" w:type="dxa"/>
            <w:vAlign w:val="center"/>
          </w:tcPr>
          <w:p w14:paraId="395AC068">
            <w:pPr>
              <w:pStyle w:val="13"/>
            </w:pPr>
            <w:r>
              <w:t>学生、教师及家长对学校教学环境满意度情况</w:t>
            </w:r>
          </w:p>
        </w:tc>
        <w:tc>
          <w:tcPr>
            <w:tcW w:w="2268" w:type="dxa"/>
            <w:vAlign w:val="center"/>
          </w:tcPr>
          <w:p w14:paraId="7830F9AF">
            <w:pPr>
              <w:pStyle w:val="13"/>
            </w:pPr>
            <w:r>
              <w:t>≥95%</w:t>
            </w:r>
          </w:p>
        </w:tc>
        <w:tc>
          <w:tcPr>
            <w:tcW w:w="1276" w:type="dxa"/>
            <w:vAlign w:val="center"/>
          </w:tcPr>
          <w:p w14:paraId="34D4AE5E">
            <w:pPr>
              <w:pStyle w:val="13"/>
            </w:pPr>
            <w:r>
              <w:t>项目规划</w:t>
            </w:r>
          </w:p>
        </w:tc>
      </w:tr>
    </w:tbl>
    <w:p w14:paraId="3AD4D634">
      <w:pPr>
        <w:sectPr>
          <w:pgSz w:w="16840" w:h="11900" w:orient="landscape"/>
          <w:pgMar w:top="1361" w:right="1020" w:bottom="1134" w:left="1020" w:header="720" w:footer="720" w:gutter="0"/>
          <w:cols w:space="720" w:num="1"/>
        </w:sectPr>
      </w:pPr>
    </w:p>
    <w:p w14:paraId="03D4CAB8">
      <w:pPr>
        <w:spacing w:before="0" w:after="0"/>
        <w:ind w:firstLine="560"/>
        <w:jc w:val="left"/>
        <w:outlineLvl w:val="9"/>
      </w:pPr>
      <w:r>
        <w:rPr>
          <w:rFonts w:ascii="方正仿宋_GBK" w:hAnsi="方正仿宋_GBK" w:eastAsia="方正仿宋_GBK" w:cs="方正仿宋_GBK"/>
          <w:b/>
          <w:color w:val="000000"/>
          <w:sz w:val="28"/>
        </w:rPr>
        <w:t>11、冀财教[2024]141号/省级/2025年义教补助经费/肖实小学公用经费绩效目标表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1D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A1292">
            <w:pPr>
              <w:pStyle w:val="14"/>
            </w:pPr>
            <w:r>
              <w:t>单位：万元</w:t>
            </w:r>
          </w:p>
        </w:tc>
      </w:tr>
      <w:tr w14:paraId="7C3F17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B9DDB7">
            <w:pPr>
              <w:pStyle w:val="11"/>
            </w:pPr>
            <w:r>
              <w:t>项目编码</w:t>
            </w:r>
          </w:p>
        </w:tc>
        <w:tc>
          <w:tcPr>
            <w:tcW w:w="5103" w:type="dxa"/>
            <w:gridSpan w:val="2"/>
            <w:vAlign w:val="center"/>
          </w:tcPr>
          <w:p w14:paraId="68E332F4">
            <w:pPr>
              <w:pStyle w:val="13"/>
            </w:pPr>
            <w:r>
              <w:t>13052525P00000410135Y</w:t>
            </w:r>
          </w:p>
        </w:tc>
        <w:tc>
          <w:tcPr>
            <w:tcW w:w="2835" w:type="dxa"/>
            <w:vAlign w:val="center"/>
          </w:tcPr>
          <w:p w14:paraId="1EFEC1F1">
            <w:pPr>
              <w:pStyle w:val="11"/>
            </w:pPr>
            <w:r>
              <w:t>项目名称</w:t>
            </w:r>
          </w:p>
        </w:tc>
        <w:tc>
          <w:tcPr>
            <w:tcW w:w="6095" w:type="dxa"/>
            <w:gridSpan w:val="3"/>
            <w:vAlign w:val="center"/>
          </w:tcPr>
          <w:p w14:paraId="60068B27">
            <w:pPr>
              <w:pStyle w:val="13"/>
            </w:pPr>
            <w:r>
              <w:t>冀财教[2024]141号/省级/2025年义教补助经费/肖实小学公用经费</w:t>
            </w:r>
          </w:p>
        </w:tc>
      </w:tr>
      <w:tr w14:paraId="79C04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B61DF">
            <w:pPr>
              <w:pStyle w:val="11"/>
            </w:pPr>
            <w:r>
              <w:t>预算规模及资金用途</w:t>
            </w:r>
          </w:p>
        </w:tc>
        <w:tc>
          <w:tcPr>
            <w:tcW w:w="2268" w:type="dxa"/>
            <w:vAlign w:val="center"/>
          </w:tcPr>
          <w:p w14:paraId="12165671">
            <w:pPr>
              <w:pStyle w:val="11"/>
            </w:pPr>
            <w:r>
              <w:t>预算数</w:t>
            </w:r>
          </w:p>
        </w:tc>
        <w:tc>
          <w:tcPr>
            <w:tcW w:w="2835" w:type="dxa"/>
            <w:vAlign w:val="center"/>
          </w:tcPr>
          <w:p w14:paraId="7461E713">
            <w:pPr>
              <w:pStyle w:val="13"/>
            </w:pPr>
            <w:r>
              <w:t>7.80</w:t>
            </w:r>
          </w:p>
        </w:tc>
        <w:tc>
          <w:tcPr>
            <w:tcW w:w="2835" w:type="dxa"/>
            <w:vAlign w:val="center"/>
          </w:tcPr>
          <w:p w14:paraId="33D22905">
            <w:pPr>
              <w:pStyle w:val="11"/>
            </w:pPr>
            <w:r>
              <w:t>其中：财政    资金</w:t>
            </w:r>
          </w:p>
        </w:tc>
        <w:tc>
          <w:tcPr>
            <w:tcW w:w="2551" w:type="dxa"/>
            <w:vAlign w:val="center"/>
          </w:tcPr>
          <w:p w14:paraId="76D9FDC2">
            <w:pPr>
              <w:pStyle w:val="13"/>
            </w:pPr>
            <w:r>
              <w:t>7.80</w:t>
            </w:r>
          </w:p>
        </w:tc>
        <w:tc>
          <w:tcPr>
            <w:tcW w:w="2268" w:type="dxa"/>
            <w:vAlign w:val="center"/>
          </w:tcPr>
          <w:p w14:paraId="7AADDA28">
            <w:pPr>
              <w:pStyle w:val="11"/>
            </w:pPr>
            <w:r>
              <w:t>其他资金</w:t>
            </w:r>
          </w:p>
        </w:tc>
        <w:tc>
          <w:tcPr>
            <w:tcW w:w="1276" w:type="dxa"/>
            <w:vAlign w:val="center"/>
          </w:tcPr>
          <w:p w14:paraId="29F92AA3">
            <w:pPr>
              <w:pStyle w:val="13"/>
            </w:pPr>
            <w:r>
              <w:t xml:space="preserve"> </w:t>
            </w:r>
          </w:p>
        </w:tc>
      </w:tr>
      <w:tr w14:paraId="3907D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EC373B"/>
        </w:tc>
        <w:tc>
          <w:tcPr>
            <w:tcW w:w="14033" w:type="dxa"/>
            <w:gridSpan w:val="6"/>
            <w:vAlign w:val="center"/>
          </w:tcPr>
          <w:p w14:paraId="76503A96">
            <w:pPr>
              <w:pStyle w:val="13"/>
            </w:pPr>
            <w:r>
              <w:t>有效完成学校教学安全秩序，保障学校教学任务有效开展，满足学校正常教学需要。</w:t>
            </w:r>
          </w:p>
        </w:tc>
      </w:tr>
      <w:tr w14:paraId="58ED2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FADA3">
            <w:pPr>
              <w:pStyle w:val="11"/>
            </w:pPr>
            <w:r>
              <w:t>资金支出计划（%）</w:t>
            </w:r>
          </w:p>
        </w:tc>
        <w:tc>
          <w:tcPr>
            <w:tcW w:w="5103" w:type="dxa"/>
            <w:gridSpan w:val="2"/>
            <w:vAlign w:val="center"/>
          </w:tcPr>
          <w:p w14:paraId="6FF8E957">
            <w:pPr>
              <w:pStyle w:val="11"/>
            </w:pPr>
            <w:r>
              <w:t>3月底</w:t>
            </w:r>
          </w:p>
        </w:tc>
        <w:tc>
          <w:tcPr>
            <w:tcW w:w="2835" w:type="dxa"/>
            <w:vAlign w:val="center"/>
          </w:tcPr>
          <w:p w14:paraId="7E9AAF92">
            <w:pPr>
              <w:pStyle w:val="11"/>
            </w:pPr>
            <w:r>
              <w:t>6月底</w:t>
            </w:r>
          </w:p>
        </w:tc>
        <w:tc>
          <w:tcPr>
            <w:tcW w:w="2551" w:type="dxa"/>
            <w:vAlign w:val="center"/>
          </w:tcPr>
          <w:p w14:paraId="71267F30">
            <w:pPr>
              <w:pStyle w:val="11"/>
            </w:pPr>
            <w:r>
              <w:t>10月底</w:t>
            </w:r>
          </w:p>
        </w:tc>
        <w:tc>
          <w:tcPr>
            <w:tcW w:w="3544" w:type="dxa"/>
            <w:gridSpan w:val="2"/>
            <w:vAlign w:val="center"/>
          </w:tcPr>
          <w:p w14:paraId="1A118FEE">
            <w:pPr>
              <w:pStyle w:val="11"/>
            </w:pPr>
            <w:r>
              <w:t>12月底</w:t>
            </w:r>
          </w:p>
        </w:tc>
      </w:tr>
      <w:tr w14:paraId="6B3C7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F5742A"/>
        </w:tc>
        <w:tc>
          <w:tcPr>
            <w:tcW w:w="5103" w:type="dxa"/>
            <w:gridSpan w:val="2"/>
            <w:vAlign w:val="center"/>
          </w:tcPr>
          <w:p w14:paraId="22A3075B">
            <w:pPr>
              <w:pStyle w:val="12"/>
            </w:pPr>
            <w:r>
              <w:t>25%</w:t>
            </w:r>
          </w:p>
        </w:tc>
        <w:tc>
          <w:tcPr>
            <w:tcW w:w="2835" w:type="dxa"/>
            <w:vAlign w:val="center"/>
          </w:tcPr>
          <w:p w14:paraId="255CD760">
            <w:pPr>
              <w:pStyle w:val="12"/>
            </w:pPr>
            <w:r>
              <w:t>50%</w:t>
            </w:r>
          </w:p>
        </w:tc>
        <w:tc>
          <w:tcPr>
            <w:tcW w:w="2551" w:type="dxa"/>
            <w:vAlign w:val="center"/>
          </w:tcPr>
          <w:p w14:paraId="57D98EDB">
            <w:pPr>
              <w:pStyle w:val="12"/>
            </w:pPr>
            <w:r>
              <w:t>75%</w:t>
            </w:r>
          </w:p>
        </w:tc>
        <w:tc>
          <w:tcPr>
            <w:tcW w:w="3544" w:type="dxa"/>
            <w:gridSpan w:val="2"/>
            <w:vAlign w:val="center"/>
          </w:tcPr>
          <w:p w14:paraId="7775792A">
            <w:pPr>
              <w:pStyle w:val="12"/>
            </w:pPr>
            <w:r>
              <w:t>100%</w:t>
            </w:r>
          </w:p>
        </w:tc>
      </w:tr>
      <w:tr w14:paraId="4E012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73BAC4">
            <w:pPr>
              <w:pStyle w:val="11"/>
            </w:pPr>
            <w:r>
              <w:t>绩效目标</w:t>
            </w:r>
          </w:p>
        </w:tc>
        <w:tc>
          <w:tcPr>
            <w:tcW w:w="14033" w:type="dxa"/>
            <w:gridSpan w:val="6"/>
            <w:vAlign w:val="center"/>
          </w:tcPr>
          <w:p w14:paraId="4C06B60E">
            <w:pPr>
              <w:pStyle w:val="13"/>
            </w:pPr>
            <w:r>
              <w:t>1.有效完成学校教学安全秩序，保障学校教学任务有效开展，满足学校正常教学需要。</w:t>
            </w:r>
          </w:p>
          <w:p w14:paraId="445571EC">
            <w:pPr>
              <w:pStyle w:val="13"/>
            </w:pPr>
            <w:r>
              <w:t>2.按规定拨付公用经费资金，预算执行率≥98%。</w:t>
            </w:r>
          </w:p>
        </w:tc>
      </w:tr>
    </w:tbl>
    <w:p w14:paraId="3849FA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28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D3CF7">
            <w:pPr>
              <w:pStyle w:val="11"/>
            </w:pPr>
            <w:r>
              <w:t>一级指标</w:t>
            </w:r>
          </w:p>
        </w:tc>
        <w:tc>
          <w:tcPr>
            <w:tcW w:w="2268" w:type="dxa"/>
            <w:vAlign w:val="center"/>
          </w:tcPr>
          <w:p w14:paraId="3601E31A">
            <w:pPr>
              <w:pStyle w:val="11"/>
            </w:pPr>
            <w:r>
              <w:t>二级指标</w:t>
            </w:r>
          </w:p>
        </w:tc>
        <w:tc>
          <w:tcPr>
            <w:tcW w:w="2835" w:type="dxa"/>
            <w:vAlign w:val="center"/>
          </w:tcPr>
          <w:p w14:paraId="2CA58689">
            <w:pPr>
              <w:pStyle w:val="11"/>
            </w:pPr>
            <w:r>
              <w:t>三级指标</w:t>
            </w:r>
          </w:p>
        </w:tc>
        <w:tc>
          <w:tcPr>
            <w:tcW w:w="5386" w:type="dxa"/>
            <w:vAlign w:val="center"/>
          </w:tcPr>
          <w:p w14:paraId="3D570942">
            <w:pPr>
              <w:pStyle w:val="11"/>
            </w:pPr>
            <w:r>
              <w:t>绩效指标描述</w:t>
            </w:r>
          </w:p>
        </w:tc>
        <w:tc>
          <w:tcPr>
            <w:tcW w:w="2268" w:type="dxa"/>
            <w:vAlign w:val="center"/>
          </w:tcPr>
          <w:p w14:paraId="4AF56151">
            <w:pPr>
              <w:pStyle w:val="11"/>
            </w:pPr>
            <w:r>
              <w:t>指标值</w:t>
            </w:r>
          </w:p>
        </w:tc>
        <w:tc>
          <w:tcPr>
            <w:tcW w:w="1276" w:type="dxa"/>
            <w:vAlign w:val="center"/>
          </w:tcPr>
          <w:p w14:paraId="2522E241">
            <w:pPr>
              <w:pStyle w:val="11"/>
            </w:pPr>
            <w:r>
              <w:t>指标值确定依据</w:t>
            </w:r>
          </w:p>
        </w:tc>
      </w:tr>
      <w:tr w14:paraId="2684D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580BB">
            <w:pPr>
              <w:pStyle w:val="12"/>
            </w:pPr>
            <w:r>
              <w:t>产出指标</w:t>
            </w:r>
          </w:p>
        </w:tc>
        <w:tc>
          <w:tcPr>
            <w:tcW w:w="2268" w:type="dxa"/>
            <w:vAlign w:val="center"/>
          </w:tcPr>
          <w:p w14:paraId="279BD7B6">
            <w:pPr>
              <w:pStyle w:val="13"/>
            </w:pPr>
            <w:r>
              <w:t>成本指标</w:t>
            </w:r>
          </w:p>
        </w:tc>
        <w:tc>
          <w:tcPr>
            <w:tcW w:w="2835" w:type="dxa"/>
            <w:vAlign w:val="center"/>
          </w:tcPr>
          <w:p w14:paraId="717B0E32">
            <w:pPr>
              <w:pStyle w:val="13"/>
            </w:pPr>
            <w:r>
              <w:t>生均拨款标准</w:t>
            </w:r>
          </w:p>
        </w:tc>
        <w:tc>
          <w:tcPr>
            <w:tcW w:w="5386" w:type="dxa"/>
            <w:vAlign w:val="center"/>
          </w:tcPr>
          <w:p w14:paraId="7337F319">
            <w:pPr>
              <w:pStyle w:val="13"/>
            </w:pPr>
            <w:r>
              <w:t>小学生公用经费生均小学720元。取暖费140元/生/年，随班就读学生补助7000元/生</w:t>
            </w:r>
          </w:p>
        </w:tc>
        <w:tc>
          <w:tcPr>
            <w:tcW w:w="2268" w:type="dxa"/>
            <w:vAlign w:val="center"/>
          </w:tcPr>
          <w:p w14:paraId="53469E2B">
            <w:pPr>
              <w:pStyle w:val="13"/>
            </w:pPr>
            <w:r>
              <w:t>840元</w:t>
            </w:r>
          </w:p>
        </w:tc>
        <w:tc>
          <w:tcPr>
            <w:tcW w:w="1276" w:type="dxa"/>
            <w:vAlign w:val="center"/>
          </w:tcPr>
          <w:p w14:paraId="22C67131">
            <w:pPr>
              <w:pStyle w:val="13"/>
            </w:pPr>
            <w:r>
              <w:t>城乡义务教育公用经费管理办法</w:t>
            </w:r>
          </w:p>
        </w:tc>
      </w:tr>
      <w:tr w14:paraId="56804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378A5"/>
        </w:tc>
        <w:tc>
          <w:tcPr>
            <w:tcW w:w="2268" w:type="dxa"/>
            <w:vAlign w:val="center"/>
          </w:tcPr>
          <w:p w14:paraId="62FEFDCD">
            <w:pPr>
              <w:pStyle w:val="13"/>
            </w:pPr>
            <w:r>
              <w:t>数量指标</w:t>
            </w:r>
          </w:p>
        </w:tc>
        <w:tc>
          <w:tcPr>
            <w:tcW w:w="2835" w:type="dxa"/>
            <w:vAlign w:val="center"/>
          </w:tcPr>
          <w:p w14:paraId="31922F86">
            <w:pPr>
              <w:pStyle w:val="13"/>
            </w:pPr>
            <w:r>
              <w:t>就读学生数</w:t>
            </w:r>
          </w:p>
        </w:tc>
        <w:tc>
          <w:tcPr>
            <w:tcW w:w="5386" w:type="dxa"/>
            <w:vAlign w:val="center"/>
          </w:tcPr>
          <w:p w14:paraId="7543AAEE">
            <w:pPr>
              <w:pStyle w:val="13"/>
            </w:pPr>
            <w:r>
              <w:t>辐射区域内适龄学生人数</w:t>
            </w:r>
          </w:p>
        </w:tc>
        <w:tc>
          <w:tcPr>
            <w:tcW w:w="2268" w:type="dxa"/>
            <w:vAlign w:val="center"/>
          </w:tcPr>
          <w:p w14:paraId="49A95107">
            <w:pPr>
              <w:pStyle w:val="13"/>
            </w:pPr>
            <w:r>
              <w:t>≥290人</w:t>
            </w:r>
          </w:p>
        </w:tc>
        <w:tc>
          <w:tcPr>
            <w:tcW w:w="1276" w:type="dxa"/>
            <w:vAlign w:val="center"/>
          </w:tcPr>
          <w:p w14:paraId="02BAC383">
            <w:pPr>
              <w:pStyle w:val="13"/>
            </w:pPr>
            <w:r>
              <w:t>城乡义务教育公用经费管理办法</w:t>
            </w:r>
          </w:p>
        </w:tc>
      </w:tr>
      <w:tr w14:paraId="3D78D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9A954"/>
        </w:tc>
        <w:tc>
          <w:tcPr>
            <w:tcW w:w="2268" w:type="dxa"/>
            <w:vAlign w:val="center"/>
          </w:tcPr>
          <w:p w14:paraId="2A5C5255">
            <w:pPr>
              <w:pStyle w:val="13"/>
            </w:pPr>
            <w:r>
              <w:t>质量指标</w:t>
            </w:r>
          </w:p>
        </w:tc>
        <w:tc>
          <w:tcPr>
            <w:tcW w:w="2835" w:type="dxa"/>
            <w:vAlign w:val="center"/>
          </w:tcPr>
          <w:p w14:paraId="3CA9ED89">
            <w:pPr>
              <w:pStyle w:val="13"/>
            </w:pPr>
            <w:r>
              <w:t>预算执行率</w:t>
            </w:r>
          </w:p>
        </w:tc>
        <w:tc>
          <w:tcPr>
            <w:tcW w:w="5386" w:type="dxa"/>
            <w:vAlign w:val="center"/>
          </w:tcPr>
          <w:p w14:paraId="6AF01EEC">
            <w:pPr>
              <w:pStyle w:val="13"/>
            </w:pPr>
            <w:r>
              <w:t>预算执行率≥98%</w:t>
            </w:r>
          </w:p>
        </w:tc>
        <w:tc>
          <w:tcPr>
            <w:tcW w:w="2268" w:type="dxa"/>
            <w:vAlign w:val="center"/>
          </w:tcPr>
          <w:p w14:paraId="1CC90482">
            <w:pPr>
              <w:pStyle w:val="13"/>
            </w:pPr>
            <w:r>
              <w:t>≥98%</w:t>
            </w:r>
          </w:p>
        </w:tc>
        <w:tc>
          <w:tcPr>
            <w:tcW w:w="1276" w:type="dxa"/>
            <w:vAlign w:val="center"/>
          </w:tcPr>
          <w:p w14:paraId="79A89AD1">
            <w:pPr>
              <w:pStyle w:val="13"/>
            </w:pPr>
            <w:r>
              <w:t>城乡义务教育公用经费管理办法</w:t>
            </w:r>
          </w:p>
        </w:tc>
      </w:tr>
      <w:tr w14:paraId="2842D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DA643"/>
        </w:tc>
        <w:tc>
          <w:tcPr>
            <w:tcW w:w="2268" w:type="dxa"/>
            <w:vAlign w:val="center"/>
          </w:tcPr>
          <w:p w14:paraId="4774DB01">
            <w:pPr>
              <w:pStyle w:val="13"/>
            </w:pPr>
            <w:r>
              <w:t>时效指标</w:t>
            </w:r>
          </w:p>
        </w:tc>
        <w:tc>
          <w:tcPr>
            <w:tcW w:w="2835" w:type="dxa"/>
            <w:vAlign w:val="center"/>
          </w:tcPr>
          <w:p w14:paraId="6761DB02">
            <w:pPr>
              <w:pStyle w:val="13"/>
            </w:pPr>
            <w:r>
              <w:t>义教经费支付完成率</w:t>
            </w:r>
          </w:p>
        </w:tc>
        <w:tc>
          <w:tcPr>
            <w:tcW w:w="5386" w:type="dxa"/>
            <w:vAlign w:val="center"/>
          </w:tcPr>
          <w:p w14:paraId="72D8762E">
            <w:pPr>
              <w:pStyle w:val="13"/>
            </w:pPr>
            <w:r>
              <w:t>按照序时进度完成资金支付</w:t>
            </w:r>
          </w:p>
        </w:tc>
        <w:tc>
          <w:tcPr>
            <w:tcW w:w="2268" w:type="dxa"/>
            <w:vAlign w:val="center"/>
          </w:tcPr>
          <w:p w14:paraId="2CD02C1A">
            <w:pPr>
              <w:pStyle w:val="13"/>
            </w:pPr>
            <w:r>
              <w:t>100%</w:t>
            </w:r>
          </w:p>
        </w:tc>
        <w:tc>
          <w:tcPr>
            <w:tcW w:w="1276" w:type="dxa"/>
            <w:vAlign w:val="center"/>
          </w:tcPr>
          <w:p w14:paraId="6CD60219">
            <w:pPr>
              <w:pStyle w:val="13"/>
            </w:pPr>
            <w:r>
              <w:t>城乡义务教育公用经费管理办法</w:t>
            </w:r>
          </w:p>
        </w:tc>
      </w:tr>
      <w:tr w14:paraId="58D1A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E9E4A9">
            <w:pPr>
              <w:pStyle w:val="12"/>
            </w:pPr>
            <w:r>
              <w:t>效益指标</w:t>
            </w:r>
          </w:p>
        </w:tc>
        <w:tc>
          <w:tcPr>
            <w:tcW w:w="2268" w:type="dxa"/>
            <w:vAlign w:val="center"/>
          </w:tcPr>
          <w:p w14:paraId="1509D0F7">
            <w:pPr>
              <w:pStyle w:val="13"/>
            </w:pPr>
            <w:r>
              <w:t>可持续影响指标</w:t>
            </w:r>
          </w:p>
        </w:tc>
        <w:tc>
          <w:tcPr>
            <w:tcW w:w="2835" w:type="dxa"/>
            <w:vAlign w:val="center"/>
          </w:tcPr>
          <w:p w14:paraId="4D8A24D7">
            <w:pPr>
              <w:pStyle w:val="13"/>
            </w:pPr>
            <w:r>
              <w:t>学校运转得到提高</w:t>
            </w:r>
          </w:p>
        </w:tc>
        <w:tc>
          <w:tcPr>
            <w:tcW w:w="5386" w:type="dxa"/>
            <w:vAlign w:val="center"/>
          </w:tcPr>
          <w:p w14:paraId="0ECC012E">
            <w:pPr>
              <w:pStyle w:val="13"/>
            </w:pPr>
            <w:r>
              <w:t>学生受教育年限</w:t>
            </w:r>
          </w:p>
        </w:tc>
        <w:tc>
          <w:tcPr>
            <w:tcW w:w="2268" w:type="dxa"/>
            <w:vAlign w:val="center"/>
          </w:tcPr>
          <w:p w14:paraId="3A87910E">
            <w:pPr>
              <w:pStyle w:val="13"/>
            </w:pPr>
            <w:r>
              <w:t>6年</w:t>
            </w:r>
          </w:p>
        </w:tc>
        <w:tc>
          <w:tcPr>
            <w:tcW w:w="1276" w:type="dxa"/>
            <w:vAlign w:val="center"/>
          </w:tcPr>
          <w:p w14:paraId="0B776D7A">
            <w:pPr>
              <w:pStyle w:val="13"/>
            </w:pPr>
            <w:r>
              <w:t>城乡义务教育公用经费管理办法</w:t>
            </w:r>
          </w:p>
        </w:tc>
      </w:tr>
      <w:tr w14:paraId="1A2E4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0E38F6">
            <w:pPr>
              <w:pStyle w:val="12"/>
            </w:pPr>
            <w:r>
              <w:t>满意度指标</w:t>
            </w:r>
          </w:p>
        </w:tc>
        <w:tc>
          <w:tcPr>
            <w:tcW w:w="2268" w:type="dxa"/>
            <w:vAlign w:val="center"/>
          </w:tcPr>
          <w:p w14:paraId="319602C6">
            <w:pPr>
              <w:pStyle w:val="13"/>
            </w:pPr>
            <w:r>
              <w:t>服务对象满意度指标</w:t>
            </w:r>
          </w:p>
        </w:tc>
        <w:tc>
          <w:tcPr>
            <w:tcW w:w="2835" w:type="dxa"/>
            <w:vAlign w:val="center"/>
          </w:tcPr>
          <w:p w14:paraId="28965A59">
            <w:pPr>
              <w:pStyle w:val="13"/>
            </w:pPr>
            <w:r>
              <w:t>服务对象满意度</w:t>
            </w:r>
          </w:p>
        </w:tc>
        <w:tc>
          <w:tcPr>
            <w:tcW w:w="5386" w:type="dxa"/>
            <w:vAlign w:val="center"/>
          </w:tcPr>
          <w:p w14:paraId="5D11B397">
            <w:pPr>
              <w:pStyle w:val="13"/>
            </w:pPr>
            <w:r>
              <w:t>学校老师和学生满意度</w:t>
            </w:r>
          </w:p>
        </w:tc>
        <w:tc>
          <w:tcPr>
            <w:tcW w:w="2268" w:type="dxa"/>
            <w:vAlign w:val="center"/>
          </w:tcPr>
          <w:p w14:paraId="75ED40DC">
            <w:pPr>
              <w:pStyle w:val="13"/>
            </w:pPr>
            <w:r>
              <w:t>≥95%</w:t>
            </w:r>
          </w:p>
        </w:tc>
        <w:tc>
          <w:tcPr>
            <w:tcW w:w="1276" w:type="dxa"/>
            <w:vAlign w:val="center"/>
          </w:tcPr>
          <w:p w14:paraId="082E0EC7">
            <w:pPr>
              <w:pStyle w:val="13"/>
            </w:pPr>
            <w:r>
              <w:t>问卷调查</w:t>
            </w:r>
          </w:p>
        </w:tc>
      </w:tr>
    </w:tbl>
    <w:p w14:paraId="65B79CF7">
      <w:pPr>
        <w:sectPr>
          <w:pgSz w:w="16840" w:h="11900" w:orient="landscape"/>
          <w:pgMar w:top="1361" w:right="1020" w:bottom="1134" w:left="1020" w:header="720" w:footer="720" w:gutter="0"/>
          <w:cols w:space="720" w:num="1"/>
        </w:sectPr>
      </w:pPr>
    </w:p>
    <w:p w14:paraId="3F78ED7C">
      <w:pPr>
        <w:spacing w:before="0" w:after="0"/>
        <w:ind w:firstLine="560"/>
        <w:jc w:val="left"/>
        <w:outlineLvl w:val="9"/>
      </w:pPr>
      <w:r>
        <w:rPr>
          <w:rFonts w:ascii="方正仿宋_GBK" w:hAnsi="方正仿宋_GBK" w:eastAsia="方正仿宋_GBK" w:cs="方正仿宋_GBK"/>
          <w:b/>
          <w:color w:val="000000"/>
          <w:sz w:val="28"/>
        </w:rPr>
        <w:t>12、冀财教[2024]141号/省级/2025年义教补助经费/张汪小学公用经费绩效目标表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CD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C1565">
            <w:pPr>
              <w:pStyle w:val="14"/>
            </w:pPr>
            <w:r>
              <w:t>单位：万元</w:t>
            </w:r>
          </w:p>
        </w:tc>
      </w:tr>
      <w:tr w14:paraId="2F20A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4A3A23">
            <w:pPr>
              <w:pStyle w:val="11"/>
            </w:pPr>
            <w:r>
              <w:t>项目编码</w:t>
            </w:r>
          </w:p>
        </w:tc>
        <w:tc>
          <w:tcPr>
            <w:tcW w:w="5103" w:type="dxa"/>
            <w:gridSpan w:val="2"/>
            <w:vAlign w:val="center"/>
          </w:tcPr>
          <w:p w14:paraId="20C1AC6E">
            <w:pPr>
              <w:pStyle w:val="13"/>
            </w:pPr>
            <w:r>
              <w:t>13052525P00000410134B</w:t>
            </w:r>
          </w:p>
        </w:tc>
        <w:tc>
          <w:tcPr>
            <w:tcW w:w="2835" w:type="dxa"/>
            <w:vAlign w:val="center"/>
          </w:tcPr>
          <w:p w14:paraId="3192E081">
            <w:pPr>
              <w:pStyle w:val="11"/>
            </w:pPr>
            <w:r>
              <w:t>项目名称</w:t>
            </w:r>
          </w:p>
        </w:tc>
        <w:tc>
          <w:tcPr>
            <w:tcW w:w="6095" w:type="dxa"/>
            <w:gridSpan w:val="3"/>
            <w:vAlign w:val="center"/>
          </w:tcPr>
          <w:p w14:paraId="60046CC6">
            <w:pPr>
              <w:pStyle w:val="13"/>
            </w:pPr>
            <w:r>
              <w:t>冀财教[2024]141号/省级/2025年义教补助经费/张汪小学公用经费</w:t>
            </w:r>
          </w:p>
        </w:tc>
      </w:tr>
      <w:tr w14:paraId="2A8A1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C5E10">
            <w:pPr>
              <w:pStyle w:val="11"/>
            </w:pPr>
            <w:r>
              <w:t>预算规模及资金用途</w:t>
            </w:r>
          </w:p>
        </w:tc>
        <w:tc>
          <w:tcPr>
            <w:tcW w:w="2268" w:type="dxa"/>
            <w:vAlign w:val="center"/>
          </w:tcPr>
          <w:p w14:paraId="21F166EC">
            <w:pPr>
              <w:pStyle w:val="11"/>
            </w:pPr>
            <w:r>
              <w:t>预算数</w:t>
            </w:r>
          </w:p>
        </w:tc>
        <w:tc>
          <w:tcPr>
            <w:tcW w:w="2835" w:type="dxa"/>
            <w:vAlign w:val="center"/>
          </w:tcPr>
          <w:p w14:paraId="7C35878B">
            <w:pPr>
              <w:pStyle w:val="13"/>
            </w:pPr>
            <w:r>
              <w:t>17.64</w:t>
            </w:r>
          </w:p>
        </w:tc>
        <w:tc>
          <w:tcPr>
            <w:tcW w:w="2835" w:type="dxa"/>
            <w:vAlign w:val="center"/>
          </w:tcPr>
          <w:p w14:paraId="4FE54475">
            <w:pPr>
              <w:pStyle w:val="11"/>
            </w:pPr>
            <w:r>
              <w:t>其中：财政    资金</w:t>
            </w:r>
          </w:p>
        </w:tc>
        <w:tc>
          <w:tcPr>
            <w:tcW w:w="2551" w:type="dxa"/>
            <w:vAlign w:val="center"/>
          </w:tcPr>
          <w:p w14:paraId="7849F1D1">
            <w:pPr>
              <w:pStyle w:val="13"/>
            </w:pPr>
            <w:r>
              <w:t>17.64</w:t>
            </w:r>
          </w:p>
        </w:tc>
        <w:tc>
          <w:tcPr>
            <w:tcW w:w="2268" w:type="dxa"/>
            <w:vAlign w:val="center"/>
          </w:tcPr>
          <w:p w14:paraId="7F9F58B0">
            <w:pPr>
              <w:pStyle w:val="11"/>
            </w:pPr>
            <w:r>
              <w:t>其他资金</w:t>
            </w:r>
          </w:p>
        </w:tc>
        <w:tc>
          <w:tcPr>
            <w:tcW w:w="1276" w:type="dxa"/>
            <w:vAlign w:val="center"/>
          </w:tcPr>
          <w:p w14:paraId="619A1947">
            <w:pPr>
              <w:pStyle w:val="13"/>
            </w:pPr>
            <w:r>
              <w:t xml:space="preserve"> </w:t>
            </w:r>
          </w:p>
        </w:tc>
      </w:tr>
      <w:tr w14:paraId="1E199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C64778"/>
        </w:tc>
        <w:tc>
          <w:tcPr>
            <w:tcW w:w="14033" w:type="dxa"/>
            <w:gridSpan w:val="6"/>
            <w:vAlign w:val="center"/>
          </w:tcPr>
          <w:p w14:paraId="2B656270">
            <w:pPr>
              <w:pStyle w:val="13"/>
            </w:pPr>
            <w:r>
              <w:t>有效完成学校教学安全秩序，保障学校教学任务有效开展，满足学校正常教学需要。</w:t>
            </w:r>
          </w:p>
        </w:tc>
      </w:tr>
      <w:tr w14:paraId="7EE3A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14C53">
            <w:pPr>
              <w:pStyle w:val="11"/>
            </w:pPr>
            <w:r>
              <w:t>资金支出计划（%）</w:t>
            </w:r>
          </w:p>
        </w:tc>
        <w:tc>
          <w:tcPr>
            <w:tcW w:w="5103" w:type="dxa"/>
            <w:gridSpan w:val="2"/>
            <w:vAlign w:val="center"/>
          </w:tcPr>
          <w:p w14:paraId="5C41328E">
            <w:pPr>
              <w:pStyle w:val="11"/>
            </w:pPr>
            <w:r>
              <w:t>3月底</w:t>
            </w:r>
          </w:p>
        </w:tc>
        <w:tc>
          <w:tcPr>
            <w:tcW w:w="2835" w:type="dxa"/>
            <w:vAlign w:val="center"/>
          </w:tcPr>
          <w:p w14:paraId="61B516EB">
            <w:pPr>
              <w:pStyle w:val="11"/>
            </w:pPr>
            <w:r>
              <w:t>6月底</w:t>
            </w:r>
          </w:p>
        </w:tc>
        <w:tc>
          <w:tcPr>
            <w:tcW w:w="2551" w:type="dxa"/>
            <w:vAlign w:val="center"/>
          </w:tcPr>
          <w:p w14:paraId="4416BAE8">
            <w:pPr>
              <w:pStyle w:val="11"/>
            </w:pPr>
            <w:r>
              <w:t>10月底</w:t>
            </w:r>
          </w:p>
        </w:tc>
        <w:tc>
          <w:tcPr>
            <w:tcW w:w="3544" w:type="dxa"/>
            <w:gridSpan w:val="2"/>
            <w:vAlign w:val="center"/>
          </w:tcPr>
          <w:p w14:paraId="308EE70F">
            <w:pPr>
              <w:pStyle w:val="11"/>
            </w:pPr>
            <w:r>
              <w:t>12月底</w:t>
            </w:r>
          </w:p>
        </w:tc>
      </w:tr>
      <w:tr w14:paraId="79B59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5F5C6"/>
        </w:tc>
        <w:tc>
          <w:tcPr>
            <w:tcW w:w="5103" w:type="dxa"/>
            <w:gridSpan w:val="2"/>
            <w:vAlign w:val="center"/>
          </w:tcPr>
          <w:p w14:paraId="06DC9673">
            <w:pPr>
              <w:pStyle w:val="12"/>
            </w:pPr>
            <w:r>
              <w:t>25%</w:t>
            </w:r>
          </w:p>
        </w:tc>
        <w:tc>
          <w:tcPr>
            <w:tcW w:w="2835" w:type="dxa"/>
            <w:vAlign w:val="center"/>
          </w:tcPr>
          <w:p w14:paraId="2CC1C20A">
            <w:pPr>
              <w:pStyle w:val="12"/>
            </w:pPr>
            <w:r>
              <w:t>50%</w:t>
            </w:r>
          </w:p>
        </w:tc>
        <w:tc>
          <w:tcPr>
            <w:tcW w:w="2551" w:type="dxa"/>
            <w:vAlign w:val="center"/>
          </w:tcPr>
          <w:p w14:paraId="6C8F66BF">
            <w:pPr>
              <w:pStyle w:val="12"/>
            </w:pPr>
            <w:r>
              <w:t>75%</w:t>
            </w:r>
          </w:p>
        </w:tc>
        <w:tc>
          <w:tcPr>
            <w:tcW w:w="3544" w:type="dxa"/>
            <w:gridSpan w:val="2"/>
            <w:vAlign w:val="center"/>
          </w:tcPr>
          <w:p w14:paraId="3B9FA4D1">
            <w:pPr>
              <w:pStyle w:val="12"/>
            </w:pPr>
            <w:r>
              <w:t>100%</w:t>
            </w:r>
          </w:p>
        </w:tc>
      </w:tr>
      <w:tr w14:paraId="2C08C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1C2E59">
            <w:pPr>
              <w:pStyle w:val="11"/>
            </w:pPr>
            <w:r>
              <w:t>绩效目标</w:t>
            </w:r>
          </w:p>
        </w:tc>
        <w:tc>
          <w:tcPr>
            <w:tcW w:w="14033" w:type="dxa"/>
            <w:gridSpan w:val="6"/>
            <w:vAlign w:val="center"/>
          </w:tcPr>
          <w:p w14:paraId="77151D0E">
            <w:pPr>
              <w:pStyle w:val="13"/>
            </w:pPr>
            <w:r>
              <w:t>1.有效完成学校教学安全秩序，保障学校教学任务有效开展，满足学校正常教学需要。</w:t>
            </w:r>
          </w:p>
          <w:p w14:paraId="3BDD2B01">
            <w:pPr>
              <w:pStyle w:val="13"/>
            </w:pPr>
            <w:r>
              <w:t>2.按规定拨付公用经费资金，预算执行率≥98%。</w:t>
            </w:r>
          </w:p>
        </w:tc>
      </w:tr>
    </w:tbl>
    <w:p w14:paraId="4AAF56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86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22004">
            <w:pPr>
              <w:pStyle w:val="11"/>
            </w:pPr>
            <w:r>
              <w:t>一级指标</w:t>
            </w:r>
          </w:p>
        </w:tc>
        <w:tc>
          <w:tcPr>
            <w:tcW w:w="2268" w:type="dxa"/>
            <w:vAlign w:val="center"/>
          </w:tcPr>
          <w:p w14:paraId="4AF23C98">
            <w:pPr>
              <w:pStyle w:val="11"/>
            </w:pPr>
            <w:r>
              <w:t>二级指标</w:t>
            </w:r>
          </w:p>
        </w:tc>
        <w:tc>
          <w:tcPr>
            <w:tcW w:w="2835" w:type="dxa"/>
            <w:vAlign w:val="center"/>
          </w:tcPr>
          <w:p w14:paraId="6678E127">
            <w:pPr>
              <w:pStyle w:val="11"/>
            </w:pPr>
            <w:r>
              <w:t>三级指标</w:t>
            </w:r>
          </w:p>
        </w:tc>
        <w:tc>
          <w:tcPr>
            <w:tcW w:w="5386" w:type="dxa"/>
            <w:vAlign w:val="center"/>
          </w:tcPr>
          <w:p w14:paraId="4A599C12">
            <w:pPr>
              <w:pStyle w:val="11"/>
            </w:pPr>
            <w:r>
              <w:t>绩效指标描述</w:t>
            </w:r>
          </w:p>
        </w:tc>
        <w:tc>
          <w:tcPr>
            <w:tcW w:w="2268" w:type="dxa"/>
            <w:vAlign w:val="center"/>
          </w:tcPr>
          <w:p w14:paraId="1088B360">
            <w:pPr>
              <w:pStyle w:val="11"/>
            </w:pPr>
            <w:r>
              <w:t>指标值</w:t>
            </w:r>
          </w:p>
        </w:tc>
        <w:tc>
          <w:tcPr>
            <w:tcW w:w="1276" w:type="dxa"/>
            <w:vAlign w:val="center"/>
          </w:tcPr>
          <w:p w14:paraId="4E3EE256">
            <w:pPr>
              <w:pStyle w:val="11"/>
            </w:pPr>
            <w:r>
              <w:t>指标值确定依据</w:t>
            </w:r>
          </w:p>
        </w:tc>
      </w:tr>
      <w:tr w14:paraId="6A18E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0388F">
            <w:pPr>
              <w:pStyle w:val="12"/>
            </w:pPr>
            <w:r>
              <w:t>产出指标</w:t>
            </w:r>
          </w:p>
        </w:tc>
        <w:tc>
          <w:tcPr>
            <w:tcW w:w="2268" w:type="dxa"/>
            <w:vAlign w:val="center"/>
          </w:tcPr>
          <w:p w14:paraId="224168E0">
            <w:pPr>
              <w:pStyle w:val="13"/>
            </w:pPr>
            <w:r>
              <w:t>成本指标</w:t>
            </w:r>
          </w:p>
        </w:tc>
        <w:tc>
          <w:tcPr>
            <w:tcW w:w="2835" w:type="dxa"/>
            <w:vAlign w:val="center"/>
          </w:tcPr>
          <w:p w14:paraId="4359ED1F">
            <w:pPr>
              <w:pStyle w:val="13"/>
            </w:pPr>
            <w:r>
              <w:t>生均拨款标准</w:t>
            </w:r>
          </w:p>
        </w:tc>
        <w:tc>
          <w:tcPr>
            <w:tcW w:w="5386" w:type="dxa"/>
            <w:vAlign w:val="center"/>
          </w:tcPr>
          <w:p w14:paraId="44CC5C80">
            <w:pPr>
              <w:pStyle w:val="13"/>
            </w:pPr>
            <w:r>
              <w:t>小学生公用经费生均小学720元。取暖费140元/生/年，随班就读学生补助7000元/生</w:t>
            </w:r>
          </w:p>
        </w:tc>
        <w:tc>
          <w:tcPr>
            <w:tcW w:w="2268" w:type="dxa"/>
            <w:vAlign w:val="center"/>
          </w:tcPr>
          <w:p w14:paraId="361A7E57">
            <w:pPr>
              <w:pStyle w:val="13"/>
            </w:pPr>
            <w:r>
              <w:t>840元</w:t>
            </w:r>
          </w:p>
        </w:tc>
        <w:tc>
          <w:tcPr>
            <w:tcW w:w="1276" w:type="dxa"/>
            <w:vAlign w:val="center"/>
          </w:tcPr>
          <w:p w14:paraId="5E86E1EE">
            <w:pPr>
              <w:pStyle w:val="13"/>
            </w:pPr>
            <w:r>
              <w:t>城乡义务教育公用经费管理办法</w:t>
            </w:r>
          </w:p>
        </w:tc>
      </w:tr>
      <w:tr w14:paraId="39106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0227DC84"/>
        </w:tc>
        <w:tc>
          <w:tcPr>
            <w:tcW w:w="2268" w:type="dxa"/>
            <w:vAlign w:val="center"/>
          </w:tcPr>
          <w:p w14:paraId="7BAFF3D6">
            <w:pPr>
              <w:pStyle w:val="13"/>
            </w:pPr>
            <w:r>
              <w:t>数量指标</w:t>
            </w:r>
          </w:p>
        </w:tc>
        <w:tc>
          <w:tcPr>
            <w:tcW w:w="2835" w:type="dxa"/>
            <w:vAlign w:val="center"/>
          </w:tcPr>
          <w:p w14:paraId="4CCEF4D6">
            <w:pPr>
              <w:pStyle w:val="13"/>
            </w:pPr>
            <w:r>
              <w:t>就读学生数</w:t>
            </w:r>
          </w:p>
        </w:tc>
        <w:tc>
          <w:tcPr>
            <w:tcW w:w="5386" w:type="dxa"/>
            <w:vAlign w:val="center"/>
          </w:tcPr>
          <w:p w14:paraId="13938907">
            <w:pPr>
              <w:pStyle w:val="13"/>
            </w:pPr>
            <w:r>
              <w:t>辐射区域内适龄学生人数</w:t>
            </w:r>
          </w:p>
        </w:tc>
        <w:tc>
          <w:tcPr>
            <w:tcW w:w="2268" w:type="dxa"/>
            <w:vAlign w:val="center"/>
          </w:tcPr>
          <w:p w14:paraId="5421A606">
            <w:pPr>
              <w:pStyle w:val="13"/>
            </w:pPr>
            <w:r>
              <w:t>≥644人</w:t>
            </w:r>
          </w:p>
        </w:tc>
        <w:tc>
          <w:tcPr>
            <w:tcW w:w="1276" w:type="dxa"/>
            <w:vAlign w:val="center"/>
          </w:tcPr>
          <w:p w14:paraId="231FE506">
            <w:pPr>
              <w:pStyle w:val="13"/>
            </w:pPr>
            <w:r>
              <w:t>城乡义务教育公用经费管理办法</w:t>
            </w:r>
          </w:p>
        </w:tc>
      </w:tr>
      <w:tr w14:paraId="14E12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69DA1"/>
        </w:tc>
        <w:tc>
          <w:tcPr>
            <w:tcW w:w="2268" w:type="dxa"/>
            <w:vAlign w:val="center"/>
          </w:tcPr>
          <w:p w14:paraId="73505CBD">
            <w:pPr>
              <w:pStyle w:val="13"/>
            </w:pPr>
            <w:r>
              <w:t>质量指标</w:t>
            </w:r>
          </w:p>
        </w:tc>
        <w:tc>
          <w:tcPr>
            <w:tcW w:w="2835" w:type="dxa"/>
            <w:vAlign w:val="center"/>
          </w:tcPr>
          <w:p w14:paraId="78FEE5C8">
            <w:pPr>
              <w:pStyle w:val="13"/>
            </w:pPr>
            <w:r>
              <w:t>预算执行率</w:t>
            </w:r>
          </w:p>
        </w:tc>
        <w:tc>
          <w:tcPr>
            <w:tcW w:w="5386" w:type="dxa"/>
            <w:vAlign w:val="center"/>
          </w:tcPr>
          <w:p w14:paraId="7D06BD93">
            <w:pPr>
              <w:pStyle w:val="13"/>
            </w:pPr>
            <w:r>
              <w:t>预算执行率≥98%</w:t>
            </w:r>
          </w:p>
        </w:tc>
        <w:tc>
          <w:tcPr>
            <w:tcW w:w="2268" w:type="dxa"/>
            <w:vAlign w:val="center"/>
          </w:tcPr>
          <w:p w14:paraId="62E79DAB">
            <w:pPr>
              <w:pStyle w:val="13"/>
            </w:pPr>
            <w:r>
              <w:t>≥98%</w:t>
            </w:r>
          </w:p>
        </w:tc>
        <w:tc>
          <w:tcPr>
            <w:tcW w:w="1276" w:type="dxa"/>
            <w:vAlign w:val="center"/>
          </w:tcPr>
          <w:p w14:paraId="6D340715">
            <w:pPr>
              <w:pStyle w:val="13"/>
            </w:pPr>
            <w:r>
              <w:t>城乡义务教育公用经费管理办法</w:t>
            </w:r>
          </w:p>
        </w:tc>
      </w:tr>
      <w:tr w14:paraId="7F95D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03636"/>
        </w:tc>
        <w:tc>
          <w:tcPr>
            <w:tcW w:w="2268" w:type="dxa"/>
            <w:vAlign w:val="center"/>
          </w:tcPr>
          <w:p w14:paraId="64FB9F95">
            <w:pPr>
              <w:pStyle w:val="13"/>
            </w:pPr>
            <w:r>
              <w:t>时效指标</w:t>
            </w:r>
          </w:p>
        </w:tc>
        <w:tc>
          <w:tcPr>
            <w:tcW w:w="2835" w:type="dxa"/>
            <w:vAlign w:val="center"/>
          </w:tcPr>
          <w:p w14:paraId="6AEE2333">
            <w:pPr>
              <w:pStyle w:val="13"/>
            </w:pPr>
            <w:r>
              <w:t>义教经费支付完成率</w:t>
            </w:r>
          </w:p>
        </w:tc>
        <w:tc>
          <w:tcPr>
            <w:tcW w:w="5386" w:type="dxa"/>
            <w:vAlign w:val="center"/>
          </w:tcPr>
          <w:p w14:paraId="025BCBE0">
            <w:pPr>
              <w:pStyle w:val="13"/>
            </w:pPr>
            <w:r>
              <w:t>按照序时进度完成资金支付</w:t>
            </w:r>
          </w:p>
        </w:tc>
        <w:tc>
          <w:tcPr>
            <w:tcW w:w="2268" w:type="dxa"/>
            <w:vAlign w:val="center"/>
          </w:tcPr>
          <w:p w14:paraId="078D8736">
            <w:pPr>
              <w:pStyle w:val="13"/>
            </w:pPr>
            <w:r>
              <w:t>100%</w:t>
            </w:r>
          </w:p>
        </w:tc>
        <w:tc>
          <w:tcPr>
            <w:tcW w:w="1276" w:type="dxa"/>
            <w:vAlign w:val="center"/>
          </w:tcPr>
          <w:p w14:paraId="4944BC7A">
            <w:pPr>
              <w:pStyle w:val="13"/>
            </w:pPr>
            <w:r>
              <w:t>城乡义务教育公用经费管理办法</w:t>
            </w:r>
          </w:p>
        </w:tc>
      </w:tr>
      <w:tr w14:paraId="1CEEB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F06C1">
            <w:pPr>
              <w:pStyle w:val="12"/>
            </w:pPr>
            <w:r>
              <w:t>效益指标</w:t>
            </w:r>
          </w:p>
        </w:tc>
        <w:tc>
          <w:tcPr>
            <w:tcW w:w="2268" w:type="dxa"/>
            <w:vAlign w:val="center"/>
          </w:tcPr>
          <w:p w14:paraId="1FC3CA1A">
            <w:pPr>
              <w:pStyle w:val="13"/>
            </w:pPr>
            <w:r>
              <w:t>可持续影响指标</w:t>
            </w:r>
          </w:p>
        </w:tc>
        <w:tc>
          <w:tcPr>
            <w:tcW w:w="2835" w:type="dxa"/>
            <w:vAlign w:val="center"/>
          </w:tcPr>
          <w:p w14:paraId="32691070">
            <w:pPr>
              <w:pStyle w:val="13"/>
            </w:pPr>
            <w:r>
              <w:t>学校运转得到提高</w:t>
            </w:r>
          </w:p>
        </w:tc>
        <w:tc>
          <w:tcPr>
            <w:tcW w:w="5386" w:type="dxa"/>
            <w:vAlign w:val="center"/>
          </w:tcPr>
          <w:p w14:paraId="5A19E399">
            <w:pPr>
              <w:pStyle w:val="13"/>
            </w:pPr>
            <w:r>
              <w:t>学生受教育年限</w:t>
            </w:r>
          </w:p>
        </w:tc>
        <w:tc>
          <w:tcPr>
            <w:tcW w:w="2268" w:type="dxa"/>
            <w:vAlign w:val="center"/>
          </w:tcPr>
          <w:p w14:paraId="5282F357">
            <w:pPr>
              <w:pStyle w:val="13"/>
            </w:pPr>
            <w:r>
              <w:t>6年</w:t>
            </w:r>
          </w:p>
        </w:tc>
        <w:tc>
          <w:tcPr>
            <w:tcW w:w="1276" w:type="dxa"/>
            <w:vAlign w:val="center"/>
          </w:tcPr>
          <w:p w14:paraId="5AFB5D44">
            <w:pPr>
              <w:pStyle w:val="13"/>
            </w:pPr>
            <w:r>
              <w:t>城乡义务教育公用经费管理办法</w:t>
            </w:r>
          </w:p>
        </w:tc>
      </w:tr>
      <w:tr w14:paraId="601E6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2DBE4C">
            <w:pPr>
              <w:pStyle w:val="12"/>
            </w:pPr>
            <w:r>
              <w:t>满意度指标</w:t>
            </w:r>
          </w:p>
        </w:tc>
        <w:tc>
          <w:tcPr>
            <w:tcW w:w="2268" w:type="dxa"/>
            <w:vAlign w:val="center"/>
          </w:tcPr>
          <w:p w14:paraId="4B9ED8A1">
            <w:pPr>
              <w:pStyle w:val="13"/>
            </w:pPr>
            <w:r>
              <w:t>服务对象满意度指标</w:t>
            </w:r>
          </w:p>
        </w:tc>
        <w:tc>
          <w:tcPr>
            <w:tcW w:w="2835" w:type="dxa"/>
            <w:vAlign w:val="center"/>
          </w:tcPr>
          <w:p w14:paraId="04C47394">
            <w:pPr>
              <w:pStyle w:val="13"/>
            </w:pPr>
            <w:r>
              <w:t>服务对象满意度</w:t>
            </w:r>
          </w:p>
        </w:tc>
        <w:tc>
          <w:tcPr>
            <w:tcW w:w="5386" w:type="dxa"/>
            <w:vAlign w:val="center"/>
          </w:tcPr>
          <w:p w14:paraId="77F3E047">
            <w:pPr>
              <w:pStyle w:val="13"/>
            </w:pPr>
            <w:r>
              <w:t>学校老师和学生满意度</w:t>
            </w:r>
          </w:p>
        </w:tc>
        <w:tc>
          <w:tcPr>
            <w:tcW w:w="2268" w:type="dxa"/>
            <w:vAlign w:val="center"/>
          </w:tcPr>
          <w:p w14:paraId="2D278E88">
            <w:pPr>
              <w:pStyle w:val="13"/>
            </w:pPr>
            <w:r>
              <w:t>≥95%</w:t>
            </w:r>
          </w:p>
        </w:tc>
        <w:tc>
          <w:tcPr>
            <w:tcW w:w="1276" w:type="dxa"/>
            <w:vAlign w:val="center"/>
          </w:tcPr>
          <w:p w14:paraId="5CB4FCFD">
            <w:pPr>
              <w:pStyle w:val="13"/>
            </w:pPr>
            <w:r>
              <w:t>问卷调查</w:t>
            </w:r>
          </w:p>
        </w:tc>
      </w:tr>
    </w:tbl>
    <w:p w14:paraId="3A7C3798">
      <w:pPr>
        <w:sectPr>
          <w:pgSz w:w="16840" w:h="11900" w:orient="landscape"/>
          <w:pgMar w:top="1361" w:right="1020" w:bottom="1134" w:left="1020" w:header="720" w:footer="720" w:gutter="0"/>
          <w:cols w:space="720" w:num="1"/>
        </w:sectPr>
      </w:pPr>
    </w:p>
    <w:p w14:paraId="14AD8822">
      <w:pPr>
        <w:spacing w:before="0" w:after="0"/>
        <w:ind w:firstLine="560"/>
        <w:jc w:val="left"/>
        <w:outlineLvl w:val="9"/>
      </w:pPr>
      <w:r>
        <w:rPr>
          <w:rFonts w:ascii="方正仿宋_GBK" w:hAnsi="方正仿宋_GBK" w:eastAsia="方正仿宋_GBK" w:cs="方正仿宋_GBK"/>
          <w:b/>
          <w:color w:val="000000"/>
          <w:sz w:val="28"/>
        </w:rPr>
        <w:t>13、冀财教[2024]142号/省级/2025年学前发展资金/魏庄校区学前教育公用经费绩效目标表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FF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24CE3">
            <w:pPr>
              <w:pStyle w:val="14"/>
            </w:pPr>
            <w:r>
              <w:t>单位：万元</w:t>
            </w:r>
          </w:p>
        </w:tc>
      </w:tr>
      <w:tr w14:paraId="2225A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845BF">
            <w:pPr>
              <w:pStyle w:val="11"/>
            </w:pPr>
            <w:r>
              <w:t>项目编码</w:t>
            </w:r>
          </w:p>
        </w:tc>
        <w:tc>
          <w:tcPr>
            <w:tcW w:w="5103" w:type="dxa"/>
            <w:gridSpan w:val="2"/>
            <w:vAlign w:val="center"/>
          </w:tcPr>
          <w:p w14:paraId="596E0150">
            <w:pPr>
              <w:pStyle w:val="13"/>
            </w:pPr>
            <w:r>
              <w:t>13052525P008757100027</w:t>
            </w:r>
          </w:p>
        </w:tc>
        <w:tc>
          <w:tcPr>
            <w:tcW w:w="2835" w:type="dxa"/>
            <w:vAlign w:val="center"/>
          </w:tcPr>
          <w:p w14:paraId="7B1C28E4">
            <w:pPr>
              <w:pStyle w:val="11"/>
            </w:pPr>
            <w:r>
              <w:t>项目名称</w:t>
            </w:r>
          </w:p>
        </w:tc>
        <w:tc>
          <w:tcPr>
            <w:tcW w:w="6095" w:type="dxa"/>
            <w:gridSpan w:val="3"/>
            <w:vAlign w:val="center"/>
          </w:tcPr>
          <w:p w14:paraId="121FE5A7">
            <w:pPr>
              <w:pStyle w:val="13"/>
            </w:pPr>
            <w:r>
              <w:t>冀财教[2024]142号/省级/2025年学前发展资金/魏庄校区学前教育公用经费</w:t>
            </w:r>
          </w:p>
        </w:tc>
      </w:tr>
      <w:tr w14:paraId="19A91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2D1C2">
            <w:pPr>
              <w:pStyle w:val="11"/>
            </w:pPr>
            <w:r>
              <w:t>预算规模及资金用途</w:t>
            </w:r>
          </w:p>
        </w:tc>
        <w:tc>
          <w:tcPr>
            <w:tcW w:w="2268" w:type="dxa"/>
            <w:vAlign w:val="center"/>
          </w:tcPr>
          <w:p w14:paraId="38150D65">
            <w:pPr>
              <w:pStyle w:val="11"/>
            </w:pPr>
            <w:r>
              <w:t>预算数</w:t>
            </w:r>
          </w:p>
        </w:tc>
        <w:tc>
          <w:tcPr>
            <w:tcW w:w="2835" w:type="dxa"/>
            <w:vAlign w:val="center"/>
          </w:tcPr>
          <w:p w14:paraId="4F694AAC">
            <w:pPr>
              <w:pStyle w:val="13"/>
            </w:pPr>
            <w:r>
              <w:t>5.10</w:t>
            </w:r>
          </w:p>
        </w:tc>
        <w:tc>
          <w:tcPr>
            <w:tcW w:w="2835" w:type="dxa"/>
            <w:vAlign w:val="center"/>
          </w:tcPr>
          <w:p w14:paraId="6880A2F1">
            <w:pPr>
              <w:pStyle w:val="11"/>
            </w:pPr>
            <w:r>
              <w:t>其中：财政    资金</w:t>
            </w:r>
          </w:p>
        </w:tc>
        <w:tc>
          <w:tcPr>
            <w:tcW w:w="2551" w:type="dxa"/>
            <w:vAlign w:val="center"/>
          </w:tcPr>
          <w:p w14:paraId="31928010">
            <w:pPr>
              <w:pStyle w:val="13"/>
            </w:pPr>
            <w:r>
              <w:t>5.10</w:t>
            </w:r>
          </w:p>
        </w:tc>
        <w:tc>
          <w:tcPr>
            <w:tcW w:w="2268" w:type="dxa"/>
            <w:vAlign w:val="center"/>
          </w:tcPr>
          <w:p w14:paraId="16A2B7C2">
            <w:pPr>
              <w:pStyle w:val="11"/>
            </w:pPr>
            <w:r>
              <w:t>其他资金</w:t>
            </w:r>
          </w:p>
        </w:tc>
        <w:tc>
          <w:tcPr>
            <w:tcW w:w="1276" w:type="dxa"/>
            <w:vAlign w:val="center"/>
          </w:tcPr>
          <w:p w14:paraId="61BFFC68">
            <w:pPr>
              <w:pStyle w:val="13"/>
            </w:pPr>
            <w:r>
              <w:t xml:space="preserve"> </w:t>
            </w:r>
          </w:p>
        </w:tc>
      </w:tr>
      <w:tr w14:paraId="44768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18DA2"/>
        </w:tc>
        <w:tc>
          <w:tcPr>
            <w:tcW w:w="14033" w:type="dxa"/>
            <w:gridSpan w:val="6"/>
            <w:vAlign w:val="center"/>
          </w:tcPr>
          <w:p w14:paraId="5A1A53CA">
            <w:pPr>
              <w:pStyle w:val="13"/>
            </w:pPr>
            <w:r>
              <w:t>保障幼儿园正常运转，完成教育教学活动和其他日常工作任务等方面的费用支出。</w:t>
            </w:r>
          </w:p>
        </w:tc>
      </w:tr>
      <w:tr w14:paraId="76F87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1FCA2">
            <w:pPr>
              <w:pStyle w:val="11"/>
            </w:pPr>
            <w:r>
              <w:t>资金支出计划（%）</w:t>
            </w:r>
          </w:p>
        </w:tc>
        <w:tc>
          <w:tcPr>
            <w:tcW w:w="5103" w:type="dxa"/>
            <w:gridSpan w:val="2"/>
            <w:vAlign w:val="center"/>
          </w:tcPr>
          <w:p w14:paraId="67D0B64D">
            <w:pPr>
              <w:pStyle w:val="11"/>
            </w:pPr>
            <w:r>
              <w:t>3月底</w:t>
            </w:r>
          </w:p>
        </w:tc>
        <w:tc>
          <w:tcPr>
            <w:tcW w:w="2835" w:type="dxa"/>
            <w:vAlign w:val="center"/>
          </w:tcPr>
          <w:p w14:paraId="4199AC6B">
            <w:pPr>
              <w:pStyle w:val="11"/>
            </w:pPr>
            <w:r>
              <w:t>6月底</w:t>
            </w:r>
          </w:p>
        </w:tc>
        <w:tc>
          <w:tcPr>
            <w:tcW w:w="2551" w:type="dxa"/>
            <w:vAlign w:val="center"/>
          </w:tcPr>
          <w:p w14:paraId="1C64503F">
            <w:pPr>
              <w:pStyle w:val="11"/>
            </w:pPr>
            <w:r>
              <w:t>10月底</w:t>
            </w:r>
          </w:p>
        </w:tc>
        <w:tc>
          <w:tcPr>
            <w:tcW w:w="3544" w:type="dxa"/>
            <w:gridSpan w:val="2"/>
            <w:vAlign w:val="center"/>
          </w:tcPr>
          <w:p w14:paraId="03557114">
            <w:pPr>
              <w:pStyle w:val="11"/>
            </w:pPr>
            <w:r>
              <w:t>12月底</w:t>
            </w:r>
          </w:p>
        </w:tc>
      </w:tr>
      <w:tr w14:paraId="5ED85B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DEBD41"/>
        </w:tc>
        <w:tc>
          <w:tcPr>
            <w:tcW w:w="5103" w:type="dxa"/>
            <w:gridSpan w:val="2"/>
            <w:vAlign w:val="center"/>
          </w:tcPr>
          <w:p w14:paraId="668118A0">
            <w:pPr>
              <w:pStyle w:val="12"/>
            </w:pPr>
            <w:r>
              <w:t>25%</w:t>
            </w:r>
          </w:p>
        </w:tc>
        <w:tc>
          <w:tcPr>
            <w:tcW w:w="2835" w:type="dxa"/>
            <w:vAlign w:val="center"/>
          </w:tcPr>
          <w:p w14:paraId="34300A4C">
            <w:pPr>
              <w:pStyle w:val="12"/>
            </w:pPr>
            <w:r>
              <w:t>50%</w:t>
            </w:r>
          </w:p>
        </w:tc>
        <w:tc>
          <w:tcPr>
            <w:tcW w:w="2551" w:type="dxa"/>
            <w:vAlign w:val="center"/>
          </w:tcPr>
          <w:p w14:paraId="6F463EFC">
            <w:pPr>
              <w:pStyle w:val="12"/>
            </w:pPr>
            <w:r>
              <w:t>75%</w:t>
            </w:r>
          </w:p>
        </w:tc>
        <w:tc>
          <w:tcPr>
            <w:tcW w:w="3544" w:type="dxa"/>
            <w:gridSpan w:val="2"/>
            <w:vAlign w:val="center"/>
          </w:tcPr>
          <w:p w14:paraId="2753DB60">
            <w:pPr>
              <w:pStyle w:val="12"/>
            </w:pPr>
            <w:r>
              <w:t>100%</w:t>
            </w:r>
          </w:p>
        </w:tc>
      </w:tr>
      <w:tr w14:paraId="62C50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09B580">
            <w:pPr>
              <w:pStyle w:val="11"/>
            </w:pPr>
            <w:r>
              <w:t>绩效目标</w:t>
            </w:r>
          </w:p>
        </w:tc>
        <w:tc>
          <w:tcPr>
            <w:tcW w:w="14033" w:type="dxa"/>
            <w:gridSpan w:val="6"/>
            <w:vAlign w:val="center"/>
          </w:tcPr>
          <w:p w14:paraId="16530119">
            <w:pPr>
              <w:pStyle w:val="13"/>
            </w:pPr>
            <w:r>
              <w:t>1.保障幼儿园正常运转，完成教育教学活动和其他日常工作任务等方面的费用支出。</w:t>
            </w:r>
          </w:p>
          <w:p w14:paraId="474E7052">
            <w:pPr>
              <w:pStyle w:val="13"/>
            </w:pPr>
            <w:r>
              <w:t>2.按季度分批次拨付公用经费资金，资金拨付率达到100%。</w:t>
            </w:r>
          </w:p>
        </w:tc>
      </w:tr>
    </w:tbl>
    <w:p w14:paraId="5B7DE1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441CD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9AFFA">
            <w:pPr>
              <w:pStyle w:val="11"/>
            </w:pPr>
            <w:r>
              <w:t>一级指标</w:t>
            </w:r>
          </w:p>
        </w:tc>
        <w:tc>
          <w:tcPr>
            <w:tcW w:w="2268" w:type="dxa"/>
            <w:vAlign w:val="center"/>
          </w:tcPr>
          <w:p w14:paraId="1CCD2874">
            <w:pPr>
              <w:pStyle w:val="11"/>
            </w:pPr>
            <w:r>
              <w:t>二级指标</w:t>
            </w:r>
          </w:p>
        </w:tc>
        <w:tc>
          <w:tcPr>
            <w:tcW w:w="2835" w:type="dxa"/>
            <w:vAlign w:val="center"/>
          </w:tcPr>
          <w:p w14:paraId="21EA647C">
            <w:pPr>
              <w:pStyle w:val="11"/>
            </w:pPr>
            <w:r>
              <w:t>三级指标</w:t>
            </w:r>
          </w:p>
        </w:tc>
        <w:tc>
          <w:tcPr>
            <w:tcW w:w="5386" w:type="dxa"/>
            <w:vAlign w:val="center"/>
          </w:tcPr>
          <w:p w14:paraId="16C0E49A">
            <w:pPr>
              <w:pStyle w:val="11"/>
            </w:pPr>
            <w:r>
              <w:t>绩效指标描述</w:t>
            </w:r>
          </w:p>
        </w:tc>
        <w:tc>
          <w:tcPr>
            <w:tcW w:w="1613" w:type="dxa"/>
            <w:vAlign w:val="center"/>
          </w:tcPr>
          <w:p w14:paraId="147A9F2A">
            <w:pPr>
              <w:pStyle w:val="11"/>
            </w:pPr>
            <w:r>
              <w:t>指标值</w:t>
            </w:r>
          </w:p>
        </w:tc>
        <w:tc>
          <w:tcPr>
            <w:tcW w:w="1931" w:type="dxa"/>
            <w:vAlign w:val="center"/>
          </w:tcPr>
          <w:p w14:paraId="5E960C9F">
            <w:pPr>
              <w:pStyle w:val="11"/>
            </w:pPr>
            <w:r>
              <w:t>指标值确定依据</w:t>
            </w:r>
          </w:p>
        </w:tc>
      </w:tr>
      <w:tr w14:paraId="446D4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BD8B1">
            <w:pPr>
              <w:pStyle w:val="12"/>
            </w:pPr>
            <w:r>
              <w:t>产出指标</w:t>
            </w:r>
          </w:p>
        </w:tc>
        <w:tc>
          <w:tcPr>
            <w:tcW w:w="2268" w:type="dxa"/>
            <w:vAlign w:val="center"/>
          </w:tcPr>
          <w:p w14:paraId="4853972B">
            <w:pPr>
              <w:pStyle w:val="13"/>
            </w:pPr>
            <w:r>
              <w:t>数量指标</w:t>
            </w:r>
          </w:p>
        </w:tc>
        <w:tc>
          <w:tcPr>
            <w:tcW w:w="2835" w:type="dxa"/>
            <w:vAlign w:val="center"/>
          </w:tcPr>
          <w:p w14:paraId="469EAC04">
            <w:pPr>
              <w:pStyle w:val="13"/>
            </w:pPr>
            <w:r>
              <w:t>适龄在园生</w:t>
            </w:r>
          </w:p>
        </w:tc>
        <w:tc>
          <w:tcPr>
            <w:tcW w:w="5386" w:type="dxa"/>
            <w:vAlign w:val="center"/>
          </w:tcPr>
          <w:p w14:paraId="1DBDFECD">
            <w:pPr>
              <w:pStyle w:val="13"/>
            </w:pPr>
            <w:r>
              <w:t>适龄在园学生人数</w:t>
            </w:r>
          </w:p>
        </w:tc>
        <w:tc>
          <w:tcPr>
            <w:tcW w:w="1613" w:type="dxa"/>
            <w:vAlign w:val="center"/>
          </w:tcPr>
          <w:p w14:paraId="0462A254">
            <w:pPr>
              <w:pStyle w:val="13"/>
            </w:pPr>
            <w:r>
              <w:t>340人</w:t>
            </w:r>
          </w:p>
        </w:tc>
        <w:tc>
          <w:tcPr>
            <w:tcW w:w="1931" w:type="dxa"/>
            <w:vAlign w:val="center"/>
          </w:tcPr>
          <w:p w14:paraId="071F5B4F">
            <w:pPr>
              <w:pStyle w:val="13"/>
            </w:pPr>
            <w:r>
              <w:t>支持学前教育发展资金管理方法</w:t>
            </w:r>
          </w:p>
        </w:tc>
      </w:tr>
      <w:tr w14:paraId="29933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DB26B"/>
        </w:tc>
        <w:tc>
          <w:tcPr>
            <w:tcW w:w="2268" w:type="dxa"/>
            <w:vAlign w:val="center"/>
          </w:tcPr>
          <w:p w14:paraId="06AFF098">
            <w:pPr>
              <w:pStyle w:val="13"/>
            </w:pPr>
            <w:r>
              <w:t>质量指标</w:t>
            </w:r>
          </w:p>
        </w:tc>
        <w:tc>
          <w:tcPr>
            <w:tcW w:w="2835" w:type="dxa"/>
            <w:vAlign w:val="center"/>
          </w:tcPr>
          <w:p w14:paraId="49DD3994">
            <w:pPr>
              <w:pStyle w:val="13"/>
            </w:pPr>
            <w:r>
              <w:t>预算控制率</w:t>
            </w:r>
          </w:p>
        </w:tc>
        <w:tc>
          <w:tcPr>
            <w:tcW w:w="5386" w:type="dxa"/>
            <w:vAlign w:val="center"/>
          </w:tcPr>
          <w:p w14:paraId="7F3436EE">
            <w:pPr>
              <w:pStyle w:val="13"/>
            </w:pPr>
            <w:r>
              <w:t>预算执行</w:t>
            </w:r>
          </w:p>
        </w:tc>
        <w:tc>
          <w:tcPr>
            <w:tcW w:w="1613" w:type="dxa"/>
            <w:vAlign w:val="center"/>
          </w:tcPr>
          <w:p w14:paraId="37DC1531">
            <w:pPr>
              <w:pStyle w:val="13"/>
            </w:pPr>
            <w:r>
              <w:t>≥95%</w:t>
            </w:r>
          </w:p>
        </w:tc>
        <w:tc>
          <w:tcPr>
            <w:tcW w:w="1931" w:type="dxa"/>
            <w:vAlign w:val="center"/>
          </w:tcPr>
          <w:p w14:paraId="7EABC698">
            <w:pPr>
              <w:pStyle w:val="13"/>
            </w:pPr>
            <w:r>
              <w:t>支持学前教育发展资金管理方法</w:t>
            </w:r>
          </w:p>
        </w:tc>
      </w:tr>
      <w:tr w14:paraId="5BBA9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9B487"/>
        </w:tc>
        <w:tc>
          <w:tcPr>
            <w:tcW w:w="2268" w:type="dxa"/>
            <w:vAlign w:val="center"/>
          </w:tcPr>
          <w:p w14:paraId="244E2900">
            <w:pPr>
              <w:pStyle w:val="13"/>
            </w:pPr>
            <w:r>
              <w:t>时效指标</w:t>
            </w:r>
          </w:p>
        </w:tc>
        <w:tc>
          <w:tcPr>
            <w:tcW w:w="2835" w:type="dxa"/>
            <w:vAlign w:val="center"/>
          </w:tcPr>
          <w:p w14:paraId="0D0F685A">
            <w:pPr>
              <w:pStyle w:val="13"/>
            </w:pPr>
            <w:r>
              <w:t>资金支付率</w:t>
            </w:r>
          </w:p>
        </w:tc>
        <w:tc>
          <w:tcPr>
            <w:tcW w:w="5386" w:type="dxa"/>
            <w:vAlign w:val="center"/>
          </w:tcPr>
          <w:p w14:paraId="4F72246E">
            <w:pPr>
              <w:pStyle w:val="13"/>
            </w:pPr>
            <w:r>
              <w:t>按照序时进度完成资金支付</w:t>
            </w:r>
          </w:p>
        </w:tc>
        <w:tc>
          <w:tcPr>
            <w:tcW w:w="1613" w:type="dxa"/>
            <w:vAlign w:val="center"/>
          </w:tcPr>
          <w:p w14:paraId="29A9B9EC">
            <w:pPr>
              <w:pStyle w:val="13"/>
            </w:pPr>
            <w:r>
              <w:t>≥100%</w:t>
            </w:r>
          </w:p>
        </w:tc>
        <w:tc>
          <w:tcPr>
            <w:tcW w:w="1931" w:type="dxa"/>
            <w:vAlign w:val="center"/>
          </w:tcPr>
          <w:p w14:paraId="310B28B1">
            <w:pPr>
              <w:pStyle w:val="13"/>
            </w:pPr>
            <w:r>
              <w:t>支持学前教育发展资金管理方法</w:t>
            </w:r>
          </w:p>
        </w:tc>
      </w:tr>
      <w:tr w14:paraId="170CD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BD89D"/>
        </w:tc>
        <w:tc>
          <w:tcPr>
            <w:tcW w:w="2268" w:type="dxa"/>
            <w:vAlign w:val="center"/>
          </w:tcPr>
          <w:p w14:paraId="48B157B5">
            <w:pPr>
              <w:pStyle w:val="13"/>
            </w:pPr>
            <w:r>
              <w:t>成本指标</w:t>
            </w:r>
          </w:p>
        </w:tc>
        <w:tc>
          <w:tcPr>
            <w:tcW w:w="2835" w:type="dxa"/>
            <w:vAlign w:val="center"/>
          </w:tcPr>
          <w:p w14:paraId="17EFD18B">
            <w:pPr>
              <w:pStyle w:val="13"/>
            </w:pPr>
            <w:r>
              <w:t>生均拨款标准</w:t>
            </w:r>
          </w:p>
        </w:tc>
        <w:tc>
          <w:tcPr>
            <w:tcW w:w="5386" w:type="dxa"/>
            <w:vAlign w:val="center"/>
          </w:tcPr>
          <w:p w14:paraId="66B63376">
            <w:pPr>
              <w:pStyle w:val="13"/>
            </w:pPr>
            <w:r>
              <w:t>学前：（基本标准600元/生/学年）</w:t>
            </w:r>
          </w:p>
        </w:tc>
        <w:tc>
          <w:tcPr>
            <w:tcW w:w="1613" w:type="dxa"/>
            <w:vAlign w:val="center"/>
          </w:tcPr>
          <w:p w14:paraId="2022EB85">
            <w:pPr>
              <w:pStyle w:val="13"/>
            </w:pPr>
            <w:r>
              <w:t>600元</w:t>
            </w:r>
          </w:p>
        </w:tc>
        <w:tc>
          <w:tcPr>
            <w:tcW w:w="1931" w:type="dxa"/>
            <w:vAlign w:val="center"/>
          </w:tcPr>
          <w:p w14:paraId="63559AD9">
            <w:pPr>
              <w:pStyle w:val="13"/>
            </w:pPr>
            <w:r>
              <w:t>支持学前教育发展资金管理方法</w:t>
            </w:r>
          </w:p>
        </w:tc>
      </w:tr>
      <w:tr w14:paraId="1BD21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51FC85">
            <w:pPr>
              <w:pStyle w:val="12"/>
            </w:pPr>
            <w:r>
              <w:t>效益指标</w:t>
            </w:r>
          </w:p>
        </w:tc>
        <w:tc>
          <w:tcPr>
            <w:tcW w:w="2268" w:type="dxa"/>
            <w:vAlign w:val="center"/>
          </w:tcPr>
          <w:p w14:paraId="2F615CE6">
            <w:pPr>
              <w:pStyle w:val="13"/>
            </w:pPr>
            <w:r>
              <w:t>可持续影响指标</w:t>
            </w:r>
          </w:p>
        </w:tc>
        <w:tc>
          <w:tcPr>
            <w:tcW w:w="2835" w:type="dxa"/>
            <w:vAlign w:val="center"/>
          </w:tcPr>
          <w:p w14:paraId="63EFD4E9">
            <w:pPr>
              <w:pStyle w:val="13"/>
            </w:pPr>
            <w:r>
              <w:t>学校运转得到提升</w:t>
            </w:r>
          </w:p>
        </w:tc>
        <w:tc>
          <w:tcPr>
            <w:tcW w:w="5386" w:type="dxa"/>
            <w:vAlign w:val="center"/>
          </w:tcPr>
          <w:p w14:paraId="36249E46">
            <w:pPr>
              <w:pStyle w:val="13"/>
            </w:pPr>
            <w:r>
              <w:t>幼儿受教育年限</w:t>
            </w:r>
          </w:p>
        </w:tc>
        <w:tc>
          <w:tcPr>
            <w:tcW w:w="1613" w:type="dxa"/>
            <w:vAlign w:val="center"/>
          </w:tcPr>
          <w:p w14:paraId="6AFBB6C5">
            <w:pPr>
              <w:pStyle w:val="13"/>
            </w:pPr>
            <w:r>
              <w:t>3年</w:t>
            </w:r>
          </w:p>
        </w:tc>
        <w:tc>
          <w:tcPr>
            <w:tcW w:w="1931" w:type="dxa"/>
            <w:vAlign w:val="center"/>
          </w:tcPr>
          <w:p w14:paraId="2DC2C906">
            <w:pPr>
              <w:pStyle w:val="13"/>
            </w:pPr>
            <w:r>
              <w:t>支持学前教育发展资金管理方法</w:t>
            </w:r>
          </w:p>
        </w:tc>
      </w:tr>
      <w:tr w14:paraId="41177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E17879">
            <w:pPr>
              <w:pStyle w:val="12"/>
            </w:pPr>
            <w:r>
              <w:t>满意度指标</w:t>
            </w:r>
          </w:p>
        </w:tc>
        <w:tc>
          <w:tcPr>
            <w:tcW w:w="2268" w:type="dxa"/>
            <w:vAlign w:val="center"/>
          </w:tcPr>
          <w:p w14:paraId="41ABC3AD">
            <w:pPr>
              <w:pStyle w:val="13"/>
            </w:pPr>
            <w:r>
              <w:t>服务对象满意度指标</w:t>
            </w:r>
          </w:p>
        </w:tc>
        <w:tc>
          <w:tcPr>
            <w:tcW w:w="2835" w:type="dxa"/>
            <w:vAlign w:val="center"/>
          </w:tcPr>
          <w:p w14:paraId="364D5223">
            <w:pPr>
              <w:pStyle w:val="13"/>
            </w:pPr>
            <w:r>
              <w:t>受益学生家长及调查满意度</w:t>
            </w:r>
          </w:p>
        </w:tc>
        <w:tc>
          <w:tcPr>
            <w:tcW w:w="5386" w:type="dxa"/>
            <w:vAlign w:val="center"/>
          </w:tcPr>
          <w:p w14:paraId="0588C125">
            <w:pPr>
              <w:pStyle w:val="13"/>
            </w:pPr>
            <w:r>
              <w:t>学生、教师及家长对学校保教保育工作满意度情况</w:t>
            </w:r>
          </w:p>
        </w:tc>
        <w:tc>
          <w:tcPr>
            <w:tcW w:w="1613" w:type="dxa"/>
            <w:vAlign w:val="center"/>
          </w:tcPr>
          <w:p w14:paraId="31A6B72F">
            <w:pPr>
              <w:pStyle w:val="13"/>
            </w:pPr>
            <w:r>
              <w:t>≥95%</w:t>
            </w:r>
          </w:p>
        </w:tc>
        <w:tc>
          <w:tcPr>
            <w:tcW w:w="1931" w:type="dxa"/>
            <w:vAlign w:val="center"/>
          </w:tcPr>
          <w:p w14:paraId="7959922B">
            <w:pPr>
              <w:pStyle w:val="13"/>
            </w:pPr>
            <w:r>
              <w:t>支持学前教育发展资金管理方法</w:t>
            </w:r>
          </w:p>
        </w:tc>
      </w:tr>
    </w:tbl>
    <w:p w14:paraId="0C90DA01">
      <w:pPr>
        <w:sectPr>
          <w:pgSz w:w="16840" w:h="11900" w:orient="landscape"/>
          <w:pgMar w:top="1361" w:right="1020" w:bottom="1134" w:left="1020" w:header="720" w:footer="720" w:gutter="0"/>
          <w:cols w:space="720" w:num="1"/>
        </w:sectPr>
      </w:pPr>
    </w:p>
    <w:p w14:paraId="7252FB24">
      <w:pPr>
        <w:spacing w:before="0" w:after="0"/>
        <w:ind w:firstLine="560"/>
        <w:jc w:val="left"/>
        <w:outlineLvl w:val="9"/>
      </w:pPr>
      <w:r>
        <w:rPr>
          <w:rFonts w:ascii="方正仿宋_GBK" w:hAnsi="方正仿宋_GBK" w:eastAsia="方正仿宋_GBK" w:cs="方正仿宋_GBK"/>
          <w:b/>
          <w:color w:val="000000"/>
          <w:sz w:val="28"/>
        </w:rPr>
        <w:t>14、冀财教[2024]142号/省级/2025年学前发展资金/魏庄校区学前教育幼儿资助绩效目标表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9C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0F04D">
            <w:pPr>
              <w:pStyle w:val="14"/>
            </w:pPr>
            <w:r>
              <w:t>单位：万元</w:t>
            </w:r>
          </w:p>
        </w:tc>
      </w:tr>
      <w:tr w14:paraId="3CD11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C2CCC">
            <w:pPr>
              <w:pStyle w:val="11"/>
            </w:pPr>
            <w:r>
              <w:t>项目编码</w:t>
            </w:r>
          </w:p>
        </w:tc>
        <w:tc>
          <w:tcPr>
            <w:tcW w:w="5103" w:type="dxa"/>
            <w:gridSpan w:val="2"/>
            <w:vAlign w:val="center"/>
          </w:tcPr>
          <w:p w14:paraId="52BF3793">
            <w:pPr>
              <w:pStyle w:val="13"/>
            </w:pPr>
            <w:r>
              <w:t>13052525P00000210066H</w:t>
            </w:r>
          </w:p>
        </w:tc>
        <w:tc>
          <w:tcPr>
            <w:tcW w:w="2835" w:type="dxa"/>
            <w:vAlign w:val="center"/>
          </w:tcPr>
          <w:p w14:paraId="0B554C82">
            <w:pPr>
              <w:pStyle w:val="11"/>
            </w:pPr>
            <w:r>
              <w:t>项目名称</w:t>
            </w:r>
          </w:p>
        </w:tc>
        <w:tc>
          <w:tcPr>
            <w:tcW w:w="6095" w:type="dxa"/>
            <w:gridSpan w:val="3"/>
            <w:vAlign w:val="center"/>
          </w:tcPr>
          <w:p w14:paraId="463DC26C">
            <w:pPr>
              <w:pStyle w:val="13"/>
            </w:pPr>
            <w:r>
              <w:t>冀财教[2024]142号/省级/2025年学前发展资金/魏庄校区学前教育幼儿资助</w:t>
            </w:r>
          </w:p>
        </w:tc>
      </w:tr>
      <w:tr w14:paraId="58560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CD708">
            <w:pPr>
              <w:pStyle w:val="11"/>
            </w:pPr>
            <w:r>
              <w:t>预算规模及资金用途</w:t>
            </w:r>
          </w:p>
        </w:tc>
        <w:tc>
          <w:tcPr>
            <w:tcW w:w="2268" w:type="dxa"/>
            <w:vAlign w:val="center"/>
          </w:tcPr>
          <w:p w14:paraId="79346C7D">
            <w:pPr>
              <w:pStyle w:val="11"/>
            </w:pPr>
            <w:r>
              <w:t>预算数</w:t>
            </w:r>
          </w:p>
        </w:tc>
        <w:tc>
          <w:tcPr>
            <w:tcW w:w="2835" w:type="dxa"/>
            <w:vAlign w:val="center"/>
          </w:tcPr>
          <w:p w14:paraId="5A580733">
            <w:pPr>
              <w:pStyle w:val="13"/>
            </w:pPr>
            <w:r>
              <w:t>0.54</w:t>
            </w:r>
          </w:p>
        </w:tc>
        <w:tc>
          <w:tcPr>
            <w:tcW w:w="2835" w:type="dxa"/>
            <w:vAlign w:val="center"/>
          </w:tcPr>
          <w:p w14:paraId="0D9AEF7C">
            <w:pPr>
              <w:pStyle w:val="11"/>
            </w:pPr>
            <w:r>
              <w:t>其中：财政    资金</w:t>
            </w:r>
          </w:p>
        </w:tc>
        <w:tc>
          <w:tcPr>
            <w:tcW w:w="2551" w:type="dxa"/>
            <w:vAlign w:val="center"/>
          </w:tcPr>
          <w:p w14:paraId="1509DCA2">
            <w:pPr>
              <w:pStyle w:val="13"/>
            </w:pPr>
            <w:r>
              <w:t>0.54</w:t>
            </w:r>
          </w:p>
        </w:tc>
        <w:tc>
          <w:tcPr>
            <w:tcW w:w="2268" w:type="dxa"/>
            <w:vAlign w:val="center"/>
          </w:tcPr>
          <w:p w14:paraId="634CEB15">
            <w:pPr>
              <w:pStyle w:val="11"/>
            </w:pPr>
            <w:r>
              <w:t>其他资金</w:t>
            </w:r>
          </w:p>
        </w:tc>
        <w:tc>
          <w:tcPr>
            <w:tcW w:w="1276" w:type="dxa"/>
            <w:vAlign w:val="center"/>
          </w:tcPr>
          <w:p w14:paraId="3E45611A">
            <w:pPr>
              <w:pStyle w:val="13"/>
            </w:pPr>
            <w:r>
              <w:t xml:space="preserve"> </w:t>
            </w:r>
          </w:p>
        </w:tc>
      </w:tr>
      <w:tr w14:paraId="60043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EE6A6"/>
        </w:tc>
        <w:tc>
          <w:tcPr>
            <w:tcW w:w="14033" w:type="dxa"/>
            <w:gridSpan w:val="6"/>
            <w:vAlign w:val="center"/>
          </w:tcPr>
          <w:p w14:paraId="406E28FE">
            <w:pPr>
              <w:pStyle w:val="13"/>
            </w:pPr>
            <w:r>
              <w:t>保证本年度资助经费足额落实到位，符合享受资助条件的学生应助尽助。保障落实建档立卡及家庭经济困难儿童资助所需资金，确保建档立卡等家庭经济困难幼儿优先获得资助</w:t>
            </w:r>
          </w:p>
        </w:tc>
      </w:tr>
      <w:tr w14:paraId="19F6F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4C0FB">
            <w:pPr>
              <w:pStyle w:val="11"/>
            </w:pPr>
            <w:r>
              <w:t>资金支出计划（%）</w:t>
            </w:r>
          </w:p>
        </w:tc>
        <w:tc>
          <w:tcPr>
            <w:tcW w:w="5103" w:type="dxa"/>
            <w:gridSpan w:val="2"/>
            <w:vAlign w:val="center"/>
          </w:tcPr>
          <w:p w14:paraId="4F51C3FC">
            <w:pPr>
              <w:pStyle w:val="11"/>
            </w:pPr>
            <w:r>
              <w:t>3月底</w:t>
            </w:r>
          </w:p>
        </w:tc>
        <w:tc>
          <w:tcPr>
            <w:tcW w:w="2835" w:type="dxa"/>
            <w:vAlign w:val="center"/>
          </w:tcPr>
          <w:p w14:paraId="592FBFB3">
            <w:pPr>
              <w:pStyle w:val="11"/>
            </w:pPr>
            <w:r>
              <w:t>6月底</w:t>
            </w:r>
          </w:p>
        </w:tc>
        <w:tc>
          <w:tcPr>
            <w:tcW w:w="2551" w:type="dxa"/>
            <w:vAlign w:val="center"/>
          </w:tcPr>
          <w:p w14:paraId="78ACCE9E">
            <w:pPr>
              <w:pStyle w:val="11"/>
            </w:pPr>
            <w:r>
              <w:t>10月底</w:t>
            </w:r>
          </w:p>
        </w:tc>
        <w:tc>
          <w:tcPr>
            <w:tcW w:w="3544" w:type="dxa"/>
            <w:gridSpan w:val="2"/>
            <w:vAlign w:val="center"/>
          </w:tcPr>
          <w:p w14:paraId="17AFC894">
            <w:pPr>
              <w:pStyle w:val="11"/>
            </w:pPr>
            <w:r>
              <w:t>12月底</w:t>
            </w:r>
          </w:p>
        </w:tc>
      </w:tr>
      <w:tr w14:paraId="6A328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59D0E3"/>
        </w:tc>
        <w:tc>
          <w:tcPr>
            <w:tcW w:w="5103" w:type="dxa"/>
            <w:gridSpan w:val="2"/>
            <w:vAlign w:val="center"/>
          </w:tcPr>
          <w:p w14:paraId="0937908B">
            <w:pPr>
              <w:pStyle w:val="12"/>
            </w:pPr>
            <w:r>
              <w:t>25%</w:t>
            </w:r>
          </w:p>
        </w:tc>
        <w:tc>
          <w:tcPr>
            <w:tcW w:w="2835" w:type="dxa"/>
            <w:vAlign w:val="center"/>
          </w:tcPr>
          <w:p w14:paraId="6E9662B3">
            <w:pPr>
              <w:pStyle w:val="12"/>
            </w:pPr>
            <w:r>
              <w:t>50%</w:t>
            </w:r>
          </w:p>
        </w:tc>
        <w:tc>
          <w:tcPr>
            <w:tcW w:w="2551" w:type="dxa"/>
            <w:vAlign w:val="center"/>
          </w:tcPr>
          <w:p w14:paraId="260214D6">
            <w:pPr>
              <w:pStyle w:val="12"/>
            </w:pPr>
            <w:r>
              <w:t>75%</w:t>
            </w:r>
          </w:p>
        </w:tc>
        <w:tc>
          <w:tcPr>
            <w:tcW w:w="3544" w:type="dxa"/>
            <w:gridSpan w:val="2"/>
            <w:vAlign w:val="center"/>
          </w:tcPr>
          <w:p w14:paraId="22D885D4">
            <w:pPr>
              <w:pStyle w:val="12"/>
            </w:pPr>
            <w:r>
              <w:t>100%</w:t>
            </w:r>
          </w:p>
        </w:tc>
      </w:tr>
      <w:tr w14:paraId="59E5D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C4412">
            <w:pPr>
              <w:pStyle w:val="11"/>
            </w:pPr>
            <w:r>
              <w:t>绩效目标</w:t>
            </w:r>
          </w:p>
        </w:tc>
        <w:tc>
          <w:tcPr>
            <w:tcW w:w="14033" w:type="dxa"/>
            <w:gridSpan w:val="6"/>
            <w:vAlign w:val="center"/>
          </w:tcPr>
          <w:p w14:paraId="08D4D3C0">
            <w:pPr>
              <w:pStyle w:val="13"/>
            </w:pPr>
            <w:r>
              <w:t>1.保证本年度资助经费足额落实到位，符合享受资助条件的学生应助尽助。</w:t>
            </w:r>
          </w:p>
          <w:p w14:paraId="34E3C038">
            <w:pPr>
              <w:pStyle w:val="13"/>
            </w:pPr>
            <w:r>
              <w:t>2.保障落实建档立卡及家庭经济困难儿童资助所需资金，确保建档立卡等家庭经济困难幼儿优先获得资助</w:t>
            </w:r>
          </w:p>
        </w:tc>
      </w:tr>
    </w:tbl>
    <w:p w14:paraId="780D60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A6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193B1">
            <w:pPr>
              <w:pStyle w:val="11"/>
            </w:pPr>
            <w:r>
              <w:t>一级指标</w:t>
            </w:r>
          </w:p>
        </w:tc>
        <w:tc>
          <w:tcPr>
            <w:tcW w:w="2268" w:type="dxa"/>
            <w:vAlign w:val="center"/>
          </w:tcPr>
          <w:p w14:paraId="2040BB39">
            <w:pPr>
              <w:pStyle w:val="11"/>
            </w:pPr>
            <w:r>
              <w:t>二级指标</w:t>
            </w:r>
          </w:p>
        </w:tc>
        <w:tc>
          <w:tcPr>
            <w:tcW w:w="2835" w:type="dxa"/>
            <w:vAlign w:val="center"/>
          </w:tcPr>
          <w:p w14:paraId="00ECC979">
            <w:pPr>
              <w:pStyle w:val="11"/>
            </w:pPr>
            <w:r>
              <w:t>三级指标</w:t>
            </w:r>
          </w:p>
        </w:tc>
        <w:tc>
          <w:tcPr>
            <w:tcW w:w="5386" w:type="dxa"/>
            <w:vAlign w:val="center"/>
          </w:tcPr>
          <w:p w14:paraId="28407073">
            <w:pPr>
              <w:pStyle w:val="11"/>
            </w:pPr>
            <w:r>
              <w:t>绩效指标描述</w:t>
            </w:r>
          </w:p>
        </w:tc>
        <w:tc>
          <w:tcPr>
            <w:tcW w:w="2268" w:type="dxa"/>
            <w:vAlign w:val="center"/>
          </w:tcPr>
          <w:p w14:paraId="57293878">
            <w:pPr>
              <w:pStyle w:val="11"/>
            </w:pPr>
            <w:r>
              <w:t>指标值</w:t>
            </w:r>
          </w:p>
        </w:tc>
        <w:tc>
          <w:tcPr>
            <w:tcW w:w="1276" w:type="dxa"/>
            <w:vAlign w:val="center"/>
          </w:tcPr>
          <w:p w14:paraId="539A25AC">
            <w:pPr>
              <w:pStyle w:val="11"/>
            </w:pPr>
            <w:r>
              <w:t>指标值确定依据</w:t>
            </w:r>
          </w:p>
        </w:tc>
      </w:tr>
      <w:tr w14:paraId="6F822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C25BB">
            <w:pPr>
              <w:pStyle w:val="12"/>
            </w:pPr>
            <w:r>
              <w:t>产出指标</w:t>
            </w:r>
          </w:p>
        </w:tc>
        <w:tc>
          <w:tcPr>
            <w:tcW w:w="2268" w:type="dxa"/>
            <w:vAlign w:val="center"/>
          </w:tcPr>
          <w:p w14:paraId="098F9982">
            <w:pPr>
              <w:pStyle w:val="13"/>
            </w:pPr>
            <w:r>
              <w:t>数量指标</w:t>
            </w:r>
          </w:p>
        </w:tc>
        <w:tc>
          <w:tcPr>
            <w:tcW w:w="2835" w:type="dxa"/>
            <w:vAlign w:val="center"/>
          </w:tcPr>
          <w:p w14:paraId="58A85274">
            <w:pPr>
              <w:pStyle w:val="13"/>
            </w:pPr>
            <w:r>
              <w:t>幼儿资助比例</w:t>
            </w:r>
          </w:p>
        </w:tc>
        <w:tc>
          <w:tcPr>
            <w:tcW w:w="5386" w:type="dxa"/>
            <w:vAlign w:val="center"/>
          </w:tcPr>
          <w:p w14:paraId="5709550A">
            <w:pPr>
              <w:pStyle w:val="13"/>
            </w:pPr>
            <w:r>
              <w:t>按学前适龄在园儿童10%测算</w:t>
            </w:r>
          </w:p>
        </w:tc>
        <w:tc>
          <w:tcPr>
            <w:tcW w:w="2268" w:type="dxa"/>
            <w:vAlign w:val="center"/>
          </w:tcPr>
          <w:p w14:paraId="60D36DA0">
            <w:pPr>
              <w:pStyle w:val="13"/>
            </w:pPr>
            <w:r>
              <w:t>10%</w:t>
            </w:r>
          </w:p>
        </w:tc>
        <w:tc>
          <w:tcPr>
            <w:tcW w:w="1276" w:type="dxa"/>
            <w:vAlign w:val="center"/>
          </w:tcPr>
          <w:p w14:paraId="23C8C546">
            <w:pPr>
              <w:pStyle w:val="13"/>
            </w:pPr>
            <w:r>
              <w:t>幼儿资助经费管理办法</w:t>
            </w:r>
          </w:p>
        </w:tc>
      </w:tr>
      <w:tr w14:paraId="308D2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81D2E"/>
        </w:tc>
        <w:tc>
          <w:tcPr>
            <w:tcW w:w="2268" w:type="dxa"/>
            <w:vAlign w:val="center"/>
          </w:tcPr>
          <w:p w14:paraId="109BAD45">
            <w:pPr>
              <w:pStyle w:val="13"/>
            </w:pPr>
            <w:r>
              <w:t>质量指标</w:t>
            </w:r>
          </w:p>
        </w:tc>
        <w:tc>
          <w:tcPr>
            <w:tcW w:w="2835" w:type="dxa"/>
            <w:vAlign w:val="center"/>
          </w:tcPr>
          <w:p w14:paraId="6C333555">
            <w:pPr>
              <w:pStyle w:val="13"/>
            </w:pPr>
            <w:r>
              <w:t>资助资金使用率</w:t>
            </w:r>
          </w:p>
        </w:tc>
        <w:tc>
          <w:tcPr>
            <w:tcW w:w="5386" w:type="dxa"/>
            <w:vAlign w:val="center"/>
          </w:tcPr>
          <w:p w14:paraId="77192CA7">
            <w:pPr>
              <w:pStyle w:val="13"/>
            </w:pPr>
            <w:r>
              <w:t>符合享受资助条件的学生应助尽助</w:t>
            </w:r>
          </w:p>
        </w:tc>
        <w:tc>
          <w:tcPr>
            <w:tcW w:w="2268" w:type="dxa"/>
            <w:vAlign w:val="center"/>
          </w:tcPr>
          <w:p w14:paraId="70C3C8CD">
            <w:pPr>
              <w:pStyle w:val="13"/>
            </w:pPr>
            <w:r>
              <w:t>≥100%</w:t>
            </w:r>
          </w:p>
        </w:tc>
        <w:tc>
          <w:tcPr>
            <w:tcW w:w="1276" w:type="dxa"/>
            <w:vAlign w:val="center"/>
          </w:tcPr>
          <w:p w14:paraId="5D6B996B">
            <w:pPr>
              <w:pStyle w:val="13"/>
            </w:pPr>
            <w:r>
              <w:t>幼儿资助经费管理办法</w:t>
            </w:r>
          </w:p>
        </w:tc>
      </w:tr>
      <w:tr w14:paraId="716C2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78B52"/>
        </w:tc>
        <w:tc>
          <w:tcPr>
            <w:tcW w:w="2268" w:type="dxa"/>
            <w:vAlign w:val="center"/>
          </w:tcPr>
          <w:p w14:paraId="55432B41">
            <w:pPr>
              <w:pStyle w:val="13"/>
            </w:pPr>
            <w:r>
              <w:t>时效指标</w:t>
            </w:r>
          </w:p>
        </w:tc>
        <w:tc>
          <w:tcPr>
            <w:tcW w:w="2835" w:type="dxa"/>
            <w:vAlign w:val="center"/>
          </w:tcPr>
          <w:p w14:paraId="26DA6E57">
            <w:pPr>
              <w:pStyle w:val="13"/>
            </w:pPr>
            <w:r>
              <w:t>资金拨付率</w:t>
            </w:r>
          </w:p>
        </w:tc>
        <w:tc>
          <w:tcPr>
            <w:tcW w:w="5386" w:type="dxa"/>
            <w:vAlign w:val="center"/>
          </w:tcPr>
          <w:p w14:paraId="03CDBF39">
            <w:pPr>
              <w:pStyle w:val="13"/>
            </w:pPr>
            <w:r>
              <w:t>所有项目资金支付进度</w:t>
            </w:r>
          </w:p>
        </w:tc>
        <w:tc>
          <w:tcPr>
            <w:tcW w:w="2268" w:type="dxa"/>
            <w:vAlign w:val="center"/>
          </w:tcPr>
          <w:p w14:paraId="2B0789B0">
            <w:pPr>
              <w:pStyle w:val="13"/>
            </w:pPr>
            <w:r>
              <w:t>≥100%</w:t>
            </w:r>
          </w:p>
        </w:tc>
        <w:tc>
          <w:tcPr>
            <w:tcW w:w="1276" w:type="dxa"/>
            <w:vAlign w:val="center"/>
          </w:tcPr>
          <w:p w14:paraId="38752D06">
            <w:pPr>
              <w:pStyle w:val="13"/>
            </w:pPr>
            <w:r>
              <w:t>幼儿资助经费管理办法</w:t>
            </w:r>
          </w:p>
        </w:tc>
      </w:tr>
      <w:tr w14:paraId="358A0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3A70B"/>
        </w:tc>
        <w:tc>
          <w:tcPr>
            <w:tcW w:w="2268" w:type="dxa"/>
            <w:vAlign w:val="center"/>
          </w:tcPr>
          <w:p w14:paraId="405164E7">
            <w:pPr>
              <w:pStyle w:val="13"/>
            </w:pPr>
            <w:r>
              <w:t>成本指标</w:t>
            </w:r>
          </w:p>
        </w:tc>
        <w:tc>
          <w:tcPr>
            <w:tcW w:w="2835" w:type="dxa"/>
            <w:vAlign w:val="center"/>
          </w:tcPr>
          <w:p w14:paraId="1F60AD97">
            <w:pPr>
              <w:pStyle w:val="13"/>
            </w:pPr>
            <w:r>
              <w:t>幼儿园生均成本</w:t>
            </w:r>
          </w:p>
        </w:tc>
        <w:tc>
          <w:tcPr>
            <w:tcW w:w="5386" w:type="dxa"/>
            <w:vAlign w:val="center"/>
          </w:tcPr>
          <w:p w14:paraId="659FF9F4">
            <w:pPr>
              <w:pStyle w:val="13"/>
            </w:pPr>
            <w:r>
              <w:t>按照幼儿园资助标准1000元/生/年</w:t>
            </w:r>
          </w:p>
        </w:tc>
        <w:tc>
          <w:tcPr>
            <w:tcW w:w="2268" w:type="dxa"/>
            <w:vAlign w:val="center"/>
          </w:tcPr>
          <w:p w14:paraId="53D5EA6D">
            <w:pPr>
              <w:pStyle w:val="13"/>
            </w:pPr>
            <w:r>
              <w:t>1000元</w:t>
            </w:r>
          </w:p>
        </w:tc>
        <w:tc>
          <w:tcPr>
            <w:tcW w:w="1276" w:type="dxa"/>
            <w:vAlign w:val="center"/>
          </w:tcPr>
          <w:p w14:paraId="3BF97472">
            <w:pPr>
              <w:pStyle w:val="13"/>
            </w:pPr>
            <w:r>
              <w:t>幼儿资助经费管理办法</w:t>
            </w:r>
          </w:p>
        </w:tc>
      </w:tr>
      <w:tr w14:paraId="1AD22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25C867">
            <w:pPr>
              <w:pStyle w:val="12"/>
            </w:pPr>
            <w:r>
              <w:t>效益指标</w:t>
            </w:r>
          </w:p>
        </w:tc>
        <w:tc>
          <w:tcPr>
            <w:tcW w:w="2268" w:type="dxa"/>
            <w:vAlign w:val="center"/>
          </w:tcPr>
          <w:p w14:paraId="078BDCF2">
            <w:pPr>
              <w:pStyle w:val="13"/>
            </w:pPr>
            <w:r>
              <w:t>可持续影响指标</w:t>
            </w:r>
          </w:p>
        </w:tc>
        <w:tc>
          <w:tcPr>
            <w:tcW w:w="2835" w:type="dxa"/>
            <w:vAlign w:val="center"/>
          </w:tcPr>
          <w:p w14:paraId="38F5C2CE">
            <w:pPr>
              <w:pStyle w:val="13"/>
            </w:pPr>
            <w:r>
              <w:t>幼儿园正常运转</w:t>
            </w:r>
          </w:p>
        </w:tc>
        <w:tc>
          <w:tcPr>
            <w:tcW w:w="5386" w:type="dxa"/>
            <w:vAlign w:val="center"/>
          </w:tcPr>
          <w:p w14:paraId="0E0EB7CD">
            <w:pPr>
              <w:pStyle w:val="13"/>
            </w:pPr>
            <w:r>
              <w:t>幼儿受教育年限</w:t>
            </w:r>
          </w:p>
        </w:tc>
        <w:tc>
          <w:tcPr>
            <w:tcW w:w="2268" w:type="dxa"/>
            <w:vAlign w:val="center"/>
          </w:tcPr>
          <w:p w14:paraId="541177D3">
            <w:pPr>
              <w:pStyle w:val="13"/>
            </w:pPr>
            <w:r>
              <w:t>3年</w:t>
            </w:r>
          </w:p>
        </w:tc>
        <w:tc>
          <w:tcPr>
            <w:tcW w:w="1276" w:type="dxa"/>
            <w:vAlign w:val="center"/>
          </w:tcPr>
          <w:p w14:paraId="08FE29C3">
            <w:pPr>
              <w:pStyle w:val="13"/>
            </w:pPr>
            <w:r>
              <w:t>幼儿资助经费管理办法</w:t>
            </w:r>
          </w:p>
        </w:tc>
      </w:tr>
      <w:tr w14:paraId="09A84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68728C">
            <w:pPr>
              <w:pStyle w:val="12"/>
            </w:pPr>
            <w:r>
              <w:t>满意度指标</w:t>
            </w:r>
          </w:p>
        </w:tc>
        <w:tc>
          <w:tcPr>
            <w:tcW w:w="2268" w:type="dxa"/>
            <w:vAlign w:val="center"/>
          </w:tcPr>
          <w:p w14:paraId="494FE2CC">
            <w:pPr>
              <w:pStyle w:val="13"/>
            </w:pPr>
            <w:r>
              <w:t>服务对象满意度指标</w:t>
            </w:r>
          </w:p>
        </w:tc>
        <w:tc>
          <w:tcPr>
            <w:tcW w:w="2835" w:type="dxa"/>
            <w:vAlign w:val="center"/>
          </w:tcPr>
          <w:p w14:paraId="484000C8">
            <w:pPr>
              <w:pStyle w:val="13"/>
            </w:pPr>
            <w:r>
              <w:t>受益幼儿家长及调查满意度</w:t>
            </w:r>
          </w:p>
        </w:tc>
        <w:tc>
          <w:tcPr>
            <w:tcW w:w="5386" w:type="dxa"/>
            <w:vAlign w:val="center"/>
          </w:tcPr>
          <w:p w14:paraId="18A215AB">
            <w:pPr>
              <w:pStyle w:val="13"/>
            </w:pPr>
            <w:r>
              <w:t>学生、教师及家长对学校保教保育工作满意度情况</w:t>
            </w:r>
          </w:p>
        </w:tc>
        <w:tc>
          <w:tcPr>
            <w:tcW w:w="2268" w:type="dxa"/>
            <w:vAlign w:val="center"/>
          </w:tcPr>
          <w:p w14:paraId="2780C7FE">
            <w:pPr>
              <w:pStyle w:val="13"/>
            </w:pPr>
            <w:r>
              <w:t>≥95%</w:t>
            </w:r>
          </w:p>
        </w:tc>
        <w:tc>
          <w:tcPr>
            <w:tcW w:w="1276" w:type="dxa"/>
            <w:vAlign w:val="center"/>
          </w:tcPr>
          <w:p w14:paraId="7F605170">
            <w:pPr>
              <w:pStyle w:val="13"/>
            </w:pPr>
            <w:r>
              <w:t>幼儿资助经费管理办法</w:t>
            </w:r>
          </w:p>
        </w:tc>
      </w:tr>
    </w:tbl>
    <w:p w14:paraId="5F3F2477">
      <w:pPr>
        <w:sectPr>
          <w:pgSz w:w="16840" w:h="11900" w:orient="landscape"/>
          <w:pgMar w:top="1361" w:right="1020" w:bottom="1134" w:left="1020" w:header="720" w:footer="720" w:gutter="0"/>
          <w:cols w:space="720" w:num="1"/>
        </w:sectPr>
      </w:pPr>
    </w:p>
    <w:p w14:paraId="10D645C9">
      <w:pPr>
        <w:spacing w:before="0" w:after="0"/>
        <w:ind w:firstLine="560"/>
        <w:jc w:val="left"/>
        <w:outlineLvl w:val="9"/>
      </w:pPr>
      <w:r>
        <w:rPr>
          <w:rFonts w:ascii="方正仿宋_GBK" w:hAnsi="方正仿宋_GBK" w:eastAsia="方正仿宋_GBK" w:cs="方正仿宋_GBK"/>
          <w:b/>
          <w:color w:val="000000"/>
          <w:sz w:val="28"/>
        </w:rPr>
        <w:t>15、上年盘活/冀财教[2023]154号/中央/义教经费/校舍安全保障/魏庄校区东庄头小学维修改造绩效目标表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8A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73931">
            <w:pPr>
              <w:pStyle w:val="14"/>
            </w:pPr>
            <w:r>
              <w:t>单位：万元</w:t>
            </w:r>
          </w:p>
        </w:tc>
      </w:tr>
      <w:tr w14:paraId="6600D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96FEF">
            <w:pPr>
              <w:pStyle w:val="11"/>
            </w:pPr>
            <w:r>
              <w:t>项目编码</w:t>
            </w:r>
          </w:p>
        </w:tc>
        <w:tc>
          <w:tcPr>
            <w:tcW w:w="5103" w:type="dxa"/>
            <w:gridSpan w:val="2"/>
            <w:vAlign w:val="center"/>
          </w:tcPr>
          <w:p w14:paraId="05E62C7F">
            <w:pPr>
              <w:pStyle w:val="13"/>
            </w:pPr>
            <w:r>
              <w:t>13052525P008756101578</w:t>
            </w:r>
          </w:p>
        </w:tc>
        <w:tc>
          <w:tcPr>
            <w:tcW w:w="2835" w:type="dxa"/>
            <w:vAlign w:val="center"/>
          </w:tcPr>
          <w:p w14:paraId="0AA497FD">
            <w:pPr>
              <w:pStyle w:val="11"/>
            </w:pPr>
            <w:r>
              <w:t>项目名称</w:t>
            </w:r>
          </w:p>
        </w:tc>
        <w:tc>
          <w:tcPr>
            <w:tcW w:w="6095" w:type="dxa"/>
            <w:gridSpan w:val="3"/>
            <w:vAlign w:val="center"/>
          </w:tcPr>
          <w:p w14:paraId="01D382F8">
            <w:pPr>
              <w:pStyle w:val="13"/>
            </w:pPr>
            <w:r>
              <w:t>上年盘活/冀财教[2023]154号/中央/义教经费/校舍安全保障/魏庄校区东庄头小学维修改造</w:t>
            </w:r>
          </w:p>
        </w:tc>
      </w:tr>
      <w:tr w14:paraId="4924A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42225">
            <w:pPr>
              <w:pStyle w:val="11"/>
            </w:pPr>
            <w:r>
              <w:t>预算规模及资金用途</w:t>
            </w:r>
          </w:p>
        </w:tc>
        <w:tc>
          <w:tcPr>
            <w:tcW w:w="2268" w:type="dxa"/>
            <w:vAlign w:val="center"/>
          </w:tcPr>
          <w:p w14:paraId="3E74AC71">
            <w:pPr>
              <w:pStyle w:val="11"/>
            </w:pPr>
            <w:r>
              <w:t>预算数</w:t>
            </w:r>
          </w:p>
        </w:tc>
        <w:tc>
          <w:tcPr>
            <w:tcW w:w="2835" w:type="dxa"/>
            <w:vAlign w:val="center"/>
          </w:tcPr>
          <w:p w14:paraId="76BDB736">
            <w:pPr>
              <w:pStyle w:val="13"/>
            </w:pPr>
            <w:r>
              <w:t>33.85</w:t>
            </w:r>
          </w:p>
        </w:tc>
        <w:tc>
          <w:tcPr>
            <w:tcW w:w="2835" w:type="dxa"/>
            <w:vAlign w:val="center"/>
          </w:tcPr>
          <w:p w14:paraId="13CA8345">
            <w:pPr>
              <w:pStyle w:val="11"/>
            </w:pPr>
            <w:r>
              <w:t>其中：财政    资金</w:t>
            </w:r>
          </w:p>
        </w:tc>
        <w:tc>
          <w:tcPr>
            <w:tcW w:w="2551" w:type="dxa"/>
            <w:vAlign w:val="center"/>
          </w:tcPr>
          <w:p w14:paraId="0183A144">
            <w:pPr>
              <w:pStyle w:val="13"/>
            </w:pPr>
            <w:r>
              <w:t>33.85</w:t>
            </w:r>
          </w:p>
        </w:tc>
        <w:tc>
          <w:tcPr>
            <w:tcW w:w="2268" w:type="dxa"/>
            <w:vAlign w:val="center"/>
          </w:tcPr>
          <w:p w14:paraId="48D652EF">
            <w:pPr>
              <w:pStyle w:val="11"/>
            </w:pPr>
            <w:r>
              <w:t>其他资金</w:t>
            </w:r>
          </w:p>
        </w:tc>
        <w:tc>
          <w:tcPr>
            <w:tcW w:w="1276" w:type="dxa"/>
            <w:vAlign w:val="center"/>
          </w:tcPr>
          <w:p w14:paraId="038E7660">
            <w:pPr>
              <w:pStyle w:val="13"/>
            </w:pPr>
            <w:r>
              <w:t xml:space="preserve"> </w:t>
            </w:r>
          </w:p>
        </w:tc>
      </w:tr>
      <w:tr w14:paraId="5D44B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B2E50"/>
        </w:tc>
        <w:tc>
          <w:tcPr>
            <w:tcW w:w="14033" w:type="dxa"/>
            <w:gridSpan w:val="6"/>
            <w:vAlign w:val="center"/>
          </w:tcPr>
          <w:p w14:paraId="5AABD37B">
            <w:pPr>
              <w:pStyle w:val="13"/>
            </w:pPr>
            <w:r>
              <w:t>完成东庄头小学维修改造，满足学校正常教学需要。</w:t>
            </w:r>
            <w:r>
              <w:tab/>
            </w:r>
          </w:p>
        </w:tc>
      </w:tr>
      <w:tr w14:paraId="339AD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A6A41">
            <w:pPr>
              <w:pStyle w:val="11"/>
            </w:pPr>
            <w:r>
              <w:t>资金支出计划（%）</w:t>
            </w:r>
          </w:p>
        </w:tc>
        <w:tc>
          <w:tcPr>
            <w:tcW w:w="5103" w:type="dxa"/>
            <w:gridSpan w:val="2"/>
            <w:vAlign w:val="center"/>
          </w:tcPr>
          <w:p w14:paraId="71773CC7">
            <w:pPr>
              <w:pStyle w:val="11"/>
            </w:pPr>
            <w:r>
              <w:t>3月底</w:t>
            </w:r>
          </w:p>
        </w:tc>
        <w:tc>
          <w:tcPr>
            <w:tcW w:w="2835" w:type="dxa"/>
            <w:vAlign w:val="center"/>
          </w:tcPr>
          <w:p w14:paraId="7557597E">
            <w:pPr>
              <w:pStyle w:val="11"/>
            </w:pPr>
            <w:r>
              <w:t>6月底</w:t>
            </w:r>
          </w:p>
        </w:tc>
        <w:tc>
          <w:tcPr>
            <w:tcW w:w="2551" w:type="dxa"/>
            <w:vAlign w:val="center"/>
          </w:tcPr>
          <w:p w14:paraId="614515A1">
            <w:pPr>
              <w:pStyle w:val="11"/>
            </w:pPr>
            <w:r>
              <w:t>10月底</w:t>
            </w:r>
          </w:p>
        </w:tc>
        <w:tc>
          <w:tcPr>
            <w:tcW w:w="3544" w:type="dxa"/>
            <w:gridSpan w:val="2"/>
            <w:vAlign w:val="center"/>
          </w:tcPr>
          <w:p w14:paraId="3FB6F097">
            <w:pPr>
              <w:pStyle w:val="11"/>
            </w:pPr>
            <w:r>
              <w:t>12月底</w:t>
            </w:r>
          </w:p>
        </w:tc>
      </w:tr>
      <w:tr w14:paraId="27F3A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389E3A"/>
        </w:tc>
        <w:tc>
          <w:tcPr>
            <w:tcW w:w="5103" w:type="dxa"/>
            <w:gridSpan w:val="2"/>
            <w:vAlign w:val="center"/>
          </w:tcPr>
          <w:p w14:paraId="2BA92BEF">
            <w:pPr>
              <w:pStyle w:val="12"/>
            </w:pPr>
            <w:r>
              <w:t xml:space="preserve"> </w:t>
            </w:r>
          </w:p>
        </w:tc>
        <w:tc>
          <w:tcPr>
            <w:tcW w:w="2835" w:type="dxa"/>
            <w:vAlign w:val="center"/>
          </w:tcPr>
          <w:p w14:paraId="6F6E0167">
            <w:pPr>
              <w:pStyle w:val="12"/>
            </w:pPr>
            <w:r>
              <w:t>50%</w:t>
            </w:r>
          </w:p>
        </w:tc>
        <w:tc>
          <w:tcPr>
            <w:tcW w:w="2551" w:type="dxa"/>
            <w:vAlign w:val="center"/>
          </w:tcPr>
          <w:p w14:paraId="2166AB89">
            <w:pPr>
              <w:pStyle w:val="12"/>
            </w:pPr>
            <w:r>
              <w:t>100%</w:t>
            </w:r>
          </w:p>
        </w:tc>
        <w:tc>
          <w:tcPr>
            <w:tcW w:w="3544" w:type="dxa"/>
            <w:gridSpan w:val="2"/>
            <w:vAlign w:val="center"/>
          </w:tcPr>
          <w:p w14:paraId="68C64FA9">
            <w:pPr>
              <w:pStyle w:val="12"/>
            </w:pPr>
            <w:r>
              <w:t>100%</w:t>
            </w:r>
          </w:p>
        </w:tc>
      </w:tr>
      <w:tr w14:paraId="01A19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F3489">
            <w:pPr>
              <w:pStyle w:val="11"/>
            </w:pPr>
            <w:r>
              <w:t>绩效目标</w:t>
            </w:r>
          </w:p>
        </w:tc>
        <w:tc>
          <w:tcPr>
            <w:tcW w:w="14033" w:type="dxa"/>
            <w:gridSpan w:val="6"/>
            <w:vAlign w:val="center"/>
          </w:tcPr>
          <w:p w14:paraId="146BAD8F">
            <w:pPr>
              <w:pStyle w:val="13"/>
            </w:pPr>
            <w:r>
              <w:t>1.按规定拨付专项资金，资金支付率达到100%。</w:t>
            </w:r>
            <w:r>
              <w:tab/>
            </w:r>
          </w:p>
          <w:p w14:paraId="62672F74">
            <w:pPr>
              <w:pStyle w:val="13"/>
            </w:pPr>
          </w:p>
          <w:p w14:paraId="5077BDA8">
            <w:pPr>
              <w:pStyle w:val="13"/>
            </w:pPr>
            <w:r>
              <w:t>2.完成东庄头小学维修改造，满足学校正常教学需要。</w:t>
            </w:r>
            <w:r>
              <w:tab/>
            </w:r>
          </w:p>
          <w:p w14:paraId="365A0F19">
            <w:pPr>
              <w:pStyle w:val="13"/>
            </w:pPr>
          </w:p>
        </w:tc>
      </w:tr>
    </w:tbl>
    <w:p w14:paraId="61963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1A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26E2D">
            <w:pPr>
              <w:pStyle w:val="11"/>
            </w:pPr>
            <w:r>
              <w:t>一级指标</w:t>
            </w:r>
          </w:p>
        </w:tc>
        <w:tc>
          <w:tcPr>
            <w:tcW w:w="2268" w:type="dxa"/>
            <w:vAlign w:val="center"/>
          </w:tcPr>
          <w:p w14:paraId="3914BA62">
            <w:pPr>
              <w:pStyle w:val="11"/>
            </w:pPr>
            <w:r>
              <w:t>二级指标</w:t>
            </w:r>
          </w:p>
        </w:tc>
        <w:tc>
          <w:tcPr>
            <w:tcW w:w="2835" w:type="dxa"/>
            <w:vAlign w:val="center"/>
          </w:tcPr>
          <w:p w14:paraId="2E99A69E">
            <w:pPr>
              <w:pStyle w:val="11"/>
            </w:pPr>
            <w:r>
              <w:t>三级指标</w:t>
            </w:r>
          </w:p>
        </w:tc>
        <w:tc>
          <w:tcPr>
            <w:tcW w:w="5386" w:type="dxa"/>
            <w:vAlign w:val="center"/>
          </w:tcPr>
          <w:p w14:paraId="72BD7B51">
            <w:pPr>
              <w:pStyle w:val="11"/>
            </w:pPr>
            <w:r>
              <w:t>绩效指标描述</w:t>
            </w:r>
          </w:p>
        </w:tc>
        <w:tc>
          <w:tcPr>
            <w:tcW w:w="2268" w:type="dxa"/>
            <w:vAlign w:val="center"/>
          </w:tcPr>
          <w:p w14:paraId="11FCCB04">
            <w:pPr>
              <w:pStyle w:val="11"/>
            </w:pPr>
            <w:r>
              <w:t>指标值</w:t>
            </w:r>
          </w:p>
        </w:tc>
        <w:tc>
          <w:tcPr>
            <w:tcW w:w="1276" w:type="dxa"/>
            <w:vAlign w:val="center"/>
          </w:tcPr>
          <w:p w14:paraId="7C2340F9">
            <w:pPr>
              <w:pStyle w:val="11"/>
            </w:pPr>
            <w:r>
              <w:t>指标值确定依据</w:t>
            </w:r>
          </w:p>
        </w:tc>
      </w:tr>
      <w:tr w14:paraId="7FD59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1B6F6">
            <w:pPr>
              <w:pStyle w:val="12"/>
            </w:pPr>
            <w:r>
              <w:t>产出指标</w:t>
            </w:r>
          </w:p>
        </w:tc>
        <w:tc>
          <w:tcPr>
            <w:tcW w:w="2268" w:type="dxa"/>
            <w:vAlign w:val="center"/>
          </w:tcPr>
          <w:p w14:paraId="49868DCC">
            <w:pPr>
              <w:pStyle w:val="13"/>
            </w:pPr>
            <w:r>
              <w:t>数量指标</w:t>
            </w:r>
          </w:p>
        </w:tc>
        <w:tc>
          <w:tcPr>
            <w:tcW w:w="2835" w:type="dxa"/>
            <w:vAlign w:val="center"/>
          </w:tcPr>
          <w:p w14:paraId="73F8E167">
            <w:pPr>
              <w:pStyle w:val="13"/>
            </w:pPr>
            <w:r>
              <w:t>学校维修改造</w:t>
            </w:r>
          </w:p>
        </w:tc>
        <w:tc>
          <w:tcPr>
            <w:tcW w:w="5386" w:type="dxa"/>
            <w:vAlign w:val="center"/>
          </w:tcPr>
          <w:p w14:paraId="3D980E3B">
            <w:pPr>
              <w:pStyle w:val="13"/>
            </w:pPr>
            <w:r>
              <w:t>学校维修改造面积</w:t>
            </w:r>
          </w:p>
        </w:tc>
        <w:tc>
          <w:tcPr>
            <w:tcW w:w="2268" w:type="dxa"/>
            <w:vAlign w:val="center"/>
          </w:tcPr>
          <w:p w14:paraId="54198988">
            <w:pPr>
              <w:pStyle w:val="13"/>
            </w:pPr>
            <w:r>
              <w:t>≥5242平米</w:t>
            </w:r>
          </w:p>
        </w:tc>
        <w:tc>
          <w:tcPr>
            <w:tcW w:w="1276" w:type="dxa"/>
            <w:vAlign w:val="center"/>
          </w:tcPr>
          <w:p w14:paraId="20E22DEE">
            <w:pPr>
              <w:pStyle w:val="13"/>
            </w:pPr>
            <w:r>
              <w:t>城乡义务教育公用经费管理办法</w:t>
            </w:r>
          </w:p>
        </w:tc>
      </w:tr>
      <w:tr w14:paraId="5935E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71262"/>
        </w:tc>
        <w:tc>
          <w:tcPr>
            <w:tcW w:w="2268" w:type="dxa"/>
            <w:vAlign w:val="center"/>
          </w:tcPr>
          <w:p w14:paraId="61EA5650">
            <w:pPr>
              <w:pStyle w:val="13"/>
            </w:pPr>
            <w:r>
              <w:t>质量指标</w:t>
            </w:r>
          </w:p>
        </w:tc>
        <w:tc>
          <w:tcPr>
            <w:tcW w:w="2835" w:type="dxa"/>
            <w:vAlign w:val="center"/>
          </w:tcPr>
          <w:p w14:paraId="2C734F25">
            <w:pPr>
              <w:pStyle w:val="13"/>
            </w:pPr>
            <w:r>
              <w:t>资金支付率</w:t>
            </w:r>
          </w:p>
        </w:tc>
        <w:tc>
          <w:tcPr>
            <w:tcW w:w="5386" w:type="dxa"/>
            <w:vAlign w:val="center"/>
          </w:tcPr>
          <w:p w14:paraId="5411D352">
            <w:pPr>
              <w:pStyle w:val="13"/>
            </w:pPr>
            <w:r>
              <w:t>按照序时进度完成资金支付</w:t>
            </w:r>
          </w:p>
        </w:tc>
        <w:tc>
          <w:tcPr>
            <w:tcW w:w="2268" w:type="dxa"/>
            <w:vAlign w:val="center"/>
          </w:tcPr>
          <w:p w14:paraId="6D030B61">
            <w:pPr>
              <w:pStyle w:val="13"/>
            </w:pPr>
            <w:r>
              <w:t>100%</w:t>
            </w:r>
          </w:p>
        </w:tc>
        <w:tc>
          <w:tcPr>
            <w:tcW w:w="1276" w:type="dxa"/>
            <w:vAlign w:val="center"/>
          </w:tcPr>
          <w:p w14:paraId="5C067486">
            <w:pPr>
              <w:pStyle w:val="13"/>
            </w:pPr>
            <w:r>
              <w:t>城乡义务教育公用经费管理办法</w:t>
            </w:r>
          </w:p>
        </w:tc>
      </w:tr>
      <w:tr w14:paraId="0404B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BA629"/>
        </w:tc>
        <w:tc>
          <w:tcPr>
            <w:tcW w:w="2268" w:type="dxa"/>
            <w:vAlign w:val="center"/>
          </w:tcPr>
          <w:p w14:paraId="51DF8F45">
            <w:pPr>
              <w:pStyle w:val="13"/>
            </w:pPr>
            <w:r>
              <w:t>时效指标</w:t>
            </w:r>
          </w:p>
        </w:tc>
        <w:tc>
          <w:tcPr>
            <w:tcW w:w="2835" w:type="dxa"/>
            <w:vAlign w:val="center"/>
          </w:tcPr>
          <w:p w14:paraId="191AC44C">
            <w:pPr>
              <w:pStyle w:val="13"/>
            </w:pPr>
            <w:r>
              <w:t>项目竣工验收合格率</w:t>
            </w:r>
          </w:p>
        </w:tc>
        <w:tc>
          <w:tcPr>
            <w:tcW w:w="5386" w:type="dxa"/>
            <w:vAlign w:val="center"/>
          </w:tcPr>
          <w:p w14:paraId="3210129C">
            <w:pPr>
              <w:pStyle w:val="13"/>
            </w:pPr>
            <w:r>
              <w:t>项目改造质量达标率</w:t>
            </w:r>
          </w:p>
        </w:tc>
        <w:tc>
          <w:tcPr>
            <w:tcW w:w="2268" w:type="dxa"/>
            <w:vAlign w:val="center"/>
          </w:tcPr>
          <w:p w14:paraId="49D19FC6">
            <w:pPr>
              <w:pStyle w:val="13"/>
            </w:pPr>
            <w:r>
              <w:t>100%</w:t>
            </w:r>
          </w:p>
        </w:tc>
        <w:tc>
          <w:tcPr>
            <w:tcW w:w="1276" w:type="dxa"/>
            <w:vAlign w:val="center"/>
          </w:tcPr>
          <w:p w14:paraId="41662FD4">
            <w:pPr>
              <w:pStyle w:val="13"/>
            </w:pPr>
            <w:r>
              <w:t>城乡义务教育公用经费管理办法</w:t>
            </w:r>
          </w:p>
        </w:tc>
      </w:tr>
      <w:tr w14:paraId="414A8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3B0A7"/>
        </w:tc>
        <w:tc>
          <w:tcPr>
            <w:tcW w:w="2268" w:type="dxa"/>
            <w:vAlign w:val="center"/>
          </w:tcPr>
          <w:p w14:paraId="47856BDB">
            <w:pPr>
              <w:pStyle w:val="13"/>
            </w:pPr>
            <w:r>
              <w:t>成本指标</w:t>
            </w:r>
          </w:p>
        </w:tc>
        <w:tc>
          <w:tcPr>
            <w:tcW w:w="2835" w:type="dxa"/>
            <w:vAlign w:val="center"/>
          </w:tcPr>
          <w:p w14:paraId="10B81586">
            <w:pPr>
              <w:pStyle w:val="13"/>
            </w:pPr>
            <w:r>
              <w:t>项目实际成本</w:t>
            </w:r>
          </w:p>
        </w:tc>
        <w:tc>
          <w:tcPr>
            <w:tcW w:w="5386" w:type="dxa"/>
            <w:vAlign w:val="center"/>
          </w:tcPr>
          <w:p w14:paraId="430F94E0">
            <w:pPr>
              <w:pStyle w:val="13"/>
            </w:pPr>
            <w:r>
              <w:t>学校维修改造项目成本</w:t>
            </w:r>
          </w:p>
        </w:tc>
        <w:tc>
          <w:tcPr>
            <w:tcW w:w="2268" w:type="dxa"/>
            <w:vAlign w:val="center"/>
          </w:tcPr>
          <w:p w14:paraId="5414A11E">
            <w:pPr>
              <w:pStyle w:val="13"/>
            </w:pPr>
            <w:r>
              <w:t>33.84万元</w:t>
            </w:r>
          </w:p>
        </w:tc>
        <w:tc>
          <w:tcPr>
            <w:tcW w:w="1276" w:type="dxa"/>
            <w:vAlign w:val="center"/>
          </w:tcPr>
          <w:p w14:paraId="436F58EF">
            <w:pPr>
              <w:pStyle w:val="13"/>
            </w:pPr>
            <w:r>
              <w:t>城乡义务教育公用经费管理办法</w:t>
            </w:r>
          </w:p>
        </w:tc>
      </w:tr>
      <w:tr w14:paraId="4E33E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D4585B">
            <w:pPr>
              <w:pStyle w:val="12"/>
            </w:pPr>
            <w:r>
              <w:t>效益指标</w:t>
            </w:r>
          </w:p>
        </w:tc>
        <w:tc>
          <w:tcPr>
            <w:tcW w:w="2268" w:type="dxa"/>
            <w:vAlign w:val="center"/>
          </w:tcPr>
          <w:p w14:paraId="5AB54AFA">
            <w:pPr>
              <w:pStyle w:val="13"/>
            </w:pPr>
            <w:r>
              <w:t>可持续影响指标</w:t>
            </w:r>
          </w:p>
        </w:tc>
        <w:tc>
          <w:tcPr>
            <w:tcW w:w="2835" w:type="dxa"/>
            <w:vAlign w:val="center"/>
          </w:tcPr>
          <w:p w14:paraId="52E3FEBF">
            <w:pPr>
              <w:pStyle w:val="13"/>
            </w:pPr>
            <w:r>
              <w:t>学校日常运转正常</w:t>
            </w:r>
          </w:p>
        </w:tc>
        <w:tc>
          <w:tcPr>
            <w:tcW w:w="5386" w:type="dxa"/>
            <w:vAlign w:val="center"/>
          </w:tcPr>
          <w:p w14:paraId="4E6A0960">
            <w:pPr>
              <w:pStyle w:val="13"/>
            </w:pPr>
            <w:r>
              <w:t>学生受教育年限</w:t>
            </w:r>
          </w:p>
        </w:tc>
        <w:tc>
          <w:tcPr>
            <w:tcW w:w="2268" w:type="dxa"/>
            <w:vAlign w:val="center"/>
          </w:tcPr>
          <w:p w14:paraId="04C3ECC1">
            <w:pPr>
              <w:pStyle w:val="13"/>
            </w:pPr>
            <w:r>
              <w:t>6年</w:t>
            </w:r>
          </w:p>
        </w:tc>
        <w:tc>
          <w:tcPr>
            <w:tcW w:w="1276" w:type="dxa"/>
            <w:vAlign w:val="center"/>
          </w:tcPr>
          <w:p w14:paraId="78B6D911">
            <w:pPr>
              <w:pStyle w:val="13"/>
            </w:pPr>
            <w:r>
              <w:t>城乡义务教育公用经费管理办法</w:t>
            </w:r>
          </w:p>
        </w:tc>
      </w:tr>
      <w:tr w14:paraId="4A7F9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1528D6">
            <w:pPr>
              <w:pStyle w:val="12"/>
            </w:pPr>
            <w:r>
              <w:t>满意度指标</w:t>
            </w:r>
          </w:p>
        </w:tc>
        <w:tc>
          <w:tcPr>
            <w:tcW w:w="2268" w:type="dxa"/>
            <w:vAlign w:val="center"/>
          </w:tcPr>
          <w:p w14:paraId="0B761D71">
            <w:pPr>
              <w:pStyle w:val="13"/>
            </w:pPr>
            <w:r>
              <w:t>服务对象满意度指标</w:t>
            </w:r>
          </w:p>
        </w:tc>
        <w:tc>
          <w:tcPr>
            <w:tcW w:w="2835" w:type="dxa"/>
            <w:vAlign w:val="center"/>
          </w:tcPr>
          <w:p w14:paraId="0255383A">
            <w:pPr>
              <w:pStyle w:val="13"/>
            </w:pPr>
            <w:r>
              <w:t>受益学生家长及调查满意度</w:t>
            </w:r>
          </w:p>
        </w:tc>
        <w:tc>
          <w:tcPr>
            <w:tcW w:w="5386" w:type="dxa"/>
            <w:vAlign w:val="center"/>
          </w:tcPr>
          <w:p w14:paraId="461DC1C7">
            <w:pPr>
              <w:pStyle w:val="13"/>
            </w:pPr>
            <w:r>
              <w:t>学生、教师及家长对学校工作满意度情况</w:t>
            </w:r>
          </w:p>
        </w:tc>
        <w:tc>
          <w:tcPr>
            <w:tcW w:w="2268" w:type="dxa"/>
            <w:vAlign w:val="center"/>
          </w:tcPr>
          <w:p w14:paraId="1FD72D0B">
            <w:pPr>
              <w:pStyle w:val="13"/>
            </w:pPr>
            <w:r>
              <w:t>≥95%</w:t>
            </w:r>
          </w:p>
        </w:tc>
        <w:tc>
          <w:tcPr>
            <w:tcW w:w="1276" w:type="dxa"/>
            <w:vAlign w:val="center"/>
          </w:tcPr>
          <w:p w14:paraId="6F582CC0">
            <w:pPr>
              <w:pStyle w:val="13"/>
            </w:pPr>
            <w:r>
              <w:t>城乡义务教育公用经费管理办法</w:t>
            </w:r>
          </w:p>
        </w:tc>
      </w:tr>
    </w:tbl>
    <w:p w14:paraId="2CC796AF">
      <w:pPr>
        <w:sectPr>
          <w:pgSz w:w="16840" w:h="11900" w:orient="landscape"/>
          <w:pgMar w:top="1361" w:right="1020" w:bottom="1134" w:left="1020" w:header="720" w:footer="720" w:gutter="0"/>
          <w:cols w:space="720" w:num="1"/>
        </w:sectPr>
      </w:pPr>
    </w:p>
    <w:p w14:paraId="11AC7BE0">
      <w:pPr>
        <w:spacing w:before="0" w:after="0"/>
        <w:ind w:firstLine="560"/>
        <w:jc w:val="left"/>
        <w:outlineLvl w:val="9"/>
      </w:pPr>
      <w:r>
        <w:rPr>
          <w:rFonts w:ascii="方正仿宋_GBK" w:hAnsi="方正仿宋_GBK" w:eastAsia="方正仿宋_GBK" w:cs="方正仿宋_GBK"/>
          <w:b/>
          <w:color w:val="000000"/>
          <w:sz w:val="28"/>
        </w:rPr>
        <w:t>16、上年盘活/冀财教[2024]67号/中央/2024年义教经费/规范民办义务教育奖补/张汪小学甬路西平房及院落等维修改造绩效目标表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82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B4E0F">
            <w:pPr>
              <w:pStyle w:val="14"/>
            </w:pPr>
            <w:r>
              <w:t>单位：万元</w:t>
            </w:r>
          </w:p>
        </w:tc>
      </w:tr>
      <w:tr w14:paraId="2F974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B237B">
            <w:pPr>
              <w:pStyle w:val="11"/>
            </w:pPr>
            <w:r>
              <w:t>项目编码</w:t>
            </w:r>
          </w:p>
        </w:tc>
        <w:tc>
          <w:tcPr>
            <w:tcW w:w="5103" w:type="dxa"/>
            <w:gridSpan w:val="2"/>
            <w:vAlign w:val="center"/>
          </w:tcPr>
          <w:p w14:paraId="276D502B">
            <w:pPr>
              <w:pStyle w:val="13"/>
            </w:pPr>
            <w:r>
              <w:t>13052525P00875610160T</w:t>
            </w:r>
          </w:p>
        </w:tc>
        <w:tc>
          <w:tcPr>
            <w:tcW w:w="2835" w:type="dxa"/>
            <w:vAlign w:val="center"/>
          </w:tcPr>
          <w:p w14:paraId="408238E6">
            <w:pPr>
              <w:pStyle w:val="11"/>
            </w:pPr>
            <w:r>
              <w:t>项目名称</w:t>
            </w:r>
          </w:p>
        </w:tc>
        <w:tc>
          <w:tcPr>
            <w:tcW w:w="6095" w:type="dxa"/>
            <w:gridSpan w:val="3"/>
            <w:vAlign w:val="center"/>
          </w:tcPr>
          <w:p w14:paraId="2F0A2C78">
            <w:pPr>
              <w:pStyle w:val="13"/>
            </w:pPr>
            <w:r>
              <w:t>上年盘活/冀财教[2024]67号/中央/2024年义教经费/规范民办义务教育奖补/张汪小学甬路西平房及院落等维修改造</w:t>
            </w:r>
          </w:p>
        </w:tc>
      </w:tr>
      <w:tr w14:paraId="1624E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33A92">
            <w:pPr>
              <w:pStyle w:val="11"/>
            </w:pPr>
            <w:r>
              <w:t>预算规模及资金用途</w:t>
            </w:r>
          </w:p>
        </w:tc>
        <w:tc>
          <w:tcPr>
            <w:tcW w:w="2268" w:type="dxa"/>
            <w:vAlign w:val="center"/>
          </w:tcPr>
          <w:p w14:paraId="1583F2F3">
            <w:pPr>
              <w:pStyle w:val="11"/>
            </w:pPr>
            <w:r>
              <w:t>预算数</w:t>
            </w:r>
          </w:p>
        </w:tc>
        <w:tc>
          <w:tcPr>
            <w:tcW w:w="2835" w:type="dxa"/>
            <w:vAlign w:val="center"/>
          </w:tcPr>
          <w:p w14:paraId="2AA8D1BF">
            <w:pPr>
              <w:pStyle w:val="13"/>
            </w:pPr>
            <w:r>
              <w:t>12.90</w:t>
            </w:r>
          </w:p>
        </w:tc>
        <w:tc>
          <w:tcPr>
            <w:tcW w:w="2835" w:type="dxa"/>
            <w:vAlign w:val="center"/>
          </w:tcPr>
          <w:p w14:paraId="28BE0314">
            <w:pPr>
              <w:pStyle w:val="11"/>
            </w:pPr>
            <w:r>
              <w:t>其中：财政    资金</w:t>
            </w:r>
          </w:p>
        </w:tc>
        <w:tc>
          <w:tcPr>
            <w:tcW w:w="2551" w:type="dxa"/>
            <w:vAlign w:val="center"/>
          </w:tcPr>
          <w:p w14:paraId="778DACC6">
            <w:pPr>
              <w:pStyle w:val="13"/>
            </w:pPr>
            <w:r>
              <w:t>12.90</w:t>
            </w:r>
          </w:p>
        </w:tc>
        <w:tc>
          <w:tcPr>
            <w:tcW w:w="2268" w:type="dxa"/>
            <w:vAlign w:val="center"/>
          </w:tcPr>
          <w:p w14:paraId="24FE372B">
            <w:pPr>
              <w:pStyle w:val="11"/>
            </w:pPr>
            <w:r>
              <w:t>其他资金</w:t>
            </w:r>
          </w:p>
        </w:tc>
        <w:tc>
          <w:tcPr>
            <w:tcW w:w="1276" w:type="dxa"/>
            <w:vAlign w:val="center"/>
          </w:tcPr>
          <w:p w14:paraId="144DB79A">
            <w:pPr>
              <w:pStyle w:val="13"/>
            </w:pPr>
            <w:r>
              <w:t xml:space="preserve"> </w:t>
            </w:r>
          </w:p>
        </w:tc>
      </w:tr>
      <w:tr w14:paraId="6CC20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4BFFAF"/>
        </w:tc>
        <w:tc>
          <w:tcPr>
            <w:tcW w:w="14033" w:type="dxa"/>
            <w:gridSpan w:val="6"/>
            <w:vAlign w:val="center"/>
          </w:tcPr>
          <w:p w14:paraId="57F5DA7E">
            <w:pPr>
              <w:pStyle w:val="13"/>
            </w:pPr>
            <w:r>
              <w:t>改善就学条件，提升学校形象，保障义务教育阶段教学安全，创造良好的校园环境。</w:t>
            </w:r>
          </w:p>
        </w:tc>
      </w:tr>
      <w:tr w14:paraId="1E0E2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F1FB3">
            <w:pPr>
              <w:pStyle w:val="11"/>
            </w:pPr>
            <w:r>
              <w:t>资金支出计划（%）</w:t>
            </w:r>
          </w:p>
        </w:tc>
        <w:tc>
          <w:tcPr>
            <w:tcW w:w="5103" w:type="dxa"/>
            <w:gridSpan w:val="2"/>
            <w:vAlign w:val="center"/>
          </w:tcPr>
          <w:p w14:paraId="755B7A71">
            <w:pPr>
              <w:pStyle w:val="11"/>
            </w:pPr>
            <w:r>
              <w:t>3月底</w:t>
            </w:r>
          </w:p>
        </w:tc>
        <w:tc>
          <w:tcPr>
            <w:tcW w:w="2835" w:type="dxa"/>
            <w:vAlign w:val="center"/>
          </w:tcPr>
          <w:p w14:paraId="21901B8F">
            <w:pPr>
              <w:pStyle w:val="11"/>
            </w:pPr>
            <w:r>
              <w:t>6月底</w:t>
            </w:r>
          </w:p>
        </w:tc>
        <w:tc>
          <w:tcPr>
            <w:tcW w:w="2551" w:type="dxa"/>
            <w:vAlign w:val="center"/>
          </w:tcPr>
          <w:p w14:paraId="2FC44133">
            <w:pPr>
              <w:pStyle w:val="11"/>
            </w:pPr>
            <w:r>
              <w:t>10月底</w:t>
            </w:r>
          </w:p>
        </w:tc>
        <w:tc>
          <w:tcPr>
            <w:tcW w:w="3544" w:type="dxa"/>
            <w:gridSpan w:val="2"/>
            <w:vAlign w:val="center"/>
          </w:tcPr>
          <w:p w14:paraId="16C4363D">
            <w:pPr>
              <w:pStyle w:val="11"/>
            </w:pPr>
            <w:r>
              <w:t>12月底</w:t>
            </w:r>
          </w:p>
        </w:tc>
      </w:tr>
      <w:tr w14:paraId="688E0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D795BB"/>
        </w:tc>
        <w:tc>
          <w:tcPr>
            <w:tcW w:w="5103" w:type="dxa"/>
            <w:gridSpan w:val="2"/>
            <w:vAlign w:val="center"/>
          </w:tcPr>
          <w:p w14:paraId="21CE8C29">
            <w:pPr>
              <w:pStyle w:val="12"/>
            </w:pPr>
            <w:r>
              <w:t xml:space="preserve"> </w:t>
            </w:r>
          </w:p>
        </w:tc>
        <w:tc>
          <w:tcPr>
            <w:tcW w:w="2835" w:type="dxa"/>
            <w:vAlign w:val="center"/>
          </w:tcPr>
          <w:p w14:paraId="23D340B6">
            <w:pPr>
              <w:pStyle w:val="12"/>
            </w:pPr>
            <w:r>
              <w:t>50%</w:t>
            </w:r>
          </w:p>
        </w:tc>
        <w:tc>
          <w:tcPr>
            <w:tcW w:w="2551" w:type="dxa"/>
            <w:vAlign w:val="center"/>
          </w:tcPr>
          <w:p w14:paraId="66310EA1">
            <w:pPr>
              <w:pStyle w:val="12"/>
            </w:pPr>
            <w:r>
              <w:t>100%</w:t>
            </w:r>
          </w:p>
        </w:tc>
        <w:tc>
          <w:tcPr>
            <w:tcW w:w="3544" w:type="dxa"/>
            <w:gridSpan w:val="2"/>
            <w:vAlign w:val="center"/>
          </w:tcPr>
          <w:p w14:paraId="0B895FC4">
            <w:pPr>
              <w:pStyle w:val="12"/>
            </w:pPr>
            <w:r>
              <w:t>100%</w:t>
            </w:r>
          </w:p>
        </w:tc>
      </w:tr>
      <w:tr w14:paraId="284EC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806DC">
            <w:pPr>
              <w:pStyle w:val="11"/>
            </w:pPr>
            <w:r>
              <w:t>绩效目标</w:t>
            </w:r>
          </w:p>
        </w:tc>
        <w:tc>
          <w:tcPr>
            <w:tcW w:w="14033" w:type="dxa"/>
            <w:gridSpan w:val="6"/>
            <w:vAlign w:val="center"/>
          </w:tcPr>
          <w:p w14:paraId="786DB5F4">
            <w:pPr>
              <w:pStyle w:val="13"/>
            </w:pPr>
            <w:r>
              <w:t>1.项目需资金12.8995万元，资金拨付率达到100%。</w:t>
            </w:r>
          </w:p>
          <w:p w14:paraId="36454756">
            <w:pPr>
              <w:pStyle w:val="13"/>
            </w:pPr>
            <w:r>
              <w:t>2.改善就学条件，提升学校形象，保障义务教育阶段教学安全，创造良好的校园环境。</w:t>
            </w:r>
          </w:p>
        </w:tc>
      </w:tr>
    </w:tbl>
    <w:p w14:paraId="368EB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DB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EDF72">
            <w:pPr>
              <w:pStyle w:val="11"/>
            </w:pPr>
            <w:r>
              <w:t>一级指标</w:t>
            </w:r>
          </w:p>
        </w:tc>
        <w:tc>
          <w:tcPr>
            <w:tcW w:w="2268" w:type="dxa"/>
            <w:vAlign w:val="center"/>
          </w:tcPr>
          <w:p w14:paraId="4C960B8E">
            <w:pPr>
              <w:pStyle w:val="11"/>
            </w:pPr>
            <w:r>
              <w:t>二级指标</w:t>
            </w:r>
          </w:p>
        </w:tc>
        <w:tc>
          <w:tcPr>
            <w:tcW w:w="2835" w:type="dxa"/>
            <w:vAlign w:val="center"/>
          </w:tcPr>
          <w:p w14:paraId="2C42BE67">
            <w:pPr>
              <w:pStyle w:val="11"/>
            </w:pPr>
            <w:r>
              <w:t>三级指标</w:t>
            </w:r>
          </w:p>
        </w:tc>
        <w:tc>
          <w:tcPr>
            <w:tcW w:w="5386" w:type="dxa"/>
            <w:vAlign w:val="center"/>
          </w:tcPr>
          <w:p w14:paraId="31578C9D">
            <w:pPr>
              <w:pStyle w:val="11"/>
            </w:pPr>
            <w:r>
              <w:t>绩效指标描述</w:t>
            </w:r>
          </w:p>
        </w:tc>
        <w:tc>
          <w:tcPr>
            <w:tcW w:w="2268" w:type="dxa"/>
            <w:vAlign w:val="center"/>
          </w:tcPr>
          <w:p w14:paraId="65C198A6">
            <w:pPr>
              <w:pStyle w:val="11"/>
            </w:pPr>
            <w:r>
              <w:t>指标值</w:t>
            </w:r>
          </w:p>
        </w:tc>
        <w:tc>
          <w:tcPr>
            <w:tcW w:w="1276" w:type="dxa"/>
            <w:vAlign w:val="center"/>
          </w:tcPr>
          <w:p w14:paraId="605EDB88">
            <w:pPr>
              <w:pStyle w:val="11"/>
            </w:pPr>
            <w:r>
              <w:t>指标值确定依据</w:t>
            </w:r>
          </w:p>
        </w:tc>
      </w:tr>
      <w:tr w14:paraId="1E579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5A3C6">
            <w:pPr>
              <w:pStyle w:val="12"/>
            </w:pPr>
            <w:r>
              <w:t>产出指标</w:t>
            </w:r>
          </w:p>
        </w:tc>
        <w:tc>
          <w:tcPr>
            <w:tcW w:w="2268" w:type="dxa"/>
            <w:vAlign w:val="center"/>
          </w:tcPr>
          <w:p w14:paraId="6307DEF7">
            <w:pPr>
              <w:pStyle w:val="13"/>
            </w:pPr>
            <w:r>
              <w:t>数量指标</w:t>
            </w:r>
          </w:p>
        </w:tc>
        <w:tc>
          <w:tcPr>
            <w:tcW w:w="2835" w:type="dxa"/>
            <w:vAlign w:val="center"/>
          </w:tcPr>
          <w:p w14:paraId="4E20D44D">
            <w:pPr>
              <w:pStyle w:val="13"/>
            </w:pPr>
            <w:r>
              <w:t>张汪小学甬路西平房及院落等维修改造</w:t>
            </w:r>
          </w:p>
        </w:tc>
        <w:tc>
          <w:tcPr>
            <w:tcW w:w="5386" w:type="dxa"/>
            <w:vAlign w:val="center"/>
          </w:tcPr>
          <w:p w14:paraId="143A69C4">
            <w:pPr>
              <w:pStyle w:val="13"/>
            </w:pPr>
            <w:r>
              <w:t>平房前院落铺花砖、屋顶扣瓦、安装门窗、刮墙、平房前院落垫土等</w:t>
            </w:r>
          </w:p>
        </w:tc>
        <w:tc>
          <w:tcPr>
            <w:tcW w:w="2268" w:type="dxa"/>
            <w:vAlign w:val="center"/>
          </w:tcPr>
          <w:p w14:paraId="10FBE6A3">
            <w:pPr>
              <w:pStyle w:val="13"/>
            </w:pPr>
            <w:r>
              <w:t>1项</w:t>
            </w:r>
          </w:p>
        </w:tc>
        <w:tc>
          <w:tcPr>
            <w:tcW w:w="1276" w:type="dxa"/>
            <w:vAlign w:val="center"/>
          </w:tcPr>
          <w:p w14:paraId="4C017EF0">
            <w:pPr>
              <w:pStyle w:val="13"/>
            </w:pPr>
            <w:r>
              <w:t>项目规划</w:t>
            </w:r>
          </w:p>
        </w:tc>
      </w:tr>
      <w:tr w14:paraId="38147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63052"/>
        </w:tc>
        <w:tc>
          <w:tcPr>
            <w:tcW w:w="2268" w:type="dxa"/>
            <w:vAlign w:val="center"/>
          </w:tcPr>
          <w:p w14:paraId="69436AB6">
            <w:pPr>
              <w:pStyle w:val="13"/>
            </w:pPr>
            <w:r>
              <w:t>质量指标</w:t>
            </w:r>
          </w:p>
        </w:tc>
        <w:tc>
          <w:tcPr>
            <w:tcW w:w="2835" w:type="dxa"/>
            <w:vAlign w:val="center"/>
          </w:tcPr>
          <w:p w14:paraId="7696B0BF">
            <w:pPr>
              <w:pStyle w:val="13"/>
            </w:pPr>
            <w:r>
              <w:t>工程实施验收合格率</w:t>
            </w:r>
          </w:p>
        </w:tc>
        <w:tc>
          <w:tcPr>
            <w:tcW w:w="5386" w:type="dxa"/>
            <w:vAlign w:val="center"/>
          </w:tcPr>
          <w:p w14:paraId="69E098D0">
            <w:pPr>
              <w:pStyle w:val="13"/>
            </w:pPr>
            <w:r>
              <w:t>申报程序的合规，项目实施及资金使用符合项目规划</w:t>
            </w:r>
          </w:p>
        </w:tc>
        <w:tc>
          <w:tcPr>
            <w:tcW w:w="2268" w:type="dxa"/>
            <w:vAlign w:val="center"/>
          </w:tcPr>
          <w:p w14:paraId="5EE9190F">
            <w:pPr>
              <w:pStyle w:val="13"/>
            </w:pPr>
            <w:r>
              <w:t>100%</w:t>
            </w:r>
          </w:p>
        </w:tc>
        <w:tc>
          <w:tcPr>
            <w:tcW w:w="1276" w:type="dxa"/>
            <w:vAlign w:val="center"/>
          </w:tcPr>
          <w:p w14:paraId="411E1566">
            <w:pPr>
              <w:pStyle w:val="13"/>
            </w:pPr>
            <w:r>
              <w:t>项目规划</w:t>
            </w:r>
          </w:p>
        </w:tc>
      </w:tr>
      <w:tr w14:paraId="1E927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F5B73"/>
        </w:tc>
        <w:tc>
          <w:tcPr>
            <w:tcW w:w="2268" w:type="dxa"/>
            <w:vAlign w:val="center"/>
          </w:tcPr>
          <w:p w14:paraId="26F6C121">
            <w:pPr>
              <w:pStyle w:val="13"/>
            </w:pPr>
            <w:r>
              <w:t>时效指标</w:t>
            </w:r>
          </w:p>
        </w:tc>
        <w:tc>
          <w:tcPr>
            <w:tcW w:w="2835" w:type="dxa"/>
            <w:vAlign w:val="center"/>
          </w:tcPr>
          <w:p w14:paraId="71F88807">
            <w:pPr>
              <w:pStyle w:val="13"/>
            </w:pPr>
            <w:r>
              <w:t>资金支付率</w:t>
            </w:r>
          </w:p>
        </w:tc>
        <w:tc>
          <w:tcPr>
            <w:tcW w:w="5386" w:type="dxa"/>
            <w:vAlign w:val="center"/>
          </w:tcPr>
          <w:p w14:paraId="5A983EE1">
            <w:pPr>
              <w:pStyle w:val="13"/>
            </w:pPr>
            <w:r>
              <w:t>按照序时进度完成资金支付</w:t>
            </w:r>
          </w:p>
        </w:tc>
        <w:tc>
          <w:tcPr>
            <w:tcW w:w="2268" w:type="dxa"/>
            <w:vAlign w:val="center"/>
          </w:tcPr>
          <w:p w14:paraId="1BDDF618">
            <w:pPr>
              <w:pStyle w:val="13"/>
            </w:pPr>
            <w:r>
              <w:t>100%</w:t>
            </w:r>
          </w:p>
        </w:tc>
        <w:tc>
          <w:tcPr>
            <w:tcW w:w="1276" w:type="dxa"/>
            <w:vAlign w:val="center"/>
          </w:tcPr>
          <w:p w14:paraId="538A3974">
            <w:pPr>
              <w:pStyle w:val="13"/>
            </w:pPr>
            <w:r>
              <w:t>项目规划</w:t>
            </w:r>
          </w:p>
        </w:tc>
      </w:tr>
      <w:tr w14:paraId="27564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05786"/>
        </w:tc>
        <w:tc>
          <w:tcPr>
            <w:tcW w:w="2268" w:type="dxa"/>
            <w:vAlign w:val="center"/>
          </w:tcPr>
          <w:p w14:paraId="474DF710">
            <w:pPr>
              <w:pStyle w:val="13"/>
            </w:pPr>
            <w:r>
              <w:t>成本指标</w:t>
            </w:r>
          </w:p>
        </w:tc>
        <w:tc>
          <w:tcPr>
            <w:tcW w:w="2835" w:type="dxa"/>
            <w:vAlign w:val="center"/>
          </w:tcPr>
          <w:p w14:paraId="7576CCA5">
            <w:pPr>
              <w:pStyle w:val="13"/>
            </w:pPr>
            <w:r>
              <w:t>项目成本控制情况</w:t>
            </w:r>
          </w:p>
        </w:tc>
        <w:tc>
          <w:tcPr>
            <w:tcW w:w="5386" w:type="dxa"/>
            <w:vAlign w:val="center"/>
          </w:tcPr>
          <w:p w14:paraId="48B646D1">
            <w:pPr>
              <w:pStyle w:val="13"/>
            </w:pPr>
            <w:r>
              <w:t>严格按照招标价格及审计额进行</w:t>
            </w:r>
          </w:p>
        </w:tc>
        <w:tc>
          <w:tcPr>
            <w:tcW w:w="2268" w:type="dxa"/>
            <w:vAlign w:val="center"/>
          </w:tcPr>
          <w:p w14:paraId="7FBC11AE">
            <w:pPr>
              <w:pStyle w:val="13"/>
            </w:pPr>
            <w:r>
              <w:t>12.89万元</w:t>
            </w:r>
          </w:p>
        </w:tc>
        <w:tc>
          <w:tcPr>
            <w:tcW w:w="1276" w:type="dxa"/>
            <w:vAlign w:val="center"/>
          </w:tcPr>
          <w:p w14:paraId="2B1BD575">
            <w:pPr>
              <w:pStyle w:val="13"/>
            </w:pPr>
            <w:r>
              <w:t>项目规划</w:t>
            </w:r>
          </w:p>
        </w:tc>
      </w:tr>
      <w:tr w14:paraId="62ABC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412BE1">
            <w:pPr>
              <w:pStyle w:val="12"/>
            </w:pPr>
            <w:r>
              <w:t>效益指标</w:t>
            </w:r>
          </w:p>
        </w:tc>
        <w:tc>
          <w:tcPr>
            <w:tcW w:w="2268" w:type="dxa"/>
            <w:vAlign w:val="center"/>
          </w:tcPr>
          <w:p w14:paraId="04473902">
            <w:pPr>
              <w:pStyle w:val="13"/>
            </w:pPr>
            <w:r>
              <w:t>社会效益指标</w:t>
            </w:r>
          </w:p>
        </w:tc>
        <w:tc>
          <w:tcPr>
            <w:tcW w:w="2835" w:type="dxa"/>
            <w:vAlign w:val="center"/>
          </w:tcPr>
          <w:p w14:paraId="034EC276">
            <w:pPr>
              <w:pStyle w:val="13"/>
            </w:pPr>
            <w:r>
              <w:t>学校办学环境提升</w:t>
            </w:r>
          </w:p>
        </w:tc>
        <w:tc>
          <w:tcPr>
            <w:tcW w:w="5386" w:type="dxa"/>
            <w:vAlign w:val="center"/>
          </w:tcPr>
          <w:p w14:paraId="5B173F7C">
            <w:pPr>
              <w:pStyle w:val="13"/>
            </w:pPr>
            <w:r>
              <w:t>学校教学环境提升优化率</w:t>
            </w:r>
          </w:p>
        </w:tc>
        <w:tc>
          <w:tcPr>
            <w:tcW w:w="2268" w:type="dxa"/>
            <w:vAlign w:val="center"/>
          </w:tcPr>
          <w:p w14:paraId="7D1D9B8D">
            <w:pPr>
              <w:pStyle w:val="13"/>
            </w:pPr>
            <w:r>
              <w:t>100%</w:t>
            </w:r>
          </w:p>
        </w:tc>
        <w:tc>
          <w:tcPr>
            <w:tcW w:w="1276" w:type="dxa"/>
            <w:vAlign w:val="center"/>
          </w:tcPr>
          <w:p w14:paraId="090BFEA2">
            <w:pPr>
              <w:pStyle w:val="13"/>
            </w:pPr>
            <w:r>
              <w:t>项目规划</w:t>
            </w:r>
          </w:p>
        </w:tc>
      </w:tr>
      <w:tr w14:paraId="1CD6E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1D951">
            <w:pPr>
              <w:pStyle w:val="12"/>
            </w:pPr>
            <w:r>
              <w:t>满意度指标</w:t>
            </w:r>
          </w:p>
        </w:tc>
        <w:tc>
          <w:tcPr>
            <w:tcW w:w="2268" w:type="dxa"/>
            <w:vAlign w:val="center"/>
          </w:tcPr>
          <w:p w14:paraId="71B1635E">
            <w:pPr>
              <w:pStyle w:val="13"/>
            </w:pPr>
            <w:r>
              <w:t>服务对象满意度指标</w:t>
            </w:r>
          </w:p>
        </w:tc>
        <w:tc>
          <w:tcPr>
            <w:tcW w:w="2835" w:type="dxa"/>
            <w:vAlign w:val="center"/>
          </w:tcPr>
          <w:p w14:paraId="14897FDF">
            <w:pPr>
              <w:pStyle w:val="13"/>
            </w:pPr>
            <w:r>
              <w:t>受益学生家长及调查满意度</w:t>
            </w:r>
          </w:p>
        </w:tc>
        <w:tc>
          <w:tcPr>
            <w:tcW w:w="5386" w:type="dxa"/>
            <w:vAlign w:val="center"/>
          </w:tcPr>
          <w:p w14:paraId="7BDFC0EC">
            <w:pPr>
              <w:pStyle w:val="13"/>
            </w:pPr>
            <w:r>
              <w:t>学生、教师及家长对学校教学环境满意度情况</w:t>
            </w:r>
          </w:p>
        </w:tc>
        <w:tc>
          <w:tcPr>
            <w:tcW w:w="2268" w:type="dxa"/>
            <w:vAlign w:val="center"/>
          </w:tcPr>
          <w:p w14:paraId="70B5F4C5">
            <w:pPr>
              <w:pStyle w:val="13"/>
            </w:pPr>
            <w:r>
              <w:t>≥95%</w:t>
            </w:r>
          </w:p>
        </w:tc>
        <w:tc>
          <w:tcPr>
            <w:tcW w:w="1276" w:type="dxa"/>
            <w:vAlign w:val="center"/>
          </w:tcPr>
          <w:p w14:paraId="29F867B7">
            <w:pPr>
              <w:pStyle w:val="13"/>
            </w:pPr>
            <w:r>
              <w:t>项目规划</w:t>
            </w:r>
          </w:p>
        </w:tc>
      </w:tr>
    </w:tbl>
    <w:p w14:paraId="0368E30E">
      <w:pPr>
        <w:sectPr>
          <w:pgSz w:w="16840" w:h="11900" w:orient="landscape"/>
          <w:pgMar w:top="1361" w:right="1020" w:bottom="1134" w:left="1020" w:header="720" w:footer="720" w:gutter="0"/>
          <w:cols w:space="720" w:num="1"/>
        </w:sectPr>
      </w:pPr>
    </w:p>
    <w:p w14:paraId="5124AE68">
      <w:pPr>
        <w:spacing w:before="0" w:after="0"/>
        <w:ind w:firstLine="560"/>
        <w:jc w:val="left"/>
        <w:outlineLvl w:val="9"/>
      </w:pPr>
      <w:r>
        <w:rPr>
          <w:rFonts w:ascii="方正仿宋_GBK" w:hAnsi="方正仿宋_GBK" w:eastAsia="方正仿宋_GBK" w:cs="方正仿宋_GBK"/>
          <w:b/>
          <w:color w:val="000000"/>
          <w:sz w:val="28"/>
        </w:rPr>
        <w:t>17、县级配套/魏庄校区学前教育幼儿资助绩效目标表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21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11032">
            <w:pPr>
              <w:pStyle w:val="14"/>
            </w:pPr>
            <w:r>
              <w:t>单位：万元</w:t>
            </w:r>
          </w:p>
        </w:tc>
      </w:tr>
      <w:tr w14:paraId="3AF31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7342F4">
            <w:pPr>
              <w:pStyle w:val="11"/>
            </w:pPr>
            <w:r>
              <w:t>项目编码</w:t>
            </w:r>
          </w:p>
        </w:tc>
        <w:tc>
          <w:tcPr>
            <w:tcW w:w="5103" w:type="dxa"/>
            <w:gridSpan w:val="2"/>
            <w:vAlign w:val="center"/>
          </w:tcPr>
          <w:p w14:paraId="22906A89">
            <w:pPr>
              <w:pStyle w:val="13"/>
            </w:pPr>
            <w:r>
              <w:t>13052525P000002100166</w:t>
            </w:r>
          </w:p>
        </w:tc>
        <w:tc>
          <w:tcPr>
            <w:tcW w:w="2835" w:type="dxa"/>
            <w:vAlign w:val="center"/>
          </w:tcPr>
          <w:p w14:paraId="449D4DF8">
            <w:pPr>
              <w:pStyle w:val="11"/>
            </w:pPr>
            <w:r>
              <w:t>项目名称</w:t>
            </w:r>
          </w:p>
        </w:tc>
        <w:tc>
          <w:tcPr>
            <w:tcW w:w="6095" w:type="dxa"/>
            <w:gridSpan w:val="3"/>
            <w:vAlign w:val="center"/>
          </w:tcPr>
          <w:p w14:paraId="01A9F49B">
            <w:pPr>
              <w:pStyle w:val="13"/>
            </w:pPr>
            <w:r>
              <w:t>县级配套/魏庄校区学前教育幼儿资助</w:t>
            </w:r>
          </w:p>
        </w:tc>
      </w:tr>
      <w:tr w14:paraId="49036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5CE17">
            <w:pPr>
              <w:pStyle w:val="11"/>
            </w:pPr>
            <w:r>
              <w:t>预算规模及资金用途</w:t>
            </w:r>
          </w:p>
        </w:tc>
        <w:tc>
          <w:tcPr>
            <w:tcW w:w="2268" w:type="dxa"/>
            <w:vAlign w:val="center"/>
          </w:tcPr>
          <w:p w14:paraId="48940A20">
            <w:pPr>
              <w:pStyle w:val="11"/>
            </w:pPr>
            <w:r>
              <w:t>预算数</w:t>
            </w:r>
          </w:p>
        </w:tc>
        <w:tc>
          <w:tcPr>
            <w:tcW w:w="2835" w:type="dxa"/>
            <w:vAlign w:val="center"/>
          </w:tcPr>
          <w:p w14:paraId="1323151E">
            <w:pPr>
              <w:pStyle w:val="13"/>
            </w:pPr>
            <w:r>
              <w:t>0.54</w:t>
            </w:r>
          </w:p>
        </w:tc>
        <w:tc>
          <w:tcPr>
            <w:tcW w:w="2835" w:type="dxa"/>
            <w:vAlign w:val="center"/>
          </w:tcPr>
          <w:p w14:paraId="27630E43">
            <w:pPr>
              <w:pStyle w:val="11"/>
            </w:pPr>
            <w:r>
              <w:t>其中：财政    资金</w:t>
            </w:r>
          </w:p>
        </w:tc>
        <w:tc>
          <w:tcPr>
            <w:tcW w:w="2551" w:type="dxa"/>
            <w:vAlign w:val="center"/>
          </w:tcPr>
          <w:p w14:paraId="3C115C13">
            <w:pPr>
              <w:pStyle w:val="13"/>
            </w:pPr>
            <w:r>
              <w:t>0.54</w:t>
            </w:r>
          </w:p>
        </w:tc>
        <w:tc>
          <w:tcPr>
            <w:tcW w:w="2268" w:type="dxa"/>
            <w:vAlign w:val="center"/>
          </w:tcPr>
          <w:p w14:paraId="112C15FD">
            <w:pPr>
              <w:pStyle w:val="11"/>
            </w:pPr>
            <w:r>
              <w:t>其他资金</w:t>
            </w:r>
          </w:p>
        </w:tc>
        <w:tc>
          <w:tcPr>
            <w:tcW w:w="1276" w:type="dxa"/>
            <w:vAlign w:val="center"/>
          </w:tcPr>
          <w:p w14:paraId="71DEB820">
            <w:pPr>
              <w:pStyle w:val="13"/>
            </w:pPr>
            <w:r>
              <w:t xml:space="preserve"> </w:t>
            </w:r>
          </w:p>
        </w:tc>
      </w:tr>
      <w:tr w14:paraId="4AA03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122EC"/>
        </w:tc>
        <w:tc>
          <w:tcPr>
            <w:tcW w:w="14033" w:type="dxa"/>
            <w:gridSpan w:val="6"/>
            <w:vAlign w:val="center"/>
          </w:tcPr>
          <w:p w14:paraId="13C13F07">
            <w:pPr>
              <w:pStyle w:val="13"/>
            </w:pPr>
            <w:r>
              <w:t>保障落实建档立卡及家庭经济困难儿童资助所需资金，确保建档立卡等家庭经济困难幼儿优先获得资助,符合享受资助条件的学生应助尽助。</w:t>
            </w:r>
          </w:p>
        </w:tc>
      </w:tr>
      <w:tr w14:paraId="4B3FE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D58AC">
            <w:pPr>
              <w:pStyle w:val="11"/>
            </w:pPr>
            <w:r>
              <w:t>资金支出计划（%）</w:t>
            </w:r>
          </w:p>
        </w:tc>
        <w:tc>
          <w:tcPr>
            <w:tcW w:w="5103" w:type="dxa"/>
            <w:gridSpan w:val="2"/>
            <w:vAlign w:val="center"/>
          </w:tcPr>
          <w:p w14:paraId="320322F4">
            <w:pPr>
              <w:pStyle w:val="11"/>
            </w:pPr>
            <w:r>
              <w:t>3月底</w:t>
            </w:r>
          </w:p>
        </w:tc>
        <w:tc>
          <w:tcPr>
            <w:tcW w:w="2835" w:type="dxa"/>
            <w:vAlign w:val="center"/>
          </w:tcPr>
          <w:p w14:paraId="1CAEB0E6">
            <w:pPr>
              <w:pStyle w:val="11"/>
            </w:pPr>
            <w:r>
              <w:t>6月底</w:t>
            </w:r>
          </w:p>
        </w:tc>
        <w:tc>
          <w:tcPr>
            <w:tcW w:w="2551" w:type="dxa"/>
            <w:vAlign w:val="center"/>
          </w:tcPr>
          <w:p w14:paraId="0B91A37C">
            <w:pPr>
              <w:pStyle w:val="11"/>
            </w:pPr>
            <w:r>
              <w:t>10月底</w:t>
            </w:r>
          </w:p>
        </w:tc>
        <w:tc>
          <w:tcPr>
            <w:tcW w:w="3544" w:type="dxa"/>
            <w:gridSpan w:val="2"/>
            <w:vAlign w:val="center"/>
          </w:tcPr>
          <w:p w14:paraId="6E340BE8">
            <w:pPr>
              <w:pStyle w:val="11"/>
            </w:pPr>
            <w:r>
              <w:t>12月底</w:t>
            </w:r>
          </w:p>
        </w:tc>
      </w:tr>
      <w:tr w14:paraId="16E88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FE3309"/>
        </w:tc>
        <w:tc>
          <w:tcPr>
            <w:tcW w:w="5103" w:type="dxa"/>
            <w:gridSpan w:val="2"/>
            <w:vAlign w:val="center"/>
          </w:tcPr>
          <w:p w14:paraId="06CBB792">
            <w:pPr>
              <w:pStyle w:val="12"/>
            </w:pPr>
            <w:r>
              <w:t>50%</w:t>
            </w:r>
          </w:p>
        </w:tc>
        <w:tc>
          <w:tcPr>
            <w:tcW w:w="2835" w:type="dxa"/>
            <w:vAlign w:val="center"/>
          </w:tcPr>
          <w:p w14:paraId="70121DC9">
            <w:pPr>
              <w:pStyle w:val="12"/>
            </w:pPr>
            <w:r>
              <w:t>50%</w:t>
            </w:r>
          </w:p>
        </w:tc>
        <w:tc>
          <w:tcPr>
            <w:tcW w:w="2551" w:type="dxa"/>
            <w:vAlign w:val="center"/>
          </w:tcPr>
          <w:p w14:paraId="743D88BF">
            <w:pPr>
              <w:pStyle w:val="12"/>
            </w:pPr>
            <w:r>
              <w:t>100%</w:t>
            </w:r>
          </w:p>
        </w:tc>
        <w:tc>
          <w:tcPr>
            <w:tcW w:w="3544" w:type="dxa"/>
            <w:gridSpan w:val="2"/>
            <w:vAlign w:val="center"/>
          </w:tcPr>
          <w:p w14:paraId="3BB614A5">
            <w:pPr>
              <w:pStyle w:val="12"/>
            </w:pPr>
            <w:r>
              <w:t>100%</w:t>
            </w:r>
          </w:p>
        </w:tc>
      </w:tr>
      <w:tr w14:paraId="34AB4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18987">
            <w:pPr>
              <w:pStyle w:val="11"/>
            </w:pPr>
            <w:r>
              <w:t>绩效目标</w:t>
            </w:r>
          </w:p>
        </w:tc>
        <w:tc>
          <w:tcPr>
            <w:tcW w:w="14033" w:type="dxa"/>
            <w:gridSpan w:val="6"/>
            <w:vAlign w:val="center"/>
          </w:tcPr>
          <w:p w14:paraId="4ED66647">
            <w:pPr>
              <w:pStyle w:val="13"/>
            </w:pPr>
            <w:r>
              <w:t>1.保证本年度资助经费足额落实到位，符合享受资助条件的学生应助尽助。</w:t>
            </w:r>
          </w:p>
          <w:p w14:paraId="092719CF">
            <w:pPr>
              <w:pStyle w:val="13"/>
            </w:pPr>
            <w:r>
              <w:t>2.保障落实建档立卡及家庭经济困难儿童资助所需资金，确保建档立卡等家庭经济困难幼儿优先获得资助</w:t>
            </w:r>
          </w:p>
        </w:tc>
      </w:tr>
    </w:tbl>
    <w:p w14:paraId="3D2D75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6F1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E0157">
            <w:pPr>
              <w:pStyle w:val="11"/>
            </w:pPr>
            <w:r>
              <w:t>一级指标</w:t>
            </w:r>
          </w:p>
        </w:tc>
        <w:tc>
          <w:tcPr>
            <w:tcW w:w="2268" w:type="dxa"/>
            <w:vAlign w:val="center"/>
          </w:tcPr>
          <w:p w14:paraId="45D3DF87">
            <w:pPr>
              <w:pStyle w:val="11"/>
            </w:pPr>
            <w:r>
              <w:t>二级指标</w:t>
            </w:r>
          </w:p>
        </w:tc>
        <w:tc>
          <w:tcPr>
            <w:tcW w:w="2835" w:type="dxa"/>
            <w:vAlign w:val="center"/>
          </w:tcPr>
          <w:p w14:paraId="56C0938D">
            <w:pPr>
              <w:pStyle w:val="11"/>
            </w:pPr>
            <w:r>
              <w:t>三级指标</w:t>
            </w:r>
          </w:p>
        </w:tc>
        <w:tc>
          <w:tcPr>
            <w:tcW w:w="5386" w:type="dxa"/>
            <w:vAlign w:val="center"/>
          </w:tcPr>
          <w:p w14:paraId="3B20C69D">
            <w:pPr>
              <w:pStyle w:val="11"/>
            </w:pPr>
            <w:r>
              <w:t>绩效指标描述</w:t>
            </w:r>
          </w:p>
        </w:tc>
        <w:tc>
          <w:tcPr>
            <w:tcW w:w="2268" w:type="dxa"/>
            <w:vAlign w:val="center"/>
          </w:tcPr>
          <w:p w14:paraId="3CEFCC4B">
            <w:pPr>
              <w:pStyle w:val="11"/>
            </w:pPr>
            <w:r>
              <w:t>指标值</w:t>
            </w:r>
          </w:p>
        </w:tc>
        <w:tc>
          <w:tcPr>
            <w:tcW w:w="1276" w:type="dxa"/>
            <w:vAlign w:val="center"/>
          </w:tcPr>
          <w:p w14:paraId="32D4EB81">
            <w:pPr>
              <w:pStyle w:val="11"/>
            </w:pPr>
            <w:r>
              <w:t>指标值确定依据</w:t>
            </w:r>
          </w:p>
        </w:tc>
      </w:tr>
      <w:tr w14:paraId="57E51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AE92F">
            <w:pPr>
              <w:pStyle w:val="12"/>
            </w:pPr>
            <w:r>
              <w:t>产出指标</w:t>
            </w:r>
          </w:p>
        </w:tc>
        <w:tc>
          <w:tcPr>
            <w:tcW w:w="2268" w:type="dxa"/>
            <w:vAlign w:val="center"/>
          </w:tcPr>
          <w:p w14:paraId="2B4821A8">
            <w:pPr>
              <w:pStyle w:val="13"/>
            </w:pPr>
            <w:r>
              <w:t>成本指标</w:t>
            </w:r>
          </w:p>
        </w:tc>
        <w:tc>
          <w:tcPr>
            <w:tcW w:w="2835" w:type="dxa"/>
            <w:vAlign w:val="center"/>
          </w:tcPr>
          <w:p w14:paraId="5CAF82BA">
            <w:pPr>
              <w:pStyle w:val="13"/>
            </w:pPr>
            <w:r>
              <w:t>幼儿园资助标准</w:t>
            </w:r>
          </w:p>
        </w:tc>
        <w:tc>
          <w:tcPr>
            <w:tcW w:w="5386" w:type="dxa"/>
            <w:vAlign w:val="center"/>
          </w:tcPr>
          <w:p w14:paraId="0CA8E267">
            <w:pPr>
              <w:pStyle w:val="13"/>
            </w:pPr>
            <w:r>
              <w:t>按照幼儿园资助标准1000元/生/年</w:t>
            </w:r>
          </w:p>
        </w:tc>
        <w:tc>
          <w:tcPr>
            <w:tcW w:w="2268" w:type="dxa"/>
            <w:vAlign w:val="center"/>
          </w:tcPr>
          <w:p w14:paraId="2948F01B">
            <w:pPr>
              <w:pStyle w:val="13"/>
            </w:pPr>
            <w:r>
              <w:t>1000元/生/年</w:t>
            </w:r>
          </w:p>
        </w:tc>
        <w:tc>
          <w:tcPr>
            <w:tcW w:w="1276" w:type="dxa"/>
            <w:vAlign w:val="center"/>
          </w:tcPr>
          <w:p w14:paraId="1FF16EB5">
            <w:pPr>
              <w:pStyle w:val="13"/>
            </w:pPr>
            <w:r>
              <w:t>幼儿资助经费管理办法</w:t>
            </w:r>
          </w:p>
        </w:tc>
      </w:tr>
      <w:tr w14:paraId="7C59D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2AD5B"/>
        </w:tc>
        <w:tc>
          <w:tcPr>
            <w:tcW w:w="2268" w:type="dxa"/>
            <w:vAlign w:val="center"/>
          </w:tcPr>
          <w:p w14:paraId="03B37188">
            <w:pPr>
              <w:pStyle w:val="13"/>
            </w:pPr>
            <w:r>
              <w:t>数量指标</w:t>
            </w:r>
          </w:p>
        </w:tc>
        <w:tc>
          <w:tcPr>
            <w:tcW w:w="2835" w:type="dxa"/>
            <w:vAlign w:val="center"/>
          </w:tcPr>
          <w:p w14:paraId="57BBD150">
            <w:pPr>
              <w:pStyle w:val="13"/>
            </w:pPr>
            <w:r>
              <w:t>幼儿资助比例</w:t>
            </w:r>
          </w:p>
        </w:tc>
        <w:tc>
          <w:tcPr>
            <w:tcW w:w="5386" w:type="dxa"/>
            <w:vAlign w:val="center"/>
          </w:tcPr>
          <w:p w14:paraId="783765DF">
            <w:pPr>
              <w:pStyle w:val="13"/>
            </w:pPr>
            <w:r>
              <w:t>按学前适龄在园儿童10%测算</w:t>
            </w:r>
          </w:p>
        </w:tc>
        <w:tc>
          <w:tcPr>
            <w:tcW w:w="2268" w:type="dxa"/>
            <w:vAlign w:val="center"/>
          </w:tcPr>
          <w:p w14:paraId="3647D542">
            <w:pPr>
              <w:pStyle w:val="13"/>
            </w:pPr>
            <w:r>
              <w:t>10%</w:t>
            </w:r>
          </w:p>
        </w:tc>
        <w:tc>
          <w:tcPr>
            <w:tcW w:w="1276" w:type="dxa"/>
            <w:vAlign w:val="center"/>
          </w:tcPr>
          <w:p w14:paraId="2965A55C">
            <w:pPr>
              <w:pStyle w:val="13"/>
            </w:pPr>
            <w:r>
              <w:t>幼儿资助经费管理办法</w:t>
            </w:r>
          </w:p>
        </w:tc>
      </w:tr>
      <w:tr w14:paraId="6CBAF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03790"/>
        </w:tc>
        <w:tc>
          <w:tcPr>
            <w:tcW w:w="2268" w:type="dxa"/>
            <w:vAlign w:val="center"/>
          </w:tcPr>
          <w:p w14:paraId="27C20BA7">
            <w:pPr>
              <w:pStyle w:val="13"/>
            </w:pPr>
            <w:r>
              <w:t>质量指标</w:t>
            </w:r>
          </w:p>
        </w:tc>
        <w:tc>
          <w:tcPr>
            <w:tcW w:w="2835" w:type="dxa"/>
            <w:vAlign w:val="center"/>
          </w:tcPr>
          <w:p w14:paraId="72FC785F">
            <w:pPr>
              <w:pStyle w:val="13"/>
            </w:pPr>
            <w:r>
              <w:t>学前教育资助制度落实情况</w:t>
            </w:r>
          </w:p>
        </w:tc>
        <w:tc>
          <w:tcPr>
            <w:tcW w:w="5386" w:type="dxa"/>
            <w:vAlign w:val="center"/>
          </w:tcPr>
          <w:p w14:paraId="0F8416A1">
            <w:pPr>
              <w:pStyle w:val="13"/>
            </w:pPr>
            <w:r>
              <w:t>符合享受资助条件的学生应助尽助</w:t>
            </w:r>
          </w:p>
        </w:tc>
        <w:tc>
          <w:tcPr>
            <w:tcW w:w="2268" w:type="dxa"/>
            <w:vAlign w:val="center"/>
          </w:tcPr>
          <w:p w14:paraId="15B6EFEF">
            <w:pPr>
              <w:pStyle w:val="13"/>
            </w:pPr>
            <w:r>
              <w:t>100%</w:t>
            </w:r>
          </w:p>
        </w:tc>
        <w:tc>
          <w:tcPr>
            <w:tcW w:w="1276" w:type="dxa"/>
            <w:vAlign w:val="center"/>
          </w:tcPr>
          <w:p w14:paraId="5364212B">
            <w:pPr>
              <w:pStyle w:val="13"/>
            </w:pPr>
            <w:r>
              <w:t>幼儿资助经费管理办法</w:t>
            </w:r>
          </w:p>
        </w:tc>
      </w:tr>
      <w:tr w14:paraId="6A4D7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1B2CC"/>
        </w:tc>
        <w:tc>
          <w:tcPr>
            <w:tcW w:w="2268" w:type="dxa"/>
            <w:vAlign w:val="center"/>
          </w:tcPr>
          <w:p w14:paraId="34B7B690">
            <w:pPr>
              <w:pStyle w:val="13"/>
            </w:pPr>
            <w:r>
              <w:t>时效指标</w:t>
            </w:r>
          </w:p>
        </w:tc>
        <w:tc>
          <w:tcPr>
            <w:tcW w:w="2835" w:type="dxa"/>
            <w:vAlign w:val="center"/>
          </w:tcPr>
          <w:p w14:paraId="5AF20204">
            <w:pPr>
              <w:pStyle w:val="13"/>
            </w:pPr>
            <w:r>
              <w:t>资金拨付率</w:t>
            </w:r>
          </w:p>
        </w:tc>
        <w:tc>
          <w:tcPr>
            <w:tcW w:w="5386" w:type="dxa"/>
            <w:vAlign w:val="center"/>
          </w:tcPr>
          <w:p w14:paraId="1031C7A8">
            <w:pPr>
              <w:pStyle w:val="13"/>
            </w:pPr>
            <w:r>
              <w:t>所有项目资金支付进度</w:t>
            </w:r>
          </w:p>
        </w:tc>
        <w:tc>
          <w:tcPr>
            <w:tcW w:w="2268" w:type="dxa"/>
            <w:vAlign w:val="center"/>
          </w:tcPr>
          <w:p w14:paraId="1815F789">
            <w:pPr>
              <w:pStyle w:val="13"/>
            </w:pPr>
            <w:r>
              <w:t>100%</w:t>
            </w:r>
          </w:p>
        </w:tc>
        <w:tc>
          <w:tcPr>
            <w:tcW w:w="1276" w:type="dxa"/>
            <w:vAlign w:val="center"/>
          </w:tcPr>
          <w:p w14:paraId="2924959B">
            <w:pPr>
              <w:pStyle w:val="13"/>
            </w:pPr>
            <w:r>
              <w:t>幼儿资助经费管理办法</w:t>
            </w:r>
          </w:p>
        </w:tc>
      </w:tr>
      <w:tr w14:paraId="0078E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C9F673">
            <w:pPr>
              <w:pStyle w:val="12"/>
            </w:pPr>
            <w:r>
              <w:t>效益指标</w:t>
            </w:r>
          </w:p>
        </w:tc>
        <w:tc>
          <w:tcPr>
            <w:tcW w:w="2268" w:type="dxa"/>
            <w:vAlign w:val="center"/>
          </w:tcPr>
          <w:p w14:paraId="091820A6">
            <w:pPr>
              <w:pStyle w:val="13"/>
            </w:pPr>
            <w:r>
              <w:t>可持续影响指标</w:t>
            </w:r>
          </w:p>
        </w:tc>
        <w:tc>
          <w:tcPr>
            <w:tcW w:w="2835" w:type="dxa"/>
            <w:vAlign w:val="center"/>
          </w:tcPr>
          <w:p w14:paraId="5D21EC42">
            <w:pPr>
              <w:pStyle w:val="13"/>
            </w:pPr>
            <w:r>
              <w:t>幼儿园运转</w:t>
            </w:r>
          </w:p>
        </w:tc>
        <w:tc>
          <w:tcPr>
            <w:tcW w:w="5386" w:type="dxa"/>
            <w:vAlign w:val="center"/>
          </w:tcPr>
          <w:p w14:paraId="724DFEF5">
            <w:pPr>
              <w:pStyle w:val="13"/>
            </w:pPr>
            <w:r>
              <w:t>幼儿受教育年限</w:t>
            </w:r>
          </w:p>
        </w:tc>
        <w:tc>
          <w:tcPr>
            <w:tcW w:w="2268" w:type="dxa"/>
            <w:vAlign w:val="center"/>
          </w:tcPr>
          <w:p w14:paraId="63D0E0D4">
            <w:pPr>
              <w:pStyle w:val="13"/>
            </w:pPr>
            <w:r>
              <w:t>3年</w:t>
            </w:r>
          </w:p>
        </w:tc>
        <w:tc>
          <w:tcPr>
            <w:tcW w:w="1276" w:type="dxa"/>
            <w:vAlign w:val="center"/>
          </w:tcPr>
          <w:p w14:paraId="314843B6">
            <w:pPr>
              <w:pStyle w:val="13"/>
            </w:pPr>
            <w:r>
              <w:t>幼儿资助经费管理办法</w:t>
            </w:r>
          </w:p>
        </w:tc>
      </w:tr>
      <w:tr w14:paraId="5D03A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613989">
            <w:pPr>
              <w:pStyle w:val="12"/>
            </w:pPr>
            <w:r>
              <w:t>满意度指标</w:t>
            </w:r>
          </w:p>
        </w:tc>
        <w:tc>
          <w:tcPr>
            <w:tcW w:w="2268" w:type="dxa"/>
            <w:vAlign w:val="center"/>
          </w:tcPr>
          <w:p w14:paraId="47DE6C16">
            <w:pPr>
              <w:pStyle w:val="13"/>
            </w:pPr>
            <w:r>
              <w:t>服务对象满意度指标</w:t>
            </w:r>
          </w:p>
        </w:tc>
        <w:tc>
          <w:tcPr>
            <w:tcW w:w="2835" w:type="dxa"/>
            <w:vAlign w:val="center"/>
          </w:tcPr>
          <w:p w14:paraId="7635B963">
            <w:pPr>
              <w:pStyle w:val="13"/>
            </w:pPr>
            <w:r>
              <w:t>受益幼儿家长及调查满意度</w:t>
            </w:r>
          </w:p>
        </w:tc>
        <w:tc>
          <w:tcPr>
            <w:tcW w:w="5386" w:type="dxa"/>
            <w:vAlign w:val="center"/>
          </w:tcPr>
          <w:p w14:paraId="4E91B0C1">
            <w:pPr>
              <w:pStyle w:val="13"/>
            </w:pPr>
            <w:r>
              <w:t>学生、教师及家长对学校保教保育工作满意度情况</w:t>
            </w:r>
          </w:p>
        </w:tc>
        <w:tc>
          <w:tcPr>
            <w:tcW w:w="2268" w:type="dxa"/>
            <w:vAlign w:val="center"/>
          </w:tcPr>
          <w:p w14:paraId="555933AB">
            <w:pPr>
              <w:pStyle w:val="13"/>
            </w:pPr>
            <w:r>
              <w:t>≥95%</w:t>
            </w:r>
          </w:p>
        </w:tc>
        <w:tc>
          <w:tcPr>
            <w:tcW w:w="1276" w:type="dxa"/>
            <w:vAlign w:val="center"/>
          </w:tcPr>
          <w:p w14:paraId="660BE569">
            <w:pPr>
              <w:pStyle w:val="13"/>
            </w:pPr>
            <w:r>
              <w:t>幼儿资助经费管理办法</w:t>
            </w:r>
          </w:p>
        </w:tc>
      </w:tr>
    </w:tbl>
    <w:p w14:paraId="36414110">
      <w:pPr>
        <w:sectPr>
          <w:pgSz w:w="16840" w:h="11900" w:orient="landscape"/>
          <w:pgMar w:top="1361" w:right="1020" w:bottom="1134" w:left="1020" w:header="720" w:footer="720" w:gutter="0"/>
          <w:cols w:space="720" w:num="1"/>
        </w:sectPr>
      </w:pPr>
    </w:p>
    <w:p w14:paraId="15EDD26D">
      <w:pPr>
        <w:spacing w:before="0" w:after="0"/>
        <w:ind w:firstLine="560"/>
        <w:jc w:val="left"/>
        <w:outlineLvl w:val="9"/>
      </w:pPr>
      <w:r>
        <w:rPr>
          <w:rFonts w:ascii="方正仿宋_GBK" w:hAnsi="方正仿宋_GBK" w:eastAsia="方正仿宋_GBK" w:cs="方正仿宋_GBK"/>
          <w:b/>
          <w:color w:val="000000"/>
          <w:sz w:val="28"/>
        </w:rPr>
        <w:t>18、县级资金/魏庄校区幼儿园公用经费绩效目标表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A2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507B8">
            <w:pPr>
              <w:pStyle w:val="14"/>
            </w:pPr>
            <w:r>
              <w:t>单位：万元</w:t>
            </w:r>
          </w:p>
        </w:tc>
      </w:tr>
      <w:tr w14:paraId="3102E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E1C44">
            <w:pPr>
              <w:pStyle w:val="11"/>
            </w:pPr>
            <w:r>
              <w:t>项目编码</w:t>
            </w:r>
          </w:p>
        </w:tc>
        <w:tc>
          <w:tcPr>
            <w:tcW w:w="5103" w:type="dxa"/>
            <w:gridSpan w:val="2"/>
            <w:vAlign w:val="center"/>
          </w:tcPr>
          <w:p w14:paraId="11D84E66">
            <w:pPr>
              <w:pStyle w:val="13"/>
            </w:pPr>
            <w:r>
              <w:t>13052524P008756100726</w:t>
            </w:r>
          </w:p>
        </w:tc>
        <w:tc>
          <w:tcPr>
            <w:tcW w:w="2835" w:type="dxa"/>
            <w:vAlign w:val="center"/>
          </w:tcPr>
          <w:p w14:paraId="1FA530E2">
            <w:pPr>
              <w:pStyle w:val="11"/>
            </w:pPr>
            <w:r>
              <w:t>项目名称</w:t>
            </w:r>
          </w:p>
        </w:tc>
        <w:tc>
          <w:tcPr>
            <w:tcW w:w="6095" w:type="dxa"/>
            <w:gridSpan w:val="3"/>
            <w:vAlign w:val="center"/>
          </w:tcPr>
          <w:p w14:paraId="09D7064F">
            <w:pPr>
              <w:pStyle w:val="13"/>
            </w:pPr>
            <w:r>
              <w:t>县级资金/魏庄校区幼儿园公用经费</w:t>
            </w:r>
          </w:p>
        </w:tc>
      </w:tr>
      <w:tr w14:paraId="7013C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E69BE">
            <w:pPr>
              <w:pStyle w:val="11"/>
            </w:pPr>
            <w:r>
              <w:t>预算规模及资金用途</w:t>
            </w:r>
          </w:p>
        </w:tc>
        <w:tc>
          <w:tcPr>
            <w:tcW w:w="2268" w:type="dxa"/>
            <w:vAlign w:val="center"/>
          </w:tcPr>
          <w:p w14:paraId="4564510A">
            <w:pPr>
              <w:pStyle w:val="11"/>
            </w:pPr>
            <w:r>
              <w:t>预算数</w:t>
            </w:r>
          </w:p>
        </w:tc>
        <w:tc>
          <w:tcPr>
            <w:tcW w:w="2835" w:type="dxa"/>
            <w:vAlign w:val="center"/>
          </w:tcPr>
          <w:p w14:paraId="478E1F14">
            <w:pPr>
              <w:pStyle w:val="13"/>
            </w:pPr>
            <w:r>
              <w:t>15.30</w:t>
            </w:r>
          </w:p>
        </w:tc>
        <w:tc>
          <w:tcPr>
            <w:tcW w:w="2835" w:type="dxa"/>
            <w:vAlign w:val="center"/>
          </w:tcPr>
          <w:p w14:paraId="6DD735CB">
            <w:pPr>
              <w:pStyle w:val="11"/>
            </w:pPr>
            <w:r>
              <w:t>其中：财政    资金</w:t>
            </w:r>
          </w:p>
        </w:tc>
        <w:tc>
          <w:tcPr>
            <w:tcW w:w="2551" w:type="dxa"/>
            <w:vAlign w:val="center"/>
          </w:tcPr>
          <w:p w14:paraId="4E99B9DE">
            <w:pPr>
              <w:pStyle w:val="13"/>
            </w:pPr>
            <w:r>
              <w:t>15.30</w:t>
            </w:r>
          </w:p>
        </w:tc>
        <w:tc>
          <w:tcPr>
            <w:tcW w:w="2268" w:type="dxa"/>
            <w:vAlign w:val="center"/>
          </w:tcPr>
          <w:p w14:paraId="2B34085E">
            <w:pPr>
              <w:pStyle w:val="11"/>
            </w:pPr>
            <w:r>
              <w:t>其他资金</w:t>
            </w:r>
          </w:p>
        </w:tc>
        <w:tc>
          <w:tcPr>
            <w:tcW w:w="1276" w:type="dxa"/>
            <w:vAlign w:val="center"/>
          </w:tcPr>
          <w:p w14:paraId="4504EDC5">
            <w:pPr>
              <w:pStyle w:val="13"/>
            </w:pPr>
            <w:r>
              <w:t xml:space="preserve"> </w:t>
            </w:r>
          </w:p>
        </w:tc>
      </w:tr>
      <w:tr w14:paraId="13D51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31FFDD"/>
        </w:tc>
        <w:tc>
          <w:tcPr>
            <w:tcW w:w="14033" w:type="dxa"/>
            <w:gridSpan w:val="6"/>
            <w:vAlign w:val="center"/>
          </w:tcPr>
          <w:p w14:paraId="01AA190B">
            <w:pPr>
              <w:pStyle w:val="13"/>
            </w:pPr>
            <w:r>
              <w:t xml:space="preserve"> 保障幼儿园正常运转，完成教育教学活动和其他日常工作任务等方面的费用支出。</w:t>
            </w:r>
          </w:p>
        </w:tc>
      </w:tr>
      <w:tr w14:paraId="25F9E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0CC07">
            <w:pPr>
              <w:pStyle w:val="11"/>
            </w:pPr>
            <w:r>
              <w:t>资金支出计划（%）</w:t>
            </w:r>
          </w:p>
        </w:tc>
        <w:tc>
          <w:tcPr>
            <w:tcW w:w="5103" w:type="dxa"/>
            <w:gridSpan w:val="2"/>
            <w:vAlign w:val="center"/>
          </w:tcPr>
          <w:p w14:paraId="080811DF">
            <w:pPr>
              <w:pStyle w:val="11"/>
            </w:pPr>
            <w:r>
              <w:t>3月底</w:t>
            </w:r>
          </w:p>
        </w:tc>
        <w:tc>
          <w:tcPr>
            <w:tcW w:w="2835" w:type="dxa"/>
            <w:vAlign w:val="center"/>
          </w:tcPr>
          <w:p w14:paraId="4CBEAB6F">
            <w:pPr>
              <w:pStyle w:val="11"/>
            </w:pPr>
            <w:r>
              <w:t>6月底</w:t>
            </w:r>
          </w:p>
        </w:tc>
        <w:tc>
          <w:tcPr>
            <w:tcW w:w="2551" w:type="dxa"/>
            <w:vAlign w:val="center"/>
          </w:tcPr>
          <w:p w14:paraId="3299A2AD">
            <w:pPr>
              <w:pStyle w:val="11"/>
            </w:pPr>
            <w:r>
              <w:t>10月底</w:t>
            </w:r>
          </w:p>
        </w:tc>
        <w:tc>
          <w:tcPr>
            <w:tcW w:w="3544" w:type="dxa"/>
            <w:gridSpan w:val="2"/>
            <w:vAlign w:val="center"/>
          </w:tcPr>
          <w:p w14:paraId="5A143F8C">
            <w:pPr>
              <w:pStyle w:val="11"/>
            </w:pPr>
            <w:r>
              <w:t>12月底</w:t>
            </w:r>
          </w:p>
        </w:tc>
      </w:tr>
      <w:tr w14:paraId="11E5B7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ACA091"/>
        </w:tc>
        <w:tc>
          <w:tcPr>
            <w:tcW w:w="5103" w:type="dxa"/>
            <w:gridSpan w:val="2"/>
            <w:vAlign w:val="center"/>
          </w:tcPr>
          <w:p w14:paraId="63AFB578">
            <w:pPr>
              <w:pStyle w:val="12"/>
            </w:pPr>
            <w:r>
              <w:t>25%</w:t>
            </w:r>
          </w:p>
        </w:tc>
        <w:tc>
          <w:tcPr>
            <w:tcW w:w="2835" w:type="dxa"/>
            <w:vAlign w:val="center"/>
          </w:tcPr>
          <w:p w14:paraId="36E20AC3">
            <w:pPr>
              <w:pStyle w:val="12"/>
            </w:pPr>
            <w:r>
              <w:t>50%</w:t>
            </w:r>
          </w:p>
        </w:tc>
        <w:tc>
          <w:tcPr>
            <w:tcW w:w="2551" w:type="dxa"/>
            <w:vAlign w:val="center"/>
          </w:tcPr>
          <w:p w14:paraId="6FE1E21D">
            <w:pPr>
              <w:pStyle w:val="12"/>
            </w:pPr>
            <w:r>
              <w:t>75%</w:t>
            </w:r>
          </w:p>
        </w:tc>
        <w:tc>
          <w:tcPr>
            <w:tcW w:w="3544" w:type="dxa"/>
            <w:gridSpan w:val="2"/>
            <w:vAlign w:val="center"/>
          </w:tcPr>
          <w:p w14:paraId="03DE899E">
            <w:pPr>
              <w:pStyle w:val="12"/>
            </w:pPr>
            <w:r>
              <w:t>100%</w:t>
            </w:r>
          </w:p>
        </w:tc>
      </w:tr>
      <w:tr w14:paraId="5B5DE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4106A">
            <w:pPr>
              <w:pStyle w:val="11"/>
            </w:pPr>
            <w:r>
              <w:t>绩效目标</w:t>
            </w:r>
          </w:p>
        </w:tc>
        <w:tc>
          <w:tcPr>
            <w:tcW w:w="14033" w:type="dxa"/>
            <w:gridSpan w:val="6"/>
            <w:vAlign w:val="center"/>
          </w:tcPr>
          <w:p w14:paraId="5DEBC454">
            <w:pPr>
              <w:pStyle w:val="13"/>
            </w:pPr>
            <w:r>
              <w:t>1.按季度分批次拨付公用经费资金，资金拨付率达到100%。</w:t>
            </w:r>
          </w:p>
          <w:p w14:paraId="0310B7A2">
            <w:pPr>
              <w:pStyle w:val="13"/>
            </w:pPr>
            <w:r>
              <w:t>2. 保障幼儿园正常运转，完成教育教学活动和其他日常工作任务等方面的费用支出。</w:t>
            </w:r>
          </w:p>
        </w:tc>
      </w:tr>
    </w:tbl>
    <w:p w14:paraId="587723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1A9EF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06CD8">
            <w:pPr>
              <w:pStyle w:val="11"/>
            </w:pPr>
            <w:r>
              <w:t>一级指标</w:t>
            </w:r>
          </w:p>
        </w:tc>
        <w:tc>
          <w:tcPr>
            <w:tcW w:w="2268" w:type="dxa"/>
            <w:vAlign w:val="center"/>
          </w:tcPr>
          <w:p w14:paraId="09730940">
            <w:pPr>
              <w:pStyle w:val="11"/>
            </w:pPr>
            <w:r>
              <w:t>二级指标</w:t>
            </w:r>
          </w:p>
        </w:tc>
        <w:tc>
          <w:tcPr>
            <w:tcW w:w="2835" w:type="dxa"/>
            <w:vAlign w:val="center"/>
          </w:tcPr>
          <w:p w14:paraId="173E618E">
            <w:pPr>
              <w:pStyle w:val="11"/>
            </w:pPr>
            <w:r>
              <w:t>三级指标</w:t>
            </w:r>
          </w:p>
        </w:tc>
        <w:tc>
          <w:tcPr>
            <w:tcW w:w="5386" w:type="dxa"/>
            <w:vAlign w:val="center"/>
          </w:tcPr>
          <w:p w14:paraId="71767AB8">
            <w:pPr>
              <w:pStyle w:val="11"/>
            </w:pPr>
            <w:r>
              <w:t>绩效指标描述</w:t>
            </w:r>
          </w:p>
        </w:tc>
        <w:tc>
          <w:tcPr>
            <w:tcW w:w="1583" w:type="dxa"/>
            <w:vAlign w:val="center"/>
          </w:tcPr>
          <w:p w14:paraId="394F6322">
            <w:pPr>
              <w:pStyle w:val="11"/>
            </w:pPr>
            <w:r>
              <w:t>指标值</w:t>
            </w:r>
          </w:p>
        </w:tc>
        <w:tc>
          <w:tcPr>
            <w:tcW w:w="1961" w:type="dxa"/>
            <w:vAlign w:val="center"/>
          </w:tcPr>
          <w:p w14:paraId="30C59CDE">
            <w:pPr>
              <w:pStyle w:val="11"/>
            </w:pPr>
            <w:r>
              <w:t>指标值确定依据</w:t>
            </w:r>
          </w:p>
        </w:tc>
      </w:tr>
      <w:tr w14:paraId="25468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D4BE4">
            <w:pPr>
              <w:pStyle w:val="12"/>
            </w:pPr>
            <w:r>
              <w:t>产出指标</w:t>
            </w:r>
          </w:p>
        </w:tc>
        <w:tc>
          <w:tcPr>
            <w:tcW w:w="2268" w:type="dxa"/>
            <w:vAlign w:val="center"/>
          </w:tcPr>
          <w:p w14:paraId="10A271E7">
            <w:pPr>
              <w:pStyle w:val="13"/>
            </w:pPr>
            <w:r>
              <w:t>数量指标</w:t>
            </w:r>
          </w:p>
        </w:tc>
        <w:tc>
          <w:tcPr>
            <w:tcW w:w="2835" w:type="dxa"/>
            <w:vAlign w:val="center"/>
          </w:tcPr>
          <w:p w14:paraId="4BBFF20C">
            <w:pPr>
              <w:pStyle w:val="13"/>
            </w:pPr>
            <w:r>
              <w:t>适龄在园生</w:t>
            </w:r>
          </w:p>
        </w:tc>
        <w:tc>
          <w:tcPr>
            <w:tcW w:w="5386" w:type="dxa"/>
            <w:vAlign w:val="center"/>
          </w:tcPr>
          <w:p w14:paraId="0397D687">
            <w:pPr>
              <w:pStyle w:val="13"/>
            </w:pPr>
            <w:r>
              <w:t>适龄在园学生人数</w:t>
            </w:r>
          </w:p>
        </w:tc>
        <w:tc>
          <w:tcPr>
            <w:tcW w:w="1583" w:type="dxa"/>
            <w:vAlign w:val="center"/>
          </w:tcPr>
          <w:p w14:paraId="5E9D9753">
            <w:pPr>
              <w:pStyle w:val="13"/>
            </w:pPr>
            <w:r>
              <w:t>340人</w:t>
            </w:r>
          </w:p>
        </w:tc>
        <w:tc>
          <w:tcPr>
            <w:tcW w:w="1961" w:type="dxa"/>
            <w:vAlign w:val="center"/>
          </w:tcPr>
          <w:p w14:paraId="5F3EB969">
            <w:pPr>
              <w:pStyle w:val="13"/>
            </w:pPr>
            <w:r>
              <w:t>支持学前教育发展县级资金管理方法</w:t>
            </w:r>
          </w:p>
        </w:tc>
      </w:tr>
      <w:tr w14:paraId="4B94F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A32F2"/>
        </w:tc>
        <w:tc>
          <w:tcPr>
            <w:tcW w:w="2268" w:type="dxa"/>
            <w:vAlign w:val="center"/>
          </w:tcPr>
          <w:p w14:paraId="0D8FE46B">
            <w:pPr>
              <w:pStyle w:val="13"/>
            </w:pPr>
            <w:r>
              <w:t>质量指标</w:t>
            </w:r>
          </w:p>
        </w:tc>
        <w:tc>
          <w:tcPr>
            <w:tcW w:w="2835" w:type="dxa"/>
            <w:vAlign w:val="center"/>
          </w:tcPr>
          <w:p w14:paraId="7A207ABD">
            <w:pPr>
              <w:pStyle w:val="13"/>
            </w:pPr>
            <w:r>
              <w:t>预算控制率</w:t>
            </w:r>
          </w:p>
        </w:tc>
        <w:tc>
          <w:tcPr>
            <w:tcW w:w="5386" w:type="dxa"/>
            <w:vAlign w:val="center"/>
          </w:tcPr>
          <w:p w14:paraId="24233070">
            <w:pPr>
              <w:pStyle w:val="13"/>
            </w:pPr>
            <w:r>
              <w:t>预算执行</w:t>
            </w:r>
          </w:p>
        </w:tc>
        <w:tc>
          <w:tcPr>
            <w:tcW w:w="1583" w:type="dxa"/>
            <w:vAlign w:val="center"/>
          </w:tcPr>
          <w:p w14:paraId="1576E3F9">
            <w:pPr>
              <w:pStyle w:val="13"/>
            </w:pPr>
            <w:r>
              <w:t>≥95%</w:t>
            </w:r>
          </w:p>
        </w:tc>
        <w:tc>
          <w:tcPr>
            <w:tcW w:w="1961" w:type="dxa"/>
            <w:vAlign w:val="center"/>
          </w:tcPr>
          <w:p w14:paraId="0EF975FD">
            <w:pPr>
              <w:pStyle w:val="13"/>
            </w:pPr>
            <w:r>
              <w:t>支持学前教育发展县级资金管理方法</w:t>
            </w:r>
          </w:p>
        </w:tc>
      </w:tr>
      <w:tr w14:paraId="47345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7F158"/>
        </w:tc>
        <w:tc>
          <w:tcPr>
            <w:tcW w:w="2268" w:type="dxa"/>
            <w:vAlign w:val="center"/>
          </w:tcPr>
          <w:p w14:paraId="57F1A047">
            <w:pPr>
              <w:pStyle w:val="13"/>
            </w:pPr>
            <w:r>
              <w:t>时效指标</w:t>
            </w:r>
          </w:p>
        </w:tc>
        <w:tc>
          <w:tcPr>
            <w:tcW w:w="2835" w:type="dxa"/>
            <w:vAlign w:val="center"/>
          </w:tcPr>
          <w:p w14:paraId="40275B6A">
            <w:pPr>
              <w:pStyle w:val="13"/>
            </w:pPr>
            <w:r>
              <w:t>资金支付率</w:t>
            </w:r>
          </w:p>
        </w:tc>
        <w:tc>
          <w:tcPr>
            <w:tcW w:w="5386" w:type="dxa"/>
            <w:vAlign w:val="center"/>
          </w:tcPr>
          <w:p w14:paraId="763BD1F3">
            <w:pPr>
              <w:pStyle w:val="13"/>
            </w:pPr>
            <w:r>
              <w:t>按照序时进度完成资金支付</w:t>
            </w:r>
          </w:p>
        </w:tc>
        <w:tc>
          <w:tcPr>
            <w:tcW w:w="1583" w:type="dxa"/>
            <w:vAlign w:val="center"/>
          </w:tcPr>
          <w:p w14:paraId="0D5E5F1F">
            <w:pPr>
              <w:pStyle w:val="13"/>
            </w:pPr>
            <w:r>
              <w:t>100%</w:t>
            </w:r>
          </w:p>
        </w:tc>
        <w:tc>
          <w:tcPr>
            <w:tcW w:w="1961" w:type="dxa"/>
            <w:vAlign w:val="center"/>
          </w:tcPr>
          <w:p w14:paraId="24310F18">
            <w:pPr>
              <w:pStyle w:val="13"/>
            </w:pPr>
            <w:r>
              <w:t>支持学前教育发展县级资金管理方法</w:t>
            </w:r>
          </w:p>
        </w:tc>
      </w:tr>
      <w:tr w14:paraId="0CBB0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0F06E"/>
        </w:tc>
        <w:tc>
          <w:tcPr>
            <w:tcW w:w="2268" w:type="dxa"/>
            <w:vAlign w:val="center"/>
          </w:tcPr>
          <w:p w14:paraId="6C5112EB">
            <w:pPr>
              <w:pStyle w:val="13"/>
            </w:pPr>
            <w:r>
              <w:t>成本指标</w:t>
            </w:r>
          </w:p>
        </w:tc>
        <w:tc>
          <w:tcPr>
            <w:tcW w:w="2835" w:type="dxa"/>
            <w:vAlign w:val="center"/>
          </w:tcPr>
          <w:p w14:paraId="1179E4BC">
            <w:pPr>
              <w:pStyle w:val="13"/>
            </w:pPr>
            <w:r>
              <w:t>生均拨款标准</w:t>
            </w:r>
          </w:p>
        </w:tc>
        <w:tc>
          <w:tcPr>
            <w:tcW w:w="5386" w:type="dxa"/>
            <w:vAlign w:val="center"/>
          </w:tcPr>
          <w:p w14:paraId="0E8703E8">
            <w:pPr>
              <w:pStyle w:val="13"/>
            </w:pPr>
            <w:r>
              <w:t>学前：（基本标准600元/生/学年）</w:t>
            </w:r>
          </w:p>
        </w:tc>
        <w:tc>
          <w:tcPr>
            <w:tcW w:w="1583" w:type="dxa"/>
            <w:vAlign w:val="center"/>
          </w:tcPr>
          <w:p w14:paraId="01954C05">
            <w:pPr>
              <w:pStyle w:val="13"/>
            </w:pPr>
            <w:r>
              <w:t>600元</w:t>
            </w:r>
          </w:p>
        </w:tc>
        <w:tc>
          <w:tcPr>
            <w:tcW w:w="1961" w:type="dxa"/>
            <w:vAlign w:val="center"/>
          </w:tcPr>
          <w:p w14:paraId="7BDB676D">
            <w:pPr>
              <w:pStyle w:val="13"/>
            </w:pPr>
            <w:r>
              <w:t>支持学前教育发展县级资金管理方法</w:t>
            </w:r>
          </w:p>
        </w:tc>
      </w:tr>
      <w:tr w14:paraId="19FDA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D589B">
            <w:pPr>
              <w:pStyle w:val="12"/>
            </w:pPr>
            <w:r>
              <w:t>效益指标</w:t>
            </w:r>
          </w:p>
        </w:tc>
        <w:tc>
          <w:tcPr>
            <w:tcW w:w="2268" w:type="dxa"/>
            <w:vAlign w:val="center"/>
          </w:tcPr>
          <w:p w14:paraId="0E0F9875">
            <w:pPr>
              <w:pStyle w:val="13"/>
            </w:pPr>
            <w:r>
              <w:t>可持续影响指标</w:t>
            </w:r>
          </w:p>
        </w:tc>
        <w:tc>
          <w:tcPr>
            <w:tcW w:w="2835" w:type="dxa"/>
            <w:vAlign w:val="center"/>
          </w:tcPr>
          <w:p w14:paraId="35256BA5">
            <w:pPr>
              <w:pStyle w:val="13"/>
            </w:pPr>
            <w:r>
              <w:t>学校运转得到提升</w:t>
            </w:r>
          </w:p>
        </w:tc>
        <w:tc>
          <w:tcPr>
            <w:tcW w:w="5386" w:type="dxa"/>
            <w:vAlign w:val="center"/>
          </w:tcPr>
          <w:p w14:paraId="34692EA9">
            <w:pPr>
              <w:pStyle w:val="13"/>
            </w:pPr>
            <w:r>
              <w:t>幼儿受教育年限</w:t>
            </w:r>
          </w:p>
        </w:tc>
        <w:tc>
          <w:tcPr>
            <w:tcW w:w="1583" w:type="dxa"/>
            <w:vAlign w:val="center"/>
          </w:tcPr>
          <w:p w14:paraId="2BA613BE">
            <w:pPr>
              <w:pStyle w:val="13"/>
            </w:pPr>
            <w:r>
              <w:t>3年</w:t>
            </w:r>
          </w:p>
        </w:tc>
        <w:tc>
          <w:tcPr>
            <w:tcW w:w="1961" w:type="dxa"/>
            <w:vAlign w:val="center"/>
          </w:tcPr>
          <w:p w14:paraId="1812F593">
            <w:pPr>
              <w:pStyle w:val="13"/>
            </w:pPr>
            <w:r>
              <w:t>支持学前教育发展县级资金管理方法</w:t>
            </w:r>
          </w:p>
        </w:tc>
      </w:tr>
      <w:tr w14:paraId="4D560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925CE4">
            <w:pPr>
              <w:pStyle w:val="12"/>
            </w:pPr>
            <w:r>
              <w:t>满意度指标</w:t>
            </w:r>
          </w:p>
        </w:tc>
        <w:tc>
          <w:tcPr>
            <w:tcW w:w="2268" w:type="dxa"/>
            <w:vAlign w:val="center"/>
          </w:tcPr>
          <w:p w14:paraId="721EFA97">
            <w:pPr>
              <w:pStyle w:val="13"/>
            </w:pPr>
            <w:r>
              <w:t>服务对象满意度指标</w:t>
            </w:r>
          </w:p>
        </w:tc>
        <w:tc>
          <w:tcPr>
            <w:tcW w:w="2835" w:type="dxa"/>
            <w:vAlign w:val="center"/>
          </w:tcPr>
          <w:p w14:paraId="188301DB">
            <w:pPr>
              <w:pStyle w:val="13"/>
            </w:pPr>
            <w:r>
              <w:t>受益学生家长及调查满意度</w:t>
            </w:r>
          </w:p>
        </w:tc>
        <w:tc>
          <w:tcPr>
            <w:tcW w:w="5386" w:type="dxa"/>
            <w:vAlign w:val="center"/>
          </w:tcPr>
          <w:p w14:paraId="35573C25">
            <w:pPr>
              <w:pStyle w:val="13"/>
            </w:pPr>
            <w:r>
              <w:t>学生、教师及家长对学校保教保育工作满意度情况</w:t>
            </w:r>
          </w:p>
        </w:tc>
        <w:tc>
          <w:tcPr>
            <w:tcW w:w="1583" w:type="dxa"/>
            <w:vAlign w:val="center"/>
          </w:tcPr>
          <w:p w14:paraId="42F863D2">
            <w:pPr>
              <w:pStyle w:val="13"/>
            </w:pPr>
            <w:r>
              <w:t>≥95%</w:t>
            </w:r>
          </w:p>
        </w:tc>
        <w:tc>
          <w:tcPr>
            <w:tcW w:w="1961" w:type="dxa"/>
            <w:vAlign w:val="center"/>
          </w:tcPr>
          <w:p w14:paraId="0B0534B1">
            <w:pPr>
              <w:pStyle w:val="13"/>
            </w:pPr>
            <w:r>
              <w:t>支持学前教育发展县级资金管理方法</w:t>
            </w:r>
          </w:p>
        </w:tc>
      </w:tr>
    </w:tbl>
    <w:p w14:paraId="50230326">
      <w:pPr>
        <w:sectPr>
          <w:pgSz w:w="16840" w:h="11900" w:orient="landscape"/>
          <w:pgMar w:top="1361" w:right="1020" w:bottom="1134" w:left="1020" w:header="720" w:footer="720" w:gutter="0"/>
          <w:cols w:space="720" w:num="1"/>
        </w:sectPr>
      </w:pPr>
    </w:p>
    <w:p w14:paraId="240160D1">
      <w:pPr>
        <w:spacing w:before="0" w:after="0"/>
        <w:ind w:firstLine="560"/>
        <w:jc w:val="left"/>
        <w:outlineLvl w:val="9"/>
      </w:pPr>
      <w:r>
        <w:rPr>
          <w:rFonts w:ascii="方正仿宋_GBK" w:hAnsi="方正仿宋_GBK" w:eastAsia="方正仿宋_GBK" w:cs="方正仿宋_GBK"/>
          <w:b/>
          <w:color w:val="000000"/>
          <w:sz w:val="28"/>
        </w:rPr>
        <w:t>19、学前专项经费/魏庄校区绩效目标表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02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7B386F">
            <w:pPr>
              <w:pStyle w:val="14"/>
            </w:pPr>
            <w:r>
              <w:t>单位：万元</w:t>
            </w:r>
          </w:p>
        </w:tc>
      </w:tr>
      <w:tr w14:paraId="2A858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016AE">
            <w:pPr>
              <w:pStyle w:val="11"/>
            </w:pPr>
            <w:r>
              <w:t>项目编码</w:t>
            </w:r>
          </w:p>
        </w:tc>
        <w:tc>
          <w:tcPr>
            <w:tcW w:w="5103" w:type="dxa"/>
            <w:gridSpan w:val="2"/>
            <w:vAlign w:val="center"/>
          </w:tcPr>
          <w:p w14:paraId="09597469">
            <w:pPr>
              <w:pStyle w:val="13"/>
            </w:pPr>
            <w:r>
              <w:t>13052525P008756100350</w:t>
            </w:r>
          </w:p>
        </w:tc>
        <w:tc>
          <w:tcPr>
            <w:tcW w:w="2835" w:type="dxa"/>
            <w:vAlign w:val="center"/>
          </w:tcPr>
          <w:p w14:paraId="09ACB17C">
            <w:pPr>
              <w:pStyle w:val="11"/>
            </w:pPr>
            <w:r>
              <w:t>项目名称</w:t>
            </w:r>
          </w:p>
        </w:tc>
        <w:tc>
          <w:tcPr>
            <w:tcW w:w="6095" w:type="dxa"/>
            <w:gridSpan w:val="3"/>
            <w:vAlign w:val="center"/>
          </w:tcPr>
          <w:p w14:paraId="0300F5D5">
            <w:pPr>
              <w:pStyle w:val="13"/>
            </w:pPr>
            <w:r>
              <w:t>学前专项经费/魏庄校区</w:t>
            </w:r>
          </w:p>
        </w:tc>
      </w:tr>
      <w:tr w14:paraId="55EA1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749DC">
            <w:pPr>
              <w:pStyle w:val="11"/>
            </w:pPr>
            <w:r>
              <w:t>预算规模及资金用途</w:t>
            </w:r>
          </w:p>
        </w:tc>
        <w:tc>
          <w:tcPr>
            <w:tcW w:w="2268" w:type="dxa"/>
            <w:vAlign w:val="center"/>
          </w:tcPr>
          <w:p w14:paraId="53C4DF5F">
            <w:pPr>
              <w:pStyle w:val="11"/>
            </w:pPr>
            <w:r>
              <w:t>预算数</w:t>
            </w:r>
          </w:p>
        </w:tc>
        <w:tc>
          <w:tcPr>
            <w:tcW w:w="2835" w:type="dxa"/>
            <w:vAlign w:val="center"/>
          </w:tcPr>
          <w:p w14:paraId="57EBEA5D">
            <w:pPr>
              <w:pStyle w:val="13"/>
            </w:pPr>
            <w:r>
              <w:t>53.99</w:t>
            </w:r>
          </w:p>
        </w:tc>
        <w:tc>
          <w:tcPr>
            <w:tcW w:w="2835" w:type="dxa"/>
            <w:vAlign w:val="center"/>
          </w:tcPr>
          <w:p w14:paraId="00AFD0B7">
            <w:pPr>
              <w:pStyle w:val="11"/>
            </w:pPr>
            <w:r>
              <w:t>其中：财政    资金</w:t>
            </w:r>
          </w:p>
        </w:tc>
        <w:tc>
          <w:tcPr>
            <w:tcW w:w="2551" w:type="dxa"/>
            <w:vAlign w:val="center"/>
          </w:tcPr>
          <w:p w14:paraId="73E68A4D">
            <w:pPr>
              <w:pStyle w:val="13"/>
            </w:pPr>
            <w:r>
              <w:t>53.99</w:t>
            </w:r>
          </w:p>
        </w:tc>
        <w:tc>
          <w:tcPr>
            <w:tcW w:w="2268" w:type="dxa"/>
            <w:vAlign w:val="center"/>
          </w:tcPr>
          <w:p w14:paraId="03FC47A7">
            <w:pPr>
              <w:pStyle w:val="11"/>
            </w:pPr>
            <w:r>
              <w:t>其他资金</w:t>
            </w:r>
          </w:p>
        </w:tc>
        <w:tc>
          <w:tcPr>
            <w:tcW w:w="1276" w:type="dxa"/>
            <w:vAlign w:val="center"/>
          </w:tcPr>
          <w:p w14:paraId="6D4D7B15">
            <w:pPr>
              <w:pStyle w:val="13"/>
            </w:pPr>
            <w:r>
              <w:t xml:space="preserve"> </w:t>
            </w:r>
          </w:p>
        </w:tc>
      </w:tr>
      <w:tr w14:paraId="4449C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E35F0B"/>
        </w:tc>
        <w:tc>
          <w:tcPr>
            <w:tcW w:w="14033" w:type="dxa"/>
            <w:gridSpan w:val="6"/>
            <w:vAlign w:val="center"/>
          </w:tcPr>
          <w:p w14:paraId="4D39228D">
            <w:pPr>
              <w:pStyle w:val="13"/>
            </w:pPr>
            <w:r>
              <w:t>按预算要求完成2025年度学前教学任务提升及教学质量提高。</w:t>
            </w:r>
          </w:p>
        </w:tc>
      </w:tr>
      <w:tr w14:paraId="05AA8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4BD8F">
            <w:pPr>
              <w:pStyle w:val="11"/>
            </w:pPr>
            <w:r>
              <w:t>资金支出计划（%）</w:t>
            </w:r>
          </w:p>
        </w:tc>
        <w:tc>
          <w:tcPr>
            <w:tcW w:w="5103" w:type="dxa"/>
            <w:gridSpan w:val="2"/>
            <w:vAlign w:val="center"/>
          </w:tcPr>
          <w:p w14:paraId="6DAA7149">
            <w:pPr>
              <w:pStyle w:val="11"/>
            </w:pPr>
            <w:r>
              <w:t>3月底</w:t>
            </w:r>
          </w:p>
        </w:tc>
        <w:tc>
          <w:tcPr>
            <w:tcW w:w="2835" w:type="dxa"/>
            <w:vAlign w:val="center"/>
          </w:tcPr>
          <w:p w14:paraId="4DE8BE39">
            <w:pPr>
              <w:pStyle w:val="11"/>
            </w:pPr>
            <w:r>
              <w:t>6月底</w:t>
            </w:r>
          </w:p>
        </w:tc>
        <w:tc>
          <w:tcPr>
            <w:tcW w:w="2551" w:type="dxa"/>
            <w:vAlign w:val="center"/>
          </w:tcPr>
          <w:p w14:paraId="69D5EFE5">
            <w:pPr>
              <w:pStyle w:val="11"/>
            </w:pPr>
            <w:r>
              <w:t>10月底</w:t>
            </w:r>
          </w:p>
        </w:tc>
        <w:tc>
          <w:tcPr>
            <w:tcW w:w="3544" w:type="dxa"/>
            <w:gridSpan w:val="2"/>
            <w:vAlign w:val="center"/>
          </w:tcPr>
          <w:p w14:paraId="3D82BBAF">
            <w:pPr>
              <w:pStyle w:val="11"/>
            </w:pPr>
            <w:r>
              <w:t>12月底</w:t>
            </w:r>
          </w:p>
        </w:tc>
      </w:tr>
      <w:tr w14:paraId="64E05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DF99D"/>
        </w:tc>
        <w:tc>
          <w:tcPr>
            <w:tcW w:w="5103" w:type="dxa"/>
            <w:gridSpan w:val="2"/>
            <w:vAlign w:val="center"/>
          </w:tcPr>
          <w:p w14:paraId="5755CB8E">
            <w:pPr>
              <w:pStyle w:val="12"/>
            </w:pPr>
            <w:r>
              <w:t>25%</w:t>
            </w:r>
          </w:p>
        </w:tc>
        <w:tc>
          <w:tcPr>
            <w:tcW w:w="2835" w:type="dxa"/>
            <w:vAlign w:val="center"/>
          </w:tcPr>
          <w:p w14:paraId="5FF035CA">
            <w:pPr>
              <w:pStyle w:val="12"/>
            </w:pPr>
            <w:r>
              <w:t>50%</w:t>
            </w:r>
          </w:p>
        </w:tc>
        <w:tc>
          <w:tcPr>
            <w:tcW w:w="2551" w:type="dxa"/>
            <w:vAlign w:val="center"/>
          </w:tcPr>
          <w:p w14:paraId="4FDA88B8">
            <w:pPr>
              <w:pStyle w:val="12"/>
            </w:pPr>
            <w:r>
              <w:t>75%</w:t>
            </w:r>
          </w:p>
        </w:tc>
        <w:tc>
          <w:tcPr>
            <w:tcW w:w="3544" w:type="dxa"/>
            <w:gridSpan w:val="2"/>
            <w:vAlign w:val="center"/>
          </w:tcPr>
          <w:p w14:paraId="0EAD5C9B">
            <w:pPr>
              <w:pStyle w:val="12"/>
            </w:pPr>
            <w:r>
              <w:t>100%</w:t>
            </w:r>
          </w:p>
        </w:tc>
      </w:tr>
      <w:tr w14:paraId="5BC651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F0F7E8">
            <w:pPr>
              <w:pStyle w:val="11"/>
            </w:pPr>
            <w:r>
              <w:t>绩效目标</w:t>
            </w:r>
          </w:p>
        </w:tc>
        <w:tc>
          <w:tcPr>
            <w:tcW w:w="14033" w:type="dxa"/>
            <w:gridSpan w:val="6"/>
            <w:vAlign w:val="center"/>
          </w:tcPr>
          <w:p w14:paraId="602C9E6C">
            <w:pPr>
              <w:pStyle w:val="13"/>
            </w:pPr>
            <w:r>
              <w:t>1.按要求完成公立幼儿园保育费按月/季度上缴财政。</w:t>
            </w:r>
          </w:p>
          <w:p w14:paraId="5F977BC4">
            <w:pPr>
              <w:pStyle w:val="13"/>
            </w:pPr>
            <w:r>
              <w:t>2.按上缴财政序时进度完成公立幼儿园保育费支出。</w:t>
            </w:r>
          </w:p>
          <w:p w14:paraId="44476CC8">
            <w:pPr>
              <w:pStyle w:val="13"/>
            </w:pPr>
            <w:r>
              <w:t>3.按预算要求完成2025年度学前教学任务提升及教学质量提高。</w:t>
            </w:r>
          </w:p>
        </w:tc>
      </w:tr>
    </w:tbl>
    <w:p w14:paraId="7F4767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6E8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BB4B2">
            <w:pPr>
              <w:pStyle w:val="11"/>
            </w:pPr>
            <w:r>
              <w:t>一级指标</w:t>
            </w:r>
          </w:p>
        </w:tc>
        <w:tc>
          <w:tcPr>
            <w:tcW w:w="2268" w:type="dxa"/>
            <w:vAlign w:val="center"/>
          </w:tcPr>
          <w:p w14:paraId="0D6A5BE6">
            <w:pPr>
              <w:pStyle w:val="11"/>
            </w:pPr>
            <w:r>
              <w:t>二级指标</w:t>
            </w:r>
          </w:p>
        </w:tc>
        <w:tc>
          <w:tcPr>
            <w:tcW w:w="2835" w:type="dxa"/>
            <w:vAlign w:val="center"/>
          </w:tcPr>
          <w:p w14:paraId="68B8C248">
            <w:pPr>
              <w:pStyle w:val="11"/>
            </w:pPr>
            <w:r>
              <w:t>三级指标</w:t>
            </w:r>
          </w:p>
        </w:tc>
        <w:tc>
          <w:tcPr>
            <w:tcW w:w="5386" w:type="dxa"/>
            <w:vAlign w:val="center"/>
          </w:tcPr>
          <w:p w14:paraId="6C7921DC">
            <w:pPr>
              <w:pStyle w:val="11"/>
            </w:pPr>
            <w:r>
              <w:t>绩效指标描述</w:t>
            </w:r>
          </w:p>
        </w:tc>
        <w:tc>
          <w:tcPr>
            <w:tcW w:w="2268" w:type="dxa"/>
            <w:vAlign w:val="center"/>
          </w:tcPr>
          <w:p w14:paraId="17225076">
            <w:pPr>
              <w:pStyle w:val="11"/>
            </w:pPr>
            <w:r>
              <w:t>指标值</w:t>
            </w:r>
          </w:p>
        </w:tc>
        <w:tc>
          <w:tcPr>
            <w:tcW w:w="1276" w:type="dxa"/>
            <w:vAlign w:val="center"/>
          </w:tcPr>
          <w:p w14:paraId="0C2C5049">
            <w:pPr>
              <w:pStyle w:val="11"/>
            </w:pPr>
            <w:r>
              <w:t>指标值确定依据</w:t>
            </w:r>
          </w:p>
        </w:tc>
      </w:tr>
      <w:tr w14:paraId="00F35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40923">
            <w:pPr>
              <w:pStyle w:val="12"/>
            </w:pPr>
            <w:r>
              <w:t>产出指标</w:t>
            </w:r>
          </w:p>
        </w:tc>
        <w:tc>
          <w:tcPr>
            <w:tcW w:w="2268" w:type="dxa"/>
            <w:vAlign w:val="center"/>
          </w:tcPr>
          <w:p w14:paraId="4AA1AB0C">
            <w:pPr>
              <w:pStyle w:val="13"/>
            </w:pPr>
            <w:r>
              <w:t>数量指标</w:t>
            </w:r>
          </w:p>
        </w:tc>
        <w:tc>
          <w:tcPr>
            <w:tcW w:w="2835" w:type="dxa"/>
            <w:vAlign w:val="center"/>
          </w:tcPr>
          <w:p w14:paraId="6516F657">
            <w:pPr>
              <w:pStyle w:val="13"/>
            </w:pPr>
            <w:r>
              <w:t>适龄在园生</w:t>
            </w:r>
          </w:p>
        </w:tc>
        <w:tc>
          <w:tcPr>
            <w:tcW w:w="5386" w:type="dxa"/>
            <w:vAlign w:val="center"/>
          </w:tcPr>
          <w:p w14:paraId="2D94DA90">
            <w:pPr>
              <w:pStyle w:val="13"/>
            </w:pPr>
            <w:r>
              <w:t>适龄在园学生人数</w:t>
            </w:r>
          </w:p>
        </w:tc>
        <w:tc>
          <w:tcPr>
            <w:tcW w:w="2268" w:type="dxa"/>
            <w:vAlign w:val="center"/>
          </w:tcPr>
          <w:p w14:paraId="019FF232">
            <w:pPr>
              <w:pStyle w:val="13"/>
            </w:pPr>
            <w:r>
              <w:t>340人</w:t>
            </w:r>
          </w:p>
        </w:tc>
        <w:tc>
          <w:tcPr>
            <w:tcW w:w="1276" w:type="dxa"/>
            <w:vAlign w:val="center"/>
          </w:tcPr>
          <w:p w14:paraId="6AA2B56B">
            <w:pPr>
              <w:pStyle w:val="13"/>
            </w:pPr>
            <w:r>
              <w:t>年度工作计划</w:t>
            </w:r>
          </w:p>
        </w:tc>
      </w:tr>
      <w:tr w14:paraId="7C656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33290"/>
        </w:tc>
        <w:tc>
          <w:tcPr>
            <w:tcW w:w="2268" w:type="dxa"/>
            <w:vAlign w:val="center"/>
          </w:tcPr>
          <w:p w14:paraId="64C0500A">
            <w:pPr>
              <w:pStyle w:val="13"/>
            </w:pPr>
            <w:r>
              <w:t>质量指标</w:t>
            </w:r>
          </w:p>
        </w:tc>
        <w:tc>
          <w:tcPr>
            <w:tcW w:w="2835" w:type="dxa"/>
            <w:vAlign w:val="center"/>
          </w:tcPr>
          <w:p w14:paraId="2DFCB9C2">
            <w:pPr>
              <w:pStyle w:val="13"/>
            </w:pPr>
            <w:r>
              <w:t>按月上缴财政完成率</w:t>
            </w:r>
          </w:p>
        </w:tc>
        <w:tc>
          <w:tcPr>
            <w:tcW w:w="5386" w:type="dxa"/>
            <w:vAlign w:val="center"/>
          </w:tcPr>
          <w:p w14:paraId="0F05AB59">
            <w:pPr>
              <w:pStyle w:val="13"/>
            </w:pPr>
            <w:r>
              <w:t>按月完成公立幼儿园保育费上缴财政</w:t>
            </w:r>
          </w:p>
        </w:tc>
        <w:tc>
          <w:tcPr>
            <w:tcW w:w="2268" w:type="dxa"/>
            <w:vAlign w:val="center"/>
          </w:tcPr>
          <w:p w14:paraId="747D021C">
            <w:pPr>
              <w:pStyle w:val="13"/>
            </w:pPr>
            <w:r>
              <w:t>100%</w:t>
            </w:r>
          </w:p>
        </w:tc>
        <w:tc>
          <w:tcPr>
            <w:tcW w:w="1276" w:type="dxa"/>
            <w:vAlign w:val="center"/>
          </w:tcPr>
          <w:p w14:paraId="51AE912C">
            <w:pPr>
              <w:pStyle w:val="13"/>
            </w:pPr>
            <w:r>
              <w:t>年度工作计划</w:t>
            </w:r>
          </w:p>
        </w:tc>
      </w:tr>
      <w:tr w14:paraId="6DE06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18297"/>
        </w:tc>
        <w:tc>
          <w:tcPr>
            <w:tcW w:w="2268" w:type="dxa"/>
            <w:vAlign w:val="center"/>
          </w:tcPr>
          <w:p w14:paraId="56703982">
            <w:pPr>
              <w:pStyle w:val="13"/>
            </w:pPr>
            <w:r>
              <w:t>时效指标</w:t>
            </w:r>
          </w:p>
        </w:tc>
        <w:tc>
          <w:tcPr>
            <w:tcW w:w="2835" w:type="dxa"/>
            <w:vAlign w:val="center"/>
          </w:tcPr>
          <w:p w14:paraId="1EE226D0">
            <w:pPr>
              <w:pStyle w:val="13"/>
            </w:pPr>
            <w:r>
              <w:t>资金支付率</w:t>
            </w:r>
          </w:p>
        </w:tc>
        <w:tc>
          <w:tcPr>
            <w:tcW w:w="5386" w:type="dxa"/>
            <w:vAlign w:val="center"/>
          </w:tcPr>
          <w:p w14:paraId="07F66FDB">
            <w:pPr>
              <w:pStyle w:val="13"/>
            </w:pPr>
            <w:r>
              <w:t>按照上缴财政进度完成公立幼儿园保育费支付</w:t>
            </w:r>
          </w:p>
        </w:tc>
        <w:tc>
          <w:tcPr>
            <w:tcW w:w="2268" w:type="dxa"/>
            <w:vAlign w:val="center"/>
          </w:tcPr>
          <w:p w14:paraId="6D9B86E2">
            <w:pPr>
              <w:pStyle w:val="13"/>
            </w:pPr>
            <w:r>
              <w:t>100%</w:t>
            </w:r>
          </w:p>
        </w:tc>
        <w:tc>
          <w:tcPr>
            <w:tcW w:w="1276" w:type="dxa"/>
            <w:vAlign w:val="center"/>
          </w:tcPr>
          <w:p w14:paraId="23886667">
            <w:pPr>
              <w:pStyle w:val="13"/>
            </w:pPr>
            <w:r>
              <w:t>年度工作计划</w:t>
            </w:r>
          </w:p>
        </w:tc>
      </w:tr>
      <w:tr w14:paraId="5A08C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683D1"/>
        </w:tc>
        <w:tc>
          <w:tcPr>
            <w:tcW w:w="2268" w:type="dxa"/>
            <w:vAlign w:val="center"/>
          </w:tcPr>
          <w:p w14:paraId="3B4AAED9">
            <w:pPr>
              <w:pStyle w:val="13"/>
            </w:pPr>
            <w:r>
              <w:t>成本指标</w:t>
            </w:r>
          </w:p>
        </w:tc>
        <w:tc>
          <w:tcPr>
            <w:tcW w:w="2835" w:type="dxa"/>
            <w:vAlign w:val="center"/>
          </w:tcPr>
          <w:p w14:paraId="34C477B0">
            <w:pPr>
              <w:pStyle w:val="13"/>
            </w:pPr>
            <w:r>
              <w:t>公办幼儿园保育费收费标准</w:t>
            </w:r>
          </w:p>
        </w:tc>
        <w:tc>
          <w:tcPr>
            <w:tcW w:w="5386" w:type="dxa"/>
            <w:vAlign w:val="center"/>
          </w:tcPr>
          <w:p w14:paraId="2A3317EF">
            <w:pPr>
              <w:pStyle w:val="13"/>
            </w:pPr>
            <w:r>
              <w:t>农村示范园170元/月/生、农村一类园150元/月/生、农村二类园130元/月/生</w:t>
            </w:r>
          </w:p>
        </w:tc>
        <w:tc>
          <w:tcPr>
            <w:tcW w:w="2268" w:type="dxa"/>
            <w:vAlign w:val="center"/>
          </w:tcPr>
          <w:p w14:paraId="5FECFA7B">
            <w:pPr>
              <w:pStyle w:val="13"/>
            </w:pPr>
            <w:r>
              <w:t>100%</w:t>
            </w:r>
          </w:p>
        </w:tc>
        <w:tc>
          <w:tcPr>
            <w:tcW w:w="1276" w:type="dxa"/>
            <w:vAlign w:val="center"/>
          </w:tcPr>
          <w:p w14:paraId="3338974B">
            <w:pPr>
              <w:pStyle w:val="13"/>
            </w:pPr>
            <w:r>
              <w:t>年度工作计划</w:t>
            </w:r>
          </w:p>
        </w:tc>
      </w:tr>
      <w:tr w14:paraId="7267B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6B0F75">
            <w:pPr>
              <w:pStyle w:val="12"/>
            </w:pPr>
            <w:r>
              <w:t>效益指标</w:t>
            </w:r>
          </w:p>
        </w:tc>
        <w:tc>
          <w:tcPr>
            <w:tcW w:w="2268" w:type="dxa"/>
            <w:vAlign w:val="center"/>
          </w:tcPr>
          <w:p w14:paraId="13D87B71">
            <w:pPr>
              <w:pStyle w:val="13"/>
            </w:pPr>
            <w:r>
              <w:t>社会效益指标</w:t>
            </w:r>
          </w:p>
        </w:tc>
        <w:tc>
          <w:tcPr>
            <w:tcW w:w="2835" w:type="dxa"/>
            <w:vAlign w:val="center"/>
          </w:tcPr>
          <w:p w14:paraId="34C662F3">
            <w:pPr>
              <w:pStyle w:val="13"/>
            </w:pPr>
            <w:r>
              <w:t>幼儿园办园能力提升</w:t>
            </w:r>
          </w:p>
        </w:tc>
        <w:tc>
          <w:tcPr>
            <w:tcW w:w="5386" w:type="dxa"/>
            <w:vAlign w:val="center"/>
          </w:tcPr>
          <w:p w14:paraId="078075C1">
            <w:pPr>
              <w:pStyle w:val="13"/>
            </w:pPr>
            <w:r>
              <w:t>幼儿园办园能力提升情况及教育教学工作等开展的情况</w:t>
            </w:r>
          </w:p>
        </w:tc>
        <w:tc>
          <w:tcPr>
            <w:tcW w:w="2268" w:type="dxa"/>
            <w:vAlign w:val="center"/>
          </w:tcPr>
          <w:p w14:paraId="59BB3C0C">
            <w:pPr>
              <w:pStyle w:val="13"/>
            </w:pPr>
            <w:r>
              <w:t>100%</w:t>
            </w:r>
          </w:p>
        </w:tc>
        <w:tc>
          <w:tcPr>
            <w:tcW w:w="1276" w:type="dxa"/>
            <w:vAlign w:val="center"/>
          </w:tcPr>
          <w:p w14:paraId="6A16FC09">
            <w:pPr>
              <w:pStyle w:val="13"/>
            </w:pPr>
            <w:r>
              <w:t>年度工作计划</w:t>
            </w:r>
          </w:p>
        </w:tc>
      </w:tr>
      <w:tr w14:paraId="07567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8E6150">
            <w:pPr>
              <w:pStyle w:val="12"/>
            </w:pPr>
            <w:r>
              <w:t>满意度指标</w:t>
            </w:r>
          </w:p>
        </w:tc>
        <w:tc>
          <w:tcPr>
            <w:tcW w:w="2268" w:type="dxa"/>
            <w:vAlign w:val="center"/>
          </w:tcPr>
          <w:p w14:paraId="0BD369A0">
            <w:pPr>
              <w:pStyle w:val="13"/>
            </w:pPr>
            <w:r>
              <w:t>服务对象满意度指标</w:t>
            </w:r>
          </w:p>
        </w:tc>
        <w:tc>
          <w:tcPr>
            <w:tcW w:w="2835" w:type="dxa"/>
            <w:vAlign w:val="center"/>
          </w:tcPr>
          <w:p w14:paraId="18F77907">
            <w:pPr>
              <w:pStyle w:val="13"/>
            </w:pPr>
            <w:r>
              <w:t>受益学生家长及调查满意度</w:t>
            </w:r>
          </w:p>
        </w:tc>
        <w:tc>
          <w:tcPr>
            <w:tcW w:w="5386" w:type="dxa"/>
            <w:vAlign w:val="center"/>
          </w:tcPr>
          <w:p w14:paraId="50A2FB1E">
            <w:pPr>
              <w:pStyle w:val="13"/>
            </w:pPr>
            <w:r>
              <w:t>幼儿、教师及家长对学校保教保育工作满意度情况</w:t>
            </w:r>
          </w:p>
        </w:tc>
        <w:tc>
          <w:tcPr>
            <w:tcW w:w="2268" w:type="dxa"/>
            <w:vAlign w:val="center"/>
          </w:tcPr>
          <w:p w14:paraId="05CC148F">
            <w:pPr>
              <w:pStyle w:val="13"/>
            </w:pPr>
            <w:r>
              <w:t>≥95%</w:t>
            </w:r>
          </w:p>
        </w:tc>
        <w:tc>
          <w:tcPr>
            <w:tcW w:w="1276" w:type="dxa"/>
            <w:vAlign w:val="center"/>
          </w:tcPr>
          <w:p w14:paraId="6AE16137">
            <w:pPr>
              <w:pStyle w:val="13"/>
            </w:pPr>
            <w:r>
              <w:t>年度工作计划</w:t>
            </w:r>
          </w:p>
        </w:tc>
      </w:tr>
    </w:tbl>
    <w:p w14:paraId="7C392622">
      <w:pPr>
        <w:sectPr>
          <w:pgSz w:w="16840" w:h="11900" w:orient="landscape"/>
          <w:pgMar w:top="1361" w:right="1020" w:bottom="1134" w:left="1020" w:header="720" w:footer="720" w:gutter="0"/>
          <w:cols w:space="720" w:num="1"/>
        </w:sectPr>
      </w:pPr>
    </w:p>
    <w:p w14:paraId="16C584CD">
      <w:pPr>
        <w:spacing w:before="10" w:after="10" w:line="240" w:lineRule="auto"/>
        <w:ind w:firstLine="640"/>
        <w:jc w:val="left"/>
        <w:outlineLvl w:val="5"/>
      </w:pPr>
      <w:r>
        <w:rPr>
          <w:rFonts w:ascii="黑体" w:hAnsi="黑体" w:eastAsia="黑体" w:cs="黑体"/>
          <w:color w:val="000000"/>
          <w:sz w:val="32"/>
        </w:rPr>
        <w:t>六、政府采购预算情况</w:t>
      </w:r>
    </w:p>
    <w:p w14:paraId="174C81D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4909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D7AD641">
            <w:pPr>
              <w:pStyle w:val="8"/>
            </w:pPr>
            <w:r>
              <w:t>360017隆尧县魏庄校区</w:t>
            </w:r>
          </w:p>
        </w:tc>
        <w:tc>
          <w:tcPr>
            <w:tcW w:w="7712" w:type="dxa"/>
            <w:gridSpan w:val="8"/>
            <w:tcBorders>
              <w:top w:val="single" w:color="FFFFFF" w:sz="6" w:space="0"/>
              <w:left w:val="single" w:color="FFFFFF" w:sz="6" w:space="0"/>
              <w:right w:val="single" w:color="FFFFFF" w:sz="6" w:space="0"/>
            </w:tcBorders>
            <w:vAlign w:val="center"/>
          </w:tcPr>
          <w:p w14:paraId="102DF289">
            <w:pPr>
              <w:pStyle w:val="22"/>
            </w:pPr>
            <w:r>
              <w:t>单位：万元</w:t>
            </w:r>
          </w:p>
        </w:tc>
      </w:tr>
      <w:tr w14:paraId="2F712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573262A">
            <w:pPr>
              <w:pStyle w:val="11"/>
            </w:pPr>
            <w:r>
              <w:t>政府采购项目来源</w:t>
            </w:r>
          </w:p>
        </w:tc>
        <w:tc>
          <w:tcPr>
            <w:tcW w:w="1134" w:type="dxa"/>
            <w:vMerge w:val="restart"/>
            <w:vAlign w:val="center"/>
          </w:tcPr>
          <w:p w14:paraId="4CADB655">
            <w:pPr>
              <w:pStyle w:val="11"/>
            </w:pPr>
            <w:r>
              <w:t>采购物品名称</w:t>
            </w:r>
          </w:p>
        </w:tc>
        <w:tc>
          <w:tcPr>
            <w:tcW w:w="1134" w:type="dxa"/>
            <w:vMerge w:val="restart"/>
            <w:vAlign w:val="center"/>
          </w:tcPr>
          <w:p w14:paraId="7CBF2F31">
            <w:pPr>
              <w:pStyle w:val="11"/>
            </w:pPr>
            <w:r>
              <w:t>政府采购目录序号</w:t>
            </w:r>
          </w:p>
        </w:tc>
        <w:tc>
          <w:tcPr>
            <w:tcW w:w="709" w:type="dxa"/>
            <w:vMerge w:val="restart"/>
            <w:vAlign w:val="center"/>
          </w:tcPr>
          <w:p w14:paraId="128C8A1F">
            <w:pPr>
              <w:pStyle w:val="11"/>
            </w:pPr>
            <w:r>
              <w:t>计量  单位</w:t>
            </w:r>
          </w:p>
        </w:tc>
        <w:tc>
          <w:tcPr>
            <w:tcW w:w="850" w:type="dxa"/>
            <w:vMerge w:val="restart"/>
            <w:vAlign w:val="center"/>
          </w:tcPr>
          <w:p w14:paraId="64E57679">
            <w:pPr>
              <w:pStyle w:val="11"/>
            </w:pPr>
            <w:r>
              <w:t>数量</w:t>
            </w:r>
          </w:p>
        </w:tc>
        <w:tc>
          <w:tcPr>
            <w:tcW w:w="850" w:type="dxa"/>
            <w:vMerge w:val="restart"/>
            <w:vAlign w:val="center"/>
          </w:tcPr>
          <w:p w14:paraId="03502B64">
            <w:pPr>
              <w:pStyle w:val="11"/>
            </w:pPr>
            <w:r>
              <w:t>单价</w:t>
            </w:r>
          </w:p>
        </w:tc>
        <w:tc>
          <w:tcPr>
            <w:tcW w:w="6748" w:type="dxa"/>
            <w:gridSpan w:val="7"/>
            <w:vAlign w:val="center"/>
          </w:tcPr>
          <w:p w14:paraId="320269E1">
            <w:pPr>
              <w:pStyle w:val="11"/>
            </w:pPr>
            <w:r>
              <w:t>政府采购金额（当年部门预算安排资金）</w:t>
            </w:r>
          </w:p>
        </w:tc>
        <w:tc>
          <w:tcPr>
            <w:tcW w:w="964" w:type="dxa"/>
            <w:vMerge w:val="restart"/>
            <w:vAlign w:val="center"/>
          </w:tcPr>
          <w:p w14:paraId="161BE92A">
            <w:pPr>
              <w:pStyle w:val="11"/>
            </w:pPr>
            <w:r>
              <w:t>2025年  预留中  小微企  业份额</w:t>
            </w:r>
          </w:p>
        </w:tc>
      </w:tr>
      <w:tr w14:paraId="60B3F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178C901">
            <w:pPr>
              <w:pStyle w:val="11"/>
            </w:pPr>
            <w:r>
              <w:t>项目名称</w:t>
            </w:r>
          </w:p>
        </w:tc>
        <w:tc>
          <w:tcPr>
            <w:tcW w:w="964" w:type="dxa"/>
            <w:vAlign w:val="center"/>
          </w:tcPr>
          <w:p w14:paraId="4538B9E9">
            <w:pPr>
              <w:pStyle w:val="11"/>
            </w:pPr>
            <w:r>
              <w:t>预算    资金</w:t>
            </w:r>
          </w:p>
        </w:tc>
        <w:tc>
          <w:tcPr>
            <w:tcW w:w="1134" w:type="dxa"/>
            <w:vMerge w:val="continue"/>
          </w:tcPr>
          <w:p w14:paraId="63FBA0A3"/>
        </w:tc>
        <w:tc>
          <w:tcPr>
            <w:tcW w:w="1134" w:type="dxa"/>
            <w:vMerge w:val="continue"/>
          </w:tcPr>
          <w:p w14:paraId="5D7A248E"/>
        </w:tc>
        <w:tc>
          <w:tcPr>
            <w:tcW w:w="709" w:type="dxa"/>
            <w:vMerge w:val="continue"/>
          </w:tcPr>
          <w:p w14:paraId="563B7A80"/>
        </w:tc>
        <w:tc>
          <w:tcPr>
            <w:tcW w:w="850" w:type="dxa"/>
            <w:vMerge w:val="continue"/>
          </w:tcPr>
          <w:p w14:paraId="7AC972EB"/>
        </w:tc>
        <w:tc>
          <w:tcPr>
            <w:tcW w:w="850" w:type="dxa"/>
            <w:vMerge w:val="continue"/>
          </w:tcPr>
          <w:p w14:paraId="766E18C9"/>
        </w:tc>
        <w:tc>
          <w:tcPr>
            <w:tcW w:w="964" w:type="dxa"/>
            <w:vAlign w:val="center"/>
          </w:tcPr>
          <w:p w14:paraId="33CF1453">
            <w:pPr>
              <w:pStyle w:val="11"/>
            </w:pPr>
            <w:r>
              <w:t>合计</w:t>
            </w:r>
          </w:p>
        </w:tc>
        <w:tc>
          <w:tcPr>
            <w:tcW w:w="964" w:type="dxa"/>
            <w:vAlign w:val="center"/>
          </w:tcPr>
          <w:p w14:paraId="687B3933">
            <w:pPr>
              <w:pStyle w:val="11"/>
            </w:pPr>
            <w:r>
              <w:t>一般公共预算拨款</w:t>
            </w:r>
          </w:p>
        </w:tc>
        <w:tc>
          <w:tcPr>
            <w:tcW w:w="964" w:type="dxa"/>
            <w:vAlign w:val="center"/>
          </w:tcPr>
          <w:p w14:paraId="03834FFF">
            <w:pPr>
              <w:pStyle w:val="11"/>
            </w:pPr>
            <w:r>
              <w:t>基金预算拨款</w:t>
            </w:r>
          </w:p>
        </w:tc>
        <w:tc>
          <w:tcPr>
            <w:tcW w:w="964" w:type="dxa"/>
            <w:vAlign w:val="center"/>
          </w:tcPr>
          <w:p w14:paraId="7F28DE63">
            <w:pPr>
              <w:pStyle w:val="11"/>
            </w:pPr>
            <w:r>
              <w:t>国有资本经营预算拨款</w:t>
            </w:r>
          </w:p>
        </w:tc>
        <w:tc>
          <w:tcPr>
            <w:tcW w:w="964" w:type="dxa"/>
            <w:vAlign w:val="center"/>
          </w:tcPr>
          <w:p w14:paraId="3D8F2183">
            <w:pPr>
              <w:pStyle w:val="11"/>
            </w:pPr>
            <w:r>
              <w:t>财政专户核拨</w:t>
            </w:r>
          </w:p>
        </w:tc>
        <w:tc>
          <w:tcPr>
            <w:tcW w:w="964" w:type="dxa"/>
            <w:vAlign w:val="center"/>
          </w:tcPr>
          <w:p w14:paraId="5E0ECA5D">
            <w:pPr>
              <w:pStyle w:val="11"/>
            </w:pPr>
            <w:r>
              <w:t>单位    资金</w:t>
            </w:r>
          </w:p>
        </w:tc>
        <w:tc>
          <w:tcPr>
            <w:tcW w:w="964" w:type="dxa"/>
            <w:vAlign w:val="center"/>
          </w:tcPr>
          <w:p w14:paraId="20146737">
            <w:pPr>
              <w:pStyle w:val="11"/>
            </w:pPr>
            <w:r>
              <w:t>上年结转结余</w:t>
            </w:r>
          </w:p>
        </w:tc>
        <w:tc>
          <w:tcPr>
            <w:tcW w:w="964" w:type="dxa"/>
            <w:vMerge w:val="continue"/>
          </w:tcPr>
          <w:p w14:paraId="52F16298"/>
        </w:tc>
      </w:tr>
      <w:tr w14:paraId="6A494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E2B5789">
            <w:pPr>
              <w:pStyle w:val="15"/>
            </w:pPr>
            <w:r>
              <w:t>合  计</w:t>
            </w:r>
          </w:p>
        </w:tc>
        <w:tc>
          <w:tcPr>
            <w:tcW w:w="964" w:type="dxa"/>
            <w:vAlign w:val="center"/>
          </w:tcPr>
          <w:p w14:paraId="0715FAE8">
            <w:pPr>
              <w:pStyle w:val="16"/>
            </w:pPr>
          </w:p>
        </w:tc>
        <w:tc>
          <w:tcPr>
            <w:tcW w:w="1134" w:type="dxa"/>
            <w:vAlign w:val="center"/>
          </w:tcPr>
          <w:p w14:paraId="5917B55C">
            <w:pPr>
              <w:pStyle w:val="17"/>
            </w:pPr>
          </w:p>
        </w:tc>
        <w:tc>
          <w:tcPr>
            <w:tcW w:w="1134" w:type="dxa"/>
            <w:vAlign w:val="center"/>
          </w:tcPr>
          <w:p w14:paraId="66F6E976">
            <w:pPr>
              <w:pStyle w:val="17"/>
            </w:pPr>
          </w:p>
        </w:tc>
        <w:tc>
          <w:tcPr>
            <w:tcW w:w="709" w:type="dxa"/>
            <w:vAlign w:val="center"/>
          </w:tcPr>
          <w:p w14:paraId="389A4385">
            <w:pPr>
              <w:pStyle w:val="15"/>
            </w:pPr>
          </w:p>
        </w:tc>
        <w:tc>
          <w:tcPr>
            <w:tcW w:w="850" w:type="dxa"/>
            <w:vAlign w:val="center"/>
          </w:tcPr>
          <w:p w14:paraId="54004052">
            <w:pPr>
              <w:pStyle w:val="16"/>
            </w:pPr>
          </w:p>
        </w:tc>
        <w:tc>
          <w:tcPr>
            <w:tcW w:w="850" w:type="dxa"/>
            <w:vAlign w:val="center"/>
          </w:tcPr>
          <w:p w14:paraId="7DBA99F0">
            <w:pPr>
              <w:pStyle w:val="16"/>
            </w:pPr>
          </w:p>
        </w:tc>
        <w:tc>
          <w:tcPr>
            <w:tcW w:w="964" w:type="dxa"/>
            <w:vAlign w:val="center"/>
          </w:tcPr>
          <w:p w14:paraId="03DBE13E">
            <w:pPr>
              <w:pStyle w:val="16"/>
            </w:pPr>
            <w:r>
              <w:t>2.48</w:t>
            </w:r>
          </w:p>
        </w:tc>
        <w:tc>
          <w:tcPr>
            <w:tcW w:w="964" w:type="dxa"/>
            <w:vAlign w:val="center"/>
          </w:tcPr>
          <w:p w14:paraId="0EAB2007">
            <w:pPr>
              <w:pStyle w:val="16"/>
            </w:pPr>
            <w:r>
              <w:t>2.48</w:t>
            </w:r>
          </w:p>
        </w:tc>
        <w:tc>
          <w:tcPr>
            <w:tcW w:w="964" w:type="dxa"/>
            <w:vAlign w:val="center"/>
          </w:tcPr>
          <w:p w14:paraId="4E5E04AC">
            <w:pPr>
              <w:pStyle w:val="16"/>
            </w:pPr>
          </w:p>
        </w:tc>
        <w:tc>
          <w:tcPr>
            <w:tcW w:w="964" w:type="dxa"/>
            <w:vAlign w:val="center"/>
          </w:tcPr>
          <w:p w14:paraId="6E863D15">
            <w:pPr>
              <w:pStyle w:val="16"/>
            </w:pPr>
          </w:p>
        </w:tc>
        <w:tc>
          <w:tcPr>
            <w:tcW w:w="964" w:type="dxa"/>
            <w:vAlign w:val="center"/>
          </w:tcPr>
          <w:p w14:paraId="420D6EFD">
            <w:pPr>
              <w:pStyle w:val="16"/>
            </w:pPr>
          </w:p>
        </w:tc>
        <w:tc>
          <w:tcPr>
            <w:tcW w:w="964" w:type="dxa"/>
            <w:vAlign w:val="center"/>
          </w:tcPr>
          <w:p w14:paraId="70C20DB9">
            <w:pPr>
              <w:pStyle w:val="16"/>
            </w:pPr>
          </w:p>
        </w:tc>
        <w:tc>
          <w:tcPr>
            <w:tcW w:w="964" w:type="dxa"/>
            <w:vAlign w:val="center"/>
          </w:tcPr>
          <w:p w14:paraId="6A60CF06">
            <w:pPr>
              <w:pStyle w:val="16"/>
            </w:pPr>
          </w:p>
        </w:tc>
        <w:tc>
          <w:tcPr>
            <w:tcW w:w="964" w:type="dxa"/>
            <w:vAlign w:val="center"/>
          </w:tcPr>
          <w:p w14:paraId="55749A53">
            <w:pPr>
              <w:pStyle w:val="16"/>
            </w:pPr>
            <w:r>
              <w:t>2.48</w:t>
            </w:r>
          </w:p>
        </w:tc>
      </w:tr>
      <w:tr w14:paraId="4E5A8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E7EAD0">
            <w:pPr>
              <w:pStyle w:val="15"/>
            </w:pPr>
            <w:r>
              <w:t>隆尧县魏庄校区小计</w:t>
            </w:r>
          </w:p>
        </w:tc>
        <w:tc>
          <w:tcPr>
            <w:tcW w:w="964" w:type="dxa"/>
            <w:vAlign w:val="center"/>
          </w:tcPr>
          <w:p w14:paraId="3896D247">
            <w:pPr>
              <w:pStyle w:val="16"/>
            </w:pPr>
          </w:p>
        </w:tc>
        <w:tc>
          <w:tcPr>
            <w:tcW w:w="1134" w:type="dxa"/>
            <w:vAlign w:val="center"/>
          </w:tcPr>
          <w:p w14:paraId="539FC106">
            <w:pPr>
              <w:pStyle w:val="17"/>
            </w:pPr>
          </w:p>
        </w:tc>
        <w:tc>
          <w:tcPr>
            <w:tcW w:w="1134" w:type="dxa"/>
            <w:vAlign w:val="center"/>
          </w:tcPr>
          <w:p w14:paraId="0576D137">
            <w:pPr>
              <w:pStyle w:val="17"/>
            </w:pPr>
          </w:p>
        </w:tc>
        <w:tc>
          <w:tcPr>
            <w:tcW w:w="709" w:type="dxa"/>
            <w:vAlign w:val="center"/>
          </w:tcPr>
          <w:p w14:paraId="5934F6DC">
            <w:pPr>
              <w:pStyle w:val="15"/>
            </w:pPr>
          </w:p>
        </w:tc>
        <w:tc>
          <w:tcPr>
            <w:tcW w:w="850" w:type="dxa"/>
            <w:vAlign w:val="center"/>
          </w:tcPr>
          <w:p w14:paraId="1D2F6B20">
            <w:pPr>
              <w:pStyle w:val="16"/>
            </w:pPr>
          </w:p>
        </w:tc>
        <w:tc>
          <w:tcPr>
            <w:tcW w:w="850" w:type="dxa"/>
            <w:vAlign w:val="center"/>
          </w:tcPr>
          <w:p w14:paraId="4CF1B6FB">
            <w:pPr>
              <w:pStyle w:val="16"/>
            </w:pPr>
          </w:p>
        </w:tc>
        <w:tc>
          <w:tcPr>
            <w:tcW w:w="964" w:type="dxa"/>
            <w:vAlign w:val="center"/>
          </w:tcPr>
          <w:p w14:paraId="70F8F8CD">
            <w:pPr>
              <w:pStyle w:val="16"/>
            </w:pPr>
            <w:r>
              <w:t>2.48</w:t>
            </w:r>
          </w:p>
        </w:tc>
        <w:tc>
          <w:tcPr>
            <w:tcW w:w="964" w:type="dxa"/>
            <w:vAlign w:val="center"/>
          </w:tcPr>
          <w:p w14:paraId="4F79F28A">
            <w:pPr>
              <w:pStyle w:val="16"/>
            </w:pPr>
            <w:r>
              <w:t>2.48</w:t>
            </w:r>
          </w:p>
        </w:tc>
        <w:tc>
          <w:tcPr>
            <w:tcW w:w="964" w:type="dxa"/>
            <w:vAlign w:val="center"/>
          </w:tcPr>
          <w:p w14:paraId="05354A3E">
            <w:pPr>
              <w:pStyle w:val="16"/>
            </w:pPr>
          </w:p>
        </w:tc>
        <w:tc>
          <w:tcPr>
            <w:tcW w:w="964" w:type="dxa"/>
            <w:vAlign w:val="center"/>
          </w:tcPr>
          <w:p w14:paraId="3F97852D">
            <w:pPr>
              <w:pStyle w:val="16"/>
            </w:pPr>
          </w:p>
        </w:tc>
        <w:tc>
          <w:tcPr>
            <w:tcW w:w="964" w:type="dxa"/>
            <w:vAlign w:val="center"/>
          </w:tcPr>
          <w:p w14:paraId="5C35899A">
            <w:pPr>
              <w:pStyle w:val="16"/>
            </w:pPr>
          </w:p>
        </w:tc>
        <w:tc>
          <w:tcPr>
            <w:tcW w:w="964" w:type="dxa"/>
            <w:vAlign w:val="center"/>
          </w:tcPr>
          <w:p w14:paraId="1BC3DADA">
            <w:pPr>
              <w:pStyle w:val="16"/>
            </w:pPr>
          </w:p>
        </w:tc>
        <w:tc>
          <w:tcPr>
            <w:tcW w:w="964" w:type="dxa"/>
            <w:vAlign w:val="center"/>
          </w:tcPr>
          <w:p w14:paraId="0337CE3D">
            <w:pPr>
              <w:pStyle w:val="16"/>
            </w:pPr>
          </w:p>
        </w:tc>
        <w:tc>
          <w:tcPr>
            <w:tcW w:w="964" w:type="dxa"/>
            <w:vAlign w:val="center"/>
          </w:tcPr>
          <w:p w14:paraId="1E8CAA41">
            <w:pPr>
              <w:pStyle w:val="16"/>
            </w:pPr>
            <w:r>
              <w:t>2.48</w:t>
            </w:r>
          </w:p>
        </w:tc>
      </w:tr>
      <w:tr w14:paraId="72B1F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E5A5D1">
            <w:pPr>
              <w:pStyle w:val="13"/>
            </w:pPr>
            <w:r>
              <w:t>冀财教[2024]121号/中央/2025年学前发展资金/魏庄校区学前教育幼儿资助</w:t>
            </w:r>
          </w:p>
        </w:tc>
        <w:tc>
          <w:tcPr>
            <w:tcW w:w="964" w:type="dxa"/>
            <w:vAlign w:val="center"/>
          </w:tcPr>
          <w:p w14:paraId="2A8150BE">
            <w:pPr>
              <w:pStyle w:val="14"/>
            </w:pPr>
            <w:r>
              <w:t>1.62</w:t>
            </w:r>
          </w:p>
        </w:tc>
        <w:tc>
          <w:tcPr>
            <w:tcW w:w="1134" w:type="dxa"/>
            <w:vAlign w:val="center"/>
          </w:tcPr>
          <w:p w14:paraId="0A4F5AFC">
            <w:pPr>
              <w:pStyle w:val="13"/>
            </w:pPr>
            <w:r>
              <w:t>复印纸</w:t>
            </w:r>
          </w:p>
        </w:tc>
        <w:tc>
          <w:tcPr>
            <w:tcW w:w="1134" w:type="dxa"/>
            <w:vAlign w:val="center"/>
          </w:tcPr>
          <w:p w14:paraId="420253F3">
            <w:pPr>
              <w:pStyle w:val="13"/>
            </w:pPr>
            <w:r>
              <w:t>A05040101</w:t>
            </w:r>
          </w:p>
        </w:tc>
        <w:tc>
          <w:tcPr>
            <w:tcW w:w="709" w:type="dxa"/>
            <w:vAlign w:val="center"/>
          </w:tcPr>
          <w:p w14:paraId="18623D49">
            <w:pPr>
              <w:pStyle w:val="12"/>
            </w:pPr>
            <w:r>
              <w:t>包</w:t>
            </w:r>
          </w:p>
        </w:tc>
        <w:tc>
          <w:tcPr>
            <w:tcW w:w="850" w:type="dxa"/>
            <w:vAlign w:val="center"/>
          </w:tcPr>
          <w:p w14:paraId="51093512">
            <w:pPr>
              <w:pStyle w:val="14"/>
            </w:pPr>
            <w:r>
              <w:t>4</w:t>
            </w:r>
          </w:p>
        </w:tc>
        <w:tc>
          <w:tcPr>
            <w:tcW w:w="850" w:type="dxa"/>
            <w:vAlign w:val="center"/>
          </w:tcPr>
          <w:p w14:paraId="31B2C946">
            <w:pPr>
              <w:pStyle w:val="14"/>
            </w:pPr>
            <w:r>
              <w:t>0.02</w:t>
            </w:r>
          </w:p>
        </w:tc>
        <w:tc>
          <w:tcPr>
            <w:tcW w:w="964" w:type="dxa"/>
            <w:vAlign w:val="center"/>
          </w:tcPr>
          <w:p w14:paraId="5E875FE7">
            <w:pPr>
              <w:pStyle w:val="14"/>
            </w:pPr>
            <w:r>
              <w:t>0.07</w:t>
            </w:r>
          </w:p>
        </w:tc>
        <w:tc>
          <w:tcPr>
            <w:tcW w:w="964" w:type="dxa"/>
            <w:vAlign w:val="center"/>
          </w:tcPr>
          <w:p w14:paraId="13F3FEFA">
            <w:pPr>
              <w:pStyle w:val="14"/>
            </w:pPr>
            <w:r>
              <w:t>0.07</w:t>
            </w:r>
          </w:p>
        </w:tc>
        <w:tc>
          <w:tcPr>
            <w:tcW w:w="964" w:type="dxa"/>
            <w:vAlign w:val="center"/>
          </w:tcPr>
          <w:p w14:paraId="0490E78D">
            <w:pPr>
              <w:pStyle w:val="14"/>
            </w:pPr>
          </w:p>
        </w:tc>
        <w:tc>
          <w:tcPr>
            <w:tcW w:w="964" w:type="dxa"/>
            <w:vAlign w:val="center"/>
          </w:tcPr>
          <w:p w14:paraId="7711EED3">
            <w:pPr>
              <w:pStyle w:val="14"/>
            </w:pPr>
          </w:p>
        </w:tc>
        <w:tc>
          <w:tcPr>
            <w:tcW w:w="964" w:type="dxa"/>
            <w:vAlign w:val="center"/>
          </w:tcPr>
          <w:p w14:paraId="6FBDA8EE">
            <w:pPr>
              <w:pStyle w:val="14"/>
            </w:pPr>
          </w:p>
        </w:tc>
        <w:tc>
          <w:tcPr>
            <w:tcW w:w="964" w:type="dxa"/>
            <w:vAlign w:val="center"/>
          </w:tcPr>
          <w:p w14:paraId="3659D973">
            <w:pPr>
              <w:pStyle w:val="14"/>
            </w:pPr>
          </w:p>
        </w:tc>
        <w:tc>
          <w:tcPr>
            <w:tcW w:w="964" w:type="dxa"/>
            <w:vAlign w:val="center"/>
          </w:tcPr>
          <w:p w14:paraId="0C86A72F">
            <w:pPr>
              <w:pStyle w:val="14"/>
            </w:pPr>
          </w:p>
        </w:tc>
        <w:tc>
          <w:tcPr>
            <w:tcW w:w="964" w:type="dxa"/>
            <w:vAlign w:val="center"/>
          </w:tcPr>
          <w:p w14:paraId="68102B8E">
            <w:pPr>
              <w:pStyle w:val="14"/>
            </w:pPr>
            <w:r>
              <w:t>0.07</w:t>
            </w:r>
          </w:p>
        </w:tc>
      </w:tr>
      <w:tr w14:paraId="5A9DF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6B0900">
            <w:pPr>
              <w:pStyle w:val="13"/>
            </w:pPr>
            <w:r>
              <w:t>冀财教[2024]123号/中央/2025年义教补助经费/魏庄小学公用经费</w:t>
            </w:r>
          </w:p>
        </w:tc>
        <w:tc>
          <w:tcPr>
            <w:tcW w:w="964" w:type="dxa"/>
            <w:vAlign w:val="center"/>
          </w:tcPr>
          <w:p w14:paraId="3569E19B">
            <w:pPr>
              <w:pStyle w:val="14"/>
            </w:pPr>
            <w:r>
              <w:t>90.59</w:t>
            </w:r>
          </w:p>
        </w:tc>
        <w:tc>
          <w:tcPr>
            <w:tcW w:w="1134" w:type="dxa"/>
            <w:vAlign w:val="center"/>
          </w:tcPr>
          <w:p w14:paraId="537E10AB">
            <w:pPr>
              <w:pStyle w:val="13"/>
            </w:pPr>
            <w:r>
              <w:t>空调机</w:t>
            </w:r>
          </w:p>
        </w:tc>
        <w:tc>
          <w:tcPr>
            <w:tcW w:w="1134" w:type="dxa"/>
            <w:vAlign w:val="center"/>
          </w:tcPr>
          <w:p w14:paraId="185B0990">
            <w:pPr>
              <w:pStyle w:val="13"/>
            </w:pPr>
            <w:r>
              <w:t>A02061804</w:t>
            </w:r>
          </w:p>
        </w:tc>
        <w:tc>
          <w:tcPr>
            <w:tcW w:w="709" w:type="dxa"/>
            <w:vAlign w:val="center"/>
          </w:tcPr>
          <w:p w14:paraId="453FC7E2">
            <w:pPr>
              <w:pStyle w:val="12"/>
            </w:pPr>
            <w:r>
              <w:t>台</w:t>
            </w:r>
          </w:p>
        </w:tc>
        <w:tc>
          <w:tcPr>
            <w:tcW w:w="850" w:type="dxa"/>
            <w:vAlign w:val="center"/>
          </w:tcPr>
          <w:p w14:paraId="59B07640">
            <w:pPr>
              <w:pStyle w:val="14"/>
            </w:pPr>
            <w:r>
              <w:t>1</w:t>
            </w:r>
          </w:p>
        </w:tc>
        <w:tc>
          <w:tcPr>
            <w:tcW w:w="850" w:type="dxa"/>
            <w:vAlign w:val="center"/>
          </w:tcPr>
          <w:p w14:paraId="39AE98EC">
            <w:pPr>
              <w:pStyle w:val="14"/>
            </w:pPr>
            <w:r>
              <w:t>0.25</w:t>
            </w:r>
          </w:p>
        </w:tc>
        <w:tc>
          <w:tcPr>
            <w:tcW w:w="964" w:type="dxa"/>
            <w:vAlign w:val="center"/>
          </w:tcPr>
          <w:p w14:paraId="7933B2D1">
            <w:pPr>
              <w:pStyle w:val="14"/>
            </w:pPr>
            <w:r>
              <w:t>0.25</w:t>
            </w:r>
          </w:p>
        </w:tc>
        <w:tc>
          <w:tcPr>
            <w:tcW w:w="964" w:type="dxa"/>
            <w:vAlign w:val="center"/>
          </w:tcPr>
          <w:p w14:paraId="48DBDA64">
            <w:pPr>
              <w:pStyle w:val="14"/>
            </w:pPr>
            <w:r>
              <w:t>0.25</w:t>
            </w:r>
          </w:p>
        </w:tc>
        <w:tc>
          <w:tcPr>
            <w:tcW w:w="964" w:type="dxa"/>
            <w:vAlign w:val="center"/>
          </w:tcPr>
          <w:p w14:paraId="1234A55C">
            <w:pPr>
              <w:pStyle w:val="14"/>
            </w:pPr>
          </w:p>
        </w:tc>
        <w:tc>
          <w:tcPr>
            <w:tcW w:w="964" w:type="dxa"/>
            <w:vAlign w:val="center"/>
          </w:tcPr>
          <w:p w14:paraId="673CC689">
            <w:pPr>
              <w:pStyle w:val="14"/>
            </w:pPr>
          </w:p>
        </w:tc>
        <w:tc>
          <w:tcPr>
            <w:tcW w:w="964" w:type="dxa"/>
            <w:vAlign w:val="center"/>
          </w:tcPr>
          <w:p w14:paraId="356B7B5C">
            <w:pPr>
              <w:pStyle w:val="14"/>
            </w:pPr>
          </w:p>
        </w:tc>
        <w:tc>
          <w:tcPr>
            <w:tcW w:w="964" w:type="dxa"/>
            <w:vAlign w:val="center"/>
          </w:tcPr>
          <w:p w14:paraId="2ECB8B64">
            <w:pPr>
              <w:pStyle w:val="14"/>
            </w:pPr>
          </w:p>
        </w:tc>
        <w:tc>
          <w:tcPr>
            <w:tcW w:w="964" w:type="dxa"/>
            <w:vAlign w:val="center"/>
          </w:tcPr>
          <w:p w14:paraId="27487F60">
            <w:pPr>
              <w:pStyle w:val="14"/>
            </w:pPr>
          </w:p>
        </w:tc>
        <w:tc>
          <w:tcPr>
            <w:tcW w:w="964" w:type="dxa"/>
            <w:vAlign w:val="center"/>
          </w:tcPr>
          <w:p w14:paraId="623BF06B">
            <w:pPr>
              <w:pStyle w:val="14"/>
            </w:pPr>
            <w:r>
              <w:t>0.25</w:t>
            </w:r>
          </w:p>
        </w:tc>
      </w:tr>
      <w:tr w14:paraId="27553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2FB7A0">
            <w:pPr>
              <w:pStyle w:val="13"/>
            </w:pPr>
            <w:r>
              <w:t>冀财教[2024]123号/中央/2025年义教补助经费/魏庄小学公用经费</w:t>
            </w:r>
          </w:p>
        </w:tc>
        <w:tc>
          <w:tcPr>
            <w:tcW w:w="964" w:type="dxa"/>
            <w:vAlign w:val="center"/>
          </w:tcPr>
          <w:p w14:paraId="2D8A8EAE">
            <w:pPr>
              <w:pStyle w:val="14"/>
            </w:pPr>
            <w:r>
              <w:t>90.59</w:t>
            </w:r>
          </w:p>
        </w:tc>
        <w:tc>
          <w:tcPr>
            <w:tcW w:w="1134" w:type="dxa"/>
            <w:vAlign w:val="center"/>
          </w:tcPr>
          <w:p w14:paraId="057DE06D">
            <w:pPr>
              <w:pStyle w:val="13"/>
            </w:pPr>
            <w:r>
              <w:t>空调机</w:t>
            </w:r>
          </w:p>
        </w:tc>
        <w:tc>
          <w:tcPr>
            <w:tcW w:w="1134" w:type="dxa"/>
            <w:vAlign w:val="center"/>
          </w:tcPr>
          <w:p w14:paraId="1DAD8A17">
            <w:pPr>
              <w:pStyle w:val="13"/>
            </w:pPr>
            <w:r>
              <w:t>A02061804</w:t>
            </w:r>
          </w:p>
        </w:tc>
        <w:tc>
          <w:tcPr>
            <w:tcW w:w="709" w:type="dxa"/>
            <w:vAlign w:val="center"/>
          </w:tcPr>
          <w:p w14:paraId="598BF3DA">
            <w:pPr>
              <w:pStyle w:val="12"/>
            </w:pPr>
            <w:r>
              <w:t>台</w:t>
            </w:r>
          </w:p>
        </w:tc>
        <w:tc>
          <w:tcPr>
            <w:tcW w:w="850" w:type="dxa"/>
            <w:vAlign w:val="center"/>
          </w:tcPr>
          <w:p w14:paraId="50E076D9">
            <w:pPr>
              <w:pStyle w:val="14"/>
            </w:pPr>
            <w:r>
              <w:t>1</w:t>
            </w:r>
          </w:p>
        </w:tc>
        <w:tc>
          <w:tcPr>
            <w:tcW w:w="850" w:type="dxa"/>
            <w:vAlign w:val="center"/>
          </w:tcPr>
          <w:p w14:paraId="616374AF">
            <w:pPr>
              <w:pStyle w:val="14"/>
            </w:pPr>
            <w:r>
              <w:t>0.48</w:t>
            </w:r>
          </w:p>
        </w:tc>
        <w:tc>
          <w:tcPr>
            <w:tcW w:w="964" w:type="dxa"/>
            <w:vAlign w:val="center"/>
          </w:tcPr>
          <w:p w14:paraId="080CA934">
            <w:pPr>
              <w:pStyle w:val="14"/>
            </w:pPr>
            <w:r>
              <w:t>0.48</w:t>
            </w:r>
          </w:p>
        </w:tc>
        <w:tc>
          <w:tcPr>
            <w:tcW w:w="964" w:type="dxa"/>
            <w:vAlign w:val="center"/>
          </w:tcPr>
          <w:p w14:paraId="08704C3B">
            <w:pPr>
              <w:pStyle w:val="14"/>
            </w:pPr>
            <w:r>
              <w:t>0.48</w:t>
            </w:r>
          </w:p>
        </w:tc>
        <w:tc>
          <w:tcPr>
            <w:tcW w:w="964" w:type="dxa"/>
            <w:vAlign w:val="center"/>
          </w:tcPr>
          <w:p w14:paraId="0368A192">
            <w:pPr>
              <w:pStyle w:val="14"/>
            </w:pPr>
          </w:p>
        </w:tc>
        <w:tc>
          <w:tcPr>
            <w:tcW w:w="964" w:type="dxa"/>
            <w:vAlign w:val="center"/>
          </w:tcPr>
          <w:p w14:paraId="6F81255B">
            <w:pPr>
              <w:pStyle w:val="14"/>
            </w:pPr>
          </w:p>
        </w:tc>
        <w:tc>
          <w:tcPr>
            <w:tcW w:w="964" w:type="dxa"/>
            <w:vAlign w:val="center"/>
          </w:tcPr>
          <w:p w14:paraId="1A7E8996">
            <w:pPr>
              <w:pStyle w:val="14"/>
            </w:pPr>
          </w:p>
        </w:tc>
        <w:tc>
          <w:tcPr>
            <w:tcW w:w="964" w:type="dxa"/>
            <w:vAlign w:val="center"/>
          </w:tcPr>
          <w:p w14:paraId="78C15C39">
            <w:pPr>
              <w:pStyle w:val="14"/>
            </w:pPr>
          </w:p>
        </w:tc>
        <w:tc>
          <w:tcPr>
            <w:tcW w:w="964" w:type="dxa"/>
            <w:vAlign w:val="center"/>
          </w:tcPr>
          <w:p w14:paraId="4A17DA67">
            <w:pPr>
              <w:pStyle w:val="14"/>
            </w:pPr>
          </w:p>
        </w:tc>
        <w:tc>
          <w:tcPr>
            <w:tcW w:w="964" w:type="dxa"/>
            <w:vAlign w:val="center"/>
          </w:tcPr>
          <w:p w14:paraId="40F07124">
            <w:pPr>
              <w:pStyle w:val="14"/>
            </w:pPr>
            <w:r>
              <w:t>0.48</w:t>
            </w:r>
          </w:p>
        </w:tc>
      </w:tr>
      <w:tr w14:paraId="06269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4CD39C">
            <w:pPr>
              <w:pStyle w:val="13"/>
            </w:pPr>
            <w:r>
              <w:t>冀财教[2024]123号/中央/2025年义教补助经费/魏庄小学公用经费</w:t>
            </w:r>
          </w:p>
        </w:tc>
        <w:tc>
          <w:tcPr>
            <w:tcW w:w="964" w:type="dxa"/>
            <w:vAlign w:val="center"/>
          </w:tcPr>
          <w:p w14:paraId="6C6E0D5C">
            <w:pPr>
              <w:pStyle w:val="14"/>
            </w:pPr>
            <w:r>
              <w:t>90.59</w:t>
            </w:r>
          </w:p>
        </w:tc>
        <w:tc>
          <w:tcPr>
            <w:tcW w:w="1134" w:type="dxa"/>
            <w:vAlign w:val="center"/>
          </w:tcPr>
          <w:p w14:paraId="039EF347">
            <w:pPr>
              <w:pStyle w:val="13"/>
            </w:pPr>
            <w:r>
              <w:t>空调机</w:t>
            </w:r>
          </w:p>
        </w:tc>
        <w:tc>
          <w:tcPr>
            <w:tcW w:w="1134" w:type="dxa"/>
            <w:vAlign w:val="center"/>
          </w:tcPr>
          <w:p w14:paraId="2B9D12CA">
            <w:pPr>
              <w:pStyle w:val="13"/>
            </w:pPr>
            <w:r>
              <w:t>A02061804</w:t>
            </w:r>
          </w:p>
        </w:tc>
        <w:tc>
          <w:tcPr>
            <w:tcW w:w="709" w:type="dxa"/>
            <w:vAlign w:val="center"/>
          </w:tcPr>
          <w:p w14:paraId="3478D4F6">
            <w:pPr>
              <w:pStyle w:val="12"/>
            </w:pPr>
            <w:r>
              <w:t>台</w:t>
            </w:r>
          </w:p>
        </w:tc>
        <w:tc>
          <w:tcPr>
            <w:tcW w:w="850" w:type="dxa"/>
            <w:vAlign w:val="center"/>
          </w:tcPr>
          <w:p w14:paraId="5ED7B341">
            <w:pPr>
              <w:pStyle w:val="14"/>
            </w:pPr>
            <w:r>
              <w:t>2</w:t>
            </w:r>
          </w:p>
        </w:tc>
        <w:tc>
          <w:tcPr>
            <w:tcW w:w="850" w:type="dxa"/>
            <w:vAlign w:val="center"/>
          </w:tcPr>
          <w:p w14:paraId="5E02468C">
            <w:pPr>
              <w:pStyle w:val="14"/>
            </w:pPr>
            <w:r>
              <w:t>0.27</w:t>
            </w:r>
          </w:p>
        </w:tc>
        <w:tc>
          <w:tcPr>
            <w:tcW w:w="964" w:type="dxa"/>
            <w:vAlign w:val="center"/>
          </w:tcPr>
          <w:p w14:paraId="080470E9">
            <w:pPr>
              <w:pStyle w:val="14"/>
            </w:pPr>
            <w:r>
              <w:t>0.54</w:t>
            </w:r>
          </w:p>
        </w:tc>
        <w:tc>
          <w:tcPr>
            <w:tcW w:w="964" w:type="dxa"/>
            <w:vAlign w:val="center"/>
          </w:tcPr>
          <w:p w14:paraId="1BDF6C97">
            <w:pPr>
              <w:pStyle w:val="14"/>
            </w:pPr>
            <w:r>
              <w:t>0.54</w:t>
            </w:r>
          </w:p>
        </w:tc>
        <w:tc>
          <w:tcPr>
            <w:tcW w:w="964" w:type="dxa"/>
            <w:vAlign w:val="center"/>
          </w:tcPr>
          <w:p w14:paraId="04D7EC9B">
            <w:pPr>
              <w:pStyle w:val="14"/>
            </w:pPr>
          </w:p>
        </w:tc>
        <w:tc>
          <w:tcPr>
            <w:tcW w:w="964" w:type="dxa"/>
            <w:vAlign w:val="center"/>
          </w:tcPr>
          <w:p w14:paraId="4D6702FB">
            <w:pPr>
              <w:pStyle w:val="14"/>
            </w:pPr>
          </w:p>
        </w:tc>
        <w:tc>
          <w:tcPr>
            <w:tcW w:w="964" w:type="dxa"/>
            <w:vAlign w:val="center"/>
          </w:tcPr>
          <w:p w14:paraId="511732C3">
            <w:pPr>
              <w:pStyle w:val="14"/>
            </w:pPr>
          </w:p>
        </w:tc>
        <w:tc>
          <w:tcPr>
            <w:tcW w:w="964" w:type="dxa"/>
            <w:vAlign w:val="center"/>
          </w:tcPr>
          <w:p w14:paraId="66D185ED">
            <w:pPr>
              <w:pStyle w:val="14"/>
            </w:pPr>
          </w:p>
        </w:tc>
        <w:tc>
          <w:tcPr>
            <w:tcW w:w="964" w:type="dxa"/>
            <w:vAlign w:val="center"/>
          </w:tcPr>
          <w:p w14:paraId="68B5084F">
            <w:pPr>
              <w:pStyle w:val="14"/>
            </w:pPr>
          </w:p>
        </w:tc>
        <w:tc>
          <w:tcPr>
            <w:tcW w:w="964" w:type="dxa"/>
            <w:vAlign w:val="center"/>
          </w:tcPr>
          <w:p w14:paraId="0CB3C45C">
            <w:pPr>
              <w:pStyle w:val="14"/>
            </w:pPr>
            <w:r>
              <w:t>0.54</w:t>
            </w:r>
          </w:p>
        </w:tc>
      </w:tr>
      <w:tr w14:paraId="6A9D8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36D1D7">
            <w:pPr>
              <w:pStyle w:val="13"/>
            </w:pPr>
            <w:r>
              <w:t>冀财教[2024]123号/中央/2025年义教补助经费/肖实小学公用经费</w:t>
            </w:r>
          </w:p>
        </w:tc>
        <w:tc>
          <w:tcPr>
            <w:tcW w:w="964" w:type="dxa"/>
            <w:vAlign w:val="center"/>
          </w:tcPr>
          <w:p w14:paraId="12520281">
            <w:pPr>
              <w:pStyle w:val="14"/>
            </w:pPr>
            <w:r>
              <w:t>16.57</w:t>
            </w:r>
          </w:p>
        </w:tc>
        <w:tc>
          <w:tcPr>
            <w:tcW w:w="1134" w:type="dxa"/>
            <w:vAlign w:val="center"/>
          </w:tcPr>
          <w:p w14:paraId="04D75226">
            <w:pPr>
              <w:pStyle w:val="13"/>
            </w:pPr>
            <w:r>
              <w:t>A4 黑白打印机</w:t>
            </w:r>
          </w:p>
        </w:tc>
        <w:tc>
          <w:tcPr>
            <w:tcW w:w="1134" w:type="dxa"/>
            <w:vAlign w:val="center"/>
          </w:tcPr>
          <w:p w14:paraId="08F5A13C">
            <w:pPr>
              <w:pStyle w:val="13"/>
            </w:pPr>
            <w:r>
              <w:t>A02021003</w:t>
            </w:r>
          </w:p>
        </w:tc>
        <w:tc>
          <w:tcPr>
            <w:tcW w:w="709" w:type="dxa"/>
            <w:vAlign w:val="center"/>
          </w:tcPr>
          <w:p w14:paraId="69329A11">
            <w:pPr>
              <w:pStyle w:val="12"/>
            </w:pPr>
            <w:r>
              <w:t>台</w:t>
            </w:r>
          </w:p>
        </w:tc>
        <w:tc>
          <w:tcPr>
            <w:tcW w:w="850" w:type="dxa"/>
            <w:vAlign w:val="center"/>
          </w:tcPr>
          <w:p w14:paraId="672FC1E7">
            <w:pPr>
              <w:pStyle w:val="14"/>
            </w:pPr>
            <w:r>
              <w:t>1</w:t>
            </w:r>
          </w:p>
        </w:tc>
        <w:tc>
          <w:tcPr>
            <w:tcW w:w="850" w:type="dxa"/>
            <w:vAlign w:val="center"/>
          </w:tcPr>
          <w:p w14:paraId="1D72B28E">
            <w:pPr>
              <w:pStyle w:val="14"/>
            </w:pPr>
            <w:r>
              <w:t>0.45</w:t>
            </w:r>
          </w:p>
        </w:tc>
        <w:tc>
          <w:tcPr>
            <w:tcW w:w="964" w:type="dxa"/>
            <w:vAlign w:val="center"/>
          </w:tcPr>
          <w:p w14:paraId="38112FD5">
            <w:pPr>
              <w:pStyle w:val="14"/>
            </w:pPr>
            <w:r>
              <w:t>0.45</w:t>
            </w:r>
          </w:p>
        </w:tc>
        <w:tc>
          <w:tcPr>
            <w:tcW w:w="964" w:type="dxa"/>
            <w:vAlign w:val="center"/>
          </w:tcPr>
          <w:p w14:paraId="027999BB">
            <w:pPr>
              <w:pStyle w:val="14"/>
            </w:pPr>
            <w:r>
              <w:t>0.45</w:t>
            </w:r>
          </w:p>
        </w:tc>
        <w:tc>
          <w:tcPr>
            <w:tcW w:w="964" w:type="dxa"/>
            <w:vAlign w:val="center"/>
          </w:tcPr>
          <w:p w14:paraId="052D3430">
            <w:pPr>
              <w:pStyle w:val="14"/>
            </w:pPr>
          </w:p>
        </w:tc>
        <w:tc>
          <w:tcPr>
            <w:tcW w:w="964" w:type="dxa"/>
            <w:vAlign w:val="center"/>
          </w:tcPr>
          <w:p w14:paraId="28055253">
            <w:pPr>
              <w:pStyle w:val="14"/>
            </w:pPr>
          </w:p>
        </w:tc>
        <w:tc>
          <w:tcPr>
            <w:tcW w:w="964" w:type="dxa"/>
            <w:vAlign w:val="center"/>
          </w:tcPr>
          <w:p w14:paraId="44D8F3A8">
            <w:pPr>
              <w:pStyle w:val="14"/>
            </w:pPr>
          </w:p>
        </w:tc>
        <w:tc>
          <w:tcPr>
            <w:tcW w:w="964" w:type="dxa"/>
            <w:vAlign w:val="center"/>
          </w:tcPr>
          <w:p w14:paraId="0BBC3790">
            <w:pPr>
              <w:pStyle w:val="14"/>
            </w:pPr>
          </w:p>
        </w:tc>
        <w:tc>
          <w:tcPr>
            <w:tcW w:w="964" w:type="dxa"/>
            <w:vAlign w:val="center"/>
          </w:tcPr>
          <w:p w14:paraId="279CF472">
            <w:pPr>
              <w:pStyle w:val="14"/>
            </w:pPr>
          </w:p>
        </w:tc>
        <w:tc>
          <w:tcPr>
            <w:tcW w:w="964" w:type="dxa"/>
            <w:vAlign w:val="center"/>
          </w:tcPr>
          <w:p w14:paraId="29993F1E">
            <w:pPr>
              <w:pStyle w:val="14"/>
            </w:pPr>
            <w:r>
              <w:t>0.45</w:t>
            </w:r>
          </w:p>
        </w:tc>
      </w:tr>
      <w:tr w14:paraId="6E518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D1E796">
            <w:pPr>
              <w:pStyle w:val="13"/>
            </w:pPr>
            <w:r>
              <w:t>冀财教[2024]123号/中央/2025年义教补助经费/张汪小学公用经费</w:t>
            </w:r>
          </w:p>
        </w:tc>
        <w:tc>
          <w:tcPr>
            <w:tcW w:w="964" w:type="dxa"/>
            <w:vAlign w:val="center"/>
          </w:tcPr>
          <w:p w14:paraId="274179CB">
            <w:pPr>
              <w:pStyle w:val="14"/>
            </w:pPr>
            <w:r>
              <w:t>37.49</w:t>
            </w:r>
          </w:p>
        </w:tc>
        <w:tc>
          <w:tcPr>
            <w:tcW w:w="1134" w:type="dxa"/>
            <w:vAlign w:val="center"/>
          </w:tcPr>
          <w:p w14:paraId="1184FA24">
            <w:pPr>
              <w:pStyle w:val="13"/>
            </w:pPr>
            <w:r>
              <w:t>空调机</w:t>
            </w:r>
          </w:p>
        </w:tc>
        <w:tc>
          <w:tcPr>
            <w:tcW w:w="1134" w:type="dxa"/>
            <w:vAlign w:val="center"/>
          </w:tcPr>
          <w:p w14:paraId="5E9E97A1">
            <w:pPr>
              <w:pStyle w:val="13"/>
            </w:pPr>
            <w:r>
              <w:t>A02061804</w:t>
            </w:r>
          </w:p>
        </w:tc>
        <w:tc>
          <w:tcPr>
            <w:tcW w:w="709" w:type="dxa"/>
            <w:vAlign w:val="center"/>
          </w:tcPr>
          <w:p w14:paraId="15F3269C">
            <w:pPr>
              <w:pStyle w:val="12"/>
            </w:pPr>
            <w:r>
              <w:t>台</w:t>
            </w:r>
          </w:p>
        </w:tc>
        <w:tc>
          <w:tcPr>
            <w:tcW w:w="850" w:type="dxa"/>
            <w:vAlign w:val="center"/>
          </w:tcPr>
          <w:p w14:paraId="0DE2496E">
            <w:pPr>
              <w:pStyle w:val="14"/>
            </w:pPr>
            <w:r>
              <w:t>1</w:t>
            </w:r>
          </w:p>
        </w:tc>
        <w:tc>
          <w:tcPr>
            <w:tcW w:w="850" w:type="dxa"/>
            <w:vAlign w:val="center"/>
          </w:tcPr>
          <w:p w14:paraId="17286D24">
            <w:pPr>
              <w:pStyle w:val="14"/>
            </w:pPr>
            <w:r>
              <w:t>0.56</w:t>
            </w:r>
          </w:p>
        </w:tc>
        <w:tc>
          <w:tcPr>
            <w:tcW w:w="964" w:type="dxa"/>
            <w:vAlign w:val="center"/>
          </w:tcPr>
          <w:p w14:paraId="547B7856">
            <w:pPr>
              <w:pStyle w:val="14"/>
            </w:pPr>
            <w:r>
              <w:t>0.56</w:t>
            </w:r>
          </w:p>
        </w:tc>
        <w:tc>
          <w:tcPr>
            <w:tcW w:w="964" w:type="dxa"/>
            <w:vAlign w:val="center"/>
          </w:tcPr>
          <w:p w14:paraId="4FA7D1DB">
            <w:pPr>
              <w:pStyle w:val="14"/>
            </w:pPr>
            <w:r>
              <w:t>0.56</w:t>
            </w:r>
          </w:p>
        </w:tc>
        <w:tc>
          <w:tcPr>
            <w:tcW w:w="964" w:type="dxa"/>
            <w:vAlign w:val="center"/>
          </w:tcPr>
          <w:p w14:paraId="747C1745">
            <w:pPr>
              <w:pStyle w:val="14"/>
            </w:pPr>
          </w:p>
        </w:tc>
        <w:tc>
          <w:tcPr>
            <w:tcW w:w="964" w:type="dxa"/>
            <w:vAlign w:val="center"/>
          </w:tcPr>
          <w:p w14:paraId="2A01CE53">
            <w:pPr>
              <w:pStyle w:val="14"/>
            </w:pPr>
          </w:p>
        </w:tc>
        <w:tc>
          <w:tcPr>
            <w:tcW w:w="964" w:type="dxa"/>
            <w:vAlign w:val="center"/>
          </w:tcPr>
          <w:p w14:paraId="590FCF2B">
            <w:pPr>
              <w:pStyle w:val="14"/>
            </w:pPr>
          </w:p>
        </w:tc>
        <w:tc>
          <w:tcPr>
            <w:tcW w:w="964" w:type="dxa"/>
            <w:vAlign w:val="center"/>
          </w:tcPr>
          <w:p w14:paraId="5CA31C0F">
            <w:pPr>
              <w:pStyle w:val="14"/>
            </w:pPr>
          </w:p>
        </w:tc>
        <w:tc>
          <w:tcPr>
            <w:tcW w:w="964" w:type="dxa"/>
            <w:vAlign w:val="center"/>
          </w:tcPr>
          <w:p w14:paraId="1B58E6E3">
            <w:pPr>
              <w:pStyle w:val="14"/>
            </w:pPr>
          </w:p>
        </w:tc>
        <w:tc>
          <w:tcPr>
            <w:tcW w:w="964" w:type="dxa"/>
            <w:vAlign w:val="center"/>
          </w:tcPr>
          <w:p w14:paraId="52E4D3CF">
            <w:pPr>
              <w:pStyle w:val="14"/>
            </w:pPr>
            <w:r>
              <w:t>0.56</w:t>
            </w:r>
          </w:p>
        </w:tc>
      </w:tr>
      <w:tr w14:paraId="76EB6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4F394A">
            <w:pPr>
              <w:pStyle w:val="13"/>
            </w:pPr>
            <w:r>
              <w:t>冀财教[2024]142号/省级/2025年学前发展资金/魏庄校区学前教育幼儿资助</w:t>
            </w:r>
          </w:p>
        </w:tc>
        <w:tc>
          <w:tcPr>
            <w:tcW w:w="964" w:type="dxa"/>
            <w:vAlign w:val="center"/>
          </w:tcPr>
          <w:p w14:paraId="530B0CCF">
            <w:pPr>
              <w:pStyle w:val="14"/>
            </w:pPr>
            <w:r>
              <w:t>0.54</w:t>
            </w:r>
          </w:p>
        </w:tc>
        <w:tc>
          <w:tcPr>
            <w:tcW w:w="1134" w:type="dxa"/>
            <w:vAlign w:val="center"/>
          </w:tcPr>
          <w:p w14:paraId="59E7419A">
            <w:pPr>
              <w:pStyle w:val="13"/>
            </w:pPr>
            <w:r>
              <w:t>复印纸</w:t>
            </w:r>
          </w:p>
        </w:tc>
        <w:tc>
          <w:tcPr>
            <w:tcW w:w="1134" w:type="dxa"/>
            <w:vAlign w:val="center"/>
          </w:tcPr>
          <w:p w14:paraId="49B2F3B8">
            <w:pPr>
              <w:pStyle w:val="13"/>
            </w:pPr>
            <w:r>
              <w:t>A05040101</w:t>
            </w:r>
          </w:p>
        </w:tc>
        <w:tc>
          <w:tcPr>
            <w:tcW w:w="709" w:type="dxa"/>
            <w:vAlign w:val="center"/>
          </w:tcPr>
          <w:p w14:paraId="247AA533">
            <w:pPr>
              <w:pStyle w:val="12"/>
            </w:pPr>
            <w:r>
              <w:t>包</w:t>
            </w:r>
          </w:p>
        </w:tc>
        <w:tc>
          <w:tcPr>
            <w:tcW w:w="850" w:type="dxa"/>
            <w:vAlign w:val="center"/>
          </w:tcPr>
          <w:p w14:paraId="126D5221">
            <w:pPr>
              <w:pStyle w:val="14"/>
            </w:pPr>
            <w:r>
              <w:t>2</w:t>
            </w:r>
          </w:p>
        </w:tc>
        <w:tc>
          <w:tcPr>
            <w:tcW w:w="850" w:type="dxa"/>
            <w:vAlign w:val="center"/>
          </w:tcPr>
          <w:p w14:paraId="2ACB3DD4">
            <w:pPr>
              <w:pStyle w:val="14"/>
            </w:pPr>
            <w:r>
              <w:t>0.02</w:t>
            </w:r>
          </w:p>
        </w:tc>
        <w:tc>
          <w:tcPr>
            <w:tcW w:w="964" w:type="dxa"/>
            <w:vAlign w:val="center"/>
          </w:tcPr>
          <w:p w14:paraId="215060E2">
            <w:pPr>
              <w:pStyle w:val="14"/>
            </w:pPr>
            <w:r>
              <w:t>0.04</w:t>
            </w:r>
          </w:p>
        </w:tc>
        <w:tc>
          <w:tcPr>
            <w:tcW w:w="964" w:type="dxa"/>
            <w:vAlign w:val="center"/>
          </w:tcPr>
          <w:p w14:paraId="50DACFF1">
            <w:pPr>
              <w:pStyle w:val="14"/>
            </w:pPr>
            <w:r>
              <w:t>0.04</w:t>
            </w:r>
          </w:p>
        </w:tc>
        <w:tc>
          <w:tcPr>
            <w:tcW w:w="964" w:type="dxa"/>
            <w:vAlign w:val="center"/>
          </w:tcPr>
          <w:p w14:paraId="4BB898BE">
            <w:pPr>
              <w:pStyle w:val="14"/>
            </w:pPr>
          </w:p>
        </w:tc>
        <w:tc>
          <w:tcPr>
            <w:tcW w:w="964" w:type="dxa"/>
            <w:vAlign w:val="center"/>
          </w:tcPr>
          <w:p w14:paraId="0DE77D4A">
            <w:pPr>
              <w:pStyle w:val="14"/>
            </w:pPr>
          </w:p>
        </w:tc>
        <w:tc>
          <w:tcPr>
            <w:tcW w:w="964" w:type="dxa"/>
            <w:vAlign w:val="center"/>
          </w:tcPr>
          <w:p w14:paraId="5E441DFF">
            <w:pPr>
              <w:pStyle w:val="14"/>
            </w:pPr>
          </w:p>
        </w:tc>
        <w:tc>
          <w:tcPr>
            <w:tcW w:w="964" w:type="dxa"/>
            <w:vAlign w:val="center"/>
          </w:tcPr>
          <w:p w14:paraId="41BA0F96">
            <w:pPr>
              <w:pStyle w:val="14"/>
            </w:pPr>
          </w:p>
        </w:tc>
        <w:tc>
          <w:tcPr>
            <w:tcW w:w="964" w:type="dxa"/>
            <w:vAlign w:val="center"/>
          </w:tcPr>
          <w:p w14:paraId="4131FCCD">
            <w:pPr>
              <w:pStyle w:val="14"/>
            </w:pPr>
          </w:p>
        </w:tc>
        <w:tc>
          <w:tcPr>
            <w:tcW w:w="964" w:type="dxa"/>
            <w:vAlign w:val="center"/>
          </w:tcPr>
          <w:p w14:paraId="5192C80B">
            <w:pPr>
              <w:pStyle w:val="14"/>
            </w:pPr>
            <w:r>
              <w:t>0.04</w:t>
            </w:r>
          </w:p>
        </w:tc>
      </w:tr>
      <w:tr w14:paraId="58413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9D3826">
            <w:pPr>
              <w:pStyle w:val="13"/>
            </w:pPr>
            <w:r>
              <w:t>县级配套/魏庄校区学前教育幼儿资助</w:t>
            </w:r>
          </w:p>
        </w:tc>
        <w:tc>
          <w:tcPr>
            <w:tcW w:w="964" w:type="dxa"/>
            <w:vAlign w:val="center"/>
          </w:tcPr>
          <w:p w14:paraId="3A06C08C">
            <w:pPr>
              <w:pStyle w:val="14"/>
            </w:pPr>
            <w:r>
              <w:t>0.54</w:t>
            </w:r>
          </w:p>
        </w:tc>
        <w:tc>
          <w:tcPr>
            <w:tcW w:w="1134" w:type="dxa"/>
            <w:vAlign w:val="center"/>
          </w:tcPr>
          <w:p w14:paraId="260609CB">
            <w:pPr>
              <w:pStyle w:val="13"/>
            </w:pPr>
            <w:r>
              <w:t>复印纸</w:t>
            </w:r>
          </w:p>
        </w:tc>
        <w:tc>
          <w:tcPr>
            <w:tcW w:w="1134" w:type="dxa"/>
            <w:vAlign w:val="center"/>
          </w:tcPr>
          <w:p w14:paraId="7B52FD90">
            <w:pPr>
              <w:pStyle w:val="13"/>
            </w:pPr>
            <w:r>
              <w:t>A05040101</w:t>
            </w:r>
          </w:p>
        </w:tc>
        <w:tc>
          <w:tcPr>
            <w:tcW w:w="709" w:type="dxa"/>
            <w:vAlign w:val="center"/>
          </w:tcPr>
          <w:p w14:paraId="1F49B75E">
            <w:pPr>
              <w:pStyle w:val="12"/>
            </w:pPr>
            <w:r>
              <w:t>包</w:t>
            </w:r>
          </w:p>
        </w:tc>
        <w:tc>
          <w:tcPr>
            <w:tcW w:w="850" w:type="dxa"/>
            <w:vAlign w:val="center"/>
          </w:tcPr>
          <w:p w14:paraId="4B534C55">
            <w:pPr>
              <w:pStyle w:val="14"/>
            </w:pPr>
            <w:r>
              <w:t>5</w:t>
            </w:r>
          </w:p>
        </w:tc>
        <w:tc>
          <w:tcPr>
            <w:tcW w:w="850" w:type="dxa"/>
            <w:vAlign w:val="center"/>
          </w:tcPr>
          <w:p w14:paraId="420C2B79">
            <w:pPr>
              <w:pStyle w:val="14"/>
            </w:pPr>
            <w:r>
              <w:t>0.02</w:t>
            </w:r>
          </w:p>
        </w:tc>
        <w:tc>
          <w:tcPr>
            <w:tcW w:w="964" w:type="dxa"/>
            <w:vAlign w:val="center"/>
          </w:tcPr>
          <w:p w14:paraId="322CE046">
            <w:pPr>
              <w:pStyle w:val="14"/>
            </w:pPr>
            <w:r>
              <w:t>0.09</w:t>
            </w:r>
          </w:p>
        </w:tc>
        <w:tc>
          <w:tcPr>
            <w:tcW w:w="964" w:type="dxa"/>
            <w:vAlign w:val="center"/>
          </w:tcPr>
          <w:p w14:paraId="590DE4CB">
            <w:pPr>
              <w:pStyle w:val="14"/>
            </w:pPr>
            <w:r>
              <w:t>0.09</w:t>
            </w:r>
          </w:p>
        </w:tc>
        <w:tc>
          <w:tcPr>
            <w:tcW w:w="964" w:type="dxa"/>
            <w:vAlign w:val="center"/>
          </w:tcPr>
          <w:p w14:paraId="7A257F32">
            <w:pPr>
              <w:pStyle w:val="14"/>
            </w:pPr>
          </w:p>
        </w:tc>
        <w:tc>
          <w:tcPr>
            <w:tcW w:w="964" w:type="dxa"/>
            <w:vAlign w:val="center"/>
          </w:tcPr>
          <w:p w14:paraId="61A2F515">
            <w:pPr>
              <w:pStyle w:val="14"/>
            </w:pPr>
          </w:p>
        </w:tc>
        <w:tc>
          <w:tcPr>
            <w:tcW w:w="964" w:type="dxa"/>
            <w:vAlign w:val="center"/>
          </w:tcPr>
          <w:p w14:paraId="1DB1512A">
            <w:pPr>
              <w:pStyle w:val="14"/>
            </w:pPr>
          </w:p>
        </w:tc>
        <w:tc>
          <w:tcPr>
            <w:tcW w:w="964" w:type="dxa"/>
            <w:vAlign w:val="center"/>
          </w:tcPr>
          <w:p w14:paraId="1D6EE5FB">
            <w:pPr>
              <w:pStyle w:val="14"/>
            </w:pPr>
          </w:p>
        </w:tc>
        <w:tc>
          <w:tcPr>
            <w:tcW w:w="964" w:type="dxa"/>
            <w:vAlign w:val="center"/>
          </w:tcPr>
          <w:p w14:paraId="6EAAAC0E">
            <w:pPr>
              <w:pStyle w:val="14"/>
            </w:pPr>
          </w:p>
        </w:tc>
        <w:tc>
          <w:tcPr>
            <w:tcW w:w="964" w:type="dxa"/>
            <w:vAlign w:val="center"/>
          </w:tcPr>
          <w:p w14:paraId="192569AC">
            <w:pPr>
              <w:pStyle w:val="14"/>
            </w:pPr>
            <w:r>
              <w:t>0.09</w:t>
            </w:r>
          </w:p>
        </w:tc>
      </w:tr>
    </w:tbl>
    <w:p w14:paraId="00589FC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B52588">
      <w:pPr>
        <w:spacing w:before="0" w:after="0"/>
        <w:ind w:firstLine="640"/>
        <w:jc w:val="left"/>
        <w:outlineLvl w:val="9"/>
      </w:pPr>
      <w:r>
        <w:rPr>
          <w:rFonts w:ascii="Times New Roman" w:hAnsi="Times New Roman" w:eastAsia="方正仿宋_GBK" w:cs="Times New Roman"/>
          <w:color w:val="000000"/>
          <w:sz w:val="32"/>
        </w:rPr>
        <w:t xml:space="preserve"> </w:t>
      </w:r>
    </w:p>
    <w:p w14:paraId="3AB5FCF3">
      <w:pPr>
        <w:spacing w:before="10" w:after="10" w:line="240" w:lineRule="auto"/>
        <w:ind w:firstLine="640"/>
        <w:jc w:val="left"/>
        <w:outlineLvl w:val="5"/>
      </w:pPr>
      <w:r>
        <w:rPr>
          <w:rFonts w:ascii="黑体" w:hAnsi="黑体" w:eastAsia="黑体" w:cs="黑体"/>
          <w:color w:val="000000"/>
          <w:sz w:val="32"/>
        </w:rPr>
        <w:t>七、国有资产信息</w:t>
      </w:r>
    </w:p>
    <w:p w14:paraId="0197DFD5">
      <w:pPr>
        <w:spacing w:before="0" w:after="0" w:line="500" w:lineRule="exact"/>
        <w:ind w:firstLine="560"/>
        <w:jc w:val="left"/>
        <w:outlineLvl w:val="9"/>
      </w:pPr>
      <w:r>
        <w:rPr>
          <w:rFonts w:ascii="Times New Roman" w:hAnsi="Times New Roman" w:eastAsia="方正仿宋_GBK" w:cs="Times New Roman"/>
          <w:b w:val="0"/>
          <w:color w:val="000000"/>
          <w:sz w:val="28"/>
        </w:rPr>
        <w:t>隆尧县魏庄校区上年末固定资产金额为3003.75万元（详见下表）。本年度拟购置固定资产总额为1003.67万元，已按要求列入政府采购预算，详见政府采购预算表。</w:t>
      </w:r>
    </w:p>
    <w:p w14:paraId="7969315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5737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BA11263">
            <w:pPr>
              <w:pStyle w:val="8"/>
            </w:pPr>
            <w:r>
              <w:t>360017隆尧县魏庄校区</w:t>
            </w:r>
          </w:p>
        </w:tc>
        <w:tc>
          <w:tcPr>
            <w:tcW w:w="5670" w:type="dxa"/>
            <w:gridSpan w:val="2"/>
            <w:tcBorders>
              <w:top w:val="single" w:color="FFFFFF" w:sz="6" w:space="0"/>
              <w:left w:val="single" w:color="FFFFFF" w:sz="6" w:space="0"/>
              <w:right w:val="single" w:color="FFFFFF" w:sz="6" w:space="0"/>
            </w:tcBorders>
            <w:vAlign w:val="center"/>
          </w:tcPr>
          <w:p w14:paraId="4501BF3D">
            <w:pPr>
              <w:pStyle w:val="10"/>
            </w:pPr>
            <w:r>
              <w:t>截止时间：2024-12-31</w:t>
            </w:r>
          </w:p>
        </w:tc>
      </w:tr>
      <w:tr w14:paraId="09A65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A63223B">
            <w:pPr>
              <w:pStyle w:val="11"/>
            </w:pPr>
            <w:r>
              <w:t>项   目</w:t>
            </w:r>
          </w:p>
        </w:tc>
        <w:tc>
          <w:tcPr>
            <w:tcW w:w="2835" w:type="dxa"/>
            <w:vAlign w:val="center"/>
          </w:tcPr>
          <w:p w14:paraId="30B19225">
            <w:pPr>
              <w:pStyle w:val="11"/>
            </w:pPr>
            <w:r>
              <w:t>数量</w:t>
            </w:r>
          </w:p>
        </w:tc>
        <w:tc>
          <w:tcPr>
            <w:tcW w:w="2835" w:type="dxa"/>
            <w:vAlign w:val="center"/>
          </w:tcPr>
          <w:p w14:paraId="50F4776F">
            <w:pPr>
              <w:pStyle w:val="11"/>
            </w:pPr>
            <w:r>
              <w:t>价值（金额单位：万元）</w:t>
            </w:r>
          </w:p>
        </w:tc>
      </w:tr>
      <w:tr w14:paraId="30CA5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3BCB75">
            <w:pPr>
              <w:pStyle w:val="13"/>
            </w:pPr>
            <w:r>
              <w:t>资产总额</w:t>
            </w:r>
          </w:p>
        </w:tc>
        <w:tc>
          <w:tcPr>
            <w:tcW w:w="2835" w:type="dxa"/>
            <w:vAlign w:val="center"/>
          </w:tcPr>
          <w:p w14:paraId="540AB911">
            <w:pPr>
              <w:pStyle w:val="12"/>
            </w:pPr>
          </w:p>
        </w:tc>
        <w:tc>
          <w:tcPr>
            <w:tcW w:w="2835" w:type="dxa"/>
            <w:vAlign w:val="center"/>
          </w:tcPr>
          <w:p w14:paraId="10160810">
            <w:pPr>
              <w:pStyle w:val="14"/>
            </w:pPr>
            <w:r>
              <w:t>3003.75</w:t>
            </w:r>
          </w:p>
        </w:tc>
      </w:tr>
      <w:tr w14:paraId="6829C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4F4F0B">
            <w:pPr>
              <w:pStyle w:val="13"/>
            </w:pPr>
            <w:r>
              <w:t>1、房屋（平方米）</w:t>
            </w:r>
          </w:p>
        </w:tc>
        <w:tc>
          <w:tcPr>
            <w:tcW w:w="2835" w:type="dxa"/>
            <w:vAlign w:val="center"/>
          </w:tcPr>
          <w:p w14:paraId="032675C4">
            <w:pPr>
              <w:pStyle w:val="12"/>
            </w:pPr>
            <w:r>
              <w:t>22739.87</w:t>
            </w:r>
          </w:p>
        </w:tc>
        <w:tc>
          <w:tcPr>
            <w:tcW w:w="2835" w:type="dxa"/>
            <w:vAlign w:val="center"/>
          </w:tcPr>
          <w:p w14:paraId="23EFC6AF">
            <w:pPr>
              <w:pStyle w:val="14"/>
            </w:pPr>
            <w:r>
              <w:t>2012.08</w:t>
            </w:r>
          </w:p>
        </w:tc>
      </w:tr>
      <w:tr w14:paraId="17768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75B553">
            <w:pPr>
              <w:pStyle w:val="13"/>
            </w:pPr>
            <w:r>
              <w:t>　　其中：办公用房（平方米）</w:t>
            </w:r>
          </w:p>
        </w:tc>
        <w:tc>
          <w:tcPr>
            <w:tcW w:w="2835" w:type="dxa"/>
            <w:vAlign w:val="center"/>
          </w:tcPr>
          <w:p w14:paraId="2FCBC1E2">
            <w:pPr>
              <w:pStyle w:val="12"/>
            </w:pPr>
            <w:r>
              <w:t>2000</w:t>
            </w:r>
          </w:p>
        </w:tc>
        <w:tc>
          <w:tcPr>
            <w:tcW w:w="2835" w:type="dxa"/>
            <w:vAlign w:val="center"/>
          </w:tcPr>
          <w:p w14:paraId="66DC333C">
            <w:pPr>
              <w:pStyle w:val="14"/>
            </w:pPr>
            <w:r>
              <w:t>173.14</w:t>
            </w:r>
          </w:p>
        </w:tc>
      </w:tr>
      <w:tr w14:paraId="0C4EB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3096E2">
            <w:pPr>
              <w:pStyle w:val="13"/>
            </w:pPr>
            <w:r>
              <w:t>2、车辆（台、辆）</w:t>
            </w:r>
          </w:p>
        </w:tc>
        <w:tc>
          <w:tcPr>
            <w:tcW w:w="2835" w:type="dxa"/>
            <w:vAlign w:val="center"/>
          </w:tcPr>
          <w:p w14:paraId="1347A0C9">
            <w:pPr>
              <w:pStyle w:val="12"/>
            </w:pPr>
          </w:p>
        </w:tc>
        <w:tc>
          <w:tcPr>
            <w:tcW w:w="2835" w:type="dxa"/>
            <w:vAlign w:val="center"/>
          </w:tcPr>
          <w:p w14:paraId="1669C174">
            <w:pPr>
              <w:pStyle w:val="14"/>
            </w:pPr>
          </w:p>
        </w:tc>
      </w:tr>
      <w:tr w14:paraId="44C2C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675B14">
            <w:pPr>
              <w:pStyle w:val="13"/>
            </w:pPr>
            <w:r>
              <w:t>3、单价在20万元以上的设备</w:t>
            </w:r>
          </w:p>
        </w:tc>
        <w:tc>
          <w:tcPr>
            <w:tcW w:w="2835" w:type="dxa"/>
            <w:vAlign w:val="center"/>
          </w:tcPr>
          <w:p w14:paraId="4CAB8EEB">
            <w:pPr>
              <w:pStyle w:val="12"/>
            </w:pPr>
            <w:r>
              <w:t>1</w:t>
            </w:r>
          </w:p>
        </w:tc>
        <w:tc>
          <w:tcPr>
            <w:tcW w:w="2835" w:type="dxa"/>
            <w:vAlign w:val="center"/>
          </w:tcPr>
          <w:p w14:paraId="27803912">
            <w:pPr>
              <w:pStyle w:val="14"/>
            </w:pPr>
            <w:r>
              <w:t>26.28</w:t>
            </w:r>
          </w:p>
        </w:tc>
      </w:tr>
      <w:tr w14:paraId="6B034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76E9BB">
            <w:pPr>
              <w:pStyle w:val="13"/>
            </w:pPr>
            <w:r>
              <w:t>4、其他固定资产</w:t>
            </w:r>
          </w:p>
        </w:tc>
        <w:tc>
          <w:tcPr>
            <w:tcW w:w="2835" w:type="dxa"/>
            <w:vAlign w:val="center"/>
          </w:tcPr>
          <w:p w14:paraId="1EED169A">
            <w:pPr>
              <w:pStyle w:val="12"/>
            </w:pPr>
            <w:r>
              <w:t>6855</w:t>
            </w:r>
          </w:p>
        </w:tc>
        <w:tc>
          <w:tcPr>
            <w:tcW w:w="2835" w:type="dxa"/>
            <w:vAlign w:val="center"/>
          </w:tcPr>
          <w:p w14:paraId="0BD66E8E">
            <w:pPr>
              <w:pStyle w:val="14"/>
            </w:pPr>
            <w:r>
              <w:t>965.39</w:t>
            </w:r>
          </w:p>
        </w:tc>
      </w:tr>
    </w:tbl>
    <w:p w14:paraId="06A0C75A">
      <w:pPr>
        <w:spacing w:before="0" w:after="0"/>
        <w:ind w:firstLine="640"/>
        <w:jc w:val="left"/>
        <w:outlineLvl w:val="9"/>
      </w:pPr>
      <w:r>
        <w:rPr>
          <w:rFonts w:ascii="Times New Roman" w:hAnsi="Times New Roman" w:eastAsia="方正仿宋_GBK" w:cs="Times New Roman"/>
          <w:color w:val="000000"/>
          <w:sz w:val="32"/>
        </w:rPr>
        <w:t xml:space="preserve"> </w:t>
      </w:r>
    </w:p>
    <w:p w14:paraId="3D7989F6">
      <w:pPr>
        <w:spacing w:before="10" w:after="10" w:line="240" w:lineRule="auto"/>
        <w:ind w:firstLine="640"/>
        <w:jc w:val="left"/>
        <w:outlineLvl w:val="5"/>
      </w:pPr>
      <w:r>
        <w:rPr>
          <w:rFonts w:ascii="黑体" w:hAnsi="黑体" w:eastAsia="黑体" w:cs="黑体"/>
          <w:color w:val="000000"/>
          <w:sz w:val="32"/>
        </w:rPr>
        <w:t>八、名词解释</w:t>
      </w:r>
    </w:p>
    <w:p w14:paraId="79E76C3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AC13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6246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1907E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F575E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EB254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980B8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D1F0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70B75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170ED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5B8F10">
      <w:pPr>
        <w:spacing w:before="10" w:after="10" w:line="240" w:lineRule="auto"/>
        <w:ind w:firstLine="640"/>
        <w:jc w:val="left"/>
        <w:outlineLvl w:val="5"/>
      </w:pPr>
      <w:r>
        <w:rPr>
          <w:rFonts w:ascii="黑体" w:hAnsi="黑体" w:eastAsia="黑体" w:cs="黑体"/>
          <w:color w:val="000000"/>
          <w:sz w:val="32"/>
        </w:rPr>
        <w:t>九、其他需要说明的事项</w:t>
      </w:r>
    </w:p>
    <w:p w14:paraId="7DABAE6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898B2E8">
      <w:pPr>
        <w:spacing w:before="0" w:after="0"/>
        <w:ind w:firstLine="0"/>
        <w:jc w:val="center"/>
        <w:outlineLvl w:val="3"/>
      </w:pPr>
      <w:bookmarkStart w:id="17" w:name="_Toc_4_4_0000000037"/>
      <w:r>
        <w:rPr>
          <w:rFonts w:ascii="方正小标宋_GBK" w:hAnsi="方正小标宋_GBK" w:eastAsia="方正小标宋_GBK" w:cs="方正小标宋_GBK"/>
          <w:b w:val="0"/>
          <w:color w:val="000000"/>
          <w:sz w:val="44"/>
        </w:rPr>
        <w:t>十七、隆尧县北楼校区收支预算</w:t>
      </w:r>
      <w:bookmarkEnd w:id="17"/>
    </w:p>
    <w:p w14:paraId="5F895C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AC46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A81C49">
            <w:pPr>
              <w:pStyle w:val="8"/>
            </w:pPr>
            <w:r>
              <w:t>360018隆尧县北楼校区</w:t>
            </w:r>
          </w:p>
        </w:tc>
        <w:tc>
          <w:tcPr>
            <w:tcW w:w="2126" w:type="dxa"/>
            <w:tcBorders>
              <w:top w:val="single" w:color="FFFFFF" w:sz="6" w:space="0"/>
              <w:left w:val="single" w:color="FFFFFF" w:sz="6" w:space="0"/>
              <w:right w:val="single" w:color="FFFFFF" w:sz="6" w:space="0"/>
            </w:tcBorders>
            <w:vAlign w:val="center"/>
          </w:tcPr>
          <w:p w14:paraId="5C58D6EF">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531741B">
            <w:pPr>
              <w:pStyle w:val="10"/>
            </w:pPr>
            <w:r>
              <w:t>单位：万元</w:t>
            </w:r>
          </w:p>
        </w:tc>
      </w:tr>
      <w:tr w14:paraId="001D8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4EF20">
            <w:pPr>
              <w:pStyle w:val="11"/>
            </w:pPr>
            <w:r>
              <w:t>序号</w:t>
            </w:r>
          </w:p>
        </w:tc>
        <w:tc>
          <w:tcPr>
            <w:tcW w:w="6661" w:type="dxa"/>
            <w:gridSpan w:val="2"/>
            <w:vAlign w:val="center"/>
          </w:tcPr>
          <w:p w14:paraId="303D80BC">
            <w:pPr>
              <w:pStyle w:val="11"/>
            </w:pPr>
            <w:r>
              <w:t>收入</w:t>
            </w:r>
          </w:p>
        </w:tc>
        <w:tc>
          <w:tcPr>
            <w:tcW w:w="6661" w:type="dxa"/>
            <w:gridSpan w:val="2"/>
            <w:vAlign w:val="center"/>
          </w:tcPr>
          <w:p w14:paraId="471B048A">
            <w:pPr>
              <w:pStyle w:val="11"/>
            </w:pPr>
            <w:r>
              <w:t>支出</w:t>
            </w:r>
          </w:p>
        </w:tc>
      </w:tr>
      <w:tr w14:paraId="7E7C6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5D30C4"/>
        </w:tc>
        <w:tc>
          <w:tcPr>
            <w:tcW w:w="4535" w:type="dxa"/>
            <w:vAlign w:val="center"/>
          </w:tcPr>
          <w:p w14:paraId="6AF274AB">
            <w:pPr>
              <w:pStyle w:val="11"/>
            </w:pPr>
            <w:r>
              <w:t>项  目</w:t>
            </w:r>
          </w:p>
        </w:tc>
        <w:tc>
          <w:tcPr>
            <w:tcW w:w="2126" w:type="dxa"/>
            <w:vAlign w:val="center"/>
          </w:tcPr>
          <w:p w14:paraId="54AD678C">
            <w:pPr>
              <w:pStyle w:val="11"/>
            </w:pPr>
            <w:r>
              <w:t>预算数</w:t>
            </w:r>
          </w:p>
        </w:tc>
        <w:tc>
          <w:tcPr>
            <w:tcW w:w="4535" w:type="dxa"/>
            <w:vAlign w:val="center"/>
          </w:tcPr>
          <w:p w14:paraId="579EA243">
            <w:pPr>
              <w:pStyle w:val="11"/>
            </w:pPr>
            <w:r>
              <w:t>项  目</w:t>
            </w:r>
          </w:p>
        </w:tc>
        <w:tc>
          <w:tcPr>
            <w:tcW w:w="2126" w:type="dxa"/>
            <w:vAlign w:val="center"/>
          </w:tcPr>
          <w:p w14:paraId="1B7DE3FC">
            <w:pPr>
              <w:pStyle w:val="11"/>
            </w:pPr>
            <w:r>
              <w:t>预算数</w:t>
            </w:r>
          </w:p>
        </w:tc>
      </w:tr>
      <w:tr w14:paraId="5E5EF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0F2CD6">
            <w:pPr>
              <w:pStyle w:val="11"/>
            </w:pPr>
            <w:r>
              <w:t>栏次</w:t>
            </w:r>
          </w:p>
        </w:tc>
        <w:tc>
          <w:tcPr>
            <w:tcW w:w="4535" w:type="dxa"/>
            <w:vAlign w:val="center"/>
          </w:tcPr>
          <w:p w14:paraId="42E8E819">
            <w:pPr>
              <w:pStyle w:val="11"/>
            </w:pPr>
            <w:r>
              <w:t>1</w:t>
            </w:r>
          </w:p>
        </w:tc>
        <w:tc>
          <w:tcPr>
            <w:tcW w:w="2126" w:type="dxa"/>
            <w:vAlign w:val="center"/>
          </w:tcPr>
          <w:p w14:paraId="1C072062">
            <w:pPr>
              <w:pStyle w:val="11"/>
            </w:pPr>
            <w:r>
              <w:t>2</w:t>
            </w:r>
          </w:p>
        </w:tc>
        <w:tc>
          <w:tcPr>
            <w:tcW w:w="4535" w:type="dxa"/>
            <w:vAlign w:val="center"/>
          </w:tcPr>
          <w:p w14:paraId="784EB5A1">
            <w:pPr>
              <w:pStyle w:val="11"/>
            </w:pPr>
            <w:r>
              <w:t>3</w:t>
            </w:r>
          </w:p>
        </w:tc>
        <w:tc>
          <w:tcPr>
            <w:tcW w:w="2126" w:type="dxa"/>
            <w:vAlign w:val="center"/>
          </w:tcPr>
          <w:p w14:paraId="2FAC517F">
            <w:pPr>
              <w:pStyle w:val="11"/>
            </w:pPr>
            <w:r>
              <w:t>4</w:t>
            </w:r>
          </w:p>
        </w:tc>
      </w:tr>
      <w:tr w14:paraId="0F377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E57BE">
            <w:pPr>
              <w:pStyle w:val="12"/>
            </w:pPr>
            <w:r>
              <w:t>1</w:t>
            </w:r>
          </w:p>
        </w:tc>
        <w:tc>
          <w:tcPr>
            <w:tcW w:w="4535" w:type="dxa"/>
            <w:vAlign w:val="center"/>
          </w:tcPr>
          <w:p w14:paraId="19E13510">
            <w:pPr>
              <w:pStyle w:val="13"/>
            </w:pPr>
            <w:r>
              <w:t>一、一般公共预算拨款收入</w:t>
            </w:r>
          </w:p>
        </w:tc>
        <w:tc>
          <w:tcPr>
            <w:tcW w:w="2126" w:type="dxa"/>
            <w:vAlign w:val="center"/>
          </w:tcPr>
          <w:p w14:paraId="439FDF83">
            <w:pPr>
              <w:pStyle w:val="14"/>
            </w:pPr>
            <w:r>
              <w:t>2018.21</w:t>
            </w:r>
          </w:p>
        </w:tc>
        <w:tc>
          <w:tcPr>
            <w:tcW w:w="4535" w:type="dxa"/>
            <w:vAlign w:val="center"/>
          </w:tcPr>
          <w:p w14:paraId="5EAC012E">
            <w:pPr>
              <w:pStyle w:val="13"/>
            </w:pPr>
            <w:r>
              <w:t>一、一般公共服务支出</w:t>
            </w:r>
          </w:p>
        </w:tc>
        <w:tc>
          <w:tcPr>
            <w:tcW w:w="2126" w:type="dxa"/>
            <w:vAlign w:val="center"/>
          </w:tcPr>
          <w:p w14:paraId="0F262C76">
            <w:pPr>
              <w:pStyle w:val="14"/>
            </w:pPr>
          </w:p>
        </w:tc>
      </w:tr>
      <w:tr w14:paraId="4B05A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E2A69">
            <w:pPr>
              <w:pStyle w:val="12"/>
            </w:pPr>
            <w:r>
              <w:t>2</w:t>
            </w:r>
          </w:p>
        </w:tc>
        <w:tc>
          <w:tcPr>
            <w:tcW w:w="4535" w:type="dxa"/>
            <w:vAlign w:val="center"/>
          </w:tcPr>
          <w:p w14:paraId="17747B09">
            <w:pPr>
              <w:pStyle w:val="13"/>
            </w:pPr>
            <w:r>
              <w:t>二、政府性基金预算拨款收入</w:t>
            </w:r>
          </w:p>
        </w:tc>
        <w:tc>
          <w:tcPr>
            <w:tcW w:w="2126" w:type="dxa"/>
            <w:vAlign w:val="center"/>
          </w:tcPr>
          <w:p w14:paraId="16A2E718">
            <w:pPr>
              <w:pStyle w:val="14"/>
            </w:pPr>
          </w:p>
        </w:tc>
        <w:tc>
          <w:tcPr>
            <w:tcW w:w="4535" w:type="dxa"/>
            <w:vAlign w:val="center"/>
          </w:tcPr>
          <w:p w14:paraId="6AF1527C">
            <w:pPr>
              <w:pStyle w:val="13"/>
            </w:pPr>
            <w:r>
              <w:t>二、外交支出</w:t>
            </w:r>
          </w:p>
        </w:tc>
        <w:tc>
          <w:tcPr>
            <w:tcW w:w="2126" w:type="dxa"/>
            <w:vAlign w:val="center"/>
          </w:tcPr>
          <w:p w14:paraId="40B847AE">
            <w:pPr>
              <w:pStyle w:val="14"/>
            </w:pPr>
          </w:p>
        </w:tc>
      </w:tr>
      <w:tr w14:paraId="20532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C8BBA">
            <w:pPr>
              <w:pStyle w:val="12"/>
            </w:pPr>
            <w:r>
              <w:t>3</w:t>
            </w:r>
          </w:p>
        </w:tc>
        <w:tc>
          <w:tcPr>
            <w:tcW w:w="4535" w:type="dxa"/>
            <w:vAlign w:val="center"/>
          </w:tcPr>
          <w:p w14:paraId="6E086E13">
            <w:pPr>
              <w:pStyle w:val="13"/>
            </w:pPr>
            <w:r>
              <w:t>三、国有资本经营预算拨款收入</w:t>
            </w:r>
          </w:p>
        </w:tc>
        <w:tc>
          <w:tcPr>
            <w:tcW w:w="2126" w:type="dxa"/>
            <w:vAlign w:val="center"/>
          </w:tcPr>
          <w:p w14:paraId="6101EDC2">
            <w:pPr>
              <w:pStyle w:val="14"/>
            </w:pPr>
          </w:p>
        </w:tc>
        <w:tc>
          <w:tcPr>
            <w:tcW w:w="4535" w:type="dxa"/>
            <w:vAlign w:val="center"/>
          </w:tcPr>
          <w:p w14:paraId="3CC3F660">
            <w:pPr>
              <w:pStyle w:val="13"/>
            </w:pPr>
            <w:r>
              <w:t>三、国防支出</w:t>
            </w:r>
          </w:p>
        </w:tc>
        <w:tc>
          <w:tcPr>
            <w:tcW w:w="2126" w:type="dxa"/>
            <w:vAlign w:val="center"/>
          </w:tcPr>
          <w:p w14:paraId="2F24C482">
            <w:pPr>
              <w:pStyle w:val="14"/>
            </w:pPr>
          </w:p>
        </w:tc>
      </w:tr>
      <w:tr w14:paraId="4FB6C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DF495">
            <w:pPr>
              <w:pStyle w:val="12"/>
            </w:pPr>
            <w:r>
              <w:t>4</w:t>
            </w:r>
          </w:p>
        </w:tc>
        <w:tc>
          <w:tcPr>
            <w:tcW w:w="4535" w:type="dxa"/>
            <w:vAlign w:val="center"/>
          </w:tcPr>
          <w:p w14:paraId="7925C0E5">
            <w:pPr>
              <w:pStyle w:val="13"/>
            </w:pPr>
            <w:r>
              <w:t>四、财政专户管理资金收入</w:t>
            </w:r>
          </w:p>
        </w:tc>
        <w:tc>
          <w:tcPr>
            <w:tcW w:w="2126" w:type="dxa"/>
            <w:vAlign w:val="center"/>
          </w:tcPr>
          <w:p w14:paraId="2A9263A2">
            <w:pPr>
              <w:pStyle w:val="14"/>
            </w:pPr>
          </w:p>
        </w:tc>
        <w:tc>
          <w:tcPr>
            <w:tcW w:w="4535" w:type="dxa"/>
            <w:vAlign w:val="center"/>
          </w:tcPr>
          <w:p w14:paraId="7500F92F">
            <w:pPr>
              <w:pStyle w:val="13"/>
            </w:pPr>
            <w:r>
              <w:t>四、公共安全支出</w:t>
            </w:r>
          </w:p>
        </w:tc>
        <w:tc>
          <w:tcPr>
            <w:tcW w:w="2126" w:type="dxa"/>
            <w:vAlign w:val="center"/>
          </w:tcPr>
          <w:p w14:paraId="7BB64F71">
            <w:pPr>
              <w:pStyle w:val="14"/>
            </w:pPr>
          </w:p>
        </w:tc>
      </w:tr>
      <w:tr w14:paraId="6C93A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30E2CBA">
            <w:pPr>
              <w:pStyle w:val="12"/>
            </w:pPr>
            <w:r>
              <w:t>5</w:t>
            </w:r>
          </w:p>
        </w:tc>
        <w:tc>
          <w:tcPr>
            <w:tcW w:w="4535" w:type="dxa"/>
            <w:vAlign w:val="center"/>
          </w:tcPr>
          <w:p w14:paraId="62B5F3AC">
            <w:pPr>
              <w:pStyle w:val="13"/>
            </w:pPr>
            <w:r>
              <w:t>五、单位资金</w:t>
            </w:r>
          </w:p>
        </w:tc>
        <w:tc>
          <w:tcPr>
            <w:tcW w:w="2126" w:type="dxa"/>
            <w:vAlign w:val="center"/>
          </w:tcPr>
          <w:p w14:paraId="2FCE3A1C">
            <w:pPr>
              <w:pStyle w:val="14"/>
            </w:pPr>
          </w:p>
        </w:tc>
        <w:tc>
          <w:tcPr>
            <w:tcW w:w="4535" w:type="dxa"/>
            <w:vAlign w:val="center"/>
          </w:tcPr>
          <w:p w14:paraId="0C14A7ED">
            <w:pPr>
              <w:pStyle w:val="13"/>
            </w:pPr>
            <w:r>
              <w:t>五、教育支出</w:t>
            </w:r>
          </w:p>
        </w:tc>
        <w:tc>
          <w:tcPr>
            <w:tcW w:w="2126" w:type="dxa"/>
            <w:vAlign w:val="center"/>
          </w:tcPr>
          <w:p w14:paraId="03D23BEF">
            <w:pPr>
              <w:pStyle w:val="14"/>
            </w:pPr>
            <w:r>
              <w:t>2053.56</w:t>
            </w:r>
          </w:p>
        </w:tc>
      </w:tr>
      <w:tr w14:paraId="2656E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0CFA6">
            <w:pPr>
              <w:pStyle w:val="12"/>
            </w:pPr>
            <w:r>
              <w:t>6</w:t>
            </w:r>
          </w:p>
        </w:tc>
        <w:tc>
          <w:tcPr>
            <w:tcW w:w="4535" w:type="dxa"/>
            <w:vAlign w:val="center"/>
          </w:tcPr>
          <w:p w14:paraId="5B60F9D7">
            <w:pPr>
              <w:pStyle w:val="13"/>
            </w:pPr>
          </w:p>
        </w:tc>
        <w:tc>
          <w:tcPr>
            <w:tcW w:w="2126" w:type="dxa"/>
            <w:vAlign w:val="center"/>
          </w:tcPr>
          <w:p w14:paraId="2140E348">
            <w:pPr>
              <w:pStyle w:val="14"/>
            </w:pPr>
          </w:p>
        </w:tc>
        <w:tc>
          <w:tcPr>
            <w:tcW w:w="4535" w:type="dxa"/>
            <w:vAlign w:val="center"/>
          </w:tcPr>
          <w:p w14:paraId="430845D9">
            <w:pPr>
              <w:pStyle w:val="13"/>
            </w:pPr>
            <w:r>
              <w:t>六、科学技术支出</w:t>
            </w:r>
          </w:p>
        </w:tc>
        <w:tc>
          <w:tcPr>
            <w:tcW w:w="2126" w:type="dxa"/>
            <w:vAlign w:val="center"/>
          </w:tcPr>
          <w:p w14:paraId="531BF28B">
            <w:pPr>
              <w:pStyle w:val="14"/>
            </w:pPr>
          </w:p>
        </w:tc>
      </w:tr>
      <w:tr w14:paraId="41D69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51FFA4C">
            <w:pPr>
              <w:pStyle w:val="12"/>
            </w:pPr>
            <w:r>
              <w:t>7</w:t>
            </w:r>
          </w:p>
        </w:tc>
        <w:tc>
          <w:tcPr>
            <w:tcW w:w="4535" w:type="dxa"/>
            <w:vAlign w:val="center"/>
          </w:tcPr>
          <w:p w14:paraId="1AFC6E99">
            <w:pPr>
              <w:pStyle w:val="13"/>
            </w:pPr>
          </w:p>
        </w:tc>
        <w:tc>
          <w:tcPr>
            <w:tcW w:w="2126" w:type="dxa"/>
            <w:vAlign w:val="center"/>
          </w:tcPr>
          <w:p w14:paraId="0971ED66">
            <w:pPr>
              <w:pStyle w:val="14"/>
            </w:pPr>
          </w:p>
        </w:tc>
        <w:tc>
          <w:tcPr>
            <w:tcW w:w="4535" w:type="dxa"/>
            <w:vAlign w:val="center"/>
          </w:tcPr>
          <w:p w14:paraId="12285137">
            <w:pPr>
              <w:pStyle w:val="13"/>
            </w:pPr>
            <w:r>
              <w:t>七、文化旅游体育与传媒支出</w:t>
            </w:r>
          </w:p>
        </w:tc>
        <w:tc>
          <w:tcPr>
            <w:tcW w:w="2126" w:type="dxa"/>
            <w:vAlign w:val="center"/>
          </w:tcPr>
          <w:p w14:paraId="63BFC723">
            <w:pPr>
              <w:pStyle w:val="14"/>
            </w:pPr>
          </w:p>
        </w:tc>
      </w:tr>
      <w:tr w14:paraId="17737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DBE55">
            <w:pPr>
              <w:pStyle w:val="12"/>
            </w:pPr>
            <w:r>
              <w:t>8</w:t>
            </w:r>
          </w:p>
        </w:tc>
        <w:tc>
          <w:tcPr>
            <w:tcW w:w="4535" w:type="dxa"/>
            <w:vAlign w:val="center"/>
          </w:tcPr>
          <w:p w14:paraId="16CB0072">
            <w:pPr>
              <w:pStyle w:val="13"/>
            </w:pPr>
          </w:p>
        </w:tc>
        <w:tc>
          <w:tcPr>
            <w:tcW w:w="2126" w:type="dxa"/>
            <w:vAlign w:val="center"/>
          </w:tcPr>
          <w:p w14:paraId="561545A1">
            <w:pPr>
              <w:pStyle w:val="14"/>
            </w:pPr>
          </w:p>
        </w:tc>
        <w:tc>
          <w:tcPr>
            <w:tcW w:w="4535" w:type="dxa"/>
            <w:vAlign w:val="center"/>
          </w:tcPr>
          <w:p w14:paraId="260731B0">
            <w:pPr>
              <w:pStyle w:val="13"/>
            </w:pPr>
            <w:r>
              <w:t>八、社会保障和就业支出</w:t>
            </w:r>
          </w:p>
        </w:tc>
        <w:tc>
          <w:tcPr>
            <w:tcW w:w="2126" w:type="dxa"/>
            <w:vAlign w:val="center"/>
          </w:tcPr>
          <w:p w14:paraId="5CFAC340">
            <w:pPr>
              <w:pStyle w:val="14"/>
            </w:pPr>
          </w:p>
        </w:tc>
      </w:tr>
      <w:tr w14:paraId="58299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E67B4AC">
            <w:pPr>
              <w:pStyle w:val="12"/>
            </w:pPr>
            <w:r>
              <w:t>9</w:t>
            </w:r>
          </w:p>
        </w:tc>
        <w:tc>
          <w:tcPr>
            <w:tcW w:w="4535" w:type="dxa"/>
            <w:vAlign w:val="center"/>
          </w:tcPr>
          <w:p w14:paraId="6F482AFD">
            <w:pPr>
              <w:pStyle w:val="13"/>
            </w:pPr>
          </w:p>
        </w:tc>
        <w:tc>
          <w:tcPr>
            <w:tcW w:w="2126" w:type="dxa"/>
            <w:vAlign w:val="center"/>
          </w:tcPr>
          <w:p w14:paraId="76154481">
            <w:pPr>
              <w:pStyle w:val="14"/>
            </w:pPr>
          </w:p>
        </w:tc>
        <w:tc>
          <w:tcPr>
            <w:tcW w:w="4535" w:type="dxa"/>
            <w:vAlign w:val="center"/>
          </w:tcPr>
          <w:p w14:paraId="2CE2C53D">
            <w:pPr>
              <w:pStyle w:val="13"/>
            </w:pPr>
            <w:r>
              <w:t>九、社会保险基金支出</w:t>
            </w:r>
          </w:p>
        </w:tc>
        <w:tc>
          <w:tcPr>
            <w:tcW w:w="2126" w:type="dxa"/>
            <w:vAlign w:val="center"/>
          </w:tcPr>
          <w:p w14:paraId="5303780B">
            <w:pPr>
              <w:pStyle w:val="14"/>
            </w:pPr>
          </w:p>
        </w:tc>
      </w:tr>
      <w:tr w14:paraId="07C29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74EB6">
            <w:pPr>
              <w:pStyle w:val="12"/>
            </w:pPr>
            <w:r>
              <w:t>10</w:t>
            </w:r>
          </w:p>
        </w:tc>
        <w:tc>
          <w:tcPr>
            <w:tcW w:w="4535" w:type="dxa"/>
            <w:vAlign w:val="center"/>
          </w:tcPr>
          <w:p w14:paraId="77236D31">
            <w:pPr>
              <w:pStyle w:val="13"/>
            </w:pPr>
          </w:p>
        </w:tc>
        <w:tc>
          <w:tcPr>
            <w:tcW w:w="2126" w:type="dxa"/>
            <w:vAlign w:val="center"/>
          </w:tcPr>
          <w:p w14:paraId="6A366C06">
            <w:pPr>
              <w:pStyle w:val="14"/>
            </w:pPr>
          </w:p>
        </w:tc>
        <w:tc>
          <w:tcPr>
            <w:tcW w:w="4535" w:type="dxa"/>
            <w:vAlign w:val="center"/>
          </w:tcPr>
          <w:p w14:paraId="74AFE300">
            <w:pPr>
              <w:pStyle w:val="13"/>
            </w:pPr>
            <w:r>
              <w:t>十、卫生健康支出</w:t>
            </w:r>
          </w:p>
        </w:tc>
        <w:tc>
          <w:tcPr>
            <w:tcW w:w="2126" w:type="dxa"/>
            <w:vAlign w:val="center"/>
          </w:tcPr>
          <w:p w14:paraId="65E50CAD">
            <w:pPr>
              <w:pStyle w:val="14"/>
            </w:pPr>
          </w:p>
        </w:tc>
      </w:tr>
      <w:tr w14:paraId="10B68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80462">
            <w:pPr>
              <w:pStyle w:val="12"/>
            </w:pPr>
            <w:r>
              <w:t>11</w:t>
            </w:r>
          </w:p>
        </w:tc>
        <w:tc>
          <w:tcPr>
            <w:tcW w:w="4535" w:type="dxa"/>
            <w:vAlign w:val="center"/>
          </w:tcPr>
          <w:p w14:paraId="79639705">
            <w:pPr>
              <w:pStyle w:val="13"/>
            </w:pPr>
          </w:p>
        </w:tc>
        <w:tc>
          <w:tcPr>
            <w:tcW w:w="2126" w:type="dxa"/>
            <w:vAlign w:val="center"/>
          </w:tcPr>
          <w:p w14:paraId="0DC09100">
            <w:pPr>
              <w:pStyle w:val="14"/>
            </w:pPr>
          </w:p>
        </w:tc>
        <w:tc>
          <w:tcPr>
            <w:tcW w:w="4535" w:type="dxa"/>
            <w:vAlign w:val="center"/>
          </w:tcPr>
          <w:p w14:paraId="46B40720">
            <w:pPr>
              <w:pStyle w:val="13"/>
            </w:pPr>
            <w:r>
              <w:t>十一、节能环保支出</w:t>
            </w:r>
          </w:p>
        </w:tc>
        <w:tc>
          <w:tcPr>
            <w:tcW w:w="2126" w:type="dxa"/>
            <w:vAlign w:val="center"/>
          </w:tcPr>
          <w:p w14:paraId="12D7379E">
            <w:pPr>
              <w:pStyle w:val="14"/>
            </w:pPr>
          </w:p>
        </w:tc>
      </w:tr>
      <w:tr w14:paraId="5F90C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6DE45">
            <w:pPr>
              <w:pStyle w:val="12"/>
            </w:pPr>
            <w:r>
              <w:t>12</w:t>
            </w:r>
          </w:p>
        </w:tc>
        <w:tc>
          <w:tcPr>
            <w:tcW w:w="4535" w:type="dxa"/>
            <w:vAlign w:val="center"/>
          </w:tcPr>
          <w:p w14:paraId="55D40EFC">
            <w:pPr>
              <w:pStyle w:val="13"/>
            </w:pPr>
          </w:p>
        </w:tc>
        <w:tc>
          <w:tcPr>
            <w:tcW w:w="2126" w:type="dxa"/>
            <w:vAlign w:val="center"/>
          </w:tcPr>
          <w:p w14:paraId="4E3B0A43">
            <w:pPr>
              <w:pStyle w:val="14"/>
            </w:pPr>
          </w:p>
        </w:tc>
        <w:tc>
          <w:tcPr>
            <w:tcW w:w="4535" w:type="dxa"/>
            <w:vAlign w:val="center"/>
          </w:tcPr>
          <w:p w14:paraId="26755021">
            <w:pPr>
              <w:pStyle w:val="13"/>
            </w:pPr>
            <w:r>
              <w:t>十二、城乡社区支出</w:t>
            </w:r>
          </w:p>
        </w:tc>
        <w:tc>
          <w:tcPr>
            <w:tcW w:w="2126" w:type="dxa"/>
            <w:vAlign w:val="center"/>
          </w:tcPr>
          <w:p w14:paraId="57555F85">
            <w:pPr>
              <w:pStyle w:val="14"/>
            </w:pPr>
          </w:p>
        </w:tc>
      </w:tr>
      <w:tr w14:paraId="2E923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5C146">
            <w:pPr>
              <w:pStyle w:val="12"/>
            </w:pPr>
            <w:r>
              <w:t>13</w:t>
            </w:r>
          </w:p>
        </w:tc>
        <w:tc>
          <w:tcPr>
            <w:tcW w:w="4535" w:type="dxa"/>
            <w:vAlign w:val="center"/>
          </w:tcPr>
          <w:p w14:paraId="1893CDC0">
            <w:pPr>
              <w:pStyle w:val="13"/>
            </w:pPr>
          </w:p>
        </w:tc>
        <w:tc>
          <w:tcPr>
            <w:tcW w:w="2126" w:type="dxa"/>
            <w:vAlign w:val="center"/>
          </w:tcPr>
          <w:p w14:paraId="24DCC836">
            <w:pPr>
              <w:pStyle w:val="14"/>
            </w:pPr>
          </w:p>
        </w:tc>
        <w:tc>
          <w:tcPr>
            <w:tcW w:w="4535" w:type="dxa"/>
            <w:vAlign w:val="center"/>
          </w:tcPr>
          <w:p w14:paraId="1BBF91B7">
            <w:pPr>
              <w:pStyle w:val="13"/>
            </w:pPr>
            <w:r>
              <w:t>十三、农林水支出</w:t>
            </w:r>
          </w:p>
        </w:tc>
        <w:tc>
          <w:tcPr>
            <w:tcW w:w="2126" w:type="dxa"/>
            <w:vAlign w:val="center"/>
          </w:tcPr>
          <w:p w14:paraId="192A6D0E">
            <w:pPr>
              <w:pStyle w:val="14"/>
            </w:pPr>
          </w:p>
        </w:tc>
      </w:tr>
      <w:tr w14:paraId="14965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1482F">
            <w:pPr>
              <w:pStyle w:val="12"/>
            </w:pPr>
            <w:r>
              <w:t>14</w:t>
            </w:r>
          </w:p>
        </w:tc>
        <w:tc>
          <w:tcPr>
            <w:tcW w:w="4535" w:type="dxa"/>
            <w:vAlign w:val="center"/>
          </w:tcPr>
          <w:p w14:paraId="4D6FEFF7">
            <w:pPr>
              <w:pStyle w:val="13"/>
            </w:pPr>
          </w:p>
        </w:tc>
        <w:tc>
          <w:tcPr>
            <w:tcW w:w="2126" w:type="dxa"/>
            <w:vAlign w:val="center"/>
          </w:tcPr>
          <w:p w14:paraId="14D02C40">
            <w:pPr>
              <w:pStyle w:val="14"/>
            </w:pPr>
          </w:p>
        </w:tc>
        <w:tc>
          <w:tcPr>
            <w:tcW w:w="4535" w:type="dxa"/>
            <w:vAlign w:val="center"/>
          </w:tcPr>
          <w:p w14:paraId="30143277">
            <w:pPr>
              <w:pStyle w:val="13"/>
            </w:pPr>
            <w:r>
              <w:t>十四、交通运输支出</w:t>
            </w:r>
          </w:p>
        </w:tc>
        <w:tc>
          <w:tcPr>
            <w:tcW w:w="2126" w:type="dxa"/>
            <w:vAlign w:val="center"/>
          </w:tcPr>
          <w:p w14:paraId="1E9A36EE">
            <w:pPr>
              <w:pStyle w:val="14"/>
            </w:pPr>
          </w:p>
        </w:tc>
      </w:tr>
      <w:tr w14:paraId="27EFF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8C4FD">
            <w:pPr>
              <w:pStyle w:val="12"/>
            </w:pPr>
            <w:r>
              <w:t>15</w:t>
            </w:r>
          </w:p>
        </w:tc>
        <w:tc>
          <w:tcPr>
            <w:tcW w:w="4535" w:type="dxa"/>
            <w:vAlign w:val="center"/>
          </w:tcPr>
          <w:p w14:paraId="3F7F8668">
            <w:pPr>
              <w:pStyle w:val="13"/>
            </w:pPr>
          </w:p>
        </w:tc>
        <w:tc>
          <w:tcPr>
            <w:tcW w:w="2126" w:type="dxa"/>
            <w:vAlign w:val="center"/>
          </w:tcPr>
          <w:p w14:paraId="2594DF5B">
            <w:pPr>
              <w:pStyle w:val="14"/>
            </w:pPr>
          </w:p>
        </w:tc>
        <w:tc>
          <w:tcPr>
            <w:tcW w:w="4535" w:type="dxa"/>
            <w:vAlign w:val="center"/>
          </w:tcPr>
          <w:p w14:paraId="3BC726C0">
            <w:pPr>
              <w:pStyle w:val="13"/>
            </w:pPr>
            <w:r>
              <w:t>十五、资源勘探工业信息等支出</w:t>
            </w:r>
          </w:p>
        </w:tc>
        <w:tc>
          <w:tcPr>
            <w:tcW w:w="2126" w:type="dxa"/>
            <w:vAlign w:val="center"/>
          </w:tcPr>
          <w:p w14:paraId="4F1B4119">
            <w:pPr>
              <w:pStyle w:val="14"/>
            </w:pPr>
          </w:p>
        </w:tc>
      </w:tr>
      <w:tr w14:paraId="3D612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92B5A59">
            <w:pPr>
              <w:pStyle w:val="12"/>
            </w:pPr>
            <w:r>
              <w:t>16</w:t>
            </w:r>
          </w:p>
        </w:tc>
        <w:tc>
          <w:tcPr>
            <w:tcW w:w="4535" w:type="dxa"/>
            <w:vAlign w:val="center"/>
          </w:tcPr>
          <w:p w14:paraId="3ED367FF">
            <w:pPr>
              <w:pStyle w:val="13"/>
            </w:pPr>
          </w:p>
        </w:tc>
        <w:tc>
          <w:tcPr>
            <w:tcW w:w="2126" w:type="dxa"/>
            <w:vAlign w:val="center"/>
          </w:tcPr>
          <w:p w14:paraId="031C3728">
            <w:pPr>
              <w:pStyle w:val="14"/>
            </w:pPr>
          </w:p>
        </w:tc>
        <w:tc>
          <w:tcPr>
            <w:tcW w:w="4535" w:type="dxa"/>
            <w:vAlign w:val="center"/>
          </w:tcPr>
          <w:p w14:paraId="102A8BC7">
            <w:pPr>
              <w:pStyle w:val="13"/>
            </w:pPr>
            <w:r>
              <w:t>十六、商业服务业等支出</w:t>
            </w:r>
          </w:p>
        </w:tc>
        <w:tc>
          <w:tcPr>
            <w:tcW w:w="2126" w:type="dxa"/>
            <w:vAlign w:val="center"/>
          </w:tcPr>
          <w:p w14:paraId="185355F0">
            <w:pPr>
              <w:pStyle w:val="14"/>
            </w:pPr>
          </w:p>
        </w:tc>
      </w:tr>
      <w:tr w14:paraId="4D1C9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F3B65">
            <w:pPr>
              <w:pStyle w:val="12"/>
            </w:pPr>
            <w:r>
              <w:t>17</w:t>
            </w:r>
          </w:p>
        </w:tc>
        <w:tc>
          <w:tcPr>
            <w:tcW w:w="4535" w:type="dxa"/>
            <w:vAlign w:val="center"/>
          </w:tcPr>
          <w:p w14:paraId="3BD37A65">
            <w:pPr>
              <w:pStyle w:val="13"/>
            </w:pPr>
          </w:p>
        </w:tc>
        <w:tc>
          <w:tcPr>
            <w:tcW w:w="2126" w:type="dxa"/>
            <w:vAlign w:val="center"/>
          </w:tcPr>
          <w:p w14:paraId="5BF42C49">
            <w:pPr>
              <w:pStyle w:val="14"/>
            </w:pPr>
          </w:p>
        </w:tc>
        <w:tc>
          <w:tcPr>
            <w:tcW w:w="4535" w:type="dxa"/>
            <w:vAlign w:val="center"/>
          </w:tcPr>
          <w:p w14:paraId="2B3A4B8B">
            <w:pPr>
              <w:pStyle w:val="13"/>
            </w:pPr>
            <w:r>
              <w:t>十七、金融支出</w:t>
            </w:r>
          </w:p>
        </w:tc>
        <w:tc>
          <w:tcPr>
            <w:tcW w:w="2126" w:type="dxa"/>
            <w:vAlign w:val="center"/>
          </w:tcPr>
          <w:p w14:paraId="74BB0A84">
            <w:pPr>
              <w:pStyle w:val="14"/>
            </w:pPr>
          </w:p>
        </w:tc>
      </w:tr>
      <w:tr w14:paraId="377DC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D3543">
            <w:pPr>
              <w:pStyle w:val="12"/>
            </w:pPr>
            <w:r>
              <w:t>18</w:t>
            </w:r>
          </w:p>
        </w:tc>
        <w:tc>
          <w:tcPr>
            <w:tcW w:w="4535" w:type="dxa"/>
            <w:vAlign w:val="center"/>
          </w:tcPr>
          <w:p w14:paraId="4109F084">
            <w:pPr>
              <w:pStyle w:val="13"/>
            </w:pPr>
          </w:p>
        </w:tc>
        <w:tc>
          <w:tcPr>
            <w:tcW w:w="2126" w:type="dxa"/>
            <w:vAlign w:val="center"/>
          </w:tcPr>
          <w:p w14:paraId="5F361716">
            <w:pPr>
              <w:pStyle w:val="14"/>
            </w:pPr>
          </w:p>
        </w:tc>
        <w:tc>
          <w:tcPr>
            <w:tcW w:w="4535" w:type="dxa"/>
            <w:vAlign w:val="center"/>
          </w:tcPr>
          <w:p w14:paraId="654B49B2">
            <w:pPr>
              <w:pStyle w:val="13"/>
            </w:pPr>
            <w:r>
              <w:t>十八、援助其他地区支出</w:t>
            </w:r>
          </w:p>
        </w:tc>
        <w:tc>
          <w:tcPr>
            <w:tcW w:w="2126" w:type="dxa"/>
            <w:vAlign w:val="center"/>
          </w:tcPr>
          <w:p w14:paraId="21982A9D">
            <w:pPr>
              <w:pStyle w:val="14"/>
            </w:pPr>
          </w:p>
        </w:tc>
      </w:tr>
      <w:tr w14:paraId="30F35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E36AA">
            <w:pPr>
              <w:pStyle w:val="12"/>
            </w:pPr>
            <w:r>
              <w:t>19</w:t>
            </w:r>
          </w:p>
        </w:tc>
        <w:tc>
          <w:tcPr>
            <w:tcW w:w="4535" w:type="dxa"/>
            <w:vAlign w:val="center"/>
          </w:tcPr>
          <w:p w14:paraId="316A2D36">
            <w:pPr>
              <w:pStyle w:val="13"/>
            </w:pPr>
          </w:p>
        </w:tc>
        <w:tc>
          <w:tcPr>
            <w:tcW w:w="2126" w:type="dxa"/>
            <w:vAlign w:val="center"/>
          </w:tcPr>
          <w:p w14:paraId="65D4E226">
            <w:pPr>
              <w:pStyle w:val="14"/>
            </w:pPr>
          </w:p>
        </w:tc>
        <w:tc>
          <w:tcPr>
            <w:tcW w:w="4535" w:type="dxa"/>
            <w:vAlign w:val="center"/>
          </w:tcPr>
          <w:p w14:paraId="310A015D">
            <w:pPr>
              <w:pStyle w:val="13"/>
            </w:pPr>
            <w:r>
              <w:t>十九、自然资源海洋气象等支出</w:t>
            </w:r>
          </w:p>
        </w:tc>
        <w:tc>
          <w:tcPr>
            <w:tcW w:w="2126" w:type="dxa"/>
            <w:vAlign w:val="center"/>
          </w:tcPr>
          <w:p w14:paraId="3E6B02CB">
            <w:pPr>
              <w:pStyle w:val="14"/>
            </w:pPr>
          </w:p>
        </w:tc>
      </w:tr>
      <w:tr w14:paraId="4A224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2662DAC">
            <w:pPr>
              <w:pStyle w:val="12"/>
            </w:pPr>
            <w:r>
              <w:t>20</w:t>
            </w:r>
          </w:p>
        </w:tc>
        <w:tc>
          <w:tcPr>
            <w:tcW w:w="4535" w:type="dxa"/>
            <w:vAlign w:val="center"/>
          </w:tcPr>
          <w:p w14:paraId="78379387">
            <w:pPr>
              <w:pStyle w:val="13"/>
            </w:pPr>
          </w:p>
        </w:tc>
        <w:tc>
          <w:tcPr>
            <w:tcW w:w="2126" w:type="dxa"/>
            <w:vAlign w:val="center"/>
          </w:tcPr>
          <w:p w14:paraId="1AA520A2">
            <w:pPr>
              <w:pStyle w:val="14"/>
            </w:pPr>
          </w:p>
        </w:tc>
        <w:tc>
          <w:tcPr>
            <w:tcW w:w="4535" w:type="dxa"/>
            <w:vAlign w:val="center"/>
          </w:tcPr>
          <w:p w14:paraId="2DC5351C">
            <w:pPr>
              <w:pStyle w:val="13"/>
            </w:pPr>
            <w:r>
              <w:t>二十、住房保障支出</w:t>
            </w:r>
          </w:p>
        </w:tc>
        <w:tc>
          <w:tcPr>
            <w:tcW w:w="2126" w:type="dxa"/>
            <w:vAlign w:val="center"/>
          </w:tcPr>
          <w:p w14:paraId="00EF2FA2">
            <w:pPr>
              <w:pStyle w:val="14"/>
            </w:pPr>
          </w:p>
        </w:tc>
      </w:tr>
      <w:tr w14:paraId="4B31A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F46D5">
            <w:pPr>
              <w:pStyle w:val="12"/>
            </w:pPr>
            <w:r>
              <w:t>21</w:t>
            </w:r>
          </w:p>
        </w:tc>
        <w:tc>
          <w:tcPr>
            <w:tcW w:w="4535" w:type="dxa"/>
            <w:vAlign w:val="center"/>
          </w:tcPr>
          <w:p w14:paraId="31F1A058">
            <w:pPr>
              <w:pStyle w:val="13"/>
            </w:pPr>
          </w:p>
        </w:tc>
        <w:tc>
          <w:tcPr>
            <w:tcW w:w="2126" w:type="dxa"/>
            <w:vAlign w:val="center"/>
          </w:tcPr>
          <w:p w14:paraId="5C313B60">
            <w:pPr>
              <w:pStyle w:val="14"/>
            </w:pPr>
          </w:p>
        </w:tc>
        <w:tc>
          <w:tcPr>
            <w:tcW w:w="4535" w:type="dxa"/>
            <w:vAlign w:val="center"/>
          </w:tcPr>
          <w:p w14:paraId="2311823F">
            <w:pPr>
              <w:pStyle w:val="13"/>
            </w:pPr>
            <w:r>
              <w:t>二十一、粮油物资储备支出</w:t>
            </w:r>
          </w:p>
        </w:tc>
        <w:tc>
          <w:tcPr>
            <w:tcW w:w="2126" w:type="dxa"/>
            <w:vAlign w:val="center"/>
          </w:tcPr>
          <w:p w14:paraId="14757798">
            <w:pPr>
              <w:pStyle w:val="14"/>
            </w:pPr>
          </w:p>
        </w:tc>
      </w:tr>
      <w:tr w14:paraId="427FC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B35F7">
            <w:pPr>
              <w:pStyle w:val="12"/>
            </w:pPr>
            <w:r>
              <w:t>22</w:t>
            </w:r>
          </w:p>
        </w:tc>
        <w:tc>
          <w:tcPr>
            <w:tcW w:w="4535" w:type="dxa"/>
            <w:vAlign w:val="center"/>
          </w:tcPr>
          <w:p w14:paraId="1B890717">
            <w:pPr>
              <w:pStyle w:val="13"/>
            </w:pPr>
          </w:p>
        </w:tc>
        <w:tc>
          <w:tcPr>
            <w:tcW w:w="2126" w:type="dxa"/>
            <w:vAlign w:val="center"/>
          </w:tcPr>
          <w:p w14:paraId="147369D8">
            <w:pPr>
              <w:pStyle w:val="14"/>
            </w:pPr>
          </w:p>
        </w:tc>
        <w:tc>
          <w:tcPr>
            <w:tcW w:w="4535" w:type="dxa"/>
            <w:vAlign w:val="center"/>
          </w:tcPr>
          <w:p w14:paraId="5D4D915D">
            <w:pPr>
              <w:pStyle w:val="13"/>
            </w:pPr>
            <w:r>
              <w:t>二十二、国有资本经营预算支出</w:t>
            </w:r>
          </w:p>
        </w:tc>
        <w:tc>
          <w:tcPr>
            <w:tcW w:w="2126" w:type="dxa"/>
            <w:vAlign w:val="center"/>
          </w:tcPr>
          <w:p w14:paraId="4A8BF537">
            <w:pPr>
              <w:pStyle w:val="14"/>
            </w:pPr>
          </w:p>
        </w:tc>
      </w:tr>
      <w:tr w14:paraId="0E613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0C841">
            <w:pPr>
              <w:pStyle w:val="12"/>
            </w:pPr>
            <w:r>
              <w:t>23</w:t>
            </w:r>
          </w:p>
        </w:tc>
        <w:tc>
          <w:tcPr>
            <w:tcW w:w="4535" w:type="dxa"/>
            <w:vAlign w:val="center"/>
          </w:tcPr>
          <w:p w14:paraId="60DBE8F1">
            <w:pPr>
              <w:pStyle w:val="13"/>
            </w:pPr>
          </w:p>
        </w:tc>
        <w:tc>
          <w:tcPr>
            <w:tcW w:w="2126" w:type="dxa"/>
            <w:vAlign w:val="center"/>
          </w:tcPr>
          <w:p w14:paraId="0375B5AA">
            <w:pPr>
              <w:pStyle w:val="14"/>
            </w:pPr>
          </w:p>
        </w:tc>
        <w:tc>
          <w:tcPr>
            <w:tcW w:w="4535" w:type="dxa"/>
            <w:vAlign w:val="center"/>
          </w:tcPr>
          <w:p w14:paraId="157D62F3">
            <w:pPr>
              <w:pStyle w:val="13"/>
            </w:pPr>
            <w:r>
              <w:t>二十三、灾害防治及应急管理支出</w:t>
            </w:r>
          </w:p>
        </w:tc>
        <w:tc>
          <w:tcPr>
            <w:tcW w:w="2126" w:type="dxa"/>
            <w:vAlign w:val="center"/>
          </w:tcPr>
          <w:p w14:paraId="1CEE879D">
            <w:pPr>
              <w:pStyle w:val="14"/>
            </w:pPr>
          </w:p>
        </w:tc>
      </w:tr>
      <w:tr w14:paraId="0111D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C5D0D">
            <w:pPr>
              <w:pStyle w:val="12"/>
            </w:pPr>
            <w:r>
              <w:t>24</w:t>
            </w:r>
          </w:p>
        </w:tc>
        <w:tc>
          <w:tcPr>
            <w:tcW w:w="4535" w:type="dxa"/>
            <w:vAlign w:val="center"/>
          </w:tcPr>
          <w:p w14:paraId="5E3A9327">
            <w:pPr>
              <w:pStyle w:val="13"/>
            </w:pPr>
          </w:p>
        </w:tc>
        <w:tc>
          <w:tcPr>
            <w:tcW w:w="2126" w:type="dxa"/>
            <w:vAlign w:val="center"/>
          </w:tcPr>
          <w:p w14:paraId="2FD7E8B4">
            <w:pPr>
              <w:pStyle w:val="14"/>
            </w:pPr>
          </w:p>
        </w:tc>
        <w:tc>
          <w:tcPr>
            <w:tcW w:w="4535" w:type="dxa"/>
            <w:vAlign w:val="center"/>
          </w:tcPr>
          <w:p w14:paraId="4703E065">
            <w:pPr>
              <w:pStyle w:val="13"/>
            </w:pPr>
            <w:r>
              <w:t>二十四、预备费</w:t>
            </w:r>
          </w:p>
        </w:tc>
        <w:tc>
          <w:tcPr>
            <w:tcW w:w="2126" w:type="dxa"/>
            <w:vAlign w:val="center"/>
          </w:tcPr>
          <w:p w14:paraId="243A3B7D">
            <w:pPr>
              <w:pStyle w:val="14"/>
            </w:pPr>
          </w:p>
        </w:tc>
      </w:tr>
      <w:tr w14:paraId="13D3A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80E7D">
            <w:pPr>
              <w:pStyle w:val="12"/>
            </w:pPr>
            <w:r>
              <w:t>25</w:t>
            </w:r>
          </w:p>
        </w:tc>
        <w:tc>
          <w:tcPr>
            <w:tcW w:w="4535" w:type="dxa"/>
            <w:vAlign w:val="center"/>
          </w:tcPr>
          <w:p w14:paraId="40C7A274">
            <w:pPr>
              <w:pStyle w:val="13"/>
            </w:pPr>
          </w:p>
        </w:tc>
        <w:tc>
          <w:tcPr>
            <w:tcW w:w="2126" w:type="dxa"/>
            <w:vAlign w:val="center"/>
          </w:tcPr>
          <w:p w14:paraId="4B16883C">
            <w:pPr>
              <w:pStyle w:val="14"/>
            </w:pPr>
          </w:p>
        </w:tc>
        <w:tc>
          <w:tcPr>
            <w:tcW w:w="4535" w:type="dxa"/>
            <w:vAlign w:val="center"/>
          </w:tcPr>
          <w:p w14:paraId="63BD7F2D">
            <w:pPr>
              <w:pStyle w:val="13"/>
            </w:pPr>
            <w:r>
              <w:t>二十五、其他支出</w:t>
            </w:r>
          </w:p>
        </w:tc>
        <w:tc>
          <w:tcPr>
            <w:tcW w:w="2126" w:type="dxa"/>
            <w:vAlign w:val="center"/>
          </w:tcPr>
          <w:p w14:paraId="6BC41FE7">
            <w:pPr>
              <w:pStyle w:val="14"/>
            </w:pPr>
          </w:p>
        </w:tc>
      </w:tr>
      <w:tr w14:paraId="7B231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661F5B8">
            <w:pPr>
              <w:pStyle w:val="12"/>
            </w:pPr>
            <w:r>
              <w:t>26</w:t>
            </w:r>
          </w:p>
        </w:tc>
        <w:tc>
          <w:tcPr>
            <w:tcW w:w="4535" w:type="dxa"/>
            <w:vAlign w:val="center"/>
          </w:tcPr>
          <w:p w14:paraId="377A90F4">
            <w:pPr>
              <w:pStyle w:val="13"/>
            </w:pPr>
          </w:p>
        </w:tc>
        <w:tc>
          <w:tcPr>
            <w:tcW w:w="2126" w:type="dxa"/>
            <w:vAlign w:val="center"/>
          </w:tcPr>
          <w:p w14:paraId="3257F20B">
            <w:pPr>
              <w:pStyle w:val="14"/>
            </w:pPr>
          </w:p>
        </w:tc>
        <w:tc>
          <w:tcPr>
            <w:tcW w:w="4535" w:type="dxa"/>
            <w:vAlign w:val="center"/>
          </w:tcPr>
          <w:p w14:paraId="54D77A32">
            <w:pPr>
              <w:pStyle w:val="13"/>
            </w:pPr>
            <w:r>
              <w:t>二十六、转移性支出</w:t>
            </w:r>
          </w:p>
        </w:tc>
        <w:tc>
          <w:tcPr>
            <w:tcW w:w="2126" w:type="dxa"/>
            <w:vAlign w:val="center"/>
          </w:tcPr>
          <w:p w14:paraId="7363513A">
            <w:pPr>
              <w:pStyle w:val="14"/>
            </w:pPr>
          </w:p>
        </w:tc>
      </w:tr>
      <w:tr w14:paraId="23799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F09AF">
            <w:pPr>
              <w:pStyle w:val="12"/>
            </w:pPr>
            <w:r>
              <w:t>27</w:t>
            </w:r>
          </w:p>
        </w:tc>
        <w:tc>
          <w:tcPr>
            <w:tcW w:w="4535" w:type="dxa"/>
            <w:vAlign w:val="center"/>
          </w:tcPr>
          <w:p w14:paraId="1D761D5D">
            <w:pPr>
              <w:pStyle w:val="13"/>
            </w:pPr>
          </w:p>
        </w:tc>
        <w:tc>
          <w:tcPr>
            <w:tcW w:w="2126" w:type="dxa"/>
            <w:vAlign w:val="center"/>
          </w:tcPr>
          <w:p w14:paraId="20EC482A">
            <w:pPr>
              <w:pStyle w:val="14"/>
            </w:pPr>
          </w:p>
        </w:tc>
        <w:tc>
          <w:tcPr>
            <w:tcW w:w="4535" w:type="dxa"/>
            <w:vAlign w:val="center"/>
          </w:tcPr>
          <w:p w14:paraId="045288E0">
            <w:pPr>
              <w:pStyle w:val="13"/>
            </w:pPr>
            <w:r>
              <w:t>二十七、债务还本支出</w:t>
            </w:r>
          </w:p>
        </w:tc>
        <w:tc>
          <w:tcPr>
            <w:tcW w:w="2126" w:type="dxa"/>
            <w:vAlign w:val="center"/>
          </w:tcPr>
          <w:p w14:paraId="794C2CD0">
            <w:pPr>
              <w:pStyle w:val="14"/>
            </w:pPr>
          </w:p>
        </w:tc>
      </w:tr>
      <w:tr w14:paraId="6273A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7098A0B">
            <w:pPr>
              <w:pStyle w:val="12"/>
            </w:pPr>
            <w:r>
              <w:t>28</w:t>
            </w:r>
          </w:p>
        </w:tc>
        <w:tc>
          <w:tcPr>
            <w:tcW w:w="4535" w:type="dxa"/>
            <w:vAlign w:val="center"/>
          </w:tcPr>
          <w:p w14:paraId="7D5DAFB1">
            <w:pPr>
              <w:pStyle w:val="13"/>
            </w:pPr>
          </w:p>
        </w:tc>
        <w:tc>
          <w:tcPr>
            <w:tcW w:w="2126" w:type="dxa"/>
            <w:vAlign w:val="center"/>
          </w:tcPr>
          <w:p w14:paraId="4763AA70">
            <w:pPr>
              <w:pStyle w:val="14"/>
            </w:pPr>
          </w:p>
        </w:tc>
        <w:tc>
          <w:tcPr>
            <w:tcW w:w="4535" w:type="dxa"/>
            <w:vAlign w:val="center"/>
          </w:tcPr>
          <w:p w14:paraId="43543C88">
            <w:pPr>
              <w:pStyle w:val="13"/>
            </w:pPr>
            <w:r>
              <w:t>二十八、债务付息支出</w:t>
            </w:r>
          </w:p>
        </w:tc>
        <w:tc>
          <w:tcPr>
            <w:tcW w:w="2126" w:type="dxa"/>
            <w:vAlign w:val="center"/>
          </w:tcPr>
          <w:p w14:paraId="4E2220B4">
            <w:pPr>
              <w:pStyle w:val="14"/>
            </w:pPr>
          </w:p>
        </w:tc>
      </w:tr>
      <w:tr w14:paraId="204CD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FD371">
            <w:pPr>
              <w:pStyle w:val="12"/>
            </w:pPr>
            <w:r>
              <w:t>29</w:t>
            </w:r>
          </w:p>
        </w:tc>
        <w:tc>
          <w:tcPr>
            <w:tcW w:w="4535" w:type="dxa"/>
            <w:vAlign w:val="center"/>
          </w:tcPr>
          <w:p w14:paraId="747B1A1B">
            <w:pPr>
              <w:pStyle w:val="13"/>
            </w:pPr>
          </w:p>
        </w:tc>
        <w:tc>
          <w:tcPr>
            <w:tcW w:w="2126" w:type="dxa"/>
            <w:vAlign w:val="center"/>
          </w:tcPr>
          <w:p w14:paraId="333B57DD">
            <w:pPr>
              <w:pStyle w:val="14"/>
            </w:pPr>
          </w:p>
        </w:tc>
        <w:tc>
          <w:tcPr>
            <w:tcW w:w="4535" w:type="dxa"/>
            <w:vAlign w:val="center"/>
          </w:tcPr>
          <w:p w14:paraId="792CDC9F">
            <w:pPr>
              <w:pStyle w:val="13"/>
            </w:pPr>
            <w:r>
              <w:t>二十九、债务发行费用支出</w:t>
            </w:r>
          </w:p>
        </w:tc>
        <w:tc>
          <w:tcPr>
            <w:tcW w:w="2126" w:type="dxa"/>
            <w:vAlign w:val="center"/>
          </w:tcPr>
          <w:p w14:paraId="2AD2F943">
            <w:pPr>
              <w:pStyle w:val="14"/>
            </w:pPr>
          </w:p>
        </w:tc>
      </w:tr>
      <w:tr w14:paraId="29443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937E3">
            <w:pPr>
              <w:pStyle w:val="12"/>
            </w:pPr>
            <w:r>
              <w:t>30</w:t>
            </w:r>
          </w:p>
        </w:tc>
        <w:tc>
          <w:tcPr>
            <w:tcW w:w="4535" w:type="dxa"/>
            <w:vAlign w:val="center"/>
          </w:tcPr>
          <w:p w14:paraId="758D6695">
            <w:pPr>
              <w:pStyle w:val="13"/>
            </w:pPr>
          </w:p>
        </w:tc>
        <w:tc>
          <w:tcPr>
            <w:tcW w:w="2126" w:type="dxa"/>
            <w:vAlign w:val="center"/>
          </w:tcPr>
          <w:p w14:paraId="7CF7DE4F">
            <w:pPr>
              <w:pStyle w:val="14"/>
            </w:pPr>
          </w:p>
        </w:tc>
        <w:tc>
          <w:tcPr>
            <w:tcW w:w="4535" w:type="dxa"/>
            <w:vAlign w:val="center"/>
          </w:tcPr>
          <w:p w14:paraId="769DA42E">
            <w:pPr>
              <w:pStyle w:val="13"/>
            </w:pPr>
            <w:r>
              <w:t>三十、抗疫特别国债安排的支出</w:t>
            </w:r>
          </w:p>
        </w:tc>
        <w:tc>
          <w:tcPr>
            <w:tcW w:w="2126" w:type="dxa"/>
            <w:vAlign w:val="center"/>
          </w:tcPr>
          <w:p w14:paraId="6D56939E">
            <w:pPr>
              <w:pStyle w:val="14"/>
            </w:pPr>
          </w:p>
        </w:tc>
      </w:tr>
      <w:tr w14:paraId="604B3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9BF4A">
            <w:pPr>
              <w:pStyle w:val="12"/>
            </w:pPr>
            <w:r>
              <w:t>31</w:t>
            </w:r>
          </w:p>
        </w:tc>
        <w:tc>
          <w:tcPr>
            <w:tcW w:w="4535" w:type="dxa"/>
            <w:vAlign w:val="center"/>
          </w:tcPr>
          <w:p w14:paraId="5BE85113">
            <w:pPr>
              <w:pStyle w:val="13"/>
            </w:pPr>
          </w:p>
        </w:tc>
        <w:tc>
          <w:tcPr>
            <w:tcW w:w="2126" w:type="dxa"/>
            <w:vAlign w:val="center"/>
          </w:tcPr>
          <w:p w14:paraId="1C269B82">
            <w:pPr>
              <w:pStyle w:val="14"/>
            </w:pPr>
          </w:p>
        </w:tc>
        <w:tc>
          <w:tcPr>
            <w:tcW w:w="4535" w:type="dxa"/>
            <w:vAlign w:val="center"/>
          </w:tcPr>
          <w:p w14:paraId="4E08ED61">
            <w:pPr>
              <w:pStyle w:val="13"/>
            </w:pPr>
            <w:r>
              <w:t>三十一、人行科目</w:t>
            </w:r>
          </w:p>
        </w:tc>
        <w:tc>
          <w:tcPr>
            <w:tcW w:w="2126" w:type="dxa"/>
            <w:vAlign w:val="center"/>
          </w:tcPr>
          <w:p w14:paraId="7246E57B">
            <w:pPr>
              <w:pStyle w:val="14"/>
            </w:pPr>
          </w:p>
        </w:tc>
      </w:tr>
      <w:tr w14:paraId="329CA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47D18EB">
            <w:pPr>
              <w:pStyle w:val="12"/>
            </w:pPr>
            <w:r>
              <w:t>32</w:t>
            </w:r>
          </w:p>
        </w:tc>
        <w:tc>
          <w:tcPr>
            <w:tcW w:w="4535" w:type="dxa"/>
            <w:vAlign w:val="center"/>
          </w:tcPr>
          <w:p w14:paraId="0407A820">
            <w:pPr>
              <w:pStyle w:val="15"/>
            </w:pPr>
            <w:r>
              <w:t>本年收入合计</w:t>
            </w:r>
          </w:p>
        </w:tc>
        <w:tc>
          <w:tcPr>
            <w:tcW w:w="2126" w:type="dxa"/>
            <w:vAlign w:val="center"/>
          </w:tcPr>
          <w:p w14:paraId="2E43B12D">
            <w:pPr>
              <w:pStyle w:val="16"/>
            </w:pPr>
            <w:r>
              <w:t>2018.21</w:t>
            </w:r>
          </w:p>
        </w:tc>
        <w:tc>
          <w:tcPr>
            <w:tcW w:w="4535" w:type="dxa"/>
            <w:vAlign w:val="center"/>
          </w:tcPr>
          <w:p w14:paraId="4077BBD5">
            <w:pPr>
              <w:pStyle w:val="15"/>
            </w:pPr>
            <w:r>
              <w:t>本年支出合计</w:t>
            </w:r>
          </w:p>
        </w:tc>
        <w:tc>
          <w:tcPr>
            <w:tcW w:w="2126" w:type="dxa"/>
            <w:vAlign w:val="center"/>
          </w:tcPr>
          <w:p w14:paraId="247AB464">
            <w:pPr>
              <w:pStyle w:val="16"/>
            </w:pPr>
            <w:r>
              <w:t>2053.56</w:t>
            </w:r>
          </w:p>
        </w:tc>
      </w:tr>
      <w:tr w14:paraId="76282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D0306">
            <w:pPr>
              <w:pStyle w:val="12"/>
            </w:pPr>
            <w:r>
              <w:t>33</w:t>
            </w:r>
          </w:p>
        </w:tc>
        <w:tc>
          <w:tcPr>
            <w:tcW w:w="4535" w:type="dxa"/>
            <w:vAlign w:val="center"/>
          </w:tcPr>
          <w:p w14:paraId="299AF5E5">
            <w:pPr>
              <w:pStyle w:val="13"/>
            </w:pPr>
            <w:r>
              <w:t>上年结转结余</w:t>
            </w:r>
          </w:p>
        </w:tc>
        <w:tc>
          <w:tcPr>
            <w:tcW w:w="2126" w:type="dxa"/>
            <w:vAlign w:val="center"/>
          </w:tcPr>
          <w:p w14:paraId="40A820B0">
            <w:pPr>
              <w:pStyle w:val="14"/>
            </w:pPr>
            <w:r>
              <w:t>35.35</w:t>
            </w:r>
          </w:p>
        </w:tc>
        <w:tc>
          <w:tcPr>
            <w:tcW w:w="4535" w:type="dxa"/>
            <w:vAlign w:val="center"/>
          </w:tcPr>
          <w:p w14:paraId="2D1AF3E1">
            <w:pPr>
              <w:pStyle w:val="13"/>
            </w:pPr>
            <w:r>
              <w:t>年终结转结余</w:t>
            </w:r>
          </w:p>
        </w:tc>
        <w:tc>
          <w:tcPr>
            <w:tcW w:w="2126" w:type="dxa"/>
            <w:vAlign w:val="center"/>
          </w:tcPr>
          <w:p w14:paraId="0DC681EE">
            <w:pPr>
              <w:pStyle w:val="14"/>
            </w:pPr>
          </w:p>
        </w:tc>
      </w:tr>
      <w:tr w14:paraId="21372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47FAF">
            <w:pPr>
              <w:pStyle w:val="12"/>
            </w:pPr>
            <w:r>
              <w:t>34</w:t>
            </w:r>
          </w:p>
        </w:tc>
        <w:tc>
          <w:tcPr>
            <w:tcW w:w="4535" w:type="dxa"/>
            <w:vAlign w:val="center"/>
          </w:tcPr>
          <w:p w14:paraId="00DEA9F3">
            <w:pPr>
              <w:pStyle w:val="15"/>
            </w:pPr>
            <w:r>
              <w:t>收入总计</w:t>
            </w:r>
          </w:p>
        </w:tc>
        <w:tc>
          <w:tcPr>
            <w:tcW w:w="2126" w:type="dxa"/>
            <w:vAlign w:val="center"/>
          </w:tcPr>
          <w:p w14:paraId="6335BF06">
            <w:pPr>
              <w:pStyle w:val="16"/>
            </w:pPr>
            <w:r>
              <w:t>2053.56</w:t>
            </w:r>
          </w:p>
        </w:tc>
        <w:tc>
          <w:tcPr>
            <w:tcW w:w="4535" w:type="dxa"/>
            <w:vAlign w:val="center"/>
          </w:tcPr>
          <w:p w14:paraId="627EEF17">
            <w:pPr>
              <w:pStyle w:val="15"/>
            </w:pPr>
            <w:r>
              <w:t>支出总计</w:t>
            </w:r>
          </w:p>
        </w:tc>
        <w:tc>
          <w:tcPr>
            <w:tcW w:w="2126" w:type="dxa"/>
            <w:vAlign w:val="center"/>
          </w:tcPr>
          <w:p w14:paraId="59F56580">
            <w:pPr>
              <w:pStyle w:val="16"/>
            </w:pPr>
            <w:r>
              <w:t>2053.56</w:t>
            </w:r>
          </w:p>
        </w:tc>
      </w:tr>
    </w:tbl>
    <w:p w14:paraId="1A9A79F2">
      <w:pPr>
        <w:sectPr>
          <w:pgSz w:w="16840" w:h="11900" w:orient="landscape"/>
          <w:pgMar w:top="1361" w:right="1020" w:bottom="1134" w:left="1020" w:header="720" w:footer="720" w:gutter="0"/>
          <w:cols w:space="720" w:num="1"/>
        </w:sectPr>
      </w:pPr>
    </w:p>
    <w:p w14:paraId="5B104B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364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F04FF7">
            <w:pPr>
              <w:pStyle w:val="8"/>
            </w:pPr>
            <w:r>
              <w:t>360018隆尧县北楼校区</w:t>
            </w:r>
          </w:p>
        </w:tc>
        <w:tc>
          <w:tcPr>
            <w:tcW w:w="3402" w:type="dxa"/>
            <w:gridSpan w:val="3"/>
            <w:tcBorders>
              <w:top w:val="single" w:color="FFFFFF" w:sz="6" w:space="0"/>
              <w:left w:val="single" w:color="FFFFFF" w:sz="6" w:space="0"/>
              <w:right w:val="single" w:color="FFFFFF" w:sz="6" w:space="0"/>
            </w:tcBorders>
            <w:vAlign w:val="center"/>
          </w:tcPr>
          <w:p w14:paraId="2E029CB6">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0BD84EA">
            <w:pPr>
              <w:pStyle w:val="10"/>
            </w:pPr>
            <w:r>
              <w:t>单位：万元</w:t>
            </w:r>
          </w:p>
        </w:tc>
      </w:tr>
      <w:tr w14:paraId="5F1FB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3E1823">
            <w:pPr>
              <w:pStyle w:val="11"/>
            </w:pPr>
            <w:r>
              <w:t>序号</w:t>
            </w:r>
          </w:p>
        </w:tc>
        <w:tc>
          <w:tcPr>
            <w:tcW w:w="2551" w:type="dxa"/>
            <w:gridSpan w:val="2"/>
            <w:vAlign w:val="center"/>
          </w:tcPr>
          <w:p w14:paraId="6BC482C3">
            <w:pPr>
              <w:pStyle w:val="11"/>
            </w:pPr>
            <w:r>
              <w:t>功能分类科目</w:t>
            </w:r>
          </w:p>
        </w:tc>
        <w:tc>
          <w:tcPr>
            <w:tcW w:w="1134" w:type="dxa"/>
            <w:vMerge w:val="restart"/>
            <w:vAlign w:val="center"/>
          </w:tcPr>
          <w:p w14:paraId="48ED4E39">
            <w:pPr>
              <w:pStyle w:val="11"/>
            </w:pPr>
            <w:r>
              <w:t>合计</w:t>
            </w:r>
          </w:p>
        </w:tc>
        <w:tc>
          <w:tcPr>
            <w:tcW w:w="9072" w:type="dxa"/>
            <w:gridSpan w:val="8"/>
            <w:vAlign w:val="center"/>
          </w:tcPr>
          <w:p w14:paraId="6A1A4397">
            <w:pPr>
              <w:pStyle w:val="11"/>
            </w:pPr>
            <w:r>
              <w:t>本年收入</w:t>
            </w:r>
          </w:p>
        </w:tc>
        <w:tc>
          <w:tcPr>
            <w:tcW w:w="1134" w:type="dxa"/>
            <w:vMerge w:val="restart"/>
            <w:vAlign w:val="center"/>
          </w:tcPr>
          <w:p w14:paraId="5397174E">
            <w:pPr>
              <w:pStyle w:val="11"/>
            </w:pPr>
            <w:r>
              <w:t>上年结转</w:t>
            </w:r>
          </w:p>
        </w:tc>
      </w:tr>
      <w:tr w14:paraId="65DB3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5FBCC3"/>
        </w:tc>
        <w:tc>
          <w:tcPr>
            <w:tcW w:w="992" w:type="dxa"/>
            <w:vAlign w:val="center"/>
          </w:tcPr>
          <w:p w14:paraId="1F4F81C6">
            <w:pPr>
              <w:pStyle w:val="11"/>
            </w:pPr>
            <w:r>
              <w:t>科目    编码</w:t>
            </w:r>
          </w:p>
        </w:tc>
        <w:tc>
          <w:tcPr>
            <w:tcW w:w="1559" w:type="dxa"/>
            <w:vAlign w:val="center"/>
          </w:tcPr>
          <w:p w14:paraId="152A9A9D">
            <w:pPr>
              <w:pStyle w:val="11"/>
            </w:pPr>
            <w:r>
              <w:t>科目名称</w:t>
            </w:r>
          </w:p>
        </w:tc>
        <w:tc>
          <w:tcPr>
            <w:tcW w:w="1134" w:type="dxa"/>
            <w:vMerge w:val="continue"/>
          </w:tcPr>
          <w:p w14:paraId="08EBA4D2"/>
        </w:tc>
        <w:tc>
          <w:tcPr>
            <w:tcW w:w="1134" w:type="dxa"/>
            <w:vAlign w:val="center"/>
          </w:tcPr>
          <w:p w14:paraId="50181810">
            <w:pPr>
              <w:pStyle w:val="11"/>
            </w:pPr>
            <w:r>
              <w:t>小计</w:t>
            </w:r>
          </w:p>
        </w:tc>
        <w:tc>
          <w:tcPr>
            <w:tcW w:w="1134" w:type="dxa"/>
            <w:vAlign w:val="center"/>
          </w:tcPr>
          <w:p w14:paraId="0CECE45A">
            <w:pPr>
              <w:pStyle w:val="11"/>
            </w:pPr>
            <w:r>
              <w:t>财政拨款 收入</w:t>
            </w:r>
          </w:p>
        </w:tc>
        <w:tc>
          <w:tcPr>
            <w:tcW w:w="1134" w:type="dxa"/>
            <w:vAlign w:val="center"/>
          </w:tcPr>
          <w:p w14:paraId="0DDEEA01">
            <w:pPr>
              <w:pStyle w:val="11"/>
            </w:pPr>
            <w:r>
              <w:t>财政专户 收入</w:t>
            </w:r>
          </w:p>
        </w:tc>
        <w:tc>
          <w:tcPr>
            <w:tcW w:w="1134" w:type="dxa"/>
            <w:vAlign w:val="center"/>
          </w:tcPr>
          <w:p w14:paraId="46CA3C1A">
            <w:pPr>
              <w:pStyle w:val="11"/>
            </w:pPr>
            <w:r>
              <w:t>事业收入</w:t>
            </w:r>
          </w:p>
        </w:tc>
        <w:tc>
          <w:tcPr>
            <w:tcW w:w="1134" w:type="dxa"/>
            <w:vAlign w:val="center"/>
          </w:tcPr>
          <w:p w14:paraId="48DB641D">
            <w:pPr>
              <w:pStyle w:val="11"/>
            </w:pPr>
            <w:r>
              <w:t>经营收入</w:t>
            </w:r>
          </w:p>
        </w:tc>
        <w:tc>
          <w:tcPr>
            <w:tcW w:w="1134" w:type="dxa"/>
            <w:vAlign w:val="center"/>
          </w:tcPr>
          <w:p w14:paraId="5A52BDC5">
            <w:pPr>
              <w:pStyle w:val="11"/>
            </w:pPr>
            <w:r>
              <w:t>上级补助收入</w:t>
            </w:r>
          </w:p>
        </w:tc>
        <w:tc>
          <w:tcPr>
            <w:tcW w:w="1134" w:type="dxa"/>
            <w:vAlign w:val="center"/>
          </w:tcPr>
          <w:p w14:paraId="40BAFAFF">
            <w:pPr>
              <w:pStyle w:val="11"/>
            </w:pPr>
            <w:r>
              <w:t>附属单位上缴收入</w:t>
            </w:r>
          </w:p>
        </w:tc>
        <w:tc>
          <w:tcPr>
            <w:tcW w:w="1134" w:type="dxa"/>
            <w:vAlign w:val="center"/>
          </w:tcPr>
          <w:p w14:paraId="401240B6">
            <w:pPr>
              <w:pStyle w:val="11"/>
            </w:pPr>
            <w:r>
              <w:t>其他收入</w:t>
            </w:r>
          </w:p>
        </w:tc>
        <w:tc>
          <w:tcPr>
            <w:tcW w:w="1134" w:type="dxa"/>
            <w:vMerge w:val="continue"/>
          </w:tcPr>
          <w:p w14:paraId="65301BEC"/>
        </w:tc>
      </w:tr>
      <w:tr w14:paraId="77151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C109DC">
            <w:pPr>
              <w:pStyle w:val="11"/>
            </w:pPr>
            <w:r>
              <w:t>栏次</w:t>
            </w:r>
          </w:p>
        </w:tc>
        <w:tc>
          <w:tcPr>
            <w:tcW w:w="992" w:type="dxa"/>
            <w:vAlign w:val="center"/>
          </w:tcPr>
          <w:p w14:paraId="552527EF">
            <w:pPr>
              <w:pStyle w:val="11"/>
            </w:pPr>
            <w:r>
              <w:t>1</w:t>
            </w:r>
          </w:p>
        </w:tc>
        <w:tc>
          <w:tcPr>
            <w:tcW w:w="1559" w:type="dxa"/>
            <w:vAlign w:val="center"/>
          </w:tcPr>
          <w:p w14:paraId="68343349">
            <w:pPr>
              <w:pStyle w:val="11"/>
            </w:pPr>
            <w:r>
              <w:t>2</w:t>
            </w:r>
          </w:p>
        </w:tc>
        <w:tc>
          <w:tcPr>
            <w:tcW w:w="1134" w:type="dxa"/>
            <w:vAlign w:val="center"/>
          </w:tcPr>
          <w:p w14:paraId="03F3A631">
            <w:pPr>
              <w:pStyle w:val="11"/>
            </w:pPr>
            <w:r>
              <w:t>3</w:t>
            </w:r>
          </w:p>
        </w:tc>
        <w:tc>
          <w:tcPr>
            <w:tcW w:w="1134" w:type="dxa"/>
            <w:vAlign w:val="center"/>
          </w:tcPr>
          <w:p w14:paraId="15AF7E4B">
            <w:pPr>
              <w:pStyle w:val="11"/>
            </w:pPr>
            <w:r>
              <w:t>4</w:t>
            </w:r>
          </w:p>
        </w:tc>
        <w:tc>
          <w:tcPr>
            <w:tcW w:w="1134" w:type="dxa"/>
            <w:vAlign w:val="center"/>
          </w:tcPr>
          <w:p w14:paraId="6476B0B8">
            <w:pPr>
              <w:pStyle w:val="11"/>
            </w:pPr>
            <w:r>
              <w:t>5</w:t>
            </w:r>
          </w:p>
        </w:tc>
        <w:tc>
          <w:tcPr>
            <w:tcW w:w="1134" w:type="dxa"/>
            <w:vAlign w:val="center"/>
          </w:tcPr>
          <w:p w14:paraId="11411AA2">
            <w:pPr>
              <w:pStyle w:val="11"/>
            </w:pPr>
            <w:r>
              <w:t>6</w:t>
            </w:r>
          </w:p>
        </w:tc>
        <w:tc>
          <w:tcPr>
            <w:tcW w:w="1134" w:type="dxa"/>
            <w:vAlign w:val="center"/>
          </w:tcPr>
          <w:p w14:paraId="43FF1A9A">
            <w:pPr>
              <w:pStyle w:val="11"/>
            </w:pPr>
            <w:r>
              <w:t>7</w:t>
            </w:r>
          </w:p>
        </w:tc>
        <w:tc>
          <w:tcPr>
            <w:tcW w:w="1134" w:type="dxa"/>
            <w:vAlign w:val="center"/>
          </w:tcPr>
          <w:p w14:paraId="36A793C4">
            <w:pPr>
              <w:pStyle w:val="11"/>
            </w:pPr>
            <w:r>
              <w:t>8</w:t>
            </w:r>
          </w:p>
        </w:tc>
        <w:tc>
          <w:tcPr>
            <w:tcW w:w="1134" w:type="dxa"/>
            <w:vAlign w:val="center"/>
          </w:tcPr>
          <w:p w14:paraId="3BC4C1A4">
            <w:pPr>
              <w:pStyle w:val="11"/>
            </w:pPr>
            <w:r>
              <w:t>9</w:t>
            </w:r>
          </w:p>
        </w:tc>
        <w:tc>
          <w:tcPr>
            <w:tcW w:w="1134" w:type="dxa"/>
            <w:vAlign w:val="center"/>
          </w:tcPr>
          <w:p w14:paraId="20A1F1EB">
            <w:pPr>
              <w:pStyle w:val="11"/>
            </w:pPr>
            <w:r>
              <w:t>10</w:t>
            </w:r>
          </w:p>
        </w:tc>
        <w:tc>
          <w:tcPr>
            <w:tcW w:w="1134" w:type="dxa"/>
            <w:vAlign w:val="center"/>
          </w:tcPr>
          <w:p w14:paraId="2D16F378">
            <w:pPr>
              <w:pStyle w:val="11"/>
            </w:pPr>
            <w:r>
              <w:t>11</w:t>
            </w:r>
          </w:p>
        </w:tc>
        <w:tc>
          <w:tcPr>
            <w:tcW w:w="1134" w:type="dxa"/>
            <w:vAlign w:val="center"/>
          </w:tcPr>
          <w:p w14:paraId="3433655B">
            <w:pPr>
              <w:pStyle w:val="11"/>
            </w:pPr>
            <w:r>
              <w:t>12</w:t>
            </w:r>
          </w:p>
        </w:tc>
      </w:tr>
      <w:tr w14:paraId="3D345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428DBA">
            <w:pPr>
              <w:pStyle w:val="12"/>
            </w:pPr>
            <w:r>
              <w:t>1</w:t>
            </w:r>
          </w:p>
        </w:tc>
        <w:tc>
          <w:tcPr>
            <w:tcW w:w="992" w:type="dxa"/>
            <w:vAlign w:val="center"/>
          </w:tcPr>
          <w:p w14:paraId="51E0A3E9">
            <w:pPr>
              <w:pStyle w:val="17"/>
            </w:pPr>
          </w:p>
        </w:tc>
        <w:tc>
          <w:tcPr>
            <w:tcW w:w="1559" w:type="dxa"/>
            <w:vAlign w:val="center"/>
          </w:tcPr>
          <w:p w14:paraId="1E4C362B">
            <w:pPr>
              <w:pStyle w:val="15"/>
            </w:pPr>
            <w:r>
              <w:t>合计</w:t>
            </w:r>
          </w:p>
        </w:tc>
        <w:tc>
          <w:tcPr>
            <w:tcW w:w="1134" w:type="dxa"/>
            <w:vAlign w:val="center"/>
          </w:tcPr>
          <w:p w14:paraId="6CEE1906">
            <w:pPr>
              <w:pStyle w:val="16"/>
            </w:pPr>
            <w:r>
              <w:t>2053.56</w:t>
            </w:r>
          </w:p>
        </w:tc>
        <w:tc>
          <w:tcPr>
            <w:tcW w:w="1134" w:type="dxa"/>
            <w:vAlign w:val="center"/>
          </w:tcPr>
          <w:p w14:paraId="22C44186">
            <w:pPr>
              <w:pStyle w:val="16"/>
            </w:pPr>
            <w:r>
              <w:t>2018.21</w:t>
            </w:r>
          </w:p>
        </w:tc>
        <w:tc>
          <w:tcPr>
            <w:tcW w:w="1134" w:type="dxa"/>
            <w:vAlign w:val="center"/>
          </w:tcPr>
          <w:p w14:paraId="41405EF1">
            <w:pPr>
              <w:pStyle w:val="16"/>
            </w:pPr>
            <w:r>
              <w:t>2018.21</w:t>
            </w:r>
          </w:p>
        </w:tc>
        <w:tc>
          <w:tcPr>
            <w:tcW w:w="1134" w:type="dxa"/>
            <w:vAlign w:val="center"/>
          </w:tcPr>
          <w:p w14:paraId="20747159">
            <w:pPr>
              <w:pStyle w:val="16"/>
            </w:pPr>
          </w:p>
        </w:tc>
        <w:tc>
          <w:tcPr>
            <w:tcW w:w="1134" w:type="dxa"/>
            <w:vAlign w:val="center"/>
          </w:tcPr>
          <w:p w14:paraId="668E2835">
            <w:pPr>
              <w:pStyle w:val="16"/>
            </w:pPr>
          </w:p>
        </w:tc>
        <w:tc>
          <w:tcPr>
            <w:tcW w:w="1134" w:type="dxa"/>
            <w:vAlign w:val="center"/>
          </w:tcPr>
          <w:p w14:paraId="3D6921D6">
            <w:pPr>
              <w:pStyle w:val="16"/>
            </w:pPr>
          </w:p>
        </w:tc>
        <w:tc>
          <w:tcPr>
            <w:tcW w:w="1134" w:type="dxa"/>
            <w:vAlign w:val="center"/>
          </w:tcPr>
          <w:p w14:paraId="4D9A5872">
            <w:pPr>
              <w:pStyle w:val="16"/>
            </w:pPr>
          </w:p>
        </w:tc>
        <w:tc>
          <w:tcPr>
            <w:tcW w:w="1134" w:type="dxa"/>
            <w:vAlign w:val="center"/>
          </w:tcPr>
          <w:p w14:paraId="104E7CA9">
            <w:pPr>
              <w:pStyle w:val="16"/>
            </w:pPr>
          </w:p>
        </w:tc>
        <w:tc>
          <w:tcPr>
            <w:tcW w:w="1134" w:type="dxa"/>
            <w:vAlign w:val="center"/>
          </w:tcPr>
          <w:p w14:paraId="7F4E0B0E">
            <w:pPr>
              <w:pStyle w:val="16"/>
            </w:pPr>
          </w:p>
        </w:tc>
        <w:tc>
          <w:tcPr>
            <w:tcW w:w="1134" w:type="dxa"/>
            <w:vAlign w:val="center"/>
          </w:tcPr>
          <w:p w14:paraId="451F63DE">
            <w:pPr>
              <w:pStyle w:val="16"/>
            </w:pPr>
            <w:r>
              <w:t>35.35</w:t>
            </w:r>
          </w:p>
        </w:tc>
      </w:tr>
      <w:tr w14:paraId="4A476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7C926FC2">
            <w:pPr>
              <w:pStyle w:val="12"/>
            </w:pPr>
            <w:r>
              <w:t>2</w:t>
            </w:r>
          </w:p>
        </w:tc>
        <w:tc>
          <w:tcPr>
            <w:tcW w:w="992" w:type="dxa"/>
            <w:vAlign w:val="center"/>
          </w:tcPr>
          <w:p w14:paraId="1F8AFFC7">
            <w:pPr>
              <w:pStyle w:val="13"/>
            </w:pPr>
            <w:r>
              <w:t>205</w:t>
            </w:r>
          </w:p>
        </w:tc>
        <w:tc>
          <w:tcPr>
            <w:tcW w:w="1559" w:type="dxa"/>
            <w:vAlign w:val="center"/>
          </w:tcPr>
          <w:p w14:paraId="3902BDDC">
            <w:pPr>
              <w:pStyle w:val="13"/>
            </w:pPr>
            <w:r>
              <w:t>教育支出</w:t>
            </w:r>
          </w:p>
        </w:tc>
        <w:tc>
          <w:tcPr>
            <w:tcW w:w="1134" w:type="dxa"/>
            <w:vAlign w:val="center"/>
          </w:tcPr>
          <w:p w14:paraId="6F574A38">
            <w:pPr>
              <w:pStyle w:val="14"/>
            </w:pPr>
            <w:r>
              <w:t>2053.56</w:t>
            </w:r>
          </w:p>
        </w:tc>
        <w:tc>
          <w:tcPr>
            <w:tcW w:w="1134" w:type="dxa"/>
            <w:vAlign w:val="center"/>
          </w:tcPr>
          <w:p w14:paraId="5AFE0E48">
            <w:pPr>
              <w:pStyle w:val="14"/>
            </w:pPr>
            <w:r>
              <w:t>2018.21</w:t>
            </w:r>
          </w:p>
        </w:tc>
        <w:tc>
          <w:tcPr>
            <w:tcW w:w="1134" w:type="dxa"/>
            <w:vAlign w:val="center"/>
          </w:tcPr>
          <w:p w14:paraId="4F828516">
            <w:pPr>
              <w:pStyle w:val="14"/>
            </w:pPr>
            <w:r>
              <w:t>2018.21</w:t>
            </w:r>
          </w:p>
        </w:tc>
        <w:tc>
          <w:tcPr>
            <w:tcW w:w="1134" w:type="dxa"/>
            <w:vAlign w:val="center"/>
          </w:tcPr>
          <w:p w14:paraId="6A154128">
            <w:pPr>
              <w:pStyle w:val="14"/>
            </w:pPr>
          </w:p>
        </w:tc>
        <w:tc>
          <w:tcPr>
            <w:tcW w:w="1134" w:type="dxa"/>
            <w:vAlign w:val="center"/>
          </w:tcPr>
          <w:p w14:paraId="52EF0F0C">
            <w:pPr>
              <w:pStyle w:val="14"/>
            </w:pPr>
          </w:p>
        </w:tc>
        <w:tc>
          <w:tcPr>
            <w:tcW w:w="1134" w:type="dxa"/>
            <w:vAlign w:val="center"/>
          </w:tcPr>
          <w:p w14:paraId="75B08746">
            <w:pPr>
              <w:pStyle w:val="14"/>
            </w:pPr>
          </w:p>
        </w:tc>
        <w:tc>
          <w:tcPr>
            <w:tcW w:w="1134" w:type="dxa"/>
            <w:vAlign w:val="center"/>
          </w:tcPr>
          <w:p w14:paraId="44DB0865">
            <w:pPr>
              <w:pStyle w:val="14"/>
            </w:pPr>
          </w:p>
        </w:tc>
        <w:tc>
          <w:tcPr>
            <w:tcW w:w="1134" w:type="dxa"/>
            <w:vAlign w:val="center"/>
          </w:tcPr>
          <w:p w14:paraId="3F4E7163">
            <w:pPr>
              <w:pStyle w:val="14"/>
            </w:pPr>
          </w:p>
        </w:tc>
        <w:tc>
          <w:tcPr>
            <w:tcW w:w="1134" w:type="dxa"/>
            <w:vAlign w:val="center"/>
          </w:tcPr>
          <w:p w14:paraId="11AC55D4">
            <w:pPr>
              <w:pStyle w:val="14"/>
            </w:pPr>
          </w:p>
        </w:tc>
        <w:tc>
          <w:tcPr>
            <w:tcW w:w="1134" w:type="dxa"/>
            <w:vAlign w:val="center"/>
          </w:tcPr>
          <w:p w14:paraId="5EC51C70">
            <w:pPr>
              <w:pStyle w:val="14"/>
            </w:pPr>
            <w:r>
              <w:t>35.35</w:t>
            </w:r>
          </w:p>
        </w:tc>
      </w:tr>
      <w:tr w14:paraId="5188F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CFF949">
            <w:pPr>
              <w:pStyle w:val="12"/>
            </w:pPr>
            <w:r>
              <w:t>3</w:t>
            </w:r>
          </w:p>
        </w:tc>
        <w:tc>
          <w:tcPr>
            <w:tcW w:w="992" w:type="dxa"/>
            <w:vAlign w:val="center"/>
          </w:tcPr>
          <w:p w14:paraId="704DA04F">
            <w:pPr>
              <w:pStyle w:val="13"/>
            </w:pPr>
            <w:r>
              <w:t>20502</w:t>
            </w:r>
          </w:p>
        </w:tc>
        <w:tc>
          <w:tcPr>
            <w:tcW w:w="1559" w:type="dxa"/>
            <w:vAlign w:val="center"/>
          </w:tcPr>
          <w:p w14:paraId="76CCD33D">
            <w:pPr>
              <w:pStyle w:val="13"/>
            </w:pPr>
            <w:r>
              <w:t>普通教育</w:t>
            </w:r>
          </w:p>
        </w:tc>
        <w:tc>
          <w:tcPr>
            <w:tcW w:w="1134" w:type="dxa"/>
            <w:vAlign w:val="center"/>
          </w:tcPr>
          <w:p w14:paraId="7CCBA1D1">
            <w:pPr>
              <w:pStyle w:val="14"/>
            </w:pPr>
            <w:r>
              <w:t>2053.56</w:t>
            </w:r>
          </w:p>
        </w:tc>
        <w:tc>
          <w:tcPr>
            <w:tcW w:w="1134" w:type="dxa"/>
            <w:vAlign w:val="center"/>
          </w:tcPr>
          <w:p w14:paraId="3AA4A882">
            <w:pPr>
              <w:pStyle w:val="14"/>
            </w:pPr>
            <w:r>
              <w:t>2018.21</w:t>
            </w:r>
          </w:p>
        </w:tc>
        <w:tc>
          <w:tcPr>
            <w:tcW w:w="1134" w:type="dxa"/>
            <w:vAlign w:val="center"/>
          </w:tcPr>
          <w:p w14:paraId="46730A0E">
            <w:pPr>
              <w:pStyle w:val="14"/>
            </w:pPr>
            <w:r>
              <w:t>2018.21</w:t>
            </w:r>
          </w:p>
        </w:tc>
        <w:tc>
          <w:tcPr>
            <w:tcW w:w="1134" w:type="dxa"/>
            <w:vAlign w:val="center"/>
          </w:tcPr>
          <w:p w14:paraId="5F225C34">
            <w:pPr>
              <w:pStyle w:val="14"/>
            </w:pPr>
          </w:p>
        </w:tc>
        <w:tc>
          <w:tcPr>
            <w:tcW w:w="1134" w:type="dxa"/>
            <w:vAlign w:val="center"/>
          </w:tcPr>
          <w:p w14:paraId="6189B470">
            <w:pPr>
              <w:pStyle w:val="14"/>
            </w:pPr>
          </w:p>
        </w:tc>
        <w:tc>
          <w:tcPr>
            <w:tcW w:w="1134" w:type="dxa"/>
            <w:vAlign w:val="center"/>
          </w:tcPr>
          <w:p w14:paraId="62B340E1">
            <w:pPr>
              <w:pStyle w:val="14"/>
            </w:pPr>
          </w:p>
        </w:tc>
        <w:tc>
          <w:tcPr>
            <w:tcW w:w="1134" w:type="dxa"/>
            <w:vAlign w:val="center"/>
          </w:tcPr>
          <w:p w14:paraId="1B8FAB67">
            <w:pPr>
              <w:pStyle w:val="14"/>
            </w:pPr>
          </w:p>
        </w:tc>
        <w:tc>
          <w:tcPr>
            <w:tcW w:w="1134" w:type="dxa"/>
            <w:vAlign w:val="center"/>
          </w:tcPr>
          <w:p w14:paraId="17A06DAC">
            <w:pPr>
              <w:pStyle w:val="14"/>
            </w:pPr>
          </w:p>
        </w:tc>
        <w:tc>
          <w:tcPr>
            <w:tcW w:w="1134" w:type="dxa"/>
            <w:vAlign w:val="center"/>
          </w:tcPr>
          <w:p w14:paraId="24853C94">
            <w:pPr>
              <w:pStyle w:val="14"/>
            </w:pPr>
          </w:p>
        </w:tc>
        <w:tc>
          <w:tcPr>
            <w:tcW w:w="1134" w:type="dxa"/>
            <w:vAlign w:val="center"/>
          </w:tcPr>
          <w:p w14:paraId="24DC509B">
            <w:pPr>
              <w:pStyle w:val="14"/>
            </w:pPr>
            <w:r>
              <w:t>35.35</w:t>
            </w:r>
          </w:p>
        </w:tc>
      </w:tr>
      <w:tr w14:paraId="476BE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45EA39">
            <w:pPr>
              <w:pStyle w:val="12"/>
            </w:pPr>
            <w:r>
              <w:t>4</w:t>
            </w:r>
          </w:p>
        </w:tc>
        <w:tc>
          <w:tcPr>
            <w:tcW w:w="992" w:type="dxa"/>
            <w:vAlign w:val="center"/>
          </w:tcPr>
          <w:p w14:paraId="7249F8E2">
            <w:pPr>
              <w:pStyle w:val="13"/>
            </w:pPr>
            <w:r>
              <w:t>2050201</w:t>
            </w:r>
          </w:p>
        </w:tc>
        <w:tc>
          <w:tcPr>
            <w:tcW w:w="1559" w:type="dxa"/>
            <w:vAlign w:val="center"/>
          </w:tcPr>
          <w:p w14:paraId="05EE9707">
            <w:pPr>
              <w:pStyle w:val="13"/>
            </w:pPr>
            <w:r>
              <w:t>学前教育</w:t>
            </w:r>
          </w:p>
        </w:tc>
        <w:tc>
          <w:tcPr>
            <w:tcW w:w="1134" w:type="dxa"/>
            <w:vAlign w:val="center"/>
          </w:tcPr>
          <w:p w14:paraId="3B8BFC92">
            <w:pPr>
              <w:pStyle w:val="14"/>
            </w:pPr>
            <w:r>
              <w:t>97.39</w:t>
            </w:r>
          </w:p>
        </w:tc>
        <w:tc>
          <w:tcPr>
            <w:tcW w:w="1134" w:type="dxa"/>
            <w:vAlign w:val="center"/>
          </w:tcPr>
          <w:p w14:paraId="5EA6FA73">
            <w:pPr>
              <w:pStyle w:val="14"/>
            </w:pPr>
            <w:r>
              <w:t>97.39</w:t>
            </w:r>
          </w:p>
        </w:tc>
        <w:tc>
          <w:tcPr>
            <w:tcW w:w="1134" w:type="dxa"/>
            <w:vAlign w:val="center"/>
          </w:tcPr>
          <w:p w14:paraId="2DA53087">
            <w:pPr>
              <w:pStyle w:val="14"/>
            </w:pPr>
            <w:r>
              <w:t>97.39</w:t>
            </w:r>
          </w:p>
        </w:tc>
        <w:tc>
          <w:tcPr>
            <w:tcW w:w="1134" w:type="dxa"/>
            <w:vAlign w:val="center"/>
          </w:tcPr>
          <w:p w14:paraId="1CD8610D">
            <w:pPr>
              <w:pStyle w:val="14"/>
            </w:pPr>
          </w:p>
        </w:tc>
        <w:tc>
          <w:tcPr>
            <w:tcW w:w="1134" w:type="dxa"/>
            <w:vAlign w:val="center"/>
          </w:tcPr>
          <w:p w14:paraId="5F942DC1">
            <w:pPr>
              <w:pStyle w:val="14"/>
            </w:pPr>
          </w:p>
        </w:tc>
        <w:tc>
          <w:tcPr>
            <w:tcW w:w="1134" w:type="dxa"/>
            <w:vAlign w:val="center"/>
          </w:tcPr>
          <w:p w14:paraId="1222323B">
            <w:pPr>
              <w:pStyle w:val="14"/>
            </w:pPr>
          </w:p>
        </w:tc>
        <w:tc>
          <w:tcPr>
            <w:tcW w:w="1134" w:type="dxa"/>
            <w:vAlign w:val="center"/>
          </w:tcPr>
          <w:p w14:paraId="7C58ECD0">
            <w:pPr>
              <w:pStyle w:val="14"/>
            </w:pPr>
          </w:p>
        </w:tc>
        <w:tc>
          <w:tcPr>
            <w:tcW w:w="1134" w:type="dxa"/>
            <w:vAlign w:val="center"/>
          </w:tcPr>
          <w:p w14:paraId="43D3B13A">
            <w:pPr>
              <w:pStyle w:val="14"/>
            </w:pPr>
          </w:p>
        </w:tc>
        <w:tc>
          <w:tcPr>
            <w:tcW w:w="1134" w:type="dxa"/>
            <w:vAlign w:val="center"/>
          </w:tcPr>
          <w:p w14:paraId="5E160A38">
            <w:pPr>
              <w:pStyle w:val="14"/>
            </w:pPr>
          </w:p>
        </w:tc>
        <w:tc>
          <w:tcPr>
            <w:tcW w:w="1134" w:type="dxa"/>
            <w:vAlign w:val="center"/>
          </w:tcPr>
          <w:p w14:paraId="22F0D1CE">
            <w:pPr>
              <w:pStyle w:val="14"/>
            </w:pPr>
          </w:p>
        </w:tc>
      </w:tr>
      <w:tr w14:paraId="222E4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55206A13">
            <w:pPr>
              <w:pStyle w:val="12"/>
            </w:pPr>
            <w:r>
              <w:t>5</w:t>
            </w:r>
          </w:p>
        </w:tc>
        <w:tc>
          <w:tcPr>
            <w:tcW w:w="992" w:type="dxa"/>
            <w:vAlign w:val="center"/>
          </w:tcPr>
          <w:p w14:paraId="0AADBF58">
            <w:pPr>
              <w:pStyle w:val="13"/>
            </w:pPr>
            <w:r>
              <w:t>2050202</w:t>
            </w:r>
          </w:p>
        </w:tc>
        <w:tc>
          <w:tcPr>
            <w:tcW w:w="1559" w:type="dxa"/>
            <w:vAlign w:val="center"/>
          </w:tcPr>
          <w:p w14:paraId="5124EFED">
            <w:pPr>
              <w:pStyle w:val="13"/>
            </w:pPr>
            <w:r>
              <w:t>小学教育</w:t>
            </w:r>
          </w:p>
        </w:tc>
        <w:tc>
          <w:tcPr>
            <w:tcW w:w="1134" w:type="dxa"/>
            <w:vAlign w:val="center"/>
          </w:tcPr>
          <w:p w14:paraId="33BC0C11">
            <w:pPr>
              <w:pStyle w:val="14"/>
            </w:pPr>
            <w:r>
              <w:t>1956.17</w:t>
            </w:r>
          </w:p>
        </w:tc>
        <w:tc>
          <w:tcPr>
            <w:tcW w:w="1134" w:type="dxa"/>
            <w:vAlign w:val="center"/>
          </w:tcPr>
          <w:p w14:paraId="3A0DF8D2">
            <w:pPr>
              <w:pStyle w:val="14"/>
            </w:pPr>
            <w:r>
              <w:t>1920.82</w:t>
            </w:r>
          </w:p>
        </w:tc>
        <w:tc>
          <w:tcPr>
            <w:tcW w:w="1134" w:type="dxa"/>
            <w:vAlign w:val="center"/>
          </w:tcPr>
          <w:p w14:paraId="23232288">
            <w:pPr>
              <w:pStyle w:val="14"/>
            </w:pPr>
            <w:r>
              <w:t>1920.82</w:t>
            </w:r>
          </w:p>
        </w:tc>
        <w:tc>
          <w:tcPr>
            <w:tcW w:w="1134" w:type="dxa"/>
            <w:vAlign w:val="center"/>
          </w:tcPr>
          <w:p w14:paraId="4DB249A1">
            <w:pPr>
              <w:pStyle w:val="14"/>
            </w:pPr>
          </w:p>
        </w:tc>
        <w:tc>
          <w:tcPr>
            <w:tcW w:w="1134" w:type="dxa"/>
            <w:vAlign w:val="center"/>
          </w:tcPr>
          <w:p w14:paraId="1CA0A4DA">
            <w:pPr>
              <w:pStyle w:val="14"/>
            </w:pPr>
          </w:p>
        </w:tc>
        <w:tc>
          <w:tcPr>
            <w:tcW w:w="1134" w:type="dxa"/>
            <w:vAlign w:val="center"/>
          </w:tcPr>
          <w:p w14:paraId="231CDE7A">
            <w:pPr>
              <w:pStyle w:val="14"/>
            </w:pPr>
          </w:p>
        </w:tc>
        <w:tc>
          <w:tcPr>
            <w:tcW w:w="1134" w:type="dxa"/>
            <w:vAlign w:val="center"/>
          </w:tcPr>
          <w:p w14:paraId="1E0A388F">
            <w:pPr>
              <w:pStyle w:val="14"/>
            </w:pPr>
          </w:p>
        </w:tc>
        <w:tc>
          <w:tcPr>
            <w:tcW w:w="1134" w:type="dxa"/>
            <w:vAlign w:val="center"/>
          </w:tcPr>
          <w:p w14:paraId="0C358F1D">
            <w:pPr>
              <w:pStyle w:val="14"/>
            </w:pPr>
          </w:p>
        </w:tc>
        <w:tc>
          <w:tcPr>
            <w:tcW w:w="1134" w:type="dxa"/>
            <w:vAlign w:val="center"/>
          </w:tcPr>
          <w:p w14:paraId="329B7B42">
            <w:pPr>
              <w:pStyle w:val="14"/>
            </w:pPr>
          </w:p>
        </w:tc>
        <w:tc>
          <w:tcPr>
            <w:tcW w:w="1134" w:type="dxa"/>
            <w:vAlign w:val="center"/>
          </w:tcPr>
          <w:p w14:paraId="7D6F86F2">
            <w:pPr>
              <w:pStyle w:val="14"/>
            </w:pPr>
            <w:r>
              <w:t>35.35</w:t>
            </w:r>
          </w:p>
        </w:tc>
      </w:tr>
    </w:tbl>
    <w:p w14:paraId="027474C2">
      <w:pPr>
        <w:sectPr>
          <w:pgSz w:w="16840" w:h="11900" w:orient="landscape"/>
          <w:pgMar w:top="1361" w:right="1020" w:bottom="1134" w:left="1020" w:header="720" w:footer="720" w:gutter="0"/>
          <w:cols w:space="720" w:num="1"/>
        </w:sectPr>
      </w:pPr>
    </w:p>
    <w:p w14:paraId="473B8F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FDF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68B9C5">
            <w:pPr>
              <w:pStyle w:val="8"/>
            </w:pPr>
            <w:r>
              <w:t>360018隆尧县北楼校区</w:t>
            </w:r>
          </w:p>
        </w:tc>
        <w:tc>
          <w:tcPr>
            <w:tcW w:w="2722" w:type="dxa"/>
            <w:gridSpan w:val="2"/>
            <w:tcBorders>
              <w:top w:val="single" w:color="FFFFFF" w:sz="6" w:space="0"/>
              <w:left w:val="single" w:color="FFFFFF" w:sz="6" w:space="0"/>
              <w:right w:val="single" w:color="FFFFFF" w:sz="6" w:space="0"/>
            </w:tcBorders>
            <w:vAlign w:val="center"/>
          </w:tcPr>
          <w:p w14:paraId="137C80C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39D6642">
            <w:pPr>
              <w:pStyle w:val="10"/>
            </w:pPr>
            <w:r>
              <w:t>单位：万元</w:t>
            </w:r>
          </w:p>
        </w:tc>
      </w:tr>
      <w:tr w14:paraId="0BB4C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3793AA">
            <w:pPr>
              <w:pStyle w:val="11"/>
            </w:pPr>
            <w:r>
              <w:t>序号</w:t>
            </w:r>
          </w:p>
        </w:tc>
        <w:tc>
          <w:tcPr>
            <w:tcW w:w="5527" w:type="dxa"/>
            <w:gridSpan w:val="2"/>
            <w:vAlign w:val="center"/>
          </w:tcPr>
          <w:p w14:paraId="14E58BE1">
            <w:pPr>
              <w:pStyle w:val="11"/>
            </w:pPr>
            <w:r>
              <w:t>功能分类科目</w:t>
            </w:r>
          </w:p>
        </w:tc>
        <w:tc>
          <w:tcPr>
            <w:tcW w:w="1361" w:type="dxa"/>
            <w:vMerge w:val="restart"/>
            <w:vAlign w:val="center"/>
          </w:tcPr>
          <w:p w14:paraId="63F8E3A4">
            <w:pPr>
              <w:pStyle w:val="11"/>
            </w:pPr>
            <w:r>
              <w:t>合计</w:t>
            </w:r>
          </w:p>
        </w:tc>
        <w:tc>
          <w:tcPr>
            <w:tcW w:w="1361" w:type="dxa"/>
            <w:vMerge w:val="restart"/>
            <w:vAlign w:val="center"/>
          </w:tcPr>
          <w:p w14:paraId="17F49870">
            <w:pPr>
              <w:pStyle w:val="11"/>
            </w:pPr>
            <w:r>
              <w:t>基本支出</w:t>
            </w:r>
          </w:p>
        </w:tc>
        <w:tc>
          <w:tcPr>
            <w:tcW w:w="1361" w:type="dxa"/>
            <w:vMerge w:val="restart"/>
            <w:vAlign w:val="center"/>
          </w:tcPr>
          <w:p w14:paraId="1A05C2DA">
            <w:pPr>
              <w:pStyle w:val="11"/>
            </w:pPr>
            <w:r>
              <w:t>项目支出</w:t>
            </w:r>
          </w:p>
        </w:tc>
        <w:tc>
          <w:tcPr>
            <w:tcW w:w="1361" w:type="dxa"/>
            <w:vMerge w:val="restart"/>
            <w:vAlign w:val="center"/>
          </w:tcPr>
          <w:p w14:paraId="40428D9D">
            <w:pPr>
              <w:pStyle w:val="11"/>
            </w:pPr>
            <w:r>
              <w:t>经营支出</w:t>
            </w:r>
          </w:p>
        </w:tc>
        <w:tc>
          <w:tcPr>
            <w:tcW w:w="1361" w:type="dxa"/>
            <w:vMerge w:val="restart"/>
            <w:vAlign w:val="center"/>
          </w:tcPr>
          <w:p w14:paraId="53E7A5E2">
            <w:pPr>
              <w:pStyle w:val="11"/>
            </w:pPr>
            <w:r>
              <w:t>上解上级     支出</w:t>
            </w:r>
          </w:p>
        </w:tc>
        <w:tc>
          <w:tcPr>
            <w:tcW w:w="1361" w:type="dxa"/>
            <w:vMerge w:val="restart"/>
            <w:vAlign w:val="center"/>
          </w:tcPr>
          <w:p w14:paraId="522FA787">
            <w:pPr>
              <w:pStyle w:val="11"/>
            </w:pPr>
            <w:r>
              <w:t>对附属单位补助支出</w:t>
            </w:r>
          </w:p>
        </w:tc>
      </w:tr>
      <w:tr w14:paraId="5EA32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D91033"/>
        </w:tc>
        <w:tc>
          <w:tcPr>
            <w:tcW w:w="992" w:type="dxa"/>
            <w:vAlign w:val="center"/>
          </w:tcPr>
          <w:p w14:paraId="048ACCB6">
            <w:pPr>
              <w:pStyle w:val="11"/>
            </w:pPr>
            <w:r>
              <w:t>科目    编码</w:t>
            </w:r>
          </w:p>
        </w:tc>
        <w:tc>
          <w:tcPr>
            <w:tcW w:w="4535" w:type="dxa"/>
            <w:vAlign w:val="center"/>
          </w:tcPr>
          <w:p w14:paraId="6E4C01EC">
            <w:pPr>
              <w:pStyle w:val="11"/>
            </w:pPr>
            <w:r>
              <w:t>科目名称</w:t>
            </w:r>
          </w:p>
        </w:tc>
        <w:tc>
          <w:tcPr>
            <w:tcW w:w="1361" w:type="dxa"/>
            <w:vMerge w:val="continue"/>
          </w:tcPr>
          <w:p w14:paraId="4056A70C"/>
        </w:tc>
        <w:tc>
          <w:tcPr>
            <w:tcW w:w="1361" w:type="dxa"/>
            <w:vMerge w:val="continue"/>
          </w:tcPr>
          <w:p w14:paraId="459BFD70"/>
        </w:tc>
        <w:tc>
          <w:tcPr>
            <w:tcW w:w="1361" w:type="dxa"/>
            <w:vMerge w:val="continue"/>
          </w:tcPr>
          <w:p w14:paraId="6B5B87FA"/>
        </w:tc>
        <w:tc>
          <w:tcPr>
            <w:tcW w:w="1361" w:type="dxa"/>
            <w:vMerge w:val="continue"/>
          </w:tcPr>
          <w:p w14:paraId="054EC7BC"/>
        </w:tc>
        <w:tc>
          <w:tcPr>
            <w:tcW w:w="1361" w:type="dxa"/>
            <w:vMerge w:val="continue"/>
          </w:tcPr>
          <w:p w14:paraId="3623C8E3"/>
        </w:tc>
        <w:tc>
          <w:tcPr>
            <w:tcW w:w="1361" w:type="dxa"/>
            <w:vMerge w:val="continue"/>
          </w:tcPr>
          <w:p w14:paraId="64AE742C"/>
        </w:tc>
      </w:tr>
      <w:tr w14:paraId="0B9B3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B7D70E">
            <w:pPr>
              <w:pStyle w:val="11"/>
            </w:pPr>
            <w:r>
              <w:t>栏次</w:t>
            </w:r>
          </w:p>
        </w:tc>
        <w:tc>
          <w:tcPr>
            <w:tcW w:w="992" w:type="dxa"/>
            <w:vAlign w:val="center"/>
          </w:tcPr>
          <w:p w14:paraId="06D040EE">
            <w:pPr>
              <w:pStyle w:val="11"/>
            </w:pPr>
            <w:r>
              <w:t>1</w:t>
            </w:r>
          </w:p>
        </w:tc>
        <w:tc>
          <w:tcPr>
            <w:tcW w:w="4535" w:type="dxa"/>
            <w:vAlign w:val="center"/>
          </w:tcPr>
          <w:p w14:paraId="7597B880">
            <w:pPr>
              <w:pStyle w:val="11"/>
            </w:pPr>
            <w:r>
              <w:t>2</w:t>
            </w:r>
          </w:p>
        </w:tc>
        <w:tc>
          <w:tcPr>
            <w:tcW w:w="1361" w:type="dxa"/>
            <w:vAlign w:val="center"/>
          </w:tcPr>
          <w:p w14:paraId="2ED6E57F">
            <w:pPr>
              <w:pStyle w:val="11"/>
            </w:pPr>
            <w:r>
              <w:t>3</w:t>
            </w:r>
          </w:p>
        </w:tc>
        <w:tc>
          <w:tcPr>
            <w:tcW w:w="1361" w:type="dxa"/>
            <w:vAlign w:val="center"/>
          </w:tcPr>
          <w:p w14:paraId="3ADEFCE4">
            <w:pPr>
              <w:pStyle w:val="11"/>
            </w:pPr>
            <w:r>
              <w:t>4</w:t>
            </w:r>
          </w:p>
        </w:tc>
        <w:tc>
          <w:tcPr>
            <w:tcW w:w="1361" w:type="dxa"/>
            <w:vAlign w:val="center"/>
          </w:tcPr>
          <w:p w14:paraId="1F4385F9">
            <w:pPr>
              <w:pStyle w:val="11"/>
            </w:pPr>
            <w:r>
              <w:t>5</w:t>
            </w:r>
          </w:p>
        </w:tc>
        <w:tc>
          <w:tcPr>
            <w:tcW w:w="1361" w:type="dxa"/>
            <w:vAlign w:val="center"/>
          </w:tcPr>
          <w:p w14:paraId="1BF178A7">
            <w:pPr>
              <w:pStyle w:val="11"/>
            </w:pPr>
            <w:r>
              <w:t>6</w:t>
            </w:r>
          </w:p>
        </w:tc>
        <w:tc>
          <w:tcPr>
            <w:tcW w:w="1361" w:type="dxa"/>
            <w:vAlign w:val="center"/>
          </w:tcPr>
          <w:p w14:paraId="071A603A">
            <w:pPr>
              <w:pStyle w:val="11"/>
            </w:pPr>
            <w:r>
              <w:t>7</w:t>
            </w:r>
          </w:p>
        </w:tc>
        <w:tc>
          <w:tcPr>
            <w:tcW w:w="1361" w:type="dxa"/>
            <w:vAlign w:val="center"/>
          </w:tcPr>
          <w:p w14:paraId="501F035A">
            <w:pPr>
              <w:pStyle w:val="11"/>
            </w:pPr>
            <w:r>
              <w:t>8</w:t>
            </w:r>
          </w:p>
        </w:tc>
      </w:tr>
      <w:tr w14:paraId="7358D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ECE35">
            <w:pPr>
              <w:pStyle w:val="12"/>
            </w:pPr>
            <w:r>
              <w:t>1</w:t>
            </w:r>
          </w:p>
        </w:tc>
        <w:tc>
          <w:tcPr>
            <w:tcW w:w="992" w:type="dxa"/>
            <w:vAlign w:val="center"/>
          </w:tcPr>
          <w:p w14:paraId="6AA42121">
            <w:pPr>
              <w:pStyle w:val="17"/>
            </w:pPr>
          </w:p>
        </w:tc>
        <w:tc>
          <w:tcPr>
            <w:tcW w:w="4535" w:type="dxa"/>
            <w:vAlign w:val="center"/>
          </w:tcPr>
          <w:p w14:paraId="3BC5D237">
            <w:pPr>
              <w:pStyle w:val="15"/>
            </w:pPr>
            <w:r>
              <w:t>合计</w:t>
            </w:r>
          </w:p>
        </w:tc>
        <w:tc>
          <w:tcPr>
            <w:tcW w:w="1361" w:type="dxa"/>
            <w:vAlign w:val="center"/>
          </w:tcPr>
          <w:p w14:paraId="77D70CB8">
            <w:pPr>
              <w:pStyle w:val="16"/>
            </w:pPr>
            <w:r>
              <w:t>2053.56</w:t>
            </w:r>
          </w:p>
        </w:tc>
        <w:tc>
          <w:tcPr>
            <w:tcW w:w="1361" w:type="dxa"/>
            <w:vAlign w:val="center"/>
          </w:tcPr>
          <w:p w14:paraId="5D4F96C7">
            <w:pPr>
              <w:pStyle w:val="16"/>
            </w:pPr>
            <w:r>
              <w:t>1622.27</w:t>
            </w:r>
          </w:p>
        </w:tc>
        <w:tc>
          <w:tcPr>
            <w:tcW w:w="1361" w:type="dxa"/>
            <w:vAlign w:val="center"/>
          </w:tcPr>
          <w:p w14:paraId="690778F8">
            <w:pPr>
              <w:pStyle w:val="16"/>
            </w:pPr>
            <w:r>
              <w:t>431.29</w:t>
            </w:r>
          </w:p>
        </w:tc>
        <w:tc>
          <w:tcPr>
            <w:tcW w:w="1361" w:type="dxa"/>
            <w:vAlign w:val="center"/>
          </w:tcPr>
          <w:p w14:paraId="49127F49">
            <w:pPr>
              <w:pStyle w:val="16"/>
            </w:pPr>
          </w:p>
        </w:tc>
        <w:tc>
          <w:tcPr>
            <w:tcW w:w="1361" w:type="dxa"/>
            <w:vAlign w:val="center"/>
          </w:tcPr>
          <w:p w14:paraId="394D4940">
            <w:pPr>
              <w:pStyle w:val="16"/>
            </w:pPr>
          </w:p>
        </w:tc>
        <w:tc>
          <w:tcPr>
            <w:tcW w:w="1361" w:type="dxa"/>
            <w:vAlign w:val="center"/>
          </w:tcPr>
          <w:p w14:paraId="1D3ADDD3">
            <w:pPr>
              <w:pStyle w:val="16"/>
            </w:pPr>
          </w:p>
        </w:tc>
      </w:tr>
      <w:tr w14:paraId="640ED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26B32">
            <w:pPr>
              <w:pStyle w:val="12"/>
            </w:pPr>
            <w:r>
              <w:t>2</w:t>
            </w:r>
          </w:p>
        </w:tc>
        <w:tc>
          <w:tcPr>
            <w:tcW w:w="992" w:type="dxa"/>
            <w:vAlign w:val="center"/>
          </w:tcPr>
          <w:p w14:paraId="2925F219">
            <w:pPr>
              <w:pStyle w:val="13"/>
            </w:pPr>
            <w:r>
              <w:t>205</w:t>
            </w:r>
          </w:p>
        </w:tc>
        <w:tc>
          <w:tcPr>
            <w:tcW w:w="4535" w:type="dxa"/>
            <w:vAlign w:val="center"/>
          </w:tcPr>
          <w:p w14:paraId="282A5FCF">
            <w:pPr>
              <w:pStyle w:val="13"/>
            </w:pPr>
            <w:r>
              <w:t>教育支出</w:t>
            </w:r>
          </w:p>
        </w:tc>
        <w:tc>
          <w:tcPr>
            <w:tcW w:w="1361" w:type="dxa"/>
            <w:vAlign w:val="center"/>
          </w:tcPr>
          <w:p w14:paraId="35E9E314">
            <w:pPr>
              <w:pStyle w:val="14"/>
            </w:pPr>
            <w:r>
              <w:t>2053.56</w:t>
            </w:r>
          </w:p>
        </w:tc>
        <w:tc>
          <w:tcPr>
            <w:tcW w:w="1361" w:type="dxa"/>
            <w:vAlign w:val="center"/>
          </w:tcPr>
          <w:p w14:paraId="78A08CB0">
            <w:pPr>
              <w:pStyle w:val="14"/>
            </w:pPr>
            <w:r>
              <w:t>1622.27</w:t>
            </w:r>
          </w:p>
        </w:tc>
        <w:tc>
          <w:tcPr>
            <w:tcW w:w="1361" w:type="dxa"/>
            <w:vAlign w:val="center"/>
          </w:tcPr>
          <w:p w14:paraId="3F4A03CE">
            <w:pPr>
              <w:pStyle w:val="14"/>
            </w:pPr>
            <w:r>
              <w:t>431.29</w:t>
            </w:r>
          </w:p>
        </w:tc>
        <w:tc>
          <w:tcPr>
            <w:tcW w:w="1361" w:type="dxa"/>
            <w:vAlign w:val="center"/>
          </w:tcPr>
          <w:p w14:paraId="03C1770C">
            <w:pPr>
              <w:pStyle w:val="14"/>
            </w:pPr>
          </w:p>
        </w:tc>
        <w:tc>
          <w:tcPr>
            <w:tcW w:w="1361" w:type="dxa"/>
            <w:vAlign w:val="center"/>
          </w:tcPr>
          <w:p w14:paraId="433DB3F1">
            <w:pPr>
              <w:pStyle w:val="14"/>
            </w:pPr>
          </w:p>
        </w:tc>
        <w:tc>
          <w:tcPr>
            <w:tcW w:w="1361" w:type="dxa"/>
            <w:vAlign w:val="center"/>
          </w:tcPr>
          <w:p w14:paraId="48385027">
            <w:pPr>
              <w:pStyle w:val="14"/>
            </w:pPr>
          </w:p>
        </w:tc>
      </w:tr>
      <w:tr w14:paraId="5717D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23232">
            <w:pPr>
              <w:pStyle w:val="12"/>
            </w:pPr>
            <w:r>
              <w:t>3</w:t>
            </w:r>
          </w:p>
        </w:tc>
        <w:tc>
          <w:tcPr>
            <w:tcW w:w="992" w:type="dxa"/>
            <w:vAlign w:val="center"/>
          </w:tcPr>
          <w:p w14:paraId="53B687C0">
            <w:pPr>
              <w:pStyle w:val="13"/>
            </w:pPr>
            <w:r>
              <w:t>20502</w:t>
            </w:r>
          </w:p>
        </w:tc>
        <w:tc>
          <w:tcPr>
            <w:tcW w:w="4535" w:type="dxa"/>
            <w:vAlign w:val="center"/>
          </w:tcPr>
          <w:p w14:paraId="5A5FD11D">
            <w:pPr>
              <w:pStyle w:val="13"/>
            </w:pPr>
            <w:r>
              <w:t>普通教育</w:t>
            </w:r>
          </w:p>
        </w:tc>
        <w:tc>
          <w:tcPr>
            <w:tcW w:w="1361" w:type="dxa"/>
            <w:vAlign w:val="center"/>
          </w:tcPr>
          <w:p w14:paraId="53CC341E">
            <w:pPr>
              <w:pStyle w:val="14"/>
            </w:pPr>
            <w:r>
              <w:t>2053.56</w:t>
            </w:r>
          </w:p>
        </w:tc>
        <w:tc>
          <w:tcPr>
            <w:tcW w:w="1361" w:type="dxa"/>
            <w:vAlign w:val="center"/>
          </w:tcPr>
          <w:p w14:paraId="51B9EC2A">
            <w:pPr>
              <w:pStyle w:val="14"/>
            </w:pPr>
            <w:r>
              <w:t>1622.27</w:t>
            </w:r>
          </w:p>
        </w:tc>
        <w:tc>
          <w:tcPr>
            <w:tcW w:w="1361" w:type="dxa"/>
            <w:vAlign w:val="center"/>
          </w:tcPr>
          <w:p w14:paraId="5CC6A9F4">
            <w:pPr>
              <w:pStyle w:val="14"/>
            </w:pPr>
            <w:r>
              <w:t>431.29</w:t>
            </w:r>
          </w:p>
        </w:tc>
        <w:tc>
          <w:tcPr>
            <w:tcW w:w="1361" w:type="dxa"/>
            <w:vAlign w:val="center"/>
          </w:tcPr>
          <w:p w14:paraId="437A69E2">
            <w:pPr>
              <w:pStyle w:val="14"/>
            </w:pPr>
          </w:p>
        </w:tc>
        <w:tc>
          <w:tcPr>
            <w:tcW w:w="1361" w:type="dxa"/>
            <w:vAlign w:val="center"/>
          </w:tcPr>
          <w:p w14:paraId="60132FA6">
            <w:pPr>
              <w:pStyle w:val="14"/>
            </w:pPr>
          </w:p>
        </w:tc>
        <w:tc>
          <w:tcPr>
            <w:tcW w:w="1361" w:type="dxa"/>
            <w:vAlign w:val="center"/>
          </w:tcPr>
          <w:p w14:paraId="4437982D">
            <w:pPr>
              <w:pStyle w:val="14"/>
            </w:pPr>
          </w:p>
        </w:tc>
      </w:tr>
      <w:tr w14:paraId="119E1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DD873">
            <w:pPr>
              <w:pStyle w:val="12"/>
            </w:pPr>
            <w:r>
              <w:t>4</w:t>
            </w:r>
          </w:p>
        </w:tc>
        <w:tc>
          <w:tcPr>
            <w:tcW w:w="992" w:type="dxa"/>
            <w:vAlign w:val="center"/>
          </w:tcPr>
          <w:p w14:paraId="28C8C7EF">
            <w:pPr>
              <w:pStyle w:val="13"/>
            </w:pPr>
            <w:r>
              <w:t>2050201</w:t>
            </w:r>
          </w:p>
        </w:tc>
        <w:tc>
          <w:tcPr>
            <w:tcW w:w="4535" w:type="dxa"/>
            <w:vAlign w:val="center"/>
          </w:tcPr>
          <w:p w14:paraId="3BF8F6A6">
            <w:pPr>
              <w:pStyle w:val="13"/>
            </w:pPr>
            <w:r>
              <w:t>学前教育</w:t>
            </w:r>
          </w:p>
        </w:tc>
        <w:tc>
          <w:tcPr>
            <w:tcW w:w="1361" w:type="dxa"/>
            <w:vAlign w:val="center"/>
          </w:tcPr>
          <w:p w14:paraId="0B1C36F3">
            <w:pPr>
              <w:pStyle w:val="14"/>
            </w:pPr>
            <w:r>
              <w:t>97.39</w:t>
            </w:r>
          </w:p>
        </w:tc>
        <w:tc>
          <w:tcPr>
            <w:tcW w:w="1361" w:type="dxa"/>
            <w:vAlign w:val="center"/>
          </w:tcPr>
          <w:p w14:paraId="3BECFE83">
            <w:pPr>
              <w:pStyle w:val="14"/>
            </w:pPr>
          </w:p>
        </w:tc>
        <w:tc>
          <w:tcPr>
            <w:tcW w:w="1361" w:type="dxa"/>
            <w:vAlign w:val="center"/>
          </w:tcPr>
          <w:p w14:paraId="6C81F32D">
            <w:pPr>
              <w:pStyle w:val="14"/>
            </w:pPr>
            <w:r>
              <w:t>97.39</w:t>
            </w:r>
          </w:p>
        </w:tc>
        <w:tc>
          <w:tcPr>
            <w:tcW w:w="1361" w:type="dxa"/>
            <w:vAlign w:val="center"/>
          </w:tcPr>
          <w:p w14:paraId="0FCED07F">
            <w:pPr>
              <w:pStyle w:val="14"/>
            </w:pPr>
          </w:p>
        </w:tc>
        <w:tc>
          <w:tcPr>
            <w:tcW w:w="1361" w:type="dxa"/>
            <w:vAlign w:val="center"/>
          </w:tcPr>
          <w:p w14:paraId="3A6722E3">
            <w:pPr>
              <w:pStyle w:val="14"/>
            </w:pPr>
          </w:p>
        </w:tc>
        <w:tc>
          <w:tcPr>
            <w:tcW w:w="1361" w:type="dxa"/>
            <w:vAlign w:val="center"/>
          </w:tcPr>
          <w:p w14:paraId="592E1D9D">
            <w:pPr>
              <w:pStyle w:val="14"/>
            </w:pPr>
          </w:p>
        </w:tc>
      </w:tr>
      <w:tr w14:paraId="04737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E2CC6">
            <w:pPr>
              <w:pStyle w:val="12"/>
            </w:pPr>
            <w:r>
              <w:t>5</w:t>
            </w:r>
          </w:p>
        </w:tc>
        <w:tc>
          <w:tcPr>
            <w:tcW w:w="992" w:type="dxa"/>
            <w:vAlign w:val="center"/>
          </w:tcPr>
          <w:p w14:paraId="54247217">
            <w:pPr>
              <w:pStyle w:val="13"/>
            </w:pPr>
            <w:r>
              <w:t>2050202</w:t>
            </w:r>
          </w:p>
        </w:tc>
        <w:tc>
          <w:tcPr>
            <w:tcW w:w="4535" w:type="dxa"/>
            <w:vAlign w:val="center"/>
          </w:tcPr>
          <w:p w14:paraId="194C8901">
            <w:pPr>
              <w:pStyle w:val="13"/>
            </w:pPr>
            <w:r>
              <w:t>小学教育</w:t>
            </w:r>
          </w:p>
        </w:tc>
        <w:tc>
          <w:tcPr>
            <w:tcW w:w="1361" w:type="dxa"/>
            <w:vAlign w:val="center"/>
          </w:tcPr>
          <w:p w14:paraId="1FC1FC58">
            <w:pPr>
              <w:pStyle w:val="14"/>
            </w:pPr>
            <w:r>
              <w:t>1956.17</w:t>
            </w:r>
          </w:p>
        </w:tc>
        <w:tc>
          <w:tcPr>
            <w:tcW w:w="1361" w:type="dxa"/>
            <w:vAlign w:val="center"/>
          </w:tcPr>
          <w:p w14:paraId="0E8386D8">
            <w:pPr>
              <w:pStyle w:val="14"/>
            </w:pPr>
            <w:r>
              <w:t>1622.27</w:t>
            </w:r>
          </w:p>
        </w:tc>
        <w:tc>
          <w:tcPr>
            <w:tcW w:w="1361" w:type="dxa"/>
            <w:vAlign w:val="center"/>
          </w:tcPr>
          <w:p w14:paraId="014330A9">
            <w:pPr>
              <w:pStyle w:val="14"/>
            </w:pPr>
            <w:r>
              <w:t>333.90</w:t>
            </w:r>
          </w:p>
        </w:tc>
        <w:tc>
          <w:tcPr>
            <w:tcW w:w="1361" w:type="dxa"/>
            <w:vAlign w:val="center"/>
          </w:tcPr>
          <w:p w14:paraId="02CA5C85">
            <w:pPr>
              <w:pStyle w:val="14"/>
            </w:pPr>
          </w:p>
        </w:tc>
        <w:tc>
          <w:tcPr>
            <w:tcW w:w="1361" w:type="dxa"/>
            <w:vAlign w:val="center"/>
          </w:tcPr>
          <w:p w14:paraId="313230B6">
            <w:pPr>
              <w:pStyle w:val="14"/>
            </w:pPr>
          </w:p>
        </w:tc>
        <w:tc>
          <w:tcPr>
            <w:tcW w:w="1361" w:type="dxa"/>
            <w:vAlign w:val="center"/>
          </w:tcPr>
          <w:p w14:paraId="1C0C9F5F">
            <w:pPr>
              <w:pStyle w:val="14"/>
            </w:pPr>
          </w:p>
        </w:tc>
      </w:tr>
    </w:tbl>
    <w:p w14:paraId="7EAAED89">
      <w:pPr>
        <w:sectPr>
          <w:pgSz w:w="16840" w:h="11900" w:orient="landscape"/>
          <w:pgMar w:top="1361" w:right="1020" w:bottom="1134" w:left="1020" w:header="720" w:footer="720" w:gutter="0"/>
          <w:cols w:space="720" w:num="1"/>
        </w:sectPr>
      </w:pPr>
    </w:p>
    <w:p w14:paraId="19FE39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CF5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5F73AD">
            <w:pPr>
              <w:pStyle w:val="8"/>
            </w:pPr>
            <w:r>
              <w:t>360018隆尧县北楼校区</w:t>
            </w:r>
          </w:p>
        </w:tc>
        <w:tc>
          <w:tcPr>
            <w:tcW w:w="3402" w:type="dxa"/>
            <w:tcBorders>
              <w:top w:val="single" w:color="FFFFFF" w:sz="6" w:space="0"/>
              <w:left w:val="single" w:color="FFFFFF" w:sz="6" w:space="0"/>
              <w:right w:val="single" w:color="FFFFFF" w:sz="6" w:space="0"/>
            </w:tcBorders>
            <w:vAlign w:val="center"/>
          </w:tcPr>
          <w:p w14:paraId="0338858F">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7AA1984">
            <w:pPr>
              <w:pStyle w:val="10"/>
            </w:pPr>
            <w:r>
              <w:t>单位：万元</w:t>
            </w:r>
          </w:p>
        </w:tc>
      </w:tr>
      <w:tr w14:paraId="2CF62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24198">
            <w:pPr>
              <w:pStyle w:val="11"/>
            </w:pPr>
            <w:r>
              <w:t>序号</w:t>
            </w:r>
          </w:p>
        </w:tc>
        <w:tc>
          <w:tcPr>
            <w:tcW w:w="4876" w:type="dxa"/>
            <w:gridSpan w:val="2"/>
            <w:vAlign w:val="center"/>
          </w:tcPr>
          <w:p w14:paraId="6E013E67">
            <w:pPr>
              <w:pStyle w:val="11"/>
            </w:pPr>
            <w:r>
              <w:t>收入</w:t>
            </w:r>
          </w:p>
        </w:tc>
        <w:tc>
          <w:tcPr>
            <w:tcW w:w="9298" w:type="dxa"/>
            <w:gridSpan w:val="5"/>
            <w:vAlign w:val="center"/>
          </w:tcPr>
          <w:p w14:paraId="6F3EC879">
            <w:pPr>
              <w:pStyle w:val="11"/>
            </w:pPr>
            <w:r>
              <w:t>支出</w:t>
            </w:r>
          </w:p>
        </w:tc>
      </w:tr>
      <w:tr w14:paraId="07B27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3106CD"/>
        </w:tc>
        <w:tc>
          <w:tcPr>
            <w:tcW w:w="3402" w:type="dxa"/>
            <w:vAlign w:val="center"/>
          </w:tcPr>
          <w:p w14:paraId="736F5189">
            <w:pPr>
              <w:pStyle w:val="11"/>
            </w:pPr>
            <w:r>
              <w:t>项  目</w:t>
            </w:r>
          </w:p>
        </w:tc>
        <w:tc>
          <w:tcPr>
            <w:tcW w:w="1474" w:type="dxa"/>
            <w:vAlign w:val="center"/>
          </w:tcPr>
          <w:p w14:paraId="771EDB83">
            <w:pPr>
              <w:pStyle w:val="11"/>
            </w:pPr>
            <w:r>
              <w:t>金额</w:t>
            </w:r>
          </w:p>
        </w:tc>
        <w:tc>
          <w:tcPr>
            <w:tcW w:w="3402" w:type="dxa"/>
            <w:vAlign w:val="center"/>
          </w:tcPr>
          <w:p w14:paraId="3BDFC1A2">
            <w:pPr>
              <w:pStyle w:val="11"/>
            </w:pPr>
            <w:r>
              <w:t>项  目</w:t>
            </w:r>
          </w:p>
        </w:tc>
        <w:tc>
          <w:tcPr>
            <w:tcW w:w="1474" w:type="dxa"/>
            <w:vAlign w:val="center"/>
          </w:tcPr>
          <w:p w14:paraId="37945EC7">
            <w:pPr>
              <w:pStyle w:val="11"/>
            </w:pPr>
            <w:r>
              <w:t>合计</w:t>
            </w:r>
          </w:p>
        </w:tc>
        <w:tc>
          <w:tcPr>
            <w:tcW w:w="1474" w:type="dxa"/>
            <w:vAlign w:val="center"/>
          </w:tcPr>
          <w:p w14:paraId="3AB30EDB">
            <w:pPr>
              <w:pStyle w:val="11"/>
            </w:pPr>
            <w:r>
              <w:t>一般公共预算财政拨款</w:t>
            </w:r>
          </w:p>
        </w:tc>
        <w:tc>
          <w:tcPr>
            <w:tcW w:w="1474" w:type="dxa"/>
            <w:vAlign w:val="center"/>
          </w:tcPr>
          <w:p w14:paraId="1DB03D86">
            <w:pPr>
              <w:pStyle w:val="11"/>
            </w:pPr>
            <w:r>
              <w:t>政府性基金预算财政    拨款</w:t>
            </w:r>
          </w:p>
        </w:tc>
        <w:tc>
          <w:tcPr>
            <w:tcW w:w="1474" w:type="dxa"/>
            <w:vAlign w:val="center"/>
          </w:tcPr>
          <w:p w14:paraId="79BDE630">
            <w:pPr>
              <w:pStyle w:val="11"/>
            </w:pPr>
            <w:r>
              <w:t>国有资本经营预算财政拨款</w:t>
            </w:r>
          </w:p>
        </w:tc>
      </w:tr>
      <w:tr w14:paraId="1F4D6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084B11">
            <w:pPr>
              <w:pStyle w:val="11"/>
            </w:pPr>
            <w:r>
              <w:t>栏次</w:t>
            </w:r>
          </w:p>
        </w:tc>
        <w:tc>
          <w:tcPr>
            <w:tcW w:w="3402" w:type="dxa"/>
            <w:vAlign w:val="center"/>
          </w:tcPr>
          <w:p w14:paraId="27A19F09">
            <w:pPr>
              <w:pStyle w:val="11"/>
            </w:pPr>
            <w:r>
              <w:t>1</w:t>
            </w:r>
          </w:p>
        </w:tc>
        <w:tc>
          <w:tcPr>
            <w:tcW w:w="1474" w:type="dxa"/>
            <w:vAlign w:val="center"/>
          </w:tcPr>
          <w:p w14:paraId="7F020C7F">
            <w:pPr>
              <w:pStyle w:val="11"/>
            </w:pPr>
            <w:r>
              <w:t>2</w:t>
            </w:r>
          </w:p>
        </w:tc>
        <w:tc>
          <w:tcPr>
            <w:tcW w:w="3402" w:type="dxa"/>
            <w:vAlign w:val="center"/>
          </w:tcPr>
          <w:p w14:paraId="7842CFFD">
            <w:pPr>
              <w:pStyle w:val="11"/>
            </w:pPr>
            <w:r>
              <w:t>3</w:t>
            </w:r>
          </w:p>
        </w:tc>
        <w:tc>
          <w:tcPr>
            <w:tcW w:w="1474" w:type="dxa"/>
            <w:vAlign w:val="center"/>
          </w:tcPr>
          <w:p w14:paraId="4F979C22">
            <w:pPr>
              <w:pStyle w:val="11"/>
            </w:pPr>
            <w:r>
              <w:t>4</w:t>
            </w:r>
          </w:p>
        </w:tc>
        <w:tc>
          <w:tcPr>
            <w:tcW w:w="1474" w:type="dxa"/>
            <w:vAlign w:val="center"/>
          </w:tcPr>
          <w:p w14:paraId="344BD98B">
            <w:pPr>
              <w:pStyle w:val="11"/>
            </w:pPr>
            <w:r>
              <w:t>5</w:t>
            </w:r>
          </w:p>
        </w:tc>
        <w:tc>
          <w:tcPr>
            <w:tcW w:w="1474" w:type="dxa"/>
            <w:vAlign w:val="center"/>
          </w:tcPr>
          <w:p w14:paraId="1E0A7AF7">
            <w:pPr>
              <w:pStyle w:val="11"/>
            </w:pPr>
            <w:r>
              <w:t>6</w:t>
            </w:r>
          </w:p>
        </w:tc>
        <w:tc>
          <w:tcPr>
            <w:tcW w:w="1474" w:type="dxa"/>
            <w:vAlign w:val="center"/>
          </w:tcPr>
          <w:p w14:paraId="320F13D5">
            <w:pPr>
              <w:pStyle w:val="11"/>
            </w:pPr>
            <w:r>
              <w:t>7</w:t>
            </w:r>
          </w:p>
        </w:tc>
      </w:tr>
      <w:tr w14:paraId="22AD8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A09C1">
            <w:pPr>
              <w:pStyle w:val="12"/>
            </w:pPr>
            <w:r>
              <w:t>1</w:t>
            </w:r>
          </w:p>
        </w:tc>
        <w:tc>
          <w:tcPr>
            <w:tcW w:w="3402" w:type="dxa"/>
            <w:vAlign w:val="center"/>
          </w:tcPr>
          <w:p w14:paraId="0909C385">
            <w:pPr>
              <w:pStyle w:val="13"/>
            </w:pPr>
            <w:r>
              <w:t>一、一般公共预算拨款</w:t>
            </w:r>
          </w:p>
        </w:tc>
        <w:tc>
          <w:tcPr>
            <w:tcW w:w="1474" w:type="dxa"/>
            <w:vAlign w:val="center"/>
          </w:tcPr>
          <w:p w14:paraId="2B3EC3D0">
            <w:pPr>
              <w:pStyle w:val="14"/>
            </w:pPr>
            <w:r>
              <w:t>2018.21</w:t>
            </w:r>
          </w:p>
        </w:tc>
        <w:tc>
          <w:tcPr>
            <w:tcW w:w="3402" w:type="dxa"/>
            <w:vAlign w:val="center"/>
          </w:tcPr>
          <w:p w14:paraId="3A293E2E">
            <w:pPr>
              <w:pStyle w:val="13"/>
            </w:pPr>
            <w:r>
              <w:t>一、一般公共服务支出</w:t>
            </w:r>
          </w:p>
        </w:tc>
        <w:tc>
          <w:tcPr>
            <w:tcW w:w="1474" w:type="dxa"/>
            <w:vAlign w:val="center"/>
          </w:tcPr>
          <w:p w14:paraId="254E8495">
            <w:pPr>
              <w:pStyle w:val="14"/>
            </w:pPr>
          </w:p>
        </w:tc>
        <w:tc>
          <w:tcPr>
            <w:tcW w:w="1474" w:type="dxa"/>
            <w:vAlign w:val="center"/>
          </w:tcPr>
          <w:p w14:paraId="50171814">
            <w:pPr>
              <w:pStyle w:val="14"/>
            </w:pPr>
          </w:p>
        </w:tc>
        <w:tc>
          <w:tcPr>
            <w:tcW w:w="1474" w:type="dxa"/>
            <w:vAlign w:val="center"/>
          </w:tcPr>
          <w:p w14:paraId="14A0F733">
            <w:pPr>
              <w:pStyle w:val="14"/>
            </w:pPr>
          </w:p>
        </w:tc>
        <w:tc>
          <w:tcPr>
            <w:tcW w:w="1474" w:type="dxa"/>
            <w:vAlign w:val="center"/>
          </w:tcPr>
          <w:p w14:paraId="5098DCA8">
            <w:pPr>
              <w:pStyle w:val="14"/>
            </w:pPr>
          </w:p>
        </w:tc>
      </w:tr>
      <w:tr w14:paraId="622C5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63B7F">
            <w:pPr>
              <w:pStyle w:val="12"/>
            </w:pPr>
            <w:r>
              <w:t>2</w:t>
            </w:r>
          </w:p>
        </w:tc>
        <w:tc>
          <w:tcPr>
            <w:tcW w:w="3402" w:type="dxa"/>
            <w:vAlign w:val="center"/>
          </w:tcPr>
          <w:p w14:paraId="66F5FE2B">
            <w:pPr>
              <w:pStyle w:val="13"/>
            </w:pPr>
            <w:r>
              <w:t>二、政府性基金预算拨款</w:t>
            </w:r>
          </w:p>
        </w:tc>
        <w:tc>
          <w:tcPr>
            <w:tcW w:w="1474" w:type="dxa"/>
            <w:vAlign w:val="center"/>
          </w:tcPr>
          <w:p w14:paraId="00D7CC28">
            <w:pPr>
              <w:pStyle w:val="14"/>
            </w:pPr>
          </w:p>
        </w:tc>
        <w:tc>
          <w:tcPr>
            <w:tcW w:w="3402" w:type="dxa"/>
            <w:vAlign w:val="center"/>
          </w:tcPr>
          <w:p w14:paraId="15643F96">
            <w:pPr>
              <w:pStyle w:val="13"/>
            </w:pPr>
            <w:r>
              <w:t>二、外交支出</w:t>
            </w:r>
          </w:p>
        </w:tc>
        <w:tc>
          <w:tcPr>
            <w:tcW w:w="1474" w:type="dxa"/>
            <w:vAlign w:val="center"/>
          </w:tcPr>
          <w:p w14:paraId="5F05D02E">
            <w:pPr>
              <w:pStyle w:val="14"/>
            </w:pPr>
          </w:p>
        </w:tc>
        <w:tc>
          <w:tcPr>
            <w:tcW w:w="1474" w:type="dxa"/>
            <w:vAlign w:val="center"/>
          </w:tcPr>
          <w:p w14:paraId="1A1ADE38">
            <w:pPr>
              <w:pStyle w:val="14"/>
            </w:pPr>
          </w:p>
        </w:tc>
        <w:tc>
          <w:tcPr>
            <w:tcW w:w="1474" w:type="dxa"/>
            <w:vAlign w:val="center"/>
          </w:tcPr>
          <w:p w14:paraId="79B0459E">
            <w:pPr>
              <w:pStyle w:val="14"/>
            </w:pPr>
          </w:p>
        </w:tc>
        <w:tc>
          <w:tcPr>
            <w:tcW w:w="1474" w:type="dxa"/>
            <w:vAlign w:val="center"/>
          </w:tcPr>
          <w:p w14:paraId="6053FA0C">
            <w:pPr>
              <w:pStyle w:val="14"/>
            </w:pPr>
          </w:p>
        </w:tc>
      </w:tr>
      <w:tr w14:paraId="50104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20A50">
            <w:pPr>
              <w:pStyle w:val="12"/>
            </w:pPr>
            <w:r>
              <w:t>3</w:t>
            </w:r>
          </w:p>
        </w:tc>
        <w:tc>
          <w:tcPr>
            <w:tcW w:w="3402" w:type="dxa"/>
            <w:vAlign w:val="center"/>
          </w:tcPr>
          <w:p w14:paraId="720B67A3">
            <w:pPr>
              <w:pStyle w:val="13"/>
            </w:pPr>
            <w:r>
              <w:t>三、国有资本经营预算拨款</w:t>
            </w:r>
          </w:p>
        </w:tc>
        <w:tc>
          <w:tcPr>
            <w:tcW w:w="1474" w:type="dxa"/>
            <w:vAlign w:val="center"/>
          </w:tcPr>
          <w:p w14:paraId="57285841">
            <w:pPr>
              <w:pStyle w:val="14"/>
            </w:pPr>
          </w:p>
        </w:tc>
        <w:tc>
          <w:tcPr>
            <w:tcW w:w="3402" w:type="dxa"/>
            <w:vAlign w:val="center"/>
          </w:tcPr>
          <w:p w14:paraId="6F451EAD">
            <w:pPr>
              <w:pStyle w:val="13"/>
            </w:pPr>
            <w:r>
              <w:t>三、国防支出</w:t>
            </w:r>
          </w:p>
        </w:tc>
        <w:tc>
          <w:tcPr>
            <w:tcW w:w="1474" w:type="dxa"/>
            <w:vAlign w:val="center"/>
          </w:tcPr>
          <w:p w14:paraId="334BD1F0">
            <w:pPr>
              <w:pStyle w:val="14"/>
            </w:pPr>
          </w:p>
        </w:tc>
        <w:tc>
          <w:tcPr>
            <w:tcW w:w="1474" w:type="dxa"/>
            <w:vAlign w:val="center"/>
          </w:tcPr>
          <w:p w14:paraId="23C2B159">
            <w:pPr>
              <w:pStyle w:val="14"/>
            </w:pPr>
          </w:p>
        </w:tc>
        <w:tc>
          <w:tcPr>
            <w:tcW w:w="1474" w:type="dxa"/>
            <w:vAlign w:val="center"/>
          </w:tcPr>
          <w:p w14:paraId="082FCC71">
            <w:pPr>
              <w:pStyle w:val="14"/>
            </w:pPr>
          </w:p>
        </w:tc>
        <w:tc>
          <w:tcPr>
            <w:tcW w:w="1474" w:type="dxa"/>
            <w:vAlign w:val="center"/>
          </w:tcPr>
          <w:p w14:paraId="33EB2883">
            <w:pPr>
              <w:pStyle w:val="14"/>
            </w:pPr>
          </w:p>
        </w:tc>
      </w:tr>
      <w:tr w14:paraId="5B8EA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FE4DCFF">
            <w:pPr>
              <w:pStyle w:val="12"/>
            </w:pPr>
            <w:r>
              <w:t>4</w:t>
            </w:r>
          </w:p>
        </w:tc>
        <w:tc>
          <w:tcPr>
            <w:tcW w:w="3402" w:type="dxa"/>
            <w:vAlign w:val="center"/>
          </w:tcPr>
          <w:p w14:paraId="2E93A0FF">
            <w:pPr>
              <w:pStyle w:val="13"/>
            </w:pPr>
          </w:p>
        </w:tc>
        <w:tc>
          <w:tcPr>
            <w:tcW w:w="1474" w:type="dxa"/>
            <w:vAlign w:val="center"/>
          </w:tcPr>
          <w:p w14:paraId="7DD6DDCE">
            <w:pPr>
              <w:pStyle w:val="14"/>
            </w:pPr>
          </w:p>
        </w:tc>
        <w:tc>
          <w:tcPr>
            <w:tcW w:w="3402" w:type="dxa"/>
            <w:vAlign w:val="center"/>
          </w:tcPr>
          <w:p w14:paraId="185DA351">
            <w:pPr>
              <w:pStyle w:val="13"/>
            </w:pPr>
            <w:r>
              <w:t>四、公共安全支出</w:t>
            </w:r>
          </w:p>
        </w:tc>
        <w:tc>
          <w:tcPr>
            <w:tcW w:w="1474" w:type="dxa"/>
            <w:vAlign w:val="center"/>
          </w:tcPr>
          <w:p w14:paraId="3CBBDB44">
            <w:pPr>
              <w:pStyle w:val="14"/>
            </w:pPr>
          </w:p>
        </w:tc>
        <w:tc>
          <w:tcPr>
            <w:tcW w:w="1474" w:type="dxa"/>
            <w:vAlign w:val="center"/>
          </w:tcPr>
          <w:p w14:paraId="77FAF4FB">
            <w:pPr>
              <w:pStyle w:val="14"/>
            </w:pPr>
          </w:p>
        </w:tc>
        <w:tc>
          <w:tcPr>
            <w:tcW w:w="1474" w:type="dxa"/>
            <w:vAlign w:val="center"/>
          </w:tcPr>
          <w:p w14:paraId="481500BC">
            <w:pPr>
              <w:pStyle w:val="14"/>
            </w:pPr>
          </w:p>
        </w:tc>
        <w:tc>
          <w:tcPr>
            <w:tcW w:w="1474" w:type="dxa"/>
            <w:vAlign w:val="center"/>
          </w:tcPr>
          <w:p w14:paraId="7F241F18">
            <w:pPr>
              <w:pStyle w:val="14"/>
            </w:pPr>
          </w:p>
        </w:tc>
      </w:tr>
      <w:tr w14:paraId="35A1F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77FF3">
            <w:pPr>
              <w:pStyle w:val="12"/>
            </w:pPr>
            <w:r>
              <w:t>5</w:t>
            </w:r>
          </w:p>
        </w:tc>
        <w:tc>
          <w:tcPr>
            <w:tcW w:w="3402" w:type="dxa"/>
            <w:vAlign w:val="center"/>
          </w:tcPr>
          <w:p w14:paraId="05CBD91A">
            <w:pPr>
              <w:pStyle w:val="13"/>
            </w:pPr>
          </w:p>
        </w:tc>
        <w:tc>
          <w:tcPr>
            <w:tcW w:w="1474" w:type="dxa"/>
            <w:vAlign w:val="center"/>
          </w:tcPr>
          <w:p w14:paraId="6716DE12">
            <w:pPr>
              <w:pStyle w:val="14"/>
            </w:pPr>
          </w:p>
        </w:tc>
        <w:tc>
          <w:tcPr>
            <w:tcW w:w="3402" w:type="dxa"/>
            <w:vAlign w:val="center"/>
          </w:tcPr>
          <w:p w14:paraId="55366F75">
            <w:pPr>
              <w:pStyle w:val="13"/>
            </w:pPr>
            <w:r>
              <w:t>五、教育支出</w:t>
            </w:r>
          </w:p>
        </w:tc>
        <w:tc>
          <w:tcPr>
            <w:tcW w:w="1474" w:type="dxa"/>
            <w:vAlign w:val="center"/>
          </w:tcPr>
          <w:p w14:paraId="7DA9C9F5">
            <w:pPr>
              <w:pStyle w:val="14"/>
            </w:pPr>
            <w:r>
              <w:t>2053.56</w:t>
            </w:r>
          </w:p>
        </w:tc>
        <w:tc>
          <w:tcPr>
            <w:tcW w:w="1474" w:type="dxa"/>
            <w:vAlign w:val="center"/>
          </w:tcPr>
          <w:p w14:paraId="23556968">
            <w:pPr>
              <w:pStyle w:val="14"/>
            </w:pPr>
            <w:r>
              <w:t>2053.56</w:t>
            </w:r>
          </w:p>
        </w:tc>
        <w:tc>
          <w:tcPr>
            <w:tcW w:w="1474" w:type="dxa"/>
            <w:vAlign w:val="center"/>
          </w:tcPr>
          <w:p w14:paraId="5CD6C5D1">
            <w:pPr>
              <w:pStyle w:val="14"/>
            </w:pPr>
          </w:p>
        </w:tc>
        <w:tc>
          <w:tcPr>
            <w:tcW w:w="1474" w:type="dxa"/>
            <w:vAlign w:val="center"/>
          </w:tcPr>
          <w:p w14:paraId="7EA74B2C">
            <w:pPr>
              <w:pStyle w:val="14"/>
            </w:pPr>
          </w:p>
        </w:tc>
      </w:tr>
      <w:tr w14:paraId="0BC16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4A03D9C">
            <w:pPr>
              <w:pStyle w:val="12"/>
            </w:pPr>
            <w:r>
              <w:t>6</w:t>
            </w:r>
          </w:p>
        </w:tc>
        <w:tc>
          <w:tcPr>
            <w:tcW w:w="3402" w:type="dxa"/>
            <w:vAlign w:val="center"/>
          </w:tcPr>
          <w:p w14:paraId="384BC6B8">
            <w:pPr>
              <w:pStyle w:val="13"/>
            </w:pPr>
          </w:p>
        </w:tc>
        <w:tc>
          <w:tcPr>
            <w:tcW w:w="1474" w:type="dxa"/>
            <w:vAlign w:val="center"/>
          </w:tcPr>
          <w:p w14:paraId="3AE2A765">
            <w:pPr>
              <w:pStyle w:val="14"/>
            </w:pPr>
          </w:p>
        </w:tc>
        <w:tc>
          <w:tcPr>
            <w:tcW w:w="3402" w:type="dxa"/>
            <w:vAlign w:val="center"/>
          </w:tcPr>
          <w:p w14:paraId="42FC0E05">
            <w:pPr>
              <w:pStyle w:val="13"/>
            </w:pPr>
            <w:r>
              <w:t>六、科学技术支出</w:t>
            </w:r>
          </w:p>
        </w:tc>
        <w:tc>
          <w:tcPr>
            <w:tcW w:w="1474" w:type="dxa"/>
            <w:vAlign w:val="center"/>
          </w:tcPr>
          <w:p w14:paraId="37DBAAE5">
            <w:pPr>
              <w:pStyle w:val="14"/>
            </w:pPr>
          </w:p>
        </w:tc>
        <w:tc>
          <w:tcPr>
            <w:tcW w:w="1474" w:type="dxa"/>
            <w:vAlign w:val="center"/>
          </w:tcPr>
          <w:p w14:paraId="64902A37">
            <w:pPr>
              <w:pStyle w:val="14"/>
            </w:pPr>
          </w:p>
        </w:tc>
        <w:tc>
          <w:tcPr>
            <w:tcW w:w="1474" w:type="dxa"/>
            <w:vAlign w:val="center"/>
          </w:tcPr>
          <w:p w14:paraId="3514B95B">
            <w:pPr>
              <w:pStyle w:val="14"/>
            </w:pPr>
          </w:p>
        </w:tc>
        <w:tc>
          <w:tcPr>
            <w:tcW w:w="1474" w:type="dxa"/>
            <w:vAlign w:val="center"/>
          </w:tcPr>
          <w:p w14:paraId="48D33D63">
            <w:pPr>
              <w:pStyle w:val="14"/>
            </w:pPr>
          </w:p>
        </w:tc>
      </w:tr>
      <w:tr w14:paraId="4AB6C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166CC">
            <w:pPr>
              <w:pStyle w:val="12"/>
            </w:pPr>
            <w:r>
              <w:t>7</w:t>
            </w:r>
          </w:p>
        </w:tc>
        <w:tc>
          <w:tcPr>
            <w:tcW w:w="3402" w:type="dxa"/>
            <w:vAlign w:val="center"/>
          </w:tcPr>
          <w:p w14:paraId="410CE495">
            <w:pPr>
              <w:pStyle w:val="13"/>
            </w:pPr>
          </w:p>
        </w:tc>
        <w:tc>
          <w:tcPr>
            <w:tcW w:w="1474" w:type="dxa"/>
            <w:vAlign w:val="center"/>
          </w:tcPr>
          <w:p w14:paraId="7A9D96F8">
            <w:pPr>
              <w:pStyle w:val="14"/>
            </w:pPr>
          </w:p>
        </w:tc>
        <w:tc>
          <w:tcPr>
            <w:tcW w:w="3402" w:type="dxa"/>
            <w:vAlign w:val="center"/>
          </w:tcPr>
          <w:p w14:paraId="44C2024A">
            <w:pPr>
              <w:pStyle w:val="13"/>
            </w:pPr>
            <w:r>
              <w:t>七、文化旅游体育与传媒支出</w:t>
            </w:r>
          </w:p>
        </w:tc>
        <w:tc>
          <w:tcPr>
            <w:tcW w:w="1474" w:type="dxa"/>
            <w:vAlign w:val="center"/>
          </w:tcPr>
          <w:p w14:paraId="4BA8D236">
            <w:pPr>
              <w:pStyle w:val="14"/>
            </w:pPr>
          </w:p>
        </w:tc>
        <w:tc>
          <w:tcPr>
            <w:tcW w:w="1474" w:type="dxa"/>
            <w:vAlign w:val="center"/>
          </w:tcPr>
          <w:p w14:paraId="7A82DB6F">
            <w:pPr>
              <w:pStyle w:val="14"/>
            </w:pPr>
          </w:p>
        </w:tc>
        <w:tc>
          <w:tcPr>
            <w:tcW w:w="1474" w:type="dxa"/>
            <w:vAlign w:val="center"/>
          </w:tcPr>
          <w:p w14:paraId="35CC0153">
            <w:pPr>
              <w:pStyle w:val="14"/>
            </w:pPr>
          </w:p>
        </w:tc>
        <w:tc>
          <w:tcPr>
            <w:tcW w:w="1474" w:type="dxa"/>
            <w:vAlign w:val="center"/>
          </w:tcPr>
          <w:p w14:paraId="0EC15F13">
            <w:pPr>
              <w:pStyle w:val="14"/>
            </w:pPr>
          </w:p>
        </w:tc>
      </w:tr>
      <w:tr w14:paraId="25C13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D721B50">
            <w:pPr>
              <w:pStyle w:val="12"/>
            </w:pPr>
            <w:r>
              <w:t>8</w:t>
            </w:r>
          </w:p>
        </w:tc>
        <w:tc>
          <w:tcPr>
            <w:tcW w:w="3402" w:type="dxa"/>
            <w:vAlign w:val="center"/>
          </w:tcPr>
          <w:p w14:paraId="0E6D58A6">
            <w:pPr>
              <w:pStyle w:val="13"/>
            </w:pPr>
          </w:p>
        </w:tc>
        <w:tc>
          <w:tcPr>
            <w:tcW w:w="1474" w:type="dxa"/>
            <w:vAlign w:val="center"/>
          </w:tcPr>
          <w:p w14:paraId="1F464326">
            <w:pPr>
              <w:pStyle w:val="14"/>
            </w:pPr>
          </w:p>
        </w:tc>
        <w:tc>
          <w:tcPr>
            <w:tcW w:w="3402" w:type="dxa"/>
            <w:vAlign w:val="center"/>
          </w:tcPr>
          <w:p w14:paraId="352062D1">
            <w:pPr>
              <w:pStyle w:val="13"/>
            </w:pPr>
            <w:r>
              <w:t>八、社会保障和就业支出</w:t>
            </w:r>
          </w:p>
        </w:tc>
        <w:tc>
          <w:tcPr>
            <w:tcW w:w="1474" w:type="dxa"/>
            <w:vAlign w:val="center"/>
          </w:tcPr>
          <w:p w14:paraId="346B339B">
            <w:pPr>
              <w:pStyle w:val="14"/>
            </w:pPr>
          </w:p>
        </w:tc>
        <w:tc>
          <w:tcPr>
            <w:tcW w:w="1474" w:type="dxa"/>
            <w:vAlign w:val="center"/>
          </w:tcPr>
          <w:p w14:paraId="084DEE3F">
            <w:pPr>
              <w:pStyle w:val="14"/>
            </w:pPr>
          </w:p>
        </w:tc>
        <w:tc>
          <w:tcPr>
            <w:tcW w:w="1474" w:type="dxa"/>
            <w:vAlign w:val="center"/>
          </w:tcPr>
          <w:p w14:paraId="7B8F1FD3">
            <w:pPr>
              <w:pStyle w:val="14"/>
            </w:pPr>
          </w:p>
        </w:tc>
        <w:tc>
          <w:tcPr>
            <w:tcW w:w="1474" w:type="dxa"/>
            <w:vAlign w:val="center"/>
          </w:tcPr>
          <w:p w14:paraId="5A18E4F0">
            <w:pPr>
              <w:pStyle w:val="14"/>
            </w:pPr>
          </w:p>
        </w:tc>
      </w:tr>
      <w:tr w14:paraId="63A5F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52194C8">
            <w:pPr>
              <w:pStyle w:val="12"/>
            </w:pPr>
            <w:r>
              <w:t>9</w:t>
            </w:r>
          </w:p>
        </w:tc>
        <w:tc>
          <w:tcPr>
            <w:tcW w:w="3402" w:type="dxa"/>
            <w:vAlign w:val="center"/>
          </w:tcPr>
          <w:p w14:paraId="723A9444">
            <w:pPr>
              <w:pStyle w:val="13"/>
            </w:pPr>
          </w:p>
        </w:tc>
        <w:tc>
          <w:tcPr>
            <w:tcW w:w="1474" w:type="dxa"/>
            <w:vAlign w:val="center"/>
          </w:tcPr>
          <w:p w14:paraId="4A540409">
            <w:pPr>
              <w:pStyle w:val="14"/>
            </w:pPr>
          </w:p>
        </w:tc>
        <w:tc>
          <w:tcPr>
            <w:tcW w:w="3402" w:type="dxa"/>
            <w:vAlign w:val="center"/>
          </w:tcPr>
          <w:p w14:paraId="160CCEBF">
            <w:pPr>
              <w:pStyle w:val="13"/>
            </w:pPr>
            <w:r>
              <w:t>九、社会保险基金支出</w:t>
            </w:r>
          </w:p>
        </w:tc>
        <w:tc>
          <w:tcPr>
            <w:tcW w:w="1474" w:type="dxa"/>
            <w:vAlign w:val="center"/>
          </w:tcPr>
          <w:p w14:paraId="1CBE2CAF">
            <w:pPr>
              <w:pStyle w:val="14"/>
            </w:pPr>
          </w:p>
        </w:tc>
        <w:tc>
          <w:tcPr>
            <w:tcW w:w="1474" w:type="dxa"/>
            <w:vAlign w:val="center"/>
          </w:tcPr>
          <w:p w14:paraId="6BBC3AF5">
            <w:pPr>
              <w:pStyle w:val="14"/>
            </w:pPr>
          </w:p>
        </w:tc>
        <w:tc>
          <w:tcPr>
            <w:tcW w:w="1474" w:type="dxa"/>
            <w:vAlign w:val="center"/>
          </w:tcPr>
          <w:p w14:paraId="63CF4D1D">
            <w:pPr>
              <w:pStyle w:val="14"/>
            </w:pPr>
          </w:p>
        </w:tc>
        <w:tc>
          <w:tcPr>
            <w:tcW w:w="1474" w:type="dxa"/>
            <w:vAlign w:val="center"/>
          </w:tcPr>
          <w:p w14:paraId="5BEAA8C2">
            <w:pPr>
              <w:pStyle w:val="14"/>
            </w:pPr>
          </w:p>
        </w:tc>
      </w:tr>
      <w:tr w14:paraId="3ACBB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F157A">
            <w:pPr>
              <w:pStyle w:val="12"/>
            </w:pPr>
            <w:r>
              <w:t>10</w:t>
            </w:r>
          </w:p>
        </w:tc>
        <w:tc>
          <w:tcPr>
            <w:tcW w:w="3402" w:type="dxa"/>
            <w:vAlign w:val="center"/>
          </w:tcPr>
          <w:p w14:paraId="3ABF5D2F">
            <w:pPr>
              <w:pStyle w:val="13"/>
            </w:pPr>
          </w:p>
        </w:tc>
        <w:tc>
          <w:tcPr>
            <w:tcW w:w="1474" w:type="dxa"/>
            <w:vAlign w:val="center"/>
          </w:tcPr>
          <w:p w14:paraId="772283D5">
            <w:pPr>
              <w:pStyle w:val="14"/>
            </w:pPr>
          </w:p>
        </w:tc>
        <w:tc>
          <w:tcPr>
            <w:tcW w:w="3402" w:type="dxa"/>
            <w:vAlign w:val="center"/>
          </w:tcPr>
          <w:p w14:paraId="095C3B0B">
            <w:pPr>
              <w:pStyle w:val="13"/>
            </w:pPr>
            <w:r>
              <w:t>十、卫生健康支出</w:t>
            </w:r>
          </w:p>
        </w:tc>
        <w:tc>
          <w:tcPr>
            <w:tcW w:w="1474" w:type="dxa"/>
            <w:vAlign w:val="center"/>
          </w:tcPr>
          <w:p w14:paraId="21AB26B9">
            <w:pPr>
              <w:pStyle w:val="14"/>
            </w:pPr>
          </w:p>
        </w:tc>
        <w:tc>
          <w:tcPr>
            <w:tcW w:w="1474" w:type="dxa"/>
            <w:vAlign w:val="center"/>
          </w:tcPr>
          <w:p w14:paraId="596B748F">
            <w:pPr>
              <w:pStyle w:val="14"/>
            </w:pPr>
          </w:p>
        </w:tc>
        <w:tc>
          <w:tcPr>
            <w:tcW w:w="1474" w:type="dxa"/>
            <w:vAlign w:val="center"/>
          </w:tcPr>
          <w:p w14:paraId="3D0C245E">
            <w:pPr>
              <w:pStyle w:val="14"/>
            </w:pPr>
          </w:p>
        </w:tc>
        <w:tc>
          <w:tcPr>
            <w:tcW w:w="1474" w:type="dxa"/>
            <w:vAlign w:val="center"/>
          </w:tcPr>
          <w:p w14:paraId="1928F608">
            <w:pPr>
              <w:pStyle w:val="14"/>
            </w:pPr>
          </w:p>
        </w:tc>
      </w:tr>
      <w:tr w14:paraId="4DC98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FF516">
            <w:pPr>
              <w:pStyle w:val="12"/>
            </w:pPr>
            <w:r>
              <w:t>11</w:t>
            </w:r>
          </w:p>
        </w:tc>
        <w:tc>
          <w:tcPr>
            <w:tcW w:w="3402" w:type="dxa"/>
            <w:vAlign w:val="center"/>
          </w:tcPr>
          <w:p w14:paraId="580288CF">
            <w:pPr>
              <w:pStyle w:val="13"/>
            </w:pPr>
          </w:p>
        </w:tc>
        <w:tc>
          <w:tcPr>
            <w:tcW w:w="1474" w:type="dxa"/>
            <w:vAlign w:val="center"/>
          </w:tcPr>
          <w:p w14:paraId="43E7137C">
            <w:pPr>
              <w:pStyle w:val="14"/>
            </w:pPr>
          </w:p>
        </w:tc>
        <w:tc>
          <w:tcPr>
            <w:tcW w:w="3402" w:type="dxa"/>
            <w:vAlign w:val="center"/>
          </w:tcPr>
          <w:p w14:paraId="2E21E889">
            <w:pPr>
              <w:pStyle w:val="13"/>
            </w:pPr>
            <w:r>
              <w:t>十一、节能环保支出</w:t>
            </w:r>
          </w:p>
        </w:tc>
        <w:tc>
          <w:tcPr>
            <w:tcW w:w="1474" w:type="dxa"/>
            <w:vAlign w:val="center"/>
          </w:tcPr>
          <w:p w14:paraId="7AE04569">
            <w:pPr>
              <w:pStyle w:val="14"/>
            </w:pPr>
          </w:p>
        </w:tc>
        <w:tc>
          <w:tcPr>
            <w:tcW w:w="1474" w:type="dxa"/>
            <w:vAlign w:val="center"/>
          </w:tcPr>
          <w:p w14:paraId="4AC560DA">
            <w:pPr>
              <w:pStyle w:val="14"/>
            </w:pPr>
          </w:p>
        </w:tc>
        <w:tc>
          <w:tcPr>
            <w:tcW w:w="1474" w:type="dxa"/>
            <w:vAlign w:val="center"/>
          </w:tcPr>
          <w:p w14:paraId="13A70ABB">
            <w:pPr>
              <w:pStyle w:val="14"/>
            </w:pPr>
          </w:p>
        </w:tc>
        <w:tc>
          <w:tcPr>
            <w:tcW w:w="1474" w:type="dxa"/>
            <w:vAlign w:val="center"/>
          </w:tcPr>
          <w:p w14:paraId="67C86648">
            <w:pPr>
              <w:pStyle w:val="14"/>
            </w:pPr>
          </w:p>
        </w:tc>
      </w:tr>
      <w:tr w14:paraId="5FE3F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3CE74">
            <w:pPr>
              <w:pStyle w:val="12"/>
            </w:pPr>
            <w:r>
              <w:t>12</w:t>
            </w:r>
          </w:p>
        </w:tc>
        <w:tc>
          <w:tcPr>
            <w:tcW w:w="3402" w:type="dxa"/>
            <w:vAlign w:val="center"/>
          </w:tcPr>
          <w:p w14:paraId="278CD5E1">
            <w:pPr>
              <w:pStyle w:val="13"/>
            </w:pPr>
          </w:p>
        </w:tc>
        <w:tc>
          <w:tcPr>
            <w:tcW w:w="1474" w:type="dxa"/>
            <w:vAlign w:val="center"/>
          </w:tcPr>
          <w:p w14:paraId="0BFD31D6">
            <w:pPr>
              <w:pStyle w:val="14"/>
            </w:pPr>
          </w:p>
        </w:tc>
        <w:tc>
          <w:tcPr>
            <w:tcW w:w="3402" w:type="dxa"/>
            <w:vAlign w:val="center"/>
          </w:tcPr>
          <w:p w14:paraId="6B1AD057">
            <w:pPr>
              <w:pStyle w:val="13"/>
            </w:pPr>
            <w:r>
              <w:t>十二、城乡社区支出</w:t>
            </w:r>
          </w:p>
        </w:tc>
        <w:tc>
          <w:tcPr>
            <w:tcW w:w="1474" w:type="dxa"/>
            <w:vAlign w:val="center"/>
          </w:tcPr>
          <w:p w14:paraId="3B93CB17">
            <w:pPr>
              <w:pStyle w:val="14"/>
            </w:pPr>
          </w:p>
        </w:tc>
        <w:tc>
          <w:tcPr>
            <w:tcW w:w="1474" w:type="dxa"/>
            <w:vAlign w:val="center"/>
          </w:tcPr>
          <w:p w14:paraId="3366C1DD">
            <w:pPr>
              <w:pStyle w:val="14"/>
            </w:pPr>
          </w:p>
        </w:tc>
        <w:tc>
          <w:tcPr>
            <w:tcW w:w="1474" w:type="dxa"/>
            <w:vAlign w:val="center"/>
          </w:tcPr>
          <w:p w14:paraId="55ED9FBB">
            <w:pPr>
              <w:pStyle w:val="14"/>
            </w:pPr>
          </w:p>
        </w:tc>
        <w:tc>
          <w:tcPr>
            <w:tcW w:w="1474" w:type="dxa"/>
            <w:vAlign w:val="center"/>
          </w:tcPr>
          <w:p w14:paraId="2F910DE5">
            <w:pPr>
              <w:pStyle w:val="14"/>
            </w:pPr>
          </w:p>
        </w:tc>
      </w:tr>
      <w:tr w14:paraId="0C429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516F7E4">
            <w:pPr>
              <w:pStyle w:val="12"/>
            </w:pPr>
            <w:r>
              <w:t>13</w:t>
            </w:r>
          </w:p>
        </w:tc>
        <w:tc>
          <w:tcPr>
            <w:tcW w:w="3402" w:type="dxa"/>
            <w:vAlign w:val="center"/>
          </w:tcPr>
          <w:p w14:paraId="0A4BE15C">
            <w:pPr>
              <w:pStyle w:val="13"/>
            </w:pPr>
          </w:p>
        </w:tc>
        <w:tc>
          <w:tcPr>
            <w:tcW w:w="1474" w:type="dxa"/>
            <w:vAlign w:val="center"/>
          </w:tcPr>
          <w:p w14:paraId="4139D5F0">
            <w:pPr>
              <w:pStyle w:val="14"/>
            </w:pPr>
          </w:p>
        </w:tc>
        <w:tc>
          <w:tcPr>
            <w:tcW w:w="3402" w:type="dxa"/>
            <w:vAlign w:val="center"/>
          </w:tcPr>
          <w:p w14:paraId="1AFDB7DC">
            <w:pPr>
              <w:pStyle w:val="13"/>
            </w:pPr>
            <w:r>
              <w:t>十三、农林水支出</w:t>
            </w:r>
          </w:p>
        </w:tc>
        <w:tc>
          <w:tcPr>
            <w:tcW w:w="1474" w:type="dxa"/>
            <w:vAlign w:val="center"/>
          </w:tcPr>
          <w:p w14:paraId="58F0A0C7">
            <w:pPr>
              <w:pStyle w:val="14"/>
            </w:pPr>
          </w:p>
        </w:tc>
        <w:tc>
          <w:tcPr>
            <w:tcW w:w="1474" w:type="dxa"/>
            <w:vAlign w:val="center"/>
          </w:tcPr>
          <w:p w14:paraId="218933E6">
            <w:pPr>
              <w:pStyle w:val="14"/>
            </w:pPr>
          </w:p>
        </w:tc>
        <w:tc>
          <w:tcPr>
            <w:tcW w:w="1474" w:type="dxa"/>
            <w:vAlign w:val="center"/>
          </w:tcPr>
          <w:p w14:paraId="3DF3C51E">
            <w:pPr>
              <w:pStyle w:val="14"/>
            </w:pPr>
          </w:p>
        </w:tc>
        <w:tc>
          <w:tcPr>
            <w:tcW w:w="1474" w:type="dxa"/>
            <w:vAlign w:val="center"/>
          </w:tcPr>
          <w:p w14:paraId="2EBA3F9E">
            <w:pPr>
              <w:pStyle w:val="14"/>
            </w:pPr>
          </w:p>
        </w:tc>
      </w:tr>
      <w:tr w14:paraId="1AECB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408C3B6">
            <w:pPr>
              <w:pStyle w:val="12"/>
            </w:pPr>
            <w:r>
              <w:t>14</w:t>
            </w:r>
          </w:p>
        </w:tc>
        <w:tc>
          <w:tcPr>
            <w:tcW w:w="3402" w:type="dxa"/>
            <w:vAlign w:val="center"/>
          </w:tcPr>
          <w:p w14:paraId="4A2007BD">
            <w:pPr>
              <w:pStyle w:val="13"/>
            </w:pPr>
          </w:p>
        </w:tc>
        <w:tc>
          <w:tcPr>
            <w:tcW w:w="1474" w:type="dxa"/>
            <w:vAlign w:val="center"/>
          </w:tcPr>
          <w:p w14:paraId="2A44B700">
            <w:pPr>
              <w:pStyle w:val="14"/>
            </w:pPr>
          </w:p>
        </w:tc>
        <w:tc>
          <w:tcPr>
            <w:tcW w:w="3402" w:type="dxa"/>
            <w:vAlign w:val="center"/>
          </w:tcPr>
          <w:p w14:paraId="3BFC470C">
            <w:pPr>
              <w:pStyle w:val="13"/>
            </w:pPr>
            <w:r>
              <w:t>十四、交通运输支出</w:t>
            </w:r>
          </w:p>
        </w:tc>
        <w:tc>
          <w:tcPr>
            <w:tcW w:w="1474" w:type="dxa"/>
            <w:vAlign w:val="center"/>
          </w:tcPr>
          <w:p w14:paraId="6DAE7A39">
            <w:pPr>
              <w:pStyle w:val="14"/>
            </w:pPr>
          </w:p>
        </w:tc>
        <w:tc>
          <w:tcPr>
            <w:tcW w:w="1474" w:type="dxa"/>
            <w:vAlign w:val="center"/>
          </w:tcPr>
          <w:p w14:paraId="01A27591">
            <w:pPr>
              <w:pStyle w:val="14"/>
            </w:pPr>
          </w:p>
        </w:tc>
        <w:tc>
          <w:tcPr>
            <w:tcW w:w="1474" w:type="dxa"/>
            <w:vAlign w:val="center"/>
          </w:tcPr>
          <w:p w14:paraId="46FB11AD">
            <w:pPr>
              <w:pStyle w:val="14"/>
            </w:pPr>
          </w:p>
        </w:tc>
        <w:tc>
          <w:tcPr>
            <w:tcW w:w="1474" w:type="dxa"/>
            <w:vAlign w:val="center"/>
          </w:tcPr>
          <w:p w14:paraId="7CF3B198">
            <w:pPr>
              <w:pStyle w:val="14"/>
            </w:pPr>
          </w:p>
        </w:tc>
      </w:tr>
      <w:tr w14:paraId="6A6CA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1466F">
            <w:pPr>
              <w:pStyle w:val="12"/>
            </w:pPr>
            <w:r>
              <w:t>15</w:t>
            </w:r>
          </w:p>
        </w:tc>
        <w:tc>
          <w:tcPr>
            <w:tcW w:w="3402" w:type="dxa"/>
            <w:vAlign w:val="center"/>
          </w:tcPr>
          <w:p w14:paraId="79F8CFE8">
            <w:pPr>
              <w:pStyle w:val="13"/>
            </w:pPr>
          </w:p>
        </w:tc>
        <w:tc>
          <w:tcPr>
            <w:tcW w:w="1474" w:type="dxa"/>
            <w:vAlign w:val="center"/>
          </w:tcPr>
          <w:p w14:paraId="4A37DDC3">
            <w:pPr>
              <w:pStyle w:val="14"/>
            </w:pPr>
          </w:p>
        </w:tc>
        <w:tc>
          <w:tcPr>
            <w:tcW w:w="3402" w:type="dxa"/>
            <w:vAlign w:val="center"/>
          </w:tcPr>
          <w:p w14:paraId="3A0174FA">
            <w:pPr>
              <w:pStyle w:val="13"/>
            </w:pPr>
            <w:r>
              <w:t>十五、资源勘探工业信息等支出</w:t>
            </w:r>
          </w:p>
        </w:tc>
        <w:tc>
          <w:tcPr>
            <w:tcW w:w="1474" w:type="dxa"/>
            <w:vAlign w:val="center"/>
          </w:tcPr>
          <w:p w14:paraId="0CCFEC88">
            <w:pPr>
              <w:pStyle w:val="14"/>
            </w:pPr>
          </w:p>
        </w:tc>
        <w:tc>
          <w:tcPr>
            <w:tcW w:w="1474" w:type="dxa"/>
            <w:vAlign w:val="center"/>
          </w:tcPr>
          <w:p w14:paraId="632A2B38">
            <w:pPr>
              <w:pStyle w:val="14"/>
            </w:pPr>
          </w:p>
        </w:tc>
        <w:tc>
          <w:tcPr>
            <w:tcW w:w="1474" w:type="dxa"/>
            <w:vAlign w:val="center"/>
          </w:tcPr>
          <w:p w14:paraId="477DF046">
            <w:pPr>
              <w:pStyle w:val="14"/>
            </w:pPr>
          </w:p>
        </w:tc>
        <w:tc>
          <w:tcPr>
            <w:tcW w:w="1474" w:type="dxa"/>
            <w:vAlign w:val="center"/>
          </w:tcPr>
          <w:p w14:paraId="2D326FC9">
            <w:pPr>
              <w:pStyle w:val="14"/>
            </w:pPr>
          </w:p>
        </w:tc>
      </w:tr>
      <w:tr w14:paraId="07C6F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CC083">
            <w:pPr>
              <w:pStyle w:val="12"/>
            </w:pPr>
            <w:r>
              <w:t>16</w:t>
            </w:r>
          </w:p>
        </w:tc>
        <w:tc>
          <w:tcPr>
            <w:tcW w:w="3402" w:type="dxa"/>
            <w:vAlign w:val="center"/>
          </w:tcPr>
          <w:p w14:paraId="3C9F5AE0">
            <w:pPr>
              <w:pStyle w:val="13"/>
            </w:pPr>
          </w:p>
        </w:tc>
        <w:tc>
          <w:tcPr>
            <w:tcW w:w="1474" w:type="dxa"/>
            <w:vAlign w:val="center"/>
          </w:tcPr>
          <w:p w14:paraId="14A46864">
            <w:pPr>
              <w:pStyle w:val="14"/>
            </w:pPr>
          </w:p>
        </w:tc>
        <w:tc>
          <w:tcPr>
            <w:tcW w:w="3402" w:type="dxa"/>
            <w:vAlign w:val="center"/>
          </w:tcPr>
          <w:p w14:paraId="656147DA">
            <w:pPr>
              <w:pStyle w:val="13"/>
            </w:pPr>
            <w:r>
              <w:t>十六、商业服务业等支出</w:t>
            </w:r>
          </w:p>
        </w:tc>
        <w:tc>
          <w:tcPr>
            <w:tcW w:w="1474" w:type="dxa"/>
            <w:vAlign w:val="center"/>
          </w:tcPr>
          <w:p w14:paraId="56607803">
            <w:pPr>
              <w:pStyle w:val="14"/>
            </w:pPr>
          </w:p>
        </w:tc>
        <w:tc>
          <w:tcPr>
            <w:tcW w:w="1474" w:type="dxa"/>
            <w:vAlign w:val="center"/>
          </w:tcPr>
          <w:p w14:paraId="47AC4824">
            <w:pPr>
              <w:pStyle w:val="14"/>
            </w:pPr>
          </w:p>
        </w:tc>
        <w:tc>
          <w:tcPr>
            <w:tcW w:w="1474" w:type="dxa"/>
            <w:vAlign w:val="center"/>
          </w:tcPr>
          <w:p w14:paraId="2B889691">
            <w:pPr>
              <w:pStyle w:val="14"/>
            </w:pPr>
          </w:p>
        </w:tc>
        <w:tc>
          <w:tcPr>
            <w:tcW w:w="1474" w:type="dxa"/>
            <w:vAlign w:val="center"/>
          </w:tcPr>
          <w:p w14:paraId="0B922F69">
            <w:pPr>
              <w:pStyle w:val="14"/>
            </w:pPr>
          </w:p>
        </w:tc>
      </w:tr>
      <w:tr w14:paraId="45726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3923D">
            <w:pPr>
              <w:pStyle w:val="12"/>
            </w:pPr>
            <w:r>
              <w:t>17</w:t>
            </w:r>
          </w:p>
        </w:tc>
        <w:tc>
          <w:tcPr>
            <w:tcW w:w="3402" w:type="dxa"/>
            <w:vAlign w:val="center"/>
          </w:tcPr>
          <w:p w14:paraId="679E59F4">
            <w:pPr>
              <w:pStyle w:val="13"/>
            </w:pPr>
          </w:p>
        </w:tc>
        <w:tc>
          <w:tcPr>
            <w:tcW w:w="1474" w:type="dxa"/>
            <w:vAlign w:val="center"/>
          </w:tcPr>
          <w:p w14:paraId="10EE6E8E">
            <w:pPr>
              <w:pStyle w:val="14"/>
            </w:pPr>
          </w:p>
        </w:tc>
        <w:tc>
          <w:tcPr>
            <w:tcW w:w="3402" w:type="dxa"/>
            <w:vAlign w:val="center"/>
          </w:tcPr>
          <w:p w14:paraId="4E02C2EC">
            <w:pPr>
              <w:pStyle w:val="13"/>
            </w:pPr>
            <w:r>
              <w:t>十七、金融支出</w:t>
            </w:r>
          </w:p>
        </w:tc>
        <w:tc>
          <w:tcPr>
            <w:tcW w:w="1474" w:type="dxa"/>
            <w:vAlign w:val="center"/>
          </w:tcPr>
          <w:p w14:paraId="19293059">
            <w:pPr>
              <w:pStyle w:val="14"/>
            </w:pPr>
          </w:p>
        </w:tc>
        <w:tc>
          <w:tcPr>
            <w:tcW w:w="1474" w:type="dxa"/>
            <w:vAlign w:val="center"/>
          </w:tcPr>
          <w:p w14:paraId="42FBAD65">
            <w:pPr>
              <w:pStyle w:val="14"/>
            </w:pPr>
          </w:p>
        </w:tc>
        <w:tc>
          <w:tcPr>
            <w:tcW w:w="1474" w:type="dxa"/>
            <w:vAlign w:val="center"/>
          </w:tcPr>
          <w:p w14:paraId="7E4DAE53">
            <w:pPr>
              <w:pStyle w:val="14"/>
            </w:pPr>
          </w:p>
        </w:tc>
        <w:tc>
          <w:tcPr>
            <w:tcW w:w="1474" w:type="dxa"/>
            <w:vAlign w:val="center"/>
          </w:tcPr>
          <w:p w14:paraId="5A970BCE">
            <w:pPr>
              <w:pStyle w:val="14"/>
            </w:pPr>
          </w:p>
        </w:tc>
      </w:tr>
      <w:tr w14:paraId="322EF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F1682">
            <w:pPr>
              <w:pStyle w:val="12"/>
            </w:pPr>
            <w:r>
              <w:t>18</w:t>
            </w:r>
          </w:p>
        </w:tc>
        <w:tc>
          <w:tcPr>
            <w:tcW w:w="3402" w:type="dxa"/>
            <w:vAlign w:val="center"/>
          </w:tcPr>
          <w:p w14:paraId="7A493036">
            <w:pPr>
              <w:pStyle w:val="13"/>
            </w:pPr>
          </w:p>
        </w:tc>
        <w:tc>
          <w:tcPr>
            <w:tcW w:w="1474" w:type="dxa"/>
            <w:vAlign w:val="center"/>
          </w:tcPr>
          <w:p w14:paraId="73BB3481">
            <w:pPr>
              <w:pStyle w:val="14"/>
            </w:pPr>
          </w:p>
        </w:tc>
        <w:tc>
          <w:tcPr>
            <w:tcW w:w="3402" w:type="dxa"/>
            <w:vAlign w:val="center"/>
          </w:tcPr>
          <w:p w14:paraId="76AB427B">
            <w:pPr>
              <w:pStyle w:val="13"/>
            </w:pPr>
            <w:r>
              <w:t>十八、援助其他地区支出</w:t>
            </w:r>
          </w:p>
        </w:tc>
        <w:tc>
          <w:tcPr>
            <w:tcW w:w="1474" w:type="dxa"/>
            <w:vAlign w:val="center"/>
          </w:tcPr>
          <w:p w14:paraId="40CB8F62">
            <w:pPr>
              <w:pStyle w:val="14"/>
            </w:pPr>
          </w:p>
        </w:tc>
        <w:tc>
          <w:tcPr>
            <w:tcW w:w="1474" w:type="dxa"/>
            <w:vAlign w:val="center"/>
          </w:tcPr>
          <w:p w14:paraId="0F19A34A">
            <w:pPr>
              <w:pStyle w:val="14"/>
            </w:pPr>
          </w:p>
        </w:tc>
        <w:tc>
          <w:tcPr>
            <w:tcW w:w="1474" w:type="dxa"/>
            <w:vAlign w:val="center"/>
          </w:tcPr>
          <w:p w14:paraId="20FF62BE">
            <w:pPr>
              <w:pStyle w:val="14"/>
            </w:pPr>
          </w:p>
        </w:tc>
        <w:tc>
          <w:tcPr>
            <w:tcW w:w="1474" w:type="dxa"/>
            <w:vAlign w:val="center"/>
          </w:tcPr>
          <w:p w14:paraId="6D085ECD">
            <w:pPr>
              <w:pStyle w:val="14"/>
            </w:pPr>
          </w:p>
        </w:tc>
      </w:tr>
      <w:tr w14:paraId="544F5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A4B31">
            <w:pPr>
              <w:pStyle w:val="12"/>
            </w:pPr>
            <w:r>
              <w:t>19</w:t>
            </w:r>
          </w:p>
        </w:tc>
        <w:tc>
          <w:tcPr>
            <w:tcW w:w="3402" w:type="dxa"/>
            <w:vAlign w:val="center"/>
          </w:tcPr>
          <w:p w14:paraId="05964203">
            <w:pPr>
              <w:pStyle w:val="13"/>
            </w:pPr>
          </w:p>
        </w:tc>
        <w:tc>
          <w:tcPr>
            <w:tcW w:w="1474" w:type="dxa"/>
            <w:vAlign w:val="center"/>
          </w:tcPr>
          <w:p w14:paraId="4FF98033">
            <w:pPr>
              <w:pStyle w:val="14"/>
            </w:pPr>
          </w:p>
        </w:tc>
        <w:tc>
          <w:tcPr>
            <w:tcW w:w="3402" w:type="dxa"/>
            <w:vAlign w:val="center"/>
          </w:tcPr>
          <w:p w14:paraId="61EFB683">
            <w:pPr>
              <w:pStyle w:val="13"/>
            </w:pPr>
            <w:r>
              <w:t>十九、自然资源海洋气象等支出</w:t>
            </w:r>
          </w:p>
        </w:tc>
        <w:tc>
          <w:tcPr>
            <w:tcW w:w="1474" w:type="dxa"/>
            <w:vAlign w:val="center"/>
          </w:tcPr>
          <w:p w14:paraId="70DBEE2B">
            <w:pPr>
              <w:pStyle w:val="14"/>
            </w:pPr>
          </w:p>
        </w:tc>
        <w:tc>
          <w:tcPr>
            <w:tcW w:w="1474" w:type="dxa"/>
            <w:vAlign w:val="center"/>
          </w:tcPr>
          <w:p w14:paraId="362E2769">
            <w:pPr>
              <w:pStyle w:val="14"/>
            </w:pPr>
          </w:p>
        </w:tc>
        <w:tc>
          <w:tcPr>
            <w:tcW w:w="1474" w:type="dxa"/>
            <w:vAlign w:val="center"/>
          </w:tcPr>
          <w:p w14:paraId="446B9319">
            <w:pPr>
              <w:pStyle w:val="14"/>
            </w:pPr>
          </w:p>
        </w:tc>
        <w:tc>
          <w:tcPr>
            <w:tcW w:w="1474" w:type="dxa"/>
            <w:vAlign w:val="center"/>
          </w:tcPr>
          <w:p w14:paraId="489FB660">
            <w:pPr>
              <w:pStyle w:val="14"/>
            </w:pPr>
          </w:p>
        </w:tc>
      </w:tr>
      <w:tr w14:paraId="438DF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AABC9">
            <w:pPr>
              <w:pStyle w:val="12"/>
            </w:pPr>
            <w:r>
              <w:t>20</w:t>
            </w:r>
          </w:p>
        </w:tc>
        <w:tc>
          <w:tcPr>
            <w:tcW w:w="3402" w:type="dxa"/>
            <w:vAlign w:val="center"/>
          </w:tcPr>
          <w:p w14:paraId="35DEEC80">
            <w:pPr>
              <w:pStyle w:val="13"/>
            </w:pPr>
          </w:p>
        </w:tc>
        <w:tc>
          <w:tcPr>
            <w:tcW w:w="1474" w:type="dxa"/>
            <w:vAlign w:val="center"/>
          </w:tcPr>
          <w:p w14:paraId="432A56FA">
            <w:pPr>
              <w:pStyle w:val="14"/>
            </w:pPr>
          </w:p>
        </w:tc>
        <w:tc>
          <w:tcPr>
            <w:tcW w:w="3402" w:type="dxa"/>
            <w:vAlign w:val="center"/>
          </w:tcPr>
          <w:p w14:paraId="5F31BEF0">
            <w:pPr>
              <w:pStyle w:val="13"/>
            </w:pPr>
            <w:r>
              <w:t>二十、住房保障支出</w:t>
            </w:r>
          </w:p>
        </w:tc>
        <w:tc>
          <w:tcPr>
            <w:tcW w:w="1474" w:type="dxa"/>
            <w:vAlign w:val="center"/>
          </w:tcPr>
          <w:p w14:paraId="02B7FD9D">
            <w:pPr>
              <w:pStyle w:val="14"/>
            </w:pPr>
          </w:p>
        </w:tc>
        <w:tc>
          <w:tcPr>
            <w:tcW w:w="1474" w:type="dxa"/>
            <w:vAlign w:val="center"/>
          </w:tcPr>
          <w:p w14:paraId="246A0F2E">
            <w:pPr>
              <w:pStyle w:val="14"/>
            </w:pPr>
          </w:p>
        </w:tc>
        <w:tc>
          <w:tcPr>
            <w:tcW w:w="1474" w:type="dxa"/>
            <w:vAlign w:val="center"/>
          </w:tcPr>
          <w:p w14:paraId="084B2AF5">
            <w:pPr>
              <w:pStyle w:val="14"/>
            </w:pPr>
          </w:p>
        </w:tc>
        <w:tc>
          <w:tcPr>
            <w:tcW w:w="1474" w:type="dxa"/>
            <w:vAlign w:val="center"/>
          </w:tcPr>
          <w:p w14:paraId="47686359">
            <w:pPr>
              <w:pStyle w:val="14"/>
            </w:pPr>
          </w:p>
        </w:tc>
      </w:tr>
      <w:tr w14:paraId="61751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BC93D">
            <w:pPr>
              <w:pStyle w:val="12"/>
            </w:pPr>
            <w:r>
              <w:t>21</w:t>
            </w:r>
          </w:p>
        </w:tc>
        <w:tc>
          <w:tcPr>
            <w:tcW w:w="3402" w:type="dxa"/>
            <w:vAlign w:val="center"/>
          </w:tcPr>
          <w:p w14:paraId="6384FD54">
            <w:pPr>
              <w:pStyle w:val="13"/>
            </w:pPr>
          </w:p>
        </w:tc>
        <w:tc>
          <w:tcPr>
            <w:tcW w:w="1474" w:type="dxa"/>
            <w:vAlign w:val="center"/>
          </w:tcPr>
          <w:p w14:paraId="104B20BA">
            <w:pPr>
              <w:pStyle w:val="14"/>
            </w:pPr>
          </w:p>
        </w:tc>
        <w:tc>
          <w:tcPr>
            <w:tcW w:w="3402" w:type="dxa"/>
            <w:vAlign w:val="center"/>
          </w:tcPr>
          <w:p w14:paraId="35C71B2E">
            <w:pPr>
              <w:pStyle w:val="13"/>
            </w:pPr>
            <w:r>
              <w:t>二十一、粮油物资储备支出</w:t>
            </w:r>
          </w:p>
        </w:tc>
        <w:tc>
          <w:tcPr>
            <w:tcW w:w="1474" w:type="dxa"/>
            <w:vAlign w:val="center"/>
          </w:tcPr>
          <w:p w14:paraId="0A922121">
            <w:pPr>
              <w:pStyle w:val="14"/>
            </w:pPr>
          </w:p>
        </w:tc>
        <w:tc>
          <w:tcPr>
            <w:tcW w:w="1474" w:type="dxa"/>
            <w:vAlign w:val="center"/>
          </w:tcPr>
          <w:p w14:paraId="58DBB0A7">
            <w:pPr>
              <w:pStyle w:val="14"/>
            </w:pPr>
          </w:p>
        </w:tc>
        <w:tc>
          <w:tcPr>
            <w:tcW w:w="1474" w:type="dxa"/>
            <w:vAlign w:val="center"/>
          </w:tcPr>
          <w:p w14:paraId="3D13B722">
            <w:pPr>
              <w:pStyle w:val="14"/>
            </w:pPr>
          </w:p>
        </w:tc>
        <w:tc>
          <w:tcPr>
            <w:tcW w:w="1474" w:type="dxa"/>
            <w:vAlign w:val="center"/>
          </w:tcPr>
          <w:p w14:paraId="647ED9F2">
            <w:pPr>
              <w:pStyle w:val="14"/>
            </w:pPr>
          </w:p>
        </w:tc>
      </w:tr>
      <w:tr w14:paraId="5967E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F4E49">
            <w:pPr>
              <w:pStyle w:val="12"/>
            </w:pPr>
            <w:r>
              <w:t>22</w:t>
            </w:r>
          </w:p>
        </w:tc>
        <w:tc>
          <w:tcPr>
            <w:tcW w:w="3402" w:type="dxa"/>
            <w:vAlign w:val="center"/>
          </w:tcPr>
          <w:p w14:paraId="4CFAA0E2">
            <w:pPr>
              <w:pStyle w:val="13"/>
            </w:pPr>
          </w:p>
        </w:tc>
        <w:tc>
          <w:tcPr>
            <w:tcW w:w="1474" w:type="dxa"/>
            <w:vAlign w:val="center"/>
          </w:tcPr>
          <w:p w14:paraId="7B252C70">
            <w:pPr>
              <w:pStyle w:val="14"/>
            </w:pPr>
          </w:p>
        </w:tc>
        <w:tc>
          <w:tcPr>
            <w:tcW w:w="3402" w:type="dxa"/>
            <w:vAlign w:val="center"/>
          </w:tcPr>
          <w:p w14:paraId="39F3CE48">
            <w:pPr>
              <w:pStyle w:val="13"/>
            </w:pPr>
            <w:r>
              <w:t>二十二、国有资本经营预算支出</w:t>
            </w:r>
          </w:p>
        </w:tc>
        <w:tc>
          <w:tcPr>
            <w:tcW w:w="1474" w:type="dxa"/>
            <w:vAlign w:val="center"/>
          </w:tcPr>
          <w:p w14:paraId="6387EE11">
            <w:pPr>
              <w:pStyle w:val="14"/>
            </w:pPr>
          </w:p>
        </w:tc>
        <w:tc>
          <w:tcPr>
            <w:tcW w:w="1474" w:type="dxa"/>
            <w:vAlign w:val="center"/>
          </w:tcPr>
          <w:p w14:paraId="14A50535">
            <w:pPr>
              <w:pStyle w:val="14"/>
            </w:pPr>
          </w:p>
        </w:tc>
        <w:tc>
          <w:tcPr>
            <w:tcW w:w="1474" w:type="dxa"/>
            <w:vAlign w:val="center"/>
          </w:tcPr>
          <w:p w14:paraId="43E3F057">
            <w:pPr>
              <w:pStyle w:val="14"/>
            </w:pPr>
          </w:p>
        </w:tc>
        <w:tc>
          <w:tcPr>
            <w:tcW w:w="1474" w:type="dxa"/>
            <w:vAlign w:val="center"/>
          </w:tcPr>
          <w:p w14:paraId="5AEE54DA">
            <w:pPr>
              <w:pStyle w:val="14"/>
            </w:pPr>
          </w:p>
        </w:tc>
      </w:tr>
      <w:tr w14:paraId="457E9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8C1B5">
            <w:pPr>
              <w:pStyle w:val="12"/>
            </w:pPr>
            <w:r>
              <w:t>23</w:t>
            </w:r>
          </w:p>
        </w:tc>
        <w:tc>
          <w:tcPr>
            <w:tcW w:w="3402" w:type="dxa"/>
            <w:vAlign w:val="center"/>
          </w:tcPr>
          <w:p w14:paraId="2F93644D">
            <w:pPr>
              <w:pStyle w:val="13"/>
            </w:pPr>
          </w:p>
        </w:tc>
        <w:tc>
          <w:tcPr>
            <w:tcW w:w="1474" w:type="dxa"/>
            <w:vAlign w:val="center"/>
          </w:tcPr>
          <w:p w14:paraId="0D5191C3">
            <w:pPr>
              <w:pStyle w:val="14"/>
            </w:pPr>
          </w:p>
        </w:tc>
        <w:tc>
          <w:tcPr>
            <w:tcW w:w="3402" w:type="dxa"/>
            <w:vAlign w:val="center"/>
          </w:tcPr>
          <w:p w14:paraId="3C2D251E">
            <w:pPr>
              <w:pStyle w:val="13"/>
            </w:pPr>
            <w:r>
              <w:t>二十三、灾害防治及应急管理支出</w:t>
            </w:r>
          </w:p>
        </w:tc>
        <w:tc>
          <w:tcPr>
            <w:tcW w:w="1474" w:type="dxa"/>
            <w:vAlign w:val="center"/>
          </w:tcPr>
          <w:p w14:paraId="23AF67ED">
            <w:pPr>
              <w:pStyle w:val="14"/>
            </w:pPr>
          </w:p>
        </w:tc>
        <w:tc>
          <w:tcPr>
            <w:tcW w:w="1474" w:type="dxa"/>
            <w:vAlign w:val="center"/>
          </w:tcPr>
          <w:p w14:paraId="61D8A55D">
            <w:pPr>
              <w:pStyle w:val="14"/>
            </w:pPr>
          </w:p>
        </w:tc>
        <w:tc>
          <w:tcPr>
            <w:tcW w:w="1474" w:type="dxa"/>
            <w:vAlign w:val="center"/>
          </w:tcPr>
          <w:p w14:paraId="31373F67">
            <w:pPr>
              <w:pStyle w:val="14"/>
            </w:pPr>
          </w:p>
        </w:tc>
        <w:tc>
          <w:tcPr>
            <w:tcW w:w="1474" w:type="dxa"/>
            <w:vAlign w:val="center"/>
          </w:tcPr>
          <w:p w14:paraId="3E34FB74">
            <w:pPr>
              <w:pStyle w:val="14"/>
            </w:pPr>
          </w:p>
        </w:tc>
      </w:tr>
      <w:tr w14:paraId="042A9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FA485">
            <w:pPr>
              <w:pStyle w:val="12"/>
            </w:pPr>
            <w:r>
              <w:t>24</w:t>
            </w:r>
          </w:p>
        </w:tc>
        <w:tc>
          <w:tcPr>
            <w:tcW w:w="3402" w:type="dxa"/>
            <w:vAlign w:val="center"/>
          </w:tcPr>
          <w:p w14:paraId="03C981CF">
            <w:pPr>
              <w:pStyle w:val="13"/>
            </w:pPr>
          </w:p>
        </w:tc>
        <w:tc>
          <w:tcPr>
            <w:tcW w:w="1474" w:type="dxa"/>
            <w:vAlign w:val="center"/>
          </w:tcPr>
          <w:p w14:paraId="2B2F1FD5">
            <w:pPr>
              <w:pStyle w:val="14"/>
            </w:pPr>
          </w:p>
        </w:tc>
        <w:tc>
          <w:tcPr>
            <w:tcW w:w="3402" w:type="dxa"/>
            <w:vAlign w:val="center"/>
          </w:tcPr>
          <w:p w14:paraId="3E36BD18">
            <w:pPr>
              <w:pStyle w:val="13"/>
            </w:pPr>
            <w:r>
              <w:t>二十四、预备费</w:t>
            </w:r>
          </w:p>
        </w:tc>
        <w:tc>
          <w:tcPr>
            <w:tcW w:w="1474" w:type="dxa"/>
            <w:vAlign w:val="center"/>
          </w:tcPr>
          <w:p w14:paraId="04AF273F">
            <w:pPr>
              <w:pStyle w:val="14"/>
            </w:pPr>
          </w:p>
        </w:tc>
        <w:tc>
          <w:tcPr>
            <w:tcW w:w="1474" w:type="dxa"/>
            <w:vAlign w:val="center"/>
          </w:tcPr>
          <w:p w14:paraId="57DBFACF">
            <w:pPr>
              <w:pStyle w:val="14"/>
            </w:pPr>
          </w:p>
        </w:tc>
        <w:tc>
          <w:tcPr>
            <w:tcW w:w="1474" w:type="dxa"/>
            <w:vAlign w:val="center"/>
          </w:tcPr>
          <w:p w14:paraId="1AFA48EB">
            <w:pPr>
              <w:pStyle w:val="14"/>
            </w:pPr>
          </w:p>
        </w:tc>
        <w:tc>
          <w:tcPr>
            <w:tcW w:w="1474" w:type="dxa"/>
            <w:vAlign w:val="center"/>
          </w:tcPr>
          <w:p w14:paraId="5B576C14">
            <w:pPr>
              <w:pStyle w:val="14"/>
            </w:pPr>
          </w:p>
        </w:tc>
      </w:tr>
      <w:tr w14:paraId="7C00E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09317">
            <w:pPr>
              <w:pStyle w:val="12"/>
            </w:pPr>
            <w:r>
              <w:t>25</w:t>
            </w:r>
          </w:p>
        </w:tc>
        <w:tc>
          <w:tcPr>
            <w:tcW w:w="3402" w:type="dxa"/>
            <w:vAlign w:val="center"/>
          </w:tcPr>
          <w:p w14:paraId="1A36832E">
            <w:pPr>
              <w:pStyle w:val="13"/>
            </w:pPr>
          </w:p>
        </w:tc>
        <w:tc>
          <w:tcPr>
            <w:tcW w:w="1474" w:type="dxa"/>
            <w:vAlign w:val="center"/>
          </w:tcPr>
          <w:p w14:paraId="4C058FEC">
            <w:pPr>
              <w:pStyle w:val="14"/>
            </w:pPr>
          </w:p>
        </w:tc>
        <w:tc>
          <w:tcPr>
            <w:tcW w:w="3402" w:type="dxa"/>
            <w:vAlign w:val="center"/>
          </w:tcPr>
          <w:p w14:paraId="42DF2A02">
            <w:pPr>
              <w:pStyle w:val="13"/>
            </w:pPr>
            <w:r>
              <w:t>二十五、其他支出</w:t>
            </w:r>
          </w:p>
        </w:tc>
        <w:tc>
          <w:tcPr>
            <w:tcW w:w="1474" w:type="dxa"/>
            <w:vAlign w:val="center"/>
          </w:tcPr>
          <w:p w14:paraId="62934588">
            <w:pPr>
              <w:pStyle w:val="14"/>
            </w:pPr>
          </w:p>
        </w:tc>
        <w:tc>
          <w:tcPr>
            <w:tcW w:w="1474" w:type="dxa"/>
            <w:vAlign w:val="center"/>
          </w:tcPr>
          <w:p w14:paraId="423B6BD1">
            <w:pPr>
              <w:pStyle w:val="14"/>
            </w:pPr>
          </w:p>
        </w:tc>
        <w:tc>
          <w:tcPr>
            <w:tcW w:w="1474" w:type="dxa"/>
            <w:vAlign w:val="center"/>
          </w:tcPr>
          <w:p w14:paraId="59CBB31E">
            <w:pPr>
              <w:pStyle w:val="14"/>
            </w:pPr>
          </w:p>
        </w:tc>
        <w:tc>
          <w:tcPr>
            <w:tcW w:w="1474" w:type="dxa"/>
            <w:vAlign w:val="center"/>
          </w:tcPr>
          <w:p w14:paraId="27DCDBD4">
            <w:pPr>
              <w:pStyle w:val="14"/>
            </w:pPr>
          </w:p>
        </w:tc>
      </w:tr>
      <w:tr w14:paraId="77E3C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584B3">
            <w:pPr>
              <w:pStyle w:val="12"/>
            </w:pPr>
            <w:r>
              <w:t>26</w:t>
            </w:r>
          </w:p>
        </w:tc>
        <w:tc>
          <w:tcPr>
            <w:tcW w:w="3402" w:type="dxa"/>
            <w:vAlign w:val="center"/>
          </w:tcPr>
          <w:p w14:paraId="29A5CBB1">
            <w:pPr>
              <w:pStyle w:val="13"/>
            </w:pPr>
          </w:p>
        </w:tc>
        <w:tc>
          <w:tcPr>
            <w:tcW w:w="1474" w:type="dxa"/>
            <w:vAlign w:val="center"/>
          </w:tcPr>
          <w:p w14:paraId="3B0D5EFB">
            <w:pPr>
              <w:pStyle w:val="14"/>
            </w:pPr>
          </w:p>
        </w:tc>
        <w:tc>
          <w:tcPr>
            <w:tcW w:w="3402" w:type="dxa"/>
            <w:vAlign w:val="center"/>
          </w:tcPr>
          <w:p w14:paraId="5A8B4468">
            <w:pPr>
              <w:pStyle w:val="13"/>
            </w:pPr>
            <w:r>
              <w:t>二十六、转移性支出</w:t>
            </w:r>
          </w:p>
        </w:tc>
        <w:tc>
          <w:tcPr>
            <w:tcW w:w="1474" w:type="dxa"/>
            <w:vAlign w:val="center"/>
          </w:tcPr>
          <w:p w14:paraId="6E33B17A">
            <w:pPr>
              <w:pStyle w:val="14"/>
            </w:pPr>
          </w:p>
        </w:tc>
        <w:tc>
          <w:tcPr>
            <w:tcW w:w="1474" w:type="dxa"/>
            <w:vAlign w:val="center"/>
          </w:tcPr>
          <w:p w14:paraId="0AF9990E">
            <w:pPr>
              <w:pStyle w:val="14"/>
            </w:pPr>
          </w:p>
        </w:tc>
        <w:tc>
          <w:tcPr>
            <w:tcW w:w="1474" w:type="dxa"/>
            <w:vAlign w:val="center"/>
          </w:tcPr>
          <w:p w14:paraId="5CBFF40C">
            <w:pPr>
              <w:pStyle w:val="14"/>
            </w:pPr>
          </w:p>
        </w:tc>
        <w:tc>
          <w:tcPr>
            <w:tcW w:w="1474" w:type="dxa"/>
            <w:vAlign w:val="center"/>
          </w:tcPr>
          <w:p w14:paraId="634ABDC3">
            <w:pPr>
              <w:pStyle w:val="14"/>
            </w:pPr>
          </w:p>
        </w:tc>
      </w:tr>
      <w:tr w14:paraId="687C6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D2127">
            <w:pPr>
              <w:pStyle w:val="12"/>
            </w:pPr>
            <w:r>
              <w:t>27</w:t>
            </w:r>
          </w:p>
        </w:tc>
        <w:tc>
          <w:tcPr>
            <w:tcW w:w="3402" w:type="dxa"/>
            <w:vAlign w:val="center"/>
          </w:tcPr>
          <w:p w14:paraId="0BB37F95">
            <w:pPr>
              <w:pStyle w:val="13"/>
            </w:pPr>
          </w:p>
        </w:tc>
        <w:tc>
          <w:tcPr>
            <w:tcW w:w="1474" w:type="dxa"/>
            <w:vAlign w:val="center"/>
          </w:tcPr>
          <w:p w14:paraId="480ABF74">
            <w:pPr>
              <w:pStyle w:val="14"/>
            </w:pPr>
          </w:p>
        </w:tc>
        <w:tc>
          <w:tcPr>
            <w:tcW w:w="3402" w:type="dxa"/>
            <w:vAlign w:val="center"/>
          </w:tcPr>
          <w:p w14:paraId="6B11B6F1">
            <w:pPr>
              <w:pStyle w:val="13"/>
            </w:pPr>
            <w:r>
              <w:t>二十七、债务还本支出</w:t>
            </w:r>
          </w:p>
        </w:tc>
        <w:tc>
          <w:tcPr>
            <w:tcW w:w="1474" w:type="dxa"/>
            <w:vAlign w:val="center"/>
          </w:tcPr>
          <w:p w14:paraId="58E17C09">
            <w:pPr>
              <w:pStyle w:val="14"/>
            </w:pPr>
          </w:p>
        </w:tc>
        <w:tc>
          <w:tcPr>
            <w:tcW w:w="1474" w:type="dxa"/>
            <w:vAlign w:val="center"/>
          </w:tcPr>
          <w:p w14:paraId="104636F8">
            <w:pPr>
              <w:pStyle w:val="14"/>
            </w:pPr>
          </w:p>
        </w:tc>
        <w:tc>
          <w:tcPr>
            <w:tcW w:w="1474" w:type="dxa"/>
            <w:vAlign w:val="center"/>
          </w:tcPr>
          <w:p w14:paraId="12A10494">
            <w:pPr>
              <w:pStyle w:val="14"/>
            </w:pPr>
          </w:p>
        </w:tc>
        <w:tc>
          <w:tcPr>
            <w:tcW w:w="1474" w:type="dxa"/>
            <w:vAlign w:val="center"/>
          </w:tcPr>
          <w:p w14:paraId="190BD684">
            <w:pPr>
              <w:pStyle w:val="14"/>
            </w:pPr>
          </w:p>
        </w:tc>
      </w:tr>
      <w:tr w14:paraId="4C235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B3A327D">
            <w:pPr>
              <w:pStyle w:val="12"/>
            </w:pPr>
            <w:r>
              <w:t>28</w:t>
            </w:r>
          </w:p>
        </w:tc>
        <w:tc>
          <w:tcPr>
            <w:tcW w:w="3402" w:type="dxa"/>
            <w:vAlign w:val="center"/>
          </w:tcPr>
          <w:p w14:paraId="23D158C7">
            <w:pPr>
              <w:pStyle w:val="13"/>
            </w:pPr>
          </w:p>
        </w:tc>
        <w:tc>
          <w:tcPr>
            <w:tcW w:w="1474" w:type="dxa"/>
            <w:vAlign w:val="center"/>
          </w:tcPr>
          <w:p w14:paraId="6FC3E0D9">
            <w:pPr>
              <w:pStyle w:val="14"/>
            </w:pPr>
          </w:p>
        </w:tc>
        <w:tc>
          <w:tcPr>
            <w:tcW w:w="3402" w:type="dxa"/>
            <w:vAlign w:val="center"/>
          </w:tcPr>
          <w:p w14:paraId="2C3E776B">
            <w:pPr>
              <w:pStyle w:val="13"/>
            </w:pPr>
            <w:r>
              <w:t>二十八、债务付息支出</w:t>
            </w:r>
          </w:p>
        </w:tc>
        <w:tc>
          <w:tcPr>
            <w:tcW w:w="1474" w:type="dxa"/>
            <w:vAlign w:val="center"/>
          </w:tcPr>
          <w:p w14:paraId="7B5BC14B">
            <w:pPr>
              <w:pStyle w:val="14"/>
            </w:pPr>
          </w:p>
        </w:tc>
        <w:tc>
          <w:tcPr>
            <w:tcW w:w="1474" w:type="dxa"/>
            <w:vAlign w:val="center"/>
          </w:tcPr>
          <w:p w14:paraId="6A659C72">
            <w:pPr>
              <w:pStyle w:val="14"/>
            </w:pPr>
          </w:p>
        </w:tc>
        <w:tc>
          <w:tcPr>
            <w:tcW w:w="1474" w:type="dxa"/>
            <w:vAlign w:val="center"/>
          </w:tcPr>
          <w:p w14:paraId="427F2741">
            <w:pPr>
              <w:pStyle w:val="14"/>
            </w:pPr>
          </w:p>
        </w:tc>
        <w:tc>
          <w:tcPr>
            <w:tcW w:w="1474" w:type="dxa"/>
            <w:vAlign w:val="center"/>
          </w:tcPr>
          <w:p w14:paraId="1073CB97">
            <w:pPr>
              <w:pStyle w:val="14"/>
            </w:pPr>
          </w:p>
        </w:tc>
      </w:tr>
      <w:tr w14:paraId="78F5B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56C2541">
            <w:pPr>
              <w:pStyle w:val="12"/>
            </w:pPr>
            <w:r>
              <w:t>29</w:t>
            </w:r>
          </w:p>
        </w:tc>
        <w:tc>
          <w:tcPr>
            <w:tcW w:w="3402" w:type="dxa"/>
            <w:vAlign w:val="center"/>
          </w:tcPr>
          <w:p w14:paraId="623D9FFE">
            <w:pPr>
              <w:pStyle w:val="13"/>
            </w:pPr>
          </w:p>
        </w:tc>
        <w:tc>
          <w:tcPr>
            <w:tcW w:w="1474" w:type="dxa"/>
            <w:vAlign w:val="center"/>
          </w:tcPr>
          <w:p w14:paraId="5C2B2C6E">
            <w:pPr>
              <w:pStyle w:val="14"/>
            </w:pPr>
          </w:p>
        </w:tc>
        <w:tc>
          <w:tcPr>
            <w:tcW w:w="3402" w:type="dxa"/>
            <w:vAlign w:val="center"/>
          </w:tcPr>
          <w:p w14:paraId="4E3FE3D2">
            <w:pPr>
              <w:pStyle w:val="13"/>
            </w:pPr>
            <w:r>
              <w:t>二十九、债务发行费用支出</w:t>
            </w:r>
          </w:p>
        </w:tc>
        <w:tc>
          <w:tcPr>
            <w:tcW w:w="1474" w:type="dxa"/>
            <w:vAlign w:val="center"/>
          </w:tcPr>
          <w:p w14:paraId="4D7DE7A3">
            <w:pPr>
              <w:pStyle w:val="14"/>
            </w:pPr>
          </w:p>
        </w:tc>
        <w:tc>
          <w:tcPr>
            <w:tcW w:w="1474" w:type="dxa"/>
            <w:vAlign w:val="center"/>
          </w:tcPr>
          <w:p w14:paraId="6228ABB1">
            <w:pPr>
              <w:pStyle w:val="14"/>
            </w:pPr>
          </w:p>
        </w:tc>
        <w:tc>
          <w:tcPr>
            <w:tcW w:w="1474" w:type="dxa"/>
            <w:vAlign w:val="center"/>
          </w:tcPr>
          <w:p w14:paraId="434149A5">
            <w:pPr>
              <w:pStyle w:val="14"/>
            </w:pPr>
          </w:p>
        </w:tc>
        <w:tc>
          <w:tcPr>
            <w:tcW w:w="1474" w:type="dxa"/>
            <w:vAlign w:val="center"/>
          </w:tcPr>
          <w:p w14:paraId="12F603E7">
            <w:pPr>
              <w:pStyle w:val="14"/>
            </w:pPr>
          </w:p>
        </w:tc>
      </w:tr>
      <w:tr w14:paraId="7863F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1F5A2">
            <w:pPr>
              <w:pStyle w:val="12"/>
            </w:pPr>
            <w:r>
              <w:t>30</w:t>
            </w:r>
          </w:p>
        </w:tc>
        <w:tc>
          <w:tcPr>
            <w:tcW w:w="3402" w:type="dxa"/>
            <w:vAlign w:val="center"/>
          </w:tcPr>
          <w:p w14:paraId="500B3B39">
            <w:pPr>
              <w:pStyle w:val="13"/>
            </w:pPr>
          </w:p>
        </w:tc>
        <w:tc>
          <w:tcPr>
            <w:tcW w:w="1474" w:type="dxa"/>
            <w:vAlign w:val="center"/>
          </w:tcPr>
          <w:p w14:paraId="2A67956D">
            <w:pPr>
              <w:pStyle w:val="14"/>
            </w:pPr>
          </w:p>
        </w:tc>
        <w:tc>
          <w:tcPr>
            <w:tcW w:w="3402" w:type="dxa"/>
            <w:vAlign w:val="center"/>
          </w:tcPr>
          <w:p w14:paraId="1918860F">
            <w:pPr>
              <w:pStyle w:val="13"/>
            </w:pPr>
            <w:r>
              <w:t>三十、抗疫特别国债安排的支出</w:t>
            </w:r>
          </w:p>
        </w:tc>
        <w:tc>
          <w:tcPr>
            <w:tcW w:w="1474" w:type="dxa"/>
            <w:vAlign w:val="center"/>
          </w:tcPr>
          <w:p w14:paraId="705EBE87">
            <w:pPr>
              <w:pStyle w:val="14"/>
            </w:pPr>
          </w:p>
        </w:tc>
        <w:tc>
          <w:tcPr>
            <w:tcW w:w="1474" w:type="dxa"/>
            <w:vAlign w:val="center"/>
          </w:tcPr>
          <w:p w14:paraId="5335B4B8">
            <w:pPr>
              <w:pStyle w:val="14"/>
            </w:pPr>
          </w:p>
        </w:tc>
        <w:tc>
          <w:tcPr>
            <w:tcW w:w="1474" w:type="dxa"/>
            <w:vAlign w:val="center"/>
          </w:tcPr>
          <w:p w14:paraId="404343D1">
            <w:pPr>
              <w:pStyle w:val="14"/>
            </w:pPr>
          </w:p>
        </w:tc>
        <w:tc>
          <w:tcPr>
            <w:tcW w:w="1474" w:type="dxa"/>
            <w:vAlign w:val="center"/>
          </w:tcPr>
          <w:p w14:paraId="66569900">
            <w:pPr>
              <w:pStyle w:val="14"/>
            </w:pPr>
          </w:p>
        </w:tc>
      </w:tr>
      <w:tr w14:paraId="1C428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0BEC5F3">
            <w:pPr>
              <w:pStyle w:val="12"/>
            </w:pPr>
            <w:r>
              <w:t>31</w:t>
            </w:r>
          </w:p>
        </w:tc>
        <w:tc>
          <w:tcPr>
            <w:tcW w:w="3402" w:type="dxa"/>
            <w:vAlign w:val="center"/>
          </w:tcPr>
          <w:p w14:paraId="74F55BB5">
            <w:pPr>
              <w:pStyle w:val="13"/>
            </w:pPr>
          </w:p>
        </w:tc>
        <w:tc>
          <w:tcPr>
            <w:tcW w:w="1474" w:type="dxa"/>
            <w:vAlign w:val="center"/>
          </w:tcPr>
          <w:p w14:paraId="68EDAFF2">
            <w:pPr>
              <w:pStyle w:val="14"/>
            </w:pPr>
          </w:p>
        </w:tc>
        <w:tc>
          <w:tcPr>
            <w:tcW w:w="3402" w:type="dxa"/>
            <w:vAlign w:val="center"/>
          </w:tcPr>
          <w:p w14:paraId="5B4D02BC">
            <w:pPr>
              <w:pStyle w:val="13"/>
            </w:pPr>
            <w:r>
              <w:t>三十一、人行科目</w:t>
            </w:r>
          </w:p>
        </w:tc>
        <w:tc>
          <w:tcPr>
            <w:tcW w:w="1474" w:type="dxa"/>
            <w:vAlign w:val="center"/>
          </w:tcPr>
          <w:p w14:paraId="1F56E714">
            <w:pPr>
              <w:pStyle w:val="14"/>
            </w:pPr>
          </w:p>
        </w:tc>
        <w:tc>
          <w:tcPr>
            <w:tcW w:w="1474" w:type="dxa"/>
            <w:vAlign w:val="center"/>
          </w:tcPr>
          <w:p w14:paraId="714D866F">
            <w:pPr>
              <w:pStyle w:val="14"/>
            </w:pPr>
          </w:p>
        </w:tc>
        <w:tc>
          <w:tcPr>
            <w:tcW w:w="1474" w:type="dxa"/>
            <w:vAlign w:val="center"/>
          </w:tcPr>
          <w:p w14:paraId="7487CD95">
            <w:pPr>
              <w:pStyle w:val="14"/>
            </w:pPr>
          </w:p>
        </w:tc>
        <w:tc>
          <w:tcPr>
            <w:tcW w:w="1474" w:type="dxa"/>
            <w:vAlign w:val="center"/>
          </w:tcPr>
          <w:p w14:paraId="45873A61">
            <w:pPr>
              <w:pStyle w:val="14"/>
            </w:pPr>
          </w:p>
        </w:tc>
      </w:tr>
      <w:tr w14:paraId="414E8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A7B40">
            <w:pPr>
              <w:pStyle w:val="12"/>
            </w:pPr>
            <w:r>
              <w:t>32</w:t>
            </w:r>
          </w:p>
        </w:tc>
        <w:tc>
          <w:tcPr>
            <w:tcW w:w="3402" w:type="dxa"/>
            <w:vAlign w:val="center"/>
          </w:tcPr>
          <w:p w14:paraId="08AEB593">
            <w:pPr>
              <w:pStyle w:val="15"/>
            </w:pPr>
            <w:r>
              <w:t>本年收入合计</w:t>
            </w:r>
          </w:p>
        </w:tc>
        <w:tc>
          <w:tcPr>
            <w:tcW w:w="1474" w:type="dxa"/>
            <w:vAlign w:val="center"/>
          </w:tcPr>
          <w:p w14:paraId="7D202B6E">
            <w:pPr>
              <w:pStyle w:val="16"/>
            </w:pPr>
            <w:r>
              <w:t>2018.21</w:t>
            </w:r>
          </w:p>
        </w:tc>
        <w:tc>
          <w:tcPr>
            <w:tcW w:w="3402" w:type="dxa"/>
            <w:vAlign w:val="center"/>
          </w:tcPr>
          <w:p w14:paraId="34D75D54">
            <w:pPr>
              <w:pStyle w:val="15"/>
            </w:pPr>
            <w:r>
              <w:t>本年支出合计</w:t>
            </w:r>
          </w:p>
        </w:tc>
        <w:tc>
          <w:tcPr>
            <w:tcW w:w="1474" w:type="dxa"/>
            <w:vAlign w:val="center"/>
          </w:tcPr>
          <w:p w14:paraId="7155BBAD">
            <w:pPr>
              <w:pStyle w:val="16"/>
            </w:pPr>
            <w:r>
              <w:t>2053.56</w:t>
            </w:r>
          </w:p>
        </w:tc>
        <w:tc>
          <w:tcPr>
            <w:tcW w:w="1474" w:type="dxa"/>
            <w:vAlign w:val="center"/>
          </w:tcPr>
          <w:p w14:paraId="34215299">
            <w:pPr>
              <w:pStyle w:val="16"/>
            </w:pPr>
            <w:r>
              <w:t>2053.56</w:t>
            </w:r>
          </w:p>
        </w:tc>
        <w:tc>
          <w:tcPr>
            <w:tcW w:w="1474" w:type="dxa"/>
            <w:vAlign w:val="center"/>
          </w:tcPr>
          <w:p w14:paraId="5C803B17">
            <w:pPr>
              <w:pStyle w:val="16"/>
            </w:pPr>
          </w:p>
        </w:tc>
        <w:tc>
          <w:tcPr>
            <w:tcW w:w="1474" w:type="dxa"/>
            <w:vAlign w:val="center"/>
          </w:tcPr>
          <w:p w14:paraId="570720AF">
            <w:pPr>
              <w:pStyle w:val="16"/>
            </w:pPr>
          </w:p>
        </w:tc>
      </w:tr>
      <w:tr w14:paraId="3827A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F9768">
            <w:pPr>
              <w:pStyle w:val="12"/>
            </w:pPr>
            <w:r>
              <w:t>33</w:t>
            </w:r>
          </w:p>
        </w:tc>
        <w:tc>
          <w:tcPr>
            <w:tcW w:w="3402" w:type="dxa"/>
            <w:vAlign w:val="center"/>
          </w:tcPr>
          <w:p w14:paraId="33040B95">
            <w:pPr>
              <w:pStyle w:val="13"/>
            </w:pPr>
            <w:r>
              <w:t>年初财政拨款结转和结余</w:t>
            </w:r>
          </w:p>
        </w:tc>
        <w:tc>
          <w:tcPr>
            <w:tcW w:w="1474" w:type="dxa"/>
            <w:vAlign w:val="center"/>
          </w:tcPr>
          <w:p w14:paraId="69F482BD">
            <w:pPr>
              <w:pStyle w:val="14"/>
            </w:pPr>
            <w:r>
              <w:t>35.35</w:t>
            </w:r>
          </w:p>
        </w:tc>
        <w:tc>
          <w:tcPr>
            <w:tcW w:w="3402" w:type="dxa"/>
            <w:vAlign w:val="center"/>
          </w:tcPr>
          <w:p w14:paraId="6C408394">
            <w:pPr>
              <w:pStyle w:val="13"/>
            </w:pPr>
            <w:r>
              <w:t>年末财政拨款结转和结余</w:t>
            </w:r>
          </w:p>
        </w:tc>
        <w:tc>
          <w:tcPr>
            <w:tcW w:w="1474" w:type="dxa"/>
            <w:vAlign w:val="center"/>
          </w:tcPr>
          <w:p w14:paraId="2686C54F">
            <w:pPr>
              <w:pStyle w:val="14"/>
            </w:pPr>
          </w:p>
        </w:tc>
        <w:tc>
          <w:tcPr>
            <w:tcW w:w="1474" w:type="dxa"/>
            <w:vAlign w:val="center"/>
          </w:tcPr>
          <w:p w14:paraId="1D4D4577">
            <w:pPr>
              <w:pStyle w:val="14"/>
            </w:pPr>
          </w:p>
        </w:tc>
        <w:tc>
          <w:tcPr>
            <w:tcW w:w="1474" w:type="dxa"/>
            <w:vAlign w:val="center"/>
          </w:tcPr>
          <w:p w14:paraId="56957875">
            <w:pPr>
              <w:pStyle w:val="14"/>
            </w:pPr>
          </w:p>
        </w:tc>
        <w:tc>
          <w:tcPr>
            <w:tcW w:w="1474" w:type="dxa"/>
            <w:vAlign w:val="center"/>
          </w:tcPr>
          <w:p w14:paraId="12B39B6E">
            <w:pPr>
              <w:pStyle w:val="14"/>
            </w:pPr>
          </w:p>
        </w:tc>
      </w:tr>
      <w:tr w14:paraId="003AB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82B2D">
            <w:pPr>
              <w:pStyle w:val="12"/>
            </w:pPr>
            <w:r>
              <w:t>34</w:t>
            </w:r>
          </w:p>
        </w:tc>
        <w:tc>
          <w:tcPr>
            <w:tcW w:w="3402" w:type="dxa"/>
            <w:vAlign w:val="center"/>
          </w:tcPr>
          <w:p w14:paraId="758481A5">
            <w:pPr>
              <w:pStyle w:val="13"/>
            </w:pPr>
            <w:r>
              <w:t>一、一般公共预算拨款</w:t>
            </w:r>
          </w:p>
        </w:tc>
        <w:tc>
          <w:tcPr>
            <w:tcW w:w="1474" w:type="dxa"/>
            <w:vAlign w:val="center"/>
          </w:tcPr>
          <w:p w14:paraId="36D6671D">
            <w:pPr>
              <w:pStyle w:val="14"/>
            </w:pPr>
            <w:r>
              <w:t>35.35</w:t>
            </w:r>
          </w:p>
        </w:tc>
        <w:tc>
          <w:tcPr>
            <w:tcW w:w="3402" w:type="dxa"/>
            <w:vAlign w:val="center"/>
          </w:tcPr>
          <w:p w14:paraId="7AFB9B72">
            <w:pPr>
              <w:pStyle w:val="13"/>
            </w:pPr>
          </w:p>
        </w:tc>
        <w:tc>
          <w:tcPr>
            <w:tcW w:w="1474" w:type="dxa"/>
            <w:vAlign w:val="center"/>
          </w:tcPr>
          <w:p w14:paraId="14FFAFD6">
            <w:pPr>
              <w:pStyle w:val="14"/>
            </w:pPr>
          </w:p>
        </w:tc>
        <w:tc>
          <w:tcPr>
            <w:tcW w:w="1474" w:type="dxa"/>
            <w:vAlign w:val="center"/>
          </w:tcPr>
          <w:p w14:paraId="051477FF">
            <w:pPr>
              <w:pStyle w:val="14"/>
            </w:pPr>
          </w:p>
        </w:tc>
        <w:tc>
          <w:tcPr>
            <w:tcW w:w="1474" w:type="dxa"/>
            <w:vAlign w:val="center"/>
          </w:tcPr>
          <w:p w14:paraId="1EE28F1B">
            <w:pPr>
              <w:pStyle w:val="14"/>
            </w:pPr>
          </w:p>
        </w:tc>
        <w:tc>
          <w:tcPr>
            <w:tcW w:w="1474" w:type="dxa"/>
            <w:vAlign w:val="center"/>
          </w:tcPr>
          <w:p w14:paraId="67F71355">
            <w:pPr>
              <w:pStyle w:val="14"/>
            </w:pPr>
          </w:p>
        </w:tc>
      </w:tr>
      <w:tr w14:paraId="79310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7A1B0">
            <w:pPr>
              <w:pStyle w:val="12"/>
            </w:pPr>
            <w:r>
              <w:t>35</w:t>
            </w:r>
          </w:p>
        </w:tc>
        <w:tc>
          <w:tcPr>
            <w:tcW w:w="3402" w:type="dxa"/>
            <w:vAlign w:val="center"/>
          </w:tcPr>
          <w:p w14:paraId="19DC3639">
            <w:pPr>
              <w:pStyle w:val="13"/>
            </w:pPr>
            <w:r>
              <w:t>二、政府性基金预算拨款</w:t>
            </w:r>
          </w:p>
        </w:tc>
        <w:tc>
          <w:tcPr>
            <w:tcW w:w="1474" w:type="dxa"/>
            <w:vAlign w:val="center"/>
          </w:tcPr>
          <w:p w14:paraId="6858302D">
            <w:pPr>
              <w:pStyle w:val="14"/>
            </w:pPr>
          </w:p>
        </w:tc>
        <w:tc>
          <w:tcPr>
            <w:tcW w:w="3402" w:type="dxa"/>
            <w:vAlign w:val="center"/>
          </w:tcPr>
          <w:p w14:paraId="754CB3EA">
            <w:pPr>
              <w:pStyle w:val="13"/>
            </w:pPr>
          </w:p>
        </w:tc>
        <w:tc>
          <w:tcPr>
            <w:tcW w:w="1474" w:type="dxa"/>
            <w:vAlign w:val="center"/>
          </w:tcPr>
          <w:p w14:paraId="7A06571D">
            <w:pPr>
              <w:pStyle w:val="14"/>
            </w:pPr>
          </w:p>
        </w:tc>
        <w:tc>
          <w:tcPr>
            <w:tcW w:w="1474" w:type="dxa"/>
            <w:vAlign w:val="center"/>
          </w:tcPr>
          <w:p w14:paraId="192F0687">
            <w:pPr>
              <w:pStyle w:val="14"/>
            </w:pPr>
          </w:p>
        </w:tc>
        <w:tc>
          <w:tcPr>
            <w:tcW w:w="1474" w:type="dxa"/>
            <w:vAlign w:val="center"/>
          </w:tcPr>
          <w:p w14:paraId="2C127C57">
            <w:pPr>
              <w:pStyle w:val="14"/>
            </w:pPr>
          </w:p>
        </w:tc>
        <w:tc>
          <w:tcPr>
            <w:tcW w:w="1474" w:type="dxa"/>
            <w:vAlign w:val="center"/>
          </w:tcPr>
          <w:p w14:paraId="117E6008">
            <w:pPr>
              <w:pStyle w:val="14"/>
            </w:pPr>
          </w:p>
        </w:tc>
      </w:tr>
      <w:tr w14:paraId="45802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FA002">
            <w:pPr>
              <w:pStyle w:val="12"/>
            </w:pPr>
            <w:r>
              <w:t>36</w:t>
            </w:r>
          </w:p>
        </w:tc>
        <w:tc>
          <w:tcPr>
            <w:tcW w:w="3402" w:type="dxa"/>
            <w:vAlign w:val="center"/>
          </w:tcPr>
          <w:p w14:paraId="172B6D24">
            <w:pPr>
              <w:pStyle w:val="13"/>
            </w:pPr>
            <w:r>
              <w:t>三、国有资本经营预算拨款</w:t>
            </w:r>
          </w:p>
        </w:tc>
        <w:tc>
          <w:tcPr>
            <w:tcW w:w="1474" w:type="dxa"/>
            <w:vAlign w:val="center"/>
          </w:tcPr>
          <w:p w14:paraId="576EE54C">
            <w:pPr>
              <w:pStyle w:val="14"/>
            </w:pPr>
          </w:p>
        </w:tc>
        <w:tc>
          <w:tcPr>
            <w:tcW w:w="3402" w:type="dxa"/>
            <w:vAlign w:val="center"/>
          </w:tcPr>
          <w:p w14:paraId="4B8D9342">
            <w:pPr>
              <w:pStyle w:val="13"/>
            </w:pPr>
          </w:p>
        </w:tc>
        <w:tc>
          <w:tcPr>
            <w:tcW w:w="1474" w:type="dxa"/>
            <w:vAlign w:val="center"/>
          </w:tcPr>
          <w:p w14:paraId="3DB6F5B6">
            <w:pPr>
              <w:pStyle w:val="14"/>
            </w:pPr>
          </w:p>
        </w:tc>
        <w:tc>
          <w:tcPr>
            <w:tcW w:w="1474" w:type="dxa"/>
            <w:vAlign w:val="center"/>
          </w:tcPr>
          <w:p w14:paraId="61A3555A">
            <w:pPr>
              <w:pStyle w:val="14"/>
            </w:pPr>
          </w:p>
        </w:tc>
        <w:tc>
          <w:tcPr>
            <w:tcW w:w="1474" w:type="dxa"/>
            <w:vAlign w:val="center"/>
          </w:tcPr>
          <w:p w14:paraId="619DF470">
            <w:pPr>
              <w:pStyle w:val="14"/>
            </w:pPr>
          </w:p>
        </w:tc>
        <w:tc>
          <w:tcPr>
            <w:tcW w:w="1474" w:type="dxa"/>
            <w:vAlign w:val="center"/>
          </w:tcPr>
          <w:p w14:paraId="58A6578D">
            <w:pPr>
              <w:pStyle w:val="14"/>
            </w:pPr>
          </w:p>
        </w:tc>
      </w:tr>
      <w:tr w14:paraId="33CC3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7D0943C">
            <w:pPr>
              <w:pStyle w:val="12"/>
            </w:pPr>
            <w:r>
              <w:t>37</w:t>
            </w:r>
          </w:p>
        </w:tc>
        <w:tc>
          <w:tcPr>
            <w:tcW w:w="3402" w:type="dxa"/>
            <w:vAlign w:val="center"/>
          </w:tcPr>
          <w:p w14:paraId="3F96FAD2">
            <w:pPr>
              <w:pStyle w:val="15"/>
            </w:pPr>
            <w:r>
              <w:t>收入总计</w:t>
            </w:r>
          </w:p>
        </w:tc>
        <w:tc>
          <w:tcPr>
            <w:tcW w:w="1474" w:type="dxa"/>
            <w:vAlign w:val="center"/>
          </w:tcPr>
          <w:p w14:paraId="07B53863">
            <w:pPr>
              <w:pStyle w:val="16"/>
            </w:pPr>
            <w:r>
              <w:t>2053.56</w:t>
            </w:r>
          </w:p>
        </w:tc>
        <w:tc>
          <w:tcPr>
            <w:tcW w:w="3402" w:type="dxa"/>
            <w:vAlign w:val="center"/>
          </w:tcPr>
          <w:p w14:paraId="179C1442">
            <w:pPr>
              <w:pStyle w:val="15"/>
            </w:pPr>
            <w:r>
              <w:t>支出总计</w:t>
            </w:r>
          </w:p>
        </w:tc>
        <w:tc>
          <w:tcPr>
            <w:tcW w:w="1474" w:type="dxa"/>
            <w:vAlign w:val="center"/>
          </w:tcPr>
          <w:p w14:paraId="2111BA3E">
            <w:pPr>
              <w:pStyle w:val="16"/>
            </w:pPr>
            <w:r>
              <w:t>2053.56</w:t>
            </w:r>
          </w:p>
        </w:tc>
        <w:tc>
          <w:tcPr>
            <w:tcW w:w="1474" w:type="dxa"/>
            <w:vAlign w:val="center"/>
          </w:tcPr>
          <w:p w14:paraId="61E97074">
            <w:pPr>
              <w:pStyle w:val="16"/>
            </w:pPr>
            <w:r>
              <w:t>2053.56</w:t>
            </w:r>
          </w:p>
        </w:tc>
        <w:tc>
          <w:tcPr>
            <w:tcW w:w="1474" w:type="dxa"/>
            <w:vAlign w:val="center"/>
          </w:tcPr>
          <w:p w14:paraId="260F97ED">
            <w:pPr>
              <w:pStyle w:val="16"/>
            </w:pPr>
          </w:p>
        </w:tc>
        <w:tc>
          <w:tcPr>
            <w:tcW w:w="1474" w:type="dxa"/>
            <w:vAlign w:val="center"/>
          </w:tcPr>
          <w:p w14:paraId="391D0991">
            <w:pPr>
              <w:pStyle w:val="16"/>
            </w:pPr>
          </w:p>
        </w:tc>
      </w:tr>
    </w:tbl>
    <w:p w14:paraId="4C886390">
      <w:pPr>
        <w:sectPr>
          <w:pgSz w:w="16840" w:h="11900" w:orient="landscape"/>
          <w:pgMar w:top="1361" w:right="1020" w:bottom="1134" w:left="1020" w:header="720" w:footer="720" w:gutter="0"/>
          <w:cols w:space="720" w:num="1"/>
        </w:sectPr>
      </w:pPr>
    </w:p>
    <w:p w14:paraId="3ADEC0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9D0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15B098">
            <w:pPr>
              <w:pStyle w:val="8"/>
            </w:pPr>
            <w:r>
              <w:t>360018隆尧县北楼校区</w:t>
            </w:r>
          </w:p>
        </w:tc>
        <w:tc>
          <w:tcPr>
            <w:tcW w:w="2551" w:type="dxa"/>
            <w:tcBorders>
              <w:top w:val="single" w:color="FFFFFF" w:sz="6" w:space="0"/>
              <w:left w:val="single" w:color="FFFFFF" w:sz="6" w:space="0"/>
              <w:right w:val="single" w:color="FFFFFF" w:sz="6" w:space="0"/>
            </w:tcBorders>
            <w:vAlign w:val="center"/>
          </w:tcPr>
          <w:p w14:paraId="4B90194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82F762A">
            <w:pPr>
              <w:pStyle w:val="10"/>
            </w:pPr>
            <w:r>
              <w:t>单位：万元</w:t>
            </w:r>
          </w:p>
        </w:tc>
      </w:tr>
      <w:tr w14:paraId="4B4CC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77BE20A3">
            <w:pPr>
              <w:pStyle w:val="11"/>
            </w:pPr>
            <w:r>
              <w:t>序号</w:t>
            </w:r>
          </w:p>
        </w:tc>
        <w:tc>
          <w:tcPr>
            <w:tcW w:w="5726" w:type="dxa"/>
            <w:gridSpan w:val="2"/>
            <w:vAlign w:val="center"/>
          </w:tcPr>
          <w:p w14:paraId="637D48D6">
            <w:pPr>
              <w:pStyle w:val="11"/>
            </w:pPr>
            <w:r>
              <w:t>功能分类科目</w:t>
            </w:r>
          </w:p>
        </w:tc>
        <w:tc>
          <w:tcPr>
            <w:tcW w:w="2551" w:type="dxa"/>
            <w:vMerge w:val="restart"/>
            <w:vAlign w:val="center"/>
          </w:tcPr>
          <w:p w14:paraId="766CF761">
            <w:pPr>
              <w:pStyle w:val="11"/>
            </w:pPr>
            <w:r>
              <w:t>合计</w:t>
            </w:r>
          </w:p>
        </w:tc>
        <w:tc>
          <w:tcPr>
            <w:tcW w:w="2551" w:type="dxa"/>
            <w:vMerge w:val="restart"/>
            <w:vAlign w:val="center"/>
          </w:tcPr>
          <w:p w14:paraId="72696CED">
            <w:pPr>
              <w:pStyle w:val="11"/>
            </w:pPr>
            <w:r>
              <w:t>基本支出</w:t>
            </w:r>
          </w:p>
        </w:tc>
        <w:tc>
          <w:tcPr>
            <w:tcW w:w="2551" w:type="dxa"/>
            <w:vMerge w:val="restart"/>
            <w:vAlign w:val="center"/>
          </w:tcPr>
          <w:p w14:paraId="1AAC0B80">
            <w:pPr>
              <w:pStyle w:val="11"/>
            </w:pPr>
            <w:r>
              <w:t>项目支出</w:t>
            </w:r>
          </w:p>
        </w:tc>
      </w:tr>
      <w:tr w14:paraId="16ADA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4FC54"/>
        </w:tc>
        <w:tc>
          <w:tcPr>
            <w:tcW w:w="1191" w:type="dxa"/>
            <w:vAlign w:val="center"/>
          </w:tcPr>
          <w:p w14:paraId="4E52D61C">
            <w:pPr>
              <w:pStyle w:val="11"/>
            </w:pPr>
            <w:r>
              <w:t>科目编码</w:t>
            </w:r>
          </w:p>
        </w:tc>
        <w:tc>
          <w:tcPr>
            <w:tcW w:w="4535" w:type="dxa"/>
            <w:vAlign w:val="center"/>
          </w:tcPr>
          <w:p w14:paraId="2F61F59B">
            <w:pPr>
              <w:pStyle w:val="11"/>
            </w:pPr>
            <w:r>
              <w:t>科目名称</w:t>
            </w:r>
          </w:p>
        </w:tc>
        <w:tc>
          <w:tcPr>
            <w:tcW w:w="2551" w:type="dxa"/>
            <w:vMerge w:val="continue"/>
          </w:tcPr>
          <w:p w14:paraId="0682AED5"/>
        </w:tc>
        <w:tc>
          <w:tcPr>
            <w:tcW w:w="2551" w:type="dxa"/>
            <w:vMerge w:val="continue"/>
          </w:tcPr>
          <w:p w14:paraId="6781A63D"/>
        </w:tc>
        <w:tc>
          <w:tcPr>
            <w:tcW w:w="2551" w:type="dxa"/>
            <w:vMerge w:val="continue"/>
          </w:tcPr>
          <w:p w14:paraId="7FF949B5"/>
        </w:tc>
      </w:tr>
      <w:tr w14:paraId="4F975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58E0B8">
            <w:pPr>
              <w:pStyle w:val="11"/>
            </w:pPr>
            <w:r>
              <w:t>栏次</w:t>
            </w:r>
          </w:p>
        </w:tc>
        <w:tc>
          <w:tcPr>
            <w:tcW w:w="1191" w:type="dxa"/>
            <w:vAlign w:val="center"/>
          </w:tcPr>
          <w:p w14:paraId="78AD06D7">
            <w:pPr>
              <w:pStyle w:val="11"/>
            </w:pPr>
            <w:r>
              <w:t>1</w:t>
            </w:r>
          </w:p>
        </w:tc>
        <w:tc>
          <w:tcPr>
            <w:tcW w:w="4535" w:type="dxa"/>
            <w:vAlign w:val="center"/>
          </w:tcPr>
          <w:p w14:paraId="71E97C09">
            <w:pPr>
              <w:pStyle w:val="11"/>
            </w:pPr>
            <w:r>
              <w:t>2</w:t>
            </w:r>
          </w:p>
        </w:tc>
        <w:tc>
          <w:tcPr>
            <w:tcW w:w="2551" w:type="dxa"/>
            <w:vAlign w:val="center"/>
          </w:tcPr>
          <w:p w14:paraId="491DBF2C">
            <w:pPr>
              <w:pStyle w:val="11"/>
            </w:pPr>
            <w:r>
              <w:t>3</w:t>
            </w:r>
          </w:p>
        </w:tc>
        <w:tc>
          <w:tcPr>
            <w:tcW w:w="2551" w:type="dxa"/>
            <w:vAlign w:val="center"/>
          </w:tcPr>
          <w:p w14:paraId="229D901A">
            <w:pPr>
              <w:pStyle w:val="11"/>
            </w:pPr>
            <w:r>
              <w:t>4</w:t>
            </w:r>
          </w:p>
        </w:tc>
        <w:tc>
          <w:tcPr>
            <w:tcW w:w="2551" w:type="dxa"/>
            <w:vAlign w:val="center"/>
          </w:tcPr>
          <w:p w14:paraId="103A3F84">
            <w:pPr>
              <w:pStyle w:val="11"/>
            </w:pPr>
            <w:r>
              <w:t>5</w:t>
            </w:r>
          </w:p>
        </w:tc>
      </w:tr>
      <w:tr w14:paraId="0BB26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FE062">
            <w:pPr>
              <w:pStyle w:val="12"/>
            </w:pPr>
            <w:r>
              <w:t>1</w:t>
            </w:r>
          </w:p>
        </w:tc>
        <w:tc>
          <w:tcPr>
            <w:tcW w:w="1191" w:type="dxa"/>
            <w:vAlign w:val="center"/>
          </w:tcPr>
          <w:p w14:paraId="39F4D0C1">
            <w:pPr>
              <w:pStyle w:val="17"/>
            </w:pPr>
          </w:p>
        </w:tc>
        <w:tc>
          <w:tcPr>
            <w:tcW w:w="4535" w:type="dxa"/>
            <w:vAlign w:val="center"/>
          </w:tcPr>
          <w:p w14:paraId="0E4359C5">
            <w:pPr>
              <w:pStyle w:val="15"/>
            </w:pPr>
            <w:r>
              <w:t>合计</w:t>
            </w:r>
          </w:p>
        </w:tc>
        <w:tc>
          <w:tcPr>
            <w:tcW w:w="2551" w:type="dxa"/>
            <w:vAlign w:val="center"/>
          </w:tcPr>
          <w:p w14:paraId="5BB52A25">
            <w:pPr>
              <w:pStyle w:val="16"/>
            </w:pPr>
            <w:r>
              <w:t>2053.56</w:t>
            </w:r>
          </w:p>
        </w:tc>
        <w:tc>
          <w:tcPr>
            <w:tcW w:w="2551" w:type="dxa"/>
            <w:vAlign w:val="center"/>
          </w:tcPr>
          <w:p w14:paraId="311FA188">
            <w:pPr>
              <w:pStyle w:val="16"/>
            </w:pPr>
            <w:r>
              <w:t>1622.27</w:t>
            </w:r>
          </w:p>
        </w:tc>
        <w:tc>
          <w:tcPr>
            <w:tcW w:w="2551" w:type="dxa"/>
            <w:vAlign w:val="center"/>
          </w:tcPr>
          <w:p w14:paraId="75F195DB">
            <w:pPr>
              <w:pStyle w:val="16"/>
            </w:pPr>
            <w:r>
              <w:t>431.29</w:t>
            </w:r>
          </w:p>
        </w:tc>
      </w:tr>
      <w:tr w14:paraId="02F6A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07433">
            <w:pPr>
              <w:pStyle w:val="12"/>
            </w:pPr>
            <w:r>
              <w:t>2</w:t>
            </w:r>
          </w:p>
        </w:tc>
        <w:tc>
          <w:tcPr>
            <w:tcW w:w="1191" w:type="dxa"/>
            <w:vAlign w:val="center"/>
          </w:tcPr>
          <w:p w14:paraId="24E16646">
            <w:pPr>
              <w:pStyle w:val="13"/>
            </w:pPr>
            <w:r>
              <w:t>205</w:t>
            </w:r>
          </w:p>
        </w:tc>
        <w:tc>
          <w:tcPr>
            <w:tcW w:w="4535" w:type="dxa"/>
            <w:vAlign w:val="center"/>
          </w:tcPr>
          <w:p w14:paraId="24D1EFEC">
            <w:pPr>
              <w:pStyle w:val="13"/>
            </w:pPr>
            <w:r>
              <w:t>教育支出</w:t>
            </w:r>
          </w:p>
        </w:tc>
        <w:tc>
          <w:tcPr>
            <w:tcW w:w="2551" w:type="dxa"/>
            <w:vAlign w:val="center"/>
          </w:tcPr>
          <w:p w14:paraId="2FCF60ED">
            <w:pPr>
              <w:pStyle w:val="14"/>
            </w:pPr>
            <w:r>
              <w:t>2053.56</w:t>
            </w:r>
          </w:p>
        </w:tc>
        <w:tc>
          <w:tcPr>
            <w:tcW w:w="2551" w:type="dxa"/>
            <w:vAlign w:val="center"/>
          </w:tcPr>
          <w:p w14:paraId="6C6682A3">
            <w:pPr>
              <w:pStyle w:val="14"/>
            </w:pPr>
            <w:r>
              <w:t>1622.27</w:t>
            </w:r>
          </w:p>
        </w:tc>
        <w:tc>
          <w:tcPr>
            <w:tcW w:w="2551" w:type="dxa"/>
            <w:vAlign w:val="center"/>
          </w:tcPr>
          <w:p w14:paraId="6F59DED5">
            <w:pPr>
              <w:pStyle w:val="14"/>
            </w:pPr>
            <w:r>
              <w:t>431.29</w:t>
            </w:r>
          </w:p>
        </w:tc>
      </w:tr>
      <w:tr w14:paraId="1F432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BBF03">
            <w:pPr>
              <w:pStyle w:val="12"/>
            </w:pPr>
            <w:r>
              <w:t>3</w:t>
            </w:r>
          </w:p>
        </w:tc>
        <w:tc>
          <w:tcPr>
            <w:tcW w:w="1191" w:type="dxa"/>
            <w:vAlign w:val="center"/>
          </w:tcPr>
          <w:p w14:paraId="3E88C6F6">
            <w:pPr>
              <w:pStyle w:val="13"/>
            </w:pPr>
            <w:r>
              <w:t>20502</w:t>
            </w:r>
          </w:p>
        </w:tc>
        <w:tc>
          <w:tcPr>
            <w:tcW w:w="4535" w:type="dxa"/>
            <w:vAlign w:val="center"/>
          </w:tcPr>
          <w:p w14:paraId="4E04AF66">
            <w:pPr>
              <w:pStyle w:val="13"/>
            </w:pPr>
            <w:r>
              <w:t>普通教育</w:t>
            </w:r>
          </w:p>
        </w:tc>
        <w:tc>
          <w:tcPr>
            <w:tcW w:w="2551" w:type="dxa"/>
            <w:vAlign w:val="center"/>
          </w:tcPr>
          <w:p w14:paraId="61B8FDC5">
            <w:pPr>
              <w:pStyle w:val="14"/>
            </w:pPr>
            <w:r>
              <w:t>2053.56</w:t>
            </w:r>
          </w:p>
        </w:tc>
        <w:tc>
          <w:tcPr>
            <w:tcW w:w="2551" w:type="dxa"/>
            <w:vAlign w:val="center"/>
          </w:tcPr>
          <w:p w14:paraId="7DDB18DD">
            <w:pPr>
              <w:pStyle w:val="14"/>
            </w:pPr>
            <w:r>
              <w:t>1622.27</w:t>
            </w:r>
          </w:p>
        </w:tc>
        <w:tc>
          <w:tcPr>
            <w:tcW w:w="2551" w:type="dxa"/>
            <w:vAlign w:val="center"/>
          </w:tcPr>
          <w:p w14:paraId="3372039B">
            <w:pPr>
              <w:pStyle w:val="14"/>
            </w:pPr>
            <w:r>
              <w:t>431.29</w:t>
            </w:r>
          </w:p>
        </w:tc>
      </w:tr>
      <w:tr w14:paraId="13A93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3908C">
            <w:pPr>
              <w:pStyle w:val="12"/>
            </w:pPr>
            <w:r>
              <w:t>4</w:t>
            </w:r>
          </w:p>
        </w:tc>
        <w:tc>
          <w:tcPr>
            <w:tcW w:w="1191" w:type="dxa"/>
            <w:vAlign w:val="center"/>
          </w:tcPr>
          <w:p w14:paraId="5F29FE1B">
            <w:pPr>
              <w:pStyle w:val="13"/>
            </w:pPr>
            <w:r>
              <w:t>2050201</w:t>
            </w:r>
          </w:p>
        </w:tc>
        <w:tc>
          <w:tcPr>
            <w:tcW w:w="4535" w:type="dxa"/>
            <w:vAlign w:val="center"/>
          </w:tcPr>
          <w:p w14:paraId="0AB305E1">
            <w:pPr>
              <w:pStyle w:val="13"/>
            </w:pPr>
            <w:r>
              <w:t>学前教育</w:t>
            </w:r>
          </w:p>
        </w:tc>
        <w:tc>
          <w:tcPr>
            <w:tcW w:w="2551" w:type="dxa"/>
            <w:vAlign w:val="center"/>
          </w:tcPr>
          <w:p w14:paraId="37677D87">
            <w:pPr>
              <w:pStyle w:val="14"/>
            </w:pPr>
            <w:r>
              <w:t>97.39</w:t>
            </w:r>
          </w:p>
        </w:tc>
        <w:tc>
          <w:tcPr>
            <w:tcW w:w="2551" w:type="dxa"/>
            <w:vAlign w:val="center"/>
          </w:tcPr>
          <w:p w14:paraId="5BD065C9">
            <w:pPr>
              <w:pStyle w:val="14"/>
            </w:pPr>
          </w:p>
        </w:tc>
        <w:tc>
          <w:tcPr>
            <w:tcW w:w="2551" w:type="dxa"/>
            <w:vAlign w:val="center"/>
          </w:tcPr>
          <w:p w14:paraId="40C8AFF8">
            <w:pPr>
              <w:pStyle w:val="14"/>
            </w:pPr>
            <w:r>
              <w:t>97.39</w:t>
            </w:r>
          </w:p>
        </w:tc>
      </w:tr>
      <w:tr w14:paraId="139D4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05DDD">
            <w:pPr>
              <w:pStyle w:val="12"/>
            </w:pPr>
            <w:r>
              <w:t>5</w:t>
            </w:r>
          </w:p>
        </w:tc>
        <w:tc>
          <w:tcPr>
            <w:tcW w:w="1191" w:type="dxa"/>
            <w:vAlign w:val="center"/>
          </w:tcPr>
          <w:p w14:paraId="711CC8CC">
            <w:pPr>
              <w:pStyle w:val="13"/>
            </w:pPr>
            <w:r>
              <w:t>2050202</w:t>
            </w:r>
          </w:p>
        </w:tc>
        <w:tc>
          <w:tcPr>
            <w:tcW w:w="4535" w:type="dxa"/>
            <w:vAlign w:val="center"/>
          </w:tcPr>
          <w:p w14:paraId="21D7B44E">
            <w:pPr>
              <w:pStyle w:val="13"/>
            </w:pPr>
            <w:r>
              <w:t>小学教育</w:t>
            </w:r>
          </w:p>
        </w:tc>
        <w:tc>
          <w:tcPr>
            <w:tcW w:w="2551" w:type="dxa"/>
            <w:vAlign w:val="center"/>
          </w:tcPr>
          <w:p w14:paraId="1CFA51D7">
            <w:pPr>
              <w:pStyle w:val="14"/>
            </w:pPr>
            <w:r>
              <w:t>1956.17</w:t>
            </w:r>
          </w:p>
        </w:tc>
        <w:tc>
          <w:tcPr>
            <w:tcW w:w="2551" w:type="dxa"/>
            <w:vAlign w:val="center"/>
          </w:tcPr>
          <w:p w14:paraId="1B38986F">
            <w:pPr>
              <w:pStyle w:val="14"/>
            </w:pPr>
            <w:r>
              <w:t>1622.27</w:t>
            </w:r>
          </w:p>
        </w:tc>
        <w:tc>
          <w:tcPr>
            <w:tcW w:w="2551" w:type="dxa"/>
            <w:vAlign w:val="center"/>
          </w:tcPr>
          <w:p w14:paraId="179B653A">
            <w:pPr>
              <w:pStyle w:val="14"/>
            </w:pPr>
            <w:r>
              <w:t>333.90</w:t>
            </w:r>
          </w:p>
        </w:tc>
      </w:tr>
    </w:tbl>
    <w:p w14:paraId="3E87AABE">
      <w:pPr>
        <w:sectPr>
          <w:pgSz w:w="16840" w:h="11900" w:orient="landscape"/>
          <w:pgMar w:top="1361" w:right="1020" w:bottom="1134" w:left="1020" w:header="720" w:footer="720" w:gutter="0"/>
          <w:cols w:space="720" w:num="1"/>
        </w:sectPr>
      </w:pPr>
    </w:p>
    <w:p w14:paraId="5B0F00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41F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098D94">
            <w:pPr>
              <w:pStyle w:val="8"/>
            </w:pPr>
            <w:r>
              <w:t>360018隆尧县北楼校区</w:t>
            </w:r>
          </w:p>
        </w:tc>
        <w:tc>
          <w:tcPr>
            <w:tcW w:w="2551" w:type="dxa"/>
            <w:tcBorders>
              <w:top w:val="single" w:color="FFFFFF" w:sz="6" w:space="0"/>
              <w:left w:val="single" w:color="FFFFFF" w:sz="6" w:space="0"/>
              <w:right w:val="single" w:color="FFFFFF" w:sz="6" w:space="0"/>
            </w:tcBorders>
            <w:vAlign w:val="center"/>
          </w:tcPr>
          <w:p w14:paraId="4F8E413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0187473">
            <w:pPr>
              <w:pStyle w:val="10"/>
            </w:pPr>
            <w:r>
              <w:t>单位：万元</w:t>
            </w:r>
          </w:p>
        </w:tc>
      </w:tr>
      <w:tr w14:paraId="13EAD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AF1043">
            <w:pPr>
              <w:pStyle w:val="11"/>
            </w:pPr>
            <w:r>
              <w:t>序号</w:t>
            </w:r>
          </w:p>
        </w:tc>
        <w:tc>
          <w:tcPr>
            <w:tcW w:w="5726" w:type="dxa"/>
            <w:gridSpan w:val="2"/>
            <w:vAlign w:val="center"/>
          </w:tcPr>
          <w:p w14:paraId="5DBE7168">
            <w:pPr>
              <w:pStyle w:val="11"/>
            </w:pPr>
            <w:r>
              <w:t>支出部门经济分类科目</w:t>
            </w:r>
          </w:p>
        </w:tc>
        <w:tc>
          <w:tcPr>
            <w:tcW w:w="7653" w:type="dxa"/>
            <w:gridSpan w:val="3"/>
            <w:vAlign w:val="center"/>
          </w:tcPr>
          <w:p w14:paraId="661DF8A1">
            <w:pPr>
              <w:pStyle w:val="11"/>
            </w:pPr>
            <w:r>
              <w:t>一般公共预算基本支出</w:t>
            </w:r>
          </w:p>
        </w:tc>
      </w:tr>
      <w:tr w14:paraId="21E48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E7CECD"/>
        </w:tc>
        <w:tc>
          <w:tcPr>
            <w:tcW w:w="1191" w:type="dxa"/>
            <w:vAlign w:val="center"/>
          </w:tcPr>
          <w:p w14:paraId="2D08B252">
            <w:pPr>
              <w:pStyle w:val="11"/>
            </w:pPr>
            <w:r>
              <w:t>科目编码</w:t>
            </w:r>
          </w:p>
        </w:tc>
        <w:tc>
          <w:tcPr>
            <w:tcW w:w="4535" w:type="dxa"/>
            <w:vAlign w:val="center"/>
          </w:tcPr>
          <w:p w14:paraId="131C763D">
            <w:pPr>
              <w:pStyle w:val="11"/>
            </w:pPr>
            <w:r>
              <w:t>科目名称</w:t>
            </w:r>
          </w:p>
        </w:tc>
        <w:tc>
          <w:tcPr>
            <w:tcW w:w="2551" w:type="dxa"/>
            <w:vAlign w:val="center"/>
          </w:tcPr>
          <w:p w14:paraId="54C688DE">
            <w:pPr>
              <w:pStyle w:val="11"/>
            </w:pPr>
            <w:r>
              <w:t>合计</w:t>
            </w:r>
          </w:p>
        </w:tc>
        <w:tc>
          <w:tcPr>
            <w:tcW w:w="2551" w:type="dxa"/>
            <w:vAlign w:val="center"/>
          </w:tcPr>
          <w:p w14:paraId="22ADB7A4">
            <w:pPr>
              <w:pStyle w:val="11"/>
            </w:pPr>
            <w:r>
              <w:t>人员经费</w:t>
            </w:r>
          </w:p>
        </w:tc>
        <w:tc>
          <w:tcPr>
            <w:tcW w:w="2551" w:type="dxa"/>
            <w:vAlign w:val="center"/>
          </w:tcPr>
          <w:p w14:paraId="4A42C28B">
            <w:pPr>
              <w:pStyle w:val="11"/>
            </w:pPr>
            <w:r>
              <w:t>公用经费</w:t>
            </w:r>
          </w:p>
        </w:tc>
      </w:tr>
      <w:tr w14:paraId="46857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14570B">
            <w:pPr>
              <w:pStyle w:val="11"/>
            </w:pPr>
            <w:r>
              <w:t>栏次</w:t>
            </w:r>
          </w:p>
        </w:tc>
        <w:tc>
          <w:tcPr>
            <w:tcW w:w="1191" w:type="dxa"/>
            <w:vAlign w:val="center"/>
          </w:tcPr>
          <w:p w14:paraId="2EE92186">
            <w:pPr>
              <w:pStyle w:val="11"/>
            </w:pPr>
            <w:r>
              <w:t>1</w:t>
            </w:r>
          </w:p>
        </w:tc>
        <w:tc>
          <w:tcPr>
            <w:tcW w:w="4535" w:type="dxa"/>
            <w:vAlign w:val="center"/>
          </w:tcPr>
          <w:p w14:paraId="7775FA41">
            <w:pPr>
              <w:pStyle w:val="11"/>
            </w:pPr>
            <w:r>
              <w:t>2</w:t>
            </w:r>
          </w:p>
        </w:tc>
        <w:tc>
          <w:tcPr>
            <w:tcW w:w="2551" w:type="dxa"/>
            <w:vAlign w:val="center"/>
          </w:tcPr>
          <w:p w14:paraId="2FDDDC71">
            <w:pPr>
              <w:pStyle w:val="11"/>
            </w:pPr>
            <w:r>
              <w:t>3</w:t>
            </w:r>
          </w:p>
        </w:tc>
        <w:tc>
          <w:tcPr>
            <w:tcW w:w="2551" w:type="dxa"/>
            <w:vAlign w:val="center"/>
          </w:tcPr>
          <w:p w14:paraId="2AC1C0F5">
            <w:pPr>
              <w:pStyle w:val="11"/>
            </w:pPr>
            <w:r>
              <w:t>4</w:t>
            </w:r>
          </w:p>
        </w:tc>
        <w:tc>
          <w:tcPr>
            <w:tcW w:w="2551" w:type="dxa"/>
            <w:vAlign w:val="center"/>
          </w:tcPr>
          <w:p w14:paraId="04CA0EEB">
            <w:pPr>
              <w:pStyle w:val="11"/>
            </w:pPr>
            <w:r>
              <w:t>5</w:t>
            </w:r>
          </w:p>
        </w:tc>
      </w:tr>
      <w:tr w14:paraId="5E72B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2AB9A">
            <w:pPr>
              <w:pStyle w:val="12"/>
            </w:pPr>
            <w:r>
              <w:t>1</w:t>
            </w:r>
          </w:p>
        </w:tc>
        <w:tc>
          <w:tcPr>
            <w:tcW w:w="1191" w:type="dxa"/>
            <w:vAlign w:val="center"/>
          </w:tcPr>
          <w:p w14:paraId="1087E838">
            <w:pPr>
              <w:pStyle w:val="17"/>
            </w:pPr>
          </w:p>
        </w:tc>
        <w:tc>
          <w:tcPr>
            <w:tcW w:w="4535" w:type="dxa"/>
            <w:vAlign w:val="center"/>
          </w:tcPr>
          <w:p w14:paraId="7B81C3D8">
            <w:pPr>
              <w:pStyle w:val="15"/>
            </w:pPr>
            <w:r>
              <w:t>合计</w:t>
            </w:r>
          </w:p>
        </w:tc>
        <w:tc>
          <w:tcPr>
            <w:tcW w:w="2551" w:type="dxa"/>
            <w:vAlign w:val="center"/>
          </w:tcPr>
          <w:p w14:paraId="5AD2AC1D">
            <w:pPr>
              <w:pStyle w:val="16"/>
            </w:pPr>
            <w:r>
              <w:t>1622.27</w:t>
            </w:r>
          </w:p>
        </w:tc>
        <w:tc>
          <w:tcPr>
            <w:tcW w:w="2551" w:type="dxa"/>
            <w:vAlign w:val="center"/>
          </w:tcPr>
          <w:p w14:paraId="5F572623">
            <w:pPr>
              <w:pStyle w:val="16"/>
            </w:pPr>
            <w:r>
              <w:t>1622.27</w:t>
            </w:r>
          </w:p>
        </w:tc>
        <w:tc>
          <w:tcPr>
            <w:tcW w:w="2551" w:type="dxa"/>
            <w:vAlign w:val="center"/>
          </w:tcPr>
          <w:p w14:paraId="0BDCE527">
            <w:pPr>
              <w:pStyle w:val="16"/>
            </w:pPr>
          </w:p>
        </w:tc>
      </w:tr>
      <w:tr w14:paraId="1B7D1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E96DA">
            <w:pPr>
              <w:pStyle w:val="12"/>
            </w:pPr>
            <w:r>
              <w:t>2</w:t>
            </w:r>
          </w:p>
        </w:tc>
        <w:tc>
          <w:tcPr>
            <w:tcW w:w="1191" w:type="dxa"/>
            <w:vAlign w:val="center"/>
          </w:tcPr>
          <w:p w14:paraId="38CF521B">
            <w:pPr>
              <w:pStyle w:val="13"/>
            </w:pPr>
            <w:r>
              <w:t>301</w:t>
            </w:r>
          </w:p>
        </w:tc>
        <w:tc>
          <w:tcPr>
            <w:tcW w:w="4535" w:type="dxa"/>
            <w:vAlign w:val="center"/>
          </w:tcPr>
          <w:p w14:paraId="409F0D40">
            <w:pPr>
              <w:pStyle w:val="13"/>
            </w:pPr>
            <w:r>
              <w:t>工资福利支出</w:t>
            </w:r>
          </w:p>
        </w:tc>
        <w:tc>
          <w:tcPr>
            <w:tcW w:w="2551" w:type="dxa"/>
            <w:vAlign w:val="center"/>
          </w:tcPr>
          <w:p w14:paraId="5A44F8B5">
            <w:pPr>
              <w:pStyle w:val="14"/>
            </w:pPr>
            <w:r>
              <w:t>1517.19</w:t>
            </w:r>
          </w:p>
        </w:tc>
        <w:tc>
          <w:tcPr>
            <w:tcW w:w="2551" w:type="dxa"/>
            <w:vAlign w:val="center"/>
          </w:tcPr>
          <w:p w14:paraId="65338335">
            <w:pPr>
              <w:pStyle w:val="14"/>
            </w:pPr>
            <w:r>
              <w:t>1517.19</w:t>
            </w:r>
          </w:p>
        </w:tc>
        <w:tc>
          <w:tcPr>
            <w:tcW w:w="2551" w:type="dxa"/>
            <w:vAlign w:val="center"/>
          </w:tcPr>
          <w:p w14:paraId="679DBD86">
            <w:pPr>
              <w:pStyle w:val="14"/>
            </w:pPr>
          </w:p>
        </w:tc>
      </w:tr>
      <w:tr w14:paraId="22769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FDC73">
            <w:pPr>
              <w:pStyle w:val="12"/>
            </w:pPr>
            <w:r>
              <w:t>3</w:t>
            </w:r>
          </w:p>
        </w:tc>
        <w:tc>
          <w:tcPr>
            <w:tcW w:w="1191" w:type="dxa"/>
            <w:vAlign w:val="center"/>
          </w:tcPr>
          <w:p w14:paraId="333E4156">
            <w:pPr>
              <w:pStyle w:val="13"/>
            </w:pPr>
            <w:r>
              <w:t>30101</w:t>
            </w:r>
          </w:p>
        </w:tc>
        <w:tc>
          <w:tcPr>
            <w:tcW w:w="4535" w:type="dxa"/>
            <w:vAlign w:val="center"/>
          </w:tcPr>
          <w:p w14:paraId="504083DB">
            <w:pPr>
              <w:pStyle w:val="13"/>
            </w:pPr>
            <w:r>
              <w:t>基本工资</w:t>
            </w:r>
          </w:p>
        </w:tc>
        <w:tc>
          <w:tcPr>
            <w:tcW w:w="2551" w:type="dxa"/>
            <w:vAlign w:val="center"/>
          </w:tcPr>
          <w:p w14:paraId="2DC366DA">
            <w:pPr>
              <w:pStyle w:val="14"/>
            </w:pPr>
            <w:r>
              <w:t>680.97</w:t>
            </w:r>
          </w:p>
        </w:tc>
        <w:tc>
          <w:tcPr>
            <w:tcW w:w="2551" w:type="dxa"/>
            <w:vAlign w:val="center"/>
          </w:tcPr>
          <w:p w14:paraId="26785AB9">
            <w:pPr>
              <w:pStyle w:val="14"/>
            </w:pPr>
            <w:r>
              <w:t>680.97</w:t>
            </w:r>
          </w:p>
        </w:tc>
        <w:tc>
          <w:tcPr>
            <w:tcW w:w="2551" w:type="dxa"/>
            <w:vAlign w:val="center"/>
          </w:tcPr>
          <w:p w14:paraId="1B6BC43F">
            <w:pPr>
              <w:pStyle w:val="14"/>
            </w:pPr>
          </w:p>
        </w:tc>
      </w:tr>
      <w:tr w14:paraId="16CBF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CB3EC">
            <w:pPr>
              <w:pStyle w:val="12"/>
            </w:pPr>
            <w:r>
              <w:t>4</w:t>
            </w:r>
          </w:p>
        </w:tc>
        <w:tc>
          <w:tcPr>
            <w:tcW w:w="1191" w:type="dxa"/>
            <w:vAlign w:val="center"/>
          </w:tcPr>
          <w:p w14:paraId="65448DE1">
            <w:pPr>
              <w:pStyle w:val="13"/>
            </w:pPr>
            <w:r>
              <w:t>30102</w:t>
            </w:r>
          </w:p>
        </w:tc>
        <w:tc>
          <w:tcPr>
            <w:tcW w:w="4535" w:type="dxa"/>
            <w:vAlign w:val="center"/>
          </w:tcPr>
          <w:p w14:paraId="40979D9A">
            <w:pPr>
              <w:pStyle w:val="13"/>
            </w:pPr>
            <w:r>
              <w:t>津贴补贴</w:t>
            </w:r>
          </w:p>
        </w:tc>
        <w:tc>
          <w:tcPr>
            <w:tcW w:w="2551" w:type="dxa"/>
            <w:vAlign w:val="center"/>
          </w:tcPr>
          <w:p w14:paraId="588C8B59">
            <w:pPr>
              <w:pStyle w:val="14"/>
            </w:pPr>
            <w:r>
              <w:t>65.38</w:t>
            </w:r>
          </w:p>
        </w:tc>
        <w:tc>
          <w:tcPr>
            <w:tcW w:w="2551" w:type="dxa"/>
            <w:vAlign w:val="center"/>
          </w:tcPr>
          <w:p w14:paraId="4F676F62">
            <w:pPr>
              <w:pStyle w:val="14"/>
            </w:pPr>
            <w:r>
              <w:t>65.38</w:t>
            </w:r>
          </w:p>
        </w:tc>
        <w:tc>
          <w:tcPr>
            <w:tcW w:w="2551" w:type="dxa"/>
            <w:vAlign w:val="center"/>
          </w:tcPr>
          <w:p w14:paraId="36AC7FC2">
            <w:pPr>
              <w:pStyle w:val="14"/>
            </w:pPr>
          </w:p>
        </w:tc>
      </w:tr>
      <w:tr w14:paraId="0C196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2FEF0">
            <w:pPr>
              <w:pStyle w:val="12"/>
            </w:pPr>
            <w:r>
              <w:t>5</w:t>
            </w:r>
          </w:p>
        </w:tc>
        <w:tc>
          <w:tcPr>
            <w:tcW w:w="1191" w:type="dxa"/>
            <w:vAlign w:val="center"/>
          </w:tcPr>
          <w:p w14:paraId="178C7A6E">
            <w:pPr>
              <w:pStyle w:val="13"/>
            </w:pPr>
            <w:r>
              <w:t>30107</w:t>
            </w:r>
          </w:p>
        </w:tc>
        <w:tc>
          <w:tcPr>
            <w:tcW w:w="4535" w:type="dxa"/>
            <w:vAlign w:val="center"/>
          </w:tcPr>
          <w:p w14:paraId="23D7A942">
            <w:pPr>
              <w:pStyle w:val="13"/>
            </w:pPr>
            <w:r>
              <w:t>绩效工资</w:t>
            </w:r>
          </w:p>
        </w:tc>
        <w:tc>
          <w:tcPr>
            <w:tcW w:w="2551" w:type="dxa"/>
            <w:vAlign w:val="center"/>
          </w:tcPr>
          <w:p w14:paraId="569059D8">
            <w:pPr>
              <w:pStyle w:val="14"/>
            </w:pPr>
            <w:r>
              <w:t>414.55</w:t>
            </w:r>
          </w:p>
        </w:tc>
        <w:tc>
          <w:tcPr>
            <w:tcW w:w="2551" w:type="dxa"/>
            <w:vAlign w:val="center"/>
          </w:tcPr>
          <w:p w14:paraId="700778F0">
            <w:pPr>
              <w:pStyle w:val="14"/>
            </w:pPr>
            <w:r>
              <w:t>414.55</w:t>
            </w:r>
          </w:p>
        </w:tc>
        <w:tc>
          <w:tcPr>
            <w:tcW w:w="2551" w:type="dxa"/>
            <w:vAlign w:val="center"/>
          </w:tcPr>
          <w:p w14:paraId="745782EC">
            <w:pPr>
              <w:pStyle w:val="14"/>
            </w:pPr>
          </w:p>
        </w:tc>
      </w:tr>
      <w:tr w14:paraId="1E9A3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5A717">
            <w:pPr>
              <w:pStyle w:val="12"/>
            </w:pPr>
            <w:r>
              <w:t>6</w:t>
            </w:r>
          </w:p>
        </w:tc>
        <w:tc>
          <w:tcPr>
            <w:tcW w:w="1191" w:type="dxa"/>
            <w:vAlign w:val="center"/>
          </w:tcPr>
          <w:p w14:paraId="4A6B4700">
            <w:pPr>
              <w:pStyle w:val="13"/>
            </w:pPr>
            <w:r>
              <w:t>30108</w:t>
            </w:r>
          </w:p>
        </w:tc>
        <w:tc>
          <w:tcPr>
            <w:tcW w:w="4535" w:type="dxa"/>
            <w:vAlign w:val="center"/>
          </w:tcPr>
          <w:p w14:paraId="4D014848">
            <w:pPr>
              <w:pStyle w:val="13"/>
            </w:pPr>
            <w:r>
              <w:t>机关事业单位基本养老保险缴费</w:t>
            </w:r>
          </w:p>
        </w:tc>
        <w:tc>
          <w:tcPr>
            <w:tcW w:w="2551" w:type="dxa"/>
            <w:vAlign w:val="center"/>
          </w:tcPr>
          <w:p w14:paraId="3B9698CB">
            <w:pPr>
              <w:pStyle w:val="14"/>
            </w:pPr>
            <w:r>
              <w:t>175.78</w:t>
            </w:r>
          </w:p>
        </w:tc>
        <w:tc>
          <w:tcPr>
            <w:tcW w:w="2551" w:type="dxa"/>
            <w:vAlign w:val="center"/>
          </w:tcPr>
          <w:p w14:paraId="4A1AD1B7">
            <w:pPr>
              <w:pStyle w:val="14"/>
            </w:pPr>
            <w:r>
              <w:t>175.78</w:t>
            </w:r>
          </w:p>
        </w:tc>
        <w:tc>
          <w:tcPr>
            <w:tcW w:w="2551" w:type="dxa"/>
            <w:vAlign w:val="center"/>
          </w:tcPr>
          <w:p w14:paraId="1A6ABCD1">
            <w:pPr>
              <w:pStyle w:val="14"/>
            </w:pPr>
          </w:p>
        </w:tc>
      </w:tr>
      <w:tr w14:paraId="31741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A5658">
            <w:pPr>
              <w:pStyle w:val="12"/>
            </w:pPr>
            <w:r>
              <w:t>7</w:t>
            </w:r>
          </w:p>
        </w:tc>
        <w:tc>
          <w:tcPr>
            <w:tcW w:w="1191" w:type="dxa"/>
            <w:vAlign w:val="center"/>
          </w:tcPr>
          <w:p w14:paraId="3C4B512C">
            <w:pPr>
              <w:pStyle w:val="13"/>
            </w:pPr>
            <w:r>
              <w:t>30110</w:t>
            </w:r>
          </w:p>
        </w:tc>
        <w:tc>
          <w:tcPr>
            <w:tcW w:w="4535" w:type="dxa"/>
            <w:vAlign w:val="center"/>
          </w:tcPr>
          <w:p w14:paraId="352230FE">
            <w:pPr>
              <w:pStyle w:val="13"/>
            </w:pPr>
            <w:r>
              <w:t>职工基本医疗保险缴费</w:t>
            </w:r>
          </w:p>
        </w:tc>
        <w:tc>
          <w:tcPr>
            <w:tcW w:w="2551" w:type="dxa"/>
            <w:vAlign w:val="center"/>
          </w:tcPr>
          <w:p w14:paraId="796487C2">
            <w:pPr>
              <w:pStyle w:val="14"/>
            </w:pPr>
            <w:r>
              <w:t>67.52</w:t>
            </w:r>
          </w:p>
        </w:tc>
        <w:tc>
          <w:tcPr>
            <w:tcW w:w="2551" w:type="dxa"/>
            <w:vAlign w:val="center"/>
          </w:tcPr>
          <w:p w14:paraId="0F57C186">
            <w:pPr>
              <w:pStyle w:val="14"/>
            </w:pPr>
            <w:r>
              <w:t>67.52</w:t>
            </w:r>
          </w:p>
        </w:tc>
        <w:tc>
          <w:tcPr>
            <w:tcW w:w="2551" w:type="dxa"/>
            <w:vAlign w:val="center"/>
          </w:tcPr>
          <w:p w14:paraId="40F88970">
            <w:pPr>
              <w:pStyle w:val="14"/>
            </w:pPr>
          </w:p>
        </w:tc>
      </w:tr>
      <w:tr w14:paraId="064A1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8B8FD">
            <w:pPr>
              <w:pStyle w:val="12"/>
            </w:pPr>
            <w:r>
              <w:t>8</w:t>
            </w:r>
          </w:p>
        </w:tc>
        <w:tc>
          <w:tcPr>
            <w:tcW w:w="1191" w:type="dxa"/>
            <w:vAlign w:val="center"/>
          </w:tcPr>
          <w:p w14:paraId="5C3B5F2A">
            <w:pPr>
              <w:pStyle w:val="13"/>
            </w:pPr>
            <w:r>
              <w:t>30112</w:t>
            </w:r>
          </w:p>
        </w:tc>
        <w:tc>
          <w:tcPr>
            <w:tcW w:w="4535" w:type="dxa"/>
            <w:vAlign w:val="center"/>
          </w:tcPr>
          <w:p w14:paraId="4FA98E9B">
            <w:pPr>
              <w:pStyle w:val="13"/>
            </w:pPr>
            <w:r>
              <w:t>其他社会保障缴费</w:t>
            </w:r>
          </w:p>
        </w:tc>
        <w:tc>
          <w:tcPr>
            <w:tcW w:w="2551" w:type="dxa"/>
            <w:vAlign w:val="center"/>
          </w:tcPr>
          <w:p w14:paraId="10A6EC9E">
            <w:pPr>
              <w:pStyle w:val="14"/>
            </w:pPr>
            <w:r>
              <w:t>5.51</w:t>
            </w:r>
          </w:p>
        </w:tc>
        <w:tc>
          <w:tcPr>
            <w:tcW w:w="2551" w:type="dxa"/>
            <w:vAlign w:val="center"/>
          </w:tcPr>
          <w:p w14:paraId="78492090">
            <w:pPr>
              <w:pStyle w:val="14"/>
            </w:pPr>
            <w:r>
              <w:t>5.51</w:t>
            </w:r>
          </w:p>
        </w:tc>
        <w:tc>
          <w:tcPr>
            <w:tcW w:w="2551" w:type="dxa"/>
            <w:vAlign w:val="center"/>
          </w:tcPr>
          <w:p w14:paraId="0A9E816D">
            <w:pPr>
              <w:pStyle w:val="14"/>
            </w:pPr>
          </w:p>
        </w:tc>
      </w:tr>
      <w:tr w14:paraId="7D233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79ECC">
            <w:pPr>
              <w:pStyle w:val="12"/>
            </w:pPr>
            <w:r>
              <w:t>9</w:t>
            </w:r>
          </w:p>
        </w:tc>
        <w:tc>
          <w:tcPr>
            <w:tcW w:w="1191" w:type="dxa"/>
            <w:vAlign w:val="center"/>
          </w:tcPr>
          <w:p w14:paraId="704F7F50">
            <w:pPr>
              <w:pStyle w:val="13"/>
            </w:pPr>
            <w:r>
              <w:t>30113</w:t>
            </w:r>
          </w:p>
        </w:tc>
        <w:tc>
          <w:tcPr>
            <w:tcW w:w="4535" w:type="dxa"/>
            <w:vAlign w:val="center"/>
          </w:tcPr>
          <w:p w14:paraId="039991E5">
            <w:pPr>
              <w:pStyle w:val="13"/>
            </w:pPr>
            <w:r>
              <w:t>住房公积金</w:t>
            </w:r>
          </w:p>
        </w:tc>
        <w:tc>
          <w:tcPr>
            <w:tcW w:w="2551" w:type="dxa"/>
            <w:vAlign w:val="center"/>
          </w:tcPr>
          <w:p w14:paraId="79574194">
            <w:pPr>
              <w:pStyle w:val="14"/>
            </w:pPr>
            <w:r>
              <w:t>107.48</w:t>
            </w:r>
          </w:p>
        </w:tc>
        <w:tc>
          <w:tcPr>
            <w:tcW w:w="2551" w:type="dxa"/>
            <w:vAlign w:val="center"/>
          </w:tcPr>
          <w:p w14:paraId="2D10BE1D">
            <w:pPr>
              <w:pStyle w:val="14"/>
            </w:pPr>
            <w:r>
              <w:t>107.48</w:t>
            </w:r>
          </w:p>
        </w:tc>
        <w:tc>
          <w:tcPr>
            <w:tcW w:w="2551" w:type="dxa"/>
            <w:vAlign w:val="center"/>
          </w:tcPr>
          <w:p w14:paraId="7E3B9E1B">
            <w:pPr>
              <w:pStyle w:val="14"/>
            </w:pPr>
          </w:p>
        </w:tc>
      </w:tr>
      <w:tr w14:paraId="122F2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24F94">
            <w:pPr>
              <w:pStyle w:val="12"/>
            </w:pPr>
            <w:r>
              <w:t>10</w:t>
            </w:r>
          </w:p>
        </w:tc>
        <w:tc>
          <w:tcPr>
            <w:tcW w:w="1191" w:type="dxa"/>
            <w:vAlign w:val="center"/>
          </w:tcPr>
          <w:p w14:paraId="51A342B8">
            <w:pPr>
              <w:pStyle w:val="13"/>
            </w:pPr>
            <w:r>
              <w:t>303</w:t>
            </w:r>
          </w:p>
        </w:tc>
        <w:tc>
          <w:tcPr>
            <w:tcW w:w="4535" w:type="dxa"/>
            <w:vAlign w:val="center"/>
          </w:tcPr>
          <w:p w14:paraId="5B8DA750">
            <w:pPr>
              <w:pStyle w:val="13"/>
            </w:pPr>
            <w:r>
              <w:t>对个人和家庭的补助</w:t>
            </w:r>
          </w:p>
        </w:tc>
        <w:tc>
          <w:tcPr>
            <w:tcW w:w="2551" w:type="dxa"/>
            <w:vAlign w:val="center"/>
          </w:tcPr>
          <w:p w14:paraId="74AB1A7C">
            <w:pPr>
              <w:pStyle w:val="14"/>
            </w:pPr>
            <w:r>
              <w:t>105.08</w:t>
            </w:r>
          </w:p>
        </w:tc>
        <w:tc>
          <w:tcPr>
            <w:tcW w:w="2551" w:type="dxa"/>
            <w:vAlign w:val="center"/>
          </w:tcPr>
          <w:p w14:paraId="57D6567A">
            <w:pPr>
              <w:pStyle w:val="14"/>
            </w:pPr>
            <w:r>
              <w:t>105.08</w:t>
            </w:r>
          </w:p>
        </w:tc>
        <w:tc>
          <w:tcPr>
            <w:tcW w:w="2551" w:type="dxa"/>
            <w:vAlign w:val="center"/>
          </w:tcPr>
          <w:p w14:paraId="28DC6AD5">
            <w:pPr>
              <w:pStyle w:val="14"/>
            </w:pPr>
          </w:p>
        </w:tc>
      </w:tr>
      <w:tr w14:paraId="2A62D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C95A3">
            <w:pPr>
              <w:pStyle w:val="12"/>
            </w:pPr>
            <w:r>
              <w:t>11</w:t>
            </w:r>
          </w:p>
        </w:tc>
        <w:tc>
          <w:tcPr>
            <w:tcW w:w="1191" w:type="dxa"/>
            <w:vAlign w:val="center"/>
          </w:tcPr>
          <w:p w14:paraId="0038A9AD">
            <w:pPr>
              <w:pStyle w:val="13"/>
            </w:pPr>
            <w:r>
              <w:t>30302</w:t>
            </w:r>
          </w:p>
        </w:tc>
        <w:tc>
          <w:tcPr>
            <w:tcW w:w="4535" w:type="dxa"/>
            <w:vAlign w:val="center"/>
          </w:tcPr>
          <w:p w14:paraId="06B05F3C">
            <w:pPr>
              <w:pStyle w:val="13"/>
            </w:pPr>
            <w:r>
              <w:t>退休费</w:t>
            </w:r>
          </w:p>
        </w:tc>
        <w:tc>
          <w:tcPr>
            <w:tcW w:w="2551" w:type="dxa"/>
            <w:vAlign w:val="center"/>
          </w:tcPr>
          <w:p w14:paraId="7FD1FDC0">
            <w:pPr>
              <w:pStyle w:val="14"/>
            </w:pPr>
            <w:r>
              <w:t>96.08</w:t>
            </w:r>
          </w:p>
        </w:tc>
        <w:tc>
          <w:tcPr>
            <w:tcW w:w="2551" w:type="dxa"/>
            <w:vAlign w:val="center"/>
          </w:tcPr>
          <w:p w14:paraId="41225C74">
            <w:pPr>
              <w:pStyle w:val="14"/>
            </w:pPr>
            <w:r>
              <w:t>96.08</w:t>
            </w:r>
          </w:p>
        </w:tc>
        <w:tc>
          <w:tcPr>
            <w:tcW w:w="2551" w:type="dxa"/>
            <w:vAlign w:val="center"/>
          </w:tcPr>
          <w:p w14:paraId="7BE80974">
            <w:pPr>
              <w:pStyle w:val="14"/>
            </w:pPr>
          </w:p>
        </w:tc>
      </w:tr>
      <w:tr w14:paraId="7148A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C7E6C">
            <w:pPr>
              <w:pStyle w:val="12"/>
            </w:pPr>
            <w:r>
              <w:t>12</w:t>
            </w:r>
          </w:p>
        </w:tc>
        <w:tc>
          <w:tcPr>
            <w:tcW w:w="1191" w:type="dxa"/>
            <w:vAlign w:val="center"/>
          </w:tcPr>
          <w:p w14:paraId="56CA2298">
            <w:pPr>
              <w:pStyle w:val="13"/>
            </w:pPr>
            <w:r>
              <w:t>30305</w:t>
            </w:r>
          </w:p>
        </w:tc>
        <w:tc>
          <w:tcPr>
            <w:tcW w:w="4535" w:type="dxa"/>
            <w:vAlign w:val="center"/>
          </w:tcPr>
          <w:p w14:paraId="53D9180C">
            <w:pPr>
              <w:pStyle w:val="13"/>
            </w:pPr>
            <w:r>
              <w:t>生活补助</w:t>
            </w:r>
          </w:p>
        </w:tc>
        <w:tc>
          <w:tcPr>
            <w:tcW w:w="2551" w:type="dxa"/>
            <w:vAlign w:val="center"/>
          </w:tcPr>
          <w:p w14:paraId="12C298AB">
            <w:pPr>
              <w:pStyle w:val="14"/>
            </w:pPr>
            <w:r>
              <w:t>9.00</w:t>
            </w:r>
          </w:p>
        </w:tc>
        <w:tc>
          <w:tcPr>
            <w:tcW w:w="2551" w:type="dxa"/>
            <w:vAlign w:val="center"/>
          </w:tcPr>
          <w:p w14:paraId="10680A1D">
            <w:pPr>
              <w:pStyle w:val="14"/>
            </w:pPr>
            <w:r>
              <w:t>9.00</w:t>
            </w:r>
          </w:p>
        </w:tc>
        <w:tc>
          <w:tcPr>
            <w:tcW w:w="2551" w:type="dxa"/>
            <w:vAlign w:val="center"/>
          </w:tcPr>
          <w:p w14:paraId="3700F354">
            <w:pPr>
              <w:pStyle w:val="14"/>
            </w:pPr>
          </w:p>
        </w:tc>
      </w:tr>
    </w:tbl>
    <w:p w14:paraId="7E47D49B">
      <w:pPr>
        <w:sectPr>
          <w:pgSz w:w="16840" w:h="11900" w:orient="landscape"/>
          <w:pgMar w:top="1361" w:right="1020" w:bottom="1134" w:left="1020" w:header="720" w:footer="720" w:gutter="0"/>
          <w:cols w:space="720" w:num="1"/>
        </w:sectPr>
      </w:pPr>
    </w:p>
    <w:p w14:paraId="1B327E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0A5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064D96">
            <w:pPr>
              <w:pStyle w:val="8"/>
            </w:pPr>
            <w:r>
              <w:t>360018隆尧县北楼校区</w:t>
            </w:r>
          </w:p>
        </w:tc>
        <w:tc>
          <w:tcPr>
            <w:tcW w:w="2551" w:type="dxa"/>
            <w:tcBorders>
              <w:top w:val="single" w:color="FFFFFF" w:sz="6" w:space="0"/>
              <w:left w:val="single" w:color="FFFFFF" w:sz="6" w:space="0"/>
              <w:right w:val="single" w:color="FFFFFF" w:sz="6" w:space="0"/>
            </w:tcBorders>
            <w:vAlign w:val="center"/>
          </w:tcPr>
          <w:p w14:paraId="6926BC5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57AD928">
            <w:pPr>
              <w:pStyle w:val="10"/>
            </w:pPr>
            <w:r>
              <w:t>单位：万元</w:t>
            </w:r>
          </w:p>
        </w:tc>
      </w:tr>
      <w:tr w14:paraId="26308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D03F6F">
            <w:pPr>
              <w:pStyle w:val="11"/>
            </w:pPr>
            <w:r>
              <w:t>序号</w:t>
            </w:r>
          </w:p>
        </w:tc>
        <w:tc>
          <w:tcPr>
            <w:tcW w:w="5726" w:type="dxa"/>
            <w:gridSpan w:val="2"/>
            <w:vAlign w:val="center"/>
          </w:tcPr>
          <w:p w14:paraId="153E5416">
            <w:pPr>
              <w:pStyle w:val="11"/>
            </w:pPr>
            <w:r>
              <w:t>功能分类科目</w:t>
            </w:r>
          </w:p>
        </w:tc>
        <w:tc>
          <w:tcPr>
            <w:tcW w:w="2551" w:type="dxa"/>
            <w:vMerge w:val="restart"/>
            <w:vAlign w:val="center"/>
          </w:tcPr>
          <w:p w14:paraId="3CF27836">
            <w:pPr>
              <w:pStyle w:val="11"/>
            </w:pPr>
            <w:r>
              <w:t>合计</w:t>
            </w:r>
          </w:p>
        </w:tc>
        <w:tc>
          <w:tcPr>
            <w:tcW w:w="2551" w:type="dxa"/>
            <w:vMerge w:val="restart"/>
            <w:vAlign w:val="center"/>
          </w:tcPr>
          <w:p w14:paraId="2B4735AC">
            <w:pPr>
              <w:pStyle w:val="11"/>
            </w:pPr>
            <w:r>
              <w:t>基本支出</w:t>
            </w:r>
          </w:p>
        </w:tc>
        <w:tc>
          <w:tcPr>
            <w:tcW w:w="2551" w:type="dxa"/>
            <w:vMerge w:val="restart"/>
            <w:vAlign w:val="center"/>
          </w:tcPr>
          <w:p w14:paraId="251C9F61">
            <w:pPr>
              <w:pStyle w:val="11"/>
            </w:pPr>
            <w:r>
              <w:t>项目支出</w:t>
            </w:r>
          </w:p>
        </w:tc>
      </w:tr>
      <w:tr w14:paraId="16074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6B5353"/>
        </w:tc>
        <w:tc>
          <w:tcPr>
            <w:tcW w:w="1191" w:type="dxa"/>
            <w:vAlign w:val="center"/>
          </w:tcPr>
          <w:p w14:paraId="5CE1C4F1">
            <w:pPr>
              <w:pStyle w:val="11"/>
            </w:pPr>
            <w:r>
              <w:t>科目编码</w:t>
            </w:r>
          </w:p>
        </w:tc>
        <w:tc>
          <w:tcPr>
            <w:tcW w:w="4535" w:type="dxa"/>
            <w:vAlign w:val="center"/>
          </w:tcPr>
          <w:p w14:paraId="27A7F453">
            <w:pPr>
              <w:pStyle w:val="11"/>
            </w:pPr>
            <w:r>
              <w:t>科目名称</w:t>
            </w:r>
          </w:p>
        </w:tc>
        <w:tc>
          <w:tcPr>
            <w:tcW w:w="2551" w:type="dxa"/>
            <w:vMerge w:val="continue"/>
          </w:tcPr>
          <w:p w14:paraId="17CC26F0"/>
        </w:tc>
        <w:tc>
          <w:tcPr>
            <w:tcW w:w="2551" w:type="dxa"/>
            <w:vMerge w:val="continue"/>
          </w:tcPr>
          <w:p w14:paraId="7BE343B6"/>
        </w:tc>
        <w:tc>
          <w:tcPr>
            <w:tcW w:w="2551" w:type="dxa"/>
            <w:vMerge w:val="continue"/>
          </w:tcPr>
          <w:p w14:paraId="30428A62"/>
        </w:tc>
      </w:tr>
      <w:tr w14:paraId="455A4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7B32AE">
            <w:pPr>
              <w:pStyle w:val="11"/>
            </w:pPr>
            <w:r>
              <w:t>栏次</w:t>
            </w:r>
          </w:p>
        </w:tc>
        <w:tc>
          <w:tcPr>
            <w:tcW w:w="1191" w:type="dxa"/>
            <w:vAlign w:val="center"/>
          </w:tcPr>
          <w:p w14:paraId="7D5AB1E6">
            <w:pPr>
              <w:pStyle w:val="11"/>
            </w:pPr>
            <w:r>
              <w:t>1</w:t>
            </w:r>
          </w:p>
        </w:tc>
        <w:tc>
          <w:tcPr>
            <w:tcW w:w="4535" w:type="dxa"/>
            <w:vAlign w:val="center"/>
          </w:tcPr>
          <w:p w14:paraId="6EDD3CE8">
            <w:pPr>
              <w:pStyle w:val="11"/>
            </w:pPr>
            <w:r>
              <w:t>2</w:t>
            </w:r>
          </w:p>
        </w:tc>
        <w:tc>
          <w:tcPr>
            <w:tcW w:w="2551" w:type="dxa"/>
            <w:vAlign w:val="center"/>
          </w:tcPr>
          <w:p w14:paraId="5645E8F1">
            <w:pPr>
              <w:pStyle w:val="11"/>
            </w:pPr>
            <w:r>
              <w:t>3</w:t>
            </w:r>
          </w:p>
        </w:tc>
        <w:tc>
          <w:tcPr>
            <w:tcW w:w="2551" w:type="dxa"/>
            <w:vAlign w:val="center"/>
          </w:tcPr>
          <w:p w14:paraId="2E6E543A">
            <w:pPr>
              <w:pStyle w:val="11"/>
            </w:pPr>
            <w:r>
              <w:t>4</w:t>
            </w:r>
          </w:p>
        </w:tc>
        <w:tc>
          <w:tcPr>
            <w:tcW w:w="2551" w:type="dxa"/>
            <w:vAlign w:val="center"/>
          </w:tcPr>
          <w:p w14:paraId="05DF6EFC">
            <w:pPr>
              <w:pStyle w:val="11"/>
            </w:pPr>
            <w:r>
              <w:t>5</w:t>
            </w:r>
          </w:p>
        </w:tc>
      </w:tr>
      <w:tr w14:paraId="6ECE6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90A2A">
            <w:pPr>
              <w:pStyle w:val="12"/>
            </w:pPr>
          </w:p>
        </w:tc>
        <w:tc>
          <w:tcPr>
            <w:tcW w:w="1191" w:type="dxa"/>
            <w:vAlign w:val="center"/>
          </w:tcPr>
          <w:p w14:paraId="4AD86E1E">
            <w:pPr>
              <w:pStyle w:val="13"/>
            </w:pPr>
          </w:p>
        </w:tc>
        <w:tc>
          <w:tcPr>
            <w:tcW w:w="4535" w:type="dxa"/>
            <w:vAlign w:val="center"/>
          </w:tcPr>
          <w:p w14:paraId="560C667C">
            <w:pPr>
              <w:pStyle w:val="13"/>
            </w:pPr>
          </w:p>
        </w:tc>
        <w:tc>
          <w:tcPr>
            <w:tcW w:w="2551" w:type="dxa"/>
            <w:vAlign w:val="center"/>
          </w:tcPr>
          <w:p w14:paraId="7115400B">
            <w:pPr>
              <w:pStyle w:val="14"/>
            </w:pPr>
          </w:p>
        </w:tc>
        <w:tc>
          <w:tcPr>
            <w:tcW w:w="2551" w:type="dxa"/>
            <w:vAlign w:val="center"/>
          </w:tcPr>
          <w:p w14:paraId="429C52F1">
            <w:pPr>
              <w:pStyle w:val="14"/>
            </w:pPr>
          </w:p>
        </w:tc>
        <w:tc>
          <w:tcPr>
            <w:tcW w:w="2551" w:type="dxa"/>
            <w:vAlign w:val="center"/>
          </w:tcPr>
          <w:p w14:paraId="6AB6D103">
            <w:pPr>
              <w:pStyle w:val="14"/>
            </w:pPr>
          </w:p>
        </w:tc>
      </w:tr>
    </w:tbl>
    <w:p w14:paraId="0E8BA9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A276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FD4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9CFECB">
            <w:pPr>
              <w:pStyle w:val="8"/>
            </w:pPr>
            <w:r>
              <w:t>360018隆尧县北楼校区</w:t>
            </w:r>
          </w:p>
        </w:tc>
        <w:tc>
          <w:tcPr>
            <w:tcW w:w="2551" w:type="dxa"/>
            <w:tcBorders>
              <w:top w:val="single" w:color="FFFFFF" w:sz="6" w:space="0"/>
              <w:left w:val="single" w:color="FFFFFF" w:sz="6" w:space="0"/>
              <w:right w:val="single" w:color="FFFFFF" w:sz="6" w:space="0"/>
            </w:tcBorders>
            <w:vAlign w:val="center"/>
          </w:tcPr>
          <w:p w14:paraId="7455218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7B37700">
            <w:pPr>
              <w:pStyle w:val="10"/>
            </w:pPr>
            <w:r>
              <w:t>单位：万元</w:t>
            </w:r>
          </w:p>
        </w:tc>
      </w:tr>
      <w:tr w14:paraId="199D3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8F6542">
            <w:pPr>
              <w:pStyle w:val="11"/>
            </w:pPr>
            <w:r>
              <w:t>序号</w:t>
            </w:r>
          </w:p>
        </w:tc>
        <w:tc>
          <w:tcPr>
            <w:tcW w:w="5726" w:type="dxa"/>
            <w:gridSpan w:val="2"/>
            <w:vAlign w:val="center"/>
          </w:tcPr>
          <w:p w14:paraId="48E88C57">
            <w:pPr>
              <w:pStyle w:val="11"/>
            </w:pPr>
            <w:r>
              <w:t>功能分类科目</w:t>
            </w:r>
          </w:p>
        </w:tc>
        <w:tc>
          <w:tcPr>
            <w:tcW w:w="2551" w:type="dxa"/>
            <w:vMerge w:val="restart"/>
            <w:vAlign w:val="center"/>
          </w:tcPr>
          <w:p w14:paraId="07229E82">
            <w:pPr>
              <w:pStyle w:val="11"/>
            </w:pPr>
            <w:r>
              <w:t>合计</w:t>
            </w:r>
          </w:p>
        </w:tc>
        <w:tc>
          <w:tcPr>
            <w:tcW w:w="2551" w:type="dxa"/>
            <w:vMerge w:val="restart"/>
            <w:vAlign w:val="center"/>
          </w:tcPr>
          <w:p w14:paraId="4C714591">
            <w:pPr>
              <w:pStyle w:val="11"/>
            </w:pPr>
            <w:r>
              <w:t>基本支出</w:t>
            </w:r>
          </w:p>
        </w:tc>
        <w:tc>
          <w:tcPr>
            <w:tcW w:w="2551" w:type="dxa"/>
            <w:vMerge w:val="restart"/>
            <w:vAlign w:val="center"/>
          </w:tcPr>
          <w:p w14:paraId="2A54B365">
            <w:pPr>
              <w:pStyle w:val="11"/>
            </w:pPr>
            <w:r>
              <w:t>项目支出</w:t>
            </w:r>
          </w:p>
        </w:tc>
      </w:tr>
      <w:tr w14:paraId="74835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1E8F3"/>
        </w:tc>
        <w:tc>
          <w:tcPr>
            <w:tcW w:w="1191" w:type="dxa"/>
            <w:vAlign w:val="center"/>
          </w:tcPr>
          <w:p w14:paraId="3BC9CD9F">
            <w:pPr>
              <w:pStyle w:val="11"/>
            </w:pPr>
            <w:r>
              <w:t>科目编码</w:t>
            </w:r>
          </w:p>
        </w:tc>
        <w:tc>
          <w:tcPr>
            <w:tcW w:w="4535" w:type="dxa"/>
            <w:vAlign w:val="center"/>
          </w:tcPr>
          <w:p w14:paraId="726862D2">
            <w:pPr>
              <w:pStyle w:val="11"/>
            </w:pPr>
            <w:r>
              <w:t>科目名称</w:t>
            </w:r>
          </w:p>
        </w:tc>
        <w:tc>
          <w:tcPr>
            <w:tcW w:w="2551" w:type="dxa"/>
            <w:vMerge w:val="continue"/>
          </w:tcPr>
          <w:p w14:paraId="7893A933"/>
        </w:tc>
        <w:tc>
          <w:tcPr>
            <w:tcW w:w="2551" w:type="dxa"/>
            <w:vMerge w:val="continue"/>
          </w:tcPr>
          <w:p w14:paraId="77F1D68E"/>
        </w:tc>
        <w:tc>
          <w:tcPr>
            <w:tcW w:w="2551" w:type="dxa"/>
            <w:vMerge w:val="continue"/>
          </w:tcPr>
          <w:p w14:paraId="7203756E"/>
        </w:tc>
      </w:tr>
      <w:tr w14:paraId="71C15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3FA1E">
            <w:pPr>
              <w:pStyle w:val="11"/>
            </w:pPr>
            <w:r>
              <w:t>栏次</w:t>
            </w:r>
          </w:p>
        </w:tc>
        <w:tc>
          <w:tcPr>
            <w:tcW w:w="1191" w:type="dxa"/>
            <w:vAlign w:val="center"/>
          </w:tcPr>
          <w:p w14:paraId="04A88FE1">
            <w:pPr>
              <w:pStyle w:val="11"/>
            </w:pPr>
            <w:r>
              <w:t>1</w:t>
            </w:r>
          </w:p>
        </w:tc>
        <w:tc>
          <w:tcPr>
            <w:tcW w:w="4535" w:type="dxa"/>
            <w:vAlign w:val="center"/>
          </w:tcPr>
          <w:p w14:paraId="5F85C321">
            <w:pPr>
              <w:pStyle w:val="11"/>
            </w:pPr>
            <w:r>
              <w:t>2</w:t>
            </w:r>
          </w:p>
        </w:tc>
        <w:tc>
          <w:tcPr>
            <w:tcW w:w="2551" w:type="dxa"/>
            <w:vAlign w:val="center"/>
          </w:tcPr>
          <w:p w14:paraId="17910CF6">
            <w:pPr>
              <w:pStyle w:val="11"/>
            </w:pPr>
            <w:r>
              <w:t>3</w:t>
            </w:r>
          </w:p>
        </w:tc>
        <w:tc>
          <w:tcPr>
            <w:tcW w:w="2551" w:type="dxa"/>
            <w:vAlign w:val="center"/>
          </w:tcPr>
          <w:p w14:paraId="19134470">
            <w:pPr>
              <w:pStyle w:val="11"/>
            </w:pPr>
            <w:r>
              <w:t>4</w:t>
            </w:r>
          </w:p>
        </w:tc>
        <w:tc>
          <w:tcPr>
            <w:tcW w:w="2551" w:type="dxa"/>
            <w:vAlign w:val="center"/>
          </w:tcPr>
          <w:p w14:paraId="0BA092EE">
            <w:pPr>
              <w:pStyle w:val="11"/>
            </w:pPr>
            <w:r>
              <w:t>5</w:t>
            </w:r>
          </w:p>
        </w:tc>
      </w:tr>
      <w:tr w14:paraId="7590A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BE7D4">
            <w:pPr>
              <w:pStyle w:val="12"/>
            </w:pPr>
          </w:p>
        </w:tc>
        <w:tc>
          <w:tcPr>
            <w:tcW w:w="1191" w:type="dxa"/>
            <w:vAlign w:val="center"/>
          </w:tcPr>
          <w:p w14:paraId="6D6955D4">
            <w:pPr>
              <w:pStyle w:val="13"/>
            </w:pPr>
          </w:p>
        </w:tc>
        <w:tc>
          <w:tcPr>
            <w:tcW w:w="4535" w:type="dxa"/>
            <w:vAlign w:val="center"/>
          </w:tcPr>
          <w:p w14:paraId="03F03A04">
            <w:pPr>
              <w:pStyle w:val="13"/>
            </w:pPr>
          </w:p>
        </w:tc>
        <w:tc>
          <w:tcPr>
            <w:tcW w:w="2551" w:type="dxa"/>
            <w:vAlign w:val="center"/>
          </w:tcPr>
          <w:p w14:paraId="14EDBF4F">
            <w:pPr>
              <w:pStyle w:val="14"/>
            </w:pPr>
          </w:p>
        </w:tc>
        <w:tc>
          <w:tcPr>
            <w:tcW w:w="2551" w:type="dxa"/>
            <w:vAlign w:val="center"/>
          </w:tcPr>
          <w:p w14:paraId="124B4FED">
            <w:pPr>
              <w:pStyle w:val="14"/>
            </w:pPr>
          </w:p>
        </w:tc>
        <w:tc>
          <w:tcPr>
            <w:tcW w:w="2551" w:type="dxa"/>
            <w:vAlign w:val="center"/>
          </w:tcPr>
          <w:p w14:paraId="557939A1">
            <w:pPr>
              <w:pStyle w:val="14"/>
            </w:pPr>
          </w:p>
        </w:tc>
      </w:tr>
    </w:tbl>
    <w:p w14:paraId="42D363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C051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193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65028C">
            <w:pPr>
              <w:pStyle w:val="8"/>
            </w:pPr>
            <w:r>
              <w:t>360018隆尧县北楼校区</w:t>
            </w:r>
          </w:p>
        </w:tc>
        <w:tc>
          <w:tcPr>
            <w:tcW w:w="2381" w:type="dxa"/>
            <w:tcBorders>
              <w:top w:val="single" w:color="FFFFFF" w:sz="6" w:space="0"/>
              <w:left w:val="single" w:color="FFFFFF" w:sz="6" w:space="0"/>
              <w:right w:val="single" w:color="FFFFFF" w:sz="6" w:space="0"/>
            </w:tcBorders>
            <w:vAlign w:val="center"/>
          </w:tcPr>
          <w:p w14:paraId="3C5602A8">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49010AF">
            <w:pPr>
              <w:pStyle w:val="10"/>
            </w:pPr>
            <w:r>
              <w:t>单位：万元</w:t>
            </w:r>
          </w:p>
        </w:tc>
      </w:tr>
      <w:tr w14:paraId="2D486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50D31">
            <w:pPr>
              <w:pStyle w:val="11"/>
            </w:pPr>
            <w:r>
              <w:t>序号</w:t>
            </w:r>
          </w:p>
        </w:tc>
        <w:tc>
          <w:tcPr>
            <w:tcW w:w="3798" w:type="dxa"/>
            <w:vMerge w:val="restart"/>
            <w:vAlign w:val="center"/>
          </w:tcPr>
          <w:p w14:paraId="2AD8BFA4">
            <w:pPr>
              <w:pStyle w:val="11"/>
            </w:pPr>
            <w:r>
              <w:t>项  目</w:t>
            </w:r>
          </w:p>
        </w:tc>
        <w:tc>
          <w:tcPr>
            <w:tcW w:w="9524" w:type="dxa"/>
            <w:gridSpan w:val="4"/>
            <w:vAlign w:val="center"/>
          </w:tcPr>
          <w:p w14:paraId="632C5339">
            <w:pPr>
              <w:pStyle w:val="11"/>
            </w:pPr>
            <w:r>
              <w:t>资 金 性 质</w:t>
            </w:r>
          </w:p>
        </w:tc>
      </w:tr>
      <w:tr w14:paraId="4E879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F54FB7"/>
        </w:tc>
        <w:tc>
          <w:tcPr>
            <w:tcW w:w="3798" w:type="dxa"/>
            <w:vMerge w:val="continue"/>
          </w:tcPr>
          <w:p w14:paraId="5F90B2B0"/>
        </w:tc>
        <w:tc>
          <w:tcPr>
            <w:tcW w:w="2381" w:type="dxa"/>
            <w:vAlign w:val="center"/>
          </w:tcPr>
          <w:p w14:paraId="6E2A61CE">
            <w:pPr>
              <w:pStyle w:val="11"/>
            </w:pPr>
            <w:r>
              <w:t>合计</w:t>
            </w:r>
          </w:p>
        </w:tc>
        <w:tc>
          <w:tcPr>
            <w:tcW w:w="2381" w:type="dxa"/>
            <w:vAlign w:val="center"/>
          </w:tcPr>
          <w:p w14:paraId="689B4E86">
            <w:pPr>
              <w:pStyle w:val="11"/>
            </w:pPr>
            <w:r>
              <w:t>一般公共预算              财政拨款</w:t>
            </w:r>
          </w:p>
        </w:tc>
        <w:tc>
          <w:tcPr>
            <w:tcW w:w="2381" w:type="dxa"/>
            <w:vAlign w:val="center"/>
          </w:tcPr>
          <w:p w14:paraId="58A2500B">
            <w:pPr>
              <w:pStyle w:val="11"/>
            </w:pPr>
            <w:r>
              <w:t>政府性基金                  预算拨款</w:t>
            </w:r>
          </w:p>
        </w:tc>
        <w:tc>
          <w:tcPr>
            <w:tcW w:w="2381" w:type="dxa"/>
            <w:vAlign w:val="center"/>
          </w:tcPr>
          <w:p w14:paraId="74C8E84F">
            <w:pPr>
              <w:pStyle w:val="11"/>
            </w:pPr>
            <w:r>
              <w:t>国有资本经营              预算财政拨款</w:t>
            </w:r>
          </w:p>
        </w:tc>
      </w:tr>
      <w:tr w14:paraId="690E7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D2CE8C">
            <w:pPr>
              <w:pStyle w:val="11"/>
            </w:pPr>
            <w:r>
              <w:t>栏次</w:t>
            </w:r>
          </w:p>
        </w:tc>
        <w:tc>
          <w:tcPr>
            <w:tcW w:w="3798" w:type="dxa"/>
            <w:vAlign w:val="center"/>
          </w:tcPr>
          <w:p w14:paraId="6EEACE82">
            <w:pPr>
              <w:pStyle w:val="11"/>
            </w:pPr>
            <w:r>
              <w:t>1</w:t>
            </w:r>
          </w:p>
        </w:tc>
        <w:tc>
          <w:tcPr>
            <w:tcW w:w="2381" w:type="dxa"/>
            <w:vAlign w:val="center"/>
          </w:tcPr>
          <w:p w14:paraId="40CE4629">
            <w:pPr>
              <w:pStyle w:val="11"/>
            </w:pPr>
            <w:r>
              <w:t>2</w:t>
            </w:r>
          </w:p>
        </w:tc>
        <w:tc>
          <w:tcPr>
            <w:tcW w:w="2381" w:type="dxa"/>
            <w:vAlign w:val="center"/>
          </w:tcPr>
          <w:p w14:paraId="32D9EB89">
            <w:pPr>
              <w:pStyle w:val="11"/>
            </w:pPr>
            <w:r>
              <w:t>3</w:t>
            </w:r>
          </w:p>
        </w:tc>
        <w:tc>
          <w:tcPr>
            <w:tcW w:w="2381" w:type="dxa"/>
            <w:vAlign w:val="center"/>
          </w:tcPr>
          <w:p w14:paraId="234924CC">
            <w:pPr>
              <w:pStyle w:val="11"/>
            </w:pPr>
            <w:r>
              <w:t>4</w:t>
            </w:r>
          </w:p>
        </w:tc>
        <w:tc>
          <w:tcPr>
            <w:tcW w:w="2381" w:type="dxa"/>
            <w:vAlign w:val="center"/>
          </w:tcPr>
          <w:p w14:paraId="0D99FBFF">
            <w:pPr>
              <w:pStyle w:val="11"/>
            </w:pPr>
            <w:r>
              <w:t>5</w:t>
            </w:r>
          </w:p>
        </w:tc>
      </w:tr>
      <w:tr w14:paraId="2B5F7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24A789">
            <w:pPr>
              <w:pStyle w:val="12"/>
            </w:pPr>
          </w:p>
        </w:tc>
        <w:tc>
          <w:tcPr>
            <w:tcW w:w="3798" w:type="dxa"/>
            <w:vAlign w:val="center"/>
          </w:tcPr>
          <w:p w14:paraId="4702B49D">
            <w:pPr>
              <w:pStyle w:val="13"/>
            </w:pPr>
          </w:p>
        </w:tc>
        <w:tc>
          <w:tcPr>
            <w:tcW w:w="2381" w:type="dxa"/>
            <w:vAlign w:val="center"/>
          </w:tcPr>
          <w:p w14:paraId="2733728B">
            <w:pPr>
              <w:pStyle w:val="14"/>
            </w:pPr>
          </w:p>
        </w:tc>
        <w:tc>
          <w:tcPr>
            <w:tcW w:w="2381" w:type="dxa"/>
            <w:vAlign w:val="center"/>
          </w:tcPr>
          <w:p w14:paraId="23AE5B35">
            <w:pPr>
              <w:pStyle w:val="14"/>
            </w:pPr>
          </w:p>
        </w:tc>
        <w:tc>
          <w:tcPr>
            <w:tcW w:w="2381" w:type="dxa"/>
            <w:vAlign w:val="center"/>
          </w:tcPr>
          <w:p w14:paraId="6237F255">
            <w:pPr>
              <w:pStyle w:val="14"/>
            </w:pPr>
          </w:p>
        </w:tc>
        <w:tc>
          <w:tcPr>
            <w:tcW w:w="2381" w:type="dxa"/>
            <w:vAlign w:val="center"/>
          </w:tcPr>
          <w:p w14:paraId="6795B787">
            <w:pPr>
              <w:pStyle w:val="14"/>
            </w:pPr>
          </w:p>
        </w:tc>
      </w:tr>
    </w:tbl>
    <w:p w14:paraId="35E6201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C0357A5">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隆尧县北楼校区2025年单位预算信息公开情况说明</w:t>
      </w:r>
    </w:p>
    <w:p w14:paraId="4D53F3F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按照《中华人民共和国预算法》、《地方预决算公开操作规程》和《关于进一步推进预算公开工作的实施意见》规定，现将隆尧县北楼校区2025年单位预算公开如下：</w:t>
      </w:r>
    </w:p>
    <w:p w14:paraId="2DAA6D72">
      <w:pPr>
        <w:spacing w:before="10" w:after="10" w:line="240" w:lineRule="auto"/>
        <w:ind w:firstLine="640"/>
        <w:jc w:val="left"/>
        <w:outlineLvl w:val="5"/>
      </w:pPr>
      <w:r>
        <w:rPr>
          <w:rFonts w:ascii="黑体" w:hAnsi="黑体" w:eastAsia="黑体" w:cs="黑体"/>
          <w:color w:val="000000"/>
          <w:sz w:val="32"/>
        </w:rPr>
        <w:t>一、单位职责及机构设置情况</w:t>
      </w:r>
    </w:p>
    <w:p w14:paraId="583F045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3FF75BB">
      <w:pPr>
        <w:pStyle w:val="18"/>
      </w:pPr>
      <w:r>
        <w:t>1.贯彻落实基础教育的方针、政策，开展小学阶段教育教学和所辖学校管理工作，促进学生德、智、体。美、劳全面发展；</w:t>
      </w:r>
    </w:p>
    <w:p w14:paraId="4E476D29">
      <w:pPr>
        <w:pStyle w:val="18"/>
      </w:pPr>
      <w:r>
        <w:t>2. 负责学生安全教育和管理，确保学生身心健康；</w:t>
      </w:r>
    </w:p>
    <w:p w14:paraId="058156D8">
      <w:pPr>
        <w:pStyle w:val="18"/>
      </w:pPr>
      <w:r>
        <w:t>3. 加强教师队伍建设和管理，为教育教学工作提高保障。</w:t>
      </w:r>
    </w:p>
    <w:p w14:paraId="71607696">
      <w:pPr>
        <w:pStyle w:val="18"/>
      </w:pPr>
      <w:r>
        <w:t>隆尧县北楼校区事业编制126名．其中，校长1名（正股级），副校长3名（副股级）；经费形式为财政性资金基本保证。</w:t>
      </w:r>
    </w:p>
    <w:p w14:paraId="10A79F7E">
      <w:pPr>
        <w:pStyle w:val="18"/>
      </w:pPr>
      <w:r>
        <w:t>隆尧县北楼校区为隆尧县教育局所属相当股级事业单位，单位类别为公益一类事业单位。</w:t>
      </w:r>
    </w:p>
    <w:p w14:paraId="183E897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74CA4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209D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01EFEE">
            <w:pPr>
              <w:pStyle w:val="11"/>
            </w:pPr>
            <w:r>
              <w:t>单位名称</w:t>
            </w:r>
          </w:p>
        </w:tc>
        <w:tc>
          <w:tcPr>
            <w:tcW w:w="1843" w:type="dxa"/>
            <w:vAlign w:val="center"/>
          </w:tcPr>
          <w:p w14:paraId="3A50B47E">
            <w:pPr>
              <w:pStyle w:val="11"/>
            </w:pPr>
            <w:r>
              <w:t>单位性质</w:t>
            </w:r>
          </w:p>
        </w:tc>
        <w:tc>
          <w:tcPr>
            <w:tcW w:w="2126" w:type="dxa"/>
            <w:vAlign w:val="center"/>
          </w:tcPr>
          <w:p w14:paraId="4D189FC3">
            <w:pPr>
              <w:pStyle w:val="11"/>
            </w:pPr>
            <w:r>
              <w:t>单位规格</w:t>
            </w:r>
          </w:p>
        </w:tc>
        <w:tc>
          <w:tcPr>
            <w:tcW w:w="3827" w:type="dxa"/>
            <w:vAlign w:val="center"/>
          </w:tcPr>
          <w:p w14:paraId="651FBA28">
            <w:pPr>
              <w:pStyle w:val="11"/>
            </w:pPr>
            <w:r>
              <w:t>经费保障形式</w:t>
            </w:r>
          </w:p>
        </w:tc>
      </w:tr>
      <w:tr w14:paraId="61C32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B9ABBAB">
            <w:pPr>
              <w:pStyle w:val="13"/>
            </w:pPr>
            <w:r>
              <w:t>隆尧县北楼校区</w:t>
            </w:r>
          </w:p>
        </w:tc>
        <w:tc>
          <w:tcPr>
            <w:tcW w:w="1843" w:type="dxa"/>
            <w:vAlign w:val="center"/>
          </w:tcPr>
          <w:p w14:paraId="6E3808A6">
            <w:pPr>
              <w:pStyle w:val="12"/>
            </w:pPr>
            <w:r>
              <w:t>事业</w:t>
            </w:r>
          </w:p>
        </w:tc>
        <w:tc>
          <w:tcPr>
            <w:tcW w:w="2126" w:type="dxa"/>
            <w:vAlign w:val="center"/>
          </w:tcPr>
          <w:p w14:paraId="1E797400">
            <w:pPr>
              <w:pStyle w:val="12"/>
            </w:pPr>
            <w:r>
              <w:t>股级</w:t>
            </w:r>
          </w:p>
        </w:tc>
        <w:tc>
          <w:tcPr>
            <w:tcW w:w="3827" w:type="dxa"/>
            <w:vAlign w:val="center"/>
          </w:tcPr>
          <w:p w14:paraId="3E4FB115">
            <w:pPr>
              <w:pStyle w:val="12"/>
            </w:pPr>
            <w:r>
              <w:t>财政性资金基本保证</w:t>
            </w:r>
          </w:p>
        </w:tc>
      </w:tr>
    </w:tbl>
    <w:p w14:paraId="487D0E86">
      <w:pPr>
        <w:spacing w:before="10" w:after="10" w:line="240" w:lineRule="auto"/>
        <w:ind w:firstLine="640"/>
        <w:jc w:val="left"/>
        <w:outlineLvl w:val="5"/>
      </w:pPr>
      <w:r>
        <w:rPr>
          <w:rFonts w:ascii="黑体" w:hAnsi="黑体" w:eastAsia="黑体" w:cs="黑体"/>
          <w:color w:val="000000"/>
          <w:sz w:val="32"/>
        </w:rPr>
        <w:t>二、单位预算安排的总体情况</w:t>
      </w:r>
    </w:p>
    <w:p w14:paraId="4FFBEF67">
      <w:pPr>
        <w:pStyle w:val="19"/>
      </w:pPr>
      <w:r>
        <w:t>按照预算管理有关规定，目前我校单位预算的编制实行综合预算管理，即全部收入和支出都反映的预算中。隆尧县北楼校区的收支包含在单位预算中。</w:t>
      </w:r>
    </w:p>
    <w:p w14:paraId="05DA7EFA">
      <w:pPr>
        <w:pStyle w:val="19"/>
      </w:pPr>
      <w:r>
        <w:t>1、收入说明</w:t>
      </w:r>
    </w:p>
    <w:p w14:paraId="0CBCFE8B">
      <w:pPr>
        <w:pStyle w:val="19"/>
      </w:pPr>
      <w:r>
        <w:t>反映本单位当年全部收入。2025年预算收入2053.56万元，其中：一般公共预算收入2018.21万元，基金预算收入0万元，基金预算收入0万元，国有资本经营预算收入0万元，财政专户拨收入0万元，单位资金收入0万元，上年结转结余35.35万元</w:t>
      </w:r>
    </w:p>
    <w:p w14:paraId="78D4B4EE">
      <w:pPr>
        <w:pStyle w:val="19"/>
      </w:pPr>
      <w:r>
        <w:t>2、支出说明</w:t>
      </w:r>
    </w:p>
    <w:p w14:paraId="123E889F">
      <w:pPr>
        <w:pStyle w:val="19"/>
      </w:pPr>
      <w:r>
        <w:t>收支预算总表支出栏、基本支出表、项目支出表按经济分类和支出功能分类科目编制，反映隆尧县北楼校区年度单位预算中支出预算的总体情况。2025年单位支出预算为2053.56元，其中基本支出1622.27万元、项目支出431.29万元。主要为小学教育1956.17万元，学前教育97.39万元。</w:t>
      </w:r>
    </w:p>
    <w:p w14:paraId="7CDD3C3E">
      <w:pPr>
        <w:pStyle w:val="19"/>
      </w:pPr>
      <w:r>
        <w:t>3、比上年增减情况</w:t>
      </w:r>
    </w:p>
    <w:p w14:paraId="4701B870">
      <w:pPr>
        <w:pStyle w:val="19"/>
      </w:pPr>
      <w:r>
        <w:t>2025年部门预算收支安排2053.56万元，较2024年年初预算减少194.02万元，其中基本支出增加104.2万元，项目支出减少298.22万元，主要为项目经费减少。</w:t>
      </w:r>
    </w:p>
    <w:p w14:paraId="2E8C0D9E">
      <w:pPr>
        <w:spacing w:before="10" w:after="10" w:line="240" w:lineRule="auto"/>
        <w:ind w:firstLine="640"/>
        <w:jc w:val="left"/>
        <w:outlineLvl w:val="5"/>
      </w:pPr>
      <w:r>
        <w:rPr>
          <w:rFonts w:ascii="黑体" w:hAnsi="黑体" w:eastAsia="黑体" w:cs="黑体"/>
          <w:color w:val="000000"/>
          <w:sz w:val="32"/>
        </w:rPr>
        <w:t>三、机关运行经费安排情况</w:t>
      </w:r>
    </w:p>
    <w:p w14:paraId="4786D8F1">
      <w:pPr>
        <w:pStyle w:val="20"/>
      </w:pPr>
      <w:r>
        <w:t>我单位按学生安排公用经费，无机关运行经费。</w:t>
      </w:r>
    </w:p>
    <w:p w14:paraId="5A894B9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B621982">
      <w:pPr>
        <w:pStyle w:val="21"/>
      </w:pPr>
      <w:r>
        <w:t>我单位未安排三公经费。</w:t>
      </w:r>
    </w:p>
    <w:p w14:paraId="0BB8084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617452">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1、冀财教[2023]154号/中央/义教经费/校舍安全保障/北楼校区北楼小学塑胶操场改造绩效目标表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F0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F7CE7">
            <w:pPr>
              <w:pStyle w:val="14"/>
            </w:pPr>
            <w:r>
              <w:t>单位：万元</w:t>
            </w:r>
          </w:p>
        </w:tc>
      </w:tr>
      <w:tr w14:paraId="525A8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9A439D">
            <w:pPr>
              <w:pStyle w:val="11"/>
            </w:pPr>
            <w:r>
              <w:t>项目编码</w:t>
            </w:r>
          </w:p>
        </w:tc>
        <w:tc>
          <w:tcPr>
            <w:tcW w:w="5103" w:type="dxa"/>
            <w:gridSpan w:val="2"/>
            <w:vAlign w:val="center"/>
          </w:tcPr>
          <w:p w14:paraId="30D4B19F">
            <w:pPr>
              <w:pStyle w:val="13"/>
            </w:pPr>
            <w:r>
              <w:t>13052524P000006112429</w:t>
            </w:r>
          </w:p>
        </w:tc>
        <w:tc>
          <w:tcPr>
            <w:tcW w:w="2835" w:type="dxa"/>
            <w:vAlign w:val="center"/>
          </w:tcPr>
          <w:p w14:paraId="0A44FDC8">
            <w:pPr>
              <w:pStyle w:val="11"/>
            </w:pPr>
            <w:r>
              <w:t>项目名称</w:t>
            </w:r>
          </w:p>
        </w:tc>
        <w:tc>
          <w:tcPr>
            <w:tcW w:w="6095" w:type="dxa"/>
            <w:gridSpan w:val="3"/>
            <w:vAlign w:val="center"/>
          </w:tcPr>
          <w:p w14:paraId="0A542680">
            <w:pPr>
              <w:pStyle w:val="13"/>
            </w:pPr>
            <w:r>
              <w:t>冀财教[2023]154号/中央/义教经费/校舍安全保障/北楼校区北楼小学塑胶操场改造</w:t>
            </w:r>
          </w:p>
        </w:tc>
      </w:tr>
      <w:tr w14:paraId="47FFE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B1769">
            <w:pPr>
              <w:pStyle w:val="11"/>
            </w:pPr>
            <w:r>
              <w:t>预算规模及资金用途</w:t>
            </w:r>
          </w:p>
        </w:tc>
        <w:tc>
          <w:tcPr>
            <w:tcW w:w="2268" w:type="dxa"/>
            <w:vAlign w:val="center"/>
          </w:tcPr>
          <w:p w14:paraId="48F3B67B">
            <w:pPr>
              <w:pStyle w:val="11"/>
            </w:pPr>
            <w:r>
              <w:t>预算数</w:t>
            </w:r>
          </w:p>
        </w:tc>
        <w:tc>
          <w:tcPr>
            <w:tcW w:w="2835" w:type="dxa"/>
            <w:vAlign w:val="center"/>
          </w:tcPr>
          <w:p w14:paraId="036CA397">
            <w:pPr>
              <w:pStyle w:val="13"/>
            </w:pPr>
            <w:r>
              <w:t>18.42</w:t>
            </w:r>
          </w:p>
        </w:tc>
        <w:tc>
          <w:tcPr>
            <w:tcW w:w="2835" w:type="dxa"/>
            <w:vAlign w:val="center"/>
          </w:tcPr>
          <w:p w14:paraId="231A311F">
            <w:pPr>
              <w:pStyle w:val="11"/>
            </w:pPr>
            <w:r>
              <w:t>其中：财政    资金</w:t>
            </w:r>
          </w:p>
        </w:tc>
        <w:tc>
          <w:tcPr>
            <w:tcW w:w="2551" w:type="dxa"/>
            <w:vAlign w:val="center"/>
          </w:tcPr>
          <w:p w14:paraId="29C9BBC3">
            <w:pPr>
              <w:pStyle w:val="13"/>
            </w:pPr>
            <w:r>
              <w:t>18.42</w:t>
            </w:r>
          </w:p>
        </w:tc>
        <w:tc>
          <w:tcPr>
            <w:tcW w:w="2268" w:type="dxa"/>
            <w:vAlign w:val="center"/>
          </w:tcPr>
          <w:p w14:paraId="57DD2DAE">
            <w:pPr>
              <w:pStyle w:val="11"/>
            </w:pPr>
            <w:r>
              <w:t>其他资金</w:t>
            </w:r>
          </w:p>
        </w:tc>
        <w:tc>
          <w:tcPr>
            <w:tcW w:w="1276" w:type="dxa"/>
            <w:vAlign w:val="center"/>
          </w:tcPr>
          <w:p w14:paraId="31F99F8D">
            <w:pPr>
              <w:pStyle w:val="13"/>
            </w:pPr>
            <w:r>
              <w:t xml:space="preserve"> </w:t>
            </w:r>
          </w:p>
        </w:tc>
      </w:tr>
      <w:tr w14:paraId="0906D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40349"/>
        </w:tc>
        <w:tc>
          <w:tcPr>
            <w:tcW w:w="14033" w:type="dxa"/>
            <w:gridSpan w:val="6"/>
            <w:vAlign w:val="center"/>
          </w:tcPr>
          <w:p w14:paraId="4512E774">
            <w:pPr>
              <w:pStyle w:val="13"/>
            </w:pPr>
            <w:r>
              <w:t>"保证学校正常运转和改善办学条件</w:t>
            </w:r>
            <w:r>
              <w:tab/>
            </w:r>
            <w:r>
              <w:tab/>
            </w:r>
            <w:r>
              <w:tab/>
            </w:r>
            <w:r>
              <w:tab/>
            </w:r>
            <w:r>
              <w:tab/>
            </w:r>
            <w:r>
              <w:tab/>
            </w:r>
            <w:r>
              <w:t>"</w:t>
            </w:r>
            <w:r>
              <w:tab/>
            </w:r>
            <w:r>
              <w:tab/>
            </w:r>
            <w:r>
              <w:tab/>
            </w:r>
            <w:r>
              <w:tab/>
            </w:r>
            <w:r>
              <w:tab/>
            </w:r>
            <w:r>
              <w:tab/>
            </w:r>
          </w:p>
          <w:p w14:paraId="4AC830DC">
            <w:pPr>
              <w:pStyle w:val="13"/>
            </w:pPr>
          </w:p>
        </w:tc>
      </w:tr>
      <w:tr w14:paraId="1E77A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00554">
            <w:pPr>
              <w:pStyle w:val="11"/>
            </w:pPr>
            <w:r>
              <w:t>资金支出计划（%）</w:t>
            </w:r>
          </w:p>
        </w:tc>
        <w:tc>
          <w:tcPr>
            <w:tcW w:w="5103" w:type="dxa"/>
            <w:gridSpan w:val="2"/>
            <w:vAlign w:val="center"/>
          </w:tcPr>
          <w:p w14:paraId="0A217E0B">
            <w:pPr>
              <w:pStyle w:val="11"/>
            </w:pPr>
            <w:r>
              <w:t>3月底</w:t>
            </w:r>
          </w:p>
        </w:tc>
        <w:tc>
          <w:tcPr>
            <w:tcW w:w="2835" w:type="dxa"/>
            <w:vAlign w:val="center"/>
          </w:tcPr>
          <w:p w14:paraId="0E47B31A">
            <w:pPr>
              <w:pStyle w:val="11"/>
            </w:pPr>
            <w:r>
              <w:t>6月底</w:t>
            </w:r>
          </w:p>
        </w:tc>
        <w:tc>
          <w:tcPr>
            <w:tcW w:w="2551" w:type="dxa"/>
            <w:vAlign w:val="center"/>
          </w:tcPr>
          <w:p w14:paraId="7A88D2BC">
            <w:pPr>
              <w:pStyle w:val="11"/>
            </w:pPr>
            <w:r>
              <w:t>10月底</w:t>
            </w:r>
          </w:p>
        </w:tc>
        <w:tc>
          <w:tcPr>
            <w:tcW w:w="3544" w:type="dxa"/>
            <w:gridSpan w:val="2"/>
            <w:vAlign w:val="center"/>
          </w:tcPr>
          <w:p w14:paraId="710CB377">
            <w:pPr>
              <w:pStyle w:val="11"/>
            </w:pPr>
            <w:r>
              <w:t>12月底</w:t>
            </w:r>
          </w:p>
        </w:tc>
      </w:tr>
      <w:tr w14:paraId="32492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E5F3CF"/>
        </w:tc>
        <w:tc>
          <w:tcPr>
            <w:tcW w:w="5103" w:type="dxa"/>
            <w:gridSpan w:val="2"/>
            <w:vAlign w:val="center"/>
          </w:tcPr>
          <w:p w14:paraId="6ED56013">
            <w:pPr>
              <w:pStyle w:val="12"/>
            </w:pPr>
            <w:r>
              <w:t xml:space="preserve"> </w:t>
            </w:r>
          </w:p>
        </w:tc>
        <w:tc>
          <w:tcPr>
            <w:tcW w:w="2835" w:type="dxa"/>
            <w:vAlign w:val="center"/>
          </w:tcPr>
          <w:p w14:paraId="55CD710C">
            <w:pPr>
              <w:pStyle w:val="12"/>
            </w:pPr>
            <w:r>
              <w:t xml:space="preserve"> </w:t>
            </w:r>
          </w:p>
        </w:tc>
        <w:tc>
          <w:tcPr>
            <w:tcW w:w="2551" w:type="dxa"/>
            <w:vAlign w:val="center"/>
          </w:tcPr>
          <w:p w14:paraId="1655CB83">
            <w:pPr>
              <w:pStyle w:val="12"/>
            </w:pPr>
            <w:r>
              <w:t>39000000%</w:t>
            </w:r>
          </w:p>
        </w:tc>
        <w:tc>
          <w:tcPr>
            <w:tcW w:w="3544" w:type="dxa"/>
            <w:gridSpan w:val="2"/>
            <w:vAlign w:val="center"/>
          </w:tcPr>
          <w:p w14:paraId="6399FB22">
            <w:pPr>
              <w:pStyle w:val="12"/>
            </w:pPr>
            <w:r>
              <w:t>39000000%</w:t>
            </w:r>
          </w:p>
        </w:tc>
      </w:tr>
      <w:tr w14:paraId="774DB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C55424">
            <w:pPr>
              <w:pStyle w:val="11"/>
            </w:pPr>
            <w:r>
              <w:t>绩效目标</w:t>
            </w:r>
          </w:p>
        </w:tc>
        <w:tc>
          <w:tcPr>
            <w:tcW w:w="14033" w:type="dxa"/>
            <w:gridSpan w:val="6"/>
            <w:vAlign w:val="center"/>
          </w:tcPr>
          <w:p w14:paraId="62139666">
            <w:pPr>
              <w:pStyle w:val="13"/>
            </w:pPr>
            <w:r>
              <w:t>1.保证学校正常运转和改善办学条件</w:t>
            </w:r>
            <w:r>
              <w:tab/>
            </w:r>
            <w:r>
              <w:tab/>
            </w:r>
            <w:r>
              <w:tab/>
            </w:r>
            <w:r>
              <w:tab/>
            </w:r>
            <w:r>
              <w:tab/>
            </w:r>
            <w:r>
              <w:tab/>
            </w:r>
          </w:p>
          <w:p w14:paraId="21897B4B">
            <w:pPr>
              <w:pStyle w:val="13"/>
            </w:pPr>
            <w:r>
              <w:t>2.按拨款时序进度完成经费拨付和支出</w:t>
            </w:r>
            <w:r>
              <w:tab/>
            </w:r>
            <w:r>
              <w:tab/>
            </w:r>
            <w:r>
              <w:tab/>
            </w:r>
            <w:r>
              <w:tab/>
            </w:r>
            <w:r>
              <w:tab/>
            </w:r>
            <w:r>
              <w:tab/>
            </w:r>
          </w:p>
          <w:p w14:paraId="0CFD172D">
            <w:pPr>
              <w:pStyle w:val="13"/>
            </w:pPr>
            <w:r>
              <w:t>3.保证学校正常运转</w:t>
            </w:r>
          </w:p>
        </w:tc>
      </w:tr>
    </w:tbl>
    <w:p w14:paraId="1A855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31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F79B3">
            <w:pPr>
              <w:pStyle w:val="11"/>
            </w:pPr>
            <w:r>
              <w:t>一级指标</w:t>
            </w:r>
          </w:p>
        </w:tc>
        <w:tc>
          <w:tcPr>
            <w:tcW w:w="2268" w:type="dxa"/>
            <w:vAlign w:val="center"/>
          </w:tcPr>
          <w:p w14:paraId="359E921B">
            <w:pPr>
              <w:pStyle w:val="11"/>
            </w:pPr>
            <w:r>
              <w:t>二级指标</w:t>
            </w:r>
          </w:p>
        </w:tc>
        <w:tc>
          <w:tcPr>
            <w:tcW w:w="2835" w:type="dxa"/>
            <w:vAlign w:val="center"/>
          </w:tcPr>
          <w:p w14:paraId="1A651F38">
            <w:pPr>
              <w:pStyle w:val="11"/>
            </w:pPr>
            <w:r>
              <w:t>三级指标</w:t>
            </w:r>
          </w:p>
        </w:tc>
        <w:tc>
          <w:tcPr>
            <w:tcW w:w="5386" w:type="dxa"/>
            <w:vAlign w:val="center"/>
          </w:tcPr>
          <w:p w14:paraId="65B3CE45">
            <w:pPr>
              <w:pStyle w:val="11"/>
            </w:pPr>
            <w:r>
              <w:t>绩效指标描述</w:t>
            </w:r>
          </w:p>
        </w:tc>
        <w:tc>
          <w:tcPr>
            <w:tcW w:w="2268" w:type="dxa"/>
            <w:vAlign w:val="center"/>
          </w:tcPr>
          <w:p w14:paraId="443B2318">
            <w:pPr>
              <w:pStyle w:val="11"/>
            </w:pPr>
            <w:r>
              <w:t>指标值</w:t>
            </w:r>
          </w:p>
        </w:tc>
        <w:tc>
          <w:tcPr>
            <w:tcW w:w="1276" w:type="dxa"/>
            <w:vAlign w:val="center"/>
          </w:tcPr>
          <w:p w14:paraId="64BCCC58">
            <w:pPr>
              <w:pStyle w:val="11"/>
            </w:pPr>
            <w:r>
              <w:t>指标值确定依据</w:t>
            </w:r>
          </w:p>
        </w:tc>
      </w:tr>
      <w:tr w14:paraId="278D4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2FACF">
            <w:pPr>
              <w:pStyle w:val="12"/>
            </w:pPr>
            <w:r>
              <w:t>产出指标</w:t>
            </w:r>
          </w:p>
        </w:tc>
        <w:tc>
          <w:tcPr>
            <w:tcW w:w="2268" w:type="dxa"/>
            <w:vAlign w:val="center"/>
          </w:tcPr>
          <w:p w14:paraId="0528BCCA">
            <w:pPr>
              <w:pStyle w:val="13"/>
            </w:pPr>
            <w:r>
              <w:t>数量指标</w:t>
            </w:r>
          </w:p>
        </w:tc>
        <w:tc>
          <w:tcPr>
            <w:tcW w:w="2835" w:type="dxa"/>
            <w:vAlign w:val="center"/>
          </w:tcPr>
          <w:p w14:paraId="6DCF2FFD">
            <w:pPr>
              <w:pStyle w:val="13"/>
            </w:pPr>
            <w:r>
              <w:t>塑胶操场改造</w:t>
            </w:r>
          </w:p>
        </w:tc>
        <w:tc>
          <w:tcPr>
            <w:tcW w:w="5386" w:type="dxa"/>
            <w:vAlign w:val="center"/>
          </w:tcPr>
          <w:p w14:paraId="3ED1933C">
            <w:pPr>
              <w:pStyle w:val="13"/>
            </w:pPr>
            <w:r>
              <w:t>对学校操场进行铺设塑胶跑道面积</w:t>
            </w:r>
          </w:p>
        </w:tc>
        <w:tc>
          <w:tcPr>
            <w:tcW w:w="2268" w:type="dxa"/>
            <w:vAlign w:val="center"/>
          </w:tcPr>
          <w:p w14:paraId="567ACD53">
            <w:pPr>
              <w:pStyle w:val="13"/>
            </w:pPr>
            <w:r>
              <w:t>2700平方米</w:t>
            </w:r>
          </w:p>
        </w:tc>
        <w:tc>
          <w:tcPr>
            <w:tcW w:w="1276" w:type="dxa"/>
            <w:vAlign w:val="center"/>
          </w:tcPr>
          <w:p w14:paraId="57383EEA">
            <w:pPr>
              <w:pStyle w:val="13"/>
            </w:pPr>
            <w:r>
              <w:t>项目规划</w:t>
            </w:r>
          </w:p>
        </w:tc>
      </w:tr>
      <w:tr w14:paraId="7B56F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0DCA4"/>
        </w:tc>
        <w:tc>
          <w:tcPr>
            <w:tcW w:w="2268" w:type="dxa"/>
            <w:vAlign w:val="center"/>
          </w:tcPr>
          <w:p w14:paraId="4089FE75">
            <w:pPr>
              <w:pStyle w:val="13"/>
            </w:pPr>
            <w:r>
              <w:t>质量指标</w:t>
            </w:r>
          </w:p>
        </w:tc>
        <w:tc>
          <w:tcPr>
            <w:tcW w:w="2835" w:type="dxa"/>
            <w:vAlign w:val="center"/>
          </w:tcPr>
          <w:p w14:paraId="46987697">
            <w:pPr>
              <w:pStyle w:val="13"/>
            </w:pPr>
            <w:r>
              <w:t>工程实施验收合格率</w:t>
            </w:r>
          </w:p>
        </w:tc>
        <w:tc>
          <w:tcPr>
            <w:tcW w:w="5386" w:type="dxa"/>
            <w:vAlign w:val="center"/>
          </w:tcPr>
          <w:p w14:paraId="50DF47B4">
            <w:pPr>
              <w:pStyle w:val="13"/>
            </w:pPr>
            <w:r>
              <w:t>申报程序的合规，项目实施及资金使用符合项目规划</w:t>
            </w:r>
          </w:p>
        </w:tc>
        <w:tc>
          <w:tcPr>
            <w:tcW w:w="2268" w:type="dxa"/>
            <w:vAlign w:val="center"/>
          </w:tcPr>
          <w:p w14:paraId="0309B566">
            <w:pPr>
              <w:pStyle w:val="13"/>
            </w:pPr>
            <w:r>
              <w:t>≥100%</w:t>
            </w:r>
          </w:p>
        </w:tc>
        <w:tc>
          <w:tcPr>
            <w:tcW w:w="1276" w:type="dxa"/>
            <w:vAlign w:val="center"/>
          </w:tcPr>
          <w:p w14:paraId="03AB77CB">
            <w:pPr>
              <w:pStyle w:val="13"/>
            </w:pPr>
            <w:r>
              <w:t>项目规划</w:t>
            </w:r>
          </w:p>
        </w:tc>
      </w:tr>
      <w:tr w14:paraId="26EEC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90163"/>
        </w:tc>
        <w:tc>
          <w:tcPr>
            <w:tcW w:w="2268" w:type="dxa"/>
            <w:vAlign w:val="center"/>
          </w:tcPr>
          <w:p w14:paraId="13AA24D2">
            <w:pPr>
              <w:pStyle w:val="13"/>
            </w:pPr>
            <w:r>
              <w:t>时效指标</w:t>
            </w:r>
          </w:p>
        </w:tc>
        <w:tc>
          <w:tcPr>
            <w:tcW w:w="2835" w:type="dxa"/>
            <w:vAlign w:val="center"/>
          </w:tcPr>
          <w:p w14:paraId="4E314EAB">
            <w:pPr>
              <w:pStyle w:val="13"/>
            </w:pPr>
            <w:r>
              <w:t>资金支付率</w:t>
            </w:r>
          </w:p>
        </w:tc>
        <w:tc>
          <w:tcPr>
            <w:tcW w:w="5386" w:type="dxa"/>
            <w:vAlign w:val="center"/>
          </w:tcPr>
          <w:p w14:paraId="6B249B53">
            <w:pPr>
              <w:pStyle w:val="13"/>
            </w:pPr>
            <w:r>
              <w:t>按照序时进度完成资金支付</w:t>
            </w:r>
          </w:p>
        </w:tc>
        <w:tc>
          <w:tcPr>
            <w:tcW w:w="2268" w:type="dxa"/>
            <w:vAlign w:val="center"/>
          </w:tcPr>
          <w:p w14:paraId="137E39A7">
            <w:pPr>
              <w:pStyle w:val="13"/>
            </w:pPr>
            <w:r>
              <w:t>≥100%</w:t>
            </w:r>
          </w:p>
        </w:tc>
        <w:tc>
          <w:tcPr>
            <w:tcW w:w="1276" w:type="dxa"/>
            <w:vAlign w:val="center"/>
          </w:tcPr>
          <w:p w14:paraId="08096668">
            <w:pPr>
              <w:pStyle w:val="13"/>
            </w:pPr>
            <w:r>
              <w:t>项目规划</w:t>
            </w:r>
          </w:p>
        </w:tc>
      </w:tr>
      <w:tr w14:paraId="30EA3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0B7C1"/>
        </w:tc>
        <w:tc>
          <w:tcPr>
            <w:tcW w:w="2268" w:type="dxa"/>
            <w:vAlign w:val="center"/>
          </w:tcPr>
          <w:p w14:paraId="55557C3C">
            <w:pPr>
              <w:pStyle w:val="13"/>
            </w:pPr>
            <w:r>
              <w:t>成本指标</w:t>
            </w:r>
          </w:p>
        </w:tc>
        <w:tc>
          <w:tcPr>
            <w:tcW w:w="2835" w:type="dxa"/>
            <w:vAlign w:val="center"/>
          </w:tcPr>
          <w:p w14:paraId="6CCA2871">
            <w:pPr>
              <w:pStyle w:val="13"/>
            </w:pPr>
            <w:r>
              <w:t>项目成本控制情况</w:t>
            </w:r>
          </w:p>
        </w:tc>
        <w:tc>
          <w:tcPr>
            <w:tcW w:w="5386" w:type="dxa"/>
            <w:vAlign w:val="center"/>
          </w:tcPr>
          <w:p w14:paraId="4708D35C">
            <w:pPr>
              <w:pStyle w:val="13"/>
            </w:pPr>
            <w:r>
              <w:t>严格按照招标价格及审计额进行</w:t>
            </w:r>
          </w:p>
        </w:tc>
        <w:tc>
          <w:tcPr>
            <w:tcW w:w="2268" w:type="dxa"/>
            <w:vAlign w:val="center"/>
          </w:tcPr>
          <w:p w14:paraId="326C8304">
            <w:pPr>
              <w:pStyle w:val="13"/>
            </w:pPr>
            <w:r>
              <w:t>39万元</w:t>
            </w:r>
          </w:p>
        </w:tc>
        <w:tc>
          <w:tcPr>
            <w:tcW w:w="1276" w:type="dxa"/>
            <w:vAlign w:val="center"/>
          </w:tcPr>
          <w:p w14:paraId="1123BE17">
            <w:pPr>
              <w:pStyle w:val="13"/>
            </w:pPr>
            <w:r>
              <w:t>项目规划</w:t>
            </w:r>
          </w:p>
        </w:tc>
      </w:tr>
      <w:tr w14:paraId="62AE7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F33F6">
            <w:pPr>
              <w:pStyle w:val="12"/>
            </w:pPr>
            <w:r>
              <w:t>效益指标</w:t>
            </w:r>
          </w:p>
        </w:tc>
        <w:tc>
          <w:tcPr>
            <w:tcW w:w="2268" w:type="dxa"/>
            <w:vAlign w:val="center"/>
          </w:tcPr>
          <w:p w14:paraId="4B35F902">
            <w:pPr>
              <w:pStyle w:val="13"/>
            </w:pPr>
            <w:r>
              <w:t>可持续影响指标</w:t>
            </w:r>
          </w:p>
        </w:tc>
        <w:tc>
          <w:tcPr>
            <w:tcW w:w="2835" w:type="dxa"/>
            <w:vAlign w:val="center"/>
          </w:tcPr>
          <w:p w14:paraId="1AC76396">
            <w:pPr>
              <w:pStyle w:val="13"/>
            </w:pPr>
            <w:r>
              <w:t>教育发展水平</w:t>
            </w:r>
          </w:p>
        </w:tc>
        <w:tc>
          <w:tcPr>
            <w:tcW w:w="5386" w:type="dxa"/>
            <w:vAlign w:val="center"/>
          </w:tcPr>
          <w:p w14:paraId="2361CDC4">
            <w:pPr>
              <w:pStyle w:val="13"/>
            </w:pPr>
            <w:r>
              <w:t>受益人数</w:t>
            </w:r>
          </w:p>
        </w:tc>
        <w:tc>
          <w:tcPr>
            <w:tcW w:w="2268" w:type="dxa"/>
            <w:vAlign w:val="center"/>
          </w:tcPr>
          <w:p w14:paraId="13C768C0">
            <w:pPr>
              <w:pStyle w:val="13"/>
            </w:pPr>
            <w:r>
              <w:t>655人</w:t>
            </w:r>
          </w:p>
        </w:tc>
        <w:tc>
          <w:tcPr>
            <w:tcW w:w="1276" w:type="dxa"/>
            <w:vAlign w:val="center"/>
          </w:tcPr>
          <w:p w14:paraId="2D942FDD">
            <w:pPr>
              <w:pStyle w:val="13"/>
            </w:pPr>
            <w:r>
              <w:t>项目规划</w:t>
            </w:r>
          </w:p>
        </w:tc>
      </w:tr>
      <w:tr w14:paraId="591F0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57B1DD">
            <w:pPr>
              <w:pStyle w:val="12"/>
            </w:pPr>
            <w:r>
              <w:t>满意度指标</w:t>
            </w:r>
          </w:p>
        </w:tc>
        <w:tc>
          <w:tcPr>
            <w:tcW w:w="2268" w:type="dxa"/>
            <w:vAlign w:val="center"/>
          </w:tcPr>
          <w:p w14:paraId="51D66D92">
            <w:pPr>
              <w:pStyle w:val="13"/>
            </w:pPr>
            <w:r>
              <w:t>服务对象满意度指标</w:t>
            </w:r>
          </w:p>
        </w:tc>
        <w:tc>
          <w:tcPr>
            <w:tcW w:w="2835" w:type="dxa"/>
            <w:vAlign w:val="center"/>
          </w:tcPr>
          <w:p w14:paraId="731858CE">
            <w:pPr>
              <w:pStyle w:val="13"/>
            </w:pPr>
            <w:r>
              <w:t>学生、教师及家长对学校教学环境满意度情况</w:t>
            </w:r>
          </w:p>
        </w:tc>
        <w:tc>
          <w:tcPr>
            <w:tcW w:w="5386" w:type="dxa"/>
            <w:vAlign w:val="center"/>
          </w:tcPr>
          <w:p w14:paraId="0B62538A">
            <w:pPr>
              <w:pStyle w:val="13"/>
            </w:pPr>
            <w:r>
              <w:t>学生、教师及家长对学校教学环境满意度情况</w:t>
            </w:r>
          </w:p>
        </w:tc>
        <w:tc>
          <w:tcPr>
            <w:tcW w:w="2268" w:type="dxa"/>
            <w:vAlign w:val="center"/>
          </w:tcPr>
          <w:p w14:paraId="100F4C4D">
            <w:pPr>
              <w:pStyle w:val="13"/>
            </w:pPr>
            <w:r>
              <w:t>≥95%</w:t>
            </w:r>
          </w:p>
        </w:tc>
        <w:tc>
          <w:tcPr>
            <w:tcW w:w="1276" w:type="dxa"/>
            <w:vAlign w:val="center"/>
          </w:tcPr>
          <w:p w14:paraId="5E6DFB1D">
            <w:pPr>
              <w:pStyle w:val="13"/>
            </w:pPr>
            <w:r>
              <w:t>调查问卷</w:t>
            </w:r>
          </w:p>
        </w:tc>
      </w:tr>
    </w:tbl>
    <w:p w14:paraId="13561155">
      <w:pPr>
        <w:sectPr>
          <w:pgSz w:w="16840" w:h="11900" w:orient="landscape"/>
          <w:pgMar w:top="1361" w:right="1020" w:bottom="1134" w:left="1020" w:header="720" w:footer="720" w:gutter="0"/>
          <w:cols w:space="720" w:num="1"/>
        </w:sectPr>
      </w:pPr>
    </w:p>
    <w:p w14:paraId="7AA5A290">
      <w:pPr>
        <w:spacing w:before="0" w:after="0"/>
        <w:ind w:firstLine="560"/>
        <w:jc w:val="left"/>
        <w:outlineLvl w:val="9"/>
      </w:pPr>
      <w:r>
        <w:rPr>
          <w:rFonts w:ascii="方正仿宋_GBK" w:hAnsi="方正仿宋_GBK" w:eastAsia="方正仿宋_GBK" w:cs="方正仿宋_GBK"/>
          <w:b/>
          <w:color w:val="000000"/>
          <w:sz w:val="28"/>
        </w:rPr>
        <w:t>2、冀财教[2023]159号/省级/2024年义务教育薄弱环节改善与能力提升/隆尧县北楼乡尚礼小学维修改造项目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A7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22132">
            <w:pPr>
              <w:pStyle w:val="14"/>
            </w:pPr>
            <w:r>
              <w:t>单位：万元</w:t>
            </w:r>
          </w:p>
        </w:tc>
      </w:tr>
      <w:tr w14:paraId="14CCA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E0B51">
            <w:pPr>
              <w:pStyle w:val="11"/>
            </w:pPr>
            <w:r>
              <w:t>项目编码</w:t>
            </w:r>
          </w:p>
        </w:tc>
        <w:tc>
          <w:tcPr>
            <w:tcW w:w="5103" w:type="dxa"/>
            <w:gridSpan w:val="2"/>
            <w:vAlign w:val="center"/>
          </w:tcPr>
          <w:p w14:paraId="242C2E5A">
            <w:pPr>
              <w:pStyle w:val="13"/>
            </w:pPr>
            <w:r>
              <w:t>13052524P000006112744</w:t>
            </w:r>
          </w:p>
        </w:tc>
        <w:tc>
          <w:tcPr>
            <w:tcW w:w="2835" w:type="dxa"/>
            <w:vAlign w:val="center"/>
          </w:tcPr>
          <w:p w14:paraId="14A2191F">
            <w:pPr>
              <w:pStyle w:val="11"/>
            </w:pPr>
            <w:r>
              <w:t>项目名称</w:t>
            </w:r>
          </w:p>
        </w:tc>
        <w:tc>
          <w:tcPr>
            <w:tcW w:w="6095" w:type="dxa"/>
            <w:gridSpan w:val="3"/>
            <w:vAlign w:val="center"/>
          </w:tcPr>
          <w:p w14:paraId="2D5B2D2F">
            <w:pPr>
              <w:pStyle w:val="13"/>
            </w:pPr>
            <w:r>
              <w:t>冀财教[2023]159号/省级/2024年义务教育薄弱环节改善与能力提升/隆尧县北楼乡尚礼小学维修改造项目</w:t>
            </w:r>
            <w:r>
              <w:tab/>
            </w:r>
          </w:p>
        </w:tc>
      </w:tr>
      <w:tr w14:paraId="42F82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99141">
            <w:pPr>
              <w:pStyle w:val="11"/>
            </w:pPr>
            <w:r>
              <w:t>预算规模及资金用途</w:t>
            </w:r>
          </w:p>
        </w:tc>
        <w:tc>
          <w:tcPr>
            <w:tcW w:w="2268" w:type="dxa"/>
            <w:vAlign w:val="center"/>
          </w:tcPr>
          <w:p w14:paraId="00509745">
            <w:pPr>
              <w:pStyle w:val="11"/>
            </w:pPr>
            <w:r>
              <w:t>预算数</w:t>
            </w:r>
          </w:p>
        </w:tc>
        <w:tc>
          <w:tcPr>
            <w:tcW w:w="2835" w:type="dxa"/>
            <w:vAlign w:val="center"/>
          </w:tcPr>
          <w:p w14:paraId="60A608E2">
            <w:pPr>
              <w:pStyle w:val="13"/>
            </w:pPr>
            <w:r>
              <w:t>16.93</w:t>
            </w:r>
          </w:p>
        </w:tc>
        <w:tc>
          <w:tcPr>
            <w:tcW w:w="2835" w:type="dxa"/>
            <w:vAlign w:val="center"/>
          </w:tcPr>
          <w:p w14:paraId="0FCD87F6">
            <w:pPr>
              <w:pStyle w:val="11"/>
            </w:pPr>
            <w:r>
              <w:t>其中：财政    资金</w:t>
            </w:r>
          </w:p>
        </w:tc>
        <w:tc>
          <w:tcPr>
            <w:tcW w:w="2551" w:type="dxa"/>
            <w:vAlign w:val="center"/>
          </w:tcPr>
          <w:p w14:paraId="3E28CBA4">
            <w:pPr>
              <w:pStyle w:val="13"/>
            </w:pPr>
            <w:r>
              <w:t>16.93</w:t>
            </w:r>
          </w:p>
        </w:tc>
        <w:tc>
          <w:tcPr>
            <w:tcW w:w="2268" w:type="dxa"/>
            <w:vAlign w:val="center"/>
          </w:tcPr>
          <w:p w14:paraId="76C84B5C">
            <w:pPr>
              <w:pStyle w:val="11"/>
            </w:pPr>
            <w:r>
              <w:t>其他资金</w:t>
            </w:r>
          </w:p>
        </w:tc>
        <w:tc>
          <w:tcPr>
            <w:tcW w:w="1276" w:type="dxa"/>
            <w:vAlign w:val="center"/>
          </w:tcPr>
          <w:p w14:paraId="0F1AED78">
            <w:pPr>
              <w:pStyle w:val="13"/>
            </w:pPr>
            <w:r>
              <w:t xml:space="preserve"> </w:t>
            </w:r>
          </w:p>
        </w:tc>
      </w:tr>
      <w:tr w14:paraId="3033D5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689976"/>
        </w:tc>
        <w:tc>
          <w:tcPr>
            <w:tcW w:w="14033" w:type="dxa"/>
            <w:gridSpan w:val="6"/>
            <w:vAlign w:val="center"/>
          </w:tcPr>
          <w:p w14:paraId="74511D13">
            <w:pPr>
              <w:pStyle w:val="13"/>
            </w:pPr>
            <w:r>
              <w:t>为了提升尚礼小学办学条件，改善学校办学面貌。满足师生正常教学需要。</w:t>
            </w:r>
          </w:p>
        </w:tc>
      </w:tr>
      <w:tr w14:paraId="303CE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0E7DB">
            <w:pPr>
              <w:pStyle w:val="11"/>
            </w:pPr>
            <w:r>
              <w:t>资金支出计划（%）</w:t>
            </w:r>
          </w:p>
        </w:tc>
        <w:tc>
          <w:tcPr>
            <w:tcW w:w="5103" w:type="dxa"/>
            <w:gridSpan w:val="2"/>
            <w:vAlign w:val="center"/>
          </w:tcPr>
          <w:p w14:paraId="588F50D0">
            <w:pPr>
              <w:pStyle w:val="11"/>
            </w:pPr>
            <w:r>
              <w:t>3月底</w:t>
            </w:r>
          </w:p>
        </w:tc>
        <w:tc>
          <w:tcPr>
            <w:tcW w:w="2835" w:type="dxa"/>
            <w:vAlign w:val="center"/>
          </w:tcPr>
          <w:p w14:paraId="32151F08">
            <w:pPr>
              <w:pStyle w:val="11"/>
            </w:pPr>
            <w:r>
              <w:t>6月底</w:t>
            </w:r>
          </w:p>
        </w:tc>
        <w:tc>
          <w:tcPr>
            <w:tcW w:w="2551" w:type="dxa"/>
            <w:vAlign w:val="center"/>
          </w:tcPr>
          <w:p w14:paraId="10E633B6">
            <w:pPr>
              <w:pStyle w:val="11"/>
            </w:pPr>
            <w:r>
              <w:t>10月底</w:t>
            </w:r>
          </w:p>
        </w:tc>
        <w:tc>
          <w:tcPr>
            <w:tcW w:w="3544" w:type="dxa"/>
            <w:gridSpan w:val="2"/>
            <w:vAlign w:val="center"/>
          </w:tcPr>
          <w:p w14:paraId="40ABB63E">
            <w:pPr>
              <w:pStyle w:val="11"/>
            </w:pPr>
            <w:r>
              <w:t>12月底</w:t>
            </w:r>
          </w:p>
        </w:tc>
      </w:tr>
      <w:tr w14:paraId="0D2E3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877FB"/>
        </w:tc>
        <w:tc>
          <w:tcPr>
            <w:tcW w:w="5103" w:type="dxa"/>
            <w:gridSpan w:val="2"/>
            <w:vAlign w:val="center"/>
          </w:tcPr>
          <w:p w14:paraId="6CDD54DC">
            <w:pPr>
              <w:pStyle w:val="12"/>
            </w:pPr>
            <w:r>
              <w:t xml:space="preserve"> </w:t>
            </w:r>
          </w:p>
        </w:tc>
        <w:tc>
          <w:tcPr>
            <w:tcW w:w="2835" w:type="dxa"/>
            <w:vAlign w:val="center"/>
          </w:tcPr>
          <w:p w14:paraId="187B5B52">
            <w:pPr>
              <w:pStyle w:val="12"/>
            </w:pPr>
            <w:r>
              <w:t xml:space="preserve"> </w:t>
            </w:r>
          </w:p>
        </w:tc>
        <w:tc>
          <w:tcPr>
            <w:tcW w:w="2551" w:type="dxa"/>
            <w:vAlign w:val="center"/>
          </w:tcPr>
          <w:p w14:paraId="1EADB0BE">
            <w:pPr>
              <w:pStyle w:val="12"/>
            </w:pPr>
            <w:r>
              <w:t>17000000%</w:t>
            </w:r>
          </w:p>
        </w:tc>
        <w:tc>
          <w:tcPr>
            <w:tcW w:w="3544" w:type="dxa"/>
            <w:gridSpan w:val="2"/>
            <w:vAlign w:val="center"/>
          </w:tcPr>
          <w:p w14:paraId="2A7D802C">
            <w:pPr>
              <w:pStyle w:val="12"/>
            </w:pPr>
            <w:r>
              <w:t>17000000%</w:t>
            </w:r>
          </w:p>
        </w:tc>
      </w:tr>
      <w:tr w14:paraId="484C7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DEBD5">
            <w:pPr>
              <w:pStyle w:val="11"/>
            </w:pPr>
            <w:r>
              <w:t>绩效目标</w:t>
            </w:r>
          </w:p>
        </w:tc>
        <w:tc>
          <w:tcPr>
            <w:tcW w:w="14033" w:type="dxa"/>
            <w:gridSpan w:val="6"/>
            <w:vAlign w:val="center"/>
          </w:tcPr>
          <w:p w14:paraId="7B0CAB8F">
            <w:pPr>
              <w:pStyle w:val="13"/>
            </w:pPr>
            <w:r>
              <w:t>1.提升尚礼小学办学条件，改善学校办学面貌。满足师生正常教学需要。</w:t>
            </w:r>
            <w:r>
              <w:tab/>
            </w:r>
            <w:r>
              <w:tab/>
            </w:r>
            <w:r>
              <w:tab/>
            </w:r>
            <w:r>
              <w:tab/>
            </w:r>
            <w:r>
              <w:tab/>
            </w:r>
            <w:r>
              <w:tab/>
            </w:r>
          </w:p>
          <w:p w14:paraId="0C797854">
            <w:pPr>
              <w:pStyle w:val="13"/>
            </w:pPr>
            <w:r>
              <w:t>2.按规定拨付省级资金17万元；资金拨付率达到100%。</w:t>
            </w:r>
            <w:r>
              <w:tab/>
            </w:r>
          </w:p>
        </w:tc>
      </w:tr>
    </w:tbl>
    <w:p w14:paraId="7E6F8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14:paraId="5DA0A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534CB">
            <w:pPr>
              <w:pStyle w:val="11"/>
            </w:pPr>
            <w:r>
              <w:t>一级指标</w:t>
            </w:r>
          </w:p>
        </w:tc>
        <w:tc>
          <w:tcPr>
            <w:tcW w:w="2268" w:type="dxa"/>
            <w:vAlign w:val="center"/>
          </w:tcPr>
          <w:p w14:paraId="0162A26C">
            <w:pPr>
              <w:pStyle w:val="11"/>
            </w:pPr>
            <w:r>
              <w:t>二级指标</w:t>
            </w:r>
          </w:p>
        </w:tc>
        <w:tc>
          <w:tcPr>
            <w:tcW w:w="2835" w:type="dxa"/>
            <w:vAlign w:val="center"/>
          </w:tcPr>
          <w:p w14:paraId="2FB8D493">
            <w:pPr>
              <w:pStyle w:val="11"/>
            </w:pPr>
            <w:r>
              <w:t>三级指标</w:t>
            </w:r>
          </w:p>
        </w:tc>
        <w:tc>
          <w:tcPr>
            <w:tcW w:w="5386" w:type="dxa"/>
            <w:vAlign w:val="center"/>
          </w:tcPr>
          <w:p w14:paraId="59E2B07E">
            <w:pPr>
              <w:pStyle w:val="11"/>
            </w:pPr>
            <w:r>
              <w:t>绩效指标描述</w:t>
            </w:r>
          </w:p>
        </w:tc>
        <w:tc>
          <w:tcPr>
            <w:tcW w:w="1853" w:type="dxa"/>
            <w:vAlign w:val="center"/>
          </w:tcPr>
          <w:p w14:paraId="38E8231E">
            <w:pPr>
              <w:pStyle w:val="11"/>
            </w:pPr>
            <w:r>
              <w:t>指标值</w:t>
            </w:r>
          </w:p>
        </w:tc>
        <w:tc>
          <w:tcPr>
            <w:tcW w:w="1691" w:type="dxa"/>
            <w:vAlign w:val="center"/>
          </w:tcPr>
          <w:p w14:paraId="7861BA5E">
            <w:pPr>
              <w:pStyle w:val="11"/>
            </w:pPr>
            <w:r>
              <w:t>指标值确定依据</w:t>
            </w:r>
          </w:p>
        </w:tc>
      </w:tr>
      <w:tr w14:paraId="76100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8BCE1">
            <w:pPr>
              <w:pStyle w:val="12"/>
            </w:pPr>
            <w:r>
              <w:t>产出指标</w:t>
            </w:r>
          </w:p>
        </w:tc>
        <w:tc>
          <w:tcPr>
            <w:tcW w:w="2268" w:type="dxa"/>
            <w:vAlign w:val="center"/>
          </w:tcPr>
          <w:p w14:paraId="195A20BA">
            <w:pPr>
              <w:pStyle w:val="13"/>
            </w:pPr>
            <w:r>
              <w:t>数量指标</w:t>
            </w:r>
          </w:p>
        </w:tc>
        <w:tc>
          <w:tcPr>
            <w:tcW w:w="2835" w:type="dxa"/>
            <w:vAlign w:val="center"/>
          </w:tcPr>
          <w:p w14:paraId="692B989B">
            <w:pPr>
              <w:pStyle w:val="13"/>
            </w:pPr>
            <w:r>
              <w:t>项目数量</w:t>
            </w:r>
          </w:p>
        </w:tc>
        <w:tc>
          <w:tcPr>
            <w:tcW w:w="5386" w:type="dxa"/>
            <w:vAlign w:val="center"/>
          </w:tcPr>
          <w:p w14:paraId="2161AEA1">
            <w:pPr>
              <w:pStyle w:val="13"/>
            </w:pPr>
            <w:r>
              <w:t>围墙、大门垛、警卫室</w:t>
            </w:r>
          </w:p>
        </w:tc>
        <w:tc>
          <w:tcPr>
            <w:tcW w:w="1853" w:type="dxa"/>
            <w:vAlign w:val="center"/>
          </w:tcPr>
          <w:p w14:paraId="5A240CC9">
            <w:pPr>
              <w:pStyle w:val="13"/>
            </w:pPr>
            <w:r>
              <w:t>3项</w:t>
            </w:r>
          </w:p>
        </w:tc>
        <w:tc>
          <w:tcPr>
            <w:tcW w:w="1691" w:type="dxa"/>
            <w:vAlign w:val="center"/>
          </w:tcPr>
          <w:p w14:paraId="6945B252">
            <w:pPr>
              <w:pStyle w:val="13"/>
            </w:pPr>
            <w:r>
              <w:t>城乡义务教育补助经费管理办法</w:t>
            </w:r>
          </w:p>
        </w:tc>
      </w:tr>
      <w:tr w14:paraId="72867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73C70"/>
        </w:tc>
        <w:tc>
          <w:tcPr>
            <w:tcW w:w="2268" w:type="dxa"/>
            <w:vAlign w:val="center"/>
          </w:tcPr>
          <w:p w14:paraId="03637BC7">
            <w:pPr>
              <w:pStyle w:val="13"/>
            </w:pPr>
            <w:r>
              <w:t>质量指标</w:t>
            </w:r>
          </w:p>
        </w:tc>
        <w:tc>
          <w:tcPr>
            <w:tcW w:w="2835" w:type="dxa"/>
            <w:vAlign w:val="center"/>
          </w:tcPr>
          <w:p w14:paraId="26615F54">
            <w:pPr>
              <w:pStyle w:val="13"/>
            </w:pPr>
            <w:r>
              <w:t>工程实施验收合格率</w:t>
            </w:r>
          </w:p>
        </w:tc>
        <w:tc>
          <w:tcPr>
            <w:tcW w:w="5386" w:type="dxa"/>
            <w:vAlign w:val="center"/>
          </w:tcPr>
          <w:p w14:paraId="691EE3A3">
            <w:pPr>
              <w:pStyle w:val="13"/>
            </w:pPr>
            <w:r>
              <w:t>申报程序合规，项目实施及工程验收符合项目规划</w:t>
            </w:r>
          </w:p>
        </w:tc>
        <w:tc>
          <w:tcPr>
            <w:tcW w:w="1853" w:type="dxa"/>
            <w:vAlign w:val="center"/>
          </w:tcPr>
          <w:p w14:paraId="17054CBE">
            <w:pPr>
              <w:pStyle w:val="13"/>
            </w:pPr>
            <w:r>
              <w:t>≥100%</w:t>
            </w:r>
          </w:p>
        </w:tc>
        <w:tc>
          <w:tcPr>
            <w:tcW w:w="1691" w:type="dxa"/>
            <w:vAlign w:val="center"/>
          </w:tcPr>
          <w:p w14:paraId="354411A7">
            <w:pPr>
              <w:pStyle w:val="13"/>
            </w:pPr>
            <w:r>
              <w:t>城乡义务教育补助经费管理办法</w:t>
            </w:r>
          </w:p>
        </w:tc>
      </w:tr>
      <w:tr w14:paraId="377E2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8D10B"/>
        </w:tc>
        <w:tc>
          <w:tcPr>
            <w:tcW w:w="2268" w:type="dxa"/>
            <w:vAlign w:val="center"/>
          </w:tcPr>
          <w:p w14:paraId="679D51E5">
            <w:pPr>
              <w:pStyle w:val="13"/>
            </w:pPr>
            <w:r>
              <w:t>时效指标</w:t>
            </w:r>
          </w:p>
        </w:tc>
        <w:tc>
          <w:tcPr>
            <w:tcW w:w="2835" w:type="dxa"/>
            <w:vAlign w:val="center"/>
          </w:tcPr>
          <w:p w14:paraId="65BB50D6">
            <w:pPr>
              <w:pStyle w:val="13"/>
            </w:pPr>
            <w:r>
              <w:t>预算执行率</w:t>
            </w:r>
          </w:p>
        </w:tc>
        <w:tc>
          <w:tcPr>
            <w:tcW w:w="5386" w:type="dxa"/>
            <w:vAlign w:val="center"/>
          </w:tcPr>
          <w:p w14:paraId="023A1DFB">
            <w:pPr>
              <w:pStyle w:val="13"/>
            </w:pPr>
            <w:r>
              <w:t>按照工程进度进行资金拨付，年度执行预算率≥95%</w:t>
            </w:r>
          </w:p>
        </w:tc>
        <w:tc>
          <w:tcPr>
            <w:tcW w:w="1853" w:type="dxa"/>
            <w:vAlign w:val="center"/>
          </w:tcPr>
          <w:p w14:paraId="69C83158">
            <w:pPr>
              <w:pStyle w:val="13"/>
            </w:pPr>
            <w:r>
              <w:t>≥95%</w:t>
            </w:r>
          </w:p>
        </w:tc>
        <w:tc>
          <w:tcPr>
            <w:tcW w:w="1691" w:type="dxa"/>
            <w:vAlign w:val="center"/>
          </w:tcPr>
          <w:p w14:paraId="409A8598">
            <w:pPr>
              <w:pStyle w:val="13"/>
            </w:pPr>
            <w:r>
              <w:t>城乡义务教育补助经费管理办法</w:t>
            </w:r>
          </w:p>
        </w:tc>
      </w:tr>
      <w:tr w14:paraId="06BDC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D3423"/>
        </w:tc>
        <w:tc>
          <w:tcPr>
            <w:tcW w:w="2268" w:type="dxa"/>
            <w:vAlign w:val="center"/>
          </w:tcPr>
          <w:p w14:paraId="4DC2CADF">
            <w:pPr>
              <w:pStyle w:val="13"/>
            </w:pPr>
            <w:r>
              <w:t>成本指标</w:t>
            </w:r>
          </w:p>
        </w:tc>
        <w:tc>
          <w:tcPr>
            <w:tcW w:w="2835" w:type="dxa"/>
            <w:vAlign w:val="center"/>
          </w:tcPr>
          <w:p w14:paraId="11AC44CB">
            <w:pPr>
              <w:pStyle w:val="13"/>
            </w:pPr>
            <w:r>
              <w:t>维修项目成本</w:t>
            </w:r>
          </w:p>
        </w:tc>
        <w:tc>
          <w:tcPr>
            <w:tcW w:w="5386" w:type="dxa"/>
            <w:vAlign w:val="center"/>
          </w:tcPr>
          <w:p w14:paraId="7E30EB26">
            <w:pPr>
              <w:pStyle w:val="13"/>
            </w:pPr>
            <w:r>
              <w:t>地面硬化项目总价值</w:t>
            </w:r>
          </w:p>
        </w:tc>
        <w:tc>
          <w:tcPr>
            <w:tcW w:w="1853" w:type="dxa"/>
            <w:vAlign w:val="center"/>
          </w:tcPr>
          <w:p w14:paraId="754DD542">
            <w:pPr>
              <w:pStyle w:val="13"/>
            </w:pPr>
            <w:r>
              <w:t>17万元</w:t>
            </w:r>
          </w:p>
        </w:tc>
        <w:tc>
          <w:tcPr>
            <w:tcW w:w="1691" w:type="dxa"/>
            <w:vAlign w:val="center"/>
          </w:tcPr>
          <w:p w14:paraId="63A1F884">
            <w:pPr>
              <w:pStyle w:val="13"/>
            </w:pPr>
            <w:r>
              <w:t>城乡义务教育补助经费管理办法</w:t>
            </w:r>
          </w:p>
        </w:tc>
      </w:tr>
      <w:tr w14:paraId="08A4A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F89B99">
            <w:pPr>
              <w:pStyle w:val="12"/>
            </w:pPr>
            <w:r>
              <w:t>效益指标</w:t>
            </w:r>
          </w:p>
        </w:tc>
        <w:tc>
          <w:tcPr>
            <w:tcW w:w="2268" w:type="dxa"/>
            <w:vAlign w:val="center"/>
          </w:tcPr>
          <w:p w14:paraId="7E4CC0E2">
            <w:pPr>
              <w:pStyle w:val="13"/>
            </w:pPr>
            <w:r>
              <w:t>可持续影响指标</w:t>
            </w:r>
          </w:p>
        </w:tc>
        <w:tc>
          <w:tcPr>
            <w:tcW w:w="2835" w:type="dxa"/>
            <w:vAlign w:val="center"/>
          </w:tcPr>
          <w:p w14:paraId="04205082">
            <w:pPr>
              <w:pStyle w:val="13"/>
            </w:pPr>
            <w:r>
              <w:t>项目实施成果</w:t>
            </w:r>
          </w:p>
        </w:tc>
        <w:tc>
          <w:tcPr>
            <w:tcW w:w="5386" w:type="dxa"/>
            <w:vAlign w:val="center"/>
          </w:tcPr>
          <w:p w14:paraId="32CC38A3">
            <w:pPr>
              <w:pStyle w:val="13"/>
            </w:pPr>
            <w:r>
              <w:t>通过项目实施能有效改善教学环境，提升教学质量</w:t>
            </w:r>
          </w:p>
        </w:tc>
        <w:tc>
          <w:tcPr>
            <w:tcW w:w="1853" w:type="dxa"/>
            <w:vAlign w:val="center"/>
          </w:tcPr>
          <w:p w14:paraId="4EEFBFFC">
            <w:pPr>
              <w:pStyle w:val="13"/>
            </w:pPr>
            <w:r>
              <w:t>≥97%</w:t>
            </w:r>
          </w:p>
        </w:tc>
        <w:tc>
          <w:tcPr>
            <w:tcW w:w="1691" w:type="dxa"/>
            <w:vAlign w:val="center"/>
          </w:tcPr>
          <w:p w14:paraId="23F0E689">
            <w:pPr>
              <w:pStyle w:val="13"/>
            </w:pPr>
            <w:r>
              <w:t>城乡义务教育补助经费管理办法</w:t>
            </w:r>
          </w:p>
        </w:tc>
      </w:tr>
      <w:tr w14:paraId="4C389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721149">
            <w:pPr>
              <w:pStyle w:val="12"/>
            </w:pPr>
            <w:r>
              <w:t>满意度指标</w:t>
            </w:r>
          </w:p>
        </w:tc>
        <w:tc>
          <w:tcPr>
            <w:tcW w:w="2268" w:type="dxa"/>
            <w:vAlign w:val="center"/>
          </w:tcPr>
          <w:p w14:paraId="58C78CE9">
            <w:pPr>
              <w:pStyle w:val="13"/>
            </w:pPr>
            <w:r>
              <w:t>服务对象满意度指标</w:t>
            </w:r>
          </w:p>
        </w:tc>
        <w:tc>
          <w:tcPr>
            <w:tcW w:w="2835" w:type="dxa"/>
            <w:vAlign w:val="center"/>
          </w:tcPr>
          <w:p w14:paraId="7BC6A5F4">
            <w:pPr>
              <w:pStyle w:val="13"/>
            </w:pPr>
            <w:r>
              <w:t>受益学生及家长的调查满意度</w:t>
            </w:r>
          </w:p>
        </w:tc>
        <w:tc>
          <w:tcPr>
            <w:tcW w:w="5386" w:type="dxa"/>
            <w:vAlign w:val="center"/>
          </w:tcPr>
          <w:p w14:paraId="6EA4B1F8">
            <w:pPr>
              <w:pStyle w:val="13"/>
            </w:pPr>
            <w:r>
              <w:t>学生、教师及家长对学校环境提升满意度情况</w:t>
            </w:r>
          </w:p>
        </w:tc>
        <w:tc>
          <w:tcPr>
            <w:tcW w:w="1853" w:type="dxa"/>
            <w:vAlign w:val="center"/>
          </w:tcPr>
          <w:p w14:paraId="570992E0">
            <w:pPr>
              <w:pStyle w:val="13"/>
            </w:pPr>
            <w:r>
              <w:t>≥95%</w:t>
            </w:r>
          </w:p>
        </w:tc>
        <w:tc>
          <w:tcPr>
            <w:tcW w:w="1691" w:type="dxa"/>
            <w:vAlign w:val="center"/>
          </w:tcPr>
          <w:p w14:paraId="4640E91A">
            <w:pPr>
              <w:pStyle w:val="13"/>
            </w:pPr>
            <w:r>
              <w:t>调查问卷</w:t>
            </w:r>
          </w:p>
        </w:tc>
      </w:tr>
    </w:tbl>
    <w:p w14:paraId="0B60A18D">
      <w:pPr>
        <w:sectPr>
          <w:pgSz w:w="16840" w:h="11900" w:orient="landscape"/>
          <w:pgMar w:top="1361" w:right="1020" w:bottom="1134" w:left="1020" w:header="720" w:footer="720" w:gutter="0"/>
          <w:cols w:space="720" w:num="1"/>
        </w:sectPr>
      </w:pPr>
    </w:p>
    <w:p w14:paraId="6CAB8BD6">
      <w:pPr>
        <w:spacing w:before="0" w:after="0"/>
        <w:ind w:firstLine="560"/>
        <w:jc w:val="left"/>
        <w:outlineLvl w:val="9"/>
      </w:pPr>
      <w:r>
        <w:rPr>
          <w:rFonts w:ascii="方正仿宋_GBK" w:hAnsi="方正仿宋_GBK" w:eastAsia="方正仿宋_GBK" w:cs="方正仿宋_GBK"/>
          <w:b/>
          <w:color w:val="000000"/>
          <w:sz w:val="28"/>
        </w:rPr>
        <w:t>3、冀财教[2024]121号/中央/2025年学前发展资金/北楼校区学前教育幼儿资助绩效目标表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6E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DC25B">
            <w:pPr>
              <w:pStyle w:val="14"/>
            </w:pPr>
            <w:r>
              <w:t>单位：万元</w:t>
            </w:r>
          </w:p>
        </w:tc>
      </w:tr>
      <w:tr w14:paraId="72F9B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B57B0">
            <w:pPr>
              <w:pStyle w:val="11"/>
            </w:pPr>
            <w:r>
              <w:t>项目编码</w:t>
            </w:r>
          </w:p>
        </w:tc>
        <w:tc>
          <w:tcPr>
            <w:tcW w:w="5103" w:type="dxa"/>
            <w:gridSpan w:val="2"/>
            <w:vAlign w:val="center"/>
          </w:tcPr>
          <w:p w14:paraId="0079B59B">
            <w:pPr>
              <w:pStyle w:val="13"/>
            </w:pPr>
            <w:r>
              <w:t>13052525P000002100527</w:t>
            </w:r>
          </w:p>
        </w:tc>
        <w:tc>
          <w:tcPr>
            <w:tcW w:w="2835" w:type="dxa"/>
            <w:vAlign w:val="center"/>
          </w:tcPr>
          <w:p w14:paraId="458FEAAB">
            <w:pPr>
              <w:pStyle w:val="11"/>
            </w:pPr>
            <w:r>
              <w:t>项目名称</w:t>
            </w:r>
          </w:p>
        </w:tc>
        <w:tc>
          <w:tcPr>
            <w:tcW w:w="6095" w:type="dxa"/>
            <w:gridSpan w:val="3"/>
            <w:vAlign w:val="center"/>
          </w:tcPr>
          <w:p w14:paraId="051DB970">
            <w:pPr>
              <w:pStyle w:val="13"/>
            </w:pPr>
            <w:r>
              <w:t>冀财教[2024]121号/中央/2025年学前发展资金/北楼校区学前教育幼儿资助</w:t>
            </w:r>
          </w:p>
        </w:tc>
      </w:tr>
      <w:tr w14:paraId="1D60B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2A067">
            <w:pPr>
              <w:pStyle w:val="11"/>
            </w:pPr>
            <w:r>
              <w:t>预算规模及资金用途</w:t>
            </w:r>
          </w:p>
        </w:tc>
        <w:tc>
          <w:tcPr>
            <w:tcW w:w="2268" w:type="dxa"/>
            <w:vAlign w:val="center"/>
          </w:tcPr>
          <w:p w14:paraId="14036FDE">
            <w:pPr>
              <w:pStyle w:val="11"/>
            </w:pPr>
            <w:r>
              <w:t>预算数</w:t>
            </w:r>
          </w:p>
        </w:tc>
        <w:tc>
          <w:tcPr>
            <w:tcW w:w="2835" w:type="dxa"/>
            <w:vAlign w:val="center"/>
          </w:tcPr>
          <w:p w14:paraId="493661CB">
            <w:pPr>
              <w:pStyle w:val="13"/>
            </w:pPr>
            <w:r>
              <w:t>2.04</w:t>
            </w:r>
          </w:p>
        </w:tc>
        <w:tc>
          <w:tcPr>
            <w:tcW w:w="2835" w:type="dxa"/>
            <w:vAlign w:val="center"/>
          </w:tcPr>
          <w:p w14:paraId="02D91986">
            <w:pPr>
              <w:pStyle w:val="11"/>
            </w:pPr>
            <w:r>
              <w:t>其中：财政    资金</w:t>
            </w:r>
          </w:p>
        </w:tc>
        <w:tc>
          <w:tcPr>
            <w:tcW w:w="2551" w:type="dxa"/>
            <w:vAlign w:val="center"/>
          </w:tcPr>
          <w:p w14:paraId="7CD49AAC">
            <w:pPr>
              <w:pStyle w:val="13"/>
            </w:pPr>
            <w:r>
              <w:t>2.04</w:t>
            </w:r>
          </w:p>
        </w:tc>
        <w:tc>
          <w:tcPr>
            <w:tcW w:w="2268" w:type="dxa"/>
            <w:vAlign w:val="center"/>
          </w:tcPr>
          <w:p w14:paraId="5C7CA79F">
            <w:pPr>
              <w:pStyle w:val="11"/>
            </w:pPr>
            <w:r>
              <w:t>其他资金</w:t>
            </w:r>
          </w:p>
        </w:tc>
        <w:tc>
          <w:tcPr>
            <w:tcW w:w="1276" w:type="dxa"/>
            <w:vAlign w:val="center"/>
          </w:tcPr>
          <w:p w14:paraId="5DF6C15E">
            <w:pPr>
              <w:pStyle w:val="13"/>
            </w:pPr>
            <w:r>
              <w:t xml:space="preserve"> </w:t>
            </w:r>
          </w:p>
        </w:tc>
      </w:tr>
      <w:tr w14:paraId="41121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68B9A"/>
        </w:tc>
        <w:tc>
          <w:tcPr>
            <w:tcW w:w="14033" w:type="dxa"/>
            <w:gridSpan w:val="6"/>
            <w:vAlign w:val="center"/>
          </w:tcPr>
          <w:p w14:paraId="304B3096">
            <w:pPr>
              <w:pStyle w:val="13"/>
            </w:pPr>
            <w:r>
              <w:t>保障落实建档立卡及家庭经济困难儿童资助所需资金，确保建档立卡等家庭经济困难幼儿优先获得资助。</w:t>
            </w:r>
          </w:p>
        </w:tc>
      </w:tr>
      <w:tr w14:paraId="7FF83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FA1CD">
            <w:pPr>
              <w:pStyle w:val="11"/>
            </w:pPr>
            <w:r>
              <w:t>资金支出计划（%）</w:t>
            </w:r>
          </w:p>
        </w:tc>
        <w:tc>
          <w:tcPr>
            <w:tcW w:w="5103" w:type="dxa"/>
            <w:gridSpan w:val="2"/>
            <w:vAlign w:val="center"/>
          </w:tcPr>
          <w:p w14:paraId="6904D94F">
            <w:pPr>
              <w:pStyle w:val="11"/>
            </w:pPr>
            <w:r>
              <w:t>3月底</w:t>
            </w:r>
          </w:p>
        </w:tc>
        <w:tc>
          <w:tcPr>
            <w:tcW w:w="2835" w:type="dxa"/>
            <w:vAlign w:val="center"/>
          </w:tcPr>
          <w:p w14:paraId="24FCF352">
            <w:pPr>
              <w:pStyle w:val="11"/>
            </w:pPr>
            <w:r>
              <w:t>6月底</w:t>
            </w:r>
          </w:p>
        </w:tc>
        <w:tc>
          <w:tcPr>
            <w:tcW w:w="2551" w:type="dxa"/>
            <w:vAlign w:val="center"/>
          </w:tcPr>
          <w:p w14:paraId="541A0D8C">
            <w:pPr>
              <w:pStyle w:val="11"/>
            </w:pPr>
            <w:r>
              <w:t>10月底</w:t>
            </w:r>
          </w:p>
        </w:tc>
        <w:tc>
          <w:tcPr>
            <w:tcW w:w="3544" w:type="dxa"/>
            <w:gridSpan w:val="2"/>
            <w:vAlign w:val="center"/>
          </w:tcPr>
          <w:p w14:paraId="0A8E21C3">
            <w:pPr>
              <w:pStyle w:val="11"/>
            </w:pPr>
            <w:r>
              <w:t>12月底</w:t>
            </w:r>
          </w:p>
        </w:tc>
      </w:tr>
      <w:tr w14:paraId="363AA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9502E"/>
        </w:tc>
        <w:tc>
          <w:tcPr>
            <w:tcW w:w="5103" w:type="dxa"/>
            <w:gridSpan w:val="2"/>
            <w:vAlign w:val="center"/>
          </w:tcPr>
          <w:p w14:paraId="630A36FE">
            <w:pPr>
              <w:pStyle w:val="12"/>
            </w:pPr>
            <w:r>
              <w:t xml:space="preserve"> </w:t>
            </w:r>
          </w:p>
        </w:tc>
        <w:tc>
          <w:tcPr>
            <w:tcW w:w="2835" w:type="dxa"/>
            <w:vAlign w:val="center"/>
          </w:tcPr>
          <w:p w14:paraId="17B0E0DA">
            <w:pPr>
              <w:pStyle w:val="12"/>
            </w:pPr>
            <w:r>
              <w:t xml:space="preserve"> </w:t>
            </w:r>
          </w:p>
        </w:tc>
        <w:tc>
          <w:tcPr>
            <w:tcW w:w="2551" w:type="dxa"/>
            <w:vAlign w:val="center"/>
          </w:tcPr>
          <w:p w14:paraId="63616CDF">
            <w:pPr>
              <w:pStyle w:val="12"/>
            </w:pPr>
            <w:r>
              <w:t>50%</w:t>
            </w:r>
          </w:p>
        </w:tc>
        <w:tc>
          <w:tcPr>
            <w:tcW w:w="3544" w:type="dxa"/>
            <w:gridSpan w:val="2"/>
            <w:vAlign w:val="center"/>
          </w:tcPr>
          <w:p w14:paraId="2FFBD374">
            <w:pPr>
              <w:pStyle w:val="12"/>
            </w:pPr>
            <w:r>
              <w:t>100%</w:t>
            </w:r>
          </w:p>
        </w:tc>
      </w:tr>
      <w:tr w14:paraId="625E3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04681">
            <w:pPr>
              <w:pStyle w:val="11"/>
            </w:pPr>
            <w:r>
              <w:t>绩效目标</w:t>
            </w:r>
          </w:p>
        </w:tc>
        <w:tc>
          <w:tcPr>
            <w:tcW w:w="14033" w:type="dxa"/>
            <w:gridSpan w:val="6"/>
            <w:vAlign w:val="center"/>
          </w:tcPr>
          <w:p w14:paraId="3854FBE9">
            <w:pPr>
              <w:pStyle w:val="13"/>
            </w:pPr>
            <w:r>
              <w:t>1.保证本年度资助经费足额落实到位，符合享受资助条件的学生应助尽助。</w:t>
            </w:r>
            <w:r>
              <w:tab/>
            </w:r>
            <w:r>
              <w:tab/>
            </w:r>
            <w:r>
              <w:tab/>
            </w:r>
            <w:r>
              <w:tab/>
            </w:r>
            <w:r>
              <w:tab/>
            </w:r>
            <w:r>
              <w:tab/>
            </w:r>
          </w:p>
          <w:p w14:paraId="5AE77401">
            <w:pPr>
              <w:pStyle w:val="13"/>
            </w:pPr>
          </w:p>
          <w:p w14:paraId="202705C3">
            <w:pPr>
              <w:pStyle w:val="13"/>
            </w:pPr>
            <w:r>
              <w:t>2.保障落实建档立卡及家庭经济困难儿童资助所需资金，确保建档立卡等家庭经济困难幼儿优先获得资助</w:t>
            </w:r>
            <w:r>
              <w:tab/>
            </w:r>
            <w:r>
              <w:tab/>
            </w:r>
            <w:r>
              <w:tab/>
            </w:r>
            <w:r>
              <w:tab/>
            </w:r>
            <w:r>
              <w:tab/>
            </w:r>
            <w:r>
              <w:tab/>
            </w:r>
          </w:p>
          <w:p w14:paraId="1C6A8D73">
            <w:pPr>
              <w:pStyle w:val="13"/>
            </w:pPr>
          </w:p>
        </w:tc>
      </w:tr>
    </w:tbl>
    <w:p w14:paraId="66BD94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80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339D1">
            <w:pPr>
              <w:pStyle w:val="11"/>
            </w:pPr>
            <w:r>
              <w:t>一级指标</w:t>
            </w:r>
          </w:p>
        </w:tc>
        <w:tc>
          <w:tcPr>
            <w:tcW w:w="2268" w:type="dxa"/>
            <w:vAlign w:val="center"/>
          </w:tcPr>
          <w:p w14:paraId="2150E3C5">
            <w:pPr>
              <w:pStyle w:val="11"/>
            </w:pPr>
            <w:r>
              <w:t>二级指标</w:t>
            </w:r>
          </w:p>
        </w:tc>
        <w:tc>
          <w:tcPr>
            <w:tcW w:w="2835" w:type="dxa"/>
            <w:vAlign w:val="center"/>
          </w:tcPr>
          <w:p w14:paraId="3AC4AEFE">
            <w:pPr>
              <w:pStyle w:val="11"/>
            </w:pPr>
            <w:r>
              <w:t>三级指标</w:t>
            </w:r>
          </w:p>
        </w:tc>
        <w:tc>
          <w:tcPr>
            <w:tcW w:w="5386" w:type="dxa"/>
            <w:vAlign w:val="center"/>
          </w:tcPr>
          <w:p w14:paraId="1C217C2C">
            <w:pPr>
              <w:pStyle w:val="11"/>
            </w:pPr>
            <w:r>
              <w:t>绩效指标描述</w:t>
            </w:r>
          </w:p>
        </w:tc>
        <w:tc>
          <w:tcPr>
            <w:tcW w:w="2268" w:type="dxa"/>
            <w:vAlign w:val="center"/>
          </w:tcPr>
          <w:p w14:paraId="3E673D5D">
            <w:pPr>
              <w:pStyle w:val="11"/>
            </w:pPr>
            <w:r>
              <w:t>指标值</w:t>
            </w:r>
          </w:p>
        </w:tc>
        <w:tc>
          <w:tcPr>
            <w:tcW w:w="1276" w:type="dxa"/>
            <w:vAlign w:val="center"/>
          </w:tcPr>
          <w:p w14:paraId="4DBA1683">
            <w:pPr>
              <w:pStyle w:val="11"/>
            </w:pPr>
            <w:r>
              <w:t>指标值确定依据</w:t>
            </w:r>
          </w:p>
        </w:tc>
      </w:tr>
      <w:tr w14:paraId="1E401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A0D6B">
            <w:pPr>
              <w:pStyle w:val="12"/>
            </w:pPr>
            <w:r>
              <w:t>产出指标</w:t>
            </w:r>
          </w:p>
        </w:tc>
        <w:tc>
          <w:tcPr>
            <w:tcW w:w="2268" w:type="dxa"/>
            <w:vAlign w:val="center"/>
          </w:tcPr>
          <w:p w14:paraId="33C7C80E">
            <w:pPr>
              <w:pStyle w:val="13"/>
            </w:pPr>
            <w:r>
              <w:t>成本指标</w:t>
            </w:r>
          </w:p>
        </w:tc>
        <w:tc>
          <w:tcPr>
            <w:tcW w:w="2835" w:type="dxa"/>
            <w:vAlign w:val="center"/>
          </w:tcPr>
          <w:p w14:paraId="47D76460">
            <w:pPr>
              <w:pStyle w:val="13"/>
            </w:pPr>
            <w:r>
              <w:t>幼儿园资助标准</w:t>
            </w:r>
          </w:p>
        </w:tc>
        <w:tc>
          <w:tcPr>
            <w:tcW w:w="5386" w:type="dxa"/>
            <w:vAlign w:val="center"/>
          </w:tcPr>
          <w:p w14:paraId="74F4201E">
            <w:pPr>
              <w:pStyle w:val="13"/>
            </w:pPr>
            <w:r>
              <w:t>按照幼儿园资助标准1000元/生/年</w:t>
            </w:r>
          </w:p>
        </w:tc>
        <w:tc>
          <w:tcPr>
            <w:tcW w:w="2268" w:type="dxa"/>
            <w:vAlign w:val="center"/>
          </w:tcPr>
          <w:p w14:paraId="35210DE7">
            <w:pPr>
              <w:pStyle w:val="13"/>
            </w:pPr>
            <w:r>
              <w:t>1000元/生/年</w:t>
            </w:r>
          </w:p>
        </w:tc>
        <w:tc>
          <w:tcPr>
            <w:tcW w:w="1276" w:type="dxa"/>
            <w:vAlign w:val="center"/>
          </w:tcPr>
          <w:p w14:paraId="7F22BABD">
            <w:pPr>
              <w:pStyle w:val="13"/>
            </w:pPr>
            <w:r>
              <w:t>幼儿资助经费管理办法</w:t>
            </w:r>
          </w:p>
        </w:tc>
      </w:tr>
      <w:tr w14:paraId="0FC80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E88FE"/>
        </w:tc>
        <w:tc>
          <w:tcPr>
            <w:tcW w:w="2268" w:type="dxa"/>
            <w:vAlign w:val="center"/>
          </w:tcPr>
          <w:p w14:paraId="5747DDB1">
            <w:pPr>
              <w:pStyle w:val="13"/>
            </w:pPr>
            <w:r>
              <w:t>数量指标</w:t>
            </w:r>
          </w:p>
        </w:tc>
        <w:tc>
          <w:tcPr>
            <w:tcW w:w="2835" w:type="dxa"/>
            <w:vAlign w:val="center"/>
          </w:tcPr>
          <w:p w14:paraId="192D3D88">
            <w:pPr>
              <w:pStyle w:val="13"/>
            </w:pPr>
            <w:r>
              <w:t>幼儿资助比例</w:t>
            </w:r>
          </w:p>
        </w:tc>
        <w:tc>
          <w:tcPr>
            <w:tcW w:w="5386" w:type="dxa"/>
            <w:vAlign w:val="center"/>
          </w:tcPr>
          <w:p w14:paraId="694C6CA2">
            <w:pPr>
              <w:pStyle w:val="13"/>
            </w:pPr>
            <w:r>
              <w:t>按学前适龄在园儿童10%测算</w:t>
            </w:r>
          </w:p>
        </w:tc>
        <w:tc>
          <w:tcPr>
            <w:tcW w:w="2268" w:type="dxa"/>
            <w:vAlign w:val="center"/>
          </w:tcPr>
          <w:p w14:paraId="592CDF01">
            <w:pPr>
              <w:pStyle w:val="13"/>
            </w:pPr>
            <w:r>
              <w:t>≥10%</w:t>
            </w:r>
          </w:p>
        </w:tc>
        <w:tc>
          <w:tcPr>
            <w:tcW w:w="1276" w:type="dxa"/>
            <w:vAlign w:val="center"/>
          </w:tcPr>
          <w:p w14:paraId="59507888">
            <w:pPr>
              <w:pStyle w:val="13"/>
            </w:pPr>
            <w:r>
              <w:t>幼儿资助经费管理办法</w:t>
            </w:r>
          </w:p>
        </w:tc>
      </w:tr>
      <w:tr w14:paraId="51B35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A471C"/>
        </w:tc>
        <w:tc>
          <w:tcPr>
            <w:tcW w:w="2268" w:type="dxa"/>
            <w:vAlign w:val="center"/>
          </w:tcPr>
          <w:p w14:paraId="67BD8C10">
            <w:pPr>
              <w:pStyle w:val="13"/>
            </w:pPr>
            <w:r>
              <w:t>质量指标</w:t>
            </w:r>
          </w:p>
        </w:tc>
        <w:tc>
          <w:tcPr>
            <w:tcW w:w="2835" w:type="dxa"/>
            <w:vAlign w:val="center"/>
          </w:tcPr>
          <w:p w14:paraId="6E01ED1D">
            <w:pPr>
              <w:pStyle w:val="13"/>
            </w:pPr>
            <w:r>
              <w:t>学前教育资助制度落实情况</w:t>
            </w:r>
          </w:p>
        </w:tc>
        <w:tc>
          <w:tcPr>
            <w:tcW w:w="5386" w:type="dxa"/>
            <w:vAlign w:val="center"/>
          </w:tcPr>
          <w:p w14:paraId="4EA1655F">
            <w:pPr>
              <w:pStyle w:val="13"/>
            </w:pPr>
            <w:r>
              <w:t>符合享受资助条件的学生应助尽助</w:t>
            </w:r>
          </w:p>
        </w:tc>
        <w:tc>
          <w:tcPr>
            <w:tcW w:w="2268" w:type="dxa"/>
            <w:vAlign w:val="center"/>
          </w:tcPr>
          <w:p w14:paraId="759CF199">
            <w:pPr>
              <w:pStyle w:val="13"/>
            </w:pPr>
            <w:r>
              <w:t>≥100%</w:t>
            </w:r>
          </w:p>
        </w:tc>
        <w:tc>
          <w:tcPr>
            <w:tcW w:w="1276" w:type="dxa"/>
            <w:vAlign w:val="center"/>
          </w:tcPr>
          <w:p w14:paraId="3F332EA3">
            <w:pPr>
              <w:pStyle w:val="13"/>
            </w:pPr>
            <w:r>
              <w:t>幼儿资助经费管理办法</w:t>
            </w:r>
          </w:p>
        </w:tc>
      </w:tr>
      <w:tr w14:paraId="7317C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AE96D"/>
        </w:tc>
        <w:tc>
          <w:tcPr>
            <w:tcW w:w="2268" w:type="dxa"/>
            <w:vAlign w:val="center"/>
          </w:tcPr>
          <w:p w14:paraId="29B95F1C">
            <w:pPr>
              <w:pStyle w:val="13"/>
            </w:pPr>
            <w:r>
              <w:t>时效指标</w:t>
            </w:r>
          </w:p>
        </w:tc>
        <w:tc>
          <w:tcPr>
            <w:tcW w:w="2835" w:type="dxa"/>
            <w:vAlign w:val="center"/>
          </w:tcPr>
          <w:p w14:paraId="11E617F9">
            <w:pPr>
              <w:pStyle w:val="13"/>
            </w:pPr>
            <w:r>
              <w:t>资金拨付率</w:t>
            </w:r>
          </w:p>
        </w:tc>
        <w:tc>
          <w:tcPr>
            <w:tcW w:w="5386" w:type="dxa"/>
            <w:vAlign w:val="center"/>
          </w:tcPr>
          <w:p w14:paraId="112E1CE8">
            <w:pPr>
              <w:pStyle w:val="13"/>
            </w:pPr>
            <w:r>
              <w:t>所有项目资金支付进度</w:t>
            </w:r>
          </w:p>
        </w:tc>
        <w:tc>
          <w:tcPr>
            <w:tcW w:w="2268" w:type="dxa"/>
            <w:vAlign w:val="center"/>
          </w:tcPr>
          <w:p w14:paraId="04799311">
            <w:pPr>
              <w:pStyle w:val="13"/>
            </w:pPr>
            <w:r>
              <w:t>≥100%</w:t>
            </w:r>
          </w:p>
        </w:tc>
        <w:tc>
          <w:tcPr>
            <w:tcW w:w="1276" w:type="dxa"/>
            <w:vAlign w:val="center"/>
          </w:tcPr>
          <w:p w14:paraId="670F3A17">
            <w:pPr>
              <w:pStyle w:val="13"/>
            </w:pPr>
            <w:r>
              <w:t>幼儿资助经费管理办法</w:t>
            </w:r>
          </w:p>
        </w:tc>
      </w:tr>
      <w:tr w14:paraId="74713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5779A3">
            <w:pPr>
              <w:pStyle w:val="12"/>
            </w:pPr>
            <w:r>
              <w:t>效益指标</w:t>
            </w:r>
          </w:p>
        </w:tc>
        <w:tc>
          <w:tcPr>
            <w:tcW w:w="2268" w:type="dxa"/>
            <w:vAlign w:val="center"/>
          </w:tcPr>
          <w:p w14:paraId="6C8FE777">
            <w:pPr>
              <w:pStyle w:val="13"/>
            </w:pPr>
            <w:r>
              <w:t>可持续影响指标</w:t>
            </w:r>
          </w:p>
        </w:tc>
        <w:tc>
          <w:tcPr>
            <w:tcW w:w="2835" w:type="dxa"/>
            <w:vAlign w:val="center"/>
          </w:tcPr>
          <w:p w14:paraId="486D7E23">
            <w:pPr>
              <w:pStyle w:val="13"/>
            </w:pPr>
            <w:r>
              <w:t>幼儿园运转</w:t>
            </w:r>
          </w:p>
        </w:tc>
        <w:tc>
          <w:tcPr>
            <w:tcW w:w="5386" w:type="dxa"/>
            <w:vAlign w:val="center"/>
          </w:tcPr>
          <w:p w14:paraId="69B4AB3E">
            <w:pPr>
              <w:pStyle w:val="13"/>
            </w:pPr>
            <w:r>
              <w:t>幼儿受教育年限</w:t>
            </w:r>
          </w:p>
        </w:tc>
        <w:tc>
          <w:tcPr>
            <w:tcW w:w="2268" w:type="dxa"/>
            <w:vAlign w:val="center"/>
          </w:tcPr>
          <w:p w14:paraId="278521E1">
            <w:pPr>
              <w:pStyle w:val="13"/>
            </w:pPr>
            <w:r>
              <w:t>3年</w:t>
            </w:r>
          </w:p>
        </w:tc>
        <w:tc>
          <w:tcPr>
            <w:tcW w:w="1276" w:type="dxa"/>
            <w:vAlign w:val="center"/>
          </w:tcPr>
          <w:p w14:paraId="6154B590">
            <w:pPr>
              <w:pStyle w:val="13"/>
            </w:pPr>
            <w:r>
              <w:t>幼儿资助经费管理办法</w:t>
            </w:r>
          </w:p>
        </w:tc>
      </w:tr>
      <w:tr w14:paraId="0BF23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B7E3EE">
            <w:pPr>
              <w:pStyle w:val="12"/>
            </w:pPr>
            <w:r>
              <w:t>满意度指标</w:t>
            </w:r>
          </w:p>
        </w:tc>
        <w:tc>
          <w:tcPr>
            <w:tcW w:w="2268" w:type="dxa"/>
            <w:vAlign w:val="center"/>
          </w:tcPr>
          <w:p w14:paraId="2B2644FA">
            <w:pPr>
              <w:pStyle w:val="13"/>
            </w:pPr>
            <w:r>
              <w:t>服务对象满意度指标</w:t>
            </w:r>
          </w:p>
        </w:tc>
        <w:tc>
          <w:tcPr>
            <w:tcW w:w="2835" w:type="dxa"/>
            <w:vAlign w:val="center"/>
          </w:tcPr>
          <w:p w14:paraId="31597314">
            <w:pPr>
              <w:pStyle w:val="13"/>
            </w:pPr>
            <w:r>
              <w:t>受益幼儿家长及调查满意度</w:t>
            </w:r>
          </w:p>
        </w:tc>
        <w:tc>
          <w:tcPr>
            <w:tcW w:w="5386" w:type="dxa"/>
            <w:vAlign w:val="center"/>
          </w:tcPr>
          <w:p w14:paraId="0AE814F2">
            <w:pPr>
              <w:pStyle w:val="13"/>
            </w:pPr>
            <w:r>
              <w:t>学生、教师及家长对学校保教保育工作满意度情况</w:t>
            </w:r>
          </w:p>
        </w:tc>
        <w:tc>
          <w:tcPr>
            <w:tcW w:w="2268" w:type="dxa"/>
            <w:vAlign w:val="center"/>
          </w:tcPr>
          <w:p w14:paraId="69E8CB6C">
            <w:pPr>
              <w:pStyle w:val="13"/>
            </w:pPr>
            <w:r>
              <w:t>≥95%</w:t>
            </w:r>
          </w:p>
        </w:tc>
        <w:tc>
          <w:tcPr>
            <w:tcW w:w="1276" w:type="dxa"/>
            <w:vAlign w:val="center"/>
          </w:tcPr>
          <w:p w14:paraId="69E9E6CB">
            <w:pPr>
              <w:pStyle w:val="13"/>
            </w:pPr>
            <w:r>
              <w:t>幼儿资助经费管理办法</w:t>
            </w:r>
          </w:p>
        </w:tc>
      </w:tr>
    </w:tbl>
    <w:p w14:paraId="2A6E37E6">
      <w:pPr>
        <w:sectPr>
          <w:pgSz w:w="16840" w:h="11900" w:orient="landscape"/>
          <w:pgMar w:top="1361" w:right="1020" w:bottom="1134" w:left="1020" w:header="720" w:footer="720" w:gutter="0"/>
          <w:cols w:space="720" w:num="1"/>
        </w:sectPr>
      </w:pPr>
    </w:p>
    <w:p w14:paraId="196F0C62">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4、冀财教[2024]123号/中央/2025年义教补助经费/北楼中心小学公用经费绩效目标表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1E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C6BBA">
            <w:pPr>
              <w:pStyle w:val="14"/>
            </w:pPr>
            <w:r>
              <w:t>单位：万元</w:t>
            </w:r>
          </w:p>
        </w:tc>
      </w:tr>
      <w:tr w14:paraId="37F70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6EA83">
            <w:pPr>
              <w:pStyle w:val="11"/>
            </w:pPr>
            <w:r>
              <w:t>项目编码</w:t>
            </w:r>
          </w:p>
        </w:tc>
        <w:tc>
          <w:tcPr>
            <w:tcW w:w="5103" w:type="dxa"/>
            <w:gridSpan w:val="2"/>
            <w:vAlign w:val="center"/>
          </w:tcPr>
          <w:p w14:paraId="5605D646">
            <w:pPr>
              <w:pStyle w:val="13"/>
            </w:pPr>
            <w:r>
              <w:t>13052525P00000410067G</w:t>
            </w:r>
          </w:p>
        </w:tc>
        <w:tc>
          <w:tcPr>
            <w:tcW w:w="2835" w:type="dxa"/>
            <w:vAlign w:val="center"/>
          </w:tcPr>
          <w:p w14:paraId="0DCFE02E">
            <w:pPr>
              <w:pStyle w:val="11"/>
            </w:pPr>
            <w:r>
              <w:t>项目名称</w:t>
            </w:r>
          </w:p>
        </w:tc>
        <w:tc>
          <w:tcPr>
            <w:tcW w:w="6095" w:type="dxa"/>
            <w:gridSpan w:val="3"/>
            <w:vAlign w:val="center"/>
          </w:tcPr>
          <w:p w14:paraId="52632D7E">
            <w:pPr>
              <w:pStyle w:val="13"/>
            </w:pPr>
            <w:r>
              <w:t>冀财教[2024]123号/中央/2025年义教补助经费/北楼中心小学公用经费</w:t>
            </w:r>
          </w:p>
        </w:tc>
      </w:tr>
      <w:tr w14:paraId="25ACA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F95E4">
            <w:pPr>
              <w:pStyle w:val="11"/>
            </w:pPr>
            <w:r>
              <w:t>预算规模及资金用途</w:t>
            </w:r>
          </w:p>
        </w:tc>
        <w:tc>
          <w:tcPr>
            <w:tcW w:w="2268" w:type="dxa"/>
            <w:vAlign w:val="center"/>
          </w:tcPr>
          <w:p w14:paraId="26785082">
            <w:pPr>
              <w:pStyle w:val="11"/>
            </w:pPr>
            <w:r>
              <w:t>预算数</w:t>
            </w:r>
          </w:p>
        </w:tc>
        <w:tc>
          <w:tcPr>
            <w:tcW w:w="2835" w:type="dxa"/>
            <w:vAlign w:val="center"/>
          </w:tcPr>
          <w:p w14:paraId="280800CB">
            <w:pPr>
              <w:pStyle w:val="13"/>
            </w:pPr>
            <w:r>
              <w:t>45.44</w:t>
            </w:r>
          </w:p>
        </w:tc>
        <w:tc>
          <w:tcPr>
            <w:tcW w:w="2835" w:type="dxa"/>
            <w:vAlign w:val="center"/>
          </w:tcPr>
          <w:p w14:paraId="314E569B">
            <w:pPr>
              <w:pStyle w:val="11"/>
            </w:pPr>
            <w:r>
              <w:t>其中：财政    资金</w:t>
            </w:r>
          </w:p>
        </w:tc>
        <w:tc>
          <w:tcPr>
            <w:tcW w:w="2551" w:type="dxa"/>
            <w:vAlign w:val="center"/>
          </w:tcPr>
          <w:p w14:paraId="3DA0EDA6">
            <w:pPr>
              <w:pStyle w:val="13"/>
            </w:pPr>
            <w:r>
              <w:t>45.44</w:t>
            </w:r>
          </w:p>
        </w:tc>
        <w:tc>
          <w:tcPr>
            <w:tcW w:w="2268" w:type="dxa"/>
            <w:vAlign w:val="center"/>
          </w:tcPr>
          <w:p w14:paraId="3B39484C">
            <w:pPr>
              <w:pStyle w:val="11"/>
            </w:pPr>
            <w:r>
              <w:t>其他资金</w:t>
            </w:r>
          </w:p>
        </w:tc>
        <w:tc>
          <w:tcPr>
            <w:tcW w:w="1276" w:type="dxa"/>
            <w:vAlign w:val="center"/>
          </w:tcPr>
          <w:p w14:paraId="61265187">
            <w:pPr>
              <w:pStyle w:val="13"/>
            </w:pPr>
            <w:r>
              <w:t xml:space="preserve"> </w:t>
            </w:r>
          </w:p>
        </w:tc>
      </w:tr>
      <w:tr w14:paraId="6231C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19566"/>
        </w:tc>
        <w:tc>
          <w:tcPr>
            <w:tcW w:w="14033" w:type="dxa"/>
            <w:gridSpan w:val="6"/>
            <w:vAlign w:val="center"/>
          </w:tcPr>
          <w:p w14:paraId="316DB845">
            <w:pPr>
              <w:pStyle w:val="13"/>
            </w:pPr>
            <w:r>
              <w:t>有效完成学校教学安全秩序，保障学校教学任务有效开展，满足学校正常教学需要。</w:t>
            </w:r>
          </w:p>
        </w:tc>
      </w:tr>
      <w:tr w14:paraId="6631F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4BAAB">
            <w:pPr>
              <w:pStyle w:val="11"/>
            </w:pPr>
            <w:r>
              <w:t>资金支出计划（%）</w:t>
            </w:r>
          </w:p>
        </w:tc>
        <w:tc>
          <w:tcPr>
            <w:tcW w:w="5103" w:type="dxa"/>
            <w:gridSpan w:val="2"/>
            <w:vAlign w:val="center"/>
          </w:tcPr>
          <w:p w14:paraId="6F1B34F1">
            <w:pPr>
              <w:pStyle w:val="11"/>
            </w:pPr>
            <w:r>
              <w:t>3月底</w:t>
            </w:r>
          </w:p>
        </w:tc>
        <w:tc>
          <w:tcPr>
            <w:tcW w:w="2835" w:type="dxa"/>
            <w:vAlign w:val="center"/>
          </w:tcPr>
          <w:p w14:paraId="1B95FB28">
            <w:pPr>
              <w:pStyle w:val="11"/>
            </w:pPr>
            <w:r>
              <w:t>6月底</w:t>
            </w:r>
          </w:p>
        </w:tc>
        <w:tc>
          <w:tcPr>
            <w:tcW w:w="2551" w:type="dxa"/>
            <w:vAlign w:val="center"/>
          </w:tcPr>
          <w:p w14:paraId="2CE6533D">
            <w:pPr>
              <w:pStyle w:val="11"/>
            </w:pPr>
            <w:r>
              <w:t>10月底</w:t>
            </w:r>
          </w:p>
        </w:tc>
        <w:tc>
          <w:tcPr>
            <w:tcW w:w="3544" w:type="dxa"/>
            <w:gridSpan w:val="2"/>
            <w:vAlign w:val="center"/>
          </w:tcPr>
          <w:p w14:paraId="773BF4FE">
            <w:pPr>
              <w:pStyle w:val="11"/>
            </w:pPr>
            <w:r>
              <w:t>12月底</w:t>
            </w:r>
          </w:p>
        </w:tc>
      </w:tr>
      <w:tr w14:paraId="2B53D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9F3FB4"/>
        </w:tc>
        <w:tc>
          <w:tcPr>
            <w:tcW w:w="5103" w:type="dxa"/>
            <w:gridSpan w:val="2"/>
            <w:vAlign w:val="center"/>
          </w:tcPr>
          <w:p w14:paraId="5B8EB9FB">
            <w:pPr>
              <w:pStyle w:val="12"/>
            </w:pPr>
            <w:r>
              <w:t>25%</w:t>
            </w:r>
          </w:p>
        </w:tc>
        <w:tc>
          <w:tcPr>
            <w:tcW w:w="2835" w:type="dxa"/>
            <w:vAlign w:val="center"/>
          </w:tcPr>
          <w:p w14:paraId="73E839E6">
            <w:pPr>
              <w:pStyle w:val="12"/>
            </w:pPr>
            <w:r>
              <w:t>50%</w:t>
            </w:r>
          </w:p>
        </w:tc>
        <w:tc>
          <w:tcPr>
            <w:tcW w:w="2551" w:type="dxa"/>
            <w:vAlign w:val="center"/>
          </w:tcPr>
          <w:p w14:paraId="3CC1334D">
            <w:pPr>
              <w:pStyle w:val="12"/>
            </w:pPr>
            <w:r>
              <w:t>75%</w:t>
            </w:r>
          </w:p>
        </w:tc>
        <w:tc>
          <w:tcPr>
            <w:tcW w:w="3544" w:type="dxa"/>
            <w:gridSpan w:val="2"/>
            <w:vAlign w:val="center"/>
          </w:tcPr>
          <w:p w14:paraId="59EB1D4E">
            <w:pPr>
              <w:pStyle w:val="12"/>
            </w:pPr>
            <w:r>
              <w:t>100%</w:t>
            </w:r>
          </w:p>
        </w:tc>
      </w:tr>
      <w:tr w14:paraId="44E2E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0B2F6A">
            <w:pPr>
              <w:pStyle w:val="11"/>
            </w:pPr>
            <w:r>
              <w:t>绩效目标</w:t>
            </w:r>
          </w:p>
        </w:tc>
        <w:tc>
          <w:tcPr>
            <w:tcW w:w="14033" w:type="dxa"/>
            <w:gridSpan w:val="6"/>
            <w:vAlign w:val="center"/>
          </w:tcPr>
          <w:p w14:paraId="496EDFCC">
            <w:pPr>
              <w:pStyle w:val="13"/>
            </w:pPr>
            <w:r>
              <w:t>1.有效完成学校教学安全秩序，保障学校教学任务有效开展，满足学校正常教学需要。</w:t>
            </w:r>
          </w:p>
          <w:p w14:paraId="0CE5D3DD">
            <w:pPr>
              <w:pStyle w:val="13"/>
            </w:pPr>
            <w:r>
              <w:t>2.按规定拨付公用经费资金，预算执行率≥98%。</w:t>
            </w:r>
          </w:p>
        </w:tc>
      </w:tr>
    </w:tbl>
    <w:p w14:paraId="33E78C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14:paraId="40F57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EC439">
            <w:pPr>
              <w:pStyle w:val="11"/>
            </w:pPr>
            <w:r>
              <w:t>一级指标</w:t>
            </w:r>
          </w:p>
        </w:tc>
        <w:tc>
          <w:tcPr>
            <w:tcW w:w="2268" w:type="dxa"/>
            <w:vAlign w:val="center"/>
          </w:tcPr>
          <w:p w14:paraId="04944188">
            <w:pPr>
              <w:pStyle w:val="11"/>
            </w:pPr>
            <w:r>
              <w:t>二级指标</w:t>
            </w:r>
          </w:p>
        </w:tc>
        <w:tc>
          <w:tcPr>
            <w:tcW w:w="2835" w:type="dxa"/>
            <w:vAlign w:val="center"/>
          </w:tcPr>
          <w:p w14:paraId="24E2E945">
            <w:pPr>
              <w:pStyle w:val="11"/>
            </w:pPr>
            <w:r>
              <w:t>三级指标</w:t>
            </w:r>
          </w:p>
        </w:tc>
        <w:tc>
          <w:tcPr>
            <w:tcW w:w="5386" w:type="dxa"/>
            <w:vAlign w:val="center"/>
          </w:tcPr>
          <w:p w14:paraId="75BD618E">
            <w:pPr>
              <w:pStyle w:val="11"/>
            </w:pPr>
            <w:r>
              <w:t>绩效指标描述</w:t>
            </w:r>
          </w:p>
        </w:tc>
        <w:tc>
          <w:tcPr>
            <w:tcW w:w="1763" w:type="dxa"/>
            <w:vAlign w:val="center"/>
          </w:tcPr>
          <w:p w14:paraId="2DDEE5A5">
            <w:pPr>
              <w:pStyle w:val="11"/>
            </w:pPr>
            <w:r>
              <w:t>指标值</w:t>
            </w:r>
          </w:p>
        </w:tc>
        <w:tc>
          <w:tcPr>
            <w:tcW w:w="1781" w:type="dxa"/>
            <w:vAlign w:val="center"/>
          </w:tcPr>
          <w:p w14:paraId="736D5B86">
            <w:pPr>
              <w:pStyle w:val="11"/>
            </w:pPr>
            <w:r>
              <w:t>指标值确定依据</w:t>
            </w:r>
          </w:p>
        </w:tc>
      </w:tr>
      <w:tr w14:paraId="39DCE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18951">
            <w:pPr>
              <w:pStyle w:val="12"/>
            </w:pPr>
            <w:r>
              <w:t>产出指标</w:t>
            </w:r>
          </w:p>
        </w:tc>
        <w:tc>
          <w:tcPr>
            <w:tcW w:w="2268" w:type="dxa"/>
            <w:vAlign w:val="center"/>
          </w:tcPr>
          <w:p w14:paraId="21780D52">
            <w:pPr>
              <w:pStyle w:val="13"/>
            </w:pPr>
            <w:r>
              <w:t>数量指标</w:t>
            </w:r>
          </w:p>
        </w:tc>
        <w:tc>
          <w:tcPr>
            <w:tcW w:w="2835" w:type="dxa"/>
            <w:vAlign w:val="center"/>
          </w:tcPr>
          <w:p w14:paraId="748F993E">
            <w:pPr>
              <w:pStyle w:val="13"/>
            </w:pPr>
            <w:r>
              <w:t>生均拨款标准</w:t>
            </w:r>
          </w:p>
        </w:tc>
        <w:tc>
          <w:tcPr>
            <w:tcW w:w="5386" w:type="dxa"/>
            <w:vAlign w:val="center"/>
          </w:tcPr>
          <w:p w14:paraId="320284B4">
            <w:pPr>
              <w:pStyle w:val="13"/>
            </w:pPr>
            <w:r>
              <w:t>小学：（基本标准720元、寄宿生300元、生活补助120元）/生/学年；特教、随班就读学生：标准7000元/生/学年</w:t>
            </w:r>
          </w:p>
        </w:tc>
        <w:tc>
          <w:tcPr>
            <w:tcW w:w="1763" w:type="dxa"/>
            <w:vAlign w:val="center"/>
          </w:tcPr>
          <w:p w14:paraId="4C6528C4">
            <w:pPr>
              <w:pStyle w:val="13"/>
            </w:pPr>
            <w:r>
              <w:t>840元</w:t>
            </w:r>
          </w:p>
        </w:tc>
        <w:tc>
          <w:tcPr>
            <w:tcW w:w="1781" w:type="dxa"/>
            <w:vAlign w:val="center"/>
          </w:tcPr>
          <w:p w14:paraId="2733A9C9">
            <w:pPr>
              <w:pStyle w:val="13"/>
            </w:pPr>
            <w:r>
              <w:t>城乡义务教育公用经费管理办法</w:t>
            </w:r>
          </w:p>
        </w:tc>
      </w:tr>
      <w:tr w14:paraId="424EF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62479"/>
        </w:tc>
        <w:tc>
          <w:tcPr>
            <w:tcW w:w="2268" w:type="dxa"/>
            <w:vAlign w:val="center"/>
          </w:tcPr>
          <w:p w14:paraId="2A3A31D7">
            <w:pPr>
              <w:pStyle w:val="13"/>
            </w:pPr>
            <w:r>
              <w:t>质量指标</w:t>
            </w:r>
          </w:p>
        </w:tc>
        <w:tc>
          <w:tcPr>
            <w:tcW w:w="2835" w:type="dxa"/>
            <w:vAlign w:val="center"/>
          </w:tcPr>
          <w:p w14:paraId="772A7014">
            <w:pPr>
              <w:pStyle w:val="13"/>
            </w:pPr>
            <w:r>
              <w:t>就读学生数</w:t>
            </w:r>
          </w:p>
        </w:tc>
        <w:tc>
          <w:tcPr>
            <w:tcW w:w="5386" w:type="dxa"/>
            <w:vAlign w:val="center"/>
          </w:tcPr>
          <w:p w14:paraId="6AA1FACF">
            <w:pPr>
              <w:pStyle w:val="13"/>
            </w:pPr>
            <w:r>
              <w:t>辐射区域内适龄学生人数</w:t>
            </w:r>
          </w:p>
        </w:tc>
        <w:tc>
          <w:tcPr>
            <w:tcW w:w="1763" w:type="dxa"/>
            <w:vAlign w:val="center"/>
          </w:tcPr>
          <w:p w14:paraId="455A92BC">
            <w:pPr>
              <w:pStyle w:val="13"/>
            </w:pPr>
            <w:r>
              <w:t>672人</w:t>
            </w:r>
          </w:p>
        </w:tc>
        <w:tc>
          <w:tcPr>
            <w:tcW w:w="1781" w:type="dxa"/>
            <w:vAlign w:val="center"/>
          </w:tcPr>
          <w:p w14:paraId="163FAD0E">
            <w:pPr>
              <w:pStyle w:val="13"/>
            </w:pPr>
            <w:r>
              <w:t>城乡义务教育公用经费管理办法</w:t>
            </w:r>
          </w:p>
        </w:tc>
      </w:tr>
      <w:tr w14:paraId="06B5A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148C2"/>
        </w:tc>
        <w:tc>
          <w:tcPr>
            <w:tcW w:w="2268" w:type="dxa"/>
            <w:vAlign w:val="center"/>
          </w:tcPr>
          <w:p w14:paraId="30517B8C">
            <w:pPr>
              <w:pStyle w:val="13"/>
            </w:pPr>
            <w:r>
              <w:t>时效指标</w:t>
            </w:r>
          </w:p>
        </w:tc>
        <w:tc>
          <w:tcPr>
            <w:tcW w:w="2835" w:type="dxa"/>
            <w:vAlign w:val="center"/>
          </w:tcPr>
          <w:p w14:paraId="6ED9B53A">
            <w:pPr>
              <w:pStyle w:val="13"/>
            </w:pPr>
            <w:r>
              <w:t>预算执行率</w:t>
            </w:r>
          </w:p>
        </w:tc>
        <w:tc>
          <w:tcPr>
            <w:tcW w:w="5386" w:type="dxa"/>
            <w:vAlign w:val="center"/>
          </w:tcPr>
          <w:p w14:paraId="6D15D539">
            <w:pPr>
              <w:pStyle w:val="13"/>
            </w:pPr>
            <w:r>
              <w:t>预算执行率≥98%</w:t>
            </w:r>
          </w:p>
        </w:tc>
        <w:tc>
          <w:tcPr>
            <w:tcW w:w="1763" w:type="dxa"/>
            <w:vAlign w:val="center"/>
          </w:tcPr>
          <w:p w14:paraId="23187DE9">
            <w:pPr>
              <w:pStyle w:val="13"/>
            </w:pPr>
            <w:r>
              <w:t>≥98%</w:t>
            </w:r>
          </w:p>
        </w:tc>
        <w:tc>
          <w:tcPr>
            <w:tcW w:w="1781" w:type="dxa"/>
            <w:vAlign w:val="center"/>
          </w:tcPr>
          <w:p w14:paraId="4D8D2402">
            <w:pPr>
              <w:pStyle w:val="13"/>
            </w:pPr>
            <w:r>
              <w:t>城乡义务教育公用经费管理办法</w:t>
            </w:r>
          </w:p>
        </w:tc>
      </w:tr>
      <w:tr w14:paraId="6CBDD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189BC"/>
        </w:tc>
        <w:tc>
          <w:tcPr>
            <w:tcW w:w="2268" w:type="dxa"/>
            <w:vAlign w:val="center"/>
          </w:tcPr>
          <w:p w14:paraId="11FF575D">
            <w:pPr>
              <w:pStyle w:val="13"/>
            </w:pPr>
            <w:r>
              <w:t>成本指标</w:t>
            </w:r>
          </w:p>
        </w:tc>
        <w:tc>
          <w:tcPr>
            <w:tcW w:w="2835" w:type="dxa"/>
            <w:vAlign w:val="center"/>
          </w:tcPr>
          <w:p w14:paraId="53635204">
            <w:pPr>
              <w:pStyle w:val="13"/>
            </w:pPr>
            <w:r>
              <w:t>义教经费支付完成率</w:t>
            </w:r>
          </w:p>
        </w:tc>
        <w:tc>
          <w:tcPr>
            <w:tcW w:w="5386" w:type="dxa"/>
            <w:vAlign w:val="center"/>
          </w:tcPr>
          <w:p w14:paraId="4FBD1E63">
            <w:pPr>
              <w:pStyle w:val="13"/>
            </w:pPr>
            <w:r>
              <w:t>按照序时进度完成资金支付</w:t>
            </w:r>
          </w:p>
        </w:tc>
        <w:tc>
          <w:tcPr>
            <w:tcW w:w="1763" w:type="dxa"/>
            <w:vAlign w:val="center"/>
          </w:tcPr>
          <w:p w14:paraId="40BBC44B">
            <w:pPr>
              <w:pStyle w:val="13"/>
            </w:pPr>
            <w:r>
              <w:t>100%</w:t>
            </w:r>
          </w:p>
        </w:tc>
        <w:tc>
          <w:tcPr>
            <w:tcW w:w="1781" w:type="dxa"/>
            <w:vAlign w:val="center"/>
          </w:tcPr>
          <w:p w14:paraId="77B93295">
            <w:pPr>
              <w:pStyle w:val="13"/>
            </w:pPr>
            <w:r>
              <w:t>城乡义务教育公用经费管理办法</w:t>
            </w:r>
          </w:p>
        </w:tc>
      </w:tr>
      <w:tr w14:paraId="3264E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189FDE">
            <w:pPr>
              <w:pStyle w:val="12"/>
            </w:pPr>
            <w:r>
              <w:t>效益指标</w:t>
            </w:r>
          </w:p>
        </w:tc>
        <w:tc>
          <w:tcPr>
            <w:tcW w:w="2268" w:type="dxa"/>
            <w:vAlign w:val="center"/>
          </w:tcPr>
          <w:p w14:paraId="53014B0A">
            <w:pPr>
              <w:pStyle w:val="13"/>
            </w:pPr>
            <w:r>
              <w:t>社会效益指标</w:t>
            </w:r>
          </w:p>
        </w:tc>
        <w:tc>
          <w:tcPr>
            <w:tcW w:w="2835" w:type="dxa"/>
            <w:vAlign w:val="center"/>
          </w:tcPr>
          <w:p w14:paraId="5EDB844D">
            <w:pPr>
              <w:pStyle w:val="13"/>
            </w:pPr>
            <w:r>
              <w:t>学校运转得到提高</w:t>
            </w:r>
          </w:p>
        </w:tc>
        <w:tc>
          <w:tcPr>
            <w:tcW w:w="5386" w:type="dxa"/>
            <w:vAlign w:val="center"/>
          </w:tcPr>
          <w:p w14:paraId="0DAED786">
            <w:pPr>
              <w:pStyle w:val="13"/>
            </w:pPr>
            <w:r>
              <w:t>学生受教育年限</w:t>
            </w:r>
          </w:p>
        </w:tc>
        <w:tc>
          <w:tcPr>
            <w:tcW w:w="1763" w:type="dxa"/>
            <w:vAlign w:val="center"/>
          </w:tcPr>
          <w:p w14:paraId="009954BA">
            <w:pPr>
              <w:pStyle w:val="13"/>
            </w:pPr>
            <w:r>
              <w:t>6年</w:t>
            </w:r>
          </w:p>
        </w:tc>
        <w:tc>
          <w:tcPr>
            <w:tcW w:w="1781" w:type="dxa"/>
            <w:vAlign w:val="center"/>
          </w:tcPr>
          <w:p w14:paraId="427B2EBD">
            <w:pPr>
              <w:pStyle w:val="13"/>
            </w:pPr>
            <w:r>
              <w:t>城乡义务教育公用经费管理办法</w:t>
            </w:r>
          </w:p>
        </w:tc>
      </w:tr>
      <w:tr w14:paraId="03E06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3A30DA">
            <w:pPr>
              <w:pStyle w:val="12"/>
            </w:pPr>
            <w:r>
              <w:t>满意度指标</w:t>
            </w:r>
          </w:p>
        </w:tc>
        <w:tc>
          <w:tcPr>
            <w:tcW w:w="2268" w:type="dxa"/>
            <w:vAlign w:val="center"/>
          </w:tcPr>
          <w:p w14:paraId="1DEE89C7">
            <w:pPr>
              <w:pStyle w:val="13"/>
            </w:pPr>
            <w:r>
              <w:t>服务对象满意度指标</w:t>
            </w:r>
          </w:p>
        </w:tc>
        <w:tc>
          <w:tcPr>
            <w:tcW w:w="2835" w:type="dxa"/>
            <w:vAlign w:val="center"/>
          </w:tcPr>
          <w:p w14:paraId="27593754">
            <w:pPr>
              <w:pStyle w:val="13"/>
            </w:pPr>
            <w:r>
              <w:t>服务对象满意度</w:t>
            </w:r>
          </w:p>
        </w:tc>
        <w:tc>
          <w:tcPr>
            <w:tcW w:w="5386" w:type="dxa"/>
            <w:vAlign w:val="center"/>
          </w:tcPr>
          <w:p w14:paraId="7922E20C">
            <w:pPr>
              <w:pStyle w:val="13"/>
            </w:pPr>
            <w:r>
              <w:t>学校老师和学生满意度</w:t>
            </w:r>
          </w:p>
        </w:tc>
        <w:tc>
          <w:tcPr>
            <w:tcW w:w="1763" w:type="dxa"/>
            <w:vAlign w:val="center"/>
          </w:tcPr>
          <w:p w14:paraId="486851A8">
            <w:pPr>
              <w:pStyle w:val="13"/>
            </w:pPr>
            <w:r>
              <w:t>≥95%</w:t>
            </w:r>
          </w:p>
        </w:tc>
        <w:tc>
          <w:tcPr>
            <w:tcW w:w="1781" w:type="dxa"/>
            <w:vAlign w:val="center"/>
          </w:tcPr>
          <w:p w14:paraId="730317D5">
            <w:pPr>
              <w:pStyle w:val="13"/>
            </w:pPr>
            <w:r>
              <w:t>城乡义务教育公用经费管理办法</w:t>
            </w:r>
          </w:p>
        </w:tc>
      </w:tr>
    </w:tbl>
    <w:p w14:paraId="7574F311">
      <w:pPr>
        <w:sectPr>
          <w:pgSz w:w="16840" w:h="11900" w:orient="landscape"/>
          <w:pgMar w:top="1361" w:right="1020" w:bottom="1134" w:left="1020" w:header="720" w:footer="720" w:gutter="0"/>
          <w:cols w:space="720" w:num="1"/>
        </w:sectPr>
      </w:pPr>
    </w:p>
    <w:p w14:paraId="29EEB25C">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5、冀财教[2024]123号/中央/2025年义教补助经费/南楼小学公用经费绩效目标表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E8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D6316">
            <w:pPr>
              <w:pStyle w:val="14"/>
            </w:pPr>
            <w:r>
              <w:t>单位：万元</w:t>
            </w:r>
          </w:p>
        </w:tc>
      </w:tr>
      <w:tr w14:paraId="41E90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2C38D">
            <w:pPr>
              <w:pStyle w:val="11"/>
            </w:pPr>
            <w:r>
              <w:t>项目编码</w:t>
            </w:r>
          </w:p>
        </w:tc>
        <w:tc>
          <w:tcPr>
            <w:tcW w:w="5103" w:type="dxa"/>
            <w:gridSpan w:val="2"/>
            <w:vAlign w:val="center"/>
          </w:tcPr>
          <w:p w14:paraId="71D92C2E">
            <w:pPr>
              <w:pStyle w:val="13"/>
            </w:pPr>
            <w:r>
              <w:t>13052525P000004100684</w:t>
            </w:r>
          </w:p>
        </w:tc>
        <w:tc>
          <w:tcPr>
            <w:tcW w:w="2835" w:type="dxa"/>
            <w:vAlign w:val="center"/>
          </w:tcPr>
          <w:p w14:paraId="1595E20D">
            <w:pPr>
              <w:pStyle w:val="11"/>
            </w:pPr>
            <w:r>
              <w:t>项目名称</w:t>
            </w:r>
          </w:p>
        </w:tc>
        <w:tc>
          <w:tcPr>
            <w:tcW w:w="6095" w:type="dxa"/>
            <w:gridSpan w:val="3"/>
            <w:vAlign w:val="center"/>
          </w:tcPr>
          <w:p w14:paraId="0E9C3598">
            <w:pPr>
              <w:pStyle w:val="13"/>
            </w:pPr>
            <w:r>
              <w:t>冀财教[2024]123号/中央/2025年义教补助经费/南楼小学公用经费</w:t>
            </w:r>
          </w:p>
        </w:tc>
      </w:tr>
      <w:tr w14:paraId="7CA4E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BDE43">
            <w:pPr>
              <w:pStyle w:val="11"/>
            </w:pPr>
            <w:r>
              <w:t>预算规模及资金用途</w:t>
            </w:r>
          </w:p>
        </w:tc>
        <w:tc>
          <w:tcPr>
            <w:tcW w:w="2268" w:type="dxa"/>
            <w:vAlign w:val="center"/>
          </w:tcPr>
          <w:p w14:paraId="16134914">
            <w:pPr>
              <w:pStyle w:val="11"/>
            </w:pPr>
            <w:r>
              <w:t>预算数</w:t>
            </w:r>
          </w:p>
        </w:tc>
        <w:tc>
          <w:tcPr>
            <w:tcW w:w="2835" w:type="dxa"/>
            <w:vAlign w:val="center"/>
          </w:tcPr>
          <w:p w14:paraId="1852A6A2">
            <w:pPr>
              <w:pStyle w:val="13"/>
            </w:pPr>
            <w:r>
              <w:t>28.76</w:t>
            </w:r>
          </w:p>
        </w:tc>
        <w:tc>
          <w:tcPr>
            <w:tcW w:w="2835" w:type="dxa"/>
            <w:vAlign w:val="center"/>
          </w:tcPr>
          <w:p w14:paraId="7DD30061">
            <w:pPr>
              <w:pStyle w:val="11"/>
            </w:pPr>
            <w:r>
              <w:t>其中：财政    资金</w:t>
            </w:r>
          </w:p>
        </w:tc>
        <w:tc>
          <w:tcPr>
            <w:tcW w:w="2551" w:type="dxa"/>
            <w:vAlign w:val="center"/>
          </w:tcPr>
          <w:p w14:paraId="3CBF32EF">
            <w:pPr>
              <w:pStyle w:val="13"/>
            </w:pPr>
            <w:r>
              <w:t>28.76</w:t>
            </w:r>
          </w:p>
        </w:tc>
        <w:tc>
          <w:tcPr>
            <w:tcW w:w="2268" w:type="dxa"/>
            <w:vAlign w:val="center"/>
          </w:tcPr>
          <w:p w14:paraId="3E548720">
            <w:pPr>
              <w:pStyle w:val="11"/>
            </w:pPr>
            <w:r>
              <w:t>其他资金</w:t>
            </w:r>
          </w:p>
        </w:tc>
        <w:tc>
          <w:tcPr>
            <w:tcW w:w="1276" w:type="dxa"/>
            <w:vAlign w:val="center"/>
          </w:tcPr>
          <w:p w14:paraId="2087F87A">
            <w:pPr>
              <w:pStyle w:val="13"/>
            </w:pPr>
            <w:r>
              <w:t xml:space="preserve"> </w:t>
            </w:r>
          </w:p>
        </w:tc>
      </w:tr>
      <w:tr w14:paraId="4B8A6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B79156"/>
        </w:tc>
        <w:tc>
          <w:tcPr>
            <w:tcW w:w="14033" w:type="dxa"/>
            <w:gridSpan w:val="6"/>
            <w:vAlign w:val="center"/>
          </w:tcPr>
          <w:p w14:paraId="20E270EA">
            <w:pPr>
              <w:pStyle w:val="13"/>
            </w:pPr>
            <w:r>
              <w:t>有效完成学校教学安全秩序，保障学校教学任务有效开展，满足学校正常教学需要。</w:t>
            </w:r>
          </w:p>
        </w:tc>
      </w:tr>
      <w:tr w14:paraId="3E93B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16307">
            <w:pPr>
              <w:pStyle w:val="11"/>
            </w:pPr>
            <w:r>
              <w:t>资金支出计划（%）</w:t>
            </w:r>
          </w:p>
        </w:tc>
        <w:tc>
          <w:tcPr>
            <w:tcW w:w="5103" w:type="dxa"/>
            <w:gridSpan w:val="2"/>
            <w:vAlign w:val="center"/>
          </w:tcPr>
          <w:p w14:paraId="5FE98BC3">
            <w:pPr>
              <w:pStyle w:val="11"/>
            </w:pPr>
            <w:r>
              <w:t>3月底</w:t>
            </w:r>
          </w:p>
        </w:tc>
        <w:tc>
          <w:tcPr>
            <w:tcW w:w="2835" w:type="dxa"/>
            <w:vAlign w:val="center"/>
          </w:tcPr>
          <w:p w14:paraId="5C1E0514">
            <w:pPr>
              <w:pStyle w:val="11"/>
            </w:pPr>
            <w:r>
              <w:t>6月底</w:t>
            </w:r>
          </w:p>
        </w:tc>
        <w:tc>
          <w:tcPr>
            <w:tcW w:w="2551" w:type="dxa"/>
            <w:vAlign w:val="center"/>
          </w:tcPr>
          <w:p w14:paraId="00E7CA52">
            <w:pPr>
              <w:pStyle w:val="11"/>
            </w:pPr>
            <w:r>
              <w:t>10月底</w:t>
            </w:r>
          </w:p>
        </w:tc>
        <w:tc>
          <w:tcPr>
            <w:tcW w:w="3544" w:type="dxa"/>
            <w:gridSpan w:val="2"/>
            <w:vAlign w:val="center"/>
          </w:tcPr>
          <w:p w14:paraId="13DAB1F3">
            <w:pPr>
              <w:pStyle w:val="11"/>
            </w:pPr>
            <w:r>
              <w:t>12月底</w:t>
            </w:r>
          </w:p>
        </w:tc>
      </w:tr>
      <w:tr w14:paraId="091D9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041FB1"/>
        </w:tc>
        <w:tc>
          <w:tcPr>
            <w:tcW w:w="5103" w:type="dxa"/>
            <w:gridSpan w:val="2"/>
            <w:vAlign w:val="center"/>
          </w:tcPr>
          <w:p w14:paraId="62290390">
            <w:pPr>
              <w:pStyle w:val="12"/>
            </w:pPr>
            <w:r>
              <w:t>25%</w:t>
            </w:r>
          </w:p>
        </w:tc>
        <w:tc>
          <w:tcPr>
            <w:tcW w:w="2835" w:type="dxa"/>
            <w:vAlign w:val="center"/>
          </w:tcPr>
          <w:p w14:paraId="28CFE378">
            <w:pPr>
              <w:pStyle w:val="12"/>
            </w:pPr>
            <w:r>
              <w:t>50%</w:t>
            </w:r>
          </w:p>
        </w:tc>
        <w:tc>
          <w:tcPr>
            <w:tcW w:w="2551" w:type="dxa"/>
            <w:vAlign w:val="center"/>
          </w:tcPr>
          <w:p w14:paraId="6CEF6CF3">
            <w:pPr>
              <w:pStyle w:val="12"/>
            </w:pPr>
            <w:r>
              <w:t>75%</w:t>
            </w:r>
          </w:p>
        </w:tc>
        <w:tc>
          <w:tcPr>
            <w:tcW w:w="3544" w:type="dxa"/>
            <w:gridSpan w:val="2"/>
            <w:vAlign w:val="center"/>
          </w:tcPr>
          <w:p w14:paraId="6DCA2D42">
            <w:pPr>
              <w:pStyle w:val="12"/>
            </w:pPr>
            <w:r>
              <w:t>100%</w:t>
            </w:r>
          </w:p>
        </w:tc>
      </w:tr>
      <w:tr w14:paraId="28E63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B5D5A">
            <w:pPr>
              <w:pStyle w:val="11"/>
            </w:pPr>
            <w:r>
              <w:t>绩效目标</w:t>
            </w:r>
          </w:p>
        </w:tc>
        <w:tc>
          <w:tcPr>
            <w:tcW w:w="14033" w:type="dxa"/>
            <w:gridSpan w:val="6"/>
            <w:vAlign w:val="center"/>
          </w:tcPr>
          <w:p w14:paraId="3894E24F">
            <w:pPr>
              <w:pStyle w:val="13"/>
            </w:pPr>
            <w:r>
              <w:t>1.有效完成学校教学安全秩序，保障学校教学任务有效开展，满足学校正常教学需要。</w:t>
            </w:r>
          </w:p>
          <w:p w14:paraId="1BE25E75">
            <w:pPr>
              <w:pStyle w:val="13"/>
            </w:pPr>
            <w:r>
              <w:t>2.按规定拨付公用经费资金，预算执行率≥98%。</w:t>
            </w:r>
          </w:p>
        </w:tc>
      </w:tr>
    </w:tbl>
    <w:p w14:paraId="2C593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14:paraId="7BC28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1880B8E">
            <w:pPr>
              <w:pStyle w:val="11"/>
            </w:pPr>
            <w:r>
              <w:t>一级指标</w:t>
            </w:r>
          </w:p>
        </w:tc>
        <w:tc>
          <w:tcPr>
            <w:tcW w:w="2268" w:type="dxa"/>
            <w:vAlign w:val="center"/>
          </w:tcPr>
          <w:p w14:paraId="4523AF4B">
            <w:pPr>
              <w:pStyle w:val="11"/>
            </w:pPr>
            <w:r>
              <w:t>二级指标</w:t>
            </w:r>
          </w:p>
        </w:tc>
        <w:tc>
          <w:tcPr>
            <w:tcW w:w="2835" w:type="dxa"/>
            <w:vAlign w:val="center"/>
          </w:tcPr>
          <w:p w14:paraId="29875388">
            <w:pPr>
              <w:pStyle w:val="11"/>
            </w:pPr>
            <w:r>
              <w:t>三级指标</w:t>
            </w:r>
          </w:p>
        </w:tc>
        <w:tc>
          <w:tcPr>
            <w:tcW w:w="5386" w:type="dxa"/>
            <w:vAlign w:val="center"/>
          </w:tcPr>
          <w:p w14:paraId="66129AFB">
            <w:pPr>
              <w:pStyle w:val="11"/>
            </w:pPr>
            <w:r>
              <w:t>绩效指标描述</w:t>
            </w:r>
          </w:p>
        </w:tc>
        <w:tc>
          <w:tcPr>
            <w:tcW w:w="1643" w:type="dxa"/>
            <w:vAlign w:val="center"/>
          </w:tcPr>
          <w:p w14:paraId="0886AB8D">
            <w:pPr>
              <w:pStyle w:val="11"/>
            </w:pPr>
            <w:r>
              <w:t>指标值</w:t>
            </w:r>
          </w:p>
        </w:tc>
        <w:tc>
          <w:tcPr>
            <w:tcW w:w="1901" w:type="dxa"/>
            <w:vAlign w:val="center"/>
          </w:tcPr>
          <w:p w14:paraId="6B86BF55">
            <w:pPr>
              <w:pStyle w:val="11"/>
            </w:pPr>
            <w:r>
              <w:t>指标值确定依据</w:t>
            </w:r>
          </w:p>
        </w:tc>
      </w:tr>
      <w:tr w14:paraId="51513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6C4D3F19">
            <w:pPr>
              <w:pStyle w:val="12"/>
            </w:pPr>
            <w:r>
              <w:t>产出指标</w:t>
            </w:r>
          </w:p>
        </w:tc>
        <w:tc>
          <w:tcPr>
            <w:tcW w:w="2268" w:type="dxa"/>
            <w:vAlign w:val="center"/>
          </w:tcPr>
          <w:p w14:paraId="2B77CAF2">
            <w:pPr>
              <w:pStyle w:val="13"/>
            </w:pPr>
            <w:r>
              <w:t>数量指标</w:t>
            </w:r>
          </w:p>
        </w:tc>
        <w:tc>
          <w:tcPr>
            <w:tcW w:w="2835" w:type="dxa"/>
            <w:vAlign w:val="center"/>
          </w:tcPr>
          <w:p w14:paraId="5B15723B">
            <w:pPr>
              <w:pStyle w:val="13"/>
            </w:pPr>
            <w:r>
              <w:t>生均拨款标准</w:t>
            </w:r>
          </w:p>
        </w:tc>
        <w:tc>
          <w:tcPr>
            <w:tcW w:w="5386" w:type="dxa"/>
            <w:vAlign w:val="center"/>
          </w:tcPr>
          <w:p w14:paraId="1AD0C94A">
            <w:pPr>
              <w:pStyle w:val="13"/>
            </w:pPr>
            <w:r>
              <w:t>小学：（基本标准720元、寄宿生300元、生活补助120元）/生/学年；特教、随班就读学生：标准7000元/生/学年</w:t>
            </w:r>
          </w:p>
        </w:tc>
        <w:tc>
          <w:tcPr>
            <w:tcW w:w="1643" w:type="dxa"/>
            <w:vAlign w:val="center"/>
          </w:tcPr>
          <w:p w14:paraId="4CA198D0">
            <w:pPr>
              <w:pStyle w:val="13"/>
            </w:pPr>
            <w:r>
              <w:t>840元</w:t>
            </w:r>
          </w:p>
        </w:tc>
        <w:tc>
          <w:tcPr>
            <w:tcW w:w="1901" w:type="dxa"/>
            <w:vAlign w:val="center"/>
          </w:tcPr>
          <w:p w14:paraId="5E745654">
            <w:pPr>
              <w:pStyle w:val="13"/>
            </w:pPr>
            <w:r>
              <w:t>城乡义务教育公用经费管理办法</w:t>
            </w:r>
          </w:p>
        </w:tc>
      </w:tr>
      <w:tr w14:paraId="68C39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B0E1C"/>
        </w:tc>
        <w:tc>
          <w:tcPr>
            <w:tcW w:w="2268" w:type="dxa"/>
            <w:vAlign w:val="center"/>
          </w:tcPr>
          <w:p w14:paraId="65FA14A9">
            <w:pPr>
              <w:pStyle w:val="13"/>
            </w:pPr>
            <w:r>
              <w:t>质量指标</w:t>
            </w:r>
          </w:p>
        </w:tc>
        <w:tc>
          <w:tcPr>
            <w:tcW w:w="2835" w:type="dxa"/>
            <w:vAlign w:val="center"/>
          </w:tcPr>
          <w:p w14:paraId="6B8616FE">
            <w:pPr>
              <w:pStyle w:val="13"/>
            </w:pPr>
            <w:r>
              <w:t>就读学生数</w:t>
            </w:r>
          </w:p>
        </w:tc>
        <w:tc>
          <w:tcPr>
            <w:tcW w:w="5386" w:type="dxa"/>
            <w:vAlign w:val="center"/>
          </w:tcPr>
          <w:p w14:paraId="2B166BF4">
            <w:pPr>
              <w:pStyle w:val="13"/>
            </w:pPr>
            <w:r>
              <w:t>辐射区域内适龄学生人数</w:t>
            </w:r>
          </w:p>
        </w:tc>
        <w:tc>
          <w:tcPr>
            <w:tcW w:w="1643" w:type="dxa"/>
            <w:vAlign w:val="center"/>
          </w:tcPr>
          <w:p w14:paraId="66E88AC5">
            <w:pPr>
              <w:pStyle w:val="13"/>
            </w:pPr>
            <w:r>
              <w:t>482人</w:t>
            </w:r>
          </w:p>
        </w:tc>
        <w:tc>
          <w:tcPr>
            <w:tcW w:w="1901" w:type="dxa"/>
            <w:vAlign w:val="center"/>
          </w:tcPr>
          <w:p w14:paraId="75827A8D">
            <w:pPr>
              <w:pStyle w:val="13"/>
            </w:pPr>
            <w:r>
              <w:t>城乡义务教育公用经费管理办法</w:t>
            </w:r>
          </w:p>
        </w:tc>
      </w:tr>
      <w:tr w14:paraId="6FCB6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83F74"/>
        </w:tc>
        <w:tc>
          <w:tcPr>
            <w:tcW w:w="2268" w:type="dxa"/>
            <w:vAlign w:val="center"/>
          </w:tcPr>
          <w:p w14:paraId="0D9EA1F0">
            <w:pPr>
              <w:pStyle w:val="13"/>
            </w:pPr>
            <w:r>
              <w:t>时效指标</w:t>
            </w:r>
          </w:p>
        </w:tc>
        <w:tc>
          <w:tcPr>
            <w:tcW w:w="2835" w:type="dxa"/>
            <w:vAlign w:val="center"/>
          </w:tcPr>
          <w:p w14:paraId="7815DAD7">
            <w:pPr>
              <w:pStyle w:val="13"/>
            </w:pPr>
            <w:r>
              <w:t>预算执行率</w:t>
            </w:r>
          </w:p>
        </w:tc>
        <w:tc>
          <w:tcPr>
            <w:tcW w:w="5386" w:type="dxa"/>
            <w:vAlign w:val="center"/>
          </w:tcPr>
          <w:p w14:paraId="093D8C2E">
            <w:pPr>
              <w:pStyle w:val="13"/>
            </w:pPr>
            <w:r>
              <w:t>预算执行率≥98%</w:t>
            </w:r>
          </w:p>
        </w:tc>
        <w:tc>
          <w:tcPr>
            <w:tcW w:w="1643" w:type="dxa"/>
            <w:vAlign w:val="center"/>
          </w:tcPr>
          <w:p w14:paraId="77363F63">
            <w:pPr>
              <w:pStyle w:val="13"/>
            </w:pPr>
            <w:r>
              <w:t>≥98%</w:t>
            </w:r>
          </w:p>
        </w:tc>
        <w:tc>
          <w:tcPr>
            <w:tcW w:w="1901" w:type="dxa"/>
            <w:vAlign w:val="center"/>
          </w:tcPr>
          <w:p w14:paraId="1224C80E">
            <w:pPr>
              <w:pStyle w:val="13"/>
            </w:pPr>
            <w:r>
              <w:t>城乡义务教育公用经费管理办法</w:t>
            </w:r>
          </w:p>
        </w:tc>
      </w:tr>
      <w:tr w14:paraId="3A1F8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94BEE"/>
        </w:tc>
        <w:tc>
          <w:tcPr>
            <w:tcW w:w="2268" w:type="dxa"/>
            <w:vAlign w:val="center"/>
          </w:tcPr>
          <w:p w14:paraId="070587A7">
            <w:pPr>
              <w:pStyle w:val="13"/>
            </w:pPr>
            <w:r>
              <w:t>成本指标</w:t>
            </w:r>
          </w:p>
        </w:tc>
        <w:tc>
          <w:tcPr>
            <w:tcW w:w="2835" w:type="dxa"/>
            <w:vAlign w:val="center"/>
          </w:tcPr>
          <w:p w14:paraId="2E0383BB">
            <w:pPr>
              <w:pStyle w:val="13"/>
            </w:pPr>
            <w:r>
              <w:t>义教经费支付完成率</w:t>
            </w:r>
          </w:p>
        </w:tc>
        <w:tc>
          <w:tcPr>
            <w:tcW w:w="5386" w:type="dxa"/>
            <w:vAlign w:val="center"/>
          </w:tcPr>
          <w:p w14:paraId="2CC2CEE0">
            <w:pPr>
              <w:pStyle w:val="13"/>
            </w:pPr>
            <w:r>
              <w:t>按照序时进度完成资金支付</w:t>
            </w:r>
          </w:p>
        </w:tc>
        <w:tc>
          <w:tcPr>
            <w:tcW w:w="1643" w:type="dxa"/>
            <w:vAlign w:val="center"/>
          </w:tcPr>
          <w:p w14:paraId="01D47CE6">
            <w:pPr>
              <w:pStyle w:val="13"/>
            </w:pPr>
            <w:r>
              <w:t>100%</w:t>
            </w:r>
          </w:p>
        </w:tc>
        <w:tc>
          <w:tcPr>
            <w:tcW w:w="1901" w:type="dxa"/>
            <w:vAlign w:val="center"/>
          </w:tcPr>
          <w:p w14:paraId="6AA777D4">
            <w:pPr>
              <w:pStyle w:val="13"/>
            </w:pPr>
            <w:r>
              <w:t>城乡义务教育公用经费管理办法</w:t>
            </w:r>
          </w:p>
        </w:tc>
      </w:tr>
      <w:tr w14:paraId="0B67E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0E79DE">
            <w:pPr>
              <w:pStyle w:val="12"/>
            </w:pPr>
            <w:r>
              <w:t>效益指标</w:t>
            </w:r>
          </w:p>
        </w:tc>
        <w:tc>
          <w:tcPr>
            <w:tcW w:w="2268" w:type="dxa"/>
            <w:vAlign w:val="center"/>
          </w:tcPr>
          <w:p w14:paraId="5026ED5E">
            <w:pPr>
              <w:pStyle w:val="13"/>
            </w:pPr>
            <w:r>
              <w:t>可持续影响指标</w:t>
            </w:r>
          </w:p>
        </w:tc>
        <w:tc>
          <w:tcPr>
            <w:tcW w:w="2835" w:type="dxa"/>
            <w:vAlign w:val="center"/>
          </w:tcPr>
          <w:p w14:paraId="61F717A7">
            <w:pPr>
              <w:pStyle w:val="13"/>
            </w:pPr>
            <w:r>
              <w:t>学校运转得到提高</w:t>
            </w:r>
          </w:p>
        </w:tc>
        <w:tc>
          <w:tcPr>
            <w:tcW w:w="5386" w:type="dxa"/>
            <w:vAlign w:val="center"/>
          </w:tcPr>
          <w:p w14:paraId="74ADCAAC">
            <w:pPr>
              <w:pStyle w:val="13"/>
            </w:pPr>
            <w:r>
              <w:t>学生受教育年限</w:t>
            </w:r>
          </w:p>
        </w:tc>
        <w:tc>
          <w:tcPr>
            <w:tcW w:w="1643" w:type="dxa"/>
            <w:vAlign w:val="center"/>
          </w:tcPr>
          <w:p w14:paraId="40F8BE45">
            <w:pPr>
              <w:pStyle w:val="13"/>
            </w:pPr>
            <w:r>
              <w:t>6年</w:t>
            </w:r>
          </w:p>
        </w:tc>
        <w:tc>
          <w:tcPr>
            <w:tcW w:w="1901" w:type="dxa"/>
            <w:vAlign w:val="center"/>
          </w:tcPr>
          <w:p w14:paraId="3F063377">
            <w:pPr>
              <w:pStyle w:val="13"/>
            </w:pPr>
            <w:r>
              <w:t>城乡义务教育公用经费管理办法</w:t>
            </w:r>
          </w:p>
        </w:tc>
      </w:tr>
      <w:tr w14:paraId="3A801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2D7F56">
            <w:pPr>
              <w:pStyle w:val="12"/>
            </w:pPr>
            <w:r>
              <w:t>满意度指标</w:t>
            </w:r>
          </w:p>
        </w:tc>
        <w:tc>
          <w:tcPr>
            <w:tcW w:w="2268" w:type="dxa"/>
            <w:vAlign w:val="center"/>
          </w:tcPr>
          <w:p w14:paraId="1605C864">
            <w:pPr>
              <w:pStyle w:val="13"/>
            </w:pPr>
            <w:r>
              <w:t>服务对象满意度指标</w:t>
            </w:r>
          </w:p>
        </w:tc>
        <w:tc>
          <w:tcPr>
            <w:tcW w:w="2835" w:type="dxa"/>
            <w:vAlign w:val="center"/>
          </w:tcPr>
          <w:p w14:paraId="7857A5E2">
            <w:pPr>
              <w:pStyle w:val="13"/>
            </w:pPr>
            <w:r>
              <w:t>服务对象满意度</w:t>
            </w:r>
          </w:p>
        </w:tc>
        <w:tc>
          <w:tcPr>
            <w:tcW w:w="5386" w:type="dxa"/>
            <w:vAlign w:val="center"/>
          </w:tcPr>
          <w:p w14:paraId="4F2E605B">
            <w:pPr>
              <w:pStyle w:val="13"/>
            </w:pPr>
            <w:r>
              <w:t>学校老师和学生满意度</w:t>
            </w:r>
          </w:p>
        </w:tc>
        <w:tc>
          <w:tcPr>
            <w:tcW w:w="1643" w:type="dxa"/>
            <w:vAlign w:val="center"/>
          </w:tcPr>
          <w:p w14:paraId="7533BBCF">
            <w:pPr>
              <w:pStyle w:val="13"/>
            </w:pPr>
            <w:r>
              <w:t>≥95%</w:t>
            </w:r>
          </w:p>
        </w:tc>
        <w:tc>
          <w:tcPr>
            <w:tcW w:w="1901" w:type="dxa"/>
            <w:vAlign w:val="center"/>
          </w:tcPr>
          <w:p w14:paraId="2AC9C37C">
            <w:pPr>
              <w:pStyle w:val="13"/>
            </w:pPr>
            <w:r>
              <w:t>城乡义务教育公用经费管理办法</w:t>
            </w:r>
          </w:p>
        </w:tc>
      </w:tr>
    </w:tbl>
    <w:p w14:paraId="5565F14B">
      <w:pPr>
        <w:sectPr>
          <w:pgSz w:w="16840" w:h="11900" w:orient="landscape"/>
          <w:pgMar w:top="1361" w:right="1020" w:bottom="1134" w:left="1020" w:header="720" w:footer="720" w:gutter="0"/>
          <w:cols w:space="720" w:num="1"/>
        </w:sectPr>
      </w:pPr>
    </w:p>
    <w:p w14:paraId="15F128F5">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6、冀财教[2024]123号/中央/2025年义教补助经费/南汪店小学公用经费绩效目标表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C4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E11EA">
            <w:pPr>
              <w:pStyle w:val="14"/>
            </w:pPr>
            <w:r>
              <w:t>单位：万元</w:t>
            </w:r>
          </w:p>
        </w:tc>
      </w:tr>
      <w:tr w14:paraId="38EED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CBA8B">
            <w:pPr>
              <w:pStyle w:val="11"/>
            </w:pPr>
            <w:r>
              <w:t>项目编码</w:t>
            </w:r>
          </w:p>
        </w:tc>
        <w:tc>
          <w:tcPr>
            <w:tcW w:w="5103" w:type="dxa"/>
            <w:gridSpan w:val="2"/>
            <w:vAlign w:val="center"/>
          </w:tcPr>
          <w:p w14:paraId="2CDAAE4F">
            <w:pPr>
              <w:pStyle w:val="13"/>
            </w:pPr>
            <w:r>
              <w:t>13052525P000004100703</w:t>
            </w:r>
          </w:p>
        </w:tc>
        <w:tc>
          <w:tcPr>
            <w:tcW w:w="2835" w:type="dxa"/>
            <w:vAlign w:val="center"/>
          </w:tcPr>
          <w:p w14:paraId="0E25DA95">
            <w:pPr>
              <w:pStyle w:val="11"/>
            </w:pPr>
            <w:r>
              <w:t>项目名称</w:t>
            </w:r>
          </w:p>
        </w:tc>
        <w:tc>
          <w:tcPr>
            <w:tcW w:w="6095" w:type="dxa"/>
            <w:gridSpan w:val="3"/>
            <w:vAlign w:val="center"/>
          </w:tcPr>
          <w:p w14:paraId="69C1D769">
            <w:pPr>
              <w:pStyle w:val="13"/>
            </w:pPr>
            <w:r>
              <w:t>冀财教[2024]123号/中央/2025年义教补助经费/南汪店小学公用经费</w:t>
            </w:r>
          </w:p>
        </w:tc>
      </w:tr>
      <w:tr w14:paraId="7B115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690DA">
            <w:pPr>
              <w:pStyle w:val="11"/>
            </w:pPr>
            <w:r>
              <w:t>预算规模及资金用途</w:t>
            </w:r>
          </w:p>
        </w:tc>
        <w:tc>
          <w:tcPr>
            <w:tcW w:w="2268" w:type="dxa"/>
            <w:vAlign w:val="center"/>
          </w:tcPr>
          <w:p w14:paraId="1B99967A">
            <w:pPr>
              <w:pStyle w:val="11"/>
            </w:pPr>
            <w:r>
              <w:t>预算数</w:t>
            </w:r>
          </w:p>
        </w:tc>
        <w:tc>
          <w:tcPr>
            <w:tcW w:w="2835" w:type="dxa"/>
            <w:vAlign w:val="center"/>
          </w:tcPr>
          <w:p w14:paraId="5D4DDA33">
            <w:pPr>
              <w:pStyle w:val="13"/>
            </w:pPr>
            <w:r>
              <w:t>23.30</w:t>
            </w:r>
          </w:p>
        </w:tc>
        <w:tc>
          <w:tcPr>
            <w:tcW w:w="2835" w:type="dxa"/>
            <w:vAlign w:val="center"/>
          </w:tcPr>
          <w:p w14:paraId="08F5A39A">
            <w:pPr>
              <w:pStyle w:val="11"/>
            </w:pPr>
            <w:r>
              <w:t>其中：财政    资金</w:t>
            </w:r>
          </w:p>
        </w:tc>
        <w:tc>
          <w:tcPr>
            <w:tcW w:w="2551" w:type="dxa"/>
            <w:vAlign w:val="center"/>
          </w:tcPr>
          <w:p w14:paraId="425123C4">
            <w:pPr>
              <w:pStyle w:val="13"/>
            </w:pPr>
            <w:r>
              <w:t>23.30</w:t>
            </w:r>
          </w:p>
        </w:tc>
        <w:tc>
          <w:tcPr>
            <w:tcW w:w="2268" w:type="dxa"/>
            <w:vAlign w:val="center"/>
          </w:tcPr>
          <w:p w14:paraId="613B51E2">
            <w:pPr>
              <w:pStyle w:val="11"/>
            </w:pPr>
            <w:r>
              <w:t>其他资金</w:t>
            </w:r>
          </w:p>
        </w:tc>
        <w:tc>
          <w:tcPr>
            <w:tcW w:w="1276" w:type="dxa"/>
            <w:vAlign w:val="center"/>
          </w:tcPr>
          <w:p w14:paraId="757FBB33">
            <w:pPr>
              <w:pStyle w:val="13"/>
            </w:pPr>
            <w:r>
              <w:t xml:space="preserve"> </w:t>
            </w:r>
          </w:p>
        </w:tc>
      </w:tr>
      <w:tr w14:paraId="0C771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2444AD"/>
        </w:tc>
        <w:tc>
          <w:tcPr>
            <w:tcW w:w="14033" w:type="dxa"/>
            <w:gridSpan w:val="6"/>
            <w:vAlign w:val="center"/>
          </w:tcPr>
          <w:p w14:paraId="0E557BB2">
            <w:pPr>
              <w:pStyle w:val="13"/>
            </w:pPr>
            <w:r>
              <w:t>有效完成学校教学安全秩序，保障学校教学任务有效开展，满足学校正常教学需要。</w:t>
            </w:r>
          </w:p>
        </w:tc>
      </w:tr>
      <w:tr w14:paraId="508BE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7A4CC">
            <w:pPr>
              <w:pStyle w:val="11"/>
            </w:pPr>
            <w:r>
              <w:t>资金支出计划（%）</w:t>
            </w:r>
          </w:p>
        </w:tc>
        <w:tc>
          <w:tcPr>
            <w:tcW w:w="5103" w:type="dxa"/>
            <w:gridSpan w:val="2"/>
            <w:vAlign w:val="center"/>
          </w:tcPr>
          <w:p w14:paraId="37FC0FA2">
            <w:pPr>
              <w:pStyle w:val="11"/>
            </w:pPr>
            <w:r>
              <w:t>3月底</w:t>
            </w:r>
          </w:p>
        </w:tc>
        <w:tc>
          <w:tcPr>
            <w:tcW w:w="2835" w:type="dxa"/>
            <w:vAlign w:val="center"/>
          </w:tcPr>
          <w:p w14:paraId="0421A6CA">
            <w:pPr>
              <w:pStyle w:val="11"/>
            </w:pPr>
            <w:r>
              <w:t>6月底</w:t>
            </w:r>
          </w:p>
        </w:tc>
        <w:tc>
          <w:tcPr>
            <w:tcW w:w="2551" w:type="dxa"/>
            <w:vAlign w:val="center"/>
          </w:tcPr>
          <w:p w14:paraId="49030CBB">
            <w:pPr>
              <w:pStyle w:val="11"/>
            </w:pPr>
            <w:r>
              <w:t>10月底</w:t>
            </w:r>
          </w:p>
        </w:tc>
        <w:tc>
          <w:tcPr>
            <w:tcW w:w="3544" w:type="dxa"/>
            <w:gridSpan w:val="2"/>
            <w:vAlign w:val="center"/>
          </w:tcPr>
          <w:p w14:paraId="73C8F853">
            <w:pPr>
              <w:pStyle w:val="11"/>
            </w:pPr>
            <w:r>
              <w:t>12月底</w:t>
            </w:r>
          </w:p>
        </w:tc>
      </w:tr>
      <w:tr w14:paraId="02F8E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2D0A96"/>
        </w:tc>
        <w:tc>
          <w:tcPr>
            <w:tcW w:w="5103" w:type="dxa"/>
            <w:gridSpan w:val="2"/>
            <w:vAlign w:val="center"/>
          </w:tcPr>
          <w:p w14:paraId="431F788E">
            <w:pPr>
              <w:pStyle w:val="12"/>
            </w:pPr>
            <w:r>
              <w:t>25%</w:t>
            </w:r>
          </w:p>
        </w:tc>
        <w:tc>
          <w:tcPr>
            <w:tcW w:w="2835" w:type="dxa"/>
            <w:vAlign w:val="center"/>
          </w:tcPr>
          <w:p w14:paraId="29889A97">
            <w:pPr>
              <w:pStyle w:val="12"/>
            </w:pPr>
            <w:r>
              <w:t>50%</w:t>
            </w:r>
          </w:p>
        </w:tc>
        <w:tc>
          <w:tcPr>
            <w:tcW w:w="2551" w:type="dxa"/>
            <w:vAlign w:val="center"/>
          </w:tcPr>
          <w:p w14:paraId="39FADF12">
            <w:pPr>
              <w:pStyle w:val="12"/>
            </w:pPr>
            <w:r>
              <w:t>75%</w:t>
            </w:r>
          </w:p>
        </w:tc>
        <w:tc>
          <w:tcPr>
            <w:tcW w:w="3544" w:type="dxa"/>
            <w:gridSpan w:val="2"/>
            <w:vAlign w:val="center"/>
          </w:tcPr>
          <w:p w14:paraId="067EADE5">
            <w:pPr>
              <w:pStyle w:val="12"/>
            </w:pPr>
            <w:r>
              <w:t>100%</w:t>
            </w:r>
          </w:p>
        </w:tc>
      </w:tr>
      <w:tr w14:paraId="0C6CC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C8A05">
            <w:pPr>
              <w:pStyle w:val="11"/>
            </w:pPr>
            <w:r>
              <w:t>绩效目标</w:t>
            </w:r>
          </w:p>
        </w:tc>
        <w:tc>
          <w:tcPr>
            <w:tcW w:w="14033" w:type="dxa"/>
            <w:gridSpan w:val="6"/>
            <w:vAlign w:val="center"/>
          </w:tcPr>
          <w:p w14:paraId="7F25EAB5">
            <w:pPr>
              <w:pStyle w:val="13"/>
            </w:pPr>
            <w:r>
              <w:t>1.有效完成学校教学安全秩序，保障学校教学任务有效开展，满足学校正常教学需要。</w:t>
            </w:r>
          </w:p>
          <w:p w14:paraId="0D8DEE63">
            <w:pPr>
              <w:pStyle w:val="13"/>
            </w:pPr>
            <w:r>
              <w:t>2.按规定拨付公用经费资金，预算执行率≥98%。</w:t>
            </w:r>
          </w:p>
        </w:tc>
      </w:tr>
    </w:tbl>
    <w:p w14:paraId="014C52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14:paraId="14F93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E9692">
            <w:pPr>
              <w:pStyle w:val="11"/>
            </w:pPr>
            <w:r>
              <w:t>一级指标</w:t>
            </w:r>
          </w:p>
        </w:tc>
        <w:tc>
          <w:tcPr>
            <w:tcW w:w="2268" w:type="dxa"/>
            <w:vAlign w:val="center"/>
          </w:tcPr>
          <w:p w14:paraId="5333CF3B">
            <w:pPr>
              <w:pStyle w:val="11"/>
            </w:pPr>
            <w:r>
              <w:t>二级指标</w:t>
            </w:r>
          </w:p>
        </w:tc>
        <w:tc>
          <w:tcPr>
            <w:tcW w:w="2835" w:type="dxa"/>
            <w:vAlign w:val="center"/>
          </w:tcPr>
          <w:p w14:paraId="34524AA3">
            <w:pPr>
              <w:pStyle w:val="11"/>
            </w:pPr>
            <w:r>
              <w:t>三级指标</w:t>
            </w:r>
          </w:p>
        </w:tc>
        <w:tc>
          <w:tcPr>
            <w:tcW w:w="5386" w:type="dxa"/>
            <w:vAlign w:val="center"/>
          </w:tcPr>
          <w:p w14:paraId="5E5F18BD">
            <w:pPr>
              <w:pStyle w:val="11"/>
            </w:pPr>
            <w:r>
              <w:t>绩效指标描述</w:t>
            </w:r>
          </w:p>
        </w:tc>
        <w:tc>
          <w:tcPr>
            <w:tcW w:w="1838" w:type="dxa"/>
            <w:vAlign w:val="center"/>
          </w:tcPr>
          <w:p w14:paraId="7301A37E">
            <w:pPr>
              <w:pStyle w:val="11"/>
            </w:pPr>
            <w:r>
              <w:t>指标值</w:t>
            </w:r>
          </w:p>
        </w:tc>
        <w:tc>
          <w:tcPr>
            <w:tcW w:w="1706" w:type="dxa"/>
            <w:vAlign w:val="center"/>
          </w:tcPr>
          <w:p w14:paraId="1BD3EAD0">
            <w:pPr>
              <w:pStyle w:val="11"/>
            </w:pPr>
            <w:r>
              <w:t>指标值确定依据</w:t>
            </w:r>
          </w:p>
        </w:tc>
      </w:tr>
      <w:tr w14:paraId="1672B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AEC16">
            <w:pPr>
              <w:pStyle w:val="12"/>
            </w:pPr>
            <w:r>
              <w:t>产出指标</w:t>
            </w:r>
          </w:p>
        </w:tc>
        <w:tc>
          <w:tcPr>
            <w:tcW w:w="2268" w:type="dxa"/>
            <w:vAlign w:val="center"/>
          </w:tcPr>
          <w:p w14:paraId="08062F6E">
            <w:pPr>
              <w:pStyle w:val="13"/>
            </w:pPr>
            <w:r>
              <w:t>数量指标</w:t>
            </w:r>
          </w:p>
        </w:tc>
        <w:tc>
          <w:tcPr>
            <w:tcW w:w="2835" w:type="dxa"/>
            <w:vAlign w:val="center"/>
          </w:tcPr>
          <w:p w14:paraId="096B4223">
            <w:pPr>
              <w:pStyle w:val="13"/>
            </w:pPr>
            <w:r>
              <w:t>生均拨款标准</w:t>
            </w:r>
          </w:p>
        </w:tc>
        <w:tc>
          <w:tcPr>
            <w:tcW w:w="5386" w:type="dxa"/>
            <w:vAlign w:val="center"/>
          </w:tcPr>
          <w:p w14:paraId="02EA5E22">
            <w:pPr>
              <w:pStyle w:val="13"/>
            </w:pPr>
            <w:r>
              <w:t>小学：（基本标准720元、寄宿生300元、生活补助120元）/生/学年；特教、随班就读学生：标准7000元/生/学年</w:t>
            </w:r>
          </w:p>
        </w:tc>
        <w:tc>
          <w:tcPr>
            <w:tcW w:w="1838" w:type="dxa"/>
            <w:vAlign w:val="center"/>
          </w:tcPr>
          <w:p w14:paraId="7E49EE8D">
            <w:pPr>
              <w:pStyle w:val="13"/>
            </w:pPr>
            <w:r>
              <w:t>840元</w:t>
            </w:r>
          </w:p>
        </w:tc>
        <w:tc>
          <w:tcPr>
            <w:tcW w:w="1706" w:type="dxa"/>
            <w:vAlign w:val="center"/>
          </w:tcPr>
          <w:p w14:paraId="61BDAA73">
            <w:pPr>
              <w:pStyle w:val="13"/>
            </w:pPr>
            <w:r>
              <w:t>城乡义务教育公用经费管理办法</w:t>
            </w:r>
          </w:p>
        </w:tc>
      </w:tr>
      <w:tr w14:paraId="0A052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DD7DB"/>
        </w:tc>
        <w:tc>
          <w:tcPr>
            <w:tcW w:w="2268" w:type="dxa"/>
            <w:vAlign w:val="center"/>
          </w:tcPr>
          <w:p w14:paraId="6467DB3E">
            <w:pPr>
              <w:pStyle w:val="13"/>
            </w:pPr>
            <w:r>
              <w:t>质量指标</w:t>
            </w:r>
          </w:p>
        </w:tc>
        <w:tc>
          <w:tcPr>
            <w:tcW w:w="2835" w:type="dxa"/>
            <w:vAlign w:val="center"/>
          </w:tcPr>
          <w:p w14:paraId="0B926FA4">
            <w:pPr>
              <w:pStyle w:val="13"/>
            </w:pPr>
            <w:r>
              <w:t>就读学生数</w:t>
            </w:r>
          </w:p>
        </w:tc>
        <w:tc>
          <w:tcPr>
            <w:tcW w:w="5386" w:type="dxa"/>
            <w:vAlign w:val="center"/>
          </w:tcPr>
          <w:p w14:paraId="511A81A9">
            <w:pPr>
              <w:pStyle w:val="13"/>
            </w:pPr>
            <w:r>
              <w:t>辐射区域内适龄学生人数</w:t>
            </w:r>
          </w:p>
        </w:tc>
        <w:tc>
          <w:tcPr>
            <w:tcW w:w="1838" w:type="dxa"/>
            <w:vAlign w:val="center"/>
          </w:tcPr>
          <w:p w14:paraId="0B35F0CB">
            <w:pPr>
              <w:pStyle w:val="13"/>
            </w:pPr>
            <w:r>
              <w:t>380人</w:t>
            </w:r>
          </w:p>
        </w:tc>
        <w:tc>
          <w:tcPr>
            <w:tcW w:w="1706" w:type="dxa"/>
            <w:vAlign w:val="center"/>
          </w:tcPr>
          <w:p w14:paraId="5E1E58E5">
            <w:pPr>
              <w:pStyle w:val="13"/>
            </w:pPr>
            <w:r>
              <w:t>城乡义务教育公用经费管理办法</w:t>
            </w:r>
          </w:p>
        </w:tc>
      </w:tr>
      <w:tr w14:paraId="4C8D9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73F56"/>
        </w:tc>
        <w:tc>
          <w:tcPr>
            <w:tcW w:w="2268" w:type="dxa"/>
            <w:vAlign w:val="center"/>
          </w:tcPr>
          <w:p w14:paraId="17BE00F0">
            <w:pPr>
              <w:pStyle w:val="13"/>
            </w:pPr>
            <w:r>
              <w:t>时效指标</w:t>
            </w:r>
          </w:p>
        </w:tc>
        <w:tc>
          <w:tcPr>
            <w:tcW w:w="2835" w:type="dxa"/>
            <w:vAlign w:val="center"/>
          </w:tcPr>
          <w:p w14:paraId="2D526C20">
            <w:pPr>
              <w:pStyle w:val="13"/>
            </w:pPr>
            <w:r>
              <w:t>预算执行率</w:t>
            </w:r>
          </w:p>
        </w:tc>
        <w:tc>
          <w:tcPr>
            <w:tcW w:w="5386" w:type="dxa"/>
            <w:vAlign w:val="center"/>
          </w:tcPr>
          <w:p w14:paraId="632F73A6">
            <w:pPr>
              <w:pStyle w:val="13"/>
            </w:pPr>
            <w:r>
              <w:t>预算执行率≥98%</w:t>
            </w:r>
          </w:p>
        </w:tc>
        <w:tc>
          <w:tcPr>
            <w:tcW w:w="1838" w:type="dxa"/>
            <w:vAlign w:val="center"/>
          </w:tcPr>
          <w:p w14:paraId="3F6394CA">
            <w:pPr>
              <w:pStyle w:val="13"/>
            </w:pPr>
            <w:r>
              <w:t>≥98%</w:t>
            </w:r>
          </w:p>
        </w:tc>
        <w:tc>
          <w:tcPr>
            <w:tcW w:w="1706" w:type="dxa"/>
            <w:vAlign w:val="center"/>
          </w:tcPr>
          <w:p w14:paraId="7B784267">
            <w:pPr>
              <w:pStyle w:val="13"/>
            </w:pPr>
            <w:r>
              <w:t>城乡义务教育公用经费管理办法</w:t>
            </w:r>
          </w:p>
        </w:tc>
      </w:tr>
      <w:tr w14:paraId="76EA8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938CA"/>
        </w:tc>
        <w:tc>
          <w:tcPr>
            <w:tcW w:w="2268" w:type="dxa"/>
            <w:vAlign w:val="center"/>
          </w:tcPr>
          <w:p w14:paraId="0B2562D0">
            <w:pPr>
              <w:pStyle w:val="13"/>
            </w:pPr>
            <w:r>
              <w:t>成本指标</w:t>
            </w:r>
          </w:p>
        </w:tc>
        <w:tc>
          <w:tcPr>
            <w:tcW w:w="2835" w:type="dxa"/>
            <w:vAlign w:val="center"/>
          </w:tcPr>
          <w:p w14:paraId="16E2063B">
            <w:pPr>
              <w:pStyle w:val="13"/>
            </w:pPr>
            <w:r>
              <w:t>义教经费支付完成率</w:t>
            </w:r>
          </w:p>
        </w:tc>
        <w:tc>
          <w:tcPr>
            <w:tcW w:w="5386" w:type="dxa"/>
            <w:vAlign w:val="center"/>
          </w:tcPr>
          <w:p w14:paraId="7805F3B5">
            <w:pPr>
              <w:pStyle w:val="13"/>
            </w:pPr>
            <w:r>
              <w:t>按照序时进度完成资金支付</w:t>
            </w:r>
          </w:p>
        </w:tc>
        <w:tc>
          <w:tcPr>
            <w:tcW w:w="1838" w:type="dxa"/>
            <w:vAlign w:val="center"/>
          </w:tcPr>
          <w:p w14:paraId="7F5F4C47">
            <w:pPr>
              <w:pStyle w:val="13"/>
            </w:pPr>
            <w:r>
              <w:t>100%</w:t>
            </w:r>
          </w:p>
        </w:tc>
        <w:tc>
          <w:tcPr>
            <w:tcW w:w="1706" w:type="dxa"/>
            <w:vAlign w:val="center"/>
          </w:tcPr>
          <w:p w14:paraId="43E93E2C">
            <w:pPr>
              <w:pStyle w:val="13"/>
            </w:pPr>
            <w:r>
              <w:t>城乡义务教育公用经费管理办法</w:t>
            </w:r>
          </w:p>
        </w:tc>
      </w:tr>
      <w:tr w14:paraId="48B88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9B57BB">
            <w:pPr>
              <w:pStyle w:val="12"/>
            </w:pPr>
            <w:r>
              <w:t>效益指标</w:t>
            </w:r>
          </w:p>
        </w:tc>
        <w:tc>
          <w:tcPr>
            <w:tcW w:w="2268" w:type="dxa"/>
            <w:vAlign w:val="center"/>
          </w:tcPr>
          <w:p w14:paraId="7745D4C7">
            <w:pPr>
              <w:pStyle w:val="13"/>
            </w:pPr>
            <w:r>
              <w:t>可持续影响指标</w:t>
            </w:r>
          </w:p>
        </w:tc>
        <w:tc>
          <w:tcPr>
            <w:tcW w:w="2835" w:type="dxa"/>
            <w:vAlign w:val="center"/>
          </w:tcPr>
          <w:p w14:paraId="11977F83">
            <w:pPr>
              <w:pStyle w:val="13"/>
            </w:pPr>
            <w:r>
              <w:t>学校运转得到提高</w:t>
            </w:r>
          </w:p>
        </w:tc>
        <w:tc>
          <w:tcPr>
            <w:tcW w:w="5386" w:type="dxa"/>
            <w:vAlign w:val="center"/>
          </w:tcPr>
          <w:p w14:paraId="4A09E828">
            <w:pPr>
              <w:pStyle w:val="13"/>
            </w:pPr>
            <w:r>
              <w:t>学生受教育年限</w:t>
            </w:r>
          </w:p>
        </w:tc>
        <w:tc>
          <w:tcPr>
            <w:tcW w:w="1838" w:type="dxa"/>
            <w:vAlign w:val="center"/>
          </w:tcPr>
          <w:p w14:paraId="5584E69B">
            <w:pPr>
              <w:pStyle w:val="13"/>
            </w:pPr>
            <w:r>
              <w:t>6年</w:t>
            </w:r>
          </w:p>
        </w:tc>
        <w:tc>
          <w:tcPr>
            <w:tcW w:w="1706" w:type="dxa"/>
            <w:vAlign w:val="center"/>
          </w:tcPr>
          <w:p w14:paraId="4BD09C7C">
            <w:pPr>
              <w:pStyle w:val="13"/>
            </w:pPr>
            <w:r>
              <w:t>城乡义务教育公用经费管理办法</w:t>
            </w:r>
          </w:p>
        </w:tc>
      </w:tr>
      <w:tr w14:paraId="1EFE3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A8AA34">
            <w:pPr>
              <w:pStyle w:val="12"/>
            </w:pPr>
            <w:r>
              <w:t>满意度指标</w:t>
            </w:r>
          </w:p>
        </w:tc>
        <w:tc>
          <w:tcPr>
            <w:tcW w:w="2268" w:type="dxa"/>
            <w:vAlign w:val="center"/>
          </w:tcPr>
          <w:p w14:paraId="2F0E1FEB">
            <w:pPr>
              <w:pStyle w:val="13"/>
            </w:pPr>
            <w:r>
              <w:t>服务对象满意度指标</w:t>
            </w:r>
          </w:p>
        </w:tc>
        <w:tc>
          <w:tcPr>
            <w:tcW w:w="2835" w:type="dxa"/>
            <w:vAlign w:val="center"/>
          </w:tcPr>
          <w:p w14:paraId="6314D8BF">
            <w:pPr>
              <w:pStyle w:val="13"/>
            </w:pPr>
            <w:r>
              <w:t>服务对象满意度</w:t>
            </w:r>
          </w:p>
        </w:tc>
        <w:tc>
          <w:tcPr>
            <w:tcW w:w="5386" w:type="dxa"/>
            <w:vAlign w:val="center"/>
          </w:tcPr>
          <w:p w14:paraId="2FBA6770">
            <w:pPr>
              <w:pStyle w:val="13"/>
            </w:pPr>
            <w:r>
              <w:t>学校老师和学生满意度</w:t>
            </w:r>
          </w:p>
        </w:tc>
        <w:tc>
          <w:tcPr>
            <w:tcW w:w="1838" w:type="dxa"/>
            <w:vAlign w:val="center"/>
          </w:tcPr>
          <w:p w14:paraId="6F4D87FC">
            <w:pPr>
              <w:pStyle w:val="13"/>
            </w:pPr>
            <w:r>
              <w:t>≥95%</w:t>
            </w:r>
          </w:p>
        </w:tc>
        <w:tc>
          <w:tcPr>
            <w:tcW w:w="1706" w:type="dxa"/>
            <w:vAlign w:val="center"/>
          </w:tcPr>
          <w:p w14:paraId="32B3E032">
            <w:pPr>
              <w:pStyle w:val="13"/>
            </w:pPr>
            <w:r>
              <w:t>城乡义务教育公用经费管理办法</w:t>
            </w:r>
          </w:p>
        </w:tc>
      </w:tr>
    </w:tbl>
    <w:p w14:paraId="6144FF8C">
      <w:pPr>
        <w:sectPr>
          <w:pgSz w:w="16840" w:h="11900" w:orient="landscape"/>
          <w:pgMar w:top="1361" w:right="1020" w:bottom="1134" w:left="1020" w:header="720" w:footer="720" w:gutter="0"/>
          <w:cols w:space="720" w:num="1"/>
        </w:sectPr>
      </w:pPr>
    </w:p>
    <w:p w14:paraId="6C8A60CC">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7、冀财教[2024]123号/中央/2025年义教补助经费/尚礼小学公用经费绩效目标表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393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C4395">
            <w:pPr>
              <w:pStyle w:val="14"/>
            </w:pPr>
            <w:r>
              <w:t>单位：万元</w:t>
            </w:r>
          </w:p>
        </w:tc>
      </w:tr>
      <w:tr w14:paraId="714C7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ABCCB9">
            <w:pPr>
              <w:pStyle w:val="11"/>
            </w:pPr>
            <w:r>
              <w:t>项目编码</w:t>
            </w:r>
          </w:p>
        </w:tc>
        <w:tc>
          <w:tcPr>
            <w:tcW w:w="5103" w:type="dxa"/>
            <w:gridSpan w:val="2"/>
            <w:vAlign w:val="center"/>
          </w:tcPr>
          <w:p w14:paraId="1B02701D">
            <w:pPr>
              <w:pStyle w:val="13"/>
            </w:pPr>
            <w:r>
              <w:t>13052525P00000410066W</w:t>
            </w:r>
          </w:p>
        </w:tc>
        <w:tc>
          <w:tcPr>
            <w:tcW w:w="2835" w:type="dxa"/>
            <w:vAlign w:val="center"/>
          </w:tcPr>
          <w:p w14:paraId="211788FC">
            <w:pPr>
              <w:pStyle w:val="11"/>
            </w:pPr>
            <w:r>
              <w:t>项目名称</w:t>
            </w:r>
          </w:p>
        </w:tc>
        <w:tc>
          <w:tcPr>
            <w:tcW w:w="6095" w:type="dxa"/>
            <w:gridSpan w:val="3"/>
            <w:vAlign w:val="center"/>
          </w:tcPr>
          <w:p w14:paraId="1371582D">
            <w:pPr>
              <w:pStyle w:val="13"/>
            </w:pPr>
            <w:r>
              <w:t>冀财教[2024]123号/中央/2025年义教补助经费/尚礼小学公用经费</w:t>
            </w:r>
          </w:p>
        </w:tc>
      </w:tr>
      <w:tr w14:paraId="30F6D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5DA91">
            <w:pPr>
              <w:pStyle w:val="11"/>
            </w:pPr>
            <w:r>
              <w:t>预算规模及资金用途</w:t>
            </w:r>
          </w:p>
        </w:tc>
        <w:tc>
          <w:tcPr>
            <w:tcW w:w="2268" w:type="dxa"/>
            <w:vAlign w:val="center"/>
          </w:tcPr>
          <w:p w14:paraId="7E78C2F1">
            <w:pPr>
              <w:pStyle w:val="11"/>
            </w:pPr>
            <w:r>
              <w:t>预算数</w:t>
            </w:r>
          </w:p>
        </w:tc>
        <w:tc>
          <w:tcPr>
            <w:tcW w:w="2835" w:type="dxa"/>
            <w:vAlign w:val="center"/>
          </w:tcPr>
          <w:p w14:paraId="2C5872C4">
            <w:pPr>
              <w:pStyle w:val="13"/>
            </w:pPr>
            <w:r>
              <w:t>33.20</w:t>
            </w:r>
          </w:p>
        </w:tc>
        <w:tc>
          <w:tcPr>
            <w:tcW w:w="2835" w:type="dxa"/>
            <w:vAlign w:val="center"/>
          </w:tcPr>
          <w:p w14:paraId="7A8204C5">
            <w:pPr>
              <w:pStyle w:val="11"/>
            </w:pPr>
            <w:r>
              <w:t>其中：财政    资金</w:t>
            </w:r>
          </w:p>
        </w:tc>
        <w:tc>
          <w:tcPr>
            <w:tcW w:w="2551" w:type="dxa"/>
            <w:vAlign w:val="center"/>
          </w:tcPr>
          <w:p w14:paraId="2CE06471">
            <w:pPr>
              <w:pStyle w:val="13"/>
            </w:pPr>
            <w:r>
              <w:t>33.20</w:t>
            </w:r>
          </w:p>
        </w:tc>
        <w:tc>
          <w:tcPr>
            <w:tcW w:w="2268" w:type="dxa"/>
            <w:vAlign w:val="center"/>
          </w:tcPr>
          <w:p w14:paraId="7549258A">
            <w:pPr>
              <w:pStyle w:val="11"/>
            </w:pPr>
            <w:r>
              <w:t>其他资金</w:t>
            </w:r>
          </w:p>
        </w:tc>
        <w:tc>
          <w:tcPr>
            <w:tcW w:w="1276" w:type="dxa"/>
            <w:vAlign w:val="center"/>
          </w:tcPr>
          <w:p w14:paraId="49AC2CA3">
            <w:pPr>
              <w:pStyle w:val="13"/>
            </w:pPr>
            <w:r>
              <w:t xml:space="preserve"> </w:t>
            </w:r>
          </w:p>
        </w:tc>
      </w:tr>
      <w:tr w14:paraId="1060A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9A4291"/>
        </w:tc>
        <w:tc>
          <w:tcPr>
            <w:tcW w:w="14033" w:type="dxa"/>
            <w:gridSpan w:val="6"/>
            <w:vAlign w:val="center"/>
          </w:tcPr>
          <w:p w14:paraId="7C8CA7F4">
            <w:pPr>
              <w:pStyle w:val="13"/>
            </w:pPr>
            <w:r>
              <w:t>有效完成学校教学安全秩序，保障学校教学任务有效开展，满足学校正常教学需要。</w:t>
            </w:r>
            <w:r>
              <w:tab/>
            </w:r>
            <w:r>
              <w:tab/>
            </w:r>
            <w:r>
              <w:tab/>
            </w:r>
            <w:r>
              <w:tab/>
            </w:r>
            <w:r>
              <w:tab/>
            </w:r>
            <w:r>
              <w:tab/>
            </w:r>
          </w:p>
          <w:p w14:paraId="79BA7A19">
            <w:pPr>
              <w:pStyle w:val="13"/>
            </w:pPr>
          </w:p>
        </w:tc>
      </w:tr>
      <w:tr w14:paraId="4742D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1CE34">
            <w:pPr>
              <w:pStyle w:val="11"/>
            </w:pPr>
            <w:r>
              <w:t>资金支出计划（%）</w:t>
            </w:r>
          </w:p>
        </w:tc>
        <w:tc>
          <w:tcPr>
            <w:tcW w:w="5103" w:type="dxa"/>
            <w:gridSpan w:val="2"/>
            <w:vAlign w:val="center"/>
          </w:tcPr>
          <w:p w14:paraId="1050E1C6">
            <w:pPr>
              <w:pStyle w:val="11"/>
            </w:pPr>
            <w:r>
              <w:t>3月底</w:t>
            </w:r>
          </w:p>
        </w:tc>
        <w:tc>
          <w:tcPr>
            <w:tcW w:w="2835" w:type="dxa"/>
            <w:vAlign w:val="center"/>
          </w:tcPr>
          <w:p w14:paraId="493EA1D4">
            <w:pPr>
              <w:pStyle w:val="11"/>
            </w:pPr>
            <w:r>
              <w:t>6月底</w:t>
            </w:r>
          </w:p>
        </w:tc>
        <w:tc>
          <w:tcPr>
            <w:tcW w:w="2551" w:type="dxa"/>
            <w:vAlign w:val="center"/>
          </w:tcPr>
          <w:p w14:paraId="7F1DE104">
            <w:pPr>
              <w:pStyle w:val="11"/>
            </w:pPr>
            <w:r>
              <w:t>10月底</w:t>
            </w:r>
          </w:p>
        </w:tc>
        <w:tc>
          <w:tcPr>
            <w:tcW w:w="3544" w:type="dxa"/>
            <w:gridSpan w:val="2"/>
            <w:vAlign w:val="center"/>
          </w:tcPr>
          <w:p w14:paraId="401A0507">
            <w:pPr>
              <w:pStyle w:val="11"/>
            </w:pPr>
            <w:r>
              <w:t>12月底</w:t>
            </w:r>
          </w:p>
        </w:tc>
      </w:tr>
      <w:tr w14:paraId="6CEC0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9E01ED"/>
        </w:tc>
        <w:tc>
          <w:tcPr>
            <w:tcW w:w="5103" w:type="dxa"/>
            <w:gridSpan w:val="2"/>
            <w:vAlign w:val="center"/>
          </w:tcPr>
          <w:p w14:paraId="13262A31">
            <w:pPr>
              <w:pStyle w:val="12"/>
            </w:pPr>
            <w:r>
              <w:t>25%</w:t>
            </w:r>
          </w:p>
        </w:tc>
        <w:tc>
          <w:tcPr>
            <w:tcW w:w="2835" w:type="dxa"/>
            <w:vAlign w:val="center"/>
          </w:tcPr>
          <w:p w14:paraId="640E9CBF">
            <w:pPr>
              <w:pStyle w:val="12"/>
            </w:pPr>
            <w:r>
              <w:t>50%</w:t>
            </w:r>
          </w:p>
        </w:tc>
        <w:tc>
          <w:tcPr>
            <w:tcW w:w="2551" w:type="dxa"/>
            <w:vAlign w:val="center"/>
          </w:tcPr>
          <w:p w14:paraId="3C7671C2">
            <w:pPr>
              <w:pStyle w:val="12"/>
            </w:pPr>
            <w:r>
              <w:t>75%</w:t>
            </w:r>
          </w:p>
        </w:tc>
        <w:tc>
          <w:tcPr>
            <w:tcW w:w="3544" w:type="dxa"/>
            <w:gridSpan w:val="2"/>
            <w:vAlign w:val="center"/>
          </w:tcPr>
          <w:p w14:paraId="23C8A9CA">
            <w:pPr>
              <w:pStyle w:val="12"/>
            </w:pPr>
            <w:r>
              <w:t>100%</w:t>
            </w:r>
          </w:p>
        </w:tc>
      </w:tr>
      <w:tr w14:paraId="7B0E2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AA1A1">
            <w:pPr>
              <w:pStyle w:val="11"/>
            </w:pPr>
            <w:r>
              <w:t>绩效目标</w:t>
            </w:r>
          </w:p>
        </w:tc>
        <w:tc>
          <w:tcPr>
            <w:tcW w:w="14033" w:type="dxa"/>
            <w:gridSpan w:val="6"/>
            <w:vAlign w:val="center"/>
          </w:tcPr>
          <w:p w14:paraId="43D5ACFD">
            <w:pPr>
              <w:pStyle w:val="13"/>
            </w:pPr>
            <w:r>
              <w:t>1.有效完成学校教学安全秩序，保障学校教学任务有效开展，满足学校正常教学需要。</w:t>
            </w:r>
          </w:p>
          <w:p w14:paraId="529C5DC9">
            <w:pPr>
              <w:pStyle w:val="13"/>
            </w:pPr>
            <w:r>
              <w:t>2.按规定拨付公用经费资金，预算执行率≥98%。</w:t>
            </w:r>
            <w:r>
              <w:tab/>
            </w:r>
            <w:r>
              <w:tab/>
            </w:r>
          </w:p>
          <w:p w14:paraId="63EA4CDE">
            <w:pPr>
              <w:pStyle w:val="13"/>
            </w:pPr>
          </w:p>
        </w:tc>
      </w:tr>
    </w:tbl>
    <w:p w14:paraId="37680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03"/>
        <w:gridCol w:w="2141"/>
      </w:tblGrid>
      <w:tr w14:paraId="0A1F8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07E75">
            <w:pPr>
              <w:pStyle w:val="11"/>
            </w:pPr>
            <w:r>
              <w:t>一级指标</w:t>
            </w:r>
          </w:p>
        </w:tc>
        <w:tc>
          <w:tcPr>
            <w:tcW w:w="2268" w:type="dxa"/>
            <w:vAlign w:val="center"/>
          </w:tcPr>
          <w:p w14:paraId="0687C293">
            <w:pPr>
              <w:pStyle w:val="11"/>
            </w:pPr>
            <w:r>
              <w:t>二级指标</w:t>
            </w:r>
          </w:p>
        </w:tc>
        <w:tc>
          <w:tcPr>
            <w:tcW w:w="2835" w:type="dxa"/>
            <w:vAlign w:val="center"/>
          </w:tcPr>
          <w:p w14:paraId="7B6D84E9">
            <w:pPr>
              <w:pStyle w:val="11"/>
            </w:pPr>
            <w:r>
              <w:t>三级指标</w:t>
            </w:r>
          </w:p>
        </w:tc>
        <w:tc>
          <w:tcPr>
            <w:tcW w:w="5386" w:type="dxa"/>
            <w:vAlign w:val="center"/>
          </w:tcPr>
          <w:p w14:paraId="2AEE3716">
            <w:pPr>
              <w:pStyle w:val="11"/>
            </w:pPr>
            <w:r>
              <w:t>绩效指标描述</w:t>
            </w:r>
          </w:p>
        </w:tc>
        <w:tc>
          <w:tcPr>
            <w:tcW w:w="1403" w:type="dxa"/>
            <w:vAlign w:val="center"/>
          </w:tcPr>
          <w:p w14:paraId="4D466234">
            <w:pPr>
              <w:pStyle w:val="11"/>
            </w:pPr>
            <w:r>
              <w:t>指标值</w:t>
            </w:r>
          </w:p>
        </w:tc>
        <w:tc>
          <w:tcPr>
            <w:tcW w:w="2141" w:type="dxa"/>
            <w:vAlign w:val="center"/>
          </w:tcPr>
          <w:p w14:paraId="06D3898A">
            <w:pPr>
              <w:pStyle w:val="11"/>
            </w:pPr>
            <w:r>
              <w:t>指标值确定依据</w:t>
            </w:r>
          </w:p>
        </w:tc>
      </w:tr>
      <w:tr w14:paraId="3EA78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2F781">
            <w:pPr>
              <w:pStyle w:val="12"/>
            </w:pPr>
            <w:r>
              <w:t>产出指标</w:t>
            </w:r>
          </w:p>
        </w:tc>
        <w:tc>
          <w:tcPr>
            <w:tcW w:w="2268" w:type="dxa"/>
            <w:vAlign w:val="center"/>
          </w:tcPr>
          <w:p w14:paraId="5BD922CE">
            <w:pPr>
              <w:pStyle w:val="13"/>
            </w:pPr>
            <w:r>
              <w:t>数量指标</w:t>
            </w:r>
          </w:p>
        </w:tc>
        <w:tc>
          <w:tcPr>
            <w:tcW w:w="2835" w:type="dxa"/>
            <w:vAlign w:val="center"/>
          </w:tcPr>
          <w:p w14:paraId="24D67E21">
            <w:pPr>
              <w:pStyle w:val="13"/>
            </w:pPr>
            <w:r>
              <w:t>生均拨款标准</w:t>
            </w:r>
          </w:p>
        </w:tc>
        <w:tc>
          <w:tcPr>
            <w:tcW w:w="5386" w:type="dxa"/>
            <w:vAlign w:val="center"/>
          </w:tcPr>
          <w:p w14:paraId="4ECAD0AC">
            <w:pPr>
              <w:pStyle w:val="13"/>
            </w:pPr>
            <w:r>
              <w:t>小学：（基本标准720元、寄宿生300元、生活补助120元）/生/学年；特教、随班就读学生：标准7000元/生/学年</w:t>
            </w:r>
          </w:p>
        </w:tc>
        <w:tc>
          <w:tcPr>
            <w:tcW w:w="1403" w:type="dxa"/>
            <w:vAlign w:val="center"/>
          </w:tcPr>
          <w:p w14:paraId="510466BE">
            <w:pPr>
              <w:pStyle w:val="13"/>
            </w:pPr>
            <w:r>
              <w:t>840元</w:t>
            </w:r>
          </w:p>
        </w:tc>
        <w:tc>
          <w:tcPr>
            <w:tcW w:w="2141" w:type="dxa"/>
            <w:vAlign w:val="center"/>
          </w:tcPr>
          <w:p w14:paraId="038F44CB">
            <w:pPr>
              <w:pStyle w:val="13"/>
            </w:pPr>
            <w:r>
              <w:t>城乡义务教育公用经费管理办法</w:t>
            </w:r>
          </w:p>
        </w:tc>
      </w:tr>
      <w:tr w14:paraId="29EDD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A4C09"/>
        </w:tc>
        <w:tc>
          <w:tcPr>
            <w:tcW w:w="2268" w:type="dxa"/>
            <w:vAlign w:val="center"/>
          </w:tcPr>
          <w:p w14:paraId="765961B8">
            <w:pPr>
              <w:pStyle w:val="13"/>
            </w:pPr>
            <w:r>
              <w:t>质量指标</w:t>
            </w:r>
          </w:p>
        </w:tc>
        <w:tc>
          <w:tcPr>
            <w:tcW w:w="2835" w:type="dxa"/>
            <w:vAlign w:val="center"/>
          </w:tcPr>
          <w:p w14:paraId="0789EF09">
            <w:pPr>
              <w:pStyle w:val="13"/>
            </w:pPr>
            <w:r>
              <w:t>就读学生数</w:t>
            </w:r>
          </w:p>
        </w:tc>
        <w:tc>
          <w:tcPr>
            <w:tcW w:w="5386" w:type="dxa"/>
            <w:vAlign w:val="center"/>
          </w:tcPr>
          <w:p w14:paraId="3B85AB5D">
            <w:pPr>
              <w:pStyle w:val="13"/>
            </w:pPr>
            <w:r>
              <w:t>辐射区域内适龄学生人数</w:t>
            </w:r>
          </w:p>
        </w:tc>
        <w:tc>
          <w:tcPr>
            <w:tcW w:w="1403" w:type="dxa"/>
            <w:vAlign w:val="center"/>
          </w:tcPr>
          <w:p w14:paraId="508B1822">
            <w:pPr>
              <w:pStyle w:val="13"/>
            </w:pPr>
            <w:r>
              <w:t>574人</w:t>
            </w:r>
          </w:p>
        </w:tc>
        <w:tc>
          <w:tcPr>
            <w:tcW w:w="2141" w:type="dxa"/>
            <w:vAlign w:val="center"/>
          </w:tcPr>
          <w:p w14:paraId="4992DE34">
            <w:pPr>
              <w:pStyle w:val="13"/>
            </w:pPr>
            <w:r>
              <w:t>城乡义务教育公用经费管理办法</w:t>
            </w:r>
          </w:p>
        </w:tc>
      </w:tr>
      <w:tr w14:paraId="4B295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7303C"/>
        </w:tc>
        <w:tc>
          <w:tcPr>
            <w:tcW w:w="2268" w:type="dxa"/>
            <w:vAlign w:val="center"/>
          </w:tcPr>
          <w:p w14:paraId="55FDC403">
            <w:pPr>
              <w:pStyle w:val="13"/>
            </w:pPr>
            <w:r>
              <w:t>时效指标</w:t>
            </w:r>
          </w:p>
        </w:tc>
        <w:tc>
          <w:tcPr>
            <w:tcW w:w="2835" w:type="dxa"/>
            <w:vAlign w:val="center"/>
          </w:tcPr>
          <w:p w14:paraId="15E84883">
            <w:pPr>
              <w:pStyle w:val="13"/>
            </w:pPr>
            <w:r>
              <w:t>预算执行率</w:t>
            </w:r>
          </w:p>
        </w:tc>
        <w:tc>
          <w:tcPr>
            <w:tcW w:w="5386" w:type="dxa"/>
            <w:vAlign w:val="center"/>
          </w:tcPr>
          <w:p w14:paraId="45E98268">
            <w:pPr>
              <w:pStyle w:val="13"/>
            </w:pPr>
            <w:r>
              <w:t>预算执行率≥98%</w:t>
            </w:r>
          </w:p>
        </w:tc>
        <w:tc>
          <w:tcPr>
            <w:tcW w:w="1403" w:type="dxa"/>
            <w:vAlign w:val="center"/>
          </w:tcPr>
          <w:p w14:paraId="580A7E6C">
            <w:pPr>
              <w:pStyle w:val="13"/>
            </w:pPr>
            <w:r>
              <w:t>≥98%</w:t>
            </w:r>
          </w:p>
        </w:tc>
        <w:tc>
          <w:tcPr>
            <w:tcW w:w="2141" w:type="dxa"/>
            <w:vAlign w:val="center"/>
          </w:tcPr>
          <w:p w14:paraId="7EEA3A2F">
            <w:pPr>
              <w:pStyle w:val="13"/>
            </w:pPr>
            <w:r>
              <w:t>城乡义务教育公用经费管理办法</w:t>
            </w:r>
          </w:p>
        </w:tc>
      </w:tr>
      <w:tr w14:paraId="319AA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59F20"/>
        </w:tc>
        <w:tc>
          <w:tcPr>
            <w:tcW w:w="2268" w:type="dxa"/>
            <w:vAlign w:val="center"/>
          </w:tcPr>
          <w:p w14:paraId="5BDBC886">
            <w:pPr>
              <w:pStyle w:val="13"/>
            </w:pPr>
            <w:r>
              <w:t>成本指标</w:t>
            </w:r>
          </w:p>
        </w:tc>
        <w:tc>
          <w:tcPr>
            <w:tcW w:w="2835" w:type="dxa"/>
            <w:vAlign w:val="center"/>
          </w:tcPr>
          <w:p w14:paraId="73AC43DD">
            <w:pPr>
              <w:pStyle w:val="13"/>
            </w:pPr>
            <w:r>
              <w:t>义教经费支付完成率</w:t>
            </w:r>
          </w:p>
        </w:tc>
        <w:tc>
          <w:tcPr>
            <w:tcW w:w="5386" w:type="dxa"/>
            <w:vAlign w:val="center"/>
          </w:tcPr>
          <w:p w14:paraId="43CF2877">
            <w:pPr>
              <w:pStyle w:val="13"/>
            </w:pPr>
            <w:r>
              <w:t>按照序时进度完成资金支付</w:t>
            </w:r>
          </w:p>
        </w:tc>
        <w:tc>
          <w:tcPr>
            <w:tcW w:w="1403" w:type="dxa"/>
            <w:vAlign w:val="center"/>
          </w:tcPr>
          <w:p w14:paraId="6C754FFE">
            <w:pPr>
              <w:pStyle w:val="13"/>
            </w:pPr>
            <w:r>
              <w:t>100%</w:t>
            </w:r>
          </w:p>
        </w:tc>
        <w:tc>
          <w:tcPr>
            <w:tcW w:w="2141" w:type="dxa"/>
            <w:vAlign w:val="center"/>
          </w:tcPr>
          <w:p w14:paraId="4D3958E1">
            <w:pPr>
              <w:pStyle w:val="13"/>
            </w:pPr>
            <w:r>
              <w:t>城乡义务教育公用经费管理办法</w:t>
            </w:r>
          </w:p>
        </w:tc>
      </w:tr>
      <w:tr w14:paraId="6DA77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E2A9BF">
            <w:pPr>
              <w:pStyle w:val="12"/>
            </w:pPr>
            <w:r>
              <w:t>效益指标</w:t>
            </w:r>
          </w:p>
        </w:tc>
        <w:tc>
          <w:tcPr>
            <w:tcW w:w="2268" w:type="dxa"/>
            <w:vAlign w:val="center"/>
          </w:tcPr>
          <w:p w14:paraId="54F70DAF">
            <w:pPr>
              <w:pStyle w:val="13"/>
            </w:pPr>
            <w:r>
              <w:t>社会效益指标</w:t>
            </w:r>
          </w:p>
        </w:tc>
        <w:tc>
          <w:tcPr>
            <w:tcW w:w="2835" w:type="dxa"/>
            <w:vAlign w:val="center"/>
          </w:tcPr>
          <w:p w14:paraId="3E532006">
            <w:pPr>
              <w:pStyle w:val="13"/>
            </w:pPr>
            <w:r>
              <w:t>学校运转得到提高</w:t>
            </w:r>
          </w:p>
        </w:tc>
        <w:tc>
          <w:tcPr>
            <w:tcW w:w="5386" w:type="dxa"/>
            <w:vAlign w:val="center"/>
          </w:tcPr>
          <w:p w14:paraId="0925FED8">
            <w:pPr>
              <w:pStyle w:val="13"/>
            </w:pPr>
            <w:r>
              <w:t>学生受教育年限</w:t>
            </w:r>
          </w:p>
        </w:tc>
        <w:tc>
          <w:tcPr>
            <w:tcW w:w="1403" w:type="dxa"/>
            <w:vAlign w:val="center"/>
          </w:tcPr>
          <w:p w14:paraId="33B91C01">
            <w:pPr>
              <w:pStyle w:val="13"/>
            </w:pPr>
            <w:r>
              <w:t>6年</w:t>
            </w:r>
          </w:p>
        </w:tc>
        <w:tc>
          <w:tcPr>
            <w:tcW w:w="2141" w:type="dxa"/>
            <w:vAlign w:val="center"/>
          </w:tcPr>
          <w:p w14:paraId="6C5C8A3A">
            <w:pPr>
              <w:pStyle w:val="13"/>
            </w:pPr>
            <w:r>
              <w:t>城乡义务教育公用经费管理办法</w:t>
            </w:r>
          </w:p>
        </w:tc>
      </w:tr>
      <w:tr w14:paraId="553BF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4C8E9">
            <w:pPr>
              <w:pStyle w:val="12"/>
            </w:pPr>
            <w:r>
              <w:t>满意度指标</w:t>
            </w:r>
          </w:p>
        </w:tc>
        <w:tc>
          <w:tcPr>
            <w:tcW w:w="2268" w:type="dxa"/>
            <w:vAlign w:val="center"/>
          </w:tcPr>
          <w:p w14:paraId="42B58AAE">
            <w:pPr>
              <w:pStyle w:val="13"/>
            </w:pPr>
            <w:r>
              <w:t>服务对象满意度指标</w:t>
            </w:r>
          </w:p>
        </w:tc>
        <w:tc>
          <w:tcPr>
            <w:tcW w:w="2835" w:type="dxa"/>
            <w:vAlign w:val="center"/>
          </w:tcPr>
          <w:p w14:paraId="74A4754E">
            <w:pPr>
              <w:pStyle w:val="13"/>
            </w:pPr>
            <w:r>
              <w:t>服务对象满意度</w:t>
            </w:r>
          </w:p>
        </w:tc>
        <w:tc>
          <w:tcPr>
            <w:tcW w:w="5386" w:type="dxa"/>
            <w:vAlign w:val="center"/>
          </w:tcPr>
          <w:p w14:paraId="0795B615">
            <w:pPr>
              <w:pStyle w:val="13"/>
            </w:pPr>
            <w:r>
              <w:t>学校老师和学生满意度</w:t>
            </w:r>
          </w:p>
        </w:tc>
        <w:tc>
          <w:tcPr>
            <w:tcW w:w="1403" w:type="dxa"/>
            <w:vAlign w:val="center"/>
          </w:tcPr>
          <w:p w14:paraId="3619CDAD">
            <w:pPr>
              <w:pStyle w:val="13"/>
            </w:pPr>
            <w:r>
              <w:t>≥95%</w:t>
            </w:r>
          </w:p>
        </w:tc>
        <w:tc>
          <w:tcPr>
            <w:tcW w:w="2141" w:type="dxa"/>
            <w:vAlign w:val="center"/>
          </w:tcPr>
          <w:p w14:paraId="26D4B62A">
            <w:pPr>
              <w:pStyle w:val="13"/>
            </w:pPr>
            <w:r>
              <w:t>城乡义务教育公用经费管理办法</w:t>
            </w:r>
          </w:p>
        </w:tc>
      </w:tr>
    </w:tbl>
    <w:p w14:paraId="249C11EB">
      <w:pPr>
        <w:sectPr>
          <w:pgSz w:w="16840" w:h="11900" w:orient="landscape"/>
          <w:pgMar w:top="1361" w:right="1020" w:bottom="1134" w:left="1020" w:header="720" w:footer="720" w:gutter="0"/>
          <w:cols w:space="720" w:num="1"/>
        </w:sectPr>
      </w:pPr>
    </w:p>
    <w:p w14:paraId="19E0726A">
      <w:pPr>
        <w:spacing w:before="0" w:after="0"/>
        <w:ind w:firstLine="560"/>
        <w:jc w:val="left"/>
        <w:outlineLvl w:val="9"/>
      </w:pPr>
      <w:r>
        <w:rPr>
          <w:rFonts w:ascii="方正仿宋_GBK" w:hAnsi="方正仿宋_GBK" w:eastAsia="方正仿宋_GBK" w:cs="方正仿宋_GBK"/>
          <w:b/>
          <w:color w:val="000000"/>
          <w:sz w:val="28"/>
        </w:rPr>
        <w:t>8、冀财教[2024]123号/中央/2025年义教补助经费/校舍安全保障/南楼小学塑胶操场改造绩效目标表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1D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FCC60">
            <w:pPr>
              <w:pStyle w:val="14"/>
            </w:pPr>
            <w:r>
              <w:t>单位：万元</w:t>
            </w:r>
          </w:p>
        </w:tc>
      </w:tr>
      <w:tr w14:paraId="0B4C2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B2FDD">
            <w:pPr>
              <w:pStyle w:val="11"/>
            </w:pPr>
            <w:r>
              <w:t>项目编码</w:t>
            </w:r>
          </w:p>
        </w:tc>
        <w:tc>
          <w:tcPr>
            <w:tcW w:w="5103" w:type="dxa"/>
            <w:gridSpan w:val="2"/>
            <w:vAlign w:val="center"/>
          </w:tcPr>
          <w:p w14:paraId="246CF285">
            <w:pPr>
              <w:pStyle w:val="13"/>
            </w:pPr>
            <w:r>
              <w:t>13052525P00876210013H</w:t>
            </w:r>
          </w:p>
        </w:tc>
        <w:tc>
          <w:tcPr>
            <w:tcW w:w="2835" w:type="dxa"/>
            <w:vAlign w:val="center"/>
          </w:tcPr>
          <w:p w14:paraId="20A6ADAF">
            <w:pPr>
              <w:pStyle w:val="11"/>
            </w:pPr>
            <w:r>
              <w:t>项目名称</w:t>
            </w:r>
          </w:p>
        </w:tc>
        <w:tc>
          <w:tcPr>
            <w:tcW w:w="6095" w:type="dxa"/>
            <w:gridSpan w:val="3"/>
            <w:vAlign w:val="center"/>
          </w:tcPr>
          <w:p w14:paraId="79753C36">
            <w:pPr>
              <w:pStyle w:val="13"/>
            </w:pPr>
            <w:r>
              <w:t>冀财教[2024]123号/中央/2025年义教补助经费/校舍安全保障/南楼小学塑胶操场改造</w:t>
            </w:r>
          </w:p>
        </w:tc>
      </w:tr>
      <w:tr w14:paraId="1232D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CA742">
            <w:pPr>
              <w:pStyle w:val="11"/>
            </w:pPr>
            <w:r>
              <w:t>预算规模及资金用途</w:t>
            </w:r>
          </w:p>
        </w:tc>
        <w:tc>
          <w:tcPr>
            <w:tcW w:w="2268" w:type="dxa"/>
            <w:vAlign w:val="center"/>
          </w:tcPr>
          <w:p w14:paraId="6FC85DE6">
            <w:pPr>
              <w:pStyle w:val="11"/>
            </w:pPr>
            <w:r>
              <w:t>预算数</w:t>
            </w:r>
          </w:p>
        </w:tc>
        <w:tc>
          <w:tcPr>
            <w:tcW w:w="2835" w:type="dxa"/>
            <w:vAlign w:val="center"/>
          </w:tcPr>
          <w:p w14:paraId="2648EA45">
            <w:pPr>
              <w:pStyle w:val="13"/>
            </w:pPr>
            <w:r>
              <w:t>70.00</w:t>
            </w:r>
          </w:p>
        </w:tc>
        <w:tc>
          <w:tcPr>
            <w:tcW w:w="2835" w:type="dxa"/>
            <w:vAlign w:val="center"/>
          </w:tcPr>
          <w:p w14:paraId="1126C382">
            <w:pPr>
              <w:pStyle w:val="11"/>
            </w:pPr>
            <w:r>
              <w:t>其中：财政    资金</w:t>
            </w:r>
          </w:p>
        </w:tc>
        <w:tc>
          <w:tcPr>
            <w:tcW w:w="2551" w:type="dxa"/>
            <w:vAlign w:val="center"/>
          </w:tcPr>
          <w:p w14:paraId="550EB8EE">
            <w:pPr>
              <w:pStyle w:val="13"/>
            </w:pPr>
            <w:r>
              <w:t>70.00</w:t>
            </w:r>
          </w:p>
        </w:tc>
        <w:tc>
          <w:tcPr>
            <w:tcW w:w="2268" w:type="dxa"/>
            <w:vAlign w:val="center"/>
          </w:tcPr>
          <w:p w14:paraId="40278604">
            <w:pPr>
              <w:pStyle w:val="11"/>
            </w:pPr>
            <w:r>
              <w:t>其他资金</w:t>
            </w:r>
          </w:p>
        </w:tc>
        <w:tc>
          <w:tcPr>
            <w:tcW w:w="1276" w:type="dxa"/>
            <w:vAlign w:val="center"/>
          </w:tcPr>
          <w:p w14:paraId="7CC34B8E">
            <w:pPr>
              <w:pStyle w:val="13"/>
            </w:pPr>
            <w:r>
              <w:t xml:space="preserve"> </w:t>
            </w:r>
          </w:p>
        </w:tc>
      </w:tr>
      <w:tr w14:paraId="692F3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301F79"/>
        </w:tc>
        <w:tc>
          <w:tcPr>
            <w:tcW w:w="14033" w:type="dxa"/>
            <w:gridSpan w:val="6"/>
            <w:vAlign w:val="center"/>
          </w:tcPr>
          <w:p w14:paraId="2E83A6B1">
            <w:pPr>
              <w:pStyle w:val="13"/>
            </w:pPr>
            <w:r>
              <w:t>保证学校正常运转和改善办学条件</w:t>
            </w:r>
          </w:p>
        </w:tc>
      </w:tr>
      <w:tr w14:paraId="027C7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C4B7C">
            <w:pPr>
              <w:pStyle w:val="11"/>
            </w:pPr>
            <w:r>
              <w:t>资金支出计划（%）</w:t>
            </w:r>
          </w:p>
        </w:tc>
        <w:tc>
          <w:tcPr>
            <w:tcW w:w="5103" w:type="dxa"/>
            <w:gridSpan w:val="2"/>
            <w:vAlign w:val="center"/>
          </w:tcPr>
          <w:p w14:paraId="216CB1CF">
            <w:pPr>
              <w:pStyle w:val="11"/>
            </w:pPr>
            <w:r>
              <w:t>3月底</w:t>
            </w:r>
          </w:p>
        </w:tc>
        <w:tc>
          <w:tcPr>
            <w:tcW w:w="2835" w:type="dxa"/>
            <w:vAlign w:val="center"/>
          </w:tcPr>
          <w:p w14:paraId="60BFCDED">
            <w:pPr>
              <w:pStyle w:val="11"/>
            </w:pPr>
            <w:r>
              <w:t>6月底</w:t>
            </w:r>
          </w:p>
        </w:tc>
        <w:tc>
          <w:tcPr>
            <w:tcW w:w="2551" w:type="dxa"/>
            <w:vAlign w:val="center"/>
          </w:tcPr>
          <w:p w14:paraId="30CDCEDF">
            <w:pPr>
              <w:pStyle w:val="11"/>
            </w:pPr>
            <w:r>
              <w:t>10月底</w:t>
            </w:r>
          </w:p>
        </w:tc>
        <w:tc>
          <w:tcPr>
            <w:tcW w:w="3544" w:type="dxa"/>
            <w:gridSpan w:val="2"/>
            <w:vAlign w:val="center"/>
          </w:tcPr>
          <w:p w14:paraId="528043E9">
            <w:pPr>
              <w:pStyle w:val="11"/>
            </w:pPr>
            <w:r>
              <w:t>12月底</w:t>
            </w:r>
          </w:p>
        </w:tc>
      </w:tr>
      <w:tr w14:paraId="04822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51C32"/>
        </w:tc>
        <w:tc>
          <w:tcPr>
            <w:tcW w:w="5103" w:type="dxa"/>
            <w:gridSpan w:val="2"/>
            <w:vAlign w:val="center"/>
          </w:tcPr>
          <w:p w14:paraId="4500BA4C">
            <w:pPr>
              <w:pStyle w:val="12"/>
            </w:pPr>
            <w:r>
              <w:t>25%</w:t>
            </w:r>
          </w:p>
        </w:tc>
        <w:tc>
          <w:tcPr>
            <w:tcW w:w="2835" w:type="dxa"/>
            <w:vAlign w:val="center"/>
          </w:tcPr>
          <w:p w14:paraId="0793B546">
            <w:pPr>
              <w:pStyle w:val="12"/>
            </w:pPr>
            <w:r>
              <w:t>50%</w:t>
            </w:r>
          </w:p>
        </w:tc>
        <w:tc>
          <w:tcPr>
            <w:tcW w:w="2551" w:type="dxa"/>
            <w:vAlign w:val="center"/>
          </w:tcPr>
          <w:p w14:paraId="4A9D0416">
            <w:pPr>
              <w:pStyle w:val="12"/>
            </w:pPr>
            <w:r>
              <w:t>75%</w:t>
            </w:r>
          </w:p>
        </w:tc>
        <w:tc>
          <w:tcPr>
            <w:tcW w:w="3544" w:type="dxa"/>
            <w:gridSpan w:val="2"/>
            <w:vAlign w:val="center"/>
          </w:tcPr>
          <w:p w14:paraId="47A988E3">
            <w:pPr>
              <w:pStyle w:val="12"/>
            </w:pPr>
            <w:r>
              <w:t>100%</w:t>
            </w:r>
          </w:p>
        </w:tc>
      </w:tr>
      <w:tr w14:paraId="52D1A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FABCB7">
            <w:pPr>
              <w:pStyle w:val="11"/>
            </w:pPr>
            <w:r>
              <w:t>绩效目标</w:t>
            </w:r>
          </w:p>
        </w:tc>
        <w:tc>
          <w:tcPr>
            <w:tcW w:w="14033" w:type="dxa"/>
            <w:gridSpan w:val="6"/>
            <w:vAlign w:val="center"/>
          </w:tcPr>
          <w:p w14:paraId="745986C8">
            <w:pPr>
              <w:pStyle w:val="13"/>
            </w:pPr>
            <w:r>
              <w:t>1.按拨款时序进度完成经费拨付和支出</w:t>
            </w:r>
            <w:r>
              <w:tab/>
            </w:r>
            <w:r>
              <w:tab/>
            </w:r>
            <w:r>
              <w:tab/>
            </w:r>
            <w:r>
              <w:tab/>
            </w:r>
            <w:r>
              <w:tab/>
            </w:r>
          </w:p>
          <w:p w14:paraId="2D917662">
            <w:pPr>
              <w:pStyle w:val="13"/>
            </w:pPr>
          </w:p>
          <w:p w14:paraId="278EB5A3">
            <w:pPr>
              <w:pStyle w:val="13"/>
            </w:pPr>
            <w:r>
              <w:t>2.保证学校正常运转和改善办学条件</w:t>
            </w:r>
          </w:p>
        </w:tc>
      </w:tr>
    </w:tbl>
    <w:p w14:paraId="6BA5E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144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719D988">
            <w:pPr>
              <w:pStyle w:val="11"/>
            </w:pPr>
            <w:r>
              <w:t>一级指标</w:t>
            </w:r>
          </w:p>
        </w:tc>
        <w:tc>
          <w:tcPr>
            <w:tcW w:w="2268" w:type="dxa"/>
            <w:vAlign w:val="center"/>
          </w:tcPr>
          <w:p w14:paraId="1FF06F0A">
            <w:pPr>
              <w:pStyle w:val="11"/>
            </w:pPr>
            <w:r>
              <w:t>二级指标</w:t>
            </w:r>
          </w:p>
        </w:tc>
        <w:tc>
          <w:tcPr>
            <w:tcW w:w="2835" w:type="dxa"/>
            <w:vAlign w:val="center"/>
          </w:tcPr>
          <w:p w14:paraId="4BA74724">
            <w:pPr>
              <w:pStyle w:val="11"/>
            </w:pPr>
            <w:r>
              <w:t>三级指标</w:t>
            </w:r>
          </w:p>
        </w:tc>
        <w:tc>
          <w:tcPr>
            <w:tcW w:w="5386" w:type="dxa"/>
            <w:vAlign w:val="center"/>
          </w:tcPr>
          <w:p w14:paraId="796B027E">
            <w:pPr>
              <w:pStyle w:val="11"/>
            </w:pPr>
            <w:r>
              <w:t>绩效指标描述</w:t>
            </w:r>
          </w:p>
        </w:tc>
        <w:tc>
          <w:tcPr>
            <w:tcW w:w="2268" w:type="dxa"/>
            <w:vAlign w:val="center"/>
          </w:tcPr>
          <w:p w14:paraId="03FBE30D">
            <w:pPr>
              <w:pStyle w:val="11"/>
            </w:pPr>
            <w:r>
              <w:t>指标值</w:t>
            </w:r>
          </w:p>
        </w:tc>
        <w:tc>
          <w:tcPr>
            <w:tcW w:w="1276" w:type="dxa"/>
            <w:vAlign w:val="center"/>
          </w:tcPr>
          <w:p w14:paraId="22F94E15">
            <w:pPr>
              <w:pStyle w:val="11"/>
            </w:pPr>
            <w:r>
              <w:t>指标值确定依据</w:t>
            </w:r>
          </w:p>
        </w:tc>
      </w:tr>
      <w:tr w14:paraId="26835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608A5">
            <w:pPr>
              <w:pStyle w:val="12"/>
            </w:pPr>
            <w:r>
              <w:t>产出指标</w:t>
            </w:r>
          </w:p>
        </w:tc>
        <w:tc>
          <w:tcPr>
            <w:tcW w:w="2268" w:type="dxa"/>
            <w:vAlign w:val="center"/>
          </w:tcPr>
          <w:p w14:paraId="4F2CD4C2">
            <w:pPr>
              <w:pStyle w:val="13"/>
            </w:pPr>
            <w:r>
              <w:t>数量指标</w:t>
            </w:r>
          </w:p>
        </w:tc>
        <w:tc>
          <w:tcPr>
            <w:tcW w:w="2835" w:type="dxa"/>
            <w:vAlign w:val="center"/>
          </w:tcPr>
          <w:p w14:paraId="3D2E7A1B">
            <w:pPr>
              <w:pStyle w:val="13"/>
            </w:pPr>
            <w:r>
              <w:t>塑胶操场改造</w:t>
            </w:r>
          </w:p>
        </w:tc>
        <w:tc>
          <w:tcPr>
            <w:tcW w:w="5386" w:type="dxa"/>
            <w:vAlign w:val="center"/>
          </w:tcPr>
          <w:p w14:paraId="2C53B81E">
            <w:pPr>
              <w:pStyle w:val="13"/>
            </w:pPr>
            <w:r>
              <w:t>对学校操场进行铺设塑胶跑道面积</w:t>
            </w:r>
          </w:p>
        </w:tc>
        <w:tc>
          <w:tcPr>
            <w:tcW w:w="2268" w:type="dxa"/>
            <w:vAlign w:val="center"/>
          </w:tcPr>
          <w:p w14:paraId="21058236">
            <w:pPr>
              <w:pStyle w:val="13"/>
            </w:pPr>
            <w:r>
              <w:t>4383平方米</w:t>
            </w:r>
          </w:p>
        </w:tc>
        <w:tc>
          <w:tcPr>
            <w:tcW w:w="1276" w:type="dxa"/>
            <w:vAlign w:val="center"/>
          </w:tcPr>
          <w:p w14:paraId="2B453EC1">
            <w:pPr>
              <w:pStyle w:val="13"/>
            </w:pPr>
            <w:r>
              <w:t>项目规划</w:t>
            </w:r>
          </w:p>
        </w:tc>
      </w:tr>
      <w:tr w14:paraId="14ED5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AD44F"/>
        </w:tc>
        <w:tc>
          <w:tcPr>
            <w:tcW w:w="2268" w:type="dxa"/>
            <w:vAlign w:val="center"/>
          </w:tcPr>
          <w:p w14:paraId="27CA6E39">
            <w:pPr>
              <w:pStyle w:val="13"/>
            </w:pPr>
            <w:r>
              <w:t>质量指标</w:t>
            </w:r>
          </w:p>
        </w:tc>
        <w:tc>
          <w:tcPr>
            <w:tcW w:w="2835" w:type="dxa"/>
            <w:vAlign w:val="center"/>
          </w:tcPr>
          <w:p w14:paraId="5F81B0B8">
            <w:pPr>
              <w:pStyle w:val="13"/>
            </w:pPr>
            <w:r>
              <w:t>工程实施验收合格率</w:t>
            </w:r>
          </w:p>
        </w:tc>
        <w:tc>
          <w:tcPr>
            <w:tcW w:w="5386" w:type="dxa"/>
            <w:vAlign w:val="center"/>
          </w:tcPr>
          <w:p w14:paraId="3084C4E3">
            <w:pPr>
              <w:pStyle w:val="13"/>
            </w:pPr>
            <w:r>
              <w:t>申报程序的合规，项目实施及资金使用符合项目规划</w:t>
            </w:r>
          </w:p>
        </w:tc>
        <w:tc>
          <w:tcPr>
            <w:tcW w:w="2268" w:type="dxa"/>
            <w:vAlign w:val="center"/>
          </w:tcPr>
          <w:p w14:paraId="6ABF02CA">
            <w:pPr>
              <w:pStyle w:val="13"/>
            </w:pPr>
            <w:r>
              <w:t>≥100%</w:t>
            </w:r>
          </w:p>
        </w:tc>
        <w:tc>
          <w:tcPr>
            <w:tcW w:w="1276" w:type="dxa"/>
            <w:vAlign w:val="center"/>
          </w:tcPr>
          <w:p w14:paraId="17597297">
            <w:pPr>
              <w:pStyle w:val="13"/>
            </w:pPr>
            <w:r>
              <w:t>项目规划</w:t>
            </w:r>
          </w:p>
        </w:tc>
      </w:tr>
      <w:tr w14:paraId="4B8EB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E52D6"/>
        </w:tc>
        <w:tc>
          <w:tcPr>
            <w:tcW w:w="2268" w:type="dxa"/>
            <w:vAlign w:val="center"/>
          </w:tcPr>
          <w:p w14:paraId="4966C085">
            <w:pPr>
              <w:pStyle w:val="13"/>
            </w:pPr>
            <w:r>
              <w:t>时效指标</w:t>
            </w:r>
          </w:p>
        </w:tc>
        <w:tc>
          <w:tcPr>
            <w:tcW w:w="2835" w:type="dxa"/>
            <w:vAlign w:val="center"/>
          </w:tcPr>
          <w:p w14:paraId="6619D81E">
            <w:pPr>
              <w:pStyle w:val="13"/>
            </w:pPr>
            <w:r>
              <w:t>资金支付率</w:t>
            </w:r>
          </w:p>
        </w:tc>
        <w:tc>
          <w:tcPr>
            <w:tcW w:w="5386" w:type="dxa"/>
            <w:vAlign w:val="center"/>
          </w:tcPr>
          <w:p w14:paraId="5832C219">
            <w:pPr>
              <w:pStyle w:val="13"/>
            </w:pPr>
            <w:r>
              <w:t>按照序时进度完成资金支付</w:t>
            </w:r>
          </w:p>
        </w:tc>
        <w:tc>
          <w:tcPr>
            <w:tcW w:w="2268" w:type="dxa"/>
            <w:vAlign w:val="center"/>
          </w:tcPr>
          <w:p w14:paraId="4A2324EB">
            <w:pPr>
              <w:pStyle w:val="13"/>
            </w:pPr>
            <w:r>
              <w:t>≥100%</w:t>
            </w:r>
          </w:p>
        </w:tc>
        <w:tc>
          <w:tcPr>
            <w:tcW w:w="1276" w:type="dxa"/>
            <w:vAlign w:val="center"/>
          </w:tcPr>
          <w:p w14:paraId="6E9F75C6">
            <w:pPr>
              <w:pStyle w:val="13"/>
            </w:pPr>
            <w:r>
              <w:t>项目规划</w:t>
            </w:r>
          </w:p>
        </w:tc>
      </w:tr>
      <w:tr w14:paraId="4A8B0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9587B"/>
        </w:tc>
        <w:tc>
          <w:tcPr>
            <w:tcW w:w="2268" w:type="dxa"/>
            <w:vAlign w:val="center"/>
          </w:tcPr>
          <w:p w14:paraId="27AE15F4">
            <w:pPr>
              <w:pStyle w:val="13"/>
            </w:pPr>
            <w:r>
              <w:t>成本指标</w:t>
            </w:r>
          </w:p>
        </w:tc>
        <w:tc>
          <w:tcPr>
            <w:tcW w:w="2835" w:type="dxa"/>
            <w:vAlign w:val="center"/>
          </w:tcPr>
          <w:p w14:paraId="0CB3AAFD">
            <w:pPr>
              <w:pStyle w:val="13"/>
            </w:pPr>
            <w:r>
              <w:t>项目成本控制情况</w:t>
            </w:r>
          </w:p>
        </w:tc>
        <w:tc>
          <w:tcPr>
            <w:tcW w:w="5386" w:type="dxa"/>
            <w:vAlign w:val="center"/>
          </w:tcPr>
          <w:p w14:paraId="167F8FAE">
            <w:pPr>
              <w:pStyle w:val="13"/>
            </w:pPr>
            <w:r>
              <w:t>严格按照招标价格及审计额进行</w:t>
            </w:r>
          </w:p>
        </w:tc>
        <w:tc>
          <w:tcPr>
            <w:tcW w:w="2268" w:type="dxa"/>
            <w:vAlign w:val="center"/>
          </w:tcPr>
          <w:p w14:paraId="3FBAA187">
            <w:pPr>
              <w:pStyle w:val="13"/>
            </w:pPr>
            <w:r>
              <w:t>70万元</w:t>
            </w:r>
          </w:p>
        </w:tc>
        <w:tc>
          <w:tcPr>
            <w:tcW w:w="1276" w:type="dxa"/>
            <w:vAlign w:val="center"/>
          </w:tcPr>
          <w:p w14:paraId="66C51416">
            <w:pPr>
              <w:pStyle w:val="13"/>
            </w:pPr>
            <w:r>
              <w:t>项目规划</w:t>
            </w:r>
          </w:p>
        </w:tc>
      </w:tr>
      <w:tr w14:paraId="68D76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118DCA">
            <w:pPr>
              <w:pStyle w:val="12"/>
            </w:pPr>
            <w:r>
              <w:t>效益指标</w:t>
            </w:r>
          </w:p>
        </w:tc>
        <w:tc>
          <w:tcPr>
            <w:tcW w:w="2268" w:type="dxa"/>
            <w:vAlign w:val="center"/>
          </w:tcPr>
          <w:p w14:paraId="4A9780D6">
            <w:pPr>
              <w:pStyle w:val="13"/>
            </w:pPr>
            <w:r>
              <w:t>可持续影响指标</w:t>
            </w:r>
          </w:p>
        </w:tc>
        <w:tc>
          <w:tcPr>
            <w:tcW w:w="2835" w:type="dxa"/>
            <w:vAlign w:val="center"/>
          </w:tcPr>
          <w:p w14:paraId="0C9B9B86">
            <w:pPr>
              <w:pStyle w:val="13"/>
            </w:pPr>
            <w:r>
              <w:t>教育发展水平</w:t>
            </w:r>
          </w:p>
        </w:tc>
        <w:tc>
          <w:tcPr>
            <w:tcW w:w="5386" w:type="dxa"/>
            <w:vAlign w:val="center"/>
          </w:tcPr>
          <w:p w14:paraId="2E536E90">
            <w:pPr>
              <w:pStyle w:val="13"/>
            </w:pPr>
            <w:r>
              <w:t>受益人数</w:t>
            </w:r>
          </w:p>
        </w:tc>
        <w:tc>
          <w:tcPr>
            <w:tcW w:w="2268" w:type="dxa"/>
            <w:vAlign w:val="center"/>
          </w:tcPr>
          <w:p w14:paraId="734DFD2B">
            <w:pPr>
              <w:pStyle w:val="13"/>
            </w:pPr>
            <w:r>
              <w:t>485人</w:t>
            </w:r>
          </w:p>
        </w:tc>
        <w:tc>
          <w:tcPr>
            <w:tcW w:w="1276" w:type="dxa"/>
            <w:vAlign w:val="center"/>
          </w:tcPr>
          <w:p w14:paraId="182F6A05">
            <w:pPr>
              <w:pStyle w:val="13"/>
            </w:pPr>
            <w:r>
              <w:t>项目规划</w:t>
            </w:r>
          </w:p>
        </w:tc>
      </w:tr>
      <w:tr w14:paraId="241DB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233051">
            <w:pPr>
              <w:pStyle w:val="12"/>
            </w:pPr>
            <w:r>
              <w:t>满意度指标</w:t>
            </w:r>
          </w:p>
        </w:tc>
        <w:tc>
          <w:tcPr>
            <w:tcW w:w="2268" w:type="dxa"/>
            <w:vAlign w:val="center"/>
          </w:tcPr>
          <w:p w14:paraId="6305DC91">
            <w:pPr>
              <w:pStyle w:val="13"/>
            </w:pPr>
            <w:r>
              <w:t>服务对象满意度指标</w:t>
            </w:r>
          </w:p>
        </w:tc>
        <w:tc>
          <w:tcPr>
            <w:tcW w:w="2835" w:type="dxa"/>
            <w:vAlign w:val="center"/>
          </w:tcPr>
          <w:p w14:paraId="7F350EC6">
            <w:pPr>
              <w:pStyle w:val="13"/>
            </w:pPr>
            <w:r>
              <w:t>学生、教师及家长对学校教学环境满意度情况</w:t>
            </w:r>
          </w:p>
        </w:tc>
        <w:tc>
          <w:tcPr>
            <w:tcW w:w="5386" w:type="dxa"/>
            <w:vAlign w:val="center"/>
          </w:tcPr>
          <w:p w14:paraId="2F171C9B">
            <w:pPr>
              <w:pStyle w:val="13"/>
            </w:pPr>
            <w:r>
              <w:t>学生、教师及家长对学校教学环境满意度情况</w:t>
            </w:r>
          </w:p>
        </w:tc>
        <w:tc>
          <w:tcPr>
            <w:tcW w:w="2268" w:type="dxa"/>
            <w:vAlign w:val="center"/>
          </w:tcPr>
          <w:p w14:paraId="107F9064">
            <w:pPr>
              <w:pStyle w:val="13"/>
            </w:pPr>
            <w:r>
              <w:t>≥95%</w:t>
            </w:r>
          </w:p>
        </w:tc>
        <w:tc>
          <w:tcPr>
            <w:tcW w:w="1276" w:type="dxa"/>
            <w:vAlign w:val="center"/>
          </w:tcPr>
          <w:p w14:paraId="538D1A12">
            <w:pPr>
              <w:pStyle w:val="13"/>
            </w:pPr>
            <w:r>
              <w:t>调查问卷</w:t>
            </w:r>
          </w:p>
        </w:tc>
      </w:tr>
    </w:tbl>
    <w:p w14:paraId="28C13602">
      <w:pPr>
        <w:sectPr>
          <w:pgSz w:w="16840" w:h="11900" w:orient="landscape"/>
          <w:pgMar w:top="1361" w:right="1020" w:bottom="1134" w:left="1020" w:header="720" w:footer="720" w:gutter="0"/>
          <w:cols w:space="720" w:num="1"/>
        </w:sectPr>
      </w:pPr>
    </w:p>
    <w:p w14:paraId="765CD29D">
      <w:pPr>
        <w:spacing w:before="0" w:after="0"/>
        <w:ind w:firstLine="560"/>
        <w:jc w:val="left"/>
        <w:outlineLvl w:val="9"/>
      </w:pPr>
      <w:r>
        <w:rPr>
          <w:rFonts w:ascii="方正仿宋_GBK" w:hAnsi="方正仿宋_GBK" w:eastAsia="方正仿宋_GBK" w:cs="方正仿宋_GBK"/>
          <w:b/>
          <w:color w:val="000000"/>
          <w:sz w:val="28"/>
        </w:rPr>
        <w:t>9、冀财教[2024]123号/中央/2025年义教补助经费/尧张小学公用经费绩效目标表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F7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67B59">
            <w:pPr>
              <w:pStyle w:val="14"/>
            </w:pPr>
            <w:r>
              <w:t>单位：万元</w:t>
            </w:r>
          </w:p>
        </w:tc>
      </w:tr>
      <w:tr w14:paraId="25AC6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70DF35">
            <w:pPr>
              <w:pStyle w:val="11"/>
            </w:pPr>
            <w:r>
              <w:t>项目编码</w:t>
            </w:r>
          </w:p>
        </w:tc>
        <w:tc>
          <w:tcPr>
            <w:tcW w:w="5103" w:type="dxa"/>
            <w:gridSpan w:val="2"/>
            <w:vAlign w:val="center"/>
          </w:tcPr>
          <w:p w14:paraId="12DF794B">
            <w:pPr>
              <w:pStyle w:val="13"/>
            </w:pPr>
            <w:r>
              <w:t>13052525P00000410069P</w:t>
            </w:r>
          </w:p>
        </w:tc>
        <w:tc>
          <w:tcPr>
            <w:tcW w:w="2835" w:type="dxa"/>
            <w:vAlign w:val="center"/>
          </w:tcPr>
          <w:p w14:paraId="5A926F0A">
            <w:pPr>
              <w:pStyle w:val="11"/>
            </w:pPr>
            <w:r>
              <w:t>项目名称</w:t>
            </w:r>
          </w:p>
        </w:tc>
        <w:tc>
          <w:tcPr>
            <w:tcW w:w="6095" w:type="dxa"/>
            <w:gridSpan w:val="3"/>
            <w:vAlign w:val="center"/>
          </w:tcPr>
          <w:p w14:paraId="1B16ACC6">
            <w:pPr>
              <w:pStyle w:val="13"/>
            </w:pPr>
            <w:r>
              <w:t>冀财教[2024]123号/中央/2025年义教补助经费/尧张小学公用经费</w:t>
            </w:r>
          </w:p>
        </w:tc>
      </w:tr>
      <w:tr w14:paraId="08DA6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19384">
            <w:pPr>
              <w:pStyle w:val="11"/>
            </w:pPr>
            <w:r>
              <w:t>预算规模及资金用途</w:t>
            </w:r>
          </w:p>
        </w:tc>
        <w:tc>
          <w:tcPr>
            <w:tcW w:w="2268" w:type="dxa"/>
            <w:vAlign w:val="center"/>
          </w:tcPr>
          <w:p w14:paraId="2344B45E">
            <w:pPr>
              <w:pStyle w:val="11"/>
            </w:pPr>
            <w:r>
              <w:t>预算数</w:t>
            </w:r>
          </w:p>
        </w:tc>
        <w:tc>
          <w:tcPr>
            <w:tcW w:w="2835" w:type="dxa"/>
            <w:vAlign w:val="center"/>
          </w:tcPr>
          <w:p w14:paraId="1FF433F4">
            <w:pPr>
              <w:pStyle w:val="13"/>
            </w:pPr>
            <w:r>
              <w:t>17.20</w:t>
            </w:r>
          </w:p>
        </w:tc>
        <w:tc>
          <w:tcPr>
            <w:tcW w:w="2835" w:type="dxa"/>
            <w:vAlign w:val="center"/>
          </w:tcPr>
          <w:p w14:paraId="4B805388">
            <w:pPr>
              <w:pStyle w:val="11"/>
            </w:pPr>
            <w:r>
              <w:t>其中：财政    资金</w:t>
            </w:r>
          </w:p>
        </w:tc>
        <w:tc>
          <w:tcPr>
            <w:tcW w:w="2551" w:type="dxa"/>
            <w:vAlign w:val="center"/>
          </w:tcPr>
          <w:p w14:paraId="0562FC02">
            <w:pPr>
              <w:pStyle w:val="13"/>
            </w:pPr>
            <w:r>
              <w:t>17.20</w:t>
            </w:r>
          </w:p>
        </w:tc>
        <w:tc>
          <w:tcPr>
            <w:tcW w:w="2268" w:type="dxa"/>
            <w:vAlign w:val="center"/>
          </w:tcPr>
          <w:p w14:paraId="36463D4A">
            <w:pPr>
              <w:pStyle w:val="11"/>
            </w:pPr>
            <w:r>
              <w:t>其他资金</w:t>
            </w:r>
          </w:p>
        </w:tc>
        <w:tc>
          <w:tcPr>
            <w:tcW w:w="1276" w:type="dxa"/>
            <w:vAlign w:val="center"/>
          </w:tcPr>
          <w:p w14:paraId="20585AF3">
            <w:pPr>
              <w:pStyle w:val="13"/>
            </w:pPr>
            <w:r>
              <w:t xml:space="preserve"> </w:t>
            </w:r>
          </w:p>
        </w:tc>
      </w:tr>
      <w:tr w14:paraId="0A6BC2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3444B"/>
        </w:tc>
        <w:tc>
          <w:tcPr>
            <w:tcW w:w="14033" w:type="dxa"/>
            <w:gridSpan w:val="6"/>
            <w:vAlign w:val="center"/>
          </w:tcPr>
          <w:p w14:paraId="6040E2A2">
            <w:pPr>
              <w:pStyle w:val="13"/>
            </w:pPr>
            <w:r>
              <w:t>有效完成学校教学安全秩序，保障学校教学任务有效开展，满足学校正常教学需要。</w:t>
            </w:r>
          </w:p>
        </w:tc>
      </w:tr>
      <w:tr w14:paraId="70C65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AC49E">
            <w:pPr>
              <w:pStyle w:val="11"/>
            </w:pPr>
            <w:r>
              <w:t>资金支出计划（%）</w:t>
            </w:r>
          </w:p>
        </w:tc>
        <w:tc>
          <w:tcPr>
            <w:tcW w:w="5103" w:type="dxa"/>
            <w:gridSpan w:val="2"/>
            <w:vAlign w:val="center"/>
          </w:tcPr>
          <w:p w14:paraId="2DB8A8DD">
            <w:pPr>
              <w:pStyle w:val="11"/>
            </w:pPr>
            <w:r>
              <w:t>3月底</w:t>
            </w:r>
          </w:p>
        </w:tc>
        <w:tc>
          <w:tcPr>
            <w:tcW w:w="2835" w:type="dxa"/>
            <w:vAlign w:val="center"/>
          </w:tcPr>
          <w:p w14:paraId="535D39BC">
            <w:pPr>
              <w:pStyle w:val="11"/>
            </w:pPr>
            <w:r>
              <w:t>6月底</w:t>
            </w:r>
          </w:p>
        </w:tc>
        <w:tc>
          <w:tcPr>
            <w:tcW w:w="2551" w:type="dxa"/>
            <w:vAlign w:val="center"/>
          </w:tcPr>
          <w:p w14:paraId="1515F675">
            <w:pPr>
              <w:pStyle w:val="11"/>
            </w:pPr>
            <w:r>
              <w:t>10月底</w:t>
            </w:r>
          </w:p>
        </w:tc>
        <w:tc>
          <w:tcPr>
            <w:tcW w:w="3544" w:type="dxa"/>
            <w:gridSpan w:val="2"/>
            <w:vAlign w:val="center"/>
          </w:tcPr>
          <w:p w14:paraId="5FF34322">
            <w:pPr>
              <w:pStyle w:val="11"/>
            </w:pPr>
            <w:r>
              <w:t>12月底</w:t>
            </w:r>
          </w:p>
        </w:tc>
      </w:tr>
      <w:tr w14:paraId="7DFA2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0DBDA5"/>
        </w:tc>
        <w:tc>
          <w:tcPr>
            <w:tcW w:w="5103" w:type="dxa"/>
            <w:gridSpan w:val="2"/>
            <w:vAlign w:val="center"/>
          </w:tcPr>
          <w:p w14:paraId="721659CB">
            <w:pPr>
              <w:pStyle w:val="12"/>
            </w:pPr>
            <w:r>
              <w:t>25%</w:t>
            </w:r>
          </w:p>
        </w:tc>
        <w:tc>
          <w:tcPr>
            <w:tcW w:w="2835" w:type="dxa"/>
            <w:vAlign w:val="center"/>
          </w:tcPr>
          <w:p w14:paraId="5FFDEEC9">
            <w:pPr>
              <w:pStyle w:val="12"/>
            </w:pPr>
            <w:r>
              <w:t>50%</w:t>
            </w:r>
          </w:p>
        </w:tc>
        <w:tc>
          <w:tcPr>
            <w:tcW w:w="2551" w:type="dxa"/>
            <w:vAlign w:val="center"/>
          </w:tcPr>
          <w:p w14:paraId="16272CFD">
            <w:pPr>
              <w:pStyle w:val="12"/>
            </w:pPr>
            <w:r>
              <w:t>75%</w:t>
            </w:r>
          </w:p>
        </w:tc>
        <w:tc>
          <w:tcPr>
            <w:tcW w:w="3544" w:type="dxa"/>
            <w:gridSpan w:val="2"/>
            <w:vAlign w:val="center"/>
          </w:tcPr>
          <w:p w14:paraId="6E5CE60B">
            <w:pPr>
              <w:pStyle w:val="12"/>
            </w:pPr>
            <w:r>
              <w:t>100%</w:t>
            </w:r>
          </w:p>
        </w:tc>
      </w:tr>
      <w:tr w14:paraId="16DE0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5ED04">
            <w:pPr>
              <w:pStyle w:val="11"/>
            </w:pPr>
            <w:r>
              <w:t>绩效目标</w:t>
            </w:r>
          </w:p>
        </w:tc>
        <w:tc>
          <w:tcPr>
            <w:tcW w:w="14033" w:type="dxa"/>
            <w:gridSpan w:val="6"/>
            <w:vAlign w:val="center"/>
          </w:tcPr>
          <w:p w14:paraId="23410EC9">
            <w:pPr>
              <w:pStyle w:val="13"/>
            </w:pPr>
            <w:r>
              <w:t>1.有效完成学校教学安全秩序，保障学校教学任务有效开展，满足学校正常教学需要。</w:t>
            </w:r>
            <w:r>
              <w:tab/>
            </w:r>
            <w:r>
              <w:tab/>
            </w:r>
            <w:r>
              <w:tab/>
            </w:r>
            <w:r>
              <w:tab/>
            </w:r>
            <w:r>
              <w:tab/>
            </w:r>
          </w:p>
          <w:p w14:paraId="0B35675C">
            <w:pPr>
              <w:pStyle w:val="13"/>
            </w:pPr>
          </w:p>
          <w:p w14:paraId="324C949B">
            <w:pPr>
              <w:pStyle w:val="13"/>
            </w:pPr>
            <w:r>
              <w:t>2.按规定拨付公用经费资金，预算执行率≥98%。</w:t>
            </w:r>
          </w:p>
        </w:tc>
      </w:tr>
    </w:tbl>
    <w:p w14:paraId="097391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14:paraId="7A6A0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4C5BC">
            <w:pPr>
              <w:pStyle w:val="11"/>
            </w:pPr>
            <w:r>
              <w:t>一级指标</w:t>
            </w:r>
          </w:p>
        </w:tc>
        <w:tc>
          <w:tcPr>
            <w:tcW w:w="2268" w:type="dxa"/>
            <w:vAlign w:val="center"/>
          </w:tcPr>
          <w:p w14:paraId="6A6A6108">
            <w:pPr>
              <w:pStyle w:val="11"/>
            </w:pPr>
            <w:r>
              <w:t>二级指标</w:t>
            </w:r>
          </w:p>
        </w:tc>
        <w:tc>
          <w:tcPr>
            <w:tcW w:w="2835" w:type="dxa"/>
            <w:vAlign w:val="center"/>
          </w:tcPr>
          <w:p w14:paraId="53A6FC71">
            <w:pPr>
              <w:pStyle w:val="11"/>
            </w:pPr>
            <w:r>
              <w:t>三级指标</w:t>
            </w:r>
          </w:p>
        </w:tc>
        <w:tc>
          <w:tcPr>
            <w:tcW w:w="5386" w:type="dxa"/>
            <w:vAlign w:val="center"/>
          </w:tcPr>
          <w:p w14:paraId="6CD3CF52">
            <w:pPr>
              <w:pStyle w:val="11"/>
            </w:pPr>
            <w:r>
              <w:t>绩效指标描述</w:t>
            </w:r>
          </w:p>
        </w:tc>
        <w:tc>
          <w:tcPr>
            <w:tcW w:w="1808" w:type="dxa"/>
            <w:vAlign w:val="center"/>
          </w:tcPr>
          <w:p w14:paraId="662E4B1E">
            <w:pPr>
              <w:pStyle w:val="11"/>
            </w:pPr>
            <w:r>
              <w:t>指标值</w:t>
            </w:r>
          </w:p>
        </w:tc>
        <w:tc>
          <w:tcPr>
            <w:tcW w:w="1736" w:type="dxa"/>
            <w:vAlign w:val="center"/>
          </w:tcPr>
          <w:p w14:paraId="124F16D8">
            <w:pPr>
              <w:pStyle w:val="11"/>
            </w:pPr>
            <w:r>
              <w:t>指标值确定依据</w:t>
            </w:r>
          </w:p>
        </w:tc>
      </w:tr>
      <w:tr w14:paraId="553AB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848A5">
            <w:pPr>
              <w:pStyle w:val="12"/>
            </w:pPr>
            <w:r>
              <w:t>产出指标</w:t>
            </w:r>
          </w:p>
        </w:tc>
        <w:tc>
          <w:tcPr>
            <w:tcW w:w="2268" w:type="dxa"/>
            <w:vAlign w:val="center"/>
          </w:tcPr>
          <w:p w14:paraId="07DC6C5F">
            <w:pPr>
              <w:pStyle w:val="13"/>
            </w:pPr>
            <w:r>
              <w:t>数量指标</w:t>
            </w:r>
          </w:p>
        </w:tc>
        <w:tc>
          <w:tcPr>
            <w:tcW w:w="2835" w:type="dxa"/>
            <w:vAlign w:val="center"/>
          </w:tcPr>
          <w:p w14:paraId="26065C27">
            <w:pPr>
              <w:pStyle w:val="13"/>
            </w:pPr>
            <w:r>
              <w:t>生均拨款标准</w:t>
            </w:r>
          </w:p>
        </w:tc>
        <w:tc>
          <w:tcPr>
            <w:tcW w:w="5386" w:type="dxa"/>
            <w:vAlign w:val="center"/>
          </w:tcPr>
          <w:p w14:paraId="6417C161">
            <w:pPr>
              <w:pStyle w:val="13"/>
            </w:pPr>
            <w:r>
              <w:t>小学：（基本标准720元、寄宿生300元、生活补助120元）/生/学年；特教、随班就读学生：标准7000元/生/学年</w:t>
            </w:r>
          </w:p>
        </w:tc>
        <w:tc>
          <w:tcPr>
            <w:tcW w:w="1808" w:type="dxa"/>
            <w:vAlign w:val="center"/>
          </w:tcPr>
          <w:p w14:paraId="40818006">
            <w:pPr>
              <w:pStyle w:val="13"/>
            </w:pPr>
            <w:r>
              <w:t>840元</w:t>
            </w:r>
          </w:p>
        </w:tc>
        <w:tc>
          <w:tcPr>
            <w:tcW w:w="1736" w:type="dxa"/>
            <w:vAlign w:val="center"/>
          </w:tcPr>
          <w:p w14:paraId="53F2BC85">
            <w:pPr>
              <w:pStyle w:val="13"/>
            </w:pPr>
            <w:r>
              <w:t>城乡义务教育公用经费管理办法</w:t>
            </w:r>
          </w:p>
        </w:tc>
      </w:tr>
      <w:tr w14:paraId="5FFF9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9C147"/>
        </w:tc>
        <w:tc>
          <w:tcPr>
            <w:tcW w:w="2268" w:type="dxa"/>
            <w:vAlign w:val="center"/>
          </w:tcPr>
          <w:p w14:paraId="2569F32B">
            <w:pPr>
              <w:pStyle w:val="13"/>
            </w:pPr>
            <w:r>
              <w:t>质量指标</w:t>
            </w:r>
          </w:p>
        </w:tc>
        <w:tc>
          <w:tcPr>
            <w:tcW w:w="2835" w:type="dxa"/>
            <w:vAlign w:val="center"/>
          </w:tcPr>
          <w:p w14:paraId="7317A285">
            <w:pPr>
              <w:pStyle w:val="13"/>
            </w:pPr>
            <w:r>
              <w:t>就读学生数</w:t>
            </w:r>
          </w:p>
        </w:tc>
        <w:tc>
          <w:tcPr>
            <w:tcW w:w="5386" w:type="dxa"/>
            <w:vAlign w:val="center"/>
          </w:tcPr>
          <w:p w14:paraId="536968E6">
            <w:pPr>
              <w:pStyle w:val="13"/>
            </w:pPr>
            <w:r>
              <w:t>辐射区域内适龄学生人数</w:t>
            </w:r>
          </w:p>
        </w:tc>
        <w:tc>
          <w:tcPr>
            <w:tcW w:w="1808" w:type="dxa"/>
            <w:vAlign w:val="center"/>
          </w:tcPr>
          <w:p w14:paraId="59B78555">
            <w:pPr>
              <w:pStyle w:val="13"/>
            </w:pPr>
            <w:r>
              <w:t>294人</w:t>
            </w:r>
          </w:p>
        </w:tc>
        <w:tc>
          <w:tcPr>
            <w:tcW w:w="1736" w:type="dxa"/>
            <w:vAlign w:val="center"/>
          </w:tcPr>
          <w:p w14:paraId="7B59F081">
            <w:pPr>
              <w:pStyle w:val="13"/>
            </w:pPr>
            <w:r>
              <w:t>城乡义务教育公用经费管理办法</w:t>
            </w:r>
          </w:p>
        </w:tc>
      </w:tr>
      <w:tr w14:paraId="268E6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62851"/>
        </w:tc>
        <w:tc>
          <w:tcPr>
            <w:tcW w:w="2268" w:type="dxa"/>
            <w:vAlign w:val="center"/>
          </w:tcPr>
          <w:p w14:paraId="1A74295D">
            <w:pPr>
              <w:pStyle w:val="13"/>
            </w:pPr>
            <w:r>
              <w:t>时效指标</w:t>
            </w:r>
          </w:p>
        </w:tc>
        <w:tc>
          <w:tcPr>
            <w:tcW w:w="2835" w:type="dxa"/>
            <w:vAlign w:val="center"/>
          </w:tcPr>
          <w:p w14:paraId="6093527E">
            <w:pPr>
              <w:pStyle w:val="13"/>
            </w:pPr>
            <w:r>
              <w:t>预算执行率</w:t>
            </w:r>
          </w:p>
        </w:tc>
        <w:tc>
          <w:tcPr>
            <w:tcW w:w="5386" w:type="dxa"/>
            <w:vAlign w:val="center"/>
          </w:tcPr>
          <w:p w14:paraId="573E7B8B">
            <w:pPr>
              <w:pStyle w:val="13"/>
            </w:pPr>
            <w:r>
              <w:t>预算执行率≥98%</w:t>
            </w:r>
          </w:p>
        </w:tc>
        <w:tc>
          <w:tcPr>
            <w:tcW w:w="1808" w:type="dxa"/>
            <w:vAlign w:val="center"/>
          </w:tcPr>
          <w:p w14:paraId="405CACC4">
            <w:pPr>
              <w:pStyle w:val="13"/>
            </w:pPr>
            <w:r>
              <w:t>≥98%</w:t>
            </w:r>
          </w:p>
        </w:tc>
        <w:tc>
          <w:tcPr>
            <w:tcW w:w="1736" w:type="dxa"/>
            <w:vAlign w:val="center"/>
          </w:tcPr>
          <w:p w14:paraId="12ADD68C">
            <w:pPr>
              <w:pStyle w:val="13"/>
            </w:pPr>
            <w:r>
              <w:t>城乡义务教育公用经费管理办法</w:t>
            </w:r>
          </w:p>
        </w:tc>
      </w:tr>
      <w:tr w14:paraId="34B5B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434D5"/>
        </w:tc>
        <w:tc>
          <w:tcPr>
            <w:tcW w:w="2268" w:type="dxa"/>
            <w:vAlign w:val="center"/>
          </w:tcPr>
          <w:p w14:paraId="51B6ABC4">
            <w:pPr>
              <w:pStyle w:val="13"/>
            </w:pPr>
            <w:r>
              <w:t>成本指标</w:t>
            </w:r>
          </w:p>
        </w:tc>
        <w:tc>
          <w:tcPr>
            <w:tcW w:w="2835" w:type="dxa"/>
            <w:vAlign w:val="center"/>
          </w:tcPr>
          <w:p w14:paraId="39285D16">
            <w:pPr>
              <w:pStyle w:val="13"/>
            </w:pPr>
            <w:r>
              <w:t>义教经费支付完成率</w:t>
            </w:r>
          </w:p>
        </w:tc>
        <w:tc>
          <w:tcPr>
            <w:tcW w:w="5386" w:type="dxa"/>
            <w:vAlign w:val="center"/>
          </w:tcPr>
          <w:p w14:paraId="07D0D9FC">
            <w:pPr>
              <w:pStyle w:val="13"/>
            </w:pPr>
            <w:r>
              <w:t>按照序时进度完成资金支付</w:t>
            </w:r>
          </w:p>
        </w:tc>
        <w:tc>
          <w:tcPr>
            <w:tcW w:w="1808" w:type="dxa"/>
            <w:vAlign w:val="center"/>
          </w:tcPr>
          <w:p w14:paraId="11187439">
            <w:pPr>
              <w:pStyle w:val="13"/>
            </w:pPr>
            <w:r>
              <w:t>100%</w:t>
            </w:r>
          </w:p>
        </w:tc>
        <w:tc>
          <w:tcPr>
            <w:tcW w:w="1736" w:type="dxa"/>
            <w:vAlign w:val="center"/>
          </w:tcPr>
          <w:p w14:paraId="373FDF65">
            <w:pPr>
              <w:pStyle w:val="13"/>
            </w:pPr>
            <w:r>
              <w:t>城乡义务教育公用经费管理办法</w:t>
            </w:r>
          </w:p>
        </w:tc>
      </w:tr>
      <w:tr w14:paraId="4F916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65B405">
            <w:pPr>
              <w:pStyle w:val="12"/>
            </w:pPr>
            <w:r>
              <w:t>效益指标</w:t>
            </w:r>
          </w:p>
        </w:tc>
        <w:tc>
          <w:tcPr>
            <w:tcW w:w="2268" w:type="dxa"/>
            <w:vAlign w:val="center"/>
          </w:tcPr>
          <w:p w14:paraId="2744B07B">
            <w:pPr>
              <w:pStyle w:val="13"/>
            </w:pPr>
            <w:r>
              <w:t>可持续影响指标</w:t>
            </w:r>
          </w:p>
        </w:tc>
        <w:tc>
          <w:tcPr>
            <w:tcW w:w="2835" w:type="dxa"/>
            <w:vAlign w:val="center"/>
          </w:tcPr>
          <w:p w14:paraId="6CAF51F8">
            <w:pPr>
              <w:pStyle w:val="13"/>
            </w:pPr>
            <w:r>
              <w:t>学校运转得到提高</w:t>
            </w:r>
          </w:p>
        </w:tc>
        <w:tc>
          <w:tcPr>
            <w:tcW w:w="5386" w:type="dxa"/>
            <w:vAlign w:val="center"/>
          </w:tcPr>
          <w:p w14:paraId="4E8D2BCE">
            <w:pPr>
              <w:pStyle w:val="13"/>
            </w:pPr>
            <w:r>
              <w:t>学生受教育年限</w:t>
            </w:r>
          </w:p>
        </w:tc>
        <w:tc>
          <w:tcPr>
            <w:tcW w:w="1808" w:type="dxa"/>
            <w:vAlign w:val="center"/>
          </w:tcPr>
          <w:p w14:paraId="70CBA0F1">
            <w:pPr>
              <w:pStyle w:val="13"/>
            </w:pPr>
            <w:r>
              <w:t>6年</w:t>
            </w:r>
          </w:p>
        </w:tc>
        <w:tc>
          <w:tcPr>
            <w:tcW w:w="1736" w:type="dxa"/>
            <w:vAlign w:val="center"/>
          </w:tcPr>
          <w:p w14:paraId="6F101FE2">
            <w:pPr>
              <w:pStyle w:val="13"/>
            </w:pPr>
            <w:r>
              <w:t>城乡义务教育公用经费管理办法</w:t>
            </w:r>
          </w:p>
        </w:tc>
      </w:tr>
      <w:tr w14:paraId="0811B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B7EABB">
            <w:pPr>
              <w:pStyle w:val="12"/>
            </w:pPr>
            <w:r>
              <w:t>满意度指标</w:t>
            </w:r>
          </w:p>
        </w:tc>
        <w:tc>
          <w:tcPr>
            <w:tcW w:w="2268" w:type="dxa"/>
            <w:vAlign w:val="center"/>
          </w:tcPr>
          <w:p w14:paraId="6510CF9F">
            <w:pPr>
              <w:pStyle w:val="13"/>
            </w:pPr>
            <w:r>
              <w:t>服务对象满意度指标</w:t>
            </w:r>
          </w:p>
        </w:tc>
        <w:tc>
          <w:tcPr>
            <w:tcW w:w="2835" w:type="dxa"/>
            <w:vAlign w:val="center"/>
          </w:tcPr>
          <w:p w14:paraId="21CEE8D8">
            <w:pPr>
              <w:pStyle w:val="13"/>
            </w:pPr>
            <w:r>
              <w:t>服务对象满意度</w:t>
            </w:r>
          </w:p>
        </w:tc>
        <w:tc>
          <w:tcPr>
            <w:tcW w:w="5386" w:type="dxa"/>
            <w:vAlign w:val="center"/>
          </w:tcPr>
          <w:p w14:paraId="67689ADE">
            <w:pPr>
              <w:pStyle w:val="13"/>
            </w:pPr>
            <w:r>
              <w:t>学校老师和学生满意度</w:t>
            </w:r>
          </w:p>
        </w:tc>
        <w:tc>
          <w:tcPr>
            <w:tcW w:w="1808" w:type="dxa"/>
            <w:vAlign w:val="center"/>
          </w:tcPr>
          <w:p w14:paraId="00705681">
            <w:pPr>
              <w:pStyle w:val="13"/>
            </w:pPr>
            <w:r>
              <w:t>≥95%</w:t>
            </w:r>
          </w:p>
        </w:tc>
        <w:tc>
          <w:tcPr>
            <w:tcW w:w="1736" w:type="dxa"/>
            <w:vAlign w:val="center"/>
          </w:tcPr>
          <w:p w14:paraId="1A602466">
            <w:pPr>
              <w:pStyle w:val="13"/>
            </w:pPr>
            <w:r>
              <w:t>城乡义务教育公用经费管理办法</w:t>
            </w:r>
          </w:p>
        </w:tc>
      </w:tr>
    </w:tbl>
    <w:p w14:paraId="1C8FD3A5">
      <w:pPr>
        <w:sectPr>
          <w:pgSz w:w="16840" w:h="11900" w:orient="landscape"/>
          <w:pgMar w:top="1361" w:right="1020" w:bottom="1134" w:left="1020" w:header="720" w:footer="720" w:gutter="0"/>
          <w:cols w:space="720" w:num="1"/>
        </w:sectPr>
      </w:pPr>
    </w:p>
    <w:p w14:paraId="515FD5DA">
      <w:pPr>
        <w:spacing w:before="0" w:after="0"/>
        <w:ind w:firstLine="560"/>
        <w:jc w:val="left"/>
        <w:outlineLvl w:val="9"/>
      </w:pPr>
      <w:r>
        <w:rPr>
          <w:rFonts w:ascii="方正仿宋_GBK" w:hAnsi="方正仿宋_GBK" w:eastAsia="方正仿宋_GBK" w:cs="方正仿宋_GBK"/>
          <w:b/>
          <w:color w:val="000000"/>
          <w:sz w:val="28"/>
        </w:rPr>
        <w:t>10、冀财教[2024]123号/中央/2025年义教补助经费/综合奖补/北楼校区尚礼小学公用经费绩效目标表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4E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EDABF">
            <w:pPr>
              <w:pStyle w:val="14"/>
            </w:pPr>
            <w:r>
              <w:t>单位：万元</w:t>
            </w:r>
          </w:p>
        </w:tc>
      </w:tr>
      <w:tr w14:paraId="41BE9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36C8594F">
            <w:pPr>
              <w:pStyle w:val="11"/>
            </w:pPr>
            <w:r>
              <w:t>项目编码</w:t>
            </w:r>
          </w:p>
        </w:tc>
        <w:tc>
          <w:tcPr>
            <w:tcW w:w="5103" w:type="dxa"/>
            <w:gridSpan w:val="2"/>
            <w:vAlign w:val="center"/>
          </w:tcPr>
          <w:p w14:paraId="67BE4A33">
            <w:pPr>
              <w:pStyle w:val="13"/>
            </w:pPr>
            <w:r>
              <w:t>13052525P00875610278W</w:t>
            </w:r>
          </w:p>
        </w:tc>
        <w:tc>
          <w:tcPr>
            <w:tcW w:w="2835" w:type="dxa"/>
            <w:vAlign w:val="center"/>
          </w:tcPr>
          <w:p w14:paraId="033DA35E">
            <w:pPr>
              <w:pStyle w:val="11"/>
            </w:pPr>
            <w:r>
              <w:t>项目名称</w:t>
            </w:r>
          </w:p>
        </w:tc>
        <w:tc>
          <w:tcPr>
            <w:tcW w:w="6095" w:type="dxa"/>
            <w:gridSpan w:val="3"/>
            <w:vAlign w:val="center"/>
          </w:tcPr>
          <w:p w14:paraId="574065CA">
            <w:pPr>
              <w:pStyle w:val="13"/>
            </w:pPr>
            <w:r>
              <w:t>冀财教[2024]123号/中央/2025年义教补助经费/综合奖补/北楼校区尚礼小学公用经费</w:t>
            </w:r>
          </w:p>
        </w:tc>
      </w:tr>
      <w:tr w14:paraId="28CF7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6A7A47FF">
            <w:pPr>
              <w:pStyle w:val="11"/>
            </w:pPr>
            <w:r>
              <w:t>预算规模及资金用途</w:t>
            </w:r>
          </w:p>
        </w:tc>
        <w:tc>
          <w:tcPr>
            <w:tcW w:w="2268" w:type="dxa"/>
            <w:vAlign w:val="center"/>
          </w:tcPr>
          <w:p w14:paraId="0815A1A1">
            <w:pPr>
              <w:pStyle w:val="11"/>
            </w:pPr>
            <w:r>
              <w:t>预算数</w:t>
            </w:r>
          </w:p>
        </w:tc>
        <w:tc>
          <w:tcPr>
            <w:tcW w:w="2835" w:type="dxa"/>
            <w:vAlign w:val="center"/>
          </w:tcPr>
          <w:p w14:paraId="66B03304">
            <w:pPr>
              <w:pStyle w:val="13"/>
            </w:pPr>
            <w:r>
              <w:t>2.08</w:t>
            </w:r>
          </w:p>
        </w:tc>
        <w:tc>
          <w:tcPr>
            <w:tcW w:w="2835" w:type="dxa"/>
            <w:vAlign w:val="center"/>
          </w:tcPr>
          <w:p w14:paraId="15B7F617">
            <w:pPr>
              <w:pStyle w:val="11"/>
            </w:pPr>
            <w:r>
              <w:t>其中：财政    资金</w:t>
            </w:r>
          </w:p>
        </w:tc>
        <w:tc>
          <w:tcPr>
            <w:tcW w:w="2551" w:type="dxa"/>
            <w:vAlign w:val="center"/>
          </w:tcPr>
          <w:p w14:paraId="430416ED">
            <w:pPr>
              <w:pStyle w:val="13"/>
            </w:pPr>
            <w:r>
              <w:t>2.08</w:t>
            </w:r>
          </w:p>
        </w:tc>
        <w:tc>
          <w:tcPr>
            <w:tcW w:w="2268" w:type="dxa"/>
            <w:vAlign w:val="center"/>
          </w:tcPr>
          <w:p w14:paraId="3C704497">
            <w:pPr>
              <w:pStyle w:val="11"/>
            </w:pPr>
            <w:r>
              <w:t>其他资金</w:t>
            </w:r>
          </w:p>
        </w:tc>
        <w:tc>
          <w:tcPr>
            <w:tcW w:w="1276" w:type="dxa"/>
            <w:vAlign w:val="center"/>
          </w:tcPr>
          <w:p w14:paraId="33655FD1">
            <w:pPr>
              <w:pStyle w:val="13"/>
            </w:pPr>
            <w:r>
              <w:t xml:space="preserve"> </w:t>
            </w:r>
          </w:p>
        </w:tc>
      </w:tr>
      <w:tr w14:paraId="66F80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E2D3C"/>
        </w:tc>
        <w:tc>
          <w:tcPr>
            <w:tcW w:w="14033" w:type="dxa"/>
            <w:gridSpan w:val="6"/>
            <w:vAlign w:val="center"/>
          </w:tcPr>
          <w:p w14:paraId="0E313DBE">
            <w:pPr>
              <w:pStyle w:val="13"/>
            </w:pPr>
            <w:r>
              <w:t>有效完成学校教学安全秩序，保障学校教学任务有效开展，满足学校正常教学需要。</w:t>
            </w:r>
            <w:r>
              <w:tab/>
            </w:r>
            <w:r>
              <w:tab/>
            </w:r>
            <w:r>
              <w:tab/>
            </w:r>
            <w:r>
              <w:tab/>
            </w:r>
            <w:r>
              <w:tab/>
            </w:r>
            <w:r>
              <w:tab/>
            </w:r>
            <w:r>
              <w:tab/>
            </w:r>
            <w:r>
              <w:tab/>
            </w:r>
            <w:r>
              <w:tab/>
            </w:r>
            <w:r>
              <w:tab/>
            </w:r>
            <w:r>
              <w:tab/>
            </w:r>
            <w:r>
              <w:tab/>
            </w:r>
          </w:p>
        </w:tc>
      </w:tr>
      <w:tr w14:paraId="4876A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41EC2">
            <w:pPr>
              <w:pStyle w:val="11"/>
            </w:pPr>
            <w:r>
              <w:t>资金支出计划（%）</w:t>
            </w:r>
          </w:p>
        </w:tc>
        <w:tc>
          <w:tcPr>
            <w:tcW w:w="5103" w:type="dxa"/>
            <w:gridSpan w:val="2"/>
            <w:vAlign w:val="center"/>
          </w:tcPr>
          <w:p w14:paraId="4C103A2E">
            <w:pPr>
              <w:pStyle w:val="11"/>
            </w:pPr>
            <w:r>
              <w:t>3月底</w:t>
            </w:r>
          </w:p>
        </w:tc>
        <w:tc>
          <w:tcPr>
            <w:tcW w:w="2835" w:type="dxa"/>
            <w:vAlign w:val="center"/>
          </w:tcPr>
          <w:p w14:paraId="5015EB06">
            <w:pPr>
              <w:pStyle w:val="11"/>
            </w:pPr>
            <w:r>
              <w:t>6月底</w:t>
            </w:r>
          </w:p>
        </w:tc>
        <w:tc>
          <w:tcPr>
            <w:tcW w:w="2551" w:type="dxa"/>
            <w:vAlign w:val="center"/>
          </w:tcPr>
          <w:p w14:paraId="238B9F6A">
            <w:pPr>
              <w:pStyle w:val="11"/>
            </w:pPr>
            <w:r>
              <w:t>10月底</w:t>
            </w:r>
          </w:p>
        </w:tc>
        <w:tc>
          <w:tcPr>
            <w:tcW w:w="3544" w:type="dxa"/>
            <w:gridSpan w:val="2"/>
            <w:vAlign w:val="center"/>
          </w:tcPr>
          <w:p w14:paraId="0C3FEDCA">
            <w:pPr>
              <w:pStyle w:val="11"/>
            </w:pPr>
            <w:r>
              <w:t>12月底</w:t>
            </w:r>
          </w:p>
        </w:tc>
      </w:tr>
      <w:tr w14:paraId="692D8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5476B5"/>
        </w:tc>
        <w:tc>
          <w:tcPr>
            <w:tcW w:w="5103" w:type="dxa"/>
            <w:gridSpan w:val="2"/>
            <w:vAlign w:val="center"/>
          </w:tcPr>
          <w:p w14:paraId="73AC3853">
            <w:pPr>
              <w:pStyle w:val="12"/>
            </w:pPr>
            <w:r>
              <w:t>25%</w:t>
            </w:r>
          </w:p>
        </w:tc>
        <w:tc>
          <w:tcPr>
            <w:tcW w:w="2835" w:type="dxa"/>
            <w:vAlign w:val="center"/>
          </w:tcPr>
          <w:p w14:paraId="496F65CC">
            <w:pPr>
              <w:pStyle w:val="12"/>
            </w:pPr>
            <w:r>
              <w:t>50%</w:t>
            </w:r>
          </w:p>
        </w:tc>
        <w:tc>
          <w:tcPr>
            <w:tcW w:w="2551" w:type="dxa"/>
            <w:vAlign w:val="center"/>
          </w:tcPr>
          <w:p w14:paraId="479E924E">
            <w:pPr>
              <w:pStyle w:val="12"/>
            </w:pPr>
            <w:r>
              <w:t>75%</w:t>
            </w:r>
          </w:p>
        </w:tc>
        <w:tc>
          <w:tcPr>
            <w:tcW w:w="3544" w:type="dxa"/>
            <w:gridSpan w:val="2"/>
            <w:vAlign w:val="center"/>
          </w:tcPr>
          <w:p w14:paraId="47522204">
            <w:pPr>
              <w:pStyle w:val="12"/>
            </w:pPr>
            <w:r>
              <w:t>100%</w:t>
            </w:r>
          </w:p>
        </w:tc>
      </w:tr>
      <w:tr w14:paraId="7D6813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5C399">
            <w:pPr>
              <w:pStyle w:val="11"/>
            </w:pPr>
            <w:r>
              <w:t>绩效目标</w:t>
            </w:r>
          </w:p>
        </w:tc>
        <w:tc>
          <w:tcPr>
            <w:tcW w:w="14033" w:type="dxa"/>
            <w:gridSpan w:val="6"/>
            <w:vAlign w:val="center"/>
          </w:tcPr>
          <w:p w14:paraId="73313ED2">
            <w:pPr>
              <w:pStyle w:val="13"/>
            </w:pPr>
            <w:r>
              <w:t>1.按规定拨付公用经费资金，预算执行率≥98%。</w:t>
            </w:r>
            <w:r>
              <w:tab/>
            </w:r>
            <w:r>
              <w:tab/>
            </w:r>
            <w:r>
              <w:tab/>
            </w:r>
            <w:r>
              <w:tab/>
            </w:r>
          </w:p>
          <w:p w14:paraId="12487BBD">
            <w:pPr>
              <w:pStyle w:val="13"/>
            </w:pPr>
            <w:r>
              <w:t>2.有效完成学校教学安全秩序，保障学校教学任务有效开展，满足学校正常教学需要。</w:t>
            </w:r>
          </w:p>
        </w:tc>
      </w:tr>
    </w:tbl>
    <w:p w14:paraId="2768AD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14:paraId="28ECD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1F371">
            <w:pPr>
              <w:pStyle w:val="11"/>
            </w:pPr>
            <w:r>
              <w:t>一级指标</w:t>
            </w:r>
          </w:p>
        </w:tc>
        <w:tc>
          <w:tcPr>
            <w:tcW w:w="2268" w:type="dxa"/>
            <w:vAlign w:val="center"/>
          </w:tcPr>
          <w:p w14:paraId="54557F33">
            <w:pPr>
              <w:pStyle w:val="11"/>
            </w:pPr>
            <w:r>
              <w:t>二级指标</w:t>
            </w:r>
          </w:p>
        </w:tc>
        <w:tc>
          <w:tcPr>
            <w:tcW w:w="2835" w:type="dxa"/>
            <w:vAlign w:val="center"/>
          </w:tcPr>
          <w:p w14:paraId="1055E3C5">
            <w:pPr>
              <w:pStyle w:val="11"/>
            </w:pPr>
            <w:r>
              <w:t>三级指标</w:t>
            </w:r>
          </w:p>
        </w:tc>
        <w:tc>
          <w:tcPr>
            <w:tcW w:w="5386" w:type="dxa"/>
            <w:vAlign w:val="center"/>
          </w:tcPr>
          <w:p w14:paraId="0AEA2ACB">
            <w:pPr>
              <w:pStyle w:val="11"/>
            </w:pPr>
            <w:r>
              <w:t>绩效指标描述</w:t>
            </w:r>
          </w:p>
        </w:tc>
        <w:tc>
          <w:tcPr>
            <w:tcW w:w="1793" w:type="dxa"/>
            <w:vAlign w:val="center"/>
          </w:tcPr>
          <w:p w14:paraId="462313D8">
            <w:pPr>
              <w:pStyle w:val="11"/>
            </w:pPr>
            <w:r>
              <w:t>指标值</w:t>
            </w:r>
          </w:p>
        </w:tc>
        <w:tc>
          <w:tcPr>
            <w:tcW w:w="1751" w:type="dxa"/>
            <w:vAlign w:val="center"/>
          </w:tcPr>
          <w:p w14:paraId="537665C7">
            <w:pPr>
              <w:pStyle w:val="11"/>
            </w:pPr>
            <w:r>
              <w:t>指标值确定依据</w:t>
            </w:r>
          </w:p>
        </w:tc>
      </w:tr>
      <w:tr w14:paraId="1D83D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0C5CC">
            <w:pPr>
              <w:pStyle w:val="12"/>
            </w:pPr>
            <w:r>
              <w:t>产出指标</w:t>
            </w:r>
          </w:p>
        </w:tc>
        <w:tc>
          <w:tcPr>
            <w:tcW w:w="2268" w:type="dxa"/>
            <w:vAlign w:val="center"/>
          </w:tcPr>
          <w:p w14:paraId="6B195A1A">
            <w:pPr>
              <w:pStyle w:val="13"/>
            </w:pPr>
            <w:r>
              <w:t>数量指标</w:t>
            </w:r>
          </w:p>
        </w:tc>
        <w:tc>
          <w:tcPr>
            <w:tcW w:w="2835" w:type="dxa"/>
            <w:vAlign w:val="center"/>
          </w:tcPr>
          <w:p w14:paraId="5C705D3A">
            <w:pPr>
              <w:pStyle w:val="13"/>
            </w:pPr>
            <w:r>
              <w:t>就读学生数</w:t>
            </w:r>
          </w:p>
        </w:tc>
        <w:tc>
          <w:tcPr>
            <w:tcW w:w="5386" w:type="dxa"/>
            <w:vAlign w:val="center"/>
          </w:tcPr>
          <w:p w14:paraId="63C7F519">
            <w:pPr>
              <w:pStyle w:val="13"/>
            </w:pPr>
            <w:r>
              <w:t>辐射区域内适龄学生人数</w:t>
            </w:r>
          </w:p>
        </w:tc>
        <w:tc>
          <w:tcPr>
            <w:tcW w:w="1793" w:type="dxa"/>
            <w:vAlign w:val="center"/>
          </w:tcPr>
          <w:p w14:paraId="680C8F9E">
            <w:pPr>
              <w:pStyle w:val="13"/>
            </w:pPr>
            <w:r>
              <w:t>574人</w:t>
            </w:r>
          </w:p>
        </w:tc>
        <w:tc>
          <w:tcPr>
            <w:tcW w:w="1751" w:type="dxa"/>
            <w:vAlign w:val="center"/>
          </w:tcPr>
          <w:p w14:paraId="5E688EED">
            <w:pPr>
              <w:pStyle w:val="13"/>
            </w:pPr>
            <w:r>
              <w:t>城乡义务教育公用经费管理办法</w:t>
            </w:r>
          </w:p>
        </w:tc>
      </w:tr>
      <w:tr w14:paraId="5F7A8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2C40CBD3"/>
        </w:tc>
        <w:tc>
          <w:tcPr>
            <w:tcW w:w="2268" w:type="dxa"/>
            <w:vAlign w:val="center"/>
          </w:tcPr>
          <w:p w14:paraId="57EAB0B9">
            <w:pPr>
              <w:pStyle w:val="13"/>
            </w:pPr>
            <w:r>
              <w:t>质量指标</w:t>
            </w:r>
          </w:p>
        </w:tc>
        <w:tc>
          <w:tcPr>
            <w:tcW w:w="2835" w:type="dxa"/>
            <w:vAlign w:val="center"/>
          </w:tcPr>
          <w:p w14:paraId="0BD59122">
            <w:pPr>
              <w:pStyle w:val="13"/>
            </w:pPr>
            <w:r>
              <w:t>预算执行率</w:t>
            </w:r>
          </w:p>
        </w:tc>
        <w:tc>
          <w:tcPr>
            <w:tcW w:w="5386" w:type="dxa"/>
            <w:vAlign w:val="center"/>
          </w:tcPr>
          <w:p w14:paraId="7B31C71C">
            <w:pPr>
              <w:pStyle w:val="13"/>
            </w:pPr>
            <w:r>
              <w:t>预算执行率≥98%</w:t>
            </w:r>
          </w:p>
        </w:tc>
        <w:tc>
          <w:tcPr>
            <w:tcW w:w="1793" w:type="dxa"/>
            <w:vAlign w:val="center"/>
          </w:tcPr>
          <w:p w14:paraId="7C17C0DF">
            <w:pPr>
              <w:pStyle w:val="13"/>
            </w:pPr>
            <w:r>
              <w:t>≥98%</w:t>
            </w:r>
          </w:p>
        </w:tc>
        <w:tc>
          <w:tcPr>
            <w:tcW w:w="1751" w:type="dxa"/>
            <w:vAlign w:val="center"/>
          </w:tcPr>
          <w:p w14:paraId="50E6A180">
            <w:pPr>
              <w:pStyle w:val="13"/>
            </w:pPr>
            <w:r>
              <w:t>城乡义务教育公用经费管理办法</w:t>
            </w:r>
          </w:p>
        </w:tc>
      </w:tr>
      <w:tr w14:paraId="12C16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4F84C"/>
        </w:tc>
        <w:tc>
          <w:tcPr>
            <w:tcW w:w="2268" w:type="dxa"/>
            <w:vAlign w:val="center"/>
          </w:tcPr>
          <w:p w14:paraId="064FBC8E">
            <w:pPr>
              <w:pStyle w:val="13"/>
            </w:pPr>
            <w:r>
              <w:t>时效指标</w:t>
            </w:r>
          </w:p>
        </w:tc>
        <w:tc>
          <w:tcPr>
            <w:tcW w:w="2835" w:type="dxa"/>
            <w:vAlign w:val="center"/>
          </w:tcPr>
          <w:p w14:paraId="30D849BA">
            <w:pPr>
              <w:pStyle w:val="13"/>
            </w:pPr>
            <w:r>
              <w:t>义教经费支付完成率</w:t>
            </w:r>
          </w:p>
        </w:tc>
        <w:tc>
          <w:tcPr>
            <w:tcW w:w="5386" w:type="dxa"/>
            <w:vAlign w:val="center"/>
          </w:tcPr>
          <w:p w14:paraId="69013DED">
            <w:pPr>
              <w:pStyle w:val="13"/>
            </w:pPr>
            <w:r>
              <w:t>按照序时进度完成资金支付</w:t>
            </w:r>
          </w:p>
        </w:tc>
        <w:tc>
          <w:tcPr>
            <w:tcW w:w="1793" w:type="dxa"/>
            <w:vAlign w:val="center"/>
          </w:tcPr>
          <w:p w14:paraId="3D229D65">
            <w:pPr>
              <w:pStyle w:val="13"/>
            </w:pPr>
            <w:r>
              <w:t>≥100%</w:t>
            </w:r>
          </w:p>
        </w:tc>
        <w:tc>
          <w:tcPr>
            <w:tcW w:w="1751" w:type="dxa"/>
            <w:vAlign w:val="center"/>
          </w:tcPr>
          <w:p w14:paraId="67B02537">
            <w:pPr>
              <w:pStyle w:val="13"/>
            </w:pPr>
            <w:r>
              <w:t>城乡义务教育公用经费管理办法</w:t>
            </w:r>
          </w:p>
        </w:tc>
      </w:tr>
      <w:tr w14:paraId="4594D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08A8E"/>
        </w:tc>
        <w:tc>
          <w:tcPr>
            <w:tcW w:w="2268" w:type="dxa"/>
            <w:vAlign w:val="center"/>
          </w:tcPr>
          <w:p w14:paraId="0B80D01E">
            <w:pPr>
              <w:pStyle w:val="13"/>
            </w:pPr>
            <w:r>
              <w:t>成本指标</w:t>
            </w:r>
          </w:p>
        </w:tc>
        <w:tc>
          <w:tcPr>
            <w:tcW w:w="2835" w:type="dxa"/>
            <w:vAlign w:val="center"/>
          </w:tcPr>
          <w:p w14:paraId="22FB1B73">
            <w:pPr>
              <w:pStyle w:val="13"/>
            </w:pPr>
            <w:r>
              <w:t>生均拨款标准</w:t>
            </w:r>
          </w:p>
        </w:tc>
        <w:tc>
          <w:tcPr>
            <w:tcW w:w="5386" w:type="dxa"/>
            <w:vAlign w:val="center"/>
          </w:tcPr>
          <w:p w14:paraId="3B459FD4">
            <w:pPr>
              <w:pStyle w:val="13"/>
            </w:pPr>
            <w:r>
              <w:t>小学：（基本标准720元、寄宿生300元、生活补助120元）/生/学年；特教、随班就读学生：标准7000元/生/学年</w:t>
            </w:r>
          </w:p>
        </w:tc>
        <w:tc>
          <w:tcPr>
            <w:tcW w:w="1793" w:type="dxa"/>
            <w:vAlign w:val="center"/>
          </w:tcPr>
          <w:p w14:paraId="5F8AEC7B">
            <w:pPr>
              <w:pStyle w:val="13"/>
            </w:pPr>
            <w:r>
              <w:t>840元</w:t>
            </w:r>
          </w:p>
        </w:tc>
        <w:tc>
          <w:tcPr>
            <w:tcW w:w="1751" w:type="dxa"/>
            <w:vAlign w:val="center"/>
          </w:tcPr>
          <w:p w14:paraId="486EF2EE">
            <w:pPr>
              <w:pStyle w:val="13"/>
            </w:pPr>
            <w:r>
              <w:t>城乡义务教育公用经费管理办法</w:t>
            </w:r>
          </w:p>
        </w:tc>
      </w:tr>
      <w:tr w14:paraId="2E41B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37C577A9">
            <w:pPr>
              <w:pStyle w:val="12"/>
            </w:pPr>
            <w:r>
              <w:t>效益指标</w:t>
            </w:r>
          </w:p>
        </w:tc>
        <w:tc>
          <w:tcPr>
            <w:tcW w:w="2268" w:type="dxa"/>
            <w:vAlign w:val="center"/>
          </w:tcPr>
          <w:p w14:paraId="3FFA52D6">
            <w:pPr>
              <w:pStyle w:val="13"/>
            </w:pPr>
            <w:r>
              <w:t>可持续影响指标</w:t>
            </w:r>
          </w:p>
        </w:tc>
        <w:tc>
          <w:tcPr>
            <w:tcW w:w="2835" w:type="dxa"/>
            <w:vAlign w:val="center"/>
          </w:tcPr>
          <w:p w14:paraId="19AA31DA">
            <w:pPr>
              <w:pStyle w:val="13"/>
            </w:pPr>
            <w:r>
              <w:t>学校运转得到提高</w:t>
            </w:r>
          </w:p>
        </w:tc>
        <w:tc>
          <w:tcPr>
            <w:tcW w:w="5386" w:type="dxa"/>
            <w:vAlign w:val="center"/>
          </w:tcPr>
          <w:p w14:paraId="0758B2E6">
            <w:pPr>
              <w:pStyle w:val="13"/>
            </w:pPr>
            <w:r>
              <w:t>学生受教育年限</w:t>
            </w:r>
          </w:p>
        </w:tc>
        <w:tc>
          <w:tcPr>
            <w:tcW w:w="1793" w:type="dxa"/>
            <w:vAlign w:val="center"/>
          </w:tcPr>
          <w:p w14:paraId="4F2E9B47">
            <w:pPr>
              <w:pStyle w:val="13"/>
            </w:pPr>
            <w:r>
              <w:t>6年</w:t>
            </w:r>
          </w:p>
        </w:tc>
        <w:tc>
          <w:tcPr>
            <w:tcW w:w="1751" w:type="dxa"/>
            <w:vAlign w:val="center"/>
          </w:tcPr>
          <w:p w14:paraId="079C0D04">
            <w:pPr>
              <w:pStyle w:val="13"/>
            </w:pPr>
            <w:r>
              <w:t>城乡义务教育公用经费管理办法</w:t>
            </w:r>
          </w:p>
        </w:tc>
      </w:tr>
      <w:tr w14:paraId="52C8A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690581EA">
            <w:pPr>
              <w:pStyle w:val="12"/>
            </w:pPr>
            <w:r>
              <w:t>满意度指标</w:t>
            </w:r>
          </w:p>
        </w:tc>
        <w:tc>
          <w:tcPr>
            <w:tcW w:w="2268" w:type="dxa"/>
            <w:vAlign w:val="center"/>
          </w:tcPr>
          <w:p w14:paraId="656268F9">
            <w:pPr>
              <w:pStyle w:val="13"/>
            </w:pPr>
            <w:r>
              <w:t>服务对象满意度指标</w:t>
            </w:r>
          </w:p>
        </w:tc>
        <w:tc>
          <w:tcPr>
            <w:tcW w:w="2835" w:type="dxa"/>
            <w:vAlign w:val="center"/>
          </w:tcPr>
          <w:p w14:paraId="3176BA96">
            <w:pPr>
              <w:pStyle w:val="13"/>
            </w:pPr>
            <w:r>
              <w:t>服务对象满意度</w:t>
            </w:r>
          </w:p>
        </w:tc>
        <w:tc>
          <w:tcPr>
            <w:tcW w:w="5386" w:type="dxa"/>
            <w:vAlign w:val="center"/>
          </w:tcPr>
          <w:p w14:paraId="469AD4D9">
            <w:pPr>
              <w:pStyle w:val="13"/>
            </w:pPr>
            <w:r>
              <w:t>学校老师和学生满意度</w:t>
            </w:r>
          </w:p>
        </w:tc>
        <w:tc>
          <w:tcPr>
            <w:tcW w:w="1793" w:type="dxa"/>
            <w:vAlign w:val="center"/>
          </w:tcPr>
          <w:p w14:paraId="2F4D9922">
            <w:pPr>
              <w:pStyle w:val="13"/>
            </w:pPr>
            <w:r>
              <w:t>≥95%</w:t>
            </w:r>
          </w:p>
        </w:tc>
        <w:tc>
          <w:tcPr>
            <w:tcW w:w="1751" w:type="dxa"/>
            <w:vAlign w:val="center"/>
          </w:tcPr>
          <w:p w14:paraId="6975A2C8">
            <w:pPr>
              <w:pStyle w:val="13"/>
            </w:pPr>
            <w:r>
              <w:t>城乡义务教育公用经费管理办法</w:t>
            </w:r>
          </w:p>
        </w:tc>
      </w:tr>
    </w:tbl>
    <w:p w14:paraId="00D20FC4">
      <w:pPr>
        <w:sectPr>
          <w:pgSz w:w="16840" w:h="11900" w:orient="landscape"/>
          <w:pgMar w:top="1361" w:right="1020" w:bottom="1134" w:left="1020" w:header="720" w:footer="720" w:gutter="0"/>
          <w:cols w:space="720" w:num="1"/>
        </w:sectPr>
      </w:pPr>
    </w:p>
    <w:p w14:paraId="7783F35D">
      <w:pPr>
        <w:spacing w:before="0" w:after="0"/>
        <w:ind w:firstLine="560"/>
        <w:jc w:val="left"/>
        <w:outlineLvl w:val="9"/>
      </w:pPr>
      <w:r>
        <w:rPr>
          <w:rFonts w:ascii="方正仿宋_GBK" w:hAnsi="方正仿宋_GBK" w:eastAsia="方正仿宋_GBK" w:cs="方正仿宋_GBK"/>
          <w:b/>
          <w:color w:val="000000"/>
          <w:sz w:val="28"/>
        </w:rPr>
        <w:t>11、冀财教[2024]141号/省级/2025年义教补助经费/北楼中心小学公用经费绩效目标表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BB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510A8">
            <w:pPr>
              <w:pStyle w:val="14"/>
            </w:pPr>
            <w:r>
              <w:t>单位：万元</w:t>
            </w:r>
          </w:p>
        </w:tc>
      </w:tr>
      <w:tr w14:paraId="62DA0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0BFD9C">
            <w:pPr>
              <w:pStyle w:val="11"/>
            </w:pPr>
            <w:r>
              <w:t>项目编码</w:t>
            </w:r>
          </w:p>
        </w:tc>
        <w:tc>
          <w:tcPr>
            <w:tcW w:w="5103" w:type="dxa"/>
            <w:gridSpan w:val="2"/>
            <w:vAlign w:val="center"/>
          </w:tcPr>
          <w:p w14:paraId="3269A34F">
            <w:pPr>
              <w:pStyle w:val="13"/>
            </w:pPr>
            <w:r>
              <w:t>13052525P00000410140Q</w:t>
            </w:r>
          </w:p>
        </w:tc>
        <w:tc>
          <w:tcPr>
            <w:tcW w:w="2835" w:type="dxa"/>
            <w:vAlign w:val="center"/>
          </w:tcPr>
          <w:p w14:paraId="2340296E">
            <w:pPr>
              <w:pStyle w:val="11"/>
            </w:pPr>
            <w:r>
              <w:t>项目名称</w:t>
            </w:r>
          </w:p>
        </w:tc>
        <w:tc>
          <w:tcPr>
            <w:tcW w:w="6095" w:type="dxa"/>
            <w:gridSpan w:val="3"/>
            <w:vAlign w:val="center"/>
          </w:tcPr>
          <w:p w14:paraId="543541E9">
            <w:pPr>
              <w:pStyle w:val="13"/>
            </w:pPr>
            <w:r>
              <w:t>冀财教[2024]141号/省级/2025年义教补助经费/北楼中心小学公用经费</w:t>
            </w:r>
          </w:p>
        </w:tc>
      </w:tr>
      <w:tr w14:paraId="0523F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DABB0">
            <w:pPr>
              <w:pStyle w:val="11"/>
            </w:pPr>
            <w:r>
              <w:t>预算规模及资金用途</w:t>
            </w:r>
          </w:p>
        </w:tc>
        <w:tc>
          <w:tcPr>
            <w:tcW w:w="2268" w:type="dxa"/>
            <w:vAlign w:val="center"/>
          </w:tcPr>
          <w:p w14:paraId="2C0588C7">
            <w:pPr>
              <w:pStyle w:val="11"/>
            </w:pPr>
            <w:r>
              <w:t>预算数</w:t>
            </w:r>
          </w:p>
        </w:tc>
        <w:tc>
          <w:tcPr>
            <w:tcW w:w="2835" w:type="dxa"/>
            <w:vAlign w:val="center"/>
          </w:tcPr>
          <w:p w14:paraId="71037BB1">
            <w:pPr>
              <w:pStyle w:val="13"/>
            </w:pPr>
            <w:r>
              <w:t>21.39</w:t>
            </w:r>
          </w:p>
        </w:tc>
        <w:tc>
          <w:tcPr>
            <w:tcW w:w="2835" w:type="dxa"/>
            <w:vAlign w:val="center"/>
          </w:tcPr>
          <w:p w14:paraId="405BA3A9">
            <w:pPr>
              <w:pStyle w:val="11"/>
            </w:pPr>
            <w:r>
              <w:t>其中：财政    资金</w:t>
            </w:r>
          </w:p>
        </w:tc>
        <w:tc>
          <w:tcPr>
            <w:tcW w:w="2551" w:type="dxa"/>
            <w:vAlign w:val="center"/>
          </w:tcPr>
          <w:p w14:paraId="4A0DF81E">
            <w:pPr>
              <w:pStyle w:val="13"/>
            </w:pPr>
            <w:r>
              <w:t>21.39</w:t>
            </w:r>
          </w:p>
        </w:tc>
        <w:tc>
          <w:tcPr>
            <w:tcW w:w="2268" w:type="dxa"/>
            <w:vAlign w:val="center"/>
          </w:tcPr>
          <w:p w14:paraId="0BB5D889">
            <w:pPr>
              <w:pStyle w:val="11"/>
            </w:pPr>
            <w:r>
              <w:t>其他资金</w:t>
            </w:r>
          </w:p>
        </w:tc>
        <w:tc>
          <w:tcPr>
            <w:tcW w:w="1276" w:type="dxa"/>
            <w:vAlign w:val="center"/>
          </w:tcPr>
          <w:p w14:paraId="420BCBBC">
            <w:pPr>
              <w:pStyle w:val="13"/>
            </w:pPr>
            <w:r>
              <w:t xml:space="preserve"> </w:t>
            </w:r>
          </w:p>
        </w:tc>
      </w:tr>
      <w:tr w14:paraId="23D8F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C3EB00"/>
        </w:tc>
        <w:tc>
          <w:tcPr>
            <w:tcW w:w="14033" w:type="dxa"/>
            <w:gridSpan w:val="6"/>
            <w:vAlign w:val="center"/>
          </w:tcPr>
          <w:p w14:paraId="1B13E1B8">
            <w:pPr>
              <w:pStyle w:val="13"/>
            </w:pPr>
            <w:r>
              <w:t>有效完成学校教学安全秩序，保障学校教学任务有效开展，满足学校正常教学需要。</w:t>
            </w:r>
            <w:r>
              <w:tab/>
            </w:r>
            <w:r>
              <w:tab/>
            </w:r>
            <w:r>
              <w:tab/>
            </w:r>
            <w:r>
              <w:tab/>
            </w:r>
            <w:r>
              <w:tab/>
            </w:r>
            <w:r>
              <w:tab/>
            </w:r>
          </w:p>
          <w:p w14:paraId="6C2F7F5B">
            <w:pPr>
              <w:pStyle w:val="13"/>
            </w:pPr>
          </w:p>
        </w:tc>
      </w:tr>
      <w:tr w14:paraId="10C18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C45F4">
            <w:pPr>
              <w:pStyle w:val="11"/>
            </w:pPr>
            <w:r>
              <w:t>资金支出计划（%）</w:t>
            </w:r>
          </w:p>
        </w:tc>
        <w:tc>
          <w:tcPr>
            <w:tcW w:w="5103" w:type="dxa"/>
            <w:gridSpan w:val="2"/>
            <w:vAlign w:val="center"/>
          </w:tcPr>
          <w:p w14:paraId="1B88AAC2">
            <w:pPr>
              <w:pStyle w:val="11"/>
            </w:pPr>
            <w:r>
              <w:t>3月底</w:t>
            </w:r>
          </w:p>
        </w:tc>
        <w:tc>
          <w:tcPr>
            <w:tcW w:w="2835" w:type="dxa"/>
            <w:vAlign w:val="center"/>
          </w:tcPr>
          <w:p w14:paraId="16E3051B">
            <w:pPr>
              <w:pStyle w:val="11"/>
            </w:pPr>
            <w:r>
              <w:t>6月底</w:t>
            </w:r>
          </w:p>
        </w:tc>
        <w:tc>
          <w:tcPr>
            <w:tcW w:w="2551" w:type="dxa"/>
            <w:vAlign w:val="center"/>
          </w:tcPr>
          <w:p w14:paraId="3EB7731B">
            <w:pPr>
              <w:pStyle w:val="11"/>
            </w:pPr>
            <w:r>
              <w:t>10月底</w:t>
            </w:r>
          </w:p>
        </w:tc>
        <w:tc>
          <w:tcPr>
            <w:tcW w:w="3544" w:type="dxa"/>
            <w:gridSpan w:val="2"/>
            <w:vAlign w:val="center"/>
          </w:tcPr>
          <w:p w14:paraId="66E34F04">
            <w:pPr>
              <w:pStyle w:val="11"/>
            </w:pPr>
            <w:r>
              <w:t>12月底</w:t>
            </w:r>
          </w:p>
        </w:tc>
      </w:tr>
      <w:tr w14:paraId="35839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EAF8E0"/>
        </w:tc>
        <w:tc>
          <w:tcPr>
            <w:tcW w:w="5103" w:type="dxa"/>
            <w:gridSpan w:val="2"/>
            <w:vAlign w:val="center"/>
          </w:tcPr>
          <w:p w14:paraId="3F90BC32">
            <w:pPr>
              <w:pStyle w:val="12"/>
            </w:pPr>
            <w:r>
              <w:t>25%</w:t>
            </w:r>
          </w:p>
        </w:tc>
        <w:tc>
          <w:tcPr>
            <w:tcW w:w="2835" w:type="dxa"/>
            <w:vAlign w:val="center"/>
          </w:tcPr>
          <w:p w14:paraId="5F2D0C6A">
            <w:pPr>
              <w:pStyle w:val="12"/>
            </w:pPr>
            <w:r>
              <w:t>50%</w:t>
            </w:r>
          </w:p>
        </w:tc>
        <w:tc>
          <w:tcPr>
            <w:tcW w:w="2551" w:type="dxa"/>
            <w:vAlign w:val="center"/>
          </w:tcPr>
          <w:p w14:paraId="027F370F">
            <w:pPr>
              <w:pStyle w:val="12"/>
            </w:pPr>
            <w:r>
              <w:t>75%</w:t>
            </w:r>
          </w:p>
        </w:tc>
        <w:tc>
          <w:tcPr>
            <w:tcW w:w="3544" w:type="dxa"/>
            <w:gridSpan w:val="2"/>
            <w:vAlign w:val="center"/>
          </w:tcPr>
          <w:p w14:paraId="0EEF187B">
            <w:pPr>
              <w:pStyle w:val="12"/>
            </w:pPr>
            <w:r>
              <w:t>100%</w:t>
            </w:r>
          </w:p>
        </w:tc>
      </w:tr>
      <w:tr w14:paraId="073A8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A56D4B">
            <w:pPr>
              <w:pStyle w:val="11"/>
            </w:pPr>
            <w:r>
              <w:t>绩效目标</w:t>
            </w:r>
          </w:p>
        </w:tc>
        <w:tc>
          <w:tcPr>
            <w:tcW w:w="14033" w:type="dxa"/>
            <w:gridSpan w:val="6"/>
            <w:vAlign w:val="center"/>
          </w:tcPr>
          <w:p w14:paraId="79600A1F">
            <w:pPr>
              <w:pStyle w:val="13"/>
            </w:pPr>
            <w:r>
              <w:t>1.有效完成学校教学安全秩序，保障学校教学任务有效开展，满足学校正常教学需要。</w:t>
            </w:r>
            <w:r>
              <w:tab/>
            </w:r>
            <w:r>
              <w:tab/>
            </w:r>
            <w:r>
              <w:tab/>
            </w:r>
            <w:r>
              <w:tab/>
            </w:r>
            <w:r>
              <w:tab/>
            </w:r>
            <w:r>
              <w:tab/>
            </w:r>
          </w:p>
          <w:p w14:paraId="33DC5B74">
            <w:pPr>
              <w:pStyle w:val="13"/>
            </w:pPr>
            <w:r>
              <w:t>2.按规定拨付公用经费资金，预算执行率≥98%。</w:t>
            </w:r>
            <w:r>
              <w:tab/>
            </w:r>
            <w:r>
              <w:tab/>
            </w:r>
            <w:r>
              <w:tab/>
            </w:r>
            <w:r>
              <w:tab/>
            </w:r>
          </w:p>
        </w:tc>
      </w:tr>
    </w:tbl>
    <w:p w14:paraId="218B30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991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E921F">
            <w:pPr>
              <w:pStyle w:val="11"/>
            </w:pPr>
            <w:r>
              <w:t>一级指标</w:t>
            </w:r>
          </w:p>
        </w:tc>
        <w:tc>
          <w:tcPr>
            <w:tcW w:w="2268" w:type="dxa"/>
            <w:vAlign w:val="center"/>
          </w:tcPr>
          <w:p w14:paraId="301CD744">
            <w:pPr>
              <w:pStyle w:val="11"/>
            </w:pPr>
            <w:r>
              <w:t>二级指标</w:t>
            </w:r>
          </w:p>
        </w:tc>
        <w:tc>
          <w:tcPr>
            <w:tcW w:w="2835" w:type="dxa"/>
            <w:vAlign w:val="center"/>
          </w:tcPr>
          <w:p w14:paraId="4081056F">
            <w:pPr>
              <w:pStyle w:val="11"/>
            </w:pPr>
            <w:r>
              <w:t>三级指标</w:t>
            </w:r>
          </w:p>
        </w:tc>
        <w:tc>
          <w:tcPr>
            <w:tcW w:w="5386" w:type="dxa"/>
            <w:vAlign w:val="center"/>
          </w:tcPr>
          <w:p w14:paraId="2C9B8F95">
            <w:pPr>
              <w:pStyle w:val="11"/>
            </w:pPr>
            <w:r>
              <w:t>绩效指标描述</w:t>
            </w:r>
          </w:p>
        </w:tc>
        <w:tc>
          <w:tcPr>
            <w:tcW w:w="2268" w:type="dxa"/>
            <w:vAlign w:val="center"/>
          </w:tcPr>
          <w:p w14:paraId="5B0561C0">
            <w:pPr>
              <w:pStyle w:val="11"/>
            </w:pPr>
            <w:r>
              <w:t>指标值</w:t>
            </w:r>
          </w:p>
        </w:tc>
        <w:tc>
          <w:tcPr>
            <w:tcW w:w="1276" w:type="dxa"/>
            <w:vAlign w:val="center"/>
          </w:tcPr>
          <w:p w14:paraId="1D23B690">
            <w:pPr>
              <w:pStyle w:val="11"/>
            </w:pPr>
            <w:r>
              <w:t>指标值确定依据</w:t>
            </w:r>
          </w:p>
        </w:tc>
      </w:tr>
      <w:tr w14:paraId="26BE4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9BA91">
            <w:pPr>
              <w:pStyle w:val="12"/>
            </w:pPr>
            <w:r>
              <w:t>产出指标</w:t>
            </w:r>
          </w:p>
        </w:tc>
        <w:tc>
          <w:tcPr>
            <w:tcW w:w="2268" w:type="dxa"/>
            <w:vAlign w:val="center"/>
          </w:tcPr>
          <w:p w14:paraId="56F7875B">
            <w:pPr>
              <w:pStyle w:val="13"/>
            </w:pPr>
            <w:r>
              <w:t>数量指标</w:t>
            </w:r>
          </w:p>
        </w:tc>
        <w:tc>
          <w:tcPr>
            <w:tcW w:w="2835" w:type="dxa"/>
            <w:vAlign w:val="center"/>
          </w:tcPr>
          <w:p w14:paraId="129DD92C">
            <w:pPr>
              <w:pStyle w:val="13"/>
            </w:pPr>
            <w:r>
              <w:t>就读学生数</w:t>
            </w:r>
          </w:p>
        </w:tc>
        <w:tc>
          <w:tcPr>
            <w:tcW w:w="5386" w:type="dxa"/>
            <w:vAlign w:val="center"/>
          </w:tcPr>
          <w:p w14:paraId="3E794511">
            <w:pPr>
              <w:pStyle w:val="13"/>
            </w:pPr>
            <w:r>
              <w:t>辐射区域内适龄学生人数</w:t>
            </w:r>
          </w:p>
        </w:tc>
        <w:tc>
          <w:tcPr>
            <w:tcW w:w="2268" w:type="dxa"/>
            <w:vAlign w:val="center"/>
          </w:tcPr>
          <w:p w14:paraId="5AC8B7B4">
            <w:pPr>
              <w:pStyle w:val="13"/>
            </w:pPr>
            <w:r>
              <w:t>672人</w:t>
            </w:r>
          </w:p>
        </w:tc>
        <w:tc>
          <w:tcPr>
            <w:tcW w:w="1276" w:type="dxa"/>
            <w:vAlign w:val="center"/>
          </w:tcPr>
          <w:p w14:paraId="2721BA7C">
            <w:pPr>
              <w:pStyle w:val="13"/>
            </w:pPr>
            <w:r>
              <w:t>城乡义务教育公用经费管理办法</w:t>
            </w:r>
          </w:p>
        </w:tc>
      </w:tr>
      <w:tr w14:paraId="46D58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A65F9"/>
        </w:tc>
        <w:tc>
          <w:tcPr>
            <w:tcW w:w="2268" w:type="dxa"/>
            <w:vAlign w:val="center"/>
          </w:tcPr>
          <w:p w14:paraId="7C99E2DC">
            <w:pPr>
              <w:pStyle w:val="13"/>
            </w:pPr>
            <w:r>
              <w:t>质量指标</w:t>
            </w:r>
          </w:p>
        </w:tc>
        <w:tc>
          <w:tcPr>
            <w:tcW w:w="2835" w:type="dxa"/>
            <w:vAlign w:val="center"/>
          </w:tcPr>
          <w:p w14:paraId="1D1B6BF5">
            <w:pPr>
              <w:pStyle w:val="13"/>
            </w:pPr>
            <w:r>
              <w:t>预算执行率</w:t>
            </w:r>
          </w:p>
        </w:tc>
        <w:tc>
          <w:tcPr>
            <w:tcW w:w="5386" w:type="dxa"/>
            <w:vAlign w:val="center"/>
          </w:tcPr>
          <w:p w14:paraId="540C77D7">
            <w:pPr>
              <w:pStyle w:val="13"/>
            </w:pPr>
            <w:r>
              <w:t>预算执行率≥98%</w:t>
            </w:r>
          </w:p>
        </w:tc>
        <w:tc>
          <w:tcPr>
            <w:tcW w:w="2268" w:type="dxa"/>
            <w:vAlign w:val="center"/>
          </w:tcPr>
          <w:p w14:paraId="4C7C0D09">
            <w:pPr>
              <w:pStyle w:val="13"/>
            </w:pPr>
            <w:r>
              <w:t>≥98%</w:t>
            </w:r>
          </w:p>
        </w:tc>
        <w:tc>
          <w:tcPr>
            <w:tcW w:w="1276" w:type="dxa"/>
            <w:vAlign w:val="center"/>
          </w:tcPr>
          <w:p w14:paraId="14D3877A">
            <w:pPr>
              <w:pStyle w:val="13"/>
            </w:pPr>
            <w:r>
              <w:t>城乡义务教育公用经费管理办法</w:t>
            </w:r>
          </w:p>
        </w:tc>
      </w:tr>
      <w:tr w14:paraId="630E8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E2A86"/>
        </w:tc>
        <w:tc>
          <w:tcPr>
            <w:tcW w:w="2268" w:type="dxa"/>
            <w:vAlign w:val="center"/>
          </w:tcPr>
          <w:p w14:paraId="365B4B74">
            <w:pPr>
              <w:pStyle w:val="13"/>
            </w:pPr>
            <w:r>
              <w:t>时效指标</w:t>
            </w:r>
          </w:p>
        </w:tc>
        <w:tc>
          <w:tcPr>
            <w:tcW w:w="2835" w:type="dxa"/>
            <w:vAlign w:val="center"/>
          </w:tcPr>
          <w:p w14:paraId="59D95BAA">
            <w:pPr>
              <w:pStyle w:val="13"/>
            </w:pPr>
            <w:r>
              <w:t>义教经费支付完成率</w:t>
            </w:r>
          </w:p>
        </w:tc>
        <w:tc>
          <w:tcPr>
            <w:tcW w:w="5386" w:type="dxa"/>
            <w:vAlign w:val="center"/>
          </w:tcPr>
          <w:p w14:paraId="2C834A43">
            <w:pPr>
              <w:pStyle w:val="13"/>
            </w:pPr>
            <w:r>
              <w:t>按照序时进度完成资金支付</w:t>
            </w:r>
          </w:p>
        </w:tc>
        <w:tc>
          <w:tcPr>
            <w:tcW w:w="2268" w:type="dxa"/>
            <w:vAlign w:val="center"/>
          </w:tcPr>
          <w:p w14:paraId="79742D65">
            <w:pPr>
              <w:pStyle w:val="13"/>
            </w:pPr>
            <w:r>
              <w:t>≥100%</w:t>
            </w:r>
          </w:p>
        </w:tc>
        <w:tc>
          <w:tcPr>
            <w:tcW w:w="1276" w:type="dxa"/>
            <w:vAlign w:val="center"/>
          </w:tcPr>
          <w:p w14:paraId="15BB5FB5">
            <w:pPr>
              <w:pStyle w:val="13"/>
            </w:pPr>
            <w:r>
              <w:t>城乡义务教育公用经费管理办法</w:t>
            </w:r>
          </w:p>
        </w:tc>
      </w:tr>
      <w:tr w14:paraId="78C50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8973C"/>
        </w:tc>
        <w:tc>
          <w:tcPr>
            <w:tcW w:w="2268" w:type="dxa"/>
            <w:vAlign w:val="center"/>
          </w:tcPr>
          <w:p w14:paraId="101FF0C6">
            <w:pPr>
              <w:pStyle w:val="13"/>
            </w:pPr>
            <w:r>
              <w:t>成本指标</w:t>
            </w:r>
          </w:p>
        </w:tc>
        <w:tc>
          <w:tcPr>
            <w:tcW w:w="2835" w:type="dxa"/>
            <w:vAlign w:val="center"/>
          </w:tcPr>
          <w:p w14:paraId="30C99B13">
            <w:pPr>
              <w:pStyle w:val="13"/>
            </w:pPr>
            <w:r>
              <w:t>生均拨款标准</w:t>
            </w:r>
          </w:p>
        </w:tc>
        <w:tc>
          <w:tcPr>
            <w:tcW w:w="5386" w:type="dxa"/>
            <w:vAlign w:val="center"/>
          </w:tcPr>
          <w:p w14:paraId="4AD4C108">
            <w:pPr>
              <w:pStyle w:val="13"/>
            </w:pPr>
            <w:r>
              <w:t>小学：（基本标准720元、寄宿生300元、生活补助120元）/生/学年；特教、随班就读学生：标准7000元/生/学年</w:t>
            </w:r>
          </w:p>
        </w:tc>
        <w:tc>
          <w:tcPr>
            <w:tcW w:w="2268" w:type="dxa"/>
            <w:vAlign w:val="center"/>
          </w:tcPr>
          <w:p w14:paraId="3E8A0FF1">
            <w:pPr>
              <w:pStyle w:val="13"/>
            </w:pPr>
            <w:r>
              <w:t>840元</w:t>
            </w:r>
          </w:p>
        </w:tc>
        <w:tc>
          <w:tcPr>
            <w:tcW w:w="1276" w:type="dxa"/>
            <w:vAlign w:val="center"/>
          </w:tcPr>
          <w:p w14:paraId="7953B175">
            <w:pPr>
              <w:pStyle w:val="13"/>
            </w:pPr>
            <w:r>
              <w:t>城乡义务教育公用经费管理办法</w:t>
            </w:r>
          </w:p>
        </w:tc>
      </w:tr>
      <w:tr w14:paraId="1923A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C4B89C">
            <w:pPr>
              <w:pStyle w:val="12"/>
            </w:pPr>
            <w:r>
              <w:t>效益指标</w:t>
            </w:r>
          </w:p>
        </w:tc>
        <w:tc>
          <w:tcPr>
            <w:tcW w:w="2268" w:type="dxa"/>
            <w:vAlign w:val="center"/>
          </w:tcPr>
          <w:p w14:paraId="47EA1BE0">
            <w:pPr>
              <w:pStyle w:val="13"/>
            </w:pPr>
            <w:r>
              <w:t>可持续影响指标</w:t>
            </w:r>
          </w:p>
        </w:tc>
        <w:tc>
          <w:tcPr>
            <w:tcW w:w="2835" w:type="dxa"/>
            <w:vAlign w:val="center"/>
          </w:tcPr>
          <w:p w14:paraId="0444000E">
            <w:pPr>
              <w:pStyle w:val="13"/>
            </w:pPr>
            <w:r>
              <w:t>学校运转得到提高</w:t>
            </w:r>
          </w:p>
        </w:tc>
        <w:tc>
          <w:tcPr>
            <w:tcW w:w="5386" w:type="dxa"/>
            <w:vAlign w:val="center"/>
          </w:tcPr>
          <w:p w14:paraId="1664E9DC">
            <w:pPr>
              <w:pStyle w:val="13"/>
            </w:pPr>
            <w:r>
              <w:t>学生受教育年限</w:t>
            </w:r>
          </w:p>
        </w:tc>
        <w:tc>
          <w:tcPr>
            <w:tcW w:w="2268" w:type="dxa"/>
            <w:vAlign w:val="center"/>
          </w:tcPr>
          <w:p w14:paraId="64BC5430">
            <w:pPr>
              <w:pStyle w:val="13"/>
            </w:pPr>
            <w:r>
              <w:t>6年</w:t>
            </w:r>
          </w:p>
        </w:tc>
        <w:tc>
          <w:tcPr>
            <w:tcW w:w="1276" w:type="dxa"/>
            <w:vAlign w:val="center"/>
          </w:tcPr>
          <w:p w14:paraId="0958BA78">
            <w:pPr>
              <w:pStyle w:val="13"/>
            </w:pPr>
            <w:r>
              <w:t>城乡义务教育公用经费管理办法</w:t>
            </w:r>
          </w:p>
        </w:tc>
      </w:tr>
      <w:tr w14:paraId="3EFD1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0CBF82">
            <w:pPr>
              <w:pStyle w:val="12"/>
            </w:pPr>
            <w:r>
              <w:t>满意度指标</w:t>
            </w:r>
          </w:p>
        </w:tc>
        <w:tc>
          <w:tcPr>
            <w:tcW w:w="2268" w:type="dxa"/>
            <w:vAlign w:val="center"/>
          </w:tcPr>
          <w:p w14:paraId="1C16F296">
            <w:pPr>
              <w:pStyle w:val="13"/>
            </w:pPr>
            <w:r>
              <w:t>服务对象满意度指标</w:t>
            </w:r>
          </w:p>
        </w:tc>
        <w:tc>
          <w:tcPr>
            <w:tcW w:w="2835" w:type="dxa"/>
            <w:vAlign w:val="center"/>
          </w:tcPr>
          <w:p w14:paraId="3FA11F6D">
            <w:pPr>
              <w:pStyle w:val="13"/>
            </w:pPr>
            <w:r>
              <w:t>服务对象满意度</w:t>
            </w:r>
          </w:p>
        </w:tc>
        <w:tc>
          <w:tcPr>
            <w:tcW w:w="5386" w:type="dxa"/>
            <w:vAlign w:val="center"/>
          </w:tcPr>
          <w:p w14:paraId="5778BCC3">
            <w:pPr>
              <w:pStyle w:val="13"/>
            </w:pPr>
            <w:r>
              <w:t>学校老师和学生满意度</w:t>
            </w:r>
          </w:p>
        </w:tc>
        <w:tc>
          <w:tcPr>
            <w:tcW w:w="2268" w:type="dxa"/>
            <w:vAlign w:val="center"/>
          </w:tcPr>
          <w:p w14:paraId="31ADCC9E">
            <w:pPr>
              <w:pStyle w:val="13"/>
            </w:pPr>
            <w:r>
              <w:t>≥95%</w:t>
            </w:r>
          </w:p>
        </w:tc>
        <w:tc>
          <w:tcPr>
            <w:tcW w:w="1276" w:type="dxa"/>
            <w:vAlign w:val="center"/>
          </w:tcPr>
          <w:p w14:paraId="70955959">
            <w:pPr>
              <w:pStyle w:val="13"/>
            </w:pPr>
            <w:r>
              <w:t>城乡义务教育公用经费管理办法</w:t>
            </w:r>
          </w:p>
        </w:tc>
      </w:tr>
    </w:tbl>
    <w:p w14:paraId="3C2A2CEE">
      <w:pPr>
        <w:sectPr>
          <w:pgSz w:w="16840" w:h="11900" w:orient="landscape"/>
          <w:pgMar w:top="1361" w:right="1020" w:bottom="1134" w:left="1020" w:header="720" w:footer="720" w:gutter="0"/>
          <w:cols w:space="720" w:num="1"/>
        </w:sectPr>
      </w:pPr>
    </w:p>
    <w:p w14:paraId="29A34130">
      <w:pPr>
        <w:spacing w:before="0" w:after="0"/>
        <w:ind w:firstLine="560"/>
        <w:jc w:val="left"/>
        <w:outlineLvl w:val="9"/>
      </w:pPr>
      <w:r>
        <w:rPr>
          <w:rFonts w:ascii="方正仿宋_GBK" w:hAnsi="方正仿宋_GBK" w:eastAsia="方正仿宋_GBK" w:cs="方正仿宋_GBK"/>
          <w:b/>
          <w:color w:val="000000"/>
          <w:sz w:val="28"/>
        </w:rPr>
        <w:t>12、冀财教[2024]141号/省级/2025年义教补助经费/南楼小学公用经费绩效目标表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C2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69C54">
            <w:pPr>
              <w:pStyle w:val="14"/>
            </w:pPr>
            <w:r>
              <w:t>单位：万元</w:t>
            </w:r>
          </w:p>
        </w:tc>
      </w:tr>
      <w:tr w14:paraId="6B971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D302E">
            <w:pPr>
              <w:pStyle w:val="11"/>
            </w:pPr>
            <w:r>
              <w:t>项目编码</w:t>
            </w:r>
          </w:p>
        </w:tc>
        <w:tc>
          <w:tcPr>
            <w:tcW w:w="5103" w:type="dxa"/>
            <w:gridSpan w:val="2"/>
            <w:vAlign w:val="center"/>
          </w:tcPr>
          <w:p w14:paraId="14A0D3B5">
            <w:pPr>
              <w:pStyle w:val="13"/>
            </w:pPr>
            <w:r>
              <w:t>13052525P00000410141C</w:t>
            </w:r>
          </w:p>
        </w:tc>
        <w:tc>
          <w:tcPr>
            <w:tcW w:w="2835" w:type="dxa"/>
            <w:vAlign w:val="center"/>
          </w:tcPr>
          <w:p w14:paraId="61FE1A2A">
            <w:pPr>
              <w:pStyle w:val="11"/>
            </w:pPr>
            <w:r>
              <w:t>项目名称</w:t>
            </w:r>
          </w:p>
        </w:tc>
        <w:tc>
          <w:tcPr>
            <w:tcW w:w="6095" w:type="dxa"/>
            <w:gridSpan w:val="3"/>
            <w:vAlign w:val="center"/>
          </w:tcPr>
          <w:p w14:paraId="56E8F4FA">
            <w:pPr>
              <w:pStyle w:val="13"/>
            </w:pPr>
            <w:r>
              <w:t>冀财教[2024]141号/省级/2025年义教补助经费/南楼小学公用经费</w:t>
            </w:r>
          </w:p>
        </w:tc>
      </w:tr>
      <w:tr w14:paraId="1C2F0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E04FD">
            <w:pPr>
              <w:pStyle w:val="11"/>
            </w:pPr>
            <w:r>
              <w:t>预算规模及资金用途</w:t>
            </w:r>
          </w:p>
        </w:tc>
        <w:tc>
          <w:tcPr>
            <w:tcW w:w="2268" w:type="dxa"/>
            <w:vAlign w:val="center"/>
          </w:tcPr>
          <w:p w14:paraId="0556A3B4">
            <w:pPr>
              <w:pStyle w:val="11"/>
            </w:pPr>
            <w:r>
              <w:t>预算数</w:t>
            </w:r>
          </w:p>
        </w:tc>
        <w:tc>
          <w:tcPr>
            <w:tcW w:w="2835" w:type="dxa"/>
            <w:vAlign w:val="center"/>
          </w:tcPr>
          <w:p w14:paraId="285C65C0">
            <w:pPr>
              <w:pStyle w:val="13"/>
            </w:pPr>
            <w:r>
              <w:t>13.53</w:t>
            </w:r>
          </w:p>
        </w:tc>
        <w:tc>
          <w:tcPr>
            <w:tcW w:w="2835" w:type="dxa"/>
            <w:vAlign w:val="center"/>
          </w:tcPr>
          <w:p w14:paraId="44853D25">
            <w:pPr>
              <w:pStyle w:val="11"/>
            </w:pPr>
            <w:r>
              <w:t>其中：财政    资金</w:t>
            </w:r>
          </w:p>
        </w:tc>
        <w:tc>
          <w:tcPr>
            <w:tcW w:w="2551" w:type="dxa"/>
            <w:vAlign w:val="center"/>
          </w:tcPr>
          <w:p w14:paraId="545498C1">
            <w:pPr>
              <w:pStyle w:val="13"/>
            </w:pPr>
            <w:r>
              <w:t>13.53</w:t>
            </w:r>
          </w:p>
        </w:tc>
        <w:tc>
          <w:tcPr>
            <w:tcW w:w="2268" w:type="dxa"/>
            <w:vAlign w:val="center"/>
          </w:tcPr>
          <w:p w14:paraId="1494F5F5">
            <w:pPr>
              <w:pStyle w:val="11"/>
            </w:pPr>
            <w:r>
              <w:t>其他资金</w:t>
            </w:r>
          </w:p>
        </w:tc>
        <w:tc>
          <w:tcPr>
            <w:tcW w:w="1276" w:type="dxa"/>
            <w:vAlign w:val="center"/>
          </w:tcPr>
          <w:p w14:paraId="4D767D62">
            <w:pPr>
              <w:pStyle w:val="13"/>
            </w:pPr>
            <w:r>
              <w:t xml:space="preserve"> </w:t>
            </w:r>
          </w:p>
        </w:tc>
      </w:tr>
      <w:tr w14:paraId="54A73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03D22E"/>
        </w:tc>
        <w:tc>
          <w:tcPr>
            <w:tcW w:w="14033" w:type="dxa"/>
            <w:gridSpan w:val="6"/>
            <w:vAlign w:val="center"/>
          </w:tcPr>
          <w:p w14:paraId="5114386A">
            <w:pPr>
              <w:pStyle w:val="13"/>
            </w:pPr>
            <w:r>
              <w:t>有效完成学校教学安全秩序，保障学校教学任务有效开展，满足学校正常教学需要。</w:t>
            </w:r>
            <w:r>
              <w:tab/>
            </w:r>
          </w:p>
        </w:tc>
      </w:tr>
      <w:tr w14:paraId="642A0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15D1D">
            <w:pPr>
              <w:pStyle w:val="11"/>
            </w:pPr>
            <w:r>
              <w:t>资金支出计划（%）</w:t>
            </w:r>
          </w:p>
        </w:tc>
        <w:tc>
          <w:tcPr>
            <w:tcW w:w="5103" w:type="dxa"/>
            <w:gridSpan w:val="2"/>
            <w:vAlign w:val="center"/>
          </w:tcPr>
          <w:p w14:paraId="24FBB928">
            <w:pPr>
              <w:pStyle w:val="11"/>
            </w:pPr>
            <w:r>
              <w:t>3月底</w:t>
            </w:r>
          </w:p>
        </w:tc>
        <w:tc>
          <w:tcPr>
            <w:tcW w:w="2835" w:type="dxa"/>
            <w:vAlign w:val="center"/>
          </w:tcPr>
          <w:p w14:paraId="28EC64DC">
            <w:pPr>
              <w:pStyle w:val="11"/>
            </w:pPr>
            <w:r>
              <w:t>6月底</w:t>
            </w:r>
          </w:p>
        </w:tc>
        <w:tc>
          <w:tcPr>
            <w:tcW w:w="2551" w:type="dxa"/>
            <w:vAlign w:val="center"/>
          </w:tcPr>
          <w:p w14:paraId="20C2C999">
            <w:pPr>
              <w:pStyle w:val="11"/>
            </w:pPr>
            <w:r>
              <w:t>10月底</w:t>
            </w:r>
          </w:p>
        </w:tc>
        <w:tc>
          <w:tcPr>
            <w:tcW w:w="3544" w:type="dxa"/>
            <w:gridSpan w:val="2"/>
            <w:vAlign w:val="center"/>
          </w:tcPr>
          <w:p w14:paraId="033F0AF7">
            <w:pPr>
              <w:pStyle w:val="11"/>
            </w:pPr>
            <w:r>
              <w:t>12月底</w:t>
            </w:r>
          </w:p>
        </w:tc>
      </w:tr>
      <w:tr w14:paraId="579F5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43E7EB"/>
        </w:tc>
        <w:tc>
          <w:tcPr>
            <w:tcW w:w="5103" w:type="dxa"/>
            <w:gridSpan w:val="2"/>
            <w:vAlign w:val="center"/>
          </w:tcPr>
          <w:p w14:paraId="6E2C6A2C">
            <w:pPr>
              <w:pStyle w:val="12"/>
            </w:pPr>
            <w:r>
              <w:t>25%</w:t>
            </w:r>
          </w:p>
        </w:tc>
        <w:tc>
          <w:tcPr>
            <w:tcW w:w="2835" w:type="dxa"/>
            <w:vAlign w:val="center"/>
          </w:tcPr>
          <w:p w14:paraId="046C3DEA">
            <w:pPr>
              <w:pStyle w:val="12"/>
            </w:pPr>
            <w:r>
              <w:t>50%</w:t>
            </w:r>
          </w:p>
        </w:tc>
        <w:tc>
          <w:tcPr>
            <w:tcW w:w="2551" w:type="dxa"/>
            <w:vAlign w:val="center"/>
          </w:tcPr>
          <w:p w14:paraId="7636EFA1">
            <w:pPr>
              <w:pStyle w:val="12"/>
            </w:pPr>
            <w:r>
              <w:t>75%</w:t>
            </w:r>
          </w:p>
        </w:tc>
        <w:tc>
          <w:tcPr>
            <w:tcW w:w="3544" w:type="dxa"/>
            <w:gridSpan w:val="2"/>
            <w:vAlign w:val="center"/>
          </w:tcPr>
          <w:p w14:paraId="7074C79D">
            <w:pPr>
              <w:pStyle w:val="12"/>
            </w:pPr>
            <w:r>
              <w:t>100%</w:t>
            </w:r>
          </w:p>
        </w:tc>
      </w:tr>
      <w:tr w14:paraId="218C8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1E214F">
            <w:pPr>
              <w:pStyle w:val="11"/>
            </w:pPr>
            <w:r>
              <w:t>绩效目标</w:t>
            </w:r>
          </w:p>
        </w:tc>
        <w:tc>
          <w:tcPr>
            <w:tcW w:w="14033" w:type="dxa"/>
            <w:gridSpan w:val="6"/>
            <w:vAlign w:val="center"/>
          </w:tcPr>
          <w:p w14:paraId="6A5DCB07">
            <w:pPr>
              <w:pStyle w:val="13"/>
            </w:pPr>
            <w:r>
              <w:t>1.有效完成学校教学安全秩序，保障学校教学任务有效开展，满足学校正常教学需要。</w:t>
            </w:r>
            <w:r>
              <w:tab/>
            </w:r>
            <w:r>
              <w:tab/>
            </w:r>
            <w:r>
              <w:tab/>
            </w:r>
            <w:r>
              <w:tab/>
            </w:r>
            <w:r>
              <w:tab/>
            </w:r>
          </w:p>
          <w:p w14:paraId="0673EC8A">
            <w:pPr>
              <w:pStyle w:val="13"/>
            </w:pPr>
            <w:r>
              <w:t>2.按规定拨付公用经费资金，预算执行率≥98%。</w:t>
            </w:r>
            <w:r>
              <w:tab/>
            </w:r>
            <w:r>
              <w:tab/>
            </w:r>
            <w:r>
              <w:tab/>
            </w:r>
            <w:r>
              <w:tab/>
            </w:r>
            <w:r>
              <w:tab/>
            </w:r>
            <w:r>
              <w:tab/>
            </w:r>
            <w:r>
              <w:tab/>
            </w:r>
          </w:p>
          <w:p w14:paraId="25D88A2C">
            <w:pPr>
              <w:pStyle w:val="13"/>
            </w:pPr>
            <w:r>
              <w:tab/>
            </w:r>
            <w:r>
              <w:tab/>
            </w:r>
            <w:r>
              <w:tab/>
            </w:r>
          </w:p>
          <w:p w14:paraId="552A509C">
            <w:pPr>
              <w:pStyle w:val="13"/>
            </w:pPr>
          </w:p>
        </w:tc>
      </w:tr>
    </w:tbl>
    <w:p w14:paraId="4B8C74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7960D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67F70">
            <w:pPr>
              <w:pStyle w:val="11"/>
            </w:pPr>
            <w:r>
              <w:t>一级指标</w:t>
            </w:r>
          </w:p>
        </w:tc>
        <w:tc>
          <w:tcPr>
            <w:tcW w:w="2268" w:type="dxa"/>
            <w:vAlign w:val="center"/>
          </w:tcPr>
          <w:p w14:paraId="43F5EDE1">
            <w:pPr>
              <w:pStyle w:val="11"/>
            </w:pPr>
            <w:r>
              <w:t>二级指标</w:t>
            </w:r>
          </w:p>
        </w:tc>
        <w:tc>
          <w:tcPr>
            <w:tcW w:w="2835" w:type="dxa"/>
            <w:vAlign w:val="center"/>
          </w:tcPr>
          <w:p w14:paraId="0431C318">
            <w:pPr>
              <w:pStyle w:val="11"/>
            </w:pPr>
            <w:r>
              <w:t>三级指标</w:t>
            </w:r>
          </w:p>
        </w:tc>
        <w:tc>
          <w:tcPr>
            <w:tcW w:w="5386" w:type="dxa"/>
            <w:vAlign w:val="center"/>
          </w:tcPr>
          <w:p w14:paraId="1719DE69">
            <w:pPr>
              <w:pStyle w:val="11"/>
            </w:pPr>
            <w:r>
              <w:t>绩效指标描述</w:t>
            </w:r>
          </w:p>
        </w:tc>
        <w:tc>
          <w:tcPr>
            <w:tcW w:w="1823" w:type="dxa"/>
            <w:vAlign w:val="center"/>
          </w:tcPr>
          <w:p w14:paraId="34B75E44">
            <w:pPr>
              <w:pStyle w:val="11"/>
            </w:pPr>
            <w:r>
              <w:t>指标值</w:t>
            </w:r>
          </w:p>
        </w:tc>
        <w:tc>
          <w:tcPr>
            <w:tcW w:w="1721" w:type="dxa"/>
            <w:vAlign w:val="center"/>
          </w:tcPr>
          <w:p w14:paraId="6FE54B05">
            <w:pPr>
              <w:pStyle w:val="11"/>
            </w:pPr>
            <w:r>
              <w:t>指标值确定依据</w:t>
            </w:r>
          </w:p>
        </w:tc>
      </w:tr>
      <w:tr w14:paraId="5C2BA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F6016">
            <w:pPr>
              <w:pStyle w:val="12"/>
            </w:pPr>
            <w:r>
              <w:t>产出指标</w:t>
            </w:r>
          </w:p>
        </w:tc>
        <w:tc>
          <w:tcPr>
            <w:tcW w:w="2268" w:type="dxa"/>
            <w:vAlign w:val="center"/>
          </w:tcPr>
          <w:p w14:paraId="1CFCE641">
            <w:pPr>
              <w:pStyle w:val="13"/>
            </w:pPr>
            <w:r>
              <w:t>数量指标</w:t>
            </w:r>
          </w:p>
        </w:tc>
        <w:tc>
          <w:tcPr>
            <w:tcW w:w="2835" w:type="dxa"/>
            <w:vAlign w:val="center"/>
          </w:tcPr>
          <w:p w14:paraId="6C839123">
            <w:pPr>
              <w:pStyle w:val="13"/>
            </w:pPr>
            <w:r>
              <w:t>就读学生数</w:t>
            </w:r>
          </w:p>
        </w:tc>
        <w:tc>
          <w:tcPr>
            <w:tcW w:w="5386" w:type="dxa"/>
            <w:vAlign w:val="center"/>
          </w:tcPr>
          <w:p w14:paraId="6886DCD0">
            <w:pPr>
              <w:pStyle w:val="13"/>
            </w:pPr>
            <w:r>
              <w:t>辐射区域内适龄学生人数</w:t>
            </w:r>
          </w:p>
        </w:tc>
        <w:tc>
          <w:tcPr>
            <w:tcW w:w="1823" w:type="dxa"/>
            <w:vAlign w:val="center"/>
          </w:tcPr>
          <w:p w14:paraId="4A19CB7C">
            <w:pPr>
              <w:pStyle w:val="13"/>
            </w:pPr>
            <w:r>
              <w:t>482人</w:t>
            </w:r>
          </w:p>
        </w:tc>
        <w:tc>
          <w:tcPr>
            <w:tcW w:w="1721" w:type="dxa"/>
            <w:vAlign w:val="center"/>
          </w:tcPr>
          <w:p w14:paraId="6EA25F1B">
            <w:pPr>
              <w:pStyle w:val="13"/>
            </w:pPr>
            <w:r>
              <w:t>城乡义务教育公用经费管理办法</w:t>
            </w:r>
          </w:p>
        </w:tc>
      </w:tr>
      <w:tr w14:paraId="52020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E5E1D"/>
        </w:tc>
        <w:tc>
          <w:tcPr>
            <w:tcW w:w="2268" w:type="dxa"/>
            <w:vAlign w:val="center"/>
          </w:tcPr>
          <w:p w14:paraId="10DDDA9D">
            <w:pPr>
              <w:pStyle w:val="13"/>
            </w:pPr>
            <w:r>
              <w:t>质量指标</w:t>
            </w:r>
          </w:p>
        </w:tc>
        <w:tc>
          <w:tcPr>
            <w:tcW w:w="2835" w:type="dxa"/>
            <w:vAlign w:val="center"/>
          </w:tcPr>
          <w:p w14:paraId="4B7F8277">
            <w:pPr>
              <w:pStyle w:val="13"/>
            </w:pPr>
            <w:r>
              <w:t>预算执行率</w:t>
            </w:r>
          </w:p>
        </w:tc>
        <w:tc>
          <w:tcPr>
            <w:tcW w:w="5386" w:type="dxa"/>
            <w:vAlign w:val="center"/>
          </w:tcPr>
          <w:p w14:paraId="5BD08845">
            <w:pPr>
              <w:pStyle w:val="13"/>
            </w:pPr>
            <w:r>
              <w:t>预算执行率≥98%</w:t>
            </w:r>
          </w:p>
        </w:tc>
        <w:tc>
          <w:tcPr>
            <w:tcW w:w="1823" w:type="dxa"/>
            <w:vAlign w:val="center"/>
          </w:tcPr>
          <w:p w14:paraId="70776C6D">
            <w:pPr>
              <w:pStyle w:val="13"/>
            </w:pPr>
            <w:r>
              <w:t>≥98%</w:t>
            </w:r>
          </w:p>
        </w:tc>
        <w:tc>
          <w:tcPr>
            <w:tcW w:w="1721" w:type="dxa"/>
            <w:vAlign w:val="center"/>
          </w:tcPr>
          <w:p w14:paraId="43296598">
            <w:pPr>
              <w:pStyle w:val="13"/>
            </w:pPr>
            <w:r>
              <w:t>城乡义务教育公用经费管理办法</w:t>
            </w:r>
          </w:p>
        </w:tc>
      </w:tr>
      <w:tr w14:paraId="05EEA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01695"/>
        </w:tc>
        <w:tc>
          <w:tcPr>
            <w:tcW w:w="2268" w:type="dxa"/>
            <w:vAlign w:val="center"/>
          </w:tcPr>
          <w:p w14:paraId="577D230B">
            <w:pPr>
              <w:pStyle w:val="13"/>
            </w:pPr>
            <w:r>
              <w:t>时效指标</w:t>
            </w:r>
          </w:p>
        </w:tc>
        <w:tc>
          <w:tcPr>
            <w:tcW w:w="2835" w:type="dxa"/>
            <w:vAlign w:val="center"/>
          </w:tcPr>
          <w:p w14:paraId="136E1FA5">
            <w:pPr>
              <w:pStyle w:val="13"/>
            </w:pPr>
            <w:r>
              <w:t>义教经费支付完成率</w:t>
            </w:r>
          </w:p>
        </w:tc>
        <w:tc>
          <w:tcPr>
            <w:tcW w:w="5386" w:type="dxa"/>
            <w:vAlign w:val="center"/>
          </w:tcPr>
          <w:p w14:paraId="0B046E8D">
            <w:pPr>
              <w:pStyle w:val="13"/>
            </w:pPr>
            <w:r>
              <w:t>按照序时进度完成资金支付</w:t>
            </w:r>
          </w:p>
        </w:tc>
        <w:tc>
          <w:tcPr>
            <w:tcW w:w="1823" w:type="dxa"/>
            <w:vAlign w:val="center"/>
          </w:tcPr>
          <w:p w14:paraId="79D940A8">
            <w:pPr>
              <w:pStyle w:val="13"/>
            </w:pPr>
            <w:r>
              <w:t>≥100%</w:t>
            </w:r>
          </w:p>
        </w:tc>
        <w:tc>
          <w:tcPr>
            <w:tcW w:w="1721" w:type="dxa"/>
            <w:vAlign w:val="center"/>
          </w:tcPr>
          <w:p w14:paraId="76895888">
            <w:pPr>
              <w:pStyle w:val="13"/>
            </w:pPr>
            <w:r>
              <w:t>城乡义务教育公用经费管理办法</w:t>
            </w:r>
          </w:p>
        </w:tc>
      </w:tr>
      <w:tr w14:paraId="470E1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B5F0E"/>
        </w:tc>
        <w:tc>
          <w:tcPr>
            <w:tcW w:w="2268" w:type="dxa"/>
            <w:vAlign w:val="center"/>
          </w:tcPr>
          <w:p w14:paraId="57866A56">
            <w:pPr>
              <w:pStyle w:val="13"/>
            </w:pPr>
            <w:r>
              <w:t>成本指标</w:t>
            </w:r>
          </w:p>
        </w:tc>
        <w:tc>
          <w:tcPr>
            <w:tcW w:w="2835" w:type="dxa"/>
            <w:vAlign w:val="center"/>
          </w:tcPr>
          <w:p w14:paraId="2A0D5B42">
            <w:pPr>
              <w:pStyle w:val="13"/>
            </w:pPr>
            <w:r>
              <w:t>生均拨款标准</w:t>
            </w:r>
          </w:p>
        </w:tc>
        <w:tc>
          <w:tcPr>
            <w:tcW w:w="5386" w:type="dxa"/>
            <w:vAlign w:val="center"/>
          </w:tcPr>
          <w:p w14:paraId="42114DB4">
            <w:pPr>
              <w:pStyle w:val="13"/>
            </w:pPr>
            <w:r>
              <w:t>小学：（基本标准720元、寄宿生300元、生活补助120元）/生/学年；特教、随班就读学生：标准7000元/生/学年</w:t>
            </w:r>
          </w:p>
        </w:tc>
        <w:tc>
          <w:tcPr>
            <w:tcW w:w="1823" w:type="dxa"/>
            <w:vAlign w:val="center"/>
          </w:tcPr>
          <w:p w14:paraId="49E4297D">
            <w:pPr>
              <w:pStyle w:val="13"/>
            </w:pPr>
            <w:r>
              <w:t>840元</w:t>
            </w:r>
          </w:p>
        </w:tc>
        <w:tc>
          <w:tcPr>
            <w:tcW w:w="1721" w:type="dxa"/>
            <w:vAlign w:val="center"/>
          </w:tcPr>
          <w:p w14:paraId="117A3308">
            <w:pPr>
              <w:pStyle w:val="13"/>
            </w:pPr>
            <w:r>
              <w:t>城乡义务教育公用经费管理办法</w:t>
            </w:r>
          </w:p>
        </w:tc>
      </w:tr>
      <w:tr w14:paraId="6F83D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BDFD1F">
            <w:pPr>
              <w:pStyle w:val="12"/>
            </w:pPr>
            <w:r>
              <w:t>效益指标</w:t>
            </w:r>
          </w:p>
        </w:tc>
        <w:tc>
          <w:tcPr>
            <w:tcW w:w="2268" w:type="dxa"/>
            <w:vAlign w:val="center"/>
          </w:tcPr>
          <w:p w14:paraId="6977C050">
            <w:pPr>
              <w:pStyle w:val="13"/>
            </w:pPr>
            <w:r>
              <w:t>可持续影响指标</w:t>
            </w:r>
          </w:p>
        </w:tc>
        <w:tc>
          <w:tcPr>
            <w:tcW w:w="2835" w:type="dxa"/>
            <w:vAlign w:val="center"/>
          </w:tcPr>
          <w:p w14:paraId="6FD72610">
            <w:pPr>
              <w:pStyle w:val="13"/>
            </w:pPr>
            <w:r>
              <w:t>学校运转得到提高</w:t>
            </w:r>
          </w:p>
        </w:tc>
        <w:tc>
          <w:tcPr>
            <w:tcW w:w="5386" w:type="dxa"/>
            <w:vAlign w:val="center"/>
          </w:tcPr>
          <w:p w14:paraId="09A00678">
            <w:pPr>
              <w:pStyle w:val="13"/>
            </w:pPr>
            <w:r>
              <w:t>学生受教育年限</w:t>
            </w:r>
          </w:p>
        </w:tc>
        <w:tc>
          <w:tcPr>
            <w:tcW w:w="1823" w:type="dxa"/>
            <w:vAlign w:val="center"/>
          </w:tcPr>
          <w:p w14:paraId="14AD6F42">
            <w:pPr>
              <w:pStyle w:val="13"/>
            </w:pPr>
            <w:r>
              <w:t>6年</w:t>
            </w:r>
          </w:p>
        </w:tc>
        <w:tc>
          <w:tcPr>
            <w:tcW w:w="1721" w:type="dxa"/>
            <w:vAlign w:val="center"/>
          </w:tcPr>
          <w:p w14:paraId="12FCC6CB">
            <w:pPr>
              <w:pStyle w:val="13"/>
            </w:pPr>
            <w:r>
              <w:t>城乡义务教育公用经费管理办法</w:t>
            </w:r>
          </w:p>
        </w:tc>
      </w:tr>
      <w:tr w14:paraId="4DD71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D898AE">
            <w:pPr>
              <w:pStyle w:val="12"/>
            </w:pPr>
            <w:r>
              <w:t>满意度指标</w:t>
            </w:r>
          </w:p>
        </w:tc>
        <w:tc>
          <w:tcPr>
            <w:tcW w:w="2268" w:type="dxa"/>
            <w:vAlign w:val="center"/>
          </w:tcPr>
          <w:p w14:paraId="129BCB70">
            <w:pPr>
              <w:pStyle w:val="13"/>
            </w:pPr>
            <w:r>
              <w:t>服务对象满意度指标</w:t>
            </w:r>
          </w:p>
        </w:tc>
        <w:tc>
          <w:tcPr>
            <w:tcW w:w="2835" w:type="dxa"/>
            <w:vAlign w:val="center"/>
          </w:tcPr>
          <w:p w14:paraId="18AA5B5F">
            <w:pPr>
              <w:pStyle w:val="13"/>
            </w:pPr>
            <w:r>
              <w:t>服务对象满意度</w:t>
            </w:r>
          </w:p>
        </w:tc>
        <w:tc>
          <w:tcPr>
            <w:tcW w:w="5386" w:type="dxa"/>
            <w:vAlign w:val="center"/>
          </w:tcPr>
          <w:p w14:paraId="42E8F27A">
            <w:pPr>
              <w:pStyle w:val="13"/>
            </w:pPr>
            <w:r>
              <w:t>学校老师和学生满意度</w:t>
            </w:r>
          </w:p>
        </w:tc>
        <w:tc>
          <w:tcPr>
            <w:tcW w:w="1823" w:type="dxa"/>
            <w:vAlign w:val="center"/>
          </w:tcPr>
          <w:p w14:paraId="750A6FBF">
            <w:pPr>
              <w:pStyle w:val="13"/>
            </w:pPr>
            <w:r>
              <w:t>≥95%</w:t>
            </w:r>
          </w:p>
        </w:tc>
        <w:tc>
          <w:tcPr>
            <w:tcW w:w="1721" w:type="dxa"/>
            <w:vAlign w:val="center"/>
          </w:tcPr>
          <w:p w14:paraId="1FD3A54E">
            <w:pPr>
              <w:pStyle w:val="13"/>
            </w:pPr>
            <w:r>
              <w:t>城乡义务教育公用经费管理办法</w:t>
            </w:r>
          </w:p>
        </w:tc>
      </w:tr>
    </w:tbl>
    <w:p w14:paraId="61A23AC8">
      <w:pPr>
        <w:sectPr>
          <w:pgSz w:w="16840" w:h="11900" w:orient="landscape"/>
          <w:pgMar w:top="1361" w:right="1020" w:bottom="1134" w:left="1020" w:header="720" w:footer="720" w:gutter="0"/>
          <w:cols w:space="720" w:num="1"/>
        </w:sectPr>
      </w:pPr>
    </w:p>
    <w:p w14:paraId="5748F3A3">
      <w:pPr>
        <w:spacing w:before="0" w:after="0"/>
        <w:ind w:firstLine="560"/>
        <w:jc w:val="left"/>
        <w:outlineLvl w:val="9"/>
      </w:pPr>
      <w:r>
        <w:rPr>
          <w:rFonts w:ascii="方正仿宋_GBK" w:hAnsi="方正仿宋_GBK" w:eastAsia="方正仿宋_GBK" w:cs="方正仿宋_GBK"/>
          <w:b/>
          <w:color w:val="000000"/>
          <w:sz w:val="28"/>
        </w:rPr>
        <w:t>13、冀财教[2024]141号/省级/2025年义教补助经费/南汪店小学公用经费绩效目标表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21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8B1592">
            <w:pPr>
              <w:pStyle w:val="14"/>
            </w:pPr>
            <w:r>
              <w:t>单位：万元</w:t>
            </w:r>
          </w:p>
        </w:tc>
      </w:tr>
      <w:tr w14:paraId="1DF66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52A7D0C7">
            <w:pPr>
              <w:pStyle w:val="11"/>
            </w:pPr>
            <w:r>
              <w:t>项目编码</w:t>
            </w:r>
          </w:p>
        </w:tc>
        <w:tc>
          <w:tcPr>
            <w:tcW w:w="5103" w:type="dxa"/>
            <w:gridSpan w:val="2"/>
            <w:vAlign w:val="center"/>
          </w:tcPr>
          <w:p w14:paraId="134E1A7B">
            <w:pPr>
              <w:pStyle w:val="13"/>
            </w:pPr>
            <w:r>
              <w:t>13052525P000004101447</w:t>
            </w:r>
          </w:p>
        </w:tc>
        <w:tc>
          <w:tcPr>
            <w:tcW w:w="2835" w:type="dxa"/>
            <w:vAlign w:val="center"/>
          </w:tcPr>
          <w:p w14:paraId="526814EE">
            <w:pPr>
              <w:pStyle w:val="11"/>
            </w:pPr>
            <w:r>
              <w:t>项目名称</w:t>
            </w:r>
          </w:p>
        </w:tc>
        <w:tc>
          <w:tcPr>
            <w:tcW w:w="6095" w:type="dxa"/>
            <w:gridSpan w:val="3"/>
            <w:vAlign w:val="center"/>
          </w:tcPr>
          <w:p w14:paraId="1D821FF9">
            <w:pPr>
              <w:pStyle w:val="13"/>
            </w:pPr>
            <w:r>
              <w:t>冀财教[2024]141号/省级/2025年义教补助经费/南汪店小学公用经费</w:t>
            </w:r>
          </w:p>
        </w:tc>
      </w:tr>
      <w:tr w14:paraId="796B5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32207">
            <w:pPr>
              <w:pStyle w:val="11"/>
            </w:pPr>
            <w:r>
              <w:t>预算规模及资金用途</w:t>
            </w:r>
          </w:p>
        </w:tc>
        <w:tc>
          <w:tcPr>
            <w:tcW w:w="2268" w:type="dxa"/>
            <w:vAlign w:val="center"/>
          </w:tcPr>
          <w:p w14:paraId="1749026C">
            <w:pPr>
              <w:pStyle w:val="11"/>
            </w:pPr>
            <w:r>
              <w:t>预算数</w:t>
            </w:r>
          </w:p>
        </w:tc>
        <w:tc>
          <w:tcPr>
            <w:tcW w:w="2835" w:type="dxa"/>
            <w:vAlign w:val="center"/>
          </w:tcPr>
          <w:p w14:paraId="0A2D7EDB">
            <w:pPr>
              <w:pStyle w:val="13"/>
            </w:pPr>
            <w:r>
              <w:t>10.96</w:t>
            </w:r>
          </w:p>
        </w:tc>
        <w:tc>
          <w:tcPr>
            <w:tcW w:w="2835" w:type="dxa"/>
            <w:vAlign w:val="center"/>
          </w:tcPr>
          <w:p w14:paraId="5F476A0D">
            <w:pPr>
              <w:pStyle w:val="11"/>
            </w:pPr>
            <w:r>
              <w:t>其中：财政    资金</w:t>
            </w:r>
          </w:p>
        </w:tc>
        <w:tc>
          <w:tcPr>
            <w:tcW w:w="2551" w:type="dxa"/>
            <w:vAlign w:val="center"/>
          </w:tcPr>
          <w:p w14:paraId="69FE2770">
            <w:pPr>
              <w:pStyle w:val="13"/>
            </w:pPr>
            <w:r>
              <w:t>10.96</w:t>
            </w:r>
          </w:p>
        </w:tc>
        <w:tc>
          <w:tcPr>
            <w:tcW w:w="2268" w:type="dxa"/>
            <w:vAlign w:val="center"/>
          </w:tcPr>
          <w:p w14:paraId="30FEBB4F">
            <w:pPr>
              <w:pStyle w:val="11"/>
            </w:pPr>
            <w:r>
              <w:t>其他资金</w:t>
            </w:r>
          </w:p>
        </w:tc>
        <w:tc>
          <w:tcPr>
            <w:tcW w:w="1276" w:type="dxa"/>
            <w:vAlign w:val="center"/>
          </w:tcPr>
          <w:p w14:paraId="49F6A403">
            <w:pPr>
              <w:pStyle w:val="13"/>
            </w:pPr>
            <w:r>
              <w:t xml:space="preserve"> </w:t>
            </w:r>
          </w:p>
        </w:tc>
      </w:tr>
      <w:tr w14:paraId="77441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38829E"/>
        </w:tc>
        <w:tc>
          <w:tcPr>
            <w:tcW w:w="14033" w:type="dxa"/>
            <w:gridSpan w:val="6"/>
            <w:vAlign w:val="center"/>
          </w:tcPr>
          <w:p w14:paraId="518E8CB4">
            <w:pPr>
              <w:pStyle w:val="13"/>
            </w:pPr>
            <w:r>
              <w:t>有效完成学校教学安全秩序，保障学校教学任务有效开展，满足学校正常教学需要。</w:t>
            </w:r>
            <w:r>
              <w:tab/>
            </w:r>
            <w:r>
              <w:tab/>
            </w:r>
          </w:p>
        </w:tc>
      </w:tr>
      <w:tr w14:paraId="0184B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0CFA4">
            <w:pPr>
              <w:pStyle w:val="11"/>
            </w:pPr>
            <w:r>
              <w:t>资金支出计划（%）</w:t>
            </w:r>
          </w:p>
        </w:tc>
        <w:tc>
          <w:tcPr>
            <w:tcW w:w="5103" w:type="dxa"/>
            <w:gridSpan w:val="2"/>
            <w:vAlign w:val="center"/>
          </w:tcPr>
          <w:p w14:paraId="067C27CE">
            <w:pPr>
              <w:pStyle w:val="11"/>
            </w:pPr>
            <w:r>
              <w:t>3月底</w:t>
            </w:r>
          </w:p>
        </w:tc>
        <w:tc>
          <w:tcPr>
            <w:tcW w:w="2835" w:type="dxa"/>
            <w:vAlign w:val="center"/>
          </w:tcPr>
          <w:p w14:paraId="73EC7A7D">
            <w:pPr>
              <w:pStyle w:val="11"/>
            </w:pPr>
            <w:r>
              <w:t>6月底</w:t>
            </w:r>
          </w:p>
        </w:tc>
        <w:tc>
          <w:tcPr>
            <w:tcW w:w="2551" w:type="dxa"/>
            <w:vAlign w:val="center"/>
          </w:tcPr>
          <w:p w14:paraId="47FA5AC7">
            <w:pPr>
              <w:pStyle w:val="11"/>
            </w:pPr>
            <w:r>
              <w:t>10月底</w:t>
            </w:r>
          </w:p>
        </w:tc>
        <w:tc>
          <w:tcPr>
            <w:tcW w:w="3544" w:type="dxa"/>
            <w:gridSpan w:val="2"/>
            <w:vAlign w:val="center"/>
          </w:tcPr>
          <w:p w14:paraId="2F42580A">
            <w:pPr>
              <w:pStyle w:val="11"/>
            </w:pPr>
            <w:r>
              <w:t>12月底</w:t>
            </w:r>
          </w:p>
        </w:tc>
      </w:tr>
      <w:tr w14:paraId="49BC7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5B51AB9C"/>
        </w:tc>
        <w:tc>
          <w:tcPr>
            <w:tcW w:w="5103" w:type="dxa"/>
            <w:gridSpan w:val="2"/>
            <w:vAlign w:val="center"/>
          </w:tcPr>
          <w:p w14:paraId="11AC59B2">
            <w:pPr>
              <w:pStyle w:val="12"/>
            </w:pPr>
            <w:r>
              <w:t>25%</w:t>
            </w:r>
          </w:p>
        </w:tc>
        <w:tc>
          <w:tcPr>
            <w:tcW w:w="2835" w:type="dxa"/>
            <w:vAlign w:val="center"/>
          </w:tcPr>
          <w:p w14:paraId="21E89F47">
            <w:pPr>
              <w:pStyle w:val="12"/>
            </w:pPr>
            <w:r>
              <w:t>50%</w:t>
            </w:r>
          </w:p>
        </w:tc>
        <w:tc>
          <w:tcPr>
            <w:tcW w:w="2551" w:type="dxa"/>
            <w:vAlign w:val="center"/>
          </w:tcPr>
          <w:p w14:paraId="15797647">
            <w:pPr>
              <w:pStyle w:val="12"/>
            </w:pPr>
            <w:r>
              <w:t>75%</w:t>
            </w:r>
          </w:p>
        </w:tc>
        <w:tc>
          <w:tcPr>
            <w:tcW w:w="3544" w:type="dxa"/>
            <w:gridSpan w:val="2"/>
            <w:vAlign w:val="center"/>
          </w:tcPr>
          <w:p w14:paraId="791F81AD">
            <w:pPr>
              <w:pStyle w:val="12"/>
            </w:pPr>
            <w:r>
              <w:t>100%</w:t>
            </w:r>
          </w:p>
        </w:tc>
      </w:tr>
      <w:tr w14:paraId="7B37DB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D16A8">
            <w:pPr>
              <w:pStyle w:val="11"/>
            </w:pPr>
            <w:r>
              <w:t>绩效目标</w:t>
            </w:r>
          </w:p>
        </w:tc>
        <w:tc>
          <w:tcPr>
            <w:tcW w:w="14033" w:type="dxa"/>
            <w:gridSpan w:val="6"/>
            <w:vAlign w:val="center"/>
          </w:tcPr>
          <w:p w14:paraId="1C13C9E5">
            <w:pPr>
              <w:pStyle w:val="13"/>
            </w:pPr>
            <w:r>
              <w:t>1.有效完成学校教学安全秩序，保障学校教学任务有效开展，满足学校正常教学需要。</w:t>
            </w:r>
            <w:r>
              <w:tab/>
            </w:r>
            <w:r>
              <w:tab/>
            </w:r>
            <w:r>
              <w:tab/>
            </w:r>
            <w:r>
              <w:tab/>
            </w:r>
            <w:r>
              <w:tab/>
            </w:r>
            <w:r>
              <w:tab/>
            </w:r>
          </w:p>
          <w:p w14:paraId="6578F15E">
            <w:pPr>
              <w:pStyle w:val="13"/>
            </w:pPr>
            <w:r>
              <w:tab/>
            </w:r>
            <w:r>
              <w:tab/>
            </w:r>
            <w:r>
              <w:tab/>
            </w:r>
            <w:r>
              <w:tab/>
            </w:r>
          </w:p>
          <w:p w14:paraId="2809D4AF">
            <w:pPr>
              <w:pStyle w:val="13"/>
            </w:pPr>
            <w:r>
              <w:t>2.按规定拨付公用经费资金，预算执行率≥98%。</w:t>
            </w:r>
            <w:r>
              <w:tab/>
            </w:r>
            <w:r>
              <w:tab/>
            </w:r>
            <w:r>
              <w:tab/>
            </w:r>
            <w:r>
              <w:tab/>
            </w:r>
            <w:r>
              <w:tab/>
            </w:r>
            <w:r>
              <w:tab/>
            </w:r>
            <w:r>
              <w:tab/>
            </w:r>
            <w:r>
              <w:tab/>
            </w:r>
          </w:p>
        </w:tc>
      </w:tr>
    </w:tbl>
    <w:p w14:paraId="4D831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78"/>
        <w:gridCol w:w="2066"/>
      </w:tblGrid>
      <w:tr w14:paraId="57D11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092A6">
            <w:pPr>
              <w:pStyle w:val="11"/>
            </w:pPr>
            <w:r>
              <w:t>一级指标</w:t>
            </w:r>
          </w:p>
        </w:tc>
        <w:tc>
          <w:tcPr>
            <w:tcW w:w="2268" w:type="dxa"/>
            <w:vAlign w:val="center"/>
          </w:tcPr>
          <w:p w14:paraId="0D2AC891">
            <w:pPr>
              <w:pStyle w:val="11"/>
            </w:pPr>
            <w:r>
              <w:t>二级指标</w:t>
            </w:r>
          </w:p>
        </w:tc>
        <w:tc>
          <w:tcPr>
            <w:tcW w:w="2835" w:type="dxa"/>
            <w:vAlign w:val="center"/>
          </w:tcPr>
          <w:p w14:paraId="6AA9F4CB">
            <w:pPr>
              <w:pStyle w:val="11"/>
            </w:pPr>
            <w:r>
              <w:t>三级指标</w:t>
            </w:r>
          </w:p>
        </w:tc>
        <w:tc>
          <w:tcPr>
            <w:tcW w:w="5386" w:type="dxa"/>
            <w:vAlign w:val="center"/>
          </w:tcPr>
          <w:p w14:paraId="7D52B07C">
            <w:pPr>
              <w:pStyle w:val="11"/>
            </w:pPr>
            <w:r>
              <w:t>绩效指标描述</w:t>
            </w:r>
          </w:p>
        </w:tc>
        <w:tc>
          <w:tcPr>
            <w:tcW w:w="1478" w:type="dxa"/>
            <w:vAlign w:val="center"/>
          </w:tcPr>
          <w:p w14:paraId="3F19BD4D">
            <w:pPr>
              <w:pStyle w:val="11"/>
            </w:pPr>
            <w:r>
              <w:t>指标值</w:t>
            </w:r>
          </w:p>
        </w:tc>
        <w:tc>
          <w:tcPr>
            <w:tcW w:w="2066" w:type="dxa"/>
            <w:vAlign w:val="center"/>
          </w:tcPr>
          <w:p w14:paraId="2059A6CD">
            <w:pPr>
              <w:pStyle w:val="11"/>
            </w:pPr>
            <w:r>
              <w:t>指标值确定依据</w:t>
            </w:r>
          </w:p>
        </w:tc>
      </w:tr>
      <w:tr w14:paraId="6D7DD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92" w:hRule="atLeast"/>
          <w:jc w:val="center"/>
        </w:trPr>
        <w:tc>
          <w:tcPr>
            <w:tcW w:w="1276" w:type="dxa"/>
            <w:vMerge w:val="restart"/>
            <w:vAlign w:val="center"/>
          </w:tcPr>
          <w:p w14:paraId="7D0C1B93">
            <w:pPr>
              <w:pStyle w:val="12"/>
            </w:pPr>
            <w:r>
              <w:t>产出指标</w:t>
            </w:r>
          </w:p>
        </w:tc>
        <w:tc>
          <w:tcPr>
            <w:tcW w:w="2268" w:type="dxa"/>
            <w:vAlign w:val="center"/>
          </w:tcPr>
          <w:p w14:paraId="492C726C">
            <w:pPr>
              <w:pStyle w:val="13"/>
            </w:pPr>
            <w:r>
              <w:t>数量指标</w:t>
            </w:r>
          </w:p>
        </w:tc>
        <w:tc>
          <w:tcPr>
            <w:tcW w:w="2835" w:type="dxa"/>
            <w:vAlign w:val="center"/>
          </w:tcPr>
          <w:p w14:paraId="2DCCC9A5">
            <w:pPr>
              <w:pStyle w:val="13"/>
            </w:pPr>
            <w:r>
              <w:t>就读学生数</w:t>
            </w:r>
          </w:p>
        </w:tc>
        <w:tc>
          <w:tcPr>
            <w:tcW w:w="5386" w:type="dxa"/>
            <w:vAlign w:val="center"/>
          </w:tcPr>
          <w:p w14:paraId="4B1F358C">
            <w:pPr>
              <w:pStyle w:val="13"/>
            </w:pPr>
            <w:r>
              <w:t>辐射区域内适龄学生人数</w:t>
            </w:r>
          </w:p>
        </w:tc>
        <w:tc>
          <w:tcPr>
            <w:tcW w:w="1478" w:type="dxa"/>
            <w:vAlign w:val="center"/>
          </w:tcPr>
          <w:p w14:paraId="7579E7BB">
            <w:pPr>
              <w:pStyle w:val="13"/>
            </w:pPr>
            <w:r>
              <w:t>380人</w:t>
            </w:r>
          </w:p>
        </w:tc>
        <w:tc>
          <w:tcPr>
            <w:tcW w:w="2066" w:type="dxa"/>
            <w:vAlign w:val="center"/>
          </w:tcPr>
          <w:p w14:paraId="22F49279">
            <w:pPr>
              <w:pStyle w:val="13"/>
            </w:pPr>
            <w:r>
              <w:t>城乡义务教育公用经费管理办法</w:t>
            </w:r>
          </w:p>
        </w:tc>
      </w:tr>
      <w:tr w14:paraId="28E15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0952D"/>
        </w:tc>
        <w:tc>
          <w:tcPr>
            <w:tcW w:w="2268" w:type="dxa"/>
            <w:vAlign w:val="center"/>
          </w:tcPr>
          <w:p w14:paraId="119F5631">
            <w:pPr>
              <w:pStyle w:val="13"/>
            </w:pPr>
            <w:r>
              <w:t>质量指标</w:t>
            </w:r>
          </w:p>
        </w:tc>
        <w:tc>
          <w:tcPr>
            <w:tcW w:w="2835" w:type="dxa"/>
            <w:vAlign w:val="center"/>
          </w:tcPr>
          <w:p w14:paraId="6C7D6959">
            <w:pPr>
              <w:pStyle w:val="13"/>
            </w:pPr>
            <w:r>
              <w:t>预算执行率</w:t>
            </w:r>
          </w:p>
        </w:tc>
        <w:tc>
          <w:tcPr>
            <w:tcW w:w="5386" w:type="dxa"/>
            <w:vAlign w:val="center"/>
          </w:tcPr>
          <w:p w14:paraId="7DC156BC">
            <w:pPr>
              <w:pStyle w:val="13"/>
            </w:pPr>
            <w:r>
              <w:t>预算执行率≥98%</w:t>
            </w:r>
          </w:p>
        </w:tc>
        <w:tc>
          <w:tcPr>
            <w:tcW w:w="1478" w:type="dxa"/>
            <w:vAlign w:val="center"/>
          </w:tcPr>
          <w:p w14:paraId="54FB8455">
            <w:pPr>
              <w:pStyle w:val="13"/>
            </w:pPr>
            <w:r>
              <w:t>≥98%</w:t>
            </w:r>
          </w:p>
        </w:tc>
        <w:tc>
          <w:tcPr>
            <w:tcW w:w="2066" w:type="dxa"/>
            <w:vAlign w:val="center"/>
          </w:tcPr>
          <w:p w14:paraId="6CB5189C">
            <w:pPr>
              <w:pStyle w:val="13"/>
            </w:pPr>
            <w:r>
              <w:t>城乡义务教育公用经费管理办法</w:t>
            </w:r>
          </w:p>
        </w:tc>
      </w:tr>
      <w:tr w14:paraId="1F065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5BEE0"/>
        </w:tc>
        <w:tc>
          <w:tcPr>
            <w:tcW w:w="2268" w:type="dxa"/>
            <w:vAlign w:val="center"/>
          </w:tcPr>
          <w:p w14:paraId="168AA29D">
            <w:pPr>
              <w:pStyle w:val="13"/>
            </w:pPr>
            <w:r>
              <w:t>时效指标</w:t>
            </w:r>
          </w:p>
        </w:tc>
        <w:tc>
          <w:tcPr>
            <w:tcW w:w="2835" w:type="dxa"/>
            <w:vAlign w:val="center"/>
          </w:tcPr>
          <w:p w14:paraId="66368831">
            <w:pPr>
              <w:pStyle w:val="13"/>
            </w:pPr>
            <w:r>
              <w:t>义教经费支付完成率</w:t>
            </w:r>
          </w:p>
        </w:tc>
        <w:tc>
          <w:tcPr>
            <w:tcW w:w="5386" w:type="dxa"/>
            <w:vAlign w:val="center"/>
          </w:tcPr>
          <w:p w14:paraId="5070251B">
            <w:pPr>
              <w:pStyle w:val="13"/>
            </w:pPr>
            <w:r>
              <w:t>按照序时进度完成资金支付</w:t>
            </w:r>
          </w:p>
        </w:tc>
        <w:tc>
          <w:tcPr>
            <w:tcW w:w="1478" w:type="dxa"/>
            <w:vAlign w:val="center"/>
          </w:tcPr>
          <w:p w14:paraId="20E9ABA9">
            <w:pPr>
              <w:pStyle w:val="13"/>
            </w:pPr>
            <w:r>
              <w:t>≥100%</w:t>
            </w:r>
          </w:p>
        </w:tc>
        <w:tc>
          <w:tcPr>
            <w:tcW w:w="2066" w:type="dxa"/>
            <w:vAlign w:val="center"/>
          </w:tcPr>
          <w:p w14:paraId="0C32636F">
            <w:pPr>
              <w:pStyle w:val="13"/>
            </w:pPr>
            <w:r>
              <w:t>城乡义务教育公用经费管理办法</w:t>
            </w:r>
          </w:p>
        </w:tc>
      </w:tr>
      <w:tr w14:paraId="30A7A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CFAE9"/>
        </w:tc>
        <w:tc>
          <w:tcPr>
            <w:tcW w:w="2268" w:type="dxa"/>
            <w:vAlign w:val="center"/>
          </w:tcPr>
          <w:p w14:paraId="26F80F7F">
            <w:pPr>
              <w:pStyle w:val="13"/>
            </w:pPr>
            <w:r>
              <w:t>成本指标</w:t>
            </w:r>
          </w:p>
        </w:tc>
        <w:tc>
          <w:tcPr>
            <w:tcW w:w="2835" w:type="dxa"/>
            <w:vAlign w:val="center"/>
          </w:tcPr>
          <w:p w14:paraId="022459BA">
            <w:pPr>
              <w:pStyle w:val="13"/>
            </w:pPr>
            <w:r>
              <w:t>生均拨款标准</w:t>
            </w:r>
          </w:p>
        </w:tc>
        <w:tc>
          <w:tcPr>
            <w:tcW w:w="5386" w:type="dxa"/>
            <w:vAlign w:val="center"/>
          </w:tcPr>
          <w:p w14:paraId="13E530AB">
            <w:pPr>
              <w:pStyle w:val="13"/>
            </w:pPr>
            <w:r>
              <w:t>小学：（基本标准720元、寄宿生300元、生活补助120元）/生/学年；特教、随班就读学生：标准7000元/生/学年</w:t>
            </w:r>
          </w:p>
        </w:tc>
        <w:tc>
          <w:tcPr>
            <w:tcW w:w="1478" w:type="dxa"/>
            <w:vAlign w:val="center"/>
          </w:tcPr>
          <w:p w14:paraId="4D39B2A7">
            <w:pPr>
              <w:pStyle w:val="13"/>
            </w:pPr>
            <w:r>
              <w:t>840元</w:t>
            </w:r>
          </w:p>
        </w:tc>
        <w:tc>
          <w:tcPr>
            <w:tcW w:w="2066" w:type="dxa"/>
            <w:vAlign w:val="center"/>
          </w:tcPr>
          <w:p w14:paraId="7F9E8C25">
            <w:pPr>
              <w:pStyle w:val="13"/>
            </w:pPr>
            <w:r>
              <w:t>城乡义务教育公用经费管理办法</w:t>
            </w:r>
          </w:p>
        </w:tc>
      </w:tr>
      <w:tr w14:paraId="28DB7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DC1F00">
            <w:pPr>
              <w:pStyle w:val="12"/>
            </w:pPr>
            <w:r>
              <w:t>效益指标</w:t>
            </w:r>
          </w:p>
        </w:tc>
        <w:tc>
          <w:tcPr>
            <w:tcW w:w="2268" w:type="dxa"/>
            <w:vAlign w:val="center"/>
          </w:tcPr>
          <w:p w14:paraId="1EB1E776">
            <w:pPr>
              <w:pStyle w:val="13"/>
            </w:pPr>
            <w:r>
              <w:t>可持续影响指标</w:t>
            </w:r>
          </w:p>
        </w:tc>
        <w:tc>
          <w:tcPr>
            <w:tcW w:w="2835" w:type="dxa"/>
            <w:vAlign w:val="center"/>
          </w:tcPr>
          <w:p w14:paraId="595F2B88">
            <w:pPr>
              <w:pStyle w:val="13"/>
            </w:pPr>
            <w:r>
              <w:t>学校运转得到提高</w:t>
            </w:r>
          </w:p>
        </w:tc>
        <w:tc>
          <w:tcPr>
            <w:tcW w:w="5386" w:type="dxa"/>
            <w:vAlign w:val="center"/>
          </w:tcPr>
          <w:p w14:paraId="09CE3078">
            <w:pPr>
              <w:pStyle w:val="13"/>
            </w:pPr>
            <w:r>
              <w:t>学生受教育年限</w:t>
            </w:r>
          </w:p>
        </w:tc>
        <w:tc>
          <w:tcPr>
            <w:tcW w:w="1478" w:type="dxa"/>
            <w:vAlign w:val="center"/>
          </w:tcPr>
          <w:p w14:paraId="743135CC">
            <w:pPr>
              <w:pStyle w:val="13"/>
            </w:pPr>
            <w:r>
              <w:t>6年</w:t>
            </w:r>
          </w:p>
        </w:tc>
        <w:tc>
          <w:tcPr>
            <w:tcW w:w="2066" w:type="dxa"/>
            <w:vAlign w:val="center"/>
          </w:tcPr>
          <w:p w14:paraId="1616367C">
            <w:pPr>
              <w:pStyle w:val="13"/>
            </w:pPr>
            <w:r>
              <w:t>城乡义务教育公用经费管理办法</w:t>
            </w:r>
          </w:p>
        </w:tc>
      </w:tr>
      <w:tr w14:paraId="159FE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BD6E7">
            <w:pPr>
              <w:pStyle w:val="12"/>
            </w:pPr>
            <w:r>
              <w:t>满意度指标</w:t>
            </w:r>
          </w:p>
        </w:tc>
        <w:tc>
          <w:tcPr>
            <w:tcW w:w="2268" w:type="dxa"/>
            <w:vAlign w:val="center"/>
          </w:tcPr>
          <w:p w14:paraId="44C91A4C">
            <w:pPr>
              <w:pStyle w:val="13"/>
            </w:pPr>
            <w:r>
              <w:t>服务对象满意度指标</w:t>
            </w:r>
          </w:p>
        </w:tc>
        <w:tc>
          <w:tcPr>
            <w:tcW w:w="2835" w:type="dxa"/>
            <w:vAlign w:val="center"/>
          </w:tcPr>
          <w:p w14:paraId="580686F5">
            <w:pPr>
              <w:pStyle w:val="13"/>
            </w:pPr>
            <w:r>
              <w:t>服务对象满意度</w:t>
            </w:r>
          </w:p>
        </w:tc>
        <w:tc>
          <w:tcPr>
            <w:tcW w:w="5386" w:type="dxa"/>
            <w:vAlign w:val="center"/>
          </w:tcPr>
          <w:p w14:paraId="46DD1889">
            <w:pPr>
              <w:pStyle w:val="13"/>
            </w:pPr>
            <w:r>
              <w:t>学校老师和学生满意度</w:t>
            </w:r>
          </w:p>
        </w:tc>
        <w:tc>
          <w:tcPr>
            <w:tcW w:w="1478" w:type="dxa"/>
            <w:vAlign w:val="center"/>
          </w:tcPr>
          <w:p w14:paraId="498B29FD">
            <w:pPr>
              <w:pStyle w:val="13"/>
            </w:pPr>
            <w:r>
              <w:t>≥95%</w:t>
            </w:r>
          </w:p>
        </w:tc>
        <w:tc>
          <w:tcPr>
            <w:tcW w:w="2066" w:type="dxa"/>
            <w:vAlign w:val="center"/>
          </w:tcPr>
          <w:p w14:paraId="57A8EC0F">
            <w:pPr>
              <w:pStyle w:val="13"/>
            </w:pPr>
            <w:r>
              <w:t>城乡义务教育公用经费管理办法</w:t>
            </w:r>
          </w:p>
        </w:tc>
      </w:tr>
    </w:tbl>
    <w:p w14:paraId="028FD5B8">
      <w:pPr>
        <w:sectPr>
          <w:pgSz w:w="16840" w:h="11900" w:orient="landscape"/>
          <w:pgMar w:top="1361" w:right="1020" w:bottom="1134" w:left="1020" w:header="720" w:footer="720" w:gutter="0"/>
          <w:cols w:space="720" w:num="1"/>
        </w:sectPr>
      </w:pPr>
    </w:p>
    <w:p w14:paraId="32EE9AF7">
      <w:pPr>
        <w:spacing w:before="0" w:after="0"/>
        <w:ind w:firstLine="560"/>
        <w:jc w:val="left"/>
        <w:outlineLvl w:val="9"/>
      </w:pPr>
      <w:r>
        <w:rPr>
          <w:rFonts w:ascii="方正仿宋_GBK" w:hAnsi="方正仿宋_GBK" w:eastAsia="方正仿宋_GBK" w:cs="方正仿宋_GBK"/>
          <w:b/>
          <w:color w:val="000000"/>
          <w:sz w:val="28"/>
        </w:rPr>
        <w:t>14、冀财教[2024]141号/省级/2025年义教补助经费/尚礼小学公用经费绩效目标表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7F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C54DD">
            <w:pPr>
              <w:pStyle w:val="14"/>
            </w:pPr>
            <w:r>
              <w:t>单位：万元</w:t>
            </w:r>
          </w:p>
        </w:tc>
      </w:tr>
      <w:tr w14:paraId="3B5F6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306284">
            <w:pPr>
              <w:pStyle w:val="11"/>
            </w:pPr>
            <w:r>
              <w:t>项目编码</w:t>
            </w:r>
          </w:p>
        </w:tc>
        <w:tc>
          <w:tcPr>
            <w:tcW w:w="5103" w:type="dxa"/>
            <w:gridSpan w:val="2"/>
            <w:vAlign w:val="center"/>
          </w:tcPr>
          <w:p w14:paraId="070D9C3B">
            <w:pPr>
              <w:pStyle w:val="13"/>
            </w:pPr>
            <w:r>
              <w:t>13052525P00000410138R</w:t>
            </w:r>
          </w:p>
        </w:tc>
        <w:tc>
          <w:tcPr>
            <w:tcW w:w="2835" w:type="dxa"/>
            <w:vAlign w:val="center"/>
          </w:tcPr>
          <w:p w14:paraId="1F9A560F">
            <w:pPr>
              <w:pStyle w:val="11"/>
            </w:pPr>
            <w:r>
              <w:t>项目名称</w:t>
            </w:r>
          </w:p>
        </w:tc>
        <w:tc>
          <w:tcPr>
            <w:tcW w:w="6095" w:type="dxa"/>
            <w:gridSpan w:val="3"/>
            <w:vAlign w:val="center"/>
          </w:tcPr>
          <w:p w14:paraId="6C0900C3">
            <w:pPr>
              <w:pStyle w:val="13"/>
            </w:pPr>
            <w:r>
              <w:t>冀财教[2024]141号/省级/2025年义教补助经费/尚礼小学公用经费</w:t>
            </w:r>
          </w:p>
        </w:tc>
      </w:tr>
      <w:tr w14:paraId="1BA8D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E911D">
            <w:pPr>
              <w:pStyle w:val="11"/>
            </w:pPr>
            <w:r>
              <w:t>预算规模及资金用途</w:t>
            </w:r>
          </w:p>
        </w:tc>
        <w:tc>
          <w:tcPr>
            <w:tcW w:w="2268" w:type="dxa"/>
            <w:vAlign w:val="center"/>
          </w:tcPr>
          <w:p w14:paraId="334BC4A6">
            <w:pPr>
              <w:pStyle w:val="11"/>
            </w:pPr>
            <w:r>
              <w:t>预算数</w:t>
            </w:r>
          </w:p>
        </w:tc>
        <w:tc>
          <w:tcPr>
            <w:tcW w:w="2835" w:type="dxa"/>
            <w:vAlign w:val="center"/>
          </w:tcPr>
          <w:p w14:paraId="2E1A3DDB">
            <w:pPr>
              <w:pStyle w:val="13"/>
            </w:pPr>
            <w:r>
              <w:t>15.62</w:t>
            </w:r>
          </w:p>
        </w:tc>
        <w:tc>
          <w:tcPr>
            <w:tcW w:w="2835" w:type="dxa"/>
            <w:vAlign w:val="center"/>
          </w:tcPr>
          <w:p w14:paraId="0D276F39">
            <w:pPr>
              <w:pStyle w:val="11"/>
            </w:pPr>
            <w:r>
              <w:t>其中：财政    资金</w:t>
            </w:r>
          </w:p>
        </w:tc>
        <w:tc>
          <w:tcPr>
            <w:tcW w:w="2551" w:type="dxa"/>
            <w:vAlign w:val="center"/>
          </w:tcPr>
          <w:p w14:paraId="383F0670">
            <w:pPr>
              <w:pStyle w:val="13"/>
            </w:pPr>
            <w:r>
              <w:t>15.62</w:t>
            </w:r>
          </w:p>
        </w:tc>
        <w:tc>
          <w:tcPr>
            <w:tcW w:w="2268" w:type="dxa"/>
            <w:vAlign w:val="center"/>
          </w:tcPr>
          <w:p w14:paraId="651676DB">
            <w:pPr>
              <w:pStyle w:val="11"/>
            </w:pPr>
            <w:r>
              <w:t>其他资金</w:t>
            </w:r>
          </w:p>
        </w:tc>
        <w:tc>
          <w:tcPr>
            <w:tcW w:w="1276" w:type="dxa"/>
            <w:vAlign w:val="center"/>
          </w:tcPr>
          <w:p w14:paraId="47735BA7">
            <w:pPr>
              <w:pStyle w:val="13"/>
            </w:pPr>
            <w:r>
              <w:t xml:space="preserve"> </w:t>
            </w:r>
          </w:p>
        </w:tc>
      </w:tr>
      <w:tr w14:paraId="30708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BBD20"/>
        </w:tc>
        <w:tc>
          <w:tcPr>
            <w:tcW w:w="14033" w:type="dxa"/>
            <w:gridSpan w:val="6"/>
            <w:vAlign w:val="center"/>
          </w:tcPr>
          <w:p w14:paraId="294E3A0D">
            <w:pPr>
              <w:pStyle w:val="13"/>
            </w:pPr>
            <w:r>
              <w:t>有效完成学校教学安全秩序，保障学校教学任务有效开展，满足学校正常教学需要。</w:t>
            </w:r>
            <w:r>
              <w:tab/>
            </w:r>
            <w:r>
              <w:tab/>
            </w:r>
            <w:r>
              <w:tab/>
            </w:r>
            <w:r>
              <w:tab/>
            </w:r>
            <w:r>
              <w:tab/>
            </w:r>
            <w:r>
              <w:tab/>
            </w:r>
            <w:r>
              <w:tab/>
            </w:r>
            <w:r>
              <w:tab/>
            </w:r>
            <w:r>
              <w:tab/>
            </w:r>
          </w:p>
          <w:p w14:paraId="182A8E68">
            <w:pPr>
              <w:pStyle w:val="13"/>
            </w:pPr>
          </w:p>
        </w:tc>
      </w:tr>
      <w:tr w14:paraId="18524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0BE41">
            <w:pPr>
              <w:pStyle w:val="11"/>
            </w:pPr>
            <w:r>
              <w:t>资金支出计划（%）</w:t>
            </w:r>
          </w:p>
        </w:tc>
        <w:tc>
          <w:tcPr>
            <w:tcW w:w="5103" w:type="dxa"/>
            <w:gridSpan w:val="2"/>
            <w:vAlign w:val="center"/>
          </w:tcPr>
          <w:p w14:paraId="6CE92302">
            <w:pPr>
              <w:pStyle w:val="11"/>
            </w:pPr>
            <w:r>
              <w:t>3月底</w:t>
            </w:r>
          </w:p>
        </w:tc>
        <w:tc>
          <w:tcPr>
            <w:tcW w:w="2835" w:type="dxa"/>
            <w:vAlign w:val="center"/>
          </w:tcPr>
          <w:p w14:paraId="58A100A8">
            <w:pPr>
              <w:pStyle w:val="11"/>
            </w:pPr>
            <w:r>
              <w:t>6月底</w:t>
            </w:r>
          </w:p>
        </w:tc>
        <w:tc>
          <w:tcPr>
            <w:tcW w:w="2551" w:type="dxa"/>
            <w:vAlign w:val="center"/>
          </w:tcPr>
          <w:p w14:paraId="526D5BC9">
            <w:pPr>
              <w:pStyle w:val="11"/>
            </w:pPr>
            <w:r>
              <w:t>10月底</w:t>
            </w:r>
          </w:p>
        </w:tc>
        <w:tc>
          <w:tcPr>
            <w:tcW w:w="3544" w:type="dxa"/>
            <w:gridSpan w:val="2"/>
            <w:vAlign w:val="center"/>
          </w:tcPr>
          <w:p w14:paraId="1F9FE53C">
            <w:pPr>
              <w:pStyle w:val="11"/>
            </w:pPr>
            <w:r>
              <w:t>12月底</w:t>
            </w:r>
          </w:p>
        </w:tc>
      </w:tr>
      <w:tr w14:paraId="319F2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33189"/>
        </w:tc>
        <w:tc>
          <w:tcPr>
            <w:tcW w:w="5103" w:type="dxa"/>
            <w:gridSpan w:val="2"/>
            <w:vAlign w:val="center"/>
          </w:tcPr>
          <w:p w14:paraId="34B2E869">
            <w:pPr>
              <w:pStyle w:val="12"/>
            </w:pPr>
            <w:r>
              <w:t>25%</w:t>
            </w:r>
          </w:p>
        </w:tc>
        <w:tc>
          <w:tcPr>
            <w:tcW w:w="2835" w:type="dxa"/>
            <w:vAlign w:val="center"/>
          </w:tcPr>
          <w:p w14:paraId="3AF5CABF">
            <w:pPr>
              <w:pStyle w:val="12"/>
            </w:pPr>
            <w:r>
              <w:t>50%</w:t>
            </w:r>
          </w:p>
        </w:tc>
        <w:tc>
          <w:tcPr>
            <w:tcW w:w="2551" w:type="dxa"/>
            <w:vAlign w:val="center"/>
          </w:tcPr>
          <w:p w14:paraId="2DA9DEFA">
            <w:pPr>
              <w:pStyle w:val="12"/>
            </w:pPr>
            <w:r>
              <w:t>75%</w:t>
            </w:r>
          </w:p>
        </w:tc>
        <w:tc>
          <w:tcPr>
            <w:tcW w:w="3544" w:type="dxa"/>
            <w:gridSpan w:val="2"/>
            <w:vAlign w:val="center"/>
          </w:tcPr>
          <w:p w14:paraId="7AE0A0F7">
            <w:pPr>
              <w:pStyle w:val="12"/>
            </w:pPr>
            <w:r>
              <w:t>100%</w:t>
            </w:r>
          </w:p>
        </w:tc>
      </w:tr>
      <w:tr w14:paraId="182EC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D9C7B">
            <w:pPr>
              <w:pStyle w:val="11"/>
            </w:pPr>
            <w:r>
              <w:t>绩效目标</w:t>
            </w:r>
          </w:p>
        </w:tc>
        <w:tc>
          <w:tcPr>
            <w:tcW w:w="14033" w:type="dxa"/>
            <w:gridSpan w:val="6"/>
            <w:vAlign w:val="center"/>
          </w:tcPr>
          <w:p w14:paraId="0A275020">
            <w:pPr>
              <w:pStyle w:val="13"/>
            </w:pPr>
            <w:r>
              <w:t>1.有效完成学校教学安全秩序，保障学校教学任务有效开展，满足学校正常教学需要。</w:t>
            </w:r>
            <w:r>
              <w:tab/>
            </w:r>
            <w:r>
              <w:tab/>
            </w:r>
            <w:r>
              <w:tab/>
            </w:r>
            <w:r>
              <w:tab/>
            </w:r>
            <w:r>
              <w:tab/>
            </w:r>
            <w:r>
              <w:tab/>
            </w:r>
            <w:r>
              <w:tab/>
            </w:r>
            <w:r>
              <w:tab/>
            </w:r>
            <w:r>
              <w:tab/>
            </w:r>
          </w:p>
          <w:p w14:paraId="29222F77">
            <w:pPr>
              <w:pStyle w:val="13"/>
            </w:pPr>
          </w:p>
          <w:p w14:paraId="2587BEDB">
            <w:pPr>
              <w:pStyle w:val="13"/>
            </w:pPr>
            <w:r>
              <w:t>2.按规定拨付公用经费资金，预算执行率≥98%。</w:t>
            </w:r>
            <w:r>
              <w:tab/>
            </w:r>
            <w:r>
              <w:tab/>
            </w:r>
            <w:r>
              <w:tab/>
            </w:r>
            <w:r>
              <w:tab/>
            </w:r>
            <w:r>
              <w:tab/>
            </w:r>
            <w:r>
              <w:tab/>
            </w:r>
          </w:p>
          <w:p w14:paraId="0095DF8D">
            <w:pPr>
              <w:pStyle w:val="13"/>
            </w:pPr>
            <w:r>
              <w:tab/>
            </w:r>
            <w:r>
              <w:tab/>
            </w:r>
            <w:r>
              <w:tab/>
            </w:r>
            <w:r>
              <w:tab/>
            </w:r>
            <w:r>
              <w:tab/>
            </w:r>
          </w:p>
          <w:p w14:paraId="7908B7B4">
            <w:pPr>
              <w:pStyle w:val="13"/>
            </w:pPr>
          </w:p>
        </w:tc>
      </w:tr>
    </w:tbl>
    <w:p w14:paraId="00102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23"/>
        <w:gridCol w:w="2021"/>
      </w:tblGrid>
      <w:tr w14:paraId="7F5F2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F28CFED">
            <w:pPr>
              <w:pStyle w:val="11"/>
            </w:pPr>
            <w:r>
              <w:t>一级指标</w:t>
            </w:r>
          </w:p>
        </w:tc>
        <w:tc>
          <w:tcPr>
            <w:tcW w:w="2268" w:type="dxa"/>
            <w:vAlign w:val="center"/>
          </w:tcPr>
          <w:p w14:paraId="0A87CFF5">
            <w:pPr>
              <w:pStyle w:val="11"/>
            </w:pPr>
            <w:r>
              <w:t>二级指标</w:t>
            </w:r>
          </w:p>
        </w:tc>
        <w:tc>
          <w:tcPr>
            <w:tcW w:w="2835" w:type="dxa"/>
            <w:vAlign w:val="center"/>
          </w:tcPr>
          <w:p w14:paraId="50845B6A">
            <w:pPr>
              <w:pStyle w:val="11"/>
            </w:pPr>
            <w:r>
              <w:t>三级指标</w:t>
            </w:r>
          </w:p>
        </w:tc>
        <w:tc>
          <w:tcPr>
            <w:tcW w:w="5386" w:type="dxa"/>
            <w:vAlign w:val="center"/>
          </w:tcPr>
          <w:p w14:paraId="3C9913A4">
            <w:pPr>
              <w:pStyle w:val="11"/>
            </w:pPr>
            <w:r>
              <w:t>绩效指标描述</w:t>
            </w:r>
          </w:p>
        </w:tc>
        <w:tc>
          <w:tcPr>
            <w:tcW w:w="1523" w:type="dxa"/>
            <w:vAlign w:val="center"/>
          </w:tcPr>
          <w:p w14:paraId="4CABCA67">
            <w:pPr>
              <w:pStyle w:val="11"/>
            </w:pPr>
            <w:r>
              <w:t>指标值</w:t>
            </w:r>
          </w:p>
        </w:tc>
        <w:tc>
          <w:tcPr>
            <w:tcW w:w="2021" w:type="dxa"/>
            <w:vAlign w:val="center"/>
          </w:tcPr>
          <w:p w14:paraId="1583D358">
            <w:pPr>
              <w:pStyle w:val="11"/>
            </w:pPr>
            <w:r>
              <w:t>指标值确定依据</w:t>
            </w:r>
          </w:p>
        </w:tc>
      </w:tr>
      <w:tr w14:paraId="0794F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3D7BA">
            <w:pPr>
              <w:pStyle w:val="12"/>
            </w:pPr>
            <w:r>
              <w:t>产出指标</w:t>
            </w:r>
          </w:p>
        </w:tc>
        <w:tc>
          <w:tcPr>
            <w:tcW w:w="2268" w:type="dxa"/>
            <w:vAlign w:val="center"/>
          </w:tcPr>
          <w:p w14:paraId="180B3821">
            <w:pPr>
              <w:pStyle w:val="13"/>
            </w:pPr>
            <w:r>
              <w:t>数量指标</w:t>
            </w:r>
          </w:p>
        </w:tc>
        <w:tc>
          <w:tcPr>
            <w:tcW w:w="2835" w:type="dxa"/>
            <w:vAlign w:val="center"/>
          </w:tcPr>
          <w:p w14:paraId="2CD4D0E4">
            <w:pPr>
              <w:pStyle w:val="13"/>
            </w:pPr>
            <w:r>
              <w:t>就读学生数</w:t>
            </w:r>
          </w:p>
        </w:tc>
        <w:tc>
          <w:tcPr>
            <w:tcW w:w="5386" w:type="dxa"/>
            <w:vAlign w:val="center"/>
          </w:tcPr>
          <w:p w14:paraId="7A9A0887">
            <w:pPr>
              <w:pStyle w:val="13"/>
            </w:pPr>
            <w:r>
              <w:t>辐射区域内适龄学生人数</w:t>
            </w:r>
          </w:p>
        </w:tc>
        <w:tc>
          <w:tcPr>
            <w:tcW w:w="1523" w:type="dxa"/>
            <w:vAlign w:val="center"/>
          </w:tcPr>
          <w:p w14:paraId="340BACEB">
            <w:pPr>
              <w:pStyle w:val="13"/>
            </w:pPr>
            <w:r>
              <w:t>574人</w:t>
            </w:r>
          </w:p>
        </w:tc>
        <w:tc>
          <w:tcPr>
            <w:tcW w:w="2021" w:type="dxa"/>
            <w:vAlign w:val="center"/>
          </w:tcPr>
          <w:p w14:paraId="58192B81">
            <w:pPr>
              <w:pStyle w:val="13"/>
            </w:pPr>
            <w:r>
              <w:t>城乡义务教育公用经费管理办法</w:t>
            </w:r>
          </w:p>
        </w:tc>
      </w:tr>
      <w:tr w14:paraId="5474B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F6DB4"/>
        </w:tc>
        <w:tc>
          <w:tcPr>
            <w:tcW w:w="2268" w:type="dxa"/>
            <w:vAlign w:val="center"/>
          </w:tcPr>
          <w:p w14:paraId="6F6FA6C8">
            <w:pPr>
              <w:pStyle w:val="13"/>
            </w:pPr>
            <w:r>
              <w:t>质量指标</w:t>
            </w:r>
          </w:p>
        </w:tc>
        <w:tc>
          <w:tcPr>
            <w:tcW w:w="2835" w:type="dxa"/>
            <w:vAlign w:val="center"/>
          </w:tcPr>
          <w:p w14:paraId="224F81FB">
            <w:pPr>
              <w:pStyle w:val="13"/>
            </w:pPr>
            <w:r>
              <w:t>预算执行率</w:t>
            </w:r>
          </w:p>
        </w:tc>
        <w:tc>
          <w:tcPr>
            <w:tcW w:w="5386" w:type="dxa"/>
            <w:vAlign w:val="center"/>
          </w:tcPr>
          <w:p w14:paraId="24B4636C">
            <w:pPr>
              <w:pStyle w:val="13"/>
            </w:pPr>
            <w:r>
              <w:t>预算执行率≥98%</w:t>
            </w:r>
          </w:p>
        </w:tc>
        <w:tc>
          <w:tcPr>
            <w:tcW w:w="1523" w:type="dxa"/>
            <w:vAlign w:val="center"/>
          </w:tcPr>
          <w:p w14:paraId="3D8869DA">
            <w:pPr>
              <w:pStyle w:val="13"/>
            </w:pPr>
            <w:r>
              <w:t>≥98%</w:t>
            </w:r>
          </w:p>
        </w:tc>
        <w:tc>
          <w:tcPr>
            <w:tcW w:w="2021" w:type="dxa"/>
            <w:vAlign w:val="center"/>
          </w:tcPr>
          <w:p w14:paraId="0E1B445D">
            <w:pPr>
              <w:pStyle w:val="13"/>
            </w:pPr>
            <w:r>
              <w:t>城乡义务教育公用经费管理办法</w:t>
            </w:r>
          </w:p>
        </w:tc>
      </w:tr>
      <w:tr w14:paraId="023B8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D0F9E"/>
        </w:tc>
        <w:tc>
          <w:tcPr>
            <w:tcW w:w="2268" w:type="dxa"/>
            <w:vAlign w:val="center"/>
          </w:tcPr>
          <w:p w14:paraId="7F6EC462">
            <w:pPr>
              <w:pStyle w:val="13"/>
            </w:pPr>
            <w:r>
              <w:t>时效指标</w:t>
            </w:r>
          </w:p>
        </w:tc>
        <w:tc>
          <w:tcPr>
            <w:tcW w:w="2835" w:type="dxa"/>
            <w:vAlign w:val="center"/>
          </w:tcPr>
          <w:p w14:paraId="431F5073">
            <w:pPr>
              <w:pStyle w:val="13"/>
            </w:pPr>
            <w:r>
              <w:t>义教经费支付完成率</w:t>
            </w:r>
          </w:p>
        </w:tc>
        <w:tc>
          <w:tcPr>
            <w:tcW w:w="5386" w:type="dxa"/>
            <w:vAlign w:val="center"/>
          </w:tcPr>
          <w:p w14:paraId="492390C1">
            <w:pPr>
              <w:pStyle w:val="13"/>
            </w:pPr>
            <w:r>
              <w:t>按照序时进度完成资金支付</w:t>
            </w:r>
          </w:p>
        </w:tc>
        <w:tc>
          <w:tcPr>
            <w:tcW w:w="1523" w:type="dxa"/>
            <w:vAlign w:val="center"/>
          </w:tcPr>
          <w:p w14:paraId="6CF3DA5B">
            <w:pPr>
              <w:pStyle w:val="13"/>
            </w:pPr>
            <w:r>
              <w:t>≥100%</w:t>
            </w:r>
          </w:p>
        </w:tc>
        <w:tc>
          <w:tcPr>
            <w:tcW w:w="2021" w:type="dxa"/>
            <w:vAlign w:val="center"/>
          </w:tcPr>
          <w:p w14:paraId="0471A057">
            <w:pPr>
              <w:pStyle w:val="13"/>
            </w:pPr>
            <w:r>
              <w:t>城乡义务教育公用经费管理办法</w:t>
            </w:r>
          </w:p>
        </w:tc>
      </w:tr>
      <w:tr w14:paraId="39292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9FE5D"/>
        </w:tc>
        <w:tc>
          <w:tcPr>
            <w:tcW w:w="2268" w:type="dxa"/>
            <w:vAlign w:val="center"/>
          </w:tcPr>
          <w:p w14:paraId="176612A1">
            <w:pPr>
              <w:pStyle w:val="13"/>
            </w:pPr>
            <w:r>
              <w:t>成本指标</w:t>
            </w:r>
          </w:p>
        </w:tc>
        <w:tc>
          <w:tcPr>
            <w:tcW w:w="2835" w:type="dxa"/>
            <w:vAlign w:val="center"/>
          </w:tcPr>
          <w:p w14:paraId="25E29305">
            <w:pPr>
              <w:pStyle w:val="13"/>
            </w:pPr>
            <w:r>
              <w:t>生均拨款标准</w:t>
            </w:r>
          </w:p>
        </w:tc>
        <w:tc>
          <w:tcPr>
            <w:tcW w:w="5386" w:type="dxa"/>
            <w:vAlign w:val="center"/>
          </w:tcPr>
          <w:p w14:paraId="35065572">
            <w:pPr>
              <w:pStyle w:val="13"/>
            </w:pPr>
            <w:r>
              <w:t>小学：（基本标准720元、寄宿生300元、生活补助120元）/生/学年；特教、随班就读学生：标准7000元/生/学年</w:t>
            </w:r>
          </w:p>
        </w:tc>
        <w:tc>
          <w:tcPr>
            <w:tcW w:w="1523" w:type="dxa"/>
            <w:vAlign w:val="center"/>
          </w:tcPr>
          <w:p w14:paraId="17F8F3CF">
            <w:pPr>
              <w:pStyle w:val="13"/>
            </w:pPr>
            <w:r>
              <w:t>840元</w:t>
            </w:r>
          </w:p>
        </w:tc>
        <w:tc>
          <w:tcPr>
            <w:tcW w:w="2021" w:type="dxa"/>
            <w:vAlign w:val="center"/>
          </w:tcPr>
          <w:p w14:paraId="01CD8248">
            <w:pPr>
              <w:pStyle w:val="13"/>
            </w:pPr>
            <w:r>
              <w:t>城乡义务教育公用经费管理办法</w:t>
            </w:r>
          </w:p>
        </w:tc>
      </w:tr>
      <w:tr w14:paraId="7782A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139FE0">
            <w:pPr>
              <w:pStyle w:val="12"/>
            </w:pPr>
            <w:r>
              <w:t>效益指标</w:t>
            </w:r>
          </w:p>
        </w:tc>
        <w:tc>
          <w:tcPr>
            <w:tcW w:w="2268" w:type="dxa"/>
            <w:vAlign w:val="center"/>
          </w:tcPr>
          <w:p w14:paraId="3CB9C53B">
            <w:pPr>
              <w:pStyle w:val="13"/>
            </w:pPr>
            <w:r>
              <w:t>可持续影响指标</w:t>
            </w:r>
          </w:p>
        </w:tc>
        <w:tc>
          <w:tcPr>
            <w:tcW w:w="2835" w:type="dxa"/>
            <w:vAlign w:val="center"/>
          </w:tcPr>
          <w:p w14:paraId="09B19095">
            <w:pPr>
              <w:pStyle w:val="13"/>
            </w:pPr>
            <w:r>
              <w:t>学校运转得到提高</w:t>
            </w:r>
          </w:p>
        </w:tc>
        <w:tc>
          <w:tcPr>
            <w:tcW w:w="5386" w:type="dxa"/>
            <w:vAlign w:val="center"/>
          </w:tcPr>
          <w:p w14:paraId="1067A2CD">
            <w:pPr>
              <w:pStyle w:val="13"/>
            </w:pPr>
            <w:r>
              <w:t>学生受教育年限</w:t>
            </w:r>
          </w:p>
        </w:tc>
        <w:tc>
          <w:tcPr>
            <w:tcW w:w="1523" w:type="dxa"/>
            <w:vAlign w:val="center"/>
          </w:tcPr>
          <w:p w14:paraId="6ADD0746">
            <w:pPr>
              <w:pStyle w:val="13"/>
            </w:pPr>
            <w:r>
              <w:t>6年</w:t>
            </w:r>
          </w:p>
        </w:tc>
        <w:tc>
          <w:tcPr>
            <w:tcW w:w="2021" w:type="dxa"/>
            <w:vAlign w:val="center"/>
          </w:tcPr>
          <w:p w14:paraId="6947014D">
            <w:pPr>
              <w:pStyle w:val="13"/>
            </w:pPr>
            <w:r>
              <w:t>城乡义务教育公用经费管理办法</w:t>
            </w:r>
          </w:p>
        </w:tc>
      </w:tr>
      <w:tr w14:paraId="51187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ACB03">
            <w:pPr>
              <w:pStyle w:val="12"/>
            </w:pPr>
            <w:r>
              <w:t>满意度指标</w:t>
            </w:r>
          </w:p>
        </w:tc>
        <w:tc>
          <w:tcPr>
            <w:tcW w:w="2268" w:type="dxa"/>
            <w:vAlign w:val="center"/>
          </w:tcPr>
          <w:p w14:paraId="5CED83D9">
            <w:pPr>
              <w:pStyle w:val="13"/>
            </w:pPr>
            <w:r>
              <w:t>服务对象满意度指标</w:t>
            </w:r>
          </w:p>
        </w:tc>
        <w:tc>
          <w:tcPr>
            <w:tcW w:w="2835" w:type="dxa"/>
            <w:vAlign w:val="center"/>
          </w:tcPr>
          <w:p w14:paraId="40BE7165">
            <w:pPr>
              <w:pStyle w:val="13"/>
            </w:pPr>
            <w:r>
              <w:t>服务对象满意度</w:t>
            </w:r>
          </w:p>
        </w:tc>
        <w:tc>
          <w:tcPr>
            <w:tcW w:w="5386" w:type="dxa"/>
            <w:vAlign w:val="center"/>
          </w:tcPr>
          <w:p w14:paraId="246E9B75">
            <w:pPr>
              <w:pStyle w:val="13"/>
            </w:pPr>
            <w:r>
              <w:t>学校老师和学生满意度</w:t>
            </w:r>
          </w:p>
        </w:tc>
        <w:tc>
          <w:tcPr>
            <w:tcW w:w="1523" w:type="dxa"/>
            <w:vAlign w:val="center"/>
          </w:tcPr>
          <w:p w14:paraId="41FB03E5">
            <w:pPr>
              <w:pStyle w:val="13"/>
            </w:pPr>
            <w:r>
              <w:t>≥95%</w:t>
            </w:r>
          </w:p>
        </w:tc>
        <w:tc>
          <w:tcPr>
            <w:tcW w:w="2021" w:type="dxa"/>
            <w:vAlign w:val="center"/>
          </w:tcPr>
          <w:p w14:paraId="68EEDC2C">
            <w:pPr>
              <w:pStyle w:val="13"/>
            </w:pPr>
            <w:r>
              <w:t>城乡义务教育公用经费管理办法</w:t>
            </w:r>
          </w:p>
        </w:tc>
      </w:tr>
    </w:tbl>
    <w:p w14:paraId="64D773C5">
      <w:pPr>
        <w:sectPr>
          <w:pgSz w:w="16840" w:h="11900" w:orient="landscape"/>
          <w:pgMar w:top="1361" w:right="1020" w:bottom="1134" w:left="1020" w:header="720" w:footer="720" w:gutter="0"/>
          <w:cols w:space="720" w:num="1"/>
        </w:sectPr>
      </w:pPr>
    </w:p>
    <w:p w14:paraId="0FBB2B2B">
      <w:pPr>
        <w:spacing w:before="0" w:after="0"/>
        <w:ind w:firstLine="560"/>
        <w:jc w:val="left"/>
        <w:outlineLvl w:val="9"/>
      </w:pPr>
      <w:r>
        <w:rPr>
          <w:rFonts w:ascii="方正仿宋_GBK" w:hAnsi="方正仿宋_GBK" w:eastAsia="方正仿宋_GBK" w:cs="方正仿宋_GBK"/>
          <w:b/>
          <w:color w:val="000000"/>
          <w:sz w:val="28"/>
        </w:rPr>
        <w:t>15、冀财教[2024]141号/省级/2025年义教补助经费/尧张小学公用经费绩效目标表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4E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59E39">
            <w:pPr>
              <w:pStyle w:val="14"/>
            </w:pPr>
            <w:r>
              <w:t>单位：万元</w:t>
            </w:r>
          </w:p>
        </w:tc>
      </w:tr>
      <w:tr w14:paraId="0229E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1E998">
            <w:pPr>
              <w:pStyle w:val="11"/>
            </w:pPr>
            <w:r>
              <w:t>项目编码</w:t>
            </w:r>
          </w:p>
        </w:tc>
        <w:tc>
          <w:tcPr>
            <w:tcW w:w="5103" w:type="dxa"/>
            <w:gridSpan w:val="2"/>
            <w:vAlign w:val="center"/>
          </w:tcPr>
          <w:p w14:paraId="22038B65">
            <w:pPr>
              <w:pStyle w:val="13"/>
            </w:pPr>
            <w:r>
              <w:t>13052525P00000410143K</w:t>
            </w:r>
          </w:p>
        </w:tc>
        <w:tc>
          <w:tcPr>
            <w:tcW w:w="2835" w:type="dxa"/>
            <w:vAlign w:val="center"/>
          </w:tcPr>
          <w:p w14:paraId="7551EF6B">
            <w:pPr>
              <w:pStyle w:val="11"/>
            </w:pPr>
            <w:r>
              <w:t>项目名称</w:t>
            </w:r>
          </w:p>
        </w:tc>
        <w:tc>
          <w:tcPr>
            <w:tcW w:w="6095" w:type="dxa"/>
            <w:gridSpan w:val="3"/>
            <w:vAlign w:val="center"/>
          </w:tcPr>
          <w:p w14:paraId="29F75198">
            <w:pPr>
              <w:pStyle w:val="13"/>
            </w:pPr>
            <w:r>
              <w:t>冀财教[2024]141号/省级/2025年义教补助经费/尧张小学公用经费</w:t>
            </w:r>
          </w:p>
        </w:tc>
      </w:tr>
      <w:tr w14:paraId="0DFD0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3000F">
            <w:pPr>
              <w:pStyle w:val="11"/>
            </w:pPr>
            <w:r>
              <w:t>预算规模及资金用途</w:t>
            </w:r>
          </w:p>
        </w:tc>
        <w:tc>
          <w:tcPr>
            <w:tcW w:w="2268" w:type="dxa"/>
            <w:vAlign w:val="center"/>
          </w:tcPr>
          <w:p w14:paraId="63A46C47">
            <w:pPr>
              <w:pStyle w:val="11"/>
            </w:pPr>
            <w:r>
              <w:t>预算数</w:t>
            </w:r>
          </w:p>
        </w:tc>
        <w:tc>
          <w:tcPr>
            <w:tcW w:w="2835" w:type="dxa"/>
            <w:vAlign w:val="center"/>
          </w:tcPr>
          <w:p w14:paraId="7432C5E7">
            <w:pPr>
              <w:pStyle w:val="13"/>
            </w:pPr>
            <w:r>
              <w:t>8.10</w:t>
            </w:r>
          </w:p>
        </w:tc>
        <w:tc>
          <w:tcPr>
            <w:tcW w:w="2835" w:type="dxa"/>
            <w:vAlign w:val="center"/>
          </w:tcPr>
          <w:p w14:paraId="6992CC78">
            <w:pPr>
              <w:pStyle w:val="11"/>
            </w:pPr>
            <w:r>
              <w:t>其中：财政    资金</w:t>
            </w:r>
          </w:p>
        </w:tc>
        <w:tc>
          <w:tcPr>
            <w:tcW w:w="2551" w:type="dxa"/>
            <w:vAlign w:val="center"/>
          </w:tcPr>
          <w:p w14:paraId="2B35A556">
            <w:pPr>
              <w:pStyle w:val="13"/>
            </w:pPr>
            <w:r>
              <w:t>8.10</w:t>
            </w:r>
          </w:p>
        </w:tc>
        <w:tc>
          <w:tcPr>
            <w:tcW w:w="2268" w:type="dxa"/>
            <w:vAlign w:val="center"/>
          </w:tcPr>
          <w:p w14:paraId="476D24DA">
            <w:pPr>
              <w:pStyle w:val="11"/>
            </w:pPr>
            <w:r>
              <w:t>其他资金</w:t>
            </w:r>
          </w:p>
        </w:tc>
        <w:tc>
          <w:tcPr>
            <w:tcW w:w="1276" w:type="dxa"/>
            <w:vAlign w:val="center"/>
          </w:tcPr>
          <w:p w14:paraId="52D8749C">
            <w:pPr>
              <w:pStyle w:val="13"/>
            </w:pPr>
            <w:r>
              <w:t xml:space="preserve"> </w:t>
            </w:r>
          </w:p>
        </w:tc>
      </w:tr>
      <w:tr w14:paraId="4F115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C8BBBB"/>
        </w:tc>
        <w:tc>
          <w:tcPr>
            <w:tcW w:w="14033" w:type="dxa"/>
            <w:gridSpan w:val="6"/>
            <w:vAlign w:val="center"/>
          </w:tcPr>
          <w:p w14:paraId="3F4AF1F3">
            <w:pPr>
              <w:pStyle w:val="13"/>
            </w:pPr>
            <w:r>
              <w:t>有效完成学校教学安全秩序，保障学校教学任务有效开展，满足学校正常教学需要。</w:t>
            </w:r>
            <w:r>
              <w:tab/>
            </w:r>
            <w:r>
              <w:tab/>
            </w:r>
            <w:r>
              <w:tab/>
            </w:r>
            <w:r>
              <w:tab/>
            </w:r>
            <w:r>
              <w:tab/>
            </w:r>
            <w:r>
              <w:tab/>
            </w:r>
          </w:p>
        </w:tc>
      </w:tr>
      <w:tr w14:paraId="6BDC1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EEDF1">
            <w:pPr>
              <w:pStyle w:val="11"/>
            </w:pPr>
            <w:r>
              <w:t>资金支出计划（%）</w:t>
            </w:r>
          </w:p>
        </w:tc>
        <w:tc>
          <w:tcPr>
            <w:tcW w:w="5103" w:type="dxa"/>
            <w:gridSpan w:val="2"/>
            <w:vAlign w:val="center"/>
          </w:tcPr>
          <w:p w14:paraId="4856EDC7">
            <w:pPr>
              <w:pStyle w:val="11"/>
            </w:pPr>
            <w:r>
              <w:t>3月底</w:t>
            </w:r>
          </w:p>
        </w:tc>
        <w:tc>
          <w:tcPr>
            <w:tcW w:w="2835" w:type="dxa"/>
            <w:vAlign w:val="center"/>
          </w:tcPr>
          <w:p w14:paraId="2BA1DF5C">
            <w:pPr>
              <w:pStyle w:val="11"/>
            </w:pPr>
            <w:r>
              <w:t>6月底</w:t>
            </w:r>
          </w:p>
        </w:tc>
        <w:tc>
          <w:tcPr>
            <w:tcW w:w="2551" w:type="dxa"/>
            <w:vAlign w:val="center"/>
          </w:tcPr>
          <w:p w14:paraId="4308F3F2">
            <w:pPr>
              <w:pStyle w:val="11"/>
            </w:pPr>
            <w:r>
              <w:t>10月底</w:t>
            </w:r>
          </w:p>
        </w:tc>
        <w:tc>
          <w:tcPr>
            <w:tcW w:w="3544" w:type="dxa"/>
            <w:gridSpan w:val="2"/>
            <w:vAlign w:val="center"/>
          </w:tcPr>
          <w:p w14:paraId="082A2528">
            <w:pPr>
              <w:pStyle w:val="11"/>
            </w:pPr>
            <w:r>
              <w:t>12月底</w:t>
            </w:r>
          </w:p>
        </w:tc>
      </w:tr>
      <w:tr w14:paraId="050D7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6BC387"/>
        </w:tc>
        <w:tc>
          <w:tcPr>
            <w:tcW w:w="5103" w:type="dxa"/>
            <w:gridSpan w:val="2"/>
            <w:vAlign w:val="center"/>
          </w:tcPr>
          <w:p w14:paraId="5C51CCA7">
            <w:pPr>
              <w:pStyle w:val="12"/>
            </w:pPr>
            <w:r>
              <w:t>25%</w:t>
            </w:r>
          </w:p>
        </w:tc>
        <w:tc>
          <w:tcPr>
            <w:tcW w:w="2835" w:type="dxa"/>
            <w:vAlign w:val="center"/>
          </w:tcPr>
          <w:p w14:paraId="68D23841">
            <w:pPr>
              <w:pStyle w:val="12"/>
            </w:pPr>
            <w:r>
              <w:t>50%</w:t>
            </w:r>
          </w:p>
        </w:tc>
        <w:tc>
          <w:tcPr>
            <w:tcW w:w="2551" w:type="dxa"/>
            <w:vAlign w:val="center"/>
          </w:tcPr>
          <w:p w14:paraId="10F79163">
            <w:pPr>
              <w:pStyle w:val="12"/>
            </w:pPr>
            <w:r>
              <w:t>75%</w:t>
            </w:r>
          </w:p>
        </w:tc>
        <w:tc>
          <w:tcPr>
            <w:tcW w:w="3544" w:type="dxa"/>
            <w:gridSpan w:val="2"/>
            <w:vAlign w:val="center"/>
          </w:tcPr>
          <w:p w14:paraId="466031D8">
            <w:pPr>
              <w:pStyle w:val="12"/>
            </w:pPr>
            <w:r>
              <w:t>100%</w:t>
            </w:r>
          </w:p>
        </w:tc>
      </w:tr>
      <w:tr w14:paraId="76C02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C0F04">
            <w:pPr>
              <w:pStyle w:val="11"/>
            </w:pPr>
            <w:r>
              <w:t>绩效目标</w:t>
            </w:r>
          </w:p>
        </w:tc>
        <w:tc>
          <w:tcPr>
            <w:tcW w:w="14033" w:type="dxa"/>
            <w:gridSpan w:val="6"/>
            <w:vAlign w:val="center"/>
          </w:tcPr>
          <w:p w14:paraId="416300B5">
            <w:pPr>
              <w:pStyle w:val="13"/>
            </w:pPr>
            <w:r>
              <w:t>1.有效完成学校教学安全秩序，保障学校教学任务有效开展，满足学校正常教学需要。</w:t>
            </w:r>
            <w:r>
              <w:tab/>
            </w:r>
            <w:r>
              <w:tab/>
            </w:r>
            <w:r>
              <w:tab/>
            </w:r>
            <w:r>
              <w:tab/>
            </w:r>
            <w:r>
              <w:tab/>
            </w:r>
            <w:r>
              <w:tab/>
            </w:r>
          </w:p>
          <w:p w14:paraId="524D53EA">
            <w:pPr>
              <w:pStyle w:val="13"/>
            </w:pPr>
            <w:r>
              <w:t>2.按规定拨付公用经费资金，预算执行率≥98%。</w:t>
            </w:r>
            <w:r>
              <w:tab/>
            </w:r>
            <w:r>
              <w:tab/>
            </w:r>
            <w:r>
              <w:tab/>
            </w:r>
            <w:r>
              <w:tab/>
            </w:r>
            <w:r>
              <w:tab/>
            </w:r>
            <w:r>
              <w:tab/>
            </w:r>
          </w:p>
        </w:tc>
      </w:tr>
    </w:tbl>
    <w:p w14:paraId="74397C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23"/>
        <w:gridCol w:w="2021"/>
      </w:tblGrid>
      <w:tr w14:paraId="0DBEB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1D85B">
            <w:pPr>
              <w:pStyle w:val="11"/>
            </w:pPr>
            <w:r>
              <w:t>一级指标</w:t>
            </w:r>
          </w:p>
        </w:tc>
        <w:tc>
          <w:tcPr>
            <w:tcW w:w="2268" w:type="dxa"/>
            <w:vAlign w:val="center"/>
          </w:tcPr>
          <w:p w14:paraId="489BFEFD">
            <w:pPr>
              <w:pStyle w:val="11"/>
            </w:pPr>
            <w:r>
              <w:t>二级指标</w:t>
            </w:r>
          </w:p>
        </w:tc>
        <w:tc>
          <w:tcPr>
            <w:tcW w:w="2835" w:type="dxa"/>
            <w:vAlign w:val="center"/>
          </w:tcPr>
          <w:p w14:paraId="2215EBC9">
            <w:pPr>
              <w:pStyle w:val="11"/>
            </w:pPr>
            <w:r>
              <w:t>三级指标</w:t>
            </w:r>
          </w:p>
        </w:tc>
        <w:tc>
          <w:tcPr>
            <w:tcW w:w="5386" w:type="dxa"/>
            <w:vAlign w:val="center"/>
          </w:tcPr>
          <w:p w14:paraId="549C8DB5">
            <w:pPr>
              <w:pStyle w:val="11"/>
            </w:pPr>
            <w:r>
              <w:t>绩效指标描述</w:t>
            </w:r>
          </w:p>
        </w:tc>
        <w:tc>
          <w:tcPr>
            <w:tcW w:w="1523" w:type="dxa"/>
            <w:vAlign w:val="center"/>
          </w:tcPr>
          <w:p w14:paraId="49A2EA1D">
            <w:pPr>
              <w:pStyle w:val="11"/>
            </w:pPr>
            <w:r>
              <w:t>指标值</w:t>
            </w:r>
          </w:p>
        </w:tc>
        <w:tc>
          <w:tcPr>
            <w:tcW w:w="2021" w:type="dxa"/>
            <w:vAlign w:val="center"/>
          </w:tcPr>
          <w:p w14:paraId="28416E5D">
            <w:pPr>
              <w:pStyle w:val="11"/>
            </w:pPr>
            <w:r>
              <w:t>指标值确定依据</w:t>
            </w:r>
          </w:p>
        </w:tc>
      </w:tr>
      <w:tr w14:paraId="7C410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2D237">
            <w:pPr>
              <w:pStyle w:val="12"/>
            </w:pPr>
            <w:r>
              <w:t>产出指标</w:t>
            </w:r>
          </w:p>
        </w:tc>
        <w:tc>
          <w:tcPr>
            <w:tcW w:w="2268" w:type="dxa"/>
            <w:vAlign w:val="center"/>
          </w:tcPr>
          <w:p w14:paraId="022CD56E">
            <w:pPr>
              <w:pStyle w:val="13"/>
            </w:pPr>
            <w:r>
              <w:t>数量指标</w:t>
            </w:r>
          </w:p>
        </w:tc>
        <w:tc>
          <w:tcPr>
            <w:tcW w:w="2835" w:type="dxa"/>
            <w:vAlign w:val="center"/>
          </w:tcPr>
          <w:p w14:paraId="002702C4">
            <w:pPr>
              <w:pStyle w:val="13"/>
            </w:pPr>
            <w:r>
              <w:t>就读学生数</w:t>
            </w:r>
          </w:p>
        </w:tc>
        <w:tc>
          <w:tcPr>
            <w:tcW w:w="5386" w:type="dxa"/>
            <w:vAlign w:val="center"/>
          </w:tcPr>
          <w:p w14:paraId="0E5D1E05">
            <w:pPr>
              <w:pStyle w:val="13"/>
            </w:pPr>
            <w:r>
              <w:t>辐射区域内适龄学生人数</w:t>
            </w:r>
          </w:p>
        </w:tc>
        <w:tc>
          <w:tcPr>
            <w:tcW w:w="1523" w:type="dxa"/>
            <w:vAlign w:val="center"/>
          </w:tcPr>
          <w:p w14:paraId="0CF0A5C2">
            <w:pPr>
              <w:pStyle w:val="13"/>
            </w:pPr>
            <w:r>
              <w:t>294人</w:t>
            </w:r>
          </w:p>
        </w:tc>
        <w:tc>
          <w:tcPr>
            <w:tcW w:w="2021" w:type="dxa"/>
            <w:vAlign w:val="center"/>
          </w:tcPr>
          <w:p w14:paraId="3C915553">
            <w:pPr>
              <w:pStyle w:val="13"/>
            </w:pPr>
            <w:r>
              <w:t>城乡义务教育公用经费管理办法</w:t>
            </w:r>
          </w:p>
        </w:tc>
      </w:tr>
      <w:tr w14:paraId="5109E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CE881"/>
        </w:tc>
        <w:tc>
          <w:tcPr>
            <w:tcW w:w="2268" w:type="dxa"/>
            <w:vAlign w:val="center"/>
          </w:tcPr>
          <w:p w14:paraId="5EE6CFCD">
            <w:pPr>
              <w:pStyle w:val="13"/>
            </w:pPr>
            <w:r>
              <w:t>质量指标</w:t>
            </w:r>
          </w:p>
        </w:tc>
        <w:tc>
          <w:tcPr>
            <w:tcW w:w="2835" w:type="dxa"/>
            <w:vAlign w:val="center"/>
          </w:tcPr>
          <w:p w14:paraId="084E9252">
            <w:pPr>
              <w:pStyle w:val="13"/>
            </w:pPr>
            <w:r>
              <w:t>预算执行率</w:t>
            </w:r>
          </w:p>
        </w:tc>
        <w:tc>
          <w:tcPr>
            <w:tcW w:w="5386" w:type="dxa"/>
            <w:vAlign w:val="center"/>
          </w:tcPr>
          <w:p w14:paraId="2566E3F8">
            <w:pPr>
              <w:pStyle w:val="13"/>
            </w:pPr>
            <w:r>
              <w:t>预算执行率≥98%</w:t>
            </w:r>
          </w:p>
        </w:tc>
        <w:tc>
          <w:tcPr>
            <w:tcW w:w="1523" w:type="dxa"/>
            <w:vAlign w:val="center"/>
          </w:tcPr>
          <w:p w14:paraId="432327C7">
            <w:pPr>
              <w:pStyle w:val="13"/>
            </w:pPr>
            <w:r>
              <w:t>≥98%</w:t>
            </w:r>
          </w:p>
        </w:tc>
        <w:tc>
          <w:tcPr>
            <w:tcW w:w="2021" w:type="dxa"/>
            <w:vAlign w:val="center"/>
          </w:tcPr>
          <w:p w14:paraId="3BC7AC9D">
            <w:pPr>
              <w:pStyle w:val="13"/>
            </w:pPr>
            <w:r>
              <w:t>城乡义务教育公用经费管理办法</w:t>
            </w:r>
          </w:p>
        </w:tc>
      </w:tr>
      <w:tr w14:paraId="52607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B0DCA"/>
        </w:tc>
        <w:tc>
          <w:tcPr>
            <w:tcW w:w="2268" w:type="dxa"/>
            <w:vAlign w:val="center"/>
          </w:tcPr>
          <w:p w14:paraId="0826668C">
            <w:pPr>
              <w:pStyle w:val="13"/>
            </w:pPr>
            <w:r>
              <w:t>时效指标</w:t>
            </w:r>
          </w:p>
        </w:tc>
        <w:tc>
          <w:tcPr>
            <w:tcW w:w="2835" w:type="dxa"/>
            <w:vAlign w:val="center"/>
          </w:tcPr>
          <w:p w14:paraId="47955DFC">
            <w:pPr>
              <w:pStyle w:val="13"/>
            </w:pPr>
            <w:r>
              <w:t>义教经费支付完成率</w:t>
            </w:r>
          </w:p>
        </w:tc>
        <w:tc>
          <w:tcPr>
            <w:tcW w:w="5386" w:type="dxa"/>
            <w:vAlign w:val="center"/>
          </w:tcPr>
          <w:p w14:paraId="644C3512">
            <w:pPr>
              <w:pStyle w:val="13"/>
            </w:pPr>
            <w:r>
              <w:t>按照序时进度完成资金支付</w:t>
            </w:r>
          </w:p>
        </w:tc>
        <w:tc>
          <w:tcPr>
            <w:tcW w:w="1523" w:type="dxa"/>
            <w:vAlign w:val="center"/>
          </w:tcPr>
          <w:p w14:paraId="56777703">
            <w:pPr>
              <w:pStyle w:val="13"/>
            </w:pPr>
            <w:r>
              <w:t>≥100%</w:t>
            </w:r>
          </w:p>
        </w:tc>
        <w:tc>
          <w:tcPr>
            <w:tcW w:w="2021" w:type="dxa"/>
            <w:vAlign w:val="center"/>
          </w:tcPr>
          <w:p w14:paraId="3A6F3A35">
            <w:pPr>
              <w:pStyle w:val="13"/>
            </w:pPr>
            <w:r>
              <w:t>城乡义务教育公用经费管理办法</w:t>
            </w:r>
          </w:p>
        </w:tc>
      </w:tr>
      <w:tr w14:paraId="0AE4C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77A34"/>
        </w:tc>
        <w:tc>
          <w:tcPr>
            <w:tcW w:w="2268" w:type="dxa"/>
            <w:vAlign w:val="center"/>
          </w:tcPr>
          <w:p w14:paraId="64B526E7">
            <w:pPr>
              <w:pStyle w:val="13"/>
            </w:pPr>
            <w:r>
              <w:t>成本指标</w:t>
            </w:r>
          </w:p>
        </w:tc>
        <w:tc>
          <w:tcPr>
            <w:tcW w:w="2835" w:type="dxa"/>
            <w:vAlign w:val="center"/>
          </w:tcPr>
          <w:p w14:paraId="04A27373">
            <w:pPr>
              <w:pStyle w:val="13"/>
            </w:pPr>
            <w:r>
              <w:t>生均拨款标准</w:t>
            </w:r>
          </w:p>
        </w:tc>
        <w:tc>
          <w:tcPr>
            <w:tcW w:w="5386" w:type="dxa"/>
            <w:vAlign w:val="center"/>
          </w:tcPr>
          <w:p w14:paraId="369AE69E">
            <w:pPr>
              <w:pStyle w:val="13"/>
            </w:pPr>
            <w:r>
              <w:t>小学：（基本标准720元、寄宿生300元、生活补助120元）/生/学年；特教、随班就读学生：标准7000元/生/学年</w:t>
            </w:r>
          </w:p>
        </w:tc>
        <w:tc>
          <w:tcPr>
            <w:tcW w:w="1523" w:type="dxa"/>
            <w:vAlign w:val="center"/>
          </w:tcPr>
          <w:p w14:paraId="5731D572">
            <w:pPr>
              <w:pStyle w:val="13"/>
            </w:pPr>
            <w:r>
              <w:t>840元</w:t>
            </w:r>
          </w:p>
        </w:tc>
        <w:tc>
          <w:tcPr>
            <w:tcW w:w="2021" w:type="dxa"/>
            <w:vAlign w:val="center"/>
          </w:tcPr>
          <w:p w14:paraId="23FF3454">
            <w:pPr>
              <w:pStyle w:val="13"/>
            </w:pPr>
            <w:r>
              <w:t>城乡义务教育公用经费管理办法</w:t>
            </w:r>
          </w:p>
        </w:tc>
      </w:tr>
      <w:tr w14:paraId="507FA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D17B9B">
            <w:pPr>
              <w:pStyle w:val="12"/>
            </w:pPr>
            <w:r>
              <w:t>效益指标</w:t>
            </w:r>
          </w:p>
        </w:tc>
        <w:tc>
          <w:tcPr>
            <w:tcW w:w="2268" w:type="dxa"/>
            <w:vAlign w:val="center"/>
          </w:tcPr>
          <w:p w14:paraId="47E8A7D3">
            <w:pPr>
              <w:pStyle w:val="13"/>
            </w:pPr>
            <w:r>
              <w:t>可持续影响指标</w:t>
            </w:r>
          </w:p>
        </w:tc>
        <w:tc>
          <w:tcPr>
            <w:tcW w:w="2835" w:type="dxa"/>
            <w:vAlign w:val="center"/>
          </w:tcPr>
          <w:p w14:paraId="5C4F2421">
            <w:pPr>
              <w:pStyle w:val="13"/>
            </w:pPr>
            <w:r>
              <w:t>学校运转得到提高</w:t>
            </w:r>
          </w:p>
        </w:tc>
        <w:tc>
          <w:tcPr>
            <w:tcW w:w="5386" w:type="dxa"/>
            <w:vAlign w:val="center"/>
          </w:tcPr>
          <w:p w14:paraId="6B9486E6">
            <w:pPr>
              <w:pStyle w:val="13"/>
            </w:pPr>
            <w:r>
              <w:t>学生受教育年限</w:t>
            </w:r>
          </w:p>
        </w:tc>
        <w:tc>
          <w:tcPr>
            <w:tcW w:w="1523" w:type="dxa"/>
            <w:vAlign w:val="center"/>
          </w:tcPr>
          <w:p w14:paraId="116CC4EB">
            <w:pPr>
              <w:pStyle w:val="13"/>
            </w:pPr>
            <w:r>
              <w:t>6年</w:t>
            </w:r>
          </w:p>
        </w:tc>
        <w:tc>
          <w:tcPr>
            <w:tcW w:w="2021" w:type="dxa"/>
            <w:vAlign w:val="center"/>
          </w:tcPr>
          <w:p w14:paraId="3D443C8F">
            <w:pPr>
              <w:pStyle w:val="13"/>
            </w:pPr>
            <w:r>
              <w:t>城乡义务教育公用经费管理办法</w:t>
            </w:r>
          </w:p>
        </w:tc>
      </w:tr>
      <w:tr w14:paraId="04475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597BC9">
            <w:pPr>
              <w:pStyle w:val="12"/>
            </w:pPr>
            <w:r>
              <w:t>满意度指标</w:t>
            </w:r>
          </w:p>
        </w:tc>
        <w:tc>
          <w:tcPr>
            <w:tcW w:w="2268" w:type="dxa"/>
            <w:vAlign w:val="center"/>
          </w:tcPr>
          <w:p w14:paraId="28802667">
            <w:pPr>
              <w:pStyle w:val="13"/>
            </w:pPr>
            <w:r>
              <w:t>服务对象满意度指标</w:t>
            </w:r>
          </w:p>
        </w:tc>
        <w:tc>
          <w:tcPr>
            <w:tcW w:w="2835" w:type="dxa"/>
            <w:vAlign w:val="center"/>
          </w:tcPr>
          <w:p w14:paraId="00899B01">
            <w:pPr>
              <w:pStyle w:val="13"/>
            </w:pPr>
            <w:r>
              <w:t>服务对象满意度</w:t>
            </w:r>
          </w:p>
        </w:tc>
        <w:tc>
          <w:tcPr>
            <w:tcW w:w="5386" w:type="dxa"/>
            <w:vAlign w:val="center"/>
          </w:tcPr>
          <w:p w14:paraId="5C5DA7A4">
            <w:pPr>
              <w:pStyle w:val="13"/>
            </w:pPr>
            <w:r>
              <w:t>学校老师和学生满意度</w:t>
            </w:r>
          </w:p>
        </w:tc>
        <w:tc>
          <w:tcPr>
            <w:tcW w:w="1523" w:type="dxa"/>
            <w:vAlign w:val="center"/>
          </w:tcPr>
          <w:p w14:paraId="0A555B7E">
            <w:pPr>
              <w:pStyle w:val="13"/>
            </w:pPr>
            <w:r>
              <w:t>≥95%</w:t>
            </w:r>
          </w:p>
        </w:tc>
        <w:tc>
          <w:tcPr>
            <w:tcW w:w="2021" w:type="dxa"/>
            <w:vAlign w:val="center"/>
          </w:tcPr>
          <w:p w14:paraId="2D314B02">
            <w:pPr>
              <w:pStyle w:val="13"/>
            </w:pPr>
            <w:r>
              <w:t>城乡义务教育公用经费管理办法</w:t>
            </w:r>
          </w:p>
        </w:tc>
      </w:tr>
    </w:tbl>
    <w:p w14:paraId="7B5A63BF">
      <w:pPr>
        <w:sectPr>
          <w:pgSz w:w="16840" w:h="11900" w:orient="landscape"/>
          <w:pgMar w:top="1361" w:right="1020" w:bottom="1134" w:left="1020" w:header="720" w:footer="720" w:gutter="0"/>
          <w:cols w:space="720" w:num="1"/>
        </w:sectPr>
      </w:pPr>
    </w:p>
    <w:p w14:paraId="137BD206">
      <w:pPr>
        <w:spacing w:before="0" w:after="0"/>
        <w:ind w:firstLine="560"/>
        <w:jc w:val="left"/>
        <w:outlineLvl w:val="9"/>
      </w:pPr>
      <w:r>
        <w:rPr>
          <w:rFonts w:ascii="方正仿宋_GBK" w:hAnsi="方正仿宋_GBK" w:eastAsia="方正仿宋_GBK" w:cs="方正仿宋_GBK"/>
          <w:b/>
          <w:color w:val="000000"/>
          <w:sz w:val="28"/>
        </w:rPr>
        <w:t>16、冀财教[2024]142号/省级/2025年学前发展资金/北楼校区学前教育公用经费绩效目标表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5F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89F25">
            <w:pPr>
              <w:pStyle w:val="14"/>
            </w:pPr>
            <w:r>
              <w:t>单位：万元</w:t>
            </w:r>
          </w:p>
        </w:tc>
      </w:tr>
      <w:tr w14:paraId="266FD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DCD89">
            <w:pPr>
              <w:pStyle w:val="11"/>
            </w:pPr>
            <w:r>
              <w:t>项目编码</w:t>
            </w:r>
          </w:p>
        </w:tc>
        <w:tc>
          <w:tcPr>
            <w:tcW w:w="5103" w:type="dxa"/>
            <w:gridSpan w:val="2"/>
            <w:vAlign w:val="center"/>
          </w:tcPr>
          <w:p w14:paraId="1A0C2D65">
            <w:pPr>
              <w:pStyle w:val="13"/>
            </w:pPr>
            <w:r>
              <w:t>13052525P00875710003T</w:t>
            </w:r>
          </w:p>
        </w:tc>
        <w:tc>
          <w:tcPr>
            <w:tcW w:w="2835" w:type="dxa"/>
            <w:vAlign w:val="center"/>
          </w:tcPr>
          <w:p w14:paraId="05A6F7DE">
            <w:pPr>
              <w:pStyle w:val="11"/>
            </w:pPr>
            <w:r>
              <w:t>项目名称</w:t>
            </w:r>
          </w:p>
        </w:tc>
        <w:tc>
          <w:tcPr>
            <w:tcW w:w="6095" w:type="dxa"/>
            <w:gridSpan w:val="3"/>
            <w:vAlign w:val="center"/>
          </w:tcPr>
          <w:p w14:paraId="75AA33FD">
            <w:pPr>
              <w:pStyle w:val="13"/>
            </w:pPr>
            <w:r>
              <w:t>冀财教[2024]142号/省级/2025年学前发展资金/北楼校区学前教育公用经费</w:t>
            </w:r>
          </w:p>
        </w:tc>
      </w:tr>
      <w:tr w14:paraId="2AAA8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A7F8B3F">
            <w:pPr>
              <w:pStyle w:val="11"/>
            </w:pPr>
            <w:r>
              <w:t>预算规模及资金用途</w:t>
            </w:r>
          </w:p>
        </w:tc>
        <w:tc>
          <w:tcPr>
            <w:tcW w:w="2268" w:type="dxa"/>
            <w:vAlign w:val="center"/>
          </w:tcPr>
          <w:p w14:paraId="215F2327">
            <w:pPr>
              <w:pStyle w:val="11"/>
            </w:pPr>
            <w:r>
              <w:t>预算数</w:t>
            </w:r>
          </w:p>
        </w:tc>
        <w:tc>
          <w:tcPr>
            <w:tcW w:w="2835" w:type="dxa"/>
            <w:vAlign w:val="center"/>
          </w:tcPr>
          <w:p w14:paraId="068F3D5F">
            <w:pPr>
              <w:pStyle w:val="13"/>
            </w:pPr>
            <w:r>
              <w:t>10.48</w:t>
            </w:r>
          </w:p>
        </w:tc>
        <w:tc>
          <w:tcPr>
            <w:tcW w:w="2835" w:type="dxa"/>
            <w:vAlign w:val="center"/>
          </w:tcPr>
          <w:p w14:paraId="654E5141">
            <w:pPr>
              <w:pStyle w:val="11"/>
            </w:pPr>
            <w:r>
              <w:t>其中：财政    资金</w:t>
            </w:r>
          </w:p>
        </w:tc>
        <w:tc>
          <w:tcPr>
            <w:tcW w:w="2551" w:type="dxa"/>
            <w:vAlign w:val="center"/>
          </w:tcPr>
          <w:p w14:paraId="0E711E4E">
            <w:pPr>
              <w:pStyle w:val="13"/>
            </w:pPr>
            <w:r>
              <w:t>10.48</w:t>
            </w:r>
          </w:p>
        </w:tc>
        <w:tc>
          <w:tcPr>
            <w:tcW w:w="2268" w:type="dxa"/>
            <w:vAlign w:val="center"/>
          </w:tcPr>
          <w:p w14:paraId="76BCB1C4">
            <w:pPr>
              <w:pStyle w:val="11"/>
            </w:pPr>
            <w:r>
              <w:t>其他资金</w:t>
            </w:r>
          </w:p>
        </w:tc>
        <w:tc>
          <w:tcPr>
            <w:tcW w:w="1276" w:type="dxa"/>
            <w:vAlign w:val="center"/>
          </w:tcPr>
          <w:p w14:paraId="2D8F5F8F">
            <w:pPr>
              <w:pStyle w:val="13"/>
            </w:pPr>
            <w:r>
              <w:t xml:space="preserve"> </w:t>
            </w:r>
          </w:p>
        </w:tc>
      </w:tr>
      <w:tr w14:paraId="400FB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CF5BE5"/>
        </w:tc>
        <w:tc>
          <w:tcPr>
            <w:tcW w:w="14033" w:type="dxa"/>
            <w:gridSpan w:val="6"/>
            <w:vAlign w:val="center"/>
          </w:tcPr>
          <w:p w14:paraId="6517F667">
            <w:pPr>
              <w:pStyle w:val="13"/>
            </w:pPr>
            <w:r>
              <w:t xml:space="preserve"> 保障幼儿园正常运转，完成教育教学活动和其他日常工作任务等方面的费用支出。</w:t>
            </w:r>
          </w:p>
        </w:tc>
      </w:tr>
      <w:tr w14:paraId="5F58B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5B2AE">
            <w:pPr>
              <w:pStyle w:val="11"/>
            </w:pPr>
            <w:r>
              <w:t>资金支出计划（%）</w:t>
            </w:r>
          </w:p>
        </w:tc>
        <w:tc>
          <w:tcPr>
            <w:tcW w:w="5103" w:type="dxa"/>
            <w:gridSpan w:val="2"/>
            <w:vAlign w:val="center"/>
          </w:tcPr>
          <w:p w14:paraId="6E9DD347">
            <w:pPr>
              <w:pStyle w:val="11"/>
            </w:pPr>
            <w:r>
              <w:t>3月底</w:t>
            </w:r>
          </w:p>
        </w:tc>
        <w:tc>
          <w:tcPr>
            <w:tcW w:w="2835" w:type="dxa"/>
            <w:vAlign w:val="center"/>
          </w:tcPr>
          <w:p w14:paraId="0D1D6211">
            <w:pPr>
              <w:pStyle w:val="11"/>
            </w:pPr>
            <w:r>
              <w:t>6月底</w:t>
            </w:r>
          </w:p>
        </w:tc>
        <w:tc>
          <w:tcPr>
            <w:tcW w:w="2551" w:type="dxa"/>
            <w:vAlign w:val="center"/>
          </w:tcPr>
          <w:p w14:paraId="51862ABF">
            <w:pPr>
              <w:pStyle w:val="11"/>
            </w:pPr>
            <w:r>
              <w:t>10月底</w:t>
            </w:r>
          </w:p>
        </w:tc>
        <w:tc>
          <w:tcPr>
            <w:tcW w:w="3544" w:type="dxa"/>
            <w:gridSpan w:val="2"/>
            <w:vAlign w:val="center"/>
          </w:tcPr>
          <w:p w14:paraId="4FA2B60E">
            <w:pPr>
              <w:pStyle w:val="11"/>
            </w:pPr>
            <w:r>
              <w:t>12月底</w:t>
            </w:r>
          </w:p>
        </w:tc>
      </w:tr>
      <w:tr w14:paraId="333DC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DB88FC"/>
        </w:tc>
        <w:tc>
          <w:tcPr>
            <w:tcW w:w="5103" w:type="dxa"/>
            <w:gridSpan w:val="2"/>
            <w:vAlign w:val="center"/>
          </w:tcPr>
          <w:p w14:paraId="3EED86FA">
            <w:pPr>
              <w:pStyle w:val="12"/>
            </w:pPr>
            <w:r>
              <w:t>25%</w:t>
            </w:r>
          </w:p>
        </w:tc>
        <w:tc>
          <w:tcPr>
            <w:tcW w:w="2835" w:type="dxa"/>
            <w:vAlign w:val="center"/>
          </w:tcPr>
          <w:p w14:paraId="763AA327">
            <w:pPr>
              <w:pStyle w:val="12"/>
            </w:pPr>
            <w:r>
              <w:t>50%</w:t>
            </w:r>
          </w:p>
        </w:tc>
        <w:tc>
          <w:tcPr>
            <w:tcW w:w="2551" w:type="dxa"/>
            <w:vAlign w:val="center"/>
          </w:tcPr>
          <w:p w14:paraId="37840041">
            <w:pPr>
              <w:pStyle w:val="12"/>
            </w:pPr>
            <w:r>
              <w:t>75%</w:t>
            </w:r>
          </w:p>
        </w:tc>
        <w:tc>
          <w:tcPr>
            <w:tcW w:w="3544" w:type="dxa"/>
            <w:gridSpan w:val="2"/>
            <w:vAlign w:val="center"/>
          </w:tcPr>
          <w:p w14:paraId="038585B8">
            <w:pPr>
              <w:pStyle w:val="12"/>
            </w:pPr>
            <w:r>
              <w:t>100%</w:t>
            </w:r>
          </w:p>
        </w:tc>
      </w:tr>
      <w:tr w14:paraId="7A36E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F9A5ADC">
            <w:pPr>
              <w:pStyle w:val="11"/>
            </w:pPr>
            <w:r>
              <w:t>绩效目标</w:t>
            </w:r>
          </w:p>
        </w:tc>
        <w:tc>
          <w:tcPr>
            <w:tcW w:w="14033" w:type="dxa"/>
            <w:gridSpan w:val="6"/>
            <w:vAlign w:val="center"/>
          </w:tcPr>
          <w:p w14:paraId="3CA5E890">
            <w:pPr>
              <w:pStyle w:val="13"/>
            </w:pPr>
            <w:r>
              <w:t>1.按季度分批次拨付公用经费资金，资金拨付率达到100%。</w:t>
            </w:r>
          </w:p>
          <w:p w14:paraId="54765AD1">
            <w:pPr>
              <w:pStyle w:val="13"/>
            </w:pPr>
            <w:r>
              <w:t>2. 保障幼儿园正常运转，完成教育教学活动和其他日常工作任务等方面的费用支出。</w:t>
            </w:r>
          </w:p>
        </w:tc>
      </w:tr>
    </w:tbl>
    <w:p w14:paraId="33340F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08"/>
        <w:gridCol w:w="2036"/>
      </w:tblGrid>
      <w:tr w14:paraId="02CB1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A4693">
            <w:pPr>
              <w:pStyle w:val="11"/>
            </w:pPr>
            <w:r>
              <w:t>一级指标</w:t>
            </w:r>
          </w:p>
        </w:tc>
        <w:tc>
          <w:tcPr>
            <w:tcW w:w="2268" w:type="dxa"/>
            <w:vAlign w:val="center"/>
          </w:tcPr>
          <w:p w14:paraId="1A51E26F">
            <w:pPr>
              <w:pStyle w:val="11"/>
            </w:pPr>
            <w:r>
              <w:t>二级指标</w:t>
            </w:r>
          </w:p>
        </w:tc>
        <w:tc>
          <w:tcPr>
            <w:tcW w:w="2835" w:type="dxa"/>
            <w:vAlign w:val="center"/>
          </w:tcPr>
          <w:p w14:paraId="1AC6944A">
            <w:pPr>
              <w:pStyle w:val="11"/>
            </w:pPr>
            <w:r>
              <w:t>三级指标</w:t>
            </w:r>
          </w:p>
        </w:tc>
        <w:tc>
          <w:tcPr>
            <w:tcW w:w="5386" w:type="dxa"/>
            <w:vAlign w:val="center"/>
          </w:tcPr>
          <w:p w14:paraId="64130015">
            <w:pPr>
              <w:pStyle w:val="11"/>
            </w:pPr>
            <w:r>
              <w:t>绩效指标描述</w:t>
            </w:r>
          </w:p>
        </w:tc>
        <w:tc>
          <w:tcPr>
            <w:tcW w:w="1508" w:type="dxa"/>
            <w:vAlign w:val="center"/>
          </w:tcPr>
          <w:p w14:paraId="1D17B70B">
            <w:pPr>
              <w:pStyle w:val="11"/>
            </w:pPr>
            <w:r>
              <w:t>指标值</w:t>
            </w:r>
          </w:p>
        </w:tc>
        <w:tc>
          <w:tcPr>
            <w:tcW w:w="2036" w:type="dxa"/>
            <w:vAlign w:val="center"/>
          </w:tcPr>
          <w:p w14:paraId="6CCF12E1">
            <w:pPr>
              <w:pStyle w:val="11"/>
            </w:pPr>
            <w:r>
              <w:t>指标值确定依据</w:t>
            </w:r>
          </w:p>
        </w:tc>
      </w:tr>
      <w:tr w14:paraId="6F496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382B3">
            <w:pPr>
              <w:pStyle w:val="12"/>
            </w:pPr>
            <w:r>
              <w:t>产出指标</w:t>
            </w:r>
          </w:p>
        </w:tc>
        <w:tc>
          <w:tcPr>
            <w:tcW w:w="2268" w:type="dxa"/>
            <w:vAlign w:val="center"/>
          </w:tcPr>
          <w:p w14:paraId="19B901FF">
            <w:pPr>
              <w:pStyle w:val="13"/>
            </w:pPr>
            <w:r>
              <w:t>数量指标</w:t>
            </w:r>
          </w:p>
        </w:tc>
        <w:tc>
          <w:tcPr>
            <w:tcW w:w="2835" w:type="dxa"/>
            <w:vAlign w:val="center"/>
          </w:tcPr>
          <w:p w14:paraId="1C7CA512">
            <w:pPr>
              <w:pStyle w:val="13"/>
            </w:pPr>
            <w:r>
              <w:t>适龄在园生</w:t>
            </w:r>
          </w:p>
        </w:tc>
        <w:tc>
          <w:tcPr>
            <w:tcW w:w="5386" w:type="dxa"/>
            <w:vAlign w:val="center"/>
          </w:tcPr>
          <w:p w14:paraId="446CDB90">
            <w:pPr>
              <w:pStyle w:val="13"/>
            </w:pPr>
            <w:r>
              <w:t>适龄在园学生人数</w:t>
            </w:r>
          </w:p>
        </w:tc>
        <w:tc>
          <w:tcPr>
            <w:tcW w:w="1508" w:type="dxa"/>
            <w:vAlign w:val="center"/>
          </w:tcPr>
          <w:p w14:paraId="523078EB">
            <w:pPr>
              <w:pStyle w:val="13"/>
            </w:pPr>
            <w:r>
              <w:t>432人</w:t>
            </w:r>
          </w:p>
        </w:tc>
        <w:tc>
          <w:tcPr>
            <w:tcW w:w="2036" w:type="dxa"/>
            <w:vAlign w:val="center"/>
          </w:tcPr>
          <w:p w14:paraId="24AA0C27">
            <w:pPr>
              <w:pStyle w:val="13"/>
            </w:pPr>
            <w:r>
              <w:t>支持学前教育发展资金管理方法</w:t>
            </w:r>
          </w:p>
        </w:tc>
      </w:tr>
      <w:tr w14:paraId="3BAF2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AA17B"/>
        </w:tc>
        <w:tc>
          <w:tcPr>
            <w:tcW w:w="2268" w:type="dxa"/>
            <w:vAlign w:val="center"/>
          </w:tcPr>
          <w:p w14:paraId="78B1D786">
            <w:pPr>
              <w:pStyle w:val="13"/>
            </w:pPr>
            <w:r>
              <w:t>质量指标</w:t>
            </w:r>
          </w:p>
        </w:tc>
        <w:tc>
          <w:tcPr>
            <w:tcW w:w="2835" w:type="dxa"/>
            <w:vAlign w:val="center"/>
          </w:tcPr>
          <w:p w14:paraId="74B79DED">
            <w:pPr>
              <w:pStyle w:val="13"/>
            </w:pPr>
            <w:r>
              <w:t>预算控制率</w:t>
            </w:r>
          </w:p>
        </w:tc>
        <w:tc>
          <w:tcPr>
            <w:tcW w:w="5386" w:type="dxa"/>
            <w:vAlign w:val="center"/>
          </w:tcPr>
          <w:p w14:paraId="45D60928">
            <w:pPr>
              <w:pStyle w:val="13"/>
            </w:pPr>
            <w:r>
              <w:t>预算执行</w:t>
            </w:r>
          </w:p>
        </w:tc>
        <w:tc>
          <w:tcPr>
            <w:tcW w:w="1508" w:type="dxa"/>
            <w:vAlign w:val="center"/>
          </w:tcPr>
          <w:p w14:paraId="43CE0405">
            <w:pPr>
              <w:pStyle w:val="13"/>
            </w:pPr>
            <w:r>
              <w:t>≥95%</w:t>
            </w:r>
          </w:p>
        </w:tc>
        <w:tc>
          <w:tcPr>
            <w:tcW w:w="2036" w:type="dxa"/>
            <w:vAlign w:val="center"/>
          </w:tcPr>
          <w:p w14:paraId="3B8941D7">
            <w:pPr>
              <w:pStyle w:val="13"/>
            </w:pPr>
            <w:r>
              <w:t>支持学前教育发展资金管理方法</w:t>
            </w:r>
          </w:p>
        </w:tc>
      </w:tr>
      <w:tr w14:paraId="7E8F5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055AD"/>
        </w:tc>
        <w:tc>
          <w:tcPr>
            <w:tcW w:w="2268" w:type="dxa"/>
            <w:vAlign w:val="center"/>
          </w:tcPr>
          <w:p w14:paraId="7F0CFDC5">
            <w:pPr>
              <w:pStyle w:val="13"/>
            </w:pPr>
            <w:r>
              <w:t>时效指标</w:t>
            </w:r>
          </w:p>
        </w:tc>
        <w:tc>
          <w:tcPr>
            <w:tcW w:w="2835" w:type="dxa"/>
            <w:vAlign w:val="center"/>
          </w:tcPr>
          <w:p w14:paraId="6E8A7D3A">
            <w:pPr>
              <w:pStyle w:val="13"/>
            </w:pPr>
            <w:r>
              <w:t>资金支付率</w:t>
            </w:r>
          </w:p>
        </w:tc>
        <w:tc>
          <w:tcPr>
            <w:tcW w:w="5386" w:type="dxa"/>
            <w:vAlign w:val="center"/>
          </w:tcPr>
          <w:p w14:paraId="5ABA09DF">
            <w:pPr>
              <w:pStyle w:val="13"/>
            </w:pPr>
            <w:r>
              <w:t>按照序时进度完成资金支付</w:t>
            </w:r>
          </w:p>
        </w:tc>
        <w:tc>
          <w:tcPr>
            <w:tcW w:w="1508" w:type="dxa"/>
            <w:vAlign w:val="center"/>
          </w:tcPr>
          <w:p w14:paraId="52CB55DD">
            <w:pPr>
              <w:pStyle w:val="13"/>
            </w:pPr>
            <w:r>
              <w:t>≥100%</w:t>
            </w:r>
          </w:p>
        </w:tc>
        <w:tc>
          <w:tcPr>
            <w:tcW w:w="2036" w:type="dxa"/>
            <w:vAlign w:val="center"/>
          </w:tcPr>
          <w:p w14:paraId="644AB497">
            <w:pPr>
              <w:pStyle w:val="13"/>
            </w:pPr>
            <w:r>
              <w:t>支持学前教育发展资金管理方法</w:t>
            </w:r>
          </w:p>
        </w:tc>
      </w:tr>
      <w:tr w14:paraId="78879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3DE4E"/>
        </w:tc>
        <w:tc>
          <w:tcPr>
            <w:tcW w:w="2268" w:type="dxa"/>
            <w:vAlign w:val="center"/>
          </w:tcPr>
          <w:p w14:paraId="2FC8797E">
            <w:pPr>
              <w:pStyle w:val="13"/>
            </w:pPr>
            <w:r>
              <w:t>成本指标</w:t>
            </w:r>
          </w:p>
        </w:tc>
        <w:tc>
          <w:tcPr>
            <w:tcW w:w="2835" w:type="dxa"/>
            <w:vAlign w:val="center"/>
          </w:tcPr>
          <w:p w14:paraId="5762EDF6">
            <w:pPr>
              <w:pStyle w:val="13"/>
            </w:pPr>
            <w:r>
              <w:t>生均拨款标准</w:t>
            </w:r>
          </w:p>
        </w:tc>
        <w:tc>
          <w:tcPr>
            <w:tcW w:w="5386" w:type="dxa"/>
            <w:vAlign w:val="center"/>
          </w:tcPr>
          <w:p w14:paraId="447370C8">
            <w:pPr>
              <w:pStyle w:val="13"/>
            </w:pPr>
            <w:r>
              <w:t>学前：（基本标准600元/生/学年）</w:t>
            </w:r>
          </w:p>
        </w:tc>
        <w:tc>
          <w:tcPr>
            <w:tcW w:w="1508" w:type="dxa"/>
            <w:vAlign w:val="center"/>
          </w:tcPr>
          <w:p w14:paraId="2992C812">
            <w:pPr>
              <w:pStyle w:val="13"/>
            </w:pPr>
            <w:r>
              <w:t>600元</w:t>
            </w:r>
          </w:p>
        </w:tc>
        <w:tc>
          <w:tcPr>
            <w:tcW w:w="2036" w:type="dxa"/>
            <w:vAlign w:val="center"/>
          </w:tcPr>
          <w:p w14:paraId="4CC7C020">
            <w:pPr>
              <w:pStyle w:val="13"/>
            </w:pPr>
            <w:r>
              <w:t>支持学前教育发展资金管理方法</w:t>
            </w:r>
          </w:p>
        </w:tc>
      </w:tr>
      <w:tr w14:paraId="2A933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5B267C">
            <w:pPr>
              <w:pStyle w:val="12"/>
            </w:pPr>
            <w:r>
              <w:t>效益指标</w:t>
            </w:r>
          </w:p>
        </w:tc>
        <w:tc>
          <w:tcPr>
            <w:tcW w:w="2268" w:type="dxa"/>
            <w:vAlign w:val="center"/>
          </w:tcPr>
          <w:p w14:paraId="3419F50A">
            <w:pPr>
              <w:pStyle w:val="13"/>
            </w:pPr>
            <w:r>
              <w:t>社会效益指标</w:t>
            </w:r>
          </w:p>
        </w:tc>
        <w:tc>
          <w:tcPr>
            <w:tcW w:w="2835" w:type="dxa"/>
            <w:vAlign w:val="center"/>
          </w:tcPr>
          <w:p w14:paraId="29E62EE7">
            <w:pPr>
              <w:pStyle w:val="13"/>
            </w:pPr>
            <w:r>
              <w:t>学校运转得到提升</w:t>
            </w:r>
          </w:p>
        </w:tc>
        <w:tc>
          <w:tcPr>
            <w:tcW w:w="5386" w:type="dxa"/>
            <w:vAlign w:val="center"/>
          </w:tcPr>
          <w:p w14:paraId="40310A5A">
            <w:pPr>
              <w:pStyle w:val="13"/>
            </w:pPr>
            <w:r>
              <w:t>幼儿受教育年限</w:t>
            </w:r>
          </w:p>
        </w:tc>
        <w:tc>
          <w:tcPr>
            <w:tcW w:w="1508" w:type="dxa"/>
            <w:vAlign w:val="center"/>
          </w:tcPr>
          <w:p w14:paraId="7639D099">
            <w:pPr>
              <w:pStyle w:val="13"/>
            </w:pPr>
            <w:r>
              <w:t>3年</w:t>
            </w:r>
          </w:p>
        </w:tc>
        <w:tc>
          <w:tcPr>
            <w:tcW w:w="2036" w:type="dxa"/>
            <w:vAlign w:val="center"/>
          </w:tcPr>
          <w:p w14:paraId="3CE31AEC">
            <w:pPr>
              <w:pStyle w:val="13"/>
            </w:pPr>
            <w:r>
              <w:t>支持学前教育发展资金管理方法</w:t>
            </w:r>
          </w:p>
        </w:tc>
      </w:tr>
      <w:tr w14:paraId="14202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C9039">
            <w:pPr>
              <w:pStyle w:val="12"/>
            </w:pPr>
            <w:r>
              <w:t>满意度指标</w:t>
            </w:r>
          </w:p>
        </w:tc>
        <w:tc>
          <w:tcPr>
            <w:tcW w:w="2268" w:type="dxa"/>
            <w:vAlign w:val="center"/>
          </w:tcPr>
          <w:p w14:paraId="4CC4965C">
            <w:pPr>
              <w:pStyle w:val="13"/>
            </w:pPr>
            <w:r>
              <w:t>服务对象满意度指标</w:t>
            </w:r>
          </w:p>
        </w:tc>
        <w:tc>
          <w:tcPr>
            <w:tcW w:w="2835" w:type="dxa"/>
            <w:vAlign w:val="center"/>
          </w:tcPr>
          <w:p w14:paraId="721DA96F">
            <w:pPr>
              <w:pStyle w:val="13"/>
            </w:pPr>
            <w:r>
              <w:t>受益学生家长及调查满意度</w:t>
            </w:r>
          </w:p>
        </w:tc>
        <w:tc>
          <w:tcPr>
            <w:tcW w:w="5386" w:type="dxa"/>
            <w:vAlign w:val="center"/>
          </w:tcPr>
          <w:p w14:paraId="50C23957">
            <w:pPr>
              <w:pStyle w:val="13"/>
            </w:pPr>
            <w:r>
              <w:t>学生、教师及家长对学校保教保育工作满意度情况</w:t>
            </w:r>
          </w:p>
        </w:tc>
        <w:tc>
          <w:tcPr>
            <w:tcW w:w="1508" w:type="dxa"/>
            <w:vAlign w:val="center"/>
          </w:tcPr>
          <w:p w14:paraId="3259FCCA">
            <w:pPr>
              <w:pStyle w:val="13"/>
            </w:pPr>
            <w:r>
              <w:t>≥95%</w:t>
            </w:r>
          </w:p>
        </w:tc>
        <w:tc>
          <w:tcPr>
            <w:tcW w:w="2036" w:type="dxa"/>
            <w:vAlign w:val="center"/>
          </w:tcPr>
          <w:p w14:paraId="42CB0DC5">
            <w:pPr>
              <w:pStyle w:val="13"/>
            </w:pPr>
            <w:r>
              <w:t>支持学前教育发展资金管理方法</w:t>
            </w:r>
          </w:p>
        </w:tc>
      </w:tr>
    </w:tbl>
    <w:p w14:paraId="62CF2CD4">
      <w:pPr>
        <w:sectPr>
          <w:pgSz w:w="16840" w:h="11900" w:orient="landscape"/>
          <w:pgMar w:top="1361" w:right="1020" w:bottom="1134" w:left="1020" w:header="720" w:footer="720" w:gutter="0"/>
          <w:cols w:space="720" w:num="1"/>
        </w:sectPr>
      </w:pPr>
    </w:p>
    <w:p w14:paraId="3C67FD80">
      <w:pPr>
        <w:spacing w:before="0" w:after="0"/>
        <w:ind w:firstLine="560"/>
        <w:jc w:val="left"/>
        <w:outlineLvl w:val="9"/>
      </w:pPr>
      <w:r>
        <w:rPr>
          <w:rFonts w:ascii="方正仿宋_GBK" w:hAnsi="方正仿宋_GBK" w:eastAsia="方正仿宋_GBK" w:cs="方正仿宋_GBK"/>
          <w:b/>
          <w:color w:val="000000"/>
          <w:sz w:val="28"/>
        </w:rPr>
        <w:t>17、冀财教[2024]142号/省级/2025年学前发展资金/北楼校区学前教育幼儿资助绩效目标表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BE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1CA45">
            <w:pPr>
              <w:pStyle w:val="14"/>
            </w:pPr>
            <w:r>
              <w:t>单位：万元</w:t>
            </w:r>
          </w:p>
        </w:tc>
      </w:tr>
      <w:tr w14:paraId="6352D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21DC7">
            <w:pPr>
              <w:pStyle w:val="11"/>
            </w:pPr>
            <w:r>
              <w:t>项目编码</w:t>
            </w:r>
          </w:p>
        </w:tc>
        <w:tc>
          <w:tcPr>
            <w:tcW w:w="5103" w:type="dxa"/>
            <w:gridSpan w:val="2"/>
            <w:vAlign w:val="center"/>
          </w:tcPr>
          <w:p w14:paraId="2182C354">
            <w:pPr>
              <w:pStyle w:val="13"/>
            </w:pPr>
            <w:r>
              <w:t>13052525P000002100675</w:t>
            </w:r>
          </w:p>
        </w:tc>
        <w:tc>
          <w:tcPr>
            <w:tcW w:w="2835" w:type="dxa"/>
            <w:vAlign w:val="center"/>
          </w:tcPr>
          <w:p w14:paraId="3CCA5634">
            <w:pPr>
              <w:pStyle w:val="11"/>
            </w:pPr>
            <w:r>
              <w:t>项目名称</w:t>
            </w:r>
          </w:p>
        </w:tc>
        <w:tc>
          <w:tcPr>
            <w:tcW w:w="6095" w:type="dxa"/>
            <w:gridSpan w:val="3"/>
            <w:vAlign w:val="center"/>
          </w:tcPr>
          <w:p w14:paraId="11592E03">
            <w:pPr>
              <w:pStyle w:val="13"/>
            </w:pPr>
            <w:r>
              <w:t>冀财教[2024]142号/省级/2025年学前发展资金/北楼校区学前教育幼儿资助</w:t>
            </w:r>
          </w:p>
        </w:tc>
      </w:tr>
      <w:tr w14:paraId="0D7EB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F0568">
            <w:pPr>
              <w:pStyle w:val="11"/>
            </w:pPr>
            <w:r>
              <w:t>预算规模及资金用途</w:t>
            </w:r>
          </w:p>
        </w:tc>
        <w:tc>
          <w:tcPr>
            <w:tcW w:w="2268" w:type="dxa"/>
            <w:vAlign w:val="center"/>
          </w:tcPr>
          <w:p w14:paraId="6648DA7E">
            <w:pPr>
              <w:pStyle w:val="11"/>
            </w:pPr>
            <w:r>
              <w:t>预算数</w:t>
            </w:r>
          </w:p>
        </w:tc>
        <w:tc>
          <w:tcPr>
            <w:tcW w:w="2835" w:type="dxa"/>
            <w:vAlign w:val="center"/>
          </w:tcPr>
          <w:p w14:paraId="3380D354">
            <w:pPr>
              <w:pStyle w:val="13"/>
            </w:pPr>
            <w:r>
              <w:t>0.68</w:t>
            </w:r>
          </w:p>
        </w:tc>
        <w:tc>
          <w:tcPr>
            <w:tcW w:w="2835" w:type="dxa"/>
            <w:vAlign w:val="center"/>
          </w:tcPr>
          <w:p w14:paraId="35CE46B3">
            <w:pPr>
              <w:pStyle w:val="11"/>
            </w:pPr>
            <w:r>
              <w:t>其中：财政    资金</w:t>
            </w:r>
          </w:p>
        </w:tc>
        <w:tc>
          <w:tcPr>
            <w:tcW w:w="2551" w:type="dxa"/>
            <w:vAlign w:val="center"/>
          </w:tcPr>
          <w:p w14:paraId="13F5D7F6">
            <w:pPr>
              <w:pStyle w:val="13"/>
            </w:pPr>
            <w:r>
              <w:t>0.68</w:t>
            </w:r>
          </w:p>
        </w:tc>
        <w:tc>
          <w:tcPr>
            <w:tcW w:w="2268" w:type="dxa"/>
            <w:vAlign w:val="center"/>
          </w:tcPr>
          <w:p w14:paraId="54EAC8AC">
            <w:pPr>
              <w:pStyle w:val="11"/>
            </w:pPr>
            <w:r>
              <w:t>其他资金</w:t>
            </w:r>
          </w:p>
        </w:tc>
        <w:tc>
          <w:tcPr>
            <w:tcW w:w="1276" w:type="dxa"/>
            <w:vAlign w:val="center"/>
          </w:tcPr>
          <w:p w14:paraId="05BA8947">
            <w:pPr>
              <w:pStyle w:val="13"/>
            </w:pPr>
            <w:r>
              <w:t xml:space="preserve"> </w:t>
            </w:r>
          </w:p>
        </w:tc>
      </w:tr>
      <w:tr w14:paraId="13861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623C61"/>
        </w:tc>
        <w:tc>
          <w:tcPr>
            <w:tcW w:w="14033" w:type="dxa"/>
            <w:gridSpan w:val="6"/>
            <w:vAlign w:val="center"/>
          </w:tcPr>
          <w:p w14:paraId="096355BF">
            <w:pPr>
              <w:pStyle w:val="13"/>
            </w:pPr>
            <w:r>
              <w:t>保障落实建档立卡及家庭经济困难儿童资助所需资金，确保建档立卡等家庭经济困难幼儿优先获得资助</w:t>
            </w:r>
          </w:p>
        </w:tc>
      </w:tr>
      <w:tr w14:paraId="3849F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2B157">
            <w:pPr>
              <w:pStyle w:val="11"/>
            </w:pPr>
            <w:r>
              <w:t>资金支出计划（%）</w:t>
            </w:r>
          </w:p>
        </w:tc>
        <w:tc>
          <w:tcPr>
            <w:tcW w:w="5103" w:type="dxa"/>
            <w:gridSpan w:val="2"/>
            <w:vAlign w:val="center"/>
          </w:tcPr>
          <w:p w14:paraId="0FED7531">
            <w:pPr>
              <w:pStyle w:val="11"/>
            </w:pPr>
            <w:r>
              <w:t>3月底</w:t>
            </w:r>
          </w:p>
        </w:tc>
        <w:tc>
          <w:tcPr>
            <w:tcW w:w="2835" w:type="dxa"/>
            <w:vAlign w:val="center"/>
          </w:tcPr>
          <w:p w14:paraId="12E38ACF">
            <w:pPr>
              <w:pStyle w:val="11"/>
            </w:pPr>
            <w:r>
              <w:t>6月底</w:t>
            </w:r>
          </w:p>
        </w:tc>
        <w:tc>
          <w:tcPr>
            <w:tcW w:w="2551" w:type="dxa"/>
            <w:vAlign w:val="center"/>
          </w:tcPr>
          <w:p w14:paraId="4BC04A0B">
            <w:pPr>
              <w:pStyle w:val="11"/>
            </w:pPr>
            <w:r>
              <w:t>10月底</w:t>
            </w:r>
          </w:p>
        </w:tc>
        <w:tc>
          <w:tcPr>
            <w:tcW w:w="3544" w:type="dxa"/>
            <w:gridSpan w:val="2"/>
            <w:vAlign w:val="center"/>
          </w:tcPr>
          <w:p w14:paraId="27CB4437">
            <w:pPr>
              <w:pStyle w:val="11"/>
            </w:pPr>
            <w:r>
              <w:t>12月底</w:t>
            </w:r>
          </w:p>
        </w:tc>
      </w:tr>
      <w:tr w14:paraId="6CC70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8AB78E"/>
        </w:tc>
        <w:tc>
          <w:tcPr>
            <w:tcW w:w="5103" w:type="dxa"/>
            <w:gridSpan w:val="2"/>
            <w:vAlign w:val="center"/>
          </w:tcPr>
          <w:p w14:paraId="46EF57FD">
            <w:pPr>
              <w:pStyle w:val="12"/>
            </w:pPr>
            <w:r>
              <w:t xml:space="preserve"> </w:t>
            </w:r>
          </w:p>
        </w:tc>
        <w:tc>
          <w:tcPr>
            <w:tcW w:w="2835" w:type="dxa"/>
            <w:vAlign w:val="center"/>
          </w:tcPr>
          <w:p w14:paraId="2F96616B">
            <w:pPr>
              <w:pStyle w:val="12"/>
            </w:pPr>
            <w:r>
              <w:t xml:space="preserve"> </w:t>
            </w:r>
          </w:p>
        </w:tc>
        <w:tc>
          <w:tcPr>
            <w:tcW w:w="2551" w:type="dxa"/>
            <w:vAlign w:val="center"/>
          </w:tcPr>
          <w:p w14:paraId="0255EE66">
            <w:pPr>
              <w:pStyle w:val="12"/>
            </w:pPr>
            <w:r>
              <w:t>50%</w:t>
            </w:r>
          </w:p>
        </w:tc>
        <w:tc>
          <w:tcPr>
            <w:tcW w:w="3544" w:type="dxa"/>
            <w:gridSpan w:val="2"/>
            <w:vAlign w:val="center"/>
          </w:tcPr>
          <w:p w14:paraId="37590363">
            <w:pPr>
              <w:pStyle w:val="12"/>
            </w:pPr>
            <w:r>
              <w:t>100%</w:t>
            </w:r>
          </w:p>
        </w:tc>
      </w:tr>
      <w:tr w14:paraId="4EB35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18F26B">
            <w:pPr>
              <w:pStyle w:val="11"/>
            </w:pPr>
            <w:r>
              <w:t>绩效目标</w:t>
            </w:r>
          </w:p>
        </w:tc>
        <w:tc>
          <w:tcPr>
            <w:tcW w:w="14033" w:type="dxa"/>
            <w:gridSpan w:val="6"/>
            <w:vAlign w:val="center"/>
          </w:tcPr>
          <w:p w14:paraId="52819CE7">
            <w:pPr>
              <w:pStyle w:val="13"/>
            </w:pPr>
            <w:r>
              <w:t>1.保证本年度资助经费足额落实到位，符合享受资助条件的学生应助尽助。</w:t>
            </w:r>
            <w:r>
              <w:tab/>
            </w:r>
            <w:r>
              <w:tab/>
            </w:r>
            <w:r>
              <w:tab/>
            </w:r>
            <w:r>
              <w:tab/>
            </w:r>
            <w:r>
              <w:tab/>
            </w:r>
            <w:r>
              <w:tab/>
            </w:r>
          </w:p>
          <w:p w14:paraId="079E367B">
            <w:pPr>
              <w:pStyle w:val="13"/>
            </w:pPr>
            <w:r>
              <w:t>2.保障落实建档立卡及家庭经济困难儿童资助所需资金，确保建档立卡等家庭经济困难幼儿优先获得资助</w:t>
            </w:r>
            <w:r>
              <w:tab/>
            </w:r>
            <w:r>
              <w:tab/>
            </w:r>
            <w:r>
              <w:tab/>
            </w:r>
            <w:r>
              <w:tab/>
            </w:r>
            <w:r>
              <w:tab/>
            </w:r>
            <w:r>
              <w:tab/>
            </w:r>
          </w:p>
        </w:tc>
      </w:tr>
    </w:tbl>
    <w:p w14:paraId="3FFD1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7D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70189">
            <w:pPr>
              <w:pStyle w:val="11"/>
            </w:pPr>
            <w:r>
              <w:t>一级指标</w:t>
            </w:r>
          </w:p>
        </w:tc>
        <w:tc>
          <w:tcPr>
            <w:tcW w:w="2268" w:type="dxa"/>
            <w:vAlign w:val="center"/>
          </w:tcPr>
          <w:p w14:paraId="423D8BE1">
            <w:pPr>
              <w:pStyle w:val="11"/>
            </w:pPr>
            <w:r>
              <w:t>二级指标</w:t>
            </w:r>
          </w:p>
        </w:tc>
        <w:tc>
          <w:tcPr>
            <w:tcW w:w="2835" w:type="dxa"/>
            <w:vAlign w:val="center"/>
          </w:tcPr>
          <w:p w14:paraId="31223E58">
            <w:pPr>
              <w:pStyle w:val="11"/>
            </w:pPr>
            <w:r>
              <w:t>三级指标</w:t>
            </w:r>
          </w:p>
        </w:tc>
        <w:tc>
          <w:tcPr>
            <w:tcW w:w="5386" w:type="dxa"/>
            <w:vAlign w:val="center"/>
          </w:tcPr>
          <w:p w14:paraId="6E0326A2">
            <w:pPr>
              <w:pStyle w:val="11"/>
            </w:pPr>
            <w:r>
              <w:t>绩效指标描述</w:t>
            </w:r>
          </w:p>
        </w:tc>
        <w:tc>
          <w:tcPr>
            <w:tcW w:w="2268" w:type="dxa"/>
            <w:vAlign w:val="center"/>
          </w:tcPr>
          <w:p w14:paraId="01EF0B6E">
            <w:pPr>
              <w:pStyle w:val="11"/>
            </w:pPr>
            <w:r>
              <w:t>指标值</w:t>
            </w:r>
          </w:p>
        </w:tc>
        <w:tc>
          <w:tcPr>
            <w:tcW w:w="1276" w:type="dxa"/>
            <w:vAlign w:val="center"/>
          </w:tcPr>
          <w:p w14:paraId="73478B43">
            <w:pPr>
              <w:pStyle w:val="11"/>
            </w:pPr>
            <w:r>
              <w:t>指标值确定依据</w:t>
            </w:r>
          </w:p>
        </w:tc>
      </w:tr>
      <w:tr w14:paraId="134C1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4BBFD">
            <w:pPr>
              <w:pStyle w:val="12"/>
            </w:pPr>
            <w:r>
              <w:t>产出指标</w:t>
            </w:r>
          </w:p>
        </w:tc>
        <w:tc>
          <w:tcPr>
            <w:tcW w:w="2268" w:type="dxa"/>
            <w:vAlign w:val="center"/>
          </w:tcPr>
          <w:p w14:paraId="673CEDCE">
            <w:pPr>
              <w:pStyle w:val="13"/>
            </w:pPr>
            <w:r>
              <w:t>成本指标</w:t>
            </w:r>
          </w:p>
        </w:tc>
        <w:tc>
          <w:tcPr>
            <w:tcW w:w="2835" w:type="dxa"/>
            <w:vAlign w:val="center"/>
          </w:tcPr>
          <w:p w14:paraId="58303CC2">
            <w:pPr>
              <w:pStyle w:val="13"/>
            </w:pPr>
            <w:r>
              <w:t>幼儿园资助标准</w:t>
            </w:r>
          </w:p>
        </w:tc>
        <w:tc>
          <w:tcPr>
            <w:tcW w:w="5386" w:type="dxa"/>
            <w:vAlign w:val="center"/>
          </w:tcPr>
          <w:p w14:paraId="4F0B9F13">
            <w:pPr>
              <w:pStyle w:val="13"/>
            </w:pPr>
            <w:r>
              <w:t>按照幼儿园资助标准1000元/生/年</w:t>
            </w:r>
          </w:p>
        </w:tc>
        <w:tc>
          <w:tcPr>
            <w:tcW w:w="2268" w:type="dxa"/>
            <w:vAlign w:val="center"/>
          </w:tcPr>
          <w:p w14:paraId="77D71869">
            <w:pPr>
              <w:pStyle w:val="13"/>
            </w:pPr>
            <w:r>
              <w:t>1000元/生/年</w:t>
            </w:r>
          </w:p>
        </w:tc>
        <w:tc>
          <w:tcPr>
            <w:tcW w:w="1276" w:type="dxa"/>
            <w:vAlign w:val="center"/>
          </w:tcPr>
          <w:p w14:paraId="23BC7DE1">
            <w:pPr>
              <w:pStyle w:val="13"/>
            </w:pPr>
            <w:r>
              <w:t>幼儿资助经费管理办法</w:t>
            </w:r>
          </w:p>
        </w:tc>
      </w:tr>
      <w:tr w14:paraId="7BD2F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D5F86"/>
        </w:tc>
        <w:tc>
          <w:tcPr>
            <w:tcW w:w="2268" w:type="dxa"/>
            <w:vAlign w:val="center"/>
          </w:tcPr>
          <w:p w14:paraId="26617159">
            <w:pPr>
              <w:pStyle w:val="13"/>
            </w:pPr>
            <w:r>
              <w:t>数量指标</w:t>
            </w:r>
          </w:p>
        </w:tc>
        <w:tc>
          <w:tcPr>
            <w:tcW w:w="2835" w:type="dxa"/>
            <w:vAlign w:val="center"/>
          </w:tcPr>
          <w:p w14:paraId="44BD6163">
            <w:pPr>
              <w:pStyle w:val="13"/>
            </w:pPr>
            <w:r>
              <w:t>幼儿资助比例</w:t>
            </w:r>
          </w:p>
        </w:tc>
        <w:tc>
          <w:tcPr>
            <w:tcW w:w="5386" w:type="dxa"/>
            <w:vAlign w:val="center"/>
          </w:tcPr>
          <w:p w14:paraId="63E01CDE">
            <w:pPr>
              <w:pStyle w:val="13"/>
            </w:pPr>
            <w:r>
              <w:t>按学前适龄在园儿童10%测算</w:t>
            </w:r>
          </w:p>
        </w:tc>
        <w:tc>
          <w:tcPr>
            <w:tcW w:w="2268" w:type="dxa"/>
            <w:vAlign w:val="center"/>
          </w:tcPr>
          <w:p w14:paraId="454CFEFB">
            <w:pPr>
              <w:pStyle w:val="13"/>
            </w:pPr>
            <w:r>
              <w:t>≥10%</w:t>
            </w:r>
          </w:p>
        </w:tc>
        <w:tc>
          <w:tcPr>
            <w:tcW w:w="1276" w:type="dxa"/>
            <w:vAlign w:val="center"/>
          </w:tcPr>
          <w:p w14:paraId="6B3F83C9">
            <w:pPr>
              <w:pStyle w:val="13"/>
            </w:pPr>
            <w:r>
              <w:t>幼儿资助经费管理办法</w:t>
            </w:r>
          </w:p>
        </w:tc>
      </w:tr>
      <w:tr w14:paraId="686CD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1CD8A"/>
        </w:tc>
        <w:tc>
          <w:tcPr>
            <w:tcW w:w="2268" w:type="dxa"/>
            <w:vAlign w:val="center"/>
          </w:tcPr>
          <w:p w14:paraId="186DE6B3">
            <w:pPr>
              <w:pStyle w:val="13"/>
            </w:pPr>
            <w:r>
              <w:t>质量指标</w:t>
            </w:r>
          </w:p>
        </w:tc>
        <w:tc>
          <w:tcPr>
            <w:tcW w:w="2835" w:type="dxa"/>
            <w:vAlign w:val="center"/>
          </w:tcPr>
          <w:p w14:paraId="001B00C6">
            <w:pPr>
              <w:pStyle w:val="13"/>
            </w:pPr>
            <w:r>
              <w:t>学前教育资助制度落实情况</w:t>
            </w:r>
          </w:p>
        </w:tc>
        <w:tc>
          <w:tcPr>
            <w:tcW w:w="5386" w:type="dxa"/>
            <w:vAlign w:val="center"/>
          </w:tcPr>
          <w:p w14:paraId="4DEDBF37">
            <w:pPr>
              <w:pStyle w:val="13"/>
            </w:pPr>
            <w:r>
              <w:t>符合享受资助条件的学生应助尽助</w:t>
            </w:r>
          </w:p>
        </w:tc>
        <w:tc>
          <w:tcPr>
            <w:tcW w:w="2268" w:type="dxa"/>
            <w:vAlign w:val="center"/>
          </w:tcPr>
          <w:p w14:paraId="236E2B44">
            <w:pPr>
              <w:pStyle w:val="13"/>
            </w:pPr>
            <w:r>
              <w:t>≥100%</w:t>
            </w:r>
          </w:p>
        </w:tc>
        <w:tc>
          <w:tcPr>
            <w:tcW w:w="1276" w:type="dxa"/>
            <w:vAlign w:val="center"/>
          </w:tcPr>
          <w:p w14:paraId="23B20376">
            <w:pPr>
              <w:pStyle w:val="13"/>
            </w:pPr>
            <w:r>
              <w:t>幼儿资助经费管理办法</w:t>
            </w:r>
          </w:p>
        </w:tc>
      </w:tr>
      <w:tr w14:paraId="5848B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61BA9"/>
        </w:tc>
        <w:tc>
          <w:tcPr>
            <w:tcW w:w="2268" w:type="dxa"/>
            <w:vAlign w:val="center"/>
          </w:tcPr>
          <w:p w14:paraId="0C14AD91">
            <w:pPr>
              <w:pStyle w:val="13"/>
            </w:pPr>
            <w:r>
              <w:t>时效指标</w:t>
            </w:r>
          </w:p>
        </w:tc>
        <w:tc>
          <w:tcPr>
            <w:tcW w:w="2835" w:type="dxa"/>
            <w:vAlign w:val="center"/>
          </w:tcPr>
          <w:p w14:paraId="713EB2FB">
            <w:pPr>
              <w:pStyle w:val="13"/>
            </w:pPr>
            <w:r>
              <w:t>资金拨付率</w:t>
            </w:r>
          </w:p>
        </w:tc>
        <w:tc>
          <w:tcPr>
            <w:tcW w:w="5386" w:type="dxa"/>
            <w:vAlign w:val="center"/>
          </w:tcPr>
          <w:p w14:paraId="35760FF5">
            <w:pPr>
              <w:pStyle w:val="13"/>
            </w:pPr>
            <w:r>
              <w:t>所有项目资金支付进度</w:t>
            </w:r>
          </w:p>
        </w:tc>
        <w:tc>
          <w:tcPr>
            <w:tcW w:w="2268" w:type="dxa"/>
            <w:vAlign w:val="center"/>
          </w:tcPr>
          <w:p w14:paraId="79ED6715">
            <w:pPr>
              <w:pStyle w:val="13"/>
            </w:pPr>
            <w:r>
              <w:t>≥100%</w:t>
            </w:r>
          </w:p>
        </w:tc>
        <w:tc>
          <w:tcPr>
            <w:tcW w:w="1276" w:type="dxa"/>
            <w:vAlign w:val="center"/>
          </w:tcPr>
          <w:p w14:paraId="49359738">
            <w:pPr>
              <w:pStyle w:val="13"/>
            </w:pPr>
            <w:r>
              <w:t>幼儿资助经费管理办法</w:t>
            </w:r>
          </w:p>
        </w:tc>
      </w:tr>
      <w:tr w14:paraId="4E7CE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4382EE">
            <w:pPr>
              <w:pStyle w:val="12"/>
            </w:pPr>
            <w:r>
              <w:t>效益指标</w:t>
            </w:r>
          </w:p>
        </w:tc>
        <w:tc>
          <w:tcPr>
            <w:tcW w:w="2268" w:type="dxa"/>
            <w:vAlign w:val="center"/>
          </w:tcPr>
          <w:p w14:paraId="2BAA630C">
            <w:pPr>
              <w:pStyle w:val="13"/>
            </w:pPr>
            <w:r>
              <w:t>可持续影响指标</w:t>
            </w:r>
          </w:p>
        </w:tc>
        <w:tc>
          <w:tcPr>
            <w:tcW w:w="2835" w:type="dxa"/>
            <w:vAlign w:val="center"/>
          </w:tcPr>
          <w:p w14:paraId="0669EDD3">
            <w:pPr>
              <w:pStyle w:val="13"/>
            </w:pPr>
            <w:r>
              <w:t>幼儿园运转</w:t>
            </w:r>
          </w:p>
        </w:tc>
        <w:tc>
          <w:tcPr>
            <w:tcW w:w="5386" w:type="dxa"/>
            <w:vAlign w:val="center"/>
          </w:tcPr>
          <w:p w14:paraId="7DD956C7">
            <w:pPr>
              <w:pStyle w:val="13"/>
            </w:pPr>
            <w:r>
              <w:t>幼儿受教育年限</w:t>
            </w:r>
          </w:p>
        </w:tc>
        <w:tc>
          <w:tcPr>
            <w:tcW w:w="2268" w:type="dxa"/>
            <w:vAlign w:val="center"/>
          </w:tcPr>
          <w:p w14:paraId="71A61A11">
            <w:pPr>
              <w:pStyle w:val="13"/>
            </w:pPr>
            <w:r>
              <w:t>3年</w:t>
            </w:r>
          </w:p>
        </w:tc>
        <w:tc>
          <w:tcPr>
            <w:tcW w:w="1276" w:type="dxa"/>
            <w:vAlign w:val="center"/>
          </w:tcPr>
          <w:p w14:paraId="58439B8E">
            <w:pPr>
              <w:pStyle w:val="13"/>
            </w:pPr>
            <w:r>
              <w:t>幼儿资助经费管理办法</w:t>
            </w:r>
          </w:p>
        </w:tc>
      </w:tr>
      <w:tr w14:paraId="0394E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DDFC47">
            <w:pPr>
              <w:pStyle w:val="12"/>
            </w:pPr>
            <w:r>
              <w:t>满意度指标</w:t>
            </w:r>
          </w:p>
        </w:tc>
        <w:tc>
          <w:tcPr>
            <w:tcW w:w="2268" w:type="dxa"/>
            <w:vAlign w:val="center"/>
          </w:tcPr>
          <w:p w14:paraId="4240A158">
            <w:pPr>
              <w:pStyle w:val="13"/>
            </w:pPr>
            <w:r>
              <w:t>服务对象满意度指标</w:t>
            </w:r>
          </w:p>
        </w:tc>
        <w:tc>
          <w:tcPr>
            <w:tcW w:w="2835" w:type="dxa"/>
            <w:vAlign w:val="center"/>
          </w:tcPr>
          <w:p w14:paraId="1F7356C8">
            <w:pPr>
              <w:pStyle w:val="13"/>
            </w:pPr>
            <w:r>
              <w:t>受益幼儿家长及调查满意度</w:t>
            </w:r>
          </w:p>
        </w:tc>
        <w:tc>
          <w:tcPr>
            <w:tcW w:w="5386" w:type="dxa"/>
            <w:vAlign w:val="center"/>
          </w:tcPr>
          <w:p w14:paraId="29A349AA">
            <w:pPr>
              <w:pStyle w:val="13"/>
            </w:pPr>
            <w:r>
              <w:t>学生、教师及家长对学校保教保育工作满意度情况</w:t>
            </w:r>
          </w:p>
        </w:tc>
        <w:tc>
          <w:tcPr>
            <w:tcW w:w="2268" w:type="dxa"/>
            <w:vAlign w:val="center"/>
          </w:tcPr>
          <w:p w14:paraId="71E83175">
            <w:pPr>
              <w:pStyle w:val="13"/>
            </w:pPr>
            <w:r>
              <w:t>≥95%</w:t>
            </w:r>
          </w:p>
        </w:tc>
        <w:tc>
          <w:tcPr>
            <w:tcW w:w="1276" w:type="dxa"/>
            <w:vAlign w:val="center"/>
          </w:tcPr>
          <w:p w14:paraId="0305BBFE">
            <w:pPr>
              <w:pStyle w:val="13"/>
            </w:pPr>
            <w:r>
              <w:t>幼儿资助经费管理办法</w:t>
            </w:r>
          </w:p>
        </w:tc>
      </w:tr>
    </w:tbl>
    <w:p w14:paraId="52F2BFBE">
      <w:pPr>
        <w:sectPr>
          <w:pgSz w:w="16840" w:h="11900" w:orient="landscape"/>
          <w:pgMar w:top="1361" w:right="1020" w:bottom="1134" w:left="1020" w:header="720" w:footer="720" w:gutter="0"/>
          <w:cols w:space="720" w:num="1"/>
        </w:sectPr>
      </w:pPr>
    </w:p>
    <w:p w14:paraId="2847624E">
      <w:pPr>
        <w:spacing w:before="0" w:after="0"/>
        <w:ind w:firstLine="560"/>
        <w:jc w:val="left"/>
        <w:outlineLvl w:val="9"/>
      </w:pPr>
      <w:r>
        <w:rPr>
          <w:rFonts w:ascii="方正仿宋_GBK" w:hAnsi="方正仿宋_GBK" w:eastAsia="方正仿宋_GBK" w:cs="方正仿宋_GBK"/>
          <w:b/>
          <w:color w:val="000000"/>
          <w:sz w:val="28"/>
        </w:rPr>
        <w:t>18、上年盘活/冀财教[2022]179号/中央/义教经费/校舍安全/尚礼小学综合楼室外消防工程绩效目标表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CF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2296A">
            <w:pPr>
              <w:pStyle w:val="14"/>
            </w:pPr>
            <w:r>
              <w:t>单位：万元</w:t>
            </w:r>
          </w:p>
        </w:tc>
      </w:tr>
      <w:tr w14:paraId="418F8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77CA4">
            <w:pPr>
              <w:pStyle w:val="11"/>
            </w:pPr>
            <w:r>
              <w:t>项目编码</w:t>
            </w:r>
          </w:p>
        </w:tc>
        <w:tc>
          <w:tcPr>
            <w:tcW w:w="5103" w:type="dxa"/>
            <w:gridSpan w:val="2"/>
            <w:vAlign w:val="center"/>
          </w:tcPr>
          <w:p w14:paraId="6B44D151">
            <w:pPr>
              <w:pStyle w:val="13"/>
            </w:pPr>
            <w:r>
              <w:t>13052525P008756101649</w:t>
            </w:r>
          </w:p>
        </w:tc>
        <w:tc>
          <w:tcPr>
            <w:tcW w:w="2835" w:type="dxa"/>
            <w:vAlign w:val="center"/>
          </w:tcPr>
          <w:p w14:paraId="3D006AB8">
            <w:pPr>
              <w:pStyle w:val="11"/>
            </w:pPr>
            <w:r>
              <w:t>项目名称</w:t>
            </w:r>
          </w:p>
        </w:tc>
        <w:tc>
          <w:tcPr>
            <w:tcW w:w="6095" w:type="dxa"/>
            <w:gridSpan w:val="3"/>
            <w:vAlign w:val="center"/>
          </w:tcPr>
          <w:p w14:paraId="0258F629">
            <w:pPr>
              <w:pStyle w:val="13"/>
            </w:pPr>
            <w:r>
              <w:t>上年盘活/冀财教[2022]179号/中央/义教经费/校舍安全/尚礼小学综合楼室外消防工程</w:t>
            </w:r>
          </w:p>
        </w:tc>
      </w:tr>
      <w:tr w14:paraId="68A0B9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C9399">
            <w:pPr>
              <w:pStyle w:val="11"/>
            </w:pPr>
            <w:r>
              <w:t>预算规模及资金用途</w:t>
            </w:r>
          </w:p>
        </w:tc>
        <w:tc>
          <w:tcPr>
            <w:tcW w:w="2268" w:type="dxa"/>
            <w:vAlign w:val="center"/>
          </w:tcPr>
          <w:p w14:paraId="22A33F1E">
            <w:pPr>
              <w:pStyle w:val="11"/>
            </w:pPr>
            <w:r>
              <w:t>预算数</w:t>
            </w:r>
          </w:p>
        </w:tc>
        <w:tc>
          <w:tcPr>
            <w:tcW w:w="2835" w:type="dxa"/>
            <w:vAlign w:val="center"/>
          </w:tcPr>
          <w:p w14:paraId="681B84D3">
            <w:pPr>
              <w:pStyle w:val="13"/>
            </w:pPr>
            <w:r>
              <w:t>8.99</w:t>
            </w:r>
          </w:p>
        </w:tc>
        <w:tc>
          <w:tcPr>
            <w:tcW w:w="2835" w:type="dxa"/>
            <w:vAlign w:val="center"/>
          </w:tcPr>
          <w:p w14:paraId="3A0BE0D4">
            <w:pPr>
              <w:pStyle w:val="11"/>
            </w:pPr>
            <w:r>
              <w:t>其中：财政    资金</w:t>
            </w:r>
          </w:p>
        </w:tc>
        <w:tc>
          <w:tcPr>
            <w:tcW w:w="2551" w:type="dxa"/>
            <w:vAlign w:val="center"/>
          </w:tcPr>
          <w:p w14:paraId="30DDEB23">
            <w:pPr>
              <w:pStyle w:val="13"/>
            </w:pPr>
            <w:r>
              <w:t>8.99</w:t>
            </w:r>
          </w:p>
        </w:tc>
        <w:tc>
          <w:tcPr>
            <w:tcW w:w="2268" w:type="dxa"/>
            <w:vAlign w:val="center"/>
          </w:tcPr>
          <w:p w14:paraId="5D37224F">
            <w:pPr>
              <w:pStyle w:val="11"/>
            </w:pPr>
            <w:r>
              <w:t>其他资金</w:t>
            </w:r>
          </w:p>
        </w:tc>
        <w:tc>
          <w:tcPr>
            <w:tcW w:w="1276" w:type="dxa"/>
            <w:vAlign w:val="center"/>
          </w:tcPr>
          <w:p w14:paraId="1D6124FD">
            <w:pPr>
              <w:pStyle w:val="13"/>
            </w:pPr>
            <w:r>
              <w:t xml:space="preserve"> </w:t>
            </w:r>
          </w:p>
        </w:tc>
      </w:tr>
      <w:tr w14:paraId="57F99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16350"/>
        </w:tc>
        <w:tc>
          <w:tcPr>
            <w:tcW w:w="14033" w:type="dxa"/>
            <w:gridSpan w:val="6"/>
            <w:vAlign w:val="center"/>
          </w:tcPr>
          <w:p w14:paraId="564A5E79">
            <w:pPr>
              <w:pStyle w:val="13"/>
            </w:pPr>
            <w:r>
              <w:t xml:space="preserve">改善就学条件，提升学校形象，保障义务教育阶段教学安全，创造良好的校园环境。 </w:t>
            </w:r>
            <w:r>
              <w:tab/>
            </w:r>
            <w:r>
              <w:tab/>
            </w:r>
            <w:r>
              <w:tab/>
            </w:r>
            <w:r>
              <w:tab/>
            </w:r>
            <w:r>
              <w:tab/>
            </w:r>
            <w:r>
              <w:tab/>
            </w:r>
          </w:p>
          <w:p w14:paraId="3D13F583">
            <w:pPr>
              <w:pStyle w:val="13"/>
            </w:pPr>
          </w:p>
        </w:tc>
      </w:tr>
      <w:tr w14:paraId="7A4C4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79903">
            <w:pPr>
              <w:pStyle w:val="11"/>
            </w:pPr>
            <w:r>
              <w:t>资金支出计划（%）</w:t>
            </w:r>
          </w:p>
        </w:tc>
        <w:tc>
          <w:tcPr>
            <w:tcW w:w="5103" w:type="dxa"/>
            <w:gridSpan w:val="2"/>
            <w:vAlign w:val="center"/>
          </w:tcPr>
          <w:p w14:paraId="5B8A309F">
            <w:pPr>
              <w:pStyle w:val="11"/>
            </w:pPr>
            <w:r>
              <w:t>3月底</w:t>
            </w:r>
          </w:p>
        </w:tc>
        <w:tc>
          <w:tcPr>
            <w:tcW w:w="2835" w:type="dxa"/>
            <w:vAlign w:val="center"/>
          </w:tcPr>
          <w:p w14:paraId="6477F4EF">
            <w:pPr>
              <w:pStyle w:val="11"/>
            </w:pPr>
            <w:r>
              <w:t>6月底</w:t>
            </w:r>
          </w:p>
        </w:tc>
        <w:tc>
          <w:tcPr>
            <w:tcW w:w="2551" w:type="dxa"/>
            <w:vAlign w:val="center"/>
          </w:tcPr>
          <w:p w14:paraId="4741BC53">
            <w:pPr>
              <w:pStyle w:val="11"/>
            </w:pPr>
            <w:r>
              <w:t>10月底</w:t>
            </w:r>
          </w:p>
        </w:tc>
        <w:tc>
          <w:tcPr>
            <w:tcW w:w="3544" w:type="dxa"/>
            <w:gridSpan w:val="2"/>
            <w:vAlign w:val="center"/>
          </w:tcPr>
          <w:p w14:paraId="42376BC2">
            <w:pPr>
              <w:pStyle w:val="11"/>
            </w:pPr>
            <w:r>
              <w:t>12月底</w:t>
            </w:r>
          </w:p>
        </w:tc>
      </w:tr>
      <w:tr w14:paraId="6298C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C604B5"/>
        </w:tc>
        <w:tc>
          <w:tcPr>
            <w:tcW w:w="5103" w:type="dxa"/>
            <w:gridSpan w:val="2"/>
            <w:vAlign w:val="center"/>
          </w:tcPr>
          <w:p w14:paraId="1382801D">
            <w:pPr>
              <w:pStyle w:val="12"/>
            </w:pPr>
            <w:r>
              <w:t>25%</w:t>
            </w:r>
          </w:p>
        </w:tc>
        <w:tc>
          <w:tcPr>
            <w:tcW w:w="2835" w:type="dxa"/>
            <w:vAlign w:val="center"/>
          </w:tcPr>
          <w:p w14:paraId="2DFD5BF9">
            <w:pPr>
              <w:pStyle w:val="12"/>
            </w:pPr>
            <w:r>
              <w:t>50%</w:t>
            </w:r>
          </w:p>
        </w:tc>
        <w:tc>
          <w:tcPr>
            <w:tcW w:w="2551" w:type="dxa"/>
            <w:vAlign w:val="center"/>
          </w:tcPr>
          <w:p w14:paraId="2EC29537">
            <w:pPr>
              <w:pStyle w:val="12"/>
            </w:pPr>
            <w:r>
              <w:t>75%</w:t>
            </w:r>
          </w:p>
        </w:tc>
        <w:tc>
          <w:tcPr>
            <w:tcW w:w="3544" w:type="dxa"/>
            <w:gridSpan w:val="2"/>
            <w:vAlign w:val="center"/>
          </w:tcPr>
          <w:p w14:paraId="6A388FFC">
            <w:pPr>
              <w:pStyle w:val="12"/>
            </w:pPr>
            <w:r>
              <w:t>100%</w:t>
            </w:r>
          </w:p>
        </w:tc>
      </w:tr>
      <w:tr w14:paraId="6275E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5607C">
            <w:pPr>
              <w:pStyle w:val="11"/>
            </w:pPr>
            <w:r>
              <w:t>绩效目标</w:t>
            </w:r>
          </w:p>
        </w:tc>
        <w:tc>
          <w:tcPr>
            <w:tcW w:w="14033" w:type="dxa"/>
            <w:gridSpan w:val="6"/>
            <w:vAlign w:val="center"/>
          </w:tcPr>
          <w:p w14:paraId="5E33BCA8">
            <w:pPr>
              <w:pStyle w:val="13"/>
            </w:pPr>
            <w:r>
              <w:t xml:space="preserve">1.项目需资金89850元，资金拨付率达到100%。 </w:t>
            </w:r>
            <w:r>
              <w:tab/>
            </w:r>
            <w:r>
              <w:tab/>
            </w:r>
            <w:r>
              <w:tab/>
            </w:r>
            <w:r>
              <w:tab/>
            </w:r>
            <w:r>
              <w:tab/>
            </w:r>
            <w:r>
              <w:tab/>
            </w:r>
          </w:p>
          <w:p w14:paraId="038AE078">
            <w:pPr>
              <w:pStyle w:val="13"/>
            </w:pPr>
            <w:r>
              <w:t xml:space="preserve">2.改善就学条件，提升学校形象，保障义务教育阶段教学安全，创造良好的校园环境。 </w:t>
            </w:r>
            <w:r>
              <w:tab/>
            </w:r>
            <w:r>
              <w:tab/>
            </w:r>
            <w:r>
              <w:tab/>
            </w:r>
            <w:r>
              <w:tab/>
            </w:r>
            <w:r>
              <w:tab/>
            </w:r>
            <w:r>
              <w:tab/>
            </w:r>
          </w:p>
        </w:tc>
      </w:tr>
    </w:tbl>
    <w:p w14:paraId="7F1C70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C2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48DA9">
            <w:pPr>
              <w:pStyle w:val="11"/>
            </w:pPr>
            <w:r>
              <w:t>一级指标</w:t>
            </w:r>
          </w:p>
        </w:tc>
        <w:tc>
          <w:tcPr>
            <w:tcW w:w="2268" w:type="dxa"/>
            <w:vAlign w:val="center"/>
          </w:tcPr>
          <w:p w14:paraId="7D6DD8AF">
            <w:pPr>
              <w:pStyle w:val="11"/>
            </w:pPr>
            <w:r>
              <w:t>二级指标</w:t>
            </w:r>
          </w:p>
        </w:tc>
        <w:tc>
          <w:tcPr>
            <w:tcW w:w="2835" w:type="dxa"/>
            <w:vAlign w:val="center"/>
          </w:tcPr>
          <w:p w14:paraId="5A154AEA">
            <w:pPr>
              <w:pStyle w:val="11"/>
            </w:pPr>
            <w:r>
              <w:t>三级指标</w:t>
            </w:r>
          </w:p>
        </w:tc>
        <w:tc>
          <w:tcPr>
            <w:tcW w:w="5386" w:type="dxa"/>
            <w:vAlign w:val="center"/>
          </w:tcPr>
          <w:p w14:paraId="7D499027">
            <w:pPr>
              <w:pStyle w:val="11"/>
            </w:pPr>
            <w:r>
              <w:t>绩效指标描述</w:t>
            </w:r>
          </w:p>
        </w:tc>
        <w:tc>
          <w:tcPr>
            <w:tcW w:w="2268" w:type="dxa"/>
            <w:vAlign w:val="center"/>
          </w:tcPr>
          <w:p w14:paraId="70D34175">
            <w:pPr>
              <w:pStyle w:val="11"/>
            </w:pPr>
            <w:r>
              <w:t>指标值</w:t>
            </w:r>
          </w:p>
        </w:tc>
        <w:tc>
          <w:tcPr>
            <w:tcW w:w="1276" w:type="dxa"/>
            <w:vAlign w:val="center"/>
          </w:tcPr>
          <w:p w14:paraId="164FB802">
            <w:pPr>
              <w:pStyle w:val="11"/>
            </w:pPr>
            <w:r>
              <w:t>指标值确定依据</w:t>
            </w:r>
          </w:p>
        </w:tc>
      </w:tr>
      <w:tr w14:paraId="05277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9821F">
            <w:pPr>
              <w:pStyle w:val="12"/>
            </w:pPr>
            <w:r>
              <w:t>产出指标</w:t>
            </w:r>
          </w:p>
        </w:tc>
        <w:tc>
          <w:tcPr>
            <w:tcW w:w="2268" w:type="dxa"/>
            <w:vAlign w:val="center"/>
          </w:tcPr>
          <w:p w14:paraId="799FBCCB">
            <w:pPr>
              <w:pStyle w:val="13"/>
            </w:pPr>
            <w:r>
              <w:t>数量指标</w:t>
            </w:r>
          </w:p>
        </w:tc>
        <w:tc>
          <w:tcPr>
            <w:tcW w:w="2835" w:type="dxa"/>
            <w:vAlign w:val="center"/>
          </w:tcPr>
          <w:p w14:paraId="44F10401">
            <w:pPr>
              <w:pStyle w:val="13"/>
            </w:pPr>
            <w:r>
              <w:t>综合楼室外消防工程</w:t>
            </w:r>
          </w:p>
        </w:tc>
        <w:tc>
          <w:tcPr>
            <w:tcW w:w="5386" w:type="dxa"/>
            <w:vAlign w:val="center"/>
          </w:tcPr>
          <w:p w14:paraId="7DB1A2EA">
            <w:pPr>
              <w:pStyle w:val="13"/>
            </w:pPr>
            <w:r>
              <w:t>安装消防泵房、蓄水池、室外网管、消防设备设施等</w:t>
            </w:r>
          </w:p>
        </w:tc>
        <w:tc>
          <w:tcPr>
            <w:tcW w:w="2268" w:type="dxa"/>
            <w:vAlign w:val="center"/>
          </w:tcPr>
          <w:p w14:paraId="093BE750">
            <w:pPr>
              <w:pStyle w:val="13"/>
            </w:pPr>
            <w:r>
              <w:t>1项</w:t>
            </w:r>
          </w:p>
        </w:tc>
        <w:tc>
          <w:tcPr>
            <w:tcW w:w="1276" w:type="dxa"/>
            <w:vAlign w:val="center"/>
          </w:tcPr>
          <w:p w14:paraId="5CFA69B8">
            <w:pPr>
              <w:pStyle w:val="13"/>
            </w:pPr>
            <w:r>
              <w:t>项目规划</w:t>
            </w:r>
          </w:p>
        </w:tc>
      </w:tr>
      <w:tr w14:paraId="63160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A377B"/>
        </w:tc>
        <w:tc>
          <w:tcPr>
            <w:tcW w:w="2268" w:type="dxa"/>
            <w:vAlign w:val="center"/>
          </w:tcPr>
          <w:p w14:paraId="6D97A8A8">
            <w:pPr>
              <w:pStyle w:val="13"/>
            </w:pPr>
            <w:r>
              <w:t>质量指标</w:t>
            </w:r>
          </w:p>
        </w:tc>
        <w:tc>
          <w:tcPr>
            <w:tcW w:w="2835" w:type="dxa"/>
            <w:vAlign w:val="center"/>
          </w:tcPr>
          <w:p w14:paraId="08D8F460">
            <w:pPr>
              <w:pStyle w:val="13"/>
            </w:pPr>
            <w:r>
              <w:t>工程实施验收合格率</w:t>
            </w:r>
          </w:p>
        </w:tc>
        <w:tc>
          <w:tcPr>
            <w:tcW w:w="5386" w:type="dxa"/>
            <w:vAlign w:val="center"/>
          </w:tcPr>
          <w:p w14:paraId="0C5996BE">
            <w:pPr>
              <w:pStyle w:val="13"/>
            </w:pPr>
            <w:r>
              <w:t>申报程序的合规，项目实施及资金使用符合项目规划</w:t>
            </w:r>
          </w:p>
        </w:tc>
        <w:tc>
          <w:tcPr>
            <w:tcW w:w="2268" w:type="dxa"/>
            <w:vAlign w:val="center"/>
          </w:tcPr>
          <w:p w14:paraId="55F52283">
            <w:pPr>
              <w:pStyle w:val="13"/>
            </w:pPr>
            <w:r>
              <w:t>≥100%</w:t>
            </w:r>
          </w:p>
        </w:tc>
        <w:tc>
          <w:tcPr>
            <w:tcW w:w="1276" w:type="dxa"/>
            <w:vAlign w:val="center"/>
          </w:tcPr>
          <w:p w14:paraId="15BFFF5A">
            <w:pPr>
              <w:pStyle w:val="13"/>
            </w:pPr>
            <w:r>
              <w:t>项目规划</w:t>
            </w:r>
          </w:p>
        </w:tc>
      </w:tr>
      <w:tr w14:paraId="109A1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A5119"/>
        </w:tc>
        <w:tc>
          <w:tcPr>
            <w:tcW w:w="2268" w:type="dxa"/>
            <w:vAlign w:val="center"/>
          </w:tcPr>
          <w:p w14:paraId="33F85DBE">
            <w:pPr>
              <w:pStyle w:val="13"/>
            </w:pPr>
            <w:r>
              <w:t>时效指标</w:t>
            </w:r>
          </w:p>
        </w:tc>
        <w:tc>
          <w:tcPr>
            <w:tcW w:w="2835" w:type="dxa"/>
            <w:vAlign w:val="center"/>
          </w:tcPr>
          <w:p w14:paraId="2C366818">
            <w:pPr>
              <w:pStyle w:val="13"/>
            </w:pPr>
            <w:r>
              <w:t>资金支付率</w:t>
            </w:r>
          </w:p>
        </w:tc>
        <w:tc>
          <w:tcPr>
            <w:tcW w:w="5386" w:type="dxa"/>
            <w:vAlign w:val="center"/>
          </w:tcPr>
          <w:p w14:paraId="2452F5F2">
            <w:pPr>
              <w:pStyle w:val="13"/>
            </w:pPr>
            <w:r>
              <w:t>按照序时进度完成资金支付</w:t>
            </w:r>
          </w:p>
        </w:tc>
        <w:tc>
          <w:tcPr>
            <w:tcW w:w="2268" w:type="dxa"/>
            <w:vAlign w:val="center"/>
          </w:tcPr>
          <w:p w14:paraId="18DA6301">
            <w:pPr>
              <w:pStyle w:val="13"/>
            </w:pPr>
            <w:r>
              <w:t>≥100%</w:t>
            </w:r>
          </w:p>
        </w:tc>
        <w:tc>
          <w:tcPr>
            <w:tcW w:w="1276" w:type="dxa"/>
            <w:vAlign w:val="center"/>
          </w:tcPr>
          <w:p w14:paraId="1C8DB52E">
            <w:pPr>
              <w:pStyle w:val="13"/>
            </w:pPr>
            <w:r>
              <w:t>项目规划</w:t>
            </w:r>
          </w:p>
        </w:tc>
      </w:tr>
      <w:tr w14:paraId="67E7D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B5F28"/>
        </w:tc>
        <w:tc>
          <w:tcPr>
            <w:tcW w:w="2268" w:type="dxa"/>
            <w:vAlign w:val="center"/>
          </w:tcPr>
          <w:p w14:paraId="438265A6">
            <w:pPr>
              <w:pStyle w:val="13"/>
            </w:pPr>
            <w:r>
              <w:t>成本指标</w:t>
            </w:r>
          </w:p>
        </w:tc>
        <w:tc>
          <w:tcPr>
            <w:tcW w:w="2835" w:type="dxa"/>
            <w:vAlign w:val="center"/>
          </w:tcPr>
          <w:p w14:paraId="0B2A7662">
            <w:pPr>
              <w:pStyle w:val="13"/>
            </w:pPr>
            <w:r>
              <w:t>项目成本控制情况</w:t>
            </w:r>
          </w:p>
        </w:tc>
        <w:tc>
          <w:tcPr>
            <w:tcW w:w="5386" w:type="dxa"/>
            <w:vAlign w:val="center"/>
          </w:tcPr>
          <w:p w14:paraId="3DDBF8AF">
            <w:pPr>
              <w:pStyle w:val="13"/>
            </w:pPr>
            <w:r>
              <w:t>严格按照招标价格及审计额进行</w:t>
            </w:r>
          </w:p>
        </w:tc>
        <w:tc>
          <w:tcPr>
            <w:tcW w:w="2268" w:type="dxa"/>
            <w:vAlign w:val="center"/>
          </w:tcPr>
          <w:p w14:paraId="1A6A2992">
            <w:pPr>
              <w:pStyle w:val="13"/>
            </w:pPr>
            <w:r>
              <w:t>89850元</w:t>
            </w:r>
          </w:p>
        </w:tc>
        <w:tc>
          <w:tcPr>
            <w:tcW w:w="1276" w:type="dxa"/>
            <w:vAlign w:val="center"/>
          </w:tcPr>
          <w:p w14:paraId="73E4C922">
            <w:pPr>
              <w:pStyle w:val="13"/>
            </w:pPr>
            <w:r>
              <w:t>项目规划</w:t>
            </w:r>
          </w:p>
        </w:tc>
      </w:tr>
      <w:tr w14:paraId="387D5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72086C">
            <w:pPr>
              <w:pStyle w:val="12"/>
            </w:pPr>
            <w:r>
              <w:t>效益指标</w:t>
            </w:r>
          </w:p>
        </w:tc>
        <w:tc>
          <w:tcPr>
            <w:tcW w:w="2268" w:type="dxa"/>
            <w:vAlign w:val="center"/>
          </w:tcPr>
          <w:p w14:paraId="0EFFC66B">
            <w:pPr>
              <w:pStyle w:val="13"/>
            </w:pPr>
            <w:r>
              <w:t>可持续影响指标</w:t>
            </w:r>
          </w:p>
        </w:tc>
        <w:tc>
          <w:tcPr>
            <w:tcW w:w="2835" w:type="dxa"/>
            <w:vAlign w:val="center"/>
          </w:tcPr>
          <w:p w14:paraId="0F51B2E1">
            <w:pPr>
              <w:pStyle w:val="13"/>
            </w:pPr>
            <w:r>
              <w:t>工程使用年限</w:t>
            </w:r>
          </w:p>
        </w:tc>
        <w:tc>
          <w:tcPr>
            <w:tcW w:w="5386" w:type="dxa"/>
            <w:vAlign w:val="center"/>
          </w:tcPr>
          <w:p w14:paraId="43C7BC94">
            <w:pPr>
              <w:pStyle w:val="13"/>
            </w:pPr>
            <w:r>
              <w:t>工程使用年限</w:t>
            </w:r>
          </w:p>
        </w:tc>
        <w:tc>
          <w:tcPr>
            <w:tcW w:w="2268" w:type="dxa"/>
            <w:vAlign w:val="center"/>
          </w:tcPr>
          <w:p w14:paraId="1F5A4880">
            <w:pPr>
              <w:pStyle w:val="13"/>
            </w:pPr>
            <w:r>
              <w:t>≥15年</w:t>
            </w:r>
          </w:p>
        </w:tc>
        <w:tc>
          <w:tcPr>
            <w:tcW w:w="1276" w:type="dxa"/>
            <w:vAlign w:val="center"/>
          </w:tcPr>
          <w:p w14:paraId="5D107988">
            <w:pPr>
              <w:pStyle w:val="13"/>
            </w:pPr>
            <w:r>
              <w:t>项目规划</w:t>
            </w:r>
          </w:p>
        </w:tc>
      </w:tr>
      <w:tr w14:paraId="71663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4A0534">
            <w:pPr>
              <w:pStyle w:val="12"/>
            </w:pPr>
            <w:r>
              <w:t>满意度指标</w:t>
            </w:r>
          </w:p>
        </w:tc>
        <w:tc>
          <w:tcPr>
            <w:tcW w:w="2268" w:type="dxa"/>
            <w:vAlign w:val="center"/>
          </w:tcPr>
          <w:p w14:paraId="72840CEF">
            <w:pPr>
              <w:pStyle w:val="13"/>
            </w:pPr>
            <w:r>
              <w:t>服务对象满意度指标</w:t>
            </w:r>
          </w:p>
        </w:tc>
        <w:tc>
          <w:tcPr>
            <w:tcW w:w="2835" w:type="dxa"/>
            <w:vAlign w:val="center"/>
          </w:tcPr>
          <w:p w14:paraId="52885BEC">
            <w:pPr>
              <w:pStyle w:val="13"/>
            </w:pPr>
            <w:r>
              <w:t>受益学生家长及调查满意度</w:t>
            </w:r>
          </w:p>
        </w:tc>
        <w:tc>
          <w:tcPr>
            <w:tcW w:w="5386" w:type="dxa"/>
            <w:vAlign w:val="center"/>
          </w:tcPr>
          <w:p w14:paraId="7D2F9024">
            <w:pPr>
              <w:pStyle w:val="13"/>
            </w:pPr>
            <w:r>
              <w:t>学生、教师及家长对学校教学环境满意度情况</w:t>
            </w:r>
          </w:p>
        </w:tc>
        <w:tc>
          <w:tcPr>
            <w:tcW w:w="2268" w:type="dxa"/>
            <w:vAlign w:val="center"/>
          </w:tcPr>
          <w:p w14:paraId="64D7347F">
            <w:pPr>
              <w:pStyle w:val="13"/>
            </w:pPr>
            <w:r>
              <w:t>≥95%</w:t>
            </w:r>
          </w:p>
        </w:tc>
        <w:tc>
          <w:tcPr>
            <w:tcW w:w="1276" w:type="dxa"/>
            <w:vAlign w:val="center"/>
          </w:tcPr>
          <w:p w14:paraId="105FFF93">
            <w:pPr>
              <w:pStyle w:val="13"/>
            </w:pPr>
            <w:r>
              <w:t>项目规划</w:t>
            </w:r>
          </w:p>
        </w:tc>
      </w:tr>
    </w:tbl>
    <w:p w14:paraId="0170D69E">
      <w:pPr>
        <w:sectPr>
          <w:pgSz w:w="16840" w:h="11900" w:orient="landscape"/>
          <w:pgMar w:top="1361" w:right="1020" w:bottom="1134" w:left="1020" w:header="720" w:footer="720" w:gutter="0"/>
          <w:cols w:space="720" w:num="1"/>
        </w:sectPr>
      </w:pPr>
    </w:p>
    <w:p w14:paraId="60749BD1">
      <w:pPr>
        <w:spacing w:before="0" w:after="0"/>
        <w:ind w:firstLine="560"/>
        <w:jc w:val="left"/>
        <w:outlineLvl w:val="9"/>
      </w:pPr>
      <w:r>
        <w:rPr>
          <w:rFonts w:ascii="方正仿宋_GBK" w:hAnsi="方正仿宋_GBK" w:eastAsia="方正仿宋_GBK" w:cs="方正仿宋_GBK"/>
          <w:b/>
          <w:color w:val="000000"/>
          <w:sz w:val="28"/>
        </w:rPr>
        <w:t>19、县级配套/北楼校区学前教育幼儿资助绩效目标表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81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BE2AC">
            <w:pPr>
              <w:pStyle w:val="14"/>
            </w:pPr>
            <w:r>
              <w:t>单位：万元</w:t>
            </w:r>
          </w:p>
        </w:tc>
      </w:tr>
      <w:tr w14:paraId="2D64E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6D29E1">
            <w:pPr>
              <w:pStyle w:val="11"/>
            </w:pPr>
            <w:r>
              <w:t>项目编码</w:t>
            </w:r>
          </w:p>
        </w:tc>
        <w:tc>
          <w:tcPr>
            <w:tcW w:w="5103" w:type="dxa"/>
            <w:gridSpan w:val="2"/>
            <w:vAlign w:val="center"/>
          </w:tcPr>
          <w:p w14:paraId="0BA1E1E7">
            <w:pPr>
              <w:pStyle w:val="13"/>
            </w:pPr>
            <w:r>
              <w:t>13052525P00000210017R</w:t>
            </w:r>
          </w:p>
        </w:tc>
        <w:tc>
          <w:tcPr>
            <w:tcW w:w="2835" w:type="dxa"/>
            <w:vAlign w:val="center"/>
          </w:tcPr>
          <w:p w14:paraId="1C285230">
            <w:pPr>
              <w:pStyle w:val="11"/>
            </w:pPr>
            <w:r>
              <w:t>项目名称</w:t>
            </w:r>
          </w:p>
        </w:tc>
        <w:tc>
          <w:tcPr>
            <w:tcW w:w="6095" w:type="dxa"/>
            <w:gridSpan w:val="3"/>
            <w:vAlign w:val="center"/>
          </w:tcPr>
          <w:p w14:paraId="15ED90EF">
            <w:pPr>
              <w:pStyle w:val="13"/>
            </w:pPr>
            <w:r>
              <w:t>县级配套/北楼校区学前教育幼儿资助</w:t>
            </w:r>
          </w:p>
        </w:tc>
      </w:tr>
      <w:tr w14:paraId="3B5F1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98B8E">
            <w:pPr>
              <w:pStyle w:val="11"/>
            </w:pPr>
            <w:r>
              <w:t>预算规模及资金用途</w:t>
            </w:r>
          </w:p>
        </w:tc>
        <w:tc>
          <w:tcPr>
            <w:tcW w:w="2268" w:type="dxa"/>
            <w:vAlign w:val="center"/>
          </w:tcPr>
          <w:p w14:paraId="47619BAD">
            <w:pPr>
              <w:pStyle w:val="11"/>
            </w:pPr>
            <w:r>
              <w:t>预算数</w:t>
            </w:r>
          </w:p>
        </w:tc>
        <w:tc>
          <w:tcPr>
            <w:tcW w:w="2835" w:type="dxa"/>
            <w:vAlign w:val="center"/>
          </w:tcPr>
          <w:p w14:paraId="7EE3AC29">
            <w:pPr>
              <w:pStyle w:val="13"/>
            </w:pPr>
            <w:r>
              <w:t>0.68</w:t>
            </w:r>
          </w:p>
        </w:tc>
        <w:tc>
          <w:tcPr>
            <w:tcW w:w="2835" w:type="dxa"/>
            <w:vAlign w:val="center"/>
          </w:tcPr>
          <w:p w14:paraId="73A98FAA">
            <w:pPr>
              <w:pStyle w:val="11"/>
            </w:pPr>
            <w:r>
              <w:t>其中：财政    资金</w:t>
            </w:r>
          </w:p>
        </w:tc>
        <w:tc>
          <w:tcPr>
            <w:tcW w:w="2551" w:type="dxa"/>
            <w:vAlign w:val="center"/>
          </w:tcPr>
          <w:p w14:paraId="2106D0ED">
            <w:pPr>
              <w:pStyle w:val="13"/>
            </w:pPr>
            <w:r>
              <w:t>0.68</w:t>
            </w:r>
          </w:p>
        </w:tc>
        <w:tc>
          <w:tcPr>
            <w:tcW w:w="2268" w:type="dxa"/>
            <w:vAlign w:val="center"/>
          </w:tcPr>
          <w:p w14:paraId="18E3315C">
            <w:pPr>
              <w:pStyle w:val="11"/>
            </w:pPr>
            <w:r>
              <w:t>其他资金</w:t>
            </w:r>
          </w:p>
        </w:tc>
        <w:tc>
          <w:tcPr>
            <w:tcW w:w="1276" w:type="dxa"/>
            <w:vAlign w:val="center"/>
          </w:tcPr>
          <w:p w14:paraId="5EC632C3">
            <w:pPr>
              <w:pStyle w:val="13"/>
            </w:pPr>
            <w:r>
              <w:t xml:space="preserve"> </w:t>
            </w:r>
          </w:p>
        </w:tc>
      </w:tr>
      <w:tr w14:paraId="35279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A1B390"/>
        </w:tc>
        <w:tc>
          <w:tcPr>
            <w:tcW w:w="14033" w:type="dxa"/>
            <w:gridSpan w:val="6"/>
            <w:vAlign w:val="center"/>
          </w:tcPr>
          <w:p w14:paraId="311DD1D9">
            <w:pPr>
              <w:pStyle w:val="13"/>
            </w:pPr>
            <w:r>
              <w:t>保证本年度资助经费足额落实到位，符合享受资助条件的学生应助尽助。</w:t>
            </w:r>
          </w:p>
        </w:tc>
      </w:tr>
      <w:tr w14:paraId="6458C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9CFB1">
            <w:pPr>
              <w:pStyle w:val="11"/>
            </w:pPr>
            <w:r>
              <w:t>资金支出计划（%）</w:t>
            </w:r>
          </w:p>
        </w:tc>
        <w:tc>
          <w:tcPr>
            <w:tcW w:w="5103" w:type="dxa"/>
            <w:gridSpan w:val="2"/>
            <w:vAlign w:val="center"/>
          </w:tcPr>
          <w:p w14:paraId="3AA6909A">
            <w:pPr>
              <w:pStyle w:val="11"/>
            </w:pPr>
            <w:r>
              <w:t>3月底</w:t>
            </w:r>
          </w:p>
        </w:tc>
        <w:tc>
          <w:tcPr>
            <w:tcW w:w="2835" w:type="dxa"/>
            <w:vAlign w:val="center"/>
          </w:tcPr>
          <w:p w14:paraId="555839EC">
            <w:pPr>
              <w:pStyle w:val="11"/>
            </w:pPr>
            <w:r>
              <w:t>6月底</w:t>
            </w:r>
          </w:p>
        </w:tc>
        <w:tc>
          <w:tcPr>
            <w:tcW w:w="2551" w:type="dxa"/>
            <w:vAlign w:val="center"/>
          </w:tcPr>
          <w:p w14:paraId="0AF39822">
            <w:pPr>
              <w:pStyle w:val="11"/>
            </w:pPr>
            <w:r>
              <w:t>10月底</w:t>
            </w:r>
          </w:p>
        </w:tc>
        <w:tc>
          <w:tcPr>
            <w:tcW w:w="3544" w:type="dxa"/>
            <w:gridSpan w:val="2"/>
            <w:vAlign w:val="center"/>
          </w:tcPr>
          <w:p w14:paraId="1E17C1F8">
            <w:pPr>
              <w:pStyle w:val="11"/>
            </w:pPr>
            <w:r>
              <w:t>12月底</w:t>
            </w:r>
          </w:p>
        </w:tc>
      </w:tr>
      <w:tr w14:paraId="79CE9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171DC7"/>
        </w:tc>
        <w:tc>
          <w:tcPr>
            <w:tcW w:w="5103" w:type="dxa"/>
            <w:gridSpan w:val="2"/>
            <w:vAlign w:val="center"/>
          </w:tcPr>
          <w:p w14:paraId="106D1E20">
            <w:pPr>
              <w:pStyle w:val="12"/>
            </w:pPr>
            <w:r>
              <w:t>50%</w:t>
            </w:r>
          </w:p>
        </w:tc>
        <w:tc>
          <w:tcPr>
            <w:tcW w:w="2835" w:type="dxa"/>
            <w:vAlign w:val="center"/>
          </w:tcPr>
          <w:p w14:paraId="2C1F50D0">
            <w:pPr>
              <w:pStyle w:val="12"/>
            </w:pPr>
            <w:r>
              <w:t>50%</w:t>
            </w:r>
          </w:p>
        </w:tc>
        <w:tc>
          <w:tcPr>
            <w:tcW w:w="2551" w:type="dxa"/>
            <w:vAlign w:val="center"/>
          </w:tcPr>
          <w:p w14:paraId="3F90AA1E">
            <w:pPr>
              <w:pStyle w:val="12"/>
            </w:pPr>
            <w:r>
              <w:t>100%</w:t>
            </w:r>
          </w:p>
        </w:tc>
        <w:tc>
          <w:tcPr>
            <w:tcW w:w="3544" w:type="dxa"/>
            <w:gridSpan w:val="2"/>
            <w:vAlign w:val="center"/>
          </w:tcPr>
          <w:p w14:paraId="27670FBC">
            <w:pPr>
              <w:pStyle w:val="12"/>
            </w:pPr>
            <w:r>
              <w:t>100%</w:t>
            </w:r>
          </w:p>
        </w:tc>
      </w:tr>
      <w:tr w14:paraId="6F594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8BABAD">
            <w:pPr>
              <w:pStyle w:val="11"/>
            </w:pPr>
            <w:r>
              <w:t>绩效目标</w:t>
            </w:r>
          </w:p>
        </w:tc>
        <w:tc>
          <w:tcPr>
            <w:tcW w:w="14033" w:type="dxa"/>
            <w:gridSpan w:val="6"/>
            <w:vAlign w:val="center"/>
          </w:tcPr>
          <w:p w14:paraId="6068A512">
            <w:pPr>
              <w:pStyle w:val="13"/>
            </w:pPr>
            <w:r>
              <w:t>1.保障落实建档立卡及家庭经济困难儿童资助所需资金，确保建档立卡等家庭经济困难幼儿优先获得资助</w:t>
            </w:r>
          </w:p>
          <w:p w14:paraId="4C4526AF">
            <w:pPr>
              <w:pStyle w:val="13"/>
            </w:pPr>
            <w:r>
              <w:t>2.保证本年度资助经费足额落实到位，符合享受资助条件的学生应助尽助。</w:t>
            </w:r>
          </w:p>
        </w:tc>
      </w:tr>
    </w:tbl>
    <w:p w14:paraId="2DD47B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25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72D3F">
            <w:pPr>
              <w:pStyle w:val="11"/>
            </w:pPr>
            <w:r>
              <w:t>一级指标</w:t>
            </w:r>
          </w:p>
        </w:tc>
        <w:tc>
          <w:tcPr>
            <w:tcW w:w="2268" w:type="dxa"/>
            <w:vAlign w:val="center"/>
          </w:tcPr>
          <w:p w14:paraId="7358BB36">
            <w:pPr>
              <w:pStyle w:val="11"/>
            </w:pPr>
            <w:r>
              <w:t>二级指标</w:t>
            </w:r>
          </w:p>
        </w:tc>
        <w:tc>
          <w:tcPr>
            <w:tcW w:w="2835" w:type="dxa"/>
            <w:vAlign w:val="center"/>
          </w:tcPr>
          <w:p w14:paraId="1D52359F">
            <w:pPr>
              <w:pStyle w:val="11"/>
            </w:pPr>
            <w:r>
              <w:t>三级指标</w:t>
            </w:r>
          </w:p>
        </w:tc>
        <w:tc>
          <w:tcPr>
            <w:tcW w:w="5386" w:type="dxa"/>
            <w:vAlign w:val="center"/>
          </w:tcPr>
          <w:p w14:paraId="6978AC6A">
            <w:pPr>
              <w:pStyle w:val="11"/>
            </w:pPr>
            <w:r>
              <w:t>绩效指标描述</w:t>
            </w:r>
          </w:p>
        </w:tc>
        <w:tc>
          <w:tcPr>
            <w:tcW w:w="2268" w:type="dxa"/>
            <w:vAlign w:val="center"/>
          </w:tcPr>
          <w:p w14:paraId="7AEB01D5">
            <w:pPr>
              <w:pStyle w:val="11"/>
            </w:pPr>
            <w:r>
              <w:t>指标值</w:t>
            </w:r>
          </w:p>
        </w:tc>
        <w:tc>
          <w:tcPr>
            <w:tcW w:w="1276" w:type="dxa"/>
            <w:vAlign w:val="center"/>
          </w:tcPr>
          <w:p w14:paraId="6FC2177F">
            <w:pPr>
              <w:pStyle w:val="11"/>
            </w:pPr>
            <w:r>
              <w:t>指标值确定依据</w:t>
            </w:r>
          </w:p>
        </w:tc>
      </w:tr>
      <w:tr w14:paraId="64A4D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0B91D">
            <w:pPr>
              <w:pStyle w:val="12"/>
            </w:pPr>
            <w:r>
              <w:t>产出指标</w:t>
            </w:r>
          </w:p>
        </w:tc>
        <w:tc>
          <w:tcPr>
            <w:tcW w:w="2268" w:type="dxa"/>
            <w:vAlign w:val="center"/>
          </w:tcPr>
          <w:p w14:paraId="2AE5257C">
            <w:pPr>
              <w:pStyle w:val="13"/>
            </w:pPr>
            <w:r>
              <w:t>成本指标</w:t>
            </w:r>
          </w:p>
        </w:tc>
        <w:tc>
          <w:tcPr>
            <w:tcW w:w="2835" w:type="dxa"/>
            <w:vAlign w:val="center"/>
          </w:tcPr>
          <w:p w14:paraId="2379AD24">
            <w:pPr>
              <w:pStyle w:val="13"/>
            </w:pPr>
            <w:r>
              <w:t>幼儿园资助标准</w:t>
            </w:r>
          </w:p>
        </w:tc>
        <w:tc>
          <w:tcPr>
            <w:tcW w:w="5386" w:type="dxa"/>
            <w:vAlign w:val="center"/>
          </w:tcPr>
          <w:p w14:paraId="1B9C3A9B">
            <w:pPr>
              <w:pStyle w:val="13"/>
            </w:pPr>
            <w:r>
              <w:t>按照幼儿园资助标准1000元/生/年</w:t>
            </w:r>
          </w:p>
        </w:tc>
        <w:tc>
          <w:tcPr>
            <w:tcW w:w="2268" w:type="dxa"/>
            <w:vAlign w:val="center"/>
          </w:tcPr>
          <w:p w14:paraId="0D29E6C6">
            <w:pPr>
              <w:pStyle w:val="13"/>
            </w:pPr>
            <w:r>
              <w:t>1000元/生/年</w:t>
            </w:r>
          </w:p>
        </w:tc>
        <w:tc>
          <w:tcPr>
            <w:tcW w:w="1276" w:type="dxa"/>
            <w:vAlign w:val="center"/>
          </w:tcPr>
          <w:p w14:paraId="2DE83098">
            <w:pPr>
              <w:pStyle w:val="13"/>
            </w:pPr>
            <w:r>
              <w:t>幼儿资助经费管理办法</w:t>
            </w:r>
          </w:p>
        </w:tc>
      </w:tr>
      <w:tr w14:paraId="17B55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8E8F7"/>
        </w:tc>
        <w:tc>
          <w:tcPr>
            <w:tcW w:w="2268" w:type="dxa"/>
            <w:vAlign w:val="center"/>
          </w:tcPr>
          <w:p w14:paraId="15929FC3">
            <w:pPr>
              <w:pStyle w:val="13"/>
            </w:pPr>
            <w:r>
              <w:t>数量指标</w:t>
            </w:r>
          </w:p>
        </w:tc>
        <w:tc>
          <w:tcPr>
            <w:tcW w:w="2835" w:type="dxa"/>
            <w:vAlign w:val="center"/>
          </w:tcPr>
          <w:p w14:paraId="18AA7080">
            <w:pPr>
              <w:pStyle w:val="13"/>
            </w:pPr>
            <w:r>
              <w:t>幼儿资助比例</w:t>
            </w:r>
          </w:p>
        </w:tc>
        <w:tc>
          <w:tcPr>
            <w:tcW w:w="5386" w:type="dxa"/>
            <w:vAlign w:val="center"/>
          </w:tcPr>
          <w:p w14:paraId="1C185F52">
            <w:pPr>
              <w:pStyle w:val="13"/>
            </w:pPr>
            <w:r>
              <w:t>按学前适龄在园儿童10%测算</w:t>
            </w:r>
          </w:p>
        </w:tc>
        <w:tc>
          <w:tcPr>
            <w:tcW w:w="2268" w:type="dxa"/>
            <w:vAlign w:val="center"/>
          </w:tcPr>
          <w:p w14:paraId="2E0D717D">
            <w:pPr>
              <w:pStyle w:val="13"/>
            </w:pPr>
            <w:r>
              <w:t>≥10%</w:t>
            </w:r>
          </w:p>
        </w:tc>
        <w:tc>
          <w:tcPr>
            <w:tcW w:w="1276" w:type="dxa"/>
            <w:vAlign w:val="center"/>
          </w:tcPr>
          <w:p w14:paraId="43403EA8">
            <w:pPr>
              <w:pStyle w:val="13"/>
            </w:pPr>
            <w:r>
              <w:t>幼儿资助经费管理办法</w:t>
            </w:r>
          </w:p>
        </w:tc>
      </w:tr>
      <w:tr w14:paraId="24829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4AD4D"/>
        </w:tc>
        <w:tc>
          <w:tcPr>
            <w:tcW w:w="2268" w:type="dxa"/>
            <w:vAlign w:val="center"/>
          </w:tcPr>
          <w:p w14:paraId="61496B15">
            <w:pPr>
              <w:pStyle w:val="13"/>
            </w:pPr>
            <w:r>
              <w:t>质量指标</w:t>
            </w:r>
          </w:p>
        </w:tc>
        <w:tc>
          <w:tcPr>
            <w:tcW w:w="2835" w:type="dxa"/>
            <w:vAlign w:val="center"/>
          </w:tcPr>
          <w:p w14:paraId="675E76B1">
            <w:pPr>
              <w:pStyle w:val="13"/>
            </w:pPr>
            <w:r>
              <w:t>学前教育资助制度落实情况</w:t>
            </w:r>
          </w:p>
        </w:tc>
        <w:tc>
          <w:tcPr>
            <w:tcW w:w="5386" w:type="dxa"/>
            <w:vAlign w:val="center"/>
          </w:tcPr>
          <w:p w14:paraId="5D6983AE">
            <w:pPr>
              <w:pStyle w:val="13"/>
            </w:pPr>
            <w:r>
              <w:t>符合享受资助条件的学生应助尽助</w:t>
            </w:r>
          </w:p>
        </w:tc>
        <w:tc>
          <w:tcPr>
            <w:tcW w:w="2268" w:type="dxa"/>
            <w:vAlign w:val="center"/>
          </w:tcPr>
          <w:p w14:paraId="4DF6A8F8">
            <w:pPr>
              <w:pStyle w:val="13"/>
            </w:pPr>
            <w:r>
              <w:t>≥100%</w:t>
            </w:r>
          </w:p>
        </w:tc>
        <w:tc>
          <w:tcPr>
            <w:tcW w:w="1276" w:type="dxa"/>
            <w:vAlign w:val="center"/>
          </w:tcPr>
          <w:p w14:paraId="602FFCDB">
            <w:pPr>
              <w:pStyle w:val="13"/>
            </w:pPr>
            <w:r>
              <w:t>幼儿资助经费管理办法</w:t>
            </w:r>
          </w:p>
        </w:tc>
      </w:tr>
      <w:tr w14:paraId="1411C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59720"/>
        </w:tc>
        <w:tc>
          <w:tcPr>
            <w:tcW w:w="2268" w:type="dxa"/>
            <w:vAlign w:val="center"/>
          </w:tcPr>
          <w:p w14:paraId="7A2BFBE3">
            <w:pPr>
              <w:pStyle w:val="13"/>
            </w:pPr>
            <w:r>
              <w:t>时效指标</w:t>
            </w:r>
          </w:p>
        </w:tc>
        <w:tc>
          <w:tcPr>
            <w:tcW w:w="2835" w:type="dxa"/>
            <w:vAlign w:val="center"/>
          </w:tcPr>
          <w:p w14:paraId="5975E981">
            <w:pPr>
              <w:pStyle w:val="13"/>
            </w:pPr>
            <w:r>
              <w:t>资金拨付率</w:t>
            </w:r>
          </w:p>
        </w:tc>
        <w:tc>
          <w:tcPr>
            <w:tcW w:w="5386" w:type="dxa"/>
            <w:vAlign w:val="center"/>
          </w:tcPr>
          <w:p w14:paraId="277CCE1A">
            <w:pPr>
              <w:pStyle w:val="13"/>
            </w:pPr>
            <w:r>
              <w:t>所有项目资金支付进度</w:t>
            </w:r>
          </w:p>
        </w:tc>
        <w:tc>
          <w:tcPr>
            <w:tcW w:w="2268" w:type="dxa"/>
            <w:vAlign w:val="center"/>
          </w:tcPr>
          <w:p w14:paraId="55A2169D">
            <w:pPr>
              <w:pStyle w:val="13"/>
            </w:pPr>
            <w:r>
              <w:t>≥100%</w:t>
            </w:r>
          </w:p>
        </w:tc>
        <w:tc>
          <w:tcPr>
            <w:tcW w:w="1276" w:type="dxa"/>
            <w:vAlign w:val="center"/>
          </w:tcPr>
          <w:p w14:paraId="65FB08A5">
            <w:pPr>
              <w:pStyle w:val="13"/>
            </w:pPr>
            <w:r>
              <w:t>幼儿资助经费管理办法</w:t>
            </w:r>
          </w:p>
        </w:tc>
      </w:tr>
      <w:tr w14:paraId="03604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51DEEE">
            <w:pPr>
              <w:pStyle w:val="12"/>
            </w:pPr>
            <w:r>
              <w:t>效益指标</w:t>
            </w:r>
          </w:p>
        </w:tc>
        <w:tc>
          <w:tcPr>
            <w:tcW w:w="2268" w:type="dxa"/>
            <w:vAlign w:val="center"/>
          </w:tcPr>
          <w:p w14:paraId="65A9BAE8">
            <w:pPr>
              <w:pStyle w:val="13"/>
            </w:pPr>
            <w:r>
              <w:t>可持续影响指标</w:t>
            </w:r>
          </w:p>
        </w:tc>
        <w:tc>
          <w:tcPr>
            <w:tcW w:w="2835" w:type="dxa"/>
            <w:vAlign w:val="center"/>
          </w:tcPr>
          <w:p w14:paraId="445B94C0">
            <w:pPr>
              <w:pStyle w:val="13"/>
            </w:pPr>
            <w:r>
              <w:t>幼儿园运转</w:t>
            </w:r>
          </w:p>
        </w:tc>
        <w:tc>
          <w:tcPr>
            <w:tcW w:w="5386" w:type="dxa"/>
            <w:vAlign w:val="center"/>
          </w:tcPr>
          <w:p w14:paraId="64CC100D">
            <w:pPr>
              <w:pStyle w:val="13"/>
            </w:pPr>
            <w:r>
              <w:t>幼儿受教育年限</w:t>
            </w:r>
          </w:p>
        </w:tc>
        <w:tc>
          <w:tcPr>
            <w:tcW w:w="2268" w:type="dxa"/>
            <w:vAlign w:val="center"/>
          </w:tcPr>
          <w:p w14:paraId="5516999A">
            <w:pPr>
              <w:pStyle w:val="13"/>
            </w:pPr>
            <w:r>
              <w:t>3年</w:t>
            </w:r>
          </w:p>
        </w:tc>
        <w:tc>
          <w:tcPr>
            <w:tcW w:w="1276" w:type="dxa"/>
            <w:vAlign w:val="center"/>
          </w:tcPr>
          <w:p w14:paraId="0E2DCE88">
            <w:pPr>
              <w:pStyle w:val="13"/>
            </w:pPr>
            <w:r>
              <w:t>幼儿资助经费管理办法</w:t>
            </w:r>
          </w:p>
        </w:tc>
      </w:tr>
      <w:tr w14:paraId="39AA7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3F38F5">
            <w:pPr>
              <w:pStyle w:val="12"/>
            </w:pPr>
            <w:r>
              <w:t>满意度指标</w:t>
            </w:r>
          </w:p>
        </w:tc>
        <w:tc>
          <w:tcPr>
            <w:tcW w:w="2268" w:type="dxa"/>
            <w:vAlign w:val="center"/>
          </w:tcPr>
          <w:p w14:paraId="299D74C2">
            <w:pPr>
              <w:pStyle w:val="13"/>
            </w:pPr>
            <w:r>
              <w:t>服务对象满意度指标</w:t>
            </w:r>
          </w:p>
        </w:tc>
        <w:tc>
          <w:tcPr>
            <w:tcW w:w="2835" w:type="dxa"/>
            <w:vAlign w:val="center"/>
          </w:tcPr>
          <w:p w14:paraId="277C9BC0">
            <w:pPr>
              <w:pStyle w:val="13"/>
            </w:pPr>
            <w:r>
              <w:t>受益幼儿家长及调查满意度</w:t>
            </w:r>
          </w:p>
        </w:tc>
        <w:tc>
          <w:tcPr>
            <w:tcW w:w="5386" w:type="dxa"/>
            <w:vAlign w:val="center"/>
          </w:tcPr>
          <w:p w14:paraId="11328B27">
            <w:pPr>
              <w:pStyle w:val="13"/>
            </w:pPr>
            <w:r>
              <w:t>学生、教师及家长对学校保教保育工作满意度情况</w:t>
            </w:r>
          </w:p>
        </w:tc>
        <w:tc>
          <w:tcPr>
            <w:tcW w:w="2268" w:type="dxa"/>
            <w:vAlign w:val="center"/>
          </w:tcPr>
          <w:p w14:paraId="37E58B69">
            <w:pPr>
              <w:pStyle w:val="13"/>
            </w:pPr>
            <w:r>
              <w:t>≥95%</w:t>
            </w:r>
          </w:p>
        </w:tc>
        <w:tc>
          <w:tcPr>
            <w:tcW w:w="1276" w:type="dxa"/>
            <w:vAlign w:val="center"/>
          </w:tcPr>
          <w:p w14:paraId="6A69DDFC">
            <w:pPr>
              <w:pStyle w:val="13"/>
            </w:pPr>
            <w:r>
              <w:t>幼儿资助经费管理办法</w:t>
            </w:r>
          </w:p>
        </w:tc>
      </w:tr>
    </w:tbl>
    <w:p w14:paraId="3542758C">
      <w:pPr>
        <w:sectPr>
          <w:pgSz w:w="16840" w:h="11900" w:orient="landscape"/>
          <w:pgMar w:top="1361" w:right="1020" w:bottom="1134" w:left="1020" w:header="720" w:footer="720" w:gutter="0"/>
          <w:cols w:space="720" w:num="1"/>
        </w:sectPr>
      </w:pPr>
    </w:p>
    <w:p w14:paraId="37AEF991">
      <w:pPr>
        <w:spacing w:before="0" w:after="0"/>
        <w:ind w:firstLine="560"/>
        <w:jc w:val="left"/>
        <w:outlineLvl w:val="9"/>
      </w:pPr>
      <w:r>
        <w:rPr>
          <w:rFonts w:ascii="方正仿宋_GBK" w:hAnsi="方正仿宋_GBK" w:eastAsia="方正仿宋_GBK" w:cs="方正仿宋_GBK"/>
          <w:b/>
          <w:color w:val="000000"/>
          <w:sz w:val="28"/>
        </w:rPr>
        <w:t>20、县级资金/北楼校区幼儿园公用经费绩效目标表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A2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C50C6">
            <w:pPr>
              <w:pStyle w:val="14"/>
            </w:pPr>
            <w:r>
              <w:t>单位：万元</w:t>
            </w:r>
          </w:p>
        </w:tc>
      </w:tr>
      <w:tr w14:paraId="1B7ED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10DA1FC8">
            <w:pPr>
              <w:pStyle w:val="11"/>
            </w:pPr>
            <w:r>
              <w:t>项目编码</w:t>
            </w:r>
          </w:p>
        </w:tc>
        <w:tc>
          <w:tcPr>
            <w:tcW w:w="5103" w:type="dxa"/>
            <w:gridSpan w:val="2"/>
            <w:vAlign w:val="center"/>
          </w:tcPr>
          <w:p w14:paraId="28ABAAED">
            <w:pPr>
              <w:pStyle w:val="13"/>
            </w:pPr>
            <w:r>
              <w:t>13052524P00875610073R</w:t>
            </w:r>
          </w:p>
        </w:tc>
        <w:tc>
          <w:tcPr>
            <w:tcW w:w="2835" w:type="dxa"/>
            <w:vAlign w:val="center"/>
          </w:tcPr>
          <w:p w14:paraId="62C7080A">
            <w:pPr>
              <w:pStyle w:val="11"/>
            </w:pPr>
            <w:r>
              <w:t>项目名称</w:t>
            </w:r>
          </w:p>
        </w:tc>
        <w:tc>
          <w:tcPr>
            <w:tcW w:w="6095" w:type="dxa"/>
            <w:gridSpan w:val="3"/>
            <w:vAlign w:val="center"/>
          </w:tcPr>
          <w:p w14:paraId="11DDA7BA">
            <w:pPr>
              <w:pStyle w:val="13"/>
            </w:pPr>
            <w:r>
              <w:t>县级资金/北楼校区幼儿园公用经费</w:t>
            </w:r>
          </w:p>
        </w:tc>
      </w:tr>
      <w:tr w14:paraId="54816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B82A1">
            <w:pPr>
              <w:pStyle w:val="11"/>
            </w:pPr>
            <w:r>
              <w:t>预算规模及资金用途</w:t>
            </w:r>
          </w:p>
        </w:tc>
        <w:tc>
          <w:tcPr>
            <w:tcW w:w="2268" w:type="dxa"/>
            <w:vAlign w:val="center"/>
          </w:tcPr>
          <w:p w14:paraId="14276409">
            <w:pPr>
              <w:pStyle w:val="11"/>
            </w:pPr>
            <w:r>
              <w:t>预算数</w:t>
            </w:r>
          </w:p>
        </w:tc>
        <w:tc>
          <w:tcPr>
            <w:tcW w:w="2835" w:type="dxa"/>
            <w:vAlign w:val="center"/>
          </w:tcPr>
          <w:p w14:paraId="18CBCA62">
            <w:pPr>
              <w:pStyle w:val="13"/>
            </w:pPr>
            <w:r>
              <w:t>19.44</w:t>
            </w:r>
          </w:p>
        </w:tc>
        <w:tc>
          <w:tcPr>
            <w:tcW w:w="2835" w:type="dxa"/>
            <w:vAlign w:val="center"/>
          </w:tcPr>
          <w:p w14:paraId="6AC64557">
            <w:pPr>
              <w:pStyle w:val="11"/>
            </w:pPr>
            <w:r>
              <w:t>其中：财政    资金</w:t>
            </w:r>
          </w:p>
        </w:tc>
        <w:tc>
          <w:tcPr>
            <w:tcW w:w="2551" w:type="dxa"/>
            <w:vAlign w:val="center"/>
          </w:tcPr>
          <w:p w14:paraId="65AA4677">
            <w:pPr>
              <w:pStyle w:val="13"/>
            </w:pPr>
            <w:r>
              <w:t>19.44</w:t>
            </w:r>
          </w:p>
        </w:tc>
        <w:tc>
          <w:tcPr>
            <w:tcW w:w="2268" w:type="dxa"/>
            <w:vAlign w:val="center"/>
          </w:tcPr>
          <w:p w14:paraId="12A08822">
            <w:pPr>
              <w:pStyle w:val="11"/>
            </w:pPr>
            <w:r>
              <w:t>其他资金</w:t>
            </w:r>
          </w:p>
        </w:tc>
        <w:tc>
          <w:tcPr>
            <w:tcW w:w="1276" w:type="dxa"/>
            <w:vAlign w:val="center"/>
          </w:tcPr>
          <w:p w14:paraId="76F1464C">
            <w:pPr>
              <w:pStyle w:val="13"/>
            </w:pPr>
            <w:r>
              <w:t xml:space="preserve"> </w:t>
            </w:r>
          </w:p>
        </w:tc>
      </w:tr>
      <w:tr w14:paraId="6970E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7807AD4E"/>
        </w:tc>
        <w:tc>
          <w:tcPr>
            <w:tcW w:w="14033" w:type="dxa"/>
            <w:gridSpan w:val="6"/>
            <w:vAlign w:val="center"/>
          </w:tcPr>
          <w:p w14:paraId="6CB226EC">
            <w:pPr>
              <w:pStyle w:val="13"/>
            </w:pPr>
            <w:r>
              <w:t>保障幼儿园正常运转，完成教育教学活动和其他日常工作任务等方面的费用支出。</w:t>
            </w:r>
            <w:r>
              <w:tab/>
            </w:r>
            <w:r>
              <w:tab/>
            </w:r>
          </w:p>
        </w:tc>
      </w:tr>
      <w:tr w14:paraId="745D5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87DB4">
            <w:pPr>
              <w:pStyle w:val="11"/>
            </w:pPr>
            <w:r>
              <w:t>资金支出计划（%）</w:t>
            </w:r>
          </w:p>
        </w:tc>
        <w:tc>
          <w:tcPr>
            <w:tcW w:w="5103" w:type="dxa"/>
            <w:gridSpan w:val="2"/>
            <w:vAlign w:val="center"/>
          </w:tcPr>
          <w:p w14:paraId="673E2DBF">
            <w:pPr>
              <w:pStyle w:val="11"/>
            </w:pPr>
            <w:r>
              <w:t>3月底</w:t>
            </w:r>
          </w:p>
        </w:tc>
        <w:tc>
          <w:tcPr>
            <w:tcW w:w="2835" w:type="dxa"/>
            <w:vAlign w:val="center"/>
          </w:tcPr>
          <w:p w14:paraId="48CB6164">
            <w:pPr>
              <w:pStyle w:val="11"/>
            </w:pPr>
            <w:r>
              <w:t>6月底</w:t>
            </w:r>
          </w:p>
        </w:tc>
        <w:tc>
          <w:tcPr>
            <w:tcW w:w="2551" w:type="dxa"/>
            <w:vAlign w:val="center"/>
          </w:tcPr>
          <w:p w14:paraId="39212663">
            <w:pPr>
              <w:pStyle w:val="11"/>
            </w:pPr>
            <w:r>
              <w:t>10月底</w:t>
            </w:r>
          </w:p>
        </w:tc>
        <w:tc>
          <w:tcPr>
            <w:tcW w:w="3544" w:type="dxa"/>
            <w:gridSpan w:val="2"/>
            <w:vAlign w:val="center"/>
          </w:tcPr>
          <w:p w14:paraId="2D7C5F30">
            <w:pPr>
              <w:pStyle w:val="11"/>
            </w:pPr>
            <w:r>
              <w:t>12月底</w:t>
            </w:r>
          </w:p>
        </w:tc>
      </w:tr>
      <w:tr w14:paraId="03E9E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0C75A"/>
        </w:tc>
        <w:tc>
          <w:tcPr>
            <w:tcW w:w="5103" w:type="dxa"/>
            <w:gridSpan w:val="2"/>
            <w:vAlign w:val="center"/>
          </w:tcPr>
          <w:p w14:paraId="4A32C586">
            <w:pPr>
              <w:pStyle w:val="12"/>
            </w:pPr>
            <w:r>
              <w:t>25%</w:t>
            </w:r>
          </w:p>
        </w:tc>
        <w:tc>
          <w:tcPr>
            <w:tcW w:w="2835" w:type="dxa"/>
            <w:vAlign w:val="center"/>
          </w:tcPr>
          <w:p w14:paraId="44109D9E">
            <w:pPr>
              <w:pStyle w:val="12"/>
            </w:pPr>
            <w:r>
              <w:t>50%</w:t>
            </w:r>
          </w:p>
        </w:tc>
        <w:tc>
          <w:tcPr>
            <w:tcW w:w="2551" w:type="dxa"/>
            <w:vAlign w:val="center"/>
          </w:tcPr>
          <w:p w14:paraId="3CE7186B">
            <w:pPr>
              <w:pStyle w:val="12"/>
            </w:pPr>
            <w:r>
              <w:t>75%</w:t>
            </w:r>
          </w:p>
        </w:tc>
        <w:tc>
          <w:tcPr>
            <w:tcW w:w="3544" w:type="dxa"/>
            <w:gridSpan w:val="2"/>
            <w:vAlign w:val="center"/>
          </w:tcPr>
          <w:p w14:paraId="471CC710">
            <w:pPr>
              <w:pStyle w:val="12"/>
            </w:pPr>
            <w:r>
              <w:t>100%</w:t>
            </w:r>
          </w:p>
        </w:tc>
      </w:tr>
      <w:tr w14:paraId="792B5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F18F6">
            <w:pPr>
              <w:pStyle w:val="11"/>
            </w:pPr>
            <w:r>
              <w:t>绩效目标</w:t>
            </w:r>
          </w:p>
        </w:tc>
        <w:tc>
          <w:tcPr>
            <w:tcW w:w="14033" w:type="dxa"/>
            <w:gridSpan w:val="6"/>
            <w:vAlign w:val="center"/>
          </w:tcPr>
          <w:p w14:paraId="6B20B13D">
            <w:pPr>
              <w:pStyle w:val="13"/>
            </w:pPr>
            <w:r>
              <w:t>1.保障幼儿园正常运转，完成教育教学活动和其他日常工作任务等方面的费用支出。</w:t>
            </w:r>
            <w:r>
              <w:tab/>
            </w:r>
            <w:r>
              <w:tab/>
            </w:r>
            <w:r>
              <w:tab/>
            </w:r>
            <w:r>
              <w:tab/>
            </w:r>
            <w:r>
              <w:tab/>
            </w:r>
            <w:r>
              <w:tab/>
            </w:r>
          </w:p>
        </w:tc>
      </w:tr>
    </w:tbl>
    <w:p w14:paraId="6C8E44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14:paraId="7A2E6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41DE1">
            <w:pPr>
              <w:pStyle w:val="11"/>
            </w:pPr>
            <w:r>
              <w:t>一级指标</w:t>
            </w:r>
          </w:p>
        </w:tc>
        <w:tc>
          <w:tcPr>
            <w:tcW w:w="2268" w:type="dxa"/>
            <w:vAlign w:val="center"/>
          </w:tcPr>
          <w:p w14:paraId="6005D9E8">
            <w:pPr>
              <w:pStyle w:val="11"/>
            </w:pPr>
            <w:r>
              <w:t>二级指标</w:t>
            </w:r>
          </w:p>
        </w:tc>
        <w:tc>
          <w:tcPr>
            <w:tcW w:w="2835" w:type="dxa"/>
            <w:vAlign w:val="center"/>
          </w:tcPr>
          <w:p w14:paraId="743AC8B7">
            <w:pPr>
              <w:pStyle w:val="11"/>
            </w:pPr>
            <w:r>
              <w:t>三级指标</w:t>
            </w:r>
          </w:p>
        </w:tc>
        <w:tc>
          <w:tcPr>
            <w:tcW w:w="5386" w:type="dxa"/>
            <w:vAlign w:val="center"/>
          </w:tcPr>
          <w:p w14:paraId="27AC4676">
            <w:pPr>
              <w:pStyle w:val="11"/>
            </w:pPr>
            <w:r>
              <w:t>绩效指标描述</w:t>
            </w:r>
          </w:p>
        </w:tc>
        <w:tc>
          <w:tcPr>
            <w:tcW w:w="1808" w:type="dxa"/>
            <w:vAlign w:val="center"/>
          </w:tcPr>
          <w:p w14:paraId="4AE1770F">
            <w:pPr>
              <w:pStyle w:val="11"/>
            </w:pPr>
            <w:r>
              <w:t>指标值</w:t>
            </w:r>
          </w:p>
        </w:tc>
        <w:tc>
          <w:tcPr>
            <w:tcW w:w="1736" w:type="dxa"/>
            <w:vAlign w:val="center"/>
          </w:tcPr>
          <w:p w14:paraId="00E08B65">
            <w:pPr>
              <w:pStyle w:val="11"/>
            </w:pPr>
            <w:r>
              <w:t>指标值确定依据</w:t>
            </w:r>
          </w:p>
        </w:tc>
      </w:tr>
      <w:tr w14:paraId="028C7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9A25D">
            <w:pPr>
              <w:pStyle w:val="12"/>
            </w:pPr>
            <w:r>
              <w:t>产出指标</w:t>
            </w:r>
          </w:p>
        </w:tc>
        <w:tc>
          <w:tcPr>
            <w:tcW w:w="2268" w:type="dxa"/>
            <w:vAlign w:val="center"/>
          </w:tcPr>
          <w:p w14:paraId="01C7D0EB">
            <w:pPr>
              <w:pStyle w:val="13"/>
            </w:pPr>
            <w:r>
              <w:t>数量指标</w:t>
            </w:r>
          </w:p>
        </w:tc>
        <w:tc>
          <w:tcPr>
            <w:tcW w:w="2835" w:type="dxa"/>
            <w:vAlign w:val="center"/>
          </w:tcPr>
          <w:p w14:paraId="1ED1DA02">
            <w:pPr>
              <w:pStyle w:val="13"/>
            </w:pPr>
            <w:r>
              <w:t>适龄在园生</w:t>
            </w:r>
          </w:p>
          <w:p w14:paraId="1872F00E">
            <w:pPr>
              <w:pStyle w:val="13"/>
            </w:pPr>
          </w:p>
        </w:tc>
        <w:tc>
          <w:tcPr>
            <w:tcW w:w="5386" w:type="dxa"/>
            <w:vAlign w:val="center"/>
          </w:tcPr>
          <w:p w14:paraId="03EBB0F5">
            <w:pPr>
              <w:pStyle w:val="13"/>
            </w:pPr>
            <w:r>
              <w:t>适龄在园学生人数</w:t>
            </w:r>
          </w:p>
        </w:tc>
        <w:tc>
          <w:tcPr>
            <w:tcW w:w="1808" w:type="dxa"/>
            <w:vAlign w:val="center"/>
          </w:tcPr>
          <w:p w14:paraId="713125A5">
            <w:pPr>
              <w:pStyle w:val="13"/>
            </w:pPr>
            <w:r>
              <w:t>432人</w:t>
            </w:r>
          </w:p>
        </w:tc>
        <w:tc>
          <w:tcPr>
            <w:tcW w:w="1736" w:type="dxa"/>
            <w:vAlign w:val="center"/>
          </w:tcPr>
          <w:p w14:paraId="385803A0">
            <w:pPr>
              <w:pStyle w:val="13"/>
            </w:pPr>
            <w:r>
              <w:t>公办幼儿园生均公用经费管理办法</w:t>
            </w:r>
          </w:p>
        </w:tc>
      </w:tr>
      <w:tr w14:paraId="59AF9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31103"/>
        </w:tc>
        <w:tc>
          <w:tcPr>
            <w:tcW w:w="2268" w:type="dxa"/>
            <w:vAlign w:val="center"/>
          </w:tcPr>
          <w:p w14:paraId="7406093F">
            <w:pPr>
              <w:pStyle w:val="13"/>
            </w:pPr>
            <w:r>
              <w:t>质量指标</w:t>
            </w:r>
          </w:p>
        </w:tc>
        <w:tc>
          <w:tcPr>
            <w:tcW w:w="2835" w:type="dxa"/>
            <w:vAlign w:val="center"/>
          </w:tcPr>
          <w:p w14:paraId="64167012">
            <w:pPr>
              <w:pStyle w:val="13"/>
            </w:pPr>
            <w:r>
              <w:t>预算控制率</w:t>
            </w:r>
          </w:p>
          <w:p w14:paraId="7EB956F7">
            <w:pPr>
              <w:pStyle w:val="13"/>
            </w:pPr>
          </w:p>
        </w:tc>
        <w:tc>
          <w:tcPr>
            <w:tcW w:w="5386" w:type="dxa"/>
            <w:vAlign w:val="center"/>
          </w:tcPr>
          <w:p w14:paraId="49A4A8FD">
            <w:pPr>
              <w:pStyle w:val="13"/>
            </w:pPr>
            <w:r>
              <w:t>预算执行</w:t>
            </w:r>
          </w:p>
        </w:tc>
        <w:tc>
          <w:tcPr>
            <w:tcW w:w="1808" w:type="dxa"/>
            <w:vAlign w:val="center"/>
          </w:tcPr>
          <w:p w14:paraId="4CE91F2A">
            <w:pPr>
              <w:pStyle w:val="13"/>
            </w:pPr>
            <w:r>
              <w:t>≥95%</w:t>
            </w:r>
          </w:p>
        </w:tc>
        <w:tc>
          <w:tcPr>
            <w:tcW w:w="1736" w:type="dxa"/>
            <w:vAlign w:val="center"/>
          </w:tcPr>
          <w:p w14:paraId="1ACAD412">
            <w:pPr>
              <w:pStyle w:val="13"/>
            </w:pPr>
            <w:r>
              <w:t>公办幼儿园生均公用经费管理办法</w:t>
            </w:r>
          </w:p>
        </w:tc>
      </w:tr>
      <w:tr w14:paraId="095A1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699D0"/>
        </w:tc>
        <w:tc>
          <w:tcPr>
            <w:tcW w:w="2268" w:type="dxa"/>
            <w:vAlign w:val="center"/>
          </w:tcPr>
          <w:p w14:paraId="2F88AA21">
            <w:pPr>
              <w:pStyle w:val="13"/>
            </w:pPr>
            <w:r>
              <w:t>时效指标</w:t>
            </w:r>
          </w:p>
        </w:tc>
        <w:tc>
          <w:tcPr>
            <w:tcW w:w="2835" w:type="dxa"/>
            <w:vAlign w:val="center"/>
          </w:tcPr>
          <w:p w14:paraId="019C8542">
            <w:pPr>
              <w:pStyle w:val="13"/>
            </w:pPr>
            <w:r>
              <w:t>资金支付率</w:t>
            </w:r>
          </w:p>
          <w:p w14:paraId="0F0C02BD">
            <w:pPr>
              <w:pStyle w:val="13"/>
            </w:pPr>
          </w:p>
        </w:tc>
        <w:tc>
          <w:tcPr>
            <w:tcW w:w="5386" w:type="dxa"/>
            <w:vAlign w:val="center"/>
          </w:tcPr>
          <w:p w14:paraId="5D973F4F">
            <w:pPr>
              <w:pStyle w:val="13"/>
            </w:pPr>
            <w:r>
              <w:t>按照序时进度完成资金支付</w:t>
            </w:r>
          </w:p>
        </w:tc>
        <w:tc>
          <w:tcPr>
            <w:tcW w:w="1808" w:type="dxa"/>
            <w:vAlign w:val="center"/>
          </w:tcPr>
          <w:p w14:paraId="0024159C">
            <w:pPr>
              <w:pStyle w:val="13"/>
            </w:pPr>
            <w:r>
              <w:t xml:space="preserve">≥100% </w:t>
            </w:r>
          </w:p>
        </w:tc>
        <w:tc>
          <w:tcPr>
            <w:tcW w:w="1736" w:type="dxa"/>
            <w:vAlign w:val="center"/>
          </w:tcPr>
          <w:p w14:paraId="28151588">
            <w:pPr>
              <w:pStyle w:val="13"/>
            </w:pPr>
            <w:r>
              <w:t>公办幼儿园生均公用经费管理办法</w:t>
            </w:r>
          </w:p>
        </w:tc>
      </w:tr>
      <w:tr w14:paraId="56A12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72D92FFD"/>
        </w:tc>
        <w:tc>
          <w:tcPr>
            <w:tcW w:w="2268" w:type="dxa"/>
            <w:vAlign w:val="center"/>
          </w:tcPr>
          <w:p w14:paraId="75CF15A8">
            <w:pPr>
              <w:pStyle w:val="13"/>
            </w:pPr>
            <w:r>
              <w:t>成本指标</w:t>
            </w:r>
          </w:p>
        </w:tc>
        <w:tc>
          <w:tcPr>
            <w:tcW w:w="2835" w:type="dxa"/>
            <w:vAlign w:val="center"/>
          </w:tcPr>
          <w:p w14:paraId="0ED16EDC">
            <w:pPr>
              <w:pStyle w:val="13"/>
            </w:pPr>
            <w:r>
              <w:t>生均拨款标准</w:t>
            </w:r>
          </w:p>
          <w:p w14:paraId="26CDAB96">
            <w:pPr>
              <w:pStyle w:val="13"/>
            </w:pPr>
          </w:p>
        </w:tc>
        <w:tc>
          <w:tcPr>
            <w:tcW w:w="5386" w:type="dxa"/>
            <w:vAlign w:val="center"/>
          </w:tcPr>
          <w:p w14:paraId="4A70DC51">
            <w:pPr>
              <w:pStyle w:val="13"/>
            </w:pPr>
            <w:r>
              <w:t>学前：（基本标准600元/生/学年）</w:t>
            </w:r>
          </w:p>
        </w:tc>
        <w:tc>
          <w:tcPr>
            <w:tcW w:w="1808" w:type="dxa"/>
            <w:vAlign w:val="center"/>
          </w:tcPr>
          <w:p w14:paraId="02200A24">
            <w:pPr>
              <w:pStyle w:val="13"/>
            </w:pPr>
            <w:r>
              <w:t>194400元</w:t>
            </w:r>
          </w:p>
        </w:tc>
        <w:tc>
          <w:tcPr>
            <w:tcW w:w="1736" w:type="dxa"/>
            <w:vAlign w:val="center"/>
          </w:tcPr>
          <w:p w14:paraId="6269B9CD">
            <w:pPr>
              <w:pStyle w:val="13"/>
            </w:pPr>
            <w:r>
              <w:t>公办幼儿园生均公用经费管理办法</w:t>
            </w:r>
          </w:p>
        </w:tc>
      </w:tr>
      <w:tr w14:paraId="5FF96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DE7AAC">
            <w:pPr>
              <w:pStyle w:val="12"/>
            </w:pPr>
            <w:r>
              <w:t>效益指标</w:t>
            </w:r>
          </w:p>
        </w:tc>
        <w:tc>
          <w:tcPr>
            <w:tcW w:w="2268" w:type="dxa"/>
            <w:vAlign w:val="center"/>
          </w:tcPr>
          <w:p w14:paraId="6B615824">
            <w:pPr>
              <w:pStyle w:val="13"/>
            </w:pPr>
            <w:r>
              <w:t>可持续影响指标</w:t>
            </w:r>
          </w:p>
        </w:tc>
        <w:tc>
          <w:tcPr>
            <w:tcW w:w="2835" w:type="dxa"/>
            <w:vAlign w:val="center"/>
          </w:tcPr>
          <w:p w14:paraId="53B101C3">
            <w:pPr>
              <w:pStyle w:val="13"/>
            </w:pPr>
            <w:r>
              <w:t>学校运转得到提升</w:t>
            </w:r>
          </w:p>
          <w:p w14:paraId="760C5F5A">
            <w:pPr>
              <w:pStyle w:val="13"/>
            </w:pPr>
          </w:p>
        </w:tc>
        <w:tc>
          <w:tcPr>
            <w:tcW w:w="5386" w:type="dxa"/>
            <w:vAlign w:val="center"/>
          </w:tcPr>
          <w:p w14:paraId="354AF530">
            <w:pPr>
              <w:pStyle w:val="13"/>
            </w:pPr>
            <w:r>
              <w:t>幼儿受教育年限</w:t>
            </w:r>
          </w:p>
          <w:p w14:paraId="6065384F">
            <w:pPr>
              <w:pStyle w:val="13"/>
            </w:pPr>
          </w:p>
        </w:tc>
        <w:tc>
          <w:tcPr>
            <w:tcW w:w="1808" w:type="dxa"/>
            <w:vAlign w:val="center"/>
          </w:tcPr>
          <w:p w14:paraId="62DFD2DF">
            <w:pPr>
              <w:pStyle w:val="13"/>
            </w:pPr>
            <w:r>
              <w:t>3年</w:t>
            </w:r>
          </w:p>
        </w:tc>
        <w:tc>
          <w:tcPr>
            <w:tcW w:w="1736" w:type="dxa"/>
            <w:vAlign w:val="center"/>
          </w:tcPr>
          <w:p w14:paraId="513A48D4">
            <w:pPr>
              <w:pStyle w:val="13"/>
            </w:pPr>
            <w:r>
              <w:t>公办幼儿园生均公用经费管理办法</w:t>
            </w:r>
          </w:p>
        </w:tc>
      </w:tr>
      <w:tr w14:paraId="7F950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426A8D">
            <w:pPr>
              <w:pStyle w:val="12"/>
            </w:pPr>
            <w:r>
              <w:t>满意度指标</w:t>
            </w:r>
          </w:p>
        </w:tc>
        <w:tc>
          <w:tcPr>
            <w:tcW w:w="2268" w:type="dxa"/>
            <w:vAlign w:val="center"/>
          </w:tcPr>
          <w:p w14:paraId="4813EC88">
            <w:pPr>
              <w:pStyle w:val="13"/>
            </w:pPr>
            <w:r>
              <w:t>服务对象满意度指标</w:t>
            </w:r>
          </w:p>
        </w:tc>
        <w:tc>
          <w:tcPr>
            <w:tcW w:w="2835" w:type="dxa"/>
            <w:vAlign w:val="center"/>
          </w:tcPr>
          <w:p w14:paraId="5B80C3EF">
            <w:pPr>
              <w:pStyle w:val="13"/>
            </w:pPr>
            <w:r>
              <w:t>受益学生家长及调查满意度</w:t>
            </w:r>
          </w:p>
          <w:p w14:paraId="57B9778D">
            <w:pPr>
              <w:pStyle w:val="13"/>
            </w:pPr>
          </w:p>
        </w:tc>
        <w:tc>
          <w:tcPr>
            <w:tcW w:w="5386" w:type="dxa"/>
            <w:vAlign w:val="center"/>
          </w:tcPr>
          <w:p w14:paraId="3EBD0A78">
            <w:pPr>
              <w:pStyle w:val="13"/>
            </w:pPr>
            <w:r>
              <w:t>学生、教师及家长对学校保教保育工作满意度情况</w:t>
            </w:r>
          </w:p>
        </w:tc>
        <w:tc>
          <w:tcPr>
            <w:tcW w:w="1808" w:type="dxa"/>
            <w:vAlign w:val="center"/>
          </w:tcPr>
          <w:p w14:paraId="1B7FD1E1">
            <w:pPr>
              <w:pStyle w:val="13"/>
            </w:pPr>
            <w:r>
              <w:t>≥95%</w:t>
            </w:r>
          </w:p>
        </w:tc>
        <w:tc>
          <w:tcPr>
            <w:tcW w:w="1736" w:type="dxa"/>
            <w:vAlign w:val="center"/>
          </w:tcPr>
          <w:p w14:paraId="5FC6C535">
            <w:pPr>
              <w:pStyle w:val="13"/>
            </w:pPr>
            <w:r>
              <w:t>公办幼儿园生均公用经费管理办法</w:t>
            </w:r>
          </w:p>
        </w:tc>
      </w:tr>
    </w:tbl>
    <w:p w14:paraId="17661C3E">
      <w:pPr>
        <w:sectPr>
          <w:pgSz w:w="16840" w:h="11900" w:orient="landscape"/>
          <w:pgMar w:top="1361" w:right="1020" w:bottom="1134" w:left="1020" w:header="720" w:footer="720" w:gutter="0"/>
          <w:cols w:space="720" w:num="1"/>
        </w:sectPr>
      </w:pPr>
    </w:p>
    <w:p w14:paraId="68515EEC">
      <w:pPr>
        <w:spacing w:before="0" w:after="0"/>
        <w:ind w:firstLine="560"/>
        <w:jc w:val="left"/>
        <w:outlineLvl w:val="9"/>
      </w:pPr>
      <w:r>
        <w:rPr>
          <w:rFonts w:ascii="方正仿宋_GBK" w:hAnsi="方正仿宋_GBK" w:eastAsia="方正仿宋_GBK" w:cs="方正仿宋_GBK"/>
          <w:b/>
          <w:color w:val="000000"/>
          <w:sz w:val="28"/>
        </w:rPr>
        <w:t>21、学前专项经费/北楼校区绩效目标表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BA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200E6">
            <w:pPr>
              <w:pStyle w:val="14"/>
            </w:pPr>
            <w:r>
              <w:t>单位：万元</w:t>
            </w:r>
          </w:p>
        </w:tc>
      </w:tr>
      <w:tr w14:paraId="7510D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827CC2">
            <w:pPr>
              <w:pStyle w:val="11"/>
            </w:pPr>
            <w:r>
              <w:t>项目编码</w:t>
            </w:r>
          </w:p>
        </w:tc>
        <w:tc>
          <w:tcPr>
            <w:tcW w:w="5103" w:type="dxa"/>
            <w:gridSpan w:val="2"/>
            <w:vAlign w:val="center"/>
          </w:tcPr>
          <w:p w14:paraId="57B22587">
            <w:pPr>
              <w:pStyle w:val="13"/>
            </w:pPr>
            <w:r>
              <w:t>13052525P00875610086Y</w:t>
            </w:r>
          </w:p>
        </w:tc>
        <w:tc>
          <w:tcPr>
            <w:tcW w:w="2835" w:type="dxa"/>
            <w:vAlign w:val="center"/>
          </w:tcPr>
          <w:p w14:paraId="4F3BE0F1">
            <w:pPr>
              <w:pStyle w:val="11"/>
            </w:pPr>
            <w:r>
              <w:t>项目名称</w:t>
            </w:r>
          </w:p>
        </w:tc>
        <w:tc>
          <w:tcPr>
            <w:tcW w:w="6095" w:type="dxa"/>
            <w:gridSpan w:val="3"/>
            <w:vAlign w:val="center"/>
          </w:tcPr>
          <w:p w14:paraId="3D7B92CC">
            <w:pPr>
              <w:pStyle w:val="13"/>
            </w:pPr>
            <w:r>
              <w:t>学前专项经费/北楼校区</w:t>
            </w:r>
          </w:p>
        </w:tc>
      </w:tr>
      <w:tr w14:paraId="5D24F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288A8">
            <w:pPr>
              <w:pStyle w:val="11"/>
            </w:pPr>
            <w:r>
              <w:t>预算规模及资金用途</w:t>
            </w:r>
          </w:p>
        </w:tc>
        <w:tc>
          <w:tcPr>
            <w:tcW w:w="2268" w:type="dxa"/>
            <w:vAlign w:val="center"/>
          </w:tcPr>
          <w:p w14:paraId="578AD736">
            <w:pPr>
              <w:pStyle w:val="11"/>
            </w:pPr>
            <w:r>
              <w:t>预算数</w:t>
            </w:r>
          </w:p>
        </w:tc>
        <w:tc>
          <w:tcPr>
            <w:tcW w:w="2835" w:type="dxa"/>
            <w:vAlign w:val="center"/>
          </w:tcPr>
          <w:p w14:paraId="3A62A7E1">
            <w:pPr>
              <w:pStyle w:val="13"/>
            </w:pPr>
            <w:r>
              <w:t>64.07</w:t>
            </w:r>
          </w:p>
        </w:tc>
        <w:tc>
          <w:tcPr>
            <w:tcW w:w="2835" w:type="dxa"/>
            <w:vAlign w:val="center"/>
          </w:tcPr>
          <w:p w14:paraId="0D64BD3F">
            <w:pPr>
              <w:pStyle w:val="11"/>
            </w:pPr>
            <w:r>
              <w:t>其中：财政    资金</w:t>
            </w:r>
          </w:p>
        </w:tc>
        <w:tc>
          <w:tcPr>
            <w:tcW w:w="2551" w:type="dxa"/>
            <w:vAlign w:val="center"/>
          </w:tcPr>
          <w:p w14:paraId="2E75C42F">
            <w:pPr>
              <w:pStyle w:val="13"/>
            </w:pPr>
            <w:r>
              <w:t>64.07</w:t>
            </w:r>
          </w:p>
        </w:tc>
        <w:tc>
          <w:tcPr>
            <w:tcW w:w="2268" w:type="dxa"/>
            <w:vAlign w:val="center"/>
          </w:tcPr>
          <w:p w14:paraId="1DB0396A">
            <w:pPr>
              <w:pStyle w:val="11"/>
            </w:pPr>
            <w:r>
              <w:t>其他资金</w:t>
            </w:r>
          </w:p>
        </w:tc>
        <w:tc>
          <w:tcPr>
            <w:tcW w:w="1276" w:type="dxa"/>
            <w:vAlign w:val="center"/>
          </w:tcPr>
          <w:p w14:paraId="57E150C6">
            <w:pPr>
              <w:pStyle w:val="13"/>
            </w:pPr>
            <w:r>
              <w:t xml:space="preserve"> </w:t>
            </w:r>
          </w:p>
        </w:tc>
      </w:tr>
      <w:tr w14:paraId="3B3CC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DCF76"/>
        </w:tc>
        <w:tc>
          <w:tcPr>
            <w:tcW w:w="14033" w:type="dxa"/>
            <w:gridSpan w:val="6"/>
            <w:vAlign w:val="center"/>
          </w:tcPr>
          <w:p w14:paraId="3B266414">
            <w:pPr>
              <w:pStyle w:val="13"/>
            </w:pPr>
            <w:r>
              <w:t>按要求完成公立幼儿园保育费按月/季度上缴财政。</w:t>
            </w:r>
          </w:p>
        </w:tc>
      </w:tr>
      <w:tr w14:paraId="3AB63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732DF">
            <w:pPr>
              <w:pStyle w:val="11"/>
            </w:pPr>
            <w:r>
              <w:t>资金支出计划（%）</w:t>
            </w:r>
          </w:p>
        </w:tc>
        <w:tc>
          <w:tcPr>
            <w:tcW w:w="5103" w:type="dxa"/>
            <w:gridSpan w:val="2"/>
            <w:vAlign w:val="center"/>
          </w:tcPr>
          <w:p w14:paraId="798A16CD">
            <w:pPr>
              <w:pStyle w:val="11"/>
            </w:pPr>
            <w:r>
              <w:t>3月底</w:t>
            </w:r>
          </w:p>
        </w:tc>
        <w:tc>
          <w:tcPr>
            <w:tcW w:w="2835" w:type="dxa"/>
            <w:vAlign w:val="center"/>
          </w:tcPr>
          <w:p w14:paraId="1C40DEFC">
            <w:pPr>
              <w:pStyle w:val="11"/>
            </w:pPr>
            <w:r>
              <w:t>6月底</w:t>
            </w:r>
          </w:p>
        </w:tc>
        <w:tc>
          <w:tcPr>
            <w:tcW w:w="2551" w:type="dxa"/>
            <w:vAlign w:val="center"/>
          </w:tcPr>
          <w:p w14:paraId="75CF7DA8">
            <w:pPr>
              <w:pStyle w:val="11"/>
            </w:pPr>
            <w:r>
              <w:t>10月底</w:t>
            </w:r>
          </w:p>
        </w:tc>
        <w:tc>
          <w:tcPr>
            <w:tcW w:w="3544" w:type="dxa"/>
            <w:gridSpan w:val="2"/>
            <w:vAlign w:val="center"/>
          </w:tcPr>
          <w:p w14:paraId="389101DA">
            <w:pPr>
              <w:pStyle w:val="11"/>
            </w:pPr>
            <w:r>
              <w:t>12月底</w:t>
            </w:r>
          </w:p>
        </w:tc>
      </w:tr>
      <w:tr w14:paraId="7B22E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4E01AF"/>
        </w:tc>
        <w:tc>
          <w:tcPr>
            <w:tcW w:w="5103" w:type="dxa"/>
            <w:gridSpan w:val="2"/>
            <w:vAlign w:val="center"/>
          </w:tcPr>
          <w:p w14:paraId="69713309">
            <w:pPr>
              <w:pStyle w:val="12"/>
            </w:pPr>
            <w:r>
              <w:t xml:space="preserve"> </w:t>
            </w:r>
          </w:p>
        </w:tc>
        <w:tc>
          <w:tcPr>
            <w:tcW w:w="2835" w:type="dxa"/>
            <w:vAlign w:val="center"/>
          </w:tcPr>
          <w:p w14:paraId="7338CAAA">
            <w:pPr>
              <w:pStyle w:val="12"/>
            </w:pPr>
            <w:r>
              <w:t>50%</w:t>
            </w:r>
          </w:p>
        </w:tc>
        <w:tc>
          <w:tcPr>
            <w:tcW w:w="2551" w:type="dxa"/>
            <w:vAlign w:val="center"/>
          </w:tcPr>
          <w:p w14:paraId="406B3C09">
            <w:pPr>
              <w:pStyle w:val="12"/>
            </w:pPr>
            <w:r>
              <w:t xml:space="preserve"> </w:t>
            </w:r>
          </w:p>
        </w:tc>
        <w:tc>
          <w:tcPr>
            <w:tcW w:w="3544" w:type="dxa"/>
            <w:gridSpan w:val="2"/>
            <w:vAlign w:val="center"/>
          </w:tcPr>
          <w:p w14:paraId="221388BB">
            <w:pPr>
              <w:pStyle w:val="12"/>
            </w:pPr>
            <w:r>
              <w:t>100%</w:t>
            </w:r>
          </w:p>
        </w:tc>
      </w:tr>
      <w:tr w14:paraId="4210F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974048">
            <w:pPr>
              <w:pStyle w:val="11"/>
            </w:pPr>
            <w:r>
              <w:t>绩效目标</w:t>
            </w:r>
          </w:p>
        </w:tc>
        <w:tc>
          <w:tcPr>
            <w:tcW w:w="14033" w:type="dxa"/>
            <w:gridSpan w:val="6"/>
            <w:vAlign w:val="center"/>
          </w:tcPr>
          <w:p w14:paraId="260E46B4">
            <w:pPr>
              <w:pStyle w:val="13"/>
            </w:pPr>
            <w:r>
              <w:t>1.按上缴财政序时进度完成公立幼儿园保育费支出。</w:t>
            </w:r>
            <w:r>
              <w:tab/>
            </w:r>
            <w:r>
              <w:tab/>
            </w:r>
            <w:r>
              <w:tab/>
            </w:r>
            <w:r>
              <w:tab/>
            </w:r>
            <w:r>
              <w:tab/>
            </w:r>
            <w:r>
              <w:tab/>
            </w:r>
          </w:p>
          <w:p w14:paraId="2D4782D6">
            <w:pPr>
              <w:pStyle w:val="13"/>
            </w:pPr>
            <w:r>
              <w:t>2.按预算要求完成2025年度学前教学任务提升及教学质量提高。</w:t>
            </w:r>
            <w:r>
              <w:tab/>
            </w:r>
            <w:r>
              <w:tab/>
            </w:r>
            <w:r>
              <w:tab/>
            </w:r>
            <w:r>
              <w:tab/>
            </w:r>
            <w:r>
              <w:tab/>
            </w:r>
            <w:r>
              <w:tab/>
            </w:r>
          </w:p>
          <w:p w14:paraId="2C5CF294">
            <w:pPr>
              <w:pStyle w:val="13"/>
            </w:pPr>
            <w:r>
              <w:t>3.按要求完成公立幼儿园保育费按月/季度上缴财政。</w:t>
            </w:r>
            <w:r>
              <w:tab/>
            </w:r>
            <w:r>
              <w:tab/>
            </w:r>
            <w:r>
              <w:tab/>
            </w:r>
            <w:r>
              <w:tab/>
            </w:r>
            <w:r>
              <w:tab/>
            </w:r>
            <w:r>
              <w:tab/>
            </w:r>
          </w:p>
        </w:tc>
      </w:tr>
    </w:tbl>
    <w:p w14:paraId="73C54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B1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ADBC0">
            <w:pPr>
              <w:pStyle w:val="11"/>
            </w:pPr>
            <w:r>
              <w:t>一级指标</w:t>
            </w:r>
          </w:p>
        </w:tc>
        <w:tc>
          <w:tcPr>
            <w:tcW w:w="2268" w:type="dxa"/>
            <w:vAlign w:val="center"/>
          </w:tcPr>
          <w:p w14:paraId="0AEAC039">
            <w:pPr>
              <w:pStyle w:val="11"/>
            </w:pPr>
            <w:r>
              <w:t>二级指标</w:t>
            </w:r>
          </w:p>
        </w:tc>
        <w:tc>
          <w:tcPr>
            <w:tcW w:w="2835" w:type="dxa"/>
            <w:vAlign w:val="center"/>
          </w:tcPr>
          <w:p w14:paraId="36A976B1">
            <w:pPr>
              <w:pStyle w:val="11"/>
            </w:pPr>
            <w:r>
              <w:t>三级指标</w:t>
            </w:r>
          </w:p>
        </w:tc>
        <w:tc>
          <w:tcPr>
            <w:tcW w:w="5386" w:type="dxa"/>
            <w:vAlign w:val="center"/>
          </w:tcPr>
          <w:p w14:paraId="0CC2422D">
            <w:pPr>
              <w:pStyle w:val="11"/>
            </w:pPr>
            <w:r>
              <w:t>绩效指标描述</w:t>
            </w:r>
          </w:p>
        </w:tc>
        <w:tc>
          <w:tcPr>
            <w:tcW w:w="2268" w:type="dxa"/>
            <w:vAlign w:val="center"/>
          </w:tcPr>
          <w:p w14:paraId="29043135">
            <w:pPr>
              <w:pStyle w:val="11"/>
            </w:pPr>
            <w:r>
              <w:t>指标值</w:t>
            </w:r>
          </w:p>
        </w:tc>
        <w:tc>
          <w:tcPr>
            <w:tcW w:w="1276" w:type="dxa"/>
            <w:vAlign w:val="center"/>
          </w:tcPr>
          <w:p w14:paraId="31492B51">
            <w:pPr>
              <w:pStyle w:val="11"/>
            </w:pPr>
            <w:r>
              <w:t>指标值确定依据</w:t>
            </w:r>
          </w:p>
        </w:tc>
      </w:tr>
      <w:tr w14:paraId="1DA24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0864B">
            <w:pPr>
              <w:pStyle w:val="12"/>
            </w:pPr>
            <w:r>
              <w:t>产出指标</w:t>
            </w:r>
          </w:p>
        </w:tc>
        <w:tc>
          <w:tcPr>
            <w:tcW w:w="2268" w:type="dxa"/>
            <w:vAlign w:val="center"/>
          </w:tcPr>
          <w:p w14:paraId="7ECC4017">
            <w:pPr>
              <w:pStyle w:val="13"/>
            </w:pPr>
            <w:r>
              <w:t>数量指标</w:t>
            </w:r>
          </w:p>
        </w:tc>
        <w:tc>
          <w:tcPr>
            <w:tcW w:w="2835" w:type="dxa"/>
            <w:vAlign w:val="center"/>
          </w:tcPr>
          <w:p w14:paraId="4C889A36">
            <w:pPr>
              <w:pStyle w:val="13"/>
            </w:pPr>
            <w:r>
              <w:t>适龄在园生</w:t>
            </w:r>
          </w:p>
        </w:tc>
        <w:tc>
          <w:tcPr>
            <w:tcW w:w="5386" w:type="dxa"/>
            <w:vAlign w:val="center"/>
          </w:tcPr>
          <w:p w14:paraId="126D45CB">
            <w:pPr>
              <w:pStyle w:val="13"/>
            </w:pPr>
            <w:r>
              <w:t>适龄在园学生人数</w:t>
            </w:r>
          </w:p>
        </w:tc>
        <w:tc>
          <w:tcPr>
            <w:tcW w:w="2268" w:type="dxa"/>
            <w:vAlign w:val="center"/>
          </w:tcPr>
          <w:p w14:paraId="47EA26D4">
            <w:pPr>
              <w:pStyle w:val="13"/>
            </w:pPr>
            <w:r>
              <w:t>423 人</w:t>
            </w:r>
          </w:p>
        </w:tc>
        <w:tc>
          <w:tcPr>
            <w:tcW w:w="1276" w:type="dxa"/>
            <w:vAlign w:val="center"/>
          </w:tcPr>
          <w:p w14:paraId="7D88AC99">
            <w:pPr>
              <w:pStyle w:val="13"/>
            </w:pPr>
            <w:r>
              <w:t>年度工作计划</w:t>
            </w:r>
          </w:p>
        </w:tc>
      </w:tr>
      <w:tr w14:paraId="3118D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243D1"/>
        </w:tc>
        <w:tc>
          <w:tcPr>
            <w:tcW w:w="2268" w:type="dxa"/>
            <w:vAlign w:val="center"/>
          </w:tcPr>
          <w:p w14:paraId="4D6EB4DA">
            <w:pPr>
              <w:pStyle w:val="13"/>
            </w:pPr>
            <w:r>
              <w:t>质量指标</w:t>
            </w:r>
          </w:p>
        </w:tc>
        <w:tc>
          <w:tcPr>
            <w:tcW w:w="2835" w:type="dxa"/>
            <w:vAlign w:val="center"/>
          </w:tcPr>
          <w:p w14:paraId="7120F77F">
            <w:pPr>
              <w:pStyle w:val="13"/>
            </w:pPr>
            <w:r>
              <w:t>按月上缴财政完成率</w:t>
            </w:r>
          </w:p>
        </w:tc>
        <w:tc>
          <w:tcPr>
            <w:tcW w:w="5386" w:type="dxa"/>
            <w:vAlign w:val="center"/>
          </w:tcPr>
          <w:p w14:paraId="27A34E2F">
            <w:pPr>
              <w:pStyle w:val="13"/>
            </w:pPr>
            <w:r>
              <w:t>按月完成公立幼儿园保育费上缴财政</w:t>
            </w:r>
          </w:p>
        </w:tc>
        <w:tc>
          <w:tcPr>
            <w:tcW w:w="2268" w:type="dxa"/>
            <w:vAlign w:val="center"/>
          </w:tcPr>
          <w:p w14:paraId="27D2F67A">
            <w:pPr>
              <w:pStyle w:val="13"/>
            </w:pPr>
            <w:r>
              <w:t>≥100%</w:t>
            </w:r>
          </w:p>
        </w:tc>
        <w:tc>
          <w:tcPr>
            <w:tcW w:w="1276" w:type="dxa"/>
            <w:vAlign w:val="center"/>
          </w:tcPr>
          <w:p w14:paraId="7ADAC967">
            <w:pPr>
              <w:pStyle w:val="13"/>
            </w:pPr>
            <w:r>
              <w:t>年度工作计划</w:t>
            </w:r>
          </w:p>
        </w:tc>
      </w:tr>
      <w:tr w14:paraId="3B013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FDBC5"/>
        </w:tc>
        <w:tc>
          <w:tcPr>
            <w:tcW w:w="2268" w:type="dxa"/>
            <w:vAlign w:val="center"/>
          </w:tcPr>
          <w:p w14:paraId="25FCB0CB">
            <w:pPr>
              <w:pStyle w:val="13"/>
            </w:pPr>
            <w:r>
              <w:t>时效指标</w:t>
            </w:r>
          </w:p>
        </w:tc>
        <w:tc>
          <w:tcPr>
            <w:tcW w:w="2835" w:type="dxa"/>
            <w:vAlign w:val="center"/>
          </w:tcPr>
          <w:p w14:paraId="468F9887">
            <w:pPr>
              <w:pStyle w:val="13"/>
            </w:pPr>
            <w:r>
              <w:t>资金支付率</w:t>
            </w:r>
          </w:p>
        </w:tc>
        <w:tc>
          <w:tcPr>
            <w:tcW w:w="5386" w:type="dxa"/>
            <w:vAlign w:val="center"/>
          </w:tcPr>
          <w:p w14:paraId="1D0E2553">
            <w:pPr>
              <w:pStyle w:val="13"/>
            </w:pPr>
            <w:r>
              <w:t>按照上缴财政进度完成公立幼儿园保育费支付</w:t>
            </w:r>
          </w:p>
        </w:tc>
        <w:tc>
          <w:tcPr>
            <w:tcW w:w="2268" w:type="dxa"/>
            <w:vAlign w:val="center"/>
          </w:tcPr>
          <w:p w14:paraId="0EAA4B47">
            <w:pPr>
              <w:pStyle w:val="13"/>
            </w:pPr>
            <w:r>
              <w:t>≥100%</w:t>
            </w:r>
          </w:p>
        </w:tc>
        <w:tc>
          <w:tcPr>
            <w:tcW w:w="1276" w:type="dxa"/>
            <w:vAlign w:val="center"/>
          </w:tcPr>
          <w:p w14:paraId="0173F943">
            <w:pPr>
              <w:pStyle w:val="13"/>
            </w:pPr>
            <w:r>
              <w:t>年度工作计划</w:t>
            </w:r>
          </w:p>
        </w:tc>
      </w:tr>
      <w:tr w14:paraId="299B2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4D6EE"/>
        </w:tc>
        <w:tc>
          <w:tcPr>
            <w:tcW w:w="2268" w:type="dxa"/>
            <w:vAlign w:val="center"/>
          </w:tcPr>
          <w:p w14:paraId="229509CB">
            <w:pPr>
              <w:pStyle w:val="13"/>
            </w:pPr>
            <w:r>
              <w:t>成本指标</w:t>
            </w:r>
          </w:p>
        </w:tc>
        <w:tc>
          <w:tcPr>
            <w:tcW w:w="2835" w:type="dxa"/>
            <w:vAlign w:val="center"/>
          </w:tcPr>
          <w:p w14:paraId="63F41758">
            <w:pPr>
              <w:pStyle w:val="13"/>
            </w:pPr>
            <w:r>
              <w:t>公办幼儿园保育费收费标准</w:t>
            </w:r>
          </w:p>
        </w:tc>
        <w:tc>
          <w:tcPr>
            <w:tcW w:w="5386" w:type="dxa"/>
            <w:vAlign w:val="center"/>
          </w:tcPr>
          <w:p w14:paraId="0DE5EBCD">
            <w:pPr>
              <w:pStyle w:val="13"/>
            </w:pPr>
            <w:r>
              <w:t>农村三类园100元/月/生</w:t>
            </w:r>
          </w:p>
        </w:tc>
        <w:tc>
          <w:tcPr>
            <w:tcW w:w="2268" w:type="dxa"/>
            <w:vAlign w:val="center"/>
          </w:tcPr>
          <w:p w14:paraId="0F1880A0">
            <w:pPr>
              <w:pStyle w:val="13"/>
            </w:pPr>
            <w:r>
              <w:t>100元</w:t>
            </w:r>
          </w:p>
        </w:tc>
        <w:tc>
          <w:tcPr>
            <w:tcW w:w="1276" w:type="dxa"/>
            <w:vAlign w:val="center"/>
          </w:tcPr>
          <w:p w14:paraId="54BCD25A">
            <w:pPr>
              <w:pStyle w:val="13"/>
            </w:pPr>
            <w:r>
              <w:t>年度工作计划</w:t>
            </w:r>
          </w:p>
        </w:tc>
      </w:tr>
      <w:tr w14:paraId="2035A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C5617"/>
        </w:tc>
        <w:tc>
          <w:tcPr>
            <w:tcW w:w="2268" w:type="dxa"/>
            <w:vAlign w:val="center"/>
          </w:tcPr>
          <w:p w14:paraId="4A6F3CA8">
            <w:pPr>
              <w:pStyle w:val="13"/>
            </w:pPr>
            <w:r>
              <w:t>成本指标</w:t>
            </w:r>
          </w:p>
        </w:tc>
        <w:tc>
          <w:tcPr>
            <w:tcW w:w="2835" w:type="dxa"/>
            <w:vAlign w:val="center"/>
          </w:tcPr>
          <w:p w14:paraId="24E6D2C8">
            <w:pPr>
              <w:pStyle w:val="13"/>
            </w:pPr>
            <w:r>
              <w:t>公办幼儿园保育费收费标准</w:t>
            </w:r>
          </w:p>
        </w:tc>
        <w:tc>
          <w:tcPr>
            <w:tcW w:w="5386" w:type="dxa"/>
            <w:vAlign w:val="center"/>
          </w:tcPr>
          <w:p w14:paraId="221E498E">
            <w:pPr>
              <w:pStyle w:val="13"/>
            </w:pPr>
            <w:r>
              <w:t>农村一类园150元/月/生</w:t>
            </w:r>
          </w:p>
        </w:tc>
        <w:tc>
          <w:tcPr>
            <w:tcW w:w="2268" w:type="dxa"/>
            <w:vAlign w:val="center"/>
          </w:tcPr>
          <w:p w14:paraId="5DB3569A">
            <w:pPr>
              <w:pStyle w:val="13"/>
            </w:pPr>
            <w:r>
              <w:t>150元</w:t>
            </w:r>
          </w:p>
        </w:tc>
        <w:tc>
          <w:tcPr>
            <w:tcW w:w="1276" w:type="dxa"/>
            <w:vAlign w:val="center"/>
          </w:tcPr>
          <w:p w14:paraId="4E1A9575">
            <w:pPr>
              <w:pStyle w:val="13"/>
            </w:pPr>
            <w:r>
              <w:t>年度工作计划</w:t>
            </w:r>
          </w:p>
        </w:tc>
      </w:tr>
      <w:tr w14:paraId="378C1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048A2"/>
        </w:tc>
        <w:tc>
          <w:tcPr>
            <w:tcW w:w="2268" w:type="dxa"/>
            <w:vAlign w:val="center"/>
          </w:tcPr>
          <w:p w14:paraId="078C4631">
            <w:pPr>
              <w:pStyle w:val="13"/>
            </w:pPr>
            <w:r>
              <w:t>成本指标</w:t>
            </w:r>
          </w:p>
        </w:tc>
        <w:tc>
          <w:tcPr>
            <w:tcW w:w="2835" w:type="dxa"/>
            <w:vAlign w:val="center"/>
          </w:tcPr>
          <w:p w14:paraId="7637E111">
            <w:pPr>
              <w:pStyle w:val="13"/>
            </w:pPr>
            <w:r>
              <w:t>公办幼儿园保育费收费标准</w:t>
            </w:r>
          </w:p>
        </w:tc>
        <w:tc>
          <w:tcPr>
            <w:tcW w:w="5386" w:type="dxa"/>
            <w:vAlign w:val="center"/>
          </w:tcPr>
          <w:p w14:paraId="25BFA36D">
            <w:pPr>
              <w:pStyle w:val="13"/>
            </w:pPr>
            <w:r>
              <w:t>农村示范园170元/月/生</w:t>
            </w:r>
          </w:p>
        </w:tc>
        <w:tc>
          <w:tcPr>
            <w:tcW w:w="2268" w:type="dxa"/>
            <w:vAlign w:val="center"/>
          </w:tcPr>
          <w:p w14:paraId="2BC11EDC">
            <w:pPr>
              <w:pStyle w:val="13"/>
            </w:pPr>
            <w:r>
              <w:t>170元</w:t>
            </w:r>
          </w:p>
        </w:tc>
        <w:tc>
          <w:tcPr>
            <w:tcW w:w="1276" w:type="dxa"/>
            <w:vAlign w:val="center"/>
          </w:tcPr>
          <w:p w14:paraId="4E3C2FB3">
            <w:pPr>
              <w:pStyle w:val="13"/>
            </w:pPr>
            <w:r>
              <w:t>年度工作计划</w:t>
            </w:r>
          </w:p>
        </w:tc>
      </w:tr>
      <w:tr w14:paraId="27230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A69DA0">
            <w:pPr>
              <w:pStyle w:val="12"/>
            </w:pPr>
            <w:r>
              <w:t>效益指标</w:t>
            </w:r>
          </w:p>
        </w:tc>
        <w:tc>
          <w:tcPr>
            <w:tcW w:w="2268" w:type="dxa"/>
            <w:vAlign w:val="center"/>
          </w:tcPr>
          <w:p w14:paraId="1479AC89">
            <w:pPr>
              <w:pStyle w:val="13"/>
            </w:pPr>
            <w:r>
              <w:t>可持续影响指标</w:t>
            </w:r>
          </w:p>
        </w:tc>
        <w:tc>
          <w:tcPr>
            <w:tcW w:w="2835" w:type="dxa"/>
            <w:vAlign w:val="center"/>
          </w:tcPr>
          <w:p w14:paraId="1E5B6C95">
            <w:pPr>
              <w:pStyle w:val="13"/>
            </w:pPr>
            <w:r>
              <w:t>学校运转得到提高</w:t>
            </w:r>
          </w:p>
        </w:tc>
        <w:tc>
          <w:tcPr>
            <w:tcW w:w="5386" w:type="dxa"/>
            <w:vAlign w:val="center"/>
          </w:tcPr>
          <w:p w14:paraId="69BE4BFB">
            <w:pPr>
              <w:pStyle w:val="13"/>
            </w:pPr>
            <w:r>
              <w:t>幼儿受教育年限</w:t>
            </w:r>
          </w:p>
        </w:tc>
        <w:tc>
          <w:tcPr>
            <w:tcW w:w="2268" w:type="dxa"/>
            <w:vAlign w:val="center"/>
          </w:tcPr>
          <w:p w14:paraId="368CF1F8">
            <w:pPr>
              <w:pStyle w:val="13"/>
            </w:pPr>
            <w:r>
              <w:t>3年</w:t>
            </w:r>
          </w:p>
        </w:tc>
        <w:tc>
          <w:tcPr>
            <w:tcW w:w="1276" w:type="dxa"/>
            <w:vAlign w:val="center"/>
          </w:tcPr>
          <w:p w14:paraId="2943A118">
            <w:pPr>
              <w:pStyle w:val="13"/>
            </w:pPr>
            <w:r>
              <w:t>年度工作计划</w:t>
            </w:r>
          </w:p>
        </w:tc>
      </w:tr>
      <w:tr w14:paraId="42F3E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F70B85">
            <w:pPr>
              <w:pStyle w:val="12"/>
            </w:pPr>
            <w:r>
              <w:t>满意度指标</w:t>
            </w:r>
          </w:p>
        </w:tc>
        <w:tc>
          <w:tcPr>
            <w:tcW w:w="2268" w:type="dxa"/>
            <w:vAlign w:val="center"/>
          </w:tcPr>
          <w:p w14:paraId="2D2FF85C">
            <w:pPr>
              <w:pStyle w:val="13"/>
            </w:pPr>
            <w:r>
              <w:t>服务对象满意度指标</w:t>
            </w:r>
          </w:p>
        </w:tc>
        <w:tc>
          <w:tcPr>
            <w:tcW w:w="2835" w:type="dxa"/>
            <w:vAlign w:val="center"/>
          </w:tcPr>
          <w:p w14:paraId="1DFDA6B3">
            <w:pPr>
              <w:pStyle w:val="13"/>
            </w:pPr>
            <w:r>
              <w:t>受益学生家长及调查满意度</w:t>
            </w:r>
          </w:p>
        </w:tc>
        <w:tc>
          <w:tcPr>
            <w:tcW w:w="5386" w:type="dxa"/>
            <w:vAlign w:val="center"/>
          </w:tcPr>
          <w:p w14:paraId="2A6F9AA7">
            <w:pPr>
              <w:pStyle w:val="13"/>
            </w:pPr>
            <w:r>
              <w:t>幼儿、教师及家长对学校保教保育工作满意度情况</w:t>
            </w:r>
          </w:p>
        </w:tc>
        <w:tc>
          <w:tcPr>
            <w:tcW w:w="2268" w:type="dxa"/>
            <w:vAlign w:val="center"/>
          </w:tcPr>
          <w:p w14:paraId="6D7869C9">
            <w:pPr>
              <w:pStyle w:val="13"/>
            </w:pPr>
            <w:r>
              <w:t>≥95%</w:t>
            </w:r>
          </w:p>
        </w:tc>
        <w:tc>
          <w:tcPr>
            <w:tcW w:w="1276" w:type="dxa"/>
            <w:vAlign w:val="center"/>
          </w:tcPr>
          <w:p w14:paraId="48F01503">
            <w:pPr>
              <w:pStyle w:val="13"/>
            </w:pPr>
            <w:r>
              <w:t>年度工作计划</w:t>
            </w:r>
          </w:p>
        </w:tc>
      </w:tr>
    </w:tbl>
    <w:p w14:paraId="2109F08F">
      <w:pPr>
        <w:sectPr>
          <w:pgSz w:w="16840" w:h="11900" w:orient="landscape"/>
          <w:pgMar w:top="1361" w:right="1020" w:bottom="1134" w:left="1020" w:header="720" w:footer="720" w:gutter="0"/>
          <w:cols w:space="720" w:num="1"/>
        </w:sectPr>
      </w:pPr>
    </w:p>
    <w:p w14:paraId="46AD931F">
      <w:pPr>
        <w:spacing w:before="10" w:after="10" w:line="240" w:lineRule="auto"/>
        <w:ind w:firstLine="640"/>
        <w:jc w:val="left"/>
        <w:outlineLvl w:val="5"/>
      </w:pPr>
      <w:r>
        <w:rPr>
          <w:rFonts w:ascii="黑体" w:hAnsi="黑体" w:eastAsia="黑体" w:cs="黑体"/>
          <w:color w:val="000000"/>
          <w:sz w:val="32"/>
        </w:rPr>
        <w:t>六、政府采购预算情况</w:t>
      </w:r>
    </w:p>
    <w:p w14:paraId="796839C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2A6A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E2B679D">
            <w:pPr>
              <w:pStyle w:val="8"/>
            </w:pPr>
            <w:r>
              <w:t>360018隆尧县北楼校区</w:t>
            </w:r>
          </w:p>
        </w:tc>
        <w:tc>
          <w:tcPr>
            <w:tcW w:w="7712" w:type="dxa"/>
            <w:gridSpan w:val="8"/>
            <w:tcBorders>
              <w:top w:val="single" w:color="FFFFFF" w:sz="6" w:space="0"/>
              <w:left w:val="single" w:color="FFFFFF" w:sz="6" w:space="0"/>
              <w:right w:val="single" w:color="FFFFFF" w:sz="6" w:space="0"/>
            </w:tcBorders>
            <w:vAlign w:val="center"/>
          </w:tcPr>
          <w:p w14:paraId="211AC3A3">
            <w:pPr>
              <w:pStyle w:val="22"/>
            </w:pPr>
            <w:r>
              <w:t>单位：万元</w:t>
            </w:r>
          </w:p>
        </w:tc>
      </w:tr>
      <w:tr w14:paraId="51829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D08FDF9">
            <w:pPr>
              <w:pStyle w:val="11"/>
            </w:pPr>
            <w:r>
              <w:t>政府采购项目来源</w:t>
            </w:r>
          </w:p>
        </w:tc>
        <w:tc>
          <w:tcPr>
            <w:tcW w:w="1134" w:type="dxa"/>
            <w:vMerge w:val="restart"/>
            <w:vAlign w:val="center"/>
          </w:tcPr>
          <w:p w14:paraId="5DEEE432">
            <w:pPr>
              <w:pStyle w:val="11"/>
            </w:pPr>
            <w:r>
              <w:t>采购物品名称</w:t>
            </w:r>
          </w:p>
        </w:tc>
        <w:tc>
          <w:tcPr>
            <w:tcW w:w="1134" w:type="dxa"/>
            <w:vMerge w:val="restart"/>
            <w:vAlign w:val="center"/>
          </w:tcPr>
          <w:p w14:paraId="58F6B62A">
            <w:pPr>
              <w:pStyle w:val="11"/>
            </w:pPr>
            <w:r>
              <w:t>政府采购目录序号</w:t>
            </w:r>
          </w:p>
        </w:tc>
        <w:tc>
          <w:tcPr>
            <w:tcW w:w="709" w:type="dxa"/>
            <w:vMerge w:val="restart"/>
            <w:vAlign w:val="center"/>
          </w:tcPr>
          <w:p w14:paraId="1DBE7CD6">
            <w:pPr>
              <w:pStyle w:val="11"/>
            </w:pPr>
            <w:r>
              <w:t>计量  单位</w:t>
            </w:r>
          </w:p>
        </w:tc>
        <w:tc>
          <w:tcPr>
            <w:tcW w:w="850" w:type="dxa"/>
            <w:vMerge w:val="restart"/>
            <w:vAlign w:val="center"/>
          </w:tcPr>
          <w:p w14:paraId="4EFB8851">
            <w:pPr>
              <w:pStyle w:val="11"/>
            </w:pPr>
            <w:r>
              <w:t>数量</w:t>
            </w:r>
          </w:p>
        </w:tc>
        <w:tc>
          <w:tcPr>
            <w:tcW w:w="850" w:type="dxa"/>
            <w:vMerge w:val="restart"/>
            <w:vAlign w:val="center"/>
          </w:tcPr>
          <w:p w14:paraId="506EFE61">
            <w:pPr>
              <w:pStyle w:val="11"/>
            </w:pPr>
            <w:r>
              <w:t>单价</w:t>
            </w:r>
          </w:p>
        </w:tc>
        <w:tc>
          <w:tcPr>
            <w:tcW w:w="6748" w:type="dxa"/>
            <w:gridSpan w:val="7"/>
            <w:vAlign w:val="center"/>
          </w:tcPr>
          <w:p w14:paraId="7175E721">
            <w:pPr>
              <w:pStyle w:val="11"/>
            </w:pPr>
            <w:r>
              <w:t>政府采购金额（当年部门预算安排资金）</w:t>
            </w:r>
          </w:p>
        </w:tc>
        <w:tc>
          <w:tcPr>
            <w:tcW w:w="964" w:type="dxa"/>
            <w:vMerge w:val="restart"/>
            <w:vAlign w:val="center"/>
          </w:tcPr>
          <w:p w14:paraId="36ECCAEE">
            <w:pPr>
              <w:pStyle w:val="11"/>
            </w:pPr>
            <w:r>
              <w:t>2025年  预留中  小微企  业份额</w:t>
            </w:r>
          </w:p>
        </w:tc>
      </w:tr>
      <w:tr w14:paraId="0EEDF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43D7C65">
            <w:pPr>
              <w:pStyle w:val="11"/>
            </w:pPr>
            <w:r>
              <w:t>项目名称</w:t>
            </w:r>
          </w:p>
        </w:tc>
        <w:tc>
          <w:tcPr>
            <w:tcW w:w="964" w:type="dxa"/>
            <w:vAlign w:val="center"/>
          </w:tcPr>
          <w:p w14:paraId="680EC393">
            <w:pPr>
              <w:pStyle w:val="11"/>
            </w:pPr>
            <w:r>
              <w:t>预算    资金</w:t>
            </w:r>
          </w:p>
        </w:tc>
        <w:tc>
          <w:tcPr>
            <w:tcW w:w="1134" w:type="dxa"/>
            <w:vMerge w:val="continue"/>
          </w:tcPr>
          <w:p w14:paraId="11AF52A0"/>
        </w:tc>
        <w:tc>
          <w:tcPr>
            <w:tcW w:w="1134" w:type="dxa"/>
            <w:vMerge w:val="continue"/>
          </w:tcPr>
          <w:p w14:paraId="38F1A14B"/>
        </w:tc>
        <w:tc>
          <w:tcPr>
            <w:tcW w:w="709" w:type="dxa"/>
            <w:vMerge w:val="continue"/>
          </w:tcPr>
          <w:p w14:paraId="29F5114F"/>
        </w:tc>
        <w:tc>
          <w:tcPr>
            <w:tcW w:w="850" w:type="dxa"/>
            <w:vMerge w:val="continue"/>
          </w:tcPr>
          <w:p w14:paraId="41C1B40D"/>
        </w:tc>
        <w:tc>
          <w:tcPr>
            <w:tcW w:w="850" w:type="dxa"/>
            <w:vMerge w:val="continue"/>
          </w:tcPr>
          <w:p w14:paraId="62356A46"/>
        </w:tc>
        <w:tc>
          <w:tcPr>
            <w:tcW w:w="964" w:type="dxa"/>
            <w:vAlign w:val="center"/>
          </w:tcPr>
          <w:p w14:paraId="5DB7578F">
            <w:pPr>
              <w:pStyle w:val="11"/>
            </w:pPr>
            <w:r>
              <w:t>合计</w:t>
            </w:r>
          </w:p>
        </w:tc>
        <w:tc>
          <w:tcPr>
            <w:tcW w:w="964" w:type="dxa"/>
            <w:vAlign w:val="center"/>
          </w:tcPr>
          <w:p w14:paraId="3B1A8791">
            <w:pPr>
              <w:pStyle w:val="11"/>
            </w:pPr>
            <w:r>
              <w:t>一般公共预算拨款</w:t>
            </w:r>
          </w:p>
        </w:tc>
        <w:tc>
          <w:tcPr>
            <w:tcW w:w="964" w:type="dxa"/>
            <w:vAlign w:val="center"/>
          </w:tcPr>
          <w:p w14:paraId="0452CD3F">
            <w:pPr>
              <w:pStyle w:val="11"/>
            </w:pPr>
            <w:r>
              <w:t>基金预算拨款</w:t>
            </w:r>
          </w:p>
        </w:tc>
        <w:tc>
          <w:tcPr>
            <w:tcW w:w="964" w:type="dxa"/>
            <w:vAlign w:val="center"/>
          </w:tcPr>
          <w:p w14:paraId="2F6C9D23">
            <w:pPr>
              <w:pStyle w:val="11"/>
            </w:pPr>
            <w:r>
              <w:t>国有资本经营预算拨款</w:t>
            </w:r>
          </w:p>
        </w:tc>
        <w:tc>
          <w:tcPr>
            <w:tcW w:w="964" w:type="dxa"/>
            <w:vAlign w:val="center"/>
          </w:tcPr>
          <w:p w14:paraId="051624EF">
            <w:pPr>
              <w:pStyle w:val="11"/>
            </w:pPr>
            <w:r>
              <w:t>财政专户核拨</w:t>
            </w:r>
          </w:p>
        </w:tc>
        <w:tc>
          <w:tcPr>
            <w:tcW w:w="964" w:type="dxa"/>
            <w:vAlign w:val="center"/>
          </w:tcPr>
          <w:p w14:paraId="0B1F3C90">
            <w:pPr>
              <w:pStyle w:val="11"/>
            </w:pPr>
            <w:r>
              <w:t>单位    资金</w:t>
            </w:r>
          </w:p>
        </w:tc>
        <w:tc>
          <w:tcPr>
            <w:tcW w:w="964" w:type="dxa"/>
            <w:vAlign w:val="center"/>
          </w:tcPr>
          <w:p w14:paraId="66C18A54">
            <w:pPr>
              <w:pStyle w:val="11"/>
            </w:pPr>
            <w:r>
              <w:t>上年结转结余</w:t>
            </w:r>
          </w:p>
        </w:tc>
        <w:tc>
          <w:tcPr>
            <w:tcW w:w="964" w:type="dxa"/>
            <w:vMerge w:val="continue"/>
          </w:tcPr>
          <w:p w14:paraId="1B78B269"/>
        </w:tc>
      </w:tr>
      <w:tr w14:paraId="416CC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59CBC5">
            <w:pPr>
              <w:pStyle w:val="15"/>
            </w:pPr>
            <w:r>
              <w:t>合  计</w:t>
            </w:r>
          </w:p>
        </w:tc>
        <w:tc>
          <w:tcPr>
            <w:tcW w:w="964" w:type="dxa"/>
            <w:vAlign w:val="center"/>
          </w:tcPr>
          <w:p w14:paraId="4ACDDA37">
            <w:pPr>
              <w:pStyle w:val="16"/>
            </w:pPr>
          </w:p>
        </w:tc>
        <w:tc>
          <w:tcPr>
            <w:tcW w:w="1134" w:type="dxa"/>
            <w:vAlign w:val="center"/>
          </w:tcPr>
          <w:p w14:paraId="6C999FF2">
            <w:pPr>
              <w:pStyle w:val="17"/>
            </w:pPr>
          </w:p>
        </w:tc>
        <w:tc>
          <w:tcPr>
            <w:tcW w:w="1134" w:type="dxa"/>
            <w:vAlign w:val="center"/>
          </w:tcPr>
          <w:p w14:paraId="2F42B259">
            <w:pPr>
              <w:pStyle w:val="17"/>
            </w:pPr>
          </w:p>
        </w:tc>
        <w:tc>
          <w:tcPr>
            <w:tcW w:w="709" w:type="dxa"/>
            <w:vAlign w:val="center"/>
          </w:tcPr>
          <w:p w14:paraId="468E4354">
            <w:pPr>
              <w:pStyle w:val="15"/>
            </w:pPr>
          </w:p>
        </w:tc>
        <w:tc>
          <w:tcPr>
            <w:tcW w:w="850" w:type="dxa"/>
            <w:vAlign w:val="center"/>
          </w:tcPr>
          <w:p w14:paraId="5DBD4519">
            <w:pPr>
              <w:pStyle w:val="16"/>
            </w:pPr>
          </w:p>
        </w:tc>
        <w:tc>
          <w:tcPr>
            <w:tcW w:w="850" w:type="dxa"/>
            <w:vAlign w:val="center"/>
          </w:tcPr>
          <w:p w14:paraId="17D13103">
            <w:pPr>
              <w:pStyle w:val="16"/>
            </w:pPr>
          </w:p>
        </w:tc>
        <w:tc>
          <w:tcPr>
            <w:tcW w:w="964" w:type="dxa"/>
            <w:vAlign w:val="center"/>
          </w:tcPr>
          <w:p w14:paraId="14AD3448">
            <w:pPr>
              <w:pStyle w:val="16"/>
            </w:pPr>
            <w:r>
              <w:t>10.58</w:t>
            </w:r>
          </w:p>
        </w:tc>
        <w:tc>
          <w:tcPr>
            <w:tcW w:w="964" w:type="dxa"/>
            <w:vAlign w:val="center"/>
          </w:tcPr>
          <w:p w14:paraId="1F6C78B1">
            <w:pPr>
              <w:pStyle w:val="16"/>
            </w:pPr>
            <w:r>
              <w:t>10.58</w:t>
            </w:r>
          </w:p>
        </w:tc>
        <w:tc>
          <w:tcPr>
            <w:tcW w:w="964" w:type="dxa"/>
            <w:vAlign w:val="center"/>
          </w:tcPr>
          <w:p w14:paraId="2E4B7A0B">
            <w:pPr>
              <w:pStyle w:val="16"/>
            </w:pPr>
          </w:p>
        </w:tc>
        <w:tc>
          <w:tcPr>
            <w:tcW w:w="964" w:type="dxa"/>
            <w:vAlign w:val="center"/>
          </w:tcPr>
          <w:p w14:paraId="6B881A82">
            <w:pPr>
              <w:pStyle w:val="16"/>
            </w:pPr>
          </w:p>
        </w:tc>
        <w:tc>
          <w:tcPr>
            <w:tcW w:w="964" w:type="dxa"/>
            <w:vAlign w:val="center"/>
          </w:tcPr>
          <w:p w14:paraId="2F55EB12">
            <w:pPr>
              <w:pStyle w:val="16"/>
            </w:pPr>
          </w:p>
        </w:tc>
        <w:tc>
          <w:tcPr>
            <w:tcW w:w="964" w:type="dxa"/>
            <w:vAlign w:val="center"/>
          </w:tcPr>
          <w:p w14:paraId="77983ED1">
            <w:pPr>
              <w:pStyle w:val="16"/>
            </w:pPr>
          </w:p>
        </w:tc>
        <w:tc>
          <w:tcPr>
            <w:tcW w:w="964" w:type="dxa"/>
            <w:vAlign w:val="center"/>
          </w:tcPr>
          <w:p w14:paraId="12C1A302">
            <w:pPr>
              <w:pStyle w:val="16"/>
            </w:pPr>
          </w:p>
        </w:tc>
        <w:tc>
          <w:tcPr>
            <w:tcW w:w="964" w:type="dxa"/>
            <w:vAlign w:val="center"/>
          </w:tcPr>
          <w:p w14:paraId="5DCC7304">
            <w:pPr>
              <w:pStyle w:val="16"/>
            </w:pPr>
            <w:r>
              <w:t>10.58</w:t>
            </w:r>
          </w:p>
        </w:tc>
      </w:tr>
      <w:tr w14:paraId="19216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A532B6">
            <w:pPr>
              <w:pStyle w:val="15"/>
            </w:pPr>
            <w:r>
              <w:t>隆尧县北楼校区小计</w:t>
            </w:r>
          </w:p>
        </w:tc>
        <w:tc>
          <w:tcPr>
            <w:tcW w:w="964" w:type="dxa"/>
            <w:vAlign w:val="center"/>
          </w:tcPr>
          <w:p w14:paraId="6E484C7B">
            <w:pPr>
              <w:pStyle w:val="16"/>
            </w:pPr>
          </w:p>
        </w:tc>
        <w:tc>
          <w:tcPr>
            <w:tcW w:w="1134" w:type="dxa"/>
            <w:vAlign w:val="center"/>
          </w:tcPr>
          <w:p w14:paraId="73140D28">
            <w:pPr>
              <w:pStyle w:val="17"/>
            </w:pPr>
          </w:p>
        </w:tc>
        <w:tc>
          <w:tcPr>
            <w:tcW w:w="1134" w:type="dxa"/>
            <w:vAlign w:val="center"/>
          </w:tcPr>
          <w:p w14:paraId="09715922">
            <w:pPr>
              <w:pStyle w:val="17"/>
            </w:pPr>
          </w:p>
        </w:tc>
        <w:tc>
          <w:tcPr>
            <w:tcW w:w="709" w:type="dxa"/>
            <w:vAlign w:val="center"/>
          </w:tcPr>
          <w:p w14:paraId="320C7CB9">
            <w:pPr>
              <w:pStyle w:val="15"/>
            </w:pPr>
          </w:p>
        </w:tc>
        <w:tc>
          <w:tcPr>
            <w:tcW w:w="850" w:type="dxa"/>
            <w:vAlign w:val="center"/>
          </w:tcPr>
          <w:p w14:paraId="7A89EC1F">
            <w:pPr>
              <w:pStyle w:val="16"/>
            </w:pPr>
          </w:p>
        </w:tc>
        <w:tc>
          <w:tcPr>
            <w:tcW w:w="850" w:type="dxa"/>
            <w:vAlign w:val="center"/>
          </w:tcPr>
          <w:p w14:paraId="4DFA06AF">
            <w:pPr>
              <w:pStyle w:val="16"/>
            </w:pPr>
          </w:p>
        </w:tc>
        <w:tc>
          <w:tcPr>
            <w:tcW w:w="964" w:type="dxa"/>
            <w:vAlign w:val="center"/>
          </w:tcPr>
          <w:p w14:paraId="6D688FF4">
            <w:pPr>
              <w:pStyle w:val="16"/>
            </w:pPr>
            <w:r>
              <w:t>10.58</w:t>
            </w:r>
          </w:p>
        </w:tc>
        <w:tc>
          <w:tcPr>
            <w:tcW w:w="964" w:type="dxa"/>
            <w:vAlign w:val="center"/>
          </w:tcPr>
          <w:p w14:paraId="781BF46A">
            <w:pPr>
              <w:pStyle w:val="16"/>
            </w:pPr>
            <w:r>
              <w:t>10.58</w:t>
            </w:r>
          </w:p>
        </w:tc>
        <w:tc>
          <w:tcPr>
            <w:tcW w:w="964" w:type="dxa"/>
            <w:vAlign w:val="center"/>
          </w:tcPr>
          <w:p w14:paraId="0321067E">
            <w:pPr>
              <w:pStyle w:val="16"/>
            </w:pPr>
          </w:p>
        </w:tc>
        <w:tc>
          <w:tcPr>
            <w:tcW w:w="964" w:type="dxa"/>
            <w:vAlign w:val="center"/>
          </w:tcPr>
          <w:p w14:paraId="537C420C">
            <w:pPr>
              <w:pStyle w:val="16"/>
            </w:pPr>
          </w:p>
        </w:tc>
        <w:tc>
          <w:tcPr>
            <w:tcW w:w="964" w:type="dxa"/>
            <w:vAlign w:val="center"/>
          </w:tcPr>
          <w:p w14:paraId="638E36F7">
            <w:pPr>
              <w:pStyle w:val="16"/>
            </w:pPr>
          </w:p>
        </w:tc>
        <w:tc>
          <w:tcPr>
            <w:tcW w:w="964" w:type="dxa"/>
            <w:vAlign w:val="center"/>
          </w:tcPr>
          <w:p w14:paraId="7AA66DDE">
            <w:pPr>
              <w:pStyle w:val="16"/>
            </w:pPr>
          </w:p>
        </w:tc>
        <w:tc>
          <w:tcPr>
            <w:tcW w:w="964" w:type="dxa"/>
            <w:vAlign w:val="center"/>
          </w:tcPr>
          <w:p w14:paraId="5B77CB63">
            <w:pPr>
              <w:pStyle w:val="16"/>
            </w:pPr>
          </w:p>
        </w:tc>
        <w:tc>
          <w:tcPr>
            <w:tcW w:w="964" w:type="dxa"/>
            <w:vAlign w:val="center"/>
          </w:tcPr>
          <w:p w14:paraId="35B21E2A">
            <w:pPr>
              <w:pStyle w:val="16"/>
            </w:pPr>
            <w:r>
              <w:t>10.58</w:t>
            </w:r>
          </w:p>
        </w:tc>
      </w:tr>
      <w:tr w14:paraId="1E6BA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F0161C">
            <w:pPr>
              <w:pStyle w:val="13"/>
            </w:pPr>
            <w:r>
              <w:t>冀财教[2024]121号/中央/2025年学前发展资金/北楼校区学前教育幼儿资助</w:t>
            </w:r>
          </w:p>
        </w:tc>
        <w:tc>
          <w:tcPr>
            <w:tcW w:w="964" w:type="dxa"/>
            <w:vAlign w:val="center"/>
          </w:tcPr>
          <w:p w14:paraId="59AB6264">
            <w:pPr>
              <w:pStyle w:val="14"/>
            </w:pPr>
            <w:r>
              <w:t>2.04</w:t>
            </w:r>
          </w:p>
        </w:tc>
        <w:tc>
          <w:tcPr>
            <w:tcW w:w="1134" w:type="dxa"/>
            <w:vAlign w:val="center"/>
          </w:tcPr>
          <w:p w14:paraId="183C7BBD">
            <w:pPr>
              <w:pStyle w:val="13"/>
            </w:pPr>
            <w:r>
              <w:t>复印纸</w:t>
            </w:r>
          </w:p>
        </w:tc>
        <w:tc>
          <w:tcPr>
            <w:tcW w:w="1134" w:type="dxa"/>
            <w:vAlign w:val="center"/>
          </w:tcPr>
          <w:p w14:paraId="4370463C">
            <w:pPr>
              <w:pStyle w:val="13"/>
            </w:pPr>
            <w:r>
              <w:t>A05040101</w:t>
            </w:r>
          </w:p>
        </w:tc>
        <w:tc>
          <w:tcPr>
            <w:tcW w:w="709" w:type="dxa"/>
            <w:vAlign w:val="center"/>
          </w:tcPr>
          <w:p w14:paraId="045464E9">
            <w:pPr>
              <w:pStyle w:val="12"/>
            </w:pPr>
            <w:r>
              <w:t>包</w:t>
            </w:r>
          </w:p>
        </w:tc>
        <w:tc>
          <w:tcPr>
            <w:tcW w:w="850" w:type="dxa"/>
            <w:vAlign w:val="center"/>
          </w:tcPr>
          <w:p w14:paraId="65D639F0">
            <w:pPr>
              <w:pStyle w:val="14"/>
            </w:pPr>
            <w:r>
              <w:t>5</w:t>
            </w:r>
          </w:p>
        </w:tc>
        <w:tc>
          <w:tcPr>
            <w:tcW w:w="850" w:type="dxa"/>
            <w:vAlign w:val="center"/>
          </w:tcPr>
          <w:p w14:paraId="02423361">
            <w:pPr>
              <w:pStyle w:val="14"/>
            </w:pPr>
            <w:r>
              <w:t>0.02</w:t>
            </w:r>
          </w:p>
        </w:tc>
        <w:tc>
          <w:tcPr>
            <w:tcW w:w="964" w:type="dxa"/>
            <w:vAlign w:val="center"/>
          </w:tcPr>
          <w:p w14:paraId="6A65EDAD">
            <w:pPr>
              <w:pStyle w:val="14"/>
            </w:pPr>
            <w:r>
              <w:t>0.09</w:t>
            </w:r>
          </w:p>
        </w:tc>
        <w:tc>
          <w:tcPr>
            <w:tcW w:w="964" w:type="dxa"/>
            <w:vAlign w:val="center"/>
          </w:tcPr>
          <w:p w14:paraId="0BFF7712">
            <w:pPr>
              <w:pStyle w:val="14"/>
            </w:pPr>
            <w:r>
              <w:t>0.09</w:t>
            </w:r>
          </w:p>
        </w:tc>
        <w:tc>
          <w:tcPr>
            <w:tcW w:w="964" w:type="dxa"/>
            <w:vAlign w:val="center"/>
          </w:tcPr>
          <w:p w14:paraId="641CBC6F">
            <w:pPr>
              <w:pStyle w:val="14"/>
            </w:pPr>
          </w:p>
        </w:tc>
        <w:tc>
          <w:tcPr>
            <w:tcW w:w="964" w:type="dxa"/>
            <w:vAlign w:val="center"/>
          </w:tcPr>
          <w:p w14:paraId="7BD075E2">
            <w:pPr>
              <w:pStyle w:val="14"/>
            </w:pPr>
          </w:p>
        </w:tc>
        <w:tc>
          <w:tcPr>
            <w:tcW w:w="964" w:type="dxa"/>
            <w:vAlign w:val="center"/>
          </w:tcPr>
          <w:p w14:paraId="489BB95F">
            <w:pPr>
              <w:pStyle w:val="14"/>
            </w:pPr>
          </w:p>
        </w:tc>
        <w:tc>
          <w:tcPr>
            <w:tcW w:w="964" w:type="dxa"/>
            <w:vAlign w:val="center"/>
          </w:tcPr>
          <w:p w14:paraId="2379AAC3">
            <w:pPr>
              <w:pStyle w:val="14"/>
            </w:pPr>
          </w:p>
        </w:tc>
        <w:tc>
          <w:tcPr>
            <w:tcW w:w="964" w:type="dxa"/>
            <w:vAlign w:val="center"/>
          </w:tcPr>
          <w:p w14:paraId="3E2F0EB1">
            <w:pPr>
              <w:pStyle w:val="14"/>
            </w:pPr>
          </w:p>
        </w:tc>
        <w:tc>
          <w:tcPr>
            <w:tcW w:w="964" w:type="dxa"/>
            <w:vAlign w:val="center"/>
          </w:tcPr>
          <w:p w14:paraId="716521E3">
            <w:pPr>
              <w:pStyle w:val="14"/>
            </w:pPr>
            <w:r>
              <w:t>0.09</w:t>
            </w:r>
          </w:p>
        </w:tc>
      </w:tr>
      <w:tr w14:paraId="4CCBD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9CF3CF">
            <w:pPr>
              <w:pStyle w:val="13"/>
            </w:pPr>
            <w:r>
              <w:t>冀财教[2024]141号/省级/2025年义教补助经费/北楼中心小学公用经费</w:t>
            </w:r>
          </w:p>
        </w:tc>
        <w:tc>
          <w:tcPr>
            <w:tcW w:w="964" w:type="dxa"/>
            <w:vAlign w:val="center"/>
          </w:tcPr>
          <w:p w14:paraId="48F1C979">
            <w:pPr>
              <w:pStyle w:val="14"/>
            </w:pPr>
            <w:r>
              <w:t>21.39</w:t>
            </w:r>
          </w:p>
        </w:tc>
        <w:tc>
          <w:tcPr>
            <w:tcW w:w="1134" w:type="dxa"/>
            <w:vAlign w:val="center"/>
          </w:tcPr>
          <w:p w14:paraId="0FCB538A">
            <w:pPr>
              <w:pStyle w:val="13"/>
            </w:pPr>
            <w:r>
              <w:t>多功能一体机</w:t>
            </w:r>
          </w:p>
        </w:tc>
        <w:tc>
          <w:tcPr>
            <w:tcW w:w="1134" w:type="dxa"/>
            <w:vAlign w:val="center"/>
          </w:tcPr>
          <w:p w14:paraId="4842C1BE">
            <w:pPr>
              <w:pStyle w:val="13"/>
            </w:pPr>
            <w:r>
              <w:t>A02020400</w:t>
            </w:r>
          </w:p>
        </w:tc>
        <w:tc>
          <w:tcPr>
            <w:tcW w:w="709" w:type="dxa"/>
            <w:vAlign w:val="center"/>
          </w:tcPr>
          <w:p w14:paraId="537D718A">
            <w:pPr>
              <w:pStyle w:val="12"/>
            </w:pPr>
            <w:r>
              <w:t>万元</w:t>
            </w:r>
          </w:p>
        </w:tc>
        <w:tc>
          <w:tcPr>
            <w:tcW w:w="850" w:type="dxa"/>
            <w:vAlign w:val="center"/>
          </w:tcPr>
          <w:p w14:paraId="7FB9B01D">
            <w:pPr>
              <w:pStyle w:val="14"/>
            </w:pPr>
            <w:r>
              <w:t>1</w:t>
            </w:r>
          </w:p>
        </w:tc>
        <w:tc>
          <w:tcPr>
            <w:tcW w:w="850" w:type="dxa"/>
            <w:vAlign w:val="center"/>
          </w:tcPr>
          <w:p w14:paraId="7802BA01">
            <w:pPr>
              <w:pStyle w:val="14"/>
            </w:pPr>
            <w:r>
              <w:t>0.50</w:t>
            </w:r>
          </w:p>
        </w:tc>
        <w:tc>
          <w:tcPr>
            <w:tcW w:w="964" w:type="dxa"/>
            <w:vAlign w:val="center"/>
          </w:tcPr>
          <w:p w14:paraId="379D98F7">
            <w:pPr>
              <w:pStyle w:val="14"/>
            </w:pPr>
            <w:r>
              <w:t>0.50</w:t>
            </w:r>
          </w:p>
        </w:tc>
        <w:tc>
          <w:tcPr>
            <w:tcW w:w="964" w:type="dxa"/>
            <w:vAlign w:val="center"/>
          </w:tcPr>
          <w:p w14:paraId="59ECD994">
            <w:pPr>
              <w:pStyle w:val="14"/>
            </w:pPr>
            <w:r>
              <w:t>0.50</w:t>
            </w:r>
          </w:p>
        </w:tc>
        <w:tc>
          <w:tcPr>
            <w:tcW w:w="964" w:type="dxa"/>
            <w:vAlign w:val="center"/>
          </w:tcPr>
          <w:p w14:paraId="0BE32C7B">
            <w:pPr>
              <w:pStyle w:val="14"/>
            </w:pPr>
          </w:p>
        </w:tc>
        <w:tc>
          <w:tcPr>
            <w:tcW w:w="964" w:type="dxa"/>
            <w:vAlign w:val="center"/>
          </w:tcPr>
          <w:p w14:paraId="2CAE50F8">
            <w:pPr>
              <w:pStyle w:val="14"/>
            </w:pPr>
          </w:p>
        </w:tc>
        <w:tc>
          <w:tcPr>
            <w:tcW w:w="964" w:type="dxa"/>
            <w:vAlign w:val="center"/>
          </w:tcPr>
          <w:p w14:paraId="2BDA0410">
            <w:pPr>
              <w:pStyle w:val="14"/>
            </w:pPr>
          </w:p>
        </w:tc>
        <w:tc>
          <w:tcPr>
            <w:tcW w:w="964" w:type="dxa"/>
            <w:vAlign w:val="center"/>
          </w:tcPr>
          <w:p w14:paraId="59DE54D0">
            <w:pPr>
              <w:pStyle w:val="14"/>
            </w:pPr>
          </w:p>
        </w:tc>
        <w:tc>
          <w:tcPr>
            <w:tcW w:w="964" w:type="dxa"/>
            <w:vAlign w:val="center"/>
          </w:tcPr>
          <w:p w14:paraId="3CF84A47">
            <w:pPr>
              <w:pStyle w:val="14"/>
            </w:pPr>
          </w:p>
        </w:tc>
        <w:tc>
          <w:tcPr>
            <w:tcW w:w="964" w:type="dxa"/>
            <w:vAlign w:val="center"/>
          </w:tcPr>
          <w:p w14:paraId="281DAD52">
            <w:pPr>
              <w:pStyle w:val="14"/>
            </w:pPr>
            <w:r>
              <w:t>0.50</w:t>
            </w:r>
          </w:p>
        </w:tc>
      </w:tr>
      <w:tr w14:paraId="0C14C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19B7C3">
            <w:pPr>
              <w:pStyle w:val="13"/>
            </w:pPr>
            <w:r>
              <w:t>冀财教[2024]141号/省级/2025年义教补助经费/南楼小学公用经费</w:t>
            </w:r>
          </w:p>
        </w:tc>
        <w:tc>
          <w:tcPr>
            <w:tcW w:w="964" w:type="dxa"/>
            <w:vAlign w:val="center"/>
          </w:tcPr>
          <w:p w14:paraId="19370A70">
            <w:pPr>
              <w:pStyle w:val="14"/>
            </w:pPr>
            <w:r>
              <w:t>13.53</w:t>
            </w:r>
          </w:p>
        </w:tc>
        <w:tc>
          <w:tcPr>
            <w:tcW w:w="1134" w:type="dxa"/>
            <w:vAlign w:val="center"/>
          </w:tcPr>
          <w:p w14:paraId="0C889A4F">
            <w:pPr>
              <w:pStyle w:val="13"/>
            </w:pPr>
            <w:r>
              <w:t>台式计算机</w:t>
            </w:r>
          </w:p>
        </w:tc>
        <w:tc>
          <w:tcPr>
            <w:tcW w:w="1134" w:type="dxa"/>
            <w:vAlign w:val="center"/>
          </w:tcPr>
          <w:p w14:paraId="6E147B89">
            <w:pPr>
              <w:pStyle w:val="13"/>
            </w:pPr>
            <w:r>
              <w:t>A02010105</w:t>
            </w:r>
          </w:p>
        </w:tc>
        <w:tc>
          <w:tcPr>
            <w:tcW w:w="709" w:type="dxa"/>
            <w:vAlign w:val="center"/>
          </w:tcPr>
          <w:p w14:paraId="7A1C7CF3">
            <w:pPr>
              <w:pStyle w:val="12"/>
            </w:pPr>
            <w:r>
              <w:t>万元</w:t>
            </w:r>
          </w:p>
        </w:tc>
        <w:tc>
          <w:tcPr>
            <w:tcW w:w="850" w:type="dxa"/>
            <w:vAlign w:val="center"/>
          </w:tcPr>
          <w:p w14:paraId="17A1D542">
            <w:pPr>
              <w:pStyle w:val="14"/>
            </w:pPr>
            <w:r>
              <w:t>5</w:t>
            </w:r>
          </w:p>
        </w:tc>
        <w:tc>
          <w:tcPr>
            <w:tcW w:w="850" w:type="dxa"/>
            <w:vAlign w:val="center"/>
          </w:tcPr>
          <w:p w14:paraId="09BB381D">
            <w:pPr>
              <w:pStyle w:val="14"/>
            </w:pPr>
            <w:r>
              <w:t>0.35</w:t>
            </w:r>
          </w:p>
        </w:tc>
        <w:tc>
          <w:tcPr>
            <w:tcW w:w="964" w:type="dxa"/>
            <w:vAlign w:val="center"/>
          </w:tcPr>
          <w:p w14:paraId="6B8256E1">
            <w:pPr>
              <w:pStyle w:val="14"/>
            </w:pPr>
            <w:r>
              <w:t>1.75</w:t>
            </w:r>
          </w:p>
        </w:tc>
        <w:tc>
          <w:tcPr>
            <w:tcW w:w="964" w:type="dxa"/>
            <w:vAlign w:val="center"/>
          </w:tcPr>
          <w:p w14:paraId="710CAE86">
            <w:pPr>
              <w:pStyle w:val="14"/>
            </w:pPr>
            <w:r>
              <w:t>1.75</w:t>
            </w:r>
          </w:p>
        </w:tc>
        <w:tc>
          <w:tcPr>
            <w:tcW w:w="964" w:type="dxa"/>
            <w:vAlign w:val="center"/>
          </w:tcPr>
          <w:p w14:paraId="255A6BF1">
            <w:pPr>
              <w:pStyle w:val="14"/>
            </w:pPr>
          </w:p>
        </w:tc>
        <w:tc>
          <w:tcPr>
            <w:tcW w:w="964" w:type="dxa"/>
            <w:vAlign w:val="center"/>
          </w:tcPr>
          <w:p w14:paraId="1EBD9FEC">
            <w:pPr>
              <w:pStyle w:val="14"/>
            </w:pPr>
          </w:p>
        </w:tc>
        <w:tc>
          <w:tcPr>
            <w:tcW w:w="964" w:type="dxa"/>
            <w:vAlign w:val="center"/>
          </w:tcPr>
          <w:p w14:paraId="69C692D1">
            <w:pPr>
              <w:pStyle w:val="14"/>
            </w:pPr>
          </w:p>
        </w:tc>
        <w:tc>
          <w:tcPr>
            <w:tcW w:w="964" w:type="dxa"/>
            <w:vAlign w:val="center"/>
          </w:tcPr>
          <w:p w14:paraId="5B629C6E">
            <w:pPr>
              <w:pStyle w:val="14"/>
            </w:pPr>
          </w:p>
        </w:tc>
        <w:tc>
          <w:tcPr>
            <w:tcW w:w="964" w:type="dxa"/>
            <w:vAlign w:val="center"/>
          </w:tcPr>
          <w:p w14:paraId="7661D09D">
            <w:pPr>
              <w:pStyle w:val="14"/>
            </w:pPr>
          </w:p>
        </w:tc>
        <w:tc>
          <w:tcPr>
            <w:tcW w:w="964" w:type="dxa"/>
            <w:vAlign w:val="center"/>
          </w:tcPr>
          <w:p w14:paraId="7CC1110A">
            <w:pPr>
              <w:pStyle w:val="14"/>
            </w:pPr>
            <w:r>
              <w:t>1.75</w:t>
            </w:r>
          </w:p>
        </w:tc>
      </w:tr>
      <w:tr w14:paraId="2C245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B08CB9">
            <w:pPr>
              <w:pStyle w:val="13"/>
            </w:pPr>
            <w:r>
              <w:t>冀财教[2024]141号/省级/2025年义教补助经费/南汪店小学公用经费</w:t>
            </w:r>
          </w:p>
        </w:tc>
        <w:tc>
          <w:tcPr>
            <w:tcW w:w="964" w:type="dxa"/>
            <w:vAlign w:val="center"/>
          </w:tcPr>
          <w:p w14:paraId="76F05296">
            <w:pPr>
              <w:pStyle w:val="14"/>
            </w:pPr>
            <w:r>
              <w:t>10.96</w:t>
            </w:r>
          </w:p>
        </w:tc>
        <w:tc>
          <w:tcPr>
            <w:tcW w:w="1134" w:type="dxa"/>
            <w:vAlign w:val="center"/>
          </w:tcPr>
          <w:p w14:paraId="1ADC7B0E">
            <w:pPr>
              <w:pStyle w:val="13"/>
            </w:pPr>
            <w:r>
              <w:t>台式计算机</w:t>
            </w:r>
          </w:p>
        </w:tc>
        <w:tc>
          <w:tcPr>
            <w:tcW w:w="1134" w:type="dxa"/>
            <w:vAlign w:val="center"/>
          </w:tcPr>
          <w:p w14:paraId="1C17D7C3">
            <w:pPr>
              <w:pStyle w:val="13"/>
            </w:pPr>
            <w:r>
              <w:t>A02010105</w:t>
            </w:r>
          </w:p>
        </w:tc>
        <w:tc>
          <w:tcPr>
            <w:tcW w:w="709" w:type="dxa"/>
            <w:vAlign w:val="center"/>
          </w:tcPr>
          <w:p w14:paraId="000492BF">
            <w:pPr>
              <w:pStyle w:val="12"/>
            </w:pPr>
            <w:r>
              <w:t>万元</w:t>
            </w:r>
          </w:p>
        </w:tc>
        <w:tc>
          <w:tcPr>
            <w:tcW w:w="850" w:type="dxa"/>
            <w:vAlign w:val="center"/>
          </w:tcPr>
          <w:p w14:paraId="79CDEBF3">
            <w:pPr>
              <w:pStyle w:val="14"/>
            </w:pPr>
            <w:r>
              <w:t>5</w:t>
            </w:r>
          </w:p>
        </w:tc>
        <w:tc>
          <w:tcPr>
            <w:tcW w:w="850" w:type="dxa"/>
            <w:vAlign w:val="center"/>
          </w:tcPr>
          <w:p w14:paraId="0F4E782B">
            <w:pPr>
              <w:pStyle w:val="14"/>
            </w:pPr>
            <w:r>
              <w:t>0.35</w:t>
            </w:r>
          </w:p>
        </w:tc>
        <w:tc>
          <w:tcPr>
            <w:tcW w:w="964" w:type="dxa"/>
            <w:vAlign w:val="center"/>
          </w:tcPr>
          <w:p w14:paraId="5F272409">
            <w:pPr>
              <w:pStyle w:val="14"/>
            </w:pPr>
            <w:r>
              <w:t>1.76</w:t>
            </w:r>
          </w:p>
        </w:tc>
        <w:tc>
          <w:tcPr>
            <w:tcW w:w="964" w:type="dxa"/>
            <w:vAlign w:val="center"/>
          </w:tcPr>
          <w:p w14:paraId="60D868CC">
            <w:pPr>
              <w:pStyle w:val="14"/>
            </w:pPr>
            <w:r>
              <w:t>1.76</w:t>
            </w:r>
          </w:p>
        </w:tc>
        <w:tc>
          <w:tcPr>
            <w:tcW w:w="964" w:type="dxa"/>
            <w:vAlign w:val="center"/>
          </w:tcPr>
          <w:p w14:paraId="5E9E570F">
            <w:pPr>
              <w:pStyle w:val="14"/>
            </w:pPr>
          </w:p>
        </w:tc>
        <w:tc>
          <w:tcPr>
            <w:tcW w:w="964" w:type="dxa"/>
            <w:vAlign w:val="center"/>
          </w:tcPr>
          <w:p w14:paraId="0D0704D1">
            <w:pPr>
              <w:pStyle w:val="14"/>
            </w:pPr>
          </w:p>
        </w:tc>
        <w:tc>
          <w:tcPr>
            <w:tcW w:w="964" w:type="dxa"/>
            <w:vAlign w:val="center"/>
          </w:tcPr>
          <w:p w14:paraId="58E92A4F">
            <w:pPr>
              <w:pStyle w:val="14"/>
            </w:pPr>
          </w:p>
        </w:tc>
        <w:tc>
          <w:tcPr>
            <w:tcW w:w="964" w:type="dxa"/>
            <w:vAlign w:val="center"/>
          </w:tcPr>
          <w:p w14:paraId="3A452CA0">
            <w:pPr>
              <w:pStyle w:val="14"/>
            </w:pPr>
          </w:p>
        </w:tc>
        <w:tc>
          <w:tcPr>
            <w:tcW w:w="964" w:type="dxa"/>
            <w:vAlign w:val="center"/>
          </w:tcPr>
          <w:p w14:paraId="77D313B7">
            <w:pPr>
              <w:pStyle w:val="14"/>
            </w:pPr>
          </w:p>
        </w:tc>
        <w:tc>
          <w:tcPr>
            <w:tcW w:w="964" w:type="dxa"/>
            <w:vAlign w:val="center"/>
          </w:tcPr>
          <w:p w14:paraId="1F21C20C">
            <w:pPr>
              <w:pStyle w:val="14"/>
            </w:pPr>
            <w:r>
              <w:t>1.76</w:t>
            </w:r>
          </w:p>
        </w:tc>
      </w:tr>
      <w:tr w14:paraId="2BBFF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E90FCC">
            <w:pPr>
              <w:pStyle w:val="13"/>
            </w:pPr>
            <w:r>
              <w:t>冀财教[2024]141号/省级/2025年义教补助经费/尚礼小学公用经费</w:t>
            </w:r>
          </w:p>
        </w:tc>
        <w:tc>
          <w:tcPr>
            <w:tcW w:w="964" w:type="dxa"/>
            <w:vAlign w:val="center"/>
          </w:tcPr>
          <w:p w14:paraId="4D3AB7FC">
            <w:pPr>
              <w:pStyle w:val="14"/>
            </w:pPr>
            <w:r>
              <w:t>15.62</w:t>
            </w:r>
          </w:p>
        </w:tc>
        <w:tc>
          <w:tcPr>
            <w:tcW w:w="1134" w:type="dxa"/>
            <w:vAlign w:val="center"/>
          </w:tcPr>
          <w:p w14:paraId="7D22907C">
            <w:pPr>
              <w:pStyle w:val="13"/>
            </w:pPr>
            <w:r>
              <w:t>台式计算机</w:t>
            </w:r>
          </w:p>
        </w:tc>
        <w:tc>
          <w:tcPr>
            <w:tcW w:w="1134" w:type="dxa"/>
            <w:vAlign w:val="center"/>
          </w:tcPr>
          <w:p w14:paraId="5BB5395F">
            <w:pPr>
              <w:pStyle w:val="13"/>
            </w:pPr>
            <w:r>
              <w:t>A02010105</w:t>
            </w:r>
          </w:p>
        </w:tc>
        <w:tc>
          <w:tcPr>
            <w:tcW w:w="709" w:type="dxa"/>
            <w:vAlign w:val="center"/>
          </w:tcPr>
          <w:p w14:paraId="6F44BCCE">
            <w:pPr>
              <w:pStyle w:val="12"/>
            </w:pPr>
            <w:r>
              <w:t>万元</w:t>
            </w:r>
          </w:p>
        </w:tc>
        <w:tc>
          <w:tcPr>
            <w:tcW w:w="850" w:type="dxa"/>
            <w:vAlign w:val="center"/>
          </w:tcPr>
          <w:p w14:paraId="72D0F3ED">
            <w:pPr>
              <w:pStyle w:val="14"/>
            </w:pPr>
            <w:r>
              <w:t>4</w:t>
            </w:r>
          </w:p>
        </w:tc>
        <w:tc>
          <w:tcPr>
            <w:tcW w:w="850" w:type="dxa"/>
            <w:vAlign w:val="center"/>
          </w:tcPr>
          <w:p w14:paraId="0FA9A984">
            <w:pPr>
              <w:pStyle w:val="14"/>
            </w:pPr>
            <w:r>
              <w:t>0.35</w:t>
            </w:r>
          </w:p>
        </w:tc>
        <w:tc>
          <w:tcPr>
            <w:tcW w:w="964" w:type="dxa"/>
            <w:vAlign w:val="center"/>
          </w:tcPr>
          <w:p w14:paraId="062CFC54">
            <w:pPr>
              <w:pStyle w:val="14"/>
            </w:pPr>
            <w:r>
              <w:t>1.40</w:t>
            </w:r>
          </w:p>
        </w:tc>
        <w:tc>
          <w:tcPr>
            <w:tcW w:w="964" w:type="dxa"/>
            <w:vAlign w:val="center"/>
          </w:tcPr>
          <w:p w14:paraId="0691F7EE">
            <w:pPr>
              <w:pStyle w:val="14"/>
            </w:pPr>
            <w:r>
              <w:t>1.40</w:t>
            </w:r>
          </w:p>
        </w:tc>
        <w:tc>
          <w:tcPr>
            <w:tcW w:w="964" w:type="dxa"/>
            <w:vAlign w:val="center"/>
          </w:tcPr>
          <w:p w14:paraId="73408A9F">
            <w:pPr>
              <w:pStyle w:val="14"/>
            </w:pPr>
          </w:p>
        </w:tc>
        <w:tc>
          <w:tcPr>
            <w:tcW w:w="964" w:type="dxa"/>
            <w:vAlign w:val="center"/>
          </w:tcPr>
          <w:p w14:paraId="08F36AFA">
            <w:pPr>
              <w:pStyle w:val="14"/>
            </w:pPr>
          </w:p>
        </w:tc>
        <w:tc>
          <w:tcPr>
            <w:tcW w:w="964" w:type="dxa"/>
            <w:vAlign w:val="center"/>
          </w:tcPr>
          <w:p w14:paraId="44D379F9">
            <w:pPr>
              <w:pStyle w:val="14"/>
            </w:pPr>
          </w:p>
        </w:tc>
        <w:tc>
          <w:tcPr>
            <w:tcW w:w="964" w:type="dxa"/>
            <w:vAlign w:val="center"/>
          </w:tcPr>
          <w:p w14:paraId="64B4050A">
            <w:pPr>
              <w:pStyle w:val="14"/>
            </w:pPr>
          </w:p>
        </w:tc>
        <w:tc>
          <w:tcPr>
            <w:tcW w:w="964" w:type="dxa"/>
            <w:vAlign w:val="center"/>
          </w:tcPr>
          <w:p w14:paraId="1562E1F5">
            <w:pPr>
              <w:pStyle w:val="14"/>
            </w:pPr>
          </w:p>
        </w:tc>
        <w:tc>
          <w:tcPr>
            <w:tcW w:w="964" w:type="dxa"/>
            <w:vAlign w:val="center"/>
          </w:tcPr>
          <w:p w14:paraId="1FE020FB">
            <w:pPr>
              <w:pStyle w:val="14"/>
            </w:pPr>
            <w:r>
              <w:t>1.40</w:t>
            </w:r>
          </w:p>
        </w:tc>
      </w:tr>
      <w:tr w14:paraId="749C9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BDF1E3">
            <w:pPr>
              <w:pStyle w:val="13"/>
            </w:pPr>
            <w:r>
              <w:t>冀财教[2024]141号/省级/2025年义教补助经费/尚礼小学公用经费</w:t>
            </w:r>
          </w:p>
        </w:tc>
        <w:tc>
          <w:tcPr>
            <w:tcW w:w="964" w:type="dxa"/>
            <w:vAlign w:val="center"/>
          </w:tcPr>
          <w:p w14:paraId="1449F74C">
            <w:pPr>
              <w:pStyle w:val="14"/>
            </w:pPr>
            <w:r>
              <w:t>15.62</w:t>
            </w:r>
          </w:p>
        </w:tc>
        <w:tc>
          <w:tcPr>
            <w:tcW w:w="1134" w:type="dxa"/>
            <w:vAlign w:val="center"/>
          </w:tcPr>
          <w:p w14:paraId="2B329844">
            <w:pPr>
              <w:pStyle w:val="13"/>
            </w:pPr>
            <w:r>
              <w:t>LED 显示屏</w:t>
            </w:r>
          </w:p>
        </w:tc>
        <w:tc>
          <w:tcPr>
            <w:tcW w:w="1134" w:type="dxa"/>
            <w:vAlign w:val="center"/>
          </w:tcPr>
          <w:p w14:paraId="177C07F5">
            <w:pPr>
              <w:pStyle w:val="13"/>
            </w:pPr>
            <w:r>
              <w:t>A02021103</w:t>
            </w:r>
          </w:p>
        </w:tc>
        <w:tc>
          <w:tcPr>
            <w:tcW w:w="709" w:type="dxa"/>
            <w:vAlign w:val="center"/>
          </w:tcPr>
          <w:p w14:paraId="1FA05A90">
            <w:pPr>
              <w:pStyle w:val="12"/>
            </w:pPr>
            <w:r>
              <w:t>万元</w:t>
            </w:r>
          </w:p>
        </w:tc>
        <w:tc>
          <w:tcPr>
            <w:tcW w:w="850" w:type="dxa"/>
            <w:vAlign w:val="center"/>
          </w:tcPr>
          <w:p w14:paraId="594127BF">
            <w:pPr>
              <w:pStyle w:val="14"/>
            </w:pPr>
            <w:r>
              <w:t>1</w:t>
            </w:r>
          </w:p>
        </w:tc>
        <w:tc>
          <w:tcPr>
            <w:tcW w:w="850" w:type="dxa"/>
            <w:vAlign w:val="center"/>
          </w:tcPr>
          <w:p w14:paraId="3A8CC07C">
            <w:pPr>
              <w:pStyle w:val="14"/>
            </w:pPr>
            <w:r>
              <w:t>1.92</w:t>
            </w:r>
          </w:p>
        </w:tc>
        <w:tc>
          <w:tcPr>
            <w:tcW w:w="964" w:type="dxa"/>
            <w:vAlign w:val="center"/>
          </w:tcPr>
          <w:p w14:paraId="2BDB0376">
            <w:pPr>
              <w:pStyle w:val="14"/>
            </w:pPr>
            <w:r>
              <w:t>1.92</w:t>
            </w:r>
          </w:p>
        </w:tc>
        <w:tc>
          <w:tcPr>
            <w:tcW w:w="964" w:type="dxa"/>
            <w:vAlign w:val="center"/>
          </w:tcPr>
          <w:p w14:paraId="4D4D51C4">
            <w:pPr>
              <w:pStyle w:val="14"/>
            </w:pPr>
            <w:r>
              <w:t>1.92</w:t>
            </w:r>
          </w:p>
        </w:tc>
        <w:tc>
          <w:tcPr>
            <w:tcW w:w="964" w:type="dxa"/>
            <w:vAlign w:val="center"/>
          </w:tcPr>
          <w:p w14:paraId="28F634EF">
            <w:pPr>
              <w:pStyle w:val="14"/>
            </w:pPr>
          </w:p>
        </w:tc>
        <w:tc>
          <w:tcPr>
            <w:tcW w:w="964" w:type="dxa"/>
            <w:vAlign w:val="center"/>
          </w:tcPr>
          <w:p w14:paraId="3D57CAD7">
            <w:pPr>
              <w:pStyle w:val="14"/>
            </w:pPr>
          </w:p>
        </w:tc>
        <w:tc>
          <w:tcPr>
            <w:tcW w:w="964" w:type="dxa"/>
            <w:vAlign w:val="center"/>
          </w:tcPr>
          <w:p w14:paraId="41255698">
            <w:pPr>
              <w:pStyle w:val="14"/>
            </w:pPr>
          </w:p>
        </w:tc>
        <w:tc>
          <w:tcPr>
            <w:tcW w:w="964" w:type="dxa"/>
            <w:vAlign w:val="center"/>
          </w:tcPr>
          <w:p w14:paraId="7B9E1ABA">
            <w:pPr>
              <w:pStyle w:val="14"/>
            </w:pPr>
          </w:p>
        </w:tc>
        <w:tc>
          <w:tcPr>
            <w:tcW w:w="964" w:type="dxa"/>
            <w:vAlign w:val="center"/>
          </w:tcPr>
          <w:p w14:paraId="256130F5">
            <w:pPr>
              <w:pStyle w:val="14"/>
            </w:pPr>
          </w:p>
        </w:tc>
        <w:tc>
          <w:tcPr>
            <w:tcW w:w="964" w:type="dxa"/>
            <w:vAlign w:val="center"/>
          </w:tcPr>
          <w:p w14:paraId="2B9F1027">
            <w:pPr>
              <w:pStyle w:val="14"/>
            </w:pPr>
            <w:r>
              <w:t>1.92</w:t>
            </w:r>
          </w:p>
        </w:tc>
      </w:tr>
      <w:tr w14:paraId="17E65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7A78F0">
            <w:pPr>
              <w:pStyle w:val="13"/>
            </w:pPr>
            <w:r>
              <w:t>冀财教[2024]141号/省级/2025年义教补助经费/尧张小学公用经费</w:t>
            </w:r>
          </w:p>
        </w:tc>
        <w:tc>
          <w:tcPr>
            <w:tcW w:w="964" w:type="dxa"/>
            <w:vAlign w:val="center"/>
          </w:tcPr>
          <w:p w14:paraId="411EC099">
            <w:pPr>
              <w:pStyle w:val="14"/>
            </w:pPr>
            <w:r>
              <w:t>8.10</w:t>
            </w:r>
          </w:p>
        </w:tc>
        <w:tc>
          <w:tcPr>
            <w:tcW w:w="1134" w:type="dxa"/>
            <w:vAlign w:val="center"/>
          </w:tcPr>
          <w:p w14:paraId="1817C611">
            <w:pPr>
              <w:pStyle w:val="13"/>
            </w:pPr>
            <w:r>
              <w:t>台式计算机</w:t>
            </w:r>
          </w:p>
        </w:tc>
        <w:tc>
          <w:tcPr>
            <w:tcW w:w="1134" w:type="dxa"/>
            <w:vAlign w:val="center"/>
          </w:tcPr>
          <w:p w14:paraId="5267B2F9">
            <w:pPr>
              <w:pStyle w:val="13"/>
            </w:pPr>
            <w:r>
              <w:t>A02010105</w:t>
            </w:r>
          </w:p>
        </w:tc>
        <w:tc>
          <w:tcPr>
            <w:tcW w:w="709" w:type="dxa"/>
            <w:vAlign w:val="center"/>
          </w:tcPr>
          <w:p w14:paraId="586032C2">
            <w:pPr>
              <w:pStyle w:val="12"/>
            </w:pPr>
            <w:r>
              <w:t>万元</w:t>
            </w:r>
          </w:p>
        </w:tc>
        <w:tc>
          <w:tcPr>
            <w:tcW w:w="850" w:type="dxa"/>
            <w:vAlign w:val="center"/>
          </w:tcPr>
          <w:p w14:paraId="4B91250B">
            <w:pPr>
              <w:pStyle w:val="14"/>
            </w:pPr>
            <w:r>
              <w:t>3</w:t>
            </w:r>
          </w:p>
        </w:tc>
        <w:tc>
          <w:tcPr>
            <w:tcW w:w="850" w:type="dxa"/>
            <w:vAlign w:val="center"/>
          </w:tcPr>
          <w:p w14:paraId="6447C203">
            <w:pPr>
              <w:pStyle w:val="14"/>
            </w:pPr>
            <w:r>
              <w:t>0.35</w:t>
            </w:r>
          </w:p>
        </w:tc>
        <w:tc>
          <w:tcPr>
            <w:tcW w:w="964" w:type="dxa"/>
            <w:vAlign w:val="center"/>
          </w:tcPr>
          <w:p w14:paraId="04690DC7">
            <w:pPr>
              <w:pStyle w:val="14"/>
            </w:pPr>
            <w:r>
              <w:t>1.05</w:t>
            </w:r>
          </w:p>
        </w:tc>
        <w:tc>
          <w:tcPr>
            <w:tcW w:w="964" w:type="dxa"/>
            <w:vAlign w:val="center"/>
          </w:tcPr>
          <w:p w14:paraId="5880A71E">
            <w:pPr>
              <w:pStyle w:val="14"/>
            </w:pPr>
            <w:r>
              <w:t>1.05</w:t>
            </w:r>
          </w:p>
        </w:tc>
        <w:tc>
          <w:tcPr>
            <w:tcW w:w="964" w:type="dxa"/>
            <w:vAlign w:val="center"/>
          </w:tcPr>
          <w:p w14:paraId="76AA10B5">
            <w:pPr>
              <w:pStyle w:val="14"/>
            </w:pPr>
          </w:p>
        </w:tc>
        <w:tc>
          <w:tcPr>
            <w:tcW w:w="964" w:type="dxa"/>
            <w:vAlign w:val="center"/>
          </w:tcPr>
          <w:p w14:paraId="6B54FECF">
            <w:pPr>
              <w:pStyle w:val="14"/>
            </w:pPr>
          </w:p>
        </w:tc>
        <w:tc>
          <w:tcPr>
            <w:tcW w:w="964" w:type="dxa"/>
            <w:vAlign w:val="center"/>
          </w:tcPr>
          <w:p w14:paraId="7412F71F">
            <w:pPr>
              <w:pStyle w:val="14"/>
            </w:pPr>
          </w:p>
        </w:tc>
        <w:tc>
          <w:tcPr>
            <w:tcW w:w="964" w:type="dxa"/>
            <w:vAlign w:val="center"/>
          </w:tcPr>
          <w:p w14:paraId="49699134">
            <w:pPr>
              <w:pStyle w:val="14"/>
            </w:pPr>
          </w:p>
        </w:tc>
        <w:tc>
          <w:tcPr>
            <w:tcW w:w="964" w:type="dxa"/>
            <w:vAlign w:val="center"/>
          </w:tcPr>
          <w:p w14:paraId="604797E2">
            <w:pPr>
              <w:pStyle w:val="14"/>
            </w:pPr>
          </w:p>
        </w:tc>
        <w:tc>
          <w:tcPr>
            <w:tcW w:w="964" w:type="dxa"/>
            <w:vAlign w:val="center"/>
          </w:tcPr>
          <w:p w14:paraId="74EB4395">
            <w:pPr>
              <w:pStyle w:val="14"/>
            </w:pPr>
            <w:r>
              <w:t>1.05</w:t>
            </w:r>
          </w:p>
        </w:tc>
      </w:tr>
      <w:tr w14:paraId="03AD9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74D7DF">
            <w:pPr>
              <w:pStyle w:val="13"/>
            </w:pPr>
            <w:r>
              <w:t>冀财教[2024]141号/省级/2025年义教补助经费/尧张小学公用经费</w:t>
            </w:r>
          </w:p>
        </w:tc>
        <w:tc>
          <w:tcPr>
            <w:tcW w:w="964" w:type="dxa"/>
            <w:vAlign w:val="center"/>
          </w:tcPr>
          <w:p w14:paraId="1B81AB40">
            <w:pPr>
              <w:pStyle w:val="14"/>
            </w:pPr>
            <w:r>
              <w:t>8.10</w:t>
            </w:r>
          </w:p>
        </w:tc>
        <w:tc>
          <w:tcPr>
            <w:tcW w:w="1134" w:type="dxa"/>
            <w:vAlign w:val="center"/>
          </w:tcPr>
          <w:p w14:paraId="08CD654B">
            <w:pPr>
              <w:pStyle w:val="13"/>
            </w:pPr>
            <w:r>
              <w:t>多功能一体机</w:t>
            </w:r>
          </w:p>
        </w:tc>
        <w:tc>
          <w:tcPr>
            <w:tcW w:w="1134" w:type="dxa"/>
            <w:vAlign w:val="center"/>
          </w:tcPr>
          <w:p w14:paraId="01B3A6DD">
            <w:pPr>
              <w:pStyle w:val="13"/>
            </w:pPr>
            <w:r>
              <w:t>A02020400</w:t>
            </w:r>
          </w:p>
        </w:tc>
        <w:tc>
          <w:tcPr>
            <w:tcW w:w="709" w:type="dxa"/>
            <w:vAlign w:val="center"/>
          </w:tcPr>
          <w:p w14:paraId="11ACA71C">
            <w:pPr>
              <w:pStyle w:val="12"/>
            </w:pPr>
            <w:r>
              <w:t>万元</w:t>
            </w:r>
          </w:p>
        </w:tc>
        <w:tc>
          <w:tcPr>
            <w:tcW w:w="850" w:type="dxa"/>
            <w:vAlign w:val="center"/>
          </w:tcPr>
          <w:p w14:paraId="10B53C9A">
            <w:pPr>
              <w:pStyle w:val="14"/>
            </w:pPr>
            <w:r>
              <w:t>1</w:t>
            </w:r>
          </w:p>
        </w:tc>
        <w:tc>
          <w:tcPr>
            <w:tcW w:w="850" w:type="dxa"/>
            <w:vAlign w:val="center"/>
          </w:tcPr>
          <w:p w14:paraId="2C80E179">
            <w:pPr>
              <w:pStyle w:val="14"/>
            </w:pPr>
            <w:r>
              <w:t>0.50</w:t>
            </w:r>
          </w:p>
        </w:tc>
        <w:tc>
          <w:tcPr>
            <w:tcW w:w="964" w:type="dxa"/>
            <w:vAlign w:val="center"/>
          </w:tcPr>
          <w:p w14:paraId="7EE3DFAC">
            <w:pPr>
              <w:pStyle w:val="14"/>
            </w:pPr>
            <w:r>
              <w:t>0.50</w:t>
            </w:r>
          </w:p>
        </w:tc>
        <w:tc>
          <w:tcPr>
            <w:tcW w:w="964" w:type="dxa"/>
            <w:vAlign w:val="center"/>
          </w:tcPr>
          <w:p w14:paraId="4DEBF4F5">
            <w:pPr>
              <w:pStyle w:val="14"/>
            </w:pPr>
            <w:r>
              <w:t>0.50</w:t>
            </w:r>
          </w:p>
        </w:tc>
        <w:tc>
          <w:tcPr>
            <w:tcW w:w="964" w:type="dxa"/>
            <w:vAlign w:val="center"/>
          </w:tcPr>
          <w:p w14:paraId="5D3E7D2D">
            <w:pPr>
              <w:pStyle w:val="14"/>
            </w:pPr>
          </w:p>
        </w:tc>
        <w:tc>
          <w:tcPr>
            <w:tcW w:w="964" w:type="dxa"/>
            <w:vAlign w:val="center"/>
          </w:tcPr>
          <w:p w14:paraId="0EE9A99C">
            <w:pPr>
              <w:pStyle w:val="14"/>
            </w:pPr>
          </w:p>
        </w:tc>
        <w:tc>
          <w:tcPr>
            <w:tcW w:w="964" w:type="dxa"/>
            <w:vAlign w:val="center"/>
          </w:tcPr>
          <w:p w14:paraId="78C541B5">
            <w:pPr>
              <w:pStyle w:val="14"/>
            </w:pPr>
          </w:p>
        </w:tc>
        <w:tc>
          <w:tcPr>
            <w:tcW w:w="964" w:type="dxa"/>
            <w:vAlign w:val="center"/>
          </w:tcPr>
          <w:p w14:paraId="0250C6E8">
            <w:pPr>
              <w:pStyle w:val="14"/>
            </w:pPr>
          </w:p>
        </w:tc>
        <w:tc>
          <w:tcPr>
            <w:tcW w:w="964" w:type="dxa"/>
            <w:vAlign w:val="center"/>
          </w:tcPr>
          <w:p w14:paraId="6554C375">
            <w:pPr>
              <w:pStyle w:val="14"/>
            </w:pPr>
          </w:p>
        </w:tc>
        <w:tc>
          <w:tcPr>
            <w:tcW w:w="964" w:type="dxa"/>
            <w:vAlign w:val="center"/>
          </w:tcPr>
          <w:p w14:paraId="5515A041">
            <w:pPr>
              <w:pStyle w:val="14"/>
            </w:pPr>
            <w:r>
              <w:t>0.50</w:t>
            </w:r>
          </w:p>
        </w:tc>
      </w:tr>
      <w:tr w14:paraId="1B80E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CB117B">
            <w:pPr>
              <w:pStyle w:val="13"/>
            </w:pPr>
            <w:r>
              <w:t>冀财教[2024]142号/省级/2025年学前发展资金/北楼校区学前教育幼儿资助</w:t>
            </w:r>
          </w:p>
        </w:tc>
        <w:tc>
          <w:tcPr>
            <w:tcW w:w="964" w:type="dxa"/>
            <w:vAlign w:val="center"/>
          </w:tcPr>
          <w:p w14:paraId="44F2A7A8">
            <w:pPr>
              <w:pStyle w:val="14"/>
            </w:pPr>
            <w:r>
              <w:t>0.68</w:t>
            </w:r>
          </w:p>
        </w:tc>
        <w:tc>
          <w:tcPr>
            <w:tcW w:w="1134" w:type="dxa"/>
            <w:vAlign w:val="center"/>
          </w:tcPr>
          <w:p w14:paraId="538717E9">
            <w:pPr>
              <w:pStyle w:val="13"/>
            </w:pPr>
            <w:r>
              <w:t>复印纸</w:t>
            </w:r>
          </w:p>
        </w:tc>
        <w:tc>
          <w:tcPr>
            <w:tcW w:w="1134" w:type="dxa"/>
            <w:vAlign w:val="center"/>
          </w:tcPr>
          <w:p w14:paraId="2AAB20FE">
            <w:pPr>
              <w:pStyle w:val="13"/>
            </w:pPr>
            <w:r>
              <w:t>A05040101</w:t>
            </w:r>
          </w:p>
        </w:tc>
        <w:tc>
          <w:tcPr>
            <w:tcW w:w="709" w:type="dxa"/>
            <w:vAlign w:val="center"/>
          </w:tcPr>
          <w:p w14:paraId="00861785">
            <w:pPr>
              <w:pStyle w:val="12"/>
            </w:pPr>
            <w:r>
              <w:t>包</w:t>
            </w:r>
          </w:p>
        </w:tc>
        <w:tc>
          <w:tcPr>
            <w:tcW w:w="850" w:type="dxa"/>
            <w:vAlign w:val="center"/>
          </w:tcPr>
          <w:p w14:paraId="77D2056B">
            <w:pPr>
              <w:pStyle w:val="14"/>
            </w:pPr>
            <w:r>
              <w:t>2</w:t>
            </w:r>
          </w:p>
        </w:tc>
        <w:tc>
          <w:tcPr>
            <w:tcW w:w="850" w:type="dxa"/>
            <w:vAlign w:val="center"/>
          </w:tcPr>
          <w:p w14:paraId="76F207C7">
            <w:pPr>
              <w:pStyle w:val="14"/>
            </w:pPr>
            <w:r>
              <w:t>0.02</w:t>
            </w:r>
          </w:p>
        </w:tc>
        <w:tc>
          <w:tcPr>
            <w:tcW w:w="964" w:type="dxa"/>
            <w:vAlign w:val="center"/>
          </w:tcPr>
          <w:p w14:paraId="21524734">
            <w:pPr>
              <w:pStyle w:val="14"/>
            </w:pPr>
            <w:r>
              <w:t>0.03</w:t>
            </w:r>
          </w:p>
        </w:tc>
        <w:tc>
          <w:tcPr>
            <w:tcW w:w="964" w:type="dxa"/>
            <w:vAlign w:val="center"/>
          </w:tcPr>
          <w:p w14:paraId="07C9981A">
            <w:pPr>
              <w:pStyle w:val="14"/>
            </w:pPr>
            <w:r>
              <w:t>0.03</w:t>
            </w:r>
          </w:p>
        </w:tc>
        <w:tc>
          <w:tcPr>
            <w:tcW w:w="964" w:type="dxa"/>
            <w:vAlign w:val="center"/>
          </w:tcPr>
          <w:p w14:paraId="6EFA117D">
            <w:pPr>
              <w:pStyle w:val="14"/>
            </w:pPr>
          </w:p>
        </w:tc>
        <w:tc>
          <w:tcPr>
            <w:tcW w:w="964" w:type="dxa"/>
            <w:vAlign w:val="center"/>
          </w:tcPr>
          <w:p w14:paraId="5645E570">
            <w:pPr>
              <w:pStyle w:val="14"/>
            </w:pPr>
          </w:p>
        </w:tc>
        <w:tc>
          <w:tcPr>
            <w:tcW w:w="964" w:type="dxa"/>
            <w:vAlign w:val="center"/>
          </w:tcPr>
          <w:p w14:paraId="4E79915A">
            <w:pPr>
              <w:pStyle w:val="14"/>
            </w:pPr>
          </w:p>
        </w:tc>
        <w:tc>
          <w:tcPr>
            <w:tcW w:w="964" w:type="dxa"/>
            <w:vAlign w:val="center"/>
          </w:tcPr>
          <w:p w14:paraId="003417E9">
            <w:pPr>
              <w:pStyle w:val="14"/>
            </w:pPr>
          </w:p>
        </w:tc>
        <w:tc>
          <w:tcPr>
            <w:tcW w:w="964" w:type="dxa"/>
            <w:vAlign w:val="center"/>
          </w:tcPr>
          <w:p w14:paraId="6571E256">
            <w:pPr>
              <w:pStyle w:val="14"/>
            </w:pPr>
          </w:p>
        </w:tc>
        <w:tc>
          <w:tcPr>
            <w:tcW w:w="964" w:type="dxa"/>
            <w:vAlign w:val="center"/>
          </w:tcPr>
          <w:p w14:paraId="36A5930C">
            <w:pPr>
              <w:pStyle w:val="14"/>
            </w:pPr>
            <w:r>
              <w:t>0.03</w:t>
            </w:r>
          </w:p>
        </w:tc>
      </w:tr>
      <w:tr w14:paraId="1EF74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C112C5">
            <w:pPr>
              <w:pStyle w:val="13"/>
            </w:pPr>
            <w:r>
              <w:t>县级配套/北楼校区学前教育幼儿资助</w:t>
            </w:r>
          </w:p>
        </w:tc>
        <w:tc>
          <w:tcPr>
            <w:tcW w:w="964" w:type="dxa"/>
            <w:vAlign w:val="center"/>
          </w:tcPr>
          <w:p w14:paraId="35825BFB">
            <w:pPr>
              <w:pStyle w:val="14"/>
            </w:pPr>
            <w:r>
              <w:t>0.68</w:t>
            </w:r>
          </w:p>
        </w:tc>
        <w:tc>
          <w:tcPr>
            <w:tcW w:w="1134" w:type="dxa"/>
            <w:vAlign w:val="center"/>
          </w:tcPr>
          <w:p w14:paraId="3D2626F8">
            <w:pPr>
              <w:pStyle w:val="13"/>
            </w:pPr>
            <w:r>
              <w:t>复印纸</w:t>
            </w:r>
          </w:p>
        </w:tc>
        <w:tc>
          <w:tcPr>
            <w:tcW w:w="1134" w:type="dxa"/>
            <w:vAlign w:val="center"/>
          </w:tcPr>
          <w:p w14:paraId="79F9BAA5">
            <w:pPr>
              <w:pStyle w:val="13"/>
            </w:pPr>
            <w:r>
              <w:t>A05040101</w:t>
            </w:r>
          </w:p>
        </w:tc>
        <w:tc>
          <w:tcPr>
            <w:tcW w:w="709" w:type="dxa"/>
            <w:vAlign w:val="center"/>
          </w:tcPr>
          <w:p w14:paraId="73F3C655">
            <w:pPr>
              <w:pStyle w:val="12"/>
            </w:pPr>
            <w:r>
              <w:t>包</w:t>
            </w:r>
          </w:p>
        </w:tc>
        <w:tc>
          <w:tcPr>
            <w:tcW w:w="850" w:type="dxa"/>
            <w:vAlign w:val="center"/>
          </w:tcPr>
          <w:p w14:paraId="47AE92E2">
            <w:pPr>
              <w:pStyle w:val="14"/>
            </w:pPr>
            <w:r>
              <w:t>5</w:t>
            </w:r>
          </w:p>
        </w:tc>
        <w:tc>
          <w:tcPr>
            <w:tcW w:w="850" w:type="dxa"/>
            <w:vAlign w:val="center"/>
          </w:tcPr>
          <w:p w14:paraId="57BD80DE">
            <w:pPr>
              <w:pStyle w:val="14"/>
            </w:pPr>
            <w:r>
              <w:t>0.02</w:t>
            </w:r>
          </w:p>
        </w:tc>
        <w:tc>
          <w:tcPr>
            <w:tcW w:w="964" w:type="dxa"/>
            <w:vAlign w:val="center"/>
          </w:tcPr>
          <w:p w14:paraId="25A9514C">
            <w:pPr>
              <w:pStyle w:val="14"/>
            </w:pPr>
            <w:r>
              <w:t>0.08</w:t>
            </w:r>
          </w:p>
        </w:tc>
        <w:tc>
          <w:tcPr>
            <w:tcW w:w="964" w:type="dxa"/>
            <w:vAlign w:val="center"/>
          </w:tcPr>
          <w:p w14:paraId="0D2DA729">
            <w:pPr>
              <w:pStyle w:val="14"/>
            </w:pPr>
            <w:r>
              <w:t>0.08</w:t>
            </w:r>
          </w:p>
        </w:tc>
        <w:tc>
          <w:tcPr>
            <w:tcW w:w="964" w:type="dxa"/>
            <w:vAlign w:val="center"/>
          </w:tcPr>
          <w:p w14:paraId="37AEE566">
            <w:pPr>
              <w:pStyle w:val="14"/>
            </w:pPr>
          </w:p>
        </w:tc>
        <w:tc>
          <w:tcPr>
            <w:tcW w:w="964" w:type="dxa"/>
            <w:vAlign w:val="center"/>
          </w:tcPr>
          <w:p w14:paraId="196D83DB">
            <w:pPr>
              <w:pStyle w:val="14"/>
            </w:pPr>
          </w:p>
        </w:tc>
        <w:tc>
          <w:tcPr>
            <w:tcW w:w="964" w:type="dxa"/>
            <w:vAlign w:val="center"/>
          </w:tcPr>
          <w:p w14:paraId="771D5071">
            <w:pPr>
              <w:pStyle w:val="14"/>
            </w:pPr>
          </w:p>
        </w:tc>
        <w:tc>
          <w:tcPr>
            <w:tcW w:w="964" w:type="dxa"/>
            <w:vAlign w:val="center"/>
          </w:tcPr>
          <w:p w14:paraId="547294F5">
            <w:pPr>
              <w:pStyle w:val="14"/>
            </w:pPr>
          </w:p>
        </w:tc>
        <w:tc>
          <w:tcPr>
            <w:tcW w:w="964" w:type="dxa"/>
            <w:vAlign w:val="center"/>
          </w:tcPr>
          <w:p w14:paraId="36B4E71B">
            <w:pPr>
              <w:pStyle w:val="14"/>
            </w:pPr>
          </w:p>
        </w:tc>
        <w:tc>
          <w:tcPr>
            <w:tcW w:w="964" w:type="dxa"/>
            <w:vAlign w:val="center"/>
          </w:tcPr>
          <w:p w14:paraId="2B7A3BB5">
            <w:pPr>
              <w:pStyle w:val="14"/>
            </w:pPr>
            <w:r>
              <w:t>0.08</w:t>
            </w:r>
          </w:p>
        </w:tc>
      </w:tr>
      <w:tr w14:paraId="1D810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FE4AC4">
            <w:pPr>
              <w:pStyle w:val="13"/>
            </w:pPr>
            <w:r>
              <w:t>县级资金/北楼校区幼儿园公用经费</w:t>
            </w:r>
          </w:p>
        </w:tc>
        <w:tc>
          <w:tcPr>
            <w:tcW w:w="964" w:type="dxa"/>
            <w:vAlign w:val="center"/>
          </w:tcPr>
          <w:p w14:paraId="540D6A05">
            <w:pPr>
              <w:pStyle w:val="14"/>
            </w:pPr>
            <w:r>
              <w:t>19.44</w:t>
            </w:r>
          </w:p>
        </w:tc>
        <w:tc>
          <w:tcPr>
            <w:tcW w:w="1134" w:type="dxa"/>
            <w:vAlign w:val="center"/>
          </w:tcPr>
          <w:p w14:paraId="745198A3">
            <w:pPr>
              <w:pStyle w:val="13"/>
            </w:pPr>
            <w:r>
              <w:t>空调机</w:t>
            </w:r>
          </w:p>
        </w:tc>
        <w:tc>
          <w:tcPr>
            <w:tcW w:w="1134" w:type="dxa"/>
            <w:vAlign w:val="center"/>
          </w:tcPr>
          <w:p w14:paraId="7628FC3D">
            <w:pPr>
              <w:pStyle w:val="13"/>
            </w:pPr>
            <w:r>
              <w:t>A02061804</w:t>
            </w:r>
          </w:p>
        </w:tc>
        <w:tc>
          <w:tcPr>
            <w:tcW w:w="709" w:type="dxa"/>
            <w:vAlign w:val="center"/>
          </w:tcPr>
          <w:p w14:paraId="404A2E4D">
            <w:pPr>
              <w:pStyle w:val="12"/>
            </w:pPr>
            <w:r>
              <w:t>台</w:t>
            </w:r>
          </w:p>
        </w:tc>
        <w:tc>
          <w:tcPr>
            <w:tcW w:w="850" w:type="dxa"/>
            <w:vAlign w:val="center"/>
          </w:tcPr>
          <w:p w14:paraId="467573CB">
            <w:pPr>
              <w:pStyle w:val="14"/>
            </w:pPr>
            <w:r>
              <w:t>3</w:t>
            </w:r>
          </w:p>
        </w:tc>
        <w:tc>
          <w:tcPr>
            <w:tcW w:w="850" w:type="dxa"/>
            <w:vAlign w:val="center"/>
          </w:tcPr>
          <w:p w14:paraId="4610A814">
            <w:pPr>
              <w:pStyle w:val="14"/>
            </w:pPr>
            <w:r>
              <w:t>0.50</w:t>
            </w:r>
          </w:p>
        </w:tc>
        <w:tc>
          <w:tcPr>
            <w:tcW w:w="964" w:type="dxa"/>
            <w:vAlign w:val="center"/>
          </w:tcPr>
          <w:p w14:paraId="6BA93702">
            <w:pPr>
              <w:pStyle w:val="14"/>
            </w:pPr>
            <w:r>
              <w:t>1.50</w:t>
            </w:r>
          </w:p>
        </w:tc>
        <w:tc>
          <w:tcPr>
            <w:tcW w:w="964" w:type="dxa"/>
            <w:vAlign w:val="center"/>
          </w:tcPr>
          <w:p w14:paraId="04713B54">
            <w:pPr>
              <w:pStyle w:val="14"/>
            </w:pPr>
            <w:r>
              <w:t>1.50</w:t>
            </w:r>
          </w:p>
        </w:tc>
        <w:tc>
          <w:tcPr>
            <w:tcW w:w="964" w:type="dxa"/>
            <w:vAlign w:val="center"/>
          </w:tcPr>
          <w:p w14:paraId="3E00732C">
            <w:pPr>
              <w:pStyle w:val="14"/>
            </w:pPr>
          </w:p>
        </w:tc>
        <w:tc>
          <w:tcPr>
            <w:tcW w:w="964" w:type="dxa"/>
            <w:vAlign w:val="center"/>
          </w:tcPr>
          <w:p w14:paraId="43F8567C">
            <w:pPr>
              <w:pStyle w:val="14"/>
            </w:pPr>
          </w:p>
        </w:tc>
        <w:tc>
          <w:tcPr>
            <w:tcW w:w="964" w:type="dxa"/>
            <w:vAlign w:val="center"/>
          </w:tcPr>
          <w:p w14:paraId="23C8E392">
            <w:pPr>
              <w:pStyle w:val="14"/>
            </w:pPr>
          </w:p>
        </w:tc>
        <w:tc>
          <w:tcPr>
            <w:tcW w:w="964" w:type="dxa"/>
            <w:vAlign w:val="center"/>
          </w:tcPr>
          <w:p w14:paraId="6C4FE90F">
            <w:pPr>
              <w:pStyle w:val="14"/>
            </w:pPr>
          </w:p>
        </w:tc>
        <w:tc>
          <w:tcPr>
            <w:tcW w:w="964" w:type="dxa"/>
            <w:vAlign w:val="center"/>
          </w:tcPr>
          <w:p w14:paraId="24CD97F6">
            <w:pPr>
              <w:pStyle w:val="14"/>
            </w:pPr>
          </w:p>
        </w:tc>
        <w:tc>
          <w:tcPr>
            <w:tcW w:w="964" w:type="dxa"/>
            <w:vAlign w:val="center"/>
          </w:tcPr>
          <w:p w14:paraId="15700E02">
            <w:pPr>
              <w:pStyle w:val="14"/>
            </w:pPr>
            <w:r>
              <w:t>1.50</w:t>
            </w:r>
          </w:p>
        </w:tc>
      </w:tr>
    </w:tbl>
    <w:p w14:paraId="419CEAC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F9AC79">
      <w:pPr>
        <w:spacing w:before="0" w:after="0"/>
        <w:ind w:firstLine="640"/>
        <w:jc w:val="left"/>
        <w:outlineLvl w:val="9"/>
      </w:pPr>
      <w:r>
        <w:rPr>
          <w:rFonts w:ascii="Times New Roman" w:hAnsi="Times New Roman" w:eastAsia="方正仿宋_GBK" w:cs="Times New Roman"/>
          <w:color w:val="000000"/>
          <w:sz w:val="32"/>
        </w:rPr>
        <w:t xml:space="preserve"> </w:t>
      </w:r>
    </w:p>
    <w:p w14:paraId="380B87FB">
      <w:pPr>
        <w:spacing w:before="10" w:after="10" w:line="240" w:lineRule="auto"/>
        <w:ind w:firstLine="640"/>
        <w:jc w:val="left"/>
        <w:outlineLvl w:val="5"/>
        <w:rPr>
          <w:rFonts w:ascii="黑体" w:hAnsi="黑体" w:eastAsia="黑体" w:cs="黑体"/>
          <w:color w:val="000000"/>
          <w:sz w:val="32"/>
        </w:rPr>
      </w:pPr>
    </w:p>
    <w:p w14:paraId="245666C7">
      <w:pPr>
        <w:spacing w:before="10" w:after="10" w:line="240" w:lineRule="auto"/>
        <w:ind w:firstLine="640"/>
        <w:jc w:val="left"/>
        <w:outlineLvl w:val="5"/>
        <w:rPr>
          <w:rFonts w:ascii="黑体" w:hAnsi="黑体" w:eastAsia="黑体" w:cs="黑体"/>
          <w:color w:val="000000"/>
          <w:sz w:val="32"/>
        </w:rPr>
      </w:pPr>
    </w:p>
    <w:p w14:paraId="3A821A1E">
      <w:pPr>
        <w:spacing w:before="10" w:after="10" w:line="240" w:lineRule="auto"/>
        <w:ind w:firstLine="640"/>
        <w:jc w:val="left"/>
        <w:outlineLvl w:val="5"/>
        <w:rPr>
          <w:rFonts w:ascii="黑体" w:hAnsi="黑体" w:eastAsia="黑体" w:cs="黑体"/>
          <w:color w:val="000000"/>
          <w:sz w:val="32"/>
        </w:rPr>
      </w:pPr>
    </w:p>
    <w:p w14:paraId="3375C093">
      <w:pPr>
        <w:spacing w:before="10" w:after="10" w:line="240" w:lineRule="auto"/>
        <w:ind w:firstLine="640"/>
        <w:jc w:val="left"/>
        <w:outlineLvl w:val="5"/>
      </w:pPr>
      <w:r>
        <w:rPr>
          <w:rFonts w:ascii="黑体" w:hAnsi="黑体" w:eastAsia="黑体" w:cs="黑体"/>
          <w:color w:val="000000"/>
          <w:sz w:val="32"/>
        </w:rPr>
        <w:t>七、国有资产信息</w:t>
      </w:r>
    </w:p>
    <w:p w14:paraId="668F16FF">
      <w:pPr>
        <w:spacing w:before="0" w:after="0" w:line="500" w:lineRule="exact"/>
        <w:ind w:firstLine="560"/>
        <w:jc w:val="left"/>
        <w:outlineLvl w:val="9"/>
      </w:pPr>
      <w:r>
        <w:rPr>
          <w:rFonts w:ascii="Times New Roman" w:hAnsi="Times New Roman" w:eastAsia="方正仿宋_GBK" w:cs="Times New Roman"/>
          <w:b w:val="0"/>
          <w:color w:val="000000"/>
          <w:sz w:val="28"/>
        </w:rPr>
        <w:t>隆尧县北楼校区上年末固定资产金额为19649.68万元（详见下表）。本年度拟购置固定资产总额为102.17万元，已按要求列入政府采购预算，详见政府采购预算表。</w:t>
      </w:r>
    </w:p>
    <w:p w14:paraId="6769752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015E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3011A2F">
            <w:pPr>
              <w:pStyle w:val="8"/>
            </w:pPr>
            <w:r>
              <w:t>360018隆尧县北楼校区</w:t>
            </w:r>
          </w:p>
        </w:tc>
        <w:tc>
          <w:tcPr>
            <w:tcW w:w="5670" w:type="dxa"/>
            <w:gridSpan w:val="2"/>
            <w:tcBorders>
              <w:top w:val="single" w:color="FFFFFF" w:sz="6" w:space="0"/>
              <w:left w:val="single" w:color="FFFFFF" w:sz="6" w:space="0"/>
              <w:right w:val="single" w:color="FFFFFF" w:sz="6" w:space="0"/>
            </w:tcBorders>
            <w:vAlign w:val="center"/>
          </w:tcPr>
          <w:p w14:paraId="161BC25F">
            <w:pPr>
              <w:pStyle w:val="10"/>
            </w:pPr>
            <w:r>
              <w:t>截止时间：2024-12-31</w:t>
            </w:r>
          </w:p>
        </w:tc>
      </w:tr>
      <w:tr w14:paraId="20C14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957D536">
            <w:pPr>
              <w:pStyle w:val="11"/>
            </w:pPr>
            <w:r>
              <w:t>项   目</w:t>
            </w:r>
          </w:p>
        </w:tc>
        <w:tc>
          <w:tcPr>
            <w:tcW w:w="2835" w:type="dxa"/>
            <w:vAlign w:val="center"/>
          </w:tcPr>
          <w:p w14:paraId="56953807">
            <w:pPr>
              <w:pStyle w:val="11"/>
            </w:pPr>
            <w:r>
              <w:t>数量</w:t>
            </w:r>
          </w:p>
        </w:tc>
        <w:tc>
          <w:tcPr>
            <w:tcW w:w="2835" w:type="dxa"/>
            <w:vAlign w:val="center"/>
          </w:tcPr>
          <w:p w14:paraId="503119FA">
            <w:pPr>
              <w:pStyle w:val="11"/>
            </w:pPr>
            <w:r>
              <w:t>价值（金额单位：万元）</w:t>
            </w:r>
          </w:p>
        </w:tc>
      </w:tr>
      <w:tr w14:paraId="06210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6FC39E">
            <w:pPr>
              <w:pStyle w:val="13"/>
            </w:pPr>
            <w:r>
              <w:t>资产总额</w:t>
            </w:r>
          </w:p>
        </w:tc>
        <w:tc>
          <w:tcPr>
            <w:tcW w:w="2835" w:type="dxa"/>
            <w:vAlign w:val="center"/>
          </w:tcPr>
          <w:p w14:paraId="1198696C">
            <w:pPr>
              <w:pStyle w:val="12"/>
            </w:pPr>
          </w:p>
        </w:tc>
        <w:tc>
          <w:tcPr>
            <w:tcW w:w="2835" w:type="dxa"/>
            <w:vAlign w:val="center"/>
          </w:tcPr>
          <w:p w14:paraId="5753857D">
            <w:pPr>
              <w:pStyle w:val="14"/>
            </w:pPr>
            <w:r>
              <w:t>19649.68</w:t>
            </w:r>
          </w:p>
        </w:tc>
      </w:tr>
      <w:tr w14:paraId="71204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CD1449">
            <w:pPr>
              <w:pStyle w:val="13"/>
            </w:pPr>
            <w:r>
              <w:t>1、房屋（平方米）</w:t>
            </w:r>
          </w:p>
        </w:tc>
        <w:tc>
          <w:tcPr>
            <w:tcW w:w="2835" w:type="dxa"/>
            <w:vAlign w:val="center"/>
          </w:tcPr>
          <w:p w14:paraId="7410BE96">
            <w:pPr>
              <w:pStyle w:val="12"/>
            </w:pPr>
            <w:r>
              <w:t>21323.36</w:t>
            </w:r>
          </w:p>
        </w:tc>
        <w:tc>
          <w:tcPr>
            <w:tcW w:w="2835" w:type="dxa"/>
            <w:vAlign w:val="center"/>
          </w:tcPr>
          <w:p w14:paraId="586DD5E4">
            <w:pPr>
              <w:pStyle w:val="14"/>
            </w:pPr>
            <w:r>
              <w:t>18874.48</w:t>
            </w:r>
          </w:p>
        </w:tc>
      </w:tr>
      <w:tr w14:paraId="5ED62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18301D">
            <w:pPr>
              <w:pStyle w:val="13"/>
            </w:pPr>
            <w:r>
              <w:t>　　其中：办公用房（平方米）</w:t>
            </w:r>
          </w:p>
        </w:tc>
        <w:tc>
          <w:tcPr>
            <w:tcW w:w="2835" w:type="dxa"/>
            <w:vAlign w:val="center"/>
          </w:tcPr>
          <w:p w14:paraId="7D889B9A">
            <w:pPr>
              <w:pStyle w:val="12"/>
            </w:pPr>
            <w:r>
              <w:t>4132</w:t>
            </w:r>
          </w:p>
        </w:tc>
        <w:tc>
          <w:tcPr>
            <w:tcW w:w="2835" w:type="dxa"/>
            <w:vAlign w:val="center"/>
          </w:tcPr>
          <w:p w14:paraId="030CE81C">
            <w:pPr>
              <w:pStyle w:val="14"/>
            </w:pPr>
            <w:r>
              <w:t>3370.44</w:t>
            </w:r>
          </w:p>
        </w:tc>
      </w:tr>
      <w:tr w14:paraId="1188F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4180B8">
            <w:pPr>
              <w:pStyle w:val="13"/>
            </w:pPr>
            <w:r>
              <w:t>2、车辆（台、辆）</w:t>
            </w:r>
          </w:p>
        </w:tc>
        <w:tc>
          <w:tcPr>
            <w:tcW w:w="2835" w:type="dxa"/>
            <w:vAlign w:val="center"/>
          </w:tcPr>
          <w:p w14:paraId="446F8221">
            <w:pPr>
              <w:pStyle w:val="12"/>
            </w:pPr>
          </w:p>
        </w:tc>
        <w:tc>
          <w:tcPr>
            <w:tcW w:w="2835" w:type="dxa"/>
            <w:vAlign w:val="center"/>
          </w:tcPr>
          <w:p w14:paraId="0BFE662A">
            <w:pPr>
              <w:pStyle w:val="14"/>
            </w:pPr>
          </w:p>
        </w:tc>
      </w:tr>
      <w:tr w14:paraId="66297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1B55F7">
            <w:pPr>
              <w:pStyle w:val="13"/>
            </w:pPr>
            <w:r>
              <w:t>3、单价在20万元以上的设备</w:t>
            </w:r>
          </w:p>
        </w:tc>
        <w:tc>
          <w:tcPr>
            <w:tcW w:w="2835" w:type="dxa"/>
            <w:vAlign w:val="center"/>
          </w:tcPr>
          <w:p w14:paraId="6083C048">
            <w:pPr>
              <w:pStyle w:val="12"/>
            </w:pPr>
          </w:p>
        </w:tc>
        <w:tc>
          <w:tcPr>
            <w:tcW w:w="2835" w:type="dxa"/>
            <w:vAlign w:val="center"/>
          </w:tcPr>
          <w:p w14:paraId="4D268312">
            <w:pPr>
              <w:pStyle w:val="14"/>
            </w:pPr>
          </w:p>
        </w:tc>
      </w:tr>
      <w:tr w14:paraId="2EC8C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D021AB">
            <w:pPr>
              <w:pStyle w:val="13"/>
            </w:pPr>
            <w:r>
              <w:t>4、其他固定资产</w:t>
            </w:r>
          </w:p>
        </w:tc>
        <w:tc>
          <w:tcPr>
            <w:tcW w:w="2835" w:type="dxa"/>
            <w:vAlign w:val="center"/>
          </w:tcPr>
          <w:p w14:paraId="0CFBB4C1">
            <w:pPr>
              <w:pStyle w:val="12"/>
            </w:pPr>
            <w:r>
              <w:t>6830</w:t>
            </w:r>
          </w:p>
        </w:tc>
        <w:tc>
          <w:tcPr>
            <w:tcW w:w="2835" w:type="dxa"/>
            <w:vAlign w:val="center"/>
          </w:tcPr>
          <w:p w14:paraId="50CBC76A">
            <w:pPr>
              <w:pStyle w:val="14"/>
            </w:pPr>
            <w:r>
              <w:t>775.20</w:t>
            </w:r>
          </w:p>
        </w:tc>
      </w:tr>
    </w:tbl>
    <w:p w14:paraId="6B16A94F">
      <w:pPr>
        <w:spacing w:before="0" w:after="0"/>
        <w:ind w:firstLine="640"/>
        <w:jc w:val="left"/>
        <w:outlineLvl w:val="9"/>
      </w:pPr>
      <w:r>
        <w:rPr>
          <w:rFonts w:ascii="Times New Roman" w:hAnsi="Times New Roman" w:eastAsia="方正仿宋_GBK" w:cs="Times New Roman"/>
          <w:color w:val="000000"/>
          <w:sz w:val="32"/>
        </w:rPr>
        <w:t xml:space="preserve"> </w:t>
      </w:r>
    </w:p>
    <w:p w14:paraId="3D99ADCE">
      <w:pPr>
        <w:spacing w:before="10" w:after="10" w:line="240" w:lineRule="auto"/>
        <w:ind w:firstLine="640"/>
        <w:jc w:val="left"/>
        <w:outlineLvl w:val="5"/>
      </w:pPr>
      <w:r>
        <w:rPr>
          <w:rFonts w:ascii="黑体" w:hAnsi="黑体" w:eastAsia="黑体" w:cs="黑体"/>
          <w:color w:val="000000"/>
          <w:sz w:val="32"/>
        </w:rPr>
        <w:t>八、名词解释</w:t>
      </w:r>
    </w:p>
    <w:p w14:paraId="029B791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CBF02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681044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537E6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A626D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84C091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4F5F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F4B37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152D5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8B67A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81FA13">
      <w:pPr>
        <w:spacing w:before="10" w:after="10" w:line="240" w:lineRule="auto"/>
        <w:ind w:firstLine="640"/>
        <w:jc w:val="left"/>
        <w:outlineLvl w:val="5"/>
      </w:pPr>
      <w:r>
        <w:rPr>
          <w:rFonts w:ascii="黑体" w:hAnsi="黑体" w:eastAsia="黑体" w:cs="黑体"/>
          <w:color w:val="000000"/>
          <w:sz w:val="32"/>
        </w:rPr>
        <w:t>九、其他需要说明的事项</w:t>
      </w:r>
    </w:p>
    <w:p w14:paraId="46363BB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2F7A7AB">
      <w:pPr>
        <w:spacing w:before="0" w:after="0"/>
        <w:ind w:firstLine="0"/>
        <w:jc w:val="center"/>
        <w:outlineLvl w:val="3"/>
      </w:pPr>
      <w:bookmarkStart w:id="18" w:name="_Toc_4_4_0000000038"/>
      <w:r>
        <w:rPr>
          <w:rFonts w:ascii="方正小标宋_GBK" w:hAnsi="方正小标宋_GBK" w:eastAsia="方正小标宋_GBK" w:cs="方正小标宋_GBK"/>
          <w:b w:val="0"/>
          <w:color w:val="000000"/>
          <w:sz w:val="44"/>
        </w:rPr>
        <w:t>十八、隆尧县东良校区收支预算</w:t>
      </w:r>
      <w:bookmarkEnd w:id="18"/>
    </w:p>
    <w:p w14:paraId="77F849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6C09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D76EAE">
            <w:pPr>
              <w:pStyle w:val="8"/>
            </w:pPr>
            <w:r>
              <w:t>360019隆尧县东良校区</w:t>
            </w:r>
          </w:p>
        </w:tc>
        <w:tc>
          <w:tcPr>
            <w:tcW w:w="2126" w:type="dxa"/>
            <w:tcBorders>
              <w:top w:val="single" w:color="FFFFFF" w:sz="6" w:space="0"/>
              <w:left w:val="single" w:color="FFFFFF" w:sz="6" w:space="0"/>
              <w:right w:val="single" w:color="FFFFFF" w:sz="6" w:space="0"/>
            </w:tcBorders>
            <w:vAlign w:val="center"/>
          </w:tcPr>
          <w:p w14:paraId="1DEAA03B">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34A46B0">
            <w:pPr>
              <w:pStyle w:val="10"/>
            </w:pPr>
            <w:r>
              <w:t>单位：万元</w:t>
            </w:r>
          </w:p>
        </w:tc>
      </w:tr>
      <w:tr w14:paraId="09791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C9ECE8">
            <w:pPr>
              <w:pStyle w:val="11"/>
            </w:pPr>
            <w:r>
              <w:t>序号</w:t>
            </w:r>
          </w:p>
        </w:tc>
        <w:tc>
          <w:tcPr>
            <w:tcW w:w="6661" w:type="dxa"/>
            <w:gridSpan w:val="2"/>
            <w:vAlign w:val="center"/>
          </w:tcPr>
          <w:p w14:paraId="440E3152">
            <w:pPr>
              <w:pStyle w:val="11"/>
            </w:pPr>
            <w:r>
              <w:t>收入</w:t>
            </w:r>
          </w:p>
        </w:tc>
        <w:tc>
          <w:tcPr>
            <w:tcW w:w="6661" w:type="dxa"/>
            <w:gridSpan w:val="2"/>
            <w:vAlign w:val="center"/>
          </w:tcPr>
          <w:p w14:paraId="5D84D1EC">
            <w:pPr>
              <w:pStyle w:val="11"/>
            </w:pPr>
            <w:r>
              <w:t>支出</w:t>
            </w:r>
          </w:p>
        </w:tc>
      </w:tr>
      <w:tr w14:paraId="352CD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ED4FDB"/>
        </w:tc>
        <w:tc>
          <w:tcPr>
            <w:tcW w:w="4535" w:type="dxa"/>
            <w:vAlign w:val="center"/>
          </w:tcPr>
          <w:p w14:paraId="4BF07D51">
            <w:pPr>
              <w:pStyle w:val="11"/>
            </w:pPr>
            <w:r>
              <w:t>项  目</w:t>
            </w:r>
          </w:p>
        </w:tc>
        <w:tc>
          <w:tcPr>
            <w:tcW w:w="2126" w:type="dxa"/>
            <w:vAlign w:val="center"/>
          </w:tcPr>
          <w:p w14:paraId="792712FB">
            <w:pPr>
              <w:pStyle w:val="11"/>
            </w:pPr>
            <w:r>
              <w:t>预算数</w:t>
            </w:r>
          </w:p>
        </w:tc>
        <w:tc>
          <w:tcPr>
            <w:tcW w:w="4535" w:type="dxa"/>
            <w:vAlign w:val="center"/>
          </w:tcPr>
          <w:p w14:paraId="43D36FA7">
            <w:pPr>
              <w:pStyle w:val="11"/>
            </w:pPr>
            <w:r>
              <w:t>项  目</w:t>
            </w:r>
          </w:p>
        </w:tc>
        <w:tc>
          <w:tcPr>
            <w:tcW w:w="2126" w:type="dxa"/>
            <w:vAlign w:val="center"/>
          </w:tcPr>
          <w:p w14:paraId="4AB95252">
            <w:pPr>
              <w:pStyle w:val="11"/>
            </w:pPr>
            <w:r>
              <w:t>预算数</w:t>
            </w:r>
          </w:p>
        </w:tc>
      </w:tr>
      <w:tr w14:paraId="2D8BC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1D6528">
            <w:pPr>
              <w:pStyle w:val="11"/>
            </w:pPr>
            <w:r>
              <w:t>栏次</w:t>
            </w:r>
          </w:p>
        </w:tc>
        <w:tc>
          <w:tcPr>
            <w:tcW w:w="4535" w:type="dxa"/>
            <w:vAlign w:val="center"/>
          </w:tcPr>
          <w:p w14:paraId="0323793C">
            <w:pPr>
              <w:pStyle w:val="11"/>
            </w:pPr>
            <w:r>
              <w:t>1</w:t>
            </w:r>
          </w:p>
        </w:tc>
        <w:tc>
          <w:tcPr>
            <w:tcW w:w="2126" w:type="dxa"/>
            <w:vAlign w:val="center"/>
          </w:tcPr>
          <w:p w14:paraId="1FA7029B">
            <w:pPr>
              <w:pStyle w:val="11"/>
            </w:pPr>
            <w:r>
              <w:t>2</w:t>
            </w:r>
          </w:p>
        </w:tc>
        <w:tc>
          <w:tcPr>
            <w:tcW w:w="4535" w:type="dxa"/>
            <w:vAlign w:val="center"/>
          </w:tcPr>
          <w:p w14:paraId="43CA4514">
            <w:pPr>
              <w:pStyle w:val="11"/>
            </w:pPr>
            <w:r>
              <w:t>3</w:t>
            </w:r>
          </w:p>
        </w:tc>
        <w:tc>
          <w:tcPr>
            <w:tcW w:w="2126" w:type="dxa"/>
            <w:vAlign w:val="center"/>
          </w:tcPr>
          <w:p w14:paraId="51A3D541">
            <w:pPr>
              <w:pStyle w:val="11"/>
            </w:pPr>
            <w:r>
              <w:t>4</w:t>
            </w:r>
          </w:p>
        </w:tc>
      </w:tr>
      <w:tr w14:paraId="6875E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C493C">
            <w:pPr>
              <w:pStyle w:val="12"/>
            </w:pPr>
            <w:r>
              <w:t>1</w:t>
            </w:r>
          </w:p>
        </w:tc>
        <w:tc>
          <w:tcPr>
            <w:tcW w:w="4535" w:type="dxa"/>
            <w:vAlign w:val="center"/>
          </w:tcPr>
          <w:p w14:paraId="13BD53BF">
            <w:pPr>
              <w:pStyle w:val="13"/>
            </w:pPr>
            <w:r>
              <w:t>一、一般公共预算拨款收入</w:t>
            </w:r>
          </w:p>
        </w:tc>
        <w:tc>
          <w:tcPr>
            <w:tcW w:w="2126" w:type="dxa"/>
            <w:vAlign w:val="center"/>
          </w:tcPr>
          <w:p w14:paraId="226AEDC0">
            <w:pPr>
              <w:pStyle w:val="14"/>
            </w:pPr>
            <w:r>
              <w:t>3182.86</w:t>
            </w:r>
          </w:p>
        </w:tc>
        <w:tc>
          <w:tcPr>
            <w:tcW w:w="4535" w:type="dxa"/>
            <w:vAlign w:val="center"/>
          </w:tcPr>
          <w:p w14:paraId="705BD7EF">
            <w:pPr>
              <w:pStyle w:val="13"/>
            </w:pPr>
            <w:r>
              <w:t>一、一般公共服务支出</w:t>
            </w:r>
          </w:p>
        </w:tc>
        <w:tc>
          <w:tcPr>
            <w:tcW w:w="2126" w:type="dxa"/>
            <w:vAlign w:val="center"/>
          </w:tcPr>
          <w:p w14:paraId="1F12A6EB">
            <w:pPr>
              <w:pStyle w:val="14"/>
            </w:pPr>
          </w:p>
        </w:tc>
      </w:tr>
      <w:tr w14:paraId="79893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2DD2D">
            <w:pPr>
              <w:pStyle w:val="12"/>
            </w:pPr>
            <w:r>
              <w:t>2</w:t>
            </w:r>
          </w:p>
        </w:tc>
        <w:tc>
          <w:tcPr>
            <w:tcW w:w="4535" w:type="dxa"/>
            <w:vAlign w:val="center"/>
          </w:tcPr>
          <w:p w14:paraId="14586C8A">
            <w:pPr>
              <w:pStyle w:val="13"/>
            </w:pPr>
            <w:r>
              <w:t>二、政府性基金预算拨款收入</w:t>
            </w:r>
          </w:p>
        </w:tc>
        <w:tc>
          <w:tcPr>
            <w:tcW w:w="2126" w:type="dxa"/>
            <w:vAlign w:val="center"/>
          </w:tcPr>
          <w:p w14:paraId="22821B11">
            <w:pPr>
              <w:pStyle w:val="14"/>
            </w:pPr>
          </w:p>
        </w:tc>
        <w:tc>
          <w:tcPr>
            <w:tcW w:w="4535" w:type="dxa"/>
            <w:vAlign w:val="center"/>
          </w:tcPr>
          <w:p w14:paraId="206674E6">
            <w:pPr>
              <w:pStyle w:val="13"/>
            </w:pPr>
            <w:r>
              <w:t>二、外交支出</w:t>
            </w:r>
          </w:p>
        </w:tc>
        <w:tc>
          <w:tcPr>
            <w:tcW w:w="2126" w:type="dxa"/>
            <w:vAlign w:val="center"/>
          </w:tcPr>
          <w:p w14:paraId="63AF9705">
            <w:pPr>
              <w:pStyle w:val="14"/>
            </w:pPr>
          </w:p>
        </w:tc>
      </w:tr>
      <w:tr w14:paraId="3CE03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48CD9">
            <w:pPr>
              <w:pStyle w:val="12"/>
            </w:pPr>
            <w:r>
              <w:t>3</w:t>
            </w:r>
          </w:p>
        </w:tc>
        <w:tc>
          <w:tcPr>
            <w:tcW w:w="4535" w:type="dxa"/>
            <w:vAlign w:val="center"/>
          </w:tcPr>
          <w:p w14:paraId="65E0BCD1">
            <w:pPr>
              <w:pStyle w:val="13"/>
            </w:pPr>
            <w:r>
              <w:t>三、国有资本经营预算拨款收入</w:t>
            </w:r>
          </w:p>
        </w:tc>
        <w:tc>
          <w:tcPr>
            <w:tcW w:w="2126" w:type="dxa"/>
            <w:vAlign w:val="center"/>
          </w:tcPr>
          <w:p w14:paraId="40F1FFA8">
            <w:pPr>
              <w:pStyle w:val="14"/>
            </w:pPr>
          </w:p>
        </w:tc>
        <w:tc>
          <w:tcPr>
            <w:tcW w:w="4535" w:type="dxa"/>
            <w:vAlign w:val="center"/>
          </w:tcPr>
          <w:p w14:paraId="16A9E7AC">
            <w:pPr>
              <w:pStyle w:val="13"/>
            </w:pPr>
            <w:r>
              <w:t>三、国防支出</w:t>
            </w:r>
          </w:p>
        </w:tc>
        <w:tc>
          <w:tcPr>
            <w:tcW w:w="2126" w:type="dxa"/>
            <w:vAlign w:val="center"/>
          </w:tcPr>
          <w:p w14:paraId="68DCB34D">
            <w:pPr>
              <w:pStyle w:val="14"/>
            </w:pPr>
          </w:p>
        </w:tc>
      </w:tr>
      <w:tr w14:paraId="2B0B5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FCB6E">
            <w:pPr>
              <w:pStyle w:val="12"/>
            </w:pPr>
            <w:r>
              <w:t>4</w:t>
            </w:r>
          </w:p>
        </w:tc>
        <w:tc>
          <w:tcPr>
            <w:tcW w:w="4535" w:type="dxa"/>
            <w:vAlign w:val="center"/>
          </w:tcPr>
          <w:p w14:paraId="0F488F4D">
            <w:pPr>
              <w:pStyle w:val="13"/>
            </w:pPr>
            <w:r>
              <w:t>四、财政专户管理资金收入</w:t>
            </w:r>
          </w:p>
        </w:tc>
        <w:tc>
          <w:tcPr>
            <w:tcW w:w="2126" w:type="dxa"/>
            <w:vAlign w:val="center"/>
          </w:tcPr>
          <w:p w14:paraId="5F542908">
            <w:pPr>
              <w:pStyle w:val="14"/>
            </w:pPr>
          </w:p>
        </w:tc>
        <w:tc>
          <w:tcPr>
            <w:tcW w:w="4535" w:type="dxa"/>
            <w:vAlign w:val="center"/>
          </w:tcPr>
          <w:p w14:paraId="4F245034">
            <w:pPr>
              <w:pStyle w:val="13"/>
            </w:pPr>
            <w:r>
              <w:t>四、公共安全支出</w:t>
            </w:r>
          </w:p>
        </w:tc>
        <w:tc>
          <w:tcPr>
            <w:tcW w:w="2126" w:type="dxa"/>
            <w:vAlign w:val="center"/>
          </w:tcPr>
          <w:p w14:paraId="5E1BC78A">
            <w:pPr>
              <w:pStyle w:val="14"/>
            </w:pPr>
          </w:p>
        </w:tc>
      </w:tr>
      <w:tr w14:paraId="1B20D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37980">
            <w:pPr>
              <w:pStyle w:val="12"/>
            </w:pPr>
            <w:r>
              <w:t>5</w:t>
            </w:r>
          </w:p>
        </w:tc>
        <w:tc>
          <w:tcPr>
            <w:tcW w:w="4535" w:type="dxa"/>
            <w:vAlign w:val="center"/>
          </w:tcPr>
          <w:p w14:paraId="29512AB1">
            <w:pPr>
              <w:pStyle w:val="13"/>
            </w:pPr>
            <w:r>
              <w:t>五、单位资金</w:t>
            </w:r>
          </w:p>
        </w:tc>
        <w:tc>
          <w:tcPr>
            <w:tcW w:w="2126" w:type="dxa"/>
            <w:vAlign w:val="center"/>
          </w:tcPr>
          <w:p w14:paraId="35EDE76E">
            <w:pPr>
              <w:pStyle w:val="14"/>
            </w:pPr>
          </w:p>
        </w:tc>
        <w:tc>
          <w:tcPr>
            <w:tcW w:w="4535" w:type="dxa"/>
            <w:vAlign w:val="center"/>
          </w:tcPr>
          <w:p w14:paraId="5C6C3820">
            <w:pPr>
              <w:pStyle w:val="13"/>
            </w:pPr>
            <w:r>
              <w:t>五、教育支出</w:t>
            </w:r>
          </w:p>
        </w:tc>
        <w:tc>
          <w:tcPr>
            <w:tcW w:w="2126" w:type="dxa"/>
            <w:vAlign w:val="center"/>
          </w:tcPr>
          <w:p w14:paraId="5AE815D7">
            <w:pPr>
              <w:pStyle w:val="14"/>
            </w:pPr>
            <w:r>
              <w:t>3227.04</w:t>
            </w:r>
          </w:p>
        </w:tc>
      </w:tr>
      <w:tr w14:paraId="2D998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200BF">
            <w:pPr>
              <w:pStyle w:val="12"/>
            </w:pPr>
            <w:r>
              <w:t>6</w:t>
            </w:r>
          </w:p>
        </w:tc>
        <w:tc>
          <w:tcPr>
            <w:tcW w:w="4535" w:type="dxa"/>
            <w:vAlign w:val="center"/>
          </w:tcPr>
          <w:p w14:paraId="1BF85888">
            <w:pPr>
              <w:pStyle w:val="13"/>
            </w:pPr>
          </w:p>
        </w:tc>
        <w:tc>
          <w:tcPr>
            <w:tcW w:w="2126" w:type="dxa"/>
            <w:vAlign w:val="center"/>
          </w:tcPr>
          <w:p w14:paraId="208009E1">
            <w:pPr>
              <w:pStyle w:val="14"/>
            </w:pPr>
          </w:p>
        </w:tc>
        <w:tc>
          <w:tcPr>
            <w:tcW w:w="4535" w:type="dxa"/>
            <w:vAlign w:val="center"/>
          </w:tcPr>
          <w:p w14:paraId="36EFB9A4">
            <w:pPr>
              <w:pStyle w:val="13"/>
            </w:pPr>
            <w:r>
              <w:t>六、科学技术支出</w:t>
            </w:r>
          </w:p>
        </w:tc>
        <w:tc>
          <w:tcPr>
            <w:tcW w:w="2126" w:type="dxa"/>
            <w:vAlign w:val="center"/>
          </w:tcPr>
          <w:p w14:paraId="64A2C418">
            <w:pPr>
              <w:pStyle w:val="14"/>
            </w:pPr>
          </w:p>
        </w:tc>
      </w:tr>
      <w:tr w14:paraId="550DA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ECFB0">
            <w:pPr>
              <w:pStyle w:val="12"/>
            </w:pPr>
            <w:r>
              <w:t>7</w:t>
            </w:r>
          </w:p>
        </w:tc>
        <w:tc>
          <w:tcPr>
            <w:tcW w:w="4535" w:type="dxa"/>
            <w:vAlign w:val="center"/>
          </w:tcPr>
          <w:p w14:paraId="1D3699B4">
            <w:pPr>
              <w:pStyle w:val="13"/>
            </w:pPr>
          </w:p>
        </w:tc>
        <w:tc>
          <w:tcPr>
            <w:tcW w:w="2126" w:type="dxa"/>
            <w:vAlign w:val="center"/>
          </w:tcPr>
          <w:p w14:paraId="6ECE54CC">
            <w:pPr>
              <w:pStyle w:val="14"/>
            </w:pPr>
          </w:p>
        </w:tc>
        <w:tc>
          <w:tcPr>
            <w:tcW w:w="4535" w:type="dxa"/>
            <w:vAlign w:val="center"/>
          </w:tcPr>
          <w:p w14:paraId="0247D8C3">
            <w:pPr>
              <w:pStyle w:val="13"/>
            </w:pPr>
            <w:r>
              <w:t>七、文化旅游体育与传媒支出</w:t>
            </w:r>
          </w:p>
        </w:tc>
        <w:tc>
          <w:tcPr>
            <w:tcW w:w="2126" w:type="dxa"/>
            <w:vAlign w:val="center"/>
          </w:tcPr>
          <w:p w14:paraId="7FD020A9">
            <w:pPr>
              <w:pStyle w:val="14"/>
            </w:pPr>
          </w:p>
        </w:tc>
      </w:tr>
      <w:tr w14:paraId="123B3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E8AF9">
            <w:pPr>
              <w:pStyle w:val="12"/>
            </w:pPr>
            <w:r>
              <w:t>8</w:t>
            </w:r>
          </w:p>
        </w:tc>
        <w:tc>
          <w:tcPr>
            <w:tcW w:w="4535" w:type="dxa"/>
            <w:vAlign w:val="center"/>
          </w:tcPr>
          <w:p w14:paraId="72153B68">
            <w:pPr>
              <w:pStyle w:val="13"/>
            </w:pPr>
          </w:p>
        </w:tc>
        <w:tc>
          <w:tcPr>
            <w:tcW w:w="2126" w:type="dxa"/>
            <w:vAlign w:val="center"/>
          </w:tcPr>
          <w:p w14:paraId="440C0F62">
            <w:pPr>
              <w:pStyle w:val="14"/>
            </w:pPr>
          </w:p>
        </w:tc>
        <w:tc>
          <w:tcPr>
            <w:tcW w:w="4535" w:type="dxa"/>
            <w:vAlign w:val="center"/>
          </w:tcPr>
          <w:p w14:paraId="1A318414">
            <w:pPr>
              <w:pStyle w:val="13"/>
            </w:pPr>
            <w:r>
              <w:t>八、社会保障和就业支出</w:t>
            </w:r>
          </w:p>
        </w:tc>
        <w:tc>
          <w:tcPr>
            <w:tcW w:w="2126" w:type="dxa"/>
            <w:vAlign w:val="center"/>
          </w:tcPr>
          <w:p w14:paraId="6E167060">
            <w:pPr>
              <w:pStyle w:val="14"/>
            </w:pPr>
            <w:r>
              <w:t>24.43</w:t>
            </w:r>
          </w:p>
        </w:tc>
      </w:tr>
      <w:tr w14:paraId="3E84E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276EA">
            <w:pPr>
              <w:pStyle w:val="12"/>
            </w:pPr>
            <w:r>
              <w:t>9</w:t>
            </w:r>
          </w:p>
        </w:tc>
        <w:tc>
          <w:tcPr>
            <w:tcW w:w="4535" w:type="dxa"/>
            <w:vAlign w:val="center"/>
          </w:tcPr>
          <w:p w14:paraId="28A33074">
            <w:pPr>
              <w:pStyle w:val="13"/>
            </w:pPr>
          </w:p>
        </w:tc>
        <w:tc>
          <w:tcPr>
            <w:tcW w:w="2126" w:type="dxa"/>
            <w:vAlign w:val="center"/>
          </w:tcPr>
          <w:p w14:paraId="13AAD0C2">
            <w:pPr>
              <w:pStyle w:val="14"/>
            </w:pPr>
          </w:p>
        </w:tc>
        <w:tc>
          <w:tcPr>
            <w:tcW w:w="4535" w:type="dxa"/>
            <w:vAlign w:val="center"/>
          </w:tcPr>
          <w:p w14:paraId="399C692F">
            <w:pPr>
              <w:pStyle w:val="13"/>
            </w:pPr>
            <w:r>
              <w:t>九、社会保险基金支出</w:t>
            </w:r>
          </w:p>
        </w:tc>
        <w:tc>
          <w:tcPr>
            <w:tcW w:w="2126" w:type="dxa"/>
            <w:vAlign w:val="center"/>
          </w:tcPr>
          <w:p w14:paraId="65F35C32">
            <w:pPr>
              <w:pStyle w:val="14"/>
            </w:pPr>
          </w:p>
        </w:tc>
      </w:tr>
      <w:tr w14:paraId="4C93D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36572">
            <w:pPr>
              <w:pStyle w:val="12"/>
            </w:pPr>
            <w:r>
              <w:t>10</w:t>
            </w:r>
          </w:p>
        </w:tc>
        <w:tc>
          <w:tcPr>
            <w:tcW w:w="4535" w:type="dxa"/>
            <w:vAlign w:val="center"/>
          </w:tcPr>
          <w:p w14:paraId="04E4FAF1">
            <w:pPr>
              <w:pStyle w:val="13"/>
            </w:pPr>
          </w:p>
        </w:tc>
        <w:tc>
          <w:tcPr>
            <w:tcW w:w="2126" w:type="dxa"/>
            <w:vAlign w:val="center"/>
          </w:tcPr>
          <w:p w14:paraId="77FB8933">
            <w:pPr>
              <w:pStyle w:val="14"/>
            </w:pPr>
          </w:p>
        </w:tc>
        <w:tc>
          <w:tcPr>
            <w:tcW w:w="4535" w:type="dxa"/>
            <w:vAlign w:val="center"/>
          </w:tcPr>
          <w:p w14:paraId="6ECD21D1">
            <w:pPr>
              <w:pStyle w:val="13"/>
            </w:pPr>
            <w:r>
              <w:t>十、卫生健康支出</w:t>
            </w:r>
          </w:p>
        </w:tc>
        <w:tc>
          <w:tcPr>
            <w:tcW w:w="2126" w:type="dxa"/>
            <w:vAlign w:val="center"/>
          </w:tcPr>
          <w:p w14:paraId="20218245">
            <w:pPr>
              <w:pStyle w:val="14"/>
            </w:pPr>
          </w:p>
        </w:tc>
      </w:tr>
      <w:tr w14:paraId="3AE2A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1261D">
            <w:pPr>
              <w:pStyle w:val="12"/>
            </w:pPr>
            <w:r>
              <w:t>11</w:t>
            </w:r>
          </w:p>
        </w:tc>
        <w:tc>
          <w:tcPr>
            <w:tcW w:w="4535" w:type="dxa"/>
            <w:vAlign w:val="center"/>
          </w:tcPr>
          <w:p w14:paraId="5E97BCEE">
            <w:pPr>
              <w:pStyle w:val="13"/>
            </w:pPr>
          </w:p>
        </w:tc>
        <w:tc>
          <w:tcPr>
            <w:tcW w:w="2126" w:type="dxa"/>
            <w:vAlign w:val="center"/>
          </w:tcPr>
          <w:p w14:paraId="67E56BE4">
            <w:pPr>
              <w:pStyle w:val="14"/>
            </w:pPr>
          </w:p>
        </w:tc>
        <w:tc>
          <w:tcPr>
            <w:tcW w:w="4535" w:type="dxa"/>
            <w:vAlign w:val="center"/>
          </w:tcPr>
          <w:p w14:paraId="6503BB19">
            <w:pPr>
              <w:pStyle w:val="13"/>
            </w:pPr>
            <w:r>
              <w:t>十一、节能环保支出</w:t>
            </w:r>
          </w:p>
        </w:tc>
        <w:tc>
          <w:tcPr>
            <w:tcW w:w="2126" w:type="dxa"/>
            <w:vAlign w:val="center"/>
          </w:tcPr>
          <w:p w14:paraId="3E05F6F4">
            <w:pPr>
              <w:pStyle w:val="14"/>
            </w:pPr>
          </w:p>
        </w:tc>
      </w:tr>
      <w:tr w14:paraId="47AC5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73E94">
            <w:pPr>
              <w:pStyle w:val="12"/>
            </w:pPr>
            <w:r>
              <w:t>12</w:t>
            </w:r>
          </w:p>
        </w:tc>
        <w:tc>
          <w:tcPr>
            <w:tcW w:w="4535" w:type="dxa"/>
            <w:vAlign w:val="center"/>
          </w:tcPr>
          <w:p w14:paraId="4297AB1A">
            <w:pPr>
              <w:pStyle w:val="13"/>
            </w:pPr>
          </w:p>
        </w:tc>
        <w:tc>
          <w:tcPr>
            <w:tcW w:w="2126" w:type="dxa"/>
            <w:vAlign w:val="center"/>
          </w:tcPr>
          <w:p w14:paraId="0567CD28">
            <w:pPr>
              <w:pStyle w:val="14"/>
            </w:pPr>
          </w:p>
        </w:tc>
        <w:tc>
          <w:tcPr>
            <w:tcW w:w="4535" w:type="dxa"/>
            <w:vAlign w:val="center"/>
          </w:tcPr>
          <w:p w14:paraId="263A96A3">
            <w:pPr>
              <w:pStyle w:val="13"/>
            </w:pPr>
            <w:r>
              <w:t>十二、城乡社区支出</w:t>
            </w:r>
          </w:p>
        </w:tc>
        <w:tc>
          <w:tcPr>
            <w:tcW w:w="2126" w:type="dxa"/>
            <w:vAlign w:val="center"/>
          </w:tcPr>
          <w:p w14:paraId="27643478">
            <w:pPr>
              <w:pStyle w:val="14"/>
            </w:pPr>
          </w:p>
        </w:tc>
      </w:tr>
      <w:tr w14:paraId="1CFAA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C16D9">
            <w:pPr>
              <w:pStyle w:val="12"/>
            </w:pPr>
            <w:r>
              <w:t>13</w:t>
            </w:r>
          </w:p>
        </w:tc>
        <w:tc>
          <w:tcPr>
            <w:tcW w:w="4535" w:type="dxa"/>
            <w:vAlign w:val="center"/>
          </w:tcPr>
          <w:p w14:paraId="2C60975D">
            <w:pPr>
              <w:pStyle w:val="13"/>
            </w:pPr>
          </w:p>
        </w:tc>
        <w:tc>
          <w:tcPr>
            <w:tcW w:w="2126" w:type="dxa"/>
            <w:vAlign w:val="center"/>
          </w:tcPr>
          <w:p w14:paraId="46400A80">
            <w:pPr>
              <w:pStyle w:val="14"/>
            </w:pPr>
          </w:p>
        </w:tc>
        <w:tc>
          <w:tcPr>
            <w:tcW w:w="4535" w:type="dxa"/>
            <w:vAlign w:val="center"/>
          </w:tcPr>
          <w:p w14:paraId="07187182">
            <w:pPr>
              <w:pStyle w:val="13"/>
            </w:pPr>
            <w:r>
              <w:t>十三、农林水支出</w:t>
            </w:r>
          </w:p>
        </w:tc>
        <w:tc>
          <w:tcPr>
            <w:tcW w:w="2126" w:type="dxa"/>
            <w:vAlign w:val="center"/>
          </w:tcPr>
          <w:p w14:paraId="47215803">
            <w:pPr>
              <w:pStyle w:val="14"/>
            </w:pPr>
          </w:p>
        </w:tc>
      </w:tr>
      <w:tr w14:paraId="72AB2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7DEFE">
            <w:pPr>
              <w:pStyle w:val="12"/>
            </w:pPr>
            <w:r>
              <w:t>14</w:t>
            </w:r>
          </w:p>
        </w:tc>
        <w:tc>
          <w:tcPr>
            <w:tcW w:w="4535" w:type="dxa"/>
            <w:vAlign w:val="center"/>
          </w:tcPr>
          <w:p w14:paraId="024EA156">
            <w:pPr>
              <w:pStyle w:val="13"/>
            </w:pPr>
          </w:p>
        </w:tc>
        <w:tc>
          <w:tcPr>
            <w:tcW w:w="2126" w:type="dxa"/>
            <w:vAlign w:val="center"/>
          </w:tcPr>
          <w:p w14:paraId="0294ED36">
            <w:pPr>
              <w:pStyle w:val="14"/>
            </w:pPr>
          </w:p>
        </w:tc>
        <w:tc>
          <w:tcPr>
            <w:tcW w:w="4535" w:type="dxa"/>
            <w:vAlign w:val="center"/>
          </w:tcPr>
          <w:p w14:paraId="361B6320">
            <w:pPr>
              <w:pStyle w:val="13"/>
            </w:pPr>
            <w:r>
              <w:t>十四、交通运输支出</w:t>
            </w:r>
          </w:p>
        </w:tc>
        <w:tc>
          <w:tcPr>
            <w:tcW w:w="2126" w:type="dxa"/>
            <w:vAlign w:val="center"/>
          </w:tcPr>
          <w:p w14:paraId="5F83ACFB">
            <w:pPr>
              <w:pStyle w:val="14"/>
            </w:pPr>
          </w:p>
        </w:tc>
      </w:tr>
      <w:tr w14:paraId="5B8DB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2A5B2">
            <w:pPr>
              <w:pStyle w:val="12"/>
            </w:pPr>
            <w:r>
              <w:t>15</w:t>
            </w:r>
          </w:p>
        </w:tc>
        <w:tc>
          <w:tcPr>
            <w:tcW w:w="4535" w:type="dxa"/>
            <w:vAlign w:val="center"/>
          </w:tcPr>
          <w:p w14:paraId="14804F7F">
            <w:pPr>
              <w:pStyle w:val="13"/>
            </w:pPr>
          </w:p>
        </w:tc>
        <w:tc>
          <w:tcPr>
            <w:tcW w:w="2126" w:type="dxa"/>
            <w:vAlign w:val="center"/>
          </w:tcPr>
          <w:p w14:paraId="01962A60">
            <w:pPr>
              <w:pStyle w:val="14"/>
            </w:pPr>
          </w:p>
        </w:tc>
        <w:tc>
          <w:tcPr>
            <w:tcW w:w="4535" w:type="dxa"/>
            <w:vAlign w:val="center"/>
          </w:tcPr>
          <w:p w14:paraId="6E6736C2">
            <w:pPr>
              <w:pStyle w:val="13"/>
            </w:pPr>
            <w:r>
              <w:t>十五、资源勘探工业信息等支出</w:t>
            </w:r>
          </w:p>
        </w:tc>
        <w:tc>
          <w:tcPr>
            <w:tcW w:w="2126" w:type="dxa"/>
            <w:vAlign w:val="center"/>
          </w:tcPr>
          <w:p w14:paraId="0AAB0A29">
            <w:pPr>
              <w:pStyle w:val="14"/>
            </w:pPr>
          </w:p>
        </w:tc>
      </w:tr>
      <w:tr w14:paraId="6BE5F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68055">
            <w:pPr>
              <w:pStyle w:val="12"/>
            </w:pPr>
            <w:r>
              <w:t>16</w:t>
            </w:r>
          </w:p>
        </w:tc>
        <w:tc>
          <w:tcPr>
            <w:tcW w:w="4535" w:type="dxa"/>
            <w:vAlign w:val="center"/>
          </w:tcPr>
          <w:p w14:paraId="7BD7C8F7">
            <w:pPr>
              <w:pStyle w:val="13"/>
            </w:pPr>
          </w:p>
        </w:tc>
        <w:tc>
          <w:tcPr>
            <w:tcW w:w="2126" w:type="dxa"/>
            <w:vAlign w:val="center"/>
          </w:tcPr>
          <w:p w14:paraId="3495F14E">
            <w:pPr>
              <w:pStyle w:val="14"/>
            </w:pPr>
          </w:p>
        </w:tc>
        <w:tc>
          <w:tcPr>
            <w:tcW w:w="4535" w:type="dxa"/>
            <w:vAlign w:val="center"/>
          </w:tcPr>
          <w:p w14:paraId="53215951">
            <w:pPr>
              <w:pStyle w:val="13"/>
            </w:pPr>
            <w:r>
              <w:t>十六、商业服务业等支出</w:t>
            </w:r>
          </w:p>
        </w:tc>
        <w:tc>
          <w:tcPr>
            <w:tcW w:w="2126" w:type="dxa"/>
            <w:vAlign w:val="center"/>
          </w:tcPr>
          <w:p w14:paraId="71B9C59D">
            <w:pPr>
              <w:pStyle w:val="14"/>
            </w:pPr>
          </w:p>
        </w:tc>
      </w:tr>
      <w:tr w14:paraId="346FB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829AC">
            <w:pPr>
              <w:pStyle w:val="12"/>
            </w:pPr>
            <w:r>
              <w:t>17</w:t>
            </w:r>
          </w:p>
        </w:tc>
        <w:tc>
          <w:tcPr>
            <w:tcW w:w="4535" w:type="dxa"/>
            <w:vAlign w:val="center"/>
          </w:tcPr>
          <w:p w14:paraId="5021C1B3">
            <w:pPr>
              <w:pStyle w:val="13"/>
            </w:pPr>
          </w:p>
        </w:tc>
        <w:tc>
          <w:tcPr>
            <w:tcW w:w="2126" w:type="dxa"/>
            <w:vAlign w:val="center"/>
          </w:tcPr>
          <w:p w14:paraId="13120CB9">
            <w:pPr>
              <w:pStyle w:val="14"/>
            </w:pPr>
          </w:p>
        </w:tc>
        <w:tc>
          <w:tcPr>
            <w:tcW w:w="4535" w:type="dxa"/>
            <w:vAlign w:val="center"/>
          </w:tcPr>
          <w:p w14:paraId="0614C5C3">
            <w:pPr>
              <w:pStyle w:val="13"/>
            </w:pPr>
            <w:r>
              <w:t>十七、金融支出</w:t>
            </w:r>
          </w:p>
        </w:tc>
        <w:tc>
          <w:tcPr>
            <w:tcW w:w="2126" w:type="dxa"/>
            <w:vAlign w:val="center"/>
          </w:tcPr>
          <w:p w14:paraId="6C62FAEC">
            <w:pPr>
              <w:pStyle w:val="14"/>
            </w:pPr>
          </w:p>
        </w:tc>
      </w:tr>
      <w:tr w14:paraId="57005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F8801">
            <w:pPr>
              <w:pStyle w:val="12"/>
            </w:pPr>
            <w:r>
              <w:t>18</w:t>
            </w:r>
          </w:p>
        </w:tc>
        <w:tc>
          <w:tcPr>
            <w:tcW w:w="4535" w:type="dxa"/>
            <w:vAlign w:val="center"/>
          </w:tcPr>
          <w:p w14:paraId="54109C26">
            <w:pPr>
              <w:pStyle w:val="13"/>
            </w:pPr>
          </w:p>
        </w:tc>
        <w:tc>
          <w:tcPr>
            <w:tcW w:w="2126" w:type="dxa"/>
            <w:vAlign w:val="center"/>
          </w:tcPr>
          <w:p w14:paraId="4E0E9AD3">
            <w:pPr>
              <w:pStyle w:val="14"/>
            </w:pPr>
          </w:p>
        </w:tc>
        <w:tc>
          <w:tcPr>
            <w:tcW w:w="4535" w:type="dxa"/>
            <w:vAlign w:val="center"/>
          </w:tcPr>
          <w:p w14:paraId="1074E9BB">
            <w:pPr>
              <w:pStyle w:val="13"/>
            </w:pPr>
            <w:r>
              <w:t>十八、援助其他地区支出</w:t>
            </w:r>
          </w:p>
        </w:tc>
        <w:tc>
          <w:tcPr>
            <w:tcW w:w="2126" w:type="dxa"/>
            <w:vAlign w:val="center"/>
          </w:tcPr>
          <w:p w14:paraId="0D4CA43B">
            <w:pPr>
              <w:pStyle w:val="14"/>
            </w:pPr>
          </w:p>
        </w:tc>
      </w:tr>
      <w:tr w14:paraId="1EA89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EA835">
            <w:pPr>
              <w:pStyle w:val="12"/>
            </w:pPr>
            <w:r>
              <w:t>19</w:t>
            </w:r>
          </w:p>
        </w:tc>
        <w:tc>
          <w:tcPr>
            <w:tcW w:w="4535" w:type="dxa"/>
            <w:vAlign w:val="center"/>
          </w:tcPr>
          <w:p w14:paraId="33A21EFE">
            <w:pPr>
              <w:pStyle w:val="13"/>
            </w:pPr>
          </w:p>
        </w:tc>
        <w:tc>
          <w:tcPr>
            <w:tcW w:w="2126" w:type="dxa"/>
            <w:vAlign w:val="center"/>
          </w:tcPr>
          <w:p w14:paraId="0D935DA5">
            <w:pPr>
              <w:pStyle w:val="14"/>
            </w:pPr>
          </w:p>
        </w:tc>
        <w:tc>
          <w:tcPr>
            <w:tcW w:w="4535" w:type="dxa"/>
            <w:vAlign w:val="center"/>
          </w:tcPr>
          <w:p w14:paraId="608F839C">
            <w:pPr>
              <w:pStyle w:val="13"/>
            </w:pPr>
            <w:r>
              <w:t>十九、自然资源海洋气象等支出</w:t>
            </w:r>
          </w:p>
        </w:tc>
        <w:tc>
          <w:tcPr>
            <w:tcW w:w="2126" w:type="dxa"/>
            <w:vAlign w:val="center"/>
          </w:tcPr>
          <w:p w14:paraId="5526ABA5">
            <w:pPr>
              <w:pStyle w:val="14"/>
            </w:pPr>
          </w:p>
        </w:tc>
      </w:tr>
      <w:tr w14:paraId="3E705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5BC32">
            <w:pPr>
              <w:pStyle w:val="12"/>
            </w:pPr>
            <w:r>
              <w:t>20</w:t>
            </w:r>
          </w:p>
        </w:tc>
        <w:tc>
          <w:tcPr>
            <w:tcW w:w="4535" w:type="dxa"/>
            <w:vAlign w:val="center"/>
          </w:tcPr>
          <w:p w14:paraId="77223F47">
            <w:pPr>
              <w:pStyle w:val="13"/>
            </w:pPr>
          </w:p>
        </w:tc>
        <w:tc>
          <w:tcPr>
            <w:tcW w:w="2126" w:type="dxa"/>
            <w:vAlign w:val="center"/>
          </w:tcPr>
          <w:p w14:paraId="5360E7F2">
            <w:pPr>
              <w:pStyle w:val="14"/>
            </w:pPr>
          </w:p>
        </w:tc>
        <w:tc>
          <w:tcPr>
            <w:tcW w:w="4535" w:type="dxa"/>
            <w:vAlign w:val="center"/>
          </w:tcPr>
          <w:p w14:paraId="64A06F6F">
            <w:pPr>
              <w:pStyle w:val="13"/>
            </w:pPr>
            <w:r>
              <w:t>二十、住房保障支出</w:t>
            </w:r>
          </w:p>
        </w:tc>
        <w:tc>
          <w:tcPr>
            <w:tcW w:w="2126" w:type="dxa"/>
            <w:vAlign w:val="center"/>
          </w:tcPr>
          <w:p w14:paraId="11D56FE5">
            <w:pPr>
              <w:pStyle w:val="14"/>
            </w:pPr>
          </w:p>
        </w:tc>
      </w:tr>
      <w:tr w14:paraId="7BE10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D006F">
            <w:pPr>
              <w:pStyle w:val="12"/>
            </w:pPr>
            <w:r>
              <w:t>21</w:t>
            </w:r>
          </w:p>
        </w:tc>
        <w:tc>
          <w:tcPr>
            <w:tcW w:w="4535" w:type="dxa"/>
            <w:vAlign w:val="center"/>
          </w:tcPr>
          <w:p w14:paraId="02D35F42">
            <w:pPr>
              <w:pStyle w:val="13"/>
            </w:pPr>
          </w:p>
        </w:tc>
        <w:tc>
          <w:tcPr>
            <w:tcW w:w="2126" w:type="dxa"/>
            <w:vAlign w:val="center"/>
          </w:tcPr>
          <w:p w14:paraId="370BE66F">
            <w:pPr>
              <w:pStyle w:val="14"/>
            </w:pPr>
          </w:p>
        </w:tc>
        <w:tc>
          <w:tcPr>
            <w:tcW w:w="4535" w:type="dxa"/>
            <w:vAlign w:val="center"/>
          </w:tcPr>
          <w:p w14:paraId="0057F77F">
            <w:pPr>
              <w:pStyle w:val="13"/>
            </w:pPr>
            <w:r>
              <w:t>二十一、粮油物资储备支出</w:t>
            </w:r>
          </w:p>
        </w:tc>
        <w:tc>
          <w:tcPr>
            <w:tcW w:w="2126" w:type="dxa"/>
            <w:vAlign w:val="center"/>
          </w:tcPr>
          <w:p w14:paraId="705C2DC1">
            <w:pPr>
              <w:pStyle w:val="14"/>
            </w:pPr>
          </w:p>
        </w:tc>
      </w:tr>
      <w:tr w14:paraId="7A2B0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1B626">
            <w:pPr>
              <w:pStyle w:val="12"/>
            </w:pPr>
            <w:r>
              <w:t>22</w:t>
            </w:r>
          </w:p>
        </w:tc>
        <w:tc>
          <w:tcPr>
            <w:tcW w:w="4535" w:type="dxa"/>
            <w:vAlign w:val="center"/>
          </w:tcPr>
          <w:p w14:paraId="60046B16">
            <w:pPr>
              <w:pStyle w:val="13"/>
            </w:pPr>
          </w:p>
        </w:tc>
        <w:tc>
          <w:tcPr>
            <w:tcW w:w="2126" w:type="dxa"/>
            <w:vAlign w:val="center"/>
          </w:tcPr>
          <w:p w14:paraId="7B702892">
            <w:pPr>
              <w:pStyle w:val="14"/>
            </w:pPr>
          </w:p>
        </w:tc>
        <w:tc>
          <w:tcPr>
            <w:tcW w:w="4535" w:type="dxa"/>
            <w:vAlign w:val="center"/>
          </w:tcPr>
          <w:p w14:paraId="78FC912D">
            <w:pPr>
              <w:pStyle w:val="13"/>
            </w:pPr>
            <w:r>
              <w:t>二十二、国有资本经营预算支出</w:t>
            </w:r>
          </w:p>
        </w:tc>
        <w:tc>
          <w:tcPr>
            <w:tcW w:w="2126" w:type="dxa"/>
            <w:vAlign w:val="center"/>
          </w:tcPr>
          <w:p w14:paraId="09EC609E">
            <w:pPr>
              <w:pStyle w:val="14"/>
            </w:pPr>
          </w:p>
        </w:tc>
      </w:tr>
      <w:tr w14:paraId="0D015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5C118">
            <w:pPr>
              <w:pStyle w:val="12"/>
            </w:pPr>
            <w:r>
              <w:t>23</w:t>
            </w:r>
          </w:p>
        </w:tc>
        <w:tc>
          <w:tcPr>
            <w:tcW w:w="4535" w:type="dxa"/>
            <w:vAlign w:val="center"/>
          </w:tcPr>
          <w:p w14:paraId="5882B895">
            <w:pPr>
              <w:pStyle w:val="13"/>
            </w:pPr>
          </w:p>
        </w:tc>
        <w:tc>
          <w:tcPr>
            <w:tcW w:w="2126" w:type="dxa"/>
            <w:vAlign w:val="center"/>
          </w:tcPr>
          <w:p w14:paraId="535F4337">
            <w:pPr>
              <w:pStyle w:val="14"/>
            </w:pPr>
          </w:p>
        </w:tc>
        <w:tc>
          <w:tcPr>
            <w:tcW w:w="4535" w:type="dxa"/>
            <w:vAlign w:val="center"/>
          </w:tcPr>
          <w:p w14:paraId="474F6691">
            <w:pPr>
              <w:pStyle w:val="13"/>
            </w:pPr>
            <w:r>
              <w:t>二十三、灾害防治及应急管理支出</w:t>
            </w:r>
          </w:p>
        </w:tc>
        <w:tc>
          <w:tcPr>
            <w:tcW w:w="2126" w:type="dxa"/>
            <w:vAlign w:val="center"/>
          </w:tcPr>
          <w:p w14:paraId="15F287C2">
            <w:pPr>
              <w:pStyle w:val="14"/>
            </w:pPr>
          </w:p>
        </w:tc>
      </w:tr>
      <w:tr w14:paraId="2F762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4F509">
            <w:pPr>
              <w:pStyle w:val="12"/>
            </w:pPr>
            <w:r>
              <w:t>24</w:t>
            </w:r>
          </w:p>
        </w:tc>
        <w:tc>
          <w:tcPr>
            <w:tcW w:w="4535" w:type="dxa"/>
            <w:vAlign w:val="center"/>
          </w:tcPr>
          <w:p w14:paraId="1548940D">
            <w:pPr>
              <w:pStyle w:val="13"/>
            </w:pPr>
          </w:p>
        </w:tc>
        <w:tc>
          <w:tcPr>
            <w:tcW w:w="2126" w:type="dxa"/>
            <w:vAlign w:val="center"/>
          </w:tcPr>
          <w:p w14:paraId="6014FACD">
            <w:pPr>
              <w:pStyle w:val="14"/>
            </w:pPr>
          </w:p>
        </w:tc>
        <w:tc>
          <w:tcPr>
            <w:tcW w:w="4535" w:type="dxa"/>
            <w:vAlign w:val="center"/>
          </w:tcPr>
          <w:p w14:paraId="042D36FB">
            <w:pPr>
              <w:pStyle w:val="13"/>
            </w:pPr>
            <w:r>
              <w:t>二十四、预备费</w:t>
            </w:r>
          </w:p>
        </w:tc>
        <w:tc>
          <w:tcPr>
            <w:tcW w:w="2126" w:type="dxa"/>
            <w:vAlign w:val="center"/>
          </w:tcPr>
          <w:p w14:paraId="0765DE24">
            <w:pPr>
              <w:pStyle w:val="14"/>
            </w:pPr>
          </w:p>
        </w:tc>
      </w:tr>
      <w:tr w14:paraId="660A8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0391B">
            <w:pPr>
              <w:pStyle w:val="12"/>
            </w:pPr>
            <w:r>
              <w:t>25</w:t>
            </w:r>
          </w:p>
        </w:tc>
        <w:tc>
          <w:tcPr>
            <w:tcW w:w="4535" w:type="dxa"/>
            <w:vAlign w:val="center"/>
          </w:tcPr>
          <w:p w14:paraId="7A7461D6">
            <w:pPr>
              <w:pStyle w:val="13"/>
            </w:pPr>
          </w:p>
        </w:tc>
        <w:tc>
          <w:tcPr>
            <w:tcW w:w="2126" w:type="dxa"/>
            <w:vAlign w:val="center"/>
          </w:tcPr>
          <w:p w14:paraId="6DB401EC">
            <w:pPr>
              <w:pStyle w:val="14"/>
            </w:pPr>
          </w:p>
        </w:tc>
        <w:tc>
          <w:tcPr>
            <w:tcW w:w="4535" w:type="dxa"/>
            <w:vAlign w:val="center"/>
          </w:tcPr>
          <w:p w14:paraId="049B4C41">
            <w:pPr>
              <w:pStyle w:val="13"/>
            </w:pPr>
            <w:r>
              <w:t>二十五、其他支出</w:t>
            </w:r>
          </w:p>
        </w:tc>
        <w:tc>
          <w:tcPr>
            <w:tcW w:w="2126" w:type="dxa"/>
            <w:vAlign w:val="center"/>
          </w:tcPr>
          <w:p w14:paraId="7F68EF95">
            <w:pPr>
              <w:pStyle w:val="14"/>
            </w:pPr>
          </w:p>
        </w:tc>
      </w:tr>
      <w:tr w14:paraId="70403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553F6">
            <w:pPr>
              <w:pStyle w:val="12"/>
            </w:pPr>
            <w:r>
              <w:t>26</w:t>
            </w:r>
          </w:p>
        </w:tc>
        <w:tc>
          <w:tcPr>
            <w:tcW w:w="4535" w:type="dxa"/>
            <w:vAlign w:val="center"/>
          </w:tcPr>
          <w:p w14:paraId="71AD4952">
            <w:pPr>
              <w:pStyle w:val="13"/>
            </w:pPr>
          </w:p>
        </w:tc>
        <w:tc>
          <w:tcPr>
            <w:tcW w:w="2126" w:type="dxa"/>
            <w:vAlign w:val="center"/>
          </w:tcPr>
          <w:p w14:paraId="65010358">
            <w:pPr>
              <w:pStyle w:val="14"/>
            </w:pPr>
          </w:p>
        </w:tc>
        <w:tc>
          <w:tcPr>
            <w:tcW w:w="4535" w:type="dxa"/>
            <w:vAlign w:val="center"/>
          </w:tcPr>
          <w:p w14:paraId="4715BC0E">
            <w:pPr>
              <w:pStyle w:val="13"/>
            </w:pPr>
            <w:r>
              <w:t>二十六、转移性支出</w:t>
            </w:r>
          </w:p>
        </w:tc>
        <w:tc>
          <w:tcPr>
            <w:tcW w:w="2126" w:type="dxa"/>
            <w:vAlign w:val="center"/>
          </w:tcPr>
          <w:p w14:paraId="7305368E">
            <w:pPr>
              <w:pStyle w:val="14"/>
            </w:pPr>
          </w:p>
        </w:tc>
      </w:tr>
      <w:tr w14:paraId="429DD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695D8">
            <w:pPr>
              <w:pStyle w:val="12"/>
            </w:pPr>
            <w:r>
              <w:t>27</w:t>
            </w:r>
          </w:p>
        </w:tc>
        <w:tc>
          <w:tcPr>
            <w:tcW w:w="4535" w:type="dxa"/>
            <w:vAlign w:val="center"/>
          </w:tcPr>
          <w:p w14:paraId="67849565">
            <w:pPr>
              <w:pStyle w:val="13"/>
            </w:pPr>
          </w:p>
        </w:tc>
        <w:tc>
          <w:tcPr>
            <w:tcW w:w="2126" w:type="dxa"/>
            <w:vAlign w:val="center"/>
          </w:tcPr>
          <w:p w14:paraId="30430A41">
            <w:pPr>
              <w:pStyle w:val="14"/>
            </w:pPr>
          </w:p>
        </w:tc>
        <w:tc>
          <w:tcPr>
            <w:tcW w:w="4535" w:type="dxa"/>
            <w:vAlign w:val="center"/>
          </w:tcPr>
          <w:p w14:paraId="1D1407D2">
            <w:pPr>
              <w:pStyle w:val="13"/>
            </w:pPr>
            <w:r>
              <w:t>二十七、债务还本支出</w:t>
            </w:r>
          </w:p>
        </w:tc>
        <w:tc>
          <w:tcPr>
            <w:tcW w:w="2126" w:type="dxa"/>
            <w:vAlign w:val="center"/>
          </w:tcPr>
          <w:p w14:paraId="4607D20C">
            <w:pPr>
              <w:pStyle w:val="14"/>
            </w:pPr>
          </w:p>
        </w:tc>
      </w:tr>
      <w:tr w14:paraId="76E85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AEF4D">
            <w:pPr>
              <w:pStyle w:val="12"/>
            </w:pPr>
            <w:r>
              <w:t>28</w:t>
            </w:r>
          </w:p>
        </w:tc>
        <w:tc>
          <w:tcPr>
            <w:tcW w:w="4535" w:type="dxa"/>
            <w:vAlign w:val="center"/>
          </w:tcPr>
          <w:p w14:paraId="75237C24">
            <w:pPr>
              <w:pStyle w:val="13"/>
            </w:pPr>
          </w:p>
        </w:tc>
        <w:tc>
          <w:tcPr>
            <w:tcW w:w="2126" w:type="dxa"/>
            <w:vAlign w:val="center"/>
          </w:tcPr>
          <w:p w14:paraId="3184E122">
            <w:pPr>
              <w:pStyle w:val="14"/>
            </w:pPr>
          </w:p>
        </w:tc>
        <w:tc>
          <w:tcPr>
            <w:tcW w:w="4535" w:type="dxa"/>
            <w:vAlign w:val="center"/>
          </w:tcPr>
          <w:p w14:paraId="04705526">
            <w:pPr>
              <w:pStyle w:val="13"/>
            </w:pPr>
            <w:r>
              <w:t>二十八、债务付息支出</w:t>
            </w:r>
          </w:p>
        </w:tc>
        <w:tc>
          <w:tcPr>
            <w:tcW w:w="2126" w:type="dxa"/>
            <w:vAlign w:val="center"/>
          </w:tcPr>
          <w:p w14:paraId="08A644E6">
            <w:pPr>
              <w:pStyle w:val="14"/>
            </w:pPr>
          </w:p>
        </w:tc>
      </w:tr>
      <w:tr w14:paraId="7D045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7BD49">
            <w:pPr>
              <w:pStyle w:val="12"/>
            </w:pPr>
            <w:r>
              <w:t>29</w:t>
            </w:r>
          </w:p>
        </w:tc>
        <w:tc>
          <w:tcPr>
            <w:tcW w:w="4535" w:type="dxa"/>
            <w:vAlign w:val="center"/>
          </w:tcPr>
          <w:p w14:paraId="7E64C6F7">
            <w:pPr>
              <w:pStyle w:val="13"/>
            </w:pPr>
          </w:p>
        </w:tc>
        <w:tc>
          <w:tcPr>
            <w:tcW w:w="2126" w:type="dxa"/>
            <w:vAlign w:val="center"/>
          </w:tcPr>
          <w:p w14:paraId="3E04014E">
            <w:pPr>
              <w:pStyle w:val="14"/>
            </w:pPr>
          </w:p>
        </w:tc>
        <w:tc>
          <w:tcPr>
            <w:tcW w:w="4535" w:type="dxa"/>
            <w:vAlign w:val="center"/>
          </w:tcPr>
          <w:p w14:paraId="27F01684">
            <w:pPr>
              <w:pStyle w:val="13"/>
            </w:pPr>
            <w:r>
              <w:t>二十九、债务发行费用支出</w:t>
            </w:r>
          </w:p>
        </w:tc>
        <w:tc>
          <w:tcPr>
            <w:tcW w:w="2126" w:type="dxa"/>
            <w:vAlign w:val="center"/>
          </w:tcPr>
          <w:p w14:paraId="5CFBFFB5">
            <w:pPr>
              <w:pStyle w:val="14"/>
            </w:pPr>
          </w:p>
        </w:tc>
      </w:tr>
      <w:tr w14:paraId="5675C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46F3A">
            <w:pPr>
              <w:pStyle w:val="12"/>
            </w:pPr>
            <w:r>
              <w:t>30</w:t>
            </w:r>
          </w:p>
        </w:tc>
        <w:tc>
          <w:tcPr>
            <w:tcW w:w="4535" w:type="dxa"/>
            <w:vAlign w:val="center"/>
          </w:tcPr>
          <w:p w14:paraId="4335F326">
            <w:pPr>
              <w:pStyle w:val="13"/>
            </w:pPr>
          </w:p>
        </w:tc>
        <w:tc>
          <w:tcPr>
            <w:tcW w:w="2126" w:type="dxa"/>
            <w:vAlign w:val="center"/>
          </w:tcPr>
          <w:p w14:paraId="030B129D">
            <w:pPr>
              <w:pStyle w:val="14"/>
            </w:pPr>
          </w:p>
        </w:tc>
        <w:tc>
          <w:tcPr>
            <w:tcW w:w="4535" w:type="dxa"/>
            <w:vAlign w:val="center"/>
          </w:tcPr>
          <w:p w14:paraId="222F6F7B">
            <w:pPr>
              <w:pStyle w:val="13"/>
            </w:pPr>
            <w:r>
              <w:t>三十、抗疫特别国债安排的支出</w:t>
            </w:r>
          </w:p>
        </w:tc>
        <w:tc>
          <w:tcPr>
            <w:tcW w:w="2126" w:type="dxa"/>
            <w:vAlign w:val="center"/>
          </w:tcPr>
          <w:p w14:paraId="55C51B46">
            <w:pPr>
              <w:pStyle w:val="14"/>
            </w:pPr>
          </w:p>
        </w:tc>
      </w:tr>
      <w:tr w14:paraId="12B1E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BA5DC">
            <w:pPr>
              <w:pStyle w:val="12"/>
            </w:pPr>
            <w:r>
              <w:t>31</w:t>
            </w:r>
          </w:p>
        </w:tc>
        <w:tc>
          <w:tcPr>
            <w:tcW w:w="4535" w:type="dxa"/>
            <w:vAlign w:val="center"/>
          </w:tcPr>
          <w:p w14:paraId="7A2DAA99">
            <w:pPr>
              <w:pStyle w:val="13"/>
            </w:pPr>
          </w:p>
        </w:tc>
        <w:tc>
          <w:tcPr>
            <w:tcW w:w="2126" w:type="dxa"/>
            <w:vAlign w:val="center"/>
          </w:tcPr>
          <w:p w14:paraId="7B4B4AE5">
            <w:pPr>
              <w:pStyle w:val="14"/>
            </w:pPr>
          </w:p>
        </w:tc>
        <w:tc>
          <w:tcPr>
            <w:tcW w:w="4535" w:type="dxa"/>
            <w:vAlign w:val="center"/>
          </w:tcPr>
          <w:p w14:paraId="573916C0">
            <w:pPr>
              <w:pStyle w:val="13"/>
            </w:pPr>
            <w:r>
              <w:t>三十一、人行科目</w:t>
            </w:r>
          </w:p>
        </w:tc>
        <w:tc>
          <w:tcPr>
            <w:tcW w:w="2126" w:type="dxa"/>
            <w:vAlign w:val="center"/>
          </w:tcPr>
          <w:p w14:paraId="7CBAAEA4">
            <w:pPr>
              <w:pStyle w:val="14"/>
            </w:pPr>
          </w:p>
        </w:tc>
      </w:tr>
      <w:tr w14:paraId="31C7C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595C4">
            <w:pPr>
              <w:pStyle w:val="12"/>
            </w:pPr>
            <w:r>
              <w:t>32</w:t>
            </w:r>
          </w:p>
        </w:tc>
        <w:tc>
          <w:tcPr>
            <w:tcW w:w="4535" w:type="dxa"/>
            <w:vAlign w:val="center"/>
          </w:tcPr>
          <w:p w14:paraId="18817807">
            <w:pPr>
              <w:pStyle w:val="15"/>
            </w:pPr>
            <w:r>
              <w:t>本年收入合计</w:t>
            </w:r>
          </w:p>
        </w:tc>
        <w:tc>
          <w:tcPr>
            <w:tcW w:w="2126" w:type="dxa"/>
            <w:vAlign w:val="center"/>
          </w:tcPr>
          <w:p w14:paraId="5FB931FC">
            <w:pPr>
              <w:pStyle w:val="16"/>
            </w:pPr>
            <w:r>
              <w:t>3182.86</w:t>
            </w:r>
          </w:p>
        </w:tc>
        <w:tc>
          <w:tcPr>
            <w:tcW w:w="4535" w:type="dxa"/>
            <w:vAlign w:val="center"/>
          </w:tcPr>
          <w:p w14:paraId="52AD668A">
            <w:pPr>
              <w:pStyle w:val="15"/>
            </w:pPr>
            <w:r>
              <w:t>本年支出合计</w:t>
            </w:r>
          </w:p>
        </w:tc>
        <w:tc>
          <w:tcPr>
            <w:tcW w:w="2126" w:type="dxa"/>
            <w:vAlign w:val="center"/>
          </w:tcPr>
          <w:p w14:paraId="49C051A2">
            <w:pPr>
              <w:pStyle w:val="16"/>
            </w:pPr>
            <w:r>
              <w:t>3251.47</w:t>
            </w:r>
          </w:p>
        </w:tc>
      </w:tr>
      <w:tr w14:paraId="57ED9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4C288">
            <w:pPr>
              <w:pStyle w:val="12"/>
            </w:pPr>
            <w:r>
              <w:t>33</w:t>
            </w:r>
          </w:p>
        </w:tc>
        <w:tc>
          <w:tcPr>
            <w:tcW w:w="4535" w:type="dxa"/>
            <w:vAlign w:val="center"/>
          </w:tcPr>
          <w:p w14:paraId="05A481E0">
            <w:pPr>
              <w:pStyle w:val="13"/>
            </w:pPr>
            <w:r>
              <w:t>上年结转结余</w:t>
            </w:r>
          </w:p>
        </w:tc>
        <w:tc>
          <w:tcPr>
            <w:tcW w:w="2126" w:type="dxa"/>
            <w:vAlign w:val="center"/>
          </w:tcPr>
          <w:p w14:paraId="2D586CE4">
            <w:pPr>
              <w:pStyle w:val="14"/>
            </w:pPr>
            <w:r>
              <w:t>68.61</w:t>
            </w:r>
          </w:p>
        </w:tc>
        <w:tc>
          <w:tcPr>
            <w:tcW w:w="4535" w:type="dxa"/>
            <w:vAlign w:val="center"/>
          </w:tcPr>
          <w:p w14:paraId="5726961E">
            <w:pPr>
              <w:pStyle w:val="13"/>
            </w:pPr>
            <w:r>
              <w:t>年终结转结余</w:t>
            </w:r>
          </w:p>
        </w:tc>
        <w:tc>
          <w:tcPr>
            <w:tcW w:w="2126" w:type="dxa"/>
            <w:vAlign w:val="center"/>
          </w:tcPr>
          <w:p w14:paraId="4F03E87E">
            <w:pPr>
              <w:pStyle w:val="14"/>
            </w:pPr>
          </w:p>
        </w:tc>
      </w:tr>
      <w:tr w14:paraId="12163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1A102">
            <w:pPr>
              <w:pStyle w:val="12"/>
            </w:pPr>
            <w:r>
              <w:t>34</w:t>
            </w:r>
          </w:p>
        </w:tc>
        <w:tc>
          <w:tcPr>
            <w:tcW w:w="4535" w:type="dxa"/>
            <w:vAlign w:val="center"/>
          </w:tcPr>
          <w:p w14:paraId="4A5930BF">
            <w:pPr>
              <w:pStyle w:val="15"/>
            </w:pPr>
            <w:r>
              <w:t>收入总计</w:t>
            </w:r>
          </w:p>
        </w:tc>
        <w:tc>
          <w:tcPr>
            <w:tcW w:w="2126" w:type="dxa"/>
            <w:vAlign w:val="center"/>
          </w:tcPr>
          <w:p w14:paraId="6417CC75">
            <w:pPr>
              <w:pStyle w:val="16"/>
            </w:pPr>
            <w:r>
              <w:t>3251.47</w:t>
            </w:r>
          </w:p>
        </w:tc>
        <w:tc>
          <w:tcPr>
            <w:tcW w:w="4535" w:type="dxa"/>
            <w:vAlign w:val="center"/>
          </w:tcPr>
          <w:p w14:paraId="4B8458C6">
            <w:pPr>
              <w:pStyle w:val="15"/>
            </w:pPr>
            <w:r>
              <w:t>支出总计</w:t>
            </w:r>
          </w:p>
        </w:tc>
        <w:tc>
          <w:tcPr>
            <w:tcW w:w="2126" w:type="dxa"/>
            <w:vAlign w:val="center"/>
          </w:tcPr>
          <w:p w14:paraId="3E4A4670">
            <w:pPr>
              <w:pStyle w:val="16"/>
            </w:pPr>
            <w:r>
              <w:t>3251.47</w:t>
            </w:r>
          </w:p>
        </w:tc>
      </w:tr>
    </w:tbl>
    <w:p w14:paraId="55759171">
      <w:pPr>
        <w:sectPr>
          <w:pgSz w:w="16840" w:h="11900" w:orient="landscape"/>
          <w:pgMar w:top="1361" w:right="1020" w:bottom="1134" w:left="1020" w:header="720" w:footer="720" w:gutter="0"/>
          <w:cols w:space="720" w:num="1"/>
        </w:sectPr>
      </w:pPr>
    </w:p>
    <w:p w14:paraId="521EAE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F223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3FC6DA">
            <w:pPr>
              <w:pStyle w:val="8"/>
            </w:pPr>
            <w:r>
              <w:t>360019隆尧县东良校区</w:t>
            </w:r>
          </w:p>
        </w:tc>
        <w:tc>
          <w:tcPr>
            <w:tcW w:w="3402" w:type="dxa"/>
            <w:gridSpan w:val="3"/>
            <w:tcBorders>
              <w:top w:val="single" w:color="FFFFFF" w:sz="6" w:space="0"/>
              <w:left w:val="single" w:color="FFFFFF" w:sz="6" w:space="0"/>
              <w:right w:val="single" w:color="FFFFFF" w:sz="6" w:space="0"/>
            </w:tcBorders>
            <w:vAlign w:val="center"/>
          </w:tcPr>
          <w:p w14:paraId="2A041188">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D9A99B0">
            <w:pPr>
              <w:pStyle w:val="10"/>
            </w:pPr>
            <w:r>
              <w:t>单位：万元</w:t>
            </w:r>
          </w:p>
        </w:tc>
      </w:tr>
      <w:tr w14:paraId="5E719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D70F23">
            <w:pPr>
              <w:pStyle w:val="11"/>
            </w:pPr>
            <w:r>
              <w:t>序号</w:t>
            </w:r>
          </w:p>
        </w:tc>
        <w:tc>
          <w:tcPr>
            <w:tcW w:w="2551" w:type="dxa"/>
            <w:gridSpan w:val="2"/>
            <w:vAlign w:val="center"/>
          </w:tcPr>
          <w:p w14:paraId="2FDE3184">
            <w:pPr>
              <w:pStyle w:val="11"/>
            </w:pPr>
            <w:r>
              <w:t>功能分类科目</w:t>
            </w:r>
          </w:p>
        </w:tc>
        <w:tc>
          <w:tcPr>
            <w:tcW w:w="1134" w:type="dxa"/>
            <w:vMerge w:val="restart"/>
            <w:vAlign w:val="center"/>
          </w:tcPr>
          <w:p w14:paraId="5B1E06AC">
            <w:pPr>
              <w:pStyle w:val="11"/>
            </w:pPr>
            <w:r>
              <w:t>合计</w:t>
            </w:r>
          </w:p>
        </w:tc>
        <w:tc>
          <w:tcPr>
            <w:tcW w:w="9072" w:type="dxa"/>
            <w:gridSpan w:val="8"/>
            <w:vAlign w:val="center"/>
          </w:tcPr>
          <w:p w14:paraId="0A8A986F">
            <w:pPr>
              <w:pStyle w:val="11"/>
            </w:pPr>
            <w:r>
              <w:t>本年收入</w:t>
            </w:r>
          </w:p>
        </w:tc>
        <w:tc>
          <w:tcPr>
            <w:tcW w:w="1134" w:type="dxa"/>
            <w:vMerge w:val="restart"/>
            <w:vAlign w:val="center"/>
          </w:tcPr>
          <w:p w14:paraId="465FAA68">
            <w:pPr>
              <w:pStyle w:val="11"/>
            </w:pPr>
            <w:r>
              <w:t>上年结转</w:t>
            </w:r>
          </w:p>
        </w:tc>
      </w:tr>
      <w:tr w14:paraId="30B2E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748044"/>
        </w:tc>
        <w:tc>
          <w:tcPr>
            <w:tcW w:w="992" w:type="dxa"/>
            <w:vAlign w:val="center"/>
          </w:tcPr>
          <w:p w14:paraId="7BCB6746">
            <w:pPr>
              <w:pStyle w:val="11"/>
            </w:pPr>
            <w:r>
              <w:t>科目    编码</w:t>
            </w:r>
          </w:p>
        </w:tc>
        <w:tc>
          <w:tcPr>
            <w:tcW w:w="1559" w:type="dxa"/>
            <w:vAlign w:val="center"/>
          </w:tcPr>
          <w:p w14:paraId="59755E8F">
            <w:pPr>
              <w:pStyle w:val="11"/>
            </w:pPr>
            <w:r>
              <w:t>科目名称</w:t>
            </w:r>
          </w:p>
        </w:tc>
        <w:tc>
          <w:tcPr>
            <w:tcW w:w="1134" w:type="dxa"/>
            <w:vMerge w:val="continue"/>
          </w:tcPr>
          <w:p w14:paraId="1DD303CD"/>
        </w:tc>
        <w:tc>
          <w:tcPr>
            <w:tcW w:w="1134" w:type="dxa"/>
            <w:vAlign w:val="center"/>
          </w:tcPr>
          <w:p w14:paraId="545A44A7">
            <w:pPr>
              <w:pStyle w:val="11"/>
            </w:pPr>
            <w:r>
              <w:t>小计</w:t>
            </w:r>
          </w:p>
        </w:tc>
        <w:tc>
          <w:tcPr>
            <w:tcW w:w="1134" w:type="dxa"/>
            <w:vAlign w:val="center"/>
          </w:tcPr>
          <w:p w14:paraId="12B193B8">
            <w:pPr>
              <w:pStyle w:val="11"/>
            </w:pPr>
            <w:r>
              <w:t>财政拨款 收入</w:t>
            </w:r>
          </w:p>
        </w:tc>
        <w:tc>
          <w:tcPr>
            <w:tcW w:w="1134" w:type="dxa"/>
            <w:vAlign w:val="center"/>
          </w:tcPr>
          <w:p w14:paraId="01E18E1F">
            <w:pPr>
              <w:pStyle w:val="11"/>
            </w:pPr>
            <w:r>
              <w:t>财政专户 收入</w:t>
            </w:r>
          </w:p>
        </w:tc>
        <w:tc>
          <w:tcPr>
            <w:tcW w:w="1134" w:type="dxa"/>
            <w:vAlign w:val="center"/>
          </w:tcPr>
          <w:p w14:paraId="59854E38">
            <w:pPr>
              <w:pStyle w:val="11"/>
            </w:pPr>
            <w:r>
              <w:t>事业收入</w:t>
            </w:r>
          </w:p>
        </w:tc>
        <w:tc>
          <w:tcPr>
            <w:tcW w:w="1134" w:type="dxa"/>
            <w:vAlign w:val="center"/>
          </w:tcPr>
          <w:p w14:paraId="7256EE49">
            <w:pPr>
              <w:pStyle w:val="11"/>
            </w:pPr>
            <w:r>
              <w:t>经营收入</w:t>
            </w:r>
          </w:p>
        </w:tc>
        <w:tc>
          <w:tcPr>
            <w:tcW w:w="1134" w:type="dxa"/>
            <w:vAlign w:val="center"/>
          </w:tcPr>
          <w:p w14:paraId="0848E44C">
            <w:pPr>
              <w:pStyle w:val="11"/>
            </w:pPr>
            <w:r>
              <w:t>上级补助收入</w:t>
            </w:r>
          </w:p>
        </w:tc>
        <w:tc>
          <w:tcPr>
            <w:tcW w:w="1134" w:type="dxa"/>
            <w:vAlign w:val="center"/>
          </w:tcPr>
          <w:p w14:paraId="04B687F0">
            <w:pPr>
              <w:pStyle w:val="11"/>
            </w:pPr>
            <w:r>
              <w:t>附属单位上缴收入</w:t>
            </w:r>
          </w:p>
        </w:tc>
        <w:tc>
          <w:tcPr>
            <w:tcW w:w="1134" w:type="dxa"/>
            <w:vAlign w:val="center"/>
          </w:tcPr>
          <w:p w14:paraId="35E05E59">
            <w:pPr>
              <w:pStyle w:val="11"/>
            </w:pPr>
            <w:r>
              <w:t>其他收入</w:t>
            </w:r>
          </w:p>
        </w:tc>
        <w:tc>
          <w:tcPr>
            <w:tcW w:w="1134" w:type="dxa"/>
            <w:vMerge w:val="continue"/>
          </w:tcPr>
          <w:p w14:paraId="5D79585E"/>
        </w:tc>
      </w:tr>
      <w:tr w14:paraId="4AAA2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4F3F2C">
            <w:pPr>
              <w:pStyle w:val="11"/>
            </w:pPr>
            <w:r>
              <w:t>栏次</w:t>
            </w:r>
          </w:p>
        </w:tc>
        <w:tc>
          <w:tcPr>
            <w:tcW w:w="992" w:type="dxa"/>
            <w:vAlign w:val="center"/>
          </w:tcPr>
          <w:p w14:paraId="01E66CC8">
            <w:pPr>
              <w:pStyle w:val="11"/>
            </w:pPr>
            <w:r>
              <w:t>1</w:t>
            </w:r>
          </w:p>
        </w:tc>
        <w:tc>
          <w:tcPr>
            <w:tcW w:w="1559" w:type="dxa"/>
            <w:vAlign w:val="center"/>
          </w:tcPr>
          <w:p w14:paraId="6820EB71">
            <w:pPr>
              <w:pStyle w:val="11"/>
            </w:pPr>
            <w:r>
              <w:t>2</w:t>
            </w:r>
          </w:p>
        </w:tc>
        <w:tc>
          <w:tcPr>
            <w:tcW w:w="1134" w:type="dxa"/>
            <w:vAlign w:val="center"/>
          </w:tcPr>
          <w:p w14:paraId="4B9DA6AE">
            <w:pPr>
              <w:pStyle w:val="11"/>
            </w:pPr>
            <w:r>
              <w:t>3</w:t>
            </w:r>
          </w:p>
        </w:tc>
        <w:tc>
          <w:tcPr>
            <w:tcW w:w="1134" w:type="dxa"/>
            <w:vAlign w:val="center"/>
          </w:tcPr>
          <w:p w14:paraId="5C5E8854">
            <w:pPr>
              <w:pStyle w:val="11"/>
            </w:pPr>
            <w:r>
              <w:t>4</w:t>
            </w:r>
          </w:p>
        </w:tc>
        <w:tc>
          <w:tcPr>
            <w:tcW w:w="1134" w:type="dxa"/>
            <w:vAlign w:val="center"/>
          </w:tcPr>
          <w:p w14:paraId="39B9F24E">
            <w:pPr>
              <w:pStyle w:val="11"/>
            </w:pPr>
            <w:r>
              <w:t>5</w:t>
            </w:r>
          </w:p>
        </w:tc>
        <w:tc>
          <w:tcPr>
            <w:tcW w:w="1134" w:type="dxa"/>
            <w:vAlign w:val="center"/>
          </w:tcPr>
          <w:p w14:paraId="37FB7802">
            <w:pPr>
              <w:pStyle w:val="11"/>
            </w:pPr>
            <w:r>
              <w:t>6</w:t>
            </w:r>
          </w:p>
        </w:tc>
        <w:tc>
          <w:tcPr>
            <w:tcW w:w="1134" w:type="dxa"/>
            <w:vAlign w:val="center"/>
          </w:tcPr>
          <w:p w14:paraId="563B929F">
            <w:pPr>
              <w:pStyle w:val="11"/>
            </w:pPr>
            <w:r>
              <w:t>7</w:t>
            </w:r>
          </w:p>
        </w:tc>
        <w:tc>
          <w:tcPr>
            <w:tcW w:w="1134" w:type="dxa"/>
            <w:vAlign w:val="center"/>
          </w:tcPr>
          <w:p w14:paraId="7FE9ACA4">
            <w:pPr>
              <w:pStyle w:val="11"/>
            </w:pPr>
            <w:r>
              <w:t>8</w:t>
            </w:r>
          </w:p>
        </w:tc>
        <w:tc>
          <w:tcPr>
            <w:tcW w:w="1134" w:type="dxa"/>
            <w:vAlign w:val="center"/>
          </w:tcPr>
          <w:p w14:paraId="46E5CDB5">
            <w:pPr>
              <w:pStyle w:val="11"/>
            </w:pPr>
            <w:r>
              <w:t>9</w:t>
            </w:r>
          </w:p>
        </w:tc>
        <w:tc>
          <w:tcPr>
            <w:tcW w:w="1134" w:type="dxa"/>
            <w:vAlign w:val="center"/>
          </w:tcPr>
          <w:p w14:paraId="1FBAC80F">
            <w:pPr>
              <w:pStyle w:val="11"/>
            </w:pPr>
            <w:r>
              <w:t>10</w:t>
            </w:r>
          </w:p>
        </w:tc>
        <w:tc>
          <w:tcPr>
            <w:tcW w:w="1134" w:type="dxa"/>
            <w:vAlign w:val="center"/>
          </w:tcPr>
          <w:p w14:paraId="3A9681AB">
            <w:pPr>
              <w:pStyle w:val="11"/>
            </w:pPr>
            <w:r>
              <w:t>11</w:t>
            </w:r>
          </w:p>
        </w:tc>
        <w:tc>
          <w:tcPr>
            <w:tcW w:w="1134" w:type="dxa"/>
            <w:vAlign w:val="center"/>
          </w:tcPr>
          <w:p w14:paraId="08762FFA">
            <w:pPr>
              <w:pStyle w:val="11"/>
            </w:pPr>
            <w:r>
              <w:t>12</w:t>
            </w:r>
          </w:p>
        </w:tc>
      </w:tr>
      <w:tr w14:paraId="0BF20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1E6E39">
            <w:pPr>
              <w:pStyle w:val="12"/>
            </w:pPr>
            <w:r>
              <w:t>1</w:t>
            </w:r>
          </w:p>
        </w:tc>
        <w:tc>
          <w:tcPr>
            <w:tcW w:w="992" w:type="dxa"/>
            <w:vAlign w:val="center"/>
          </w:tcPr>
          <w:p w14:paraId="6BB939D8">
            <w:pPr>
              <w:pStyle w:val="17"/>
            </w:pPr>
          </w:p>
        </w:tc>
        <w:tc>
          <w:tcPr>
            <w:tcW w:w="1559" w:type="dxa"/>
            <w:vAlign w:val="center"/>
          </w:tcPr>
          <w:p w14:paraId="4F5E9B89">
            <w:pPr>
              <w:pStyle w:val="15"/>
            </w:pPr>
            <w:r>
              <w:t>合计</w:t>
            </w:r>
          </w:p>
        </w:tc>
        <w:tc>
          <w:tcPr>
            <w:tcW w:w="1134" w:type="dxa"/>
            <w:vAlign w:val="center"/>
          </w:tcPr>
          <w:p w14:paraId="1614FAA8">
            <w:pPr>
              <w:pStyle w:val="16"/>
            </w:pPr>
            <w:r>
              <w:t>3251.47</w:t>
            </w:r>
          </w:p>
        </w:tc>
        <w:tc>
          <w:tcPr>
            <w:tcW w:w="1134" w:type="dxa"/>
            <w:vAlign w:val="center"/>
          </w:tcPr>
          <w:p w14:paraId="5E9F3CED">
            <w:pPr>
              <w:pStyle w:val="16"/>
            </w:pPr>
            <w:r>
              <w:t>3182.86</w:t>
            </w:r>
          </w:p>
        </w:tc>
        <w:tc>
          <w:tcPr>
            <w:tcW w:w="1134" w:type="dxa"/>
            <w:vAlign w:val="center"/>
          </w:tcPr>
          <w:p w14:paraId="66D4F8CD">
            <w:pPr>
              <w:pStyle w:val="16"/>
            </w:pPr>
            <w:r>
              <w:t>3182.86</w:t>
            </w:r>
          </w:p>
        </w:tc>
        <w:tc>
          <w:tcPr>
            <w:tcW w:w="1134" w:type="dxa"/>
            <w:vAlign w:val="center"/>
          </w:tcPr>
          <w:p w14:paraId="06A18345">
            <w:pPr>
              <w:pStyle w:val="16"/>
            </w:pPr>
          </w:p>
        </w:tc>
        <w:tc>
          <w:tcPr>
            <w:tcW w:w="1134" w:type="dxa"/>
            <w:vAlign w:val="center"/>
          </w:tcPr>
          <w:p w14:paraId="10F90610">
            <w:pPr>
              <w:pStyle w:val="16"/>
            </w:pPr>
          </w:p>
        </w:tc>
        <w:tc>
          <w:tcPr>
            <w:tcW w:w="1134" w:type="dxa"/>
            <w:vAlign w:val="center"/>
          </w:tcPr>
          <w:p w14:paraId="68FE57EE">
            <w:pPr>
              <w:pStyle w:val="16"/>
            </w:pPr>
          </w:p>
        </w:tc>
        <w:tc>
          <w:tcPr>
            <w:tcW w:w="1134" w:type="dxa"/>
            <w:vAlign w:val="center"/>
          </w:tcPr>
          <w:p w14:paraId="2A4D6D5F">
            <w:pPr>
              <w:pStyle w:val="16"/>
            </w:pPr>
          </w:p>
        </w:tc>
        <w:tc>
          <w:tcPr>
            <w:tcW w:w="1134" w:type="dxa"/>
            <w:vAlign w:val="center"/>
          </w:tcPr>
          <w:p w14:paraId="34228975">
            <w:pPr>
              <w:pStyle w:val="16"/>
            </w:pPr>
          </w:p>
        </w:tc>
        <w:tc>
          <w:tcPr>
            <w:tcW w:w="1134" w:type="dxa"/>
            <w:vAlign w:val="center"/>
          </w:tcPr>
          <w:p w14:paraId="63D291F2">
            <w:pPr>
              <w:pStyle w:val="16"/>
            </w:pPr>
          </w:p>
        </w:tc>
        <w:tc>
          <w:tcPr>
            <w:tcW w:w="1134" w:type="dxa"/>
            <w:vAlign w:val="center"/>
          </w:tcPr>
          <w:p w14:paraId="43019F6B">
            <w:pPr>
              <w:pStyle w:val="16"/>
            </w:pPr>
            <w:r>
              <w:t>68.61</w:t>
            </w:r>
          </w:p>
        </w:tc>
      </w:tr>
      <w:tr w14:paraId="042A3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ACF59D">
            <w:pPr>
              <w:pStyle w:val="12"/>
            </w:pPr>
            <w:r>
              <w:t>2</w:t>
            </w:r>
          </w:p>
        </w:tc>
        <w:tc>
          <w:tcPr>
            <w:tcW w:w="992" w:type="dxa"/>
            <w:vAlign w:val="center"/>
          </w:tcPr>
          <w:p w14:paraId="6541496A">
            <w:pPr>
              <w:pStyle w:val="13"/>
            </w:pPr>
            <w:r>
              <w:t>205</w:t>
            </w:r>
          </w:p>
        </w:tc>
        <w:tc>
          <w:tcPr>
            <w:tcW w:w="1559" w:type="dxa"/>
            <w:vAlign w:val="center"/>
          </w:tcPr>
          <w:p w14:paraId="38237C52">
            <w:pPr>
              <w:pStyle w:val="13"/>
            </w:pPr>
            <w:r>
              <w:t>教育支出</w:t>
            </w:r>
          </w:p>
        </w:tc>
        <w:tc>
          <w:tcPr>
            <w:tcW w:w="1134" w:type="dxa"/>
            <w:vAlign w:val="center"/>
          </w:tcPr>
          <w:p w14:paraId="62F7F0EA">
            <w:pPr>
              <w:pStyle w:val="14"/>
            </w:pPr>
            <w:r>
              <w:t>3227.04</w:t>
            </w:r>
          </w:p>
        </w:tc>
        <w:tc>
          <w:tcPr>
            <w:tcW w:w="1134" w:type="dxa"/>
            <w:vAlign w:val="center"/>
          </w:tcPr>
          <w:p w14:paraId="72119871">
            <w:pPr>
              <w:pStyle w:val="14"/>
            </w:pPr>
            <w:r>
              <w:t>3158.44</w:t>
            </w:r>
          </w:p>
        </w:tc>
        <w:tc>
          <w:tcPr>
            <w:tcW w:w="1134" w:type="dxa"/>
            <w:vAlign w:val="center"/>
          </w:tcPr>
          <w:p w14:paraId="007B5BE6">
            <w:pPr>
              <w:pStyle w:val="14"/>
            </w:pPr>
            <w:r>
              <w:t>3158.44</w:t>
            </w:r>
          </w:p>
        </w:tc>
        <w:tc>
          <w:tcPr>
            <w:tcW w:w="1134" w:type="dxa"/>
            <w:vAlign w:val="center"/>
          </w:tcPr>
          <w:p w14:paraId="0DCFBBAD">
            <w:pPr>
              <w:pStyle w:val="14"/>
            </w:pPr>
          </w:p>
        </w:tc>
        <w:tc>
          <w:tcPr>
            <w:tcW w:w="1134" w:type="dxa"/>
            <w:vAlign w:val="center"/>
          </w:tcPr>
          <w:p w14:paraId="21179965">
            <w:pPr>
              <w:pStyle w:val="14"/>
            </w:pPr>
          </w:p>
        </w:tc>
        <w:tc>
          <w:tcPr>
            <w:tcW w:w="1134" w:type="dxa"/>
            <w:vAlign w:val="center"/>
          </w:tcPr>
          <w:p w14:paraId="626BA98D">
            <w:pPr>
              <w:pStyle w:val="14"/>
            </w:pPr>
          </w:p>
        </w:tc>
        <w:tc>
          <w:tcPr>
            <w:tcW w:w="1134" w:type="dxa"/>
            <w:vAlign w:val="center"/>
          </w:tcPr>
          <w:p w14:paraId="1BD23F97">
            <w:pPr>
              <w:pStyle w:val="14"/>
            </w:pPr>
          </w:p>
        </w:tc>
        <w:tc>
          <w:tcPr>
            <w:tcW w:w="1134" w:type="dxa"/>
            <w:vAlign w:val="center"/>
          </w:tcPr>
          <w:p w14:paraId="2DEF626F">
            <w:pPr>
              <w:pStyle w:val="14"/>
            </w:pPr>
          </w:p>
        </w:tc>
        <w:tc>
          <w:tcPr>
            <w:tcW w:w="1134" w:type="dxa"/>
            <w:vAlign w:val="center"/>
          </w:tcPr>
          <w:p w14:paraId="76609798">
            <w:pPr>
              <w:pStyle w:val="14"/>
            </w:pPr>
          </w:p>
        </w:tc>
        <w:tc>
          <w:tcPr>
            <w:tcW w:w="1134" w:type="dxa"/>
            <w:vAlign w:val="center"/>
          </w:tcPr>
          <w:p w14:paraId="27A52BCF">
            <w:pPr>
              <w:pStyle w:val="14"/>
            </w:pPr>
            <w:r>
              <w:t>68.61</w:t>
            </w:r>
          </w:p>
        </w:tc>
      </w:tr>
      <w:tr w14:paraId="00598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ADB5AC">
            <w:pPr>
              <w:pStyle w:val="12"/>
            </w:pPr>
            <w:r>
              <w:t>3</w:t>
            </w:r>
          </w:p>
        </w:tc>
        <w:tc>
          <w:tcPr>
            <w:tcW w:w="992" w:type="dxa"/>
            <w:vAlign w:val="center"/>
          </w:tcPr>
          <w:p w14:paraId="0844DF87">
            <w:pPr>
              <w:pStyle w:val="13"/>
            </w:pPr>
            <w:r>
              <w:t>20502</w:t>
            </w:r>
          </w:p>
        </w:tc>
        <w:tc>
          <w:tcPr>
            <w:tcW w:w="1559" w:type="dxa"/>
            <w:vAlign w:val="center"/>
          </w:tcPr>
          <w:p w14:paraId="4DEFDE1A">
            <w:pPr>
              <w:pStyle w:val="13"/>
            </w:pPr>
            <w:r>
              <w:t>普通教育</w:t>
            </w:r>
          </w:p>
        </w:tc>
        <w:tc>
          <w:tcPr>
            <w:tcW w:w="1134" w:type="dxa"/>
            <w:vAlign w:val="center"/>
          </w:tcPr>
          <w:p w14:paraId="3AB0B3EA">
            <w:pPr>
              <w:pStyle w:val="14"/>
            </w:pPr>
            <w:r>
              <w:t>3227.04</w:t>
            </w:r>
          </w:p>
        </w:tc>
        <w:tc>
          <w:tcPr>
            <w:tcW w:w="1134" w:type="dxa"/>
            <w:vAlign w:val="center"/>
          </w:tcPr>
          <w:p w14:paraId="5ED40B4D">
            <w:pPr>
              <w:pStyle w:val="14"/>
            </w:pPr>
            <w:r>
              <w:t>3158.44</w:t>
            </w:r>
          </w:p>
        </w:tc>
        <w:tc>
          <w:tcPr>
            <w:tcW w:w="1134" w:type="dxa"/>
            <w:vAlign w:val="center"/>
          </w:tcPr>
          <w:p w14:paraId="2D6368B9">
            <w:pPr>
              <w:pStyle w:val="14"/>
            </w:pPr>
            <w:r>
              <w:t>3158.44</w:t>
            </w:r>
          </w:p>
        </w:tc>
        <w:tc>
          <w:tcPr>
            <w:tcW w:w="1134" w:type="dxa"/>
            <w:vAlign w:val="center"/>
          </w:tcPr>
          <w:p w14:paraId="51048745">
            <w:pPr>
              <w:pStyle w:val="14"/>
            </w:pPr>
          </w:p>
        </w:tc>
        <w:tc>
          <w:tcPr>
            <w:tcW w:w="1134" w:type="dxa"/>
            <w:vAlign w:val="center"/>
          </w:tcPr>
          <w:p w14:paraId="421EA650">
            <w:pPr>
              <w:pStyle w:val="14"/>
            </w:pPr>
          </w:p>
        </w:tc>
        <w:tc>
          <w:tcPr>
            <w:tcW w:w="1134" w:type="dxa"/>
            <w:vAlign w:val="center"/>
          </w:tcPr>
          <w:p w14:paraId="355A08B4">
            <w:pPr>
              <w:pStyle w:val="14"/>
            </w:pPr>
          </w:p>
        </w:tc>
        <w:tc>
          <w:tcPr>
            <w:tcW w:w="1134" w:type="dxa"/>
            <w:vAlign w:val="center"/>
          </w:tcPr>
          <w:p w14:paraId="692BC464">
            <w:pPr>
              <w:pStyle w:val="14"/>
            </w:pPr>
          </w:p>
        </w:tc>
        <w:tc>
          <w:tcPr>
            <w:tcW w:w="1134" w:type="dxa"/>
            <w:vAlign w:val="center"/>
          </w:tcPr>
          <w:p w14:paraId="49C2C93D">
            <w:pPr>
              <w:pStyle w:val="14"/>
            </w:pPr>
          </w:p>
        </w:tc>
        <w:tc>
          <w:tcPr>
            <w:tcW w:w="1134" w:type="dxa"/>
            <w:vAlign w:val="center"/>
          </w:tcPr>
          <w:p w14:paraId="574A8DAD">
            <w:pPr>
              <w:pStyle w:val="14"/>
            </w:pPr>
          </w:p>
        </w:tc>
        <w:tc>
          <w:tcPr>
            <w:tcW w:w="1134" w:type="dxa"/>
            <w:vAlign w:val="center"/>
          </w:tcPr>
          <w:p w14:paraId="02A717E2">
            <w:pPr>
              <w:pStyle w:val="14"/>
            </w:pPr>
            <w:r>
              <w:t>68.61</w:t>
            </w:r>
          </w:p>
        </w:tc>
      </w:tr>
      <w:tr w14:paraId="47296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F713C8">
            <w:pPr>
              <w:pStyle w:val="12"/>
            </w:pPr>
            <w:r>
              <w:t>4</w:t>
            </w:r>
          </w:p>
        </w:tc>
        <w:tc>
          <w:tcPr>
            <w:tcW w:w="992" w:type="dxa"/>
            <w:vAlign w:val="center"/>
          </w:tcPr>
          <w:p w14:paraId="0A86A635">
            <w:pPr>
              <w:pStyle w:val="13"/>
            </w:pPr>
            <w:r>
              <w:t>2050201</w:t>
            </w:r>
          </w:p>
        </w:tc>
        <w:tc>
          <w:tcPr>
            <w:tcW w:w="1559" w:type="dxa"/>
            <w:vAlign w:val="center"/>
          </w:tcPr>
          <w:p w14:paraId="07AC2A39">
            <w:pPr>
              <w:pStyle w:val="13"/>
            </w:pPr>
            <w:r>
              <w:t>学前教育</w:t>
            </w:r>
          </w:p>
        </w:tc>
        <w:tc>
          <w:tcPr>
            <w:tcW w:w="1134" w:type="dxa"/>
            <w:vAlign w:val="center"/>
          </w:tcPr>
          <w:p w14:paraId="5A623588">
            <w:pPr>
              <w:pStyle w:val="14"/>
            </w:pPr>
            <w:r>
              <w:t>260.40</w:t>
            </w:r>
          </w:p>
        </w:tc>
        <w:tc>
          <w:tcPr>
            <w:tcW w:w="1134" w:type="dxa"/>
            <w:vAlign w:val="center"/>
          </w:tcPr>
          <w:p w14:paraId="7DDC57A5">
            <w:pPr>
              <w:pStyle w:val="14"/>
            </w:pPr>
            <w:r>
              <w:t>260.40</w:t>
            </w:r>
          </w:p>
        </w:tc>
        <w:tc>
          <w:tcPr>
            <w:tcW w:w="1134" w:type="dxa"/>
            <w:vAlign w:val="center"/>
          </w:tcPr>
          <w:p w14:paraId="4A283842">
            <w:pPr>
              <w:pStyle w:val="14"/>
            </w:pPr>
            <w:r>
              <w:t>260.40</w:t>
            </w:r>
          </w:p>
        </w:tc>
        <w:tc>
          <w:tcPr>
            <w:tcW w:w="1134" w:type="dxa"/>
            <w:vAlign w:val="center"/>
          </w:tcPr>
          <w:p w14:paraId="5D55D2F6">
            <w:pPr>
              <w:pStyle w:val="14"/>
            </w:pPr>
          </w:p>
        </w:tc>
        <w:tc>
          <w:tcPr>
            <w:tcW w:w="1134" w:type="dxa"/>
            <w:vAlign w:val="center"/>
          </w:tcPr>
          <w:p w14:paraId="66EE0041">
            <w:pPr>
              <w:pStyle w:val="14"/>
            </w:pPr>
          </w:p>
        </w:tc>
        <w:tc>
          <w:tcPr>
            <w:tcW w:w="1134" w:type="dxa"/>
            <w:vAlign w:val="center"/>
          </w:tcPr>
          <w:p w14:paraId="4DF38E76">
            <w:pPr>
              <w:pStyle w:val="14"/>
            </w:pPr>
          </w:p>
        </w:tc>
        <w:tc>
          <w:tcPr>
            <w:tcW w:w="1134" w:type="dxa"/>
            <w:vAlign w:val="center"/>
          </w:tcPr>
          <w:p w14:paraId="2AECB918">
            <w:pPr>
              <w:pStyle w:val="14"/>
            </w:pPr>
          </w:p>
        </w:tc>
        <w:tc>
          <w:tcPr>
            <w:tcW w:w="1134" w:type="dxa"/>
            <w:vAlign w:val="center"/>
          </w:tcPr>
          <w:p w14:paraId="678E839A">
            <w:pPr>
              <w:pStyle w:val="14"/>
            </w:pPr>
          </w:p>
        </w:tc>
        <w:tc>
          <w:tcPr>
            <w:tcW w:w="1134" w:type="dxa"/>
            <w:vAlign w:val="center"/>
          </w:tcPr>
          <w:p w14:paraId="48D870AB">
            <w:pPr>
              <w:pStyle w:val="14"/>
            </w:pPr>
          </w:p>
        </w:tc>
        <w:tc>
          <w:tcPr>
            <w:tcW w:w="1134" w:type="dxa"/>
            <w:vAlign w:val="center"/>
          </w:tcPr>
          <w:p w14:paraId="2BA2DCE8">
            <w:pPr>
              <w:pStyle w:val="14"/>
            </w:pPr>
          </w:p>
        </w:tc>
      </w:tr>
      <w:tr w14:paraId="36886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4F79A7">
            <w:pPr>
              <w:pStyle w:val="12"/>
            </w:pPr>
            <w:r>
              <w:t>5</w:t>
            </w:r>
          </w:p>
        </w:tc>
        <w:tc>
          <w:tcPr>
            <w:tcW w:w="992" w:type="dxa"/>
            <w:vAlign w:val="center"/>
          </w:tcPr>
          <w:p w14:paraId="55B73031">
            <w:pPr>
              <w:pStyle w:val="13"/>
            </w:pPr>
            <w:r>
              <w:t>2050202</w:t>
            </w:r>
          </w:p>
        </w:tc>
        <w:tc>
          <w:tcPr>
            <w:tcW w:w="1559" w:type="dxa"/>
            <w:vAlign w:val="center"/>
          </w:tcPr>
          <w:p w14:paraId="7F07F828">
            <w:pPr>
              <w:pStyle w:val="13"/>
            </w:pPr>
            <w:r>
              <w:t>小学教育</w:t>
            </w:r>
          </w:p>
        </w:tc>
        <w:tc>
          <w:tcPr>
            <w:tcW w:w="1134" w:type="dxa"/>
            <w:vAlign w:val="center"/>
          </w:tcPr>
          <w:p w14:paraId="3F39E987">
            <w:pPr>
              <w:pStyle w:val="14"/>
            </w:pPr>
            <w:r>
              <w:t>2966.65</w:t>
            </w:r>
          </w:p>
        </w:tc>
        <w:tc>
          <w:tcPr>
            <w:tcW w:w="1134" w:type="dxa"/>
            <w:vAlign w:val="center"/>
          </w:tcPr>
          <w:p w14:paraId="12139673">
            <w:pPr>
              <w:pStyle w:val="14"/>
            </w:pPr>
            <w:r>
              <w:t>2898.04</w:t>
            </w:r>
          </w:p>
        </w:tc>
        <w:tc>
          <w:tcPr>
            <w:tcW w:w="1134" w:type="dxa"/>
            <w:vAlign w:val="center"/>
          </w:tcPr>
          <w:p w14:paraId="125DFF3A">
            <w:pPr>
              <w:pStyle w:val="14"/>
            </w:pPr>
            <w:r>
              <w:t>2898.04</w:t>
            </w:r>
          </w:p>
        </w:tc>
        <w:tc>
          <w:tcPr>
            <w:tcW w:w="1134" w:type="dxa"/>
            <w:vAlign w:val="center"/>
          </w:tcPr>
          <w:p w14:paraId="1C80CFCD">
            <w:pPr>
              <w:pStyle w:val="14"/>
            </w:pPr>
          </w:p>
        </w:tc>
        <w:tc>
          <w:tcPr>
            <w:tcW w:w="1134" w:type="dxa"/>
            <w:vAlign w:val="center"/>
          </w:tcPr>
          <w:p w14:paraId="28CC605D">
            <w:pPr>
              <w:pStyle w:val="14"/>
            </w:pPr>
          </w:p>
        </w:tc>
        <w:tc>
          <w:tcPr>
            <w:tcW w:w="1134" w:type="dxa"/>
            <w:vAlign w:val="center"/>
          </w:tcPr>
          <w:p w14:paraId="09D7B993">
            <w:pPr>
              <w:pStyle w:val="14"/>
            </w:pPr>
          </w:p>
        </w:tc>
        <w:tc>
          <w:tcPr>
            <w:tcW w:w="1134" w:type="dxa"/>
            <w:vAlign w:val="center"/>
          </w:tcPr>
          <w:p w14:paraId="509B6422">
            <w:pPr>
              <w:pStyle w:val="14"/>
            </w:pPr>
          </w:p>
        </w:tc>
        <w:tc>
          <w:tcPr>
            <w:tcW w:w="1134" w:type="dxa"/>
            <w:vAlign w:val="center"/>
          </w:tcPr>
          <w:p w14:paraId="67E16396">
            <w:pPr>
              <w:pStyle w:val="14"/>
            </w:pPr>
          </w:p>
        </w:tc>
        <w:tc>
          <w:tcPr>
            <w:tcW w:w="1134" w:type="dxa"/>
            <w:vAlign w:val="center"/>
          </w:tcPr>
          <w:p w14:paraId="71704CB5">
            <w:pPr>
              <w:pStyle w:val="14"/>
            </w:pPr>
          </w:p>
        </w:tc>
        <w:tc>
          <w:tcPr>
            <w:tcW w:w="1134" w:type="dxa"/>
            <w:vAlign w:val="center"/>
          </w:tcPr>
          <w:p w14:paraId="1DE55239">
            <w:pPr>
              <w:pStyle w:val="14"/>
            </w:pPr>
            <w:r>
              <w:t>68.61</w:t>
            </w:r>
          </w:p>
        </w:tc>
      </w:tr>
      <w:tr w14:paraId="6EC32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919557">
            <w:pPr>
              <w:pStyle w:val="12"/>
            </w:pPr>
            <w:r>
              <w:t>6</w:t>
            </w:r>
          </w:p>
        </w:tc>
        <w:tc>
          <w:tcPr>
            <w:tcW w:w="992" w:type="dxa"/>
            <w:vAlign w:val="center"/>
          </w:tcPr>
          <w:p w14:paraId="285CE8CF">
            <w:pPr>
              <w:pStyle w:val="13"/>
            </w:pPr>
            <w:r>
              <w:t>208</w:t>
            </w:r>
          </w:p>
        </w:tc>
        <w:tc>
          <w:tcPr>
            <w:tcW w:w="1559" w:type="dxa"/>
            <w:vAlign w:val="center"/>
          </w:tcPr>
          <w:p w14:paraId="61978396">
            <w:pPr>
              <w:pStyle w:val="13"/>
            </w:pPr>
            <w:r>
              <w:t>社会保障和就业支出</w:t>
            </w:r>
          </w:p>
        </w:tc>
        <w:tc>
          <w:tcPr>
            <w:tcW w:w="1134" w:type="dxa"/>
            <w:vAlign w:val="center"/>
          </w:tcPr>
          <w:p w14:paraId="745122B4">
            <w:pPr>
              <w:pStyle w:val="14"/>
            </w:pPr>
            <w:r>
              <w:t>24.43</w:t>
            </w:r>
          </w:p>
        </w:tc>
        <w:tc>
          <w:tcPr>
            <w:tcW w:w="1134" w:type="dxa"/>
            <w:vAlign w:val="center"/>
          </w:tcPr>
          <w:p w14:paraId="103C8D74">
            <w:pPr>
              <w:pStyle w:val="14"/>
            </w:pPr>
            <w:r>
              <w:t>24.43</w:t>
            </w:r>
          </w:p>
        </w:tc>
        <w:tc>
          <w:tcPr>
            <w:tcW w:w="1134" w:type="dxa"/>
            <w:vAlign w:val="center"/>
          </w:tcPr>
          <w:p w14:paraId="2868D58D">
            <w:pPr>
              <w:pStyle w:val="14"/>
            </w:pPr>
            <w:r>
              <w:t>24.43</w:t>
            </w:r>
          </w:p>
        </w:tc>
        <w:tc>
          <w:tcPr>
            <w:tcW w:w="1134" w:type="dxa"/>
            <w:vAlign w:val="center"/>
          </w:tcPr>
          <w:p w14:paraId="4AEA0027">
            <w:pPr>
              <w:pStyle w:val="14"/>
            </w:pPr>
          </w:p>
        </w:tc>
        <w:tc>
          <w:tcPr>
            <w:tcW w:w="1134" w:type="dxa"/>
            <w:vAlign w:val="center"/>
          </w:tcPr>
          <w:p w14:paraId="15504D4D">
            <w:pPr>
              <w:pStyle w:val="14"/>
            </w:pPr>
          </w:p>
        </w:tc>
        <w:tc>
          <w:tcPr>
            <w:tcW w:w="1134" w:type="dxa"/>
            <w:vAlign w:val="center"/>
          </w:tcPr>
          <w:p w14:paraId="095BB72E">
            <w:pPr>
              <w:pStyle w:val="14"/>
            </w:pPr>
          </w:p>
        </w:tc>
        <w:tc>
          <w:tcPr>
            <w:tcW w:w="1134" w:type="dxa"/>
            <w:vAlign w:val="center"/>
          </w:tcPr>
          <w:p w14:paraId="6800F49D">
            <w:pPr>
              <w:pStyle w:val="14"/>
            </w:pPr>
          </w:p>
        </w:tc>
        <w:tc>
          <w:tcPr>
            <w:tcW w:w="1134" w:type="dxa"/>
            <w:vAlign w:val="center"/>
          </w:tcPr>
          <w:p w14:paraId="3BBB04A3">
            <w:pPr>
              <w:pStyle w:val="14"/>
            </w:pPr>
          </w:p>
        </w:tc>
        <w:tc>
          <w:tcPr>
            <w:tcW w:w="1134" w:type="dxa"/>
            <w:vAlign w:val="center"/>
          </w:tcPr>
          <w:p w14:paraId="582D4CAA">
            <w:pPr>
              <w:pStyle w:val="14"/>
            </w:pPr>
          </w:p>
        </w:tc>
        <w:tc>
          <w:tcPr>
            <w:tcW w:w="1134" w:type="dxa"/>
            <w:vAlign w:val="center"/>
          </w:tcPr>
          <w:p w14:paraId="5471F017">
            <w:pPr>
              <w:pStyle w:val="14"/>
            </w:pPr>
          </w:p>
        </w:tc>
      </w:tr>
      <w:tr w14:paraId="31391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7124BD">
            <w:pPr>
              <w:pStyle w:val="12"/>
            </w:pPr>
            <w:r>
              <w:t>7</w:t>
            </w:r>
          </w:p>
        </w:tc>
        <w:tc>
          <w:tcPr>
            <w:tcW w:w="992" w:type="dxa"/>
            <w:vAlign w:val="center"/>
          </w:tcPr>
          <w:p w14:paraId="59EDF2B1">
            <w:pPr>
              <w:pStyle w:val="13"/>
            </w:pPr>
            <w:r>
              <w:t>20805</w:t>
            </w:r>
          </w:p>
        </w:tc>
        <w:tc>
          <w:tcPr>
            <w:tcW w:w="1559" w:type="dxa"/>
            <w:vAlign w:val="center"/>
          </w:tcPr>
          <w:p w14:paraId="0A5FAAF2">
            <w:pPr>
              <w:pStyle w:val="13"/>
            </w:pPr>
            <w:r>
              <w:t>行政事业单位养老支出</w:t>
            </w:r>
          </w:p>
        </w:tc>
        <w:tc>
          <w:tcPr>
            <w:tcW w:w="1134" w:type="dxa"/>
            <w:vAlign w:val="center"/>
          </w:tcPr>
          <w:p w14:paraId="0DC2D0B8">
            <w:pPr>
              <w:pStyle w:val="14"/>
            </w:pPr>
            <w:r>
              <w:t>24.43</w:t>
            </w:r>
          </w:p>
        </w:tc>
        <w:tc>
          <w:tcPr>
            <w:tcW w:w="1134" w:type="dxa"/>
            <w:vAlign w:val="center"/>
          </w:tcPr>
          <w:p w14:paraId="11D0815B">
            <w:pPr>
              <w:pStyle w:val="14"/>
            </w:pPr>
            <w:r>
              <w:t>24.43</w:t>
            </w:r>
          </w:p>
        </w:tc>
        <w:tc>
          <w:tcPr>
            <w:tcW w:w="1134" w:type="dxa"/>
            <w:vAlign w:val="center"/>
          </w:tcPr>
          <w:p w14:paraId="461713B5">
            <w:pPr>
              <w:pStyle w:val="14"/>
            </w:pPr>
            <w:r>
              <w:t>24.43</w:t>
            </w:r>
          </w:p>
        </w:tc>
        <w:tc>
          <w:tcPr>
            <w:tcW w:w="1134" w:type="dxa"/>
            <w:vAlign w:val="center"/>
          </w:tcPr>
          <w:p w14:paraId="5316234C">
            <w:pPr>
              <w:pStyle w:val="14"/>
            </w:pPr>
          </w:p>
        </w:tc>
        <w:tc>
          <w:tcPr>
            <w:tcW w:w="1134" w:type="dxa"/>
            <w:vAlign w:val="center"/>
          </w:tcPr>
          <w:p w14:paraId="220E37F4">
            <w:pPr>
              <w:pStyle w:val="14"/>
            </w:pPr>
          </w:p>
        </w:tc>
        <w:tc>
          <w:tcPr>
            <w:tcW w:w="1134" w:type="dxa"/>
            <w:vAlign w:val="center"/>
          </w:tcPr>
          <w:p w14:paraId="2CD46FA9">
            <w:pPr>
              <w:pStyle w:val="14"/>
            </w:pPr>
          </w:p>
        </w:tc>
        <w:tc>
          <w:tcPr>
            <w:tcW w:w="1134" w:type="dxa"/>
            <w:vAlign w:val="center"/>
          </w:tcPr>
          <w:p w14:paraId="504B01E6">
            <w:pPr>
              <w:pStyle w:val="14"/>
            </w:pPr>
          </w:p>
        </w:tc>
        <w:tc>
          <w:tcPr>
            <w:tcW w:w="1134" w:type="dxa"/>
            <w:vAlign w:val="center"/>
          </w:tcPr>
          <w:p w14:paraId="37DD6185">
            <w:pPr>
              <w:pStyle w:val="14"/>
            </w:pPr>
          </w:p>
        </w:tc>
        <w:tc>
          <w:tcPr>
            <w:tcW w:w="1134" w:type="dxa"/>
            <w:vAlign w:val="center"/>
          </w:tcPr>
          <w:p w14:paraId="5DEFBC24">
            <w:pPr>
              <w:pStyle w:val="14"/>
            </w:pPr>
          </w:p>
        </w:tc>
        <w:tc>
          <w:tcPr>
            <w:tcW w:w="1134" w:type="dxa"/>
            <w:vAlign w:val="center"/>
          </w:tcPr>
          <w:p w14:paraId="2A2352F0">
            <w:pPr>
              <w:pStyle w:val="14"/>
            </w:pPr>
          </w:p>
        </w:tc>
      </w:tr>
      <w:tr w14:paraId="38720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AF5542">
            <w:pPr>
              <w:pStyle w:val="12"/>
            </w:pPr>
            <w:r>
              <w:t>8</w:t>
            </w:r>
          </w:p>
        </w:tc>
        <w:tc>
          <w:tcPr>
            <w:tcW w:w="992" w:type="dxa"/>
            <w:vAlign w:val="center"/>
          </w:tcPr>
          <w:p w14:paraId="51C520AD">
            <w:pPr>
              <w:pStyle w:val="13"/>
            </w:pPr>
            <w:r>
              <w:t>2080502</w:t>
            </w:r>
          </w:p>
        </w:tc>
        <w:tc>
          <w:tcPr>
            <w:tcW w:w="1559" w:type="dxa"/>
            <w:vAlign w:val="center"/>
          </w:tcPr>
          <w:p w14:paraId="2D65B993">
            <w:pPr>
              <w:pStyle w:val="13"/>
            </w:pPr>
            <w:r>
              <w:t>事业单位离退休</w:t>
            </w:r>
          </w:p>
        </w:tc>
        <w:tc>
          <w:tcPr>
            <w:tcW w:w="1134" w:type="dxa"/>
            <w:vAlign w:val="center"/>
          </w:tcPr>
          <w:p w14:paraId="391CDDE5">
            <w:pPr>
              <w:pStyle w:val="14"/>
            </w:pPr>
            <w:r>
              <w:t>24.43</w:t>
            </w:r>
          </w:p>
        </w:tc>
        <w:tc>
          <w:tcPr>
            <w:tcW w:w="1134" w:type="dxa"/>
            <w:vAlign w:val="center"/>
          </w:tcPr>
          <w:p w14:paraId="5F94691A">
            <w:pPr>
              <w:pStyle w:val="14"/>
            </w:pPr>
            <w:r>
              <w:t>24.43</w:t>
            </w:r>
          </w:p>
        </w:tc>
        <w:tc>
          <w:tcPr>
            <w:tcW w:w="1134" w:type="dxa"/>
            <w:vAlign w:val="center"/>
          </w:tcPr>
          <w:p w14:paraId="3420B283">
            <w:pPr>
              <w:pStyle w:val="14"/>
            </w:pPr>
            <w:r>
              <w:t>24.43</w:t>
            </w:r>
          </w:p>
        </w:tc>
        <w:tc>
          <w:tcPr>
            <w:tcW w:w="1134" w:type="dxa"/>
            <w:vAlign w:val="center"/>
          </w:tcPr>
          <w:p w14:paraId="56750FCC">
            <w:pPr>
              <w:pStyle w:val="14"/>
            </w:pPr>
          </w:p>
        </w:tc>
        <w:tc>
          <w:tcPr>
            <w:tcW w:w="1134" w:type="dxa"/>
            <w:vAlign w:val="center"/>
          </w:tcPr>
          <w:p w14:paraId="59FA4C04">
            <w:pPr>
              <w:pStyle w:val="14"/>
            </w:pPr>
          </w:p>
        </w:tc>
        <w:tc>
          <w:tcPr>
            <w:tcW w:w="1134" w:type="dxa"/>
            <w:vAlign w:val="center"/>
          </w:tcPr>
          <w:p w14:paraId="004A48B7">
            <w:pPr>
              <w:pStyle w:val="14"/>
            </w:pPr>
          </w:p>
        </w:tc>
        <w:tc>
          <w:tcPr>
            <w:tcW w:w="1134" w:type="dxa"/>
            <w:vAlign w:val="center"/>
          </w:tcPr>
          <w:p w14:paraId="3D717816">
            <w:pPr>
              <w:pStyle w:val="14"/>
            </w:pPr>
          </w:p>
        </w:tc>
        <w:tc>
          <w:tcPr>
            <w:tcW w:w="1134" w:type="dxa"/>
            <w:vAlign w:val="center"/>
          </w:tcPr>
          <w:p w14:paraId="0168D1AA">
            <w:pPr>
              <w:pStyle w:val="14"/>
            </w:pPr>
          </w:p>
        </w:tc>
        <w:tc>
          <w:tcPr>
            <w:tcW w:w="1134" w:type="dxa"/>
            <w:vAlign w:val="center"/>
          </w:tcPr>
          <w:p w14:paraId="3DA720EA">
            <w:pPr>
              <w:pStyle w:val="14"/>
            </w:pPr>
          </w:p>
        </w:tc>
        <w:tc>
          <w:tcPr>
            <w:tcW w:w="1134" w:type="dxa"/>
            <w:vAlign w:val="center"/>
          </w:tcPr>
          <w:p w14:paraId="0D380AD5">
            <w:pPr>
              <w:pStyle w:val="14"/>
            </w:pPr>
          </w:p>
        </w:tc>
      </w:tr>
    </w:tbl>
    <w:p w14:paraId="2BBCAC02">
      <w:pPr>
        <w:sectPr>
          <w:pgSz w:w="16840" w:h="11900" w:orient="landscape"/>
          <w:pgMar w:top="1361" w:right="1020" w:bottom="1134" w:left="1020" w:header="720" w:footer="720" w:gutter="0"/>
          <w:cols w:space="720" w:num="1"/>
        </w:sectPr>
      </w:pPr>
    </w:p>
    <w:p w14:paraId="3DF99B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D0F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BC9ADD">
            <w:pPr>
              <w:pStyle w:val="8"/>
            </w:pPr>
            <w:r>
              <w:t>360019隆尧县东良校区</w:t>
            </w:r>
          </w:p>
        </w:tc>
        <w:tc>
          <w:tcPr>
            <w:tcW w:w="2722" w:type="dxa"/>
            <w:gridSpan w:val="2"/>
            <w:tcBorders>
              <w:top w:val="single" w:color="FFFFFF" w:sz="6" w:space="0"/>
              <w:left w:val="single" w:color="FFFFFF" w:sz="6" w:space="0"/>
              <w:right w:val="single" w:color="FFFFFF" w:sz="6" w:space="0"/>
            </w:tcBorders>
            <w:vAlign w:val="center"/>
          </w:tcPr>
          <w:p w14:paraId="101F478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5FBFA7A">
            <w:pPr>
              <w:pStyle w:val="10"/>
            </w:pPr>
            <w:r>
              <w:t>单位：万元</w:t>
            </w:r>
          </w:p>
        </w:tc>
      </w:tr>
      <w:tr w14:paraId="384C7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C9E0F9">
            <w:pPr>
              <w:pStyle w:val="11"/>
            </w:pPr>
            <w:r>
              <w:t>序号</w:t>
            </w:r>
          </w:p>
        </w:tc>
        <w:tc>
          <w:tcPr>
            <w:tcW w:w="5527" w:type="dxa"/>
            <w:gridSpan w:val="2"/>
            <w:vAlign w:val="center"/>
          </w:tcPr>
          <w:p w14:paraId="694DE85D">
            <w:pPr>
              <w:pStyle w:val="11"/>
            </w:pPr>
            <w:r>
              <w:t>功能分类科目</w:t>
            </w:r>
          </w:p>
        </w:tc>
        <w:tc>
          <w:tcPr>
            <w:tcW w:w="1361" w:type="dxa"/>
            <w:vMerge w:val="restart"/>
            <w:vAlign w:val="center"/>
          </w:tcPr>
          <w:p w14:paraId="01D6ABA8">
            <w:pPr>
              <w:pStyle w:val="11"/>
            </w:pPr>
            <w:r>
              <w:t>合计</w:t>
            </w:r>
          </w:p>
        </w:tc>
        <w:tc>
          <w:tcPr>
            <w:tcW w:w="1361" w:type="dxa"/>
            <w:vMerge w:val="restart"/>
            <w:vAlign w:val="center"/>
          </w:tcPr>
          <w:p w14:paraId="66A54F42">
            <w:pPr>
              <w:pStyle w:val="11"/>
            </w:pPr>
            <w:r>
              <w:t>基本支出</w:t>
            </w:r>
          </w:p>
        </w:tc>
        <w:tc>
          <w:tcPr>
            <w:tcW w:w="1361" w:type="dxa"/>
            <w:vMerge w:val="restart"/>
            <w:vAlign w:val="center"/>
          </w:tcPr>
          <w:p w14:paraId="30B4325F">
            <w:pPr>
              <w:pStyle w:val="11"/>
            </w:pPr>
            <w:r>
              <w:t>项目支出</w:t>
            </w:r>
          </w:p>
        </w:tc>
        <w:tc>
          <w:tcPr>
            <w:tcW w:w="1361" w:type="dxa"/>
            <w:vMerge w:val="restart"/>
            <w:vAlign w:val="center"/>
          </w:tcPr>
          <w:p w14:paraId="77BE1516">
            <w:pPr>
              <w:pStyle w:val="11"/>
            </w:pPr>
            <w:r>
              <w:t>经营支出</w:t>
            </w:r>
          </w:p>
        </w:tc>
        <w:tc>
          <w:tcPr>
            <w:tcW w:w="1361" w:type="dxa"/>
            <w:vMerge w:val="restart"/>
            <w:vAlign w:val="center"/>
          </w:tcPr>
          <w:p w14:paraId="5DCDA118">
            <w:pPr>
              <w:pStyle w:val="11"/>
            </w:pPr>
            <w:r>
              <w:t>上解上级     支出</w:t>
            </w:r>
          </w:p>
        </w:tc>
        <w:tc>
          <w:tcPr>
            <w:tcW w:w="1361" w:type="dxa"/>
            <w:vMerge w:val="restart"/>
            <w:vAlign w:val="center"/>
          </w:tcPr>
          <w:p w14:paraId="4CDF6184">
            <w:pPr>
              <w:pStyle w:val="11"/>
            </w:pPr>
            <w:r>
              <w:t>对附属单位补助支出</w:t>
            </w:r>
          </w:p>
        </w:tc>
      </w:tr>
      <w:tr w14:paraId="2252E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E211E"/>
        </w:tc>
        <w:tc>
          <w:tcPr>
            <w:tcW w:w="992" w:type="dxa"/>
            <w:vAlign w:val="center"/>
          </w:tcPr>
          <w:p w14:paraId="53659E38">
            <w:pPr>
              <w:pStyle w:val="11"/>
            </w:pPr>
            <w:r>
              <w:t>科目    编码</w:t>
            </w:r>
          </w:p>
        </w:tc>
        <w:tc>
          <w:tcPr>
            <w:tcW w:w="4535" w:type="dxa"/>
            <w:vAlign w:val="center"/>
          </w:tcPr>
          <w:p w14:paraId="7333C282">
            <w:pPr>
              <w:pStyle w:val="11"/>
            </w:pPr>
            <w:r>
              <w:t>科目名称</w:t>
            </w:r>
          </w:p>
        </w:tc>
        <w:tc>
          <w:tcPr>
            <w:tcW w:w="1361" w:type="dxa"/>
            <w:vMerge w:val="continue"/>
          </w:tcPr>
          <w:p w14:paraId="59344114"/>
        </w:tc>
        <w:tc>
          <w:tcPr>
            <w:tcW w:w="1361" w:type="dxa"/>
            <w:vMerge w:val="continue"/>
          </w:tcPr>
          <w:p w14:paraId="704125D1"/>
        </w:tc>
        <w:tc>
          <w:tcPr>
            <w:tcW w:w="1361" w:type="dxa"/>
            <w:vMerge w:val="continue"/>
          </w:tcPr>
          <w:p w14:paraId="130FA95A"/>
        </w:tc>
        <w:tc>
          <w:tcPr>
            <w:tcW w:w="1361" w:type="dxa"/>
            <w:vMerge w:val="continue"/>
          </w:tcPr>
          <w:p w14:paraId="1379EDD3"/>
        </w:tc>
        <w:tc>
          <w:tcPr>
            <w:tcW w:w="1361" w:type="dxa"/>
            <w:vMerge w:val="continue"/>
          </w:tcPr>
          <w:p w14:paraId="0834756D"/>
        </w:tc>
        <w:tc>
          <w:tcPr>
            <w:tcW w:w="1361" w:type="dxa"/>
            <w:vMerge w:val="continue"/>
          </w:tcPr>
          <w:p w14:paraId="7677EE4C"/>
        </w:tc>
      </w:tr>
      <w:tr w14:paraId="1FA02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960C9">
            <w:pPr>
              <w:pStyle w:val="11"/>
            </w:pPr>
            <w:r>
              <w:t>栏次</w:t>
            </w:r>
          </w:p>
        </w:tc>
        <w:tc>
          <w:tcPr>
            <w:tcW w:w="992" w:type="dxa"/>
            <w:vAlign w:val="center"/>
          </w:tcPr>
          <w:p w14:paraId="4D1296B7">
            <w:pPr>
              <w:pStyle w:val="11"/>
            </w:pPr>
            <w:r>
              <w:t>1</w:t>
            </w:r>
          </w:p>
        </w:tc>
        <w:tc>
          <w:tcPr>
            <w:tcW w:w="4535" w:type="dxa"/>
            <w:vAlign w:val="center"/>
          </w:tcPr>
          <w:p w14:paraId="1E3CEE0A">
            <w:pPr>
              <w:pStyle w:val="11"/>
            </w:pPr>
            <w:r>
              <w:t>2</w:t>
            </w:r>
          </w:p>
        </w:tc>
        <w:tc>
          <w:tcPr>
            <w:tcW w:w="1361" w:type="dxa"/>
            <w:vAlign w:val="center"/>
          </w:tcPr>
          <w:p w14:paraId="44F0F973">
            <w:pPr>
              <w:pStyle w:val="11"/>
            </w:pPr>
            <w:r>
              <w:t>3</w:t>
            </w:r>
          </w:p>
        </w:tc>
        <w:tc>
          <w:tcPr>
            <w:tcW w:w="1361" w:type="dxa"/>
            <w:vAlign w:val="center"/>
          </w:tcPr>
          <w:p w14:paraId="0643B4C1">
            <w:pPr>
              <w:pStyle w:val="11"/>
            </w:pPr>
            <w:r>
              <w:t>4</w:t>
            </w:r>
          </w:p>
        </w:tc>
        <w:tc>
          <w:tcPr>
            <w:tcW w:w="1361" w:type="dxa"/>
            <w:vAlign w:val="center"/>
          </w:tcPr>
          <w:p w14:paraId="18D5E3A6">
            <w:pPr>
              <w:pStyle w:val="11"/>
            </w:pPr>
            <w:r>
              <w:t>5</w:t>
            </w:r>
          </w:p>
        </w:tc>
        <w:tc>
          <w:tcPr>
            <w:tcW w:w="1361" w:type="dxa"/>
            <w:vAlign w:val="center"/>
          </w:tcPr>
          <w:p w14:paraId="79FE52A3">
            <w:pPr>
              <w:pStyle w:val="11"/>
            </w:pPr>
            <w:r>
              <w:t>6</w:t>
            </w:r>
          </w:p>
        </w:tc>
        <w:tc>
          <w:tcPr>
            <w:tcW w:w="1361" w:type="dxa"/>
            <w:vAlign w:val="center"/>
          </w:tcPr>
          <w:p w14:paraId="7DB67F63">
            <w:pPr>
              <w:pStyle w:val="11"/>
            </w:pPr>
            <w:r>
              <w:t>7</w:t>
            </w:r>
          </w:p>
        </w:tc>
        <w:tc>
          <w:tcPr>
            <w:tcW w:w="1361" w:type="dxa"/>
            <w:vAlign w:val="center"/>
          </w:tcPr>
          <w:p w14:paraId="55DF1CA2">
            <w:pPr>
              <w:pStyle w:val="11"/>
            </w:pPr>
            <w:r>
              <w:t>8</w:t>
            </w:r>
          </w:p>
        </w:tc>
      </w:tr>
      <w:tr w14:paraId="632BB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AC123">
            <w:pPr>
              <w:pStyle w:val="12"/>
            </w:pPr>
            <w:r>
              <w:t>1</w:t>
            </w:r>
          </w:p>
        </w:tc>
        <w:tc>
          <w:tcPr>
            <w:tcW w:w="992" w:type="dxa"/>
            <w:vAlign w:val="center"/>
          </w:tcPr>
          <w:p w14:paraId="36ABBED4">
            <w:pPr>
              <w:pStyle w:val="17"/>
            </w:pPr>
          </w:p>
        </w:tc>
        <w:tc>
          <w:tcPr>
            <w:tcW w:w="4535" w:type="dxa"/>
            <w:vAlign w:val="center"/>
          </w:tcPr>
          <w:p w14:paraId="21354F99">
            <w:pPr>
              <w:pStyle w:val="15"/>
            </w:pPr>
            <w:r>
              <w:t>合计</w:t>
            </w:r>
          </w:p>
        </w:tc>
        <w:tc>
          <w:tcPr>
            <w:tcW w:w="1361" w:type="dxa"/>
            <w:vAlign w:val="center"/>
          </w:tcPr>
          <w:p w14:paraId="6D07D786">
            <w:pPr>
              <w:pStyle w:val="16"/>
            </w:pPr>
            <w:r>
              <w:t>3251.47</w:t>
            </w:r>
          </w:p>
        </w:tc>
        <w:tc>
          <w:tcPr>
            <w:tcW w:w="1361" w:type="dxa"/>
            <w:vAlign w:val="center"/>
          </w:tcPr>
          <w:p w14:paraId="7621C4B7">
            <w:pPr>
              <w:pStyle w:val="16"/>
            </w:pPr>
            <w:r>
              <w:t>2389.31</w:t>
            </w:r>
          </w:p>
        </w:tc>
        <w:tc>
          <w:tcPr>
            <w:tcW w:w="1361" w:type="dxa"/>
            <w:vAlign w:val="center"/>
          </w:tcPr>
          <w:p w14:paraId="1CF18950">
            <w:pPr>
              <w:pStyle w:val="16"/>
            </w:pPr>
            <w:r>
              <w:t>862.16</w:t>
            </w:r>
          </w:p>
        </w:tc>
        <w:tc>
          <w:tcPr>
            <w:tcW w:w="1361" w:type="dxa"/>
            <w:vAlign w:val="center"/>
          </w:tcPr>
          <w:p w14:paraId="28389955">
            <w:pPr>
              <w:pStyle w:val="16"/>
            </w:pPr>
          </w:p>
        </w:tc>
        <w:tc>
          <w:tcPr>
            <w:tcW w:w="1361" w:type="dxa"/>
            <w:vAlign w:val="center"/>
          </w:tcPr>
          <w:p w14:paraId="6AB8C5C7">
            <w:pPr>
              <w:pStyle w:val="16"/>
            </w:pPr>
          </w:p>
        </w:tc>
        <w:tc>
          <w:tcPr>
            <w:tcW w:w="1361" w:type="dxa"/>
            <w:vAlign w:val="center"/>
          </w:tcPr>
          <w:p w14:paraId="4593B9A2">
            <w:pPr>
              <w:pStyle w:val="16"/>
            </w:pPr>
          </w:p>
        </w:tc>
      </w:tr>
      <w:tr w14:paraId="37D1F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A3396">
            <w:pPr>
              <w:pStyle w:val="12"/>
            </w:pPr>
            <w:r>
              <w:t>2</w:t>
            </w:r>
          </w:p>
        </w:tc>
        <w:tc>
          <w:tcPr>
            <w:tcW w:w="992" w:type="dxa"/>
            <w:vAlign w:val="center"/>
          </w:tcPr>
          <w:p w14:paraId="5F78C3D7">
            <w:pPr>
              <w:pStyle w:val="13"/>
            </w:pPr>
            <w:r>
              <w:t>205</w:t>
            </w:r>
          </w:p>
        </w:tc>
        <w:tc>
          <w:tcPr>
            <w:tcW w:w="4535" w:type="dxa"/>
            <w:vAlign w:val="center"/>
          </w:tcPr>
          <w:p w14:paraId="10834EB9">
            <w:pPr>
              <w:pStyle w:val="13"/>
            </w:pPr>
            <w:r>
              <w:t>教育支出</w:t>
            </w:r>
          </w:p>
        </w:tc>
        <w:tc>
          <w:tcPr>
            <w:tcW w:w="1361" w:type="dxa"/>
            <w:vAlign w:val="center"/>
          </w:tcPr>
          <w:p w14:paraId="1CEB4B8E">
            <w:pPr>
              <w:pStyle w:val="14"/>
            </w:pPr>
            <w:r>
              <w:t>3227.04</w:t>
            </w:r>
          </w:p>
        </w:tc>
        <w:tc>
          <w:tcPr>
            <w:tcW w:w="1361" w:type="dxa"/>
            <w:vAlign w:val="center"/>
          </w:tcPr>
          <w:p w14:paraId="0CD2F734">
            <w:pPr>
              <w:pStyle w:val="14"/>
            </w:pPr>
            <w:r>
              <w:t>2364.88</w:t>
            </w:r>
          </w:p>
        </w:tc>
        <w:tc>
          <w:tcPr>
            <w:tcW w:w="1361" w:type="dxa"/>
            <w:vAlign w:val="center"/>
          </w:tcPr>
          <w:p w14:paraId="2B08F7F9">
            <w:pPr>
              <w:pStyle w:val="14"/>
            </w:pPr>
            <w:r>
              <w:t>862.16</w:t>
            </w:r>
          </w:p>
        </w:tc>
        <w:tc>
          <w:tcPr>
            <w:tcW w:w="1361" w:type="dxa"/>
            <w:vAlign w:val="center"/>
          </w:tcPr>
          <w:p w14:paraId="36AE0FBA">
            <w:pPr>
              <w:pStyle w:val="14"/>
            </w:pPr>
          </w:p>
        </w:tc>
        <w:tc>
          <w:tcPr>
            <w:tcW w:w="1361" w:type="dxa"/>
            <w:vAlign w:val="center"/>
          </w:tcPr>
          <w:p w14:paraId="2697226B">
            <w:pPr>
              <w:pStyle w:val="14"/>
            </w:pPr>
          </w:p>
        </w:tc>
        <w:tc>
          <w:tcPr>
            <w:tcW w:w="1361" w:type="dxa"/>
            <w:vAlign w:val="center"/>
          </w:tcPr>
          <w:p w14:paraId="2A543E08">
            <w:pPr>
              <w:pStyle w:val="14"/>
            </w:pPr>
          </w:p>
        </w:tc>
      </w:tr>
      <w:tr w14:paraId="110AE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C24A5">
            <w:pPr>
              <w:pStyle w:val="12"/>
            </w:pPr>
            <w:r>
              <w:t>3</w:t>
            </w:r>
          </w:p>
        </w:tc>
        <w:tc>
          <w:tcPr>
            <w:tcW w:w="992" w:type="dxa"/>
            <w:vAlign w:val="center"/>
          </w:tcPr>
          <w:p w14:paraId="405F10E9">
            <w:pPr>
              <w:pStyle w:val="13"/>
            </w:pPr>
            <w:r>
              <w:t>20502</w:t>
            </w:r>
          </w:p>
        </w:tc>
        <w:tc>
          <w:tcPr>
            <w:tcW w:w="4535" w:type="dxa"/>
            <w:vAlign w:val="center"/>
          </w:tcPr>
          <w:p w14:paraId="09C3AF75">
            <w:pPr>
              <w:pStyle w:val="13"/>
            </w:pPr>
            <w:r>
              <w:t>普通教育</w:t>
            </w:r>
          </w:p>
        </w:tc>
        <w:tc>
          <w:tcPr>
            <w:tcW w:w="1361" w:type="dxa"/>
            <w:vAlign w:val="center"/>
          </w:tcPr>
          <w:p w14:paraId="719BA4A4">
            <w:pPr>
              <w:pStyle w:val="14"/>
            </w:pPr>
            <w:r>
              <w:t>3227.04</w:t>
            </w:r>
          </w:p>
        </w:tc>
        <w:tc>
          <w:tcPr>
            <w:tcW w:w="1361" w:type="dxa"/>
            <w:vAlign w:val="center"/>
          </w:tcPr>
          <w:p w14:paraId="10A69D2E">
            <w:pPr>
              <w:pStyle w:val="14"/>
            </w:pPr>
            <w:r>
              <w:t>2364.88</w:t>
            </w:r>
          </w:p>
        </w:tc>
        <w:tc>
          <w:tcPr>
            <w:tcW w:w="1361" w:type="dxa"/>
            <w:vAlign w:val="center"/>
          </w:tcPr>
          <w:p w14:paraId="75E9FD2A">
            <w:pPr>
              <w:pStyle w:val="14"/>
            </w:pPr>
            <w:r>
              <w:t>862.16</w:t>
            </w:r>
          </w:p>
        </w:tc>
        <w:tc>
          <w:tcPr>
            <w:tcW w:w="1361" w:type="dxa"/>
            <w:vAlign w:val="center"/>
          </w:tcPr>
          <w:p w14:paraId="458F74CD">
            <w:pPr>
              <w:pStyle w:val="14"/>
            </w:pPr>
          </w:p>
        </w:tc>
        <w:tc>
          <w:tcPr>
            <w:tcW w:w="1361" w:type="dxa"/>
            <w:vAlign w:val="center"/>
          </w:tcPr>
          <w:p w14:paraId="39106BBF">
            <w:pPr>
              <w:pStyle w:val="14"/>
            </w:pPr>
          </w:p>
        </w:tc>
        <w:tc>
          <w:tcPr>
            <w:tcW w:w="1361" w:type="dxa"/>
            <w:vAlign w:val="center"/>
          </w:tcPr>
          <w:p w14:paraId="1573D93C">
            <w:pPr>
              <w:pStyle w:val="14"/>
            </w:pPr>
          </w:p>
        </w:tc>
      </w:tr>
      <w:tr w14:paraId="4DAB8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43D33">
            <w:pPr>
              <w:pStyle w:val="12"/>
            </w:pPr>
            <w:r>
              <w:t>4</w:t>
            </w:r>
          </w:p>
        </w:tc>
        <w:tc>
          <w:tcPr>
            <w:tcW w:w="992" w:type="dxa"/>
            <w:vAlign w:val="center"/>
          </w:tcPr>
          <w:p w14:paraId="6BFD51A4">
            <w:pPr>
              <w:pStyle w:val="13"/>
            </w:pPr>
            <w:r>
              <w:t>2050201</w:t>
            </w:r>
          </w:p>
        </w:tc>
        <w:tc>
          <w:tcPr>
            <w:tcW w:w="4535" w:type="dxa"/>
            <w:vAlign w:val="center"/>
          </w:tcPr>
          <w:p w14:paraId="7C813B75">
            <w:pPr>
              <w:pStyle w:val="13"/>
            </w:pPr>
            <w:r>
              <w:t>学前教育</w:t>
            </w:r>
          </w:p>
        </w:tc>
        <w:tc>
          <w:tcPr>
            <w:tcW w:w="1361" w:type="dxa"/>
            <w:vAlign w:val="center"/>
          </w:tcPr>
          <w:p w14:paraId="3731668A">
            <w:pPr>
              <w:pStyle w:val="14"/>
            </w:pPr>
            <w:r>
              <w:t>260.40</w:t>
            </w:r>
          </w:p>
        </w:tc>
        <w:tc>
          <w:tcPr>
            <w:tcW w:w="1361" w:type="dxa"/>
            <w:vAlign w:val="center"/>
          </w:tcPr>
          <w:p w14:paraId="51CFE13B">
            <w:pPr>
              <w:pStyle w:val="14"/>
            </w:pPr>
          </w:p>
        </w:tc>
        <w:tc>
          <w:tcPr>
            <w:tcW w:w="1361" w:type="dxa"/>
            <w:vAlign w:val="center"/>
          </w:tcPr>
          <w:p w14:paraId="12AF7B58">
            <w:pPr>
              <w:pStyle w:val="14"/>
            </w:pPr>
            <w:r>
              <w:t>260.40</w:t>
            </w:r>
          </w:p>
        </w:tc>
        <w:tc>
          <w:tcPr>
            <w:tcW w:w="1361" w:type="dxa"/>
            <w:vAlign w:val="center"/>
          </w:tcPr>
          <w:p w14:paraId="60905690">
            <w:pPr>
              <w:pStyle w:val="14"/>
            </w:pPr>
          </w:p>
        </w:tc>
        <w:tc>
          <w:tcPr>
            <w:tcW w:w="1361" w:type="dxa"/>
            <w:vAlign w:val="center"/>
          </w:tcPr>
          <w:p w14:paraId="3E2C395D">
            <w:pPr>
              <w:pStyle w:val="14"/>
            </w:pPr>
          </w:p>
        </w:tc>
        <w:tc>
          <w:tcPr>
            <w:tcW w:w="1361" w:type="dxa"/>
            <w:vAlign w:val="center"/>
          </w:tcPr>
          <w:p w14:paraId="34AD33A6">
            <w:pPr>
              <w:pStyle w:val="14"/>
            </w:pPr>
          </w:p>
        </w:tc>
      </w:tr>
      <w:tr w14:paraId="00BF8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C4269">
            <w:pPr>
              <w:pStyle w:val="12"/>
            </w:pPr>
            <w:r>
              <w:t>5</w:t>
            </w:r>
          </w:p>
        </w:tc>
        <w:tc>
          <w:tcPr>
            <w:tcW w:w="992" w:type="dxa"/>
            <w:vAlign w:val="center"/>
          </w:tcPr>
          <w:p w14:paraId="72BB5A7A">
            <w:pPr>
              <w:pStyle w:val="13"/>
            </w:pPr>
            <w:r>
              <w:t>2050202</w:t>
            </w:r>
          </w:p>
        </w:tc>
        <w:tc>
          <w:tcPr>
            <w:tcW w:w="4535" w:type="dxa"/>
            <w:vAlign w:val="center"/>
          </w:tcPr>
          <w:p w14:paraId="47FC9B99">
            <w:pPr>
              <w:pStyle w:val="13"/>
            </w:pPr>
            <w:r>
              <w:t>小学教育</w:t>
            </w:r>
          </w:p>
        </w:tc>
        <w:tc>
          <w:tcPr>
            <w:tcW w:w="1361" w:type="dxa"/>
            <w:vAlign w:val="center"/>
          </w:tcPr>
          <w:p w14:paraId="49BE5CF7">
            <w:pPr>
              <w:pStyle w:val="14"/>
            </w:pPr>
            <w:r>
              <w:t>2966.65</w:t>
            </w:r>
          </w:p>
        </w:tc>
        <w:tc>
          <w:tcPr>
            <w:tcW w:w="1361" w:type="dxa"/>
            <w:vAlign w:val="center"/>
          </w:tcPr>
          <w:p w14:paraId="732F535C">
            <w:pPr>
              <w:pStyle w:val="14"/>
            </w:pPr>
            <w:r>
              <w:t>2364.88</w:t>
            </w:r>
          </w:p>
        </w:tc>
        <w:tc>
          <w:tcPr>
            <w:tcW w:w="1361" w:type="dxa"/>
            <w:vAlign w:val="center"/>
          </w:tcPr>
          <w:p w14:paraId="55122414">
            <w:pPr>
              <w:pStyle w:val="14"/>
            </w:pPr>
            <w:r>
              <w:t>601.76</w:t>
            </w:r>
          </w:p>
        </w:tc>
        <w:tc>
          <w:tcPr>
            <w:tcW w:w="1361" w:type="dxa"/>
            <w:vAlign w:val="center"/>
          </w:tcPr>
          <w:p w14:paraId="3C5834C4">
            <w:pPr>
              <w:pStyle w:val="14"/>
            </w:pPr>
          </w:p>
        </w:tc>
        <w:tc>
          <w:tcPr>
            <w:tcW w:w="1361" w:type="dxa"/>
            <w:vAlign w:val="center"/>
          </w:tcPr>
          <w:p w14:paraId="4BAD8504">
            <w:pPr>
              <w:pStyle w:val="14"/>
            </w:pPr>
          </w:p>
        </w:tc>
        <w:tc>
          <w:tcPr>
            <w:tcW w:w="1361" w:type="dxa"/>
            <w:vAlign w:val="center"/>
          </w:tcPr>
          <w:p w14:paraId="624CCBB6">
            <w:pPr>
              <w:pStyle w:val="14"/>
            </w:pPr>
          </w:p>
        </w:tc>
      </w:tr>
      <w:tr w14:paraId="64B97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C9516">
            <w:pPr>
              <w:pStyle w:val="12"/>
            </w:pPr>
            <w:r>
              <w:t>6</w:t>
            </w:r>
          </w:p>
        </w:tc>
        <w:tc>
          <w:tcPr>
            <w:tcW w:w="992" w:type="dxa"/>
            <w:vAlign w:val="center"/>
          </w:tcPr>
          <w:p w14:paraId="793FD2AA">
            <w:pPr>
              <w:pStyle w:val="13"/>
            </w:pPr>
            <w:r>
              <w:t>208</w:t>
            </w:r>
          </w:p>
        </w:tc>
        <w:tc>
          <w:tcPr>
            <w:tcW w:w="4535" w:type="dxa"/>
            <w:vAlign w:val="center"/>
          </w:tcPr>
          <w:p w14:paraId="3C48A4B3">
            <w:pPr>
              <w:pStyle w:val="13"/>
            </w:pPr>
            <w:r>
              <w:t>社会保障和就业支出</w:t>
            </w:r>
          </w:p>
        </w:tc>
        <w:tc>
          <w:tcPr>
            <w:tcW w:w="1361" w:type="dxa"/>
            <w:vAlign w:val="center"/>
          </w:tcPr>
          <w:p w14:paraId="6A2A648A">
            <w:pPr>
              <w:pStyle w:val="14"/>
            </w:pPr>
            <w:r>
              <w:t>24.43</w:t>
            </w:r>
          </w:p>
        </w:tc>
        <w:tc>
          <w:tcPr>
            <w:tcW w:w="1361" w:type="dxa"/>
            <w:vAlign w:val="center"/>
          </w:tcPr>
          <w:p w14:paraId="6DAADB6F">
            <w:pPr>
              <w:pStyle w:val="14"/>
            </w:pPr>
            <w:r>
              <w:t>24.43</w:t>
            </w:r>
          </w:p>
        </w:tc>
        <w:tc>
          <w:tcPr>
            <w:tcW w:w="1361" w:type="dxa"/>
            <w:vAlign w:val="center"/>
          </w:tcPr>
          <w:p w14:paraId="760CB3D3">
            <w:pPr>
              <w:pStyle w:val="14"/>
            </w:pPr>
          </w:p>
        </w:tc>
        <w:tc>
          <w:tcPr>
            <w:tcW w:w="1361" w:type="dxa"/>
            <w:vAlign w:val="center"/>
          </w:tcPr>
          <w:p w14:paraId="178A3548">
            <w:pPr>
              <w:pStyle w:val="14"/>
            </w:pPr>
          </w:p>
        </w:tc>
        <w:tc>
          <w:tcPr>
            <w:tcW w:w="1361" w:type="dxa"/>
            <w:vAlign w:val="center"/>
          </w:tcPr>
          <w:p w14:paraId="553483A9">
            <w:pPr>
              <w:pStyle w:val="14"/>
            </w:pPr>
          </w:p>
        </w:tc>
        <w:tc>
          <w:tcPr>
            <w:tcW w:w="1361" w:type="dxa"/>
            <w:vAlign w:val="center"/>
          </w:tcPr>
          <w:p w14:paraId="1BB941BA">
            <w:pPr>
              <w:pStyle w:val="14"/>
            </w:pPr>
          </w:p>
        </w:tc>
      </w:tr>
      <w:tr w14:paraId="71CF5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9855C">
            <w:pPr>
              <w:pStyle w:val="12"/>
            </w:pPr>
            <w:r>
              <w:t>7</w:t>
            </w:r>
          </w:p>
        </w:tc>
        <w:tc>
          <w:tcPr>
            <w:tcW w:w="992" w:type="dxa"/>
            <w:vAlign w:val="center"/>
          </w:tcPr>
          <w:p w14:paraId="2E51D503">
            <w:pPr>
              <w:pStyle w:val="13"/>
            </w:pPr>
            <w:r>
              <w:t>20805</w:t>
            </w:r>
          </w:p>
        </w:tc>
        <w:tc>
          <w:tcPr>
            <w:tcW w:w="4535" w:type="dxa"/>
            <w:vAlign w:val="center"/>
          </w:tcPr>
          <w:p w14:paraId="3B5390EE">
            <w:pPr>
              <w:pStyle w:val="13"/>
            </w:pPr>
            <w:r>
              <w:t>行政事业单位养老支出</w:t>
            </w:r>
          </w:p>
        </w:tc>
        <w:tc>
          <w:tcPr>
            <w:tcW w:w="1361" w:type="dxa"/>
            <w:vAlign w:val="center"/>
          </w:tcPr>
          <w:p w14:paraId="774E79F4">
            <w:pPr>
              <w:pStyle w:val="14"/>
            </w:pPr>
            <w:r>
              <w:t>24.43</w:t>
            </w:r>
          </w:p>
        </w:tc>
        <w:tc>
          <w:tcPr>
            <w:tcW w:w="1361" w:type="dxa"/>
            <w:vAlign w:val="center"/>
          </w:tcPr>
          <w:p w14:paraId="23EBFCEA">
            <w:pPr>
              <w:pStyle w:val="14"/>
            </w:pPr>
            <w:r>
              <w:t>24.43</w:t>
            </w:r>
          </w:p>
        </w:tc>
        <w:tc>
          <w:tcPr>
            <w:tcW w:w="1361" w:type="dxa"/>
            <w:vAlign w:val="center"/>
          </w:tcPr>
          <w:p w14:paraId="15A34677">
            <w:pPr>
              <w:pStyle w:val="14"/>
            </w:pPr>
          </w:p>
        </w:tc>
        <w:tc>
          <w:tcPr>
            <w:tcW w:w="1361" w:type="dxa"/>
            <w:vAlign w:val="center"/>
          </w:tcPr>
          <w:p w14:paraId="471555B1">
            <w:pPr>
              <w:pStyle w:val="14"/>
            </w:pPr>
          </w:p>
        </w:tc>
        <w:tc>
          <w:tcPr>
            <w:tcW w:w="1361" w:type="dxa"/>
            <w:vAlign w:val="center"/>
          </w:tcPr>
          <w:p w14:paraId="536364FA">
            <w:pPr>
              <w:pStyle w:val="14"/>
            </w:pPr>
          </w:p>
        </w:tc>
        <w:tc>
          <w:tcPr>
            <w:tcW w:w="1361" w:type="dxa"/>
            <w:vAlign w:val="center"/>
          </w:tcPr>
          <w:p w14:paraId="715B89FD">
            <w:pPr>
              <w:pStyle w:val="14"/>
            </w:pPr>
          </w:p>
        </w:tc>
      </w:tr>
      <w:tr w14:paraId="6325C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13971">
            <w:pPr>
              <w:pStyle w:val="12"/>
            </w:pPr>
            <w:r>
              <w:t>8</w:t>
            </w:r>
          </w:p>
        </w:tc>
        <w:tc>
          <w:tcPr>
            <w:tcW w:w="992" w:type="dxa"/>
            <w:vAlign w:val="center"/>
          </w:tcPr>
          <w:p w14:paraId="6F1292D2">
            <w:pPr>
              <w:pStyle w:val="13"/>
            </w:pPr>
            <w:r>
              <w:t>2080502</w:t>
            </w:r>
          </w:p>
        </w:tc>
        <w:tc>
          <w:tcPr>
            <w:tcW w:w="4535" w:type="dxa"/>
            <w:vAlign w:val="center"/>
          </w:tcPr>
          <w:p w14:paraId="558825B8">
            <w:pPr>
              <w:pStyle w:val="13"/>
            </w:pPr>
            <w:r>
              <w:t>事业单位离退休</w:t>
            </w:r>
          </w:p>
        </w:tc>
        <w:tc>
          <w:tcPr>
            <w:tcW w:w="1361" w:type="dxa"/>
            <w:vAlign w:val="center"/>
          </w:tcPr>
          <w:p w14:paraId="3C133FED">
            <w:pPr>
              <w:pStyle w:val="14"/>
            </w:pPr>
            <w:r>
              <w:t>24.43</w:t>
            </w:r>
          </w:p>
        </w:tc>
        <w:tc>
          <w:tcPr>
            <w:tcW w:w="1361" w:type="dxa"/>
            <w:vAlign w:val="center"/>
          </w:tcPr>
          <w:p w14:paraId="791B5D16">
            <w:pPr>
              <w:pStyle w:val="14"/>
            </w:pPr>
            <w:r>
              <w:t>24.43</w:t>
            </w:r>
          </w:p>
        </w:tc>
        <w:tc>
          <w:tcPr>
            <w:tcW w:w="1361" w:type="dxa"/>
            <w:vAlign w:val="center"/>
          </w:tcPr>
          <w:p w14:paraId="06389DC3">
            <w:pPr>
              <w:pStyle w:val="14"/>
            </w:pPr>
          </w:p>
        </w:tc>
        <w:tc>
          <w:tcPr>
            <w:tcW w:w="1361" w:type="dxa"/>
            <w:vAlign w:val="center"/>
          </w:tcPr>
          <w:p w14:paraId="4A960190">
            <w:pPr>
              <w:pStyle w:val="14"/>
            </w:pPr>
          </w:p>
        </w:tc>
        <w:tc>
          <w:tcPr>
            <w:tcW w:w="1361" w:type="dxa"/>
            <w:vAlign w:val="center"/>
          </w:tcPr>
          <w:p w14:paraId="42EF866F">
            <w:pPr>
              <w:pStyle w:val="14"/>
            </w:pPr>
          </w:p>
        </w:tc>
        <w:tc>
          <w:tcPr>
            <w:tcW w:w="1361" w:type="dxa"/>
            <w:vAlign w:val="center"/>
          </w:tcPr>
          <w:p w14:paraId="5428DD8A">
            <w:pPr>
              <w:pStyle w:val="14"/>
            </w:pPr>
          </w:p>
        </w:tc>
      </w:tr>
    </w:tbl>
    <w:p w14:paraId="38A233A0">
      <w:pPr>
        <w:sectPr>
          <w:pgSz w:w="16840" w:h="11900" w:orient="landscape"/>
          <w:pgMar w:top="1361" w:right="1020" w:bottom="1134" w:left="1020" w:header="720" w:footer="720" w:gutter="0"/>
          <w:cols w:space="720" w:num="1"/>
        </w:sectPr>
      </w:pPr>
    </w:p>
    <w:p w14:paraId="610085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7EA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30ACBF">
            <w:pPr>
              <w:pStyle w:val="8"/>
            </w:pPr>
            <w:r>
              <w:t>360019隆尧县东良校区</w:t>
            </w:r>
          </w:p>
        </w:tc>
        <w:tc>
          <w:tcPr>
            <w:tcW w:w="3402" w:type="dxa"/>
            <w:tcBorders>
              <w:top w:val="single" w:color="FFFFFF" w:sz="6" w:space="0"/>
              <w:left w:val="single" w:color="FFFFFF" w:sz="6" w:space="0"/>
              <w:right w:val="single" w:color="FFFFFF" w:sz="6" w:space="0"/>
            </w:tcBorders>
            <w:vAlign w:val="center"/>
          </w:tcPr>
          <w:p w14:paraId="252F4F3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B4411C0">
            <w:pPr>
              <w:pStyle w:val="10"/>
            </w:pPr>
            <w:r>
              <w:t>单位：万元</w:t>
            </w:r>
          </w:p>
        </w:tc>
      </w:tr>
      <w:tr w14:paraId="797BA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3831A">
            <w:pPr>
              <w:pStyle w:val="11"/>
            </w:pPr>
            <w:r>
              <w:t>序号</w:t>
            </w:r>
          </w:p>
        </w:tc>
        <w:tc>
          <w:tcPr>
            <w:tcW w:w="4876" w:type="dxa"/>
            <w:gridSpan w:val="2"/>
            <w:vAlign w:val="center"/>
          </w:tcPr>
          <w:p w14:paraId="39A52D0F">
            <w:pPr>
              <w:pStyle w:val="11"/>
            </w:pPr>
            <w:r>
              <w:t>收入</w:t>
            </w:r>
          </w:p>
        </w:tc>
        <w:tc>
          <w:tcPr>
            <w:tcW w:w="9298" w:type="dxa"/>
            <w:gridSpan w:val="5"/>
            <w:vAlign w:val="center"/>
          </w:tcPr>
          <w:p w14:paraId="2546A9F0">
            <w:pPr>
              <w:pStyle w:val="11"/>
            </w:pPr>
            <w:r>
              <w:t>支出</w:t>
            </w:r>
          </w:p>
        </w:tc>
      </w:tr>
      <w:tr w14:paraId="3E91A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03E779"/>
        </w:tc>
        <w:tc>
          <w:tcPr>
            <w:tcW w:w="3402" w:type="dxa"/>
            <w:vAlign w:val="center"/>
          </w:tcPr>
          <w:p w14:paraId="0E68C16D">
            <w:pPr>
              <w:pStyle w:val="11"/>
            </w:pPr>
            <w:r>
              <w:t>项  目</w:t>
            </w:r>
          </w:p>
        </w:tc>
        <w:tc>
          <w:tcPr>
            <w:tcW w:w="1474" w:type="dxa"/>
            <w:vAlign w:val="center"/>
          </w:tcPr>
          <w:p w14:paraId="21E94F50">
            <w:pPr>
              <w:pStyle w:val="11"/>
            </w:pPr>
            <w:r>
              <w:t>金额</w:t>
            </w:r>
          </w:p>
        </w:tc>
        <w:tc>
          <w:tcPr>
            <w:tcW w:w="3402" w:type="dxa"/>
            <w:vAlign w:val="center"/>
          </w:tcPr>
          <w:p w14:paraId="4B6248A1">
            <w:pPr>
              <w:pStyle w:val="11"/>
            </w:pPr>
            <w:r>
              <w:t>项  目</w:t>
            </w:r>
          </w:p>
        </w:tc>
        <w:tc>
          <w:tcPr>
            <w:tcW w:w="1474" w:type="dxa"/>
            <w:vAlign w:val="center"/>
          </w:tcPr>
          <w:p w14:paraId="4AFA03C1">
            <w:pPr>
              <w:pStyle w:val="11"/>
            </w:pPr>
            <w:r>
              <w:t>合计</w:t>
            </w:r>
          </w:p>
        </w:tc>
        <w:tc>
          <w:tcPr>
            <w:tcW w:w="1474" w:type="dxa"/>
            <w:vAlign w:val="center"/>
          </w:tcPr>
          <w:p w14:paraId="6139A06A">
            <w:pPr>
              <w:pStyle w:val="11"/>
            </w:pPr>
            <w:r>
              <w:t>一般公共预算财政拨款</w:t>
            </w:r>
          </w:p>
        </w:tc>
        <w:tc>
          <w:tcPr>
            <w:tcW w:w="1474" w:type="dxa"/>
            <w:vAlign w:val="center"/>
          </w:tcPr>
          <w:p w14:paraId="3FBD6F41">
            <w:pPr>
              <w:pStyle w:val="11"/>
            </w:pPr>
            <w:r>
              <w:t>政府性基金预算财政    拨款</w:t>
            </w:r>
          </w:p>
        </w:tc>
        <w:tc>
          <w:tcPr>
            <w:tcW w:w="1474" w:type="dxa"/>
            <w:vAlign w:val="center"/>
          </w:tcPr>
          <w:p w14:paraId="070E4908">
            <w:pPr>
              <w:pStyle w:val="11"/>
            </w:pPr>
            <w:r>
              <w:t>国有资本经营预算财政拨款</w:t>
            </w:r>
          </w:p>
        </w:tc>
      </w:tr>
      <w:tr w14:paraId="1B458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6FBBD6">
            <w:pPr>
              <w:pStyle w:val="11"/>
            </w:pPr>
            <w:r>
              <w:t>栏次</w:t>
            </w:r>
          </w:p>
        </w:tc>
        <w:tc>
          <w:tcPr>
            <w:tcW w:w="3402" w:type="dxa"/>
            <w:vAlign w:val="center"/>
          </w:tcPr>
          <w:p w14:paraId="40B14FFC">
            <w:pPr>
              <w:pStyle w:val="11"/>
            </w:pPr>
            <w:r>
              <w:t>1</w:t>
            </w:r>
          </w:p>
        </w:tc>
        <w:tc>
          <w:tcPr>
            <w:tcW w:w="1474" w:type="dxa"/>
            <w:vAlign w:val="center"/>
          </w:tcPr>
          <w:p w14:paraId="540E4F12">
            <w:pPr>
              <w:pStyle w:val="11"/>
            </w:pPr>
            <w:r>
              <w:t>2</w:t>
            </w:r>
          </w:p>
        </w:tc>
        <w:tc>
          <w:tcPr>
            <w:tcW w:w="3402" w:type="dxa"/>
            <w:vAlign w:val="center"/>
          </w:tcPr>
          <w:p w14:paraId="76AFAF97">
            <w:pPr>
              <w:pStyle w:val="11"/>
            </w:pPr>
            <w:r>
              <w:t>3</w:t>
            </w:r>
          </w:p>
        </w:tc>
        <w:tc>
          <w:tcPr>
            <w:tcW w:w="1474" w:type="dxa"/>
            <w:vAlign w:val="center"/>
          </w:tcPr>
          <w:p w14:paraId="459AAF9D">
            <w:pPr>
              <w:pStyle w:val="11"/>
            </w:pPr>
            <w:r>
              <w:t>4</w:t>
            </w:r>
          </w:p>
        </w:tc>
        <w:tc>
          <w:tcPr>
            <w:tcW w:w="1474" w:type="dxa"/>
            <w:vAlign w:val="center"/>
          </w:tcPr>
          <w:p w14:paraId="70B72841">
            <w:pPr>
              <w:pStyle w:val="11"/>
            </w:pPr>
            <w:r>
              <w:t>5</w:t>
            </w:r>
          </w:p>
        </w:tc>
        <w:tc>
          <w:tcPr>
            <w:tcW w:w="1474" w:type="dxa"/>
            <w:vAlign w:val="center"/>
          </w:tcPr>
          <w:p w14:paraId="1D0C9E4D">
            <w:pPr>
              <w:pStyle w:val="11"/>
            </w:pPr>
            <w:r>
              <w:t>6</w:t>
            </w:r>
          </w:p>
        </w:tc>
        <w:tc>
          <w:tcPr>
            <w:tcW w:w="1474" w:type="dxa"/>
            <w:vAlign w:val="center"/>
          </w:tcPr>
          <w:p w14:paraId="08FC95E5">
            <w:pPr>
              <w:pStyle w:val="11"/>
            </w:pPr>
            <w:r>
              <w:t>7</w:t>
            </w:r>
          </w:p>
        </w:tc>
      </w:tr>
      <w:tr w14:paraId="7FCFC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04372">
            <w:pPr>
              <w:pStyle w:val="12"/>
            </w:pPr>
            <w:r>
              <w:t>1</w:t>
            </w:r>
          </w:p>
        </w:tc>
        <w:tc>
          <w:tcPr>
            <w:tcW w:w="3402" w:type="dxa"/>
            <w:vAlign w:val="center"/>
          </w:tcPr>
          <w:p w14:paraId="271CAEB9">
            <w:pPr>
              <w:pStyle w:val="13"/>
            </w:pPr>
            <w:r>
              <w:t>一、一般公共预算拨款</w:t>
            </w:r>
          </w:p>
        </w:tc>
        <w:tc>
          <w:tcPr>
            <w:tcW w:w="1474" w:type="dxa"/>
            <w:vAlign w:val="center"/>
          </w:tcPr>
          <w:p w14:paraId="0CC215B8">
            <w:pPr>
              <w:pStyle w:val="14"/>
            </w:pPr>
            <w:r>
              <w:t>3182.86</w:t>
            </w:r>
          </w:p>
        </w:tc>
        <w:tc>
          <w:tcPr>
            <w:tcW w:w="3402" w:type="dxa"/>
            <w:vAlign w:val="center"/>
          </w:tcPr>
          <w:p w14:paraId="5FD73F4C">
            <w:pPr>
              <w:pStyle w:val="13"/>
            </w:pPr>
            <w:r>
              <w:t>一、一般公共服务支出</w:t>
            </w:r>
          </w:p>
        </w:tc>
        <w:tc>
          <w:tcPr>
            <w:tcW w:w="1474" w:type="dxa"/>
            <w:vAlign w:val="center"/>
          </w:tcPr>
          <w:p w14:paraId="3CFC6790">
            <w:pPr>
              <w:pStyle w:val="14"/>
            </w:pPr>
          </w:p>
        </w:tc>
        <w:tc>
          <w:tcPr>
            <w:tcW w:w="1474" w:type="dxa"/>
            <w:vAlign w:val="center"/>
          </w:tcPr>
          <w:p w14:paraId="680839E4">
            <w:pPr>
              <w:pStyle w:val="14"/>
            </w:pPr>
          </w:p>
        </w:tc>
        <w:tc>
          <w:tcPr>
            <w:tcW w:w="1474" w:type="dxa"/>
            <w:vAlign w:val="center"/>
          </w:tcPr>
          <w:p w14:paraId="67A13AE7">
            <w:pPr>
              <w:pStyle w:val="14"/>
            </w:pPr>
          </w:p>
        </w:tc>
        <w:tc>
          <w:tcPr>
            <w:tcW w:w="1474" w:type="dxa"/>
            <w:vAlign w:val="center"/>
          </w:tcPr>
          <w:p w14:paraId="643469BD">
            <w:pPr>
              <w:pStyle w:val="14"/>
            </w:pPr>
          </w:p>
        </w:tc>
      </w:tr>
      <w:tr w14:paraId="7471D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44511">
            <w:pPr>
              <w:pStyle w:val="12"/>
            </w:pPr>
            <w:r>
              <w:t>2</w:t>
            </w:r>
          </w:p>
        </w:tc>
        <w:tc>
          <w:tcPr>
            <w:tcW w:w="3402" w:type="dxa"/>
            <w:vAlign w:val="center"/>
          </w:tcPr>
          <w:p w14:paraId="52B10115">
            <w:pPr>
              <w:pStyle w:val="13"/>
            </w:pPr>
            <w:r>
              <w:t>二、政府性基金预算拨款</w:t>
            </w:r>
          </w:p>
        </w:tc>
        <w:tc>
          <w:tcPr>
            <w:tcW w:w="1474" w:type="dxa"/>
            <w:vAlign w:val="center"/>
          </w:tcPr>
          <w:p w14:paraId="5356DCD1">
            <w:pPr>
              <w:pStyle w:val="14"/>
            </w:pPr>
          </w:p>
        </w:tc>
        <w:tc>
          <w:tcPr>
            <w:tcW w:w="3402" w:type="dxa"/>
            <w:vAlign w:val="center"/>
          </w:tcPr>
          <w:p w14:paraId="2AA631BE">
            <w:pPr>
              <w:pStyle w:val="13"/>
            </w:pPr>
            <w:r>
              <w:t>二、外交支出</w:t>
            </w:r>
          </w:p>
        </w:tc>
        <w:tc>
          <w:tcPr>
            <w:tcW w:w="1474" w:type="dxa"/>
            <w:vAlign w:val="center"/>
          </w:tcPr>
          <w:p w14:paraId="6340F37C">
            <w:pPr>
              <w:pStyle w:val="14"/>
            </w:pPr>
          </w:p>
        </w:tc>
        <w:tc>
          <w:tcPr>
            <w:tcW w:w="1474" w:type="dxa"/>
            <w:vAlign w:val="center"/>
          </w:tcPr>
          <w:p w14:paraId="06E8E1E1">
            <w:pPr>
              <w:pStyle w:val="14"/>
            </w:pPr>
          </w:p>
        </w:tc>
        <w:tc>
          <w:tcPr>
            <w:tcW w:w="1474" w:type="dxa"/>
            <w:vAlign w:val="center"/>
          </w:tcPr>
          <w:p w14:paraId="19E9B8E2">
            <w:pPr>
              <w:pStyle w:val="14"/>
            </w:pPr>
          </w:p>
        </w:tc>
        <w:tc>
          <w:tcPr>
            <w:tcW w:w="1474" w:type="dxa"/>
            <w:vAlign w:val="center"/>
          </w:tcPr>
          <w:p w14:paraId="20BA8D6A">
            <w:pPr>
              <w:pStyle w:val="14"/>
            </w:pPr>
          </w:p>
        </w:tc>
      </w:tr>
      <w:tr w14:paraId="68CD6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6FD14">
            <w:pPr>
              <w:pStyle w:val="12"/>
            </w:pPr>
            <w:r>
              <w:t>3</w:t>
            </w:r>
          </w:p>
        </w:tc>
        <w:tc>
          <w:tcPr>
            <w:tcW w:w="3402" w:type="dxa"/>
            <w:vAlign w:val="center"/>
          </w:tcPr>
          <w:p w14:paraId="5D89B1BC">
            <w:pPr>
              <w:pStyle w:val="13"/>
            </w:pPr>
            <w:r>
              <w:t>三、国有资本经营预算拨款</w:t>
            </w:r>
          </w:p>
        </w:tc>
        <w:tc>
          <w:tcPr>
            <w:tcW w:w="1474" w:type="dxa"/>
            <w:vAlign w:val="center"/>
          </w:tcPr>
          <w:p w14:paraId="074E5C53">
            <w:pPr>
              <w:pStyle w:val="14"/>
            </w:pPr>
          </w:p>
        </w:tc>
        <w:tc>
          <w:tcPr>
            <w:tcW w:w="3402" w:type="dxa"/>
            <w:vAlign w:val="center"/>
          </w:tcPr>
          <w:p w14:paraId="474E639B">
            <w:pPr>
              <w:pStyle w:val="13"/>
            </w:pPr>
            <w:r>
              <w:t>三、国防支出</w:t>
            </w:r>
          </w:p>
        </w:tc>
        <w:tc>
          <w:tcPr>
            <w:tcW w:w="1474" w:type="dxa"/>
            <w:vAlign w:val="center"/>
          </w:tcPr>
          <w:p w14:paraId="69E7833C">
            <w:pPr>
              <w:pStyle w:val="14"/>
            </w:pPr>
          </w:p>
        </w:tc>
        <w:tc>
          <w:tcPr>
            <w:tcW w:w="1474" w:type="dxa"/>
            <w:vAlign w:val="center"/>
          </w:tcPr>
          <w:p w14:paraId="1A33AAFC">
            <w:pPr>
              <w:pStyle w:val="14"/>
            </w:pPr>
          </w:p>
        </w:tc>
        <w:tc>
          <w:tcPr>
            <w:tcW w:w="1474" w:type="dxa"/>
            <w:vAlign w:val="center"/>
          </w:tcPr>
          <w:p w14:paraId="48F431EE">
            <w:pPr>
              <w:pStyle w:val="14"/>
            </w:pPr>
          </w:p>
        </w:tc>
        <w:tc>
          <w:tcPr>
            <w:tcW w:w="1474" w:type="dxa"/>
            <w:vAlign w:val="center"/>
          </w:tcPr>
          <w:p w14:paraId="0E497160">
            <w:pPr>
              <w:pStyle w:val="14"/>
            </w:pPr>
          </w:p>
        </w:tc>
      </w:tr>
      <w:tr w14:paraId="57DC2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D8A2F">
            <w:pPr>
              <w:pStyle w:val="12"/>
            </w:pPr>
            <w:r>
              <w:t>4</w:t>
            </w:r>
          </w:p>
        </w:tc>
        <w:tc>
          <w:tcPr>
            <w:tcW w:w="3402" w:type="dxa"/>
            <w:vAlign w:val="center"/>
          </w:tcPr>
          <w:p w14:paraId="18EB343B">
            <w:pPr>
              <w:pStyle w:val="13"/>
            </w:pPr>
          </w:p>
        </w:tc>
        <w:tc>
          <w:tcPr>
            <w:tcW w:w="1474" w:type="dxa"/>
            <w:vAlign w:val="center"/>
          </w:tcPr>
          <w:p w14:paraId="33408233">
            <w:pPr>
              <w:pStyle w:val="14"/>
            </w:pPr>
          </w:p>
        </w:tc>
        <w:tc>
          <w:tcPr>
            <w:tcW w:w="3402" w:type="dxa"/>
            <w:vAlign w:val="center"/>
          </w:tcPr>
          <w:p w14:paraId="19C41A9F">
            <w:pPr>
              <w:pStyle w:val="13"/>
            </w:pPr>
            <w:r>
              <w:t>四、公共安全支出</w:t>
            </w:r>
          </w:p>
        </w:tc>
        <w:tc>
          <w:tcPr>
            <w:tcW w:w="1474" w:type="dxa"/>
            <w:vAlign w:val="center"/>
          </w:tcPr>
          <w:p w14:paraId="5495F83F">
            <w:pPr>
              <w:pStyle w:val="14"/>
            </w:pPr>
          </w:p>
        </w:tc>
        <w:tc>
          <w:tcPr>
            <w:tcW w:w="1474" w:type="dxa"/>
            <w:vAlign w:val="center"/>
          </w:tcPr>
          <w:p w14:paraId="26091869">
            <w:pPr>
              <w:pStyle w:val="14"/>
            </w:pPr>
          </w:p>
        </w:tc>
        <w:tc>
          <w:tcPr>
            <w:tcW w:w="1474" w:type="dxa"/>
            <w:vAlign w:val="center"/>
          </w:tcPr>
          <w:p w14:paraId="19166E3D">
            <w:pPr>
              <w:pStyle w:val="14"/>
            </w:pPr>
          </w:p>
        </w:tc>
        <w:tc>
          <w:tcPr>
            <w:tcW w:w="1474" w:type="dxa"/>
            <w:vAlign w:val="center"/>
          </w:tcPr>
          <w:p w14:paraId="1680AFFD">
            <w:pPr>
              <w:pStyle w:val="14"/>
            </w:pPr>
          </w:p>
        </w:tc>
      </w:tr>
      <w:tr w14:paraId="3A915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59515">
            <w:pPr>
              <w:pStyle w:val="12"/>
            </w:pPr>
            <w:r>
              <w:t>5</w:t>
            </w:r>
          </w:p>
        </w:tc>
        <w:tc>
          <w:tcPr>
            <w:tcW w:w="3402" w:type="dxa"/>
            <w:vAlign w:val="center"/>
          </w:tcPr>
          <w:p w14:paraId="37204112">
            <w:pPr>
              <w:pStyle w:val="13"/>
            </w:pPr>
          </w:p>
        </w:tc>
        <w:tc>
          <w:tcPr>
            <w:tcW w:w="1474" w:type="dxa"/>
            <w:vAlign w:val="center"/>
          </w:tcPr>
          <w:p w14:paraId="50285A92">
            <w:pPr>
              <w:pStyle w:val="14"/>
            </w:pPr>
          </w:p>
        </w:tc>
        <w:tc>
          <w:tcPr>
            <w:tcW w:w="3402" w:type="dxa"/>
            <w:vAlign w:val="center"/>
          </w:tcPr>
          <w:p w14:paraId="4C128927">
            <w:pPr>
              <w:pStyle w:val="13"/>
            </w:pPr>
            <w:r>
              <w:t>五、教育支出</w:t>
            </w:r>
          </w:p>
        </w:tc>
        <w:tc>
          <w:tcPr>
            <w:tcW w:w="1474" w:type="dxa"/>
            <w:vAlign w:val="center"/>
          </w:tcPr>
          <w:p w14:paraId="75830A69">
            <w:pPr>
              <w:pStyle w:val="14"/>
            </w:pPr>
            <w:r>
              <w:t>3227.04</w:t>
            </w:r>
          </w:p>
        </w:tc>
        <w:tc>
          <w:tcPr>
            <w:tcW w:w="1474" w:type="dxa"/>
            <w:vAlign w:val="center"/>
          </w:tcPr>
          <w:p w14:paraId="4F3CB94E">
            <w:pPr>
              <w:pStyle w:val="14"/>
            </w:pPr>
            <w:r>
              <w:t>3227.04</w:t>
            </w:r>
          </w:p>
        </w:tc>
        <w:tc>
          <w:tcPr>
            <w:tcW w:w="1474" w:type="dxa"/>
            <w:vAlign w:val="center"/>
          </w:tcPr>
          <w:p w14:paraId="287DC583">
            <w:pPr>
              <w:pStyle w:val="14"/>
            </w:pPr>
          </w:p>
        </w:tc>
        <w:tc>
          <w:tcPr>
            <w:tcW w:w="1474" w:type="dxa"/>
            <w:vAlign w:val="center"/>
          </w:tcPr>
          <w:p w14:paraId="13552488">
            <w:pPr>
              <w:pStyle w:val="14"/>
            </w:pPr>
          </w:p>
        </w:tc>
      </w:tr>
      <w:tr w14:paraId="22E90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0A219">
            <w:pPr>
              <w:pStyle w:val="12"/>
            </w:pPr>
            <w:r>
              <w:t>6</w:t>
            </w:r>
          </w:p>
        </w:tc>
        <w:tc>
          <w:tcPr>
            <w:tcW w:w="3402" w:type="dxa"/>
            <w:vAlign w:val="center"/>
          </w:tcPr>
          <w:p w14:paraId="388DE2E5">
            <w:pPr>
              <w:pStyle w:val="13"/>
            </w:pPr>
          </w:p>
        </w:tc>
        <w:tc>
          <w:tcPr>
            <w:tcW w:w="1474" w:type="dxa"/>
            <w:vAlign w:val="center"/>
          </w:tcPr>
          <w:p w14:paraId="7C68C705">
            <w:pPr>
              <w:pStyle w:val="14"/>
            </w:pPr>
          </w:p>
        </w:tc>
        <w:tc>
          <w:tcPr>
            <w:tcW w:w="3402" w:type="dxa"/>
            <w:vAlign w:val="center"/>
          </w:tcPr>
          <w:p w14:paraId="0C7C72F4">
            <w:pPr>
              <w:pStyle w:val="13"/>
            </w:pPr>
            <w:r>
              <w:t>六、科学技术支出</w:t>
            </w:r>
          </w:p>
        </w:tc>
        <w:tc>
          <w:tcPr>
            <w:tcW w:w="1474" w:type="dxa"/>
            <w:vAlign w:val="center"/>
          </w:tcPr>
          <w:p w14:paraId="34C2FD24">
            <w:pPr>
              <w:pStyle w:val="14"/>
            </w:pPr>
          </w:p>
        </w:tc>
        <w:tc>
          <w:tcPr>
            <w:tcW w:w="1474" w:type="dxa"/>
            <w:vAlign w:val="center"/>
          </w:tcPr>
          <w:p w14:paraId="4111599B">
            <w:pPr>
              <w:pStyle w:val="14"/>
            </w:pPr>
          </w:p>
        </w:tc>
        <w:tc>
          <w:tcPr>
            <w:tcW w:w="1474" w:type="dxa"/>
            <w:vAlign w:val="center"/>
          </w:tcPr>
          <w:p w14:paraId="74D2BCD1">
            <w:pPr>
              <w:pStyle w:val="14"/>
            </w:pPr>
          </w:p>
        </w:tc>
        <w:tc>
          <w:tcPr>
            <w:tcW w:w="1474" w:type="dxa"/>
            <w:vAlign w:val="center"/>
          </w:tcPr>
          <w:p w14:paraId="560EBE63">
            <w:pPr>
              <w:pStyle w:val="14"/>
            </w:pPr>
          </w:p>
        </w:tc>
      </w:tr>
      <w:tr w14:paraId="448A5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F47E9">
            <w:pPr>
              <w:pStyle w:val="12"/>
            </w:pPr>
            <w:r>
              <w:t>7</w:t>
            </w:r>
          </w:p>
        </w:tc>
        <w:tc>
          <w:tcPr>
            <w:tcW w:w="3402" w:type="dxa"/>
            <w:vAlign w:val="center"/>
          </w:tcPr>
          <w:p w14:paraId="637C8818">
            <w:pPr>
              <w:pStyle w:val="13"/>
            </w:pPr>
          </w:p>
        </w:tc>
        <w:tc>
          <w:tcPr>
            <w:tcW w:w="1474" w:type="dxa"/>
            <w:vAlign w:val="center"/>
          </w:tcPr>
          <w:p w14:paraId="5533532A">
            <w:pPr>
              <w:pStyle w:val="14"/>
            </w:pPr>
          </w:p>
        </w:tc>
        <w:tc>
          <w:tcPr>
            <w:tcW w:w="3402" w:type="dxa"/>
            <w:vAlign w:val="center"/>
          </w:tcPr>
          <w:p w14:paraId="38F8C536">
            <w:pPr>
              <w:pStyle w:val="13"/>
            </w:pPr>
            <w:r>
              <w:t>七、文化旅游体育与传媒支出</w:t>
            </w:r>
          </w:p>
        </w:tc>
        <w:tc>
          <w:tcPr>
            <w:tcW w:w="1474" w:type="dxa"/>
            <w:vAlign w:val="center"/>
          </w:tcPr>
          <w:p w14:paraId="4B31802E">
            <w:pPr>
              <w:pStyle w:val="14"/>
            </w:pPr>
          </w:p>
        </w:tc>
        <w:tc>
          <w:tcPr>
            <w:tcW w:w="1474" w:type="dxa"/>
            <w:vAlign w:val="center"/>
          </w:tcPr>
          <w:p w14:paraId="7A54BCA2">
            <w:pPr>
              <w:pStyle w:val="14"/>
            </w:pPr>
          </w:p>
        </w:tc>
        <w:tc>
          <w:tcPr>
            <w:tcW w:w="1474" w:type="dxa"/>
            <w:vAlign w:val="center"/>
          </w:tcPr>
          <w:p w14:paraId="5CC5AC92">
            <w:pPr>
              <w:pStyle w:val="14"/>
            </w:pPr>
          </w:p>
        </w:tc>
        <w:tc>
          <w:tcPr>
            <w:tcW w:w="1474" w:type="dxa"/>
            <w:vAlign w:val="center"/>
          </w:tcPr>
          <w:p w14:paraId="75B88AE3">
            <w:pPr>
              <w:pStyle w:val="14"/>
            </w:pPr>
          </w:p>
        </w:tc>
      </w:tr>
      <w:tr w14:paraId="0A369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24E98">
            <w:pPr>
              <w:pStyle w:val="12"/>
            </w:pPr>
            <w:r>
              <w:t>8</w:t>
            </w:r>
          </w:p>
        </w:tc>
        <w:tc>
          <w:tcPr>
            <w:tcW w:w="3402" w:type="dxa"/>
            <w:vAlign w:val="center"/>
          </w:tcPr>
          <w:p w14:paraId="5059C359">
            <w:pPr>
              <w:pStyle w:val="13"/>
            </w:pPr>
          </w:p>
        </w:tc>
        <w:tc>
          <w:tcPr>
            <w:tcW w:w="1474" w:type="dxa"/>
            <w:vAlign w:val="center"/>
          </w:tcPr>
          <w:p w14:paraId="2A85EDE5">
            <w:pPr>
              <w:pStyle w:val="14"/>
            </w:pPr>
          </w:p>
        </w:tc>
        <w:tc>
          <w:tcPr>
            <w:tcW w:w="3402" w:type="dxa"/>
            <w:vAlign w:val="center"/>
          </w:tcPr>
          <w:p w14:paraId="1718158E">
            <w:pPr>
              <w:pStyle w:val="13"/>
            </w:pPr>
            <w:r>
              <w:t>八、社会保障和就业支出</w:t>
            </w:r>
          </w:p>
        </w:tc>
        <w:tc>
          <w:tcPr>
            <w:tcW w:w="1474" w:type="dxa"/>
            <w:vAlign w:val="center"/>
          </w:tcPr>
          <w:p w14:paraId="6F088474">
            <w:pPr>
              <w:pStyle w:val="14"/>
            </w:pPr>
            <w:r>
              <w:t>24.43</w:t>
            </w:r>
          </w:p>
        </w:tc>
        <w:tc>
          <w:tcPr>
            <w:tcW w:w="1474" w:type="dxa"/>
            <w:vAlign w:val="center"/>
          </w:tcPr>
          <w:p w14:paraId="4038E64D">
            <w:pPr>
              <w:pStyle w:val="14"/>
            </w:pPr>
            <w:r>
              <w:t>24.43</w:t>
            </w:r>
          </w:p>
        </w:tc>
        <w:tc>
          <w:tcPr>
            <w:tcW w:w="1474" w:type="dxa"/>
            <w:vAlign w:val="center"/>
          </w:tcPr>
          <w:p w14:paraId="5888028E">
            <w:pPr>
              <w:pStyle w:val="14"/>
            </w:pPr>
          </w:p>
        </w:tc>
        <w:tc>
          <w:tcPr>
            <w:tcW w:w="1474" w:type="dxa"/>
            <w:vAlign w:val="center"/>
          </w:tcPr>
          <w:p w14:paraId="34B72FBD">
            <w:pPr>
              <w:pStyle w:val="14"/>
            </w:pPr>
          </w:p>
        </w:tc>
      </w:tr>
      <w:tr w14:paraId="5BAF0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EFA45">
            <w:pPr>
              <w:pStyle w:val="12"/>
            </w:pPr>
            <w:r>
              <w:t>9</w:t>
            </w:r>
          </w:p>
        </w:tc>
        <w:tc>
          <w:tcPr>
            <w:tcW w:w="3402" w:type="dxa"/>
            <w:vAlign w:val="center"/>
          </w:tcPr>
          <w:p w14:paraId="27F541E1">
            <w:pPr>
              <w:pStyle w:val="13"/>
            </w:pPr>
          </w:p>
        </w:tc>
        <w:tc>
          <w:tcPr>
            <w:tcW w:w="1474" w:type="dxa"/>
            <w:vAlign w:val="center"/>
          </w:tcPr>
          <w:p w14:paraId="01CA69DB">
            <w:pPr>
              <w:pStyle w:val="14"/>
            </w:pPr>
          </w:p>
        </w:tc>
        <w:tc>
          <w:tcPr>
            <w:tcW w:w="3402" w:type="dxa"/>
            <w:vAlign w:val="center"/>
          </w:tcPr>
          <w:p w14:paraId="75D68F8E">
            <w:pPr>
              <w:pStyle w:val="13"/>
            </w:pPr>
            <w:r>
              <w:t>九、社会保险基金支出</w:t>
            </w:r>
          </w:p>
        </w:tc>
        <w:tc>
          <w:tcPr>
            <w:tcW w:w="1474" w:type="dxa"/>
            <w:vAlign w:val="center"/>
          </w:tcPr>
          <w:p w14:paraId="0AF0B61C">
            <w:pPr>
              <w:pStyle w:val="14"/>
            </w:pPr>
          </w:p>
        </w:tc>
        <w:tc>
          <w:tcPr>
            <w:tcW w:w="1474" w:type="dxa"/>
            <w:vAlign w:val="center"/>
          </w:tcPr>
          <w:p w14:paraId="0DC58196">
            <w:pPr>
              <w:pStyle w:val="14"/>
            </w:pPr>
          </w:p>
        </w:tc>
        <w:tc>
          <w:tcPr>
            <w:tcW w:w="1474" w:type="dxa"/>
            <w:vAlign w:val="center"/>
          </w:tcPr>
          <w:p w14:paraId="69EDCF10">
            <w:pPr>
              <w:pStyle w:val="14"/>
            </w:pPr>
          </w:p>
        </w:tc>
        <w:tc>
          <w:tcPr>
            <w:tcW w:w="1474" w:type="dxa"/>
            <w:vAlign w:val="center"/>
          </w:tcPr>
          <w:p w14:paraId="74FD10AB">
            <w:pPr>
              <w:pStyle w:val="14"/>
            </w:pPr>
          </w:p>
        </w:tc>
      </w:tr>
      <w:tr w14:paraId="01CD0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1E004">
            <w:pPr>
              <w:pStyle w:val="12"/>
            </w:pPr>
            <w:r>
              <w:t>10</w:t>
            </w:r>
          </w:p>
        </w:tc>
        <w:tc>
          <w:tcPr>
            <w:tcW w:w="3402" w:type="dxa"/>
            <w:vAlign w:val="center"/>
          </w:tcPr>
          <w:p w14:paraId="444C8E35">
            <w:pPr>
              <w:pStyle w:val="13"/>
            </w:pPr>
          </w:p>
        </w:tc>
        <w:tc>
          <w:tcPr>
            <w:tcW w:w="1474" w:type="dxa"/>
            <w:vAlign w:val="center"/>
          </w:tcPr>
          <w:p w14:paraId="773129DD">
            <w:pPr>
              <w:pStyle w:val="14"/>
            </w:pPr>
          </w:p>
        </w:tc>
        <w:tc>
          <w:tcPr>
            <w:tcW w:w="3402" w:type="dxa"/>
            <w:vAlign w:val="center"/>
          </w:tcPr>
          <w:p w14:paraId="51B611A5">
            <w:pPr>
              <w:pStyle w:val="13"/>
            </w:pPr>
            <w:r>
              <w:t>十、卫生健康支出</w:t>
            </w:r>
          </w:p>
        </w:tc>
        <w:tc>
          <w:tcPr>
            <w:tcW w:w="1474" w:type="dxa"/>
            <w:vAlign w:val="center"/>
          </w:tcPr>
          <w:p w14:paraId="6E3C3B77">
            <w:pPr>
              <w:pStyle w:val="14"/>
            </w:pPr>
          </w:p>
        </w:tc>
        <w:tc>
          <w:tcPr>
            <w:tcW w:w="1474" w:type="dxa"/>
            <w:vAlign w:val="center"/>
          </w:tcPr>
          <w:p w14:paraId="0DD8A644">
            <w:pPr>
              <w:pStyle w:val="14"/>
            </w:pPr>
          </w:p>
        </w:tc>
        <w:tc>
          <w:tcPr>
            <w:tcW w:w="1474" w:type="dxa"/>
            <w:vAlign w:val="center"/>
          </w:tcPr>
          <w:p w14:paraId="53C04C84">
            <w:pPr>
              <w:pStyle w:val="14"/>
            </w:pPr>
          </w:p>
        </w:tc>
        <w:tc>
          <w:tcPr>
            <w:tcW w:w="1474" w:type="dxa"/>
            <w:vAlign w:val="center"/>
          </w:tcPr>
          <w:p w14:paraId="6EF10921">
            <w:pPr>
              <w:pStyle w:val="14"/>
            </w:pPr>
          </w:p>
        </w:tc>
      </w:tr>
      <w:tr w14:paraId="1560D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46DDE">
            <w:pPr>
              <w:pStyle w:val="12"/>
            </w:pPr>
            <w:r>
              <w:t>11</w:t>
            </w:r>
          </w:p>
        </w:tc>
        <w:tc>
          <w:tcPr>
            <w:tcW w:w="3402" w:type="dxa"/>
            <w:vAlign w:val="center"/>
          </w:tcPr>
          <w:p w14:paraId="4FCFAE52">
            <w:pPr>
              <w:pStyle w:val="13"/>
            </w:pPr>
          </w:p>
        </w:tc>
        <w:tc>
          <w:tcPr>
            <w:tcW w:w="1474" w:type="dxa"/>
            <w:vAlign w:val="center"/>
          </w:tcPr>
          <w:p w14:paraId="0209F52E">
            <w:pPr>
              <w:pStyle w:val="14"/>
            </w:pPr>
          </w:p>
        </w:tc>
        <w:tc>
          <w:tcPr>
            <w:tcW w:w="3402" w:type="dxa"/>
            <w:vAlign w:val="center"/>
          </w:tcPr>
          <w:p w14:paraId="257D2AFE">
            <w:pPr>
              <w:pStyle w:val="13"/>
            </w:pPr>
            <w:r>
              <w:t>十一、节能环保支出</w:t>
            </w:r>
          </w:p>
        </w:tc>
        <w:tc>
          <w:tcPr>
            <w:tcW w:w="1474" w:type="dxa"/>
            <w:vAlign w:val="center"/>
          </w:tcPr>
          <w:p w14:paraId="2FFB2B46">
            <w:pPr>
              <w:pStyle w:val="14"/>
            </w:pPr>
          </w:p>
        </w:tc>
        <w:tc>
          <w:tcPr>
            <w:tcW w:w="1474" w:type="dxa"/>
            <w:vAlign w:val="center"/>
          </w:tcPr>
          <w:p w14:paraId="036F1D29">
            <w:pPr>
              <w:pStyle w:val="14"/>
            </w:pPr>
          </w:p>
        </w:tc>
        <w:tc>
          <w:tcPr>
            <w:tcW w:w="1474" w:type="dxa"/>
            <w:vAlign w:val="center"/>
          </w:tcPr>
          <w:p w14:paraId="2FF42424">
            <w:pPr>
              <w:pStyle w:val="14"/>
            </w:pPr>
          </w:p>
        </w:tc>
        <w:tc>
          <w:tcPr>
            <w:tcW w:w="1474" w:type="dxa"/>
            <w:vAlign w:val="center"/>
          </w:tcPr>
          <w:p w14:paraId="0CB4BD7B">
            <w:pPr>
              <w:pStyle w:val="14"/>
            </w:pPr>
          </w:p>
        </w:tc>
      </w:tr>
      <w:tr w14:paraId="6DC10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1E83B">
            <w:pPr>
              <w:pStyle w:val="12"/>
            </w:pPr>
            <w:r>
              <w:t>12</w:t>
            </w:r>
          </w:p>
        </w:tc>
        <w:tc>
          <w:tcPr>
            <w:tcW w:w="3402" w:type="dxa"/>
            <w:vAlign w:val="center"/>
          </w:tcPr>
          <w:p w14:paraId="1B757A33">
            <w:pPr>
              <w:pStyle w:val="13"/>
            </w:pPr>
          </w:p>
        </w:tc>
        <w:tc>
          <w:tcPr>
            <w:tcW w:w="1474" w:type="dxa"/>
            <w:vAlign w:val="center"/>
          </w:tcPr>
          <w:p w14:paraId="5746B213">
            <w:pPr>
              <w:pStyle w:val="14"/>
            </w:pPr>
          </w:p>
        </w:tc>
        <w:tc>
          <w:tcPr>
            <w:tcW w:w="3402" w:type="dxa"/>
            <w:vAlign w:val="center"/>
          </w:tcPr>
          <w:p w14:paraId="1D30013F">
            <w:pPr>
              <w:pStyle w:val="13"/>
            </w:pPr>
            <w:r>
              <w:t>十二、城乡社区支出</w:t>
            </w:r>
          </w:p>
        </w:tc>
        <w:tc>
          <w:tcPr>
            <w:tcW w:w="1474" w:type="dxa"/>
            <w:vAlign w:val="center"/>
          </w:tcPr>
          <w:p w14:paraId="509191E1">
            <w:pPr>
              <w:pStyle w:val="14"/>
            </w:pPr>
          </w:p>
        </w:tc>
        <w:tc>
          <w:tcPr>
            <w:tcW w:w="1474" w:type="dxa"/>
            <w:vAlign w:val="center"/>
          </w:tcPr>
          <w:p w14:paraId="536D27DC">
            <w:pPr>
              <w:pStyle w:val="14"/>
            </w:pPr>
          </w:p>
        </w:tc>
        <w:tc>
          <w:tcPr>
            <w:tcW w:w="1474" w:type="dxa"/>
            <w:vAlign w:val="center"/>
          </w:tcPr>
          <w:p w14:paraId="0ABB3194">
            <w:pPr>
              <w:pStyle w:val="14"/>
            </w:pPr>
          </w:p>
        </w:tc>
        <w:tc>
          <w:tcPr>
            <w:tcW w:w="1474" w:type="dxa"/>
            <w:vAlign w:val="center"/>
          </w:tcPr>
          <w:p w14:paraId="4E4F24CC">
            <w:pPr>
              <w:pStyle w:val="14"/>
            </w:pPr>
          </w:p>
        </w:tc>
      </w:tr>
      <w:tr w14:paraId="7E0C2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4A646">
            <w:pPr>
              <w:pStyle w:val="12"/>
            </w:pPr>
            <w:r>
              <w:t>13</w:t>
            </w:r>
          </w:p>
        </w:tc>
        <w:tc>
          <w:tcPr>
            <w:tcW w:w="3402" w:type="dxa"/>
            <w:vAlign w:val="center"/>
          </w:tcPr>
          <w:p w14:paraId="703084C1">
            <w:pPr>
              <w:pStyle w:val="13"/>
            </w:pPr>
          </w:p>
        </w:tc>
        <w:tc>
          <w:tcPr>
            <w:tcW w:w="1474" w:type="dxa"/>
            <w:vAlign w:val="center"/>
          </w:tcPr>
          <w:p w14:paraId="489225CA">
            <w:pPr>
              <w:pStyle w:val="14"/>
            </w:pPr>
          </w:p>
        </w:tc>
        <w:tc>
          <w:tcPr>
            <w:tcW w:w="3402" w:type="dxa"/>
            <w:vAlign w:val="center"/>
          </w:tcPr>
          <w:p w14:paraId="2ED6E891">
            <w:pPr>
              <w:pStyle w:val="13"/>
            </w:pPr>
            <w:r>
              <w:t>十三、农林水支出</w:t>
            </w:r>
          </w:p>
        </w:tc>
        <w:tc>
          <w:tcPr>
            <w:tcW w:w="1474" w:type="dxa"/>
            <w:vAlign w:val="center"/>
          </w:tcPr>
          <w:p w14:paraId="6B019C07">
            <w:pPr>
              <w:pStyle w:val="14"/>
            </w:pPr>
          </w:p>
        </w:tc>
        <w:tc>
          <w:tcPr>
            <w:tcW w:w="1474" w:type="dxa"/>
            <w:vAlign w:val="center"/>
          </w:tcPr>
          <w:p w14:paraId="28A8821A">
            <w:pPr>
              <w:pStyle w:val="14"/>
            </w:pPr>
          </w:p>
        </w:tc>
        <w:tc>
          <w:tcPr>
            <w:tcW w:w="1474" w:type="dxa"/>
            <w:vAlign w:val="center"/>
          </w:tcPr>
          <w:p w14:paraId="4F62AB19">
            <w:pPr>
              <w:pStyle w:val="14"/>
            </w:pPr>
          </w:p>
        </w:tc>
        <w:tc>
          <w:tcPr>
            <w:tcW w:w="1474" w:type="dxa"/>
            <w:vAlign w:val="center"/>
          </w:tcPr>
          <w:p w14:paraId="70E4BF66">
            <w:pPr>
              <w:pStyle w:val="14"/>
            </w:pPr>
          </w:p>
        </w:tc>
      </w:tr>
      <w:tr w14:paraId="40C00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87595">
            <w:pPr>
              <w:pStyle w:val="12"/>
            </w:pPr>
            <w:r>
              <w:t>14</w:t>
            </w:r>
          </w:p>
        </w:tc>
        <w:tc>
          <w:tcPr>
            <w:tcW w:w="3402" w:type="dxa"/>
            <w:vAlign w:val="center"/>
          </w:tcPr>
          <w:p w14:paraId="713F312B">
            <w:pPr>
              <w:pStyle w:val="13"/>
            </w:pPr>
          </w:p>
        </w:tc>
        <w:tc>
          <w:tcPr>
            <w:tcW w:w="1474" w:type="dxa"/>
            <w:vAlign w:val="center"/>
          </w:tcPr>
          <w:p w14:paraId="20252C9B">
            <w:pPr>
              <w:pStyle w:val="14"/>
            </w:pPr>
          </w:p>
        </w:tc>
        <w:tc>
          <w:tcPr>
            <w:tcW w:w="3402" w:type="dxa"/>
            <w:vAlign w:val="center"/>
          </w:tcPr>
          <w:p w14:paraId="02ADB647">
            <w:pPr>
              <w:pStyle w:val="13"/>
            </w:pPr>
            <w:r>
              <w:t>十四、交通运输支出</w:t>
            </w:r>
          </w:p>
        </w:tc>
        <w:tc>
          <w:tcPr>
            <w:tcW w:w="1474" w:type="dxa"/>
            <w:vAlign w:val="center"/>
          </w:tcPr>
          <w:p w14:paraId="4E3CE9A2">
            <w:pPr>
              <w:pStyle w:val="14"/>
            </w:pPr>
          </w:p>
        </w:tc>
        <w:tc>
          <w:tcPr>
            <w:tcW w:w="1474" w:type="dxa"/>
            <w:vAlign w:val="center"/>
          </w:tcPr>
          <w:p w14:paraId="2961CE01">
            <w:pPr>
              <w:pStyle w:val="14"/>
            </w:pPr>
          </w:p>
        </w:tc>
        <w:tc>
          <w:tcPr>
            <w:tcW w:w="1474" w:type="dxa"/>
            <w:vAlign w:val="center"/>
          </w:tcPr>
          <w:p w14:paraId="5EC13CAE">
            <w:pPr>
              <w:pStyle w:val="14"/>
            </w:pPr>
          </w:p>
        </w:tc>
        <w:tc>
          <w:tcPr>
            <w:tcW w:w="1474" w:type="dxa"/>
            <w:vAlign w:val="center"/>
          </w:tcPr>
          <w:p w14:paraId="54326B94">
            <w:pPr>
              <w:pStyle w:val="14"/>
            </w:pPr>
          </w:p>
        </w:tc>
      </w:tr>
      <w:tr w14:paraId="75911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FA222">
            <w:pPr>
              <w:pStyle w:val="12"/>
            </w:pPr>
            <w:r>
              <w:t>15</w:t>
            </w:r>
          </w:p>
        </w:tc>
        <w:tc>
          <w:tcPr>
            <w:tcW w:w="3402" w:type="dxa"/>
            <w:vAlign w:val="center"/>
          </w:tcPr>
          <w:p w14:paraId="577F2473">
            <w:pPr>
              <w:pStyle w:val="13"/>
            </w:pPr>
          </w:p>
        </w:tc>
        <w:tc>
          <w:tcPr>
            <w:tcW w:w="1474" w:type="dxa"/>
            <w:vAlign w:val="center"/>
          </w:tcPr>
          <w:p w14:paraId="5E030336">
            <w:pPr>
              <w:pStyle w:val="14"/>
            </w:pPr>
          </w:p>
        </w:tc>
        <w:tc>
          <w:tcPr>
            <w:tcW w:w="3402" w:type="dxa"/>
            <w:vAlign w:val="center"/>
          </w:tcPr>
          <w:p w14:paraId="23126AD4">
            <w:pPr>
              <w:pStyle w:val="13"/>
            </w:pPr>
            <w:r>
              <w:t>十五、资源勘探工业信息等支出</w:t>
            </w:r>
          </w:p>
        </w:tc>
        <w:tc>
          <w:tcPr>
            <w:tcW w:w="1474" w:type="dxa"/>
            <w:vAlign w:val="center"/>
          </w:tcPr>
          <w:p w14:paraId="4649800C">
            <w:pPr>
              <w:pStyle w:val="14"/>
            </w:pPr>
          </w:p>
        </w:tc>
        <w:tc>
          <w:tcPr>
            <w:tcW w:w="1474" w:type="dxa"/>
            <w:vAlign w:val="center"/>
          </w:tcPr>
          <w:p w14:paraId="082C2CEA">
            <w:pPr>
              <w:pStyle w:val="14"/>
            </w:pPr>
          </w:p>
        </w:tc>
        <w:tc>
          <w:tcPr>
            <w:tcW w:w="1474" w:type="dxa"/>
            <w:vAlign w:val="center"/>
          </w:tcPr>
          <w:p w14:paraId="4E0FC112">
            <w:pPr>
              <w:pStyle w:val="14"/>
            </w:pPr>
          </w:p>
        </w:tc>
        <w:tc>
          <w:tcPr>
            <w:tcW w:w="1474" w:type="dxa"/>
            <w:vAlign w:val="center"/>
          </w:tcPr>
          <w:p w14:paraId="58398577">
            <w:pPr>
              <w:pStyle w:val="14"/>
            </w:pPr>
          </w:p>
        </w:tc>
      </w:tr>
      <w:tr w14:paraId="77420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054FF">
            <w:pPr>
              <w:pStyle w:val="12"/>
            </w:pPr>
            <w:r>
              <w:t>16</w:t>
            </w:r>
          </w:p>
        </w:tc>
        <w:tc>
          <w:tcPr>
            <w:tcW w:w="3402" w:type="dxa"/>
            <w:vAlign w:val="center"/>
          </w:tcPr>
          <w:p w14:paraId="79BA30C5">
            <w:pPr>
              <w:pStyle w:val="13"/>
            </w:pPr>
          </w:p>
        </w:tc>
        <w:tc>
          <w:tcPr>
            <w:tcW w:w="1474" w:type="dxa"/>
            <w:vAlign w:val="center"/>
          </w:tcPr>
          <w:p w14:paraId="19E27C80">
            <w:pPr>
              <w:pStyle w:val="14"/>
            </w:pPr>
          </w:p>
        </w:tc>
        <w:tc>
          <w:tcPr>
            <w:tcW w:w="3402" w:type="dxa"/>
            <w:vAlign w:val="center"/>
          </w:tcPr>
          <w:p w14:paraId="588011A2">
            <w:pPr>
              <w:pStyle w:val="13"/>
            </w:pPr>
            <w:r>
              <w:t>十六、商业服务业等支出</w:t>
            </w:r>
          </w:p>
        </w:tc>
        <w:tc>
          <w:tcPr>
            <w:tcW w:w="1474" w:type="dxa"/>
            <w:vAlign w:val="center"/>
          </w:tcPr>
          <w:p w14:paraId="695E66FF">
            <w:pPr>
              <w:pStyle w:val="14"/>
            </w:pPr>
          </w:p>
        </w:tc>
        <w:tc>
          <w:tcPr>
            <w:tcW w:w="1474" w:type="dxa"/>
            <w:vAlign w:val="center"/>
          </w:tcPr>
          <w:p w14:paraId="43F4FFF5">
            <w:pPr>
              <w:pStyle w:val="14"/>
            </w:pPr>
          </w:p>
        </w:tc>
        <w:tc>
          <w:tcPr>
            <w:tcW w:w="1474" w:type="dxa"/>
            <w:vAlign w:val="center"/>
          </w:tcPr>
          <w:p w14:paraId="1A7D528B">
            <w:pPr>
              <w:pStyle w:val="14"/>
            </w:pPr>
          </w:p>
        </w:tc>
        <w:tc>
          <w:tcPr>
            <w:tcW w:w="1474" w:type="dxa"/>
            <w:vAlign w:val="center"/>
          </w:tcPr>
          <w:p w14:paraId="16B5C918">
            <w:pPr>
              <w:pStyle w:val="14"/>
            </w:pPr>
          </w:p>
        </w:tc>
      </w:tr>
      <w:tr w14:paraId="2CCC2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639D2">
            <w:pPr>
              <w:pStyle w:val="12"/>
            </w:pPr>
            <w:r>
              <w:t>17</w:t>
            </w:r>
          </w:p>
        </w:tc>
        <w:tc>
          <w:tcPr>
            <w:tcW w:w="3402" w:type="dxa"/>
            <w:vAlign w:val="center"/>
          </w:tcPr>
          <w:p w14:paraId="2CE24E38">
            <w:pPr>
              <w:pStyle w:val="13"/>
            </w:pPr>
          </w:p>
        </w:tc>
        <w:tc>
          <w:tcPr>
            <w:tcW w:w="1474" w:type="dxa"/>
            <w:vAlign w:val="center"/>
          </w:tcPr>
          <w:p w14:paraId="6E4C780E">
            <w:pPr>
              <w:pStyle w:val="14"/>
            </w:pPr>
          </w:p>
        </w:tc>
        <w:tc>
          <w:tcPr>
            <w:tcW w:w="3402" w:type="dxa"/>
            <w:vAlign w:val="center"/>
          </w:tcPr>
          <w:p w14:paraId="62A55038">
            <w:pPr>
              <w:pStyle w:val="13"/>
            </w:pPr>
            <w:r>
              <w:t>十七、金融支出</w:t>
            </w:r>
          </w:p>
        </w:tc>
        <w:tc>
          <w:tcPr>
            <w:tcW w:w="1474" w:type="dxa"/>
            <w:vAlign w:val="center"/>
          </w:tcPr>
          <w:p w14:paraId="4DAD1AF5">
            <w:pPr>
              <w:pStyle w:val="14"/>
            </w:pPr>
          </w:p>
        </w:tc>
        <w:tc>
          <w:tcPr>
            <w:tcW w:w="1474" w:type="dxa"/>
            <w:vAlign w:val="center"/>
          </w:tcPr>
          <w:p w14:paraId="5DFFD17D">
            <w:pPr>
              <w:pStyle w:val="14"/>
            </w:pPr>
          </w:p>
        </w:tc>
        <w:tc>
          <w:tcPr>
            <w:tcW w:w="1474" w:type="dxa"/>
            <w:vAlign w:val="center"/>
          </w:tcPr>
          <w:p w14:paraId="65BA0F0F">
            <w:pPr>
              <w:pStyle w:val="14"/>
            </w:pPr>
          </w:p>
        </w:tc>
        <w:tc>
          <w:tcPr>
            <w:tcW w:w="1474" w:type="dxa"/>
            <w:vAlign w:val="center"/>
          </w:tcPr>
          <w:p w14:paraId="18C84EE5">
            <w:pPr>
              <w:pStyle w:val="14"/>
            </w:pPr>
          </w:p>
        </w:tc>
      </w:tr>
      <w:tr w14:paraId="20EDC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99D34">
            <w:pPr>
              <w:pStyle w:val="12"/>
            </w:pPr>
            <w:r>
              <w:t>18</w:t>
            </w:r>
          </w:p>
        </w:tc>
        <w:tc>
          <w:tcPr>
            <w:tcW w:w="3402" w:type="dxa"/>
            <w:vAlign w:val="center"/>
          </w:tcPr>
          <w:p w14:paraId="193897D0">
            <w:pPr>
              <w:pStyle w:val="13"/>
            </w:pPr>
          </w:p>
        </w:tc>
        <w:tc>
          <w:tcPr>
            <w:tcW w:w="1474" w:type="dxa"/>
            <w:vAlign w:val="center"/>
          </w:tcPr>
          <w:p w14:paraId="7CA9515A">
            <w:pPr>
              <w:pStyle w:val="14"/>
            </w:pPr>
          </w:p>
        </w:tc>
        <w:tc>
          <w:tcPr>
            <w:tcW w:w="3402" w:type="dxa"/>
            <w:vAlign w:val="center"/>
          </w:tcPr>
          <w:p w14:paraId="101281CE">
            <w:pPr>
              <w:pStyle w:val="13"/>
            </w:pPr>
            <w:r>
              <w:t>十八、援助其他地区支出</w:t>
            </w:r>
          </w:p>
        </w:tc>
        <w:tc>
          <w:tcPr>
            <w:tcW w:w="1474" w:type="dxa"/>
            <w:vAlign w:val="center"/>
          </w:tcPr>
          <w:p w14:paraId="78301A0E">
            <w:pPr>
              <w:pStyle w:val="14"/>
            </w:pPr>
          </w:p>
        </w:tc>
        <w:tc>
          <w:tcPr>
            <w:tcW w:w="1474" w:type="dxa"/>
            <w:vAlign w:val="center"/>
          </w:tcPr>
          <w:p w14:paraId="279C10B1">
            <w:pPr>
              <w:pStyle w:val="14"/>
            </w:pPr>
          </w:p>
        </w:tc>
        <w:tc>
          <w:tcPr>
            <w:tcW w:w="1474" w:type="dxa"/>
            <w:vAlign w:val="center"/>
          </w:tcPr>
          <w:p w14:paraId="19C350EA">
            <w:pPr>
              <w:pStyle w:val="14"/>
            </w:pPr>
          </w:p>
        </w:tc>
        <w:tc>
          <w:tcPr>
            <w:tcW w:w="1474" w:type="dxa"/>
            <w:vAlign w:val="center"/>
          </w:tcPr>
          <w:p w14:paraId="61350A88">
            <w:pPr>
              <w:pStyle w:val="14"/>
            </w:pPr>
          </w:p>
        </w:tc>
      </w:tr>
      <w:tr w14:paraId="4C62F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E4B46">
            <w:pPr>
              <w:pStyle w:val="12"/>
            </w:pPr>
            <w:r>
              <w:t>19</w:t>
            </w:r>
          </w:p>
        </w:tc>
        <w:tc>
          <w:tcPr>
            <w:tcW w:w="3402" w:type="dxa"/>
            <w:vAlign w:val="center"/>
          </w:tcPr>
          <w:p w14:paraId="2335A41E">
            <w:pPr>
              <w:pStyle w:val="13"/>
            </w:pPr>
          </w:p>
        </w:tc>
        <w:tc>
          <w:tcPr>
            <w:tcW w:w="1474" w:type="dxa"/>
            <w:vAlign w:val="center"/>
          </w:tcPr>
          <w:p w14:paraId="4ED9CDD4">
            <w:pPr>
              <w:pStyle w:val="14"/>
            </w:pPr>
          </w:p>
        </w:tc>
        <w:tc>
          <w:tcPr>
            <w:tcW w:w="3402" w:type="dxa"/>
            <w:vAlign w:val="center"/>
          </w:tcPr>
          <w:p w14:paraId="03741EEA">
            <w:pPr>
              <w:pStyle w:val="13"/>
            </w:pPr>
            <w:r>
              <w:t>十九、自然资源海洋气象等支出</w:t>
            </w:r>
          </w:p>
        </w:tc>
        <w:tc>
          <w:tcPr>
            <w:tcW w:w="1474" w:type="dxa"/>
            <w:vAlign w:val="center"/>
          </w:tcPr>
          <w:p w14:paraId="07BC5969">
            <w:pPr>
              <w:pStyle w:val="14"/>
            </w:pPr>
          </w:p>
        </w:tc>
        <w:tc>
          <w:tcPr>
            <w:tcW w:w="1474" w:type="dxa"/>
            <w:vAlign w:val="center"/>
          </w:tcPr>
          <w:p w14:paraId="33BF0945">
            <w:pPr>
              <w:pStyle w:val="14"/>
            </w:pPr>
          </w:p>
        </w:tc>
        <w:tc>
          <w:tcPr>
            <w:tcW w:w="1474" w:type="dxa"/>
            <w:vAlign w:val="center"/>
          </w:tcPr>
          <w:p w14:paraId="42FB3DC9">
            <w:pPr>
              <w:pStyle w:val="14"/>
            </w:pPr>
          </w:p>
        </w:tc>
        <w:tc>
          <w:tcPr>
            <w:tcW w:w="1474" w:type="dxa"/>
            <w:vAlign w:val="center"/>
          </w:tcPr>
          <w:p w14:paraId="1129B1F0">
            <w:pPr>
              <w:pStyle w:val="14"/>
            </w:pPr>
          </w:p>
        </w:tc>
      </w:tr>
      <w:tr w14:paraId="5F91B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FCA57">
            <w:pPr>
              <w:pStyle w:val="12"/>
            </w:pPr>
            <w:r>
              <w:t>20</w:t>
            </w:r>
          </w:p>
        </w:tc>
        <w:tc>
          <w:tcPr>
            <w:tcW w:w="3402" w:type="dxa"/>
            <w:vAlign w:val="center"/>
          </w:tcPr>
          <w:p w14:paraId="55670BC8">
            <w:pPr>
              <w:pStyle w:val="13"/>
            </w:pPr>
          </w:p>
        </w:tc>
        <w:tc>
          <w:tcPr>
            <w:tcW w:w="1474" w:type="dxa"/>
            <w:vAlign w:val="center"/>
          </w:tcPr>
          <w:p w14:paraId="6A203689">
            <w:pPr>
              <w:pStyle w:val="14"/>
            </w:pPr>
          </w:p>
        </w:tc>
        <w:tc>
          <w:tcPr>
            <w:tcW w:w="3402" w:type="dxa"/>
            <w:vAlign w:val="center"/>
          </w:tcPr>
          <w:p w14:paraId="7BAB4D57">
            <w:pPr>
              <w:pStyle w:val="13"/>
            </w:pPr>
            <w:r>
              <w:t>二十、住房保障支出</w:t>
            </w:r>
          </w:p>
        </w:tc>
        <w:tc>
          <w:tcPr>
            <w:tcW w:w="1474" w:type="dxa"/>
            <w:vAlign w:val="center"/>
          </w:tcPr>
          <w:p w14:paraId="08C435AF">
            <w:pPr>
              <w:pStyle w:val="14"/>
            </w:pPr>
          </w:p>
        </w:tc>
        <w:tc>
          <w:tcPr>
            <w:tcW w:w="1474" w:type="dxa"/>
            <w:vAlign w:val="center"/>
          </w:tcPr>
          <w:p w14:paraId="18A51EC6">
            <w:pPr>
              <w:pStyle w:val="14"/>
            </w:pPr>
          </w:p>
        </w:tc>
        <w:tc>
          <w:tcPr>
            <w:tcW w:w="1474" w:type="dxa"/>
            <w:vAlign w:val="center"/>
          </w:tcPr>
          <w:p w14:paraId="70D76DA6">
            <w:pPr>
              <w:pStyle w:val="14"/>
            </w:pPr>
          </w:p>
        </w:tc>
        <w:tc>
          <w:tcPr>
            <w:tcW w:w="1474" w:type="dxa"/>
            <w:vAlign w:val="center"/>
          </w:tcPr>
          <w:p w14:paraId="6A6736DD">
            <w:pPr>
              <w:pStyle w:val="14"/>
            </w:pPr>
          </w:p>
        </w:tc>
      </w:tr>
      <w:tr w14:paraId="0BB81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2E5A6">
            <w:pPr>
              <w:pStyle w:val="12"/>
            </w:pPr>
            <w:r>
              <w:t>21</w:t>
            </w:r>
          </w:p>
        </w:tc>
        <w:tc>
          <w:tcPr>
            <w:tcW w:w="3402" w:type="dxa"/>
            <w:vAlign w:val="center"/>
          </w:tcPr>
          <w:p w14:paraId="47BC318E">
            <w:pPr>
              <w:pStyle w:val="13"/>
            </w:pPr>
          </w:p>
        </w:tc>
        <w:tc>
          <w:tcPr>
            <w:tcW w:w="1474" w:type="dxa"/>
            <w:vAlign w:val="center"/>
          </w:tcPr>
          <w:p w14:paraId="4C549A66">
            <w:pPr>
              <w:pStyle w:val="14"/>
            </w:pPr>
          </w:p>
        </w:tc>
        <w:tc>
          <w:tcPr>
            <w:tcW w:w="3402" w:type="dxa"/>
            <w:vAlign w:val="center"/>
          </w:tcPr>
          <w:p w14:paraId="3225B7DE">
            <w:pPr>
              <w:pStyle w:val="13"/>
            </w:pPr>
            <w:r>
              <w:t>二十一、粮油物资储备支出</w:t>
            </w:r>
          </w:p>
        </w:tc>
        <w:tc>
          <w:tcPr>
            <w:tcW w:w="1474" w:type="dxa"/>
            <w:vAlign w:val="center"/>
          </w:tcPr>
          <w:p w14:paraId="53C17FB1">
            <w:pPr>
              <w:pStyle w:val="14"/>
            </w:pPr>
          </w:p>
        </w:tc>
        <w:tc>
          <w:tcPr>
            <w:tcW w:w="1474" w:type="dxa"/>
            <w:vAlign w:val="center"/>
          </w:tcPr>
          <w:p w14:paraId="3A14192F">
            <w:pPr>
              <w:pStyle w:val="14"/>
            </w:pPr>
          </w:p>
        </w:tc>
        <w:tc>
          <w:tcPr>
            <w:tcW w:w="1474" w:type="dxa"/>
            <w:vAlign w:val="center"/>
          </w:tcPr>
          <w:p w14:paraId="4C86D3F1">
            <w:pPr>
              <w:pStyle w:val="14"/>
            </w:pPr>
          </w:p>
        </w:tc>
        <w:tc>
          <w:tcPr>
            <w:tcW w:w="1474" w:type="dxa"/>
            <w:vAlign w:val="center"/>
          </w:tcPr>
          <w:p w14:paraId="7D56F0DA">
            <w:pPr>
              <w:pStyle w:val="14"/>
            </w:pPr>
          </w:p>
        </w:tc>
      </w:tr>
      <w:tr w14:paraId="6C2E3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447B5">
            <w:pPr>
              <w:pStyle w:val="12"/>
            </w:pPr>
            <w:r>
              <w:t>22</w:t>
            </w:r>
          </w:p>
        </w:tc>
        <w:tc>
          <w:tcPr>
            <w:tcW w:w="3402" w:type="dxa"/>
            <w:vAlign w:val="center"/>
          </w:tcPr>
          <w:p w14:paraId="63945B23">
            <w:pPr>
              <w:pStyle w:val="13"/>
            </w:pPr>
          </w:p>
        </w:tc>
        <w:tc>
          <w:tcPr>
            <w:tcW w:w="1474" w:type="dxa"/>
            <w:vAlign w:val="center"/>
          </w:tcPr>
          <w:p w14:paraId="31A5C842">
            <w:pPr>
              <w:pStyle w:val="14"/>
            </w:pPr>
          </w:p>
        </w:tc>
        <w:tc>
          <w:tcPr>
            <w:tcW w:w="3402" w:type="dxa"/>
            <w:vAlign w:val="center"/>
          </w:tcPr>
          <w:p w14:paraId="63859B84">
            <w:pPr>
              <w:pStyle w:val="13"/>
            </w:pPr>
            <w:r>
              <w:t>二十二、国有资本经营预算支出</w:t>
            </w:r>
          </w:p>
        </w:tc>
        <w:tc>
          <w:tcPr>
            <w:tcW w:w="1474" w:type="dxa"/>
            <w:vAlign w:val="center"/>
          </w:tcPr>
          <w:p w14:paraId="4D3719B2">
            <w:pPr>
              <w:pStyle w:val="14"/>
            </w:pPr>
          </w:p>
        </w:tc>
        <w:tc>
          <w:tcPr>
            <w:tcW w:w="1474" w:type="dxa"/>
            <w:vAlign w:val="center"/>
          </w:tcPr>
          <w:p w14:paraId="7A134F7B">
            <w:pPr>
              <w:pStyle w:val="14"/>
            </w:pPr>
          </w:p>
        </w:tc>
        <w:tc>
          <w:tcPr>
            <w:tcW w:w="1474" w:type="dxa"/>
            <w:vAlign w:val="center"/>
          </w:tcPr>
          <w:p w14:paraId="483051DF">
            <w:pPr>
              <w:pStyle w:val="14"/>
            </w:pPr>
          </w:p>
        </w:tc>
        <w:tc>
          <w:tcPr>
            <w:tcW w:w="1474" w:type="dxa"/>
            <w:vAlign w:val="center"/>
          </w:tcPr>
          <w:p w14:paraId="127335DD">
            <w:pPr>
              <w:pStyle w:val="14"/>
            </w:pPr>
          </w:p>
        </w:tc>
      </w:tr>
      <w:tr w14:paraId="7C056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E9805">
            <w:pPr>
              <w:pStyle w:val="12"/>
            </w:pPr>
            <w:r>
              <w:t>23</w:t>
            </w:r>
          </w:p>
        </w:tc>
        <w:tc>
          <w:tcPr>
            <w:tcW w:w="3402" w:type="dxa"/>
            <w:vAlign w:val="center"/>
          </w:tcPr>
          <w:p w14:paraId="1DFBB5BF">
            <w:pPr>
              <w:pStyle w:val="13"/>
            </w:pPr>
          </w:p>
        </w:tc>
        <w:tc>
          <w:tcPr>
            <w:tcW w:w="1474" w:type="dxa"/>
            <w:vAlign w:val="center"/>
          </w:tcPr>
          <w:p w14:paraId="07E7E018">
            <w:pPr>
              <w:pStyle w:val="14"/>
            </w:pPr>
          </w:p>
        </w:tc>
        <w:tc>
          <w:tcPr>
            <w:tcW w:w="3402" w:type="dxa"/>
            <w:vAlign w:val="center"/>
          </w:tcPr>
          <w:p w14:paraId="52598925">
            <w:pPr>
              <w:pStyle w:val="13"/>
            </w:pPr>
            <w:r>
              <w:t>二十三、灾害防治及应急管理支出</w:t>
            </w:r>
          </w:p>
        </w:tc>
        <w:tc>
          <w:tcPr>
            <w:tcW w:w="1474" w:type="dxa"/>
            <w:vAlign w:val="center"/>
          </w:tcPr>
          <w:p w14:paraId="4760B820">
            <w:pPr>
              <w:pStyle w:val="14"/>
            </w:pPr>
          </w:p>
        </w:tc>
        <w:tc>
          <w:tcPr>
            <w:tcW w:w="1474" w:type="dxa"/>
            <w:vAlign w:val="center"/>
          </w:tcPr>
          <w:p w14:paraId="4814E129">
            <w:pPr>
              <w:pStyle w:val="14"/>
            </w:pPr>
          </w:p>
        </w:tc>
        <w:tc>
          <w:tcPr>
            <w:tcW w:w="1474" w:type="dxa"/>
            <w:vAlign w:val="center"/>
          </w:tcPr>
          <w:p w14:paraId="50B1768B">
            <w:pPr>
              <w:pStyle w:val="14"/>
            </w:pPr>
          </w:p>
        </w:tc>
        <w:tc>
          <w:tcPr>
            <w:tcW w:w="1474" w:type="dxa"/>
            <w:vAlign w:val="center"/>
          </w:tcPr>
          <w:p w14:paraId="0980CDC9">
            <w:pPr>
              <w:pStyle w:val="14"/>
            </w:pPr>
          </w:p>
        </w:tc>
      </w:tr>
      <w:tr w14:paraId="35B3E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520CA">
            <w:pPr>
              <w:pStyle w:val="12"/>
            </w:pPr>
            <w:r>
              <w:t>24</w:t>
            </w:r>
          </w:p>
        </w:tc>
        <w:tc>
          <w:tcPr>
            <w:tcW w:w="3402" w:type="dxa"/>
            <w:vAlign w:val="center"/>
          </w:tcPr>
          <w:p w14:paraId="3919073C">
            <w:pPr>
              <w:pStyle w:val="13"/>
            </w:pPr>
          </w:p>
        </w:tc>
        <w:tc>
          <w:tcPr>
            <w:tcW w:w="1474" w:type="dxa"/>
            <w:vAlign w:val="center"/>
          </w:tcPr>
          <w:p w14:paraId="03829243">
            <w:pPr>
              <w:pStyle w:val="14"/>
            </w:pPr>
          </w:p>
        </w:tc>
        <w:tc>
          <w:tcPr>
            <w:tcW w:w="3402" w:type="dxa"/>
            <w:vAlign w:val="center"/>
          </w:tcPr>
          <w:p w14:paraId="7F336694">
            <w:pPr>
              <w:pStyle w:val="13"/>
            </w:pPr>
            <w:r>
              <w:t>二十四、预备费</w:t>
            </w:r>
          </w:p>
        </w:tc>
        <w:tc>
          <w:tcPr>
            <w:tcW w:w="1474" w:type="dxa"/>
            <w:vAlign w:val="center"/>
          </w:tcPr>
          <w:p w14:paraId="60475539">
            <w:pPr>
              <w:pStyle w:val="14"/>
            </w:pPr>
          </w:p>
        </w:tc>
        <w:tc>
          <w:tcPr>
            <w:tcW w:w="1474" w:type="dxa"/>
            <w:vAlign w:val="center"/>
          </w:tcPr>
          <w:p w14:paraId="59A756E9">
            <w:pPr>
              <w:pStyle w:val="14"/>
            </w:pPr>
          </w:p>
        </w:tc>
        <w:tc>
          <w:tcPr>
            <w:tcW w:w="1474" w:type="dxa"/>
            <w:vAlign w:val="center"/>
          </w:tcPr>
          <w:p w14:paraId="11167531">
            <w:pPr>
              <w:pStyle w:val="14"/>
            </w:pPr>
          </w:p>
        </w:tc>
        <w:tc>
          <w:tcPr>
            <w:tcW w:w="1474" w:type="dxa"/>
            <w:vAlign w:val="center"/>
          </w:tcPr>
          <w:p w14:paraId="7199E40D">
            <w:pPr>
              <w:pStyle w:val="14"/>
            </w:pPr>
          </w:p>
        </w:tc>
      </w:tr>
      <w:tr w14:paraId="532D8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A242C">
            <w:pPr>
              <w:pStyle w:val="12"/>
            </w:pPr>
            <w:r>
              <w:t>25</w:t>
            </w:r>
          </w:p>
        </w:tc>
        <w:tc>
          <w:tcPr>
            <w:tcW w:w="3402" w:type="dxa"/>
            <w:vAlign w:val="center"/>
          </w:tcPr>
          <w:p w14:paraId="23D52BED">
            <w:pPr>
              <w:pStyle w:val="13"/>
            </w:pPr>
          </w:p>
        </w:tc>
        <w:tc>
          <w:tcPr>
            <w:tcW w:w="1474" w:type="dxa"/>
            <w:vAlign w:val="center"/>
          </w:tcPr>
          <w:p w14:paraId="0AEC2B65">
            <w:pPr>
              <w:pStyle w:val="14"/>
            </w:pPr>
          </w:p>
        </w:tc>
        <w:tc>
          <w:tcPr>
            <w:tcW w:w="3402" w:type="dxa"/>
            <w:vAlign w:val="center"/>
          </w:tcPr>
          <w:p w14:paraId="0D48EC79">
            <w:pPr>
              <w:pStyle w:val="13"/>
            </w:pPr>
            <w:r>
              <w:t>二十五、其他支出</w:t>
            </w:r>
          </w:p>
        </w:tc>
        <w:tc>
          <w:tcPr>
            <w:tcW w:w="1474" w:type="dxa"/>
            <w:vAlign w:val="center"/>
          </w:tcPr>
          <w:p w14:paraId="0E4C4E56">
            <w:pPr>
              <w:pStyle w:val="14"/>
            </w:pPr>
          </w:p>
        </w:tc>
        <w:tc>
          <w:tcPr>
            <w:tcW w:w="1474" w:type="dxa"/>
            <w:vAlign w:val="center"/>
          </w:tcPr>
          <w:p w14:paraId="76EA5974">
            <w:pPr>
              <w:pStyle w:val="14"/>
            </w:pPr>
          </w:p>
        </w:tc>
        <w:tc>
          <w:tcPr>
            <w:tcW w:w="1474" w:type="dxa"/>
            <w:vAlign w:val="center"/>
          </w:tcPr>
          <w:p w14:paraId="734C7949">
            <w:pPr>
              <w:pStyle w:val="14"/>
            </w:pPr>
          </w:p>
        </w:tc>
        <w:tc>
          <w:tcPr>
            <w:tcW w:w="1474" w:type="dxa"/>
            <w:vAlign w:val="center"/>
          </w:tcPr>
          <w:p w14:paraId="23718CDB">
            <w:pPr>
              <w:pStyle w:val="14"/>
            </w:pPr>
          </w:p>
        </w:tc>
      </w:tr>
      <w:tr w14:paraId="1BA01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ADAD3">
            <w:pPr>
              <w:pStyle w:val="12"/>
            </w:pPr>
            <w:r>
              <w:t>26</w:t>
            </w:r>
          </w:p>
        </w:tc>
        <w:tc>
          <w:tcPr>
            <w:tcW w:w="3402" w:type="dxa"/>
            <w:vAlign w:val="center"/>
          </w:tcPr>
          <w:p w14:paraId="1883149D">
            <w:pPr>
              <w:pStyle w:val="13"/>
            </w:pPr>
          </w:p>
        </w:tc>
        <w:tc>
          <w:tcPr>
            <w:tcW w:w="1474" w:type="dxa"/>
            <w:vAlign w:val="center"/>
          </w:tcPr>
          <w:p w14:paraId="0E8BE193">
            <w:pPr>
              <w:pStyle w:val="14"/>
            </w:pPr>
          </w:p>
        </w:tc>
        <w:tc>
          <w:tcPr>
            <w:tcW w:w="3402" w:type="dxa"/>
            <w:vAlign w:val="center"/>
          </w:tcPr>
          <w:p w14:paraId="2FE357C1">
            <w:pPr>
              <w:pStyle w:val="13"/>
            </w:pPr>
            <w:r>
              <w:t>二十六、转移性支出</w:t>
            </w:r>
          </w:p>
        </w:tc>
        <w:tc>
          <w:tcPr>
            <w:tcW w:w="1474" w:type="dxa"/>
            <w:vAlign w:val="center"/>
          </w:tcPr>
          <w:p w14:paraId="7F221BF0">
            <w:pPr>
              <w:pStyle w:val="14"/>
            </w:pPr>
          </w:p>
        </w:tc>
        <w:tc>
          <w:tcPr>
            <w:tcW w:w="1474" w:type="dxa"/>
            <w:vAlign w:val="center"/>
          </w:tcPr>
          <w:p w14:paraId="331D5E1F">
            <w:pPr>
              <w:pStyle w:val="14"/>
            </w:pPr>
          </w:p>
        </w:tc>
        <w:tc>
          <w:tcPr>
            <w:tcW w:w="1474" w:type="dxa"/>
            <w:vAlign w:val="center"/>
          </w:tcPr>
          <w:p w14:paraId="14FCA52B">
            <w:pPr>
              <w:pStyle w:val="14"/>
            </w:pPr>
          </w:p>
        </w:tc>
        <w:tc>
          <w:tcPr>
            <w:tcW w:w="1474" w:type="dxa"/>
            <w:vAlign w:val="center"/>
          </w:tcPr>
          <w:p w14:paraId="7012E026">
            <w:pPr>
              <w:pStyle w:val="14"/>
            </w:pPr>
          </w:p>
        </w:tc>
      </w:tr>
      <w:tr w14:paraId="178C9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C5BD3B1">
            <w:pPr>
              <w:pStyle w:val="12"/>
            </w:pPr>
            <w:r>
              <w:t>27</w:t>
            </w:r>
          </w:p>
        </w:tc>
        <w:tc>
          <w:tcPr>
            <w:tcW w:w="3402" w:type="dxa"/>
            <w:vAlign w:val="center"/>
          </w:tcPr>
          <w:p w14:paraId="21A777C2">
            <w:pPr>
              <w:pStyle w:val="13"/>
            </w:pPr>
          </w:p>
        </w:tc>
        <w:tc>
          <w:tcPr>
            <w:tcW w:w="1474" w:type="dxa"/>
            <w:vAlign w:val="center"/>
          </w:tcPr>
          <w:p w14:paraId="7E467263">
            <w:pPr>
              <w:pStyle w:val="14"/>
            </w:pPr>
          </w:p>
        </w:tc>
        <w:tc>
          <w:tcPr>
            <w:tcW w:w="3402" w:type="dxa"/>
            <w:vAlign w:val="center"/>
          </w:tcPr>
          <w:p w14:paraId="43123354">
            <w:pPr>
              <w:pStyle w:val="13"/>
            </w:pPr>
            <w:r>
              <w:t>二十七、债务还本支出</w:t>
            </w:r>
          </w:p>
        </w:tc>
        <w:tc>
          <w:tcPr>
            <w:tcW w:w="1474" w:type="dxa"/>
            <w:vAlign w:val="center"/>
          </w:tcPr>
          <w:p w14:paraId="68C8B9B3">
            <w:pPr>
              <w:pStyle w:val="14"/>
            </w:pPr>
          </w:p>
        </w:tc>
        <w:tc>
          <w:tcPr>
            <w:tcW w:w="1474" w:type="dxa"/>
            <w:vAlign w:val="center"/>
          </w:tcPr>
          <w:p w14:paraId="37D2D62C">
            <w:pPr>
              <w:pStyle w:val="14"/>
            </w:pPr>
          </w:p>
        </w:tc>
        <w:tc>
          <w:tcPr>
            <w:tcW w:w="1474" w:type="dxa"/>
            <w:vAlign w:val="center"/>
          </w:tcPr>
          <w:p w14:paraId="54DC0CFE">
            <w:pPr>
              <w:pStyle w:val="14"/>
            </w:pPr>
          </w:p>
        </w:tc>
        <w:tc>
          <w:tcPr>
            <w:tcW w:w="1474" w:type="dxa"/>
            <w:vAlign w:val="center"/>
          </w:tcPr>
          <w:p w14:paraId="113F40E9">
            <w:pPr>
              <w:pStyle w:val="14"/>
            </w:pPr>
          </w:p>
        </w:tc>
      </w:tr>
      <w:tr w14:paraId="52A81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1C5F2">
            <w:pPr>
              <w:pStyle w:val="12"/>
            </w:pPr>
            <w:r>
              <w:t>28</w:t>
            </w:r>
          </w:p>
        </w:tc>
        <w:tc>
          <w:tcPr>
            <w:tcW w:w="3402" w:type="dxa"/>
            <w:vAlign w:val="center"/>
          </w:tcPr>
          <w:p w14:paraId="5B19DA0C">
            <w:pPr>
              <w:pStyle w:val="13"/>
            </w:pPr>
          </w:p>
        </w:tc>
        <w:tc>
          <w:tcPr>
            <w:tcW w:w="1474" w:type="dxa"/>
            <w:vAlign w:val="center"/>
          </w:tcPr>
          <w:p w14:paraId="4933F82A">
            <w:pPr>
              <w:pStyle w:val="14"/>
            </w:pPr>
          </w:p>
        </w:tc>
        <w:tc>
          <w:tcPr>
            <w:tcW w:w="3402" w:type="dxa"/>
            <w:vAlign w:val="center"/>
          </w:tcPr>
          <w:p w14:paraId="36CFC8E2">
            <w:pPr>
              <w:pStyle w:val="13"/>
            </w:pPr>
            <w:r>
              <w:t>二十八、债务付息支出</w:t>
            </w:r>
          </w:p>
        </w:tc>
        <w:tc>
          <w:tcPr>
            <w:tcW w:w="1474" w:type="dxa"/>
            <w:vAlign w:val="center"/>
          </w:tcPr>
          <w:p w14:paraId="71237B2E">
            <w:pPr>
              <w:pStyle w:val="14"/>
            </w:pPr>
          </w:p>
        </w:tc>
        <w:tc>
          <w:tcPr>
            <w:tcW w:w="1474" w:type="dxa"/>
            <w:vAlign w:val="center"/>
          </w:tcPr>
          <w:p w14:paraId="29812433">
            <w:pPr>
              <w:pStyle w:val="14"/>
            </w:pPr>
          </w:p>
        </w:tc>
        <w:tc>
          <w:tcPr>
            <w:tcW w:w="1474" w:type="dxa"/>
            <w:vAlign w:val="center"/>
          </w:tcPr>
          <w:p w14:paraId="7C8A2D9E">
            <w:pPr>
              <w:pStyle w:val="14"/>
            </w:pPr>
          </w:p>
        </w:tc>
        <w:tc>
          <w:tcPr>
            <w:tcW w:w="1474" w:type="dxa"/>
            <w:vAlign w:val="center"/>
          </w:tcPr>
          <w:p w14:paraId="21664941">
            <w:pPr>
              <w:pStyle w:val="14"/>
            </w:pPr>
          </w:p>
        </w:tc>
      </w:tr>
      <w:tr w14:paraId="184BD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D7C31">
            <w:pPr>
              <w:pStyle w:val="12"/>
            </w:pPr>
            <w:r>
              <w:t>29</w:t>
            </w:r>
          </w:p>
        </w:tc>
        <w:tc>
          <w:tcPr>
            <w:tcW w:w="3402" w:type="dxa"/>
            <w:vAlign w:val="center"/>
          </w:tcPr>
          <w:p w14:paraId="43326B1B">
            <w:pPr>
              <w:pStyle w:val="13"/>
            </w:pPr>
          </w:p>
        </w:tc>
        <w:tc>
          <w:tcPr>
            <w:tcW w:w="1474" w:type="dxa"/>
            <w:vAlign w:val="center"/>
          </w:tcPr>
          <w:p w14:paraId="262E3E70">
            <w:pPr>
              <w:pStyle w:val="14"/>
            </w:pPr>
          </w:p>
        </w:tc>
        <w:tc>
          <w:tcPr>
            <w:tcW w:w="3402" w:type="dxa"/>
            <w:vAlign w:val="center"/>
          </w:tcPr>
          <w:p w14:paraId="3FFE9F34">
            <w:pPr>
              <w:pStyle w:val="13"/>
            </w:pPr>
            <w:r>
              <w:t>二十九、债务发行费用支出</w:t>
            </w:r>
          </w:p>
        </w:tc>
        <w:tc>
          <w:tcPr>
            <w:tcW w:w="1474" w:type="dxa"/>
            <w:vAlign w:val="center"/>
          </w:tcPr>
          <w:p w14:paraId="4C63E6F0">
            <w:pPr>
              <w:pStyle w:val="14"/>
            </w:pPr>
          </w:p>
        </w:tc>
        <w:tc>
          <w:tcPr>
            <w:tcW w:w="1474" w:type="dxa"/>
            <w:vAlign w:val="center"/>
          </w:tcPr>
          <w:p w14:paraId="0A9D69AE">
            <w:pPr>
              <w:pStyle w:val="14"/>
            </w:pPr>
          </w:p>
        </w:tc>
        <w:tc>
          <w:tcPr>
            <w:tcW w:w="1474" w:type="dxa"/>
            <w:vAlign w:val="center"/>
          </w:tcPr>
          <w:p w14:paraId="071A42F2">
            <w:pPr>
              <w:pStyle w:val="14"/>
            </w:pPr>
          </w:p>
        </w:tc>
        <w:tc>
          <w:tcPr>
            <w:tcW w:w="1474" w:type="dxa"/>
            <w:vAlign w:val="center"/>
          </w:tcPr>
          <w:p w14:paraId="30CF6DCF">
            <w:pPr>
              <w:pStyle w:val="14"/>
            </w:pPr>
          </w:p>
        </w:tc>
      </w:tr>
      <w:tr w14:paraId="416E3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62653">
            <w:pPr>
              <w:pStyle w:val="12"/>
            </w:pPr>
            <w:r>
              <w:t>30</w:t>
            </w:r>
          </w:p>
        </w:tc>
        <w:tc>
          <w:tcPr>
            <w:tcW w:w="3402" w:type="dxa"/>
            <w:vAlign w:val="center"/>
          </w:tcPr>
          <w:p w14:paraId="28D98CA6">
            <w:pPr>
              <w:pStyle w:val="13"/>
            </w:pPr>
          </w:p>
        </w:tc>
        <w:tc>
          <w:tcPr>
            <w:tcW w:w="1474" w:type="dxa"/>
            <w:vAlign w:val="center"/>
          </w:tcPr>
          <w:p w14:paraId="05E0C4CC">
            <w:pPr>
              <w:pStyle w:val="14"/>
            </w:pPr>
          </w:p>
        </w:tc>
        <w:tc>
          <w:tcPr>
            <w:tcW w:w="3402" w:type="dxa"/>
            <w:vAlign w:val="center"/>
          </w:tcPr>
          <w:p w14:paraId="1EAAE0B5">
            <w:pPr>
              <w:pStyle w:val="13"/>
            </w:pPr>
            <w:r>
              <w:t>三十、抗疫特别国债安排的支出</w:t>
            </w:r>
          </w:p>
        </w:tc>
        <w:tc>
          <w:tcPr>
            <w:tcW w:w="1474" w:type="dxa"/>
            <w:vAlign w:val="center"/>
          </w:tcPr>
          <w:p w14:paraId="0CC8027D">
            <w:pPr>
              <w:pStyle w:val="14"/>
            </w:pPr>
          </w:p>
        </w:tc>
        <w:tc>
          <w:tcPr>
            <w:tcW w:w="1474" w:type="dxa"/>
            <w:vAlign w:val="center"/>
          </w:tcPr>
          <w:p w14:paraId="3AA15702">
            <w:pPr>
              <w:pStyle w:val="14"/>
            </w:pPr>
          </w:p>
        </w:tc>
        <w:tc>
          <w:tcPr>
            <w:tcW w:w="1474" w:type="dxa"/>
            <w:vAlign w:val="center"/>
          </w:tcPr>
          <w:p w14:paraId="0354858D">
            <w:pPr>
              <w:pStyle w:val="14"/>
            </w:pPr>
          </w:p>
        </w:tc>
        <w:tc>
          <w:tcPr>
            <w:tcW w:w="1474" w:type="dxa"/>
            <w:vAlign w:val="center"/>
          </w:tcPr>
          <w:p w14:paraId="4B3814BC">
            <w:pPr>
              <w:pStyle w:val="14"/>
            </w:pPr>
          </w:p>
        </w:tc>
      </w:tr>
      <w:tr w14:paraId="33F0D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091F3">
            <w:pPr>
              <w:pStyle w:val="12"/>
            </w:pPr>
            <w:r>
              <w:t>31</w:t>
            </w:r>
          </w:p>
        </w:tc>
        <w:tc>
          <w:tcPr>
            <w:tcW w:w="3402" w:type="dxa"/>
            <w:vAlign w:val="center"/>
          </w:tcPr>
          <w:p w14:paraId="1A27EE45">
            <w:pPr>
              <w:pStyle w:val="13"/>
            </w:pPr>
          </w:p>
        </w:tc>
        <w:tc>
          <w:tcPr>
            <w:tcW w:w="1474" w:type="dxa"/>
            <w:vAlign w:val="center"/>
          </w:tcPr>
          <w:p w14:paraId="674AC3E6">
            <w:pPr>
              <w:pStyle w:val="14"/>
            </w:pPr>
          </w:p>
        </w:tc>
        <w:tc>
          <w:tcPr>
            <w:tcW w:w="3402" w:type="dxa"/>
            <w:vAlign w:val="center"/>
          </w:tcPr>
          <w:p w14:paraId="27CF3409">
            <w:pPr>
              <w:pStyle w:val="13"/>
            </w:pPr>
            <w:r>
              <w:t>三十一、人行科目</w:t>
            </w:r>
          </w:p>
        </w:tc>
        <w:tc>
          <w:tcPr>
            <w:tcW w:w="1474" w:type="dxa"/>
            <w:vAlign w:val="center"/>
          </w:tcPr>
          <w:p w14:paraId="3330C5FC">
            <w:pPr>
              <w:pStyle w:val="14"/>
            </w:pPr>
          </w:p>
        </w:tc>
        <w:tc>
          <w:tcPr>
            <w:tcW w:w="1474" w:type="dxa"/>
            <w:vAlign w:val="center"/>
          </w:tcPr>
          <w:p w14:paraId="013AF38E">
            <w:pPr>
              <w:pStyle w:val="14"/>
            </w:pPr>
          </w:p>
        </w:tc>
        <w:tc>
          <w:tcPr>
            <w:tcW w:w="1474" w:type="dxa"/>
            <w:vAlign w:val="center"/>
          </w:tcPr>
          <w:p w14:paraId="440D3676">
            <w:pPr>
              <w:pStyle w:val="14"/>
            </w:pPr>
          </w:p>
        </w:tc>
        <w:tc>
          <w:tcPr>
            <w:tcW w:w="1474" w:type="dxa"/>
            <w:vAlign w:val="center"/>
          </w:tcPr>
          <w:p w14:paraId="6F5C27CA">
            <w:pPr>
              <w:pStyle w:val="14"/>
            </w:pPr>
          </w:p>
        </w:tc>
      </w:tr>
      <w:tr w14:paraId="09610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27453">
            <w:pPr>
              <w:pStyle w:val="12"/>
            </w:pPr>
            <w:r>
              <w:t>32</w:t>
            </w:r>
          </w:p>
        </w:tc>
        <w:tc>
          <w:tcPr>
            <w:tcW w:w="3402" w:type="dxa"/>
            <w:vAlign w:val="center"/>
          </w:tcPr>
          <w:p w14:paraId="6E7F367C">
            <w:pPr>
              <w:pStyle w:val="15"/>
            </w:pPr>
            <w:r>
              <w:t>本年收入合计</w:t>
            </w:r>
          </w:p>
        </w:tc>
        <w:tc>
          <w:tcPr>
            <w:tcW w:w="1474" w:type="dxa"/>
            <w:vAlign w:val="center"/>
          </w:tcPr>
          <w:p w14:paraId="44923A2C">
            <w:pPr>
              <w:pStyle w:val="16"/>
            </w:pPr>
            <w:r>
              <w:t>3182.86</w:t>
            </w:r>
          </w:p>
        </w:tc>
        <w:tc>
          <w:tcPr>
            <w:tcW w:w="3402" w:type="dxa"/>
            <w:vAlign w:val="center"/>
          </w:tcPr>
          <w:p w14:paraId="4DEDB207">
            <w:pPr>
              <w:pStyle w:val="15"/>
            </w:pPr>
            <w:r>
              <w:t>本年支出合计</w:t>
            </w:r>
          </w:p>
        </w:tc>
        <w:tc>
          <w:tcPr>
            <w:tcW w:w="1474" w:type="dxa"/>
            <w:vAlign w:val="center"/>
          </w:tcPr>
          <w:p w14:paraId="2420A96F">
            <w:pPr>
              <w:pStyle w:val="16"/>
            </w:pPr>
            <w:r>
              <w:t>3251.47</w:t>
            </w:r>
          </w:p>
        </w:tc>
        <w:tc>
          <w:tcPr>
            <w:tcW w:w="1474" w:type="dxa"/>
            <w:vAlign w:val="center"/>
          </w:tcPr>
          <w:p w14:paraId="792112C3">
            <w:pPr>
              <w:pStyle w:val="16"/>
            </w:pPr>
            <w:r>
              <w:t>3251.47</w:t>
            </w:r>
          </w:p>
        </w:tc>
        <w:tc>
          <w:tcPr>
            <w:tcW w:w="1474" w:type="dxa"/>
            <w:vAlign w:val="center"/>
          </w:tcPr>
          <w:p w14:paraId="6D4E0C97">
            <w:pPr>
              <w:pStyle w:val="16"/>
            </w:pPr>
          </w:p>
        </w:tc>
        <w:tc>
          <w:tcPr>
            <w:tcW w:w="1474" w:type="dxa"/>
            <w:vAlign w:val="center"/>
          </w:tcPr>
          <w:p w14:paraId="1F5AD686">
            <w:pPr>
              <w:pStyle w:val="16"/>
            </w:pPr>
          </w:p>
        </w:tc>
      </w:tr>
      <w:tr w14:paraId="37632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F4179">
            <w:pPr>
              <w:pStyle w:val="12"/>
            </w:pPr>
            <w:r>
              <w:t>33</w:t>
            </w:r>
          </w:p>
        </w:tc>
        <w:tc>
          <w:tcPr>
            <w:tcW w:w="3402" w:type="dxa"/>
            <w:vAlign w:val="center"/>
          </w:tcPr>
          <w:p w14:paraId="63600860">
            <w:pPr>
              <w:pStyle w:val="13"/>
            </w:pPr>
            <w:r>
              <w:t>年初财政拨款结转和结余</w:t>
            </w:r>
          </w:p>
        </w:tc>
        <w:tc>
          <w:tcPr>
            <w:tcW w:w="1474" w:type="dxa"/>
            <w:vAlign w:val="center"/>
          </w:tcPr>
          <w:p w14:paraId="15A2B908">
            <w:pPr>
              <w:pStyle w:val="14"/>
            </w:pPr>
            <w:r>
              <w:t>68.61</w:t>
            </w:r>
          </w:p>
        </w:tc>
        <w:tc>
          <w:tcPr>
            <w:tcW w:w="3402" w:type="dxa"/>
            <w:vAlign w:val="center"/>
          </w:tcPr>
          <w:p w14:paraId="7810F7B1">
            <w:pPr>
              <w:pStyle w:val="13"/>
            </w:pPr>
            <w:r>
              <w:t>年末财政拨款结转和结余</w:t>
            </w:r>
          </w:p>
        </w:tc>
        <w:tc>
          <w:tcPr>
            <w:tcW w:w="1474" w:type="dxa"/>
            <w:vAlign w:val="center"/>
          </w:tcPr>
          <w:p w14:paraId="7C0DA683">
            <w:pPr>
              <w:pStyle w:val="14"/>
            </w:pPr>
          </w:p>
        </w:tc>
        <w:tc>
          <w:tcPr>
            <w:tcW w:w="1474" w:type="dxa"/>
            <w:vAlign w:val="center"/>
          </w:tcPr>
          <w:p w14:paraId="021FC051">
            <w:pPr>
              <w:pStyle w:val="14"/>
            </w:pPr>
          </w:p>
        </w:tc>
        <w:tc>
          <w:tcPr>
            <w:tcW w:w="1474" w:type="dxa"/>
            <w:vAlign w:val="center"/>
          </w:tcPr>
          <w:p w14:paraId="335F5920">
            <w:pPr>
              <w:pStyle w:val="14"/>
            </w:pPr>
          </w:p>
        </w:tc>
        <w:tc>
          <w:tcPr>
            <w:tcW w:w="1474" w:type="dxa"/>
            <w:vAlign w:val="center"/>
          </w:tcPr>
          <w:p w14:paraId="0A8DDA52">
            <w:pPr>
              <w:pStyle w:val="14"/>
            </w:pPr>
          </w:p>
        </w:tc>
      </w:tr>
      <w:tr w14:paraId="231FA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FAF14">
            <w:pPr>
              <w:pStyle w:val="12"/>
            </w:pPr>
            <w:r>
              <w:t>34</w:t>
            </w:r>
          </w:p>
        </w:tc>
        <w:tc>
          <w:tcPr>
            <w:tcW w:w="3402" w:type="dxa"/>
            <w:vAlign w:val="center"/>
          </w:tcPr>
          <w:p w14:paraId="3F59D6AB">
            <w:pPr>
              <w:pStyle w:val="13"/>
            </w:pPr>
            <w:r>
              <w:t>一、一般公共预算拨款</w:t>
            </w:r>
          </w:p>
        </w:tc>
        <w:tc>
          <w:tcPr>
            <w:tcW w:w="1474" w:type="dxa"/>
            <w:vAlign w:val="center"/>
          </w:tcPr>
          <w:p w14:paraId="5CEBEC42">
            <w:pPr>
              <w:pStyle w:val="14"/>
            </w:pPr>
            <w:r>
              <w:t>68.61</w:t>
            </w:r>
          </w:p>
        </w:tc>
        <w:tc>
          <w:tcPr>
            <w:tcW w:w="3402" w:type="dxa"/>
            <w:vAlign w:val="center"/>
          </w:tcPr>
          <w:p w14:paraId="5BD620A4">
            <w:pPr>
              <w:pStyle w:val="13"/>
            </w:pPr>
          </w:p>
        </w:tc>
        <w:tc>
          <w:tcPr>
            <w:tcW w:w="1474" w:type="dxa"/>
            <w:vAlign w:val="center"/>
          </w:tcPr>
          <w:p w14:paraId="175E1A2E">
            <w:pPr>
              <w:pStyle w:val="14"/>
            </w:pPr>
          </w:p>
        </w:tc>
        <w:tc>
          <w:tcPr>
            <w:tcW w:w="1474" w:type="dxa"/>
            <w:vAlign w:val="center"/>
          </w:tcPr>
          <w:p w14:paraId="7ACB00A7">
            <w:pPr>
              <w:pStyle w:val="14"/>
            </w:pPr>
          </w:p>
        </w:tc>
        <w:tc>
          <w:tcPr>
            <w:tcW w:w="1474" w:type="dxa"/>
            <w:vAlign w:val="center"/>
          </w:tcPr>
          <w:p w14:paraId="4D09195F">
            <w:pPr>
              <w:pStyle w:val="14"/>
            </w:pPr>
          </w:p>
        </w:tc>
        <w:tc>
          <w:tcPr>
            <w:tcW w:w="1474" w:type="dxa"/>
            <w:vAlign w:val="center"/>
          </w:tcPr>
          <w:p w14:paraId="52DC938D">
            <w:pPr>
              <w:pStyle w:val="14"/>
            </w:pPr>
          </w:p>
        </w:tc>
      </w:tr>
      <w:tr w14:paraId="1669A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3EE7F">
            <w:pPr>
              <w:pStyle w:val="12"/>
            </w:pPr>
            <w:r>
              <w:t>35</w:t>
            </w:r>
          </w:p>
        </w:tc>
        <w:tc>
          <w:tcPr>
            <w:tcW w:w="3402" w:type="dxa"/>
            <w:vAlign w:val="center"/>
          </w:tcPr>
          <w:p w14:paraId="029DC860">
            <w:pPr>
              <w:pStyle w:val="13"/>
            </w:pPr>
            <w:r>
              <w:t>二、政府性基金预算拨款</w:t>
            </w:r>
          </w:p>
        </w:tc>
        <w:tc>
          <w:tcPr>
            <w:tcW w:w="1474" w:type="dxa"/>
            <w:vAlign w:val="center"/>
          </w:tcPr>
          <w:p w14:paraId="710EF44B">
            <w:pPr>
              <w:pStyle w:val="14"/>
            </w:pPr>
          </w:p>
        </w:tc>
        <w:tc>
          <w:tcPr>
            <w:tcW w:w="3402" w:type="dxa"/>
            <w:vAlign w:val="center"/>
          </w:tcPr>
          <w:p w14:paraId="09A4FC5D">
            <w:pPr>
              <w:pStyle w:val="13"/>
            </w:pPr>
          </w:p>
        </w:tc>
        <w:tc>
          <w:tcPr>
            <w:tcW w:w="1474" w:type="dxa"/>
            <w:vAlign w:val="center"/>
          </w:tcPr>
          <w:p w14:paraId="38BB442D">
            <w:pPr>
              <w:pStyle w:val="14"/>
            </w:pPr>
          </w:p>
        </w:tc>
        <w:tc>
          <w:tcPr>
            <w:tcW w:w="1474" w:type="dxa"/>
            <w:vAlign w:val="center"/>
          </w:tcPr>
          <w:p w14:paraId="289BAE4C">
            <w:pPr>
              <w:pStyle w:val="14"/>
            </w:pPr>
          </w:p>
        </w:tc>
        <w:tc>
          <w:tcPr>
            <w:tcW w:w="1474" w:type="dxa"/>
            <w:vAlign w:val="center"/>
          </w:tcPr>
          <w:p w14:paraId="60B34489">
            <w:pPr>
              <w:pStyle w:val="14"/>
            </w:pPr>
          </w:p>
        </w:tc>
        <w:tc>
          <w:tcPr>
            <w:tcW w:w="1474" w:type="dxa"/>
            <w:vAlign w:val="center"/>
          </w:tcPr>
          <w:p w14:paraId="57953979">
            <w:pPr>
              <w:pStyle w:val="14"/>
            </w:pPr>
          </w:p>
        </w:tc>
      </w:tr>
      <w:tr w14:paraId="3C7AA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ADDEA">
            <w:pPr>
              <w:pStyle w:val="12"/>
            </w:pPr>
            <w:r>
              <w:t>36</w:t>
            </w:r>
          </w:p>
        </w:tc>
        <w:tc>
          <w:tcPr>
            <w:tcW w:w="3402" w:type="dxa"/>
            <w:vAlign w:val="center"/>
          </w:tcPr>
          <w:p w14:paraId="70B09DF6">
            <w:pPr>
              <w:pStyle w:val="13"/>
            </w:pPr>
            <w:r>
              <w:t>三、国有资本经营预算拨款</w:t>
            </w:r>
          </w:p>
        </w:tc>
        <w:tc>
          <w:tcPr>
            <w:tcW w:w="1474" w:type="dxa"/>
            <w:vAlign w:val="center"/>
          </w:tcPr>
          <w:p w14:paraId="61943E1B">
            <w:pPr>
              <w:pStyle w:val="14"/>
            </w:pPr>
          </w:p>
        </w:tc>
        <w:tc>
          <w:tcPr>
            <w:tcW w:w="3402" w:type="dxa"/>
            <w:vAlign w:val="center"/>
          </w:tcPr>
          <w:p w14:paraId="21F2773C">
            <w:pPr>
              <w:pStyle w:val="13"/>
            </w:pPr>
          </w:p>
        </w:tc>
        <w:tc>
          <w:tcPr>
            <w:tcW w:w="1474" w:type="dxa"/>
            <w:vAlign w:val="center"/>
          </w:tcPr>
          <w:p w14:paraId="4FD74623">
            <w:pPr>
              <w:pStyle w:val="14"/>
            </w:pPr>
          </w:p>
        </w:tc>
        <w:tc>
          <w:tcPr>
            <w:tcW w:w="1474" w:type="dxa"/>
            <w:vAlign w:val="center"/>
          </w:tcPr>
          <w:p w14:paraId="36D93AA2">
            <w:pPr>
              <w:pStyle w:val="14"/>
            </w:pPr>
          </w:p>
        </w:tc>
        <w:tc>
          <w:tcPr>
            <w:tcW w:w="1474" w:type="dxa"/>
            <w:vAlign w:val="center"/>
          </w:tcPr>
          <w:p w14:paraId="29F4DF43">
            <w:pPr>
              <w:pStyle w:val="14"/>
            </w:pPr>
          </w:p>
        </w:tc>
        <w:tc>
          <w:tcPr>
            <w:tcW w:w="1474" w:type="dxa"/>
            <w:vAlign w:val="center"/>
          </w:tcPr>
          <w:p w14:paraId="70D59C89">
            <w:pPr>
              <w:pStyle w:val="14"/>
            </w:pPr>
          </w:p>
        </w:tc>
      </w:tr>
      <w:tr w14:paraId="38EBB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EB7E9">
            <w:pPr>
              <w:pStyle w:val="12"/>
            </w:pPr>
            <w:r>
              <w:t>37</w:t>
            </w:r>
          </w:p>
        </w:tc>
        <w:tc>
          <w:tcPr>
            <w:tcW w:w="3402" w:type="dxa"/>
            <w:vAlign w:val="center"/>
          </w:tcPr>
          <w:p w14:paraId="693BC9F1">
            <w:pPr>
              <w:pStyle w:val="15"/>
            </w:pPr>
            <w:r>
              <w:t>收入总计</w:t>
            </w:r>
          </w:p>
        </w:tc>
        <w:tc>
          <w:tcPr>
            <w:tcW w:w="1474" w:type="dxa"/>
            <w:vAlign w:val="center"/>
          </w:tcPr>
          <w:p w14:paraId="073B0B22">
            <w:pPr>
              <w:pStyle w:val="16"/>
            </w:pPr>
            <w:r>
              <w:t>3251.47</w:t>
            </w:r>
          </w:p>
        </w:tc>
        <w:tc>
          <w:tcPr>
            <w:tcW w:w="3402" w:type="dxa"/>
            <w:vAlign w:val="center"/>
          </w:tcPr>
          <w:p w14:paraId="6002F17E">
            <w:pPr>
              <w:pStyle w:val="15"/>
            </w:pPr>
            <w:r>
              <w:t>支出总计</w:t>
            </w:r>
          </w:p>
        </w:tc>
        <w:tc>
          <w:tcPr>
            <w:tcW w:w="1474" w:type="dxa"/>
            <w:vAlign w:val="center"/>
          </w:tcPr>
          <w:p w14:paraId="6F83C641">
            <w:pPr>
              <w:pStyle w:val="16"/>
            </w:pPr>
            <w:r>
              <w:t>3251.47</w:t>
            </w:r>
          </w:p>
        </w:tc>
        <w:tc>
          <w:tcPr>
            <w:tcW w:w="1474" w:type="dxa"/>
            <w:vAlign w:val="center"/>
          </w:tcPr>
          <w:p w14:paraId="58AED9EC">
            <w:pPr>
              <w:pStyle w:val="16"/>
            </w:pPr>
            <w:r>
              <w:t>3251.47</w:t>
            </w:r>
          </w:p>
        </w:tc>
        <w:tc>
          <w:tcPr>
            <w:tcW w:w="1474" w:type="dxa"/>
            <w:vAlign w:val="center"/>
          </w:tcPr>
          <w:p w14:paraId="441679EB">
            <w:pPr>
              <w:pStyle w:val="16"/>
            </w:pPr>
          </w:p>
        </w:tc>
        <w:tc>
          <w:tcPr>
            <w:tcW w:w="1474" w:type="dxa"/>
            <w:vAlign w:val="center"/>
          </w:tcPr>
          <w:p w14:paraId="746A0D41">
            <w:pPr>
              <w:pStyle w:val="16"/>
            </w:pPr>
          </w:p>
        </w:tc>
      </w:tr>
    </w:tbl>
    <w:p w14:paraId="5F5BC3F0">
      <w:pPr>
        <w:sectPr>
          <w:pgSz w:w="16840" w:h="11900" w:orient="landscape"/>
          <w:pgMar w:top="1361" w:right="1020" w:bottom="1134" w:left="1020" w:header="720" w:footer="720" w:gutter="0"/>
          <w:cols w:space="720" w:num="1"/>
        </w:sectPr>
      </w:pPr>
    </w:p>
    <w:p w14:paraId="6352CD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795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03E411">
            <w:pPr>
              <w:pStyle w:val="8"/>
            </w:pPr>
            <w:r>
              <w:t>360019隆尧县东良校区</w:t>
            </w:r>
          </w:p>
        </w:tc>
        <w:tc>
          <w:tcPr>
            <w:tcW w:w="2551" w:type="dxa"/>
            <w:tcBorders>
              <w:top w:val="single" w:color="FFFFFF" w:sz="6" w:space="0"/>
              <w:left w:val="single" w:color="FFFFFF" w:sz="6" w:space="0"/>
              <w:right w:val="single" w:color="FFFFFF" w:sz="6" w:space="0"/>
            </w:tcBorders>
            <w:vAlign w:val="center"/>
          </w:tcPr>
          <w:p w14:paraId="74CAE92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2E7BA75">
            <w:pPr>
              <w:pStyle w:val="10"/>
            </w:pPr>
            <w:r>
              <w:t>单位：万元</w:t>
            </w:r>
          </w:p>
        </w:tc>
      </w:tr>
      <w:tr w14:paraId="0F050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03F81C">
            <w:pPr>
              <w:pStyle w:val="11"/>
            </w:pPr>
            <w:r>
              <w:t>序号</w:t>
            </w:r>
          </w:p>
        </w:tc>
        <w:tc>
          <w:tcPr>
            <w:tcW w:w="5726" w:type="dxa"/>
            <w:gridSpan w:val="2"/>
            <w:vAlign w:val="center"/>
          </w:tcPr>
          <w:p w14:paraId="043B0F34">
            <w:pPr>
              <w:pStyle w:val="11"/>
            </w:pPr>
            <w:r>
              <w:t>功能分类科目</w:t>
            </w:r>
          </w:p>
        </w:tc>
        <w:tc>
          <w:tcPr>
            <w:tcW w:w="2551" w:type="dxa"/>
            <w:vMerge w:val="restart"/>
            <w:vAlign w:val="center"/>
          </w:tcPr>
          <w:p w14:paraId="5A7AF8F8">
            <w:pPr>
              <w:pStyle w:val="11"/>
            </w:pPr>
            <w:r>
              <w:t>合计</w:t>
            </w:r>
          </w:p>
        </w:tc>
        <w:tc>
          <w:tcPr>
            <w:tcW w:w="2551" w:type="dxa"/>
            <w:vMerge w:val="restart"/>
            <w:vAlign w:val="center"/>
          </w:tcPr>
          <w:p w14:paraId="0B4DECF1">
            <w:pPr>
              <w:pStyle w:val="11"/>
            </w:pPr>
            <w:r>
              <w:t>基本支出</w:t>
            </w:r>
          </w:p>
        </w:tc>
        <w:tc>
          <w:tcPr>
            <w:tcW w:w="2551" w:type="dxa"/>
            <w:vMerge w:val="restart"/>
            <w:vAlign w:val="center"/>
          </w:tcPr>
          <w:p w14:paraId="27393462">
            <w:pPr>
              <w:pStyle w:val="11"/>
            </w:pPr>
            <w:r>
              <w:t>项目支出</w:t>
            </w:r>
          </w:p>
        </w:tc>
      </w:tr>
      <w:tr w14:paraId="74472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D665E9"/>
        </w:tc>
        <w:tc>
          <w:tcPr>
            <w:tcW w:w="1191" w:type="dxa"/>
            <w:vAlign w:val="center"/>
          </w:tcPr>
          <w:p w14:paraId="6054A959">
            <w:pPr>
              <w:pStyle w:val="11"/>
            </w:pPr>
            <w:r>
              <w:t>科目编码</w:t>
            </w:r>
          </w:p>
        </w:tc>
        <w:tc>
          <w:tcPr>
            <w:tcW w:w="4535" w:type="dxa"/>
            <w:vAlign w:val="center"/>
          </w:tcPr>
          <w:p w14:paraId="4984BA47">
            <w:pPr>
              <w:pStyle w:val="11"/>
            </w:pPr>
            <w:r>
              <w:t>科目名称</w:t>
            </w:r>
          </w:p>
        </w:tc>
        <w:tc>
          <w:tcPr>
            <w:tcW w:w="2551" w:type="dxa"/>
            <w:vMerge w:val="continue"/>
          </w:tcPr>
          <w:p w14:paraId="63C106CF"/>
        </w:tc>
        <w:tc>
          <w:tcPr>
            <w:tcW w:w="2551" w:type="dxa"/>
            <w:vMerge w:val="continue"/>
          </w:tcPr>
          <w:p w14:paraId="79EE7A57"/>
        </w:tc>
        <w:tc>
          <w:tcPr>
            <w:tcW w:w="2551" w:type="dxa"/>
            <w:vMerge w:val="continue"/>
          </w:tcPr>
          <w:p w14:paraId="3EACC064"/>
        </w:tc>
      </w:tr>
      <w:tr w14:paraId="271CD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6A7B12">
            <w:pPr>
              <w:pStyle w:val="11"/>
            </w:pPr>
            <w:r>
              <w:t>栏次</w:t>
            </w:r>
          </w:p>
        </w:tc>
        <w:tc>
          <w:tcPr>
            <w:tcW w:w="1191" w:type="dxa"/>
            <w:vAlign w:val="center"/>
          </w:tcPr>
          <w:p w14:paraId="0A55B74F">
            <w:pPr>
              <w:pStyle w:val="11"/>
            </w:pPr>
            <w:r>
              <w:t>1</w:t>
            </w:r>
          </w:p>
        </w:tc>
        <w:tc>
          <w:tcPr>
            <w:tcW w:w="4535" w:type="dxa"/>
            <w:vAlign w:val="center"/>
          </w:tcPr>
          <w:p w14:paraId="3181BB2D">
            <w:pPr>
              <w:pStyle w:val="11"/>
            </w:pPr>
            <w:r>
              <w:t>2</w:t>
            </w:r>
          </w:p>
        </w:tc>
        <w:tc>
          <w:tcPr>
            <w:tcW w:w="2551" w:type="dxa"/>
            <w:vAlign w:val="center"/>
          </w:tcPr>
          <w:p w14:paraId="300F2684">
            <w:pPr>
              <w:pStyle w:val="11"/>
            </w:pPr>
            <w:r>
              <w:t>3</w:t>
            </w:r>
          </w:p>
        </w:tc>
        <w:tc>
          <w:tcPr>
            <w:tcW w:w="2551" w:type="dxa"/>
            <w:vAlign w:val="center"/>
          </w:tcPr>
          <w:p w14:paraId="482EEAFB">
            <w:pPr>
              <w:pStyle w:val="11"/>
            </w:pPr>
            <w:r>
              <w:t>4</w:t>
            </w:r>
          </w:p>
        </w:tc>
        <w:tc>
          <w:tcPr>
            <w:tcW w:w="2551" w:type="dxa"/>
            <w:vAlign w:val="center"/>
          </w:tcPr>
          <w:p w14:paraId="1A73FC9C">
            <w:pPr>
              <w:pStyle w:val="11"/>
            </w:pPr>
            <w:r>
              <w:t>5</w:t>
            </w:r>
          </w:p>
        </w:tc>
      </w:tr>
      <w:tr w14:paraId="17DCC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10253">
            <w:pPr>
              <w:pStyle w:val="12"/>
            </w:pPr>
            <w:r>
              <w:t>1</w:t>
            </w:r>
          </w:p>
        </w:tc>
        <w:tc>
          <w:tcPr>
            <w:tcW w:w="1191" w:type="dxa"/>
            <w:vAlign w:val="center"/>
          </w:tcPr>
          <w:p w14:paraId="6D45B904">
            <w:pPr>
              <w:pStyle w:val="17"/>
            </w:pPr>
          </w:p>
        </w:tc>
        <w:tc>
          <w:tcPr>
            <w:tcW w:w="4535" w:type="dxa"/>
            <w:vAlign w:val="center"/>
          </w:tcPr>
          <w:p w14:paraId="559E07DF">
            <w:pPr>
              <w:pStyle w:val="15"/>
            </w:pPr>
            <w:r>
              <w:t>合计</w:t>
            </w:r>
          </w:p>
        </w:tc>
        <w:tc>
          <w:tcPr>
            <w:tcW w:w="2551" w:type="dxa"/>
            <w:vAlign w:val="center"/>
          </w:tcPr>
          <w:p w14:paraId="5B35311A">
            <w:pPr>
              <w:pStyle w:val="16"/>
            </w:pPr>
            <w:r>
              <w:t>3251.47</w:t>
            </w:r>
          </w:p>
        </w:tc>
        <w:tc>
          <w:tcPr>
            <w:tcW w:w="2551" w:type="dxa"/>
            <w:vAlign w:val="center"/>
          </w:tcPr>
          <w:p w14:paraId="7F34C173">
            <w:pPr>
              <w:pStyle w:val="16"/>
            </w:pPr>
            <w:r>
              <w:t>2389.31</w:t>
            </w:r>
          </w:p>
        </w:tc>
        <w:tc>
          <w:tcPr>
            <w:tcW w:w="2551" w:type="dxa"/>
            <w:vAlign w:val="center"/>
          </w:tcPr>
          <w:p w14:paraId="38FEBBC0">
            <w:pPr>
              <w:pStyle w:val="16"/>
            </w:pPr>
            <w:r>
              <w:t>862.16</w:t>
            </w:r>
          </w:p>
        </w:tc>
      </w:tr>
      <w:tr w14:paraId="1DD7D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3762E">
            <w:pPr>
              <w:pStyle w:val="12"/>
            </w:pPr>
            <w:r>
              <w:t>2</w:t>
            </w:r>
          </w:p>
        </w:tc>
        <w:tc>
          <w:tcPr>
            <w:tcW w:w="1191" w:type="dxa"/>
            <w:vAlign w:val="center"/>
          </w:tcPr>
          <w:p w14:paraId="7485D1D1">
            <w:pPr>
              <w:pStyle w:val="13"/>
            </w:pPr>
            <w:r>
              <w:t>205</w:t>
            </w:r>
          </w:p>
        </w:tc>
        <w:tc>
          <w:tcPr>
            <w:tcW w:w="4535" w:type="dxa"/>
            <w:vAlign w:val="center"/>
          </w:tcPr>
          <w:p w14:paraId="1ECEB647">
            <w:pPr>
              <w:pStyle w:val="13"/>
            </w:pPr>
            <w:r>
              <w:t>教育支出</w:t>
            </w:r>
          </w:p>
        </w:tc>
        <w:tc>
          <w:tcPr>
            <w:tcW w:w="2551" w:type="dxa"/>
            <w:vAlign w:val="center"/>
          </w:tcPr>
          <w:p w14:paraId="02D307D0">
            <w:pPr>
              <w:pStyle w:val="14"/>
            </w:pPr>
            <w:r>
              <w:t>3227.04</w:t>
            </w:r>
          </w:p>
        </w:tc>
        <w:tc>
          <w:tcPr>
            <w:tcW w:w="2551" w:type="dxa"/>
            <w:vAlign w:val="center"/>
          </w:tcPr>
          <w:p w14:paraId="4EAF4715">
            <w:pPr>
              <w:pStyle w:val="14"/>
            </w:pPr>
            <w:r>
              <w:t>2364.88</w:t>
            </w:r>
          </w:p>
        </w:tc>
        <w:tc>
          <w:tcPr>
            <w:tcW w:w="2551" w:type="dxa"/>
            <w:vAlign w:val="center"/>
          </w:tcPr>
          <w:p w14:paraId="5D203917">
            <w:pPr>
              <w:pStyle w:val="14"/>
            </w:pPr>
            <w:r>
              <w:t>862.16</w:t>
            </w:r>
          </w:p>
        </w:tc>
      </w:tr>
      <w:tr w14:paraId="68D33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C1B01">
            <w:pPr>
              <w:pStyle w:val="12"/>
            </w:pPr>
            <w:r>
              <w:t>3</w:t>
            </w:r>
          </w:p>
        </w:tc>
        <w:tc>
          <w:tcPr>
            <w:tcW w:w="1191" w:type="dxa"/>
            <w:vAlign w:val="center"/>
          </w:tcPr>
          <w:p w14:paraId="7C9A2B09">
            <w:pPr>
              <w:pStyle w:val="13"/>
            </w:pPr>
            <w:r>
              <w:t>20502</w:t>
            </w:r>
          </w:p>
        </w:tc>
        <w:tc>
          <w:tcPr>
            <w:tcW w:w="4535" w:type="dxa"/>
            <w:vAlign w:val="center"/>
          </w:tcPr>
          <w:p w14:paraId="4F2957B1">
            <w:pPr>
              <w:pStyle w:val="13"/>
            </w:pPr>
            <w:r>
              <w:t>普通教育</w:t>
            </w:r>
          </w:p>
        </w:tc>
        <w:tc>
          <w:tcPr>
            <w:tcW w:w="2551" w:type="dxa"/>
            <w:vAlign w:val="center"/>
          </w:tcPr>
          <w:p w14:paraId="35B8A19E">
            <w:pPr>
              <w:pStyle w:val="14"/>
            </w:pPr>
            <w:r>
              <w:t>3227.04</w:t>
            </w:r>
          </w:p>
        </w:tc>
        <w:tc>
          <w:tcPr>
            <w:tcW w:w="2551" w:type="dxa"/>
            <w:vAlign w:val="center"/>
          </w:tcPr>
          <w:p w14:paraId="7718F261">
            <w:pPr>
              <w:pStyle w:val="14"/>
            </w:pPr>
            <w:r>
              <w:t>2364.88</w:t>
            </w:r>
          </w:p>
        </w:tc>
        <w:tc>
          <w:tcPr>
            <w:tcW w:w="2551" w:type="dxa"/>
            <w:vAlign w:val="center"/>
          </w:tcPr>
          <w:p w14:paraId="5A37138B">
            <w:pPr>
              <w:pStyle w:val="14"/>
            </w:pPr>
            <w:r>
              <w:t>862.16</w:t>
            </w:r>
          </w:p>
        </w:tc>
      </w:tr>
      <w:tr w14:paraId="2CF97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4F128">
            <w:pPr>
              <w:pStyle w:val="12"/>
            </w:pPr>
            <w:r>
              <w:t>4</w:t>
            </w:r>
          </w:p>
        </w:tc>
        <w:tc>
          <w:tcPr>
            <w:tcW w:w="1191" w:type="dxa"/>
            <w:vAlign w:val="center"/>
          </w:tcPr>
          <w:p w14:paraId="0D229F37">
            <w:pPr>
              <w:pStyle w:val="13"/>
            </w:pPr>
            <w:r>
              <w:t>2050201</w:t>
            </w:r>
          </w:p>
        </w:tc>
        <w:tc>
          <w:tcPr>
            <w:tcW w:w="4535" w:type="dxa"/>
            <w:vAlign w:val="center"/>
          </w:tcPr>
          <w:p w14:paraId="2C4E442A">
            <w:pPr>
              <w:pStyle w:val="13"/>
            </w:pPr>
            <w:r>
              <w:t>学前教育</w:t>
            </w:r>
          </w:p>
        </w:tc>
        <w:tc>
          <w:tcPr>
            <w:tcW w:w="2551" w:type="dxa"/>
            <w:vAlign w:val="center"/>
          </w:tcPr>
          <w:p w14:paraId="4D0C5296">
            <w:pPr>
              <w:pStyle w:val="14"/>
            </w:pPr>
            <w:r>
              <w:t>260.40</w:t>
            </w:r>
          </w:p>
        </w:tc>
        <w:tc>
          <w:tcPr>
            <w:tcW w:w="2551" w:type="dxa"/>
            <w:vAlign w:val="center"/>
          </w:tcPr>
          <w:p w14:paraId="741C7F4A">
            <w:pPr>
              <w:pStyle w:val="14"/>
            </w:pPr>
          </w:p>
        </w:tc>
        <w:tc>
          <w:tcPr>
            <w:tcW w:w="2551" w:type="dxa"/>
            <w:vAlign w:val="center"/>
          </w:tcPr>
          <w:p w14:paraId="05186925">
            <w:pPr>
              <w:pStyle w:val="14"/>
            </w:pPr>
            <w:r>
              <w:t>260.40</w:t>
            </w:r>
          </w:p>
        </w:tc>
      </w:tr>
      <w:tr w14:paraId="5A101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F3BB2">
            <w:pPr>
              <w:pStyle w:val="12"/>
            </w:pPr>
            <w:r>
              <w:t>5</w:t>
            </w:r>
          </w:p>
        </w:tc>
        <w:tc>
          <w:tcPr>
            <w:tcW w:w="1191" w:type="dxa"/>
            <w:vAlign w:val="center"/>
          </w:tcPr>
          <w:p w14:paraId="3306896E">
            <w:pPr>
              <w:pStyle w:val="13"/>
            </w:pPr>
            <w:r>
              <w:t>2050202</w:t>
            </w:r>
          </w:p>
        </w:tc>
        <w:tc>
          <w:tcPr>
            <w:tcW w:w="4535" w:type="dxa"/>
            <w:vAlign w:val="center"/>
          </w:tcPr>
          <w:p w14:paraId="426CD47E">
            <w:pPr>
              <w:pStyle w:val="13"/>
            </w:pPr>
            <w:r>
              <w:t>小学教育</w:t>
            </w:r>
          </w:p>
        </w:tc>
        <w:tc>
          <w:tcPr>
            <w:tcW w:w="2551" w:type="dxa"/>
            <w:vAlign w:val="center"/>
          </w:tcPr>
          <w:p w14:paraId="3624F95D">
            <w:pPr>
              <w:pStyle w:val="14"/>
            </w:pPr>
            <w:r>
              <w:t>2966.65</w:t>
            </w:r>
          </w:p>
        </w:tc>
        <w:tc>
          <w:tcPr>
            <w:tcW w:w="2551" w:type="dxa"/>
            <w:vAlign w:val="center"/>
          </w:tcPr>
          <w:p w14:paraId="721D7DAE">
            <w:pPr>
              <w:pStyle w:val="14"/>
            </w:pPr>
            <w:r>
              <w:t>2364.88</w:t>
            </w:r>
          </w:p>
        </w:tc>
        <w:tc>
          <w:tcPr>
            <w:tcW w:w="2551" w:type="dxa"/>
            <w:vAlign w:val="center"/>
          </w:tcPr>
          <w:p w14:paraId="2F95566B">
            <w:pPr>
              <w:pStyle w:val="14"/>
            </w:pPr>
            <w:r>
              <w:t>601.76</w:t>
            </w:r>
          </w:p>
        </w:tc>
      </w:tr>
      <w:tr w14:paraId="4D7E5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5D0DC">
            <w:pPr>
              <w:pStyle w:val="12"/>
            </w:pPr>
            <w:r>
              <w:t>6</w:t>
            </w:r>
          </w:p>
        </w:tc>
        <w:tc>
          <w:tcPr>
            <w:tcW w:w="1191" w:type="dxa"/>
            <w:vAlign w:val="center"/>
          </w:tcPr>
          <w:p w14:paraId="1E414984">
            <w:pPr>
              <w:pStyle w:val="13"/>
            </w:pPr>
            <w:r>
              <w:t>208</w:t>
            </w:r>
          </w:p>
        </w:tc>
        <w:tc>
          <w:tcPr>
            <w:tcW w:w="4535" w:type="dxa"/>
            <w:vAlign w:val="center"/>
          </w:tcPr>
          <w:p w14:paraId="4C6B0390">
            <w:pPr>
              <w:pStyle w:val="13"/>
            </w:pPr>
            <w:r>
              <w:t>社会保障和就业支出</w:t>
            </w:r>
          </w:p>
        </w:tc>
        <w:tc>
          <w:tcPr>
            <w:tcW w:w="2551" w:type="dxa"/>
            <w:vAlign w:val="center"/>
          </w:tcPr>
          <w:p w14:paraId="31BB1636">
            <w:pPr>
              <w:pStyle w:val="14"/>
            </w:pPr>
            <w:r>
              <w:t>24.43</w:t>
            </w:r>
          </w:p>
        </w:tc>
        <w:tc>
          <w:tcPr>
            <w:tcW w:w="2551" w:type="dxa"/>
            <w:vAlign w:val="center"/>
          </w:tcPr>
          <w:p w14:paraId="0757CB17">
            <w:pPr>
              <w:pStyle w:val="14"/>
            </w:pPr>
            <w:r>
              <w:t>24.43</w:t>
            </w:r>
          </w:p>
        </w:tc>
        <w:tc>
          <w:tcPr>
            <w:tcW w:w="2551" w:type="dxa"/>
            <w:vAlign w:val="center"/>
          </w:tcPr>
          <w:p w14:paraId="448C7CBC">
            <w:pPr>
              <w:pStyle w:val="14"/>
            </w:pPr>
          </w:p>
        </w:tc>
      </w:tr>
      <w:tr w14:paraId="42383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89F36">
            <w:pPr>
              <w:pStyle w:val="12"/>
            </w:pPr>
            <w:r>
              <w:t>7</w:t>
            </w:r>
          </w:p>
        </w:tc>
        <w:tc>
          <w:tcPr>
            <w:tcW w:w="1191" w:type="dxa"/>
            <w:vAlign w:val="center"/>
          </w:tcPr>
          <w:p w14:paraId="1C709C2C">
            <w:pPr>
              <w:pStyle w:val="13"/>
            </w:pPr>
            <w:r>
              <w:t>20805</w:t>
            </w:r>
          </w:p>
        </w:tc>
        <w:tc>
          <w:tcPr>
            <w:tcW w:w="4535" w:type="dxa"/>
            <w:vAlign w:val="center"/>
          </w:tcPr>
          <w:p w14:paraId="0A0BFE2C">
            <w:pPr>
              <w:pStyle w:val="13"/>
            </w:pPr>
            <w:r>
              <w:t>行政事业单位养老支出</w:t>
            </w:r>
          </w:p>
        </w:tc>
        <w:tc>
          <w:tcPr>
            <w:tcW w:w="2551" w:type="dxa"/>
            <w:vAlign w:val="center"/>
          </w:tcPr>
          <w:p w14:paraId="5E9A7AAA">
            <w:pPr>
              <w:pStyle w:val="14"/>
            </w:pPr>
            <w:r>
              <w:t>24.43</w:t>
            </w:r>
          </w:p>
        </w:tc>
        <w:tc>
          <w:tcPr>
            <w:tcW w:w="2551" w:type="dxa"/>
            <w:vAlign w:val="center"/>
          </w:tcPr>
          <w:p w14:paraId="400D9EDC">
            <w:pPr>
              <w:pStyle w:val="14"/>
            </w:pPr>
            <w:r>
              <w:t>24.43</w:t>
            </w:r>
          </w:p>
        </w:tc>
        <w:tc>
          <w:tcPr>
            <w:tcW w:w="2551" w:type="dxa"/>
            <w:vAlign w:val="center"/>
          </w:tcPr>
          <w:p w14:paraId="4D90DC3D">
            <w:pPr>
              <w:pStyle w:val="14"/>
            </w:pPr>
          </w:p>
        </w:tc>
      </w:tr>
      <w:tr w14:paraId="055E4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77FE5">
            <w:pPr>
              <w:pStyle w:val="12"/>
            </w:pPr>
            <w:r>
              <w:t>8</w:t>
            </w:r>
          </w:p>
        </w:tc>
        <w:tc>
          <w:tcPr>
            <w:tcW w:w="1191" w:type="dxa"/>
            <w:vAlign w:val="center"/>
          </w:tcPr>
          <w:p w14:paraId="48C2A8EB">
            <w:pPr>
              <w:pStyle w:val="13"/>
            </w:pPr>
            <w:r>
              <w:t>2080502</w:t>
            </w:r>
          </w:p>
        </w:tc>
        <w:tc>
          <w:tcPr>
            <w:tcW w:w="4535" w:type="dxa"/>
            <w:vAlign w:val="center"/>
          </w:tcPr>
          <w:p w14:paraId="4D7F8CA2">
            <w:pPr>
              <w:pStyle w:val="13"/>
            </w:pPr>
            <w:r>
              <w:t>事业单位离退休</w:t>
            </w:r>
          </w:p>
        </w:tc>
        <w:tc>
          <w:tcPr>
            <w:tcW w:w="2551" w:type="dxa"/>
            <w:vAlign w:val="center"/>
          </w:tcPr>
          <w:p w14:paraId="770FEED6">
            <w:pPr>
              <w:pStyle w:val="14"/>
            </w:pPr>
            <w:r>
              <w:t>24.43</w:t>
            </w:r>
          </w:p>
        </w:tc>
        <w:tc>
          <w:tcPr>
            <w:tcW w:w="2551" w:type="dxa"/>
            <w:vAlign w:val="center"/>
          </w:tcPr>
          <w:p w14:paraId="7B832E18">
            <w:pPr>
              <w:pStyle w:val="14"/>
            </w:pPr>
            <w:r>
              <w:t>24.43</w:t>
            </w:r>
          </w:p>
        </w:tc>
        <w:tc>
          <w:tcPr>
            <w:tcW w:w="2551" w:type="dxa"/>
            <w:vAlign w:val="center"/>
          </w:tcPr>
          <w:p w14:paraId="4459995A">
            <w:pPr>
              <w:pStyle w:val="14"/>
            </w:pPr>
          </w:p>
        </w:tc>
      </w:tr>
    </w:tbl>
    <w:p w14:paraId="79F8C44C">
      <w:pPr>
        <w:sectPr>
          <w:pgSz w:w="16840" w:h="11900" w:orient="landscape"/>
          <w:pgMar w:top="1361" w:right="1020" w:bottom="1134" w:left="1020" w:header="720" w:footer="720" w:gutter="0"/>
          <w:cols w:space="720" w:num="1"/>
        </w:sectPr>
      </w:pPr>
    </w:p>
    <w:p w14:paraId="3240C1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394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02F8D4">
            <w:pPr>
              <w:pStyle w:val="8"/>
            </w:pPr>
            <w:r>
              <w:t>360019隆尧县东良校区</w:t>
            </w:r>
          </w:p>
        </w:tc>
        <w:tc>
          <w:tcPr>
            <w:tcW w:w="2551" w:type="dxa"/>
            <w:tcBorders>
              <w:top w:val="single" w:color="FFFFFF" w:sz="6" w:space="0"/>
              <w:left w:val="single" w:color="FFFFFF" w:sz="6" w:space="0"/>
              <w:right w:val="single" w:color="FFFFFF" w:sz="6" w:space="0"/>
            </w:tcBorders>
            <w:vAlign w:val="center"/>
          </w:tcPr>
          <w:p w14:paraId="1CF3451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E01D59D">
            <w:pPr>
              <w:pStyle w:val="10"/>
            </w:pPr>
            <w:r>
              <w:t>单位：万元</w:t>
            </w:r>
          </w:p>
        </w:tc>
      </w:tr>
      <w:tr w14:paraId="5ACD5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2CFF8">
            <w:pPr>
              <w:pStyle w:val="11"/>
            </w:pPr>
            <w:r>
              <w:t>序号</w:t>
            </w:r>
          </w:p>
        </w:tc>
        <w:tc>
          <w:tcPr>
            <w:tcW w:w="5726" w:type="dxa"/>
            <w:gridSpan w:val="2"/>
            <w:vAlign w:val="center"/>
          </w:tcPr>
          <w:p w14:paraId="732261CB">
            <w:pPr>
              <w:pStyle w:val="11"/>
            </w:pPr>
            <w:r>
              <w:t>支出部门经济分类科目</w:t>
            </w:r>
          </w:p>
        </w:tc>
        <w:tc>
          <w:tcPr>
            <w:tcW w:w="7653" w:type="dxa"/>
            <w:gridSpan w:val="3"/>
            <w:vAlign w:val="center"/>
          </w:tcPr>
          <w:p w14:paraId="4225C52F">
            <w:pPr>
              <w:pStyle w:val="11"/>
            </w:pPr>
            <w:r>
              <w:t>一般公共预算基本支出</w:t>
            </w:r>
          </w:p>
        </w:tc>
      </w:tr>
      <w:tr w14:paraId="470BA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E23AB7"/>
        </w:tc>
        <w:tc>
          <w:tcPr>
            <w:tcW w:w="1191" w:type="dxa"/>
            <w:vAlign w:val="center"/>
          </w:tcPr>
          <w:p w14:paraId="02DD1439">
            <w:pPr>
              <w:pStyle w:val="11"/>
            </w:pPr>
            <w:r>
              <w:t>科目编码</w:t>
            </w:r>
          </w:p>
        </w:tc>
        <w:tc>
          <w:tcPr>
            <w:tcW w:w="4535" w:type="dxa"/>
            <w:vAlign w:val="center"/>
          </w:tcPr>
          <w:p w14:paraId="65954570">
            <w:pPr>
              <w:pStyle w:val="11"/>
            </w:pPr>
            <w:r>
              <w:t>科目名称</w:t>
            </w:r>
          </w:p>
        </w:tc>
        <w:tc>
          <w:tcPr>
            <w:tcW w:w="2551" w:type="dxa"/>
            <w:vAlign w:val="center"/>
          </w:tcPr>
          <w:p w14:paraId="4E5BD550">
            <w:pPr>
              <w:pStyle w:val="11"/>
            </w:pPr>
            <w:r>
              <w:t>合计</w:t>
            </w:r>
          </w:p>
        </w:tc>
        <w:tc>
          <w:tcPr>
            <w:tcW w:w="2551" w:type="dxa"/>
            <w:vAlign w:val="center"/>
          </w:tcPr>
          <w:p w14:paraId="0CB4FD45">
            <w:pPr>
              <w:pStyle w:val="11"/>
            </w:pPr>
            <w:r>
              <w:t>人员经费</w:t>
            </w:r>
          </w:p>
        </w:tc>
        <w:tc>
          <w:tcPr>
            <w:tcW w:w="2551" w:type="dxa"/>
            <w:vAlign w:val="center"/>
          </w:tcPr>
          <w:p w14:paraId="4DC305D9">
            <w:pPr>
              <w:pStyle w:val="11"/>
            </w:pPr>
            <w:r>
              <w:t>公用经费</w:t>
            </w:r>
          </w:p>
        </w:tc>
      </w:tr>
      <w:tr w14:paraId="0A43F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CA9D55">
            <w:pPr>
              <w:pStyle w:val="11"/>
            </w:pPr>
            <w:r>
              <w:t>栏次</w:t>
            </w:r>
          </w:p>
        </w:tc>
        <w:tc>
          <w:tcPr>
            <w:tcW w:w="1191" w:type="dxa"/>
            <w:vAlign w:val="center"/>
          </w:tcPr>
          <w:p w14:paraId="4760507A">
            <w:pPr>
              <w:pStyle w:val="11"/>
            </w:pPr>
            <w:r>
              <w:t>1</w:t>
            </w:r>
          </w:p>
        </w:tc>
        <w:tc>
          <w:tcPr>
            <w:tcW w:w="4535" w:type="dxa"/>
            <w:vAlign w:val="center"/>
          </w:tcPr>
          <w:p w14:paraId="55C42C23">
            <w:pPr>
              <w:pStyle w:val="11"/>
            </w:pPr>
            <w:r>
              <w:t>2</w:t>
            </w:r>
          </w:p>
        </w:tc>
        <w:tc>
          <w:tcPr>
            <w:tcW w:w="2551" w:type="dxa"/>
            <w:vAlign w:val="center"/>
          </w:tcPr>
          <w:p w14:paraId="1E7CF3A2">
            <w:pPr>
              <w:pStyle w:val="11"/>
            </w:pPr>
            <w:r>
              <w:t>3</w:t>
            </w:r>
          </w:p>
        </w:tc>
        <w:tc>
          <w:tcPr>
            <w:tcW w:w="2551" w:type="dxa"/>
            <w:vAlign w:val="center"/>
          </w:tcPr>
          <w:p w14:paraId="2678F625">
            <w:pPr>
              <w:pStyle w:val="11"/>
            </w:pPr>
            <w:r>
              <w:t>4</w:t>
            </w:r>
          </w:p>
        </w:tc>
        <w:tc>
          <w:tcPr>
            <w:tcW w:w="2551" w:type="dxa"/>
            <w:vAlign w:val="center"/>
          </w:tcPr>
          <w:p w14:paraId="36A977B7">
            <w:pPr>
              <w:pStyle w:val="11"/>
            </w:pPr>
            <w:r>
              <w:t>5</w:t>
            </w:r>
          </w:p>
        </w:tc>
      </w:tr>
      <w:tr w14:paraId="505C8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16649">
            <w:pPr>
              <w:pStyle w:val="12"/>
            </w:pPr>
            <w:r>
              <w:t>1</w:t>
            </w:r>
          </w:p>
        </w:tc>
        <w:tc>
          <w:tcPr>
            <w:tcW w:w="1191" w:type="dxa"/>
            <w:vAlign w:val="center"/>
          </w:tcPr>
          <w:p w14:paraId="2F9D447F">
            <w:pPr>
              <w:pStyle w:val="17"/>
            </w:pPr>
          </w:p>
        </w:tc>
        <w:tc>
          <w:tcPr>
            <w:tcW w:w="4535" w:type="dxa"/>
            <w:vAlign w:val="center"/>
          </w:tcPr>
          <w:p w14:paraId="43654A4A">
            <w:pPr>
              <w:pStyle w:val="15"/>
            </w:pPr>
            <w:r>
              <w:t>合计</w:t>
            </w:r>
          </w:p>
        </w:tc>
        <w:tc>
          <w:tcPr>
            <w:tcW w:w="2551" w:type="dxa"/>
            <w:vAlign w:val="center"/>
          </w:tcPr>
          <w:p w14:paraId="33CB6834">
            <w:pPr>
              <w:pStyle w:val="16"/>
            </w:pPr>
            <w:r>
              <w:t>2389.31</w:t>
            </w:r>
          </w:p>
        </w:tc>
        <w:tc>
          <w:tcPr>
            <w:tcW w:w="2551" w:type="dxa"/>
            <w:vAlign w:val="center"/>
          </w:tcPr>
          <w:p w14:paraId="004BEFA8">
            <w:pPr>
              <w:pStyle w:val="16"/>
            </w:pPr>
            <w:r>
              <w:t>2389.31</w:t>
            </w:r>
          </w:p>
        </w:tc>
        <w:tc>
          <w:tcPr>
            <w:tcW w:w="2551" w:type="dxa"/>
            <w:vAlign w:val="center"/>
          </w:tcPr>
          <w:p w14:paraId="1A0BC3C6">
            <w:pPr>
              <w:pStyle w:val="16"/>
            </w:pPr>
          </w:p>
        </w:tc>
      </w:tr>
      <w:tr w14:paraId="1FA73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CF0F0">
            <w:pPr>
              <w:pStyle w:val="12"/>
            </w:pPr>
            <w:r>
              <w:t>2</w:t>
            </w:r>
          </w:p>
        </w:tc>
        <w:tc>
          <w:tcPr>
            <w:tcW w:w="1191" w:type="dxa"/>
            <w:vAlign w:val="center"/>
          </w:tcPr>
          <w:p w14:paraId="7CED4E07">
            <w:pPr>
              <w:pStyle w:val="13"/>
            </w:pPr>
            <w:r>
              <w:t>301</w:t>
            </w:r>
          </w:p>
        </w:tc>
        <w:tc>
          <w:tcPr>
            <w:tcW w:w="4535" w:type="dxa"/>
            <w:vAlign w:val="center"/>
          </w:tcPr>
          <w:p w14:paraId="68A24808">
            <w:pPr>
              <w:pStyle w:val="13"/>
            </w:pPr>
            <w:r>
              <w:t>工资福利支出</w:t>
            </w:r>
          </w:p>
        </w:tc>
        <w:tc>
          <w:tcPr>
            <w:tcW w:w="2551" w:type="dxa"/>
            <w:vAlign w:val="center"/>
          </w:tcPr>
          <w:p w14:paraId="6AB7DB42">
            <w:pPr>
              <w:pStyle w:val="14"/>
            </w:pPr>
            <w:r>
              <w:t>2204.88</w:t>
            </w:r>
          </w:p>
        </w:tc>
        <w:tc>
          <w:tcPr>
            <w:tcW w:w="2551" w:type="dxa"/>
            <w:vAlign w:val="center"/>
          </w:tcPr>
          <w:p w14:paraId="02DECEF8">
            <w:pPr>
              <w:pStyle w:val="14"/>
            </w:pPr>
            <w:r>
              <w:t>2204.88</w:t>
            </w:r>
          </w:p>
        </w:tc>
        <w:tc>
          <w:tcPr>
            <w:tcW w:w="2551" w:type="dxa"/>
            <w:vAlign w:val="center"/>
          </w:tcPr>
          <w:p w14:paraId="6732ADAE">
            <w:pPr>
              <w:pStyle w:val="14"/>
            </w:pPr>
          </w:p>
        </w:tc>
      </w:tr>
      <w:tr w14:paraId="2A23F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0FF6D">
            <w:pPr>
              <w:pStyle w:val="12"/>
            </w:pPr>
            <w:r>
              <w:t>3</w:t>
            </w:r>
          </w:p>
        </w:tc>
        <w:tc>
          <w:tcPr>
            <w:tcW w:w="1191" w:type="dxa"/>
            <w:vAlign w:val="center"/>
          </w:tcPr>
          <w:p w14:paraId="0B9671BD">
            <w:pPr>
              <w:pStyle w:val="13"/>
            </w:pPr>
            <w:r>
              <w:t>30101</w:t>
            </w:r>
          </w:p>
        </w:tc>
        <w:tc>
          <w:tcPr>
            <w:tcW w:w="4535" w:type="dxa"/>
            <w:vAlign w:val="center"/>
          </w:tcPr>
          <w:p w14:paraId="7F188DE9">
            <w:pPr>
              <w:pStyle w:val="13"/>
            </w:pPr>
            <w:r>
              <w:t>基本工资</w:t>
            </w:r>
          </w:p>
        </w:tc>
        <w:tc>
          <w:tcPr>
            <w:tcW w:w="2551" w:type="dxa"/>
            <w:vAlign w:val="center"/>
          </w:tcPr>
          <w:p w14:paraId="330DC9D0">
            <w:pPr>
              <w:pStyle w:val="14"/>
            </w:pPr>
            <w:r>
              <w:t>1039.17</w:t>
            </w:r>
          </w:p>
        </w:tc>
        <w:tc>
          <w:tcPr>
            <w:tcW w:w="2551" w:type="dxa"/>
            <w:vAlign w:val="center"/>
          </w:tcPr>
          <w:p w14:paraId="6B2E1B9F">
            <w:pPr>
              <w:pStyle w:val="14"/>
            </w:pPr>
            <w:r>
              <w:t>1039.17</w:t>
            </w:r>
          </w:p>
        </w:tc>
        <w:tc>
          <w:tcPr>
            <w:tcW w:w="2551" w:type="dxa"/>
            <w:vAlign w:val="center"/>
          </w:tcPr>
          <w:p w14:paraId="609B538D">
            <w:pPr>
              <w:pStyle w:val="14"/>
            </w:pPr>
          </w:p>
        </w:tc>
      </w:tr>
      <w:tr w14:paraId="2A538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4944E">
            <w:pPr>
              <w:pStyle w:val="12"/>
            </w:pPr>
            <w:r>
              <w:t>4</w:t>
            </w:r>
          </w:p>
        </w:tc>
        <w:tc>
          <w:tcPr>
            <w:tcW w:w="1191" w:type="dxa"/>
            <w:vAlign w:val="center"/>
          </w:tcPr>
          <w:p w14:paraId="06394BD7">
            <w:pPr>
              <w:pStyle w:val="13"/>
            </w:pPr>
            <w:r>
              <w:t>30102</w:t>
            </w:r>
          </w:p>
        </w:tc>
        <w:tc>
          <w:tcPr>
            <w:tcW w:w="4535" w:type="dxa"/>
            <w:vAlign w:val="center"/>
          </w:tcPr>
          <w:p w14:paraId="7DD1B0CA">
            <w:pPr>
              <w:pStyle w:val="13"/>
            </w:pPr>
            <w:r>
              <w:t>津贴补贴</w:t>
            </w:r>
          </w:p>
        </w:tc>
        <w:tc>
          <w:tcPr>
            <w:tcW w:w="2551" w:type="dxa"/>
            <w:vAlign w:val="center"/>
          </w:tcPr>
          <w:p w14:paraId="7A867D0A">
            <w:pPr>
              <w:pStyle w:val="14"/>
            </w:pPr>
            <w:r>
              <w:t>100.94</w:t>
            </w:r>
          </w:p>
        </w:tc>
        <w:tc>
          <w:tcPr>
            <w:tcW w:w="2551" w:type="dxa"/>
            <w:vAlign w:val="center"/>
          </w:tcPr>
          <w:p w14:paraId="6EAE72B7">
            <w:pPr>
              <w:pStyle w:val="14"/>
            </w:pPr>
            <w:r>
              <w:t>100.94</w:t>
            </w:r>
          </w:p>
        </w:tc>
        <w:tc>
          <w:tcPr>
            <w:tcW w:w="2551" w:type="dxa"/>
            <w:vAlign w:val="center"/>
          </w:tcPr>
          <w:p w14:paraId="2D57CE74">
            <w:pPr>
              <w:pStyle w:val="14"/>
            </w:pPr>
          </w:p>
        </w:tc>
      </w:tr>
      <w:tr w14:paraId="0EF74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CEA5C">
            <w:pPr>
              <w:pStyle w:val="12"/>
            </w:pPr>
            <w:r>
              <w:t>5</w:t>
            </w:r>
          </w:p>
        </w:tc>
        <w:tc>
          <w:tcPr>
            <w:tcW w:w="1191" w:type="dxa"/>
            <w:vAlign w:val="center"/>
          </w:tcPr>
          <w:p w14:paraId="2EDEFDE2">
            <w:pPr>
              <w:pStyle w:val="13"/>
            </w:pPr>
            <w:r>
              <w:t>30107</w:t>
            </w:r>
          </w:p>
        </w:tc>
        <w:tc>
          <w:tcPr>
            <w:tcW w:w="4535" w:type="dxa"/>
            <w:vAlign w:val="center"/>
          </w:tcPr>
          <w:p w14:paraId="51F3D69B">
            <w:pPr>
              <w:pStyle w:val="13"/>
            </w:pPr>
            <w:r>
              <w:t>绩效工资</w:t>
            </w:r>
          </w:p>
        </w:tc>
        <w:tc>
          <w:tcPr>
            <w:tcW w:w="2551" w:type="dxa"/>
            <w:vAlign w:val="center"/>
          </w:tcPr>
          <w:p w14:paraId="617AC14D">
            <w:pPr>
              <w:pStyle w:val="14"/>
            </w:pPr>
            <w:r>
              <w:t>592.55</w:t>
            </w:r>
          </w:p>
        </w:tc>
        <w:tc>
          <w:tcPr>
            <w:tcW w:w="2551" w:type="dxa"/>
            <w:vAlign w:val="center"/>
          </w:tcPr>
          <w:p w14:paraId="5F90CAF2">
            <w:pPr>
              <w:pStyle w:val="14"/>
            </w:pPr>
            <w:r>
              <w:t>592.55</w:t>
            </w:r>
          </w:p>
        </w:tc>
        <w:tc>
          <w:tcPr>
            <w:tcW w:w="2551" w:type="dxa"/>
            <w:vAlign w:val="center"/>
          </w:tcPr>
          <w:p w14:paraId="566E63D7">
            <w:pPr>
              <w:pStyle w:val="14"/>
            </w:pPr>
          </w:p>
        </w:tc>
      </w:tr>
      <w:tr w14:paraId="1ABC1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74393">
            <w:pPr>
              <w:pStyle w:val="12"/>
            </w:pPr>
            <w:r>
              <w:t>6</w:t>
            </w:r>
          </w:p>
        </w:tc>
        <w:tc>
          <w:tcPr>
            <w:tcW w:w="1191" w:type="dxa"/>
            <w:vAlign w:val="center"/>
          </w:tcPr>
          <w:p w14:paraId="10236EE4">
            <w:pPr>
              <w:pStyle w:val="13"/>
            </w:pPr>
            <w:r>
              <w:t>30108</w:t>
            </w:r>
          </w:p>
        </w:tc>
        <w:tc>
          <w:tcPr>
            <w:tcW w:w="4535" w:type="dxa"/>
            <w:vAlign w:val="center"/>
          </w:tcPr>
          <w:p w14:paraId="1465B541">
            <w:pPr>
              <w:pStyle w:val="13"/>
            </w:pPr>
            <w:r>
              <w:t>机关事业单位基本养老保险缴费</w:t>
            </w:r>
          </w:p>
        </w:tc>
        <w:tc>
          <w:tcPr>
            <w:tcW w:w="2551" w:type="dxa"/>
            <w:vAlign w:val="center"/>
          </w:tcPr>
          <w:p w14:paraId="7154030E">
            <w:pPr>
              <w:pStyle w:val="14"/>
            </w:pPr>
            <w:r>
              <w:t>207.63</w:t>
            </w:r>
          </w:p>
        </w:tc>
        <w:tc>
          <w:tcPr>
            <w:tcW w:w="2551" w:type="dxa"/>
            <w:vAlign w:val="center"/>
          </w:tcPr>
          <w:p w14:paraId="3CCCFAFA">
            <w:pPr>
              <w:pStyle w:val="14"/>
            </w:pPr>
            <w:r>
              <w:t>207.63</w:t>
            </w:r>
          </w:p>
        </w:tc>
        <w:tc>
          <w:tcPr>
            <w:tcW w:w="2551" w:type="dxa"/>
            <w:vAlign w:val="center"/>
          </w:tcPr>
          <w:p w14:paraId="401A9F10">
            <w:pPr>
              <w:pStyle w:val="14"/>
            </w:pPr>
          </w:p>
        </w:tc>
      </w:tr>
      <w:tr w14:paraId="13D2A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0A4DE">
            <w:pPr>
              <w:pStyle w:val="12"/>
            </w:pPr>
            <w:r>
              <w:t>7</w:t>
            </w:r>
          </w:p>
        </w:tc>
        <w:tc>
          <w:tcPr>
            <w:tcW w:w="1191" w:type="dxa"/>
            <w:vAlign w:val="center"/>
          </w:tcPr>
          <w:p w14:paraId="123E08DD">
            <w:pPr>
              <w:pStyle w:val="13"/>
            </w:pPr>
            <w:r>
              <w:t>30110</w:t>
            </w:r>
          </w:p>
        </w:tc>
        <w:tc>
          <w:tcPr>
            <w:tcW w:w="4535" w:type="dxa"/>
            <w:vAlign w:val="center"/>
          </w:tcPr>
          <w:p w14:paraId="18785463">
            <w:pPr>
              <w:pStyle w:val="13"/>
            </w:pPr>
            <w:r>
              <w:t>职工基本医疗保险缴费</w:t>
            </w:r>
          </w:p>
        </w:tc>
        <w:tc>
          <w:tcPr>
            <w:tcW w:w="2551" w:type="dxa"/>
            <w:vAlign w:val="center"/>
          </w:tcPr>
          <w:p w14:paraId="31C2EDB8">
            <w:pPr>
              <w:pStyle w:val="14"/>
            </w:pPr>
            <w:r>
              <w:t>98.50</w:t>
            </w:r>
          </w:p>
        </w:tc>
        <w:tc>
          <w:tcPr>
            <w:tcW w:w="2551" w:type="dxa"/>
            <w:vAlign w:val="center"/>
          </w:tcPr>
          <w:p w14:paraId="64D344C1">
            <w:pPr>
              <w:pStyle w:val="14"/>
            </w:pPr>
            <w:r>
              <w:t>98.50</w:t>
            </w:r>
          </w:p>
        </w:tc>
        <w:tc>
          <w:tcPr>
            <w:tcW w:w="2551" w:type="dxa"/>
            <w:vAlign w:val="center"/>
          </w:tcPr>
          <w:p w14:paraId="403B2908">
            <w:pPr>
              <w:pStyle w:val="14"/>
            </w:pPr>
          </w:p>
        </w:tc>
      </w:tr>
      <w:tr w14:paraId="3187A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1C998">
            <w:pPr>
              <w:pStyle w:val="12"/>
            </w:pPr>
            <w:r>
              <w:t>8</w:t>
            </w:r>
          </w:p>
        </w:tc>
        <w:tc>
          <w:tcPr>
            <w:tcW w:w="1191" w:type="dxa"/>
            <w:vAlign w:val="center"/>
          </w:tcPr>
          <w:p w14:paraId="4FEB8A65">
            <w:pPr>
              <w:pStyle w:val="13"/>
            </w:pPr>
            <w:r>
              <w:t>30112</w:t>
            </w:r>
          </w:p>
        </w:tc>
        <w:tc>
          <w:tcPr>
            <w:tcW w:w="4535" w:type="dxa"/>
            <w:vAlign w:val="center"/>
          </w:tcPr>
          <w:p w14:paraId="4D91126F">
            <w:pPr>
              <w:pStyle w:val="13"/>
            </w:pPr>
            <w:r>
              <w:t>其他社会保障缴费</w:t>
            </w:r>
          </w:p>
        </w:tc>
        <w:tc>
          <w:tcPr>
            <w:tcW w:w="2551" w:type="dxa"/>
            <w:vAlign w:val="center"/>
          </w:tcPr>
          <w:p w14:paraId="13AAD810">
            <w:pPr>
              <w:pStyle w:val="14"/>
            </w:pPr>
            <w:r>
              <w:t>6.51</w:t>
            </w:r>
          </w:p>
        </w:tc>
        <w:tc>
          <w:tcPr>
            <w:tcW w:w="2551" w:type="dxa"/>
            <w:vAlign w:val="center"/>
          </w:tcPr>
          <w:p w14:paraId="4873418D">
            <w:pPr>
              <w:pStyle w:val="14"/>
            </w:pPr>
            <w:r>
              <w:t>6.51</w:t>
            </w:r>
          </w:p>
        </w:tc>
        <w:tc>
          <w:tcPr>
            <w:tcW w:w="2551" w:type="dxa"/>
            <w:vAlign w:val="center"/>
          </w:tcPr>
          <w:p w14:paraId="265435E7">
            <w:pPr>
              <w:pStyle w:val="14"/>
            </w:pPr>
          </w:p>
        </w:tc>
      </w:tr>
      <w:tr w14:paraId="32830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E1FA3">
            <w:pPr>
              <w:pStyle w:val="12"/>
            </w:pPr>
            <w:r>
              <w:t>9</w:t>
            </w:r>
          </w:p>
        </w:tc>
        <w:tc>
          <w:tcPr>
            <w:tcW w:w="1191" w:type="dxa"/>
            <w:vAlign w:val="center"/>
          </w:tcPr>
          <w:p w14:paraId="70488544">
            <w:pPr>
              <w:pStyle w:val="13"/>
            </w:pPr>
            <w:r>
              <w:t>30113</w:t>
            </w:r>
          </w:p>
        </w:tc>
        <w:tc>
          <w:tcPr>
            <w:tcW w:w="4535" w:type="dxa"/>
            <w:vAlign w:val="center"/>
          </w:tcPr>
          <w:p w14:paraId="2F000C45">
            <w:pPr>
              <w:pStyle w:val="13"/>
            </w:pPr>
            <w:r>
              <w:t>住房公积金</w:t>
            </w:r>
          </w:p>
        </w:tc>
        <w:tc>
          <w:tcPr>
            <w:tcW w:w="2551" w:type="dxa"/>
            <w:vAlign w:val="center"/>
          </w:tcPr>
          <w:p w14:paraId="7E412D41">
            <w:pPr>
              <w:pStyle w:val="14"/>
            </w:pPr>
            <w:r>
              <w:t>159.59</w:t>
            </w:r>
          </w:p>
        </w:tc>
        <w:tc>
          <w:tcPr>
            <w:tcW w:w="2551" w:type="dxa"/>
            <w:vAlign w:val="center"/>
          </w:tcPr>
          <w:p w14:paraId="75B4146A">
            <w:pPr>
              <w:pStyle w:val="14"/>
            </w:pPr>
            <w:r>
              <w:t>159.59</w:t>
            </w:r>
          </w:p>
        </w:tc>
        <w:tc>
          <w:tcPr>
            <w:tcW w:w="2551" w:type="dxa"/>
            <w:vAlign w:val="center"/>
          </w:tcPr>
          <w:p w14:paraId="035B6749">
            <w:pPr>
              <w:pStyle w:val="14"/>
            </w:pPr>
          </w:p>
        </w:tc>
      </w:tr>
      <w:tr w14:paraId="2A343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E96A6">
            <w:pPr>
              <w:pStyle w:val="12"/>
            </w:pPr>
            <w:r>
              <w:t>10</w:t>
            </w:r>
          </w:p>
        </w:tc>
        <w:tc>
          <w:tcPr>
            <w:tcW w:w="1191" w:type="dxa"/>
            <w:vAlign w:val="center"/>
          </w:tcPr>
          <w:p w14:paraId="2EB2ECDD">
            <w:pPr>
              <w:pStyle w:val="13"/>
            </w:pPr>
            <w:r>
              <w:t>303</w:t>
            </w:r>
          </w:p>
        </w:tc>
        <w:tc>
          <w:tcPr>
            <w:tcW w:w="4535" w:type="dxa"/>
            <w:vAlign w:val="center"/>
          </w:tcPr>
          <w:p w14:paraId="792FB957">
            <w:pPr>
              <w:pStyle w:val="13"/>
            </w:pPr>
            <w:r>
              <w:t>对个人和家庭的补助</w:t>
            </w:r>
          </w:p>
        </w:tc>
        <w:tc>
          <w:tcPr>
            <w:tcW w:w="2551" w:type="dxa"/>
            <w:vAlign w:val="center"/>
          </w:tcPr>
          <w:p w14:paraId="621CFC2D">
            <w:pPr>
              <w:pStyle w:val="14"/>
            </w:pPr>
            <w:r>
              <w:t>184.43</w:t>
            </w:r>
          </w:p>
        </w:tc>
        <w:tc>
          <w:tcPr>
            <w:tcW w:w="2551" w:type="dxa"/>
            <w:vAlign w:val="center"/>
          </w:tcPr>
          <w:p w14:paraId="182D089F">
            <w:pPr>
              <w:pStyle w:val="14"/>
            </w:pPr>
            <w:r>
              <w:t>184.43</w:t>
            </w:r>
          </w:p>
        </w:tc>
        <w:tc>
          <w:tcPr>
            <w:tcW w:w="2551" w:type="dxa"/>
            <w:vAlign w:val="center"/>
          </w:tcPr>
          <w:p w14:paraId="1560DB8F">
            <w:pPr>
              <w:pStyle w:val="14"/>
            </w:pPr>
          </w:p>
        </w:tc>
      </w:tr>
      <w:tr w14:paraId="672FC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A7C55">
            <w:pPr>
              <w:pStyle w:val="12"/>
            </w:pPr>
            <w:r>
              <w:t>11</w:t>
            </w:r>
          </w:p>
        </w:tc>
        <w:tc>
          <w:tcPr>
            <w:tcW w:w="1191" w:type="dxa"/>
            <w:vAlign w:val="center"/>
          </w:tcPr>
          <w:p w14:paraId="4E1FDDDC">
            <w:pPr>
              <w:pStyle w:val="13"/>
            </w:pPr>
            <w:r>
              <w:t>30301</w:t>
            </w:r>
          </w:p>
        </w:tc>
        <w:tc>
          <w:tcPr>
            <w:tcW w:w="4535" w:type="dxa"/>
            <w:vAlign w:val="center"/>
          </w:tcPr>
          <w:p w14:paraId="0BBA65C6">
            <w:pPr>
              <w:pStyle w:val="13"/>
            </w:pPr>
            <w:r>
              <w:t>离休费</w:t>
            </w:r>
          </w:p>
        </w:tc>
        <w:tc>
          <w:tcPr>
            <w:tcW w:w="2551" w:type="dxa"/>
            <w:vAlign w:val="center"/>
          </w:tcPr>
          <w:p w14:paraId="20560C38">
            <w:pPr>
              <w:pStyle w:val="14"/>
            </w:pPr>
            <w:r>
              <w:t>24.43</w:t>
            </w:r>
          </w:p>
        </w:tc>
        <w:tc>
          <w:tcPr>
            <w:tcW w:w="2551" w:type="dxa"/>
            <w:vAlign w:val="center"/>
          </w:tcPr>
          <w:p w14:paraId="34038A9F">
            <w:pPr>
              <w:pStyle w:val="14"/>
            </w:pPr>
            <w:r>
              <w:t>24.43</w:t>
            </w:r>
          </w:p>
        </w:tc>
        <w:tc>
          <w:tcPr>
            <w:tcW w:w="2551" w:type="dxa"/>
            <w:vAlign w:val="center"/>
          </w:tcPr>
          <w:p w14:paraId="36F590E3">
            <w:pPr>
              <w:pStyle w:val="14"/>
            </w:pPr>
          </w:p>
        </w:tc>
      </w:tr>
      <w:tr w14:paraId="56215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AFFB7">
            <w:pPr>
              <w:pStyle w:val="12"/>
            </w:pPr>
            <w:r>
              <w:t>12</w:t>
            </w:r>
          </w:p>
        </w:tc>
        <w:tc>
          <w:tcPr>
            <w:tcW w:w="1191" w:type="dxa"/>
            <w:vAlign w:val="center"/>
          </w:tcPr>
          <w:p w14:paraId="569B1EAB">
            <w:pPr>
              <w:pStyle w:val="13"/>
            </w:pPr>
            <w:r>
              <w:t>30302</w:t>
            </w:r>
          </w:p>
        </w:tc>
        <w:tc>
          <w:tcPr>
            <w:tcW w:w="4535" w:type="dxa"/>
            <w:vAlign w:val="center"/>
          </w:tcPr>
          <w:p w14:paraId="3B9633F0">
            <w:pPr>
              <w:pStyle w:val="13"/>
            </w:pPr>
            <w:r>
              <w:t>退休费</w:t>
            </w:r>
          </w:p>
        </w:tc>
        <w:tc>
          <w:tcPr>
            <w:tcW w:w="2551" w:type="dxa"/>
            <w:vAlign w:val="center"/>
          </w:tcPr>
          <w:p w14:paraId="5E2ED084">
            <w:pPr>
              <w:pStyle w:val="14"/>
            </w:pPr>
            <w:r>
              <w:t>147.69</w:t>
            </w:r>
          </w:p>
        </w:tc>
        <w:tc>
          <w:tcPr>
            <w:tcW w:w="2551" w:type="dxa"/>
            <w:vAlign w:val="center"/>
          </w:tcPr>
          <w:p w14:paraId="0DA7F785">
            <w:pPr>
              <w:pStyle w:val="14"/>
            </w:pPr>
            <w:r>
              <w:t>147.69</w:t>
            </w:r>
          </w:p>
        </w:tc>
        <w:tc>
          <w:tcPr>
            <w:tcW w:w="2551" w:type="dxa"/>
            <w:vAlign w:val="center"/>
          </w:tcPr>
          <w:p w14:paraId="25AB8F67">
            <w:pPr>
              <w:pStyle w:val="14"/>
            </w:pPr>
          </w:p>
        </w:tc>
      </w:tr>
      <w:tr w14:paraId="57383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E8D81">
            <w:pPr>
              <w:pStyle w:val="12"/>
            </w:pPr>
            <w:r>
              <w:t>13</w:t>
            </w:r>
          </w:p>
        </w:tc>
        <w:tc>
          <w:tcPr>
            <w:tcW w:w="1191" w:type="dxa"/>
            <w:vAlign w:val="center"/>
          </w:tcPr>
          <w:p w14:paraId="425DFB2F">
            <w:pPr>
              <w:pStyle w:val="13"/>
            </w:pPr>
            <w:r>
              <w:t>30305</w:t>
            </w:r>
          </w:p>
        </w:tc>
        <w:tc>
          <w:tcPr>
            <w:tcW w:w="4535" w:type="dxa"/>
            <w:vAlign w:val="center"/>
          </w:tcPr>
          <w:p w14:paraId="7FB3B93A">
            <w:pPr>
              <w:pStyle w:val="13"/>
            </w:pPr>
            <w:r>
              <w:t>生活补助</w:t>
            </w:r>
          </w:p>
        </w:tc>
        <w:tc>
          <w:tcPr>
            <w:tcW w:w="2551" w:type="dxa"/>
            <w:vAlign w:val="center"/>
          </w:tcPr>
          <w:p w14:paraId="64591A61">
            <w:pPr>
              <w:pStyle w:val="14"/>
            </w:pPr>
            <w:r>
              <w:t>12.31</w:t>
            </w:r>
          </w:p>
        </w:tc>
        <w:tc>
          <w:tcPr>
            <w:tcW w:w="2551" w:type="dxa"/>
            <w:vAlign w:val="center"/>
          </w:tcPr>
          <w:p w14:paraId="509EBB71">
            <w:pPr>
              <w:pStyle w:val="14"/>
            </w:pPr>
            <w:r>
              <w:t>12.31</w:t>
            </w:r>
          </w:p>
        </w:tc>
        <w:tc>
          <w:tcPr>
            <w:tcW w:w="2551" w:type="dxa"/>
            <w:vAlign w:val="center"/>
          </w:tcPr>
          <w:p w14:paraId="7B3150C5">
            <w:pPr>
              <w:pStyle w:val="14"/>
            </w:pPr>
          </w:p>
        </w:tc>
      </w:tr>
    </w:tbl>
    <w:p w14:paraId="11A8C6BE">
      <w:pPr>
        <w:sectPr>
          <w:pgSz w:w="16840" w:h="11900" w:orient="landscape"/>
          <w:pgMar w:top="1361" w:right="1020" w:bottom="1134" w:left="1020" w:header="720" w:footer="720" w:gutter="0"/>
          <w:cols w:space="720" w:num="1"/>
        </w:sectPr>
      </w:pPr>
    </w:p>
    <w:p w14:paraId="0CD54C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AE7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3D7EDA">
            <w:pPr>
              <w:pStyle w:val="8"/>
            </w:pPr>
            <w:r>
              <w:t>360019隆尧县东良校区</w:t>
            </w:r>
          </w:p>
        </w:tc>
        <w:tc>
          <w:tcPr>
            <w:tcW w:w="2551" w:type="dxa"/>
            <w:tcBorders>
              <w:top w:val="single" w:color="FFFFFF" w:sz="6" w:space="0"/>
              <w:left w:val="single" w:color="FFFFFF" w:sz="6" w:space="0"/>
              <w:right w:val="single" w:color="FFFFFF" w:sz="6" w:space="0"/>
            </w:tcBorders>
            <w:vAlign w:val="center"/>
          </w:tcPr>
          <w:p w14:paraId="279BE7C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7F174A8">
            <w:pPr>
              <w:pStyle w:val="10"/>
            </w:pPr>
            <w:r>
              <w:t>单位：万元</w:t>
            </w:r>
          </w:p>
        </w:tc>
      </w:tr>
      <w:tr w14:paraId="008E6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5F89A">
            <w:pPr>
              <w:pStyle w:val="11"/>
            </w:pPr>
            <w:r>
              <w:t>序号</w:t>
            </w:r>
          </w:p>
        </w:tc>
        <w:tc>
          <w:tcPr>
            <w:tcW w:w="5726" w:type="dxa"/>
            <w:gridSpan w:val="2"/>
            <w:vAlign w:val="center"/>
          </w:tcPr>
          <w:p w14:paraId="23AF2FBE">
            <w:pPr>
              <w:pStyle w:val="11"/>
            </w:pPr>
            <w:r>
              <w:t>功能分类科目</w:t>
            </w:r>
          </w:p>
        </w:tc>
        <w:tc>
          <w:tcPr>
            <w:tcW w:w="2551" w:type="dxa"/>
            <w:vMerge w:val="restart"/>
            <w:vAlign w:val="center"/>
          </w:tcPr>
          <w:p w14:paraId="08689EF3">
            <w:pPr>
              <w:pStyle w:val="11"/>
            </w:pPr>
            <w:r>
              <w:t>合计</w:t>
            </w:r>
          </w:p>
        </w:tc>
        <w:tc>
          <w:tcPr>
            <w:tcW w:w="2551" w:type="dxa"/>
            <w:vMerge w:val="restart"/>
            <w:vAlign w:val="center"/>
          </w:tcPr>
          <w:p w14:paraId="58473174">
            <w:pPr>
              <w:pStyle w:val="11"/>
            </w:pPr>
            <w:r>
              <w:t>基本支出</w:t>
            </w:r>
          </w:p>
        </w:tc>
        <w:tc>
          <w:tcPr>
            <w:tcW w:w="2551" w:type="dxa"/>
            <w:vMerge w:val="restart"/>
            <w:vAlign w:val="center"/>
          </w:tcPr>
          <w:p w14:paraId="132938DE">
            <w:pPr>
              <w:pStyle w:val="11"/>
            </w:pPr>
            <w:r>
              <w:t>项目支出</w:t>
            </w:r>
          </w:p>
        </w:tc>
      </w:tr>
      <w:tr w14:paraId="38FAA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30DCDB"/>
        </w:tc>
        <w:tc>
          <w:tcPr>
            <w:tcW w:w="1191" w:type="dxa"/>
            <w:vAlign w:val="center"/>
          </w:tcPr>
          <w:p w14:paraId="22F1C205">
            <w:pPr>
              <w:pStyle w:val="11"/>
            </w:pPr>
            <w:r>
              <w:t>科目编码</w:t>
            </w:r>
          </w:p>
        </w:tc>
        <w:tc>
          <w:tcPr>
            <w:tcW w:w="4535" w:type="dxa"/>
            <w:vAlign w:val="center"/>
          </w:tcPr>
          <w:p w14:paraId="30D897A1">
            <w:pPr>
              <w:pStyle w:val="11"/>
            </w:pPr>
            <w:r>
              <w:t>科目名称</w:t>
            </w:r>
          </w:p>
        </w:tc>
        <w:tc>
          <w:tcPr>
            <w:tcW w:w="2551" w:type="dxa"/>
            <w:vMerge w:val="continue"/>
          </w:tcPr>
          <w:p w14:paraId="66CDEA26"/>
        </w:tc>
        <w:tc>
          <w:tcPr>
            <w:tcW w:w="2551" w:type="dxa"/>
            <w:vMerge w:val="continue"/>
          </w:tcPr>
          <w:p w14:paraId="0E56E218"/>
        </w:tc>
        <w:tc>
          <w:tcPr>
            <w:tcW w:w="2551" w:type="dxa"/>
            <w:vMerge w:val="continue"/>
          </w:tcPr>
          <w:p w14:paraId="036972D5"/>
        </w:tc>
      </w:tr>
      <w:tr w14:paraId="599E5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F638B">
            <w:pPr>
              <w:pStyle w:val="11"/>
            </w:pPr>
            <w:r>
              <w:t>栏次</w:t>
            </w:r>
          </w:p>
        </w:tc>
        <w:tc>
          <w:tcPr>
            <w:tcW w:w="1191" w:type="dxa"/>
            <w:vAlign w:val="center"/>
          </w:tcPr>
          <w:p w14:paraId="4BBD6570">
            <w:pPr>
              <w:pStyle w:val="11"/>
            </w:pPr>
            <w:r>
              <w:t>1</w:t>
            </w:r>
          </w:p>
        </w:tc>
        <w:tc>
          <w:tcPr>
            <w:tcW w:w="4535" w:type="dxa"/>
            <w:vAlign w:val="center"/>
          </w:tcPr>
          <w:p w14:paraId="601E1597">
            <w:pPr>
              <w:pStyle w:val="11"/>
            </w:pPr>
            <w:r>
              <w:t>2</w:t>
            </w:r>
          </w:p>
        </w:tc>
        <w:tc>
          <w:tcPr>
            <w:tcW w:w="2551" w:type="dxa"/>
            <w:vAlign w:val="center"/>
          </w:tcPr>
          <w:p w14:paraId="6514AEB5">
            <w:pPr>
              <w:pStyle w:val="11"/>
            </w:pPr>
            <w:r>
              <w:t>3</w:t>
            </w:r>
          </w:p>
        </w:tc>
        <w:tc>
          <w:tcPr>
            <w:tcW w:w="2551" w:type="dxa"/>
            <w:vAlign w:val="center"/>
          </w:tcPr>
          <w:p w14:paraId="7A1A8F74">
            <w:pPr>
              <w:pStyle w:val="11"/>
            </w:pPr>
            <w:r>
              <w:t>4</w:t>
            </w:r>
          </w:p>
        </w:tc>
        <w:tc>
          <w:tcPr>
            <w:tcW w:w="2551" w:type="dxa"/>
            <w:vAlign w:val="center"/>
          </w:tcPr>
          <w:p w14:paraId="34FB5693">
            <w:pPr>
              <w:pStyle w:val="11"/>
            </w:pPr>
            <w:r>
              <w:t>5</w:t>
            </w:r>
          </w:p>
        </w:tc>
      </w:tr>
      <w:tr w14:paraId="5CEFD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A05A7">
            <w:pPr>
              <w:pStyle w:val="12"/>
            </w:pPr>
          </w:p>
        </w:tc>
        <w:tc>
          <w:tcPr>
            <w:tcW w:w="1191" w:type="dxa"/>
            <w:vAlign w:val="center"/>
          </w:tcPr>
          <w:p w14:paraId="4FC24D08">
            <w:pPr>
              <w:pStyle w:val="13"/>
            </w:pPr>
          </w:p>
        </w:tc>
        <w:tc>
          <w:tcPr>
            <w:tcW w:w="4535" w:type="dxa"/>
            <w:vAlign w:val="center"/>
          </w:tcPr>
          <w:p w14:paraId="16249199">
            <w:pPr>
              <w:pStyle w:val="13"/>
            </w:pPr>
          </w:p>
        </w:tc>
        <w:tc>
          <w:tcPr>
            <w:tcW w:w="2551" w:type="dxa"/>
            <w:vAlign w:val="center"/>
          </w:tcPr>
          <w:p w14:paraId="482EF402">
            <w:pPr>
              <w:pStyle w:val="14"/>
            </w:pPr>
          </w:p>
        </w:tc>
        <w:tc>
          <w:tcPr>
            <w:tcW w:w="2551" w:type="dxa"/>
            <w:vAlign w:val="center"/>
          </w:tcPr>
          <w:p w14:paraId="1C7327AE">
            <w:pPr>
              <w:pStyle w:val="14"/>
            </w:pPr>
          </w:p>
        </w:tc>
        <w:tc>
          <w:tcPr>
            <w:tcW w:w="2551" w:type="dxa"/>
            <w:vAlign w:val="center"/>
          </w:tcPr>
          <w:p w14:paraId="0B502508">
            <w:pPr>
              <w:pStyle w:val="14"/>
            </w:pPr>
          </w:p>
        </w:tc>
      </w:tr>
    </w:tbl>
    <w:p w14:paraId="5A0BD1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5F1A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65F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A9D1AF">
            <w:pPr>
              <w:pStyle w:val="8"/>
            </w:pPr>
            <w:r>
              <w:t>360019隆尧县东良校区</w:t>
            </w:r>
          </w:p>
        </w:tc>
        <w:tc>
          <w:tcPr>
            <w:tcW w:w="2551" w:type="dxa"/>
            <w:tcBorders>
              <w:top w:val="single" w:color="FFFFFF" w:sz="6" w:space="0"/>
              <w:left w:val="single" w:color="FFFFFF" w:sz="6" w:space="0"/>
              <w:right w:val="single" w:color="FFFFFF" w:sz="6" w:space="0"/>
            </w:tcBorders>
            <w:vAlign w:val="center"/>
          </w:tcPr>
          <w:p w14:paraId="0CC7B68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972C7C5">
            <w:pPr>
              <w:pStyle w:val="10"/>
            </w:pPr>
            <w:r>
              <w:t>单位：万元</w:t>
            </w:r>
          </w:p>
        </w:tc>
      </w:tr>
      <w:tr w14:paraId="161A6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1B6537">
            <w:pPr>
              <w:pStyle w:val="11"/>
            </w:pPr>
            <w:r>
              <w:t>序号</w:t>
            </w:r>
          </w:p>
        </w:tc>
        <w:tc>
          <w:tcPr>
            <w:tcW w:w="5726" w:type="dxa"/>
            <w:gridSpan w:val="2"/>
            <w:vAlign w:val="center"/>
          </w:tcPr>
          <w:p w14:paraId="0EB06490">
            <w:pPr>
              <w:pStyle w:val="11"/>
            </w:pPr>
            <w:r>
              <w:t>功能分类科目</w:t>
            </w:r>
          </w:p>
        </w:tc>
        <w:tc>
          <w:tcPr>
            <w:tcW w:w="2551" w:type="dxa"/>
            <w:vMerge w:val="restart"/>
            <w:vAlign w:val="center"/>
          </w:tcPr>
          <w:p w14:paraId="1810B0B1">
            <w:pPr>
              <w:pStyle w:val="11"/>
            </w:pPr>
            <w:r>
              <w:t>合计</w:t>
            </w:r>
          </w:p>
        </w:tc>
        <w:tc>
          <w:tcPr>
            <w:tcW w:w="2551" w:type="dxa"/>
            <w:vMerge w:val="restart"/>
            <w:vAlign w:val="center"/>
          </w:tcPr>
          <w:p w14:paraId="03821515">
            <w:pPr>
              <w:pStyle w:val="11"/>
            </w:pPr>
            <w:r>
              <w:t>基本支出</w:t>
            </w:r>
          </w:p>
        </w:tc>
        <w:tc>
          <w:tcPr>
            <w:tcW w:w="2551" w:type="dxa"/>
            <w:vMerge w:val="restart"/>
            <w:vAlign w:val="center"/>
          </w:tcPr>
          <w:p w14:paraId="3A1E9EB8">
            <w:pPr>
              <w:pStyle w:val="11"/>
            </w:pPr>
            <w:r>
              <w:t>项目支出</w:t>
            </w:r>
          </w:p>
        </w:tc>
      </w:tr>
      <w:tr w14:paraId="3C807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704A7A"/>
        </w:tc>
        <w:tc>
          <w:tcPr>
            <w:tcW w:w="1191" w:type="dxa"/>
            <w:vAlign w:val="center"/>
          </w:tcPr>
          <w:p w14:paraId="508C3A25">
            <w:pPr>
              <w:pStyle w:val="11"/>
            </w:pPr>
            <w:r>
              <w:t>科目编码</w:t>
            </w:r>
          </w:p>
        </w:tc>
        <w:tc>
          <w:tcPr>
            <w:tcW w:w="4535" w:type="dxa"/>
            <w:vAlign w:val="center"/>
          </w:tcPr>
          <w:p w14:paraId="4B32A45C">
            <w:pPr>
              <w:pStyle w:val="11"/>
            </w:pPr>
            <w:r>
              <w:t>科目名称</w:t>
            </w:r>
          </w:p>
        </w:tc>
        <w:tc>
          <w:tcPr>
            <w:tcW w:w="2551" w:type="dxa"/>
            <w:vMerge w:val="continue"/>
          </w:tcPr>
          <w:p w14:paraId="42E5088D"/>
        </w:tc>
        <w:tc>
          <w:tcPr>
            <w:tcW w:w="2551" w:type="dxa"/>
            <w:vMerge w:val="continue"/>
          </w:tcPr>
          <w:p w14:paraId="1E9628AC"/>
        </w:tc>
        <w:tc>
          <w:tcPr>
            <w:tcW w:w="2551" w:type="dxa"/>
            <w:vMerge w:val="continue"/>
          </w:tcPr>
          <w:p w14:paraId="70082E1C"/>
        </w:tc>
      </w:tr>
      <w:tr w14:paraId="44E91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DC2FE6">
            <w:pPr>
              <w:pStyle w:val="11"/>
            </w:pPr>
            <w:r>
              <w:t>栏次</w:t>
            </w:r>
          </w:p>
        </w:tc>
        <w:tc>
          <w:tcPr>
            <w:tcW w:w="1191" w:type="dxa"/>
            <w:vAlign w:val="center"/>
          </w:tcPr>
          <w:p w14:paraId="50A88211">
            <w:pPr>
              <w:pStyle w:val="11"/>
            </w:pPr>
            <w:r>
              <w:t>1</w:t>
            </w:r>
          </w:p>
        </w:tc>
        <w:tc>
          <w:tcPr>
            <w:tcW w:w="4535" w:type="dxa"/>
            <w:vAlign w:val="center"/>
          </w:tcPr>
          <w:p w14:paraId="4F277745">
            <w:pPr>
              <w:pStyle w:val="11"/>
            </w:pPr>
            <w:r>
              <w:t>2</w:t>
            </w:r>
          </w:p>
        </w:tc>
        <w:tc>
          <w:tcPr>
            <w:tcW w:w="2551" w:type="dxa"/>
            <w:vAlign w:val="center"/>
          </w:tcPr>
          <w:p w14:paraId="6BA6C11F">
            <w:pPr>
              <w:pStyle w:val="11"/>
            </w:pPr>
            <w:r>
              <w:t>3</w:t>
            </w:r>
          </w:p>
        </w:tc>
        <w:tc>
          <w:tcPr>
            <w:tcW w:w="2551" w:type="dxa"/>
            <w:vAlign w:val="center"/>
          </w:tcPr>
          <w:p w14:paraId="7CA2E8CC">
            <w:pPr>
              <w:pStyle w:val="11"/>
            </w:pPr>
            <w:r>
              <w:t>4</w:t>
            </w:r>
          </w:p>
        </w:tc>
        <w:tc>
          <w:tcPr>
            <w:tcW w:w="2551" w:type="dxa"/>
            <w:vAlign w:val="center"/>
          </w:tcPr>
          <w:p w14:paraId="01FC5643">
            <w:pPr>
              <w:pStyle w:val="11"/>
            </w:pPr>
            <w:r>
              <w:t>5</w:t>
            </w:r>
          </w:p>
        </w:tc>
      </w:tr>
      <w:tr w14:paraId="17783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30233">
            <w:pPr>
              <w:pStyle w:val="12"/>
            </w:pPr>
          </w:p>
        </w:tc>
        <w:tc>
          <w:tcPr>
            <w:tcW w:w="1191" w:type="dxa"/>
            <w:vAlign w:val="center"/>
          </w:tcPr>
          <w:p w14:paraId="22B248F0">
            <w:pPr>
              <w:pStyle w:val="13"/>
            </w:pPr>
          </w:p>
        </w:tc>
        <w:tc>
          <w:tcPr>
            <w:tcW w:w="4535" w:type="dxa"/>
            <w:vAlign w:val="center"/>
          </w:tcPr>
          <w:p w14:paraId="5929A468">
            <w:pPr>
              <w:pStyle w:val="13"/>
            </w:pPr>
          </w:p>
        </w:tc>
        <w:tc>
          <w:tcPr>
            <w:tcW w:w="2551" w:type="dxa"/>
            <w:vAlign w:val="center"/>
          </w:tcPr>
          <w:p w14:paraId="7341CC1D">
            <w:pPr>
              <w:pStyle w:val="14"/>
            </w:pPr>
          </w:p>
        </w:tc>
        <w:tc>
          <w:tcPr>
            <w:tcW w:w="2551" w:type="dxa"/>
            <w:vAlign w:val="center"/>
          </w:tcPr>
          <w:p w14:paraId="6FB9A67E">
            <w:pPr>
              <w:pStyle w:val="14"/>
            </w:pPr>
          </w:p>
        </w:tc>
        <w:tc>
          <w:tcPr>
            <w:tcW w:w="2551" w:type="dxa"/>
            <w:vAlign w:val="center"/>
          </w:tcPr>
          <w:p w14:paraId="408A4AF6">
            <w:pPr>
              <w:pStyle w:val="14"/>
            </w:pPr>
          </w:p>
        </w:tc>
      </w:tr>
    </w:tbl>
    <w:p w14:paraId="7C89B1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88C0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EA1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DCDFA3">
            <w:pPr>
              <w:pStyle w:val="8"/>
            </w:pPr>
            <w:r>
              <w:t>360019隆尧县东良校区</w:t>
            </w:r>
          </w:p>
        </w:tc>
        <w:tc>
          <w:tcPr>
            <w:tcW w:w="2381" w:type="dxa"/>
            <w:tcBorders>
              <w:top w:val="single" w:color="FFFFFF" w:sz="6" w:space="0"/>
              <w:left w:val="single" w:color="FFFFFF" w:sz="6" w:space="0"/>
              <w:right w:val="single" w:color="FFFFFF" w:sz="6" w:space="0"/>
            </w:tcBorders>
            <w:vAlign w:val="center"/>
          </w:tcPr>
          <w:p w14:paraId="6AA59331">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F06A9A8">
            <w:pPr>
              <w:pStyle w:val="10"/>
            </w:pPr>
            <w:r>
              <w:t>单位：万元</w:t>
            </w:r>
          </w:p>
        </w:tc>
      </w:tr>
      <w:tr w14:paraId="05CDA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7FBAF">
            <w:pPr>
              <w:pStyle w:val="11"/>
            </w:pPr>
            <w:r>
              <w:t>序号</w:t>
            </w:r>
          </w:p>
        </w:tc>
        <w:tc>
          <w:tcPr>
            <w:tcW w:w="3798" w:type="dxa"/>
            <w:vMerge w:val="restart"/>
            <w:vAlign w:val="center"/>
          </w:tcPr>
          <w:p w14:paraId="18C94060">
            <w:pPr>
              <w:pStyle w:val="11"/>
            </w:pPr>
            <w:r>
              <w:t>项  目</w:t>
            </w:r>
          </w:p>
        </w:tc>
        <w:tc>
          <w:tcPr>
            <w:tcW w:w="9524" w:type="dxa"/>
            <w:gridSpan w:val="4"/>
            <w:vAlign w:val="center"/>
          </w:tcPr>
          <w:p w14:paraId="6E8ED7FB">
            <w:pPr>
              <w:pStyle w:val="11"/>
            </w:pPr>
            <w:r>
              <w:t>资 金 性 质</w:t>
            </w:r>
          </w:p>
        </w:tc>
      </w:tr>
      <w:tr w14:paraId="1B8EB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E545DD"/>
        </w:tc>
        <w:tc>
          <w:tcPr>
            <w:tcW w:w="3798" w:type="dxa"/>
            <w:vMerge w:val="continue"/>
          </w:tcPr>
          <w:p w14:paraId="2027F0BA"/>
        </w:tc>
        <w:tc>
          <w:tcPr>
            <w:tcW w:w="2381" w:type="dxa"/>
            <w:vAlign w:val="center"/>
          </w:tcPr>
          <w:p w14:paraId="1F777248">
            <w:pPr>
              <w:pStyle w:val="11"/>
            </w:pPr>
            <w:r>
              <w:t>合计</w:t>
            </w:r>
          </w:p>
        </w:tc>
        <w:tc>
          <w:tcPr>
            <w:tcW w:w="2381" w:type="dxa"/>
            <w:vAlign w:val="center"/>
          </w:tcPr>
          <w:p w14:paraId="40DC37AC">
            <w:pPr>
              <w:pStyle w:val="11"/>
            </w:pPr>
            <w:r>
              <w:t>一般公共预算              财政拨款</w:t>
            </w:r>
          </w:p>
        </w:tc>
        <w:tc>
          <w:tcPr>
            <w:tcW w:w="2381" w:type="dxa"/>
            <w:vAlign w:val="center"/>
          </w:tcPr>
          <w:p w14:paraId="16F03214">
            <w:pPr>
              <w:pStyle w:val="11"/>
            </w:pPr>
            <w:r>
              <w:t>政府性基金                  预算拨款</w:t>
            </w:r>
          </w:p>
        </w:tc>
        <w:tc>
          <w:tcPr>
            <w:tcW w:w="2381" w:type="dxa"/>
            <w:vAlign w:val="center"/>
          </w:tcPr>
          <w:p w14:paraId="20A4AF5F">
            <w:pPr>
              <w:pStyle w:val="11"/>
            </w:pPr>
            <w:r>
              <w:t>国有资本经营              预算财政拨款</w:t>
            </w:r>
          </w:p>
        </w:tc>
      </w:tr>
      <w:tr w14:paraId="6AF17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5AAD7F">
            <w:pPr>
              <w:pStyle w:val="11"/>
            </w:pPr>
            <w:r>
              <w:t>栏次</w:t>
            </w:r>
          </w:p>
        </w:tc>
        <w:tc>
          <w:tcPr>
            <w:tcW w:w="3798" w:type="dxa"/>
            <w:vAlign w:val="center"/>
          </w:tcPr>
          <w:p w14:paraId="4C7A8F71">
            <w:pPr>
              <w:pStyle w:val="11"/>
            </w:pPr>
            <w:r>
              <w:t>1</w:t>
            </w:r>
          </w:p>
        </w:tc>
        <w:tc>
          <w:tcPr>
            <w:tcW w:w="2381" w:type="dxa"/>
            <w:vAlign w:val="center"/>
          </w:tcPr>
          <w:p w14:paraId="2AE789B1">
            <w:pPr>
              <w:pStyle w:val="11"/>
            </w:pPr>
            <w:r>
              <w:t>2</w:t>
            </w:r>
          </w:p>
        </w:tc>
        <w:tc>
          <w:tcPr>
            <w:tcW w:w="2381" w:type="dxa"/>
            <w:vAlign w:val="center"/>
          </w:tcPr>
          <w:p w14:paraId="3CB0BB30">
            <w:pPr>
              <w:pStyle w:val="11"/>
            </w:pPr>
            <w:r>
              <w:t>3</w:t>
            </w:r>
          </w:p>
        </w:tc>
        <w:tc>
          <w:tcPr>
            <w:tcW w:w="2381" w:type="dxa"/>
            <w:vAlign w:val="center"/>
          </w:tcPr>
          <w:p w14:paraId="5781FE7B">
            <w:pPr>
              <w:pStyle w:val="11"/>
            </w:pPr>
            <w:r>
              <w:t>4</w:t>
            </w:r>
          </w:p>
        </w:tc>
        <w:tc>
          <w:tcPr>
            <w:tcW w:w="2381" w:type="dxa"/>
            <w:vAlign w:val="center"/>
          </w:tcPr>
          <w:p w14:paraId="43245700">
            <w:pPr>
              <w:pStyle w:val="11"/>
            </w:pPr>
            <w:r>
              <w:t>5</w:t>
            </w:r>
          </w:p>
        </w:tc>
      </w:tr>
      <w:tr w14:paraId="1C9E1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CB5C78">
            <w:pPr>
              <w:pStyle w:val="12"/>
            </w:pPr>
          </w:p>
        </w:tc>
        <w:tc>
          <w:tcPr>
            <w:tcW w:w="3798" w:type="dxa"/>
            <w:vAlign w:val="center"/>
          </w:tcPr>
          <w:p w14:paraId="1E838FE1">
            <w:pPr>
              <w:pStyle w:val="13"/>
            </w:pPr>
          </w:p>
        </w:tc>
        <w:tc>
          <w:tcPr>
            <w:tcW w:w="2381" w:type="dxa"/>
            <w:vAlign w:val="center"/>
          </w:tcPr>
          <w:p w14:paraId="3DB4DACD">
            <w:pPr>
              <w:pStyle w:val="14"/>
            </w:pPr>
          </w:p>
        </w:tc>
        <w:tc>
          <w:tcPr>
            <w:tcW w:w="2381" w:type="dxa"/>
            <w:vAlign w:val="center"/>
          </w:tcPr>
          <w:p w14:paraId="61762BB0">
            <w:pPr>
              <w:pStyle w:val="14"/>
            </w:pPr>
          </w:p>
        </w:tc>
        <w:tc>
          <w:tcPr>
            <w:tcW w:w="2381" w:type="dxa"/>
            <w:vAlign w:val="center"/>
          </w:tcPr>
          <w:p w14:paraId="223D119C">
            <w:pPr>
              <w:pStyle w:val="14"/>
            </w:pPr>
          </w:p>
        </w:tc>
        <w:tc>
          <w:tcPr>
            <w:tcW w:w="2381" w:type="dxa"/>
            <w:vAlign w:val="center"/>
          </w:tcPr>
          <w:p w14:paraId="7912F1D8">
            <w:pPr>
              <w:pStyle w:val="14"/>
            </w:pPr>
          </w:p>
        </w:tc>
      </w:tr>
    </w:tbl>
    <w:p w14:paraId="33DDE12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14991BC">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隆尧县东良校区2025年单位预算信息公开情况说明</w:t>
      </w:r>
    </w:p>
    <w:p w14:paraId="6A1DD8F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按照《中华人民共和国预算法》、《地方预决算公开操作规程》和《关于进一步推进预算公开工作的实施意见》规定，现将隆尧县东良校区2025年单位预算公开如下：</w:t>
      </w:r>
    </w:p>
    <w:p w14:paraId="3C938AE7">
      <w:pPr>
        <w:spacing w:before="10" w:after="10" w:line="240" w:lineRule="auto"/>
        <w:ind w:firstLine="640"/>
        <w:jc w:val="left"/>
        <w:outlineLvl w:val="5"/>
      </w:pPr>
      <w:r>
        <w:rPr>
          <w:rFonts w:ascii="黑体" w:hAnsi="黑体" w:eastAsia="黑体" w:cs="黑体"/>
          <w:color w:val="000000"/>
          <w:sz w:val="32"/>
        </w:rPr>
        <w:t>一、单位职责及机构设置情况</w:t>
      </w:r>
    </w:p>
    <w:p w14:paraId="28250BC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0D436D">
      <w:pPr>
        <w:pStyle w:val="18"/>
      </w:pPr>
      <w:r>
        <w:t>贯彻落实基础教育的方针、政策，开展小学阶段教育教学工作，促进学生德、智、体、美、劳全面发展；负责学生安全教育和管理，确保学生身心健康；加强教师队伍建设和管理，为教育教学工作提供保障。</w:t>
      </w:r>
    </w:p>
    <w:p w14:paraId="4FB4E3B0">
      <w:pPr>
        <w:pStyle w:val="18"/>
      </w:pPr>
      <w:r>
        <w:t>隆尧县东良校区事业编制190名．其中，校长1名（正股级），副校长3名（副股级）；经费形式为财政性资金基本保证。</w:t>
      </w:r>
    </w:p>
    <w:p w14:paraId="298B748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ADA31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D995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92352F">
            <w:pPr>
              <w:pStyle w:val="11"/>
            </w:pPr>
            <w:r>
              <w:t>单位名称</w:t>
            </w:r>
          </w:p>
        </w:tc>
        <w:tc>
          <w:tcPr>
            <w:tcW w:w="1843" w:type="dxa"/>
            <w:vAlign w:val="center"/>
          </w:tcPr>
          <w:p w14:paraId="3EA82742">
            <w:pPr>
              <w:pStyle w:val="11"/>
            </w:pPr>
            <w:r>
              <w:t>单位性质</w:t>
            </w:r>
          </w:p>
        </w:tc>
        <w:tc>
          <w:tcPr>
            <w:tcW w:w="2126" w:type="dxa"/>
            <w:vAlign w:val="center"/>
          </w:tcPr>
          <w:p w14:paraId="72FA46CE">
            <w:pPr>
              <w:pStyle w:val="11"/>
            </w:pPr>
            <w:r>
              <w:t>单位规格</w:t>
            </w:r>
          </w:p>
        </w:tc>
        <w:tc>
          <w:tcPr>
            <w:tcW w:w="3827" w:type="dxa"/>
            <w:vAlign w:val="center"/>
          </w:tcPr>
          <w:p w14:paraId="60A9EBE0">
            <w:pPr>
              <w:pStyle w:val="11"/>
            </w:pPr>
            <w:r>
              <w:t>经费保障形式</w:t>
            </w:r>
          </w:p>
        </w:tc>
      </w:tr>
      <w:tr w14:paraId="5E745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7B48AF4">
            <w:pPr>
              <w:pStyle w:val="13"/>
            </w:pPr>
            <w:r>
              <w:t>隆尧县东良校区</w:t>
            </w:r>
          </w:p>
        </w:tc>
        <w:tc>
          <w:tcPr>
            <w:tcW w:w="1843" w:type="dxa"/>
            <w:vAlign w:val="center"/>
          </w:tcPr>
          <w:p w14:paraId="280584FF">
            <w:pPr>
              <w:pStyle w:val="12"/>
            </w:pPr>
            <w:r>
              <w:t>事业</w:t>
            </w:r>
          </w:p>
        </w:tc>
        <w:tc>
          <w:tcPr>
            <w:tcW w:w="2126" w:type="dxa"/>
            <w:vAlign w:val="center"/>
          </w:tcPr>
          <w:p w14:paraId="51128C91">
            <w:pPr>
              <w:pStyle w:val="12"/>
            </w:pPr>
            <w:r>
              <w:t>股级</w:t>
            </w:r>
          </w:p>
        </w:tc>
        <w:tc>
          <w:tcPr>
            <w:tcW w:w="3827" w:type="dxa"/>
            <w:vAlign w:val="center"/>
          </w:tcPr>
          <w:p w14:paraId="03DE4BF8">
            <w:pPr>
              <w:pStyle w:val="12"/>
            </w:pPr>
            <w:r>
              <w:t>财政性资金基本保证</w:t>
            </w:r>
          </w:p>
        </w:tc>
      </w:tr>
    </w:tbl>
    <w:p w14:paraId="10E6A8B2">
      <w:pPr>
        <w:spacing w:before="10" w:after="10" w:line="240" w:lineRule="auto"/>
        <w:ind w:firstLine="640"/>
        <w:jc w:val="left"/>
        <w:outlineLvl w:val="5"/>
      </w:pPr>
      <w:r>
        <w:rPr>
          <w:rFonts w:ascii="黑体" w:hAnsi="黑体" w:eastAsia="黑体" w:cs="黑体"/>
          <w:color w:val="000000"/>
          <w:sz w:val="32"/>
        </w:rPr>
        <w:t>二、单位预算安排的总体情况</w:t>
      </w:r>
    </w:p>
    <w:p w14:paraId="3149FB69">
      <w:pPr>
        <w:pStyle w:val="19"/>
      </w:pPr>
      <w:r>
        <w:t>按照预算管理有关规定，目前我校区单位预算的编制实行综合预算管理，即全部收入和支出都反映的预算中。隆尧县东良校区的收支包含在单位预算中。</w:t>
      </w:r>
    </w:p>
    <w:p w14:paraId="333D0160">
      <w:pPr>
        <w:pStyle w:val="19"/>
      </w:pPr>
      <w:r>
        <w:t>1、收入说明</w:t>
      </w:r>
    </w:p>
    <w:p w14:paraId="56215C39">
      <w:pPr>
        <w:pStyle w:val="19"/>
      </w:pPr>
      <w:r>
        <w:t>反映本单位当年全部收入。2025年预算收入3251.47万元，其中：一般公共预算收入3182.86万元，基金预算收入0万元，上年结转收入68.61万元，财政专户收入0万元，其他来源收入0万元。</w:t>
      </w:r>
    </w:p>
    <w:p w14:paraId="0E0F1E12">
      <w:pPr>
        <w:pStyle w:val="19"/>
      </w:pPr>
      <w:r>
        <w:t>2、支出说明</w:t>
      </w:r>
    </w:p>
    <w:p w14:paraId="2241F187">
      <w:pPr>
        <w:pStyle w:val="19"/>
      </w:pPr>
      <w:r>
        <w:t>收支预算总表支出栏、基本支出表、项目支出表按经济分类和支出功能分类科目编制，反映我单位预算中支出预算的总体情况。2025年单位支出预算为3251.47万元，其中基本支出2389.31，项目支出862.16万元。小学教育支出2966.65万元，学前教育支出260.4万元。</w:t>
      </w:r>
    </w:p>
    <w:p w14:paraId="52E9B5D5">
      <w:pPr>
        <w:pStyle w:val="19"/>
      </w:pPr>
      <w:r>
        <w:t>3、比上年增减情况</w:t>
      </w:r>
    </w:p>
    <w:p w14:paraId="1D7EA784">
      <w:pPr>
        <w:pStyle w:val="19"/>
      </w:pPr>
      <w:r>
        <w:t>2025年单位预算收支安排3251.47万元，较2024年预算减少222.13万元，其中基本支出增加75.28万元，项目支出减少297.41万元。</w:t>
      </w:r>
    </w:p>
    <w:p w14:paraId="47904771">
      <w:pPr>
        <w:spacing w:before="10" w:after="10" w:line="240" w:lineRule="auto"/>
        <w:ind w:firstLine="640"/>
        <w:jc w:val="left"/>
        <w:outlineLvl w:val="5"/>
      </w:pPr>
      <w:r>
        <w:rPr>
          <w:rFonts w:ascii="黑体" w:hAnsi="黑体" w:eastAsia="黑体" w:cs="黑体"/>
          <w:color w:val="000000"/>
          <w:sz w:val="32"/>
        </w:rPr>
        <w:t>三、机关运行经费安排情况</w:t>
      </w:r>
    </w:p>
    <w:p w14:paraId="1EEC0BB0">
      <w:pPr>
        <w:pStyle w:val="20"/>
      </w:pPr>
      <w:r>
        <w:t>我单位按学生安排公用经费，无机关运行经费。</w:t>
      </w:r>
    </w:p>
    <w:p w14:paraId="3A866E0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DA4C384">
      <w:pPr>
        <w:pStyle w:val="21"/>
      </w:pPr>
      <w:r>
        <w:t>2025年，我单位未安排“三公”经费预算。</w:t>
      </w:r>
    </w:p>
    <w:p w14:paraId="250B740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FA985E6">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1、冀财教[2023]154号/中央/义教经费/校舍安全保障/东良校区泽畔小学塑胶操场改造绩效目标表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C1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E662E">
            <w:pPr>
              <w:pStyle w:val="14"/>
            </w:pPr>
            <w:r>
              <w:t>单位：万元</w:t>
            </w:r>
          </w:p>
        </w:tc>
      </w:tr>
      <w:tr w14:paraId="370EB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AB2A4">
            <w:pPr>
              <w:pStyle w:val="11"/>
            </w:pPr>
            <w:r>
              <w:t>项目编码</w:t>
            </w:r>
          </w:p>
        </w:tc>
        <w:tc>
          <w:tcPr>
            <w:tcW w:w="5103" w:type="dxa"/>
            <w:gridSpan w:val="2"/>
            <w:vAlign w:val="center"/>
          </w:tcPr>
          <w:p w14:paraId="27F7F5C4">
            <w:pPr>
              <w:pStyle w:val="13"/>
            </w:pPr>
            <w:r>
              <w:t>13052524P00000611243W</w:t>
            </w:r>
          </w:p>
        </w:tc>
        <w:tc>
          <w:tcPr>
            <w:tcW w:w="2835" w:type="dxa"/>
            <w:vAlign w:val="center"/>
          </w:tcPr>
          <w:p w14:paraId="49D7A6FB">
            <w:pPr>
              <w:pStyle w:val="11"/>
            </w:pPr>
            <w:r>
              <w:t>项目名称</w:t>
            </w:r>
          </w:p>
        </w:tc>
        <w:tc>
          <w:tcPr>
            <w:tcW w:w="6095" w:type="dxa"/>
            <w:gridSpan w:val="3"/>
            <w:vAlign w:val="center"/>
          </w:tcPr>
          <w:p w14:paraId="2E0DC2C7">
            <w:pPr>
              <w:pStyle w:val="13"/>
            </w:pPr>
            <w:r>
              <w:t>冀财教[2023]154号/中央/义教经费/校舍安全保障/东良校区泽畔小学塑胶操场改造</w:t>
            </w:r>
          </w:p>
        </w:tc>
      </w:tr>
      <w:tr w14:paraId="1FA1C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EF43B">
            <w:pPr>
              <w:pStyle w:val="11"/>
            </w:pPr>
            <w:r>
              <w:t>预算规模及资金用途</w:t>
            </w:r>
          </w:p>
        </w:tc>
        <w:tc>
          <w:tcPr>
            <w:tcW w:w="2268" w:type="dxa"/>
            <w:vAlign w:val="center"/>
          </w:tcPr>
          <w:p w14:paraId="7009B075">
            <w:pPr>
              <w:pStyle w:val="11"/>
            </w:pPr>
            <w:r>
              <w:t>预算数</w:t>
            </w:r>
          </w:p>
        </w:tc>
        <w:tc>
          <w:tcPr>
            <w:tcW w:w="2835" w:type="dxa"/>
            <w:vAlign w:val="center"/>
          </w:tcPr>
          <w:p w14:paraId="2007CEF7">
            <w:pPr>
              <w:pStyle w:val="13"/>
            </w:pPr>
            <w:r>
              <w:t>22.81</w:t>
            </w:r>
          </w:p>
        </w:tc>
        <w:tc>
          <w:tcPr>
            <w:tcW w:w="2835" w:type="dxa"/>
            <w:vAlign w:val="center"/>
          </w:tcPr>
          <w:p w14:paraId="56051B91">
            <w:pPr>
              <w:pStyle w:val="11"/>
            </w:pPr>
            <w:r>
              <w:t>其中：财政    资金</w:t>
            </w:r>
          </w:p>
        </w:tc>
        <w:tc>
          <w:tcPr>
            <w:tcW w:w="2551" w:type="dxa"/>
            <w:vAlign w:val="center"/>
          </w:tcPr>
          <w:p w14:paraId="5AA2EB04">
            <w:pPr>
              <w:pStyle w:val="13"/>
            </w:pPr>
            <w:r>
              <w:t>22.81</w:t>
            </w:r>
          </w:p>
        </w:tc>
        <w:tc>
          <w:tcPr>
            <w:tcW w:w="2268" w:type="dxa"/>
            <w:vAlign w:val="center"/>
          </w:tcPr>
          <w:p w14:paraId="7D067798">
            <w:pPr>
              <w:pStyle w:val="11"/>
            </w:pPr>
            <w:r>
              <w:t>其他资金</w:t>
            </w:r>
          </w:p>
        </w:tc>
        <w:tc>
          <w:tcPr>
            <w:tcW w:w="1276" w:type="dxa"/>
            <w:vAlign w:val="center"/>
          </w:tcPr>
          <w:p w14:paraId="2EC75DE0">
            <w:pPr>
              <w:pStyle w:val="13"/>
            </w:pPr>
            <w:r>
              <w:t xml:space="preserve"> </w:t>
            </w:r>
          </w:p>
        </w:tc>
      </w:tr>
      <w:tr w14:paraId="74864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8468A"/>
        </w:tc>
        <w:tc>
          <w:tcPr>
            <w:tcW w:w="14033" w:type="dxa"/>
            <w:gridSpan w:val="6"/>
            <w:vAlign w:val="center"/>
          </w:tcPr>
          <w:p w14:paraId="5EB541E5">
            <w:pPr>
              <w:pStyle w:val="13"/>
            </w:pPr>
            <w:r>
              <w:t>用于保证学校正常运转和改善办学条件</w:t>
            </w:r>
          </w:p>
        </w:tc>
      </w:tr>
      <w:tr w14:paraId="0D840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F56F0">
            <w:pPr>
              <w:pStyle w:val="11"/>
            </w:pPr>
            <w:r>
              <w:t>资金支出计划（%）</w:t>
            </w:r>
          </w:p>
        </w:tc>
        <w:tc>
          <w:tcPr>
            <w:tcW w:w="5103" w:type="dxa"/>
            <w:gridSpan w:val="2"/>
            <w:vAlign w:val="center"/>
          </w:tcPr>
          <w:p w14:paraId="73EAED43">
            <w:pPr>
              <w:pStyle w:val="11"/>
            </w:pPr>
            <w:r>
              <w:t>3月底</w:t>
            </w:r>
          </w:p>
        </w:tc>
        <w:tc>
          <w:tcPr>
            <w:tcW w:w="2835" w:type="dxa"/>
            <w:vAlign w:val="center"/>
          </w:tcPr>
          <w:p w14:paraId="5A4C5266">
            <w:pPr>
              <w:pStyle w:val="11"/>
            </w:pPr>
            <w:r>
              <w:t>6月底</w:t>
            </w:r>
          </w:p>
        </w:tc>
        <w:tc>
          <w:tcPr>
            <w:tcW w:w="2551" w:type="dxa"/>
            <w:vAlign w:val="center"/>
          </w:tcPr>
          <w:p w14:paraId="0753DA62">
            <w:pPr>
              <w:pStyle w:val="11"/>
            </w:pPr>
            <w:r>
              <w:t>10月底</w:t>
            </w:r>
          </w:p>
        </w:tc>
        <w:tc>
          <w:tcPr>
            <w:tcW w:w="3544" w:type="dxa"/>
            <w:gridSpan w:val="2"/>
            <w:vAlign w:val="center"/>
          </w:tcPr>
          <w:p w14:paraId="5C5B4B70">
            <w:pPr>
              <w:pStyle w:val="11"/>
            </w:pPr>
            <w:r>
              <w:t>12月底</w:t>
            </w:r>
          </w:p>
        </w:tc>
      </w:tr>
      <w:tr w14:paraId="63673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4F76D6"/>
        </w:tc>
        <w:tc>
          <w:tcPr>
            <w:tcW w:w="5103" w:type="dxa"/>
            <w:gridSpan w:val="2"/>
            <w:vAlign w:val="center"/>
          </w:tcPr>
          <w:p w14:paraId="6FB0CE6F">
            <w:pPr>
              <w:pStyle w:val="12"/>
            </w:pPr>
            <w:r>
              <w:t xml:space="preserve"> </w:t>
            </w:r>
          </w:p>
        </w:tc>
        <w:tc>
          <w:tcPr>
            <w:tcW w:w="2835" w:type="dxa"/>
            <w:vAlign w:val="center"/>
          </w:tcPr>
          <w:p w14:paraId="7A881953">
            <w:pPr>
              <w:pStyle w:val="12"/>
            </w:pPr>
            <w:r>
              <w:t xml:space="preserve"> </w:t>
            </w:r>
          </w:p>
        </w:tc>
        <w:tc>
          <w:tcPr>
            <w:tcW w:w="2551" w:type="dxa"/>
            <w:vAlign w:val="center"/>
          </w:tcPr>
          <w:p w14:paraId="06E74CE2">
            <w:pPr>
              <w:pStyle w:val="12"/>
            </w:pPr>
            <w:r>
              <w:t>50%</w:t>
            </w:r>
          </w:p>
        </w:tc>
        <w:tc>
          <w:tcPr>
            <w:tcW w:w="3544" w:type="dxa"/>
            <w:gridSpan w:val="2"/>
            <w:vAlign w:val="center"/>
          </w:tcPr>
          <w:p w14:paraId="530D10B7">
            <w:pPr>
              <w:pStyle w:val="12"/>
            </w:pPr>
            <w:r>
              <w:t>100%</w:t>
            </w:r>
          </w:p>
        </w:tc>
      </w:tr>
      <w:tr w14:paraId="71B4C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08C2D">
            <w:pPr>
              <w:pStyle w:val="11"/>
            </w:pPr>
            <w:r>
              <w:t>绩效目标</w:t>
            </w:r>
          </w:p>
        </w:tc>
        <w:tc>
          <w:tcPr>
            <w:tcW w:w="14033" w:type="dxa"/>
            <w:gridSpan w:val="6"/>
            <w:vAlign w:val="center"/>
          </w:tcPr>
          <w:p w14:paraId="6870BC10">
            <w:pPr>
              <w:pStyle w:val="13"/>
            </w:pPr>
            <w:r>
              <w:t>1."保证学校正常运转和改善办学条件</w:t>
            </w:r>
            <w:r>
              <w:tab/>
            </w:r>
            <w:r>
              <w:tab/>
            </w:r>
            <w:r>
              <w:tab/>
            </w:r>
            <w:r>
              <w:tab/>
            </w:r>
            <w:r>
              <w:tab/>
            </w:r>
            <w:r>
              <w:tab/>
            </w:r>
            <w:r>
              <w:t>"</w:t>
            </w:r>
            <w:r>
              <w:tab/>
            </w:r>
            <w:r>
              <w:tab/>
            </w:r>
            <w:r>
              <w:tab/>
            </w:r>
            <w:r>
              <w:tab/>
            </w:r>
            <w:r>
              <w:tab/>
            </w:r>
            <w:r>
              <w:tab/>
            </w:r>
          </w:p>
          <w:p w14:paraId="5D05D3DD">
            <w:pPr>
              <w:pStyle w:val="13"/>
            </w:pPr>
          </w:p>
          <w:p w14:paraId="2566E262">
            <w:pPr>
              <w:pStyle w:val="13"/>
            </w:pPr>
            <w:r>
              <w:t>2."按拨款时序进度完成经费拨付和支出</w:t>
            </w:r>
            <w:r>
              <w:tab/>
            </w:r>
            <w:r>
              <w:tab/>
            </w:r>
            <w:r>
              <w:tab/>
            </w:r>
            <w:r>
              <w:tab/>
            </w:r>
            <w:r>
              <w:tab/>
            </w:r>
            <w:r>
              <w:tab/>
            </w:r>
            <w:r>
              <w:t>"</w:t>
            </w:r>
            <w:r>
              <w:tab/>
            </w:r>
            <w:r>
              <w:tab/>
            </w:r>
            <w:r>
              <w:tab/>
            </w:r>
            <w:r>
              <w:tab/>
            </w:r>
            <w:r>
              <w:tab/>
            </w:r>
            <w:r>
              <w:tab/>
            </w:r>
          </w:p>
          <w:p w14:paraId="76F4F02D">
            <w:pPr>
              <w:pStyle w:val="13"/>
            </w:pPr>
          </w:p>
        </w:tc>
      </w:tr>
    </w:tbl>
    <w:p w14:paraId="0FCDD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84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65CF8">
            <w:pPr>
              <w:pStyle w:val="11"/>
            </w:pPr>
            <w:r>
              <w:t>一级指标</w:t>
            </w:r>
          </w:p>
        </w:tc>
        <w:tc>
          <w:tcPr>
            <w:tcW w:w="2268" w:type="dxa"/>
            <w:vAlign w:val="center"/>
          </w:tcPr>
          <w:p w14:paraId="0397928D">
            <w:pPr>
              <w:pStyle w:val="11"/>
            </w:pPr>
            <w:r>
              <w:t>二级指标</w:t>
            </w:r>
          </w:p>
        </w:tc>
        <w:tc>
          <w:tcPr>
            <w:tcW w:w="2835" w:type="dxa"/>
            <w:vAlign w:val="center"/>
          </w:tcPr>
          <w:p w14:paraId="20FEC540">
            <w:pPr>
              <w:pStyle w:val="11"/>
            </w:pPr>
            <w:r>
              <w:t>三级指标</w:t>
            </w:r>
          </w:p>
        </w:tc>
        <w:tc>
          <w:tcPr>
            <w:tcW w:w="5386" w:type="dxa"/>
            <w:vAlign w:val="center"/>
          </w:tcPr>
          <w:p w14:paraId="4FE075F1">
            <w:pPr>
              <w:pStyle w:val="11"/>
            </w:pPr>
            <w:r>
              <w:t>绩效指标描述</w:t>
            </w:r>
          </w:p>
        </w:tc>
        <w:tc>
          <w:tcPr>
            <w:tcW w:w="2268" w:type="dxa"/>
            <w:vAlign w:val="center"/>
          </w:tcPr>
          <w:p w14:paraId="632D8499">
            <w:pPr>
              <w:pStyle w:val="11"/>
            </w:pPr>
            <w:r>
              <w:t>指标值</w:t>
            </w:r>
          </w:p>
        </w:tc>
        <w:tc>
          <w:tcPr>
            <w:tcW w:w="1276" w:type="dxa"/>
            <w:vAlign w:val="center"/>
          </w:tcPr>
          <w:p w14:paraId="2B2BCEBE">
            <w:pPr>
              <w:pStyle w:val="11"/>
            </w:pPr>
            <w:r>
              <w:t>指标值确定依据</w:t>
            </w:r>
          </w:p>
        </w:tc>
      </w:tr>
      <w:tr w14:paraId="1E1E9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4EC11">
            <w:pPr>
              <w:pStyle w:val="12"/>
            </w:pPr>
            <w:r>
              <w:t>产出指标</w:t>
            </w:r>
          </w:p>
        </w:tc>
        <w:tc>
          <w:tcPr>
            <w:tcW w:w="2268" w:type="dxa"/>
            <w:vAlign w:val="center"/>
          </w:tcPr>
          <w:p w14:paraId="0B3A9736">
            <w:pPr>
              <w:pStyle w:val="13"/>
            </w:pPr>
            <w:r>
              <w:t>数量指标</w:t>
            </w:r>
          </w:p>
        </w:tc>
        <w:tc>
          <w:tcPr>
            <w:tcW w:w="2835" w:type="dxa"/>
            <w:vAlign w:val="center"/>
          </w:tcPr>
          <w:p w14:paraId="128B6C54">
            <w:pPr>
              <w:pStyle w:val="13"/>
            </w:pPr>
            <w:r>
              <w:t>塑胶操场改造</w:t>
            </w:r>
          </w:p>
        </w:tc>
        <w:tc>
          <w:tcPr>
            <w:tcW w:w="5386" w:type="dxa"/>
            <w:vAlign w:val="center"/>
          </w:tcPr>
          <w:p w14:paraId="548BAD1E">
            <w:pPr>
              <w:pStyle w:val="13"/>
            </w:pPr>
            <w:r>
              <w:t>对学校操场进行铺设塑胶跑道面积</w:t>
            </w:r>
          </w:p>
        </w:tc>
        <w:tc>
          <w:tcPr>
            <w:tcW w:w="2268" w:type="dxa"/>
            <w:vAlign w:val="center"/>
          </w:tcPr>
          <w:p w14:paraId="05063281">
            <w:pPr>
              <w:pStyle w:val="13"/>
            </w:pPr>
            <w:r>
              <w:t>5500平方米</w:t>
            </w:r>
          </w:p>
        </w:tc>
        <w:tc>
          <w:tcPr>
            <w:tcW w:w="1276" w:type="dxa"/>
            <w:vAlign w:val="center"/>
          </w:tcPr>
          <w:p w14:paraId="71CE9DB2">
            <w:pPr>
              <w:pStyle w:val="13"/>
            </w:pPr>
            <w:r>
              <w:t>项目规划</w:t>
            </w:r>
          </w:p>
        </w:tc>
      </w:tr>
      <w:tr w14:paraId="3442C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74AA4"/>
        </w:tc>
        <w:tc>
          <w:tcPr>
            <w:tcW w:w="2268" w:type="dxa"/>
            <w:vAlign w:val="center"/>
          </w:tcPr>
          <w:p w14:paraId="4D94BBFC">
            <w:pPr>
              <w:pStyle w:val="13"/>
            </w:pPr>
            <w:r>
              <w:t>质量指标</w:t>
            </w:r>
          </w:p>
        </w:tc>
        <w:tc>
          <w:tcPr>
            <w:tcW w:w="2835" w:type="dxa"/>
            <w:vAlign w:val="center"/>
          </w:tcPr>
          <w:p w14:paraId="133FD4E8">
            <w:pPr>
              <w:pStyle w:val="13"/>
            </w:pPr>
            <w:r>
              <w:t>工程实施验收合格率</w:t>
            </w:r>
          </w:p>
        </w:tc>
        <w:tc>
          <w:tcPr>
            <w:tcW w:w="5386" w:type="dxa"/>
            <w:vAlign w:val="center"/>
          </w:tcPr>
          <w:p w14:paraId="113BC617">
            <w:pPr>
              <w:pStyle w:val="13"/>
            </w:pPr>
            <w:r>
              <w:t>申报程序的合规，项目实施及资金使用符合项目规划</w:t>
            </w:r>
          </w:p>
        </w:tc>
        <w:tc>
          <w:tcPr>
            <w:tcW w:w="2268" w:type="dxa"/>
            <w:vAlign w:val="center"/>
          </w:tcPr>
          <w:p w14:paraId="3A7E9D73">
            <w:pPr>
              <w:pStyle w:val="13"/>
            </w:pPr>
            <w:r>
              <w:t>≥100%</w:t>
            </w:r>
          </w:p>
        </w:tc>
        <w:tc>
          <w:tcPr>
            <w:tcW w:w="1276" w:type="dxa"/>
            <w:vAlign w:val="center"/>
          </w:tcPr>
          <w:p w14:paraId="1D39A25E">
            <w:pPr>
              <w:pStyle w:val="13"/>
            </w:pPr>
            <w:r>
              <w:t>项目规划</w:t>
            </w:r>
          </w:p>
        </w:tc>
      </w:tr>
      <w:tr w14:paraId="25E71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07F9"/>
        </w:tc>
        <w:tc>
          <w:tcPr>
            <w:tcW w:w="2268" w:type="dxa"/>
            <w:vAlign w:val="center"/>
          </w:tcPr>
          <w:p w14:paraId="79A38B00">
            <w:pPr>
              <w:pStyle w:val="13"/>
            </w:pPr>
            <w:r>
              <w:t>时效指标</w:t>
            </w:r>
          </w:p>
        </w:tc>
        <w:tc>
          <w:tcPr>
            <w:tcW w:w="2835" w:type="dxa"/>
            <w:vAlign w:val="center"/>
          </w:tcPr>
          <w:p w14:paraId="2CCE399D">
            <w:pPr>
              <w:pStyle w:val="13"/>
            </w:pPr>
            <w:r>
              <w:t>资金支付率</w:t>
            </w:r>
          </w:p>
        </w:tc>
        <w:tc>
          <w:tcPr>
            <w:tcW w:w="5386" w:type="dxa"/>
            <w:vAlign w:val="center"/>
          </w:tcPr>
          <w:p w14:paraId="3C644521">
            <w:pPr>
              <w:pStyle w:val="13"/>
            </w:pPr>
            <w:r>
              <w:t>按照序时进度完成资金支付</w:t>
            </w:r>
          </w:p>
        </w:tc>
        <w:tc>
          <w:tcPr>
            <w:tcW w:w="2268" w:type="dxa"/>
            <w:vAlign w:val="center"/>
          </w:tcPr>
          <w:p w14:paraId="63A4721D">
            <w:pPr>
              <w:pStyle w:val="13"/>
            </w:pPr>
            <w:r>
              <w:t>≥100%</w:t>
            </w:r>
          </w:p>
        </w:tc>
        <w:tc>
          <w:tcPr>
            <w:tcW w:w="1276" w:type="dxa"/>
            <w:vAlign w:val="center"/>
          </w:tcPr>
          <w:p w14:paraId="45E69B8A">
            <w:pPr>
              <w:pStyle w:val="13"/>
            </w:pPr>
            <w:r>
              <w:t>项目规划</w:t>
            </w:r>
          </w:p>
        </w:tc>
      </w:tr>
      <w:tr w14:paraId="6AA90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0ED69"/>
        </w:tc>
        <w:tc>
          <w:tcPr>
            <w:tcW w:w="2268" w:type="dxa"/>
            <w:vAlign w:val="center"/>
          </w:tcPr>
          <w:p w14:paraId="443D215F">
            <w:pPr>
              <w:pStyle w:val="13"/>
            </w:pPr>
            <w:r>
              <w:t>成本指标</w:t>
            </w:r>
          </w:p>
        </w:tc>
        <w:tc>
          <w:tcPr>
            <w:tcW w:w="2835" w:type="dxa"/>
            <w:vAlign w:val="center"/>
          </w:tcPr>
          <w:p w14:paraId="4485CCF5">
            <w:pPr>
              <w:pStyle w:val="13"/>
            </w:pPr>
            <w:r>
              <w:t>项目成本控制情况</w:t>
            </w:r>
          </w:p>
        </w:tc>
        <w:tc>
          <w:tcPr>
            <w:tcW w:w="5386" w:type="dxa"/>
            <w:vAlign w:val="center"/>
          </w:tcPr>
          <w:p w14:paraId="0F10A272">
            <w:pPr>
              <w:pStyle w:val="13"/>
            </w:pPr>
            <w:r>
              <w:t>严格按照招标价格及审计额进行</w:t>
            </w:r>
          </w:p>
        </w:tc>
        <w:tc>
          <w:tcPr>
            <w:tcW w:w="2268" w:type="dxa"/>
            <w:vAlign w:val="center"/>
          </w:tcPr>
          <w:p w14:paraId="0C6452B3">
            <w:pPr>
              <w:pStyle w:val="13"/>
            </w:pPr>
            <w:r>
              <w:t>22.81万元</w:t>
            </w:r>
          </w:p>
        </w:tc>
        <w:tc>
          <w:tcPr>
            <w:tcW w:w="1276" w:type="dxa"/>
            <w:vAlign w:val="center"/>
          </w:tcPr>
          <w:p w14:paraId="23BEEB65">
            <w:pPr>
              <w:pStyle w:val="13"/>
            </w:pPr>
            <w:r>
              <w:t>项目规划</w:t>
            </w:r>
          </w:p>
        </w:tc>
      </w:tr>
      <w:tr w14:paraId="11A18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B726C9">
            <w:pPr>
              <w:pStyle w:val="12"/>
            </w:pPr>
            <w:r>
              <w:t>效益指标</w:t>
            </w:r>
          </w:p>
        </w:tc>
        <w:tc>
          <w:tcPr>
            <w:tcW w:w="2268" w:type="dxa"/>
            <w:vAlign w:val="center"/>
          </w:tcPr>
          <w:p w14:paraId="5EA4282C">
            <w:pPr>
              <w:pStyle w:val="13"/>
            </w:pPr>
            <w:r>
              <w:t>可持续影响指标</w:t>
            </w:r>
          </w:p>
        </w:tc>
        <w:tc>
          <w:tcPr>
            <w:tcW w:w="2835" w:type="dxa"/>
            <w:vAlign w:val="center"/>
          </w:tcPr>
          <w:p w14:paraId="10793D4F">
            <w:pPr>
              <w:pStyle w:val="13"/>
            </w:pPr>
            <w:r>
              <w:t>教育发展水平</w:t>
            </w:r>
          </w:p>
        </w:tc>
        <w:tc>
          <w:tcPr>
            <w:tcW w:w="5386" w:type="dxa"/>
            <w:vAlign w:val="center"/>
          </w:tcPr>
          <w:p w14:paraId="7ED11F68">
            <w:pPr>
              <w:pStyle w:val="13"/>
            </w:pPr>
            <w:r>
              <w:t>受益人数</w:t>
            </w:r>
          </w:p>
        </w:tc>
        <w:tc>
          <w:tcPr>
            <w:tcW w:w="2268" w:type="dxa"/>
            <w:vAlign w:val="center"/>
          </w:tcPr>
          <w:p w14:paraId="4E65E399">
            <w:pPr>
              <w:pStyle w:val="13"/>
            </w:pPr>
            <w:r>
              <w:t>915人</w:t>
            </w:r>
          </w:p>
        </w:tc>
        <w:tc>
          <w:tcPr>
            <w:tcW w:w="1276" w:type="dxa"/>
            <w:vAlign w:val="center"/>
          </w:tcPr>
          <w:p w14:paraId="42055989">
            <w:pPr>
              <w:pStyle w:val="13"/>
            </w:pPr>
            <w:r>
              <w:t>项目规划</w:t>
            </w:r>
          </w:p>
        </w:tc>
      </w:tr>
      <w:tr w14:paraId="658A4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674A28">
            <w:pPr>
              <w:pStyle w:val="12"/>
            </w:pPr>
            <w:r>
              <w:t>满意度指标</w:t>
            </w:r>
          </w:p>
        </w:tc>
        <w:tc>
          <w:tcPr>
            <w:tcW w:w="2268" w:type="dxa"/>
            <w:vAlign w:val="center"/>
          </w:tcPr>
          <w:p w14:paraId="0A323F90">
            <w:pPr>
              <w:pStyle w:val="13"/>
            </w:pPr>
            <w:r>
              <w:t>服务对象满意度指标</w:t>
            </w:r>
          </w:p>
        </w:tc>
        <w:tc>
          <w:tcPr>
            <w:tcW w:w="2835" w:type="dxa"/>
            <w:vAlign w:val="center"/>
          </w:tcPr>
          <w:p w14:paraId="4203E8FB">
            <w:pPr>
              <w:pStyle w:val="13"/>
            </w:pPr>
            <w:r>
              <w:t>学生、教师及家长对学校教学环境满意度情况</w:t>
            </w:r>
          </w:p>
        </w:tc>
        <w:tc>
          <w:tcPr>
            <w:tcW w:w="5386" w:type="dxa"/>
            <w:vAlign w:val="center"/>
          </w:tcPr>
          <w:p w14:paraId="45EDB512">
            <w:pPr>
              <w:pStyle w:val="13"/>
            </w:pPr>
            <w:r>
              <w:t>学生、教师及家长对学校教学环境满意度情况</w:t>
            </w:r>
          </w:p>
        </w:tc>
        <w:tc>
          <w:tcPr>
            <w:tcW w:w="2268" w:type="dxa"/>
            <w:vAlign w:val="center"/>
          </w:tcPr>
          <w:p w14:paraId="32C0F254">
            <w:pPr>
              <w:pStyle w:val="13"/>
            </w:pPr>
            <w:r>
              <w:t>≥95%</w:t>
            </w:r>
          </w:p>
        </w:tc>
        <w:tc>
          <w:tcPr>
            <w:tcW w:w="1276" w:type="dxa"/>
            <w:vAlign w:val="center"/>
          </w:tcPr>
          <w:p w14:paraId="74A38F64">
            <w:pPr>
              <w:pStyle w:val="13"/>
            </w:pPr>
            <w:r>
              <w:t>调查问卷</w:t>
            </w:r>
          </w:p>
        </w:tc>
      </w:tr>
    </w:tbl>
    <w:p w14:paraId="69EDF068">
      <w:pPr>
        <w:sectPr>
          <w:pgSz w:w="16840" w:h="11900" w:orient="landscape"/>
          <w:pgMar w:top="1361" w:right="1020" w:bottom="1134" w:left="1020" w:header="720" w:footer="720" w:gutter="0"/>
          <w:cols w:space="720" w:num="1"/>
        </w:sectPr>
      </w:pPr>
    </w:p>
    <w:p w14:paraId="174D7335">
      <w:pPr>
        <w:spacing w:before="0" w:after="0"/>
        <w:ind w:firstLine="560"/>
        <w:jc w:val="left"/>
        <w:outlineLvl w:val="9"/>
      </w:pPr>
      <w:r>
        <w:rPr>
          <w:rFonts w:ascii="方正仿宋_GBK" w:hAnsi="方正仿宋_GBK" w:eastAsia="方正仿宋_GBK" w:cs="方正仿宋_GBK"/>
          <w:b/>
          <w:color w:val="000000"/>
          <w:sz w:val="28"/>
        </w:rPr>
        <w:t>2、冀财教[2023]163号/省级/2024年义教补助资金/校舍安全保障/东良校区泽畔小学新建学生宿舍楼及消防工程绩效目标表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9B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04AF9">
            <w:pPr>
              <w:pStyle w:val="14"/>
            </w:pPr>
            <w:r>
              <w:t>单位：万元</w:t>
            </w:r>
          </w:p>
        </w:tc>
      </w:tr>
      <w:tr w14:paraId="59D17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5146E">
            <w:pPr>
              <w:pStyle w:val="11"/>
            </w:pPr>
            <w:r>
              <w:t>项目编码</w:t>
            </w:r>
          </w:p>
        </w:tc>
        <w:tc>
          <w:tcPr>
            <w:tcW w:w="5103" w:type="dxa"/>
            <w:gridSpan w:val="2"/>
            <w:vAlign w:val="center"/>
          </w:tcPr>
          <w:p w14:paraId="3DE45AD5">
            <w:pPr>
              <w:pStyle w:val="13"/>
            </w:pPr>
            <w:r>
              <w:t>13052524P000006112673</w:t>
            </w:r>
          </w:p>
        </w:tc>
        <w:tc>
          <w:tcPr>
            <w:tcW w:w="2835" w:type="dxa"/>
            <w:vAlign w:val="center"/>
          </w:tcPr>
          <w:p w14:paraId="70434FBD">
            <w:pPr>
              <w:pStyle w:val="11"/>
            </w:pPr>
            <w:r>
              <w:t>项目名称</w:t>
            </w:r>
          </w:p>
        </w:tc>
        <w:tc>
          <w:tcPr>
            <w:tcW w:w="6095" w:type="dxa"/>
            <w:gridSpan w:val="3"/>
            <w:vAlign w:val="center"/>
          </w:tcPr>
          <w:p w14:paraId="25D83C9A">
            <w:pPr>
              <w:pStyle w:val="13"/>
            </w:pPr>
            <w:r>
              <w:t>冀财教[2023]163号/省级/2024年义教补助资金/校舍安全保障/东良校区泽畔小学新建学生宿舍楼及消防工程</w:t>
            </w:r>
          </w:p>
        </w:tc>
      </w:tr>
      <w:tr w14:paraId="225EB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F3533">
            <w:pPr>
              <w:pStyle w:val="11"/>
            </w:pPr>
            <w:r>
              <w:t>预算规模及资金用途</w:t>
            </w:r>
          </w:p>
        </w:tc>
        <w:tc>
          <w:tcPr>
            <w:tcW w:w="2268" w:type="dxa"/>
            <w:vAlign w:val="center"/>
          </w:tcPr>
          <w:p w14:paraId="71B651CE">
            <w:pPr>
              <w:pStyle w:val="11"/>
            </w:pPr>
            <w:r>
              <w:t>预算数</w:t>
            </w:r>
          </w:p>
        </w:tc>
        <w:tc>
          <w:tcPr>
            <w:tcW w:w="2835" w:type="dxa"/>
            <w:vAlign w:val="center"/>
          </w:tcPr>
          <w:p w14:paraId="65DABC2F">
            <w:pPr>
              <w:pStyle w:val="13"/>
            </w:pPr>
            <w:r>
              <w:t>45.80</w:t>
            </w:r>
          </w:p>
        </w:tc>
        <w:tc>
          <w:tcPr>
            <w:tcW w:w="2835" w:type="dxa"/>
            <w:vAlign w:val="center"/>
          </w:tcPr>
          <w:p w14:paraId="5CB6A405">
            <w:pPr>
              <w:pStyle w:val="11"/>
            </w:pPr>
            <w:r>
              <w:t>其中：财政    资金</w:t>
            </w:r>
          </w:p>
        </w:tc>
        <w:tc>
          <w:tcPr>
            <w:tcW w:w="2551" w:type="dxa"/>
            <w:vAlign w:val="center"/>
          </w:tcPr>
          <w:p w14:paraId="721958EB">
            <w:pPr>
              <w:pStyle w:val="13"/>
            </w:pPr>
            <w:r>
              <w:t>45.80</w:t>
            </w:r>
          </w:p>
        </w:tc>
        <w:tc>
          <w:tcPr>
            <w:tcW w:w="2268" w:type="dxa"/>
            <w:vAlign w:val="center"/>
          </w:tcPr>
          <w:p w14:paraId="702E2974">
            <w:pPr>
              <w:pStyle w:val="11"/>
            </w:pPr>
            <w:r>
              <w:t>其他资金</w:t>
            </w:r>
          </w:p>
        </w:tc>
        <w:tc>
          <w:tcPr>
            <w:tcW w:w="1276" w:type="dxa"/>
            <w:vAlign w:val="center"/>
          </w:tcPr>
          <w:p w14:paraId="79913147">
            <w:pPr>
              <w:pStyle w:val="13"/>
            </w:pPr>
            <w:r>
              <w:t xml:space="preserve"> </w:t>
            </w:r>
          </w:p>
        </w:tc>
      </w:tr>
      <w:tr w14:paraId="7C847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2233CF"/>
        </w:tc>
        <w:tc>
          <w:tcPr>
            <w:tcW w:w="14033" w:type="dxa"/>
            <w:gridSpan w:val="6"/>
            <w:vAlign w:val="center"/>
          </w:tcPr>
          <w:p w14:paraId="3B458296">
            <w:pPr>
              <w:pStyle w:val="13"/>
            </w:pPr>
            <w:r>
              <w:t xml:space="preserve">改善就学条件，提升学校形象，保障义务教育阶段教学安全，创造良好的校园环境。 </w:t>
            </w:r>
          </w:p>
        </w:tc>
      </w:tr>
      <w:tr w14:paraId="3F144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46C65">
            <w:pPr>
              <w:pStyle w:val="11"/>
            </w:pPr>
            <w:r>
              <w:t>资金支出计划（%）</w:t>
            </w:r>
          </w:p>
        </w:tc>
        <w:tc>
          <w:tcPr>
            <w:tcW w:w="5103" w:type="dxa"/>
            <w:gridSpan w:val="2"/>
            <w:vAlign w:val="center"/>
          </w:tcPr>
          <w:p w14:paraId="5F8A6BBC">
            <w:pPr>
              <w:pStyle w:val="11"/>
            </w:pPr>
            <w:r>
              <w:t>3月底</w:t>
            </w:r>
          </w:p>
        </w:tc>
        <w:tc>
          <w:tcPr>
            <w:tcW w:w="2835" w:type="dxa"/>
            <w:vAlign w:val="center"/>
          </w:tcPr>
          <w:p w14:paraId="584540D9">
            <w:pPr>
              <w:pStyle w:val="11"/>
            </w:pPr>
            <w:r>
              <w:t>6月底</w:t>
            </w:r>
          </w:p>
        </w:tc>
        <w:tc>
          <w:tcPr>
            <w:tcW w:w="2551" w:type="dxa"/>
            <w:vAlign w:val="center"/>
          </w:tcPr>
          <w:p w14:paraId="74B3A73D">
            <w:pPr>
              <w:pStyle w:val="11"/>
            </w:pPr>
            <w:r>
              <w:t>10月底</w:t>
            </w:r>
          </w:p>
        </w:tc>
        <w:tc>
          <w:tcPr>
            <w:tcW w:w="3544" w:type="dxa"/>
            <w:gridSpan w:val="2"/>
            <w:vAlign w:val="center"/>
          </w:tcPr>
          <w:p w14:paraId="6EA51EBF">
            <w:pPr>
              <w:pStyle w:val="11"/>
            </w:pPr>
            <w:r>
              <w:t>12月底</w:t>
            </w:r>
          </w:p>
        </w:tc>
      </w:tr>
      <w:tr w14:paraId="39524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F5AF4"/>
        </w:tc>
        <w:tc>
          <w:tcPr>
            <w:tcW w:w="5103" w:type="dxa"/>
            <w:gridSpan w:val="2"/>
            <w:vAlign w:val="center"/>
          </w:tcPr>
          <w:p w14:paraId="636B3646">
            <w:pPr>
              <w:pStyle w:val="12"/>
            </w:pPr>
            <w:r>
              <w:t>25%</w:t>
            </w:r>
          </w:p>
        </w:tc>
        <w:tc>
          <w:tcPr>
            <w:tcW w:w="2835" w:type="dxa"/>
            <w:vAlign w:val="center"/>
          </w:tcPr>
          <w:p w14:paraId="252651E8">
            <w:pPr>
              <w:pStyle w:val="12"/>
            </w:pPr>
            <w:r>
              <w:t>50%</w:t>
            </w:r>
          </w:p>
        </w:tc>
        <w:tc>
          <w:tcPr>
            <w:tcW w:w="2551" w:type="dxa"/>
            <w:vAlign w:val="center"/>
          </w:tcPr>
          <w:p w14:paraId="1E5B3936">
            <w:pPr>
              <w:pStyle w:val="12"/>
            </w:pPr>
            <w:r>
              <w:t>75%</w:t>
            </w:r>
          </w:p>
        </w:tc>
        <w:tc>
          <w:tcPr>
            <w:tcW w:w="3544" w:type="dxa"/>
            <w:gridSpan w:val="2"/>
            <w:vAlign w:val="center"/>
          </w:tcPr>
          <w:p w14:paraId="726A53A7">
            <w:pPr>
              <w:pStyle w:val="12"/>
            </w:pPr>
            <w:r>
              <w:t>100%</w:t>
            </w:r>
          </w:p>
        </w:tc>
      </w:tr>
      <w:tr w14:paraId="7E2AB6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BA99A">
            <w:pPr>
              <w:pStyle w:val="11"/>
            </w:pPr>
            <w:r>
              <w:t>绩效目标</w:t>
            </w:r>
          </w:p>
        </w:tc>
        <w:tc>
          <w:tcPr>
            <w:tcW w:w="14033" w:type="dxa"/>
            <w:gridSpan w:val="6"/>
            <w:vAlign w:val="center"/>
          </w:tcPr>
          <w:p w14:paraId="0A3D6A8D">
            <w:pPr>
              <w:pStyle w:val="13"/>
            </w:pPr>
            <w:r>
              <w:t xml:space="preserve">1."目标内容1：改善就学条件，提升学校形象，保障义务教育阶段教学安全，创造良好的校园环境。 </w:t>
            </w:r>
            <w:r>
              <w:tab/>
            </w:r>
            <w:r>
              <w:tab/>
            </w:r>
            <w:r>
              <w:tab/>
            </w:r>
            <w:r>
              <w:tab/>
            </w:r>
            <w:r>
              <w:tab/>
            </w:r>
            <w:r>
              <w:tab/>
            </w:r>
          </w:p>
          <w:p w14:paraId="7E3BFA9A">
            <w:pPr>
              <w:pStyle w:val="13"/>
            </w:pPr>
            <w:r>
              <w:t>"</w:t>
            </w:r>
            <w:r>
              <w:tab/>
            </w:r>
            <w:r>
              <w:tab/>
            </w:r>
            <w:r>
              <w:tab/>
            </w:r>
            <w:r>
              <w:tab/>
            </w:r>
            <w:r>
              <w:tab/>
            </w:r>
            <w:r>
              <w:tab/>
            </w:r>
          </w:p>
          <w:p w14:paraId="0FDEC43A">
            <w:pPr>
              <w:pStyle w:val="13"/>
            </w:pPr>
          </w:p>
          <w:p w14:paraId="382785A1">
            <w:pPr>
              <w:pStyle w:val="13"/>
            </w:pPr>
            <w:r>
              <w:t xml:space="preserve">2.目标内容2：项目需资金279万元，资金拨付率达到100%。 </w:t>
            </w:r>
            <w:r>
              <w:tab/>
            </w:r>
            <w:r>
              <w:tab/>
            </w:r>
            <w:r>
              <w:tab/>
            </w:r>
          </w:p>
          <w:p w14:paraId="532BC896">
            <w:pPr>
              <w:pStyle w:val="13"/>
            </w:pPr>
          </w:p>
        </w:tc>
      </w:tr>
    </w:tbl>
    <w:p w14:paraId="6E0E3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83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83744">
            <w:pPr>
              <w:pStyle w:val="11"/>
            </w:pPr>
            <w:r>
              <w:t>一级指标</w:t>
            </w:r>
          </w:p>
        </w:tc>
        <w:tc>
          <w:tcPr>
            <w:tcW w:w="2268" w:type="dxa"/>
            <w:vAlign w:val="center"/>
          </w:tcPr>
          <w:p w14:paraId="76FB61DD">
            <w:pPr>
              <w:pStyle w:val="11"/>
            </w:pPr>
            <w:r>
              <w:t>二级指标</w:t>
            </w:r>
          </w:p>
        </w:tc>
        <w:tc>
          <w:tcPr>
            <w:tcW w:w="2835" w:type="dxa"/>
            <w:vAlign w:val="center"/>
          </w:tcPr>
          <w:p w14:paraId="37F70437">
            <w:pPr>
              <w:pStyle w:val="11"/>
            </w:pPr>
            <w:r>
              <w:t>三级指标</w:t>
            </w:r>
          </w:p>
        </w:tc>
        <w:tc>
          <w:tcPr>
            <w:tcW w:w="5386" w:type="dxa"/>
            <w:vAlign w:val="center"/>
          </w:tcPr>
          <w:p w14:paraId="61EF5C97">
            <w:pPr>
              <w:pStyle w:val="11"/>
            </w:pPr>
            <w:r>
              <w:t>绩效指标描述</w:t>
            </w:r>
          </w:p>
        </w:tc>
        <w:tc>
          <w:tcPr>
            <w:tcW w:w="2268" w:type="dxa"/>
            <w:vAlign w:val="center"/>
          </w:tcPr>
          <w:p w14:paraId="3081C9C7">
            <w:pPr>
              <w:pStyle w:val="11"/>
            </w:pPr>
            <w:r>
              <w:t>指标值</w:t>
            </w:r>
          </w:p>
        </w:tc>
        <w:tc>
          <w:tcPr>
            <w:tcW w:w="1276" w:type="dxa"/>
            <w:vAlign w:val="center"/>
          </w:tcPr>
          <w:p w14:paraId="7CFD281A">
            <w:pPr>
              <w:pStyle w:val="11"/>
            </w:pPr>
            <w:r>
              <w:t>指标值确定依据</w:t>
            </w:r>
          </w:p>
        </w:tc>
      </w:tr>
      <w:tr w14:paraId="1A2F0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275E8">
            <w:pPr>
              <w:pStyle w:val="12"/>
            </w:pPr>
            <w:r>
              <w:t>产出指标</w:t>
            </w:r>
          </w:p>
        </w:tc>
        <w:tc>
          <w:tcPr>
            <w:tcW w:w="2268" w:type="dxa"/>
            <w:vAlign w:val="center"/>
          </w:tcPr>
          <w:p w14:paraId="1173DEFC">
            <w:pPr>
              <w:pStyle w:val="13"/>
            </w:pPr>
            <w:r>
              <w:t>数量指标</w:t>
            </w:r>
          </w:p>
        </w:tc>
        <w:tc>
          <w:tcPr>
            <w:tcW w:w="2835" w:type="dxa"/>
            <w:vAlign w:val="center"/>
          </w:tcPr>
          <w:p w14:paraId="5FDAB695">
            <w:pPr>
              <w:pStyle w:val="13"/>
            </w:pPr>
            <w:r>
              <w:t>项目数量</w:t>
            </w:r>
          </w:p>
        </w:tc>
        <w:tc>
          <w:tcPr>
            <w:tcW w:w="5386" w:type="dxa"/>
            <w:vAlign w:val="center"/>
          </w:tcPr>
          <w:p w14:paraId="6AE3B6C0">
            <w:pPr>
              <w:pStyle w:val="13"/>
            </w:pPr>
            <w:r>
              <w:t>宿舍楼及消防工程</w:t>
            </w:r>
          </w:p>
        </w:tc>
        <w:tc>
          <w:tcPr>
            <w:tcW w:w="2268" w:type="dxa"/>
            <w:vAlign w:val="center"/>
          </w:tcPr>
          <w:p w14:paraId="2903B867">
            <w:pPr>
              <w:pStyle w:val="13"/>
            </w:pPr>
            <w:r>
              <w:t>2项</w:t>
            </w:r>
          </w:p>
        </w:tc>
        <w:tc>
          <w:tcPr>
            <w:tcW w:w="1276" w:type="dxa"/>
            <w:vAlign w:val="center"/>
          </w:tcPr>
          <w:p w14:paraId="0675A5DD">
            <w:pPr>
              <w:pStyle w:val="13"/>
            </w:pPr>
            <w:r>
              <w:t>项目规划</w:t>
            </w:r>
          </w:p>
        </w:tc>
      </w:tr>
      <w:tr w14:paraId="7A247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313EA"/>
        </w:tc>
        <w:tc>
          <w:tcPr>
            <w:tcW w:w="2268" w:type="dxa"/>
            <w:vAlign w:val="center"/>
          </w:tcPr>
          <w:p w14:paraId="746271F4">
            <w:pPr>
              <w:pStyle w:val="13"/>
            </w:pPr>
            <w:r>
              <w:t>质量指标</w:t>
            </w:r>
          </w:p>
        </w:tc>
        <w:tc>
          <w:tcPr>
            <w:tcW w:w="2835" w:type="dxa"/>
            <w:vAlign w:val="center"/>
          </w:tcPr>
          <w:p w14:paraId="37C8FAC7">
            <w:pPr>
              <w:pStyle w:val="13"/>
            </w:pPr>
            <w:r>
              <w:t>工程实施验收合格率</w:t>
            </w:r>
          </w:p>
        </w:tc>
        <w:tc>
          <w:tcPr>
            <w:tcW w:w="5386" w:type="dxa"/>
            <w:vAlign w:val="center"/>
          </w:tcPr>
          <w:p w14:paraId="4671E4C7">
            <w:pPr>
              <w:pStyle w:val="13"/>
            </w:pPr>
            <w:r>
              <w:t>申报程序的合规，项目实施及资金使用符合项目规划</w:t>
            </w:r>
          </w:p>
        </w:tc>
        <w:tc>
          <w:tcPr>
            <w:tcW w:w="2268" w:type="dxa"/>
            <w:vAlign w:val="center"/>
          </w:tcPr>
          <w:p w14:paraId="70192D7A">
            <w:pPr>
              <w:pStyle w:val="13"/>
            </w:pPr>
            <w:r>
              <w:t>≥100%</w:t>
            </w:r>
          </w:p>
        </w:tc>
        <w:tc>
          <w:tcPr>
            <w:tcW w:w="1276" w:type="dxa"/>
            <w:vAlign w:val="center"/>
          </w:tcPr>
          <w:p w14:paraId="274B04BD">
            <w:pPr>
              <w:pStyle w:val="13"/>
            </w:pPr>
            <w:r>
              <w:t>项目规划</w:t>
            </w:r>
          </w:p>
        </w:tc>
      </w:tr>
      <w:tr w14:paraId="0F6EB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EC758"/>
        </w:tc>
        <w:tc>
          <w:tcPr>
            <w:tcW w:w="2268" w:type="dxa"/>
            <w:vAlign w:val="center"/>
          </w:tcPr>
          <w:p w14:paraId="0AFADE71">
            <w:pPr>
              <w:pStyle w:val="13"/>
            </w:pPr>
            <w:r>
              <w:t>时效指标</w:t>
            </w:r>
          </w:p>
        </w:tc>
        <w:tc>
          <w:tcPr>
            <w:tcW w:w="2835" w:type="dxa"/>
            <w:vAlign w:val="center"/>
          </w:tcPr>
          <w:p w14:paraId="47D6D6BC">
            <w:pPr>
              <w:pStyle w:val="13"/>
            </w:pPr>
            <w:r>
              <w:t>资金支付率</w:t>
            </w:r>
          </w:p>
        </w:tc>
        <w:tc>
          <w:tcPr>
            <w:tcW w:w="5386" w:type="dxa"/>
            <w:vAlign w:val="center"/>
          </w:tcPr>
          <w:p w14:paraId="051BA476">
            <w:pPr>
              <w:pStyle w:val="13"/>
            </w:pPr>
            <w:r>
              <w:t>按照序时进度完成资金支付</w:t>
            </w:r>
          </w:p>
        </w:tc>
        <w:tc>
          <w:tcPr>
            <w:tcW w:w="2268" w:type="dxa"/>
            <w:vAlign w:val="center"/>
          </w:tcPr>
          <w:p w14:paraId="51E940E7">
            <w:pPr>
              <w:pStyle w:val="13"/>
            </w:pPr>
            <w:r>
              <w:t>≥100%</w:t>
            </w:r>
          </w:p>
        </w:tc>
        <w:tc>
          <w:tcPr>
            <w:tcW w:w="1276" w:type="dxa"/>
            <w:vAlign w:val="center"/>
          </w:tcPr>
          <w:p w14:paraId="24B50A08">
            <w:pPr>
              <w:pStyle w:val="13"/>
            </w:pPr>
            <w:r>
              <w:t>项目规划</w:t>
            </w:r>
          </w:p>
        </w:tc>
      </w:tr>
      <w:tr w14:paraId="7CE04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7247A"/>
        </w:tc>
        <w:tc>
          <w:tcPr>
            <w:tcW w:w="2268" w:type="dxa"/>
            <w:vAlign w:val="center"/>
          </w:tcPr>
          <w:p w14:paraId="5F30E38F">
            <w:pPr>
              <w:pStyle w:val="13"/>
            </w:pPr>
            <w:r>
              <w:t>成本指标</w:t>
            </w:r>
          </w:p>
        </w:tc>
        <w:tc>
          <w:tcPr>
            <w:tcW w:w="2835" w:type="dxa"/>
            <w:vAlign w:val="center"/>
          </w:tcPr>
          <w:p w14:paraId="566434B7">
            <w:pPr>
              <w:pStyle w:val="13"/>
            </w:pPr>
            <w:r>
              <w:t>项目成本控制情况</w:t>
            </w:r>
          </w:p>
        </w:tc>
        <w:tc>
          <w:tcPr>
            <w:tcW w:w="5386" w:type="dxa"/>
            <w:vAlign w:val="center"/>
          </w:tcPr>
          <w:p w14:paraId="61725AEE">
            <w:pPr>
              <w:pStyle w:val="13"/>
            </w:pPr>
            <w:r>
              <w:t>严格按照招标价格及审计额进行</w:t>
            </w:r>
          </w:p>
        </w:tc>
        <w:tc>
          <w:tcPr>
            <w:tcW w:w="2268" w:type="dxa"/>
            <w:vAlign w:val="center"/>
          </w:tcPr>
          <w:p w14:paraId="7F424C5A">
            <w:pPr>
              <w:pStyle w:val="13"/>
            </w:pPr>
            <w:r>
              <w:t>45.8万元</w:t>
            </w:r>
          </w:p>
        </w:tc>
        <w:tc>
          <w:tcPr>
            <w:tcW w:w="1276" w:type="dxa"/>
            <w:vAlign w:val="center"/>
          </w:tcPr>
          <w:p w14:paraId="324E6DB6">
            <w:pPr>
              <w:pStyle w:val="13"/>
            </w:pPr>
            <w:r>
              <w:t>项目规划</w:t>
            </w:r>
          </w:p>
        </w:tc>
      </w:tr>
      <w:tr w14:paraId="09A91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806B2">
            <w:pPr>
              <w:pStyle w:val="12"/>
            </w:pPr>
            <w:r>
              <w:t>效益指标</w:t>
            </w:r>
          </w:p>
        </w:tc>
        <w:tc>
          <w:tcPr>
            <w:tcW w:w="2268" w:type="dxa"/>
            <w:vAlign w:val="center"/>
          </w:tcPr>
          <w:p w14:paraId="5B8D4BCF">
            <w:pPr>
              <w:pStyle w:val="13"/>
            </w:pPr>
            <w:r>
              <w:t>可持续影响指标</w:t>
            </w:r>
          </w:p>
        </w:tc>
        <w:tc>
          <w:tcPr>
            <w:tcW w:w="2835" w:type="dxa"/>
            <w:vAlign w:val="center"/>
          </w:tcPr>
          <w:p w14:paraId="5D003BAD">
            <w:pPr>
              <w:pStyle w:val="13"/>
            </w:pPr>
            <w:r>
              <w:t>工程使用年限</w:t>
            </w:r>
          </w:p>
        </w:tc>
        <w:tc>
          <w:tcPr>
            <w:tcW w:w="5386" w:type="dxa"/>
            <w:vAlign w:val="center"/>
          </w:tcPr>
          <w:p w14:paraId="30726965">
            <w:pPr>
              <w:pStyle w:val="13"/>
            </w:pPr>
            <w:r>
              <w:t>工程使用年限</w:t>
            </w:r>
          </w:p>
        </w:tc>
        <w:tc>
          <w:tcPr>
            <w:tcW w:w="2268" w:type="dxa"/>
            <w:vAlign w:val="center"/>
          </w:tcPr>
          <w:p w14:paraId="05056900">
            <w:pPr>
              <w:pStyle w:val="13"/>
            </w:pPr>
            <w:r>
              <w:t>≥15年</w:t>
            </w:r>
          </w:p>
        </w:tc>
        <w:tc>
          <w:tcPr>
            <w:tcW w:w="1276" w:type="dxa"/>
            <w:vAlign w:val="center"/>
          </w:tcPr>
          <w:p w14:paraId="2B4F28E6">
            <w:pPr>
              <w:pStyle w:val="13"/>
            </w:pPr>
            <w:r>
              <w:t>项目规划</w:t>
            </w:r>
          </w:p>
        </w:tc>
      </w:tr>
      <w:tr w14:paraId="2A755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AB3EA8">
            <w:pPr>
              <w:pStyle w:val="12"/>
            </w:pPr>
            <w:r>
              <w:t>满意度指标</w:t>
            </w:r>
          </w:p>
        </w:tc>
        <w:tc>
          <w:tcPr>
            <w:tcW w:w="2268" w:type="dxa"/>
            <w:vAlign w:val="center"/>
          </w:tcPr>
          <w:p w14:paraId="30E6D0DF">
            <w:pPr>
              <w:pStyle w:val="13"/>
            </w:pPr>
            <w:r>
              <w:t>服务对象满意度指标</w:t>
            </w:r>
          </w:p>
        </w:tc>
        <w:tc>
          <w:tcPr>
            <w:tcW w:w="2835" w:type="dxa"/>
            <w:vAlign w:val="center"/>
          </w:tcPr>
          <w:p w14:paraId="699077FA">
            <w:pPr>
              <w:pStyle w:val="13"/>
            </w:pPr>
            <w:r>
              <w:t>受益学生家长及调查满意度</w:t>
            </w:r>
          </w:p>
        </w:tc>
        <w:tc>
          <w:tcPr>
            <w:tcW w:w="5386" w:type="dxa"/>
            <w:vAlign w:val="center"/>
          </w:tcPr>
          <w:p w14:paraId="31CB6DB8">
            <w:pPr>
              <w:pStyle w:val="13"/>
            </w:pPr>
            <w:r>
              <w:t>学生、教师及家长对学校教学环境满意度情况</w:t>
            </w:r>
          </w:p>
        </w:tc>
        <w:tc>
          <w:tcPr>
            <w:tcW w:w="2268" w:type="dxa"/>
            <w:vAlign w:val="center"/>
          </w:tcPr>
          <w:p w14:paraId="01718B20">
            <w:pPr>
              <w:pStyle w:val="13"/>
            </w:pPr>
            <w:r>
              <w:t>≥95%</w:t>
            </w:r>
          </w:p>
        </w:tc>
        <w:tc>
          <w:tcPr>
            <w:tcW w:w="1276" w:type="dxa"/>
            <w:vAlign w:val="center"/>
          </w:tcPr>
          <w:p w14:paraId="750C385C">
            <w:pPr>
              <w:pStyle w:val="13"/>
            </w:pPr>
            <w:r>
              <w:t>调查问卷</w:t>
            </w:r>
          </w:p>
        </w:tc>
      </w:tr>
    </w:tbl>
    <w:p w14:paraId="72416349">
      <w:pPr>
        <w:sectPr>
          <w:pgSz w:w="16840" w:h="11900" w:orient="landscape"/>
          <w:pgMar w:top="1361" w:right="1020" w:bottom="1134" w:left="1020" w:header="720" w:footer="720" w:gutter="0"/>
          <w:cols w:space="720" w:num="1"/>
        </w:sectPr>
      </w:pPr>
    </w:p>
    <w:p w14:paraId="7C1B7BA6">
      <w:pPr>
        <w:spacing w:before="0" w:after="0"/>
        <w:ind w:firstLine="560"/>
        <w:jc w:val="left"/>
        <w:outlineLvl w:val="9"/>
      </w:pPr>
      <w:r>
        <w:rPr>
          <w:rFonts w:ascii="方正仿宋_GBK" w:hAnsi="方正仿宋_GBK" w:eastAsia="方正仿宋_GBK" w:cs="方正仿宋_GBK"/>
          <w:b/>
          <w:color w:val="000000"/>
          <w:sz w:val="28"/>
        </w:rPr>
        <w:t>3、冀财教[2024]121号/中央/2025年学前发展资金/东良校区学前教育幼儿资助绩效目标表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44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7DC5E">
            <w:pPr>
              <w:pStyle w:val="14"/>
            </w:pPr>
            <w:r>
              <w:t>单位：万元</w:t>
            </w:r>
          </w:p>
        </w:tc>
      </w:tr>
      <w:tr w14:paraId="3EB03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38B29">
            <w:pPr>
              <w:pStyle w:val="11"/>
            </w:pPr>
            <w:r>
              <w:t>项目编码</w:t>
            </w:r>
          </w:p>
        </w:tc>
        <w:tc>
          <w:tcPr>
            <w:tcW w:w="5103" w:type="dxa"/>
            <w:gridSpan w:val="2"/>
            <w:vAlign w:val="center"/>
          </w:tcPr>
          <w:p w14:paraId="7BB723F1">
            <w:pPr>
              <w:pStyle w:val="13"/>
            </w:pPr>
            <w:r>
              <w:t>13052525P00000210053T</w:t>
            </w:r>
          </w:p>
        </w:tc>
        <w:tc>
          <w:tcPr>
            <w:tcW w:w="2835" w:type="dxa"/>
            <w:vAlign w:val="center"/>
          </w:tcPr>
          <w:p w14:paraId="1F19FB3B">
            <w:pPr>
              <w:pStyle w:val="11"/>
            </w:pPr>
            <w:r>
              <w:t>项目名称</w:t>
            </w:r>
          </w:p>
        </w:tc>
        <w:tc>
          <w:tcPr>
            <w:tcW w:w="6095" w:type="dxa"/>
            <w:gridSpan w:val="3"/>
            <w:vAlign w:val="center"/>
          </w:tcPr>
          <w:p w14:paraId="52382283">
            <w:pPr>
              <w:pStyle w:val="13"/>
            </w:pPr>
            <w:r>
              <w:t>冀财教[2024]121号/中央/2025年学前发展资金/东良校区学前教育幼儿资助</w:t>
            </w:r>
          </w:p>
        </w:tc>
      </w:tr>
      <w:tr w14:paraId="2A1DA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990C9">
            <w:pPr>
              <w:pStyle w:val="11"/>
            </w:pPr>
            <w:r>
              <w:t>预算规模及资金用途</w:t>
            </w:r>
          </w:p>
        </w:tc>
        <w:tc>
          <w:tcPr>
            <w:tcW w:w="2268" w:type="dxa"/>
            <w:vAlign w:val="center"/>
          </w:tcPr>
          <w:p w14:paraId="79FCBC4B">
            <w:pPr>
              <w:pStyle w:val="11"/>
            </w:pPr>
            <w:r>
              <w:t>预算数</w:t>
            </w:r>
          </w:p>
        </w:tc>
        <w:tc>
          <w:tcPr>
            <w:tcW w:w="2835" w:type="dxa"/>
            <w:vAlign w:val="center"/>
          </w:tcPr>
          <w:p w14:paraId="19131A5D">
            <w:pPr>
              <w:pStyle w:val="13"/>
            </w:pPr>
            <w:r>
              <w:t>4.20</w:t>
            </w:r>
          </w:p>
        </w:tc>
        <w:tc>
          <w:tcPr>
            <w:tcW w:w="2835" w:type="dxa"/>
            <w:vAlign w:val="center"/>
          </w:tcPr>
          <w:p w14:paraId="131E983C">
            <w:pPr>
              <w:pStyle w:val="11"/>
            </w:pPr>
            <w:r>
              <w:t>其中：财政    资金</w:t>
            </w:r>
          </w:p>
        </w:tc>
        <w:tc>
          <w:tcPr>
            <w:tcW w:w="2551" w:type="dxa"/>
            <w:vAlign w:val="center"/>
          </w:tcPr>
          <w:p w14:paraId="0A388091">
            <w:pPr>
              <w:pStyle w:val="13"/>
            </w:pPr>
            <w:r>
              <w:t>4.20</w:t>
            </w:r>
          </w:p>
        </w:tc>
        <w:tc>
          <w:tcPr>
            <w:tcW w:w="2268" w:type="dxa"/>
            <w:vAlign w:val="center"/>
          </w:tcPr>
          <w:p w14:paraId="24177757">
            <w:pPr>
              <w:pStyle w:val="11"/>
            </w:pPr>
            <w:r>
              <w:t>其他资金</w:t>
            </w:r>
          </w:p>
        </w:tc>
        <w:tc>
          <w:tcPr>
            <w:tcW w:w="1276" w:type="dxa"/>
            <w:vAlign w:val="center"/>
          </w:tcPr>
          <w:p w14:paraId="34F98E65">
            <w:pPr>
              <w:pStyle w:val="13"/>
            </w:pPr>
            <w:r>
              <w:t xml:space="preserve"> </w:t>
            </w:r>
          </w:p>
        </w:tc>
      </w:tr>
      <w:tr w14:paraId="1C1E5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E3FF1B"/>
        </w:tc>
        <w:tc>
          <w:tcPr>
            <w:tcW w:w="14033" w:type="dxa"/>
            <w:gridSpan w:val="6"/>
            <w:vAlign w:val="center"/>
          </w:tcPr>
          <w:p w14:paraId="2D24F668">
            <w:pPr>
              <w:pStyle w:val="13"/>
            </w:pPr>
            <w:r>
              <w:t>保证本年度资助经费足额落实到位，符合享受资助条件的学生应助尽助。</w:t>
            </w:r>
          </w:p>
        </w:tc>
      </w:tr>
      <w:tr w14:paraId="2C3DA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8EA82">
            <w:pPr>
              <w:pStyle w:val="11"/>
            </w:pPr>
            <w:r>
              <w:t>资金支出计划（%）</w:t>
            </w:r>
          </w:p>
        </w:tc>
        <w:tc>
          <w:tcPr>
            <w:tcW w:w="5103" w:type="dxa"/>
            <w:gridSpan w:val="2"/>
            <w:vAlign w:val="center"/>
          </w:tcPr>
          <w:p w14:paraId="5820D374">
            <w:pPr>
              <w:pStyle w:val="11"/>
            </w:pPr>
            <w:r>
              <w:t>3月底</w:t>
            </w:r>
          </w:p>
        </w:tc>
        <w:tc>
          <w:tcPr>
            <w:tcW w:w="2835" w:type="dxa"/>
            <w:vAlign w:val="center"/>
          </w:tcPr>
          <w:p w14:paraId="15A70B1F">
            <w:pPr>
              <w:pStyle w:val="11"/>
            </w:pPr>
            <w:r>
              <w:t>6月底</w:t>
            </w:r>
          </w:p>
        </w:tc>
        <w:tc>
          <w:tcPr>
            <w:tcW w:w="2551" w:type="dxa"/>
            <w:vAlign w:val="center"/>
          </w:tcPr>
          <w:p w14:paraId="304D1B4A">
            <w:pPr>
              <w:pStyle w:val="11"/>
            </w:pPr>
            <w:r>
              <w:t>10月底</w:t>
            </w:r>
          </w:p>
        </w:tc>
        <w:tc>
          <w:tcPr>
            <w:tcW w:w="3544" w:type="dxa"/>
            <w:gridSpan w:val="2"/>
            <w:vAlign w:val="center"/>
          </w:tcPr>
          <w:p w14:paraId="22BD218B">
            <w:pPr>
              <w:pStyle w:val="11"/>
            </w:pPr>
            <w:r>
              <w:t>12月底</w:t>
            </w:r>
          </w:p>
        </w:tc>
      </w:tr>
      <w:tr w14:paraId="19071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D01300"/>
        </w:tc>
        <w:tc>
          <w:tcPr>
            <w:tcW w:w="5103" w:type="dxa"/>
            <w:gridSpan w:val="2"/>
            <w:vAlign w:val="center"/>
          </w:tcPr>
          <w:p w14:paraId="1CDB86F6">
            <w:pPr>
              <w:pStyle w:val="12"/>
            </w:pPr>
            <w:r>
              <w:t xml:space="preserve"> </w:t>
            </w:r>
          </w:p>
        </w:tc>
        <w:tc>
          <w:tcPr>
            <w:tcW w:w="2835" w:type="dxa"/>
            <w:vAlign w:val="center"/>
          </w:tcPr>
          <w:p w14:paraId="688BDBFF">
            <w:pPr>
              <w:pStyle w:val="12"/>
            </w:pPr>
            <w:r>
              <w:t xml:space="preserve"> </w:t>
            </w:r>
          </w:p>
        </w:tc>
        <w:tc>
          <w:tcPr>
            <w:tcW w:w="2551" w:type="dxa"/>
            <w:vAlign w:val="center"/>
          </w:tcPr>
          <w:p w14:paraId="3010D10D">
            <w:pPr>
              <w:pStyle w:val="12"/>
            </w:pPr>
            <w:r>
              <w:t>50%</w:t>
            </w:r>
          </w:p>
        </w:tc>
        <w:tc>
          <w:tcPr>
            <w:tcW w:w="3544" w:type="dxa"/>
            <w:gridSpan w:val="2"/>
            <w:vAlign w:val="center"/>
          </w:tcPr>
          <w:p w14:paraId="10795C37">
            <w:pPr>
              <w:pStyle w:val="12"/>
            </w:pPr>
            <w:r>
              <w:t>100%</w:t>
            </w:r>
          </w:p>
        </w:tc>
      </w:tr>
      <w:tr w14:paraId="1647F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A4EB51">
            <w:pPr>
              <w:pStyle w:val="11"/>
            </w:pPr>
            <w:r>
              <w:t>绩效目标</w:t>
            </w:r>
          </w:p>
        </w:tc>
        <w:tc>
          <w:tcPr>
            <w:tcW w:w="14033" w:type="dxa"/>
            <w:gridSpan w:val="6"/>
            <w:vAlign w:val="center"/>
          </w:tcPr>
          <w:p w14:paraId="5B9BC153">
            <w:pPr>
              <w:pStyle w:val="13"/>
            </w:pPr>
            <w:r>
              <w:t>1.保障落实建档立卡及家庭经济困难儿童资助所需资金，确保建档立卡等家庭经济困难幼儿优先获得资助。</w:t>
            </w:r>
          </w:p>
          <w:p w14:paraId="7DD4325C">
            <w:pPr>
              <w:pStyle w:val="13"/>
            </w:pPr>
            <w:r>
              <w:t>2.保证本年度资助经费足额落实到位，符合享受资助条件的学生应助尽助。</w:t>
            </w:r>
          </w:p>
        </w:tc>
      </w:tr>
    </w:tbl>
    <w:p w14:paraId="1D0EE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1D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B44AD">
            <w:pPr>
              <w:pStyle w:val="11"/>
            </w:pPr>
            <w:r>
              <w:t>一级指标</w:t>
            </w:r>
          </w:p>
        </w:tc>
        <w:tc>
          <w:tcPr>
            <w:tcW w:w="2268" w:type="dxa"/>
            <w:vAlign w:val="center"/>
          </w:tcPr>
          <w:p w14:paraId="6B17EBC9">
            <w:pPr>
              <w:pStyle w:val="11"/>
            </w:pPr>
            <w:r>
              <w:t>二级指标</w:t>
            </w:r>
          </w:p>
        </w:tc>
        <w:tc>
          <w:tcPr>
            <w:tcW w:w="2835" w:type="dxa"/>
            <w:vAlign w:val="center"/>
          </w:tcPr>
          <w:p w14:paraId="71F369FB">
            <w:pPr>
              <w:pStyle w:val="11"/>
            </w:pPr>
            <w:r>
              <w:t>三级指标</w:t>
            </w:r>
          </w:p>
        </w:tc>
        <w:tc>
          <w:tcPr>
            <w:tcW w:w="5386" w:type="dxa"/>
            <w:vAlign w:val="center"/>
          </w:tcPr>
          <w:p w14:paraId="68F01B82">
            <w:pPr>
              <w:pStyle w:val="11"/>
            </w:pPr>
            <w:r>
              <w:t>绩效指标描述</w:t>
            </w:r>
          </w:p>
        </w:tc>
        <w:tc>
          <w:tcPr>
            <w:tcW w:w="2268" w:type="dxa"/>
            <w:vAlign w:val="center"/>
          </w:tcPr>
          <w:p w14:paraId="23DE28A4">
            <w:pPr>
              <w:pStyle w:val="11"/>
            </w:pPr>
            <w:r>
              <w:t>指标值</w:t>
            </w:r>
          </w:p>
        </w:tc>
        <w:tc>
          <w:tcPr>
            <w:tcW w:w="1276" w:type="dxa"/>
            <w:vAlign w:val="center"/>
          </w:tcPr>
          <w:p w14:paraId="4D2CB7FA">
            <w:pPr>
              <w:pStyle w:val="11"/>
            </w:pPr>
            <w:r>
              <w:t>指标值确定依据</w:t>
            </w:r>
          </w:p>
        </w:tc>
      </w:tr>
      <w:tr w14:paraId="7FB43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3430C">
            <w:pPr>
              <w:pStyle w:val="12"/>
            </w:pPr>
            <w:r>
              <w:t>产出指标</w:t>
            </w:r>
          </w:p>
        </w:tc>
        <w:tc>
          <w:tcPr>
            <w:tcW w:w="2268" w:type="dxa"/>
            <w:vAlign w:val="center"/>
          </w:tcPr>
          <w:p w14:paraId="47332C3C">
            <w:pPr>
              <w:pStyle w:val="13"/>
            </w:pPr>
            <w:r>
              <w:t>成本指标</w:t>
            </w:r>
          </w:p>
        </w:tc>
        <w:tc>
          <w:tcPr>
            <w:tcW w:w="2835" w:type="dxa"/>
            <w:vAlign w:val="center"/>
          </w:tcPr>
          <w:p w14:paraId="08C6A895">
            <w:pPr>
              <w:pStyle w:val="13"/>
            </w:pPr>
            <w:r>
              <w:t>幼儿园资助标准</w:t>
            </w:r>
          </w:p>
        </w:tc>
        <w:tc>
          <w:tcPr>
            <w:tcW w:w="5386" w:type="dxa"/>
            <w:vAlign w:val="center"/>
          </w:tcPr>
          <w:p w14:paraId="1E5F31CB">
            <w:pPr>
              <w:pStyle w:val="13"/>
            </w:pPr>
            <w:r>
              <w:t>按照幼儿园资助标准1000元/生/年</w:t>
            </w:r>
          </w:p>
        </w:tc>
        <w:tc>
          <w:tcPr>
            <w:tcW w:w="2268" w:type="dxa"/>
            <w:vAlign w:val="center"/>
          </w:tcPr>
          <w:p w14:paraId="3055F896">
            <w:pPr>
              <w:pStyle w:val="13"/>
            </w:pPr>
            <w:r>
              <w:t>1000元/生/年</w:t>
            </w:r>
          </w:p>
        </w:tc>
        <w:tc>
          <w:tcPr>
            <w:tcW w:w="1276" w:type="dxa"/>
            <w:vAlign w:val="center"/>
          </w:tcPr>
          <w:p w14:paraId="6D1692FA">
            <w:pPr>
              <w:pStyle w:val="13"/>
            </w:pPr>
            <w:r>
              <w:t>幼儿资助经费管理办法</w:t>
            </w:r>
          </w:p>
        </w:tc>
      </w:tr>
      <w:tr w14:paraId="6527F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19944"/>
        </w:tc>
        <w:tc>
          <w:tcPr>
            <w:tcW w:w="2268" w:type="dxa"/>
            <w:vAlign w:val="center"/>
          </w:tcPr>
          <w:p w14:paraId="26062EE7">
            <w:pPr>
              <w:pStyle w:val="13"/>
            </w:pPr>
            <w:r>
              <w:t>数量指标</w:t>
            </w:r>
          </w:p>
        </w:tc>
        <w:tc>
          <w:tcPr>
            <w:tcW w:w="2835" w:type="dxa"/>
            <w:vAlign w:val="center"/>
          </w:tcPr>
          <w:p w14:paraId="6A595673">
            <w:pPr>
              <w:pStyle w:val="13"/>
            </w:pPr>
            <w:r>
              <w:t>幼儿资助比例</w:t>
            </w:r>
          </w:p>
        </w:tc>
        <w:tc>
          <w:tcPr>
            <w:tcW w:w="5386" w:type="dxa"/>
            <w:vAlign w:val="center"/>
          </w:tcPr>
          <w:p w14:paraId="28B6B987">
            <w:pPr>
              <w:pStyle w:val="13"/>
            </w:pPr>
            <w:r>
              <w:t>按学前适龄在园儿童10%测算</w:t>
            </w:r>
          </w:p>
        </w:tc>
        <w:tc>
          <w:tcPr>
            <w:tcW w:w="2268" w:type="dxa"/>
            <w:vAlign w:val="center"/>
          </w:tcPr>
          <w:p w14:paraId="4BC064E5">
            <w:pPr>
              <w:pStyle w:val="13"/>
            </w:pPr>
            <w:r>
              <w:t>≥10%</w:t>
            </w:r>
          </w:p>
        </w:tc>
        <w:tc>
          <w:tcPr>
            <w:tcW w:w="1276" w:type="dxa"/>
            <w:vAlign w:val="center"/>
          </w:tcPr>
          <w:p w14:paraId="21EA6691">
            <w:pPr>
              <w:pStyle w:val="13"/>
            </w:pPr>
            <w:r>
              <w:t>幼儿资助经费管理办法</w:t>
            </w:r>
          </w:p>
        </w:tc>
      </w:tr>
      <w:tr w14:paraId="4EC8E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F5678"/>
        </w:tc>
        <w:tc>
          <w:tcPr>
            <w:tcW w:w="2268" w:type="dxa"/>
            <w:vAlign w:val="center"/>
          </w:tcPr>
          <w:p w14:paraId="5241A96C">
            <w:pPr>
              <w:pStyle w:val="13"/>
            </w:pPr>
            <w:r>
              <w:t>质量指标</w:t>
            </w:r>
          </w:p>
        </w:tc>
        <w:tc>
          <w:tcPr>
            <w:tcW w:w="2835" w:type="dxa"/>
            <w:vAlign w:val="center"/>
          </w:tcPr>
          <w:p w14:paraId="47D7605E">
            <w:pPr>
              <w:pStyle w:val="13"/>
            </w:pPr>
            <w:r>
              <w:t>学前教育资助制度落实情况</w:t>
            </w:r>
          </w:p>
        </w:tc>
        <w:tc>
          <w:tcPr>
            <w:tcW w:w="5386" w:type="dxa"/>
            <w:vAlign w:val="center"/>
          </w:tcPr>
          <w:p w14:paraId="48E3A436">
            <w:pPr>
              <w:pStyle w:val="13"/>
            </w:pPr>
            <w:r>
              <w:t>符合享受资助条件的学生应助尽助</w:t>
            </w:r>
          </w:p>
        </w:tc>
        <w:tc>
          <w:tcPr>
            <w:tcW w:w="2268" w:type="dxa"/>
            <w:vAlign w:val="center"/>
          </w:tcPr>
          <w:p w14:paraId="05914CDC">
            <w:pPr>
              <w:pStyle w:val="13"/>
            </w:pPr>
            <w:r>
              <w:t>≥100%</w:t>
            </w:r>
          </w:p>
        </w:tc>
        <w:tc>
          <w:tcPr>
            <w:tcW w:w="1276" w:type="dxa"/>
            <w:vAlign w:val="center"/>
          </w:tcPr>
          <w:p w14:paraId="1ED48921">
            <w:pPr>
              <w:pStyle w:val="13"/>
            </w:pPr>
            <w:r>
              <w:t>幼儿资助经费管理办法</w:t>
            </w:r>
          </w:p>
        </w:tc>
      </w:tr>
      <w:tr w14:paraId="05C07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7C88D"/>
        </w:tc>
        <w:tc>
          <w:tcPr>
            <w:tcW w:w="2268" w:type="dxa"/>
            <w:vAlign w:val="center"/>
          </w:tcPr>
          <w:p w14:paraId="31243C0C">
            <w:pPr>
              <w:pStyle w:val="13"/>
            </w:pPr>
            <w:r>
              <w:t>时效指标</w:t>
            </w:r>
          </w:p>
        </w:tc>
        <w:tc>
          <w:tcPr>
            <w:tcW w:w="2835" w:type="dxa"/>
            <w:vAlign w:val="center"/>
          </w:tcPr>
          <w:p w14:paraId="08E17A32">
            <w:pPr>
              <w:pStyle w:val="13"/>
            </w:pPr>
            <w:r>
              <w:t>资金拨付率</w:t>
            </w:r>
          </w:p>
        </w:tc>
        <w:tc>
          <w:tcPr>
            <w:tcW w:w="5386" w:type="dxa"/>
            <w:vAlign w:val="center"/>
          </w:tcPr>
          <w:p w14:paraId="7138E714">
            <w:pPr>
              <w:pStyle w:val="13"/>
            </w:pPr>
            <w:r>
              <w:t>所有项目资金支付进度</w:t>
            </w:r>
          </w:p>
        </w:tc>
        <w:tc>
          <w:tcPr>
            <w:tcW w:w="2268" w:type="dxa"/>
            <w:vAlign w:val="center"/>
          </w:tcPr>
          <w:p w14:paraId="60DFEEE5">
            <w:pPr>
              <w:pStyle w:val="13"/>
            </w:pPr>
            <w:r>
              <w:t>≥100%</w:t>
            </w:r>
          </w:p>
        </w:tc>
        <w:tc>
          <w:tcPr>
            <w:tcW w:w="1276" w:type="dxa"/>
            <w:vAlign w:val="center"/>
          </w:tcPr>
          <w:p w14:paraId="2DACF901">
            <w:pPr>
              <w:pStyle w:val="13"/>
            </w:pPr>
            <w:r>
              <w:t>幼儿资助经费管理办法</w:t>
            </w:r>
          </w:p>
        </w:tc>
      </w:tr>
      <w:tr w14:paraId="13237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DA22A1">
            <w:pPr>
              <w:pStyle w:val="12"/>
            </w:pPr>
            <w:r>
              <w:t>效益指标</w:t>
            </w:r>
          </w:p>
        </w:tc>
        <w:tc>
          <w:tcPr>
            <w:tcW w:w="2268" w:type="dxa"/>
            <w:vAlign w:val="center"/>
          </w:tcPr>
          <w:p w14:paraId="152D25F9">
            <w:pPr>
              <w:pStyle w:val="13"/>
            </w:pPr>
            <w:r>
              <w:t>可持续影响指标</w:t>
            </w:r>
          </w:p>
        </w:tc>
        <w:tc>
          <w:tcPr>
            <w:tcW w:w="2835" w:type="dxa"/>
            <w:vAlign w:val="center"/>
          </w:tcPr>
          <w:p w14:paraId="2F4389B1">
            <w:pPr>
              <w:pStyle w:val="13"/>
            </w:pPr>
            <w:r>
              <w:t>幼儿园运转</w:t>
            </w:r>
          </w:p>
        </w:tc>
        <w:tc>
          <w:tcPr>
            <w:tcW w:w="5386" w:type="dxa"/>
            <w:vAlign w:val="center"/>
          </w:tcPr>
          <w:p w14:paraId="699F68E0">
            <w:pPr>
              <w:pStyle w:val="13"/>
            </w:pPr>
            <w:r>
              <w:t>幼儿受教育年限</w:t>
            </w:r>
          </w:p>
        </w:tc>
        <w:tc>
          <w:tcPr>
            <w:tcW w:w="2268" w:type="dxa"/>
            <w:vAlign w:val="center"/>
          </w:tcPr>
          <w:p w14:paraId="64E8CAA5">
            <w:pPr>
              <w:pStyle w:val="13"/>
            </w:pPr>
            <w:r>
              <w:t>3年</w:t>
            </w:r>
          </w:p>
        </w:tc>
        <w:tc>
          <w:tcPr>
            <w:tcW w:w="1276" w:type="dxa"/>
            <w:vAlign w:val="center"/>
          </w:tcPr>
          <w:p w14:paraId="7F5D705F">
            <w:pPr>
              <w:pStyle w:val="13"/>
            </w:pPr>
            <w:r>
              <w:t>幼儿资助经费管理办法</w:t>
            </w:r>
          </w:p>
        </w:tc>
      </w:tr>
      <w:tr w14:paraId="5F308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0987F8">
            <w:pPr>
              <w:pStyle w:val="12"/>
            </w:pPr>
            <w:r>
              <w:t>满意度指标</w:t>
            </w:r>
          </w:p>
        </w:tc>
        <w:tc>
          <w:tcPr>
            <w:tcW w:w="2268" w:type="dxa"/>
            <w:vAlign w:val="center"/>
          </w:tcPr>
          <w:p w14:paraId="0FC178A0">
            <w:pPr>
              <w:pStyle w:val="13"/>
            </w:pPr>
            <w:r>
              <w:t>服务对象满意度指标</w:t>
            </w:r>
          </w:p>
        </w:tc>
        <w:tc>
          <w:tcPr>
            <w:tcW w:w="2835" w:type="dxa"/>
            <w:vAlign w:val="center"/>
          </w:tcPr>
          <w:p w14:paraId="31944E88">
            <w:pPr>
              <w:pStyle w:val="13"/>
            </w:pPr>
            <w:r>
              <w:t>受益幼儿家长及调查满意度</w:t>
            </w:r>
          </w:p>
        </w:tc>
        <w:tc>
          <w:tcPr>
            <w:tcW w:w="5386" w:type="dxa"/>
            <w:vAlign w:val="center"/>
          </w:tcPr>
          <w:p w14:paraId="679ADE65">
            <w:pPr>
              <w:pStyle w:val="13"/>
            </w:pPr>
            <w:r>
              <w:t>学生、教师及家长对学校保教保育工作满意度情况</w:t>
            </w:r>
          </w:p>
        </w:tc>
        <w:tc>
          <w:tcPr>
            <w:tcW w:w="2268" w:type="dxa"/>
            <w:vAlign w:val="center"/>
          </w:tcPr>
          <w:p w14:paraId="4336DF20">
            <w:pPr>
              <w:pStyle w:val="13"/>
            </w:pPr>
            <w:r>
              <w:t>≥95%</w:t>
            </w:r>
          </w:p>
        </w:tc>
        <w:tc>
          <w:tcPr>
            <w:tcW w:w="1276" w:type="dxa"/>
            <w:vAlign w:val="center"/>
          </w:tcPr>
          <w:p w14:paraId="6DA59502">
            <w:pPr>
              <w:pStyle w:val="13"/>
            </w:pPr>
            <w:r>
              <w:t>幼儿资助经费管理办法</w:t>
            </w:r>
          </w:p>
        </w:tc>
      </w:tr>
    </w:tbl>
    <w:p w14:paraId="61C6319F">
      <w:pPr>
        <w:sectPr>
          <w:pgSz w:w="16840" w:h="11900" w:orient="landscape"/>
          <w:pgMar w:top="1361" w:right="1020" w:bottom="1134" w:left="1020" w:header="720" w:footer="720" w:gutter="0"/>
          <w:cols w:space="720" w:num="1"/>
        </w:sectPr>
      </w:pPr>
    </w:p>
    <w:p w14:paraId="21B67679">
      <w:pPr>
        <w:spacing w:before="0" w:after="0"/>
        <w:ind w:firstLine="560"/>
        <w:jc w:val="left"/>
        <w:outlineLvl w:val="9"/>
      </w:pPr>
      <w:r>
        <w:rPr>
          <w:rFonts w:ascii="方正仿宋_GBK" w:hAnsi="方正仿宋_GBK" w:eastAsia="方正仿宋_GBK" w:cs="方正仿宋_GBK"/>
          <w:b/>
          <w:color w:val="000000"/>
          <w:sz w:val="28"/>
        </w:rPr>
        <w:t>4、冀财教[2024]121号/中央/2025年学前教育发展/东良幼儿园厕所改造及封阳台绩效目标表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68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9A7C2">
            <w:pPr>
              <w:pStyle w:val="14"/>
            </w:pPr>
            <w:r>
              <w:t>单位：万元</w:t>
            </w:r>
          </w:p>
        </w:tc>
      </w:tr>
      <w:tr w14:paraId="79F6D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64314D">
            <w:pPr>
              <w:pStyle w:val="11"/>
            </w:pPr>
            <w:r>
              <w:t>项目编码</w:t>
            </w:r>
          </w:p>
        </w:tc>
        <w:tc>
          <w:tcPr>
            <w:tcW w:w="5103" w:type="dxa"/>
            <w:gridSpan w:val="2"/>
            <w:vAlign w:val="center"/>
          </w:tcPr>
          <w:p w14:paraId="515089C4">
            <w:pPr>
              <w:pStyle w:val="13"/>
            </w:pPr>
            <w:r>
              <w:t>13052525P00876910003D</w:t>
            </w:r>
          </w:p>
        </w:tc>
        <w:tc>
          <w:tcPr>
            <w:tcW w:w="2835" w:type="dxa"/>
            <w:vAlign w:val="center"/>
          </w:tcPr>
          <w:p w14:paraId="068FD51B">
            <w:pPr>
              <w:pStyle w:val="11"/>
            </w:pPr>
            <w:r>
              <w:t>项目名称</w:t>
            </w:r>
          </w:p>
        </w:tc>
        <w:tc>
          <w:tcPr>
            <w:tcW w:w="6095" w:type="dxa"/>
            <w:gridSpan w:val="3"/>
            <w:vAlign w:val="center"/>
          </w:tcPr>
          <w:p w14:paraId="06D1FCC3">
            <w:pPr>
              <w:pStyle w:val="13"/>
            </w:pPr>
            <w:r>
              <w:t>冀财教[2024]121号/中央/2025年学前教育发展/东良幼儿园厕所改造及封阳台</w:t>
            </w:r>
          </w:p>
        </w:tc>
      </w:tr>
      <w:tr w14:paraId="27C74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84C8D">
            <w:pPr>
              <w:pStyle w:val="11"/>
            </w:pPr>
            <w:r>
              <w:t>预算规模及资金用途</w:t>
            </w:r>
          </w:p>
        </w:tc>
        <w:tc>
          <w:tcPr>
            <w:tcW w:w="2268" w:type="dxa"/>
            <w:vAlign w:val="center"/>
          </w:tcPr>
          <w:p w14:paraId="61640FC6">
            <w:pPr>
              <w:pStyle w:val="11"/>
            </w:pPr>
            <w:r>
              <w:t>预算数</w:t>
            </w:r>
          </w:p>
        </w:tc>
        <w:tc>
          <w:tcPr>
            <w:tcW w:w="2835" w:type="dxa"/>
            <w:vAlign w:val="center"/>
          </w:tcPr>
          <w:p w14:paraId="7CEACE84">
            <w:pPr>
              <w:pStyle w:val="13"/>
            </w:pPr>
            <w:r>
              <w:t>12.50</w:t>
            </w:r>
          </w:p>
        </w:tc>
        <w:tc>
          <w:tcPr>
            <w:tcW w:w="2835" w:type="dxa"/>
            <w:vAlign w:val="center"/>
          </w:tcPr>
          <w:p w14:paraId="0DF7FE52">
            <w:pPr>
              <w:pStyle w:val="11"/>
            </w:pPr>
            <w:r>
              <w:t>其中：财政    资金</w:t>
            </w:r>
          </w:p>
        </w:tc>
        <w:tc>
          <w:tcPr>
            <w:tcW w:w="2551" w:type="dxa"/>
            <w:vAlign w:val="center"/>
          </w:tcPr>
          <w:p w14:paraId="5B73A0A9">
            <w:pPr>
              <w:pStyle w:val="13"/>
            </w:pPr>
            <w:r>
              <w:t>12.50</w:t>
            </w:r>
          </w:p>
        </w:tc>
        <w:tc>
          <w:tcPr>
            <w:tcW w:w="2268" w:type="dxa"/>
            <w:vAlign w:val="center"/>
          </w:tcPr>
          <w:p w14:paraId="4ED33B43">
            <w:pPr>
              <w:pStyle w:val="11"/>
            </w:pPr>
            <w:r>
              <w:t>其他资金</w:t>
            </w:r>
          </w:p>
        </w:tc>
        <w:tc>
          <w:tcPr>
            <w:tcW w:w="1276" w:type="dxa"/>
            <w:vAlign w:val="center"/>
          </w:tcPr>
          <w:p w14:paraId="2D9AF184">
            <w:pPr>
              <w:pStyle w:val="13"/>
            </w:pPr>
            <w:r>
              <w:t xml:space="preserve"> </w:t>
            </w:r>
          </w:p>
        </w:tc>
      </w:tr>
      <w:tr w14:paraId="7DC60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2A76B3"/>
        </w:tc>
        <w:tc>
          <w:tcPr>
            <w:tcW w:w="14033" w:type="dxa"/>
            <w:gridSpan w:val="6"/>
            <w:vAlign w:val="center"/>
          </w:tcPr>
          <w:p w14:paraId="1429EADA">
            <w:pPr>
              <w:pStyle w:val="13"/>
            </w:pPr>
            <w:r>
              <w:t>完成东良幼儿园厕所改造及封阳台，满足学校正常教学需要。</w:t>
            </w:r>
          </w:p>
        </w:tc>
      </w:tr>
      <w:tr w14:paraId="2BDB8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EAEE4">
            <w:pPr>
              <w:pStyle w:val="11"/>
            </w:pPr>
            <w:r>
              <w:t>资金支出计划（%）</w:t>
            </w:r>
          </w:p>
        </w:tc>
        <w:tc>
          <w:tcPr>
            <w:tcW w:w="5103" w:type="dxa"/>
            <w:gridSpan w:val="2"/>
            <w:vAlign w:val="center"/>
          </w:tcPr>
          <w:p w14:paraId="405FA7B4">
            <w:pPr>
              <w:pStyle w:val="11"/>
            </w:pPr>
            <w:r>
              <w:t>3月底</w:t>
            </w:r>
          </w:p>
        </w:tc>
        <w:tc>
          <w:tcPr>
            <w:tcW w:w="2835" w:type="dxa"/>
            <w:vAlign w:val="center"/>
          </w:tcPr>
          <w:p w14:paraId="0D80C6AE">
            <w:pPr>
              <w:pStyle w:val="11"/>
            </w:pPr>
            <w:r>
              <w:t>6月底</w:t>
            </w:r>
          </w:p>
        </w:tc>
        <w:tc>
          <w:tcPr>
            <w:tcW w:w="2551" w:type="dxa"/>
            <w:vAlign w:val="center"/>
          </w:tcPr>
          <w:p w14:paraId="5850BE94">
            <w:pPr>
              <w:pStyle w:val="11"/>
            </w:pPr>
            <w:r>
              <w:t>10月底</w:t>
            </w:r>
          </w:p>
        </w:tc>
        <w:tc>
          <w:tcPr>
            <w:tcW w:w="3544" w:type="dxa"/>
            <w:gridSpan w:val="2"/>
            <w:vAlign w:val="center"/>
          </w:tcPr>
          <w:p w14:paraId="2F3386E6">
            <w:pPr>
              <w:pStyle w:val="11"/>
            </w:pPr>
            <w:r>
              <w:t>12月底</w:t>
            </w:r>
          </w:p>
        </w:tc>
      </w:tr>
      <w:tr w14:paraId="30B11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5B278E"/>
        </w:tc>
        <w:tc>
          <w:tcPr>
            <w:tcW w:w="5103" w:type="dxa"/>
            <w:gridSpan w:val="2"/>
            <w:vAlign w:val="center"/>
          </w:tcPr>
          <w:p w14:paraId="040FAD7E">
            <w:pPr>
              <w:pStyle w:val="12"/>
            </w:pPr>
            <w:r>
              <w:t xml:space="preserve"> </w:t>
            </w:r>
          </w:p>
        </w:tc>
        <w:tc>
          <w:tcPr>
            <w:tcW w:w="2835" w:type="dxa"/>
            <w:vAlign w:val="center"/>
          </w:tcPr>
          <w:p w14:paraId="67C4B80A">
            <w:pPr>
              <w:pStyle w:val="12"/>
            </w:pPr>
            <w:r>
              <w:t>50%</w:t>
            </w:r>
          </w:p>
        </w:tc>
        <w:tc>
          <w:tcPr>
            <w:tcW w:w="2551" w:type="dxa"/>
            <w:vAlign w:val="center"/>
          </w:tcPr>
          <w:p w14:paraId="58A997D2">
            <w:pPr>
              <w:pStyle w:val="12"/>
            </w:pPr>
            <w:r>
              <w:t xml:space="preserve"> </w:t>
            </w:r>
          </w:p>
        </w:tc>
        <w:tc>
          <w:tcPr>
            <w:tcW w:w="3544" w:type="dxa"/>
            <w:gridSpan w:val="2"/>
            <w:vAlign w:val="center"/>
          </w:tcPr>
          <w:p w14:paraId="5914B18D">
            <w:pPr>
              <w:pStyle w:val="12"/>
            </w:pPr>
            <w:r>
              <w:t>100%</w:t>
            </w:r>
          </w:p>
        </w:tc>
      </w:tr>
      <w:tr w14:paraId="61D5E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2A38B">
            <w:pPr>
              <w:pStyle w:val="11"/>
            </w:pPr>
            <w:r>
              <w:t>绩效目标</w:t>
            </w:r>
          </w:p>
        </w:tc>
        <w:tc>
          <w:tcPr>
            <w:tcW w:w="14033" w:type="dxa"/>
            <w:gridSpan w:val="6"/>
            <w:vAlign w:val="center"/>
          </w:tcPr>
          <w:p w14:paraId="6E510953">
            <w:pPr>
              <w:pStyle w:val="13"/>
            </w:pPr>
            <w:r>
              <w:t>1.完成东良幼儿园厕所改造及封阳台，</w:t>
            </w:r>
          </w:p>
          <w:p w14:paraId="227C410C">
            <w:pPr>
              <w:pStyle w:val="13"/>
            </w:pPr>
            <w:r>
              <w:t>满足学校正常教学需要。</w:t>
            </w:r>
          </w:p>
          <w:p w14:paraId="4162E8DD">
            <w:pPr>
              <w:pStyle w:val="13"/>
            </w:pPr>
            <w:r>
              <w:t>2.按规定拨付专项资金，资金支付率达到100%。</w:t>
            </w:r>
          </w:p>
        </w:tc>
      </w:tr>
    </w:tbl>
    <w:p w14:paraId="3791A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AE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148D6">
            <w:pPr>
              <w:pStyle w:val="11"/>
            </w:pPr>
            <w:r>
              <w:t>一级指标</w:t>
            </w:r>
          </w:p>
        </w:tc>
        <w:tc>
          <w:tcPr>
            <w:tcW w:w="2268" w:type="dxa"/>
            <w:vAlign w:val="center"/>
          </w:tcPr>
          <w:p w14:paraId="17AFFA27">
            <w:pPr>
              <w:pStyle w:val="11"/>
            </w:pPr>
            <w:r>
              <w:t>二级指标</w:t>
            </w:r>
          </w:p>
        </w:tc>
        <w:tc>
          <w:tcPr>
            <w:tcW w:w="2835" w:type="dxa"/>
            <w:vAlign w:val="center"/>
          </w:tcPr>
          <w:p w14:paraId="29E51ABC">
            <w:pPr>
              <w:pStyle w:val="11"/>
            </w:pPr>
            <w:r>
              <w:t>三级指标</w:t>
            </w:r>
          </w:p>
        </w:tc>
        <w:tc>
          <w:tcPr>
            <w:tcW w:w="5386" w:type="dxa"/>
            <w:vAlign w:val="center"/>
          </w:tcPr>
          <w:p w14:paraId="4590D503">
            <w:pPr>
              <w:pStyle w:val="11"/>
            </w:pPr>
            <w:r>
              <w:t>绩效指标描述</w:t>
            </w:r>
          </w:p>
        </w:tc>
        <w:tc>
          <w:tcPr>
            <w:tcW w:w="2268" w:type="dxa"/>
            <w:vAlign w:val="center"/>
          </w:tcPr>
          <w:p w14:paraId="42C59228">
            <w:pPr>
              <w:pStyle w:val="11"/>
            </w:pPr>
            <w:r>
              <w:t>指标值</w:t>
            </w:r>
          </w:p>
        </w:tc>
        <w:tc>
          <w:tcPr>
            <w:tcW w:w="1276" w:type="dxa"/>
            <w:vAlign w:val="center"/>
          </w:tcPr>
          <w:p w14:paraId="4589FB82">
            <w:pPr>
              <w:pStyle w:val="11"/>
            </w:pPr>
            <w:r>
              <w:t>指标值确定依据</w:t>
            </w:r>
          </w:p>
        </w:tc>
      </w:tr>
      <w:tr w14:paraId="0C27F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DC106">
            <w:pPr>
              <w:pStyle w:val="12"/>
            </w:pPr>
            <w:r>
              <w:t>产出指标</w:t>
            </w:r>
          </w:p>
        </w:tc>
        <w:tc>
          <w:tcPr>
            <w:tcW w:w="2268" w:type="dxa"/>
            <w:vAlign w:val="center"/>
          </w:tcPr>
          <w:p w14:paraId="5CEEFE8C">
            <w:pPr>
              <w:pStyle w:val="13"/>
            </w:pPr>
            <w:r>
              <w:t>数量指标</w:t>
            </w:r>
          </w:p>
        </w:tc>
        <w:tc>
          <w:tcPr>
            <w:tcW w:w="2835" w:type="dxa"/>
            <w:vAlign w:val="center"/>
          </w:tcPr>
          <w:p w14:paraId="536EAE97">
            <w:pPr>
              <w:pStyle w:val="13"/>
            </w:pPr>
            <w:r>
              <w:t>厕所改造及封阳台</w:t>
            </w:r>
          </w:p>
        </w:tc>
        <w:tc>
          <w:tcPr>
            <w:tcW w:w="5386" w:type="dxa"/>
            <w:vAlign w:val="center"/>
          </w:tcPr>
          <w:p w14:paraId="590A99F5">
            <w:pPr>
              <w:pStyle w:val="13"/>
            </w:pPr>
            <w:r>
              <w:t>厕所改造及封阳台</w:t>
            </w:r>
          </w:p>
        </w:tc>
        <w:tc>
          <w:tcPr>
            <w:tcW w:w="2268" w:type="dxa"/>
            <w:vAlign w:val="center"/>
          </w:tcPr>
          <w:p w14:paraId="1A37C808">
            <w:pPr>
              <w:pStyle w:val="13"/>
            </w:pPr>
            <w:r>
              <w:t>12.5万元</w:t>
            </w:r>
          </w:p>
        </w:tc>
        <w:tc>
          <w:tcPr>
            <w:tcW w:w="1276" w:type="dxa"/>
            <w:vAlign w:val="center"/>
          </w:tcPr>
          <w:p w14:paraId="5CEDCB98">
            <w:pPr>
              <w:pStyle w:val="13"/>
            </w:pPr>
            <w:r>
              <w:t>城乡义务教育公用经费管理办法</w:t>
            </w:r>
          </w:p>
        </w:tc>
      </w:tr>
      <w:tr w14:paraId="54CA7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42D04"/>
        </w:tc>
        <w:tc>
          <w:tcPr>
            <w:tcW w:w="2268" w:type="dxa"/>
            <w:vAlign w:val="center"/>
          </w:tcPr>
          <w:p w14:paraId="5870FCE6">
            <w:pPr>
              <w:pStyle w:val="13"/>
            </w:pPr>
            <w:r>
              <w:t>质量指标</w:t>
            </w:r>
          </w:p>
        </w:tc>
        <w:tc>
          <w:tcPr>
            <w:tcW w:w="2835" w:type="dxa"/>
            <w:vAlign w:val="center"/>
          </w:tcPr>
          <w:p w14:paraId="3E88DC6A">
            <w:pPr>
              <w:pStyle w:val="13"/>
            </w:pPr>
            <w:r>
              <w:t>资金支付率</w:t>
            </w:r>
          </w:p>
        </w:tc>
        <w:tc>
          <w:tcPr>
            <w:tcW w:w="5386" w:type="dxa"/>
            <w:vAlign w:val="center"/>
          </w:tcPr>
          <w:p w14:paraId="6ACCA00A">
            <w:pPr>
              <w:pStyle w:val="13"/>
            </w:pPr>
            <w:r>
              <w:t>按照序时进度完成资金支付</w:t>
            </w:r>
          </w:p>
        </w:tc>
        <w:tc>
          <w:tcPr>
            <w:tcW w:w="2268" w:type="dxa"/>
            <w:vAlign w:val="center"/>
          </w:tcPr>
          <w:p w14:paraId="7FF65BD2">
            <w:pPr>
              <w:pStyle w:val="13"/>
            </w:pPr>
            <w:r>
              <w:t>≥100%</w:t>
            </w:r>
          </w:p>
        </w:tc>
        <w:tc>
          <w:tcPr>
            <w:tcW w:w="1276" w:type="dxa"/>
            <w:vAlign w:val="center"/>
          </w:tcPr>
          <w:p w14:paraId="6D47EC18">
            <w:pPr>
              <w:pStyle w:val="13"/>
            </w:pPr>
            <w:r>
              <w:t>城乡义务教育公用经费管理办法</w:t>
            </w:r>
          </w:p>
        </w:tc>
      </w:tr>
      <w:tr w14:paraId="6880C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D5CAA"/>
        </w:tc>
        <w:tc>
          <w:tcPr>
            <w:tcW w:w="2268" w:type="dxa"/>
            <w:vAlign w:val="center"/>
          </w:tcPr>
          <w:p w14:paraId="046B0421">
            <w:pPr>
              <w:pStyle w:val="13"/>
            </w:pPr>
            <w:r>
              <w:t>时效指标</w:t>
            </w:r>
          </w:p>
        </w:tc>
        <w:tc>
          <w:tcPr>
            <w:tcW w:w="2835" w:type="dxa"/>
            <w:vAlign w:val="center"/>
          </w:tcPr>
          <w:p w14:paraId="0E62004A">
            <w:pPr>
              <w:pStyle w:val="13"/>
            </w:pPr>
            <w:r>
              <w:t>项目竣工验收合格率</w:t>
            </w:r>
          </w:p>
        </w:tc>
        <w:tc>
          <w:tcPr>
            <w:tcW w:w="5386" w:type="dxa"/>
            <w:vAlign w:val="center"/>
          </w:tcPr>
          <w:p w14:paraId="5204780D">
            <w:pPr>
              <w:pStyle w:val="13"/>
            </w:pPr>
            <w:r>
              <w:t>项目改造质量达标率</w:t>
            </w:r>
          </w:p>
        </w:tc>
        <w:tc>
          <w:tcPr>
            <w:tcW w:w="2268" w:type="dxa"/>
            <w:vAlign w:val="center"/>
          </w:tcPr>
          <w:p w14:paraId="69DD0EEF">
            <w:pPr>
              <w:pStyle w:val="13"/>
            </w:pPr>
            <w:r>
              <w:t>≥100%</w:t>
            </w:r>
          </w:p>
        </w:tc>
        <w:tc>
          <w:tcPr>
            <w:tcW w:w="1276" w:type="dxa"/>
            <w:vAlign w:val="center"/>
          </w:tcPr>
          <w:p w14:paraId="5F1EA2BE">
            <w:pPr>
              <w:pStyle w:val="13"/>
            </w:pPr>
            <w:r>
              <w:t>城乡义务教育公用经费管理办法</w:t>
            </w:r>
          </w:p>
        </w:tc>
      </w:tr>
      <w:tr w14:paraId="4C73E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27524"/>
        </w:tc>
        <w:tc>
          <w:tcPr>
            <w:tcW w:w="2268" w:type="dxa"/>
            <w:vAlign w:val="center"/>
          </w:tcPr>
          <w:p w14:paraId="14827447">
            <w:pPr>
              <w:pStyle w:val="13"/>
            </w:pPr>
            <w:r>
              <w:t>成本指标</w:t>
            </w:r>
          </w:p>
        </w:tc>
        <w:tc>
          <w:tcPr>
            <w:tcW w:w="2835" w:type="dxa"/>
            <w:vAlign w:val="center"/>
          </w:tcPr>
          <w:p w14:paraId="20383BDA">
            <w:pPr>
              <w:pStyle w:val="13"/>
            </w:pPr>
            <w:r>
              <w:t>项目实际成本</w:t>
            </w:r>
          </w:p>
        </w:tc>
        <w:tc>
          <w:tcPr>
            <w:tcW w:w="5386" w:type="dxa"/>
            <w:vAlign w:val="center"/>
          </w:tcPr>
          <w:p w14:paraId="6D22F812">
            <w:pPr>
              <w:pStyle w:val="13"/>
            </w:pPr>
            <w:r>
              <w:t>厕所改造及封阳台</w:t>
            </w:r>
          </w:p>
        </w:tc>
        <w:tc>
          <w:tcPr>
            <w:tcW w:w="2268" w:type="dxa"/>
            <w:vAlign w:val="center"/>
          </w:tcPr>
          <w:p w14:paraId="58A217C2">
            <w:pPr>
              <w:pStyle w:val="13"/>
            </w:pPr>
            <w:r>
              <w:t>12.5万元</w:t>
            </w:r>
          </w:p>
        </w:tc>
        <w:tc>
          <w:tcPr>
            <w:tcW w:w="1276" w:type="dxa"/>
            <w:vAlign w:val="center"/>
          </w:tcPr>
          <w:p w14:paraId="121F2A24">
            <w:pPr>
              <w:pStyle w:val="13"/>
            </w:pPr>
            <w:r>
              <w:t>城乡义务教育公用经费管理办法</w:t>
            </w:r>
          </w:p>
        </w:tc>
      </w:tr>
      <w:tr w14:paraId="1FE9C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FCF57">
            <w:pPr>
              <w:pStyle w:val="12"/>
            </w:pPr>
            <w:r>
              <w:t>效益指标</w:t>
            </w:r>
          </w:p>
        </w:tc>
        <w:tc>
          <w:tcPr>
            <w:tcW w:w="2268" w:type="dxa"/>
            <w:vAlign w:val="center"/>
          </w:tcPr>
          <w:p w14:paraId="211419A0">
            <w:pPr>
              <w:pStyle w:val="13"/>
            </w:pPr>
            <w:r>
              <w:t>经济效益指标</w:t>
            </w:r>
          </w:p>
        </w:tc>
        <w:tc>
          <w:tcPr>
            <w:tcW w:w="2835" w:type="dxa"/>
            <w:vAlign w:val="center"/>
          </w:tcPr>
          <w:p w14:paraId="2F433989">
            <w:pPr>
              <w:pStyle w:val="13"/>
            </w:pPr>
            <w:r>
              <w:t>教育发展水平</w:t>
            </w:r>
          </w:p>
        </w:tc>
        <w:tc>
          <w:tcPr>
            <w:tcW w:w="5386" w:type="dxa"/>
            <w:vAlign w:val="center"/>
          </w:tcPr>
          <w:p w14:paraId="02B8D2F0">
            <w:pPr>
              <w:pStyle w:val="13"/>
            </w:pPr>
            <w:r>
              <w:t>辖区内教育环境明显好转</w:t>
            </w:r>
          </w:p>
        </w:tc>
        <w:tc>
          <w:tcPr>
            <w:tcW w:w="2268" w:type="dxa"/>
            <w:vAlign w:val="center"/>
          </w:tcPr>
          <w:p w14:paraId="375FF4FE">
            <w:pPr>
              <w:pStyle w:val="13"/>
            </w:pPr>
            <w:r>
              <w:t>≥95%</w:t>
            </w:r>
          </w:p>
        </w:tc>
        <w:tc>
          <w:tcPr>
            <w:tcW w:w="1276" w:type="dxa"/>
            <w:vAlign w:val="center"/>
          </w:tcPr>
          <w:p w14:paraId="46229C7C">
            <w:pPr>
              <w:pStyle w:val="13"/>
            </w:pPr>
            <w:r>
              <w:t>城乡义务教育公用经费管理办法</w:t>
            </w:r>
          </w:p>
        </w:tc>
      </w:tr>
      <w:tr w14:paraId="55901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6FBB2"/>
        </w:tc>
        <w:tc>
          <w:tcPr>
            <w:tcW w:w="2268" w:type="dxa"/>
            <w:vAlign w:val="center"/>
          </w:tcPr>
          <w:p w14:paraId="53257A8A">
            <w:pPr>
              <w:pStyle w:val="13"/>
            </w:pPr>
            <w:r>
              <w:t>社会效益指标</w:t>
            </w:r>
          </w:p>
        </w:tc>
        <w:tc>
          <w:tcPr>
            <w:tcW w:w="2835" w:type="dxa"/>
            <w:vAlign w:val="center"/>
          </w:tcPr>
          <w:p w14:paraId="6271CE5D">
            <w:pPr>
              <w:pStyle w:val="13"/>
            </w:pPr>
            <w:r>
              <w:t>校园环境</w:t>
            </w:r>
          </w:p>
        </w:tc>
        <w:tc>
          <w:tcPr>
            <w:tcW w:w="5386" w:type="dxa"/>
            <w:vAlign w:val="center"/>
          </w:tcPr>
          <w:p w14:paraId="1469D183">
            <w:pPr>
              <w:pStyle w:val="13"/>
            </w:pPr>
            <w:r>
              <w:t>办学条件和环境得到改善</w:t>
            </w:r>
          </w:p>
        </w:tc>
        <w:tc>
          <w:tcPr>
            <w:tcW w:w="2268" w:type="dxa"/>
            <w:vAlign w:val="center"/>
          </w:tcPr>
          <w:p w14:paraId="2DA087B9">
            <w:pPr>
              <w:pStyle w:val="13"/>
            </w:pPr>
            <w:r>
              <w:t>≥95%</w:t>
            </w:r>
          </w:p>
        </w:tc>
        <w:tc>
          <w:tcPr>
            <w:tcW w:w="1276" w:type="dxa"/>
            <w:vAlign w:val="center"/>
          </w:tcPr>
          <w:p w14:paraId="2FD58D66">
            <w:pPr>
              <w:pStyle w:val="13"/>
            </w:pPr>
            <w:r>
              <w:t>城乡义务教育公用经费管理办法</w:t>
            </w:r>
          </w:p>
        </w:tc>
      </w:tr>
      <w:tr w14:paraId="266BA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47EBB0">
            <w:pPr>
              <w:pStyle w:val="12"/>
            </w:pPr>
            <w:r>
              <w:t>满意度指标</w:t>
            </w:r>
          </w:p>
        </w:tc>
        <w:tc>
          <w:tcPr>
            <w:tcW w:w="2268" w:type="dxa"/>
            <w:vAlign w:val="center"/>
          </w:tcPr>
          <w:p w14:paraId="18140F2E">
            <w:pPr>
              <w:pStyle w:val="13"/>
            </w:pPr>
            <w:r>
              <w:t>服务对象满意度指标</w:t>
            </w:r>
          </w:p>
        </w:tc>
        <w:tc>
          <w:tcPr>
            <w:tcW w:w="2835" w:type="dxa"/>
            <w:vAlign w:val="center"/>
          </w:tcPr>
          <w:p w14:paraId="0506D9F3">
            <w:pPr>
              <w:pStyle w:val="13"/>
            </w:pPr>
            <w:r>
              <w:t>受益学生家长及调查满意度</w:t>
            </w:r>
          </w:p>
        </w:tc>
        <w:tc>
          <w:tcPr>
            <w:tcW w:w="5386" w:type="dxa"/>
            <w:vAlign w:val="center"/>
          </w:tcPr>
          <w:p w14:paraId="1EED3A4A">
            <w:pPr>
              <w:pStyle w:val="13"/>
            </w:pPr>
            <w:r>
              <w:t>学生、教师及家长对学校工作满意度情况</w:t>
            </w:r>
          </w:p>
        </w:tc>
        <w:tc>
          <w:tcPr>
            <w:tcW w:w="2268" w:type="dxa"/>
            <w:vAlign w:val="center"/>
          </w:tcPr>
          <w:p w14:paraId="1B7CD229">
            <w:pPr>
              <w:pStyle w:val="13"/>
            </w:pPr>
            <w:r>
              <w:t>≥95%</w:t>
            </w:r>
          </w:p>
        </w:tc>
        <w:tc>
          <w:tcPr>
            <w:tcW w:w="1276" w:type="dxa"/>
            <w:vAlign w:val="center"/>
          </w:tcPr>
          <w:p w14:paraId="431774B9">
            <w:pPr>
              <w:pStyle w:val="13"/>
            </w:pPr>
            <w:r>
              <w:t>城乡义务教育公用经费管理办法</w:t>
            </w:r>
          </w:p>
        </w:tc>
      </w:tr>
    </w:tbl>
    <w:p w14:paraId="704039D7">
      <w:pPr>
        <w:sectPr>
          <w:pgSz w:w="16840" w:h="11900" w:orient="landscape"/>
          <w:pgMar w:top="1361" w:right="1020" w:bottom="1134" w:left="1020" w:header="720" w:footer="720" w:gutter="0"/>
          <w:cols w:space="720" w:num="1"/>
        </w:sectPr>
      </w:pPr>
    </w:p>
    <w:p w14:paraId="2B95B38B">
      <w:pPr>
        <w:spacing w:before="0" w:after="0"/>
        <w:ind w:firstLine="560"/>
        <w:jc w:val="left"/>
        <w:outlineLvl w:val="9"/>
      </w:pPr>
      <w:r>
        <w:rPr>
          <w:rFonts w:ascii="方正仿宋_GBK" w:hAnsi="方正仿宋_GBK" w:eastAsia="方正仿宋_GBK" w:cs="方正仿宋_GBK"/>
          <w:b/>
          <w:color w:val="000000"/>
          <w:sz w:val="28"/>
        </w:rPr>
        <w:t>5、冀财教[2024]121号/中央/2025年学前教育发展/周村幼儿园空调购置绩效目标表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B6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4D778">
            <w:pPr>
              <w:pStyle w:val="14"/>
            </w:pPr>
            <w:r>
              <w:t>单位：万元</w:t>
            </w:r>
          </w:p>
        </w:tc>
      </w:tr>
      <w:tr w14:paraId="109D6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D7F55">
            <w:pPr>
              <w:pStyle w:val="11"/>
            </w:pPr>
            <w:r>
              <w:t>项目编码</w:t>
            </w:r>
          </w:p>
        </w:tc>
        <w:tc>
          <w:tcPr>
            <w:tcW w:w="5103" w:type="dxa"/>
            <w:gridSpan w:val="2"/>
            <w:vAlign w:val="center"/>
          </w:tcPr>
          <w:p w14:paraId="6BE7C388">
            <w:pPr>
              <w:pStyle w:val="13"/>
            </w:pPr>
            <w:r>
              <w:t>13052525P008769100164</w:t>
            </w:r>
          </w:p>
        </w:tc>
        <w:tc>
          <w:tcPr>
            <w:tcW w:w="2835" w:type="dxa"/>
            <w:vAlign w:val="center"/>
          </w:tcPr>
          <w:p w14:paraId="2151E2EE">
            <w:pPr>
              <w:pStyle w:val="11"/>
            </w:pPr>
            <w:r>
              <w:t>项目名称</w:t>
            </w:r>
          </w:p>
        </w:tc>
        <w:tc>
          <w:tcPr>
            <w:tcW w:w="6095" w:type="dxa"/>
            <w:gridSpan w:val="3"/>
            <w:vAlign w:val="center"/>
          </w:tcPr>
          <w:p w14:paraId="2F2DC67B">
            <w:pPr>
              <w:pStyle w:val="13"/>
            </w:pPr>
            <w:r>
              <w:t>冀财教[2024]121号/中央/2025年学前教育发展/周村幼儿园空调购置</w:t>
            </w:r>
          </w:p>
        </w:tc>
      </w:tr>
      <w:tr w14:paraId="2EAD6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CE4D6">
            <w:pPr>
              <w:pStyle w:val="11"/>
            </w:pPr>
            <w:r>
              <w:t>预算规模及资金用途</w:t>
            </w:r>
          </w:p>
        </w:tc>
        <w:tc>
          <w:tcPr>
            <w:tcW w:w="2268" w:type="dxa"/>
            <w:vAlign w:val="center"/>
          </w:tcPr>
          <w:p w14:paraId="5BC73654">
            <w:pPr>
              <w:pStyle w:val="11"/>
            </w:pPr>
            <w:r>
              <w:t>预算数</w:t>
            </w:r>
          </w:p>
        </w:tc>
        <w:tc>
          <w:tcPr>
            <w:tcW w:w="2835" w:type="dxa"/>
            <w:vAlign w:val="center"/>
          </w:tcPr>
          <w:p w14:paraId="26D92552">
            <w:pPr>
              <w:pStyle w:val="13"/>
            </w:pPr>
            <w:r>
              <w:t>5.50</w:t>
            </w:r>
          </w:p>
        </w:tc>
        <w:tc>
          <w:tcPr>
            <w:tcW w:w="2835" w:type="dxa"/>
            <w:vAlign w:val="center"/>
          </w:tcPr>
          <w:p w14:paraId="52C7E56A">
            <w:pPr>
              <w:pStyle w:val="11"/>
            </w:pPr>
            <w:r>
              <w:t>其中：财政    资金</w:t>
            </w:r>
          </w:p>
        </w:tc>
        <w:tc>
          <w:tcPr>
            <w:tcW w:w="2551" w:type="dxa"/>
            <w:vAlign w:val="center"/>
          </w:tcPr>
          <w:p w14:paraId="02ED6EA2">
            <w:pPr>
              <w:pStyle w:val="13"/>
            </w:pPr>
            <w:r>
              <w:t>5.50</w:t>
            </w:r>
          </w:p>
        </w:tc>
        <w:tc>
          <w:tcPr>
            <w:tcW w:w="2268" w:type="dxa"/>
            <w:vAlign w:val="center"/>
          </w:tcPr>
          <w:p w14:paraId="06EF1D2A">
            <w:pPr>
              <w:pStyle w:val="11"/>
            </w:pPr>
            <w:r>
              <w:t>其他资金</w:t>
            </w:r>
          </w:p>
        </w:tc>
        <w:tc>
          <w:tcPr>
            <w:tcW w:w="1276" w:type="dxa"/>
            <w:vAlign w:val="center"/>
          </w:tcPr>
          <w:p w14:paraId="5E7193DD">
            <w:pPr>
              <w:pStyle w:val="13"/>
            </w:pPr>
            <w:r>
              <w:t xml:space="preserve"> </w:t>
            </w:r>
          </w:p>
        </w:tc>
      </w:tr>
      <w:tr w14:paraId="0C4C3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ADF38"/>
        </w:tc>
        <w:tc>
          <w:tcPr>
            <w:tcW w:w="14033" w:type="dxa"/>
            <w:gridSpan w:val="6"/>
            <w:vAlign w:val="center"/>
          </w:tcPr>
          <w:p w14:paraId="55FFF3D2">
            <w:pPr>
              <w:pStyle w:val="13"/>
            </w:pPr>
            <w:r>
              <w:t>为提高教学环境，提升教学质量，现为周村幼儿园购置空调</w:t>
            </w:r>
          </w:p>
        </w:tc>
      </w:tr>
      <w:tr w14:paraId="2C0A6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33522">
            <w:pPr>
              <w:pStyle w:val="11"/>
            </w:pPr>
            <w:r>
              <w:t>资金支出计划（%）</w:t>
            </w:r>
          </w:p>
        </w:tc>
        <w:tc>
          <w:tcPr>
            <w:tcW w:w="5103" w:type="dxa"/>
            <w:gridSpan w:val="2"/>
            <w:vAlign w:val="center"/>
          </w:tcPr>
          <w:p w14:paraId="6FDD1E6C">
            <w:pPr>
              <w:pStyle w:val="11"/>
            </w:pPr>
            <w:r>
              <w:t>3月底</w:t>
            </w:r>
          </w:p>
        </w:tc>
        <w:tc>
          <w:tcPr>
            <w:tcW w:w="2835" w:type="dxa"/>
            <w:vAlign w:val="center"/>
          </w:tcPr>
          <w:p w14:paraId="4C2BBB49">
            <w:pPr>
              <w:pStyle w:val="11"/>
            </w:pPr>
            <w:r>
              <w:t>6月底</w:t>
            </w:r>
          </w:p>
        </w:tc>
        <w:tc>
          <w:tcPr>
            <w:tcW w:w="2551" w:type="dxa"/>
            <w:vAlign w:val="center"/>
          </w:tcPr>
          <w:p w14:paraId="22EC0CF9">
            <w:pPr>
              <w:pStyle w:val="11"/>
            </w:pPr>
            <w:r>
              <w:t>10月底</w:t>
            </w:r>
          </w:p>
        </w:tc>
        <w:tc>
          <w:tcPr>
            <w:tcW w:w="3544" w:type="dxa"/>
            <w:gridSpan w:val="2"/>
            <w:vAlign w:val="center"/>
          </w:tcPr>
          <w:p w14:paraId="5133EEA6">
            <w:pPr>
              <w:pStyle w:val="11"/>
            </w:pPr>
            <w:r>
              <w:t>12月底</w:t>
            </w:r>
          </w:p>
        </w:tc>
      </w:tr>
      <w:tr w14:paraId="797C3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799E50"/>
        </w:tc>
        <w:tc>
          <w:tcPr>
            <w:tcW w:w="5103" w:type="dxa"/>
            <w:gridSpan w:val="2"/>
            <w:vAlign w:val="center"/>
          </w:tcPr>
          <w:p w14:paraId="30B64B28">
            <w:pPr>
              <w:pStyle w:val="12"/>
            </w:pPr>
            <w:r>
              <w:t xml:space="preserve"> </w:t>
            </w:r>
          </w:p>
        </w:tc>
        <w:tc>
          <w:tcPr>
            <w:tcW w:w="2835" w:type="dxa"/>
            <w:vAlign w:val="center"/>
          </w:tcPr>
          <w:p w14:paraId="3FB603D6">
            <w:pPr>
              <w:pStyle w:val="12"/>
            </w:pPr>
            <w:r>
              <w:t>50%</w:t>
            </w:r>
          </w:p>
        </w:tc>
        <w:tc>
          <w:tcPr>
            <w:tcW w:w="2551" w:type="dxa"/>
            <w:vAlign w:val="center"/>
          </w:tcPr>
          <w:p w14:paraId="3733362B">
            <w:pPr>
              <w:pStyle w:val="12"/>
            </w:pPr>
            <w:r>
              <w:t xml:space="preserve"> </w:t>
            </w:r>
          </w:p>
        </w:tc>
        <w:tc>
          <w:tcPr>
            <w:tcW w:w="3544" w:type="dxa"/>
            <w:gridSpan w:val="2"/>
            <w:vAlign w:val="center"/>
          </w:tcPr>
          <w:p w14:paraId="4CD780C1">
            <w:pPr>
              <w:pStyle w:val="12"/>
            </w:pPr>
            <w:r>
              <w:t>100%</w:t>
            </w:r>
          </w:p>
        </w:tc>
      </w:tr>
      <w:tr w14:paraId="6FB24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9FEDA7">
            <w:pPr>
              <w:pStyle w:val="11"/>
            </w:pPr>
            <w:r>
              <w:t>绩效目标</w:t>
            </w:r>
          </w:p>
        </w:tc>
        <w:tc>
          <w:tcPr>
            <w:tcW w:w="14033" w:type="dxa"/>
            <w:gridSpan w:val="6"/>
            <w:vAlign w:val="center"/>
          </w:tcPr>
          <w:p w14:paraId="0C9B181A">
            <w:pPr>
              <w:pStyle w:val="13"/>
            </w:pPr>
            <w:r>
              <w:t>1.为提高教学环境，提升教学质量，现为周村幼儿园购置空调10台。</w:t>
            </w:r>
          </w:p>
        </w:tc>
      </w:tr>
    </w:tbl>
    <w:p w14:paraId="5D1744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4A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29CB1">
            <w:pPr>
              <w:pStyle w:val="11"/>
            </w:pPr>
            <w:r>
              <w:t>一级指标</w:t>
            </w:r>
          </w:p>
        </w:tc>
        <w:tc>
          <w:tcPr>
            <w:tcW w:w="2268" w:type="dxa"/>
            <w:vAlign w:val="center"/>
          </w:tcPr>
          <w:p w14:paraId="1634EDF9">
            <w:pPr>
              <w:pStyle w:val="11"/>
            </w:pPr>
            <w:r>
              <w:t>二级指标</w:t>
            </w:r>
          </w:p>
        </w:tc>
        <w:tc>
          <w:tcPr>
            <w:tcW w:w="2835" w:type="dxa"/>
            <w:vAlign w:val="center"/>
          </w:tcPr>
          <w:p w14:paraId="11071E22">
            <w:pPr>
              <w:pStyle w:val="11"/>
            </w:pPr>
            <w:r>
              <w:t>三级指标</w:t>
            </w:r>
          </w:p>
        </w:tc>
        <w:tc>
          <w:tcPr>
            <w:tcW w:w="5386" w:type="dxa"/>
            <w:vAlign w:val="center"/>
          </w:tcPr>
          <w:p w14:paraId="1F6115CB">
            <w:pPr>
              <w:pStyle w:val="11"/>
            </w:pPr>
            <w:r>
              <w:t>绩效指标描述</w:t>
            </w:r>
          </w:p>
        </w:tc>
        <w:tc>
          <w:tcPr>
            <w:tcW w:w="2268" w:type="dxa"/>
            <w:vAlign w:val="center"/>
          </w:tcPr>
          <w:p w14:paraId="79BF14E7">
            <w:pPr>
              <w:pStyle w:val="11"/>
            </w:pPr>
            <w:r>
              <w:t>指标值</w:t>
            </w:r>
          </w:p>
        </w:tc>
        <w:tc>
          <w:tcPr>
            <w:tcW w:w="1276" w:type="dxa"/>
            <w:vAlign w:val="center"/>
          </w:tcPr>
          <w:p w14:paraId="1A331BFC">
            <w:pPr>
              <w:pStyle w:val="11"/>
            </w:pPr>
            <w:r>
              <w:t>指标值确定依据</w:t>
            </w:r>
          </w:p>
        </w:tc>
      </w:tr>
      <w:tr w14:paraId="5AFF7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AF513">
            <w:pPr>
              <w:pStyle w:val="12"/>
            </w:pPr>
            <w:r>
              <w:t>产出指标</w:t>
            </w:r>
          </w:p>
        </w:tc>
        <w:tc>
          <w:tcPr>
            <w:tcW w:w="2268" w:type="dxa"/>
            <w:vAlign w:val="center"/>
          </w:tcPr>
          <w:p w14:paraId="3904B5EB">
            <w:pPr>
              <w:pStyle w:val="13"/>
            </w:pPr>
            <w:r>
              <w:t>数量指标</w:t>
            </w:r>
          </w:p>
        </w:tc>
        <w:tc>
          <w:tcPr>
            <w:tcW w:w="2835" w:type="dxa"/>
            <w:vAlign w:val="center"/>
          </w:tcPr>
          <w:p w14:paraId="07D54158">
            <w:pPr>
              <w:pStyle w:val="13"/>
            </w:pPr>
            <w:r>
              <w:t>购置专用设备购置</w:t>
            </w:r>
          </w:p>
        </w:tc>
        <w:tc>
          <w:tcPr>
            <w:tcW w:w="5386" w:type="dxa"/>
            <w:vAlign w:val="center"/>
          </w:tcPr>
          <w:p w14:paraId="3A5CC366">
            <w:pPr>
              <w:pStyle w:val="13"/>
            </w:pPr>
            <w:r>
              <w:t>购置72柜型空调</w:t>
            </w:r>
          </w:p>
        </w:tc>
        <w:tc>
          <w:tcPr>
            <w:tcW w:w="2268" w:type="dxa"/>
            <w:vAlign w:val="center"/>
          </w:tcPr>
          <w:p w14:paraId="7AB156B7">
            <w:pPr>
              <w:pStyle w:val="13"/>
            </w:pPr>
            <w:r>
              <w:t>10台</w:t>
            </w:r>
          </w:p>
        </w:tc>
        <w:tc>
          <w:tcPr>
            <w:tcW w:w="1276" w:type="dxa"/>
            <w:vAlign w:val="center"/>
          </w:tcPr>
          <w:p w14:paraId="37EF6253">
            <w:pPr>
              <w:pStyle w:val="13"/>
            </w:pPr>
            <w:r>
              <w:t>项目规划</w:t>
            </w:r>
          </w:p>
        </w:tc>
      </w:tr>
      <w:tr w14:paraId="2997F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9C4BD"/>
        </w:tc>
        <w:tc>
          <w:tcPr>
            <w:tcW w:w="2268" w:type="dxa"/>
            <w:vAlign w:val="center"/>
          </w:tcPr>
          <w:p w14:paraId="52FEA6FA">
            <w:pPr>
              <w:pStyle w:val="13"/>
            </w:pPr>
            <w:r>
              <w:t>质量指标</w:t>
            </w:r>
          </w:p>
        </w:tc>
        <w:tc>
          <w:tcPr>
            <w:tcW w:w="2835" w:type="dxa"/>
            <w:vAlign w:val="center"/>
          </w:tcPr>
          <w:p w14:paraId="61823656">
            <w:pPr>
              <w:pStyle w:val="13"/>
            </w:pPr>
            <w:r>
              <w:t>购置项目质量合格率</w:t>
            </w:r>
          </w:p>
        </w:tc>
        <w:tc>
          <w:tcPr>
            <w:tcW w:w="5386" w:type="dxa"/>
            <w:vAlign w:val="center"/>
          </w:tcPr>
          <w:p w14:paraId="2D74929D">
            <w:pPr>
              <w:pStyle w:val="13"/>
            </w:pPr>
            <w:r>
              <w:t>专用设备购置质量合格</w:t>
            </w:r>
          </w:p>
        </w:tc>
        <w:tc>
          <w:tcPr>
            <w:tcW w:w="2268" w:type="dxa"/>
            <w:vAlign w:val="center"/>
          </w:tcPr>
          <w:p w14:paraId="5E794BEC">
            <w:pPr>
              <w:pStyle w:val="13"/>
            </w:pPr>
            <w:r>
              <w:t>≥100%</w:t>
            </w:r>
          </w:p>
        </w:tc>
        <w:tc>
          <w:tcPr>
            <w:tcW w:w="1276" w:type="dxa"/>
            <w:vAlign w:val="center"/>
          </w:tcPr>
          <w:p w14:paraId="26F3F855">
            <w:pPr>
              <w:pStyle w:val="13"/>
            </w:pPr>
            <w:r>
              <w:t>项目规划</w:t>
            </w:r>
          </w:p>
        </w:tc>
      </w:tr>
      <w:tr w14:paraId="5F8FE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D44D8"/>
        </w:tc>
        <w:tc>
          <w:tcPr>
            <w:tcW w:w="2268" w:type="dxa"/>
            <w:vAlign w:val="center"/>
          </w:tcPr>
          <w:p w14:paraId="37F6FB1A">
            <w:pPr>
              <w:pStyle w:val="13"/>
            </w:pPr>
            <w:r>
              <w:t>时效指标</w:t>
            </w:r>
          </w:p>
        </w:tc>
        <w:tc>
          <w:tcPr>
            <w:tcW w:w="2835" w:type="dxa"/>
            <w:vAlign w:val="center"/>
          </w:tcPr>
          <w:p w14:paraId="0E05EE3B">
            <w:pPr>
              <w:pStyle w:val="13"/>
            </w:pPr>
            <w:r>
              <w:t>按时完成率</w:t>
            </w:r>
          </w:p>
        </w:tc>
        <w:tc>
          <w:tcPr>
            <w:tcW w:w="5386" w:type="dxa"/>
            <w:vAlign w:val="center"/>
          </w:tcPr>
          <w:p w14:paraId="031DF8E7">
            <w:pPr>
              <w:pStyle w:val="13"/>
            </w:pPr>
            <w:r>
              <w:t>购置项目按时序进度完成比例</w:t>
            </w:r>
          </w:p>
        </w:tc>
        <w:tc>
          <w:tcPr>
            <w:tcW w:w="2268" w:type="dxa"/>
            <w:vAlign w:val="center"/>
          </w:tcPr>
          <w:p w14:paraId="5E1FCB71">
            <w:pPr>
              <w:pStyle w:val="13"/>
            </w:pPr>
            <w:r>
              <w:t>≥100%</w:t>
            </w:r>
          </w:p>
        </w:tc>
        <w:tc>
          <w:tcPr>
            <w:tcW w:w="1276" w:type="dxa"/>
            <w:vAlign w:val="center"/>
          </w:tcPr>
          <w:p w14:paraId="4D41AA58">
            <w:pPr>
              <w:pStyle w:val="13"/>
            </w:pPr>
            <w:r>
              <w:t>项目规划</w:t>
            </w:r>
          </w:p>
        </w:tc>
      </w:tr>
      <w:tr w14:paraId="205A2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86404"/>
        </w:tc>
        <w:tc>
          <w:tcPr>
            <w:tcW w:w="2268" w:type="dxa"/>
            <w:vAlign w:val="center"/>
          </w:tcPr>
          <w:p w14:paraId="1E27ABE1">
            <w:pPr>
              <w:pStyle w:val="13"/>
            </w:pPr>
            <w:r>
              <w:t>成本指标</w:t>
            </w:r>
          </w:p>
        </w:tc>
        <w:tc>
          <w:tcPr>
            <w:tcW w:w="2835" w:type="dxa"/>
            <w:vAlign w:val="center"/>
          </w:tcPr>
          <w:p w14:paraId="29A04DE5">
            <w:pPr>
              <w:pStyle w:val="13"/>
            </w:pPr>
            <w:r>
              <w:t>系统安装成本</w:t>
            </w:r>
          </w:p>
        </w:tc>
        <w:tc>
          <w:tcPr>
            <w:tcW w:w="5386" w:type="dxa"/>
            <w:vAlign w:val="center"/>
          </w:tcPr>
          <w:p w14:paraId="1A1F815F">
            <w:pPr>
              <w:pStyle w:val="13"/>
            </w:pPr>
            <w:r>
              <w:t>专用设备购置安装成本</w:t>
            </w:r>
          </w:p>
        </w:tc>
        <w:tc>
          <w:tcPr>
            <w:tcW w:w="2268" w:type="dxa"/>
            <w:vAlign w:val="center"/>
          </w:tcPr>
          <w:p w14:paraId="48DD1B00">
            <w:pPr>
              <w:pStyle w:val="13"/>
            </w:pPr>
            <w:r>
              <w:t>5.5万元</w:t>
            </w:r>
          </w:p>
        </w:tc>
        <w:tc>
          <w:tcPr>
            <w:tcW w:w="1276" w:type="dxa"/>
            <w:vAlign w:val="center"/>
          </w:tcPr>
          <w:p w14:paraId="653820D3">
            <w:pPr>
              <w:pStyle w:val="13"/>
            </w:pPr>
            <w:r>
              <w:t>项目规划</w:t>
            </w:r>
          </w:p>
        </w:tc>
      </w:tr>
      <w:tr w14:paraId="28A80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8CEEDD">
            <w:pPr>
              <w:pStyle w:val="12"/>
            </w:pPr>
            <w:r>
              <w:t>效益指标</w:t>
            </w:r>
          </w:p>
        </w:tc>
        <w:tc>
          <w:tcPr>
            <w:tcW w:w="2268" w:type="dxa"/>
            <w:vAlign w:val="center"/>
          </w:tcPr>
          <w:p w14:paraId="2A5FE616">
            <w:pPr>
              <w:pStyle w:val="13"/>
            </w:pPr>
            <w:r>
              <w:t>可持续影响指标</w:t>
            </w:r>
          </w:p>
        </w:tc>
        <w:tc>
          <w:tcPr>
            <w:tcW w:w="2835" w:type="dxa"/>
            <w:vAlign w:val="center"/>
          </w:tcPr>
          <w:p w14:paraId="4469C22C">
            <w:pPr>
              <w:pStyle w:val="13"/>
            </w:pPr>
            <w:r>
              <w:t>学校运转得到提高</w:t>
            </w:r>
          </w:p>
        </w:tc>
        <w:tc>
          <w:tcPr>
            <w:tcW w:w="5386" w:type="dxa"/>
            <w:vAlign w:val="center"/>
          </w:tcPr>
          <w:p w14:paraId="31547ACD">
            <w:pPr>
              <w:pStyle w:val="13"/>
            </w:pPr>
            <w:r>
              <w:t>学生受教育年限</w:t>
            </w:r>
          </w:p>
        </w:tc>
        <w:tc>
          <w:tcPr>
            <w:tcW w:w="2268" w:type="dxa"/>
            <w:vAlign w:val="center"/>
          </w:tcPr>
          <w:p w14:paraId="67101436">
            <w:pPr>
              <w:pStyle w:val="13"/>
            </w:pPr>
            <w:r>
              <w:t>3年</w:t>
            </w:r>
          </w:p>
        </w:tc>
        <w:tc>
          <w:tcPr>
            <w:tcW w:w="1276" w:type="dxa"/>
            <w:vAlign w:val="center"/>
          </w:tcPr>
          <w:p w14:paraId="108AA1E5">
            <w:pPr>
              <w:pStyle w:val="13"/>
            </w:pPr>
            <w:r>
              <w:t>项目规划</w:t>
            </w:r>
          </w:p>
        </w:tc>
      </w:tr>
      <w:tr w14:paraId="009F1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629898">
            <w:pPr>
              <w:pStyle w:val="12"/>
            </w:pPr>
            <w:r>
              <w:t>满意度指标</w:t>
            </w:r>
          </w:p>
        </w:tc>
        <w:tc>
          <w:tcPr>
            <w:tcW w:w="2268" w:type="dxa"/>
            <w:vAlign w:val="center"/>
          </w:tcPr>
          <w:p w14:paraId="49D2C87A">
            <w:pPr>
              <w:pStyle w:val="13"/>
            </w:pPr>
            <w:r>
              <w:t>服务对象满意度指标</w:t>
            </w:r>
          </w:p>
        </w:tc>
        <w:tc>
          <w:tcPr>
            <w:tcW w:w="2835" w:type="dxa"/>
            <w:vAlign w:val="center"/>
          </w:tcPr>
          <w:p w14:paraId="3E0265BA">
            <w:pPr>
              <w:pStyle w:val="13"/>
            </w:pPr>
            <w:r>
              <w:t>学生和家长满意度</w:t>
            </w:r>
          </w:p>
        </w:tc>
        <w:tc>
          <w:tcPr>
            <w:tcW w:w="5386" w:type="dxa"/>
            <w:vAlign w:val="center"/>
          </w:tcPr>
          <w:p w14:paraId="113A93A0">
            <w:pPr>
              <w:pStyle w:val="13"/>
            </w:pPr>
            <w:r>
              <w:t>大幅提高学生和学生家长满意度</w:t>
            </w:r>
          </w:p>
        </w:tc>
        <w:tc>
          <w:tcPr>
            <w:tcW w:w="2268" w:type="dxa"/>
            <w:vAlign w:val="center"/>
          </w:tcPr>
          <w:p w14:paraId="1BEA4CC2">
            <w:pPr>
              <w:pStyle w:val="13"/>
            </w:pPr>
            <w:r>
              <w:t>≥95%</w:t>
            </w:r>
          </w:p>
        </w:tc>
        <w:tc>
          <w:tcPr>
            <w:tcW w:w="1276" w:type="dxa"/>
            <w:vAlign w:val="center"/>
          </w:tcPr>
          <w:p w14:paraId="7C671EFF">
            <w:pPr>
              <w:pStyle w:val="13"/>
            </w:pPr>
            <w:r>
              <w:t>项目规划</w:t>
            </w:r>
          </w:p>
        </w:tc>
      </w:tr>
    </w:tbl>
    <w:p w14:paraId="2BF6B1CE">
      <w:pPr>
        <w:sectPr>
          <w:pgSz w:w="16840" w:h="11900" w:orient="landscape"/>
          <w:pgMar w:top="1361" w:right="1020" w:bottom="1134" w:left="1020" w:header="720" w:footer="720" w:gutter="0"/>
          <w:cols w:space="720" w:num="1"/>
        </w:sectPr>
      </w:pPr>
    </w:p>
    <w:p w14:paraId="06412697">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6、冀财教[2024]123号/中央/2025年义教补助经费/大干言小学公用经费绩效目标表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25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024A5">
            <w:pPr>
              <w:pStyle w:val="14"/>
            </w:pPr>
            <w:r>
              <w:t>单位：万元</w:t>
            </w:r>
          </w:p>
        </w:tc>
      </w:tr>
      <w:tr w14:paraId="7BC82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4B463">
            <w:pPr>
              <w:pStyle w:val="11"/>
            </w:pPr>
            <w:r>
              <w:t>项目编码</w:t>
            </w:r>
          </w:p>
        </w:tc>
        <w:tc>
          <w:tcPr>
            <w:tcW w:w="5103" w:type="dxa"/>
            <w:gridSpan w:val="2"/>
            <w:vAlign w:val="center"/>
          </w:tcPr>
          <w:p w14:paraId="29E394B0">
            <w:pPr>
              <w:pStyle w:val="13"/>
            </w:pPr>
            <w:r>
              <w:t>13052525P000004100755</w:t>
            </w:r>
          </w:p>
        </w:tc>
        <w:tc>
          <w:tcPr>
            <w:tcW w:w="2835" w:type="dxa"/>
            <w:vAlign w:val="center"/>
          </w:tcPr>
          <w:p w14:paraId="11F82B62">
            <w:pPr>
              <w:pStyle w:val="11"/>
            </w:pPr>
            <w:r>
              <w:t>项目名称</w:t>
            </w:r>
          </w:p>
        </w:tc>
        <w:tc>
          <w:tcPr>
            <w:tcW w:w="6095" w:type="dxa"/>
            <w:gridSpan w:val="3"/>
            <w:vAlign w:val="center"/>
          </w:tcPr>
          <w:p w14:paraId="35F15030">
            <w:pPr>
              <w:pStyle w:val="13"/>
            </w:pPr>
            <w:r>
              <w:t>冀财教[2024]123号/中央/2025年义教补助经费/大干言小学公用经费</w:t>
            </w:r>
          </w:p>
        </w:tc>
      </w:tr>
      <w:tr w14:paraId="31E6F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78EF5">
            <w:pPr>
              <w:pStyle w:val="11"/>
            </w:pPr>
            <w:r>
              <w:t>预算规模及资金用途</w:t>
            </w:r>
          </w:p>
        </w:tc>
        <w:tc>
          <w:tcPr>
            <w:tcW w:w="2268" w:type="dxa"/>
            <w:vAlign w:val="center"/>
          </w:tcPr>
          <w:p w14:paraId="3BF01F47">
            <w:pPr>
              <w:pStyle w:val="11"/>
            </w:pPr>
            <w:r>
              <w:t>预算数</w:t>
            </w:r>
          </w:p>
        </w:tc>
        <w:tc>
          <w:tcPr>
            <w:tcW w:w="2835" w:type="dxa"/>
            <w:vAlign w:val="center"/>
          </w:tcPr>
          <w:p w14:paraId="21183223">
            <w:pPr>
              <w:pStyle w:val="13"/>
            </w:pPr>
            <w:r>
              <w:t>51.42</w:t>
            </w:r>
          </w:p>
        </w:tc>
        <w:tc>
          <w:tcPr>
            <w:tcW w:w="2835" w:type="dxa"/>
            <w:vAlign w:val="center"/>
          </w:tcPr>
          <w:p w14:paraId="23D1C0F6">
            <w:pPr>
              <w:pStyle w:val="11"/>
            </w:pPr>
            <w:r>
              <w:t>其中：财政    资金</w:t>
            </w:r>
          </w:p>
        </w:tc>
        <w:tc>
          <w:tcPr>
            <w:tcW w:w="2551" w:type="dxa"/>
            <w:vAlign w:val="center"/>
          </w:tcPr>
          <w:p w14:paraId="24DEFD6B">
            <w:pPr>
              <w:pStyle w:val="13"/>
            </w:pPr>
            <w:r>
              <w:t>51.42</w:t>
            </w:r>
          </w:p>
        </w:tc>
        <w:tc>
          <w:tcPr>
            <w:tcW w:w="2268" w:type="dxa"/>
            <w:vAlign w:val="center"/>
          </w:tcPr>
          <w:p w14:paraId="40F107C1">
            <w:pPr>
              <w:pStyle w:val="11"/>
            </w:pPr>
            <w:r>
              <w:t>其他资金</w:t>
            </w:r>
          </w:p>
        </w:tc>
        <w:tc>
          <w:tcPr>
            <w:tcW w:w="1276" w:type="dxa"/>
            <w:vAlign w:val="center"/>
          </w:tcPr>
          <w:p w14:paraId="4DF99332">
            <w:pPr>
              <w:pStyle w:val="13"/>
            </w:pPr>
            <w:r>
              <w:t xml:space="preserve"> </w:t>
            </w:r>
          </w:p>
        </w:tc>
      </w:tr>
      <w:tr w14:paraId="18E50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E9FCD"/>
        </w:tc>
        <w:tc>
          <w:tcPr>
            <w:tcW w:w="14033" w:type="dxa"/>
            <w:gridSpan w:val="6"/>
            <w:vAlign w:val="center"/>
          </w:tcPr>
          <w:p w14:paraId="426EFD10">
            <w:pPr>
              <w:pStyle w:val="13"/>
            </w:pPr>
            <w:r>
              <w:t>保障义务教育学校正常运转，完成教育教学活动和其他日常工作任务等方面的费用支出。</w:t>
            </w:r>
          </w:p>
        </w:tc>
      </w:tr>
      <w:tr w14:paraId="68767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BB1C5">
            <w:pPr>
              <w:pStyle w:val="11"/>
            </w:pPr>
            <w:r>
              <w:t>资金支出计划（%）</w:t>
            </w:r>
          </w:p>
        </w:tc>
        <w:tc>
          <w:tcPr>
            <w:tcW w:w="5103" w:type="dxa"/>
            <w:gridSpan w:val="2"/>
            <w:vAlign w:val="center"/>
          </w:tcPr>
          <w:p w14:paraId="3E88D7DD">
            <w:pPr>
              <w:pStyle w:val="11"/>
            </w:pPr>
            <w:r>
              <w:t>3月底</w:t>
            </w:r>
          </w:p>
        </w:tc>
        <w:tc>
          <w:tcPr>
            <w:tcW w:w="2835" w:type="dxa"/>
            <w:vAlign w:val="center"/>
          </w:tcPr>
          <w:p w14:paraId="0AF49F6B">
            <w:pPr>
              <w:pStyle w:val="11"/>
            </w:pPr>
            <w:r>
              <w:t>6月底</w:t>
            </w:r>
          </w:p>
        </w:tc>
        <w:tc>
          <w:tcPr>
            <w:tcW w:w="2551" w:type="dxa"/>
            <w:vAlign w:val="center"/>
          </w:tcPr>
          <w:p w14:paraId="546AD802">
            <w:pPr>
              <w:pStyle w:val="11"/>
            </w:pPr>
            <w:r>
              <w:t>10月底</w:t>
            </w:r>
          </w:p>
        </w:tc>
        <w:tc>
          <w:tcPr>
            <w:tcW w:w="3544" w:type="dxa"/>
            <w:gridSpan w:val="2"/>
            <w:vAlign w:val="center"/>
          </w:tcPr>
          <w:p w14:paraId="49A94C94">
            <w:pPr>
              <w:pStyle w:val="11"/>
            </w:pPr>
            <w:r>
              <w:t>12月底</w:t>
            </w:r>
          </w:p>
        </w:tc>
      </w:tr>
      <w:tr w14:paraId="03F1F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DCD33A"/>
        </w:tc>
        <w:tc>
          <w:tcPr>
            <w:tcW w:w="5103" w:type="dxa"/>
            <w:gridSpan w:val="2"/>
            <w:vAlign w:val="center"/>
          </w:tcPr>
          <w:p w14:paraId="11CCEE7B">
            <w:pPr>
              <w:pStyle w:val="12"/>
            </w:pPr>
            <w:r>
              <w:t>25%</w:t>
            </w:r>
          </w:p>
        </w:tc>
        <w:tc>
          <w:tcPr>
            <w:tcW w:w="2835" w:type="dxa"/>
            <w:vAlign w:val="center"/>
          </w:tcPr>
          <w:p w14:paraId="05CACE41">
            <w:pPr>
              <w:pStyle w:val="12"/>
            </w:pPr>
            <w:r>
              <w:t>50%</w:t>
            </w:r>
          </w:p>
        </w:tc>
        <w:tc>
          <w:tcPr>
            <w:tcW w:w="2551" w:type="dxa"/>
            <w:vAlign w:val="center"/>
          </w:tcPr>
          <w:p w14:paraId="7E935CD3">
            <w:pPr>
              <w:pStyle w:val="12"/>
            </w:pPr>
            <w:r>
              <w:t>75%</w:t>
            </w:r>
          </w:p>
        </w:tc>
        <w:tc>
          <w:tcPr>
            <w:tcW w:w="3544" w:type="dxa"/>
            <w:gridSpan w:val="2"/>
            <w:vAlign w:val="center"/>
          </w:tcPr>
          <w:p w14:paraId="213CB847">
            <w:pPr>
              <w:pStyle w:val="12"/>
            </w:pPr>
            <w:r>
              <w:t>100%</w:t>
            </w:r>
          </w:p>
        </w:tc>
      </w:tr>
      <w:tr w14:paraId="4976C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9B5345">
            <w:pPr>
              <w:pStyle w:val="11"/>
            </w:pPr>
            <w:r>
              <w:t>绩效目标</w:t>
            </w:r>
          </w:p>
        </w:tc>
        <w:tc>
          <w:tcPr>
            <w:tcW w:w="14033" w:type="dxa"/>
            <w:gridSpan w:val="6"/>
            <w:vAlign w:val="center"/>
          </w:tcPr>
          <w:p w14:paraId="49F7E2AC">
            <w:pPr>
              <w:pStyle w:val="13"/>
            </w:pPr>
            <w:r>
              <w:t>1.保障义务教育学校正常运转，完成教育教学活动和其他日常工作任务等方面的费用支出。</w:t>
            </w:r>
          </w:p>
          <w:p w14:paraId="28A0C96F">
            <w:pPr>
              <w:pStyle w:val="13"/>
            </w:pPr>
            <w:r>
              <w:t>2.按规定拨付公用经费资金51.416万元，资金拨付率达到100%。</w:t>
            </w:r>
          </w:p>
        </w:tc>
      </w:tr>
    </w:tbl>
    <w:p w14:paraId="479C65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14:paraId="15334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D4507">
            <w:pPr>
              <w:pStyle w:val="11"/>
            </w:pPr>
            <w:r>
              <w:t>一级指标</w:t>
            </w:r>
          </w:p>
        </w:tc>
        <w:tc>
          <w:tcPr>
            <w:tcW w:w="2268" w:type="dxa"/>
            <w:vAlign w:val="center"/>
          </w:tcPr>
          <w:p w14:paraId="461727D0">
            <w:pPr>
              <w:pStyle w:val="11"/>
            </w:pPr>
            <w:r>
              <w:t>二级指标</w:t>
            </w:r>
          </w:p>
        </w:tc>
        <w:tc>
          <w:tcPr>
            <w:tcW w:w="2835" w:type="dxa"/>
            <w:vAlign w:val="center"/>
          </w:tcPr>
          <w:p w14:paraId="168F9FE0">
            <w:pPr>
              <w:pStyle w:val="11"/>
            </w:pPr>
            <w:r>
              <w:t>三级指标</w:t>
            </w:r>
          </w:p>
        </w:tc>
        <w:tc>
          <w:tcPr>
            <w:tcW w:w="5386" w:type="dxa"/>
            <w:vAlign w:val="center"/>
          </w:tcPr>
          <w:p w14:paraId="194D0E56">
            <w:pPr>
              <w:pStyle w:val="11"/>
            </w:pPr>
            <w:r>
              <w:t>绩效指标描述</w:t>
            </w:r>
          </w:p>
        </w:tc>
        <w:tc>
          <w:tcPr>
            <w:tcW w:w="1808" w:type="dxa"/>
            <w:vAlign w:val="center"/>
          </w:tcPr>
          <w:p w14:paraId="1BFE6D5D">
            <w:pPr>
              <w:pStyle w:val="11"/>
            </w:pPr>
            <w:r>
              <w:t>指标值</w:t>
            </w:r>
          </w:p>
        </w:tc>
        <w:tc>
          <w:tcPr>
            <w:tcW w:w="1736" w:type="dxa"/>
            <w:vAlign w:val="center"/>
          </w:tcPr>
          <w:p w14:paraId="1B21F8B1">
            <w:pPr>
              <w:pStyle w:val="11"/>
            </w:pPr>
            <w:r>
              <w:t>指标值确定依据</w:t>
            </w:r>
          </w:p>
        </w:tc>
      </w:tr>
      <w:tr w14:paraId="55AC3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63C3E">
            <w:pPr>
              <w:pStyle w:val="12"/>
            </w:pPr>
            <w:r>
              <w:t>产出指标</w:t>
            </w:r>
          </w:p>
        </w:tc>
        <w:tc>
          <w:tcPr>
            <w:tcW w:w="2268" w:type="dxa"/>
            <w:vAlign w:val="center"/>
          </w:tcPr>
          <w:p w14:paraId="5CD4F4C2">
            <w:pPr>
              <w:pStyle w:val="13"/>
            </w:pPr>
            <w:r>
              <w:t>数量指标</w:t>
            </w:r>
          </w:p>
        </w:tc>
        <w:tc>
          <w:tcPr>
            <w:tcW w:w="2835" w:type="dxa"/>
            <w:vAlign w:val="center"/>
          </w:tcPr>
          <w:p w14:paraId="059AA627">
            <w:pPr>
              <w:pStyle w:val="13"/>
            </w:pPr>
            <w:r>
              <w:t>生均拨款标准</w:t>
            </w:r>
          </w:p>
        </w:tc>
        <w:tc>
          <w:tcPr>
            <w:tcW w:w="5386" w:type="dxa"/>
            <w:vAlign w:val="center"/>
          </w:tcPr>
          <w:p w14:paraId="41018097">
            <w:pPr>
              <w:pStyle w:val="13"/>
            </w:pPr>
            <w:r>
              <w:t>小学生公用经费生均小学720元。取暖费140元/生/年，随班就读学生补助6000元/生</w:t>
            </w:r>
          </w:p>
        </w:tc>
        <w:tc>
          <w:tcPr>
            <w:tcW w:w="1808" w:type="dxa"/>
            <w:vAlign w:val="center"/>
          </w:tcPr>
          <w:p w14:paraId="088746F9">
            <w:pPr>
              <w:pStyle w:val="13"/>
            </w:pPr>
            <w:r>
              <w:t>840元</w:t>
            </w:r>
          </w:p>
        </w:tc>
        <w:tc>
          <w:tcPr>
            <w:tcW w:w="1736" w:type="dxa"/>
            <w:vAlign w:val="center"/>
          </w:tcPr>
          <w:p w14:paraId="5669CE27">
            <w:pPr>
              <w:pStyle w:val="13"/>
            </w:pPr>
            <w:r>
              <w:t>城乡义务教育公用经费管理办法</w:t>
            </w:r>
          </w:p>
        </w:tc>
      </w:tr>
      <w:tr w14:paraId="05BC2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5220B"/>
        </w:tc>
        <w:tc>
          <w:tcPr>
            <w:tcW w:w="2268" w:type="dxa"/>
            <w:vAlign w:val="center"/>
          </w:tcPr>
          <w:p w14:paraId="49D5CDD5">
            <w:pPr>
              <w:pStyle w:val="13"/>
            </w:pPr>
            <w:r>
              <w:t>质量指标</w:t>
            </w:r>
          </w:p>
        </w:tc>
        <w:tc>
          <w:tcPr>
            <w:tcW w:w="2835" w:type="dxa"/>
            <w:vAlign w:val="center"/>
          </w:tcPr>
          <w:p w14:paraId="18595326">
            <w:pPr>
              <w:pStyle w:val="13"/>
            </w:pPr>
            <w:r>
              <w:t>就读学生数</w:t>
            </w:r>
          </w:p>
        </w:tc>
        <w:tc>
          <w:tcPr>
            <w:tcW w:w="5386" w:type="dxa"/>
            <w:vAlign w:val="center"/>
          </w:tcPr>
          <w:p w14:paraId="0D625371">
            <w:pPr>
              <w:pStyle w:val="13"/>
            </w:pPr>
            <w:r>
              <w:t>辐射区域内适龄学生人数</w:t>
            </w:r>
          </w:p>
        </w:tc>
        <w:tc>
          <w:tcPr>
            <w:tcW w:w="1808" w:type="dxa"/>
            <w:vAlign w:val="center"/>
          </w:tcPr>
          <w:p w14:paraId="79D33755">
            <w:pPr>
              <w:pStyle w:val="13"/>
            </w:pPr>
            <w:r>
              <w:t>828人</w:t>
            </w:r>
          </w:p>
        </w:tc>
        <w:tc>
          <w:tcPr>
            <w:tcW w:w="1736" w:type="dxa"/>
            <w:vAlign w:val="center"/>
          </w:tcPr>
          <w:p w14:paraId="39B32053">
            <w:pPr>
              <w:pStyle w:val="13"/>
            </w:pPr>
            <w:r>
              <w:t>城乡义务教育公用经费管理办法</w:t>
            </w:r>
          </w:p>
        </w:tc>
      </w:tr>
      <w:tr w14:paraId="043F8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F00C1"/>
        </w:tc>
        <w:tc>
          <w:tcPr>
            <w:tcW w:w="2268" w:type="dxa"/>
            <w:vAlign w:val="center"/>
          </w:tcPr>
          <w:p w14:paraId="782D4EAF">
            <w:pPr>
              <w:pStyle w:val="13"/>
            </w:pPr>
            <w:r>
              <w:t>时效指标</w:t>
            </w:r>
          </w:p>
        </w:tc>
        <w:tc>
          <w:tcPr>
            <w:tcW w:w="2835" w:type="dxa"/>
            <w:vAlign w:val="center"/>
          </w:tcPr>
          <w:p w14:paraId="296511EE">
            <w:pPr>
              <w:pStyle w:val="13"/>
            </w:pPr>
            <w:r>
              <w:t>预算执行率</w:t>
            </w:r>
          </w:p>
        </w:tc>
        <w:tc>
          <w:tcPr>
            <w:tcW w:w="5386" w:type="dxa"/>
            <w:vAlign w:val="center"/>
          </w:tcPr>
          <w:p w14:paraId="0528AE10">
            <w:pPr>
              <w:pStyle w:val="13"/>
            </w:pPr>
            <w:r>
              <w:t>预算执行率≥98%</w:t>
            </w:r>
          </w:p>
        </w:tc>
        <w:tc>
          <w:tcPr>
            <w:tcW w:w="1808" w:type="dxa"/>
            <w:vAlign w:val="center"/>
          </w:tcPr>
          <w:p w14:paraId="7B764D34">
            <w:pPr>
              <w:pStyle w:val="13"/>
            </w:pPr>
            <w:r>
              <w:t>≥98%</w:t>
            </w:r>
          </w:p>
        </w:tc>
        <w:tc>
          <w:tcPr>
            <w:tcW w:w="1736" w:type="dxa"/>
            <w:vAlign w:val="center"/>
          </w:tcPr>
          <w:p w14:paraId="72C70F4D">
            <w:pPr>
              <w:pStyle w:val="13"/>
            </w:pPr>
            <w:r>
              <w:t>城乡义务教育公用经费管理办法</w:t>
            </w:r>
          </w:p>
        </w:tc>
      </w:tr>
      <w:tr w14:paraId="1A328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B1837"/>
        </w:tc>
        <w:tc>
          <w:tcPr>
            <w:tcW w:w="2268" w:type="dxa"/>
            <w:vAlign w:val="center"/>
          </w:tcPr>
          <w:p w14:paraId="016AE8A8">
            <w:pPr>
              <w:pStyle w:val="13"/>
            </w:pPr>
            <w:r>
              <w:t>成本指标</w:t>
            </w:r>
          </w:p>
        </w:tc>
        <w:tc>
          <w:tcPr>
            <w:tcW w:w="2835" w:type="dxa"/>
            <w:vAlign w:val="center"/>
          </w:tcPr>
          <w:p w14:paraId="15818DBD">
            <w:pPr>
              <w:pStyle w:val="13"/>
            </w:pPr>
            <w:r>
              <w:t>义教经费支付完成率</w:t>
            </w:r>
          </w:p>
        </w:tc>
        <w:tc>
          <w:tcPr>
            <w:tcW w:w="5386" w:type="dxa"/>
            <w:vAlign w:val="center"/>
          </w:tcPr>
          <w:p w14:paraId="281136BA">
            <w:pPr>
              <w:pStyle w:val="13"/>
            </w:pPr>
            <w:r>
              <w:t>按照序时进度完成资金支付</w:t>
            </w:r>
          </w:p>
        </w:tc>
        <w:tc>
          <w:tcPr>
            <w:tcW w:w="1808" w:type="dxa"/>
            <w:vAlign w:val="center"/>
          </w:tcPr>
          <w:p w14:paraId="43DBAC6F">
            <w:pPr>
              <w:pStyle w:val="13"/>
            </w:pPr>
            <w:r>
              <w:t>100%</w:t>
            </w:r>
          </w:p>
        </w:tc>
        <w:tc>
          <w:tcPr>
            <w:tcW w:w="1736" w:type="dxa"/>
            <w:vAlign w:val="center"/>
          </w:tcPr>
          <w:p w14:paraId="64969AEA">
            <w:pPr>
              <w:pStyle w:val="13"/>
            </w:pPr>
            <w:r>
              <w:t>城乡义务教育公用经费管理办法</w:t>
            </w:r>
          </w:p>
        </w:tc>
      </w:tr>
      <w:tr w14:paraId="5FCD0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5B9096">
            <w:pPr>
              <w:pStyle w:val="12"/>
            </w:pPr>
            <w:r>
              <w:t>效益指标</w:t>
            </w:r>
          </w:p>
        </w:tc>
        <w:tc>
          <w:tcPr>
            <w:tcW w:w="2268" w:type="dxa"/>
            <w:vAlign w:val="center"/>
          </w:tcPr>
          <w:p w14:paraId="7EC4457F">
            <w:pPr>
              <w:pStyle w:val="13"/>
            </w:pPr>
            <w:r>
              <w:t>可持续影响指标</w:t>
            </w:r>
          </w:p>
        </w:tc>
        <w:tc>
          <w:tcPr>
            <w:tcW w:w="2835" w:type="dxa"/>
            <w:vAlign w:val="center"/>
          </w:tcPr>
          <w:p w14:paraId="6F137AD6">
            <w:pPr>
              <w:pStyle w:val="13"/>
            </w:pPr>
            <w:r>
              <w:t>学校运转得到提高</w:t>
            </w:r>
          </w:p>
        </w:tc>
        <w:tc>
          <w:tcPr>
            <w:tcW w:w="5386" w:type="dxa"/>
            <w:vAlign w:val="center"/>
          </w:tcPr>
          <w:p w14:paraId="556F46F6">
            <w:pPr>
              <w:pStyle w:val="13"/>
            </w:pPr>
            <w:r>
              <w:t>学生受教育年限</w:t>
            </w:r>
          </w:p>
        </w:tc>
        <w:tc>
          <w:tcPr>
            <w:tcW w:w="1808" w:type="dxa"/>
            <w:vAlign w:val="center"/>
          </w:tcPr>
          <w:p w14:paraId="7B4D8E8C">
            <w:pPr>
              <w:pStyle w:val="13"/>
            </w:pPr>
            <w:r>
              <w:t>6年</w:t>
            </w:r>
          </w:p>
        </w:tc>
        <w:tc>
          <w:tcPr>
            <w:tcW w:w="1736" w:type="dxa"/>
            <w:vAlign w:val="center"/>
          </w:tcPr>
          <w:p w14:paraId="3AEFF226">
            <w:pPr>
              <w:pStyle w:val="13"/>
            </w:pPr>
            <w:r>
              <w:t>城乡义务教育公用经费管理办法</w:t>
            </w:r>
          </w:p>
        </w:tc>
      </w:tr>
      <w:tr w14:paraId="7A603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18C712">
            <w:pPr>
              <w:pStyle w:val="12"/>
            </w:pPr>
            <w:r>
              <w:t>满意度指标</w:t>
            </w:r>
          </w:p>
        </w:tc>
        <w:tc>
          <w:tcPr>
            <w:tcW w:w="2268" w:type="dxa"/>
            <w:vAlign w:val="center"/>
          </w:tcPr>
          <w:p w14:paraId="571DF2C3">
            <w:pPr>
              <w:pStyle w:val="13"/>
            </w:pPr>
            <w:r>
              <w:t>服务对象满意度指标</w:t>
            </w:r>
          </w:p>
        </w:tc>
        <w:tc>
          <w:tcPr>
            <w:tcW w:w="2835" w:type="dxa"/>
            <w:vAlign w:val="center"/>
          </w:tcPr>
          <w:p w14:paraId="362DC164">
            <w:pPr>
              <w:pStyle w:val="13"/>
            </w:pPr>
            <w:r>
              <w:t>服务对象满意度</w:t>
            </w:r>
          </w:p>
        </w:tc>
        <w:tc>
          <w:tcPr>
            <w:tcW w:w="5386" w:type="dxa"/>
            <w:vAlign w:val="center"/>
          </w:tcPr>
          <w:p w14:paraId="153360E5">
            <w:pPr>
              <w:pStyle w:val="13"/>
            </w:pPr>
            <w:r>
              <w:t>学校老师和学生满意度</w:t>
            </w:r>
          </w:p>
        </w:tc>
        <w:tc>
          <w:tcPr>
            <w:tcW w:w="1808" w:type="dxa"/>
            <w:vAlign w:val="center"/>
          </w:tcPr>
          <w:p w14:paraId="48FA4821">
            <w:pPr>
              <w:pStyle w:val="13"/>
            </w:pPr>
            <w:r>
              <w:t>≥95%</w:t>
            </w:r>
          </w:p>
        </w:tc>
        <w:tc>
          <w:tcPr>
            <w:tcW w:w="1736" w:type="dxa"/>
            <w:vAlign w:val="center"/>
          </w:tcPr>
          <w:p w14:paraId="1F45BFBE">
            <w:pPr>
              <w:pStyle w:val="13"/>
            </w:pPr>
            <w:r>
              <w:t>城乡义务教育公用经费管理办法</w:t>
            </w:r>
          </w:p>
        </w:tc>
      </w:tr>
    </w:tbl>
    <w:p w14:paraId="0BC1377D">
      <w:pPr>
        <w:sectPr>
          <w:pgSz w:w="16840" w:h="11900" w:orient="landscape"/>
          <w:pgMar w:top="1361" w:right="1020" w:bottom="1134" w:left="1020" w:header="720" w:footer="720" w:gutter="0"/>
          <w:cols w:space="720" w:num="1"/>
        </w:sectPr>
      </w:pPr>
    </w:p>
    <w:p w14:paraId="7B8205AB">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7、冀财教[2024]123号/中央/2025年义教补助经费/大市口小学公用经费绩效目标表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BB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C9CDD">
            <w:pPr>
              <w:pStyle w:val="14"/>
            </w:pPr>
            <w:r>
              <w:t>单位：万元</w:t>
            </w:r>
          </w:p>
        </w:tc>
      </w:tr>
      <w:tr w14:paraId="678BA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9A14D2">
            <w:pPr>
              <w:pStyle w:val="11"/>
            </w:pPr>
            <w:r>
              <w:t>项目编码</w:t>
            </w:r>
          </w:p>
        </w:tc>
        <w:tc>
          <w:tcPr>
            <w:tcW w:w="5103" w:type="dxa"/>
            <w:gridSpan w:val="2"/>
            <w:vAlign w:val="center"/>
          </w:tcPr>
          <w:p w14:paraId="7FA2CB51">
            <w:pPr>
              <w:pStyle w:val="13"/>
            </w:pPr>
            <w:r>
              <w:t>13052525P00000410076Q</w:t>
            </w:r>
          </w:p>
        </w:tc>
        <w:tc>
          <w:tcPr>
            <w:tcW w:w="2835" w:type="dxa"/>
            <w:vAlign w:val="center"/>
          </w:tcPr>
          <w:p w14:paraId="6545A3A4">
            <w:pPr>
              <w:pStyle w:val="11"/>
            </w:pPr>
            <w:r>
              <w:t>项目名称</w:t>
            </w:r>
          </w:p>
        </w:tc>
        <w:tc>
          <w:tcPr>
            <w:tcW w:w="6095" w:type="dxa"/>
            <w:gridSpan w:val="3"/>
            <w:vAlign w:val="center"/>
          </w:tcPr>
          <w:p w14:paraId="323A49F8">
            <w:pPr>
              <w:pStyle w:val="13"/>
            </w:pPr>
            <w:r>
              <w:t>冀财教[2024]123号/中央/2025年义教补助经费/大市口小学公用经费</w:t>
            </w:r>
          </w:p>
        </w:tc>
      </w:tr>
      <w:tr w14:paraId="2CDE8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1F4CA">
            <w:pPr>
              <w:pStyle w:val="11"/>
            </w:pPr>
            <w:r>
              <w:t>预算规模及资金用途</w:t>
            </w:r>
          </w:p>
        </w:tc>
        <w:tc>
          <w:tcPr>
            <w:tcW w:w="2268" w:type="dxa"/>
            <w:vAlign w:val="center"/>
          </w:tcPr>
          <w:p w14:paraId="460BE589">
            <w:pPr>
              <w:pStyle w:val="11"/>
            </w:pPr>
            <w:r>
              <w:t>预算数</w:t>
            </w:r>
          </w:p>
        </w:tc>
        <w:tc>
          <w:tcPr>
            <w:tcW w:w="2835" w:type="dxa"/>
            <w:vAlign w:val="center"/>
          </w:tcPr>
          <w:p w14:paraId="1BB4500B">
            <w:pPr>
              <w:pStyle w:val="13"/>
            </w:pPr>
            <w:r>
              <w:t>6.53</w:t>
            </w:r>
          </w:p>
        </w:tc>
        <w:tc>
          <w:tcPr>
            <w:tcW w:w="2835" w:type="dxa"/>
            <w:vAlign w:val="center"/>
          </w:tcPr>
          <w:p w14:paraId="781BF09B">
            <w:pPr>
              <w:pStyle w:val="11"/>
            </w:pPr>
            <w:r>
              <w:t>其中：财政    资金</w:t>
            </w:r>
          </w:p>
        </w:tc>
        <w:tc>
          <w:tcPr>
            <w:tcW w:w="2551" w:type="dxa"/>
            <w:vAlign w:val="center"/>
          </w:tcPr>
          <w:p w14:paraId="1187EDD7">
            <w:pPr>
              <w:pStyle w:val="13"/>
            </w:pPr>
            <w:r>
              <w:t>6.53</w:t>
            </w:r>
          </w:p>
        </w:tc>
        <w:tc>
          <w:tcPr>
            <w:tcW w:w="2268" w:type="dxa"/>
            <w:vAlign w:val="center"/>
          </w:tcPr>
          <w:p w14:paraId="68015476">
            <w:pPr>
              <w:pStyle w:val="11"/>
            </w:pPr>
            <w:r>
              <w:t>其他资金</w:t>
            </w:r>
          </w:p>
        </w:tc>
        <w:tc>
          <w:tcPr>
            <w:tcW w:w="1276" w:type="dxa"/>
            <w:vAlign w:val="center"/>
          </w:tcPr>
          <w:p w14:paraId="50EFDF5E">
            <w:pPr>
              <w:pStyle w:val="13"/>
            </w:pPr>
            <w:r>
              <w:t xml:space="preserve"> </w:t>
            </w:r>
          </w:p>
        </w:tc>
      </w:tr>
      <w:tr w14:paraId="50EF5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70E675"/>
        </w:tc>
        <w:tc>
          <w:tcPr>
            <w:tcW w:w="14033" w:type="dxa"/>
            <w:gridSpan w:val="6"/>
            <w:vAlign w:val="center"/>
          </w:tcPr>
          <w:p w14:paraId="4C24D89A">
            <w:pPr>
              <w:pStyle w:val="13"/>
            </w:pPr>
            <w:r>
              <w:t>保障义务教育学校正常运转，完成教育教学活动和其他日常工作任务等方面的费用支出。</w:t>
            </w:r>
          </w:p>
        </w:tc>
      </w:tr>
      <w:tr w14:paraId="1B8A9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30AA5">
            <w:pPr>
              <w:pStyle w:val="11"/>
            </w:pPr>
            <w:r>
              <w:t>资金支出计划（%）</w:t>
            </w:r>
          </w:p>
        </w:tc>
        <w:tc>
          <w:tcPr>
            <w:tcW w:w="5103" w:type="dxa"/>
            <w:gridSpan w:val="2"/>
            <w:vAlign w:val="center"/>
          </w:tcPr>
          <w:p w14:paraId="63ECAAE9">
            <w:pPr>
              <w:pStyle w:val="11"/>
            </w:pPr>
            <w:r>
              <w:t>3月底</w:t>
            </w:r>
          </w:p>
        </w:tc>
        <w:tc>
          <w:tcPr>
            <w:tcW w:w="2835" w:type="dxa"/>
            <w:vAlign w:val="center"/>
          </w:tcPr>
          <w:p w14:paraId="53AB9BEC">
            <w:pPr>
              <w:pStyle w:val="11"/>
            </w:pPr>
            <w:r>
              <w:t>6月底</w:t>
            </w:r>
          </w:p>
        </w:tc>
        <w:tc>
          <w:tcPr>
            <w:tcW w:w="2551" w:type="dxa"/>
            <w:vAlign w:val="center"/>
          </w:tcPr>
          <w:p w14:paraId="1C0A4B09">
            <w:pPr>
              <w:pStyle w:val="11"/>
            </w:pPr>
            <w:r>
              <w:t>10月底</w:t>
            </w:r>
          </w:p>
        </w:tc>
        <w:tc>
          <w:tcPr>
            <w:tcW w:w="3544" w:type="dxa"/>
            <w:gridSpan w:val="2"/>
            <w:vAlign w:val="center"/>
          </w:tcPr>
          <w:p w14:paraId="728919F1">
            <w:pPr>
              <w:pStyle w:val="11"/>
            </w:pPr>
            <w:r>
              <w:t>12月底</w:t>
            </w:r>
          </w:p>
        </w:tc>
      </w:tr>
      <w:tr w14:paraId="7FE0E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26D93"/>
        </w:tc>
        <w:tc>
          <w:tcPr>
            <w:tcW w:w="5103" w:type="dxa"/>
            <w:gridSpan w:val="2"/>
            <w:vAlign w:val="center"/>
          </w:tcPr>
          <w:p w14:paraId="7BD1D00B">
            <w:pPr>
              <w:pStyle w:val="12"/>
            </w:pPr>
            <w:r>
              <w:t>25%</w:t>
            </w:r>
          </w:p>
        </w:tc>
        <w:tc>
          <w:tcPr>
            <w:tcW w:w="2835" w:type="dxa"/>
            <w:vAlign w:val="center"/>
          </w:tcPr>
          <w:p w14:paraId="09A5DB04">
            <w:pPr>
              <w:pStyle w:val="12"/>
            </w:pPr>
            <w:r>
              <w:t>50%</w:t>
            </w:r>
          </w:p>
        </w:tc>
        <w:tc>
          <w:tcPr>
            <w:tcW w:w="2551" w:type="dxa"/>
            <w:vAlign w:val="center"/>
          </w:tcPr>
          <w:p w14:paraId="7101519E">
            <w:pPr>
              <w:pStyle w:val="12"/>
            </w:pPr>
            <w:r>
              <w:t>75%</w:t>
            </w:r>
          </w:p>
        </w:tc>
        <w:tc>
          <w:tcPr>
            <w:tcW w:w="3544" w:type="dxa"/>
            <w:gridSpan w:val="2"/>
            <w:vAlign w:val="center"/>
          </w:tcPr>
          <w:p w14:paraId="4B38A451">
            <w:pPr>
              <w:pStyle w:val="12"/>
            </w:pPr>
            <w:r>
              <w:t>100%</w:t>
            </w:r>
          </w:p>
        </w:tc>
      </w:tr>
      <w:tr w14:paraId="7265A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36F33">
            <w:pPr>
              <w:pStyle w:val="11"/>
            </w:pPr>
            <w:r>
              <w:t>绩效目标</w:t>
            </w:r>
          </w:p>
        </w:tc>
        <w:tc>
          <w:tcPr>
            <w:tcW w:w="14033" w:type="dxa"/>
            <w:gridSpan w:val="6"/>
            <w:vAlign w:val="center"/>
          </w:tcPr>
          <w:p w14:paraId="10094E27">
            <w:pPr>
              <w:pStyle w:val="13"/>
            </w:pPr>
            <w:r>
              <w:t>1.保障义务教育学校正常运转，完成教育教学活动和其他日常工作任务等方面的费用支出。</w:t>
            </w:r>
          </w:p>
          <w:p w14:paraId="0399ADB8">
            <w:pPr>
              <w:pStyle w:val="13"/>
            </w:pPr>
            <w:r>
              <w:t>2.按规定拨付公用经费资金6.528万元，资金拨付率达到100%。</w:t>
            </w:r>
          </w:p>
        </w:tc>
      </w:tr>
    </w:tbl>
    <w:p w14:paraId="295F17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13303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AABA9">
            <w:pPr>
              <w:pStyle w:val="11"/>
            </w:pPr>
            <w:r>
              <w:t>一级指标</w:t>
            </w:r>
          </w:p>
        </w:tc>
        <w:tc>
          <w:tcPr>
            <w:tcW w:w="2268" w:type="dxa"/>
            <w:vAlign w:val="center"/>
          </w:tcPr>
          <w:p w14:paraId="38C7EAB0">
            <w:pPr>
              <w:pStyle w:val="11"/>
            </w:pPr>
            <w:r>
              <w:t>二级指标</w:t>
            </w:r>
          </w:p>
        </w:tc>
        <w:tc>
          <w:tcPr>
            <w:tcW w:w="2835" w:type="dxa"/>
            <w:vAlign w:val="center"/>
          </w:tcPr>
          <w:p w14:paraId="44915580">
            <w:pPr>
              <w:pStyle w:val="11"/>
            </w:pPr>
            <w:r>
              <w:t>三级指标</w:t>
            </w:r>
          </w:p>
        </w:tc>
        <w:tc>
          <w:tcPr>
            <w:tcW w:w="5386" w:type="dxa"/>
            <w:vAlign w:val="center"/>
          </w:tcPr>
          <w:p w14:paraId="00BCA492">
            <w:pPr>
              <w:pStyle w:val="11"/>
            </w:pPr>
            <w:r>
              <w:t>绩效指标描述</w:t>
            </w:r>
          </w:p>
        </w:tc>
        <w:tc>
          <w:tcPr>
            <w:tcW w:w="1673" w:type="dxa"/>
            <w:vAlign w:val="center"/>
          </w:tcPr>
          <w:p w14:paraId="0E36996F">
            <w:pPr>
              <w:pStyle w:val="11"/>
            </w:pPr>
            <w:r>
              <w:t>指标值</w:t>
            </w:r>
          </w:p>
        </w:tc>
        <w:tc>
          <w:tcPr>
            <w:tcW w:w="1871" w:type="dxa"/>
            <w:vAlign w:val="center"/>
          </w:tcPr>
          <w:p w14:paraId="3FBF5F07">
            <w:pPr>
              <w:pStyle w:val="11"/>
            </w:pPr>
            <w:r>
              <w:t>指标值确定依据</w:t>
            </w:r>
          </w:p>
        </w:tc>
      </w:tr>
      <w:tr w14:paraId="7B3CF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34622">
            <w:pPr>
              <w:pStyle w:val="12"/>
            </w:pPr>
            <w:r>
              <w:t>产出指标</w:t>
            </w:r>
          </w:p>
        </w:tc>
        <w:tc>
          <w:tcPr>
            <w:tcW w:w="2268" w:type="dxa"/>
            <w:vAlign w:val="center"/>
          </w:tcPr>
          <w:p w14:paraId="6820BA88">
            <w:pPr>
              <w:pStyle w:val="13"/>
            </w:pPr>
            <w:r>
              <w:t>数量指标</w:t>
            </w:r>
          </w:p>
        </w:tc>
        <w:tc>
          <w:tcPr>
            <w:tcW w:w="2835" w:type="dxa"/>
            <w:vAlign w:val="center"/>
          </w:tcPr>
          <w:p w14:paraId="5426E922">
            <w:pPr>
              <w:pStyle w:val="13"/>
            </w:pPr>
            <w:r>
              <w:t>生均拨款标准</w:t>
            </w:r>
          </w:p>
        </w:tc>
        <w:tc>
          <w:tcPr>
            <w:tcW w:w="5386" w:type="dxa"/>
            <w:vAlign w:val="center"/>
          </w:tcPr>
          <w:p w14:paraId="1F6601D8">
            <w:pPr>
              <w:pStyle w:val="13"/>
            </w:pPr>
            <w:r>
              <w:t>小学生公用经费生均小学720元。取暖费140元/生/年，随班就读学生补助6000元/生</w:t>
            </w:r>
          </w:p>
        </w:tc>
        <w:tc>
          <w:tcPr>
            <w:tcW w:w="1673" w:type="dxa"/>
            <w:vAlign w:val="center"/>
          </w:tcPr>
          <w:p w14:paraId="28E0B208">
            <w:pPr>
              <w:pStyle w:val="13"/>
            </w:pPr>
            <w:r>
              <w:t>840元</w:t>
            </w:r>
          </w:p>
        </w:tc>
        <w:tc>
          <w:tcPr>
            <w:tcW w:w="1871" w:type="dxa"/>
            <w:vAlign w:val="center"/>
          </w:tcPr>
          <w:p w14:paraId="26C72EF8">
            <w:pPr>
              <w:pStyle w:val="13"/>
            </w:pPr>
            <w:r>
              <w:t>城乡义务教育公用经费管理办法</w:t>
            </w:r>
          </w:p>
        </w:tc>
      </w:tr>
      <w:tr w14:paraId="44D20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2EFAD"/>
        </w:tc>
        <w:tc>
          <w:tcPr>
            <w:tcW w:w="2268" w:type="dxa"/>
            <w:vAlign w:val="center"/>
          </w:tcPr>
          <w:p w14:paraId="7C3115D6">
            <w:pPr>
              <w:pStyle w:val="13"/>
            </w:pPr>
            <w:r>
              <w:t>质量指标</w:t>
            </w:r>
          </w:p>
        </w:tc>
        <w:tc>
          <w:tcPr>
            <w:tcW w:w="2835" w:type="dxa"/>
            <w:vAlign w:val="center"/>
          </w:tcPr>
          <w:p w14:paraId="71023905">
            <w:pPr>
              <w:pStyle w:val="13"/>
            </w:pPr>
            <w:r>
              <w:t>就读学生数</w:t>
            </w:r>
          </w:p>
        </w:tc>
        <w:tc>
          <w:tcPr>
            <w:tcW w:w="5386" w:type="dxa"/>
            <w:vAlign w:val="center"/>
          </w:tcPr>
          <w:p w14:paraId="2872C6FB">
            <w:pPr>
              <w:pStyle w:val="13"/>
            </w:pPr>
            <w:r>
              <w:t>辐射区域内适龄学生人数</w:t>
            </w:r>
          </w:p>
        </w:tc>
        <w:tc>
          <w:tcPr>
            <w:tcW w:w="1673" w:type="dxa"/>
            <w:vAlign w:val="center"/>
          </w:tcPr>
          <w:p w14:paraId="12D6C70C">
            <w:pPr>
              <w:pStyle w:val="13"/>
            </w:pPr>
            <w:r>
              <w:t>83人</w:t>
            </w:r>
          </w:p>
        </w:tc>
        <w:tc>
          <w:tcPr>
            <w:tcW w:w="1871" w:type="dxa"/>
            <w:vAlign w:val="center"/>
          </w:tcPr>
          <w:p w14:paraId="3F0C5663">
            <w:pPr>
              <w:pStyle w:val="13"/>
            </w:pPr>
            <w:r>
              <w:t>城乡义务教育公用经费管理办法</w:t>
            </w:r>
          </w:p>
        </w:tc>
      </w:tr>
      <w:tr w14:paraId="087FA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DE832"/>
        </w:tc>
        <w:tc>
          <w:tcPr>
            <w:tcW w:w="2268" w:type="dxa"/>
            <w:vAlign w:val="center"/>
          </w:tcPr>
          <w:p w14:paraId="2F1B6C50">
            <w:pPr>
              <w:pStyle w:val="13"/>
            </w:pPr>
            <w:r>
              <w:t>时效指标</w:t>
            </w:r>
          </w:p>
        </w:tc>
        <w:tc>
          <w:tcPr>
            <w:tcW w:w="2835" w:type="dxa"/>
            <w:vAlign w:val="center"/>
          </w:tcPr>
          <w:p w14:paraId="3DC1B504">
            <w:pPr>
              <w:pStyle w:val="13"/>
            </w:pPr>
            <w:r>
              <w:t>预算执行率</w:t>
            </w:r>
          </w:p>
        </w:tc>
        <w:tc>
          <w:tcPr>
            <w:tcW w:w="5386" w:type="dxa"/>
            <w:vAlign w:val="center"/>
          </w:tcPr>
          <w:p w14:paraId="4B6CFA3B">
            <w:pPr>
              <w:pStyle w:val="13"/>
            </w:pPr>
            <w:r>
              <w:t>预算执行率≥98%</w:t>
            </w:r>
          </w:p>
        </w:tc>
        <w:tc>
          <w:tcPr>
            <w:tcW w:w="1673" w:type="dxa"/>
            <w:vAlign w:val="center"/>
          </w:tcPr>
          <w:p w14:paraId="461A5599">
            <w:pPr>
              <w:pStyle w:val="13"/>
            </w:pPr>
            <w:r>
              <w:t>≥98%</w:t>
            </w:r>
          </w:p>
        </w:tc>
        <w:tc>
          <w:tcPr>
            <w:tcW w:w="1871" w:type="dxa"/>
            <w:vAlign w:val="center"/>
          </w:tcPr>
          <w:p w14:paraId="15EC1452">
            <w:pPr>
              <w:pStyle w:val="13"/>
            </w:pPr>
            <w:r>
              <w:t>城乡义务教育公用经费管理办法</w:t>
            </w:r>
          </w:p>
        </w:tc>
      </w:tr>
      <w:tr w14:paraId="7257F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A17B4"/>
        </w:tc>
        <w:tc>
          <w:tcPr>
            <w:tcW w:w="2268" w:type="dxa"/>
            <w:vAlign w:val="center"/>
          </w:tcPr>
          <w:p w14:paraId="7CA36220">
            <w:pPr>
              <w:pStyle w:val="13"/>
            </w:pPr>
            <w:r>
              <w:t>成本指标</w:t>
            </w:r>
          </w:p>
        </w:tc>
        <w:tc>
          <w:tcPr>
            <w:tcW w:w="2835" w:type="dxa"/>
            <w:vAlign w:val="center"/>
          </w:tcPr>
          <w:p w14:paraId="538CBC96">
            <w:pPr>
              <w:pStyle w:val="13"/>
            </w:pPr>
            <w:r>
              <w:t>义教经费支付完成率</w:t>
            </w:r>
          </w:p>
        </w:tc>
        <w:tc>
          <w:tcPr>
            <w:tcW w:w="5386" w:type="dxa"/>
            <w:vAlign w:val="center"/>
          </w:tcPr>
          <w:p w14:paraId="59B81D81">
            <w:pPr>
              <w:pStyle w:val="13"/>
            </w:pPr>
            <w:r>
              <w:t>按照序时进度完成资金支付</w:t>
            </w:r>
          </w:p>
        </w:tc>
        <w:tc>
          <w:tcPr>
            <w:tcW w:w="1673" w:type="dxa"/>
            <w:vAlign w:val="center"/>
          </w:tcPr>
          <w:p w14:paraId="1E123A1A">
            <w:pPr>
              <w:pStyle w:val="13"/>
            </w:pPr>
            <w:r>
              <w:t>100%</w:t>
            </w:r>
          </w:p>
        </w:tc>
        <w:tc>
          <w:tcPr>
            <w:tcW w:w="1871" w:type="dxa"/>
            <w:vAlign w:val="center"/>
          </w:tcPr>
          <w:p w14:paraId="0BCF6D67">
            <w:pPr>
              <w:pStyle w:val="13"/>
            </w:pPr>
            <w:r>
              <w:t>城乡义务教育公用经费管理办法</w:t>
            </w:r>
          </w:p>
        </w:tc>
      </w:tr>
      <w:tr w14:paraId="0D974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63EE0A99">
            <w:pPr>
              <w:pStyle w:val="12"/>
            </w:pPr>
            <w:r>
              <w:t>效益指标</w:t>
            </w:r>
          </w:p>
        </w:tc>
        <w:tc>
          <w:tcPr>
            <w:tcW w:w="2268" w:type="dxa"/>
            <w:vAlign w:val="center"/>
          </w:tcPr>
          <w:p w14:paraId="7994F353">
            <w:pPr>
              <w:pStyle w:val="13"/>
            </w:pPr>
            <w:r>
              <w:t>可持续影响指标</w:t>
            </w:r>
          </w:p>
        </w:tc>
        <w:tc>
          <w:tcPr>
            <w:tcW w:w="2835" w:type="dxa"/>
            <w:vAlign w:val="center"/>
          </w:tcPr>
          <w:p w14:paraId="629A2642">
            <w:pPr>
              <w:pStyle w:val="13"/>
            </w:pPr>
            <w:r>
              <w:t>学校运转得到提高</w:t>
            </w:r>
          </w:p>
        </w:tc>
        <w:tc>
          <w:tcPr>
            <w:tcW w:w="5386" w:type="dxa"/>
            <w:vAlign w:val="center"/>
          </w:tcPr>
          <w:p w14:paraId="015CCB1A">
            <w:pPr>
              <w:pStyle w:val="13"/>
            </w:pPr>
            <w:r>
              <w:t>学生受教育年限</w:t>
            </w:r>
          </w:p>
        </w:tc>
        <w:tc>
          <w:tcPr>
            <w:tcW w:w="1673" w:type="dxa"/>
            <w:vAlign w:val="center"/>
          </w:tcPr>
          <w:p w14:paraId="4CBDDE4D">
            <w:pPr>
              <w:pStyle w:val="13"/>
            </w:pPr>
            <w:r>
              <w:t>6年</w:t>
            </w:r>
          </w:p>
        </w:tc>
        <w:tc>
          <w:tcPr>
            <w:tcW w:w="1871" w:type="dxa"/>
            <w:vAlign w:val="center"/>
          </w:tcPr>
          <w:p w14:paraId="3AB6C49C">
            <w:pPr>
              <w:pStyle w:val="13"/>
            </w:pPr>
            <w:r>
              <w:t>城乡义务教育公用经费管理办法</w:t>
            </w:r>
          </w:p>
        </w:tc>
      </w:tr>
      <w:tr w14:paraId="18AE5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162D4">
            <w:pPr>
              <w:pStyle w:val="12"/>
            </w:pPr>
            <w:r>
              <w:t>满意度指标</w:t>
            </w:r>
          </w:p>
        </w:tc>
        <w:tc>
          <w:tcPr>
            <w:tcW w:w="2268" w:type="dxa"/>
            <w:vAlign w:val="center"/>
          </w:tcPr>
          <w:p w14:paraId="4E3154BF">
            <w:pPr>
              <w:pStyle w:val="13"/>
            </w:pPr>
            <w:r>
              <w:t>服务对象满意度指标</w:t>
            </w:r>
          </w:p>
        </w:tc>
        <w:tc>
          <w:tcPr>
            <w:tcW w:w="2835" w:type="dxa"/>
            <w:vAlign w:val="center"/>
          </w:tcPr>
          <w:p w14:paraId="1028EFFF">
            <w:pPr>
              <w:pStyle w:val="13"/>
            </w:pPr>
            <w:r>
              <w:t>服务对象满意度</w:t>
            </w:r>
          </w:p>
        </w:tc>
        <w:tc>
          <w:tcPr>
            <w:tcW w:w="5386" w:type="dxa"/>
            <w:vAlign w:val="center"/>
          </w:tcPr>
          <w:p w14:paraId="3FD0E79A">
            <w:pPr>
              <w:pStyle w:val="13"/>
            </w:pPr>
            <w:r>
              <w:t>学校老师和学生满意度</w:t>
            </w:r>
          </w:p>
        </w:tc>
        <w:tc>
          <w:tcPr>
            <w:tcW w:w="1673" w:type="dxa"/>
            <w:vAlign w:val="center"/>
          </w:tcPr>
          <w:p w14:paraId="65158DD1">
            <w:pPr>
              <w:pStyle w:val="13"/>
            </w:pPr>
            <w:r>
              <w:t>≥95%</w:t>
            </w:r>
          </w:p>
        </w:tc>
        <w:tc>
          <w:tcPr>
            <w:tcW w:w="1871" w:type="dxa"/>
            <w:vAlign w:val="center"/>
          </w:tcPr>
          <w:p w14:paraId="2D9507F0">
            <w:pPr>
              <w:pStyle w:val="13"/>
            </w:pPr>
            <w:r>
              <w:t>城乡义务教育公用经费管理办法</w:t>
            </w:r>
          </w:p>
        </w:tc>
      </w:tr>
    </w:tbl>
    <w:p w14:paraId="4C5021E5">
      <w:pPr>
        <w:sectPr>
          <w:pgSz w:w="16840" w:h="11900" w:orient="landscape"/>
          <w:pgMar w:top="1361" w:right="1020" w:bottom="1134" w:left="1020" w:header="720" w:footer="720" w:gutter="0"/>
          <w:cols w:space="720" w:num="1"/>
        </w:sectPr>
      </w:pPr>
    </w:p>
    <w:p w14:paraId="53AFF2DE">
      <w:pPr>
        <w:spacing w:before="0" w:after="0"/>
        <w:ind w:firstLine="560"/>
        <w:jc w:val="left"/>
        <w:outlineLvl w:val="9"/>
      </w:pPr>
      <w:r>
        <w:rPr>
          <w:rFonts w:ascii="方正仿宋_GBK" w:hAnsi="方正仿宋_GBK" w:eastAsia="方正仿宋_GBK" w:cs="方正仿宋_GBK"/>
          <w:b/>
          <w:color w:val="000000"/>
          <w:sz w:val="28"/>
        </w:rPr>
        <w:t>8、冀财教[2024]123号/中央/2025年义教补助经费/东良小学公用经费绩效目标表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A2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F2FBC">
            <w:pPr>
              <w:pStyle w:val="14"/>
            </w:pPr>
            <w:r>
              <w:t>单位：万元</w:t>
            </w:r>
          </w:p>
        </w:tc>
      </w:tr>
      <w:tr w14:paraId="5FBCA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F2EBA5">
            <w:pPr>
              <w:pStyle w:val="11"/>
            </w:pPr>
            <w:r>
              <w:t>项目编码</w:t>
            </w:r>
          </w:p>
        </w:tc>
        <w:tc>
          <w:tcPr>
            <w:tcW w:w="5103" w:type="dxa"/>
            <w:gridSpan w:val="2"/>
            <w:vAlign w:val="center"/>
          </w:tcPr>
          <w:p w14:paraId="42213B1F">
            <w:pPr>
              <w:pStyle w:val="13"/>
            </w:pPr>
            <w:r>
              <w:t>13052525P00000410072A</w:t>
            </w:r>
          </w:p>
        </w:tc>
        <w:tc>
          <w:tcPr>
            <w:tcW w:w="2835" w:type="dxa"/>
            <w:vAlign w:val="center"/>
          </w:tcPr>
          <w:p w14:paraId="7BE702AF">
            <w:pPr>
              <w:pStyle w:val="11"/>
            </w:pPr>
            <w:r>
              <w:t>项目名称</w:t>
            </w:r>
          </w:p>
        </w:tc>
        <w:tc>
          <w:tcPr>
            <w:tcW w:w="6095" w:type="dxa"/>
            <w:gridSpan w:val="3"/>
            <w:vAlign w:val="center"/>
          </w:tcPr>
          <w:p w14:paraId="35F865C0">
            <w:pPr>
              <w:pStyle w:val="13"/>
            </w:pPr>
            <w:r>
              <w:t>冀财教[2024]123号/中央/2025年义教补助经费/东良小学公用经费</w:t>
            </w:r>
          </w:p>
        </w:tc>
      </w:tr>
      <w:tr w14:paraId="2C66D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C9C77">
            <w:pPr>
              <w:pStyle w:val="11"/>
            </w:pPr>
            <w:r>
              <w:t>预算规模及资金用途</w:t>
            </w:r>
          </w:p>
        </w:tc>
        <w:tc>
          <w:tcPr>
            <w:tcW w:w="2268" w:type="dxa"/>
            <w:vAlign w:val="center"/>
          </w:tcPr>
          <w:p w14:paraId="7F57603F">
            <w:pPr>
              <w:pStyle w:val="11"/>
            </w:pPr>
            <w:r>
              <w:t>预算数</w:t>
            </w:r>
          </w:p>
        </w:tc>
        <w:tc>
          <w:tcPr>
            <w:tcW w:w="2835" w:type="dxa"/>
            <w:vAlign w:val="center"/>
          </w:tcPr>
          <w:p w14:paraId="55B6CA91">
            <w:pPr>
              <w:pStyle w:val="13"/>
            </w:pPr>
            <w:r>
              <w:t>21.09</w:t>
            </w:r>
          </w:p>
        </w:tc>
        <w:tc>
          <w:tcPr>
            <w:tcW w:w="2835" w:type="dxa"/>
            <w:vAlign w:val="center"/>
          </w:tcPr>
          <w:p w14:paraId="1A65CC7B">
            <w:pPr>
              <w:pStyle w:val="11"/>
            </w:pPr>
            <w:r>
              <w:t>其中：财政    资金</w:t>
            </w:r>
          </w:p>
        </w:tc>
        <w:tc>
          <w:tcPr>
            <w:tcW w:w="2551" w:type="dxa"/>
            <w:vAlign w:val="center"/>
          </w:tcPr>
          <w:p w14:paraId="4651176E">
            <w:pPr>
              <w:pStyle w:val="13"/>
            </w:pPr>
            <w:r>
              <w:t>21.09</w:t>
            </w:r>
          </w:p>
        </w:tc>
        <w:tc>
          <w:tcPr>
            <w:tcW w:w="2268" w:type="dxa"/>
            <w:vAlign w:val="center"/>
          </w:tcPr>
          <w:p w14:paraId="6D640FE0">
            <w:pPr>
              <w:pStyle w:val="11"/>
            </w:pPr>
            <w:r>
              <w:t>其他资金</w:t>
            </w:r>
          </w:p>
        </w:tc>
        <w:tc>
          <w:tcPr>
            <w:tcW w:w="1276" w:type="dxa"/>
            <w:vAlign w:val="center"/>
          </w:tcPr>
          <w:p w14:paraId="774ECB73">
            <w:pPr>
              <w:pStyle w:val="13"/>
            </w:pPr>
            <w:r>
              <w:t xml:space="preserve"> </w:t>
            </w:r>
          </w:p>
        </w:tc>
      </w:tr>
      <w:tr w14:paraId="37550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B6C188"/>
        </w:tc>
        <w:tc>
          <w:tcPr>
            <w:tcW w:w="14033" w:type="dxa"/>
            <w:gridSpan w:val="6"/>
            <w:vAlign w:val="center"/>
          </w:tcPr>
          <w:p w14:paraId="4B5A04C7">
            <w:pPr>
              <w:pStyle w:val="13"/>
            </w:pPr>
            <w:r>
              <w:t>保障义务教育学校正常运转，完成教育教学活动和其他日常工作任务等方面的费用支出。</w:t>
            </w:r>
          </w:p>
        </w:tc>
      </w:tr>
      <w:tr w14:paraId="5135E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AA99C">
            <w:pPr>
              <w:pStyle w:val="11"/>
            </w:pPr>
            <w:r>
              <w:t>资金支出计划（%）</w:t>
            </w:r>
          </w:p>
        </w:tc>
        <w:tc>
          <w:tcPr>
            <w:tcW w:w="5103" w:type="dxa"/>
            <w:gridSpan w:val="2"/>
            <w:vAlign w:val="center"/>
          </w:tcPr>
          <w:p w14:paraId="43DD30A8">
            <w:pPr>
              <w:pStyle w:val="11"/>
            </w:pPr>
            <w:r>
              <w:t>3月底</w:t>
            </w:r>
          </w:p>
        </w:tc>
        <w:tc>
          <w:tcPr>
            <w:tcW w:w="2835" w:type="dxa"/>
            <w:vAlign w:val="center"/>
          </w:tcPr>
          <w:p w14:paraId="62432EC8">
            <w:pPr>
              <w:pStyle w:val="11"/>
            </w:pPr>
            <w:r>
              <w:t>6月底</w:t>
            </w:r>
          </w:p>
        </w:tc>
        <w:tc>
          <w:tcPr>
            <w:tcW w:w="2551" w:type="dxa"/>
            <w:vAlign w:val="center"/>
          </w:tcPr>
          <w:p w14:paraId="41C9556A">
            <w:pPr>
              <w:pStyle w:val="11"/>
            </w:pPr>
            <w:r>
              <w:t>10月底</w:t>
            </w:r>
          </w:p>
        </w:tc>
        <w:tc>
          <w:tcPr>
            <w:tcW w:w="3544" w:type="dxa"/>
            <w:gridSpan w:val="2"/>
            <w:vAlign w:val="center"/>
          </w:tcPr>
          <w:p w14:paraId="14EECD99">
            <w:pPr>
              <w:pStyle w:val="11"/>
            </w:pPr>
            <w:r>
              <w:t>12月底</w:t>
            </w:r>
          </w:p>
        </w:tc>
      </w:tr>
      <w:tr w14:paraId="324F5A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FB37D"/>
        </w:tc>
        <w:tc>
          <w:tcPr>
            <w:tcW w:w="5103" w:type="dxa"/>
            <w:gridSpan w:val="2"/>
            <w:vAlign w:val="center"/>
          </w:tcPr>
          <w:p w14:paraId="319CE842">
            <w:pPr>
              <w:pStyle w:val="12"/>
            </w:pPr>
            <w:r>
              <w:t>25%</w:t>
            </w:r>
          </w:p>
        </w:tc>
        <w:tc>
          <w:tcPr>
            <w:tcW w:w="2835" w:type="dxa"/>
            <w:vAlign w:val="center"/>
          </w:tcPr>
          <w:p w14:paraId="7AFBD51D">
            <w:pPr>
              <w:pStyle w:val="12"/>
            </w:pPr>
            <w:r>
              <w:t>50%</w:t>
            </w:r>
          </w:p>
        </w:tc>
        <w:tc>
          <w:tcPr>
            <w:tcW w:w="2551" w:type="dxa"/>
            <w:vAlign w:val="center"/>
          </w:tcPr>
          <w:p w14:paraId="7DE6266A">
            <w:pPr>
              <w:pStyle w:val="12"/>
            </w:pPr>
            <w:r>
              <w:t>75%</w:t>
            </w:r>
          </w:p>
        </w:tc>
        <w:tc>
          <w:tcPr>
            <w:tcW w:w="3544" w:type="dxa"/>
            <w:gridSpan w:val="2"/>
            <w:vAlign w:val="center"/>
          </w:tcPr>
          <w:p w14:paraId="4C81B111">
            <w:pPr>
              <w:pStyle w:val="12"/>
            </w:pPr>
            <w:r>
              <w:t>100%</w:t>
            </w:r>
          </w:p>
        </w:tc>
      </w:tr>
      <w:tr w14:paraId="01893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73F7BA">
            <w:pPr>
              <w:pStyle w:val="11"/>
            </w:pPr>
            <w:r>
              <w:t>绩效目标</w:t>
            </w:r>
          </w:p>
        </w:tc>
        <w:tc>
          <w:tcPr>
            <w:tcW w:w="14033" w:type="dxa"/>
            <w:gridSpan w:val="6"/>
            <w:vAlign w:val="center"/>
          </w:tcPr>
          <w:p w14:paraId="21C0B620">
            <w:pPr>
              <w:pStyle w:val="13"/>
            </w:pPr>
            <w:r>
              <w:t>1.保障义务教育学校正常运转，完成教育教学活动和其他日常工作任务等方面的费用支出。</w:t>
            </w:r>
          </w:p>
          <w:p w14:paraId="1A7C13DE">
            <w:pPr>
              <w:pStyle w:val="13"/>
            </w:pPr>
            <w:r>
              <w:t>2.按规定拨付公用经费资金21.094万元，资金拨付率达到100%。</w:t>
            </w:r>
          </w:p>
        </w:tc>
      </w:tr>
    </w:tbl>
    <w:p w14:paraId="65A3A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14:paraId="59CD1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3E57B">
            <w:pPr>
              <w:pStyle w:val="11"/>
            </w:pPr>
            <w:r>
              <w:t>一级指标</w:t>
            </w:r>
          </w:p>
        </w:tc>
        <w:tc>
          <w:tcPr>
            <w:tcW w:w="2268" w:type="dxa"/>
            <w:vAlign w:val="center"/>
          </w:tcPr>
          <w:p w14:paraId="4D117E50">
            <w:pPr>
              <w:pStyle w:val="11"/>
            </w:pPr>
            <w:r>
              <w:t>二级指标</w:t>
            </w:r>
          </w:p>
        </w:tc>
        <w:tc>
          <w:tcPr>
            <w:tcW w:w="2835" w:type="dxa"/>
            <w:vAlign w:val="center"/>
          </w:tcPr>
          <w:p w14:paraId="0449300C">
            <w:pPr>
              <w:pStyle w:val="11"/>
            </w:pPr>
            <w:r>
              <w:t>三级指标</w:t>
            </w:r>
          </w:p>
        </w:tc>
        <w:tc>
          <w:tcPr>
            <w:tcW w:w="5386" w:type="dxa"/>
            <w:vAlign w:val="center"/>
          </w:tcPr>
          <w:p w14:paraId="6B223430">
            <w:pPr>
              <w:pStyle w:val="11"/>
            </w:pPr>
            <w:r>
              <w:t>绩效指标描述</w:t>
            </w:r>
          </w:p>
        </w:tc>
        <w:tc>
          <w:tcPr>
            <w:tcW w:w="1853" w:type="dxa"/>
            <w:vAlign w:val="center"/>
          </w:tcPr>
          <w:p w14:paraId="2A8C0579">
            <w:pPr>
              <w:pStyle w:val="11"/>
            </w:pPr>
            <w:r>
              <w:t>指标值</w:t>
            </w:r>
          </w:p>
        </w:tc>
        <w:tc>
          <w:tcPr>
            <w:tcW w:w="1691" w:type="dxa"/>
            <w:vAlign w:val="center"/>
          </w:tcPr>
          <w:p w14:paraId="07B02B87">
            <w:pPr>
              <w:pStyle w:val="11"/>
            </w:pPr>
            <w:r>
              <w:t>指标值确定依据</w:t>
            </w:r>
          </w:p>
        </w:tc>
      </w:tr>
      <w:tr w14:paraId="53220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FD9DB">
            <w:pPr>
              <w:pStyle w:val="12"/>
            </w:pPr>
            <w:r>
              <w:t>产出指标</w:t>
            </w:r>
          </w:p>
        </w:tc>
        <w:tc>
          <w:tcPr>
            <w:tcW w:w="2268" w:type="dxa"/>
            <w:vAlign w:val="center"/>
          </w:tcPr>
          <w:p w14:paraId="57DEAD4F">
            <w:pPr>
              <w:pStyle w:val="13"/>
            </w:pPr>
            <w:r>
              <w:t>数量指标</w:t>
            </w:r>
          </w:p>
        </w:tc>
        <w:tc>
          <w:tcPr>
            <w:tcW w:w="2835" w:type="dxa"/>
            <w:vAlign w:val="center"/>
          </w:tcPr>
          <w:p w14:paraId="2B13A2FD">
            <w:pPr>
              <w:pStyle w:val="13"/>
            </w:pPr>
            <w:r>
              <w:t>生均拨款标准</w:t>
            </w:r>
          </w:p>
        </w:tc>
        <w:tc>
          <w:tcPr>
            <w:tcW w:w="5386" w:type="dxa"/>
            <w:vAlign w:val="center"/>
          </w:tcPr>
          <w:p w14:paraId="1B010123">
            <w:pPr>
              <w:pStyle w:val="13"/>
            </w:pPr>
            <w:r>
              <w:t>小学生公用经费生均小学720元。取暖费140元/生/年，随班就读学生补助6000元/生</w:t>
            </w:r>
          </w:p>
        </w:tc>
        <w:tc>
          <w:tcPr>
            <w:tcW w:w="1853" w:type="dxa"/>
            <w:vAlign w:val="center"/>
          </w:tcPr>
          <w:p w14:paraId="32C18B83">
            <w:pPr>
              <w:pStyle w:val="13"/>
            </w:pPr>
            <w:r>
              <w:t>840元</w:t>
            </w:r>
          </w:p>
        </w:tc>
        <w:tc>
          <w:tcPr>
            <w:tcW w:w="1691" w:type="dxa"/>
            <w:vAlign w:val="center"/>
          </w:tcPr>
          <w:p w14:paraId="589ADAC2">
            <w:pPr>
              <w:pStyle w:val="13"/>
            </w:pPr>
            <w:r>
              <w:t>城乡义务教育公用经费管理办法</w:t>
            </w:r>
          </w:p>
        </w:tc>
      </w:tr>
      <w:tr w14:paraId="458BA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95074"/>
        </w:tc>
        <w:tc>
          <w:tcPr>
            <w:tcW w:w="2268" w:type="dxa"/>
            <w:vAlign w:val="center"/>
          </w:tcPr>
          <w:p w14:paraId="21B319F8">
            <w:pPr>
              <w:pStyle w:val="13"/>
            </w:pPr>
            <w:r>
              <w:t>质量指标</w:t>
            </w:r>
          </w:p>
        </w:tc>
        <w:tc>
          <w:tcPr>
            <w:tcW w:w="2835" w:type="dxa"/>
            <w:vAlign w:val="center"/>
          </w:tcPr>
          <w:p w14:paraId="30FABD64">
            <w:pPr>
              <w:pStyle w:val="13"/>
            </w:pPr>
            <w:r>
              <w:t>就读学生数</w:t>
            </w:r>
          </w:p>
        </w:tc>
        <w:tc>
          <w:tcPr>
            <w:tcW w:w="5386" w:type="dxa"/>
            <w:vAlign w:val="center"/>
          </w:tcPr>
          <w:p w14:paraId="2B16C12C">
            <w:pPr>
              <w:pStyle w:val="13"/>
            </w:pPr>
            <w:r>
              <w:t>辐射区域内适龄学生人数</w:t>
            </w:r>
          </w:p>
        </w:tc>
        <w:tc>
          <w:tcPr>
            <w:tcW w:w="1853" w:type="dxa"/>
            <w:vAlign w:val="center"/>
          </w:tcPr>
          <w:p w14:paraId="7D0AEF05">
            <w:pPr>
              <w:pStyle w:val="13"/>
            </w:pPr>
            <w:r>
              <w:t>355人</w:t>
            </w:r>
          </w:p>
        </w:tc>
        <w:tc>
          <w:tcPr>
            <w:tcW w:w="1691" w:type="dxa"/>
            <w:vAlign w:val="center"/>
          </w:tcPr>
          <w:p w14:paraId="5E730CD7">
            <w:pPr>
              <w:pStyle w:val="13"/>
            </w:pPr>
            <w:r>
              <w:t>城乡义务教育公用经费管理办法</w:t>
            </w:r>
          </w:p>
        </w:tc>
      </w:tr>
      <w:tr w14:paraId="7BA8E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0FDA8"/>
        </w:tc>
        <w:tc>
          <w:tcPr>
            <w:tcW w:w="2268" w:type="dxa"/>
            <w:vAlign w:val="center"/>
          </w:tcPr>
          <w:p w14:paraId="388D5C2C">
            <w:pPr>
              <w:pStyle w:val="13"/>
            </w:pPr>
            <w:r>
              <w:t>时效指标</w:t>
            </w:r>
          </w:p>
        </w:tc>
        <w:tc>
          <w:tcPr>
            <w:tcW w:w="2835" w:type="dxa"/>
            <w:vAlign w:val="center"/>
          </w:tcPr>
          <w:p w14:paraId="63099F78">
            <w:pPr>
              <w:pStyle w:val="13"/>
            </w:pPr>
            <w:r>
              <w:t>预算执行率</w:t>
            </w:r>
          </w:p>
        </w:tc>
        <w:tc>
          <w:tcPr>
            <w:tcW w:w="5386" w:type="dxa"/>
            <w:vAlign w:val="center"/>
          </w:tcPr>
          <w:p w14:paraId="25654056">
            <w:pPr>
              <w:pStyle w:val="13"/>
            </w:pPr>
            <w:r>
              <w:t>预算执行率≥98%</w:t>
            </w:r>
          </w:p>
        </w:tc>
        <w:tc>
          <w:tcPr>
            <w:tcW w:w="1853" w:type="dxa"/>
            <w:vAlign w:val="center"/>
          </w:tcPr>
          <w:p w14:paraId="3AA65CC7">
            <w:pPr>
              <w:pStyle w:val="13"/>
            </w:pPr>
            <w:r>
              <w:t>≥98%</w:t>
            </w:r>
          </w:p>
        </w:tc>
        <w:tc>
          <w:tcPr>
            <w:tcW w:w="1691" w:type="dxa"/>
            <w:vAlign w:val="center"/>
          </w:tcPr>
          <w:p w14:paraId="74465C31">
            <w:pPr>
              <w:pStyle w:val="13"/>
            </w:pPr>
            <w:r>
              <w:t>城乡义务教育公用经费管理办法</w:t>
            </w:r>
          </w:p>
        </w:tc>
      </w:tr>
      <w:tr w14:paraId="1FC97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FBF8F"/>
        </w:tc>
        <w:tc>
          <w:tcPr>
            <w:tcW w:w="2268" w:type="dxa"/>
            <w:vAlign w:val="center"/>
          </w:tcPr>
          <w:p w14:paraId="3FAB445D">
            <w:pPr>
              <w:pStyle w:val="13"/>
            </w:pPr>
            <w:r>
              <w:t>成本指标</w:t>
            </w:r>
          </w:p>
        </w:tc>
        <w:tc>
          <w:tcPr>
            <w:tcW w:w="2835" w:type="dxa"/>
            <w:vAlign w:val="center"/>
          </w:tcPr>
          <w:p w14:paraId="1E9442B4">
            <w:pPr>
              <w:pStyle w:val="13"/>
            </w:pPr>
            <w:r>
              <w:t>义教经费支付完成率</w:t>
            </w:r>
          </w:p>
        </w:tc>
        <w:tc>
          <w:tcPr>
            <w:tcW w:w="5386" w:type="dxa"/>
            <w:vAlign w:val="center"/>
          </w:tcPr>
          <w:p w14:paraId="5FB3A734">
            <w:pPr>
              <w:pStyle w:val="13"/>
            </w:pPr>
            <w:r>
              <w:t>按照序时进度完成资金支付</w:t>
            </w:r>
          </w:p>
        </w:tc>
        <w:tc>
          <w:tcPr>
            <w:tcW w:w="1853" w:type="dxa"/>
            <w:vAlign w:val="center"/>
          </w:tcPr>
          <w:p w14:paraId="126866BF">
            <w:pPr>
              <w:pStyle w:val="13"/>
            </w:pPr>
            <w:r>
              <w:t>100%</w:t>
            </w:r>
          </w:p>
        </w:tc>
        <w:tc>
          <w:tcPr>
            <w:tcW w:w="1691" w:type="dxa"/>
            <w:vAlign w:val="center"/>
          </w:tcPr>
          <w:p w14:paraId="0D1AC967">
            <w:pPr>
              <w:pStyle w:val="13"/>
            </w:pPr>
            <w:r>
              <w:t>城乡义务教育公用经费管理办法</w:t>
            </w:r>
          </w:p>
        </w:tc>
      </w:tr>
      <w:tr w14:paraId="3EDB7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5B9255">
            <w:pPr>
              <w:pStyle w:val="12"/>
            </w:pPr>
            <w:r>
              <w:t>效益指标</w:t>
            </w:r>
          </w:p>
        </w:tc>
        <w:tc>
          <w:tcPr>
            <w:tcW w:w="2268" w:type="dxa"/>
            <w:vAlign w:val="center"/>
          </w:tcPr>
          <w:p w14:paraId="10F675CE">
            <w:pPr>
              <w:pStyle w:val="13"/>
            </w:pPr>
            <w:r>
              <w:t>可持续影响指标</w:t>
            </w:r>
          </w:p>
        </w:tc>
        <w:tc>
          <w:tcPr>
            <w:tcW w:w="2835" w:type="dxa"/>
            <w:vAlign w:val="center"/>
          </w:tcPr>
          <w:p w14:paraId="7C8814C2">
            <w:pPr>
              <w:pStyle w:val="13"/>
            </w:pPr>
            <w:r>
              <w:t>学校运转得到提高</w:t>
            </w:r>
          </w:p>
        </w:tc>
        <w:tc>
          <w:tcPr>
            <w:tcW w:w="5386" w:type="dxa"/>
            <w:vAlign w:val="center"/>
          </w:tcPr>
          <w:p w14:paraId="47B227BA">
            <w:pPr>
              <w:pStyle w:val="13"/>
            </w:pPr>
            <w:r>
              <w:t>学生受教育年限</w:t>
            </w:r>
          </w:p>
        </w:tc>
        <w:tc>
          <w:tcPr>
            <w:tcW w:w="1853" w:type="dxa"/>
            <w:vAlign w:val="center"/>
          </w:tcPr>
          <w:p w14:paraId="0F56C9F6">
            <w:pPr>
              <w:pStyle w:val="13"/>
            </w:pPr>
            <w:r>
              <w:t>6年</w:t>
            </w:r>
          </w:p>
        </w:tc>
        <w:tc>
          <w:tcPr>
            <w:tcW w:w="1691" w:type="dxa"/>
            <w:vAlign w:val="center"/>
          </w:tcPr>
          <w:p w14:paraId="45AF26E6">
            <w:pPr>
              <w:pStyle w:val="13"/>
            </w:pPr>
            <w:r>
              <w:t>城乡义务教育公用经费管理办法</w:t>
            </w:r>
          </w:p>
        </w:tc>
      </w:tr>
      <w:tr w14:paraId="51FDF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C96013">
            <w:pPr>
              <w:pStyle w:val="12"/>
            </w:pPr>
            <w:r>
              <w:t>满意度指标</w:t>
            </w:r>
          </w:p>
        </w:tc>
        <w:tc>
          <w:tcPr>
            <w:tcW w:w="2268" w:type="dxa"/>
            <w:vAlign w:val="center"/>
          </w:tcPr>
          <w:p w14:paraId="14D3B0C6">
            <w:pPr>
              <w:pStyle w:val="13"/>
            </w:pPr>
            <w:r>
              <w:t>服务对象满意度指标</w:t>
            </w:r>
          </w:p>
        </w:tc>
        <w:tc>
          <w:tcPr>
            <w:tcW w:w="2835" w:type="dxa"/>
            <w:vAlign w:val="center"/>
          </w:tcPr>
          <w:p w14:paraId="09EA188F">
            <w:pPr>
              <w:pStyle w:val="13"/>
            </w:pPr>
            <w:r>
              <w:t>服务对象满意度</w:t>
            </w:r>
          </w:p>
        </w:tc>
        <w:tc>
          <w:tcPr>
            <w:tcW w:w="5386" w:type="dxa"/>
            <w:vAlign w:val="center"/>
          </w:tcPr>
          <w:p w14:paraId="7DCFFFC9">
            <w:pPr>
              <w:pStyle w:val="13"/>
            </w:pPr>
            <w:r>
              <w:t>学校老师和学生满意度</w:t>
            </w:r>
          </w:p>
        </w:tc>
        <w:tc>
          <w:tcPr>
            <w:tcW w:w="1853" w:type="dxa"/>
            <w:vAlign w:val="center"/>
          </w:tcPr>
          <w:p w14:paraId="2536F2B6">
            <w:pPr>
              <w:pStyle w:val="13"/>
            </w:pPr>
            <w:r>
              <w:t>≥95%</w:t>
            </w:r>
          </w:p>
        </w:tc>
        <w:tc>
          <w:tcPr>
            <w:tcW w:w="1691" w:type="dxa"/>
            <w:vAlign w:val="center"/>
          </w:tcPr>
          <w:p w14:paraId="4BCACF6B">
            <w:pPr>
              <w:pStyle w:val="13"/>
            </w:pPr>
            <w:r>
              <w:t>城乡义务教育公用经费管理办法</w:t>
            </w:r>
          </w:p>
        </w:tc>
      </w:tr>
    </w:tbl>
    <w:p w14:paraId="5B9B6910">
      <w:pPr>
        <w:sectPr>
          <w:pgSz w:w="16840" w:h="11900" w:orient="landscape"/>
          <w:pgMar w:top="1361" w:right="1020" w:bottom="1134" w:left="1020" w:header="720" w:footer="720" w:gutter="0"/>
          <w:cols w:space="720" w:num="1"/>
        </w:sectPr>
      </w:pPr>
    </w:p>
    <w:p w14:paraId="0A2B8355">
      <w:pPr>
        <w:spacing w:before="0" w:after="0"/>
        <w:ind w:firstLine="560"/>
        <w:jc w:val="left"/>
        <w:outlineLvl w:val="9"/>
      </w:pPr>
      <w:r>
        <w:rPr>
          <w:rFonts w:ascii="方正仿宋_GBK" w:hAnsi="方正仿宋_GBK" w:eastAsia="方正仿宋_GBK" w:cs="方正仿宋_GBK"/>
          <w:b/>
          <w:color w:val="000000"/>
          <w:sz w:val="28"/>
        </w:rPr>
        <w:t>9、冀财教[2024]123号/中央/2025年义教补助经费/高村小学公用经费绩效目标表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145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C17E7">
            <w:pPr>
              <w:pStyle w:val="14"/>
            </w:pPr>
            <w:r>
              <w:t>单位：万元</w:t>
            </w:r>
          </w:p>
        </w:tc>
      </w:tr>
      <w:tr w14:paraId="5197D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11A45C">
            <w:pPr>
              <w:pStyle w:val="11"/>
            </w:pPr>
            <w:r>
              <w:t>项目编码</w:t>
            </w:r>
          </w:p>
        </w:tc>
        <w:tc>
          <w:tcPr>
            <w:tcW w:w="5103" w:type="dxa"/>
            <w:gridSpan w:val="2"/>
            <w:vAlign w:val="center"/>
          </w:tcPr>
          <w:p w14:paraId="35DA70C3">
            <w:pPr>
              <w:pStyle w:val="13"/>
            </w:pPr>
            <w:r>
              <w:t>13052525P00000410073X</w:t>
            </w:r>
          </w:p>
        </w:tc>
        <w:tc>
          <w:tcPr>
            <w:tcW w:w="2835" w:type="dxa"/>
            <w:vAlign w:val="center"/>
          </w:tcPr>
          <w:p w14:paraId="0BE4D218">
            <w:pPr>
              <w:pStyle w:val="11"/>
            </w:pPr>
            <w:r>
              <w:t>项目名称</w:t>
            </w:r>
          </w:p>
        </w:tc>
        <w:tc>
          <w:tcPr>
            <w:tcW w:w="6095" w:type="dxa"/>
            <w:gridSpan w:val="3"/>
            <w:vAlign w:val="center"/>
          </w:tcPr>
          <w:p w14:paraId="514EA269">
            <w:pPr>
              <w:pStyle w:val="13"/>
            </w:pPr>
            <w:r>
              <w:t>冀财教[2024]123号/中央/2025年义教补助经费/高村小学公用经费</w:t>
            </w:r>
          </w:p>
        </w:tc>
      </w:tr>
      <w:tr w14:paraId="60359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4B43E">
            <w:pPr>
              <w:pStyle w:val="11"/>
            </w:pPr>
            <w:r>
              <w:t>预算规模及资金用途</w:t>
            </w:r>
          </w:p>
        </w:tc>
        <w:tc>
          <w:tcPr>
            <w:tcW w:w="2268" w:type="dxa"/>
            <w:vAlign w:val="center"/>
          </w:tcPr>
          <w:p w14:paraId="238149E6">
            <w:pPr>
              <w:pStyle w:val="11"/>
            </w:pPr>
            <w:r>
              <w:t>预算数</w:t>
            </w:r>
          </w:p>
        </w:tc>
        <w:tc>
          <w:tcPr>
            <w:tcW w:w="2835" w:type="dxa"/>
            <w:vAlign w:val="center"/>
          </w:tcPr>
          <w:p w14:paraId="67A2E83F">
            <w:pPr>
              <w:pStyle w:val="13"/>
            </w:pPr>
            <w:r>
              <w:t>10.68</w:t>
            </w:r>
          </w:p>
        </w:tc>
        <w:tc>
          <w:tcPr>
            <w:tcW w:w="2835" w:type="dxa"/>
            <w:vAlign w:val="center"/>
          </w:tcPr>
          <w:p w14:paraId="65410881">
            <w:pPr>
              <w:pStyle w:val="11"/>
            </w:pPr>
            <w:r>
              <w:t>其中：财政    资金</w:t>
            </w:r>
          </w:p>
        </w:tc>
        <w:tc>
          <w:tcPr>
            <w:tcW w:w="2551" w:type="dxa"/>
            <w:vAlign w:val="center"/>
          </w:tcPr>
          <w:p w14:paraId="15C8AEA2">
            <w:pPr>
              <w:pStyle w:val="13"/>
            </w:pPr>
            <w:r>
              <w:t>10.68</w:t>
            </w:r>
          </w:p>
        </w:tc>
        <w:tc>
          <w:tcPr>
            <w:tcW w:w="2268" w:type="dxa"/>
            <w:vAlign w:val="center"/>
          </w:tcPr>
          <w:p w14:paraId="40ACD086">
            <w:pPr>
              <w:pStyle w:val="11"/>
            </w:pPr>
            <w:r>
              <w:t>其他资金</w:t>
            </w:r>
          </w:p>
        </w:tc>
        <w:tc>
          <w:tcPr>
            <w:tcW w:w="1276" w:type="dxa"/>
            <w:vAlign w:val="center"/>
          </w:tcPr>
          <w:p w14:paraId="070AF656">
            <w:pPr>
              <w:pStyle w:val="13"/>
            </w:pPr>
            <w:r>
              <w:t xml:space="preserve"> </w:t>
            </w:r>
          </w:p>
        </w:tc>
      </w:tr>
      <w:tr w14:paraId="2F75E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BE2A5D"/>
        </w:tc>
        <w:tc>
          <w:tcPr>
            <w:tcW w:w="14033" w:type="dxa"/>
            <w:gridSpan w:val="6"/>
            <w:vAlign w:val="center"/>
          </w:tcPr>
          <w:p w14:paraId="19464500">
            <w:pPr>
              <w:pStyle w:val="13"/>
            </w:pPr>
            <w:r>
              <w:t>保障义务教育学校正常运转，完成教育教学活动和其他日常工作任务等方面的费用支出。</w:t>
            </w:r>
          </w:p>
        </w:tc>
      </w:tr>
      <w:tr w14:paraId="0E609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3A1E2">
            <w:pPr>
              <w:pStyle w:val="11"/>
            </w:pPr>
            <w:r>
              <w:t>资金支出计划（%）</w:t>
            </w:r>
          </w:p>
        </w:tc>
        <w:tc>
          <w:tcPr>
            <w:tcW w:w="5103" w:type="dxa"/>
            <w:gridSpan w:val="2"/>
            <w:vAlign w:val="center"/>
          </w:tcPr>
          <w:p w14:paraId="3305F11A">
            <w:pPr>
              <w:pStyle w:val="11"/>
            </w:pPr>
            <w:r>
              <w:t>3月底</w:t>
            </w:r>
          </w:p>
        </w:tc>
        <w:tc>
          <w:tcPr>
            <w:tcW w:w="2835" w:type="dxa"/>
            <w:vAlign w:val="center"/>
          </w:tcPr>
          <w:p w14:paraId="743086E9">
            <w:pPr>
              <w:pStyle w:val="11"/>
            </w:pPr>
            <w:r>
              <w:t>6月底</w:t>
            </w:r>
          </w:p>
        </w:tc>
        <w:tc>
          <w:tcPr>
            <w:tcW w:w="2551" w:type="dxa"/>
            <w:vAlign w:val="center"/>
          </w:tcPr>
          <w:p w14:paraId="488600B9">
            <w:pPr>
              <w:pStyle w:val="11"/>
            </w:pPr>
            <w:r>
              <w:t>10月底</w:t>
            </w:r>
          </w:p>
        </w:tc>
        <w:tc>
          <w:tcPr>
            <w:tcW w:w="3544" w:type="dxa"/>
            <w:gridSpan w:val="2"/>
            <w:vAlign w:val="center"/>
          </w:tcPr>
          <w:p w14:paraId="37DF348F">
            <w:pPr>
              <w:pStyle w:val="11"/>
            </w:pPr>
            <w:r>
              <w:t>12月底</w:t>
            </w:r>
          </w:p>
        </w:tc>
      </w:tr>
      <w:tr w14:paraId="42DAC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D8E6E"/>
        </w:tc>
        <w:tc>
          <w:tcPr>
            <w:tcW w:w="5103" w:type="dxa"/>
            <w:gridSpan w:val="2"/>
            <w:vAlign w:val="center"/>
          </w:tcPr>
          <w:p w14:paraId="037F2E93">
            <w:pPr>
              <w:pStyle w:val="12"/>
            </w:pPr>
            <w:r>
              <w:t>25%</w:t>
            </w:r>
          </w:p>
        </w:tc>
        <w:tc>
          <w:tcPr>
            <w:tcW w:w="2835" w:type="dxa"/>
            <w:vAlign w:val="center"/>
          </w:tcPr>
          <w:p w14:paraId="6705BDF2">
            <w:pPr>
              <w:pStyle w:val="12"/>
            </w:pPr>
            <w:r>
              <w:t>50%</w:t>
            </w:r>
          </w:p>
        </w:tc>
        <w:tc>
          <w:tcPr>
            <w:tcW w:w="2551" w:type="dxa"/>
            <w:vAlign w:val="center"/>
          </w:tcPr>
          <w:p w14:paraId="25C3E892">
            <w:pPr>
              <w:pStyle w:val="12"/>
            </w:pPr>
            <w:r>
              <w:t>75%</w:t>
            </w:r>
          </w:p>
        </w:tc>
        <w:tc>
          <w:tcPr>
            <w:tcW w:w="3544" w:type="dxa"/>
            <w:gridSpan w:val="2"/>
            <w:vAlign w:val="center"/>
          </w:tcPr>
          <w:p w14:paraId="07F4262D">
            <w:pPr>
              <w:pStyle w:val="12"/>
            </w:pPr>
            <w:r>
              <w:t>100%</w:t>
            </w:r>
          </w:p>
        </w:tc>
      </w:tr>
      <w:tr w14:paraId="141F4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89371">
            <w:pPr>
              <w:pStyle w:val="11"/>
            </w:pPr>
            <w:r>
              <w:t>绩效目标</w:t>
            </w:r>
          </w:p>
        </w:tc>
        <w:tc>
          <w:tcPr>
            <w:tcW w:w="14033" w:type="dxa"/>
            <w:gridSpan w:val="6"/>
            <w:vAlign w:val="center"/>
          </w:tcPr>
          <w:p w14:paraId="40B50995">
            <w:pPr>
              <w:pStyle w:val="13"/>
            </w:pPr>
            <w:r>
              <w:t>1.保障义务教育学校正常运转，完成教育教学活动和其他日常工作任务等方面的费用支出。</w:t>
            </w:r>
          </w:p>
          <w:p w14:paraId="356EFBA7">
            <w:pPr>
              <w:pStyle w:val="13"/>
            </w:pPr>
            <w:r>
              <w:t>2.按规定拨付公用经费资金10.681万元，资金拨付率达到100%。</w:t>
            </w:r>
          </w:p>
        </w:tc>
      </w:tr>
    </w:tbl>
    <w:p w14:paraId="3AD8C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14:paraId="07569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243CD">
            <w:pPr>
              <w:pStyle w:val="11"/>
            </w:pPr>
            <w:r>
              <w:t>一级指标</w:t>
            </w:r>
          </w:p>
        </w:tc>
        <w:tc>
          <w:tcPr>
            <w:tcW w:w="2268" w:type="dxa"/>
            <w:vAlign w:val="center"/>
          </w:tcPr>
          <w:p w14:paraId="4B7D7404">
            <w:pPr>
              <w:pStyle w:val="11"/>
            </w:pPr>
            <w:r>
              <w:t>二级指标</w:t>
            </w:r>
          </w:p>
        </w:tc>
        <w:tc>
          <w:tcPr>
            <w:tcW w:w="2835" w:type="dxa"/>
            <w:vAlign w:val="center"/>
          </w:tcPr>
          <w:p w14:paraId="75E7D739">
            <w:pPr>
              <w:pStyle w:val="11"/>
            </w:pPr>
            <w:r>
              <w:t>三级指标</w:t>
            </w:r>
          </w:p>
        </w:tc>
        <w:tc>
          <w:tcPr>
            <w:tcW w:w="5386" w:type="dxa"/>
            <w:vAlign w:val="center"/>
          </w:tcPr>
          <w:p w14:paraId="3AFD1616">
            <w:pPr>
              <w:pStyle w:val="11"/>
            </w:pPr>
            <w:r>
              <w:t>绩效指标描述</w:t>
            </w:r>
          </w:p>
        </w:tc>
        <w:tc>
          <w:tcPr>
            <w:tcW w:w="1658" w:type="dxa"/>
            <w:vAlign w:val="center"/>
          </w:tcPr>
          <w:p w14:paraId="2EB1F066">
            <w:pPr>
              <w:pStyle w:val="11"/>
            </w:pPr>
            <w:r>
              <w:t>指标值</w:t>
            </w:r>
          </w:p>
        </w:tc>
        <w:tc>
          <w:tcPr>
            <w:tcW w:w="1886" w:type="dxa"/>
            <w:vAlign w:val="center"/>
          </w:tcPr>
          <w:p w14:paraId="48546F4C">
            <w:pPr>
              <w:pStyle w:val="11"/>
            </w:pPr>
            <w:r>
              <w:t>指标值确定依据</w:t>
            </w:r>
          </w:p>
        </w:tc>
      </w:tr>
      <w:tr w14:paraId="53ED5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DE8E1">
            <w:pPr>
              <w:pStyle w:val="12"/>
            </w:pPr>
            <w:r>
              <w:t>产出指标</w:t>
            </w:r>
          </w:p>
        </w:tc>
        <w:tc>
          <w:tcPr>
            <w:tcW w:w="2268" w:type="dxa"/>
            <w:vAlign w:val="center"/>
          </w:tcPr>
          <w:p w14:paraId="3869FEC8">
            <w:pPr>
              <w:pStyle w:val="13"/>
            </w:pPr>
            <w:r>
              <w:t>数量指标</w:t>
            </w:r>
          </w:p>
        </w:tc>
        <w:tc>
          <w:tcPr>
            <w:tcW w:w="2835" w:type="dxa"/>
            <w:vAlign w:val="center"/>
          </w:tcPr>
          <w:p w14:paraId="421DD077">
            <w:pPr>
              <w:pStyle w:val="13"/>
            </w:pPr>
            <w:r>
              <w:t>生均拨款标准</w:t>
            </w:r>
          </w:p>
        </w:tc>
        <w:tc>
          <w:tcPr>
            <w:tcW w:w="5386" w:type="dxa"/>
            <w:vAlign w:val="center"/>
          </w:tcPr>
          <w:p w14:paraId="4D9E02DD">
            <w:pPr>
              <w:pStyle w:val="13"/>
            </w:pPr>
            <w:r>
              <w:t>小学生公用经费生均小学720元。取暖费140元/生/年，随班就读学生补助6000元/生</w:t>
            </w:r>
          </w:p>
        </w:tc>
        <w:tc>
          <w:tcPr>
            <w:tcW w:w="1658" w:type="dxa"/>
            <w:vAlign w:val="center"/>
          </w:tcPr>
          <w:p w14:paraId="5D2DF5C0">
            <w:pPr>
              <w:pStyle w:val="13"/>
            </w:pPr>
            <w:r>
              <w:t>840元</w:t>
            </w:r>
          </w:p>
        </w:tc>
        <w:tc>
          <w:tcPr>
            <w:tcW w:w="1886" w:type="dxa"/>
            <w:vAlign w:val="center"/>
          </w:tcPr>
          <w:p w14:paraId="790F91B6">
            <w:pPr>
              <w:pStyle w:val="13"/>
            </w:pPr>
            <w:r>
              <w:t>城乡义务教育公用经费管理办法</w:t>
            </w:r>
          </w:p>
        </w:tc>
      </w:tr>
      <w:tr w14:paraId="6F35D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DEFAF"/>
        </w:tc>
        <w:tc>
          <w:tcPr>
            <w:tcW w:w="2268" w:type="dxa"/>
            <w:vAlign w:val="center"/>
          </w:tcPr>
          <w:p w14:paraId="47A52238">
            <w:pPr>
              <w:pStyle w:val="13"/>
            </w:pPr>
            <w:r>
              <w:t>质量指标</w:t>
            </w:r>
          </w:p>
        </w:tc>
        <w:tc>
          <w:tcPr>
            <w:tcW w:w="2835" w:type="dxa"/>
            <w:vAlign w:val="center"/>
          </w:tcPr>
          <w:p w14:paraId="3B33E8F5">
            <w:pPr>
              <w:pStyle w:val="13"/>
            </w:pPr>
            <w:r>
              <w:t>就读学生数</w:t>
            </w:r>
          </w:p>
        </w:tc>
        <w:tc>
          <w:tcPr>
            <w:tcW w:w="5386" w:type="dxa"/>
            <w:vAlign w:val="center"/>
          </w:tcPr>
          <w:p w14:paraId="55619F24">
            <w:pPr>
              <w:pStyle w:val="13"/>
            </w:pPr>
            <w:r>
              <w:t>辐射区域内适龄学生人数</w:t>
            </w:r>
          </w:p>
        </w:tc>
        <w:tc>
          <w:tcPr>
            <w:tcW w:w="1658" w:type="dxa"/>
            <w:vAlign w:val="center"/>
          </w:tcPr>
          <w:p w14:paraId="66426F58">
            <w:pPr>
              <w:pStyle w:val="13"/>
            </w:pPr>
            <w:r>
              <w:t>187人</w:t>
            </w:r>
          </w:p>
        </w:tc>
        <w:tc>
          <w:tcPr>
            <w:tcW w:w="1886" w:type="dxa"/>
            <w:vAlign w:val="center"/>
          </w:tcPr>
          <w:p w14:paraId="161E8AF3">
            <w:pPr>
              <w:pStyle w:val="13"/>
            </w:pPr>
            <w:r>
              <w:t>城乡义务教育公用经费管理办法</w:t>
            </w:r>
          </w:p>
        </w:tc>
      </w:tr>
      <w:tr w14:paraId="360AC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410F4"/>
        </w:tc>
        <w:tc>
          <w:tcPr>
            <w:tcW w:w="2268" w:type="dxa"/>
            <w:vAlign w:val="center"/>
          </w:tcPr>
          <w:p w14:paraId="0C43DE4F">
            <w:pPr>
              <w:pStyle w:val="13"/>
            </w:pPr>
            <w:r>
              <w:t>时效指标</w:t>
            </w:r>
          </w:p>
        </w:tc>
        <w:tc>
          <w:tcPr>
            <w:tcW w:w="2835" w:type="dxa"/>
            <w:vAlign w:val="center"/>
          </w:tcPr>
          <w:p w14:paraId="6CE51853">
            <w:pPr>
              <w:pStyle w:val="13"/>
            </w:pPr>
            <w:r>
              <w:t>预算执行率</w:t>
            </w:r>
          </w:p>
        </w:tc>
        <w:tc>
          <w:tcPr>
            <w:tcW w:w="5386" w:type="dxa"/>
            <w:vAlign w:val="center"/>
          </w:tcPr>
          <w:p w14:paraId="0E25AAC7">
            <w:pPr>
              <w:pStyle w:val="13"/>
            </w:pPr>
            <w:r>
              <w:t>预算执行率≥98%</w:t>
            </w:r>
          </w:p>
        </w:tc>
        <w:tc>
          <w:tcPr>
            <w:tcW w:w="1658" w:type="dxa"/>
            <w:vAlign w:val="center"/>
          </w:tcPr>
          <w:p w14:paraId="002EB124">
            <w:pPr>
              <w:pStyle w:val="13"/>
            </w:pPr>
            <w:r>
              <w:t>≥98%</w:t>
            </w:r>
          </w:p>
        </w:tc>
        <w:tc>
          <w:tcPr>
            <w:tcW w:w="1886" w:type="dxa"/>
            <w:vAlign w:val="center"/>
          </w:tcPr>
          <w:p w14:paraId="7AF33750">
            <w:pPr>
              <w:pStyle w:val="13"/>
            </w:pPr>
            <w:r>
              <w:t>城乡义务教育公用经费管理办法</w:t>
            </w:r>
          </w:p>
        </w:tc>
      </w:tr>
      <w:tr w14:paraId="60DBF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4B54B"/>
        </w:tc>
        <w:tc>
          <w:tcPr>
            <w:tcW w:w="2268" w:type="dxa"/>
            <w:vAlign w:val="center"/>
          </w:tcPr>
          <w:p w14:paraId="1DEB12FF">
            <w:pPr>
              <w:pStyle w:val="13"/>
            </w:pPr>
            <w:r>
              <w:t>成本指标</w:t>
            </w:r>
          </w:p>
        </w:tc>
        <w:tc>
          <w:tcPr>
            <w:tcW w:w="2835" w:type="dxa"/>
            <w:vAlign w:val="center"/>
          </w:tcPr>
          <w:p w14:paraId="6CC1CB4E">
            <w:pPr>
              <w:pStyle w:val="13"/>
            </w:pPr>
            <w:r>
              <w:t>义教经费支付完成率</w:t>
            </w:r>
          </w:p>
        </w:tc>
        <w:tc>
          <w:tcPr>
            <w:tcW w:w="5386" w:type="dxa"/>
            <w:vAlign w:val="center"/>
          </w:tcPr>
          <w:p w14:paraId="2BB32AEE">
            <w:pPr>
              <w:pStyle w:val="13"/>
            </w:pPr>
            <w:r>
              <w:t>按照序时进度完成资金支付</w:t>
            </w:r>
          </w:p>
        </w:tc>
        <w:tc>
          <w:tcPr>
            <w:tcW w:w="1658" w:type="dxa"/>
            <w:vAlign w:val="center"/>
          </w:tcPr>
          <w:p w14:paraId="34E0A2C5">
            <w:pPr>
              <w:pStyle w:val="13"/>
            </w:pPr>
            <w:r>
              <w:t>100%</w:t>
            </w:r>
          </w:p>
        </w:tc>
        <w:tc>
          <w:tcPr>
            <w:tcW w:w="1886" w:type="dxa"/>
            <w:vAlign w:val="center"/>
          </w:tcPr>
          <w:p w14:paraId="3C1788D8">
            <w:pPr>
              <w:pStyle w:val="13"/>
            </w:pPr>
            <w:r>
              <w:t>城乡义务教育公用经费管理办法</w:t>
            </w:r>
          </w:p>
        </w:tc>
      </w:tr>
      <w:tr w14:paraId="00210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0489A9">
            <w:pPr>
              <w:pStyle w:val="12"/>
            </w:pPr>
            <w:r>
              <w:t>效益指标</w:t>
            </w:r>
          </w:p>
        </w:tc>
        <w:tc>
          <w:tcPr>
            <w:tcW w:w="2268" w:type="dxa"/>
            <w:vAlign w:val="center"/>
          </w:tcPr>
          <w:p w14:paraId="41521D01">
            <w:pPr>
              <w:pStyle w:val="13"/>
            </w:pPr>
            <w:r>
              <w:t>可持续影响指标</w:t>
            </w:r>
          </w:p>
        </w:tc>
        <w:tc>
          <w:tcPr>
            <w:tcW w:w="2835" w:type="dxa"/>
            <w:vAlign w:val="center"/>
          </w:tcPr>
          <w:p w14:paraId="78928D4A">
            <w:pPr>
              <w:pStyle w:val="13"/>
            </w:pPr>
            <w:r>
              <w:t>学校运转得到提高</w:t>
            </w:r>
          </w:p>
        </w:tc>
        <w:tc>
          <w:tcPr>
            <w:tcW w:w="5386" w:type="dxa"/>
            <w:vAlign w:val="center"/>
          </w:tcPr>
          <w:p w14:paraId="583F2752">
            <w:pPr>
              <w:pStyle w:val="13"/>
            </w:pPr>
            <w:r>
              <w:t>学生受教育年限</w:t>
            </w:r>
          </w:p>
        </w:tc>
        <w:tc>
          <w:tcPr>
            <w:tcW w:w="1658" w:type="dxa"/>
            <w:vAlign w:val="center"/>
          </w:tcPr>
          <w:p w14:paraId="1C12D357">
            <w:pPr>
              <w:pStyle w:val="13"/>
            </w:pPr>
            <w:r>
              <w:t>6年</w:t>
            </w:r>
          </w:p>
        </w:tc>
        <w:tc>
          <w:tcPr>
            <w:tcW w:w="1886" w:type="dxa"/>
            <w:vAlign w:val="center"/>
          </w:tcPr>
          <w:p w14:paraId="7AA94939">
            <w:pPr>
              <w:pStyle w:val="13"/>
            </w:pPr>
            <w:r>
              <w:t>城乡义务教育公用经费管理办法</w:t>
            </w:r>
          </w:p>
        </w:tc>
      </w:tr>
      <w:tr w14:paraId="096A4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993075">
            <w:pPr>
              <w:pStyle w:val="12"/>
            </w:pPr>
            <w:r>
              <w:t>满意度指标</w:t>
            </w:r>
          </w:p>
        </w:tc>
        <w:tc>
          <w:tcPr>
            <w:tcW w:w="2268" w:type="dxa"/>
            <w:vAlign w:val="center"/>
          </w:tcPr>
          <w:p w14:paraId="42999374">
            <w:pPr>
              <w:pStyle w:val="13"/>
            </w:pPr>
            <w:r>
              <w:t>服务对象满意度指标</w:t>
            </w:r>
          </w:p>
        </w:tc>
        <w:tc>
          <w:tcPr>
            <w:tcW w:w="2835" w:type="dxa"/>
            <w:vAlign w:val="center"/>
          </w:tcPr>
          <w:p w14:paraId="67EBFA9D">
            <w:pPr>
              <w:pStyle w:val="13"/>
            </w:pPr>
            <w:r>
              <w:t>服务对象满意度</w:t>
            </w:r>
          </w:p>
        </w:tc>
        <w:tc>
          <w:tcPr>
            <w:tcW w:w="5386" w:type="dxa"/>
            <w:vAlign w:val="center"/>
          </w:tcPr>
          <w:p w14:paraId="5AD16873">
            <w:pPr>
              <w:pStyle w:val="13"/>
            </w:pPr>
            <w:r>
              <w:t>学校老师和学生满意度</w:t>
            </w:r>
          </w:p>
        </w:tc>
        <w:tc>
          <w:tcPr>
            <w:tcW w:w="1658" w:type="dxa"/>
            <w:vAlign w:val="center"/>
          </w:tcPr>
          <w:p w14:paraId="5CBBF913">
            <w:pPr>
              <w:pStyle w:val="13"/>
            </w:pPr>
            <w:r>
              <w:t>≥95%</w:t>
            </w:r>
          </w:p>
        </w:tc>
        <w:tc>
          <w:tcPr>
            <w:tcW w:w="1886" w:type="dxa"/>
            <w:vAlign w:val="center"/>
          </w:tcPr>
          <w:p w14:paraId="6FC545D8">
            <w:pPr>
              <w:pStyle w:val="13"/>
            </w:pPr>
            <w:r>
              <w:t>城乡义务教育公用经费管理办法</w:t>
            </w:r>
          </w:p>
        </w:tc>
      </w:tr>
    </w:tbl>
    <w:p w14:paraId="16ED3AD4">
      <w:pPr>
        <w:sectPr>
          <w:pgSz w:w="16840" w:h="11900" w:orient="landscape"/>
          <w:pgMar w:top="1361" w:right="1020" w:bottom="1134" w:left="1020" w:header="720" w:footer="720" w:gutter="0"/>
          <w:cols w:space="720" w:num="1"/>
        </w:sectPr>
      </w:pPr>
    </w:p>
    <w:p w14:paraId="51763336">
      <w:pPr>
        <w:spacing w:before="0" w:after="0"/>
        <w:ind w:firstLine="560"/>
        <w:jc w:val="left"/>
        <w:outlineLvl w:val="9"/>
      </w:pPr>
      <w:r>
        <w:rPr>
          <w:rFonts w:ascii="方正仿宋_GBK" w:hAnsi="方正仿宋_GBK" w:eastAsia="方正仿宋_GBK" w:cs="方正仿宋_GBK"/>
          <w:b/>
          <w:color w:val="000000"/>
          <w:sz w:val="28"/>
        </w:rPr>
        <w:t>10、冀财教[2024]123号/中央/2025年义教补助经费/南位小学公用经费绩效目标表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61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0AC146">
            <w:pPr>
              <w:pStyle w:val="14"/>
            </w:pPr>
            <w:r>
              <w:t>单位：万元</w:t>
            </w:r>
          </w:p>
        </w:tc>
      </w:tr>
      <w:tr w14:paraId="6B88C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52A8AD35">
            <w:pPr>
              <w:pStyle w:val="11"/>
            </w:pPr>
            <w:r>
              <w:t>项目编码</w:t>
            </w:r>
          </w:p>
        </w:tc>
        <w:tc>
          <w:tcPr>
            <w:tcW w:w="5103" w:type="dxa"/>
            <w:gridSpan w:val="2"/>
            <w:vAlign w:val="center"/>
          </w:tcPr>
          <w:p w14:paraId="2E9F5591">
            <w:pPr>
              <w:pStyle w:val="13"/>
            </w:pPr>
            <w:r>
              <w:t>13052525P00000410071N</w:t>
            </w:r>
          </w:p>
        </w:tc>
        <w:tc>
          <w:tcPr>
            <w:tcW w:w="2835" w:type="dxa"/>
            <w:vAlign w:val="center"/>
          </w:tcPr>
          <w:p w14:paraId="61B9E576">
            <w:pPr>
              <w:pStyle w:val="11"/>
            </w:pPr>
            <w:r>
              <w:t>项目名称</w:t>
            </w:r>
          </w:p>
        </w:tc>
        <w:tc>
          <w:tcPr>
            <w:tcW w:w="6095" w:type="dxa"/>
            <w:gridSpan w:val="3"/>
            <w:vAlign w:val="center"/>
          </w:tcPr>
          <w:p w14:paraId="01C395CB">
            <w:pPr>
              <w:pStyle w:val="13"/>
            </w:pPr>
            <w:r>
              <w:t>冀财教[2024]123号/中央/2025年义教补助经费/南位小学公用经费</w:t>
            </w:r>
          </w:p>
        </w:tc>
      </w:tr>
      <w:tr w14:paraId="13292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37BBA">
            <w:pPr>
              <w:pStyle w:val="11"/>
            </w:pPr>
            <w:r>
              <w:t>预算规模及资金用途</w:t>
            </w:r>
          </w:p>
        </w:tc>
        <w:tc>
          <w:tcPr>
            <w:tcW w:w="2268" w:type="dxa"/>
            <w:vAlign w:val="center"/>
          </w:tcPr>
          <w:p w14:paraId="43D2514A">
            <w:pPr>
              <w:pStyle w:val="11"/>
            </w:pPr>
            <w:r>
              <w:t>预算数</w:t>
            </w:r>
          </w:p>
        </w:tc>
        <w:tc>
          <w:tcPr>
            <w:tcW w:w="2835" w:type="dxa"/>
            <w:vAlign w:val="center"/>
          </w:tcPr>
          <w:p w14:paraId="22354744">
            <w:pPr>
              <w:pStyle w:val="13"/>
            </w:pPr>
            <w:r>
              <w:t>46.44</w:t>
            </w:r>
          </w:p>
        </w:tc>
        <w:tc>
          <w:tcPr>
            <w:tcW w:w="2835" w:type="dxa"/>
            <w:vAlign w:val="center"/>
          </w:tcPr>
          <w:p w14:paraId="5FA49014">
            <w:pPr>
              <w:pStyle w:val="11"/>
            </w:pPr>
            <w:r>
              <w:t>其中：财政    资金</w:t>
            </w:r>
          </w:p>
        </w:tc>
        <w:tc>
          <w:tcPr>
            <w:tcW w:w="2551" w:type="dxa"/>
            <w:vAlign w:val="center"/>
          </w:tcPr>
          <w:p w14:paraId="3FAB5EC7">
            <w:pPr>
              <w:pStyle w:val="13"/>
            </w:pPr>
            <w:r>
              <w:t>46.44</w:t>
            </w:r>
          </w:p>
        </w:tc>
        <w:tc>
          <w:tcPr>
            <w:tcW w:w="2268" w:type="dxa"/>
            <w:vAlign w:val="center"/>
          </w:tcPr>
          <w:p w14:paraId="1FDAC91C">
            <w:pPr>
              <w:pStyle w:val="11"/>
            </w:pPr>
            <w:r>
              <w:t>其他资金</w:t>
            </w:r>
          </w:p>
        </w:tc>
        <w:tc>
          <w:tcPr>
            <w:tcW w:w="1276" w:type="dxa"/>
            <w:vAlign w:val="center"/>
          </w:tcPr>
          <w:p w14:paraId="0A577E52">
            <w:pPr>
              <w:pStyle w:val="13"/>
            </w:pPr>
            <w:r>
              <w:t xml:space="preserve"> </w:t>
            </w:r>
          </w:p>
        </w:tc>
      </w:tr>
      <w:tr w14:paraId="144B3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3934D"/>
        </w:tc>
        <w:tc>
          <w:tcPr>
            <w:tcW w:w="14033" w:type="dxa"/>
            <w:gridSpan w:val="6"/>
            <w:vAlign w:val="center"/>
          </w:tcPr>
          <w:p w14:paraId="53911654">
            <w:pPr>
              <w:pStyle w:val="13"/>
            </w:pPr>
            <w:r>
              <w:t>保障义务教育学校正常运转，完成教育教学活动和其他日常工作任务等方面的费用支出。</w:t>
            </w:r>
          </w:p>
        </w:tc>
      </w:tr>
      <w:tr w14:paraId="7E0B3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C0FD6">
            <w:pPr>
              <w:pStyle w:val="11"/>
            </w:pPr>
            <w:r>
              <w:t>资金支出计划（%）</w:t>
            </w:r>
          </w:p>
        </w:tc>
        <w:tc>
          <w:tcPr>
            <w:tcW w:w="5103" w:type="dxa"/>
            <w:gridSpan w:val="2"/>
            <w:vAlign w:val="center"/>
          </w:tcPr>
          <w:p w14:paraId="17B4154F">
            <w:pPr>
              <w:pStyle w:val="11"/>
            </w:pPr>
            <w:r>
              <w:t>3月底</w:t>
            </w:r>
          </w:p>
        </w:tc>
        <w:tc>
          <w:tcPr>
            <w:tcW w:w="2835" w:type="dxa"/>
            <w:vAlign w:val="center"/>
          </w:tcPr>
          <w:p w14:paraId="61910EEF">
            <w:pPr>
              <w:pStyle w:val="11"/>
            </w:pPr>
            <w:r>
              <w:t>6月底</w:t>
            </w:r>
          </w:p>
        </w:tc>
        <w:tc>
          <w:tcPr>
            <w:tcW w:w="2551" w:type="dxa"/>
            <w:vAlign w:val="center"/>
          </w:tcPr>
          <w:p w14:paraId="136689D0">
            <w:pPr>
              <w:pStyle w:val="11"/>
            </w:pPr>
            <w:r>
              <w:t>10月底</w:t>
            </w:r>
          </w:p>
        </w:tc>
        <w:tc>
          <w:tcPr>
            <w:tcW w:w="3544" w:type="dxa"/>
            <w:gridSpan w:val="2"/>
            <w:vAlign w:val="center"/>
          </w:tcPr>
          <w:p w14:paraId="73C5A62B">
            <w:pPr>
              <w:pStyle w:val="11"/>
            </w:pPr>
            <w:r>
              <w:t>12月底</w:t>
            </w:r>
          </w:p>
        </w:tc>
      </w:tr>
      <w:tr w14:paraId="511EF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E4583"/>
        </w:tc>
        <w:tc>
          <w:tcPr>
            <w:tcW w:w="5103" w:type="dxa"/>
            <w:gridSpan w:val="2"/>
            <w:vAlign w:val="center"/>
          </w:tcPr>
          <w:p w14:paraId="400C77B5">
            <w:pPr>
              <w:pStyle w:val="12"/>
            </w:pPr>
            <w:r>
              <w:t>25%</w:t>
            </w:r>
          </w:p>
        </w:tc>
        <w:tc>
          <w:tcPr>
            <w:tcW w:w="2835" w:type="dxa"/>
            <w:vAlign w:val="center"/>
          </w:tcPr>
          <w:p w14:paraId="3179139A">
            <w:pPr>
              <w:pStyle w:val="12"/>
            </w:pPr>
            <w:r>
              <w:t>50%</w:t>
            </w:r>
          </w:p>
        </w:tc>
        <w:tc>
          <w:tcPr>
            <w:tcW w:w="2551" w:type="dxa"/>
            <w:vAlign w:val="center"/>
          </w:tcPr>
          <w:p w14:paraId="6AAE9F6B">
            <w:pPr>
              <w:pStyle w:val="12"/>
            </w:pPr>
            <w:r>
              <w:t>75%</w:t>
            </w:r>
          </w:p>
        </w:tc>
        <w:tc>
          <w:tcPr>
            <w:tcW w:w="3544" w:type="dxa"/>
            <w:gridSpan w:val="2"/>
            <w:vAlign w:val="center"/>
          </w:tcPr>
          <w:p w14:paraId="56E19F67">
            <w:pPr>
              <w:pStyle w:val="12"/>
            </w:pPr>
            <w:r>
              <w:t>100%</w:t>
            </w:r>
          </w:p>
        </w:tc>
      </w:tr>
      <w:tr w14:paraId="48132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7534D2">
            <w:pPr>
              <w:pStyle w:val="11"/>
            </w:pPr>
            <w:r>
              <w:t>绩效目标</w:t>
            </w:r>
          </w:p>
        </w:tc>
        <w:tc>
          <w:tcPr>
            <w:tcW w:w="14033" w:type="dxa"/>
            <w:gridSpan w:val="6"/>
            <w:vAlign w:val="center"/>
          </w:tcPr>
          <w:p w14:paraId="149E217C">
            <w:pPr>
              <w:pStyle w:val="13"/>
            </w:pPr>
            <w:r>
              <w:t>1.保障义务教育学校正常运转，完成教育教学活动和其他日常工作任务等方面的费用支出。</w:t>
            </w:r>
          </w:p>
          <w:p w14:paraId="58F89FE5">
            <w:pPr>
              <w:pStyle w:val="13"/>
            </w:pPr>
            <w:r>
              <w:t>2.按规定拨付公用经费资金46.439万元，资金拨付率达到100%。</w:t>
            </w:r>
          </w:p>
        </w:tc>
      </w:tr>
    </w:tbl>
    <w:p w14:paraId="25E6C7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13B6D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6C45A">
            <w:pPr>
              <w:pStyle w:val="11"/>
            </w:pPr>
            <w:r>
              <w:t>一级指标</w:t>
            </w:r>
          </w:p>
        </w:tc>
        <w:tc>
          <w:tcPr>
            <w:tcW w:w="2268" w:type="dxa"/>
            <w:vAlign w:val="center"/>
          </w:tcPr>
          <w:p w14:paraId="66B57B58">
            <w:pPr>
              <w:pStyle w:val="11"/>
            </w:pPr>
            <w:r>
              <w:t>二级指标</w:t>
            </w:r>
          </w:p>
        </w:tc>
        <w:tc>
          <w:tcPr>
            <w:tcW w:w="2835" w:type="dxa"/>
            <w:vAlign w:val="center"/>
          </w:tcPr>
          <w:p w14:paraId="43864E56">
            <w:pPr>
              <w:pStyle w:val="11"/>
            </w:pPr>
            <w:r>
              <w:t>三级指标</w:t>
            </w:r>
          </w:p>
        </w:tc>
        <w:tc>
          <w:tcPr>
            <w:tcW w:w="5386" w:type="dxa"/>
            <w:vAlign w:val="center"/>
          </w:tcPr>
          <w:p w14:paraId="6F7EFBFD">
            <w:pPr>
              <w:pStyle w:val="11"/>
            </w:pPr>
            <w:r>
              <w:t>绩效指标描述</w:t>
            </w:r>
          </w:p>
        </w:tc>
        <w:tc>
          <w:tcPr>
            <w:tcW w:w="1673" w:type="dxa"/>
            <w:vAlign w:val="center"/>
          </w:tcPr>
          <w:p w14:paraId="5510776C">
            <w:pPr>
              <w:pStyle w:val="11"/>
            </w:pPr>
            <w:r>
              <w:t>指标值</w:t>
            </w:r>
          </w:p>
        </w:tc>
        <w:tc>
          <w:tcPr>
            <w:tcW w:w="1871" w:type="dxa"/>
            <w:vAlign w:val="center"/>
          </w:tcPr>
          <w:p w14:paraId="0E3BA514">
            <w:pPr>
              <w:pStyle w:val="11"/>
            </w:pPr>
            <w:r>
              <w:t>指标值确定依据</w:t>
            </w:r>
          </w:p>
        </w:tc>
      </w:tr>
      <w:tr w14:paraId="2A070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ABBF1">
            <w:pPr>
              <w:pStyle w:val="12"/>
            </w:pPr>
            <w:r>
              <w:t>产出指标</w:t>
            </w:r>
          </w:p>
        </w:tc>
        <w:tc>
          <w:tcPr>
            <w:tcW w:w="2268" w:type="dxa"/>
            <w:vAlign w:val="center"/>
          </w:tcPr>
          <w:p w14:paraId="69E5D5B0">
            <w:pPr>
              <w:pStyle w:val="13"/>
            </w:pPr>
            <w:r>
              <w:t>数量指标</w:t>
            </w:r>
          </w:p>
        </w:tc>
        <w:tc>
          <w:tcPr>
            <w:tcW w:w="2835" w:type="dxa"/>
            <w:vAlign w:val="center"/>
          </w:tcPr>
          <w:p w14:paraId="39E2A2D3">
            <w:pPr>
              <w:pStyle w:val="13"/>
            </w:pPr>
            <w:r>
              <w:t>生均拨款标准</w:t>
            </w:r>
          </w:p>
        </w:tc>
        <w:tc>
          <w:tcPr>
            <w:tcW w:w="5386" w:type="dxa"/>
            <w:vAlign w:val="center"/>
          </w:tcPr>
          <w:p w14:paraId="3866B3A7">
            <w:pPr>
              <w:pStyle w:val="13"/>
            </w:pPr>
            <w:r>
              <w:t>小学生公用经费生均小学720元。取暖费140元/生/年，随班就读学生补助6000元/生</w:t>
            </w:r>
          </w:p>
        </w:tc>
        <w:tc>
          <w:tcPr>
            <w:tcW w:w="1673" w:type="dxa"/>
            <w:vAlign w:val="center"/>
          </w:tcPr>
          <w:p w14:paraId="71B7C2EB">
            <w:pPr>
              <w:pStyle w:val="13"/>
            </w:pPr>
            <w:r>
              <w:t>840元</w:t>
            </w:r>
          </w:p>
        </w:tc>
        <w:tc>
          <w:tcPr>
            <w:tcW w:w="1871" w:type="dxa"/>
            <w:vAlign w:val="center"/>
          </w:tcPr>
          <w:p w14:paraId="6E2BE7A6">
            <w:pPr>
              <w:pStyle w:val="13"/>
            </w:pPr>
            <w:r>
              <w:t>城乡义务教育公用经费管理办法</w:t>
            </w:r>
          </w:p>
        </w:tc>
      </w:tr>
      <w:tr w14:paraId="156BA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558FC"/>
        </w:tc>
        <w:tc>
          <w:tcPr>
            <w:tcW w:w="2268" w:type="dxa"/>
            <w:vAlign w:val="center"/>
          </w:tcPr>
          <w:p w14:paraId="01044DEC">
            <w:pPr>
              <w:pStyle w:val="13"/>
            </w:pPr>
            <w:r>
              <w:t>质量指标</w:t>
            </w:r>
          </w:p>
        </w:tc>
        <w:tc>
          <w:tcPr>
            <w:tcW w:w="2835" w:type="dxa"/>
            <w:vAlign w:val="center"/>
          </w:tcPr>
          <w:p w14:paraId="242E0126">
            <w:pPr>
              <w:pStyle w:val="13"/>
            </w:pPr>
            <w:r>
              <w:t>就读学生数</w:t>
            </w:r>
          </w:p>
        </w:tc>
        <w:tc>
          <w:tcPr>
            <w:tcW w:w="5386" w:type="dxa"/>
            <w:vAlign w:val="center"/>
          </w:tcPr>
          <w:p w14:paraId="24C1AE5F">
            <w:pPr>
              <w:pStyle w:val="13"/>
            </w:pPr>
            <w:r>
              <w:t>辐射区域内适龄学生人数</w:t>
            </w:r>
          </w:p>
        </w:tc>
        <w:tc>
          <w:tcPr>
            <w:tcW w:w="1673" w:type="dxa"/>
            <w:vAlign w:val="center"/>
          </w:tcPr>
          <w:p w14:paraId="75AF91F9">
            <w:pPr>
              <w:pStyle w:val="13"/>
            </w:pPr>
            <w:r>
              <w:t>678人</w:t>
            </w:r>
          </w:p>
        </w:tc>
        <w:tc>
          <w:tcPr>
            <w:tcW w:w="1871" w:type="dxa"/>
            <w:vAlign w:val="center"/>
          </w:tcPr>
          <w:p w14:paraId="124BB1CF">
            <w:pPr>
              <w:pStyle w:val="13"/>
            </w:pPr>
            <w:r>
              <w:t>城乡义务教育公用经费管理办法</w:t>
            </w:r>
          </w:p>
        </w:tc>
      </w:tr>
      <w:tr w14:paraId="5D096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1F1F9"/>
        </w:tc>
        <w:tc>
          <w:tcPr>
            <w:tcW w:w="2268" w:type="dxa"/>
            <w:vAlign w:val="center"/>
          </w:tcPr>
          <w:p w14:paraId="25AD2CC5">
            <w:pPr>
              <w:pStyle w:val="13"/>
            </w:pPr>
            <w:r>
              <w:t>时效指标</w:t>
            </w:r>
          </w:p>
        </w:tc>
        <w:tc>
          <w:tcPr>
            <w:tcW w:w="2835" w:type="dxa"/>
            <w:vAlign w:val="center"/>
          </w:tcPr>
          <w:p w14:paraId="1F363B3D">
            <w:pPr>
              <w:pStyle w:val="13"/>
            </w:pPr>
            <w:r>
              <w:t>预算执行率</w:t>
            </w:r>
          </w:p>
        </w:tc>
        <w:tc>
          <w:tcPr>
            <w:tcW w:w="5386" w:type="dxa"/>
            <w:vAlign w:val="center"/>
          </w:tcPr>
          <w:p w14:paraId="3AA1FF7D">
            <w:pPr>
              <w:pStyle w:val="13"/>
            </w:pPr>
            <w:r>
              <w:t>预算执行率≥98%</w:t>
            </w:r>
          </w:p>
        </w:tc>
        <w:tc>
          <w:tcPr>
            <w:tcW w:w="1673" w:type="dxa"/>
            <w:vAlign w:val="center"/>
          </w:tcPr>
          <w:p w14:paraId="7EB710EB">
            <w:pPr>
              <w:pStyle w:val="13"/>
            </w:pPr>
            <w:r>
              <w:t>≥98%</w:t>
            </w:r>
          </w:p>
        </w:tc>
        <w:tc>
          <w:tcPr>
            <w:tcW w:w="1871" w:type="dxa"/>
            <w:vAlign w:val="center"/>
          </w:tcPr>
          <w:p w14:paraId="66C04E67">
            <w:pPr>
              <w:pStyle w:val="13"/>
            </w:pPr>
            <w:r>
              <w:t>城乡义务教育公用经费管理办法</w:t>
            </w:r>
          </w:p>
        </w:tc>
      </w:tr>
      <w:tr w14:paraId="6036C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67D97"/>
        </w:tc>
        <w:tc>
          <w:tcPr>
            <w:tcW w:w="2268" w:type="dxa"/>
            <w:vAlign w:val="center"/>
          </w:tcPr>
          <w:p w14:paraId="51288B93">
            <w:pPr>
              <w:pStyle w:val="13"/>
            </w:pPr>
            <w:r>
              <w:t>成本指标</w:t>
            </w:r>
          </w:p>
        </w:tc>
        <w:tc>
          <w:tcPr>
            <w:tcW w:w="2835" w:type="dxa"/>
            <w:vAlign w:val="center"/>
          </w:tcPr>
          <w:p w14:paraId="32D1A3D0">
            <w:pPr>
              <w:pStyle w:val="13"/>
            </w:pPr>
            <w:r>
              <w:t>义教经费支付完成率</w:t>
            </w:r>
          </w:p>
        </w:tc>
        <w:tc>
          <w:tcPr>
            <w:tcW w:w="5386" w:type="dxa"/>
            <w:vAlign w:val="center"/>
          </w:tcPr>
          <w:p w14:paraId="79BC5FF0">
            <w:pPr>
              <w:pStyle w:val="13"/>
            </w:pPr>
            <w:r>
              <w:t>按照序时进度完成资金支付</w:t>
            </w:r>
          </w:p>
        </w:tc>
        <w:tc>
          <w:tcPr>
            <w:tcW w:w="1673" w:type="dxa"/>
            <w:vAlign w:val="center"/>
          </w:tcPr>
          <w:p w14:paraId="4F98BD68">
            <w:pPr>
              <w:pStyle w:val="13"/>
            </w:pPr>
            <w:r>
              <w:t>100%</w:t>
            </w:r>
          </w:p>
        </w:tc>
        <w:tc>
          <w:tcPr>
            <w:tcW w:w="1871" w:type="dxa"/>
            <w:vAlign w:val="center"/>
          </w:tcPr>
          <w:p w14:paraId="073F358D">
            <w:pPr>
              <w:pStyle w:val="13"/>
            </w:pPr>
            <w:r>
              <w:t>城乡义务教育公用经费管理办法</w:t>
            </w:r>
          </w:p>
        </w:tc>
      </w:tr>
      <w:tr w14:paraId="42E02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6EE775">
            <w:pPr>
              <w:pStyle w:val="12"/>
            </w:pPr>
            <w:r>
              <w:t>效益指标</w:t>
            </w:r>
          </w:p>
        </w:tc>
        <w:tc>
          <w:tcPr>
            <w:tcW w:w="2268" w:type="dxa"/>
            <w:vAlign w:val="center"/>
          </w:tcPr>
          <w:p w14:paraId="2C612D94">
            <w:pPr>
              <w:pStyle w:val="13"/>
            </w:pPr>
            <w:r>
              <w:t>可持续影响指标</w:t>
            </w:r>
          </w:p>
        </w:tc>
        <w:tc>
          <w:tcPr>
            <w:tcW w:w="2835" w:type="dxa"/>
            <w:vAlign w:val="center"/>
          </w:tcPr>
          <w:p w14:paraId="4CF6C438">
            <w:pPr>
              <w:pStyle w:val="13"/>
            </w:pPr>
            <w:r>
              <w:t>学校运转得到提高</w:t>
            </w:r>
          </w:p>
        </w:tc>
        <w:tc>
          <w:tcPr>
            <w:tcW w:w="5386" w:type="dxa"/>
            <w:vAlign w:val="center"/>
          </w:tcPr>
          <w:p w14:paraId="438AA89A">
            <w:pPr>
              <w:pStyle w:val="13"/>
            </w:pPr>
            <w:r>
              <w:t>学生受教育年限</w:t>
            </w:r>
          </w:p>
        </w:tc>
        <w:tc>
          <w:tcPr>
            <w:tcW w:w="1673" w:type="dxa"/>
            <w:vAlign w:val="center"/>
          </w:tcPr>
          <w:p w14:paraId="202B61C9">
            <w:pPr>
              <w:pStyle w:val="13"/>
            </w:pPr>
            <w:r>
              <w:t>6年</w:t>
            </w:r>
          </w:p>
        </w:tc>
        <w:tc>
          <w:tcPr>
            <w:tcW w:w="1871" w:type="dxa"/>
            <w:vAlign w:val="center"/>
          </w:tcPr>
          <w:p w14:paraId="2B74C613">
            <w:pPr>
              <w:pStyle w:val="13"/>
            </w:pPr>
            <w:r>
              <w:t>城乡义务教育公用经费管理办法</w:t>
            </w:r>
          </w:p>
        </w:tc>
      </w:tr>
      <w:tr w14:paraId="68A7A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3C594B">
            <w:pPr>
              <w:pStyle w:val="12"/>
            </w:pPr>
            <w:r>
              <w:t>满意度指标</w:t>
            </w:r>
          </w:p>
        </w:tc>
        <w:tc>
          <w:tcPr>
            <w:tcW w:w="2268" w:type="dxa"/>
            <w:vAlign w:val="center"/>
          </w:tcPr>
          <w:p w14:paraId="3CDF25EE">
            <w:pPr>
              <w:pStyle w:val="13"/>
            </w:pPr>
            <w:r>
              <w:t>服务对象满意度指标</w:t>
            </w:r>
          </w:p>
        </w:tc>
        <w:tc>
          <w:tcPr>
            <w:tcW w:w="2835" w:type="dxa"/>
            <w:vAlign w:val="center"/>
          </w:tcPr>
          <w:p w14:paraId="460A4EB4">
            <w:pPr>
              <w:pStyle w:val="13"/>
            </w:pPr>
            <w:r>
              <w:t>服务对象满意度</w:t>
            </w:r>
          </w:p>
        </w:tc>
        <w:tc>
          <w:tcPr>
            <w:tcW w:w="5386" w:type="dxa"/>
            <w:vAlign w:val="center"/>
          </w:tcPr>
          <w:p w14:paraId="45398E12">
            <w:pPr>
              <w:pStyle w:val="13"/>
            </w:pPr>
            <w:r>
              <w:t>学校老师和学生满意度</w:t>
            </w:r>
          </w:p>
        </w:tc>
        <w:tc>
          <w:tcPr>
            <w:tcW w:w="1673" w:type="dxa"/>
            <w:vAlign w:val="center"/>
          </w:tcPr>
          <w:p w14:paraId="4B399FEF">
            <w:pPr>
              <w:pStyle w:val="13"/>
            </w:pPr>
            <w:r>
              <w:t>≥95%</w:t>
            </w:r>
          </w:p>
        </w:tc>
        <w:tc>
          <w:tcPr>
            <w:tcW w:w="1871" w:type="dxa"/>
            <w:vAlign w:val="center"/>
          </w:tcPr>
          <w:p w14:paraId="0EC25F34">
            <w:pPr>
              <w:pStyle w:val="13"/>
            </w:pPr>
            <w:r>
              <w:t>城乡义务教育公用经费管理办法</w:t>
            </w:r>
          </w:p>
        </w:tc>
      </w:tr>
    </w:tbl>
    <w:p w14:paraId="2D830020">
      <w:pPr>
        <w:sectPr>
          <w:pgSz w:w="16840" w:h="11900" w:orient="landscape"/>
          <w:pgMar w:top="1361" w:right="1020" w:bottom="1134" w:left="1020" w:header="720" w:footer="720" w:gutter="0"/>
          <w:cols w:space="720" w:num="1"/>
        </w:sectPr>
      </w:pPr>
    </w:p>
    <w:p w14:paraId="6AB11DD5">
      <w:pPr>
        <w:spacing w:before="0" w:after="0"/>
        <w:ind w:firstLine="560"/>
        <w:jc w:val="left"/>
        <w:outlineLvl w:val="9"/>
      </w:pPr>
      <w:r>
        <w:rPr>
          <w:rFonts w:ascii="方正仿宋_GBK" w:hAnsi="方正仿宋_GBK" w:eastAsia="方正仿宋_GBK" w:cs="方正仿宋_GBK"/>
          <w:b/>
          <w:color w:val="000000"/>
          <w:sz w:val="28"/>
        </w:rPr>
        <w:t>11、冀财教[2024]123号/中央/2025年义教补助经费/校舍安全保障/东良小学地面硬化绩效目标表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0EF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90C3D">
            <w:pPr>
              <w:pStyle w:val="14"/>
            </w:pPr>
            <w:r>
              <w:t>单位：万元</w:t>
            </w:r>
          </w:p>
        </w:tc>
      </w:tr>
      <w:tr w14:paraId="2793E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8BB5B">
            <w:pPr>
              <w:pStyle w:val="11"/>
            </w:pPr>
            <w:r>
              <w:t>项目编码</w:t>
            </w:r>
          </w:p>
        </w:tc>
        <w:tc>
          <w:tcPr>
            <w:tcW w:w="5103" w:type="dxa"/>
            <w:gridSpan w:val="2"/>
            <w:vAlign w:val="center"/>
          </w:tcPr>
          <w:p w14:paraId="43CB1E6E">
            <w:pPr>
              <w:pStyle w:val="13"/>
            </w:pPr>
            <w:r>
              <w:t>13052525P00876210015Q</w:t>
            </w:r>
          </w:p>
        </w:tc>
        <w:tc>
          <w:tcPr>
            <w:tcW w:w="2835" w:type="dxa"/>
            <w:vAlign w:val="center"/>
          </w:tcPr>
          <w:p w14:paraId="4A087C72">
            <w:pPr>
              <w:pStyle w:val="11"/>
            </w:pPr>
            <w:r>
              <w:t>项目名称</w:t>
            </w:r>
          </w:p>
        </w:tc>
        <w:tc>
          <w:tcPr>
            <w:tcW w:w="6095" w:type="dxa"/>
            <w:gridSpan w:val="3"/>
            <w:vAlign w:val="center"/>
          </w:tcPr>
          <w:p w14:paraId="64930104">
            <w:pPr>
              <w:pStyle w:val="13"/>
            </w:pPr>
            <w:r>
              <w:t>冀财教[2024]123号/中央/2025年义教补助经费/校舍安全保障/东良小学地面硬化</w:t>
            </w:r>
          </w:p>
        </w:tc>
      </w:tr>
      <w:tr w14:paraId="0F408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301D7">
            <w:pPr>
              <w:pStyle w:val="11"/>
            </w:pPr>
            <w:r>
              <w:t>预算规模及资金用途</w:t>
            </w:r>
          </w:p>
        </w:tc>
        <w:tc>
          <w:tcPr>
            <w:tcW w:w="2268" w:type="dxa"/>
            <w:vAlign w:val="center"/>
          </w:tcPr>
          <w:p w14:paraId="0BA9B7F9">
            <w:pPr>
              <w:pStyle w:val="11"/>
            </w:pPr>
            <w:r>
              <w:t>预算数</w:t>
            </w:r>
          </w:p>
        </w:tc>
        <w:tc>
          <w:tcPr>
            <w:tcW w:w="2835" w:type="dxa"/>
            <w:vAlign w:val="center"/>
          </w:tcPr>
          <w:p w14:paraId="670EF822">
            <w:pPr>
              <w:pStyle w:val="13"/>
            </w:pPr>
            <w:r>
              <w:t>27.60</w:t>
            </w:r>
          </w:p>
        </w:tc>
        <w:tc>
          <w:tcPr>
            <w:tcW w:w="2835" w:type="dxa"/>
            <w:vAlign w:val="center"/>
          </w:tcPr>
          <w:p w14:paraId="28F44269">
            <w:pPr>
              <w:pStyle w:val="11"/>
            </w:pPr>
            <w:r>
              <w:t>其中：财政    资金</w:t>
            </w:r>
          </w:p>
        </w:tc>
        <w:tc>
          <w:tcPr>
            <w:tcW w:w="2551" w:type="dxa"/>
            <w:vAlign w:val="center"/>
          </w:tcPr>
          <w:p w14:paraId="32181E5A">
            <w:pPr>
              <w:pStyle w:val="13"/>
            </w:pPr>
            <w:r>
              <w:t>27.60</w:t>
            </w:r>
          </w:p>
        </w:tc>
        <w:tc>
          <w:tcPr>
            <w:tcW w:w="2268" w:type="dxa"/>
            <w:vAlign w:val="center"/>
          </w:tcPr>
          <w:p w14:paraId="312B1B69">
            <w:pPr>
              <w:pStyle w:val="11"/>
            </w:pPr>
            <w:r>
              <w:t>其他资金</w:t>
            </w:r>
          </w:p>
        </w:tc>
        <w:tc>
          <w:tcPr>
            <w:tcW w:w="1276" w:type="dxa"/>
            <w:vAlign w:val="center"/>
          </w:tcPr>
          <w:p w14:paraId="1BB9CC75">
            <w:pPr>
              <w:pStyle w:val="13"/>
            </w:pPr>
            <w:r>
              <w:t xml:space="preserve"> </w:t>
            </w:r>
          </w:p>
        </w:tc>
      </w:tr>
      <w:tr w14:paraId="3B26F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0346A9"/>
        </w:tc>
        <w:tc>
          <w:tcPr>
            <w:tcW w:w="14033" w:type="dxa"/>
            <w:gridSpan w:val="6"/>
            <w:vAlign w:val="center"/>
          </w:tcPr>
          <w:p w14:paraId="1C76AB8E">
            <w:pPr>
              <w:pStyle w:val="13"/>
            </w:pPr>
            <w:r>
              <w:t>完成东良小学地面硬化，满足学校正常教学需要。</w:t>
            </w:r>
          </w:p>
        </w:tc>
      </w:tr>
      <w:tr w14:paraId="4B3AA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691F8">
            <w:pPr>
              <w:pStyle w:val="11"/>
            </w:pPr>
            <w:r>
              <w:t>资金支出计划（%）</w:t>
            </w:r>
          </w:p>
        </w:tc>
        <w:tc>
          <w:tcPr>
            <w:tcW w:w="5103" w:type="dxa"/>
            <w:gridSpan w:val="2"/>
            <w:vAlign w:val="center"/>
          </w:tcPr>
          <w:p w14:paraId="1D3A5E28">
            <w:pPr>
              <w:pStyle w:val="11"/>
            </w:pPr>
            <w:r>
              <w:t>3月底</w:t>
            </w:r>
          </w:p>
        </w:tc>
        <w:tc>
          <w:tcPr>
            <w:tcW w:w="2835" w:type="dxa"/>
            <w:vAlign w:val="center"/>
          </w:tcPr>
          <w:p w14:paraId="2E5AEEFC">
            <w:pPr>
              <w:pStyle w:val="11"/>
            </w:pPr>
            <w:r>
              <w:t>6月底</w:t>
            </w:r>
          </w:p>
        </w:tc>
        <w:tc>
          <w:tcPr>
            <w:tcW w:w="2551" w:type="dxa"/>
            <w:vAlign w:val="center"/>
          </w:tcPr>
          <w:p w14:paraId="3D01F082">
            <w:pPr>
              <w:pStyle w:val="11"/>
            </w:pPr>
            <w:r>
              <w:t>10月底</w:t>
            </w:r>
          </w:p>
        </w:tc>
        <w:tc>
          <w:tcPr>
            <w:tcW w:w="3544" w:type="dxa"/>
            <w:gridSpan w:val="2"/>
            <w:vAlign w:val="center"/>
          </w:tcPr>
          <w:p w14:paraId="2528D39E">
            <w:pPr>
              <w:pStyle w:val="11"/>
            </w:pPr>
            <w:r>
              <w:t>12月底</w:t>
            </w:r>
          </w:p>
        </w:tc>
      </w:tr>
      <w:tr w14:paraId="17CE9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7CC8EF"/>
        </w:tc>
        <w:tc>
          <w:tcPr>
            <w:tcW w:w="5103" w:type="dxa"/>
            <w:gridSpan w:val="2"/>
            <w:vAlign w:val="center"/>
          </w:tcPr>
          <w:p w14:paraId="415E5B94">
            <w:pPr>
              <w:pStyle w:val="12"/>
            </w:pPr>
            <w:r>
              <w:t xml:space="preserve"> </w:t>
            </w:r>
          </w:p>
        </w:tc>
        <w:tc>
          <w:tcPr>
            <w:tcW w:w="2835" w:type="dxa"/>
            <w:vAlign w:val="center"/>
          </w:tcPr>
          <w:p w14:paraId="00F7CDAD">
            <w:pPr>
              <w:pStyle w:val="12"/>
            </w:pPr>
            <w:r>
              <w:t>50%</w:t>
            </w:r>
          </w:p>
        </w:tc>
        <w:tc>
          <w:tcPr>
            <w:tcW w:w="2551" w:type="dxa"/>
            <w:vAlign w:val="center"/>
          </w:tcPr>
          <w:p w14:paraId="1ED2CBFF">
            <w:pPr>
              <w:pStyle w:val="12"/>
            </w:pPr>
            <w:r>
              <w:t xml:space="preserve"> </w:t>
            </w:r>
          </w:p>
        </w:tc>
        <w:tc>
          <w:tcPr>
            <w:tcW w:w="3544" w:type="dxa"/>
            <w:gridSpan w:val="2"/>
            <w:vAlign w:val="center"/>
          </w:tcPr>
          <w:p w14:paraId="503E1C7F">
            <w:pPr>
              <w:pStyle w:val="12"/>
            </w:pPr>
            <w:r>
              <w:t>100%</w:t>
            </w:r>
          </w:p>
        </w:tc>
      </w:tr>
      <w:tr w14:paraId="371B0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0E71DD">
            <w:pPr>
              <w:pStyle w:val="11"/>
            </w:pPr>
            <w:r>
              <w:t>绩效目标</w:t>
            </w:r>
          </w:p>
        </w:tc>
        <w:tc>
          <w:tcPr>
            <w:tcW w:w="14033" w:type="dxa"/>
            <w:gridSpan w:val="6"/>
            <w:vAlign w:val="center"/>
          </w:tcPr>
          <w:p w14:paraId="19D72A86">
            <w:pPr>
              <w:pStyle w:val="13"/>
            </w:pPr>
            <w:r>
              <w:t>1.完成东良小学地面硬化，满足学校正常教学需要。</w:t>
            </w:r>
          </w:p>
          <w:p w14:paraId="1E497DE7">
            <w:pPr>
              <w:pStyle w:val="13"/>
            </w:pPr>
            <w:r>
              <w:t>2.按规定拨付专项资金，资金支付率达到100%。</w:t>
            </w:r>
          </w:p>
        </w:tc>
      </w:tr>
    </w:tbl>
    <w:p w14:paraId="57491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14:paraId="650EB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577CA">
            <w:pPr>
              <w:pStyle w:val="11"/>
            </w:pPr>
            <w:r>
              <w:t>一级指标</w:t>
            </w:r>
          </w:p>
        </w:tc>
        <w:tc>
          <w:tcPr>
            <w:tcW w:w="2268" w:type="dxa"/>
            <w:vAlign w:val="center"/>
          </w:tcPr>
          <w:p w14:paraId="7504EB81">
            <w:pPr>
              <w:pStyle w:val="11"/>
            </w:pPr>
            <w:r>
              <w:t>二级指标</w:t>
            </w:r>
          </w:p>
        </w:tc>
        <w:tc>
          <w:tcPr>
            <w:tcW w:w="2835" w:type="dxa"/>
            <w:vAlign w:val="center"/>
          </w:tcPr>
          <w:p w14:paraId="467DA8AB">
            <w:pPr>
              <w:pStyle w:val="11"/>
            </w:pPr>
            <w:r>
              <w:t>三级指标</w:t>
            </w:r>
          </w:p>
        </w:tc>
        <w:tc>
          <w:tcPr>
            <w:tcW w:w="5386" w:type="dxa"/>
            <w:vAlign w:val="center"/>
          </w:tcPr>
          <w:p w14:paraId="0E6E5DC5">
            <w:pPr>
              <w:pStyle w:val="11"/>
            </w:pPr>
            <w:r>
              <w:t>绩效指标描述</w:t>
            </w:r>
          </w:p>
        </w:tc>
        <w:tc>
          <w:tcPr>
            <w:tcW w:w="1793" w:type="dxa"/>
            <w:vAlign w:val="center"/>
          </w:tcPr>
          <w:p w14:paraId="04ECBCFE">
            <w:pPr>
              <w:pStyle w:val="11"/>
            </w:pPr>
            <w:r>
              <w:t>指标值</w:t>
            </w:r>
          </w:p>
        </w:tc>
        <w:tc>
          <w:tcPr>
            <w:tcW w:w="1751" w:type="dxa"/>
            <w:vAlign w:val="center"/>
          </w:tcPr>
          <w:p w14:paraId="57EE51D8">
            <w:pPr>
              <w:pStyle w:val="11"/>
            </w:pPr>
            <w:r>
              <w:t>指标值确定依据</w:t>
            </w:r>
          </w:p>
        </w:tc>
      </w:tr>
      <w:tr w14:paraId="594BA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300F1">
            <w:pPr>
              <w:pStyle w:val="12"/>
            </w:pPr>
            <w:r>
              <w:t>产出指标</w:t>
            </w:r>
          </w:p>
        </w:tc>
        <w:tc>
          <w:tcPr>
            <w:tcW w:w="2268" w:type="dxa"/>
            <w:vAlign w:val="center"/>
          </w:tcPr>
          <w:p w14:paraId="2E70E3A3">
            <w:pPr>
              <w:pStyle w:val="13"/>
            </w:pPr>
            <w:r>
              <w:t>数量指标</w:t>
            </w:r>
          </w:p>
        </w:tc>
        <w:tc>
          <w:tcPr>
            <w:tcW w:w="2835" w:type="dxa"/>
            <w:vAlign w:val="center"/>
          </w:tcPr>
          <w:p w14:paraId="2F96D458">
            <w:pPr>
              <w:pStyle w:val="13"/>
            </w:pPr>
            <w:r>
              <w:t xml:space="preserve"> 地面硬化</w:t>
            </w:r>
          </w:p>
        </w:tc>
        <w:tc>
          <w:tcPr>
            <w:tcW w:w="5386" w:type="dxa"/>
            <w:vAlign w:val="center"/>
          </w:tcPr>
          <w:p w14:paraId="6CEDA143">
            <w:pPr>
              <w:pStyle w:val="13"/>
            </w:pPr>
            <w:r>
              <w:t xml:space="preserve"> 地面硬化</w:t>
            </w:r>
          </w:p>
        </w:tc>
        <w:tc>
          <w:tcPr>
            <w:tcW w:w="1793" w:type="dxa"/>
            <w:vAlign w:val="center"/>
          </w:tcPr>
          <w:p w14:paraId="7496CEEB">
            <w:pPr>
              <w:pStyle w:val="13"/>
            </w:pPr>
            <w:r>
              <w:t>27.6万元</w:t>
            </w:r>
          </w:p>
        </w:tc>
        <w:tc>
          <w:tcPr>
            <w:tcW w:w="1751" w:type="dxa"/>
            <w:vAlign w:val="center"/>
          </w:tcPr>
          <w:p w14:paraId="3F7C75CA">
            <w:pPr>
              <w:pStyle w:val="13"/>
            </w:pPr>
            <w:r>
              <w:t>城乡义务教育公用经费管理办法</w:t>
            </w:r>
          </w:p>
        </w:tc>
      </w:tr>
      <w:tr w14:paraId="179C8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2979E"/>
        </w:tc>
        <w:tc>
          <w:tcPr>
            <w:tcW w:w="2268" w:type="dxa"/>
            <w:vAlign w:val="center"/>
          </w:tcPr>
          <w:p w14:paraId="401B7C5E">
            <w:pPr>
              <w:pStyle w:val="13"/>
            </w:pPr>
            <w:r>
              <w:t>质量指标</w:t>
            </w:r>
          </w:p>
        </w:tc>
        <w:tc>
          <w:tcPr>
            <w:tcW w:w="2835" w:type="dxa"/>
            <w:vAlign w:val="center"/>
          </w:tcPr>
          <w:p w14:paraId="648BBF62">
            <w:pPr>
              <w:pStyle w:val="13"/>
            </w:pPr>
            <w:r>
              <w:t>资金支付率</w:t>
            </w:r>
          </w:p>
        </w:tc>
        <w:tc>
          <w:tcPr>
            <w:tcW w:w="5386" w:type="dxa"/>
            <w:vAlign w:val="center"/>
          </w:tcPr>
          <w:p w14:paraId="75000E42">
            <w:pPr>
              <w:pStyle w:val="13"/>
            </w:pPr>
            <w:r>
              <w:t>按照序时进度完成资金支付</w:t>
            </w:r>
          </w:p>
        </w:tc>
        <w:tc>
          <w:tcPr>
            <w:tcW w:w="1793" w:type="dxa"/>
            <w:vAlign w:val="center"/>
          </w:tcPr>
          <w:p w14:paraId="34FFAF60">
            <w:pPr>
              <w:pStyle w:val="13"/>
            </w:pPr>
            <w:r>
              <w:t>≥100%</w:t>
            </w:r>
          </w:p>
        </w:tc>
        <w:tc>
          <w:tcPr>
            <w:tcW w:w="1751" w:type="dxa"/>
            <w:vAlign w:val="center"/>
          </w:tcPr>
          <w:p w14:paraId="51728AAF">
            <w:pPr>
              <w:pStyle w:val="13"/>
            </w:pPr>
            <w:r>
              <w:t>城乡义务教育公用经费管理办法</w:t>
            </w:r>
          </w:p>
        </w:tc>
      </w:tr>
      <w:tr w14:paraId="09BB7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CB086"/>
        </w:tc>
        <w:tc>
          <w:tcPr>
            <w:tcW w:w="2268" w:type="dxa"/>
            <w:vAlign w:val="center"/>
          </w:tcPr>
          <w:p w14:paraId="73EC5E5D">
            <w:pPr>
              <w:pStyle w:val="13"/>
            </w:pPr>
            <w:r>
              <w:t>时效指标</w:t>
            </w:r>
          </w:p>
        </w:tc>
        <w:tc>
          <w:tcPr>
            <w:tcW w:w="2835" w:type="dxa"/>
            <w:vAlign w:val="center"/>
          </w:tcPr>
          <w:p w14:paraId="67625A17">
            <w:pPr>
              <w:pStyle w:val="13"/>
            </w:pPr>
            <w:r>
              <w:t>项目竣工验收合格率</w:t>
            </w:r>
          </w:p>
        </w:tc>
        <w:tc>
          <w:tcPr>
            <w:tcW w:w="5386" w:type="dxa"/>
            <w:vAlign w:val="center"/>
          </w:tcPr>
          <w:p w14:paraId="648F5CC7">
            <w:pPr>
              <w:pStyle w:val="13"/>
            </w:pPr>
            <w:r>
              <w:t>项目改造质量达标率</w:t>
            </w:r>
          </w:p>
        </w:tc>
        <w:tc>
          <w:tcPr>
            <w:tcW w:w="1793" w:type="dxa"/>
            <w:vAlign w:val="center"/>
          </w:tcPr>
          <w:p w14:paraId="4B3D9215">
            <w:pPr>
              <w:pStyle w:val="13"/>
            </w:pPr>
            <w:r>
              <w:t>≥100%</w:t>
            </w:r>
          </w:p>
        </w:tc>
        <w:tc>
          <w:tcPr>
            <w:tcW w:w="1751" w:type="dxa"/>
            <w:vAlign w:val="center"/>
          </w:tcPr>
          <w:p w14:paraId="2C9A5BBF">
            <w:pPr>
              <w:pStyle w:val="13"/>
            </w:pPr>
            <w:r>
              <w:t>城乡义务教育公用经费管理办法</w:t>
            </w:r>
          </w:p>
        </w:tc>
      </w:tr>
      <w:tr w14:paraId="46D08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F3212"/>
        </w:tc>
        <w:tc>
          <w:tcPr>
            <w:tcW w:w="2268" w:type="dxa"/>
            <w:vAlign w:val="center"/>
          </w:tcPr>
          <w:p w14:paraId="7F0A6453">
            <w:pPr>
              <w:pStyle w:val="13"/>
            </w:pPr>
            <w:r>
              <w:t>成本指标</w:t>
            </w:r>
          </w:p>
        </w:tc>
        <w:tc>
          <w:tcPr>
            <w:tcW w:w="2835" w:type="dxa"/>
            <w:vAlign w:val="center"/>
          </w:tcPr>
          <w:p w14:paraId="76F2F7A2">
            <w:pPr>
              <w:pStyle w:val="13"/>
            </w:pPr>
            <w:r>
              <w:t>项目实际成本</w:t>
            </w:r>
          </w:p>
        </w:tc>
        <w:tc>
          <w:tcPr>
            <w:tcW w:w="5386" w:type="dxa"/>
            <w:vAlign w:val="center"/>
          </w:tcPr>
          <w:p w14:paraId="29BA4306">
            <w:pPr>
              <w:pStyle w:val="13"/>
            </w:pPr>
            <w:r>
              <w:t xml:space="preserve"> 地面硬化</w:t>
            </w:r>
          </w:p>
        </w:tc>
        <w:tc>
          <w:tcPr>
            <w:tcW w:w="1793" w:type="dxa"/>
            <w:vAlign w:val="center"/>
          </w:tcPr>
          <w:p w14:paraId="0EFBBB43">
            <w:pPr>
              <w:pStyle w:val="13"/>
            </w:pPr>
            <w:r>
              <w:t>27.6万元</w:t>
            </w:r>
          </w:p>
        </w:tc>
        <w:tc>
          <w:tcPr>
            <w:tcW w:w="1751" w:type="dxa"/>
            <w:vAlign w:val="center"/>
          </w:tcPr>
          <w:p w14:paraId="3AD40386">
            <w:pPr>
              <w:pStyle w:val="13"/>
            </w:pPr>
            <w:r>
              <w:t>城乡义务教育公用经费管理办法</w:t>
            </w:r>
          </w:p>
        </w:tc>
      </w:tr>
      <w:tr w14:paraId="7C329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4A3FD">
            <w:pPr>
              <w:pStyle w:val="12"/>
            </w:pPr>
            <w:r>
              <w:t>效益指标</w:t>
            </w:r>
          </w:p>
        </w:tc>
        <w:tc>
          <w:tcPr>
            <w:tcW w:w="2268" w:type="dxa"/>
            <w:vAlign w:val="center"/>
          </w:tcPr>
          <w:p w14:paraId="3AA231AE">
            <w:pPr>
              <w:pStyle w:val="13"/>
            </w:pPr>
            <w:r>
              <w:t>经济效益指标</w:t>
            </w:r>
          </w:p>
        </w:tc>
        <w:tc>
          <w:tcPr>
            <w:tcW w:w="2835" w:type="dxa"/>
            <w:vAlign w:val="center"/>
          </w:tcPr>
          <w:p w14:paraId="3928E48E">
            <w:pPr>
              <w:pStyle w:val="13"/>
            </w:pPr>
            <w:r>
              <w:t>教育发展水平</w:t>
            </w:r>
          </w:p>
        </w:tc>
        <w:tc>
          <w:tcPr>
            <w:tcW w:w="5386" w:type="dxa"/>
            <w:vAlign w:val="center"/>
          </w:tcPr>
          <w:p w14:paraId="2B1A80DF">
            <w:pPr>
              <w:pStyle w:val="13"/>
            </w:pPr>
            <w:r>
              <w:t>辖区内教育环境明显好转</w:t>
            </w:r>
          </w:p>
        </w:tc>
        <w:tc>
          <w:tcPr>
            <w:tcW w:w="1793" w:type="dxa"/>
            <w:vAlign w:val="center"/>
          </w:tcPr>
          <w:p w14:paraId="0DCDDF64">
            <w:pPr>
              <w:pStyle w:val="13"/>
            </w:pPr>
            <w:r>
              <w:t>≥95%</w:t>
            </w:r>
          </w:p>
        </w:tc>
        <w:tc>
          <w:tcPr>
            <w:tcW w:w="1751" w:type="dxa"/>
            <w:vAlign w:val="center"/>
          </w:tcPr>
          <w:p w14:paraId="14AB11FA">
            <w:pPr>
              <w:pStyle w:val="13"/>
            </w:pPr>
            <w:r>
              <w:t>城乡义务教育公用经费管理办法</w:t>
            </w:r>
          </w:p>
        </w:tc>
      </w:tr>
      <w:tr w14:paraId="5D250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6F9EA"/>
        </w:tc>
        <w:tc>
          <w:tcPr>
            <w:tcW w:w="2268" w:type="dxa"/>
            <w:vAlign w:val="center"/>
          </w:tcPr>
          <w:p w14:paraId="2349B49C">
            <w:pPr>
              <w:pStyle w:val="13"/>
            </w:pPr>
            <w:r>
              <w:t>社会效益指标</w:t>
            </w:r>
          </w:p>
        </w:tc>
        <w:tc>
          <w:tcPr>
            <w:tcW w:w="2835" w:type="dxa"/>
            <w:vAlign w:val="center"/>
          </w:tcPr>
          <w:p w14:paraId="62BD5540">
            <w:pPr>
              <w:pStyle w:val="13"/>
            </w:pPr>
            <w:r>
              <w:t>校园环境</w:t>
            </w:r>
          </w:p>
        </w:tc>
        <w:tc>
          <w:tcPr>
            <w:tcW w:w="5386" w:type="dxa"/>
            <w:vAlign w:val="center"/>
          </w:tcPr>
          <w:p w14:paraId="12D1E82A">
            <w:pPr>
              <w:pStyle w:val="13"/>
            </w:pPr>
            <w:r>
              <w:t>办学条件和环境得到改善</w:t>
            </w:r>
          </w:p>
        </w:tc>
        <w:tc>
          <w:tcPr>
            <w:tcW w:w="1793" w:type="dxa"/>
            <w:vAlign w:val="center"/>
          </w:tcPr>
          <w:p w14:paraId="5FA8A7D8">
            <w:pPr>
              <w:pStyle w:val="13"/>
            </w:pPr>
            <w:r>
              <w:t>≥95%</w:t>
            </w:r>
          </w:p>
        </w:tc>
        <w:tc>
          <w:tcPr>
            <w:tcW w:w="1751" w:type="dxa"/>
            <w:vAlign w:val="center"/>
          </w:tcPr>
          <w:p w14:paraId="7B3C34F0">
            <w:pPr>
              <w:pStyle w:val="13"/>
            </w:pPr>
            <w:r>
              <w:t>城乡义务教育公用经费管理办法</w:t>
            </w:r>
          </w:p>
        </w:tc>
      </w:tr>
      <w:tr w14:paraId="36FBB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3AD2BD">
            <w:pPr>
              <w:pStyle w:val="12"/>
            </w:pPr>
            <w:r>
              <w:t>满意度指标</w:t>
            </w:r>
          </w:p>
        </w:tc>
        <w:tc>
          <w:tcPr>
            <w:tcW w:w="2268" w:type="dxa"/>
            <w:vAlign w:val="center"/>
          </w:tcPr>
          <w:p w14:paraId="01EB6DBD">
            <w:pPr>
              <w:pStyle w:val="13"/>
            </w:pPr>
            <w:r>
              <w:t>服务对象满意度指标</w:t>
            </w:r>
          </w:p>
        </w:tc>
        <w:tc>
          <w:tcPr>
            <w:tcW w:w="2835" w:type="dxa"/>
            <w:vAlign w:val="center"/>
          </w:tcPr>
          <w:p w14:paraId="3433F6FA">
            <w:pPr>
              <w:pStyle w:val="13"/>
            </w:pPr>
            <w:r>
              <w:t>受益学生家长及调查满意度</w:t>
            </w:r>
          </w:p>
        </w:tc>
        <w:tc>
          <w:tcPr>
            <w:tcW w:w="5386" w:type="dxa"/>
            <w:vAlign w:val="center"/>
          </w:tcPr>
          <w:p w14:paraId="1B48E781">
            <w:pPr>
              <w:pStyle w:val="13"/>
            </w:pPr>
            <w:r>
              <w:t>学生、教师及家长对学校工作满意度情况</w:t>
            </w:r>
          </w:p>
        </w:tc>
        <w:tc>
          <w:tcPr>
            <w:tcW w:w="1793" w:type="dxa"/>
            <w:vAlign w:val="center"/>
          </w:tcPr>
          <w:p w14:paraId="20279F1D">
            <w:pPr>
              <w:pStyle w:val="13"/>
            </w:pPr>
            <w:r>
              <w:t>≥95%</w:t>
            </w:r>
          </w:p>
        </w:tc>
        <w:tc>
          <w:tcPr>
            <w:tcW w:w="1751" w:type="dxa"/>
            <w:vAlign w:val="center"/>
          </w:tcPr>
          <w:p w14:paraId="0E9BC1AD">
            <w:pPr>
              <w:pStyle w:val="13"/>
            </w:pPr>
            <w:r>
              <w:t>城乡义务教育公用经费管理办法</w:t>
            </w:r>
          </w:p>
        </w:tc>
      </w:tr>
    </w:tbl>
    <w:p w14:paraId="09F9186F">
      <w:pPr>
        <w:sectPr>
          <w:pgSz w:w="16840" w:h="11900" w:orient="landscape"/>
          <w:pgMar w:top="1361" w:right="1020" w:bottom="1134" w:left="1020" w:header="720" w:footer="720" w:gutter="0"/>
          <w:cols w:space="720" w:num="1"/>
        </w:sectPr>
      </w:pPr>
    </w:p>
    <w:p w14:paraId="22F8AC70">
      <w:pPr>
        <w:spacing w:before="0" w:after="0"/>
        <w:ind w:firstLine="560"/>
        <w:jc w:val="left"/>
        <w:outlineLvl w:val="9"/>
      </w:pPr>
      <w:r>
        <w:rPr>
          <w:rFonts w:ascii="方正仿宋_GBK" w:hAnsi="方正仿宋_GBK" w:eastAsia="方正仿宋_GBK" w:cs="方正仿宋_GBK"/>
          <w:b/>
          <w:color w:val="000000"/>
          <w:sz w:val="28"/>
        </w:rPr>
        <w:t>12、冀财教[2024]123号/中央/2025年义教补助经费/校舍安全保障/南位小学墙体粉刷及卫生间改造、新建化粪池绩效目标表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93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6F9E32">
            <w:pPr>
              <w:pStyle w:val="14"/>
            </w:pPr>
            <w:r>
              <w:t>单位：万元</w:t>
            </w:r>
          </w:p>
        </w:tc>
      </w:tr>
      <w:tr w14:paraId="17917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62144B">
            <w:pPr>
              <w:pStyle w:val="11"/>
            </w:pPr>
            <w:r>
              <w:t>项目编码</w:t>
            </w:r>
          </w:p>
        </w:tc>
        <w:tc>
          <w:tcPr>
            <w:tcW w:w="5103" w:type="dxa"/>
            <w:gridSpan w:val="2"/>
            <w:vAlign w:val="center"/>
          </w:tcPr>
          <w:p w14:paraId="23907BA9">
            <w:pPr>
              <w:pStyle w:val="13"/>
            </w:pPr>
            <w:r>
              <w:t>13052525P008762100145</w:t>
            </w:r>
          </w:p>
        </w:tc>
        <w:tc>
          <w:tcPr>
            <w:tcW w:w="2835" w:type="dxa"/>
            <w:vAlign w:val="center"/>
          </w:tcPr>
          <w:p w14:paraId="1808065D">
            <w:pPr>
              <w:pStyle w:val="11"/>
            </w:pPr>
            <w:r>
              <w:t>项目名称</w:t>
            </w:r>
          </w:p>
        </w:tc>
        <w:tc>
          <w:tcPr>
            <w:tcW w:w="6095" w:type="dxa"/>
            <w:gridSpan w:val="3"/>
            <w:vAlign w:val="center"/>
          </w:tcPr>
          <w:p w14:paraId="7DF7347C">
            <w:pPr>
              <w:pStyle w:val="13"/>
            </w:pPr>
            <w:r>
              <w:t>冀财教[2024]123号/中央/2025年义教补助经费/校舍安全保障/南位小学墙体粉刷及卫生间改造、新建化粪池</w:t>
            </w:r>
          </w:p>
        </w:tc>
      </w:tr>
      <w:tr w14:paraId="777DA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C8EE4">
            <w:pPr>
              <w:pStyle w:val="11"/>
            </w:pPr>
            <w:r>
              <w:t>预算规模及资金用途</w:t>
            </w:r>
          </w:p>
        </w:tc>
        <w:tc>
          <w:tcPr>
            <w:tcW w:w="2268" w:type="dxa"/>
            <w:vAlign w:val="center"/>
          </w:tcPr>
          <w:p w14:paraId="12AAEEDD">
            <w:pPr>
              <w:pStyle w:val="11"/>
            </w:pPr>
            <w:r>
              <w:t>预算数</w:t>
            </w:r>
          </w:p>
        </w:tc>
        <w:tc>
          <w:tcPr>
            <w:tcW w:w="2835" w:type="dxa"/>
            <w:vAlign w:val="center"/>
          </w:tcPr>
          <w:p w14:paraId="16412EE3">
            <w:pPr>
              <w:pStyle w:val="13"/>
            </w:pPr>
            <w:r>
              <w:t>56.70</w:t>
            </w:r>
          </w:p>
        </w:tc>
        <w:tc>
          <w:tcPr>
            <w:tcW w:w="2835" w:type="dxa"/>
            <w:vAlign w:val="center"/>
          </w:tcPr>
          <w:p w14:paraId="747CB1B5">
            <w:pPr>
              <w:pStyle w:val="11"/>
            </w:pPr>
            <w:r>
              <w:t>其中：财政    资金</w:t>
            </w:r>
          </w:p>
        </w:tc>
        <w:tc>
          <w:tcPr>
            <w:tcW w:w="2551" w:type="dxa"/>
            <w:vAlign w:val="center"/>
          </w:tcPr>
          <w:p w14:paraId="340B4EDE">
            <w:pPr>
              <w:pStyle w:val="13"/>
            </w:pPr>
            <w:r>
              <w:t>56.70</w:t>
            </w:r>
          </w:p>
        </w:tc>
        <w:tc>
          <w:tcPr>
            <w:tcW w:w="2268" w:type="dxa"/>
            <w:vAlign w:val="center"/>
          </w:tcPr>
          <w:p w14:paraId="39D55BA8">
            <w:pPr>
              <w:pStyle w:val="11"/>
            </w:pPr>
            <w:r>
              <w:t>其他资金</w:t>
            </w:r>
          </w:p>
        </w:tc>
        <w:tc>
          <w:tcPr>
            <w:tcW w:w="1276" w:type="dxa"/>
            <w:vAlign w:val="center"/>
          </w:tcPr>
          <w:p w14:paraId="4EB97C78">
            <w:pPr>
              <w:pStyle w:val="13"/>
            </w:pPr>
            <w:r>
              <w:t xml:space="preserve"> </w:t>
            </w:r>
          </w:p>
        </w:tc>
      </w:tr>
      <w:tr w14:paraId="4E3A8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88AA9"/>
        </w:tc>
        <w:tc>
          <w:tcPr>
            <w:tcW w:w="14033" w:type="dxa"/>
            <w:gridSpan w:val="6"/>
            <w:vAlign w:val="center"/>
          </w:tcPr>
          <w:p w14:paraId="1294AD41">
            <w:pPr>
              <w:pStyle w:val="13"/>
            </w:pPr>
            <w:r>
              <w:t>完成南位小学学生宿舍楼内外墙修补粉刷及卫生间改造、新建化粪池，满足学校正常教学需要。</w:t>
            </w:r>
          </w:p>
        </w:tc>
      </w:tr>
      <w:tr w14:paraId="345B6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19E2A">
            <w:pPr>
              <w:pStyle w:val="11"/>
            </w:pPr>
            <w:r>
              <w:t>资金支出计划（%）</w:t>
            </w:r>
          </w:p>
        </w:tc>
        <w:tc>
          <w:tcPr>
            <w:tcW w:w="5103" w:type="dxa"/>
            <w:gridSpan w:val="2"/>
            <w:vAlign w:val="center"/>
          </w:tcPr>
          <w:p w14:paraId="3A380D30">
            <w:pPr>
              <w:pStyle w:val="11"/>
            </w:pPr>
            <w:r>
              <w:t>3月底</w:t>
            </w:r>
          </w:p>
        </w:tc>
        <w:tc>
          <w:tcPr>
            <w:tcW w:w="2835" w:type="dxa"/>
            <w:vAlign w:val="center"/>
          </w:tcPr>
          <w:p w14:paraId="2B3585B1">
            <w:pPr>
              <w:pStyle w:val="11"/>
            </w:pPr>
            <w:r>
              <w:t>6月底</w:t>
            </w:r>
          </w:p>
        </w:tc>
        <w:tc>
          <w:tcPr>
            <w:tcW w:w="2551" w:type="dxa"/>
            <w:vAlign w:val="center"/>
          </w:tcPr>
          <w:p w14:paraId="0214EEF0">
            <w:pPr>
              <w:pStyle w:val="11"/>
            </w:pPr>
            <w:r>
              <w:t>10月底</w:t>
            </w:r>
          </w:p>
        </w:tc>
        <w:tc>
          <w:tcPr>
            <w:tcW w:w="3544" w:type="dxa"/>
            <w:gridSpan w:val="2"/>
            <w:vAlign w:val="center"/>
          </w:tcPr>
          <w:p w14:paraId="478A93E7">
            <w:pPr>
              <w:pStyle w:val="11"/>
            </w:pPr>
            <w:r>
              <w:t>12月底</w:t>
            </w:r>
          </w:p>
        </w:tc>
      </w:tr>
      <w:tr w14:paraId="56AD9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2614C4"/>
        </w:tc>
        <w:tc>
          <w:tcPr>
            <w:tcW w:w="5103" w:type="dxa"/>
            <w:gridSpan w:val="2"/>
            <w:vAlign w:val="center"/>
          </w:tcPr>
          <w:p w14:paraId="1ECFB91A">
            <w:pPr>
              <w:pStyle w:val="12"/>
            </w:pPr>
            <w:r>
              <w:t xml:space="preserve"> </w:t>
            </w:r>
          </w:p>
        </w:tc>
        <w:tc>
          <w:tcPr>
            <w:tcW w:w="2835" w:type="dxa"/>
            <w:vAlign w:val="center"/>
          </w:tcPr>
          <w:p w14:paraId="04B95FD7">
            <w:pPr>
              <w:pStyle w:val="12"/>
            </w:pPr>
            <w:r>
              <w:t>50%</w:t>
            </w:r>
          </w:p>
        </w:tc>
        <w:tc>
          <w:tcPr>
            <w:tcW w:w="2551" w:type="dxa"/>
            <w:vAlign w:val="center"/>
          </w:tcPr>
          <w:p w14:paraId="60539B24">
            <w:pPr>
              <w:pStyle w:val="12"/>
            </w:pPr>
            <w:r>
              <w:t xml:space="preserve"> </w:t>
            </w:r>
          </w:p>
        </w:tc>
        <w:tc>
          <w:tcPr>
            <w:tcW w:w="3544" w:type="dxa"/>
            <w:gridSpan w:val="2"/>
            <w:vAlign w:val="center"/>
          </w:tcPr>
          <w:p w14:paraId="2ACBE2FC">
            <w:pPr>
              <w:pStyle w:val="12"/>
            </w:pPr>
            <w:r>
              <w:t>100%</w:t>
            </w:r>
          </w:p>
        </w:tc>
      </w:tr>
      <w:tr w14:paraId="38A5B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22E7B5">
            <w:pPr>
              <w:pStyle w:val="11"/>
            </w:pPr>
            <w:r>
              <w:t>绩效目标</w:t>
            </w:r>
          </w:p>
        </w:tc>
        <w:tc>
          <w:tcPr>
            <w:tcW w:w="14033" w:type="dxa"/>
            <w:gridSpan w:val="6"/>
            <w:vAlign w:val="center"/>
          </w:tcPr>
          <w:p w14:paraId="6C8911E3">
            <w:pPr>
              <w:pStyle w:val="13"/>
            </w:pPr>
            <w:r>
              <w:t>1.完成南位小学学生宿舍楼内外墙修补粉刷及卫生间改造、新建化粪池，满足学校正常教学需要。</w:t>
            </w:r>
          </w:p>
          <w:p w14:paraId="17ABE165">
            <w:pPr>
              <w:pStyle w:val="13"/>
            </w:pPr>
            <w:r>
              <w:t>2.按规定拨付专项资金，资金支付率达到100%。</w:t>
            </w:r>
          </w:p>
        </w:tc>
      </w:tr>
    </w:tbl>
    <w:p w14:paraId="3347F8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14:paraId="36E93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560F5">
            <w:pPr>
              <w:pStyle w:val="11"/>
            </w:pPr>
            <w:r>
              <w:t>一级指标</w:t>
            </w:r>
          </w:p>
        </w:tc>
        <w:tc>
          <w:tcPr>
            <w:tcW w:w="2268" w:type="dxa"/>
            <w:vAlign w:val="center"/>
          </w:tcPr>
          <w:p w14:paraId="5C2440B7">
            <w:pPr>
              <w:pStyle w:val="11"/>
            </w:pPr>
            <w:r>
              <w:t>二级指标</w:t>
            </w:r>
          </w:p>
        </w:tc>
        <w:tc>
          <w:tcPr>
            <w:tcW w:w="2835" w:type="dxa"/>
            <w:vAlign w:val="center"/>
          </w:tcPr>
          <w:p w14:paraId="05319FF3">
            <w:pPr>
              <w:pStyle w:val="11"/>
            </w:pPr>
            <w:r>
              <w:t>三级指标</w:t>
            </w:r>
          </w:p>
        </w:tc>
        <w:tc>
          <w:tcPr>
            <w:tcW w:w="5386" w:type="dxa"/>
            <w:vAlign w:val="center"/>
          </w:tcPr>
          <w:p w14:paraId="6D16AECD">
            <w:pPr>
              <w:pStyle w:val="11"/>
            </w:pPr>
            <w:r>
              <w:t>绩效指标描述</w:t>
            </w:r>
          </w:p>
        </w:tc>
        <w:tc>
          <w:tcPr>
            <w:tcW w:w="1778" w:type="dxa"/>
            <w:vAlign w:val="center"/>
          </w:tcPr>
          <w:p w14:paraId="06954065">
            <w:pPr>
              <w:pStyle w:val="11"/>
            </w:pPr>
            <w:r>
              <w:t>指标值</w:t>
            </w:r>
          </w:p>
        </w:tc>
        <w:tc>
          <w:tcPr>
            <w:tcW w:w="1766" w:type="dxa"/>
            <w:vAlign w:val="center"/>
          </w:tcPr>
          <w:p w14:paraId="02655B05">
            <w:pPr>
              <w:pStyle w:val="11"/>
            </w:pPr>
            <w:r>
              <w:t>指标值确定依据</w:t>
            </w:r>
          </w:p>
        </w:tc>
      </w:tr>
      <w:tr w14:paraId="3F933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3D5FA">
            <w:pPr>
              <w:pStyle w:val="12"/>
            </w:pPr>
            <w:r>
              <w:t>产出指标</w:t>
            </w:r>
          </w:p>
        </w:tc>
        <w:tc>
          <w:tcPr>
            <w:tcW w:w="2268" w:type="dxa"/>
            <w:vAlign w:val="center"/>
          </w:tcPr>
          <w:p w14:paraId="0320E5F9">
            <w:pPr>
              <w:pStyle w:val="13"/>
            </w:pPr>
            <w:r>
              <w:t>数量指标</w:t>
            </w:r>
          </w:p>
        </w:tc>
        <w:tc>
          <w:tcPr>
            <w:tcW w:w="2835" w:type="dxa"/>
            <w:vAlign w:val="center"/>
          </w:tcPr>
          <w:p w14:paraId="729FFA66">
            <w:pPr>
              <w:pStyle w:val="13"/>
            </w:pPr>
            <w:r>
              <w:t>学生宿舍楼内外墙修补粉刷及卫生间改造、新建化粪池</w:t>
            </w:r>
          </w:p>
        </w:tc>
        <w:tc>
          <w:tcPr>
            <w:tcW w:w="5386" w:type="dxa"/>
            <w:vAlign w:val="center"/>
          </w:tcPr>
          <w:p w14:paraId="2E667098">
            <w:pPr>
              <w:pStyle w:val="13"/>
            </w:pPr>
            <w:r>
              <w:t>学生宿舍楼内外墙修补粉刷及卫生间改造、新建化粪池</w:t>
            </w:r>
          </w:p>
        </w:tc>
        <w:tc>
          <w:tcPr>
            <w:tcW w:w="1778" w:type="dxa"/>
            <w:vAlign w:val="center"/>
          </w:tcPr>
          <w:p w14:paraId="0BE3B428">
            <w:pPr>
              <w:pStyle w:val="13"/>
            </w:pPr>
            <w:r>
              <w:t>56.7万元</w:t>
            </w:r>
          </w:p>
        </w:tc>
        <w:tc>
          <w:tcPr>
            <w:tcW w:w="1766" w:type="dxa"/>
            <w:vAlign w:val="center"/>
          </w:tcPr>
          <w:p w14:paraId="4EA07FB8">
            <w:pPr>
              <w:pStyle w:val="13"/>
            </w:pPr>
            <w:r>
              <w:t>城乡义务教育公用经费管理办法</w:t>
            </w:r>
          </w:p>
        </w:tc>
      </w:tr>
      <w:tr w14:paraId="11EF8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57878"/>
        </w:tc>
        <w:tc>
          <w:tcPr>
            <w:tcW w:w="2268" w:type="dxa"/>
            <w:vAlign w:val="center"/>
          </w:tcPr>
          <w:p w14:paraId="07220F45">
            <w:pPr>
              <w:pStyle w:val="13"/>
            </w:pPr>
            <w:r>
              <w:t>质量指标</w:t>
            </w:r>
          </w:p>
        </w:tc>
        <w:tc>
          <w:tcPr>
            <w:tcW w:w="2835" w:type="dxa"/>
            <w:vAlign w:val="center"/>
          </w:tcPr>
          <w:p w14:paraId="39B15C72">
            <w:pPr>
              <w:pStyle w:val="13"/>
            </w:pPr>
            <w:r>
              <w:t>资金支付率</w:t>
            </w:r>
          </w:p>
        </w:tc>
        <w:tc>
          <w:tcPr>
            <w:tcW w:w="5386" w:type="dxa"/>
            <w:vAlign w:val="center"/>
          </w:tcPr>
          <w:p w14:paraId="3023DA40">
            <w:pPr>
              <w:pStyle w:val="13"/>
            </w:pPr>
            <w:r>
              <w:t>按照序时进度完成资金支付</w:t>
            </w:r>
          </w:p>
        </w:tc>
        <w:tc>
          <w:tcPr>
            <w:tcW w:w="1778" w:type="dxa"/>
            <w:vAlign w:val="center"/>
          </w:tcPr>
          <w:p w14:paraId="5F350AB2">
            <w:pPr>
              <w:pStyle w:val="13"/>
            </w:pPr>
            <w:r>
              <w:t>≥100%</w:t>
            </w:r>
          </w:p>
        </w:tc>
        <w:tc>
          <w:tcPr>
            <w:tcW w:w="1766" w:type="dxa"/>
            <w:vAlign w:val="center"/>
          </w:tcPr>
          <w:p w14:paraId="326B0FE3">
            <w:pPr>
              <w:pStyle w:val="13"/>
            </w:pPr>
            <w:r>
              <w:t>城乡义务教育公用经费管理办法</w:t>
            </w:r>
          </w:p>
        </w:tc>
      </w:tr>
      <w:tr w14:paraId="4F130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223D8"/>
        </w:tc>
        <w:tc>
          <w:tcPr>
            <w:tcW w:w="2268" w:type="dxa"/>
            <w:vAlign w:val="center"/>
          </w:tcPr>
          <w:p w14:paraId="212ADD59">
            <w:pPr>
              <w:pStyle w:val="13"/>
            </w:pPr>
            <w:r>
              <w:t>时效指标</w:t>
            </w:r>
          </w:p>
        </w:tc>
        <w:tc>
          <w:tcPr>
            <w:tcW w:w="2835" w:type="dxa"/>
            <w:vAlign w:val="center"/>
          </w:tcPr>
          <w:p w14:paraId="279A67BD">
            <w:pPr>
              <w:pStyle w:val="13"/>
            </w:pPr>
            <w:r>
              <w:t>项目竣工验收合格率</w:t>
            </w:r>
          </w:p>
        </w:tc>
        <w:tc>
          <w:tcPr>
            <w:tcW w:w="5386" w:type="dxa"/>
            <w:vAlign w:val="center"/>
          </w:tcPr>
          <w:p w14:paraId="7EF8118E">
            <w:pPr>
              <w:pStyle w:val="13"/>
            </w:pPr>
            <w:r>
              <w:t>项目改造质量达标率</w:t>
            </w:r>
          </w:p>
        </w:tc>
        <w:tc>
          <w:tcPr>
            <w:tcW w:w="1778" w:type="dxa"/>
            <w:vAlign w:val="center"/>
          </w:tcPr>
          <w:p w14:paraId="4F924682">
            <w:pPr>
              <w:pStyle w:val="13"/>
            </w:pPr>
            <w:r>
              <w:t>≥100%</w:t>
            </w:r>
          </w:p>
        </w:tc>
        <w:tc>
          <w:tcPr>
            <w:tcW w:w="1766" w:type="dxa"/>
            <w:vAlign w:val="center"/>
          </w:tcPr>
          <w:p w14:paraId="2929CDA0">
            <w:pPr>
              <w:pStyle w:val="13"/>
            </w:pPr>
            <w:r>
              <w:t>城乡义务教育公用经费管理办法</w:t>
            </w:r>
          </w:p>
        </w:tc>
      </w:tr>
      <w:tr w14:paraId="16C58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C2985"/>
        </w:tc>
        <w:tc>
          <w:tcPr>
            <w:tcW w:w="2268" w:type="dxa"/>
            <w:vAlign w:val="center"/>
          </w:tcPr>
          <w:p w14:paraId="2101192C">
            <w:pPr>
              <w:pStyle w:val="13"/>
            </w:pPr>
            <w:r>
              <w:t>成本指标</w:t>
            </w:r>
          </w:p>
        </w:tc>
        <w:tc>
          <w:tcPr>
            <w:tcW w:w="2835" w:type="dxa"/>
            <w:vAlign w:val="center"/>
          </w:tcPr>
          <w:p w14:paraId="483475AF">
            <w:pPr>
              <w:pStyle w:val="13"/>
            </w:pPr>
            <w:r>
              <w:t>项目实际成本</w:t>
            </w:r>
          </w:p>
        </w:tc>
        <w:tc>
          <w:tcPr>
            <w:tcW w:w="5386" w:type="dxa"/>
            <w:vAlign w:val="center"/>
          </w:tcPr>
          <w:p w14:paraId="7B4A11FB">
            <w:pPr>
              <w:pStyle w:val="13"/>
            </w:pPr>
            <w:r>
              <w:t>学生宿舍楼内外墙修补粉刷及卫生间改造、新建化粪池</w:t>
            </w:r>
          </w:p>
        </w:tc>
        <w:tc>
          <w:tcPr>
            <w:tcW w:w="1778" w:type="dxa"/>
            <w:vAlign w:val="center"/>
          </w:tcPr>
          <w:p w14:paraId="6AF7D159">
            <w:pPr>
              <w:pStyle w:val="13"/>
            </w:pPr>
            <w:r>
              <w:t>56.7万元</w:t>
            </w:r>
          </w:p>
        </w:tc>
        <w:tc>
          <w:tcPr>
            <w:tcW w:w="1766" w:type="dxa"/>
            <w:vAlign w:val="center"/>
          </w:tcPr>
          <w:p w14:paraId="595C4CA6">
            <w:pPr>
              <w:pStyle w:val="13"/>
            </w:pPr>
            <w:r>
              <w:t>城乡义务教育公用经费管理办法</w:t>
            </w:r>
          </w:p>
        </w:tc>
      </w:tr>
      <w:tr w14:paraId="5311E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72502">
            <w:pPr>
              <w:pStyle w:val="12"/>
            </w:pPr>
            <w:r>
              <w:t>效益指标</w:t>
            </w:r>
          </w:p>
        </w:tc>
        <w:tc>
          <w:tcPr>
            <w:tcW w:w="2268" w:type="dxa"/>
            <w:vAlign w:val="center"/>
          </w:tcPr>
          <w:p w14:paraId="2FF8779D">
            <w:pPr>
              <w:pStyle w:val="13"/>
            </w:pPr>
            <w:r>
              <w:t>经济效益指标</w:t>
            </w:r>
          </w:p>
        </w:tc>
        <w:tc>
          <w:tcPr>
            <w:tcW w:w="2835" w:type="dxa"/>
            <w:vAlign w:val="center"/>
          </w:tcPr>
          <w:p w14:paraId="6BD4070C">
            <w:pPr>
              <w:pStyle w:val="13"/>
            </w:pPr>
            <w:r>
              <w:t>教育发展水平</w:t>
            </w:r>
          </w:p>
        </w:tc>
        <w:tc>
          <w:tcPr>
            <w:tcW w:w="5386" w:type="dxa"/>
            <w:vAlign w:val="center"/>
          </w:tcPr>
          <w:p w14:paraId="4019FFFC">
            <w:pPr>
              <w:pStyle w:val="13"/>
            </w:pPr>
            <w:r>
              <w:t>辖区内教育环境明显好转</w:t>
            </w:r>
          </w:p>
        </w:tc>
        <w:tc>
          <w:tcPr>
            <w:tcW w:w="1778" w:type="dxa"/>
            <w:vAlign w:val="center"/>
          </w:tcPr>
          <w:p w14:paraId="1D3932DB">
            <w:pPr>
              <w:pStyle w:val="13"/>
            </w:pPr>
            <w:r>
              <w:t>≥95%</w:t>
            </w:r>
          </w:p>
        </w:tc>
        <w:tc>
          <w:tcPr>
            <w:tcW w:w="1766" w:type="dxa"/>
            <w:vAlign w:val="center"/>
          </w:tcPr>
          <w:p w14:paraId="325C1DE7">
            <w:pPr>
              <w:pStyle w:val="13"/>
            </w:pPr>
            <w:r>
              <w:t>城乡义务教育公用经费管理办法</w:t>
            </w:r>
          </w:p>
        </w:tc>
      </w:tr>
      <w:tr w14:paraId="16723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430F1"/>
        </w:tc>
        <w:tc>
          <w:tcPr>
            <w:tcW w:w="2268" w:type="dxa"/>
            <w:vAlign w:val="center"/>
          </w:tcPr>
          <w:p w14:paraId="65D7FAA9">
            <w:pPr>
              <w:pStyle w:val="13"/>
            </w:pPr>
            <w:r>
              <w:t>社会效益指标</w:t>
            </w:r>
          </w:p>
        </w:tc>
        <w:tc>
          <w:tcPr>
            <w:tcW w:w="2835" w:type="dxa"/>
            <w:vAlign w:val="center"/>
          </w:tcPr>
          <w:p w14:paraId="09A2C6DB">
            <w:pPr>
              <w:pStyle w:val="13"/>
            </w:pPr>
            <w:r>
              <w:t>校园环境</w:t>
            </w:r>
          </w:p>
        </w:tc>
        <w:tc>
          <w:tcPr>
            <w:tcW w:w="5386" w:type="dxa"/>
            <w:vAlign w:val="center"/>
          </w:tcPr>
          <w:p w14:paraId="3F134E0A">
            <w:pPr>
              <w:pStyle w:val="13"/>
            </w:pPr>
            <w:r>
              <w:t>办学条件和环境得到改善</w:t>
            </w:r>
          </w:p>
        </w:tc>
        <w:tc>
          <w:tcPr>
            <w:tcW w:w="1778" w:type="dxa"/>
            <w:vAlign w:val="center"/>
          </w:tcPr>
          <w:p w14:paraId="72035260">
            <w:pPr>
              <w:pStyle w:val="13"/>
            </w:pPr>
            <w:r>
              <w:t>≥95%</w:t>
            </w:r>
          </w:p>
        </w:tc>
        <w:tc>
          <w:tcPr>
            <w:tcW w:w="1766" w:type="dxa"/>
            <w:vAlign w:val="center"/>
          </w:tcPr>
          <w:p w14:paraId="21638ABE">
            <w:pPr>
              <w:pStyle w:val="13"/>
            </w:pPr>
            <w:r>
              <w:t>城乡义务教育公用经费管理办法</w:t>
            </w:r>
          </w:p>
        </w:tc>
      </w:tr>
      <w:tr w14:paraId="2675D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B3D487">
            <w:pPr>
              <w:pStyle w:val="12"/>
            </w:pPr>
            <w:r>
              <w:t>满意度指标</w:t>
            </w:r>
          </w:p>
        </w:tc>
        <w:tc>
          <w:tcPr>
            <w:tcW w:w="2268" w:type="dxa"/>
            <w:vAlign w:val="center"/>
          </w:tcPr>
          <w:p w14:paraId="13E962D7">
            <w:pPr>
              <w:pStyle w:val="13"/>
            </w:pPr>
            <w:r>
              <w:t>服务对象满意度指标</w:t>
            </w:r>
          </w:p>
        </w:tc>
        <w:tc>
          <w:tcPr>
            <w:tcW w:w="2835" w:type="dxa"/>
            <w:vAlign w:val="center"/>
          </w:tcPr>
          <w:p w14:paraId="3BDC2D08">
            <w:pPr>
              <w:pStyle w:val="13"/>
            </w:pPr>
            <w:r>
              <w:t>受益学生家长及调查满意度</w:t>
            </w:r>
          </w:p>
        </w:tc>
        <w:tc>
          <w:tcPr>
            <w:tcW w:w="5386" w:type="dxa"/>
            <w:vAlign w:val="center"/>
          </w:tcPr>
          <w:p w14:paraId="07B1CF03">
            <w:pPr>
              <w:pStyle w:val="13"/>
            </w:pPr>
            <w:r>
              <w:t>学生、教师及家长对学校工作满意度情况</w:t>
            </w:r>
          </w:p>
        </w:tc>
        <w:tc>
          <w:tcPr>
            <w:tcW w:w="1778" w:type="dxa"/>
            <w:vAlign w:val="center"/>
          </w:tcPr>
          <w:p w14:paraId="6103473F">
            <w:pPr>
              <w:pStyle w:val="13"/>
            </w:pPr>
            <w:r>
              <w:t>≥95%</w:t>
            </w:r>
          </w:p>
        </w:tc>
        <w:tc>
          <w:tcPr>
            <w:tcW w:w="1766" w:type="dxa"/>
            <w:vAlign w:val="center"/>
          </w:tcPr>
          <w:p w14:paraId="03692E85">
            <w:pPr>
              <w:pStyle w:val="13"/>
            </w:pPr>
            <w:r>
              <w:t>城乡义务教育公用经费管理办法</w:t>
            </w:r>
          </w:p>
        </w:tc>
      </w:tr>
    </w:tbl>
    <w:p w14:paraId="0DB41FFA">
      <w:pPr>
        <w:sectPr>
          <w:pgSz w:w="16840" w:h="11900" w:orient="landscape"/>
          <w:pgMar w:top="1361" w:right="1020" w:bottom="1134" w:left="1020" w:header="720" w:footer="720" w:gutter="0"/>
          <w:cols w:space="720" w:num="1"/>
        </w:sectPr>
      </w:pPr>
    </w:p>
    <w:p w14:paraId="07A6B187">
      <w:pPr>
        <w:spacing w:before="0" w:after="0"/>
        <w:ind w:firstLine="560"/>
        <w:jc w:val="left"/>
        <w:outlineLvl w:val="9"/>
      </w:pPr>
      <w:r>
        <w:rPr>
          <w:rFonts w:ascii="方正仿宋_GBK" w:hAnsi="方正仿宋_GBK" w:eastAsia="方正仿宋_GBK" w:cs="方正仿宋_GBK"/>
          <w:b/>
          <w:color w:val="000000"/>
          <w:sz w:val="28"/>
        </w:rPr>
        <w:t>13、冀财教[2024]123号/中央/2025年义教补助经费/泽畔小学公用经费绩效目标表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F2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2EB26">
            <w:pPr>
              <w:pStyle w:val="14"/>
            </w:pPr>
            <w:r>
              <w:t>单位：万元</w:t>
            </w:r>
          </w:p>
        </w:tc>
      </w:tr>
      <w:tr w14:paraId="77C27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71EC5">
            <w:pPr>
              <w:pStyle w:val="11"/>
            </w:pPr>
            <w:r>
              <w:t>项目编码</w:t>
            </w:r>
          </w:p>
        </w:tc>
        <w:tc>
          <w:tcPr>
            <w:tcW w:w="5103" w:type="dxa"/>
            <w:gridSpan w:val="2"/>
            <w:vAlign w:val="center"/>
          </w:tcPr>
          <w:p w14:paraId="5CBD855A">
            <w:pPr>
              <w:pStyle w:val="13"/>
            </w:pPr>
            <w:r>
              <w:t>13052525P00000410077C</w:t>
            </w:r>
          </w:p>
        </w:tc>
        <w:tc>
          <w:tcPr>
            <w:tcW w:w="2835" w:type="dxa"/>
            <w:vAlign w:val="center"/>
          </w:tcPr>
          <w:p w14:paraId="5D799139">
            <w:pPr>
              <w:pStyle w:val="11"/>
            </w:pPr>
            <w:r>
              <w:t>项目名称</w:t>
            </w:r>
          </w:p>
        </w:tc>
        <w:tc>
          <w:tcPr>
            <w:tcW w:w="6095" w:type="dxa"/>
            <w:gridSpan w:val="3"/>
            <w:vAlign w:val="center"/>
          </w:tcPr>
          <w:p w14:paraId="0C9656D6">
            <w:pPr>
              <w:pStyle w:val="13"/>
            </w:pPr>
            <w:r>
              <w:t>冀财教[2024]123号/中央/2025年义教补助经费/泽畔小学公用经费</w:t>
            </w:r>
          </w:p>
        </w:tc>
      </w:tr>
      <w:tr w14:paraId="2B32C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27CFF">
            <w:pPr>
              <w:pStyle w:val="11"/>
            </w:pPr>
            <w:r>
              <w:t>预算规模及资金用途</w:t>
            </w:r>
          </w:p>
        </w:tc>
        <w:tc>
          <w:tcPr>
            <w:tcW w:w="2268" w:type="dxa"/>
            <w:vAlign w:val="center"/>
          </w:tcPr>
          <w:p w14:paraId="47E455AD">
            <w:pPr>
              <w:pStyle w:val="11"/>
            </w:pPr>
            <w:r>
              <w:t>预算数</w:t>
            </w:r>
          </w:p>
        </w:tc>
        <w:tc>
          <w:tcPr>
            <w:tcW w:w="2835" w:type="dxa"/>
            <w:vAlign w:val="center"/>
          </w:tcPr>
          <w:p w14:paraId="26B13A29">
            <w:pPr>
              <w:pStyle w:val="13"/>
            </w:pPr>
            <w:r>
              <w:t>60.78</w:t>
            </w:r>
          </w:p>
        </w:tc>
        <w:tc>
          <w:tcPr>
            <w:tcW w:w="2835" w:type="dxa"/>
            <w:vAlign w:val="center"/>
          </w:tcPr>
          <w:p w14:paraId="393114F6">
            <w:pPr>
              <w:pStyle w:val="11"/>
            </w:pPr>
            <w:r>
              <w:t>其中：财政    资金</w:t>
            </w:r>
          </w:p>
        </w:tc>
        <w:tc>
          <w:tcPr>
            <w:tcW w:w="2551" w:type="dxa"/>
            <w:vAlign w:val="center"/>
          </w:tcPr>
          <w:p w14:paraId="2BDF15AB">
            <w:pPr>
              <w:pStyle w:val="13"/>
            </w:pPr>
            <w:r>
              <w:t>60.78</w:t>
            </w:r>
          </w:p>
        </w:tc>
        <w:tc>
          <w:tcPr>
            <w:tcW w:w="2268" w:type="dxa"/>
            <w:vAlign w:val="center"/>
          </w:tcPr>
          <w:p w14:paraId="6117778B">
            <w:pPr>
              <w:pStyle w:val="11"/>
            </w:pPr>
            <w:r>
              <w:t>其他资金</w:t>
            </w:r>
          </w:p>
        </w:tc>
        <w:tc>
          <w:tcPr>
            <w:tcW w:w="1276" w:type="dxa"/>
            <w:vAlign w:val="center"/>
          </w:tcPr>
          <w:p w14:paraId="0A299B46">
            <w:pPr>
              <w:pStyle w:val="13"/>
            </w:pPr>
            <w:r>
              <w:t xml:space="preserve"> </w:t>
            </w:r>
          </w:p>
        </w:tc>
      </w:tr>
      <w:tr w14:paraId="100F4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267D6"/>
        </w:tc>
        <w:tc>
          <w:tcPr>
            <w:tcW w:w="14033" w:type="dxa"/>
            <w:gridSpan w:val="6"/>
            <w:vAlign w:val="center"/>
          </w:tcPr>
          <w:p w14:paraId="1AE80BE6">
            <w:pPr>
              <w:pStyle w:val="13"/>
            </w:pPr>
            <w:r>
              <w:t>保障义务教育学校正常运转，完成教育教学活动和其他日常工作任务等方面的费用支出。</w:t>
            </w:r>
          </w:p>
        </w:tc>
      </w:tr>
      <w:tr w14:paraId="1FC39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D38DA">
            <w:pPr>
              <w:pStyle w:val="11"/>
            </w:pPr>
            <w:r>
              <w:t>资金支出计划（%）</w:t>
            </w:r>
          </w:p>
        </w:tc>
        <w:tc>
          <w:tcPr>
            <w:tcW w:w="5103" w:type="dxa"/>
            <w:gridSpan w:val="2"/>
            <w:vAlign w:val="center"/>
          </w:tcPr>
          <w:p w14:paraId="085FB99A">
            <w:pPr>
              <w:pStyle w:val="11"/>
            </w:pPr>
            <w:r>
              <w:t>3月底</w:t>
            </w:r>
          </w:p>
        </w:tc>
        <w:tc>
          <w:tcPr>
            <w:tcW w:w="2835" w:type="dxa"/>
            <w:vAlign w:val="center"/>
          </w:tcPr>
          <w:p w14:paraId="3B501E97">
            <w:pPr>
              <w:pStyle w:val="11"/>
            </w:pPr>
            <w:r>
              <w:t>6月底</w:t>
            </w:r>
          </w:p>
        </w:tc>
        <w:tc>
          <w:tcPr>
            <w:tcW w:w="2551" w:type="dxa"/>
            <w:vAlign w:val="center"/>
          </w:tcPr>
          <w:p w14:paraId="643A1DCC">
            <w:pPr>
              <w:pStyle w:val="11"/>
            </w:pPr>
            <w:r>
              <w:t>10月底</w:t>
            </w:r>
          </w:p>
        </w:tc>
        <w:tc>
          <w:tcPr>
            <w:tcW w:w="3544" w:type="dxa"/>
            <w:gridSpan w:val="2"/>
            <w:vAlign w:val="center"/>
          </w:tcPr>
          <w:p w14:paraId="6EDC1361">
            <w:pPr>
              <w:pStyle w:val="11"/>
            </w:pPr>
            <w:r>
              <w:t>12月底</w:t>
            </w:r>
          </w:p>
        </w:tc>
      </w:tr>
      <w:tr w14:paraId="7A6DA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9E381"/>
        </w:tc>
        <w:tc>
          <w:tcPr>
            <w:tcW w:w="5103" w:type="dxa"/>
            <w:gridSpan w:val="2"/>
            <w:vAlign w:val="center"/>
          </w:tcPr>
          <w:p w14:paraId="17627B3C">
            <w:pPr>
              <w:pStyle w:val="12"/>
            </w:pPr>
            <w:r>
              <w:t>25%</w:t>
            </w:r>
          </w:p>
        </w:tc>
        <w:tc>
          <w:tcPr>
            <w:tcW w:w="2835" w:type="dxa"/>
            <w:vAlign w:val="center"/>
          </w:tcPr>
          <w:p w14:paraId="1EAAC052">
            <w:pPr>
              <w:pStyle w:val="12"/>
            </w:pPr>
            <w:r>
              <w:t>50%</w:t>
            </w:r>
          </w:p>
        </w:tc>
        <w:tc>
          <w:tcPr>
            <w:tcW w:w="2551" w:type="dxa"/>
            <w:vAlign w:val="center"/>
          </w:tcPr>
          <w:p w14:paraId="29D1AB89">
            <w:pPr>
              <w:pStyle w:val="12"/>
            </w:pPr>
            <w:r>
              <w:t>75%</w:t>
            </w:r>
          </w:p>
        </w:tc>
        <w:tc>
          <w:tcPr>
            <w:tcW w:w="3544" w:type="dxa"/>
            <w:gridSpan w:val="2"/>
            <w:vAlign w:val="center"/>
          </w:tcPr>
          <w:p w14:paraId="26C5F54D">
            <w:pPr>
              <w:pStyle w:val="12"/>
            </w:pPr>
            <w:r>
              <w:t>100%</w:t>
            </w:r>
          </w:p>
        </w:tc>
      </w:tr>
      <w:tr w14:paraId="756EA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FC826">
            <w:pPr>
              <w:pStyle w:val="11"/>
            </w:pPr>
            <w:r>
              <w:t>绩效目标</w:t>
            </w:r>
          </w:p>
        </w:tc>
        <w:tc>
          <w:tcPr>
            <w:tcW w:w="14033" w:type="dxa"/>
            <w:gridSpan w:val="6"/>
            <w:vAlign w:val="center"/>
          </w:tcPr>
          <w:p w14:paraId="4933BBC2">
            <w:pPr>
              <w:pStyle w:val="13"/>
            </w:pPr>
            <w:r>
              <w:t>1.保障义务教育学校正常运转，完成教育教学活动和其他日常工作任务等方面的费用支出。</w:t>
            </w:r>
          </w:p>
          <w:p w14:paraId="295BD01F">
            <w:pPr>
              <w:pStyle w:val="13"/>
            </w:pPr>
            <w:r>
              <w:t>2.按规定拨付公用经费资金60.784万元，资金拨付率达到100%。</w:t>
            </w:r>
          </w:p>
        </w:tc>
      </w:tr>
    </w:tbl>
    <w:p w14:paraId="5DAE41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08"/>
        <w:gridCol w:w="2036"/>
      </w:tblGrid>
      <w:tr w14:paraId="44A3B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34691">
            <w:pPr>
              <w:pStyle w:val="11"/>
            </w:pPr>
            <w:r>
              <w:t>一级指标</w:t>
            </w:r>
          </w:p>
        </w:tc>
        <w:tc>
          <w:tcPr>
            <w:tcW w:w="2268" w:type="dxa"/>
            <w:vAlign w:val="center"/>
          </w:tcPr>
          <w:p w14:paraId="2A2ED89B">
            <w:pPr>
              <w:pStyle w:val="11"/>
            </w:pPr>
            <w:r>
              <w:t>二级指标</w:t>
            </w:r>
          </w:p>
        </w:tc>
        <w:tc>
          <w:tcPr>
            <w:tcW w:w="2835" w:type="dxa"/>
            <w:vAlign w:val="center"/>
          </w:tcPr>
          <w:p w14:paraId="606A254E">
            <w:pPr>
              <w:pStyle w:val="11"/>
            </w:pPr>
            <w:r>
              <w:t>三级指标</w:t>
            </w:r>
          </w:p>
        </w:tc>
        <w:tc>
          <w:tcPr>
            <w:tcW w:w="5386" w:type="dxa"/>
            <w:vAlign w:val="center"/>
          </w:tcPr>
          <w:p w14:paraId="16C3178A">
            <w:pPr>
              <w:pStyle w:val="11"/>
            </w:pPr>
            <w:r>
              <w:t>绩效指标描述</w:t>
            </w:r>
          </w:p>
        </w:tc>
        <w:tc>
          <w:tcPr>
            <w:tcW w:w="1508" w:type="dxa"/>
            <w:vAlign w:val="center"/>
          </w:tcPr>
          <w:p w14:paraId="08F03A53">
            <w:pPr>
              <w:pStyle w:val="11"/>
            </w:pPr>
            <w:r>
              <w:t>指标值</w:t>
            </w:r>
          </w:p>
        </w:tc>
        <w:tc>
          <w:tcPr>
            <w:tcW w:w="2036" w:type="dxa"/>
            <w:vAlign w:val="center"/>
          </w:tcPr>
          <w:p w14:paraId="7CA73E67">
            <w:pPr>
              <w:pStyle w:val="11"/>
            </w:pPr>
            <w:r>
              <w:t>指标值确定依据</w:t>
            </w:r>
          </w:p>
        </w:tc>
      </w:tr>
      <w:tr w14:paraId="7E4AF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9A2B4">
            <w:pPr>
              <w:pStyle w:val="12"/>
            </w:pPr>
            <w:r>
              <w:t>产出指标</w:t>
            </w:r>
          </w:p>
        </w:tc>
        <w:tc>
          <w:tcPr>
            <w:tcW w:w="2268" w:type="dxa"/>
            <w:vAlign w:val="center"/>
          </w:tcPr>
          <w:p w14:paraId="0F939FD9">
            <w:pPr>
              <w:pStyle w:val="13"/>
            </w:pPr>
            <w:r>
              <w:t>数量指标</w:t>
            </w:r>
          </w:p>
        </w:tc>
        <w:tc>
          <w:tcPr>
            <w:tcW w:w="2835" w:type="dxa"/>
            <w:vAlign w:val="center"/>
          </w:tcPr>
          <w:p w14:paraId="5CD4DD07">
            <w:pPr>
              <w:pStyle w:val="13"/>
            </w:pPr>
            <w:r>
              <w:t>生均拨款标准</w:t>
            </w:r>
          </w:p>
        </w:tc>
        <w:tc>
          <w:tcPr>
            <w:tcW w:w="5386" w:type="dxa"/>
            <w:vAlign w:val="center"/>
          </w:tcPr>
          <w:p w14:paraId="52480CB2">
            <w:pPr>
              <w:pStyle w:val="13"/>
            </w:pPr>
            <w:r>
              <w:t>小学生公用经费生均小学720元。取暖费140元/生/年，随班就读学生补助6000元/生</w:t>
            </w:r>
          </w:p>
        </w:tc>
        <w:tc>
          <w:tcPr>
            <w:tcW w:w="1508" w:type="dxa"/>
            <w:vAlign w:val="center"/>
          </w:tcPr>
          <w:p w14:paraId="319EFC62">
            <w:pPr>
              <w:pStyle w:val="13"/>
            </w:pPr>
            <w:r>
              <w:t>840元</w:t>
            </w:r>
          </w:p>
        </w:tc>
        <w:tc>
          <w:tcPr>
            <w:tcW w:w="2036" w:type="dxa"/>
            <w:vAlign w:val="center"/>
          </w:tcPr>
          <w:p w14:paraId="1ECD346C">
            <w:pPr>
              <w:pStyle w:val="13"/>
            </w:pPr>
            <w:r>
              <w:t>城乡义务教育公用经费管理办法</w:t>
            </w:r>
          </w:p>
        </w:tc>
      </w:tr>
      <w:tr w14:paraId="63407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4D692"/>
        </w:tc>
        <w:tc>
          <w:tcPr>
            <w:tcW w:w="2268" w:type="dxa"/>
            <w:vAlign w:val="center"/>
          </w:tcPr>
          <w:p w14:paraId="6A2E0BBB">
            <w:pPr>
              <w:pStyle w:val="13"/>
            </w:pPr>
            <w:r>
              <w:t>质量指标</w:t>
            </w:r>
          </w:p>
        </w:tc>
        <w:tc>
          <w:tcPr>
            <w:tcW w:w="2835" w:type="dxa"/>
            <w:vAlign w:val="center"/>
          </w:tcPr>
          <w:p w14:paraId="5B4D508B">
            <w:pPr>
              <w:pStyle w:val="13"/>
            </w:pPr>
            <w:r>
              <w:t>就读学生数</w:t>
            </w:r>
          </w:p>
        </w:tc>
        <w:tc>
          <w:tcPr>
            <w:tcW w:w="5386" w:type="dxa"/>
            <w:vAlign w:val="center"/>
          </w:tcPr>
          <w:p w14:paraId="462E13A5">
            <w:pPr>
              <w:pStyle w:val="13"/>
            </w:pPr>
            <w:r>
              <w:t>辐射区域内适龄学生人数</w:t>
            </w:r>
          </w:p>
        </w:tc>
        <w:tc>
          <w:tcPr>
            <w:tcW w:w="1508" w:type="dxa"/>
            <w:vAlign w:val="center"/>
          </w:tcPr>
          <w:p w14:paraId="314D5C0E">
            <w:pPr>
              <w:pStyle w:val="13"/>
            </w:pPr>
            <w:r>
              <w:t>932人</w:t>
            </w:r>
          </w:p>
        </w:tc>
        <w:tc>
          <w:tcPr>
            <w:tcW w:w="2036" w:type="dxa"/>
            <w:vAlign w:val="center"/>
          </w:tcPr>
          <w:p w14:paraId="1A8BFE5D">
            <w:pPr>
              <w:pStyle w:val="13"/>
            </w:pPr>
            <w:r>
              <w:t>城乡义务教育公用经费管理办法</w:t>
            </w:r>
          </w:p>
        </w:tc>
      </w:tr>
      <w:tr w14:paraId="4838A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07816"/>
        </w:tc>
        <w:tc>
          <w:tcPr>
            <w:tcW w:w="2268" w:type="dxa"/>
            <w:vAlign w:val="center"/>
          </w:tcPr>
          <w:p w14:paraId="4E84FD2B">
            <w:pPr>
              <w:pStyle w:val="13"/>
            </w:pPr>
            <w:r>
              <w:t>时效指标</w:t>
            </w:r>
          </w:p>
        </w:tc>
        <w:tc>
          <w:tcPr>
            <w:tcW w:w="2835" w:type="dxa"/>
            <w:vAlign w:val="center"/>
          </w:tcPr>
          <w:p w14:paraId="2EF8DEED">
            <w:pPr>
              <w:pStyle w:val="13"/>
            </w:pPr>
            <w:r>
              <w:t>预算执行率</w:t>
            </w:r>
          </w:p>
        </w:tc>
        <w:tc>
          <w:tcPr>
            <w:tcW w:w="5386" w:type="dxa"/>
            <w:vAlign w:val="center"/>
          </w:tcPr>
          <w:p w14:paraId="6C60BFE8">
            <w:pPr>
              <w:pStyle w:val="13"/>
            </w:pPr>
            <w:r>
              <w:t>预算执行率≥98%</w:t>
            </w:r>
          </w:p>
        </w:tc>
        <w:tc>
          <w:tcPr>
            <w:tcW w:w="1508" w:type="dxa"/>
            <w:vAlign w:val="center"/>
          </w:tcPr>
          <w:p w14:paraId="6940B573">
            <w:pPr>
              <w:pStyle w:val="13"/>
            </w:pPr>
            <w:r>
              <w:t>≥98%</w:t>
            </w:r>
          </w:p>
        </w:tc>
        <w:tc>
          <w:tcPr>
            <w:tcW w:w="2036" w:type="dxa"/>
            <w:vAlign w:val="center"/>
          </w:tcPr>
          <w:p w14:paraId="7E7F859F">
            <w:pPr>
              <w:pStyle w:val="13"/>
            </w:pPr>
            <w:r>
              <w:t>城乡义务教育公用经费管理办法</w:t>
            </w:r>
          </w:p>
        </w:tc>
      </w:tr>
      <w:tr w14:paraId="4625D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5ED82"/>
        </w:tc>
        <w:tc>
          <w:tcPr>
            <w:tcW w:w="2268" w:type="dxa"/>
            <w:vAlign w:val="center"/>
          </w:tcPr>
          <w:p w14:paraId="3128D5A6">
            <w:pPr>
              <w:pStyle w:val="13"/>
            </w:pPr>
            <w:r>
              <w:t>成本指标</w:t>
            </w:r>
          </w:p>
        </w:tc>
        <w:tc>
          <w:tcPr>
            <w:tcW w:w="2835" w:type="dxa"/>
            <w:vAlign w:val="center"/>
          </w:tcPr>
          <w:p w14:paraId="68B6F320">
            <w:pPr>
              <w:pStyle w:val="13"/>
            </w:pPr>
            <w:r>
              <w:t>义教经费支付完成率</w:t>
            </w:r>
          </w:p>
        </w:tc>
        <w:tc>
          <w:tcPr>
            <w:tcW w:w="5386" w:type="dxa"/>
            <w:vAlign w:val="center"/>
          </w:tcPr>
          <w:p w14:paraId="16E4DC4E">
            <w:pPr>
              <w:pStyle w:val="13"/>
            </w:pPr>
            <w:r>
              <w:t>按照序时进度完成资金支付</w:t>
            </w:r>
          </w:p>
        </w:tc>
        <w:tc>
          <w:tcPr>
            <w:tcW w:w="1508" w:type="dxa"/>
            <w:vAlign w:val="center"/>
          </w:tcPr>
          <w:p w14:paraId="6D77C265">
            <w:pPr>
              <w:pStyle w:val="13"/>
            </w:pPr>
            <w:r>
              <w:t>100%</w:t>
            </w:r>
          </w:p>
        </w:tc>
        <w:tc>
          <w:tcPr>
            <w:tcW w:w="2036" w:type="dxa"/>
            <w:vAlign w:val="center"/>
          </w:tcPr>
          <w:p w14:paraId="04167E98">
            <w:pPr>
              <w:pStyle w:val="13"/>
            </w:pPr>
            <w:r>
              <w:t>城乡义务教育公用经费管理办法</w:t>
            </w:r>
          </w:p>
        </w:tc>
      </w:tr>
      <w:tr w14:paraId="4FA40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E59AD8">
            <w:pPr>
              <w:pStyle w:val="12"/>
            </w:pPr>
            <w:r>
              <w:t>效益指标</w:t>
            </w:r>
          </w:p>
        </w:tc>
        <w:tc>
          <w:tcPr>
            <w:tcW w:w="2268" w:type="dxa"/>
            <w:vAlign w:val="center"/>
          </w:tcPr>
          <w:p w14:paraId="3B2271B6">
            <w:pPr>
              <w:pStyle w:val="13"/>
            </w:pPr>
            <w:r>
              <w:t>可持续影响指标</w:t>
            </w:r>
          </w:p>
        </w:tc>
        <w:tc>
          <w:tcPr>
            <w:tcW w:w="2835" w:type="dxa"/>
            <w:vAlign w:val="center"/>
          </w:tcPr>
          <w:p w14:paraId="27A299E8">
            <w:pPr>
              <w:pStyle w:val="13"/>
            </w:pPr>
            <w:r>
              <w:t>学校运转得到提高</w:t>
            </w:r>
          </w:p>
        </w:tc>
        <w:tc>
          <w:tcPr>
            <w:tcW w:w="5386" w:type="dxa"/>
            <w:vAlign w:val="center"/>
          </w:tcPr>
          <w:p w14:paraId="6011194B">
            <w:pPr>
              <w:pStyle w:val="13"/>
            </w:pPr>
            <w:r>
              <w:t>学生受教育年限</w:t>
            </w:r>
          </w:p>
        </w:tc>
        <w:tc>
          <w:tcPr>
            <w:tcW w:w="1508" w:type="dxa"/>
            <w:vAlign w:val="center"/>
          </w:tcPr>
          <w:p w14:paraId="26BA3C85">
            <w:pPr>
              <w:pStyle w:val="13"/>
            </w:pPr>
            <w:r>
              <w:t>6年</w:t>
            </w:r>
          </w:p>
        </w:tc>
        <w:tc>
          <w:tcPr>
            <w:tcW w:w="2036" w:type="dxa"/>
            <w:vAlign w:val="center"/>
          </w:tcPr>
          <w:p w14:paraId="166A092F">
            <w:pPr>
              <w:pStyle w:val="13"/>
            </w:pPr>
            <w:r>
              <w:t>城乡义务教育公用经费管理办法</w:t>
            </w:r>
          </w:p>
        </w:tc>
      </w:tr>
      <w:tr w14:paraId="28B3D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AB9FB">
            <w:pPr>
              <w:pStyle w:val="12"/>
            </w:pPr>
            <w:r>
              <w:t>满意度指标</w:t>
            </w:r>
          </w:p>
        </w:tc>
        <w:tc>
          <w:tcPr>
            <w:tcW w:w="2268" w:type="dxa"/>
            <w:vAlign w:val="center"/>
          </w:tcPr>
          <w:p w14:paraId="4C5647B7">
            <w:pPr>
              <w:pStyle w:val="13"/>
            </w:pPr>
            <w:r>
              <w:t>服务对象满意度指标</w:t>
            </w:r>
          </w:p>
        </w:tc>
        <w:tc>
          <w:tcPr>
            <w:tcW w:w="2835" w:type="dxa"/>
            <w:vAlign w:val="center"/>
          </w:tcPr>
          <w:p w14:paraId="0FF7E473">
            <w:pPr>
              <w:pStyle w:val="13"/>
            </w:pPr>
            <w:r>
              <w:t>服务对象满意度</w:t>
            </w:r>
          </w:p>
        </w:tc>
        <w:tc>
          <w:tcPr>
            <w:tcW w:w="5386" w:type="dxa"/>
            <w:vAlign w:val="center"/>
          </w:tcPr>
          <w:p w14:paraId="35C200D2">
            <w:pPr>
              <w:pStyle w:val="13"/>
            </w:pPr>
            <w:r>
              <w:t>学校老师和学生满意度</w:t>
            </w:r>
          </w:p>
        </w:tc>
        <w:tc>
          <w:tcPr>
            <w:tcW w:w="1508" w:type="dxa"/>
            <w:vAlign w:val="center"/>
          </w:tcPr>
          <w:p w14:paraId="0DE2D225">
            <w:pPr>
              <w:pStyle w:val="13"/>
            </w:pPr>
            <w:r>
              <w:t>≥95%</w:t>
            </w:r>
          </w:p>
        </w:tc>
        <w:tc>
          <w:tcPr>
            <w:tcW w:w="2036" w:type="dxa"/>
            <w:vAlign w:val="center"/>
          </w:tcPr>
          <w:p w14:paraId="40E83593">
            <w:pPr>
              <w:pStyle w:val="13"/>
            </w:pPr>
            <w:r>
              <w:t>城乡义务教育公用经费管理办法</w:t>
            </w:r>
          </w:p>
        </w:tc>
      </w:tr>
    </w:tbl>
    <w:p w14:paraId="376B9069">
      <w:pPr>
        <w:sectPr>
          <w:pgSz w:w="16840" w:h="11900" w:orient="landscape"/>
          <w:pgMar w:top="1361" w:right="1020" w:bottom="1134" w:left="1020" w:header="720" w:footer="720" w:gutter="0"/>
          <w:cols w:space="720" w:num="1"/>
        </w:sectPr>
      </w:pPr>
    </w:p>
    <w:p w14:paraId="0EA005F4">
      <w:pPr>
        <w:spacing w:before="0" w:after="0"/>
        <w:ind w:firstLine="560"/>
        <w:jc w:val="left"/>
        <w:outlineLvl w:val="9"/>
      </w:pPr>
      <w:r>
        <w:rPr>
          <w:rFonts w:ascii="方正仿宋_GBK" w:hAnsi="方正仿宋_GBK" w:eastAsia="方正仿宋_GBK" w:cs="方正仿宋_GBK"/>
          <w:b/>
          <w:color w:val="000000"/>
          <w:sz w:val="28"/>
        </w:rPr>
        <w:t>14、冀财教[2024]123号/中央/2025年义教补助经费/周村小学公用经费绩效目标表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2C9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F52C3">
            <w:pPr>
              <w:pStyle w:val="14"/>
            </w:pPr>
            <w:r>
              <w:t>单位：万元</w:t>
            </w:r>
          </w:p>
        </w:tc>
      </w:tr>
      <w:tr w14:paraId="11D21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E7FEDA">
            <w:pPr>
              <w:pStyle w:val="11"/>
            </w:pPr>
            <w:r>
              <w:t>项目编码</w:t>
            </w:r>
          </w:p>
        </w:tc>
        <w:tc>
          <w:tcPr>
            <w:tcW w:w="5103" w:type="dxa"/>
            <w:gridSpan w:val="2"/>
            <w:vAlign w:val="center"/>
          </w:tcPr>
          <w:p w14:paraId="6A0E80EA">
            <w:pPr>
              <w:pStyle w:val="13"/>
            </w:pPr>
            <w:r>
              <w:t>13052525P00000410074H</w:t>
            </w:r>
          </w:p>
        </w:tc>
        <w:tc>
          <w:tcPr>
            <w:tcW w:w="2835" w:type="dxa"/>
            <w:vAlign w:val="center"/>
          </w:tcPr>
          <w:p w14:paraId="569E857A">
            <w:pPr>
              <w:pStyle w:val="11"/>
            </w:pPr>
            <w:r>
              <w:t>项目名称</w:t>
            </w:r>
          </w:p>
        </w:tc>
        <w:tc>
          <w:tcPr>
            <w:tcW w:w="6095" w:type="dxa"/>
            <w:gridSpan w:val="3"/>
            <w:vAlign w:val="center"/>
          </w:tcPr>
          <w:p w14:paraId="0F1DB04B">
            <w:pPr>
              <w:pStyle w:val="13"/>
            </w:pPr>
            <w:r>
              <w:t>冀财教[2024]123号/中央/2025年义教补助经费/周村小学公用经费</w:t>
            </w:r>
          </w:p>
        </w:tc>
      </w:tr>
      <w:tr w14:paraId="6700A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D1A54">
            <w:pPr>
              <w:pStyle w:val="11"/>
            </w:pPr>
            <w:r>
              <w:t>预算规模及资金用途</w:t>
            </w:r>
          </w:p>
        </w:tc>
        <w:tc>
          <w:tcPr>
            <w:tcW w:w="2268" w:type="dxa"/>
            <w:vAlign w:val="center"/>
          </w:tcPr>
          <w:p w14:paraId="7DD0CFBD">
            <w:pPr>
              <w:pStyle w:val="11"/>
            </w:pPr>
            <w:r>
              <w:t>预算数</w:t>
            </w:r>
          </w:p>
        </w:tc>
        <w:tc>
          <w:tcPr>
            <w:tcW w:w="2835" w:type="dxa"/>
            <w:vAlign w:val="center"/>
          </w:tcPr>
          <w:p w14:paraId="43ADB7B1">
            <w:pPr>
              <w:pStyle w:val="13"/>
            </w:pPr>
            <w:r>
              <w:t>11.60</w:t>
            </w:r>
          </w:p>
        </w:tc>
        <w:tc>
          <w:tcPr>
            <w:tcW w:w="2835" w:type="dxa"/>
            <w:vAlign w:val="center"/>
          </w:tcPr>
          <w:p w14:paraId="08E20066">
            <w:pPr>
              <w:pStyle w:val="11"/>
            </w:pPr>
            <w:r>
              <w:t>其中：财政    资金</w:t>
            </w:r>
          </w:p>
        </w:tc>
        <w:tc>
          <w:tcPr>
            <w:tcW w:w="2551" w:type="dxa"/>
            <w:vAlign w:val="center"/>
          </w:tcPr>
          <w:p w14:paraId="20CDBAD2">
            <w:pPr>
              <w:pStyle w:val="13"/>
            </w:pPr>
            <w:r>
              <w:t>11.60</w:t>
            </w:r>
          </w:p>
        </w:tc>
        <w:tc>
          <w:tcPr>
            <w:tcW w:w="2268" w:type="dxa"/>
            <w:vAlign w:val="center"/>
          </w:tcPr>
          <w:p w14:paraId="3FC296D9">
            <w:pPr>
              <w:pStyle w:val="11"/>
            </w:pPr>
            <w:r>
              <w:t>其他资金</w:t>
            </w:r>
          </w:p>
        </w:tc>
        <w:tc>
          <w:tcPr>
            <w:tcW w:w="1276" w:type="dxa"/>
            <w:vAlign w:val="center"/>
          </w:tcPr>
          <w:p w14:paraId="22BFF5B9">
            <w:pPr>
              <w:pStyle w:val="13"/>
            </w:pPr>
            <w:r>
              <w:t xml:space="preserve"> </w:t>
            </w:r>
          </w:p>
        </w:tc>
      </w:tr>
      <w:tr w14:paraId="77A72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53D68"/>
        </w:tc>
        <w:tc>
          <w:tcPr>
            <w:tcW w:w="14033" w:type="dxa"/>
            <w:gridSpan w:val="6"/>
            <w:vAlign w:val="center"/>
          </w:tcPr>
          <w:p w14:paraId="22D4C73F">
            <w:pPr>
              <w:pStyle w:val="13"/>
            </w:pPr>
            <w:r>
              <w:t>保障义务教育学校正常运转，完成教育教学活动和其他日常工作任务等方面的费用支出。</w:t>
            </w:r>
          </w:p>
        </w:tc>
      </w:tr>
      <w:tr w14:paraId="18529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66F12">
            <w:pPr>
              <w:pStyle w:val="11"/>
            </w:pPr>
            <w:r>
              <w:t>资金支出计划（%）</w:t>
            </w:r>
          </w:p>
        </w:tc>
        <w:tc>
          <w:tcPr>
            <w:tcW w:w="5103" w:type="dxa"/>
            <w:gridSpan w:val="2"/>
            <w:vAlign w:val="center"/>
          </w:tcPr>
          <w:p w14:paraId="030611DC">
            <w:pPr>
              <w:pStyle w:val="11"/>
            </w:pPr>
            <w:r>
              <w:t>3月底</w:t>
            </w:r>
          </w:p>
        </w:tc>
        <w:tc>
          <w:tcPr>
            <w:tcW w:w="2835" w:type="dxa"/>
            <w:vAlign w:val="center"/>
          </w:tcPr>
          <w:p w14:paraId="11E2225B">
            <w:pPr>
              <w:pStyle w:val="11"/>
            </w:pPr>
            <w:r>
              <w:t>6月底</w:t>
            </w:r>
          </w:p>
        </w:tc>
        <w:tc>
          <w:tcPr>
            <w:tcW w:w="2551" w:type="dxa"/>
            <w:vAlign w:val="center"/>
          </w:tcPr>
          <w:p w14:paraId="299B7BF3">
            <w:pPr>
              <w:pStyle w:val="11"/>
            </w:pPr>
            <w:r>
              <w:t>10月底</w:t>
            </w:r>
          </w:p>
        </w:tc>
        <w:tc>
          <w:tcPr>
            <w:tcW w:w="3544" w:type="dxa"/>
            <w:gridSpan w:val="2"/>
            <w:vAlign w:val="center"/>
          </w:tcPr>
          <w:p w14:paraId="58FD9F7D">
            <w:pPr>
              <w:pStyle w:val="11"/>
            </w:pPr>
            <w:r>
              <w:t>12月底</w:t>
            </w:r>
          </w:p>
        </w:tc>
      </w:tr>
      <w:tr w14:paraId="66EB2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2EB55"/>
        </w:tc>
        <w:tc>
          <w:tcPr>
            <w:tcW w:w="5103" w:type="dxa"/>
            <w:gridSpan w:val="2"/>
            <w:vAlign w:val="center"/>
          </w:tcPr>
          <w:p w14:paraId="4D9A2B1E">
            <w:pPr>
              <w:pStyle w:val="12"/>
            </w:pPr>
            <w:r>
              <w:t>25%</w:t>
            </w:r>
          </w:p>
        </w:tc>
        <w:tc>
          <w:tcPr>
            <w:tcW w:w="2835" w:type="dxa"/>
            <w:vAlign w:val="center"/>
          </w:tcPr>
          <w:p w14:paraId="08BB1BBC">
            <w:pPr>
              <w:pStyle w:val="12"/>
            </w:pPr>
            <w:r>
              <w:t>50%</w:t>
            </w:r>
          </w:p>
        </w:tc>
        <w:tc>
          <w:tcPr>
            <w:tcW w:w="2551" w:type="dxa"/>
            <w:vAlign w:val="center"/>
          </w:tcPr>
          <w:p w14:paraId="144980DD">
            <w:pPr>
              <w:pStyle w:val="12"/>
            </w:pPr>
            <w:r>
              <w:t>75%</w:t>
            </w:r>
          </w:p>
        </w:tc>
        <w:tc>
          <w:tcPr>
            <w:tcW w:w="3544" w:type="dxa"/>
            <w:gridSpan w:val="2"/>
            <w:vAlign w:val="center"/>
          </w:tcPr>
          <w:p w14:paraId="240C51E4">
            <w:pPr>
              <w:pStyle w:val="12"/>
            </w:pPr>
            <w:r>
              <w:t>100%</w:t>
            </w:r>
          </w:p>
        </w:tc>
      </w:tr>
      <w:tr w14:paraId="61ECB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23867">
            <w:pPr>
              <w:pStyle w:val="11"/>
            </w:pPr>
            <w:r>
              <w:t>绩效目标</w:t>
            </w:r>
          </w:p>
        </w:tc>
        <w:tc>
          <w:tcPr>
            <w:tcW w:w="14033" w:type="dxa"/>
            <w:gridSpan w:val="6"/>
            <w:vAlign w:val="center"/>
          </w:tcPr>
          <w:p w14:paraId="3B0F9757">
            <w:pPr>
              <w:pStyle w:val="13"/>
            </w:pPr>
            <w:r>
              <w:t>1.保障义务教育学校正常运转，完成教育教学活动和其他日常工作任务等方面的费用支出。</w:t>
            </w:r>
          </w:p>
          <w:p w14:paraId="008F500A">
            <w:pPr>
              <w:pStyle w:val="13"/>
            </w:pPr>
            <w:r>
              <w:t>2.按规定拨付公用经费资金11.604万元，资金拨付率达到100%。</w:t>
            </w:r>
          </w:p>
        </w:tc>
      </w:tr>
    </w:tbl>
    <w:p w14:paraId="46C86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14:paraId="796D7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E5150">
            <w:pPr>
              <w:pStyle w:val="11"/>
            </w:pPr>
            <w:r>
              <w:t>一级指标</w:t>
            </w:r>
          </w:p>
        </w:tc>
        <w:tc>
          <w:tcPr>
            <w:tcW w:w="2268" w:type="dxa"/>
            <w:vAlign w:val="center"/>
          </w:tcPr>
          <w:p w14:paraId="0FC8359E">
            <w:pPr>
              <w:pStyle w:val="11"/>
            </w:pPr>
            <w:r>
              <w:t>二级指标</w:t>
            </w:r>
          </w:p>
        </w:tc>
        <w:tc>
          <w:tcPr>
            <w:tcW w:w="2835" w:type="dxa"/>
            <w:vAlign w:val="center"/>
          </w:tcPr>
          <w:p w14:paraId="2596A5CC">
            <w:pPr>
              <w:pStyle w:val="11"/>
            </w:pPr>
            <w:r>
              <w:t>三级指标</w:t>
            </w:r>
          </w:p>
        </w:tc>
        <w:tc>
          <w:tcPr>
            <w:tcW w:w="5386" w:type="dxa"/>
            <w:vAlign w:val="center"/>
          </w:tcPr>
          <w:p w14:paraId="002B04DC">
            <w:pPr>
              <w:pStyle w:val="11"/>
            </w:pPr>
            <w:r>
              <w:t>绩效指标描述</w:t>
            </w:r>
          </w:p>
        </w:tc>
        <w:tc>
          <w:tcPr>
            <w:tcW w:w="1598" w:type="dxa"/>
            <w:vAlign w:val="center"/>
          </w:tcPr>
          <w:p w14:paraId="1FDF62EE">
            <w:pPr>
              <w:pStyle w:val="11"/>
            </w:pPr>
            <w:r>
              <w:t>指标值</w:t>
            </w:r>
          </w:p>
        </w:tc>
        <w:tc>
          <w:tcPr>
            <w:tcW w:w="1946" w:type="dxa"/>
            <w:vAlign w:val="center"/>
          </w:tcPr>
          <w:p w14:paraId="4B042626">
            <w:pPr>
              <w:pStyle w:val="11"/>
            </w:pPr>
            <w:r>
              <w:t>指标值确定依据</w:t>
            </w:r>
          </w:p>
        </w:tc>
      </w:tr>
      <w:tr w14:paraId="09F3E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0D513">
            <w:pPr>
              <w:pStyle w:val="12"/>
            </w:pPr>
            <w:r>
              <w:t>产出指标</w:t>
            </w:r>
          </w:p>
        </w:tc>
        <w:tc>
          <w:tcPr>
            <w:tcW w:w="2268" w:type="dxa"/>
            <w:vAlign w:val="center"/>
          </w:tcPr>
          <w:p w14:paraId="4BCB0875">
            <w:pPr>
              <w:pStyle w:val="13"/>
            </w:pPr>
            <w:r>
              <w:t>数量指标</w:t>
            </w:r>
          </w:p>
        </w:tc>
        <w:tc>
          <w:tcPr>
            <w:tcW w:w="2835" w:type="dxa"/>
            <w:vAlign w:val="center"/>
          </w:tcPr>
          <w:p w14:paraId="50D364DE">
            <w:pPr>
              <w:pStyle w:val="13"/>
            </w:pPr>
            <w:r>
              <w:t>生均拨款标准</w:t>
            </w:r>
          </w:p>
        </w:tc>
        <w:tc>
          <w:tcPr>
            <w:tcW w:w="5386" w:type="dxa"/>
            <w:vAlign w:val="center"/>
          </w:tcPr>
          <w:p w14:paraId="2CCCA1D7">
            <w:pPr>
              <w:pStyle w:val="13"/>
            </w:pPr>
            <w:r>
              <w:t>小学生公用经费生均小学720元。取暖费140元/生/年，随班就读学生补助6000元/生</w:t>
            </w:r>
          </w:p>
        </w:tc>
        <w:tc>
          <w:tcPr>
            <w:tcW w:w="1598" w:type="dxa"/>
            <w:vAlign w:val="center"/>
          </w:tcPr>
          <w:p w14:paraId="06C4C8F3">
            <w:pPr>
              <w:pStyle w:val="13"/>
            </w:pPr>
            <w:r>
              <w:t>840元</w:t>
            </w:r>
          </w:p>
        </w:tc>
        <w:tc>
          <w:tcPr>
            <w:tcW w:w="1946" w:type="dxa"/>
            <w:vAlign w:val="center"/>
          </w:tcPr>
          <w:p w14:paraId="237F6DD8">
            <w:pPr>
              <w:pStyle w:val="13"/>
            </w:pPr>
            <w:r>
              <w:t>城乡义务教育公用经费管理办法</w:t>
            </w:r>
          </w:p>
        </w:tc>
      </w:tr>
      <w:tr w14:paraId="18986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F8C06"/>
        </w:tc>
        <w:tc>
          <w:tcPr>
            <w:tcW w:w="2268" w:type="dxa"/>
            <w:vAlign w:val="center"/>
          </w:tcPr>
          <w:p w14:paraId="07A506D0">
            <w:pPr>
              <w:pStyle w:val="13"/>
            </w:pPr>
            <w:r>
              <w:t>质量指标</w:t>
            </w:r>
          </w:p>
        </w:tc>
        <w:tc>
          <w:tcPr>
            <w:tcW w:w="2835" w:type="dxa"/>
            <w:vAlign w:val="center"/>
          </w:tcPr>
          <w:p w14:paraId="5EDDCFDC">
            <w:pPr>
              <w:pStyle w:val="13"/>
            </w:pPr>
            <w:r>
              <w:t>就读学生数</w:t>
            </w:r>
          </w:p>
        </w:tc>
        <w:tc>
          <w:tcPr>
            <w:tcW w:w="5386" w:type="dxa"/>
            <w:vAlign w:val="center"/>
          </w:tcPr>
          <w:p w14:paraId="35F46FC5">
            <w:pPr>
              <w:pStyle w:val="13"/>
            </w:pPr>
            <w:r>
              <w:t>辐射区域内适龄学生人数</w:t>
            </w:r>
          </w:p>
        </w:tc>
        <w:tc>
          <w:tcPr>
            <w:tcW w:w="1598" w:type="dxa"/>
            <w:vAlign w:val="center"/>
          </w:tcPr>
          <w:p w14:paraId="12733B33">
            <w:pPr>
              <w:pStyle w:val="13"/>
            </w:pPr>
            <w:r>
              <w:t>196人</w:t>
            </w:r>
          </w:p>
        </w:tc>
        <w:tc>
          <w:tcPr>
            <w:tcW w:w="1946" w:type="dxa"/>
            <w:vAlign w:val="center"/>
          </w:tcPr>
          <w:p w14:paraId="43BFBCB1">
            <w:pPr>
              <w:pStyle w:val="13"/>
            </w:pPr>
            <w:r>
              <w:t>城乡义务教育公用经费管理办法</w:t>
            </w:r>
          </w:p>
        </w:tc>
      </w:tr>
      <w:tr w14:paraId="5CC6E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D4047"/>
        </w:tc>
        <w:tc>
          <w:tcPr>
            <w:tcW w:w="2268" w:type="dxa"/>
            <w:vAlign w:val="center"/>
          </w:tcPr>
          <w:p w14:paraId="7B1D96CB">
            <w:pPr>
              <w:pStyle w:val="13"/>
            </w:pPr>
            <w:r>
              <w:t>时效指标</w:t>
            </w:r>
          </w:p>
        </w:tc>
        <w:tc>
          <w:tcPr>
            <w:tcW w:w="2835" w:type="dxa"/>
            <w:vAlign w:val="center"/>
          </w:tcPr>
          <w:p w14:paraId="78B7A29E">
            <w:pPr>
              <w:pStyle w:val="13"/>
            </w:pPr>
            <w:r>
              <w:t>预算执行率</w:t>
            </w:r>
          </w:p>
        </w:tc>
        <w:tc>
          <w:tcPr>
            <w:tcW w:w="5386" w:type="dxa"/>
            <w:vAlign w:val="center"/>
          </w:tcPr>
          <w:p w14:paraId="3C4FF281">
            <w:pPr>
              <w:pStyle w:val="13"/>
            </w:pPr>
            <w:r>
              <w:t>预算执行率≥98%</w:t>
            </w:r>
          </w:p>
        </w:tc>
        <w:tc>
          <w:tcPr>
            <w:tcW w:w="1598" w:type="dxa"/>
            <w:vAlign w:val="center"/>
          </w:tcPr>
          <w:p w14:paraId="4096795B">
            <w:pPr>
              <w:pStyle w:val="13"/>
            </w:pPr>
            <w:r>
              <w:t>≥98%</w:t>
            </w:r>
          </w:p>
        </w:tc>
        <w:tc>
          <w:tcPr>
            <w:tcW w:w="1946" w:type="dxa"/>
            <w:vAlign w:val="center"/>
          </w:tcPr>
          <w:p w14:paraId="5E21FC6A">
            <w:pPr>
              <w:pStyle w:val="13"/>
            </w:pPr>
            <w:r>
              <w:t>城乡义务教育公用经费管理办法</w:t>
            </w:r>
          </w:p>
        </w:tc>
      </w:tr>
      <w:tr w14:paraId="3A53C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71B94"/>
        </w:tc>
        <w:tc>
          <w:tcPr>
            <w:tcW w:w="2268" w:type="dxa"/>
            <w:vAlign w:val="center"/>
          </w:tcPr>
          <w:p w14:paraId="4830E917">
            <w:pPr>
              <w:pStyle w:val="13"/>
            </w:pPr>
            <w:r>
              <w:t>成本指标</w:t>
            </w:r>
          </w:p>
        </w:tc>
        <w:tc>
          <w:tcPr>
            <w:tcW w:w="2835" w:type="dxa"/>
            <w:vAlign w:val="center"/>
          </w:tcPr>
          <w:p w14:paraId="278FD227">
            <w:pPr>
              <w:pStyle w:val="13"/>
            </w:pPr>
            <w:r>
              <w:t>义教经费支付完成率</w:t>
            </w:r>
          </w:p>
        </w:tc>
        <w:tc>
          <w:tcPr>
            <w:tcW w:w="5386" w:type="dxa"/>
            <w:vAlign w:val="center"/>
          </w:tcPr>
          <w:p w14:paraId="1A7A94B9">
            <w:pPr>
              <w:pStyle w:val="13"/>
            </w:pPr>
            <w:r>
              <w:t>按照序时进度完成资金支付</w:t>
            </w:r>
          </w:p>
        </w:tc>
        <w:tc>
          <w:tcPr>
            <w:tcW w:w="1598" w:type="dxa"/>
            <w:vAlign w:val="center"/>
          </w:tcPr>
          <w:p w14:paraId="6536A221">
            <w:pPr>
              <w:pStyle w:val="13"/>
            </w:pPr>
            <w:r>
              <w:t>100%</w:t>
            </w:r>
          </w:p>
        </w:tc>
        <w:tc>
          <w:tcPr>
            <w:tcW w:w="1946" w:type="dxa"/>
            <w:vAlign w:val="center"/>
          </w:tcPr>
          <w:p w14:paraId="16EC0B32">
            <w:pPr>
              <w:pStyle w:val="13"/>
            </w:pPr>
            <w:r>
              <w:t>城乡义务教育公用经费管理办法</w:t>
            </w:r>
          </w:p>
        </w:tc>
      </w:tr>
      <w:tr w14:paraId="2F221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32C90706">
            <w:pPr>
              <w:pStyle w:val="12"/>
            </w:pPr>
            <w:r>
              <w:t>效益指标</w:t>
            </w:r>
          </w:p>
        </w:tc>
        <w:tc>
          <w:tcPr>
            <w:tcW w:w="2268" w:type="dxa"/>
            <w:vAlign w:val="center"/>
          </w:tcPr>
          <w:p w14:paraId="5D14EDAE">
            <w:pPr>
              <w:pStyle w:val="13"/>
            </w:pPr>
            <w:r>
              <w:t>可持续影响指标</w:t>
            </w:r>
          </w:p>
        </w:tc>
        <w:tc>
          <w:tcPr>
            <w:tcW w:w="2835" w:type="dxa"/>
            <w:vAlign w:val="center"/>
          </w:tcPr>
          <w:p w14:paraId="646ADB06">
            <w:pPr>
              <w:pStyle w:val="13"/>
            </w:pPr>
            <w:r>
              <w:t>学校运转得到提高</w:t>
            </w:r>
          </w:p>
        </w:tc>
        <w:tc>
          <w:tcPr>
            <w:tcW w:w="5386" w:type="dxa"/>
            <w:vAlign w:val="center"/>
          </w:tcPr>
          <w:p w14:paraId="773B581B">
            <w:pPr>
              <w:pStyle w:val="13"/>
            </w:pPr>
            <w:r>
              <w:t>学生受教育年限</w:t>
            </w:r>
          </w:p>
        </w:tc>
        <w:tc>
          <w:tcPr>
            <w:tcW w:w="1598" w:type="dxa"/>
            <w:vAlign w:val="center"/>
          </w:tcPr>
          <w:p w14:paraId="545A402E">
            <w:pPr>
              <w:pStyle w:val="13"/>
            </w:pPr>
            <w:r>
              <w:t>6年</w:t>
            </w:r>
          </w:p>
        </w:tc>
        <w:tc>
          <w:tcPr>
            <w:tcW w:w="1946" w:type="dxa"/>
            <w:vAlign w:val="center"/>
          </w:tcPr>
          <w:p w14:paraId="72164D14">
            <w:pPr>
              <w:pStyle w:val="13"/>
            </w:pPr>
            <w:r>
              <w:t>城乡义务教育公用经费管理办法</w:t>
            </w:r>
          </w:p>
        </w:tc>
      </w:tr>
      <w:tr w14:paraId="1096C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6C9D16E0">
            <w:pPr>
              <w:pStyle w:val="12"/>
            </w:pPr>
            <w:r>
              <w:t>满意度指标</w:t>
            </w:r>
          </w:p>
        </w:tc>
        <w:tc>
          <w:tcPr>
            <w:tcW w:w="2268" w:type="dxa"/>
            <w:vAlign w:val="center"/>
          </w:tcPr>
          <w:p w14:paraId="2538469D">
            <w:pPr>
              <w:pStyle w:val="13"/>
            </w:pPr>
            <w:r>
              <w:t>服务对象满意度指标</w:t>
            </w:r>
          </w:p>
        </w:tc>
        <w:tc>
          <w:tcPr>
            <w:tcW w:w="2835" w:type="dxa"/>
            <w:vAlign w:val="center"/>
          </w:tcPr>
          <w:p w14:paraId="3FDCACDC">
            <w:pPr>
              <w:pStyle w:val="13"/>
            </w:pPr>
            <w:r>
              <w:t>服务对象满意度</w:t>
            </w:r>
          </w:p>
        </w:tc>
        <w:tc>
          <w:tcPr>
            <w:tcW w:w="5386" w:type="dxa"/>
            <w:vAlign w:val="center"/>
          </w:tcPr>
          <w:p w14:paraId="6F5B5110">
            <w:pPr>
              <w:pStyle w:val="13"/>
            </w:pPr>
            <w:r>
              <w:t>学校老师和学生满意度</w:t>
            </w:r>
          </w:p>
        </w:tc>
        <w:tc>
          <w:tcPr>
            <w:tcW w:w="1598" w:type="dxa"/>
            <w:vAlign w:val="center"/>
          </w:tcPr>
          <w:p w14:paraId="15CD7D1A">
            <w:pPr>
              <w:pStyle w:val="13"/>
            </w:pPr>
            <w:r>
              <w:t>≥95%</w:t>
            </w:r>
          </w:p>
        </w:tc>
        <w:tc>
          <w:tcPr>
            <w:tcW w:w="1946" w:type="dxa"/>
            <w:vAlign w:val="center"/>
          </w:tcPr>
          <w:p w14:paraId="571A9EC9">
            <w:pPr>
              <w:pStyle w:val="13"/>
            </w:pPr>
            <w:r>
              <w:t>城乡义务教育公用经费管理办法</w:t>
            </w:r>
          </w:p>
        </w:tc>
      </w:tr>
    </w:tbl>
    <w:p w14:paraId="51662089">
      <w:pPr>
        <w:sectPr>
          <w:pgSz w:w="16840" w:h="11900" w:orient="landscape"/>
          <w:pgMar w:top="1361" w:right="1020" w:bottom="1134" w:left="1020" w:header="720" w:footer="720" w:gutter="0"/>
          <w:cols w:space="720" w:num="1"/>
        </w:sectPr>
      </w:pPr>
    </w:p>
    <w:p w14:paraId="544BB70F">
      <w:pPr>
        <w:spacing w:before="0" w:after="0"/>
        <w:ind w:firstLine="560"/>
        <w:jc w:val="left"/>
        <w:outlineLvl w:val="9"/>
      </w:pPr>
      <w:r>
        <w:rPr>
          <w:rFonts w:ascii="方正仿宋_GBK" w:hAnsi="方正仿宋_GBK" w:eastAsia="方正仿宋_GBK" w:cs="方正仿宋_GBK"/>
          <w:b/>
          <w:color w:val="000000"/>
          <w:sz w:val="28"/>
        </w:rPr>
        <w:t>15、冀财教[2024]123号/中央/2025年义教补助经费/综合奖补/东良小学变压器购置绩效目标表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DD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4CDD1">
            <w:pPr>
              <w:pStyle w:val="14"/>
            </w:pPr>
            <w:r>
              <w:t>单位：万元</w:t>
            </w:r>
          </w:p>
        </w:tc>
      </w:tr>
      <w:tr w14:paraId="350C8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EF693">
            <w:pPr>
              <w:pStyle w:val="11"/>
            </w:pPr>
            <w:r>
              <w:t>项目编码</w:t>
            </w:r>
          </w:p>
        </w:tc>
        <w:tc>
          <w:tcPr>
            <w:tcW w:w="5103" w:type="dxa"/>
            <w:gridSpan w:val="2"/>
            <w:vAlign w:val="center"/>
          </w:tcPr>
          <w:p w14:paraId="6919146C">
            <w:pPr>
              <w:pStyle w:val="13"/>
            </w:pPr>
            <w:r>
              <w:t>13052525P008756102366</w:t>
            </w:r>
          </w:p>
        </w:tc>
        <w:tc>
          <w:tcPr>
            <w:tcW w:w="2835" w:type="dxa"/>
            <w:vAlign w:val="center"/>
          </w:tcPr>
          <w:p w14:paraId="076CFCDC">
            <w:pPr>
              <w:pStyle w:val="11"/>
            </w:pPr>
            <w:r>
              <w:t>项目名称</w:t>
            </w:r>
          </w:p>
        </w:tc>
        <w:tc>
          <w:tcPr>
            <w:tcW w:w="6095" w:type="dxa"/>
            <w:gridSpan w:val="3"/>
            <w:vAlign w:val="center"/>
          </w:tcPr>
          <w:p w14:paraId="1510D40F">
            <w:pPr>
              <w:pStyle w:val="13"/>
            </w:pPr>
            <w:r>
              <w:t>冀财教[2024]123号/中央/2025年义教补助经费/综合奖补/东良小学变压器购置</w:t>
            </w:r>
          </w:p>
        </w:tc>
      </w:tr>
      <w:tr w14:paraId="6C3D8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FF0D5">
            <w:pPr>
              <w:pStyle w:val="11"/>
            </w:pPr>
            <w:r>
              <w:t>预算规模及资金用途</w:t>
            </w:r>
          </w:p>
        </w:tc>
        <w:tc>
          <w:tcPr>
            <w:tcW w:w="2268" w:type="dxa"/>
            <w:vAlign w:val="center"/>
          </w:tcPr>
          <w:p w14:paraId="280F5140">
            <w:pPr>
              <w:pStyle w:val="11"/>
            </w:pPr>
            <w:r>
              <w:t>预算数</w:t>
            </w:r>
          </w:p>
        </w:tc>
        <w:tc>
          <w:tcPr>
            <w:tcW w:w="2835" w:type="dxa"/>
            <w:vAlign w:val="center"/>
          </w:tcPr>
          <w:p w14:paraId="56B2AFEE">
            <w:pPr>
              <w:pStyle w:val="13"/>
            </w:pPr>
            <w:r>
              <w:t>13.00</w:t>
            </w:r>
          </w:p>
        </w:tc>
        <w:tc>
          <w:tcPr>
            <w:tcW w:w="2835" w:type="dxa"/>
            <w:vAlign w:val="center"/>
          </w:tcPr>
          <w:p w14:paraId="26972AE5">
            <w:pPr>
              <w:pStyle w:val="11"/>
            </w:pPr>
            <w:r>
              <w:t>其中：财政    资金</w:t>
            </w:r>
          </w:p>
        </w:tc>
        <w:tc>
          <w:tcPr>
            <w:tcW w:w="2551" w:type="dxa"/>
            <w:vAlign w:val="center"/>
          </w:tcPr>
          <w:p w14:paraId="22D67C6E">
            <w:pPr>
              <w:pStyle w:val="13"/>
            </w:pPr>
            <w:r>
              <w:t>13.00</w:t>
            </w:r>
          </w:p>
        </w:tc>
        <w:tc>
          <w:tcPr>
            <w:tcW w:w="2268" w:type="dxa"/>
            <w:vAlign w:val="center"/>
          </w:tcPr>
          <w:p w14:paraId="0558B8F9">
            <w:pPr>
              <w:pStyle w:val="11"/>
            </w:pPr>
            <w:r>
              <w:t>其他资金</w:t>
            </w:r>
          </w:p>
        </w:tc>
        <w:tc>
          <w:tcPr>
            <w:tcW w:w="1276" w:type="dxa"/>
            <w:vAlign w:val="center"/>
          </w:tcPr>
          <w:p w14:paraId="5AA1374A">
            <w:pPr>
              <w:pStyle w:val="13"/>
            </w:pPr>
            <w:r>
              <w:t xml:space="preserve"> </w:t>
            </w:r>
          </w:p>
        </w:tc>
      </w:tr>
      <w:tr w14:paraId="65DAA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468CA"/>
        </w:tc>
        <w:tc>
          <w:tcPr>
            <w:tcW w:w="14033" w:type="dxa"/>
            <w:gridSpan w:val="6"/>
            <w:vAlign w:val="center"/>
          </w:tcPr>
          <w:p w14:paraId="246DC28A">
            <w:pPr>
              <w:pStyle w:val="13"/>
            </w:pPr>
            <w:r>
              <w:t>为提高教学环境，提升教学质量，现为东良小学购置变压器一台。</w:t>
            </w:r>
          </w:p>
        </w:tc>
      </w:tr>
      <w:tr w14:paraId="1302D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47808">
            <w:pPr>
              <w:pStyle w:val="11"/>
            </w:pPr>
            <w:r>
              <w:t>资金支出计划（%）</w:t>
            </w:r>
          </w:p>
        </w:tc>
        <w:tc>
          <w:tcPr>
            <w:tcW w:w="5103" w:type="dxa"/>
            <w:gridSpan w:val="2"/>
            <w:vAlign w:val="center"/>
          </w:tcPr>
          <w:p w14:paraId="03695B60">
            <w:pPr>
              <w:pStyle w:val="11"/>
            </w:pPr>
            <w:r>
              <w:t>3月底</w:t>
            </w:r>
          </w:p>
        </w:tc>
        <w:tc>
          <w:tcPr>
            <w:tcW w:w="2835" w:type="dxa"/>
            <w:vAlign w:val="center"/>
          </w:tcPr>
          <w:p w14:paraId="6548C7B6">
            <w:pPr>
              <w:pStyle w:val="11"/>
            </w:pPr>
            <w:r>
              <w:t>6月底</w:t>
            </w:r>
          </w:p>
        </w:tc>
        <w:tc>
          <w:tcPr>
            <w:tcW w:w="2551" w:type="dxa"/>
            <w:vAlign w:val="center"/>
          </w:tcPr>
          <w:p w14:paraId="7997888B">
            <w:pPr>
              <w:pStyle w:val="11"/>
            </w:pPr>
            <w:r>
              <w:t>10月底</w:t>
            </w:r>
          </w:p>
        </w:tc>
        <w:tc>
          <w:tcPr>
            <w:tcW w:w="3544" w:type="dxa"/>
            <w:gridSpan w:val="2"/>
            <w:vAlign w:val="center"/>
          </w:tcPr>
          <w:p w14:paraId="09DDC22D">
            <w:pPr>
              <w:pStyle w:val="11"/>
            </w:pPr>
            <w:r>
              <w:t>12月底</w:t>
            </w:r>
          </w:p>
        </w:tc>
      </w:tr>
      <w:tr w14:paraId="63E4E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D1DEDB"/>
        </w:tc>
        <w:tc>
          <w:tcPr>
            <w:tcW w:w="5103" w:type="dxa"/>
            <w:gridSpan w:val="2"/>
            <w:vAlign w:val="center"/>
          </w:tcPr>
          <w:p w14:paraId="5427C465">
            <w:pPr>
              <w:pStyle w:val="12"/>
            </w:pPr>
            <w:r>
              <w:t xml:space="preserve"> </w:t>
            </w:r>
          </w:p>
        </w:tc>
        <w:tc>
          <w:tcPr>
            <w:tcW w:w="2835" w:type="dxa"/>
            <w:vAlign w:val="center"/>
          </w:tcPr>
          <w:p w14:paraId="180DFEF8">
            <w:pPr>
              <w:pStyle w:val="12"/>
            </w:pPr>
            <w:r>
              <w:t>50%</w:t>
            </w:r>
          </w:p>
        </w:tc>
        <w:tc>
          <w:tcPr>
            <w:tcW w:w="2551" w:type="dxa"/>
            <w:vAlign w:val="center"/>
          </w:tcPr>
          <w:p w14:paraId="1ED42F80">
            <w:pPr>
              <w:pStyle w:val="12"/>
            </w:pPr>
            <w:r>
              <w:t xml:space="preserve"> </w:t>
            </w:r>
          </w:p>
        </w:tc>
        <w:tc>
          <w:tcPr>
            <w:tcW w:w="3544" w:type="dxa"/>
            <w:gridSpan w:val="2"/>
            <w:vAlign w:val="center"/>
          </w:tcPr>
          <w:p w14:paraId="733607C5">
            <w:pPr>
              <w:pStyle w:val="12"/>
            </w:pPr>
            <w:r>
              <w:t>100%</w:t>
            </w:r>
          </w:p>
        </w:tc>
      </w:tr>
      <w:tr w14:paraId="180F9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D4475">
            <w:pPr>
              <w:pStyle w:val="11"/>
            </w:pPr>
            <w:r>
              <w:t>绩效目标</w:t>
            </w:r>
          </w:p>
        </w:tc>
        <w:tc>
          <w:tcPr>
            <w:tcW w:w="14033" w:type="dxa"/>
            <w:gridSpan w:val="6"/>
            <w:vAlign w:val="center"/>
          </w:tcPr>
          <w:p w14:paraId="5598DB13">
            <w:pPr>
              <w:pStyle w:val="13"/>
            </w:pPr>
            <w:r>
              <w:t>1.为提高教学环境，提升教学质量，现为东良小学购置变压器一台。</w:t>
            </w:r>
          </w:p>
        </w:tc>
      </w:tr>
    </w:tbl>
    <w:p w14:paraId="5CC31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AF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11512">
            <w:pPr>
              <w:pStyle w:val="11"/>
            </w:pPr>
            <w:r>
              <w:t>一级指标</w:t>
            </w:r>
          </w:p>
        </w:tc>
        <w:tc>
          <w:tcPr>
            <w:tcW w:w="2268" w:type="dxa"/>
            <w:vAlign w:val="center"/>
          </w:tcPr>
          <w:p w14:paraId="391B3192">
            <w:pPr>
              <w:pStyle w:val="11"/>
            </w:pPr>
            <w:r>
              <w:t>二级指标</w:t>
            </w:r>
          </w:p>
        </w:tc>
        <w:tc>
          <w:tcPr>
            <w:tcW w:w="2835" w:type="dxa"/>
            <w:vAlign w:val="center"/>
          </w:tcPr>
          <w:p w14:paraId="08ABA358">
            <w:pPr>
              <w:pStyle w:val="11"/>
            </w:pPr>
            <w:r>
              <w:t>三级指标</w:t>
            </w:r>
          </w:p>
        </w:tc>
        <w:tc>
          <w:tcPr>
            <w:tcW w:w="5386" w:type="dxa"/>
            <w:vAlign w:val="center"/>
          </w:tcPr>
          <w:p w14:paraId="3327C87F">
            <w:pPr>
              <w:pStyle w:val="11"/>
            </w:pPr>
            <w:r>
              <w:t>绩效指标描述</w:t>
            </w:r>
          </w:p>
        </w:tc>
        <w:tc>
          <w:tcPr>
            <w:tcW w:w="2268" w:type="dxa"/>
            <w:vAlign w:val="center"/>
          </w:tcPr>
          <w:p w14:paraId="3BD9F4B1">
            <w:pPr>
              <w:pStyle w:val="11"/>
            </w:pPr>
            <w:r>
              <w:t>指标值</w:t>
            </w:r>
          </w:p>
        </w:tc>
        <w:tc>
          <w:tcPr>
            <w:tcW w:w="1276" w:type="dxa"/>
            <w:vAlign w:val="center"/>
          </w:tcPr>
          <w:p w14:paraId="289F45DF">
            <w:pPr>
              <w:pStyle w:val="11"/>
            </w:pPr>
            <w:r>
              <w:t>指标值确定依据</w:t>
            </w:r>
          </w:p>
        </w:tc>
      </w:tr>
      <w:tr w14:paraId="4A591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2A2EB">
            <w:pPr>
              <w:pStyle w:val="12"/>
            </w:pPr>
            <w:r>
              <w:t>产出指标</w:t>
            </w:r>
          </w:p>
        </w:tc>
        <w:tc>
          <w:tcPr>
            <w:tcW w:w="2268" w:type="dxa"/>
            <w:vAlign w:val="center"/>
          </w:tcPr>
          <w:p w14:paraId="7A6ACA3C">
            <w:pPr>
              <w:pStyle w:val="13"/>
            </w:pPr>
            <w:r>
              <w:t>数量指标</w:t>
            </w:r>
          </w:p>
        </w:tc>
        <w:tc>
          <w:tcPr>
            <w:tcW w:w="2835" w:type="dxa"/>
            <w:vAlign w:val="center"/>
          </w:tcPr>
          <w:p w14:paraId="2881E65E">
            <w:pPr>
              <w:pStyle w:val="13"/>
            </w:pPr>
            <w:r>
              <w:t>购置专用设备购置</w:t>
            </w:r>
          </w:p>
        </w:tc>
        <w:tc>
          <w:tcPr>
            <w:tcW w:w="5386" w:type="dxa"/>
            <w:vAlign w:val="center"/>
          </w:tcPr>
          <w:p w14:paraId="1BE8AC16">
            <w:pPr>
              <w:pStyle w:val="13"/>
            </w:pPr>
            <w:r>
              <w:t>购置变压器</w:t>
            </w:r>
          </w:p>
        </w:tc>
        <w:tc>
          <w:tcPr>
            <w:tcW w:w="2268" w:type="dxa"/>
            <w:vAlign w:val="center"/>
          </w:tcPr>
          <w:p w14:paraId="0EFE6181">
            <w:pPr>
              <w:pStyle w:val="13"/>
            </w:pPr>
            <w:r>
              <w:t>1台</w:t>
            </w:r>
          </w:p>
        </w:tc>
        <w:tc>
          <w:tcPr>
            <w:tcW w:w="1276" w:type="dxa"/>
            <w:vAlign w:val="center"/>
          </w:tcPr>
          <w:p w14:paraId="4F62AB4B">
            <w:pPr>
              <w:pStyle w:val="13"/>
            </w:pPr>
            <w:r>
              <w:t>项目规划</w:t>
            </w:r>
          </w:p>
        </w:tc>
      </w:tr>
      <w:tr w14:paraId="24D98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6C8AC"/>
        </w:tc>
        <w:tc>
          <w:tcPr>
            <w:tcW w:w="2268" w:type="dxa"/>
            <w:vAlign w:val="center"/>
          </w:tcPr>
          <w:p w14:paraId="00C37F03">
            <w:pPr>
              <w:pStyle w:val="13"/>
            </w:pPr>
            <w:r>
              <w:t>质量指标</w:t>
            </w:r>
          </w:p>
        </w:tc>
        <w:tc>
          <w:tcPr>
            <w:tcW w:w="2835" w:type="dxa"/>
            <w:vAlign w:val="center"/>
          </w:tcPr>
          <w:p w14:paraId="5461C603">
            <w:pPr>
              <w:pStyle w:val="13"/>
            </w:pPr>
            <w:r>
              <w:t>购置项目质量合格率</w:t>
            </w:r>
          </w:p>
        </w:tc>
        <w:tc>
          <w:tcPr>
            <w:tcW w:w="5386" w:type="dxa"/>
            <w:vAlign w:val="center"/>
          </w:tcPr>
          <w:p w14:paraId="19D08AC0">
            <w:pPr>
              <w:pStyle w:val="13"/>
            </w:pPr>
            <w:r>
              <w:t>专用设备购置质量合格</w:t>
            </w:r>
          </w:p>
        </w:tc>
        <w:tc>
          <w:tcPr>
            <w:tcW w:w="2268" w:type="dxa"/>
            <w:vAlign w:val="center"/>
          </w:tcPr>
          <w:p w14:paraId="539E6E68">
            <w:pPr>
              <w:pStyle w:val="13"/>
            </w:pPr>
            <w:r>
              <w:t>≥100%</w:t>
            </w:r>
          </w:p>
        </w:tc>
        <w:tc>
          <w:tcPr>
            <w:tcW w:w="1276" w:type="dxa"/>
            <w:vAlign w:val="center"/>
          </w:tcPr>
          <w:p w14:paraId="2819D272">
            <w:pPr>
              <w:pStyle w:val="13"/>
            </w:pPr>
            <w:r>
              <w:t>项目规划</w:t>
            </w:r>
          </w:p>
        </w:tc>
      </w:tr>
      <w:tr w14:paraId="26AC8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4DF9B"/>
        </w:tc>
        <w:tc>
          <w:tcPr>
            <w:tcW w:w="2268" w:type="dxa"/>
            <w:vAlign w:val="center"/>
          </w:tcPr>
          <w:p w14:paraId="5041F3F7">
            <w:pPr>
              <w:pStyle w:val="13"/>
            </w:pPr>
            <w:r>
              <w:t>时效指标</w:t>
            </w:r>
          </w:p>
        </w:tc>
        <w:tc>
          <w:tcPr>
            <w:tcW w:w="2835" w:type="dxa"/>
            <w:vAlign w:val="center"/>
          </w:tcPr>
          <w:p w14:paraId="34C4E124">
            <w:pPr>
              <w:pStyle w:val="13"/>
            </w:pPr>
            <w:r>
              <w:t>按时完成率</w:t>
            </w:r>
          </w:p>
        </w:tc>
        <w:tc>
          <w:tcPr>
            <w:tcW w:w="5386" w:type="dxa"/>
            <w:vAlign w:val="center"/>
          </w:tcPr>
          <w:p w14:paraId="6B90C6FD">
            <w:pPr>
              <w:pStyle w:val="13"/>
            </w:pPr>
            <w:r>
              <w:t>购置项目按时序进度完成比例</w:t>
            </w:r>
          </w:p>
        </w:tc>
        <w:tc>
          <w:tcPr>
            <w:tcW w:w="2268" w:type="dxa"/>
            <w:vAlign w:val="center"/>
          </w:tcPr>
          <w:p w14:paraId="4B3E82F2">
            <w:pPr>
              <w:pStyle w:val="13"/>
            </w:pPr>
            <w:r>
              <w:t>≥100%</w:t>
            </w:r>
          </w:p>
        </w:tc>
        <w:tc>
          <w:tcPr>
            <w:tcW w:w="1276" w:type="dxa"/>
            <w:vAlign w:val="center"/>
          </w:tcPr>
          <w:p w14:paraId="1C2A026A">
            <w:pPr>
              <w:pStyle w:val="13"/>
            </w:pPr>
            <w:r>
              <w:t>项目规划</w:t>
            </w:r>
          </w:p>
        </w:tc>
      </w:tr>
      <w:tr w14:paraId="1586C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A2707"/>
        </w:tc>
        <w:tc>
          <w:tcPr>
            <w:tcW w:w="2268" w:type="dxa"/>
            <w:vAlign w:val="center"/>
          </w:tcPr>
          <w:p w14:paraId="22489CD2">
            <w:pPr>
              <w:pStyle w:val="13"/>
            </w:pPr>
            <w:r>
              <w:t>成本指标</w:t>
            </w:r>
          </w:p>
        </w:tc>
        <w:tc>
          <w:tcPr>
            <w:tcW w:w="2835" w:type="dxa"/>
            <w:vAlign w:val="center"/>
          </w:tcPr>
          <w:p w14:paraId="319A8F5C">
            <w:pPr>
              <w:pStyle w:val="13"/>
            </w:pPr>
            <w:r>
              <w:t>系统安装成本</w:t>
            </w:r>
          </w:p>
        </w:tc>
        <w:tc>
          <w:tcPr>
            <w:tcW w:w="5386" w:type="dxa"/>
            <w:vAlign w:val="center"/>
          </w:tcPr>
          <w:p w14:paraId="61DAFDE6">
            <w:pPr>
              <w:pStyle w:val="13"/>
            </w:pPr>
            <w:r>
              <w:t>专用设备购置安装成本</w:t>
            </w:r>
          </w:p>
        </w:tc>
        <w:tc>
          <w:tcPr>
            <w:tcW w:w="2268" w:type="dxa"/>
            <w:vAlign w:val="center"/>
          </w:tcPr>
          <w:p w14:paraId="7B91269C">
            <w:pPr>
              <w:pStyle w:val="13"/>
            </w:pPr>
            <w:r>
              <w:t>13万元</w:t>
            </w:r>
          </w:p>
        </w:tc>
        <w:tc>
          <w:tcPr>
            <w:tcW w:w="1276" w:type="dxa"/>
            <w:vAlign w:val="center"/>
          </w:tcPr>
          <w:p w14:paraId="1254C6B6">
            <w:pPr>
              <w:pStyle w:val="13"/>
            </w:pPr>
            <w:r>
              <w:t>项目规划</w:t>
            </w:r>
          </w:p>
        </w:tc>
      </w:tr>
      <w:tr w14:paraId="3DE5B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FECAE1">
            <w:pPr>
              <w:pStyle w:val="12"/>
            </w:pPr>
            <w:r>
              <w:t>效益指标</w:t>
            </w:r>
          </w:p>
        </w:tc>
        <w:tc>
          <w:tcPr>
            <w:tcW w:w="2268" w:type="dxa"/>
            <w:vAlign w:val="center"/>
          </w:tcPr>
          <w:p w14:paraId="2467D4B7">
            <w:pPr>
              <w:pStyle w:val="13"/>
            </w:pPr>
            <w:r>
              <w:t>可持续影响指标</w:t>
            </w:r>
          </w:p>
        </w:tc>
        <w:tc>
          <w:tcPr>
            <w:tcW w:w="2835" w:type="dxa"/>
            <w:vAlign w:val="center"/>
          </w:tcPr>
          <w:p w14:paraId="2C820669">
            <w:pPr>
              <w:pStyle w:val="13"/>
            </w:pPr>
            <w:r>
              <w:t>学校运转得到提高</w:t>
            </w:r>
          </w:p>
        </w:tc>
        <w:tc>
          <w:tcPr>
            <w:tcW w:w="5386" w:type="dxa"/>
            <w:vAlign w:val="center"/>
          </w:tcPr>
          <w:p w14:paraId="16E34190">
            <w:pPr>
              <w:pStyle w:val="13"/>
            </w:pPr>
            <w:r>
              <w:t>学生受教育年限</w:t>
            </w:r>
          </w:p>
        </w:tc>
        <w:tc>
          <w:tcPr>
            <w:tcW w:w="2268" w:type="dxa"/>
            <w:vAlign w:val="center"/>
          </w:tcPr>
          <w:p w14:paraId="2385BFB5">
            <w:pPr>
              <w:pStyle w:val="13"/>
            </w:pPr>
            <w:r>
              <w:t>6年</w:t>
            </w:r>
          </w:p>
        </w:tc>
        <w:tc>
          <w:tcPr>
            <w:tcW w:w="1276" w:type="dxa"/>
            <w:vAlign w:val="center"/>
          </w:tcPr>
          <w:p w14:paraId="58EC29FC">
            <w:pPr>
              <w:pStyle w:val="13"/>
            </w:pPr>
            <w:r>
              <w:t>项目规划</w:t>
            </w:r>
          </w:p>
        </w:tc>
      </w:tr>
      <w:tr w14:paraId="2CBA8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444954">
            <w:pPr>
              <w:pStyle w:val="12"/>
            </w:pPr>
            <w:r>
              <w:t>满意度指标</w:t>
            </w:r>
          </w:p>
        </w:tc>
        <w:tc>
          <w:tcPr>
            <w:tcW w:w="2268" w:type="dxa"/>
            <w:vAlign w:val="center"/>
          </w:tcPr>
          <w:p w14:paraId="3CCE73DA">
            <w:pPr>
              <w:pStyle w:val="13"/>
            </w:pPr>
            <w:r>
              <w:t>服务对象满意度指标</w:t>
            </w:r>
          </w:p>
        </w:tc>
        <w:tc>
          <w:tcPr>
            <w:tcW w:w="2835" w:type="dxa"/>
            <w:vAlign w:val="center"/>
          </w:tcPr>
          <w:p w14:paraId="528FFCCB">
            <w:pPr>
              <w:pStyle w:val="13"/>
            </w:pPr>
            <w:r>
              <w:t>学生和家长满意度</w:t>
            </w:r>
          </w:p>
        </w:tc>
        <w:tc>
          <w:tcPr>
            <w:tcW w:w="5386" w:type="dxa"/>
            <w:vAlign w:val="center"/>
          </w:tcPr>
          <w:p w14:paraId="730059BB">
            <w:pPr>
              <w:pStyle w:val="13"/>
            </w:pPr>
            <w:r>
              <w:t>大幅提高学生和学生家长满意度</w:t>
            </w:r>
          </w:p>
        </w:tc>
        <w:tc>
          <w:tcPr>
            <w:tcW w:w="2268" w:type="dxa"/>
            <w:vAlign w:val="center"/>
          </w:tcPr>
          <w:p w14:paraId="3C48DA4B">
            <w:pPr>
              <w:pStyle w:val="13"/>
            </w:pPr>
            <w:r>
              <w:t>≥95%</w:t>
            </w:r>
          </w:p>
        </w:tc>
        <w:tc>
          <w:tcPr>
            <w:tcW w:w="1276" w:type="dxa"/>
            <w:vAlign w:val="center"/>
          </w:tcPr>
          <w:p w14:paraId="307D166C">
            <w:pPr>
              <w:pStyle w:val="13"/>
            </w:pPr>
            <w:r>
              <w:t>项目规划</w:t>
            </w:r>
          </w:p>
        </w:tc>
      </w:tr>
    </w:tbl>
    <w:p w14:paraId="2C0DEEBC">
      <w:pPr>
        <w:sectPr>
          <w:pgSz w:w="16840" w:h="11900" w:orient="landscape"/>
          <w:pgMar w:top="1361" w:right="1020" w:bottom="1134" w:left="1020" w:header="720" w:footer="720" w:gutter="0"/>
          <w:cols w:space="720" w:num="1"/>
        </w:sectPr>
      </w:pPr>
    </w:p>
    <w:p w14:paraId="028D20BD">
      <w:pPr>
        <w:spacing w:before="0" w:after="0"/>
        <w:ind w:firstLine="560"/>
        <w:jc w:val="left"/>
        <w:outlineLvl w:val="9"/>
      </w:pPr>
      <w:r>
        <w:rPr>
          <w:rFonts w:ascii="方正仿宋_GBK" w:hAnsi="方正仿宋_GBK" w:eastAsia="方正仿宋_GBK" w:cs="方正仿宋_GBK"/>
          <w:b/>
          <w:color w:val="000000"/>
          <w:sz w:val="28"/>
        </w:rPr>
        <w:t>16、冀财教[2024]123号/中央/2025年义教补助经费/综合奖补/东良小学餐厅购置绩效目标表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DA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C1CD5">
            <w:pPr>
              <w:pStyle w:val="14"/>
            </w:pPr>
            <w:r>
              <w:t>单位：万元</w:t>
            </w:r>
          </w:p>
        </w:tc>
      </w:tr>
      <w:tr w14:paraId="3A2C7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2D5B6">
            <w:pPr>
              <w:pStyle w:val="11"/>
            </w:pPr>
            <w:r>
              <w:t>项目编码</w:t>
            </w:r>
          </w:p>
        </w:tc>
        <w:tc>
          <w:tcPr>
            <w:tcW w:w="5103" w:type="dxa"/>
            <w:gridSpan w:val="2"/>
            <w:vAlign w:val="center"/>
          </w:tcPr>
          <w:p w14:paraId="59423766">
            <w:pPr>
              <w:pStyle w:val="13"/>
            </w:pPr>
            <w:r>
              <w:t>13052525P00875610237R</w:t>
            </w:r>
          </w:p>
        </w:tc>
        <w:tc>
          <w:tcPr>
            <w:tcW w:w="2835" w:type="dxa"/>
            <w:vAlign w:val="center"/>
          </w:tcPr>
          <w:p w14:paraId="399E4B0A">
            <w:pPr>
              <w:pStyle w:val="11"/>
            </w:pPr>
            <w:r>
              <w:t>项目名称</w:t>
            </w:r>
          </w:p>
        </w:tc>
        <w:tc>
          <w:tcPr>
            <w:tcW w:w="6095" w:type="dxa"/>
            <w:gridSpan w:val="3"/>
            <w:vAlign w:val="center"/>
          </w:tcPr>
          <w:p w14:paraId="3CF2FA46">
            <w:pPr>
              <w:pStyle w:val="13"/>
            </w:pPr>
            <w:r>
              <w:t>冀财教[2024]123号/中央/2025年义教补助经费/综合奖补/东良小学餐厅购置</w:t>
            </w:r>
          </w:p>
        </w:tc>
      </w:tr>
      <w:tr w14:paraId="4FC8C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D4FA7">
            <w:pPr>
              <w:pStyle w:val="11"/>
            </w:pPr>
            <w:r>
              <w:t>预算规模及资金用途</w:t>
            </w:r>
          </w:p>
        </w:tc>
        <w:tc>
          <w:tcPr>
            <w:tcW w:w="2268" w:type="dxa"/>
            <w:vAlign w:val="center"/>
          </w:tcPr>
          <w:p w14:paraId="61F8F285">
            <w:pPr>
              <w:pStyle w:val="11"/>
            </w:pPr>
            <w:r>
              <w:t>预算数</w:t>
            </w:r>
          </w:p>
        </w:tc>
        <w:tc>
          <w:tcPr>
            <w:tcW w:w="2835" w:type="dxa"/>
            <w:vAlign w:val="center"/>
          </w:tcPr>
          <w:p w14:paraId="240A15CB">
            <w:pPr>
              <w:pStyle w:val="13"/>
            </w:pPr>
            <w:r>
              <w:t>14.00</w:t>
            </w:r>
          </w:p>
        </w:tc>
        <w:tc>
          <w:tcPr>
            <w:tcW w:w="2835" w:type="dxa"/>
            <w:vAlign w:val="center"/>
          </w:tcPr>
          <w:p w14:paraId="21F21DD1">
            <w:pPr>
              <w:pStyle w:val="11"/>
            </w:pPr>
            <w:r>
              <w:t>其中：财政    资金</w:t>
            </w:r>
          </w:p>
        </w:tc>
        <w:tc>
          <w:tcPr>
            <w:tcW w:w="2551" w:type="dxa"/>
            <w:vAlign w:val="center"/>
          </w:tcPr>
          <w:p w14:paraId="47721A90">
            <w:pPr>
              <w:pStyle w:val="13"/>
            </w:pPr>
            <w:r>
              <w:t>14.00</w:t>
            </w:r>
          </w:p>
        </w:tc>
        <w:tc>
          <w:tcPr>
            <w:tcW w:w="2268" w:type="dxa"/>
            <w:vAlign w:val="center"/>
          </w:tcPr>
          <w:p w14:paraId="7DAAF34B">
            <w:pPr>
              <w:pStyle w:val="11"/>
            </w:pPr>
            <w:r>
              <w:t>其他资金</w:t>
            </w:r>
          </w:p>
        </w:tc>
        <w:tc>
          <w:tcPr>
            <w:tcW w:w="1276" w:type="dxa"/>
            <w:vAlign w:val="center"/>
          </w:tcPr>
          <w:p w14:paraId="712E34C8">
            <w:pPr>
              <w:pStyle w:val="13"/>
            </w:pPr>
            <w:r>
              <w:t xml:space="preserve"> </w:t>
            </w:r>
          </w:p>
        </w:tc>
      </w:tr>
      <w:tr w14:paraId="610B0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E21BD4"/>
        </w:tc>
        <w:tc>
          <w:tcPr>
            <w:tcW w:w="14033" w:type="dxa"/>
            <w:gridSpan w:val="6"/>
            <w:vAlign w:val="center"/>
          </w:tcPr>
          <w:p w14:paraId="6882580C">
            <w:pPr>
              <w:pStyle w:val="13"/>
            </w:pPr>
            <w:r>
              <w:t>为提高餐厅环境，现为东良小学餐厅购置设备。</w:t>
            </w:r>
          </w:p>
        </w:tc>
      </w:tr>
      <w:tr w14:paraId="3E31C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F3ABE">
            <w:pPr>
              <w:pStyle w:val="11"/>
            </w:pPr>
            <w:r>
              <w:t>资金支出计划（%）</w:t>
            </w:r>
          </w:p>
        </w:tc>
        <w:tc>
          <w:tcPr>
            <w:tcW w:w="5103" w:type="dxa"/>
            <w:gridSpan w:val="2"/>
            <w:vAlign w:val="center"/>
          </w:tcPr>
          <w:p w14:paraId="5651465A">
            <w:pPr>
              <w:pStyle w:val="11"/>
            </w:pPr>
            <w:r>
              <w:t>3月底</w:t>
            </w:r>
          </w:p>
        </w:tc>
        <w:tc>
          <w:tcPr>
            <w:tcW w:w="2835" w:type="dxa"/>
            <w:vAlign w:val="center"/>
          </w:tcPr>
          <w:p w14:paraId="00C69D24">
            <w:pPr>
              <w:pStyle w:val="11"/>
            </w:pPr>
            <w:r>
              <w:t>6月底</w:t>
            </w:r>
          </w:p>
        </w:tc>
        <w:tc>
          <w:tcPr>
            <w:tcW w:w="2551" w:type="dxa"/>
            <w:vAlign w:val="center"/>
          </w:tcPr>
          <w:p w14:paraId="5F751D41">
            <w:pPr>
              <w:pStyle w:val="11"/>
            </w:pPr>
            <w:r>
              <w:t>10月底</w:t>
            </w:r>
          </w:p>
        </w:tc>
        <w:tc>
          <w:tcPr>
            <w:tcW w:w="3544" w:type="dxa"/>
            <w:gridSpan w:val="2"/>
            <w:vAlign w:val="center"/>
          </w:tcPr>
          <w:p w14:paraId="162F9102">
            <w:pPr>
              <w:pStyle w:val="11"/>
            </w:pPr>
            <w:r>
              <w:t>12月底</w:t>
            </w:r>
          </w:p>
        </w:tc>
      </w:tr>
      <w:tr w14:paraId="0A626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957359"/>
        </w:tc>
        <w:tc>
          <w:tcPr>
            <w:tcW w:w="5103" w:type="dxa"/>
            <w:gridSpan w:val="2"/>
            <w:vAlign w:val="center"/>
          </w:tcPr>
          <w:p w14:paraId="03B2C1E9">
            <w:pPr>
              <w:pStyle w:val="12"/>
            </w:pPr>
            <w:r>
              <w:t xml:space="preserve"> </w:t>
            </w:r>
          </w:p>
        </w:tc>
        <w:tc>
          <w:tcPr>
            <w:tcW w:w="2835" w:type="dxa"/>
            <w:vAlign w:val="center"/>
          </w:tcPr>
          <w:p w14:paraId="7BCFBAEA">
            <w:pPr>
              <w:pStyle w:val="12"/>
            </w:pPr>
            <w:r>
              <w:t>50%</w:t>
            </w:r>
          </w:p>
        </w:tc>
        <w:tc>
          <w:tcPr>
            <w:tcW w:w="2551" w:type="dxa"/>
            <w:vAlign w:val="center"/>
          </w:tcPr>
          <w:p w14:paraId="59999D72">
            <w:pPr>
              <w:pStyle w:val="12"/>
            </w:pPr>
            <w:r>
              <w:t xml:space="preserve"> </w:t>
            </w:r>
          </w:p>
        </w:tc>
        <w:tc>
          <w:tcPr>
            <w:tcW w:w="3544" w:type="dxa"/>
            <w:gridSpan w:val="2"/>
            <w:vAlign w:val="center"/>
          </w:tcPr>
          <w:p w14:paraId="23FF4B49">
            <w:pPr>
              <w:pStyle w:val="12"/>
            </w:pPr>
            <w:r>
              <w:t>100%</w:t>
            </w:r>
          </w:p>
        </w:tc>
      </w:tr>
      <w:tr w14:paraId="5DB45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3D921">
            <w:pPr>
              <w:pStyle w:val="11"/>
            </w:pPr>
            <w:r>
              <w:t>绩效目标</w:t>
            </w:r>
          </w:p>
        </w:tc>
        <w:tc>
          <w:tcPr>
            <w:tcW w:w="14033" w:type="dxa"/>
            <w:gridSpan w:val="6"/>
            <w:vAlign w:val="center"/>
          </w:tcPr>
          <w:p w14:paraId="7E9E2768">
            <w:pPr>
              <w:pStyle w:val="13"/>
            </w:pPr>
            <w:r>
              <w:t>1.为提高餐厅环境，现为东良小学餐厅购置设备。</w:t>
            </w:r>
          </w:p>
        </w:tc>
      </w:tr>
    </w:tbl>
    <w:p w14:paraId="4EF031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A5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72FC0">
            <w:pPr>
              <w:pStyle w:val="11"/>
            </w:pPr>
            <w:r>
              <w:t>一级指标</w:t>
            </w:r>
          </w:p>
        </w:tc>
        <w:tc>
          <w:tcPr>
            <w:tcW w:w="2268" w:type="dxa"/>
            <w:vAlign w:val="center"/>
          </w:tcPr>
          <w:p w14:paraId="7274E0C9">
            <w:pPr>
              <w:pStyle w:val="11"/>
            </w:pPr>
            <w:r>
              <w:t>二级指标</w:t>
            </w:r>
          </w:p>
        </w:tc>
        <w:tc>
          <w:tcPr>
            <w:tcW w:w="2835" w:type="dxa"/>
            <w:vAlign w:val="center"/>
          </w:tcPr>
          <w:p w14:paraId="55885385">
            <w:pPr>
              <w:pStyle w:val="11"/>
            </w:pPr>
            <w:r>
              <w:t>三级指标</w:t>
            </w:r>
          </w:p>
        </w:tc>
        <w:tc>
          <w:tcPr>
            <w:tcW w:w="5386" w:type="dxa"/>
            <w:vAlign w:val="center"/>
          </w:tcPr>
          <w:p w14:paraId="3A86BCA0">
            <w:pPr>
              <w:pStyle w:val="11"/>
            </w:pPr>
            <w:r>
              <w:t>绩效指标描述</w:t>
            </w:r>
          </w:p>
        </w:tc>
        <w:tc>
          <w:tcPr>
            <w:tcW w:w="2268" w:type="dxa"/>
            <w:vAlign w:val="center"/>
          </w:tcPr>
          <w:p w14:paraId="4D0ED2E9">
            <w:pPr>
              <w:pStyle w:val="11"/>
            </w:pPr>
            <w:r>
              <w:t>指标值</w:t>
            </w:r>
          </w:p>
        </w:tc>
        <w:tc>
          <w:tcPr>
            <w:tcW w:w="1276" w:type="dxa"/>
            <w:vAlign w:val="center"/>
          </w:tcPr>
          <w:p w14:paraId="0F4BC010">
            <w:pPr>
              <w:pStyle w:val="11"/>
            </w:pPr>
            <w:r>
              <w:t>指标值确定依据</w:t>
            </w:r>
          </w:p>
        </w:tc>
      </w:tr>
      <w:tr w14:paraId="2F350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D0D93">
            <w:pPr>
              <w:pStyle w:val="12"/>
            </w:pPr>
            <w:r>
              <w:t>产出指标</w:t>
            </w:r>
          </w:p>
        </w:tc>
        <w:tc>
          <w:tcPr>
            <w:tcW w:w="2268" w:type="dxa"/>
            <w:vAlign w:val="center"/>
          </w:tcPr>
          <w:p w14:paraId="7CD5F341">
            <w:pPr>
              <w:pStyle w:val="13"/>
            </w:pPr>
            <w:r>
              <w:t>数量指标</w:t>
            </w:r>
          </w:p>
        </w:tc>
        <w:tc>
          <w:tcPr>
            <w:tcW w:w="2835" w:type="dxa"/>
            <w:vAlign w:val="center"/>
          </w:tcPr>
          <w:p w14:paraId="1818DD08">
            <w:pPr>
              <w:pStyle w:val="13"/>
            </w:pPr>
            <w:r>
              <w:t>购置专用设备购置</w:t>
            </w:r>
          </w:p>
        </w:tc>
        <w:tc>
          <w:tcPr>
            <w:tcW w:w="5386" w:type="dxa"/>
            <w:vAlign w:val="center"/>
          </w:tcPr>
          <w:p w14:paraId="5BD36BB0">
            <w:pPr>
              <w:pStyle w:val="13"/>
            </w:pPr>
            <w:r>
              <w:t xml:space="preserve"> 餐厅设备购置</w:t>
            </w:r>
          </w:p>
        </w:tc>
        <w:tc>
          <w:tcPr>
            <w:tcW w:w="2268" w:type="dxa"/>
            <w:vAlign w:val="center"/>
          </w:tcPr>
          <w:p w14:paraId="2D389E91">
            <w:pPr>
              <w:pStyle w:val="13"/>
            </w:pPr>
            <w:r>
              <w:t>1 套</w:t>
            </w:r>
          </w:p>
        </w:tc>
        <w:tc>
          <w:tcPr>
            <w:tcW w:w="1276" w:type="dxa"/>
            <w:vAlign w:val="center"/>
          </w:tcPr>
          <w:p w14:paraId="0C51F3E7">
            <w:pPr>
              <w:pStyle w:val="13"/>
            </w:pPr>
            <w:r>
              <w:t>项目规划</w:t>
            </w:r>
          </w:p>
        </w:tc>
      </w:tr>
      <w:tr w14:paraId="3B3B4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6FE7F"/>
        </w:tc>
        <w:tc>
          <w:tcPr>
            <w:tcW w:w="2268" w:type="dxa"/>
            <w:vAlign w:val="center"/>
          </w:tcPr>
          <w:p w14:paraId="49F73579">
            <w:pPr>
              <w:pStyle w:val="13"/>
            </w:pPr>
            <w:r>
              <w:t>质量指标</w:t>
            </w:r>
          </w:p>
        </w:tc>
        <w:tc>
          <w:tcPr>
            <w:tcW w:w="2835" w:type="dxa"/>
            <w:vAlign w:val="center"/>
          </w:tcPr>
          <w:p w14:paraId="60E2EA8F">
            <w:pPr>
              <w:pStyle w:val="13"/>
            </w:pPr>
            <w:r>
              <w:t>购置项目质量合格率</w:t>
            </w:r>
          </w:p>
        </w:tc>
        <w:tc>
          <w:tcPr>
            <w:tcW w:w="5386" w:type="dxa"/>
            <w:vAlign w:val="center"/>
          </w:tcPr>
          <w:p w14:paraId="7F390737">
            <w:pPr>
              <w:pStyle w:val="13"/>
            </w:pPr>
            <w:r>
              <w:t>专用设备购置质量合格</w:t>
            </w:r>
          </w:p>
        </w:tc>
        <w:tc>
          <w:tcPr>
            <w:tcW w:w="2268" w:type="dxa"/>
            <w:vAlign w:val="center"/>
          </w:tcPr>
          <w:p w14:paraId="7F33D4C4">
            <w:pPr>
              <w:pStyle w:val="13"/>
            </w:pPr>
            <w:r>
              <w:t>≥100%</w:t>
            </w:r>
          </w:p>
        </w:tc>
        <w:tc>
          <w:tcPr>
            <w:tcW w:w="1276" w:type="dxa"/>
            <w:vAlign w:val="center"/>
          </w:tcPr>
          <w:p w14:paraId="198E32A6">
            <w:pPr>
              <w:pStyle w:val="13"/>
            </w:pPr>
            <w:r>
              <w:t>项目规划</w:t>
            </w:r>
          </w:p>
        </w:tc>
      </w:tr>
      <w:tr w14:paraId="45E2F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39900"/>
        </w:tc>
        <w:tc>
          <w:tcPr>
            <w:tcW w:w="2268" w:type="dxa"/>
            <w:vAlign w:val="center"/>
          </w:tcPr>
          <w:p w14:paraId="11C67480">
            <w:pPr>
              <w:pStyle w:val="13"/>
            </w:pPr>
            <w:r>
              <w:t>时效指标</w:t>
            </w:r>
          </w:p>
        </w:tc>
        <w:tc>
          <w:tcPr>
            <w:tcW w:w="2835" w:type="dxa"/>
            <w:vAlign w:val="center"/>
          </w:tcPr>
          <w:p w14:paraId="5C681D6D">
            <w:pPr>
              <w:pStyle w:val="13"/>
            </w:pPr>
            <w:r>
              <w:t>按时完成率</w:t>
            </w:r>
          </w:p>
        </w:tc>
        <w:tc>
          <w:tcPr>
            <w:tcW w:w="5386" w:type="dxa"/>
            <w:vAlign w:val="center"/>
          </w:tcPr>
          <w:p w14:paraId="2EC1E3E5">
            <w:pPr>
              <w:pStyle w:val="13"/>
            </w:pPr>
            <w:r>
              <w:t>购置项目按时序进度完成比例</w:t>
            </w:r>
          </w:p>
        </w:tc>
        <w:tc>
          <w:tcPr>
            <w:tcW w:w="2268" w:type="dxa"/>
            <w:vAlign w:val="center"/>
          </w:tcPr>
          <w:p w14:paraId="2C0114AB">
            <w:pPr>
              <w:pStyle w:val="13"/>
            </w:pPr>
            <w:r>
              <w:t>≥100%</w:t>
            </w:r>
          </w:p>
        </w:tc>
        <w:tc>
          <w:tcPr>
            <w:tcW w:w="1276" w:type="dxa"/>
            <w:vAlign w:val="center"/>
          </w:tcPr>
          <w:p w14:paraId="6FA9B888">
            <w:pPr>
              <w:pStyle w:val="13"/>
            </w:pPr>
            <w:r>
              <w:t>项目规划</w:t>
            </w:r>
          </w:p>
        </w:tc>
      </w:tr>
      <w:tr w14:paraId="15ABE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B6067"/>
        </w:tc>
        <w:tc>
          <w:tcPr>
            <w:tcW w:w="2268" w:type="dxa"/>
            <w:vAlign w:val="center"/>
          </w:tcPr>
          <w:p w14:paraId="7A7EE751">
            <w:pPr>
              <w:pStyle w:val="13"/>
            </w:pPr>
            <w:r>
              <w:t>成本指标</w:t>
            </w:r>
          </w:p>
        </w:tc>
        <w:tc>
          <w:tcPr>
            <w:tcW w:w="2835" w:type="dxa"/>
            <w:vAlign w:val="center"/>
          </w:tcPr>
          <w:p w14:paraId="0F32994A">
            <w:pPr>
              <w:pStyle w:val="13"/>
            </w:pPr>
            <w:r>
              <w:t>系统安装成本</w:t>
            </w:r>
          </w:p>
        </w:tc>
        <w:tc>
          <w:tcPr>
            <w:tcW w:w="5386" w:type="dxa"/>
            <w:vAlign w:val="center"/>
          </w:tcPr>
          <w:p w14:paraId="1323F31A">
            <w:pPr>
              <w:pStyle w:val="13"/>
            </w:pPr>
            <w:r>
              <w:t>专用设备购置安装成本</w:t>
            </w:r>
          </w:p>
        </w:tc>
        <w:tc>
          <w:tcPr>
            <w:tcW w:w="2268" w:type="dxa"/>
            <w:vAlign w:val="center"/>
          </w:tcPr>
          <w:p w14:paraId="06A02A42">
            <w:pPr>
              <w:pStyle w:val="13"/>
            </w:pPr>
            <w:r>
              <w:t>14万元</w:t>
            </w:r>
          </w:p>
        </w:tc>
        <w:tc>
          <w:tcPr>
            <w:tcW w:w="1276" w:type="dxa"/>
            <w:vAlign w:val="center"/>
          </w:tcPr>
          <w:p w14:paraId="2411A774">
            <w:pPr>
              <w:pStyle w:val="13"/>
            </w:pPr>
            <w:r>
              <w:t>项目规划</w:t>
            </w:r>
          </w:p>
        </w:tc>
      </w:tr>
      <w:tr w14:paraId="0C7F3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BB940F">
            <w:pPr>
              <w:pStyle w:val="12"/>
            </w:pPr>
            <w:r>
              <w:t>效益指标</w:t>
            </w:r>
          </w:p>
        </w:tc>
        <w:tc>
          <w:tcPr>
            <w:tcW w:w="2268" w:type="dxa"/>
            <w:vAlign w:val="center"/>
          </w:tcPr>
          <w:p w14:paraId="4F40F0E7">
            <w:pPr>
              <w:pStyle w:val="13"/>
            </w:pPr>
            <w:r>
              <w:t>可持续影响指标</w:t>
            </w:r>
          </w:p>
        </w:tc>
        <w:tc>
          <w:tcPr>
            <w:tcW w:w="2835" w:type="dxa"/>
            <w:vAlign w:val="center"/>
          </w:tcPr>
          <w:p w14:paraId="0674D0CB">
            <w:pPr>
              <w:pStyle w:val="13"/>
            </w:pPr>
            <w:r>
              <w:t>学校运转得到提高</w:t>
            </w:r>
          </w:p>
        </w:tc>
        <w:tc>
          <w:tcPr>
            <w:tcW w:w="5386" w:type="dxa"/>
            <w:vAlign w:val="center"/>
          </w:tcPr>
          <w:p w14:paraId="509FFCE5">
            <w:pPr>
              <w:pStyle w:val="13"/>
            </w:pPr>
            <w:r>
              <w:t>学生受教育年限</w:t>
            </w:r>
          </w:p>
        </w:tc>
        <w:tc>
          <w:tcPr>
            <w:tcW w:w="2268" w:type="dxa"/>
            <w:vAlign w:val="center"/>
          </w:tcPr>
          <w:p w14:paraId="0B432E96">
            <w:pPr>
              <w:pStyle w:val="13"/>
            </w:pPr>
            <w:r>
              <w:t>6年</w:t>
            </w:r>
          </w:p>
        </w:tc>
        <w:tc>
          <w:tcPr>
            <w:tcW w:w="1276" w:type="dxa"/>
            <w:vAlign w:val="center"/>
          </w:tcPr>
          <w:p w14:paraId="51037E55">
            <w:pPr>
              <w:pStyle w:val="13"/>
            </w:pPr>
            <w:r>
              <w:t>项目规划</w:t>
            </w:r>
          </w:p>
        </w:tc>
      </w:tr>
      <w:tr w14:paraId="3D4FD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3D6A5">
            <w:pPr>
              <w:pStyle w:val="12"/>
            </w:pPr>
            <w:r>
              <w:t>满意度指标</w:t>
            </w:r>
          </w:p>
        </w:tc>
        <w:tc>
          <w:tcPr>
            <w:tcW w:w="2268" w:type="dxa"/>
            <w:vAlign w:val="center"/>
          </w:tcPr>
          <w:p w14:paraId="2DF053B5">
            <w:pPr>
              <w:pStyle w:val="13"/>
            </w:pPr>
            <w:r>
              <w:t>服务对象满意度指标</w:t>
            </w:r>
          </w:p>
        </w:tc>
        <w:tc>
          <w:tcPr>
            <w:tcW w:w="2835" w:type="dxa"/>
            <w:vAlign w:val="center"/>
          </w:tcPr>
          <w:p w14:paraId="54B69F23">
            <w:pPr>
              <w:pStyle w:val="13"/>
            </w:pPr>
            <w:r>
              <w:t>学生和家长满意度</w:t>
            </w:r>
          </w:p>
        </w:tc>
        <w:tc>
          <w:tcPr>
            <w:tcW w:w="5386" w:type="dxa"/>
            <w:vAlign w:val="center"/>
          </w:tcPr>
          <w:p w14:paraId="69716BE1">
            <w:pPr>
              <w:pStyle w:val="13"/>
            </w:pPr>
            <w:r>
              <w:t>大幅提高学生和学生家长满意度</w:t>
            </w:r>
          </w:p>
        </w:tc>
        <w:tc>
          <w:tcPr>
            <w:tcW w:w="2268" w:type="dxa"/>
            <w:vAlign w:val="center"/>
          </w:tcPr>
          <w:p w14:paraId="2BC5010E">
            <w:pPr>
              <w:pStyle w:val="13"/>
            </w:pPr>
            <w:r>
              <w:t>≥95%</w:t>
            </w:r>
          </w:p>
        </w:tc>
        <w:tc>
          <w:tcPr>
            <w:tcW w:w="1276" w:type="dxa"/>
            <w:vAlign w:val="center"/>
          </w:tcPr>
          <w:p w14:paraId="794D73E4">
            <w:pPr>
              <w:pStyle w:val="13"/>
            </w:pPr>
            <w:r>
              <w:t>项目规划</w:t>
            </w:r>
          </w:p>
        </w:tc>
      </w:tr>
    </w:tbl>
    <w:p w14:paraId="6E34E7FA">
      <w:pPr>
        <w:sectPr>
          <w:pgSz w:w="16840" w:h="11900" w:orient="landscape"/>
          <w:pgMar w:top="1361" w:right="1020" w:bottom="1134" w:left="1020" w:header="720" w:footer="720" w:gutter="0"/>
          <w:cols w:space="720" w:num="1"/>
        </w:sectPr>
      </w:pPr>
    </w:p>
    <w:p w14:paraId="31DC9CC5">
      <w:pPr>
        <w:spacing w:before="0" w:after="0"/>
        <w:ind w:firstLine="560"/>
        <w:jc w:val="left"/>
        <w:outlineLvl w:val="9"/>
      </w:pPr>
      <w:r>
        <w:rPr>
          <w:rFonts w:ascii="方正仿宋_GBK" w:hAnsi="方正仿宋_GBK" w:eastAsia="方正仿宋_GBK" w:cs="方正仿宋_GBK"/>
          <w:b/>
          <w:color w:val="000000"/>
          <w:sz w:val="28"/>
        </w:rPr>
        <w:t>17、冀财教[2024]123号/中央/2025年义教补助经费/综合奖补/东良校区南位小学公用经费绩效目标表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D1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244F0">
            <w:pPr>
              <w:pStyle w:val="14"/>
            </w:pPr>
            <w:r>
              <w:t>单位：万元</w:t>
            </w:r>
          </w:p>
        </w:tc>
      </w:tr>
      <w:tr w14:paraId="208CD9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8203DB">
            <w:pPr>
              <w:pStyle w:val="11"/>
            </w:pPr>
            <w:r>
              <w:t>项目编码</w:t>
            </w:r>
          </w:p>
        </w:tc>
        <w:tc>
          <w:tcPr>
            <w:tcW w:w="5103" w:type="dxa"/>
            <w:gridSpan w:val="2"/>
            <w:vAlign w:val="center"/>
          </w:tcPr>
          <w:p w14:paraId="4C3F6804">
            <w:pPr>
              <w:pStyle w:val="13"/>
            </w:pPr>
            <w:r>
              <w:t>13052525P00875610279G</w:t>
            </w:r>
          </w:p>
        </w:tc>
        <w:tc>
          <w:tcPr>
            <w:tcW w:w="2835" w:type="dxa"/>
            <w:vAlign w:val="center"/>
          </w:tcPr>
          <w:p w14:paraId="22B9439A">
            <w:pPr>
              <w:pStyle w:val="11"/>
            </w:pPr>
            <w:r>
              <w:t>项目名称</w:t>
            </w:r>
          </w:p>
        </w:tc>
        <w:tc>
          <w:tcPr>
            <w:tcW w:w="6095" w:type="dxa"/>
            <w:gridSpan w:val="3"/>
            <w:vAlign w:val="center"/>
          </w:tcPr>
          <w:p w14:paraId="0794E0F7">
            <w:pPr>
              <w:pStyle w:val="13"/>
            </w:pPr>
            <w:r>
              <w:t>冀财教[2024]123号/中央/2025年义教补助经费/综合奖补/东良校区南位小学公用经费</w:t>
            </w:r>
          </w:p>
        </w:tc>
      </w:tr>
      <w:tr w14:paraId="452A0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59E3C">
            <w:pPr>
              <w:pStyle w:val="11"/>
            </w:pPr>
            <w:r>
              <w:t>预算规模及资金用途</w:t>
            </w:r>
          </w:p>
        </w:tc>
        <w:tc>
          <w:tcPr>
            <w:tcW w:w="2268" w:type="dxa"/>
            <w:vAlign w:val="center"/>
          </w:tcPr>
          <w:p w14:paraId="3D00B222">
            <w:pPr>
              <w:pStyle w:val="11"/>
            </w:pPr>
            <w:r>
              <w:t>预算数</w:t>
            </w:r>
          </w:p>
        </w:tc>
        <w:tc>
          <w:tcPr>
            <w:tcW w:w="2835" w:type="dxa"/>
            <w:vAlign w:val="center"/>
          </w:tcPr>
          <w:p w14:paraId="07C8EE20">
            <w:pPr>
              <w:pStyle w:val="13"/>
            </w:pPr>
            <w:r>
              <w:t>2.34</w:t>
            </w:r>
          </w:p>
        </w:tc>
        <w:tc>
          <w:tcPr>
            <w:tcW w:w="2835" w:type="dxa"/>
            <w:vAlign w:val="center"/>
          </w:tcPr>
          <w:p w14:paraId="0351FD13">
            <w:pPr>
              <w:pStyle w:val="11"/>
            </w:pPr>
            <w:r>
              <w:t>其中：财政    资金</w:t>
            </w:r>
          </w:p>
        </w:tc>
        <w:tc>
          <w:tcPr>
            <w:tcW w:w="2551" w:type="dxa"/>
            <w:vAlign w:val="center"/>
          </w:tcPr>
          <w:p w14:paraId="538F6738">
            <w:pPr>
              <w:pStyle w:val="13"/>
            </w:pPr>
            <w:r>
              <w:t>2.34</w:t>
            </w:r>
          </w:p>
        </w:tc>
        <w:tc>
          <w:tcPr>
            <w:tcW w:w="2268" w:type="dxa"/>
            <w:vAlign w:val="center"/>
          </w:tcPr>
          <w:p w14:paraId="7AB64F72">
            <w:pPr>
              <w:pStyle w:val="11"/>
            </w:pPr>
            <w:r>
              <w:t>其他资金</w:t>
            </w:r>
          </w:p>
        </w:tc>
        <w:tc>
          <w:tcPr>
            <w:tcW w:w="1276" w:type="dxa"/>
            <w:vAlign w:val="center"/>
          </w:tcPr>
          <w:p w14:paraId="36396384">
            <w:pPr>
              <w:pStyle w:val="13"/>
            </w:pPr>
            <w:r>
              <w:t xml:space="preserve"> </w:t>
            </w:r>
          </w:p>
        </w:tc>
      </w:tr>
      <w:tr w14:paraId="7EDC3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274F92"/>
        </w:tc>
        <w:tc>
          <w:tcPr>
            <w:tcW w:w="14033" w:type="dxa"/>
            <w:gridSpan w:val="6"/>
            <w:vAlign w:val="center"/>
          </w:tcPr>
          <w:p w14:paraId="58C5B65E">
            <w:pPr>
              <w:pStyle w:val="13"/>
            </w:pPr>
            <w:r>
              <w:t>提升教学环境，提高教学质量，公用经费安排购置</w:t>
            </w:r>
          </w:p>
        </w:tc>
      </w:tr>
      <w:tr w14:paraId="7C90B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A51B0">
            <w:pPr>
              <w:pStyle w:val="11"/>
            </w:pPr>
            <w:r>
              <w:t>资金支出计划（%）</w:t>
            </w:r>
          </w:p>
        </w:tc>
        <w:tc>
          <w:tcPr>
            <w:tcW w:w="5103" w:type="dxa"/>
            <w:gridSpan w:val="2"/>
            <w:vAlign w:val="center"/>
          </w:tcPr>
          <w:p w14:paraId="43263D3C">
            <w:pPr>
              <w:pStyle w:val="11"/>
            </w:pPr>
            <w:r>
              <w:t>3月底</w:t>
            </w:r>
          </w:p>
        </w:tc>
        <w:tc>
          <w:tcPr>
            <w:tcW w:w="2835" w:type="dxa"/>
            <w:vAlign w:val="center"/>
          </w:tcPr>
          <w:p w14:paraId="642433EC">
            <w:pPr>
              <w:pStyle w:val="11"/>
            </w:pPr>
            <w:r>
              <w:t>6月底</w:t>
            </w:r>
          </w:p>
        </w:tc>
        <w:tc>
          <w:tcPr>
            <w:tcW w:w="2551" w:type="dxa"/>
            <w:vAlign w:val="center"/>
          </w:tcPr>
          <w:p w14:paraId="711F507A">
            <w:pPr>
              <w:pStyle w:val="11"/>
            </w:pPr>
            <w:r>
              <w:t>10月底</w:t>
            </w:r>
          </w:p>
        </w:tc>
        <w:tc>
          <w:tcPr>
            <w:tcW w:w="3544" w:type="dxa"/>
            <w:gridSpan w:val="2"/>
            <w:vAlign w:val="center"/>
          </w:tcPr>
          <w:p w14:paraId="05B0FCD1">
            <w:pPr>
              <w:pStyle w:val="11"/>
            </w:pPr>
            <w:r>
              <w:t>12月底</w:t>
            </w:r>
          </w:p>
        </w:tc>
      </w:tr>
      <w:tr w14:paraId="3F6BB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EE4CD"/>
        </w:tc>
        <w:tc>
          <w:tcPr>
            <w:tcW w:w="5103" w:type="dxa"/>
            <w:gridSpan w:val="2"/>
            <w:vAlign w:val="center"/>
          </w:tcPr>
          <w:p w14:paraId="5DE3661D">
            <w:pPr>
              <w:pStyle w:val="12"/>
            </w:pPr>
            <w:r>
              <w:t xml:space="preserve"> </w:t>
            </w:r>
          </w:p>
        </w:tc>
        <w:tc>
          <w:tcPr>
            <w:tcW w:w="2835" w:type="dxa"/>
            <w:vAlign w:val="center"/>
          </w:tcPr>
          <w:p w14:paraId="50889483">
            <w:pPr>
              <w:pStyle w:val="12"/>
            </w:pPr>
            <w:r>
              <w:t>50%</w:t>
            </w:r>
          </w:p>
        </w:tc>
        <w:tc>
          <w:tcPr>
            <w:tcW w:w="2551" w:type="dxa"/>
            <w:vAlign w:val="center"/>
          </w:tcPr>
          <w:p w14:paraId="7EBCB199">
            <w:pPr>
              <w:pStyle w:val="12"/>
            </w:pPr>
            <w:r>
              <w:t xml:space="preserve"> </w:t>
            </w:r>
          </w:p>
        </w:tc>
        <w:tc>
          <w:tcPr>
            <w:tcW w:w="3544" w:type="dxa"/>
            <w:gridSpan w:val="2"/>
            <w:vAlign w:val="center"/>
          </w:tcPr>
          <w:p w14:paraId="1BBB7B5E">
            <w:pPr>
              <w:pStyle w:val="12"/>
            </w:pPr>
            <w:r>
              <w:t>100%</w:t>
            </w:r>
          </w:p>
        </w:tc>
      </w:tr>
      <w:tr w14:paraId="08C5B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758F1">
            <w:pPr>
              <w:pStyle w:val="11"/>
            </w:pPr>
            <w:r>
              <w:t>绩效目标</w:t>
            </w:r>
          </w:p>
        </w:tc>
        <w:tc>
          <w:tcPr>
            <w:tcW w:w="14033" w:type="dxa"/>
            <w:gridSpan w:val="6"/>
            <w:vAlign w:val="center"/>
          </w:tcPr>
          <w:p w14:paraId="32E6DCB7">
            <w:pPr>
              <w:pStyle w:val="13"/>
            </w:pPr>
            <w:r>
              <w:t>1.提升教学环境，提高教学质量，公用经费安排购置资金2.34万元</w:t>
            </w:r>
          </w:p>
        </w:tc>
      </w:tr>
    </w:tbl>
    <w:p w14:paraId="2F776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BF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31ECC">
            <w:pPr>
              <w:pStyle w:val="11"/>
            </w:pPr>
            <w:r>
              <w:t>一级指标</w:t>
            </w:r>
          </w:p>
        </w:tc>
        <w:tc>
          <w:tcPr>
            <w:tcW w:w="2268" w:type="dxa"/>
            <w:vAlign w:val="center"/>
          </w:tcPr>
          <w:p w14:paraId="597CDE38">
            <w:pPr>
              <w:pStyle w:val="11"/>
            </w:pPr>
            <w:r>
              <w:t>二级指标</w:t>
            </w:r>
          </w:p>
        </w:tc>
        <w:tc>
          <w:tcPr>
            <w:tcW w:w="2835" w:type="dxa"/>
            <w:vAlign w:val="center"/>
          </w:tcPr>
          <w:p w14:paraId="599AB53D">
            <w:pPr>
              <w:pStyle w:val="11"/>
            </w:pPr>
            <w:r>
              <w:t>三级指标</w:t>
            </w:r>
          </w:p>
        </w:tc>
        <w:tc>
          <w:tcPr>
            <w:tcW w:w="5386" w:type="dxa"/>
            <w:vAlign w:val="center"/>
          </w:tcPr>
          <w:p w14:paraId="4AE8428D">
            <w:pPr>
              <w:pStyle w:val="11"/>
            </w:pPr>
            <w:r>
              <w:t>绩效指标描述</w:t>
            </w:r>
          </w:p>
        </w:tc>
        <w:tc>
          <w:tcPr>
            <w:tcW w:w="2268" w:type="dxa"/>
            <w:vAlign w:val="center"/>
          </w:tcPr>
          <w:p w14:paraId="7E37AACC">
            <w:pPr>
              <w:pStyle w:val="11"/>
            </w:pPr>
            <w:r>
              <w:t>指标值</w:t>
            </w:r>
          </w:p>
        </w:tc>
        <w:tc>
          <w:tcPr>
            <w:tcW w:w="1276" w:type="dxa"/>
            <w:vAlign w:val="center"/>
          </w:tcPr>
          <w:p w14:paraId="0892B0C6">
            <w:pPr>
              <w:pStyle w:val="11"/>
            </w:pPr>
            <w:r>
              <w:t>指标值确定依据</w:t>
            </w:r>
          </w:p>
        </w:tc>
      </w:tr>
      <w:tr w14:paraId="36775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31B49">
            <w:pPr>
              <w:pStyle w:val="12"/>
            </w:pPr>
            <w:r>
              <w:t>产出指标</w:t>
            </w:r>
          </w:p>
        </w:tc>
        <w:tc>
          <w:tcPr>
            <w:tcW w:w="2268" w:type="dxa"/>
            <w:vAlign w:val="center"/>
          </w:tcPr>
          <w:p w14:paraId="0B4C35A7">
            <w:pPr>
              <w:pStyle w:val="13"/>
            </w:pPr>
            <w:r>
              <w:t>数量指标</w:t>
            </w:r>
          </w:p>
        </w:tc>
        <w:tc>
          <w:tcPr>
            <w:tcW w:w="2835" w:type="dxa"/>
            <w:vAlign w:val="center"/>
          </w:tcPr>
          <w:p w14:paraId="7E32C40A">
            <w:pPr>
              <w:pStyle w:val="13"/>
            </w:pPr>
            <w:r>
              <w:t>公用经费设备购置</w:t>
            </w:r>
          </w:p>
        </w:tc>
        <w:tc>
          <w:tcPr>
            <w:tcW w:w="5386" w:type="dxa"/>
            <w:vAlign w:val="center"/>
          </w:tcPr>
          <w:p w14:paraId="29657C48">
            <w:pPr>
              <w:pStyle w:val="13"/>
            </w:pPr>
            <w:r>
              <w:t>购置视频会议系统一套</w:t>
            </w:r>
          </w:p>
        </w:tc>
        <w:tc>
          <w:tcPr>
            <w:tcW w:w="2268" w:type="dxa"/>
            <w:vAlign w:val="center"/>
          </w:tcPr>
          <w:p w14:paraId="1EA8FC14">
            <w:pPr>
              <w:pStyle w:val="13"/>
            </w:pPr>
            <w:r>
              <w:t>1套</w:t>
            </w:r>
          </w:p>
        </w:tc>
        <w:tc>
          <w:tcPr>
            <w:tcW w:w="1276" w:type="dxa"/>
            <w:vAlign w:val="center"/>
          </w:tcPr>
          <w:p w14:paraId="5031AF22">
            <w:pPr>
              <w:pStyle w:val="13"/>
            </w:pPr>
            <w:r>
              <w:t>按项目规划</w:t>
            </w:r>
          </w:p>
        </w:tc>
      </w:tr>
      <w:tr w14:paraId="3A643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8434F"/>
        </w:tc>
        <w:tc>
          <w:tcPr>
            <w:tcW w:w="2268" w:type="dxa"/>
            <w:vAlign w:val="center"/>
          </w:tcPr>
          <w:p w14:paraId="6D702A9E">
            <w:pPr>
              <w:pStyle w:val="13"/>
            </w:pPr>
            <w:r>
              <w:t>质量指标</w:t>
            </w:r>
          </w:p>
        </w:tc>
        <w:tc>
          <w:tcPr>
            <w:tcW w:w="2835" w:type="dxa"/>
            <w:vAlign w:val="center"/>
          </w:tcPr>
          <w:p w14:paraId="2DCEE8AC">
            <w:pPr>
              <w:pStyle w:val="13"/>
            </w:pPr>
            <w:r>
              <w:t>购置项目质量合格率</w:t>
            </w:r>
          </w:p>
        </w:tc>
        <w:tc>
          <w:tcPr>
            <w:tcW w:w="5386" w:type="dxa"/>
            <w:vAlign w:val="center"/>
          </w:tcPr>
          <w:p w14:paraId="0268EF32">
            <w:pPr>
              <w:pStyle w:val="13"/>
            </w:pPr>
            <w:r>
              <w:t>专用设备购置质量合格率</w:t>
            </w:r>
          </w:p>
        </w:tc>
        <w:tc>
          <w:tcPr>
            <w:tcW w:w="2268" w:type="dxa"/>
            <w:vAlign w:val="center"/>
          </w:tcPr>
          <w:p w14:paraId="031EA618">
            <w:pPr>
              <w:pStyle w:val="13"/>
            </w:pPr>
            <w:r>
              <w:t>≥100%</w:t>
            </w:r>
          </w:p>
        </w:tc>
        <w:tc>
          <w:tcPr>
            <w:tcW w:w="1276" w:type="dxa"/>
            <w:vAlign w:val="center"/>
          </w:tcPr>
          <w:p w14:paraId="6E28B993">
            <w:pPr>
              <w:pStyle w:val="13"/>
            </w:pPr>
            <w:r>
              <w:t>按项目规划</w:t>
            </w:r>
          </w:p>
        </w:tc>
      </w:tr>
      <w:tr w14:paraId="7CCA6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900D7"/>
        </w:tc>
        <w:tc>
          <w:tcPr>
            <w:tcW w:w="2268" w:type="dxa"/>
            <w:vAlign w:val="center"/>
          </w:tcPr>
          <w:p w14:paraId="22674146">
            <w:pPr>
              <w:pStyle w:val="13"/>
            </w:pPr>
            <w:r>
              <w:t>时效指标</w:t>
            </w:r>
          </w:p>
        </w:tc>
        <w:tc>
          <w:tcPr>
            <w:tcW w:w="2835" w:type="dxa"/>
            <w:vAlign w:val="center"/>
          </w:tcPr>
          <w:p w14:paraId="6A3DA39E">
            <w:pPr>
              <w:pStyle w:val="13"/>
            </w:pPr>
            <w:r>
              <w:t>按时完成率</w:t>
            </w:r>
          </w:p>
        </w:tc>
        <w:tc>
          <w:tcPr>
            <w:tcW w:w="5386" w:type="dxa"/>
            <w:vAlign w:val="center"/>
          </w:tcPr>
          <w:p w14:paraId="3745AAAB">
            <w:pPr>
              <w:pStyle w:val="13"/>
            </w:pPr>
            <w:r>
              <w:t>购置项目按时序进度完成比例</w:t>
            </w:r>
          </w:p>
        </w:tc>
        <w:tc>
          <w:tcPr>
            <w:tcW w:w="2268" w:type="dxa"/>
            <w:vAlign w:val="center"/>
          </w:tcPr>
          <w:p w14:paraId="62CFFA96">
            <w:pPr>
              <w:pStyle w:val="13"/>
            </w:pPr>
            <w:r>
              <w:t>≥100%</w:t>
            </w:r>
          </w:p>
        </w:tc>
        <w:tc>
          <w:tcPr>
            <w:tcW w:w="1276" w:type="dxa"/>
            <w:vAlign w:val="center"/>
          </w:tcPr>
          <w:p w14:paraId="4BA0D695">
            <w:pPr>
              <w:pStyle w:val="13"/>
            </w:pPr>
            <w:r>
              <w:t>按项目规划</w:t>
            </w:r>
          </w:p>
        </w:tc>
      </w:tr>
      <w:tr w14:paraId="5EB21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1B591"/>
        </w:tc>
        <w:tc>
          <w:tcPr>
            <w:tcW w:w="2268" w:type="dxa"/>
            <w:vAlign w:val="center"/>
          </w:tcPr>
          <w:p w14:paraId="762DDE4A">
            <w:pPr>
              <w:pStyle w:val="13"/>
            </w:pPr>
            <w:r>
              <w:t>成本指标</w:t>
            </w:r>
          </w:p>
        </w:tc>
        <w:tc>
          <w:tcPr>
            <w:tcW w:w="2835" w:type="dxa"/>
            <w:vAlign w:val="center"/>
          </w:tcPr>
          <w:p w14:paraId="59725D7C">
            <w:pPr>
              <w:pStyle w:val="13"/>
            </w:pPr>
            <w:r>
              <w:t>安装成本</w:t>
            </w:r>
          </w:p>
        </w:tc>
        <w:tc>
          <w:tcPr>
            <w:tcW w:w="5386" w:type="dxa"/>
            <w:vAlign w:val="center"/>
          </w:tcPr>
          <w:p w14:paraId="1A9C299A">
            <w:pPr>
              <w:pStyle w:val="13"/>
            </w:pPr>
            <w:r>
              <w:t>专用设备购置安装成本</w:t>
            </w:r>
          </w:p>
        </w:tc>
        <w:tc>
          <w:tcPr>
            <w:tcW w:w="2268" w:type="dxa"/>
            <w:vAlign w:val="center"/>
          </w:tcPr>
          <w:p w14:paraId="3CEA326E">
            <w:pPr>
              <w:pStyle w:val="13"/>
            </w:pPr>
            <w:r>
              <w:t>23400元</w:t>
            </w:r>
          </w:p>
        </w:tc>
        <w:tc>
          <w:tcPr>
            <w:tcW w:w="1276" w:type="dxa"/>
            <w:vAlign w:val="center"/>
          </w:tcPr>
          <w:p w14:paraId="54A8833A">
            <w:pPr>
              <w:pStyle w:val="13"/>
            </w:pPr>
            <w:r>
              <w:t>按项目规划</w:t>
            </w:r>
          </w:p>
        </w:tc>
      </w:tr>
      <w:tr w14:paraId="7F434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59A4B">
            <w:pPr>
              <w:pStyle w:val="12"/>
            </w:pPr>
            <w:r>
              <w:t>效益指标</w:t>
            </w:r>
          </w:p>
        </w:tc>
        <w:tc>
          <w:tcPr>
            <w:tcW w:w="2268" w:type="dxa"/>
            <w:vAlign w:val="center"/>
          </w:tcPr>
          <w:p w14:paraId="5A6B42B8">
            <w:pPr>
              <w:pStyle w:val="13"/>
            </w:pPr>
            <w:r>
              <w:t>可持续影响指标</w:t>
            </w:r>
          </w:p>
        </w:tc>
        <w:tc>
          <w:tcPr>
            <w:tcW w:w="2835" w:type="dxa"/>
            <w:vAlign w:val="center"/>
          </w:tcPr>
          <w:p w14:paraId="47928798">
            <w:pPr>
              <w:pStyle w:val="13"/>
            </w:pPr>
            <w:r>
              <w:t>学校运转得到提高</w:t>
            </w:r>
          </w:p>
        </w:tc>
        <w:tc>
          <w:tcPr>
            <w:tcW w:w="5386" w:type="dxa"/>
            <w:vAlign w:val="center"/>
          </w:tcPr>
          <w:p w14:paraId="27394092">
            <w:pPr>
              <w:pStyle w:val="13"/>
            </w:pPr>
            <w:r>
              <w:t>学生受教育年限</w:t>
            </w:r>
          </w:p>
        </w:tc>
        <w:tc>
          <w:tcPr>
            <w:tcW w:w="2268" w:type="dxa"/>
            <w:vAlign w:val="center"/>
          </w:tcPr>
          <w:p w14:paraId="16989CCB">
            <w:pPr>
              <w:pStyle w:val="13"/>
            </w:pPr>
            <w:r>
              <w:t>6年</w:t>
            </w:r>
          </w:p>
        </w:tc>
        <w:tc>
          <w:tcPr>
            <w:tcW w:w="1276" w:type="dxa"/>
            <w:vAlign w:val="center"/>
          </w:tcPr>
          <w:p w14:paraId="422089CF">
            <w:pPr>
              <w:pStyle w:val="13"/>
            </w:pPr>
            <w:r>
              <w:t>按项目规划</w:t>
            </w:r>
          </w:p>
        </w:tc>
      </w:tr>
      <w:tr w14:paraId="58CC9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75CEC0">
            <w:pPr>
              <w:pStyle w:val="12"/>
            </w:pPr>
            <w:r>
              <w:t>满意度指标</w:t>
            </w:r>
          </w:p>
        </w:tc>
        <w:tc>
          <w:tcPr>
            <w:tcW w:w="2268" w:type="dxa"/>
            <w:vAlign w:val="center"/>
          </w:tcPr>
          <w:p w14:paraId="4FCB85C3">
            <w:pPr>
              <w:pStyle w:val="13"/>
            </w:pPr>
            <w:r>
              <w:t>服务对象满意度指标</w:t>
            </w:r>
          </w:p>
        </w:tc>
        <w:tc>
          <w:tcPr>
            <w:tcW w:w="2835" w:type="dxa"/>
            <w:vAlign w:val="center"/>
          </w:tcPr>
          <w:p w14:paraId="5CAE1808">
            <w:pPr>
              <w:pStyle w:val="13"/>
            </w:pPr>
            <w:r>
              <w:t>学生和学生家长满意度</w:t>
            </w:r>
          </w:p>
        </w:tc>
        <w:tc>
          <w:tcPr>
            <w:tcW w:w="5386" w:type="dxa"/>
            <w:vAlign w:val="center"/>
          </w:tcPr>
          <w:p w14:paraId="2176ED75">
            <w:pPr>
              <w:pStyle w:val="13"/>
            </w:pPr>
            <w:r>
              <w:t>大幅提高学生和学生家长满意度</w:t>
            </w:r>
          </w:p>
        </w:tc>
        <w:tc>
          <w:tcPr>
            <w:tcW w:w="2268" w:type="dxa"/>
            <w:vAlign w:val="center"/>
          </w:tcPr>
          <w:p w14:paraId="136CF331">
            <w:pPr>
              <w:pStyle w:val="13"/>
            </w:pPr>
            <w:r>
              <w:t>≥98%</w:t>
            </w:r>
          </w:p>
        </w:tc>
        <w:tc>
          <w:tcPr>
            <w:tcW w:w="1276" w:type="dxa"/>
            <w:vAlign w:val="center"/>
          </w:tcPr>
          <w:p w14:paraId="56E8009B">
            <w:pPr>
              <w:pStyle w:val="13"/>
            </w:pPr>
            <w:r>
              <w:t>按项目规划</w:t>
            </w:r>
          </w:p>
        </w:tc>
      </w:tr>
    </w:tbl>
    <w:p w14:paraId="4C9D67E9">
      <w:pPr>
        <w:sectPr>
          <w:pgSz w:w="16840" w:h="11900" w:orient="landscape"/>
          <w:pgMar w:top="1361" w:right="1020" w:bottom="1134" w:left="1020" w:header="720" w:footer="720" w:gutter="0"/>
          <w:cols w:space="720" w:num="1"/>
        </w:sectPr>
      </w:pPr>
    </w:p>
    <w:p w14:paraId="2AAEBDE1">
      <w:pPr>
        <w:spacing w:before="0" w:after="0"/>
        <w:ind w:firstLine="560"/>
        <w:jc w:val="left"/>
        <w:outlineLvl w:val="9"/>
      </w:pPr>
      <w:r>
        <w:rPr>
          <w:rFonts w:ascii="方正仿宋_GBK" w:hAnsi="方正仿宋_GBK" w:eastAsia="方正仿宋_GBK" w:cs="方正仿宋_GBK"/>
          <w:b/>
          <w:color w:val="000000"/>
          <w:sz w:val="28"/>
        </w:rPr>
        <w:t>18、冀财教[2024]123号/中央/2025年义教补助经费/综合奖补/周村小学变压器购置绩效目标表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2B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EF233">
            <w:pPr>
              <w:pStyle w:val="14"/>
            </w:pPr>
            <w:r>
              <w:t>单位：万元</w:t>
            </w:r>
          </w:p>
        </w:tc>
      </w:tr>
      <w:tr w14:paraId="3CB0F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682D9">
            <w:pPr>
              <w:pStyle w:val="11"/>
            </w:pPr>
            <w:r>
              <w:t>项目编码</w:t>
            </w:r>
          </w:p>
        </w:tc>
        <w:tc>
          <w:tcPr>
            <w:tcW w:w="5103" w:type="dxa"/>
            <w:gridSpan w:val="2"/>
            <w:vAlign w:val="center"/>
          </w:tcPr>
          <w:p w14:paraId="16323CA6">
            <w:pPr>
              <w:pStyle w:val="13"/>
            </w:pPr>
            <w:r>
              <w:t>13052525P00875610238D</w:t>
            </w:r>
          </w:p>
        </w:tc>
        <w:tc>
          <w:tcPr>
            <w:tcW w:w="2835" w:type="dxa"/>
            <w:vAlign w:val="center"/>
          </w:tcPr>
          <w:p w14:paraId="6EB48799">
            <w:pPr>
              <w:pStyle w:val="11"/>
            </w:pPr>
            <w:r>
              <w:t>项目名称</w:t>
            </w:r>
          </w:p>
        </w:tc>
        <w:tc>
          <w:tcPr>
            <w:tcW w:w="6095" w:type="dxa"/>
            <w:gridSpan w:val="3"/>
            <w:vAlign w:val="center"/>
          </w:tcPr>
          <w:p w14:paraId="12A0A9F7">
            <w:pPr>
              <w:pStyle w:val="13"/>
            </w:pPr>
            <w:r>
              <w:t>冀财教[2024]123号/中央/2025年义教补助经费/综合奖补/周村小学变压器购置</w:t>
            </w:r>
          </w:p>
        </w:tc>
      </w:tr>
      <w:tr w14:paraId="1E5E4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EEF79">
            <w:pPr>
              <w:pStyle w:val="11"/>
            </w:pPr>
            <w:r>
              <w:t>预算规模及资金用途</w:t>
            </w:r>
          </w:p>
        </w:tc>
        <w:tc>
          <w:tcPr>
            <w:tcW w:w="2268" w:type="dxa"/>
            <w:vAlign w:val="center"/>
          </w:tcPr>
          <w:p w14:paraId="29729B0E">
            <w:pPr>
              <w:pStyle w:val="11"/>
            </w:pPr>
            <w:r>
              <w:t>预算数</w:t>
            </w:r>
          </w:p>
        </w:tc>
        <w:tc>
          <w:tcPr>
            <w:tcW w:w="2835" w:type="dxa"/>
            <w:vAlign w:val="center"/>
          </w:tcPr>
          <w:p w14:paraId="2E0243BC">
            <w:pPr>
              <w:pStyle w:val="13"/>
            </w:pPr>
            <w:r>
              <w:t>11.00</w:t>
            </w:r>
          </w:p>
        </w:tc>
        <w:tc>
          <w:tcPr>
            <w:tcW w:w="2835" w:type="dxa"/>
            <w:vAlign w:val="center"/>
          </w:tcPr>
          <w:p w14:paraId="2F8CD1AC">
            <w:pPr>
              <w:pStyle w:val="11"/>
            </w:pPr>
            <w:r>
              <w:t>其中：财政    资金</w:t>
            </w:r>
          </w:p>
        </w:tc>
        <w:tc>
          <w:tcPr>
            <w:tcW w:w="2551" w:type="dxa"/>
            <w:vAlign w:val="center"/>
          </w:tcPr>
          <w:p w14:paraId="0F92C2D2">
            <w:pPr>
              <w:pStyle w:val="13"/>
            </w:pPr>
            <w:r>
              <w:t>11.00</w:t>
            </w:r>
          </w:p>
        </w:tc>
        <w:tc>
          <w:tcPr>
            <w:tcW w:w="2268" w:type="dxa"/>
            <w:vAlign w:val="center"/>
          </w:tcPr>
          <w:p w14:paraId="7B0A9407">
            <w:pPr>
              <w:pStyle w:val="11"/>
            </w:pPr>
            <w:r>
              <w:t>其他资金</w:t>
            </w:r>
          </w:p>
        </w:tc>
        <w:tc>
          <w:tcPr>
            <w:tcW w:w="1276" w:type="dxa"/>
            <w:vAlign w:val="center"/>
          </w:tcPr>
          <w:p w14:paraId="34E7D788">
            <w:pPr>
              <w:pStyle w:val="13"/>
            </w:pPr>
            <w:r>
              <w:t xml:space="preserve"> </w:t>
            </w:r>
          </w:p>
        </w:tc>
      </w:tr>
      <w:tr w14:paraId="20ADC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D71F28"/>
        </w:tc>
        <w:tc>
          <w:tcPr>
            <w:tcW w:w="14033" w:type="dxa"/>
            <w:gridSpan w:val="6"/>
            <w:vAlign w:val="center"/>
          </w:tcPr>
          <w:p w14:paraId="3141956E">
            <w:pPr>
              <w:pStyle w:val="13"/>
            </w:pPr>
            <w:r>
              <w:t>为提高教学环境，提升教学质量，现为周村小学购置变压器</w:t>
            </w:r>
          </w:p>
        </w:tc>
      </w:tr>
      <w:tr w14:paraId="12A45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0FC5F">
            <w:pPr>
              <w:pStyle w:val="11"/>
            </w:pPr>
            <w:r>
              <w:t>资金支出计划（%）</w:t>
            </w:r>
          </w:p>
        </w:tc>
        <w:tc>
          <w:tcPr>
            <w:tcW w:w="5103" w:type="dxa"/>
            <w:gridSpan w:val="2"/>
            <w:vAlign w:val="center"/>
          </w:tcPr>
          <w:p w14:paraId="12947343">
            <w:pPr>
              <w:pStyle w:val="11"/>
            </w:pPr>
            <w:r>
              <w:t>3月底</w:t>
            </w:r>
          </w:p>
        </w:tc>
        <w:tc>
          <w:tcPr>
            <w:tcW w:w="2835" w:type="dxa"/>
            <w:vAlign w:val="center"/>
          </w:tcPr>
          <w:p w14:paraId="0E310D5D">
            <w:pPr>
              <w:pStyle w:val="11"/>
            </w:pPr>
            <w:r>
              <w:t>6月底</w:t>
            </w:r>
          </w:p>
        </w:tc>
        <w:tc>
          <w:tcPr>
            <w:tcW w:w="2551" w:type="dxa"/>
            <w:vAlign w:val="center"/>
          </w:tcPr>
          <w:p w14:paraId="562755CE">
            <w:pPr>
              <w:pStyle w:val="11"/>
            </w:pPr>
            <w:r>
              <w:t>10月底</w:t>
            </w:r>
          </w:p>
        </w:tc>
        <w:tc>
          <w:tcPr>
            <w:tcW w:w="3544" w:type="dxa"/>
            <w:gridSpan w:val="2"/>
            <w:vAlign w:val="center"/>
          </w:tcPr>
          <w:p w14:paraId="331D9286">
            <w:pPr>
              <w:pStyle w:val="11"/>
            </w:pPr>
            <w:r>
              <w:t>12月底</w:t>
            </w:r>
          </w:p>
        </w:tc>
      </w:tr>
      <w:tr w14:paraId="3BAE7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A4710"/>
        </w:tc>
        <w:tc>
          <w:tcPr>
            <w:tcW w:w="5103" w:type="dxa"/>
            <w:gridSpan w:val="2"/>
            <w:vAlign w:val="center"/>
          </w:tcPr>
          <w:p w14:paraId="5993506C">
            <w:pPr>
              <w:pStyle w:val="12"/>
            </w:pPr>
            <w:r>
              <w:t xml:space="preserve"> </w:t>
            </w:r>
          </w:p>
        </w:tc>
        <w:tc>
          <w:tcPr>
            <w:tcW w:w="2835" w:type="dxa"/>
            <w:vAlign w:val="center"/>
          </w:tcPr>
          <w:p w14:paraId="5BEE9F8C">
            <w:pPr>
              <w:pStyle w:val="12"/>
            </w:pPr>
            <w:r>
              <w:t>50%</w:t>
            </w:r>
          </w:p>
        </w:tc>
        <w:tc>
          <w:tcPr>
            <w:tcW w:w="2551" w:type="dxa"/>
            <w:vAlign w:val="center"/>
          </w:tcPr>
          <w:p w14:paraId="1D08C290">
            <w:pPr>
              <w:pStyle w:val="12"/>
            </w:pPr>
            <w:r>
              <w:t xml:space="preserve"> </w:t>
            </w:r>
          </w:p>
        </w:tc>
        <w:tc>
          <w:tcPr>
            <w:tcW w:w="3544" w:type="dxa"/>
            <w:gridSpan w:val="2"/>
            <w:vAlign w:val="center"/>
          </w:tcPr>
          <w:p w14:paraId="68A53EAB">
            <w:pPr>
              <w:pStyle w:val="12"/>
            </w:pPr>
            <w:r>
              <w:t>100%</w:t>
            </w:r>
          </w:p>
        </w:tc>
      </w:tr>
      <w:tr w14:paraId="5416D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15A2F">
            <w:pPr>
              <w:pStyle w:val="11"/>
            </w:pPr>
            <w:r>
              <w:t>绩效目标</w:t>
            </w:r>
          </w:p>
        </w:tc>
        <w:tc>
          <w:tcPr>
            <w:tcW w:w="14033" w:type="dxa"/>
            <w:gridSpan w:val="6"/>
            <w:vAlign w:val="center"/>
          </w:tcPr>
          <w:p w14:paraId="4F789A2E">
            <w:pPr>
              <w:pStyle w:val="13"/>
            </w:pPr>
            <w:r>
              <w:t>1.为提高教学环境，提升教学质量，现为周村小学购置变压器一台。</w:t>
            </w:r>
          </w:p>
        </w:tc>
      </w:tr>
    </w:tbl>
    <w:p w14:paraId="7A835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00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94706">
            <w:pPr>
              <w:pStyle w:val="11"/>
            </w:pPr>
            <w:r>
              <w:t>一级指标</w:t>
            </w:r>
          </w:p>
        </w:tc>
        <w:tc>
          <w:tcPr>
            <w:tcW w:w="2268" w:type="dxa"/>
            <w:vAlign w:val="center"/>
          </w:tcPr>
          <w:p w14:paraId="53781548">
            <w:pPr>
              <w:pStyle w:val="11"/>
            </w:pPr>
            <w:r>
              <w:t>二级指标</w:t>
            </w:r>
          </w:p>
        </w:tc>
        <w:tc>
          <w:tcPr>
            <w:tcW w:w="2835" w:type="dxa"/>
            <w:vAlign w:val="center"/>
          </w:tcPr>
          <w:p w14:paraId="7AF4190E">
            <w:pPr>
              <w:pStyle w:val="11"/>
            </w:pPr>
            <w:r>
              <w:t>三级指标</w:t>
            </w:r>
          </w:p>
        </w:tc>
        <w:tc>
          <w:tcPr>
            <w:tcW w:w="5386" w:type="dxa"/>
            <w:vAlign w:val="center"/>
          </w:tcPr>
          <w:p w14:paraId="654DA137">
            <w:pPr>
              <w:pStyle w:val="11"/>
            </w:pPr>
            <w:r>
              <w:t>绩效指标描述</w:t>
            </w:r>
          </w:p>
        </w:tc>
        <w:tc>
          <w:tcPr>
            <w:tcW w:w="2268" w:type="dxa"/>
            <w:vAlign w:val="center"/>
          </w:tcPr>
          <w:p w14:paraId="5B2DCC7D">
            <w:pPr>
              <w:pStyle w:val="11"/>
            </w:pPr>
            <w:r>
              <w:t>指标值</w:t>
            </w:r>
          </w:p>
        </w:tc>
        <w:tc>
          <w:tcPr>
            <w:tcW w:w="1276" w:type="dxa"/>
            <w:vAlign w:val="center"/>
          </w:tcPr>
          <w:p w14:paraId="19F843B6">
            <w:pPr>
              <w:pStyle w:val="11"/>
            </w:pPr>
            <w:r>
              <w:t>指标值确定依据</w:t>
            </w:r>
          </w:p>
        </w:tc>
      </w:tr>
      <w:tr w14:paraId="719E5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D152E">
            <w:pPr>
              <w:pStyle w:val="12"/>
            </w:pPr>
            <w:r>
              <w:t>产出指标</w:t>
            </w:r>
          </w:p>
        </w:tc>
        <w:tc>
          <w:tcPr>
            <w:tcW w:w="2268" w:type="dxa"/>
            <w:vAlign w:val="center"/>
          </w:tcPr>
          <w:p w14:paraId="1EC71227">
            <w:pPr>
              <w:pStyle w:val="13"/>
            </w:pPr>
            <w:r>
              <w:t>数量指标</w:t>
            </w:r>
          </w:p>
        </w:tc>
        <w:tc>
          <w:tcPr>
            <w:tcW w:w="2835" w:type="dxa"/>
            <w:vAlign w:val="center"/>
          </w:tcPr>
          <w:p w14:paraId="6368C3F5">
            <w:pPr>
              <w:pStyle w:val="13"/>
            </w:pPr>
            <w:r>
              <w:t>购置专用设备购置</w:t>
            </w:r>
          </w:p>
        </w:tc>
        <w:tc>
          <w:tcPr>
            <w:tcW w:w="5386" w:type="dxa"/>
            <w:vAlign w:val="center"/>
          </w:tcPr>
          <w:p w14:paraId="37B42519">
            <w:pPr>
              <w:pStyle w:val="13"/>
            </w:pPr>
            <w:r>
              <w:t>购置变压器</w:t>
            </w:r>
          </w:p>
        </w:tc>
        <w:tc>
          <w:tcPr>
            <w:tcW w:w="2268" w:type="dxa"/>
            <w:vAlign w:val="center"/>
          </w:tcPr>
          <w:p w14:paraId="5F92CDD7">
            <w:pPr>
              <w:pStyle w:val="13"/>
            </w:pPr>
            <w:r>
              <w:t>1台</w:t>
            </w:r>
          </w:p>
        </w:tc>
        <w:tc>
          <w:tcPr>
            <w:tcW w:w="1276" w:type="dxa"/>
            <w:vAlign w:val="center"/>
          </w:tcPr>
          <w:p w14:paraId="5F90D007">
            <w:pPr>
              <w:pStyle w:val="13"/>
            </w:pPr>
            <w:r>
              <w:t>项目规划</w:t>
            </w:r>
          </w:p>
        </w:tc>
      </w:tr>
      <w:tr w14:paraId="044BF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475EE"/>
        </w:tc>
        <w:tc>
          <w:tcPr>
            <w:tcW w:w="2268" w:type="dxa"/>
            <w:vAlign w:val="center"/>
          </w:tcPr>
          <w:p w14:paraId="56E97B8E">
            <w:pPr>
              <w:pStyle w:val="13"/>
            </w:pPr>
            <w:r>
              <w:t>质量指标</w:t>
            </w:r>
          </w:p>
        </w:tc>
        <w:tc>
          <w:tcPr>
            <w:tcW w:w="2835" w:type="dxa"/>
            <w:vAlign w:val="center"/>
          </w:tcPr>
          <w:p w14:paraId="0B90777E">
            <w:pPr>
              <w:pStyle w:val="13"/>
            </w:pPr>
            <w:r>
              <w:t>购置项目质量合格率</w:t>
            </w:r>
          </w:p>
        </w:tc>
        <w:tc>
          <w:tcPr>
            <w:tcW w:w="5386" w:type="dxa"/>
            <w:vAlign w:val="center"/>
          </w:tcPr>
          <w:p w14:paraId="07CE56A6">
            <w:pPr>
              <w:pStyle w:val="13"/>
            </w:pPr>
            <w:r>
              <w:t>专用设备购置质量合格</w:t>
            </w:r>
          </w:p>
        </w:tc>
        <w:tc>
          <w:tcPr>
            <w:tcW w:w="2268" w:type="dxa"/>
            <w:vAlign w:val="center"/>
          </w:tcPr>
          <w:p w14:paraId="29066BED">
            <w:pPr>
              <w:pStyle w:val="13"/>
            </w:pPr>
            <w:r>
              <w:t>≥100%</w:t>
            </w:r>
          </w:p>
        </w:tc>
        <w:tc>
          <w:tcPr>
            <w:tcW w:w="1276" w:type="dxa"/>
            <w:vAlign w:val="center"/>
          </w:tcPr>
          <w:p w14:paraId="4E34D640">
            <w:pPr>
              <w:pStyle w:val="13"/>
            </w:pPr>
            <w:r>
              <w:t>项目规划</w:t>
            </w:r>
          </w:p>
        </w:tc>
      </w:tr>
      <w:tr w14:paraId="1F368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CD255"/>
        </w:tc>
        <w:tc>
          <w:tcPr>
            <w:tcW w:w="2268" w:type="dxa"/>
            <w:vAlign w:val="center"/>
          </w:tcPr>
          <w:p w14:paraId="5F61662B">
            <w:pPr>
              <w:pStyle w:val="13"/>
            </w:pPr>
            <w:r>
              <w:t>时效指标</w:t>
            </w:r>
          </w:p>
        </w:tc>
        <w:tc>
          <w:tcPr>
            <w:tcW w:w="2835" w:type="dxa"/>
            <w:vAlign w:val="center"/>
          </w:tcPr>
          <w:p w14:paraId="2B3D2952">
            <w:pPr>
              <w:pStyle w:val="13"/>
            </w:pPr>
            <w:r>
              <w:t>按时完成率</w:t>
            </w:r>
          </w:p>
        </w:tc>
        <w:tc>
          <w:tcPr>
            <w:tcW w:w="5386" w:type="dxa"/>
            <w:vAlign w:val="center"/>
          </w:tcPr>
          <w:p w14:paraId="1B2D6BFD">
            <w:pPr>
              <w:pStyle w:val="13"/>
            </w:pPr>
            <w:r>
              <w:t>购置项目按时序进度完成比例</w:t>
            </w:r>
          </w:p>
        </w:tc>
        <w:tc>
          <w:tcPr>
            <w:tcW w:w="2268" w:type="dxa"/>
            <w:vAlign w:val="center"/>
          </w:tcPr>
          <w:p w14:paraId="65F2410B">
            <w:pPr>
              <w:pStyle w:val="13"/>
            </w:pPr>
            <w:r>
              <w:t>≥100%</w:t>
            </w:r>
          </w:p>
        </w:tc>
        <w:tc>
          <w:tcPr>
            <w:tcW w:w="1276" w:type="dxa"/>
            <w:vAlign w:val="center"/>
          </w:tcPr>
          <w:p w14:paraId="48BDE21F">
            <w:pPr>
              <w:pStyle w:val="13"/>
            </w:pPr>
            <w:r>
              <w:t>项目规划</w:t>
            </w:r>
          </w:p>
        </w:tc>
      </w:tr>
      <w:tr w14:paraId="014E3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675E7"/>
        </w:tc>
        <w:tc>
          <w:tcPr>
            <w:tcW w:w="2268" w:type="dxa"/>
            <w:vAlign w:val="center"/>
          </w:tcPr>
          <w:p w14:paraId="3C3596B4">
            <w:pPr>
              <w:pStyle w:val="13"/>
            </w:pPr>
            <w:r>
              <w:t>成本指标</w:t>
            </w:r>
          </w:p>
        </w:tc>
        <w:tc>
          <w:tcPr>
            <w:tcW w:w="2835" w:type="dxa"/>
            <w:vAlign w:val="center"/>
          </w:tcPr>
          <w:p w14:paraId="068DB21C">
            <w:pPr>
              <w:pStyle w:val="13"/>
            </w:pPr>
            <w:r>
              <w:t>系统安装成本</w:t>
            </w:r>
          </w:p>
        </w:tc>
        <w:tc>
          <w:tcPr>
            <w:tcW w:w="5386" w:type="dxa"/>
            <w:vAlign w:val="center"/>
          </w:tcPr>
          <w:p w14:paraId="7FA8B3B5">
            <w:pPr>
              <w:pStyle w:val="13"/>
            </w:pPr>
            <w:r>
              <w:t>专用设备购置安装成本</w:t>
            </w:r>
          </w:p>
        </w:tc>
        <w:tc>
          <w:tcPr>
            <w:tcW w:w="2268" w:type="dxa"/>
            <w:vAlign w:val="center"/>
          </w:tcPr>
          <w:p w14:paraId="502CC699">
            <w:pPr>
              <w:pStyle w:val="13"/>
            </w:pPr>
            <w:r>
              <w:t>11万元</w:t>
            </w:r>
          </w:p>
        </w:tc>
        <w:tc>
          <w:tcPr>
            <w:tcW w:w="1276" w:type="dxa"/>
            <w:vAlign w:val="center"/>
          </w:tcPr>
          <w:p w14:paraId="5489724C">
            <w:pPr>
              <w:pStyle w:val="13"/>
            </w:pPr>
            <w:r>
              <w:t>项目规划</w:t>
            </w:r>
          </w:p>
        </w:tc>
      </w:tr>
      <w:tr w14:paraId="4DB21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6BD8BB">
            <w:pPr>
              <w:pStyle w:val="12"/>
            </w:pPr>
            <w:r>
              <w:t>效益指标</w:t>
            </w:r>
          </w:p>
        </w:tc>
        <w:tc>
          <w:tcPr>
            <w:tcW w:w="2268" w:type="dxa"/>
            <w:vAlign w:val="center"/>
          </w:tcPr>
          <w:p w14:paraId="76C4A5E8">
            <w:pPr>
              <w:pStyle w:val="13"/>
            </w:pPr>
            <w:r>
              <w:t>可持续影响指标</w:t>
            </w:r>
          </w:p>
        </w:tc>
        <w:tc>
          <w:tcPr>
            <w:tcW w:w="2835" w:type="dxa"/>
            <w:vAlign w:val="center"/>
          </w:tcPr>
          <w:p w14:paraId="74586212">
            <w:pPr>
              <w:pStyle w:val="13"/>
            </w:pPr>
            <w:r>
              <w:t>学校运转得到提高</w:t>
            </w:r>
          </w:p>
        </w:tc>
        <w:tc>
          <w:tcPr>
            <w:tcW w:w="5386" w:type="dxa"/>
            <w:vAlign w:val="center"/>
          </w:tcPr>
          <w:p w14:paraId="18A0FB45">
            <w:pPr>
              <w:pStyle w:val="13"/>
            </w:pPr>
            <w:r>
              <w:t>学生受教育年限</w:t>
            </w:r>
          </w:p>
        </w:tc>
        <w:tc>
          <w:tcPr>
            <w:tcW w:w="2268" w:type="dxa"/>
            <w:vAlign w:val="center"/>
          </w:tcPr>
          <w:p w14:paraId="09226723">
            <w:pPr>
              <w:pStyle w:val="13"/>
            </w:pPr>
            <w:r>
              <w:t>6年</w:t>
            </w:r>
          </w:p>
        </w:tc>
        <w:tc>
          <w:tcPr>
            <w:tcW w:w="1276" w:type="dxa"/>
            <w:vAlign w:val="center"/>
          </w:tcPr>
          <w:p w14:paraId="108448A3">
            <w:pPr>
              <w:pStyle w:val="13"/>
            </w:pPr>
            <w:r>
              <w:t>项目规划</w:t>
            </w:r>
          </w:p>
        </w:tc>
      </w:tr>
      <w:tr w14:paraId="2E3B0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5C4EF4">
            <w:pPr>
              <w:pStyle w:val="12"/>
            </w:pPr>
            <w:r>
              <w:t>满意度指标</w:t>
            </w:r>
          </w:p>
        </w:tc>
        <w:tc>
          <w:tcPr>
            <w:tcW w:w="2268" w:type="dxa"/>
            <w:vAlign w:val="center"/>
          </w:tcPr>
          <w:p w14:paraId="68667839">
            <w:pPr>
              <w:pStyle w:val="13"/>
            </w:pPr>
            <w:r>
              <w:t>服务对象满意度指标</w:t>
            </w:r>
          </w:p>
        </w:tc>
        <w:tc>
          <w:tcPr>
            <w:tcW w:w="2835" w:type="dxa"/>
            <w:vAlign w:val="center"/>
          </w:tcPr>
          <w:p w14:paraId="6499D921">
            <w:pPr>
              <w:pStyle w:val="13"/>
            </w:pPr>
            <w:r>
              <w:t>学生和家长满意度</w:t>
            </w:r>
          </w:p>
        </w:tc>
        <w:tc>
          <w:tcPr>
            <w:tcW w:w="5386" w:type="dxa"/>
            <w:vAlign w:val="center"/>
          </w:tcPr>
          <w:p w14:paraId="7C8B2CA6">
            <w:pPr>
              <w:pStyle w:val="13"/>
            </w:pPr>
            <w:r>
              <w:t>大幅提高学生和学生家长满意度</w:t>
            </w:r>
          </w:p>
        </w:tc>
        <w:tc>
          <w:tcPr>
            <w:tcW w:w="2268" w:type="dxa"/>
            <w:vAlign w:val="center"/>
          </w:tcPr>
          <w:p w14:paraId="3136499F">
            <w:pPr>
              <w:pStyle w:val="13"/>
            </w:pPr>
            <w:r>
              <w:t>≥95%</w:t>
            </w:r>
          </w:p>
        </w:tc>
        <w:tc>
          <w:tcPr>
            <w:tcW w:w="1276" w:type="dxa"/>
            <w:vAlign w:val="center"/>
          </w:tcPr>
          <w:p w14:paraId="3E37F14E">
            <w:pPr>
              <w:pStyle w:val="13"/>
            </w:pPr>
            <w:r>
              <w:t>项目规划</w:t>
            </w:r>
          </w:p>
        </w:tc>
      </w:tr>
    </w:tbl>
    <w:p w14:paraId="4BE7307A">
      <w:pPr>
        <w:sectPr>
          <w:pgSz w:w="16840" w:h="11900" w:orient="landscape"/>
          <w:pgMar w:top="1361" w:right="1020" w:bottom="1134" w:left="1020" w:header="720" w:footer="720" w:gutter="0"/>
          <w:cols w:space="720" w:num="1"/>
        </w:sectPr>
      </w:pPr>
    </w:p>
    <w:p w14:paraId="544634D9">
      <w:pPr>
        <w:spacing w:before="0" w:after="0"/>
        <w:ind w:firstLine="560"/>
        <w:jc w:val="left"/>
        <w:outlineLvl w:val="9"/>
      </w:pPr>
      <w:r>
        <w:rPr>
          <w:rFonts w:ascii="方正仿宋_GBK" w:hAnsi="方正仿宋_GBK" w:eastAsia="方正仿宋_GBK" w:cs="方正仿宋_GBK"/>
          <w:b/>
          <w:color w:val="000000"/>
          <w:sz w:val="28"/>
        </w:rPr>
        <w:t>19、冀财教[2024]141号/省级/2025年义教补助经费/大干言小学公用经费绩效目标表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23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C7D09">
            <w:pPr>
              <w:pStyle w:val="14"/>
            </w:pPr>
            <w:r>
              <w:t>单位：万元</w:t>
            </w:r>
          </w:p>
        </w:tc>
      </w:tr>
      <w:tr w14:paraId="32B72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CB824">
            <w:pPr>
              <w:pStyle w:val="11"/>
            </w:pPr>
            <w:r>
              <w:t>项目编码</w:t>
            </w:r>
          </w:p>
        </w:tc>
        <w:tc>
          <w:tcPr>
            <w:tcW w:w="5103" w:type="dxa"/>
            <w:gridSpan w:val="2"/>
            <w:vAlign w:val="center"/>
          </w:tcPr>
          <w:p w14:paraId="3E1ED5EB">
            <w:pPr>
              <w:pStyle w:val="13"/>
            </w:pPr>
            <w:r>
              <w:t>13052525P000004101518</w:t>
            </w:r>
          </w:p>
        </w:tc>
        <w:tc>
          <w:tcPr>
            <w:tcW w:w="2835" w:type="dxa"/>
            <w:vAlign w:val="center"/>
          </w:tcPr>
          <w:p w14:paraId="6F47349D">
            <w:pPr>
              <w:pStyle w:val="11"/>
            </w:pPr>
            <w:r>
              <w:t>项目名称</w:t>
            </w:r>
          </w:p>
        </w:tc>
        <w:tc>
          <w:tcPr>
            <w:tcW w:w="6095" w:type="dxa"/>
            <w:gridSpan w:val="3"/>
            <w:vAlign w:val="center"/>
          </w:tcPr>
          <w:p w14:paraId="3E9C9363">
            <w:pPr>
              <w:pStyle w:val="13"/>
            </w:pPr>
            <w:r>
              <w:t>冀财教[2024]141号/省级/2025年义教补助经费/大干言小学公用经费</w:t>
            </w:r>
          </w:p>
        </w:tc>
      </w:tr>
      <w:tr w14:paraId="7DDAA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3A013">
            <w:pPr>
              <w:pStyle w:val="11"/>
            </w:pPr>
            <w:r>
              <w:t>预算规模及资金用途</w:t>
            </w:r>
          </w:p>
        </w:tc>
        <w:tc>
          <w:tcPr>
            <w:tcW w:w="2268" w:type="dxa"/>
            <w:vAlign w:val="center"/>
          </w:tcPr>
          <w:p w14:paraId="52B15F0D">
            <w:pPr>
              <w:pStyle w:val="11"/>
            </w:pPr>
            <w:r>
              <w:t>预算数</w:t>
            </w:r>
          </w:p>
        </w:tc>
        <w:tc>
          <w:tcPr>
            <w:tcW w:w="2835" w:type="dxa"/>
            <w:vAlign w:val="center"/>
          </w:tcPr>
          <w:p w14:paraId="09D8E5C2">
            <w:pPr>
              <w:pStyle w:val="13"/>
            </w:pPr>
            <w:r>
              <w:t>24.20</w:t>
            </w:r>
          </w:p>
        </w:tc>
        <w:tc>
          <w:tcPr>
            <w:tcW w:w="2835" w:type="dxa"/>
            <w:vAlign w:val="center"/>
          </w:tcPr>
          <w:p w14:paraId="70431AA2">
            <w:pPr>
              <w:pStyle w:val="11"/>
            </w:pPr>
            <w:r>
              <w:t>其中：财政    资金</w:t>
            </w:r>
          </w:p>
        </w:tc>
        <w:tc>
          <w:tcPr>
            <w:tcW w:w="2551" w:type="dxa"/>
            <w:vAlign w:val="center"/>
          </w:tcPr>
          <w:p w14:paraId="77A0CF43">
            <w:pPr>
              <w:pStyle w:val="13"/>
            </w:pPr>
            <w:r>
              <w:t>24.20</w:t>
            </w:r>
          </w:p>
        </w:tc>
        <w:tc>
          <w:tcPr>
            <w:tcW w:w="2268" w:type="dxa"/>
            <w:vAlign w:val="center"/>
          </w:tcPr>
          <w:p w14:paraId="3264972E">
            <w:pPr>
              <w:pStyle w:val="11"/>
            </w:pPr>
            <w:r>
              <w:t>其他资金</w:t>
            </w:r>
          </w:p>
        </w:tc>
        <w:tc>
          <w:tcPr>
            <w:tcW w:w="1276" w:type="dxa"/>
            <w:vAlign w:val="center"/>
          </w:tcPr>
          <w:p w14:paraId="421E49B8">
            <w:pPr>
              <w:pStyle w:val="13"/>
            </w:pPr>
            <w:r>
              <w:t xml:space="preserve"> </w:t>
            </w:r>
          </w:p>
        </w:tc>
      </w:tr>
      <w:tr w14:paraId="3EB9C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C8395B"/>
        </w:tc>
        <w:tc>
          <w:tcPr>
            <w:tcW w:w="14033" w:type="dxa"/>
            <w:gridSpan w:val="6"/>
            <w:vAlign w:val="center"/>
          </w:tcPr>
          <w:p w14:paraId="24D6A863">
            <w:pPr>
              <w:pStyle w:val="13"/>
            </w:pPr>
            <w:r>
              <w:t>保障义务教育学校正常运转，完成教育教学活动和其他日常工作任务等方面的费用支出。</w:t>
            </w:r>
          </w:p>
        </w:tc>
      </w:tr>
      <w:tr w14:paraId="36EA1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BD0F9">
            <w:pPr>
              <w:pStyle w:val="11"/>
            </w:pPr>
            <w:r>
              <w:t>资金支出计划（%）</w:t>
            </w:r>
          </w:p>
        </w:tc>
        <w:tc>
          <w:tcPr>
            <w:tcW w:w="5103" w:type="dxa"/>
            <w:gridSpan w:val="2"/>
            <w:vAlign w:val="center"/>
          </w:tcPr>
          <w:p w14:paraId="2739C6FD">
            <w:pPr>
              <w:pStyle w:val="11"/>
            </w:pPr>
            <w:r>
              <w:t>3月底</w:t>
            </w:r>
          </w:p>
        </w:tc>
        <w:tc>
          <w:tcPr>
            <w:tcW w:w="2835" w:type="dxa"/>
            <w:vAlign w:val="center"/>
          </w:tcPr>
          <w:p w14:paraId="5B6D1420">
            <w:pPr>
              <w:pStyle w:val="11"/>
            </w:pPr>
            <w:r>
              <w:t>6月底</w:t>
            </w:r>
          </w:p>
        </w:tc>
        <w:tc>
          <w:tcPr>
            <w:tcW w:w="2551" w:type="dxa"/>
            <w:vAlign w:val="center"/>
          </w:tcPr>
          <w:p w14:paraId="5B367E47">
            <w:pPr>
              <w:pStyle w:val="11"/>
            </w:pPr>
            <w:r>
              <w:t>10月底</w:t>
            </w:r>
          </w:p>
        </w:tc>
        <w:tc>
          <w:tcPr>
            <w:tcW w:w="3544" w:type="dxa"/>
            <w:gridSpan w:val="2"/>
            <w:vAlign w:val="center"/>
          </w:tcPr>
          <w:p w14:paraId="1995F1A9">
            <w:pPr>
              <w:pStyle w:val="11"/>
            </w:pPr>
            <w:r>
              <w:t>12月底</w:t>
            </w:r>
          </w:p>
        </w:tc>
      </w:tr>
      <w:tr w14:paraId="4B4DD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E40D7"/>
        </w:tc>
        <w:tc>
          <w:tcPr>
            <w:tcW w:w="5103" w:type="dxa"/>
            <w:gridSpan w:val="2"/>
            <w:vAlign w:val="center"/>
          </w:tcPr>
          <w:p w14:paraId="225A0A89">
            <w:pPr>
              <w:pStyle w:val="12"/>
            </w:pPr>
            <w:r>
              <w:t>25%</w:t>
            </w:r>
          </w:p>
        </w:tc>
        <w:tc>
          <w:tcPr>
            <w:tcW w:w="2835" w:type="dxa"/>
            <w:vAlign w:val="center"/>
          </w:tcPr>
          <w:p w14:paraId="696A041E">
            <w:pPr>
              <w:pStyle w:val="12"/>
            </w:pPr>
            <w:r>
              <w:t>50%</w:t>
            </w:r>
          </w:p>
        </w:tc>
        <w:tc>
          <w:tcPr>
            <w:tcW w:w="2551" w:type="dxa"/>
            <w:vAlign w:val="center"/>
          </w:tcPr>
          <w:p w14:paraId="7563AAAB">
            <w:pPr>
              <w:pStyle w:val="12"/>
            </w:pPr>
            <w:r>
              <w:t>75%</w:t>
            </w:r>
          </w:p>
        </w:tc>
        <w:tc>
          <w:tcPr>
            <w:tcW w:w="3544" w:type="dxa"/>
            <w:gridSpan w:val="2"/>
            <w:vAlign w:val="center"/>
          </w:tcPr>
          <w:p w14:paraId="08878D67">
            <w:pPr>
              <w:pStyle w:val="12"/>
            </w:pPr>
            <w:r>
              <w:t>100%</w:t>
            </w:r>
          </w:p>
        </w:tc>
      </w:tr>
      <w:tr w14:paraId="7311F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0B8AC9">
            <w:pPr>
              <w:pStyle w:val="11"/>
            </w:pPr>
            <w:r>
              <w:t>绩效目标</w:t>
            </w:r>
          </w:p>
        </w:tc>
        <w:tc>
          <w:tcPr>
            <w:tcW w:w="14033" w:type="dxa"/>
            <w:gridSpan w:val="6"/>
            <w:vAlign w:val="center"/>
          </w:tcPr>
          <w:p w14:paraId="39CCD980">
            <w:pPr>
              <w:pStyle w:val="13"/>
            </w:pPr>
            <w:r>
              <w:t>1.保障义务教育学校正常运转，完成教育教学活动和其他日常工作任务等方面的费用支出。</w:t>
            </w:r>
          </w:p>
          <w:p w14:paraId="74720C20">
            <w:pPr>
              <w:pStyle w:val="13"/>
            </w:pPr>
            <w:r>
              <w:t>2.按规定拨付公用经费资金241960元，资金拨付率达到100%。</w:t>
            </w:r>
          </w:p>
        </w:tc>
      </w:tr>
    </w:tbl>
    <w:p w14:paraId="21316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53"/>
        <w:gridCol w:w="1991"/>
      </w:tblGrid>
      <w:tr w14:paraId="0ECE6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68CF9">
            <w:pPr>
              <w:pStyle w:val="11"/>
            </w:pPr>
            <w:r>
              <w:t>一级指标</w:t>
            </w:r>
          </w:p>
        </w:tc>
        <w:tc>
          <w:tcPr>
            <w:tcW w:w="2268" w:type="dxa"/>
            <w:vAlign w:val="center"/>
          </w:tcPr>
          <w:p w14:paraId="31ECFD2C">
            <w:pPr>
              <w:pStyle w:val="11"/>
            </w:pPr>
            <w:r>
              <w:t>二级指标</w:t>
            </w:r>
          </w:p>
        </w:tc>
        <w:tc>
          <w:tcPr>
            <w:tcW w:w="2835" w:type="dxa"/>
            <w:vAlign w:val="center"/>
          </w:tcPr>
          <w:p w14:paraId="364D5B56">
            <w:pPr>
              <w:pStyle w:val="11"/>
            </w:pPr>
            <w:r>
              <w:t>三级指标</w:t>
            </w:r>
          </w:p>
        </w:tc>
        <w:tc>
          <w:tcPr>
            <w:tcW w:w="5386" w:type="dxa"/>
            <w:vAlign w:val="center"/>
          </w:tcPr>
          <w:p w14:paraId="0F7E84BD">
            <w:pPr>
              <w:pStyle w:val="11"/>
            </w:pPr>
            <w:r>
              <w:t>绩效指标描述</w:t>
            </w:r>
          </w:p>
        </w:tc>
        <w:tc>
          <w:tcPr>
            <w:tcW w:w="1553" w:type="dxa"/>
            <w:vAlign w:val="center"/>
          </w:tcPr>
          <w:p w14:paraId="32931A84">
            <w:pPr>
              <w:pStyle w:val="11"/>
            </w:pPr>
            <w:r>
              <w:t>指标值</w:t>
            </w:r>
          </w:p>
        </w:tc>
        <w:tc>
          <w:tcPr>
            <w:tcW w:w="1991" w:type="dxa"/>
            <w:vAlign w:val="center"/>
          </w:tcPr>
          <w:p w14:paraId="368FBA29">
            <w:pPr>
              <w:pStyle w:val="11"/>
            </w:pPr>
            <w:r>
              <w:t>指标值确定依据</w:t>
            </w:r>
          </w:p>
        </w:tc>
      </w:tr>
      <w:tr w14:paraId="65BEE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D55A8">
            <w:pPr>
              <w:pStyle w:val="12"/>
            </w:pPr>
            <w:r>
              <w:t>产出指标</w:t>
            </w:r>
          </w:p>
        </w:tc>
        <w:tc>
          <w:tcPr>
            <w:tcW w:w="2268" w:type="dxa"/>
            <w:vAlign w:val="center"/>
          </w:tcPr>
          <w:p w14:paraId="1412325B">
            <w:pPr>
              <w:pStyle w:val="13"/>
            </w:pPr>
            <w:r>
              <w:t>数量指标</w:t>
            </w:r>
          </w:p>
        </w:tc>
        <w:tc>
          <w:tcPr>
            <w:tcW w:w="2835" w:type="dxa"/>
            <w:vAlign w:val="center"/>
          </w:tcPr>
          <w:p w14:paraId="7F30DD42">
            <w:pPr>
              <w:pStyle w:val="13"/>
            </w:pPr>
            <w:r>
              <w:t>就读学生数</w:t>
            </w:r>
          </w:p>
        </w:tc>
        <w:tc>
          <w:tcPr>
            <w:tcW w:w="5386" w:type="dxa"/>
            <w:vAlign w:val="center"/>
          </w:tcPr>
          <w:p w14:paraId="0CC16074">
            <w:pPr>
              <w:pStyle w:val="13"/>
            </w:pPr>
            <w:r>
              <w:t>辐射区域内适龄学生人数</w:t>
            </w:r>
          </w:p>
        </w:tc>
        <w:tc>
          <w:tcPr>
            <w:tcW w:w="1553" w:type="dxa"/>
            <w:vAlign w:val="center"/>
          </w:tcPr>
          <w:p w14:paraId="52774B52">
            <w:pPr>
              <w:pStyle w:val="13"/>
            </w:pPr>
            <w:r>
              <w:t>828人</w:t>
            </w:r>
          </w:p>
        </w:tc>
        <w:tc>
          <w:tcPr>
            <w:tcW w:w="1991" w:type="dxa"/>
            <w:vAlign w:val="center"/>
          </w:tcPr>
          <w:p w14:paraId="721C4314">
            <w:pPr>
              <w:pStyle w:val="13"/>
            </w:pPr>
            <w:r>
              <w:t>城乡义务教育公用经费管理办法</w:t>
            </w:r>
          </w:p>
        </w:tc>
      </w:tr>
      <w:tr w14:paraId="17D13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136B0"/>
        </w:tc>
        <w:tc>
          <w:tcPr>
            <w:tcW w:w="2268" w:type="dxa"/>
            <w:vAlign w:val="center"/>
          </w:tcPr>
          <w:p w14:paraId="32320BAC">
            <w:pPr>
              <w:pStyle w:val="13"/>
            </w:pPr>
            <w:r>
              <w:t>质量指标</w:t>
            </w:r>
          </w:p>
        </w:tc>
        <w:tc>
          <w:tcPr>
            <w:tcW w:w="2835" w:type="dxa"/>
            <w:vAlign w:val="center"/>
          </w:tcPr>
          <w:p w14:paraId="073DBBD7">
            <w:pPr>
              <w:pStyle w:val="13"/>
            </w:pPr>
            <w:r>
              <w:t>预算执行率</w:t>
            </w:r>
          </w:p>
        </w:tc>
        <w:tc>
          <w:tcPr>
            <w:tcW w:w="5386" w:type="dxa"/>
            <w:vAlign w:val="center"/>
          </w:tcPr>
          <w:p w14:paraId="30588B7E">
            <w:pPr>
              <w:pStyle w:val="13"/>
            </w:pPr>
            <w:r>
              <w:t>预算执行率≥98%</w:t>
            </w:r>
          </w:p>
        </w:tc>
        <w:tc>
          <w:tcPr>
            <w:tcW w:w="1553" w:type="dxa"/>
            <w:vAlign w:val="center"/>
          </w:tcPr>
          <w:p w14:paraId="5C5CF68E">
            <w:pPr>
              <w:pStyle w:val="13"/>
            </w:pPr>
            <w:r>
              <w:t>≥98%</w:t>
            </w:r>
          </w:p>
        </w:tc>
        <w:tc>
          <w:tcPr>
            <w:tcW w:w="1991" w:type="dxa"/>
            <w:vAlign w:val="center"/>
          </w:tcPr>
          <w:p w14:paraId="2D5A1801">
            <w:pPr>
              <w:pStyle w:val="13"/>
            </w:pPr>
            <w:r>
              <w:t>城乡义务教育公用经费管理办法</w:t>
            </w:r>
          </w:p>
        </w:tc>
      </w:tr>
      <w:tr w14:paraId="54205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8A493"/>
        </w:tc>
        <w:tc>
          <w:tcPr>
            <w:tcW w:w="2268" w:type="dxa"/>
            <w:vAlign w:val="center"/>
          </w:tcPr>
          <w:p w14:paraId="0277155F">
            <w:pPr>
              <w:pStyle w:val="13"/>
            </w:pPr>
            <w:r>
              <w:t>时效指标</w:t>
            </w:r>
          </w:p>
        </w:tc>
        <w:tc>
          <w:tcPr>
            <w:tcW w:w="2835" w:type="dxa"/>
            <w:vAlign w:val="center"/>
          </w:tcPr>
          <w:p w14:paraId="16B80218">
            <w:pPr>
              <w:pStyle w:val="13"/>
            </w:pPr>
            <w:r>
              <w:t>义教经费支付完成率</w:t>
            </w:r>
          </w:p>
        </w:tc>
        <w:tc>
          <w:tcPr>
            <w:tcW w:w="5386" w:type="dxa"/>
            <w:vAlign w:val="center"/>
          </w:tcPr>
          <w:p w14:paraId="7603D078">
            <w:pPr>
              <w:pStyle w:val="13"/>
            </w:pPr>
            <w:r>
              <w:t>按照序时进度完成资金支付</w:t>
            </w:r>
          </w:p>
        </w:tc>
        <w:tc>
          <w:tcPr>
            <w:tcW w:w="1553" w:type="dxa"/>
            <w:vAlign w:val="center"/>
          </w:tcPr>
          <w:p w14:paraId="355BD7FB">
            <w:pPr>
              <w:pStyle w:val="13"/>
            </w:pPr>
            <w:r>
              <w:t>≥100%</w:t>
            </w:r>
          </w:p>
        </w:tc>
        <w:tc>
          <w:tcPr>
            <w:tcW w:w="1991" w:type="dxa"/>
            <w:vAlign w:val="center"/>
          </w:tcPr>
          <w:p w14:paraId="1CF9775A">
            <w:pPr>
              <w:pStyle w:val="13"/>
            </w:pPr>
            <w:r>
              <w:t>城乡义务教育公用经费管理办法</w:t>
            </w:r>
          </w:p>
        </w:tc>
      </w:tr>
      <w:tr w14:paraId="68404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2A9C7"/>
        </w:tc>
        <w:tc>
          <w:tcPr>
            <w:tcW w:w="2268" w:type="dxa"/>
            <w:vAlign w:val="center"/>
          </w:tcPr>
          <w:p w14:paraId="4C990296">
            <w:pPr>
              <w:pStyle w:val="13"/>
            </w:pPr>
            <w:r>
              <w:t>成本指标</w:t>
            </w:r>
          </w:p>
        </w:tc>
        <w:tc>
          <w:tcPr>
            <w:tcW w:w="2835" w:type="dxa"/>
            <w:vAlign w:val="center"/>
          </w:tcPr>
          <w:p w14:paraId="21E39AD5">
            <w:pPr>
              <w:pStyle w:val="13"/>
            </w:pPr>
            <w:r>
              <w:t>生均拨款标准</w:t>
            </w:r>
          </w:p>
        </w:tc>
        <w:tc>
          <w:tcPr>
            <w:tcW w:w="5386" w:type="dxa"/>
            <w:vAlign w:val="center"/>
          </w:tcPr>
          <w:p w14:paraId="134A7AB4">
            <w:pPr>
              <w:pStyle w:val="13"/>
            </w:pPr>
            <w:r>
              <w:t>小学生公用经费生均小学720元。取暖费120元/生/年，随班就读学生补助6000元/生</w:t>
            </w:r>
          </w:p>
        </w:tc>
        <w:tc>
          <w:tcPr>
            <w:tcW w:w="1553" w:type="dxa"/>
            <w:vAlign w:val="center"/>
          </w:tcPr>
          <w:p w14:paraId="21AC1E22">
            <w:pPr>
              <w:pStyle w:val="13"/>
            </w:pPr>
            <w:r>
              <w:t>840元</w:t>
            </w:r>
          </w:p>
        </w:tc>
        <w:tc>
          <w:tcPr>
            <w:tcW w:w="1991" w:type="dxa"/>
            <w:vAlign w:val="center"/>
          </w:tcPr>
          <w:p w14:paraId="71DAA968">
            <w:pPr>
              <w:pStyle w:val="13"/>
            </w:pPr>
            <w:r>
              <w:t>城乡义务教育公用经费管理办法</w:t>
            </w:r>
          </w:p>
        </w:tc>
      </w:tr>
      <w:tr w14:paraId="60B70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D66E25">
            <w:pPr>
              <w:pStyle w:val="12"/>
            </w:pPr>
            <w:r>
              <w:t>效益指标</w:t>
            </w:r>
          </w:p>
        </w:tc>
        <w:tc>
          <w:tcPr>
            <w:tcW w:w="2268" w:type="dxa"/>
            <w:vAlign w:val="center"/>
          </w:tcPr>
          <w:p w14:paraId="5C108E4E">
            <w:pPr>
              <w:pStyle w:val="13"/>
            </w:pPr>
            <w:r>
              <w:t>可持续影响指标</w:t>
            </w:r>
          </w:p>
        </w:tc>
        <w:tc>
          <w:tcPr>
            <w:tcW w:w="2835" w:type="dxa"/>
            <w:vAlign w:val="center"/>
          </w:tcPr>
          <w:p w14:paraId="45C41C94">
            <w:pPr>
              <w:pStyle w:val="13"/>
            </w:pPr>
            <w:r>
              <w:t>学校运转得到提高</w:t>
            </w:r>
          </w:p>
        </w:tc>
        <w:tc>
          <w:tcPr>
            <w:tcW w:w="5386" w:type="dxa"/>
            <w:vAlign w:val="center"/>
          </w:tcPr>
          <w:p w14:paraId="5A1D1028">
            <w:pPr>
              <w:pStyle w:val="13"/>
            </w:pPr>
            <w:r>
              <w:t>学生受教育年限</w:t>
            </w:r>
          </w:p>
        </w:tc>
        <w:tc>
          <w:tcPr>
            <w:tcW w:w="1553" w:type="dxa"/>
            <w:vAlign w:val="center"/>
          </w:tcPr>
          <w:p w14:paraId="131E774F">
            <w:pPr>
              <w:pStyle w:val="13"/>
            </w:pPr>
            <w:r>
              <w:t>6年</w:t>
            </w:r>
          </w:p>
        </w:tc>
        <w:tc>
          <w:tcPr>
            <w:tcW w:w="1991" w:type="dxa"/>
            <w:vAlign w:val="center"/>
          </w:tcPr>
          <w:p w14:paraId="706BE521">
            <w:pPr>
              <w:pStyle w:val="13"/>
            </w:pPr>
            <w:r>
              <w:t>城乡义务教育公用经费管理办法</w:t>
            </w:r>
          </w:p>
        </w:tc>
      </w:tr>
      <w:tr w14:paraId="20766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3746D9">
            <w:pPr>
              <w:pStyle w:val="12"/>
            </w:pPr>
            <w:r>
              <w:t>满意度指标</w:t>
            </w:r>
          </w:p>
        </w:tc>
        <w:tc>
          <w:tcPr>
            <w:tcW w:w="2268" w:type="dxa"/>
            <w:vAlign w:val="center"/>
          </w:tcPr>
          <w:p w14:paraId="4CBB963B">
            <w:pPr>
              <w:pStyle w:val="13"/>
            </w:pPr>
            <w:r>
              <w:t>服务对象满意度指标</w:t>
            </w:r>
          </w:p>
        </w:tc>
        <w:tc>
          <w:tcPr>
            <w:tcW w:w="2835" w:type="dxa"/>
            <w:vAlign w:val="center"/>
          </w:tcPr>
          <w:p w14:paraId="4FB8F1F3">
            <w:pPr>
              <w:pStyle w:val="13"/>
            </w:pPr>
            <w:r>
              <w:t>服务对象满意度</w:t>
            </w:r>
          </w:p>
        </w:tc>
        <w:tc>
          <w:tcPr>
            <w:tcW w:w="5386" w:type="dxa"/>
            <w:vAlign w:val="center"/>
          </w:tcPr>
          <w:p w14:paraId="34034ADA">
            <w:pPr>
              <w:pStyle w:val="13"/>
            </w:pPr>
            <w:r>
              <w:t>学校老师和学生满意度</w:t>
            </w:r>
          </w:p>
        </w:tc>
        <w:tc>
          <w:tcPr>
            <w:tcW w:w="1553" w:type="dxa"/>
            <w:vAlign w:val="center"/>
          </w:tcPr>
          <w:p w14:paraId="7BED9B02">
            <w:pPr>
              <w:pStyle w:val="13"/>
            </w:pPr>
            <w:r>
              <w:t>≥95%</w:t>
            </w:r>
          </w:p>
        </w:tc>
        <w:tc>
          <w:tcPr>
            <w:tcW w:w="1991" w:type="dxa"/>
            <w:vAlign w:val="center"/>
          </w:tcPr>
          <w:p w14:paraId="10F366B9">
            <w:pPr>
              <w:pStyle w:val="13"/>
            </w:pPr>
            <w:r>
              <w:t>城乡义务教育公用经费管理办法</w:t>
            </w:r>
          </w:p>
        </w:tc>
      </w:tr>
    </w:tbl>
    <w:p w14:paraId="040F5406">
      <w:pPr>
        <w:sectPr>
          <w:pgSz w:w="16840" w:h="11900" w:orient="landscape"/>
          <w:pgMar w:top="1361" w:right="1020" w:bottom="1134" w:left="1020" w:header="720" w:footer="720" w:gutter="0"/>
          <w:cols w:space="720" w:num="1"/>
        </w:sectPr>
      </w:pPr>
    </w:p>
    <w:p w14:paraId="6096AAE6">
      <w:pPr>
        <w:spacing w:before="0" w:after="0"/>
        <w:ind w:firstLine="560"/>
        <w:jc w:val="left"/>
        <w:outlineLvl w:val="9"/>
      </w:pPr>
      <w:r>
        <w:rPr>
          <w:rFonts w:ascii="方正仿宋_GBK" w:hAnsi="方正仿宋_GBK" w:eastAsia="方正仿宋_GBK" w:cs="方正仿宋_GBK"/>
          <w:b/>
          <w:color w:val="000000"/>
          <w:sz w:val="28"/>
        </w:rPr>
        <w:t>20、冀财教[2024]141号/省级/2025年义教补助经费/大市口小学公用经费绩效目标表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56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58D3D">
            <w:pPr>
              <w:pStyle w:val="14"/>
            </w:pPr>
            <w:r>
              <w:t>单位：万元</w:t>
            </w:r>
          </w:p>
        </w:tc>
      </w:tr>
      <w:tr w14:paraId="212221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B2CA933">
            <w:pPr>
              <w:pStyle w:val="11"/>
            </w:pPr>
            <w:r>
              <w:t>项目编码</w:t>
            </w:r>
          </w:p>
        </w:tc>
        <w:tc>
          <w:tcPr>
            <w:tcW w:w="5103" w:type="dxa"/>
            <w:gridSpan w:val="2"/>
            <w:vAlign w:val="center"/>
          </w:tcPr>
          <w:p w14:paraId="4BFFB73B">
            <w:pPr>
              <w:pStyle w:val="13"/>
            </w:pPr>
            <w:r>
              <w:t>13052525P00000410153F</w:t>
            </w:r>
          </w:p>
        </w:tc>
        <w:tc>
          <w:tcPr>
            <w:tcW w:w="2835" w:type="dxa"/>
            <w:vAlign w:val="center"/>
          </w:tcPr>
          <w:p w14:paraId="0A8F3026">
            <w:pPr>
              <w:pStyle w:val="11"/>
            </w:pPr>
            <w:r>
              <w:t>项目名称</w:t>
            </w:r>
          </w:p>
        </w:tc>
        <w:tc>
          <w:tcPr>
            <w:tcW w:w="6095" w:type="dxa"/>
            <w:gridSpan w:val="3"/>
            <w:vAlign w:val="center"/>
          </w:tcPr>
          <w:p w14:paraId="6CE54172">
            <w:pPr>
              <w:pStyle w:val="13"/>
            </w:pPr>
            <w:r>
              <w:t>冀财教[2024]141号/省级/2025年义教补助经费/大市口小学公用经费</w:t>
            </w:r>
          </w:p>
        </w:tc>
      </w:tr>
      <w:tr w14:paraId="6B91C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898E8">
            <w:pPr>
              <w:pStyle w:val="11"/>
            </w:pPr>
            <w:r>
              <w:t>预算规模及资金用途</w:t>
            </w:r>
          </w:p>
        </w:tc>
        <w:tc>
          <w:tcPr>
            <w:tcW w:w="2268" w:type="dxa"/>
            <w:vAlign w:val="center"/>
          </w:tcPr>
          <w:p w14:paraId="03EA536F">
            <w:pPr>
              <w:pStyle w:val="11"/>
            </w:pPr>
            <w:r>
              <w:t>预算数</w:t>
            </w:r>
          </w:p>
        </w:tc>
        <w:tc>
          <w:tcPr>
            <w:tcW w:w="2835" w:type="dxa"/>
            <w:vAlign w:val="center"/>
          </w:tcPr>
          <w:p w14:paraId="30527E3F">
            <w:pPr>
              <w:pStyle w:val="13"/>
            </w:pPr>
            <w:r>
              <w:t>3.07</w:t>
            </w:r>
          </w:p>
        </w:tc>
        <w:tc>
          <w:tcPr>
            <w:tcW w:w="2835" w:type="dxa"/>
            <w:vAlign w:val="center"/>
          </w:tcPr>
          <w:p w14:paraId="774C3930">
            <w:pPr>
              <w:pStyle w:val="11"/>
            </w:pPr>
            <w:r>
              <w:t>其中：财政    资金</w:t>
            </w:r>
          </w:p>
        </w:tc>
        <w:tc>
          <w:tcPr>
            <w:tcW w:w="2551" w:type="dxa"/>
            <w:vAlign w:val="center"/>
          </w:tcPr>
          <w:p w14:paraId="2AD5DD19">
            <w:pPr>
              <w:pStyle w:val="13"/>
            </w:pPr>
            <w:r>
              <w:t>3.07</w:t>
            </w:r>
          </w:p>
        </w:tc>
        <w:tc>
          <w:tcPr>
            <w:tcW w:w="2268" w:type="dxa"/>
            <w:vAlign w:val="center"/>
          </w:tcPr>
          <w:p w14:paraId="364D8C31">
            <w:pPr>
              <w:pStyle w:val="11"/>
            </w:pPr>
            <w:r>
              <w:t>其他资金</w:t>
            </w:r>
          </w:p>
        </w:tc>
        <w:tc>
          <w:tcPr>
            <w:tcW w:w="1276" w:type="dxa"/>
            <w:vAlign w:val="center"/>
          </w:tcPr>
          <w:p w14:paraId="2BDB225B">
            <w:pPr>
              <w:pStyle w:val="13"/>
            </w:pPr>
            <w:r>
              <w:t xml:space="preserve"> </w:t>
            </w:r>
          </w:p>
        </w:tc>
      </w:tr>
      <w:tr w14:paraId="48A2C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796C5433"/>
        </w:tc>
        <w:tc>
          <w:tcPr>
            <w:tcW w:w="14033" w:type="dxa"/>
            <w:gridSpan w:val="6"/>
            <w:vAlign w:val="center"/>
          </w:tcPr>
          <w:p w14:paraId="64FD2977">
            <w:pPr>
              <w:pStyle w:val="13"/>
            </w:pPr>
            <w:r>
              <w:t>保障义务教育学校正常运转，完成教育教学活动和其他日常工作任务等方面的费用支出。</w:t>
            </w:r>
          </w:p>
        </w:tc>
      </w:tr>
      <w:tr w14:paraId="4ABC8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7BE4F">
            <w:pPr>
              <w:pStyle w:val="11"/>
            </w:pPr>
            <w:r>
              <w:t>资金支出计划（%）</w:t>
            </w:r>
          </w:p>
        </w:tc>
        <w:tc>
          <w:tcPr>
            <w:tcW w:w="5103" w:type="dxa"/>
            <w:gridSpan w:val="2"/>
            <w:vAlign w:val="center"/>
          </w:tcPr>
          <w:p w14:paraId="52904B3A">
            <w:pPr>
              <w:pStyle w:val="11"/>
            </w:pPr>
            <w:r>
              <w:t>3月底</w:t>
            </w:r>
          </w:p>
        </w:tc>
        <w:tc>
          <w:tcPr>
            <w:tcW w:w="2835" w:type="dxa"/>
            <w:vAlign w:val="center"/>
          </w:tcPr>
          <w:p w14:paraId="41AB0B34">
            <w:pPr>
              <w:pStyle w:val="11"/>
            </w:pPr>
            <w:r>
              <w:t>6月底</w:t>
            </w:r>
          </w:p>
        </w:tc>
        <w:tc>
          <w:tcPr>
            <w:tcW w:w="2551" w:type="dxa"/>
            <w:vAlign w:val="center"/>
          </w:tcPr>
          <w:p w14:paraId="1149FC78">
            <w:pPr>
              <w:pStyle w:val="11"/>
            </w:pPr>
            <w:r>
              <w:t>10月底</w:t>
            </w:r>
          </w:p>
        </w:tc>
        <w:tc>
          <w:tcPr>
            <w:tcW w:w="3544" w:type="dxa"/>
            <w:gridSpan w:val="2"/>
            <w:vAlign w:val="center"/>
          </w:tcPr>
          <w:p w14:paraId="1B73A598">
            <w:pPr>
              <w:pStyle w:val="11"/>
            </w:pPr>
            <w:r>
              <w:t>12月底</w:t>
            </w:r>
          </w:p>
        </w:tc>
      </w:tr>
      <w:tr w14:paraId="049C7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54DEA4"/>
        </w:tc>
        <w:tc>
          <w:tcPr>
            <w:tcW w:w="5103" w:type="dxa"/>
            <w:gridSpan w:val="2"/>
            <w:vAlign w:val="center"/>
          </w:tcPr>
          <w:p w14:paraId="2D2C82F0">
            <w:pPr>
              <w:pStyle w:val="12"/>
            </w:pPr>
            <w:r>
              <w:t>25%</w:t>
            </w:r>
          </w:p>
        </w:tc>
        <w:tc>
          <w:tcPr>
            <w:tcW w:w="2835" w:type="dxa"/>
            <w:vAlign w:val="center"/>
          </w:tcPr>
          <w:p w14:paraId="23119E72">
            <w:pPr>
              <w:pStyle w:val="12"/>
            </w:pPr>
            <w:r>
              <w:t>50%</w:t>
            </w:r>
          </w:p>
        </w:tc>
        <w:tc>
          <w:tcPr>
            <w:tcW w:w="2551" w:type="dxa"/>
            <w:vAlign w:val="center"/>
          </w:tcPr>
          <w:p w14:paraId="23D9D0D9">
            <w:pPr>
              <w:pStyle w:val="12"/>
            </w:pPr>
            <w:r>
              <w:t>75%</w:t>
            </w:r>
          </w:p>
        </w:tc>
        <w:tc>
          <w:tcPr>
            <w:tcW w:w="3544" w:type="dxa"/>
            <w:gridSpan w:val="2"/>
            <w:vAlign w:val="center"/>
          </w:tcPr>
          <w:p w14:paraId="5A217D7A">
            <w:pPr>
              <w:pStyle w:val="12"/>
            </w:pPr>
            <w:r>
              <w:t>100%</w:t>
            </w:r>
          </w:p>
        </w:tc>
      </w:tr>
      <w:tr w14:paraId="5F401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C8568">
            <w:pPr>
              <w:pStyle w:val="11"/>
            </w:pPr>
            <w:r>
              <w:t>绩效目标</w:t>
            </w:r>
          </w:p>
        </w:tc>
        <w:tc>
          <w:tcPr>
            <w:tcW w:w="14033" w:type="dxa"/>
            <w:gridSpan w:val="6"/>
            <w:vAlign w:val="center"/>
          </w:tcPr>
          <w:p w14:paraId="5BC6184E">
            <w:pPr>
              <w:pStyle w:val="13"/>
            </w:pPr>
            <w:r>
              <w:t>1.保障义务教育学校正常运转，完成教育教学活动和其他日常工作任务等方面的费用支出。</w:t>
            </w:r>
            <w:r>
              <w:tab/>
            </w:r>
            <w:r>
              <w:tab/>
            </w:r>
            <w:r>
              <w:tab/>
            </w:r>
            <w:r>
              <w:tab/>
            </w:r>
            <w:r>
              <w:tab/>
            </w:r>
            <w:r>
              <w:tab/>
            </w:r>
          </w:p>
          <w:p w14:paraId="09052947">
            <w:pPr>
              <w:pStyle w:val="13"/>
            </w:pPr>
            <w:r>
              <w:t>2.按规定拨付公用经费资金30720元，资金拨付率达到100%。</w:t>
            </w:r>
            <w:r>
              <w:tab/>
            </w:r>
            <w:r>
              <w:tab/>
            </w:r>
            <w:r>
              <w:tab/>
            </w:r>
            <w:r>
              <w:tab/>
            </w:r>
            <w:r>
              <w:tab/>
            </w:r>
            <w:r>
              <w:tab/>
            </w:r>
          </w:p>
        </w:tc>
      </w:tr>
    </w:tbl>
    <w:p w14:paraId="139B5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14:paraId="4253E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92BE7">
            <w:pPr>
              <w:pStyle w:val="11"/>
            </w:pPr>
            <w:r>
              <w:t>一级指标</w:t>
            </w:r>
          </w:p>
        </w:tc>
        <w:tc>
          <w:tcPr>
            <w:tcW w:w="2268" w:type="dxa"/>
            <w:vAlign w:val="center"/>
          </w:tcPr>
          <w:p w14:paraId="08D25958">
            <w:pPr>
              <w:pStyle w:val="11"/>
            </w:pPr>
            <w:r>
              <w:t>二级指标</w:t>
            </w:r>
          </w:p>
        </w:tc>
        <w:tc>
          <w:tcPr>
            <w:tcW w:w="2835" w:type="dxa"/>
            <w:vAlign w:val="center"/>
          </w:tcPr>
          <w:p w14:paraId="143E671B">
            <w:pPr>
              <w:pStyle w:val="11"/>
            </w:pPr>
            <w:r>
              <w:t>三级指标</w:t>
            </w:r>
          </w:p>
        </w:tc>
        <w:tc>
          <w:tcPr>
            <w:tcW w:w="5386" w:type="dxa"/>
            <w:vAlign w:val="center"/>
          </w:tcPr>
          <w:p w14:paraId="7ACD4A48">
            <w:pPr>
              <w:pStyle w:val="11"/>
            </w:pPr>
            <w:r>
              <w:t>绩效指标描述</w:t>
            </w:r>
          </w:p>
        </w:tc>
        <w:tc>
          <w:tcPr>
            <w:tcW w:w="1688" w:type="dxa"/>
            <w:vAlign w:val="center"/>
          </w:tcPr>
          <w:p w14:paraId="1BE9233C">
            <w:pPr>
              <w:pStyle w:val="11"/>
            </w:pPr>
            <w:r>
              <w:t>指标值</w:t>
            </w:r>
          </w:p>
        </w:tc>
        <w:tc>
          <w:tcPr>
            <w:tcW w:w="1856" w:type="dxa"/>
            <w:vAlign w:val="center"/>
          </w:tcPr>
          <w:p w14:paraId="00BB62A4">
            <w:pPr>
              <w:pStyle w:val="11"/>
            </w:pPr>
            <w:r>
              <w:t>指标值确定依据</w:t>
            </w:r>
          </w:p>
        </w:tc>
      </w:tr>
      <w:tr w14:paraId="26CC3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083C3">
            <w:pPr>
              <w:pStyle w:val="12"/>
            </w:pPr>
            <w:r>
              <w:t>产出指标</w:t>
            </w:r>
          </w:p>
        </w:tc>
        <w:tc>
          <w:tcPr>
            <w:tcW w:w="2268" w:type="dxa"/>
            <w:vAlign w:val="center"/>
          </w:tcPr>
          <w:p w14:paraId="2FC52651">
            <w:pPr>
              <w:pStyle w:val="13"/>
            </w:pPr>
            <w:r>
              <w:t>数量指标</w:t>
            </w:r>
          </w:p>
        </w:tc>
        <w:tc>
          <w:tcPr>
            <w:tcW w:w="2835" w:type="dxa"/>
            <w:vAlign w:val="center"/>
          </w:tcPr>
          <w:p w14:paraId="579FA81A">
            <w:pPr>
              <w:pStyle w:val="13"/>
            </w:pPr>
            <w:r>
              <w:t>就读学生数</w:t>
            </w:r>
          </w:p>
        </w:tc>
        <w:tc>
          <w:tcPr>
            <w:tcW w:w="5386" w:type="dxa"/>
            <w:vAlign w:val="center"/>
          </w:tcPr>
          <w:p w14:paraId="2B11FAB2">
            <w:pPr>
              <w:pStyle w:val="13"/>
            </w:pPr>
            <w:r>
              <w:t>辐射区域内适龄学生人数</w:t>
            </w:r>
          </w:p>
        </w:tc>
        <w:tc>
          <w:tcPr>
            <w:tcW w:w="1688" w:type="dxa"/>
            <w:vAlign w:val="center"/>
          </w:tcPr>
          <w:p w14:paraId="6AFD768A">
            <w:pPr>
              <w:pStyle w:val="13"/>
            </w:pPr>
            <w:r>
              <w:t>83人</w:t>
            </w:r>
          </w:p>
        </w:tc>
        <w:tc>
          <w:tcPr>
            <w:tcW w:w="1856" w:type="dxa"/>
            <w:vAlign w:val="center"/>
          </w:tcPr>
          <w:p w14:paraId="29B8D233">
            <w:pPr>
              <w:pStyle w:val="13"/>
            </w:pPr>
            <w:r>
              <w:t>城乡义务教育公用经费管理办法</w:t>
            </w:r>
          </w:p>
        </w:tc>
      </w:tr>
      <w:tr w14:paraId="69038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FB81C"/>
        </w:tc>
        <w:tc>
          <w:tcPr>
            <w:tcW w:w="2268" w:type="dxa"/>
            <w:vAlign w:val="center"/>
          </w:tcPr>
          <w:p w14:paraId="121C8B67">
            <w:pPr>
              <w:pStyle w:val="13"/>
            </w:pPr>
            <w:r>
              <w:t>质量指标</w:t>
            </w:r>
          </w:p>
        </w:tc>
        <w:tc>
          <w:tcPr>
            <w:tcW w:w="2835" w:type="dxa"/>
            <w:vAlign w:val="center"/>
          </w:tcPr>
          <w:p w14:paraId="14CAA6ED">
            <w:pPr>
              <w:pStyle w:val="13"/>
            </w:pPr>
            <w:r>
              <w:t>预算执行率</w:t>
            </w:r>
          </w:p>
        </w:tc>
        <w:tc>
          <w:tcPr>
            <w:tcW w:w="5386" w:type="dxa"/>
            <w:vAlign w:val="center"/>
          </w:tcPr>
          <w:p w14:paraId="1DBE0C7F">
            <w:pPr>
              <w:pStyle w:val="13"/>
            </w:pPr>
            <w:r>
              <w:t>预算执行率≥98%</w:t>
            </w:r>
          </w:p>
        </w:tc>
        <w:tc>
          <w:tcPr>
            <w:tcW w:w="1688" w:type="dxa"/>
            <w:vAlign w:val="center"/>
          </w:tcPr>
          <w:p w14:paraId="077A9462">
            <w:pPr>
              <w:pStyle w:val="13"/>
            </w:pPr>
            <w:r>
              <w:t>≥98%</w:t>
            </w:r>
          </w:p>
        </w:tc>
        <w:tc>
          <w:tcPr>
            <w:tcW w:w="1856" w:type="dxa"/>
            <w:vAlign w:val="center"/>
          </w:tcPr>
          <w:p w14:paraId="749833EC">
            <w:pPr>
              <w:pStyle w:val="13"/>
            </w:pPr>
            <w:r>
              <w:t>城乡义务教育公用经费管理办法</w:t>
            </w:r>
          </w:p>
        </w:tc>
      </w:tr>
      <w:tr w14:paraId="0C66A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47899"/>
        </w:tc>
        <w:tc>
          <w:tcPr>
            <w:tcW w:w="2268" w:type="dxa"/>
            <w:vAlign w:val="center"/>
          </w:tcPr>
          <w:p w14:paraId="1F9EA310">
            <w:pPr>
              <w:pStyle w:val="13"/>
            </w:pPr>
            <w:r>
              <w:t>时效指标</w:t>
            </w:r>
          </w:p>
        </w:tc>
        <w:tc>
          <w:tcPr>
            <w:tcW w:w="2835" w:type="dxa"/>
            <w:vAlign w:val="center"/>
          </w:tcPr>
          <w:p w14:paraId="6EA90896">
            <w:pPr>
              <w:pStyle w:val="13"/>
            </w:pPr>
            <w:r>
              <w:t>义教经费支付完成率</w:t>
            </w:r>
          </w:p>
        </w:tc>
        <w:tc>
          <w:tcPr>
            <w:tcW w:w="5386" w:type="dxa"/>
            <w:vAlign w:val="center"/>
          </w:tcPr>
          <w:p w14:paraId="32C15B25">
            <w:pPr>
              <w:pStyle w:val="13"/>
            </w:pPr>
            <w:r>
              <w:t>按照序时进度完成资金支付</w:t>
            </w:r>
          </w:p>
        </w:tc>
        <w:tc>
          <w:tcPr>
            <w:tcW w:w="1688" w:type="dxa"/>
            <w:vAlign w:val="center"/>
          </w:tcPr>
          <w:p w14:paraId="46B3D6D3">
            <w:pPr>
              <w:pStyle w:val="13"/>
            </w:pPr>
            <w:r>
              <w:t>≥100%</w:t>
            </w:r>
          </w:p>
        </w:tc>
        <w:tc>
          <w:tcPr>
            <w:tcW w:w="1856" w:type="dxa"/>
            <w:vAlign w:val="center"/>
          </w:tcPr>
          <w:p w14:paraId="3C4DE460">
            <w:pPr>
              <w:pStyle w:val="13"/>
            </w:pPr>
            <w:r>
              <w:t>城乡义务教育公用经费管理办法</w:t>
            </w:r>
          </w:p>
        </w:tc>
      </w:tr>
      <w:tr w14:paraId="1550B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2B48D"/>
        </w:tc>
        <w:tc>
          <w:tcPr>
            <w:tcW w:w="2268" w:type="dxa"/>
            <w:vAlign w:val="center"/>
          </w:tcPr>
          <w:p w14:paraId="374407E0">
            <w:pPr>
              <w:pStyle w:val="13"/>
            </w:pPr>
            <w:r>
              <w:t>成本指标</w:t>
            </w:r>
          </w:p>
        </w:tc>
        <w:tc>
          <w:tcPr>
            <w:tcW w:w="2835" w:type="dxa"/>
            <w:vAlign w:val="center"/>
          </w:tcPr>
          <w:p w14:paraId="7F68132F">
            <w:pPr>
              <w:pStyle w:val="13"/>
            </w:pPr>
            <w:r>
              <w:t>生均拨款标准</w:t>
            </w:r>
          </w:p>
        </w:tc>
        <w:tc>
          <w:tcPr>
            <w:tcW w:w="5386" w:type="dxa"/>
            <w:vAlign w:val="center"/>
          </w:tcPr>
          <w:p w14:paraId="2337D0F4">
            <w:pPr>
              <w:pStyle w:val="13"/>
            </w:pPr>
            <w:r>
              <w:t>小学生公用经费生均小学720元。取暖费120元/生/年，随班就读学生补助6000元/生</w:t>
            </w:r>
          </w:p>
        </w:tc>
        <w:tc>
          <w:tcPr>
            <w:tcW w:w="1688" w:type="dxa"/>
            <w:vAlign w:val="center"/>
          </w:tcPr>
          <w:p w14:paraId="4252FEDA">
            <w:pPr>
              <w:pStyle w:val="13"/>
            </w:pPr>
            <w:r>
              <w:t>840元</w:t>
            </w:r>
          </w:p>
        </w:tc>
        <w:tc>
          <w:tcPr>
            <w:tcW w:w="1856" w:type="dxa"/>
            <w:vAlign w:val="center"/>
          </w:tcPr>
          <w:p w14:paraId="367F34DC">
            <w:pPr>
              <w:pStyle w:val="13"/>
            </w:pPr>
            <w:r>
              <w:t>城乡义务教育公用经费管理办法</w:t>
            </w:r>
          </w:p>
        </w:tc>
      </w:tr>
      <w:tr w14:paraId="1AB27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07618D">
            <w:pPr>
              <w:pStyle w:val="12"/>
            </w:pPr>
            <w:r>
              <w:t>效益指标</w:t>
            </w:r>
          </w:p>
        </w:tc>
        <w:tc>
          <w:tcPr>
            <w:tcW w:w="2268" w:type="dxa"/>
            <w:vAlign w:val="center"/>
          </w:tcPr>
          <w:p w14:paraId="2BA08E0C">
            <w:pPr>
              <w:pStyle w:val="13"/>
            </w:pPr>
            <w:r>
              <w:t>可持续影响指标</w:t>
            </w:r>
          </w:p>
        </w:tc>
        <w:tc>
          <w:tcPr>
            <w:tcW w:w="2835" w:type="dxa"/>
            <w:vAlign w:val="center"/>
          </w:tcPr>
          <w:p w14:paraId="0FEB659D">
            <w:pPr>
              <w:pStyle w:val="13"/>
            </w:pPr>
            <w:r>
              <w:t>学校运转得到提高</w:t>
            </w:r>
          </w:p>
        </w:tc>
        <w:tc>
          <w:tcPr>
            <w:tcW w:w="5386" w:type="dxa"/>
            <w:vAlign w:val="center"/>
          </w:tcPr>
          <w:p w14:paraId="7E0F86A1">
            <w:pPr>
              <w:pStyle w:val="13"/>
            </w:pPr>
            <w:r>
              <w:t>学生受教育年限</w:t>
            </w:r>
          </w:p>
        </w:tc>
        <w:tc>
          <w:tcPr>
            <w:tcW w:w="1688" w:type="dxa"/>
            <w:vAlign w:val="center"/>
          </w:tcPr>
          <w:p w14:paraId="003B2879">
            <w:pPr>
              <w:pStyle w:val="13"/>
            </w:pPr>
            <w:r>
              <w:t>6年</w:t>
            </w:r>
          </w:p>
        </w:tc>
        <w:tc>
          <w:tcPr>
            <w:tcW w:w="1856" w:type="dxa"/>
            <w:vAlign w:val="center"/>
          </w:tcPr>
          <w:p w14:paraId="5AEC3928">
            <w:pPr>
              <w:pStyle w:val="13"/>
            </w:pPr>
            <w:r>
              <w:t>城乡义务教育公用经费管理办法</w:t>
            </w:r>
          </w:p>
        </w:tc>
      </w:tr>
      <w:tr w14:paraId="09B40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86AC4B">
            <w:pPr>
              <w:pStyle w:val="12"/>
            </w:pPr>
            <w:r>
              <w:t>满意度指标</w:t>
            </w:r>
          </w:p>
        </w:tc>
        <w:tc>
          <w:tcPr>
            <w:tcW w:w="2268" w:type="dxa"/>
            <w:vAlign w:val="center"/>
          </w:tcPr>
          <w:p w14:paraId="17C86023">
            <w:pPr>
              <w:pStyle w:val="13"/>
            </w:pPr>
            <w:r>
              <w:t>服务对象满意度指标</w:t>
            </w:r>
          </w:p>
        </w:tc>
        <w:tc>
          <w:tcPr>
            <w:tcW w:w="2835" w:type="dxa"/>
            <w:vAlign w:val="center"/>
          </w:tcPr>
          <w:p w14:paraId="51148CA2">
            <w:pPr>
              <w:pStyle w:val="13"/>
            </w:pPr>
            <w:r>
              <w:t>服务对象满意度</w:t>
            </w:r>
          </w:p>
        </w:tc>
        <w:tc>
          <w:tcPr>
            <w:tcW w:w="5386" w:type="dxa"/>
            <w:vAlign w:val="center"/>
          </w:tcPr>
          <w:p w14:paraId="5F028A5D">
            <w:pPr>
              <w:pStyle w:val="13"/>
            </w:pPr>
            <w:r>
              <w:t>学校老师和学生满意度</w:t>
            </w:r>
          </w:p>
        </w:tc>
        <w:tc>
          <w:tcPr>
            <w:tcW w:w="1688" w:type="dxa"/>
            <w:vAlign w:val="center"/>
          </w:tcPr>
          <w:p w14:paraId="79A3815D">
            <w:pPr>
              <w:pStyle w:val="13"/>
            </w:pPr>
            <w:r>
              <w:t>≥95%</w:t>
            </w:r>
          </w:p>
        </w:tc>
        <w:tc>
          <w:tcPr>
            <w:tcW w:w="1856" w:type="dxa"/>
            <w:vAlign w:val="center"/>
          </w:tcPr>
          <w:p w14:paraId="033D220D">
            <w:pPr>
              <w:pStyle w:val="13"/>
            </w:pPr>
            <w:r>
              <w:t>城乡义务教育公用经费管理办法</w:t>
            </w:r>
          </w:p>
        </w:tc>
      </w:tr>
    </w:tbl>
    <w:p w14:paraId="45890FC2">
      <w:pPr>
        <w:sectPr>
          <w:pgSz w:w="16840" w:h="11900" w:orient="landscape"/>
          <w:pgMar w:top="1361" w:right="1020" w:bottom="1134" w:left="1020" w:header="720" w:footer="720" w:gutter="0"/>
          <w:cols w:space="720" w:num="1"/>
        </w:sectPr>
      </w:pPr>
    </w:p>
    <w:p w14:paraId="6D4CF554">
      <w:pPr>
        <w:spacing w:before="0" w:after="0"/>
        <w:ind w:firstLine="560"/>
        <w:jc w:val="left"/>
        <w:outlineLvl w:val="9"/>
      </w:pPr>
      <w:r>
        <w:rPr>
          <w:rFonts w:ascii="方正仿宋_GBK" w:hAnsi="方正仿宋_GBK" w:eastAsia="方正仿宋_GBK" w:cs="方正仿宋_GBK"/>
          <w:b/>
          <w:color w:val="000000"/>
          <w:sz w:val="28"/>
        </w:rPr>
        <w:t>21、冀财教[2024]141号/省级/2025年义教补助经费/东良小学公用经费绩效目标表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9F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DB187">
            <w:pPr>
              <w:pStyle w:val="14"/>
            </w:pPr>
            <w:r>
              <w:t>单位：万元</w:t>
            </w:r>
          </w:p>
        </w:tc>
      </w:tr>
      <w:tr w14:paraId="64690D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B4F33D">
            <w:pPr>
              <w:pStyle w:val="11"/>
            </w:pPr>
            <w:r>
              <w:t>项目编码</w:t>
            </w:r>
          </w:p>
        </w:tc>
        <w:tc>
          <w:tcPr>
            <w:tcW w:w="5103" w:type="dxa"/>
            <w:gridSpan w:val="2"/>
            <w:vAlign w:val="center"/>
          </w:tcPr>
          <w:p w14:paraId="18FFAF3B">
            <w:pPr>
              <w:pStyle w:val="13"/>
            </w:pPr>
            <w:r>
              <w:t>13052525P00000410148M</w:t>
            </w:r>
          </w:p>
        </w:tc>
        <w:tc>
          <w:tcPr>
            <w:tcW w:w="2835" w:type="dxa"/>
            <w:vAlign w:val="center"/>
          </w:tcPr>
          <w:p w14:paraId="6318C7E7">
            <w:pPr>
              <w:pStyle w:val="11"/>
            </w:pPr>
            <w:r>
              <w:t>项目名称</w:t>
            </w:r>
          </w:p>
        </w:tc>
        <w:tc>
          <w:tcPr>
            <w:tcW w:w="6095" w:type="dxa"/>
            <w:gridSpan w:val="3"/>
            <w:vAlign w:val="center"/>
          </w:tcPr>
          <w:p w14:paraId="1883239B">
            <w:pPr>
              <w:pStyle w:val="13"/>
            </w:pPr>
            <w:r>
              <w:t>冀财教[2024]141号/省级/2025年义教补助经费/东良小学公用经费</w:t>
            </w:r>
          </w:p>
        </w:tc>
      </w:tr>
      <w:tr w14:paraId="7DF37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A1551">
            <w:pPr>
              <w:pStyle w:val="11"/>
            </w:pPr>
            <w:r>
              <w:t>预算规模及资金用途</w:t>
            </w:r>
          </w:p>
        </w:tc>
        <w:tc>
          <w:tcPr>
            <w:tcW w:w="2268" w:type="dxa"/>
            <w:vAlign w:val="center"/>
          </w:tcPr>
          <w:p w14:paraId="4C60DCA5">
            <w:pPr>
              <w:pStyle w:val="11"/>
            </w:pPr>
            <w:r>
              <w:t>预算数</w:t>
            </w:r>
          </w:p>
        </w:tc>
        <w:tc>
          <w:tcPr>
            <w:tcW w:w="2835" w:type="dxa"/>
            <w:vAlign w:val="center"/>
          </w:tcPr>
          <w:p w14:paraId="2F83E0BA">
            <w:pPr>
              <w:pStyle w:val="13"/>
            </w:pPr>
            <w:r>
              <w:t>9.93</w:t>
            </w:r>
          </w:p>
        </w:tc>
        <w:tc>
          <w:tcPr>
            <w:tcW w:w="2835" w:type="dxa"/>
            <w:vAlign w:val="center"/>
          </w:tcPr>
          <w:p w14:paraId="5FC58F47">
            <w:pPr>
              <w:pStyle w:val="11"/>
            </w:pPr>
            <w:r>
              <w:t>其中：财政    资金</w:t>
            </w:r>
          </w:p>
        </w:tc>
        <w:tc>
          <w:tcPr>
            <w:tcW w:w="2551" w:type="dxa"/>
            <w:vAlign w:val="center"/>
          </w:tcPr>
          <w:p w14:paraId="3311EF3E">
            <w:pPr>
              <w:pStyle w:val="13"/>
            </w:pPr>
            <w:r>
              <w:t>9.93</w:t>
            </w:r>
          </w:p>
        </w:tc>
        <w:tc>
          <w:tcPr>
            <w:tcW w:w="2268" w:type="dxa"/>
            <w:vAlign w:val="center"/>
          </w:tcPr>
          <w:p w14:paraId="1A57FDD7">
            <w:pPr>
              <w:pStyle w:val="11"/>
            </w:pPr>
            <w:r>
              <w:t>其他资金</w:t>
            </w:r>
          </w:p>
        </w:tc>
        <w:tc>
          <w:tcPr>
            <w:tcW w:w="1276" w:type="dxa"/>
            <w:vAlign w:val="center"/>
          </w:tcPr>
          <w:p w14:paraId="04C15378">
            <w:pPr>
              <w:pStyle w:val="13"/>
            </w:pPr>
            <w:r>
              <w:t xml:space="preserve"> </w:t>
            </w:r>
          </w:p>
        </w:tc>
      </w:tr>
      <w:tr w14:paraId="53D85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1F9758"/>
        </w:tc>
        <w:tc>
          <w:tcPr>
            <w:tcW w:w="14033" w:type="dxa"/>
            <w:gridSpan w:val="6"/>
            <w:vAlign w:val="center"/>
          </w:tcPr>
          <w:p w14:paraId="6F228DAA">
            <w:pPr>
              <w:pStyle w:val="13"/>
            </w:pPr>
            <w:r>
              <w:t>保障义务教育学校正常运转，完成教育教学活动和其他日常工作任务等方面的费用支出。</w:t>
            </w:r>
          </w:p>
        </w:tc>
      </w:tr>
      <w:tr w14:paraId="3E4E2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5D2B7">
            <w:pPr>
              <w:pStyle w:val="11"/>
            </w:pPr>
            <w:r>
              <w:t>资金支出计划（%）</w:t>
            </w:r>
          </w:p>
        </w:tc>
        <w:tc>
          <w:tcPr>
            <w:tcW w:w="5103" w:type="dxa"/>
            <w:gridSpan w:val="2"/>
            <w:vAlign w:val="center"/>
          </w:tcPr>
          <w:p w14:paraId="57D24116">
            <w:pPr>
              <w:pStyle w:val="11"/>
            </w:pPr>
            <w:r>
              <w:t>3月底</w:t>
            </w:r>
          </w:p>
        </w:tc>
        <w:tc>
          <w:tcPr>
            <w:tcW w:w="2835" w:type="dxa"/>
            <w:vAlign w:val="center"/>
          </w:tcPr>
          <w:p w14:paraId="4AA986AD">
            <w:pPr>
              <w:pStyle w:val="11"/>
            </w:pPr>
            <w:r>
              <w:t>6月底</w:t>
            </w:r>
          </w:p>
        </w:tc>
        <w:tc>
          <w:tcPr>
            <w:tcW w:w="2551" w:type="dxa"/>
            <w:vAlign w:val="center"/>
          </w:tcPr>
          <w:p w14:paraId="075B719D">
            <w:pPr>
              <w:pStyle w:val="11"/>
            </w:pPr>
            <w:r>
              <w:t>10月底</w:t>
            </w:r>
          </w:p>
        </w:tc>
        <w:tc>
          <w:tcPr>
            <w:tcW w:w="3544" w:type="dxa"/>
            <w:gridSpan w:val="2"/>
            <w:vAlign w:val="center"/>
          </w:tcPr>
          <w:p w14:paraId="7CDC37EF">
            <w:pPr>
              <w:pStyle w:val="11"/>
            </w:pPr>
            <w:r>
              <w:t>12月底</w:t>
            </w:r>
          </w:p>
        </w:tc>
      </w:tr>
      <w:tr w14:paraId="15158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7C3A46"/>
        </w:tc>
        <w:tc>
          <w:tcPr>
            <w:tcW w:w="5103" w:type="dxa"/>
            <w:gridSpan w:val="2"/>
            <w:vAlign w:val="center"/>
          </w:tcPr>
          <w:p w14:paraId="0FE292C5">
            <w:pPr>
              <w:pStyle w:val="12"/>
            </w:pPr>
            <w:r>
              <w:t>25%</w:t>
            </w:r>
          </w:p>
        </w:tc>
        <w:tc>
          <w:tcPr>
            <w:tcW w:w="2835" w:type="dxa"/>
            <w:vAlign w:val="center"/>
          </w:tcPr>
          <w:p w14:paraId="20E7837F">
            <w:pPr>
              <w:pStyle w:val="12"/>
            </w:pPr>
            <w:r>
              <w:t>50%</w:t>
            </w:r>
          </w:p>
        </w:tc>
        <w:tc>
          <w:tcPr>
            <w:tcW w:w="2551" w:type="dxa"/>
            <w:vAlign w:val="center"/>
          </w:tcPr>
          <w:p w14:paraId="6B3A2EC9">
            <w:pPr>
              <w:pStyle w:val="12"/>
            </w:pPr>
            <w:r>
              <w:t>75%</w:t>
            </w:r>
          </w:p>
        </w:tc>
        <w:tc>
          <w:tcPr>
            <w:tcW w:w="3544" w:type="dxa"/>
            <w:gridSpan w:val="2"/>
            <w:vAlign w:val="center"/>
          </w:tcPr>
          <w:p w14:paraId="47E4519D">
            <w:pPr>
              <w:pStyle w:val="12"/>
            </w:pPr>
            <w:r>
              <w:t>100%</w:t>
            </w:r>
          </w:p>
        </w:tc>
      </w:tr>
      <w:tr w14:paraId="5B91C7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4EDCA7">
            <w:pPr>
              <w:pStyle w:val="11"/>
            </w:pPr>
            <w:r>
              <w:t>绩效目标</w:t>
            </w:r>
          </w:p>
        </w:tc>
        <w:tc>
          <w:tcPr>
            <w:tcW w:w="14033" w:type="dxa"/>
            <w:gridSpan w:val="6"/>
            <w:vAlign w:val="center"/>
          </w:tcPr>
          <w:p w14:paraId="7F53D7A1">
            <w:pPr>
              <w:pStyle w:val="13"/>
            </w:pPr>
            <w:r>
              <w:t>1.保障义务教育学校正常运转，完成教育教学活动和其他日常工作任务等方面的费用支出。</w:t>
            </w:r>
          </w:p>
          <w:p w14:paraId="29BD56DD">
            <w:pPr>
              <w:pStyle w:val="13"/>
            </w:pPr>
            <w:r>
              <w:t>2.按规定拨付公用经费资金99260元，资金拨付率达到100%。</w:t>
            </w:r>
            <w:r>
              <w:tab/>
            </w:r>
            <w:r>
              <w:tab/>
            </w:r>
            <w:r>
              <w:tab/>
            </w:r>
            <w:r>
              <w:tab/>
            </w:r>
            <w:r>
              <w:tab/>
            </w:r>
            <w:r>
              <w:tab/>
            </w:r>
          </w:p>
        </w:tc>
      </w:tr>
    </w:tbl>
    <w:p w14:paraId="20757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14:paraId="0F3AA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9F78C">
            <w:pPr>
              <w:pStyle w:val="11"/>
            </w:pPr>
            <w:r>
              <w:t>一级指标</w:t>
            </w:r>
          </w:p>
        </w:tc>
        <w:tc>
          <w:tcPr>
            <w:tcW w:w="2268" w:type="dxa"/>
            <w:vAlign w:val="center"/>
          </w:tcPr>
          <w:p w14:paraId="38534634">
            <w:pPr>
              <w:pStyle w:val="11"/>
            </w:pPr>
            <w:r>
              <w:t>二级指标</w:t>
            </w:r>
          </w:p>
        </w:tc>
        <w:tc>
          <w:tcPr>
            <w:tcW w:w="2835" w:type="dxa"/>
            <w:vAlign w:val="center"/>
          </w:tcPr>
          <w:p w14:paraId="4877CD1A">
            <w:pPr>
              <w:pStyle w:val="11"/>
            </w:pPr>
            <w:r>
              <w:t>三级指标</w:t>
            </w:r>
          </w:p>
        </w:tc>
        <w:tc>
          <w:tcPr>
            <w:tcW w:w="5386" w:type="dxa"/>
            <w:vAlign w:val="center"/>
          </w:tcPr>
          <w:p w14:paraId="774D8595">
            <w:pPr>
              <w:pStyle w:val="11"/>
            </w:pPr>
            <w:r>
              <w:t>绩效指标描述</w:t>
            </w:r>
          </w:p>
        </w:tc>
        <w:tc>
          <w:tcPr>
            <w:tcW w:w="1763" w:type="dxa"/>
            <w:vAlign w:val="center"/>
          </w:tcPr>
          <w:p w14:paraId="4E128B7C">
            <w:pPr>
              <w:pStyle w:val="11"/>
            </w:pPr>
            <w:r>
              <w:t>指标值</w:t>
            </w:r>
          </w:p>
        </w:tc>
        <w:tc>
          <w:tcPr>
            <w:tcW w:w="1781" w:type="dxa"/>
            <w:vAlign w:val="center"/>
          </w:tcPr>
          <w:p w14:paraId="39C0EBA0">
            <w:pPr>
              <w:pStyle w:val="11"/>
            </w:pPr>
            <w:r>
              <w:t>指标值确定依据</w:t>
            </w:r>
          </w:p>
        </w:tc>
      </w:tr>
      <w:tr w14:paraId="569BB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3E3FE">
            <w:pPr>
              <w:pStyle w:val="12"/>
            </w:pPr>
            <w:r>
              <w:t>产出指标</w:t>
            </w:r>
          </w:p>
        </w:tc>
        <w:tc>
          <w:tcPr>
            <w:tcW w:w="2268" w:type="dxa"/>
            <w:vAlign w:val="center"/>
          </w:tcPr>
          <w:p w14:paraId="5B47BCD7">
            <w:pPr>
              <w:pStyle w:val="13"/>
            </w:pPr>
            <w:r>
              <w:t>数量指标</w:t>
            </w:r>
          </w:p>
        </w:tc>
        <w:tc>
          <w:tcPr>
            <w:tcW w:w="2835" w:type="dxa"/>
            <w:vAlign w:val="center"/>
          </w:tcPr>
          <w:p w14:paraId="42796AC8">
            <w:pPr>
              <w:pStyle w:val="13"/>
            </w:pPr>
            <w:r>
              <w:t>就读学生数</w:t>
            </w:r>
          </w:p>
        </w:tc>
        <w:tc>
          <w:tcPr>
            <w:tcW w:w="5386" w:type="dxa"/>
            <w:vAlign w:val="center"/>
          </w:tcPr>
          <w:p w14:paraId="25C2C750">
            <w:pPr>
              <w:pStyle w:val="13"/>
            </w:pPr>
            <w:r>
              <w:t>辐射区域内适龄学生人数</w:t>
            </w:r>
          </w:p>
        </w:tc>
        <w:tc>
          <w:tcPr>
            <w:tcW w:w="1763" w:type="dxa"/>
            <w:vAlign w:val="center"/>
          </w:tcPr>
          <w:p w14:paraId="77F67F30">
            <w:pPr>
              <w:pStyle w:val="13"/>
            </w:pPr>
            <w:r>
              <w:t>355人</w:t>
            </w:r>
          </w:p>
        </w:tc>
        <w:tc>
          <w:tcPr>
            <w:tcW w:w="1781" w:type="dxa"/>
            <w:vAlign w:val="center"/>
          </w:tcPr>
          <w:p w14:paraId="3BDCE7CC">
            <w:pPr>
              <w:pStyle w:val="13"/>
            </w:pPr>
            <w:r>
              <w:t>城乡义务教育公用经费管理办法</w:t>
            </w:r>
          </w:p>
        </w:tc>
      </w:tr>
      <w:tr w14:paraId="7D17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5E26A"/>
        </w:tc>
        <w:tc>
          <w:tcPr>
            <w:tcW w:w="2268" w:type="dxa"/>
            <w:vAlign w:val="center"/>
          </w:tcPr>
          <w:p w14:paraId="64D71B3C">
            <w:pPr>
              <w:pStyle w:val="13"/>
            </w:pPr>
            <w:r>
              <w:t>质量指标</w:t>
            </w:r>
          </w:p>
        </w:tc>
        <w:tc>
          <w:tcPr>
            <w:tcW w:w="2835" w:type="dxa"/>
            <w:vAlign w:val="center"/>
          </w:tcPr>
          <w:p w14:paraId="25AA00AF">
            <w:pPr>
              <w:pStyle w:val="13"/>
            </w:pPr>
            <w:r>
              <w:t>预算执行率</w:t>
            </w:r>
          </w:p>
        </w:tc>
        <w:tc>
          <w:tcPr>
            <w:tcW w:w="5386" w:type="dxa"/>
            <w:vAlign w:val="center"/>
          </w:tcPr>
          <w:p w14:paraId="58D26D6E">
            <w:pPr>
              <w:pStyle w:val="13"/>
            </w:pPr>
            <w:r>
              <w:t>预算执行率≥98%</w:t>
            </w:r>
          </w:p>
        </w:tc>
        <w:tc>
          <w:tcPr>
            <w:tcW w:w="1763" w:type="dxa"/>
            <w:vAlign w:val="center"/>
          </w:tcPr>
          <w:p w14:paraId="5F348198">
            <w:pPr>
              <w:pStyle w:val="13"/>
            </w:pPr>
            <w:r>
              <w:t>≥98%</w:t>
            </w:r>
          </w:p>
        </w:tc>
        <w:tc>
          <w:tcPr>
            <w:tcW w:w="1781" w:type="dxa"/>
            <w:vAlign w:val="center"/>
          </w:tcPr>
          <w:p w14:paraId="62C75450">
            <w:pPr>
              <w:pStyle w:val="13"/>
            </w:pPr>
            <w:r>
              <w:t>城乡义务教育公用经费管理办法</w:t>
            </w:r>
          </w:p>
        </w:tc>
      </w:tr>
      <w:tr w14:paraId="394E4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C96AA"/>
        </w:tc>
        <w:tc>
          <w:tcPr>
            <w:tcW w:w="2268" w:type="dxa"/>
            <w:vAlign w:val="center"/>
          </w:tcPr>
          <w:p w14:paraId="2BD065EB">
            <w:pPr>
              <w:pStyle w:val="13"/>
            </w:pPr>
            <w:r>
              <w:t>时效指标</w:t>
            </w:r>
          </w:p>
        </w:tc>
        <w:tc>
          <w:tcPr>
            <w:tcW w:w="2835" w:type="dxa"/>
            <w:vAlign w:val="center"/>
          </w:tcPr>
          <w:p w14:paraId="715B29DE">
            <w:pPr>
              <w:pStyle w:val="13"/>
            </w:pPr>
            <w:r>
              <w:t>义教经费支付完成率</w:t>
            </w:r>
          </w:p>
        </w:tc>
        <w:tc>
          <w:tcPr>
            <w:tcW w:w="5386" w:type="dxa"/>
            <w:vAlign w:val="center"/>
          </w:tcPr>
          <w:p w14:paraId="7491D421">
            <w:pPr>
              <w:pStyle w:val="13"/>
            </w:pPr>
            <w:r>
              <w:t>按照序时进度完成资金支付</w:t>
            </w:r>
          </w:p>
        </w:tc>
        <w:tc>
          <w:tcPr>
            <w:tcW w:w="1763" w:type="dxa"/>
            <w:vAlign w:val="center"/>
          </w:tcPr>
          <w:p w14:paraId="57FCB180">
            <w:pPr>
              <w:pStyle w:val="13"/>
            </w:pPr>
            <w:r>
              <w:t>≥100%</w:t>
            </w:r>
          </w:p>
        </w:tc>
        <w:tc>
          <w:tcPr>
            <w:tcW w:w="1781" w:type="dxa"/>
            <w:vAlign w:val="center"/>
          </w:tcPr>
          <w:p w14:paraId="6D5BD14E">
            <w:pPr>
              <w:pStyle w:val="13"/>
            </w:pPr>
            <w:r>
              <w:t>城乡义务教育公用经费管理办法</w:t>
            </w:r>
          </w:p>
        </w:tc>
      </w:tr>
      <w:tr w14:paraId="3F0C5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20D27"/>
        </w:tc>
        <w:tc>
          <w:tcPr>
            <w:tcW w:w="2268" w:type="dxa"/>
            <w:vAlign w:val="center"/>
          </w:tcPr>
          <w:p w14:paraId="38E4924B">
            <w:pPr>
              <w:pStyle w:val="13"/>
            </w:pPr>
            <w:r>
              <w:t>成本指标</w:t>
            </w:r>
          </w:p>
        </w:tc>
        <w:tc>
          <w:tcPr>
            <w:tcW w:w="2835" w:type="dxa"/>
            <w:vAlign w:val="center"/>
          </w:tcPr>
          <w:p w14:paraId="3F224B51">
            <w:pPr>
              <w:pStyle w:val="13"/>
            </w:pPr>
            <w:r>
              <w:t>生均拨款标准</w:t>
            </w:r>
          </w:p>
        </w:tc>
        <w:tc>
          <w:tcPr>
            <w:tcW w:w="5386" w:type="dxa"/>
            <w:vAlign w:val="center"/>
          </w:tcPr>
          <w:p w14:paraId="2C352527">
            <w:pPr>
              <w:pStyle w:val="13"/>
            </w:pPr>
            <w:r>
              <w:t>小学生公用经费生均小学720元。取暖费120元/生/年，随班就读学生补助6000元/生</w:t>
            </w:r>
          </w:p>
        </w:tc>
        <w:tc>
          <w:tcPr>
            <w:tcW w:w="1763" w:type="dxa"/>
            <w:vAlign w:val="center"/>
          </w:tcPr>
          <w:p w14:paraId="42327958">
            <w:pPr>
              <w:pStyle w:val="13"/>
            </w:pPr>
            <w:r>
              <w:t>840元</w:t>
            </w:r>
          </w:p>
        </w:tc>
        <w:tc>
          <w:tcPr>
            <w:tcW w:w="1781" w:type="dxa"/>
            <w:vAlign w:val="center"/>
          </w:tcPr>
          <w:p w14:paraId="08B2D781">
            <w:pPr>
              <w:pStyle w:val="13"/>
            </w:pPr>
            <w:r>
              <w:t>城乡义务教育公用经费管理办法</w:t>
            </w:r>
          </w:p>
        </w:tc>
      </w:tr>
      <w:tr w14:paraId="66250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467B0E">
            <w:pPr>
              <w:pStyle w:val="12"/>
            </w:pPr>
            <w:r>
              <w:t>效益指标</w:t>
            </w:r>
          </w:p>
        </w:tc>
        <w:tc>
          <w:tcPr>
            <w:tcW w:w="2268" w:type="dxa"/>
            <w:vAlign w:val="center"/>
          </w:tcPr>
          <w:p w14:paraId="18C5E6F0">
            <w:pPr>
              <w:pStyle w:val="13"/>
            </w:pPr>
            <w:r>
              <w:t>可持续影响指标</w:t>
            </w:r>
          </w:p>
        </w:tc>
        <w:tc>
          <w:tcPr>
            <w:tcW w:w="2835" w:type="dxa"/>
            <w:vAlign w:val="center"/>
          </w:tcPr>
          <w:p w14:paraId="4F24C021">
            <w:pPr>
              <w:pStyle w:val="13"/>
            </w:pPr>
            <w:r>
              <w:t>学校运转得到提高</w:t>
            </w:r>
          </w:p>
        </w:tc>
        <w:tc>
          <w:tcPr>
            <w:tcW w:w="5386" w:type="dxa"/>
            <w:vAlign w:val="center"/>
          </w:tcPr>
          <w:p w14:paraId="4EFDB628">
            <w:pPr>
              <w:pStyle w:val="13"/>
            </w:pPr>
            <w:r>
              <w:t>学生受教育年限</w:t>
            </w:r>
          </w:p>
        </w:tc>
        <w:tc>
          <w:tcPr>
            <w:tcW w:w="1763" w:type="dxa"/>
            <w:vAlign w:val="center"/>
          </w:tcPr>
          <w:p w14:paraId="42AC47D7">
            <w:pPr>
              <w:pStyle w:val="13"/>
            </w:pPr>
            <w:r>
              <w:t>6年</w:t>
            </w:r>
          </w:p>
        </w:tc>
        <w:tc>
          <w:tcPr>
            <w:tcW w:w="1781" w:type="dxa"/>
            <w:vAlign w:val="center"/>
          </w:tcPr>
          <w:p w14:paraId="59FBE63E">
            <w:pPr>
              <w:pStyle w:val="13"/>
            </w:pPr>
            <w:r>
              <w:t>城乡义务教育公用经费管理办法</w:t>
            </w:r>
          </w:p>
        </w:tc>
      </w:tr>
      <w:tr w14:paraId="0A87C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57E54A">
            <w:pPr>
              <w:pStyle w:val="12"/>
            </w:pPr>
            <w:r>
              <w:t>满意度指标</w:t>
            </w:r>
          </w:p>
        </w:tc>
        <w:tc>
          <w:tcPr>
            <w:tcW w:w="2268" w:type="dxa"/>
            <w:vAlign w:val="center"/>
          </w:tcPr>
          <w:p w14:paraId="1DC9819F">
            <w:pPr>
              <w:pStyle w:val="13"/>
            </w:pPr>
            <w:r>
              <w:t>服务对象满意度指标</w:t>
            </w:r>
          </w:p>
        </w:tc>
        <w:tc>
          <w:tcPr>
            <w:tcW w:w="2835" w:type="dxa"/>
            <w:vAlign w:val="center"/>
          </w:tcPr>
          <w:p w14:paraId="722B33E5">
            <w:pPr>
              <w:pStyle w:val="13"/>
            </w:pPr>
            <w:r>
              <w:t>服务对象满意度</w:t>
            </w:r>
          </w:p>
        </w:tc>
        <w:tc>
          <w:tcPr>
            <w:tcW w:w="5386" w:type="dxa"/>
            <w:vAlign w:val="center"/>
          </w:tcPr>
          <w:p w14:paraId="7BC73590">
            <w:pPr>
              <w:pStyle w:val="13"/>
            </w:pPr>
            <w:r>
              <w:t>学校老师和学生满意度</w:t>
            </w:r>
          </w:p>
        </w:tc>
        <w:tc>
          <w:tcPr>
            <w:tcW w:w="1763" w:type="dxa"/>
            <w:vAlign w:val="center"/>
          </w:tcPr>
          <w:p w14:paraId="2ED36D4E">
            <w:pPr>
              <w:pStyle w:val="13"/>
            </w:pPr>
            <w:r>
              <w:t>≥95%</w:t>
            </w:r>
          </w:p>
        </w:tc>
        <w:tc>
          <w:tcPr>
            <w:tcW w:w="1781" w:type="dxa"/>
            <w:vAlign w:val="center"/>
          </w:tcPr>
          <w:p w14:paraId="371052CE">
            <w:pPr>
              <w:pStyle w:val="13"/>
            </w:pPr>
            <w:r>
              <w:t>城乡义务教育公用经费管理办法</w:t>
            </w:r>
          </w:p>
        </w:tc>
      </w:tr>
    </w:tbl>
    <w:p w14:paraId="6A8D29C1">
      <w:pPr>
        <w:sectPr>
          <w:pgSz w:w="16840" w:h="11900" w:orient="landscape"/>
          <w:pgMar w:top="1361" w:right="1020" w:bottom="1134" w:left="1020" w:header="720" w:footer="720" w:gutter="0"/>
          <w:cols w:space="720" w:num="1"/>
        </w:sectPr>
      </w:pPr>
    </w:p>
    <w:p w14:paraId="3767885E">
      <w:pPr>
        <w:spacing w:before="0" w:after="0"/>
        <w:ind w:firstLine="560"/>
        <w:jc w:val="left"/>
        <w:outlineLvl w:val="9"/>
      </w:pPr>
      <w:r>
        <w:rPr>
          <w:rFonts w:ascii="方正仿宋_GBK" w:hAnsi="方正仿宋_GBK" w:eastAsia="方正仿宋_GBK" w:cs="方正仿宋_GBK"/>
          <w:b/>
          <w:color w:val="000000"/>
          <w:sz w:val="28"/>
        </w:rPr>
        <w:t>22、冀财教[2024]141号/省级/2025年义教补助经费/高村小学公用经费绩效目标表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BC9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60568">
            <w:pPr>
              <w:pStyle w:val="14"/>
            </w:pPr>
            <w:r>
              <w:t>单位：万元</w:t>
            </w:r>
          </w:p>
        </w:tc>
      </w:tr>
      <w:tr w14:paraId="1B140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92689">
            <w:pPr>
              <w:pStyle w:val="11"/>
            </w:pPr>
            <w:r>
              <w:t>项目编码</w:t>
            </w:r>
          </w:p>
        </w:tc>
        <w:tc>
          <w:tcPr>
            <w:tcW w:w="5103" w:type="dxa"/>
            <w:gridSpan w:val="2"/>
            <w:vAlign w:val="center"/>
          </w:tcPr>
          <w:p w14:paraId="4502D291">
            <w:pPr>
              <w:pStyle w:val="13"/>
            </w:pPr>
            <w:r>
              <w:t>13052525P000004101499</w:t>
            </w:r>
          </w:p>
        </w:tc>
        <w:tc>
          <w:tcPr>
            <w:tcW w:w="2835" w:type="dxa"/>
            <w:vAlign w:val="center"/>
          </w:tcPr>
          <w:p w14:paraId="3EF0C709">
            <w:pPr>
              <w:pStyle w:val="11"/>
            </w:pPr>
            <w:r>
              <w:t>项目名称</w:t>
            </w:r>
          </w:p>
        </w:tc>
        <w:tc>
          <w:tcPr>
            <w:tcW w:w="6095" w:type="dxa"/>
            <w:gridSpan w:val="3"/>
            <w:vAlign w:val="center"/>
          </w:tcPr>
          <w:p w14:paraId="326F34B6">
            <w:pPr>
              <w:pStyle w:val="13"/>
            </w:pPr>
            <w:r>
              <w:t>冀财教[2024]141号/省级/2025年义教补助经费/高村小学公用经费</w:t>
            </w:r>
          </w:p>
        </w:tc>
      </w:tr>
      <w:tr w14:paraId="61728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AE3A5">
            <w:pPr>
              <w:pStyle w:val="11"/>
            </w:pPr>
            <w:r>
              <w:t>预算规模及资金用途</w:t>
            </w:r>
          </w:p>
        </w:tc>
        <w:tc>
          <w:tcPr>
            <w:tcW w:w="2268" w:type="dxa"/>
            <w:vAlign w:val="center"/>
          </w:tcPr>
          <w:p w14:paraId="4D24EFA4">
            <w:pPr>
              <w:pStyle w:val="11"/>
            </w:pPr>
            <w:r>
              <w:t>预算数</w:t>
            </w:r>
          </w:p>
        </w:tc>
        <w:tc>
          <w:tcPr>
            <w:tcW w:w="2835" w:type="dxa"/>
            <w:vAlign w:val="center"/>
          </w:tcPr>
          <w:p w14:paraId="081BD382">
            <w:pPr>
              <w:pStyle w:val="13"/>
            </w:pPr>
            <w:r>
              <w:t>5.03</w:t>
            </w:r>
          </w:p>
        </w:tc>
        <w:tc>
          <w:tcPr>
            <w:tcW w:w="2835" w:type="dxa"/>
            <w:vAlign w:val="center"/>
          </w:tcPr>
          <w:p w14:paraId="11003106">
            <w:pPr>
              <w:pStyle w:val="11"/>
            </w:pPr>
            <w:r>
              <w:t>其中：财政    资金</w:t>
            </w:r>
          </w:p>
        </w:tc>
        <w:tc>
          <w:tcPr>
            <w:tcW w:w="2551" w:type="dxa"/>
            <w:vAlign w:val="center"/>
          </w:tcPr>
          <w:p w14:paraId="78834C76">
            <w:pPr>
              <w:pStyle w:val="13"/>
            </w:pPr>
            <w:r>
              <w:t>5.03</w:t>
            </w:r>
          </w:p>
        </w:tc>
        <w:tc>
          <w:tcPr>
            <w:tcW w:w="2268" w:type="dxa"/>
            <w:vAlign w:val="center"/>
          </w:tcPr>
          <w:p w14:paraId="7E0F3C74">
            <w:pPr>
              <w:pStyle w:val="11"/>
            </w:pPr>
            <w:r>
              <w:t>其他资金</w:t>
            </w:r>
          </w:p>
        </w:tc>
        <w:tc>
          <w:tcPr>
            <w:tcW w:w="1276" w:type="dxa"/>
            <w:vAlign w:val="center"/>
          </w:tcPr>
          <w:p w14:paraId="689A5D4A">
            <w:pPr>
              <w:pStyle w:val="13"/>
            </w:pPr>
            <w:r>
              <w:t xml:space="preserve"> </w:t>
            </w:r>
          </w:p>
        </w:tc>
      </w:tr>
      <w:tr w14:paraId="20B2B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4C672F"/>
        </w:tc>
        <w:tc>
          <w:tcPr>
            <w:tcW w:w="14033" w:type="dxa"/>
            <w:gridSpan w:val="6"/>
            <w:vAlign w:val="center"/>
          </w:tcPr>
          <w:p w14:paraId="0B0CCAFC">
            <w:pPr>
              <w:pStyle w:val="13"/>
            </w:pPr>
            <w:r>
              <w:t>保障义务教育学校正常运转，完成教育教学活动和其他日常工作任务等方面的费用支出。</w:t>
            </w:r>
          </w:p>
        </w:tc>
      </w:tr>
      <w:tr w14:paraId="687A1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C8F36">
            <w:pPr>
              <w:pStyle w:val="11"/>
            </w:pPr>
            <w:r>
              <w:t>资金支出计划（%）</w:t>
            </w:r>
          </w:p>
        </w:tc>
        <w:tc>
          <w:tcPr>
            <w:tcW w:w="5103" w:type="dxa"/>
            <w:gridSpan w:val="2"/>
            <w:vAlign w:val="center"/>
          </w:tcPr>
          <w:p w14:paraId="0A1EA109">
            <w:pPr>
              <w:pStyle w:val="11"/>
            </w:pPr>
            <w:r>
              <w:t>3月底</w:t>
            </w:r>
          </w:p>
        </w:tc>
        <w:tc>
          <w:tcPr>
            <w:tcW w:w="2835" w:type="dxa"/>
            <w:vAlign w:val="center"/>
          </w:tcPr>
          <w:p w14:paraId="7336E008">
            <w:pPr>
              <w:pStyle w:val="11"/>
            </w:pPr>
            <w:r>
              <w:t>6月底</w:t>
            </w:r>
          </w:p>
        </w:tc>
        <w:tc>
          <w:tcPr>
            <w:tcW w:w="2551" w:type="dxa"/>
            <w:vAlign w:val="center"/>
          </w:tcPr>
          <w:p w14:paraId="3AE7C0D8">
            <w:pPr>
              <w:pStyle w:val="11"/>
            </w:pPr>
            <w:r>
              <w:t>10月底</w:t>
            </w:r>
          </w:p>
        </w:tc>
        <w:tc>
          <w:tcPr>
            <w:tcW w:w="3544" w:type="dxa"/>
            <w:gridSpan w:val="2"/>
            <w:vAlign w:val="center"/>
          </w:tcPr>
          <w:p w14:paraId="0D26AF1F">
            <w:pPr>
              <w:pStyle w:val="11"/>
            </w:pPr>
            <w:r>
              <w:t>12月底</w:t>
            </w:r>
          </w:p>
        </w:tc>
      </w:tr>
      <w:tr w14:paraId="554D3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E8212"/>
        </w:tc>
        <w:tc>
          <w:tcPr>
            <w:tcW w:w="5103" w:type="dxa"/>
            <w:gridSpan w:val="2"/>
            <w:vAlign w:val="center"/>
          </w:tcPr>
          <w:p w14:paraId="4C1A2DDD">
            <w:pPr>
              <w:pStyle w:val="12"/>
            </w:pPr>
            <w:r>
              <w:t>25%</w:t>
            </w:r>
          </w:p>
        </w:tc>
        <w:tc>
          <w:tcPr>
            <w:tcW w:w="2835" w:type="dxa"/>
            <w:vAlign w:val="center"/>
          </w:tcPr>
          <w:p w14:paraId="26EDD75F">
            <w:pPr>
              <w:pStyle w:val="12"/>
            </w:pPr>
            <w:r>
              <w:t>50%</w:t>
            </w:r>
          </w:p>
        </w:tc>
        <w:tc>
          <w:tcPr>
            <w:tcW w:w="2551" w:type="dxa"/>
            <w:vAlign w:val="center"/>
          </w:tcPr>
          <w:p w14:paraId="4135469E">
            <w:pPr>
              <w:pStyle w:val="12"/>
            </w:pPr>
            <w:r>
              <w:t>75%</w:t>
            </w:r>
          </w:p>
        </w:tc>
        <w:tc>
          <w:tcPr>
            <w:tcW w:w="3544" w:type="dxa"/>
            <w:gridSpan w:val="2"/>
            <w:vAlign w:val="center"/>
          </w:tcPr>
          <w:p w14:paraId="34F2C518">
            <w:pPr>
              <w:pStyle w:val="12"/>
            </w:pPr>
            <w:r>
              <w:t>100%</w:t>
            </w:r>
          </w:p>
        </w:tc>
      </w:tr>
      <w:tr w14:paraId="1C872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E9A76">
            <w:pPr>
              <w:pStyle w:val="11"/>
            </w:pPr>
            <w:r>
              <w:t>绩效目标</w:t>
            </w:r>
          </w:p>
        </w:tc>
        <w:tc>
          <w:tcPr>
            <w:tcW w:w="14033" w:type="dxa"/>
            <w:gridSpan w:val="6"/>
            <w:vAlign w:val="center"/>
          </w:tcPr>
          <w:p w14:paraId="6164FC47">
            <w:pPr>
              <w:pStyle w:val="13"/>
            </w:pPr>
            <w:r>
              <w:t>1.保障义务教育学校正常运转，完成教育教学活动和其他日常工作任务等方面的费用支出。</w:t>
            </w:r>
          </w:p>
          <w:p w14:paraId="72BFD613">
            <w:pPr>
              <w:pStyle w:val="13"/>
            </w:pPr>
            <w:r>
              <w:t>2.按规定拨付公用经费资金50270元，资金拨付率达到100%。</w:t>
            </w:r>
          </w:p>
        </w:tc>
      </w:tr>
    </w:tbl>
    <w:p w14:paraId="7B1CF7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14:paraId="07967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BB329">
            <w:pPr>
              <w:pStyle w:val="11"/>
            </w:pPr>
            <w:r>
              <w:t>一级指标</w:t>
            </w:r>
          </w:p>
        </w:tc>
        <w:tc>
          <w:tcPr>
            <w:tcW w:w="2268" w:type="dxa"/>
            <w:vAlign w:val="center"/>
          </w:tcPr>
          <w:p w14:paraId="095E25D0">
            <w:pPr>
              <w:pStyle w:val="11"/>
            </w:pPr>
            <w:r>
              <w:t>二级指标</w:t>
            </w:r>
          </w:p>
        </w:tc>
        <w:tc>
          <w:tcPr>
            <w:tcW w:w="2835" w:type="dxa"/>
            <w:vAlign w:val="center"/>
          </w:tcPr>
          <w:p w14:paraId="014B5973">
            <w:pPr>
              <w:pStyle w:val="11"/>
            </w:pPr>
            <w:r>
              <w:t>三级指标</w:t>
            </w:r>
          </w:p>
        </w:tc>
        <w:tc>
          <w:tcPr>
            <w:tcW w:w="5386" w:type="dxa"/>
            <w:vAlign w:val="center"/>
          </w:tcPr>
          <w:p w14:paraId="4FE2D9E0">
            <w:pPr>
              <w:pStyle w:val="11"/>
            </w:pPr>
            <w:r>
              <w:t>绩效指标描述</w:t>
            </w:r>
          </w:p>
        </w:tc>
        <w:tc>
          <w:tcPr>
            <w:tcW w:w="1793" w:type="dxa"/>
            <w:vAlign w:val="center"/>
          </w:tcPr>
          <w:p w14:paraId="66174A09">
            <w:pPr>
              <w:pStyle w:val="11"/>
            </w:pPr>
            <w:r>
              <w:t>指标值</w:t>
            </w:r>
          </w:p>
        </w:tc>
        <w:tc>
          <w:tcPr>
            <w:tcW w:w="1751" w:type="dxa"/>
            <w:vAlign w:val="center"/>
          </w:tcPr>
          <w:p w14:paraId="1370DF5F">
            <w:pPr>
              <w:pStyle w:val="11"/>
            </w:pPr>
            <w:r>
              <w:t>指标值确定依据</w:t>
            </w:r>
          </w:p>
        </w:tc>
      </w:tr>
      <w:tr w14:paraId="49658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F7AD2">
            <w:pPr>
              <w:pStyle w:val="12"/>
            </w:pPr>
            <w:r>
              <w:t>产出指标</w:t>
            </w:r>
          </w:p>
        </w:tc>
        <w:tc>
          <w:tcPr>
            <w:tcW w:w="2268" w:type="dxa"/>
            <w:vAlign w:val="center"/>
          </w:tcPr>
          <w:p w14:paraId="29576FA7">
            <w:pPr>
              <w:pStyle w:val="13"/>
            </w:pPr>
            <w:r>
              <w:t>数量指标</w:t>
            </w:r>
          </w:p>
        </w:tc>
        <w:tc>
          <w:tcPr>
            <w:tcW w:w="2835" w:type="dxa"/>
            <w:vAlign w:val="center"/>
          </w:tcPr>
          <w:p w14:paraId="22BDACEE">
            <w:pPr>
              <w:pStyle w:val="13"/>
            </w:pPr>
            <w:r>
              <w:t>就读学生数</w:t>
            </w:r>
          </w:p>
        </w:tc>
        <w:tc>
          <w:tcPr>
            <w:tcW w:w="5386" w:type="dxa"/>
            <w:vAlign w:val="center"/>
          </w:tcPr>
          <w:p w14:paraId="64B71231">
            <w:pPr>
              <w:pStyle w:val="13"/>
            </w:pPr>
            <w:r>
              <w:t>辐射区域内适龄学生人数</w:t>
            </w:r>
          </w:p>
        </w:tc>
        <w:tc>
          <w:tcPr>
            <w:tcW w:w="1793" w:type="dxa"/>
            <w:vAlign w:val="center"/>
          </w:tcPr>
          <w:p w14:paraId="344C560E">
            <w:pPr>
              <w:pStyle w:val="13"/>
            </w:pPr>
            <w:r>
              <w:t>187人</w:t>
            </w:r>
          </w:p>
        </w:tc>
        <w:tc>
          <w:tcPr>
            <w:tcW w:w="1751" w:type="dxa"/>
            <w:vAlign w:val="center"/>
          </w:tcPr>
          <w:p w14:paraId="5335B66A">
            <w:pPr>
              <w:pStyle w:val="13"/>
            </w:pPr>
            <w:r>
              <w:t>城乡义务教育公用经费管理办法</w:t>
            </w:r>
          </w:p>
        </w:tc>
      </w:tr>
      <w:tr w14:paraId="56501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B7C3E"/>
        </w:tc>
        <w:tc>
          <w:tcPr>
            <w:tcW w:w="2268" w:type="dxa"/>
            <w:vAlign w:val="center"/>
          </w:tcPr>
          <w:p w14:paraId="0E16ACD5">
            <w:pPr>
              <w:pStyle w:val="13"/>
            </w:pPr>
            <w:r>
              <w:t>质量指标</w:t>
            </w:r>
          </w:p>
        </w:tc>
        <w:tc>
          <w:tcPr>
            <w:tcW w:w="2835" w:type="dxa"/>
            <w:vAlign w:val="center"/>
          </w:tcPr>
          <w:p w14:paraId="79F32691">
            <w:pPr>
              <w:pStyle w:val="13"/>
            </w:pPr>
            <w:r>
              <w:t>预算执行率</w:t>
            </w:r>
          </w:p>
        </w:tc>
        <w:tc>
          <w:tcPr>
            <w:tcW w:w="5386" w:type="dxa"/>
            <w:vAlign w:val="center"/>
          </w:tcPr>
          <w:p w14:paraId="15DE5738">
            <w:pPr>
              <w:pStyle w:val="13"/>
            </w:pPr>
            <w:r>
              <w:t>预算执行率≥98%</w:t>
            </w:r>
          </w:p>
        </w:tc>
        <w:tc>
          <w:tcPr>
            <w:tcW w:w="1793" w:type="dxa"/>
            <w:vAlign w:val="center"/>
          </w:tcPr>
          <w:p w14:paraId="714090FD">
            <w:pPr>
              <w:pStyle w:val="13"/>
            </w:pPr>
            <w:r>
              <w:t>≥98%</w:t>
            </w:r>
          </w:p>
        </w:tc>
        <w:tc>
          <w:tcPr>
            <w:tcW w:w="1751" w:type="dxa"/>
            <w:vAlign w:val="center"/>
          </w:tcPr>
          <w:p w14:paraId="4D2E4FCB">
            <w:pPr>
              <w:pStyle w:val="13"/>
            </w:pPr>
            <w:r>
              <w:t>城乡义务教育公用经费管理办法</w:t>
            </w:r>
          </w:p>
        </w:tc>
      </w:tr>
      <w:tr w14:paraId="76D95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044B1"/>
        </w:tc>
        <w:tc>
          <w:tcPr>
            <w:tcW w:w="2268" w:type="dxa"/>
            <w:vAlign w:val="center"/>
          </w:tcPr>
          <w:p w14:paraId="4B3787F6">
            <w:pPr>
              <w:pStyle w:val="13"/>
            </w:pPr>
            <w:r>
              <w:t>时效指标</w:t>
            </w:r>
          </w:p>
        </w:tc>
        <w:tc>
          <w:tcPr>
            <w:tcW w:w="2835" w:type="dxa"/>
            <w:vAlign w:val="center"/>
          </w:tcPr>
          <w:p w14:paraId="552AFEB8">
            <w:pPr>
              <w:pStyle w:val="13"/>
            </w:pPr>
            <w:r>
              <w:t>义教经费支付完成率</w:t>
            </w:r>
          </w:p>
        </w:tc>
        <w:tc>
          <w:tcPr>
            <w:tcW w:w="5386" w:type="dxa"/>
            <w:vAlign w:val="center"/>
          </w:tcPr>
          <w:p w14:paraId="0F4639E3">
            <w:pPr>
              <w:pStyle w:val="13"/>
            </w:pPr>
            <w:r>
              <w:t>按照序时进度完成资金支付</w:t>
            </w:r>
          </w:p>
        </w:tc>
        <w:tc>
          <w:tcPr>
            <w:tcW w:w="1793" w:type="dxa"/>
            <w:vAlign w:val="center"/>
          </w:tcPr>
          <w:p w14:paraId="1729D5B0">
            <w:pPr>
              <w:pStyle w:val="13"/>
            </w:pPr>
            <w:r>
              <w:t>≥100%</w:t>
            </w:r>
          </w:p>
        </w:tc>
        <w:tc>
          <w:tcPr>
            <w:tcW w:w="1751" w:type="dxa"/>
            <w:vAlign w:val="center"/>
          </w:tcPr>
          <w:p w14:paraId="665A82FB">
            <w:pPr>
              <w:pStyle w:val="13"/>
            </w:pPr>
            <w:r>
              <w:t>城乡义务教育公用经费管理办法</w:t>
            </w:r>
          </w:p>
        </w:tc>
      </w:tr>
      <w:tr w14:paraId="07CD2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9DC89"/>
        </w:tc>
        <w:tc>
          <w:tcPr>
            <w:tcW w:w="2268" w:type="dxa"/>
            <w:vAlign w:val="center"/>
          </w:tcPr>
          <w:p w14:paraId="0328157C">
            <w:pPr>
              <w:pStyle w:val="13"/>
            </w:pPr>
            <w:r>
              <w:t>成本指标</w:t>
            </w:r>
          </w:p>
        </w:tc>
        <w:tc>
          <w:tcPr>
            <w:tcW w:w="2835" w:type="dxa"/>
            <w:vAlign w:val="center"/>
          </w:tcPr>
          <w:p w14:paraId="5C868A3B">
            <w:pPr>
              <w:pStyle w:val="13"/>
            </w:pPr>
            <w:r>
              <w:t>生均拨款标准</w:t>
            </w:r>
          </w:p>
        </w:tc>
        <w:tc>
          <w:tcPr>
            <w:tcW w:w="5386" w:type="dxa"/>
            <w:vAlign w:val="center"/>
          </w:tcPr>
          <w:p w14:paraId="386198A8">
            <w:pPr>
              <w:pStyle w:val="13"/>
            </w:pPr>
            <w:r>
              <w:t>小学生公用经费生均小学720元。取暖费120元/生/年，随班就读学生补助6000元/生</w:t>
            </w:r>
          </w:p>
        </w:tc>
        <w:tc>
          <w:tcPr>
            <w:tcW w:w="1793" w:type="dxa"/>
            <w:vAlign w:val="center"/>
          </w:tcPr>
          <w:p w14:paraId="20B8922B">
            <w:pPr>
              <w:pStyle w:val="13"/>
            </w:pPr>
            <w:r>
              <w:t>840元</w:t>
            </w:r>
          </w:p>
        </w:tc>
        <w:tc>
          <w:tcPr>
            <w:tcW w:w="1751" w:type="dxa"/>
            <w:vAlign w:val="center"/>
          </w:tcPr>
          <w:p w14:paraId="6D7CB82C">
            <w:pPr>
              <w:pStyle w:val="13"/>
            </w:pPr>
            <w:r>
              <w:t>城乡义务教育公用经费管理办法</w:t>
            </w:r>
          </w:p>
        </w:tc>
      </w:tr>
      <w:tr w14:paraId="6B6F2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3F849">
            <w:pPr>
              <w:pStyle w:val="12"/>
            </w:pPr>
            <w:r>
              <w:t>效益指标</w:t>
            </w:r>
          </w:p>
        </w:tc>
        <w:tc>
          <w:tcPr>
            <w:tcW w:w="2268" w:type="dxa"/>
            <w:vAlign w:val="center"/>
          </w:tcPr>
          <w:p w14:paraId="2BCF4B83">
            <w:pPr>
              <w:pStyle w:val="13"/>
            </w:pPr>
            <w:r>
              <w:t>可持续影响指标</w:t>
            </w:r>
          </w:p>
        </w:tc>
        <w:tc>
          <w:tcPr>
            <w:tcW w:w="2835" w:type="dxa"/>
            <w:vAlign w:val="center"/>
          </w:tcPr>
          <w:p w14:paraId="46E98329">
            <w:pPr>
              <w:pStyle w:val="13"/>
            </w:pPr>
            <w:r>
              <w:t>学校运转得到提高</w:t>
            </w:r>
          </w:p>
        </w:tc>
        <w:tc>
          <w:tcPr>
            <w:tcW w:w="5386" w:type="dxa"/>
            <w:vAlign w:val="center"/>
          </w:tcPr>
          <w:p w14:paraId="187C5EB1">
            <w:pPr>
              <w:pStyle w:val="13"/>
            </w:pPr>
            <w:r>
              <w:t>学生受教育年限</w:t>
            </w:r>
          </w:p>
        </w:tc>
        <w:tc>
          <w:tcPr>
            <w:tcW w:w="1793" w:type="dxa"/>
            <w:vAlign w:val="center"/>
          </w:tcPr>
          <w:p w14:paraId="2970C852">
            <w:pPr>
              <w:pStyle w:val="13"/>
            </w:pPr>
            <w:r>
              <w:t>6年</w:t>
            </w:r>
          </w:p>
        </w:tc>
        <w:tc>
          <w:tcPr>
            <w:tcW w:w="1751" w:type="dxa"/>
            <w:vAlign w:val="center"/>
          </w:tcPr>
          <w:p w14:paraId="66DD1AF7">
            <w:pPr>
              <w:pStyle w:val="13"/>
            </w:pPr>
            <w:r>
              <w:t>城乡义务教育公用经费管理办法</w:t>
            </w:r>
          </w:p>
        </w:tc>
      </w:tr>
      <w:tr w14:paraId="4EEAC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DDEF05">
            <w:pPr>
              <w:pStyle w:val="12"/>
            </w:pPr>
            <w:r>
              <w:t>满意度指标</w:t>
            </w:r>
          </w:p>
        </w:tc>
        <w:tc>
          <w:tcPr>
            <w:tcW w:w="2268" w:type="dxa"/>
            <w:vAlign w:val="center"/>
          </w:tcPr>
          <w:p w14:paraId="739975CD">
            <w:pPr>
              <w:pStyle w:val="13"/>
            </w:pPr>
            <w:r>
              <w:t>服务对象满意度指标</w:t>
            </w:r>
          </w:p>
        </w:tc>
        <w:tc>
          <w:tcPr>
            <w:tcW w:w="2835" w:type="dxa"/>
            <w:vAlign w:val="center"/>
          </w:tcPr>
          <w:p w14:paraId="205EADC3">
            <w:pPr>
              <w:pStyle w:val="13"/>
            </w:pPr>
            <w:r>
              <w:t>服务对象满意度</w:t>
            </w:r>
          </w:p>
        </w:tc>
        <w:tc>
          <w:tcPr>
            <w:tcW w:w="5386" w:type="dxa"/>
            <w:vAlign w:val="center"/>
          </w:tcPr>
          <w:p w14:paraId="5E94546A">
            <w:pPr>
              <w:pStyle w:val="13"/>
            </w:pPr>
            <w:r>
              <w:t>学校老师和学生满意度</w:t>
            </w:r>
          </w:p>
        </w:tc>
        <w:tc>
          <w:tcPr>
            <w:tcW w:w="1793" w:type="dxa"/>
            <w:vAlign w:val="center"/>
          </w:tcPr>
          <w:p w14:paraId="09D5A1C0">
            <w:pPr>
              <w:pStyle w:val="13"/>
            </w:pPr>
            <w:r>
              <w:t>≥95%</w:t>
            </w:r>
          </w:p>
        </w:tc>
        <w:tc>
          <w:tcPr>
            <w:tcW w:w="1751" w:type="dxa"/>
            <w:vAlign w:val="center"/>
          </w:tcPr>
          <w:p w14:paraId="7D661BE3">
            <w:pPr>
              <w:pStyle w:val="13"/>
            </w:pPr>
            <w:r>
              <w:t>城乡义务教育公用经费管理办法</w:t>
            </w:r>
          </w:p>
        </w:tc>
      </w:tr>
    </w:tbl>
    <w:p w14:paraId="797ABB27">
      <w:pPr>
        <w:sectPr>
          <w:pgSz w:w="16840" w:h="11900" w:orient="landscape"/>
          <w:pgMar w:top="1361" w:right="1020" w:bottom="1134" w:left="1020" w:header="720" w:footer="720" w:gutter="0"/>
          <w:cols w:space="720" w:num="1"/>
        </w:sectPr>
      </w:pPr>
    </w:p>
    <w:p w14:paraId="29C4ADEB">
      <w:pPr>
        <w:spacing w:before="0" w:after="0"/>
        <w:ind w:firstLine="560"/>
        <w:jc w:val="left"/>
        <w:outlineLvl w:val="9"/>
      </w:pPr>
      <w:r>
        <w:rPr>
          <w:rFonts w:ascii="方正仿宋_GBK" w:hAnsi="方正仿宋_GBK" w:eastAsia="方正仿宋_GBK" w:cs="方正仿宋_GBK"/>
          <w:b/>
          <w:color w:val="000000"/>
          <w:sz w:val="28"/>
        </w:rPr>
        <w:t>23、冀财教[2024]141号/省级/2025年义教补助经费/南位小学公用经费绩效目标表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2C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D83B6">
            <w:pPr>
              <w:pStyle w:val="14"/>
            </w:pPr>
            <w:r>
              <w:t>单位：万元</w:t>
            </w:r>
          </w:p>
        </w:tc>
      </w:tr>
      <w:tr w14:paraId="3FF16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28188C">
            <w:pPr>
              <w:pStyle w:val="11"/>
            </w:pPr>
            <w:r>
              <w:t>项目编码</w:t>
            </w:r>
          </w:p>
        </w:tc>
        <w:tc>
          <w:tcPr>
            <w:tcW w:w="5103" w:type="dxa"/>
            <w:gridSpan w:val="2"/>
            <w:vAlign w:val="center"/>
          </w:tcPr>
          <w:p w14:paraId="5CBD1648">
            <w:pPr>
              <w:pStyle w:val="13"/>
            </w:pPr>
            <w:r>
              <w:t>13052525P00000410145T</w:t>
            </w:r>
          </w:p>
        </w:tc>
        <w:tc>
          <w:tcPr>
            <w:tcW w:w="2835" w:type="dxa"/>
            <w:vAlign w:val="center"/>
          </w:tcPr>
          <w:p w14:paraId="39528930">
            <w:pPr>
              <w:pStyle w:val="11"/>
            </w:pPr>
            <w:r>
              <w:t>项目名称</w:t>
            </w:r>
          </w:p>
        </w:tc>
        <w:tc>
          <w:tcPr>
            <w:tcW w:w="6095" w:type="dxa"/>
            <w:gridSpan w:val="3"/>
            <w:vAlign w:val="center"/>
          </w:tcPr>
          <w:p w14:paraId="2A640636">
            <w:pPr>
              <w:pStyle w:val="13"/>
            </w:pPr>
            <w:r>
              <w:t>冀财教[2024]141号/省级/2025年义教补助经费/南位小学公用经费</w:t>
            </w:r>
          </w:p>
        </w:tc>
      </w:tr>
      <w:tr w14:paraId="597C4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A5C7B">
            <w:pPr>
              <w:pStyle w:val="11"/>
            </w:pPr>
            <w:r>
              <w:t>预算规模及资金用途</w:t>
            </w:r>
          </w:p>
        </w:tc>
        <w:tc>
          <w:tcPr>
            <w:tcW w:w="2268" w:type="dxa"/>
            <w:vAlign w:val="center"/>
          </w:tcPr>
          <w:p w14:paraId="23C7998B">
            <w:pPr>
              <w:pStyle w:val="11"/>
            </w:pPr>
            <w:r>
              <w:t>预算数</w:t>
            </w:r>
          </w:p>
        </w:tc>
        <w:tc>
          <w:tcPr>
            <w:tcW w:w="2835" w:type="dxa"/>
            <w:vAlign w:val="center"/>
          </w:tcPr>
          <w:p w14:paraId="0E318BEE">
            <w:pPr>
              <w:pStyle w:val="13"/>
            </w:pPr>
            <w:r>
              <w:t>21.85</w:t>
            </w:r>
          </w:p>
        </w:tc>
        <w:tc>
          <w:tcPr>
            <w:tcW w:w="2835" w:type="dxa"/>
            <w:vAlign w:val="center"/>
          </w:tcPr>
          <w:p w14:paraId="42F5A5AC">
            <w:pPr>
              <w:pStyle w:val="11"/>
            </w:pPr>
            <w:r>
              <w:t>其中：财政    资金</w:t>
            </w:r>
          </w:p>
        </w:tc>
        <w:tc>
          <w:tcPr>
            <w:tcW w:w="2551" w:type="dxa"/>
            <w:vAlign w:val="center"/>
          </w:tcPr>
          <w:p w14:paraId="1F92FC6A">
            <w:pPr>
              <w:pStyle w:val="13"/>
            </w:pPr>
            <w:r>
              <w:t>21.85</w:t>
            </w:r>
          </w:p>
        </w:tc>
        <w:tc>
          <w:tcPr>
            <w:tcW w:w="2268" w:type="dxa"/>
            <w:vAlign w:val="center"/>
          </w:tcPr>
          <w:p w14:paraId="3A22B212">
            <w:pPr>
              <w:pStyle w:val="11"/>
            </w:pPr>
            <w:r>
              <w:t>其他资金</w:t>
            </w:r>
          </w:p>
        </w:tc>
        <w:tc>
          <w:tcPr>
            <w:tcW w:w="1276" w:type="dxa"/>
            <w:vAlign w:val="center"/>
          </w:tcPr>
          <w:p w14:paraId="76582BA5">
            <w:pPr>
              <w:pStyle w:val="13"/>
            </w:pPr>
            <w:r>
              <w:t xml:space="preserve"> </w:t>
            </w:r>
          </w:p>
        </w:tc>
      </w:tr>
      <w:tr w14:paraId="08881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1A6657"/>
        </w:tc>
        <w:tc>
          <w:tcPr>
            <w:tcW w:w="14033" w:type="dxa"/>
            <w:gridSpan w:val="6"/>
            <w:vAlign w:val="center"/>
          </w:tcPr>
          <w:p w14:paraId="515C65F1">
            <w:pPr>
              <w:pStyle w:val="13"/>
            </w:pPr>
            <w:r>
              <w:t>保障义务教育学校正常运转，完成教育教学活动和其他日常工作任务等方面的费用支出。</w:t>
            </w:r>
          </w:p>
        </w:tc>
      </w:tr>
      <w:tr w14:paraId="6FDFD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9F712">
            <w:pPr>
              <w:pStyle w:val="11"/>
            </w:pPr>
            <w:r>
              <w:t>资金支出计划（%）</w:t>
            </w:r>
          </w:p>
        </w:tc>
        <w:tc>
          <w:tcPr>
            <w:tcW w:w="5103" w:type="dxa"/>
            <w:gridSpan w:val="2"/>
            <w:vAlign w:val="center"/>
          </w:tcPr>
          <w:p w14:paraId="306F8D8A">
            <w:pPr>
              <w:pStyle w:val="11"/>
            </w:pPr>
            <w:r>
              <w:t>3月底</w:t>
            </w:r>
          </w:p>
        </w:tc>
        <w:tc>
          <w:tcPr>
            <w:tcW w:w="2835" w:type="dxa"/>
            <w:vAlign w:val="center"/>
          </w:tcPr>
          <w:p w14:paraId="1B75CB5C">
            <w:pPr>
              <w:pStyle w:val="11"/>
            </w:pPr>
            <w:r>
              <w:t>6月底</w:t>
            </w:r>
          </w:p>
        </w:tc>
        <w:tc>
          <w:tcPr>
            <w:tcW w:w="2551" w:type="dxa"/>
            <w:vAlign w:val="center"/>
          </w:tcPr>
          <w:p w14:paraId="42DCE358">
            <w:pPr>
              <w:pStyle w:val="11"/>
            </w:pPr>
            <w:r>
              <w:t>10月底</w:t>
            </w:r>
          </w:p>
        </w:tc>
        <w:tc>
          <w:tcPr>
            <w:tcW w:w="3544" w:type="dxa"/>
            <w:gridSpan w:val="2"/>
            <w:vAlign w:val="center"/>
          </w:tcPr>
          <w:p w14:paraId="20199A50">
            <w:pPr>
              <w:pStyle w:val="11"/>
            </w:pPr>
            <w:r>
              <w:t>12月底</w:t>
            </w:r>
          </w:p>
        </w:tc>
      </w:tr>
      <w:tr w14:paraId="4BBE4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AA0725"/>
        </w:tc>
        <w:tc>
          <w:tcPr>
            <w:tcW w:w="5103" w:type="dxa"/>
            <w:gridSpan w:val="2"/>
            <w:vAlign w:val="center"/>
          </w:tcPr>
          <w:p w14:paraId="35619BDD">
            <w:pPr>
              <w:pStyle w:val="12"/>
            </w:pPr>
            <w:r>
              <w:t>25%</w:t>
            </w:r>
          </w:p>
        </w:tc>
        <w:tc>
          <w:tcPr>
            <w:tcW w:w="2835" w:type="dxa"/>
            <w:vAlign w:val="center"/>
          </w:tcPr>
          <w:p w14:paraId="4B5A66BB">
            <w:pPr>
              <w:pStyle w:val="12"/>
            </w:pPr>
            <w:r>
              <w:t>50%</w:t>
            </w:r>
          </w:p>
        </w:tc>
        <w:tc>
          <w:tcPr>
            <w:tcW w:w="2551" w:type="dxa"/>
            <w:vAlign w:val="center"/>
          </w:tcPr>
          <w:p w14:paraId="0CE42294">
            <w:pPr>
              <w:pStyle w:val="12"/>
            </w:pPr>
            <w:r>
              <w:t>75%</w:t>
            </w:r>
          </w:p>
        </w:tc>
        <w:tc>
          <w:tcPr>
            <w:tcW w:w="3544" w:type="dxa"/>
            <w:gridSpan w:val="2"/>
            <w:vAlign w:val="center"/>
          </w:tcPr>
          <w:p w14:paraId="62788D94">
            <w:pPr>
              <w:pStyle w:val="12"/>
            </w:pPr>
            <w:r>
              <w:t>100%</w:t>
            </w:r>
          </w:p>
        </w:tc>
      </w:tr>
      <w:tr w14:paraId="788BE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46D18C">
            <w:pPr>
              <w:pStyle w:val="11"/>
            </w:pPr>
            <w:r>
              <w:t>绩效目标</w:t>
            </w:r>
          </w:p>
        </w:tc>
        <w:tc>
          <w:tcPr>
            <w:tcW w:w="14033" w:type="dxa"/>
            <w:gridSpan w:val="6"/>
            <w:vAlign w:val="center"/>
          </w:tcPr>
          <w:p w14:paraId="7C36310D">
            <w:pPr>
              <w:pStyle w:val="13"/>
            </w:pPr>
            <w:r>
              <w:t>1.保障义务教育学校正常运转，完成教育教学活动和其他日常工作任务等方面的费用支出。</w:t>
            </w:r>
          </w:p>
          <w:p w14:paraId="6EACE6BC">
            <w:pPr>
              <w:pStyle w:val="13"/>
            </w:pPr>
            <w:r>
              <w:t>2.按规定拨付公用经费资金218530元，资金拨付率达到100%。</w:t>
            </w:r>
          </w:p>
        </w:tc>
      </w:tr>
    </w:tbl>
    <w:p w14:paraId="595A11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14:paraId="499CF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1F1FB">
            <w:pPr>
              <w:pStyle w:val="11"/>
            </w:pPr>
            <w:r>
              <w:t>一级指标</w:t>
            </w:r>
          </w:p>
        </w:tc>
        <w:tc>
          <w:tcPr>
            <w:tcW w:w="2268" w:type="dxa"/>
            <w:vAlign w:val="center"/>
          </w:tcPr>
          <w:p w14:paraId="00F3B277">
            <w:pPr>
              <w:pStyle w:val="11"/>
            </w:pPr>
            <w:r>
              <w:t>二级指标</w:t>
            </w:r>
          </w:p>
        </w:tc>
        <w:tc>
          <w:tcPr>
            <w:tcW w:w="2835" w:type="dxa"/>
            <w:vAlign w:val="center"/>
          </w:tcPr>
          <w:p w14:paraId="7417D351">
            <w:pPr>
              <w:pStyle w:val="11"/>
            </w:pPr>
            <w:r>
              <w:t>三级指标</w:t>
            </w:r>
          </w:p>
        </w:tc>
        <w:tc>
          <w:tcPr>
            <w:tcW w:w="5386" w:type="dxa"/>
            <w:vAlign w:val="center"/>
          </w:tcPr>
          <w:p w14:paraId="70D17297">
            <w:pPr>
              <w:pStyle w:val="11"/>
            </w:pPr>
            <w:r>
              <w:t>绩效指标描述</w:t>
            </w:r>
          </w:p>
        </w:tc>
        <w:tc>
          <w:tcPr>
            <w:tcW w:w="1598" w:type="dxa"/>
            <w:vAlign w:val="center"/>
          </w:tcPr>
          <w:p w14:paraId="0D2A24F8">
            <w:pPr>
              <w:pStyle w:val="11"/>
            </w:pPr>
            <w:r>
              <w:t>指标值</w:t>
            </w:r>
          </w:p>
        </w:tc>
        <w:tc>
          <w:tcPr>
            <w:tcW w:w="1946" w:type="dxa"/>
            <w:vAlign w:val="center"/>
          </w:tcPr>
          <w:p w14:paraId="6D5F6FDF">
            <w:pPr>
              <w:pStyle w:val="11"/>
            </w:pPr>
            <w:r>
              <w:t>指标值确定依据</w:t>
            </w:r>
          </w:p>
        </w:tc>
      </w:tr>
      <w:tr w14:paraId="06523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3C19CD6B">
            <w:pPr>
              <w:pStyle w:val="12"/>
            </w:pPr>
            <w:r>
              <w:t>产出指标</w:t>
            </w:r>
          </w:p>
        </w:tc>
        <w:tc>
          <w:tcPr>
            <w:tcW w:w="2268" w:type="dxa"/>
            <w:vAlign w:val="center"/>
          </w:tcPr>
          <w:p w14:paraId="0F405381">
            <w:pPr>
              <w:pStyle w:val="13"/>
            </w:pPr>
            <w:r>
              <w:t>数量指标</w:t>
            </w:r>
          </w:p>
        </w:tc>
        <w:tc>
          <w:tcPr>
            <w:tcW w:w="2835" w:type="dxa"/>
            <w:vAlign w:val="center"/>
          </w:tcPr>
          <w:p w14:paraId="6CCAC804">
            <w:pPr>
              <w:pStyle w:val="13"/>
            </w:pPr>
            <w:r>
              <w:t>就读学生数</w:t>
            </w:r>
          </w:p>
        </w:tc>
        <w:tc>
          <w:tcPr>
            <w:tcW w:w="5386" w:type="dxa"/>
            <w:vAlign w:val="center"/>
          </w:tcPr>
          <w:p w14:paraId="2618AB0D">
            <w:pPr>
              <w:pStyle w:val="13"/>
            </w:pPr>
            <w:r>
              <w:t>辐射区域内适龄学生人数</w:t>
            </w:r>
          </w:p>
        </w:tc>
        <w:tc>
          <w:tcPr>
            <w:tcW w:w="1598" w:type="dxa"/>
            <w:vAlign w:val="center"/>
          </w:tcPr>
          <w:p w14:paraId="710961EC">
            <w:pPr>
              <w:pStyle w:val="13"/>
            </w:pPr>
            <w:r>
              <w:t>678人</w:t>
            </w:r>
          </w:p>
        </w:tc>
        <w:tc>
          <w:tcPr>
            <w:tcW w:w="1946" w:type="dxa"/>
            <w:vAlign w:val="center"/>
          </w:tcPr>
          <w:p w14:paraId="484F5C5E">
            <w:pPr>
              <w:pStyle w:val="13"/>
            </w:pPr>
            <w:r>
              <w:t>城乡义务教育公用经费管理办法</w:t>
            </w:r>
          </w:p>
        </w:tc>
      </w:tr>
      <w:tr w14:paraId="5DE74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19D8F"/>
        </w:tc>
        <w:tc>
          <w:tcPr>
            <w:tcW w:w="2268" w:type="dxa"/>
            <w:vAlign w:val="center"/>
          </w:tcPr>
          <w:p w14:paraId="3ADA2AF1">
            <w:pPr>
              <w:pStyle w:val="13"/>
            </w:pPr>
            <w:r>
              <w:t>质量指标</w:t>
            </w:r>
          </w:p>
        </w:tc>
        <w:tc>
          <w:tcPr>
            <w:tcW w:w="2835" w:type="dxa"/>
            <w:vAlign w:val="center"/>
          </w:tcPr>
          <w:p w14:paraId="72A24DFA">
            <w:pPr>
              <w:pStyle w:val="13"/>
            </w:pPr>
            <w:r>
              <w:t>预算执行率</w:t>
            </w:r>
          </w:p>
        </w:tc>
        <w:tc>
          <w:tcPr>
            <w:tcW w:w="5386" w:type="dxa"/>
            <w:vAlign w:val="center"/>
          </w:tcPr>
          <w:p w14:paraId="63014F6B">
            <w:pPr>
              <w:pStyle w:val="13"/>
            </w:pPr>
            <w:r>
              <w:t>预算执行率≥98%</w:t>
            </w:r>
          </w:p>
        </w:tc>
        <w:tc>
          <w:tcPr>
            <w:tcW w:w="1598" w:type="dxa"/>
            <w:vAlign w:val="center"/>
          </w:tcPr>
          <w:p w14:paraId="1A080037">
            <w:pPr>
              <w:pStyle w:val="13"/>
            </w:pPr>
            <w:r>
              <w:t>≥98%</w:t>
            </w:r>
          </w:p>
        </w:tc>
        <w:tc>
          <w:tcPr>
            <w:tcW w:w="1946" w:type="dxa"/>
            <w:vAlign w:val="center"/>
          </w:tcPr>
          <w:p w14:paraId="7FA6A5CA">
            <w:pPr>
              <w:pStyle w:val="13"/>
            </w:pPr>
            <w:r>
              <w:t>城乡义务教育公用经费管理办法</w:t>
            </w:r>
          </w:p>
        </w:tc>
      </w:tr>
      <w:tr w14:paraId="49E47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9165A"/>
        </w:tc>
        <w:tc>
          <w:tcPr>
            <w:tcW w:w="2268" w:type="dxa"/>
            <w:vAlign w:val="center"/>
          </w:tcPr>
          <w:p w14:paraId="182FD5FE">
            <w:pPr>
              <w:pStyle w:val="13"/>
            </w:pPr>
            <w:r>
              <w:t>时效指标</w:t>
            </w:r>
          </w:p>
        </w:tc>
        <w:tc>
          <w:tcPr>
            <w:tcW w:w="2835" w:type="dxa"/>
            <w:vAlign w:val="center"/>
          </w:tcPr>
          <w:p w14:paraId="280BFC07">
            <w:pPr>
              <w:pStyle w:val="13"/>
            </w:pPr>
            <w:r>
              <w:t>义教经费支付完成率</w:t>
            </w:r>
          </w:p>
        </w:tc>
        <w:tc>
          <w:tcPr>
            <w:tcW w:w="5386" w:type="dxa"/>
            <w:vAlign w:val="center"/>
          </w:tcPr>
          <w:p w14:paraId="1B2D0F60">
            <w:pPr>
              <w:pStyle w:val="13"/>
            </w:pPr>
            <w:r>
              <w:t>按照序时进度完成资金支付</w:t>
            </w:r>
          </w:p>
        </w:tc>
        <w:tc>
          <w:tcPr>
            <w:tcW w:w="1598" w:type="dxa"/>
            <w:vAlign w:val="center"/>
          </w:tcPr>
          <w:p w14:paraId="50419ACD">
            <w:pPr>
              <w:pStyle w:val="13"/>
            </w:pPr>
            <w:r>
              <w:t>≥100%</w:t>
            </w:r>
          </w:p>
        </w:tc>
        <w:tc>
          <w:tcPr>
            <w:tcW w:w="1946" w:type="dxa"/>
            <w:vAlign w:val="center"/>
          </w:tcPr>
          <w:p w14:paraId="14042F78">
            <w:pPr>
              <w:pStyle w:val="13"/>
            </w:pPr>
            <w:r>
              <w:t>城乡义务教育公用经费管理办法</w:t>
            </w:r>
          </w:p>
        </w:tc>
      </w:tr>
      <w:tr w14:paraId="34463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F291A"/>
        </w:tc>
        <w:tc>
          <w:tcPr>
            <w:tcW w:w="2268" w:type="dxa"/>
            <w:vAlign w:val="center"/>
          </w:tcPr>
          <w:p w14:paraId="372B3A63">
            <w:pPr>
              <w:pStyle w:val="13"/>
            </w:pPr>
            <w:r>
              <w:t>成本指标</w:t>
            </w:r>
          </w:p>
        </w:tc>
        <w:tc>
          <w:tcPr>
            <w:tcW w:w="2835" w:type="dxa"/>
            <w:vAlign w:val="center"/>
          </w:tcPr>
          <w:p w14:paraId="25D9A6B4">
            <w:pPr>
              <w:pStyle w:val="13"/>
            </w:pPr>
            <w:r>
              <w:t>生均拨款标准</w:t>
            </w:r>
          </w:p>
        </w:tc>
        <w:tc>
          <w:tcPr>
            <w:tcW w:w="5386" w:type="dxa"/>
            <w:vAlign w:val="center"/>
          </w:tcPr>
          <w:p w14:paraId="7AF93FAE">
            <w:pPr>
              <w:pStyle w:val="13"/>
            </w:pPr>
            <w:r>
              <w:t>小学生公用经费生均小学720元。取暖费120元/生/年，随班就读学生补助6000元/生</w:t>
            </w:r>
          </w:p>
        </w:tc>
        <w:tc>
          <w:tcPr>
            <w:tcW w:w="1598" w:type="dxa"/>
            <w:vAlign w:val="center"/>
          </w:tcPr>
          <w:p w14:paraId="6B49F39F">
            <w:pPr>
              <w:pStyle w:val="13"/>
            </w:pPr>
            <w:r>
              <w:t>840元</w:t>
            </w:r>
          </w:p>
        </w:tc>
        <w:tc>
          <w:tcPr>
            <w:tcW w:w="1946" w:type="dxa"/>
            <w:vAlign w:val="center"/>
          </w:tcPr>
          <w:p w14:paraId="12088B3A">
            <w:pPr>
              <w:pStyle w:val="13"/>
            </w:pPr>
            <w:r>
              <w:t>城乡义务教育公用经费管理办法</w:t>
            </w:r>
          </w:p>
        </w:tc>
      </w:tr>
      <w:tr w14:paraId="12981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E2DF6">
            <w:pPr>
              <w:pStyle w:val="12"/>
            </w:pPr>
            <w:r>
              <w:t>效益指标</w:t>
            </w:r>
          </w:p>
        </w:tc>
        <w:tc>
          <w:tcPr>
            <w:tcW w:w="2268" w:type="dxa"/>
            <w:vAlign w:val="center"/>
          </w:tcPr>
          <w:p w14:paraId="23754D28">
            <w:pPr>
              <w:pStyle w:val="13"/>
            </w:pPr>
            <w:r>
              <w:t>可持续影响指标</w:t>
            </w:r>
          </w:p>
        </w:tc>
        <w:tc>
          <w:tcPr>
            <w:tcW w:w="2835" w:type="dxa"/>
            <w:vAlign w:val="center"/>
          </w:tcPr>
          <w:p w14:paraId="1138ED05">
            <w:pPr>
              <w:pStyle w:val="13"/>
            </w:pPr>
            <w:r>
              <w:t>学校运转得到提高</w:t>
            </w:r>
          </w:p>
        </w:tc>
        <w:tc>
          <w:tcPr>
            <w:tcW w:w="5386" w:type="dxa"/>
            <w:vAlign w:val="center"/>
          </w:tcPr>
          <w:p w14:paraId="55DD1FF4">
            <w:pPr>
              <w:pStyle w:val="13"/>
            </w:pPr>
            <w:r>
              <w:t>学生受教育年限</w:t>
            </w:r>
          </w:p>
        </w:tc>
        <w:tc>
          <w:tcPr>
            <w:tcW w:w="1598" w:type="dxa"/>
            <w:vAlign w:val="center"/>
          </w:tcPr>
          <w:p w14:paraId="2D3C8FB3">
            <w:pPr>
              <w:pStyle w:val="13"/>
            </w:pPr>
            <w:r>
              <w:t>6年</w:t>
            </w:r>
          </w:p>
        </w:tc>
        <w:tc>
          <w:tcPr>
            <w:tcW w:w="1946" w:type="dxa"/>
            <w:vAlign w:val="center"/>
          </w:tcPr>
          <w:p w14:paraId="02D74F45">
            <w:pPr>
              <w:pStyle w:val="13"/>
            </w:pPr>
            <w:r>
              <w:t>城乡义务教育公用经费管理办法</w:t>
            </w:r>
          </w:p>
        </w:tc>
      </w:tr>
      <w:tr w14:paraId="59B50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E06B4F">
            <w:pPr>
              <w:pStyle w:val="12"/>
            </w:pPr>
            <w:r>
              <w:t>满意度指标</w:t>
            </w:r>
          </w:p>
        </w:tc>
        <w:tc>
          <w:tcPr>
            <w:tcW w:w="2268" w:type="dxa"/>
            <w:vAlign w:val="center"/>
          </w:tcPr>
          <w:p w14:paraId="70C7EF78">
            <w:pPr>
              <w:pStyle w:val="13"/>
            </w:pPr>
            <w:r>
              <w:t>服务对象满意度指标</w:t>
            </w:r>
          </w:p>
        </w:tc>
        <w:tc>
          <w:tcPr>
            <w:tcW w:w="2835" w:type="dxa"/>
            <w:vAlign w:val="center"/>
          </w:tcPr>
          <w:p w14:paraId="2DDE7BB6">
            <w:pPr>
              <w:pStyle w:val="13"/>
            </w:pPr>
            <w:r>
              <w:t>服务对象满意度</w:t>
            </w:r>
          </w:p>
        </w:tc>
        <w:tc>
          <w:tcPr>
            <w:tcW w:w="5386" w:type="dxa"/>
            <w:vAlign w:val="center"/>
          </w:tcPr>
          <w:p w14:paraId="02990184">
            <w:pPr>
              <w:pStyle w:val="13"/>
            </w:pPr>
            <w:r>
              <w:t>学校老师和学生满意度</w:t>
            </w:r>
          </w:p>
        </w:tc>
        <w:tc>
          <w:tcPr>
            <w:tcW w:w="1598" w:type="dxa"/>
            <w:vAlign w:val="center"/>
          </w:tcPr>
          <w:p w14:paraId="24329D17">
            <w:pPr>
              <w:pStyle w:val="13"/>
            </w:pPr>
            <w:r>
              <w:t>≥95%</w:t>
            </w:r>
          </w:p>
        </w:tc>
        <w:tc>
          <w:tcPr>
            <w:tcW w:w="1946" w:type="dxa"/>
            <w:vAlign w:val="center"/>
          </w:tcPr>
          <w:p w14:paraId="7AD07F44">
            <w:pPr>
              <w:pStyle w:val="13"/>
            </w:pPr>
            <w:r>
              <w:t>城乡义务教育公用经费管理办法</w:t>
            </w:r>
          </w:p>
        </w:tc>
      </w:tr>
    </w:tbl>
    <w:p w14:paraId="76DDF560">
      <w:pPr>
        <w:sectPr>
          <w:pgSz w:w="16840" w:h="11900" w:orient="landscape"/>
          <w:pgMar w:top="1361" w:right="1020" w:bottom="1134" w:left="1020" w:header="720" w:footer="720" w:gutter="0"/>
          <w:cols w:space="720" w:num="1"/>
        </w:sectPr>
      </w:pPr>
    </w:p>
    <w:p w14:paraId="25D4CF7F">
      <w:pPr>
        <w:spacing w:before="0" w:after="0"/>
        <w:ind w:firstLine="560"/>
        <w:jc w:val="left"/>
        <w:outlineLvl w:val="9"/>
      </w:pPr>
      <w:r>
        <w:rPr>
          <w:rFonts w:ascii="方正仿宋_GBK" w:hAnsi="方正仿宋_GBK" w:eastAsia="方正仿宋_GBK" w:cs="方正仿宋_GBK"/>
          <w:b/>
          <w:color w:val="000000"/>
          <w:sz w:val="28"/>
        </w:rPr>
        <w:t>24、冀财教[2024]141号/省级/2025年义教补助经费/泽畔小学公用经费绩效目标表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A9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7E279">
            <w:pPr>
              <w:pStyle w:val="14"/>
            </w:pPr>
            <w:r>
              <w:t>单位：万元</w:t>
            </w:r>
          </w:p>
        </w:tc>
      </w:tr>
      <w:tr w14:paraId="0A4E23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2BE38C">
            <w:pPr>
              <w:pStyle w:val="11"/>
            </w:pPr>
            <w:r>
              <w:t>项目编码</w:t>
            </w:r>
          </w:p>
        </w:tc>
        <w:tc>
          <w:tcPr>
            <w:tcW w:w="5103" w:type="dxa"/>
            <w:gridSpan w:val="2"/>
            <w:vAlign w:val="center"/>
          </w:tcPr>
          <w:p w14:paraId="598D4D81">
            <w:pPr>
              <w:pStyle w:val="13"/>
            </w:pPr>
            <w:r>
              <w:t>13052525P000004101543</w:t>
            </w:r>
          </w:p>
        </w:tc>
        <w:tc>
          <w:tcPr>
            <w:tcW w:w="2835" w:type="dxa"/>
            <w:vAlign w:val="center"/>
          </w:tcPr>
          <w:p w14:paraId="4D656026">
            <w:pPr>
              <w:pStyle w:val="11"/>
            </w:pPr>
            <w:r>
              <w:t>项目名称</w:t>
            </w:r>
          </w:p>
        </w:tc>
        <w:tc>
          <w:tcPr>
            <w:tcW w:w="6095" w:type="dxa"/>
            <w:gridSpan w:val="3"/>
            <w:vAlign w:val="center"/>
          </w:tcPr>
          <w:p w14:paraId="677CF8CB">
            <w:pPr>
              <w:pStyle w:val="13"/>
            </w:pPr>
            <w:r>
              <w:t>冀财教[2024]141号/省级/2025年义教补助经费/泽畔小学公用经费</w:t>
            </w:r>
          </w:p>
        </w:tc>
      </w:tr>
      <w:tr w14:paraId="0FA5A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A99C3">
            <w:pPr>
              <w:pStyle w:val="11"/>
            </w:pPr>
            <w:r>
              <w:t>预算规模及资金用途</w:t>
            </w:r>
          </w:p>
        </w:tc>
        <w:tc>
          <w:tcPr>
            <w:tcW w:w="2268" w:type="dxa"/>
            <w:vAlign w:val="center"/>
          </w:tcPr>
          <w:p w14:paraId="3F16444C">
            <w:pPr>
              <w:pStyle w:val="11"/>
            </w:pPr>
            <w:r>
              <w:t>预算数</w:t>
            </w:r>
          </w:p>
        </w:tc>
        <w:tc>
          <w:tcPr>
            <w:tcW w:w="2835" w:type="dxa"/>
            <w:vAlign w:val="center"/>
          </w:tcPr>
          <w:p w14:paraId="46942CBE">
            <w:pPr>
              <w:pStyle w:val="13"/>
            </w:pPr>
            <w:r>
              <w:t>28.60</w:t>
            </w:r>
          </w:p>
        </w:tc>
        <w:tc>
          <w:tcPr>
            <w:tcW w:w="2835" w:type="dxa"/>
            <w:vAlign w:val="center"/>
          </w:tcPr>
          <w:p w14:paraId="6288C8FB">
            <w:pPr>
              <w:pStyle w:val="11"/>
            </w:pPr>
            <w:r>
              <w:t>其中：财政    资金</w:t>
            </w:r>
          </w:p>
        </w:tc>
        <w:tc>
          <w:tcPr>
            <w:tcW w:w="2551" w:type="dxa"/>
            <w:vAlign w:val="center"/>
          </w:tcPr>
          <w:p w14:paraId="0C86E05D">
            <w:pPr>
              <w:pStyle w:val="13"/>
            </w:pPr>
            <w:r>
              <w:t>28.60</w:t>
            </w:r>
          </w:p>
        </w:tc>
        <w:tc>
          <w:tcPr>
            <w:tcW w:w="2268" w:type="dxa"/>
            <w:vAlign w:val="center"/>
          </w:tcPr>
          <w:p w14:paraId="6103619F">
            <w:pPr>
              <w:pStyle w:val="11"/>
            </w:pPr>
            <w:r>
              <w:t>其他资金</w:t>
            </w:r>
          </w:p>
        </w:tc>
        <w:tc>
          <w:tcPr>
            <w:tcW w:w="1276" w:type="dxa"/>
            <w:vAlign w:val="center"/>
          </w:tcPr>
          <w:p w14:paraId="55FDD9B3">
            <w:pPr>
              <w:pStyle w:val="13"/>
            </w:pPr>
            <w:r>
              <w:t xml:space="preserve"> </w:t>
            </w:r>
          </w:p>
        </w:tc>
      </w:tr>
      <w:tr w14:paraId="672B7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E6EF3"/>
        </w:tc>
        <w:tc>
          <w:tcPr>
            <w:tcW w:w="14033" w:type="dxa"/>
            <w:gridSpan w:val="6"/>
            <w:vAlign w:val="center"/>
          </w:tcPr>
          <w:p w14:paraId="1E951C4E">
            <w:pPr>
              <w:pStyle w:val="13"/>
            </w:pPr>
            <w:r>
              <w:t>保障义务教育学校正常运转，完成教育教学活动和其他日常工作任务等方面的费用支出。</w:t>
            </w:r>
          </w:p>
        </w:tc>
      </w:tr>
      <w:tr w14:paraId="27578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5BDFA">
            <w:pPr>
              <w:pStyle w:val="11"/>
            </w:pPr>
            <w:r>
              <w:t>资金支出计划（%）</w:t>
            </w:r>
          </w:p>
        </w:tc>
        <w:tc>
          <w:tcPr>
            <w:tcW w:w="5103" w:type="dxa"/>
            <w:gridSpan w:val="2"/>
            <w:vAlign w:val="center"/>
          </w:tcPr>
          <w:p w14:paraId="5CB7748C">
            <w:pPr>
              <w:pStyle w:val="11"/>
            </w:pPr>
            <w:r>
              <w:t>3月底</w:t>
            </w:r>
          </w:p>
        </w:tc>
        <w:tc>
          <w:tcPr>
            <w:tcW w:w="2835" w:type="dxa"/>
            <w:vAlign w:val="center"/>
          </w:tcPr>
          <w:p w14:paraId="660A7C10">
            <w:pPr>
              <w:pStyle w:val="11"/>
            </w:pPr>
            <w:r>
              <w:t>6月底</w:t>
            </w:r>
          </w:p>
        </w:tc>
        <w:tc>
          <w:tcPr>
            <w:tcW w:w="2551" w:type="dxa"/>
            <w:vAlign w:val="center"/>
          </w:tcPr>
          <w:p w14:paraId="71ABF69A">
            <w:pPr>
              <w:pStyle w:val="11"/>
            </w:pPr>
            <w:r>
              <w:t>10月底</w:t>
            </w:r>
          </w:p>
        </w:tc>
        <w:tc>
          <w:tcPr>
            <w:tcW w:w="3544" w:type="dxa"/>
            <w:gridSpan w:val="2"/>
            <w:vAlign w:val="center"/>
          </w:tcPr>
          <w:p w14:paraId="7D87D571">
            <w:pPr>
              <w:pStyle w:val="11"/>
            </w:pPr>
            <w:r>
              <w:t>12月底</w:t>
            </w:r>
          </w:p>
        </w:tc>
      </w:tr>
      <w:tr w14:paraId="1B6FE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91679"/>
        </w:tc>
        <w:tc>
          <w:tcPr>
            <w:tcW w:w="5103" w:type="dxa"/>
            <w:gridSpan w:val="2"/>
            <w:vAlign w:val="center"/>
          </w:tcPr>
          <w:p w14:paraId="62520A58">
            <w:pPr>
              <w:pStyle w:val="12"/>
            </w:pPr>
            <w:r>
              <w:t>25%</w:t>
            </w:r>
          </w:p>
        </w:tc>
        <w:tc>
          <w:tcPr>
            <w:tcW w:w="2835" w:type="dxa"/>
            <w:vAlign w:val="center"/>
          </w:tcPr>
          <w:p w14:paraId="1FC71333">
            <w:pPr>
              <w:pStyle w:val="12"/>
            </w:pPr>
            <w:r>
              <w:t>50%</w:t>
            </w:r>
          </w:p>
        </w:tc>
        <w:tc>
          <w:tcPr>
            <w:tcW w:w="2551" w:type="dxa"/>
            <w:vAlign w:val="center"/>
          </w:tcPr>
          <w:p w14:paraId="50EC605F">
            <w:pPr>
              <w:pStyle w:val="12"/>
            </w:pPr>
            <w:r>
              <w:t>75%</w:t>
            </w:r>
          </w:p>
        </w:tc>
        <w:tc>
          <w:tcPr>
            <w:tcW w:w="3544" w:type="dxa"/>
            <w:gridSpan w:val="2"/>
            <w:vAlign w:val="center"/>
          </w:tcPr>
          <w:p w14:paraId="6A879AB6">
            <w:pPr>
              <w:pStyle w:val="12"/>
            </w:pPr>
            <w:r>
              <w:t>100%</w:t>
            </w:r>
          </w:p>
        </w:tc>
      </w:tr>
      <w:tr w14:paraId="36D9D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1B54D9">
            <w:pPr>
              <w:pStyle w:val="11"/>
            </w:pPr>
            <w:r>
              <w:t>绩效目标</w:t>
            </w:r>
          </w:p>
        </w:tc>
        <w:tc>
          <w:tcPr>
            <w:tcW w:w="14033" w:type="dxa"/>
            <w:gridSpan w:val="6"/>
            <w:vAlign w:val="center"/>
          </w:tcPr>
          <w:p w14:paraId="06A9ECA1">
            <w:pPr>
              <w:pStyle w:val="13"/>
            </w:pPr>
            <w:r>
              <w:t>1.保障义务教育学校正常运转，完成教育教学活动和其他日常工作任务等方面的费用支出。</w:t>
            </w:r>
          </w:p>
          <w:p w14:paraId="24303C81">
            <w:pPr>
              <w:pStyle w:val="13"/>
            </w:pPr>
            <w:r>
              <w:t>2.按规定拨付公用经费资金286040元，资金拨付率达到100%。</w:t>
            </w:r>
          </w:p>
        </w:tc>
      </w:tr>
    </w:tbl>
    <w:p w14:paraId="108E8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14:paraId="2C423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EC1FA">
            <w:pPr>
              <w:pStyle w:val="11"/>
            </w:pPr>
            <w:r>
              <w:t>一级指标</w:t>
            </w:r>
          </w:p>
        </w:tc>
        <w:tc>
          <w:tcPr>
            <w:tcW w:w="2268" w:type="dxa"/>
            <w:vAlign w:val="center"/>
          </w:tcPr>
          <w:p w14:paraId="1197F51B">
            <w:pPr>
              <w:pStyle w:val="11"/>
            </w:pPr>
            <w:r>
              <w:t>二级指标</w:t>
            </w:r>
          </w:p>
        </w:tc>
        <w:tc>
          <w:tcPr>
            <w:tcW w:w="2835" w:type="dxa"/>
            <w:vAlign w:val="center"/>
          </w:tcPr>
          <w:p w14:paraId="1F092347">
            <w:pPr>
              <w:pStyle w:val="11"/>
            </w:pPr>
            <w:r>
              <w:t>三级指标</w:t>
            </w:r>
          </w:p>
        </w:tc>
        <w:tc>
          <w:tcPr>
            <w:tcW w:w="5386" w:type="dxa"/>
            <w:vAlign w:val="center"/>
          </w:tcPr>
          <w:p w14:paraId="097C92F1">
            <w:pPr>
              <w:pStyle w:val="11"/>
            </w:pPr>
            <w:r>
              <w:t>绩效指标描述</w:t>
            </w:r>
          </w:p>
        </w:tc>
        <w:tc>
          <w:tcPr>
            <w:tcW w:w="1688" w:type="dxa"/>
            <w:vAlign w:val="center"/>
          </w:tcPr>
          <w:p w14:paraId="00B89D8D">
            <w:pPr>
              <w:pStyle w:val="11"/>
            </w:pPr>
            <w:r>
              <w:t>指标值</w:t>
            </w:r>
          </w:p>
        </w:tc>
        <w:tc>
          <w:tcPr>
            <w:tcW w:w="1856" w:type="dxa"/>
            <w:vAlign w:val="center"/>
          </w:tcPr>
          <w:p w14:paraId="77DF6400">
            <w:pPr>
              <w:pStyle w:val="11"/>
            </w:pPr>
            <w:r>
              <w:t>指标值确定依据</w:t>
            </w:r>
          </w:p>
        </w:tc>
      </w:tr>
      <w:tr w14:paraId="77245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7D5DF">
            <w:pPr>
              <w:pStyle w:val="12"/>
            </w:pPr>
            <w:r>
              <w:t>产出指标</w:t>
            </w:r>
          </w:p>
        </w:tc>
        <w:tc>
          <w:tcPr>
            <w:tcW w:w="2268" w:type="dxa"/>
            <w:vAlign w:val="center"/>
          </w:tcPr>
          <w:p w14:paraId="0A16A20E">
            <w:pPr>
              <w:pStyle w:val="13"/>
            </w:pPr>
            <w:r>
              <w:t>数量指标</w:t>
            </w:r>
          </w:p>
        </w:tc>
        <w:tc>
          <w:tcPr>
            <w:tcW w:w="2835" w:type="dxa"/>
            <w:vAlign w:val="center"/>
          </w:tcPr>
          <w:p w14:paraId="75109C14">
            <w:pPr>
              <w:pStyle w:val="13"/>
            </w:pPr>
            <w:r>
              <w:t>就读学生数</w:t>
            </w:r>
          </w:p>
        </w:tc>
        <w:tc>
          <w:tcPr>
            <w:tcW w:w="5386" w:type="dxa"/>
            <w:vAlign w:val="center"/>
          </w:tcPr>
          <w:p w14:paraId="6E5D94C0">
            <w:pPr>
              <w:pStyle w:val="13"/>
            </w:pPr>
            <w:r>
              <w:t>辐射区域内适龄学生人数</w:t>
            </w:r>
          </w:p>
        </w:tc>
        <w:tc>
          <w:tcPr>
            <w:tcW w:w="1688" w:type="dxa"/>
            <w:vAlign w:val="center"/>
          </w:tcPr>
          <w:p w14:paraId="0EF91DA8">
            <w:pPr>
              <w:pStyle w:val="13"/>
            </w:pPr>
            <w:r>
              <w:t>932人</w:t>
            </w:r>
          </w:p>
        </w:tc>
        <w:tc>
          <w:tcPr>
            <w:tcW w:w="1856" w:type="dxa"/>
            <w:vAlign w:val="center"/>
          </w:tcPr>
          <w:p w14:paraId="3F920F2B">
            <w:pPr>
              <w:pStyle w:val="13"/>
            </w:pPr>
            <w:r>
              <w:t>城乡义务教育公用经费管理办法</w:t>
            </w:r>
          </w:p>
        </w:tc>
      </w:tr>
      <w:tr w14:paraId="5D04A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44E33"/>
        </w:tc>
        <w:tc>
          <w:tcPr>
            <w:tcW w:w="2268" w:type="dxa"/>
            <w:vAlign w:val="center"/>
          </w:tcPr>
          <w:p w14:paraId="0FEBEDEA">
            <w:pPr>
              <w:pStyle w:val="13"/>
            </w:pPr>
            <w:r>
              <w:t>质量指标</w:t>
            </w:r>
          </w:p>
        </w:tc>
        <w:tc>
          <w:tcPr>
            <w:tcW w:w="2835" w:type="dxa"/>
            <w:vAlign w:val="center"/>
          </w:tcPr>
          <w:p w14:paraId="6A95F606">
            <w:pPr>
              <w:pStyle w:val="13"/>
            </w:pPr>
            <w:r>
              <w:t>预算执行率</w:t>
            </w:r>
          </w:p>
        </w:tc>
        <w:tc>
          <w:tcPr>
            <w:tcW w:w="5386" w:type="dxa"/>
            <w:vAlign w:val="center"/>
          </w:tcPr>
          <w:p w14:paraId="69B2B8A7">
            <w:pPr>
              <w:pStyle w:val="13"/>
            </w:pPr>
            <w:r>
              <w:t>预算执行率≥98%</w:t>
            </w:r>
          </w:p>
        </w:tc>
        <w:tc>
          <w:tcPr>
            <w:tcW w:w="1688" w:type="dxa"/>
            <w:vAlign w:val="center"/>
          </w:tcPr>
          <w:p w14:paraId="4E9E62BC">
            <w:pPr>
              <w:pStyle w:val="13"/>
            </w:pPr>
            <w:r>
              <w:t>≥98%</w:t>
            </w:r>
          </w:p>
        </w:tc>
        <w:tc>
          <w:tcPr>
            <w:tcW w:w="1856" w:type="dxa"/>
            <w:vAlign w:val="center"/>
          </w:tcPr>
          <w:p w14:paraId="39E755EB">
            <w:pPr>
              <w:pStyle w:val="13"/>
            </w:pPr>
            <w:r>
              <w:t>城乡义务教育公用经费管理办法</w:t>
            </w:r>
          </w:p>
        </w:tc>
      </w:tr>
      <w:tr w14:paraId="04368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7A6B4"/>
        </w:tc>
        <w:tc>
          <w:tcPr>
            <w:tcW w:w="2268" w:type="dxa"/>
            <w:vAlign w:val="center"/>
          </w:tcPr>
          <w:p w14:paraId="7C98CC97">
            <w:pPr>
              <w:pStyle w:val="13"/>
            </w:pPr>
            <w:r>
              <w:t>时效指标</w:t>
            </w:r>
          </w:p>
        </w:tc>
        <w:tc>
          <w:tcPr>
            <w:tcW w:w="2835" w:type="dxa"/>
            <w:vAlign w:val="center"/>
          </w:tcPr>
          <w:p w14:paraId="30FE2F5C">
            <w:pPr>
              <w:pStyle w:val="13"/>
            </w:pPr>
            <w:r>
              <w:t>义教经费支付完成率</w:t>
            </w:r>
          </w:p>
        </w:tc>
        <w:tc>
          <w:tcPr>
            <w:tcW w:w="5386" w:type="dxa"/>
            <w:vAlign w:val="center"/>
          </w:tcPr>
          <w:p w14:paraId="47FC343D">
            <w:pPr>
              <w:pStyle w:val="13"/>
            </w:pPr>
            <w:r>
              <w:t>按照序时进度完成资金支付</w:t>
            </w:r>
          </w:p>
        </w:tc>
        <w:tc>
          <w:tcPr>
            <w:tcW w:w="1688" w:type="dxa"/>
            <w:vAlign w:val="center"/>
          </w:tcPr>
          <w:p w14:paraId="27068B25">
            <w:pPr>
              <w:pStyle w:val="13"/>
            </w:pPr>
            <w:r>
              <w:t>≥100%</w:t>
            </w:r>
          </w:p>
        </w:tc>
        <w:tc>
          <w:tcPr>
            <w:tcW w:w="1856" w:type="dxa"/>
            <w:vAlign w:val="center"/>
          </w:tcPr>
          <w:p w14:paraId="012B11D2">
            <w:pPr>
              <w:pStyle w:val="13"/>
            </w:pPr>
            <w:r>
              <w:t>城乡义务教育公用经费管理办法</w:t>
            </w:r>
          </w:p>
        </w:tc>
      </w:tr>
      <w:tr w14:paraId="11F10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ACAD6"/>
        </w:tc>
        <w:tc>
          <w:tcPr>
            <w:tcW w:w="2268" w:type="dxa"/>
            <w:vAlign w:val="center"/>
          </w:tcPr>
          <w:p w14:paraId="56EA7506">
            <w:pPr>
              <w:pStyle w:val="13"/>
            </w:pPr>
            <w:r>
              <w:t>成本指标</w:t>
            </w:r>
          </w:p>
        </w:tc>
        <w:tc>
          <w:tcPr>
            <w:tcW w:w="2835" w:type="dxa"/>
            <w:vAlign w:val="center"/>
          </w:tcPr>
          <w:p w14:paraId="4CC12C02">
            <w:pPr>
              <w:pStyle w:val="13"/>
            </w:pPr>
            <w:r>
              <w:t>生均拨款标准</w:t>
            </w:r>
          </w:p>
        </w:tc>
        <w:tc>
          <w:tcPr>
            <w:tcW w:w="5386" w:type="dxa"/>
            <w:vAlign w:val="center"/>
          </w:tcPr>
          <w:p w14:paraId="38B601D2">
            <w:pPr>
              <w:pStyle w:val="13"/>
            </w:pPr>
            <w:r>
              <w:t>小学生公用经费生均小学720元。取暖费120元/生/年，随班就读学生补助6000元/生</w:t>
            </w:r>
          </w:p>
        </w:tc>
        <w:tc>
          <w:tcPr>
            <w:tcW w:w="1688" w:type="dxa"/>
            <w:vAlign w:val="center"/>
          </w:tcPr>
          <w:p w14:paraId="6A3FCBE5">
            <w:pPr>
              <w:pStyle w:val="13"/>
            </w:pPr>
            <w:r>
              <w:t>840元</w:t>
            </w:r>
          </w:p>
        </w:tc>
        <w:tc>
          <w:tcPr>
            <w:tcW w:w="1856" w:type="dxa"/>
            <w:vAlign w:val="center"/>
          </w:tcPr>
          <w:p w14:paraId="645278CE">
            <w:pPr>
              <w:pStyle w:val="13"/>
            </w:pPr>
            <w:r>
              <w:t>城乡义务教育公用经费管理办法</w:t>
            </w:r>
          </w:p>
        </w:tc>
      </w:tr>
      <w:tr w14:paraId="47506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D4DEF6">
            <w:pPr>
              <w:pStyle w:val="12"/>
            </w:pPr>
            <w:r>
              <w:t>效益指标</w:t>
            </w:r>
          </w:p>
        </w:tc>
        <w:tc>
          <w:tcPr>
            <w:tcW w:w="2268" w:type="dxa"/>
            <w:vAlign w:val="center"/>
          </w:tcPr>
          <w:p w14:paraId="53422901">
            <w:pPr>
              <w:pStyle w:val="13"/>
            </w:pPr>
            <w:r>
              <w:t>可持续影响指标</w:t>
            </w:r>
          </w:p>
        </w:tc>
        <w:tc>
          <w:tcPr>
            <w:tcW w:w="2835" w:type="dxa"/>
            <w:vAlign w:val="center"/>
          </w:tcPr>
          <w:p w14:paraId="2DA3E2CD">
            <w:pPr>
              <w:pStyle w:val="13"/>
            </w:pPr>
            <w:r>
              <w:t>学校运转得到提高</w:t>
            </w:r>
          </w:p>
        </w:tc>
        <w:tc>
          <w:tcPr>
            <w:tcW w:w="5386" w:type="dxa"/>
            <w:vAlign w:val="center"/>
          </w:tcPr>
          <w:p w14:paraId="41BFB381">
            <w:pPr>
              <w:pStyle w:val="13"/>
            </w:pPr>
            <w:r>
              <w:t>学生受教育年限</w:t>
            </w:r>
          </w:p>
        </w:tc>
        <w:tc>
          <w:tcPr>
            <w:tcW w:w="1688" w:type="dxa"/>
            <w:vAlign w:val="center"/>
          </w:tcPr>
          <w:p w14:paraId="6CA837A2">
            <w:pPr>
              <w:pStyle w:val="13"/>
            </w:pPr>
            <w:r>
              <w:t>6年</w:t>
            </w:r>
          </w:p>
        </w:tc>
        <w:tc>
          <w:tcPr>
            <w:tcW w:w="1856" w:type="dxa"/>
            <w:vAlign w:val="center"/>
          </w:tcPr>
          <w:p w14:paraId="1CF96548">
            <w:pPr>
              <w:pStyle w:val="13"/>
            </w:pPr>
            <w:r>
              <w:t>城乡义务教育公用经费管理办法</w:t>
            </w:r>
          </w:p>
        </w:tc>
      </w:tr>
      <w:tr w14:paraId="78E80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42C731">
            <w:pPr>
              <w:pStyle w:val="12"/>
            </w:pPr>
            <w:r>
              <w:t>满意度指标</w:t>
            </w:r>
          </w:p>
        </w:tc>
        <w:tc>
          <w:tcPr>
            <w:tcW w:w="2268" w:type="dxa"/>
            <w:vAlign w:val="center"/>
          </w:tcPr>
          <w:p w14:paraId="74C48AF3">
            <w:pPr>
              <w:pStyle w:val="13"/>
            </w:pPr>
            <w:r>
              <w:t>服务对象满意度指标</w:t>
            </w:r>
          </w:p>
        </w:tc>
        <w:tc>
          <w:tcPr>
            <w:tcW w:w="2835" w:type="dxa"/>
            <w:vAlign w:val="center"/>
          </w:tcPr>
          <w:p w14:paraId="686CA101">
            <w:pPr>
              <w:pStyle w:val="13"/>
            </w:pPr>
            <w:r>
              <w:t>服务对象满意度</w:t>
            </w:r>
          </w:p>
        </w:tc>
        <w:tc>
          <w:tcPr>
            <w:tcW w:w="5386" w:type="dxa"/>
            <w:vAlign w:val="center"/>
          </w:tcPr>
          <w:p w14:paraId="38BCC0AC">
            <w:pPr>
              <w:pStyle w:val="13"/>
            </w:pPr>
            <w:r>
              <w:t>学校老师和学生满意度</w:t>
            </w:r>
          </w:p>
        </w:tc>
        <w:tc>
          <w:tcPr>
            <w:tcW w:w="1688" w:type="dxa"/>
            <w:vAlign w:val="center"/>
          </w:tcPr>
          <w:p w14:paraId="287E22F2">
            <w:pPr>
              <w:pStyle w:val="13"/>
            </w:pPr>
            <w:r>
              <w:t>≥95%</w:t>
            </w:r>
          </w:p>
        </w:tc>
        <w:tc>
          <w:tcPr>
            <w:tcW w:w="1856" w:type="dxa"/>
            <w:vAlign w:val="center"/>
          </w:tcPr>
          <w:p w14:paraId="7CA1798F">
            <w:pPr>
              <w:pStyle w:val="13"/>
            </w:pPr>
            <w:r>
              <w:t>城乡义务教育公用经费管理办法</w:t>
            </w:r>
          </w:p>
        </w:tc>
      </w:tr>
    </w:tbl>
    <w:p w14:paraId="0EAF6574">
      <w:pPr>
        <w:sectPr>
          <w:pgSz w:w="16840" w:h="11900" w:orient="landscape"/>
          <w:pgMar w:top="1361" w:right="1020" w:bottom="1134" w:left="1020" w:header="720" w:footer="720" w:gutter="0"/>
          <w:cols w:space="720" w:num="1"/>
        </w:sectPr>
      </w:pPr>
    </w:p>
    <w:p w14:paraId="18D419E7">
      <w:pPr>
        <w:spacing w:before="0" w:after="0"/>
        <w:ind w:firstLine="560"/>
        <w:jc w:val="left"/>
        <w:outlineLvl w:val="9"/>
      </w:pPr>
      <w:r>
        <w:rPr>
          <w:rFonts w:ascii="方正仿宋_GBK" w:hAnsi="方正仿宋_GBK" w:eastAsia="方正仿宋_GBK" w:cs="方正仿宋_GBK"/>
          <w:b/>
          <w:color w:val="000000"/>
          <w:sz w:val="28"/>
        </w:rPr>
        <w:t>25、冀财教[2024]141号/省级/2025年义教补助经费/周村小学公用经费绩效目标表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902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5A06A">
            <w:pPr>
              <w:pStyle w:val="14"/>
            </w:pPr>
            <w:r>
              <w:t>单位：万元</w:t>
            </w:r>
          </w:p>
        </w:tc>
      </w:tr>
      <w:tr w14:paraId="1F815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A9BE95">
            <w:pPr>
              <w:pStyle w:val="11"/>
            </w:pPr>
            <w:r>
              <w:t>项目编码</w:t>
            </w:r>
          </w:p>
        </w:tc>
        <w:tc>
          <w:tcPr>
            <w:tcW w:w="5103" w:type="dxa"/>
            <w:gridSpan w:val="2"/>
            <w:vAlign w:val="center"/>
          </w:tcPr>
          <w:p w14:paraId="7D5D74F6">
            <w:pPr>
              <w:pStyle w:val="13"/>
            </w:pPr>
            <w:r>
              <w:t>13052525P00000410150L</w:t>
            </w:r>
          </w:p>
        </w:tc>
        <w:tc>
          <w:tcPr>
            <w:tcW w:w="2835" w:type="dxa"/>
            <w:vAlign w:val="center"/>
          </w:tcPr>
          <w:p w14:paraId="40D7BAD3">
            <w:pPr>
              <w:pStyle w:val="11"/>
            </w:pPr>
            <w:r>
              <w:t>项目名称</w:t>
            </w:r>
          </w:p>
        </w:tc>
        <w:tc>
          <w:tcPr>
            <w:tcW w:w="6095" w:type="dxa"/>
            <w:gridSpan w:val="3"/>
            <w:vAlign w:val="center"/>
          </w:tcPr>
          <w:p w14:paraId="4E470803">
            <w:pPr>
              <w:pStyle w:val="13"/>
            </w:pPr>
            <w:r>
              <w:t>冀财教[2024]141号/省级/2025年义教补助经费/周村小学公用经费</w:t>
            </w:r>
          </w:p>
        </w:tc>
      </w:tr>
      <w:tr w14:paraId="09EA0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F7C26">
            <w:pPr>
              <w:pStyle w:val="11"/>
            </w:pPr>
            <w:r>
              <w:t>预算规模及资金用途</w:t>
            </w:r>
          </w:p>
        </w:tc>
        <w:tc>
          <w:tcPr>
            <w:tcW w:w="2268" w:type="dxa"/>
            <w:vAlign w:val="center"/>
          </w:tcPr>
          <w:p w14:paraId="685DB999">
            <w:pPr>
              <w:pStyle w:val="11"/>
            </w:pPr>
            <w:r>
              <w:t>预算数</w:t>
            </w:r>
          </w:p>
        </w:tc>
        <w:tc>
          <w:tcPr>
            <w:tcW w:w="2835" w:type="dxa"/>
            <w:vAlign w:val="center"/>
          </w:tcPr>
          <w:p w14:paraId="6AC2EB96">
            <w:pPr>
              <w:pStyle w:val="13"/>
            </w:pPr>
            <w:r>
              <w:t>5.46</w:t>
            </w:r>
          </w:p>
        </w:tc>
        <w:tc>
          <w:tcPr>
            <w:tcW w:w="2835" w:type="dxa"/>
            <w:vAlign w:val="center"/>
          </w:tcPr>
          <w:p w14:paraId="62B10F2F">
            <w:pPr>
              <w:pStyle w:val="11"/>
            </w:pPr>
            <w:r>
              <w:t>其中：财政    资金</w:t>
            </w:r>
          </w:p>
        </w:tc>
        <w:tc>
          <w:tcPr>
            <w:tcW w:w="2551" w:type="dxa"/>
            <w:vAlign w:val="center"/>
          </w:tcPr>
          <w:p w14:paraId="54D813C9">
            <w:pPr>
              <w:pStyle w:val="13"/>
            </w:pPr>
            <w:r>
              <w:t>5.46</w:t>
            </w:r>
          </w:p>
        </w:tc>
        <w:tc>
          <w:tcPr>
            <w:tcW w:w="2268" w:type="dxa"/>
            <w:vAlign w:val="center"/>
          </w:tcPr>
          <w:p w14:paraId="40E0AF5D">
            <w:pPr>
              <w:pStyle w:val="11"/>
            </w:pPr>
            <w:r>
              <w:t>其他资金</w:t>
            </w:r>
          </w:p>
        </w:tc>
        <w:tc>
          <w:tcPr>
            <w:tcW w:w="1276" w:type="dxa"/>
            <w:vAlign w:val="center"/>
          </w:tcPr>
          <w:p w14:paraId="4078A42D">
            <w:pPr>
              <w:pStyle w:val="13"/>
            </w:pPr>
            <w:r>
              <w:t xml:space="preserve"> </w:t>
            </w:r>
          </w:p>
        </w:tc>
      </w:tr>
      <w:tr w14:paraId="2D620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96DA47"/>
        </w:tc>
        <w:tc>
          <w:tcPr>
            <w:tcW w:w="14033" w:type="dxa"/>
            <w:gridSpan w:val="6"/>
            <w:vAlign w:val="center"/>
          </w:tcPr>
          <w:p w14:paraId="2AE91264">
            <w:pPr>
              <w:pStyle w:val="13"/>
            </w:pPr>
            <w:r>
              <w:t>保障义务教育学校正常运转，完成教育教学活动和其他日常工作任务等方面的费用支出。</w:t>
            </w:r>
          </w:p>
        </w:tc>
      </w:tr>
      <w:tr w14:paraId="0104F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E71CE">
            <w:pPr>
              <w:pStyle w:val="11"/>
            </w:pPr>
            <w:r>
              <w:t>资金支出计划（%）</w:t>
            </w:r>
          </w:p>
        </w:tc>
        <w:tc>
          <w:tcPr>
            <w:tcW w:w="5103" w:type="dxa"/>
            <w:gridSpan w:val="2"/>
            <w:vAlign w:val="center"/>
          </w:tcPr>
          <w:p w14:paraId="00EF26CF">
            <w:pPr>
              <w:pStyle w:val="11"/>
            </w:pPr>
            <w:r>
              <w:t>3月底</w:t>
            </w:r>
          </w:p>
        </w:tc>
        <w:tc>
          <w:tcPr>
            <w:tcW w:w="2835" w:type="dxa"/>
            <w:vAlign w:val="center"/>
          </w:tcPr>
          <w:p w14:paraId="3FE894E5">
            <w:pPr>
              <w:pStyle w:val="11"/>
            </w:pPr>
            <w:r>
              <w:t>6月底</w:t>
            </w:r>
          </w:p>
        </w:tc>
        <w:tc>
          <w:tcPr>
            <w:tcW w:w="2551" w:type="dxa"/>
            <w:vAlign w:val="center"/>
          </w:tcPr>
          <w:p w14:paraId="6465FCE4">
            <w:pPr>
              <w:pStyle w:val="11"/>
            </w:pPr>
            <w:r>
              <w:t>10月底</w:t>
            </w:r>
          </w:p>
        </w:tc>
        <w:tc>
          <w:tcPr>
            <w:tcW w:w="3544" w:type="dxa"/>
            <w:gridSpan w:val="2"/>
            <w:vAlign w:val="center"/>
          </w:tcPr>
          <w:p w14:paraId="10480353">
            <w:pPr>
              <w:pStyle w:val="11"/>
            </w:pPr>
            <w:r>
              <w:t>12月底</w:t>
            </w:r>
          </w:p>
        </w:tc>
      </w:tr>
      <w:tr w14:paraId="0ECB3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78C15"/>
        </w:tc>
        <w:tc>
          <w:tcPr>
            <w:tcW w:w="5103" w:type="dxa"/>
            <w:gridSpan w:val="2"/>
            <w:vAlign w:val="center"/>
          </w:tcPr>
          <w:p w14:paraId="55B2ABD8">
            <w:pPr>
              <w:pStyle w:val="12"/>
            </w:pPr>
            <w:r>
              <w:t>25%</w:t>
            </w:r>
          </w:p>
        </w:tc>
        <w:tc>
          <w:tcPr>
            <w:tcW w:w="2835" w:type="dxa"/>
            <w:vAlign w:val="center"/>
          </w:tcPr>
          <w:p w14:paraId="692891F3">
            <w:pPr>
              <w:pStyle w:val="12"/>
            </w:pPr>
            <w:r>
              <w:t>50%</w:t>
            </w:r>
          </w:p>
        </w:tc>
        <w:tc>
          <w:tcPr>
            <w:tcW w:w="2551" w:type="dxa"/>
            <w:vAlign w:val="center"/>
          </w:tcPr>
          <w:p w14:paraId="7030D014">
            <w:pPr>
              <w:pStyle w:val="12"/>
            </w:pPr>
            <w:r>
              <w:t>75%</w:t>
            </w:r>
          </w:p>
        </w:tc>
        <w:tc>
          <w:tcPr>
            <w:tcW w:w="3544" w:type="dxa"/>
            <w:gridSpan w:val="2"/>
            <w:vAlign w:val="center"/>
          </w:tcPr>
          <w:p w14:paraId="5410BFD6">
            <w:pPr>
              <w:pStyle w:val="12"/>
            </w:pPr>
            <w:r>
              <w:t>100%</w:t>
            </w:r>
          </w:p>
        </w:tc>
      </w:tr>
      <w:tr w14:paraId="1A701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7978F">
            <w:pPr>
              <w:pStyle w:val="11"/>
            </w:pPr>
            <w:r>
              <w:t>绩效目标</w:t>
            </w:r>
          </w:p>
        </w:tc>
        <w:tc>
          <w:tcPr>
            <w:tcW w:w="14033" w:type="dxa"/>
            <w:gridSpan w:val="6"/>
            <w:vAlign w:val="center"/>
          </w:tcPr>
          <w:p w14:paraId="7720D794">
            <w:pPr>
              <w:pStyle w:val="13"/>
            </w:pPr>
            <w:r>
              <w:t>1.保障义务教育学校正常运转，完成教育教学活动和其他日常工作任务等方面的费用支出。</w:t>
            </w:r>
          </w:p>
          <w:p w14:paraId="3D674D53">
            <w:pPr>
              <w:pStyle w:val="13"/>
            </w:pPr>
            <w:r>
              <w:t>2.按规定拨付公用经费资金54600元，资金拨付率达到100%。</w:t>
            </w:r>
          </w:p>
        </w:tc>
      </w:tr>
    </w:tbl>
    <w:p w14:paraId="0CEC9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14:paraId="1C0ED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B9EC1">
            <w:pPr>
              <w:pStyle w:val="11"/>
            </w:pPr>
            <w:r>
              <w:t>一级指标</w:t>
            </w:r>
          </w:p>
        </w:tc>
        <w:tc>
          <w:tcPr>
            <w:tcW w:w="2268" w:type="dxa"/>
            <w:vAlign w:val="center"/>
          </w:tcPr>
          <w:p w14:paraId="413CC2C6">
            <w:pPr>
              <w:pStyle w:val="11"/>
            </w:pPr>
            <w:r>
              <w:t>二级指标</w:t>
            </w:r>
          </w:p>
        </w:tc>
        <w:tc>
          <w:tcPr>
            <w:tcW w:w="2835" w:type="dxa"/>
            <w:vAlign w:val="center"/>
          </w:tcPr>
          <w:p w14:paraId="6B356F5E">
            <w:pPr>
              <w:pStyle w:val="11"/>
            </w:pPr>
            <w:r>
              <w:t>三级指标</w:t>
            </w:r>
          </w:p>
        </w:tc>
        <w:tc>
          <w:tcPr>
            <w:tcW w:w="5386" w:type="dxa"/>
            <w:vAlign w:val="center"/>
          </w:tcPr>
          <w:p w14:paraId="2EB13404">
            <w:pPr>
              <w:pStyle w:val="11"/>
            </w:pPr>
            <w:r>
              <w:t>绩效指标描述</w:t>
            </w:r>
          </w:p>
        </w:tc>
        <w:tc>
          <w:tcPr>
            <w:tcW w:w="1778" w:type="dxa"/>
            <w:vAlign w:val="center"/>
          </w:tcPr>
          <w:p w14:paraId="7FFC0396">
            <w:pPr>
              <w:pStyle w:val="11"/>
            </w:pPr>
            <w:r>
              <w:t>指标值</w:t>
            </w:r>
          </w:p>
        </w:tc>
        <w:tc>
          <w:tcPr>
            <w:tcW w:w="1766" w:type="dxa"/>
            <w:vAlign w:val="center"/>
          </w:tcPr>
          <w:p w14:paraId="2B6766B3">
            <w:pPr>
              <w:pStyle w:val="11"/>
            </w:pPr>
            <w:r>
              <w:t>指标值确定依据</w:t>
            </w:r>
          </w:p>
        </w:tc>
      </w:tr>
      <w:tr w14:paraId="4FAFB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887E0">
            <w:pPr>
              <w:pStyle w:val="12"/>
            </w:pPr>
            <w:r>
              <w:t>产出指标</w:t>
            </w:r>
          </w:p>
        </w:tc>
        <w:tc>
          <w:tcPr>
            <w:tcW w:w="2268" w:type="dxa"/>
            <w:vAlign w:val="center"/>
          </w:tcPr>
          <w:p w14:paraId="2FA3CBD8">
            <w:pPr>
              <w:pStyle w:val="13"/>
            </w:pPr>
            <w:r>
              <w:t>数量指标</w:t>
            </w:r>
          </w:p>
        </w:tc>
        <w:tc>
          <w:tcPr>
            <w:tcW w:w="2835" w:type="dxa"/>
            <w:vAlign w:val="center"/>
          </w:tcPr>
          <w:p w14:paraId="25E4417E">
            <w:pPr>
              <w:pStyle w:val="13"/>
            </w:pPr>
            <w:r>
              <w:t>就读学生数</w:t>
            </w:r>
          </w:p>
        </w:tc>
        <w:tc>
          <w:tcPr>
            <w:tcW w:w="5386" w:type="dxa"/>
            <w:vAlign w:val="center"/>
          </w:tcPr>
          <w:p w14:paraId="6DB0EC53">
            <w:pPr>
              <w:pStyle w:val="13"/>
            </w:pPr>
            <w:r>
              <w:t>辐射区域内适龄学生人数</w:t>
            </w:r>
          </w:p>
        </w:tc>
        <w:tc>
          <w:tcPr>
            <w:tcW w:w="1778" w:type="dxa"/>
            <w:vAlign w:val="center"/>
          </w:tcPr>
          <w:p w14:paraId="750F740F">
            <w:pPr>
              <w:pStyle w:val="13"/>
            </w:pPr>
            <w:r>
              <w:t>196人</w:t>
            </w:r>
          </w:p>
        </w:tc>
        <w:tc>
          <w:tcPr>
            <w:tcW w:w="1766" w:type="dxa"/>
            <w:vAlign w:val="center"/>
          </w:tcPr>
          <w:p w14:paraId="09D5D172">
            <w:pPr>
              <w:pStyle w:val="13"/>
            </w:pPr>
            <w:r>
              <w:t>城乡义务教育公用经费管理办法</w:t>
            </w:r>
          </w:p>
        </w:tc>
      </w:tr>
      <w:tr w14:paraId="29090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F33AC"/>
        </w:tc>
        <w:tc>
          <w:tcPr>
            <w:tcW w:w="2268" w:type="dxa"/>
            <w:vAlign w:val="center"/>
          </w:tcPr>
          <w:p w14:paraId="55DDCB70">
            <w:pPr>
              <w:pStyle w:val="13"/>
            </w:pPr>
            <w:r>
              <w:t>质量指标</w:t>
            </w:r>
          </w:p>
        </w:tc>
        <w:tc>
          <w:tcPr>
            <w:tcW w:w="2835" w:type="dxa"/>
            <w:vAlign w:val="center"/>
          </w:tcPr>
          <w:p w14:paraId="0BA05757">
            <w:pPr>
              <w:pStyle w:val="13"/>
            </w:pPr>
            <w:r>
              <w:t>预算执行率</w:t>
            </w:r>
          </w:p>
        </w:tc>
        <w:tc>
          <w:tcPr>
            <w:tcW w:w="5386" w:type="dxa"/>
            <w:vAlign w:val="center"/>
          </w:tcPr>
          <w:p w14:paraId="1FB396ED">
            <w:pPr>
              <w:pStyle w:val="13"/>
            </w:pPr>
            <w:r>
              <w:t>预算执行率≥98%</w:t>
            </w:r>
          </w:p>
        </w:tc>
        <w:tc>
          <w:tcPr>
            <w:tcW w:w="1778" w:type="dxa"/>
            <w:vAlign w:val="center"/>
          </w:tcPr>
          <w:p w14:paraId="35704816">
            <w:pPr>
              <w:pStyle w:val="13"/>
            </w:pPr>
            <w:r>
              <w:t>≥98%</w:t>
            </w:r>
          </w:p>
        </w:tc>
        <w:tc>
          <w:tcPr>
            <w:tcW w:w="1766" w:type="dxa"/>
            <w:vAlign w:val="center"/>
          </w:tcPr>
          <w:p w14:paraId="55988D8E">
            <w:pPr>
              <w:pStyle w:val="13"/>
            </w:pPr>
            <w:r>
              <w:t>城乡义务教育公用经费管理办法</w:t>
            </w:r>
          </w:p>
        </w:tc>
      </w:tr>
      <w:tr w14:paraId="2C484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A1D21"/>
        </w:tc>
        <w:tc>
          <w:tcPr>
            <w:tcW w:w="2268" w:type="dxa"/>
            <w:vAlign w:val="center"/>
          </w:tcPr>
          <w:p w14:paraId="4D070A68">
            <w:pPr>
              <w:pStyle w:val="13"/>
            </w:pPr>
            <w:r>
              <w:t>时效指标</w:t>
            </w:r>
          </w:p>
        </w:tc>
        <w:tc>
          <w:tcPr>
            <w:tcW w:w="2835" w:type="dxa"/>
            <w:vAlign w:val="center"/>
          </w:tcPr>
          <w:p w14:paraId="4F598D98">
            <w:pPr>
              <w:pStyle w:val="13"/>
            </w:pPr>
            <w:r>
              <w:t>义教经费支付完成率</w:t>
            </w:r>
          </w:p>
        </w:tc>
        <w:tc>
          <w:tcPr>
            <w:tcW w:w="5386" w:type="dxa"/>
            <w:vAlign w:val="center"/>
          </w:tcPr>
          <w:p w14:paraId="5A22C83E">
            <w:pPr>
              <w:pStyle w:val="13"/>
            </w:pPr>
            <w:r>
              <w:t>按照序时进度完成资金支付</w:t>
            </w:r>
          </w:p>
        </w:tc>
        <w:tc>
          <w:tcPr>
            <w:tcW w:w="1778" w:type="dxa"/>
            <w:vAlign w:val="center"/>
          </w:tcPr>
          <w:p w14:paraId="1197899D">
            <w:pPr>
              <w:pStyle w:val="13"/>
            </w:pPr>
            <w:r>
              <w:t>≥100%</w:t>
            </w:r>
          </w:p>
        </w:tc>
        <w:tc>
          <w:tcPr>
            <w:tcW w:w="1766" w:type="dxa"/>
            <w:vAlign w:val="center"/>
          </w:tcPr>
          <w:p w14:paraId="36D8464E">
            <w:pPr>
              <w:pStyle w:val="13"/>
            </w:pPr>
            <w:r>
              <w:t>城乡义务教育公用经费管理办法</w:t>
            </w:r>
          </w:p>
        </w:tc>
      </w:tr>
      <w:tr w14:paraId="22808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181E1"/>
        </w:tc>
        <w:tc>
          <w:tcPr>
            <w:tcW w:w="2268" w:type="dxa"/>
            <w:vAlign w:val="center"/>
          </w:tcPr>
          <w:p w14:paraId="2D1E208F">
            <w:pPr>
              <w:pStyle w:val="13"/>
            </w:pPr>
            <w:r>
              <w:t>成本指标</w:t>
            </w:r>
          </w:p>
        </w:tc>
        <w:tc>
          <w:tcPr>
            <w:tcW w:w="2835" w:type="dxa"/>
            <w:vAlign w:val="center"/>
          </w:tcPr>
          <w:p w14:paraId="45FE06C5">
            <w:pPr>
              <w:pStyle w:val="13"/>
            </w:pPr>
            <w:r>
              <w:t>生均拨款标准</w:t>
            </w:r>
          </w:p>
        </w:tc>
        <w:tc>
          <w:tcPr>
            <w:tcW w:w="5386" w:type="dxa"/>
            <w:vAlign w:val="center"/>
          </w:tcPr>
          <w:p w14:paraId="72B24225">
            <w:pPr>
              <w:pStyle w:val="13"/>
            </w:pPr>
            <w:r>
              <w:t>小学生公用经费生均小学720元。取暖费120元/生/年，随班就读学生补助6000元/生</w:t>
            </w:r>
          </w:p>
        </w:tc>
        <w:tc>
          <w:tcPr>
            <w:tcW w:w="1778" w:type="dxa"/>
            <w:vAlign w:val="center"/>
          </w:tcPr>
          <w:p w14:paraId="21AB3F53">
            <w:pPr>
              <w:pStyle w:val="13"/>
            </w:pPr>
            <w:r>
              <w:t>840元</w:t>
            </w:r>
          </w:p>
        </w:tc>
        <w:tc>
          <w:tcPr>
            <w:tcW w:w="1766" w:type="dxa"/>
            <w:vAlign w:val="center"/>
          </w:tcPr>
          <w:p w14:paraId="7E6511D8">
            <w:pPr>
              <w:pStyle w:val="13"/>
            </w:pPr>
            <w:r>
              <w:t>城乡义务教育公用经费管理办法</w:t>
            </w:r>
          </w:p>
        </w:tc>
      </w:tr>
      <w:tr w14:paraId="666E4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1FDB80">
            <w:pPr>
              <w:pStyle w:val="12"/>
            </w:pPr>
            <w:r>
              <w:t>效益指标</w:t>
            </w:r>
          </w:p>
        </w:tc>
        <w:tc>
          <w:tcPr>
            <w:tcW w:w="2268" w:type="dxa"/>
            <w:vAlign w:val="center"/>
          </w:tcPr>
          <w:p w14:paraId="4D604451">
            <w:pPr>
              <w:pStyle w:val="13"/>
            </w:pPr>
            <w:r>
              <w:t>可持续影响指标</w:t>
            </w:r>
          </w:p>
        </w:tc>
        <w:tc>
          <w:tcPr>
            <w:tcW w:w="2835" w:type="dxa"/>
            <w:vAlign w:val="center"/>
          </w:tcPr>
          <w:p w14:paraId="4DA0CBB9">
            <w:pPr>
              <w:pStyle w:val="13"/>
            </w:pPr>
            <w:r>
              <w:t>学校运转得到提高</w:t>
            </w:r>
          </w:p>
        </w:tc>
        <w:tc>
          <w:tcPr>
            <w:tcW w:w="5386" w:type="dxa"/>
            <w:vAlign w:val="center"/>
          </w:tcPr>
          <w:p w14:paraId="5918CA76">
            <w:pPr>
              <w:pStyle w:val="13"/>
            </w:pPr>
            <w:r>
              <w:t>学生受教育年限</w:t>
            </w:r>
          </w:p>
        </w:tc>
        <w:tc>
          <w:tcPr>
            <w:tcW w:w="1778" w:type="dxa"/>
            <w:vAlign w:val="center"/>
          </w:tcPr>
          <w:p w14:paraId="06BA6800">
            <w:pPr>
              <w:pStyle w:val="13"/>
            </w:pPr>
            <w:r>
              <w:t>6年</w:t>
            </w:r>
          </w:p>
        </w:tc>
        <w:tc>
          <w:tcPr>
            <w:tcW w:w="1766" w:type="dxa"/>
            <w:vAlign w:val="center"/>
          </w:tcPr>
          <w:p w14:paraId="2401E762">
            <w:pPr>
              <w:pStyle w:val="13"/>
            </w:pPr>
            <w:r>
              <w:t>城乡义务教育公用经费管理办法</w:t>
            </w:r>
          </w:p>
        </w:tc>
      </w:tr>
      <w:tr w14:paraId="406D9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B2FDBF">
            <w:pPr>
              <w:pStyle w:val="12"/>
            </w:pPr>
            <w:r>
              <w:t>满意度指标</w:t>
            </w:r>
          </w:p>
        </w:tc>
        <w:tc>
          <w:tcPr>
            <w:tcW w:w="2268" w:type="dxa"/>
            <w:vAlign w:val="center"/>
          </w:tcPr>
          <w:p w14:paraId="2B1BAC6A">
            <w:pPr>
              <w:pStyle w:val="13"/>
            </w:pPr>
            <w:r>
              <w:t>服务对象满意度指标</w:t>
            </w:r>
          </w:p>
        </w:tc>
        <w:tc>
          <w:tcPr>
            <w:tcW w:w="2835" w:type="dxa"/>
            <w:vAlign w:val="center"/>
          </w:tcPr>
          <w:p w14:paraId="03349B41">
            <w:pPr>
              <w:pStyle w:val="13"/>
            </w:pPr>
            <w:r>
              <w:t>服务对象满意度</w:t>
            </w:r>
          </w:p>
        </w:tc>
        <w:tc>
          <w:tcPr>
            <w:tcW w:w="5386" w:type="dxa"/>
            <w:vAlign w:val="center"/>
          </w:tcPr>
          <w:p w14:paraId="575C94F7">
            <w:pPr>
              <w:pStyle w:val="13"/>
            </w:pPr>
            <w:r>
              <w:t>学校老师和学生满意度</w:t>
            </w:r>
          </w:p>
        </w:tc>
        <w:tc>
          <w:tcPr>
            <w:tcW w:w="1778" w:type="dxa"/>
            <w:vAlign w:val="center"/>
          </w:tcPr>
          <w:p w14:paraId="37217BCC">
            <w:pPr>
              <w:pStyle w:val="13"/>
            </w:pPr>
            <w:r>
              <w:t>95%</w:t>
            </w:r>
          </w:p>
        </w:tc>
        <w:tc>
          <w:tcPr>
            <w:tcW w:w="1766" w:type="dxa"/>
            <w:vAlign w:val="center"/>
          </w:tcPr>
          <w:p w14:paraId="71893F4B">
            <w:pPr>
              <w:pStyle w:val="13"/>
            </w:pPr>
            <w:r>
              <w:t>城乡义务教育公用经费管理办法</w:t>
            </w:r>
          </w:p>
        </w:tc>
      </w:tr>
    </w:tbl>
    <w:p w14:paraId="4455E336">
      <w:pPr>
        <w:sectPr>
          <w:pgSz w:w="16840" w:h="11900" w:orient="landscape"/>
          <w:pgMar w:top="1361" w:right="1020" w:bottom="1134" w:left="1020" w:header="720" w:footer="720" w:gutter="0"/>
          <w:cols w:space="720" w:num="1"/>
        </w:sectPr>
      </w:pPr>
    </w:p>
    <w:p w14:paraId="70E104D1">
      <w:pPr>
        <w:spacing w:before="0" w:after="0"/>
        <w:ind w:firstLine="560"/>
        <w:jc w:val="left"/>
        <w:outlineLvl w:val="9"/>
      </w:pPr>
      <w:r>
        <w:rPr>
          <w:rFonts w:ascii="方正仿宋_GBK" w:hAnsi="方正仿宋_GBK" w:eastAsia="方正仿宋_GBK" w:cs="方正仿宋_GBK"/>
          <w:b/>
          <w:color w:val="000000"/>
          <w:sz w:val="28"/>
        </w:rPr>
        <w:t>26、冀财教[2024]142号/省级/2025年学前发展资金/东良校区学前教育公用经费绩效目标表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0C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D08E2">
            <w:pPr>
              <w:pStyle w:val="14"/>
            </w:pPr>
            <w:r>
              <w:t>单位：万元</w:t>
            </w:r>
          </w:p>
        </w:tc>
      </w:tr>
      <w:tr w14:paraId="16878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0F548">
            <w:pPr>
              <w:pStyle w:val="11"/>
            </w:pPr>
            <w:r>
              <w:t>项目编码</w:t>
            </w:r>
          </w:p>
        </w:tc>
        <w:tc>
          <w:tcPr>
            <w:tcW w:w="5103" w:type="dxa"/>
            <w:gridSpan w:val="2"/>
            <w:vAlign w:val="center"/>
          </w:tcPr>
          <w:p w14:paraId="017623AB">
            <w:pPr>
              <w:pStyle w:val="13"/>
            </w:pPr>
            <w:r>
              <w:t>13052525P00875710004E</w:t>
            </w:r>
          </w:p>
        </w:tc>
        <w:tc>
          <w:tcPr>
            <w:tcW w:w="2835" w:type="dxa"/>
            <w:vAlign w:val="center"/>
          </w:tcPr>
          <w:p w14:paraId="506F7900">
            <w:pPr>
              <w:pStyle w:val="11"/>
            </w:pPr>
            <w:r>
              <w:t>项目名称</w:t>
            </w:r>
          </w:p>
        </w:tc>
        <w:tc>
          <w:tcPr>
            <w:tcW w:w="6095" w:type="dxa"/>
            <w:gridSpan w:val="3"/>
            <w:vAlign w:val="center"/>
          </w:tcPr>
          <w:p w14:paraId="27BBAD02">
            <w:pPr>
              <w:pStyle w:val="13"/>
            </w:pPr>
            <w:r>
              <w:t>冀财教[2024]142号/省级/2025年学前发展资金/东良校区学前教育公用经费</w:t>
            </w:r>
          </w:p>
        </w:tc>
      </w:tr>
      <w:tr w14:paraId="5600E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D1B19">
            <w:pPr>
              <w:pStyle w:val="11"/>
            </w:pPr>
            <w:r>
              <w:t>预算规模及资金用途</w:t>
            </w:r>
          </w:p>
        </w:tc>
        <w:tc>
          <w:tcPr>
            <w:tcW w:w="2268" w:type="dxa"/>
            <w:vAlign w:val="center"/>
          </w:tcPr>
          <w:p w14:paraId="090D0112">
            <w:pPr>
              <w:pStyle w:val="11"/>
            </w:pPr>
            <w:r>
              <w:t>预算数</w:t>
            </w:r>
          </w:p>
        </w:tc>
        <w:tc>
          <w:tcPr>
            <w:tcW w:w="2835" w:type="dxa"/>
            <w:vAlign w:val="center"/>
          </w:tcPr>
          <w:p w14:paraId="084B3A88">
            <w:pPr>
              <w:pStyle w:val="13"/>
            </w:pPr>
            <w:r>
              <w:t>14.99</w:t>
            </w:r>
          </w:p>
        </w:tc>
        <w:tc>
          <w:tcPr>
            <w:tcW w:w="2835" w:type="dxa"/>
            <w:vAlign w:val="center"/>
          </w:tcPr>
          <w:p w14:paraId="165209F9">
            <w:pPr>
              <w:pStyle w:val="11"/>
            </w:pPr>
            <w:r>
              <w:t>其中：财政    资金</w:t>
            </w:r>
          </w:p>
        </w:tc>
        <w:tc>
          <w:tcPr>
            <w:tcW w:w="2551" w:type="dxa"/>
            <w:vAlign w:val="center"/>
          </w:tcPr>
          <w:p w14:paraId="103D5B2F">
            <w:pPr>
              <w:pStyle w:val="13"/>
            </w:pPr>
            <w:r>
              <w:t>14.99</w:t>
            </w:r>
          </w:p>
        </w:tc>
        <w:tc>
          <w:tcPr>
            <w:tcW w:w="2268" w:type="dxa"/>
            <w:vAlign w:val="center"/>
          </w:tcPr>
          <w:p w14:paraId="3A2A23D6">
            <w:pPr>
              <w:pStyle w:val="11"/>
            </w:pPr>
            <w:r>
              <w:t>其他资金</w:t>
            </w:r>
          </w:p>
        </w:tc>
        <w:tc>
          <w:tcPr>
            <w:tcW w:w="1276" w:type="dxa"/>
            <w:vAlign w:val="center"/>
          </w:tcPr>
          <w:p w14:paraId="2D1E0B69">
            <w:pPr>
              <w:pStyle w:val="13"/>
            </w:pPr>
            <w:r>
              <w:t xml:space="preserve"> </w:t>
            </w:r>
          </w:p>
        </w:tc>
      </w:tr>
      <w:tr w14:paraId="32C98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D770C"/>
        </w:tc>
        <w:tc>
          <w:tcPr>
            <w:tcW w:w="14033" w:type="dxa"/>
            <w:gridSpan w:val="6"/>
            <w:vAlign w:val="center"/>
          </w:tcPr>
          <w:p w14:paraId="30474DF2">
            <w:pPr>
              <w:pStyle w:val="13"/>
            </w:pPr>
            <w:r>
              <w:t xml:space="preserve"> 保障幼儿园正常运转，完成教育教学活动和其他日常工作任务等方面的费用支出。</w:t>
            </w:r>
          </w:p>
        </w:tc>
      </w:tr>
      <w:tr w14:paraId="3CCD0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2451D">
            <w:pPr>
              <w:pStyle w:val="11"/>
            </w:pPr>
            <w:r>
              <w:t>资金支出计划（%）</w:t>
            </w:r>
          </w:p>
        </w:tc>
        <w:tc>
          <w:tcPr>
            <w:tcW w:w="5103" w:type="dxa"/>
            <w:gridSpan w:val="2"/>
            <w:vAlign w:val="center"/>
          </w:tcPr>
          <w:p w14:paraId="7989A56C">
            <w:pPr>
              <w:pStyle w:val="11"/>
            </w:pPr>
            <w:r>
              <w:t>3月底</w:t>
            </w:r>
          </w:p>
        </w:tc>
        <w:tc>
          <w:tcPr>
            <w:tcW w:w="2835" w:type="dxa"/>
            <w:vAlign w:val="center"/>
          </w:tcPr>
          <w:p w14:paraId="2F6619F4">
            <w:pPr>
              <w:pStyle w:val="11"/>
            </w:pPr>
            <w:r>
              <w:t>6月底</w:t>
            </w:r>
          </w:p>
        </w:tc>
        <w:tc>
          <w:tcPr>
            <w:tcW w:w="2551" w:type="dxa"/>
            <w:vAlign w:val="center"/>
          </w:tcPr>
          <w:p w14:paraId="69734EDB">
            <w:pPr>
              <w:pStyle w:val="11"/>
            </w:pPr>
            <w:r>
              <w:t>10月底</w:t>
            </w:r>
          </w:p>
        </w:tc>
        <w:tc>
          <w:tcPr>
            <w:tcW w:w="3544" w:type="dxa"/>
            <w:gridSpan w:val="2"/>
            <w:vAlign w:val="center"/>
          </w:tcPr>
          <w:p w14:paraId="47D0BE3B">
            <w:pPr>
              <w:pStyle w:val="11"/>
            </w:pPr>
            <w:r>
              <w:t>12月底</w:t>
            </w:r>
          </w:p>
        </w:tc>
      </w:tr>
      <w:tr w14:paraId="187B2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0B6115"/>
        </w:tc>
        <w:tc>
          <w:tcPr>
            <w:tcW w:w="5103" w:type="dxa"/>
            <w:gridSpan w:val="2"/>
            <w:vAlign w:val="center"/>
          </w:tcPr>
          <w:p w14:paraId="3AF3CEE0">
            <w:pPr>
              <w:pStyle w:val="12"/>
            </w:pPr>
            <w:r>
              <w:t>25%</w:t>
            </w:r>
          </w:p>
        </w:tc>
        <w:tc>
          <w:tcPr>
            <w:tcW w:w="2835" w:type="dxa"/>
            <w:vAlign w:val="center"/>
          </w:tcPr>
          <w:p w14:paraId="290B966E">
            <w:pPr>
              <w:pStyle w:val="12"/>
            </w:pPr>
            <w:r>
              <w:t>50%</w:t>
            </w:r>
          </w:p>
        </w:tc>
        <w:tc>
          <w:tcPr>
            <w:tcW w:w="2551" w:type="dxa"/>
            <w:vAlign w:val="center"/>
          </w:tcPr>
          <w:p w14:paraId="5900978B">
            <w:pPr>
              <w:pStyle w:val="12"/>
            </w:pPr>
            <w:r>
              <w:t>75%</w:t>
            </w:r>
          </w:p>
        </w:tc>
        <w:tc>
          <w:tcPr>
            <w:tcW w:w="3544" w:type="dxa"/>
            <w:gridSpan w:val="2"/>
            <w:vAlign w:val="center"/>
          </w:tcPr>
          <w:p w14:paraId="19157C95">
            <w:pPr>
              <w:pStyle w:val="12"/>
            </w:pPr>
            <w:r>
              <w:t>100%</w:t>
            </w:r>
          </w:p>
        </w:tc>
      </w:tr>
      <w:tr w14:paraId="0C60C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82650">
            <w:pPr>
              <w:pStyle w:val="11"/>
            </w:pPr>
            <w:r>
              <w:t>绩效目标</w:t>
            </w:r>
          </w:p>
        </w:tc>
        <w:tc>
          <w:tcPr>
            <w:tcW w:w="14033" w:type="dxa"/>
            <w:gridSpan w:val="6"/>
            <w:vAlign w:val="center"/>
          </w:tcPr>
          <w:p w14:paraId="38A89877">
            <w:pPr>
              <w:pStyle w:val="13"/>
            </w:pPr>
            <w:r>
              <w:t>1. 保障幼儿园正常运转，完成教育教学活动和其他日常工作任务等方面的费用支出。</w:t>
            </w:r>
          </w:p>
          <w:p w14:paraId="6F99D86A">
            <w:pPr>
              <w:pStyle w:val="13"/>
            </w:pPr>
            <w:r>
              <w:t>2.按季度分批次拨付公用经费资金，资金拨付率达到100%。</w:t>
            </w:r>
          </w:p>
        </w:tc>
      </w:tr>
    </w:tbl>
    <w:p w14:paraId="5B3FAF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2C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3A7A8">
            <w:pPr>
              <w:pStyle w:val="11"/>
            </w:pPr>
            <w:r>
              <w:t>一级指标</w:t>
            </w:r>
          </w:p>
        </w:tc>
        <w:tc>
          <w:tcPr>
            <w:tcW w:w="2268" w:type="dxa"/>
            <w:vAlign w:val="center"/>
          </w:tcPr>
          <w:p w14:paraId="5C6E63CC">
            <w:pPr>
              <w:pStyle w:val="11"/>
            </w:pPr>
            <w:r>
              <w:t>二级指标</w:t>
            </w:r>
          </w:p>
        </w:tc>
        <w:tc>
          <w:tcPr>
            <w:tcW w:w="2835" w:type="dxa"/>
            <w:vAlign w:val="center"/>
          </w:tcPr>
          <w:p w14:paraId="44A14319">
            <w:pPr>
              <w:pStyle w:val="11"/>
            </w:pPr>
            <w:r>
              <w:t>三级指标</w:t>
            </w:r>
          </w:p>
        </w:tc>
        <w:tc>
          <w:tcPr>
            <w:tcW w:w="5386" w:type="dxa"/>
            <w:vAlign w:val="center"/>
          </w:tcPr>
          <w:p w14:paraId="6A71DA6F">
            <w:pPr>
              <w:pStyle w:val="11"/>
            </w:pPr>
            <w:r>
              <w:t>绩效指标描述</w:t>
            </w:r>
          </w:p>
        </w:tc>
        <w:tc>
          <w:tcPr>
            <w:tcW w:w="2268" w:type="dxa"/>
            <w:vAlign w:val="center"/>
          </w:tcPr>
          <w:p w14:paraId="550C69F8">
            <w:pPr>
              <w:pStyle w:val="11"/>
            </w:pPr>
            <w:r>
              <w:t>指标值</w:t>
            </w:r>
          </w:p>
        </w:tc>
        <w:tc>
          <w:tcPr>
            <w:tcW w:w="1276" w:type="dxa"/>
            <w:vAlign w:val="center"/>
          </w:tcPr>
          <w:p w14:paraId="5A2C31DE">
            <w:pPr>
              <w:pStyle w:val="11"/>
            </w:pPr>
            <w:r>
              <w:t>指标值确定依据</w:t>
            </w:r>
          </w:p>
        </w:tc>
      </w:tr>
      <w:tr w14:paraId="695A6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EDC06">
            <w:pPr>
              <w:pStyle w:val="12"/>
            </w:pPr>
            <w:r>
              <w:t>产出指标</w:t>
            </w:r>
          </w:p>
        </w:tc>
        <w:tc>
          <w:tcPr>
            <w:tcW w:w="2268" w:type="dxa"/>
            <w:vAlign w:val="center"/>
          </w:tcPr>
          <w:p w14:paraId="4C83ACB6">
            <w:pPr>
              <w:pStyle w:val="13"/>
            </w:pPr>
            <w:r>
              <w:t>数量指标</w:t>
            </w:r>
          </w:p>
        </w:tc>
        <w:tc>
          <w:tcPr>
            <w:tcW w:w="2835" w:type="dxa"/>
            <w:vAlign w:val="center"/>
          </w:tcPr>
          <w:p w14:paraId="3278D9EB">
            <w:pPr>
              <w:pStyle w:val="13"/>
            </w:pPr>
            <w:r>
              <w:t>适龄在校生</w:t>
            </w:r>
          </w:p>
        </w:tc>
        <w:tc>
          <w:tcPr>
            <w:tcW w:w="5386" w:type="dxa"/>
            <w:vAlign w:val="center"/>
          </w:tcPr>
          <w:p w14:paraId="7C5D9E6A">
            <w:pPr>
              <w:pStyle w:val="13"/>
            </w:pPr>
            <w:r>
              <w:t>辖区内适龄儿童全覆盖</w:t>
            </w:r>
          </w:p>
        </w:tc>
        <w:tc>
          <w:tcPr>
            <w:tcW w:w="2268" w:type="dxa"/>
            <w:vAlign w:val="center"/>
          </w:tcPr>
          <w:p w14:paraId="01B660CA">
            <w:pPr>
              <w:pStyle w:val="13"/>
            </w:pPr>
            <w:r>
              <w:t>999人</w:t>
            </w:r>
          </w:p>
        </w:tc>
        <w:tc>
          <w:tcPr>
            <w:tcW w:w="1276" w:type="dxa"/>
            <w:vAlign w:val="center"/>
          </w:tcPr>
          <w:p w14:paraId="25FD80A3">
            <w:pPr>
              <w:pStyle w:val="13"/>
            </w:pPr>
            <w:r>
              <w:t>幼儿园生均公用经费管理办法</w:t>
            </w:r>
          </w:p>
        </w:tc>
      </w:tr>
      <w:tr w14:paraId="57B84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D5C19"/>
        </w:tc>
        <w:tc>
          <w:tcPr>
            <w:tcW w:w="2268" w:type="dxa"/>
            <w:vAlign w:val="center"/>
          </w:tcPr>
          <w:p w14:paraId="312DAF36">
            <w:pPr>
              <w:pStyle w:val="13"/>
            </w:pPr>
            <w:r>
              <w:t>质量指标</w:t>
            </w:r>
          </w:p>
        </w:tc>
        <w:tc>
          <w:tcPr>
            <w:tcW w:w="2835" w:type="dxa"/>
            <w:vAlign w:val="center"/>
          </w:tcPr>
          <w:p w14:paraId="64376CA8">
            <w:pPr>
              <w:pStyle w:val="13"/>
            </w:pPr>
            <w:r>
              <w:t>预算控制率</w:t>
            </w:r>
          </w:p>
        </w:tc>
        <w:tc>
          <w:tcPr>
            <w:tcW w:w="5386" w:type="dxa"/>
            <w:vAlign w:val="center"/>
          </w:tcPr>
          <w:p w14:paraId="7E76783E">
            <w:pPr>
              <w:pStyle w:val="13"/>
            </w:pPr>
            <w:r>
              <w:t>预算执行</w:t>
            </w:r>
          </w:p>
        </w:tc>
        <w:tc>
          <w:tcPr>
            <w:tcW w:w="2268" w:type="dxa"/>
            <w:vAlign w:val="center"/>
          </w:tcPr>
          <w:p w14:paraId="3D12B287">
            <w:pPr>
              <w:pStyle w:val="13"/>
            </w:pPr>
            <w:r>
              <w:t>≥95%</w:t>
            </w:r>
          </w:p>
        </w:tc>
        <w:tc>
          <w:tcPr>
            <w:tcW w:w="1276" w:type="dxa"/>
            <w:vAlign w:val="center"/>
          </w:tcPr>
          <w:p w14:paraId="55F310D7">
            <w:pPr>
              <w:pStyle w:val="13"/>
            </w:pPr>
            <w:r>
              <w:t>幼儿园生均公用经费管理办法</w:t>
            </w:r>
          </w:p>
        </w:tc>
      </w:tr>
      <w:tr w14:paraId="549A4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D2526"/>
        </w:tc>
        <w:tc>
          <w:tcPr>
            <w:tcW w:w="2268" w:type="dxa"/>
            <w:vAlign w:val="center"/>
          </w:tcPr>
          <w:p w14:paraId="30EA9E0C">
            <w:pPr>
              <w:pStyle w:val="13"/>
            </w:pPr>
            <w:r>
              <w:t>时效指标</w:t>
            </w:r>
          </w:p>
        </w:tc>
        <w:tc>
          <w:tcPr>
            <w:tcW w:w="2835" w:type="dxa"/>
            <w:vAlign w:val="center"/>
          </w:tcPr>
          <w:p w14:paraId="0FD61139">
            <w:pPr>
              <w:pStyle w:val="13"/>
            </w:pPr>
            <w:r>
              <w:t>资金支付率</w:t>
            </w:r>
          </w:p>
        </w:tc>
        <w:tc>
          <w:tcPr>
            <w:tcW w:w="5386" w:type="dxa"/>
            <w:vAlign w:val="center"/>
          </w:tcPr>
          <w:p w14:paraId="238696FD">
            <w:pPr>
              <w:pStyle w:val="13"/>
            </w:pPr>
            <w:r>
              <w:t>按照序时进度完成资金支付</w:t>
            </w:r>
          </w:p>
        </w:tc>
        <w:tc>
          <w:tcPr>
            <w:tcW w:w="2268" w:type="dxa"/>
            <w:vAlign w:val="center"/>
          </w:tcPr>
          <w:p w14:paraId="55AD6526">
            <w:pPr>
              <w:pStyle w:val="13"/>
            </w:pPr>
            <w:r>
              <w:t>≥100%</w:t>
            </w:r>
          </w:p>
        </w:tc>
        <w:tc>
          <w:tcPr>
            <w:tcW w:w="1276" w:type="dxa"/>
            <w:vAlign w:val="center"/>
          </w:tcPr>
          <w:p w14:paraId="69157451">
            <w:pPr>
              <w:pStyle w:val="13"/>
            </w:pPr>
            <w:r>
              <w:t>幼儿园生均公用经费管理办法</w:t>
            </w:r>
          </w:p>
        </w:tc>
      </w:tr>
      <w:tr w14:paraId="3FC73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8C779"/>
        </w:tc>
        <w:tc>
          <w:tcPr>
            <w:tcW w:w="2268" w:type="dxa"/>
            <w:vAlign w:val="center"/>
          </w:tcPr>
          <w:p w14:paraId="0FA4C727">
            <w:pPr>
              <w:pStyle w:val="13"/>
            </w:pPr>
            <w:r>
              <w:t>成本指标</w:t>
            </w:r>
          </w:p>
        </w:tc>
        <w:tc>
          <w:tcPr>
            <w:tcW w:w="2835" w:type="dxa"/>
            <w:vAlign w:val="center"/>
          </w:tcPr>
          <w:p w14:paraId="174B4992">
            <w:pPr>
              <w:pStyle w:val="13"/>
            </w:pPr>
            <w:r>
              <w:t>生均拨款标准</w:t>
            </w:r>
          </w:p>
        </w:tc>
        <w:tc>
          <w:tcPr>
            <w:tcW w:w="5386" w:type="dxa"/>
            <w:vAlign w:val="center"/>
          </w:tcPr>
          <w:p w14:paraId="38FBB504">
            <w:pPr>
              <w:pStyle w:val="13"/>
            </w:pPr>
            <w:r>
              <w:t>学前经费600元/生/年</w:t>
            </w:r>
          </w:p>
        </w:tc>
        <w:tc>
          <w:tcPr>
            <w:tcW w:w="2268" w:type="dxa"/>
            <w:vAlign w:val="center"/>
          </w:tcPr>
          <w:p w14:paraId="502790E9">
            <w:pPr>
              <w:pStyle w:val="13"/>
            </w:pPr>
            <w:r>
              <w:t>600元</w:t>
            </w:r>
          </w:p>
        </w:tc>
        <w:tc>
          <w:tcPr>
            <w:tcW w:w="1276" w:type="dxa"/>
            <w:vAlign w:val="center"/>
          </w:tcPr>
          <w:p w14:paraId="1557F259">
            <w:pPr>
              <w:pStyle w:val="13"/>
            </w:pPr>
            <w:r>
              <w:t>幼儿园生均公用经费管理办法</w:t>
            </w:r>
          </w:p>
        </w:tc>
      </w:tr>
      <w:tr w14:paraId="3C03A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39BB64">
            <w:pPr>
              <w:pStyle w:val="12"/>
            </w:pPr>
            <w:r>
              <w:t>效益指标</w:t>
            </w:r>
          </w:p>
        </w:tc>
        <w:tc>
          <w:tcPr>
            <w:tcW w:w="2268" w:type="dxa"/>
            <w:vAlign w:val="center"/>
          </w:tcPr>
          <w:p w14:paraId="6D497996">
            <w:pPr>
              <w:pStyle w:val="13"/>
            </w:pPr>
            <w:r>
              <w:t>可持续影响指标</w:t>
            </w:r>
          </w:p>
        </w:tc>
        <w:tc>
          <w:tcPr>
            <w:tcW w:w="2835" w:type="dxa"/>
            <w:vAlign w:val="center"/>
          </w:tcPr>
          <w:p w14:paraId="0704D073">
            <w:pPr>
              <w:pStyle w:val="13"/>
            </w:pPr>
            <w:r>
              <w:t>教育发展水平明显好转</w:t>
            </w:r>
          </w:p>
        </w:tc>
        <w:tc>
          <w:tcPr>
            <w:tcW w:w="5386" w:type="dxa"/>
            <w:vAlign w:val="center"/>
          </w:tcPr>
          <w:p w14:paraId="75CA18F0">
            <w:pPr>
              <w:pStyle w:val="13"/>
            </w:pPr>
            <w:r>
              <w:t>学生受教育年限</w:t>
            </w:r>
          </w:p>
        </w:tc>
        <w:tc>
          <w:tcPr>
            <w:tcW w:w="2268" w:type="dxa"/>
            <w:vAlign w:val="center"/>
          </w:tcPr>
          <w:p w14:paraId="7223885C">
            <w:pPr>
              <w:pStyle w:val="13"/>
            </w:pPr>
            <w:r>
              <w:t>3年</w:t>
            </w:r>
          </w:p>
        </w:tc>
        <w:tc>
          <w:tcPr>
            <w:tcW w:w="1276" w:type="dxa"/>
            <w:vAlign w:val="center"/>
          </w:tcPr>
          <w:p w14:paraId="06503FFB">
            <w:pPr>
              <w:pStyle w:val="13"/>
            </w:pPr>
            <w:r>
              <w:t>幼儿园生均公用经费管理办法</w:t>
            </w:r>
          </w:p>
        </w:tc>
      </w:tr>
      <w:tr w14:paraId="61FD5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AC7FB4">
            <w:pPr>
              <w:pStyle w:val="12"/>
            </w:pPr>
            <w:r>
              <w:t>满意度指标</w:t>
            </w:r>
          </w:p>
        </w:tc>
        <w:tc>
          <w:tcPr>
            <w:tcW w:w="2268" w:type="dxa"/>
            <w:vAlign w:val="center"/>
          </w:tcPr>
          <w:p w14:paraId="5C4A8B3F">
            <w:pPr>
              <w:pStyle w:val="13"/>
            </w:pPr>
            <w:r>
              <w:t>服务对象满意度指标</w:t>
            </w:r>
          </w:p>
        </w:tc>
        <w:tc>
          <w:tcPr>
            <w:tcW w:w="2835" w:type="dxa"/>
            <w:vAlign w:val="center"/>
          </w:tcPr>
          <w:p w14:paraId="680710C5">
            <w:pPr>
              <w:pStyle w:val="13"/>
            </w:pPr>
            <w:r>
              <w:t>受益学生家长及调查满意度</w:t>
            </w:r>
          </w:p>
        </w:tc>
        <w:tc>
          <w:tcPr>
            <w:tcW w:w="5386" w:type="dxa"/>
            <w:vAlign w:val="center"/>
          </w:tcPr>
          <w:p w14:paraId="7A1A6E08">
            <w:pPr>
              <w:pStyle w:val="13"/>
            </w:pPr>
            <w:r>
              <w:t>学生、教师及家长对学校保教保育工作满意度情况</w:t>
            </w:r>
          </w:p>
        </w:tc>
        <w:tc>
          <w:tcPr>
            <w:tcW w:w="2268" w:type="dxa"/>
            <w:vAlign w:val="center"/>
          </w:tcPr>
          <w:p w14:paraId="040DF648">
            <w:pPr>
              <w:pStyle w:val="13"/>
            </w:pPr>
            <w:r>
              <w:t>≥95%</w:t>
            </w:r>
          </w:p>
        </w:tc>
        <w:tc>
          <w:tcPr>
            <w:tcW w:w="1276" w:type="dxa"/>
            <w:vAlign w:val="center"/>
          </w:tcPr>
          <w:p w14:paraId="135708F5">
            <w:pPr>
              <w:pStyle w:val="13"/>
            </w:pPr>
            <w:r>
              <w:t>调查问卷</w:t>
            </w:r>
          </w:p>
        </w:tc>
      </w:tr>
    </w:tbl>
    <w:p w14:paraId="5B0AC77E">
      <w:pPr>
        <w:sectPr>
          <w:pgSz w:w="16840" w:h="11900" w:orient="landscape"/>
          <w:pgMar w:top="1361" w:right="1020" w:bottom="1134" w:left="1020" w:header="720" w:footer="720" w:gutter="0"/>
          <w:cols w:space="720" w:num="1"/>
        </w:sectPr>
      </w:pPr>
    </w:p>
    <w:p w14:paraId="1A294A73">
      <w:pPr>
        <w:spacing w:before="0" w:after="0"/>
        <w:ind w:firstLine="560"/>
        <w:jc w:val="left"/>
        <w:outlineLvl w:val="9"/>
      </w:pPr>
      <w:r>
        <w:rPr>
          <w:rFonts w:ascii="方正仿宋_GBK" w:hAnsi="方正仿宋_GBK" w:eastAsia="方正仿宋_GBK" w:cs="方正仿宋_GBK"/>
          <w:b/>
          <w:color w:val="000000"/>
          <w:sz w:val="28"/>
        </w:rPr>
        <w:t>27、冀财教[2024]142号/省级/2025年学前发展资金/东良校区学前教育幼儿资助绩效目标表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58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15595">
            <w:pPr>
              <w:pStyle w:val="14"/>
            </w:pPr>
            <w:r>
              <w:t>单位：万元</w:t>
            </w:r>
          </w:p>
        </w:tc>
      </w:tr>
      <w:tr w14:paraId="584F2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A9EC50">
            <w:pPr>
              <w:pStyle w:val="11"/>
            </w:pPr>
            <w:r>
              <w:t>项目编码</w:t>
            </w:r>
          </w:p>
        </w:tc>
        <w:tc>
          <w:tcPr>
            <w:tcW w:w="5103" w:type="dxa"/>
            <w:gridSpan w:val="2"/>
            <w:vAlign w:val="center"/>
          </w:tcPr>
          <w:p w14:paraId="340287D0">
            <w:pPr>
              <w:pStyle w:val="13"/>
            </w:pPr>
            <w:r>
              <w:t>13052525P00000210068Q</w:t>
            </w:r>
          </w:p>
        </w:tc>
        <w:tc>
          <w:tcPr>
            <w:tcW w:w="2835" w:type="dxa"/>
            <w:vAlign w:val="center"/>
          </w:tcPr>
          <w:p w14:paraId="4019051C">
            <w:pPr>
              <w:pStyle w:val="11"/>
            </w:pPr>
            <w:r>
              <w:t>项目名称</w:t>
            </w:r>
          </w:p>
        </w:tc>
        <w:tc>
          <w:tcPr>
            <w:tcW w:w="6095" w:type="dxa"/>
            <w:gridSpan w:val="3"/>
            <w:vAlign w:val="center"/>
          </w:tcPr>
          <w:p w14:paraId="284DBB2B">
            <w:pPr>
              <w:pStyle w:val="13"/>
            </w:pPr>
            <w:r>
              <w:t>冀财教[2024]142号/省级/2025年学前发展资金/东良校区学前教育幼儿资助</w:t>
            </w:r>
          </w:p>
        </w:tc>
      </w:tr>
      <w:tr w14:paraId="2E0B3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4075A">
            <w:pPr>
              <w:pStyle w:val="11"/>
            </w:pPr>
            <w:r>
              <w:t>预算规模及资金用途</w:t>
            </w:r>
          </w:p>
        </w:tc>
        <w:tc>
          <w:tcPr>
            <w:tcW w:w="2268" w:type="dxa"/>
            <w:vAlign w:val="center"/>
          </w:tcPr>
          <w:p w14:paraId="44329308">
            <w:pPr>
              <w:pStyle w:val="11"/>
            </w:pPr>
            <w:r>
              <w:t>预算数</w:t>
            </w:r>
          </w:p>
        </w:tc>
        <w:tc>
          <w:tcPr>
            <w:tcW w:w="2835" w:type="dxa"/>
            <w:vAlign w:val="center"/>
          </w:tcPr>
          <w:p w14:paraId="7BC6F80D">
            <w:pPr>
              <w:pStyle w:val="13"/>
            </w:pPr>
            <w:r>
              <w:t>1.40</w:t>
            </w:r>
          </w:p>
        </w:tc>
        <w:tc>
          <w:tcPr>
            <w:tcW w:w="2835" w:type="dxa"/>
            <w:vAlign w:val="center"/>
          </w:tcPr>
          <w:p w14:paraId="63774BDF">
            <w:pPr>
              <w:pStyle w:val="11"/>
            </w:pPr>
            <w:r>
              <w:t>其中：财政    资金</w:t>
            </w:r>
          </w:p>
        </w:tc>
        <w:tc>
          <w:tcPr>
            <w:tcW w:w="2551" w:type="dxa"/>
            <w:vAlign w:val="center"/>
          </w:tcPr>
          <w:p w14:paraId="34A71360">
            <w:pPr>
              <w:pStyle w:val="13"/>
            </w:pPr>
            <w:r>
              <w:t>1.40</w:t>
            </w:r>
          </w:p>
        </w:tc>
        <w:tc>
          <w:tcPr>
            <w:tcW w:w="2268" w:type="dxa"/>
            <w:vAlign w:val="center"/>
          </w:tcPr>
          <w:p w14:paraId="59E88862">
            <w:pPr>
              <w:pStyle w:val="11"/>
            </w:pPr>
            <w:r>
              <w:t>其他资金</w:t>
            </w:r>
          </w:p>
        </w:tc>
        <w:tc>
          <w:tcPr>
            <w:tcW w:w="1276" w:type="dxa"/>
            <w:vAlign w:val="center"/>
          </w:tcPr>
          <w:p w14:paraId="5D623104">
            <w:pPr>
              <w:pStyle w:val="13"/>
            </w:pPr>
            <w:r>
              <w:t xml:space="preserve"> </w:t>
            </w:r>
          </w:p>
        </w:tc>
      </w:tr>
      <w:tr w14:paraId="20A60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62D8C"/>
        </w:tc>
        <w:tc>
          <w:tcPr>
            <w:tcW w:w="14033" w:type="dxa"/>
            <w:gridSpan w:val="6"/>
            <w:vAlign w:val="center"/>
          </w:tcPr>
          <w:p w14:paraId="20159401">
            <w:pPr>
              <w:pStyle w:val="13"/>
            </w:pPr>
            <w:r>
              <w:t>保证本年度资助经费足额落实到位，符合享受资助条件的学生应助尽助。</w:t>
            </w:r>
          </w:p>
        </w:tc>
      </w:tr>
      <w:tr w14:paraId="6FF74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AD5AE">
            <w:pPr>
              <w:pStyle w:val="11"/>
            </w:pPr>
            <w:r>
              <w:t>资金支出计划（%）</w:t>
            </w:r>
          </w:p>
        </w:tc>
        <w:tc>
          <w:tcPr>
            <w:tcW w:w="5103" w:type="dxa"/>
            <w:gridSpan w:val="2"/>
            <w:vAlign w:val="center"/>
          </w:tcPr>
          <w:p w14:paraId="3D51B4EC">
            <w:pPr>
              <w:pStyle w:val="11"/>
            </w:pPr>
            <w:r>
              <w:t>3月底</w:t>
            </w:r>
          </w:p>
        </w:tc>
        <w:tc>
          <w:tcPr>
            <w:tcW w:w="2835" w:type="dxa"/>
            <w:vAlign w:val="center"/>
          </w:tcPr>
          <w:p w14:paraId="03DC6A17">
            <w:pPr>
              <w:pStyle w:val="11"/>
            </w:pPr>
            <w:r>
              <w:t>6月底</w:t>
            </w:r>
          </w:p>
        </w:tc>
        <w:tc>
          <w:tcPr>
            <w:tcW w:w="2551" w:type="dxa"/>
            <w:vAlign w:val="center"/>
          </w:tcPr>
          <w:p w14:paraId="2FD549B7">
            <w:pPr>
              <w:pStyle w:val="11"/>
            </w:pPr>
            <w:r>
              <w:t>10月底</w:t>
            </w:r>
          </w:p>
        </w:tc>
        <w:tc>
          <w:tcPr>
            <w:tcW w:w="3544" w:type="dxa"/>
            <w:gridSpan w:val="2"/>
            <w:vAlign w:val="center"/>
          </w:tcPr>
          <w:p w14:paraId="4AF34FE1">
            <w:pPr>
              <w:pStyle w:val="11"/>
            </w:pPr>
            <w:r>
              <w:t>12月底</w:t>
            </w:r>
          </w:p>
        </w:tc>
      </w:tr>
      <w:tr w14:paraId="033AF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FBA087"/>
        </w:tc>
        <w:tc>
          <w:tcPr>
            <w:tcW w:w="5103" w:type="dxa"/>
            <w:gridSpan w:val="2"/>
            <w:vAlign w:val="center"/>
          </w:tcPr>
          <w:p w14:paraId="01D9D3BA">
            <w:pPr>
              <w:pStyle w:val="12"/>
            </w:pPr>
            <w:r>
              <w:t xml:space="preserve"> </w:t>
            </w:r>
          </w:p>
        </w:tc>
        <w:tc>
          <w:tcPr>
            <w:tcW w:w="2835" w:type="dxa"/>
            <w:vAlign w:val="center"/>
          </w:tcPr>
          <w:p w14:paraId="485926DD">
            <w:pPr>
              <w:pStyle w:val="12"/>
            </w:pPr>
            <w:r>
              <w:t xml:space="preserve"> </w:t>
            </w:r>
          </w:p>
        </w:tc>
        <w:tc>
          <w:tcPr>
            <w:tcW w:w="2551" w:type="dxa"/>
            <w:vAlign w:val="center"/>
          </w:tcPr>
          <w:p w14:paraId="15E56920">
            <w:pPr>
              <w:pStyle w:val="12"/>
            </w:pPr>
            <w:r>
              <w:t>50%</w:t>
            </w:r>
          </w:p>
        </w:tc>
        <w:tc>
          <w:tcPr>
            <w:tcW w:w="3544" w:type="dxa"/>
            <w:gridSpan w:val="2"/>
            <w:vAlign w:val="center"/>
          </w:tcPr>
          <w:p w14:paraId="1EA5C961">
            <w:pPr>
              <w:pStyle w:val="12"/>
            </w:pPr>
            <w:r>
              <w:t>100%</w:t>
            </w:r>
          </w:p>
        </w:tc>
      </w:tr>
      <w:tr w14:paraId="27ABC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8E24E">
            <w:pPr>
              <w:pStyle w:val="11"/>
            </w:pPr>
            <w:r>
              <w:t>绩效目标</w:t>
            </w:r>
          </w:p>
        </w:tc>
        <w:tc>
          <w:tcPr>
            <w:tcW w:w="14033" w:type="dxa"/>
            <w:gridSpan w:val="6"/>
            <w:vAlign w:val="center"/>
          </w:tcPr>
          <w:p w14:paraId="7E0CF986">
            <w:pPr>
              <w:pStyle w:val="13"/>
            </w:pPr>
            <w:r>
              <w:t>1.保障落实建档立卡及家庭经济困难儿童资助所需资金，确保建档立卡等家庭经济困难幼儿优先获得资助。</w:t>
            </w:r>
          </w:p>
          <w:p w14:paraId="53D35AEE">
            <w:pPr>
              <w:pStyle w:val="13"/>
            </w:pPr>
            <w:r>
              <w:t>2.保证本年度资助经费足额落实到位，符合享受资助条件的学生应助尽助。</w:t>
            </w:r>
          </w:p>
        </w:tc>
      </w:tr>
    </w:tbl>
    <w:p w14:paraId="7C26D8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B1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CCF50">
            <w:pPr>
              <w:pStyle w:val="11"/>
            </w:pPr>
            <w:r>
              <w:t>一级指标</w:t>
            </w:r>
          </w:p>
        </w:tc>
        <w:tc>
          <w:tcPr>
            <w:tcW w:w="2268" w:type="dxa"/>
            <w:vAlign w:val="center"/>
          </w:tcPr>
          <w:p w14:paraId="1AB1349C">
            <w:pPr>
              <w:pStyle w:val="11"/>
            </w:pPr>
            <w:r>
              <w:t>二级指标</w:t>
            </w:r>
          </w:p>
        </w:tc>
        <w:tc>
          <w:tcPr>
            <w:tcW w:w="2835" w:type="dxa"/>
            <w:vAlign w:val="center"/>
          </w:tcPr>
          <w:p w14:paraId="77248615">
            <w:pPr>
              <w:pStyle w:val="11"/>
            </w:pPr>
            <w:r>
              <w:t>三级指标</w:t>
            </w:r>
          </w:p>
        </w:tc>
        <w:tc>
          <w:tcPr>
            <w:tcW w:w="5386" w:type="dxa"/>
            <w:vAlign w:val="center"/>
          </w:tcPr>
          <w:p w14:paraId="04B2DC17">
            <w:pPr>
              <w:pStyle w:val="11"/>
            </w:pPr>
            <w:r>
              <w:t>绩效指标描述</w:t>
            </w:r>
          </w:p>
        </w:tc>
        <w:tc>
          <w:tcPr>
            <w:tcW w:w="2268" w:type="dxa"/>
            <w:vAlign w:val="center"/>
          </w:tcPr>
          <w:p w14:paraId="67D0D154">
            <w:pPr>
              <w:pStyle w:val="11"/>
            </w:pPr>
            <w:r>
              <w:t>指标值</w:t>
            </w:r>
          </w:p>
        </w:tc>
        <w:tc>
          <w:tcPr>
            <w:tcW w:w="1276" w:type="dxa"/>
            <w:vAlign w:val="center"/>
          </w:tcPr>
          <w:p w14:paraId="490CA242">
            <w:pPr>
              <w:pStyle w:val="11"/>
            </w:pPr>
            <w:r>
              <w:t>指标值确定依据</w:t>
            </w:r>
          </w:p>
        </w:tc>
      </w:tr>
      <w:tr w14:paraId="6D1A9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BB18B">
            <w:pPr>
              <w:pStyle w:val="12"/>
            </w:pPr>
            <w:r>
              <w:t>产出指标</w:t>
            </w:r>
          </w:p>
        </w:tc>
        <w:tc>
          <w:tcPr>
            <w:tcW w:w="2268" w:type="dxa"/>
            <w:vAlign w:val="center"/>
          </w:tcPr>
          <w:p w14:paraId="115F70EE">
            <w:pPr>
              <w:pStyle w:val="13"/>
            </w:pPr>
            <w:r>
              <w:t>成本指标</w:t>
            </w:r>
          </w:p>
        </w:tc>
        <w:tc>
          <w:tcPr>
            <w:tcW w:w="2835" w:type="dxa"/>
            <w:vAlign w:val="center"/>
          </w:tcPr>
          <w:p w14:paraId="05490F03">
            <w:pPr>
              <w:pStyle w:val="13"/>
            </w:pPr>
            <w:r>
              <w:t>幼儿园资助标准</w:t>
            </w:r>
          </w:p>
        </w:tc>
        <w:tc>
          <w:tcPr>
            <w:tcW w:w="5386" w:type="dxa"/>
            <w:vAlign w:val="center"/>
          </w:tcPr>
          <w:p w14:paraId="7AEFF8C0">
            <w:pPr>
              <w:pStyle w:val="13"/>
            </w:pPr>
            <w:r>
              <w:t>按照幼儿园资助标准1000元/生/年</w:t>
            </w:r>
          </w:p>
        </w:tc>
        <w:tc>
          <w:tcPr>
            <w:tcW w:w="2268" w:type="dxa"/>
            <w:vAlign w:val="center"/>
          </w:tcPr>
          <w:p w14:paraId="01C5CAEF">
            <w:pPr>
              <w:pStyle w:val="13"/>
            </w:pPr>
            <w:r>
              <w:t>1000元/生/年</w:t>
            </w:r>
          </w:p>
        </w:tc>
        <w:tc>
          <w:tcPr>
            <w:tcW w:w="1276" w:type="dxa"/>
            <w:vAlign w:val="center"/>
          </w:tcPr>
          <w:p w14:paraId="717BD286">
            <w:pPr>
              <w:pStyle w:val="13"/>
            </w:pPr>
            <w:r>
              <w:t>幼儿资助经费管理办法</w:t>
            </w:r>
          </w:p>
        </w:tc>
      </w:tr>
      <w:tr w14:paraId="0E71F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FD5A3"/>
        </w:tc>
        <w:tc>
          <w:tcPr>
            <w:tcW w:w="2268" w:type="dxa"/>
            <w:vAlign w:val="center"/>
          </w:tcPr>
          <w:p w14:paraId="7676F2BD">
            <w:pPr>
              <w:pStyle w:val="13"/>
            </w:pPr>
            <w:r>
              <w:t>数量指标</w:t>
            </w:r>
          </w:p>
        </w:tc>
        <w:tc>
          <w:tcPr>
            <w:tcW w:w="2835" w:type="dxa"/>
            <w:vAlign w:val="center"/>
          </w:tcPr>
          <w:p w14:paraId="74038283">
            <w:pPr>
              <w:pStyle w:val="13"/>
            </w:pPr>
            <w:r>
              <w:t>幼儿资助比例</w:t>
            </w:r>
          </w:p>
        </w:tc>
        <w:tc>
          <w:tcPr>
            <w:tcW w:w="5386" w:type="dxa"/>
            <w:vAlign w:val="center"/>
          </w:tcPr>
          <w:p w14:paraId="693C2F56">
            <w:pPr>
              <w:pStyle w:val="13"/>
            </w:pPr>
            <w:r>
              <w:t>按学前适龄在园儿童10%测算</w:t>
            </w:r>
          </w:p>
        </w:tc>
        <w:tc>
          <w:tcPr>
            <w:tcW w:w="2268" w:type="dxa"/>
            <w:vAlign w:val="center"/>
          </w:tcPr>
          <w:p w14:paraId="48E15673">
            <w:pPr>
              <w:pStyle w:val="13"/>
            </w:pPr>
            <w:r>
              <w:t>≥10%</w:t>
            </w:r>
          </w:p>
        </w:tc>
        <w:tc>
          <w:tcPr>
            <w:tcW w:w="1276" w:type="dxa"/>
            <w:vAlign w:val="center"/>
          </w:tcPr>
          <w:p w14:paraId="1D1BD99F">
            <w:pPr>
              <w:pStyle w:val="13"/>
            </w:pPr>
            <w:r>
              <w:t>幼儿资助经费管理办法</w:t>
            </w:r>
          </w:p>
        </w:tc>
      </w:tr>
      <w:tr w14:paraId="70281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8DFA9"/>
        </w:tc>
        <w:tc>
          <w:tcPr>
            <w:tcW w:w="2268" w:type="dxa"/>
            <w:vAlign w:val="center"/>
          </w:tcPr>
          <w:p w14:paraId="15F58415">
            <w:pPr>
              <w:pStyle w:val="13"/>
            </w:pPr>
            <w:r>
              <w:t>质量指标</w:t>
            </w:r>
          </w:p>
        </w:tc>
        <w:tc>
          <w:tcPr>
            <w:tcW w:w="2835" w:type="dxa"/>
            <w:vAlign w:val="center"/>
          </w:tcPr>
          <w:p w14:paraId="5EDA7AD2">
            <w:pPr>
              <w:pStyle w:val="13"/>
            </w:pPr>
            <w:r>
              <w:t>学前教育资助制度落实情况</w:t>
            </w:r>
          </w:p>
        </w:tc>
        <w:tc>
          <w:tcPr>
            <w:tcW w:w="5386" w:type="dxa"/>
            <w:vAlign w:val="center"/>
          </w:tcPr>
          <w:p w14:paraId="587A77A7">
            <w:pPr>
              <w:pStyle w:val="13"/>
            </w:pPr>
            <w:r>
              <w:t>符合享受资助条件的学生应助尽助</w:t>
            </w:r>
          </w:p>
        </w:tc>
        <w:tc>
          <w:tcPr>
            <w:tcW w:w="2268" w:type="dxa"/>
            <w:vAlign w:val="center"/>
          </w:tcPr>
          <w:p w14:paraId="0C4915E8">
            <w:pPr>
              <w:pStyle w:val="13"/>
            </w:pPr>
            <w:r>
              <w:t>≥100%</w:t>
            </w:r>
          </w:p>
        </w:tc>
        <w:tc>
          <w:tcPr>
            <w:tcW w:w="1276" w:type="dxa"/>
            <w:vAlign w:val="center"/>
          </w:tcPr>
          <w:p w14:paraId="44E6BCC5">
            <w:pPr>
              <w:pStyle w:val="13"/>
            </w:pPr>
            <w:r>
              <w:t>幼儿资助经费管理办法</w:t>
            </w:r>
          </w:p>
        </w:tc>
      </w:tr>
      <w:tr w14:paraId="2EFA7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B1EAF"/>
        </w:tc>
        <w:tc>
          <w:tcPr>
            <w:tcW w:w="2268" w:type="dxa"/>
            <w:vAlign w:val="center"/>
          </w:tcPr>
          <w:p w14:paraId="4967A825">
            <w:pPr>
              <w:pStyle w:val="13"/>
            </w:pPr>
            <w:r>
              <w:t>时效指标</w:t>
            </w:r>
          </w:p>
        </w:tc>
        <w:tc>
          <w:tcPr>
            <w:tcW w:w="2835" w:type="dxa"/>
            <w:vAlign w:val="center"/>
          </w:tcPr>
          <w:p w14:paraId="442E6A9A">
            <w:pPr>
              <w:pStyle w:val="13"/>
            </w:pPr>
            <w:r>
              <w:t>资金拨付率</w:t>
            </w:r>
          </w:p>
        </w:tc>
        <w:tc>
          <w:tcPr>
            <w:tcW w:w="5386" w:type="dxa"/>
            <w:vAlign w:val="center"/>
          </w:tcPr>
          <w:p w14:paraId="194545D4">
            <w:pPr>
              <w:pStyle w:val="13"/>
            </w:pPr>
            <w:r>
              <w:t>所有项目资金支付进度</w:t>
            </w:r>
          </w:p>
        </w:tc>
        <w:tc>
          <w:tcPr>
            <w:tcW w:w="2268" w:type="dxa"/>
            <w:vAlign w:val="center"/>
          </w:tcPr>
          <w:p w14:paraId="47823784">
            <w:pPr>
              <w:pStyle w:val="13"/>
            </w:pPr>
            <w:r>
              <w:t>≥100%</w:t>
            </w:r>
          </w:p>
        </w:tc>
        <w:tc>
          <w:tcPr>
            <w:tcW w:w="1276" w:type="dxa"/>
            <w:vAlign w:val="center"/>
          </w:tcPr>
          <w:p w14:paraId="3E921BDA">
            <w:pPr>
              <w:pStyle w:val="13"/>
            </w:pPr>
            <w:r>
              <w:t>幼儿资助经费管理办法</w:t>
            </w:r>
          </w:p>
        </w:tc>
      </w:tr>
      <w:tr w14:paraId="5C443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92EA61">
            <w:pPr>
              <w:pStyle w:val="12"/>
            </w:pPr>
            <w:r>
              <w:t>效益指标</w:t>
            </w:r>
          </w:p>
        </w:tc>
        <w:tc>
          <w:tcPr>
            <w:tcW w:w="2268" w:type="dxa"/>
            <w:vAlign w:val="center"/>
          </w:tcPr>
          <w:p w14:paraId="3F202FF0">
            <w:pPr>
              <w:pStyle w:val="13"/>
            </w:pPr>
            <w:r>
              <w:t>可持续影响指标</w:t>
            </w:r>
          </w:p>
        </w:tc>
        <w:tc>
          <w:tcPr>
            <w:tcW w:w="2835" w:type="dxa"/>
            <w:vAlign w:val="center"/>
          </w:tcPr>
          <w:p w14:paraId="7D13E9E8">
            <w:pPr>
              <w:pStyle w:val="13"/>
            </w:pPr>
            <w:r>
              <w:t>幼儿园运转</w:t>
            </w:r>
          </w:p>
        </w:tc>
        <w:tc>
          <w:tcPr>
            <w:tcW w:w="5386" w:type="dxa"/>
            <w:vAlign w:val="center"/>
          </w:tcPr>
          <w:p w14:paraId="14FD4A27">
            <w:pPr>
              <w:pStyle w:val="13"/>
            </w:pPr>
            <w:r>
              <w:t>幼儿受教育年限</w:t>
            </w:r>
          </w:p>
        </w:tc>
        <w:tc>
          <w:tcPr>
            <w:tcW w:w="2268" w:type="dxa"/>
            <w:vAlign w:val="center"/>
          </w:tcPr>
          <w:p w14:paraId="59BA6EC6">
            <w:pPr>
              <w:pStyle w:val="13"/>
            </w:pPr>
            <w:r>
              <w:t>3年</w:t>
            </w:r>
          </w:p>
        </w:tc>
        <w:tc>
          <w:tcPr>
            <w:tcW w:w="1276" w:type="dxa"/>
            <w:vAlign w:val="center"/>
          </w:tcPr>
          <w:p w14:paraId="455BA716">
            <w:pPr>
              <w:pStyle w:val="13"/>
            </w:pPr>
            <w:r>
              <w:t>幼儿资助经费管理办法</w:t>
            </w:r>
          </w:p>
        </w:tc>
      </w:tr>
      <w:tr w14:paraId="48F57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E06195">
            <w:pPr>
              <w:pStyle w:val="12"/>
            </w:pPr>
            <w:r>
              <w:t>满意度指标</w:t>
            </w:r>
          </w:p>
        </w:tc>
        <w:tc>
          <w:tcPr>
            <w:tcW w:w="2268" w:type="dxa"/>
            <w:vAlign w:val="center"/>
          </w:tcPr>
          <w:p w14:paraId="055B31BE">
            <w:pPr>
              <w:pStyle w:val="13"/>
            </w:pPr>
            <w:r>
              <w:t>服务对象满意度指标</w:t>
            </w:r>
          </w:p>
        </w:tc>
        <w:tc>
          <w:tcPr>
            <w:tcW w:w="2835" w:type="dxa"/>
            <w:vAlign w:val="center"/>
          </w:tcPr>
          <w:p w14:paraId="406663D5">
            <w:pPr>
              <w:pStyle w:val="13"/>
            </w:pPr>
            <w:r>
              <w:t>受益幼儿家长及调查满意度</w:t>
            </w:r>
          </w:p>
        </w:tc>
        <w:tc>
          <w:tcPr>
            <w:tcW w:w="5386" w:type="dxa"/>
            <w:vAlign w:val="center"/>
          </w:tcPr>
          <w:p w14:paraId="453DE256">
            <w:pPr>
              <w:pStyle w:val="13"/>
            </w:pPr>
            <w:r>
              <w:t>学生、教师及家长对学校保教保育工作满意度情况</w:t>
            </w:r>
          </w:p>
        </w:tc>
        <w:tc>
          <w:tcPr>
            <w:tcW w:w="2268" w:type="dxa"/>
            <w:vAlign w:val="center"/>
          </w:tcPr>
          <w:p w14:paraId="04CE7453">
            <w:pPr>
              <w:pStyle w:val="13"/>
            </w:pPr>
            <w:r>
              <w:t>≥95%</w:t>
            </w:r>
          </w:p>
        </w:tc>
        <w:tc>
          <w:tcPr>
            <w:tcW w:w="1276" w:type="dxa"/>
            <w:vAlign w:val="center"/>
          </w:tcPr>
          <w:p w14:paraId="09C91AFD">
            <w:pPr>
              <w:pStyle w:val="13"/>
            </w:pPr>
            <w:r>
              <w:t>幼儿资助经费管理办法</w:t>
            </w:r>
          </w:p>
        </w:tc>
      </w:tr>
    </w:tbl>
    <w:p w14:paraId="05E7398F">
      <w:pPr>
        <w:sectPr>
          <w:pgSz w:w="16840" w:h="11900" w:orient="landscape"/>
          <w:pgMar w:top="1361" w:right="1020" w:bottom="1134" w:left="1020" w:header="720" w:footer="720" w:gutter="0"/>
          <w:cols w:space="720" w:num="1"/>
        </w:sectPr>
      </w:pPr>
    </w:p>
    <w:p w14:paraId="62F39C63">
      <w:pPr>
        <w:spacing w:before="0" w:after="0"/>
        <w:ind w:firstLine="560"/>
        <w:jc w:val="left"/>
        <w:outlineLvl w:val="9"/>
      </w:pPr>
      <w:r>
        <w:rPr>
          <w:rFonts w:ascii="方正仿宋_GBK" w:hAnsi="方正仿宋_GBK" w:eastAsia="方正仿宋_GBK" w:cs="方正仿宋_GBK"/>
          <w:b/>
          <w:color w:val="000000"/>
          <w:sz w:val="28"/>
        </w:rPr>
        <w:t>28、冀财教[2024]142号/省级/2025年学前教育发展/周村幼儿园封阳台等维修改造绩效目标表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FE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1BAFD">
            <w:pPr>
              <w:pStyle w:val="14"/>
            </w:pPr>
            <w:r>
              <w:t>单位：万元</w:t>
            </w:r>
          </w:p>
        </w:tc>
      </w:tr>
      <w:tr w14:paraId="65D65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5E471">
            <w:pPr>
              <w:pStyle w:val="11"/>
            </w:pPr>
            <w:r>
              <w:t>项目编码</w:t>
            </w:r>
          </w:p>
        </w:tc>
        <w:tc>
          <w:tcPr>
            <w:tcW w:w="5103" w:type="dxa"/>
            <w:gridSpan w:val="2"/>
            <w:vAlign w:val="center"/>
          </w:tcPr>
          <w:p w14:paraId="09CBA7EC">
            <w:pPr>
              <w:pStyle w:val="13"/>
            </w:pPr>
            <w:r>
              <w:t>13052525P00876910002R</w:t>
            </w:r>
          </w:p>
        </w:tc>
        <w:tc>
          <w:tcPr>
            <w:tcW w:w="2835" w:type="dxa"/>
            <w:vAlign w:val="center"/>
          </w:tcPr>
          <w:p w14:paraId="0034FB84">
            <w:pPr>
              <w:pStyle w:val="11"/>
            </w:pPr>
            <w:r>
              <w:t>项目名称</w:t>
            </w:r>
          </w:p>
        </w:tc>
        <w:tc>
          <w:tcPr>
            <w:tcW w:w="6095" w:type="dxa"/>
            <w:gridSpan w:val="3"/>
            <w:vAlign w:val="center"/>
          </w:tcPr>
          <w:p w14:paraId="385A0B54">
            <w:pPr>
              <w:pStyle w:val="13"/>
            </w:pPr>
            <w:r>
              <w:t>冀财教[2024]142号/省级/2025年学前教育发展/周村幼儿园封阳台等维修改造</w:t>
            </w:r>
          </w:p>
        </w:tc>
      </w:tr>
      <w:tr w14:paraId="49425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7FB28">
            <w:pPr>
              <w:pStyle w:val="11"/>
            </w:pPr>
            <w:r>
              <w:t>预算规模及资金用途</w:t>
            </w:r>
          </w:p>
        </w:tc>
        <w:tc>
          <w:tcPr>
            <w:tcW w:w="2268" w:type="dxa"/>
            <w:vAlign w:val="center"/>
          </w:tcPr>
          <w:p w14:paraId="5A2D6938">
            <w:pPr>
              <w:pStyle w:val="11"/>
            </w:pPr>
            <w:r>
              <w:t>预算数</w:t>
            </w:r>
          </w:p>
        </w:tc>
        <w:tc>
          <w:tcPr>
            <w:tcW w:w="2835" w:type="dxa"/>
            <w:vAlign w:val="center"/>
          </w:tcPr>
          <w:p w14:paraId="34914C39">
            <w:pPr>
              <w:pStyle w:val="13"/>
            </w:pPr>
            <w:r>
              <w:t>57.00</w:t>
            </w:r>
          </w:p>
        </w:tc>
        <w:tc>
          <w:tcPr>
            <w:tcW w:w="2835" w:type="dxa"/>
            <w:vAlign w:val="center"/>
          </w:tcPr>
          <w:p w14:paraId="437F0B17">
            <w:pPr>
              <w:pStyle w:val="11"/>
            </w:pPr>
            <w:r>
              <w:t>其中：财政    资金</w:t>
            </w:r>
          </w:p>
        </w:tc>
        <w:tc>
          <w:tcPr>
            <w:tcW w:w="2551" w:type="dxa"/>
            <w:vAlign w:val="center"/>
          </w:tcPr>
          <w:p w14:paraId="4D75EF2E">
            <w:pPr>
              <w:pStyle w:val="13"/>
            </w:pPr>
            <w:r>
              <w:t>57.00</w:t>
            </w:r>
          </w:p>
        </w:tc>
        <w:tc>
          <w:tcPr>
            <w:tcW w:w="2268" w:type="dxa"/>
            <w:vAlign w:val="center"/>
          </w:tcPr>
          <w:p w14:paraId="4A791CAE">
            <w:pPr>
              <w:pStyle w:val="11"/>
            </w:pPr>
            <w:r>
              <w:t>其他资金</w:t>
            </w:r>
          </w:p>
        </w:tc>
        <w:tc>
          <w:tcPr>
            <w:tcW w:w="1276" w:type="dxa"/>
            <w:vAlign w:val="center"/>
          </w:tcPr>
          <w:p w14:paraId="57E3AD75">
            <w:pPr>
              <w:pStyle w:val="13"/>
            </w:pPr>
            <w:r>
              <w:t xml:space="preserve"> </w:t>
            </w:r>
          </w:p>
        </w:tc>
      </w:tr>
      <w:tr w14:paraId="2549F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6F9720"/>
        </w:tc>
        <w:tc>
          <w:tcPr>
            <w:tcW w:w="14033" w:type="dxa"/>
            <w:gridSpan w:val="6"/>
            <w:vAlign w:val="center"/>
          </w:tcPr>
          <w:p w14:paraId="2463D3DD">
            <w:pPr>
              <w:pStyle w:val="13"/>
            </w:pPr>
            <w:r>
              <w:t>完成周村幼儿园封阳台、地面维修改造等，满足学校正常教学需要。</w:t>
            </w:r>
          </w:p>
        </w:tc>
      </w:tr>
      <w:tr w14:paraId="41FD4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9593E">
            <w:pPr>
              <w:pStyle w:val="11"/>
            </w:pPr>
            <w:r>
              <w:t>资金支出计划（%）</w:t>
            </w:r>
          </w:p>
        </w:tc>
        <w:tc>
          <w:tcPr>
            <w:tcW w:w="5103" w:type="dxa"/>
            <w:gridSpan w:val="2"/>
            <w:vAlign w:val="center"/>
          </w:tcPr>
          <w:p w14:paraId="015C0BCD">
            <w:pPr>
              <w:pStyle w:val="11"/>
            </w:pPr>
            <w:r>
              <w:t>3月底</w:t>
            </w:r>
          </w:p>
        </w:tc>
        <w:tc>
          <w:tcPr>
            <w:tcW w:w="2835" w:type="dxa"/>
            <w:vAlign w:val="center"/>
          </w:tcPr>
          <w:p w14:paraId="77A5E064">
            <w:pPr>
              <w:pStyle w:val="11"/>
            </w:pPr>
            <w:r>
              <w:t>6月底</w:t>
            </w:r>
          </w:p>
        </w:tc>
        <w:tc>
          <w:tcPr>
            <w:tcW w:w="2551" w:type="dxa"/>
            <w:vAlign w:val="center"/>
          </w:tcPr>
          <w:p w14:paraId="0460CCE0">
            <w:pPr>
              <w:pStyle w:val="11"/>
            </w:pPr>
            <w:r>
              <w:t>10月底</w:t>
            </w:r>
          </w:p>
        </w:tc>
        <w:tc>
          <w:tcPr>
            <w:tcW w:w="3544" w:type="dxa"/>
            <w:gridSpan w:val="2"/>
            <w:vAlign w:val="center"/>
          </w:tcPr>
          <w:p w14:paraId="72708AF0">
            <w:pPr>
              <w:pStyle w:val="11"/>
            </w:pPr>
            <w:r>
              <w:t>12月底</w:t>
            </w:r>
          </w:p>
        </w:tc>
      </w:tr>
      <w:tr w14:paraId="742BB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9DA8E4"/>
        </w:tc>
        <w:tc>
          <w:tcPr>
            <w:tcW w:w="5103" w:type="dxa"/>
            <w:gridSpan w:val="2"/>
            <w:vAlign w:val="center"/>
          </w:tcPr>
          <w:p w14:paraId="61D40705">
            <w:pPr>
              <w:pStyle w:val="12"/>
            </w:pPr>
            <w:r>
              <w:t xml:space="preserve"> </w:t>
            </w:r>
          </w:p>
        </w:tc>
        <w:tc>
          <w:tcPr>
            <w:tcW w:w="2835" w:type="dxa"/>
            <w:vAlign w:val="center"/>
          </w:tcPr>
          <w:p w14:paraId="6C76E436">
            <w:pPr>
              <w:pStyle w:val="12"/>
            </w:pPr>
            <w:r>
              <w:t>50%</w:t>
            </w:r>
          </w:p>
        </w:tc>
        <w:tc>
          <w:tcPr>
            <w:tcW w:w="2551" w:type="dxa"/>
            <w:vAlign w:val="center"/>
          </w:tcPr>
          <w:p w14:paraId="416F6014">
            <w:pPr>
              <w:pStyle w:val="12"/>
            </w:pPr>
            <w:r>
              <w:t xml:space="preserve"> </w:t>
            </w:r>
          </w:p>
        </w:tc>
        <w:tc>
          <w:tcPr>
            <w:tcW w:w="3544" w:type="dxa"/>
            <w:gridSpan w:val="2"/>
            <w:vAlign w:val="center"/>
          </w:tcPr>
          <w:p w14:paraId="4526647F">
            <w:pPr>
              <w:pStyle w:val="12"/>
            </w:pPr>
            <w:r>
              <w:t>100%</w:t>
            </w:r>
          </w:p>
        </w:tc>
      </w:tr>
      <w:tr w14:paraId="4506C0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0D373D">
            <w:pPr>
              <w:pStyle w:val="11"/>
            </w:pPr>
            <w:r>
              <w:t>绩效目标</w:t>
            </w:r>
          </w:p>
        </w:tc>
        <w:tc>
          <w:tcPr>
            <w:tcW w:w="14033" w:type="dxa"/>
            <w:gridSpan w:val="6"/>
            <w:vAlign w:val="center"/>
          </w:tcPr>
          <w:p w14:paraId="5BFDAC90">
            <w:pPr>
              <w:pStyle w:val="13"/>
            </w:pPr>
            <w:r>
              <w:t>1.完成周村幼儿园封阳台、地面维修改造等，</w:t>
            </w:r>
          </w:p>
          <w:p w14:paraId="2BABFDA7">
            <w:pPr>
              <w:pStyle w:val="13"/>
            </w:pPr>
            <w:r>
              <w:t>满足学校正常教学需要。</w:t>
            </w:r>
          </w:p>
          <w:p w14:paraId="14108E8E">
            <w:pPr>
              <w:pStyle w:val="13"/>
            </w:pPr>
            <w:r>
              <w:t>2.按规定拨付专项资金，资金支付率达到100%。</w:t>
            </w:r>
          </w:p>
        </w:tc>
      </w:tr>
    </w:tbl>
    <w:p w14:paraId="1CA56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D1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09A2E">
            <w:pPr>
              <w:pStyle w:val="11"/>
            </w:pPr>
            <w:r>
              <w:t>一级指标</w:t>
            </w:r>
          </w:p>
        </w:tc>
        <w:tc>
          <w:tcPr>
            <w:tcW w:w="2268" w:type="dxa"/>
            <w:vAlign w:val="center"/>
          </w:tcPr>
          <w:p w14:paraId="0D595131">
            <w:pPr>
              <w:pStyle w:val="11"/>
            </w:pPr>
            <w:r>
              <w:t>二级指标</w:t>
            </w:r>
          </w:p>
        </w:tc>
        <w:tc>
          <w:tcPr>
            <w:tcW w:w="2835" w:type="dxa"/>
            <w:vAlign w:val="center"/>
          </w:tcPr>
          <w:p w14:paraId="30438479">
            <w:pPr>
              <w:pStyle w:val="11"/>
            </w:pPr>
            <w:r>
              <w:t>三级指标</w:t>
            </w:r>
          </w:p>
        </w:tc>
        <w:tc>
          <w:tcPr>
            <w:tcW w:w="5386" w:type="dxa"/>
            <w:vAlign w:val="center"/>
          </w:tcPr>
          <w:p w14:paraId="6DF38CEC">
            <w:pPr>
              <w:pStyle w:val="11"/>
            </w:pPr>
            <w:r>
              <w:t>绩效指标描述</w:t>
            </w:r>
          </w:p>
        </w:tc>
        <w:tc>
          <w:tcPr>
            <w:tcW w:w="2268" w:type="dxa"/>
            <w:vAlign w:val="center"/>
          </w:tcPr>
          <w:p w14:paraId="5156ED84">
            <w:pPr>
              <w:pStyle w:val="11"/>
            </w:pPr>
            <w:r>
              <w:t>指标值</w:t>
            </w:r>
          </w:p>
        </w:tc>
        <w:tc>
          <w:tcPr>
            <w:tcW w:w="1276" w:type="dxa"/>
            <w:vAlign w:val="center"/>
          </w:tcPr>
          <w:p w14:paraId="4E6E3845">
            <w:pPr>
              <w:pStyle w:val="11"/>
            </w:pPr>
            <w:r>
              <w:t>指标值确定依据</w:t>
            </w:r>
          </w:p>
        </w:tc>
      </w:tr>
      <w:tr w14:paraId="56BDC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5A109">
            <w:pPr>
              <w:pStyle w:val="12"/>
            </w:pPr>
            <w:r>
              <w:t>产出指标</w:t>
            </w:r>
          </w:p>
        </w:tc>
        <w:tc>
          <w:tcPr>
            <w:tcW w:w="2268" w:type="dxa"/>
            <w:vAlign w:val="center"/>
          </w:tcPr>
          <w:p w14:paraId="522AFCB3">
            <w:pPr>
              <w:pStyle w:val="13"/>
            </w:pPr>
            <w:r>
              <w:t>数量指标</w:t>
            </w:r>
          </w:p>
        </w:tc>
        <w:tc>
          <w:tcPr>
            <w:tcW w:w="2835" w:type="dxa"/>
            <w:vAlign w:val="center"/>
          </w:tcPr>
          <w:p w14:paraId="7F997A49">
            <w:pPr>
              <w:pStyle w:val="13"/>
            </w:pPr>
            <w:r>
              <w:t>封阳台、地面维修改造等</w:t>
            </w:r>
          </w:p>
        </w:tc>
        <w:tc>
          <w:tcPr>
            <w:tcW w:w="5386" w:type="dxa"/>
            <w:vAlign w:val="center"/>
          </w:tcPr>
          <w:p w14:paraId="5D346DDF">
            <w:pPr>
              <w:pStyle w:val="13"/>
            </w:pPr>
            <w:r>
              <w:t>封阳台、地面维修改造等</w:t>
            </w:r>
          </w:p>
        </w:tc>
        <w:tc>
          <w:tcPr>
            <w:tcW w:w="2268" w:type="dxa"/>
            <w:vAlign w:val="center"/>
          </w:tcPr>
          <w:p w14:paraId="63D800A7">
            <w:pPr>
              <w:pStyle w:val="13"/>
            </w:pPr>
            <w:r>
              <w:t>57万元</w:t>
            </w:r>
          </w:p>
        </w:tc>
        <w:tc>
          <w:tcPr>
            <w:tcW w:w="1276" w:type="dxa"/>
            <w:vAlign w:val="center"/>
          </w:tcPr>
          <w:p w14:paraId="18023BE9">
            <w:pPr>
              <w:pStyle w:val="13"/>
            </w:pPr>
            <w:r>
              <w:t>按项目规划</w:t>
            </w:r>
          </w:p>
        </w:tc>
      </w:tr>
      <w:tr w14:paraId="03032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8913"/>
        </w:tc>
        <w:tc>
          <w:tcPr>
            <w:tcW w:w="2268" w:type="dxa"/>
            <w:vAlign w:val="center"/>
          </w:tcPr>
          <w:p w14:paraId="53FED636">
            <w:pPr>
              <w:pStyle w:val="13"/>
            </w:pPr>
            <w:r>
              <w:t>质量指标</w:t>
            </w:r>
          </w:p>
        </w:tc>
        <w:tc>
          <w:tcPr>
            <w:tcW w:w="2835" w:type="dxa"/>
            <w:vAlign w:val="center"/>
          </w:tcPr>
          <w:p w14:paraId="440E8C05">
            <w:pPr>
              <w:pStyle w:val="13"/>
            </w:pPr>
            <w:r>
              <w:t>资金支付率</w:t>
            </w:r>
          </w:p>
        </w:tc>
        <w:tc>
          <w:tcPr>
            <w:tcW w:w="5386" w:type="dxa"/>
            <w:vAlign w:val="center"/>
          </w:tcPr>
          <w:p w14:paraId="37483A27">
            <w:pPr>
              <w:pStyle w:val="13"/>
            </w:pPr>
            <w:r>
              <w:t>按照序时进度完成资金支付</w:t>
            </w:r>
          </w:p>
        </w:tc>
        <w:tc>
          <w:tcPr>
            <w:tcW w:w="2268" w:type="dxa"/>
            <w:vAlign w:val="center"/>
          </w:tcPr>
          <w:p w14:paraId="2E668BB9">
            <w:pPr>
              <w:pStyle w:val="13"/>
            </w:pPr>
            <w:r>
              <w:t>≥100%</w:t>
            </w:r>
          </w:p>
        </w:tc>
        <w:tc>
          <w:tcPr>
            <w:tcW w:w="1276" w:type="dxa"/>
            <w:vAlign w:val="center"/>
          </w:tcPr>
          <w:p w14:paraId="1665B02F">
            <w:pPr>
              <w:pStyle w:val="13"/>
            </w:pPr>
            <w:r>
              <w:t>按项目规划</w:t>
            </w:r>
          </w:p>
        </w:tc>
      </w:tr>
      <w:tr w14:paraId="119A3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1AA7"/>
        </w:tc>
        <w:tc>
          <w:tcPr>
            <w:tcW w:w="2268" w:type="dxa"/>
            <w:vAlign w:val="center"/>
          </w:tcPr>
          <w:p w14:paraId="42339C59">
            <w:pPr>
              <w:pStyle w:val="13"/>
            </w:pPr>
            <w:r>
              <w:t>时效指标</w:t>
            </w:r>
          </w:p>
        </w:tc>
        <w:tc>
          <w:tcPr>
            <w:tcW w:w="2835" w:type="dxa"/>
            <w:vAlign w:val="center"/>
          </w:tcPr>
          <w:p w14:paraId="76E4FBB3">
            <w:pPr>
              <w:pStyle w:val="13"/>
            </w:pPr>
            <w:r>
              <w:t>项目竣工验收合格率</w:t>
            </w:r>
          </w:p>
        </w:tc>
        <w:tc>
          <w:tcPr>
            <w:tcW w:w="5386" w:type="dxa"/>
            <w:vAlign w:val="center"/>
          </w:tcPr>
          <w:p w14:paraId="1C4BE9A7">
            <w:pPr>
              <w:pStyle w:val="13"/>
            </w:pPr>
            <w:r>
              <w:t>项目改造质量达标率</w:t>
            </w:r>
          </w:p>
        </w:tc>
        <w:tc>
          <w:tcPr>
            <w:tcW w:w="2268" w:type="dxa"/>
            <w:vAlign w:val="center"/>
          </w:tcPr>
          <w:p w14:paraId="0FF95D24">
            <w:pPr>
              <w:pStyle w:val="13"/>
            </w:pPr>
            <w:r>
              <w:t>≥100%</w:t>
            </w:r>
          </w:p>
        </w:tc>
        <w:tc>
          <w:tcPr>
            <w:tcW w:w="1276" w:type="dxa"/>
            <w:vAlign w:val="center"/>
          </w:tcPr>
          <w:p w14:paraId="74E5B0E0">
            <w:pPr>
              <w:pStyle w:val="13"/>
            </w:pPr>
            <w:r>
              <w:t>按项目规划</w:t>
            </w:r>
          </w:p>
        </w:tc>
      </w:tr>
      <w:tr w14:paraId="08D90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12ED9"/>
        </w:tc>
        <w:tc>
          <w:tcPr>
            <w:tcW w:w="2268" w:type="dxa"/>
            <w:vAlign w:val="center"/>
          </w:tcPr>
          <w:p w14:paraId="27594BBE">
            <w:pPr>
              <w:pStyle w:val="13"/>
            </w:pPr>
            <w:r>
              <w:t>成本指标</w:t>
            </w:r>
          </w:p>
        </w:tc>
        <w:tc>
          <w:tcPr>
            <w:tcW w:w="2835" w:type="dxa"/>
            <w:vAlign w:val="center"/>
          </w:tcPr>
          <w:p w14:paraId="3D7CDEF0">
            <w:pPr>
              <w:pStyle w:val="13"/>
            </w:pPr>
            <w:r>
              <w:t>项目实际成本</w:t>
            </w:r>
          </w:p>
        </w:tc>
        <w:tc>
          <w:tcPr>
            <w:tcW w:w="5386" w:type="dxa"/>
            <w:vAlign w:val="center"/>
          </w:tcPr>
          <w:p w14:paraId="061E1722">
            <w:pPr>
              <w:pStyle w:val="13"/>
            </w:pPr>
            <w:r>
              <w:t>封阳台、地面维修改造等</w:t>
            </w:r>
          </w:p>
        </w:tc>
        <w:tc>
          <w:tcPr>
            <w:tcW w:w="2268" w:type="dxa"/>
            <w:vAlign w:val="center"/>
          </w:tcPr>
          <w:p w14:paraId="568E856C">
            <w:pPr>
              <w:pStyle w:val="13"/>
            </w:pPr>
            <w:r>
              <w:t>57万元</w:t>
            </w:r>
          </w:p>
        </w:tc>
        <w:tc>
          <w:tcPr>
            <w:tcW w:w="1276" w:type="dxa"/>
            <w:vAlign w:val="center"/>
          </w:tcPr>
          <w:p w14:paraId="150646BC">
            <w:pPr>
              <w:pStyle w:val="13"/>
            </w:pPr>
            <w:r>
              <w:t>按项目规划</w:t>
            </w:r>
          </w:p>
        </w:tc>
      </w:tr>
      <w:tr w14:paraId="59AA6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918F2">
            <w:pPr>
              <w:pStyle w:val="12"/>
            </w:pPr>
            <w:r>
              <w:t>效益指标</w:t>
            </w:r>
          </w:p>
        </w:tc>
        <w:tc>
          <w:tcPr>
            <w:tcW w:w="2268" w:type="dxa"/>
            <w:vAlign w:val="center"/>
          </w:tcPr>
          <w:p w14:paraId="5818485C">
            <w:pPr>
              <w:pStyle w:val="13"/>
            </w:pPr>
            <w:r>
              <w:t>经济效益指标</w:t>
            </w:r>
          </w:p>
        </w:tc>
        <w:tc>
          <w:tcPr>
            <w:tcW w:w="2835" w:type="dxa"/>
            <w:vAlign w:val="center"/>
          </w:tcPr>
          <w:p w14:paraId="0ED78700">
            <w:pPr>
              <w:pStyle w:val="13"/>
            </w:pPr>
            <w:r>
              <w:t>教育发展水平</w:t>
            </w:r>
          </w:p>
        </w:tc>
        <w:tc>
          <w:tcPr>
            <w:tcW w:w="5386" w:type="dxa"/>
            <w:vAlign w:val="center"/>
          </w:tcPr>
          <w:p w14:paraId="150BDD2F">
            <w:pPr>
              <w:pStyle w:val="13"/>
            </w:pPr>
            <w:r>
              <w:t>辖区内教育环境明显好转</w:t>
            </w:r>
          </w:p>
        </w:tc>
        <w:tc>
          <w:tcPr>
            <w:tcW w:w="2268" w:type="dxa"/>
            <w:vAlign w:val="center"/>
          </w:tcPr>
          <w:p w14:paraId="420321FA">
            <w:pPr>
              <w:pStyle w:val="13"/>
            </w:pPr>
            <w:r>
              <w:t>≥95%</w:t>
            </w:r>
          </w:p>
        </w:tc>
        <w:tc>
          <w:tcPr>
            <w:tcW w:w="1276" w:type="dxa"/>
            <w:vAlign w:val="center"/>
          </w:tcPr>
          <w:p w14:paraId="0029F726">
            <w:pPr>
              <w:pStyle w:val="13"/>
            </w:pPr>
            <w:r>
              <w:t>按项目规划</w:t>
            </w:r>
          </w:p>
        </w:tc>
      </w:tr>
      <w:tr w14:paraId="77507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B5BA"/>
        </w:tc>
        <w:tc>
          <w:tcPr>
            <w:tcW w:w="2268" w:type="dxa"/>
            <w:vAlign w:val="center"/>
          </w:tcPr>
          <w:p w14:paraId="046D4A2E">
            <w:pPr>
              <w:pStyle w:val="13"/>
            </w:pPr>
            <w:r>
              <w:t>社会效益指标</w:t>
            </w:r>
          </w:p>
        </w:tc>
        <w:tc>
          <w:tcPr>
            <w:tcW w:w="2835" w:type="dxa"/>
            <w:vAlign w:val="center"/>
          </w:tcPr>
          <w:p w14:paraId="0AE2C826">
            <w:pPr>
              <w:pStyle w:val="13"/>
            </w:pPr>
            <w:r>
              <w:t>校园环境</w:t>
            </w:r>
          </w:p>
        </w:tc>
        <w:tc>
          <w:tcPr>
            <w:tcW w:w="5386" w:type="dxa"/>
            <w:vAlign w:val="center"/>
          </w:tcPr>
          <w:p w14:paraId="539955C6">
            <w:pPr>
              <w:pStyle w:val="13"/>
            </w:pPr>
            <w:r>
              <w:t>办学条件和环境得到改善</w:t>
            </w:r>
          </w:p>
        </w:tc>
        <w:tc>
          <w:tcPr>
            <w:tcW w:w="2268" w:type="dxa"/>
            <w:vAlign w:val="center"/>
          </w:tcPr>
          <w:p w14:paraId="6542BCC7">
            <w:pPr>
              <w:pStyle w:val="13"/>
            </w:pPr>
            <w:r>
              <w:t>≥95%</w:t>
            </w:r>
          </w:p>
        </w:tc>
        <w:tc>
          <w:tcPr>
            <w:tcW w:w="1276" w:type="dxa"/>
            <w:vAlign w:val="center"/>
          </w:tcPr>
          <w:p w14:paraId="6959B08C">
            <w:pPr>
              <w:pStyle w:val="13"/>
            </w:pPr>
            <w:r>
              <w:t>按项目规划</w:t>
            </w:r>
          </w:p>
        </w:tc>
      </w:tr>
      <w:tr w14:paraId="6D01D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BA541D">
            <w:pPr>
              <w:pStyle w:val="12"/>
            </w:pPr>
            <w:r>
              <w:t>满意度指标</w:t>
            </w:r>
          </w:p>
        </w:tc>
        <w:tc>
          <w:tcPr>
            <w:tcW w:w="2268" w:type="dxa"/>
            <w:vAlign w:val="center"/>
          </w:tcPr>
          <w:p w14:paraId="6D3DAF3B">
            <w:pPr>
              <w:pStyle w:val="13"/>
            </w:pPr>
            <w:r>
              <w:t>服务对象满意度指标</w:t>
            </w:r>
          </w:p>
        </w:tc>
        <w:tc>
          <w:tcPr>
            <w:tcW w:w="2835" w:type="dxa"/>
            <w:vAlign w:val="center"/>
          </w:tcPr>
          <w:p w14:paraId="5E24DEF5">
            <w:pPr>
              <w:pStyle w:val="13"/>
            </w:pPr>
            <w:r>
              <w:t>受益学生家长及调查满意度</w:t>
            </w:r>
          </w:p>
        </w:tc>
        <w:tc>
          <w:tcPr>
            <w:tcW w:w="5386" w:type="dxa"/>
            <w:vAlign w:val="center"/>
          </w:tcPr>
          <w:p w14:paraId="66843F19">
            <w:pPr>
              <w:pStyle w:val="13"/>
            </w:pPr>
            <w:r>
              <w:t>学生、教师及家长对学校工作满意度情况</w:t>
            </w:r>
          </w:p>
        </w:tc>
        <w:tc>
          <w:tcPr>
            <w:tcW w:w="2268" w:type="dxa"/>
            <w:vAlign w:val="center"/>
          </w:tcPr>
          <w:p w14:paraId="77081BF8">
            <w:pPr>
              <w:pStyle w:val="13"/>
            </w:pPr>
            <w:r>
              <w:t>≥95%</w:t>
            </w:r>
          </w:p>
        </w:tc>
        <w:tc>
          <w:tcPr>
            <w:tcW w:w="1276" w:type="dxa"/>
            <w:vAlign w:val="center"/>
          </w:tcPr>
          <w:p w14:paraId="1DBFEC93">
            <w:pPr>
              <w:pStyle w:val="13"/>
            </w:pPr>
            <w:r>
              <w:t>按项目规划</w:t>
            </w:r>
          </w:p>
        </w:tc>
      </w:tr>
    </w:tbl>
    <w:p w14:paraId="5CDC5AF3">
      <w:pPr>
        <w:sectPr>
          <w:pgSz w:w="16840" w:h="11900" w:orient="landscape"/>
          <w:pgMar w:top="1361" w:right="1020" w:bottom="1134" w:left="1020" w:header="720" w:footer="720" w:gutter="0"/>
          <w:cols w:space="720" w:num="1"/>
        </w:sectPr>
      </w:pPr>
    </w:p>
    <w:p w14:paraId="7A21FF1E">
      <w:pPr>
        <w:spacing w:before="0" w:after="0"/>
        <w:ind w:firstLine="560"/>
        <w:jc w:val="left"/>
        <w:outlineLvl w:val="9"/>
      </w:pPr>
      <w:r>
        <w:rPr>
          <w:rFonts w:ascii="方正仿宋_GBK" w:hAnsi="方正仿宋_GBK" w:eastAsia="方正仿宋_GBK" w:cs="方正仿宋_GBK"/>
          <w:b/>
          <w:color w:val="000000"/>
          <w:sz w:val="28"/>
        </w:rPr>
        <w:t>29、上年盘活/东良校区泽畔小学新建学生宿舍楼及消防工程费用（冀财教[2023]163号）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30547583">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33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A8D67">
            <w:pPr>
              <w:pStyle w:val="14"/>
            </w:pPr>
            <w:r>
              <w:t>单位：万元</w:t>
            </w:r>
          </w:p>
        </w:tc>
      </w:tr>
      <w:tr w14:paraId="6B12D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703C8">
            <w:pPr>
              <w:pStyle w:val="11"/>
            </w:pPr>
            <w:r>
              <w:t>项目编码</w:t>
            </w:r>
          </w:p>
        </w:tc>
        <w:tc>
          <w:tcPr>
            <w:tcW w:w="5103" w:type="dxa"/>
            <w:gridSpan w:val="2"/>
            <w:vAlign w:val="center"/>
          </w:tcPr>
          <w:p w14:paraId="05170E61">
            <w:pPr>
              <w:pStyle w:val="13"/>
            </w:pPr>
            <w:r>
              <w:t>13052525P00875610176C</w:t>
            </w:r>
          </w:p>
        </w:tc>
        <w:tc>
          <w:tcPr>
            <w:tcW w:w="2835" w:type="dxa"/>
            <w:vAlign w:val="center"/>
          </w:tcPr>
          <w:p w14:paraId="6CE49FF5">
            <w:pPr>
              <w:pStyle w:val="11"/>
            </w:pPr>
            <w:r>
              <w:t>项目名称</w:t>
            </w:r>
          </w:p>
        </w:tc>
        <w:tc>
          <w:tcPr>
            <w:tcW w:w="6095" w:type="dxa"/>
            <w:gridSpan w:val="3"/>
            <w:vAlign w:val="center"/>
          </w:tcPr>
          <w:p w14:paraId="7CC75AFF">
            <w:pPr>
              <w:pStyle w:val="13"/>
            </w:pPr>
            <w:r>
              <w:t>上年盘活/东良校区泽畔小学新建学生宿舍楼及消防工程费用（冀财教[2023]163号）</w:t>
            </w:r>
            <w:r>
              <w:tab/>
            </w:r>
            <w:r>
              <w:tab/>
            </w:r>
          </w:p>
          <w:p w14:paraId="262524F5">
            <w:pPr>
              <w:pStyle w:val="13"/>
            </w:pPr>
          </w:p>
        </w:tc>
      </w:tr>
      <w:tr w14:paraId="5D829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22846">
            <w:pPr>
              <w:pStyle w:val="11"/>
            </w:pPr>
            <w:r>
              <w:t>预算规模及资金用途</w:t>
            </w:r>
          </w:p>
        </w:tc>
        <w:tc>
          <w:tcPr>
            <w:tcW w:w="2268" w:type="dxa"/>
            <w:vAlign w:val="center"/>
          </w:tcPr>
          <w:p w14:paraId="3433C957">
            <w:pPr>
              <w:pStyle w:val="11"/>
            </w:pPr>
            <w:r>
              <w:t>预算数</w:t>
            </w:r>
          </w:p>
        </w:tc>
        <w:tc>
          <w:tcPr>
            <w:tcW w:w="2835" w:type="dxa"/>
            <w:vAlign w:val="center"/>
          </w:tcPr>
          <w:p w14:paraId="1E9F5600">
            <w:pPr>
              <w:pStyle w:val="13"/>
            </w:pPr>
            <w:r>
              <w:t>11.05</w:t>
            </w:r>
          </w:p>
        </w:tc>
        <w:tc>
          <w:tcPr>
            <w:tcW w:w="2835" w:type="dxa"/>
            <w:vAlign w:val="center"/>
          </w:tcPr>
          <w:p w14:paraId="7AF41743">
            <w:pPr>
              <w:pStyle w:val="11"/>
            </w:pPr>
            <w:r>
              <w:t>其中：财政    资金</w:t>
            </w:r>
          </w:p>
        </w:tc>
        <w:tc>
          <w:tcPr>
            <w:tcW w:w="2551" w:type="dxa"/>
            <w:vAlign w:val="center"/>
          </w:tcPr>
          <w:p w14:paraId="455B8480">
            <w:pPr>
              <w:pStyle w:val="13"/>
            </w:pPr>
            <w:r>
              <w:t>11.05</w:t>
            </w:r>
          </w:p>
        </w:tc>
        <w:tc>
          <w:tcPr>
            <w:tcW w:w="2268" w:type="dxa"/>
            <w:vAlign w:val="center"/>
          </w:tcPr>
          <w:p w14:paraId="4E117E92">
            <w:pPr>
              <w:pStyle w:val="11"/>
            </w:pPr>
            <w:r>
              <w:t>其他资金</w:t>
            </w:r>
          </w:p>
        </w:tc>
        <w:tc>
          <w:tcPr>
            <w:tcW w:w="1276" w:type="dxa"/>
            <w:vAlign w:val="center"/>
          </w:tcPr>
          <w:p w14:paraId="0CD3050E">
            <w:pPr>
              <w:pStyle w:val="13"/>
            </w:pPr>
            <w:r>
              <w:t xml:space="preserve"> </w:t>
            </w:r>
          </w:p>
        </w:tc>
      </w:tr>
      <w:tr w14:paraId="4B636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63826188"/>
        </w:tc>
        <w:tc>
          <w:tcPr>
            <w:tcW w:w="14033" w:type="dxa"/>
            <w:gridSpan w:val="6"/>
            <w:vAlign w:val="center"/>
          </w:tcPr>
          <w:p w14:paraId="060E6BFB">
            <w:pPr>
              <w:pStyle w:val="13"/>
            </w:pPr>
            <w:r>
              <w:t>改善就学条件，提升学校形象，保障义务教育阶段教学安全，创造良好的校园环境。</w:t>
            </w:r>
          </w:p>
        </w:tc>
      </w:tr>
      <w:tr w14:paraId="0F160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B5015">
            <w:pPr>
              <w:pStyle w:val="11"/>
            </w:pPr>
            <w:r>
              <w:t>资金支出计划（%）</w:t>
            </w:r>
          </w:p>
        </w:tc>
        <w:tc>
          <w:tcPr>
            <w:tcW w:w="5103" w:type="dxa"/>
            <w:gridSpan w:val="2"/>
            <w:vAlign w:val="center"/>
          </w:tcPr>
          <w:p w14:paraId="1B2802CC">
            <w:pPr>
              <w:pStyle w:val="11"/>
            </w:pPr>
            <w:r>
              <w:t>3月底</w:t>
            </w:r>
          </w:p>
        </w:tc>
        <w:tc>
          <w:tcPr>
            <w:tcW w:w="2835" w:type="dxa"/>
            <w:vAlign w:val="center"/>
          </w:tcPr>
          <w:p w14:paraId="35226764">
            <w:pPr>
              <w:pStyle w:val="11"/>
            </w:pPr>
            <w:r>
              <w:t>6月底</w:t>
            </w:r>
          </w:p>
        </w:tc>
        <w:tc>
          <w:tcPr>
            <w:tcW w:w="2551" w:type="dxa"/>
            <w:vAlign w:val="center"/>
          </w:tcPr>
          <w:p w14:paraId="23B78912">
            <w:pPr>
              <w:pStyle w:val="11"/>
            </w:pPr>
            <w:r>
              <w:t>10月底</w:t>
            </w:r>
          </w:p>
        </w:tc>
        <w:tc>
          <w:tcPr>
            <w:tcW w:w="3544" w:type="dxa"/>
            <w:gridSpan w:val="2"/>
            <w:vAlign w:val="center"/>
          </w:tcPr>
          <w:p w14:paraId="66375E89">
            <w:pPr>
              <w:pStyle w:val="11"/>
            </w:pPr>
            <w:r>
              <w:t>12月底</w:t>
            </w:r>
          </w:p>
        </w:tc>
      </w:tr>
      <w:tr w14:paraId="21833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D5B0D0"/>
        </w:tc>
        <w:tc>
          <w:tcPr>
            <w:tcW w:w="5103" w:type="dxa"/>
            <w:gridSpan w:val="2"/>
            <w:vAlign w:val="center"/>
          </w:tcPr>
          <w:p w14:paraId="437EEB0E">
            <w:pPr>
              <w:pStyle w:val="12"/>
            </w:pPr>
            <w:r>
              <w:t>25%</w:t>
            </w:r>
          </w:p>
        </w:tc>
        <w:tc>
          <w:tcPr>
            <w:tcW w:w="2835" w:type="dxa"/>
            <w:vAlign w:val="center"/>
          </w:tcPr>
          <w:p w14:paraId="12D3B186">
            <w:pPr>
              <w:pStyle w:val="12"/>
            </w:pPr>
            <w:r>
              <w:t>50%</w:t>
            </w:r>
          </w:p>
        </w:tc>
        <w:tc>
          <w:tcPr>
            <w:tcW w:w="2551" w:type="dxa"/>
            <w:vAlign w:val="center"/>
          </w:tcPr>
          <w:p w14:paraId="58248DF4">
            <w:pPr>
              <w:pStyle w:val="12"/>
            </w:pPr>
            <w:r>
              <w:t>75%</w:t>
            </w:r>
          </w:p>
        </w:tc>
        <w:tc>
          <w:tcPr>
            <w:tcW w:w="3544" w:type="dxa"/>
            <w:gridSpan w:val="2"/>
            <w:vAlign w:val="center"/>
          </w:tcPr>
          <w:p w14:paraId="4B0E28C4">
            <w:pPr>
              <w:pStyle w:val="12"/>
            </w:pPr>
            <w:r>
              <w:t>100%</w:t>
            </w:r>
          </w:p>
        </w:tc>
      </w:tr>
      <w:tr w14:paraId="687ED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5F71D1">
            <w:pPr>
              <w:pStyle w:val="11"/>
            </w:pPr>
            <w:r>
              <w:t>绩效目标</w:t>
            </w:r>
          </w:p>
        </w:tc>
        <w:tc>
          <w:tcPr>
            <w:tcW w:w="14033" w:type="dxa"/>
            <w:gridSpan w:val="6"/>
            <w:vAlign w:val="center"/>
          </w:tcPr>
          <w:p w14:paraId="724F35C2">
            <w:pPr>
              <w:pStyle w:val="13"/>
            </w:pPr>
            <w:r>
              <w:t>1.项目需资金11.05万元，资金拨付率达到100%。</w:t>
            </w:r>
          </w:p>
          <w:p w14:paraId="7570B767">
            <w:pPr>
              <w:pStyle w:val="13"/>
            </w:pPr>
            <w:r>
              <w:t>2.改善就学条件，提升学校形象，保障义务教育阶段教学安全，创造良好的校园环境。</w:t>
            </w:r>
            <w:r>
              <w:tab/>
            </w:r>
            <w:r>
              <w:tab/>
            </w:r>
            <w:r>
              <w:tab/>
            </w:r>
          </w:p>
        </w:tc>
      </w:tr>
    </w:tbl>
    <w:p w14:paraId="6322A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C4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6BC3BAD">
            <w:pPr>
              <w:pStyle w:val="11"/>
            </w:pPr>
            <w:r>
              <w:t>一级指标</w:t>
            </w:r>
          </w:p>
        </w:tc>
        <w:tc>
          <w:tcPr>
            <w:tcW w:w="2268" w:type="dxa"/>
            <w:vAlign w:val="center"/>
          </w:tcPr>
          <w:p w14:paraId="56FC412A">
            <w:pPr>
              <w:pStyle w:val="11"/>
            </w:pPr>
            <w:r>
              <w:t>二级指标</w:t>
            </w:r>
          </w:p>
        </w:tc>
        <w:tc>
          <w:tcPr>
            <w:tcW w:w="2835" w:type="dxa"/>
            <w:vAlign w:val="center"/>
          </w:tcPr>
          <w:p w14:paraId="5585C238">
            <w:pPr>
              <w:pStyle w:val="11"/>
            </w:pPr>
            <w:r>
              <w:t>三级指标</w:t>
            </w:r>
          </w:p>
        </w:tc>
        <w:tc>
          <w:tcPr>
            <w:tcW w:w="5386" w:type="dxa"/>
            <w:vAlign w:val="center"/>
          </w:tcPr>
          <w:p w14:paraId="06C9CDE2">
            <w:pPr>
              <w:pStyle w:val="11"/>
            </w:pPr>
            <w:r>
              <w:t>绩效指标描述</w:t>
            </w:r>
          </w:p>
        </w:tc>
        <w:tc>
          <w:tcPr>
            <w:tcW w:w="2268" w:type="dxa"/>
            <w:vAlign w:val="center"/>
          </w:tcPr>
          <w:p w14:paraId="2B29DFD7">
            <w:pPr>
              <w:pStyle w:val="11"/>
            </w:pPr>
            <w:r>
              <w:t>指标值</w:t>
            </w:r>
          </w:p>
        </w:tc>
        <w:tc>
          <w:tcPr>
            <w:tcW w:w="1276" w:type="dxa"/>
            <w:vAlign w:val="center"/>
          </w:tcPr>
          <w:p w14:paraId="4BFD5314">
            <w:pPr>
              <w:pStyle w:val="11"/>
            </w:pPr>
            <w:r>
              <w:t>指标值确定依据</w:t>
            </w:r>
          </w:p>
        </w:tc>
      </w:tr>
      <w:tr w14:paraId="78A4D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78259">
            <w:pPr>
              <w:pStyle w:val="12"/>
            </w:pPr>
            <w:r>
              <w:t>产出指标</w:t>
            </w:r>
          </w:p>
        </w:tc>
        <w:tc>
          <w:tcPr>
            <w:tcW w:w="2268" w:type="dxa"/>
            <w:vAlign w:val="center"/>
          </w:tcPr>
          <w:p w14:paraId="17B15A33">
            <w:pPr>
              <w:pStyle w:val="13"/>
            </w:pPr>
            <w:r>
              <w:t>数量指标</w:t>
            </w:r>
          </w:p>
        </w:tc>
        <w:tc>
          <w:tcPr>
            <w:tcW w:w="2835" w:type="dxa"/>
            <w:vAlign w:val="center"/>
          </w:tcPr>
          <w:p w14:paraId="45CC91CA">
            <w:pPr>
              <w:pStyle w:val="13"/>
            </w:pPr>
            <w:r>
              <w:t>综合楼室外消防工程</w:t>
            </w:r>
          </w:p>
        </w:tc>
        <w:tc>
          <w:tcPr>
            <w:tcW w:w="5386" w:type="dxa"/>
            <w:vAlign w:val="center"/>
          </w:tcPr>
          <w:p w14:paraId="4747695E">
            <w:pPr>
              <w:pStyle w:val="13"/>
            </w:pPr>
            <w:r>
              <w:t>安装消防泵房、蓄水池、室外网管、消防设备设施等</w:t>
            </w:r>
          </w:p>
        </w:tc>
        <w:tc>
          <w:tcPr>
            <w:tcW w:w="2268" w:type="dxa"/>
            <w:vAlign w:val="center"/>
          </w:tcPr>
          <w:p w14:paraId="4AFF68F6">
            <w:pPr>
              <w:pStyle w:val="13"/>
            </w:pPr>
            <w:r>
              <w:t>≥1项</w:t>
            </w:r>
          </w:p>
        </w:tc>
        <w:tc>
          <w:tcPr>
            <w:tcW w:w="1276" w:type="dxa"/>
            <w:vAlign w:val="center"/>
          </w:tcPr>
          <w:p w14:paraId="6528AC11">
            <w:pPr>
              <w:pStyle w:val="13"/>
            </w:pPr>
            <w:r>
              <w:t>项目规划</w:t>
            </w:r>
          </w:p>
        </w:tc>
      </w:tr>
      <w:tr w14:paraId="0D8EC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75011"/>
        </w:tc>
        <w:tc>
          <w:tcPr>
            <w:tcW w:w="2268" w:type="dxa"/>
            <w:vAlign w:val="center"/>
          </w:tcPr>
          <w:p w14:paraId="07E90108">
            <w:pPr>
              <w:pStyle w:val="13"/>
            </w:pPr>
            <w:r>
              <w:t>质量指标</w:t>
            </w:r>
          </w:p>
        </w:tc>
        <w:tc>
          <w:tcPr>
            <w:tcW w:w="2835" w:type="dxa"/>
            <w:vAlign w:val="center"/>
          </w:tcPr>
          <w:p w14:paraId="3E281530">
            <w:pPr>
              <w:pStyle w:val="13"/>
            </w:pPr>
            <w:r>
              <w:t>工程实施验收合格率</w:t>
            </w:r>
          </w:p>
        </w:tc>
        <w:tc>
          <w:tcPr>
            <w:tcW w:w="5386" w:type="dxa"/>
            <w:vAlign w:val="center"/>
          </w:tcPr>
          <w:p w14:paraId="1C76AA34">
            <w:pPr>
              <w:pStyle w:val="13"/>
            </w:pPr>
            <w:r>
              <w:t>申报程序的合规，项目实施及资金使用符合项目规划</w:t>
            </w:r>
          </w:p>
        </w:tc>
        <w:tc>
          <w:tcPr>
            <w:tcW w:w="2268" w:type="dxa"/>
            <w:vAlign w:val="center"/>
          </w:tcPr>
          <w:p w14:paraId="5CC3CD38">
            <w:pPr>
              <w:pStyle w:val="13"/>
            </w:pPr>
            <w:r>
              <w:t>≥100%</w:t>
            </w:r>
          </w:p>
        </w:tc>
        <w:tc>
          <w:tcPr>
            <w:tcW w:w="1276" w:type="dxa"/>
            <w:vAlign w:val="center"/>
          </w:tcPr>
          <w:p w14:paraId="7DA1B34E">
            <w:pPr>
              <w:pStyle w:val="13"/>
            </w:pPr>
            <w:r>
              <w:t>项目规划</w:t>
            </w:r>
          </w:p>
        </w:tc>
      </w:tr>
      <w:tr w14:paraId="135E3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31B9F"/>
        </w:tc>
        <w:tc>
          <w:tcPr>
            <w:tcW w:w="2268" w:type="dxa"/>
            <w:vAlign w:val="center"/>
          </w:tcPr>
          <w:p w14:paraId="528F91CF">
            <w:pPr>
              <w:pStyle w:val="13"/>
            </w:pPr>
            <w:r>
              <w:t>时效指标</w:t>
            </w:r>
          </w:p>
        </w:tc>
        <w:tc>
          <w:tcPr>
            <w:tcW w:w="2835" w:type="dxa"/>
            <w:vAlign w:val="center"/>
          </w:tcPr>
          <w:p w14:paraId="042AE595">
            <w:pPr>
              <w:pStyle w:val="13"/>
            </w:pPr>
            <w:r>
              <w:t>资金支付率</w:t>
            </w:r>
          </w:p>
        </w:tc>
        <w:tc>
          <w:tcPr>
            <w:tcW w:w="5386" w:type="dxa"/>
            <w:vAlign w:val="center"/>
          </w:tcPr>
          <w:p w14:paraId="217266E6">
            <w:pPr>
              <w:pStyle w:val="13"/>
            </w:pPr>
            <w:r>
              <w:t>按照序时进度完成资金支付</w:t>
            </w:r>
          </w:p>
        </w:tc>
        <w:tc>
          <w:tcPr>
            <w:tcW w:w="2268" w:type="dxa"/>
            <w:vAlign w:val="center"/>
          </w:tcPr>
          <w:p w14:paraId="4299BC2E">
            <w:pPr>
              <w:pStyle w:val="13"/>
            </w:pPr>
            <w:r>
              <w:t>≥100%</w:t>
            </w:r>
          </w:p>
        </w:tc>
        <w:tc>
          <w:tcPr>
            <w:tcW w:w="1276" w:type="dxa"/>
            <w:vAlign w:val="center"/>
          </w:tcPr>
          <w:p w14:paraId="61D8624B">
            <w:pPr>
              <w:pStyle w:val="13"/>
            </w:pPr>
            <w:r>
              <w:t>项目规划</w:t>
            </w:r>
          </w:p>
        </w:tc>
      </w:tr>
      <w:tr w14:paraId="5DE3B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75DCB810"/>
        </w:tc>
        <w:tc>
          <w:tcPr>
            <w:tcW w:w="2268" w:type="dxa"/>
            <w:vAlign w:val="center"/>
          </w:tcPr>
          <w:p w14:paraId="62CB042C">
            <w:pPr>
              <w:pStyle w:val="13"/>
            </w:pPr>
            <w:r>
              <w:t>成本指标</w:t>
            </w:r>
          </w:p>
        </w:tc>
        <w:tc>
          <w:tcPr>
            <w:tcW w:w="2835" w:type="dxa"/>
            <w:vAlign w:val="center"/>
          </w:tcPr>
          <w:p w14:paraId="51672FD4">
            <w:pPr>
              <w:pStyle w:val="13"/>
            </w:pPr>
            <w:r>
              <w:t>项目成本控制情况</w:t>
            </w:r>
          </w:p>
        </w:tc>
        <w:tc>
          <w:tcPr>
            <w:tcW w:w="5386" w:type="dxa"/>
            <w:vAlign w:val="center"/>
          </w:tcPr>
          <w:p w14:paraId="0C45A400">
            <w:pPr>
              <w:pStyle w:val="13"/>
            </w:pPr>
            <w:r>
              <w:t>严格按照招标价格及审计额进行</w:t>
            </w:r>
          </w:p>
        </w:tc>
        <w:tc>
          <w:tcPr>
            <w:tcW w:w="2268" w:type="dxa"/>
            <w:vAlign w:val="center"/>
          </w:tcPr>
          <w:p w14:paraId="14359AC3">
            <w:pPr>
              <w:pStyle w:val="13"/>
            </w:pPr>
            <w:r>
              <w:t>≥11.05万元</w:t>
            </w:r>
          </w:p>
        </w:tc>
        <w:tc>
          <w:tcPr>
            <w:tcW w:w="1276" w:type="dxa"/>
            <w:vAlign w:val="center"/>
          </w:tcPr>
          <w:p w14:paraId="2D7C728E">
            <w:pPr>
              <w:pStyle w:val="13"/>
            </w:pPr>
            <w:r>
              <w:t>项目规划</w:t>
            </w:r>
          </w:p>
        </w:tc>
      </w:tr>
      <w:tr w14:paraId="0CD69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A4B6C0">
            <w:pPr>
              <w:pStyle w:val="12"/>
            </w:pPr>
            <w:r>
              <w:t>效益指标</w:t>
            </w:r>
          </w:p>
        </w:tc>
        <w:tc>
          <w:tcPr>
            <w:tcW w:w="2268" w:type="dxa"/>
            <w:vAlign w:val="center"/>
          </w:tcPr>
          <w:p w14:paraId="300D01AB">
            <w:pPr>
              <w:pStyle w:val="13"/>
            </w:pPr>
            <w:r>
              <w:t>可持续影响指标</w:t>
            </w:r>
          </w:p>
        </w:tc>
        <w:tc>
          <w:tcPr>
            <w:tcW w:w="2835" w:type="dxa"/>
            <w:vAlign w:val="center"/>
          </w:tcPr>
          <w:p w14:paraId="3A6C2AEC">
            <w:pPr>
              <w:pStyle w:val="13"/>
            </w:pPr>
            <w:r>
              <w:t>工程使用年限</w:t>
            </w:r>
          </w:p>
        </w:tc>
        <w:tc>
          <w:tcPr>
            <w:tcW w:w="5386" w:type="dxa"/>
            <w:vAlign w:val="center"/>
          </w:tcPr>
          <w:p w14:paraId="574C62F0">
            <w:pPr>
              <w:pStyle w:val="13"/>
            </w:pPr>
            <w:r>
              <w:t>工程使用年限</w:t>
            </w:r>
          </w:p>
        </w:tc>
        <w:tc>
          <w:tcPr>
            <w:tcW w:w="2268" w:type="dxa"/>
            <w:vAlign w:val="center"/>
          </w:tcPr>
          <w:p w14:paraId="4882776C">
            <w:pPr>
              <w:pStyle w:val="13"/>
            </w:pPr>
            <w:r>
              <w:t>≥15年</w:t>
            </w:r>
          </w:p>
        </w:tc>
        <w:tc>
          <w:tcPr>
            <w:tcW w:w="1276" w:type="dxa"/>
            <w:vAlign w:val="center"/>
          </w:tcPr>
          <w:p w14:paraId="2A75BC73">
            <w:pPr>
              <w:pStyle w:val="13"/>
            </w:pPr>
            <w:r>
              <w:t>项目规划</w:t>
            </w:r>
          </w:p>
        </w:tc>
      </w:tr>
      <w:tr w14:paraId="6121E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AA23B">
            <w:pPr>
              <w:pStyle w:val="12"/>
            </w:pPr>
            <w:r>
              <w:t>满意度指标</w:t>
            </w:r>
          </w:p>
        </w:tc>
        <w:tc>
          <w:tcPr>
            <w:tcW w:w="2268" w:type="dxa"/>
            <w:vAlign w:val="center"/>
          </w:tcPr>
          <w:p w14:paraId="57AB9A3A">
            <w:pPr>
              <w:pStyle w:val="13"/>
            </w:pPr>
            <w:r>
              <w:t>服务对象满意度指标</w:t>
            </w:r>
          </w:p>
        </w:tc>
        <w:tc>
          <w:tcPr>
            <w:tcW w:w="2835" w:type="dxa"/>
            <w:vAlign w:val="center"/>
          </w:tcPr>
          <w:p w14:paraId="58D12628">
            <w:pPr>
              <w:pStyle w:val="13"/>
            </w:pPr>
            <w:r>
              <w:t>受益学生家长及调查满意度</w:t>
            </w:r>
          </w:p>
        </w:tc>
        <w:tc>
          <w:tcPr>
            <w:tcW w:w="5386" w:type="dxa"/>
            <w:vAlign w:val="center"/>
          </w:tcPr>
          <w:p w14:paraId="5DBB2883">
            <w:pPr>
              <w:pStyle w:val="13"/>
            </w:pPr>
            <w:r>
              <w:t>学生、教师及家长对学校教学环境满意度情况</w:t>
            </w:r>
          </w:p>
        </w:tc>
        <w:tc>
          <w:tcPr>
            <w:tcW w:w="2268" w:type="dxa"/>
            <w:vAlign w:val="center"/>
          </w:tcPr>
          <w:p w14:paraId="7D166CC4">
            <w:pPr>
              <w:pStyle w:val="13"/>
            </w:pPr>
            <w:r>
              <w:t>≥95%</w:t>
            </w:r>
          </w:p>
        </w:tc>
        <w:tc>
          <w:tcPr>
            <w:tcW w:w="1276" w:type="dxa"/>
            <w:vAlign w:val="center"/>
          </w:tcPr>
          <w:p w14:paraId="51343394">
            <w:pPr>
              <w:pStyle w:val="13"/>
            </w:pPr>
            <w:r>
              <w:t>项目规划</w:t>
            </w:r>
          </w:p>
        </w:tc>
      </w:tr>
    </w:tbl>
    <w:p w14:paraId="6F758FFB">
      <w:pPr>
        <w:sectPr>
          <w:pgSz w:w="16840" w:h="11900" w:orient="landscape"/>
          <w:pgMar w:top="1361" w:right="1020" w:bottom="1134" w:left="1020" w:header="720" w:footer="720" w:gutter="0"/>
          <w:cols w:space="720" w:num="1"/>
        </w:sectPr>
      </w:pPr>
    </w:p>
    <w:p w14:paraId="35052AD6">
      <w:pPr>
        <w:spacing w:before="0" w:after="0"/>
        <w:ind w:firstLine="560"/>
        <w:jc w:val="left"/>
        <w:outlineLvl w:val="9"/>
      </w:pPr>
      <w:r>
        <w:rPr>
          <w:rFonts w:ascii="方正仿宋_GBK" w:hAnsi="方正仿宋_GBK" w:eastAsia="方正仿宋_GBK" w:cs="方正仿宋_GBK"/>
          <w:b/>
          <w:color w:val="000000"/>
          <w:sz w:val="28"/>
        </w:rPr>
        <w:t>30、上年盘活/冀财教[2022]152号/中央/2023年学前发展/东良校区大干言幼儿园附属用房建设绩效目标表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E6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45E84">
            <w:pPr>
              <w:pStyle w:val="14"/>
            </w:pPr>
            <w:r>
              <w:t>单位：万元</w:t>
            </w:r>
          </w:p>
        </w:tc>
      </w:tr>
      <w:tr w14:paraId="090DB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445F30">
            <w:pPr>
              <w:pStyle w:val="11"/>
            </w:pPr>
            <w:r>
              <w:t>项目编码</w:t>
            </w:r>
          </w:p>
        </w:tc>
        <w:tc>
          <w:tcPr>
            <w:tcW w:w="5103" w:type="dxa"/>
            <w:gridSpan w:val="2"/>
            <w:vAlign w:val="center"/>
          </w:tcPr>
          <w:p w14:paraId="22157CB1">
            <w:pPr>
              <w:pStyle w:val="13"/>
            </w:pPr>
            <w:r>
              <w:t>13052525P008756101674</w:t>
            </w:r>
          </w:p>
        </w:tc>
        <w:tc>
          <w:tcPr>
            <w:tcW w:w="2835" w:type="dxa"/>
            <w:vAlign w:val="center"/>
          </w:tcPr>
          <w:p w14:paraId="241A5ED2">
            <w:pPr>
              <w:pStyle w:val="11"/>
            </w:pPr>
            <w:r>
              <w:t>项目名称</w:t>
            </w:r>
          </w:p>
        </w:tc>
        <w:tc>
          <w:tcPr>
            <w:tcW w:w="6095" w:type="dxa"/>
            <w:gridSpan w:val="3"/>
            <w:vAlign w:val="center"/>
          </w:tcPr>
          <w:p w14:paraId="3BE6B675">
            <w:pPr>
              <w:pStyle w:val="13"/>
            </w:pPr>
            <w:r>
              <w:t>上年盘活/冀财教[2022]152号/中央/2023年学前发展/东良校区大干言幼儿园附属用房建设</w:t>
            </w:r>
          </w:p>
        </w:tc>
      </w:tr>
      <w:tr w14:paraId="5222A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E32B5">
            <w:pPr>
              <w:pStyle w:val="11"/>
            </w:pPr>
            <w:r>
              <w:t>预算规模及资金用途</w:t>
            </w:r>
          </w:p>
        </w:tc>
        <w:tc>
          <w:tcPr>
            <w:tcW w:w="2268" w:type="dxa"/>
            <w:vAlign w:val="center"/>
          </w:tcPr>
          <w:p w14:paraId="08C4B8EE">
            <w:pPr>
              <w:pStyle w:val="11"/>
            </w:pPr>
            <w:r>
              <w:t>预算数</w:t>
            </w:r>
          </w:p>
        </w:tc>
        <w:tc>
          <w:tcPr>
            <w:tcW w:w="2835" w:type="dxa"/>
            <w:vAlign w:val="center"/>
          </w:tcPr>
          <w:p w14:paraId="1DFC8391">
            <w:pPr>
              <w:pStyle w:val="13"/>
            </w:pPr>
            <w:r>
              <w:t>54.53</w:t>
            </w:r>
          </w:p>
        </w:tc>
        <w:tc>
          <w:tcPr>
            <w:tcW w:w="2835" w:type="dxa"/>
            <w:vAlign w:val="center"/>
          </w:tcPr>
          <w:p w14:paraId="36A944B4">
            <w:pPr>
              <w:pStyle w:val="11"/>
            </w:pPr>
            <w:r>
              <w:t>其中：财政    资金</w:t>
            </w:r>
          </w:p>
        </w:tc>
        <w:tc>
          <w:tcPr>
            <w:tcW w:w="2551" w:type="dxa"/>
            <w:vAlign w:val="center"/>
          </w:tcPr>
          <w:p w14:paraId="5C7712C2">
            <w:pPr>
              <w:pStyle w:val="13"/>
            </w:pPr>
            <w:r>
              <w:t>54.53</w:t>
            </w:r>
          </w:p>
        </w:tc>
        <w:tc>
          <w:tcPr>
            <w:tcW w:w="2268" w:type="dxa"/>
            <w:vAlign w:val="center"/>
          </w:tcPr>
          <w:p w14:paraId="676E27ED">
            <w:pPr>
              <w:pStyle w:val="11"/>
            </w:pPr>
            <w:r>
              <w:t>其他资金</w:t>
            </w:r>
          </w:p>
        </w:tc>
        <w:tc>
          <w:tcPr>
            <w:tcW w:w="1276" w:type="dxa"/>
            <w:vAlign w:val="center"/>
          </w:tcPr>
          <w:p w14:paraId="6A17235A">
            <w:pPr>
              <w:pStyle w:val="13"/>
            </w:pPr>
            <w:r>
              <w:t xml:space="preserve"> </w:t>
            </w:r>
          </w:p>
        </w:tc>
      </w:tr>
      <w:tr w14:paraId="5BB52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5BD62E"/>
        </w:tc>
        <w:tc>
          <w:tcPr>
            <w:tcW w:w="14033" w:type="dxa"/>
            <w:gridSpan w:val="6"/>
            <w:vAlign w:val="center"/>
          </w:tcPr>
          <w:p w14:paraId="1D157D32">
            <w:pPr>
              <w:pStyle w:val="13"/>
            </w:pPr>
            <w:r>
              <w:t>附属用房改建，满足师生正常教学需要。</w:t>
            </w:r>
          </w:p>
        </w:tc>
      </w:tr>
      <w:tr w14:paraId="0E919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461F8">
            <w:pPr>
              <w:pStyle w:val="11"/>
            </w:pPr>
            <w:r>
              <w:t>资金支出计划（%）</w:t>
            </w:r>
          </w:p>
        </w:tc>
        <w:tc>
          <w:tcPr>
            <w:tcW w:w="5103" w:type="dxa"/>
            <w:gridSpan w:val="2"/>
            <w:vAlign w:val="center"/>
          </w:tcPr>
          <w:p w14:paraId="4D4FAB09">
            <w:pPr>
              <w:pStyle w:val="11"/>
            </w:pPr>
            <w:r>
              <w:t>3月底</w:t>
            </w:r>
          </w:p>
        </w:tc>
        <w:tc>
          <w:tcPr>
            <w:tcW w:w="2835" w:type="dxa"/>
            <w:vAlign w:val="center"/>
          </w:tcPr>
          <w:p w14:paraId="18BA3B4E">
            <w:pPr>
              <w:pStyle w:val="11"/>
            </w:pPr>
            <w:r>
              <w:t>6月底</w:t>
            </w:r>
          </w:p>
        </w:tc>
        <w:tc>
          <w:tcPr>
            <w:tcW w:w="2551" w:type="dxa"/>
            <w:vAlign w:val="center"/>
          </w:tcPr>
          <w:p w14:paraId="0C012035">
            <w:pPr>
              <w:pStyle w:val="11"/>
            </w:pPr>
            <w:r>
              <w:t>10月底</w:t>
            </w:r>
          </w:p>
        </w:tc>
        <w:tc>
          <w:tcPr>
            <w:tcW w:w="3544" w:type="dxa"/>
            <w:gridSpan w:val="2"/>
            <w:vAlign w:val="center"/>
          </w:tcPr>
          <w:p w14:paraId="496248A9">
            <w:pPr>
              <w:pStyle w:val="11"/>
            </w:pPr>
            <w:r>
              <w:t>12月底</w:t>
            </w:r>
          </w:p>
        </w:tc>
      </w:tr>
      <w:tr w14:paraId="40A66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A1F4E"/>
        </w:tc>
        <w:tc>
          <w:tcPr>
            <w:tcW w:w="5103" w:type="dxa"/>
            <w:gridSpan w:val="2"/>
            <w:vAlign w:val="center"/>
          </w:tcPr>
          <w:p w14:paraId="164CA5FE">
            <w:pPr>
              <w:pStyle w:val="12"/>
            </w:pPr>
            <w:r>
              <w:t>25%</w:t>
            </w:r>
          </w:p>
        </w:tc>
        <w:tc>
          <w:tcPr>
            <w:tcW w:w="2835" w:type="dxa"/>
            <w:vAlign w:val="center"/>
          </w:tcPr>
          <w:p w14:paraId="5B044DE0">
            <w:pPr>
              <w:pStyle w:val="12"/>
            </w:pPr>
            <w:r>
              <w:t>50%</w:t>
            </w:r>
          </w:p>
        </w:tc>
        <w:tc>
          <w:tcPr>
            <w:tcW w:w="2551" w:type="dxa"/>
            <w:vAlign w:val="center"/>
          </w:tcPr>
          <w:p w14:paraId="0821D221">
            <w:pPr>
              <w:pStyle w:val="12"/>
            </w:pPr>
            <w:r>
              <w:t>75%</w:t>
            </w:r>
          </w:p>
        </w:tc>
        <w:tc>
          <w:tcPr>
            <w:tcW w:w="3544" w:type="dxa"/>
            <w:gridSpan w:val="2"/>
            <w:vAlign w:val="center"/>
          </w:tcPr>
          <w:p w14:paraId="5A5FC475">
            <w:pPr>
              <w:pStyle w:val="12"/>
            </w:pPr>
            <w:r>
              <w:t>100%</w:t>
            </w:r>
          </w:p>
        </w:tc>
      </w:tr>
      <w:tr w14:paraId="666CA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6B42D">
            <w:pPr>
              <w:pStyle w:val="11"/>
            </w:pPr>
            <w:r>
              <w:t>绩效目标</w:t>
            </w:r>
          </w:p>
        </w:tc>
        <w:tc>
          <w:tcPr>
            <w:tcW w:w="14033" w:type="dxa"/>
            <w:gridSpan w:val="6"/>
            <w:vAlign w:val="center"/>
          </w:tcPr>
          <w:p w14:paraId="1FD620AC">
            <w:pPr>
              <w:pStyle w:val="13"/>
            </w:pPr>
            <w:r>
              <w:t>1.按规定拨付中央资金54.5254万元，资金拨付率达到100%。</w:t>
            </w:r>
          </w:p>
          <w:p w14:paraId="76AA6D80">
            <w:pPr>
              <w:pStyle w:val="13"/>
            </w:pPr>
            <w:r>
              <w:t>2.附属用房改建，满足师生正常教学需要。</w:t>
            </w:r>
          </w:p>
        </w:tc>
      </w:tr>
    </w:tbl>
    <w:p w14:paraId="2B6B1D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EB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3EA96">
            <w:pPr>
              <w:pStyle w:val="11"/>
            </w:pPr>
            <w:r>
              <w:t>一级指标</w:t>
            </w:r>
          </w:p>
        </w:tc>
        <w:tc>
          <w:tcPr>
            <w:tcW w:w="2268" w:type="dxa"/>
            <w:vAlign w:val="center"/>
          </w:tcPr>
          <w:p w14:paraId="66DF28B5">
            <w:pPr>
              <w:pStyle w:val="11"/>
            </w:pPr>
            <w:r>
              <w:t>二级指标</w:t>
            </w:r>
          </w:p>
        </w:tc>
        <w:tc>
          <w:tcPr>
            <w:tcW w:w="2835" w:type="dxa"/>
            <w:vAlign w:val="center"/>
          </w:tcPr>
          <w:p w14:paraId="27299285">
            <w:pPr>
              <w:pStyle w:val="11"/>
            </w:pPr>
            <w:r>
              <w:t>三级指标</w:t>
            </w:r>
          </w:p>
        </w:tc>
        <w:tc>
          <w:tcPr>
            <w:tcW w:w="5386" w:type="dxa"/>
            <w:vAlign w:val="center"/>
          </w:tcPr>
          <w:p w14:paraId="5F90CDB3">
            <w:pPr>
              <w:pStyle w:val="11"/>
            </w:pPr>
            <w:r>
              <w:t>绩效指标描述</w:t>
            </w:r>
          </w:p>
        </w:tc>
        <w:tc>
          <w:tcPr>
            <w:tcW w:w="2268" w:type="dxa"/>
            <w:vAlign w:val="center"/>
          </w:tcPr>
          <w:p w14:paraId="6F8B5760">
            <w:pPr>
              <w:pStyle w:val="11"/>
            </w:pPr>
            <w:r>
              <w:t>指标值</w:t>
            </w:r>
          </w:p>
        </w:tc>
        <w:tc>
          <w:tcPr>
            <w:tcW w:w="1276" w:type="dxa"/>
            <w:vAlign w:val="center"/>
          </w:tcPr>
          <w:p w14:paraId="5ECE57B0">
            <w:pPr>
              <w:pStyle w:val="11"/>
            </w:pPr>
            <w:r>
              <w:t>指标值确定依据</w:t>
            </w:r>
          </w:p>
        </w:tc>
      </w:tr>
      <w:tr w14:paraId="4E0A1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2B3BD">
            <w:pPr>
              <w:pStyle w:val="12"/>
            </w:pPr>
            <w:r>
              <w:t>产出指标</w:t>
            </w:r>
          </w:p>
        </w:tc>
        <w:tc>
          <w:tcPr>
            <w:tcW w:w="2268" w:type="dxa"/>
            <w:vAlign w:val="center"/>
          </w:tcPr>
          <w:p w14:paraId="17152870">
            <w:pPr>
              <w:pStyle w:val="13"/>
            </w:pPr>
            <w:r>
              <w:t>数量指标</w:t>
            </w:r>
          </w:p>
        </w:tc>
        <w:tc>
          <w:tcPr>
            <w:tcW w:w="2835" w:type="dxa"/>
            <w:vAlign w:val="center"/>
          </w:tcPr>
          <w:p w14:paraId="7E8A1E52">
            <w:pPr>
              <w:pStyle w:val="13"/>
            </w:pPr>
            <w:r>
              <w:t>附属用房建设面积</w:t>
            </w:r>
          </w:p>
        </w:tc>
        <w:tc>
          <w:tcPr>
            <w:tcW w:w="5386" w:type="dxa"/>
            <w:vAlign w:val="center"/>
          </w:tcPr>
          <w:p w14:paraId="2E73344A">
            <w:pPr>
              <w:pStyle w:val="13"/>
            </w:pPr>
            <w:r>
              <w:t>对大干言幼儿园新建二层砖混结构附属用房改建</w:t>
            </w:r>
          </w:p>
        </w:tc>
        <w:tc>
          <w:tcPr>
            <w:tcW w:w="2268" w:type="dxa"/>
            <w:vAlign w:val="center"/>
          </w:tcPr>
          <w:p w14:paraId="2D8193E9">
            <w:pPr>
              <w:pStyle w:val="13"/>
            </w:pPr>
            <w:r>
              <w:t>≥1075.2平方米</w:t>
            </w:r>
          </w:p>
        </w:tc>
        <w:tc>
          <w:tcPr>
            <w:tcW w:w="1276" w:type="dxa"/>
            <w:vAlign w:val="center"/>
          </w:tcPr>
          <w:p w14:paraId="15CB916A">
            <w:pPr>
              <w:pStyle w:val="13"/>
            </w:pPr>
            <w:r>
              <w:t>项目规划</w:t>
            </w:r>
          </w:p>
        </w:tc>
      </w:tr>
      <w:tr w14:paraId="27A49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83D02"/>
        </w:tc>
        <w:tc>
          <w:tcPr>
            <w:tcW w:w="2268" w:type="dxa"/>
            <w:vAlign w:val="center"/>
          </w:tcPr>
          <w:p w14:paraId="54E9E1E1">
            <w:pPr>
              <w:pStyle w:val="13"/>
            </w:pPr>
            <w:r>
              <w:t>质量指标</w:t>
            </w:r>
          </w:p>
        </w:tc>
        <w:tc>
          <w:tcPr>
            <w:tcW w:w="2835" w:type="dxa"/>
            <w:vAlign w:val="center"/>
          </w:tcPr>
          <w:p w14:paraId="56836D24">
            <w:pPr>
              <w:pStyle w:val="13"/>
            </w:pPr>
            <w:r>
              <w:t>工程实施验收合格率</w:t>
            </w:r>
          </w:p>
        </w:tc>
        <w:tc>
          <w:tcPr>
            <w:tcW w:w="5386" w:type="dxa"/>
            <w:vAlign w:val="center"/>
          </w:tcPr>
          <w:p w14:paraId="3A39921E">
            <w:pPr>
              <w:pStyle w:val="13"/>
            </w:pPr>
            <w:r>
              <w:t>申报程序的合规，项目实施及资金使用符合项目规划</w:t>
            </w:r>
          </w:p>
        </w:tc>
        <w:tc>
          <w:tcPr>
            <w:tcW w:w="2268" w:type="dxa"/>
            <w:vAlign w:val="center"/>
          </w:tcPr>
          <w:p w14:paraId="0BC909B1">
            <w:pPr>
              <w:pStyle w:val="13"/>
            </w:pPr>
            <w:r>
              <w:t>&gt;100%</w:t>
            </w:r>
          </w:p>
        </w:tc>
        <w:tc>
          <w:tcPr>
            <w:tcW w:w="1276" w:type="dxa"/>
            <w:vAlign w:val="center"/>
          </w:tcPr>
          <w:p w14:paraId="1B62F388">
            <w:pPr>
              <w:pStyle w:val="13"/>
            </w:pPr>
            <w:r>
              <w:t>项目规划</w:t>
            </w:r>
          </w:p>
        </w:tc>
      </w:tr>
      <w:tr w14:paraId="218A6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5CDCB"/>
        </w:tc>
        <w:tc>
          <w:tcPr>
            <w:tcW w:w="2268" w:type="dxa"/>
            <w:vAlign w:val="center"/>
          </w:tcPr>
          <w:p w14:paraId="3D4A5A68">
            <w:pPr>
              <w:pStyle w:val="13"/>
            </w:pPr>
            <w:r>
              <w:t>时效指标</w:t>
            </w:r>
          </w:p>
        </w:tc>
        <w:tc>
          <w:tcPr>
            <w:tcW w:w="2835" w:type="dxa"/>
            <w:vAlign w:val="center"/>
          </w:tcPr>
          <w:p w14:paraId="10C206EC">
            <w:pPr>
              <w:pStyle w:val="13"/>
            </w:pPr>
            <w:r>
              <w:t>预算执行率</w:t>
            </w:r>
          </w:p>
        </w:tc>
        <w:tc>
          <w:tcPr>
            <w:tcW w:w="5386" w:type="dxa"/>
            <w:vAlign w:val="center"/>
          </w:tcPr>
          <w:p w14:paraId="0EC4EB49">
            <w:pPr>
              <w:pStyle w:val="13"/>
            </w:pPr>
            <w:r>
              <w:t>按照工程进度完成情况进行资金支付,年度执行预算</w:t>
            </w:r>
          </w:p>
        </w:tc>
        <w:tc>
          <w:tcPr>
            <w:tcW w:w="2268" w:type="dxa"/>
            <w:vAlign w:val="center"/>
          </w:tcPr>
          <w:p w14:paraId="73716781">
            <w:pPr>
              <w:pStyle w:val="13"/>
            </w:pPr>
            <w:r>
              <w:t>&gt;95%</w:t>
            </w:r>
          </w:p>
        </w:tc>
        <w:tc>
          <w:tcPr>
            <w:tcW w:w="1276" w:type="dxa"/>
            <w:vAlign w:val="center"/>
          </w:tcPr>
          <w:p w14:paraId="5151D5E6">
            <w:pPr>
              <w:pStyle w:val="13"/>
            </w:pPr>
            <w:r>
              <w:t>项目规划工程进度</w:t>
            </w:r>
          </w:p>
        </w:tc>
      </w:tr>
      <w:tr w14:paraId="54904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EE2A3"/>
        </w:tc>
        <w:tc>
          <w:tcPr>
            <w:tcW w:w="2268" w:type="dxa"/>
            <w:vAlign w:val="center"/>
          </w:tcPr>
          <w:p w14:paraId="3A8AC77A">
            <w:pPr>
              <w:pStyle w:val="13"/>
            </w:pPr>
            <w:r>
              <w:t>成本指标</w:t>
            </w:r>
          </w:p>
        </w:tc>
        <w:tc>
          <w:tcPr>
            <w:tcW w:w="2835" w:type="dxa"/>
            <w:vAlign w:val="center"/>
          </w:tcPr>
          <w:p w14:paraId="4696DB81">
            <w:pPr>
              <w:pStyle w:val="13"/>
            </w:pPr>
            <w:r>
              <w:t>新建校舍成本</w:t>
            </w:r>
          </w:p>
        </w:tc>
        <w:tc>
          <w:tcPr>
            <w:tcW w:w="5386" w:type="dxa"/>
            <w:vAlign w:val="center"/>
          </w:tcPr>
          <w:p w14:paraId="1290AEB8">
            <w:pPr>
              <w:pStyle w:val="13"/>
            </w:pPr>
            <w:r>
              <w:t>新建二层附属用房改建成本总价</w:t>
            </w:r>
          </w:p>
        </w:tc>
        <w:tc>
          <w:tcPr>
            <w:tcW w:w="2268" w:type="dxa"/>
            <w:vAlign w:val="center"/>
          </w:tcPr>
          <w:p w14:paraId="328DC226">
            <w:pPr>
              <w:pStyle w:val="13"/>
            </w:pPr>
            <w:r>
              <w:t>≥54.52万元</w:t>
            </w:r>
          </w:p>
        </w:tc>
        <w:tc>
          <w:tcPr>
            <w:tcW w:w="1276" w:type="dxa"/>
            <w:vAlign w:val="center"/>
          </w:tcPr>
          <w:p w14:paraId="0C3F1C89">
            <w:pPr>
              <w:pStyle w:val="13"/>
            </w:pPr>
            <w:r>
              <w:t>项目规划</w:t>
            </w:r>
          </w:p>
        </w:tc>
      </w:tr>
      <w:tr w14:paraId="232AF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BD69B9">
            <w:pPr>
              <w:pStyle w:val="12"/>
            </w:pPr>
            <w:r>
              <w:t>效益指标</w:t>
            </w:r>
          </w:p>
        </w:tc>
        <w:tc>
          <w:tcPr>
            <w:tcW w:w="2268" w:type="dxa"/>
            <w:vAlign w:val="center"/>
          </w:tcPr>
          <w:p w14:paraId="7F26392D">
            <w:pPr>
              <w:pStyle w:val="13"/>
            </w:pPr>
            <w:r>
              <w:t>可持续影响指标</w:t>
            </w:r>
          </w:p>
        </w:tc>
        <w:tc>
          <w:tcPr>
            <w:tcW w:w="2835" w:type="dxa"/>
            <w:vAlign w:val="center"/>
          </w:tcPr>
          <w:p w14:paraId="40635B86">
            <w:pPr>
              <w:pStyle w:val="13"/>
            </w:pPr>
            <w:r>
              <w:t>项目实施成果</w:t>
            </w:r>
          </w:p>
        </w:tc>
        <w:tc>
          <w:tcPr>
            <w:tcW w:w="5386" w:type="dxa"/>
            <w:vAlign w:val="center"/>
          </w:tcPr>
          <w:p w14:paraId="1DA5FD24">
            <w:pPr>
              <w:pStyle w:val="13"/>
            </w:pPr>
            <w:r>
              <w:t>项目实施，能有效提高教学环境，提升教学质量</w:t>
            </w:r>
          </w:p>
        </w:tc>
        <w:tc>
          <w:tcPr>
            <w:tcW w:w="2268" w:type="dxa"/>
            <w:vAlign w:val="center"/>
          </w:tcPr>
          <w:p w14:paraId="3254FE1B">
            <w:pPr>
              <w:pStyle w:val="13"/>
            </w:pPr>
            <w:r>
              <w:t>有效改善教学环境</w:t>
            </w:r>
          </w:p>
        </w:tc>
        <w:tc>
          <w:tcPr>
            <w:tcW w:w="1276" w:type="dxa"/>
            <w:vAlign w:val="center"/>
          </w:tcPr>
          <w:p w14:paraId="74268099">
            <w:pPr>
              <w:pStyle w:val="13"/>
            </w:pPr>
            <w:r>
              <w:t>项目规划</w:t>
            </w:r>
          </w:p>
        </w:tc>
      </w:tr>
      <w:tr w14:paraId="79366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777546">
            <w:pPr>
              <w:pStyle w:val="12"/>
            </w:pPr>
            <w:r>
              <w:t>满意度指标</w:t>
            </w:r>
          </w:p>
        </w:tc>
        <w:tc>
          <w:tcPr>
            <w:tcW w:w="2268" w:type="dxa"/>
            <w:vAlign w:val="center"/>
          </w:tcPr>
          <w:p w14:paraId="3C023914">
            <w:pPr>
              <w:pStyle w:val="13"/>
            </w:pPr>
            <w:r>
              <w:t>服务对象满意度指标</w:t>
            </w:r>
          </w:p>
        </w:tc>
        <w:tc>
          <w:tcPr>
            <w:tcW w:w="2835" w:type="dxa"/>
            <w:vAlign w:val="center"/>
          </w:tcPr>
          <w:p w14:paraId="77710969">
            <w:pPr>
              <w:pStyle w:val="13"/>
            </w:pPr>
            <w:r>
              <w:t>受益学生家长及调查满意度</w:t>
            </w:r>
          </w:p>
        </w:tc>
        <w:tc>
          <w:tcPr>
            <w:tcW w:w="5386" w:type="dxa"/>
            <w:vAlign w:val="center"/>
          </w:tcPr>
          <w:p w14:paraId="32E7F757">
            <w:pPr>
              <w:pStyle w:val="13"/>
            </w:pPr>
            <w:r>
              <w:t>学生、教师及家长对学前保教保育工作满意度情况</w:t>
            </w:r>
          </w:p>
        </w:tc>
        <w:tc>
          <w:tcPr>
            <w:tcW w:w="2268" w:type="dxa"/>
            <w:vAlign w:val="center"/>
          </w:tcPr>
          <w:p w14:paraId="09B0AE9D">
            <w:pPr>
              <w:pStyle w:val="13"/>
            </w:pPr>
            <w:r>
              <w:t>≥95%</w:t>
            </w:r>
          </w:p>
        </w:tc>
        <w:tc>
          <w:tcPr>
            <w:tcW w:w="1276" w:type="dxa"/>
            <w:vAlign w:val="center"/>
          </w:tcPr>
          <w:p w14:paraId="51C839A6">
            <w:pPr>
              <w:pStyle w:val="13"/>
            </w:pPr>
            <w:r>
              <w:t>满意度调查</w:t>
            </w:r>
          </w:p>
        </w:tc>
      </w:tr>
    </w:tbl>
    <w:p w14:paraId="5C20028C">
      <w:pPr>
        <w:sectPr>
          <w:pgSz w:w="16840" w:h="11900" w:orient="landscape"/>
          <w:pgMar w:top="1361" w:right="1020" w:bottom="1134" w:left="1020" w:header="720" w:footer="720" w:gutter="0"/>
          <w:cols w:space="720" w:num="1"/>
        </w:sectPr>
      </w:pPr>
    </w:p>
    <w:p w14:paraId="2E3E4EF6">
      <w:pPr>
        <w:spacing w:before="0" w:after="0"/>
        <w:ind w:firstLine="560"/>
        <w:jc w:val="left"/>
        <w:outlineLvl w:val="9"/>
      </w:pPr>
      <w:r>
        <w:rPr>
          <w:rFonts w:ascii="方正仿宋_GBK" w:hAnsi="方正仿宋_GBK" w:eastAsia="方正仿宋_GBK" w:cs="方正仿宋_GBK"/>
          <w:b/>
          <w:color w:val="000000"/>
          <w:sz w:val="28"/>
        </w:rPr>
        <w:t>31、上年盘活/冀财教[2022]182号/省级/薄改与提升/东良小学新建餐厅绩效目标表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D9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A89E0">
            <w:pPr>
              <w:pStyle w:val="14"/>
            </w:pPr>
            <w:r>
              <w:t>单位：万元</w:t>
            </w:r>
          </w:p>
        </w:tc>
      </w:tr>
      <w:tr w14:paraId="11885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179C8F">
            <w:pPr>
              <w:pStyle w:val="11"/>
            </w:pPr>
            <w:r>
              <w:t>项目编码</w:t>
            </w:r>
          </w:p>
        </w:tc>
        <w:tc>
          <w:tcPr>
            <w:tcW w:w="5103" w:type="dxa"/>
            <w:gridSpan w:val="2"/>
            <w:vAlign w:val="center"/>
          </w:tcPr>
          <w:p w14:paraId="0CCE2952">
            <w:pPr>
              <w:pStyle w:val="13"/>
            </w:pPr>
            <w:r>
              <w:t>13052525P00875610169B</w:t>
            </w:r>
          </w:p>
        </w:tc>
        <w:tc>
          <w:tcPr>
            <w:tcW w:w="2835" w:type="dxa"/>
            <w:vAlign w:val="center"/>
          </w:tcPr>
          <w:p w14:paraId="7567F788">
            <w:pPr>
              <w:pStyle w:val="11"/>
            </w:pPr>
            <w:r>
              <w:t>项目名称</w:t>
            </w:r>
          </w:p>
        </w:tc>
        <w:tc>
          <w:tcPr>
            <w:tcW w:w="6095" w:type="dxa"/>
            <w:gridSpan w:val="3"/>
            <w:vAlign w:val="center"/>
          </w:tcPr>
          <w:p w14:paraId="757E1D01">
            <w:pPr>
              <w:pStyle w:val="13"/>
            </w:pPr>
            <w:r>
              <w:t>上年盘活/冀财教[2022]182号/省级/薄改与提升/东良小学新建餐厅</w:t>
            </w:r>
          </w:p>
        </w:tc>
      </w:tr>
      <w:tr w14:paraId="07012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2797D">
            <w:pPr>
              <w:pStyle w:val="11"/>
            </w:pPr>
            <w:r>
              <w:t>预算规模及资金用途</w:t>
            </w:r>
          </w:p>
        </w:tc>
        <w:tc>
          <w:tcPr>
            <w:tcW w:w="2268" w:type="dxa"/>
            <w:vAlign w:val="center"/>
          </w:tcPr>
          <w:p w14:paraId="55DC87F4">
            <w:pPr>
              <w:pStyle w:val="11"/>
            </w:pPr>
            <w:r>
              <w:t>预算数</w:t>
            </w:r>
          </w:p>
        </w:tc>
        <w:tc>
          <w:tcPr>
            <w:tcW w:w="2835" w:type="dxa"/>
            <w:vAlign w:val="center"/>
          </w:tcPr>
          <w:p w14:paraId="46877B35">
            <w:pPr>
              <w:pStyle w:val="13"/>
            </w:pPr>
            <w:r>
              <w:t>21.04</w:t>
            </w:r>
          </w:p>
        </w:tc>
        <w:tc>
          <w:tcPr>
            <w:tcW w:w="2835" w:type="dxa"/>
            <w:vAlign w:val="center"/>
          </w:tcPr>
          <w:p w14:paraId="1CBB476D">
            <w:pPr>
              <w:pStyle w:val="11"/>
            </w:pPr>
            <w:r>
              <w:t>其中：财政    资金</w:t>
            </w:r>
          </w:p>
        </w:tc>
        <w:tc>
          <w:tcPr>
            <w:tcW w:w="2551" w:type="dxa"/>
            <w:vAlign w:val="center"/>
          </w:tcPr>
          <w:p w14:paraId="231E7B5C">
            <w:pPr>
              <w:pStyle w:val="13"/>
            </w:pPr>
            <w:r>
              <w:t>21.04</w:t>
            </w:r>
          </w:p>
        </w:tc>
        <w:tc>
          <w:tcPr>
            <w:tcW w:w="2268" w:type="dxa"/>
            <w:vAlign w:val="center"/>
          </w:tcPr>
          <w:p w14:paraId="3DE37C29">
            <w:pPr>
              <w:pStyle w:val="11"/>
            </w:pPr>
            <w:r>
              <w:t>其他资金</w:t>
            </w:r>
          </w:p>
        </w:tc>
        <w:tc>
          <w:tcPr>
            <w:tcW w:w="1276" w:type="dxa"/>
            <w:vAlign w:val="center"/>
          </w:tcPr>
          <w:p w14:paraId="271E6C50">
            <w:pPr>
              <w:pStyle w:val="13"/>
            </w:pPr>
            <w:r>
              <w:t xml:space="preserve"> </w:t>
            </w:r>
          </w:p>
        </w:tc>
      </w:tr>
      <w:tr w14:paraId="7BB6B3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0BA3C"/>
        </w:tc>
        <w:tc>
          <w:tcPr>
            <w:tcW w:w="14033" w:type="dxa"/>
            <w:gridSpan w:val="6"/>
            <w:vAlign w:val="center"/>
          </w:tcPr>
          <w:p w14:paraId="41EC2861">
            <w:pPr>
              <w:pStyle w:val="13"/>
            </w:pPr>
            <w:r>
              <w:t>新建东良小学餐厅，满足师生正常教学需要。</w:t>
            </w:r>
          </w:p>
        </w:tc>
      </w:tr>
      <w:tr w14:paraId="2DA00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0C499">
            <w:pPr>
              <w:pStyle w:val="11"/>
            </w:pPr>
            <w:r>
              <w:t>资金支出计划（%）</w:t>
            </w:r>
          </w:p>
        </w:tc>
        <w:tc>
          <w:tcPr>
            <w:tcW w:w="5103" w:type="dxa"/>
            <w:gridSpan w:val="2"/>
            <w:vAlign w:val="center"/>
          </w:tcPr>
          <w:p w14:paraId="226DB0E9">
            <w:pPr>
              <w:pStyle w:val="11"/>
            </w:pPr>
            <w:r>
              <w:t>3月底</w:t>
            </w:r>
          </w:p>
        </w:tc>
        <w:tc>
          <w:tcPr>
            <w:tcW w:w="2835" w:type="dxa"/>
            <w:vAlign w:val="center"/>
          </w:tcPr>
          <w:p w14:paraId="06F31A34">
            <w:pPr>
              <w:pStyle w:val="11"/>
            </w:pPr>
            <w:r>
              <w:t>6月底</w:t>
            </w:r>
          </w:p>
        </w:tc>
        <w:tc>
          <w:tcPr>
            <w:tcW w:w="2551" w:type="dxa"/>
            <w:vAlign w:val="center"/>
          </w:tcPr>
          <w:p w14:paraId="509BD854">
            <w:pPr>
              <w:pStyle w:val="11"/>
            </w:pPr>
            <w:r>
              <w:t>10月底</w:t>
            </w:r>
          </w:p>
        </w:tc>
        <w:tc>
          <w:tcPr>
            <w:tcW w:w="3544" w:type="dxa"/>
            <w:gridSpan w:val="2"/>
            <w:vAlign w:val="center"/>
          </w:tcPr>
          <w:p w14:paraId="15D21383">
            <w:pPr>
              <w:pStyle w:val="11"/>
            </w:pPr>
            <w:r>
              <w:t>12月底</w:t>
            </w:r>
          </w:p>
        </w:tc>
      </w:tr>
      <w:tr w14:paraId="6C008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AE9A5"/>
        </w:tc>
        <w:tc>
          <w:tcPr>
            <w:tcW w:w="5103" w:type="dxa"/>
            <w:gridSpan w:val="2"/>
            <w:vAlign w:val="center"/>
          </w:tcPr>
          <w:p w14:paraId="6A69AF98">
            <w:pPr>
              <w:pStyle w:val="12"/>
            </w:pPr>
            <w:r>
              <w:t>25%</w:t>
            </w:r>
          </w:p>
        </w:tc>
        <w:tc>
          <w:tcPr>
            <w:tcW w:w="2835" w:type="dxa"/>
            <w:vAlign w:val="center"/>
          </w:tcPr>
          <w:p w14:paraId="2F640EB7">
            <w:pPr>
              <w:pStyle w:val="12"/>
            </w:pPr>
            <w:r>
              <w:t>50%</w:t>
            </w:r>
          </w:p>
        </w:tc>
        <w:tc>
          <w:tcPr>
            <w:tcW w:w="2551" w:type="dxa"/>
            <w:vAlign w:val="center"/>
          </w:tcPr>
          <w:p w14:paraId="1688FE40">
            <w:pPr>
              <w:pStyle w:val="12"/>
            </w:pPr>
            <w:r>
              <w:t>75%</w:t>
            </w:r>
          </w:p>
        </w:tc>
        <w:tc>
          <w:tcPr>
            <w:tcW w:w="3544" w:type="dxa"/>
            <w:gridSpan w:val="2"/>
            <w:vAlign w:val="center"/>
          </w:tcPr>
          <w:p w14:paraId="32557B7C">
            <w:pPr>
              <w:pStyle w:val="12"/>
            </w:pPr>
            <w:r>
              <w:t>100%</w:t>
            </w:r>
          </w:p>
        </w:tc>
      </w:tr>
      <w:tr w14:paraId="0AB8D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D78A3">
            <w:pPr>
              <w:pStyle w:val="11"/>
            </w:pPr>
            <w:r>
              <w:t>绩效目标</w:t>
            </w:r>
          </w:p>
        </w:tc>
        <w:tc>
          <w:tcPr>
            <w:tcW w:w="14033" w:type="dxa"/>
            <w:gridSpan w:val="6"/>
            <w:vAlign w:val="center"/>
          </w:tcPr>
          <w:p w14:paraId="0973D4D1">
            <w:pPr>
              <w:pStyle w:val="13"/>
            </w:pPr>
            <w:r>
              <w:t>1.按规定拨付中央资金21.0386万元，资金拨付率达到100%。</w:t>
            </w:r>
          </w:p>
          <w:p w14:paraId="41439D65">
            <w:pPr>
              <w:pStyle w:val="13"/>
            </w:pPr>
            <w:r>
              <w:t>2.新建东良小学餐厅，满足师生正常教学需要。</w:t>
            </w:r>
          </w:p>
        </w:tc>
      </w:tr>
    </w:tbl>
    <w:p w14:paraId="346D1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14:paraId="6978E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24D84">
            <w:pPr>
              <w:pStyle w:val="11"/>
            </w:pPr>
            <w:r>
              <w:t>一级指标</w:t>
            </w:r>
          </w:p>
        </w:tc>
        <w:tc>
          <w:tcPr>
            <w:tcW w:w="2268" w:type="dxa"/>
            <w:vAlign w:val="center"/>
          </w:tcPr>
          <w:p w14:paraId="6D7A3E5E">
            <w:pPr>
              <w:pStyle w:val="11"/>
            </w:pPr>
            <w:r>
              <w:t>二级指标</w:t>
            </w:r>
          </w:p>
        </w:tc>
        <w:tc>
          <w:tcPr>
            <w:tcW w:w="2835" w:type="dxa"/>
            <w:vAlign w:val="center"/>
          </w:tcPr>
          <w:p w14:paraId="60FE9DDE">
            <w:pPr>
              <w:pStyle w:val="11"/>
            </w:pPr>
            <w:r>
              <w:t>三级指标</w:t>
            </w:r>
          </w:p>
        </w:tc>
        <w:tc>
          <w:tcPr>
            <w:tcW w:w="5386" w:type="dxa"/>
            <w:vAlign w:val="center"/>
          </w:tcPr>
          <w:p w14:paraId="00B2E4D9">
            <w:pPr>
              <w:pStyle w:val="11"/>
            </w:pPr>
            <w:r>
              <w:t>绩效指标描述</w:t>
            </w:r>
          </w:p>
        </w:tc>
        <w:tc>
          <w:tcPr>
            <w:tcW w:w="1718" w:type="dxa"/>
            <w:vAlign w:val="center"/>
          </w:tcPr>
          <w:p w14:paraId="7178255E">
            <w:pPr>
              <w:pStyle w:val="11"/>
            </w:pPr>
            <w:r>
              <w:t>指标值</w:t>
            </w:r>
          </w:p>
        </w:tc>
        <w:tc>
          <w:tcPr>
            <w:tcW w:w="1826" w:type="dxa"/>
            <w:vAlign w:val="center"/>
          </w:tcPr>
          <w:p w14:paraId="22F62080">
            <w:pPr>
              <w:pStyle w:val="11"/>
            </w:pPr>
            <w:r>
              <w:t>指标值确定依据</w:t>
            </w:r>
          </w:p>
        </w:tc>
      </w:tr>
      <w:tr w14:paraId="69C98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0A66D">
            <w:pPr>
              <w:pStyle w:val="12"/>
            </w:pPr>
            <w:r>
              <w:t>产出指标</w:t>
            </w:r>
          </w:p>
        </w:tc>
        <w:tc>
          <w:tcPr>
            <w:tcW w:w="2268" w:type="dxa"/>
            <w:vAlign w:val="center"/>
          </w:tcPr>
          <w:p w14:paraId="3A3722D3">
            <w:pPr>
              <w:pStyle w:val="13"/>
            </w:pPr>
            <w:r>
              <w:t>数量指标</w:t>
            </w:r>
          </w:p>
        </w:tc>
        <w:tc>
          <w:tcPr>
            <w:tcW w:w="2835" w:type="dxa"/>
            <w:vAlign w:val="center"/>
          </w:tcPr>
          <w:p w14:paraId="0507F64E">
            <w:pPr>
              <w:pStyle w:val="13"/>
            </w:pPr>
            <w:r>
              <w:t>新建建筑面积</w:t>
            </w:r>
          </w:p>
        </w:tc>
        <w:tc>
          <w:tcPr>
            <w:tcW w:w="5386" w:type="dxa"/>
            <w:vAlign w:val="center"/>
          </w:tcPr>
          <w:p w14:paraId="440E4EA5">
            <w:pPr>
              <w:pStyle w:val="13"/>
            </w:pPr>
            <w:r>
              <w:t>对固城小学新建双面四层框架结构综合楼面积</w:t>
            </w:r>
          </w:p>
        </w:tc>
        <w:tc>
          <w:tcPr>
            <w:tcW w:w="1718" w:type="dxa"/>
            <w:vAlign w:val="center"/>
          </w:tcPr>
          <w:p w14:paraId="3B9B90BD">
            <w:pPr>
              <w:pStyle w:val="13"/>
            </w:pPr>
            <w:r>
              <w:t>≥999平方米</w:t>
            </w:r>
          </w:p>
        </w:tc>
        <w:tc>
          <w:tcPr>
            <w:tcW w:w="1826" w:type="dxa"/>
            <w:vAlign w:val="center"/>
          </w:tcPr>
          <w:p w14:paraId="49EBB224">
            <w:pPr>
              <w:pStyle w:val="13"/>
            </w:pPr>
            <w:r>
              <w:t>城乡义务教育补助经费管理办法</w:t>
            </w:r>
          </w:p>
        </w:tc>
      </w:tr>
      <w:tr w14:paraId="01BF0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D3CBF"/>
        </w:tc>
        <w:tc>
          <w:tcPr>
            <w:tcW w:w="2268" w:type="dxa"/>
            <w:vAlign w:val="center"/>
          </w:tcPr>
          <w:p w14:paraId="065B22D8">
            <w:pPr>
              <w:pStyle w:val="13"/>
            </w:pPr>
            <w:r>
              <w:t>质量指标</w:t>
            </w:r>
          </w:p>
        </w:tc>
        <w:tc>
          <w:tcPr>
            <w:tcW w:w="2835" w:type="dxa"/>
            <w:vAlign w:val="center"/>
          </w:tcPr>
          <w:p w14:paraId="20127060">
            <w:pPr>
              <w:pStyle w:val="13"/>
            </w:pPr>
            <w:r>
              <w:t>工程实施验收合格率</w:t>
            </w:r>
          </w:p>
        </w:tc>
        <w:tc>
          <w:tcPr>
            <w:tcW w:w="5386" w:type="dxa"/>
            <w:vAlign w:val="center"/>
          </w:tcPr>
          <w:p w14:paraId="404D6798">
            <w:pPr>
              <w:pStyle w:val="13"/>
            </w:pPr>
            <w:r>
              <w:t>申报程序的合规，项目实施及资金使用符合项目规划</w:t>
            </w:r>
          </w:p>
        </w:tc>
        <w:tc>
          <w:tcPr>
            <w:tcW w:w="1718" w:type="dxa"/>
            <w:vAlign w:val="center"/>
          </w:tcPr>
          <w:p w14:paraId="43D519AA">
            <w:pPr>
              <w:pStyle w:val="13"/>
            </w:pPr>
            <w:r>
              <w:t>≥100%</w:t>
            </w:r>
          </w:p>
        </w:tc>
        <w:tc>
          <w:tcPr>
            <w:tcW w:w="1826" w:type="dxa"/>
            <w:vAlign w:val="center"/>
          </w:tcPr>
          <w:p w14:paraId="251405E7">
            <w:pPr>
              <w:pStyle w:val="13"/>
            </w:pPr>
            <w:r>
              <w:t>城乡义务教育补助经费管理办法</w:t>
            </w:r>
          </w:p>
        </w:tc>
      </w:tr>
      <w:tr w14:paraId="10BA6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55AB"/>
        </w:tc>
        <w:tc>
          <w:tcPr>
            <w:tcW w:w="2268" w:type="dxa"/>
            <w:vAlign w:val="center"/>
          </w:tcPr>
          <w:p w14:paraId="55B6A3A1">
            <w:pPr>
              <w:pStyle w:val="13"/>
            </w:pPr>
            <w:r>
              <w:t>时效指标</w:t>
            </w:r>
          </w:p>
        </w:tc>
        <w:tc>
          <w:tcPr>
            <w:tcW w:w="2835" w:type="dxa"/>
            <w:vAlign w:val="center"/>
          </w:tcPr>
          <w:p w14:paraId="271A2AC3">
            <w:pPr>
              <w:pStyle w:val="13"/>
            </w:pPr>
            <w:r>
              <w:t>工程完成率</w:t>
            </w:r>
          </w:p>
        </w:tc>
        <w:tc>
          <w:tcPr>
            <w:tcW w:w="5386" w:type="dxa"/>
            <w:vAlign w:val="center"/>
          </w:tcPr>
          <w:p w14:paraId="0FBA342B">
            <w:pPr>
              <w:pStyle w:val="13"/>
            </w:pPr>
            <w:r>
              <w:t>按照工程进度完成情况进行资金支付</w:t>
            </w:r>
          </w:p>
        </w:tc>
        <w:tc>
          <w:tcPr>
            <w:tcW w:w="1718" w:type="dxa"/>
            <w:vAlign w:val="center"/>
          </w:tcPr>
          <w:p w14:paraId="1161E972">
            <w:pPr>
              <w:pStyle w:val="13"/>
            </w:pPr>
            <w:r>
              <w:t>110%</w:t>
            </w:r>
          </w:p>
        </w:tc>
        <w:tc>
          <w:tcPr>
            <w:tcW w:w="1826" w:type="dxa"/>
            <w:vAlign w:val="center"/>
          </w:tcPr>
          <w:p w14:paraId="234BF6E6">
            <w:pPr>
              <w:pStyle w:val="13"/>
            </w:pPr>
            <w:r>
              <w:t>城乡义务教育补助经费管理办法</w:t>
            </w:r>
          </w:p>
        </w:tc>
      </w:tr>
      <w:tr w14:paraId="6F560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D31B0"/>
        </w:tc>
        <w:tc>
          <w:tcPr>
            <w:tcW w:w="2268" w:type="dxa"/>
            <w:vAlign w:val="center"/>
          </w:tcPr>
          <w:p w14:paraId="5AE6DD7B">
            <w:pPr>
              <w:pStyle w:val="13"/>
            </w:pPr>
            <w:r>
              <w:t>成本指标</w:t>
            </w:r>
          </w:p>
        </w:tc>
        <w:tc>
          <w:tcPr>
            <w:tcW w:w="2835" w:type="dxa"/>
            <w:vAlign w:val="center"/>
          </w:tcPr>
          <w:p w14:paraId="74C160FF">
            <w:pPr>
              <w:pStyle w:val="13"/>
            </w:pPr>
            <w:r>
              <w:t>新建校舍成本</w:t>
            </w:r>
          </w:p>
        </w:tc>
        <w:tc>
          <w:tcPr>
            <w:tcW w:w="5386" w:type="dxa"/>
            <w:vAlign w:val="center"/>
          </w:tcPr>
          <w:p w14:paraId="1FC5B734">
            <w:pPr>
              <w:pStyle w:val="13"/>
            </w:pPr>
            <w:r>
              <w:t>新建学生宿舍楼成本</w:t>
            </w:r>
          </w:p>
        </w:tc>
        <w:tc>
          <w:tcPr>
            <w:tcW w:w="1718" w:type="dxa"/>
            <w:vAlign w:val="center"/>
          </w:tcPr>
          <w:p w14:paraId="5416BA90">
            <w:pPr>
              <w:pStyle w:val="13"/>
            </w:pPr>
            <w:r>
              <w:t>21.03万元</w:t>
            </w:r>
          </w:p>
        </w:tc>
        <w:tc>
          <w:tcPr>
            <w:tcW w:w="1826" w:type="dxa"/>
            <w:vAlign w:val="center"/>
          </w:tcPr>
          <w:p w14:paraId="63819796">
            <w:pPr>
              <w:pStyle w:val="13"/>
            </w:pPr>
            <w:r>
              <w:t>城乡义务教育补助经费管理办法</w:t>
            </w:r>
          </w:p>
        </w:tc>
      </w:tr>
      <w:tr w14:paraId="76EC3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A1CB67">
            <w:pPr>
              <w:pStyle w:val="12"/>
            </w:pPr>
            <w:r>
              <w:t>效益指标</w:t>
            </w:r>
          </w:p>
        </w:tc>
        <w:tc>
          <w:tcPr>
            <w:tcW w:w="2268" w:type="dxa"/>
            <w:vAlign w:val="center"/>
          </w:tcPr>
          <w:p w14:paraId="0AE590E8">
            <w:pPr>
              <w:pStyle w:val="13"/>
            </w:pPr>
            <w:r>
              <w:t>社会效益指标</w:t>
            </w:r>
          </w:p>
        </w:tc>
        <w:tc>
          <w:tcPr>
            <w:tcW w:w="2835" w:type="dxa"/>
            <w:vAlign w:val="center"/>
          </w:tcPr>
          <w:p w14:paraId="020ADEAC">
            <w:pPr>
              <w:pStyle w:val="13"/>
            </w:pPr>
            <w:r>
              <w:t>学校办学能力提升</w:t>
            </w:r>
          </w:p>
        </w:tc>
        <w:tc>
          <w:tcPr>
            <w:tcW w:w="5386" w:type="dxa"/>
            <w:vAlign w:val="center"/>
          </w:tcPr>
          <w:p w14:paraId="52716F1F">
            <w:pPr>
              <w:pStyle w:val="13"/>
            </w:pPr>
            <w:r>
              <w:t>学校办学能力升情况及教育教学工作等开展的情况</w:t>
            </w:r>
          </w:p>
        </w:tc>
        <w:tc>
          <w:tcPr>
            <w:tcW w:w="1718" w:type="dxa"/>
            <w:vAlign w:val="center"/>
          </w:tcPr>
          <w:p w14:paraId="621ECED4">
            <w:pPr>
              <w:pStyle w:val="13"/>
            </w:pPr>
            <w:r>
              <w:t>招生量提高</w:t>
            </w:r>
          </w:p>
        </w:tc>
        <w:tc>
          <w:tcPr>
            <w:tcW w:w="1826" w:type="dxa"/>
            <w:vAlign w:val="center"/>
          </w:tcPr>
          <w:p w14:paraId="71E6D36B">
            <w:pPr>
              <w:pStyle w:val="13"/>
            </w:pPr>
            <w:r>
              <w:t>城乡义务教育补助经费管理办法</w:t>
            </w:r>
          </w:p>
        </w:tc>
      </w:tr>
      <w:tr w14:paraId="41302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8D8B6B">
            <w:pPr>
              <w:pStyle w:val="12"/>
            </w:pPr>
            <w:r>
              <w:t>满意度指标</w:t>
            </w:r>
          </w:p>
        </w:tc>
        <w:tc>
          <w:tcPr>
            <w:tcW w:w="2268" w:type="dxa"/>
            <w:vAlign w:val="center"/>
          </w:tcPr>
          <w:p w14:paraId="424733D9">
            <w:pPr>
              <w:pStyle w:val="13"/>
            </w:pPr>
            <w:r>
              <w:t>服务对象满意度指标</w:t>
            </w:r>
          </w:p>
        </w:tc>
        <w:tc>
          <w:tcPr>
            <w:tcW w:w="2835" w:type="dxa"/>
            <w:vAlign w:val="center"/>
          </w:tcPr>
          <w:p w14:paraId="7D8D9508">
            <w:pPr>
              <w:pStyle w:val="13"/>
            </w:pPr>
            <w:r>
              <w:t>受益学生家长及调查满意度</w:t>
            </w:r>
          </w:p>
        </w:tc>
        <w:tc>
          <w:tcPr>
            <w:tcW w:w="5386" w:type="dxa"/>
            <w:vAlign w:val="center"/>
          </w:tcPr>
          <w:p w14:paraId="5DDC87C3">
            <w:pPr>
              <w:pStyle w:val="13"/>
            </w:pPr>
            <w:r>
              <w:t>学生、教师及家长对学前保教保育工作满意度情况</w:t>
            </w:r>
          </w:p>
        </w:tc>
        <w:tc>
          <w:tcPr>
            <w:tcW w:w="1718" w:type="dxa"/>
            <w:vAlign w:val="center"/>
          </w:tcPr>
          <w:p w14:paraId="03914EB6">
            <w:pPr>
              <w:pStyle w:val="13"/>
            </w:pPr>
            <w:r>
              <w:t>95%</w:t>
            </w:r>
          </w:p>
        </w:tc>
        <w:tc>
          <w:tcPr>
            <w:tcW w:w="1826" w:type="dxa"/>
            <w:vAlign w:val="center"/>
          </w:tcPr>
          <w:p w14:paraId="02677AEF">
            <w:pPr>
              <w:pStyle w:val="13"/>
            </w:pPr>
            <w:r>
              <w:t>城乡义务教育补助经费管理办法</w:t>
            </w:r>
          </w:p>
        </w:tc>
      </w:tr>
    </w:tbl>
    <w:p w14:paraId="58F0338C">
      <w:pPr>
        <w:sectPr>
          <w:pgSz w:w="16840" w:h="11900" w:orient="landscape"/>
          <w:pgMar w:top="1361" w:right="1020" w:bottom="1134" w:left="1020" w:header="720" w:footer="720" w:gutter="0"/>
          <w:cols w:space="720" w:num="1"/>
        </w:sectPr>
      </w:pPr>
    </w:p>
    <w:p w14:paraId="6150DC12">
      <w:pPr>
        <w:spacing w:before="0" w:after="0"/>
        <w:ind w:firstLine="560"/>
        <w:jc w:val="left"/>
        <w:outlineLvl w:val="9"/>
      </w:pPr>
      <w:r>
        <w:rPr>
          <w:rFonts w:ascii="方正仿宋_GBK" w:hAnsi="方正仿宋_GBK" w:eastAsia="方正仿宋_GBK" w:cs="方正仿宋_GBK"/>
          <w:b/>
          <w:color w:val="000000"/>
          <w:sz w:val="28"/>
        </w:rPr>
        <w:t>32、上年盘活/冀财教[2023]154号/中央/义教经费/校舍安全保障/东良校区南位小学维修改造绩效目标表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7B9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F5322">
            <w:pPr>
              <w:pStyle w:val="14"/>
            </w:pPr>
            <w:r>
              <w:t>单位：万元</w:t>
            </w:r>
          </w:p>
        </w:tc>
      </w:tr>
      <w:tr w14:paraId="322E75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2E21A">
            <w:pPr>
              <w:pStyle w:val="11"/>
            </w:pPr>
            <w:r>
              <w:t>项目编码</w:t>
            </w:r>
          </w:p>
        </w:tc>
        <w:tc>
          <w:tcPr>
            <w:tcW w:w="5103" w:type="dxa"/>
            <w:gridSpan w:val="2"/>
            <w:vAlign w:val="center"/>
          </w:tcPr>
          <w:p w14:paraId="4087605D">
            <w:pPr>
              <w:pStyle w:val="13"/>
            </w:pPr>
            <w:r>
              <w:t>13052525P00875610170N</w:t>
            </w:r>
          </w:p>
        </w:tc>
        <w:tc>
          <w:tcPr>
            <w:tcW w:w="2835" w:type="dxa"/>
            <w:vAlign w:val="center"/>
          </w:tcPr>
          <w:p w14:paraId="477FD960">
            <w:pPr>
              <w:pStyle w:val="11"/>
            </w:pPr>
            <w:r>
              <w:t>项目名称</w:t>
            </w:r>
          </w:p>
        </w:tc>
        <w:tc>
          <w:tcPr>
            <w:tcW w:w="6095" w:type="dxa"/>
            <w:gridSpan w:val="3"/>
            <w:vAlign w:val="center"/>
          </w:tcPr>
          <w:p w14:paraId="4412F793">
            <w:pPr>
              <w:pStyle w:val="13"/>
            </w:pPr>
            <w:r>
              <w:t>上年盘活/冀财教[2023]154号/中央/义教经费/校舍安全保障/东良校区南位小学维修改造</w:t>
            </w:r>
          </w:p>
        </w:tc>
      </w:tr>
      <w:tr w14:paraId="79154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ED31D">
            <w:pPr>
              <w:pStyle w:val="11"/>
            </w:pPr>
            <w:r>
              <w:t>预算规模及资金用途</w:t>
            </w:r>
          </w:p>
        </w:tc>
        <w:tc>
          <w:tcPr>
            <w:tcW w:w="2268" w:type="dxa"/>
            <w:vAlign w:val="center"/>
          </w:tcPr>
          <w:p w14:paraId="7864D196">
            <w:pPr>
              <w:pStyle w:val="11"/>
            </w:pPr>
            <w:r>
              <w:t>预算数</w:t>
            </w:r>
          </w:p>
        </w:tc>
        <w:tc>
          <w:tcPr>
            <w:tcW w:w="2835" w:type="dxa"/>
            <w:vAlign w:val="center"/>
          </w:tcPr>
          <w:p w14:paraId="05B6D1AA">
            <w:pPr>
              <w:pStyle w:val="13"/>
            </w:pPr>
            <w:r>
              <w:t>17.94</w:t>
            </w:r>
          </w:p>
        </w:tc>
        <w:tc>
          <w:tcPr>
            <w:tcW w:w="2835" w:type="dxa"/>
            <w:vAlign w:val="center"/>
          </w:tcPr>
          <w:p w14:paraId="2C777D1A">
            <w:pPr>
              <w:pStyle w:val="11"/>
            </w:pPr>
            <w:r>
              <w:t>其中：财政    资金</w:t>
            </w:r>
          </w:p>
        </w:tc>
        <w:tc>
          <w:tcPr>
            <w:tcW w:w="2551" w:type="dxa"/>
            <w:vAlign w:val="center"/>
          </w:tcPr>
          <w:p w14:paraId="6CF0A4E1">
            <w:pPr>
              <w:pStyle w:val="13"/>
            </w:pPr>
            <w:r>
              <w:t>17.94</w:t>
            </w:r>
          </w:p>
        </w:tc>
        <w:tc>
          <w:tcPr>
            <w:tcW w:w="2268" w:type="dxa"/>
            <w:vAlign w:val="center"/>
          </w:tcPr>
          <w:p w14:paraId="353A6EDC">
            <w:pPr>
              <w:pStyle w:val="11"/>
            </w:pPr>
            <w:r>
              <w:t>其他资金</w:t>
            </w:r>
          </w:p>
        </w:tc>
        <w:tc>
          <w:tcPr>
            <w:tcW w:w="1276" w:type="dxa"/>
            <w:vAlign w:val="center"/>
          </w:tcPr>
          <w:p w14:paraId="25660E74">
            <w:pPr>
              <w:pStyle w:val="13"/>
            </w:pPr>
            <w:r>
              <w:t xml:space="preserve"> </w:t>
            </w:r>
          </w:p>
        </w:tc>
      </w:tr>
      <w:tr w14:paraId="6166D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5B2EF"/>
        </w:tc>
        <w:tc>
          <w:tcPr>
            <w:tcW w:w="14033" w:type="dxa"/>
            <w:gridSpan w:val="6"/>
            <w:vAlign w:val="center"/>
          </w:tcPr>
          <w:p w14:paraId="57507ED7">
            <w:pPr>
              <w:pStyle w:val="13"/>
            </w:pPr>
            <w:r>
              <w:t>教室围墙改造、厕所周边硬化、更换铝合金门、铺地砖、开设排水管道等。满足师生正常教学需要，改善学校的教学环境。</w:t>
            </w:r>
          </w:p>
        </w:tc>
      </w:tr>
      <w:tr w14:paraId="6840D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22C6A">
            <w:pPr>
              <w:pStyle w:val="11"/>
            </w:pPr>
            <w:r>
              <w:t>资金支出计划（%）</w:t>
            </w:r>
          </w:p>
        </w:tc>
        <w:tc>
          <w:tcPr>
            <w:tcW w:w="5103" w:type="dxa"/>
            <w:gridSpan w:val="2"/>
            <w:vAlign w:val="center"/>
          </w:tcPr>
          <w:p w14:paraId="1ECAEC9B">
            <w:pPr>
              <w:pStyle w:val="11"/>
            </w:pPr>
            <w:r>
              <w:t>3月底</w:t>
            </w:r>
          </w:p>
        </w:tc>
        <w:tc>
          <w:tcPr>
            <w:tcW w:w="2835" w:type="dxa"/>
            <w:vAlign w:val="center"/>
          </w:tcPr>
          <w:p w14:paraId="428A0A34">
            <w:pPr>
              <w:pStyle w:val="11"/>
            </w:pPr>
            <w:r>
              <w:t>6月底</w:t>
            </w:r>
          </w:p>
        </w:tc>
        <w:tc>
          <w:tcPr>
            <w:tcW w:w="2551" w:type="dxa"/>
            <w:vAlign w:val="center"/>
          </w:tcPr>
          <w:p w14:paraId="10287D5B">
            <w:pPr>
              <w:pStyle w:val="11"/>
            </w:pPr>
            <w:r>
              <w:t>10月底</w:t>
            </w:r>
          </w:p>
        </w:tc>
        <w:tc>
          <w:tcPr>
            <w:tcW w:w="3544" w:type="dxa"/>
            <w:gridSpan w:val="2"/>
            <w:vAlign w:val="center"/>
          </w:tcPr>
          <w:p w14:paraId="55A1EC47">
            <w:pPr>
              <w:pStyle w:val="11"/>
            </w:pPr>
            <w:r>
              <w:t>12月底</w:t>
            </w:r>
          </w:p>
        </w:tc>
      </w:tr>
      <w:tr w14:paraId="60347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FAC9B4"/>
        </w:tc>
        <w:tc>
          <w:tcPr>
            <w:tcW w:w="5103" w:type="dxa"/>
            <w:gridSpan w:val="2"/>
            <w:vAlign w:val="center"/>
          </w:tcPr>
          <w:p w14:paraId="556347D4">
            <w:pPr>
              <w:pStyle w:val="12"/>
            </w:pPr>
            <w:r>
              <w:t>25%</w:t>
            </w:r>
          </w:p>
        </w:tc>
        <w:tc>
          <w:tcPr>
            <w:tcW w:w="2835" w:type="dxa"/>
            <w:vAlign w:val="center"/>
          </w:tcPr>
          <w:p w14:paraId="11F1EDDA">
            <w:pPr>
              <w:pStyle w:val="12"/>
            </w:pPr>
            <w:r>
              <w:t>50%</w:t>
            </w:r>
          </w:p>
        </w:tc>
        <w:tc>
          <w:tcPr>
            <w:tcW w:w="2551" w:type="dxa"/>
            <w:vAlign w:val="center"/>
          </w:tcPr>
          <w:p w14:paraId="7C82CBB2">
            <w:pPr>
              <w:pStyle w:val="12"/>
            </w:pPr>
            <w:r>
              <w:t>75%</w:t>
            </w:r>
          </w:p>
        </w:tc>
        <w:tc>
          <w:tcPr>
            <w:tcW w:w="3544" w:type="dxa"/>
            <w:gridSpan w:val="2"/>
            <w:vAlign w:val="center"/>
          </w:tcPr>
          <w:p w14:paraId="6F3F29F3">
            <w:pPr>
              <w:pStyle w:val="12"/>
            </w:pPr>
            <w:r>
              <w:t>100%</w:t>
            </w:r>
          </w:p>
        </w:tc>
      </w:tr>
      <w:tr w14:paraId="19D76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2263A">
            <w:pPr>
              <w:pStyle w:val="11"/>
            </w:pPr>
            <w:r>
              <w:t>绩效目标</w:t>
            </w:r>
          </w:p>
        </w:tc>
        <w:tc>
          <w:tcPr>
            <w:tcW w:w="14033" w:type="dxa"/>
            <w:gridSpan w:val="6"/>
            <w:vAlign w:val="center"/>
          </w:tcPr>
          <w:p w14:paraId="1DD1F644">
            <w:pPr>
              <w:pStyle w:val="13"/>
            </w:pPr>
            <w:r>
              <w:t>1.按规定拨付中央资金17.9431万元；资金拨付率达到100%。</w:t>
            </w:r>
            <w:r>
              <w:tab/>
            </w:r>
            <w:r>
              <w:tab/>
            </w:r>
            <w:r>
              <w:tab/>
            </w:r>
          </w:p>
          <w:p w14:paraId="6CCAB9FD">
            <w:pPr>
              <w:pStyle w:val="13"/>
            </w:pPr>
            <w:r>
              <w:tab/>
            </w:r>
            <w:r>
              <w:tab/>
            </w:r>
            <w:r>
              <w:tab/>
            </w:r>
          </w:p>
          <w:p w14:paraId="73D8B36A">
            <w:pPr>
              <w:pStyle w:val="13"/>
            </w:pPr>
            <w:r>
              <w:t>2.教室围墙改造、厕所周边硬化、更换铝合金门、铺地砖、开设排水管道等。满足师生正常教学需要，改善学校的教学环境。</w:t>
            </w:r>
            <w:r>
              <w:tab/>
            </w:r>
            <w:r>
              <w:tab/>
            </w:r>
            <w:r>
              <w:tab/>
            </w:r>
          </w:p>
        </w:tc>
      </w:tr>
    </w:tbl>
    <w:p w14:paraId="4F209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14:paraId="3D778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F6D35">
            <w:pPr>
              <w:pStyle w:val="11"/>
            </w:pPr>
            <w:r>
              <w:t>一级指标</w:t>
            </w:r>
          </w:p>
        </w:tc>
        <w:tc>
          <w:tcPr>
            <w:tcW w:w="2268" w:type="dxa"/>
            <w:vAlign w:val="center"/>
          </w:tcPr>
          <w:p w14:paraId="4715FEEC">
            <w:pPr>
              <w:pStyle w:val="11"/>
            </w:pPr>
            <w:r>
              <w:t>二级指标</w:t>
            </w:r>
          </w:p>
        </w:tc>
        <w:tc>
          <w:tcPr>
            <w:tcW w:w="2835" w:type="dxa"/>
            <w:vAlign w:val="center"/>
          </w:tcPr>
          <w:p w14:paraId="1C48F07F">
            <w:pPr>
              <w:pStyle w:val="11"/>
            </w:pPr>
            <w:r>
              <w:t>三级指标</w:t>
            </w:r>
          </w:p>
        </w:tc>
        <w:tc>
          <w:tcPr>
            <w:tcW w:w="5386" w:type="dxa"/>
            <w:vAlign w:val="center"/>
          </w:tcPr>
          <w:p w14:paraId="537746D3">
            <w:pPr>
              <w:pStyle w:val="11"/>
            </w:pPr>
            <w:r>
              <w:t>绩效指标描述</w:t>
            </w:r>
          </w:p>
        </w:tc>
        <w:tc>
          <w:tcPr>
            <w:tcW w:w="1688" w:type="dxa"/>
            <w:vAlign w:val="center"/>
          </w:tcPr>
          <w:p w14:paraId="2C16FB1D">
            <w:pPr>
              <w:pStyle w:val="11"/>
            </w:pPr>
            <w:r>
              <w:t>指标值</w:t>
            </w:r>
          </w:p>
        </w:tc>
        <w:tc>
          <w:tcPr>
            <w:tcW w:w="1856" w:type="dxa"/>
            <w:vAlign w:val="center"/>
          </w:tcPr>
          <w:p w14:paraId="61EF0BE2">
            <w:pPr>
              <w:pStyle w:val="11"/>
            </w:pPr>
            <w:r>
              <w:t>指标值确定依据</w:t>
            </w:r>
          </w:p>
        </w:tc>
      </w:tr>
      <w:tr w14:paraId="5251B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A1733">
            <w:pPr>
              <w:pStyle w:val="12"/>
            </w:pPr>
            <w:r>
              <w:t>产出指标</w:t>
            </w:r>
          </w:p>
        </w:tc>
        <w:tc>
          <w:tcPr>
            <w:tcW w:w="2268" w:type="dxa"/>
            <w:vAlign w:val="center"/>
          </w:tcPr>
          <w:p w14:paraId="3391F4F3">
            <w:pPr>
              <w:pStyle w:val="13"/>
            </w:pPr>
            <w:r>
              <w:t>数量指标</w:t>
            </w:r>
          </w:p>
        </w:tc>
        <w:tc>
          <w:tcPr>
            <w:tcW w:w="2835" w:type="dxa"/>
            <w:vAlign w:val="center"/>
          </w:tcPr>
          <w:p w14:paraId="22A3C48D">
            <w:pPr>
              <w:pStyle w:val="13"/>
            </w:pPr>
            <w:r>
              <w:t>维修项目数量</w:t>
            </w:r>
          </w:p>
        </w:tc>
        <w:tc>
          <w:tcPr>
            <w:tcW w:w="5386" w:type="dxa"/>
            <w:vAlign w:val="center"/>
          </w:tcPr>
          <w:p w14:paraId="299A5F05">
            <w:pPr>
              <w:pStyle w:val="13"/>
            </w:pPr>
            <w:r>
              <w:t>围墙改造、厕所周边硬化、更换铝合金门、铺地板、开设排水管道</w:t>
            </w:r>
          </w:p>
        </w:tc>
        <w:tc>
          <w:tcPr>
            <w:tcW w:w="1688" w:type="dxa"/>
            <w:vAlign w:val="center"/>
          </w:tcPr>
          <w:p w14:paraId="5A40E918">
            <w:pPr>
              <w:pStyle w:val="13"/>
            </w:pPr>
            <w:r>
              <w:t>8项</w:t>
            </w:r>
          </w:p>
        </w:tc>
        <w:tc>
          <w:tcPr>
            <w:tcW w:w="1856" w:type="dxa"/>
            <w:vAlign w:val="center"/>
          </w:tcPr>
          <w:p w14:paraId="5726454D">
            <w:pPr>
              <w:pStyle w:val="13"/>
            </w:pPr>
            <w:r>
              <w:t>城乡义务教育补助经费管理办法</w:t>
            </w:r>
          </w:p>
        </w:tc>
      </w:tr>
      <w:tr w14:paraId="43FA6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B3301"/>
        </w:tc>
        <w:tc>
          <w:tcPr>
            <w:tcW w:w="2268" w:type="dxa"/>
            <w:vAlign w:val="center"/>
          </w:tcPr>
          <w:p w14:paraId="635F9561">
            <w:pPr>
              <w:pStyle w:val="13"/>
            </w:pPr>
            <w:r>
              <w:t>质量指标</w:t>
            </w:r>
          </w:p>
        </w:tc>
        <w:tc>
          <w:tcPr>
            <w:tcW w:w="2835" w:type="dxa"/>
            <w:vAlign w:val="center"/>
          </w:tcPr>
          <w:p w14:paraId="136A3465">
            <w:pPr>
              <w:pStyle w:val="13"/>
            </w:pPr>
            <w:r>
              <w:t>工程实施验收合格率</w:t>
            </w:r>
          </w:p>
        </w:tc>
        <w:tc>
          <w:tcPr>
            <w:tcW w:w="5386" w:type="dxa"/>
            <w:vAlign w:val="center"/>
          </w:tcPr>
          <w:p w14:paraId="7CB71AD6">
            <w:pPr>
              <w:pStyle w:val="13"/>
            </w:pPr>
            <w:r>
              <w:t>申报程序合规，项目实施及工程验收符合项目规划</w:t>
            </w:r>
          </w:p>
        </w:tc>
        <w:tc>
          <w:tcPr>
            <w:tcW w:w="1688" w:type="dxa"/>
            <w:vAlign w:val="center"/>
          </w:tcPr>
          <w:p w14:paraId="7C85C1CD">
            <w:pPr>
              <w:pStyle w:val="13"/>
            </w:pPr>
            <w:r>
              <w:t>≥100%</w:t>
            </w:r>
          </w:p>
        </w:tc>
        <w:tc>
          <w:tcPr>
            <w:tcW w:w="1856" w:type="dxa"/>
            <w:vAlign w:val="center"/>
          </w:tcPr>
          <w:p w14:paraId="48734CBF">
            <w:pPr>
              <w:pStyle w:val="13"/>
            </w:pPr>
            <w:r>
              <w:t>城乡义务教育补助经费管理办法</w:t>
            </w:r>
          </w:p>
        </w:tc>
      </w:tr>
      <w:tr w14:paraId="7033A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1BA0F"/>
        </w:tc>
        <w:tc>
          <w:tcPr>
            <w:tcW w:w="2268" w:type="dxa"/>
            <w:vAlign w:val="center"/>
          </w:tcPr>
          <w:p w14:paraId="70A45D1E">
            <w:pPr>
              <w:pStyle w:val="13"/>
            </w:pPr>
            <w:r>
              <w:t>时效指标</w:t>
            </w:r>
          </w:p>
        </w:tc>
        <w:tc>
          <w:tcPr>
            <w:tcW w:w="2835" w:type="dxa"/>
            <w:vAlign w:val="center"/>
          </w:tcPr>
          <w:p w14:paraId="3B21B02E">
            <w:pPr>
              <w:pStyle w:val="13"/>
            </w:pPr>
            <w:r>
              <w:t>预算执行率</w:t>
            </w:r>
          </w:p>
        </w:tc>
        <w:tc>
          <w:tcPr>
            <w:tcW w:w="5386" w:type="dxa"/>
            <w:vAlign w:val="center"/>
          </w:tcPr>
          <w:p w14:paraId="73673B3C">
            <w:pPr>
              <w:pStyle w:val="13"/>
            </w:pPr>
            <w:r>
              <w:t>按照工程进度进行资金拨付，年度执行预算率≥95%</w:t>
            </w:r>
          </w:p>
        </w:tc>
        <w:tc>
          <w:tcPr>
            <w:tcW w:w="1688" w:type="dxa"/>
            <w:vAlign w:val="center"/>
          </w:tcPr>
          <w:p w14:paraId="436B638A">
            <w:pPr>
              <w:pStyle w:val="13"/>
            </w:pPr>
            <w:r>
              <w:t>≥95%</w:t>
            </w:r>
          </w:p>
        </w:tc>
        <w:tc>
          <w:tcPr>
            <w:tcW w:w="1856" w:type="dxa"/>
            <w:vAlign w:val="center"/>
          </w:tcPr>
          <w:p w14:paraId="21BD1E81">
            <w:pPr>
              <w:pStyle w:val="13"/>
            </w:pPr>
            <w:r>
              <w:t>城乡义务教育补助经费管理办法</w:t>
            </w:r>
          </w:p>
        </w:tc>
      </w:tr>
      <w:tr w14:paraId="7CFA3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89A46"/>
        </w:tc>
        <w:tc>
          <w:tcPr>
            <w:tcW w:w="2268" w:type="dxa"/>
            <w:vAlign w:val="center"/>
          </w:tcPr>
          <w:p w14:paraId="2C776BA4">
            <w:pPr>
              <w:pStyle w:val="13"/>
            </w:pPr>
            <w:r>
              <w:t>成本指标</w:t>
            </w:r>
          </w:p>
        </w:tc>
        <w:tc>
          <w:tcPr>
            <w:tcW w:w="2835" w:type="dxa"/>
            <w:vAlign w:val="center"/>
          </w:tcPr>
          <w:p w14:paraId="548C6369">
            <w:pPr>
              <w:pStyle w:val="13"/>
            </w:pPr>
            <w:r>
              <w:t>维修项目成本</w:t>
            </w:r>
          </w:p>
        </w:tc>
        <w:tc>
          <w:tcPr>
            <w:tcW w:w="5386" w:type="dxa"/>
            <w:vAlign w:val="center"/>
          </w:tcPr>
          <w:p w14:paraId="6F15BCE6">
            <w:pPr>
              <w:pStyle w:val="13"/>
            </w:pPr>
            <w:r>
              <w:t>教室围墙维修、喷绘修缮等项目总价值</w:t>
            </w:r>
          </w:p>
        </w:tc>
        <w:tc>
          <w:tcPr>
            <w:tcW w:w="1688" w:type="dxa"/>
            <w:vAlign w:val="center"/>
          </w:tcPr>
          <w:p w14:paraId="77D2F0D5">
            <w:pPr>
              <w:pStyle w:val="13"/>
            </w:pPr>
            <w:r>
              <w:t>17.94万元</w:t>
            </w:r>
          </w:p>
        </w:tc>
        <w:tc>
          <w:tcPr>
            <w:tcW w:w="1856" w:type="dxa"/>
            <w:vAlign w:val="center"/>
          </w:tcPr>
          <w:p w14:paraId="3C12BEA7">
            <w:pPr>
              <w:pStyle w:val="13"/>
            </w:pPr>
            <w:r>
              <w:t>城乡义务教育补助经费管理办法</w:t>
            </w:r>
          </w:p>
        </w:tc>
      </w:tr>
      <w:tr w14:paraId="60C96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A2B723">
            <w:pPr>
              <w:pStyle w:val="12"/>
            </w:pPr>
            <w:r>
              <w:t>效益指标</w:t>
            </w:r>
          </w:p>
        </w:tc>
        <w:tc>
          <w:tcPr>
            <w:tcW w:w="2268" w:type="dxa"/>
            <w:vAlign w:val="center"/>
          </w:tcPr>
          <w:p w14:paraId="15295CE1">
            <w:pPr>
              <w:pStyle w:val="13"/>
            </w:pPr>
            <w:r>
              <w:t>可持续影响指标</w:t>
            </w:r>
          </w:p>
        </w:tc>
        <w:tc>
          <w:tcPr>
            <w:tcW w:w="2835" w:type="dxa"/>
            <w:vAlign w:val="center"/>
          </w:tcPr>
          <w:p w14:paraId="397D00B1">
            <w:pPr>
              <w:pStyle w:val="13"/>
            </w:pPr>
            <w:r>
              <w:t>项目实施成果</w:t>
            </w:r>
          </w:p>
        </w:tc>
        <w:tc>
          <w:tcPr>
            <w:tcW w:w="5386" w:type="dxa"/>
            <w:vAlign w:val="center"/>
          </w:tcPr>
          <w:p w14:paraId="3372B88E">
            <w:pPr>
              <w:pStyle w:val="13"/>
            </w:pPr>
            <w:r>
              <w:t>通过项目实施能有效改善教学环境，提升教学质量</w:t>
            </w:r>
          </w:p>
        </w:tc>
        <w:tc>
          <w:tcPr>
            <w:tcW w:w="1688" w:type="dxa"/>
            <w:vAlign w:val="center"/>
          </w:tcPr>
          <w:p w14:paraId="6F3DEE15">
            <w:pPr>
              <w:pStyle w:val="13"/>
            </w:pPr>
            <w:r>
              <w:t>≥95%</w:t>
            </w:r>
          </w:p>
        </w:tc>
        <w:tc>
          <w:tcPr>
            <w:tcW w:w="1856" w:type="dxa"/>
            <w:vAlign w:val="center"/>
          </w:tcPr>
          <w:p w14:paraId="5676B903">
            <w:pPr>
              <w:pStyle w:val="13"/>
            </w:pPr>
            <w:r>
              <w:t>城乡义务教育补助经费管理办法</w:t>
            </w:r>
          </w:p>
        </w:tc>
      </w:tr>
      <w:tr w14:paraId="34C65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8B07AD">
            <w:pPr>
              <w:pStyle w:val="12"/>
            </w:pPr>
            <w:r>
              <w:t>满意度指标</w:t>
            </w:r>
          </w:p>
        </w:tc>
        <w:tc>
          <w:tcPr>
            <w:tcW w:w="2268" w:type="dxa"/>
            <w:vAlign w:val="center"/>
          </w:tcPr>
          <w:p w14:paraId="744E7A93">
            <w:pPr>
              <w:pStyle w:val="13"/>
            </w:pPr>
            <w:r>
              <w:t>服务对象满意度指标</w:t>
            </w:r>
          </w:p>
        </w:tc>
        <w:tc>
          <w:tcPr>
            <w:tcW w:w="2835" w:type="dxa"/>
            <w:vAlign w:val="center"/>
          </w:tcPr>
          <w:p w14:paraId="2895351F">
            <w:pPr>
              <w:pStyle w:val="13"/>
            </w:pPr>
            <w:r>
              <w:t>受益学生及家长的调查满意度</w:t>
            </w:r>
          </w:p>
        </w:tc>
        <w:tc>
          <w:tcPr>
            <w:tcW w:w="5386" w:type="dxa"/>
            <w:vAlign w:val="center"/>
          </w:tcPr>
          <w:p w14:paraId="5CB8E197">
            <w:pPr>
              <w:pStyle w:val="13"/>
            </w:pPr>
            <w:r>
              <w:t>学生、教师及家长对学校环境提升满意度情况</w:t>
            </w:r>
          </w:p>
        </w:tc>
        <w:tc>
          <w:tcPr>
            <w:tcW w:w="1688" w:type="dxa"/>
            <w:vAlign w:val="center"/>
          </w:tcPr>
          <w:p w14:paraId="45678F4D">
            <w:pPr>
              <w:pStyle w:val="13"/>
            </w:pPr>
            <w:r>
              <w:t>≥95%</w:t>
            </w:r>
          </w:p>
        </w:tc>
        <w:tc>
          <w:tcPr>
            <w:tcW w:w="1856" w:type="dxa"/>
            <w:vAlign w:val="center"/>
          </w:tcPr>
          <w:p w14:paraId="6F4B55DC">
            <w:pPr>
              <w:pStyle w:val="13"/>
            </w:pPr>
            <w:r>
              <w:t>调查问卷</w:t>
            </w:r>
          </w:p>
        </w:tc>
      </w:tr>
    </w:tbl>
    <w:p w14:paraId="3ABBEF60">
      <w:pPr>
        <w:sectPr>
          <w:pgSz w:w="16840" w:h="11900" w:orient="landscape"/>
          <w:pgMar w:top="1361" w:right="1020" w:bottom="1134" w:left="1020" w:header="720" w:footer="720" w:gutter="0"/>
          <w:cols w:space="720" w:num="1"/>
        </w:sectPr>
      </w:pPr>
    </w:p>
    <w:p w14:paraId="22BA86BE">
      <w:pPr>
        <w:spacing w:before="0" w:after="0"/>
        <w:ind w:firstLine="560"/>
        <w:jc w:val="left"/>
        <w:outlineLvl w:val="9"/>
      </w:pPr>
      <w:r>
        <w:rPr>
          <w:rFonts w:ascii="方正仿宋_GBK" w:hAnsi="方正仿宋_GBK" w:eastAsia="方正仿宋_GBK" w:cs="方正仿宋_GBK"/>
          <w:b/>
          <w:color w:val="000000"/>
          <w:sz w:val="28"/>
        </w:rPr>
        <w:t>33、上年盘活/冀财教[2023]163号/省级/2024年义教补助资金/校舍安全保障/东良校区泽畔小学新建学生宿舍楼及消防工程绩效目标表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5C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FBBD2">
            <w:pPr>
              <w:pStyle w:val="14"/>
            </w:pPr>
            <w:r>
              <w:t>单位：万元</w:t>
            </w:r>
          </w:p>
        </w:tc>
      </w:tr>
      <w:tr w14:paraId="300996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3B359B">
            <w:pPr>
              <w:pStyle w:val="11"/>
            </w:pPr>
            <w:r>
              <w:t>项目编码</w:t>
            </w:r>
          </w:p>
        </w:tc>
        <w:tc>
          <w:tcPr>
            <w:tcW w:w="5103" w:type="dxa"/>
            <w:gridSpan w:val="2"/>
            <w:vAlign w:val="center"/>
          </w:tcPr>
          <w:p w14:paraId="3F937338">
            <w:pPr>
              <w:pStyle w:val="13"/>
            </w:pPr>
            <w:r>
              <w:t>13052525P00875610173H</w:t>
            </w:r>
          </w:p>
        </w:tc>
        <w:tc>
          <w:tcPr>
            <w:tcW w:w="2835" w:type="dxa"/>
            <w:vAlign w:val="center"/>
          </w:tcPr>
          <w:p w14:paraId="645B6220">
            <w:pPr>
              <w:pStyle w:val="11"/>
            </w:pPr>
            <w:r>
              <w:t>项目名称</w:t>
            </w:r>
          </w:p>
        </w:tc>
        <w:tc>
          <w:tcPr>
            <w:tcW w:w="6095" w:type="dxa"/>
            <w:gridSpan w:val="3"/>
            <w:vAlign w:val="center"/>
          </w:tcPr>
          <w:p w14:paraId="5B3E0E52">
            <w:pPr>
              <w:pStyle w:val="13"/>
            </w:pPr>
            <w:r>
              <w:t>上年盘活/冀财教[2023]163号/省级/2024年义教补助资金/校舍安全保障/东良校区泽畔小学新建学生宿舍楼及消防工程</w:t>
            </w:r>
          </w:p>
        </w:tc>
      </w:tr>
      <w:tr w14:paraId="2E535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C573A">
            <w:pPr>
              <w:pStyle w:val="11"/>
            </w:pPr>
            <w:r>
              <w:t>预算规模及资金用途</w:t>
            </w:r>
          </w:p>
        </w:tc>
        <w:tc>
          <w:tcPr>
            <w:tcW w:w="2268" w:type="dxa"/>
            <w:vAlign w:val="center"/>
          </w:tcPr>
          <w:p w14:paraId="0EA6CE7F">
            <w:pPr>
              <w:pStyle w:val="11"/>
            </w:pPr>
            <w:r>
              <w:t>预算数</w:t>
            </w:r>
          </w:p>
        </w:tc>
        <w:tc>
          <w:tcPr>
            <w:tcW w:w="2835" w:type="dxa"/>
            <w:vAlign w:val="center"/>
          </w:tcPr>
          <w:p w14:paraId="0006C40C">
            <w:pPr>
              <w:pStyle w:val="13"/>
            </w:pPr>
            <w:r>
              <w:t>51.80</w:t>
            </w:r>
          </w:p>
        </w:tc>
        <w:tc>
          <w:tcPr>
            <w:tcW w:w="2835" w:type="dxa"/>
            <w:vAlign w:val="center"/>
          </w:tcPr>
          <w:p w14:paraId="4E822931">
            <w:pPr>
              <w:pStyle w:val="11"/>
            </w:pPr>
            <w:r>
              <w:t>其中：财政    资金</w:t>
            </w:r>
          </w:p>
        </w:tc>
        <w:tc>
          <w:tcPr>
            <w:tcW w:w="2551" w:type="dxa"/>
            <w:vAlign w:val="center"/>
          </w:tcPr>
          <w:p w14:paraId="0D104222">
            <w:pPr>
              <w:pStyle w:val="13"/>
            </w:pPr>
            <w:r>
              <w:t>51.80</w:t>
            </w:r>
          </w:p>
        </w:tc>
        <w:tc>
          <w:tcPr>
            <w:tcW w:w="2268" w:type="dxa"/>
            <w:vAlign w:val="center"/>
          </w:tcPr>
          <w:p w14:paraId="07A28265">
            <w:pPr>
              <w:pStyle w:val="11"/>
            </w:pPr>
            <w:r>
              <w:t>其他资金</w:t>
            </w:r>
          </w:p>
        </w:tc>
        <w:tc>
          <w:tcPr>
            <w:tcW w:w="1276" w:type="dxa"/>
            <w:vAlign w:val="center"/>
          </w:tcPr>
          <w:p w14:paraId="547E700F">
            <w:pPr>
              <w:pStyle w:val="13"/>
            </w:pPr>
            <w:r>
              <w:t xml:space="preserve"> </w:t>
            </w:r>
          </w:p>
        </w:tc>
      </w:tr>
      <w:tr w14:paraId="4A029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CD5983"/>
        </w:tc>
        <w:tc>
          <w:tcPr>
            <w:tcW w:w="14033" w:type="dxa"/>
            <w:gridSpan w:val="6"/>
            <w:vAlign w:val="center"/>
          </w:tcPr>
          <w:p w14:paraId="78FAC30C">
            <w:pPr>
              <w:pStyle w:val="13"/>
            </w:pPr>
            <w:r>
              <w:t xml:space="preserve">改善就学条件，提升学校形象，保障义务教育阶段教学安全，创造良好的校园环境。 </w:t>
            </w:r>
            <w:r>
              <w:tab/>
            </w:r>
          </w:p>
        </w:tc>
      </w:tr>
      <w:tr w14:paraId="148AD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F2FC6">
            <w:pPr>
              <w:pStyle w:val="11"/>
            </w:pPr>
            <w:r>
              <w:t>资金支出计划（%）</w:t>
            </w:r>
          </w:p>
        </w:tc>
        <w:tc>
          <w:tcPr>
            <w:tcW w:w="5103" w:type="dxa"/>
            <w:gridSpan w:val="2"/>
            <w:vAlign w:val="center"/>
          </w:tcPr>
          <w:p w14:paraId="4E0B61DB">
            <w:pPr>
              <w:pStyle w:val="11"/>
            </w:pPr>
            <w:r>
              <w:t>3月底</w:t>
            </w:r>
          </w:p>
        </w:tc>
        <w:tc>
          <w:tcPr>
            <w:tcW w:w="2835" w:type="dxa"/>
            <w:vAlign w:val="center"/>
          </w:tcPr>
          <w:p w14:paraId="2EBB7DCB">
            <w:pPr>
              <w:pStyle w:val="11"/>
            </w:pPr>
            <w:r>
              <w:t>6月底</w:t>
            </w:r>
          </w:p>
        </w:tc>
        <w:tc>
          <w:tcPr>
            <w:tcW w:w="2551" w:type="dxa"/>
            <w:vAlign w:val="center"/>
          </w:tcPr>
          <w:p w14:paraId="69D19D7A">
            <w:pPr>
              <w:pStyle w:val="11"/>
            </w:pPr>
            <w:r>
              <w:t>10月底</w:t>
            </w:r>
          </w:p>
        </w:tc>
        <w:tc>
          <w:tcPr>
            <w:tcW w:w="3544" w:type="dxa"/>
            <w:gridSpan w:val="2"/>
            <w:vAlign w:val="center"/>
          </w:tcPr>
          <w:p w14:paraId="439BFB1E">
            <w:pPr>
              <w:pStyle w:val="11"/>
            </w:pPr>
            <w:r>
              <w:t>12月底</w:t>
            </w:r>
          </w:p>
        </w:tc>
      </w:tr>
      <w:tr w14:paraId="304B9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073477"/>
        </w:tc>
        <w:tc>
          <w:tcPr>
            <w:tcW w:w="5103" w:type="dxa"/>
            <w:gridSpan w:val="2"/>
            <w:vAlign w:val="center"/>
          </w:tcPr>
          <w:p w14:paraId="7248C9B5">
            <w:pPr>
              <w:pStyle w:val="12"/>
            </w:pPr>
            <w:r>
              <w:t>25%</w:t>
            </w:r>
          </w:p>
        </w:tc>
        <w:tc>
          <w:tcPr>
            <w:tcW w:w="2835" w:type="dxa"/>
            <w:vAlign w:val="center"/>
          </w:tcPr>
          <w:p w14:paraId="5A7A1DAD">
            <w:pPr>
              <w:pStyle w:val="12"/>
            </w:pPr>
            <w:r>
              <w:t>50%</w:t>
            </w:r>
          </w:p>
        </w:tc>
        <w:tc>
          <w:tcPr>
            <w:tcW w:w="2551" w:type="dxa"/>
            <w:vAlign w:val="center"/>
          </w:tcPr>
          <w:p w14:paraId="464F6E30">
            <w:pPr>
              <w:pStyle w:val="12"/>
            </w:pPr>
            <w:r>
              <w:t>75%</w:t>
            </w:r>
          </w:p>
        </w:tc>
        <w:tc>
          <w:tcPr>
            <w:tcW w:w="3544" w:type="dxa"/>
            <w:gridSpan w:val="2"/>
            <w:vAlign w:val="center"/>
          </w:tcPr>
          <w:p w14:paraId="53AB52C8">
            <w:pPr>
              <w:pStyle w:val="12"/>
            </w:pPr>
            <w:r>
              <w:t>100%</w:t>
            </w:r>
          </w:p>
        </w:tc>
      </w:tr>
      <w:tr w14:paraId="6AA30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41FBB8">
            <w:pPr>
              <w:pStyle w:val="11"/>
            </w:pPr>
            <w:r>
              <w:t>绩效目标</w:t>
            </w:r>
          </w:p>
        </w:tc>
        <w:tc>
          <w:tcPr>
            <w:tcW w:w="14033" w:type="dxa"/>
            <w:gridSpan w:val="6"/>
            <w:vAlign w:val="center"/>
          </w:tcPr>
          <w:p w14:paraId="726C1386">
            <w:pPr>
              <w:pStyle w:val="13"/>
            </w:pPr>
            <w:r>
              <w:t xml:space="preserve">1.目标内容2：项目需资金51.8万元，资金拨付率达到100%。 </w:t>
            </w:r>
            <w:r>
              <w:tab/>
            </w:r>
          </w:p>
          <w:p w14:paraId="7454A355">
            <w:pPr>
              <w:pStyle w:val="13"/>
            </w:pPr>
            <w:r>
              <w:t xml:space="preserve">2.目标内容1：改善就学条件，提升学校形象，保障义务教育阶段教学安全，创造良好的校园环境。 </w:t>
            </w:r>
            <w:r>
              <w:tab/>
            </w:r>
            <w:r>
              <w:tab/>
            </w:r>
          </w:p>
        </w:tc>
      </w:tr>
    </w:tbl>
    <w:p w14:paraId="3FDD62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B4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E42FF">
            <w:pPr>
              <w:pStyle w:val="11"/>
            </w:pPr>
            <w:r>
              <w:t>一级指标</w:t>
            </w:r>
          </w:p>
        </w:tc>
        <w:tc>
          <w:tcPr>
            <w:tcW w:w="2268" w:type="dxa"/>
            <w:vAlign w:val="center"/>
          </w:tcPr>
          <w:p w14:paraId="5A03AED5">
            <w:pPr>
              <w:pStyle w:val="11"/>
            </w:pPr>
            <w:r>
              <w:t>二级指标</w:t>
            </w:r>
          </w:p>
        </w:tc>
        <w:tc>
          <w:tcPr>
            <w:tcW w:w="2835" w:type="dxa"/>
            <w:vAlign w:val="center"/>
          </w:tcPr>
          <w:p w14:paraId="770A0110">
            <w:pPr>
              <w:pStyle w:val="11"/>
            </w:pPr>
            <w:r>
              <w:t>三级指标</w:t>
            </w:r>
          </w:p>
        </w:tc>
        <w:tc>
          <w:tcPr>
            <w:tcW w:w="5386" w:type="dxa"/>
            <w:vAlign w:val="center"/>
          </w:tcPr>
          <w:p w14:paraId="11FD3EB1">
            <w:pPr>
              <w:pStyle w:val="11"/>
            </w:pPr>
            <w:r>
              <w:t>绩效指标描述</w:t>
            </w:r>
          </w:p>
        </w:tc>
        <w:tc>
          <w:tcPr>
            <w:tcW w:w="2268" w:type="dxa"/>
            <w:vAlign w:val="center"/>
          </w:tcPr>
          <w:p w14:paraId="76D04CAC">
            <w:pPr>
              <w:pStyle w:val="11"/>
            </w:pPr>
            <w:r>
              <w:t>指标值</w:t>
            </w:r>
          </w:p>
        </w:tc>
        <w:tc>
          <w:tcPr>
            <w:tcW w:w="1276" w:type="dxa"/>
            <w:vAlign w:val="center"/>
          </w:tcPr>
          <w:p w14:paraId="1836E5C0">
            <w:pPr>
              <w:pStyle w:val="11"/>
            </w:pPr>
            <w:r>
              <w:t>指标值确定依据</w:t>
            </w:r>
          </w:p>
        </w:tc>
      </w:tr>
      <w:tr w14:paraId="35F06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2D4F5">
            <w:pPr>
              <w:pStyle w:val="12"/>
            </w:pPr>
            <w:r>
              <w:t>产出指标</w:t>
            </w:r>
          </w:p>
        </w:tc>
        <w:tc>
          <w:tcPr>
            <w:tcW w:w="2268" w:type="dxa"/>
            <w:vAlign w:val="center"/>
          </w:tcPr>
          <w:p w14:paraId="7A2786EB">
            <w:pPr>
              <w:pStyle w:val="13"/>
            </w:pPr>
            <w:r>
              <w:t>数量指标</w:t>
            </w:r>
          </w:p>
        </w:tc>
        <w:tc>
          <w:tcPr>
            <w:tcW w:w="2835" w:type="dxa"/>
            <w:vAlign w:val="center"/>
          </w:tcPr>
          <w:p w14:paraId="7E53A01A">
            <w:pPr>
              <w:pStyle w:val="13"/>
            </w:pPr>
            <w:r>
              <w:t>项目数量</w:t>
            </w:r>
          </w:p>
        </w:tc>
        <w:tc>
          <w:tcPr>
            <w:tcW w:w="5386" w:type="dxa"/>
            <w:vAlign w:val="center"/>
          </w:tcPr>
          <w:p w14:paraId="5D484775">
            <w:pPr>
              <w:pStyle w:val="13"/>
            </w:pPr>
            <w:r>
              <w:t>宿舍楼及消防工程</w:t>
            </w:r>
          </w:p>
        </w:tc>
        <w:tc>
          <w:tcPr>
            <w:tcW w:w="2268" w:type="dxa"/>
            <w:vAlign w:val="center"/>
          </w:tcPr>
          <w:p w14:paraId="1FBA5EC5">
            <w:pPr>
              <w:pStyle w:val="13"/>
            </w:pPr>
            <w:r>
              <w:t>2项</w:t>
            </w:r>
          </w:p>
        </w:tc>
        <w:tc>
          <w:tcPr>
            <w:tcW w:w="1276" w:type="dxa"/>
            <w:vAlign w:val="center"/>
          </w:tcPr>
          <w:p w14:paraId="32C648E5">
            <w:pPr>
              <w:pStyle w:val="13"/>
            </w:pPr>
            <w:r>
              <w:t>项目规划</w:t>
            </w:r>
          </w:p>
        </w:tc>
      </w:tr>
      <w:tr w14:paraId="5FBE7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32DBB"/>
        </w:tc>
        <w:tc>
          <w:tcPr>
            <w:tcW w:w="2268" w:type="dxa"/>
            <w:vAlign w:val="center"/>
          </w:tcPr>
          <w:p w14:paraId="1067B804">
            <w:pPr>
              <w:pStyle w:val="13"/>
            </w:pPr>
            <w:r>
              <w:t>质量指标</w:t>
            </w:r>
          </w:p>
        </w:tc>
        <w:tc>
          <w:tcPr>
            <w:tcW w:w="2835" w:type="dxa"/>
            <w:vAlign w:val="center"/>
          </w:tcPr>
          <w:p w14:paraId="77060411">
            <w:pPr>
              <w:pStyle w:val="13"/>
            </w:pPr>
            <w:r>
              <w:t>工程实施验收合格率</w:t>
            </w:r>
          </w:p>
        </w:tc>
        <w:tc>
          <w:tcPr>
            <w:tcW w:w="5386" w:type="dxa"/>
            <w:vAlign w:val="center"/>
          </w:tcPr>
          <w:p w14:paraId="40CEB426">
            <w:pPr>
              <w:pStyle w:val="13"/>
            </w:pPr>
            <w:r>
              <w:t>申报程序的合规，项目实施及资金使用符合项目规划</w:t>
            </w:r>
          </w:p>
        </w:tc>
        <w:tc>
          <w:tcPr>
            <w:tcW w:w="2268" w:type="dxa"/>
            <w:vAlign w:val="center"/>
          </w:tcPr>
          <w:p w14:paraId="6EDAFC7C">
            <w:pPr>
              <w:pStyle w:val="13"/>
            </w:pPr>
            <w:r>
              <w:t>≥100%</w:t>
            </w:r>
          </w:p>
        </w:tc>
        <w:tc>
          <w:tcPr>
            <w:tcW w:w="1276" w:type="dxa"/>
            <w:vAlign w:val="center"/>
          </w:tcPr>
          <w:p w14:paraId="52382207">
            <w:pPr>
              <w:pStyle w:val="13"/>
            </w:pPr>
            <w:r>
              <w:t>项目规划</w:t>
            </w:r>
          </w:p>
        </w:tc>
      </w:tr>
      <w:tr w14:paraId="1281E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025C3"/>
        </w:tc>
        <w:tc>
          <w:tcPr>
            <w:tcW w:w="2268" w:type="dxa"/>
            <w:vAlign w:val="center"/>
          </w:tcPr>
          <w:p w14:paraId="0BED23CC">
            <w:pPr>
              <w:pStyle w:val="13"/>
            </w:pPr>
            <w:r>
              <w:t>时效指标</w:t>
            </w:r>
          </w:p>
        </w:tc>
        <w:tc>
          <w:tcPr>
            <w:tcW w:w="2835" w:type="dxa"/>
            <w:vAlign w:val="center"/>
          </w:tcPr>
          <w:p w14:paraId="5CA6D69B">
            <w:pPr>
              <w:pStyle w:val="13"/>
            </w:pPr>
            <w:r>
              <w:t>资金支付率</w:t>
            </w:r>
          </w:p>
        </w:tc>
        <w:tc>
          <w:tcPr>
            <w:tcW w:w="5386" w:type="dxa"/>
            <w:vAlign w:val="center"/>
          </w:tcPr>
          <w:p w14:paraId="6658FC5A">
            <w:pPr>
              <w:pStyle w:val="13"/>
            </w:pPr>
            <w:r>
              <w:t>按照序时进度完成资金支付</w:t>
            </w:r>
          </w:p>
        </w:tc>
        <w:tc>
          <w:tcPr>
            <w:tcW w:w="2268" w:type="dxa"/>
            <w:vAlign w:val="center"/>
          </w:tcPr>
          <w:p w14:paraId="5F9A04CE">
            <w:pPr>
              <w:pStyle w:val="13"/>
            </w:pPr>
            <w:r>
              <w:t>≥100%</w:t>
            </w:r>
          </w:p>
        </w:tc>
        <w:tc>
          <w:tcPr>
            <w:tcW w:w="1276" w:type="dxa"/>
            <w:vAlign w:val="center"/>
          </w:tcPr>
          <w:p w14:paraId="2DD2C278">
            <w:pPr>
              <w:pStyle w:val="13"/>
            </w:pPr>
            <w:r>
              <w:t>项目规划</w:t>
            </w:r>
          </w:p>
        </w:tc>
      </w:tr>
      <w:tr w14:paraId="1B3C7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6A86D"/>
        </w:tc>
        <w:tc>
          <w:tcPr>
            <w:tcW w:w="2268" w:type="dxa"/>
            <w:vAlign w:val="center"/>
          </w:tcPr>
          <w:p w14:paraId="0BEB4CAC">
            <w:pPr>
              <w:pStyle w:val="13"/>
            </w:pPr>
            <w:r>
              <w:t>成本指标</w:t>
            </w:r>
          </w:p>
        </w:tc>
        <w:tc>
          <w:tcPr>
            <w:tcW w:w="2835" w:type="dxa"/>
            <w:vAlign w:val="center"/>
          </w:tcPr>
          <w:p w14:paraId="360F84B2">
            <w:pPr>
              <w:pStyle w:val="13"/>
            </w:pPr>
            <w:r>
              <w:t>项目成本控制情况</w:t>
            </w:r>
          </w:p>
        </w:tc>
        <w:tc>
          <w:tcPr>
            <w:tcW w:w="5386" w:type="dxa"/>
            <w:vAlign w:val="center"/>
          </w:tcPr>
          <w:p w14:paraId="1EC88D66">
            <w:pPr>
              <w:pStyle w:val="13"/>
            </w:pPr>
            <w:r>
              <w:t>严格按照招标价格及审计额进行</w:t>
            </w:r>
          </w:p>
        </w:tc>
        <w:tc>
          <w:tcPr>
            <w:tcW w:w="2268" w:type="dxa"/>
            <w:vAlign w:val="center"/>
          </w:tcPr>
          <w:p w14:paraId="1A9D5EC1">
            <w:pPr>
              <w:pStyle w:val="13"/>
            </w:pPr>
            <w:r>
              <w:t>51.8万元</w:t>
            </w:r>
          </w:p>
        </w:tc>
        <w:tc>
          <w:tcPr>
            <w:tcW w:w="1276" w:type="dxa"/>
            <w:vAlign w:val="center"/>
          </w:tcPr>
          <w:p w14:paraId="5D733D1C">
            <w:pPr>
              <w:pStyle w:val="13"/>
            </w:pPr>
            <w:r>
              <w:t>项目规划</w:t>
            </w:r>
          </w:p>
        </w:tc>
      </w:tr>
      <w:tr w14:paraId="056F5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E702F7">
            <w:pPr>
              <w:pStyle w:val="12"/>
            </w:pPr>
            <w:r>
              <w:t>效益指标</w:t>
            </w:r>
          </w:p>
        </w:tc>
        <w:tc>
          <w:tcPr>
            <w:tcW w:w="2268" w:type="dxa"/>
            <w:vAlign w:val="center"/>
          </w:tcPr>
          <w:p w14:paraId="0C48D27D">
            <w:pPr>
              <w:pStyle w:val="13"/>
            </w:pPr>
            <w:r>
              <w:t>可持续影响指标</w:t>
            </w:r>
          </w:p>
        </w:tc>
        <w:tc>
          <w:tcPr>
            <w:tcW w:w="2835" w:type="dxa"/>
            <w:vAlign w:val="center"/>
          </w:tcPr>
          <w:p w14:paraId="575CCD5A">
            <w:pPr>
              <w:pStyle w:val="13"/>
            </w:pPr>
            <w:r>
              <w:t>工程使用年限</w:t>
            </w:r>
          </w:p>
        </w:tc>
        <w:tc>
          <w:tcPr>
            <w:tcW w:w="5386" w:type="dxa"/>
            <w:vAlign w:val="center"/>
          </w:tcPr>
          <w:p w14:paraId="0CA37692">
            <w:pPr>
              <w:pStyle w:val="13"/>
            </w:pPr>
            <w:r>
              <w:t>工程使用年限</w:t>
            </w:r>
          </w:p>
        </w:tc>
        <w:tc>
          <w:tcPr>
            <w:tcW w:w="2268" w:type="dxa"/>
            <w:vAlign w:val="center"/>
          </w:tcPr>
          <w:p w14:paraId="0BA103EF">
            <w:pPr>
              <w:pStyle w:val="13"/>
            </w:pPr>
            <w:r>
              <w:t>≥15年</w:t>
            </w:r>
          </w:p>
        </w:tc>
        <w:tc>
          <w:tcPr>
            <w:tcW w:w="1276" w:type="dxa"/>
            <w:vAlign w:val="center"/>
          </w:tcPr>
          <w:p w14:paraId="1B670276">
            <w:pPr>
              <w:pStyle w:val="13"/>
            </w:pPr>
            <w:r>
              <w:t>项目规划</w:t>
            </w:r>
          </w:p>
        </w:tc>
      </w:tr>
      <w:tr w14:paraId="30C9C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A1C7EE">
            <w:pPr>
              <w:pStyle w:val="12"/>
            </w:pPr>
            <w:r>
              <w:t>满意度指标</w:t>
            </w:r>
          </w:p>
        </w:tc>
        <w:tc>
          <w:tcPr>
            <w:tcW w:w="2268" w:type="dxa"/>
            <w:vAlign w:val="center"/>
          </w:tcPr>
          <w:p w14:paraId="291DA179">
            <w:pPr>
              <w:pStyle w:val="13"/>
            </w:pPr>
            <w:r>
              <w:t>服务对象满意度指标</w:t>
            </w:r>
          </w:p>
        </w:tc>
        <w:tc>
          <w:tcPr>
            <w:tcW w:w="2835" w:type="dxa"/>
            <w:vAlign w:val="center"/>
          </w:tcPr>
          <w:p w14:paraId="373794FD">
            <w:pPr>
              <w:pStyle w:val="13"/>
            </w:pPr>
            <w:r>
              <w:t>受益学生家长及调查满意度</w:t>
            </w:r>
          </w:p>
        </w:tc>
        <w:tc>
          <w:tcPr>
            <w:tcW w:w="5386" w:type="dxa"/>
            <w:vAlign w:val="center"/>
          </w:tcPr>
          <w:p w14:paraId="1502ECCA">
            <w:pPr>
              <w:pStyle w:val="13"/>
            </w:pPr>
            <w:r>
              <w:t>学生、教师及家长对学校教学环境满意度情况</w:t>
            </w:r>
          </w:p>
        </w:tc>
        <w:tc>
          <w:tcPr>
            <w:tcW w:w="2268" w:type="dxa"/>
            <w:vAlign w:val="center"/>
          </w:tcPr>
          <w:p w14:paraId="7F969D56">
            <w:pPr>
              <w:pStyle w:val="13"/>
            </w:pPr>
            <w:r>
              <w:t>≥95%</w:t>
            </w:r>
          </w:p>
        </w:tc>
        <w:tc>
          <w:tcPr>
            <w:tcW w:w="1276" w:type="dxa"/>
            <w:vAlign w:val="center"/>
          </w:tcPr>
          <w:p w14:paraId="56CA6F57">
            <w:pPr>
              <w:pStyle w:val="13"/>
            </w:pPr>
            <w:r>
              <w:t>调查问卷</w:t>
            </w:r>
          </w:p>
        </w:tc>
      </w:tr>
    </w:tbl>
    <w:p w14:paraId="19ED11F6">
      <w:pPr>
        <w:sectPr>
          <w:pgSz w:w="16840" w:h="11900" w:orient="landscape"/>
          <w:pgMar w:top="1361" w:right="1020" w:bottom="1134" w:left="1020" w:header="720" w:footer="720" w:gutter="0"/>
          <w:cols w:space="720" w:num="1"/>
        </w:sectPr>
      </w:pPr>
    </w:p>
    <w:p w14:paraId="747FF5E4">
      <w:pPr>
        <w:spacing w:before="0" w:after="0"/>
        <w:ind w:firstLine="560"/>
        <w:jc w:val="left"/>
        <w:outlineLvl w:val="9"/>
      </w:pPr>
      <w:r>
        <w:rPr>
          <w:rFonts w:ascii="方正仿宋_GBK" w:hAnsi="方正仿宋_GBK" w:eastAsia="方正仿宋_GBK" w:cs="方正仿宋_GBK"/>
          <w:b/>
          <w:color w:val="000000"/>
          <w:sz w:val="28"/>
        </w:rPr>
        <w:t>34、县级配套/东良校区学前教育幼儿资助绩效目标表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4C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92D56">
            <w:pPr>
              <w:pStyle w:val="14"/>
            </w:pPr>
            <w:r>
              <w:t>单位：万元</w:t>
            </w:r>
          </w:p>
        </w:tc>
      </w:tr>
      <w:tr w14:paraId="1B585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9491DB">
            <w:pPr>
              <w:pStyle w:val="11"/>
            </w:pPr>
            <w:r>
              <w:t>项目编码</w:t>
            </w:r>
          </w:p>
        </w:tc>
        <w:tc>
          <w:tcPr>
            <w:tcW w:w="5103" w:type="dxa"/>
            <w:gridSpan w:val="2"/>
            <w:vAlign w:val="center"/>
          </w:tcPr>
          <w:p w14:paraId="4D99CBE4">
            <w:pPr>
              <w:pStyle w:val="13"/>
            </w:pPr>
            <w:r>
              <w:t>13052525P00000210018D</w:t>
            </w:r>
          </w:p>
        </w:tc>
        <w:tc>
          <w:tcPr>
            <w:tcW w:w="2835" w:type="dxa"/>
            <w:vAlign w:val="center"/>
          </w:tcPr>
          <w:p w14:paraId="24F065DA">
            <w:pPr>
              <w:pStyle w:val="11"/>
            </w:pPr>
            <w:r>
              <w:t>项目名称</w:t>
            </w:r>
          </w:p>
        </w:tc>
        <w:tc>
          <w:tcPr>
            <w:tcW w:w="6095" w:type="dxa"/>
            <w:gridSpan w:val="3"/>
            <w:vAlign w:val="center"/>
          </w:tcPr>
          <w:p w14:paraId="6AD87916">
            <w:pPr>
              <w:pStyle w:val="13"/>
            </w:pPr>
            <w:r>
              <w:t>县级配套/东良校区学前教育幼儿资助</w:t>
            </w:r>
          </w:p>
        </w:tc>
      </w:tr>
      <w:tr w14:paraId="2A45E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812A9">
            <w:pPr>
              <w:pStyle w:val="11"/>
            </w:pPr>
            <w:r>
              <w:t>预算规模及资金用途</w:t>
            </w:r>
          </w:p>
        </w:tc>
        <w:tc>
          <w:tcPr>
            <w:tcW w:w="2268" w:type="dxa"/>
            <w:vAlign w:val="center"/>
          </w:tcPr>
          <w:p w14:paraId="1710A6C7">
            <w:pPr>
              <w:pStyle w:val="11"/>
            </w:pPr>
            <w:r>
              <w:t>预算数</w:t>
            </w:r>
          </w:p>
        </w:tc>
        <w:tc>
          <w:tcPr>
            <w:tcW w:w="2835" w:type="dxa"/>
            <w:vAlign w:val="center"/>
          </w:tcPr>
          <w:p w14:paraId="13570D8E">
            <w:pPr>
              <w:pStyle w:val="13"/>
            </w:pPr>
            <w:r>
              <w:t>1.40</w:t>
            </w:r>
          </w:p>
        </w:tc>
        <w:tc>
          <w:tcPr>
            <w:tcW w:w="2835" w:type="dxa"/>
            <w:vAlign w:val="center"/>
          </w:tcPr>
          <w:p w14:paraId="583B67CA">
            <w:pPr>
              <w:pStyle w:val="11"/>
            </w:pPr>
            <w:r>
              <w:t>其中：财政    资金</w:t>
            </w:r>
          </w:p>
        </w:tc>
        <w:tc>
          <w:tcPr>
            <w:tcW w:w="2551" w:type="dxa"/>
            <w:vAlign w:val="center"/>
          </w:tcPr>
          <w:p w14:paraId="0953357E">
            <w:pPr>
              <w:pStyle w:val="13"/>
            </w:pPr>
            <w:r>
              <w:t>1.40</w:t>
            </w:r>
          </w:p>
        </w:tc>
        <w:tc>
          <w:tcPr>
            <w:tcW w:w="2268" w:type="dxa"/>
            <w:vAlign w:val="center"/>
          </w:tcPr>
          <w:p w14:paraId="296B227C">
            <w:pPr>
              <w:pStyle w:val="11"/>
            </w:pPr>
            <w:r>
              <w:t>其他资金</w:t>
            </w:r>
          </w:p>
        </w:tc>
        <w:tc>
          <w:tcPr>
            <w:tcW w:w="1276" w:type="dxa"/>
            <w:vAlign w:val="center"/>
          </w:tcPr>
          <w:p w14:paraId="27746BBA">
            <w:pPr>
              <w:pStyle w:val="13"/>
            </w:pPr>
            <w:r>
              <w:t xml:space="preserve"> </w:t>
            </w:r>
          </w:p>
        </w:tc>
      </w:tr>
      <w:tr w14:paraId="23BD1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29D7B3"/>
        </w:tc>
        <w:tc>
          <w:tcPr>
            <w:tcW w:w="14033" w:type="dxa"/>
            <w:gridSpan w:val="6"/>
            <w:vAlign w:val="center"/>
          </w:tcPr>
          <w:p w14:paraId="2D3DE811">
            <w:pPr>
              <w:pStyle w:val="13"/>
            </w:pPr>
            <w:r>
              <w:t>保证本年度资助经费足额落实到位，符合享受资助条件的学生应助尽助。</w:t>
            </w:r>
            <w:r>
              <w:tab/>
            </w:r>
            <w:r>
              <w:tab/>
            </w:r>
            <w:r>
              <w:tab/>
            </w:r>
            <w:r>
              <w:tab/>
            </w:r>
            <w:r>
              <w:tab/>
            </w:r>
            <w:r>
              <w:tab/>
            </w:r>
            <w:r>
              <w:tab/>
            </w:r>
          </w:p>
          <w:p w14:paraId="26BB3893">
            <w:pPr>
              <w:pStyle w:val="13"/>
            </w:pPr>
          </w:p>
        </w:tc>
      </w:tr>
      <w:tr w14:paraId="523BE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15E2D">
            <w:pPr>
              <w:pStyle w:val="11"/>
            </w:pPr>
            <w:r>
              <w:t>资金支出计划（%）</w:t>
            </w:r>
          </w:p>
        </w:tc>
        <w:tc>
          <w:tcPr>
            <w:tcW w:w="5103" w:type="dxa"/>
            <w:gridSpan w:val="2"/>
            <w:vAlign w:val="center"/>
          </w:tcPr>
          <w:p w14:paraId="2FA53249">
            <w:pPr>
              <w:pStyle w:val="11"/>
            </w:pPr>
            <w:r>
              <w:t>3月底</w:t>
            </w:r>
          </w:p>
        </w:tc>
        <w:tc>
          <w:tcPr>
            <w:tcW w:w="2835" w:type="dxa"/>
            <w:vAlign w:val="center"/>
          </w:tcPr>
          <w:p w14:paraId="5B428186">
            <w:pPr>
              <w:pStyle w:val="11"/>
            </w:pPr>
            <w:r>
              <w:t>6月底</w:t>
            </w:r>
          </w:p>
        </w:tc>
        <w:tc>
          <w:tcPr>
            <w:tcW w:w="2551" w:type="dxa"/>
            <w:vAlign w:val="center"/>
          </w:tcPr>
          <w:p w14:paraId="68C1601D">
            <w:pPr>
              <w:pStyle w:val="11"/>
            </w:pPr>
            <w:r>
              <w:t>10月底</w:t>
            </w:r>
          </w:p>
        </w:tc>
        <w:tc>
          <w:tcPr>
            <w:tcW w:w="3544" w:type="dxa"/>
            <w:gridSpan w:val="2"/>
            <w:vAlign w:val="center"/>
          </w:tcPr>
          <w:p w14:paraId="6ADB2C3E">
            <w:pPr>
              <w:pStyle w:val="11"/>
            </w:pPr>
            <w:r>
              <w:t>12月底</w:t>
            </w:r>
          </w:p>
        </w:tc>
      </w:tr>
      <w:tr w14:paraId="2A14E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02B1F0"/>
        </w:tc>
        <w:tc>
          <w:tcPr>
            <w:tcW w:w="5103" w:type="dxa"/>
            <w:gridSpan w:val="2"/>
            <w:vAlign w:val="center"/>
          </w:tcPr>
          <w:p w14:paraId="05652A41">
            <w:pPr>
              <w:pStyle w:val="12"/>
            </w:pPr>
            <w:r>
              <w:t>50%</w:t>
            </w:r>
          </w:p>
        </w:tc>
        <w:tc>
          <w:tcPr>
            <w:tcW w:w="2835" w:type="dxa"/>
            <w:vAlign w:val="center"/>
          </w:tcPr>
          <w:p w14:paraId="402D675D">
            <w:pPr>
              <w:pStyle w:val="12"/>
            </w:pPr>
            <w:r>
              <w:t>50%</w:t>
            </w:r>
          </w:p>
        </w:tc>
        <w:tc>
          <w:tcPr>
            <w:tcW w:w="2551" w:type="dxa"/>
            <w:vAlign w:val="center"/>
          </w:tcPr>
          <w:p w14:paraId="044479EB">
            <w:pPr>
              <w:pStyle w:val="12"/>
            </w:pPr>
            <w:r>
              <w:t>100%</w:t>
            </w:r>
          </w:p>
        </w:tc>
        <w:tc>
          <w:tcPr>
            <w:tcW w:w="3544" w:type="dxa"/>
            <w:gridSpan w:val="2"/>
            <w:vAlign w:val="center"/>
          </w:tcPr>
          <w:p w14:paraId="383FEAA9">
            <w:pPr>
              <w:pStyle w:val="12"/>
            </w:pPr>
            <w:r>
              <w:t>100%</w:t>
            </w:r>
          </w:p>
        </w:tc>
      </w:tr>
      <w:tr w14:paraId="06731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82394">
            <w:pPr>
              <w:pStyle w:val="11"/>
            </w:pPr>
            <w:r>
              <w:t>绩效目标</w:t>
            </w:r>
          </w:p>
        </w:tc>
        <w:tc>
          <w:tcPr>
            <w:tcW w:w="14033" w:type="dxa"/>
            <w:gridSpan w:val="6"/>
            <w:vAlign w:val="center"/>
          </w:tcPr>
          <w:p w14:paraId="20C1802B">
            <w:pPr>
              <w:pStyle w:val="13"/>
            </w:pPr>
            <w:r>
              <w:t>1.保障落实建档立卡及家庭经济困难儿童资助所需资金，确保建档立卡等家庭经济困难幼儿优先获得资助。</w:t>
            </w:r>
          </w:p>
          <w:p w14:paraId="74006E7F">
            <w:pPr>
              <w:pStyle w:val="13"/>
            </w:pPr>
            <w:r>
              <w:t>2.保证本年度资助经费足额落实到位，符合享受资助条件的学生应助尽助。</w:t>
            </w:r>
          </w:p>
        </w:tc>
      </w:tr>
    </w:tbl>
    <w:p w14:paraId="4920B5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E6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2E04C">
            <w:pPr>
              <w:pStyle w:val="11"/>
            </w:pPr>
            <w:r>
              <w:t>一级指标</w:t>
            </w:r>
          </w:p>
        </w:tc>
        <w:tc>
          <w:tcPr>
            <w:tcW w:w="2268" w:type="dxa"/>
            <w:vAlign w:val="center"/>
          </w:tcPr>
          <w:p w14:paraId="738B15AE">
            <w:pPr>
              <w:pStyle w:val="11"/>
            </w:pPr>
            <w:r>
              <w:t>二级指标</w:t>
            </w:r>
          </w:p>
        </w:tc>
        <w:tc>
          <w:tcPr>
            <w:tcW w:w="2835" w:type="dxa"/>
            <w:vAlign w:val="center"/>
          </w:tcPr>
          <w:p w14:paraId="346EB40A">
            <w:pPr>
              <w:pStyle w:val="11"/>
            </w:pPr>
            <w:r>
              <w:t>三级指标</w:t>
            </w:r>
          </w:p>
        </w:tc>
        <w:tc>
          <w:tcPr>
            <w:tcW w:w="5386" w:type="dxa"/>
            <w:vAlign w:val="center"/>
          </w:tcPr>
          <w:p w14:paraId="2C6DC981">
            <w:pPr>
              <w:pStyle w:val="11"/>
            </w:pPr>
            <w:r>
              <w:t>绩效指标描述</w:t>
            </w:r>
          </w:p>
        </w:tc>
        <w:tc>
          <w:tcPr>
            <w:tcW w:w="2268" w:type="dxa"/>
            <w:vAlign w:val="center"/>
          </w:tcPr>
          <w:p w14:paraId="490ED8F0">
            <w:pPr>
              <w:pStyle w:val="11"/>
            </w:pPr>
            <w:r>
              <w:t>指标值</w:t>
            </w:r>
          </w:p>
        </w:tc>
        <w:tc>
          <w:tcPr>
            <w:tcW w:w="1276" w:type="dxa"/>
            <w:vAlign w:val="center"/>
          </w:tcPr>
          <w:p w14:paraId="6F155725">
            <w:pPr>
              <w:pStyle w:val="11"/>
            </w:pPr>
            <w:r>
              <w:t>指标值确定依据</w:t>
            </w:r>
          </w:p>
        </w:tc>
      </w:tr>
      <w:tr w14:paraId="7DD6E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BD556">
            <w:pPr>
              <w:pStyle w:val="12"/>
            </w:pPr>
            <w:r>
              <w:t>产出指标</w:t>
            </w:r>
          </w:p>
        </w:tc>
        <w:tc>
          <w:tcPr>
            <w:tcW w:w="2268" w:type="dxa"/>
            <w:vAlign w:val="center"/>
          </w:tcPr>
          <w:p w14:paraId="5BC6676F">
            <w:pPr>
              <w:pStyle w:val="13"/>
            </w:pPr>
            <w:r>
              <w:t>成本指标</w:t>
            </w:r>
          </w:p>
        </w:tc>
        <w:tc>
          <w:tcPr>
            <w:tcW w:w="2835" w:type="dxa"/>
            <w:vAlign w:val="center"/>
          </w:tcPr>
          <w:p w14:paraId="3C7DD745">
            <w:pPr>
              <w:pStyle w:val="13"/>
            </w:pPr>
            <w:r>
              <w:t>幼儿园资助标准</w:t>
            </w:r>
          </w:p>
        </w:tc>
        <w:tc>
          <w:tcPr>
            <w:tcW w:w="5386" w:type="dxa"/>
            <w:vAlign w:val="center"/>
          </w:tcPr>
          <w:p w14:paraId="48EFEB80">
            <w:pPr>
              <w:pStyle w:val="13"/>
            </w:pPr>
            <w:r>
              <w:t>按照幼儿园资助标准1000元/生/年</w:t>
            </w:r>
          </w:p>
        </w:tc>
        <w:tc>
          <w:tcPr>
            <w:tcW w:w="2268" w:type="dxa"/>
            <w:vAlign w:val="center"/>
          </w:tcPr>
          <w:p w14:paraId="4C4D8BA6">
            <w:pPr>
              <w:pStyle w:val="13"/>
            </w:pPr>
            <w:r>
              <w:t>1000元/生/年</w:t>
            </w:r>
          </w:p>
        </w:tc>
        <w:tc>
          <w:tcPr>
            <w:tcW w:w="1276" w:type="dxa"/>
            <w:vAlign w:val="center"/>
          </w:tcPr>
          <w:p w14:paraId="33978836">
            <w:pPr>
              <w:pStyle w:val="13"/>
            </w:pPr>
            <w:r>
              <w:t>幼儿资助经费管理办法</w:t>
            </w:r>
          </w:p>
        </w:tc>
      </w:tr>
      <w:tr w14:paraId="782F5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21662"/>
        </w:tc>
        <w:tc>
          <w:tcPr>
            <w:tcW w:w="2268" w:type="dxa"/>
            <w:vAlign w:val="center"/>
          </w:tcPr>
          <w:p w14:paraId="55B40009">
            <w:pPr>
              <w:pStyle w:val="13"/>
            </w:pPr>
            <w:r>
              <w:t>数量指标</w:t>
            </w:r>
          </w:p>
        </w:tc>
        <w:tc>
          <w:tcPr>
            <w:tcW w:w="2835" w:type="dxa"/>
            <w:vAlign w:val="center"/>
          </w:tcPr>
          <w:p w14:paraId="7B07FB02">
            <w:pPr>
              <w:pStyle w:val="13"/>
            </w:pPr>
            <w:r>
              <w:t>幼儿资助比例</w:t>
            </w:r>
          </w:p>
        </w:tc>
        <w:tc>
          <w:tcPr>
            <w:tcW w:w="5386" w:type="dxa"/>
            <w:vAlign w:val="center"/>
          </w:tcPr>
          <w:p w14:paraId="65B8222C">
            <w:pPr>
              <w:pStyle w:val="13"/>
            </w:pPr>
            <w:r>
              <w:t>按学前适龄在园儿童10%测算</w:t>
            </w:r>
          </w:p>
        </w:tc>
        <w:tc>
          <w:tcPr>
            <w:tcW w:w="2268" w:type="dxa"/>
            <w:vAlign w:val="center"/>
          </w:tcPr>
          <w:p w14:paraId="0303C256">
            <w:pPr>
              <w:pStyle w:val="13"/>
            </w:pPr>
            <w:r>
              <w:t>≥10%</w:t>
            </w:r>
          </w:p>
        </w:tc>
        <w:tc>
          <w:tcPr>
            <w:tcW w:w="1276" w:type="dxa"/>
            <w:vAlign w:val="center"/>
          </w:tcPr>
          <w:p w14:paraId="5E04D4AC">
            <w:pPr>
              <w:pStyle w:val="13"/>
            </w:pPr>
            <w:r>
              <w:t>幼儿资助经费管理办法</w:t>
            </w:r>
          </w:p>
        </w:tc>
      </w:tr>
      <w:tr w14:paraId="13A7C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82DEB"/>
        </w:tc>
        <w:tc>
          <w:tcPr>
            <w:tcW w:w="2268" w:type="dxa"/>
            <w:vAlign w:val="center"/>
          </w:tcPr>
          <w:p w14:paraId="435E0748">
            <w:pPr>
              <w:pStyle w:val="13"/>
            </w:pPr>
            <w:r>
              <w:t>质量指标</w:t>
            </w:r>
          </w:p>
        </w:tc>
        <w:tc>
          <w:tcPr>
            <w:tcW w:w="2835" w:type="dxa"/>
            <w:vAlign w:val="center"/>
          </w:tcPr>
          <w:p w14:paraId="0BB12FE3">
            <w:pPr>
              <w:pStyle w:val="13"/>
            </w:pPr>
            <w:r>
              <w:t>学前教育资助制度落实情况</w:t>
            </w:r>
          </w:p>
        </w:tc>
        <w:tc>
          <w:tcPr>
            <w:tcW w:w="5386" w:type="dxa"/>
            <w:vAlign w:val="center"/>
          </w:tcPr>
          <w:p w14:paraId="1A924275">
            <w:pPr>
              <w:pStyle w:val="13"/>
            </w:pPr>
            <w:r>
              <w:t>符合享受资助条件的学生应助尽助</w:t>
            </w:r>
          </w:p>
        </w:tc>
        <w:tc>
          <w:tcPr>
            <w:tcW w:w="2268" w:type="dxa"/>
            <w:vAlign w:val="center"/>
          </w:tcPr>
          <w:p w14:paraId="0750901D">
            <w:pPr>
              <w:pStyle w:val="13"/>
            </w:pPr>
            <w:r>
              <w:t>≥100%</w:t>
            </w:r>
          </w:p>
        </w:tc>
        <w:tc>
          <w:tcPr>
            <w:tcW w:w="1276" w:type="dxa"/>
            <w:vAlign w:val="center"/>
          </w:tcPr>
          <w:p w14:paraId="328E43F7">
            <w:pPr>
              <w:pStyle w:val="13"/>
            </w:pPr>
            <w:r>
              <w:t>幼儿资助经费管理办法</w:t>
            </w:r>
          </w:p>
        </w:tc>
      </w:tr>
      <w:tr w14:paraId="01E61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E7C32"/>
        </w:tc>
        <w:tc>
          <w:tcPr>
            <w:tcW w:w="2268" w:type="dxa"/>
            <w:vAlign w:val="center"/>
          </w:tcPr>
          <w:p w14:paraId="79F5C1E5">
            <w:pPr>
              <w:pStyle w:val="13"/>
            </w:pPr>
            <w:r>
              <w:t>时效指标</w:t>
            </w:r>
          </w:p>
        </w:tc>
        <w:tc>
          <w:tcPr>
            <w:tcW w:w="2835" w:type="dxa"/>
            <w:vAlign w:val="center"/>
          </w:tcPr>
          <w:p w14:paraId="72EBB58D">
            <w:pPr>
              <w:pStyle w:val="13"/>
            </w:pPr>
            <w:r>
              <w:t>资金拨付率</w:t>
            </w:r>
          </w:p>
        </w:tc>
        <w:tc>
          <w:tcPr>
            <w:tcW w:w="5386" w:type="dxa"/>
            <w:vAlign w:val="center"/>
          </w:tcPr>
          <w:p w14:paraId="1F317EEF">
            <w:pPr>
              <w:pStyle w:val="13"/>
            </w:pPr>
            <w:r>
              <w:t>所有项目资金支付进度</w:t>
            </w:r>
          </w:p>
        </w:tc>
        <w:tc>
          <w:tcPr>
            <w:tcW w:w="2268" w:type="dxa"/>
            <w:vAlign w:val="center"/>
          </w:tcPr>
          <w:p w14:paraId="6242CEEE">
            <w:pPr>
              <w:pStyle w:val="13"/>
            </w:pPr>
            <w:r>
              <w:t>≥100%</w:t>
            </w:r>
          </w:p>
        </w:tc>
        <w:tc>
          <w:tcPr>
            <w:tcW w:w="1276" w:type="dxa"/>
            <w:vAlign w:val="center"/>
          </w:tcPr>
          <w:p w14:paraId="2F5DB2F4">
            <w:pPr>
              <w:pStyle w:val="13"/>
            </w:pPr>
            <w:r>
              <w:t>幼儿资助经费管理办法</w:t>
            </w:r>
          </w:p>
        </w:tc>
      </w:tr>
      <w:tr w14:paraId="789C3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5BD728">
            <w:pPr>
              <w:pStyle w:val="12"/>
            </w:pPr>
            <w:r>
              <w:t>效益指标</w:t>
            </w:r>
          </w:p>
        </w:tc>
        <w:tc>
          <w:tcPr>
            <w:tcW w:w="2268" w:type="dxa"/>
            <w:vAlign w:val="center"/>
          </w:tcPr>
          <w:p w14:paraId="4F79BD7A">
            <w:pPr>
              <w:pStyle w:val="13"/>
            </w:pPr>
            <w:r>
              <w:t>可持续影响指标</w:t>
            </w:r>
          </w:p>
        </w:tc>
        <w:tc>
          <w:tcPr>
            <w:tcW w:w="2835" w:type="dxa"/>
            <w:vAlign w:val="center"/>
          </w:tcPr>
          <w:p w14:paraId="2471739D">
            <w:pPr>
              <w:pStyle w:val="13"/>
            </w:pPr>
            <w:r>
              <w:t>幼儿园运转</w:t>
            </w:r>
          </w:p>
        </w:tc>
        <w:tc>
          <w:tcPr>
            <w:tcW w:w="5386" w:type="dxa"/>
            <w:vAlign w:val="center"/>
          </w:tcPr>
          <w:p w14:paraId="389F74CE">
            <w:pPr>
              <w:pStyle w:val="13"/>
            </w:pPr>
            <w:r>
              <w:t>幼儿受教育年限</w:t>
            </w:r>
          </w:p>
        </w:tc>
        <w:tc>
          <w:tcPr>
            <w:tcW w:w="2268" w:type="dxa"/>
            <w:vAlign w:val="center"/>
          </w:tcPr>
          <w:p w14:paraId="72DBB61B">
            <w:pPr>
              <w:pStyle w:val="13"/>
            </w:pPr>
            <w:r>
              <w:t>3年</w:t>
            </w:r>
          </w:p>
        </w:tc>
        <w:tc>
          <w:tcPr>
            <w:tcW w:w="1276" w:type="dxa"/>
            <w:vAlign w:val="center"/>
          </w:tcPr>
          <w:p w14:paraId="1C599A66">
            <w:pPr>
              <w:pStyle w:val="13"/>
            </w:pPr>
            <w:r>
              <w:t>幼儿资助经费管理办法</w:t>
            </w:r>
          </w:p>
        </w:tc>
      </w:tr>
      <w:tr w14:paraId="7F115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97F2E2">
            <w:pPr>
              <w:pStyle w:val="12"/>
            </w:pPr>
            <w:r>
              <w:t>满意度指标</w:t>
            </w:r>
          </w:p>
        </w:tc>
        <w:tc>
          <w:tcPr>
            <w:tcW w:w="2268" w:type="dxa"/>
            <w:vAlign w:val="center"/>
          </w:tcPr>
          <w:p w14:paraId="3EB4E9AD">
            <w:pPr>
              <w:pStyle w:val="13"/>
            </w:pPr>
            <w:r>
              <w:t>服务对象满意度指标</w:t>
            </w:r>
          </w:p>
        </w:tc>
        <w:tc>
          <w:tcPr>
            <w:tcW w:w="2835" w:type="dxa"/>
            <w:vAlign w:val="center"/>
          </w:tcPr>
          <w:p w14:paraId="13D7AE73">
            <w:pPr>
              <w:pStyle w:val="13"/>
            </w:pPr>
            <w:r>
              <w:t>受益幼儿家长及调查满意度</w:t>
            </w:r>
          </w:p>
        </w:tc>
        <w:tc>
          <w:tcPr>
            <w:tcW w:w="5386" w:type="dxa"/>
            <w:vAlign w:val="center"/>
          </w:tcPr>
          <w:p w14:paraId="1EBE471F">
            <w:pPr>
              <w:pStyle w:val="13"/>
            </w:pPr>
            <w:r>
              <w:t>学生、教师及家长对学校保教保育工作满意度情况</w:t>
            </w:r>
          </w:p>
        </w:tc>
        <w:tc>
          <w:tcPr>
            <w:tcW w:w="2268" w:type="dxa"/>
            <w:vAlign w:val="center"/>
          </w:tcPr>
          <w:p w14:paraId="13E8C4AB">
            <w:pPr>
              <w:pStyle w:val="13"/>
            </w:pPr>
            <w:r>
              <w:t>≥95%</w:t>
            </w:r>
          </w:p>
        </w:tc>
        <w:tc>
          <w:tcPr>
            <w:tcW w:w="1276" w:type="dxa"/>
            <w:vAlign w:val="center"/>
          </w:tcPr>
          <w:p w14:paraId="04424D91">
            <w:pPr>
              <w:pStyle w:val="13"/>
            </w:pPr>
            <w:r>
              <w:t>幼儿资助经费管理办法</w:t>
            </w:r>
          </w:p>
        </w:tc>
      </w:tr>
    </w:tbl>
    <w:p w14:paraId="0D9AEB47">
      <w:pPr>
        <w:sectPr>
          <w:pgSz w:w="16840" w:h="11900" w:orient="landscape"/>
          <w:pgMar w:top="1361" w:right="1020" w:bottom="1134" w:left="1020" w:header="720" w:footer="720" w:gutter="0"/>
          <w:cols w:space="720" w:num="1"/>
        </w:sectPr>
      </w:pPr>
    </w:p>
    <w:p w14:paraId="14818F36">
      <w:pPr>
        <w:spacing w:before="0" w:after="0"/>
        <w:ind w:firstLine="560"/>
        <w:jc w:val="left"/>
        <w:outlineLvl w:val="9"/>
      </w:pPr>
      <w:r>
        <w:rPr>
          <w:rFonts w:ascii="方正仿宋_GBK" w:hAnsi="方正仿宋_GBK" w:eastAsia="方正仿宋_GBK" w:cs="方正仿宋_GBK"/>
          <w:b/>
          <w:color w:val="000000"/>
          <w:sz w:val="28"/>
        </w:rPr>
        <w:t>35、县级资金/东良校区幼儿园公用经费绩效目标表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57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B945D">
            <w:pPr>
              <w:pStyle w:val="14"/>
            </w:pPr>
            <w:r>
              <w:t>单位：万元</w:t>
            </w:r>
          </w:p>
        </w:tc>
      </w:tr>
      <w:tr w14:paraId="05426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C83FD">
            <w:pPr>
              <w:pStyle w:val="11"/>
            </w:pPr>
            <w:r>
              <w:t>项目编码</w:t>
            </w:r>
          </w:p>
        </w:tc>
        <w:tc>
          <w:tcPr>
            <w:tcW w:w="5103" w:type="dxa"/>
            <w:gridSpan w:val="2"/>
            <w:vAlign w:val="center"/>
          </w:tcPr>
          <w:p w14:paraId="60BAA0AD">
            <w:pPr>
              <w:pStyle w:val="13"/>
            </w:pPr>
            <w:r>
              <w:t>13052524P008756100751</w:t>
            </w:r>
          </w:p>
        </w:tc>
        <w:tc>
          <w:tcPr>
            <w:tcW w:w="2835" w:type="dxa"/>
            <w:vAlign w:val="center"/>
          </w:tcPr>
          <w:p w14:paraId="2368F671">
            <w:pPr>
              <w:pStyle w:val="11"/>
            </w:pPr>
            <w:r>
              <w:t>项目名称</w:t>
            </w:r>
          </w:p>
        </w:tc>
        <w:tc>
          <w:tcPr>
            <w:tcW w:w="6095" w:type="dxa"/>
            <w:gridSpan w:val="3"/>
            <w:vAlign w:val="center"/>
          </w:tcPr>
          <w:p w14:paraId="559280C4">
            <w:pPr>
              <w:pStyle w:val="13"/>
            </w:pPr>
            <w:r>
              <w:t>县级资金/东良校区幼儿园公用经费</w:t>
            </w:r>
          </w:p>
        </w:tc>
      </w:tr>
      <w:tr w14:paraId="34E56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EB195">
            <w:pPr>
              <w:pStyle w:val="11"/>
            </w:pPr>
            <w:r>
              <w:t>预算规模及资金用途</w:t>
            </w:r>
          </w:p>
        </w:tc>
        <w:tc>
          <w:tcPr>
            <w:tcW w:w="2268" w:type="dxa"/>
            <w:vAlign w:val="center"/>
          </w:tcPr>
          <w:p w14:paraId="3DFABCDD">
            <w:pPr>
              <w:pStyle w:val="11"/>
            </w:pPr>
            <w:r>
              <w:t>预算数</w:t>
            </w:r>
          </w:p>
        </w:tc>
        <w:tc>
          <w:tcPr>
            <w:tcW w:w="2835" w:type="dxa"/>
            <w:vAlign w:val="center"/>
          </w:tcPr>
          <w:p w14:paraId="7DDBA6C2">
            <w:pPr>
              <w:pStyle w:val="13"/>
            </w:pPr>
            <w:r>
              <w:t>44.96</w:t>
            </w:r>
          </w:p>
        </w:tc>
        <w:tc>
          <w:tcPr>
            <w:tcW w:w="2835" w:type="dxa"/>
            <w:vAlign w:val="center"/>
          </w:tcPr>
          <w:p w14:paraId="66D82936">
            <w:pPr>
              <w:pStyle w:val="11"/>
            </w:pPr>
            <w:r>
              <w:t>其中：财政    资金</w:t>
            </w:r>
          </w:p>
        </w:tc>
        <w:tc>
          <w:tcPr>
            <w:tcW w:w="2551" w:type="dxa"/>
            <w:vAlign w:val="center"/>
          </w:tcPr>
          <w:p w14:paraId="33AFE57C">
            <w:pPr>
              <w:pStyle w:val="13"/>
            </w:pPr>
            <w:r>
              <w:t>44.96</w:t>
            </w:r>
          </w:p>
        </w:tc>
        <w:tc>
          <w:tcPr>
            <w:tcW w:w="2268" w:type="dxa"/>
            <w:vAlign w:val="center"/>
          </w:tcPr>
          <w:p w14:paraId="4159CF92">
            <w:pPr>
              <w:pStyle w:val="11"/>
            </w:pPr>
            <w:r>
              <w:t>其他资金</w:t>
            </w:r>
          </w:p>
        </w:tc>
        <w:tc>
          <w:tcPr>
            <w:tcW w:w="1276" w:type="dxa"/>
            <w:vAlign w:val="center"/>
          </w:tcPr>
          <w:p w14:paraId="58DB8EFA">
            <w:pPr>
              <w:pStyle w:val="13"/>
            </w:pPr>
            <w:r>
              <w:t xml:space="preserve"> </w:t>
            </w:r>
          </w:p>
        </w:tc>
      </w:tr>
      <w:tr w14:paraId="7EDDF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B95DB"/>
        </w:tc>
        <w:tc>
          <w:tcPr>
            <w:tcW w:w="14033" w:type="dxa"/>
            <w:gridSpan w:val="6"/>
            <w:vAlign w:val="center"/>
          </w:tcPr>
          <w:p w14:paraId="3606221C">
            <w:pPr>
              <w:pStyle w:val="13"/>
            </w:pPr>
            <w:r>
              <w:t>按预算要求完成2025年度学前教学任务提升及教学质量提高。</w:t>
            </w:r>
          </w:p>
        </w:tc>
      </w:tr>
      <w:tr w14:paraId="56F1A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442F8">
            <w:pPr>
              <w:pStyle w:val="11"/>
            </w:pPr>
            <w:r>
              <w:t>资金支出计划（%）</w:t>
            </w:r>
          </w:p>
        </w:tc>
        <w:tc>
          <w:tcPr>
            <w:tcW w:w="5103" w:type="dxa"/>
            <w:gridSpan w:val="2"/>
            <w:vAlign w:val="center"/>
          </w:tcPr>
          <w:p w14:paraId="588C3E65">
            <w:pPr>
              <w:pStyle w:val="11"/>
            </w:pPr>
            <w:r>
              <w:t>3月底</w:t>
            </w:r>
          </w:p>
        </w:tc>
        <w:tc>
          <w:tcPr>
            <w:tcW w:w="2835" w:type="dxa"/>
            <w:vAlign w:val="center"/>
          </w:tcPr>
          <w:p w14:paraId="65B1A640">
            <w:pPr>
              <w:pStyle w:val="11"/>
            </w:pPr>
            <w:r>
              <w:t>6月底</w:t>
            </w:r>
          </w:p>
        </w:tc>
        <w:tc>
          <w:tcPr>
            <w:tcW w:w="2551" w:type="dxa"/>
            <w:vAlign w:val="center"/>
          </w:tcPr>
          <w:p w14:paraId="7107F124">
            <w:pPr>
              <w:pStyle w:val="11"/>
            </w:pPr>
            <w:r>
              <w:t>10月底</w:t>
            </w:r>
          </w:p>
        </w:tc>
        <w:tc>
          <w:tcPr>
            <w:tcW w:w="3544" w:type="dxa"/>
            <w:gridSpan w:val="2"/>
            <w:vAlign w:val="center"/>
          </w:tcPr>
          <w:p w14:paraId="5C3C5CBB">
            <w:pPr>
              <w:pStyle w:val="11"/>
            </w:pPr>
            <w:r>
              <w:t>12月底</w:t>
            </w:r>
          </w:p>
        </w:tc>
      </w:tr>
      <w:tr w14:paraId="7C9F4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25BEC"/>
        </w:tc>
        <w:tc>
          <w:tcPr>
            <w:tcW w:w="5103" w:type="dxa"/>
            <w:gridSpan w:val="2"/>
            <w:vAlign w:val="center"/>
          </w:tcPr>
          <w:p w14:paraId="2D66602F">
            <w:pPr>
              <w:pStyle w:val="12"/>
            </w:pPr>
            <w:r>
              <w:t>25%</w:t>
            </w:r>
          </w:p>
        </w:tc>
        <w:tc>
          <w:tcPr>
            <w:tcW w:w="2835" w:type="dxa"/>
            <w:vAlign w:val="center"/>
          </w:tcPr>
          <w:p w14:paraId="79A6289E">
            <w:pPr>
              <w:pStyle w:val="12"/>
            </w:pPr>
            <w:r>
              <w:t>50%</w:t>
            </w:r>
          </w:p>
        </w:tc>
        <w:tc>
          <w:tcPr>
            <w:tcW w:w="2551" w:type="dxa"/>
            <w:vAlign w:val="center"/>
          </w:tcPr>
          <w:p w14:paraId="45A67251">
            <w:pPr>
              <w:pStyle w:val="12"/>
            </w:pPr>
            <w:r>
              <w:t>75%</w:t>
            </w:r>
          </w:p>
        </w:tc>
        <w:tc>
          <w:tcPr>
            <w:tcW w:w="3544" w:type="dxa"/>
            <w:gridSpan w:val="2"/>
            <w:vAlign w:val="center"/>
          </w:tcPr>
          <w:p w14:paraId="16BDDA8C">
            <w:pPr>
              <w:pStyle w:val="12"/>
            </w:pPr>
            <w:r>
              <w:t>100%</w:t>
            </w:r>
          </w:p>
        </w:tc>
      </w:tr>
      <w:tr w14:paraId="491B9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622CF">
            <w:pPr>
              <w:pStyle w:val="11"/>
            </w:pPr>
            <w:r>
              <w:t>绩效目标</w:t>
            </w:r>
          </w:p>
        </w:tc>
        <w:tc>
          <w:tcPr>
            <w:tcW w:w="14033" w:type="dxa"/>
            <w:gridSpan w:val="6"/>
            <w:vAlign w:val="center"/>
          </w:tcPr>
          <w:p w14:paraId="702D04A6">
            <w:pPr>
              <w:pStyle w:val="13"/>
            </w:pPr>
            <w:r>
              <w:t>1.按上缴财政序时进度完成公立幼儿园保育费支出。</w:t>
            </w:r>
          </w:p>
          <w:p w14:paraId="7755C120">
            <w:pPr>
              <w:pStyle w:val="13"/>
            </w:pPr>
            <w:r>
              <w:t>2.按预算要求完成2025年度学前教学任务提升及教学质量提高。</w:t>
            </w:r>
          </w:p>
          <w:p w14:paraId="2AA7757A">
            <w:pPr>
              <w:pStyle w:val="13"/>
            </w:pPr>
            <w:r>
              <w:t>3.按要求完成公立幼儿园保育费按月/季度上缴财政。</w:t>
            </w:r>
          </w:p>
        </w:tc>
      </w:tr>
    </w:tbl>
    <w:p w14:paraId="476D6C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69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ECBBD">
            <w:pPr>
              <w:pStyle w:val="11"/>
            </w:pPr>
            <w:r>
              <w:t>一级指标</w:t>
            </w:r>
          </w:p>
        </w:tc>
        <w:tc>
          <w:tcPr>
            <w:tcW w:w="2268" w:type="dxa"/>
            <w:vAlign w:val="center"/>
          </w:tcPr>
          <w:p w14:paraId="2D4BE3FB">
            <w:pPr>
              <w:pStyle w:val="11"/>
            </w:pPr>
            <w:r>
              <w:t>二级指标</w:t>
            </w:r>
          </w:p>
        </w:tc>
        <w:tc>
          <w:tcPr>
            <w:tcW w:w="2835" w:type="dxa"/>
            <w:vAlign w:val="center"/>
          </w:tcPr>
          <w:p w14:paraId="5B2D445F">
            <w:pPr>
              <w:pStyle w:val="11"/>
            </w:pPr>
            <w:r>
              <w:t>三级指标</w:t>
            </w:r>
          </w:p>
        </w:tc>
        <w:tc>
          <w:tcPr>
            <w:tcW w:w="5386" w:type="dxa"/>
            <w:vAlign w:val="center"/>
          </w:tcPr>
          <w:p w14:paraId="33895F5A">
            <w:pPr>
              <w:pStyle w:val="11"/>
            </w:pPr>
            <w:r>
              <w:t>绩效指标描述</w:t>
            </w:r>
          </w:p>
        </w:tc>
        <w:tc>
          <w:tcPr>
            <w:tcW w:w="2268" w:type="dxa"/>
            <w:vAlign w:val="center"/>
          </w:tcPr>
          <w:p w14:paraId="606398F5">
            <w:pPr>
              <w:pStyle w:val="11"/>
            </w:pPr>
            <w:r>
              <w:t>指标值</w:t>
            </w:r>
          </w:p>
        </w:tc>
        <w:tc>
          <w:tcPr>
            <w:tcW w:w="1276" w:type="dxa"/>
            <w:vAlign w:val="center"/>
          </w:tcPr>
          <w:p w14:paraId="7767C4E2">
            <w:pPr>
              <w:pStyle w:val="11"/>
            </w:pPr>
            <w:r>
              <w:t>指标值确定依据</w:t>
            </w:r>
          </w:p>
        </w:tc>
      </w:tr>
      <w:tr w14:paraId="59B54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369E5">
            <w:pPr>
              <w:pStyle w:val="12"/>
            </w:pPr>
            <w:r>
              <w:t>产出指标</w:t>
            </w:r>
          </w:p>
        </w:tc>
        <w:tc>
          <w:tcPr>
            <w:tcW w:w="2268" w:type="dxa"/>
            <w:vAlign w:val="center"/>
          </w:tcPr>
          <w:p w14:paraId="30CCA550">
            <w:pPr>
              <w:pStyle w:val="13"/>
            </w:pPr>
            <w:r>
              <w:t>数量指标</w:t>
            </w:r>
          </w:p>
        </w:tc>
        <w:tc>
          <w:tcPr>
            <w:tcW w:w="2835" w:type="dxa"/>
            <w:vAlign w:val="center"/>
          </w:tcPr>
          <w:p w14:paraId="74B37B42">
            <w:pPr>
              <w:pStyle w:val="13"/>
            </w:pPr>
            <w:r>
              <w:t>适龄在校生</w:t>
            </w:r>
          </w:p>
        </w:tc>
        <w:tc>
          <w:tcPr>
            <w:tcW w:w="5386" w:type="dxa"/>
            <w:vAlign w:val="center"/>
          </w:tcPr>
          <w:p w14:paraId="276AC8E4">
            <w:pPr>
              <w:pStyle w:val="13"/>
            </w:pPr>
            <w:r>
              <w:t>适龄在校就读学生人数</w:t>
            </w:r>
          </w:p>
        </w:tc>
        <w:tc>
          <w:tcPr>
            <w:tcW w:w="2268" w:type="dxa"/>
            <w:vAlign w:val="center"/>
          </w:tcPr>
          <w:p w14:paraId="4131756D">
            <w:pPr>
              <w:pStyle w:val="13"/>
            </w:pPr>
            <w:r>
              <w:t>999人</w:t>
            </w:r>
          </w:p>
        </w:tc>
        <w:tc>
          <w:tcPr>
            <w:tcW w:w="1276" w:type="dxa"/>
            <w:vAlign w:val="center"/>
          </w:tcPr>
          <w:p w14:paraId="007FC8AC">
            <w:pPr>
              <w:pStyle w:val="13"/>
            </w:pPr>
            <w:r>
              <w:t>年度工作计划</w:t>
            </w:r>
          </w:p>
        </w:tc>
      </w:tr>
      <w:tr w14:paraId="75DB2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C9068"/>
        </w:tc>
        <w:tc>
          <w:tcPr>
            <w:tcW w:w="2268" w:type="dxa"/>
            <w:vAlign w:val="center"/>
          </w:tcPr>
          <w:p w14:paraId="56A566C2">
            <w:pPr>
              <w:pStyle w:val="13"/>
            </w:pPr>
            <w:r>
              <w:t>质量指标</w:t>
            </w:r>
          </w:p>
        </w:tc>
        <w:tc>
          <w:tcPr>
            <w:tcW w:w="2835" w:type="dxa"/>
            <w:vAlign w:val="center"/>
          </w:tcPr>
          <w:p w14:paraId="6ADB546B">
            <w:pPr>
              <w:pStyle w:val="13"/>
            </w:pPr>
            <w:r>
              <w:t>按月上缴财政完成率</w:t>
            </w:r>
          </w:p>
        </w:tc>
        <w:tc>
          <w:tcPr>
            <w:tcW w:w="5386" w:type="dxa"/>
            <w:vAlign w:val="center"/>
          </w:tcPr>
          <w:p w14:paraId="58279AA5">
            <w:pPr>
              <w:pStyle w:val="13"/>
            </w:pPr>
            <w:r>
              <w:t>按月完成公立幼儿园保育费上缴财政</w:t>
            </w:r>
          </w:p>
        </w:tc>
        <w:tc>
          <w:tcPr>
            <w:tcW w:w="2268" w:type="dxa"/>
            <w:vAlign w:val="center"/>
          </w:tcPr>
          <w:p w14:paraId="7726384D">
            <w:pPr>
              <w:pStyle w:val="13"/>
            </w:pPr>
            <w:r>
              <w:t>100％</w:t>
            </w:r>
          </w:p>
        </w:tc>
        <w:tc>
          <w:tcPr>
            <w:tcW w:w="1276" w:type="dxa"/>
            <w:vAlign w:val="center"/>
          </w:tcPr>
          <w:p w14:paraId="6235135D">
            <w:pPr>
              <w:pStyle w:val="13"/>
            </w:pPr>
            <w:r>
              <w:t>年度工作计划</w:t>
            </w:r>
          </w:p>
        </w:tc>
      </w:tr>
      <w:tr w14:paraId="42452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48F98"/>
        </w:tc>
        <w:tc>
          <w:tcPr>
            <w:tcW w:w="2268" w:type="dxa"/>
            <w:vAlign w:val="center"/>
          </w:tcPr>
          <w:p w14:paraId="343CCBBA">
            <w:pPr>
              <w:pStyle w:val="13"/>
            </w:pPr>
            <w:r>
              <w:t>时效指标</w:t>
            </w:r>
          </w:p>
        </w:tc>
        <w:tc>
          <w:tcPr>
            <w:tcW w:w="2835" w:type="dxa"/>
            <w:vAlign w:val="center"/>
          </w:tcPr>
          <w:p w14:paraId="05B89E82">
            <w:pPr>
              <w:pStyle w:val="13"/>
            </w:pPr>
            <w:r>
              <w:t>资金支付率</w:t>
            </w:r>
          </w:p>
        </w:tc>
        <w:tc>
          <w:tcPr>
            <w:tcW w:w="5386" w:type="dxa"/>
            <w:vAlign w:val="center"/>
          </w:tcPr>
          <w:p w14:paraId="7071E976">
            <w:pPr>
              <w:pStyle w:val="13"/>
            </w:pPr>
            <w:r>
              <w:t>按照上缴财政进度完成公立幼儿园保育费支付</w:t>
            </w:r>
          </w:p>
        </w:tc>
        <w:tc>
          <w:tcPr>
            <w:tcW w:w="2268" w:type="dxa"/>
            <w:vAlign w:val="center"/>
          </w:tcPr>
          <w:p w14:paraId="30F39F80">
            <w:pPr>
              <w:pStyle w:val="13"/>
            </w:pPr>
            <w:r>
              <w:t>100％</w:t>
            </w:r>
          </w:p>
        </w:tc>
        <w:tc>
          <w:tcPr>
            <w:tcW w:w="1276" w:type="dxa"/>
            <w:vAlign w:val="center"/>
          </w:tcPr>
          <w:p w14:paraId="78A120F3">
            <w:pPr>
              <w:pStyle w:val="13"/>
            </w:pPr>
            <w:r>
              <w:t>年度工作计划</w:t>
            </w:r>
          </w:p>
        </w:tc>
      </w:tr>
      <w:tr w14:paraId="6AC0D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E37DD"/>
        </w:tc>
        <w:tc>
          <w:tcPr>
            <w:tcW w:w="2268" w:type="dxa"/>
            <w:vAlign w:val="center"/>
          </w:tcPr>
          <w:p w14:paraId="535893DC">
            <w:pPr>
              <w:pStyle w:val="13"/>
            </w:pPr>
            <w:r>
              <w:t>成本指标</w:t>
            </w:r>
          </w:p>
        </w:tc>
        <w:tc>
          <w:tcPr>
            <w:tcW w:w="2835" w:type="dxa"/>
            <w:vAlign w:val="center"/>
          </w:tcPr>
          <w:p w14:paraId="478315CA">
            <w:pPr>
              <w:pStyle w:val="13"/>
            </w:pPr>
            <w:r>
              <w:t>生均拨款标准拨付率</w:t>
            </w:r>
          </w:p>
          <w:p w14:paraId="4FE75763">
            <w:pPr>
              <w:pStyle w:val="13"/>
            </w:pPr>
          </w:p>
        </w:tc>
        <w:tc>
          <w:tcPr>
            <w:tcW w:w="5386" w:type="dxa"/>
            <w:vAlign w:val="center"/>
          </w:tcPr>
          <w:p w14:paraId="5422C11E">
            <w:pPr>
              <w:pStyle w:val="13"/>
            </w:pPr>
            <w:r>
              <w:t>城市一类园280元/月/生，城市二类园230元/月/生。城市三类200元/月/生，农村一类园150元/月/生，农村二类园130元/月/生，农村三类园100元/月/生</w:t>
            </w:r>
          </w:p>
        </w:tc>
        <w:tc>
          <w:tcPr>
            <w:tcW w:w="2268" w:type="dxa"/>
            <w:vAlign w:val="center"/>
          </w:tcPr>
          <w:p w14:paraId="235B1227">
            <w:pPr>
              <w:pStyle w:val="13"/>
            </w:pPr>
            <w:r>
              <w:t>100％</w:t>
            </w:r>
          </w:p>
        </w:tc>
        <w:tc>
          <w:tcPr>
            <w:tcW w:w="1276" w:type="dxa"/>
            <w:vAlign w:val="center"/>
          </w:tcPr>
          <w:p w14:paraId="2287EEE9">
            <w:pPr>
              <w:pStyle w:val="13"/>
            </w:pPr>
            <w:r>
              <w:t>年度工作计划</w:t>
            </w:r>
          </w:p>
        </w:tc>
      </w:tr>
      <w:tr w14:paraId="65C6E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1ECC1">
            <w:pPr>
              <w:pStyle w:val="12"/>
            </w:pPr>
            <w:r>
              <w:t>效益指标</w:t>
            </w:r>
          </w:p>
        </w:tc>
        <w:tc>
          <w:tcPr>
            <w:tcW w:w="2268" w:type="dxa"/>
            <w:vAlign w:val="center"/>
          </w:tcPr>
          <w:p w14:paraId="71E947A9">
            <w:pPr>
              <w:pStyle w:val="13"/>
            </w:pPr>
            <w:r>
              <w:t>经济效益指标</w:t>
            </w:r>
          </w:p>
        </w:tc>
        <w:tc>
          <w:tcPr>
            <w:tcW w:w="2835" w:type="dxa"/>
            <w:vAlign w:val="center"/>
          </w:tcPr>
          <w:p w14:paraId="593ED0B1">
            <w:pPr>
              <w:pStyle w:val="13"/>
            </w:pPr>
            <w:r>
              <w:t>幼儿园办园能力提升</w:t>
            </w:r>
          </w:p>
        </w:tc>
        <w:tc>
          <w:tcPr>
            <w:tcW w:w="5386" w:type="dxa"/>
            <w:vAlign w:val="center"/>
          </w:tcPr>
          <w:p w14:paraId="5E60193F">
            <w:pPr>
              <w:pStyle w:val="13"/>
            </w:pPr>
            <w:r>
              <w:t>幼儿园办园能力提升情况及教育教学工作等开展的情况</w:t>
            </w:r>
          </w:p>
        </w:tc>
        <w:tc>
          <w:tcPr>
            <w:tcW w:w="2268" w:type="dxa"/>
            <w:vAlign w:val="center"/>
          </w:tcPr>
          <w:p w14:paraId="6CC8BEA0">
            <w:pPr>
              <w:pStyle w:val="13"/>
            </w:pPr>
            <w:r>
              <w:t>100％</w:t>
            </w:r>
          </w:p>
        </w:tc>
        <w:tc>
          <w:tcPr>
            <w:tcW w:w="1276" w:type="dxa"/>
            <w:vAlign w:val="center"/>
          </w:tcPr>
          <w:p w14:paraId="4AF35626">
            <w:pPr>
              <w:pStyle w:val="13"/>
            </w:pPr>
            <w:r>
              <w:t>年度工作计划</w:t>
            </w:r>
          </w:p>
        </w:tc>
      </w:tr>
      <w:tr w14:paraId="522C7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16E7D1">
            <w:pPr>
              <w:pStyle w:val="12"/>
            </w:pPr>
            <w:r>
              <w:t>满意度指标</w:t>
            </w:r>
          </w:p>
        </w:tc>
        <w:tc>
          <w:tcPr>
            <w:tcW w:w="2268" w:type="dxa"/>
            <w:vAlign w:val="center"/>
          </w:tcPr>
          <w:p w14:paraId="3FDB540B">
            <w:pPr>
              <w:pStyle w:val="13"/>
            </w:pPr>
            <w:r>
              <w:t>服务对象满意度指标</w:t>
            </w:r>
          </w:p>
        </w:tc>
        <w:tc>
          <w:tcPr>
            <w:tcW w:w="2835" w:type="dxa"/>
            <w:vAlign w:val="center"/>
          </w:tcPr>
          <w:p w14:paraId="41C34626">
            <w:pPr>
              <w:pStyle w:val="13"/>
            </w:pPr>
            <w:r>
              <w:t>受益学生家长及调查满意度</w:t>
            </w:r>
          </w:p>
        </w:tc>
        <w:tc>
          <w:tcPr>
            <w:tcW w:w="5386" w:type="dxa"/>
            <w:vAlign w:val="center"/>
          </w:tcPr>
          <w:p w14:paraId="3AE71978">
            <w:pPr>
              <w:pStyle w:val="13"/>
            </w:pPr>
            <w:r>
              <w:t>幼儿、教师及家长对学校保教保育工作满意度情况</w:t>
            </w:r>
          </w:p>
        </w:tc>
        <w:tc>
          <w:tcPr>
            <w:tcW w:w="2268" w:type="dxa"/>
            <w:vAlign w:val="center"/>
          </w:tcPr>
          <w:p w14:paraId="4AF88C1C">
            <w:pPr>
              <w:pStyle w:val="13"/>
            </w:pPr>
            <w:r>
              <w:t>≥95％</w:t>
            </w:r>
          </w:p>
        </w:tc>
        <w:tc>
          <w:tcPr>
            <w:tcW w:w="1276" w:type="dxa"/>
            <w:vAlign w:val="center"/>
          </w:tcPr>
          <w:p w14:paraId="767CC909">
            <w:pPr>
              <w:pStyle w:val="13"/>
            </w:pPr>
            <w:r>
              <w:t>年度工作计划</w:t>
            </w:r>
          </w:p>
        </w:tc>
      </w:tr>
    </w:tbl>
    <w:p w14:paraId="361593F7">
      <w:pPr>
        <w:sectPr>
          <w:pgSz w:w="16840" w:h="11900" w:orient="landscape"/>
          <w:pgMar w:top="1361" w:right="1020" w:bottom="1134" w:left="1020" w:header="720" w:footer="720" w:gutter="0"/>
          <w:cols w:space="720" w:num="1"/>
        </w:sectPr>
      </w:pPr>
    </w:p>
    <w:p w14:paraId="45B9976C">
      <w:pPr>
        <w:spacing w:before="0" w:after="0"/>
        <w:ind w:firstLine="560"/>
        <w:jc w:val="left"/>
        <w:outlineLvl w:val="9"/>
      </w:pPr>
      <w:r>
        <w:rPr>
          <w:rFonts w:ascii="方正仿宋_GBK" w:hAnsi="方正仿宋_GBK" w:eastAsia="方正仿宋_GBK" w:cs="方正仿宋_GBK"/>
          <w:b/>
          <w:color w:val="000000"/>
          <w:sz w:val="28"/>
        </w:rPr>
        <w:t>36、学前专项经费/东良校区绩效目标表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4B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A609B">
            <w:pPr>
              <w:pStyle w:val="14"/>
            </w:pPr>
            <w:r>
              <w:t>单位：万元</w:t>
            </w:r>
          </w:p>
        </w:tc>
      </w:tr>
      <w:tr w14:paraId="3FDF1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04741">
            <w:pPr>
              <w:pStyle w:val="11"/>
            </w:pPr>
            <w:r>
              <w:t>项目编码</w:t>
            </w:r>
          </w:p>
        </w:tc>
        <w:tc>
          <w:tcPr>
            <w:tcW w:w="5103" w:type="dxa"/>
            <w:gridSpan w:val="2"/>
            <w:vAlign w:val="center"/>
          </w:tcPr>
          <w:p w14:paraId="009E6D28">
            <w:pPr>
              <w:pStyle w:val="13"/>
            </w:pPr>
            <w:r>
              <w:t>13052525P008756100377</w:t>
            </w:r>
          </w:p>
        </w:tc>
        <w:tc>
          <w:tcPr>
            <w:tcW w:w="2835" w:type="dxa"/>
            <w:vAlign w:val="center"/>
          </w:tcPr>
          <w:p w14:paraId="36CD1718">
            <w:pPr>
              <w:pStyle w:val="11"/>
            </w:pPr>
            <w:r>
              <w:t>项目名称</w:t>
            </w:r>
          </w:p>
        </w:tc>
        <w:tc>
          <w:tcPr>
            <w:tcW w:w="6095" w:type="dxa"/>
            <w:gridSpan w:val="3"/>
            <w:vAlign w:val="center"/>
          </w:tcPr>
          <w:p w14:paraId="29D46305">
            <w:pPr>
              <w:pStyle w:val="13"/>
            </w:pPr>
            <w:r>
              <w:t>学前专项经费/东良校区</w:t>
            </w:r>
          </w:p>
        </w:tc>
      </w:tr>
      <w:tr w14:paraId="55148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FBD09">
            <w:pPr>
              <w:pStyle w:val="11"/>
            </w:pPr>
            <w:r>
              <w:t>预算规模及资金用途</w:t>
            </w:r>
          </w:p>
        </w:tc>
        <w:tc>
          <w:tcPr>
            <w:tcW w:w="2268" w:type="dxa"/>
            <w:vAlign w:val="center"/>
          </w:tcPr>
          <w:p w14:paraId="50123B3D">
            <w:pPr>
              <w:pStyle w:val="11"/>
            </w:pPr>
            <w:r>
              <w:t>预算数</w:t>
            </w:r>
          </w:p>
        </w:tc>
        <w:tc>
          <w:tcPr>
            <w:tcW w:w="2835" w:type="dxa"/>
            <w:vAlign w:val="center"/>
          </w:tcPr>
          <w:p w14:paraId="01D6C2AD">
            <w:pPr>
              <w:pStyle w:val="13"/>
            </w:pPr>
            <w:r>
              <w:t>63.93</w:t>
            </w:r>
          </w:p>
        </w:tc>
        <w:tc>
          <w:tcPr>
            <w:tcW w:w="2835" w:type="dxa"/>
            <w:vAlign w:val="center"/>
          </w:tcPr>
          <w:p w14:paraId="3C8EFE90">
            <w:pPr>
              <w:pStyle w:val="11"/>
            </w:pPr>
            <w:r>
              <w:t>其中：财政    资金</w:t>
            </w:r>
          </w:p>
        </w:tc>
        <w:tc>
          <w:tcPr>
            <w:tcW w:w="2551" w:type="dxa"/>
            <w:vAlign w:val="center"/>
          </w:tcPr>
          <w:p w14:paraId="1C554940">
            <w:pPr>
              <w:pStyle w:val="13"/>
            </w:pPr>
            <w:r>
              <w:t>63.93</w:t>
            </w:r>
          </w:p>
        </w:tc>
        <w:tc>
          <w:tcPr>
            <w:tcW w:w="2268" w:type="dxa"/>
            <w:vAlign w:val="center"/>
          </w:tcPr>
          <w:p w14:paraId="3106D862">
            <w:pPr>
              <w:pStyle w:val="11"/>
            </w:pPr>
            <w:r>
              <w:t>其他资金</w:t>
            </w:r>
          </w:p>
        </w:tc>
        <w:tc>
          <w:tcPr>
            <w:tcW w:w="1276" w:type="dxa"/>
            <w:vAlign w:val="center"/>
          </w:tcPr>
          <w:p w14:paraId="01447A9C">
            <w:pPr>
              <w:pStyle w:val="13"/>
            </w:pPr>
            <w:r>
              <w:t xml:space="preserve"> </w:t>
            </w:r>
          </w:p>
        </w:tc>
      </w:tr>
      <w:tr w14:paraId="2CE5F4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A5161"/>
        </w:tc>
        <w:tc>
          <w:tcPr>
            <w:tcW w:w="14033" w:type="dxa"/>
            <w:gridSpan w:val="6"/>
            <w:vAlign w:val="center"/>
          </w:tcPr>
          <w:p w14:paraId="5CD3FF11">
            <w:pPr>
              <w:pStyle w:val="13"/>
            </w:pPr>
            <w:r>
              <w:t>用于保障幼儿园正常运转，完成教育教学活动和其他日常工作任务等方面的费用支出。</w:t>
            </w:r>
          </w:p>
        </w:tc>
      </w:tr>
      <w:tr w14:paraId="04296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02F43">
            <w:pPr>
              <w:pStyle w:val="11"/>
            </w:pPr>
            <w:r>
              <w:t>资金支出计划（%）</w:t>
            </w:r>
          </w:p>
        </w:tc>
        <w:tc>
          <w:tcPr>
            <w:tcW w:w="5103" w:type="dxa"/>
            <w:gridSpan w:val="2"/>
            <w:vAlign w:val="center"/>
          </w:tcPr>
          <w:p w14:paraId="6175F788">
            <w:pPr>
              <w:pStyle w:val="11"/>
            </w:pPr>
            <w:r>
              <w:t>3月底</w:t>
            </w:r>
          </w:p>
        </w:tc>
        <w:tc>
          <w:tcPr>
            <w:tcW w:w="2835" w:type="dxa"/>
            <w:vAlign w:val="center"/>
          </w:tcPr>
          <w:p w14:paraId="56BD03A8">
            <w:pPr>
              <w:pStyle w:val="11"/>
            </w:pPr>
            <w:r>
              <w:t>6月底</w:t>
            </w:r>
          </w:p>
        </w:tc>
        <w:tc>
          <w:tcPr>
            <w:tcW w:w="2551" w:type="dxa"/>
            <w:vAlign w:val="center"/>
          </w:tcPr>
          <w:p w14:paraId="3266A510">
            <w:pPr>
              <w:pStyle w:val="11"/>
            </w:pPr>
            <w:r>
              <w:t>10月底</w:t>
            </w:r>
          </w:p>
        </w:tc>
        <w:tc>
          <w:tcPr>
            <w:tcW w:w="3544" w:type="dxa"/>
            <w:gridSpan w:val="2"/>
            <w:vAlign w:val="center"/>
          </w:tcPr>
          <w:p w14:paraId="659BCE98">
            <w:pPr>
              <w:pStyle w:val="11"/>
            </w:pPr>
            <w:r>
              <w:t>12月底</w:t>
            </w:r>
          </w:p>
        </w:tc>
      </w:tr>
      <w:tr w14:paraId="5176B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9B6B37"/>
        </w:tc>
        <w:tc>
          <w:tcPr>
            <w:tcW w:w="5103" w:type="dxa"/>
            <w:gridSpan w:val="2"/>
            <w:vAlign w:val="center"/>
          </w:tcPr>
          <w:p w14:paraId="1170D13E">
            <w:pPr>
              <w:pStyle w:val="12"/>
            </w:pPr>
            <w:r>
              <w:t>25%</w:t>
            </w:r>
          </w:p>
        </w:tc>
        <w:tc>
          <w:tcPr>
            <w:tcW w:w="2835" w:type="dxa"/>
            <w:vAlign w:val="center"/>
          </w:tcPr>
          <w:p w14:paraId="73658677">
            <w:pPr>
              <w:pStyle w:val="12"/>
            </w:pPr>
            <w:r>
              <w:t>50%</w:t>
            </w:r>
          </w:p>
        </w:tc>
        <w:tc>
          <w:tcPr>
            <w:tcW w:w="2551" w:type="dxa"/>
            <w:vAlign w:val="center"/>
          </w:tcPr>
          <w:p w14:paraId="0E01F25A">
            <w:pPr>
              <w:pStyle w:val="12"/>
            </w:pPr>
            <w:r>
              <w:t>75%</w:t>
            </w:r>
          </w:p>
        </w:tc>
        <w:tc>
          <w:tcPr>
            <w:tcW w:w="3544" w:type="dxa"/>
            <w:gridSpan w:val="2"/>
            <w:vAlign w:val="center"/>
          </w:tcPr>
          <w:p w14:paraId="11810646">
            <w:pPr>
              <w:pStyle w:val="12"/>
            </w:pPr>
            <w:r>
              <w:t>100%</w:t>
            </w:r>
          </w:p>
        </w:tc>
      </w:tr>
      <w:tr w14:paraId="6EA6B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51009D">
            <w:pPr>
              <w:pStyle w:val="11"/>
            </w:pPr>
            <w:r>
              <w:t>绩效目标</w:t>
            </w:r>
          </w:p>
        </w:tc>
        <w:tc>
          <w:tcPr>
            <w:tcW w:w="14033" w:type="dxa"/>
            <w:gridSpan w:val="6"/>
            <w:vAlign w:val="center"/>
          </w:tcPr>
          <w:p w14:paraId="6A34F0F3">
            <w:pPr>
              <w:pStyle w:val="13"/>
            </w:pPr>
            <w:r>
              <w:t>1.按上缴财政序时进度完成公立幼儿园保育费支出。</w:t>
            </w:r>
          </w:p>
          <w:p w14:paraId="613AC249">
            <w:pPr>
              <w:pStyle w:val="13"/>
            </w:pPr>
            <w:r>
              <w:t>2.按要求完成公立幼儿园保育费按月/季度上缴财政。</w:t>
            </w:r>
          </w:p>
          <w:p w14:paraId="3718D03A">
            <w:pPr>
              <w:pStyle w:val="13"/>
            </w:pPr>
            <w:r>
              <w:t>3.按预算要求完成2025年度学前教学任务提升及教学质量提高。</w:t>
            </w:r>
          </w:p>
        </w:tc>
      </w:tr>
    </w:tbl>
    <w:p w14:paraId="31A53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BC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8C826">
            <w:pPr>
              <w:pStyle w:val="11"/>
            </w:pPr>
            <w:r>
              <w:t>一级指标</w:t>
            </w:r>
          </w:p>
        </w:tc>
        <w:tc>
          <w:tcPr>
            <w:tcW w:w="2268" w:type="dxa"/>
            <w:vAlign w:val="center"/>
          </w:tcPr>
          <w:p w14:paraId="38479A69">
            <w:pPr>
              <w:pStyle w:val="11"/>
            </w:pPr>
            <w:r>
              <w:t>二级指标</w:t>
            </w:r>
          </w:p>
        </w:tc>
        <w:tc>
          <w:tcPr>
            <w:tcW w:w="2835" w:type="dxa"/>
            <w:vAlign w:val="center"/>
          </w:tcPr>
          <w:p w14:paraId="3ECDB674">
            <w:pPr>
              <w:pStyle w:val="11"/>
            </w:pPr>
            <w:r>
              <w:t>三级指标</w:t>
            </w:r>
          </w:p>
        </w:tc>
        <w:tc>
          <w:tcPr>
            <w:tcW w:w="5386" w:type="dxa"/>
            <w:vAlign w:val="center"/>
          </w:tcPr>
          <w:p w14:paraId="32C32CF0">
            <w:pPr>
              <w:pStyle w:val="11"/>
            </w:pPr>
            <w:r>
              <w:t>绩效指标描述</w:t>
            </w:r>
          </w:p>
        </w:tc>
        <w:tc>
          <w:tcPr>
            <w:tcW w:w="2268" w:type="dxa"/>
            <w:vAlign w:val="center"/>
          </w:tcPr>
          <w:p w14:paraId="35C78653">
            <w:pPr>
              <w:pStyle w:val="11"/>
            </w:pPr>
            <w:r>
              <w:t>指标值</w:t>
            </w:r>
          </w:p>
        </w:tc>
        <w:tc>
          <w:tcPr>
            <w:tcW w:w="1276" w:type="dxa"/>
            <w:vAlign w:val="center"/>
          </w:tcPr>
          <w:p w14:paraId="305F0532">
            <w:pPr>
              <w:pStyle w:val="11"/>
            </w:pPr>
            <w:r>
              <w:t>指标值确定依据</w:t>
            </w:r>
          </w:p>
        </w:tc>
      </w:tr>
      <w:tr w14:paraId="468AF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5C963">
            <w:pPr>
              <w:pStyle w:val="12"/>
            </w:pPr>
            <w:r>
              <w:t>产出指标</w:t>
            </w:r>
          </w:p>
        </w:tc>
        <w:tc>
          <w:tcPr>
            <w:tcW w:w="2268" w:type="dxa"/>
            <w:vAlign w:val="center"/>
          </w:tcPr>
          <w:p w14:paraId="4FF6885A">
            <w:pPr>
              <w:pStyle w:val="13"/>
            </w:pPr>
            <w:r>
              <w:t>数量指标</w:t>
            </w:r>
          </w:p>
        </w:tc>
        <w:tc>
          <w:tcPr>
            <w:tcW w:w="2835" w:type="dxa"/>
            <w:vAlign w:val="center"/>
          </w:tcPr>
          <w:p w14:paraId="239E40B3">
            <w:pPr>
              <w:pStyle w:val="13"/>
            </w:pPr>
            <w:r>
              <w:t>适龄在校生</w:t>
            </w:r>
          </w:p>
        </w:tc>
        <w:tc>
          <w:tcPr>
            <w:tcW w:w="5386" w:type="dxa"/>
            <w:vAlign w:val="center"/>
          </w:tcPr>
          <w:p w14:paraId="5C9CBF09">
            <w:pPr>
              <w:pStyle w:val="13"/>
            </w:pPr>
            <w:r>
              <w:t>适龄在校就读学生人数</w:t>
            </w:r>
          </w:p>
        </w:tc>
        <w:tc>
          <w:tcPr>
            <w:tcW w:w="2268" w:type="dxa"/>
            <w:vAlign w:val="center"/>
          </w:tcPr>
          <w:p w14:paraId="5E799E2D">
            <w:pPr>
              <w:pStyle w:val="13"/>
            </w:pPr>
            <w:r>
              <w:t>999人</w:t>
            </w:r>
          </w:p>
        </w:tc>
        <w:tc>
          <w:tcPr>
            <w:tcW w:w="1276" w:type="dxa"/>
            <w:vAlign w:val="center"/>
          </w:tcPr>
          <w:p w14:paraId="19ACC73A">
            <w:pPr>
              <w:pStyle w:val="13"/>
            </w:pPr>
            <w:r>
              <w:t>年度工作计划</w:t>
            </w:r>
          </w:p>
        </w:tc>
      </w:tr>
      <w:tr w14:paraId="3FF17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10094"/>
        </w:tc>
        <w:tc>
          <w:tcPr>
            <w:tcW w:w="2268" w:type="dxa"/>
            <w:vAlign w:val="center"/>
          </w:tcPr>
          <w:p w14:paraId="35D4BDF0">
            <w:pPr>
              <w:pStyle w:val="13"/>
            </w:pPr>
            <w:r>
              <w:t>质量指标</w:t>
            </w:r>
          </w:p>
        </w:tc>
        <w:tc>
          <w:tcPr>
            <w:tcW w:w="2835" w:type="dxa"/>
            <w:vAlign w:val="center"/>
          </w:tcPr>
          <w:p w14:paraId="444541D8">
            <w:pPr>
              <w:pStyle w:val="13"/>
            </w:pPr>
            <w:r>
              <w:t>按月上缴财政完成率</w:t>
            </w:r>
          </w:p>
        </w:tc>
        <w:tc>
          <w:tcPr>
            <w:tcW w:w="5386" w:type="dxa"/>
            <w:vAlign w:val="center"/>
          </w:tcPr>
          <w:p w14:paraId="17D9843C">
            <w:pPr>
              <w:pStyle w:val="13"/>
            </w:pPr>
            <w:r>
              <w:t>按月完成公立幼儿园保育费上缴财政</w:t>
            </w:r>
          </w:p>
        </w:tc>
        <w:tc>
          <w:tcPr>
            <w:tcW w:w="2268" w:type="dxa"/>
            <w:vAlign w:val="center"/>
          </w:tcPr>
          <w:p w14:paraId="6A0C5E7F">
            <w:pPr>
              <w:pStyle w:val="13"/>
            </w:pPr>
            <w:r>
              <w:t>≥100%</w:t>
            </w:r>
          </w:p>
        </w:tc>
        <w:tc>
          <w:tcPr>
            <w:tcW w:w="1276" w:type="dxa"/>
            <w:vAlign w:val="center"/>
          </w:tcPr>
          <w:p w14:paraId="1FD9CD41">
            <w:pPr>
              <w:pStyle w:val="13"/>
            </w:pPr>
            <w:r>
              <w:t>年度工作计划</w:t>
            </w:r>
          </w:p>
        </w:tc>
      </w:tr>
      <w:tr w14:paraId="7F2B2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F0DB2"/>
        </w:tc>
        <w:tc>
          <w:tcPr>
            <w:tcW w:w="2268" w:type="dxa"/>
            <w:vAlign w:val="center"/>
          </w:tcPr>
          <w:p w14:paraId="4197D070">
            <w:pPr>
              <w:pStyle w:val="13"/>
            </w:pPr>
            <w:r>
              <w:t>时效指标</w:t>
            </w:r>
          </w:p>
        </w:tc>
        <w:tc>
          <w:tcPr>
            <w:tcW w:w="2835" w:type="dxa"/>
            <w:vAlign w:val="center"/>
          </w:tcPr>
          <w:p w14:paraId="69A72B2E">
            <w:pPr>
              <w:pStyle w:val="13"/>
            </w:pPr>
            <w:r>
              <w:t>资金支付率</w:t>
            </w:r>
          </w:p>
        </w:tc>
        <w:tc>
          <w:tcPr>
            <w:tcW w:w="5386" w:type="dxa"/>
            <w:vAlign w:val="center"/>
          </w:tcPr>
          <w:p w14:paraId="5CD8A167">
            <w:pPr>
              <w:pStyle w:val="13"/>
            </w:pPr>
            <w:r>
              <w:t>按照上缴财政进度完成公立幼儿园保育费支付</w:t>
            </w:r>
          </w:p>
        </w:tc>
        <w:tc>
          <w:tcPr>
            <w:tcW w:w="2268" w:type="dxa"/>
            <w:vAlign w:val="center"/>
          </w:tcPr>
          <w:p w14:paraId="1C0EC0E5">
            <w:pPr>
              <w:pStyle w:val="13"/>
            </w:pPr>
            <w:r>
              <w:t>100%</w:t>
            </w:r>
          </w:p>
        </w:tc>
        <w:tc>
          <w:tcPr>
            <w:tcW w:w="1276" w:type="dxa"/>
            <w:vAlign w:val="center"/>
          </w:tcPr>
          <w:p w14:paraId="4DE0DE2B">
            <w:pPr>
              <w:pStyle w:val="13"/>
            </w:pPr>
            <w:r>
              <w:t>年度工作计划</w:t>
            </w:r>
          </w:p>
        </w:tc>
      </w:tr>
      <w:tr w14:paraId="76FE4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75B8A"/>
        </w:tc>
        <w:tc>
          <w:tcPr>
            <w:tcW w:w="2268" w:type="dxa"/>
            <w:vAlign w:val="center"/>
          </w:tcPr>
          <w:p w14:paraId="5491A63C">
            <w:pPr>
              <w:pStyle w:val="13"/>
            </w:pPr>
            <w:r>
              <w:t>成本指标</w:t>
            </w:r>
          </w:p>
        </w:tc>
        <w:tc>
          <w:tcPr>
            <w:tcW w:w="2835" w:type="dxa"/>
            <w:vAlign w:val="center"/>
          </w:tcPr>
          <w:p w14:paraId="7E34E04D">
            <w:pPr>
              <w:pStyle w:val="13"/>
            </w:pPr>
            <w:r>
              <w:t>生均拨款标准拨付率</w:t>
            </w:r>
          </w:p>
        </w:tc>
        <w:tc>
          <w:tcPr>
            <w:tcW w:w="5386" w:type="dxa"/>
            <w:vAlign w:val="center"/>
          </w:tcPr>
          <w:p w14:paraId="7F34BFA3">
            <w:pPr>
              <w:pStyle w:val="13"/>
            </w:pPr>
            <w:r>
              <w:t>农村示范园170元/月/生，农村一类园150元/月/生，农村二类园130元/月/生，农村三类园100元/月/生</w:t>
            </w:r>
          </w:p>
        </w:tc>
        <w:tc>
          <w:tcPr>
            <w:tcW w:w="2268" w:type="dxa"/>
            <w:vAlign w:val="center"/>
          </w:tcPr>
          <w:p w14:paraId="4177C253">
            <w:pPr>
              <w:pStyle w:val="13"/>
            </w:pPr>
            <w:r>
              <w:t>100%</w:t>
            </w:r>
          </w:p>
        </w:tc>
        <w:tc>
          <w:tcPr>
            <w:tcW w:w="1276" w:type="dxa"/>
            <w:vAlign w:val="center"/>
          </w:tcPr>
          <w:p w14:paraId="2DB44C03">
            <w:pPr>
              <w:pStyle w:val="13"/>
            </w:pPr>
            <w:r>
              <w:t>年度工作计划</w:t>
            </w:r>
          </w:p>
        </w:tc>
      </w:tr>
      <w:tr w14:paraId="0D4B1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8DB42">
            <w:pPr>
              <w:pStyle w:val="12"/>
            </w:pPr>
            <w:r>
              <w:t>效益指标</w:t>
            </w:r>
          </w:p>
        </w:tc>
        <w:tc>
          <w:tcPr>
            <w:tcW w:w="2268" w:type="dxa"/>
            <w:vAlign w:val="center"/>
          </w:tcPr>
          <w:p w14:paraId="75605960">
            <w:pPr>
              <w:pStyle w:val="13"/>
            </w:pPr>
            <w:r>
              <w:t>经济效益指标</w:t>
            </w:r>
          </w:p>
        </w:tc>
        <w:tc>
          <w:tcPr>
            <w:tcW w:w="2835" w:type="dxa"/>
            <w:vAlign w:val="center"/>
          </w:tcPr>
          <w:p w14:paraId="11A8D699">
            <w:pPr>
              <w:pStyle w:val="13"/>
            </w:pPr>
            <w:r>
              <w:t>幼儿园办园能力提升</w:t>
            </w:r>
          </w:p>
        </w:tc>
        <w:tc>
          <w:tcPr>
            <w:tcW w:w="5386" w:type="dxa"/>
            <w:vAlign w:val="center"/>
          </w:tcPr>
          <w:p w14:paraId="4A5E756E">
            <w:pPr>
              <w:pStyle w:val="13"/>
            </w:pPr>
            <w:r>
              <w:t>幼儿园办园能力提升情况及教育教学工作等开展的情况</w:t>
            </w:r>
          </w:p>
        </w:tc>
        <w:tc>
          <w:tcPr>
            <w:tcW w:w="2268" w:type="dxa"/>
            <w:vAlign w:val="center"/>
          </w:tcPr>
          <w:p w14:paraId="6645E383">
            <w:pPr>
              <w:pStyle w:val="13"/>
            </w:pPr>
            <w:r>
              <w:t>100%</w:t>
            </w:r>
          </w:p>
        </w:tc>
        <w:tc>
          <w:tcPr>
            <w:tcW w:w="1276" w:type="dxa"/>
            <w:vAlign w:val="center"/>
          </w:tcPr>
          <w:p w14:paraId="759C726E">
            <w:pPr>
              <w:pStyle w:val="13"/>
            </w:pPr>
            <w:r>
              <w:t>年度工作计划</w:t>
            </w:r>
          </w:p>
        </w:tc>
      </w:tr>
      <w:tr w14:paraId="7470D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05F812">
            <w:pPr>
              <w:pStyle w:val="12"/>
            </w:pPr>
            <w:r>
              <w:t>满意度指标</w:t>
            </w:r>
          </w:p>
        </w:tc>
        <w:tc>
          <w:tcPr>
            <w:tcW w:w="2268" w:type="dxa"/>
            <w:vAlign w:val="center"/>
          </w:tcPr>
          <w:p w14:paraId="10C4318D">
            <w:pPr>
              <w:pStyle w:val="13"/>
            </w:pPr>
            <w:r>
              <w:t>服务对象满意度指标</w:t>
            </w:r>
          </w:p>
        </w:tc>
        <w:tc>
          <w:tcPr>
            <w:tcW w:w="2835" w:type="dxa"/>
            <w:vAlign w:val="center"/>
          </w:tcPr>
          <w:p w14:paraId="35388A81">
            <w:pPr>
              <w:pStyle w:val="13"/>
            </w:pPr>
            <w:r>
              <w:t>受益学生家长及调查满意度</w:t>
            </w:r>
          </w:p>
        </w:tc>
        <w:tc>
          <w:tcPr>
            <w:tcW w:w="5386" w:type="dxa"/>
            <w:vAlign w:val="center"/>
          </w:tcPr>
          <w:p w14:paraId="1AA32412">
            <w:pPr>
              <w:pStyle w:val="13"/>
            </w:pPr>
            <w:r>
              <w:t>幼儿、教师及家长对学校保教保育工作满意度情况</w:t>
            </w:r>
          </w:p>
        </w:tc>
        <w:tc>
          <w:tcPr>
            <w:tcW w:w="2268" w:type="dxa"/>
            <w:vAlign w:val="center"/>
          </w:tcPr>
          <w:p w14:paraId="45228D2E">
            <w:pPr>
              <w:pStyle w:val="13"/>
            </w:pPr>
            <w:r>
              <w:t>≥95%</w:t>
            </w:r>
          </w:p>
        </w:tc>
        <w:tc>
          <w:tcPr>
            <w:tcW w:w="1276" w:type="dxa"/>
            <w:vAlign w:val="center"/>
          </w:tcPr>
          <w:p w14:paraId="16DE8F1C">
            <w:pPr>
              <w:pStyle w:val="13"/>
            </w:pPr>
            <w:r>
              <w:t>年度工作计划</w:t>
            </w:r>
          </w:p>
        </w:tc>
      </w:tr>
    </w:tbl>
    <w:p w14:paraId="5D8E0FBE">
      <w:pPr>
        <w:sectPr>
          <w:pgSz w:w="16840" w:h="11900" w:orient="landscape"/>
          <w:pgMar w:top="1361" w:right="1020" w:bottom="1134" w:left="1020" w:header="720" w:footer="720" w:gutter="0"/>
          <w:cols w:space="720" w:num="1"/>
        </w:sectPr>
      </w:pPr>
    </w:p>
    <w:p w14:paraId="16C63157">
      <w:pPr>
        <w:spacing w:before="10" w:after="10" w:line="240" w:lineRule="auto"/>
        <w:ind w:firstLine="640"/>
        <w:jc w:val="left"/>
        <w:outlineLvl w:val="5"/>
      </w:pPr>
      <w:r>
        <w:rPr>
          <w:rFonts w:ascii="黑体" w:hAnsi="黑体" w:eastAsia="黑体" w:cs="黑体"/>
          <w:color w:val="000000"/>
          <w:sz w:val="32"/>
        </w:rPr>
        <w:t>六、政府采购预算情况</w:t>
      </w:r>
    </w:p>
    <w:p w14:paraId="004C525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F816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39AFA54">
            <w:pPr>
              <w:pStyle w:val="8"/>
            </w:pPr>
            <w:r>
              <w:t>360019隆尧县东良校区</w:t>
            </w:r>
          </w:p>
        </w:tc>
        <w:tc>
          <w:tcPr>
            <w:tcW w:w="7712" w:type="dxa"/>
            <w:gridSpan w:val="8"/>
            <w:tcBorders>
              <w:top w:val="single" w:color="FFFFFF" w:sz="6" w:space="0"/>
              <w:left w:val="single" w:color="FFFFFF" w:sz="6" w:space="0"/>
              <w:right w:val="single" w:color="FFFFFF" w:sz="6" w:space="0"/>
            </w:tcBorders>
            <w:vAlign w:val="center"/>
          </w:tcPr>
          <w:p w14:paraId="417F6F40">
            <w:pPr>
              <w:pStyle w:val="22"/>
            </w:pPr>
            <w:r>
              <w:t>单位：万元</w:t>
            </w:r>
          </w:p>
        </w:tc>
      </w:tr>
      <w:tr w14:paraId="59AC2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9980E4F">
            <w:pPr>
              <w:pStyle w:val="11"/>
            </w:pPr>
            <w:r>
              <w:t>政府采购项目来源</w:t>
            </w:r>
          </w:p>
        </w:tc>
        <w:tc>
          <w:tcPr>
            <w:tcW w:w="1134" w:type="dxa"/>
            <w:vMerge w:val="restart"/>
            <w:vAlign w:val="center"/>
          </w:tcPr>
          <w:p w14:paraId="42E0D974">
            <w:pPr>
              <w:pStyle w:val="11"/>
            </w:pPr>
            <w:r>
              <w:t>采购物品名称</w:t>
            </w:r>
          </w:p>
        </w:tc>
        <w:tc>
          <w:tcPr>
            <w:tcW w:w="1134" w:type="dxa"/>
            <w:vMerge w:val="restart"/>
            <w:vAlign w:val="center"/>
          </w:tcPr>
          <w:p w14:paraId="2B619F07">
            <w:pPr>
              <w:pStyle w:val="11"/>
            </w:pPr>
            <w:r>
              <w:t>政府采购目录序号</w:t>
            </w:r>
          </w:p>
        </w:tc>
        <w:tc>
          <w:tcPr>
            <w:tcW w:w="709" w:type="dxa"/>
            <w:vMerge w:val="restart"/>
            <w:vAlign w:val="center"/>
          </w:tcPr>
          <w:p w14:paraId="3A20E33F">
            <w:pPr>
              <w:pStyle w:val="11"/>
            </w:pPr>
            <w:r>
              <w:t>计量  单位</w:t>
            </w:r>
          </w:p>
        </w:tc>
        <w:tc>
          <w:tcPr>
            <w:tcW w:w="850" w:type="dxa"/>
            <w:vMerge w:val="restart"/>
            <w:vAlign w:val="center"/>
          </w:tcPr>
          <w:p w14:paraId="5F09900A">
            <w:pPr>
              <w:pStyle w:val="11"/>
            </w:pPr>
            <w:r>
              <w:t>数量</w:t>
            </w:r>
          </w:p>
        </w:tc>
        <w:tc>
          <w:tcPr>
            <w:tcW w:w="850" w:type="dxa"/>
            <w:vMerge w:val="restart"/>
            <w:vAlign w:val="center"/>
          </w:tcPr>
          <w:p w14:paraId="761FEF28">
            <w:pPr>
              <w:pStyle w:val="11"/>
            </w:pPr>
            <w:r>
              <w:t>单价</w:t>
            </w:r>
          </w:p>
        </w:tc>
        <w:tc>
          <w:tcPr>
            <w:tcW w:w="6748" w:type="dxa"/>
            <w:gridSpan w:val="7"/>
            <w:vAlign w:val="center"/>
          </w:tcPr>
          <w:p w14:paraId="324D3444">
            <w:pPr>
              <w:pStyle w:val="11"/>
            </w:pPr>
            <w:r>
              <w:t>政府采购金额（当年部门预算安排资金）</w:t>
            </w:r>
          </w:p>
        </w:tc>
        <w:tc>
          <w:tcPr>
            <w:tcW w:w="964" w:type="dxa"/>
            <w:vMerge w:val="restart"/>
            <w:vAlign w:val="center"/>
          </w:tcPr>
          <w:p w14:paraId="611FB947">
            <w:pPr>
              <w:pStyle w:val="11"/>
            </w:pPr>
            <w:r>
              <w:t>2025年  预留中  小微企  业份额</w:t>
            </w:r>
          </w:p>
        </w:tc>
      </w:tr>
      <w:tr w14:paraId="580DF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D54AA84">
            <w:pPr>
              <w:pStyle w:val="11"/>
            </w:pPr>
            <w:r>
              <w:t>项目名称</w:t>
            </w:r>
          </w:p>
        </w:tc>
        <w:tc>
          <w:tcPr>
            <w:tcW w:w="964" w:type="dxa"/>
            <w:vAlign w:val="center"/>
          </w:tcPr>
          <w:p w14:paraId="16F9BC93">
            <w:pPr>
              <w:pStyle w:val="11"/>
            </w:pPr>
            <w:r>
              <w:t>预算    资金</w:t>
            </w:r>
          </w:p>
        </w:tc>
        <w:tc>
          <w:tcPr>
            <w:tcW w:w="1134" w:type="dxa"/>
            <w:vMerge w:val="continue"/>
          </w:tcPr>
          <w:p w14:paraId="537C343F"/>
        </w:tc>
        <w:tc>
          <w:tcPr>
            <w:tcW w:w="1134" w:type="dxa"/>
            <w:vMerge w:val="continue"/>
          </w:tcPr>
          <w:p w14:paraId="7689D9B4"/>
        </w:tc>
        <w:tc>
          <w:tcPr>
            <w:tcW w:w="709" w:type="dxa"/>
            <w:vMerge w:val="continue"/>
          </w:tcPr>
          <w:p w14:paraId="3868ADE7"/>
        </w:tc>
        <w:tc>
          <w:tcPr>
            <w:tcW w:w="850" w:type="dxa"/>
            <w:vMerge w:val="continue"/>
          </w:tcPr>
          <w:p w14:paraId="681AF376"/>
        </w:tc>
        <w:tc>
          <w:tcPr>
            <w:tcW w:w="850" w:type="dxa"/>
            <w:vMerge w:val="continue"/>
          </w:tcPr>
          <w:p w14:paraId="1803454D"/>
        </w:tc>
        <w:tc>
          <w:tcPr>
            <w:tcW w:w="964" w:type="dxa"/>
            <w:vAlign w:val="center"/>
          </w:tcPr>
          <w:p w14:paraId="02E2D0AA">
            <w:pPr>
              <w:pStyle w:val="11"/>
            </w:pPr>
            <w:r>
              <w:t>合计</w:t>
            </w:r>
          </w:p>
        </w:tc>
        <w:tc>
          <w:tcPr>
            <w:tcW w:w="964" w:type="dxa"/>
            <w:vAlign w:val="center"/>
          </w:tcPr>
          <w:p w14:paraId="5C40029A">
            <w:pPr>
              <w:pStyle w:val="11"/>
            </w:pPr>
            <w:r>
              <w:t>一般公共预算拨款</w:t>
            </w:r>
          </w:p>
        </w:tc>
        <w:tc>
          <w:tcPr>
            <w:tcW w:w="964" w:type="dxa"/>
            <w:vAlign w:val="center"/>
          </w:tcPr>
          <w:p w14:paraId="398A4BDE">
            <w:pPr>
              <w:pStyle w:val="11"/>
            </w:pPr>
            <w:r>
              <w:t>基金预算拨款</w:t>
            </w:r>
          </w:p>
        </w:tc>
        <w:tc>
          <w:tcPr>
            <w:tcW w:w="964" w:type="dxa"/>
            <w:vAlign w:val="center"/>
          </w:tcPr>
          <w:p w14:paraId="0719483F">
            <w:pPr>
              <w:pStyle w:val="11"/>
            </w:pPr>
            <w:r>
              <w:t>国有资本经营预算拨款</w:t>
            </w:r>
          </w:p>
        </w:tc>
        <w:tc>
          <w:tcPr>
            <w:tcW w:w="964" w:type="dxa"/>
            <w:vAlign w:val="center"/>
          </w:tcPr>
          <w:p w14:paraId="590417C5">
            <w:pPr>
              <w:pStyle w:val="11"/>
            </w:pPr>
            <w:r>
              <w:t>财政专户核拨</w:t>
            </w:r>
          </w:p>
        </w:tc>
        <w:tc>
          <w:tcPr>
            <w:tcW w:w="964" w:type="dxa"/>
            <w:vAlign w:val="center"/>
          </w:tcPr>
          <w:p w14:paraId="6F849B4D">
            <w:pPr>
              <w:pStyle w:val="11"/>
            </w:pPr>
            <w:r>
              <w:t>单位    资金</w:t>
            </w:r>
          </w:p>
        </w:tc>
        <w:tc>
          <w:tcPr>
            <w:tcW w:w="964" w:type="dxa"/>
            <w:vAlign w:val="center"/>
          </w:tcPr>
          <w:p w14:paraId="39BAD580">
            <w:pPr>
              <w:pStyle w:val="11"/>
            </w:pPr>
            <w:r>
              <w:t>上年结转结余</w:t>
            </w:r>
          </w:p>
        </w:tc>
        <w:tc>
          <w:tcPr>
            <w:tcW w:w="964" w:type="dxa"/>
            <w:vMerge w:val="continue"/>
          </w:tcPr>
          <w:p w14:paraId="5BA462BA"/>
        </w:tc>
      </w:tr>
      <w:tr w14:paraId="45BA7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13EFEB">
            <w:pPr>
              <w:pStyle w:val="15"/>
            </w:pPr>
            <w:r>
              <w:t>合  计</w:t>
            </w:r>
          </w:p>
        </w:tc>
        <w:tc>
          <w:tcPr>
            <w:tcW w:w="964" w:type="dxa"/>
            <w:vAlign w:val="center"/>
          </w:tcPr>
          <w:p w14:paraId="6626F68D">
            <w:pPr>
              <w:pStyle w:val="16"/>
            </w:pPr>
          </w:p>
        </w:tc>
        <w:tc>
          <w:tcPr>
            <w:tcW w:w="1134" w:type="dxa"/>
            <w:vAlign w:val="center"/>
          </w:tcPr>
          <w:p w14:paraId="1F43F28D">
            <w:pPr>
              <w:pStyle w:val="17"/>
            </w:pPr>
          </w:p>
        </w:tc>
        <w:tc>
          <w:tcPr>
            <w:tcW w:w="1134" w:type="dxa"/>
            <w:vAlign w:val="center"/>
          </w:tcPr>
          <w:p w14:paraId="3F90EA25">
            <w:pPr>
              <w:pStyle w:val="17"/>
            </w:pPr>
          </w:p>
        </w:tc>
        <w:tc>
          <w:tcPr>
            <w:tcW w:w="709" w:type="dxa"/>
            <w:vAlign w:val="center"/>
          </w:tcPr>
          <w:p w14:paraId="4DA45A7A">
            <w:pPr>
              <w:pStyle w:val="15"/>
            </w:pPr>
          </w:p>
        </w:tc>
        <w:tc>
          <w:tcPr>
            <w:tcW w:w="850" w:type="dxa"/>
            <w:vAlign w:val="center"/>
          </w:tcPr>
          <w:p w14:paraId="2D5D048B">
            <w:pPr>
              <w:pStyle w:val="16"/>
            </w:pPr>
          </w:p>
        </w:tc>
        <w:tc>
          <w:tcPr>
            <w:tcW w:w="850" w:type="dxa"/>
            <w:vAlign w:val="center"/>
          </w:tcPr>
          <w:p w14:paraId="274C48E6">
            <w:pPr>
              <w:pStyle w:val="16"/>
            </w:pPr>
          </w:p>
        </w:tc>
        <w:tc>
          <w:tcPr>
            <w:tcW w:w="964" w:type="dxa"/>
            <w:vAlign w:val="center"/>
          </w:tcPr>
          <w:p w14:paraId="5FAD1724">
            <w:pPr>
              <w:pStyle w:val="16"/>
            </w:pPr>
            <w:r>
              <w:t>0.59</w:t>
            </w:r>
          </w:p>
        </w:tc>
        <w:tc>
          <w:tcPr>
            <w:tcW w:w="964" w:type="dxa"/>
            <w:vAlign w:val="center"/>
          </w:tcPr>
          <w:p w14:paraId="23CC76AE">
            <w:pPr>
              <w:pStyle w:val="16"/>
            </w:pPr>
            <w:r>
              <w:t>0.59</w:t>
            </w:r>
          </w:p>
        </w:tc>
        <w:tc>
          <w:tcPr>
            <w:tcW w:w="964" w:type="dxa"/>
            <w:vAlign w:val="center"/>
          </w:tcPr>
          <w:p w14:paraId="1E0E2491">
            <w:pPr>
              <w:pStyle w:val="16"/>
            </w:pPr>
          </w:p>
        </w:tc>
        <w:tc>
          <w:tcPr>
            <w:tcW w:w="964" w:type="dxa"/>
            <w:vAlign w:val="center"/>
          </w:tcPr>
          <w:p w14:paraId="560F380E">
            <w:pPr>
              <w:pStyle w:val="16"/>
            </w:pPr>
          </w:p>
        </w:tc>
        <w:tc>
          <w:tcPr>
            <w:tcW w:w="964" w:type="dxa"/>
            <w:vAlign w:val="center"/>
          </w:tcPr>
          <w:p w14:paraId="4C57F785">
            <w:pPr>
              <w:pStyle w:val="16"/>
            </w:pPr>
          </w:p>
        </w:tc>
        <w:tc>
          <w:tcPr>
            <w:tcW w:w="964" w:type="dxa"/>
            <w:vAlign w:val="center"/>
          </w:tcPr>
          <w:p w14:paraId="5AAE873E">
            <w:pPr>
              <w:pStyle w:val="16"/>
            </w:pPr>
          </w:p>
        </w:tc>
        <w:tc>
          <w:tcPr>
            <w:tcW w:w="964" w:type="dxa"/>
            <w:vAlign w:val="center"/>
          </w:tcPr>
          <w:p w14:paraId="53B50E84">
            <w:pPr>
              <w:pStyle w:val="16"/>
            </w:pPr>
          </w:p>
        </w:tc>
        <w:tc>
          <w:tcPr>
            <w:tcW w:w="964" w:type="dxa"/>
            <w:vAlign w:val="center"/>
          </w:tcPr>
          <w:p w14:paraId="1BA394D2">
            <w:pPr>
              <w:pStyle w:val="16"/>
            </w:pPr>
            <w:r>
              <w:t>0.59</w:t>
            </w:r>
          </w:p>
        </w:tc>
      </w:tr>
      <w:tr w14:paraId="7B45D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EFCFD2">
            <w:pPr>
              <w:pStyle w:val="15"/>
            </w:pPr>
            <w:r>
              <w:t>隆尧县东良校区小计</w:t>
            </w:r>
          </w:p>
        </w:tc>
        <w:tc>
          <w:tcPr>
            <w:tcW w:w="964" w:type="dxa"/>
            <w:vAlign w:val="center"/>
          </w:tcPr>
          <w:p w14:paraId="7333C75D">
            <w:pPr>
              <w:pStyle w:val="16"/>
            </w:pPr>
          </w:p>
        </w:tc>
        <w:tc>
          <w:tcPr>
            <w:tcW w:w="1134" w:type="dxa"/>
            <w:vAlign w:val="center"/>
          </w:tcPr>
          <w:p w14:paraId="3DE14180">
            <w:pPr>
              <w:pStyle w:val="17"/>
            </w:pPr>
          </w:p>
        </w:tc>
        <w:tc>
          <w:tcPr>
            <w:tcW w:w="1134" w:type="dxa"/>
            <w:vAlign w:val="center"/>
          </w:tcPr>
          <w:p w14:paraId="104ADFA3">
            <w:pPr>
              <w:pStyle w:val="17"/>
            </w:pPr>
          </w:p>
        </w:tc>
        <w:tc>
          <w:tcPr>
            <w:tcW w:w="709" w:type="dxa"/>
            <w:vAlign w:val="center"/>
          </w:tcPr>
          <w:p w14:paraId="62A45C6A">
            <w:pPr>
              <w:pStyle w:val="15"/>
            </w:pPr>
          </w:p>
        </w:tc>
        <w:tc>
          <w:tcPr>
            <w:tcW w:w="850" w:type="dxa"/>
            <w:vAlign w:val="center"/>
          </w:tcPr>
          <w:p w14:paraId="3E1CC942">
            <w:pPr>
              <w:pStyle w:val="16"/>
            </w:pPr>
          </w:p>
        </w:tc>
        <w:tc>
          <w:tcPr>
            <w:tcW w:w="850" w:type="dxa"/>
            <w:vAlign w:val="center"/>
          </w:tcPr>
          <w:p w14:paraId="75E19A77">
            <w:pPr>
              <w:pStyle w:val="16"/>
            </w:pPr>
          </w:p>
        </w:tc>
        <w:tc>
          <w:tcPr>
            <w:tcW w:w="964" w:type="dxa"/>
            <w:vAlign w:val="center"/>
          </w:tcPr>
          <w:p w14:paraId="48C233CC">
            <w:pPr>
              <w:pStyle w:val="16"/>
            </w:pPr>
            <w:r>
              <w:t>0.59</w:t>
            </w:r>
          </w:p>
        </w:tc>
        <w:tc>
          <w:tcPr>
            <w:tcW w:w="964" w:type="dxa"/>
            <w:vAlign w:val="center"/>
          </w:tcPr>
          <w:p w14:paraId="480F49A0">
            <w:pPr>
              <w:pStyle w:val="16"/>
            </w:pPr>
            <w:r>
              <w:t>0.59</w:t>
            </w:r>
          </w:p>
        </w:tc>
        <w:tc>
          <w:tcPr>
            <w:tcW w:w="964" w:type="dxa"/>
            <w:vAlign w:val="center"/>
          </w:tcPr>
          <w:p w14:paraId="69A47B67">
            <w:pPr>
              <w:pStyle w:val="16"/>
            </w:pPr>
          </w:p>
        </w:tc>
        <w:tc>
          <w:tcPr>
            <w:tcW w:w="964" w:type="dxa"/>
            <w:vAlign w:val="center"/>
          </w:tcPr>
          <w:p w14:paraId="17EFDADC">
            <w:pPr>
              <w:pStyle w:val="16"/>
            </w:pPr>
          </w:p>
        </w:tc>
        <w:tc>
          <w:tcPr>
            <w:tcW w:w="964" w:type="dxa"/>
            <w:vAlign w:val="center"/>
          </w:tcPr>
          <w:p w14:paraId="267C165D">
            <w:pPr>
              <w:pStyle w:val="16"/>
            </w:pPr>
          </w:p>
        </w:tc>
        <w:tc>
          <w:tcPr>
            <w:tcW w:w="964" w:type="dxa"/>
            <w:vAlign w:val="center"/>
          </w:tcPr>
          <w:p w14:paraId="50E562DA">
            <w:pPr>
              <w:pStyle w:val="16"/>
            </w:pPr>
          </w:p>
        </w:tc>
        <w:tc>
          <w:tcPr>
            <w:tcW w:w="964" w:type="dxa"/>
            <w:vAlign w:val="center"/>
          </w:tcPr>
          <w:p w14:paraId="0ABCDE23">
            <w:pPr>
              <w:pStyle w:val="16"/>
            </w:pPr>
          </w:p>
        </w:tc>
        <w:tc>
          <w:tcPr>
            <w:tcW w:w="964" w:type="dxa"/>
            <w:vAlign w:val="center"/>
          </w:tcPr>
          <w:p w14:paraId="68C16F43">
            <w:pPr>
              <w:pStyle w:val="16"/>
            </w:pPr>
            <w:r>
              <w:t>0.59</w:t>
            </w:r>
          </w:p>
        </w:tc>
      </w:tr>
      <w:tr w14:paraId="6DFF8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602B61">
            <w:pPr>
              <w:pStyle w:val="13"/>
            </w:pPr>
            <w:r>
              <w:t>冀财教[2024]121号/中央/2025年学前发展资金/东良校区学前教育幼儿资助</w:t>
            </w:r>
          </w:p>
        </w:tc>
        <w:tc>
          <w:tcPr>
            <w:tcW w:w="964" w:type="dxa"/>
            <w:vAlign w:val="center"/>
          </w:tcPr>
          <w:p w14:paraId="370025BF">
            <w:pPr>
              <w:pStyle w:val="14"/>
            </w:pPr>
            <w:r>
              <w:t>4.20</w:t>
            </w:r>
          </w:p>
        </w:tc>
        <w:tc>
          <w:tcPr>
            <w:tcW w:w="1134" w:type="dxa"/>
            <w:vAlign w:val="center"/>
          </w:tcPr>
          <w:p w14:paraId="1E61A6EF">
            <w:pPr>
              <w:pStyle w:val="13"/>
            </w:pPr>
            <w:r>
              <w:t>复印纸</w:t>
            </w:r>
          </w:p>
        </w:tc>
        <w:tc>
          <w:tcPr>
            <w:tcW w:w="1134" w:type="dxa"/>
            <w:vAlign w:val="center"/>
          </w:tcPr>
          <w:p w14:paraId="705674A4">
            <w:pPr>
              <w:pStyle w:val="13"/>
            </w:pPr>
            <w:r>
              <w:t>A05040101</w:t>
            </w:r>
          </w:p>
        </w:tc>
        <w:tc>
          <w:tcPr>
            <w:tcW w:w="709" w:type="dxa"/>
            <w:vAlign w:val="center"/>
          </w:tcPr>
          <w:p w14:paraId="12177FC7">
            <w:pPr>
              <w:pStyle w:val="12"/>
            </w:pPr>
            <w:r>
              <w:t>包</w:t>
            </w:r>
          </w:p>
        </w:tc>
        <w:tc>
          <w:tcPr>
            <w:tcW w:w="850" w:type="dxa"/>
            <w:vAlign w:val="center"/>
          </w:tcPr>
          <w:p w14:paraId="2CFDF669">
            <w:pPr>
              <w:pStyle w:val="14"/>
            </w:pPr>
            <w:r>
              <w:t>5</w:t>
            </w:r>
          </w:p>
        </w:tc>
        <w:tc>
          <w:tcPr>
            <w:tcW w:w="850" w:type="dxa"/>
            <w:vAlign w:val="center"/>
          </w:tcPr>
          <w:p w14:paraId="1815C45F">
            <w:pPr>
              <w:pStyle w:val="14"/>
            </w:pPr>
            <w:r>
              <w:t>0.02</w:t>
            </w:r>
          </w:p>
        </w:tc>
        <w:tc>
          <w:tcPr>
            <w:tcW w:w="964" w:type="dxa"/>
            <w:vAlign w:val="center"/>
          </w:tcPr>
          <w:p w14:paraId="16F00D3A">
            <w:pPr>
              <w:pStyle w:val="14"/>
            </w:pPr>
            <w:r>
              <w:t>0.09</w:t>
            </w:r>
          </w:p>
        </w:tc>
        <w:tc>
          <w:tcPr>
            <w:tcW w:w="964" w:type="dxa"/>
            <w:vAlign w:val="center"/>
          </w:tcPr>
          <w:p w14:paraId="63F2A60A">
            <w:pPr>
              <w:pStyle w:val="14"/>
            </w:pPr>
            <w:r>
              <w:t>0.09</w:t>
            </w:r>
          </w:p>
        </w:tc>
        <w:tc>
          <w:tcPr>
            <w:tcW w:w="964" w:type="dxa"/>
            <w:vAlign w:val="center"/>
          </w:tcPr>
          <w:p w14:paraId="24960FB7">
            <w:pPr>
              <w:pStyle w:val="14"/>
            </w:pPr>
          </w:p>
        </w:tc>
        <w:tc>
          <w:tcPr>
            <w:tcW w:w="964" w:type="dxa"/>
            <w:vAlign w:val="center"/>
          </w:tcPr>
          <w:p w14:paraId="6DD43597">
            <w:pPr>
              <w:pStyle w:val="14"/>
            </w:pPr>
          </w:p>
        </w:tc>
        <w:tc>
          <w:tcPr>
            <w:tcW w:w="964" w:type="dxa"/>
            <w:vAlign w:val="center"/>
          </w:tcPr>
          <w:p w14:paraId="0B852AB3">
            <w:pPr>
              <w:pStyle w:val="14"/>
            </w:pPr>
          </w:p>
        </w:tc>
        <w:tc>
          <w:tcPr>
            <w:tcW w:w="964" w:type="dxa"/>
            <w:vAlign w:val="center"/>
          </w:tcPr>
          <w:p w14:paraId="1C1A4B40">
            <w:pPr>
              <w:pStyle w:val="14"/>
            </w:pPr>
          </w:p>
        </w:tc>
        <w:tc>
          <w:tcPr>
            <w:tcW w:w="964" w:type="dxa"/>
            <w:vAlign w:val="center"/>
          </w:tcPr>
          <w:p w14:paraId="5D34A050">
            <w:pPr>
              <w:pStyle w:val="14"/>
            </w:pPr>
          </w:p>
        </w:tc>
        <w:tc>
          <w:tcPr>
            <w:tcW w:w="964" w:type="dxa"/>
            <w:vAlign w:val="center"/>
          </w:tcPr>
          <w:p w14:paraId="14867E5C">
            <w:pPr>
              <w:pStyle w:val="14"/>
            </w:pPr>
            <w:r>
              <w:t>0.09</w:t>
            </w:r>
          </w:p>
        </w:tc>
      </w:tr>
      <w:tr w14:paraId="24724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F2E04F">
            <w:pPr>
              <w:pStyle w:val="13"/>
            </w:pPr>
            <w:r>
              <w:t>冀财教[2024]141号/省级/2025年义教补助经费/大市口小学公用经费</w:t>
            </w:r>
          </w:p>
        </w:tc>
        <w:tc>
          <w:tcPr>
            <w:tcW w:w="964" w:type="dxa"/>
            <w:vAlign w:val="center"/>
          </w:tcPr>
          <w:p w14:paraId="67B7E7A8">
            <w:pPr>
              <w:pStyle w:val="14"/>
            </w:pPr>
            <w:r>
              <w:t>3.07</w:t>
            </w:r>
          </w:p>
        </w:tc>
        <w:tc>
          <w:tcPr>
            <w:tcW w:w="1134" w:type="dxa"/>
            <w:vAlign w:val="center"/>
          </w:tcPr>
          <w:p w14:paraId="4B61C51F">
            <w:pPr>
              <w:pStyle w:val="13"/>
            </w:pPr>
            <w:r>
              <w:t>台式计算机</w:t>
            </w:r>
          </w:p>
        </w:tc>
        <w:tc>
          <w:tcPr>
            <w:tcW w:w="1134" w:type="dxa"/>
            <w:vAlign w:val="center"/>
          </w:tcPr>
          <w:p w14:paraId="765A6A37">
            <w:pPr>
              <w:pStyle w:val="13"/>
            </w:pPr>
            <w:r>
              <w:t>A02010105</w:t>
            </w:r>
          </w:p>
        </w:tc>
        <w:tc>
          <w:tcPr>
            <w:tcW w:w="709" w:type="dxa"/>
            <w:vAlign w:val="center"/>
          </w:tcPr>
          <w:p w14:paraId="7A6E069C">
            <w:pPr>
              <w:pStyle w:val="12"/>
            </w:pPr>
            <w:r>
              <w:t>台</w:t>
            </w:r>
          </w:p>
        </w:tc>
        <w:tc>
          <w:tcPr>
            <w:tcW w:w="850" w:type="dxa"/>
            <w:vAlign w:val="center"/>
          </w:tcPr>
          <w:p w14:paraId="7E8FF7B1">
            <w:pPr>
              <w:pStyle w:val="14"/>
            </w:pPr>
            <w:r>
              <w:t>1</w:t>
            </w:r>
          </w:p>
        </w:tc>
        <w:tc>
          <w:tcPr>
            <w:tcW w:w="850" w:type="dxa"/>
            <w:vAlign w:val="center"/>
          </w:tcPr>
          <w:p w14:paraId="3A796BF2">
            <w:pPr>
              <w:pStyle w:val="14"/>
            </w:pPr>
            <w:r>
              <w:t>0.45</w:t>
            </w:r>
          </w:p>
        </w:tc>
        <w:tc>
          <w:tcPr>
            <w:tcW w:w="964" w:type="dxa"/>
            <w:vAlign w:val="center"/>
          </w:tcPr>
          <w:p w14:paraId="323F2528">
            <w:pPr>
              <w:pStyle w:val="14"/>
            </w:pPr>
            <w:r>
              <w:t>0.45</w:t>
            </w:r>
          </w:p>
        </w:tc>
        <w:tc>
          <w:tcPr>
            <w:tcW w:w="964" w:type="dxa"/>
            <w:vAlign w:val="center"/>
          </w:tcPr>
          <w:p w14:paraId="5EDBAF0E">
            <w:pPr>
              <w:pStyle w:val="14"/>
            </w:pPr>
            <w:r>
              <w:t>0.45</w:t>
            </w:r>
          </w:p>
        </w:tc>
        <w:tc>
          <w:tcPr>
            <w:tcW w:w="964" w:type="dxa"/>
            <w:vAlign w:val="center"/>
          </w:tcPr>
          <w:p w14:paraId="0162B4DB">
            <w:pPr>
              <w:pStyle w:val="14"/>
            </w:pPr>
          </w:p>
        </w:tc>
        <w:tc>
          <w:tcPr>
            <w:tcW w:w="964" w:type="dxa"/>
            <w:vAlign w:val="center"/>
          </w:tcPr>
          <w:p w14:paraId="36292826">
            <w:pPr>
              <w:pStyle w:val="14"/>
            </w:pPr>
          </w:p>
        </w:tc>
        <w:tc>
          <w:tcPr>
            <w:tcW w:w="964" w:type="dxa"/>
            <w:vAlign w:val="center"/>
          </w:tcPr>
          <w:p w14:paraId="6BB53746">
            <w:pPr>
              <w:pStyle w:val="14"/>
            </w:pPr>
          </w:p>
        </w:tc>
        <w:tc>
          <w:tcPr>
            <w:tcW w:w="964" w:type="dxa"/>
            <w:vAlign w:val="center"/>
          </w:tcPr>
          <w:p w14:paraId="1B0AB9FF">
            <w:pPr>
              <w:pStyle w:val="14"/>
            </w:pPr>
          </w:p>
        </w:tc>
        <w:tc>
          <w:tcPr>
            <w:tcW w:w="964" w:type="dxa"/>
            <w:vAlign w:val="center"/>
          </w:tcPr>
          <w:p w14:paraId="7343175A">
            <w:pPr>
              <w:pStyle w:val="14"/>
            </w:pPr>
          </w:p>
        </w:tc>
        <w:tc>
          <w:tcPr>
            <w:tcW w:w="964" w:type="dxa"/>
            <w:vAlign w:val="center"/>
          </w:tcPr>
          <w:p w14:paraId="0A765C3F">
            <w:pPr>
              <w:pStyle w:val="14"/>
            </w:pPr>
            <w:r>
              <w:t>0.45</w:t>
            </w:r>
          </w:p>
        </w:tc>
      </w:tr>
      <w:tr w14:paraId="0648F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D7C6C5">
            <w:pPr>
              <w:pStyle w:val="13"/>
            </w:pPr>
            <w:r>
              <w:t>冀财教[2024]141号/省级/2025年义教补助经费/周村小学公用经费</w:t>
            </w:r>
          </w:p>
        </w:tc>
        <w:tc>
          <w:tcPr>
            <w:tcW w:w="964" w:type="dxa"/>
            <w:vAlign w:val="center"/>
          </w:tcPr>
          <w:p w14:paraId="543E54B6">
            <w:pPr>
              <w:pStyle w:val="14"/>
            </w:pPr>
            <w:r>
              <w:t>5.46</w:t>
            </w:r>
          </w:p>
        </w:tc>
        <w:tc>
          <w:tcPr>
            <w:tcW w:w="1134" w:type="dxa"/>
            <w:vAlign w:val="center"/>
          </w:tcPr>
          <w:p w14:paraId="1988BF63">
            <w:pPr>
              <w:pStyle w:val="13"/>
            </w:pPr>
            <w:r>
              <w:t>文件柜</w:t>
            </w:r>
          </w:p>
        </w:tc>
        <w:tc>
          <w:tcPr>
            <w:tcW w:w="1134" w:type="dxa"/>
            <w:vAlign w:val="center"/>
          </w:tcPr>
          <w:p w14:paraId="7EE0A14B">
            <w:pPr>
              <w:pStyle w:val="13"/>
            </w:pPr>
            <w:r>
              <w:t>A05010502</w:t>
            </w:r>
          </w:p>
        </w:tc>
        <w:tc>
          <w:tcPr>
            <w:tcW w:w="709" w:type="dxa"/>
            <w:vAlign w:val="center"/>
          </w:tcPr>
          <w:p w14:paraId="69C234D6">
            <w:pPr>
              <w:pStyle w:val="12"/>
            </w:pPr>
            <w:r>
              <w:t>个</w:t>
            </w:r>
          </w:p>
        </w:tc>
        <w:tc>
          <w:tcPr>
            <w:tcW w:w="850" w:type="dxa"/>
            <w:vAlign w:val="center"/>
          </w:tcPr>
          <w:p w14:paraId="6B0BB4DD">
            <w:pPr>
              <w:pStyle w:val="14"/>
            </w:pPr>
            <w:r>
              <w:t>1</w:t>
            </w:r>
          </w:p>
        </w:tc>
        <w:tc>
          <w:tcPr>
            <w:tcW w:w="850" w:type="dxa"/>
            <w:vAlign w:val="center"/>
          </w:tcPr>
          <w:p w14:paraId="7572326E">
            <w:pPr>
              <w:pStyle w:val="14"/>
            </w:pPr>
            <w:r>
              <w:t>0.02</w:t>
            </w:r>
          </w:p>
        </w:tc>
        <w:tc>
          <w:tcPr>
            <w:tcW w:w="964" w:type="dxa"/>
            <w:vAlign w:val="center"/>
          </w:tcPr>
          <w:p w14:paraId="416A5352">
            <w:pPr>
              <w:pStyle w:val="14"/>
            </w:pPr>
            <w:r>
              <w:t>0.02</w:t>
            </w:r>
          </w:p>
        </w:tc>
        <w:tc>
          <w:tcPr>
            <w:tcW w:w="964" w:type="dxa"/>
            <w:vAlign w:val="center"/>
          </w:tcPr>
          <w:p w14:paraId="13057645">
            <w:pPr>
              <w:pStyle w:val="14"/>
            </w:pPr>
            <w:r>
              <w:t>0.02</w:t>
            </w:r>
          </w:p>
        </w:tc>
        <w:tc>
          <w:tcPr>
            <w:tcW w:w="964" w:type="dxa"/>
            <w:vAlign w:val="center"/>
          </w:tcPr>
          <w:p w14:paraId="658BEE02">
            <w:pPr>
              <w:pStyle w:val="14"/>
            </w:pPr>
          </w:p>
        </w:tc>
        <w:tc>
          <w:tcPr>
            <w:tcW w:w="964" w:type="dxa"/>
            <w:vAlign w:val="center"/>
          </w:tcPr>
          <w:p w14:paraId="0A7324A2">
            <w:pPr>
              <w:pStyle w:val="14"/>
            </w:pPr>
          </w:p>
        </w:tc>
        <w:tc>
          <w:tcPr>
            <w:tcW w:w="964" w:type="dxa"/>
            <w:vAlign w:val="center"/>
          </w:tcPr>
          <w:p w14:paraId="574596A8">
            <w:pPr>
              <w:pStyle w:val="14"/>
            </w:pPr>
          </w:p>
        </w:tc>
        <w:tc>
          <w:tcPr>
            <w:tcW w:w="964" w:type="dxa"/>
            <w:vAlign w:val="center"/>
          </w:tcPr>
          <w:p w14:paraId="59D297CB">
            <w:pPr>
              <w:pStyle w:val="14"/>
            </w:pPr>
          </w:p>
        </w:tc>
        <w:tc>
          <w:tcPr>
            <w:tcW w:w="964" w:type="dxa"/>
            <w:vAlign w:val="center"/>
          </w:tcPr>
          <w:p w14:paraId="7CE350F4">
            <w:pPr>
              <w:pStyle w:val="14"/>
            </w:pPr>
          </w:p>
        </w:tc>
        <w:tc>
          <w:tcPr>
            <w:tcW w:w="964" w:type="dxa"/>
            <w:vAlign w:val="center"/>
          </w:tcPr>
          <w:p w14:paraId="7CDBC6C7">
            <w:pPr>
              <w:pStyle w:val="14"/>
            </w:pPr>
            <w:r>
              <w:t>0.02</w:t>
            </w:r>
          </w:p>
        </w:tc>
      </w:tr>
      <w:tr w14:paraId="6695A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8CDD70">
            <w:pPr>
              <w:pStyle w:val="13"/>
            </w:pPr>
            <w:r>
              <w:t>冀财教[2024]142号/省级/2025年学前发展资金/东良校区学前教育幼儿资助</w:t>
            </w:r>
          </w:p>
        </w:tc>
        <w:tc>
          <w:tcPr>
            <w:tcW w:w="964" w:type="dxa"/>
            <w:vAlign w:val="center"/>
          </w:tcPr>
          <w:p w14:paraId="321CA52A">
            <w:pPr>
              <w:pStyle w:val="14"/>
            </w:pPr>
            <w:r>
              <w:t>1.40</w:t>
            </w:r>
          </w:p>
        </w:tc>
        <w:tc>
          <w:tcPr>
            <w:tcW w:w="1134" w:type="dxa"/>
            <w:vAlign w:val="center"/>
          </w:tcPr>
          <w:p w14:paraId="7A96B536">
            <w:pPr>
              <w:pStyle w:val="13"/>
            </w:pPr>
            <w:r>
              <w:t>复印纸</w:t>
            </w:r>
          </w:p>
        </w:tc>
        <w:tc>
          <w:tcPr>
            <w:tcW w:w="1134" w:type="dxa"/>
            <w:vAlign w:val="center"/>
          </w:tcPr>
          <w:p w14:paraId="40E08AE8">
            <w:pPr>
              <w:pStyle w:val="13"/>
            </w:pPr>
            <w:r>
              <w:t>A05040101</w:t>
            </w:r>
          </w:p>
        </w:tc>
        <w:tc>
          <w:tcPr>
            <w:tcW w:w="709" w:type="dxa"/>
            <w:vAlign w:val="center"/>
          </w:tcPr>
          <w:p w14:paraId="586EE45E">
            <w:pPr>
              <w:pStyle w:val="12"/>
            </w:pPr>
            <w:r>
              <w:t>包</w:t>
            </w:r>
          </w:p>
        </w:tc>
        <w:tc>
          <w:tcPr>
            <w:tcW w:w="850" w:type="dxa"/>
            <w:vAlign w:val="center"/>
          </w:tcPr>
          <w:p w14:paraId="41F02E92">
            <w:pPr>
              <w:pStyle w:val="14"/>
            </w:pPr>
            <w:r>
              <w:t>2</w:t>
            </w:r>
          </w:p>
        </w:tc>
        <w:tc>
          <w:tcPr>
            <w:tcW w:w="850" w:type="dxa"/>
            <w:vAlign w:val="center"/>
          </w:tcPr>
          <w:p w14:paraId="07AF5377">
            <w:pPr>
              <w:pStyle w:val="14"/>
            </w:pPr>
            <w:r>
              <w:t>0.02</w:t>
            </w:r>
          </w:p>
        </w:tc>
        <w:tc>
          <w:tcPr>
            <w:tcW w:w="964" w:type="dxa"/>
            <w:vAlign w:val="center"/>
          </w:tcPr>
          <w:p w14:paraId="4A5B4EC4">
            <w:pPr>
              <w:pStyle w:val="14"/>
            </w:pPr>
            <w:r>
              <w:t>0.03</w:t>
            </w:r>
          </w:p>
        </w:tc>
        <w:tc>
          <w:tcPr>
            <w:tcW w:w="964" w:type="dxa"/>
            <w:vAlign w:val="center"/>
          </w:tcPr>
          <w:p w14:paraId="1C7223FB">
            <w:pPr>
              <w:pStyle w:val="14"/>
            </w:pPr>
            <w:r>
              <w:t>0.03</w:t>
            </w:r>
          </w:p>
        </w:tc>
        <w:tc>
          <w:tcPr>
            <w:tcW w:w="964" w:type="dxa"/>
            <w:vAlign w:val="center"/>
          </w:tcPr>
          <w:p w14:paraId="1B55E0C2">
            <w:pPr>
              <w:pStyle w:val="14"/>
            </w:pPr>
          </w:p>
        </w:tc>
        <w:tc>
          <w:tcPr>
            <w:tcW w:w="964" w:type="dxa"/>
            <w:vAlign w:val="center"/>
          </w:tcPr>
          <w:p w14:paraId="49143A44">
            <w:pPr>
              <w:pStyle w:val="14"/>
            </w:pPr>
          </w:p>
        </w:tc>
        <w:tc>
          <w:tcPr>
            <w:tcW w:w="964" w:type="dxa"/>
            <w:vAlign w:val="center"/>
          </w:tcPr>
          <w:p w14:paraId="4E29BCD5">
            <w:pPr>
              <w:pStyle w:val="14"/>
            </w:pPr>
          </w:p>
        </w:tc>
        <w:tc>
          <w:tcPr>
            <w:tcW w:w="964" w:type="dxa"/>
            <w:vAlign w:val="center"/>
          </w:tcPr>
          <w:p w14:paraId="2E410724">
            <w:pPr>
              <w:pStyle w:val="14"/>
            </w:pPr>
          </w:p>
        </w:tc>
        <w:tc>
          <w:tcPr>
            <w:tcW w:w="964" w:type="dxa"/>
            <w:vAlign w:val="center"/>
          </w:tcPr>
          <w:p w14:paraId="7D083D20">
            <w:pPr>
              <w:pStyle w:val="14"/>
            </w:pPr>
          </w:p>
        </w:tc>
        <w:tc>
          <w:tcPr>
            <w:tcW w:w="964" w:type="dxa"/>
            <w:vAlign w:val="center"/>
          </w:tcPr>
          <w:p w14:paraId="28C7F7C0">
            <w:pPr>
              <w:pStyle w:val="14"/>
            </w:pPr>
            <w:r>
              <w:t>0.03</w:t>
            </w:r>
          </w:p>
        </w:tc>
      </w:tr>
    </w:tbl>
    <w:p w14:paraId="64303CB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C27134">
      <w:pPr>
        <w:spacing w:before="0" w:after="0"/>
        <w:ind w:firstLine="640"/>
        <w:jc w:val="left"/>
        <w:outlineLvl w:val="9"/>
      </w:pPr>
      <w:r>
        <w:rPr>
          <w:rFonts w:ascii="Times New Roman" w:hAnsi="Times New Roman" w:eastAsia="方正仿宋_GBK" w:cs="Times New Roman"/>
          <w:color w:val="000000"/>
          <w:sz w:val="32"/>
        </w:rPr>
        <w:t xml:space="preserve"> </w:t>
      </w:r>
    </w:p>
    <w:p w14:paraId="1EED57BF">
      <w:pPr>
        <w:spacing w:before="10" w:after="10" w:line="240" w:lineRule="auto"/>
        <w:ind w:firstLine="640"/>
        <w:jc w:val="left"/>
        <w:outlineLvl w:val="5"/>
      </w:pPr>
      <w:r>
        <w:rPr>
          <w:rFonts w:ascii="黑体" w:hAnsi="黑体" w:eastAsia="黑体" w:cs="黑体"/>
          <w:color w:val="000000"/>
          <w:sz w:val="32"/>
        </w:rPr>
        <w:t>七、国有资产信息</w:t>
      </w:r>
    </w:p>
    <w:p w14:paraId="3E143D66">
      <w:pPr>
        <w:spacing w:before="0" w:after="0" w:line="500" w:lineRule="exact"/>
        <w:ind w:firstLine="560"/>
        <w:jc w:val="left"/>
        <w:outlineLvl w:val="9"/>
      </w:pPr>
      <w:r>
        <w:rPr>
          <w:rFonts w:ascii="Times New Roman" w:hAnsi="Times New Roman" w:eastAsia="方正仿宋_GBK" w:cs="Times New Roman"/>
          <w:b w:val="0"/>
          <w:color w:val="000000"/>
          <w:sz w:val="28"/>
        </w:rPr>
        <w:t>隆尧县东良校区上年末固定资产金额为2743.13万元（详见下表）。本年度拟购置固定资产总额为78.64万元，已按要求列入政府采购预算，详见政府采购预算表。</w:t>
      </w:r>
    </w:p>
    <w:p w14:paraId="7C4CED7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F7C2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C58E328">
            <w:pPr>
              <w:pStyle w:val="8"/>
            </w:pPr>
            <w:r>
              <w:t>360019隆尧县东良校区</w:t>
            </w:r>
          </w:p>
        </w:tc>
        <w:tc>
          <w:tcPr>
            <w:tcW w:w="5670" w:type="dxa"/>
            <w:gridSpan w:val="2"/>
            <w:tcBorders>
              <w:top w:val="single" w:color="FFFFFF" w:sz="6" w:space="0"/>
              <w:left w:val="single" w:color="FFFFFF" w:sz="6" w:space="0"/>
              <w:right w:val="single" w:color="FFFFFF" w:sz="6" w:space="0"/>
            </w:tcBorders>
            <w:vAlign w:val="center"/>
          </w:tcPr>
          <w:p w14:paraId="0B924703">
            <w:pPr>
              <w:pStyle w:val="10"/>
            </w:pPr>
            <w:r>
              <w:t>截止时间：2024-12-31</w:t>
            </w:r>
          </w:p>
        </w:tc>
      </w:tr>
      <w:tr w14:paraId="24B89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ACCE9B6">
            <w:pPr>
              <w:pStyle w:val="11"/>
            </w:pPr>
            <w:r>
              <w:t>项   目</w:t>
            </w:r>
          </w:p>
        </w:tc>
        <w:tc>
          <w:tcPr>
            <w:tcW w:w="2835" w:type="dxa"/>
            <w:vAlign w:val="center"/>
          </w:tcPr>
          <w:p w14:paraId="52133C79">
            <w:pPr>
              <w:pStyle w:val="11"/>
            </w:pPr>
            <w:r>
              <w:t>数量</w:t>
            </w:r>
          </w:p>
        </w:tc>
        <w:tc>
          <w:tcPr>
            <w:tcW w:w="2835" w:type="dxa"/>
            <w:vAlign w:val="center"/>
          </w:tcPr>
          <w:p w14:paraId="5A353AD4">
            <w:pPr>
              <w:pStyle w:val="11"/>
            </w:pPr>
            <w:r>
              <w:t>价值（金额单位：万元）</w:t>
            </w:r>
          </w:p>
        </w:tc>
      </w:tr>
      <w:tr w14:paraId="09BE7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9606EE">
            <w:pPr>
              <w:pStyle w:val="13"/>
            </w:pPr>
            <w:r>
              <w:t>资产总额</w:t>
            </w:r>
          </w:p>
        </w:tc>
        <w:tc>
          <w:tcPr>
            <w:tcW w:w="2835" w:type="dxa"/>
            <w:vAlign w:val="center"/>
          </w:tcPr>
          <w:p w14:paraId="00790B98">
            <w:pPr>
              <w:pStyle w:val="12"/>
            </w:pPr>
          </w:p>
        </w:tc>
        <w:tc>
          <w:tcPr>
            <w:tcW w:w="2835" w:type="dxa"/>
            <w:vAlign w:val="center"/>
          </w:tcPr>
          <w:p w14:paraId="20B65BC4">
            <w:pPr>
              <w:pStyle w:val="14"/>
            </w:pPr>
            <w:r>
              <w:t>2743.13</w:t>
            </w:r>
          </w:p>
        </w:tc>
      </w:tr>
      <w:tr w14:paraId="1B8C7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B877E6">
            <w:pPr>
              <w:pStyle w:val="13"/>
            </w:pPr>
            <w:r>
              <w:t>1、房屋（平方米）</w:t>
            </w:r>
          </w:p>
        </w:tc>
        <w:tc>
          <w:tcPr>
            <w:tcW w:w="2835" w:type="dxa"/>
            <w:vAlign w:val="center"/>
          </w:tcPr>
          <w:p w14:paraId="72F9BA16">
            <w:pPr>
              <w:pStyle w:val="12"/>
            </w:pPr>
            <w:r>
              <w:t>17848.87</w:t>
            </w:r>
          </w:p>
        </w:tc>
        <w:tc>
          <w:tcPr>
            <w:tcW w:w="2835" w:type="dxa"/>
            <w:vAlign w:val="center"/>
          </w:tcPr>
          <w:p w14:paraId="7287894B">
            <w:pPr>
              <w:pStyle w:val="14"/>
            </w:pPr>
            <w:r>
              <w:t>1552.01</w:t>
            </w:r>
          </w:p>
        </w:tc>
      </w:tr>
      <w:tr w14:paraId="23612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06A241">
            <w:pPr>
              <w:pStyle w:val="13"/>
            </w:pPr>
            <w:r>
              <w:t>　　其中：办公用房（平方米）</w:t>
            </w:r>
          </w:p>
        </w:tc>
        <w:tc>
          <w:tcPr>
            <w:tcW w:w="2835" w:type="dxa"/>
            <w:vAlign w:val="center"/>
          </w:tcPr>
          <w:p w14:paraId="70EE7E6F">
            <w:pPr>
              <w:pStyle w:val="12"/>
            </w:pPr>
            <w:r>
              <w:t>6132.50</w:t>
            </w:r>
          </w:p>
        </w:tc>
        <w:tc>
          <w:tcPr>
            <w:tcW w:w="2835" w:type="dxa"/>
            <w:vAlign w:val="center"/>
          </w:tcPr>
          <w:p w14:paraId="58B149BD">
            <w:pPr>
              <w:pStyle w:val="14"/>
            </w:pPr>
            <w:r>
              <w:t>656.96</w:t>
            </w:r>
          </w:p>
        </w:tc>
      </w:tr>
      <w:tr w14:paraId="59CE5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C76607">
            <w:pPr>
              <w:pStyle w:val="13"/>
            </w:pPr>
            <w:r>
              <w:t>2、车辆（台、辆）</w:t>
            </w:r>
          </w:p>
        </w:tc>
        <w:tc>
          <w:tcPr>
            <w:tcW w:w="2835" w:type="dxa"/>
            <w:vAlign w:val="center"/>
          </w:tcPr>
          <w:p w14:paraId="5B9317EF">
            <w:pPr>
              <w:pStyle w:val="12"/>
            </w:pPr>
          </w:p>
        </w:tc>
        <w:tc>
          <w:tcPr>
            <w:tcW w:w="2835" w:type="dxa"/>
            <w:vAlign w:val="center"/>
          </w:tcPr>
          <w:p w14:paraId="084ECB5D">
            <w:pPr>
              <w:pStyle w:val="14"/>
            </w:pPr>
          </w:p>
        </w:tc>
      </w:tr>
      <w:tr w14:paraId="15464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C81F6E">
            <w:pPr>
              <w:pStyle w:val="13"/>
            </w:pPr>
            <w:r>
              <w:t>3、单价在20万元以上的设备</w:t>
            </w:r>
          </w:p>
        </w:tc>
        <w:tc>
          <w:tcPr>
            <w:tcW w:w="2835" w:type="dxa"/>
            <w:vAlign w:val="center"/>
          </w:tcPr>
          <w:p w14:paraId="6E11C5E0">
            <w:pPr>
              <w:pStyle w:val="12"/>
            </w:pPr>
            <w:r>
              <w:t>1</w:t>
            </w:r>
          </w:p>
        </w:tc>
        <w:tc>
          <w:tcPr>
            <w:tcW w:w="2835" w:type="dxa"/>
            <w:vAlign w:val="center"/>
          </w:tcPr>
          <w:p w14:paraId="2C8C88B0">
            <w:pPr>
              <w:pStyle w:val="14"/>
            </w:pPr>
            <w:r>
              <w:t>26.28</w:t>
            </w:r>
          </w:p>
        </w:tc>
      </w:tr>
      <w:tr w14:paraId="6D360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D36B01">
            <w:pPr>
              <w:pStyle w:val="13"/>
            </w:pPr>
            <w:r>
              <w:t>4、其他固定资产</w:t>
            </w:r>
          </w:p>
        </w:tc>
        <w:tc>
          <w:tcPr>
            <w:tcW w:w="2835" w:type="dxa"/>
            <w:vAlign w:val="center"/>
          </w:tcPr>
          <w:p w14:paraId="2C146D00">
            <w:pPr>
              <w:pStyle w:val="12"/>
            </w:pPr>
            <w:r>
              <w:t>7024</w:t>
            </w:r>
          </w:p>
        </w:tc>
        <w:tc>
          <w:tcPr>
            <w:tcW w:w="2835" w:type="dxa"/>
            <w:vAlign w:val="center"/>
          </w:tcPr>
          <w:p w14:paraId="30547147">
            <w:pPr>
              <w:pStyle w:val="14"/>
            </w:pPr>
            <w:r>
              <w:t>1164.83</w:t>
            </w:r>
          </w:p>
        </w:tc>
      </w:tr>
    </w:tbl>
    <w:p w14:paraId="7EB52B51">
      <w:pPr>
        <w:spacing w:before="0" w:after="0"/>
        <w:ind w:firstLine="640"/>
        <w:jc w:val="left"/>
        <w:outlineLvl w:val="9"/>
      </w:pPr>
      <w:r>
        <w:rPr>
          <w:rFonts w:ascii="Times New Roman" w:hAnsi="Times New Roman" w:eastAsia="方正仿宋_GBK" w:cs="Times New Roman"/>
          <w:color w:val="000000"/>
          <w:sz w:val="32"/>
        </w:rPr>
        <w:t xml:space="preserve"> </w:t>
      </w:r>
    </w:p>
    <w:p w14:paraId="640AC25E">
      <w:pPr>
        <w:spacing w:before="10" w:after="10" w:line="240" w:lineRule="auto"/>
        <w:ind w:firstLine="640"/>
        <w:jc w:val="left"/>
        <w:outlineLvl w:val="5"/>
      </w:pPr>
      <w:r>
        <w:rPr>
          <w:rFonts w:ascii="黑体" w:hAnsi="黑体" w:eastAsia="黑体" w:cs="黑体"/>
          <w:color w:val="000000"/>
          <w:sz w:val="32"/>
        </w:rPr>
        <w:t>八、名词解释</w:t>
      </w:r>
    </w:p>
    <w:p w14:paraId="4565229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8E4A7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F3115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6815E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13622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FA9B9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CB9A2F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18E2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095F74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C71B8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A572CD">
      <w:pPr>
        <w:spacing w:before="10" w:after="10" w:line="240" w:lineRule="auto"/>
        <w:ind w:firstLine="640"/>
        <w:jc w:val="left"/>
        <w:outlineLvl w:val="5"/>
      </w:pPr>
      <w:r>
        <w:rPr>
          <w:rFonts w:ascii="黑体" w:hAnsi="黑体" w:eastAsia="黑体" w:cs="黑体"/>
          <w:color w:val="000000"/>
          <w:sz w:val="32"/>
        </w:rPr>
        <w:t>九、其他需要说明的事项</w:t>
      </w:r>
    </w:p>
    <w:p w14:paraId="025BF04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AE8F3FF">
      <w:pPr>
        <w:spacing w:before="0" w:after="0"/>
        <w:ind w:firstLine="0"/>
        <w:jc w:val="center"/>
        <w:outlineLvl w:val="3"/>
      </w:pPr>
      <w:bookmarkStart w:id="19" w:name="_Toc_4_4_0000000039"/>
      <w:r>
        <w:rPr>
          <w:rFonts w:ascii="方正小标宋_GBK" w:hAnsi="方正小标宋_GBK" w:eastAsia="方正小标宋_GBK" w:cs="方正小标宋_GBK"/>
          <w:b w:val="0"/>
          <w:color w:val="000000"/>
          <w:sz w:val="44"/>
        </w:rPr>
        <w:t>十九、隆尧县双碑校区收支预算</w:t>
      </w:r>
      <w:bookmarkEnd w:id="19"/>
    </w:p>
    <w:p w14:paraId="19A956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2910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A0336B">
            <w:pPr>
              <w:pStyle w:val="8"/>
            </w:pPr>
            <w:r>
              <w:t>360020隆尧县双碑校区</w:t>
            </w:r>
          </w:p>
        </w:tc>
        <w:tc>
          <w:tcPr>
            <w:tcW w:w="2126" w:type="dxa"/>
            <w:tcBorders>
              <w:top w:val="single" w:color="FFFFFF" w:sz="6" w:space="0"/>
              <w:left w:val="single" w:color="FFFFFF" w:sz="6" w:space="0"/>
              <w:right w:val="single" w:color="FFFFFF" w:sz="6" w:space="0"/>
            </w:tcBorders>
            <w:vAlign w:val="center"/>
          </w:tcPr>
          <w:p w14:paraId="4C198E67">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4F62A1E">
            <w:pPr>
              <w:pStyle w:val="10"/>
            </w:pPr>
            <w:r>
              <w:t>单位：万元</w:t>
            </w:r>
          </w:p>
        </w:tc>
      </w:tr>
      <w:tr w14:paraId="0BA32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8E8960">
            <w:pPr>
              <w:pStyle w:val="11"/>
            </w:pPr>
            <w:r>
              <w:t>序号</w:t>
            </w:r>
          </w:p>
        </w:tc>
        <w:tc>
          <w:tcPr>
            <w:tcW w:w="6661" w:type="dxa"/>
            <w:gridSpan w:val="2"/>
            <w:vAlign w:val="center"/>
          </w:tcPr>
          <w:p w14:paraId="7722EBF8">
            <w:pPr>
              <w:pStyle w:val="11"/>
            </w:pPr>
            <w:r>
              <w:t>收入</w:t>
            </w:r>
          </w:p>
        </w:tc>
        <w:tc>
          <w:tcPr>
            <w:tcW w:w="6661" w:type="dxa"/>
            <w:gridSpan w:val="2"/>
            <w:vAlign w:val="center"/>
          </w:tcPr>
          <w:p w14:paraId="41A1EE95">
            <w:pPr>
              <w:pStyle w:val="11"/>
            </w:pPr>
            <w:r>
              <w:t>支出</w:t>
            </w:r>
          </w:p>
        </w:tc>
      </w:tr>
      <w:tr w14:paraId="2496B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C23617"/>
        </w:tc>
        <w:tc>
          <w:tcPr>
            <w:tcW w:w="4535" w:type="dxa"/>
            <w:vAlign w:val="center"/>
          </w:tcPr>
          <w:p w14:paraId="0AEB03A4">
            <w:pPr>
              <w:pStyle w:val="11"/>
            </w:pPr>
            <w:r>
              <w:t>项  目</w:t>
            </w:r>
          </w:p>
        </w:tc>
        <w:tc>
          <w:tcPr>
            <w:tcW w:w="2126" w:type="dxa"/>
            <w:vAlign w:val="center"/>
          </w:tcPr>
          <w:p w14:paraId="6DE050BC">
            <w:pPr>
              <w:pStyle w:val="11"/>
            </w:pPr>
            <w:r>
              <w:t>预算数</w:t>
            </w:r>
          </w:p>
        </w:tc>
        <w:tc>
          <w:tcPr>
            <w:tcW w:w="4535" w:type="dxa"/>
            <w:vAlign w:val="center"/>
          </w:tcPr>
          <w:p w14:paraId="49EAA762">
            <w:pPr>
              <w:pStyle w:val="11"/>
            </w:pPr>
            <w:r>
              <w:t>项  目</w:t>
            </w:r>
          </w:p>
        </w:tc>
        <w:tc>
          <w:tcPr>
            <w:tcW w:w="2126" w:type="dxa"/>
            <w:vAlign w:val="center"/>
          </w:tcPr>
          <w:p w14:paraId="0251D134">
            <w:pPr>
              <w:pStyle w:val="11"/>
            </w:pPr>
            <w:r>
              <w:t>预算数</w:t>
            </w:r>
          </w:p>
        </w:tc>
      </w:tr>
      <w:tr w14:paraId="33489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BF9FE">
            <w:pPr>
              <w:pStyle w:val="11"/>
            </w:pPr>
            <w:r>
              <w:t>栏次</w:t>
            </w:r>
          </w:p>
        </w:tc>
        <w:tc>
          <w:tcPr>
            <w:tcW w:w="4535" w:type="dxa"/>
            <w:vAlign w:val="center"/>
          </w:tcPr>
          <w:p w14:paraId="24812BED">
            <w:pPr>
              <w:pStyle w:val="11"/>
            </w:pPr>
            <w:r>
              <w:t>1</w:t>
            </w:r>
          </w:p>
        </w:tc>
        <w:tc>
          <w:tcPr>
            <w:tcW w:w="2126" w:type="dxa"/>
            <w:vAlign w:val="center"/>
          </w:tcPr>
          <w:p w14:paraId="0D8DE0A0">
            <w:pPr>
              <w:pStyle w:val="11"/>
            </w:pPr>
            <w:r>
              <w:t>2</w:t>
            </w:r>
          </w:p>
        </w:tc>
        <w:tc>
          <w:tcPr>
            <w:tcW w:w="4535" w:type="dxa"/>
            <w:vAlign w:val="center"/>
          </w:tcPr>
          <w:p w14:paraId="71F35A6F">
            <w:pPr>
              <w:pStyle w:val="11"/>
            </w:pPr>
            <w:r>
              <w:t>3</w:t>
            </w:r>
          </w:p>
        </w:tc>
        <w:tc>
          <w:tcPr>
            <w:tcW w:w="2126" w:type="dxa"/>
            <w:vAlign w:val="center"/>
          </w:tcPr>
          <w:p w14:paraId="33D1098C">
            <w:pPr>
              <w:pStyle w:val="11"/>
            </w:pPr>
            <w:r>
              <w:t>4</w:t>
            </w:r>
          </w:p>
        </w:tc>
      </w:tr>
      <w:tr w14:paraId="2B9BC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80890">
            <w:pPr>
              <w:pStyle w:val="12"/>
            </w:pPr>
            <w:r>
              <w:t>1</w:t>
            </w:r>
          </w:p>
        </w:tc>
        <w:tc>
          <w:tcPr>
            <w:tcW w:w="4535" w:type="dxa"/>
            <w:vAlign w:val="center"/>
          </w:tcPr>
          <w:p w14:paraId="7F99AE8E">
            <w:pPr>
              <w:pStyle w:val="13"/>
            </w:pPr>
            <w:r>
              <w:t>一、一般公共预算拨款收入</w:t>
            </w:r>
          </w:p>
        </w:tc>
        <w:tc>
          <w:tcPr>
            <w:tcW w:w="2126" w:type="dxa"/>
            <w:vAlign w:val="center"/>
          </w:tcPr>
          <w:p w14:paraId="00A9906B">
            <w:pPr>
              <w:pStyle w:val="14"/>
            </w:pPr>
            <w:r>
              <w:t>2369.80</w:t>
            </w:r>
          </w:p>
        </w:tc>
        <w:tc>
          <w:tcPr>
            <w:tcW w:w="4535" w:type="dxa"/>
            <w:vAlign w:val="center"/>
          </w:tcPr>
          <w:p w14:paraId="4D56021E">
            <w:pPr>
              <w:pStyle w:val="13"/>
            </w:pPr>
            <w:r>
              <w:t>一、一般公共服务支出</w:t>
            </w:r>
          </w:p>
        </w:tc>
        <w:tc>
          <w:tcPr>
            <w:tcW w:w="2126" w:type="dxa"/>
            <w:vAlign w:val="center"/>
          </w:tcPr>
          <w:p w14:paraId="481FDEE6">
            <w:pPr>
              <w:pStyle w:val="14"/>
            </w:pPr>
          </w:p>
        </w:tc>
      </w:tr>
      <w:tr w14:paraId="02BD4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E1467">
            <w:pPr>
              <w:pStyle w:val="12"/>
            </w:pPr>
            <w:r>
              <w:t>2</w:t>
            </w:r>
          </w:p>
        </w:tc>
        <w:tc>
          <w:tcPr>
            <w:tcW w:w="4535" w:type="dxa"/>
            <w:vAlign w:val="center"/>
          </w:tcPr>
          <w:p w14:paraId="2E328976">
            <w:pPr>
              <w:pStyle w:val="13"/>
            </w:pPr>
            <w:r>
              <w:t>二、政府性基金预算拨款收入</w:t>
            </w:r>
          </w:p>
        </w:tc>
        <w:tc>
          <w:tcPr>
            <w:tcW w:w="2126" w:type="dxa"/>
            <w:vAlign w:val="center"/>
          </w:tcPr>
          <w:p w14:paraId="45FA2C58">
            <w:pPr>
              <w:pStyle w:val="14"/>
            </w:pPr>
          </w:p>
        </w:tc>
        <w:tc>
          <w:tcPr>
            <w:tcW w:w="4535" w:type="dxa"/>
            <w:vAlign w:val="center"/>
          </w:tcPr>
          <w:p w14:paraId="0EC4F02B">
            <w:pPr>
              <w:pStyle w:val="13"/>
            </w:pPr>
            <w:r>
              <w:t>二、外交支出</w:t>
            </w:r>
          </w:p>
        </w:tc>
        <w:tc>
          <w:tcPr>
            <w:tcW w:w="2126" w:type="dxa"/>
            <w:vAlign w:val="center"/>
          </w:tcPr>
          <w:p w14:paraId="24B77570">
            <w:pPr>
              <w:pStyle w:val="14"/>
            </w:pPr>
          </w:p>
        </w:tc>
      </w:tr>
      <w:tr w14:paraId="2F28A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B2486">
            <w:pPr>
              <w:pStyle w:val="12"/>
            </w:pPr>
            <w:r>
              <w:t>3</w:t>
            </w:r>
          </w:p>
        </w:tc>
        <w:tc>
          <w:tcPr>
            <w:tcW w:w="4535" w:type="dxa"/>
            <w:vAlign w:val="center"/>
          </w:tcPr>
          <w:p w14:paraId="0F4D6341">
            <w:pPr>
              <w:pStyle w:val="13"/>
            </w:pPr>
            <w:r>
              <w:t>三、国有资本经营预算拨款收入</w:t>
            </w:r>
          </w:p>
        </w:tc>
        <w:tc>
          <w:tcPr>
            <w:tcW w:w="2126" w:type="dxa"/>
            <w:vAlign w:val="center"/>
          </w:tcPr>
          <w:p w14:paraId="7B890C7E">
            <w:pPr>
              <w:pStyle w:val="14"/>
            </w:pPr>
          </w:p>
        </w:tc>
        <w:tc>
          <w:tcPr>
            <w:tcW w:w="4535" w:type="dxa"/>
            <w:vAlign w:val="center"/>
          </w:tcPr>
          <w:p w14:paraId="42711B63">
            <w:pPr>
              <w:pStyle w:val="13"/>
            </w:pPr>
            <w:r>
              <w:t>三、国防支出</w:t>
            </w:r>
          </w:p>
        </w:tc>
        <w:tc>
          <w:tcPr>
            <w:tcW w:w="2126" w:type="dxa"/>
            <w:vAlign w:val="center"/>
          </w:tcPr>
          <w:p w14:paraId="44B9EFF8">
            <w:pPr>
              <w:pStyle w:val="14"/>
            </w:pPr>
          </w:p>
        </w:tc>
      </w:tr>
      <w:tr w14:paraId="4D18C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A93C8">
            <w:pPr>
              <w:pStyle w:val="12"/>
            </w:pPr>
            <w:r>
              <w:t>4</w:t>
            </w:r>
          </w:p>
        </w:tc>
        <w:tc>
          <w:tcPr>
            <w:tcW w:w="4535" w:type="dxa"/>
            <w:vAlign w:val="center"/>
          </w:tcPr>
          <w:p w14:paraId="413A29DC">
            <w:pPr>
              <w:pStyle w:val="13"/>
            </w:pPr>
            <w:r>
              <w:t>四、财政专户管理资金收入</w:t>
            </w:r>
          </w:p>
        </w:tc>
        <w:tc>
          <w:tcPr>
            <w:tcW w:w="2126" w:type="dxa"/>
            <w:vAlign w:val="center"/>
          </w:tcPr>
          <w:p w14:paraId="788F683C">
            <w:pPr>
              <w:pStyle w:val="14"/>
            </w:pPr>
          </w:p>
        </w:tc>
        <w:tc>
          <w:tcPr>
            <w:tcW w:w="4535" w:type="dxa"/>
            <w:vAlign w:val="center"/>
          </w:tcPr>
          <w:p w14:paraId="352D4051">
            <w:pPr>
              <w:pStyle w:val="13"/>
            </w:pPr>
            <w:r>
              <w:t>四、公共安全支出</w:t>
            </w:r>
          </w:p>
        </w:tc>
        <w:tc>
          <w:tcPr>
            <w:tcW w:w="2126" w:type="dxa"/>
            <w:vAlign w:val="center"/>
          </w:tcPr>
          <w:p w14:paraId="69808BFC">
            <w:pPr>
              <w:pStyle w:val="14"/>
            </w:pPr>
          </w:p>
        </w:tc>
      </w:tr>
      <w:tr w14:paraId="24299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D6E8D">
            <w:pPr>
              <w:pStyle w:val="12"/>
            </w:pPr>
            <w:r>
              <w:t>5</w:t>
            </w:r>
          </w:p>
        </w:tc>
        <w:tc>
          <w:tcPr>
            <w:tcW w:w="4535" w:type="dxa"/>
            <w:vAlign w:val="center"/>
          </w:tcPr>
          <w:p w14:paraId="63FB8B6C">
            <w:pPr>
              <w:pStyle w:val="13"/>
            </w:pPr>
            <w:r>
              <w:t>五、单位资金</w:t>
            </w:r>
          </w:p>
        </w:tc>
        <w:tc>
          <w:tcPr>
            <w:tcW w:w="2126" w:type="dxa"/>
            <w:vAlign w:val="center"/>
          </w:tcPr>
          <w:p w14:paraId="7C3E5DFF">
            <w:pPr>
              <w:pStyle w:val="14"/>
            </w:pPr>
          </w:p>
        </w:tc>
        <w:tc>
          <w:tcPr>
            <w:tcW w:w="4535" w:type="dxa"/>
            <w:vAlign w:val="center"/>
          </w:tcPr>
          <w:p w14:paraId="5A85D3DA">
            <w:pPr>
              <w:pStyle w:val="13"/>
            </w:pPr>
            <w:r>
              <w:t>五、教育支出</w:t>
            </w:r>
          </w:p>
        </w:tc>
        <w:tc>
          <w:tcPr>
            <w:tcW w:w="2126" w:type="dxa"/>
            <w:vAlign w:val="center"/>
          </w:tcPr>
          <w:p w14:paraId="4AF97EF9">
            <w:pPr>
              <w:pStyle w:val="14"/>
            </w:pPr>
            <w:r>
              <w:t>2463.90</w:t>
            </w:r>
          </w:p>
        </w:tc>
      </w:tr>
      <w:tr w14:paraId="19D31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12E81">
            <w:pPr>
              <w:pStyle w:val="12"/>
            </w:pPr>
            <w:r>
              <w:t>6</w:t>
            </w:r>
          </w:p>
        </w:tc>
        <w:tc>
          <w:tcPr>
            <w:tcW w:w="4535" w:type="dxa"/>
            <w:vAlign w:val="center"/>
          </w:tcPr>
          <w:p w14:paraId="50D30F31">
            <w:pPr>
              <w:pStyle w:val="13"/>
            </w:pPr>
          </w:p>
        </w:tc>
        <w:tc>
          <w:tcPr>
            <w:tcW w:w="2126" w:type="dxa"/>
            <w:vAlign w:val="center"/>
          </w:tcPr>
          <w:p w14:paraId="64146BCA">
            <w:pPr>
              <w:pStyle w:val="14"/>
            </w:pPr>
          </w:p>
        </w:tc>
        <w:tc>
          <w:tcPr>
            <w:tcW w:w="4535" w:type="dxa"/>
            <w:vAlign w:val="center"/>
          </w:tcPr>
          <w:p w14:paraId="2FEC1498">
            <w:pPr>
              <w:pStyle w:val="13"/>
            </w:pPr>
            <w:r>
              <w:t>六、科学技术支出</w:t>
            </w:r>
          </w:p>
        </w:tc>
        <w:tc>
          <w:tcPr>
            <w:tcW w:w="2126" w:type="dxa"/>
            <w:vAlign w:val="center"/>
          </w:tcPr>
          <w:p w14:paraId="080C89E8">
            <w:pPr>
              <w:pStyle w:val="14"/>
            </w:pPr>
          </w:p>
        </w:tc>
      </w:tr>
      <w:tr w14:paraId="64E41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D523F">
            <w:pPr>
              <w:pStyle w:val="12"/>
            </w:pPr>
            <w:r>
              <w:t>7</w:t>
            </w:r>
          </w:p>
        </w:tc>
        <w:tc>
          <w:tcPr>
            <w:tcW w:w="4535" w:type="dxa"/>
            <w:vAlign w:val="center"/>
          </w:tcPr>
          <w:p w14:paraId="71714C40">
            <w:pPr>
              <w:pStyle w:val="13"/>
            </w:pPr>
          </w:p>
        </w:tc>
        <w:tc>
          <w:tcPr>
            <w:tcW w:w="2126" w:type="dxa"/>
            <w:vAlign w:val="center"/>
          </w:tcPr>
          <w:p w14:paraId="54E6C341">
            <w:pPr>
              <w:pStyle w:val="14"/>
            </w:pPr>
          </w:p>
        </w:tc>
        <w:tc>
          <w:tcPr>
            <w:tcW w:w="4535" w:type="dxa"/>
            <w:vAlign w:val="center"/>
          </w:tcPr>
          <w:p w14:paraId="76DF1C60">
            <w:pPr>
              <w:pStyle w:val="13"/>
            </w:pPr>
            <w:r>
              <w:t>七、文化旅游体育与传媒支出</w:t>
            </w:r>
          </w:p>
        </w:tc>
        <w:tc>
          <w:tcPr>
            <w:tcW w:w="2126" w:type="dxa"/>
            <w:vAlign w:val="center"/>
          </w:tcPr>
          <w:p w14:paraId="614CEC37">
            <w:pPr>
              <w:pStyle w:val="14"/>
            </w:pPr>
          </w:p>
        </w:tc>
      </w:tr>
      <w:tr w14:paraId="6C4FE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BEDA7">
            <w:pPr>
              <w:pStyle w:val="12"/>
            </w:pPr>
            <w:r>
              <w:t>8</w:t>
            </w:r>
          </w:p>
        </w:tc>
        <w:tc>
          <w:tcPr>
            <w:tcW w:w="4535" w:type="dxa"/>
            <w:vAlign w:val="center"/>
          </w:tcPr>
          <w:p w14:paraId="65F61BFB">
            <w:pPr>
              <w:pStyle w:val="13"/>
            </w:pPr>
          </w:p>
        </w:tc>
        <w:tc>
          <w:tcPr>
            <w:tcW w:w="2126" w:type="dxa"/>
            <w:vAlign w:val="center"/>
          </w:tcPr>
          <w:p w14:paraId="352DCFCE">
            <w:pPr>
              <w:pStyle w:val="14"/>
            </w:pPr>
          </w:p>
        </w:tc>
        <w:tc>
          <w:tcPr>
            <w:tcW w:w="4535" w:type="dxa"/>
            <w:vAlign w:val="center"/>
          </w:tcPr>
          <w:p w14:paraId="763E7A8C">
            <w:pPr>
              <w:pStyle w:val="13"/>
            </w:pPr>
            <w:r>
              <w:t>八、社会保障和就业支出</w:t>
            </w:r>
          </w:p>
        </w:tc>
        <w:tc>
          <w:tcPr>
            <w:tcW w:w="2126" w:type="dxa"/>
            <w:vAlign w:val="center"/>
          </w:tcPr>
          <w:p w14:paraId="13C4AB7D">
            <w:pPr>
              <w:pStyle w:val="14"/>
            </w:pPr>
          </w:p>
        </w:tc>
      </w:tr>
      <w:tr w14:paraId="2DCB7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1BE48">
            <w:pPr>
              <w:pStyle w:val="12"/>
            </w:pPr>
            <w:r>
              <w:t>9</w:t>
            </w:r>
          </w:p>
        </w:tc>
        <w:tc>
          <w:tcPr>
            <w:tcW w:w="4535" w:type="dxa"/>
            <w:vAlign w:val="center"/>
          </w:tcPr>
          <w:p w14:paraId="592930B8">
            <w:pPr>
              <w:pStyle w:val="13"/>
            </w:pPr>
          </w:p>
        </w:tc>
        <w:tc>
          <w:tcPr>
            <w:tcW w:w="2126" w:type="dxa"/>
            <w:vAlign w:val="center"/>
          </w:tcPr>
          <w:p w14:paraId="53387637">
            <w:pPr>
              <w:pStyle w:val="14"/>
            </w:pPr>
          </w:p>
        </w:tc>
        <w:tc>
          <w:tcPr>
            <w:tcW w:w="4535" w:type="dxa"/>
            <w:vAlign w:val="center"/>
          </w:tcPr>
          <w:p w14:paraId="63DBF201">
            <w:pPr>
              <w:pStyle w:val="13"/>
            </w:pPr>
            <w:r>
              <w:t>九、社会保险基金支出</w:t>
            </w:r>
          </w:p>
        </w:tc>
        <w:tc>
          <w:tcPr>
            <w:tcW w:w="2126" w:type="dxa"/>
            <w:vAlign w:val="center"/>
          </w:tcPr>
          <w:p w14:paraId="1946CCD8">
            <w:pPr>
              <w:pStyle w:val="14"/>
            </w:pPr>
          </w:p>
        </w:tc>
      </w:tr>
      <w:tr w14:paraId="364C9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EEA0F">
            <w:pPr>
              <w:pStyle w:val="12"/>
            </w:pPr>
            <w:r>
              <w:t>10</w:t>
            </w:r>
          </w:p>
        </w:tc>
        <w:tc>
          <w:tcPr>
            <w:tcW w:w="4535" w:type="dxa"/>
            <w:vAlign w:val="center"/>
          </w:tcPr>
          <w:p w14:paraId="3B5CE244">
            <w:pPr>
              <w:pStyle w:val="13"/>
            </w:pPr>
          </w:p>
        </w:tc>
        <w:tc>
          <w:tcPr>
            <w:tcW w:w="2126" w:type="dxa"/>
            <w:vAlign w:val="center"/>
          </w:tcPr>
          <w:p w14:paraId="781F23AE">
            <w:pPr>
              <w:pStyle w:val="14"/>
            </w:pPr>
          </w:p>
        </w:tc>
        <w:tc>
          <w:tcPr>
            <w:tcW w:w="4535" w:type="dxa"/>
            <w:vAlign w:val="center"/>
          </w:tcPr>
          <w:p w14:paraId="2A78D517">
            <w:pPr>
              <w:pStyle w:val="13"/>
            </w:pPr>
            <w:r>
              <w:t>十、卫生健康支出</w:t>
            </w:r>
          </w:p>
        </w:tc>
        <w:tc>
          <w:tcPr>
            <w:tcW w:w="2126" w:type="dxa"/>
            <w:vAlign w:val="center"/>
          </w:tcPr>
          <w:p w14:paraId="0A3BB165">
            <w:pPr>
              <w:pStyle w:val="14"/>
            </w:pPr>
          </w:p>
        </w:tc>
      </w:tr>
      <w:tr w14:paraId="14AB4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E7011">
            <w:pPr>
              <w:pStyle w:val="12"/>
            </w:pPr>
            <w:r>
              <w:t>11</w:t>
            </w:r>
          </w:p>
        </w:tc>
        <w:tc>
          <w:tcPr>
            <w:tcW w:w="4535" w:type="dxa"/>
            <w:vAlign w:val="center"/>
          </w:tcPr>
          <w:p w14:paraId="010EAD33">
            <w:pPr>
              <w:pStyle w:val="13"/>
            </w:pPr>
          </w:p>
        </w:tc>
        <w:tc>
          <w:tcPr>
            <w:tcW w:w="2126" w:type="dxa"/>
            <w:vAlign w:val="center"/>
          </w:tcPr>
          <w:p w14:paraId="46ED792F">
            <w:pPr>
              <w:pStyle w:val="14"/>
            </w:pPr>
          </w:p>
        </w:tc>
        <w:tc>
          <w:tcPr>
            <w:tcW w:w="4535" w:type="dxa"/>
            <w:vAlign w:val="center"/>
          </w:tcPr>
          <w:p w14:paraId="402D6953">
            <w:pPr>
              <w:pStyle w:val="13"/>
            </w:pPr>
            <w:r>
              <w:t>十一、节能环保支出</w:t>
            </w:r>
          </w:p>
        </w:tc>
        <w:tc>
          <w:tcPr>
            <w:tcW w:w="2126" w:type="dxa"/>
            <w:vAlign w:val="center"/>
          </w:tcPr>
          <w:p w14:paraId="43BA9CCC">
            <w:pPr>
              <w:pStyle w:val="14"/>
            </w:pPr>
          </w:p>
        </w:tc>
      </w:tr>
      <w:tr w14:paraId="3FC51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947E7">
            <w:pPr>
              <w:pStyle w:val="12"/>
            </w:pPr>
            <w:r>
              <w:t>12</w:t>
            </w:r>
          </w:p>
        </w:tc>
        <w:tc>
          <w:tcPr>
            <w:tcW w:w="4535" w:type="dxa"/>
            <w:vAlign w:val="center"/>
          </w:tcPr>
          <w:p w14:paraId="6C6E2127">
            <w:pPr>
              <w:pStyle w:val="13"/>
            </w:pPr>
          </w:p>
        </w:tc>
        <w:tc>
          <w:tcPr>
            <w:tcW w:w="2126" w:type="dxa"/>
            <w:vAlign w:val="center"/>
          </w:tcPr>
          <w:p w14:paraId="1C8B7FDC">
            <w:pPr>
              <w:pStyle w:val="14"/>
            </w:pPr>
          </w:p>
        </w:tc>
        <w:tc>
          <w:tcPr>
            <w:tcW w:w="4535" w:type="dxa"/>
            <w:vAlign w:val="center"/>
          </w:tcPr>
          <w:p w14:paraId="6DE57F81">
            <w:pPr>
              <w:pStyle w:val="13"/>
            </w:pPr>
            <w:r>
              <w:t>十二、城乡社区支出</w:t>
            </w:r>
          </w:p>
        </w:tc>
        <w:tc>
          <w:tcPr>
            <w:tcW w:w="2126" w:type="dxa"/>
            <w:vAlign w:val="center"/>
          </w:tcPr>
          <w:p w14:paraId="70B4B0F5">
            <w:pPr>
              <w:pStyle w:val="14"/>
            </w:pPr>
          </w:p>
        </w:tc>
      </w:tr>
      <w:tr w14:paraId="45FB7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F5B99">
            <w:pPr>
              <w:pStyle w:val="12"/>
            </w:pPr>
            <w:r>
              <w:t>13</w:t>
            </w:r>
          </w:p>
        </w:tc>
        <w:tc>
          <w:tcPr>
            <w:tcW w:w="4535" w:type="dxa"/>
            <w:vAlign w:val="center"/>
          </w:tcPr>
          <w:p w14:paraId="5AFD36C9">
            <w:pPr>
              <w:pStyle w:val="13"/>
            </w:pPr>
          </w:p>
        </w:tc>
        <w:tc>
          <w:tcPr>
            <w:tcW w:w="2126" w:type="dxa"/>
            <w:vAlign w:val="center"/>
          </w:tcPr>
          <w:p w14:paraId="7F29AE6C">
            <w:pPr>
              <w:pStyle w:val="14"/>
            </w:pPr>
          </w:p>
        </w:tc>
        <w:tc>
          <w:tcPr>
            <w:tcW w:w="4535" w:type="dxa"/>
            <w:vAlign w:val="center"/>
          </w:tcPr>
          <w:p w14:paraId="5B217DE5">
            <w:pPr>
              <w:pStyle w:val="13"/>
            </w:pPr>
            <w:r>
              <w:t>十三、农林水支出</w:t>
            </w:r>
          </w:p>
        </w:tc>
        <w:tc>
          <w:tcPr>
            <w:tcW w:w="2126" w:type="dxa"/>
            <w:vAlign w:val="center"/>
          </w:tcPr>
          <w:p w14:paraId="1E0CD1CC">
            <w:pPr>
              <w:pStyle w:val="14"/>
            </w:pPr>
          </w:p>
        </w:tc>
      </w:tr>
      <w:tr w14:paraId="1AD29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C42FC">
            <w:pPr>
              <w:pStyle w:val="12"/>
            </w:pPr>
            <w:r>
              <w:t>14</w:t>
            </w:r>
          </w:p>
        </w:tc>
        <w:tc>
          <w:tcPr>
            <w:tcW w:w="4535" w:type="dxa"/>
            <w:vAlign w:val="center"/>
          </w:tcPr>
          <w:p w14:paraId="24FCB524">
            <w:pPr>
              <w:pStyle w:val="13"/>
            </w:pPr>
          </w:p>
        </w:tc>
        <w:tc>
          <w:tcPr>
            <w:tcW w:w="2126" w:type="dxa"/>
            <w:vAlign w:val="center"/>
          </w:tcPr>
          <w:p w14:paraId="3057692E">
            <w:pPr>
              <w:pStyle w:val="14"/>
            </w:pPr>
          </w:p>
        </w:tc>
        <w:tc>
          <w:tcPr>
            <w:tcW w:w="4535" w:type="dxa"/>
            <w:vAlign w:val="center"/>
          </w:tcPr>
          <w:p w14:paraId="1DAFA647">
            <w:pPr>
              <w:pStyle w:val="13"/>
            </w:pPr>
            <w:r>
              <w:t>十四、交通运输支出</w:t>
            </w:r>
          </w:p>
        </w:tc>
        <w:tc>
          <w:tcPr>
            <w:tcW w:w="2126" w:type="dxa"/>
            <w:vAlign w:val="center"/>
          </w:tcPr>
          <w:p w14:paraId="2E6A14F8">
            <w:pPr>
              <w:pStyle w:val="14"/>
            </w:pPr>
          </w:p>
        </w:tc>
      </w:tr>
      <w:tr w14:paraId="7D5CA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721F6">
            <w:pPr>
              <w:pStyle w:val="12"/>
            </w:pPr>
            <w:r>
              <w:t>15</w:t>
            </w:r>
          </w:p>
        </w:tc>
        <w:tc>
          <w:tcPr>
            <w:tcW w:w="4535" w:type="dxa"/>
            <w:vAlign w:val="center"/>
          </w:tcPr>
          <w:p w14:paraId="1FE796CD">
            <w:pPr>
              <w:pStyle w:val="13"/>
            </w:pPr>
          </w:p>
        </w:tc>
        <w:tc>
          <w:tcPr>
            <w:tcW w:w="2126" w:type="dxa"/>
            <w:vAlign w:val="center"/>
          </w:tcPr>
          <w:p w14:paraId="377C65F8">
            <w:pPr>
              <w:pStyle w:val="14"/>
            </w:pPr>
          </w:p>
        </w:tc>
        <w:tc>
          <w:tcPr>
            <w:tcW w:w="4535" w:type="dxa"/>
            <w:vAlign w:val="center"/>
          </w:tcPr>
          <w:p w14:paraId="6FB8838B">
            <w:pPr>
              <w:pStyle w:val="13"/>
            </w:pPr>
            <w:r>
              <w:t>十五、资源勘探工业信息等支出</w:t>
            </w:r>
          </w:p>
        </w:tc>
        <w:tc>
          <w:tcPr>
            <w:tcW w:w="2126" w:type="dxa"/>
            <w:vAlign w:val="center"/>
          </w:tcPr>
          <w:p w14:paraId="2E002005">
            <w:pPr>
              <w:pStyle w:val="14"/>
            </w:pPr>
          </w:p>
        </w:tc>
      </w:tr>
      <w:tr w14:paraId="50F86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26ABE">
            <w:pPr>
              <w:pStyle w:val="12"/>
            </w:pPr>
            <w:r>
              <w:t>16</w:t>
            </w:r>
          </w:p>
        </w:tc>
        <w:tc>
          <w:tcPr>
            <w:tcW w:w="4535" w:type="dxa"/>
            <w:vAlign w:val="center"/>
          </w:tcPr>
          <w:p w14:paraId="1C2737FD">
            <w:pPr>
              <w:pStyle w:val="13"/>
            </w:pPr>
          </w:p>
        </w:tc>
        <w:tc>
          <w:tcPr>
            <w:tcW w:w="2126" w:type="dxa"/>
            <w:vAlign w:val="center"/>
          </w:tcPr>
          <w:p w14:paraId="058F3F30">
            <w:pPr>
              <w:pStyle w:val="14"/>
            </w:pPr>
          </w:p>
        </w:tc>
        <w:tc>
          <w:tcPr>
            <w:tcW w:w="4535" w:type="dxa"/>
            <w:vAlign w:val="center"/>
          </w:tcPr>
          <w:p w14:paraId="490E13EC">
            <w:pPr>
              <w:pStyle w:val="13"/>
            </w:pPr>
            <w:r>
              <w:t>十六、商业服务业等支出</w:t>
            </w:r>
          </w:p>
        </w:tc>
        <w:tc>
          <w:tcPr>
            <w:tcW w:w="2126" w:type="dxa"/>
            <w:vAlign w:val="center"/>
          </w:tcPr>
          <w:p w14:paraId="3E4F86B4">
            <w:pPr>
              <w:pStyle w:val="14"/>
            </w:pPr>
          </w:p>
        </w:tc>
      </w:tr>
      <w:tr w14:paraId="5EAE3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D2208">
            <w:pPr>
              <w:pStyle w:val="12"/>
            </w:pPr>
            <w:r>
              <w:t>17</w:t>
            </w:r>
          </w:p>
        </w:tc>
        <w:tc>
          <w:tcPr>
            <w:tcW w:w="4535" w:type="dxa"/>
            <w:vAlign w:val="center"/>
          </w:tcPr>
          <w:p w14:paraId="0E866BCF">
            <w:pPr>
              <w:pStyle w:val="13"/>
            </w:pPr>
          </w:p>
        </w:tc>
        <w:tc>
          <w:tcPr>
            <w:tcW w:w="2126" w:type="dxa"/>
            <w:vAlign w:val="center"/>
          </w:tcPr>
          <w:p w14:paraId="0284FA3D">
            <w:pPr>
              <w:pStyle w:val="14"/>
            </w:pPr>
          </w:p>
        </w:tc>
        <w:tc>
          <w:tcPr>
            <w:tcW w:w="4535" w:type="dxa"/>
            <w:vAlign w:val="center"/>
          </w:tcPr>
          <w:p w14:paraId="63F1A524">
            <w:pPr>
              <w:pStyle w:val="13"/>
            </w:pPr>
            <w:r>
              <w:t>十七、金融支出</w:t>
            </w:r>
          </w:p>
        </w:tc>
        <w:tc>
          <w:tcPr>
            <w:tcW w:w="2126" w:type="dxa"/>
            <w:vAlign w:val="center"/>
          </w:tcPr>
          <w:p w14:paraId="5ADC0854">
            <w:pPr>
              <w:pStyle w:val="14"/>
            </w:pPr>
          </w:p>
        </w:tc>
      </w:tr>
      <w:tr w14:paraId="00383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6E4FA">
            <w:pPr>
              <w:pStyle w:val="12"/>
            </w:pPr>
            <w:r>
              <w:t>18</w:t>
            </w:r>
          </w:p>
        </w:tc>
        <w:tc>
          <w:tcPr>
            <w:tcW w:w="4535" w:type="dxa"/>
            <w:vAlign w:val="center"/>
          </w:tcPr>
          <w:p w14:paraId="6E3A4B6D">
            <w:pPr>
              <w:pStyle w:val="13"/>
            </w:pPr>
          </w:p>
        </w:tc>
        <w:tc>
          <w:tcPr>
            <w:tcW w:w="2126" w:type="dxa"/>
            <w:vAlign w:val="center"/>
          </w:tcPr>
          <w:p w14:paraId="064CB359">
            <w:pPr>
              <w:pStyle w:val="14"/>
            </w:pPr>
          </w:p>
        </w:tc>
        <w:tc>
          <w:tcPr>
            <w:tcW w:w="4535" w:type="dxa"/>
            <w:vAlign w:val="center"/>
          </w:tcPr>
          <w:p w14:paraId="0713C175">
            <w:pPr>
              <w:pStyle w:val="13"/>
            </w:pPr>
            <w:r>
              <w:t>十八、援助其他地区支出</w:t>
            </w:r>
          </w:p>
        </w:tc>
        <w:tc>
          <w:tcPr>
            <w:tcW w:w="2126" w:type="dxa"/>
            <w:vAlign w:val="center"/>
          </w:tcPr>
          <w:p w14:paraId="10FD93F6">
            <w:pPr>
              <w:pStyle w:val="14"/>
            </w:pPr>
          </w:p>
        </w:tc>
      </w:tr>
      <w:tr w14:paraId="30756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55A36">
            <w:pPr>
              <w:pStyle w:val="12"/>
            </w:pPr>
            <w:r>
              <w:t>19</w:t>
            </w:r>
          </w:p>
        </w:tc>
        <w:tc>
          <w:tcPr>
            <w:tcW w:w="4535" w:type="dxa"/>
            <w:vAlign w:val="center"/>
          </w:tcPr>
          <w:p w14:paraId="330FCFE5">
            <w:pPr>
              <w:pStyle w:val="13"/>
            </w:pPr>
          </w:p>
        </w:tc>
        <w:tc>
          <w:tcPr>
            <w:tcW w:w="2126" w:type="dxa"/>
            <w:vAlign w:val="center"/>
          </w:tcPr>
          <w:p w14:paraId="138E7DF5">
            <w:pPr>
              <w:pStyle w:val="14"/>
            </w:pPr>
          </w:p>
        </w:tc>
        <w:tc>
          <w:tcPr>
            <w:tcW w:w="4535" w:type="dxa"/>
            <w:vAlign w:val="center"/>
          </w:tcPr>
          <w:p w14:paraId="651B2A0A">
            <w:pPr>
              <w:pStyle w:val="13"/>
            </w:pPr>
            <w:r>
              <w:t>十九、自然资源海洋气象等支出</w:t>
            </w:r>
          </w:p>
        </w:tc>
        <w:tc>
          <w:tcPr>
            <w:tcW w:w="2126" w:type="dxa"/>
            <w:vAlign w:val="center"/>
          </w:tcPr>
          <w:p w14:paraId="14F06D2C">
            <w:pPr>
              <w:pStyle w:val="14"/>
            </w:pPr>
          </w:p>
        </w:tc>
      </w:tr>
      <w:tr w14:paraId="6D3A4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3F8A6">
            <w:pPr>
              <w:pStyle w:val="12"/>
            </w:pPr>
            <w:r>
              <w:t>20</w:t>
            </w:r>
          </w:p>
        </w:tc>
        <w:tc>
          <w:tcPr>
            <w:tcW w:w="4535" w:type="dxa"/>
            <w:vAlign w:val="center"/>
          </w:tcPr>
          <w:p w14:paraId="2E81385A">
            <w:pPr>
              <w:pStyle w:val="13"/>
            </w:pPr>
          </w:p>
        </w:tc>
        <w:tc>
          <w:tcPr>
            <w:tcW w:w="2126" w:type="dxa"/>
            <w:vAlign w:val="center"/>
          </w:tcPr>
          <w:p w14:paraId="73F67C14">
            <w:pPr>
              <w:pStyle w:val="14"/>
            </w:pPr>
          </w:p>
        </w:tc>
        <w:tc>
          <w:tcPr>
            <w:tcW w:w="4535" w:type="dxa"/>
            <w:vAlign w:val="center"/>
          </w:tcPr>
          <w:p w14:paraId="43886D28">
            <w:pPr>
              <w:pStyle w:val="13"/>
            </w:pPr>
            <w:r>
              <w:t>二十、住房保障支出</w:t>
            </w:r>
          </w:p>
        </w:tc>
        <w:tc>
          <w:tcPr>
            <w:tcW w:w="2126" w:type="dxa"/>
            <w:vAlign w:val="center"/>
          </w:tcPr>
          <w:p w14:paraId="630E4433">
            <w:pPr>
              <w:pStyle w:val="14"/>
            </w:pPr>
          </w:p>
        </w:tc>
      </w:tr>
      <w:tr w14:paraId="23435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CE357">
            <w:pPr>
              <w:pStyle w:val="12"/>
            </w:pPr>
            <w:r>
              <w:t>21</w:t>
            </w:r>
          </w:p>
        </w:tc>
        <w:tc>
          <w:tcPr>
            <w:tcW w:w="4535" w:type="dxa"/>
            <w:vAlign w:val="center"/>
          </w:tcPr>
          <w:p w14:paraId="33032643">
            <w:pPr>
              <w:pStyle w:val="13"/>
            </w:pPr>
          </w:p>
        </w:tc>
        <w:tc>
          <w:tcPr>
            <w:tcW w:w="2126" w:type="dxa"/>
            <w:vAlign w:val="center"/>
          </w:tcPr>
          <w:p w14:paraId="6F579AB0">
            <w:pPr>
              <w:pStyle w:val="14"/>
            </w:pPr>
          </w:p>
        </w:tc>
        <w:tc>
          <w:tcPr>
            <w:tcW w:w="4535" w:type="dxa"/>
            <w:vAlign w:val="center"/>
          </w:tcPr>
          <w:p w14:paraId="29017B74">
            <w:pPr>
              <w:pStyle w:val="13"/>
            </w:pPr>
            <w:r>
              <w:t>二十一、粮油物资储备支出</w:t>
            </w:r>
          </w:p>
        </w:tc>
        <w:tc>
          <w:tcPr>
            <w:tcW w:w="2126" w:type="dxa"/>
            <w:vAlign w:val="center"/>
          </w:tcPr>
          <w:p w14:paraId="39C896CA">
            <w:pPr>
              <w:pStyle w:val="14"/>
            </w:pPr>
          </w:p>
        </w:tc>
      </w:tr>
      <w:tr w14:paraId="3395C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2B9B9">
            <w:pPr>
              <w:pStyle w:val="12"/>
            </w:pPr>
            <w:r>
              <w:t>22</w:t>
            </w:r>
          </w:p>
        </w:tc>
        <w:tc>
          <w:tcPr>
            <w:tcW w:w="4535" w:type="dxa"/>
            <w:vAlign w:val="center"/>
          </w:tcPr>
          <w:p w14:paraId="010478AF">
            <w:pPr>
              <w:pStyle w:val="13"/>
            </w:pPr>
          </w:p>
        </w:tc>
        <w:tc>
          <w:tcPr>
            <w:tcW w:w="2126" w:type="dxa"/>
            <w:vAlign w:val="center"/>
          </w:tcPr>
          <w:p w14:paraId="332B943C">
            <w:pPr>
              <w:pStyle w:val="14"/>
            </w:pPr>
          </w:p>
        </w:tc>
        <w:tc>
          <w:tcPr>
            <w:tcW w:w="4535" w:type="dxa"/>
            <w:vAlign w:val="center"/>
          </w:tcPr>
          <w:p w14:paraId="42D47C6A">
            <w:pPr>
              <w:pStyle w:val="13"/>
            </w:pPr>
            <w:r>
              <w:t>二十二、国有资本经营预算支出</w:t>
            </w:r>
          </w:p>
        </w:tc>
        <w:tc>
          <w:tcPr>
            <w:tcW w:w="2126" w:type="dxa"/>
            <w:vAlign w:val="center"/>
          </w:tcPr>
          <w:p w14:paraId="06C859F5">
            <w:pPr>
              <w:pStyle w:val="14"/>
            </w:pPr>
          </w:p>
        </w:tc>
      </w:tr>
      <w:tr w14:paraId="7B4B4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C3397">
            <w:pPr>
              <w:pStyle w:val="12"/>
            </w:pPr>
            <w:r>
              <w:t>23</w:t>
            </w:r>
          </w:p>
        </w:tc>
        <w:tc>
          <w:tcPr>
            <w:tcW w:w="4535" w:type="dxa"/>
            <w:vAlign w:val="center"/>
          </w:tcPr>
          <w:p w14:paraId="0945DF95">
            <w:pPr>
              <w:pStyle w:val="13"/>
            </w:pPr>
          </w:p>
        </w:tc>
        <w:tc>
          <w:tcPr>
            <w:tcW w:w="2126" w:type="dxa"/>
            <w:vAlign w:val="center"/>
          </w:tcPr>
          <w:p w14:paraId="14E6719E">
            <w:pPr>
              <w:pStyle w:val="14"/>
            </w:pPr>
          </w:p>
        </w:tc>
        <w:tc>
          <w:tcPr>
            <w:tcW w:w="4535" w:type="dxa"/>
            <w:vAlign w:val="center"/>
          </w:tcPr>
          <w:p w14:paraId="0EA61864">
            <w:pPr>
              <w:pStyle w:val="13"/>
            </w:pPr>
            <w:r>
              <w:t>二十三、灾害防治及应急管理支出</w:t>
            </w:r>
          </w:p>
        </w:tc>
        <w:tc>
          <w:tcPr>
            <w:tcW w:w="2126" w:type="dxa"/>
            <w:vAlign w:val="center"/>
          </w:tcPr>
          <w:p w14:paraId="073994FE">
            <w:pPr>
              <w:pStyle w:val="14"/>
            </w:pPr>
          </w:p>
        </w:tc>
      </w:tr>
      <w:tr w14:paraId="6B50A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530B0">
            <w:pPr>
              <w:pStyle w:val="12"/>
            </w:pPr>
            <w:r>
              <w:t>24</w:t>
            </w:r>
          </w:p>
        </w:tc>
        <w:tc>
          <w:tcPr>
            <w:tcW w:w="4535" w:type="dxa"/>
            <w:vAlign w:val="center"/>
          </w:tcPr>
          <w:p w14:paraId="6F844A89">
            <w:pPr>
              <w:pStyle w:val="13"/>
            </w:pPr>
          </w:p>
        </w:tc>
        <w:tc>
          <w:tcPr>
            <w:tcW w:w="2126" w:type="dxa"/>
            <w:vAlign w:val="center"/>
          </w:tcPr>
          <w:p w14:paraId="556468BF">
            <w:pPr>
              <w:pStyle w:val="14"/>
            </w:pPr>
          </w:p>
        </w:tc>
        <w:tc>
          <w:tcPr>
            <w:tcW w:w="4535" w:type="dxa"/>
            <w:vAlign w:val="center"/>
          </w:tcPr>
          <w:p w14:paraId="393BC0D9">
            <w:pPr>
              <w:pStyle w:val="13"/>
            </w:pPr>
            <w:r>
              <w:t>二十四、预备费</w:t>
            </w:r>
          </w:p>
        </w:tc>
        <w:tc>
          <w:tcPr>
            <w:tcW w:w="2126" w:type="dxa"/>
            <w:vAlign w:val="center"/>
          </w:tcPr>
          <w:p w14:paraId="42D8FB24">
            <w:pPr>
              <w:pStyle w:val="14"/>
            </w:pPr>
          </w:p>
        </w:tc>
      </w:tr>
      <w:tr w14:paraId="58265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F2344">
            <w:pPr>
              <w:pStyle w:val="12"/>
            </w:pPr>
            <w:r>
              <w:t>25</w:t>
            </w:r>
          </w:p>
        </w:tc>
        <w:tc>
          <w:tcPr>
            <w:tcW w:w="4535" w:type="dxa"/>
            <w:vAlign w:val="center"/>
          </w:tcPr>
          <w:p w14:paraId="62E8B5B8">
            <w:pPr>
              <w:pStyle w:val="13"/>
            </w:pPr>
          </w:p>
        </w:tc>
        <w:tc>
          <w:tcPr>
            <w:tcW w:w="2126" w:type="dxa"/>
            <w:vAlign w:val="center"/>
          </w:tcPr>
          <w:p w14:paraId="11E06226">
            <w:pPr>
              <w:pStyle w:val="14"/>
            </w:pPr>
          </w:p>
        </w:tc>
        <w:tc>
          <w:tcPr>
            <w:tcW w:w="4535" w:type="dxa"/>
            <w:vAlign w:val="center"/>
          </w:tcPr>
          <w:p w14:paraId="78F73F3E">
            <w:pPr>
              <w:pStyle w:val="13"/>
            </w:pPr>
            <w:r>
              <w:t>二十五、其他支出</w:t>
            </w:r>
          </w:p>
        </w:tc>
        <w:tc>
          <w:tcPr>
            <w:tcW w:w="2126" w:type="dxa"/>
            <w:vAlign w:val="center"/>
          </w:tcPr>
          <w:p w14:paraId="22576D65">
            <w:pPr>
              <w:pStyle w:val="14"/>
            </w:pPr>
          </w:p>
        </w:tc>
      </w:tr>
      <w:tr w14:paraId="3DEB1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07337">
            <w:pPr>
              <w:pStyle w:val="12"/>
            </w:pPr>
            <w:r>
              <w:t>26</w:t>
            </w:r>
          </w:p>
        </w:tc>
        <w:tc>
          <w:tcPr>
            <w:tcW w:w="4535" w:type="dxa"/>
            <w:vAlign w:val="center"/>
          </w:tcPr>
          <w:p w14:paraId="3B6F148F">
            <w:pPr>
              <w:pStyle w:val="13"/>
            </w:pPr>
          </w:p>
        </w:tc>
        <w:tc>
          <w:tcPr>
            <w:tcW w:w="2126" w:type="dxa"/>
            <w:vAlign w:val="center"/>
          </w:tcPr>
          <w:p w14:paraId="6D2AF07E">
            <w:pPr>
              <w:pStyle w:val="14"/>
            </w:pPr>
          </w:p>
        </w:tc>
        <w:tc>
          <w:tcPr>
            <w:tcW w:w="4535" w:type="dxa"/>
            <w:vAlign w:val="center"/>
          </w:tcPr>
          <w:p w14:paraId="63D58BEB">
            <w:pPr>
              <w:pStyle w:val="13"/>
            </w:pPr>
            <w:r>
              <w:t>二十六、转移性支出</w:t>
            </w:r>
          </w:p>
        </w:tc>
        <w:tc>
          <w:tcPr>
            <w:tcW w:w="2126" w:type="dxa"/>
            <w:vAlign w:val="center"/>
          </w:tcPr>
          <w:p w14:paraId="3BCF489D">
            <w:pPr>
              <w:pStyle w:val="14"/>
            </w:pPr>
          </w:p>
        </w:tc>
      </w:tr>
      <w:tr w14:paraId="0E043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0F0B3">
            <w:pPr>
              <w:pStyle w:val="12"/>
            </w:pPr>
            <w:r>
              <w:t>27</w:t>
            </w:r>
          </w:p>
        </w:tc>
        <w:tc>
          <w:tcPr>
            <w:tcW w:w="4535" w:type="dxa"/>
            <w:vAlign w:val="center"/>
          </w:tcPr>
          <w:p w14:paraId="354FB1AF">
            <w:pPr>
              <w:pStyle w:val="13"/>
            </w:pPr>
          </w:p>
        </w:tc>
        <w:tc>
          <w:tcPr>
            <w:tcW w:w="2126" w:type="dxa"/>
            <w:vAlign w:val="center"/>
          </w:tcPr>
          <w:p w14:paraId="58800DE4">
            <w:pPr>
              <w:pStyle w:val="14"/>
            </w:pPr>
          </w:p>
        </w:tc>
        <w:tc>
          <w:tcPr>
            <w:tcW w:w="4535" w:type="dxa"/>
            <w:vAlign w:val="center"/>
          </w:tcPr>
          <w:p w14:paraId="4A94C7A3">
            <w:pPr>
              <w:pStyle w:val="13"/>
            </w:pPr>
            <w:r>
              <w:t>二十七、债务还本支出</w:t>
            </w:r>
          </w:p>
        </w:tc>
        <w:tc>
          <w:tcPr>
            <w:tcW w:w="2126" w:type="dxa"/>
            <w:vAlign w:val="center"/>
          </w:tcPr>
          <w:p w14:paraId="0782D30B">
            <w:pPr>
              <w:pStyle w:val="14"/>
            </w:pPr>
          </w:p>
        </w:tc>
      </w:tr>
      <w:tr w14:paraId="1BDDE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4D198">
            <w:pPr>
              <w:pStyle w:val="12"/>
            </w:pPr>
            <w:r>
              <w:t>28</w:t>
            </w:r>
          </w:p>
        </w:tc>
        <w:tc>
          <w:tcPr>
            <w:tcW w:w="4535" w:type="dxa"/>
            <w:vAlign w:val="center"/>
          </w:tcPr>
          <w:p w14:paraId="50FB7958">
            <w:pPr>
              <w:pStyle w:val="13"/>
            </w:pPr>
          </w:p>
        </w:tc>
        <w:tc>
          <w:tcPr>
            <w:tcW w:w="2126" w:type="dxa"/>
            <w:vAlign w:val="center"/>
          </w:tcPr>
          <w:p w14:paraId="5EFF7297">
            <w:pPr>
              <w:pStyle w:val="14"/>
            </w:pPr>
          </w:p>
        </w:tc>
        <w:tc>
          <w:tcPr>
            <w:tcW w:w="4535" w:type="dxa"/>
            <w:vAlign w:val="center"/>
          </w:tcPr>
          <w:p w14:paraId="6CB9C66D">
            <w:pPr>
              <w:pStyle w:val="13"/>
            </w:pPr>
            <w:r>
              <w:t>二十八、债务付息支出</w:t>
            </w:r>
          </w:p>
        </w:tc>
        <w:tc>
          <w:tcPr>
            <w:tcW w:w="2126" w:type="dxa"/>
            <w:vAlign w:val="center"/>
          </w:tcPr>
          <w:p w14:paraId="02B29BA8">
            <w:pPr>
              <w:pStyle w:val="14"/>
            </w:pPr>
          </w:p>
        </w:tc>
      </w:tr>
      <w:tr w14:paraId="400FB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261A4">
            <w:pPr>
              <w:pStyle w:val="12"/>
            </w:pPr>
            <w:r>
              <w:t>29</w:t>
            </w:r>
          </w:p>
        </w:tc>
        <w:tc>
          <w:tcPr>
            <w:tcW w:w="4535" w:type="dxa"/>
            <w:vAlign w:val="center"/>
          </w:tcPr>
          <w:p w14:paraId="520E9166">
            <w:pPr>
              <w:pStyle w:val="13"/>
            </w:pPr>
          </w:p>
        </w:tc>
        <w:tc>
          <w:tcPr>
            <w:tcW w:w="2126" w:type="dxa"/>
            <w:vAlign w:val="center"/>
          </w:tcPr>
          <w:p w14:paraId="6324A88F">
            <w:pPr>
              <w:pStyle w:val="14"/>
            </w:pPr>
          </w:p>
        </w:tc>
        <w:tc>
          <w:tcPr>
            <w:tcW w:w="4535" w:type="dxa"/>
            <w:vAlign w:val="center"/>
          </w:tcPr>
          <w:p w14:paraId="77BC9488">
            <w:pPr>
              <w:pStyle w:val="13"/>
            </w:pPr>
            <w:r>
              <w:t>二十九、债务发行费用支出</w:t>
            </w:r>
          </w:p>
        </w:tc>
        <w:tc>
          <w:tcPr>
            <w:tcW w:w="2126" w:type="dxa"/>
            <w:vAlign w:val="center"/>
          </w:tcPr>
          <w:p w14:paraId="2EC5B002">
            <w:pPr>
              <w:pStyle w:val="14"/>
            </w:pPr>
          </w:p>
        </w:tc>
      </w:tr>
      <w:tr w14:paraId="11E1D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5113E">
            <w:pPr>
              <w:pStyle w:val="12"/>
            </w:pPr>
            <w:r>
              <w:t>30</w:t>
            </w:r>
          </w:p>
        </w:tc>
        <w:tc>
          <w:tcPr>
            <w:tcW w:w="4535" w:type="dxa"/>
            <w:vAlign w:val="center"/>
          </w:tcPr>
          <w:p w14:paraId="3A048A2C">
            <w:pPr>
              <w:pStyle w:val="13"/>
            </w:pPr>
          </w:p>
        </w:tc>
        <w:tc>
          <w:tcPr>
            <w:tcW w:w="2126" w:type="dxa"/>
            <w:vAlign w:val="center"/>
          </w:tcPr>
          <w:p w14:paraId="6FA0B8C2">
            <w:pPr>
              <w:pStyle w:val="14"/>
            </w:pPr>
          </w:p>
        </w:tc>
        <w:tc>
          <w:tcPr>
            <w:tcW w:w="4535" w:type="dxa"/>
            <w:vAlign w:val="center"/>
          </w:tcPr>
          <w:p w14:paraId="53F25E5A">
            <w:pPr>
              <w:pStyle w:val="13"/>
            </w:pPr>
            <w:r>
              <w:t>三十、抗疫特别国债安排的支出</w:t>
            </w:r>
          </w:p>
        </w:tc>
        <w:tc>
          <w:tcPr>
            <w:tcW w:w="2126" w:type="dxa"/>
            <w:vAlign w:val="center"/>
          </w:tcPr>
          <w:p w14:paraId="16618DEF">
            <w:pPr>
              <w:pStyle w:val="14"/>
            </w:pPr>
          </w:p>
        </w:tc>
      </w:tr>
      <w:tr w14:paraId="128E2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33954">
            <w:pPr>
              <w:pStyle w:val="12"/>
            </w:pPr>
            <w:r>
              <w:t>31</w:t>
            </w:r>
          </w:p>
        </w:tc>
        <w:tc>
          <w:tcPr>
            <w:tcW w:w="4535" w:type="dxa"/>
            <w:vAlign w:val="center"/>
          </w:tcPr>
          <w:p w14:paraId="008FB767">
            <w:pPr>
              <w:pStyle w:val="13"/>
            </w:pPr>
          </w:p>
        </w:tc>
        <w:tc>
          <w:tcPr>
            <w:tcW w:w="2126" w:type="dxa"/>
            <w:vAlign w:val="center"/>
          </w:tcPr>
          <w:p w14:paraId="623F25F4">
            <w:pPr>
              <w:pStyle w:val="14"/>
            </w:pPr>
          </w:p>
        </w:tc>
        <w:tc>
          <w:tcPr>
            <w:tcW w:w="4535" w:type="dxa"/>
            <w:vAlign w:val="center"/>
          </w:tcPr>
          <w:p w14:paraId="7AA150C2">
            <w:pPr>
              <w:pStyle w:val="13"/>
            </w:pPr>
            <w:r>
              <w:t>三十一、人行科目</w:t>
            </w:r>
          </w:p>
        </w:tc>
        <w:tc>
          <w:tcPr>
            <w:tcW w:w="2126" w:type="dxa"/>
            <w:vAlign w:val="center"/>
          </w:tcPr>
          <w:p w14:paraId="6A95A87A">
            <w:pPr>
              <w:pStyle w:val="14"/>
            </w:pPr>
          </w:p>
        </w:tc>
      </w:tr>
      <w:tr w14:paraId="3A3DB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54DB5">
            <w:pPr>
              <w:pStyle w:val="12"/>
            </w:pPr>
            <w:r>
              <w:t>32</w:t>
            </w:r>
          </w:p>
        </w:tc>
        <w:tc>
          <w:tcPr>
            <w:tcW w:w="4535" w:type="dxa"/>
            <w:vAlign w:val="center"/>
          </w:tcPr>
          <w:p w14:paraId="707EA04D">
            <w:pPr>
              <w:pStyle w:val="15"/>
            </w:pPr>
            <w:r>
              <w:t>本年收入合计</w:t>
            </w:r>
          </w:p>
        </w:tc>
        <w:tc>
          <w:tcPr>
            <w:tcW w:w="2126" w:type="dxa"/>
            <w:vAlign w:val="center"/>
          </w:tcPr>
          <w:p w14:paraId="006D8D03">
            <w:pPr>
              <w:pStyle w:val="16"/>
            </w:pPr>
            <w:r>
              <w:t>2369.80</w:t>
            </w:r>
          </w:p>
        </w:tc>
        <w:tc>
          <w:tcPr>
            <w:tcW w:w="4535" w:type="dxa"/>
            <w:vAlign w:val="center"/>
          </w:tcPr>
          <w:p w14:paraId="60EFB936">
            <w:pPr>
              <w:pStyle w:val="15"/>
            </w:pPr>
            <w:r>
              <w:t>本年支出合计</w:t>
            </w:r>
          </w:p>
        </w:tc>
        <w:tc>
          <w:tcPr>
            <w:tcW w:w="2126" w:type="dxa"/>
            <w:vAlign w:val="center"/>
          </w:tcPr>
          <w:p w14:paraId="7158B287">
            <w:pPr>
              <w:pStyle w:val="16"/>
            </w:pPr>
            <w:r>
              <w:t>2463.90</w:t>
            </w:r>
          </w:p>
        </w:tc>
      </w:tr>
      <w:tr w14:paraId="4010D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1612E">
            <w:pPr>
              <w:pStyle w:val="12"/>
            </w:pPr>
            <w:r>
              <w:t>33</w:t>
            </w:r>
          </w:p>
        </w:tc>
        <w:tc>
          <w:tcPr>
            <w:tcW w:w="4535" w:type="dxa"/>
            <w:vAlign w:val="center"/>
          </w:tcPr>
          <w:p w14:paraId="01B8101D">
            <w:pPr>
              <w:pStyle w:val="13"/>
            </w:pPr>
            <w:r>
              <w:t>上年结转结余</w:t>
            </w:r>
          </w:p>
        </w:tc>
        <w:tc>
          <w:tcPr>
            <w:tcW w:w="2126" w:type="dxa"/>
            <w:vAlign w:val="center"/>
          </w:tcPr>
          <w:p w14:paraId="1866C98A">
            <w:pPr>
              <w:pStyle w:val="14"/>
            </w:pPr>
            <w:r>
              <w:t>94.10</w:t>
            </w:r>
          </w:p>
        </w:tc>
        <w:tc>
          <w:tcPr>
            <w:tcW w:w="4535" w:type="dxa"/>
            <w:vAlign w:val="center"/>
          </w:tcPr>
          <w:p w14:paraId="7A1207EF">
            <w:pPr>
              <w:pStyle w:val="13"/>
            </w:pPr>
            <w:r>
              <w:t>年终结转结余</w:t>
            </w:r>
          </w:p>
        </w:tc>
        <w:tc>
          <w:tcPr>
            <w:tcW w:w="2126" w:type="dxa"/>
            <w:vAlign w:val="center"/>
          </w:tcPr>
          <w:p w14:paraId="3CD6E5C0">
            <w:pPr>
              <w:pStyle w:val="14"/>
            </w:pPr>
          </w:p>
        </w:tc>
      </w:tr>
      <w:tr w14:paraId="576DD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BB67E">
            <w:pPr>
              <w:pStyle w:val="12"/>
            </w:pPr>
            <w:r>
              <w:t>34</w:t>
            </w:r>
          </w:p>
        </w:tc>
        <w:tc>
          <w:tcPr>
            <w:tcW w:w="4535" w:type="dxa"/>
            <w:vAlign w:val="center"/>
          </w:tcPr>
          <w:p w14:paraId="657D1598">
            <w:pPr>
              <w:pStyle w:val="15"/>
            </w:pPr>
            <w:r>
              <w:t>收入总计</w:t>
            </w:r>
          </w:p>
        </w:tc>
        <w:tc>
          <w:tcPr>
            <w:tcW w:w="2126" w:type="dxa"/>
            <w:vAlign w:val="center"/>
          </w:tcPr>
          <w:p w14:paraId="293AC925">
            <w:pPr>
              <w:pStyle w:val="16"/>
            </w:pPr>
            <w:r>
              <w:t>2463.90</w:t>
            </w:r>
          </w:p>
        </w:tc>
        <w:tc>
          <w:tcPr>
            <w:tcW w:w="4535" w:type="dxa"/>
            <w:vAlign w:val="center"/>
          </w:tcPr>
          <w:p w14:paraId="7DC38797">
            <w:pPr>
              <w:pStyle w:val="15"/>
            </w:pPr>
            <w:r>
              <w:t>支出总计</w:t>
            </w:r>
          </w:p>
        </w:tc>
        <w:tc>
          <w:tcPr>
            <w:tcW w:w="2126" w:type="dxa"/>
            <w:vAlign w:val="center"/>
          </w:tcPr>
          <w:p w14:paraId="698CA9B8">
            <w:pPr>
              <w:pStyle w:val="16"/>
            </w:pPr>
            <w:r>
              <w:t>2463.90</w:t>
            </w:r>
          </w:p>
        </w:tc>
      </w:tr>
    </w:tbl>
    <w:p w14:paraId="62446D97">
      <w:pPr>
        <w:sectPr>
          <w:pgSz w:w="16840" w:h="11900" w:orient="landscape"/>
          <w:pgMar w:top="1361" w:right="1020" w:bottom="1134" w:left="1020" w:header="720" w:footer="720" w:gutter="0"/>
          <w:cols w:space="720" w:num="1"/>
        </w:sectPr>
      </w:pPr>
    </w:p>
    <w:p w14:paraId="18A4FD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FB9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D30EA5">
            <w:pPr>
              <w:pStyle w:val="8"/>
            </w:pPr>
            <w:r>
              <w:t>360020隆尧县双碑校区</w:t>
            </w:r>
          </w:p>
        </w:tc>
        <w:tc>
          <w:tcPr>
            <w:tcW w:w="3402" w:type="dxa"/>
            <w:gridSpan w:val="3"/>
            <w:tcBorders>
              <w:top w:val="single" w:color="FFFFFF" w:sz="6" w:space="0"/>
              <w:left w:val="single" w:color="FFFFFF" w:sz="6" w:space="0"/>
              <w:right w:val="single" w:color="FFFFFF" w:sz="6" w:space="0"/>
            </w:tcBorders>
            <w:vAlign w:val="center"/>
          </w:tcPr>
          <w:p w14:paraId="0E4DEBA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72E490E">
            <w:pPr>
              <w:pStyle w:val="10"/>
            </w:pPr>
            <w:r>
              <w:t>单位：万元</w:t>
            </w:r>
          </w:p>
        </w:tc>
      </w:tr>
      <w:tr w14:paraId="5D383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CDE730">
            <w:pPr>
              <w:pStyle w:val="11"/>
            </w:pPr>
            <w:r>
              <w:t>序号</w:t>
            </w:r>
          </w:p>
        </w:tc>
        <w:tc>
          <w:tcPr>
            <w:tcW w:w="2551" w:type="dxa"/>
            <w:gridSpan w:val="2"/>
            <w:vAlign w:val="center"/>
          </w:tcPr>
          <w:p w14:paraId="011AE61A">
            <w:pPr>
              <w:pStyle w:val="11"/>
            </w:pPr>
            <w:r>
              <w:t>功能分类科目</w:t>
            </w:r>
          </w:p>
        </w:tc>
        <w:tc>
          <w:tcPr>
            <w:tcW w:w="1134" w:type="dxa"/>
            <w:vMerge w:val="restart"/>
            <w:vAlign w:val="center"/>
          </w:tcPr>
          <w:p w14:paraId="5A0B074B">
            <w:pPr>
              <w:pStyle w:val="11"/>
            </w:pPr>
            <w:r>
              <w:t>合计</w:t>
            </w:r>
          </w:p>
        </w:tc>
        <w:tc>
          <w:tcPr>
            <w:tcW w:w="9072" w:type="dxa"/>
            <w:gridSpan w:val="8"/>
            <w:vAlign w:val="center"/>
          </w:tcPr>
          <w:p w14:paraId="43C12882">
            <w:pPr>
              <w:pStyle w:val="11"/>
            </w:pPr>
            <w:r>
              <w:t>本年收入</w:t>
            </w:r>
          </w:p>
        </w:tc>
        <w:tc>
          <w:tcPr>
            <w:tcW w:w="1134" w:type="dxa"/>
            <w:vMerge w:val="restart"/>
            <w:vAlign w:val="center"/>
          </w:tcPr>
          <w:p w14:paraId="553B8A85">
            <w:pPr>
              <w:pStyle w:val="11"/>
            </w:pPr>
            <w:r>
              <w:t>上年结转</w:t>
            </w:r>
          </w:p>
        </w:tc>
      </w:tr>
      <w:tr w14:paraId="09133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ED0AD1"/>
        </w:tc>
        <w:tc>
          <w:tcPr>
            <w:tcW w:w="992" w:type="dxa"/>
            <w:vAlign w:val="center"/>
          </w:tcPr>
          <w:p w14:paraId="08B418AE">
            <w:pPr>
              <w:pStyle w:val="11"/>
            </w:pPr>
            <w:r>
              <w:t>科目    编码</w:t>
            </w:r>
          </w:p>
        </w:tc>
        <w:tc>
          <w:tcPr>
            <w:tcW w:w="1559" w:type="dxa"/>
            <w:vAlign w:val="center"/>
          </w:tcPr>
          <w:p w14:paraId="1A86EB2E">
            <w:pPr>
              <w:pStyle w:val="11"/>
            </w:pPr>
            <w:r>
              <w:t>科目名称</w:t>
            </w:r>
          </w:p>
        </w:tc>
        <w:tc>
          <w:tcPr>
            <w:tcW w:w="1134" w:type="dxa"/>
            <w:vMerge w:val="continue"/>
          </w:tcPr>
          <w:p w14:paraId="7406B035"/>
        </w:tc>
        <w:tc>
          <w:tcPr>
            <w:tcW w:w="1134" w:type="dxa"/>
            <w:vAlign w:val="center"/>
          </w:tcPr>
          <w:p w14:paraId="6400B0E8">
            <w:pPr>
              <w:pStyle w:val="11"/>
            </w:pPr>
            <w:r>
              <w:t>小计</w:t>
            </w:r>
          </w:p>
        </w:tc>
        <w:tc>
          <w:tcPr>
            <w:tcW w:w="1134" w:type="dxa"/>
            <w:vAlign w:val="center"/>
          </w:tcPr>
          <w:p w14:paraId="74C020B1">
            <w:pPr>
              <w:pStyle w:val="11"/>
            </w:pPr>
            <w:r>
              <w:t>财政拨款 收入</w:t>
            </w:r>
          </w:p>
        </w:tc>
        <w:tc>
          <w:tcPr>
            <w:tcW w:w="1134" w:type="dxa"/>
            <w:vAlign w:val="center"/>
          </w:tcPr>
          <w:p w14:paraId="63506628">
            <w:pPr>
              <w:pStyle w:val="11"/>
            </w:pPr>
            <w:r>
              <w:t>财政专户 收入</w:t>
            </w:r>
          </w:p>
        </w:tc>
        <w:tc>
          <w:tcPr>
            <w:tcW w:w="1134" w:type="dxa"/>
            <w:vAlign w:val="center"/>
          </w:tcPr>
          <w:p w14:paraId="706F2B7F">
            <w:pPr>
              <w:pStyle w:val="11"/>
            </w:pPr>
            <w:r>
              <w:t>事业收入</w:t>
            </w:r>
          </w:p>
        </w:tc>
        <w:tc>
          <w:tcPr>
            <w:tcW w:w="1134" w:type="dxa"/>
            <w:vAlign w:val="center"/>
          </w:tcPr>
          <w:p w14:paraId="552876C6">
            <w:pPr>
              <w:pStyle w:val="11"/>
            </w:pPr>
            <w:r>
              <w:t>经营收入</w:t>
            </w:r>
          </w:p>
        </w:tc>
        <w:tc>
          <w:tcPr>
            <w:tcW w:w="1134" w:type="dxa"/>
            <w:vAlign w:val="center"/>
          </w:tcPr>
          <w:p w14:paraId="79F4060D">
            <w:pPr>
              <w:pStyle w:val="11"/>
            </w:pPr>
            <w:r>
              <w:t>上级补助收入</w:t>
            </w:r>
          </w:p>
        </w:tc>
        <w:tc>
          <w:tcPr>
            <w:tcW w:w="1134" w:type="dxa"/>
            <w:vAlign w:val="center"/>
          </w:tcPr>
          <w:p w14:paraId="64E6F80B">
            <w:pPr>
              <w:pStyle w:val="11"/>
            </w:pPr>
            <w:r>
              <w:t>附属单位上缴收入</w:t>
            </w:r>
          </w:p>
        </w:tc>
        <w:tc>
          <w:tcPr>
            <w:tcW w:w="1134" w:type="dxa"/>
            <w:vAlign w:val="center"/>
          </w:tcPr>
          <w:p w14:paraId="06A132CF">
            <w:pPr>
              <w:pStyle w:val="11"/>
            </w:pPr>
            <w:r>
              <w:t>其他收入</w:t>
            </w:r>
          </w:p>
        </w:tc>
        <w:tc>
          <w:tcPr>
            <w:tcW w:w="1134" w:type="dxa"/>
            <w:vMerge w:val="continue"/>
          </w:tcPr>
          <w:p w14:paraId="7B8B7DA4"/>
        </w:tc>
      </w:tr>
      <w:tr w14:paraId="73FCC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FBA267">
            <w:pPr>
              <w:pStyle w:val="11"/>
            </w:pPr>
            <w:r>
              <w:t>栏次</w:t>
            </w:r>
          </w:p>
        </w:tc>
        <w:tc>
          <w:tcPr>
            <w:tcW w:w="992" w:type="dxa"/>
            <w:vAlign w:val="center"/>
          </w:tcPr>
          <w:p w14:paraId="0778BFD7">
            <w:pPr>
              <w:pStyle w:val="11"/>
            </w:pPr>
            <w:r>
              <w:t>1</w:t>
            </w:r>
          </w:p>
        </w:tc>
        <w:tc>
          <w:tcPr>
            <w:tcW w:w="1559" w:type="dxa"/>
            <w:vAlign w:val="center"/>
          </w:tcPr>
          <w:p w14:paraId="67F0CCC5">
            <w:pPr>
              <w:pStyle w:val="11"/>
            </w:pPr>
            <w:r>
              <w:t>2</w:t>
            </w:r>
          </w:p>
        </w:tc>
        <w:tc>
          <w:tcPr>
            <w:tcW w:w="1134" w:type="dxa"/>
            <w:vAlign w:val="center"/>
          </w:tcPr>
          <w:p w14:paraId="23086BD5">
            <w:pPr>
              <w:pStyle w:val="11"/>
            </w:pPr>
            <w:r>
              <w:t>3</w:t>
            </w:r>
          </w:p>
        </w:tc>
        <w:tc>
          <w:tcPr>
            <w:tcW w:w="1134" w:type="dxa"/>
            <w:vAlign w:val="center"/>
          </w:tcPr>
          <w:p w14:paraId="3E7BAED0">
            <w:pPr>
              <w:pStyle w:val="11"/>
            </w:pPr>
            <w:r>
              <w:t>4</w:t>
            </w:r>
          </w:p>
        </w:tc>
        <w:tc>
          <w:tcPr>
            <w:tcW w:w="1134" w:type="dxa"/>
            <w:vAlign w:val="center"/>
          </w:tcPr>
          <w:p w14:paraId="346E35A7">
            <w:pPr>
              <w:pStyle w:val="11"/>
            </w:pPr>
            <w:r>
              <w:t>5</w:t>
            </w:r>
          </w:p>
        </w:tc>
        <w:tc>
          <w:tcPr>
            <w:tcW w:w="1134" w:type="dxa"/>
            <w:vAlign w:val="center"/>
          </w:tcPr>
          <w:p w14:paraId="7C7F8A00">
            <w:pPr>
              <w:pStyle w:val="11"/>
            </w:pPr>
            <w:r>
              <w:t>6</w:t>
            </w:r>
          </w:p>
        </w:tc>
        <w:tc>
          <w:tcPr>
            <w:tcW w:w="1134" w:type="dxa"/>
            <w:vAlign w:val="center"/>
          </w:tcPr>
          <w:p w14:paraId="65ABF0C5">
            <w:pPr>
              <w:pStyle w:val="11"/>
            </w:pPr>
            <w:r>
              <w:t>7</w:t>
            </w:r>
          </w:p>
        </w:tc>
        <w:tc>
          <w:tcPr>
            <w:tcW w:w="1134" w:type="dxa"/>
            <w:vAlign w:val="center"/>
          </w:tcPr>
          <w:p w14:paraId="7D62EF34">
            <w:pPr>
              <w:pStyle w:val="11"/>
            </w:pPr>
            <w:r>
              <w:t>8</w:t>
            </w:r>
          </w:p>
        </w:tc>
        <w:tc>
          <w:tcPr>
            <w:tcW w:w="1134" w:type="dxa"/>
            <w:vAlign w:val="center"/>
          </w:tcPr>
          <w:p w14:paraId="05538CD4">
            <w:pPr>
              <w:pStyle w:val="11"/>
            </w:pPr>
            <w:r>
              <w:t>9</w:t>
            </w:r>
          </w:p>
        </w:tc>
        <w:tc>
          <w:tcPr>
            <w:tcW w:w="1134" w:type="dxa"/>
            <w:vAlign w:val="center"/>
          </w:tcPr>
          <w:p w14:paraId="4F1EFAA2">
            <w:pPr>
              <w:pStyle w:val="11"/>
            </w:pPr>
            <w:r>
              <w:t>10</w:t>
            </w:r>
          </w:p>
        </w:tc>
        <w:tc>
          <w:tcPr>
            <w:tcW w:w="1134" w:type="dxa"/>
            <w:vAlign w:val="center"/>
          </w:tcPr>
          <w:p w14:paraId="4CC4772E">
            <w:pPr>
              <w:pStyle w:val="11"/>
            </w:pPr>
            <w:r>
              <w:t>11</w:t>
            </w:r>
          </w:p>
        </w:tc>
        <w:tc>
          <w:tcPr>
            <w:tcW w:w="1134" w:type="dxa"/>
            <w:vAlign w:val="center"/>
          </w:tcPr>
          <w:p w14:paraId="649C36BE">
            <w:pPr>
              <w:pStyle w:val="11"/>
            </w:pPr>
            <w:r>
              <w:t>12</w:t>
            </w:r>
          </w:p>
        </w:tc>
      </w:tr>
      <w:tr w14:paraId="420B5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BFA65E">
            <w:pPr>
              <w:pStyle w:val="12"/>
            </w:pPr>
            <w:r>
              <w:t>1</w:t>
            </w:r>
          </w:p>
        </w:tc>
        <w:tc>
          <w:tcPr>
            <w:tcW w:w="992" w:type="dxa"/>
            <w:vAlign w:val="center"/>
          </w:tcPr>
          <w:p w14:paraId="51B61BA7">
            <w:pPr>
              <w:pStyle w:val="17"/>
            </w:pPr>
          </w:p>
        </w:tc>
        <w:tc>
          <w:tcPr>
            <w:tcW w:w="1559" w:type="dxa"/>
            <w:vAlign w:val="center"/>
          </w:tcPr>
          <w:p w14:paraId="0D6BC1C1">
            <w:pPr>
              <w:pStyle w:val="15"/>
            </w:pPr>
            <w:r>
              <w:t>合计</w:t>
            </w:r>
          </w:p>
        </w:tc>
        <w:tc>
          <w:tcPr>
            <w:tcW w:w="1134" w:type="dxa"/>
            <w:vAlign w:val="center"/>
          </w:tcPr>
          <w:p w14:paraId="1FC707C4">
            <w:pPr>
              <w:pStyle w:val="16"/>
            </w:pPr>
            <w:r>
              <w:t>2463.90</w:t>
            </w:r>
          </w:p>
        </w:tc>
        <w:tc>
          <w:tcPr>
            <w:tcW w:w="1134" w:type="dxa"/>
            <w:vAlign w:val="center"/>
          </w:tcPr>
          <w:p w14:paraId="3E66240B">
            <w:pPr>
              <w:pStyle w:val="16"/>
            </w:pPr>
            <w:r>
              <w:t>2369.80</w:t>
            </w:r>
          </w:p>
        </w:tc>
        <w:tc>
          <w:tcPr>
            <w:tcW w:w="1134" w:type="dxa"/>
            <w:vAlign w:val="center"/>
          </w:tcPr>
          <w:p w14:paraId="50D66870">
            <w:pPr>
              <w:pStyle w:val="16"/>
            </w:pPr>
            <w:r>
              <w:t>2369.80</w:t>
            </w:r>
          </w:p>
        </w:tc>
        <w:tc>
          <w:tcPr>
            <w:tcW w:w="1134" w:type="dxa"/>
            <w:vAlign w:val="center"/>
          </w:tcPr>
          <w:p w14:paraId="7FDBF417">
            <w:pPr>
              <w:pStyle w:val="16"/>
            </w:pPr>
          </w:p>
        </w:tc>
        <w:tc>
          <w:tcPr>
            <w:tcW w:w="1134" w:type="dxa"/>
            <w:vAlign w:val="center"/>
          </w:tcPr>
          <w:p w14:paraId="37ADBD76">
            <w:pPr>
              <w:pStyle w:val="16"/>
            </w:pPr>
          </w:p>
        </w:tc>
        <w:tc>
          <w:tcPr>
            <w:tcW w:w="1134" w:type="dxa"/>
            <w:vAlign w:val="center"/>
          </w:tcPr>
          <w:p w14:paraId="152CA43E">
            <w:pPr>
              <w:pStyle w:val="16"/>
            </w:pPr>
          </w:p>
        </w:tc>
        <w:tc>
          <w:tcPr>
            <w:tcW w:w="1134" w:type="dxa"/>
            <w:vAlign w:val="center"/>
          </w:tcPr>
          <w:p w14:paraId="7B4499B3">
            <w:pPr>
              <w:pStyle w:val="16"/>
            </w:pPr>
          </w:p>
        </w:tc>
        <w:tc>
          <w:tcPr>
            <w:tcW w:w="1134" w:type="dxa"/>
            <w:vAlign w:val="center"/>
          </w:tcPr>
          <w:p w14:paraId="38CE623C">
            <w:pPr>
              <w:pStyle w:val="16"/>
            </w:pPr>
          </w:p>
        </w:tc>
        <w:tc>
          <w:tcPr>
            <w:tcW w:w="1134" w:type="dxa"/>
            <w:vAlign w:val="center"/>
          </w:tcPr>
          <w:p w14:paraId="72349AC6">
            <w:pPr>
              <w:pStyle w:val="16"/>
            </w:pPr>
          </w:p>
        </w:tc>
        <w:tc>
          <w:tcPr>
            <w:tcW w:w="1134" w:type="dxa"/>
            <w:vAlign w:val="center"/>
          </w:tcPr>
          <w:p w14:paraId="43464BF1">
            <w:pPr>
              <w:pStyle w:val="16"/>
            </w:pPr>
            <w:r>
              <w:t>94.10</w:t>
            </w:r>
          </w:p>
        </w:tc>
      </w:tr>
      <w:tr w14:paraId="4B818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131B57">
            <w:pPr>
              <w:pStyle w:val="12"/>
            </w:pPr>
            <w:r>
              <w:t>2</w:t>
            </w:r>
          </w:p>
        </w:tc>
        <w:tc>
          <w:tcPr>
            <w:tcW w:w="992" w:type="dxa"/>
            <w:vAlign w:val="center"/>
          </w:tcPr>
          <w:p w14:paraId="20E2486B">
            <w:pPr>
              <w:pStyle w:val="13"/>
            </w:pPr>
            <w:r>
              <w:t>205</w:t>
            </w:r>
          </w:p>
        </w:tc>
        <w:tc>
          <w:tcPr>
            <w:tcW w:w="1559" w:type="dxa"/>
            <w:vAlign w:val="center"/>
          </w:tcPr>
          <w:p w14:paraId="3B726E58">
            <w:pPr>
              <w:pStyle w:val="13"/>
            </w:pPr>
            <w:r>
              <w:t>教育支出</w:t>
            </w:r>
          </w:p>
        </w:tc>
        <w:tc>
          <w:tcPr>
            <w:tcW w:w="1134" w:type="dxa"/>
            <w:vAlign w:val="center"/>
          </w:tcPr>
          <w:p w14:paraId="733C74C1">
            <w:pPr>
              <w:pStyle w:val="14"/>
            </w:pPr>
            <w:r>
              <w:t>2463.90</w:t>
            </w:r>
          </w:p>
        </w:tc>
        <w:tc>
          <w:tcPr>
            <w:tcW w:w="1134" w:type="dxa"/>
            <w:vAlign w:val="center"/>
          </w:tcPr>
          <w:p w14:paraId="2D8EFCBE">
            <w:pPr>
              <w:pStyle w:val="14"/>
            </w:pPr>
            <w:r>
              <w:t>2369.80</w:t>
            </w:r>
          </w:p>
        </w:tc>
        <w:tc>
          <w:tcPr>
            <w:tcW w:w="1134" w:type="dxa"/>
            <w:vAlign w:val="center"/>
          </w:tcPr>
          <w:p w14:paraId="09691908">
            <w:pPr>
              <w:pStyle w:val="14"/>
            </w:pPr>
            <w:r>
              <w:t>2369.80</w:t>
            </w:r>
          </w:p>
        </w:tc>
        <w:tc>
          <w:tcPr>
            <w:tcW w:w="1134" w:type="dxa"/>
            <w:vAlign w:val="center"/>
          </w:tcPr>
          <w:p w14:paraId="6F66AEF6">
            <w:pPr>
              <w:pStyle w:val="14"/>
            </w:pPr>
          </w:p>
        </w:tc>
        <w:tc>
          <w:tcPr>
            <w:tcW w:w="1134" w:type="dxa"/>
            <w:vAlign w:val="center"/>
          </w:tcPr>
          <w:p w14:paraId="42E889F3">
            <w:pPr>
              <w:pStyle w:val="14"/>
            </w:pPr>
          </w:p>
        </w:tc>
        <w:tc>
          <w:tcPr>
            <w:tcW w:w="1134" w:type="dxa"/>
            <w:vAlign w:val="center"/>
          </w:tcPr>
          <w:p w14:paraId="26252A4F">
            <w:pPr>
              <w:pStyle w:val="14"/>
            </w:pPr>
          </w:p>
        </w:tc>
        <w:tc>
          <w:tcPr>
            <w:tcW w:w="1134" w:type="dxa"/>
            <w:vAlign w:val="center"/>
          </w:tcPr>
          <w:p w14:paraId="1F6FE1A2">
            <w:pPr>
              <w:pStyle w:val="14"/>
            </w:pPr>
          </w:p>
        </w:tc>
        <w:tc>
          <w:tcPr>
            <w:tcW w:w="1134" w:type="dxa"/>
            <w:vAlign w:val="center"/>
          </w:tcPr>
          <w:p w14:paraId="671FEDB6">
            <w:pPr>
              <w:pStyle w:val="14"/>
            </w:pPr>
          </w:p>
        </w:tc>
        <w:tc>
          <w:tcPr>
            <w:tcW w:w="1134" w:type="dxa"/>
            <w:vAlign w:val="center"/>
          </w:tcPr>
          <w:p w14:paraId="4D5B973D">
            <w:pPr>
              <w:pStyle w:val="14"/>
            </w:pPr>
          </w:p>
        </w:tc>
        <w:tc>
          <w:tcPr>
            <w:tcW w:w="1134" w:type="dxa"/>
            <w:vAlign w:val="center"/>
          </w:tcPr>
          <w:p w14:paraId="47802DFD">
            <w:pPr>
              <w:pStyle w:val="14"/>
            </w:pPr>
            <w:r>
              <w:t>94.10</w:t>
            </w:r>
          </w:p>
        </w:tc>
      </w:tr>
      <w:tr w14:paraId="55072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2F0817">
            <w:pPr>
              <w:pStyle w:val="12"/>
            </w:pPr>
            <w:r>
              <w:t>3</w:t>
            </w:r>
          </w:p>
        </w:tc>
        <w:tc>
          <w:tcPr>
            <w:tcW w:w="992" w:type="dxa"/>
            <w:vAlign w:val="center"/>
          </w:tcPr>
          <w:p w14:paraId="4AFFEE71">
            <w:pPr>
              <w:pStyle w:val="13"/>
            </w:pPr>
            <w:r>
              <w:t>20502</w:t>
            </w:r>
          </w:p>
        </w:tc>
        <w:tc>
          <w:tcPr>
            <w:tcW w:w="1559" w:type="dxa"/>
            <w:vAlign w:val="center"/>
          </w:tcPr>
          <w:p w14:paraId="51379409">
            <w:pPr>
              <w:pStyle w:val="13"/>
            </w:pPr>
            <w:r>
              <w:t>普通教育</w:t>
            </w:r>
          </w:p>
        </w:tc>
        <w:tc>
          <w:tcPr>
            <w:tcW w:w="1134" w:type="dxa"/>
            <w:vAlign w:val="center"/>
          </w:tcPr>
          <w:p w14:paraId="7451725F">
            <w:pPr>
              <w:pStyle w:val="14"/>
            </w:pPr>
            <w:r>
              <w:t>2463.90</w:t>
            </w:r>
          </w:p>
        </w:tc>
        <w:tc>
          <w:tcPr>
            <w:tcW w:w="1134" w:type="dxa"/>
            <w:vAlign w:val="center"/>
          </w:tcPr>
          <w:p w14:paraId="205A1A6A">
            <w:pPr>
              <w:pStyle w:val="14"/>
            </w:pPr>
            <w:r>
              <w:t>2369.80</w:t>
            </w:r>
          </w:p>
        </w:tc>
        <w:tc>
          <w:tcPr>
            <w:tcW w:w="1134" w:type="dxa"/>
            <w:vAlign w:val="center"/>
          </w:tcPr>
          <w:p w14:paraId="1FCF993C">
            <w:pPr>
              <w:pStyle w:val="14"/>
            </w:pPr>
            <w:r>
              <w:t>2369.80</w:t>
            </w:r>
          </w:p>
        </w:tc>
        <w:tc>
          <w:tcPr>
            <w:tcW w:w="1134" w:type="dxa"/>
            <w:vAlign w:val="center"/>
          </w:tcPr>
          <w:p w14:paraId="4194F116">
            <w:pPr>
              <w:pStyle w:val="14"/>
            </w:pPr>
          </w:p>
        </w:tc>
        <w:tc>
          <w:tcPr>
            <w:tcW w:w="1134" w:type="dxa"/>
            <w:vAlign w:val="center"/>
          </w:tcPr>
          <w:p w14:paraId="1E95CA32">
            <w:pPr>
              <w:pStyle w:val="14"/>
            </w:pPr>
          </w:p>
        </w:tc>
        <w:tc>
          <w:tcPr>
            <w:tcW w:w="1134" w:type="dxa"/>
            <w:vAlign w:val="center"/>
          </w:tcPr>
          <w:p w14:paraId="78E07DD2">
            <w:pPr>
              <w:pStyle w:val="14"/>
            </w:pPr>
          </w:p>
        </w:tc>
        <w:tc>
          <w:tcPr>
            <w:tcW w:w="1134" w:type="dxa"/>
            <w:vAlign w:val="center"/>
          </w:tcPr>
          <w:p w14:paraId="6F21CBD9">
            <w:pPr>
              <w:pStyle w:val="14"/>
            </w:pPr>
          </w:p>
        </w:tc>
        <w:tc>
          <w:tcPr>
            <w:tcW w:w="1134" w:type="dxa"/>
            <w:vAlign w:val="center"/>
          </w:tcPr>
          <w:p w14:paraId="7E1D9312">
            <w:pPr>
              <w:pStyle w:val="14"/>
            </w:pPr>
          </w:p>
        </w:tc>
        <w:tc>
          <w:tcPr>
            <w:tcW w:w="1134" w:type="dxa"/>
            <w:vAlign w:val="center"/>
          </w:tcPr>
          <w:p w14:paraId="37863FD9">
            <w:pPr>
              <w:pStyle w:val="14"/>
            </w:pPr>
          </w:p>
        </w:tc>
        <w:tc>
          <w:tcPr>
            <w:tcW w:w="1134" w:type="dxa"/>
            <w:vAlign w:val="center"/>
          </w:tcPr>
          <w:p w14:paraId="73178D3D">
            <w:pPr>
              <w:pStyle w:val="14"/>
            </w:pPr>
            <w:r>
              <w:t>94.10</w:t>
            </w:r>
          </w:p>
        </w:tc>
      </w:tr>
      <w:tr w14:paraId="457D5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922834">
            <w:pPr>
              <w:pStyle w:val="12"/>
            </w:pPr>
            <w:r>
              <w:t>4</w:t>
            </w:r>
          </w:p>
        </w:tc>
        <w:tc>
          <w:tcPr>
            <w:tcW w:w="992" w:type="dxa"/>
            <w:vAlign w:val="center"/>
          </w:tcPr>
          <w:p w14:paraId="1307419F">
            <w:pPr>
              <w:pStyle w:val="13"/>
            </w:pPr>
            <w:r>
              <w:t>2050201</w:t>
            </w:r>
          </w:p>
        </w:tc>
        <w:tc>
          <w:tcPr>
            <w:tcW w:w="1559" w:type="dxa"/>
            <w:vAlign w:val="center"/>
          </w:tcPr>
          <w:p w14:paraId="312BDEC8">
            <w:pPr>
              <w:pStyle w:val="13"/>
            </w:pPr>
            <w:r>
              <w:t>学前教育</w:t>
            </w:r>
          </w:p>
        </w:tc>
        <w:tc>
          <w:tcPr>
            <w:tcW w:w="1134" w:type="dxa"/>
            <w:vAlign w:val="center"/>
          </w:tcPr>
          <w:p w14:paraId="70F685DE">
            <w:pPr>
              <w:pStyle w:val="14"/>
            </w:pPr>
            <w:r>
              <w:t>204.55</w:t>
            </w:r>
          </w:p>
        </w:tc>
        <w:tc>
          <w:tcPr>
            <w:tcW w:w="1134" w:type="dxa"/>
            <w:vAlign w:val="center"/>
          </w:tcPr>
          <w:p w14:paraId="18AF8292">
            <w:pPr>
              <w:pStyle w:val="14"/>
            </w:pPr>
            <w:r>
              <w:t>204.55</w:t>
            </w:r>
          </w:p>
        </w:tc>
        <w:tc>
          <w:tcPr>
            <w:tcW w:w="1134" w:type="dxa"/>
            <w:vAlign w:val="center"/>
          </w:tcPr>
          <w:p w14:paraId="4453E9E8">
            <w:pPr>
              <w:pStyle w:val="14"/>
            </w:pPr>
            <w:r>
              <w:t>204.55</w:t>
            </w:r>
          </w:p>
        </w:tc>
        <w:tc>
          <w:tcPr>
            <w:tcW w:w="1134" w:type="dxa"/>
            <w:vAlign w:val="center"/>
          </w:tcPr>
          <w:p w14:paraId="56505CB8">
            <w:pPr>
              <w:pStyle w:val="14"/>
            </w:pPr>
          </w:p>
        </w:tc>
        <w:tc>
          <w:tcPr>
            <w:tcW w:w="1134" w:type="dxa"/>
            <w:vAlign w:val="center"/>
          </w:tcPr>
          <w:p w14:paraId="306B30DB">
            <w:pPr>
              <w:pStyle w:val="14"/>
            </w:pPr>
          </w:p>
        </w:tc>
        <w:tc>
          <w:tcPr>
            <w:tcW w:w="1134" w:type="dxa"/>
            <w:vAlign w:val="center"/>
          </w:tcPr>
          <w:p w14:paraId="6A81AFF5">
            <w:pPr>
              <w:pStyle w:val="14"/>
            </w:pPr>
          </w:p>
        </w:tc>
        <w:tc>
          <w:tcPr>
            <w:tcW w:w="1134" w:type="dxa"/>
            <w:vAlign w:val="center"/>
          </w:tcPr>
          <w:p w14:paraId="63FA51FB">
            <w:pPr>
              <w:pStyle w:val="14"/>
            </w:pPr>
          </w:p>
        </w:tc>
        <w:tc>
          <w:tcPr>
            <w:tcW w:w="1134" w:type="dxa"/>
            <w:vAlign w:val="center"/>
          </w:tcPr>
          <w:p w14:paraId="6D8874A0">
            <w:pPr>
              <w:pStyle w:val="14"/>
            </w:pPr>
          </w:p>
        </w:tc>
        <w:tc>
          <w:tcPr>
            <w:tcW w:w="1134" w:type="dxa"/>
            <w:vAlign w:val="center"/>
          </w:tcPr>
          <w:p w14:paraId="6B93F941">
            <w:pPr>
              <w:pStyle w:val="14"/>
            </w:pPr>
          </w:p>
        </w:tc>
        <w:tc>
          <w:tcPr>
            <w:tcW w:w="1134" w:type="dxa"/>
            <w:vAlign w:val="center"/>
          </w:tcPr>
          <w:p w14:paraId="768DD529">
            <w:pPr>
              <w:pStyle w:val="14"/>
            </w:pPr>
          </w:p>
        </w:tc>
      </w:tr>
      <w:tr w14:paraId="19310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04B446">
            <w:pPr>
              <w:pStyle w:val="12"/>
            </w:pPr>
            <w:r>
              <w:t>5</w:t>
            </w:r>
          </w:p>
        </w:tc>
        <w:tc>
          <w:tcPr>
            <w:tcW w:w="992" w:type="dxa"/>
            <w:vAlign w:val="center"/>
          </w:tcPr>
          <w:p w14:paraId="63616024">
            <w:pPr>
              <w:pStyle w:val="13"/>
            </w:pPr>
            <w:r>
              <w:t>2050202</w:t>
            </w:r>
          </w:p>
        </w:tc>
        <w:tc>
          <w:tcPr>
            <w:tcW w:w="1559" w:type="dxa"/>
            <w:vAlign w:val="center"/>
          </w:tcPr>
          <w:p w14:paraId="154B3011">
            <w:pPr>
              <w:pStyle w:val="13"/>
            </w:pPr>
            <w:r>
              <w:t>小学教育</w:t>
            </w:r>
          </w:p>
        </w:tc>
        <w:tc>
          <w:tcPr>
            <w:tcW w:w="1134" w:type="dxa"/>
            <w:vAlign w:val="center"/>
          </w:tcPr>
          <w:p w14:paraId="6937CA3D">
            <w:pPr>
              <w:pStyle w:val="14"/>
            </w:pPr>
            <w:r>
              <w:t>2259.35</w:t>
            </w:r>
          </w:p>
        </w:tc>
        <w:tc>
          <w:tcPr>
            <w:tcW w:w="1134" w:type="dxa"/>
            <w:vAlign w:val="center"/>
          </w:tcPr>
          <w:p w14:paraId="3FA87FAC">
            <w:pPr>
              <w:pStyle w:val="14"/>
            </w:pPr>
            <w:r>
              <w:t>2165.25</w:t>
            </w:r>
          </w:p>
        </w:tc>
        <w:tc>
          <w:tcPr>
            <w:tcW w:w="1134" w:type="dxa"/>
            <w:vAlign w:val="center"/>
          </w:tcPr>
          <w:p w14:paraId="19F5340D">
            <w:pPr>
              <w:pStyle w:val="14"/>
            </w:pPr>
            <w:r>
              <w:t>2165.25</w:t>
            </w:r>
          </w:p>
        </w:tc>
        <w:tc>
          <w:tcPr>
            <w:tcW w:w="1134" w:type="dxa"/>
            <w:vAlign w:val="center"/>
          </w:tcPr>
          <w:p w14:paraId="72D7260A">
            <w:pPr>
              <w:pStyle w:val="14"/>
            </w:pPr>
          </w:p>
        </w:tc>
        <w:tc>
          <w:tcPr>
            <w:tcW w:w="1134" w:type="dxa"/>
            <w:vAlign w:val="center"/>
          </w:tcPr>
          <w:p w14:paraId="7634CCE5">
            <w:pPr>
              <w:pStyle w:val="14"/>
            </w:pPr>
          </w:p>
        </w:tc>
        <w:tc>
          <w:tcPr>
            <w:tcW w:w="1134" w:type="dxa"/>
            <w:vAlign w:val="center"/>
          </w:tcPr>
          <w:p w14:paraId="3283DC5D">
            <w:pPr>
              <w:pStyle w:val="14"/>
            </w:pPr>
          </w:p>
        </w:tc>
        <w:tc>
          <w:tcPr>
            <w:tcW w:w="1134" w:type="dxa"/>
            <w:vAlign w:val="center"/>
          </w:tcPr>
          <w:p w14:paraId="13A5E64E">
            <w:pPr>
              <w:pStyle w:val="14"/>
            </w:pPr>
          </w:p>
        </w:tc>
        <w:tc>
          <w:tcPr>
            <w:tcW w:w="1134" w:type="dxa"/>
            <w:vAlign w:val="center"/>
          </w:tcPr>
          <w:p w14:paraId="1C3CD185">
            <w:pPr>
              <w:pStyle w:val="14"/>
            </w:pPr>
          </w:p>
        </w:tc>
        <w:tc>
          <w:tcPr>
            <w:tcW w:w="1134" w:type="dxa"/>
            <w:vAlign w:val="center"/>
          </w:tcPr>
          <w:p w14:paraId="773C64AD">
            <w:pPr>
              <w:pStyle w:val="14"/>
            </w:pPr>
          </w:p>
        </w:tc>
        <w:tc>
          <w:tcPr>
            <w:tcW w:w="1134" w:type="dxa"/>
            <w:vAlign w:val="center"/>
          </w:tcPr>
          <w:p w14:paraId="68EAC85B">
            <w:pPr>
              <w:pStyle w:val="14"/>
            </w:pPr>
            <w:r>
              <w:t>94.10</w:t>
            </w:r>
          </w:p>
        </w:tc>
      </w:tr>
    </w:tbl>
    <w:p w14:paraId="746E257D">
      <w:pPr>
        <w:sectPr>
          <w:pgSz w:w="16840" w:h="11900" w:orient="landscape"/>
          <w:pgMar w:top="1361" w:right="1020" w:bottom="1134" w:left="1020" w:header="720" w:footer="720" w:gutter="0"/>
          <w:cols w:space="720" w:num="1"/>
        </w:sectPr>
      </w:pPr>
    </w:p>
    <w:p w14:paraId="159A2D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221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F979E2">
            <w:pPr>
              <w:pStyle w:val="8"/>
            </w:pPr>
            <w:r>
              <w:t>360020隆尧县双碑校区</w:t>
            </w:r>
          </w:p>
        </w:tc>
        <w:tc>
          <w:tcPr>
            <w:tcW w:w="2722" w:type="dxa"/>
            <w:gridSpan w:val="2"/>
            <w:tcBorders>
              <w:top w:val="single" w:color="FFFFFF" w:sz="6" w:space="0"/>
              <w:left w:val="single" w:color="FFFFFF" w:sz="6" w:space="0"/>
              <w:right w:val="single" w:color="FFFFFF" w:sz="6" w:space="0"/>
            </w:tcBorders>
            <w:vAlign w:val="center"/>
          </w:tcPr>
          <w:p w14:paraId="7472CAF5">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5A8197B">
            <w:pPr>
              <w:pStyle w:val="10"/>
            </w:pPr>
            <w:r>
              <w:t>单位：万元</w:t>
            </w:r>
          </w:p>
        </w:tc>
      </w:tr>
      <w:tr w14:paraId="0DD97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DF4F8">
            <w:pPr>
              <w:pStyle w:val="11"/>
            </w:pPr>
            <w:r>
              <w:t>序号</w:t>
            </w:r>
          </w:p>
        </w:tc>
        <w:tc>
          <w:tcPr>
            <w:tcW w:w="5527" w:type="dxa"/>
            <w:gridSpan w:val="2"/>
            <w:vAlign w:val="center"/>
          </w:tcPr>
          <w:p w14:paraId="4C9F14F9">
            <w:pPr>
              <w:pStyle w:val="11"/>
            </w:pPr>
            <w:r>
              <w:t>功能分类科目</w:t>
            </w:r>
          </w:p>
        </w:tc>
        <w:tc>
          <w:tcPr>
            <w:tcW w:w="1361" w:type="dxa"/>
            <w:vMerge w:val="restart"/>
            <w:vAlign w:val="center"/>
          </w:tcPr>
          <w:p w14:paraId="1FF77021">
            <w:pPr>
              <w:pStyle w:val="11"/>
            </w:pPr>
            <w:r>
              <w:t>合计</w:t>
            </w:r>
          </w:p>
        </w:tc>
        <w:tc>
          <w:tcPr>
            <w:tcW w:w="1361" w:type="dxa"/>
            <w:vMerge w:val="restart"/>
            <w:vAlign w:val="center"/>
          </w:tcPr>
          <w:p w14:paraId="38ECA330">
            <w:pPr>
              <w:pStyle w:val="11"/>
            </w:pPr>
            <w:r>
              <w:t>基本支出</w:t>
            </w:r>
          </w:p>
        </w:tc>
        <w:tc>
          <w:tcPr>
            <w:tcW w:w="1361" w:type="dxa"/>
            <w:vMerge w:val="restart"/>
            <w:vAlign w:val="center"/>
          </w:tcPr>
          <w:p w14:paraId="15E5CB12">
            <w:pPr>
              <w:pStyle w:val="11"/>
            </w:pPr>
            <w:r>
              <w:t>项目支出</w:t>
            </w:r>
          </w:p>
        </w:tc>
        <w:tc>
          <w:tcPr>
            <w:tcW w:w="1361" w:type="dxa"/>
            <w:vMerge w:val="restart"/>
            <w:vAlign w:val="center"/>
          </w:tcPr>
          <w:p w14:paraId="68B4E0E8">
            <w:pPr>
              <w:pStyle w:val="11"/>
            </w:pPr>
            <w:r>
              <w:t>经营支出</w:t>
            </w:r>
          </w:p>
        </w:tc>
        <w:tc>
          <w:tcPr>
            <w:tcW w:w="1361" w:type="dxa"/>
            <w:vMerge w:val="restart"/>
            <w:vAlign w:val="center"/>
          </w:tcPr>
          <w:p w14:paraId="61655929">
            <w:pPr>
              <w:pStyle w:val="11"/>
            </w:pPr>
            <w:r>
              <w:t>上解上级     支出</w:t>
            </w:r>
          </w:p>
        </w:tc>
        <w:tc>
          <w:tcPr>
            <w:tcW w:w="1361" w:type="dxa"/>
            <w:vMerge w:val="restart"/>
            <w:vAlign w:val="center"/>
          </w:tcPr>
          <w:p w14:paraId="77E3129A">
            <w:pPr>
              <w:pStyle w:val="11"/>
            </w:pPr>
            <w:r>
              <w:t>对附属单位补助支出</w:t>
            </w:r>
          </w:p>
        </w:tc>
      </w:tr>
      <w:tr w14:paraId="7ACBB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49580D"/>
        </w:tc>
        <w:tc>
          <w:tcPr>
            <w:tcW w:w="992" w:type="dxa"/>
            <w:vAlign w:val="center"/>
          </w:tcPr>
          <w:p w14:paraId="195C7B5F">
            <w:pPr>
              <w:pStyle w:val="11"/>
            </w:pPr>
            <w:r>
              <w:t>科目    编码</w:t>
            </w:r>
          </w:p>
        </w:tc>
        <w:tc>
          <w:tcPr>
            <w:tcW w:w="4535" w:type="dxa"/>
            <w:vAlign w:val="center"/>
          </w:tcPr>
          <w:p w14:paraId="3DCFD421">
            <w:pPr>
              <w:pStyle w:val="11"/>
            </w:pPr>
            <w:r>
              <w:t>科目名称</w:t>
            </w:r>
          </w:p>
        </w:tc>
        <w:tc>
          <w:tcPr>
            <w:tcW w:w="1361" w:type="dxa"/>
            <w:vMerge w:val="continue"/>
          </w:tcPr>
          <w:p w14:paraId="6DF6EA96"/>
        </w:tc>
        <w:tc>
          <w:tcPr>
            <w:tcW w:w="1361" w:type="dxa"/>
            <w:vMerge w:val="continue"/>
          </w:tcPr>
          <w:p w14:paraId="191C96DC"/>
        </w:tc>
        <w:tc>
          <w:tcPr>
            <w:tcW w:w="1361" w:type="dxa"/>
            <w:vMerge w:val="continue"/>
          </w:tcPr>
          <w:p w14:paraId="5943C31F"/>
        </w:tc>
        <w:tc>
          <w:tcPr>
            <w:tcW w:w="1361" w:type="dxa"/>
            <w:vMerge w:val="continue"/>
          </w:tcPr>
          <w:p w14:paraId="523B147B"/>
        </w:tc>
        <w:tc>
          <w:tcPr>
            <w:tcW w:w="1361" w:type="dxa"/>
            <w:vMerge w:val="continue"/>
          </w:tcPr>
          <w:p w14:paraId="2E6447DC"/>
        </w:tc>
        <w:tc>
          <w:tcPr>
            <w:tcW w:w="1361" w:type="dxa"/>
            <w:vMerge w:val="continue"/>
          </w:tcPr>
          <w:p w14:paraId="48B37E2E"/>
        </w:tc>
      </w:tr>
      <w:tr w14:paraId="13CF6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D2C8F">
            <w:pPr>
              <w:pStyle w:val="11"/>
            </w:pPr>
            <w:r>
              <w:t>栏次</w:t>
            </w:r>
          </w:p>
        </w:tc>
        <w:tc>
          <w:tcPr>
            <w:tcW w:w="992" w:type="dxa"/>
            <w:vAlign w:val="center"/>
          </w:tcPr>
          <w:p w14:paraId="7E082C19">
            <w:pPr>
              <w:pStyle w:val="11"/>
            </w:pPr>
            <w:r>
              <w:t>1</w:t>
            </w:r>
          </w:p>
        </w:tc>
        <w:tc>
          <w:tcPr>
            <w:tcW w:w="4535" w:type="dxa"/>
            <w:vAlign w:val="center"/>
          </w:tcPr>
          <w:p w14:paraId="2AC86DAF">
            <w:pPr>
              <w:pStyle w:val="11"/>
            </w:pPr>
            <w:r>
              <w:t>2</w:t>
            </w:r>
          </w:p>
        </w:tc>
        <w:tc>
          <w:tcPr>
            <w:tcW w:w="1361" w:type="dxa"/>
            <w:vAlign w:val="center"/>
          </w:tcPr>
          <w:p w14:paraId="3776BD15">
            <w:pPr>
              <w:pStyle w:val="11"/>
            </w:pPr>
            <w:r>
              <w:t>3</w:t>
            </w:r>
          </w:p>
        </w:tc>
        <w:tc>
          <w:tcPr>
            <w:tcW w:w="1361" w:type="dxa"/>
            <w:vAlign w:val="center"/>
          </w:tcPr>
          <w:p w14:paraId="4D2109E1">
            <w:pPr>
              <w:pStyle w:val="11"/>
            </w:pPr>
            <w:r>
              <w:t>4</w:t>
            </w:r>
          </w:p>
        </w:tc>
        <w:tc>
          <w:tcPr>
            <w:tcW w:w="1361" w:type="dxa"/>
            <w:vAlign w:val="center"/>
          </w:tcPr>
          <w:p w14:paraId="5AD82797">
            <w:pPr>
              <w:pStyle w:val="11"/>
            </w:pPr>
            <w:r>
              <w:t>5</w:t>
            </w:r>
          </w:p>
        </w:tc>
        <w:tc>
          <w:tcPr>
            <w:tcW w:w="1361" w:type="dxa"/>
            <w:vAlign w:val="center"/>
          </w:tcPr>
          <w:p w14:paraId="60013B1D">
            <w:pPr>
              <w:pStyle w:val="11"/>
            </w:pPr>
            <w:r>
              <w:t>6</w:t>
            </w:r>
          </w:p>
        </w:tc>
        <w:tc>
          <w:tcPr>
            <w:tcW w:w="1361" w:type="dxa"/>
            <w:vAlign w:val="center"/>
          </w:tcPr>
          <w:p w14:paraId="58BA5C20">
            <w:pPr>
              <w:pStyle w:val="11"/>
            </w:pPr>
            <w:r>
              <w:t>7</w:t>
            </w:r>
          </w:p>
        </w:tc>
        <w:tc>
          <w:tcPr>
            <w:tcW w:w="1361" w:type="dxa"/>
            <w:vAlign w:val="center"/>
          </w:tcPr>
          <w:p w14:paraId="1CB176C8">
            <w:pPr>
              <w:pStyle w:val="11"/>
            </w:pPr>
            <w:r>
              <w:t>8</w:t>
            </w:r>
          </w:p>
        </w:tc>
      </w:tr>
      <w:tr w14:paraId="39636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94563">
            <w:pPr>
              <w:pStyle w:val="12"/>
            </w:pPr>
            <w:r>
              <w:t>1</w:t>
            </w:r>
          </w:p>
        </w:tc>
        <w:tc>
          <w:tcPr>
            <w:tcW w:w="992" w:type="dxa"/>
            <w:vAlign w:val="center"/>
          </w:tcPr>
          <w:p w14:paraId="67031EE6">
            <w:pPr>
              <w:pStyle w:val="17"/>
            </w:pPr>
          </w:p>
        </w:tc>
        <w:tc>
          <w:tcPr>
            <w:tcW w:w="4535" w:type="dxa"/>
            <w:vAlign w:val="center"/>
          </w:tcPr>
          <w:p w14:paraId="3FB92DA9">
            <w:pPr>
              <w:pStyle w:val="15"/>
            </w:pPr>
            <w:r>
              <w:t>合计</w:t>
            </w:r>
          </w:p>
        </w:tc>
        <w:tc>
          <w:tcPr>
            <w:tcW w:w="1361" w:type="dxa"/>
            <w:vAlign w:val="center"/>
          </w:tcPr>
          <w:p w14:paraId="2A6B2335">
            <w:pPr>
              <w:pStyle w:val="16"/>
            </w:pPr>
            <w:r>
              <w:t>2463.90</w:t>
            </w:r>
          </w:p>
        </w:tc>
        <w:tc>
          <w:tcPr>
            <w:tcW w:w="1361" w:type="dxa"/>
            <w:vAlign w:val="center"/>
          </w:tcPr>
          <w:p w14:paraId="3CFFE636">
            <w:pPr>
              <w:pStyle w:val="16"/>
            </w:pPr>
            <w:r>
              <w:t>1627.57</w:t>
            </w:r>
          </w:p>
        </w:tc>
        <w:tc>
          <w:tcPr>
            <w:tcW w:w="1361" w:type="dxa"/>
            <w:vAlign w:val="center"/>
          </w:tcPr>
          <w:p w14:paraId="3B162847">
            <w:pPr>
              <w:pStyle w:val="16"/>
            </w:pPr>
            <w:r>
              <w:t>836.33</w:t>
            </w:r>
          </w:p>
        </w:tc>
        <w:tc>
          <w:tcPr>
            <w:tcW w:w="1361" w:type="dxa"/>
            <w:vAlign w:val="center"/>
          </w:tcPr>
          <w:p w14:paraId="674B4FB4">
            <w:pPr>
              <w:pStyle w:val="16"/>
            </w:pPr>
          </w:p>
        </w:tc>
        <w:tc>
          <w:tcPr>
            <w:tcW w:w="1361" w:type="dxa"/>
            <w:vAlign w:val="center"/>
          </w:tcPr>
          <w:p w14:paraId="1BA57DC9">
            <w:pPr>
              <w:pStyle w:val="16"/>
            </w:pPr>
          </w:p>
        </w:tc>
        <w:tc>
          <w:tcPr>
            <w:tcW w:w="1361" w:type="dxa"/>
            <w:vAlign w:val="center"/>
          </w:tcPr>
          <w:p w14:paraId="732A8170">
            <w:pPr>
              <w:pStyle w:val="16"/>
            </w:pPr>
          </w:p>
        </w:tc>
      </w:tr>
      <w:tr w14:paraId="3FF5A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63A6E">
            <w:pPr>
              <w:pStyle w:val="12"/>
            </w:pPr>
            <w:r>
              <w:t>2</w:t>
            </w:r>
          </w:p>
        </w:tc>
        <w:tc>
          <w:tcPr>
            <w:tcW w:w="992" w:type="dxa"/>
            <w:vAlign w:val="center"/>
          </w:tcPr>
          <w:p w14:paraId="7BCD638B">
            <w:pPr>
              <w:pStyle w:val="13"/>
            </w:pPr>
            <w:r>
              <w:t>205</w:t>
            </w:r>
          </w:p>
        </w:tc>
        <w:tc>
          <w:tcPr>
            <w:tcW w:w="4535" w:type="dxa"/>
            <w:vAlign w:val="center"/>
          </w:tcPr>
          <w:p w14:paraId="18703EDC">
            <w:pPr>
              <w:pStyle w:val="13"/>
            </w:pPr>
            <w:r>
              <w:t>教育支出</w:t>
            </w:r>
          </w:p>
        </w:tc>
        <w:tc>
          <w:tcPr>
            <w:tcW w:w="1361" w:type="dxa"/>
            <w:vAlign w:val="center"/>
          </w:tcPr>
          <w:p w14:paraId="09D8FFAF">
            <w:pPr>
              <w:pStyle w:val="14"/>
            </w:pPr>
            <w:r>
              <w:t>2463.90</w:t>
            </w:r>
          </w:p>
        </w:tc>
        <w:tc>
          <w:tcPr>
            <w:tcW w:w="1361" w:type="dxa"/>
            <w:vAlign w:val="center"/>
          </w:tcPr>
          <w:p w14:paraId="7B7C4FEA">
            <w:pPr>
              <w:pStyle w:val="14"/>
            </w:pPr>
            <w:r>
              <w:t>1627.57</w:t>
            </w:r>
          </w:p>
        </w:tc>
        <w:tc>
          <w:tcPr>
            <w:tcW w:w="1361" w:type="dxa"/>
            <w:vAlign w:val="center"/>
          </w:tcPr>
          <w:p w14:paraId="0B1F8F27">
            <w:pPr>
              <w:pStyle w:val="14"/>
            </w:pPr>
            <w:r>
              <w:t>836.33</w:t>
            </w:r>
          </w:p>
        </w:tc>
        <w:tc>
          <w:tcPr>
            <w:tcW w:w="1361" w:type="dxa"/>
            <w:vAlign w:val="center"/>
          </w:tcPr>
          <w:p w14:paraId="795F0DEB">
            <w:pPr>
              <w:pStyle w:val="14"/>
            </w:pPr>
          </w:p>
        </w:tc>
        <w:tc>
          <w:tcPr>
            <w:tcW w:w="1361" w:type="dxa"/>
            <w:vAlign w:val="center"/>
          </w:tcPr>
          <w:p w14:paraId="78899FB4">
            <w:pPr>
              <w:pStyle w:val="14"/>
            </w:pPr>
          </w:p>
        </w:tc>
        <w:tc>
          <w:tcPr>
            <w:tcW w:w="1361" w:type="dxa"/>
            <w:vAlign w:val="center"/>
          </w:tcPr>
          <w:p w14:paraId="5B038C19">
            <w:pPr>
              <w:pStyle w:val="14"/>
            </w:pPr>
          </w:p>
        </w:tc>
      </w:tr>
      <w:tr w14:paraId="3CC96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18035">
            <w:pPr>
              <w:pStyle w:val="12"/>
            </w:pPr>
            <w:r>
              <w:t>3</w:t>
            </w:r>
          </w:p>
        </w:tc>
        <w:tc>
          <w:tcPr>
            <w:tcW w:w="992" w:type="dxa"/>
            <w:vAlign w:val="center"/>
          </w:tcPr>
          <w:p w14:paraId="7463841A">
            <w:pPr>
              <w:pStyle w:val="13"/>
            </w:pPr>
            <w:r>
              <w:t>20502</w:t>
            </w:r>
          </w:p>
        </w:tc>
        <w:tc>
          <w:tcPr>
            <w:tcW w:w="4535" w:type="dxa"/>
            <w:vAlign w:val="center"/>
          </w:tcPr>
          <w:p w14:paraId="07C53262">
            <w:pPr>
              <w:pStyle w:val="13"/>
            </w:pPr>
            <w:r>
              <w:t>普通教育</w:t>
            </w:r>
          </w:p>
        </w:tc>
        <w:tc>
          <w:tcPr>
            <w:tcW w:w="1361" w:type="dxa"/>
            <w:vAlign w:val="center"/>
          </w:tcPr>
          <w:p w14:paraId="676832F9">
            <w:pPr>
              <w:pStyle w:val="14"/>
            </w:pPr>
            <w:r>
              <w:t>2463.90</w:t>
            </w:r>
          </w:p>
        </w:tc>
        <w:tc>
          <w:tcPr>
            <w:tcW w:w="1361" w:type="dxa"/>
            <w:vAlign w:val="center"/>
          </w:tcPr>
          <w:p w14:paraId="41BBD2D8">
            <w:pPr>
              <w:pStyle w:val="14"/>
            </w:pPr>
            <w:r>
              <w:t>1627.57</w:t>
            </w:r>
          </w:p>
        </w:tc>
        <w:tc>
          <w:tcPr>
            <w:tcW w:w="1361" w:type="dxa"/>
            <w:vAlign w:val="center"/>
          </w:tcPr>
          <w:p w14:paraId="3FFD0F13">
            <w:pPr>
              <w:pStyle w:val="14"/>
            </w:pPr>
            <w:r>
              <w:t>836.33</w:t>
            </w:r>
          </w:p>
        </w:tc>
        <w:tc>
          <w:tcPr>
            <w:tcW w:w="1361" w:type="dxa"/>
            <w:vAlign w:val="center"/>
          </w:tcPr>
          <w:p w14:paraId="3EC4BC90">
            <w:pPr>
              <w:pStyle w:val="14"/>
            </w:pPr>
          </w:p>
        </w:tc>
        <w:tc>
          <w:tcPr>
            <w:tcW w:w="1361" w:type="dxa"/>
            <w:vAlign w:val="center"/>
          </w:tcPr>
          <w:p w14:paraId="455D0F34">
            <w:pPr>
              <w:pStyle w:val="14"/>
            </w:pPr>
          </w:p>
        </w:tc>
        <w:tc>
          <w:tcPr>
            <w:tcW w:w="1361" w:type="dxa"/>
            <w:vAlign w:val="center"/>
          </w:tcPr>
          <w:p w14:paraId="5D1A9756">
            <w:pPr>
              <w:pStyle w:val="14"/>
            </w:pPr>
          </w:p>
        </w:tc>
      </w:tr>
      <w:tr w14:paraId="5B633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42403">
            <w:pPr>
              <w:pStyle w:val="12"/>
            </w:pPr>
            <w:r>
              <w:t>4</w:t>
            </w:r>
          </w:p>
        </w:tc>
        <w:tc>
          <w:tcPr>
            <w:tcW w:w="992" w:type="dxa"/>
            <w:vAlign w:val="center"/>
          </w:tcPr>
          <w:p w14:paraId="4AE9F9C7">
            <w:pPr>
              <w:pStyle w:val="13"/>
            </w:pPr>
            <w:r>
              <w:t>2050201</w:t>
            </w:r>
          </w:p>
        </w:tc>
        <w:tc>
          <w:tcPr>
            <w:tcW w:w="4535" w:type="dxa"/>
            <w:vAlign w:val="center"/>
          </w:tcPr>
          <w:p w14:paraId="0E1CB81D">
            <w:pPr>
              <w:pStyle w:val="13"/>
            </w:pPr>
            <w:r>
              <w:t>学前教育</w:t>
            </w:r>
          </w:p>
        </w:tc>
        <w:tc>
          <w:tcPr>
            <w:tcW w:w="1361" w:type="dxa"/>
            <w:vAlign w:val="center"/>
          </w:tcPr>
          <w:p w14:paraId="63791AA2">
            <w:pPr>
              <w:pStyle w:val="14"/>
            </w:pPr>
            <w:r>
              <w:t>204.55</w:t>
            </w:r>
          </w:p>
        </w:tc>
        <w:tc>
          <w:tcPr>
            <w:tcW w:w="1361" w:type="dxa"/>
            <w:vAlign w:val="center"/>
          </w:tcPr>
          <w:p w14:paraId="4118F37F">
            <w:pPr>
              <w:pStyle w:val="14"/>
            </w:pPr>
          </w:p>
        </w:tc>
        <w:tc>
          <w:tcPr>
            <w:tcW w:w="1361" w:type="dxa"/>
            <w:vAlign w:val="center"/>
          </w:tcPr>
          <w:p w14:paraId="5C0098F5">
            <w:pPr>
              <w:pStyle w:val="14"/>
            </w:pPr>
            <w:r>
              <w:t>204.55</w:t>
            </w:r>
          </w:p>
        </w:tc>
        <w:tc>
          <w:tcPr>
            <w:tcW w:w="1361" w:type="dxa"/>
            <w:vAlign w:val="center"/>
          </w:tcPr>
          <w:p w14:paraId="16013928">
            <w:pPr>
              <w:pStyle w:val="14"/>
            </w:pPr>
          </w:p>
        </w:tc>
        <w:tc>
          <w:tcPr>
            <w:tcW w:w="1361" w:type="dxa"/>
            <w:vAlign w:val="center"/>
          </w:tcPr>
          <w:p w14:paraId="4C868912">
            <w:pPr>
              <w:pStyle w:val="14"/>
            </w:pPr>
          </w:p>
        </w:tc>
        <w:tc>
          <w:tcPr>
            <w:tcW w:w="1361" w:type="dxa"/>
            <w:vAlign w:val="center"/>
          </w:tcPr>
          <w:p w14:paraId="05A21293">
            <w:pPr>
              <w:pStyle w:val="14"/>
            </w:pPr>
          </w:p>
        </w:tc>
      </w:tr>
      <w:tr w14:paraId="63AB3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146A6">
            <w:pPr>
              <w:pStyle w:val="12"/>
            </w:pPr>
            <w:r>
              <w:t>5</w:t>
            </w:r>
          </w:p>
        </w:tc>
        <w:tc>
          <w:tcPr>
            <w:tcW w:w="992" w:type="dxa"/>
            <w:vAlign w:val="center"/>
          </w:tcPr>
          <w:p w14:paraId="0EF9FB2A">
            <w:pPr>
              <w:pStyle w:val="13"/>
            </w:pPr>
            <w:r>
              <w:t>2050202</w:t>
            </w:r>
          </w:p>
        </w:tc>
        <w:tc>
          <w:tcPr>
            <w:tcW w:w="4535" w:type="dxa"/>
            <w:vAlign w:val="center"/>
          </w:tcPr>
          <w:p w14:paraId="45BD83F5">
            <w:pPr>
              <w:pStyle w:val="13"/>
            </w:pPr>
            <w:r>
              <w:t>小学教育</w:t>
            </w:r>
          </w:p>
        </w:tc>
        <w:tc>
          <w:tcPr>
            <w:tcW w:w="1361" w:type="dxa"/>
            <w:vAlign w:val="center"/>
          </w:tcPr>
          <w:p w14:paraId="240B5301">
            <w:pPr>
              <w:pStyle w:val="14"/>
            </w:pPr>
            <w:r>
              <w:t>2259.35</w:t>
            </w:r>
          </w:p>
        </w:tc>
        <w:tc>
          <w:tcPr>
            <w:tcW w:w="1361" w:type="dxa"/>
            <w:vAlign w:val="center"/>
          </w:tcPr>
          <w:p w14:paraId="74F90D64">
            <w:pPr>
              <w:pStyle w:val="14"/>
            </w:pPr>
            <w:r>
              <w:t>1627.57</w:t>
            </w:r>
          </w:p>
        </w:tc>
        <w:tc>
          <w:tcPr>
            <w:tcW w:w="1361" w:type="dxa"/>
            <w:vAlign w:val="center"/>
          </w:tcPr>
          <w:p w14:paraId="5F5CD162">
            <w:pPr>
              <w:pStyle w:val="14"/>
            </w:pPr>
            <w:r>
              <w:t>631.78</w:t>
            </w:r>
          </w:p>
        </w:tc>
        <w:tc>
          <w:tcPr>
            <w:tcW w:w="1361" w:type="dxa"/>
            <w:vAlign w:val="center"/>
          </w:tcPr>
          <w:p w14:paraId="0BAC7E77">
            <w:pPr>
              <w:pStyle w:val="14"/>
            </w:pPr>
          </w:p>
        </w:tc>
        <w:tc>
          <w:tcPr>
            <w:tcW w:w="1361" w:type="dxa"/>
            <w:vAlign w:val="center"/>
          </w:tcPr>
          <w:p w14:paraId="1633F978">
            <w:pPr>
              <w:pStyle w:val="14"/>
            </w:pPr>
          </w:p>
        </w:tc>
        <w:tc>
          <w:tcPr>
            <w:tcW w:w="1361" w:type="dxa"/>
            <w:vAlign w:val="center"/>
          </w:tcPr>
          <w:p w14:paraId="6A89F6EA">
            <w:pPr>
              <w:pStyle w:val="14"/>
            </w:pPr>
          </w:p>
        </w:tc>
      </w:tr>
    </w:tbl>
    <w:p w14:paraId="3EBFDE77">
      <w:pPr>
        <w:sectPr>
          <w:pgSz w:w="16840" w:h="11900" w:orient="landscape"/>
          <w:pgMar w:top="1361" w:right="1020" w:bottom="1134" w:left="1020" w:header="720" w:footer="720" w:gutter="0"/>
          <w:cols w:space="720" w:num="1"/>
        </w:sectPr>
      </w:pPr>
    </w:p>
    <w:p w14:paraId="4326EE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C12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9EC8D2">
            <w:pPr>
              <w:pStyle w:val="8"/>
            </w:pPr>
            <w:r>
              <w:t>360020隆尧县双碑校区</w:t>
            </w:r>
          </w:p>
        </w:tc>
        <w:tc>
          <w:tcPr>
            <w:tcW w:w="3402" w:type="dxa"/>
            <w:tcBorders>
              <w:top w:val="single" w:color="FFFFFF" w:sz="6" w:space="0"/>
              <w:left w:val="single" w:color="FFFFFF" w:sz="6" w:space="0"/>
              <w:right w:val="single" w:color="FFFFFF" w:sz="6" w:space="0"/>
            </w:tcBorders>
            <w:vAlign w:val="center"/>
          </w:tcPr>
          <w:p w14:paraId="267868E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825F730">
            <w:pPr>
              <w:pStyle w:val="10"/>
            </w:pPr>
            <w:r>
              <w:t>单位：万元</w:t>
            </w:r>
          </w:p>
        </w:tc>
      </w:tr>
      <w:tr w14:paraId="049E8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CEF51">
            <w:pPr>
              <w:pStyle w:val="11"/>
            </w:pPr>
            <w:r>
              <w:t>序号</w:t>
            </w:r>
          </w:p>
        </w:tc>
        <w:tc>
          <w:tcPr>
            <w:tcW w:w="4876" w:type="dxa"/>
            <w:gridSpan w:val="2"/>
            <w:vAlign w:val="center"/>
          </w:tcPr>
          <w:p w14:paraId="273A3E9A">
            <w:pPr>
              <w:pStyle w:val="11"/>
            </w:pPr>
            <w:r>
              <w:t>收入</w:t>
            </w:r>
          </w:p>
        </w:tc>
        <w:tc>
          <w:tcPr>
            <w:tcW w:w="9298" w:type="dxa"/>
            <w:gridSpan w:val="5"/>
            <w:vAlign w:val="center"/>
          </w:tcPr>
          <w:p w14:paraId="6D58C0FF">
            <w:pPr>
              <w:pStyle w:val="11"/>
            </w:pPr>
            <w:r>
              <w:t>支出</w:t>
            </w:r>
          </w:p>
        </w:tc>
      </w:tr>
      <w:tr w14:paraId="0546C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0B0351"/>
        </w:tc>
        <w:tc>
          <w:tcPr>
            <w:tcW w:w="3402" w:type="dxa"/>
            <w:vAlign w:val="center"/>
          </w:tcPr>
          <w:p w14:paraId="6D167EDA">
            <w:pPr>
              <w:pStyle w:val="11"/>
            </w:pPr>
            <w:r>
              <w:t>项  目</w:t>
            </w:r>
          </w:p>
        </w:tc>
        <w:tc>
          <w:tcPr>
            <w:tcW w:w="1474" w:type="dxa"/>
            <w:vAlign w:val="center"/>
          </w:tcPr>
          <w:p w14:paraId="00C4A227">
            <w:pPr>
              <w:pStyle w:val="11"/>
            </w:pPr>
            <w:r>
              <w:t>金额</w:t>
            </w:r>
          </w:p>
        </w:tc>
        <w:tc>
          <w:tcPr>
            <w:tcW w:w="3402" w:type="dxa"/>
            <w:vAlign w:val="center"/>
          </w:tcPr>
          <w:p w14:paraId="2E744238">
            <w:pPr>
              <w:pStyle w:val="11"/>
            </w:pPr>
            <w:r>
              <w:t>项  目</w:t>
            </w:r>
          </w:p>
        </w:tc>
        <w:tc>
          <w:tcPr>
            <w:tcW w:w="1474" w:type="dxa"/>
            <w:vAlign w:val="center"/>
          </w:tcPr>
          <w:p w14:paraId="0DE15B85">
            <w:pPr>
              <w:pStyle w:val="11"/>
            </w:pPr>
            <w:r>
              <w:t>合计</w:t>
            </w:r>
          </w:p>
        </w:tc>
        <w:tc>
          <w:tcPr>
            <w:tcW w:w="1474" w:type="dxa"/>
            <w:vAlign w:val="center"/>
          </w:tcPr>
          <w:p w14:paraId="6CD688A4">
            <w:pPr>
              <w:pStyle w:val="11"/>
            </w:pPr>
            <w:r>
              <w:t>一般公共预算财政拨款</w:t>
            </w:r>
          </w:p>
        </w:tc>
        <w:tc>
          <w:tcPr>
            <w:tcW w:w="1474" w:type="dxa"/>
            <w:vAlign w:val="center"/>
          </w:tcPr>
          <w:p w14:paraId="7C7038B7">
            <w:pPr>
              <w:pStyle w:val="11"/>
            </w:pPr>
            <w:r>
              <w:t>政府性基金预算财政    拨款</w:t>
            </w:r>
          </w:p>
        </w:tc>
        <w:tc>
          <w:tcPr>
            <w:tcW w:w="1474" w:type="dxa"/>
            <w:vAlign w:val="center"/>
          </w:tcPr>
          <w:p w14:paraId="7409E2F5">
            <w:pPr>
              <w:pStyle w:val="11"/>
            </w:pPr>
            <w:r>
              <w:t>国有资本经营预算财政拨款</w:t>
            </w:r>
          </w:p>
        </w:tc>
      </w:tr>
      <w:tr w14:paraId="38281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4D618">
            <w:pPr>
              <w:pStyle w:val="11"/>
            </w:pPr>
            <w:r>
              <w:t>栏次</w:t>
            </w:r>
          </w:p>
        </w:tc>
        <w:tc>
          <w:tcPr>
            <w:tcW w:w="3402" w:type="dxa"/>
            <w:vAlign w:val="center"/>
          </w:tcPr>
          <w:p w14:paraId="0FFDF33F">
            <w:pPr>
              <w:pStyle w:val="11"/>
            </w:pPr>
            <w:r>
              <w:t>1</w:t>
            </w:r>
          </w:p>
        </w:tc>
        <w:tc>
          <w:tcPr>
            <w:tcW w:w="1474" w:type="dxa"/>
            <w:vAlign w:val="center"/>
          </w:tcPr>
          <w:p w14:paraId="30EFB420">
            <w:pPr>
              <w:pStyle w:val="11"/>
            </w:pPr>
            <w:r>
              <w:t>2</w:t>
            </w:r>
          </w:p>
        </w:tc>
        <w:tc>
          <w:tcPr>
            <w:tcW w:w="3402" w:type="dxa"/>
            <w:vAlign w:val="center"/>
          </w:tcPr>
          <w:p w14:paraId="52CDC4A5">
            <w:pPr>
              <w:pStyle w:val="11"/>
            </w:pPr>
            <w:r>
              <w:t>3</w:t>
            </w:r>
          </w:p>
        </w:tc>
        <w:tc>
          <w:tcPr>
            <w:tcW w:w="1474" w:type="dxa"/>
            <w:vAlign w:val="center"/>
          </w:tcPr>
          <w:p w14:paraId="617C139C">
            <w:pPr>
              <w:pStyle w:val="11"/>
            </w:pPr>
            <w:r>
              <w:t>4</w:t>
            </w:r>
          </w:p>
        </w:tc>
        <w:tc>
          <w:tcPr>
            <w:tcW w:w="1474" w:type="dxa"/>
            <w:vAlign w:val="center"/>
          </w:tcPr>
          <w:p w14:paraId="166D3B92">
            <w:pPr>
              <w:pStyle w:val="11"/>
            </w:pPr>
            <w:r>
              <w:t>5</w:t>
            </w:r>
          </w:p>
        </w:tc>
        <w:tc>
          <w:tcPr>
            <w:tcW w:w="1474" w:type="dxa"/>
            <w:vAlign w:val="center"/>
          </w:tcPr>
          <w:p w14:paraId="4C4F836D">
            <w:pPr>
              <w:pStyle w:val="11"/>
            </w:pPr>
            <w:r>
              <w:t>6</w:t>
            </w:r>
          </w:p>
        </w:tc>
        <w:tc>
          <w:tcPr>
            <w:tcW w:w="1474" w:type="dxa"/>
            <w:vAlign w:val="center"/>
          </w:tcPr>
          <w:p w14:paraId="763D3317">
            <w:pPr>
              <w:pStyle w:val="11"/>
            </w:pPr>
            <w:r>
              <w:t>7</w:t>
            </w:r>
          </w:p>
        </w:tc>
      </w:tr>
      <w:tr w14:paraId="5A36E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E18CB">
            <w:pPr>
              <w:pStyle w:val="12"/>
            </w:pPr>
            <w:r>
              <w:t>1</w:t>
            </w:r>
          </w:p>
        </w:tc>
        <w:tc>
          <w:tcPr>
            <w:tcW w:w="3402" w:type="dxa"/>
            <w:vAlign w:val="center"/>
          </w:tcPr>
          <w:p w14:paraId="7AB51842">
            <w:pPr>
              <w:pStyle w:val="13"/>
            </w:pPr>
            <w:r>
              <w:t>一、一般公共预算拨款</w:t>
            </w:r>
          </w:p>
        </w:tc>
        <w:tc>
          <w:tcPr>
            <w:tcW w:w="1474" w:type="dxa"/>
            <w:vAlign w:val="center"/>
          </w:tcPr>
          <w:p w14:paraId="2765466F">
            <w:pPr>
              <w:pStyle w:val="14"/>
            </w:pPr>
            <w:r>
              <w:t>2369.80</w:t>
            </w:r>
          </w:p>
        </w:tc>
        <w:tc>
          <w:tcPr>
            <w:tcW w:w="3402" w:type="dxa"/>
            <w:vAlign w:val="center"/>
          </w:tcPr>
          <w:p w14:paraId="6EFFEFFD">
            <w:pPr>
              <w:pStyle w:val="13"/>
            </w:pPr>
            <w:r>
              <w:t>一、一般公共服务支出</w:t>
            </w:r>
          </w:p>
        </w:tc>
        <w:tc>
          <w:tcPr>
            <w:tcW w:w="1474" w:type="dxa"/>
            <w:vAlign w:val="center"/>
          </w:tcPr>
          <w:p w14:paraId="5D576E24">
            <w:pPr>
              <w:pStyle w:val="14"/>
            </w:pPr>
          </w:p>
        </w:tc>
        <w:tc>
          <w:tcPr>
            <w:tcW w:w="1474" w:type="dxa"/>
            <w:vAlign w:val="center"/>
          </w:tcPr>
          <w:p w14:paraId="33D76364">
            <w:pPr>
              <w:pStyle w:val="14"/>
            </w:pPr>
          </w:p>
        </w:tc>
        <w:tc>
          <w:tcPr>
            <w:tcW w:w="1474" w:type="dxa"/>
            <w:vAlign w:val="center"/>
          </w:tcPr>
          <w:p w14:paraId="20C995DF">
            <w:pPr>
              <w:pStyle w:val="14"/>
            </w:pPr>
          </w:p>
        </w:tc>
        <w:tc>
          <w:tcPr>
            <w:tcW w:w="1474" w:type="dxa"/>
            <w:vAlign w:val="center"/>
          </w:tcPr>
          <w:p w14:paraId="6D679A98">
            <w:pPr>
              <w:pStyle w:val="14"/>
            </w:pPr>
          </w:p>
        </w:tc>
      </w:tr>
      <w:tr w14:paraId="4CB55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FDF03">
            <w:pPr>
              <w:pStyle w:val="12"/>
            </w:pPr>
            <w:r>
              <w:t>2</w:t>
            </w:r>
          </w:p>
        </w:tc>
        <w:tc>
          <w:tcPr>
            <w:tcW w:w="3402" w:type="dxa"/>
            <w:vAlign w:val="center"/>
          </w:tcPr>
          <w:p w14:paraId="2B9F257A">
            <w:pPr>
              <w:pStyle w:val="13"/>
            </w:pPr>
            <w:r>
              <w:t>二、政府性基金预算拨款</w:t>
            </w:r>
          </w:p>
        </w:tc>
        <w:tc>
          <w:tcPr>
            <w:tcW w:w="1474" w:type="dxa"/>
            <w:vAlign w:val="center"/>
          </w:tcPr>
          <w:p w14:paraId="36D7A3AB">
            <w:pPr>
              <w:pStyle w:val="14"/>
            </w:pPr>
          </w:p>
        </w:tc>
        <w:tc>
          <w:tcPr>
            <w:tcW w:w="3402" w:type="dxa"/>
            <w:vAlign w:val="center"/>
          </w:tcPr>
          <w:p w14:paraId="7EB0AA3A">
            <w:pPr>
              <w:pStyle w:val="13"/>
            </w:pPr>
            <w:r>
              <w:t>二、外交支出</w:t>
            </w:r>
          </w:p>
        </w:tc>
        <w:tc>
          <w:tcPr>
            <w:tcW w:w="1474" w:type="dxa"/>
            <w:vAlign w:val="center"/>
          </w:tcPr>
          <w:p w14:paraId="4C7AD8A0">
            <w:pPr>
              <w:pStyle w:val="14"/>
            </w:pPr>
          </w:p>
        </w:tc>
        <w:tc>
          <w:tcPr>
            <w:tcW w:w="1474" w:type="dxa"/>
            <w:vAlign w:val="center"/>
          </w:tcPr>
          <w:p w14:paraId="5B05550E">
            <w:pPr>
              <w:pStyle w:val="14"/>
            </w:pPr>
          </w:p>
        </w:tc>
        <w:tc>
          <w:tcPr>
            <w:tcW w:w="1474" w:type="dxa"/>
            <w:vAlign w:val="center"/>
          </w:tcPr>
          <w:p w14:paraId="3D86D9DF">
            <w:pPr>
              <w:pStyle w:val="14"/>
            </w:pPr>
          </w:p>
        </w:tc>
        <w:tc>
          <w:tcPr>
            <w:tcW w:w="1474" w:type="dxa"/>
            <w:vAlign w:val="center"/>
          </w:tcPr>
          <w:p w14:paraId="549189F6">
            <w:pPr>
              <w:pStyle w:val="14"/>
            </w:pPr>
          </w:p>
        </w:tc>
      </w:tr>
      <w:tr w14:paraId="4EF78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B4E17">
            <w:pPr>
              <w:pStyle w:val="12"/>
            </w:pPr>
            <w:r>
              <w:t>3</w:t>
            </w:r>
          </w:p>
        </w:tc>
        <w:tc>
          <w:tcPr>
            <w:tcW w:w="3402" w:type="dxa"/>
            <w:vAlign w:val="center"/>
          </w:tcPr>
          <w:p w14:paraId="69FB091F">
            <w:pPr>
              <w:pStyle w:val="13"/>
            </w:pPr>
            <w:r>
              <w:t>三、国有资本经营预算拨款</w:t>
            </w:r>
          </w:p>
        </w:tc>
        <w:tc>
          <w:tcPr>
            <w:tcW w:w="1474" w:type="dxa"/>
            <w:vAlign w:val="center"/>
          </w:tcPr>
          <w:p w14:paraId="25B7A4D3">
            <w:pPr>
              <w:pStyle w:val="14"/>
            </w:pPr>
          </w:p>
        </w:tc>
        <w:tc>
          <w:tcPr>
            <w:tcW w:w="3402" w:type="dxa"/>
            <w:vAlign w:val="center"/>
          </w:tcPr>
          <w:p w14:paraId="48570A00">
            <w:pPr>
              <w:pStyle w:val="13"/>
            </w:pPr>
            <w:r>
              <w:t>三、国防支出</w:t>
            </w:r>
          </w:p>
        </w:tc>
        <w:tc>
          <w:tcPr>
            <w:tcW w:w="1474" w:type="dxa"/>
            <w:vAlign w:val="center"/>
          </w:tcPr>
          <w:p w14:paraId="7A024D18">
            <w:pPr>
              <w:pStyle w:val="14"/>
            </w:pPr>
          </w:p>
        </w:tc>
        <w:tc>
          <w:tcPr>
            <w:tcW w:w="1474" w:type="dxa"/>
            <w:vAlign w:val="center"/>
          </w:tcPr>
          <w:p w14:paraId="0D78429E">
            <w:pPr>
              <w:pStyle w:val="14"/>
            </w:pPr>
          </w:p>
        </w:tc>
        <w:tc>
          <w:tcPr>
            <w:tcW w:w="1474" w:type="dxa"/>
            <w:vAlign w:val="center"/>
          </w:tcPr>
          <w:p w14:paraId="71519739">
            <w:pPr>
              <w:pStyle w:val="14"/>
            </w:pPr>
          </w:p>
        </w:tc>
        <w:tc>
          <w:tcPr>
            <w:tcW w:w="1474" w:type="dxa"/>
            <w:vAlign w:val="center"/>
          </w:tcPr>
          <w:p w14:paraId="3110BA45">
            <w:pPr>
              <w:pStyle w:val="14"/>
            </w:pPr>
          </w:p>
        </w:tc>
      </w:tr>
      <w:tr w14:paraId="57558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E269C">
            <w:pPr>
              <w:pStyle w:val="12"/>
            </w:pPr>
            <w:r>
              <w:t>4</w:t>
            </w:r>
          </w:p>
        </w:tc>
        <w:tc>
          <w:tcPr>
            <w:tcW w:w="3402" w:type="dxa"/>
            <w:vAlign w:val="center"/>
          </w:tcPr>
          <w:p w14:paraId="19E17F4B">
            <w:pPr>
              <w:pStyle w:val="13"/>
            </w:pPr>
          </w:p>
        </w:tc>
        <w:tc>
          <w:tcPr>
            <w:tcW w:w="1474" w:type="dxa"/>
            <w:vAlign w:val="center"/>
          </w:tcPr>
          <w:p w14:paraId="3EAD84B5">
            <w:pPr>
              <w:pStyle w:val="14"/>
            </w:pPr>
          </w:p>
        </w:tc>
        <w:tc>
          <w:tcPr>
            <w:tcW w:w="3402" w:type="dxa"/>
            <w:vAlign w:val="center"/>
          </w:tcPr>
          <w:p w14:paraId="34DC4573">
            <w:pPr>
              <w:pStyle w:val="13"/>
            </w:pPr>
            <w:r>
              <w:t>四、公共安全支出</w:t>
            </w:r>
          </w:p>
        </w:tc>
        <w:tc>
          <w:tcPr>
            <w:tcW w:w="1474" w:type="dxa"/>
            <w:vAlign w:val="center"/>
          </w:tcPr>
          <w:p w14:paraId="68D4C7B4">
            <w:pPr>
              <w:pStyle w:val="14"/>
            </w:pPr>
          </w:p>
        </w:tc>
        <w:tc>
          <w:tcPr>
            <w:tcW w:w="1474" w:type="dxa"/>
            <w:vAlign w:val="center"/>
          </w:tcPr>
          <w:p w14:paraId="3209098E">
            <w:pPr>
              <w:pStyle w:val="14"/>
            </w:pPr>
          </w:p>
        </w:tc>
        <w:tc>
          <w:tcPr>
            <w:tcW w:w="1474" w:type="dxa"/>
            <w:vAlign w:val="center"/>
          </w:tcPr>
          <w:p w14:paraId="4F085995">
            <w:pPr>
              <w:pStyle w:val="14"/>
            </w:pPr>
          </w:p>
        </w:tc>
        <w:tc>
          <w:tcPr>
            <w:tcW w:w="1474" w:type="dxa"/>
            <w:vAlign w:val="center"/>
          </w:tcPr>
          <w:p w14:paraId="4994BC96">
            <w:pPr>
              <w:pStyle w:val="14"/>
            </w:pPr>
          </w:p>
        </w:tc>
      </w:tr>
      <w:tr w14:paraId="78FEE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70A5C">
            <w:pPr>
              <w:pStyle w:val="12"/>
            </w:pPr>
            <w:r>
              <w:t>5</w:t>
            </w:r>
          </w:p>
        </w:tc>
        <w:tc>
          <w:tcPr>
            <w:tcW w:w="3402" w:type="dxa"/>
            <w:vAlign w:val="center"/>
          </w:tcPr>
          <w:p w14:paraId="43806B06">
            <w:pPr>
              <w:pStyle w:val="13"/>
            </w:pPr>
          </w:p>
        </w:tc>
        <w:tc>
          <w:tcPr>
            <w:tcW w:w="1474" w:type="dxa"/>
            <w:vAlign w:val="center"/>
          </w:tcPr>
          <w:p w14:paraId="265D6861">
            <w:pPr>
              <w:pStyle w:val="14"/>
            </w:pPr>
          </w:p>
        </w:tc>
        <w:tc>
          <w:tcPr>
            <w:tcW w:w="3402" w:type="dxa"/>
            <w:vAlign w:val="center"/>
          </w:tcPr>
          <w:p w14:paraId="7E0EF267">
            <w:pPr>
              <w:pStyle w:val="13"/>
            </w:pPr>
            <w:r>
              <w:t>五、教育支出</w:t>
            </w:r>
          </w:p>
        </w:tc>
        <w:tc>
          <w:tcPr>
            <w:tcW w:w="1474" w:type="dxa"/>
            <w:vAlign w:val="center"/>
          </w:tcPr>
          <w:p w14:paraId="7583DA6C">
            <w:pPr>
              <w:pStyle w:val="14"/>
            </w:pPr>
            <w:r>
              <w:t>2463.90</w:t>
            </w:r>
          </w:p>
        </w:tc>
        <w:tc>
          <w:tcPr>
            <w:tcW w:w="1474" w:type="dxa"/>
            <w:vAlign w:val="center"/>
          </w:tcPr>
          <w:p w14:paraId="57221989">
            <w:pPr>
              <w:pStyle w:val="14"/>
            </w:pPr>
            <w:r>
              <w:t>2463.90</w:t>
            </w:r>
          </w:p>
        </w:tc>
        <w:tc>
          <w:tcPr>
            <w:tcW w:w="1474" w:type="dxa"/>
            <w:vAlign w:val="center"/>
          </w:tcPr>
          <w:p w14:paraId="05B9943A">
            <w:pPr>
              <w:pStyle w:val="14"/>
            </w:pPr>
          </w:p>
        </w:tc>
        <w:tc>
          <w:tcPr>
            <w:tcW w:w="1474" w:type="dxa"/>
            <w:vAlign w:val="center"/>
          </w:tcPr>
          <w:p w14:paraId="63CDC77B">
            <w:pPr>
              <w:pStyle w:val="14"/>
            </w:pPr>
          </w:p>
        </w:tc>
      </w:tr>
      <w:tr w14:paraId="6CD0B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32125">
            <w:pPr>
              <w:pStyle w:val="12"/>
            </w:pPr>
            <w:r>
              <w:t>6</w:t>
            </w:r>
          </w:p>
        </w:tc>
        <w:tc>
          <w:tcPr>
            <w:tcW w:w="3402" w:type="dxa"/>
            <w:vAlign w:val="center"/>
          </w:tcPr>
          <w:p w14:paraId="248718F1">
            <w:pPr>
              <w:pStyle w:val="13"/>
            </w:pPr>
          </w:p>
        </w:tc>
        <w:tc>
          <w:tcPr>
            <w:tcW w:w="1474" w:type="dxa"/>
            <w:vAlign w:val="center"/>
          </w:tcPr>
          <w:p w14:paraId="658CF9EC">
            <w:pPr>
              <w:pStyle w:val="14"/>
            </w:pPr>
          </w:p>
        </w:tc>
        <w:tc>
          <w:tcPr>
            <w:tcW w:w="3402" w:type="dxa"/>
            <w:vAlign w:val="center"/>
          </w:tcPr>
          <w:p w14:paraId="576A0F02">
            <w:pPr>
              <w:pStyle w:val="13"/>
            </w:pPr>
            <w:r>
              <w:t>六、科学技术支出</w:t>
            </w:r>
          </w:p>
        </w:tc>
        <w:tc>
          <w:tcPr>
            <w:tcW w:w="1474" w:type="dxa"/>
            <w:vAlign w:val="center"/>
          </w:tcPr>
          <w:p w14:paraId="1CAB5F04">
            <w:pPr>
              <w:pStyle w:val="14"/>
            </w:pPr>
          </w:p>
        </w:tc>
        <w:tc>
          <w:tcPr>
            <w:tcW w:w="1474" w:type="dxa"/>
            <w:vAlign w:val="center"/>
          </w:tcPr>
          <w:p w14:paraId="7FC2D737">
            <w:pPr>
              <w:pStyle w:val="14"/>
            </w:pPr>
          </w:p>
        </w:tc>
        <w:tc>
          <w:tcPr>
            <w:tcW w:w="1474" w:type="dxa"/>
            <w:vAlign w:val="center"/>
          </w:tcPr>
          <w:p w14:paraId="4D1FECB3">
            <w:pPr>
              <w:pStyle w:val="14"/>
            </w:pPr>
          </w:p>
        </w:tc>
        <w:tc>
          <w:tcPr>
            <w:tcW w:w="1474" w:type="dxa"/>
            <w:vAlign w:val="center"/>
          </w:tcPr>
          <w:p w14:paraId="5ACB7118">
            <w:pPr>
              <w:pStyle w:val="14"/>
            </w:pPr>
          </w:p>
        </w:tc>
      </w:tr>
      <w:tr w14:paraId="2E3DD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AEDB3">
            <w:pPr>
              <w:pStyle w:val="12"/>
            </w:pPr>
            <w:r>
              <w:t>7</w:t>
            </w:r>
          </w:p>
        </w:tc>
        <w:tc>
          <w:tcPr>
            <w:tcW w:w="3402" w:type="dxa"/>
            <w:vAlign w:val="center"/>
          </w:tcPr>
          <w:p w14:paraId="5C594AA2">
            <w:pPr>
              <w:pStyle w:val="13"/>
            </w:pPr>
          </w:p>
        </w:tc>
        <w:tc>
          <w:tcPr>
            <w:tcW w:w="1474" w:type="dxa"/>
            <w:vAlign w:val="center"/>
          </w:tcPr>
          <w:p w14:paraId="01803750">
            <w:pPr>
              <w:pStyle w:val="14"/>
            </w:pPr>
          </w:p>
        </w:tc>
        <w:tc>
          <w:tcPr>
            <w:tcW w:w="3402" w:type="dxa"/>
            <w:vAlign w:val="center"/>
          </w:tcPr>
          <w:p w14:paraId="7FBCC2A9">
            <w:pPr>
              <w:pStyle w:val="13"/>
            </w:pPr>
            <w:r>
              <w:t>七、文化旅游体育与传媒支出</w:t>
            </w:r>
          </w:p>
        </w:tc>
        <w:tc>
          <w:tcPr>
            <w:tcW w:w="1474" w:type="dxa"/>
            <w:vAlign w:val="center"/>
          </w:tcPr>
          <w:p w14:paraId="4EE0B9D0">
            <w:pPr>
              <w:pStyle w:val="14"/>
            </w:pPr>
          </w:p>
        </w:tc>
        <w:tc>
          <w:tcPr>
            <w:tcW w:w="1474" w:type="dxa"/>
            <w:vAlign w:val="center"/>
          </w:tcPr>
          <w:p w14:paraId="37D2078B">
            <w:pPr>
              <w:pStyle w:val="14"/>
            </w:pPr>
          </w:p>
        </w:tc>
        <w:tc>
          <w:tcPr>
            <w:tcW w:w="1474" w:type="dxa"/>
            <w:vAlign w:val="center"/>
          </w:tcPr>
          <w:p w14:paraId="57F9BDF3">
            <w:pPr>
              <w:pStyle w:val="14"/>
            </w:pPr>
          </w:p>
        </w:tc>
        <w:tc>
          <w:tcPr>
            <w:tcW w:w="1474" w:type="dxa"/>
            <w:vAlign w:val="center"/>
          </w:tcPr>
          <w:p w14:paraId="1BF2F4AE">
            <w:pPr>
              <w:pStyle w:val="14"/>
            </w:pPr>
          </w:p>
        </w:tc>
      </w:tr>
      <w:tr w14:paraId="7505F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E8220">
            <w:pPr>
              <w:pStyle w:val="12"/>
            </w:pPr>
            <w:r>
              <w:t>8</w:t>
            </w:r>
          </w:p>
        </w:tc>
        <w:tc>
          <w:tcPr>
            <w:tcW w:w="3402" w:type="dxa"/>
            <w:vAlign w:val="center"/>
          </w:tcPr>
          <w:p w14:paraId="1AA1572F">
            <w:pPr>
              <w:pStyle w:val="13"/>
            </w:pPr>
          </w:p>
        </w:tc>
        <w:tc>
          <w:tcPr>
            <w:tcW w:w="1474" w:type="dxa"/>
            <w:vAlign w:val="center"/>
          </w:tcPr>
          <w:p w14:paraId="1E6252F2">
            <w:pPr>
              <w:pStyle w:val="14"/>
            </w:pPr>
          </w:p>
        </w:tc>
        <w:tc>
          <w:tcPr>
            <w:tcW w:w="3402" w:type="dxa"/>
            <w:vAlign w:val="center"/>
          </w:tcPr>
          <w:p w14:paraId="5E4EFE5A">
            <w:pPr>
              <w:pStyle w:val="13"/>
            </w:pPr>
            <w:r>
              <w:t>八、社会保障和就业支出</w:t>
            </w:r>
          </w:p>
        </w:tc>
        <w:tc>
          <w:tcPr>
            <w:tcW w:w="1474" w:type="dxa"/>
            <w:vAlign w:val="center"/>
          </w:tcPr>
          <w:p w14:paraId="61C0D5DA">
            <w:pPr>
              <w:pStyle w:val="14"/>
            </w:pPr>
          </w:p>
        </w:tc>
        <w:tc>
          <w:tcPr>
            <w:tcW w:w="1474" w:type="dxa"/>
            <w:vAlign w:val="center"/>
          </w:tcPr>
          <w:p w14:paraId="644546E4">
            <w:pPr>
              <w:pStyle w:val="14"/>
            </w:pPr>
          </w:p>
        </w:tc>
        <w:tc>
          <w:tcPr>
            <w:tcW w:w="1474" w:type="dxa"/>
            <w:vAlign w:val="center"/>
          </w:tcPr>
          <w:p w14:paraId="33F84B62">
            <w:pPr>
              <w:pStyle w:val="14"/>
            </w:pPr>
          </w:p>
        </w:tc>
        <w:tc>
          <w:tcPr>
            <w:tcW w:w="1474" w:type="dxa"/>
            <w:vAlign w:val="center"/>
          </w:tcPr>
          <w:p w14:paraId="7CAC71DA">
            <w:pPr>
              <w:pStyle w:val="14"/>
            </w:pPr>
          </w:p>
        </w:tc>
      </w:tr>
      <w:tr w14:paraId="1A6BB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DC0F4">
            <w:pPr>
              <w:pStyle w:val="12"/>
            </w:pPr>
            <w:r>
              <w:t>9</w:t>
            </w:r>
          </w:p>
        </w:tc>
        <w:tc>
          <w:tcPr>
            <w:tcW w:w="3402" w:type="dxa"/>
            <w:vAlign w:val="center"/>
          </w:tcPr>
          <w:p w14:paraId="633336B2">
            <w:pPr>
              <w:pStyle w:val="13"/>
            </w:pPr>
          </w:p>
        </w:tc>
        <w:tc>
          <w:tcPr>
            <w:tcW w:w="1474" w:type="dxa"/>
            <w:vAlign w:val="center"/>
          </w:tcPr>
          <w:p w14:paraId="360040F9">
            <w:pPr>
              <w:pStyle w:val="14"/>
            </w:pPr>
          </w:p>
        </w:tc>
        <w:tc>
          <w:tcPr>
            <w:tcW w:w="3402" w:type="dxa"/>
            <w:vAlign w:val="center"/>
          </w:tcPr>
          <w:p w14:paraId="25BBA0F3">
            <w:pPr>
              <w:pStyle w:val="13"/>
            </w:pPr>
            <w:r>
              <w:t>九、社会保险基金支出</w:t>
            </w:r>
          </w:p>
        </w:tc>
        <w:tc>
          <w:tcPr>
            <w:tcW w:w="1474" w:type="dxa"/>
            <w:vAlign w:val="center"/>
          </w:tcPr>
          <w:p w14:paraId="30FCCAA1">
            <w:pPr>
              <w:pStyle w:val="14"/>
            </w:pPr>
          </w:p>
        </w:tc>
        <w:tc>
          <w:tcPr>
            <w:tcW w:w="1474" w:type="dxa"/>
            <w:vAlign w:val="center"/>
          </w:tcPr>
          <w:p w14:paraId="02FD3001">
            <w:pPr>
              <w:pStyle w:val="14"/>
            </w:pPr>
          </w:p>
        </w:tc>
        <w:tc>
          <w:tcPr>
            <w:tcW w:w="1474" w:type="dxa"/>
            <w:vAlign w:val="center"/>
          </w:tcPr>
          <w:p w14:paraId="05A4D3DA">
            <w:pPr>
              <w:pStyle w:val="14"/>
            </w:pPr>
          </w:p>
        </w:tc>
        <w:tc>
          <w:tcPr>
            <w:tcW w:w="1474" w:type="dxa"/>
            <w:vAlign w:val="center"/>
          </w:tcPr>
          <w:p w14:paraId="4D3F791A">
            <w:pPr>
              <w:pStyle w:val="14"/>
            </w:pPr>
          </w:p>
        </w:tc>
      </w:tr>
      <w:tr w14:paraId="1AFC9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70521">
            <w:pPr>
              <w:pStyle w:val="12"/>
            </w:pPr>
            <w:r>
              <w:t>10</w:t>
            </w:r>
          </w:p>
        </w:tc>
        <w:tc>
          <w:tcPr>
            <w:tcW w:w="3402" w:type="dxa"/>
            <w:vAlign w:val="center"/>
          </w:tcPr>
          <w:p w14:paraId="5A139994">
            <w:pPr>
              <w:pStyle w:val="13"/>
            </w:pPr>
          </w:p>
        </w:tc>
        <w:tc>
          <w:tcPr>
            <w:tcW w:w="1474" w:type="dxa"/>
            <w:vAlign w:val="center"/>
          </w:tcPr>
          <w:p w14:paraId="407EE59C">
            <w:pPr>
              <w:pStyle w:val="14"/>
            </w:pPr>
          </w:p>
        </w:tc>
        <w:tc>
          <w:tcPr>
            <w:tcW w:w="3402" w:type="dxa"/>
            <w:vAlign w:val="center"/>
          </w:tcPr>
          <w:p w14:paraId="7E60B9BB">
            <w:pPr>
              <w:pStyle w:val="13"/>
            </w:pPr>
            <w:r>
              <w:t>十、卫生健康支出</w:t>
            </w:r>
          </w:p>
        </w:tc>
        <w:tc>
          <w:tcPr>
            <w:tcW w:w="1474" w:type="dxa"/>
            <w:vAlign w:val="center"/>
          </w:tcPr>
          <w:p w14:paraId="49F17A2A">
            <w:pPr>
              <w:pStyle w:val="14"/>
            </w:pPr>
          </w:p>
        </w:tc>
        <w:tc>
          <w:tcPr>
            <w:tcW w:w="1474" w:type="dxa"/>
            <w:vAlign w:val="center"/>
          </w:tcPr>
          <w:p w14:paraId="4DD396E7">
            <w:pPr>
              <w:pStyle w:val="14"/>
            </w:pPr>
          </w:p>
        </w:tc>
        <w:tc>
          <w:tcPr>
            <w:tcW w:w="1474" w:type="dxa"/>
            <w:vAlign w:val="center"/>
          </w:tcPr>
          <w:p w14:paraId="2C0DDF41">
            <w:pPr>
              <w:pStyle w:val="14"/>
            </w:pPr>
          </w:p>
        </w:tc>
        <w:tc>
          <w:tcPr>
            <w:tcW w:w="1474" w:type="dxa"/>
            <w:vAlign w:val="center"/>
          </w:tcPr>
          <w:p w14:paraId="6FF81369">
            <w:pPr>
              <w:pStyle w:val="14"/>
            </w:pPr>
          </w:p>
        </w:tc>
      </w:tr>
      <w:tr w14:paraId="6ED4B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64D23">
            <w:pPr>
              <w:pStyle w:val="12"/>
            </w:pPr>
            <w:r>
              <w:t>11</w:t>
            </w:r>
          </w:p>
        </w:tc>
        <w:tc>
          <w:tcPr>
            <w:tcW w:w="3402" w:type="dxa"/>
            <w:vAlign w:val="center"/>
          </w:tcPr>
          <w:p w14:paraId="4BB39584">
            <w:pPr>
              <w:pStyle w:val="13"/>
            </w:pPr>
          </w:p>
        </w:tc>
        <w:tc>
          <w:tcPr>
            <w:tcW w:w="1474" w:type="dxa"/>
            <w:vAlign w:val="center"/>
          </w:tcPr>
          <w:p w14:paraId="613823B5">
            <w:pPr>
              <w:pStyle w:val="14"/>
            </w:pPr>
          </w:p>
        </w:tc>
        <w:tc>
          <w:tcPr>
            <w:tcW w:w="3402" w:type="dxa"/>
            <w:vAlign w:val="center"/>
          </w:tcPr>
          <w:p w14:paraId="729BD1F4">
            <w:pPr>
              <w:pStyle w:val="13"/>
            </w:pPr>
            <w:r>
              <w:t>十一、节能环保支出</w:t>
            </w:r>
          </w:p>
        </w:tc>
        <w:tc>
          <w:tcPr>
            <w:tcW w:w="1474" w:type="dxa"/>
            <w:vAlign w:val="center"/>
          </w:tcPr>
          <w:p w14:paraId="76AD95D4">
            <w:pPr>
              <w:pStyle w:val="14"/>
            </w:pPr>
          </w:p>
        </w:tc>
        <w:tc>
          <w:tcPr>
            <w:tcW w:w="1474" w:type="dxa"/>
            <w:vAlign w:val="center"/>
          </w:tcPr>
          <w:p w14:paraId="3793C1BA">
            <w:pPr>
              <w:pStyle w:val="14"/>
            </w:pPr>
          </w:p>
        </w:tc>
        <w:tc>
          <w:tcPr>
            <w:tcW w:w="1474" w:type="dxa"/>
            <w:vAlign w:val="center"/>
          </w:tcPr>
          <w:p w14:paraId="73619292">
            <w:pPr>
              <w:pStyle w:val="14"/>
            </w:pPr>
          </w:p>
        </w:tc>
        <w:tc>
          <w:tcPr>
            <w:tcW w:w="1474" w:type="dxa"/>
            <w:vAlign w:val="center"/>
          </w:tcPr>
          <w:p w14:paraId="66721980">
            <w:pPr>
              <w:pStyle w:val="14"/>
            </w:pPr>
          </w:p>
        </w:tc>
      </w:tr>
      <w:tr w14:paraId="43C00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49FEF">
            <w:pPr>
              <w:pStyle w:val="12"/>
            </w:pPr>
            <w:r>
              <w:t>12</w:t>
            </w:r>
          </w:p>
        </w:tc>
        <w:tc>
          <w:tcPr>
            <w:tcW w:w="3402" w:type="dxa"/>
            <w:vAlign w:val="center"/>
          </w:tcPr>
          <w:p w14:paraId="553D9825">
            <w:pPr>
              <w:pStyle w:val="13"/>
            </w:pPr>
          </w:p>
        </w:tc>
        <w:tc>
          <w:tcPr>
            <w:tcW w:w="1474" w:type="dxa"/>
            <w:vAlign w:val="center"/>
          </w:tcPr>
          <w:p w14:paraId="04644D25">
            <w:pPr>
              <w:pStyle w:val="14"/>
            </w:pPr>
          </w:p>
        </w:tc>
        <w:tc>
          <w:tcPr>
            <w:tcW w:w="3402" w:type="dxa"/>
            <w:vAlign w:val="center"/>
          </w:tcPr>
          <w:p w14:paraId="1E9BC502">
            <w:pPr>
              <w:pStyle w:val="13"/>
            </w:pPr>
            <w:r>
              <w:t>十二、城乡社区支出</w:t>
            </w:r>
          </w:p>
        </w:tc>
        <w:tc>
          <w:tcPr>
            <w:tcW w:w="1474" w:type="dxa"/>
            <w:vAlign w:val="center"/>
          </w:tcPr>
          <w:p w14:paraId="01F35C89">
            <w:pPr>
              <w:pStyle w:val="14"/>
            </w:pPr>
          </w:p>
        </w:tc>
        <w:tc>
          <w:tcPr>
            <w:tcW w:w="1474" w:type="dxa"/>
            <w:vAlign w:val="center"/>
          </w:tcPr>
          <w:p w14:paraId="3F66A904">
            <w:pPr>
              <w:pStyle w:val="14"/>
            </w:pPr>
          </w:p>
        </w:tc>
        <w:tc>
          <w:tcPr>
            <w:tcW w:w="1474" w:type="dxa"/>
            <w:vAlign w:val="center"/>
          </w:tcPr>
          <w:p w14:paraId="016D9335">
            <w:pPr>
              <w:pStyle w:val="14"/>
            </w:pPr>
          </w:p>
        </w:tc>
        <w:tc>
          <w:tcPr>
            <w:tcW w:w="1474" w:type="dxa"/>
            <w:vAlign w:val="center"/>
          </w:tcPr>
          <w:p w14:paraId="59EE6DC8">
            <w:pPr>
              <w:pStyle w:val="14"/>
            </w:pPr>
          </w:p>
        </w:tc>
      </w:tr>
      <w:tr w14:paraId="33DF1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3A0FE">
            <w:pPr>
              <w:pStyle w:val="12"/>
            </w:pPr>
            <w:r>
              <w:t>13</w:t>
            </w:r>
          </w:p>
        </w:tc>
        <w:tc>
          <w:tcPr>
            <w:tcW w:w="3402" w:type="dxa"/>
            <w:vAlign w:val="center"/>
          </w:tcPr>
          <w:p w14:paraId="3F85233D">
            <w:pPr>
              <w:pStyle w:val="13"/>
            </w:pPr>
          </w:p>
        </w:tc>
        <w:tc>
          <w:tcPr>
            <w:tcW w:w="1474" w:type="dxa"/>
            <w:vAlign w:val="center"/>
          </w:tcPr>
          <w:p w14:paraId="560781EC">
            <w:pPr>
              <w:pStyle w:val="14"/>
            </w:pPr>
          </w:p>
        </w:tc>
        <w:tc>
          <w:tcPr>
            <w:tcW w:w="3402" w:type="dxa"/>
            <w:vAlign w:val="center"/>
          </w:tcPr>
          <w:p w14:paraId="24A1974B">
            <w:pPr>
              <w:pStyle w:val="13"/>
            </w:pPr>
            <w:r>
              <w:t>十三、农林水支出</w:t>
            </w:r>
          </w:p>
        </w:tc>
        <w:tc>
          <w:tcPr>
            <w:tcW w:w="1474" w:type="dxa"/>
            <w:vAlign w:val="center"/>
          </w:tcPr>
          <w:p w14:paraId="6775A350">
            <w:pPr>
              <w:pStyle w:val="14"/>
            </w:pPr>
          </w:p>
        </w:tc>
        <w:tc>
          <w:tcPr>
            <w:tcW w:w="1474" w:type="dxa"/>
            <w:vAlign w:val="center"/>
          </w:tcPr>
          <w:p w14:paraId="25966BC0">
            <w:pPr>
              <w:pStyle w:val="14"/>
            </w:pPr>
          </w:p>
        </w:tc>
        <w:tc>
          <w:tcPr>
            <w:tcW w:w="1474" w:type="dxa"/>
            <w:vAlign w:val="center"/>
          </w:tcPr>
          <w:p w14:paraId="0443ED87">
            <w:pPr>
              <w:pStyle w:val="14"/>
            </w:pPr>
          </w:p>
        </w:tc>
        <w:tc>
          <w:tcPr>
            <w:tcW w:w="1474" w:type="dxa"/>
            <w:vAlign w:val="center"/>
          </w:tcPr>
          <w:p w14:paraId="2615BC9F">
            <w:pPr>
              <w:pStyle w:val="14"/>
            </w:pPr>
          </w:p>
        </w:tc>
      </w:tr>
      <w:tr w14:paraId="29CC1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B144C">
            <w:pPr>
              <w:pStyle w:val="12"/>
            </w:pPr>
            <w:r>
              <w:t>14</w:t>
            </w:r>
          </w:p>
        </w:tc>
        <w:tc>
          <w:tcPr>
            <w:tcW w:w="3402" w:type="dxa"/>
            <w:vAlign w:val="center"/>
          </w:tcPr>
          <w:p w14:paraId="7DCF9206">
            <w:pPr>
              <w:pStyle w:val="13"/>
            </w:pPr>
          </w:p>
        </w:tc>
        <w:tc>
          <w:tcPr>
            <w:tcW w:w="1474" w:type="dxa"/>
            <w:vAlign w:val="center"/>
          </w:tcPr>
          <w:p w14:paraId="0B66F284">
            <w:pPr>
              <w:pStyle w:val="14"/>
            </w:pPr>
          </w:p>
        </w:tc>
        <w:tc>
          <w:tcPr>
            <w:tcW w:w="3402" w:type="dxa"/>
            <w:vAlign w:val="center"/>
          </w:tcPr>
          <w:p w14:paraId="51AAF777">
            <w:pPr>
              <w:pStyle w:val="13"/>
            </w:pPr>
            <w:r>
              <w:t>十四、交通运输支出</w:t>
            </w:r>
          </w:p>
        </w:tc>
        <w:tc>
          <w:tcPr>
            <w:tcW w:w="1474" w:type="dxa"/>
            <w:vAlign w:val="center"/>
          </w:tcPr>
          <w:p w14:paraId="6BF0B9C4">
            <w:pPr>
              <w:pStyle w:val="14"/>
            </w:pPr>
          </w:p>
        </w:tc>
        <w:tc>
          <w:tcPr>
            <w:tcW w:w="1474" w:type="dxa"/>
            <w:vAlign w:val="center"/>
          </w:tcPr>
          <w:p w14:paraId="49EEE18A">
            <w:pPr>
              <w:pStyle w:val="14"/>
            </w:pPr>
          </w:p>
        </w:tc>
        <w:tc>
          <w:tcPr>
            <w:tcW w:w="1474" w:type="dxa"/>
            <w:vAlign w:val="center"/>
          </w:tcPr>
          <w:p w14:paraId="574A46DE">
            <w:pPr>
              <w:pStyle w:val="14"/>
            </w:pPr>
          </w:p>
        </w:tc>
        <w:tc>
          <w:tcPr>
            <w:tcW w:w="1474" w:type="dxa"/>
            <w:vAlign w:val="center"/>
          </w:tcPr>
          <w:p w14:paraId="06B4FF46">
            <w:pPr>
              <w:pStyle w:val="14"/>
            </w:pPr>
          </w:p>
        </w:tc>
      </w:tr>
      <w:tr w14:paraId="646DA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C3B93">
            <w:pPr>
              <w:pStyle w:val="12"/>
            </w:pPr>
            <w:r>
              <w:t>15</w:t>
            </w:r>
          </w:p>
        </w:tc>
        <w:tc>
          <w:tcPr>
            <w:tcW w:w="3402" w:type="dxa"/>
            <w:vAlign w:val="center"/>
          </w:tcPr>
          <w:p w14:paraId="23F7CBC2">
            <w:pPr>
              <w:pStyle w:val="13"/>
            </w:pPr>
          </w:p>
        </w:tc>
        <w:tc>
          <w:tcPr>
            <w:tcW w:w="1474" w:type="dxa"/>
            <w:vAlign w:val="center"/>
          </w:tcPr>
          <w:p w14:paraId="141E7E21">
            <w:pPr>
              <w:pStyle w:val="14"/>
            </w:pPr>
          </w:p>
        </w:tc>
        <w:tc>
          <w:tcPr>
            <w:tcW w:w="3402" w:type="dxa"/>
            <w:vAlign w:val="center"/>
          </w:tcPr>
          <w:p w14:paraId="3CE327F3">
            <w:pPr>
              <w:pStyle w:val="13"/>
            </w:pPr>
            <w:r>
              <w:t>十五、资源勘探工业信息等支出</w:t>
            </w:r>
          </w:p>
        </w:tc>
        <w:tc>
          <w:tcPr>
            <w:tcW w:w="1474" w:type="dxa"/>
            <w:vAlign w:val="center"/>
          </w:tcPr>
          <w:p w14:paraId="255F3413">
            <w:pPr>
              <w:pStyle w:val="14"/>
            </w:pPr>
          </w:p>
        </w:tc>
        <w:tc>
          <w:tcPr>
            <w:tcW w:w="1474" w:type="dxa"/>
            <w:vAlign w:val="center"/>
          </w:tcPr>
          <w:p w14:paraId="7CA76E95">
            <w:pPr>
              <w:pStyle w:val="14"/>
            </w:pPr>
          </w:p>
        </w:tc>
        <w:tc>
          <w:tcPr>
            <w:tcW w:w="1474" w:type="dxa"/>
            <w:vAlign w:val="center"/>
          </w:tcPr>
          <w:p w14:paraId="5DD5C55C">
            <w:pPr>
              <w:pStyle w:val="14"/>
            </w:pPr>
          </w:p>
        </w:tc>
        <w:tc>
          <w:tcPr>
            <w:tcW w:w="1474" w:type="dxa"/>
            <w:vAlign w:val="center"/>
          </w:tcPr>
          <w:p w14:paraId="4DB6F8CB">
            <w:pPr>
              <w:pStyle w:val="14"/>
            </w:pPr>
          </w:p>
        </w:tc>
      </w:tr>
      <w:tr w14:paraId="50D11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B8A98">
            <w:pPr>
              <w:pStyle w:val="12"/>
            </w:pPr>
            <w:r>
              <w:t>16</w:t>
            </w:r>
          </w:p>
        </w:tc>
        <w:tc>
          <w:tcPr>
            <w:tcW w:w="3402" w:type="dxa"/>
            <w:vAlign w:val="center"/>
          </w:tcPr>
          <w:p w14:paraId="2EEA6AED">
            <w:pPr>
              <w:pStyle w:val="13"/>
            </w:pPr>
          </w:p>
        </w:tc>
        <w:tc>
          <w:tcPr>
            <w:tcW w:w="1474" w:type="dxa"/>
            <w:vAlign w:val="center"/>
          </w:tcPr>
          <w:p w14:paraId="2BA71A1F">
            <w:pPr>
              <w:pStyle w:val="14"/>
            </w:pPr>
          </w:p>
        </w:tc>
        <w:tc>
          <w:tcPr>
            <w:tcW w:w="3402" w:type="dxa"/>
            <w:vAlign w:val="center"/>
          </w:tcPr>
          <w:p w14:paraId="0EAAB219">
            <w:pPr>
              <w:pStyle w:val="13"/>
            </w:pPr>
            <w:r>
              <w:t>十六、商业服务业等支出</w:t>
            </w:r>
          </w:p>
        </w:tc>
        <w:tc>
          <w:tcPr>
            <w:tcW w:w="1474" w:type="dxa"/>
            <w:vAlign w:val="center"/>
          </w:tcPr>
          <w:p w14:paraId="4CC94296">
            <w:pPr>
              <w:pStyle w:val="14"/>
            </w:pPr>
          </w:p>
        </w:tc>
        <w:tc>
          <w:tcPr>
            <w:tcW w:w="1474" w:type="dxa"/>
            <w:vAlign w:val="center"/>
          </w:tcPr>
          <w:p w14:paraId="04BE17EC">
            <w:pPr>
              <w:pStyle w:val="14"/>
            </w:pPr>
          </w:p>
        </w:tc>
        <w:tc>
          <w:tcPr>
            <w:tcW w:w="1474" w:type="dxa"/>
            <w:vAlign w:val="center"/>
          </w:tcPr>
          <w:p w14:paraId="101DDA16">
            <w:pPr>
              <w:pStyle w:val="14"/>
            </w:pPr>
          </w:p>
        </w:tc>
        <w:tc>
          <w:tcPr>
            <w:tcW w:w="1474" w:type="dxa"/>
            <w:vAlign w:val="center"/>
          </w:tcPr>
          <w:p w14:paraId="1CCC97D8">
            <w:pPr>
              <w:pStyle w:val="14"/>
            </w:pPr>
          </w:p>
        </w:tc>
      </w:tr>
      <w:tr w14:paraId="2FA42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C878D">
            <w:pPr>
              <w:pStyle w:val="12"/>
            </w:pPr>
            <w:r>
              <w:t>17</w:t>
            </w:r>
          </w:p>
        </w:tc>
        <w:tc>
          <w:tcPr>
            <w:tcW w:w="3402" w:type="dxa"/>
            <w:vAlign w:val="center"/>
          </w:tcPr>
          <w:p w14:paraId="014BD67F">
            <w:pPr>
              <w:pStyle w:val="13"/>
            </w:pPr>
          </w:p>
        </w:tc>
        <w:tc>
          <w:tcPr>
            <w:tcW w:w="1474" w:type="dxa"/>
            <w:vAlign w:val="center"/>
          </w:tcPr>
          <w:p w14:paraId="1A2630EF">
            <w:pPr>
              <w:pStyle w:val="14"/>
            </w:pPr>
          </w:p>
        </w:tc>
        <w:tc>
          <w:tcPr>
            <w:tcW w:w="3402" w:type="dxa"/>
            <w:vAlign w:val="center"/>
          </w:tcPr>
          <w:p w14:paraId="4B31CFFD">
            <w:pPr>
              <w:pStyle w:val="13"/>
            </w:pPr>
            <w:r>
              <w:t>十七、金融支出</w:t>
            </w:r>
          </w:p>
        </w:tc>
        <w:tc>
          <w:tcPr>
            <w:tcW w:w="1474" w:type="dxa"/>
            <w:vAlign w:val="center"/>
          </w:tcPr>
          <w:p w14:paraId="697B4A6E">
            <w:pPr>
              <w:pStyle w:val="14"/>
            </w:pPr>
          </w:p>
        </w:tc>
        <w:tc>
          <w:tcPr>
            <w:tcW w:w="1474" w:type="dxa"/>
            <w:vAlign w:val="center"/>
          </w:tcPr>
          <w:p w14:paraId="4310B8D6">
            <w:pPr>
              <w:pStyle w:val="14"/>
            </w:pPr>
          </w:p>
        </w:tc>
        <w:tc>
          <w:tcPr>
            <w:tcW w:w="1474" w:type="dxa"/>
            <w:vAlign w:val="center"/>
          </w:tcPr>
          <w:p w14:paraId="06635A65">
            <w:pPr>
              <w:pStyle w:val="14"/>
            </w:pPr>
          </w:p>
        </w:tc>
        <w:tc>
          <w:tcPr>
            <w:tcW w:w="1474" w:type="dxa"/>
            <w:vAlign w:val="center"/>
          </w:tcPr>
          <w:p w14:paraId="79ACF55F">
            <w:pPr>
              <w:pStyle w:val="14"/>
            </w:pPr>
          </w:p>
        </w:tc>
      </w:tr>
      <w:tr w14:paraId="1D751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F7EB0">
            <w:pPr>
              <w:pStyle w:val="12"/>
            </w:pPr>
            <w:r>
              <w:t>18</w:t>
            </w:r>
          </w:p>
        </w:tc>
        <w:tc>
          <w:tcPr>
            <w:tcW w:w="3402" w:type="dxa"/>
            <w:vAlign w:val="center"/>
          </w:tcPr>
          <w:p w14:paraId="6EBBE9F3">
            <w:pPr>
              <w:pStyle w:val="13"/>
            </w:pPr>
          </w:p>
        </w:tc>
        <w:tc>
          <w:tcPr>
            <w:tcW w:w="1474" w:type="dxa"/>
            <w:vAlign w:val="center"/>
          </w:tcPr>
          <w:p w14:paraId="6A0BDCB4">
            <w:pPr>
              <w:pStyle w:val="14"/>
            </w:pPr>
          </w:p>
        </w:tc>
        <w:tc>
          <w:tcPr>
            <w:tcW w:w="3402" w:type="dxa"/>
            <w:vAlign w:val="center"/>
          </w:tcPr>
          <w:p w14:paraId="76A0EAE0">
            <w:pPr>
              <w:pStyle w:val="13"/>
            </w:pPr>
            <w:r>
              <w:t>十八、援助其他地区支出</w:t>
            </w:r>
          </w:p>
        </w:tc>
        <w:tc>
          <w:tcPr>
            <w:tcW w:w="1474" w:type="dxa"/>
            <w:vAlign w:val="center"/>
          </w:tcPr>
          <w:p w14:paraId="2D0AA136">
            <w:pPr>
              <w:pStyle w:val="14"/>
            </w:pPr>
          </w:p>
        </w:tc>
        <w:tc>
          <w:tcPr>
            <w:tcW w:w="1474" w:type="dxa"/>
            <w:vAlign w:val="center"/>
          </w:tcPr>
          <w:p w14:paraId="4C43E311">
            <w:pPr>
              <w:pStyle w:val="14"/>
            </w:pPr>
          </w:p>
        </w:tc>
        <w:tc>
          <w:tcPr>
            <w:tcW w:w="1474" w:type="dxa"/>
            <w:vAlign w:val="center"/>
          </w:tcPr>
          <w:p w14:paraId="690F8790">
            <w:pPr>
              <w:pStyle w:val="14"/>
            </w:pPr>
          </w:p>
        </w:tc>
        <w:tc>
          <w:tcPr>
            <w:tcW w:w="1474" w:type="dxa"/>
            <w:vAlign w:val="center"/>
          </w:tcPr>
          <w:p w14:paraId="5C568597">
            <w:pPr>
              <w:pStyle w:val="14"/>
            </w:pPr>
          </w:p>
        </w:tc>
      </w:tr>
      <w:tr w14:paraId="1DF02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A0CBE">
            <w:pPr>
              <w:pStyle w:val="12"/>
            </w:pPr>
            <w:r>
              <w:t>19</w:t>
            </w:r>
          </w:p>
        </w:tc>
        <w:tc>
          <w:tcPr>
            <w:tcW w:w="3402" w:type="dxa"/>
            <w:vAlign w:val="center"/>
          </w:tcPr>
          <w:p w14:paraId="7E47CC27">
            <w:pPr>
              <w:pStyle w:val="13"/>
            </w:pPr>
          </w:p>
        </w:tc>
        <w:tc>
          <w:tcPr>
            <w:tcW w:w="1474" w:type="dxa"/>
            <w:vAlign w:val="center"/>
          </w:tcPr>
          <w:p w14:paraId="7B0EB178">
            <w:pPr>
              <w:pStyle w:val="14"/>
            </w:pPr>
          </w:p>
        </w:tc>
        <w:tc>
          <w:tcPr>
            <w:tcW w:w="3402" w:type="dxa"/>
            <w:vAlign w:val="center"/>
          </w:tcPr>
          <w:p w14:paraId="45AB3FD3">
            <w:pPr>
              <w:pStyle w:val="13"/>
            </w:pPr>
            <w:r>
              <w:t>十九、自然资源海洋气象等支出</w:t>
            </w:r>
          </w:p>
        </w:tc>
        <w:tc>
          <w:tcPr>
            <w:tcW w:w="1474" w:type="dxa"/>
            <w:vAlign w:val="center"/>
          </w:tcPr>
          <w:p w14:paraId="5F51AC04">
            <w:pPr>
              <w:pStyle w:val="14"/>
            </w:pPr>
          </w:p>
        </w:tc>
        <w:tc>
          <w:tcPr>
            <w:tcW w:w="1474" w:type="dxa"/>
            <w:vAlign w:val="center"/>
          </w:tcPr>
          <w:p w14:paraId="05F1B6D1">
            <w:pPr>
              <w:pStyle w:val="14"/>
            </w:pPr>
          </w:p>
        </w:tc>
        <w:tc>
          <w:tcPr>
            <w:tcW w:w="1474" w:type="dxa"/>
            <w:vAlign w:val="center"/>
          </w:tcPr>
          <w:p w14:paraId="52E1BA9D">
            <w:pPr>
              <w:pStyle w:val="14"/>
            </w:pPr>
          </w:p>
        </w:tc>
        <w:tc>
          <w:tcPr>
            <w:tcW w:w="1474" w:type="dxa"/>
            <w:vAlign w:val="center"/>
          </w:tcPr>
          <w:p w14:paraId="76D43EC8">
            <w:pPr>
              <w:pStyle w:val="14"/>
            </w:pPr>
          </w:p>
        </w:tc>
      </w:tr>
      <w:tr w14:paraId="14BB9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AAA3C">
            <w:pPr>
              <w:pStyle w:val="12"/>
            </w:pPr>
            <w:r>
              <w:t>20</w:t>
            </w:r>
          </w:p>
        </w:tc>
        <w:tc>
          <w:tcPr>
            <w:tcW w:w="3402" w:type="dxa"/>
            <w:vAlign w:val="center"/>
          </w:tcPr>
          <w:p w14:paraId="55AEA15F">
            <w:pPr>
              <w:pStyle w:val="13"/>
            </w:pPr>
          </w:p>
        </w:tc>
        <w:tc>
          <w:tcPr>
            <w:tcW w:w="1474" w:type="dxa"/>
            <w:vAlign w:val="center"/>
          </w:tcPr>
          <w:p w14:paraId="45E9A384">
            <w:pPr>
              <w:pStyle w:val="14"/>
            </w:pPr>
          </w:p>
        </w:tc>
        <w:tc>
          <w:tcPr>
            <w:tcW w:w="3402" w:type="dxa"/>
            <w:vAlign w:val="center"/>
          </w:tcPr>
          <w:p w14:paraId="5E27F1E3">
            <w:pPr>
              <w:pStyle w:val="13"/>
            </w:pPr>
            <w:r>
              <w:t>二十、住房保障支出</w:t>
            </w:r>
          </w:p>
        </w:tc>
        <w:tc>
          <w:tcPr>
            <w:tcW w:w="1474" w:type="dxa"/>
            <w:vAlign w:val="center"/>
          </w:tcPr>
          <w:p w14:paraId="607F9A0D">
            <w:pPr>
              <w:pStyle w:val="14"/>
            </w:pPr>
          </w:p>
        </w:tc>
        <w:tc>
          <w:tcPr>
            <w:tcW w:w="1474" w:type="dxa"/>
            <w:vAlign w:val="center"/>
          </w:tcPr>
          <w:p w14:paraId="2F75D153">
            <w:pPr>
              <w:pStyle w:val="14"/>
            </w:pPr>
          </w:p>
        </w:tc>
        <w:tc>
          <w:tcPr>
            <w:tcW w:w="1474" w:type="dxa"/>
            <w:vAlign w:val="center"/>
          </w:tcPr>
          <w:p w14:paraId="5EE1F360">
            <w:pPr>
              <w:pStyle w:val="14"/>
            </w:pPr>
          </w:p>
        </w:tc>
        <w:tc>
          <w:tcPr>
            <w:tcW w:w="1474" w:type="dxa"/>
            <w:vAlign w:val="center"/>
          </w:tcPr>
          <w:p w14:paraId="59C83E5B">
            <w:pPr>
              <w:pStyle w:val="14"/>
            </w:pPr>
          </w:p>
        </w:tc>
      </w:tr>
      <w:tr w14:paraId="6CD0C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56186">
            <w:pPr>
              <w:pStyle w:val="12"/>
            </w:pPr>
            <w:r>
              <w:t>21</w:t>
            </w:r>
          </w:p>
        </w:tc>
        <w:tc>
          <w:tcPr>
            <w:tcW w:w="3402" w:type="dxa"/>
            <w:vAlign w:val="center"/>
          </w:tcPr>
          <w:p w14:paraId="3DE130D7">
            <w:pPr>
              <w:pStyle w:val="13"/>
            </w:pPr>
          </w:p>
        </w:tc>
        <w:tc>
          <w:tcPr>
            <w:tcW w:w="1474" w:type="dxa"/>
            <w:vAlign w:val="center"/>
          </w:tcPr>
          <w:p w14:paraId="47D2E22B">
            <w:pPr>
              <w:pStyle w:val="14"/>
            </w:pPr>
          </w:p>
        </w:tc>
        <w:tc>
          <w:tcPr>
            <w:tcW w:w="3402" w:type="dxa"/>
            <w:vAlign w:val="center"/>
          </w:tcPr>
          <w:p w14:paraId="6B4E2C8B">
            <w:pPr>
              <w:pStyle w:val="13"/>
            </w:pPr>
            <w:r>
              <w:t>二十一、粮油物资储备支出</w:t>
            </w:r>
          </w:p>
        </w:tc>
        <w:tc>
          <w:tcPr>
            <w:tcW w:w="1474" w:type="dxa"/>
            <w:vAlign w:val="center"/>
          </w:tcPr>
          <w:p w14:paraId="5874328D">
            <w:pPr>
              <w:pStyle w:val="14"/>
            </w:pPr>
          </w:p>
        </w:tc>
        <w:tc>
          <w:tcPr>
            <w:tcW w:w="1474" w:type="dxa"/>
            <w:vAlign w:val="center"/>
          </w:tcPr>
          <w:p w14:paraId="5B75F3F9">
            <w:pPr>
              <w:pStyle w:val="14"/>
            </w:pPr>
          </w:p>
        </w:tc>
        <w:tc>
          <w:tcPr>
            <w:tcW w:w="1474" w:type="dxa"/>
            <w:vAlign w:val="center"/>
          </w:tcPr>
          <w:p w14:paraId="4D9B9393">
            <w:pPr>
              <w:pStyle w:val="14"/>
            </w:pPr>
          </w:p>
        </w:tc>
        <w:tc>
          <w:tcPr>
            <w:tcW w:w="1474" w:type="dxa"/>
            <w:vAlign w:val="center"/>
          </w:tcPr>
          <w:p w14:paraId="03247B87">
            <w:pPr>
              <w:pStyle w:val="14"/>
            </w:pPr>
          </w:p>
        </w:tc>
      </w:tr>
      <w:tr w14:paraId="5EEA8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7A067F1">
            <w:pPr>
              <w:pStyle w:val="12"/>
            </w:pPr>
            <w:r>
              <w:t>22</w:t>
            </w:r>
          </w:p>
        </w:tc>
        <w:tc>
          <w:tcPr>
            <w:tcW w:w="3402" w:type="dxa"/>
            <w:vAlign w:val="center"/>
          </w:tcPr>
          <w:p w14:paraId="26A8E144">
            <w:pPr>
              <w:pStyle w:val="13"/>
            </w:pPr>
          </w:p>
        </w:tc>
        <w:tc>
          <w:tcPr>
            <w:tcW w:w="1474" w:type="dxa"/>
            <w:vAlign w:val="center"/>
          </w:tcPr>
          <w:p w14:paraId="6C4D1B32">
            <w:pPr>
              <w:pStyle w:val="14"/>
            </w:pPr>
          </w:p>
        </w:tc>
        <w:tc>
          <w:tcPr>
            <w:tcW w:w="3402" w:type="dxa"/>
            <w:vAlign w:val="center"/>
          </w:tcPr>
          <w:p w14:paraId="27D972C1">
            <w:pPr>
              <w:pStyle w:val="13"/>
            </w:pPr>
            <w:r>
              <w:t>二十二、国有资本经营预算支出</w:t>
            </w:r>
          </w:p>
        </w:tc>
        <w:tc>
          <w:tcPr>
            <w:tcW w:w="1474" w:type="dxa"/>
            <w:vAlign w:val="center"/>
          </w:tcPr>
          <w:p w14:paraId="5D9A6E4D">
            <w:pPr>
              <w:pStyle w:val="14"/>
            </w:pPr>
          </w:p>
        </w:tc>
        <w:tc>
          <w:tcPr>
            <w:tcW w:w="1474" w:type="dxa"/>
            <w:vAlign w:val="center"/>
          </w:tcPr>
          <w:p w14:paraId="00A18DCA">
            <w:pPr>
              <w:pStyle w:val="14"/>
            </w:pPr>
          </w:p>
        </w:tc>
        <w:tc>
          <w:tcPr>
            <w:tcW w:w="1474" w:type="dxa"/>
            <w:vAlign w:val="center"/>
          </w:tcPr>
          <w:p w14:paraId="372F18DB">
            <w:pPr>
              <w:pStyle w:val="14"/>
            </w:pPr>
          </w:p>
        </w:tc>
        <w:tc>
          <w:tcPr>
            <w:tcW w:w="1474" w:type="dxa"/>
            <w:vAlign w:val="center"/>
          </w:tcPr>
          <w:p w14:paraId="7DBBF5A3">
            <w:pPr>
              <w:pStyle w:val="14"/>
            </w:pPr>
          </w:p>
        </w:tc>
      </w:tr>
      <w:tr w14:paraId="7F693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DD1DF">
            <w:pPr>
              <w:pStyle w:val="12"/>
            </w:pPr>
            <w:r>
              <w:t>23</w:t>
            </w:r>
          </w:p>
        </w:tc>
        <w:tc>
          <w:tcPr>
            <w:tcW w:w="3402" w:type="dxa"/>
            <w:vAlign w:val="center"/>
          </w:tcPr>
          <w:p w14:paraId="16617E81">
            <w:pPr>
              <w:pStyle w:val="13"/>
            </w:pPr>
          </w:p>
        </w:tc>
        <w:tc>
          <w:tcPr>
            <w:tcW w:w="1474" w:type="dxa"/>
            <w:vAlign w:val="center"/>
          </w:tcPr>
          <w:p w14:paraId="6A95BFCA">
            <w:pPr>
              <w:pStyle w:val="14"/>
            </w:pPr>
          </w:p>
        </w:tc>
        <w:tc>
          <w:tcPr>
            <w:tcW w:w="3402" w:type="dxa"/>
            <w:vAlign w:val="center"/>
          </w:tcPr>
          <w:p w14:paraId="510819B6">
            <w:pPr>
              <w:pStyle w:val="13"/>
            </w:pPr>
            <w:r>
              <w:t>二十三、灾害防治及应急管理支出</w:t>
            </w:r>
          </w:p>
        </w:tc>
        <w:tc>
          <w:tcPr>
            <w:tcW w:w="1474" w:type="dxa"/>
            <w:vAlign w:val="center"/>
          </w:tcPr>
          <w:p w14:paraId="3A8E57B6">
            <w:pPr>
              <w:pStyle w:val="14"/>
            </w:pPr>
          </w:p>
        </w:tc>
        <w:tc>
          <w:tcPr>
            <w:tcW w:w="1474" w:type="dxa"/>
            <w:vAlign w:val="center"/>
          </w:tcPr>
          <w:p w14:paraId="67E3F681">
            <w:pPr>
              <w:pStyle w:val="14"/>
            </w:pPr>
          </w:p>
        </w:tc>
        <w:tc>
          <w:tcPr>
            <w:tcW w:w="1474" w:type="dxa"/>
            <w:vAlign w:val="center"/>
          </w:tcPr>
          <w:p w14:paraId="36124E5C">
            <w:pPr>
              <w:pStyle w:val="14"/>
            </w:pPr>
          </w:p>
        </w:tc>
        <w:tc>
          <w:tcPr>
            <w:tcW w:w="1474" w:type="dxa"/>
            <w:vAlign w:val="center"/>
          </w:tcPr>
          <w:p w14:paraId="67E1A8E1">
            <w:pPr>
              <w:pStyle w:val="14"/>
            </w:pPr>
          </w:p>
        </w:tc>
      </w:tr>
      <w:tr w14:paraId="38C26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2EE21">
            <w:pPr>
              <w:pStyle w:val="12"/>
            </w:pPr>
            <w:r>
              <w:t>24</w:t>
            </w:r>
          </w:p>
        </w:tc>
        <w:tc>
          <w:tcPr>
            <w:tcW w:w="3402" w:type="dxa"/>
            <w:vAlign w:val="center"/>
          </w:tcPr>
          <w:p w14:paraId="1C4667BD">
            <w:pPr>
              <w:pStyle w:val="13"/>
            </w:pPr>
          </w:p>
        </w:tc>
        <w:tc>
          <w:tcPr>
            <w:tcW w:w="1474" w:type="dxa"/>
            <w:vAlign w:val="center"/>
          </w:tcPr>
          <w:p w14:paraId="0FB522D7">
            <w:pPr>
              <w:pStyle w:val="14"/>
            </w:pPr>
          </w:p>
        </w:tc>
        <w:tc>
          <w:tcPr>
            <w:tcW w:w="3402" w:type="dxa"/>
            <w:vAlign w:val="center"/>
          </w:tcPr>
          <w:p w14:paraId="1AE8A7F0">
            <w:pPr>
              <w:pStyle w:val="13"/>
            </w:pPr>
            <w:r>
              <w:t>二十四、预备费</w:t>
            </w:r>
          </w:p>
        </w:tc>
        <w:tc>
          <w:tcPr>
            <w:tcW w:w="1474" w:type="dxa"/>
            <w:vAlign w:val="center"/>
          </w:tcPr>
          <w:p w14:paraId="4CDD00B7">
            <w:pPr>
              <w:pStyle w:val="14"/>
            </w:pPr>
          </w:p>
        </w:tc>
        <w:tc>
          <w:tcPr>
            <w:tcW w:w="1474" w:type="dxa"/>
            <w:vAlign w:val="center"/>
          </w:tcPr>
          <w:p w14:paraId="076D46B2">
            <w:pPr>
              <w:pStyle w:val="14"/>
            </w:pPr>
          </w:p>
        </w:tc>
        <w:tc>
          <w:tcPr>
            <w:tcW w:w="1474" w:type="dxa"/>
            <w:vAlign w:val="center"/>
          </w:tcPr>
          <w:p w14:paraId="1ABBC246">
            <w:pPr>
              <w:pStyle w:val="14"/>
            </w:pPr>
          </w:p>
        </w:tc>
        <w:tc>
          <w:tcPr>
            <w:tcW w:w="1474" w:type="dxa"/>
            <w:vAlign w:val="center"/>
          </w:tcPr>
          <w:p w14:paraId="2B9E867B">
            <w:pPr>
              <w:pStyle w:val="14"/>
            </w:pPr>
          </w:p>
        </w:tc>
      </w:tr>
      <w:tr w14:paraId="4EF26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5CC18">
            <w:pPr>
              <w:pStyle w:val="12"/>
            </w:pPr>
            <w:r>
              <w:t>25</w:t>
            </w:r>
          </w:p>
        </w:tc>
        <w:tc>
          <w:tcPr>
            <w:tcW w:w="3402" w:type="dxa"/>
            <w:vAlign w:val="center"/>
          </w:tcPr>
          <w:p w14:paraId="3212897F">
            <w:pPr>
              <w:pStyle w:val="13"/>
            </w:pPr>
          </w:p>
        </w:tc>
        <w:tc>
          <w:tcPr>
            <w:tcW w:w="1474" w:type="dxa"/>
            <w:vAlign w:val="center"/>
          </w:tcPr>
          <w:p w14:paraId="43851F71">
            <w:pPr>
              <w:pStyle w:val="14"/>
            </w:pPr>
          </w:p>
        </w:tc>
        <w:tc>
          <w:tcPr>
            <w:tcW w:w="3402" w:type="dxa"/>
            <w:vAlign w:val="center"/>
          </w:tcPr>
          <w:p w14:paraId="5A368EB4">
            <w:pPr>
              <w:pStyle w:val="13"/>
            </w:pPr>
            <w:r>
              <w:t>二十五、其他支出</w:t>
            </w:r>
          </w:p>
        </w:tc>
        <w:tc>
          <w:tcPr>
            <w:tcW w:w="1474" w:type="dxa"/>
            <w:vAlign w:val="center"/>
          </w:tcPr>
          <w:p w14:paraId="57A8620B">
            <w:pPr>
              <w:pStyle w:val="14"/>
            </w:pPr>
          </w:p>
        </w:tc>
        <w:tc>
          <w:tcPr>
            <w:tcW w:w="1474" w:type="dxa"/>
            <w:vAlign w:val="center"/>
          </w:tcPr>
          <w:p w14:paraId="1139E394">
            <w:pPr>
              <w:pStyle w:val="14"/>
            </w:pPr>
          </w:p>
        </w:tc>
        <w:tc>
          <w:tcPr>
            <w:tcW w:w="1474" w:type="dxa"/>
            <w:vAlign w:val="center"/>
          </w:tcPr>
          <w:p w14:paraId="6421DB64">
            <w:pPr>
              <w:pStyle w:val="14"/>
            </w:pPr>
          </w:p>
        </w:tc>
        <w:tc>
          <w:tcPr>
            <w:tcW w:w="1474" w:type="dxa"/>
            <w:vAlign w:val="center"/>
          </w:tcPr>
          <w:p w14:paraId="7FD5DCCF">
            <w:pPr>
              <w:pStyle w:val="14"/>
            </w:pPr>
          </w:p>
        </w:tc>
      </w:tr>
      <w:tr w14:paraId="7E0AC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2147A">
            <w:pPr>
              <w:pStyle w:val="12"/>
            </w:pPr>
            <w:r>
              <w:t>26</w:t>
            </w:r>
          </w:p>
        </w:tc>
        <w:tc>
          <w:tcPr>
            <w:tcW w:w="3402" w:type="dxa"/>
            <w:vAlign w:val="center"/>
          </w:tcPr>
          <w:p w14:paraId="3D0A3528">
            <w:pPr>
              <w:pStyle w:val="13"/>
            </w:pPr>
          </w:p>
        </w:tc>
        <w:tc>
          <w:tcPr>
            <w:tcW w:w="1474" w:type="dxa"/>
            <w:vAlign w:val="center"/>
          </w:tcPr>
          <w:p w14:paraId="1CD34A19">
            <w:pPr>
              <w:pStyle w:val="14"/>
            </w:pPr>
          </w:p>
        </w:tc>
        <w:tc>
          <w:tcPr>
            <w:tcW w:w="3402" w:type="dxa"/>
            <w:vAlign w:val="center"/>
          </w:tcPr>
          <w:p w14:paraId="0DDEFFDE">
            <w:pPr>
              <w:pStyle w:val="13"/>
            </w:pPr>
            <w:r>
              <w:t>二十六、转移性支出</w:t>
            </w:r>
          </w:p>
        </w:tc>
        <w:tc>
          <w:tcPr>
            <w:tcW w:w="1474" w:type="dxa"/>
            <w:vAlign w:val="center"/>
          </w:tcPr>
          <w:p w14:paraId="38F649DC">
            <w:pPr>
              <w:pStyle w:val="14"/>
            </w:pPr>
          </w:p>
        </w:tc>
        <w:tc>
          <w:tcPr>
            <w:tcW w:w="1474" w:type="dxa"/>
            <w:vAlign w:val="center"/>
          </w:tcPr>
          <w:p w14:paraId="7457AA7E">
            <w:pPr>
              <w:pStyle w:val="14"/>
            </w:pPr>
          </w:p>
        </w:tc>
        <w:tc>
          <w:tcPr>
            <w:tcW w:w="1474" w:type="dxa"/>
            <w:vAlign w:val="center"/>
          </w:tcPr>
          <w:p w14:paraId="2ABFE8CF">
            <w:pPr>
              <w:pStyle w:val="14"/>
            </w:pPr>
          </w:p>
        </w:tc>
        <w:tc>
          <w:tcPr>
            <w:tcW w:w="1474" w:type="dxa"/>
            <w:vAlign w:val="center"/>
          </w:tcPr>
          <w:p w14:paraId="0BD8F220">
            <w:pPr>
              <w:pStyle w:val="14"/>
            </w:pPr>
          </w:p>
        </w:tc>
      </w:tr>
      <w:tr w14:paraId="4001A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919B5">
            <w:pPr>
              <w:pStyle w:val="12"/>
            </w:pPr>
            <w:r>
              <w:t>27</w:t>
            </w:r>
          </w:p>
        </w:tc>
        <w:tc>
          <w:tcPr>
            <w:tcW w:w="3402" w:type="dxa"/>
            <w:vAlign w:val="center"/>
          </w:tcPr>
          <w:p w14:paraId="13114571">
            <w:pPr>
              <w:pStyle w:val="13"/>
            </w:pPr>
          </w:p>
        </w:tc>
        <w:tc>
          <w:tcPr>
            <w:tcW w:w="1474" w:type="dxa"/>
            <w:vAlign w:val="center"/>
          </w:tcPr>
          <w:p w14:paraId="1820ED63">
            <w:pPr>
              <w:pStyle w:val="14"/>
            </w:pPr>
          </w:p>
        </w:tc>
        <w:tc>
          <w:tcPr>
            <w:tcW w:w="3402" w:type="dxa"/>
            <w:vAlign w:val="center"/>
          </w:tcPr>
          <w:p w14:paraId="22FB6734">
            <w:pPr>
              <w:pStyle w:val="13"/>
            </w:pPr>
            <w:r>
              <w:t>二十七、债务还本支出</w:t>
            </w:r>
          </w:p>
        </w:tc>
        <w:tc>
          <w:tcPr>
            <w:tcW w:w="1474" w:type="dxa"/>
            <w:vAlign w:val="center"/>
          </w:tcPr>
          <w:p w14:paraId="6F322EF4">
            <w:pPr>
              <w:pStyle w:val="14"/>
            </w:pPr>
          </w:p>
        </w:tc>
        <w:tc>
          <w:tcPr>
            <w:tcW w:w="1474" w:type="dxa"/>
            <w:vAlign w:val="center"/>
          </w:tcPr>
          <w:p w14:paraId="5CF0BD8E">
            <w:pPr>
              <w:pStyle w:val="14"/>
            </w:pPr>
          </w:p>
        </w:tc>
        <w:tc>
          <w:tcPr>
            <w:tcW w:w="1474" w:type="dxa"/>
            <w:vAlign w:val="center"/>
          </w:tcPr>
          <w:p w14:paraId="7987677A">
            <w:pPr>
              <w:pStyle w:val="14"/>
            </w:pPr>
          </w:p>
        </w:tc>
        <w:tc>
          <w:tcPr>
            <w:tcW w:w="1474" w:type="dxa"/>
            <w:vAlign w:val="center"/>
          </w:tcPr>
          <w:p w14:paraId="2045C2FF">
            <w:pPr>
              <w:pStyle w:val="14"/>
            </w:pPr>
          </w:p>
        </w:tc>
      </w:tr>
      <w:tr w14:paraId="3C353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F43CE">
            <w:pPr>
              <w:pStyle w:val="12"/>
            </w:pPr>
            <w:r>
              <w:t>28</w:t>
            </w:r>
          </w:p>
        </w:tc>
        <w:tc>
          <w:tcPr>
            <w:tcW w:w="3402" w:type="dxa"/>
            <w:vAlign w:val="center"/>
          </w:tcPr>
          <w:p w14:paraId="3A43AB76">
            <w:pPr>
              <w:pStyle w:val="13"/>
            </w:pPr>
          </w:p>
        </w:tc>
        <w:tc>
          <w:tcPr>
            <w:tcW w:w="1474" w:type="dxa"/>
            <w:vAlign w:val="center"/>
          </w:tcPr>
          <w:p w14:paraId="0C03FF98">
            <w:pPr>
              <w:pStyle w:val="14"/>
            </w:pPr>
          </w:p>
        </w:tc>
        <w:tc>
          <w:tcPr>
            <w:tcW w:w="3402" w:type="dxa"/>
            <w:vAlign w:val="center"/>
          </w:tcPr>
          <w:p w14:paraId="3FE2A1C6">
            <w:pPr>
              <w:pStyle w:val="13"/>
            </w:pPr>
            <w:r>
              <w:t>二十八、债务付息支出</w:t>
            </w:r>
          </w:p>
        </w:tc>
        <w:tc>
          <w:tcPr>
            <w:tcW w:w="1474" w:type="dxa"/>
            <w:vAlign w:val="center"/>
          </w:tcPr>
          <w:p w14:paraId="11FAB283">
            <w:pPr>
              <w:pStyle w:val="14"/>
            </w:pPr>
          </w:p>
        </w:tc>
        <w:tc>
          <w:tcPr>
            <w:tcW w:w="1474" w:type="dxa"/>
            <w:vAlign w:val="center"/>
          </w:tcPr>
          <w:p w14:paraId="2B517F6E">
            <w:pPr>
              <w:pStyle w:val="14"/>
            </w:pPr>
          </w:p>
        </w:tc>
        <w:tc>
          <w:tcPr>
            <w:tcW w:w="1474" w:type="dxa"/>
            <w:vAlign w:val="center"/>
          </w:tcPr>
          <w:p w14:paraId="7C7FAB10">
            <w:pPr>
              <w:pStyle w:val="14"/>
            </w:pPr>
          </w:p>
        </w:tc>
        <w:tc>
          <w:tcPr>
            <w:tcW w:w="1474" w:type="dxa"/>
            <w:vAlign w:val="center"/>
          </w:tcPr>
          <w:p w14:paraId="308BCC11">
            <w:pPr>
              <w:pStyle w:val="14"/>
            </w:pPr>
          </w:p>
        </w:tc>
      </w:tr>
      <w:tr w14:paraId="5B8FA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3736E">
            <w:pPr>
              <w:pStyle w:val="12"/>
            </w:pPr>
            <w:r>
              <w:t>29</w:t>
            </w:r>
          </w:p>
        </w:tc>
        <w:tc>
          <w:tcPr>
            <w:tcW w:w="3402" w:type="dxa"/>
            <w:vAlign w:val="center"/>
          </w:tcPr>
          <w:p w14:paraId="26AA8C1E">
            <w:pPr>
              <w:pStyle w:val="13"/>
            </w:pPr>
          </w:p>
        </w:tc>
        <w:tc>
          <w:tcPr>
            <w:tcW w:w="1474" w:type="dxa"/>
            <w:vAlign w:val="center"/>
          </w:tcPr>
          <w:p w14:paraId="28488AE0">
            <w:pPr>
              <w:pStyle w:val="14"/>
            </w:pPr>
          </w:p>
        </w:tc>
        <w:tc>
          <w:tcPr>
            <w:tcW w:w="3402" w:type="dxa"/>
            <w:vAlign w:val="center"/>
          </w:tcPr>
          <w:p w14:paraId="1052C25A">
            <w:pPr>
              <w:pStyle w:val="13"/>
            </w:pPr>
            <w:r>
              <w:t>二十九、债务发行费用支出</w:t>
            </w:r>
          </w:p>
        </w:tc>
        <w:tc>
          <w:tcPr>
            <w:tcW w:w="1474" w:type="dxa"/>
            <w:vAlign w:val="center"/>
          </w:tcPr>
          <w:p w14:paraId="12261DE8">
            <w:pPr>
              <w:pStyle w:val="14"/>
            </w:pPr>
          </w:p>
        </w:tc>
        <w:tc>
          <w:tcPr>
            <w:tcW w:w="1474" w:type="dxa"/>
            <w:vAlign w:val="center"/>
          </w:tcPr>
          <w:p w14:paraId="7732A9B2">
            <w:pPr>
              <w:pStyle w:val="14"/>
            </w:pPr>
          </w:p>
        </w:tc>
        <w:tc>
          <w:tcPr>
            <w:tcW w:w="1474" w:type="dxa"/>
            <w:vAlign w:val="center"/>
          </w:tcPr>
          <w:p w14:paraId="16D812AF">
            <w:pPr>
              <w:pStyle w:val="14"/>
            </w:pPr>
          </w:p>
        </w:tc>
        <w:tc>
          <w:tcPr>
            <w:tcW w:w="1474" w:type="dxa"/>
            <w:vAlign w:val="center"/>
          </w:tcPr>
          <w:p w14:paraId="7692E6DD">
            <w:pPr>
              <w:pStyle w:val="14"/>
            </w:pPr>
          </w:p>
        </w:tc>
      </w:tr>
      <w:tr w14:paraId="34FAD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92C7C">
            <w:pPr>
              <w:pStyle w:val="12"/>
            </w:pPr>
            <w:r>
              <w:t>30</w:t>
            </w:r>
          </w:p>
        </w:tc>
        <w:tc>
          <w:tcPr>
            <w:tcW w:w="3402" w:type="dxa"/>
            <w:vAlign w:val="center"/>
          </w:tcPr>
          <w:p w14:paraId="78710E98">
            <w:pPr>
              <w:pStyle w:val="13"/>
            </w:pPr>
          </w:p>
        </w:tc>
        <w:tc>
          <w:tcPr>
            <w:tcW w:w="1474" w:type="dxa"/>
            <w:vAlign w:val="center"/>
          </w:tcPr>
          <w:p w14:paraId="720AAC42">
            <w:pPr>
              <w:pStyle w:val="14"/>
            </w:pPr>
          </w:p>
        </w:tc>
        <w:tc>
          <w:tcPr>
            <w:tcW w:w="3402" w:type="dxa"/>
            <w:vAlign w:val="center"/>
          </w:tcPr>
          <w:p w14:paraId="663E3296">
            <w:pPr>
              <w:pStyle w:val="13"/>
            </w:pPr>
            <w:r>
              <w:t>三十、抗疫特别国债安排的支出</w:t>
            </w:r>
          </w:p>
        </w:tc>
        <w:tc>
          <w:tcPr>
            <w:tcW w:w="1474" w:type="dxa"/>
            <w:vAlign w:val="center"/>
          </w:tcPr>
          <w:p w14:paraId="3CDB7088">
            <w:pPr>
              <w:pStyle w:val="14"/>
            </w:pPr>
          </w:p>
        </w:tc>
        <w:tc>
          <w:tcPr>
            <w:tcW w:w="1474" w:type="dxa"/>
            <w:vAlign w:val="center"/>
          </w:tcPr>
          <w:p w14:paraId="6AD26C1B">
            <w:pPr>
              <w:pStyle w:val="14"/>
            </w:pPr>
          </w:p>
        </w:tc>
        <w:tc>
          <w:tcPr>
            <w:tcW w:w="1474" w:type="dxa"/>
            <w:vAlign w:val="center"/>
          </w:tcPr>
          <w:p w14:paraId="120517DC">
            <w:pPr>
              <w:pStyle w:val="14"/>
            </w:pPr>
          </w:p>
        </w:tc>
        <w:tc>
          <w:tcPr>
            <w:tcW w:w="1474" w:type="dxa"/>
            <w:vAlign w:val="center"/>
          </w:tcPr>
          <w:p w14:paraId="1B520644">
            <w:pPr>
              <w:pStyle w:val="14"/>
            </w:pPr>
          </w:p>
        </w:tc>
      </w:tr>
      <w:tr w14:paraId="534ED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7C779">
            <w:pPr>
              <w:pStyle w:val="12"/>
            </w:pPr>
            <w:r>
              <w:t>31</w:t>
            </w:r>
          </w:p>
        </w:tc>
        <w:tc>
          <w:tcPr>
            <w:tcW w:w="3402" w:type="dxa"/>
            <w:vAlign w:val="center"/>
          </w:tcPr>
          <w:p w14:paraId="3C001694">
            <w:pPr>
              <w:pStyle w:val="13"/>
            </w:pPr>
          </w:p>
        </w:tc>
        <w:tc>
          <w:tcPr>
            <w:tcW w:w="1474" w:type="dxa"/>
            <w:vAlign w:val="center"/>
          </w:tcPr>
          <w:p w14:paraId="5E868AEE">
            <w:pPr>
              <w:pStyle w:val="14"/>
            </w:pPr>
          </w:p>
        </w:tc>
        <w:tc>
          <w:tcPr>
            <w:tcW w:w="3402" w:type="dxa"/>
            <w:vAlign w:val="center"/>
          </w:tcPr>
          <w:p w14:paraId="3FAFA8D5">
            <w:pPr>
              <w:pStyle w:val="13"/>
            </w:pPr>
            <w:r>
              <w:t>三十一、人行科目</w:t>
            </w:r>
          </w:p>
        </w:tc>
        <w:tc>
          <w:tcPr>
            <w:tcW w:w="1474" w:type="dxa"/>
            <w:vAlign w:val="center"/>
          </w:tcPr>
          <w:p w14:paraId="52040EA2">
            <w:pPr>
              <w:pStyle w:val="14"/>
            </w:pPr>
          </w:p>
        </w:tc>
        <w:tc>
          <w:tcPr>
            <w:tcW w:w="1474" w:type="dxa"/>
            <w:vAlign w:val="center"/>
          </w:tcPr>
          <w:p w14:paraId="687B966F">
            <w:pPr>
              <w:pStyle w:val="14"/>
            </w:pPr>
          </w:p>
        </w:tc>
        <w:tc>
          <w:tcPr>
            <w:tcW w:w="1474" w:type="dxa"/>
            <w:vAlign w:val="center"/>
          </w:tcPr>
          <w:p w14:paraId="5A6FEC77">
            <w:pPr>
              <w:pStyle w:val="14"/>
            </w:pPr>
          </w:p>
        </w:tc>
        <w:tc>
          <w:tcPr>
            <w:tcW w:w="1474" w:type="dxa"/>
            <w:vAlign w:val="center"/>
          </w:tcPr>
          <w:p w14:paraId="0325761E">
            <w:pPr>
              <w:pStyle w:val="14"/>
            </w:pPr>
          </w:p>
        </w:tc>
      </w:tr>
      <w:tr w14:paraId="6A7D0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F83AE">
            <w:pPr>
              <w:pStyle w:val="12"/>
            </w:pPr>
            <w:r>
              <w:t>32</w:t>
            </w:r>
          </w:p>
        </w:tc>
        <w:tc>
          <w:tcPr>
            <w:tcW w:w="3402" w:type="dxa"/>
            <w:vAlign w:val="center"/>
          </w:tcPr>
          <w:p w14:paraId="05B069C5">
            <w:pPr>
              <w:pStyle w:val="15"/>
            </w:pPr>
            <w:r>
              <w:t>本年收入合计</w:t>
            </w:r>
          </w:p>
        </w:tc>
        <w:tc>
          <w:tcPr>
            <w:tcW w:w="1474" w:type="dxa"/>
            <w:vAlign w:val="center"/>
          </w:tcPr>
          <w:p w14:paraId="4F5F2FD5">
            <w:pPr>
              <w:pStyle w:val="16"/>
            </w:pPr>
            <w:r>
              <w:t>2369.80</w:t>
            </w:r>
          </w:p>
        </w:tc>
        <w:tc>
          <w:tcPr>
            <w:tcW w:w="3402" w:type="dxa"/>
            <w:vAlign w:val="center"/>
          </w:tcPr>
          <w:p w14:paraId="5990B0C1">
            <w:pPr>
              <w:pStyle w:val="15"/>
            </w:pPr>
            <w:r>
              <w:t>本年支出合计</w:t>
            </w:r>
          </w:p>
        </w:tc>
        <w:tc>
          <w:tcPr>
            <w:tcW w:w="1474" w:type="dxa"/>
            <w:vAlign w:val="center"/>
          </w:tcPr>
          <w:p w14:paraId="6AE03A93">
            <w:pPr>
              <w:pStyle w:val="16"/>
            </w:pPr>
            <w:r>
              <w:t>2463.90</w:t>
            </w:r>
          </w:p>
        </w:tc>
        <w:tc>
          <w:tcPr>
            <w:tcW w:w="1474" w:type="dxa"/>
            <w:vAlign w:val="center"/>
          </w:tcPr>
          <w:p w14:paraId="1768D18C">
            <w:pPr>
              <w:pStyle w:val="16"/>
            </w:pPr>
            <w:r>
              <w:t>2463.90</w:t>
            </w:r>
          </w:p>
        </w:tc>
        <w:tc>
          <w:tcPr>
            <w:tcW w:w="1474" w:type="dxa"/>
            <w:vAlign w:val="center"/>
          </w:tcPr>
          <w:p w14:paraId="64072169">
            <w:pPr>
              <w:pStyle w:val="16"/>
            </w:pPr>
          </w:p>
        </w:tc>
        <w:tc>
          <w:tcPr>
            <w:tcW w:w="1474" w:type="dxa"/>
            <w:vAlign w:val="center"/>
          </w:tcPr>
          <w:p w14:paraId="429D8399">
            <w:pPr>
              <w:pStyle w:val="16"/>
            </w:pPr>
          </w:p>
        </w:tc>
      </w:tr>
      <w:tr w14:paraId="0B62C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CEE89">
            <w:pPr>
              <w:pStyle w:val="12"/>
            </w:pPr>
            <w:r>
              <w:t>33</w:t>
            </w:r>
          </w:p>
        </w:tc>
        <w:tc>
          <w:tcPr>
            <w:tcW w:w="3402" w:type="dxa"/>
            <w:vAlign w:val="center"/>
          </w:tcPr>
          <w:p w14:paraId="4C5A87DA">
            <w:pPr>
              <w:pStyle w:val="13"/>
            </w:pPr>
            <w:r>
              <w:t>年初财政拨款结转和结余</w:t>
            </w:r>
          </w:p>
        </w:tc>
        <w:tc>
          <w:tcPr>
            <w:tcW w:w="1474" w:type="dxa"/>
            <w:vAlign w:val="center"/>
          </w:tcPr>
          <w:p w14:paraId="770DCA2D">
            <w:pPr>
              <w:pStyle w:val="14"/>
            </w:pPr>
            <w:r>
              <w:t>94.10</w:t>
            </w:r>
          </w:p>
        </w:tc>
        <w:tc>
          <w:tcPr>
            <w:tcW w:w="3402" w:type="dxa"/>
            <w:vAlign w:val="center"/>
          </w:tcPr>
          <w:p w14:paraId="44D2E5F0">
            <w:pPr>
              <w:pStyle w:val="13"/>
            </w:pPr>
            <w:r>
              <w:t>年末财政拨款结转和结余</w:t>
            </w:r>
          </w:p>
        </w:tc>
        <w:tc>
          <w:tcPr>
            <w:tcW w:w="1474" w:type="dxa"/>
            <w:vAlign w:val="center"/>
          </w:tcPr>
          <w:p w14:paraId="7644669D">
            <w:pPr>
              <w:pStyle w:val="14"/>
            </w:pPr>
          </w:p>
        </w:tc>
        <w:tc>
          <w:tcPr>
            <w:tcW w:w="1474" w:type="dxa"/>
            <w:vAlign w:val="center"/>
          </w:tcPr>
          <w:p w14:paraId="646F3701">
            <w:pPr>
              <w:pStyle w:val="14"/>
            </w:pPr>
          </w:p>
        </w:tc>
        <w:tc>
          <w:tcPr>
            <w:tcW w:w="1474" w:type="dxa"/>
            <w:vAlign w:val="center"/>
          </w:tcPr>
          <w:p w14:paraId="5B94CBFB">
            <w:pPr>
              <w:pStyle w:val="14"/>
            </w:pPr>
          </w:p>
        </w:tc>
        <w:tc>
          <w:tcPr>
            <w:tcW w:w="1474" w:type="dxa"/>
            <w:vAlign w:val="center"/>
          </w:tcPr>
          <w:p w14:paraId="1E6CB51B">
            <w:pPr>
              <w:pStyle w:val="14"/>
            </w:pPr>
          </w:p>
        </w:tc>
      </w:tr>
      <w:tr w14:paraId="3DFD7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157CF">
            <w:pPr>
              <w:pStyle w:val="12"/>
            </w:pPr>
            <w:r>
              <w:t>34</w:t>
            </w:r>
          </w:p>
        </w:tc>
        <w:tc>
          <w:tcPr>
            <w:tcW w:w="3402" w:type="dxa"/>
            <w:vAlign w:val="center"/>
          </w:tcPr>
          <w:p w14:paraId="6DD00545">
            <w:pPr>
              <w:pStyle w:val="13"/>
            </w:pPr>
            <w:r>
              <w:t>一、一般公共预算拨款</w:t>
            </w:r>
          </w:p>
        </w:tc>
        <w:tc>
          <w:tcPr>
            <w:tcW w:w="1474" w:type="dxa"/>
            <w:vAlign w:val="center"/>
          </w:tcPr>
          <w:p w14:paraId="4E3D6CF0">
            <w:pPr>
              <w:pStyle w:val="14"/>
            </w:pPr>
            <w:r>
              <w:t>94.10</w:t>
            </w:r>
          </w:p>
        </w:tc>
        <w:tc>
          <w:tcPr>
            <w:tcW w:w="3402" w:type="dxa"/>
            <w:vAlign w:val="center"/>
          </w:tcPr>
          <w:p w14:paraId="6F738CB9">
            <w:pPr>
              <w:pStyle w:val="13"/>
            </w:pPr>
          </w:p>
        </w:tc>
        <w:tc>
          <w:tcPr>
            <w:tcW w:w="1474" w:type="dxa"/>
            <w:vAlign w:val="center"/>
          </w:tcPr>
          <w:p w14:paraId="2A57A24F">
            <w:pPr>
              <w:pStyle w:val="14"/>
            </w:pPr>
          </w:p>
        </w:tc>
        <w:tc>
          <w:tcPr>
            <w:tcW w:w="1474" w:type="dxa"/>
            <w:vAlign w:val="center"/>
          </w:tcPr>
          <w:p w14:paraId="147DA487">
            <w:pPr>
              <w:pStyle w:val="14"/>
            </w:pPr>
          </w:p>
        </w:tc>
        <w:tc>
          <w:tcPr>
            <w:tcW w:w="1474" w:type="dxa"/>
            <w:vAlign w:val="center"/>
          </w:tcPr>
          <w:p w14:paraId="332B923E">
            <w:pPr>
              <w:pStyle w:val="14"/>
            </w:pPr>
          </w:p>
        </w:tc>
        <w:tc>
          <w:tcPr>
            <w:tcW w:w="1474" w:type="dxa"/>
            <w:vAlign w:val="center"/>
          </w:tcPr>
          <w:p w14:paraId="68D4D624">
            <w:pPr>
              <w:pStyle w:val="14"/>
            </w:pPr>
          </w:p>
        </w:tc>
      </w:tr>
      <w:tr w14:paraId="6FD3F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C520F">
            <w:pPr>
              <w:pStyle w:val="12"/>
            </w:pPr>
            <w:r>
              <w:t>35</w:t>
            </w:r>
          </w:p>
        </w:tc>
        <w:tc>
          <w:tcPr>
            <w:tcW w:w="3402" w:type="dxa"/>
            <w:vAlign w:val="center"/>
          </w:tcPr>
          <w:p w14:paraId="51119842">
            <w:pPr>
              <w:pStyle w:val="13"/>
            </w:pPr>
            <w:r>
              <w:t>二、政府性基金预算拨款</w:t>
            </w:r>
          </w:p>
        </w:tc>
        <w:tc>
          <w:tcPr>
            <w:tcW w:w="1474" w:type="dxa"/>
            <w:vAlign w:val="center"/>
          </w:tcPr>
          <w:p w14:paraId="5204ACA0">
            <w:pPr>
              <w:pStyle w:val="14"/>
            </w:pPr>
          </w:p>
        </w:tc>
        <w:tc>
          <w:tcPr>
            <w:tcW w:w="3402" w:type="dxa"/>
            <w:vAlign w:val="center"/>
          </w:tcPr>
          <w:p w14:paraId="7C4FF558">
            <w:pPr>
              <w:pStyle w:val="13"/>
            </w:pPr>
          </w:p>
        </w:tc>
        <w:tc>
          <w:tcPr>
            <w:tcW w:w="1474" w:type="dxa"/>
            <w:vAlign w:val="center"/>
          </w:tcPr>
          <w:p w14:paraId="643A5309">
            <w:pPr>
              <w:pStyle w:val="14"/>
            </w:pPr>
          </w:p>
        </w:tc>
        <w:tc>
          <w:tcPr>
            <w:tcW w:w="1474" w:type="dxa"/>
            <w:vAlign w:val="center"/>
          </w:tcPr>
          <w:p w14:paraId="03C37ED5">
            <w:pPr>
              <w:pStyle w:val="14"/>
            </w:pPr>
          </w:p>
        </w:tc>
        <w:tc>
          <w:tcPr>
            <w:tcW w:w="1474" w:type="dxa"/>
            <w:vAlign w:val="center"/>
          </w:tcPr>
          <w:p w14:paraId="5B4F0A8F">
            <w:pPr>
              <w:pStyle w:val="14"/>
            </w:pPr>
          </w:p>
        </w:tc>
        <w:tc>
          <w:tcPr>
            <w:tcW w:w="1474" w:type="dxa"/>
            <w:vAlign w:val="center"/>
          </w:tcPr>
          <w:p w14:paraId="01DE39F1">
            <w:pPr>
              <w:pStyle w:val="14"/>
            </w:pPr>
          </w:p>
        </w:tc>
      </w:tr>
      <w:tr w14:paraId="294C2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F2355">
            <w:pPr>
              <w:pStyle w:val="12"/>
            </w:pPr>
            <w:r>
              <w:t>36</w:t>
            </w:r>
          </w:p>
        </w:tc>
        <w:tc>
          <w:tcPr>
            <w:tcW w:w="3402" w:type="dxa"/>
            <w:vAlign w:val="center"/>
          </w:tcPr>
          <w:p w14:paraId="321E6B5E">
            <w:pPr>
              <w:pStyle w:val="13"/>
            </w:pPr>
            <w:r>
              <w:t>三、国有资本经营预算拨款</w:t>
            </w:r>
          </w:p>
        </w:tc>
        <w:tc>
          <w:tcPr>
            <w:tcW w:w="1474" w:type="dxa"/>
            <w:vAlign w:val="center"/>
          </w:tcPr>
          <w:p w14:paraId="1059719F">
            <w:pPr>
              <w:pStyle w:val="14"/>
            </w:pPr>
          </w:p>
        </w:tc>
        <w:tc>
          <w:tcPr>
            <w:tcW w:w="3402" w:type="dxa"/>
            <w:vAlign w:val="center"/>
          </w:tcPr>
          <w:p w14:paraId="51D91C60">
            <w:pPr>
              <w:pStyle w:val="13"/>
            </w:pPr>
          </w:p>
        </w:tc>
        <w:tc>
          <w:tcPr>
            <w:tcW w:w="1474" w:type="dxa"/>
            <w:vAlign w:val="center"/>
          </w:tcPr>
          <w:p w14:paraId="0361F3B4">
            <w:pPr>
              <w:pStyle w:val="14"/>
            </w:pPr>
          </w:p>
        </w:tc>
        <w:tc>
          <w:tcPr>
            <w:tcW w:w="1474" w:type="dxa"/>
            <w:vAlign w:val="center"/>
          </w:tcPr>
          <w:p w14:paraId="4BF17767">
            <w:pPr>
              <w:pStyle w:val="14"/>
            </w:pPr>
          </w:p>
        </w:tc>
        <w:tc>
          <w:tcPr>
            <w:tcW w:w="1474" w:type="dxa"/>
            <w:vAlign w:val="center"/>
          </w:tcPr>
          <w:p w14:paraId="2F02CB01">
            <w:pPr>
              <w:pStyle w:val="14"/>
            </w:pPr>
          </w:p>
        </w:tc>
        <w:tc>
          <w:tcPr>
            <w:tcW w:w="1474" w:type="dxa"/>
            <w:vAlign w:val="center"/>
          </w:tcPr>
          <w:p w14:paraId="271B8F35">
            <w:pPr>
              <w:pStyle w:val="14"/>
            </w:pPr>
          </w:p>
        </w:tc>
      </w:tr>
      <w:tr w14:paraId="391F9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9CAF9">
            <w:pPr>
              <w:pStyle w:val="12"/>
            </w:pPr>
            <w:r>
              <w:t>37</w:t>
            </w:r>
          </w:p>
        </w:tc>
        <w:tc>
          <w:tcPr>
            <w:tcW w:w="3402" w:type="dxa"/>
            <w:vAlign w:val="center"/>
          </w:tcPr>
          <w:p w14:paraId="21D48CAE">
            <w:pPr>
              <w:pStyle w:val="15"/>
            </w:pPr>
            <w:r>
              <w:t>收入总计</w:t>
            </w:r>
          </w:p>
        </w:tc>
        <w:tc>
          <w:tcPr>
            <w:tcW w:w="1474" w:type="dxa"/>
            <w:vAlign w:val="center"/>
          </w:tcPr>
          <w:p w14:paraId="400D012A">
            <w:pPr>
              <w:pStyle w:val="16"/>
            </w:pPr>
            <w:r>
              <w:t>2463.90</w:t>
            </w:r>
          </w:p>
        </w:tc>
        <w:tc>
          <w:tcPr>
            <w:tcW w:w="3402" w:type="dxa"/>
            <w:vAlign w:val="center"/>
          </w:tcPr>
          <w:p w14:paraId="7707A7B9">
            <w:pPr>
              <w:pStyle w:val="15"/>
            </w:pPr>
            <w:r>
              <w:t>支出总计</w:t>
            </w:r>
          </w:p>
        </w:tc>
        <w:tc>
          <w:tcPr>
            <w:tcW w:w="1474" w:type="dxa"/>
            <w:vAlign w:val="center"/>
          </w:tcPr>
          <w:p w14:paraId="5AB217EE">
            <w:pPr>
              <w:pStyle w:val="16"/>
            </w:pPr>
            <w:r>
              <w:t>2463.90</w:t>
            </w:r>
          </w:p>
        </w:tc>
        <w:tc>
          <w:tcPr>
            <w:tcW w:w="1474" w:type="dxa"/>
            <w:vAlign w:val="center"/>
          </w:tcPr>
          <w:p w14:paraId="08AE37A5">
            <w:pPr>
              <w:pStyle w:val="16"/>
            </w:pPr>
            <w:r>
              <w:t>2463.90</w:t>
            </w:r>
          </w:p>
        </w:tc>
        <w:tc>
          <w:tcPr>
            <w:tcW w:w="1474" w:type="dxa"/>
            <w:vAlign w:val="center"/>
          </w:tcPr>
          <w:p w14:paraId="0BA32BE8">
            <w:pPr>
              <w:pStyle w:val="16"/>
            </w:pPr>
          </w:p>
        </w:tc>
        <w:tc>
          <w:tcPr>
            <w:tcW w:w="1474" w:type="dxa"/>
            <w:vAlign w:val="center"/>
          </w:tcPr>
          <w:p w14:paraId="4AAAEDA0">
            <w:pPr>
              <w:pStyle w:val="16"/>
            </w:pPr>
          </w:p>
        </w:tc>
      </w:tr>
    </w:tbl>
    <w:p w14:paraId="13E21A81">
      <w:pPr>
        <w:sectPr>
          <w:pgSz w:w="16840" w:h="11900" w:orient="landscape"/>
          <w:pgMar w:top="1361" w:right="1020" w:bottom="1134" w:left="1020" w:header="720" w:footer="720" w:gutter="0"/>
          <w:cols w:space="720" w:num="1"/>
        </w:sectPr>
      </w:pPr>
    </w:p>
    <w:p w14:paraId="64BCCA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348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90CD13">
            <w:pPr>
              <w:pStyle w:val="8"/>
            </w:pPr>
            <w:r>
              <w:t>360020隆尧县双碑校区</w:t>
            </w:r>
          </w:p>
        </w:tc>
        <w:tc>
          <w:tcPr>
            <w:tcW w:w="2551" w:type="dxa"/>
            <w:tcBorders>
              <w:top w:val="single" w:color="FFFFFF" w:sz="6" w:space="0"/>
              <w:left w:val="single" w:color="FFFFFF" w:sz="6" w:space="0"/>
              <w:right w:val="single" w:color="FFFFFF" w:sz="6" w:space="0"/>
            </w:tcBorders>
            <w:vAlign w:val="center"/>
          </w:tcPr>
          <w:p w14:paraId="74AAD4E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5020DB1">
            <w:pPr>
              <w:pStyle w:val="10"/>
            </w:pPr>
            <w:r>
              <w:t>单位：万元</w:t>
            </w:r>
          </w:p>
        </w:tc>
      </w:tr>
      <w:tr w14:paraId="18FBF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E398D">
            <w:pPr>
              <w:pStyle w:val="11"/>
            </w:pPr>
            <w:r>
              <w:t>序号</w:t>
            </w:r>
          </w:p>
        </w:tc>
        <w:tc>
          <w:tcPr>
            <w:tcW w:w="5726" w:type="dxa"/>
            <w:gridSpan w:val="2"/>
            <w:vAlign w:val="center"/>
          </w:tcPr>
          <w:p w14:paraId="7C82C3A4">
            <w:pPr>
              <w:pStyle w:val="11"/>
            </w:pPr>
            <w:r>
              <w:t>功能分类科目</w:t>
            </w:r>
          </w:p>
        </w:tc>
        <w:tc>
          <w:tcPr>
            <w:tcW w:w="2551" w:type="dxa"/>
            <w:vMerge w:val="restart"/>
            <w:vAlign w:val="center"/>
          </w:tcPr>
          <w:p w14:paraId="0955D3F1">
            <w:pPr>
              <w:pStyle w:val="11"/>
            </w:pPr>
            <w:r>
              <w:t>合计</w:t>
            </w:r>
          </w:p>
        </w:tc>
        <w:tc>
          <w:tcPr>
            <w:tcW w:w="2551" w:type="dxa"/>
            <w:vMerge w:val="restart"/>
            <w:vAlign w:val="center"/>
          </w:tcPr>
          <w:p w14:paraId="7AC1CC75">
            <w:pPr>
              <w:pStyle w:val="11"/>
            </w:pPr>
            <w:r>
              <w:t>基本支出</w:t>
            </w:r>
          </w:p>
        </w:tc>
        <w:tc>
          <w:tcPr>
            <w:tcW w:w="2551" w:type="dxa"/>
            <w:vMerge w:val="restart"/>
            <w:vAlign w:val="center"/>
          </w:tcPr>
          <w:p w14:paraId="5B395A03">
            <w:pPr>
              <w:pStyle w:val="11"/>
            </w:pPr>
            <w:r>
              <w:t>项目支出</w:t>
            </w:r>
          </w:p>
        </w:tc>
      </w:tr>
      <w:tr w14:paraId="7FE53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060441"/>
        </w:tc>
        <w:tc>
          <w:tcPr>
            <w:tcW w:w="1191" w:type="dxa"/>
            <w:vAlign w:val="center"/>
          </w:tcPr>
          <w:p w14:paraId="3CB7932E">
            <w:pPr>
              <w:pStyle w:val="11"/>
            </w:pPr>
            <w:r>
              <w:t>科目编码</w:t>
            </w:r>
          </w:p>
        </w:tc>
        <w:tc>
          <w:tcPr>
            <w:tcW w:w="4535" w:type="dxa"/>
            <w:vAlign w:val="center"/>
          </w:tcPr>
          <w:p w14:paraId="59E1E73F">
            <w:pPr>
              <w:pStyle w:val="11"/>
            </w:pPr>
            <w:r>
              <w:t>科目名称</w:t>
            </w:r>
          </w:p>
        </w:tc>
        <w:tc>
          <w:tcPr>
            <w:tcW w:w="2551" w:type="dxa"/>
            <w:vMerge w:val="continue"/>
          </w:tcPr>
          <w:p w14:paraId="3F559933"/>
        </w:tc>
        <w:tc>
          <w:tcPr>
            <w:tcW w:w="2551" w:type="dxa"/>
            <w:vMerge w:val="continue"/>
          </w:tcPr>
          <w:p w14:paraId="4C9A38AA"/>
        </w:tc>
        <w:tc>
          <w:tcPr>
            <w:tcW w:w="2551" w:type="dxa"/>
            <w:vMerge w:val="continue"/>
          </w:tcPr>
          <w:p w14:paraId="2757E46D"/>
        </w:tc>
      </w:tr>
      <w:tr w14:paraId="41A22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FAAFF9">
            <w:pPr>
              <w:pStyle w:val="11"/>
            </w:pPr>
            <w:r>
              <w:t>栏次</w:t>
            </w:r>
          </w:p>
        </w:tc>
        <w:tc>
          <w:tcPr>
            <w:tcW w:w="1191" w:type="dxa"/>
            <w:vAlign w:val="center"/>
          </w:tcPr>
          <w:p w14:paraId="1DD3E608">
            <w:pPr>
              <w:pStyle w:val="11"/>
            </w:pPr>
            <w:r>
              <w:t>1</w:t>
            </w:r>
          </w:p>
        </w:tc>
        <w:tc>
          <w:tcPr>
            <w:tcW w:w="4535" w:type="dxa"/>
            <w:vAlign w:val="center"/>
          </w:tcPr>
          <w:p w14:paraId="59748ABF">
            <w:pPr>
              <w:pStyle w:val="11"/>
            </w:pPr>
            <w:r>
              <w:t>2</w:t>
            </w:r>
          </w:p>
        </w:tc>
        <w:tc>
          <w:tcPr>
            <w:tcW w:w="2551" w:type="dxa"/>
            <w:vAlign w:val="center"/>
          </w:tcPr>
          <w:p w14:paraId="0997A1C7">
            <w:pPr>
              <w:pStyle w:val="11"/>
            </w:pPr>
            <w:r>
              <w:t>3</w:t>
            </w:r>
          </w:p>
        </w:tc>
        <w:tc>
          <w:tcPr>
            <w:tcW w:w="2551" w:type="dxa"/>
            <w:vAlign w:val="center"/>
          </w:tcPr>
          <w:p w14:paraId="68B4F420">
            <w:pPr>
              <w:pStyle w:val="11"/>
            </w:pPr>
            <w:r>
              <w:t>4</w:t>
            </w:r>
          </w:p>
        </w:tc>
        <w:tc>
          <w:tcPr>
            <w:tcW w:w="2551" w:type="dxa"/>
            <w:vAlign w:val="center"/>
          </w:tcPr>
          <w:p w14:paraId="4AF9DEAD">
            <w:pPr>
              <w:pStyle w:val="11"/>
            </w:pPr>
            <w:r>
              <w:t>5</w:t>
            </w:r>
          </w:p>
        </w:tc>
      </w:tr>
      <w:tr w14:paraId="4664E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D18C0">
            <w:pPr>
              <w:pStyle w:val="12"/>
            </w:pPr>
            <w:r>
              <w:t>1</w:t>
            </w:r>
          </w:p>
        </w:tc>
        <w:tc>
          <w:tcPr>
            <w:tcW w:w="1191" w:type="dxa"/>
            <w:vAlign w:val="center"/>
          </w:tcPr>
          <w:p w14:paraId="63F7E1AE">
            <w:pPr>
              <w:pStyle w:val="17"/>
            </w:pPr>
          </w:p>
        </w:tc>
        <w:tc>
          <w:tcPr>
            <w:tcW w:w="4535" w:type="dxa"/>
            <w:vAlign w:val="center"/>
          </w:tcPr>
          <w:p w14:paraId="5C72D719">
            <w:pPr>
              <w:pStyle w:val="15"/>
            </w:pPr>
            <w:r>
              <w:t>合计</w:t>
            </w:r>
          </w:p>
        </w:tc>
        <w:tc>
          <w:tcPr>
            <w:tcW w:w="2551" w:type="dxa"/>
            <w:vAlign w:val="center"/>
          </w:tcPr>
          <w:p w14:paraId="6762F14C">
            <w:pPr>
              <w:pStyle w:val="16"/>
            </w:pPr>
            <w:r>
              <w:t>2463.90</w:t>
            </w:r>
          </w:p>
        </w:tc>
        <w:tc>
          <w:tcPr>
            <w:tcW w:w="2551" w:type="dxa"/>
            <w:vAlign w:val="center"/>
          </w:tcPr>
          <w:p w14:paraId="1A3373F0">
            <w:pPr>
              <w:pStyle w:val="16"/>
            </w:pPr>
            <w:r>
              <w:t>1627.57</w:t>
            </w:r>
          </w:p>
        </w:tc>
        <w:tc>
          <w:tcPr>
            <w:tcW w:w="2551" w:type="dxa"/>
            <w:vAlign w:val="center"/>
          </w:tcPr>
          <w:p w14:paraId="63623C04">
            <w:pPr>
              <w:pStyle w:val="16"/>
            </w:pPr>
            <w:r>
              <w:t>836.33</w:t>
            </w:r>
          </w:p>
        </w:tc>
      </w:tr>
      <w:tr w14:paraId="62EBC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B3AE3">
            <w:pPr>
              <w:pStyle w:val="12"/>
            </w:pPr>
            <w:r>
              <w:t>2</w:t>
            </w:r>
          </w:p>
        </w:tc>
        <w:tc>
          <w:tcPr>
            <w:tcW w:w="1191" w:type="dxa"/>
            <w:vAlign w:val="center"/>
          </w:tcPr>
          <w:p w14:paraId="6670183F">
            <w:pPr>
              <w:pStyle w:val="13"/>
            </w:pPr>
            <w:r>
              <w:t>205</w:t>
            </w:r>
          </w:p>
        </w:tc>
        <w:tc>
          <w:tcPr>
            <w:tcW w:w="4535" w:type="dxa"/>
            <w:vAlign w:val="center"/>
          </w:tcPr>
          <w:p w14:paraId="3BA8B28D">
            <w:pPr>
              <w:pStyle w:val="13"/>
            </w:pPr>
            <w:r>
              <w:t>教育支出</w:t>
            </w:r>
          </w:p>
        </w:tc>
        <w:tc>
          <w:tcPr>
            <w:tcW w:w="2551" w:type="dxa"/>
            <w:vAlign w:val="center"/>
          </w:tcPr>
          <w:p w14:paraId="46D10836">
            <w:pPr>
              <w:pStyle w:val="14"/>
            </w:pPr>
            <w:r>
              <w:t>2463.90</w:t>
            </w:r>
          </w:p>
        </w:tc>
        <w:tc>
          <w:tcPr>
            <w:tcW w:w="2551" w:type="dxa"/>
            <w:vAlign w:val="center"/>
          </w:tcPr>
          <w:p w14:paraId="5FEB045A">
            <w:pPr>
              <w:pStyle w:val="14"/>
            </w:pPr>
            <w:r>
              <w:t>1627.57</w:t>
            </w:r>
          </w:p>
        </w:tc>
        <w:tc>
          <w:tcPr>
            <w:tcW w:w="2551" w:type="dxa"/>
            <w:vAlign w:val="center"/>
          </w:tcPr>
          <w:p w14:paraId="7625C0D6">
            <w:pPr>
              <w:pStyle w:val="14"/>
            </w:pPr>
            <w:r>
              <w:t>836.33</w:t>
            </w:r>
          </w:p>
        </w:tc>
      </w:tr>
      <w:tr w14:paraId="30A50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F6682">
            <w:pPr>
              <w:pStyle w:val="12"/>
            </w:pPr>
            <w:r>
              <w:t>3</w:t>
            </w:r>
          </w:p>
        </w:tc>
        <w:tc>
          <w:tcPr>
            <w:tcW w:w="1191" w:type="dxa"/>
            <w:vAlign w:val="center"/>
          </w:tcPr>
          <w:p w14:paraId="11C4271C">
            <w:pPr>
              <w:pStyle w:val="13"/>
            </w:pPr>
            <w:r>
              <w:t>20502</w:t>
            </w:r>
          </w:p>
        </w:tc>
        <w:tc>
          <w:tcPr>
            <w:tcW w:w="4535" w:type="dxa"/>
            <w:vAlign w:val="center"/>
          </w:tcPr>
          <w:p w14:paraId="6F581C57">
            <w:pPr>
              <w:pStyle w:val="13"/>
            </w:pPr>
            <w:r>
              <w:t>普通教育</w:t>
            </w:r>
          </w:p>
        </w:tc>
        <w:tc>
          <w:tcPr>
            <w:tcW w:w="2551" w:type="dxa"/>
            <w:vAlign w:val="center"/>
          </w:tcPr>
          <w:p w14:paraId="565FBDE9">
            <w:pPr>
              <w:pStyle w:val="14"/>
            </w:pPr>
            <w:r>
              <w:t>2463.90</w:t>
            </w:r>
          </w:p>
        </w:tc>
        <w:tc>
          <w:tcPr>
            <w:tcW w:w="2551" w:type="dxa"/>
            <w:vAlign w:val="center"/>
          </w:tcPr>
          <w:p w14:paraId="4300AC4C">
            <w:pPr>
              <w:pStyle w:val="14"/>
            </w:pPr>
            <w:r>
              <w:t>1627.57</w:t>
            </w:r>
          </w:p>
        </w:tc>
        <w:tc>
          <w:tcPr>
            <w:tcW w:w="2551" w:type="dxa"/>
            <w:vAlign w:val="center"/>
          </w:tcPr>
          <w:p w14:paraId="7C5AE876">
            <w:pPr>
              <w:pStyle w:val="14"/>
            </w:pPr>
            <w:r>
              <w:t>836.33</w:t>
            </w:r>
          </w:p>
        </w:tc>
      </w:tr>
      <w:tr w14:paraId="2C16C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E2BB6">
            <w:pPr>
              <w:pStyle w:val="12"/>
            </w:pPr>
            <w:r>
              <w:t>4</w:t>
            </w:r>
          </w:p>
        </w:tc>
        <w:tc>
          <w:tcPr>
            <w:tcW w:w="1191" w:type="dxa"/>
            <w:vAlign w:val="center"/>
          </w:tcPr>
          <w:p w14:paraId="2A834F60">
            <w:pPr>
              <w:pStyle w:val="13"/>
            </w:pPr>
            <w:r>
              <w:t>2050201</w:t>
            </w:r>
          </w:p>
        </w:tc>
        <w:tc>
          <w:tcPr>
            <w:tcW w:w="4535" w:type="dxa"/>
            <w:vAlign w:val="center"/>
          </w:tcPr>
          <w:p w14:paraId="0ABE0105">
            <w:pPr>
              <w:pStyle w:val="13"/>
            </w:pPr>
            <w:r>
              <w:t>学前教育</w:t>
            </w:r>
          </w:p>
        </w:tc>
        <w:tc>
          <w:tcPr>
            <w:tcW w:w="2551" w:type="dxa"/>
            <w:vAlign w:val="center"/>
          </w:tcPr>
          <w:p w14:paraId="6BF62416">
            <w:pPr>
              <w:pStyle w:val="14"/>
            </w:pPr>
            <w:r>
              <w:t>204.55</w:t>
            </w:r>
          </w:p>
        </w:tc>
        <w:tc>
          <w:tcPr>
            <w:tcW w:w="2551" w:type="dxa"/>
            <w:vAlign w:val="center"/>
          </w:tcPr>
          <w:p w14:paraId="146E9AF7">
            <w:pPr>
              <w:pStyle w:val="14"/>
            </w:pPr>
          </w:p>
        </w:tc>
        <w:tc>
          <w:tcPr>
            <w:tcW w:w="2551" w:type="dxa"/>
            <w:vAlign w:val="center"/>
          </w:tcPr>
          <w:p w14:paraId="439221EE">
            <w:pPr>
              <w:pStyle w:val="14"/>
            </w:pPr>
            <w:r>
              <w:t>204.55</w:t>
            </w:r>
          </w:p>
        </w:tc>
      </w:tr>
      <w:tr w14:paraId="5A1C3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7881D">
            <w:pPr>
              <w:pStyle w:val="12"/>
            </w:pPr>
            <w:r>
              <w:t>5</w:t>
            </w:r>
          </w:p>
        </w:tc>
        <w:tc>
          <w:tcPr>
            <w:tcW w:w="1191" w:type="dxa"/>
            <w:vAlign w:val="center"/>
          </w:tcPr>
          <w:p w14:paraId="6938774E">
            <w:pPr>
              <w:pStyle w:val="13"/>
            </w:pPr>
            <w:r>
              <w:t>2050202</w:t>
            </w:r>
          </w:p>
        </w:tc>
        <w:tc>
          <w:tcPr>
            <w:tcW w:w="4535" w:type="dxa"/>
            <w:vAlign w:val="center"/>
          </w:tcPr>
          <w:p w14:paraId="5550F3B8">
            <w:pPr>
              <w:pStyle w:val="13"/>
            </w:pPr>
            <w:r>
              <w:t>小学教育</w:t>
            </w:r>
          </w:p>
        </w:tc>
        <w:tc>
          <w:tcPr>
            <w:tcW w:w="2551" w:type="dxa"/>
            <w:vAlign w:val="center"/>
          </w:tcPr>
          <w:p w14:paraId="01A3CDC2">
            <w:pPr>
              <w:pStyle w:val="14"/>
            </w:pPr>
            <w:r>
              <w:t>2259.35</w:t>
            </w:r>
          </w:p>
        </w:tc>
        <w:tc>
          <w:tcPr>
            <w:tcW w:w="2551" w:type="dxa"/>
            <w:vAlign w:val="center"/>
          </w:tcPr>
          <w:p w14:paraId="00A8FD99">
            <w:pPr>
              <w:pStyle w:val="14"/>
            </w:pPr>
            <w:r>
              <w:t>1627.57</w:t>
            </w:r>
          </w:p>
        </w:tc>
        <w:tc>
          <w:tcPr>
            <w:tcW w:w="2551" w:type="dxa"/>
            <w:vAlign w:val="center"/>
          </w:tcPr>
          <w:p w14:paraId="6BDA1334">
            <w:pPr>
              <w:pStyle w:val="14"/>
            </w:pPr>
            <w:r>
              <w:t>631.78</w:t>
            </w:r>
          </w:p>
        </w:tc>
      </w:tr>
    </w:tbl>
    <w:p w14:paraId="05546578">
      <w:pPr>
        <w:sectPr>
          <w:pgSz w:w="16840" w:h="11900" w:orient="landscape"/>
          <w:pgMar w:top="1361" w:right="1020" w:bottom="1134" w:left="1020" w:header="720" w:footer="720" w:gutter="0"/>
          <w:cols w:space="720" w:num="1"/>
        </w:sectPr>
      </w:pPr>
    </w:p>
    <w:p w14:paraId="7E47A5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CC4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CCDFCD">
            <w:pPr>
              <w:pStyle w:val="8"/>
            </w:pPr>
            <w:r>
              <w:t>360020隆尧县双碑校区</w:t>
            </w:r>
          </w:p>
        </w:tc>
        <w:tc>
          <w:tcPr>
            <w:tcW w:w="2551" w:type="dxa"/>
            <w:tcBorders>
              <w:top w:val="single" w:color="FFFFFF" w:sz="6" w:space="0"/>
              <w:left w:val="single" w:color="FFFFFF" w:sz="6" w:space="0"/>
              <w:right w:val="single" w:color="FFFFFF" w:sz="6" w:space="0"/>
            </w:tcBorders>
            <w:vAlign w:val="center"/>
          </w:tcPr>
          <w:p w14:paraId="716D73A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3580E61">
            <w:pPr>
              <w:pStyle w:val="10"/>
            </w:pPr>
            <w:r>
              <w:t>单位：万元</w:t>
            </w:r>
          </w:p>
        </w:tc>
      </w:tr>
      <w:tr w14:paraId="2761C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27EA4">
            <w:pPr>
              <w:pStyle w:val="11"/>
            </w:pPr>
            <w:r>
              <w:t>序号</w:t>
            </w:r>
          </w:p>
        </w:tc>
        <w:tc>
          <w:tcPr>
            <w:tcW w:w="5726" w:type="dxa"/>
            <w:gridSpan w:val="2"/>
            <w:vAlign w:val="center"/>
          </w:tcPr>
          <w:p w14:paraId="7A19FBA1">
            <w:pPr>
              <w:pStyle w:val="11"/>
            </w:pPr>
            <w:r>
              <w:t>支出部门经济分类科目</w:t>
            </w:r>
          </w:p>
        </w:tc>
        <w:tc>
          <w:tcPr>
            <w:tcW w:w="7653" w:type="dxa"/>
            <w:gridSpan w:val="3"/>
            <w:vAlign w:val="center"/>
          </w:tcPr>
          <w:p w14:paraId="41369B7B">
            <w:pPr>
              <w:pStyle w:val="11"/>
            </w:pPr>
            <w:r>
              <w:t>一般公共预算基本支出</w:t>
            </w:r>
          </w:p>
        </w:tc>
      </w:tr>
      <w:tr w14:paraId="2D0C5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F58A3E"/>
        </w:tc>
        <w:tc>
          <w:tcPr>
            <w:tcW w:w="1191" w:type="dxa"/>
            <w:vAlign w:val="center"/>
          </w:tcPr>
          <w:p w14:paraId="3B02E439">
            <w:pPr>
              <w:pStyle w:val="11"/>
            </w:pPr>
            <w:r>
              <w:t>科目编码</w:t>
            </w:r>
          </w:p>
        </w:tc>
        <w:tc>
          <w:tcPr>
            <w:tcW w:w="4535" w:type="dxa"/>
            <w:vAlign w:val="center"/>
          </w:tcPr>
          <w:p w14:paraId="374E94CC">
            <w:pPr>
              <w:pStyle w:val="11"/>
            </w:pPr>
            <w:r>
              <w:t>科目名称</w:t>
            </w:r>
          </w:p>
        </w:tc>
        <w:tc>
          <w:tcPr>
            <w:tcW w:w="2551" w:type="dxa"/>
            <w:vAlign w:val="center"/>
          </w:tcPr>
          <w:p w14:paraId="24B61FB1">
            <w:pPr>
              <w:pStyle w:val="11"/>
            </w:pPr>
            <w:r>
              <w:t>合计</w:t>
            </w:r>
          </w:p>
        </w:tc>
        <w:tc>
          <w:tcPr>
            <w:tcW w:w="2551" w:type="dxa"/>
            <w:vAlign w:val="center"/>
          </w:tcPr>
          <w:p w14:paraId="7BD8808F">
            <w:pPr>
              <w:pStyle w:val="11"/>
            </w:pPr>
            <w:r>
              <w:t>人员经费</w:t>
            </w:r>
          </w:p>
        </w:tc>
        <w:tc>
          <w:tcPr>
            <w:tcW w:w="2551" w:type="dxa"/>
            <w:vAlign w:val="center"/>
          </w:tcPr>
          <w:p w14:paraId="043A76EA">
            <w:pPr>
              <w:pStyle w:val="11"/>
            </w:pPr>
            <w:r>
              <w:t>公用经费</w:t>
            </w:r>
          </w:p>
        </w:tc>
      </w:tr>
      <w:tr w14:paraId="1D4B7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A643D0">
            <w:pPr>
              <w:pStyle w:val="11"/>
            </w:pPr>
            <w:r>
              <w:t>栏次</w:t>
            </w:r>
          </w:p>
        </w:tc>
        <w:tc>
          <w:tcPr>
            <w:tcW w:w="1191" w:type="dxa"/>
            <w:vAlign w:val="center"/>
          </w:tcPr>
          <w:p w14:paraId="42F57E3B">
            <w:pPr>
              <w:pStyle w:val="11"/>
            </w:pPr>
            <w:r>
              <w:t>1</w:t>
            </w:r>
          </w:p>
        </w:tc>
        <w:tc>
          <w:tcPr>
            <w:tcW w:w="4535" w:type="dxa"/>
            <w:vAlign w:val="center"/>
          </w:tcPr>
          <w:p w14:paraId="4A68AF98">
            <w:pPr>
              <w:pStyle w:val="11"/>
            </w:pPr>
            <w:r>
              <w:t>2</w:t>
            </w:r>
          </w:p>
        </w:tc>
        <w:tc>
          <w:tcPr>
            <w:tcW w:w="2551" w:type="dxa"/>
            <w:vAlign w:val="center"/>
          </w:tcPr>
          <w:p w14:paraId="4C46026C">
            <w:pPr>
              <w:pStyle w:val="11"/>
            </w:pPr>
            <w:r>
              <w:t>3</w:t>
            </w:r>
          </w:p>
        </w:tc>
        <w:tc>
          <w:tcPr>
            <w:tcW w:w="2551" w:type="dxa"/>
            <w:vAlign w:val="center"/>
          </w:tcPr>
          <w:p w14:paraId="38335101">
            <w:pPr>
              <w:pStyle w:val="11"/>
            </w:pPr>
            <w:r>
              <w:t>4</w:t>
            </w:r>
          </w:p>
        </w:tc>
        <w:tc>
          <w:tcPr>
            <w:tcW w:w="2551" w:type="dxa"/>
            <w:vAlign w:val="center"/>
          </w:tcPr>
          <w:p w14:paraId="7E09A0D9">
            <w:pPr>
              <w:pStyle w:val="11"/>
            </w:pPr>
            <w:r>
              <w:t>5</w:t>
            </w:r>
          </w:p>
        </w:tc>
      </w:tr>
      <w:tr w14:paraId="2D276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931B7">
            <w:pPr>
              <w:pStyle w:val="12"/>
            </w:pPr>
            <w:r>
              <w:t>1</w:t>
            </w:r>
          </w:p>
        </w:tc>
        <w:tc>
          <w:tcPr>
            <w:tcW w:w="1191" w:type="dxa"/>
            <w:vAlign w:val="center"/>
          </w:tcPr>
          <w:p w14:paraId="4675CA4C">
            <w:pPr>
              <w:pStyle w:val="17"/>
            </w:pPr>
          </w:p>
        </w:tc>
        <w:tc>
          <w:tcPr>
            <w:tcW w:w="4535" w:type="dxa"/>
            <w:vAlign w:val="center"/>
          </w:tcPr>
          <w:p w14:paraId="3533E44B">
            <w:pPr>
              <w:pStyle w:val="15"/>
            </w:pPr>
            <w:r>
              <w:t>合计</w:t>
            </w:r>
          </w:p>
        </w:tc>
        <w:tc>
          <w:tcPr>
            <w:tcW w:w="2551" w:type="dxa"/>
            <w:vAlign w:val="center"/>
          </w:tcPr>
          <w:p w14:paraId="3F1A98C4">
            <w:pPr>
              <w:pStyle w:val="16"/>
            </w:pPr>
            <w:r>
              <w:t>1627.57</w:t>
            </w:r>
          </w:p>
        </w:tc>
        <w:tc>
          <w:tcPr>
            <w:tcW w:w="2551" w:type="dxa"/>
            <w:vAlign w:val="center"/>
          </w:tcPr>
          <w:p w14:paraId="461EAB8F">
            <w:pPr>
              <w:pStyle w:val="16"/>
            </w:pPr>
            <w:r>
              <w:t>1627.57</w:t>
            </w:r>
          </w:p>
        </w:tc>
        <w:tc>
          <w:tcPr>
            <w:tcW w:w="2551" w:type="dxa"/>
            <w:vAlign w:val="center"/>
          </w:tcPr>
          <w:p w14:paraId="4285404C">
            <w:pPr>
              <w:pStyle w:val="16"/>
            </w:pPr>
          </w:p>
        </w:tc>
      </w:tr>
      <w:tr w14:paraId="391AA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9CD3B">
            <w:pPr>
              <w:pStyle w:val="12"/>
            </w:pPr>
            <w:r>
              <w:t>2</w:t>
            </w:r>
          </w:p>
        </w:tc>
        <w:tc>
          <w:tcPr>
            <w:tcW w:w="1191" w:type="dxa"/>
            <w:vAlign w:val="center"/>
          </w:tcPr>
          <w:p w14:paraId="05CAD479">
            <w:pPr>
              <w:pStyle w:val="13"/>
            </w:pPr>
            <w:r>
              <w:t>301</w:t>
            </w:r>
          </w:p>
        </w:tc>
        <w:tc>
          <w:tcPr>
            <w:tcW w:w="4535" w:type="dxa"/>
            <w:vAlign w:val="center"/>
          </w:tcPr>
          <w:p w14:paraId="2622C369">
            <w:pPr>
              <w:pStyle w:val="13"/>
            </w:pPr>
            <w:r>
              <w:t>工资福利支出</w:t>
            </w:r>
          </w:p>
        </w:tc>
        <w:tc>
          <w:tcPr>
            <w:tcW w:w="2551" w:type="dxa"/>
            <w:vAlign w:val="center"/>
          </w:tcPr>
          <w:p w14:paraId="141732D7">
            <w:pPr>
              <w:pStyle w:val="14"/>
            </w:pPr>
            <w:r>
              <w:t>1525.81</w:t>
            </w:r>
          </w:p>
        </w:tc>
        <w:tc>
          <w:tcPr>
            <w:tcW w:w="2551" w:type="dxa"/>
            <w:vAlign w:val="center"/>
          </w:tcPr>
          <w:p w14:paraId="2BD62374">
            <w:pPr>
              <w:pStyle w:val="14"/>
            </w:pPr>
            <w:r>
              <w:t>1525.81</w:t>
            </w:r>
          </w:p>
        </w:tc>
        <w:tc>
          <w:tcPr>
            <w:tcW w:w="2551" w:type="dxa"/>
            <w:vAlign w:val="center"/>
          </w:tcPr>
          <w:p w14:paraId="4AFD6B46">
            <w:pPr>
              <w:pStyle w:val="14"/>
            </w:pPr>
          </w:p>
        </w:tc>
      </w:tr>
      <w:tr w14:paraId="7595C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02682">
            <w:pPr>
              <w:pStyle w:val="12"/>
            </w:pPr>
            <w:r>
              <w:t>3</w:t>
            </w:r>
          </w:p>
        </w:tc>
        <w:tc>
          <w:tcPr>
            <w:tcW w:w="1191" w:type="dxa"/>
            <w:vAlign w:val="center"/>
          </w:tcPr>
          <w:p w14:paraId="139CB6FB">
            <w:pPr>
              <w:pStyle w:val="13"/>
            </w:pPr>
            <w:r>
              <w:t>30101</w:t>
            </w:r>
          </w:p>
        </w:tc>
        <w:tc>
          <w:tcPr>
            <w:tcW w:w="4535" w:type="dxa"/>
            <w:vAlign w:val="center"/>
          </w:tcPr>
          <w:p w14:paraId="476DDF02">
            <w:pPr>
              <w:pStyle w:val="13"/>
            </w:pPr>
            <w:r>
              <w:t>基本工资</w:t>
            </w:r>
          </w:p>
        </w:tc>
        <w:tc>
          <w:tcPr>
            <w:tcW w:w="2551" w:type="dxa"/>
            <w:vAlign w:val="center"/>
          </w:tcPr>
          <w:p w14:paraId="794449C1">
            <w:pPr>
              <w:pStyle w:val="14"/>
            </w:pPr>
            <w:r>
              <w:t>691.16</w:t>
            </w:r>
          </w:p>
        </w:tc>
        <w:tc>
          <w:tcPr>
            <w:tcW w:w="2551" w:type="dxa"/>
            <w:vAlign w:val="center"/>
          </w:tcPr>
          <w:p w14:paraId="636874F6">
            <w:pPr>
              <w:pStyle w:val="14"/>
            </w:pPr>
            <w:r>
              <w:t>691.16</w:t>
            </w:r>
          </w:p>
        </w:tc>
        <w:tc>
          <w:tcPr>
            <w:tcW w:w="2551" w:type="dxa"/>
            <w:vAlign w:val="center"/>
          </w:tcPr>
          <w:p w14:paraId="1E66E2EE">
            <w:pPr>
              <w:pStyle w:val="14"/>
            </w:pPr>
          </w:p>
        </w:tc>
      </w:tr>
      <w:tr w14:paraId="27DB1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EB6F3">
            <w:pPr>
              <w:pStyle w:val="12"/>
            </w:pPr>
            <w:r>
              <w:t>4</w:t>
            </w:r>
          </w:p>
        </w:tc>
        <w:tc>
          <w:tcPr>
            <w:tcW w:w="1191" w:type="dxa"/>
            <w:vAlign w:val="center"/>
          </w:tcPr>
          <w:p w14:paraId="5F9BF40F">
            <w:pPr>
              <w:pStyle w:val="13"/>
            </w:pPr>
            <w:r>
              <w:t>30102</w:t>
            </w:r>
          </w:p>
        </w:tc>
        <w:tc>
          <w:tcPr>
            <w:tcW w:w="4535" w:type="dxa"/>
            <w:vAlign w:val="center"/>
          </w:tcPr>
          <w:p w14:paraId="2201EC15">
            <w:pPr>
              <w:pStyle w:val="13"/>
            </w:pPr>
            <w:r>
              <w:t>津贴补贴</w:t>
            </w:r>
          </w:p>
        </w:tc>
        <w:tc>
          <w:tcPr>
            <w:tcW w:w="2551" w:type="dxa"/>
            <w:vAlign w:val="center"/>
          </w:tcPr>
          <w:p w14:paraId="49612EB7">
            <w:pPr>
              <w:pStyle w:val="14"/>
            </w:pPr>
            <w:r>
              <w:t>66.23</w:t>
            </w:r>
          </w:p>
        </w:tc>
        <w:tc>
          <w:tcPr>
            <w:tcW w:w="2551" w:type="dxa"/>
            <w:vAlign w:val="center"/>
          </w:tcPr>
          <w:p w14:paraId="7178A23A">
            <w:pPr>
              <w:pStyle w:val="14"/>
            </w:pPr>
            <w:r>
              <w:t>66.23</w:t>
            </w:r>
          </w:p>
        </w:tc>
        <w:tc>
          <w:tcPr>
            <w:tcW w:w="2551" w:type="dxa"/>
            <w:vAlign w:val="center"/>
          </w:tcPr>
          <w:p w14:paraId="1B7DB687">
            <w:pPr>
              <w:pStyle w:val="14"/>
            </w:pPr>
          </w:p>
        </w:tc>
      </w:tr>
      <w:tr w14:paraId="3B1FA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57E96">
            <w:pPr>
              <w:pStyle w:val="12"/>
            </w:pPr>
            <w:r>
              <w:t>5</w:t>
            </w:r>
          </w:p>
        </w:tc>
        <w:tc>
          <w:tcPr>
            <w:tcW w:w="1191" w:type="dxa"/>
            <w:vAlign w:val="center"/>
          </w:tcPr>
          <w:p w14:paraId="00563FE7">
            <w:pPr>
              <w:pStyle w:val="13"/>
            </w:pPr>
            <w:r>
              <w:t>30107</w:t>
            </w:r>
          </w:p>
        </w:tc>
        <w:tc>
          <w:tcPr>
            <w:tcW w:w="4535" w:type="dxa"/>
            <w:vAlign w:val="center"/>
          </w:tcPr>
          <w:p w14:paraId="141FBE64">
            <w:pPr>
              <w:pStyle w:val="13"/>
            </w:pPr>
            <w:r>
              <w:t>绩效工资</w:t>
            </w:r>
          </w:p>
        </w:tc>
        <w:tc>
          <w:tcPr>
            <w:tcW w:w="2551" w:type="dxa"/>
            <w:vAlign w:val="center"/>
          </w:tcPr>
          <w:p w14:paraId="623A3155">
            <w:pPr>
              <w:pStyle w:val="14"/>
            </w:pPr>
            <w:r>
              <w:t>416.06</w:t>
            </w:r>
          </w:p>
        </w:tc>
        <w:tc>
          <w:tcPr>
            <w:tcW w:w="2551" w:type="dxa"/>
            <w:vAlign w:val="center"/>
          </w:tcPr>
          <w:p w14:paraId="287F5569">
            <w:pPr>
              <w:pStyle w:val="14"/>
            </w:pPr>
            <w:r>
              <w:t>416.06</w:t>
            </w:r>
          </w:p>
        </w:tc>
        <w:tc>
          <w:tcPr>
            <w:tcW w:w="2551" w:type="dxa"/>
            <w:vAlign w:val="center"/>
          </w:tcPr>
          <w:p w14:paraId="589A6A1C">
            <w:pPr>
              <w:pStyle w:val="14"/>
            </w:pPr>
          </w:p>
        </w:tc>
      </w:tr>
      <w:tr w14:paraId="41F32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7FC30">
            <w:pPr>
              <w:pStyle w:val="12"/>
            </w:pPr>
            <w:r>
              <w:t>6</w:t>
            </w:r>
          </w:p>
        </w:tc>
        <w:tc>
          <w:tcPr>
            <w:tcW w:w="1191" w:type="dxa"/>
            <w:vAlign w:val="center"/>
          </w:tcPr>
          <w:p w14:paraId="2209DF2D">
            <w:pPr>
              <w:pStyle w:val="13"/>
            </w:pPr>
            <w:r>
              <w:t>30108</w:t>
            </w:r>
          </w:p>
        </w:tc>
        <w:tc>
          <w:tcPr>
            <w:tcW w:w="4535" w:type="dxa"/>
            <w:vAlign w:val="center"/>
          </w:tcPr>
          <w:p w14:paraId="0791F853">
            <w:pPr>
              <w:pStyle w:val="13"/>
            </w:pPr>
            <w:r>
              <w:t>机关事业单位基本养老保险缴费</w:t>
            </w:r>
          </w:p>
        </w:tc>
        <w:tc>
          <w:tcPr>
            <w:tcW w:w="2551" w:type="dxa"/>
            <w:vAlign w:val="center"/>
          </w:tcPr>
          <w:p w14:paraId="7ACE76D1">
            <w:pPr>
              <w:pStyle w:val="14"/>
            </w:pPr>
            <w:r>
              <w:t>173.49</w:t>
            </w:r>
          </w:p>
        </w:tc>
        <w:tc>
          <w:tcPr>
            <w:tcW w:w="2551" w:type="dxa"/>
            <w:vAlign w:val="center"/>
          </w:tcPr>
          <w:p w14:paraId="30A4BBF9">
            <w:pPr>
              <w:pStyle w:val="14"/>
            </w:pPr>
            <w:r>
              <w:t>173.49</w:t>
            </w:r>
          </w:p>
        </w:tc>
        <w:tc>
          <w:tcPr>
            <w:tcW w:w="2551" w:type="dxa"/>
            <w:vAlign w:val="center"/>
          </w:tcPr>
          <w:p w14:paraId="5660B35A">
            <w:pPr>
              <w:pStyle w:val="14"/>
            </w:pPr>
          </w:p>
        </w:tc>
      </w:tr>
      <w:tr w14:paraId="62571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D99DD">
            <w:pPr>
              <w:pStyle w:val="12"/>
            </w:pPr>
            <w:r>
              <w:t>7</w:t>
            </w:r>
          </w:p>
        </w:tc>
        <w:tc>
          <w:tcPr>
            <w:tcW w:w="1191" w:type="dxa"/>
            <w:vAlign w:val="center"/>
          </w:tcPr>
          <w:p w14:paraId="712744BF">
            <w:pPr>
              <w:pStyle w:val="13"/>
            </w:pPr>
            <w:r>
              <w:t>30110</w:t>
            </w:r>
          </w:p>
        </w:tc>
        <w:tc>
          <w:tcPr>
            <w:tcW w:w="4535" w:type="dxa"/>
            <w:vAlign w:val="center"/>
          </w:tcPr>
          <w:p w14:paraId="676CE1D7">
            <w:pPr>
              <w:pStyle w:val="13"/>
            </w:pPr>
            <w:r>
              <w:t>职工基本医疗保险缴费</w:t>
            </w:r>
          </w:p>
        </w:tc>
        <w:tc>
          <w:tcPr>
            <w:tcW w:w="2551" w:type="dxa"/>
            <w:vAlign w:val="center"/>
          </w:tcPr>
          <w:p w14:paraId="2F5D4226">
            <w:pPr>
              <w:pStyle w:val="14"/>
            </w:pPr>
            <w:r>
              <w:t>66.47</w:t>
            </w:r>
          </w:p>
        </w:tc>
        <w:tc>
          <w:tcPr>
            <w:tcW w:w="2551" w:type="dxa"/>
            <w:vAlign w:val="center"/>
          </w:tcPr>
          <w:p w14:paraId="2A674366">
            <w:pPr>
              <w:pStyle w:val="14"/>
            </w:pPr>
            <w:r>
              <w:t>66.47</w:t>
            </w:r>
          </w:p>
        </w:tc>
        <w:tc>
          <w:tcPr>
            <w:tcW w:w="2551" w:type="dxa"/>
            <w:vAlign w:val="center"/>
          </w:tcPr>
          <w:p w14:paraId="77A04718">
            <w:pPr>
              <w:pStyle w:val="14"/>
            </w:pPr>
          </w:p>
        </w:tc>
      </w:tr>
      <w:tr w14:paraId="34C87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DD559">
            <w:pPr>
              <w:pStyle w:val="12"/>
            </w:pPr>
            <w:r>
              <w:t>8</w:t>
            </w:r>
          </w:p>
        </w:tc>
        <w:tc>
          <w:tcPr>
            <w:tcW w:w="1191" w:type="dxa"/>
            <w:vAlign w:val="center"/>
          </w:tcPr>
          <w:p w14:paraId="55881B42">
            <w:pPr>
              <w:pStyle w:val="13"/>
            </w:pPr>
            <w:r>
              <w:t>30112</w:t>
            </w:r>
          </w:p>
        </w:tc>
        <w:tc>
          <w:tcPr>
            <w:tcW w:w="4535" w:type="dxa"/>
            <w:vAlign w:val="center"/>
          </w:tcPr>
          <w:p w14:paraId="67519FC2">
            <w:pPr>
              <w:pStyle w:val="13"/>
            </w:pPr>
            <w:r>
              <w:t>其他社会保障缴费</w:t>
            </w:r>
          </w:p>
        </w:tc>
        <w:tc>
          <w:tcPr>
            <w:tcW w:w="2551" w:type="dxa"/>
            <w:vAlign w:val="center"/>
          </w:tcPr>
          <w:p w14:paraId="5350B741">
            <w:pPr>
              <w:pStyle w:val="14"/>
            </w:pPr>
            <w:r>
              <w:t>3.88</w:t>
            </w:r>
          </w:p>
        </w:tc>
        <w:tc>
          <w:tcPr>
            <w:tcW w:w="2551" w:type="dxa"/>
            <w:vAlign w:val="center"/>
          </w:tcPr>
          <w:p w14:paraId="1707DDF2">
            <w:pPr>
              <w:pStyle w:val="14"/>
            </w:pPr>
            <w:r>
              <w:t>3.88</w:t>
            </w:r>
          </w:p>
        </w:tc>
        <w:tc>
          <w:tcPr>
            <w:tcW w:w="2551" w:type="dxa"/>
            <w:vAlign w:val="center"/>
          </w:tcPr>
          <w:p w14:paraId="7E9B6BAE">
            <w:pPr>
              <w:pStyle w:val="14"/>
            </w:pPr>
          </w:p>
        </w:tc>
      </w:tr>
      <w:tr w14:paraId="6F0E3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4B3F2">
            <w:pPr>
              <w:pStyle w:val="12"/>
            </w:pPr>
            <w:r>
              <w:t>9</w:t>
            </w:r>
          </w:p>
        </w:tc>
        <w:tc>
          <w:tcPr>
            <w:tcW w:w="1191" w:type="dxa"/>
            <w:vAlign w:val="center"/>
          </w:tcPr>
          <w:p w14:paraId="1EE7D9EF">
            <w:pPr>
              <w:pStyle w:val="13"/>
            </w:pPr>
            <w:r>
              <w:t>30113</w:t>
            </w:r>
          </w:p>
        </w:tc>
        <w:tc>
          <w:tcPr>
            <w:tcW w:w="4535" w:type="dxa"/>
            <w:vAlign w:val="center"/>
          </w:tcPr>
          <w:p w14:paraId="19190453">
            <w:pPr>
              <w:pStyle w:val="13"/>
            </w:pPr>
            <w:r>
              <w:t>住房公积金</w:t>
            </w:r>
          </w:p>
        </w:tc>
        <w:tc>
          <w:tcPr>
            <w:tcW w:w="2551" w:type="dxa"/>
            <w:vAlign w:val="center"/>
          </w:tcPr>
          <w:p w14:paraId="6FBDC7A9">
            <w:pPr>
              <w:pStyle w:val="14"/>
            </w:pPr>
            <w:r>
              <w:t>108.53</w:t>
            </w:r>
          </w:p>
        </w:tc>
        <w:tc>
          <w:tcPr>
            <w:tcW w:w="2551" w:type="dxa"/>
            <w:vAlign w:val="center"/>
          </w:tcPr>
          <w:p w14:paraId="45FC8361">
            <w:pPr>
              <w:pStyle w:val="14"/>
            </w:pPr>
            <w:r>
              <w:t>108.53</w:t>
            </w:r>
          </w:p>
        </w:tc>
        <w:tc>
          <w:tcPr>
            <w:tcW w:w="2551" w:type="dxa"/>
            <w:vAlign w:val="center"/>
          </w:tcPr>
          <w:p w14:paraId="1B69C871">
            <w:pPr>
              <w:pStyle w:val="14"/>
            </w:pPr>
          </w:p>
        </w:tc>
      </w:tr>
      <w:tr w14:paraId="65188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E6713">
            <w:pPr>
              <w:pStyle w:val="12"/>
            </w:pPr>
            <w:r>
              <w:t>10</w:t>
            </w:r>
          </w:p>
        </w:tc>
        <w:tc>
          <w:tcPr>
            <w:tcW w:w="1191" w:type="dxa"/>
            <w:vAlign w:val="center"/>
          </w:tcPr>
          <w:p w14:paraId="68AD63A6">
            <w:pPr>
              <w:pStyle w:val="13"/>
            </w:pPr>
            <w:r>
              <w:t>303</w:t>
            </w:r>
          </w:p>
        </w:tc>
        <w:tc>
          <w:tcPr>
            <w:tcW w:w="4535" w:type="dxa"/>
            <w:vAlign w:val="center"/>
          </w:tcPr>
          <w:p w14:paraId="0F3C3CE7">
            <w:pPr>
              <w:pStyle w:val="13"/>
            </w:pPr>
            <w:r>
              <w:t>对个人和家庭的补助</w:t>
            </w:r>
          </w:p>
        </w:tc>
        <w:tc>
          <w:tcPr>
            <w:tcW w:w="2551" w:type="dxa"/>
            <w:vAlign w:val="center"/>
          </w:tcPr>
          <w:p w14:paraId="39175F64">
            <w:pPr>
              <w:pStyle w:val="14"/>
            </w:pPr>
            <w:r>
              <w:t>101.76</w:t>
            </w:r>
          </w:p>
        </w:tc>
        <w:tc>
          <w:tcPr>
            <w:tcW w:w="2551" w:type="dxa"/>
            <w:vAlign w:val="center"/>
          </w:tcPr>
          <w:p w14:paraId="13A197B0">
            <w:pPr>
              <w:pStyle w:val="14"/>
            </w:pPr>
            <w:r>
              <w:t>101.76</w:t>
            </w:r>
          </w:p>
        </w:tc>
        <w:tc>
          <w:tcPr>
            <w:tcW w:w="2551" w:type="dxa"/>
            <w:vAlign w:val="center"/>
          </w:tcPr>
          <w:p w14:paraId="5FF64D03">
            <w:pPr>
              <w:pStyle w:val="14"/>
            </w:pPr>
          </w:p>
        </w:tc>
      </w:tr>
      <w:tr w14:paraId="3EE45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1EB15">
            <w:pPr>
              <w:pStyle w:val="12"/>
            </w:pPr>
            <w:r>
              <w:t>11</w:t>
            </w:r>
          </w:p>
        </w:tc>
        <w:tc>
          <w:tcPr>
            <w:tcW w:w="1191" w:type="dxa"/>
            <w:vAlign w:val="center"/>
          </w:tcPr>
          <w:p w14:paraId="49759CE4">
            <w:pPr>
              <w:pStyle w:val="13"/>
            </w:pPr>
            <w:r>
              <w:t>30302</w:t>
            </w:r>
          </w:p>
        </w:tc>
        <w:tc>
          <w:tcPr>
            <w:tcW w:w="4535" w:type="dxa"/>
            <w:vAlign w:val="center"/>
          </w:tcPr>
          <w:p w14:paraId="4200E27C">
            <w:pPr>
              <w:pStyle w:val="13"/>
            </w:pPr>
            <w:r>
              <w:t>退休费</w:t>
            </w:r>
          </w:p>
        </w:tc>
        <w:tc>
          <w:tcPr>
            <w:tcW w:w="2551" w:type="dxa"/>
            <w:vAlign w:val="center"/>
          </w:tcPr>
          <w:p w14:paraId="4CF021E7">
            <w:pPr>
              <w:pStyle w:val="14"/>
            </w:pPr>
            <w:r>
              <w:t>96.36</w:t>
            </w:r>
          </w:p>
        </w:tc>
        <w:tc>
          <w:tcPr>
            <w:tcW w:w="2551" w:type="dxa"/>
            <w:vAlign w:val="center"/>
          </w:tcPr>
          <w:p w14:paraId="1E2D09E3">
            <w:pPr>
              <w:pStyle w:val="14"/>
            </w:pPr>
            <w:r>
              <w:t>96.36</w:t>
            </w:r>
          </w:p>
        </w:tc>
        <w:tc>
          <w:tcPr>
            <w:tcW w:w="2551" w:type="dxa"/>
            <w:vAlign w:val="center"/>
          </w:tcPr>
          <w:p w14:paraId="7F8C89CA">
            <w:pPr>
              <w:pStyle w:val="14"/>
            </w:pPr>
          </w:p>
        </w:tc>
      </w:tr>
      <w:tr w14:paraId="4A723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A8FED">
            <w:pPr>
              <w:pStyle w:val="12"/>
            </w:pPr>
            <w:r>
              <w:t>12</w:t>
            </w:r>
          </w:p>
        </w:tc>
        <w:tc>
          <w:tcPr>
            <w:tcW w:w="1191" w:type="dxa"/>
            <w:vAlign w:val="center"/>
          </w:tcPr>
          <w:p w14:paraId="36BFAB8C">
            <w:pPr>
              <w:pStyle w:val="13"/>
            </w:pPr>
            <w:r>
              <w:t>30305</w:t>
            </w:r>
          </w:p>
        </w:tc>
        <w:tc>
          <w:tcPr>
            <w:tcW w:w="4535" w:type="dxa"/>
            <w:vAlign w:val="center"/>
          </w:tcPr>
          <w:p w14:paraId="0B72BA81">
            <w:pPr>
              <w:pStyle w:val="13"/>
            </w:pPr>
            <w:r>
              <w:t>生活补助</w:t>
            </w:r>
          </w:p>
        </w:tc>
        <w:tc>
          <w:tcPr>
            <w:tcW w:w="2551" w:type="dxa"/>
            <w:vAlign w:val="center"/>
          </w:tcPr>
          <w:p w14:paraId="60C94ADC">
            <w:pPr>
              <w:pStyle w:val="14"/>
            </w:pPr>
            <w:r>
              <w:t>5.40</w:t>
            </w:r>
          </w:p>
        </w:tc>
        <w:tc>
          <w:tcPr>
            <w:tcW w:w="2551" w:type="dxa"/>
            <w:vAlign w:val="center"/>
          </w:tcPr>
          <w:p w14:paraId="23B4B74A">
            <w:pPr>
              <w:pStyle w:val="14"/>
            </w:pPr>
            <w:r>
              <w:t>5.40</w:t>
            </w:r>
          </w:p>
        </w:tc>
        <w:tc>
          <w:tcPr>
            <w:tcW w:w="2551" w:type="dxa"/>
            <w:vAlign w:val="center"/>
          </w:tcPr>
          <w:p w14:paraId="1EE16D79">
            <w:pPr>
              <w:pStyle w:val="14"/>
            </w:pPr>
          </w:p>
        </w:tc>
      </w:tr>
    </w:tbl>
    <w:p w14:paraId="2638234B">
      <w:pPr>
        <w:sectPr>
          <w:pgSz w:w="16840" w:h="11900" w:orient="landscape"/>
          <w:pgMar w:top="1361" w:right="1020" w:bottom="1134" w:left="1020" w:header="720" w:footer="720" w:gutter="0"/>
          <w:cols w:space="720" w:num="1"/>
        </w:sectPr>
      </w:pPr>
    </w:p>
    <w:p w14:paraId="1B06FD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908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BE35BF">
            <w:pPr>
              <w:pStyle w:val="8"/>
            </w:pPr>
            <w:r>
              <w:t>360020隆尧县双碑校区</w:t>
            </w:r>
          </w:p>
        </w:tc>
        <w:tc>
          <w:tcPr>
            <w:tcW w:w="2551" w:type="dxa"/>
            <w:tcBorders>
              <w:top w:val="single" w:color="FFFFFF" w:sz="6" w:space="0"/>
              <w:left w:val="single" w:color="FFFFFF" w:sz="6" w:space="0"/>
              <w:right w:val="single" w:color="FFFFFF" w:sz="6" w:space="0"/>
            </w:tcBorders>
            <w:vAlign w:val="center"/>
          </w:tcPr>
          <w:p w14:paraId="73359ED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5EDFB33">
            <w:pPr>
              <w:pStyle w:val="10"/>
            </w:pPr>
            <w:r>
              <w:t>单位：万元</w:t>
            </w:r>
          </w:p>
        </w:tc>
      </w:tr>
      <w:tr w14:paraId="34372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6683B">
            <w:pPr>
              <w:pStyle w:val="11"/>
            </w:pPr>
            <w:r>
              <w:t>序号</w:t>
            </w:r>
          </w:p>
        </w:tc>
        <w:tc>
          <w:tcPr>
            <w:tcW w:w="5726" w:type="dxa"/>
            <w:gridSpan w:val="2"/>
            <w:vAlign w:val="center"/>
          </w:tcPr>
          <w:p w14:paraId="6379E321">
            <w:pPr>
              <w:pStyle w:val="11"/>
            </w:pPr>
            <w:r>
              <w:t>功能分类科目</w:t>
            </w:r>
          </w:p>
        </w:tc>
        <w:tc>
          <w:tcPr>
            <w:tcW w:w="2551" w:type="dxa"/>
            <w:vMerge w:val="restart"/>
            <w:vAlign w:val="center"/>
          </w:tcPr>
          <w:p w14:paraId="4D679947">
            <w:pPr>
              <w:pStyle w:val="11"/>
            </w:pPr>
            <w:r>
              <w:t>合计</w:t>
            </w:r>
          </w:p>
        </w:tc>
        <w:tc>
          <w:tcPr>
            <w:tcW w:w="2551" w:type="dxa"/>
            <w:vMerge w:val="restart"/>
            <w:vAlign w:val="center"/>
          </w:tcPr>
          <w:p w14:paraId="1CF46C23">
            <w:pPr>
              <w:pStyle w:val="11"/>
            </w:pPr>
            <w:r>
              <w:t>基本支出</w:t>
            </w:r>
          </w:p>
        </w:tc>
        <w:tc>
          <w:tcPr>
            <w:tcW w:w="2551" w:type="dxa"/>
            <w:vMerge w:val="restart"/>
            <w:vAlign w:val="center"/>
          </w:tcPr>
          <w:p w14:paraId="73319A77">
            <w:pPr>
              <w:pStyle w:val="11"/>
            </w:pPr>
            <w:r>
              <w:t>项目支出</w:t>
            </w:r>
          </w:p>
        </w:tc>
      </w:tr>
      <w:tr w14:paraId="55ED7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429DA"/>
        </w:tc>
        <w:tc>
          <w:tcPr>
            <w:tcW w:w="1191" w:type="dxa"/>
            <w:vAlign w:val="center"/>
          </w:tcPr>
          <w:p w14:paraId="0D29D356">
            <w:pPr>
              <w:pStyle w:val="11"/>
            </w:pPr>
            <w:r>
              <w:t>科目编码</w:t>
            </w:r>
          </w:p>
        </w:tc>
        <w:tc>
          <w:tcPr>
            <w:tcW w:w="4535" w:type="dxa"/>
            <w:vAlign w:val="center"/>
          </w:tcPr>
          <w:p w14:paraId="77C55EC0">
            <w:pPr>
              <w:pStyle w:val="11"/>
            </w:pPr>
            <w:r>
              <w:t>科目名称</w:t>
            </w:r>
          </w:p>
        </w:tc>
        <w:tc>
          <w:tcPr>
            <w:tcW w:w="2551" w:type="dxa"/>
            <w:vMerge w:val="continue"/>
          </w:tcPr>
          <w:p w14:paraId="427283BF"/>
        </w:tc>
        <w:tc>
          <w:tcPr>
            <w:tcW w:w="2551" w:type="dxa"/>
            <w:vMerge w:val="continue"/>
          </w:tcPr>
          <w:p w14:paraId="6543440A"/>
        </w:tc>
        <w:tc>
          <w:tcPr>
            <w:tcW w:w="2551" w:type="dxa"/>
            <w:vMerge w:val="continue"/>
          </w:tcPr>
          <w:p w14:paraId="10D8B406"/>
        </w:tc>
      </w:tr>
      <w:tr w14:paraId="56980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964F15">
            <w:pPr>
              <w:pStyle w:val="11"/>
            </w:pPr>
            <w:r>
              <w:t>栏次</w:t>
            </w:r>
          </w:p>
        </w:tc>
        <w:tc>
          <w:tcPr>
            <w:tcW w:w="1191" w:type="dxa"/>
            <w:vAlign w:val="center"/>
          </w:tcPr>
          <w:p w14:paraId="304EDEDE">
            <w:pPr>
              <w:pStyle w:val="11"/>
            </w:pPr>
            <w:r>
              <w:t>1</w:t>
            </w:r>
          </w:p>
        </w:tc>
        <w:tc>
          <w:tcPr>
            <w:tcW w:w="4535" w:type="dxa"/>
            <w:vAlign w:val="center"/>
          </w:tcPr>
          <w:p w14:paraId="149D683C">
            <w:pPr>
              <w:pStyle w:val="11"/>
            </w:pPr>
            <w:r>
              <w:t>2</w:t>
            </w:r>
          </w:p>
        </w:tc>
        <w:tc>
          <w:tcPr>
            <w:tcW w:w="2551" w:type="dxa"/>
            <w:vAlign w:val="center"/>
          </w:tcPr>
          <w:p w14:paraId="3E97F51E">
            <w:pPr>
              <w:pStyle w:val="11"/>
            </w:pPr>
            <w:r>
              <w:t>3</w:t>
            </w:r>
          </w:p>
        </w:tc>
        <w:tc>
          <w:tcPr>
            <w:tcW w:w="2551" w:type="dxa"/>
            <w:vAlign w:val="center"/>
          </w:tcPr>
          <w:p w14:paraId="7FE9938F">
            <w:pPr>
              <w:pStyle w:val="11"/>
            </w:pPr>
            <w:r>
              <w:t>4</w:t>
            </w:r>
          </w:p>
        </w:tc>
        <w:tc>
          <w:tcPr>
            <w:tcW w:w="2551" w:type="dxa"/>
            <w:vAlign w:val="center"/>
          </w:tcPr>
          <w:p w14:paraId="037924D7">
            <w:pPr>
              <w:pStyle w:val="11"/>
            </w:pPr>
            <w:r>
              <w:t>5</w:t>
            </w:r>
          </w:p>
        </w:tc>
      </w:tr>
      <w:tr w14:paraId="60F3B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BB66A">
            <w:pPr>
              <w:pStyle w:val="12"/>
            </w:pPr>
          </w:p>
        </w:tc>
        <w:tc>
          <w:tcPr>
            <w:tcW w:w="1191" w:type="dxa"/>
            <w:vAlign w:val="center"/>
          </w:tcPr>
          <w:p w14:paraId="7915AC95">
            <w:pPr>
              <w:pStyle w:val="13"/>
            </w:pPr>
          </w:p>
        </w:tc>
        <w:tc>
          <w:tcPr>
            <w:tcW w:w="4535" w:type="dxa"/>
            <w:vAlign w:val="center"/>
          </w:tcPr>
          <w:p w14:paraId="2AE29B24">
            <w:pPr>
              <w:pStyle w:val="13"/>
            </w:pPr>
          </w:p>
        </w:tc>
        <w:tc>
          <w:tcPr>
            <w:tcW w:w="2551" w:type="dxa"/>
            <w:vAlign w:val="center"/>
          </w:tcPr>
          <w:p w14:paraId="7F68F5DC">
            <w:pPr>
              <w:pStyle w:val="14"/>
            </w:pPr>
          </w:p>
        </w:tc>
        <w:tc>
          <w:tcPr>
            <w:tcW w:w="2551" w:type="dxa"/>
            <w:vAlign w:val="center"/>
          </w:tcPr>
          <w:p w14:paraId="7F295D79">
            <w:pPr>
              <w:pStyle w:val="14"/>
            </w:pPr>
          </w:p>
        </w:tc>
        <w:tc>
          <w:tcPr>
            <w:tcW w:w="2551" w:type="dxa"/>
            <w:vAlign w:val="center"/>
          </w:tcPr>
          <w:p w14:paraId="4A62692E">
            <w:pPr>
              <w:pStyle w:val="14"/>
            </w:pPr>
          </w:p>
        </w:tc>
      </w:tr>
    </w:tbl>
    <w:p w14:paraId="4982C5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D86D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AB0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A61455">
            <w:pPr>
              <w:pStyle w:val="8"/>
            </w:pPr>
            <w:r>
              <w:t>360020隆尧县双碑校区</w:t>
            </w:r>
          </w:p>
        </w:tc>
        <w:tc>
          <w:tcPr>
            <w:tcW w:w="2551" w:type="dxa"/>
            <w:tcBorders>
              <w:top w:val="single" w:color="FFFFFF" w:sz="6" w:space="0"/>
              <w:left w:val="single" w:color="FFFFFF" w:sz="6" w:space="0"/>
              <w:right w:val="single" w:color="FFFFFF" w:sz="6" w:space="0"/>
            </w:tcBorders>
            <w:vAlign w:val="center"/>
          </w:tcPr>
          <w:p w14:paraId="7745870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6B7A84D">
            <w:pPr>
              <w:pStyle w:val="10"/>
            </w:pPr>
            <w:r>
              <w:t>单位：万元</w:t>
            </w:r>
          </w:p>
        </w:tc>
      </w:tr>
      <w:tr w14:paraId="167CB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4B482">
            <w:pPr>
              <w:pStyle w:val="11"/>
            </w:pPr>
            <w:r>
              <w:t>序号</w:t>
            </w:r>
          </w:p>
        </w:tc>
        <w:tc>
          <w:tcPr>
            <w:tcW w:w="5726" w:type="dxa"/>
            <w:gridSpan w:val="2"/>
            <w:vAlign w:val="center"/>
          </w:tcPr>
          <w:p w14:paraId="582DCB34">
            <w:pPr>
              <w:pStyle w:val="11"/>
            </w:pPr>
            <w:r>
              <w:t>功能分类科目</w:t>
            </w:r>
          </w:p>
        </w:tc>
        <w:tc>
          <w:tcPr>
            <w:tcW w:w="2551" w:type="dxa"/>
            <w:vMerge w:val="restart"/>
            <w:vAlign w:val="center"/>
          </w:tcPr>
          <w:p w14:paraId="55661C9D">
            <w:pPr>
              <w:pStyle w:val="11"/>
            </w:pPr>
            <w:r>
              <w:t>合计</w:t>
            </w:r>
          </w:p>
        </w:tc>
        <w:tc>
          <w:tcPr>
            <w:tcW w:w="2551" w:type="dxa"/>
            <w:vMerge w:val="restart"/>
            <w:vAlign w:val="center"/>
          </w:tcPr>
          <w:p w14:paraId="45A03807">
            <w:pPr>
              <w:pStyle w:val="11"/>
            </w:pPr>
            <w:r>
              <w:t>基本支出</w:t>
            </w:r>
          </w:p>
        </w:tc>
        <w:tc>
          <w:tcPr>
            <w:tcW w:w="2551" w:type="dxa"/>
            <w:vMerge w:val="restart"/>
            <w:vAlign w:val="center"/>
          </w:tcPr>
          <w:p w14:paraId="42D09804">
            <w:pPr>
              <w:pStyle w:val="11"/>
            </w:pPr>
            <w:r>
              <w:t>项目支出</w:t>
            </w:r>
          </w:p>
        </w:tc>
      </w:tr>
      <w:tr w14:paraId="59582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8C9716"/>
        </w:tc>
        <w:tc>
          <w:tcPr>
            <w:tcW w:w="1191" w:type="dxa"/>
            <w:vAlign w:val="center"/>
          </w:tcPr>
          <w:p w14:paraId="0063CFBD">
            <w:pPr>
              <w:pStyle w:val="11"/>
            </w:pPr>
            <w:r>
              <w:t>科目编码</w:t>
            </w:r>
          </w:p>
        </w:tc>
        <w:tc>
          <w:tcPr>
            <w:tcW w:w="4535" w:type="dxa"/>
            <w:vAlign w:val="center"/>
          </w:tcPr>
          <w:p w14:paraId="4A79119B">
            <w:pPr>
              <w:pStyle w:val="11"/>
            </w:pPr>
            <w:r>
              <w:t>科目名称</w:t>
            </w:r>
          </w:p>
        </w:tc>
        <w:tc>
          <w:tcPr>
            <w:tcW w:w="2551" w:type="dxa"/>
            <w:vMerge w:val="continue"/>
          </w:tcPr>
          <w:p w14:paraId="3F2BDF8F"/>
        </w:tc>
        <w:tc>
          <w:tcPr>
            <w:tcW w:w="2551" w:type="dxa"/>
            <w:vMerge w:val="continue"/>
          </w:tcPr>
          <w:p w14:paraId="52E741FD"/>
        </w:tc>
        <w:tc>
          <w:tcPr>
            <w:tcW w:w="2551" w:type="dxa"/>
            <w:vMerge w:val="continue"/>
          </w:tcPr>
          <w:p w14:paraId="2E60A294"/>
        </w:tc>
      </w:tr>
      <w:tr w14:paraId="20CDE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CC9B5">
            <w:pPr>
              <w:pStyle w:val="11"/>
            </w:pPr>
            <w:r>
              <w:t>栏次</w:t>
            </w:r>
          </w:p>
        </w:tc>
        <w:tc>
          <w:tcPr>
            <w:tcW w:w="1191" w:type="dxa"/>
            <w:vAlign w:val="center"/>
          </w:tcPr>
          <w:p w14:paraId="7324B149">
            <w:pPr>
              <w:pStyle w:val="11"/>
            </w:pPr>
            <w:r>
              <w:t>1</w:t>
            </w:r>
          </w:p>
        </w:tc>
        <w:tc>
          <w:tcPr>
            <w:tcW w:w="4535" w:type="dxa"/>
            <w:vAlign w:val="center"/>
          </w:tcPr>
          <w:p w14:paraId="749ED2BE">
            <w:pPr>
              <w:pStyle w:val="11"/>
            </w:pPr>
            <w:r>
              <w:t>2</w:t>
            </w:r>
          </w:p>
        </w:tc>
        <w:tc>
          <w:tcPr>
            <w:tcW w:w="2551" w:type="dxa"/>
            <w:vAlign w:val="center"/>
          </w:tcPr>
          <w:p w14:paraId="7B4554FD">
            <w:pPr>
              <w:pStyle w:val="11"/>
            </w:pPr>
            <w:r>
              <w:t>3</w:t>
            </w:r>
          </w:p>
        </w:tc>
        <w:tc>
          <w:tcPr>
            <w:tcW w:w="2551" w:type="dxa"/>
            <w:vAlign w:val="center"/>
          </w:tcPr>
          <w:p w14:paraId="21D14590">
            <w:pPr>
              <w:pStyle w:val="11"/>
            </w:pPr>
            <w:r>
              <w:t>4</w:t>
            </w:r>
          </w:p>
        </w:tc>
        <w:tc>
          <w:tcPr>
            <w:tcW w:w="2551" w:type="dxa"/>
            <w:vAlign w:val="center"/>
          </w:tcPr>
          <w:p w14:paraId="5E2083B3">
            <w:pPr>
              <w:pStyle w:val="11"/>
            </w:pPr>
            <w:r>
              <w:t>5</w:t>
            </w:r>
          </w:p>
        </w:tc>
      </w:tr>
      <w:tr w14:paraId="738F7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3AF20">
            <w:pPr>
              <w:pStyle w:val="12"/>
            </w:pPr>
          </w:p>
        </w:tc>
        <w:tc>
          <w:tcPr>
            <w:tcW w:w="1191" w:type="dxa"/>
            <w:vAlign w:val="center"/>
          </w:tcPr>
          <w:p w14:paraId="1D86DFFC">
            <w:pPr>
              <w:pStyle w:val="13"/>
            </w:pPr>
          </w:p>
        </w:tc>
        <w:tc>
          <w:tcPr>
            <w:tcW w:w="4535" w:type="dxa"/>
            <w:vAlign w:val="center"/>
          </w:tcPr>
          <w:p w14:paraId="5DF69A06">
            <w:pPr>
              <w:pStyle w:val="13"/>
            </w:pPr>
          </w:p>
        </w:tc>
        <w:tc>
          <w:tcPr>
            <w:tcW w:w="2551" w:type="dxa"/>
            <w:vAlign w:val="center"/>
          </w:tcPr>
          <w:p w14:paraId="68661511">
            <w:pPr>
              <w:pStyle w:val="14"/>
            </w:pPr>
          </w:p>
        </w:tc>
        <w:tc>
          <w:tcPr>
            <w:tcW w:w="2551" w:type="dxa"/>
            <w:vAlign w:val="center"/>
          </w:tcPr>
          <w:p w14:paraId="1AEC0181">
            <w:pPr>
              <w:pStyle w:val="14"/>
            </w:pPr>
          </w:p>
        </w:tc>
        <w:tc>
          <w:tcPr>
            <w:tcW w:w="2551" w:type="dxa"/>
            <w:vAlign w:val="center"/>
          </w:tcPr>
          <w:p w14:paraId="04DC00AE">
            <w:pPr>
              <w:pStyle w:val="14"/>
            </w:pPr>
          </w:p>
        </w:tc>
      </w:tr>
    </w:tbl>
    <w:p w14:paraId="78F142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0C93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F8C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B19113">
            <w:pPr>
              <w:pStyle w:val="8"/>
            </w:pPr>
            <w:r>
              <w:t>360020隆尧县双碑校区</w:t>
            </w:r>
          </w:p>
        </w:tc>
        <w:tc>
          <w:tcPr>
            <w:tcW w:w="2381" w:type="dxa"/>
            <w:tcBorders>
              <w:top w:val="single" w:color="FFFFFF" w:sz="6" w:space="0"/>
              <w:left w:val="single" w:color="FFFFFF" w:sz="6" w:space="0"/>
              <w:right w:val="single" w:color="FFFFFF" w:sz="6" w:space="0"/>
            </w:tcBorders>
            <w:vAlign w:val="center"/>
          </w:tcPr>
          <w:p w14:paraId="0F4EBEF1">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DE6D924">
            <w:pPr>
              <w:pStyle w:val="10"/>
            </w:pPr>
            <w:r>
              <w:t>单位：万元</w:t>
            </w:r>
          </w:p>
        </w:tc>
      </w:tr>
      <w:tr w14:paraId="4D38E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267BF">
            <w:pPr>
              <w:pStyle w:val="11"/>
            </w:pPr>
            <w:r>
              <w:t>序号</w:t>
            </w:r>
          </w:p>
        </w:tc>
        <w:tc>
          <w:tcPr>
            <w:tcW w:w="3798" w:type="dxa"/>
            <w:vMerge w:val="restart"/>
            <w:vAlign w:val="center"/>
          </w:tcPr>
          <w:p w14:paraId="53AC3EC8">
            <w:pPr>
              <w:pStyle w:val="11"/>
            </w:pPr>
            <w:r>
              <w:t>项  目</w:t>
            </w:r>
          </w:p>
        </w:tc>
        <w:tc>
          <w:tcPr>
            <w:tcW w:w="9524" w:type="dxa"/>
            <w:gridSpan w:val="4"/>
            <w:vAlign w:val="center"/>
          </w:tcPr>
          <w:p w14:paraId="20CCEF34">
            <w:pPr>
              <w:pStyle w:val="11"/>
            </w:pPr>
            <w:r>
              <w:t>资 金 性 质</w:t>
            </w:r>
          </w:p>
        </w:tc>
      </w:tr>
      <w:tr w14:paraId="070EC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BA876D"/>
        </w:tc>
        <w:tc>
          <w:tcPr>
            <w:tcW w:w="3798" w:type="dxa"/>
            <w:vMerge w:val="continue"/>
          </w:tcPr>
          <w:p w14:paraId="7024B908"/>
        </w:tc>
        <w:tc>
          <w:tcPr>
            <w:tcW w:w="2381" w:type="dxa"/>
            <w:vAlign w:val="center"/>
          </w:tcPr>
          <w:p w14:paraId="00BCE97C">
            <w:pPr>
              <w:pStyle w:val="11"/>
            </w:pPr>
            <w:r>
              <w:t>合计</w:t>
            </w:r>
          </w:p>
        </w:tc>
        <w:tc>
          <w:tcPr>
            <w:tcW w:w="2381" w:type="dxa"/>
            <w:vAlign w:val="center"/>
          </w:tcPr>
          <w:p w14:paraId="6617E3FC">
            <w:pPr>
              <w:pStyle w:val="11"/>
            </w:pPr>
            <w:r>
              <w:t>一般公共预算              财政拨款</w:t>
            </w:r>
          </w:p>
        </w:tc>
        <w:tc>
          <w:tcPr>
            <w:tcW w:w="2381" w:type="dxa"/>
            <w:vAlign w:val="center"/>
          </w:tcPr>
          <w:p w14:paraId="4B6FD82D">
            <w:pPr>
              <w:pStyle w:val="11"/>
            </w:pPr>
            <w:r>
              <w:t>政府性基金                  预算拨款</w:t>
            </w:r>
          </w:p>
        </w:tc>
        <w:tc>
          <w:tcPr>
            <w:tcW w:w="2381" w:type="dxa"/>
            <w:vAlign w:val="center"/>
          </w:tcPr>
          <w:p w14:paraId="28092070">
            <w:pPr>
              <w:pStyle w:val="11"/>
            </w:pPr>
            <w:r>
              <w:t>国有资本经营              预算财政拨款</w:t>
            </w:r>
          </w:p>
        </w:tc>
      </w:tr>
      <w:tr w14:paraId="7EDAE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8170A4">
            <w:pPr>
              <w:pStyle w:val="11"/>
            </w:pPr>
            <w:r>
              <w:t>栏次</w:t>
            </w:r>
          </w:p>
        </w:tc>
        <w:tc>
          <w:tcPr>
            <w:tcW w:w="3798" w:type="dxa"/>
            <w:vAlign w:val="center"/>
          </w:tcPr>
          <w:p w14:paraId="7167BD14">
            <w:pPr>
              <w:pStyle w:val="11"/>
            </w:pPr>
            <w:r>
              <w:t>1</w:t>
            </w:r>
          </w:p>
        </w:tc>
        <w:tc>
          <w:tcPr>
            <w:tcW w:w="2381" w:type="dxa"/>
            <w:vAlign w:val="center"/>
          </w:tcPr>
          <w:p w14:paraId="385E5224">
            <w:pPr>
              <w:pStyle w:val="11"/>
            </w:pPr>
            <w:r>
              <w:t>2</w:t>
            </w:r>
          </w:p>
        </w:tc>
        <w:tc>
          <w:tcPr>
            <w:tcW w:w="2381" w:type="dxa"/>
            <w:vAlign w:val="center"/>
          </w:tcPr>
          <w:p w14:paraId="232E296E">
            <w:pPr>
              <w:pStyle w:val="11"/>
            </w:pPr>
            <w:r>
              <w:t>3</w:t>
            </w:r>
          </w:p>
        </w:tc>
        <w:tc>
          <w:tcPr>
            <w:tcW w:w="2381" w:type="dxa"/>
            <w:vAlign w:val="center"/>
          </w:tcPr>
          <w:p w14:paraId="51C4078C">
            <w:pPr>
              <w:pStyle w:val="11"/>
            </w:pPr>
            <w:r>
              <w:t>4</w:t>
            </w:r>
          </w:p>
        </w:tc>
        <w:tc>
          <w:tcPr>
            <w:tcW w:w="2381" w:type="dxa"/>
            <w:vAlign w:val="center"/>
          </w:tcPr>
          <w:p w14:paraId="07A03B5C">
            <w:pPr>
              <w:pStyle w:val="11"/>
            </w:pPr>
            <w:r>
              <w:t>5</w:t>
            </w:r>
          </w:p>
        </w:tc>
      </w:tr>
      <w:tr w14:paraId="0AA76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2EF417">
            <w:pPr>
              <w:pStyle w:val="12"/>
            </w:pPr>
          </w:p>
        </w:tc>
        <w:tc>
          <w:tcPr>
            <w:tcW w:w="3798" w:type="dxa"/>
            <w:vAlign w:val="center"/>
          </w:tcPr>
          <w:p w14:paraId="6392716C">
            <w:pPr>
              <w:pStyle w:val="13"/>
            </w:pPr>
          </w:p>
        </w:tc>
        <w:tc>
          <w:tcPr>
            <w:tcW w:w="2381" w:type="dxa"/>
            <w:vAlign w:val="center"/>
          </w:tcPr>
          <w:p w14:paraId="0433BD8E">
            <w:pPr>
              <w:pStyle w:val="14"/>
            </w:pPr>
          </w:p>
        </w:tc>
        <w:tc>
          <w:tcPr>
            <w:tcW w:w="2381" w:type="dxa"/>
            <w:vAlign w:val="center"/>
          </w:tcPr>
          <w:p w14:paraId="2EF63E83">
            <w:pPr>
              <w:pStyle w:val="14"/>
            </w:pPr>
          </w:p>
        </w:tc>
        <w:tc>
          <w:tcPr>
            <w:tcW w:w="2381" w:type="dxa"/>
            <w:vAlign w:val="center"/>
          </w:tcPr>
          <w:p w14:paraId="1FC10CF2">
            <w:pPr>
              <w:pStyle w:val="14"/>
            </w:pPr>
          </w:p>
        </w:tc>
        <w:tc>
          <w:tcPr>
            <w:tcW w:w="2381" w:type="dxa"/>
            <w:vAlign w:val="center"/>
          </w:tcPr>
          <w:p w14:paraId="21667105">
            <w:pPr>
              <w:pStyle w:val="14"/>
            </w:pPr>
          </w:p>
        </w:tc>
      </w:tr>
    </w:tbl>
    <w:p w14:paraId="09393D0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B0BADC5">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隆尧县双碑校区2025年单位预算信息公开情况说明</w:t>
      </w:r>
    </w:p>
    <w:p w14:paraId="6DF47D7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按照《中华人民共和国预算法》、《地方预决算公开操作规程》和《关于进一步推进预算公开工作的实施意见》规定，现将隆尧县双碑校区2025年单位预算公开如下：</w:t>
      </w:r>
    </w:p>
    <w:p w14:paraId="21ED443B">
      <w:pPr>
        <w:spacing w:before="10" w:after="10" w:line="240" w:lineRule="auto"/>
        <w:ind w:firstLine="640"/>
        <w:jc w:val="left"/>
        <w:outlineLvl w:val="5"/>
      </w:pPr>
      <w:r>
        <w:rPr>
          <w:rFonts w:ascii="黑体" w:hAnsi="黑体" w:eastAsia="黑体" w:cs="黑体"/>
          <w:color w:val="000000"/>
          <w:sz w:val="32"/>
        </w:rPr>
        <w:t>一、单位职责及机构设置情况</w:t>
      </w:r>
    </w:p>
    <w:p w14:paraId="1CF08C0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786C118">
      <w:pPr>
        <w:pStyle w:val="18"/>
      </w:pPr>
      <w:r>
        <w:t>1.贯彻落实基础教育的方针、政策，开展小学阶段教育教学和所辖学校管理工作，促进学生德、智、体。美、劳全面发展；</w:t>
      </w:r>
    </w:p>
    <w:p w14:paraId="63D409A2">
      <w:pPr>
        <w:pStyle w:val="18"/>
      </w:pPr>
      <w:r>
        <w:t>2. 负责学生安全教育和管理，确保学生身心健康；</w:t>
      </w:r>
    </w:p>
    <w:p w14:paraId="4DC6DA81">
      <w:pPr>
        <w:pStyle w:val="18"/>
      </w:pPr>
      <w:r>
        <w:t>3. 加强教师队伍建设和管理，为教育教学工作提高保障。</w:t>
      </w:r>
    </w:p>
    <w:p w14:paraId="0D28B1F5">
      <w:pPr>
        <w:pStyle w:val="18"/>
      </w:pPr>
      <w:r>
        <w:t>隆尧县双碑校区事业编制146名．其中，校长1名（正股级），副校长3名（副股级）；经费形式为财政性资金基本保证。</w:t>
      </w:r>
    </w:p>
    <w:p w14:paraId="356C288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A9127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8CC0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A595D8">
            <w:pPr>
              <w:pStyle w:val="11"/>
            </w:pPr>
            <w:r>
              <w:t>单位名称</w:t>
            </w:r>
          </w:p>
        </w:tc>
        <w:tc>
          <w:tcPr>
            <w:tcW w:w="1843" w:type="dxa"/>
            <w:vAlign w:val="center"/>
          </w:tcPr>
          <w:p w14:paraId="7822FF36">
            <w:pPr>
              <w:pStyle w:val="11"/>
            </w:pPr>
            <w:r>
              <w:t>单位性质</w:t>
            </w:r>
          </w:p>
        </w:tc>
        <w:tc>
          <w:tcPr>
            <w:tcW w:w="2126" w:type="dxa"/>
            <w:vAlign w:val="center"/>
          </w:tcPr>
          <w:p w14:paraId="37ED15EC">
            <w:pPr>
              <w:pStyle w:val="11"/>
            </w:pPr>
            <w:r>
              <w:t>单位规格</w:t>
            </w:r>
          </w:p>
        </w:tc>
        <w:tc>
          <w:tcPr>
            <w:tcW w:w="3827" w:type="dxa"/>
            <w:vAlign w:val="center"/>
          </w:tcPr>
          <w:p w14:paraId="2200B946">
            <w:pPr>
              <w:pStyle w:val="11"/>
            </w:pPr>
            <w:r>
              <w:t>经费保障形式</w:t>
            </w:r>
          </w:p>
        </w:tc>
      </w:tr>
      <w:tr w14:paraId="0C3C8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DAC9284">
            <w:pPr>
              <w:pStyle w:val="13"/>
            </w:pPr>
            <w:r>
              <w:t>隆尧县双碑校区</w:t>
            </w:r>
          </w:p>
        </w:tc>
        <w:tc>
          <w:tcPr>
            <w:tcW w:w="1843" w:type="dxa"/>
            <w:vAlign w:val="center"/>
          </w:tcPr>
          <w:p w14:paraId="748E451C">
            <w:pPr>
              <w:pStyle w:val="12"/>
            </w:pPr>
            <w:r>
              <w:t>事业</w:t>
            </w:r>
          </w:p>
        </w:tc>
        <w:tc>
          <w:tcPr>
            <w:tcW w:w="2126" w:type="dxa"/>
            <w:vAlign w:val="center"/>
          </w:tcPr>
          <w:p w14:paraId="0F953FEF">
            <w:pPr>
              <w:pStyle w:val="12"/>
            </w:pPr>
            <w:r>
              <w:t>股级</w:t>
            </w:r>
          </w:p>
        </w:tc>
        <w:tc>
          <w:tcPr>
            <w:tcW w:w="3827" w:type="dxa"/>
            <w:vAlign w:val="center"/>
          </w:tcPr>
          <w:p w14:paraId="013EBC1F">
            <w:pPr>
              <w:pStyle w:val="12"/>
            </w:pPr>
            <w:r>
              <w:t>财政性资金基本保证</w:t>
            </w:r>
          </w:p>
        </w:tc>
      </w:tr>
    </w:tbl>
    <w:p w14:paraId="74A90220">
      <w:pPr>
        <w:spacing w:before="10" w:after="10" w:line="240" w:lineRule="auto"/>
        <w:ind w:firstLine="640"/>
        <w:jc w:val="left"/>
        <w:outlineLvl w:val="5"/>
      </w:pPr>
      <w:r>
        <w:rPr>
          <w:rFonts w:ascii="黑体" w:hAnsi="黑体" w:eastAsia="黑体" w:cs="黑体"/>
          <w:color w:val="000000"/>
          <w:sz w:val="32"/>
        </w:rPr>
        <w:t>二、单位预算安排的总体情况</w:t>
      </w:r>
    </w:p>
    <w:p w14:paraId="339AF31B">
      <w:pPr>
        <w:pStyle w:val="19"/>
      </w:pPr>
      <w:r>
        <w:t>按照预算管理有关规定，目前我校单位预算的编制实行综合预算管理，即全部收入和支出都反映的预算中。隆尧县双碑校区的收支包含在单位预算中。</w:t>
      </w:r>
    </w:p>
    <w:p w14:paraId="77D81756">
      <w:pPr>
        <w:pStyle w:val="19"/>
      </w:pPr>
      <w:r>
        <w:t>1、收入说明</w:t>
      </w:r>
    </w:p>
    <w:p w14:paraId="31C74813">
      <w:pPr>
        <w:pStyle w:val="19"/>
      </w:pPr>
      <w:r>
        <w:t>反映本单位当年全部收入。2025年预算收入2463.9万元，其中：一般公共预算收入2369.8万元，基金预算收入0万元，基金预算收入0万元，国有资本经营预算收入0万元，财政专户拨收入0万元，单位资金收入0万元，上年结转结余94.1万元</w:t>
      </w:r>
    </w:p>
    <w:p w14:paraId="38B5378A">
      <w:pPr>
        <w:pStyle w:val="19"/>
      </w:pPr>
      <w:r>
        <w:t>2、支出说明</w:t>
      </w:r>
    </w:p>
    <w:p w14:paraId="23BCFEC8">
      <w:pPr>
        <w:pStyle w:val="19"/>
      </w:pPr>
      <w:r>
        <w:t>收支预算总表支出栏、基本支出表、项目支出表按经济分类和支出功能分类科目编制，反映隆尧县双碑校区年度单位预算中支出预算的总体情况。2025年单位支出预算为2463.9万元，其中基本支出1627.57万元、项目支出1836.33万元。主要为小学教育2259.35万元，学前教育204.55万元。</w:t>
      </w:r>
    </w:p>
    <w:p w14:paraId="1A6B998B">
      <w:pPr>
        <w:pStyle w:val="19"/>
      </w:pPr>
      <w:r>
        <w:t>3、比上年增减情况</w:t>
      </w:r>
    </w:p>
    <w:p w14:paraId="0389354B">
      <w:pPr>
        <w:pStyle w:val="19"/>
      </w:pPr>
      <w:r>
        <w:t>2025年部门预算收支安排2463.9万元，较2024年年初预算减少717.9万元，其中：基本支出增加142.2万元，主要为公用经费、增加，项目支出减少860.1万元。</w:t>
      </w:r>
    </w:p>
    <w:p w14:paraId="22B8A37A">
      <w:pPr>
        <w:spacing w:before="10" w:after="10" w:line="240" w:lineRule="auto"/>
        <w:ind w:firstLine="640"/>
        <w:jc w:val="left"/>
        <w:outlineLvl w:val="5"/>
      </w:pPr>
      <w:r>
        <w:rPr>
          <w:rFonts w:ascii="黑体" w:hAnsi="黑体" w:eastAsia="黑体" w:cs="黑体"/>
          <w:color w:val="000000"/>
          <w:sz w:val="32"/>
        </w:rPr>
        <w:t>三、机关运行经费安排情况</w:t>
      </w:r>
    </w:p>
    <w:p w14:paraId="1C97CCB4">
      <w:pPr>
        <w:pStyle w:val="20"/>
      </w:pPr>
      <w:r>
        <w:t>我单位按学生安排公用经费，无机关运行经费。</w:t>
      </w:r>
    </w:p>
    <w:p w14:paraId="2FB98FF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A53C85">
      <w:pPr>
        <w:pStyle w:val="21"/>
      </w:pPr>
      <w:r>
        <w:t>我单位未安排三公经费。</w:t>
      </w:r>
    </w:p>
    <w:p w14:paraId="7AF3134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DB1E4A">
      <w:pPr>
        <w:spacing w:before="0" w:after="0"/>
        <w:ind w:firstLine="560"/>
        <w:jc w:val="left"/>
        <w:outlineLvl w:val="9"/>
      </w:pPr>
      <w:r>
        <w:rPr>
          <w:rFonts w:ascii="方正仿宋_GBK" w:hAnsi="方正仿宋_GBK" w:eastAsia="方正仿宋_GBK" w:cs="方正仿宋_GBK"/>
          <w:b/>
          <w:color w:val="000000"/>
          <w:sz w:val="28"/>
        </w:rPr>
        <w:t>1、冀财教[2023]159号/省级/2024年义务教育薄弱环节改善与能力提升/隆尧县双碑乡西良后小学新建学生宿舍楼项目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F2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38EC2">
            <w:pPr>
              <w:pStyle w:val="14"/>
            </w:pPr>
            <w:r>
              <w:t>单位：万元</w:t>
            </w:r>
          </w:p>
        </w:tc>
      </w:tr>
      <w:tr w14:paraId="2132B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612A4">
            <w:pPr>
              <w:pStyle w:val="11"/>
            </w:pPr>
            <w:r>
              <w:t>项目编码</w:t>
            </w:r>
          </w:p>
        </w:tc>
        <w:tc>
          <w:tcPr>
            <w:tcW w:w="5103" w:type="dxa"/>
            <w:gridSpan w:val="2"/>
            <w:vAlign w:val="center"/>
          </w:tcPr>
          <w:p w14:paraId="3747B734">
            <w:pPr>
              <w:pStyle w:val="13"/>
            </w:pPr>
            <w:r>
              <w:t>13052524P00000611272W</w:t>
            </w:r>
          </w:p>
        </w:tc>
        <w:tc>
          <w:tcPr>
            <w:tcW w:w="2835" w:type="dxa"/>
            <w:vAlign w:val="center"/>
          </w:tcPr>
          <w:p w14:paraId="29A3F178">
            <w:pPr>
              <w:pStyle w:val="11"/>
            </w:pPr>
            <w:r>
              <w:t>项目名称</w:t>
            </w:r>
          </w:p>
        </w:tc>
        <w:tc>
          <w:tcPr>
            <w:tcW w:w="6095" w:type="dxa"/>
            <w:gridSpan w:val="3"/>
            <w:vAlign w:val="center"/>
          </w:tcPr>
          <w:p w14:paraId="1E2D1496">
            <w:pPr>
              <w:pStyle w:val="13"/>
            </w:pPr>
            <w:r>
              <w:t>冀财教[2023]159号/省级/2024年义务教育薄弱环节改善与能力提升/隆尧县双碑乡西良后小学新建学生宿舍楼项目</w:t>
            </w:r>
            <w:r>
              <w:tab/>
            </w:r>
          </w:p>
        </w:tc>
      </w:tr>
      <w:tr w14:paraId="4DFFC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0E1BA">
            <w:pPr>
              <w:pStyle w:val="11"/>
            </w:pPr>
            <w:r>
              <w:t>预算规模及资金用途</w:t>
            </w:r>
          </w:p>
        </w:tc>
        <w:tc>
          <w:tcPr>
            <w:tcW w:w="2268" w:type="dxa"/>
            <w:vAlign w:val="center"/>
          </w:tcPr>
          <w:p w14:paraId="1746569D">
            <w:pPr>
              <w:pStyle w:val="11"/>
            </w:pPr>
            <w:r>
              <w:t>预算数</w:t>
            </w:r>
          </w:p>
        </w:tc>
        <w:tc>
          <w:tcPr>
            <w:tcW w:w="2835" w:type="dxa"/>
            <w:vAlign w:val="center"/>
          </w:tcPr>
          <w:p w14:paraId="0CADE021">
            <w:pPr>
              <w:pStyle w:val="13"/>
            </w:pPr>
            <w:r>
              <w:t>94.10</w:t>
            </w:r>
          </w:p>
        </w:tc>
        <w:tc>
          <w:tcPr>
            <w:tcW w:w="2835" w:type="dxa"/>
            <w:vAlign w:val="center"/>
          </w:tcPr>
          <w:p w14:paraId="33A414B6">
            <w:pPr>
              <w:pStyle w:val="11"/>
            </w:pPr>
            <w:r>
              <w:t>其中：财政    资金</w:t>
            </w:r>
          </w:p>
        </w:tc>
        <w:tc>
          <w:tcPr>
            <w:tcW w:w="2551" w:type="dxa"/>
            <w:vAlign w:val="center"/>
          </w:tcPr>
          <w:p w14:paraId="4B0014EB">
            <w:pPr>
              <w:pStyle w:val="13"/>
            </w:pPr>
            <w:r>
              <w:t>94.10</w:t>
            </w:r>
          </w:p>
        </w:tc>
        <w:tc>
          <w:tcPr>
            <w:tcW w:w="2268" w:type="dxa"/>
            <w:vAlign w:val="center"/>
          </w:tcPr>
          <w:p w14:paraId="70A45BBE">
            <w:pPr>
              <w:pStyle w:val="11"/>
            </w:pPr>
            <w:r>
              <w:t>其他资金</w:t>
            </w:r>
          </w:p>
        </w:tc>
        <w:tc>
          <w:tcPr>
            <w:tcW w:w="1276" w:type="dxa"/>
            <w:vAlign w:val="center"/>
          </w:tcPr>
          <w:p w14:paraId="0161BCFA">
            <w:pPr>
              <w:pStyle w:val="13"/>
            </w:pPr>
            <w:r>
              <w:t xml:space="preserve"> </w:t>
            </w:r>
          </w:p>
        </w:tc>
      </w:tr>
      <w:tr w14:paraId="2BA99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14643"/>
        </w:tc>
        <w:tc>
          <w:tcPr>
            <w:tcW w:w="14033" w:type="dxa"/>
            <w:gridSpan w:val="6"/>
            <w:vAlign w:val="center"/>
          </w:tcPr>
          <w:p w14:paraId="0681398D">
            <w:pPr>
              <w:pStyle w:val="13"/>
            </w:pPr>
            <w:r>
              <w:t>完成西良后小学新建宿舍楼项目，进一步提升教育质量及教学条件。</w:t>
            </w:r>
            <w:r>
              <w:tab/>
            </w:r>
            <w:r>
              <w:tab/>
            </w:r>
            <w:r>
              <w:tab/>
            </w:r>
            <w:r>
              <w:tab/>
            </w:r>
            <w:r>
              <w:tab/>
            </w:r>
            <w:r>
              <w:tab/>
            </w:r>
          </w:p>
          <w:p w14:paraId="6334F805">
            <w:pPr>
              <w:pStyle w:val="13"/>
            </w:pPr>
          </w:p>
        </w:tc>
      </w:tr>
      <w:tr w14:paraId="24478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662AA">
            <w:pPr>
              <w:pStyle w:val="11"/>
            </w:pPr>
            <w:r>
              <w:t>资金支出计划（%）</w:t>
            </w:r>
          </w:p>
        </w:tc>
        <w:tc>
          <w:tcPr>
            <w:tcW w:w="5103" w:type="dxa"/>
            <w:gridSpan w:val="2"/>
            <w:vAlign w:val="center"/>
          </w:tcPr>
          <w:p w14:paraId="561A08A2">
            <w:pPr>
              <w:pStyle w:val="11"/>
            </w:pPr>
            <w:r>
              <w:t>3月底</w:t>
            </w:r>
          </w:p>
        </w:tc>
        <w:tc>
          <w:tcPr>
            <w:tcW w:w="2835" w:type="dxa"/>
            <w:vAlign w:val="center"/>
          </w:tcPr>
          <w:p w14:paraId="7180E1DC">
            <w:pPr>
              <w:pStyle w:val="11"/>
            </w:pPr>
            <w:r>
              <w:t>6月底</w:t>
            </w:r>
          </w:p>
        </w:tc>
        <w:tc>
          <w:tcPr>
            <w:tcW w:w="2551" w:type="dxa"/>
            <w:vAlign w:val="center"/>
          </w:tcPr>
          <w:p w14:paraId="355CAF53">
            <w:pPr>
              <w:pStyle w:val="11"/>
            </w:pPr>
            <w:r>
              <w:t>10月底</w:t>
            </w:r>
          </w:p>
        </w:tc>
        <w:tc>
          <w:tcPr>
            <w:tcW w:w="3544" w:type="dxa"/>
            <w:gridSpan w:val="2"/>
            <w:vAlign w:val="center"/>
          </w:tcPr>
          <w:p w14:paraId="6A0EB368">
            <w:pPr>
              <w:pStyle w:val="11"/>
            </w:pPr>
            <w:r>
              <w:t>12月底</w:t>
            </w:r>
          </w:p>
        </w:tc>
      </w:tr>
      <w:tr w14:paraId="1C103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06EF1"/>
        </w:tc>
        <w:tc>
          <w:tcPr>
            <w:tcW w:w="5103" w:type="dxa"/>
            <w:gridSpan w:val="2"/>
            <w:vAlign w:val="center"/>
          </w:tcPr>
          <w:p w14:paraId="05F27FAD">
            <w:pPr>
              <w:pStyle w:val="12"/>
            </w:pPr>
            <w:r>
              <w:t xml:space="preserve"> </w:t>
            </w:r>
          </w:p>
        </w:tc>
        <w:tc>
          <w:tcPr>
            <w:tcW w:w="2835" w:type="dxa"/>
            <w:vAlign w:val="center"/>
          </w:tcPr>
          <w:p w14:paraId="6C3CEDF0">
            <w:pPr>
              <w:pStyle w:val="12"/>
            </w:pPr>
            <w:r>
              <w:t xml:space="preserve"> </w:t>
            </w:r>
          </w:p>
        </w:tc>
        <w:tc>
          <w:tcPr>
            <w:tcW w:w="2551" w:type="dxa"/>
            <w:vAlign w:val="center"/>
          </w:tcPr>
          <w:p w14:paraId="2F4C229E">
            <w:pPr>
              <w:pStyle w:val="12"/>
            </w:pPr>
            <w:r>
              <w:t>50%</w:t>
            </w:r>
          </w:p>
        </w:tc>
        <w:tc>
          <w:tcPr>
            <w:tcW w:w="3544" w:type="dxa"/>
            <w:gridSpan w:val="2"/>
            <w:vAlign w:val="center"/>
          </w:tcPr>
          <w:p w14:paraId="20E28344">
            <w:pPr>
              <w:pStyle w:val="12"/>
            </w:pPr>
            <w:r>
              <w:t>100%</w:t>
            </w:r>
          </w:p>
        </w:tc>
      </w:tr>
      <w:tr w14:paraId="5A55A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BD4236">
            <w:pPr>
              <w:pStyle w:val="11"/>
            </w:pPr>
            <w:r>
              <w:t>绩效目标</w:t>
            </w:r>
          </w:p>
        </w:tc>
        <w:tc>
          <w:tcPr>
            <w:tcW w:w="14033" w:type="dxa"/>
            <w:gridSpan w:val="6"/>
            <w:vAlign w:val="center"/>
          </w:tcPr>
          <w:p w14:paraId="6D94FE17">
            <w:pPr>
              <w:pStyle w:val="13"/>
            </w:pPr>
            <w:r>
              <w:t>1.完成西良后小学新建宿舍楼项目，进一步提升教育质量及教学条件。</w:t>
            </w:r>
          </w:p>
        </w:tc>
      </w:tr>
    </w:tbl>
    <w:p w14:paraId="4332A9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0E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07879B0">
            <w:pPr>
              <w:pStyle w:val="11"/>
            </w:pPr>
            <w:r>
              <w:t>一级指标</w:t>
            </w:r>
          </w:p>
        </w:tc>
        <w:tc>
          <w:tcPr>
            <w:tcW w:w="2268" w:type="dxa"/>
            <w:vAlign w:val="center"/>
          </w:tcPr>
          <w:p w14:paraId="3EDE646C">
            <w:pPr>
              <w:pStyle w:val="11"/>
            </w:pPr>
            <w:r>
              <w:t>二级指标</w:t>
            </w:r>
          </w:p>
        </w:tc>
        <w:tc>
          <w:tcPr>
            <w:tcW w:w="2835" w:type="dxa"/>
            <w:vAlign w:val="center"/>
          </w:tcPr>
          <w:p w14:paraId="0E81BCEC">
            <w:pPr>
              <w:pStyle w:val="11"/>
            </w:pPr>
            <w:r>
              <w:t>三级指标</w:t>
            </w:r>
          </w:p>
        </w:tc>
        <w:tc>
          <w:tcPr>
            <w:tcW w:w="5386" w:type="dxa"/>
            <w:vAlign w:val="center"/>
          </w:tcPr>
          <w:p w14:paraId="3BA45ED9">
            <w:pPr>
              <w:pStyle w:val="11"/>
            </w:pPr>
            <w:r>
              <w:t>绩效指标描述</w:t>
            </w:r>
          </w:p>
        </w:tc>
        <w:tc>
          <w:tcPr>
            <w:tcW w:w="2268" w:type="dxa"/>
            <w:vAlign w:val="center"/>
          </w:tcPr>
          <w:p w14:paraId="3A91A48D">
            <w:pPr>
              <w:pStyle w:val="11"/>
            </w:pPr>
            <w:r>
              <w:t>指标值</w:t>
            </w:r>
          </w:p>
        </w:tc>
        <w:tc>
          <w:tcPr>
            <w:tcW w:w="1276" w:type="dxa"/>
            <w:vAlign w:val="center"/>
          </w:tcPr>
          <w:p w14:paraId="5F728F3D">
            <w:pPr>
              <w:pStyle w:val="11"/>
            </w:pPr>
            <w:r>
              <w:t>指标值确定依据</w:t>
            </w:r>
          </w:p>
        </w:tc>
      </w:tr>
      <w:tr w14:paraId="29211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CBE7C">
            <w:pPr>
              <w:pStyle w:val="12"/>
            </w:pPr>
            <w:r>
              <w:t>产出指标</w:t>
            </w:r>
          </w:p>
        </w:tc>
        <w:tc>
          <w:tcPr>
            <w:tcW w:w="2268" w:type="dxa"/>
            <w:vAlign w:val="center"/>
          </w:tcPr>
          <w:p w14:paraId="0792AEA0">
            <w:pPr>
              <w:pStyle w:val="13"/>
            </w:pPr>
            <w:r>
              <w:t>数量指标</w:t>
            </w:r>
          </w:p>
        </w:tc>
        <w:tc>
          <w:tcPr>
            <w:tcW w:w="2835" w:type="dxa"/>
            <w:vAlign w:val="center"/>
          </w:tcPr>
          <w:p w14:paraId="7A6FE07B">
            <w:pPr>
              <w:pStyle w:val="13"/>
            </w:pPr>
            <w:r>
              <w:t>新建附属用房</w:t>
            </w:r>
          </w:p>
        </w:tc>
        <w:tc>
          <w:tcPr>
            <w:tcW w:w="5386" w:type="dxa"/>
            <w:vAlign w:val="center"/>
          </w:tcPr>
          <w:p w14:paraId="087B025F">
            <w:pPr>
              <w:pStyle w:val="13"/>
            </w:pPr>
            <w:r>
              <w:t>西良后小学新建宿舍楼面积</w:t>
            </w:r>
          </w:p>
        </w:tc>
        <w:tc>
          <w:tcPr>
            <w:tcW w:w="2268" w:type="dxa"/>
            <w:vAlign w:val="center"/>
          </w:tcPr>
          <w:p w14:paraId="5AEE102B">
            <w:pPr>
              <w:pStyle w:val="13"/>
            </w:pPr>
            <w:r>
              <w:t>3150平方米</w:t>
            </w:r>
          </w:p>
        </w:tc>
        <w:tc>
          <w:tcPr>
            <w:tcW w:w="1276" w:type="dxa"/>
            <w:vAlign w:val="center"/>
          </w:tcPr>
          <w:p w14:paraId="022CE3B6">
            <w:pPr>
              <w:pStyle w:val="13"/>
            </w:pPr>
            <w:r>
              <w:t>项目规划</w:t>
            </w:r>
          </w:p>
        </w:tc>
      </w:tr>
      <w:tr w14:paraId="663B9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14E1A"/>
        </w:tc>
        <w:tc>
          <w:tcPr>
            <w:tcW w:w="2268" w:type="dxa"/>
            <w:vAlign w:val="center"/>
          </w:tcPr>
          <w:p w14:paraId="71AA36A2">
            <w:pPr>
              <w:pStyle w:val="13"/>
            </w:pPr>
            <w:r>
              <w:t>质量指标</w:t>
            </w:r>
          </w:p>
        </w:tc>
        <w:tc>
          <w:tcPr>
            <w:tcW w:w="2835" w:type="dxa"/>
            <w:vAlign w:val="center"/>
          </w:tcPr>
          <w:p w14:paraId="4B272A1F">
            <w:pPr>
              <w:pStyle w:val="13"/>
            </w:pPr>
            <w:r>
              <w:t>工程实施验收合格率</w:t>
            </w:r>
          </w:p>
        </w:tc>
        <w:tc>
          <w:tcPr>
            <w:tcW w:w="5386" w:type="dxa"/>
            <w:vAlign w:val="center"/>
          </w:tcPr>
          <w:p w14:paraId="4E4FC1B0">
            <w:pPr>
              <w:pStyle w:val="13"/>
            </w:pPr>
            <w:r>
              <w:t>申报程序的合规，项目实施及资金使用符合项目规划</w:t>
            </w:r>
          </w:p>
        </w:tc>
        <w:tc>
          <w:tcPr>
            <w:tcW w:w="2268" w:type="dxa"/>
            <w:vAlign w:val="center"/>
          </w:tcPr>
          <w:p w14:paraId="382C6414">
            <w:pPr>
              <w:pStyle w:val="13"/>
            </w:pPr>
            <w:r>
              <w:t>≥100%</w:t>
            </w:r>
          </w:p>
        </w:tc>
        <w:tc>
          <w:tcPr>
            <w:tcW w:w="1276" w:type="dxa"/>
            <w:vAlign w:val="center"/>
          </w:tcPr>
          <w:p w14:paraId="677F1EC1">
            <w:pPr>
              <w:pStyle w:val="13"/>
            </w:pPr>
            <w:r>
              <w:t>项目规划</w:t>
            </w:r>
          </w:p>
        </w:tc>
      </w:tr>
      <w:tr w14:paraId="437C5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6DB10"/>
        </w:tc>
        <w:tc>
          <w:tcPr>
            <w:tcW w:w="2268" w:type="dxa"/>
            <w:vAlign w:val="center"/>
          </w:tcPr>
          <w:p w14:paraId="5926F7F8">
            <w:pPr>
              <w:pStyle w:val="13"/>
            </w:pPr>
            <w:r>
              <w:t>时效指标</w:t>
            </w:r>
          </w:p>
        </w:tc>
        <w:tc>
          <w:tcPr>
            <w:tcW w:w="2835" w:type="dxa"/>
            <w:vAlign w:val="center"/>
          </w:tcPr>
          <w:p w14:paraId="717F78AE">
            <w:pPr>
              <w:pStyle w:val="13"/>
            </w:pPr>
            <w:r>
              <w:t>资金支付率</w:t>
            </w:r>
          </w:p>
        </w:tc>
        <w:tc>
          <w:tcPr>
            <w:tcW w:w="5386" w:type="dxa"/>
            <w:vAlign w:val="center"/>
          </w:tcPr>
          <w:p w14:paraId="3A5C8981">
            <w:pPr>
              <w:pStyle w:val="13"/>
            </w:pPr>
            <w:r>
              <w:t>按照序时进度完成资金支付</w:t>
            </w:r>
          </w:p>
        </w:tc>
        <w:tc>
          <w:tcPr>
            <w:tcW w:w="2268" w:type="dxa"/>
            <w:vAlign w:val="center"/>
          </w:tcPr>
          <w:p w14:paraId="403C8573">
            <w:pPr>
              <w:pStyle w:val="13"/>
            </w:pPr>
            <w:r>
              <w:t>≥100%</w:t>
            </w:r>
          </w:p>
        </w:tc>
        <w:tc>
          <w:tcPr>
            <w:tcW w:w="1276" w:type="dxa"/>
            <w:vAlign w:val="center"/>
          </w:tcPr>
          <w:p w14:paraId="763C30CB">
            <w:pPr>
              <w:pStyle w:val="13"/>
            </w:pPr>
            <w:r>
              <w:t>项目规划</w:t>
            </w:r>
          </w:p>
        </w:tc>
      </w:tr>
      <w:tr w14:paraId="3C3FD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56AF1"/>
        </w:tc>
        <w:tc>
          <w:tcPr>
            <w:tcW w:w="2268" w:type="dxa"/>
            <w:vAlign w:val="center"/>
          </w:tcPr>
          <w:p w14:paraId="47651814">
            <w:pPr>
              <w:pStyle w:val="13"/>
            </w:pPr>
            <w:r>
              <w:t>成本指标</w:t>
            </w:r>
          </w:p>
        </w:tc>
        <w:tc>
          <w:tcPr>
            <w:tcW w:w="2835" w:type="dxa"/>
            <w:vAlign w:val="center"/>
          </w:tcPr>
          <w:p w14:paraId="62A751D1">
            <w:pPr>
              <w:pStyle w:val="13"/>
            </w:pPr>
            <w:r>
              <w:t>项目成本控制情况</w:t>
            </w:r>
          </w:p>
        </w:tc>
        <w:tc>
          <w:tcPr>
            <w:tcW w:w="5386" w:type="dxa"/>
            <w:vAlign w:val="center"/>
          </w:tcPr>
          <w:p w14:paraId="725A86AF">
            <w:pPr>
              <w:pStyle w:val="13"/>
            </w:pPr>
            <w:r>
              <w:t>严格按照审计额进行质保金支付</w:t>
            </w:r>
          </w:p>
        </w:tc>
        <w:tc>
          <w:tcPr>
            <w:tcW w:w="2268" w:type="dxa"/>
            <w:vAlign w:val="center"/>
          </w:tcPr>
          <w:p w14:paraId="1779583C">
            <w:pPr>
              <w:pStyle w:val="13"/>
            </w:pPr>
            <w:r>
              <w:t>≤94.1万元</w:t>
            </w:r>
          </w:p>
        </w:tc>
        <w:tc>
          <w:tcPr>
            <w:tcW w:w="1276" w:type="dxa"/>
            <w:vAlign w:val="center"/>
          </w:tcPr>
          <w:p w14:paraId="066F2DCB">
            <w:pPr>
              <w:pStyle w:val="13"/>
            </w:pPr>
            <w:r>
              <w:t>项目规划</w:t>
            </w:r>
          </w:p>
        </w:tc>
      </w:tr>
      <w:tr w14:paraId="14D52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3AC0B4">
            <w:pPr>
              <w:pStyle w:val="12"/>
            </w:pPr>
            <w:r>
              <w:t>效益指标</w:t>
            </w:r>
          </w:p>
        </w:tc>
        <w:tc>
          <w:tcPr>
            <w:tcW w:w="2268" w:type="dxa"/>
            <w:vAlign w:val="center"/>
          </w:tcPr>
          <w:p w14:paraId="31E21DE0">
            <w:pPr>
              <w:pStyle w:val="13"/>
            </w:pPr>
            <w:r>
              <w:t>社会效益指标</w:t>
            </w:r>
          </w:p>
        </w:tc>
        <w:tc>
          <w:tcPr>
            <w:tcW w:w="2835" w:type="dxa"/>
            <w:vAlign w:val="center"/>
          </w:tcPr>
          <w:p w14:paraId="58C5C6B6">
            <w:pPr>
              <w:pStyle w:val="13"/>
            </w:pPr>
            <w:r>
              <w:t xml:space="preserve"> 学生住宿条件提升</w:t>
            </w:r>
          </w:p>
        </w:tc>
        <w:tc>
          <w:tcPr>
            <w:tcW w:w="5386" w:type="dxa"/>
            <w:vAlign w:val="center"/>
          </w:tcPr>
          <w:p w14:paraId="3992F75A">
            <w:pPr>
              <w:pStyle w:val="13"/>
            </w:pPr>
            <w:r>
              <w:t>学校办学能力升情况及学生住宿条件等开展的情况</w:t>
            </w:r>
          </w:p>
        </w:tc>
        <w:tc>
          <w:tcPr>
            <w:tcW w:w="2268" w:type="dxa"/>
            <w:vAlign w:val="center"/>
          </w:tcPr>
          <w:p w14:paraId="589AF09F">
            <w:pPr>
              <w:pStyle w:val="13"/>
            </w:pPr>
            <w:r>
              <w:t>≥100%</w:t>
            </w:r>
          </w:p>
        </w:tc>
        <w:tc>
          <w:tcPr>
            <w:tcW w:w="1276" w:type="dxa"/>
            <w:vAlign w:val="center"/>
          </w:tcPr>
          <w:p w14:paraId="3D12DBCA">
            <w:pPr>
              <w:pStyle w:val="13"/>
            </w:pPr>
            <w:r>
              <w:t>项目规划</w:t>
            </w:r>
          </w:p>
        </w:tc>
      </w:tr>
      <w:tr w14:paraId="509B1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26377">
            <w:pPr>
              <w:pStyle w:val="12"/>
            </w:pPr>
            <w:r>
              <w:t>满意度指标</w:t>
            </w:r>
          </w:p>
        </w:tc>
        <w:tc>
          <w:tcPr>
            <w:tcW w:w="2268" w:type="dxa"/>
            <w:vAlign w:val="center"/>
          </w:tcPr>
          <w:p w14:paraId="42374605">
            <w:pPr>
              <w:pStyle w:val="13"/>
            </w:pPr>
            <w:r>
              <w:t>服务对象满意度指标</w:t>
            </w:r>
          </w:p>
        </w:tc>
        <w:tc>
          <w:tcPr>
            <w:tcW w:w="2835" w:type="dxa"/>
            <w:vAlign w:val="center"/>
          </w:tcPr>
          <w:p w14:paraId="7195E23E">
            <w:pPr>
              <w:pStyle w:val="13"/>
            </w:pPr>
            <w:r>
              <w:t>学生、教师及家长对学校教学环境满意度情况</w:t>
            </w:r>
          </w:p>
        </w:tc>
        <w:tc>
          <w:tcPr>
            <w:tcW w:w="5386" w:type="dxa"/>
            <w:vAlign w:val="center"/>
          </w:tcPr>
          <w:p w14:paraId="458FE0F8">
            <w:pPr>
              <w:pStyle w:val="13"/>
            </w:pPr>
            <w:r>
              <w:t>学生、教师及家长对学生住宿环境满意度情况</w:t>
            </w:r>
          </w:p>
        </w:tc>
        <w:tc>
          <w:tcPr>
            <w:tcW w:w="2268" w:type="dxa"/>
            <w:vAlign w:val="center"/>
          </w:tcPr>
          <w:p w14:paraId="679CE784">
            <w:pPr>
              <w:pStyle w:val="13"/>
            </w:pPr>
            <w:r>
              <w:t>≥95%</w:t>
            </w:r>
          </w:p>
        </w:tc>
        <w:tc>
          <w:tcPr>
            <w:tcW w:w="1276" w:type="dxa"/>
            <w:vAlign w:val="center"/>
          </w:tcPr>
          <w:p w14:paraId="1B5365FB">
            <w:pPr>
              <w:pStyle w:val="13"/>
            </w:pPr>
            <w:r>
              <w:t>项目规划</w:t>
            </w:r>
          </w:p>
        </w:tc>
      </w:tr>
    </w:tbl>
    <w:p w14:paraId="3B673BE5">
      <w:pPr>
        <w:sectPr>
          <w:pgSz w:w="16840" w:h="11900" w:orient="landscape"/>
          <w:pgMar w:top="1361" w:right="1020" w:bottom="1134" w:left="1020" w:header="720" w:footer="720" w:gutter="0"/>
          <w:cols w:space="720" w:num="1"/>
        </w:sectPr>
      </w:pPr>
    </w:p>
    <w:p w14:paraId="694BE550">
      <w:pPr>
        <w:spacing w:before="0" w:after="0"/>
        <w:ind w:firstLine="560"/>
        <w:jc w:val="left"/>
        <w:outlineLvl w:val="9"/>
      </w:pPr>
      <w:r>
        <w:rPr>
          <w:rFonts w:ascii="方正仿宋_GBK" w:hAnsi="方正仿宋_GBK" w:eastAsia="方正仿宋_GBK" w:cs="方正仿宋_GBK"/>
          <w:b/>
          <w:color w:val="000000"/>
          <w:sz w:val="28"/>
        </w:rPr>
        <w:t>2、冀财教[2024]121号/中央/2025年学前发展资金/双碑校区学前教育幼儿资助绩效目标表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35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4ADD1">
            <w:pPr>
              <w:pStyle w:val="14"/>
            </w:pPr>
            <w:r>
              <w:t>单位：万元</w:t>
            </w:r>
          </w:p>
        </w:tc>
      </w:tr>
      <w:tr w14:paraId="0B73B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4D344">
            <w:pPr>
              <w:pStyle w:val="11"/>
            </w:pPr>
            <w:r>
              <w:t>项目编码</w:t>
            </w:r>
          </w:p>
        </w:tc>
        <w:tc>
          <w:tcPr>
            <w:tcW w:w="5103" w:type="dxa"/>
            <w:gridSpan w:val="2"/>
            <w:vAlign w:val="center"/>
          </w:tcPr>
          <w:p w14:paraId="7153BCA4">
            <w:pPr>
              <w:pStyle w:val="13"/>
            </w:pPr>
            <w:r>
              <w:t>13052525P00000210054E</w:t>
            </w:r>
          </w:p>
        </w:tc>
        <w:tc>
          <w:tcPr>
            <w:tcW w:w="2835" w:type="dxa"/>
            <w:vAlign w:val="center"/>
          </w:tcPr>
          <w:p w14:paraId="660A56A4">
            <w:pPr>
              <w:pStyle w:val="11"/>
            </w:pPr>
            <w:r>
              <w:t>项目名称</w:t>
            </w:r>
          </w:p>
        </w:tc>
        <w:tc>
          <w:tcPr>
            <w:tcW w:w="6095" w:type="dxa"/>
            <w:gridSpan w:val="3"/>
            <w:vAlign w:val="center"/>
          </w:tcPr>
          <w:p w14:paraId="61B15208">
            <w:pPr>
              <w:pStyle w:val="13"/>
            </w:pPr>
            <w:r>
              <w:t>冀财教[2024]121号/中央/2025年学前发展资金/双碑校区学前教育幼儿资助</w:t>
            </w:r>
          </w:p>
        </w:tc>
      </w:tr>
      <w:tr w14:paraId="1C42E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8B2C8">
            <w:pPr>
              <w:pStyle w:val="11"/>
            </w:pPr>
            <w:r>
              <w:t>预算规模及资金用途</w:t>
            </w:r>
          </w:p>
        </w:tc>
        <w:tc>
          <w:tcPr>
            <w:tcW w:w="2268" w:type="dxa"/>
            <w:vAlign w:val="center"/>
          </w:tcPr>
          <w:p w14:paraId="27FD73AD">
            <w:pPr>
              <w:pStyle w:val="11"/>
            </w:pPr>
            <w:r>
              <w:t>预算数</w:t>
            </w:r>
          </w:p>
        </w:tc>
        <w:tc>
          <w:tcPr>
            <w:tcW w:w="2835" w:type="dxa"/>
            <w:vAlign w:val="center"/>
          </w:tcPr>
          <w:p w14:paraId="3AD7D7D7">
            <w:pPr>
              <w:pStyle w:val="13"/>
            </w:pPr>
            <w:r>
              <w:t>1.80</w:t>
            </w:r>
          </w:p>
        </w:tc>
        <w:tc>
          <w:tcPr>
            <w:tcW w:w="2835" w:type="dxa"/>
            <w:vAlign w:val="center"/>
          </w:tcPr>
          <w:p w14:paraId="3CBE4D3E">
            <w:pPr>
              <w:pStyle w:val="11"/>
            </w:pPr>
            <w:r>
              <w:t>其中：财政    资金</w:t>
            </w:r>
          </w:p>
        </w:tc>
        <w:tc>
          <w:tcPr>
            <w:tcW w:w="2551" w:type="dxa"/>
            <w:vAlign w:val="center"/>
          </w:tcPr>
          <w:p w14:paraId="325EC9D7">
            <w:pPr>
              <w:pStyle w:val="13"/>
            </w:pPr>
            <w:r>
              <w:t>1.80</w:t>
            </w:r>
          </w:p>
        </w:tc>
        <w:tc>
          <w:tcPr>
            <w:tcW w:w="2268" w:type="dxa"/>
            <w:vAlign w:val="center"/>
          </w:tcPr>
          <w:p w14:paraId="7C2FD9CF">
            <w:pPr>
              <w:pStyle w:val="11"/>
            </w:pPr>
            <w:r>
              <w:t>其他资金</w:t>
            </w:r>
          </w:p>
        </w:tc>
        <w:tc>
          <w:tcPr>
            <w:tcW w:w="1276" w:type="dxa"/>
            <w:vAlign w:val="center"/>
          </w:tcPr>
          <w:p w14:paraId="69938C7F">
            <w:pPr>
              <w:pStyle w:val="13"/>
            </w:pPr>
            <w:r>
              <w:t xml:space="preserve"> </w:t>
            </w:r>
          </w:p>
        </w:tc>
      </w:tr>
      <w:tr w14:paraId="57BB91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6DFAA"/>
        </w:tc>
        <w:tc>
          <w:tcPr>
            <w:tcW w:w="14033" w:type="dxa"/>
            <w:gridSpan w:val="6"/>
            <w:vAlign w:val="center"/>
          </w:tcPr>
          <w:p w14:paraId="03FC9879">
            <w:pPr>
              <w:pStyle w:val="13"/>
            </w:pPr>
            <w:r>
              <w:t>保证本年度资助经费足额落实到位，符合享受资助条件的学生应助尽助。保障落实建档立卡及家庭经济困难儿童资助所需资金，确保建档立卡等家庭经济困难幼儿优先获得资助</w:t>
            </w:r>
          </w:p>
        </w:tc>
      </w:tr>
      <w:tr w14:paraId="2B57E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775D3">
            <w:pPr>
              <w:pStyle w:val="11"/>
            </w:pPr>
            <w:r>
              <w:t>资金支出计划（%）</w:t>
            </w:r>
          </w:p>
        </w:tc>
        <w:tc>
          <w:tcPr>
            <w:tcW w:w="5103" w:type="dxa"/>
            <w:gridSpan w:val="2"/>
            <w:vAlign w:val="center"/>
          </w:tcPr>
          <w:p w14:paraId="2977F961">
            <w:pPr>
              <w:pStyle w:val="11"/>
            </w:pPr>
            <w:r>
              <w:t>3月底</w:t>
            </w:r>
          </w:p>
        </w:tc>
        <w:tc>
          <w:tcPr>
            <w:tcW w:w="2835" w:type="dxa"/>
            <w:vAlign w:val="center"/>
          </w:tcPr>
          <w:p w14:paraId="04575662">
            <w:pPr>
              <w:pStyle w:val="11"/>
            </w:pPr>
            <w:r>
              <w:t>6月底</w:t>
            </w:r>
          </w:p>
        </w:tc>
        <w:tc>
          <w:tcPr>
            <w:tcW w:w="2551" w:type="dxa"/>
            <w:vAlign w:val="center"/>
          </w:tcPr>
          <w:p w14:paraId="15DF0304">
            <w:pPr>
              <w:pStyle w:val="11"/>
            </w:pPr>
            <w:r>
              <w:t>10月底</w:t>
            </w:r>
          </w:p>
        </w:tc>
        <w:tc>
          <w:tcPr>
            <w:tcW w:w="3544" w:type="dxa"/>
            <w:gridSpan w:val="2"/>
            <w:vAlign w:val="center"/>
          </w:tcPr>
          <w:p w14:paraId="1C705BF8">
            <w:pPr>
              <w:pStyle w:val="11"/>
            </w:pPr>
            <w:r>
              <w:t>12月底</w:t>
            </w:r>
          </w:p>
        </w:tc>
      </w:tr>
      <w:tr w14:paraId="445A5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DEB0B"/>
        </w:tc>
        <w:tc>
          <w:tcPr>
            <w:tcW w:w="5103" w:type="dxa"/>
            <w:gridSpan w:val="2"/>
            <w:vAlign w:val="center"/>
          </w:tcPr>
          <w:p w14:paraId="1EA283E5">
            <w:pPr>
              <w:pStyle w:val="12"/>
            </w:pPr>
            <w:r>
              <w:t xml:space="preserve"> </w:t>
            </w:r>
          </w:p>
        </w:tc>
        <w:tc>
          <w:tcPr>
            <w:tcW w:w="2835" w:type="dxa"/>
            <w:vAlign w:val="center"/>
          </w:tcPr>
          <w:p w14:paraId="2FB29145">
            <w:pPr>
              <w:pStyle w:val="12"/>
            </w:pPr>
            <w:r>
              <w:t xml:space="preserve"> </w:t>
            </w:r>
          </w:p>
        </w:tc>
        <w:tc>
          <w:tcPr>
            <w:tcW w:w="2551" w:type="dxa"/>
            <w:vAlign w:val="center"/>
          </w:tcPr>
          <w:p w14:paraId="3BAE3E79">
            <w:pPr>
              <w:pStyle w:val="12"/>
            </w:pPr>
            <w:r>
              <w:t>50%</w:t>
            </w:r>
          </w:p>
        </w:tc>
        <w:tc>
          <w:tcPr>
            <w:tcW w:w="3544" w:type="dxa"/>
            <w:gridSpan w:val="2"/>
            <w:vAlign w:val="center"/>
          </w:tcPr>
          <w:p w14:paraId="3CCCE3F6">
            <w:pPr>
              <w:pStyle w:val="12"/>
            </w:pPr>
            <w:r>
              <w:t>100%</w:t>
            </w:r>
          </w:p>
        </w:tc>
      </w:tr>
      <w:tr w14:paraId="4AE63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C17DA9">
            <w:pPr>
              <w:pStyle w:val="11"/>
            </w:pPr>
            <w:r>
              <w:t>绩效目标</w:t>
            </w:r>
          </w:p>
        </w:tc>
        <w:tc>
          <w:tcPr>
            <w:tcW w:w="14033" w:type="dxa"/>
            <w:gridSpan w:val="6"/>
            <w:vAlign w:val="center"/>
          </w:tcPr>
          <w:p w14:paraId="417F8C63">
            <w:pPr>
              <w:pStyle w:val="13"/>
            </w:pPr>
            <w:r>
              <w:t>1.保证本年度资助经费足额落实到位，符合享受资助条件的学生应助尽助。</w:t>
            </w:r>
          </w:p>
          <w:p w14:paraId="168F15A8">
            <w:pPr>
              <w:pStyle w:val="13"/>
            </w:pPr>
            <w:r>
              <w:t>2.保障落实建档立卡及家庭经济困难儿童资助所需资金，确保建档立卡等家庭经济困难幼儿优先获得资助</w:t>
            </w:r>
          </w:p>
        </w:tc>
      </w:tr>
    </w:tbl>
    <w:p w14:paraId="0F1012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49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3262A">
            <w:pPr>
              <w:pStyle w:val="11"/>
            </w:pPr>
            <w:r>
              <w:t>一级指标</w:t>
            </w:r>
          </w:p>
        </w:tc>
        <w:tc>
          <w:tcPr>
            <w:tcW w:w="2268" w:type="dxa"/>
            <w:vAlign w:val="center"/>
          </w:tcPr>
          <w:p w14:paraId="05FD6E91">
            <w:pPr>
              <w:pStyle w:val="11"/>
            </w:pPr>
            <w:r>
              <w:t>二级指标</w:t>
            </w:r>
          </w:p>
        </w:tc>
        <w:tc>
          <w:tcPr>
            <w:tcW w:w="2835" w:type="dxa"/>
            <w:vAlign w:val="center"/>
          </w:tcPr>
          <w:p w14:paraId="655B4F2B">
            <w:pPr>
              <w:pStyle w:val="11"/>
            </w:pPr>
            <w:r>
              <w:t>三级指标</w:t>
            </w:r>
          </w:p>
        </w:tc>
        <w:tc>
          <w:tcPr>
            <w:tcW w:w="5386" w:type="dxa"/>
            <w:vAlign w:val="center"/>
          </w:tcPr>
          <w:p w14:paraId="04F42A1C">
            <w:pPr>
              <w:pStyle w:val="11"/>
            </w:pPr>
            <w:r>
              <w:t>绩效指标描述</w:t>
            </w:r>
          </w:p>
        </w:tc>
        <w:tc>
          <w:tcPr>
            <w:tcW w:w="2268" w:type="dxa"/>
            <w:vAlign w:val="center"/>
          </w:tcPr>
          <w:p w14:paraId="4FD56CA3">
            <w:pPr>
              <w:pStyle w:val="11"/>
            </w:pPr>
            <w:r>
              <w:t>指标值</w:t>
            </w:r>
          </w:p>
        </w:tc>
        <w:tc>
          <w:tcPr>
            <w:tcW w:w="1276" w:type="dxa"/>
            <w:vAlign w:val="center"/>
          </w:tcPr>
          <w:p w14:paraId="7B65BD85">
            <w:pPr>
              <w:pStyle w:val="11"/>
            </w:pPr>
            <w:r>
              <w:t>指标值确定依据</w:t>
            </w:r>
          </w:p>
        </w:tc>
      </w:tr>
      <w:tr w14:paraId="12315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BA305">
            <w:pPr>
              <w:pStyle w:val="12"/>
            </w:pPr>
            <w:r>
              <w:t>产出指标</w:t>
            </w:r>
          </w:p>
        </w:tc>
        <w:tc>
          <w:tcPr>
            <w:tcW w:w="2268" w:type="dxa"/>
            <w:vAlign w:val="center"/>
          </w:tcPr>
          <w:p w14:paraId="734AAD98">
            <w:pPr>
              <w:pStyle w:val="13"/>
            </w:pPr>
            <w:r>
              <w:t>数量指标</w:t>
            </w:r>
          </w:p>
        </w:tc>
        <w:tc>
          <w:tcPr>
            <w:tcW w:w="2835" w:type="dxa"/>
            <w:vAlign w:val="center"/>
          </w:tcPr>
          <w:p w14:paraId="7EF81526">
            <w:pPr>
              <w:pStyle w:val="13"/>
            </w:pPr>
            <w:r>
              <w:t>幼儿资助比例</w:t>
            </w:r>
          </w:p>
        </w:tc>
        <w:tc>
          <w:tcPr>
            <w:tcW w:w="5386" w:type="dxa"/>
            <w:vAlign w:val="center"/>
          </w:tcPr>
          <w:p w14:paraId="451099A6">
            <w:pPr>
              <w:pStyle w:val="13"/>
            </w:pPr>
            <w:r>
              <w:t>按学前适龄在园儿童10%测算</w:t>
            </w:r>
          </w:p>
        </w:tc>
        <w:tc>
          <w:tcPr>
            <w:tcW w:w="2268" w:type="dxa"/>
            <w:vAlign w:val="center"/>
          </w:tcPr>
          <w:p w14:paraId="425036F3">
            <w:pPr>
              <w:pStyle w:val="13"/>
            </w:pPr>
            <w:r>
              <w:t>≥10%</w:t>
            </w:r>
          </w:p>
        </w:tc>
        <w:tc>
          <w:tcPr>
            <w:tcW w:w="1276" w:type="dxa"/>
            <w:vAlign w:val="center"/>
          </w:tcPr>
          <w:p w14:paraId="36B5A249">
            <w:pPr>
              <w:pStyle w:val="13"/>
            </w:pPr>
            <w:r>
              <w:t>幼儿资助经费管理办法</w:t>
            </w:r>
          </w:p>
        </w:tc>
      </w:tr>
      <w:tr w14:paraId="5B6E0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B7E09"/>
        </w:tc>
        <w:tc>
          <w:tcPr>
            <w:tcW w:w="2268" w:type="dxa"/>
            <w:vAlign w:val="center"/>
          </w:tcPr>
          <w:p w14:paraId="404D31C5">
            <w:pPr>
              <w:pStyle w:val="13"/>
            </w:pPr>
            <w:r>
              <w:t>质量指标</w:t>
            </w:r>
          </w:p>
        </w:tc>
        <w:tc>
          <w:tcPr>
            <w:tcW w:w="2835" w:type="dxa"/>
            <w:vAlign w:val="center"/>
          </w:tcPr>
          <w:p w14:paraId="02C4F78A">
            <w:pPr>
              <w:pStyle w:val="13"/>
            </w:pPr>
            <w:r>
              <w:t>学前教育资助制度落实情况</w:t>
            </w:r>
          </w:p>
        </w:tc>
        <w:tc>
          <w:tcPr>
            <w:tcW w:w="5386" w:type="dxa"/>
            <w:vAlign w:val="center"/>
          </w:tcPr>
          <w:p w14:paraId="5C8F9BB9">
            <w:pPr>
              <w:pStyle w:val="13"/>
            </w:pPr>
            <w:r>
              <w:t>符合享受资助条件的学生应助尽助</w:t>
            </w:r>
          </w:p>
        </w:tc>
        <w:tc>
          <w:tcPr>
            <w:tcW w:w="2268" w:type="dxa"/>
            <w:vAlign w:val="center"/>
          </w:tcPr>
          <w:p w14:paraId="7F63FCB8">
            <w:pPr>
              <w:pStyle w:val="13"/>
            </w:pPr>
            <w:r>
              <w:t>≥100%</w:t>
            </w:r>
          </w:p>
        </w:tc>
        <w:tc>
          <w:tcPr>
            <w:tcW w:w="1276" w:type="dxa"/>
            <w:vAlign w:val="center"/>
          </w:tcPr>
          <w:p w14:paraId="39223BF9">
            <w:pPr>
              <w:pStyle w:val="13"/>
            </w:pPr>
            <w:r>
              <w:t>幼儿资助经费管理办法</w:t>
            </w:r>
          </w:p>
        </w:tc>
      </w:tr>
      <w:tr w14:paraId="41800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48D68"/>
        </w:tc>
        <w:tc>
          <w:tcPr>
            <w:tcW w:w="2268" w:type="dxa"/>
            <w:vAlign w:val="center"/>
          </w:tcPr>
          <w:p w14:paraId="3392AD7C">
            <w:pPr>
              <w:pStyle w:val="13"/>
            </w:pPr>
            <w:r>
              <w:t>时效指标</w:t>
            </w:r>
          </w:p>
        </w:tc>
        <w:tc>
          <w:tcPr>
            <w:tcW w:w="2835" w:type="dxa"/>
            <w:vAlign w:val="center"/>
          </w:tcPr>
          <w:p w14:paraId="1F171437">
            <w:pPr>
              <w:pStyle w:val="13"/>
            </w:pPr>
            <w:r>
              <w:t>资金拨付率</w:t>
            </w:r>
          </w:p>
        </w:tc>
        <w:tc>
          <w:tcPr>
            <w:tcW w:w="5386" w:type="dxa"/>
            <w:vAlign w:val="center"/>
          </w:tcPr>
          <w:p w14:paraId="01970B2B">
            <w:pPr>
              <w:pStyle w:val="13"/>
            </w:pPr>
            <w:r>
              <w:t>所有项目资金支付进度</w:t>
            </w:r>
          </w:p>
        </w:tc>
        <w:tc>
          <w:tcPr>
            <w:tcW w:w="2268" w:type="dxa"/>
            <w:vAlign w:val="center"/>
          </w:tcPr>
          <w:p w14:paraId="2AF5FCB0">
            <w:pPr>
              <w:pStyle w:val="13"/>
            </w:pPr>
            <w:r>
              <w:t>≥100%</w:t>
            </w:r>
          </w:p>
        </w:tc>
        <w:tc>
          <w:tcPr>
            <w:tcW w:w="1276" w:type="dxa"/>
            <w:vAlign w:val="center"/>
          </w:tcPr>
          <w:p w14:paraId="5A238196">
            <w:pPr>
              <w:pStyle w:val="13"/>
            </w:pPr>
            <w:r>
              <w:t>幼儿资助经费管理办法</w:t>
            </w:r>
          </w:p>
        </w:tc>
      </w:tr>
      <w:tr w14:paraId="7A336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07264"/>
        </w:tc>
        <w:tc>
          <w:tcPr>
            <w:tcW w:w="2268" w:type="dxa"/>
            <w:vAlign w:val="center"/>
          </w:tcPr>
          <w:p w14:paraId="30A873B4">
            <w:pPr>
              <w:pStyle w:val="13"/>
            </w:pPr>
            <w:r>
              <w:t>成本指标</w:t>
            </w:r>
          </w:p>
        </w:tc>
        <w:tc>
          <w:tcPr>
            <w:tcW w:w="2835" w:type="dxa"/>
            <w:vAlign w:val="center"/>
          </w:tcPr>
          <w:p w14:paraId="608C5524">
            <w:pPr>
              <w:pStyle w:val="13"/>
            </w:pPr>
            <w:r>
              <w:t>幼儿园资助标准</w:t>
            </w:r>
          </w:p>
        </w:tc>
        <w:tc>
          <w:tcPr>
            <w:tcW w:w="5386" w:type="dxa"/>
            <w:vAlign w:val="center"/>
          </w:tcPr>
          <w:p w14:paraId="6B4C5B12">
            <w:pPr>
              <w:pStyle w:val="13"/>
            </w:pPr>
            <w:r>
              <w:t>按照幼儿园资助标准1000元/生/年</w:t>
            </w:r>
          </w:p>
        </w:tc>
        <w:tc>
          <w:tcPr>
            <w:tcW w:w="2268" w:type="dxa"/>
            <w:vAlign w:val="center"/>
          </w:tcPr>
          <w:p w14:paraId="58BFD3F3">
            <w:pPr>
              <w:pStyle w:val="13"/>
            </w:pPr>
            <w:r>
              <w:t>1000元</w:t>
            </w:r>
          </w:p>
        </w:tc>
        <w:tc>
          <w:tcPr>
            <w:tcW w:w="1276" w:type="dxa"/>
            <w:vAlign w:val="center"/>
          </w:tcPr>
          <w:p w14:paraId="533DBCC2">
            <w:pPr>
              <w:pStyle w:val="13"/>
            </w:pPr>
            <w:r>
              <w:t>幼儿资助经费管理办法</w:t>
            </w:r>
          </w:p>
        </w:tc>
      </w:tr>
      <w:tr w14:paraId="07735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FB2384">
            <w:pPr>
              <w:pStyle w:val="12"/>
            </w:pPr>
            <w:r>
              <w:t>效益指标</w:t>
            </w:r>
          </w:p>
        </w:tc>
        <w:tc>
          <w:tcPr>
            <w:tcW w:w="2268" w:type="dxa"/>
            <w:vAlign w:val="center"/>
          </w:tcPr>
          <w:p w14:paraId="1C0FF378">
            <w:pPr>
              <w:pStyle w:val="13"/>
            </w:pPr>
            <w:r>
              <w:t>可持续影响指标</w:t>
            </w:r>
          </w:p>
        </w:tc>
        <w:tc>
          <w:tcPr>
            <w:tcW w:w="2835" w:type="dxa"/>
            <w:vAlign w:val="center"/>
          </w:tcPr>
          <w:p w14:paraId="29936970">
            <w:pPr>
              <w:pStyle w:val="13"/>
            </w:pPr>
            <w:r>
              <w:t>幼儿园运转</w:t>
            </w:r>
          </w:p>
        </w:tc>
        <w:tc>
          <w:tcPr>
            <w:tcW w:w="5386" w:type="dxa"/>
            <w:vAlign w:val="center"/>
          </w:tcPr>
          <w:p w14:paraId="5797CC96">
            <w:pPr>
              <w:pStyle w:val="13"/>
            </w:pPr>
            <w:r>
              <w:t>幼儿受教育年限</w:t>
            </w:r>
          </w:p>
        </w:tc>
        <w:tc>
          <w:tcPr>
            <w:tcW w:w="2268" w:type="dxa"/>
            <w:vAlign w:val="center"/>
          </w:tcPr>
          <w:p w14:paraId="630456E2">
            <w:pPr>
              <w:pStyle w:val="13"/>
            </w:pPr>
            <w:r>
              <w:t>3年</w:t>
            </w:r>
          </w:p>
        </w:tc>
        <w:tc>
          <w:tcPr>
            <w:tcW w:w="1276" w:type="dxa"/>
            <w:vAlign w:val="center"/>
          </w:tcPr>
          <w:p w14:paraId="1A1C1C88">
            <w:pPr>
              <w:pStyle w:val="13"/>
            </w:pPr>
            <w:r>
              <w:t>幼儿资助经费管理办法</w:t>
            </w:r>
          </w:p>
        </w:tc>
      </w:tr>
      <w:tr w14:paraId="62D4D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E91995">
            <w:pPr>
              <w:pStyle w:val="12"/>
            </w:pPr>
            <w:r>
              <w:t>满意度指标</w:t>
            </w:r>
          </w:p>
        </w:tc>
        <w:tc>
          <w:tcPr>
            <w:tcW w:w="2268" w:type="dxa"/>
            <w:vAlign w:val="center"/>
          </w:tcPr>
          <w:p w14:paraId="4DBF87AD">
            <w:pPr>
              <w:pStyle w:val="13"/>
            </w:pPr>
            <w:r>
              <w:t>服务对象满意度指标</w:t>
            </w:r>
          </w:p>
        </w:tc>
        <w:tc>
          <w:tcPr>
            <w:tcW w:w="2835" w:type="dxa"/>
            <w:vAlign w:val="center"/>
          </w:tcPr>
          <w:p w14:paraId="09C7D6F0">
            <w:pPr>
              <w:pStyle w:val="13"/>
            </w:pPr>
            <w:r>
              <w:t>受益幼儿家长及调查满意度</w:t>
            </w:r>
          </w:p>
        </w:tc>
        <w:tc>
          <w:tcPr>
            <w:tcW w:w="5386" w:type="dxa"/>
            <w:vAlign w:val="center"/>
          </w:tcPr>
          <w:p w14:paraId="5DC846B8">
            <w:pPr>
              <w:pStyle w:val="13"/>
            </w:pPr>
            <w:r>
              <w:t>学生、教师及家长对学校保教保育工作满意度情况</w:t>
            </w:r>
          </w:p>
        </w:tc>
        <w:tc>
          <w:tcPr>
            <w:tcW w:w="2268" w:type="dxa"/>
            <w:vAlign w:val="center"/>
          </w:tcPr>
          <w:p w14:paraId="07C95975">
            <w:pPr>
              <w:pStyle w:val="13"/>
            </w:pPr>
            <w:r>
              <w:t>≥95%</w:t>
            </w:r>
          </w:p>
        </w:tc>
        <w:tc>
          <w:tcPr>
            <w:tcW w:w="1276" w:type="dxa"/>
            <w:vAlign w:val="center"/>
          </w:tcPr>
          <w:p w14:paraId="3F7956D0">
            <w:pPr>
              <w:pStyle w:val="13"/>
            </w:pPr>
            <w:r>
              <w:t>幼儿资助经费管理办法</w:t>
            </w:r>
          </w:p>
        </w:tc>
      </w:tr>
    </w:tbl>
    <w:p w14:paraId="2DD151B3">
      <w:pPr>
        <w:sectPr>
          <w:pgSz w:w="16840" w:h="11900" w:orient="landscape"/>
          <w:pgMar w:top="1361" w:right="1020" w:bottom="1134" w:left="1020" w:header="720" w:footer="720" w:gutter="0"/>
          <w:cols w:space="720" w:num="1"/>
        </w:sectPr>
      </w:pPr>
    </w:p>
    <w:p w14:paraId="1F78EDEB">
      <w:pPr>
        <w:spacing w:before="0" w:after="0"/>
        <w:ind w:firstLine="560"/>
        <w:jc w:val="left"/>
        <w:outlineLvl w:val="9"/>
      </w:pPr>
      <w:r>
        <w:rPr>
          <w:rFonts w:ascii="方正仿宋_GBK" w:hAnsi="方正仿宋_GBK" w:eastAsia="方正仿宋_GBK" w:cs="方正仿宋_GBK"/>
          <w:b/>
          <w:color w:val="000000"/>
          <w:sz w:val="28"/>
        </w:rPr>
        <w:t>3、冀财教[2024]121号/中央/2025年学前教育发展/北村幼儿园维修改造绩效目标表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26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1626A">
            <w:pPr>
              <w:pStyle w:val="14"/>
            </w:pPr>
            <w:r>
              <w:t>单位：万元</w:t>
            </w:r>
          </w:p>
        </w:tc>
      </w:tr>
      <w:tr w14:paraId="3650B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6A4556">
            <w:pPr>
              <w:pStyle w:val="11"/>
            </w:pPr>
            <w:r>
              <w:t>项目编码</w:t>
            </w:r>
          </w:p>
        </w:tc>
        <w:tc>
          <w:tcPr>
            <w:tcW w:w="5103" w:type="dxa"/>
            <w:gridSpan w:val="2"/>
            <w:vAlign w:val="center"/>
          </w:tcPr>
          <w:p w14:paraId="3BC376B7">
            <w:pPr>
              <w:pStyle w:val="13"/>
            </w:pPr>
            <w:r>
              <w:t>13052525P008769100041</w:t>
            </w:r>
          </w:p>
        </w:tc>
        <w:tc>
          <w:tcPr>
            <w:tcW w:w="2835" w:type="dxa"/>
            <w:vAlign w:val="center"/>
          </w:tcPr>
          <w:p w14:paraId="500897BD">
            <w:pPr>
              <w:pStyle w:val="11"/>
            </w:pPr>
            <w:r>
              <w:t>项目名称</w:t>
            </w:r>
          </w:p>
        </w:tc>
        <w:tc>
          <w:tcPr>
            <w:tcW w:w="6095" w:type="dxa"/>
            <w:gridSpan w:val="3"/>
            <w:vAlign w:val="center"/>
          </w:tcPr>
          <w:p w14:paraId="08FB18E8">
            <w:pPr>
              <w:pStyle w:val="13"/>
            </w:pPr>
            <w:r>
              <w:t>冀财教[2024]121号/中央/2025年学前教育发展/北村幼儿园维修改造</w:t>
            </w:r>
          </w:p>
        </w:tc>
      </w:tr>
      <w:tr w14:paraId="256E1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AD8CE">
            <w:pPr>
              <w:pStyle w:val="11"/>
            </w:pPr>
            <w:r>
              <w:t>预算规模及资金用途</w:t>
            </w:r>
          </w:p>
        </w:tc>
        <w:tc>
          <w:tcPr>
            <w:tcW w:w="2268" w:type="dxa"/>
            <w:vAlign w:val="center"/>
          </w:tcPr>
          <w:p w14:paraId="00198540">
            <w:pPr>
              <w:pStyle w:val="11"/>
            </w:pPr>
            <w:r>
              <w:t>预算数</w:t>
            </w:r>
          </w:p>
        </w:tc>
        <w:tc>
          <w:tcPr>
            <w:tcW w:w="2835" w:type="dxa"/>
            <w:vAlign w:val="center"/>
          </w:tcPr>
          <w:p w14:paraId="68E1F87B">
            <w:pPr>
              <w:pStyle w:val="13"/>
            </w:pPr>
            <w:r>
              <w:t>18.00</w:t>
            </w:r>
          </w:p>
        </w:tc>
        <w:tc>
          <w:tcPr>
            <w:tcW w:w="2835" w:type="dxa"/>
            <w:vAlign w:val="center"/>
          </w:tcPr>
          <w:p w14:paraId="015E1379">
            <w:pPr>
              <w:pStyle w:val="11"/>
            </w:pPr>
            <w:r>
              <w:t>其中：财政    资金</w:t>
            </w:r>
          </w:p>
        </w:tc>
        <w:tc>
          <w:tcPr>
            <w:tcW w:w="2551" w:type="dxa"/>
            <w:vAlign w:val="center"/>
          </w:tcPr>
          <w:p w14:paraId="462086AE">
            <w:pPr>
              <w:pStyle w:val="13"/>
            </w:pPr>
            <w:r>
              <w:t>18.00</w:t>
            </w:r>
          </w:p>
        </w:tc>
        <w:tc>
          <w:tcPr>
            <w:tcW w:w="2268" w:type="dxa"/>
            <w:vAlign w:val="center"/>
          </w:tcPr>
          <w:p w14:paraId="77AF144E">
            <w:pPr>
              <w:pStyle w:val="11"/>
            </w:pPr>
            <w:r>
              <w:t>其他资金</w:t>
            </w:r>
          </w:p>
        </w:tc>
        <w:tc>
          <w:tcPr>
            <w:tcW w:w="1276" w:type="dxa"/>
            <w:vAlign w:val="center"/>
          </w:tcPr>
          <w:p w14:paraId="5B2F43E7">
            <w:pPr>
              <w:pStyle w:val="13"/>
            </w:pPr>
            <w:r>
              <w:t xml:space="preserve"> </w:t>
            </w:r>
          </w:p>
        </w:tc>
      </w:tr>
      <w:tr w14:paraId="73620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DB58B6"/>
        </w:tc>
        <w:tc>
          <w:tcPr>
            <w:tcW w:w="14033" w:type="dxa"/>
            <w:gridSpan w:val="6"/>
            <w:vAlign w:val="center"/>
          </w:tcPr>
          <w:p w14:paraId="3F020371">
            <w:pPr>
              <w:pStyle w:val="13"/>
            </w:pPr>
            <w:r>
              <w:t>完成北村幼儿园维修改造</w:t>
            </w:r>
            <w:r>
              <w:rPr>
                <w:rFonts w:hint="eastAsia"/>
                <w:lang w:eastAsia="zh-CN"/>
              </w:rPr>
              <w:t>，</w:t>
            </w:r>
            <w:r>
              <w:t>满足学校正常教学需要。</w:t>
            </w:r>
          </w:p>
        </w:tc>
      </w:tr>
      <w:tr w14:paraId="12DA4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62BEA">
            <w:pPr>
              <w:pStyle w:val="11"/>
            </w:pPr>
            <w:r>
              <w:t>资金支出计划（%）</w:t>
            </w:r>
          </w:p>
        </w:tc>
        <w:tc>
          <w:tcPr>
            <w:tcW w:w="5103" w:type="dxa"/>
            <w:gridSpan w:val="2"/>
            <w:vAlign w:val="center"/>
          </w:tcPr>
          <w:p w14:paraId="242F223C">
            <w:pPr>
              <w:pStyle w:val="11"/>
            </w:pPr>
            <w:r>
              <w:t>3月底</w:t>
            </w:r>
          </w:p>
        </w:tc>
        <w:tc>
          <w:tcPr>
            <w:tcW w:w="2835" w:type="dxa"/>
            <w:vAlign w:val="center"/>
          </w:tcPr>
          <w:p w14:paraId="5DB1E0B1">
            <w:pPr>
              <w:pStyle w:val="11"/>
            </w:pPr>
            <w:r>
              <w:t>6月底</w:t>
            </w:r>
          </w:p>
        </w:tc>
        <w:tc>
          <w:tcPr>
            <w:tcW w:w="2551" w:type="dxa"/>
            <w:vAlign w:val="center"/>
          </w:tcPr>
          <w:p w14:paraId="39EFA9FA">
            <w:pPr>
              <w:pStyle w:val="11"/>
            </w:pPr>
            <w:r>
              <w:t>10月底</w:t>
            </w:r>
          </w:p>
        </w:tc>
        <w:tc>
          <w:tcPr>
            <w:tcW w:w="3544" w:type="dxa"/>
            <w:gridSpan w:val="2"/>
            <w:vAlign w:val="center"/>
          </w:tcPr>
          <w:p w14:paraId="2AC3A491">
            <w:pPr>
              <w:pStyle w:val="11"/>
            </w:pPr>
            <w:r>
              <w:t>12月底</w:t>
            </w:r>
          </w:p>
        </w:tc>
      </w:tr>
      <w:tr w14:paraId="45C31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377CC"/>
        </w:tc>
        <w:tc>
          <w:tcPr>
            <w:tcW w:w="5103" w:type="dxa"/>
            <w:gridSpan w:val="2"/>
            <w:vAlign w:val="center"/>
          </w:tcPr>
          <w:p w14:paraId="221948E8">
            <w:pPr>
              <w:pStyle w:val="12"/>
            </w:pPr>
            <w:r>
              <w:t xml:space="preserve"> </w:t>
            </w:r>
          </w:p>
        </w:tc>
        <w:tc>
          <w:tcPr>
            <w:tcW w:w="2835" w:type="dxa"/>
            <w:vAlign w:val="center"/>
          </w:tcPr>
          <w:p w14:paraId="5FF3F9BB">
            <w:pPr>
              <w:pStyle w:val="12"/>
            </w:pPr>
            <w:r>
              <w:t xml:space="preserve"> </w:t>
            </w:r>
          </w:p>
        </w:tc>
        <w:tc>
          <w:tcPr>
            <w:tcW w:w="2551" w:type="dxa"/>
            <w:vAlign w:val="center"/>
          </w:tcPr>
          <w:p w14:paraId="1542D334">
            <w:pPr>
              <w:pStyle w:val="12"/>
            </w:pPr>
            <w:r>
              <w:t>100%</w:t>
            </w:r>
          </w:p>
        </w:tc>
        <w:tc>
          <w:tcPr>
            <w:tcW w:w="3544" w:type="dxa"/>
            <w:gridSpan w:val="2"/>
            <w:vAlign w:val="center"/>
          </w:tcPr>
          <w:p w14:paraId="0EA67752">
            <w:pPr>
              <w:pStyle w:val="12"/>
            </w:pPr>
            <w:r>
              <w:t>100%</w:t>
            </w:r>
          </w:p>
        </w:tc>
      </w:tr>
      <w:tr w14:paraId="6EAB0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4E55C1">
            <w:pPr>
              <w:pStyle w:val="11"/>
            </w:pPr>
            <w:r>
              <w:t>绩效目标</w:t>
            </w:r>
          </w:p>
        </w:tc>
        <w:tc>
          <w:tcPr>
            <w:tcW w:w="14033" w:type="dxa"/>
            <w:gridSpan w:val="6"/>
            <w:vAlign w:val="center"/>
          </w:tcPr>
          <w:p w14:paraId="2FFE9964">
            <w:pPr>
              <w:pStyle w:val="13"/>
            </w:pPr>
            <w:r>
              <w:t>1.按规定拨付专项资金，资金支付率达到100%。</w:t>
            </w:r>
          </w:p>
          <w:p w14:paraId="5A3D5276">
            <w:pPr>
              <w:pStyle w:val="13"/>
            </w:pPr>
            <w:r>
              <w:t>2.完成北村幼儿园维修改造，满足学校正常教学需要。</w:t>
            </w:r>
          </w:p>
        </w:tc>
      </w:tr>
    </w:tbl>
    <w:p w14:paraId="1376F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48"/>
        <w:gridCol w:w="1796"/>
      </w:tblGrid>
      <w:tr w14:paraId="6366C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52E87">
            <w:pPr>
              <w:pStyle w:val="11"/>
            </w:pPr>
            <w:r>
              <w:t>一级指标</w:t>
            </w:r>
          </w:p>
        </w:tc>
        <w:tc>
          <w:tcPr>
            <w:tcW w:w="2268" w:type="dxa"/>
            <w:vAlign w:val="center"/>
          </w:tcPr>
          <w:p w14:paraId="26B0A1D7">
            <w:pPr>
              <w:pStyle w:val="11"/>
            </w:pPr>
            <w:r>
              <w:t>二级指标</w:t>
            </w:r>
          </w:p>
        </w:tc>
        <w:tc>
          <w:tcPr>
            <w:tcW w:w="2835" w:type="dxa"/>
            <w:vAlign w:val="center"/>
          </w:tcPr>
          <w:p w14:paraId="78EE6E50">
            <w:pPr>
              <w:pStyle w:val="11"/>
            </w:pPr>
            <w:r>
              <w:t>三级指标</w:t>
            </w:r>
          </w:p>
        </w:tc>
        <w:tc>
          <w:tcPr>
            <w:tcW w:w="5386" w:type="dxa"/>
            <w:vAlign w:val="center"/>
          </w:tcPr>
          <w:p w14:paraId="1DC7A1F2">
            <w:pPr>
              <w:pStyle w:val="11"/>
            </w:pPr>
            <w:r>
              <w:t>绩效指标描述</w:t>
            </w:r>
          </w:p>
        </w:tc>
        <w:tc>
          <w:tcPr>
            <w:tcW w:w="1748" w:type="dxa"/>
            <w:vAlign w:val="center"/>
          </w:tcPr>
          <w:p w14:paraId="2E1F3B84">
            <w:pPr>
              <w:pStyle w:val="11"/>
            </w:pPr>
            <w:r>
              <w:t>指标值</w:t>
            </w:r>
          </w:p>
        </w:tc>
        <w:tc>
          <w:tcPr>
            <w:tcW w:w="1796" w:type="dxa"/>
            <w:vAlign w:val="center"/>
          </w:tcPr>
          <w:p w14:paraId="2C379BFD">
            <w:pPr>
              <w:pStyle w:val="11"/>
            </w:pPr>
            <w:r>
              <w:t>指标值确定依据</w:t>
            </w:r>
          </w:p>
        </w:tc>
      </w:tr>
      <w:tr w14:paraId="564A6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A4B72">
            <w:pPr>
              <w:pStyle w:val="12"/>
            </w:pPr>
            <w:r>
              <w:t>产出指标</w:t>
            </w:r>
          </w:p>
        </w:tc>
        <w:tc>
          <w:tcPr>
            <w:tcW w:w="2268" w:type="dxa"/>
            <w:vAlign w:val="center"/>
          </w:tcPr>
          <w:p w14:paraId="40E54C8C">
            <w:pPr>
              <w:pStyle w:val="13"/>
            </w:pPr>
            <w:r>
              <w:t>数量指标</w:t>
            </w:r>
          </w:p>
        </w:tc>
        <w:tc>
          <w:tcPr>
            <w:tcW w:w="2835" w:type="dxa"/>
            <w:vAlign w:val="center"/>
          </w:tcPr>
          <w:p w14:paraId="2B0C7761">
            <w:pPr>
              <w:pStyle w:val="13"/>
            </w:pPr>
            <w:r>
              <w:t>围墙改建、地面改造、墙面美化和悬浮地板</w:t>
            </w:r>
          </w:p>
        </w:tc>
        <w:tc>
          <w:tcPr>
            <w:tcW w:w="5386" w:type="dxa"/>
            <w:vAlign w:val="center"/>
          </w:tcPr>
          <w:p w14:paraId="5F80DC75">
            <w:pPr>
              <w:pStyle w:val="13"/>
            </w:pPr>
            <w:r>
              <w:t>围墙改建、地面改造、墙面美化和悬浮地板</w:t>
            </w:r>
          </w:p>
        </w:tc>
        <w:tc>
          <w:tcPr>
            <w:tcW w:w="1748" w:type="dxa"/>
            <w:vAlign w:val="center"/>
          </w:tcPr>
          <w:p w14:paraId="73293692">
            <w:pPr>
              <w:pStyle w:val="13"/>
            </w:pPr>
            <w:r>
              <w:t>18万元</w:t>
            </w:r>
          </w:p>
        </w:tc>
        <w:tc>
          <w:tcPr>
            <w:tcW w:w="1796" w:type="dxa"/>
            <w:vAlign w:val="center"/>
          </w:tcPr>
          <w:p w14:paraId="7159B563">
            <w:pPr>
              <w:pStyle w:val="13"/>
            </w:pPr>
            <w:r>
              <w:t>城乡义务教育公用经费管理办法</w:t>
            </w:r>
          </w:p>
        </w:tc>
      </w:tr>
      <w:tr w14:paraId="0C798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1F7D7"/>
        </w:tc>
        <w:tc>
          <w:tcPr>
            <w:tcW w:w="2268" w:type="dxa"/>
            <w:vAlign w:val="center"/>
          </w:tcPr>
          <w:p w14:paraId="4BEB1F33">
            <w:pPr>
              <w:pStyle w:val="13"/>
            </w:pPr>
            <w:r>
              <w:t>质量指标</w:t>
            </w:r>
          </w:p>
        </w:tc>
        <w:tc>
          <w:tcPr>
            <w:tcW w:w="2835" w:type="dxa"/>
            <w:vAlign w:val="center"/>
          </w:tcPr>
          <w:p w14:paraId="574F3832">
            <w:pPr>
              <w:pStyle w:val="13"/>
            </w:pPr>
            <w:r>
              <w:t>资金支付率</w:t>
            </w:r>
          </w:p>
        </w:tc>
        <w:tc>
          <w:tcPr>
            <w:tcW w:w="5386" w:type="dxa"/>
            <w:vAlign w:val="center"/>
          </w:tcPr>
          <w:p w14:paraId="55685F31">
            <w:pPr>
              <w:pStyle w:val="13"/>
            </w:pPr>
            <w:r>
              <w:t>按照序时进度完成资金支付</w:t>
            </w:r>
          </w:p>
        </w:tc>
        <w:tc>
          <w:tcPr>
            <w:tcW w:w="1748" w:type="dxa"/>
            <w:vAlign w:val="center"/>
          </w:tcPr>
          <w:p w14:paraId="332BD256">
            <w:pPr>
              <w:pStyle w:val="13"/>
            </w:pPr>
            <w:r>
              <w:t>≥100%</w:t>
            </w:r>
          </w:p>
        </w:tc>
        <w:tc>
          <w:tcPr>
            <w:tcW w:w="1796" w:type="dxa"/>
            <w:vAlign w:val="center"/>
          </w:tcPr>
          <w:p w14:paraId="0FCEA64E">
            <w:pPr>
              <w:pStyle w:val="13"/>
            </w:pPr>
            <w:r>
              <w:t>城乡义务教育公用经费管理办法</w:t>
            </w:r>
          </w:p>
        </w:tc>
      </w:tr>
      <w:tr w14:paraId="0D4F4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09BCE"/>
        </w:tc>
        <w:tc>
          <w:tcPr>
            <w:tcW w:w="2268" w:type="dxa"/>
            <w:vAlign w:val="center"/>
          </w:tcPr>
          <w:p w14:paraId="0757C16B">
            <w:pPr>
              <w:pStyle w:val="13"/>
            </w:pPr>
            <w:r>
              <w:t>时效指标</w:t>
            </w:r>
          </w:p>
        </w:tc>
        <w:tc>
          <w:tcPr>
            <w:tcW w:w="2835" w:type="dxa"/>
            <w:vAlign w:val="center"/>
          </w:tcPr>
          <w:p w14:paraId="7F9AED84">
            <w:pPr>
              <w:pStyle w:val="13"/>
            </w:pPr>
            <w:r>
              <w:t>项目竣工验收合格率</w:t>
            </w:r>
          </w:p>
        </w:tc>
        <w:tc>
          <w:tcPr>
            <w:tcW w:w="5386" w:type="dxa"/>
            <w:vAlign w:val="center"/>
          </w:tcPr>
          <w:p w14:paraId="72A3F05B">
            <w:pPr>
              <w:pStyle w:val="13"/>
            </w:pPr>
            <w:r>
              <w:t>项目改造质量达标率</w:t>
            </w:r>
          </w:p>
        </w:tc>
        <w:tc>
          <w:tcPr>
            <w:tcW w:w="1748" w:type="dxa"/>
            <w:vAlign w:val="center"/>
          </w:tcPr>
          <w:p w14:paraId="3934B0EF">
            <w:pPr>
              <w:pStyle w:val="13"/>
            </w:pPr>
            <w:r>
              <w:t>≥100%</w:t>
            </w:r>
          </w:p>
        </w:tc>
        <w:tc>
          <w:tcPr>
            <w:tcW w:w="1796" w:type="dxa"/>
            <w:vAlign w:val="center"/>
          </w:tcPr>
          <w:p w14:paraId="102F0DFA">
            <w:pPr>
              <w:pStyle w:val="13"/>
            </w:pPr>
            <w:r>
              <w:t>城乡义务教育公用经费管理办法</w:t>
            </w:r>
          </w:p>
        </w:tc>
      </w:tr>
      <w:tr w14:paraId="5B89A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D0AEE"/>
        </w:tc>
        <w:tc>
          <w:tcPr>
            <w:tcW w:w="2268" w:type="dxa"/>
            <w:vAlign w:val="center"/>
          </w:tcPr>
          <w:p w14:paraId="19680337">
            <w:pPr>
              <w:pStyle w:val="13"/>
            </w:pPr>
            <w:r>
              <w:t>成本指标</w:t>
            </w:r>
          </w:p>
        </w:tc>
        <w:tc>
          <w:tcPr>
            <w:tcW w:w="2835" w:type="dxa"/>
            <w:vAlign w:val="center"/>
          </w:tcPr>
          <w:p w14:paraId="2ED5540E">
            <w:pPr>
              <w:pStyle w:val="13"/>
            </w:pPr>
            <w:r>
              <w:t>项目实际成本</w:t>
            </w:r>
          </w:p>
        </w:tc>
        <w:tc>
          <w:tcPr>
            <w:tcW w:w="5386" w:type="dxa"/>
            <w:vAlign w:val="center"/>
          </w:tcPr>
          <w:p w14:paraId="3A68DF66">
            <w:pPr>
              <w:pStyle w:val="13"/>
            </w:pPr>
            <w:r>
              <w:t>围墙改建、地面改造、墙面美化和悬浮地板</w:t>
            </w:r>
          </w:p>
        </w:tc>
        <w:tc>
          <w:tcPr>
            <w:tcW w:w="1748" w:type="dxa"/>
            <w:vAlign w:val="center"/>
          </w:tcPr>
          <w:p w14:paraId="04D91800">
            <w:pPr>
              <w:pStyle w:val="13"/>
            </w:pPr>
            <w:r>
              <w:t>18万元</w:t>
            </w:r>
          </w:p>
        </w:tc>
        <w:tc>
          <w:tcPr>
            <w:tcW w:w="1796" w:type="dxa"/>
            <w:vAlign w:val="center"/>
          </w:tcPr>
          <w:p w14:paraId="769FBA1F">
            <w:pPr>
              <w:pStyle w:val="13"/>
            </w:pPr>
            <w:r>
              <w:t>城乡义务教育公用经费管理办法</w:t>
            </w:r>
          </w:p>
        </w:tc>
      </w:tr>
      <w:tr w14:paraId="41E25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196C1">
            <w:pPr>
              <w:pStyle w:val="12"/>
            </w:pPr>
            <w:r>
              <w:t>效益指标</w:t>
            </w:r>
          </w:p>
        </w:tc>
        <w:tc>
          <w:tcPr>
            <w:tcW w:w="2268" w:type="dxa"/>
            <w:vAlign w:val="center"/>
          </w:tcPr>
          <w:p w14:paraId="0DCED7C7">
            <w:pPr>
              <w:pStyle w:val="13"/>
            </w:pPr>
            <w:r>
              <w:t>经济效益指标</w:t>
            </w:r>
          </w:p>
        </w:tc>
        <w:tc>
          <w:tcPr>
            <w:tcW w:w="2835" w:type="dxa"/>
            <w:vAlign w:val="center"/>
          </w:tcPr>
          <w:p w14:paraId="143C83A7">
            <w:pPr>
              <w:pStyle w:val="13"/>
            </w:pPr>
            <w:r>
              <w:t>教育发展水平</w:t>
            </w:r>
          </w:p>
        </w:tc>
        <w:tc>
          <w:tcPr>
            <w:tcW w:w="5386" w:type="dxa"/>
            <w:vAlign w:val="center"/>
          </w:tcPr>
          <w:p w14:paraId="12AE979F">
            <w:pPr>
              <w:pStyle w:val="13"/>
            </w:pPr>
            <w:r>
              <w:t>辖区内教育环境明显好转</w:t>
            </w:r>
          </w:p>
        </w:tc>
        <w:tc>
          <w:tcPr>
            <w:tcW w:w="1748" w:type="dxa"/>
            <w:vAlign w:val="center"/>
          </w:tcPr>
          <w:p w14:paraId="0E8A0E10">
            <w:pPr>
              <w:pStyle w:val="13"/>
            </w:pPr>
            <w:r>
              <w:t>≥95%</w:t>
            </w:r>
          </w:p>
        </w:tc>
        <w:tc>
          <w:tcPr>
            <w:tcW w:w="1796" w:type="dxa"/>
            <w:vAlign w:val="center"/>
          </w:tcPr>
          <w:p w14:paraId="3FF985D8">
            <w:pPr>
              <w:pStyle w:val="13"/>
            </w:pPr>
            <w:r>
              <w:t>城乡义务教育公用经费管理办法</w:t>
            </w:r>
          </w:p>
        </w:tc>
      </w:tr>
      <w:tr w14:paraId="50091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50B15"/>
        </w:tc>
        <w:tc>
          <w:tcPr>
            <w:tcW w:w="2268" w:type="dxa"/>
            <w:vAlign w:val="center"/>
          </w:tcPr>
          <w:p w14:paraId="605B4E56">
            <w:pPr>
              <w:pStyle w:val="13"/>
            </w:pPr>
            <w:r>
              <w:t>社会效益指标</w:t>
            </w:r>
          </w:p>
        </w:tc>
        <w:tc>
          <w:tcPr>
            <w:tcW w:w="2835" w:type="dxa"/>
            <w:vAlign w:val="center"/>
          </w:tcPr>
          <w:p w14:paraId="1287CDEA">
            <w:pPr>
              <w:pStyle w:val="13"/>
            </w:pPr>
            <w:r>
              <w:t>校园环境</w:t>
            </w:r>
          </w:p>
        </w:tc>
        <w:tc>
          <w:tcPr>
            <w:tcW w:w="5386" w:type="dxa"/>
            <w:vAlign w:val="center"/>
          </w:tcPr>
          <w:p w14:paraId="34031CD8">
            <w:pPr>
              <w:pStyle w:val="13"/>
            </w:pPr>
            <w:r>
              <w:t>办学条件和环境得到改善</w:t>
            </w:r>
          </w:p>
        </w:tc>
        <w:tc>
          <w:tcPr>
            <w:tcW w:w="1748" w:type="dxa"/>
            <w:vAlign w:val="center"/>
          </w:tcPr>
          <w:p w14:paraId="7E70B2E2">
            <w:pPr>
              <w:pStyle w:val="13"/>
            </w:pPr>
            <w:r>
              <w:t>≥95%</w:t>
            </w:r>
          </w:p>
        </w:tc>
        <w:tc>
          <w:tcPr>
            <w:tcW w:w="1796" w:type="dxa"/>
            <w:vAlign w:val="center"/>
          </w:tcPr>
          <w:p w14:paraId="007E1BE3">
            <w:pPr>
              <w:pStyle w:val="13"/>
            </w:pPr>
            <w:r>
              <w:t>城乡义务教育公用经费管理办法</w:t>
            </w:r>
          </w:p>
        </w:tc>
      </w:tr>
      <w:tr w14:paraId="5E4C7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03188E">
            <w:pPr>
              <w:pStyle w:val="12"/>
            </w:pPr>
            <w:r>
              <w:t>满意度指标</w:t>
            </w:r>
          </w:p>
        </w:tc>
        <w:tc>
          <w:tcPr>
            <w:tcW w:w="2268" w:type="dxa"/>
            <w:vAlign w:val="center"/>
          </w:tcPr>
          <w:p w14:paraId="32070B56">
            <w:pPr>
              <w:pStyle w:val="13"/>
            </w:pPr>
            <w:r>
              <w:t>服务对象满意度指标</w:t>
            </w:r>
          </w:p>
        </w:tc>
        <w:tc>
          <w:tcPr>
            <w:tcW w:w="2835" w:type="dxa"/>
            <w:vAlign w:val="center"/>
          </w:tcPr>
          <w:p w14:paraId="228A9125">
            <w:pPr>
              <w:pStyle w:val="13"/>
            </w:pPr>
            <w:r>
              <w:t>受益学生家长及调查满意度</w:t>
            </w:r>
          </w:p>
        </w:tc>
        <w:tc>
          <w:tcPr>
            <w:tcW w:w="5386" w:type="dxa"/>
            <w:vAlign w:val="center"/>
          </w:tcPr>
          <w:p w14:paraId="40E1647B">
            <w:pPr>
              <w:pStyle w:val="13"/>
            </w:pPr>
            <w:r>
              <w:t>学生、教师及家长对学校工作满意度情况</w:t>
            </w:r>
          </w:p>
        </w:tc>
        <w:tc>
          <w:tcPr>
            <w:tcW w:w="1748" w:type="dxa"/>
            <w:vAlign w:val="center"/>
          </w:tcPr>
          <w:p w14:paraId="07C203B1">
            <w:pPr>
              <w:pStyle w:val="13"/>
            </w:pPr>
            <w:r>
              <w:t>≥95%</w:t>
            </w:r>
          </w:p>
        </w:tc>
        <w:tc>
          <w:tcPr>
            <w:tcW w:w="1796" w:type="dxa"/>
            <w:vAlign w:val="center"/>
          </w:tcPr>
          <w:p w14:paraId="6E7448E9">
            <w:pPr>
              <w:pStyle w:val="13"/>
            </w:pPr>
            <w:r>
              <w:t>城乡义务教育公用经费管理办法</w:t>
            </w:r>
          </w:p>
        </w:tc>
      </w:tr>
    </w:tbl>
    <w:p w14:paraId="6BE32CF4">
      <w:pPr>
        <w:sectPr>
          <w:pgSz w:w="16840" w:h="11900" w:orient="landscape"/>
          <w:pgMar w:top="1361" w:right="1020" w:bottom="1134" w:left="1020" w:header="720" w:footer="720" w:gutter="0"/>
          <w:cols w:space="720" w:num="1"/>
        </w:sectPr>
      </w:pPr>
    </w:p>
    <w:p w14:paraId="3CB5E3CD">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4、冀财教[2024]123号/中央/2025年义教补助经费/北村小学公用经费绩效目标表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A8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32FB8">
            <w:pPr>
              <w:pStyle w:val="14"/>
            </w:pPr>
            <w:r>
              <w:t>单位：万元</w:t>
            </w:r>
          </w:p>
        </w:tc>
      </w:tr>
      <w:tr w14:paraId="68836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369FB6">
            <w:pPr>
              <w:pStyle w:val="11"/>
            </w:pPr>
            <w:r>
              <w:t>项目编码</w:t>
            </w:r>
          </w:p>
        </w:tc>
        <w:tc>
          <w:tcPr>
            <w:tcW w:w="5103" w:type="dxa"/>
            <w:gridSpan w:val="2"/>
            <w:vAlign w:val="center"/>
          </w:tcPr>
          <w:p w14:paraId="18D114CE">
            <w:pPr>
              <w:pStyle w:val="13"/>
            </w:pPr>
            <w:r>
              <w:t>13052525P00000410081J</w:t>
            </w:r>
          </w:p>
        </w:tc>
        <w:tc>
          <w:tcPr>
            <w:tcW w:w="2835" w:type="dxa"/>
            <w:vAlign w:val="center"/>
          </w:tcPr>
          <w:p w14:paraId="1F1C437D">
            <w:pPr>
              <w:pStyle w:val="11"/>
            </w:pPr>
            <w:r>
              <w:t>项目名称</w:t>
            </w:r>
          </w:p>
        </w:tc>
        <w:tc>
          <w:tcPr>
            <w:tcW w:w="6095" w:type="dxa"/>
            <w:gridSpan w:val="3"/>
            <w:vAlign w:val="center"/>
          </w:tcPr>
          <w:p w14:paraId="1C358E1A">
            <w:pPr>
              <w:pStyle w:val="13"/>
            </w:pPr>
            <w:r>
              <w:t>冀财教[2024]123号/中央/2025年义教补助经费/北村小学公用经费</w:t>
            </w:r>
          </w:p>
        </w:tc>
      </w:tr>
      <w:tr w14:paraId="3DF07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2EC23">
            <w:pPr>
              <w:pStyle w:val="11"/>
            </w:pPr>
            <w:r>
              <w:t>预算规模及资金用途</w:t>
            </w:r>
          </w:p>
        </w:tc>
        <w:tc>
          <w:tcPr>
            <w:tcW w:w="2268" w:type="dxa"/>
            <w:vAlign w:val="center"/>
          </w:tcPr>
          <w:p w14:paraId="2932BE91">
            <w:pPr>
              <w:pStyle w:val="11"/>
            </w:pPr>
            <w:r>
              <w:t>预算数</w:t>
            </w:r>
          </w:p>
        </w:tc>
        <w:tc>
          <w:tcPr>
            <w:tcW w:w="2835" w:type="dxa"/>
            <w:vAlign w:val="center"/>
          </w:tcPr>
          <w:p w14:paraId="03E5CC33">
            <w:pPr>
              <w:pStyle w:val="13"/>
            </w:pPr>
            <w:r>
              <w:t>19.71</w:t>
            </w:r>
          </w:p>
        </w:tc>
        <w:tc>
          <w:tcPr>
            <w:tcW w:w="2835" w:type="dxa"/>
            <w:vAlign w:val="center"/>
          </w:tcPr>
          <w:p w14:paraId="42D5778D">
            <w:pPr>
              <w:pStyle w:val="11"/>
            </w:pPr>
            <w:r>
              <w:t>其中：财政    资金</w:t>
            </w:r>
          </w:p>
        </w:tc>
        <w:tc>
          <w:tcPr>
            <w:tcW w:w="2551" w:type="dxa"/>
            <w:vAlign w:val="center"/>
          </w:tcPr>
          <w:p w14:paraId="32F54260">
            <w:pPr>
              <w:pStyle w:val="13"/>
            </w:pPr>
            <w:r>
              <w:t>19.71</w:t>
            </w:r>
          </w:p>
        </w:tc>
        <w:tc>
          <w:tcPr>
            <w:tcW w:w="2268" w:type="dxa"/>
            <w:vAlign w:val="center"/>
          </w:tcPr>
          <w:p w14:paraId="0C9E3CFA">
            <w:pPr>
              <w:pStyle w:val="11"/>
            </w:pPr>
            <w:r>
              <w:t>其他资金</w:t>
            </w:r>
          </w:p>
        </w:tc>
        <w:tc>
          <w:tcPr>
            <w:tcW w:w="1276" w:type="dxa"/>
            <w:vAlign w:val="center"/>
          </w:tcPr>
          <w:p w14:paraId="3D6D16FF">
            <w:pPr>
              <w:pStyle w:val="13"/>
            </w:pPr>
            <w:r>
              <w:t xml:space="preserve"> </w:t>
            </w:r>
          </w:p>
        </w:tc>
      </w:tr>
      <w:tr w14:paraId="343E7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4CC046"/>
        </w:tc>
        <w:tc>
          <w:tcPr>
            <w:tcW w:w="14033" w:type="dxa"/>
            <w:gridSpan w:val="6"/>
            <w:vAlign w:val="center"/>
          </w:tcPr>
          <w:p w14:paraId="30978C26">
            <w:pPr>
              <w:pStyle w:val="13"/>
            </w:pPr>
            <w:r>
              <w:t>用于有效完成学校教学安全秩序，保障学校教学任务有效开展，满足学校正常教学需要。</w:t>
            </w:r>
          </w:p>
        </w:tc>
      </w:tr>
      <w:tr w14:paraId="3DE47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57E25">
            <w:pPr>
              <w:pStyle w:val="11"/>
            </w:pPr>
            <w:r>
              <w:t>资金支出计划（%）</w:t>
            </w:r>
          </w:p>
        </w:tc>
        <w:tc>
          <w:tcPr>
            <w:tcW w:w="5103" w:type="dxa"/>
            <w:gridSpan w:val="2"/>
            <w:vAlign w:val="center"/>
          </w:tcPr>
          <w:p w14:paraId="093FA650">
            <w:pPr>
              <w:pStyle w:val="11"/>
            </w:pPr>
            <w:r>
              <w:t>3月底</w:t>
            </w:r>
          </w:p>
        </w:tc>
        <w:tc>
          <w:tcPr>
            <w:tcW w:w="2835" w:type="dxa"/>
            <w:vAlign w:val="center"/>
          </w:tcPr>
          <w:p w14:paraId="05DD0797">
            <w:pPr>
              <w:pStyle w:val="11"/>
            </w:pPr>
            <w:r>
              <w:t>6月底</w:t>
            </w:r>
          </w:p>
        </w:tc>
        <w:tc>
          <w:tcPr>
            <w:tcW w:w="2551" w:type="dxa"/>
            <w:vAlign w:val="center"/>
          </w:tcPr>
          <w:p w14:paraId="012E5B4A">
            <w:pPr>
              <w:pStyle w:val="11"/>
            </w:pPr>
            <w:r>
              <w:t>10月底</w:t>
            </w:r>
          </w:p>
        </w:tc>
        <w:tc>
          <w:tcPr>
            <w:tcW w:w="3544" w:type="dxa"/>
            <w:gridSpan w:val="2"/>
            <w:vAlign w:val="center"/>
          </w:tcPr>
          <w:p w14:paraId="0853A0EB">
            <w:pPr>
              <w:pStyle w:val="11"/>
            </w:pPr>
            <w:r>
              <w:t>12月底</w:t>
            </w:r>
          </w:p>
        </w:tc>
      </w:tr>
      <w:tr w14:paraId="202D9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69112"/>
        </w:tc>
        <w:tc>
          <w:tcPr>
            <w:tcW w:w="5103" w:type="dxa"/>
            <w:gridSpan w:val="2"/>
            <w:vAlign w:val="center"/>
          </w:tcPr>
          <w:p w14:paraId="53830E78">
            <w:pPr>
              <w:pStyle w:val="12"/>
            </w:pPr>
            <w:r>
              <w:t>25%</w:t>
            </w:r>
          </w:p>
        </w:tc>
        <w:tc>
          <w:tcPr>
            <w:tcW w:w="2835" w:type="dxa"/>
            <w:vAlign w:val="center"/>
          </w:tcPr>
          <w:p w14:paraId="7FCEF541">
            <w:pPr>
              <w:pStyle w:val="12"/>
            </w:pPr>
            <w:r>
              <w:t>50%</w:t>
            </w:r>
          </w:p>
        </w:tc>
        <w:tc>
          <w:tcPr>
            <w:tcW w:w="2551" w:type="dxa"/>
            <w:vAlign w:val="center"/>
          </w:tcPr>
          <w:p w14:paraId="22D4482C">
            <w:pPr>
              <w:pStyle w:val="12"/>
            </w:pPr>
            <w:r>
              <w:t>75%</w:t>
            </w:r>
          </w:p>
        </w:tc>
        <w:tc>
          <w:tcPr>
            <w:tcW w:w="3544" w:type="dxa"/>
            <w:gridSpan w:val="2"/>
            <w:vAlign w:val="center"/>
          </w:tcPr>
          <w:p w14:paraId="30CEB450">
            <w:pPr>
              <w:pStyle w:val="12"/>
            </w:pPr>
            <w:r>
              <w:t>100%</w:t>
            </w:r>
          </w:p>
        </w:tc>
      </w:tr>
      <w:tr w14:paraId="4C3FF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C32111">
            <w:pPr>
              <w:pStyle w:val="11"/>
            </w:pPr>
            <w:r>
              <w:t>绩效目标</w:t>
            </w:r>
          </w:p>
        </w:tc>
        <w:tc>
          <w:tcPr>
            <w:tcW w:w="14033" w:type="dxa"/>
            <w:gridSpan w:val="6"/>
            <w:vAlign w:val="center"/>
          </w:tcPr>
          <w:p w14:paraId="431B6DFE">
            <w:pPr>
              <w:pStyle w:val="13"/>
            </w:pPr>
            <w:r>
              <w:t>1.有效完成学校教学安全秩序，保障学校教学任务有效开展，满足学校正常教学需要。</w:t>
            </w:r>
          </w:p>
          <w:p w14:paraId="2CCA766F">
            <w:pPr>
              <w:pStyle w:val="13"/>
            </w:pPr>
            <w:r>
              <w:t>2.按规定拨付公用经费资金，预算执行率≥98%。</w:t>
            </w:r>
            <w:r>
              <w:tab/>
            </w:r>
            <w:r>
              <w:tab/>
            </w:r>
            <w:r>
              <w:tab/>
            </w:r>
            <w:r>
              <w:tab/>
            </w:r>
            <w:r>
              <w:tab/>
            </w:r>
            <w:r>
              <w:tab/>
            </w:r>
          </w:p>
        </w:tc>
      </w:tr>
    </w:tbl>
    <w:p w14:paraId="73FA6D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45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4A35E">
            <w:pPr>
              <w:pStyle w:val="11"/>
            </w:pPr>
            <w:r>
              <w:t>一级指标</w:t>
            </w:r>
          </w:p>
        </w:tc>
        <w:tc>
          <w:tcPr>
            <w:tcW w:w="2268" w:type="dxa"/>
            <w:vAlign w:val="center"/>
          </w:tcPr>
          <w:p w14:paraId="4C5A157F">
            <w:pPr>
              <w:pStyle w:val="11"/>
            </w:pPr>
            <w:r>
              <w:t>二级指标</w:t>
            </w:r>
          </w:p>
        </w:tc>
        <w:tc>
          <w:tcPr>
            <w:tcW w:w="2835" w:type="dxa"/>
            <w:vAlign w:val="center"/>
          </w:tcPr>
          <w:p w14:paraId="276D4BB4">
            <w:pPr>
              <w:pStyle w:val="11"/>
            </w:pPr>
            <w:r>
              <w:t>三级指标</w:t>
            </w:r>
          </w:p>
        </w:tc>
        <w:tc>
          <w:tcPr>
            <w:tcW w:w="5386" w:type="dxa"/>
            <w:vAlign w:val="center"/>
          </w:tcPr>
          <w:p w14:paraId="51F22981">
            <w:pPr>
              <w:pStyle w:val="11"/>
            </w:pPr>
            <w:r>
              <w:t>绩效指标描述</w:t>
            </w:r>
          </w:p>
        </w:tc>
        <w:tc>
          <w:tcPr>
            <w:tcW w:w="2268" w:type="dxa"/>
            <w:vAlign w:val="center"/>
          </w:tcPr>
          <w:p w14:paraId="4FAEE1B4">
            <w:pPr>
              <w:pStyle w:val="11"/>
            </w:pPr>
            <w:r>
              <w:t>指标值</w:t>
            </w:r>
          </w:p>
        </w:tc>
        <w:tc>
          <w:tcPr>
            <w:tcW w:w="1276" w:type="dxa"/>
            <w:vAlign w:val="center"/>
          </w:tcPr>
          <w:p w14:paraId="10EDC31B">
            <w:pPr>
              <w:pStyle w:val="11"/>
            </w:pPr>
            <w:r>
              <w:t>指标值确定依据</w:t>
            </w:r>
          </w:p>
        </w:tc>
      </w:tr>
      <w:tr w14:paraId="16401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F6F04">
            <w:pPr>
              <w:pStyle w:val="12"/>
            </w:pPr>
            <w:r>
              <w:t>产出指标</w:t>
            </w:r>
          </w:p>
        </w:tc>
        <w:tc>
          <w:tcPr>
            <w:tcW w:w="2268" w:type="dxa"/>
            <w:vAlign w:val="center"/>
          </w:tcPr>
          <w:p w14:paraId="2B60E947">
            <w:pPr>
              <w:pStyle w:val="13"/>
            </w:pPr>
            <w:r>
              <w:t>数量指标</w:t>
            </w:r>
          </w:p>
        </w:tc>
        <w:tc>
          <w:tcPr>
            <w:tcW w:w="2835" w:type="dxa"/>
            <w:vAlign w:val="center"/>
          </w:tcPr>
          <w:p w14:paraId="60905E19">
            <w:pPr>
              <w:pStyle w:val="13"/>
            </w:pPr>
            <w:r>
              <w:t>就读学生数</w:t>
            </w:r>
          </w:p>
        </w:tc>
        <w:tc>
          <w:tcPr>
            <w:tcW w:w="5386" w:type="dxa"/>
            <w:vAlign w:val="center"/>
          </w:tcPr>
          <w:p w14:paraId="6EE7186A">
            <w:pPr>
              <w:pStyle w:val="13"/>
            </w:pPr>
            <w:r>
              <w:t>辐射区域内适龄学生人数</w:t>
            </w:r>
          </w:p>
        </w:tc>
        <w:tc>
          <w:tcPr>
            <w:tcW w:w="2268" w:type="dxa"/>
            <w:vAlign w:val="center"/>
          </w:tcPr>
          <w:p w14:paraId="684302DE">
            <w:pPr>
              <w:pStyle w:val="13"/>
            </w:pPr>
            <w:r>
              <w:t>345人</w:t>
            </w:r>
          </w:p>
        </w:tc>
        <w:tc>
          <w:tcPr>
            <w:tcW w:w="1276" w:type="dxa"/>
            <w:vAlign w:val="center"/>
          </w:tcPr>
          <w:p w14:paraId="514023AC">
            <w:pPr>
              <w:pStyle w:val="13"/>
            </w:pPr>
            <w:r>
              <w:t>城乡义务教育公用经费管理办法</w:t>
            </w:r>
          </w:p>
        </w:tc>
      </w:tr>
      <w:tr w14:paraId="58B72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54644"/>
        </w:tc>
        <w:tc>
          <w:tcPr>
            <w:tcW w:w="2268" w:type="dxa"/>
            <w:vAlign w:val="center"/>
          </w:tcPr>
          <w:p w14:paraId="55CAA813">
            <w:pPr>
              <w:pStyle w:val="13"/>
            </w:pPr>
            <w:r>
              <w:t>质量指标</w:t>
            </w:r>
          </w:p>
        </w:tc>
        <w:tc>
          <w:tcPr>
            <w:tcW w:w="2835" w:type="dxa"/>
            <w:vAlign w:val="center"/>
          </w:tcPr>
          <w:p w14:paraId="325AA1E1">
            <w:pPr>
              <w:pStyle w:val="13"/>
            </w:pPr>
            <w:r>
              <w:t>预算执行率</w:t>
            </w:r>
          </w:p>
        </w:tc>
        <w:tc>
          <w:tcPr>
            <w:tcW w:w="5386" w:type="dxa"/>
            <w:vAlign w:val="center"/>
          </w:tcPr>
          <w:p w14:paraId="03E03D3A">
            <w:pPr>
              <w:pStyle w:val="13"/>
            </w:pPr>
            <w:r>
              <w:t>预算执行率</w:t>
            </w:r>
          </w:p>
        </w:tc>
        <w:tc>
          <w:tcPr>
            <w:tcW w:w="2268" w:type="dxa"/>
            <w:vAlign w:val="center"/>
          </w:tcPr>
          <w:p w14:paraId="173821C6">
            <w:pPr>
              <w:pStyle w:val="13"/>
            </w:pPr>
            <w:r>
              <w:t>≥98%</w:t>
            </w:r>
          </w:p>
        </w:tc>
        <w:tc>
          <w:tcPr>
            <w:tcW w:w="1276" w:type="dxa"/>
            <w:vAlign w:val="center"/>
          </w:tcPr>
          <w:p w14:paraId="206BAD15">
            <w:pPr>
              <w:pStyle w:val="13"/>
            </w:pPr>
            <w:r>
              <w:t>城乡义务教育公用经费管理办法</w:t>
            </w:r>
          </w:p>
        </w:tc>
      </w:tr>
      <w:tr w14:paraId="1B704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A353E"/>
        </w:tc>
        <w:tc>
          <w:tcPr>
            <w:tcW w:w="2268" w:type="dxa"/>
            <w:vAlign w:val="center"/>
          </w:tcPr>
          <w:p w14:paraId="374F08B6">
            <w:pPr>
              <w:pStyle w:val="13"/>
            </w:pPr>
            <w:r>
              <w:t>时效指标</w:t>
            </w:r>
          </w:p>
        </w:tc>
        <w:tc>
          <w:tcPr>
            <w:tcW w:w="2835" w:type="dxa"/>
            <w:vAlign w:val="center"/>
          </w:tcPr>
          <w:p w14:paraId="352D8D01">
            <w:pPr>
              <w:pStyle w:val="13"/>
            </w:pPr>
            <w:r>
              <w:t>义教经费支付完成率</w:t>
            </w:r>
          </w:p>
        </w:tc>
        <w:tc>
          <w:tcPr>
            <w:tcW w:w="5386" w:type="dxa"/>
            <w:vAlign w:val="center"/>
          </w:tcPr>
          <w:p w14:paraId="033053B2">
            <w:pPr>
              <w:pStyle w:val="13"/>
            </w:pPr>
            <w:r>
              <w:t>按照序时进度完成资金支付</w:t>
            </w:r>
          </w:p>
        </w:tc>
        <w:tc>
          <w:tcPr>
            <w:tcW w:w="2268" w:type="dxa"/>
            <w:vAlign w:val="center"/>
          </w:tcPr>
          <w:p w14:paraId="76E62C50">
            <w:pPr>
              <w:pStyle w:val="13"/>
            </w:pPr>
            <w:r>
              <w:t>≥100%</w:t>
            </w:r>
          </w:p>
        </w:tc>
        <w:tc>
          <w:tcPr>
            <w:tcW w:w="1276" w:type="dxa"/>
            <w:vAlign w:val="center"/>
          </w:tcPr>
          <w:p w14:paraId="59C8253C">
            <w:pPr>
              <w:pStyle w:val="13"/>
            </w:pPr>
            <w:r>
              <w:t>城乡义务教育公用经费管理办法</w:t>
            </w:r>
          </w:p>
        </w:tc>
      </w:tr>
      <w:tr w14:paraId="29634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431B3"/>
        </w:tc>
        <w:tc>
          <w:tcPr>
            <w:tcW w:w="2268" w:type="dxa"/>
            <w:vAlign w:val="center"/>
          </w:tcPr>
          <w:p w14:paraId="5E2ACCC1">
            <w:pPr>
              <w:pStyle w:val="13"/>
            </w:pPr>
            <w:r>
              <w:t>成本指标</w:t>
            </w:r>
          </w:p>
        </w:tc>
        <w:tc>
          <w:tcPr>
            <w:tcW w:w="2835" w:type="dxa"/>
            <w:vAlign w:val="center"/>
          </w:tcPr>
          <w:p w14:paraId="22A34D7B">
            <w:pPr>
              <w:pStyle w:val="13"/>
            </w:pPr>
            <w:r>
              <w:t>生均拨款标准</w:t>
            </w:r>
          </w:p>
        </w:tc>
        <w:tc>
          <w:tcPr>
            <w:tcW w:w="5386" w:type="dxa"/>
            <w:vAlign w:val="center"/>
          </w:tcPr>
          <w:p w14:paraId="67FD828A">
            <w:pPr>
              <w:pStyle w:val="13"/>
            </w:pPr>
            <w:r>
              <w:t>小学：（基本标准720元、寄宿生300元、生活补助120元）/生/学年；特教、随班就读学生：标准7000元/生/学年</w:t>
            </w:r>
          </w:p>
        </w:tc>
        <w:tc>
          <w:tcPr>
            <w:tcW w:w="2268" w:type="dxa"/>
            <w:vAlign w:val="center"/>
          </w:tcPr>
          <w:p w14:paraId="2AA7152A">
            <w:pPr>
              <w:pStyle w:val="13"/>
            </w:pPr>
            <w:r>
              <w:t>840元</w:t>
            </w:r>
          </w:p>
        </w:tc>
        <w:tc>
          <w:tcPr>
            <w:tcW w:w="1276" w:type="dxa"/>
            <w:vAlign w:val="center"/>
          </w:tcPr>
          <w:p w14:paraId="6289CBC0">
            <w:pPr>
              <w:pStyle w:val="13"/>
            </w:pPr>
            <w:r>
              <w:t>城乡义务教育公用经费管理办法</w:t>
            </w:r>
          </w:p>
        </w:tc>
      </w:tr>
      <w:tr w14:paraId="7CC75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D5B2EE">
            <w:pPr>
              <w:pStyle w:val="12"/>
            </w:pPr>
            <w:r>
              <w:t>效益指标</w:t>
            </w:r>
          </w:p>
        </w:tc>
        <w:tc>
          <w:tcPr>
            <w:tcW w:w="2268" w:type="dxa"/>
            <w:vAlign w:val="center"/>
          </w:tcPr>
          <w:p w14:paraId="45E83E47">
            <w:pPr>
              <w:pStyle w:val="13"/>
            </w:pPr>
            <w:r>
              <w:t>社会效益指标</w:t>
            </w:r>
          </w:p>
        </w:tc>
        <w:tc>
          <w:tcPr>
            <w:tcW w:w="2835" w:type="dxa"/>
            <w:vAlign w:val="center"/>
          </w:tcPr>
          <w:p w14:paraId="33DF9280">
            <w:pPr>
              <w:pStyle w:val="13"/>
            </w:pPr>
            <w:r>
              <w:t>学校稳定率</w:t>
            </w:r>
          </w:p>
        </w:tc>
        <w:tc>
          <w:tcPr>
            <w:tcW w:w="5386" w:type="dxa"/>
            <w:vAlign w:val="center"/>
          </w:tcPr>
          <w:p w14:paraId="1DA4EE67">
            <w:pPr>
              <w:pStyle w:val="13"/>
            </w:pPr>
            <w:r>
              <w:t>维护学校稳定，保障学校正常教学秩序有效开展</w:t>
            </w:r>
          </w:p>
        </w:tc>
        <w:tc>
          <w:tcPr>
            <w:tcW w:w="2268" w:type="dxa"/>
            <w:vAlign w:val="center"/>
          </w:tcPr>
          <w:p w14:paraId="0B0CF6C8">
            <w:pPr>
              <w:pStyle w:val="13"/>
            </w:pPr>
            <w:r>
              <w:t>≥100%</w:t>
            </w:r>
          </w:p>
        </w:tc>
        <w:tc>
          <w:tcPr>
            <w:tcW w:w="1276" w:type="dxa"/>
            <w:vAlign w:val="center"/>
          </w:tcPr>
          <w:p w14:paraId="2D3D6B63">
            <w:pPr>
              <w:pStyle w:val="13"/>
            </w:pPr>
            <w:r>
              <w:t>城乡义务教育公用经费管理办法</w:t>
            </w:r>
          </w:p>
        </w:tc>
      </w:tr>
      <w:tr w14:paraId="1002D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CAEBD3">
            <w:pPr>
              <w:pStyle w:val="12"/>
            </w:pPr>
            <w:r>
              <w:t>满意度指标</w:t>
            </w:r>
          </w:p>
        </w:tc>
        <w:tc>
          <w:tcPr>
            <w:tcW w:w="2268" w:type="dxa"/>
            <w:vAlign w:val="center"/>
          </w:tcPr>
          <w:p w14:paraId="25ADFB97">
            <w:pPr>
              <w:pStyle w:val="13"/>
            </w:pPr>
            <w:r>
              <w:t>服务对象满意度指标</w:t>
            </w:r>
          </w:p>
        </w:tc>
        <w:tc>
          <w:tcPr>
            <w:tcW w:w="2835" w:type="dxa"/>
            <w:vAlign w:val="center"/>
          </w:tcPr>
          <w:p w14:paraId="22DD3E6F">
            <w:pPr>
              <w:pStyle w:val="13"/>
            </w:pPr>
            <w:r>
              <w:t>家长和学生满意度</w:t>
            </w:r>
          </w:p>
        </w:tc>
        <w:tc>
          <w:tcPr>
            <w:tcW w:w="5386" w:type="dxa"/>
            <w:vAlign w:val="center"/>
          </w:tcPr>
          <w:p w14:paraId="2F2CF6BC">
            <w:pPr>
              <w:pStyle w:val="13"/>
            </w:pPr>
            <w:r>
              <w:t>家长和学生满意度</w:t>
            </w:r>
          </w:p>
        </w:tc>
        <w:tc>
          <w:tcPr>
            <w:tcW w:w="2268" w:type="dxa"/>
            <w:vAlign w:val="center"/>
          </w:tcPr>
          <w:p w14:paraId="184660B8">
            <w:pPr>
              <w:pStyle w:val="13"/>
            </w:pPr>
            <w:r>
              <w:t>≥95%</w:t>
            </w:r>
          </w:p>
        </w:tc>
        <w:tc>
          <w:tcPr>
            <w:tcW w:w="1276" w:type="dxa"/>
            <w:vAlign w:val="center"/>
          </w:tcPr>
          <w:p w14:paraId="7B4FD102">
            <w:pPr>
              <w:pStyle w:val="13"/>
            </w:pPr>
            <w:r>
              <w:t>问卷调查</w:t>
            </w:r>
          </w:p>
        </w:tc>
      </w:tr>
    </w:tbl>
    <w:p w14:paraId="1BC13A5F">
      <w:pPr>
        <w:sectPr>
          <w:pgSz w:w="16840" w:h="11900" w:orient="landscape"/>
          <w:pgMar w:top="1361" w:right="1020" w:bottom="1134" w:left="1020" w:header="720" w:footer="720" w:gutter="0"/>
          <w:cols w:space="720" w:num="1"/>
        </w:sectPr>
      </w:pPr>
    </w:p>
    <w:p w14:paraId="3DB81D1C">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5、冀财教[2024]123号/中央/2025年义教补助经费/大崔庄小学公用经费绩效目标表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82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83B10">
            <w:pPr>
              <w:pStyle w:val="14"/>
            </w:pPr>
            <w:r>
              <w:t>单位：万元</w:t>
            </w:r>
          </w:p>
        </w:tc>
      </w:tr>
      <w:tr w14:paraId="067E7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640C6">
            <w:pPr>
              <w:pStyle w:val="11"/>
            </w:pPr>
            <w:r>
              <w:t>项目编码</w:t>
            </w:r>
          </w:p>
        </w:tc>
        <w:tc>
          <w:tcPr>
            <w:tcW w:w="5103" w:type="dxa"/>
            <w:gridSpan w:val="2"/>
            <w:vAlign w:val="center"/>
          </w:tcPr>
          <w:p w14:paraId="5BF310E6">
            <w:pPr>
              <w:pStyle w:val="13"/>
            </w:pPr>
            <w:r>
              <w:t>13052525P000004100851</w:t>
            </w:r>
          </w:p>
        </w:tc>
        <w:tc>
          <w:tcPr>
            <w:tcW w:w="2835" w:type="dxa"/>
            <w:vAlign w:val="center"/>
          </w:tcPr>
          <w:p w14:paraId="42FD81FB">
            <w:pPr>
              <w:pStyle w:val="11"/>
            </w:pPr>
            <w:r>
              <w:t>项目名称</w:t>
            </w:r>
          </w:p>
        </w:tc>
        <w:tc>
          <w:tcPr>
            <w:tcW w:w="6095" w:type="dxa"/>
            <w:gridSpan w:val="3"/>
            <w:vAlign w:val="center"/>
          </w:tcPr>
          <w:p w14:paraId="58792DF6">
            <w:pPr>
              <w:pStyle w:val="13"/>
            </w:pPr>
            <w:r>
              <w:t>冀财教[2024]123号/中央/2025年义教补助经费/大崔庄小学公用经费</w:t>
            </w:r>
          </w:p>
        </w:tc>
      </w:tr>
      <w:tr w14:paraId="29016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3E6F8">
            <w:pPr>
              <w:pStyle w:val="11"/>
            </w:pPr>
            <w:r>
              <w:t>预算规模及资金用途</w:t>
            </w:r>
          </w:p>
        </w:tc>
        <w:tc>
          <w:tcPr>
            <w:tcW w:w="2268" w:type="dxa"/>
            <w:vAlign w:val="center"/>
          </w:tcPr>
          <w:p w14:paraId="3BBC8BC6">
            <w:pPr>
              <w:pStyle w:val="11"/>
            </w:pPr>
            <w:r>
              <w:t>预算数</w:t>
            </w:r>
          </w:p>
        </w:tc>
        <w:tc>
          <w:tcPr>
            <w:tcW w:w="2835" w:type="dxa"/>
            <w:vAlign w:val="center"/>
          </w:tcPr>
          <w:p w14:paraId="6DD0D741">
            <w:pPr>
              <w:pStyle w:val="13"/>
            </w:pPr>
            <w:r>
              <w:t>11.82</w:t>
            </w:r>
          </w:p>
        </w:tc>
        <w:tc>
          <w:tcPr>
            <w:tcW w:w="2835" w:type="dxa"/>
            <w:vAlign w:val="center"/>
          </w:tcPr>
          <w:p w14:paraId="4FE5F863">
            <w:pPr>
              <w:pStyle w:val="11"/>
            </w:pPr>
            <w:r>
              <w:t>其中：财政    资金</w:t>
            </w:r>
          </w:p>
        </w:tc>
        <w:tc>
          <w:tcPr>
            <w:tcW w:w="2551" w:type="dxa"/>
            <w:vAlign w:val="center"/>
          </w:tcPr>
          <w:p w14:paraId="5E651BF0">
            <w:pPr>
              <w:pStyle w:val="13"/>
            </w:pPr>
            <w:r>
              <w:t>11.82</w:t>
            </w:r>
          </w:p>
        </w:tc>
        <w:tc>
          <w:tcPr>
            <w:tcW w:w="2268" w:type="dxa"/>
            <w:vAlign w:val="center"/>
          </w:tcPr>
          <w:p w14:paraId="6736C100">
            <w:pPr>
              <w:pStyle w:val="11"/>
            </w:pPr>
            <w:r>
              <w:t>其他资金</w:t>
            </w:r>
          </w:p>
        </w:tc>
        <w:tc>
          <w:tcPr>
            <w:tcW w:w="1276" w:type="dxa"/>
            <w:vAlign w:val="center"/>
          </w:tcPr>
          <w:p w14:paraId="04A2AAC5">
            <w:pPr>
              <w:pStyle w:val="13"/>
            </w:pPr>
            <w:r>
              <w:t xml:space="preserve"> </w:t>
            </w:r>
          </w:p>
        </w:tc>
      </w:tr>
      <w:tr w14:paraId="092F3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976BCD"/>
        </w:tc>
        <w:tc>
          <w:tcPr>
            <w:tcW w:w="14033" w:type="dxa"/>
            <w:gridSpan w:val="6"/>
            <w:vAlign w:val="center"/>
          </w:tcPr>
          <w:p w14:paraId="2BD15CDE">
            <w:pPr>
              <w:pStyle w:val="13"/>
            </w:pPr>
            <w:r>
              <w:t>用于有效完成学校教学安全秩序，保障学校教学任务有效开展，满足学校正常教学需要。</w:t>
            </w:r>
          </w:p>
        </w:tc>
      </w:tr>
      <w:tr w14:paraId="08612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2B612">
            <w:pPr>
              <w:pStyle w:val="11"/>
            </w:pPr>
            <w:r>
              <w:t>资金支出计划（%）</w:t>
            </w:r>
          </w:p>
        </w:tc>
        <w:tc>
          <w:tcPr>
            <w:tcW w:w="5103" w:type="dxa"/>
            <w:gridSpan w:val="2"/>
            <w:vAlign w:val="center"/>
          </w:tcPr>
          <w:p w14:paraId="4D30CE77">
            <w:pPr>
              <w:pStyle w:val="11"/>
            </w:pPr>
            <w:r>
              <w:t>3月底</w:t>
            </w:r>
          </w:p>
        </w:tc>
        <w:tc>
          <w:tcPr>
            <w:tcW w:w="2835" w:type="dxa"/>
            <w:vAlign w:val="center"/>
          </w:tcPr>
          <w:p w14:paraId="79581AD2">
            <w:pPr>
              <w:pStyle w:val="11"/>
            </w:pPr>
            <w:r>
              <w:t>6月底</w:t>
            </w:r>
          </w:p>
        </w:tc>
        <w:tc>
          <w:tcPr>
            <w:tcW w:w="2551" w:type="dxa"/>
            <w:vAlign w:val="center"/>
          </w:tcPr>
          <w:p w14:paraId="688DAEE5">
            <w:pPr>
              <w:pStyle w:val="11"/>
            </w:pPr>
            <w:r>
              <w:t>10月底</w:t>
            </w:r>
          </w:p>
        </w:tc>
        <w:tc>
          <w:tcPr>
            <w:tcW w:w="3544" w:type="dxa"/>
            <w:gridSpan w:val="2"/>
            <w:vAlign w:val="center"/>
          </w:tcPr>
          <w:p w14:paraId="21297265">
            <w:pPr>
              <w:pStyle w:val="11"/>
            </w:pPr>
            <w:r>
              <w:t>12月底</w:t>
            </w:r>
          </w:p>
        </w:tc>
      </w:tr>
      <w:tr w14:paraId="1D19C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382F3D"/>
        </w:tc>
        <w:tc>
          <w:tcPr>
            <w:tcW w:w="5103" w:type="dxa"/>
            <w:gridSpan w:val="2"/>
            <w:vAlign w:val="center"/>
          </w:tcPr>
          <w:p w14:paraId="795E7547">
            <w:pPr>
              <w:pStyle w:val="12"/>
            </w:pPr>
            <w:r>
              <w:t>25%</w:t>
            </w:r>
          </w:p>
        </w:tc>
        <w:tc>
          <w:tcPr>
            <w:tcW w:w="2835" w:type="dxa"/>
            <w:vAlign w:val="center"/>
          </w:tcPr>
          <w:p w14:paraId="7504BB73">
            <w:pPr>
              <w:pStyle w:val="12"/>
            </w:pPr>
            <w:r>
              <w:t>50%</w:t>
            </w:r>
          </w:p>
        </w:tc>
        <w:tc>
          <w:tcPr>
            <w:tcW w:w="2551" w:type="dxa"/>
            <w:vAlign w:val="center"/>
          </w:tcPr>
          <w:p w14:paraId="1A31C416">
            <w:pPr>
              <w:pStyle w:val="12"/>
            </w:pPr>
            <w:r>
              <w:t>75%</w:t>
            </w:r>
          </w:p>
        </w:tc>
        <w:tc>
          <w:tcPr>
            <w:tcW w:w="3544" w:type="dxa"/>
            <w:gridSpan w:val="2"/>
            <w:vAlign w:val="center"/>
          </w:tcPr>
          <w:p w14:paraId="2586C5D2">
            <w:pPr>
              <w:pStyle w:val="12"/>
            </w:pPr>
            <w:r>
              <w:t>100%</w:t>
            </w:r>
          </w:p>
        </w:tc>
      </w:tr>
      <w:tr w14:paraId="34EC4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DFD302">
            <w:pPr>
              <w:pStyle w:val="11"/>
            </w:pPr>
            <w:r>
              <w:t>绩效目标</w:t>
            </w:r>
          </w:p>
        </w:tc>
        <w:tc>
          <w:tcPr>
            <w:tcW w:w="14033" w:type="dxa"/>
            <w:gridSpan w:val="6"/>
            <w:vAlign w:val="center"/>
          </w:tcPr>
          <w:p w14:paraId="43AD7D71">
            <w:pPr>
              <w:pStyle w:val="13"/>
            </w:pPr>
            <w:r>
              <w:t>1.有效完成学校教学安全秩序，保障学校教学任务有效开展，满足学校正常教学需要。</w:t>
            </w:r>
          </w:p>
          <w:p w14:paraId="7E5EF3A7">
            <w:pPr>
              <w:pStyle w:val="13"/>
            </w:pPr>
            <w:r>
              <w:t>2.按规定拨付公用经费资金，预算执行率≥98%。</w:t>
            </w:r>
          </w:p>
        </w:tc>
      </w:tr>
    </w:tbl>
    <w:p w14:paraId="074C7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3E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9B03B80">
            <w:pPr>
              <w:pStyle w:val="11"/>
            </w:pPr>
            <w:r>
              <w:t>一级指标</w:t>
            </w:r>
          </w:p>
        </w:tc>
        <w:tc>
          <w:tcPr>
            <w:tcW w:w="2268" w:type="dxa"/>
            <w:vAlign w:val="center"/>
          </w:tcPr>
          <w:p w14:paraId="1732627C">
            <w:pPr>
              <w:pStyle w:val="11"/>
            </w:pPr>
            <w:r>
              <w:t>二级指标</w:t>
            </w:r>
          </w:p>
        </w:tc>
        <w:tc>
          <w:tcPr>
            <w:tcW w:w="2835" w:type="dxa"/>
            <w:vAlign w:val="center"/>
          </w:tcPr>
          <w:p w14:paraId="4EBE87D8">
            <w:pPr>
              <w:pStyle w:val="11"/>
            </w:pPr>
            <w:r>
              <w:t>三级指标</w:t>
            </w:r>
          </w:p>
        </w:tc>
        <w:tc>
          <w:tcPr>
            <w:tcW w:w="5386" w:type="dxa"/>
            <w:vAlign w:val="center"/>
          </w:tcPr>
          <w:p w14:paraId="182A67EF">
            <w:pPr>
              <w:pStyle w:val="11"/>
            </w:pPr>
            <w:r>
              <w:t>绩效指标描述</w:t>
            </w:r>
          </w:p>
        </w:tc>
        <w:tc>
          <w:tcPr>
            <w:tcW w:w="2268" w:type="dxa"/>
            <w:vAlign w:val="center"/>
          </w:tcPr>
          <w:p w14:paraId="4605E427">
            <w:pPr>
              <w:pStyle w:val="11"/>
            </w:pPr>
            <w:r>
              <w:t>指标值</w:t>
            </w:r>
          </w:p>
        </w:tc>
        <w:tc>
          <w:tcPr>
            <w:tcW w:w="1276" w:type="dxa"/>
            <w:vAlign w:val="center"/>
          </w:tcPr>
          <w:p w14:paraId="3E631343">
            <w:pPr>
              <w:pStyle w:val="11"/>
            </w:pPr>
            <w:r>
              <w:t>指标值确定依据</w:t>
            </w:r>
          </w:p>
        </w:tc>
      </w:tr>
      <w:tr w14:paraId="1A361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CF1B2">
            <w:pPr>
              <w:pStyle w:val="12"/>
            </w:pPr>
            <w:r>
              <w:t>产出指标</w:t>
            </w:r>
          </w:p>
        </w:tc>
        <w:tc>
          <w:tcPr>
            <w:tcW w:w="2268" w:type="dxa"/>
            <w:vAlign w:val="center"/>
          </w:tcPr>
          <w:p w14:paraId="6B86366C">
            <w:pPr>
              <w:pStyle w:val="13"/>
            </w:pPr>
            <w:r>
              <w:t>数量指标</w:t>
            </w:r>
          </w:p>
        </w:tc>
        <w:tc>
          <w:tcPr>
            <w:tcW w:w="2835" w:type="dxa"/>
            <w:vAlign w:val="center"/>
          </w:tcPr>
          <w:p w14:paraId="03EF6243">
            <w:pPr>
              <w:pStyle w:val="13"/>
            </w:pPr>
            <w:r>
              <w:t>就读学生数</w:t>
            </w:r>
          </w:p>
        </w:tc>
        <w:tc>
          <w:tcPr>
            <w:tcW w:w="5386" w:type="dxa"/>
            <w:vAlign w:val="center"/>
          </w:tcPr>
          <w:p w14:paraId="4C23094F">
            <w:pPr>
              <w:pStyle w:val="13"/>
            </w:pPr>
            <w:r>
              <w:t>辐射区域内适龄学生人数</w:t>
            </w:r>
          </w:p>
        </w:tc>
        <w:tc>
          <w:tcPr>
            <w:tcW w:w="2268" w:type="dxa"/>
            <w:vAlign w:val="center"/>
          </w:tcPr>
          <w:p w14:paraId="1429FC83">
            <w:pPr>
              <w:pStyle w:val="13"/>
            </w:pPr>
            <w:r>
              <w:t>≥207人</w:t>
            </w:r>
          </w:p>
        </w:tc>
        <w:tc>
          <w:tcPr>
            <w:tcW w:w="1276" w:type="dxa"/>
            <w:vAlign w:val="center"/>
          </w:tcPr>
          <w:p w14:paraId="11F3395D">
            <w:pPr>
              <w:pStyle w:val="13"/>
            </w:pPr>
            <w:r>
              <w:t>城乡义务教育公用经费管理办法</w:t>
            </w:r>
          </w:p>
        </w:tc>
      </w:tr>
      <w:tr w14:paraId="29204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EB0EB"/>
        </w:tc>
        <w:tc>
          <w:tcPr>
            <w:tcW w:w="2268" w:type="dxa"/>
            <w:vAlign w:val="center"/>
          </w:tcPr>
          <w:p w14:paraId="14681468">
            <w:pPr>
              <w:pStyle w:val="13"/>
            </w:pPr>
            <w:r>
              <w:t>质量指标</w:t>
            </w:r>
          </w:p>
        </w:tc>
        <w:tc>
          <w:tcPr>
            <w:tcW w:w="2835" w:type="dxa"/>
            <w:vAlign w:val="center"/>
          </w:tcPr>
          <w:p w14:paraId="46933C92">
            <w:pPr>
              <w:pStyle w:val="13"/>
            </w:pPr>
            <w:r>
              <w:t>预算执行率</w:t>
            </w:r>
          </w:p>
        </w:tc>
        <w:tc>
          <w:tcPr>
            <w:tcW w:w="5386" w:type="dxa"/>
            <w:vAlign w:val="center"/>
          </w:tcPr>
          <w:p w14:paraId="2B16EFA3">
            <w:pPr>
              <w:pStyle w:val="13"/>
            </w:pPr>
            <w:r>
              <w:t>预算执行率</w:t>
            </w:r>
          </w:p>
        </w:tc>
        <w:tc>
          <w:tcPr>
            <w:tcW w:w="2268" w:type="dxa"/>
            <w:vAlign w:val="center"/>
          </w:tcPr>
          <w:p w14:paraId="4EA23099">
            <w:pPr>
              <w:pStyle w:val="13"/>
            </w:pPr>
            <w:r>
              <w:t>≥98%</w:t>
            </w:r>
          </w:p>
        </w:tc>
        <w:tc>
          <w:tcPr>
            <w:tcW w:w="1276" w:type="dxa"/>
            <w:vAlign w:val="center"/>
          </w:tcPr>
          <w:p w14:paraId="7D5EE15B">
            <w:pPr>
              <w:pStyle w:val="13"/>
            </w:pPr>
            <w:r>
              <w:t>城乡义务教育公用经费管理办法</w:t>
            </w:r>
          </w:p>
        </w:tc>
      </w:tr>
      <w:tr w14:paraId="71D70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EE34B"/>
        </w:tc>
        <w:tc>
          <w:tcPr>
            <w:tcW w:w="2268" w:type="dxa"/>
            <w:vAlign w:val="center"/>
          </w:tcPr>
          <w:p w14:paraId="408C8556">
            <w:pPr>
              <w:pStyle w:val="13"/>
            </w:pPr>
            <w:r>
              <w:t>时效指标</w:t>
            </w:r>
          </w:p>
        </w:tc>
        <w:tc>
          <w:tcPr>
            <w:tcW w:w="2835" w:type="dxa"/>
            <w:vAlign w:val="center"/>
          </w:tcPr>
          <w:p w14:paraId="3A504F4B">
            <w:pPr>
              <w:pStyle w:val="13"/>
            </w:pPr>
            <w:r>
              <w:t>义教经费支付完成率</w:t>
            </w:r>
          </w:p>
        </w:tc>
        <w:tc>
          <w:tcPr>
            <w:tcW w:w="5386" w:type="dxa"/>
            <w:vAlign w:val="center"/>
          </w:tcPr>
          <w:p w14:paraId="76583401">
            <w:pPr>
              <w:pStyle w:val="13"/>
            </w:pPr>
            <w:r>
              <w:t>按照序时进度完成资金支付</w:t>
            </w:r>
          </w:p>
        </w:tc>
        <w:tc>
          <w:tcPr>
            <w:tcW w:w="2268" w:type="dxa"/>
            <w:vAlign w:val="center"/>
          </w:tcPr>
          <w:p w14:paraId="5F0B406D">
            <w:pPr>
              <w:pStyle w:val="13"/>
            </w:pPr>
            <w:r>
              <w:t>≥100%</w:t>
            </w:r>
          </w:p>
        </w:tc>
        <w:tc>
          <w:tcPr>
            <w:tcW w:w="1276" w:type="dxa"/>
            <w:vAlign w:val="center"/>
          </w:tcPr>
          <w:p w14:paraId="73CC3CAE">
            <w:pPr>
              <w:pStyle w:val="13"/>
            </w:pPr>
            <w:r>
              <w:t>城乡义务教育公用经费管理办法</w:t>
            </w:r>
          </w:p>
        </w:tc>
      </w:tr>
      <w:tr w14:paraId="498E7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F4D11"/>
        </w:tc>
        <w:tc>
          <w:tcPr>
            <w:tcW w:w="2268" w:type="dxa"/>
            <w:vAlign w:val="center"/>
          </w:tcPr>
          <w:p w14:paraId="03A8499E">
            <w:pPr>
              <w:pStyle w:val="13"/>
            </w:pPr>
            <w:r>
              <w:t>成本指标</w:t>
            </w:r>
          </w:p>
        </w:tc>
        <w:tc>
          <w:tcPr>
            <w:tcW w:w="2835" w:type="dxa"/>
            <w:vAlign w:val="center"/>
          </w:tcPr>
          <w:p w14:paraId="1B05C945">
            <w:pPr>
              <w:pStyle w:val="13"/>
            </w:pPr>
            <w:r>
              <w:t>生均拨款标准</w:t>
            </w:r>
          </w:p>
        </w:tc>
        <w:tc>
          <w:tcPr>
            <w:tcW w:w="5386" w:type="dxa"/>
            <w:vAlign w:val="center"/>
          </w:tcPr>
          <w:p w14:paraId="18F6F44B">
            <w:pPr>
              <w:pStyle w:val="13"/>
            </w:pPr>
            <w:r>
              <w:t>小学：（基本标准720元、寄宿生300元、生活补助120元）/生/学年；特教、随班就读学生：标准6000元/生/学年</w:t>
            </w:r>
          </w:p>
        </w:tc>
        <w:tc>
          <w:tcPr>
            <w:tcW w:w="2268" w:type="dxa"/>
            <w:vAlign w:val="center"/>
          </w:tcPr>
          <w:p w14:paraId="53D30040">
            <w:pPr>
              <w:pStyle w:val="13"/>
            </w:pPr>
            <w:r>
              <w:t>840元</w:t>
            </w:r>
          </w:p>
        </w:tc>
        <w:tc>
          <w:tcPr>
            <w:tcW w:w="1276" w:type="dxa"/>
            <w:vAlign w:val="center"/>
          </w:tcPr>
          <w:p w14:paraId="58A714F8">
            <w:pPr>
              <w:pStyle w:val="13"/>
            </w:pPr>
            <w:r>
              <w:t>城乡义务教育公用经费管理办法</w:t>
            </w:r>
          </w:p>
        </w:tc>
      </w:tr>
      <w:tr w14:paraId="4D1DB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9A8D98">
            <w:pPr>
              <w:pStyle w:val="12"/>
            </w:pPr>
            <w:r>
              <w:t>效益指标</w:t>
            </w:r>
          </w:p>
        </w:tc>
        <w:tc>
          <w:tcPr>
            <w:tcW w:w="2268" w:type="dxa"/>
            <w:vAlign w:val="center"/>
          </w:tcPr>
          <w:p w14:paraId="4DB90757">
            <w:pPr>
              <w:pStyle w:val="13"/>
            </w:pPr>
            <w:r>
              <w:t>社会效益指标</w:t>
            </w:r>
          </w:p>
        </w:tc>
        <w:tc>
          <w:tcPr>
            <w:tcW w:w="2835" w:type="dxa"/>
            <w:vAlign w:val="center"/>
          </w:tcPr>
          <w:p w14:paraId="528FFA9D">
            <w:pPr>
              <w:pStyle w:val="13"/>
            </w:pPr>
            <w:r>
              <w:t>学校稳定率</w:t>
            </w:r>
          </w:p>
        </w:tc>
        <w:tc>
          <w:tcPr>
            <w:tcW w:w="5386" w:type="dxa"/>
            <w:vAlign w:val="center"/>
          </w:tcPr>
          <w:p w14:paraId="27D5C15F">
            <w:pPr>
              <w:pStyle w:val="13"/>
            </w:pPr>
            <w:r>
              <w:t>维护学校稳定，保障学校正常教学秩序有效开展</w:t>
            </w:r>
          </w:p>
        </w:tc>
        <w:tc>
          <w:tcPr>
            <w:tcW w:w="2268" w:type="dxa"/>
            <w:vAlign w:val="center"/>
          </w:tcPr>
          <w:p w14:paraId="5B9013B2">
            <w:pPr>
              <w:pStyle w:val="13"/>
            </w:pPr>
            <w:r>
              <w:t>≥100%</w:t>
            </w:r>
          </w:p>
        </w:tc>
        <w:tc>
          <w:tcPr>
            <w:tcW w:w="1276" w:type="dxa"/>
            <w:vAlign w:val="center"/>
          </w:tcPr>
          <w:p w14:paraId="2D9C7DDF">
            <w:pPr>
              <w:pStyle w:val="13"/>
            </w:pPr>
            <w:r>
              <w:t>城乡义务教育公用经费管理办法</w:t>
            </w:r>
          </w:p>
        </w:tc>
      </w:tr>
      <w:tr w14:paraId="24953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43842D">
            <w:pPr>
              <w:pStyle w:val="12"/>
            </w:pPr>
            <w:r>
              <w:t>满意度指标</w:t>
            </w:r>
          </w:p>
        </w:tc>
        <w:tc>
          <w:tcPr>
            <w:tcW w:w="2268" w:type="dxa"/>
            <w:vAlign w:val="center"/>
          </w:tcPr>
          <w:p w14:paraId="5E5D3797">
            <w:pPr>
              <w:pStyle w:val="13"/>
            </w:pPr>
            <w:r>
              <w:t>服务对象满意度指标</w:t>
            </w:r>
          </w:p>
        </w:tc>
        <w:tc>
          <w:tcPr>
            <w:tcW w:w="2835" w:type="dxa"/>
            <w:vAlign w:val="center"/>
          </w:tcPr>
          <w:p w14:paraId="0C8B519F">
            <w:pPr>
              <w:pStyle w:val="13"/>
            </w:pPr>
            <w:r>
              <w:t>家长和学生满意度</w:t>
            </w:r>
          </w:p>
        </w:tc>
        <w:tc>
          <w:tcPr>
            <w:tcW w:w="5386" w:type="dxa"/>
            <w:vAlign w:val="center"/>
          </w:tcPr>
          <w:p w14:paraId="34C76E1C">
            <w:pPr>
              <w:pStyle w:val="13"/>
            </w:pPr>
            <w:r>
              <w:t>家长和学生满意度</w:t>
            </w:r>
          </w:p>
        </w:tc>
        <w:tc>
          <w:tcPr>
            <w:tcW w:w="2268" w:type="dxa"/>
            <w:vAlign w:val="center"/>
          </w:tcPr>
          <w:p w14:paraId="45ED3158">
            <w:pPr>
              <w:pStyle w:val="13"/>
            </w:pPr>
            <w:r>
              <w:t>≥95%</w:t>
            </w:r>
          </w:p>
        </w:tc>
        <w:tc>
          <w:tcPr>
            <w:tcW w:w="1276" w:type="dxa"/>
            <w:vAlign w:val="center"/>
          </w:tcPr>
          <w:p w14:paraId="62E6C65F">
            <w:pPr>
              <w:pStyle w:val="13"/>
            </w:pPr>
            <w:r>
              <w:t>问卷调查</w:t>
            </w:r>
          </w:p>
        </w:tc>
      </w:tr>
    </w:tbl>
    <w:p w14:paraId="041DF74B">
      <w:pPr>
        <w:sectPr>
          <w:pgSz w:w="16840" w:h="11900" w:orient="landscape"/>
          <w:pgMar w:top="1361" w:right="1020" w:bottom="1134" w:left="1020" w:header="720" w:footer="720" w:gutter="0"/>
          <w:cols w:space="720" w:num="1"/>
        </w:sectPr>
      </w:pPr>
    </w:p>
    <w:p w14:paraId="014C0AB0">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6、冀财教[2024]123号/中央/2025年义教补助经费/木花小学公用经费绩效目标表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6C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E3A37">
            <w:pPr>
              <w:pStyle w:val="14"/>
            </w:pPr>
            <w:r>
              <w:t>单位：万元</w:t>
            </w:r>
          </w:p>
        </w:tc>
      </w:tr>
      <w:tr w14:paraId="17035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8432A">
            <w:pPr>
              <w:pStyle w:val="11"/>
            </w:pPr>
            <w:r>
              <w:t>项目编码</w:t>
            </w:r>
          </w:p>
        </w:tc>
        <w:tc>
          <w:tcPr>
            <w:tcW w:w="5103" w:type="dxa"/>
            <w:gridSpan w:val="2"/>
            <w:vAlign w:val="center"/>
          </w:tcPr>
          <w:p w14:paraId="1B9CD783">
            <w:pPr>
              <w:pStyle w:val="13"/>
            </w:pPr>
            <w:r>
              <w:t>13052525P000004100826</w:t>
            </w:r>
          </w:p>
        </w:tc>
        <w:tc>
          <w:tcPr>
            <w:tcW w:w="2835" w:type="dxa"/>
            <w:vAlign w:val="center"/>
          </w:tcPr>
          <w:p w14:paraId="577D1CFB">
            <w:pPr>
              <w:pStyle w:val="11"/>
            </w:pPr>
            <w:r>
              <w:t>项目名称</w:t>
            </w:r>
          </w:p>
        </w:tc>
        <w:tc>
          <w:tcPr>
            <w:tcW w:w="6095" w:type="dxa"/>
            <w:gridSpan w:val="3"/>
            <w:vAlign w:val="center"/>
          </w:tcPr>
          <w:p w14:paraId="5F05D197">
            <w:pPr>
              <w:pStyle w:val="13"/>
            </w:pPr>
            <w:r>
              <w:t>冀财教[2024]123号/中央/2025年义教补助经费/木花小学公用经费</w:t>
            </w:r>
          </w:p>
        </w:tc>
      </w:tr>
      <w:tr w14:paraId="2F9A0A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8764F">
            <w:pPr>
              <w:pStyle w:val="11"/>
            </w:pPr>
            <w:r>
              <w:t>预算规模及资金用途</w:t>
            </w:r>
          </w:p>
        </w:tc>
        <w:tc>
          <w:tcPr>
            <w:tcW w:w="2268" w:type="dxa"/>
            <w:vAlign w:val="center"/>
          </w:tcPr>
          <w:p w14:paraId="51B232A5">
            <w:pPr>
              <w:pStyle w:val="11"/>
            </w:pPr>
            <w:r>
              <w:t>预算数</w:t>
            </w:r>
          </w:p>
        </w:tc>
        <w:tc>
          <w:tcPr>
            <w:tcW w:w="2835" w:type="dxa"/>
            <w:vAlign w:val="center"/>
          </w:tcPr>
          <w:p w14:paraId="6647A89E">
            <w:pPr>
              <w:pStyle w:val="13"/>
            </w:pPr>
            <w:r>
              <w:t>24.80</w:t>
            </w:r>
          </w:p>
        </w:tc>
        <w:tc>
          <w:tcPr>
            <w:tcW w:w="2835" w:type="dxa"/>
            <w:vAlign w:val="center"/>
          </w:tcPr>
          <w:p w14:paraId="64F81798">
            <w:pPr>
              <w:pStyle w:val="11"/>
            </w:pPr>
            <w:r>
              <w:t>其中：财政    资金</w:t>
            </w:r>
          </w:p>
        </w:tc>
        <w:tc>
          <w:tcPr>
            <w:tcW w:w="2551" w:type="dxa"/>
            <w:vAlign w:val="center"/>
          </w:tcPr>
          <w:p w14:paraId="18636ECC">
            <w:pPr>
              <w:pStyle w:val="13"/>
            </w:pPr>
            <w:r>
              <w:t>24.80</w:t>
            </w:r>
          </w:p>
        </w:tc>
        <w:tc>
          <w:tcPr>
            <w:tcW w:w="2268" w:type="dxa"/>
            <w:vAlign w:val="center"/>
          </w:tcPr>
          <w:p w14:paraId="65DA5CAD">
            <w:pPr>
              <w:pStyle w:val="11"/>
            </w:pPr>
            <w:r>
              <w:t>其他资金</w:t>
            </w:r>
          </w:p>
        </w:tc>
        <w:tc>
          <w:tcPr>
            <w:tcW w:w="1276" w:type="dxa"/>
            <w:vAlign w:val="center"/>
          </w:tcPr>
          <w:p w14:paraId="679A8121">
            <w:pPr>
              <w:pStyle w:val="13"/>
            </w:pPr>
            <w:r>
              <w:t xml:space="preserve"> </w:t>
            </w:r>
          </w:p>
        </w:tc>
      </w:tr>
      <w:tr w14:paraId="7FCEE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8CF61"/>
        </w:tc>
        <w:tc>
          <w:tcPr>
            <w:tcW w:w="14033" w:type="dxa"/>
            <w:gridSpan w:val="6"/>
            <w:vAlign w:val="center"/>
          </w:tcPr>
          <w:p w14:paraId="2F62E729">
            <w:pPr>
              <w:pStyle w:val="13"/>
            </w:pPr>
            <w:r>
              <w:t>用于有效完成学校教学安全秩序，保障学校教学任务有效开展，满足学校正常教学需要。</w:t>
            </w:r>
          </w:p>
        </w:tc>
      </w:tr>
      <w:tr w14:paraId="032D5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6218F">
            <w:pPr>
              <w:pStyle w:val="11"/>
            </w:pPr>
            <w:r>
              <w:t>资金支出计划（%）</w:t>
            </w:r>
          </w:p>
        </w:tc>
        <w:tc>
          <w:tcPr>
            <w:tcW w:w="5103" w:type="dxa"/>
            <w:gridSpan w:val="2"/>
            <w:vAlign w:val="center"/>
          </w:tcPr>
          <w:p w14:paraId="1CECCA77">
            <w:pPr>
              <w:pStyle w:val="11"/>
            </w:pPr>
            <w:r>
              <w:t>3月底</w:t>
            </w:r>
          </w:p>
        </w:tc>
        <w:tc>
          <w:tcPr>
            <w:tcW w:w="2835" w:type="dxa"/>
            <w:vAlign w:val="center"/>
          </w:tcPr>
          <w:p w14:paraId="489A6B88">
            <w:pPr>
              <w:pStyle w:val="11"/>
            </w:pPr>
            <w:r>
              <w:t>6月底</w:t>
            </w:r>
          </w:p>
        </w:tc>
        <w:tc>
          <w:tcPr>
            <w:tcW w:w="2551" w:type="dxa"/>
            <w:vAlign w:val="center"/>
          </w:tcPr>
          <w:p w14:paraId="54404142">
            <w:pPr>
              <w:pStyle w:val="11"/>
            </w:pPr>
            <w:r>
              <w:t>10月底</w:t>
            </w:r>
          </w:p>
        </w:tc>
        <w:tc>
          <w:tcPr>
            <w:tcW w:w="3544" w:type="dxa"/>
            <w:gridSpan w:val="2"/>
            <w:vAlign w:val="center"/>
          </w:tcPr>
          <w:p w14:paraId="5B1450F5">
            <w:pPr>
              <w:pStyle w:val="11"/>
            </w:pPr>
            <w:r>
              <w:t>12月底</w:t>
            </w:r>
          </w:p>
        </w:tc>
      </w:tr>
      <w:tr w14:paraId="36A63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84646"/>
        </w:tc>
        <w:tc>
          <w:tcPr>
            <w:tcW w:w="5103" w:type="dxa"/>
            <w:gridSpan w:val="2"/>
            <w:vAlign w:val="center"/>
          </w:tcPr>
          <w:p w14:paraId="0DC4E54A">
            <w:pPr>
              <w:pStyle w:val="12"/>
            </w:pPr>
            <w:r>
              <w:t>25%</w:t>
            </w:r>
          </w:p>
        </w:tc>
        <w:tc>
          <w:tcPr>
            <w:tcW w:w="2835" w:type="dxa"/>
            <w:vAlign w:val="center"/>
          </w:tcPr>
          <w:p w14:paraId="28606EDE">
            <w:pPr>
              <w:pStyle w:val="12"/>
            </w:pPr>
            <w:r>
              <w:t>50%</w:t>
            </w:r>
          </w:p>
        </w:tc>
        <w:tc>
          <w:tcPr>
            <w:tcW w:w="2551" w:type="dxa"/>
            <w:vAlign w:val="center"/>
          </w:tcPr>
          <w:p w14:paraId="3C86A7DF">
            <w:pPr>
              <w:pStyle w:val="12"/>
            </w:pPr>
            <w:r>
              <w:t>70%</w:t>
            </w:r>
          </w:p>
        </w:tc>
        <w:tc>
          <w:tcPr>
            <w:tcW w:w="3544" w:type="dxa"/>
            <w:gridSpan w:val="2"/>
            <w:vAlign w:val="center"/>
          </w:tcPr>
          <w:p w14:paraId="76946B1B">
            <w:pPr>
              <w:pStyle w:val="12"/>
            </w:pPr>
            <w:r>
              <w:t>100%</w:t>
            </w:r>
          </w:p>
        </w:tc>
      </w:tr>
      <w:tr w14:paraId="64680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5B099E">
            <w:pPr>
              <w:pStyle w:val="11"/>
            </w:pPr>
            <w:r>
              <w:t>绩效目标</w:t>
            </w:r>
          </w:p>
        </w:tc>
        <w:tc>
          <w:tcPr>
            <w:tcW w:w="14033" w:type="dxa"/>
            <w:gridSpan w:val="6"/>
            <w:vAlign w:val="center"/>
          </w:tcPr>
          <w:p w14:paraId="38574D08">
            <w:pPr>
              <w:pStyle w:val="13"/>
            </w:pPr>
            <w:r>
              <w:t>1.按规定拨付公用经费资金，预算执行率≥98%。</w:t>
            </w:r>
          </w:p>
          <w:p w14:paraId="531BCDB7">
            <w:pPr>
              <w:pStyle w:val="13"/>
            </w:pPr>
            <w:r>
              <w:t>2.有效完成学校教学安全秩序，保障学校教学任务有效开展，满足学校正常教学需要。</w:t>
            </w:r>
          </w:p>
        </w:tc>
      </w:tr>
    </w:tbl>
    <w:p w14:paraId="4E2AE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B5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7D2F0">
            <w:pPr>
              <w:pStyle w:val="11"/>
            </w:pPr>
            <w:r>
              <w:t>一级指标</w:t>
            </w:r>
          </w:p>
        </w:tc>
        <w:tc>
          <w:tcPr>
            <w:tcW w:w="2268" w:type="dxa"/>
            <w:vAlign w:val="center"/>
          </w:tcPr>
          <w:p w14:paraId="08E25537">
            <w:pPr>
              <w:pStyle w:val="11"/>
            </w:pPr>
            <w:r>
              <w:t>二级指标</w:t>
            </w:r>
          </w:p>
        </w:tc>
        <w:tc>
          <w:tcPr>
            <w:tcW w:w="2835" w:type="dxa"/>
            <w:vAlign w:val="center"/>
          </w:tcPr>
          <w:p w14:paraId="6045D4FE">
            <w:pPr>
              <w:pStyle w:val="11"/>
            </w:pPr>
            <w:r>
              <w:t>三级指标</w:t>
            </w:r>
          </w:p>
        </w:tc>
        <w:tc>
          <w:tcPr>
            <w:tcW w:w="5386" w:type="dxa"/>
            <w:vAlign w:val="center"/>
          </w:tcPr>
          <w:p w14:paraId="28F9833D">
            <w:pPr>
              <w:pStyle w:val="11"/>
            </w:pPr>
            <w:r>
              <w:t>绩效指标描述</w:t>
            </w:r>
          </w:p>
        </w:tc>
        <w:tc>
          <w:tcPr>
            <w:tcW w:w="2268" w:type="dxa"/>
            <w:vAlign w:val="center"/>
          </w:tcPr>
          <w:p w14:paraId="6A5C0DAE">
            <w:pPr>
              <w:pStyle w:val="11"/>
            </w:pPr>
            <w:r>
              <w:t>指标值</w:t>
            </w:r>
          </w:p>
        </w:tc>
        <w:tc>
          <w:tcPr>
            <w:tcW w:w="1276" w:type="dxa"/>
            <w:vAlign w:val="center"/>
          </w:tcPr>
          <w:p w14:paraId="7BE94D32">
            <w:pPr>
              <w:pStyle w:val="11"/>
            </w:pPr>
            <w:r>
              <w:t>指标值确定依据</w:t>
            </w:r>
          </w:p>
        </w:tc>
      </w:tr>
      <w:tr w14:paraId="7B315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C5117">
            <w:pPr>
              <w:pStyle w:val="12"/>
            </w:pPr>
            <w:r>
              <w:t>产出指标</w:t>
            </w:r>
          </w:p>
        </w:tc>
        <w:tc>
          <w:tcPr>
            <w:tcW w:w="2268" w:type="dxa"/>
            <w:vAlign w:val="center"/>
          </w:tcPr>
          <w:p w14:paraId="24056A90">
            <w:pPr>
              <w:pStyle w:val="13"/>
            </w:pPr>
            <w:r>
              <w:t>数量指标</w:t>
            </w:r>
          </w:p>
        </w:tc>
        <w:tc>
          <w:tcPr>
            <w:tcW w:w="2835" w:type="dxa"/>
            <w:vAlign w:val="center"/>
          </w:tcPr>
          <w:p w14:paraId="4B8B09B0">
            <w:pPr>
              <w:pStyle w:val="13"/>
            </w:pPr>
            <w:r>
              <w:t>生均拨款标准</w:t>
            </w:r>
          </w:p>
        </w:tc>
        <w:tc>
          <w:tcPr>
            <w:tcW w:w="5386" w:type="dxa"/>
            <w:vAlign w:val="center"/>
          </w:tcPr>
          <w:p w14:paraId="3CD9B697">
            <w:pPr>
              <w:pStyle w:val="13"/>
            </w:pPr>
            <w:r>
              <w:t>小学生公用经费生均小学720元。取暖费140元/生/年，随班就读学生补助6000元/生</w:t>
            </w:r>
          </w:p>
        </w:tc>
        <w:tc>
          <w:tcPr>
            <w:tcW w:w="2268" w:type="dxa"/>
            <w:vAlign w:val="center"/>
          </w:tcPr>
          <w:p w14:paraId="06AE1500">
            <w:pPr>
              <w:pStyle w:val="13"/>
            </w:pPr>
            <w:r>
              <w:t>840元</w:t>
            </w:r>
          </w:p>
        </w:tc>
        <w:tc>
          <w:tcPr>
            <w:tcW w:w="1276" w:type="dxa"/>
            <w:vAlign w:val="center"/>
          </w:tcPr>
          <w:p w14:paraId="17306B10">
            <w:pPr>
              <w:pStyle w:val="13"/>
            </w:pPr>
            <w:r>
              <w:t>城乡义务教育公用经费管理办法</w:t>
            </w:r>
          </w:p>
        </w:tc>
      </w:tr>
      <w:tr w14:paraId="29870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A6E31"/>
        </w:tc>
        <w:tc>
          <w:tcPr>
            <w:tcW w:w="2268" w:type="dxa"/>
            <w:vAlign w:val="center"/>
          </w:tcPr>
          <w:p w14:paraId="4B203380">
            <w:pPr>
              <w:pStyle w:val="13"/>
            </w:pPr>
            <w:r>
              <w:t>质量指标</w:t>
            </w:r>
          </w:p>
        </w:tc>
        <w:tc>
          <w:tcPr>
            <w:tcW w:w="2835" w:type="dxa"/>
            <w:vAlign w:val="center"/>
          </w:tcPr>
          <w:p w14:paraId="48861380">
            <w:pPr>
              <w:pStyle w:val="13"/>
            </w:pPr>
            <w:r>
              <w:t>就读学生数</w:t>
            </w:r>
          </w:p>
        </w:tc>
        <w:tc>
          <w:tcPr>
            <w:tcW w:w="5386" w:type="dxa"/>
            <w:vAlign w:val="center"/>
          </w:tcPr>
          <w:p w14:paraId="7210289A">
            <w:pPr>
              <w:pStyle w:val="13"/>
            </w:pPr>
            <w:r>
              <w:t>辐射区域内适龄学生人数</w:t>
            </w:r>
          </w:p>
        </w:tc>
        <w:tc>
          <w:tcPr>
            <w:tcW w:w="2268" w:type="dxa"/>
            <w:vAlign w:val="center"/>
          </w:tcPr>
          <w:p w14:paraId="633E0571">
            <w:pPr>
              <w:pStyle w:val="13"/>
            </w:pPr>
            <w:r>
              <w:t>≥428人</w:t>
            </w:r>
          </w:p>
        </w:tc>
        <w:tc>
          <w:tcPr>
            <w:tcW w:w="1276" w:type="dxa"/>
            <w:vAlign w:val="center"/>
          </w:tcPr>
          <w:p w14:paraId="5C5390E9">
            <w:pPr>
              <w:pStyle w:val="13"/>
            </w:pPr>
            <w:r>
              <w:t>城乡义务教育公用经费管理办法</w:t>
            </w:r>
          </w:p>
        </w:tc>
      </w:tr>
      <w:tr w14:paraId="35FA7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1C74A"/>
        </w:tc>
        <w:tc>
          <w:tcPr>
            <w:tcW w:w="2268" w:type="dxa"/>
            <w:vAlign w:val="center"/>
          </w:tcPr>
          <w:p w14:paraId="31AB4F64">
            <w:pPr>
              <w:pStyle w:val="13"/>
            </w:pPr>
            <w:r>
              <w:t>时效指标</w:t>
            </w:r>
          </w:p>
        </w:tc>
        <w:tc>
          <w:tcPr>
            <w:tcW w:w="2835" w:type="dxa"/>
            <w:vAlign w:val="center"/>
          </w:tcPr>
          <w:p w14:paraId="7DDEDA6F">
            <w:pPr>
              <w:pStyle w:val="13"/>
            </w:pPr>
            <w:r>
              <w:t>预算执行率</w:t>
            </w:r>
          </w:p>
        </w:tc>
        <w:tc>
          <w:tcPr>
            <w:tcW w:w="5386" w:type="dxa"/>
            <w:vAlign w:val="center"/>
          </w:tcPr>
          <w:p w14:paraId="79D78F5B">
            <w:pPr>
              <w:pStyle w:val="13"/>
            </w:pPr>
            <w:r>
              <w:t>预算执行率≥98%</w:t>
            </w:r>
          </w:p>
        </w:tc>
        <w:tc>
          <w:tcPr>
            <w:tcW w:w="2268" w:type="dxa"/>
            <w:vAlign w:val="center"/>
          </w:tcPr>
          <w:p w14:paraId="287A4B07">
            <w:pPr>
              <w:pStyle w:val="13"/>
            </w:pPr>
            <w:r>
              <w:t>≥98%</w:t>
            </w:r>
          </w:p>
        </w:tc>
        <w:tc>
          <w:tcPr>
            <w:tcW w:w="1276" w:type="dxa"/>
            <w:vAlign w:val="center"/>
          </w:tcPr>
          <w:p w14:paraId="39E727F0">
            <w:pPr>
              <w:pStyle w:val="13"/>
            </w:pPr>
            <w:r>
              <w:t>城乡义务教育公用经费管理办法</w:t>
            </w:r>
          </w:p>
        </w:tc>
      </w:tr>
      <w:tr w14:paraId="1C43B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6BA19"/>
        </w:tc>
        <w:tc>
          <w:tcPr>
            <w:tcW w:w="2268" w:type="dxa"/>
            <w:vAlign w:val="center"/>
          </w:tcPr>
          <w:p w14:paraId="2464FD55">
            <w:pPr>
              <w:pStyle w:val="13"/>
            </w:pPr>
            <w:r>
              <w:t>成本指标</w:t>
            </w:r>
          </w:p>
        </w:tc>
        <w:tc>
          <w:tcPr>
            <w:tcW w:w="2835" w:type="dxa"/>
            <w:vAlign w:val="center"/>
          </w:tcPr>
          <w:p w14:paraId="3DFB3749">
            <w:pPr>
              <w:pStyle w:val="13"/>
            </w:pPr>
            <w:r>
              <w:t>义教经费支付完成率</w:t>
            </w:r>
          </w:p>
        </w:tc>
        <w:tc>
          <w:tcPr>
            <w:tcW w:w="5386" w:type="dxa"/>
            <w:vAlign w:val="center"/>
          </w:tcPr>
          <w:p w14:paraId="2D2C63AC">
            <w:pPr>
              <w:pStyle w:val="13"/>
            </w:pPr>
            <w:r>
              <w:t>按照序时进度完成资金支付</w:t>
            </w:r>
          </w:p>
        </w:tc>
        <w:tc>
          <w:tcPr>
            <w:tcW w:w="2268" w:type="dxa"/>
            <w:vAlign w:val="center"/>
          </w:tcPr>
          <w:p w14:paraId="7170EB26">
            <w:pPr>
              <w:pStyle w:val="13"/>
            </w:pPr>
            <w:r>
              <w:t>100%</w:t>
            </w:r>
          </w:p>
        </w:tc>
        <w:tc>
          <w:tcPr>
            <w:tcW w:w="1276" w:type="dxa"/>
            <w:vAlign w:val="center"/>
          </w:tcPr>
          <w:p w14:paraId="34A2AF85">
            <w:pPr>
              <w:pStyle w:val="13"/>
            </w:pPr>
            <w:r>
              <w:t>城乡义务教育公用经费管理办法</w:t>
            </w:r>
          </w:p>
        </w:tc>
      </w:tr>
      <w:tr w14:paraId="27CDE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B034FF">
            <w:pPr>
              <w:pStyle w:val="12"/>
            </w:pPr>
            <w:r>
              <w:t>效益指标</w:t>
            </w:r>
          </w:p>
        </w:tc>
        <w:tc>
          <w:tcPr>
            <w:tcW w:w="2268" w:type="dxa"/>
            <w:vAlign w:val="center"/>
          </w:tcPr>
          <w:p w14:paraId="5C73983B">
            <w:pPr>
              <w:pStyle w:val="13"/>
            </w:pPr>
            <w:r>
              <w:t>可持续影响指标</w:t>
            </w:r>
          </w:p>
        </w:tc>
        <w:tc>
          <w:tcPr>
            <w:tcW w:w="2835" w:type="dxa"/>
            <w:vAlign w:val="center"/>
          </w:tcPr>
          <w:p w14:paraId="067164C3">
            <w:pPr>
              <w:pStyle w:val="13"/>
            </w:pPr>
            <w:r>
              <w:t>学校运转得到提高</w:t>
            </w:r>
          </w:p>
        </w:tc>
        <w:tc>
          <w:tcPr>
            <w:tcW w:w="5386" w:type="dxa"/>
            <w:vAlign w:val="center"/>
          </w:tcPr>
          <w:p w14:paraId="052D3286">
            <w:pPr>
              <w:pStyle w:val="13"/>
            </w:pPr>
            <w:r>
              <w:t>学生受教育年限</w:t>
            </w:r>
          </w:p>
        </w:tc>
        <w:tc>
          <w:tcPr>
            <w:tcW w:w="2268" w:type="dxa"/>
            <w:vAlign w:val="center"/>
          </w:tcPr>
          <w:p w14:paraId="3F9B513D">
            <w:pPr>
              <w:pStyle w:val="13"/>
            </w:pPr>
            <w:r>
              <w:t>6年</w:t>
            </w:r>
          </w:p>
        </w:tc>
        <w:tc>
          <w:tcPr>
            <w:tcW w:w="1276" w:type="dxa"/>
            <w:vAlign w:val="center"/>
          </w:tcPr>
          <w:p w14:paraId="54272120">
            <w:pPr>
              <w:pStyle w:val="13"/>
            </w:pPr>
            <w:r>
              <w:t>城乡义务教育公用经费管理办法</w:t>
            </w:r>
          </w:p>
        </w:tc>
      </w:tr>
      <w:tr w14:paraId="6275C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2EECC0">
            <w:pPr>
              <w:pStyle w:val="12"/>
            </w:pPr>
            <w:r>
              <w:t>满意度指标</w:t>
            </w:r>
          </w:p>
        </w:tc>
        <w:tc>
          <w:tcPr>
            <w:tcW w:w="2268" w:type="dxa"/>
            <w:vAlign w:val="center"/>
          </w:tcPr>
          <w:p w14:paraId="5AA70864">
            <w:pPr>
              <w:pStyle w:val="13"/>
            </w:pPr>
            <w:r>
              <w:t>服务对象满意度指标</w:t>
            </w:r>
          </w:p>
        </w:tc>
        <w:tc>
          <w:tcPr>
            <w:tcW w:w="2835" w:type="dxa"/>
            <w:vAlign w:val="center"/>
          </w:tcPr>
          <w:p w14:paraId="5759E989">
            <w:pPr>
              <w:pStyle w:val="13"/>
            </w:pPr>
            <w:r>
              <w:t>服务对象满意度</w:t>
            </w:r>
          </w:p>
        </w:tc>
        <w:tc>
          <w:tcPr>
            <w:tcW w:w="5386" w:type="dxa"/>
            <w:vAlign w:val="center"/>
          </w:tcPr>
          <w:p w14:paraId="61BD5A3C">
            <w:pPr>
              <w:pStyle w:val="13"/>
            </w:pPr>
            <w:r>
              <w:t>学校老师和学生满意度</w:t>
            </w:r>
          </w:p>
        </w:tc>
        <w:tc>
          <w:tcPr>
            <w:tcW w:w="2268" w:type="dxa"/>
            <w:vAlign w:val="center"/>
          </w:tcPr>
          <w:p w14:paraId="343E89B6">
            <w:pPr>
              <w:pStyle w:val="13"/>
            </w:pPr>
            <w:r>
              <w:t>≥95%</w:t>
            </w:r>
          </w:p>
        </w:tc>
        <w:tc>
          <w:tcPr>
            <w:tcW w:w="1276" w:type="dxa"/>
            <w:vAlign w:val="center"/>
          </w:tcPr>
          <w:p w14:paraId="18A7EA29">
            <w:pPr>
              <w:pStyle w:val="13"/>
            </w:pPr>
            <w:r>
              <w:t>问卷调查</w:t>
            </w:r>
          </w:p>
        </w:tc>
      </w:tr>
    </w:tbl>
    <w:p w14:paraId="0CCCA663">
      <w:pPr>
        <w:sectPr>
          <w:pgSz w:w="16840" w:h="11900" w:orient="landscape"/>
          <w:pgMar w:top="1361" w:right="1020" w:bottom="1134" w:left="1020" w:header="720" w:footer="720" w:gutter="0"/>
          <w:cols w:space="720" w:num="1"/>
        </w:sectPr>
      </w:pPr>
    </w:p>
    <w:p w14:paraId="25A484B6">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7、冀财教[2024]123号/中央/2025年义教补助经费/双碑小学公用经费绩效目标表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22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89DE6">
            <w:pPr>
              <w:pStyle w:val="14"/>
            </w:pPr>
            <w:r>
              <w:t>单位：万元</w:t>
            </w:r>
          </w:p>
        </w:tc>
      </w:tr>
      <w:tr w14:paraId="0E092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EAF6F7">
            <w:pPr>
              <w:pStyle w:val="11"/>
            </w:pPr>
            <w:r>
              <w:t>项目编码</w:t>
            </w:r>
          </w:p>
        </w:tc>
        <w:tc>
          <w:tcPr>
            <w:tcW w:w="5103" w:type="dxa"/>
            <w:gridSpan w:val="2"/>
            <w:vAlign w:val="center"/>
          </w:tcPr>
          <w:p w14:paraId="26747D85">
            <w:pPr>
              <w:pStyle w:val="13"/>
            </w:pPr>
            <w:r>
              <w:t>13052525P000004100780</w:t>
            </w:r>
          </w:p>
        </w:tc>
        <w:tc>
          <w:tcPr>
            <w:tcW w:w="2835" w:type="dxa"/>
            <w:vAlign w:val="center"/>
          </w:tcPr>
          <w:p w14:paraId="6A941903">
            <w:pPr>
              <w:pStyle w:val="11"/>
            </w:pPr>
            <w:r>
              <w:t>项目名称</w:t>
            </w:r>
          </w:p>
        </w:tc>
        <w:tc>
          <w:tcPr>
            <w:tcW w:w="6095" w:type="dxa"/>
            <w:gridSpan w:val="3"/>
            <w:vAlign w:val="center"/>
          </w:tcPr>
          <w:p w14:paraId="7903517F">
            <w:pPr>
              <w:pStyle w:val="13"/>
            </w:pPr>
            <w:r>
              <w:t>冀财教[2024]123号/中央/2025年义教补助经费/双碑小学公用经费</w:t>
            </w:r>
          </w:p>
        </w:tc>
      </w:tr>
      <w:tr w14:paraId="092BA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6A01B">
            <w:pPr>
              <w:pStyle w:val="11"/>
            </w:pPr>
            <w:r>
              <w:t>预算规模及资金用途</w:t>
            </w:r>
          </w:p>
        </w:tc>
        <w:tc>
          <w:tcPr>
            <w:tcW w:w="2268" w:type="dxa"/>
            <w:vAlign w:val="center"/>
          </w:tcPr>
          <w:p w14:paraId="02B0B408">
            <w:pPr>
              <w:pStyle w:val="11"/>
            </w:pPr>
            <w:r>
              <w:t>预算数</w:t>
            </w:r>
          </w:p>
        </w:tc>
        <w:tc>
          <w:tcPr>
            <w:tcW w:w="2835" w:type="dxa"/>
            <w:vAlign w:val="center"/>
          </w:tcPr>
          <w:p w14:paraId="24D032DB">
            <w:pPr>
              <w:pStyle w:val="13"/>
            </w:pPr>
            <w:r>
              <w:t>26.73</w:t>
            </w:r>
          </w:p>
        </w:tc>
        <w:tc>
          <w:tcPr>
            <w:tcW w:w="2835" w:type="dxa"/>
            <w:vAlign w:val="center"/>
          </w:tcPr>
          <w:p w14:paraId="54F67151">
            <w:pPr>
              <w:pStyle w:val="11"/>
            </w:pPr>
            <w:r>
              <w:t>其中：财政    资金</w:t>
            </w:r>
          </w:p>
        </w:tc>
        <w:tc>
          <w:tcPr>
            <w:tcW w:w="2551" w:type="dxa"/>
            <w:vAlign w:val="center"/>
          </w:tcPr>
          <w:p w14:paraId="7F7297A3">
            <w:pPr>
              <w:pStyle w:val="13"/>
            </w:pPr>
            <w:r>
              <w:t>26.73</w:t>
            </w:r>
          </w:p>
        </w:tc>
        <w:tc>
          <w:tcPr>
            <w:tcW w:w="2268" w:type="dxa"/>
            <w:vAlign w:val="center"/>
          </w:tcPr>
          <w:p w14:paraId="1515803F">
            <w:pPr>
              <w:pStyle w:val="11"/>
            </w:pPr>
            <w:r>
              <w:t>其他资金</w:t>
            </w:r>
          </w:p>
        </w:tc>
        <w:tc>
          <w:tcPr>
            <w:tcW w:w="1276" w:type="dxa"/>
            <w:vAlign w:val="center"/>
          </w:tcPr>
          <w:p w14:paraId="3757E884">
            <w:pPr>
              <w:pStyle w:val="13"/>
            </w:pPr>
            <w:r>
              <w:t xml:space="preserve"> </w:t>
            </w:r>
          </w:p>
        </w:tc>
      </w:tr>
      <w:tr w14:paraId="763B4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F6F01D"/>
        </w:tc>
        <w:tc>
          <w:tcPr>
            <w:tcW w:w="14033" w:type="dxa"/>
            <w:gridSpan w:val="6"/>
            <w:vAlign w:val="center"/>
          </w:tcPr>
          <w:p w14:paraId="61645326">
            <w:pPr>
              <w:pStyle w:val="13"/>
            </w:pPr>
            <w:r>
              <w:t>用于有效完成学校教学安全秩序，保障学校教学任务有效开展，满足学校正常教学需要。</w:t>
            </w:r>
          </w:p>
        </w:tc>
      </w:tr>
      <w:tr w14:paraId="67438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00626">
            <w:pPr>
              <w:pStyle w:val="11"/>
            </w:pPr>
            <w:r>
              <w:t>资金支出计划（%）</w:t>
            </w:r>
          </w:p>
        </w:tc>
        <w:tc>
          <w:tcPr>
            <w:tcW w:w="5103" w:type="dxa"/>
            <w:gridSpan w:val="2"/>
            <w:vAlign w:val="center"/>
          </w:tcPr>
          <w:p w14:paraId="492111F6">
            <w:pPr>
              <w:pStyle w:val="11"/>
            </w:pPr>
            <w:r>
              <w:t>3月底</w:t>
            </w:r>
          </w:p>
        </w:tc>
        <w:tc>
          <w:tcPr>
            <w:tcW w:w="2835" w:type="dxa"/>
            <w:vAlign w:val="center"/>
          </w:tcPr>
          <w:p w14:paraId="0E283963">
            <w:pPr>
              <w:pStyle w:val="11"/>
            </w:pPr>
            <w:r>
              <w:t>6月底</w:t>
            </w:r>
          </w:p>
        </w:tc>
        <w:tc>
          <w:tcPr>
            <w:tcW w:w="2551" w:type="dxa"/>
            <w:vAlign w:val="center"/>
          </w:tcPr>
          <w:p w14:paraId="1149BF4B">
            <w:pPr>
              <w:pStyle w:val="11"/>
            </w:pPr>
            <w:r>
              <w:t>10月底</w:t>
            </w:r>
          </w:p>
        </w:tc>
        <w:tc>
          <w:tcPr>
            <w:tcW w:w="3544" w:type="dxa"/>
            <w:gridSpan w:val="2"/>
            <w:vAlign w:val="center"/>
          </w:tcPr>
          <w:p w14:paraId="39DC7189">
            <w:pPr>
              <w:pStyle w:val="11"/>
            </w:pPr>
            <w:r>
              <w:t>12月底</w:t>
            </w:r>
          </w:p>
        </w:tc>
      </w:tr>
      <w:tr w14:paraId="4210F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6A9517"/>
        </w:tc>
        <w:tc>
          <w:tcPr>
            <w:tcW w:w="5103" w:type="dxa"/>
            <w:gridSpan w:val="2"/>
            <w:vAlign w:val="center"/>
          </w:tcPr>
          <w:p w14:paraId="5F7D2CF9">
            <w:pPr>
              <w:pStyle w:val="12"/>
            </w:pPr>
            <w:r>
              <w:t>25%</w:t>
            </w:r>
          </w:p>
        </w:tc>
        <w:tc>
          <w:tcPr>
            <w:tcW w:w="2835" w:type="dxa"/>
            <w:vAlign w:val="center"/>
          </w:tcPr>
          <w:p w14:paraId="666CDC7C">
            <w:pPr>
              <w:pStyle w:val="12"/>
            </w:pPr>
            <w:r>
              <w:t>50%</w:t>
            </w:r>
          </w:p>
        </w:tc>
        <w:tc>
          <w:tcPr>
            <w:tcW w:w="2551" w:type="dxa"/>
            <w:vAlign w:val="center"/>
          </w:tcPr>
          <w:p w14:paraId="20C994A8">
            <w:pPr>
              <w:pStyle w:val="12"/>
            </w:pPr>
            <w:r>
              <w:t>75%</w:t>
            </w:r>
          </w:p>
        </w:tc>
        <w:tc>
          <w:tcPr>
            <w:tcW w:w="3544" w:type="dxa"/>
            <w:gridSpan w:val="2"/>
            <w:vAlign w:val="center"/>
          </w:tcPr>
          <w:p w14:paraId="64014A27">
            <w:pPr>
              <w:pStyle w:val="12"/>
            </w:pPr>
            <w:r>
              <w:t>100%</w:t>
            </w:r>
          </w:p>
        </w:tc>
      </w:tr>
      <w:tr w14:paraId="26833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C6EF35">
            <w:pPr>
              <w:pStyle w:val="11"/>
            </w:pPr>
            <w:r>
              <w:t>绩效目标</w:t>
            </w:r>
          </w:p>
        </w:tc>
        <w:tc>
          <w:tcPr>
            <w:tcW w:w="14033" w:type="dxa"/>
            <w:gridSpan w:val="6"/>
            <w:vAlign w:val="center"/>
          </w:tcPr>
          <w:p w14:paraId="3173456C">
            <w:pPr>
              <w:pStyle w:val="13"/>
            </w:pPr>
            <w:r>
              <w:t>1.按规定拨付公用经费资金，预算执行率≥98%。</w:t>
            </w:r>
          </w:p>
          <w:p w14:paraId="5EBFF494">
            <w:pPr>
              <w:pStyle w:val="13"/>
            </w:pPr>
            <w:r>
              <w:t>2.有效完成学校教学安全秩序，保障学校教学任务有效开展，满足学校正常教学需要。</w:t>
            </w:r>
          </w:p>
        </w:tc>
      </w:tr>
    </w:tbl>
    <w:p w14:paraId="0B67B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E7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E8966">
            <w:pPr>
              <w:pStyle w:val="11"/>
            </w:pPr>
            <w:r>
              <w:t>一级指标</w:t>
            </w:r>
          </w:p>
        </w:tc>
        <w:tc>
          <w:tcPr>
            <w:tcW w:w="2268" w:type="dxa"/>
            <w:vAlign w:val="center"/>
          </w:tcPr>
          <w:p w14:paraId="5C55E49F">
            <w:pPr>
              <w:pStyle w:val="11"/>
            </w:pPr>
            <w:r>
              <w:t>二级指标</w:t>
            </w:r>
          </w:p>
        </w:tc>
        <w:tc>
          <w:tcPr>
            <w:tcW w:w="2835" w:type="dxa"/>
            <w:vAlign w:val="center"/>
          </w:tcPr>
          <w:p w14:paraId="08392825">
            <w:pPr>
              <w:pStyle w:val="11"/>
            </w:pPr>
            <w:r>
              <w:t>三级指标</w:t>
            </w:r>
          </w:p>
        </w:tc>
        <w:tc>
          <w:tcPr>
            <w:tcW w:w="5386" w:type="dxa"/>
            <w:vAlign w:val="center"/>
          </w:tcPr>
          <w:p w14:paraId="5F914A58">
            <w:pPr>
              <w:pStyle w:val="11"/>
            </w:pPr>
            <w:r>
              <w:t>绩效指标描述</w:t>
            </w:r>
          </w:p>
        </w:tc>
        <w:tc>
          <w:tcPr>
            <w:tcW w:w="2268" w:type="dxa"/>
            <w:vAlign w:val="center"/>
          </w:tcPr>
          <w:p w14:paraId="539D4B63">
            <w:pPr>
              <w:pStyle w:val="11"/>
            </w:pPr>
            <w:r>
              <w:t>指标值</w:t>
            </w:r>
          </w:p>
        </w:tc>
        <w:tc>
          <w:tcPr>
            <w:tcW w:w="1276" w:type="dxa"/>
            <w:vAlign w:val="center"/>
          </w:tcPr>
          <w:p w14:paraId="5479E66E">
            <w:pPr>
              <w:pStyle w:val="11"/>
            </w:pPr>
            <w:r>
              <w:t>指标值确定依据</w:t>
            </w:r>
          </w:p>
        </w:tc>
      </w:tr>
      <w:tr w14:paraId="418D5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E5CEC">
            <w:pPr>
              <w:pStyle w:val="12"/>
            </w:pPr>
            <w:r>
              <w:t>产出指标</w:t>
            </w:r>
          </w:p>
        </w:tc>
        <w:tc>
          <w:tcPr>
            <w:tcW w:w="2268" w:type="dxa"/>
            <w:vAlign w:val="center"/>
          </w:tcPr>
          <w:p w14:paraId="0FBB6046">
            <w:pPr>
              <w:pStyle w:val="13"/>
            </w:pPr>
            <w:r>
              <w:t>数量指标</w:t>
            </w:r>
          </w:p>
        </w:tc>
        <w:tc>
          <w:tcPr>
            <w:tcW w:w="2835" w:type="dxa"/>
            <w:vAlign w:val="center"/>
          </w:tcPr>
          <w:p w14:paraId="15462638">
            <w:pPr>
              <w:pStyle w:val="13"/>
            </w:pPr>
            <w:r>
              <w:t>生均拨款标准</w:t>
            </w:r>
          </w:p>
        </w:tc>
        <w:tc>
          <w:tcPr>
            <w:tcW w:w="5386" w:type="dxa"/>
            <w:vAlign w:val="center"/>
          </w:tcPr>
          <w:p w14:paraId="6330B004">
            <w:pPr>
              <w:pStyle w:val="13"/>
            </w:pPr>
            <w:r>
              <w:t>小学生公用经费生均小学720元。取暖费140元/生/年，随班就读学生补助6000元/生</w:t>
            </w:r>
          </w:p>
        </w:tc>
        <w:tc>
          <w:tcPr>
            <w:tcW w:w="2268" w:type="dxa"/>
            <w:vAlign w:val="center"/>
          </w:tcPr>
          <w:p w14:paraId="381CB2C7">
            <w:pPr>
              <w:pStyle w:val="13"/>
            </w:pPr>
            <w:r>
              <w:t>840元</w:t>
            </w:r>
          </w:p>
        </w:tc>
        <w:tc>
          <w:tcPr>
            <w:tcW w:w="1276" w:type="dxa"/>
            <w:vAlign w:val="center"/>
          </w:tcPr>
          <w:p w14:paraId="59BC7904">
            <w:pPr>
              <w:pStyle w:val="13"/>
            </w:pPr>
            <w:r>
              <w:t>城乡义务教育公用经费管理办法</w:t>
            </w:r>
          </w:p>
        </w:tc>
      </w:tr>
      <w:tr w14:paraId="085D1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45625"/>
        </w:tc>
        <w:tc>
          <w:tcPr>
            <w:tcW w:w="2268" w:type="dxa"/>
            <w:vAlign w:val="center"/>
          </w:tcPr>
          <w:p w14:paraId="07A85F58">
            <w:pPr>
              <w:pStyle w:val="13"/>
            </w:pPr>
            <w:r>
              <w:t>质量指标</w:t>
            </w:r>
          </w:p>
        </w:tc>
        <w:tc>
          <w:tcPr>
            <w:tcW w:w="2835" w:type="dxa"/>
            <w:vAlign w:val="center"/>
          </w:tcPr>
          <w:p w14:paraId="18BBC4E6">
            <w:pPr>
              <w:pStyle w:val="13"/>
            </w:pPr>
            <w:r>
              <w:t>就读学生数</w:t>
            </w:r>
          </w:p>
        </w:tc>
        <w:tc>
          <w:tcPr>
            <w:tcW w:w="5386" w:type="dxa"/>
            <w:vAlign w:val="center"/>
          </w:tcPr>
          <w:p w14:paraId="0950A2B3">
            <w:pPr>
              <w:pStyle w:val="13"/>
            </w:pPr>
            <w:r>
              <w:t>辐射区域内适龄学生人数</w:t>
            </w:r>
          </w:p>
        </w:tc>
        <w:tc>
          <w:tcPr>
            <w:tcW w:w="2268" w:type="dxa"/>
            <w:vAlign w:val="center"/>
          </w:tcPr>
          <w:p w14:paraId="774D9F67">
            <w:pPr>
              <w:pStyle w:val="13"/>
            </w:pPr>
            <w:r>
              <w:t>≥468人</w:t>
            </w:r>
          </w:p>
        </w:tc>
        <w:tc>
          <w:tcPr>
            <w:tcW w:w="1276" w:type="dxa"/>
            <w:vAlign w:val="center"/>
          </w:tcPr>
          <w:p w14:paraId="3BEE187E">
            <w:pPr>
              <w:pStyle w:val="13"/>
            </w:pPr>
            <w:r>
              <w:t>城乡义务教育公用经费管理办法</w:t>
            </w:r>
          </w:p>
        </w:tc>
      </w:tr>
      <w:tr w14:paraId="79B2A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4C885"/>
        </w:tc>
        <w:tc>
          <w:tcPr>
            <w:tcW w:w="2268" w:type="dxa"/>
            <w:vAlign w:val="center"/>
          </w:tcPr>
          <w:p w14:paraId="6794DDFF">
            <w:pPr>
              <w:pStyle w:val="13"/>
            </w:pPr>
            <w:r>
              <w:t>时效指标</w:t>
            </w:r>
          </w:p>
        </w:tc>
        <w:tc>
          <w:tcPr>
            <w:tcW w:w="2835" w:type="dxa"/>
            <w:vAlign w:val="center"/>
          </w:tcPr>
          <w:p w14:paraId="2DB034FB">
            <w:pPr>
              <w:pStyle w:val="13"/>
            </w:pPr>
            <w:r>
              <w:t>预算执行率</w:t>
            </w:r>
          </w:p>
        </w:tc>
        <w:tc>
          <w:tcPr>
            <w:tcW w:w="5386" w:type="dxa"/>
            <w:vAlign w:val="center"/>
          </w:tcPr>
          <w:p w14:paraId="3F00D474">
            <w:pPr>
              <w:pStyle w:val="13"/>
            </w:pPr>
            <w:r>
              <w:t>预算执行率≥98%</w:t>
            </w:r>
          </w:p>
        </w:tc>
        <w:tc>
          <w:tcPr>
            <w:tcW w:w="2268" w:type="dxa"/>
            <w:vAlign w:val="center"/>
          </w:tcPr>
          <w:p w14:paraId="3DCC14D6">
            <w:pPr>
              <w:pStyle w:val="13"/>
            </w:pPr>
            <w:r>
              <w:t>≥98%</w:t>
            </w:r>
          </w:p>
        </w:tc>
        <w:tc>
          <w:tcPr>
            <w:tcW w:w="1276" w:type="dxa"/>
            <w:vAlign w:val="center"/>
          </w:tcPr>
          <w:p w14:paraId="143A4F03">
            <w:pPr>
              <w:pStyle w:val="13"/>
            </w:pPr>
            <w:r>
              <w:t>城乡义务教育公用经费管理办法</w:t>
            </w:r>
          </w:p>
        </w:tc>
      </w:tr>
      <w:tr w14:paraId="69D30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C1F41"/>
        </w:tc>
        <w:tc>
          <w:tcPr>
            <w:tcW w:w="2268" w:type="dxa"/>
            <w:vAlign w:val="center"/>
          </w:tcPr>
          <w:p w14:paraId="158B967A">
            <w:pPr>
              <w:pStyle w:val="13"/>
            </w:pPr>
            <w:r>
              <w:t>成本指标</w:t>
            </w:r>
          </w:p>
        </w:tc>
        <w:tc>
          <w:tcPr>
            <w:tcW w:w="2835" w:type="dxa"/>
            <w:vAlign w:val="center"/>
          </w:tcPr>
          <w:p w14:paraId="59111306">
            <w:pPr>
              <w:pStyle w:val="13"/>
            </w:pPr>
            <w:r>
              <w:t>义教经费支付完成率</w:t>
            </w:r>
          </w:p>
        </w:tc>
        <w:tc>
          <w:tcPr>
            <w:tcW w:w="5386" w:type="dxa"/>
            <w:vAlign w:val="center"/>
          </w:tcPr>
          <w:p w14:paraId="73BA0433">
            <w:pPr>
              <w:pStyle w:val="13"/>
            </w:pPr>
            <w:r>
              <w:t>按照序时进度完成资金支付</w:t>
            </w:r>
          </w:p>
        </w:tc>
        <w:tc>
          <w:tcPr>
            <w:tcW w:w="2268" w:type="dxa"/>
            <w:vAlign w:val="center"/>
          </w:tcPr>
          <w:p w14:paraId="6AD5B4FE">
            <w:pPr>
              <w:pStyle w:val="13"/>
            </w:pPr>
            <w:r>
              <w:t>100%</w:t>
            </w:r>
          </w:p>
        </w:tc>
        <w:tc>
          <w:tcPr>
            <w:tcW w:w="1276" w:type="dxa"/>
            <w:vAlign w:val="center"/>
          </w:tcPr>
          <w:p w14:paraId="264DAF45">
            <w:pPr>
              <w:pStyle w:val="13"/>
            </w:pPr>
            <w:r>
              <w:t>城乡义务教育公用经费管理办法</w:t>
            </w:r>
          </w:p>
        </w:tc>
      </w:tr>
      <w:tr w14:paraId="17E95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6A55CD">
            <w:pPr>
              <w:pStyle w:val="12"/>
            </w:pPr>
            <w:r>
              <w:t>效益指标</w:t>
            </w:r>
          </w:p>
        </w:tc>
        <w:tc>
          <w:tcPr>
            <w:tcW w:w="2268" w:type="dxa"/>
            <w:vAlign w:val="center"/>
          </w:tcPr>
          <w:p w14:paraId="03128166">
            <w:pPr>
              <w:pStyle w:val="13"/>
            </w:pPr>
            <w:r>
              <w:t>可持续影响指标</w:t>
            </w:r>
          </w:p>
        </w:tc>
        <w:tc>
          <w:tcPr>
            <w:tcW w:w="2835" w:type="dxa"/>
            <w:vAlign w:val="center"/>
          </w:tcPr>
          <w:p w14:paraId="3AAD06F8">
            <w:pPr>
              <w:pStyle w:val="13"/>
            </w:pPr>
            <w:r>
              <w:t>学校运转得到提高</w:t>
            </w:r>
          </w:p>
        </w:tc>
        <w:tc>
          <w:tcPr>
            <w:tcW w:w="5386" w:type="dxa"/>
            <w:vAlign w:val="center"/>
          </w:tcPr>
          <w:p w14:paraId="33826AE6">
            <w:pPr>
              <w:pStyle w:val="13"/>
            </w:pPr>
            <w:r>
              <w:t>学生受教育年限</w:t>
            </w:r>
          </w:p>
        </w:tc>
        <w:tc>
          <w:tcPr>
            <w:tcW w:w="2268" w:type="dxa"/>
            <w:vAlign w:val="center"/>
          </w:tcPr>
          <w:p w14:paraId="44B3966A">
            <w:pPr>
              <w:pStyle w:val="13"/>
            </w:pPr>
            <w:r>
              <w:t>6年</w:t>
            </w:r>
          </w:p>
        </w:tc>
        <w:tc>
          <w:tcPr>
            <w:tcW w:w="1276" w:type="dxa"/>
            <w:vAlign w:val="center"/>
          </w:tcPr>
          <w:p w14:paraId="713DC968">
            <w:pPr>
              <w:pStyle w:val="13"/>
            </w:pPr>
            <w:r>
              <w:t>城乡义务教育公用经费管理办法</w:t>
            </w:r>
          </w:p>
        </w:tc>
      </w:tr>
      <w:tr w14:paraId="48256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F47075">
            <w:pPr>
              <w:pStyle w:val="12"/>
            </w:pPr>
            <w:r>
              <w:t>满意度指标</w:t>
            </w:r>
          </w:p>
        </w:tc>
        <w:tc>
          <w:tcPr>
            <w:tcW w:w="2268" w:type="dxa"/>
            <w:vAlign w:val="center"/>
          </w:tcPr>
          <w:p w14:paraId="631D1369">
            <w:pPr>
              <w:pStyle w:val="13"/>
            </w:pPr>
            <w:r>
              <w:t>服务对象满意度指标</w:t>
            </w:r>
          </w:p>
        </w:tc>
        <w:tc>
          <w:tcPr>
            <w:tcW w:w="2835" w:type="dxa"/>
            <w:vAlign w:val="center"/>
          </w:tcPr>
          <w:p w14:paraId="355C9659">
            <w:pPr>
              <w:pStyle w:val="13"/>
            </w:pPr>
            <w:r>
              <w:t>服务对象满意度</w:t>
            </w:r>
          </w:p>
        </w:tc>
        <w:tc>
          <w:tcPr>
            <w:tcW w:w="5386" w:type="dxa"/>
            <w:vAlign w:val="center"/>
          </w:tcPr>
          <w:p w14:paraId="6837CBD9">
            <w:pPr>
              <w:pStyle w:val="13"/>
            </w:pPr>
            <w:r>
              <w:t>学校老师和学生满意度</w:t>
            </w:r>
          </w:p>
        </w:tc>
        <w:tc>
          <w:tcPr>
            <w:tcW w:w="2268" w:type="dxa"/>
            <w:vAlign w:val="center"/>
          </w:tcPr>
          <w:p w14:paraId="43E88568">
            <w:pPr>
              <w:pStyle w:val="13"/>
            </w:pPr>
            <w:r>
              <w:t>≥95%</w:t>
            </w:r>
          </w:p>
        </w:tc>
        <w:tc>
          <w:tcPr>
            <w:tcW w:w="1276" w:type="dxa"/>
            <w:vAlign w:val="center"/>
          </w:tcPr>
          <w:p w14:paraId="1BF7A33D">
            <w:pPr>
              <w:pStyle w:val="13"/>
            </w:pPr>
            <w:r>
              <w:t>问卷调查</w:t>
            </w:r>
          </w:p>
        </w:tc>
      </w:tr>
    </w:tbl>
    <w:p w14:paraId="7DEDC5EA">
      <w:pPr>
        <w:sectPr>
          <w:pgSz w:w="16840" w:h="11900" w:orient="landscape"/>
          <w:pgMar w:top="1361" w:right="1020" w:bottom="1134" w:left="1020" w:header="720" w:footer="720" w:gutter="0"/>
          <w:cols w:space="720" w:num="1"/>
        </w:sectPr>
      </w:pPr>
    </w:p>
    <w:p w14:paraId="308E32E4">
      <w:pPr>
        <w:spacing w:before="0" w:after="0"/>
        <w:ind w:firstLine="560"/>
        <w:jc w:val="left"/>
        <w:outlineLvl w:val="9"/>
      </w:pPr>
      <w:r>
        <w:rPr>
          <w:rFonts w:ascii="方正仿宋_GBK" w:hAnsi="方正仿宋_GBK" w:eastAsia="方正仿宋_GBK" w:cs="方正仿宋_GBK"/>
          <w:b/>
          <w:color w:val="000000"/>
          <w:sz w:val="28"/>
        </w:rPr>
        <w:t>8、冀财教[2024]123号/中央/2025年义教补助经费/西良后小学公用经费绩效目标表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37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474BE">
            <w:pPr>
              <w:pStyle w:val="14"/>
            </w:pPr>
            <w:r>
              <w:t>单位：万元</w:t>
            </w:r>
          </w:p>
        </w:tc>
      </w:tr>
      <w:tr w14:paraId="4AAEB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255124">
            <w:pPr>
              <w:pStyle w:val="11"/>
            </w:pPr>
            <w:r>
              <w:t>项目编码</w:t>
            </w:r>
          </w:p>
        </w:tc>
        <w:tc>
          <w:tcPr>
            <w:tcW w:w="5103" w:type="dxa"/>
            <w:gridSpan w:val="2"/>
            <w:vAlign w:val="center"/>
          </w:tcPr>
          <w:p w14:paraId="0F51374E">
            <w:pPr>
              <w:pStyle w:val="13"/>
            </w:pPr>
            <w:r>
              <w:t>13052525P00000410084D</w:t>
            </w:r>
          </w:p>
        </w:tc>
        <w:tc>
          <w:tcPr>
            <w:tcW w:w="2835" w:type="dxa"/>
            <w:vAlign w:val="center"/>
          </w:tcPr>
          <w:p w14:paraId="7E108088">
            <w:pPr>
              <w:pStyle w:val="11"/>
            </w:pPr>
            <w:r>
              <w:t>项目名称</w:t>
            </w:r>
          </w:p>
        </w:tc>
        <w:tc>
          <w:tcPr>
            <w:tcW w:w="6095" w:type="dxa"/>
            <w:gridSpan w:val="3"/>
            <w:vAlign w:val="center"/>
          </w:tcPr>
          <w:p w14:paraId="2B8E56FE">
            <w:pPr>
              <w:pStyle w:val="13"/>
            </w:pPr>
            <w:r>
              <w:t>冀财教[2024]123号/中央/2025年义教补助经费/西良后小学公用经费</w:t>
            </w:r>
          </w:p>
        </w:tc>
      </w:tr>
      <w:tr w14:paraId="5DE38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19DDE">
            <w:pPr>
              <w:pStyle w:val="11"/>
            </w:pPr>
            <w:r>
              <w:t>预算规模及资金用途</w:t>
            </w:r>
          </w:p>
        </w:tc>
        <w:tc>
          <w:tcPr>
            <w:tcW w:w="2268" w:type="dxa"/>
            <w:vAlign w:val="center"/>
          </w:tcPr>
          <w:p w14:paraId="66DA1CFF">
            <w:pPr>
              <w:pStyle w:val="11"/>
            </w:pPr>
            <w:r>
              <w:t>预算数</w:t>
            </w:r>
          </w:p>
        </w:tc>
        <w:tc>
          <w:tcPr>
            <w:tcW w:w="2835" w:type="dxa"/>
            <w:vAlign w:val="center"/>
          </w:tcPr>
          <w:p w14:paraId="47B18FC5">
            <w:pPr>
              <w:pStyle w:val="13"/>
            </w:pPr>
            <w:r>
              <w:t>12.35</w:t>
            </w:r>
          </w:p>
        </w:tc>
        <w:tc>
          <w:tcPr>
            <w:tcW w:w="2835" w:type="dxa"/>
            <w:vAlign w:val="center"/>
          </w:tcPr>
          <w:p w14:paraId="378C4C09">
            <w:pPr>
              <w:pStyle w:val="11"/>
            </w:pPr>
            <w:r>
              <w:t>其中：财政    资金</w:t>
            </w:r>
          </w:p>
        </w:tc>
        <w:tc>
          <w:tcPr>
            <w:tcW w:w="2551" w:type="dxa"/>
            <w:vAlign w:val="center"/>
          </w:tcPr>
          <w:p w14:paraId="3E41DEFD">
            <w:pPr>
              <w:pStyle w:val="13"/>
            </w:pPr>
            <w:r>
              <w:t>12.35</w:t>
            </w:r>
          </w:p>
        </w:tc>
        <w:tc>
          <w:tcPr>
            <w:tcW w:w="2268" w:type="dxa"/>
            <w:vAlign w:val="center"/>
          </w:tcPr>
          <w:p w14:paraId="33B63271">
            <w:pPr>
              <w:pStyle w:val="11"/>
            </w:pPr>
            <w:r>
              <w:t>其他资金</w:t>
            </w:r>
          </w:p>
        </w:tc>
        <w:tc>
          <w:tcPr>
            <w:tcW w:w="1276" w:type="dxa"/>
            <w:vAlign w:val="center"/>
          </w:tcPr>
          <w:p w14:paraId="73B652A4">
            <w:pPr>
              <w:pStyle w:val="13"/>
            </w:pPr>
            <w:r>
              <w:t xml:space="preserve"> </w:t>
            </w:r>
          </w:p>
        </w:tc>
      </w:tr>
      <w:tr w14:paraId="172AD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343B9"/>
        </w:tc>
        <w:tc>
          <w:tcPr>
            <w:tcW w:w="14033" w:type="dxa"/>
            <w:gridSpan w:val="6"/>
            <w:vAlign w:val="center"/>
          </w:tcPr>
          <w:p w14:paraId="662ECA4A">
            <w:pPr>
              <w:pStyle w:val="13"/>
            </w:pPr>
            <w:r>
              <w:t>用于有效完成学校教学安全秩序，保障学校教学任务有效开展，满足学校正常教学需要。</w:t>
            </w:r>
          </w:p>
        </w:tc>
      </w:tr>
      <w:tr w14:paraId="69B62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CD9F8">
            <w:pPr>
              <w:pStyle w:val="11"/>
            </w:pPr>
            <w:r>
              <w:t>资金支出计划（%）</w:t>
            </w:r>
          </w:p>
        </w:tc>
        <w:tc>
          <w:tcPr>
            <w:tcW w:w="5103" w:type="dxa"/>
            <w:gridSpan w:val="2"/>
            <w:vAlign w:val="center"/>
          </w:tcPr>
          <w:p w14:paraId="3A300062">
            <w:pPr>
              <w:pStyle w:val="11"/>
            </w:pPr>
            <w:r>
              <w:t>3月底</w:t>
            </w:r>
          </w:p>
        </w:tc>
        <w:tc>
          <w:tcPr>
            <w:tcW w:w="2835" w:type="dxa"/>
            <w:vAlign w:val="center"/>
          </w:tcPr>
          <w:p w14:paraId="621A720C">
            <w:pPr>
              <w:pStyle w:val="11"/>
            </w:pPr>
            <w:r>
              <w:t>6月底</w:t>
            </w:r>
          </w:p>
        </w:tc>
        <w:tc>
          <w:tcPr>
            <w:tcW w:w="2551" w:type="dxa"/>
            <w:vAlign w:val="center"/>
          </w:tcPr>
          <w:p w14:paraId="13B6BDDC">
            <w:pPr>
              <w:pStyle w:val="11"/>
            </w:pPr>
            <w:r>
              <w:t>10月底</w:t>
            </w:r>
          </w:p>
        </w:tc>
        <w:tc>
          <w:tcPr>
            <w:tcW w:w="3544" w:type="dxa"/>
            <w:gridSpan w:val="2"/>
            <w:vAlign w:val="center"/>
          </w:tcPr>
          <w:p w14:paraId="77F0E8E2">
            <w:pPr>
              <w:pStyle w:val="11"/>
            </w:pPr>
            <w:r>
              <w:t>12月底</w:t>
            </w:r>
          </w:p>
        </w:tc>
      </w:tr>
      <w:tr w14:paraId="075B2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EE270"/>
        </w:tc>
        <w:tc>
          <w:tcPr>
            <w:tcW w:w="5103" w:type="dxa"/>
            <w:gridSpan w:val="2"/>
            <w:vAlign w:val="center"/>
          </w:tcPr>
          <w:p w14:paraId="28250319">
            <w:pPr>
              <w:pStyle w:val="12"/>
            </w:pPr>
            <w:r>
              <w:t>25%</w:t>
            </w:r>
          </w:p>
        </w:tc>
        <w:tc>
          <w:tcPr>
            <w:tcW w:w="2835" w:type="dxa"/>
            <w:vAlign w:val="center"/>
          </w:tcPr>
          <w:p w14:paraId="5FF1B71A">
            <w:pPr>
              <w:pStyle w:val="12"/>
            </w:pPr>
            <w:r>
              <w:t>50%</w:t>
            </w:r>
          </w:p>
        </w:tc>
        <w:tc>
          <w:tcPr>
            <w:tcW w:w="2551" w:type="dxa"/>
            <w:vAlign w:val="center"/>
          </w:tcPr>
          <w:p w14:paraId="36E1D4A7">
            <w:pPr>
              <w:pStyle w:val="12"/>
            </w:pPr>
            <w:r>
              <w:t>75%</w:t>
            </w:r>
          </w:p>
        </w:tc>
        <w:tc>
          <w:tcPr>
            <w:tcW w:w="3544" w:type="dxa"/>
            <w:gridSpan w:val="2"/>
            <w:vAlign w:val="center"/>
          </w:tcPr>
          <w:p w14:paraId="13F4373E">
            <w:pPr>
              <w:pStyle w:val="12"/>
            </w:pPr>
            <w:r>
              <w:t>100%</w:t>
            </w:r>
          </w:p>
        </w:tc>
      </w:tr>
      <w:tr w14:paraId="42AF7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D6BF12">
            <w:pPr>
              <w:pStyle w:val="11"/>
            </w:pPr>
            <w:r>
              <w:t>绩效目标</w:t>
            </w:r>
          </w:p>
        </w:tc>
        <w:tc>
          <w:tcPr>
            <w:tcW w:w="14033" w:type="dxa"/>
            <w:gridSpan w:val="6"/>
            <w:vAlign w:val="center"/>
          </w:tcPr>
          <w:p w14:paraId="110B751E">
            <w:pPr>
              <w:pStyle w:val="13"/>
            </w:pPr>
            <w:r>
              <w:t>1.按规定拨付公用经费资金，预算执行率≥98%。</w:t>
            </w:r>
          </w:p>
          <w:p w14:paraId="2A003368">
            <w:pPr>
              <w:pStyle w:val="13"/>
            </w:pPr>
            <w:r>
              <w:t>2.有效完成学校教学安全秩序，保障学校教学任务有效开展，满足学校正常教学需要。</w:t>
            </w:r>
          </w:p>
        </w:tc>
      </w:tr>
    </w:tbl>
    <w:p w14:paraId="30AFFD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CA4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14EB8">
            <w:pPr>
              <w:pStyle w:val="11"/>
            </w:pPr>
            <w:r>
              <w:t>一级指标</w:t>
            </w:r>
          </w:p>
        </w:tc>
        <w:tc>
          <w:tcPr>
            <w:tcW w:w="2268" w:type="dxa"/>
            <w:vAlign w:val="center"/>
          </w:tcPr>
          <w:p w14:paraId="60B53130">
            <w:pPr>
              <w:pStyle w:val="11"/>
            </w:pPr>
            <w:r>
              <w:t>二级指标</w:t>
            </w:r>
          </w:p>
        </w:tc>
        <w:tc>
          <w:tcPr>
            <w:tcW w:w="2835" w:type="dxa"/>
            <w:vAlign w:val="center"/>
          </w:tcPr>
          <w:p w14:paraId="1AAA6BF1">
            <w:pPr>
              <w:pStyle w:val="11"/>
            </w:pPr>
            <w:r>
              <w:t>三级指标</w:t>
            </w:r>
          </w:p>
        </w:tc>
        <w:tc>
          <w:tcPr>
            <w:tcW w:w="5386" w:type="dxa"/>
            <w:vAlign w:val="center"/>
          </w:tcPr>
          <w:p w14:paraId="2665C25D">
            <w:pPr>
              <w:pStyle w:val="11"/>
            </w:pPr>
            <w:r>
              <w:t>绩效指标描述</w:t>
            </w:r>
          </w:p>
        </w:tc>
        <w:tc>
          <w:tcPr>
            <w:tcW w:w="2268" w:type="dxa"/>
            <w:vAlign w:val="center"/>
          </w:tcPr>
          <w:p w14:paraId="2D476DBB">
            <w:pPr>
              <w:pStyle w:val="11"/>
            </w:pPr>
            <w:r>
              <w:t>指标值</w:t>
            </w:r>
          </w:p>
        </w:tc>
        <w:tc>
          <w:tcPr>
            <w:tcW w:w="1276" w:type="dxa"/>
            <w:vAlign w:val="center"/>
          </w:tcPr>
          <w:p w14:paraId="1FC6D261">
            <w:pPr>
              <w:pStyle w:val="11"/>
            </w:pPr>
            <w:r>
              <w:t>指标值确定依据</w:t>
            </w:r>
          </w:p>
        </w:tc>
      </w:tr>
      <w:tr w14:paraId="5519A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81AD4">
            <w:pPr>
              <w:pStyle w:val="12"/>
            </w:pPr>
            <w:r>
              <w:t>产出指标</w:t>
            </w:r>
          </w:p>
        </w:tc>
        <w:tc>
          <w:tcPr>
            <w:tcW w:w="2268" w:type="dxa"/>
            <w:vAlign w:val="center"/>
          </w:tcPr>
          <w:p w14:paraId="50FAE307">
            <w:pPr>
              <w:pStyle w:val="13"/>
            </w:pPr>
            <w:r>
              <w:t>数量指标</w:t>
            </w:r>
          </w:p>
        </w:tc>
        <w:tc>
          <w:tcPr>
            <w:tcW w:w="2835" w:type="dxa"/>
            <w:vAlign w:val="center"/>
          </w:tcPr>
          <w:p w14:paraId="599EE050">
            <w:pPr>
              <w:pStyle w:val="13"/>
            </w:pPr>
            <w:r>
              <w:t>生均拨款标准</w:t>
            </w:r>
          </w:p>
        </w:tc>
        <w:tc>
          <w:tcPr>
            <w:tcW w:w="5386" w:type="dxa"/>
            <w:vAlign w:val="center"/>
          </w:tcPr>
          <w:p w14:paraId="6EA608A5">
            <w:pPr>
              <w:pStyle w:val="13"/>
            </w:pPr>
            <w:r>
              <w:t>小学生公用经费生均小学720元。取暖费140元/生/年，随班就读学生补助6000元/生</w:t>
            </w:r>
          </w:p>
        </w:tc>
        <w:tc>
          <w:tcPr>
            <w:tcW w:w="2268" w:type="dxa"/>
            <w:vAlign w:val="center"/>
          </w:tcPr>
          <w:p w14:paraId="06BDBFB7">
            <w:pPr>
              <w:pStyle w:val="13"/>
            </w:pPr>
            <w:r>
              <w:t>840元</w:t>
            </w:r>
          </w:p>
        </w:tc>
        <w:tc>
          <w:tcPr>
            <w:tcW w:w="1276" w:type="dxa"/>
            <w:vAlign w:val="center"/>
          </w:tcPr>
          <w:p w14:paraId="6C1894EE">
            <w:pPr>
              <w:pStyle w:val="13"/>
            </w:pPr>
            <w:r>
              <w:t>城乡义务教育公用经费管理办法</w:t>
            </w:r>
          </w:p>
        </w:tc>
      </w:tr>
      <w:tr w14:paraId="5BBB9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4370D"/>
        </w:tc>
        <w:tc>
          <w:tcPr>
            <w:tcW w:w="2268" w:type="dxa"/>
            <w:vAlign w:val="center"/>
          </w:tcPr>
          <w:p w14:paraId="6AEBEC35">
            <w:pPr>
              <w:pStyle w:val="13"/>
            </w:pPr>
            <w:r>
              <w:t>质量指标</w:t>
            </w:r>
          </w:p>
        </w:tc>
        <w:tc>
          <w:tcPr>
            <w:tcW w:w="2835" w:type="dxa"/>
            <w:vAlign w:val="center"/>
          </w:tcPr>
          <w:p w14:paraId="25E4CB06">
            <w:pPr>
              <w:pStyle w:val="13"/>
            </w:pPr>
            <w:r>
              <w:t>就读学生数</w:t>
            </w:r>
          </w:p>
        </w:tc>
        <w:tc>
          <w:tcPr>
            <w:tcW w:w="5386" w:type="dxa"/>
            <w:vAlign w:val="center"/>
          </w:tcPr>
          <w:p w14:paraId="51316BF9">
            <w:pPr>
              <w:pStyle w:val="13"/>
            </w:pPr>
            <w:r>
              <w:t>辐射区域内适龄学生人数</w:t>
            </w:r>
          </w:p>
        </w:tc>
        <w:tc>
          <w:tcPr>
            <w:tcW w:w="2268" w:type="dxa"/>
            <w:vAlign w:val="center"/>
          </w:tcPr>
          <w:p w14:paraId="437A0FDE">
            <w:pPr>
              <w:pStyle w:val="13"/>
            </w:pPr>
            <w:r>
              <w:t>≥210人</w:t>
            </w:r>
          </w:p>
        </w:tc>
        <w:tc>
          <w:tcPr>
            <w:tcW w:w="1276" w:type="dxa"/>
            <w:vAlign w:val="center"/>
          </w:tcPr>
          <w:p w14:paraId="5E999E25">
            <w:pPr>
              <w:pStyle w:val="13"/>
            </w:pPr>
            <w:r>
              <w:t>城乡义务教育公用经费管理办法</w:t>
            </w:r>
          </w:p>
        </w:tc>
      </w:tr>
      <w:tr w14:paraId="037F1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40AC4"/>
        </w:tc>
        <w:tc>
          <w:tcPr>
            <w:tcW w:w="2268" w:type="dxa"/>
            <w:vAlign w:val="center"/>
          </w:tcPr>
          <w:p w14:paraId="47C9C965">
            <w:pPr>
              <w:pStyle w:val="13"/>
            </w:pPr>
            <w:r>
              <w:t>时效指标</w:t>
            </w:r>
          </w:p>
        </w:tc>
        <w:tc>
          <w:tcPr>
            <w:tcW w:w="2835" w:type="dxa"/>
            <w:vAlign w:val="center"/>
          </w:tcPr>
          <w:p w14:paraId="4A0D5CD3">
            <w:pPr>
              <w:pStyle w:val="13"/>
            </w:pPr>
            <w:r>
              <w:t>预算执行率</w:t>
            </w:r>
          </w:p>
        </w:tc>
        <w:tc>
          <w:tcPr>
            <w:tcW w:w="5386" w:type="dxa"/>
            <w:vAlign w:val="center"/>
          </w:tcPr>
          <w:p w14:paraId="491C9181">
            <w:pPr>
              <w:pStyle w:val="13"/>
            </w:pPr>
            <w:r>
              <w:t>预算执行率≥98%</w:t>
            </w:r>
          </w:p>
        </w:tc>
        <w:tc>
          <w:tcPr>
            <w:tcW w:w="2268" w:type="dxa"/>
            <w:vAlign w:val="center"/>
          </w:tcPr>
          <w:p w14:paraId="24D3DB61">
            <w:pPr>
              <w:pStyle w:val="13"/>
            </w:pPr>
            <w:r>
              <w:t>≥98%</w:t>
            </w:r>
          </w:p>
        </w:tc>
        <w:tc>
          <w:tcPr>
            <w:tcW w:w="1276" w:type="dxa"/>
            <w:vAlign w:val="center"/>
          </w:tcPr>
          <w:p w14:paraId="0D2347B0">
            <w:pPr>
              <w:pStyle w:val="13"/>
            </w:pPr>
            <w:r>
              <w:t>城乡义务教育公用经费管理办法</w:t>
            </w:r>
          </w:p>
        </w:tc>
      </w:tr>
      <w:tr w14:paraId="38E3B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1896E"/>
        </w:tc>
        <w:tc>
          <w:tcPr>
            <w:tcW w:w="2268" w:type="dxa"/>
            <w:vAlign w:val="center"/>
          </w:tcPr>
          <w:p w14:paraId="4DDD71A9">
            <w:pPr>
              <w:pStyle w:val="13"/>
            </w:pPr>
            <w:r>
              <w:t>成本指标</w:t>
            </w:r>
          </w:p>
        </w:tc>
        <w:tc>
          <w:tcPr>
            <w:tcW w:w="2835" w:type="dxa"/>
            <w:vAlign w:val="center"/>
          </w:tcPr>
          <w:p w14:paraId="3EE9E76F">
            <w:pPr>
              <w:pStyle w:val="13"/>
            </w:pPr>
            <w:r>
              <w:t>义教经费支付完成率</w:t>
            </w:r>
          </w:p>
        </w:tc>
        <w:tc>
          <w:tcPr>
            <w:tcW w:w="5386" w:type="dxa"/>
            <w:vAlign w:val="center"/>
          </w:tcPr>
          <w:p w14:paraId="6B9408D1">
            <w:pPr>
              <w:pStyle w:val="13"/>
            </w:pPr>
            <w:r>
              <w:t>按照序时进度完成资金支付</w:t>
            </w:r>
          </w:p>
        </w:tc>
        <w:tc>
          <w:tcPr>
            <w:tcW w:w="2268" w:type="dxa"/>
            <w:vAlign w:val="center"/>
          </w:tcPr>
          <w:p w14:paraId="356D25B7">
            <w:pPr>
              <w:pStyle w:val="13"/>
            </w:pPr>
            <w:r>
              <w:t>100%</w:t>
            </w:r>
          </w:p>
        </w:tc>
        <w:tc>
          <w:tcPr>
            <w:tcW w:w="1276" w:type="dxa"/>
            <w:vAlign w:val="center"/>
          </w:tcPr>
          <w:p w14:paraId="3AD84B2E">
            <w:pPr>
              <w:pStyle w:val="13"/>
            </w:pPr>
            <w:r>
              <w:t>城乡义务教育公用经费管理办法</w:t>
            </w:r>
          </w:p>
        </w:tc>
      </w:tr>
      <w:tr w14:paraId="44CC7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7C1D58">
            <w:pPr>
              <w:pStyle w:val="12"/>
            </w:pPr>
            <w:r>
              <w:t>效益指标</w:t>
            </w:r>
          </w:p>
        </w:tc>
        <w:tc>
          <w:tcPr>
            <w:tcW w:w="2268" w:type="dxa"/>
            <w:vAlign w:val="center"/>
          </w:tcPr>
          <w:p w14:paraId="1A566796">
            <w:pPr>
              <w:pStyle w:val="13"/>
            </w:pPr>
            <w:r>
              <w:t>可持续影响指标</w:t>
            </w:r>
          </w:p>
        </w:tc>
        <w:tc>
          <w:tcPr>
            <w:tcW w:w="2835" w:type="dxa"/>
            <w:vAlign w:val="center"/>
          </w:tcPr>
          <w:p w14:paraId="4D813699">
            <w:pPr>
              <w:pStyle w:val="13"/>
            </w:pPr>
            <w:r>
              <w:t>学校运转得到提高</w:t>
            </w:r>
          </w:p>
        </w:tc>
        <w:tc>
          <w:tcPr>
            <w:tcW w:w="5386" w:type="dxa"/>
            <w:vAlign w:val="center"/>
          </w:tcPr>
          <w:p w14:paraId="7072EB12">
            <w:pPr>
              <w:pStyle w:val="13"/>
            </w:pPr>
            <w:r>
              <w:t>学生受教育年限</w:t>
            </w:r>
          </w:p>
        </w:tc>
        <w:tc>
          <w:tcPr>
            <w:tcW w:w="2268" w:type="dxa"/>
            <w:vAlign w:val="center"/>
          </w:tcPr>
          <w:p w14:paraId="55D5A93F">
            <w:pPr>
              <w:pStyle w:val="13"/>
            </w:pPr>
            <w:r>
              <w:t>6年</w:t>
            </w:r>
          </w:p>
        </w:tc>
        <w:tc>
          <w:tcPr>
            <w:tcW w:w="1276" w:type="dxa"/>
            <w:vAlign w:val="center"/>
          </w:tcPr>
          <w:p w14:paraId="50F2A24D">
            <w:pPr>
              <w:pStyle w:val="13"/>
            </w:pPr>
            <w:r>
              <w:t>城乡义务教育公用经费管理办法</w:t>
            </w:r>
          </w:p>
        </w:tc>
      </w:tr>
      <w:tr w14:paraId="2C46E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44628B">
            <w:pPr>
              <w:pStyle w:val="12"/>
            </w:pPr>
            <w:r>
              <w:t>满意度指标</w:t>
            </w:r>
          </w:p>
        </w:tc>
        <w:tc>
          <w:tcPr>
            <w:tcW w:w="2268" w:type="dxa"/>
            <w:vAlign w:val="center"/>
          </w:tcPr>
          <w:p w14:paraId="6E6A1CA6">
            <w:pPr>
              <w:pStyle w:val="13"/>
            </w:pPr>
            <w:r>
              <w:t>服务对象满意度指标</w:t>
            </w:r>
          </w:p>
        </w:tc>
        <w:tc>
          <w:tcPr>
            <w:tcW w:w="2835" w:type="dxa"/>
            <w:vAlign w:val="center"/>
          </w:tcPr>
          <w:p w14:paraId="4AA223DA">
            <w:pPr>
              <w:pStyle w:val="13"/>
            </w:pPr>
            <w:r>
              <w:t>服务对象满意度</w:t>
            </w:r>
          </w:p>
        </w:tc>
        <w:tc>
          <w:tcPr>
            <w:tcW w:w="5386" w:type="dxa"/>
            <w:vAlign w:val="center"/>
          </w:tcPr>
          <w:p w14:paraId="4E2CD7C2">
            <w:pPr>
              <w:pStyle w:val="13"/>
            </w:pPr>
            <w:r>
              <w:t>学校老师和学生满意度</w:t>
            </w:r>
          </w:p>
        </w:tc>
        <w:tc>
          <w:tcPr>
            <w:tcW w:w="2268" w:type="dxa"/>
            <w:vAlign w:val="center"/>
          </w:tcPr>
          <w:p w14:paraId="7B8F4B91">
            <w:pPr>
              <w:pStyle w:val="13"/>
            </w:pPr>
            <w:r>
              <w:t>≥95%</w:t>
            </w:r>
          </w:p>
        </w:tc>
        <w:tc>
          <w:tcPr>
            <w:tcW w:w="1276" w:type="dxa"/>
            <w:vAlign w:val="center"/>
          </w:tcPr>
          <w:p w14:paraId="58DEC291">
            <w:pPr>
              <w:pStyle w:val="13"/>
            </w:pPr>
            <w:r>
              <w:t>问卷调查</w:t>
            </w:r>
          </w:p>
        </w:tc>
      </w:tr>
    </w:tbl>
    <w:p w14:paraId="007A2C51">
      <w:pPr>
        <w:sectPr>
          <w:pgSz w:w="16840" w:h="11900" w:orient="landscape"/>
          <w:pgMar w:top="1361" w:right="1020" w:bottom="1134" w:left="1020" w:header="720" w:footer="720" w:gutter="0"/>
          <w:cols w:space="720" w:num="1"/>
        </w:sectPr>
      </w:pPr>
    </w:p>
    <w:p w14:paraId="7E03F0FD">
      <w:pPr>
        <w:spacing w:before="0" w:after="0"/>
        <w:ind w:firstLine="560"/>
        <w:jc w:val="left"/>
        <w:outlineLvl w:val="9"/>
      </w:pPr>
      <w:r>
        <w:rPr>
          <w:rFonts w:ascii="方正仿宋_GBK" w:hAnsi="方正仿宋_GBK" w:eastAsia="方正仿宋_GBK" w:cs="方正仿宋_GBK"/>
          <w:b/>
          <w:color w:val="000000"/>
          <w:sz w:val="28"/>
        </w:rPr>
        <w:t>9、冀财教[2024]123号/中央/2025年义教补助经费/校舍安全保障/双碑小学塑胶操场改造及地面硬化绩效目标表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7B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7E3A2">
            <w:pPr>
              <w:pStyle w:val="14"/>
            </w:pPr>
            <w:r>
              <w:t>单位：万元</w:t>
            </w:r>
          </w:p>
        </w:tc>
      </w:tr>
      <w:tr w14:paraId="28AA3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6C2ED3">
            <w:pPr>
              <w:pStyle w:val="11"/>
            </w:pPr>
            <w:r>
              <w:t>项目编码</w:t>
            </w:r>
          </w:p>
        </w:tc>
        <w:tc>
          <w:tcPr>
            <w:tcW w:w="5103" w:type="dxa"/>
            <w:gridSpan w:val="2"/>
            <w:vAlign w:val="center"/>
          </w:tcPr>
          <w:p w14:paraId="4EF5C54A">
            <w:pPr>
              <w:pStyle w:val="13"/>
            </w:pPr>
            <w:r>
              <w:t>13052525P00876210016C</w:t>
            </w:r>
          </w:p>
        </w:tc>
        <w:tc>
          <w:tcPr>
            <w:tcW w:w="2835" w:type="dxa"/>
            <w:vAlign w:val="center"/>
          </w:tcPr>
          <w:p w14:paraId="627D034E">
            <w:pPr>
              <w:pStyle w:val="11"/>
            </w:pPr>
            <w:r>
              <w:t>项目名称</w:t>
            </w:r>
          </w:p>
        </w:tc>
        <w:tc>
          <w:tcPr>
            <w:tcW w:w="6095" w:type="dxa"/>
            <w:gridSpan w:val="3"/>
            <w:vAlign w:val="center"/>
          </w:tcPr>
          <w:p w14:paraId="2725CB65">
            <w:pPr>
              <w:pStyle w:val="13"/>
            </w:pPr>
            <w:r>
              <w:t>冀财教[2024]123号/中央/2025年义教补助经费/校舍安全保障/双碑小学塑胶操场改造及地面硬化</w:t>
            </w:r>
          </w:p>
        </w:tc>
      </w:tr>
      <w:tr w14:paraId="378D3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E6099">
            <w:pPr>
              <w:pStyle w:val="11"/>
            </w:pPr>
            <w:r>
              <w:t>预算规模及资金用途</w:t>
            </w:r>
          </w:p>
        </w:tc>
        <w:tc>
          <w:tcPr>
            <w:tcW w:w="2268" w:type="dxa"/>
            <w:vAlign w:val="center"/>
          </w:tcPr>
          <w:p w14:paraId="465F700E">
            <w:pPr>
              <w:pStyle w:val="11"/>
            </w:pPr>
            <w:r>
              <w:t>预算数</w:t>
            </w:r>
          </w:p>
        </w:tc>
        <w:tc>
          <w:tcPr>
            <w:tcW w:w="2835" w:type="dxa"/>
            <w:vAlign w:val="center"/>
          </w:tcPr>
          <w:p w14:paraId="1F569658">
            <w:pPr>
              <w:pStyle w:val="13"/>
            </w:pPr>
            <w:r>
              <w:t>40.00</w:t>
            </w:r>
          </w:p>
        </w:tc>
        <w:tc>
          <w:tcPr>
            <w:tcW w:w="2835" w:type="dxa"/>
            <w:vAlign w:val="center"/>
          </w:tcPr>
          <w:p w14:paraId="646BE2D8">
            <w:pPr>
              <w:pStyle w:val="11"/>
            </w:pPr>
            <w:r>
              <w:t>其中：财政    资金</w:t>
            </w:r>
          </w:p>
        </w:tc>
        <w:tc>
          <w:tcPr>
            <w:tcW w:w="2551" w:type="dxa"/>
            <w:vAlign w:val="center"/>
          </w:tcPr>
          <w:p w14:paraId="23CAE92D">
            <w:pPr>
              <w:pStyle w:val="13"/>
            </w:pPr>
            <w:r>
              <w:t>40.00</w:t>
            </w:r>
          </w:p>
        </w:tc>
        <w:tc>
          <w:tcPr>
            <w:tcW w:w="2268" w:type="dxa"/>
            <w:vAlign w:val="center"/>
          </w:tcPr>
          <w:p w14:paraId="1ACF6610">
            <w:pPr>
              <w:pStyle w:val="11"/>
            </w:pPr>
            <w:r>
              <w:t>其他资金</w:t>
            </w:r>
          </w:p>
        </w:tc>
        <w:tc>
          <w:tcPr>
            <w:tcW w:w="1276" w:type="dxa"/>
            <w:vAlign w:val="center"/>
          </w:tcPr>
          <w:p w14:paraId="54356712">
            <w:pPr>
              <w:pStyle w:val="13"/>
            </w:pPr>
            <w:r>
              <w:t xml:space="preserve"> </w:t>
            </w:r>
          </w:p>
        </w:tc>
      </w:tr>
      <w:tr w14:paraId="4D97C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51FD4"/>
        </w:tc>
        <w:tc>
          <w:tcPr>
            <w:tcW w:w="14033" w:type="dxa"/>
            <w:gridSpan w:val="6"/>
            <w:vAlign w:val="center"/>
          </w:tcPr>
          <w:p w14:paraId="48BF1676">
            <w:pPr>
              <w:pStyle w:val="13"/>
            </w:pPr>
            <w:r>
              <w:t>完成双碑小学塑胶操场改造及地面硬化，满足学校正常教学需要。</w:t>
            </w:r>
            <w:r>
              <w:tab/>
            </w:r>
            <w:r>
              <w:tab/>
            </w:r>
            <w:r>
              <w:tab/>
            </w:r>
            <w:r>
              <w:tab/>
            </w:r>
            <w:r>
              <w:tab/>
            </w:r>
            <w:r>
              <w:tab/>
            </w:r>
          </w:p>
          <w:p w14:paraId="6BD56179">
            <w:pPr>
              <w:pStyle w:val="13"/>
            </w:pPr>
          </w:p>
        </w:tc>
      </w:tr>
      <w:tr w14:paraId="0B189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D3DBE">
            <w:pPr>
              <w:pStyle w:val="11"/>
            </w:pPr>
            <w:r>
              <w:t>资金支出计划（%）</w:t>
            </w:r>
          </w:p>
        </w:tc>
        <w:tc>
          <w:tcPr>
            <w:tcW w:w="5103" w:type="dxa"/>
            <w:gridSpan w:val="2"/>
            <w:vAlign w:val="center"/>
          </w:tcPr>
          <w:p w14:paraId="16C024D3">
            <w:pPr>
              <w:pStyle w:val="11"/>
            </w:pPr>
            <w:r>
              <w:t>3月底</w:t>
            </w:r>
          </w:p>
        </w:tc>
        <w:tc>
          <w:tcPr>
            <w:tcW w:w="2835" w:type="dxa"/>
            <w:vAlign w:val="center"/>
          </w:tcPr>
          <w:p w14:paraId="0F8878C7">
            <w:pPr>
              <w:pStyle w:val="11"/>
            </w:pPr>
            <w:r>
              <w:t>6月底</w:t>
            </w:r>
          </w:p>
        </w:tc>
        <w:tc>
          <w:tcPr>
            <w:tcW w:w="2551" w:type="dxa"/>
            <w:vAlign w:val="center"/>
          </w:tcPr>
          <w:p w14:paraId="549214DA">
            <w:pPr>
              <w:pStyle w:val="11"/>
            </w:pPr>
            <w:r>
              <w:t>10月底</w:t>
            </w:r>
          </w:p>
        </w:tc>
        <w:tc>
          <w:tcPr>
            <w:tcW w:w="3544" w:type="dxa"/>
            <w:gridSpan w:val="2"/>
            <w:vAlign w:val="center"/>
          </w:tcPr>
          <w:p w14:paraId="593AE491">
            <w:pPr>
              <w:pStyle w:val="11"/>
            </w:pPr>
            <w:r>
              <w:t>12月底</w:t>
            </w:r>
          </w:p>
        </w:tc>
      </w:tr>
      <w:tr w14:paraId="20D8D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9250AC"/>
        </w:tc>
        <w:tc>
          <w:tcPr>
            <w:tcW w:w="5103" w:type="dxa"/>
            <w:gridSpan w:val="2"/>
            <w:vAlign w:val="center"/>
          </w:tcPr>
          <w:p w14:paraId="052625E1">
            <w:pPr>
              <w:pStyle w:val="12"/>
            </w:pPr>
            <w:r>
              <w:t xml:space="preserve"> </w:t>
            </w:r>
          </w:p>
        </w:tc>
        <w:tc>
          <w:tcPr>
            <w:tcW w:w="2835" w:type="dxa"/>
            <w:vAlign w:val="center"/>
          </w:tcPr>
          <w:p w14:paraId="19AAC3A2">
            <w:pPr>
              <w:pStyle w:val="12"/>
            </w:pPr>
            <w:r>
              <w:t xml:space="preserve"> </w:t>
            </w:r>
          </w:p>
        </w:tc>
        <w:tc>
          <w:tcPr>
            <w:tcW w:w="2551" w:type="dxa"/>
            <w:vAlign w:val="center"/>
          </w:tcPr>
          <w:p w14:paraId="7F6A595E">
            <w:pPr>
              <w:pStyle w:val="12"/>
            </w:pPr>
            <w:r>
              <w:t>100%</w:t>
            </w:r>
          </w:p>
        </w:tc>
        <w:tc>
          <w:tcPr>
            <w:tcW w:w="3544" w:type="dxa"/>
            <w:gridSpan w:val="2"/>
            <w:vAlign w:val="center"/>
          </w:tcPr>
          <w:p w14:paraId="522952F9">
            <w:pPr>
              <w:pStyle w:val="12"/>
            </w:pPr>
            <w:r>
              <w:t>100%</w:t>
            </w:r>
          </w:p>
        </w:tc>
      </w:tr>
      <w:tr w14:paraId="7D9C7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73CE8">
            <w:pPr>
              <w:pStyle w:val="11"/>
            </w:pPr>
            <w:r>
              <w:t>绩效目标</w:t>
            </w:r>
          </w:p>
        </w:tc>
        <w:tc>
          <w:tcPr>
            <w:tcW w:w="14033" w:type="dxa"/>
            <w:gridSpan w:val="6"/>
            <w:vAlign w:val="center"/>
          </w:tcPr>
          <w:p w14:paraId="26359404">
            <w:pPr>
              <w:pStyle w:val="13"/>
            </w:pPr>
            <w:r>
              <w:t>1.按规定拨付专项资金，资金支付率达到100%。</w:t>
            </w:r>
          </w:p>
          <w:p w14:paraId="65E949AD">
            <w:pPr>
              <w:pStyle w:val="13"/>
            </w:pPr>
            <w:r>
              <w:t>2.完成双碑小学塑胶操场改造及地面硬化，满足学校正常教学需要。</w:t>
            </w:r>
          </w:p>
        </w:tc>
      </w:tr>
    </w:tbl>
    <w:p w14:paraId="604B6B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5571D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30E5A">
            <w:pPr>
              <w:pStyle w:val="11"/>
            </w:pPr>
            <w:r>
              <w:t>一级指标</w:t>
            </w:r>
          </w:p>
        </w:tc>
        <w:tc>
          <w:tcPr>
            <w:tcW w:w="2268" w:type="dxa"/>
            <w:vAlign w:val="center"/>
          </w:tcPr>
          <w:p w14:paraId="156F4C7D">
            <w:pPr>
              <w:pStyle w:val="11"/>
            </w:pPr>
            <w:r>
              <w:t>二级指标</w:t>
            </w:r>
          </w:p>
        </w:tc>
        <w:tc>
          <w:tcPr>
            <w:tcW w:w="2835" w:type="dxa"/>
            <w:vAlign w:val="center"/>
          </w:tcPr>
          <w:p w14:paraId="7F9BC524">
            <w:pPr>
              <w:pStyle w:val="11"/>
            </w:pPr>
            <w:r>
              <w:t>三级指标</w:t>
            </w:r>
          </w:p>
        </w:tc>
        <w:tc>
          <w:tcPr>
            <w:tcW w:w="5386" w:type="dxa"/>
            <w:vAlign w:val="center"/>
          </w:tcPr>
          <w:p w14:paraId="22B13422">
            <w:pPr>
              <w:pStyle w:val="11"/>
            </w:pPr>
            <w:r>
              <w:t>绩效指标描述</w:t>
            </w:r>
          </w:p>
        </w:tc>
        <w:tc>
          <w:tcPr>
            <w:tcW w:w="1673" w:type="dxa"/>
            <w:vAlign w:val="center"/>
          </w:tcPr>
          <w:p w14:paraId="1BBD897A">
            <w:pPr>
              <w:pStyle w:val="11"/>
            </w:pPr>
            <w:r>
              <w:t>指标值</w:t>
            </w:r>
          </w:p>
        </w:tc>
        <w:tc>
          <w:tcPr>
            <w:tcW w:w="1871" w:type="dxa"/>
            <w:vAlign w:val="center"/>
          </w:tcPr>
          <w:p w14:paraId="6DE73890">
            <w:pPr>
              <w:pStyle w:val="11"/>
            </w:pPr>
            <w:r>
              <w:t>指标值确定依据</w:t>
            </w:r>
          </w:p>
        </w:tc>
      </w:tr>
      <w:tr w14:paraId="4E945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EFBC9">
            <w:pPr>
              <w:pStyle w:val="12"/>
            </w:pPr>
            <w:r>
              <w:t>产出指标</w:t>
            </w:r>
          </w:p>
        </w:tc>
        <w:tc>
          <w:tcPr>
            <w:tcW w:w="2268" w:type="dxa"/>
            <w:vAlign w:val="center"/>
          </w:tcPr>
          <w:p w14:paraId="200610FC">
            <w:pPr>
              <w:pStyle w:val="13"/>
            </w:pPr>
            <w:r>
              <w:t>数量指标</w:t>
            </w:r>
          </w:p>
        </w:tc>
        <w:tc>
          <w:tcPr>
            <w:tcW w:w="2835" w:type="dxa"/>
            <w:vAlign w:val="center"/>
          </w:tcPr>
          <w:p w14:paraId="7751A42F">
            <w:pPr>
              <w:pStyle w:val="13"/>
            </w:pPr>
            <w:r>
              <w:t xml:space="preserve"> 教学楼北侧操场改造和教学楼南侧地面沥青硬化</w:t>
            </w:r>
          </w:p>
        </w:tc>
        <w:tc>
          <w:tcPr>
            <w:tcW w:w="5386" w:type="dxa"/>
            <w:vAlign w:val="center"/>
          </w:tcPr>
          <w:p w14:paraId="736A1119">
            <w:pPr>
              <w:pStyle w:val="13"/>
            </w:pPr>
            <w:r>
              <w:t xml:space="preserve"> 教学楼北侧操场改造和教学楼南侧地面沥青硬化</w:t>
            </w:r>
          </w:p>
        </w:tc>
        <w:tc>
          <w:tcPr>
            <w:tcW w:w="1673" w:type="dxa"/>
            <w:vAlign w:val="center"/>
          </w:tcPr>
          <w:p w14:paraId="5D2AB4AF">
            <w:pPr>
              <w:pStyle w:val="13"/>
            </w:pPr>
            <w:r>
              <w:t>40万元</w:t>
            </w:r>
          </w:p>
        </w:tc>
        <w:tc>
          <w:tcPr>
            <w:tcW w:w="1871" w:type="dxa"/>
            <w:vAlign w:val="center"/>
          </w:tcPr>
          <w:p w14:paraId="791FFE81">
            <w:pPr>
              <w:pStyle w:val="13"/>
            </w:pPr>
            <w:r>
              <w:t>城乡义务教育公用经费管理办法</w:t>
            </w:r>
          </w:p>
        </w:tc>
      </w:tr>
      <w:tr w14:paraId="01A19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960AB"/>
        </w:tc>
        <w:tc>
          <w:tcPr>
            <w:tcW w:w="2268" w:type="dxa"/>
            <w:vAlign w:val="center"/>
          </w:tcPr>
          <w:p w14:paraId="52B2D151">
            <w:pPr>
              <w:pStyle w:val="13"/>
            </w:pPr>
            <w:r>
              <w:t>质量指标</w:t>
            </w:r>
          </w:p>
        </w:tc>
        <w:tc>
          <w:tcPr>
            <w:tcW w:w="2835" w:type="dxa"/>
            <w:vAlign w:val="center"/>
          </w:tcPr>
          <w:p w14:paraId="13C5F9BC">
            <w:pPr>
              <w:pStyle w:val="13"/>
            </w:pPr>
            <w:r>
              <w:t>资金支付率</w:t>
            </w:r>
          </w:p>
        </w:tc>
        <w:tc>
          <w:tcPr>
            <w:tcW w:w="5386" w:type="dxa"/>
            <w:vAlign w:val="center"/>
          </w:tcPr>
          <w:p w14:paraId="09938488">
            <w:pPr>
              <w:pStyle w:val="13"/>
            </w:pPr>
            <w:r>
              <w:t>按照序时进度完成资金支付</w:t>
            </w:r>
          </w:p>
        </w:tc>
        <w:tc>
          <w:tcPr>
            <w:tcW w:w="1673" w:type="dxa"/>
            <w:vAlign w:val="center"/>
          </w:tcPr>
          <w:p w14:paraId="5705CB5C">
            <w:pPr>
              <w:pStyle w:val="13"/>
            </w:pPr>
            <w:r>
              <w:t>≥100%</w:t>
            </w:r>
          </w:p>
        </w:tc>
        <w:tc>
          <w:tcPr>
            <w:tcW w:w="1871" w:type="dxa"/>
            <w:vAlign w:val="center"/>
          </w:tcPr>
          <w:p w14:paraId="069E9F2A">
            <w:pPr>
              <w:pStyle w:val="13"/>
            </w:pPr>
            <w:r>
              <w:t>城乡义务教育公用经费管理办法</w:t>
            </w:r>
          </w:p>
        </w:tc>
      </w:tr>
      <w:tr w14:paraId="422A7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A7E40"/>
        </w:tc>
        <w:tc>
          <w:tcPr>
            <w:tcW w:w="2268" w:type="dxa"/>
            <w:vAlign w:val="center"/>
          </w:tcPr>
          <w:p w14:paraId="4CD46297">
            <w:pPr>
              <w:pStyle w:val="13"/>
            </w:pPr>
            <w:r>
              <w:t>时效指标</w:t>
            </w:r>
          </w:p>
        </w:tc>
        <w:tc>
          <w:tcPr>
            <w:tcW w:w="2835" w:type="dxa"/>
            <w:vAlign w:val="center"/>
          </w:tcPr>
          <w:p w14:paraId="67696D35">
            <w:pPr>
              <w:pStyle w:val="13"/>
            </w:pPr>
            <w:r>
              <w:t>项目竣工验收合格率</w:t>
            </w:r>
          </w:p>
        </w:tc>
        <w:tc>
          <w:tcPr>
            <w:tcW w:w="5386" w:type="dxa"/>
            <w:vAlign w:val="center"/>
          </w:tcPr>
          <w:p w14:paraId="4FA3FE89">
            <w:pPr>
              <w:pStyle w:val="13"/>
            </w:pPr>
            <w:r>
              <w:t>项目改造质量达标率</w:t>
            </w:r>
          </w:p>
        </w:tc>
        <w:tc>
          <w:tcPr>
            <w:tcW w:w="1673" w:type="dxa"/>
            <w:vAlign w:val="center"/>
          </w:tcPr>
          <w:p w14:paraId="6EC20E70">
            <w:pPr>
              <w:pStyle w:val="13"/>
            </w:pPr>
            <w:r>
              <w:t>≥100%</w:t>
            </w:r>
          </w:p>
        </w:tc>
        <w:tc>
          <w:tcPr>
            <w:tcW w:w="1871" w:type="dxa"/>
            <w:vAlign w:val="center"/>
          </w:tcPr>
          <w:p w14:paraId="061A4367">
            <w:pPr>
              <w:pStyle w:val="13"/>
            </w:pPr>
            <w:r>
              <w:t>城乡义务教育公用经费管理办法</w:t>
            </w:r>
          </w:p>
        </w:tc>
      </w:tr>
      <w:tr w14:paraId="5FA26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CCAA0"/>
        </w:tc>
        <w:tc>
          <w:tcPr>
            <w:tcW w:w="2268" w:type="dxa"/>
            <w:vAlign w:val="center"/>
          </w:tcPr>
          <w:p w14:paraId="53CEE072">
            <w:pPr>
              <w:pStyle w:val="13"/>
            </w:pPr>
            <w:r>
              <w:t>成本指标</w:t>
            </w:r>
          </w:p>
        </w:tc>
        <w:tc>
          <w:tcPr>
            <w:tcW w:w="2835" w:type="dxa"/>
            <w:vAlign w:val="center"/>
          </w:tcPr>
          <w:p w14:paraId="799937AA">
            <w:pPr>
              <w:pStyle w:val="13"/>
            </w:pPr>
            <w:r>
              <w:t>项目实际成本</w:t>
            </w:r>
          </w:p>
        </w:tc>
        <w:tc>
          <w:tcPr>
            <w:tcW w:w="5386" w:type="dxa"/>
            <w:vAlign w:val="center"/>
          </w:tcPr>
          <w:p w14:paraId="04E7A712">
            <w:pPr>
              <w:pStyle w:val="13"/>
            </w:pPr>
            <w:r>
              <w:t>教学楼北侧操场改造和教学楼南侧地面沥青硬化</w:t>
            </w:r>
          </w:p>
        </w:tc>
        <w:tc>
          <w:tcPr>
            <w:tcW w:w="1673" w:type="dxa"/>
            <w:vAlign w:val="center"/>
          </w:tcPr>
          <w:p w14:paraId="7F44D78B">
            <w:pPr>
              <w:pStyle w:val="13"/>
            </w:pPr>
            <w:r>
              <w:t>40万元</w:t>
            </w:r>
          </w:p>
        </w:tc>
        <w:tc>
          <w:tcPr>
            <w:tcW w:w="1871" w:type="dxa"/>
            <w:vAlign w:val="center"/>
          </w:tcPr>
          <w:p w14:paraId="320AB9F0">
            <w:pPr>
              <w:pStyle w:val="13"/>
            </w:pPr>
            <w:r>
              <w:t>城乡义务教育公用经费管理办法</w:t>
            </w:r>
          </w:p>
        </w:tc>
      </w:tr>
      <w:tr w14:paraId="3F772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4FC58">
            <w:pPr>
              <w:pStyle w:val="12"/>
            </w:pPr>
            <w:r>
              <w:t>效益指标</w:t>
            </w:r>
          </w:p>
        </w:tc>
        <w:tc>
          <w:tcPr>
            <w:tcW w:w="2268" w:type="dxa"/>
            <w:vAlign w:val="center"/>
          </w:tcPr>
          <w:p w14:paraId="5CC89274">
            <w:pPr>
              <w:pStyle w:val="13"/>
            </w:pPr>
            <w:r>
              <w:t>经济效益指标</w:t>
            </w:r>
          </w:p>
        </w:tc>
        <w:tc>
          <w:tcPr>
            <w:tcW w:w="2835" w:type="dxa"/>
            <w:vAlign w:val="center"/>
          </w:tcPr>
          <w:p w14:paraId="36B941A4">
            <w:pPr>
              <w:pStyle w:val="13"/>
            </w:pPr>
            <w:r>
              <w:t>教育发展水平</w:t>
            </w:r>
          </w:p>
        </w:tc>
        <w:tc>
          <w:tcPr>
            <w:tcW w:w="5386" w:type="dxa"/>
            <w:vAlign w:val="center"/>
          </w:tcPr>
          <w:p w14:paraId="74AA0255">
            <w:pPr>
              <w:pStyle w:val="13"/>
            </w:pPr>
            <w:r>
              <w:t>辖区内教育环境明显好转</w:t>
            </w:r>
          </w:p>
        </w:tc>
        <w:tc>
          <w:tcPr>
            <w:tcW w:w="1673" w:type="dxa"/>
            <w:vAlign w:val="center"/>
          </w:tcPr>
          <w:p w14:paraId="014D678A">
            <w:pPr>
              <w:pStyle w:val="13"/>
            </w:pPr>
            <w:r>
              <w:t>≥95%</w:t>
            </w:r>
          </w:p>
        </w:tc>
        <w:tc>
          <w:tcPr>
            <w:tcW w:w="1871" w:type="dxa"/>
            <w:vAlign w:val="center"/>
          </w:tcPr>
          <w:p w14:paraId="54D72B4A">
            <w:pPr>
              <w:pStyle w:val="13"/>
            </w:pPr>
            <w:r>
              <w:t>城乡义务教育公用经费管理办法</w:t>
            </w:r>
          </w:p>
        </w:tc>
      </w:tr>
      <w:tr w14:paraId="7D5E4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95AC0"/>
        </w:tc>
        <w:tc>
          <w:tcPr>
            <w:tcW w:w="2268" w:type="dxa"/>
            <w:vAlign w:val="center"/>
          </w:tcPr>
          <w:p w14:paraId="6D2C379D">
            <w:pPr>
              <w:pStyle w:val="13"/>
            </w:pPr>
            <w:r>
              <w:t>社会效益指标</w:t>
            </w:r>
          </w:p>
        </w:tc>
        <w:tc>
          <w:tcPr>
            <w:tcW w:w="2835" w:type="dxa"/>
            <w:vAlign w:val="center"/>
          </w:tcPr>
          <w:p w14:paraId="12169E01">
            <w:pPr>
              <w:pStyle w:val="13"/>
            </w:pPr>
            <w:r>
              <w:t>校园环境</w:t>
            </w:r>
          </w:p>
        </w:tc>
        <w:tc>
          <w:tcPr>
            <w:tcW w:w="5386" w:type="dxa"/>
            <w:vAlign w:val="center"/>
          </w:tcPr>
          <w:p w14:paraId="3F4A2D61">
            <w:pPr>
              <w:pStyle w:val="13"/>
            </w:pPr>
            <w:r>
              <w:t>办学条件和环境得到改善</w:t>
            </w:r>
          </w:p>
        </w:tc>
        <w:tc>
          <w:tcPr>
            <w:tcW w:w="1673" w:type="dxa"/>
            <w:vAlign w:val="center"/>
          </w:tcPr>
          <w:p w14:paraId="4257928D">
            <w:pPr>
              <w:pStyle w:val="13"/>
            </w:pPr>
            <w:r>
              <w:t>≥95%</w:t>
            </w:r>
          </w:p>
        </w:tc>
        <w:tc>
          <w:tcPr>
            <w:tcW w:w="1871" w:type="dxa"/>
            <w:vAlign w:val="center"/>
          </w:tcPr>
          <w:p w14:paraId="1CBA50BB">
            <w:pPr>
              <w:pStyle w:val="13"/>
            </w:pPr>
            <w:r>
              <w:t>城乡义务教育公用经费管理办法</w:t>
            </w:r>
          </w:p>
        </w:tc>
      </w:tr>
      <w:tr w14:paraId="38B8E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7516AF">
            <w:pPr>
              <w:pStyle w:val="12"/>
            </w:pPr>
            <w:r>
              <w:t>满意度指标</w:t>
            </w:r>
          </w:p>
        </w:tc>
        <w:tc>
          <w:tcPr>
            <w:tcW w:w="2268" w:type="dxa"/>
            <w:vAlign w:val="center"/>
          </w:tcPr>
          <w:p w14:paraId="790C3C94">
            <w:pPr>
              <w:pStyle w:val="13"/>
            </w:pPr>
            <w:r>
              <w:t>服务对象满意度指标</w:t>
            </w:r>
          </w:p>
        </w:tc>
        <w:tc>
          <w:tcPr>
            <w:tcW w:w="2835" w:type="dxa"/>
            <w:vAlign w:val="center"/>
          </w:tcPr>
          <w:p w14:paraId="018B8700">
            <w:pPr>
              <w:pStyle w:val="13"/>
            </w:pPr>
            <w:r>
              <w:t>受益学生家长及调查满意度</w:t>
            </w:r>
          </w:p>
        </w:tc>
        <w:tc>
          <w:tcPr>
            <w:tcW w:w="5386" w:type="dxa"/>
            <w:vAlign w:val="center"/>
          </w:tcPr>
          <w:p w14:paraId="5EDA2F48">
            <w:pPr>
              <w:pStyle w:val="13"/>
            </w:pPr>
            <w:r>
              <w:t>学生、教师及家长对学校工作满意度情况</w:t>
            </w:r>
          </w:p>
        </w:tc>
        <w:tc>
          <w:tcPr>
            <w:tcW w:w="1673" w:type="dxa"/>
            <w:vAlign w:val="center"/>
          </w:tcPr>
          <w:p w14:paraId="7E0062A4">
            <w:pPr>
              <w:pStyle w:val="13"/>
            </w:pPr>
            <w:r>
              <w:t>≥95%</w:t>
            </w:r>
          </w:p>
        </w:tc>
        <w:tc>
          <w:tcPr>
            <w:tcW w:w="1871" w:type="dxa"/>
            <w:vAlign w:val="center"/>
          </w:tcPr>
          <w:p w14:paraId="74BB7258">
            <w:pPr>
              <w:pStyle w:val="13"/>
            </w:pPr>
            <w:r>
              <w:t>城乡义务教育公用经费管理办法</w:t>
            </w:r>
          </w:p>
        </w:tc>
      </w:tr>
    </w:tbl>
    <w:p w14:paraId="00CA0255">
      <w:pPr>
        <w:sectPr>
          <w:pgSz w:w="16840" w:h="11900" w:orient="landscape"/>
          <w:pgMar w:top="1361" w:right="1020" w:bottom="1134" w:left="1020" w:header="720" w:footer="720" w:gutter="0"/>
          <w:cols w:space="720" w:num="1"/>
        </w:sectPr>
      </w:pPr>
    </w:p>
    <w:p w14:paraId="0A0F8B02">
      <w:pPr>
        <w:spacing w:before="0" w:after="0"/>
        <w:ind w:firstLine="560"/>
        <w:jc w:val="left"/>
        <w:outlineLvl w:val="9"/>
      </w:pPr>
      <w:r>
        <w:rPr>
          <w:rFonts w:ascii="方正仿宋_GBK" w:hAnsi="方正仿宋_GBK" w:eastAsia="方正仿宋_GBK" w:cs="方正仿宋_GBK"/>
          <w:b/>
          <w:color w:val="000000"/>
          <w:sz w:val="28"/>
        </w:rPr>
        <w:t>10、冀财教[2024]123号/中央/2025年义教补助经费/亦城小学公用经费绩效目标表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BF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B5001">
            <w:pPr>
              <w:pStyle w:val="14"/>
            </w:pPr>
            <w:r>
              <w:t>单位：万元</w:t>
            </w:r>
          </w:p>
        </w:tc>
      </w:tr>
      <w:tr w14:paraId="65088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D21B6D">
            <w:pPr>
              <w:pStyle w:val="11"/>
            </w:pPr>
            <w:r>
              <w:t>项目编码</w:t>
            </w:r>
          </w:p>
        </w:tc>
        <w:tc>
          <w:tcPr>
            <w:tcW w:w="5103" w:type="dxa"/>
            <w:gridSpan w:val="2"/>
            <w:vAlign w:val="center"/>
          </w:tcPr>
          <w:p w14:paraId="4CE8EA92">
            <w:pPr>
              <w:pStyle w:val="13"/>
            </w:pPr>
            <w:r>
              <w:t>13052525P00000410080Y</w:t>
            </w:r>
          </w:p>
        </w:tc>
        <w:tc>
          <w:tcPr>
            <w:tcW w:w="2835" w:type="dxa"/>
            <w:vAlign w:val="center"/>
          </w:tcPr>
          <w:p w14:paraId="3868F676">
            <w:pPr>
              <w:pStyle w:val="11"/>
            </w:pPr>
            <w:r>
              <w:t>项目名称</w:t>
            </w:r>
          </w:p>
        </w:tc>
        <w:tc>
          <w:tcPr>
            <w:tcW w:w="6095" w:type="dxa"/>
            <w:gridSpan w:val="3"/>
            <w:vAlign w:val="center"/>
          </w:tcPr>
          <w:p w14:paraId="69BA8B6A">
            <w:pPr>
              <w:pStyle w:val="13"/>
            </w:pPr>
            <w:r>
              <w:t>冀财教[2024]123号/中央/2025年义教补助经费/亦城小学公用经费</w:t>
            </w:r>
          </w:p>
        </w:tc>
      </w:tr>
      <w:tr w14:paraId="53F88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A1140">
            <w:pPr>
              <w:pStyle w:val="11"/>
            </w:pPr>
            <w:r>
              <w:t>预算规模及资金用途</w:t>
            </w:r>
          </w:p>
        </w:tc>
        <w:tc>
          <w:tcPr>
            <w:tcW w:w="2268" w:type="dxa"/>
            <w:vAlign w:val="center"/>
          </w:tcPr>
          <w:p w14:paraId="48745D57">
            <w:pPr>
              <w:pStyle w:val="11"/>
            </w:pPr>
            <w:r>
              <w:t>预算数</w:t>
            </w:r>
          </w:p>
        </w:tc>
        <w:tc>
          <w:tcPr>
            <w:tcW w:w="2835" w:type="dxa"/>
            <w:vAlign w:val="center"/>
          </w:tcPr>
          <w:p w14:paraId="35488254">
            <w:pPr>
              <w:pStyle w:val="13"/>
            </w:pPr>
            <w:r>
              <w:t>15.27</w:t>
            </w:r>
          </w:p>
        </w:tc>
        <w:tc>
          <w:tcPr>
            <w:tcW w:w="2835" w:type="dxa"/>
            <w:vAlign w:val="center"/>
          </w:tcPr>
          <w:p w14:paraId="6D107642">
            <w:pPr>
              <w:pStyle w:val="11"/>
            </w:pPr>
            <w:r>
              <w:t>其中：财政    资金</w:t>
            </w:r>
          </w:p>
        </w:tc>
        <w:tc>
          <w:tcPr>
            <w:tcW w:w="2551" w:type="dxa"/>
            <w:vAlign w:val="center"/>
          </w:tcPr>
          <w:p w14:paraId="70B6A868">
            <w:pPr>
              <w:pStyle w:val="13"/>
            </w:pPr>
            <w:r>
              <w:t>15.27</w:t>
            </w:r>
          </w:p>
        </w:tc>
        <w:tc>
          <w:tcPr>
            <w:tcW w:w="2268" w:type="dxa"/>
            <w:vAlign w:val="center"/>
          </w:tcPr>
          <w:p w14:paraId="2A76B94D">
            <w:pPr>
              <w:pStyle w:val="11"/>
            </w:pPr>
            <w:r>
              <w:t>其他资金</w:t>
            </w:r>
          </w:p>
        </w:tc>
        <w:tc>
          <w:tcPr>
            <w:tcW w:w="1276" w:type="dxa"/>
            <w:vAlign w:val="center"/>
          </w:tcPr>
          <w:p w14:paraId="139E22E7">
            <w:pPr>
              <w:pStyle w:val="13"/>
            </w:pPr>
            <w:r>
              <w:t xml:space="preserve"> </w:t>
            </w:r>
          </w:p>
        </w:tc>
      </w:tr>
      <w:tr w14:paraId="515FB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9B031"/>
        </w:tc>
        <w:tc>
          <w:tcPr>
            <w:tcW w:w="14033" w:type="dxa"/>
            <w:gridSpan w:val="6"/>
            <w:vAlign w:val="center"/>
          </w:tcPr>
          <w:p w14:paraId="2FEA4E4E">
            <w:pPr>
              <w:pStyle w:val="13"/>
            </w:pPr>
            <w:r>
              <w:t>用于有效完成学校教学安全秩序，保障学校教学任务有效开展，满足学校正常教学需要。</w:t>
            </w:r>
            <w:r>
              <w:tab/>
            </w:r>
            <w:r>
              <w:tab/>
            </w:r>
            <w:r>
              <w:tab/>
            </w:r>
            <w:r>
              <w:tab/>
            </w:r>
            <w:r>
              <w:tab/>
            </w:r>
            <w:r>
              <w:tab/>
            </w:r>
            <w:r>
              <w:tab/>
            </w:r>
          </w:p>
          <w:p w14:paraId="1E159236">
            <w:pPr>
              <w:pStyle w:val="13"/>
            </w:pPr>
          </w:p>
        </w:tc>
      </w:tr>
      <w:tr w14:paraId="08C1A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BBF6C">
            <w:pPr>
              <w:pStyle w:val="11"/>
            </w:pPr>
            <w:r>
              <w:t>资金支出计划（%）</w:t>
            </w:r>
          </w:p>
        </w:tc>
        <w:tc>
          <w:tcPr>
            <w:tcW w:w="5103" w:type="dxa"/>
            <w:gridSpan w:val="2"/>
            <w:vAlign w:val="center"/>
          </w:tcPr>
          <w:p w14:paraId="060ADAD3">
            <w:pPr>
              <w:pStyle w:val="11"/>
            </w:pPr>
            <w:r>
              <w:t>3月底</w:t>
            </w:r>
          </w:p>
        </w:tc>
        <w:tc>
          <w:tcPr>
            <w:tcW w:w="2835" w:type="dxa"/>
            <w:vAlign w:val="center"/>
          </w:tcPr>
          <w:p w14:paraId="4619E64D">
            <w:pPr>
              <w:pStyle w:val="11"/>
            </w:pPr>
            <w:r>
              <w:t>6月底</w:t>
            </w:r>
          </w:p>
        </w:tc>
        <w:tc>
          <w:tcPr>
            <w:tcW w:w="2551" w:type="dxa"/>
            <w:vAlign w:val="center"/>
          </w:tcPr>
          <w:p w14:paraId="16D982E0">
            <w:pPr>
              <w:pStyle w:val="11"/>
            </w:pPr>
            <w:r>
              <w:t>10月底</w:t>
            </w:r>
          </w:p>
        </w:tc>
        <w:tc>
          <w:tcPr>
            <w:tcW w:w="3544" w:type="dxa"/>
            <w:gridSpan w:val="2"/>
            <w:vAlign w:val="center"/>
          </w:tcPr>
          <w:p w14:paraId="4E82C9EA">
            <w:pPr>
              <w:pStyle w:val="11"/>
            </w:pPr>
            <w:r>
              <w:t>12月底</w:t>
            </w:r>
          </w:p>
        </w:tc>
      </w:tr>
      <w:tr w14:paraId="1C111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8251E8"/>
        </w:tc>
        <w:tc>
          <w:tcPr>
            <w:tcW w:w="5103" w:type="dxa"/>
            <w:gridSpan w:val="2"/>
            <w:vAlign w:val="center"/>
          </w:tcPr>
          <w:p w14:paraId="185F6CD8">
            <w:pPr>
              <w:pStyle w:val="12"/>
            </w:pPr>
            <w:r>
              <w:t>25%</w:t>
            </w:r>
          </w:p>
        </w:tc>
        <w:tc>
          <w:tcPr>
            <w:tcW w:w="2835" w:type="dxa"/>
            <w:vAlign w:val="center"/>
          </w:tcPr>
          <w:p w14:paraId="225A8682">
            <w:pPr>
              <w:pStyle w:val="12"/>
            </w:pPr>
            <w:r>
              <w:t>50%</w:t>
            </w:r>
          </w:p>
        </w:tc>
        <w:tc>
          <w:tcPr>
            <w:tcW w:w="2551" w:type="dxa"/>
            <w:vAlign w:val="center"/>
          </w:tcPr>
          <w:p w14:paraId="382E6793">
            <w:pPr>
              <w:pStyle w:val="12"/>
            </w:pPr>
            <w:r>
              <w:t>75%</w:t>
            </w:r>
          </w:p>
        </w:tc>
        <w:tc>
          <w:tcPr>
            <w:tcW w:w="3544" w:type="dxa"/>
            <w:gridSpan w:val="2"/>
            <w:vAlign w:val="center"/>
          </w:tcPr>
          <w:p w14:paraId="64093315">
            <w:pPr>
              <w:pStyle w:val="12"/>
            </w:pPr>
            <w:r>
              <w:t>100%</w:t>
            </w:r>
          </w:p>
        </w:tc>
      </w:tr>
      <w:tr w14:paraId="28DCB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1C0EE5">
            <w:pPr>
              <w:pStyle w:val="11"/>
            </w:pPr>
            <w:r>
              <w:t>绩效目标</w:t>
            </w:r>
          </w:p>
        </w:tc>
        <w:tc>
          <w:tcPr>
            <w:tcW w:w="14033" w:type="dxa"/>
            <w:gridSpan w:val="6"/>
            <w:vAlign w:val="center"/>
          </w:tcPr>
          <w:p w14:paraId="272B32DF">
            <w:pPr>
              <w:pStyle w:val="13"/>
            </w:pPr>
            <w:r>
              <w:t>1.有效完成学校教学安全秩序，保障学校教学任务有效开展，满足学校正常教学需要。</w:t>
            </w:r>
          </w:p>
          <w:p w14:paraId="4557CE48">
            <w:pPr>
              <w:pStyle w:val="13"/>
            </w:pPr>
            <w:r>
              <w:t>2.按规定拨付公用经费资金，预算执行率≥98%。</w:t>
            </w:r>
          </w:p>
        </w:tc>
      </w:tr>
    </w:tbl>
    <w:p w14:paraId="319E2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48"/>
        <w:gridCol w:w="1796"/>
      </w:tblGrid>
      <w:tr w14:paraId="21B59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86E7B">
            <w:pPr>
              <w:pStyle w:val="11"/>
            </w:pPr>
            <w:r>
              <w:t>一级指标</w:t>
            </w:r>
          </w:p>
        </w:tc>
        <w:tc>
          <w:tcPr>
            <w:tcW w:w="2268" w:type="dxa"/>
            <w:vAlign w:val="center"/>
          </w:tcPr>
          <w:p w14:paraId="407D4C93">
            <w:pPr>
              <w:pStyle w:val="11"/>
            </w:pPr>
            <w:r>
              <w:t>二级指标</w:t>
            </w:r>
          </w:p>
        </w:tc>
        <w:tc>
          <w:tcPr>
            <w:tcW w:w="2835" w:type="dxa"/>
            <w:vAlign w:val="center"/>
          </w:tcPr>
          <w:p w14:paraId="472F50B1">
            <w:pPr>
              <w:pStyle w:val="11"/>
            </w:pPr>
            <w:r>
              <w:t>三级指标</w:t>
            </w:r>
          </w:p>
        </w:tc>
        <w:tc>
          <w:tcPr>
            <w:tcW w:w="5386" w:type="dxa"/>
            <w:vAlign w:val="center"/>
          </w:tcPr>
          <w:p w14:paraId="43F7FA15">
            <w:pPr>
              <w:pStyle w:val="11"/>
            </w:pPr>
            <w:r>
              <w:t>绩效指标描述</w:t>
            </w:r>
          </w:p>
        </w:tc>
        <w:tc>
          <w:tcPr>
            <w:tcW w:w="1748" w:type="dxa"/>
            <w:vAlign w:val="center"/>
          </w:tcPr>
          <w:p w14:paraId="5EFC1433">
            <w:pPr>
              <w:pStyle w:val="11"/>
            </w:pPr>
            <w:r>
              <w:t>指标值</w:t>
            </w:r>
          </w:p>
        </w:tc>
        <w:tc>
          <w:tcPr>
            <w:tcW w:w="1796" w:type="dxa"/>
            <w:vAlign w:val="center"/>
          </w:tcPr>
          <w:p w14:paraId="2C178C03">
            <w:pPr>
              <w:pStyle w:val="11"/>
            </w:pPr>
            <w:r>
              <w:t>指标值确定依据</w:t>
            </w:r>
          </w:p>
        </w:tc>
      </w:tr>
      <w:tr w14:paraId="574F3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38496">
            <w:pPr>
              <w:pStyle w:val="12"/>
            </w:pPr>
            <w:r>
              <w:t>产出指标</w:t>
            </w:r>
          </w:p>
        </w:tc>
        <w:tc>
          <w:tcPr>
            <w:tcW w:w="2268" w:type="dxa"/>
            <w:vAlign w:val="center"/>
          </w:tcPr>
          <w:p w14:paraId="52A0B76B">
            <w:pPr>
              <w:pStyle w:val="13"/>
            </w:pPr>
            <w:r>
              <w:t>数量指标</w:t>
            </w:r>
          </w:p>
        </w:tc>
        <w:tc>
          <w:tcPr>
            <w:tcW w:w="2835" w:type="dxa"/>
            <w:vAlign w:val="center"/>
          </w:tcPr>
          <w:p w14:paraId="46838CEC">
            <w:pPr>
              <w:pStyle w:val="13"/>
            </w:pPr>
            <w:r>
              <w:t>就读学生数</w:t>
            </w:r>
          </w:p>
        </w:tc>
        <w:tc>
          <w:tcPr>
            <w:tcW w:w="5386" w:type="dxa"/>
            <w:vAlign w:val="center"/>
          </w:tcPr>
          <w:p w14:paraId="0BC6679D">
            <w:pPr>
              <w:pStyle w:val="13"/>
            </w:pPr>
            <w:r>
              <w:t>辐射区域内适龄学生人数</w:t>
            </w:r>
          </w:p>
        </w:tc>
        <w:tc>
          <w:tcPr>
            <w:tcW w:w="1748" w:type="dxa"/>
            <w:vAlign w:val="center"/>
          </w:tcPr>
          <w:p w14:paraId="5446CD43">
            <w:pPr>
              <w:pStyle w:val="13"/>
            </w:pPr>
            <w:r>
              <w:t>255人</w:t>
            </w:r>
          </w:p>
        </w:tc>
        <w:tc>
          <w:tcPr>
            <w:tcW w:w="1796" w:type="dxa"/>
            <w:vAlign w:val="center"/>
          </w:tcPr>
          <w:p w14:paraId="45A7BD27">
            <w:pPr>
              <w:pStyle w:val="13"/>
            </w:pPr>
            <w:r>
              <w:t>城乡义务教育公用经费管理办法</w:t>
            </w:r>
          </w:p>
        </w:tc>
      </w:tr>
      <w:tr w14:paraId="00954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AAD38"/>
        </w:tc>
        <w:tc>
          <w:tcPr>
            <w:tcW w:w="2268" w:type="dxa"/>
            <w:vAlign w:val="center"/>
          </w:tcPr>
          <w:p w14:paraId="64E7394F">
            <w:pPr>
              <w:pStyle w:val="13"/>
            </w:pPr>
            <w:r>
              <w:t>质量指标</w:t>
            </w:r>
          </w:p>
        </w:tc>
        <w:tc>
          <w:tcPr>
            <w:tcW w:w="2835" w:type="dxa"/>
            <w:vAlign w:val="center"/>
          </w:tcPr>
          <w:p w14:paraId="1972AE59">
            <w:pPr>
              <w:pStyle w:val="13"/>
            </w:pPr>
            <w:r>
              <w:t>预算执行率</w:t>
            </w:r>
          </w:p>
        </w:tc>
        <w:tc>
          <w:tcPr>
            <w:tcW w:w="5386" w:type="dxa"/>
            <w:vAlign w:val="center"/>
          </w:tcPr>
          <w:p w14:paraId="0DCC7E92">
            <w:pPr>
              <w:pStyle w:val="13"/>
            </w:pPr>
            <w:r>
              <w:t>预算执行率</w:t>
            </w:r>
          </w:p>
        </w:tc>
        <w:tc>
          <w:tcPr>
            <w:tcW w:w="1748" w:type="dxa"/>
            <w:vAlign w:val="center"/>
          </w:tcPr>
          <w:p w14:paraId="3C394666">
            <w:pPr>
              <w:pStyle w:val="13"/>
            </w:pPr>
            <w:r>
              <w:t>≥98%</w:t>
            </w:r>
          </w:p>
        </w:tc>
        <w:tc>
          <w:tcPr>
            <w:tcW w:w="1796" w:type="dxa"/>
            <w:vAlign w:val="center"/>
          </w:tcPr>
          <w:p w14:paraId="78F55D89">
            <w:pPr>
              <w:pStyle w:val="13"/>
            </w:pPr>
            <w:r>
              <w:t>城乡义务教育公用经费管理办法</w:t>
            </w:r>
          </w:p>
        </w:tc>
      </w:tr>
      <w:tr w14:paraId="0BFED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32E0B"/>
        </w:tc>
        <w:tc>
          <w:tcPr>
            <w:tcW w:w="2268" w:type="dxa"/>
            <w:vAlign w:val="center"/>
          </w:tcPr>
          <w:p w14:paraId="7BDD89AB">
            <w:pPr>
              <w:pStyle w:val="13"/>
            </w:pPr>
            <w:r>
              <w:t>时效指标</w:t>
            </w:r>
          </w:p>
        </w:tc>
        <w:tc>
          <w:tcPr>
            <w:tcW w:w="2835" w:type="dxa"/>
            <w:vAlign w:val="center"/>
          </w:tcPr>
          <w:p w14:paraId="45565AD6">
            <w:pPr>
              <w:pStyle w:val="13"/>
            </w:pPr>
            <w:r>
              <w:t>义教经费支付完成率</w:t>
            </w:r>
          </w:p>
        </w:tc>
        <w:tc>
          <w:tcPr>
            <w:tcW w:w="5386" w:type="dxa"/>
            <w:vAlign w:val="center"/>
          </w:tcPr>
          <w:p w14:paraId="61C4067E">
            <w:pPr>
              <w:pStyle w:val="13"/>
            </w:pPr>
            <w:r>
              <w:t>按照序时进度完成资金支付</w:t>
            </w:r>
          </w:p>
        </w:tc>
        <w:tc>
          <w:tcPr>
            <w:tcW w:w="1748" w:type="dxa"/>
            <w:vAlign w:val="center"/>
          </w:tcPr>
          <w:p w14:paraId="4A0B9020">
            <w:pPr>
              <w:pStyle w:val="13"/>
            </w:pPr>
            <w:r>
              <w:t>≥100%</w:t>
            </w:r>
          </w:p>
        </w:tc>
        <w:tc>
          <w:tcPr>
            <w:tcW w:w="1796" w:type="dxa"/>
            <w:vAlign w:val="center"/>
          </w:tcPr>
          <w:p w14:paraId="29949B7A">
            <w:pPr>
              <w:pStyle w:val="13"/>
            </w:pPr>
            <w:r>
              <w:t>城乡义务教育公用经费管理办法</w:t>
            </w:r>
          </w:p>
        </w:tc>
      </w:tr>
      <w:tr w14:paraId="364D5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3FCA1"/>
        </w:tc>
        <w:tc>
          <w:tcPr>
            <w:tcW w:w="2268" w:type="dxa"/>
            <w:vAlign w:val="center"/>
          </w:tcPr>
          <w:p w14:paraId="5107575D">
            <w:pPr>
              <w:pStyle w:val="13"/>
            </w:pPr>
            <w:r>
              <w:t>成本指标</w:t>
            </w:r>
          </w:p>
        </w:tc>
        <w:tc>
          <w:tcPr>
            <w:tcW w:w="2835" w:type="dxa"/>
            <w:vAlign w:val="center"/>
          </w:tcPr>
          <w:p w14:paraId="39932AFF">
            <w:pPr>
              <w:pStyle w:val="13"/>
            </w:pPr>
            <w:r>
              <w:t>生均拨款标准</w:t>
            </w:r>
          </w:p>
        </w:tc>
        <w:tc>
          <w:tcPr>
            <w:tcW w:w="5386" w:type="dxa"/>
            <w:vAlign w:val="center"/>
          </w:tcPr>
          <w:p w14:paraId="498DDCE1">
            <w:pPr>
              <w:pStyle w:val="13"/>
            </w:pPr>
            <w:r>
              <w:t>小学：（基本标准720元、寄宿生300元、生活补助120元）/生/学年；特教、随班就读学生：标准7000元/生/学年</w:t>
            </w:r>
          </w:p>
        </w:tc>
        <w:tc>
          <w:tcPr>
            <w:tcW w:w="1748" w:type="dxa"/>
            <w:vAlign w:val="center"/>
          </w:tcPr>
          <w:p w14:paraId="63F3EC9C">
            <w:pPr>
              <w:pStyle w:val="13"/>
            </w:pPr>
            <w:r>
              <w:t>840元</w:t>
            </w:r>
          </w:p>
        </w:tc>
        <w:tc>
          <w:tcPr>
            <w:tcW w:w="1796" w:type="dxa"/>
            <w:vAlign w:val="center"/>
          </w:tcPr>
          <w:p w14:paraId="3FD8CF15">
            <w:pPr>
              <w:pStyle w:val="13"/>
            </w:pPr>
            <w:r>
              <w:t>城乡义务教育公用经费管理办法</w:t>
            </w:r>
          </w:p>
        </w:tc>
      </w:tr>
      <w:tr w14:paraId="6686A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4CFF11">
            <w:pPr>
              <w:pStyle w:val="12"/>
            </w:pPr>
            <w:r>
              <w:t>效益指标</w:t>
            </w:r>
          </w:p>
        </w:tc>
        <w:tc>
          <w:tcPr>
            <w:tcW w:w="2268" w:type="dxa"/>
            <w:vAlign w:val="center"/>
          </w:tcPr>
          <w:p w14:paraId="35A60149">
            <w:pPr>
              <w:pStyle w:val="13"/>
            </w:pPr>
            <w:r>
              <w:t>社会效益指标</w:t>
            </w:r>
          </w:p>
        </w:tc>
        <w:tc>
          <w:tcPr>
            <w:tcW w:w="2835" w:type="dxa"/>
            <w:vAlign w:val="center"/>
          </w:tcPr>
          <w:p w14:paraId="61CEA81E">
            <w:pPr>
              <w:pStyle w:val="13"/>
            </w:pPr>
            <w:r>
              <w:t>学校稳定率</w:t>
            </w:r>
          </w:p>
        </w:tc>
        <w:tc>
          <w:tcPr>
            <w:tcW w:w="5386" w:type="dxa"/>
            <w:vAlign w:val="center"/>
          </w:tcPr>
          <w:p w14:paraId="756FAF15">
            <w:pPr>
              <w:pStyle w:val="13"/>
            </w:pPr>
            <w:r>
              <w:t>维护学校稳定，保障学校正常教学秩序有效开展</w:t>
            </w:r>
          </w:p>
        </w:tc>
        <w:tc>
          <w:tcPr>
            <w:tcW w:w="1748" w:type="dxa"/>
            <w:vAlign w:val="center"/>
          </w:tcPr>
          <w:p w14:paraId="14ACFAB0">
            <w:pPr>
              <w:pStyle w:val="13"/>
            </w:pPr>
            <w:r>
              <w:t>≥100%</w:t>
            </w:r>
          </w:p>
        </w:tc>
        <w:tc>
          <w:tcPr>
            <w:tcW w:w="1796" w:type="dxa"/>
            <w:vAlign w:val="center"/>
          </w:tcPr>
          <w:p w14:paraId="2F193B14">
            <w:pPr>
              <w:pStyle w:val="13"/>
            </w:pPr>
            <w:r>
              <w:t>城乡义务教育公用经费管理办法</w:t>
            </w:r>
          </w:p>
        </w:tc>
      </w:tr>
      <w:tr w14:paraId="0826A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E2DD5D">
            <w:pPr>
              <w:pStyle w:val="12"/>
            </w:pPr>
            <w:r>
              <w:t>满意度指标</w:t>
            </w:r>
          </w:p>
        </w:tc>
        <w:tc>
          <w:tcPr>
            <w:tcW w:w="2268" w:type="dxa"/>
            <w:vAlign w:val="center"/>
          </w:tcPr>
          <w:p w14:paraId="6BFCB8DE">
            <w:pPr>
              <w:pStyle w:val="13"/>
            </w:pPr>
            <w:r>
              <w:t>服务对象满意度指标</w:t>
            </w:r>
          </w:p>
        </w:tc>
        <w:tc>
          <w:tcPr>
            <w:tcW w:w="2835" w:type="dxa"/>
            <w:vAlign w:val="center"/>
          </w:tcPr>
          <w:p w14:paraId="28D6AF92">
            <w:pPr>
              <w:pStyle w:val="13"/>
            </w:pPr>
            <w:r>
              <w:t>家长和学生满意度</w:t>
            </w:r>
          </w:p>
        </w:tc>
        <w:tc>
          <w:tcPr>
            <w:tcW w:w="5386" w:type="dxa"/>
            <w:vAlign w:val="center"/>
          </w:tcPr>
          <w:p w14:paraId="60FD06E3">
            <w:pPr>
              <w:pStyle w:val="13"/>
            </w:pPr>
            <w:r>
              <w:t>家长和学生满意度</w:t>
            </w:r>
          </w:p>
        </w:tc>
        <w:tc>
          <w:tcPr>
            <w:tcW w:w="1748" w:type="dxa"/>
            <w:vAlign w:val="center"/>
          </w:tcPr>
          <w:p w14:paraId="06DCCD29">
            <w:pPr>
              <w:pStyle w:val="13"/>
            </w:pPr>
            <w:r>
              <w:t>≥95%</w:t>
            </w:r>
          </w:p>
        </w:tc>
        <w:tc>
          <w:tcPr>
            <w:tcW w:w="1796" w:type="dxa"/>
            <w:vAlign w:val="center"/>
          </w:tcPr>
          <w:p w14:paraId="4E4073C5">
            <w:pPr>
              <w:pStyle w:val="13"/>
            </w:pPr>
            <w:r>
              <w:t>问卷调查</w:t>
            </w:r>
          </w:p>
        </w:tc>
      </w:tr>
    </w:tbl>
    <w:p w14:paraId="7D61B1C9">
      <w:pPr>
        <w:sectPr>
          <w:pgSz w:w="16840" w:h="11900" w:orient="landscape"/>
          <w:pgMar w:top="1361" w:right="1020" w:bottom="1134" w:left="1020" w:header="720" w:footer="720" w:gutter="0"/>
          <w:cols w:space="720" w:num="1"/>
        </w:sectPr>
      </w:pPr>
    </w:p>
    <w:p w14:paraId="2B8C5940">
      <w:pPr>
        <w:spacing w:before="0" w:after="0"/>
        <w:ind w:firstLine="560"/>
        <w:jc w:val="left"/>
        <w:outlineLvl w:val="9"/>
      </w:pPr>
      <w:r>
        <w:rPr>
          <w:rFonts w:ascii="方正仿宋_GBK" w:hAnsi="方正仿宋_GBK" w:eastAsia="方正仿宋_GBK" w:cs="方正仿宋_GBK"/>
          <w:b/>
          <w:color w:val="000000"/>
          <w:sz w:val="28"/>
        </w:rPr>
        <w:t>11、冀财教[2024]123号/中央/2025年义教补助经费/综合奖补/双碑校区双碑小学公用经费绩效目标表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CF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A39CA">
            <w:pPr>
              <w:pStyle w:val="14"/>
            </w:pPr>
            <w:r>
              <w:t>单位：万元</w:t>
            </w:r>
          </w:p>
        </w:tc>
      </w:tr>
      <w:tr w14:paraId="76808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E4649">
            <w:pPr>
              <w:pStyle w:val="11"/>
            </w:pPr>
            <w:r>
              <w:t>项目编码</w:t>
            </w:r>
          </w:p>
        </w:tc>
        <w:tc>
          <w:tcPr>
            <w:tcW w:w="5103" w:type="dxa"/>
            <w:gridSpan w:val="2"/>
            <w:vAlign w:val="center"/>
          </w:tcPr>
          <w:p w14:paraId="2AFFCFA3">
            <w:pPr>
              <w:pStyle w:val="13"/>
            </w:pPr>
            <w:r>
              <w:t>13052525P00875610280U</w:t>
            </w:r>
          </w:p>
        </w:tc>
        <w:tc>
          <w:tcPr>
            <w:tcW w:w="2835" w:type="dxa"/>
            <w:vAlign w:val="center"/>
          </w:tcPr>
          <w:p w14:paraId="43667345">
            <w:pPr>
              <w:pStyle w:val="11"/>
            </w:pPr>
            <w:r>
              <w:t>项目名称</w:t>
            </w:r>
          </w:p>
        </w:tc>
        <w:tc>
          <w:tcPr>
            <w:tcW w:w="6095" w:type="dxa"/>
            <w:gridSpan w:val="3"/>
            <w:vAlign w:val="center"/>
          </w:tcPr>
          <w:p w14:paraId="3E3AF1AE">
            <w:pPr>
              <w:pStyle w:val="13"/>
            </w:pPr>
            <w:r>
              <w:t>冀财教[2024]123号/中央/2025年义教补助经费/综合奖补/双碑校区双碑小学公用经费</w:t>
            </w:r>
          </w:p>
        </w:tc>
      </w:tr>
      <w:tr w14:paraId="62A32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6F566">
            <w:pPr>
              <w:pStyle w:val="11"/>
            </w:pPr>
            <w:r>
              <w:t>预算规模及资金用途</w:t>
            </w:r>
          </w:p>
        </w:tc>
        <w:tc>
          <w:tcPr>
            <w:tcW w:w="2268" w:type="dxa"/>
            <w:vAlign w:val="center"/>
          </w:tcPr>
          <w:p w14:paraId="55E7ECA7">
            <w:pPr>
              <w:pStyle w:val="11"/>
            </w:pPr>
            <w:r>
              <w:t>预算数</w:t>
            </w:r>
          </w:p>
        </w:tc>
        <w:tc>
          <w:tcPr>
            <w:tcW w:w="2835" w:type="dxa"/>
            <w:vAlign w:val="center"/>
          </w:tcPr>
          <w:p w14:paraId="286729C0">
            <w:pPr>
              <w:pStyle w:val="13"/>
            </w:pPr>
            <w:r>
              <w:t>1.96</w:t>
            </w:r>
          </w:p>
        </w:tc>
        <w:tc>
          <w:tcPr>
            <w:tcW w:w="2835" w:type="dxa"/>
            <w:vAlign w:val="center"/>
          </w:tcPr>
          <w:p w14:paraId="29DBB326">
            <w:pPr>
              <w:pStyle w:val="11"/>
            </w:pPr>
            <w:r>
              <w:t>其中：财政    资金</w:t>
            </w:r>
          </w:p>
        </w:tc>
        <w:tc>
          <w:tcPr>
            <w:tcW w:w="2551" w:type="dxa"/>
            <w:vAlign w:val="center"/>
          </w:tcPr>
          <w:p w14:paraId="590CE440">
            <w:pPr>
              <w:pStyle w:val="13"/>
            </w:pPr>
            <w:r>
              <w:t>1.96</w:t>
            </w:r>
          </w:p>
        </w:tc>
        <w:tc>
          <w:tcPr>
            <w:tcW w:w="2268" w:type="dxa"/>
            <w:vAlign w:val="center"/>
          </w:tcPr>
          <w:p w14:paraId="0E1C61D5">
            <w:pPr>
              <w:pStyle w:val="11"/>
            </w:pPr>
            <w:r>
              <w:t>其他资金</w:t>
            </w:r>
          </w:p>
        </w:tc>
        <w:tc>
          <w:tcPr>
            <w:tcW w:w="1276" w:type="dxa"/>
            <w:vAlign w:val="center"/>
          </w:tcPr>
          <w:p w14:paraId="49C684DA">
            <w:pPr>
              <w:pStyle w:val="13"/>
            </w:pPr>
            <w:r>
              <w:t xml:space="preserve"> </w:t>
            </w:r>
          </w:p>
        </w:tc>
      </w:tr>
      <w:tr w14:paraId="33A97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87B73"/>
        </w:tc>
        <w:tc>
          <w:tcPr>
            <w:tcW w:w="14033" w:type="dxa"/>
            <w:gridSpan w:val="6"/>
            <w:vAlign w:val="center"/>
          </w:tcPr>
          <w:p w14:paraId="6BDE6C7B">
            <w:pPr>
              <w:pStyle w:val="13"/>
            </w:pPr>
            <w:r>
              <w:t>有效完成学校教学安全秩序，保障学校教学任务有效开展，满足学校正常教学需要。</w:t>
            </w:r>
            <w:r>
              <w:tab/>
            </w:r>
          </w:p>
        </w:tc>
      </w:tr>
      <w:tr w14:paraId="366AE9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62493">
            <w:pPr>
              <w:pStyle w:val="11"/>
            </w:pPr>
            <w:r>
              <w:t>资金支出计划（%）</w:t>
            </w:r>
          </w:p>
        </w:tc>
        <w:tc>
          <w:tcPr>
            <w:tcW w:w="5103" w:type="dxa"/>
            <w:gridSpan w:val="2"/>
            <w:vAlign w:val="center"/>
          </w:tcPr>
          <w:p w14:paraId="37B070BC">
            <w:pPr>
              <w:pStyle w:val="11"/>
            </w:pPr>
            <w:r>
              <w:t>3月底</w:t>
            </w:r>
          </w:p>
        </w:tc>
        <w:tc>
          <w:tcPr>
            <w:tcW w:w="2835" w:type="dxa"/>
            <w:vAlign w:val="center"/>
          </w:tcPr>
          <w:p w14:paraId="54757198">
            <w:pPr>
              <w:pStyle w:val="11"/>
            </w:pPr>
            <w:r>
              <w:t>6月底</w:t>
            </w:r>
          </w:p>
        </w:tc>
        <w:tc>
          <w:tcPr>
            <w:tcW w:w="2551" w:type="dxa"/>
            <w:vAlign w:val="center"/>
          </w:tcPr>
          <w:p w14:paraId="5BBB9D18">
            <w:pPr>
              <w:pStyle w:val="11"/>
            </w:pPr>
            <w:r>
              <w:t>10月底</w:t>
            </w:r>
          </w:p>
        </w:tc>
        <w:tc>
          <w:tcPr>
            <w:tcW w:w="3544" w:type="dxa"/>
            <w:gridSpan w:val="2"/>
            <w:vAlign w:val="center"/>
          </w:tcPr>
          <w:p w14:paraId="6320F186">
            <w:pPr>
              <w:pStyle w:val="11"/>
            </w:pPr>
            <w:r>
              <w:t>12月底</w:t>
            </w:r>
          </w:p>
        </w:tc>
      </w:tr>
      <w:tr w14:paraId="3A8DB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C49F0"/>
        </w:tc>
        <w:tc>
          <w:tcPr>
            <w:tcW w:w="5103" w:type="dxa"/>
            <w:gridSpan w:val="2"/>
            <w:vAlign w:val="center"/>
          </w:tcPr>
          <w:p w14:paraId="22026F5A">
            <w:pPr>
              <w:pStyle w:val="12"/>
            </w:pPr>
            <w:r>
              <w:t xml:space="preserve"> </w:t>
            </w:r>
          </w:p>
        </w:tc>
        <w:tc>
          <w:tcPr>
            <w:tcW w:w="2835" w:type="dxa"/>
            <w:vAlign w:val="center"/>
          </w:tcPr>
          <w:p w14:paraId="5080523B">
            <w:pPr>
              <w:pStyle w:val="12"/>
            </w:pPr>
            <w:r>
              <w:t xml:space="preserve"> </w:t>
            </w:r>
          </w:p>
        </w:tc>
        <w:tc>
          <w:tcPr>
            <w:tcW w:w="2551" w:type="dxa"/>
            <w:vAlign w:val="center"/>
          </w:tcPr>
          <w:p w14:paraId="52E30F24">
            <w:pPr>
              <w:pStyle w:val="12"/>
            </w:pPr>
            <w:r>
              <w:t>100%</w:t>
            </w:r>
          </w:p>
        </w:tc>
        <w:tc>
          <w:tcPr>
            <w:tcW w:w="3544" w:type="dxa"/>
            <w:gridSpan w:val="2"/>
            <w:vAlign w:val="center"/>
          </w:tcPr>
          <w:p w14:paraId="358F2859">
            <w:pPr>
              <w:pStyle w:val="12"/>
            </w:pPr>
            <w:r>
              <w:t>100%</w:t>
            </w:r>
          </w:p>
        </w:tc>
      </w:tr>
      <w:tr w14:paraId="1CA65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0AFDD0">
            <w:pPr>
              <w:pStyle w:val="11"/>
            </w:pPr>
            <w:r>
              <w:t>绩效目标</w:t>
            </w:r>
          </w:p>
        </w:tc>
        <w:tc>
          <w:tcPr>
            <w:tcW w:w="14033" w:type="dxa"/>
            <w:gridSpan w:val="6"/>
            <w:vAlign w:val="center"/>
          </w:tcPr>
          <w:p w14:paraId="7B137405">
            <w:pPr>
              <w:pStyle w:val="13"/>
            </w:pPr>
            <w:r>
              <w:t>1.有效完成学校教学安全秩序，保障学校教学任务有效开展，满足学校正常教学需要。</w:t>
            </w:r>
          </w:p>
          <w:p w14:paraId="18B0560E">
            <w:pPr>
              <w:pStyle w:val="13"/>
            </w:pPr>
            <w:r>
              <w:t>2.按规定拨付公用经费资金，预算执行率≥98%。</w:t>
            </w:r>
          </w:p>
        </w:tc>
      </w:tr>
    </w:tbl>
    <w:p w14:paraId="69BB0A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4C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7684F">
            <w:pPr>
              <w:pStyle w:val="11"/>
            </w:pPr>
            <w:r>
              <w:t>一级指标</w:t>
            </w:r>
          </w:p>
        </w:tc>
        <w:tc>
          <w:tcPr>
            <w:tcW w:w="2268" w:type="dxa"/>
            <w:vAlign w:val="center"/>
          </w:tcPr>
          <w:p w14:paraId="564ACF96">
            <w:pPr>
              <w:pStyle w:val="11"/>
            </w:pPr>
            <w:r>
              <w:t>二级指标</w:t>
            </w:r>
          </w:p>
        </w:tc>
        <w:tc>
          <w:tcPr>
            <w:tcW w:w="2835" w:type="dxa"/>
            <w:vAlign w:val="center"/>
          </w:tcPr>
          <w:p w14:paraId="1C958192">
            <w:pPr>
              <w:pStyle w:val="11"/>
            </w:pPr>
            <w:r>
              <w:t>三级指标</w:t>
            </w:r>
          </w:p>
        </w:tc>
        <w:tc>
          <w:tcPr>
            <w:tcW w:w="5386" w:type="dxa"/>
            <w:vAlign w:val="center"/>
          </w:tcPr>
          <w:p w14:paraId="63455989">
            <w:pPr>
              <w:pStyle w:val="11"/>
            </w:pPr>
            <w:r>
              <w:t>绩效指标描述</w:t>
            </w:r>
          </w:p>
        </w:tc>
        <w:tc>
          <w:tcPr>
            <w:tcW w:w="2268" w:type="dxa"/>
            <w:vAlign w:val="center"/>
          </w:tcPr>
          <w:p w14:paraId="31B69410">
            <w:pPr>
              <w:pStyle w:val="11"/>
            </w:pPr>
            <w:r>
              <w:t>指标值</w:t>
            </w:r>
          </w:p>
        </w:tc>
        <w:tc>
          <w:tcPr>
            <w:tcW w:w="1276" w:type="dxa"/>
            <w:vAlign w:val="center"/>
          </w:tcPr>
          <w:p w14:paraId="5EDC640C">
            <w:pPr>
              <w:pStyle w:val="11"/>
            </w:pPr>
            <w:r>
              <w:t>指标值确定依据</w:t>
            </w:r>
          </w:p>
        </w:tc>
      </w:tr>
      <w:tr w14:paraId="5845B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D76CE">
            <w:pPr>
              <w:pStyle w:val="12"/>
            </w:pPr>
            <w:r>
              <w:t>产出指标</w:t>
            </w:r>
          </w:p>
        </w:tc>
        <w:tc>
          <w:tcPr>
            <w:tcW w:w="2268" w:type="dxa"/>
            <w:vAlign w:val="center"/>
          </w:tcPr>
          <w:p w14:paraId="527780B3">
            <w:pPr>
              <w:pStyle w:val="13"/>
            </w:pPr>
            <w:r>
              <w:t>数量指标</w:t>
            </w:r>
          </w:p>
        </w:tc>
        <w:tc>
          <w:tcPr>
            <w:tcW w:w="2835" w:type="dxa"/>
            <w:vAlign w:val="center"/>
          </w:tcPr>
          <w:p w14:paraId="433B8C9E">
            <w:pPr>
              <w:pStyle w:val="13"/>
            </w:pPr>
            <w:r>
              <w:t>生均拨款标准</w:t>
            </w:r>
          </w:p>
        </w:tc>
        <w:tc>
          <w:tcPr>
            <w:tcW w:w="5386" w:type="dxa"/>
            <w:vAlign w:val="center"/>
          </w:tcPr>
          <w:p w14:paraId="45B57972">
            <w:pPr>
              <w:pStyle w:val="13"/>
            </w:pPr>
            <w:r>
              <w:t>小学生公用经费生均小学720元。取暖费140元/生/年，随班就读学生补助6000元/生</w:t>
            </w:r>
          </w:p>
        </w:tc>
        <w:tc>
          <w:tcPr>
            <w:tcW w:w="2268" w:type="dxa"/>
            <w:vAlign w:val="center"/>
          </w:tcPr>
          <w:p w14:paraId="0597D620">
            <w:pPr>
              <w:pStyle w:val="13"/>
            </w:pPr>
            <w:r>
              <w:t>840元</w:t>
            </w:r>
          </w:p>
        </w:tc>
        <w:tc>
          <w:tcPr>
            <w:tcW w:w="1276" w:type="dxa"/>
            <w:vAlign w:val="center"/>
          </w:tcPr>
          <w:p w14:paraId="20E15327">
            <w:pPr>
              <w:pStyle w:val="13"/>
            </w:pPr>
            <w:r>
              <w:t>城乡义务教育公用经费管理办法</w:t>
            </w:r>
          </w:p>
        </w:tc>
      </w:tr>
      <w:tr w14:paraId="54F52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9B6A2"/>
        </w:tc>
        <w:tc>
          <w:tcPr>
            <w:tcW w:w="2268" w:type="dxa"/>
            <w:vAlign w:val="center"/>
          </w:tcPr>
          <w:p w14:paraId="063E69CF">
            <w:pPr>
              <w:pStyle w:val="13"/>
            </w:pPr>
            <w:r>
              <w:t>质量指标</w:t>
            </w:r>
          </w:p>
        </w:tc>
        <w:tc>
          <w:tcPr>
            <w:tcW w:w="2835" w:type="dxa"/>
            <w:vAlign w:val="center"/>
          </w:tcPr>
          <w:p w14:paraId="29E5BA2F">
            <w:pPr>
              <w:pStyle w:val="13"/>
            </w:pPr>
            <w:r>
              <w:t>就读学生数</w:t>
            </w:r>
          </w:p>
        </w:tc>
        <w:tc>
          <w:tcPr>
            <w:tcW w:w="5386" w:type="dxa"/>
            <w:vAlign w:val="center"/>
          </w:tcPr>
          <w:p w14:paraId="4C2FA463">
            <w:pPr>
              <w:pStyle w:val="13"/>
            </w:pPr>
            <w:r>
              <w:t>辐射区域内适龄学生人数</w:t>
            </w:r>
          </w:p>
        </w:tc>
        <w:tc>
          <w:tcPr>
            <w:tcW w:w="2268" w:type="dxa"/>
            <w:vAlign w:val="center"/>
          </w:tcPr>
          <w:p w14:paraId="2E5053CB">
            <w:pPr>
              <w:pStyle w:val="13"/>
            </w:pPr>
            <w:r>
              <w:t>≥468人</w:t>
            </w:r>
          </w:p>
        </w:tc>
        <w:tc>
          <w:tcPr>
            <w:tcW w:w="1276" w:type="dxa"/>
            <w:vAlign w:val="center"/>
          </w:tcPr>
          <w:p w14:paraId="323D85E7">
            <w:pPr>
              <w:pStyle w:val="13"/>
            </w:pPr>
            <w:r>
              <w:t>城乡义务教育公用经费管理办法</w:t>
            </w:r>
          </w:p>
        </w:tc>
      </w:tr>
      <w:tr w14:paraId="250AB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D0DD"/>
        </w:tc>
        <w:tc>
          <w:tcPr>
            <w:tcW w:w="2268" w:type="dxa"/>
            <w:vAlign w:val="center"/>
          </w:tcPr>
          <w:p w14:paraId="0E737F25">
            <w:pPr>
              <w:pStyle w:val="13"/>
            </w:pPr>
            <w:r>
              <w:t>时效指标</w:t>
            </w:r>
          </w:p>
        </w:tc>
        <w:tc>
          <w:tcPr>
            <w:tcW w:w="2835" w:type="dxa"/>
            <w:vAlign w:val="center"/>
          </w:tcPr>
          <w:p w14:paraId="325E47A1">
            <w:pPr>
              <w:pStyle w:val="13"/>
            </w:pPr>
            <w:r>
              <w:t>预算执行率</w:t>
            </w:r>
          </w:p>
        </w:tc>
        <w:tc>
          <w:tcPr>
            <w:tcW w:w="5386" w:type="dxa"/>
            <w:vAlign w:val="center"/>
          </w:tcPr>
          <w:p w14:paraId="3227DF70">
            <w:pPr>
              <w:pStyle w:val="13"/>
            </w:pPr>
            <w:r>
              <w:t>预算执行率≥98%</w:t>
            </w:r>
          </w:p>
        </w:tc>
        <w:tc>
          <w:tcPr>
            <w:tcW w:w="2268" w:type="dxa"/>
            <w:vAlign w:val="center"/>
          </w:tcPr>
          <w:p w14:paraId="604FB75C">
            <w:pPr>
              <w:pStyle w:val="13"/>
            </w:pPr>
            <w:r>
              <w:t>≥98%</w:t>
            </w:r>
          </w:p>
        </w:tc>
        <w:tc>
          <w:tcPr>
            <w:tcW w:w="1276" w:type="dxa"/>
            <w:vAlign w:val="center"/>
          </w:tcPr>
          <w:p w14:paraId="403FCBBA">
            <w:pPr>
              <w:pStyle w:val="13"/>
            </w:pPr>
            <w:r>
              <w:t>城乡义务教育公用经费管理办法</w:t>
            </w:r>
          </w:p>
        </w:tc>
      </w:tr>
      <w:tr w14:paraId="47C03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182E7"/>
        </w:tc>
        <w:tc>
          <w:tcPr>
            <w:tcW w:w="2268" w:type="dxa"/>
            <w:vAlign w:val="center"/>
          </w:tcPr>
          <w:p w14:paraId="639921A0">
            <w:pPr>
              <w:pStyle w:val="13"/>
            </w:pPr>
            <w:r>
              <w:t>成本指标</w:t>
            </w:r>
          </w:p>
        </w:tc>
        <w:tc>
          <w:tcPr>
            <w:tcW w:w="2835" w:type="dxa"/>
            <w:vAlign w:val="center"/>
          </w:tcPr>
          <w:p w14:paraId="79929A1B">
            <w:pPr>
              <w:pStyle w:val="13"/>
            </w:pPr>
            <w:r>
              <w:t>义教经费支付完成率</w:t>
            </w:r>
          </w:p>
        </w:tc>
        <w:tc>
          <w:tcPr>
            <w:tcW w:w="5386" w:type="dxa"/>
            <w:vAlign w:val="center"/>
          </w:tcPr>
          <w:p w14:paraId="6DF8B91E">
            <w:pPr>
              <w:pStyle w:val="13"/>
            </w:pPr>
            <w:r>
              <w:t>按照序时进度完成资金支付</w:t>
            </w:r>
          </w:p>
        </w:tc>
        <w:tc>
          <w:tcPr>
            <w:tcW w:w="2268" w:type="dxa"/>
            <w:vAlign w:val="center"/>
          </w:tcPr>
          <w:p w14:paraId="2F2AE4DE">
            <w:pPr>
              <w:pStyle w:val="13"/>
            </w:pPr>
            <w:r>
              <w:t>≥100%</w:t>
            </w:r>
          </w:p>
        </w:tc>
        <w:tc>
          <w:tcPr>
            <w:tcW w:w="1276" w:type="dxa"/>
            <w:vAlign w:val="center"/>
          </w:tcPr>
          <w:p w14:paraId="1BED243A">
            <w:pPr>
              <w:pStyle w:val="13"/>
            </w:pPr>
            <w:r>
              <w:t>城乡义务教育公用经费管理办法</w:t>
            </w:r>
          </w:p>
        </w:tc>
      </w:tr>
      <w:tr w14:paraId="08CDF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22A405">
            <w:pPr>
              <w:pStyle w:val="12"/>
            </w:pPr>
            <w:r>
              <w:t>效益指标</w:t>
            </w:r>
          </w:p>
        </w:tc>
        <w:tc>
          <w:tcPr>
            <w:tcW w:w="2268" w:type="dxa"/>
            <w:vAlign w:val="center"/>
          </w:tcPr>
          <w:p w14:paraId="4C4840C2">
            <w:pPr>
              <w:pStyle w:val="13"/>
            </w:pPr>
            <w:r>
              <w:t>社会效益指标</w:t>
            </w:r>
          </w:p>
        </w:tc>
        <w:tc>
          <w:tcPr>
            <w:tcW w:w="2835" w:type="dxa"/>
            <w:vAlign w:val="center"/>
          </w:tcPr>
          <w:p w14:paraId="6E67E37E">
            <w:pPr>
              <w:pStyle w:val="13"/>
            </w:pPr>
            <w:r>
              <w:t>学校运转得到提高</w:t>
            </w:r>
          </w:p>
        </w:tc>
        <w:tc>
          <w:tcPr>
            <w:tcW w:w="5386" w:type="dxa"/>
            <w:vAlign w:val="center"/>
          </w:tcPr>
          <w:p w14:paraId="7CD530A6">
            <w:pPr>
              <w:pStyle w:val="13"/>
            </w:pPr>
            <w:r>
              <w:t>学生受教育年限</w:t>
            </w:r>
          </w:p>
        </w:tc>
        <w:tc>
          <w:tcPr>
            <w:tcW w:w="2268" w:type="dxa"/>
            <w:vAlign w:val="center"/>
          </w:tcPr>
          <w:p w14:paraId="6466DFDD">
            <w:pPr>
              <w:pStyle w:val="13"/>
            </w:pPr>
            <w:r>
              <w:t>6年</w:t>
            </w:r>
          </w:p>
        </w:tc>
        <w:tc>
          <w:tcPr>
            <w:tcW w:w="1276" w:type="dxa"/>
            <w:vAlign w:val="center"/>
          </w:tcPr>
          <w:p w14:paraId="00BED923">
            <w:pPr>
              <w:pStyle w:val="13"/>
            </w:pPr>
            <w:r>
              <w:t>城乡义务教育公用经费管理办法</w:t>
            </w:r>
          </w:p>
        </w:tc>
      </w:tr>
      <w:tr w14:paraId="54B35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6461BD">
            <w:pPr>
              <w:pStyle w:val="12"/>
            </w:pPr>
            <w:r>
              <w:t>满意度指标</w:t>
            </w:r>
          </w:p>
        </w:tc>
        <w:tc>
          <w:tcPr>
            <w:tcW w:w="2268" w:type="dxa"/>
            <w:vAlign w:val="center"/>
          </w:tcPr>
          <w:p w14:paraId="6C5DED9E">
            <w:pPr>
              <w:pStyle w:val="13"/>
            </w:pPr>
            <w:r>
              <w:t>服务对象满意度指标</w:t>
            </w:r>
          </w:p>
        </w:tc>
        <w:tc>
          <w:tcPr>
            <w:tcW w:w="2835" w:type="dxa"/>
            <w:vAlign w:val="center"/>
          </w:tcPr>
          <w:p w14:paraId="20381633">
            <w:pPr>
              <w:pStyle w:val="13"/>
            </w:pPr>
            <w:r>
              <w:t>服务对象满意度</w:t>
            </w:r>
          </w:p>
        </w:tc>
        <w:tc>
          <w:tcPr>
            <w:tcW w:w="5386" w:type="dxa"/>
            <w:vAlign w:val="center"/>
          </w:tcPr>
          <w:p w14:paraId="261D1659">
            <w:pPr>
              <w:pStyle w:val="13"/>
            </w:pPr>
            <w:r>
              <w:t>学校老师和学生满意度</w:t>
            </w:r>
          </w:p>
        </w:tc>
        <w:tc>
          <w:tcPr>
            <w:tcW w:w="2268" w:type="dxa"/>
            <w:vAlign w:val="center"/>
          </w:tcPr>
          <w:p w14:paraId="40049C02">
            <w:pPr>
              <w:pStyle w:val="13"/>
            </w:pPr>
            <w:r>
              <w:t>≥95%</w:t>
            </w:r>
          </w:p>
        </w:tc>
        <w:tc>
          <w:tcPr>
            <w:tcW w:w="1276" w:type="dxa"/>
            <w:vAlign w:val="center"/>
          </w:tcPr>
          <w:p w14:paraId="133114B2">
            <w:pPr>
              <w:pStyle w:val="13"/>
            </w:pPr>
            <w:r>
              <w:t>问卷调查</w:t>
            </w:r>
          </w:p>
        </w:tc>
      </w:tr>
    </w:tbl>
    <w:p w14:paraId="0821BAA2">
      <w:pPr>
        <w:sectPr>
          <w:pgSz w:w="16840" w:h="11900" w:orient="landscape"/>
          <w:pgMar w:top="1361" w:right="1020" w:bottom="1134" w:left="1020" w:header="720" w:footer="720" w:gutter="0"/>
          <w:cols w:space="720" w:num="1"/>
        </w:sectPr>
      </w:pPr>
    </w:p>
    <w:p w14:paraId="20AB64D4">
      <w:pPr>
        <w:spacing w:before="0" w:after="0"/>
        <w:ind w:firstLine="560"/>
        <w:jc w:val="left"/>
        <w:outlineLvl w:val="9"/>
      </w:pPr>
      <w:r>
        <w:rPr>
          <w:rFonts w:ascii="方正仿宋_GBK" w:hAnsi="方正仿宋_GBK" w:eastAsia="方正仿宋_GBK" w:cs="方正仿宋_GBK"/>
          <w:b/>
          <w:color w:val="000000"/>
          <w:sz w:val="28"/>
        </w:rPr>
        <w:t>12、冀财教[2024]141号/省级/2025年义教补助经费/北村小学公用经费绩效目标表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EF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1AC44">
            <w:pPr>
              <w:pStyle w:val="14"/>
            </w:pPr>
            <w:r>
              <w:t>单位：万元</w:t>
            </w:r>
          </w:p>
        </w:tc>
      </w:tr>
      <w:tr w14:paraId="5E9F1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058A8E">
            <w:pPr>
              <w:pStyle w:val="11"/>
            </w:pPr>
            <w:r>
              <w:t>项目编码</w:t>
            </w:r>
          </w:p>
        </w:tc>
        <w:tc>
          <w:tcPr>
            <w:tcW w:w="5103" w:type="dxa"/>
            <w:gridSpan w:val="2"/>
            <w:vAlign w:val="center"/>
          </w:tcPr>
          <w:p w14:paraId="500756F1">
            <w:pPr>
              <w:pStyle w:val="13"/>
            </w:pPr>
            <w:r>
              <w:t>13052525P00000410162P</w:t>
            </w:r>
          </w:p>
        </w:tc>
        <w:tc>
          <w:tcPr>
            <w:tcW w:w="2835" w:type="dxa"/>
            <w:vAlign w:val="center"/>
          </w:tcPr>
          <w:p w14:paraId="7B2B5B1C">
            <w:pPr>
              <w:pStyle w:val="11"/>
            </w:pPr>
            <w:r>
              <w:t>项目名称</w:t>
            </w:r>
          </w:p>
        </w:tc>
        <w:tc>
          <w:tcPr>
            <w:tcW w:w="6095" w:type="dxa"/>
            <w:gridSpan w:val="3"/>
            <w:vAlign w:val="center"/>
          </w:tcPr>
          <w:p w14:paraId="3AFAB183">
            <w:pPr>
              <w:pStyle w:val="13"/>
            </w:pPr>
            <w:r>
              <w:t>冀财教[2024]141号/省级/2025年义教补助经费/北村小学公用经费</w:t>
            </w:r>
          </w:p>
        </w:tc>
      </w:tr>
      <w:tr w14:paraId="7EF3C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7ED78">
            <w:pPr>
              <w:pStyle w:val="11"/>
            </w:pPr>
            <w:r>
              <w:t>预算规模及资金用途</w:t>
            </w:r>
          </w:p>
        </w:tc>
        <w:tc>
          <w:tcPr>
            <w:tcW w:w="2268" w:type="dxa"/>
            <w:vAlign w:val="center"/>
          </w:tcPr>
          <w:p w14:paraId="49C722FA">
            <w:pPr>
              <w:pStyle w:val="11"/>
            </w:pPr>
            <w:r>
              <w:t>预算数</w:t>
            </w:r>
          </w:p>
        </w:tc>
        <w:tc>
          <w:tcPr>
            <w:tcW w:w="2835" w:type="dxa"/>
            <w:vAlign w:val="center"/>
          </w:tcPr>
          <w:p w14:paraId="0F730A40">
            <w:pPr>
              <w:pStyle w:val="13"/>
            </w:pPr>
            <w:r>
              <w:t>9.27</w:t>
            </w:r>
          </w:p>
        </w:tc>
        <w:tc>
          <w:tcPr>
            <w:tcW w:w="2835" w:type="dxa"/>
            <w:vAlign w:val="center"/>
          </w:tcPr>
          <w:p w14:paraId="720EC384">
            <w:pPr>
              <w:pStyle w:val="11"/>
            </w:pPr>
            <w:r>
              <w:t>其中：财政    资金</w:t>
            </w:r>
          </w:p>
        </w:tc>
        <w:tc>
          <w:tcPr>
            <w:tcW w:w="2551" w:type="dxa"/>
            <w:vAlign w:val="center"/>
          </w:tcPr>
          <w:p w14:paraId="633E5596">
            <w:pPr>
              <w:pStyle w:val="13"/>
            </w:pPr>
            <w:r>
              <w:t>9.27</w:t>
            </w:r>
          </w:p>
        </w:tc>
        <w:tc>
          <w:tcPr>
            <w:tcW w:w="2268" w:type="dxa"/>
            <w:vAlign w:val="center"/>
          </w:tcPr>
          <w:p w14:paraId="23553B4F">
            <w:pPr>
              <w:pStyle w:val="11"/>
            </w:pPr>
            <w:r>
              <w:t>其他资金</w:t>
            </w:r>
          </w:p>
        </w:tc>
        <w:tc>
          <w:tcPr>
            <w:tcW w:w="1276" w:type="dxa"/>
            <w:vAlign w:val="center"/>
          </w:tcPr>
          <w:p w14:paraId="7361603E">
            <w:pPr>
              <w:pStyle w:val="13"/>
            </w:pPr>
            <w:r>
              <w:t xml:space="preserve"> </w:t>
            </w:r>
          </w:p>
        </w:tc>
      </w:tr>
      <w:tr w14:paraId="009A6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B1830"/>
        </w:tc>
        <w:tc>
          <w:tcPr>
            <w:tcW w:w="14033" w:type="dxa"/>
            <w:gridSpan w:val="6"/>
            <w:vAlign w:val="center"/>
          </w:tcPr>
          <w:p w14:paraId="514439D5">
            <w:pPr>
              <w:pStyle w:val="13"/>
            </w:pPr>
            <w:r>
              <w:t>用于有效完成学校教学安全秩序，保障学校教学任务有效开展，满足学校正常教学需要。</w:t>
            </w:r>
          </w:p>
        </w:tc>
      </w:tr>
      <w:tr w14:paraId="7CD9F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236D2">
            <w:pPr>
              <w:pStyle w:val="11"/>
            </w:pPr>
            <w:r>
              <w:t>资金支出计划（%）</w:t>
            </w:r>
          </w:p>
        </w:tc>
        <w:tc>
          <w:tcPr>
            <w:tcW w:w="5103" w:type="dxa"/>
            <w:gridSpan w:val="2"/>
            <w:vAlign w:val="center"/>
          </w:tcPr>
          <w:p w14:paraId="50217F84">
            <w:pPr>
              <w:pStyle w:val="11"/>
            </w:pPr>
            <w:r>
              <w:t>3月底</w:t>
            </w:r>
          </w:p>
        </w:tc>
        <w:tc>
          <w:tcPr>
            <w:tcW w:w="2835" w:type="dxa"/>
            <w:vAlign w:val="center"/>
          </w:tcPr>
          <w:p w14:paraId="29EEB7B6">
            <w:pPr>
              <w:pStyle w:val="11"/>
            </w:pPr>
            <w:r>
              <w:t>6月底</w:t>
            </w:r>
          </w:p>
        </w:tc>
        <w:tc>
          <w:tcPr>
            <w:tcW w:w="2551" w:type="dxa"/>
            <w:vAlign w:val="center"/>
          </w:tcPr>
          <w:p w14:paraId="6C17FD82">
            <w:pPr>
              <w:pStyle w:val="11"/>
            </w:pPr>
            <w:r>
              <w:t>10月底</w:t>
            </w:r>
          </w:p>
        </w:tc>
        <w:tc>
          <w:tcPr>
            <w:tcW w:w="3544" w:type="dxa"/>
            <w:gridSpan w:val="2"/>
            <w:vAlign w:val="center"/>
          </w:tcPr>
          <w:p w14:paraId="7BFDC8D6">
            <w:pPr>
              <w:pStyle w:val="11"/>
            </w:pPr>
            <w:r>
              <w:t>12月底</w:t>
            </w:r>
          </w:p>
        </w:tc>
      </w:tr>
      <w:tr w14:paraId="3BD45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1E90A"/>
        </w:tc>
        <w:tc>
          <w:tcPr>
            <w:tcW w:w="5103" w:type="dxa"/>
            <w:gridSpan w:val="2"/>
            <w:vAlign w:val="center"/>
          </w:tcPr>
          <w:p w14:paraId="6834D959">
            <w:pPr>
              <w:pStyle w:val="12"/>
            </w:pPr>
            <w:r>
              <w:t>25%</w:t>
            </w:r>
          </w:p>
        </w:tc>
        <w:tc>
          <w:tcPr>
            <w:tcW w:w="2835" w:type="dxa"/>
            <w:vAlign w:val="center"/>
          </w:tcPr>
          <w:p w14:paraId="004CD8B8">
            <w:pPr>
              <w:pStyle w:val="12"/>
            </w:pPr>
            <w:r>
              <w:t>50%</w:t>
            </w:r>
          </w:p>
        </w:tc>
        <w:tc>
          <w:tcPr>
            <w:tcW w:w="2551" w:type="dxa"/>
            <w:vAlign w:val="center"/>
          </w:tcPr>
          <w:p w14:paraId="0346AE98">
            <w:pPr>
              <w:pStyle w:val="12"/>
            </w:pPr>
            <w:r>
              <w:t>75%</w:t>
            </w:r>
          </w:p>
        </w:tc>
        <w:tc>
          <w:tcPr>
            <w:tcW w:w="3544" w:type="dxa"/>
            <w:gridSpan w:val="2"/>
            <w:vAlign w:val="center"/>
          </w:tcPr>
          <w:p w14:paraId="3788B0EB">
            <w:pPr>
              <w:pStyle w:val="12"/>
            </w:pPr>
            <w:r>
              <w:t>100%</w:t>
            </w:r>
          </w:p>
        </w:tc>
      </w:tr>
      <w:tr w14:paraId="7E40D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8D8FC">
            <w:pPr>
              <w:pStyle w:val="11"/>
            </w:pPr>
            <w:r>
              <w:t>绩效目标</w:t>
            </w:r>
          </w:p>
        </w:tc>
        <w:tc>
          <w:tcPr>
            <w:tcW w:w="14033" w:type="dxa"/>
            <w:gridSpan w:val="6"/>
            <w:vAlign w:val="center"/>
          </w:tcPr>
          <w:p w14:paraId="6F0AED0C">
            <w:pPr>
              <w:pStyle w:val="13"/>
            </w:pPr>
            <w:r>
              <w:t>1.按规定拨付公用经费资金，预算执行率≥98%。</w:t>
            </w:r>
          </w:p>
          <w:p w14:paraId="3FF7961E">
            <w:pPr>
              <w:pStyle w:val="13"/>
            </w:pPr>
            <w:r>
              <w:t>2.有效完成学校教学安全秩序，保障学校教学任务有效开展，满足学校正常教学需要。</w:t>
            </w:r>
          </w:p>
        </w:tc>
      </w:tr>
    </w:tbl>
    <w:p w14:paraId="31A711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48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ED703">
            <w:pPr>
              <w:pStyle w:val="11"/>
            </w:pPr>
            <w:r>
              <w:t>一级指标</w:t>
            </w:r>
          </w:p>
        </w:tc>
        <w:tc>
          <w:tcPr>
            <w:tcW w:w="2268" w:type="dxa"/>
            <w:vAlign w:val="center"/>
          </w:tcPr>
          <w:p w14:paraId="0C9C7CD1">
            <w:pPr>
              <w:pStyle w:val="11"/>
            </w:pPr>
            <w:r>
              <w:t>二级指标</w:t>
            </w:r>
          </w:p>
        </w:tc>
        <w:tc>
          <w:tcPr>
            <w:tcW w:w="2835" w:type="dxa"/>
            <w:vAlign w:val="center"/>
          </w:tcPr>
          <w:p w14:paraId="5CD135A1">
            <w:pPr>
              <w:pStyle w:val="11"/>
            </w:pPr>
            <w:r>
              <w:t>三级指标</w:t>
            </w:r>
          </w:p>
        </w:tc>
        <w:tc>
          <w:tcPr>
            <w:tcW w:w="5386" w:type="dxa"/>
            <w:vAlign w:val="center"/>
          </w:tcPr>
          <w:p w14:paraId="7CD1446F">
            <w:pPr>
              <w:pStyle w:val="11"/>
            </w:pPr>
            <w:r>
              <w:t>绩效指标描述</w:t>
            </w:r>
          </w:p>
        </w:tc>
        <w:tc>
          <w:tcPr>
            <w:tcW w:w="2268" w:type="dxa"/>
            <w:vAlign w:val="center"/>
          </w:tcPr>
          <w:p w14:paraId="1AEF4530">
            <w:pPr>
              <w:pStyle w:val="11"/>
            </w:pPr>
            <w:r>
              <w:t>指标值</w:t>
            </w:r>
          </w:p>
        </w:tc>
        <w:tc>
          <w:tcPr>
            <w:tcW w:w="1276" w:type="dxa"/>
            <w:vAlign w:val="center"/>
          </w:tcPr>
          <w:p w14:paraId="7862FA2F">
            <w:pPr>
              <w:pStyle w:val="11"/>
            </w:pPr>
            <w:r>
              <w:t>指标值确定依据</w:t>
            </w:r>
          </w:p>
        </w:tc>
      </w:tr>
      <w:tr w14:paraId="6B881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C95A9">
            <w:pPr>
              <w:pStyle w:val="12"/>
            </w:pPr>
            <w:r>
              <w:t>产出指标</w:t>
            </w:r>
          </w:p>
        </w:tc>
        <w:tc>
          <w:tcPr>
            <w:tcW w:w="2268" w:type="dxa"/>
            <w:vAlign w:val="center"/>
          </w:tcPr>
          <w:p w14:paraId="0F6F888A">
            <w:pPr>
              <w:pStyle w:val="13"/>
            </w:pPr>
            <w:r>
              <w:t>数量指标</w:t>
            </w:r>
          </w:p>
        </w:tc>
        <w:tc>
          <w:tcPr>
            <w:tcW w:w="2835" w:type="dxa"/>
            <w:vAlign w:val="center"/>
          </w:tcPr>
          <w:p w14:paraId="49AAAF0D">
            <w:pPr>
              <w:pStyle w:val="13"/>
            </w:pPr>
            <w:r>
              <w:t>生均拨款标准</w:t>
            </w:r>
          </w:p>
        </w:tc>
        <w:tc>
          <w:tcPr>
            <w:tcW w:w="5386" w:type="dxa"/>
            <w:vAlign w:val="center"/>
          </w:tcPr>
          <w:p w14:paraId="6E7766BA">
            <w:pPr>
              <w:pStyle w:val="13"/>
            </w:pPr>
            <w:r>
              <w:t>小学生公用经费生均小学720元。取暖费140元/生/年，随班就读学生补助6000元/生</w:t>
            </w:r>
          </w:p>
        </w:tc>
        <w:tc>
          <w:tcPr>
            <w:tcW w:w="2268" w:type="dxa"/>
            <w:vAlign w:val="center"/>
          </w:tcPr>
          <w:p w14:paraId="7CE3F3E6">
            <w:pPr>
              <w:pStyle w:val="13"/>
            </w:pPr>
            <w:r>
              <w:t>840元</w:t>
            </w:r>
          </w:p>
        </w:tc>
        <w:tc>
          <w:tcPr>
            <w:tcW w:w="1276" w:type="dxa"/>
            <w:vAlign w:val="center"/>
          </w:tcPr>
          <w:p w14:paraId="54A7E532">
            <w:pPr>
              <w:pStyle w:val="13"/>
            </w:pPr>
            <w:r>
              <w:t>城乡义务教育公用经费管理办法</w:t>
            </w:r>
          </w:p>
        </w:tc>
      </w:tr>
      <w:tr w14:paraId="1E199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1DD6E"/>
        </w:tc>
        <w:tc>
          <w:tcPr>
            <w:tcW w:w="2268" w:type="dxa"/>
            <w:vAlign w:val="center"/>
          </w:tcPr>
          <w:p w14:paraId="0E409064">
            <w:pPr>
              <w:pStyle w:val="13"/>
            </w:pPr>
            <w:r>
              <w:t>质量指标</w:t>
            </w:r>
          </w:p>
        </w:tc>
        <w:tc>
          <w:tcPr>
            <w:tcW w:w="2835" w:type="dxa"/>
            <w:vAlign w:val="center"/>
          </w:tcPr>
          <w:p w14:paraId="502A896D">
            <w:pPr>
              <w:pStyle w:val="13"/>
            </w:pPr>
            <w:r>
              <w:t>就读学生数</w:t>
            </w:r>
          </w:p>
        </w:tc>
        <w:tc>
          <w:tcPr>
            <w:tcW w:w="5386" w:type="dxa"/>
            <w:vAlign w:val="center"/>
          </w:tcPr>
          <w:p w14:paraId="7B882B95">
            <w:pPr>
              <w:pStyle w:val="13"/>
            </w:pPr>
            <w:r>
              <w:t>辐射区域内适龄学生人数</w:t>
            </w:r>
          </w:p>
        </w:tc>
        <w:tc>
          <w:tcPr>
            <w:tcW w:w="2268" w:type="dxa"/>
            <w:vAlign w:val="center"/>
          </w:tcPr>
          <w:p w14:paraId="25D60DD2">
            <w:pPr>
              <w:pStyle w:val="13"/>
            </w:pPr>
            <w:r>
              <w:t>≥345人</w:t>
            </w:r>
          </w:p>
        </w:tc>
        <w:tc>
          <w:tcPr>
            <w:tcW w:w="1276" w:type="dxa"/>
            <w:vAlign w:val="center"/>
          </w:tcPr>
          <w:p w14:paraId="191A8E21">
            <w:pPr>
              <w:pStyle w:val="13"/>
            </w:pPr>
            <w:r>
              <w:t>城乡义务教育公用经费管理办法</w:t>
            </w:r>
          </w:p>
        </w:tc>
      </w:tr>
      <w:tr w14:paraId="361D5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52DAA"/>
        </w:tc>
        <w:tc>
          <w:tcPr>
            <w:tcW w:w="2268" w:type="dxa"/>
            <w:vAlign w:val="center"/>
          </w:tcPr>
          <w:p w14:paraId="16B3E8C8">
            <w:pPr>
              <w:pStyle w:val="13"/>
            </w:pPr>
            <w:r>
              <w:t>时效指标</w:t>
            </w:r>
          </w:p>
        </w:tc>
        <w:tc>
          <w:tcPr>
            <w:tcW w:w="2835" w:type="dxa"/>
            <w:vAlign w:val="center"/>
          </w:tcPr>
          <w:p w14:paraId="50DE110A">
            <w:pPr>
              <w:pStyle w:val="13"/>
            </w:pPr>
            <w:r>
              <w:t>预算执行率</w:t>
            </w:r>
          </w:p>
        </w:tc>
        <w:tc>
          <w:tcPr>
            <w:tcW w:w="5386" w:type="dxa"/>
            <w:vAlign w:val="center"/>
          </w:tcPr>
          <w:p w14:paraId="5DD56CE3">
            <w:pPr>
              <w:pStyle w:val="13"/>
            </w:pPr>
            <w:r>
              <w:t>预算执行率≥98%</w:t>
            </w:r>
          </w:p>
        </w:tc>
        <w:tc>
          <w:tcPr>
            <w:tcW w:w="2268" w:type="dxa"/>
            <w:vAlign w:val="center"/>
          </w:tcPr>
          <w:p w14:paraId="47AB7755">
            <w:pPr>
              <w:pStyle w:val="13"/>
            </w:pPr>
            <w:r>
              <w:t>≥98%</w:t>
            </w:r>
          </w:p>
        </w:tc>
        <w:tc>
          <w:tcPr>
            <w:tcW w:w="1276" w:type="dxa"/>
            <w:vAlign w:val="center"/>
          </w:tcPr>
          <w:p w14:paraId="4A48D738">
            <w:pPr>
              <w:pStyle w:val="13"/>
            </w:pPr>
            <w:r>
              <w:t>城乡义务教育公用经费管理办法</w:t>
            </w:r>
          </w:p>
        </w:tc>
      </w:tr>
      <w:tr w14:paraId="4DEB2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5A423"/>
        </w:tc>
        <w:tc>
          <w:tcPr>
            <w:tcW w:w="2268" w:type="dxa"/>
            <w:vAlign w:val="center"/>
          </w:tcPr>
          <w:p w14:paraId="531BFF1C">
            <w:pPr>
              <w:pStyle w:val="13"/>
            </w:pPr>
            <w:r>
              <w:t>成本指标</w:t>
            </w:r>
          </w:p>
        </w:tc>
        <w:tc>
          <w:tcPr>
            <w:tcW w:w="2835" w:type="dxa"/>
            <w:vAlign w:val="center"/>
          </w:tcPr>
          <w:p w14:paraId="044431E3">
            <w:pPr>
              <w:pStyle w:val="13"/>
            </w:pPr>
            <w:r>
              <w:t>义教经费支付完成率</w:t>
            </w:r>
          </w:p>
        </w:tc>
        <w:tc>
          <w:tcPr>
            <w:tcW w:w="5386" w:type="dxa"/>
            <w:vAlign w:val="center"/>
          </w:tcPr>
          <w:p w14:paraId="6A78DCF9">
            <w:pPr>
              <w:pStyle w:val="13"/>
            </w:pPr>
            <w:r>
              <w:t>按照序时进度完成资金支付</w:t>
            </w:r>
          </w:p>
        </w:tc>
        <w:tc>
          <w:tcPr>
            <w:tcW w:w="2268" w:type="dxa"/>
            <w:vAlign w:val="center"/>
          </w:tcPr>
          <w:p w14:paraId="2E4B9BDA">
            <w:pPr>
              <w:pStyle w:val="13"/>
            </w:pPr>
            <w:r>
              <w:t>100%</w:t>
            </w:r>
          </w:p>
        </w:tc>
        <w:tc>
          <w:tcPr>
            <w:tcW w:w="1276" w:type="dxa"/>
            <w:vAlign w:val="center"/>
          </w:tcPr>
          <w:p w14:paraId="68FABD4D">
            <w:pPr>
              <w:pStyle w:val="13"/>
            </w:pPr>
            <w:r>
              <w:t>城乡义务教育公用经费管理办法</w:t>
            </w:r>
          </w:p>
        </w:tc>
      </w:tr>
      <w:tr w14:paraId="4E43B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FF1C89">
            <w:pPr>
              <w:pStyle w:val="12"/>
            </w:pPr>
            <w:r>
              <w:t>效益指标</w:t>
            </w:r>
          </w:p>
        </w:tc>
        <w:tc>
          <w:tcPr>
            <w:tcW w:w="2268" w:type="dxa"/>
            <w:vAlign w:val="center"/>
          </w:tcPr>
          <w:p w14:paraId="3B55CC41">
            <w:pPr>
              <w:pStyle w:val="13"/>
            </w:pPr>
            <w:r>
              <w:t>可持续影响指标</w:t>
            </w:r>
          </w:p>
        </w:tc>
        <w:tc>
          <w:tcPr>
            <w:tcW w:w="2835" w:type="dxa"/>
            <w:vAlign w:val="center"/>
          </w:tcPr>
          <w:p w14:paraId="1500474E">
            <w:pPr>
              <w:pStyle w:val="13"/>
            </w:pPr>
            <w:r>
              <w:t>学校运转得到提高</w:t>
            </w:r>
          </w:p>
        </w:tc>
        <w:tc>
          <w:tcPr>
            <w:tcW w:w="5386" w:type="dxa"/>
            <w:vAlign w:val="center"/>
          </w:tcPr>
          <w:p w14:paraId="4FEE755A">
            <w:pPr>
              <w:pStyle w:val="13"/>
            </w:pPr>
            <w:r>
              <w:t>学生受教育年限</w:t>
            </w:r>
          </w:p>
        </w:tc>
        <w:tc>
          <w:tcPr>
            <w:tcW w:w="2268" w:type="dxa"/>
            <w:vAlign w:val="center"/>
          </w:tcPr>
          <w:p w14:paraId="704419DF">
            <w:pPr>
              <w:pStyle w:val="13"/>
            </w:pPr>
            <w:r>
              <w:t>6年</w:t>
            </w:r>
          </w:p>
        </w:tc>
        <w:tc>
          <w:tcPr>
            <w:tcW w:w="1276" w:type="dxa"/>
            <w:vAlign w:val="center"/>
          </w:tcPr>
          <w:p w14:paraId="4D9C4BA0">
            <w:pPr>
              <w:pStyle w:val="13"/>
            </w:pPr>
            <w:r>
              <w:t>城乡义务教育公用经费管理办法</w:t>
            </w:r>
          </w:p>
        </w:tc>
      </w:tr>
      <w:tr w14:paraId="12E79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EF8C08">
            <w:pPr>
              <w:pStyle w:val="12"/>
            </w:pPr>
            <w:r>
              <w:t>满意度指标</w:t>
            </w:r>
          </w:p>
        </w:tc>
        <w:tc>
          <w:tcPr>
            <w:tcW w:w="2268" w:type="dxa"/>
            <w:vAlign w:val="center"/>
          </w:tcPr>
          <w:p w14:paraId="52DB1034">
            <w:pPr>
              <w:pStyle w:val="13"/>
            </w:pPr>
            <w:r>
              <w:t>服务对象满意度指标</w:t>
            </w:r>
          </w:p>
        </w:tc>
        <w:tc>
          <w:tcPr>
            <w:tcW w:w="2835" w:type="dxa"/>
            <w:vAlign w:val="center"/>
          </w:tcPr>
          <w:p w14:paraId="5E39882C">
            <w:pPr>
              <w:pStyle w:val="13"/>
            </w:pPr>
            <w:r>
              <w:t>服务对象满意度</w:t>
            </w:r>
          </w:p>
        </w:tc>
        <w:tc>
          <w:tcPr>
            <w:tcW w:w="5386" w:type="dxa"/>
            <w:vAlign w:val="center"/>
          </w:tcPr>
          <w:p w14:paraId="10ECB23F">
            <w:pPr>
              <w:pStyle w:val="13"/>
            </w:pPr>
            <w:r>
              <w:t>学校老师和学生满意度</w:t>
            </w:r>
          </w:p>
        </w:tc>
        <w:tc>
          <w:tcPr>
            <w:tcW w:w="2268" w:type="dxa"/>
            <w:vAlign w:val="center"/>
          </w:tcPr>
          <w:p w14:paraId="4757B808">
            <w:pPr>
              <w:pStyle w:val="13"/>
            </w:pPr>
            <w:r>
              <w:t>≥95%</w:t>
            </w:r>
          </w:p>
        </w:tc>
        <w:tc>
          <w:tcPr>
            <w:tcW w:w="1276" w:type="dxa"/>
            <w:vAlign w:val="center"/>
          </w:tcPr>
          <w:p w14:paraId="0FA452B7">
            <w:pPr>
              <w:pStyle w:val="13"/>
            </w:pPr>
            <w:r>
              <w:t>问卷调查</w:t>
            </w:r>
          </w:p>
        </w:tc>
      </w:tr>
    </w:tbl>
    <w:p w14:paraId="4A8F98EF">
      <w:pPr>
        <w:sectPr>
          <w:pgSz w:w="16840" w:h="11900" w:orient="landscape"/>
          <w:pgMar w:top="1361" w:right="1020" w:bottom="1134" w:left="1020" w:header="720" w:footer="720" w:gutter="0"/>
          <w:cols w:space="720" w:num="1"/>
        </w:sectPr>
      </w:pPr>
    </w:p>
    <w:p w14:paraId="704067C0">
      <w:pPr>
        <w:spacing w:before="0" w:after="0"/>
        <w:ind w:firstLine="560"/>
        <w:jc w:val="left"/>
        <w:outlineLvl w:val="9"/>
      </w:pPr>
      <w:r>
        <w:rPr>
          <w:rFonts w:ascii="方正仿宋_GBK" w:hAnsi="方正仿宋_GBK" w:eastAsia="方正仿宋_GBK" w:cs="方正仿宋_GBK"/>
          <w:b/>
          <w:color w:val="000000"/>
          <w:sz w:val="28"/>
        </w:rPr>
        <w:t>13、冀财教[2024]141号/省级/2025年义教补助经费/大崔庄小学公用经费绩效目标表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EC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24793">
            <w:pPr>
              <w:pStyle w:val="14"/>
            </w:pPr>
            <w:r>
              <w:t>单位：万元</w:t>
            </w:r>
          </w:p>
        </w:tc>
      </w:tr>
      <w:tr w14:paraId="37C03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57A8DF">
            <w:pPr>
              <w:pStyle w:val="11"/>
            </w:pPr>
            <w:r>
              <w:t>项目编码</w:t>
            </w:r>
          </w:p>
        </w:tc>
        <w:tc>
          <w:tcPr>
            <w:tcW w:w="5103" w:type="dxa"/>
            <w:gridSpan w:val="2"/>
            <w:vAlign w:val="center"/>
          </w:tcPr>
          <w:p w14:paraId="766F5DF2">
            <w:pPr>
              <w:pStyle w:val="13"/>
            </w:pPr>
            <w:r>
              <w:t>13052525P000004101691</w:t>
            </w:r>
          </w:p>
        </w:tc>
        <w:tc>
          <w:tcPr>
            <w:tcW w:w="2835" w:type="dxa"/>
            <w:vAlign w:val="center"/>
          </w:tcPr>
          <w:p w14:paraId="1736EE7A">
            <w:pPr>
              <w:pStyle w:val="11"/>
            </w:pPr>
            <w:r>
              <w:t>项目名称</w:t>
            </w:r>
          </w:p>
        </w:tc>
        <w:tc>
          <w:tcPr>
            <w:tcW w:w="6095" w:type="dxa"/>
            <w:gridSpan w:val="3"/>
            <w:vAlign w:val="center"/>
          </w:tcPr>
          <w:p w14:paraId="3CD0AE3C">
            <w:pPr>
              <w:pStyle w:val="13"/>
            </w:pPr>
            <w:r>
              <w:t>冀财教[2024]141号/省级/2025年义教补助经费/大崔庄小学公用经费</w:t>
            </w:r>
          </w:p>
        </w:tc>
      </w:tr>
      <w:tr w14:paraId="38D2B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820F4">
            <w:pPr>
              <w:pStyle w:val="11"/>
            </w:pPr>
            <w:r>
              <w:t>预算规模及资金用途</w:t>
            </w:r>
          </w:p>
        </w:tc>
        <w:tc>
          <w:tcPr>
            <w:tcW w:w="2268" w:type="dxa"/>
            <w:vAlign w:val="center"/>
          </w:tcPr>
          <w:p w14:paraId="3AD6E1BA">
            <w:pPr>
              <w:pStyle w:val="11"/>
            </w:pPr>
            <w:r>
              <w:t>预算数</w:t>
            </w:r>
          </w:p>
        </w:tc>
        <w:tc>
          <w:tcPr>
            <w:tcW w:w="2835" w:type="dxa"/>
            <w:vAlign w:val="center"/>
          </w:tcPr>
          <w:p w14:paraId="5566EAF1">
            <w:pPr>
              <w:pStyle w:val="13"/>
            </w:pPr>
            <w:r>
              <w:t>5.56</w:t>
            </w:r>
          </w:p>
        </w:tc>
        <w:tc>
          <w:tcPr>
            <w:tcW w:w="2835" w:type="dxa"/>
            <w:vAlign w:val="center"/>
          </w:tcPr>
          <w:p w14:paraId="70D05A3E">
            <w:pPr>
              <w:pStyle w:val="11"/>
            </w:pPr>
            <w:r>
              <w:t>其中：财政    资金</w:t>
            </w:r>
          </w:p>
        </w:tc>
        <w:tc>
          <w:tcPr>
            <w:tcW w:w="2551" w:type="dxa"/>
            <w:vAlign w:val="center"/>
          </w:tcPr>
          <w:p w14:paraId="4F864B78">
            <w:pPr>
              <w:pStyle w:val="13"/>
            </w:pPr>
            <w:r>
              <w:t>5.56</w:t>
            </w:r>
          </w:p>
        </w:tc>
        <w:tc>
          <w:tcPr>
            <w:tcW w:w="2268" w:type="dxa"/>
            <w:vAlign w:val="center"/>
          </w:tcPr>
          <w:p w14:paraId="5BA499DB">
            <w:pPr>
              <w:pStyle w:val="11"/>
            </w:pPr>
            <w:r>
              <w:t>其他资金</w:t>
            </w:r>
          </w:p>
        </w:tc>
        <w:tc>
          <w:tcPr>
            <w:tcW w:w="1276" w:type="dxa"/>
            <w:vAlign w:val="center"/>
          </w:tcPr>
          <w:p w14:paraId="708821A2">
            <w:pPr>
              <w:pStyle w:val="13"/>
            </w:pPr>
            <w:r>
              <w:t xml:space="preserve"> </w:t>
            </w:r>
          </w:p>
        </w:tc>
      </w:tr>
      <w:tr w14:paraId="63299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46A948"/>
        </w:tc>
        <w:tc>
          <w:tcPr>
            <w:tcW w:w="14033" w:type="dxa"/>
            <w:gridSpan w:val="6"/>
            <w:vAlign w:val="center"/>
          </w:tcPr>
          <w:p w14:paraId="78CE96F6">
            <w:pPr>
              <w:pStyle w:val="13"/>
            </w:pPr>
            <w:r>
              <w:t>用于有效完成学校教学安全秩序，保障学校教学任务有效开展，满足学校正常教学需要。</w:t>
            </w:r>
          </w:p>
        </w:tc>
      </w:tr>
      <w:tr w14:paraId="4076FA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0E34B">
            <w:pPr>
              <w:pStyle w:val="11"/>
            </w:pPr>
            <w:r>
              <w:t>资金支出计划（%）</w:t>
            </w:r>
          </w:p>
        </w:tc>
        <w:tc>
          <w:tcPr>
            <w:tcW w:w="5103" w:type="dxa"/>
            <w:gridSpan w:val="2"/>
            <w:vAlign w:val="center"/>
          </w:tcPr>
          <w:p w14:paraId="144EEB38">
            <w:pPr>
              <w:pStyle w:val="11"/>
            </w:pPr>
            <w:r>
              <w:t>3月底</w:t>
            </w:r>
          </w:p>
        </w:tc>
        <w:tc>
          <w:tcPr>
            <w:tcW w:w="2835" w:type="dxa"/>
            <w:vAlign w:val="center"/>
          </w:tcPr>
          <w:p w14:paraId="5A0D56C5">
            <w:pPr>
              <w:pStyle w:val="11"/>
            </w:pPr>
            <w:r>
              <w:t>6月底</w:t>
            </w:r>
          </w:p>
        </w:tc>
        <w:tc>
          <w:tcPr>
            <w:tcW w:w="2551" w:type="dxa"/>
            <w:vAlign w:val="center"/>
          </w:tcPr>
          <w:p w14:paraId="50DD5E11">
            <w:pPr>
              <w:pStyle w:val="11"/>
            </w:pPr>
            <w:r>
              <w:t>10月底</w:t>
            </w:r>
          </w:p>
        </w:tc>
        <w:tc>
          <w:tcPr>
            <w:tcW w:w="3544" w:type="dxa"/>
            <w:gridSpan w:val="2"/>
            <w:vAlign w:val="center"/>
          </w:tcPr>
          <w:p w14:paraId="6A531EF4">
            <w:pPr>
              <w:pStyle w:val="11"/>
            </w:pPr>
            <w:r>
              <w:t>12月底</w:t>
            </w:r>
          </w:p>
        </w:tc>
      </w:tr>
      <w:tr w14:paraId="245C7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5C3472"/>
        </w:tc>
        <w:tc>
          <w:tcPr>
            <w:tcW w:w="5103" w:type="dxa"/>
            <w:gridSpan w:val="2"/>
            <w:vAlign w:val="center"/>
          </w:tcPr>
          <w:p w14:paraId="6DE80E63">
            <w:pPr>
              <w:pStyle w:val="12"/>
            </w:pPr>
            <w:r>
              <w:t>25%</w:t>
            </w:r>
          </w:p>
        </w:tc>
        <w:tc>
          <w:tcPr>
            <w:tcW w:w="2835" w:type="dxa"/>
            <w:vAlign w:val="center"/>
          </w:tcPr>
          <w:p w14:paraId="673900DC">
            <w:pPr>
              <w:pStyle w:val="12"/>
            </w:pPr>
            <w:r>
              <w:t>50%</w:t>
            </w:r>
          </w:p>
        </w:tc>
        <w:tc>
          <w:tcPr>
            <w:tcW w:w="2551" w:type="dxa"/>
            <w:vAlign w:val="center"/>
          </w:tcPr>
          <w:p w14:paraId="5694B710">
            <w:pPr>
              <w:pStyle w:val="12"/>
            </w:pPr>
            <w:r>
              <w:t>75%</w:t>
            </w:r>
          </w:p>
        </w:tc>
        <w:tc>
          <w:tcPr>
            <w:tcW w:w="3544" w:type="dxa"/>
            <w:gridSpan w:val="2"/>
            <w:vAlign w:val="center"/>
          </w:tcPr>
          <w:p w14:paraId="625079C4">
            <w:pPr>
              <w:pStyle w:val="12"/>
            </w:pPr>
            <w:r>
              <w:t>100%</w:t>
            </w:r>
          </w:p>
        </w:tc>
      </w:tr>
      <w:tr w14:paraId="6E1CB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A6323">
            <w:pPr>
              <w:pStyle w:val="11"/>
            </w:pPr>
            <w:r>
              <w:t>绩效目标</w:t>
            </w:r>
          </w:p>
        </w:tc>
        <w:tc>
          <w:tcPr>
            <w:tcW w:w="14033" w:type="dxa"/>
            <w:gridSpan w:val="6"/>
            <w:vAlign w:val="center"/>
          </w:tcPr>
          <w:p w14:paraId="5CA81069">
            <w:pPr>
              <w:pStyle w:val="13"/>
            </w:pPr>
            <w:r>
              <w:t>1.按规定拨付公用经费资金，预算执行率≥98%。</w:t>
            </w:r>
          </w:p>
          <w:p w14:paraId="09E7FAE6">
            <w:pPr>
              <w:pStyle w:val="13"/>
            </w:pPr>
            <w:r>
              <w:t>2.有效完成学校教学安全秩序，保障学校教学任务有效开展，满足学校正常教学需要。</w:t>
            </w:r>
          </w:p>
        </w:tc>
      </w:tr>
    </w:tbl>
    <w:p w14:paraId="67099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D0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1D25E">
            <w:pPr>
              <w:pStyle w:val="11"/>
            </w:pPr>
            <w:r>
              <w:t>一级指标</w:t>
            </w:r>
          </w:p>
        </w:tc>
        <w:tc>
          <w:tcPr>
            <w:tcW w:w="2268" w:type="dxa"/>
            <w:vAlign w:val="center"/>
          </w:tcPr>
          <w:p w14:paraId="51BBD5DE">
            <w:pPr>
              <w:pStyle w:val="11"/>
            </w:pPr>
            <w:r>
              <w:t>二级指标</w:t>
            </w:r>
          </w:p>
        </w:tc>
        <w:tc>
          <w:tcPr>
            <w:tcW w:w="2835" w:type="dxa"/>
            <w:vAlign w:val="center"/>
          </w:tcPr>
          <w:p w14:paraId="2CD9C467">
            <w:pPr>
              <w:pStyle w:val="11"/>
            </w:pPr>
            <w:r>
              <w:t>三级指标</w:t>
            </w:r>
          </w:p>
        </w:tc>
        <w:tc>
          <w:tcPr>
            <w:tcW w:w="5386" w:type="dxa"/>
            <w:vAlign w:val="center"/>
          </w:tcPr>
          <w:p w14:paraId="0FCBAA4E">
            <w:pPr>
              <w:pStyle w:val="11"/>
            </w:pPr>
            <w:r>
              <w:t>绩效指标描述</w:t>
            </w:r>
          </w:p>
        </w:tc>
        <w:tc>
          <w:tcPr>
            <w:tcW w:w="2268" w:type="dxa"/>
            <w:vAlign w:val="center"/>
          </w:tcPr>
          <w:p w14:paraId="432EBEC5">
            <w:pPr>
              <w:pStyle w:val="11"/>
            </w:pPr>
            <w:r>
              <w:t>指标值</w:t>
            </w:r>
          </w:p>
        </w:tc>
        <w:tc>
          <w:tcPr>
            <w:tcW w:w="1276" w:type="dxa"/>
            <w:vAlign w:val="center"/>
          </w:tcPr>
          <w:p w14:paraId="7877912B">
            <w:pPr>
              <w:pStyle w:val="11"/>
            </w:pPr>
            <w:r>
              <w:t>指标值确定依据</w:t>
            </w:r>
          </w:p>
        </w:tc>
      </w:tr>
      <w:tr w14:paraId="757DC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504F1">
            <w:pPr>
              <w:pStyle w:val="12"/>
            </w:pPr>
            <w:r>
              <w:t>产出指标</w:t>
            </w:r>
          </w:p>
        </w:tc>
        <w:tc>
          <w:tcPr>
            <w:tcW w:w="2268" w:type="dxa"/>
            <w:vAlign w:val="center"/>
          </w:tcPr>
          <w:p w14:paraId="29FD96B6">
            <w:pPr>
              <w:pStyle w:val="13"/>
            </w:pPr>
            <w:r>
              <w:t>数量指标</w:t>
            </w:r>
          </w:p>
        </w:tc>
        <w:tc>
          <w:tcPr>
            <w:tcW w:w="2835" w:type="dxa"/>
            <w:vAlign w:val="center"/>
          </w:tcPr>
          <w:p w14:paraId="38742606">
            <w:pPr>
              <w:pStyle w:val="13"/>
            </w:pPr>
            <w:r>
              <w:t>生均拨款标准</w:t>
            </w:r>
          </w:p>
        </w:tc>
        <w:tc>
          <w:tcPr>
            <w:tcW w:w="5386" w:type="dxa"/>
            <w:vAlign w:val="center"/>
          </w:tcPr>
          <w:p w14:paraId="3FA9F5A9">
            <w:pPr>
              <w:pStyle w:val="13"/>
            </w:pPr>
            <w:r>
              <w:t>小学生公用经费生均小学720元。取暖费140元/生/年，随班就读学生补助6000元/生</w:t>
            </w:r>
          </w:p>
        </w:tc>
        <w:tc>
          <w:tcPr>
            <w:tcW w:w="2268" w:type="dxa"/>
            <w:vAlign w:val="center"/>
          </w:tcPr>
          <w:p w14:paraId="5EC1953C">
            <w:pPr>
              <w:pStyle w:val="13"/>
            </w:pPr>
            <w:r>
              <w:t>840元</w:t>
            </w:r>
          </w:p>
        </w:tc>
        <w:tc>
          <w:tcPr>
            <w:tcW w:w="1276" w:type="dxa"/>
            <w:vAlign w:val="center"/>
          </w:tcPr>
          <w:p w14:paraId="12B66A42">
            <w:pPr>
              <w:pStyle w:val="13"/>
            </w:pPr>
            <w:r>
              <w:t>城乡义务教育公用经费管理办法</w:t>
            </w:r>
          </w:p>
        </w:tc>
      </w:tr>
      <w:tr w14:paraId="3BDED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32AF6"/>
        </w:tc>
        <w:tc>
          <w:tcPr>
            <w:tcW w:w="2268" w:type="dxa"/>
            <w:vAlign w:val="center"/>
          </w:tcPr>
          <w:p w14:paraId="5F25451A">
            <w:pPr>
              <w:pStyle w:val="13"/>
            </w:pPr>
            <w:r>
              <w:t>质量指标</w:t>
            </w:r>
          </w:p>
        </w:tc>
        <w:tc>
          <w:tcPr>
            <w:tcW w:w="2835" w:type="dxa"/>
            <w:vAlign w:val="center"/>
          </w:tcPr>
          <w:p w14:paraId="7FAAE357">
            <w:pPr>
              <w:pStyle w:val="13"/>
            </w:pPr>
            <w:r>
              <w:t>就读学生数</w:t>
            </w:r>
          </w:p>
        </w:tc>
        <w:tc>
          <w:tcPr>
            <w:tcW w:w="5386" w:type="dxa"/>
            <w:vAlign w:val="center"/>
          </w:tcPr>
          <w:p w14:paraId="11A3F2BC">
            <w:pPr>
              <w:pStyle w:val="13"/>
            </w:pPr>
            <w:r>
              <w:t>辐射区域内适龄学生人数</w:t>
            </w:r>
          </w:p>
        </w:tc>
        <w:tc>
          <w:tcPr>
            <w:tcW w:w="2268" w:type="dxa"/>
            <w:vAlign w:val="center"/>
          </w:tcPr>
          <w:p w14:paraId="6A678A7C">
            <w:pPr>
              <w:pStyle w:val="13"/>
            </w:pPr>
            <w:r>
              <w:t>≥207人</w:t>
            </w:r>
          </w:p>
        </w:tc>
        <w:tc>
          <w:tcPr>
            <w:tcW w:w="1276" w:type="dxa"/>
            <w:vAlign w:val="center"/>
          </w:tcPr>
          <w:p w14:paraId="4AA48640">
            <w:pPr>
              <w:pStyle w:val="13"/>
            </w:pPr>
            <w:r>
              <w:t>城乡义务教育公用经费管理办法</w:t>
            </w:r>
          </w:p>
        </w:tc>
      </w:tr>
      <w:tr w14:paraId="5BCE6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ABF21"/>
        </w:tc>
        <w:tc>
          <w:tcPr>
            <w:tcW w:w="2268" w:type="dxa"/>
            <w:vAlign w:val="center"/>
          </w:tcPr>
          <w:p w14:paraId="353184CF">
            <w:pPr>
              <w:pStyle w:val="13"/>
            </w:pPr>
            <w:r>
              <w:t>时效指标</w:t>
            </w:r>
          </w:p>
        </w:tc>
        <w:tc>
          <w:tcPr>
            <w:tcW w:w="2835" w:type="dxa"/>
            <w:vAlign w:val="center"/>
          </w:tcPr>
          <w:p w14:paraId="4608BD99">
            <w:pPr>
              <w:pStyle w:val="13"/>
            </w:pPr>
            <w:r>
              <w:t>预算执行率</w:t>
            </w:r>
          </w:p>
        </w:tc>
        <w:tc>
          <w:tcPr>
            <w:tcW w:w="5386" w:type="dxa"/>
            <w:vAlign w:val="center"/>
          </w:tcPr>
          <w:p w14:paraId="4EA049F8">
            <w:pPr>
              <w:pStyle w:val="13"/>
            </w:pPr>
            <w:r>
              <w:t>预算执行率≥98%</w:t>
            </w:r>
          </w:p>
        </w:tc>
        <w:tc>
          <w:tcPr>
            <w:tcW w:w="2268" w:type="dxa"/>
            <w:vAlign w:val="center"/>
          </w:tcPr>
          <w:p w14:paraId="32ADCF59">
            <w:pPr>
              <w:pStyle w:val="13"/>
            </w:pPr>
            <w:r>
              <w:t>≥98%</w:t>
            </w:r>
          </w:p>
        </w:tc>
        <w:tc>
          <w:tcPr>
            <w:tcW w:w="1276" w:type="dxa"/>
            <w:vAlign w:val="center"/>
          </w:tcPr>
          <w:p w14:paraId="79C5355A">
            <w:pPr>
              <w:pStyle w:val="13"/>
            </w:pPr>
            <w:r>
              <w:t>城乡义务教育公用经费管理办法</w:t>
            </w:r>
          </w:p>
        </w:tc>
      </w:tr>
      <w:tr w14:paraId="5B869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4675F"/>
        </w:tc>
        <w:tc>
          <w:tcPr>
            <w:tcW w:w="2268" w:type="dxa"/>
            <w:vAlign w:val="center"/>
          </w:tcPr>
          <w:p w14:paraId="5747ACA5">
            <w:pPr>
              <w:pStyle w:val="13"/>
            </w:pPr>
            <w:r>
              <w:t>成本指标</w:t>
            </w:r>
          </w:p>
        </w:tc>
        <w:tc>
          <w:tcPr>
            <w:tcW w:w="2835" w:type="dxa"/>
            <w:vAlign w:val="center"/>
          </w:tcPr>
          <w:p w14:paraId="26DB12BD">
            <w:pPr>
              <w:pStyle w:val="13"/>
            </w:pPr>
            <w:r>
              <w:t>义教经费支付完成率</w:t>
            </w:r>
          </w:p>
        </w:tc>
        <w:tc>
          <w:tcPr>
            <w:tcW w:w="5386" w:type="dxa"/>
            <w:vAlign w:val="center"/>
          </w:tcPr>
          <w:p w14:paraId="06110F71">
            <w:pPr>
              <w:pStyle w:val="13"/>
            </w:pPr>
            <w:r>
              <w:t>按照序时进度完成资金支付</w:t>
            </w:r>
          </w:p>
        </w:tc>
        <w:tc>
          <w:tcPr>
            <w:tcW w:w="2268" w:type="dxa"/>
            <w:vAlign w:val="center"/>
          </w:tcPr>
          <w:p w14:paraId="45417F7C">
            <w:pPr>
              <w:pStyle w:val="13"/>
            </w:pPr>
            <w:r>
              <w:t>100%</w:t>
            </w:r>
          </w:p>
        </w:tc>
        <w:tc>
          <w:tcPr>
            <w:tcW w:w="1276" w:type="dxa"/>
            <w:vAlign w:val="center"/>
          </w:tcPr>
          <w:p w14:paraId="0D458CB2">
            <w:pPr>
              <w:pStyle w:val="13"/>
            </w:pPr>
            <w:r>
              <w:t>城乡义务教育公用经费管理办法</w:t>
            </w:r>
          </w:p>
        </w:tc>
      </w:tr>
      <w:tr w14:paraId="6D0C8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70FB1">
            <w:pPr>
              <w:pStyle w:val="12"/>
            </w:pPr>
            <w:r>
              <w:t>效益指标</w:t>
            </w:r>
          </w:p>
        </w:tc>
        <w:tc>
          <w:tcPr>
            <w:tcW w:w="2268" w:type="dxa"/>
            <w:vAlign w:val="center"/>
          </w:tcPr>
          <w:p w14:paraId="75A1F0D3">
            <w:pPr>
              <w:pStyle w:val="13"/>
            </w:pPr>
            <w:r>
              <w:t>可持续影响指标</w:t>
            </w:r>
          </w:p>
        </w:tc>
        <w:tc>
          <w:tcPr>
            <w:tcW w:w="2835" w:type="dxa"/>
            <w:vAlign w:val="center"/>
          </w:tcPr>
          <w:p w14:paraId="7233CDF0">
            <w:pPr>
              <w:pStyle w:val="13"/>
            </w:pPr>
            <w:r>
              <w:t>学校运转得到提高</w:t>
            </w:r>
          </w:p>
        </w:tc>
        <w:tc>
          <w:tcPr>
            <w:tcW w:w="5386" w:type="dxa"/>
            <w:vAlign w:val="center"/>
          </w:tcPr>
          <w:p w14:paraId="32374E83">
            <w:pPr>
              <w:pStyle w:val="13"/>
            </w:pPr>
            <w:r>
              <w:t>学生受教育年限</w:t>
            </w:r>
          </w:p>
        </w:tc>
        <w:tc>
          <w:tcPr>
            <w:tcW w:w="2268" w:type="dxa"/>
            <w:vAlign w:val="center"/>
          </w:tcPr>
          <w:p w14:paraId="279C0414">
            <w:pPr>
              <w:pStyle w:val="13"/>
            </w:pPr>
            <w:r>
              <w:t>6年</w:t>
            </w:r>
          </w:p>
        </w:tc>
        <w:tc>
          <w:tcPr>
            <w:tcW w:w="1276" w:type="dxa"/>
            <w:vAlign w:val="center"/>
          </w:tcPr>
          <w:p w14:paraId="585296C8">
            <w:pPr>
              <w:pStyle w:val="13"/>
            </w:pPr>
            <w:r>
              <w:t>城乡义务教育公用经费管理办法</w:t>
            </w:r>
          </w:p>
        </w:tc>
      </w:tr>
      <w:tr w14:paraId="46E1A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3C666B">
            <w:pPr>
              <w:pStyle w:val="12"/>
            </w:pPr>
            <w:r>
              <w:t>满意度指标</w:t>
            </w:r>
          </w:p>
        </w:tc>
        <w:tc>
          <w:tcPr>
            <w:tcW w:w="2268" w:type="dxa"/>
            <w:vAlign w:val="center"/>
          </w:tcPr>
          <w:p w14:paraId="5C3E42D9">
            <w:pPr>
              <w:pStyle w:val="13"/>
            </w:pPr>
            <w:r>
              <w:t>服务对象满意度指标</w:t>
            </w:r>
          </w:p>
        </w:tc>
        <w:tc>
          <w:tcPr>
            <w:tcW w:w="2835" w:type="dxa"/>
            <w:vAlign w:val="center"/>
          </w:tcPr>
          <w:p w14:paraId="1C2B7D37">
            <w:pPr>
              <w:pStyle w:val="13"/>
            </w:pPr>
            <w:r>
              <w:t>服务对象满意度</w:t>
            </w:r>
          </w:p>
        </w:tc>
        <w:tc>
          <w:tcPr>
            <w:tcW w:w="5386" w:type="dxa"/>
            <w:vAlign w:val="center"/>
          </w:tcPr>
          <w:p w14:paraId="0AF187A0">
            <w:pPr>
              <w:pStyle w:val="13"/>
            </w:pPr>
            <w:r>
              <w:t>学校老师和学生满意度</w:t>
            </w:r>
          </w:p>
        </w:tc>
        <w:tc>
          <w:tcPr>
            <w:tcW w:w="2268" w:type="dxa"/>
            <w:vAlign w:val="center"/>
          </w:tcPr>
          <w:p w14:paraId="457B6F5A">
            <w:pPr>
              <w:pStyle w:val="13"/>
            </w:pPr>
            <w:r>
              <w:t>≥95%</w:t>
            </w:r>
          </w:p>
        </w:tc>
        <w:tc>
          <w:tcPr>
            <w:tcW w:w="1276" w:type="dxa"/>
            <w:vAlign w:val="center"/>
          </w:tcPr>
          <w:p w14:paraId="5FFD8148">
            <w:pPr>
              <w:pStyle w:val="13"/>
            </w:pPr>
            <w:r>
              <w:t>问卷调查</w:t>
            </w:r>
          </w:p>
        </w:tc>
      </w:tr>
    </w:tbl>
    <w:p w14:paraId="150F9F2D">
      <w:pPr>
        <w:sectPr>
          <w:pgSz w:w="16840" w:h="11900" w:orient="landscape"/>
          <w:pgMar w:top="1361" w:right="1020" w:bottom="1134" w:left="1020" w:header="720" w:footer="720" w:gutter="0"/>
          <w:cols w:space="720" w:num="1"/>
        </w:sectPr>
      </w:pPr>
    </w:p>
    <w:p w14:paraId="09DE823A">
      <w:pPr>
        <w:spacing w:before="0" w:after="0"/>
        <w:ind w:firstLine="560"/>
        <w:jc w:val="left"/>
        <w:outlineLvl w:val="9"/>
      </w:pPr>
      <w:r>
        <w:rPr>
          <w:rFonts w:ascii="方正仿宋_GBK" w:hAnsi="方正仿宋_GBK" w:eastAsia="方正仿宋_GBK" w:cs="方正仿宋_GBK"/>
          <w:b/>
          <w:color w:val="000000"/>
          <w:sz w:val="28"/>
        </w:rPr>
        <w:t>14、冀财教[2024]141号/省级/2025年义教补助经费/木花小学公用经费绩效目标表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AB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EC8AA">
            <w:pPr>
              <w:pStyle w:val="14"/>
            </w:pPr>
            <w:r>
              <w:t>单位：万元</w:t>
            </w:r>
          </w:p>
        </w:tc>
      </w:tr>
      <w:tr w14:paraId="41055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3F568">
            <w:pPr>
              <w:pStyle w:val="11"/>
            </w:pPr>
            <w:r>
              <w:t>项目编码</w:t>
            </w:r>
          </w:p>
        </w:tc>
        <w:tc>
          <w:tcPr>
            <w:tcW w:w="5103" w:type="dxa"/>
            <w:gridSpan w:val="2"/>
            <w:vAlign w:val="center"/>
          </w:tcPr>
          <w:p w14:paraId="41D1866F">
            <w:pPr>
              <w:pStyle w:val="13"/>
            </w:pPr>
            <w:r>
              <w:t>13052525P00000410164Y</w:t>
            </w:r>
          </w:p>
        </w:tc>
        <w:tc>
          <w:tcPr>
            <w:tcW w:w="2835" w:type="dxa"/>
            <w:vAlign w:val="center"/>
          </w:tcPr>
          <w:p w14:paraId="03546EDE">
            <w:pPr>
              <w:pStyle w:val="11"/>
            </w:pPr>
            <w:r>
              <w:t>项目名称</w:t>
            </w:r>
          </w:p>
        </w:tc>
        <w:tc>
          <w:tcPr>
            <w:tcW w:w="6095" w:type="dxa"/>
            <w:gridSpan w:val="3"/>
            <w:vAlign w:val="center"/>
          </w:tcPr>
          <w:p w14:paraId="540C77DD">
            <w:pPr>
              <w:pStyle w:val="13"/>
            </w:pPr>
            <w:r>
              <w:t>冀财教[2024]141号/省级/2025年义教补助经费/木花小学公用经费</w:t>
            </w:r>
          </w:p>
        </w:tc>
      </w:tr>
      <w:tr w14:paraId="4995E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B15EA">
            <w:pPr>
              <w:pStyle w:val="11"/>
            </w:pPr>
            <w:r>
              <w:t>预算规模及资金用途</w:t>
            </w:r>
          </w:p>
        </w:tc>
        <w:tc>
          <w:tcPr>
            <w:tcW w:w="2268" w:type="dxa"/>
            <w:vAlign w:val="center"/>
          </w:tcPr>
          <w:p w14:paraId="739FA28A">
            <w:pPr>
              <w:pStyle w:val="11"/>
            </w:pPr>
            <w:r>
              <w:t>预算数</w:t>
            </w:r>
          </w:p>
        </w:tc>
        <w:tc>
          <w:tcPr>
            <w:tcW w:w="2835" w:type="dxa"/>
            <w:vAlign w:val="center"/>
          </w:tcPr>
          <w:p w14:paraId="2841E128">
            <w:pPr>
              <w:pStyle w:val="13"/>
            </w:pPr>
            <w:r>
              <w:t>11.67</w:t>
            </w:r>
          </w:p>
        </w:tc>
        <w:tc>
          <w:tcPr>
            <w:tcW w:w="2835" w:type="dxa"/>
            <w:vAlign w:val="center"/>
          </w:tcPr>
          <w:p w14:paraId="10C03C29">
            <w:pPr>
              <w:pStyle w:val="11"/>
            </w:pPr>
            <w:r>
              <w:t>其中：财政    资金</w:t>
            </w:r>
          </w:p>
        </w:tc>
        <w:tc>
          <w:tcPr>
            <w:tcW w:w="2551" w:type="dxa"/>
            <w:vAlign w:val="center"/>
          </w:tcPr>
          <w:p w14:paraId="767F1B27">
            <w:pPr>
              <w:pStyle w:val="13"/>
            </w:pPr>
            <w:r>
              <w:t>11.67</w:t>
            </w:r>
          </w:p>
        </w:tc>
        <w:tc>
          <w:tcPr>
            <w:tcW w:w="2268" w:type="dxa"/>
            <w:vAlign w:val="center"/>
          </w:tcPr>
          <w:p w14:paraId="6C1AB877">
            <w:pPr>
              <w:pStyle w:val="11"/>
            </w:pPr>
            <w:r>
              <w:t>其他资金</w:t>
            </w:r>
          </w:p>
        </w:tc>
        <w:tc>
          <w:tcPr>
            <w:tcW w:w="1276" w:type="dxa"/>
            <w:vAlign w:val="center"/>
          </w:tcPr>
          <w:p w14:paraId="6DA1D84C">
            <w:pPr>
              <w:pStyle w:val="13"/>
            </w:pPr>
            <w:r>
              <w:t xml:space="preserve"> </w:t>
            </w:r>
          </w:p>
        </w:tc>
      </w:tr>
      <w:tr w14:paraId="3219E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131FA8"/>
        </w:tc>
        <w:tc>
          <w:tcPr>
            <w:tcW w:w="14033" w:type="dxa"/>
            <w:gridSpan w:val="6"/>
            <w:vAlign w:val="center"/>
          </w:tcPr>
          <w:p w14:paraId="529E8867">
            <w:pPr>
              <w:pStyle w:val="13"/>
            </w:pPr>
            <w:r>
              <w:t>用于有效完成学校教学安全秩序，保障学校教学任务有效开展，满足学校正常教学需要。</w:t>
            </w:r>
          </w:p>
        </w:tc>
      </w:tr>
      <w:tr w14:paraId="74D49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DF96F">
            <w:pPr>
              <w:pStyle w:val="11"/>
            </w:pPr>
            <w:r>
              <w:t>资金支出计划（%）</w:t>
            </w:r>
          </w:p>
        </w:tc>
        <w:tc>
          <w:tcPr>
            <w:tcW w:w="5103" w:type="dxa"/>
            <w:gridSpan w:val="2"/>
            <w:vAlign w:val="center"/>
          </w:tcPr>
          <w:p w14:paraId="64BD1ED2">
            <w:pPr>
              <w:pStyle w:val="11"/>
            </w:pPr>
            <w:r>
              <w:t>3月底</w:t>
            </w:r>
          </w:p>
        </w:tc>
        <w:tc>
          <w:tcPr>
            <w:tcW w:w="2835" w:type="dxa"/>
            <w:vAlign w:val="center"/>
          </w:tcPr>
          <w:p w14:paraId="26CDB083">
            <w:pPr>
              <w:pStyle w:val="11"/>
            </w:pPr>
            <w:r>
              <w:t>6月底</w:t>
            </w:r>
          </w:p>
        </w:tc>
        <w:tc>
          <w:tcPr>
            <w:tcW w:w="2551" w:type="dxa"/>
            <w:vAlign w:val="center"/>
          </w:tcPr>
          <w:p w14:paraId="5041A04D">
            <w:pPr>
              <w:pStyle w:val="11"/>
            </w:pPr>
            <w:r>
              <w:t>10月底</w:t>
            </w:r>
          </w:p>
        </w:tc>
        <w:tc>
          <w:tcPr>
            <w:tcW w:w="3544" w:type="dxa"/>
            <w:gridSpan w:val="2"/>
            <w:vAlign w:val="center"/>
          </w:tcPr>
          <w:p w14:paraId="1CD017E3">
            <w:pPr>
              <w:pStyle w:val="11"/>
            </w:pPr>
            <w:r>
              <w:t>12月底</w:t>
            </w:r>
          </w:p>
        </w:tc>
      </w:tr>
      <w:tr w14:paraId="7E65E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78338"/>
        </w:tc>
        <w:tc>
          <w:tcPr>
            <w:tcW w:w="5103" w:type="dxa"/>
            <w:gridSpan w:val="2"/>
            <w:vAlign w:val="center"/>
          </w:tcPr>
          <w:p w14:paraId="27FA498C">
            <w:pPr>
              <w:pStyle w:val="12"/>
            </w:pPr>
            <w:r>
              <w:t>25%</w:t>
            </w:r>
          </w:p>
        </w:tc>
        <w:tc>
          <w:tcPr>
            <w:tcW w:w="2835" w:type="dxa"/>
            <w:vAlign w:val="center"/>
          </w:tcPr>
          <w:p w14:paraId="4D978DE4">
            <w:pPr>
              <w:pStyle w:val="12"/>
            </w:pPr>
            <w:r>
              <w:t>50%</w:t>
            </w:r>
          </w:p>
        </w:tc>
        <w:tc>
          <w:tcPr>
            <w:tcW w:w="2551" w:type="dxa"/>
            <w:vAlign w:val="center"/>
          </w:tcPr>
          <w:p w14:paraId="5C728084">
            <w:pPr>
              <w:pStyle w:val="12"/>
            </w:pPr>
            <w:r>
              <w:t>75%</w:t>
            </w:r>
          </w:p>
        </w:tc>
        <w:tc>
          <w:tcPr>
            <w:tcW w:w="3544" w:type="dxa"/>
            <w:gridSpan w:val="2"/>
            <w:vAlign w:val="center"/>
          </w:tcPr>
          <w:p w14:paraId="7CE8E1C3">
            <w:pPr>
              <w:pStyle w:val="12"/>
            </w:pPr>
            <w:r>
              <w:t>100%</w:t>
            </w:r>
          </w:p>
        </w:tc>
      </w:tr>
      <w:tr w14:paraId="4EA7E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30F12B">
            <w:pPr>
              <w:pStyle w:val="11"/>
            </w:pPr>
            <w:r>
              <w:t>绩效目标</w:t>
            </w:r>
          </w:p>
        </w:tc>
        <w:tc>
          <w:tcPr>
            <w:tcW w:w="14033" w:type="dxa"/>
            <w:gridSpan w:val="6"/>
            <w:vAlign w:val="center"/>
          </w:tcPr>
          <w:p w14:paraId="1D8DFBC9">
            <w:pPr>
              <w:pStyle w:val="13"/>
            </w:pPr>
            <w:r>
              <w:t>1.有效完成学校教学安全秩序，保障学校教学任务有效开展，满足学校正常教学需要。</w:t>
            </w:r>
          </w:p>
          <w:p w14:paraId="0C421F60">
            <w:pPr>
              <w:pStyle w:val="13"/>
            </w:pPr>
            <w:r>
              <w:t>2.按规定拨付公用经费资金，预算执行率≥98%。</w:t>
            </w:r>
          </w:p>
        </w:tc>
      </w:tr>
    </w:tbl>
    <w:p w14:paraId="5B25D7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CA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93423">
            <w:pPr>
              <w:pStyle w:val="11"/>
            </w:pPr>
            <w:r>
              <w:t>一级指标</w:t>
            </w:r>
          </w:p>
        </w:tc>
        <w:tc>
          <w:tcPr>
            <w:tcW w:w="2268" w:type="dxa"/>
            <w:vAlign w:val="center"/>
          </w:tcPr>
          <w:p w14:paraId="462BF01C">
            <w:pPr>
              <w:pStyle w:val="11"/>
            </w:pPr>
            <w:r>
              <w:t>二级指标</w:t>
            </w:r>
          </w:p>
        </w:tc>
        <w:tc>
          <w:tcPr>
            <w:tcW w:w="2835" w:type="dxa"/>
            <w:vAlign w:val="center"/>
          </w:tcPr>
          <w:p w14:paraId="67AD9370">
            <w:pPr>
              <w:pStyle w:val="11"/>
            </w:pPr>
            <w:r>
              <w:t>三级指标</w:t>
            </w:r>
          </w:p>
        </w:tc>
        <w:tc>
          <w:tcPr>
            <w:tcW w:w="5386" w:type="dxa"/>
            <w:vAlign w:val="center"/>
          </w:tcPr>
          <w:p w14:paraId="71EF3411">
            <w:pPr>
              <w:pStyle w:val="11"/>
            </w:pPr>
            <w:r>
              <w:t>绩效指标描述</w:t>
            </w:r>
          </w:p>
        </w:tc>
        <w:tc>
          <w:tcPr>
            <w:tcW w:w="2268" w:type="dxa"/>
            <w:vAlign w:val="center"/>
          </w:tcPr>
          <w:p w14:paraId="63DD05FB">
            <w:pPr>
              <w:pStyle w:val="11"/>
            </w:pPr>
            <w:r>
              <w:t>指标值</w:t>
            </w:r>
          </w:p>
        </w:tc>
        <w:tc>
          <w:tcPr>
            <w:tcW w:w="1276" w:type="dxa"/>
            <w:vAlign w:val="center"/>
          </w:tcPr>
          <w:p w14:paraId="301193BD">
            <w:pPr>
              <w:pStyle w:val="11"/>
            </w:pPr>
            <w:r>
              <w:t>指标值确定依据</w:t>
            </w:r>
          </w:p>
        </w:tc>
      </w:tr>
      <w:tr w14:paraId="4B5A7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BB65C">
            <w:pPr>
              <w:pStyle w:val="12"/>
            </w:pPr>
            <w:r>
              <w:t>产出指标</w:t>
            </w:r>
          </w:p>
        </w:tc>
        <w:tc>
          <w:tcPr>
            <w:tcW w:w="2268" w:type="dxa"/>
            <w:vAlign w:val="center"/>
          </w:tcPr>
          <w:p w14:paraId="6EC0A628">
            <w:pPr>
              <w:pStyle w:val="13"/>
            </w:pPr>
            <w:r>
              <w:t>数量指标</w:t>
            </w:r>
          </w:p>
        </w:tc>
        <w:tc>
          <w:tcPr>
            <w:tcW w:w="2835" w:type="dxa"/>
            <w:vAlign w:val="center"/>
          </w:tcPr>
          <w:p w14:paraId="07532B72">
            <w:pPr>
              <w:pStyle w:val="13"/>
            </w:pPr>
            <w:r>
              <w:t>就读学生数</w:t>
            </w:r>
          </w:p>
        </w:tc>
        <w:tc>
          <w:tcPr>
            <w:tcW w:w="5386" w:type="dxa"/>
            <w:vAlign w:val="center"/>
          </w:tcPr>
          <w:p w14:paraId="68F08385">
            <w:pPr>
              <w:pStyle w:val="13"/>
            </w:pPr>
            <w:r>
              <w:t>辐射区域内适龄学生人数</w:t>
            </w:r>
          </w:p>
        </w:tc>
        <w:tc>
          <w:tcPr>
            <w:tcW w:w="2268" w:type="dxa"/>
            <w:vAlign w:val="center"/>
          </w:tcPr>
          <w:p w14:paraId="5E661A95">
            <w:pPr>
              <w:pStyle w:val="13"/>
            </w:pPr>
            <w:r>
              <w:t>428人</w:t>
            </w:r>
          </w:p>
        </w:tc>
        <w:tc>
          <w:tcPr>
            <w:tcW w:w="1276" w:type="dxa"/>
            <w:vAlign w:val="center"/>
          </w:tcPr>
          <w:p w14:paraId="07D25549">
            <w:pPr>
              <w:pStyle w:val="13"/>
            </w:pPr>
            <w:r>
              <w:t>城乡义务教育公用经费管理办法</w:t>
            </w:r>
          </w:p>
        </w:tc>
      </w:tr>
      <w:tr w14:paraId="3D14A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4F452"/>
        </w:tc>
        <w:tc>
          <w:tcPr>
            <w:tcW w:w="2268" w:type="dxa"/>
            <w:vAlign w:val="center"/>
          </w:tcPr>
          <w:p w14:paraId="2898E9F8">
            <w:pPr>
              <w:pStyle w:val="13"/>
            </w:pPr>
            <w:r>
              <w:t>质量指标</w:t>
            </w:r>
          </w:p>
        </w:tc>
        <w:tc>
          <w:tcPr>
            <w:tcW w:w="2835" w:type="dxa"/>
            <w:vAlign w:val="center"/>
          </w:tcPr>
          <w:p w14:paraId="5A0D969A">
            <w:pPr>
              <w:pStyle w:val="13"/>
            </w:pPr>
            <w:r>
              <w:t>预算执行率</w:t>
            </w:r>
          </w:p>
        </w:tc>
        <w:tc>
          <w:tcPr>
            <w:tcW w:w="5386" w:type="dxa"/>
            <w:vAlign w:val="center"/>
          </w:tcPr>
          <w:p w14:paraId="43C3F150">
            <w:pPr>
              <w:pStyle w:val="13"/>
            </w:pPr>
            <w:r>
              <w:t>预算执行率</w:t>
            </w:r>
          </w:p>
        </w:tc>
        <w:tc>
          <w:tcPr>
            <w:tcW w:w="2268" w:type="dxa"/>
            <w:vAlign w:val="center"/>
          </w:tcPr>
          <w:p w14:paraId="1256666A">
            <w:pPr>
              <w:pStyle w:val="13"/>
            </w:pPr>
            <w:r>
              <w:t>≥98%</w:t>
            </w:r>
          </w:p>
        </w:tc>
        <w:tc>
          <w:tcPr>
            <w:tcW w:w="1276" w:type="dxa"/>
            <w:vAlign w:val="center"/>
          </w:tcPr>
          <w:p w14:paraId="131F1271">
            <w:pPr>
              <w:pStyle w:val="13"/>
            </w:pPr>
            <w:r>
              <w:t>城乡义务教育公用经费管理办法</w:t>
            </w:r>
          </w:p>
        </w:tc>
      </w:tr>
      <w:tr w14:paraId="27C95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3C6C8"/>
        </w:tc>
        <w:tc>
          <w:tcPr>
            <w:tcW w:w="2268" w:type="dxa"/>
            <w:vAlign w:val="center"/>
          </w:tcPr>
          <w:p w14:paraId="6D32463A">
            <w:pPr>
              <w:pStyle w:val="13"/>
            </w:pPr>
            <w:r>
              <w:t>时效指标</w:t>
            </w:r>
          </w:p>
        </w:tc>
        <w:tc>
          <w:tcPr>
            <w:tcW w:w="2835" w:type="dxa"/>
            <w:vAlign w:val="center"/>
          </w:tcPr>
          <w:p w14:paraId="1BFDCFEE">
            <w:pPr>
              <w:pStyle w:val="13"/>
            </w:pPr>
            <w:r>
              <w:t>义教经费支付完成率</w:t>
            </w:r>
          </w:p>
        </w:tc>
        <w:tc>
          <w:tcPr>
            <w:tcW w:w="5386" w:type="dxa"/>
            <w:vAlign w:val="center"/>
          </w:tcPr>
          <w:p w14:paraId="2DC7238D">
            <w:pPr>
              <w:pStyle w:val="13"/>
            </w:pPr>
            <w:r>
              <w:t>按照序时进度完成资金支付</w:t>
            </w:r>
          </w:p>
        </w:tc>
        <w:tc>
          <w:tcPr>
            <w:tcW w:w="2268" w:type="dxa"/>
            <w:vAlign w:val="center"/>
          </w:tcPr>
          <w:p w14:paraId="007826B4">
            <w:pPr>
              <w:pStyle w:val="13"/>
            </w:pPr>
            <w:r>
              <w:t>≥100%</w:t>
            </w:r>
          </w:p>
        </w:tc>
        <w:tc>
          <w:tcPr>
            <w:tcW w:w="1276" w:type="dxa"/>
            <w:vAlign w:val="center"/>
          </w:tcPr>
          <w:p w14:paraId="084018EB">
            <w:pPr>
              <w:pStyle w:val="13"/>
            </w:pPr>
            <w:r>
              <w:t>城乡义务教育公用经费管理办法</w:t>
            </w:r>
          </w:p>
        </w:tc>
      </w:tr>
      <w:tr w14:paraId="28538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D9EFA"/>
        </w:tc>
        <w:tc>
          <w:tcPr>
            <w:tcW w:w="2268" w:type="dxa"/>
            <w:vAlign w:val="center"/>
          </w:tcPr>
          <w:p w14:paraId="7CD985EC">
            <w:pPr>
              <w:pStyle w:val="13"/>
            </w:pPr>
            <w:r>
              <w:t>成本指标</w:t>
            </w:r>
          </w:p>
        </w:tc>
        <w:tc>
          <w:tcPr>
            <w:tcW w:w="2835" w:type="dxa"/>
            <w:vAlign w:val="center"/>
          </w:tcPr>
          <w:p w14:paraId="6336D723">
            <w:pPr>
              <w:pStyle w:val="13"/>
            </w:pPr>
            <w:r>
              <w:t>生均拨款标准</w:t>
            </w:r>
          </w:p>
        </w:tc>
        <w:tc>
          <w:tcPr>
            <w:tcW w:w="5386" w:type="dxa"/>
            <w:vAlign w:val="center"/>
          </w:tcPr>
          <w:p w14:paraId="6213D2AE">
            <w:pPr>
              <w:pStyle w:val="13"/>
            </w:pPr>
            <w:r>
              <w:t>小学：（基本标准720元、寄宿生300元、生活补助120元）/生/学年；特教、随班就读学生：标准7000元/生/学年</w:t>
            </w:r>
          </w:p>
        </w:tc>
        <w:tc>
          <w:tcPr>
            <w:tcW w:w="2268" w:type="dxa"/>
            <w:vAlign w:val="center"/>
          </w:tcPr>
          <w:p w14:paraId="5AD395C1">
            <w:pPr>
              <w:pStyle w:val="13"/>
            </w:pPr>
            <w:r>
              <w:t>840元</w:t>
            </w:r>
          </w:p>
        </w:tc>
        <w:tc>
          <w:tcPr>
            <w:tcW w:w="1276" w:type="dxa"/>
            <w:vAlign w:val="center"/>
          </w:tcPr>
          <w:p w14:paraId="34606AFF">
            <w:pPr>
              <w:pStyle w:val="13"/>
            </w:pPr>
            <w:r>
              <w:t>城乡义务教育公用经费管理办法</w:t>
            </w:r>
          </w:p>
        </w:tc>
      </w:tr>
      <w:tr w14:paraId="35CE7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32EA75">
            <w:pPr>
              <w:pStyle w:val="12"/>
            </w:pPr>
            <w:r>
              <w:t>效益指标</w:t>
            </w:r>
          </w:p>
        </w:tc>
        <w:tc>
          <w:tcPr>
            <w:tcW w:w="2268" w:type="dxa"/>
            <w:vAlign w:val="center"/>
          </w:tcPr>
          <w:p w14:paraId="001F1E5C">
            <w:pPr>
              <w:pStyle w:val="13"/>
            </w:pPr>
            <w:r>
              <w:t>社会效益指标</w:t>
            </w:r>
          </w:p>
        </w:tc>
        <w:tc>
          <w:tcPr>
            <w:tcW w:w="2835" w:type="dxa"/>
            <w:vAlign w:val="center"/>
          </w:tcPr>
          <w:p w14:paraId="1F1ED3B1">
            <w:pPr>
              <w:pStyle w:val="13"/>
            </w:pPr>
            <w:r>
              <w:t>学校稳定率</w:t>
            </w:r>
          </w:p>
        </w:tc>
        <w:tc>
          <w:tcPr>
            <w:tcW w:w="5386" w:type="dxa"/>
            <w:vAlign w:val="center"/>
          </w:tcPr>
          <w:p w14:paraId="603165B5">
            <w:pPr>
              <w:pStyle w:val="13"/>
            </w:pPr>
            <w:r>
              <w:t>维护学校稳定，保障学校正常教学秩序有效开展</w:t>
            </w:r>
          </w:p>
        </w:tc>
        <w:tc>
          <w:tcPr>
            <w:tcW w:w="2268" w:type="dxa"/>
            <w:vAlign w:val="center"/>
          </w:tcPr>
          <w:p w14:paraId="3F74EAA8">
            <w:pPr>
              <w:pStyle w:val="13"/>
            </w:pPr>
            <w:r>
              <w:t>≥100%</w:t>
            </w:r>
          </w:p>
        </w:tc>
        <w:tc>
          <w:tcPr>
            <w:tcW w:w="1276" w:type="dxa"/>
            <w:vAlign w:val="center"/>
          </w:tcPr>
          <w:p w14:paraId="33390205">
            <w:pPr>
              <w:pStyle w:val="13"/>
            </w:pPr>
            <w:r>
              <w:t>城乡义务教育公用经费管理办法</w:t>
            </w:r>
          </w:p>
        </w:tc>
      </w:tr>
      <w:tr w14:paraId="15620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C2BBB6">
            <w:pPr>
              <w:pStyle w:val="12"/>
            </w:pPr>
            <w:r>
              <w:t>满意度指标</w:t>
            </w:r>
          </w:p>
        </w:tc>
        <w:tc>
          <w:tcPr>
            <w:tcW w:w="2268" w:type="dxa"/>
            <w:vAlign w:val="center"/>
          </w:tcPr>
          <w:p w14:paraId="0764E6ED">
            <w:pPr>
              <w:pStyle w:val="13"/>
            </w:pPr>
            <w:r>
              <w:t>服务对象满意度指标</w:t>
            </w:r>
          </w:p>
        </w:tc>
        <w:tc>
          <w:tcPr>
            <w:tcW w:w="2835" w:type="dxa"/>
            <w:vAlign w:val="center"/>
          </w:tcPr>
          <w:p w14:paraId="2A3B5529">
            <w:pPr>
              <w:pStyle w:val="13"/>
            </w:pPr>
            <w:r>
              <w:t>家长和学生满意度</w:t>
            </w:r>
          </w:p>
        </w:tc>
        <w:tc>
          <w:tcPr>
            <w:tcW w:w="5386" w:type="dxa"/>
            <w:vAlign w:val="center"/>
          </w:tcPr>
          <w:p w14:paraId="68FB959E">
            <w:pPr>
              <w:pStyle w:val="13"/>
            </w:pPr>
            <w:r>
              <w:t>家长和学生满意度</w:t>
            </w:r>
          </w:p>
        </w:tc>
        <w:tc>
          <w:tcPr>
            <w:tcW w:w="2268" w:type="dxa"/>
            <w:vAlign w:val="center"/>
          </w:tcPr>
          <w:p w14:paraId="6ED6F0AB">
            <w:pPr>
              <w:pStyle w:val="13"/>
            </w:pPr>
            <w:r>
              <w:t>≥95%</w:t>
            </w:r>
          </w:p>
        </w:tc>
        <w:tc>
          <w:tcPr>
            <w:tcW w:w="1276" w:type="dxa"/>
            <w:vAlign w:val="center"/>
          </w:tcPr>
          <w:p w14:paraId="7A60B51F">
            <w:pPr>
              <w:pStyle w:val="13"/>
            </w:pPr>
            <w:r>
              <w:t>问卷调查</w:t>
            </w:r>
          </w:p>
        </w:tc>
      </w:tr>
    </w:tbl>
    <w:p w14:paraId="46894146">
      <w:pPr>
        <w:sectPr>
          <w:pgSz w:w="16840" w:h="11900" w:orient="landscape"/>
          <w:pgMar w:top="1361" w:right="1020" w:bottom="1134" w:left="1020" w:header="720" w:footer="720" w:gutter="0"/>
          <w:cols w:space="720" w:num="1"/>
        </w:sectPr>
      </w:pPr>
    </w:p>
    <w:p w14:paraId="5DF2B0D9">
      <w:pPr>
        <w:spacing w:before="0" w:after="0"/>
        <w:ind w:firstLine="560"/>
        <w:jc w:val="left"/>
        <w:outlineLvl w:val="9"/>
      </w:pPr>
      <w:r>
        <w:rPr>
          <w:rFonts w:ascii="方正仿宋_GBK" w:hAnsi="方正仿宋_GBK" w:eastAsia="方正仿宋_GBK" w:cs="方正仿宋_GBK"/>
          <w:b/>
          <w:color w:val="000000"/>
          <w:sz w:val="28"/>
        </w:rPr>
        <w:t>15、冀财教[2024]141号/省级/2025年义教补助经费/双碑小学公用经费绩效目标表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2D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F1D86">
            <w:pPr>
              <w:pStyle w:val="14"/>
            </w:pPr>
            <w:r>
              <w:t>单位：万元</w:t>
            </w:r>
          </w:p>
        </w:tc>
      </w:tr>
      <w:tr w14:paraId="22580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1DEF4E10">
            <w:pPr>
              <w:pStyle w:val="11"/>
            </w:pPr>
            <w:r>
              <w:t>项目编码</w:t>
            </w:r>
          </w:p>
        </w:tc>
        <w:tc>
          <w:tcPr>
            <w:tcW w:w="5103" w:type="dxa"/>
            <w:gridSpan w:val="2"/>
            <w:vAlign w:val="center"/>
          </w:tcPr>
          <w:p w14:paraId="4F8F0371">
            <w:pPr>
              <w:pStyle w:val="13"/>
            </w:pPr>
            <w:r>
              <w:t>13052525P00000410156A</w:t>
            </w:r>
          </w:p>
        </w:tc>
        <w:tc>
          <w:tcPr>
            <w:tcW w:w="2835" w:type="dxa"/>
            <w:vAlign w:val="center"/>
          </w:tcPr>
          <w:p w14:paraId="63361DDD">
            <w:pPr>
              <w:pStyle w:val="11"/>
            </w:pPr>
            <w:r>
              <w:t>项目名称</w:t>
            </w:r>
          </w:p>
        </w:tc>
        <w:tc>
          <w:tcPr>
            <w:tcW w:w="6095" w:type="dxa"/>
            <w:gridSpan w:val="3"/>
            <w:vAlign w:val="center"/>
          </w:tcPr>
          <w:p w14:paraId="4B9AD3D3">
            <w:pPr>
              <w:pStyle w:val="13"/>
            </w:pPr>
            <w:r>
              <w:t>冀财教[2024]141号/省级/2025年义教补助经费/双碑小学公用经费</w:t>
            </w:r>
          </w:p>
        </w:tc>
      </w:tr>
      <w:tr w14:paraId="239A3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9D528">
            <w:pPr>
              <w:pStyle w:val="11"/>
            </w:pPr>
            <w:r>
              <w:t>预算规模及资金用途</w:t>
            </w:r>
          </w:p>
        </w:tc>
        <w:tc>
          <w:tcPr>
            <w:tcW w:w="2268" w:type="dxa"/>
            <w:vAlign w:val="center"/>
          </w:tcPr>
          <w:p w14:paraId="3FAE406A">
            <w:pPr>
              <w:pStyle w:val="11"/>
            </w:pPr>
            <w:r>
              <w:t>预算数</w:t>
            </w:r>
          </w:p>
        </w:tc>
        <w:tc>
          <w:tcPr>
            <w:tcW w:w="2835" w:type="dxa"/>
            <w:vAlign w:val="center"/>
          </w:tcPr>
          <w:p w14:paraId="2C9EA97F">
            <w:pPr>
              <w:pStyle w:val="13"/>
            </w:pPr>
            <w:r>
              <w:t>12.58</w:t>
            </w:r>
          </w:p>
        </w:tc>
        <w:tc>
          <w:tcPr>
            <w:tcW w:w="2835" w:type="dxa"/>
            <w:vAlign w:val="center"/>
          </w:tcPr>
          <w:p w14:paraId="696A4C42">
            <w:pPr>
              <w:pStyle w:val="11"/>
            </w:pPr>
            <w:r>
              <w:t>其中：财政    资金</w:t>
            </w:r>
          </w:p>
        </w:tc>
        <w:tc>
          <w:tcPr>
            <w:tcW w:w="2551" w:type="dxa"/>
            <w:vAlign w:val="center"/>
          </w:tcPr>
          <w:p w14:paraId="4C124822">
            <w:pPr>
              <w:pStyle w:val="13"/>
            </w:pPr>
            <w:r>
              <w:t>12.58</w:t>
            </w:r>
          </w:p>
        </w:tc>
        <w:tc>
          <w:tcPr>
            <w:tcW w:w="2268" w:type="dxa"/>
            <w:vAlign w:val="center"/>
          </w:tcPr>
          <w:p w14:paraId="3D1A2003">
            <w:pPr>
              <w:pStyle w:val="11"/>
            </w:pPr>
            <w:r>
              <w:t>其他资金</w:t>
            </w:r>
          </w:p>
        </w:tc>
        <w:tc>
          <w:tcPr>
            <w:tcW w:w="1276" w:type="dxa"/>
            <w:vAlign w:val="center"/>
          </w:tcPr>
          <w:p w14:paraId="636EED2A">
            <w:pPr>
              <w:pStyle w:val="13"/>
            </w:pPr>
            <w:r>
              <w:t xml:space="preserve"> </w:t>
            </w:r>
          </w:p>
        </w:tc>
      </w:tr>
      <w:tr w14:paraId="349AD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4473E"/>
        </w:tc>
        <w:tc>
          <w:tcPr>
            <w:tcW w:w="14033" w:type="dxa"/>
            <w:gridSpan w:val="6"/>
            <w:vAlign w:val="center"/>
          </w:tcPr>
          <w:p w14:paraId="5B76C6B7">
            <w:pPr>
              <w:pStyle w:val="13"/>
            </w:pPr>
            <w:r>
              <w:t>用于有效完成学校教学安全秩序，保障学校教学任务有效开展，满足学校正常教学需要。</w:t>
            </w:r>
          </w:p>
        </w:tc>
      </w:tr>
      <w:tr w14:paraId="73726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CD306">
            <w:pPr>
              <w:pStyle w:val="11"/>
            </w:pPr>
            <w:r>
              <w:t>资金支出计划（%）</w:t>
            </w:r>
          </w:p>
        </w:tc>
        <w:tc>
          <w:tcPr>
            <w:tcW w:w="5103" w:type="dxa"/>
            <w:gridSpan w:val="2"/>
            <w:vAlign w:val="center"/>
          </w:tcPr>
          <w:p w14:paraId="1294E4AD">
            <w:pPr>
              <w:pStyle w:val="11"/>
            </w:pPr>
            <w:r>
              <w:t>3月底</w:t>
            </w:r>
          </w:p>
        </w:tc>
        <w:tc>
          <w:tcPr>
            <w:tcW w:w="2835" w:type="dxa"/>
            <w:vAlign w:val="center"/>
          </w:tcPr>
          <w:p w14:paraId="2467F8B4">
            <w:pPr>
              <w:pStyle w:val="11"/>
            </w:pPr>
            <w:r>
              <w:t>6月底</w:t>
            </w:r>
          </w:p>
        </w:tc>
        <w:tc>
          <w:tcPr>
            <w:tcW w:w="2551" w:type="dxa"/>
            <w:vAlign w:val="center"/>
          </w:tcPr>
          <w:p w14:paraId="194ADD13">
            <w:pPr>
              <w:pStyle w:val="11"/>
            </w:pPr>
            <w:r>
              <w:t>10月底</w:t>
            </w:r>
          </w:p>
        </w:tc>
        <w:tc>
          <w:tcPr>
            <w:tcW w:w="3544" w:type="dxa"/>
            <w:gridSpan w:val="2"/>
            <w:vAlign w:val="center"/>
          </w:tcPr>
          <w:p w14:paraId="664AC80F">
            <w:pPr>
              <w:pStyle w:val="11"/>
            </w:pPr>
            <w:r>
              <w:t>12月底</w:t>
            </w:r>
          </w:p>
        </w:tc>
      </w:tr>
      <w:tr w14:paraId="6A2FC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BDAE43"/>
        </w:tc>
        <w:tc>
          <w:tcPr>
            <w:tcW w:w="5103" w:type="dxa"/>
            <w:gridSpan w:val="2"/>
            <w:vAlign w:val="center"/>
          </w:tcPr>
          <w:p w14:paraId="6C5580FF">
            <w:pPr>
              <w:pStyle w:val="12"/>
            </w:pPr>
            <w:r>
              <w:t>25%</w:t>
            </w:r>
          </w:p>
        </w:tc>
        <w:tc>
          <w:tcPr>
            <w:tcW w:w="2835" w:type="dxa"/>
            <w:vAlign w:val="center"/>
          </w:tcPr>
          <w:p w14:paraId="657A4937">
            <w:pPr>
              <w:pStyle w:val="12"/>
            </w:pPr>
            <w:r>
              <w:t>50%</w:t>
            </w:r>
          </w:p>
        </w:tc>
        <w:tc>
          <w:tcPr>
            <w:tcW w:w="2551" w:type="dxa"/>
            <w:vAlign w:val="center"/>
          </w:tcPr>
          <w:p w14:paraId="6BEA2664">
            <w:pPr>
              <w:pStyle w:val="12"/>
            </w:pPr>
            <w:r>
              <w:t>75%</w:t>
            </w:r>
          </w:p>
        </w:tc>
        <w:tc>
          <w:tcPr>
            <w:tcW w:w="3544" w:type="dxa"/>
            <w:gridSpan w:val="2"/>
            <w:vAlign w:val="center"/>
          </w:tcPr>
          <w:p w14:paraId="7EAEF267">
            <w:pPr>
              <w:pStyle w:val="12"/>
            </w:pPr>
            <w:r>
              <w:t>100%</w:t>
            </w:r>
          </w:p>
        </w:tc>
      </w:tr>
      <w:tr w14:paraId="6D55C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0B78E">
            <w:pPr>
              <w:pStyle w:val="11"/>
            </w:pPr>
            <w:r>
              <w:t>绩效目标</w:t>
            </w:r>
          </w:p>
        </w:tc>
        <w:tc>
          <w:tcPr>
            <w:tcW w:w="14033" w:type="dxa"/>
            <w:gridSpan w:val="6"/>
            <w:vAlign w:val="center"/>
          </w:tcPr>
          <w:p w14:paraId="5D25BADF">
            <w:pPr>
              <w:pStyle w:val="13"/>
            </w:pPr>
            <w:r>
              <w:t>1.按规定拨付公用经费资金，预算执行率≥98%。</w:t>
            </w:r>
          </w:p>
          <w:p w14:paraId="208EC2DC">
            <w:pPr>
              <w:pStyle w:val="13"/>
            </w:pPr>
            <w:r>
              <w:t>2.有效完成学校教学安全秩序，保障学校教学任务有效开展，满足学校正常教学需要。</w:t>
            </w:r>
          </w:p>
        </w:tc>
      </w:tr>
    </w:tbl>
    <w:p w14:paraId="4193A2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75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001F4">
            <w:pPr>
              <w:pStyle w:val="11"/>
            </w:pPr>
            <w:r>
              <w:t>一级指标</w:t>
            </w:r>
          </w:p>
        </w:tc>
        <w:tc>
          <w:tcPr>
            <w:tcW w:w="2268" w:type="dxa"/>
            <w:vAlign w:val="center"/>
          </w:tcPr>
          <w:p w14:paraId="3BA71A60">
            <w:pPr>
              <w:pStyle w:val="11"/>
            </w:pPr>
            <w:r>
              <w:t>二级指标</w:t>
            </w:r>
          </w:p>
        </w:tc>
        <w:tc>
          <w:tcPr>
            <w:tcW w:w="2835" w:type="dxa"/>
            <w:vAlign w:val="center"/>
          </w:tcPr>
          <w:p w14:paraId="6420AC79">
            <w:pPr>
              <w:pStyle w:val="11"/>
            </w:pPr>
            <w:r>
              <w:t>三级指标</w:t>
            </w:r>
          </w:p>
        </w:tc>
        <w:tc>
          <w:tcPr>
            <w:tcW w:w="5386" w:type="dxa"/>
            <w:vAlign w:val="center"/>
          </w:tcPr>
          <w:p w14:paraId="2EA06D62">
            <w:pPr>
              <w:pStyle w:val="11"/>
            </w:pPr>
            <w:r>
              <w:t>绩效指标描述</w:t>
            </w:r>
          </w:p>
        </w:tc>
        <w:tc>
          <w:tcPr>
            <w:tcW w:w="2268" w:type="dxa"/>
            <w:vAlign w:val="center"/>
          </w:tcPr>
          <w:p w14:paraId="1930C30F">
            <w:pPr>
              <w:pStyle w:val="11"/>
            </w:pPr>
            <w:r>
              <w:t>指标值</w:t>
            </w:r>
          </w:p>
        </w:tc>
        <w:tc>
          <w:tcPr>
            <w:tcW w:w="1276" w:type="dxa"/>
            <w:vAlign w:val="center"/>
          </w:tcPr>
          <w:p w14:paraId="309CAF00">
            <w:pPr>
              <w:pStyle w:val="11"/>
            </w:pPr>
            <w:r>
              <w:t>指标值确定依据</w:t>
            </w:r>
          </w:p>
        </w:tc>
      </w:tr>
      <w:tr w14:paraId="646AE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3C64A">
            <w:pPr>
              <w:pStyle w:val="12"/>
            </w:pPr>
            <w:r>
              <w:t>产出指标</w:t>
            </w:r>
          </w:p>
        </w:tc>
        <w:tc>
          <w:tcPr>
            <w:tcW w:w="2268" w:type="dxa"/>
            <w:vAlign w:val="center"/>
          </w:tcPr>
          <w:p w14:paraId="6E0DB91A">
            <w:pPr>
              <w:pStyle w:val="13"/>
            </w:pPr>
            <w:r>
              <w:t>数量指标</w:t>
            </w:r>
          </w:p>
        </w:tc>
        <w:tc>
          <w:tcPr>
            <w:tcW w:w="2835" w:type="dxa"/>
            <w:vAlign w:val="center"/>
          </w:tcPr>
          <w:p w14:paraId="2223F80B">
            <w:pPr>
              <w:pStyle w:val="13"/>
            </w:pPr>
            <w:r>
              <w:t>生均拨款标准</w:t>
            </w:r>
          </w:p>
        </w:tc>
        <w:tc>
          <w:tcPr>
            <w:tcW w:w="5386" w:type="dxa"/>
            <w:vAlign w:val="center"/>
          </w:tcPr>
          <w:p w14:paraId="1A0B3033">
            <w:pPr>
              <w:pStyle w:val="13"/>
            </w:pPr>
            <w:r>
              <w:t>小学生公用经费生均小学720元。取暖费140元/生/年，随班就读学生补助6000元/生</w:t>
            </w:r>
          </w:p>
        </w:tc>
        <w:tc>
          <w:tcPr>
            <w:tcW w:w="2268" w:type="dxa"/>
            <w:vAlign w:val="center"/>
          </w:tcPr>
          <w:p w14:paraId="6BAC04A9">
            <w:pPr>
              <w:pStyle w:val="13"/>
            </w:pPr>
            <w:r>
              <w:t>840元</w:t>
            </w:r>
          </w:p>
        </w:tc>
        <w:tc>
          <w:tcPr>
            <w:tcW w:w="1276" w:type="dxa"/>
            <w:vAlign w:val="center"/>
          </w:tcPr>
          <w:p w14:paraId="36B4DC1C">
            <w:pPr>
              <w:pStyle w:val="13"/>
            </w:pPr>
            <w:r>
              <w:t>城乡义务教育公用经费管理办法</w:t>
            </w:r>
          </w:p>
        </w:tc>
      </w:tr>
      <w:tr w14:paraId="72013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8CD31"/>
        </w:tc>
        <w:tc>
          <w:tcPr>
            <w:tcW w:w="2268" w:type="dxa"/>
            <w:vAlign w:val="center"/>
          </w:tcPr>
          <w:p w14:paraId="533897A4">
            <w:pPr>
              <w:pStyle w:val="13"/>
            </w:pPr>
            <w:r>
              <w:t>质量指标</w:t>
            </w:r>
          </w:p>
        </w:tc>
        <w:tc>
          <w:tcPr>
            <w:tcW w:w="2835" w:type="dxa"/>
            <w:vAlign w:val="center"/>
          </w:tcPr>
          <w:p w14:paraId="0E336313">
            <w:pPr>
              <w:pStyle w:val="13"/>
            </w:pPr>
            <w:r>
              <w:t>就读学生数</w:t>
            </w:r>
          </w:p>
        </w:tc>
        <w:tc>
          <w:tcPr>
            <w:tcW w:w="5386" w:type="dxa"/>
            <w:vAlign w:val="center"/>
          </w:tcPr>
          <w:p w14:paraId="2F188E89">
            <w:pPr>
              <w:pStyle w:val="13"/>
            </w:pPr>
            <w:r>
              <w:t>辐射区域内适龄学生人数</w:t>
            </w:r>
          </w:p>
        </w:tc>
        <w:tc>
          <w:tcPr>
            <w:tcW w:w="2268" w:type="dxa"/>
            <w:vAlign w:val="center"/>
          </w:tcPr>
          <w:p w14:paraId="0DCD64F8">
            <w:pPr>
              <w:pStyle w:val="13"/>
            </w:pPr>
            <w:r>
              <w:t>≥468人</w:t>
            </w:r>
          </w:p>
        </w:tc>
        <w:tc>
          <w:tcPr>
            <w:tcW w:w="1276" w:type="dxa"/>
            <w:vAlign w:val="center"/>
          </w:tcPr>
          <w:p w14:paraId="213A0501">
            <w:pPr>
              <w:pStyle w:val="13"/>
            </w:pPr>
            <w:r>
              <w:t>城乡义务教育公用经费管理办法</w:t>
            </w:r>
          </w:p>
        </w:tc>
      </w:tr>
      <w:tr w14:paraId="4223F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EB195"/>
        </w:tc>
        <w:tc>
          <w:tcPr>
            <w:tcW w:w="2268" w:type="dxa"/>
            <w:vAlign w:val="center"/>
          </w:tcPr>
          <w:p w14:paraId="1AC59C7C">
            <w:pPr>
              <w:pStyle w:val="13"/>
            </w:pPr>
            <w:r>
              <w:t>时效指标</w:t>
            </w:r>
          </w:p>
        </w:tc>
        <w:tc>
          <w:tcPr>
            <w:tcW w:w="2835" w:type="dxa"/>
            <w:vAlign w:val="center"/>
          </w:tcPr>
          <w:p w14:paraId="463F14E0">
            <w:pPr>
              <w:pStyle w:val="13"/>
            </w:pPr>
            <w:r>
              <w:t>预算执行率</w:t>
            </w:r>
          </w:p>
        </w:tc>
        <w:tc>
          <w:tcPr>
            <w:tcW w:w="5386" w:type="dxa"/>
            <w:vAlign w:val="center"/>
          </w:tcPr>
          <w:p w14:paraId="45EAC42E">
            <w:pPr>
              <w:pStyle w:val="13"/>
            </w:pPr>
            <w:r>
              <w:t>预算执行率≥98%</w:t>
            </w:r>
          </w:p>
        </w:tc>
        <w:tc>
          <w:tcPr>
            <w:tcW w:w="2268" w:type="dxa"/>
            <w:vAlign w:val="center"/>
          </w:tcPr>
          <w:p w14:paraId="5CEF7958">
            <w:pPr>
              <w:pStyle w:val="13"/>
            </w:pPr>
            <w:r>
              <w:t>≥98%</w:t>
            </w:r>
          </w:p>
        </w:tc>
        <w:tc>
          <w:tcPr>
            <w:tcW w:w="1276" w:type="dxa"/>
            <w:vAlign w:val="center"/>
          </w:tcPr>
          <w:p w14:paraId="29EE1486">
            <w:pPr>
              <w:pStyle w:val="13"/>
            </w:pPr>
            <w:r>
              <w:t>城乡义务教育公用经费管理办法</w:t>
            </w:r>
          </w:p>
        </w:tc>
      </w:tr>
      <w:tr w14:paraId="675E7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4CD54"/>
        </w:tc>
        <w:tc>
          <w:tcPr>
            <w:tcW w:w="2268" w:type="dxa"/>
            <w:vAlign w:val="center"/>
          </w:tcPr>
          <w:p w14:paraId="12B16143">
            <w:pPr>
              <w:pStyle w:val="13"/>
            </w:pPr>
            <w:r>
              <w:t>成本指标</w:t>
            </w:r>
          </w:p>
        </w:tc>
        <w:tc>
          <w:tcPr>
            <w:tcW w:w="2835" w:type="dxa"/>
            <w:vAlign w:val="center"/>
          </w:tcPr>
          <w:p w14:paraId="54F70061">
            <w:pPr>
              <w:pStyle w:val="13"/>
            </w:pPr>
            <w:r>
              <w:t>义教经费支付完成率</w:t>
            </w:r>
          </w:p>
        </w:tc>
        <w:tc>
          <w:tcPr>
            <w:tcW w:w="5386" w:type="dxa"/>
            <w:vAlign w:val="center"/>
          </w:tcPr>
          <w:p w14:paraId="4AF5585C">
            <w:pPr>
              <w:pStyle w:val="13"/>
            </w:pPr>
            <w:r>
              <w:t>按照序时进度完成资金支付</w:t>
            </w:r>
          </w:p>
        </w:tc>
        <w:tc>
          <w:tcPr>
            <w:tcW w:w="2268" w:type="dxa"/>
            <w:vAlign w:val="center"/>
          </w:tcPr>
          <w:p w14:paraId="4278D4A3">
            <w:pPr>
              <w:pStyle w:val="13"/>
            </w:pPr>
            <w:r>
              <w:t>100%</w:t>
            </w:r>
          </w:p>
        </w:tc>
        <w:tc>
          <w:tcPr>
            <w:tcW w:w="1276" w:type="dxa"/>
            <w:vAlign w:val="center"/>
          </w:tcPr>
          <w:p w14:paraId="58393EC5">
            <w:pPr>
              <w:pStyle w:val="13"/>
            </w:pPr>
            <w:r>
              <w:t>城乡义务教育公用经费管理办法</w:t>
            </w:r>
          </w:p>
        </w:tc>
      </w:tr>
      <w:tr w14:paraId="4F636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D0F998">
            <w:pPr>
              <w:pStyle w:val="12"/>
            </w:pPr>
            <w:r>
              <w:t>效益指标</w:t>
            </w:r>
          </w:p>
        </w:tc>
        <w:tc>
          <w:tcPr>
            <w:tcW w:w="2268" w:type="dxa"/>
            <w:vAlign w:val="center"/>
          </w:tcPr>
          <w:p w14:paraId="0D8508F6">
            <w:pPr>
              <w:pStyle w:val="13"/>
            </w:pPr>
            <w:r>
              <w:t>可持续影响指标</w:t>
            </w:r>
          </w:p>
        </w:tc>
        <w:tc>
          <w:tcPr>
            <w:tcW w:w="2835" w:type="dxa"/>
            <w:vAlign w:val="center"/>
          </w:tcPr>
          <w:p w14:paraId="33BC3582">
            <w:pPr>
              <w:pStyle w:val="13"/>
            </w:pPr>
            <w:r>
              <w:t>学校运转得到提高</w:t>
            </w:r>
          </w:p>
        </w:tc>
        <w:tc>
          <w:tcPr>
            <w:tcW w:w="5386" w:type="dxa"/>
            <w:vAlign w:val="center"/>
          </w:tcPr>
          <w:p w14:paraId="139FD841">
            <w:pPr>
              <w:pStyle w:val="13"/>
            </w:pPr>
            <w:r>
              <w:t>学生受教育年限</w:t>
            </w:r>
          </w:p>
        </w:tc>
        <w:tc>
          <w:tcPr>
            <w:tcW w:w="2268" w:type="dxa"/>
            <w:vAlign w:val="center"/>
          </w:tcPr>
          <w:p w14:paraId="0F37CF2B">
            <w:pPr>
              <w:pStyle w:val="13"/>
            </w:pPr>
            <w:r>
              <w:t>6年</w:t>
            </w:r>
          </w:p>
        </w:tc>
        <w:tc>
          <w:tcPr>
            <w:tcW w:w="1276" w:type="dxa"/>
            <w:vAlign w:val="center"/>
          </w:tcPr>
          <w:p w14:paraId="6AA9D12B">
            <w:pPr>
              <w:pStyle w:val="13"/>
            </w:pPr>
            <w:r>
              <w:t>城乡义务教育公用经费管理办法</w:t>
            </w:r>
          </w:p>
        </w:tc>
      </w:tr>
      <w:tr w14:paraId="5CFE3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D6B8A4">
            <w:pPr>
              <w:pStyle w:val="12"/>
            </w:pPr>
            <w:r>
              <w:t>满意度指标</w:t>
            </w:r>
          </w:p>
        </w:tc>
        <w:tc>
          <w:tcPr>
            <w:tcW w:w="2268" w:type="dxa"/>
            <w:vAlign w:val="center"/>
          </w:tcPr>
          <w:p w14:paraId="5F35E315">
            <w:pPr>
              <w:pStyle w:val="13"/>
            </w:pPr>
            <w:r>
              <w:t>服务对象满意度指标</w:t>
            </w:r>
          </w:p>
        </w:tc>
        <w:tc>
          <w:tcPr>
            <w:tcW w:w="2835" w:type="dxa"/>
            <w:vAlign w:val="center"/>
          </w:tcPr>
          <w:p w14:paraId="629D65D7">
            <w:pPr>
              <w:pStyle w:val="13"/>
            </w:pPr>
            <w:r>
              <w:t>服务对象满意度</w:t>
            </w:r>
          </w:p>
        </w:tc>
        <w:tc>
          <w:tcPr>
            <w:tcW w:w="5386" w:type="dxa"/>
            <w:vAlign w:val="center"/>
          </w:tcPr>
          <w:p w14:paraId="5D687D11">
            <w:pPr>
              <w:pStyle w:val="13"/>
            </w:pPr>
            <w:r>
              <w:t>学校老师和学生满意度</w:t>
            </w:r>
          </w:p>
        </w:tc>
        <w:tc>
          <w:tcPr>
            <w:tcW w:w="2268" w:type="dxa"/>
            <w:vAlign w:val="center"/>
          </w:tcPr>
          <w:p w14:paraId="544C7A60">
            <w:pPr>
              <w:pStyle w:val="13"/>
            </w:pPr>
            <w:r>
              <w:t>≥95%</w:t>
            </w:r>
          </w:p>
        </w:tc>
        <w:tc>
          <w:tcPr>
            <w:tcW w:w="1276" w:type="dxa"/>
            <w:vAlign w:val="center"/>
          </w:tcPr>
          <w:p w14:paraId="4165CD8F">
            <w:pPr>
              <w:pStyle w:val="13"/>
            </w:pPr>
            <w:r>
              <w:t>问卷调查</w:t>
            </w:r>
          </w:p>
        </w:tc>
      </w:tr>
    </w:tbl>
    <w:p w14:paraId="223A9A8F">
      <w:pPr>
        <w:sectPr>
          <w:pgSz w:w="16840" w:h="11900" w:orient="landscape"/>
          <w:pgMar w:top="1361" w:right="1020" w:bottom="1134" w:left="1020" w:header="720" w:footer="720" w:gutter="0"/>
          <w:cols w:space="720" w:num="1"/>
        </w:sectPr>
      </w:pPr>
    </w:p>
    <w:p w14:paraId="2DF3A4DB">
      <w:pPr>
        <w:spacing w:before="0" w:after="0"/>
        <w:ind w:firstLine="560"/>
        <w:jc w:val="left"/>
        <w:outlineLvl w:val="9"/>
      </w:pPr>
      <w:r>
        <w:rPr>
          <w:rFonts w:ascii="方正仿宋_GBK" w:hAnsi="方正仿宋_GBK" w:eastAsia="方正仿宋_GBK" w:cs="方正仿宋_GBK"/>
          <w:b/>
          <w:color w:val="000000"/>
          <w:sz w:val="28"/>
        </w:rPr>
        <w:t>16、冀财教[2024]141号/省级/2025年义教补助经费/西良后小学公用经费绩效目标表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5A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55533">
            <w:pPr>
              <w:pStyle w:val="14"/>
            </w:pPr>
            <w:r>
              <w:t>单位：万元</w:t>
            </w:r>
          </w:p>
        </w:tc>
      </w:tr>
      <w:tr w14:paraId="0B261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D2715">
            <w:pPr>
              <w:pStyle w:val="11"/>
            </w:pPr>
            <w:r>
              <w:t>项目编码</w:t>
            </w:r>
          </w:p>
        </w:tc>
        <w:tc>
          <w:tcPr>
            <w:tcW w:w="5103" w:type="dxa"/>
            <w:gridSpan w:val="2"/>
            <w:vAlign w:val="center"/>
          </w:tcPr>
          <w:p w14:paraId="209793B8">
            <w:pPr>
              <w:pStyle w:val="13"/>
            </w:pPr>
            <w:r>
              <w:t>13052525P00000410168D</w:t>
            </w:r>
          </w:p>
        </w:tc>
        <w:tc>
          <w:tcPr>
            <w:tcW w:w="2835" w:type="dxa"/>
            <w:vAlign w:val="center"/>
          </w:tcPr>
          <w:p w14:paraId="7F549B74">
            <w:pPr>
              <w:pStyle w:val="11"/>
            </w:pPr>
            <w:r>
              <w:t>项目名称</w:t>
            </w:r>
          </w:p>
        </w:tc>
        <w:tc>
          <w:tcPr>
            <w:tcW w:w="6095" w:type="dxa"/>
            <w:gridSpan w:val="3"/>
            <w:vAlign w:val="center"/>
          </w:tcPr>
          <w:p w14:paraId="2F5C9181">
            <w:pPr>
              <w:pStyle w:val="13"/>
            </w:pPr>
            <w:r>
              <w:t>冀财教[2024]141号/省级/2025年义教补助经费/西良后小学公用经费</w:t>
            </w:r>
          </w:p>
        </w:tc>
      </w:tr>
      <w:tr w14:paraId="5B20D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3FFB8">
            <w:pPr>
              <w:pStyle w:val="11"/>
            </w:pPr>
            <w:r>
              <w:t>预算规模及资金用途</w:t>
            </w:r>
          </w:p>
        </w:tc>
        <w:tc>
          <w:tcPr>
            <w:tcW w:w="2268" w:type="dxa"/>
            <w:vAlign w:val="center"/>
          </w:tcPr>
          <w:p w14:paraId="7F6FEA85">
            <w:pPr>
              <w:pStyle w:val="11"/>
            </w:pPr>
            <w:r>
              <w:t>预算数</w:t>
            </w:r>
          </w:p>
        </w:tc>
        <w:tc>
          <w:tcPr>
            <w:tcW w:w="2835" w:type="dxa"/>
            <w:vAlign w:val="center"/>
          </w:tcPr>
          <w:p w14:paraId="10ED242B">
            <w:pPr>
              <w:pStyle w:val="13"/>
            </w:pPr>
            <w:r>
              <w:t>5.81</w:t>
            </w:r>
          </w:p>
        </w:tc>
        <w:tc>
          <w:tcPr>
            <w:tcW w:w="2835" w:type="dxa"/>
            <w:vAlign w:val="center"/>
          </w:tcPr>
          <w:p w14:paraId="3E21FE6A">
            <w:pPr>
              <w:pStyle w:val="11"/>
            </w:pPr>
            <w:r>
              <w:t>其中：财政    资金</w:t>
            </w:r>
          </w:p>
        </w:tc>
        <w:tc>
          <w:tcPr>
            <w:tcW w:w="2551" w:type="dxa"/>
            <w:vAlign w:val="center"/>
          </w:tcPr>
          <w:p w14:paraId="6B6D7DEC">
            <w:pPr>
              <w:pStyle w:val="13"/>
            </w:pPr>
            <w:r>
              <w:t>5.81</w:t>
            </w:r>
          </w:p>
        </w:tc>
        <w:tc>
          <w:tcPr>
            <w:tcW w:w="2268" w:type="dxa"/>
            <w:vAlign w:val="center"/>
          </w:tcPr>
          <w:p w14:paraId="3C632E74">
            <w:pPr>
              <w:pStyle w:val="11"/>
            </w:pPr>
            <w:r>
              <w:t>其他资金</w:t>
            </w:r>
          </w:p>
        </w:tc>
        <w:tc>
          <w:tcPr>
            <w:tcW w:w="1276" w:type="dxa"/>
            <w:vAlign w:val="center"/>
          </w:tcPr>
          <w:p w14:paraId="3CED7F91">
            <w:pPr>
              <w:pStyle w:val="13"/>
            </w:pPr>
            <w:r>
              <w:t xml:space="preserve"> </w:t>
            </w:r>
          </w:p>
        </w:tc>
      </w:tr>
      <w:tr w14:paraId="79486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9ED04"/>
        </w:tc>
        <w:tc>
          <w:tcPr>
            <w:tcW w:w="14033" w:type="dxa"/>
            <w:gridSpan w:val="6"/>
            <w:vAlign w:val="center"/>
          </w:tcPr>
          <w:p w14:paraId="607194A2">
            <w:pPr>
              <w:pStyle w:val="13"/>
            </w:pPr>
            <w:r>
              <w:t>用于有效完成学校教学安全秩序，保障学校教学任务有效开展，满足学校正常教学需要。</w:t>
            </w:r>
          </w:p>
        </w:tc>
      </w:tr>
      <w:tr w14:paraId="6071B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264E7">
            <w:pPr>
              <w:pStyle w:val="11"/>
            </w:pPr>
            <w:r>
              <w:t>资金支出计划（%）</w:t>
            </w:r>
          </w:p>
        </w:tc>
        <w:tc>
          <w:tcPr>
            <w:tcW w:w="5103" w:type="dxa"/>
            <w:gridSpan w:val="2"/>
            <w:vAlign w:val="center"/>
          </w:tcPr>
          <w:p w14:paraId="33206462">
            <w:pPr>
              <w:pStyle w:val="11"/>
            </w:pPr>
            <w:r>
              <w:t>3月底</w:t>
            </w:r>
          </w:p>
        </w:tc>
        <w:tc>
          <w:tcPr>
            <w:tcW w:w="2835" w:type="dxa"/>
            <w:vAlign w:val="center"/>
          </w:tcPr>
          <w:p w14:paraId="13A24B83">
            <w:pPr>
              <w:pStyle w:val="11"/>
            </w:pPr>
            <w:r>
              <w:t>6月底</w:t>
            </w:r>
          </w:p>
        </w:tc>
        <w:tc>
          <w:tcPr>
            <w:tcW w:w="2551" w:type="dxa"/>
            <w:vAlign w:val="center"/>
          </w:tcPr>
          <w:p w14:paraId="6EE4C495">
            <w:pPr>
              <w:pStyle w:val="11"/>
            </w:pPr>
            <w:r>
              <w:t>10月底</w:t>
            </w:r>
          </w:p>
        </w:tc>
        <w:tc>
          <w:tcPr>
            <w:tcW w:w="3544" w:type="dxa"/>
            <w:gridSpan w:val="2"/>
            <w:vAlign w:val="center"/>
          </w:tcPr>
          <w:p w14:paraId="74D26449">
            <w:pPr>
              <w:pStyle w:val="11"/>
            </w:pPr>
            <w:r>
              <w:t>12月底</w:t>
            </w:r>
          </w:p>
        </w:tc>
      </w:tr>
      <w:tr w14:paraId="79F86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7FCBE7"/>
        </w:tc>
        <w:tc>
          <w:tcPr>
            <w:tcW w:w="5103" w:type="dxa"/>
            <w:gridSpan w:val="2"/>
            <w:vAlign w:val="center"/>
          </w:tcPr>
          <w:p w14:paraId="79B2E8D0">
            <w:pPr>
              <w:pStyle w:val="12"/>
            </w:pPr>
            <w:r>
              <w:t>25%</w:t>
            </w:r>
          </w:p>
        </w:tc>
        <w:tc>
          <w:tcPr>
            <w:tcW w:w="2835" w:type="dxa"/>
            <w:vAlign w:val="center"/>
          </w:tcPr>
          <w:p w14:paraId="6C3CE274">
            <w:pPr>
              <w:pStyle w:val="12"/>
            </w:pPr>
            <w:r>
              <w:t>50%</w:t>
            </w:r>
          </w:p>
        </w:tc>
        <w:tc>
          <w:tcPr>
            <w:tcW w:w="2551" w:type="dxa"/>
            <w:vAlign w:val="center"/>
          </w:tcPr>
          <w:p w14:paraId="5154DFB5">
            <w:pPr>
              <w:pStyle w:val="12"/>
            </w:pPr>
            <w:r>
              <w:t>75%</w:t>
            </w:r>
          </w:p>
        </w:tc>
        <w:tc>
          <w:tcPr>
            <w:tcW w:w="3544" w:type="dxa"/>
            <w:gridSpan w:val="2"/>
            <w:vAlign w:val="center"/>
          </w:tcPr>
          <w:p w14:paraId="7267AAF8">
            <w:pPr>
              <w:pStyle w:val="12"/>
            </w:pPr>
            <w:r>
              <w:t>100%</w:t>
            </w:r>
          </w:p>
        </w:tc>
      </w:tr>
      <w:tr w14:paraId="7AFAD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798ED">
            <w:pPr>
              <w:pStyle w:val="11"/>
            </w:pPr>
            <w:r>
              <w:t>绩效目标</w:t>
            </w:r>
          </w:p>
        </w:tc>
        <w:tc>
          <w:tcPr>
            <w:tcW w:w="14033" w:type="dxa"/>
            <w:gridSpan w:val="6"/>
            <w:vAlign w:val="center"/>
          </w:tcPr>
          <w:p w14:paraId="1A386A8B">
            <w:pPr>
              <w:pStyle w:val="13"/>
            </w:pPr>
            <w:r>
              <w:t>1.有效完成学校教学安全秩序，保障学校教学任务有效开展，满足学校正常教学需要。</w:t>
            </w:r>
          </w:p>
          <w:p w14:paraId="44D16F63">
            <w:pPr>
              <w:pStyle w:val="13"/>
            </w:pPr>
            <w:r>
              <w:t>2.按规定拨付公用经费资金，预算执行率≥98%。</w:t>
            </w:r>
          </w:p>
        </w:tc>
      </w:tr>
    </w:tbl>
    <w:p w14:paraId="66BA3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5E1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C32AA">
            <w:pPr>
              <w:pStyle w:val="11"/>
            </w:pPr>
            <w:r>
              <w:t>一级指标</w:t>
            </w:r>
          </w:p>
        </w:tc>
        <w:tc>
          <w:tcPr>
            <w:tcW w:w="2268" w:type="dxa"/>
            <w:vAlign w:val="center"/>
          </w:tcPr>
          <w:p w14:paraId="497F0F88">
            <w:pPr>
              <w:pStyle w:val="11"/>
            </w:pPr>
            <w:r>
              <w:t>二级指标</w:t>
            </w:r>
          </w:p>
        </w:tc>
        <w:tc>
          <w:tcPr>
            <w:tcW w:w="2835" w:type="dxa"/>
            <w:vAlign w:val="center"/>
          </w:tcPr>
          <w:p w14:paraId="51B0AA07">
            <w:pPr>
              <w:pStyle w:val="11"/>
            </w:pPr>
            <w:r>
              <w:t>三级指标</w:t>
            </w:r>
          </w:p>
        </w:tc>
        <w:tc>
          <w:tcPr>
            <w:tcW w:w="5386" w:type="dxa"/>
            <w:vAlign w:val="center"/>
          </w:tcPr>
          <w:p w14:paraId="5E318FB0">
            <w:pPr>
              <w:pStyle w:val="11"/>
            </w:pPr>
            <w:r>
              <w:t>绩效指标描述</w:t>
            </w:r>
          </w:p>
        </w:tc>
        <w:tc>
          <w:tcPr>
            <w:tcW w:w="2268" w:type="dxa"/>
            <w:vAlign w:val="center"/>
          </w:tcPr>
          <w:p w14:paraId="2C613086">
            <w:pPr>
              <w:pStyle w:val="11"/>
            </w:pPr>
            <w:r>
              <w:t>指标值</w:t>
            </w:r>
          </w:p>
        </w:tc>
        <w:tc>
          <w:tcPr>
            <w:tcW w:w="1276" w:type="dxa"/>
            <w:vAlign w:val="center"/>
          </w:tcPr>
          <w:p w14:paraId="0CA4E341">
            <w:pPr>
              <w:pStyle w:val="11"/>
            </w:pPr>
            <w:r>
              <w:t>指标值确定依据</w:t>
            </w:r>
          </w:p>
        </w:tc>
      </w:tr>
      <w:tr w14:paraId="4AD52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E7605">
            <w:pPr>
              <w:pStyle w:val="12"/>
            </w:pPr>
            <w:r>
              <w:t>产出指标</w:t>
            </w:r>
          </w:p>
        </w:tc>
        <w:tc>
          <w:tcPr>
            <w:tcW w:w="2268" w:type="dxa"/>
            <w:vAlign w:val="center"/>
          </w:tcPr>
          <w:p w14:paraId="7AAAFFB1">
            <w:pPr>
              <w:pStyle w:val="13"/>
            </w:pPr>
            <w:r>
              <w:t>数量指标</w:t>
            </w:r>
          </w:p>
        </w:tc>
        <w:tc>
          <w:tcPr>
            <w:tcW w:w="2835" w:type="dxa"/>
            <w:vAlign w:val="center"/>
          </w:tcPr>
          <w:p w14:paraId="3DF7795E">
            <w:pPr>
              <w:pStyle w:val="13"/>
            </w:pPr>
            <w:r>
              <w:t>就读学生数</w:t>
            </w:r>
          </w:p>
        </w:tc>
        <w:tc>
          <w:tcPr>
            <w:tcW w:w="5386" w:type="dxa"/>
            <w:vAlign w:val="center"/>
          </w:tcPr>
          <w:p w14:paraId="556646AC">
            <w:pPr>
              <w:pStyle w:val="13"/>
            </w:pPr>
            <w:r>
              <w:t>辐射区域内适龄学生人数</w:t>
            </w:r>
          </w:p>
        </w:tc>
        <w:tc>
          <w:tcPr>
            <w:tcW w:w="2268" w:type="dxa"/>
            <w:vAlign w:val="center"/>
          </w:tcPr>
          <w:p w14:paraId="6DBEC0A7">
            <w:pPr>
              <w:pStyle w:val="13"/>
            </w:pPr>
            <w:r>
              <w:t>210人</w:t>
            </w:r>
          </w:p>
        </w:tc>
        <w:tc>
          <w:tcPr>
            <w:tcW w:w="1276" w:type="dxa"/>
            <w:vAlign w:val="center"/>
          </w:tcPr>
          <w:p w14:paraId="56679403">
            <w:pPr>
              <w:pStyle w:val="13"/>
            </w:pPr>
            <w:r>
              <w:t>城乡义务教育公用经费管理办法</w:t>
            </w:r>
          </w:p>
        </w:tc>
      </w:tr>
      <w:tr w14:paraId="74FF6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7AF14"/>
        </w:tc>
        <w:tc>
          <w:tcPr>
            <w:tcW w:w="2268" w:type="dxa"/>
            <w:vAlign w:val="center"/>
          </w:tcPr>
          <w:p w14:paraId="58E63663">
            <w:pPr>
              <w:pStyle w:val="13"/>
            </w:pPr>
            <w:r>
              <w:t>质量指标</w:t>
            </w:r>
          </w:p>
        </w:tc>
        <w:tc>
          <w:tcPr>
            <w:tcW w:w="2835" w:type="dxa"/>
            <w:vAlign w:val="center"/>
          </w:tcPr>
          <w:p w14:paraId="0E21B5DE">
            <w:pPr>
              <w:pStyle w:val="13"/>
            </w:pPr>
            <w:r>
              <w:t>预算执行率</w:t>
            </w:r>
          </w:p>
        </w:tc>
        <w:tc>
          <w:tcPr>
            <w:tcW w:w="5386" w:type="dxa"/>
            <w:vAlign w:val="center"/>
          </w:tcPr>
          <w:p w14:paraId="7E82EDA4">
            <w:pPr>
              <w:pStyle w:val="13"/>
            </w:pPr>
            <w:r>
              <w:t>预算执行率</w:t>
            </w:r>
          </w:p>
        </w:tc>
        <w:tc>
          <w:tcPr>
            <w:tcW w:w="2268" w:type="dxa"/>
            <w:vAlign w:val="center"/>
          </w:tcPr>
          <w:p w14:paraId="2E602CBA">
            <w:pPr>
              <w:pStyle w:val="13"/>
            </w:pPr>
            <w:r>
              <w:t>≥98%</w:t>
            </w:r>
          </w:p>
        </w:tc>
        <w:tc>
          <w:tcPr>
            <w:tcW w:w="1276" w:type="dxa"/>
            <w:vAlign w:val="center"/>
          </w:tcPr>
          <w:p w14:paraId="39405F23">
            <w:pPr>
              <w:pStyle w:val="13"/>
            </w:pPr>
            <w:r>
              <w:t>城乡义务教育公用经费管理办法</w:t>
            </w:r>
          </w:p>
        </w:tc>
      </w:tr>
      <w:tr w14:paraId="7FFB6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FE9D2"/>
        </w:tc>
        <w:tc>
          <w:tcPr>
            <w:tcW w:w="2268" w:type="dxa"/>
            <w:vAlign w:val="center"/>
          </w:tcPr>
          <w:p w14:paraId="2B04123C">
            <w:pPr>
              <w:pStyle w:val="13"/>
            </w:pPr>
            <w:r>
              <w:t>时效指标</w:t>
            </w:r>
          </w:p>
        </w:tc>
        <w:tc>
          <w:tcPr>
            <w:tcW w:w="2835" w:type="dxa"/>
            <w:vAlign w:val="center"/>
          </w:tcPr>
          <w:p w14:paraId="462B8C12">
            <w:pPr>
              <w:pStyle w:val="13"/>
            </w:pPr>
            <w:r>
              <w:t>义教经费支付完成率</w:t>
            </w:r>
          </w:p>
        </w:tc>
        <w:tc>
          <w:tcPr>
            <w:tcW w:w="5386" w:type="dxa"/>
            <w:vAlign w:val="center"/>
          </w:tcPr>
          <w:p w14:paraId="752DD36B">
            <w:pPr>
              <w:pStyle w:val="13"/>
            </w:pPr>
            <w:r>
              <w:t>按照序时进度完成资金支付</w:t>
            </w:r>
          </w:p>
        </w:tc>
        <w:tc>
          <w:tcPr>
            <w:tcW w:w="2268" w:type="dxa"/>
            <w:vAlign w:val="center"/>
          </w:tcPr>
          <w:p w14:paraId="4BDE5758">
            <w:pPr>
              <w:pStyle w:val="13"/>
            </w:pPr>
            <w:r>
              <w:t>≥100%</w:t>
            </w:r>
          </w:p>
        </w:tc>
        <w:tc>
          <w:tcPr>
            <w:tcW w:w="1276" w:type="dxa"/>
            <w:vAlign w:val="center"/>
          </w:tcPr>
          <w:p w14:paraId="7F71849F">
            <w:pPr>
              <w:pStyle w:val="13"/>
            </w:pPr>
            <w:r>
              <w:t>城乡义务教育公用经费管理办法</w:t>
            </w:r>
          </w:p>
        </w:tc>
      </w:tr>
      <w:tr w14:paraId="46DE3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C5078"/>
        </w:tc>
        <w:tc>
          <w:tcPr>
            <w:tcW w:w="2268" w:type="dxa"/>
            <w:vAlign w:val="center"/>
          </w:tcPr>
          <w:p w14:paraId="6FA58029">
            <w:pPr>
              <w:pStyle w:val="13"/>
            </w:pPr>
            <w:r>
              <w:t>成本指标</w:t>
            </w:r>
          </w:p>
        </w:tc>
        <w:tc>
          <w:tcPr>
            <w:tcW w:w="2835" w:type="dxa"/>
            <w:vAlign w:val="center"/>
          </w:tcPr>
          <w:p w14:paraId="52F7FADF">
            <w:pPr>
              <w:pStyle w:val="13"/>
            </w:pPr>
            <w:r>
              <w:t>生均拨款标准</w:t>
            </w:r>
          </w:p>
        </w:tc>
        <w:tc>
          <w:tcPr>
            <w:tcW w:w="5386" w:type="dxa"/>
            <w:vAlign w:val="center"/>
          </w:tcPr>
          <w:p w14:paraId="4B7B8CB4">
            <w:pPr>
              <w:pStyle w:val="13"/>
            </w:pPr>
            <w:r>
              <w:t>小学：（基本标准720元、寄宿生300元、生活补助120元）/生/学年；特教、随班就读学生：标准6000元/生/学年</w:t>
            </w:r>
          </w:p>
        </w:tc>
        <w:tc>
          <w:tcPr>
            <w:tcW w:w="2268" w:type="dxa"/>
            <w:vAlign w:val="center"/>
          </w:tcPr>
          <w:p w14:paraId="06C9C9B6">
            <w:pPr>
              <w:pStyle w:val="13"/>
            </w:pPr>
            <w:r>
              <w:t>840元</w:t>
            </w:r>
          </w:p>
        </w:tc>
        <w:tc>
          <w:tcPr>
            <w:tcW w:w="1276" w:type="dxa"/>
            <w:vAlign w:val="center"/>
          </w:tcPr>
          <w:p w14:paraId="22DC8741">
            <w:pPr>
              <w:pStyle w:val="13"/>
            </w:pPr>
            <w:r>
              <w:t>城乡义务教育公用经费管理办法</w:t>
            </w:r>
          </w:p>
        </w:tc>
      </w:tr>
      <w:tr w14:paraId="6B598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40F885">
            <w:pPr>
              <w:pStyle w:val="12"/>
            </w:pPr>
            <w:r>
              <w:t>效益指标</w:t>
            </w:r>
          </w:p>
        </w:tc>
        <w:tc>
          <w:tcPr>
            <w:tcW w:w="2268" w:type="dxa"/>
            <w:vAlign w:val="center"/>
          </w:tcPr>
          <w:p w14:paraId="63C5E766">
            <w:pPr>
              <w:pStyle w:val="13"/>
            </w:pPr>
            <w:r>
              <w:t>社会效益指标</w:t>
            </w:r>
          </w:p>
        </w:tc>
        <w:tc>
          <w:tcPr>
            <w:tcW w:w="2835" w:type="dxa"/>
            <w:vAlign w:val="center"/>
          </w:tcPr>
          <w:p w14:paraId="170E0E4B">
            <w:pPr>
              <w:pStyle w:val="13"/>
            </w:pPr>
            <w:r>
              <w:t>学校稳定率</w:t>
            </w:r>
          </w:p>
        </w:tc>
        <w:tc>
          <w:tcPr>
            <w:tcW w:w="5386" w:type="dxa"/>
            <w:vAlign w:val="center"/>
          </w:tcPr>
          <w:p w14:paraId="3E961161">
            <w:pPr>
              <w:pStyle w:val="13"/>
            </w:pPr>
            <w:r>
              <w:t>维护学校稳定，保障学校正常教学秩序有效开展</w:t>
            </w:r>
          </w:p>
        </w:tc>
        <w:tc>
          <w:tcPr>
            <w:tcW w:w="2268" w:type="dxa"/>
            <w:vAlign w:val="center"/>
          </w:tcPr>
          <w:p w14:paraId="6F75FB39">
            <w:pPr>
              <w:pStyle w:val="13"/>
            </w:pPr>
            <w:r>
              <w:t>≥100%</w:t>
            </w:r>
          </w:p>
        </w:tc>
        <w:tc>
          <w:tcPr>
            <w:tcW w:w="1276" w:type="dxa"/>
            <w:vAlign w:val="center"/>
          </w:tcPr>
          <w:p w14:paraId="1E24A1DC">
            <w:pPr>
              <w:pStyle w:val="13"/>
            </w:pPr>
            <w:r>
              <w:t>城乡义务教育公用经费管理办法</w:t>
            </w:r>
          </w:p>
        </w:tc>
      </w:tr>
      <w:tr w14:paraId="1B77F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5601CA">
            <w:pPr>
              <w:pStyle w:val="12"/>
            </w:pPr>
            <w:r>
              <w:t>满意度指标</w:t>
            </w:r>
          </w:p>
        </w:tc>
        <w:tc>
          <w:tcPr>
            <w:tcW w:w="2268" w:type="dxa"/>
            <w:vAlign w:val="center"/>
          </w:tcPr>
          <w:p w14:paraId="60A54E29">
            <w:pPr>
              <w:pStyle w:val="13"/>
            </w:pPr>
            <w:r>
              <w:t>服务对象满意度指标</w:t>
            </w:r>
          </w:p>
        </w:tc>
        <w:tc>
          <w:tcPr>
            <w:tcW w:w="2835" w:type="dxa"/>
            <w:vAlign w:val="center"/>
          </w:tcPr>
          <w:p w14:paraId="49CF2313">
            <w:pPr>
              <w:pStyle w:val="13"/>
            </w:pPr>
            <w:r>
              <w:t>家长和学生满意度</w:t>
            </w:r>
          </w:p>
        </w:tc>
        <w:tc>
          <w:tcPr>
            <w:tcW w:w="5386" w:type="dxa"/>
            <w:vAlign w:val="center"/>
          </w:tcPr>
          <w:p w14:paraId="04E474E0">
            <w:pPr>
              <w:pStyle w:val="13"/>
            </w:pPr>
            <w:r>
              <w:t>家长和学生满意度</w:t>
            </w:r>
          </w:p>
        </w:tc>
        <w:tc>
          <w:tcPr>
            <w:tcW w:w="2268" w:type="dxa"/>
            <w:vAlign w:val="center"/>
          </w:tcPr>
          <w:p w14:paraId="7A1EAD81">
            <w:pPr>
              <w:pStyle w:val="13"/>
            </w:pPr>
            <w:r>
              <w:t>≥95%</w:t>
            </w:r>
          </w:p>
        </w:tc>
        <w:tc>
          <w:tcPr>
            <w:tcW w:w="1276" w:type="dxa"/>
            <w:vAlign w:val="center"/>
          </w:tcPr>
          <w:p w14:paraId="760BDFDA">
            <w:pPr>
              <w:pStyle w:val="13"/>
            </w:pPr>
            <w:r>
              <w:t>问卷调查</w:t>
            </w:r>
          </w:p>
        </w:tc>
      </w:tr>
    </w:tbl>
    <w:p w14:paraId="599B1A2F">
      <w:pPr>
        <w:sectPr>
          <w:pgSz w:w="16840" w:h="11900" w:orient="landscape"/>
          <w:pgMar w:top="1361" w:right="1020" w:bottom="1134" w:left="1020" w:header="720" w:footer="720" w:gutter="0"/>
          <w:cols w:space="720" w:num="1"/>
        </w:sectPr>
      </w:pPr>
    </w:p>
    <w:p w14:paraId="154701C1">
      <w:pPr>
        <w:spacing w:before="0" w:after="0"/>
        <w:ind w:firstLine="560"/>
        <w:jc w:val="left"/>
        <w:outlineLvl w:val="9"/>
      </w:pPr>
      <w:r>
        <w:rPr>
          <w:rFonts w:ascii="方正仿宋_GBK" w:hAnsi="方正仿宋_GBK" w:eastAsia="方正仿宋_GBK" w:cs="方正仿宋_GBK"/>
          <w:b/>
          <w:color w:val="000000"/>
          <w:sz w:val="28"/>
        </w:rPr>
        <w:t>17、冀财教[2024]141号/省级/2025年义教补助经费/校舍安全保障/北村小学甬路硬化及餐厅改造绩效目标表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D1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914CB">
            <w:pPr>
              <w:pStyle w:val="14"/>
            </w:pPr>
            <w:r>
              <w:t>单位：万元</w:t>
            </w:r>
          </w:p>
        </w:tc>
      </w:tr>
      <w:tr w14:paraId="129C6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C918D">
            <w:pPr>
              <w:pStyle w:val="11"/>
            </w:pPr>
            <w:r>
              <w:t>项目编码</w:t>
            </w:r>
          </w:p>
        </w:tc>
        <w:tc>
          <w:tcPr>
            <w:tcW w:w="5103" w:type="dxa"/>
            <w:gridSpan w:val="2"/>
            <w:vAlign w:val="center"/>
          </w:tcPr>
          <w:p w14:paraId="39DEBC04">
            <w:pPr>
              <w:pStyle w:val="13"/>
            </w:pPr>
            <w:r>
              <w:t>13052525P00876210035G</w:t>
            </w:r>
          </w:p>
        </w:tc>
        <w:tc>
          <w:tcPr>
            <w:tcW w:w="2835" w:type="dxa"/>
            <w:vAlign w:val="center"/>
          </w:tcPr>
          <w:p w14:paraId="6B0BDE80">
            <w:pPr>
              <w:pStyle w:val="11"/>
            </w:pPr>
            <w:r>
              <w:t>项目名称</w:t>
            </w:r>
          </w:p>
        </w:tc>
        <w:tc>
          <w:tcPr>
            <w:tcW w:w="6095" w:type="dxa"/>
            <w:gridSpan w:val="3"/>
            <w:vAlign w:val="center"/>
          </w:tcPr>
          <w:p w14:paraId="130846C2">
            <w:pPr>
              <w:pStyle w:val="13"/>
            </w:pPr>
            <w:r>
              <w:t>冀财教[2024]141号/省级/2025年义教补助经费/校舍安全保障/北村小学甬路硬化及餐厅改造</w:t>
            </w:r>
          </w:p>
        </w:tc>
      </w:tr>
      <w:tr w14:paraId="3CEB7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457C4">
            <w:pPr>
              <w:pStyle w:val="11"/>
            </w:pPr>
            <w:r>
              <w:t>预算规模及资金用途</w:t>
            </w:r>
          </w:p>
        </w:tc>
        <w:tc>
          <w:tcPr>
            <w:tcW w:w="2268" w:type="dxa"/>
            <w:vAlign w:val="center"/>
          </w:tcPr>
          <w:p w14:paraId="7DCF866F">
            <w:pPr>
              <w:pStyle w:val="11"/>
            </w:pPr>
            <w:r>
              <w:t>预算数</w:t>
            </w:r>
          </w:p>
        </w:tc>
        <w:tc>
          <w:tcPr>
            <w:tcW w:w="2835" w:type="dxa"/>
            <w:vAlign w:val="center"/>
          </w:tcPr>
          <w:p w14:paraId="0BF3DE9F">
            <w:pPr>
              <w:pStyle w:val="13"/>
            </w:pPr>
            <w:r>
              <w:t>15.78</w:t>
            </w:r>
          </w:p>
        </w:tc>
        <w:tc>
          <w:tcPr>
            <w:tcW w:w="2835" w:type="dxa"/>
            <w:vAlign w:val="center"/>
          </w:tcPr>
          <w:p w14:paraId="550B6D28">
            <w:pPr>
              <w:pStyle w:val="11"/>
            </w:pPr>
            <w:r>
              <w:t>其中：财政    资金</w:t>
            </w:r>
          </w:p>
        </w:tc>
        <w:tc>
          <w:tcPr>
            <w:tcW w:w="2551" w:type="dxa"/>
            <w:vAlign w:val="center"/>
          </w:tcPr>
          <w:p w14:paraId="0A0FEAB6">
            <w:pPr>
              <w:pStyle w:val="13"/>
            </w:pPr>
            <w:r>
              <w:t>15.78</w:t>
            </w:r>
          </w:p>
        </w:tc>
        <w:tc>
          <w:tcPr>
            <w:tcW w:w="2268" w:type="dxa"/>
            <w:vAlign w:val="center"/>
          </w:tcPr>
          <w:p w14:paraId="5FD70953">
            <w:pPr>
              <w:pStyle w:val="11"/>
            </w:pPr>
            <w:r>
              <w:t>其他资金</w:t>
            </w:r>
          </w:p>
        </w:tc>
        <w:tc>
          <w:tcPr>
            <w:tcW w:w="1276" w:type="dxa"/>
            <w:vAlign w:val="center"/>
          </w:tcPr>
          <w:p w14:paraId="65A30DCB">
            <w:pPr>
              <w:pStyle w:val="13"/>
            </w:pPr>
            <w:r>
              <w:t xml:space="preserve"> </w:t>
            </w:r>
          </w:p>
        </w:tc>
      </w:tr>
      <w:tr w14:paraId="69DCC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10D4B3"/>
        </w:tc>
        <w:tc>
          <w:tcPr>
            <w:tcW w:w="14033" w:type="dxa"/>
            <w:gridSpan w:val="6"/>
            <w:vAlign w:val="center"/>
          </w:tcPr>
          <w:p w14:paraId="3505445E">
            <w:pPr>
              <w:pStyle w:val="13"/>
            </w:pPr>
            <w:r>
              <w:t>完成北村小学甬路硬化及餐厅改造，满足学校正常教学需要。</w:t>
            </w:r>
            <w:r>
              <w:tab/>
            </w:r>
            <w:r>
              <w:tab/>
            </w:r>
            <w:r>
              <w:tab/>
            </w:r>
            <w:r>
              <w:tab/>
            </w:r>
            <w:r>
              <w:tab/>
            </w:r>
            <w:r>
              <w:tab/>
            </w:r>
          </w:p>
          <w:p w14:paraId="4998BEBC">
            <w:pPr>
              <w:pStyle w:val="13"/>
            </w:pPr>
          </w:p>
        </w:tc>
      </w:tr>
      <w:tr w14:paraId="421B6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E518E">
            <w:pPr>
              <w:pStyle w:val="11"/>
            </w:pPr>
            <w:r>
              <w:t>资金支出计划（%）</w:t>
            </w:r>
          </w:p>
        </w:tc>
        <w:tc>
          <w:tcPr>
            <w:tcW w:w="5103" w:type="dxa"/>
            <w:gridSpan w:val="2"/>
            <w:vAlign w:val="center"/>
          </w:tcPr>
          <w:p w14:paraId="310199EF">
            <w:pPr>
              <w:pStyle w:val="11"/>
            </w:pPr>
            <w:r>
              <w:t>3月底</w:t>
            </w:r>
          </w:p>
        </w:tc>
        <w:tc>
          <w:tcPr>
            <w:tcW w:w="2835" w:type="dxa"/>
            <w:vAlign w:val="center"/>
          </w:tcPr>
          <w:p w14:paraId="426CE4E9">
            <w:pPr>
              <w:pStyle w:val="11"/>
            </w:pPr>
            <w:r>
              <w:t>6月底</w:t>
            </w:r>
          </w:p>
        </w:tc>
        <w:tc>
          <w:tcPr>
            <w:tcW w:w="2551" w:type="dxa"/>
            <w:vAlign w:val="center"/>
          </w:tcPr>
          <w:p w14:paraId="0814BC41">
            <w:pPr>
              <w:pStyle w:val="11"/>
            </w:pPr>
            <w:r>
              <w:t>10月底</w:t>
            </w:r>
          </w:p>
        </w:tc>
        <w:tc>
          <w:tcPr>
            <w:tcW w:w="3544" w:type="dxa"/>
            <w:gridSpan w:val="2"/>
            <w:vAlign w:val="center"/>
          </w:tcPr>
          <w:p w14:paraId="5672C947">
            <w:pPr>
              <w:pStyle w:val="11"/>
            </w:pPr>
            <w:r>
              <w:t>12月底</w:t>
            </w:r>
          </w:p>
        </w:tc>
      </w:tr>
      <w:tr w14:paraId="11593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49847"/>
        </w:tc>
        <w:tc>
          <w:tcPr>
            <w:tcW w:w="5103" w:type="dxa"/>
            <w:gridSpan w:val="2"/>
            <w:vAlign w:val="center"/>
          </w:tcPr>
          <w:p w14:paraId="0771D086">
            <w:pPr>
              <w:pStyle w:val="12"/>
            </w:pPr>
            <w:r>
              <w:t xml:space="preserve"> </w:t>
            </w:r>
          </w:p>
        </w:tc>
        <w:tc>
          <w:tcPr>
            <w:tcW w:w="2835" w:type="dxa"/>
            <w:vAlign w:val="center"/>
          </w:tcPr>
          <w:p w14:paraId="79580BC9">
            <w:pPr>
              <w:pStyle w:val="12"/>
            </w:pPr>
            <w:r>
              <w:t xml:space="preserve"> </w:t>
            </w:r>
          </w:p>
        </w:tc>
        <w:tc>
          <w:tcPr>
            <w:tcW w:w="2551" w:type="dxa"/>
            <w:vAlign w:val="center"/>
          </w:tcPr>
          <w:p w14:paraId="78C26095">
            <w:pPr>
              <w:pStyle w:val="12"/>
            </w:pPr>
            <w:r>
              <w:t>100%</w:t>
            </w:r>
          </w:p>
        </w:tc>
        <w:tc>
          <w:tcPr>
            <w:tcW w:w="3544" w:type="dxa"/>
            <w:gridSpan w:val="2"/>
            <w:vAlign w:val="center"/>
          </w:tcPr>
          <w:p w14:paraId="03F804F0">
            <w:pPr>
              <w:pStyle w:val="12"/>
            </w:pPr>
            <w:r>
              <w:t>100%</w:t>
            </w:r>
          </w:p>
        </w:tc>
      </w:tr>
      <w:tr w14:paraId="5D527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F37BA">
            <w:pPr>
              <w:pStyle w:val="11"/>
            </w:pPr>
            <w:r>
              <w:t>绩效目标</w:t>
            </w:r>
          </w:p>
        </w:tc>
        <w:tc>
          <w:tcPr>
            <w:tcW w:w="14033" w:type="dxa"/>
            <w:gridSpan w:val="6"/>
            <w:vAlign w:val="center"/>
          </w:tcPr>
          <w:p w14:paraId="1E466F29">
            <w:pPr>
              <w:pStyle w:val="13"/>
            </w:pPr>
            <w:r>
              <w:t>1.按规定拨付专项资金，资金支付率达到100%。</w:t>
            </w:r>
          </w:p>
          <w:p w14:paraId="0F66E1CB">
            <w:pPr>
              <w:pStyle w:val="13"/>
            </w:pPr>
            <w:r>
              <w:t>2.完成北村小学甬路硬化及餐厅改造，满足学校正常教学需要。</w:t>
            </w:r>
          </w:p>
        </w:tc>
      </w:tr>
    </w:tbl>
    <w:p w14:paraId="05B87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14:paraId="25D39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9B957">
            <w:pPr>
              <w:pStyle w:val="11"/>
            </w:pPr>
            <w:r>
              <w:t>一级指标</w:t>
            </w:r>
          </w:p>
        </w:tc>
        <w:tc>
          <w:tcPr>
            <w:tcW w:w="2268" w:type="dxa"/>
            <w:vAlign w:val="center"/>
          </w:tcPr>
          <w:p w14:paraId="2D1D5163">
            <w:pPr>
              <w:pStyle w:val="11"/>
            </w:pPr>
            <w:r>
              <w:t>二级指标</w:t>
            </w:r>
          </w:p>
        </w:tc>
        <w:tc>
          <w:tcPr>
            <w:tcW w:w="2835" w:type="dxa"/>
            <w:vAlign w:val="center"/>
          </w:tcPr>
          <w:p w14:paraId="703F0367">
            <w:pPr>
              <w:pStyle w:val="11"/>
            </w:pPr>
            <w:r>
              <w:t>三级指标</w:t>
            </w:r>
          </w:p>
        </w:tc>
        <w:tc>
          <w:tcPr>
            <w:tcW w:w="5386" w:type="dxa"/>
            <w:vAlign w:val="center"/>
          </w:tcPr>
          <w:p w14:paraId="3CE5FA78">
            <w:pPr>
              <w:pStyle w:val="11"/>
            </w:pPr>
            <w:r>
              <w:t>绩效指标描述</w:t>
            </w:r>
          </w:p>
        </w:tc>
        <w:tc>
          <w:tcPr>
            <w:tcW w:w="1688" w:type="dxa"/>
            <w:vAlign w:val="center"/>
          </w:tcPr>
          <w:p w14:paraId="7FFD3CF9">
            <w:pPr>
              <w:pStyle w:val="11"/>
            </w:pPr>
            <w:r>
              <w:t>指标值</w:t>
            </w:r>
          </w:p>
        </w:tc>
        <w:tc>
          <w:tcPr>
            <w:tcW w:w="1856" w:type="dxa"/>
            <w:vAlign w:val="center"/>
          </w:tcPr>
          <w:p w14:paraId="191F40EF">
            <w:pPr>
              <w:pStyle w:val="11"/>
            </w:pPr>
            <w:r>
              <w:t>指标值确定依据</w:t>
            </w:r>
          </w:p>
        </w:tc>
      </w:tr>
      <w:tr w14:paraId="59032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82AD4">
            <w:pPr>
              <w:pStyle w:val="12"/>
            </w:pPr>
            <w:r>
              <w:t>产出指标</w:t>
            </w:r>
          </w:p>
        </w:tc>
        <w:tc>
          <w:tcPr>
            <w:tcW w:w="2268" w:type="dxa"/>
            <w:vAlign w:val="center"/>
          </w:tcPr>
          <w:p w14:paraId="5AA1676E">
            <w:pPr>
              <w:pStyle w:val="13"/>
            </w:pPr>
            <w:r>
              <w:t>数量指标</w:t>
            </w:r>
          </w:p>
        </w:tc>
        <w:tc>
          <w:tcPr>
            <w:tcW w:w="2835" w:type="dxa"/>
            <w:vAlign w:val="center"/>
          </w:tcPr>
          <w:p w14:paraId="5943B5C6">
            <w:pPr>
              <w:pStyle w:val="13"/>
            </w:pPr>
            <w:r>
              <w:t>甬路硬化及餐厅改造</w:t>
            </w:r>
          </w:p>
        </w:tc>
        <w:tc>
          <w:tcPr>
            <w:tcW w:w="5386" w:type="dxa"/>
            <w:vAlign w:val="center"/>
          </w:tcPr>
          <w:p w14:paraId="570FD0F9">
            <w:pPr>
              <w:pStyle w:val="13"/>
            </w:pPr>
            <w:r>
              <w:t>甬路硬化及餐厅改造</w:t>
            </w:r>
          </w:p>
        </w:tc>
        <w:tc>
          <w:tcPr>
            <w:tcW w:w="1688" w:type="dxa"/>
            <w:vAlign w:val="center"/>
          </w:tcPr>
          <w:p w14:paraId="06F3FBFF">
            <w:pPr>
              <w:pStyle w:val="13"/>
            </w:pPr>
            <w:r>
              <w:t>15.78万元</w:t>
            </w:r>
          </w:p>
        </w:tc>
        <w:tc>
          <w:tcPr>
            <w:tcW w:w="1856" w:type="dxa"/>
            <w:vAlign w:val="center"/>
          </w:tcPr>
          <w:p w14:paraId="0EBF1A81">
            <w:pPr>
              <w:pStyle w:val="13"/>
            </w:pPr>
            <w:r>
              <w:t>城乡义务教育公用经费管理办法</w:t>
            </w:r>
          </w:p>
        </w:tc>
      </w:tr>
      <w:tr w14:paraId="596B9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099EC"/>
        </w:tc>
        <w:tc>
          <w:tcPr>
            <w:tcW w:w="2268" w:type="dxa"/>
            <w:vAlign w:val="center"/>
          </w:tcPr>
          <w:p w14:paraId="4D728705">
            <w:pPr>
              <w:pStyle w:val="13"/>
            </w:pPr>
            <w:r>
              <w:t>质量指标</w:t>
            </w:r>
          </w:p>
        </w:tc>
        <w:tc>
          <w:tcPr>
            <w:tcW w:w="2835" w:type="dxa"/>
            <w:vAlign w:val="center"/>
          </w:tcPr>
          <w:p w14:paraId="42219665">
            <w:pPr>
              <w:pStyle w:val="13"/>
            </w:pPr>
            <w:r>
              <w:t>资金支付率</w:t>
            </w:r>
          </w:p>
        </w:tc>
        <w:tc>
          <w:tcPr>
            <w:tcW w:w="5386" w:type="dxa"/>
            <w:vAlign w:val="center"/>
          </w:tcPr>
          <w:p w14:paraId="0A9A1F1A">
            <w:pPr>
              <w:pStyle w:val="13"/>
            </w:pPr>
            <w:r>
              <w:t>按照序时进度完成资金支付</w:t>
            </w:r>
          </w:p>
        </w:tc>
        <w:tc>
          <w:tcPr>
            <w:tcW w:w="1688" w:type="dxa"/>
            <w:vAlign w:val="center"/>
          </w:tcPr>
          <w:p w14:paraId="23BD9DB8">
            <w:pPr>
              <w:pStyle w:val="13"/>
            </w:pPr>
            <w:r>
              <w:t>≥100%</w:t>
            </w:r>
          </w:p>
        </w:tc>
        <w:tc>
          <w:tcPr>
            <w:tcW w:w="1856" w:type="dxa"/>
            <w:vAlign w:val="center"/>
          </w:tcPr>
          <w:p w14:paraId="612049A3">
            <w:pPr>
              <w:pStyle w:val="13"/>
            </w:pPr>
            <w:r>
              <w:t>城乡义务教育公用经费管理办法</w:t>
            </w:r>
          </w:p>
        </w:tc>
      </w:tr>
      <w:tr w14:paraId="094C7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F3923"/>
        </w:tc>
        <w:tc>
          <w:tcPr>
            <w:tcW w:w="2268" w:type="dxa"/>
            <w:vAlign w:val="center"/>
          </w:tcPr>
          <w:p w14:paraId="20D8AE88">
            <w:pPr>
              <w:pStyle w:val="13"/>
            </w:pPr>
            <w:r>
              <w:t>时效指标</w:t>
            </w:r>
          </w:p>
        </w:tc>
        <w:tc>
          <w:tcPr>
            <w:tcW w:w="2835" w:type="dxa"/>
            <w:vAlign w:val="center"/>
          </w:tcPr>
          <w:p w14:paraId="600AE354">
            <w:pPr>
              <w:pStyle w:val="13"/>
            </w:pPr>
            <w:r>
              <w:t>项目竣工验收合格率</w:t>
            </w:r>
          </w:p>
        </w:tc>
        <w:tc>
          <w:tcPr>
            <w:tcW w:w="5386" w:type="dxa"/>
            <w:vAlign w:val="center"/>
          </w:tcPr>
          <w:p w14:paraId="093F6980">
            <w:pPr>
              <w:pStyle w:val="13"/>
            </w:pPr>
            <w:r>
              <w:t>项目改造质量达标率</w:t>
            </w:r>
          </w:p>
        </w:tc>
        <w:tc>
          <w:tcPr>
            <w:tcW w:w="1688" w:type="dxa"/>
            <w:vAlign w:val="center"/>
          </w:tcPr>
          <w:p w14:paraId="7E2E3E45">
            <w:pPr>
              <w:pStyle w:val="13"/>
            </w:pPr>
            <w:r>
              <w:t>≥100%</w:t>
            </w:r>
          </w:p>
        </w:tc>
        <w:tc>
          <w:tcPr>
            <w:tcW w:w="1856" w:type="dxa"/>
            <w:vAlign w:val="center"/>
          </w:tcPr>
          <w:p w14:paraId="2A28EE23">
            <w:pPr>
              <w:pStyle w:val="13"/>
            </w:pPr>
            <w:r>
              <w:t>城乡义务教育公用经费管理办法</w:t>
            </w:r>
          </w:p>
        </w:tc>
      </w:tr>
      <w:tr w14:paraId="31C8C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57205"/>
        </w:tc>
        <w:tc>
          <w:tcPr>
            <w:tcW w:w="2268" w:type="dxa"/>
            <w:vAlign w:val="center"/>
          </w:tcPr>
          <w:p w14:paraId="7ABE40F6">
            <w:pPr>
              <w:pStyle w:val="13"/>
            </w:pPr>
            <w:r>
              <w:t>成本指标</w:t>
            </w:r>
          </w:p>
        </w:tc>
        <w:tc>
          <w:tcPr>
            <w:tcW w:w="2835" w:type="dxa"/>
            <w:vAlign w:val="center"/>
          </w:tcPr>
          <w:p w14:paraId="14028F6B">
            <w:pPr>
              <w:pStyle w:val="13"/>
            </w:pPr>
            <w:r>
              <w:t>项目实际成本</w:t>
            </w:r>
          </w:p>
        </w:tc>
        <w:tc>
          <w:tcPr>
            <w:tcW w:w="5386" w:type="dxa"/>
            <w:vAlign w:val="center"/>
          </w:tcPr>
          <w:p w14:paraId="5A180E45">
            <w:pPr>
              <w:pStyle w:val="13"/>
            </w:pPr>
            <w:r>
              <w:t>甬路硬化及餐厅改造</w:t>
            </w:r>
          </w:p>
        </w:tc>
        <w:tc>
          <w:tcPr>
            <w:tcW w:w="1688" w:type="dxa"/>
            <w:vAlign w:val="center"/>
          </w:tcPr>
          <w:p w14:paraId="0DDA5AB0">
            <w:pPr>
              <w:pStyle w:val="13"/>
            </w:pPr>
            <w:r>
              <w:t>15.78万元</w:t>
            </w:r>
          </w:p>
        </w:tc>
        <w:tc>
          <w:tcPr>
            <w:tcW w:w="1856" w:type="dxa"/>
            <w:vAlign w:val="center"/>
          </w:tcPr>
          <w:p w14:paraId="2CA9CB16">
            <w:pPr>
              <w:pStyle w:val="13"/>
            </w:pPr>
            <w:r>
              <w:t>城乡义务教育公用经费管理办法</w:t>
            </w:r>
          </w:p>
        </w:tc>
      </w:tr>
      <w:tr w14:paraId="11EC9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31DCF">
            <w:pPr>
              <w:pStyle w:val="12"/>
            </w:pPr>
            <w:r>
              <w:t>效益指标</w:t>
            </w:r>
          </w:p>
        </w:tc>
        <w:tc>
          <w:tcPr>
            <w:tcW w:w="2268" w:type="dxa"/>
            <w:vAlign w:val="center"/>
          </w:tcPr>
          <w:p w14:paraId="200AB015">
            <w:pPr>
              <w:pStyle w:val="13"/>
            </w:pPr>
            <w:r>
              <w:t>经济效益指标</w:t>
            </w:r>
          </w:p>
        </w:tc>
        <w:tc>
          <w:tcPr>
            <w:tcW w:w="2835" w:type="dxa"/>
            <w:vAlign w:val="center"/>
          </w:tcPr>
          <w:p w14:paraId="00203B26">
            <w:pPr>
              <w:pStyle w:val="13"/>
            </w:pPr>
            <w:r>
              <w:t>教育发展水平</w:t>
            </w:r>
          </w:p>
        </w:tc>
        <w:tc>
          <w:tcPr>
            <w:tcW w:w="5386" w:type="dxa"/>
            <w:vAlign w:val="center"/>
          </w:tcPr>
          <w:p w14:paraId="2BF8EC2A">
            <w:pPr>
              <w:pStyle w:val="13"/>
            </w:pPr>
            <w:r>
              <w:t>辖区内教育环境明显好转</w:t>
            </w:r>
          </w:p>
        </w:tc>
        <w:tc>
          <w:tcPr>
            <w:tcW w:w="1688" w:type="dxa"/>
            <w:vAlign w:val="center"/>
          </w:tcPr>
          <w:p w14:paraId="65114672">
            <w:pPr>
              <w:pStyle w:val="13"/>
            </w:pPr>
            <w:r>
              <w:t>≥95%</w:t>
            </w:r>
          </w:p>
        </w:tc>
        <w:tc>
          <w:tcPr>
            <w:tcW w:w="1856" w:type="dxa"/>
            <w:vAlign w:val="center"/>
          </w:tcPr>
          <w:p w14:paraId="30F0DD62">
            <w:pPr>
              <w:pStyle w:val="13"/>
            </w:pPr>
            <w:r>
              <w:t>城乡义务教育公用经费管理办法</w:t>
            </w:r>
          </w:p>
        </w:tc>
      </w:tr>
      <w:tr w14:paraId="08B9B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2CAA9"/>
        </w:tc>
        <w:tc>
          <w:tcPr>
            <w:tcW w:w="2268" w:type="dxa"/>
            <w:vAlign w:val="center"/>
          </w:tcPr>
          <w:p w14:paraId="761825FC">
            <w:pPr>
              <w:pStyle w:val="13"/>
            </w:pPr>
            <w:r>
              <w:t>社会效益指标</w:t>
            </w:r>
          </w:p>
        </w:tc>
        <w:tc>
          <w:tcPr>
            <w:tcW w:w="2835" w:type="dxa"/>
            <w:vAlign w:val="center"/>
          </w:tcPr>
          <w:p w14:paraId="01C5227D">
            <w:pPr>
              <w:pStyle w:val="13"/>
            </w:pPr>
            <w:r>
              <w:t>校园环境</w:t>
            </w:r>
          </w:p>
        </w:tc>
        <w:tc>
          <w:tcPr>
            <w:tcW w:w="5386" w:type="dxa"/>
            <w:vAlign w:val="center"/>
          </w:tcPr>
          <w:p w14:paraId="65F4E893">
            <w:pPr>
              <w:pStyle w:val="13"/>
            </w:pPr>
            <w:r>
              <w:t>办学条件和环境得到改善</w:t>
            </w:r>
          </w:p>
        </w:tc>
        <w:tc>
          <w:tcPr>
            <w:tcW w:w="1688" w:type="dxa"/>
            <w:vAlign w:val="center"/>
          </w:tcPr>
          <w:p w14:paraId="03AD1459">
            <w:pPr>
              <w:pStyle w:val="13"/>
            </w:pPr>
            <w:r>
              <w:t>≥95%</w:t>
            </w:r>
          </w:p>
        </w:tc>
        <w:tc>
          <w:tcPr>
            <w:tcW w:w="1856" w:type="dxa"/>
            <w:vAlign w:val="center"/>
          </w:tcPr>
          <w:p w14:paraId="52CD3BF6">
            <w:pPr>
              <w:pStyle w:val="13"/>
            </w:pPr>
            <w:r>
              <w:t>城乡义务教育公用经费管理办法</w:t>
            </w:r>
          </w:p>
        </w:tc>
      </w:tr>
      <w:tr w14:paraId="009A7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C5861B">
            <w:pPr>
              <w:pStyle w:val="12"/>
            </w:pPr>
            <w:r>
              <w:t>满意度指标</w:t>
            </w:r>
          </w:p>
        </w:tc>
        <w:tc>
          <w:tcPr>
            <w:tcW w:w="2268" w:type="dxa"/>
            <w:vAlign w:val="center"/>
          </w:tcPr>
          <w:p w14:paraId="54928DC1">
            <w:pPr>
              <w:pStyle w:val="13"/>
            </w:pPr>
            <w:r>
              <w:t>服务对象满意度指标</w:t>
            </w:r>
          </w:p>
        </w:tc>
        <w:tc>
          <w:tcPr>
            <w:tcW w:w="2835" w:type="dxa"/>
            <w:vAlign w:val="center"/>
          </w:tcPr>
          <w:p w14:paraId="210E242A">
            <w:pPr>
              <w:pStyle w:val="13"/>
            </w:pPr>
            <w:r>
              <w:t>受益学生家长及调查满意度</w:t>
            </w:r>
          </w:p>
        </w:tc>
        <w:tc>
          <w:tcPr>
            <w:tcW w:w="5386" w:type="dxa"/>
            <w:vAlign w:val="center"/>
          </w:tcPr>
          <w:p w14:paraId="53D6091B">
            <w:pPr>
              <w:pStyle w:val="13"/>
            </w:pPr>
            <w:r>
              <w:t>学生、教师及家长对学校工作满意度情况</w:t>
            </w:r>
          </w:p>
        </w:tc>
        <w:tc>
          <w:tcPr>
            <w:tcW w:w="1688" w:type="dxa"/>
            <w:vAlign w:val="center"/>
          </w:tcPr>
          <w:p w14:paraId="013B9053">
            <w:pPr>
              <w:pStyle w:val="13"/>
            </w:pPr>
            <w:r>
              <w:t>≥95%</w:t>
            </w:r>
          </w:p>
        </w:tc>
        <w:tc>
          <w:tcPr>
            <w:tcW w:w="1856" w:type="dxa"/>
            <w:vAlign w:val="center"/>
          </w:tcPr>
          <w:p w14:paraId="2CEBF468">
            <w:pPr>
              <w:pStyle w:val="13"/>
            </w:pPr>
            <w:r>
              <w:t>城乡义务教育公用经费管理办法</w:t>
            </w:r>
          </w:p>
        </w:tc>
      </w:tr>
    </w:tbl>
    <w:p w14:paraId="103A61D4">
      <w:pPr>
        <w:sectPr>
          <w:pgSz w:w="16840" w:h="11900" w:orient="landscape"/>
          <w:pgMar w:top="1361" w:right="1020" w:bottom="1134" w:left="1020" w:header="720" w:footer="720" w:gutter="0"/>
          <w:cols w:space="720" w:num="1"/>
        </w:sectPr>
      </w:pPr>
    </w:p>
    <w:p w14:paraId="54C0D376">
      <w:pPr>
        <w:spacing w:before="0" w:after="0"/>
        <w:ind w:firstLine="560"/>
        <w:jc w:val="left"/>
        <w:outlineLvl w:val="9"/>
      </w:pPr>
      <w:r>
        <w:rPr>
          <w:rFonts w:ascii="方正仿宋_GBK" w:hAnsi="方正仿宋_GBK" w:eastAsia="方正仿宋_GBK" w:cs="方正仿宋_GBK"/>
          <w:b/>
          <w:color w:val="000000"/>
          <w:sz w:val="28"/>
        </w:rPr>
        <w:t>18、冀财教[2024]141号/省级/2025年义教补助经费/校舍安全保障/大崔庄小学院落硬化等维修改造绩效目标表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CC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C8007">
            <w:pPr>
              <w:pStyle w:val="14"/>
            </w:pPr>
            <w:r>
              <w:t>单位：万元</w:t>
            </w:r>
          </w:p>
        </w:tc>
      </w:tr>
      <w:tr w14:paraId="1D2BC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6D936">
            <w:pPr>
              <w:pStyle w:val="11"/>
            </w:pPr>
            <w:r>
              <w:t>项目编码</w:t>
            </w:r>
          </w:p>
        </w:tc>
        <w:tc>
          <w:tcPr>
            <w:tcW w:w="5103" w:type="dxa"/>
            <w:gridSpan w:val="2"/>
            <w:vAlign w:val="center"/>
          </w:tcPr>
          <w:p w14:paraId="00594301">
            <w:pPr>
              <w:pStyle w:val="13"/>
            </w:pPr>
            <w:r>
              <w:t>13052525P00876210034W</w:t>
            </w:r>
          </w:p>
        </w:tc>
        <w:tc>
          <w:tcPr>
            <w:tcW w:w="2835" w:type="dxa"/>
            <w:vAlign w:val="center"/>
          </w:tcPr>
          <w:p w14:paraId="351A2AB6">
            <w:pPr>
              <w:pStyle w:val="11"/>
            </w:pPr>
            <w:r>
              <w:t>项目名称</w:t>
            </w:r>
          </w:p>
        </w:tc>
        <w:tc>
          <w:tcPr>
            <w:tcW w:w="6095" w:type="dxa"/>
            <w:gridSpan w:val="3"/>
            <w:vAlign w:val="center"/>
          </w:tcPr>
          <w:p w14:paraId="4BB7FAF7">
            <w:pPr>
              <w:pStyle w:val="13"/>
            </w:pPr>
            <w:r>
              <w:t>冀财教[2024]141号/省级/2025年义教补助经费/校舍安全保障/大崔庄小学院落硬化等维修改造</w:t>
            </w:r>
          </w:p>
        </w:tc>
      </w:tr>
      <w:tr w14:paraId="7799A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67F0B">
            <w:pPr>
              <w:pStyle w:val="11"/>
            </w:pPr>
            <w:r>
              <w:t>预算规模及资金用途</w:t>
            </w:r>
          </w:p>
        </w:tc>
        <w:tc>
          <w:tcPr>
            <w:tcW w:w="2268" w:type="dxa"/>
            <w:vAlign w:val="center"/>
          </w:tcPr>
          <w:p w14:paraId="2408A956">
            <w:pPr>
              <w:pStyle w:val="11"/>
            </w:pPr>
            <w:r>
              <w:t>预算数</w:t>
            </w:r>
          </w:p>
        </w:tc>
        <w:tc>
          <w:tcPr>
            <w:tcW w:w="2835" w:type="dxa"/>
            <w:vAlign w:val="center"/>
          </w:tcPr>
          <w:p w14:paraId="57A53C29">
            <w:pPr>
              <w:pStyle w:val="13"/>
            </w:pPr>
            <w:r>
              <w:t>14.35</w:t>
            </w:r>
          </w:p>
        </w:tc>
        <w:tc>
          <w:tcPr>
            <w:tcW w:w="2835" w:type="dxa"/>
            <w:vAlign w:val="center"/>
          </w:tcPr>
          <w:p w14:paraId="6FEC7AF7">
            <w:pPr>
              <w:pStyle w:val="11"/>
            </w:pPr>
            <w:r>
              <w:t>其中：财政    资金</w:t>
            </w:r>
          </w:p>
        </w:tc>
        <w:tc>
          <w:tcPr>
            <w:tcW w:w="2551" w:type="dxa"/>
            <w:vAlign w:val="center"/>
          </w:tcPr>
          <w:p w14:paraId="5CDD320E">
            <w:pPr>
              <w:pStyle w:val="13"/>
            </w:pPr>
            <w:r>
              <w:t>14.35</w:t>
            </w:r>
          </w:p>
        </w:tc>
        <w:tc>
          <w:tcPr>
            <w:tcW w:w="2268" w:type="dxa"/>
            <w:vAlign w:val="center"/>
          </w:tcPr>
          <w:p w14:paraId="11301927">
            <w:pPr>
              <w:pStyle w:val="11"/>
            </w:pPr>
            <w:r>
              <w:t>其他资金</w:t>
            </w:r>
          </w:p>
        </w:tc>
        <w:tc>
          <w:tcPr>
            <w:tcW w:w="1276" w:type="dxa"/>
            <w:vAlign w:val="center"/>
          </w:tcPr>
          <w:p w14:paraId="2955BD87">
            <w:pPr>
              <w:pStyle w:val="13"/>
            </w:pPr>
            <w:r>
              <w:t xml:space="preserve"> </w:t>
            </w:r>
          </w:p>
        </w:tc>
      </w:tr>
      <w:tr w14:paraId="708B5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D9963"/>
        </w:tc>
        <w:tc>
          <w:tcPr>
            <w:tcW w:w="14033" w:type="dxa"/>
            <w:gridSpan w:val="6"/>
            <w:vAlign w:val="center"/>
          </w:tcPr>
          <w:p w14:paraId="226A0840">
            <w:pPr>
              <w:pStyle w:val="13"/>
            </w:pPr>
            <w:r>
              <w:t>完成大崔庄小学 院落硬化、甬路硬化和拆实验楼楼梯等，满足学校正常教学需要。</w:t>
            </w:r>
          </w:p>
        </w:tc>
      </w:tr>
      <w:tr w14:paraId="1B510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DC516">
            <w:pPr>
              <w:pStyle w:val="11"/>
            </w:pPr>
            <w:r>
              <w:t>资金支出计划（%）</w:t>
            </w:r>
          </w:p>
        </w:tc>
        <w:tc>
          <w:tcPr>
            <w:tcW w:w="5103" w:type="dxa"/>
            <w:gridSpan w:val="2"/>
            <w:vAlign w:val="center"/>
          </w:tcPr>
          <w:p w14:paraId="62155424">
            <w:pPr>
              <w:pStyle w:val="11"/>
            </w:pPr>
            <w:r>
              <w:t>3月底</w:t>
            </w:r>
          </w:p>
        </w:tc>
        <w:tc>
          <w:tcPr>
            <w:tcW w:w="2835" w:type="dxa"/>
            <w:vAlign w:val="center"/>
          </w:tcPr>
          <w:p w14:paraId="646C6267">
            <w:pPr>
              <w:pStyle w:val="11"/>
            </w:pPr>
            <w:r>
              <w:t>6月底</w:t>
            </w:r>
          </w:p>
        </w:tc>
        <w:tc>
          <w:tcPr>
            <w:tcW w:w="2551" w:type="dxa"/>
            <w:vAlign w:val="center"/>
          </w:tcPr>
          <w:p w14:paraId="276C122F">
            <w:pPr>
              <w:pStyle w:val="11"/>
            </w:pPr>
            <w:r>
              <w:t>10月底</w:t>
            </w:r>
          </w:p>
        </w:tc>
        <w:tc>
          <w:tcPr>
            <w:tcW w:w="3544" w:type="dxa"/>
            <w:gridSpan w:val="2"/>
            <w:vAlign w:val="center"/>
          </w:tcPr>
          <w:p w14:paraId="0B2DA56B">
            <w:pPr>
              <w:pStyle w:val="11"/>
            </w:pPr>
            <w:r>
              <w:t>12月底</w:t>
            </w:r>
          </w:p>
        </w:tc>
      </w:tr>
      <w:tr w14:paraId="604A1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ED5577"/>
        </w:tc>
        <w:tc>
          <w:tcPr>
            <w:tcW w:w="5103" w:type="dxa"/>
            <w:gridSpan w:val="2"/>
            <w:vAlign w:val="center"/>
          </w:tcPr>
          <w:p w14:paraId="2A9CBF41">
            <w:pPr>
              <w:pStyle w:val="12"/>
            </w:pPr>
            <w:r>
              <w:t xml:space="preserve"> </w:t>
            </w:r>
          </w:p>
        </w:tc>
        <w:tc>
          <w:tcPr>
            <w:tcW w:w="2835" w:type="dxa"/>
            <w:vAlign w:val="center"/>
          </w:tcPr>
          <w:p w14:paraId="0A622ACF">
            <w:pPr>
              <w:pStyle w:val="12"/>
            </w:pPr>
            <w:r>
              <w:t xml:space="preserve"> </w:t>
            </w:r>
          </w:p>
        </w:tc>
        <w:tc>
          <w:tcPr>
            <w:tcW w:w="2551" w:type="dxa"/>
            <w:vAlign w:val="center"/>
          </w:tcPr>
          <w:p w14:paraId="0FCE1B7F">
            <w:pPr>
              <w:pStyle w:val="12"/>
            </w:pPr>
            <w:r>
              <w:t>100%</w:t>
            </w:r>
          </w:p>
        </w:tc>
        <w:tc>
          <w:tcPr>
            <w:tcW w:w="3544" w:type="dxa"/>
            <w:gridSpan w:val="2"/>
            <w:vAlign w:val="center"/>
          </w:tcPr>
          <w:p w14:paraId="3CAC6583">
            <w:pPr>
              <w:pStyle w:val="12"/>
            </w:pPr>
            <w:r>
              <w:t>100%</w:t>
            </w:r>
          </w:p>
        </w:tc>
      </w:tr>
      <w:tr w14:paraId="6A9BD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8E2E09">
            <w:pPr>
              <w:pStyle w:val="11"/>
            </w:pPr>
            <w:r>
              <w:t>绩效目标</w:t>
            </w:r>
          </w:p>
        </w:tc>
        <w:tc>
          <w:tcPr>
            <w:tcW w:w="14033" w:type="dxa"/>
            <w:gridSpan w:val="6"/>
            <w:vAlign w:val="center"/>
          </w:tcPr>
          <w:p w14:paraId="573A0CC7">
            <w:pPr>
              <w:pStyle w:val="13"/>
            </w:pPr>
            <w:r>
              <w:t>1.按规定拨付专项资金，资金支付率达到100%。</w:t>
            </w:r>
          </w:p>
          <w:p w14:paraId="282AADD9">
            <w:pPr>
              <w:pStyle w:val="13"/>
            </w:pPr>
            <w:r>
              <w:t>2.完成大崔庄小学 院落硬化、甬路硬化和拆实验楼楼梯等，</w:t>
            </w:r>
          </w:p>
          <w:p w14:paraId="04547581">
            <w:pPr>
              <w:pStyle w:val="13"/>
            </w:pPr>
            <w:r>
              <w:t>满足学校正常教学需要。</w:t>
            </w:r>
          </w:p>
        </w:tc>
      </w:tr>
    </w:tbl>
    <w:p w14:paraId="0669E3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03"/>
        <w:gridCol w:w="1841"/>
      </w:tblGrid>
      <w:tr w14:paraId="011B9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9E441">
            <w:pPr>
              <w:pStyle w:val="11"/>
            </w:pPr>
            <w:r>
              <w:t>一级指标</w:t>
            </w:r>
          </w:p>
        </w:tc>
        <w:tc>
          <w:tcPr>
            <w:tcW w:w="2268" w:type="dxa"/>
            <w:vAlign w:val="center"/>
          </w:tcPr>
          <w:p w14:paraId="5FBCF497">
            <w:pPr>
              <w:pStyle w:val="11"/>
            </w:pPr>
            <w:r>
              <w:t>二级指标</w:t>
            </w:r>
          </w:p>
        </w:tc>
        <w:tc>
          <w:tcPr>
            <w:tcW w:w="2835" w:type="dxa"/>
            <w:vAlign w:val="center"/>
          </w:tcPr>
          <w:p w14:paraId="0BF2874C">
            <w:pPr>
              <w:pStyle w:val="11"/>
            </w:pPr>
            <w:r>
              <w:t>三级指标</w:t>
            </w:r>
          </w:p>
        </w:tc>
        <w:tc>
          <w:tcPr>
            <w:tcW w:w="5386" w:type="dxa"/>
            <w:vAlign w:val="center"/>
          </w:tcPr>
          <w:p w14:paraId="4F6323E5">
            <w:pPr>
              <w:pStyle w:val="11"/>
            </w:pPr>
            <w:r>
              <w:t>绩效指标描述</w:t>
            </w:r>
          </w:p>
        </w:tc>
        <w:tc>
          <w:tcPr>
            <w:tcW w:w="1703" w:type="dxa"/>
            <w:vAlign w:val="center"/>
          </w:tcPr>
          <w:p w14:paraId="22E109D7">
            <w:pPr>
              <w:pStyle w:val="11"/>
            </w:pPr>
            <w:r>
              <w:t>指标值</w:t>
            </w:r>
          </w:p>
        </w:tc>
        <w:tc>
          <w:tcPr>
            <w:tcW w:w="1841" w:type="dxa"/>
            <w:vAlign w:val="center"/>
          </w:tcPr>
          <w:p w14:paraId="23EAD694">
            <w:pPr>
              <w:pStyle w:val="11"/>
            </w:pPr>
            <w:r>
              <w:t>指标值确定依据</w:t>
            </w:r>
          </w:p>
        </w:tc>
      </w:tr>
      <w:tr w14:paraId="24AD2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8D6DD">
            <w:pPr>
              <w:pStyle w:val="12"/>
            </w:pPr>
            <w:r>
              <w:t>产出指标</w:t>
            </w:r>
          </w:p>
        </w:tc>
        <w:tc>
          <w:tcPr>
            <w:tcW w:w="2268" w:type="dxa"/>
            <w:vAlign w:val="center"/>
          </w:tcPr>
          <w:p w14:paraId="2468A778">
            <w:pPr>
              <w:pStyle w:val="13"/>
            </w:pPr>
            <w:r>
              <w:t>数量指标</w:t>
            </w:r>
          </w:p>
        </w:tc>
        <w:tc>
          <w:tcPr>
            <w:tcW w:w="2835" w:type="dxa"/>
            <w:vAlign w:val="center"/>
          </w:tcPr>
          <w:p w14:paraId="78E67B33">
            <w:pPr>
              <w:pStyle w:val="13"/>
            </w:pPr>
            <w:r>
              <w:t xml:space="preserve"> 院落硬化、甬路硬化和拆实验楼楼梯等</w:t>
            </w:r>
          </w:p>
        </w:tc>
        <w:tc>
          <w:tcPr>
            <w:tcW w:w="5386" w:type="dxa"/>
            <w:vAlign w:val="center"/>
          </w:tcPr>
          <w:p w14:paraId="1A96C539">
            <w:pPr>
              <w:pStyle w:val="13"/>
            </w:pPr>
            <w:r>
              <w:t xml:space="preserve"> 院落硬化、甬路硬化和拆实验楼楼梯等</w:t>
            </w:r>
          </w:p>
        </w:tc>
        <w:tc>
          <w:tcPr>
            <w:tcW w:w="1703" w:type="dxa"/>
            <w:vAlign w:val="center"/>
          </w:tcPr>
          <w:p w14:paraId="2B67B8C8">
            <w:pPr>
              <w:pStyle w:val="13"/>
            </w:pPr>
            <w:r>
              <w:t>14.35万元</w:t>
            </w:r>
          </w:p>
        </w:tc>
        <w:tc>
          <w:tcPr>
            <w:tcW w:w="1841" w:type="dxa"/>
            <w:vAlign w:val="center"/>
          </w:tcPr>
          <w:p w14:paraId="7490576E">
            <w:pPr>
              <w:pStyle w:val="13"/>
            </w:pPr>
            <w:r>
              <w:t>城乡义务教育公用经费管理办法</w:t>
            </w:r>
          </w:p>
        </w:tc>
      </w:tr>
      <w:tr w14:paraId="2CE72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9944C"/>
        </w:tc>
        <w:tc>
          <w:tcPr>
            <w:tcW w:w="2268" w:type="dxa"/>
            <w:vAlign w:val="center"/>
          </w:tcPr>
          <w:p w14:paraId="7915501C">
            <w:pPr>
              <w:pStyle w:val="13"/>
            </w:pPr>
            <w:r>
              <w:t>质量指标</w:t>
            </w:r>
          </w:p>
        </w:tc>
        <w:tc>
          <w:tcPr>
            <w:tcW w:w="2835" w:type="dxa"/>
            <w:vAlign w:val="center"/>
          </w:tcPr>
          <w:p w14:paraId="7D057746">
            <w:pPr>
              <w:pStyle w:val="13"/>
            </w:pPr>
            <w:r>
              <w:t>资金支付率</w:t>
            </w:r>
          </w:p>
        </w:tc>
        <w:tc>
          <w:tcPr>
            <w:tcW w:w="5386" w:type="dxa"/>
            <w:vAlign w:val="center"/>
          </w:tcPr>
          <w:p w14:paraId="7939E8DC">
            <w:pPr>
              <w:pStyle w:val="13"/>
            </w:pPr>
            <w:r>
              <w:t>按照序时进度完成资金支付</w:t>
            </w:r>
          </w:p>
        </w:tc>
        <w:tc>
          <w:tcPr>
            <w:tcW w:w="1703" w:type="dxa"/>
            <w:vAlign w:val="center"/>
          </w:tcPr>
          <w:p w14:paraId="7F2824B4">
            <w:pPr>
              <w:pStyle w:val="13"/>
            </w:pPr>
            <w:r>
              <w:t>≥100%</w:t>
            </w:r>
          </w:p>
        </w:tc>
        <w:tc>
          <w:tcPr>
            <w:tcW w:w="1841" w:type="dxa"/>
            <w:vAlign w:val="center"/>
          </w:tcPr>
          <w:p w14:paraId="0E29C97B">
            <w:pPr>
              <w:pStyle w:val="13"/>
            </w:pPr>
            <w:r>
              <w:t>城乡义务教育公用经费管理办法</w:t>
            </w:r>
          </w:p>
        </w:tc>
      </w:tr>
      <w:tr w14:paraId="7FEA5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BAAF9"/>
        </w:tc>
        <w:tc>
          <w:tcPr>
            <w:tcW w:w="2268" w:type="dxa"/>
            <w:vAlign w:val="center"/>
          </w:tcPr>
          <w:p w14:paraId="63D9739E">
            <w:pPr>
              <w:pStyle w:val="13"/>
            </w:pPr>
            <w:r>
              <w:t>时效指标</w:t>
            </w:r>
          </w:p>
        </w:tc>
        <w:tc>
          <w:tcPr>
            <w:tcW w:w="2835" w:type="dxa"/>
            <w:vAlign w:val="center"/>
          </w:tcPr>
          <w:p w14:paraId="5BC5E993">
            <w:pPr>
              <w:pStyle w:val="13"/>
            </w:pPr>
            <w:r>
              <w:t>项目竣工验收合格率</w:t>
            </w:r>
          </w:p>
        </w:tc>
        <w:tc>
          <w:tcPr>
            <w:tcW w:w="5386" w:type="dxa"/>
            <w:vAlign w:val="center"/>
          </w:tcPr>
          <w:p w14:paraId="75146A0B">
            <w:pPr>
              <w:pStyle w:val="13"/>
            </w:pPr>
            <w:r>
              <w:t>项目改造质量达标率</w:t>
            </w:r>
          </w:p>
        </w:tc>
        <w:tc>
          <w:tcPr>
            <w:tcW w:w="1703" w:type="dxa"/>
            <w:vAlign w:val="center"/>
          </w:tcPr>
          <w:p w14:paraId="08939EAA">
            <w:pPr>
              <w:pStyle w:val="13"/>
            </w:pPr>
            <w:r>
              <w:t>≥100%</w:t>
            </w:r>
          </w:p>
        </w:tc>
        <w:tc>
          <w:tcPr>
            <w:tcW w:w="1841" w:type="dxa"/>
            <w:vAlign w:val="center"/>
          </w:tcPr>
          <w:p w14:paraId="2DCB68B6">
            <w:pPr>
              <w:pStyle w:val="13"/>
            </w:pPr>
            <w:r>
              <w:t>城乡义务教育公用经费管理办法</w:t>
            </w:r>
          </w:p>
        </w:tc>
      </w:tr>
      <w:tr w14:paraId="26960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05ABC716"/>
        </w:tc>
        <w:tc>
          <w:tcPr>
            <w:tcW w:w="2268" w:type="dxa"/>
            <w:vAlign w:val="center"/>
          </w:tcPr>
          <w:p w14:paraId="1C8D89C1">
            <w:pPr>
              <w:pStyle w:val="13"/>
            </w:pPr>
            <w:r>
              <w:t>成本指标</w:t>
            </w:r>
          </w:p>
        </w:tc>
        <w:tc>
          <w:tcPr>
            <w:tcW w:w="2835" w:type="dxa"/>
            <w:vAlign w:val="center"/>
          </w:tcPr>
          <w:p w14:paraId="637106B7">
            <w:pPr>
              <w:pStyle w:val="13"/>
            </w:pPr>
            <w:r>
              <w:t>项目实际成本</w:t>
            </w:r>
          </w:p>
        </w:tc>
        <w:tc>
          <w:tcPr>
            <w:tcW w:w="5386" w:type="dxa"/>
            <w:vAlign w:val="center"/>
          </w:tcPr>
          <w:p w14:paraId="05F1033B">
            <w:pPr>
              <w:pStyle w:val="13"/>
            </w:pPr>
            <w:r>
              <w:t xml:space="preserve"> 院落硬化、甬路硬化和拆实验楼楼梯等</w:t>
            </w:r>
          </w:p>
        </w:tc>
        <w:tc>
          <w:tcPr>
            <w:tcW w:w="1703" w:type="dxa"/>
            <w:vAlign w:val="center"/>
          </w:tcPr>
          <w:p w14:paraId="32BB6058">
            <w:pPr>
              <w:pStyle w:val="13"/>
            </w:pPr>
            <w:r>
              <w:t>14.35万元</w:t>
            </w:r>
          </w:p>
        </w:tc>
        <w:tc>
          <w:tcPr>
            <w:tcW w:w="1841" w:type="dxa"/>
            <w:vAlign w:val="center"/>
          </w:tcPr>
          <w:p w14:paraId="3D598251">
            <w:pPr>
              <w:pStyle w:val="13"/>
            </w:pPr>
            <w:r>
              <w:t>城乡义务教育公用经费管理办法</w:t>
            </w:r>
          </w:p>
        </w:tc>
      </w:tr>
      <w:tr w14:paraId="7CE1F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6DA1E">
            <w:pPr>
              <w:pStyle w:val="12"/>
            </w:pPr>
            <w:r>
              <w:t>效益指标</w:t>
            </w:r>
          </w:p>
        </w:tc>
        <w:tc>
          <w:tcPr>
            <w:tcW w:w="2268" w:type="dxa"/>
            <w:vAlign w:val="center"/>
          </w:tcPr>
          <w:p w14:paraId="288B8396">
            <w:pPr>
              <w:pStyle w:val="13"/>
            </w:pPr>
            <w:r>
              <w:t>经济效益指标</w:t>
            </w:r>
          </w:p>
        </w:tc>
        <w:tc>
          <w:tcPr>
            <w:tcW w:w="2835" w:type="dxa"/>
            <w:vAlign w:val="center"/>
          </w:tcPr>
          <w:p w14:paraId="23BCD15A">
            <w:pPr>
              <w:pStyle w:val="13"/>
            </w:pPr>
            <w:r>
              <w:t>教育发展水平</w:t>
            </w:r>
          </w:p>
        </w:tc>
        <w:tc>
          <w:tcPr>
            <w:tcW w:w="5386" w:type="dxa"/>
            <w:vAlign w:val="center"/>
          </w:tcPr>
          <w:p w14:paraId="39C3F344">
            <w:pPr>
              <w:pStyle w:val="13"/>
            </w:pPr>
            <w:r>
              <w:t>辖区内教育环境明显好转</w:t>
            </w:r>
          </w:p>
        </w:tc>
        <w:tc>
          <w:tcPr>
            <w:tcW w:w="1703" w:type="dxa"/>
            <w:vAlign w:val="center"/>
          </w:tcPr>
          <w:p w14:paraId="74DFF7B2">
            <w:pPr>
              <w:pStyle w:val="13"/>
            </w:pPr>
            <w:r>
              <w:t>≥95%</w:t>
            </w:r>
          </w:p>
        </w:tc>
        <w:tc>
          <w:tcPr>
            <w:tcW w:w="1841" w:type="dxa"/>
            <w:vAlign w:val="center"/>
          </w:tcPr>
          <w:p w14:paraId="4E4EDD2C">
            <w:pPr>
              <w:pStyle w:val="13"/>
            </w:pPr>
            <w:r>
              <w:t>城乡义务教育公用经费管理办法</w:t>
            </w:r>
          </w:p>
        </w:tc>
      </w:tr>
      <w:tr w14:paraId="28380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5875C"/>
        </w:tc>
        <w:tc>
          <w:tcPr>
            <w:tcW w:w="2268" w:type="dxa"/>
            <w:vAlign w:val="center"/>
          </w:tcPr>
          <w:p w14:paraId="70C9D357">
            <w:pPr>
              <w:pStyle w:val="13"/>
            </w:pPr>
            <w:r>
              <w:t>社会效益指标</w:t>
            </w:r>
          </w:p>
        </w:tc>
        <w:tc>
          <w:tcPr>
            <w:tcW w:w="2835" w:type="dxa"/>
            <w:vAlign w:val="center"/>
          </w:tcPr>
          <w:p w14:paraId="729E1769">
            <w:pPr>
              <w:pStyle w:val="13"/>
            </w:pPr>
            <w:r>
              <w:t>校园环境</w:t>
            </w:r>
          </w:p>
        </w:tc>
        <w:tc>
          <w:tcPr>
            <w:tcW w:w="5386" w:type="dxa"/>
            <w:vAlign w:val="center"/>
          </w:tcPr>
          <w:p w14:paraId="4A12CCCD">
            <w:pPr>
              <w:pStyle w:val="13"/>
            </w:pPr>
            <w:r>
              <w:t>办学条件和环境得到改善</w:t>
            </w:r>
          </w:p>
        </w:tc>
        <w:tc>
          <w:tcPr>
            <w:tcW w:w="1703" w:type="dxa"/>
            <w:vAlign w:val="center"/>
          </w:tcPr>
          <w:p w14:paraId="5E51C3E5">
            <w:pPr>
              <w:pStyle w:val="13"/>
            </w:pPr>
            <w:r>
              <w:t>≥95%</w:t>
            </w:r>
          </w:p>
        </w:tc>
        <w:tc>
          <w:tcPr>
            <w:tcW w:w="1841" w:type="dxa"/>
            <w:vAlign w:val="center"/>
          </w:tcPr>
          <w:p w14:paraId="406874C0">
            <w:pPr>
              <w:pStyle w:val="13"/>
            </w:pPr>
            <w:r>
              <w:t>城乡义务教育公用经费管理办法</w:t>
            </w:r>
          </w:p>
        </w:tc>
      </w:tr>
      <w:tr w14:paraId="68977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63D0BA">
            <w:pPr>
              <w:pStyle w:val="12"/>
            </w:pPr>
            <w:r>
              <w:t>满意度指标</w:t>
            </w:r>
          </w:p>
        </w:tc>
        <w:tc>
          <w:tcPr>
            <w:tcW w:w="2268" w:type="dxa"/>
            <w:vAlign w:val="center"/>
          </w:tcPr>
          <w:p w14:paraId="7CD2E3D6">
            <w:pPr>
              <w:pStyle w:val="13"/>
            </w:pPr>
            <w:r>
              <w:t>服务对象满意度指标</w:t>
            </w:r>
          </w:p>
        </w:tc>
        <w:tc>
          <w:tcPr>
            <w:tcW w:w="2835" w:type="dxa"/>
            <w:vAlign w:val="center"/>
          </w:tcPr>
          <w:p w14:paraId="401BCDEB">
            <w:pPr>
              <w:pStyle w:val="13"/>
            </w:pPr>
            <w:r>
              <w:t>受益学生家长及调查满意度</w:t>
            </w:r>
          </w:p>
        </w:tc>
        <w:tc>
          <w:tcPr>
            <w:tcW w:w="5386" w:type="dxa"/>
            <w:vAlign w:val="center"/>
          </w:tcPr>
          <w:p w14:paraId="680B0758">
            <w:pPr>
              <w:pStyle w:val="13"/>
            </w:pPr>
            <w:r>
              <w:t>学生、教师及家长对学校工作满意度情况</w:t>
            </w:r>
          </w:p>
        </w:tc>
        <w:tc>
          <w:tcPr>
            <w:tcW w:w="1703" w:type="dxa"/>
            <w:vAlign w:val="center"/>
          </w:tcPr>
          <w:p w14:paraId="02FE7E48">
            <w:pPr>
              <w:pStyle w:val="13"/>
            </w:pPr>
            <w:r>
              <w:t>≥95%</w:t>
            </w:r>
          </w:p>
        </w:tc>
        <w:tc>
          <w:tcPr>
            <w:tcW w:w="1841" w:type="dxa"/>
            <w:vAlign w:val="center"/>
          </w:tcPr>
          <w:p w14:paraId="13D67926">
            <w:pPr>
              <w:pStyle w:val="13"/>
            </w:pPr>
            <w:r>
              <w:t>城乡义务教育公用经费管理办法</w:t>
            </w:r>
          </w:p>
        </w:tc>
      </w:tr>
    </w:tbl>
    <w:p w14:paraId="2B51B1EE">
      <w:pPr>
        <w:sectPr>
          <w:pgSz w:w="16840" w:h="11900" w:orient="landscape"/>
          <w:pgMar w:top="1361" w:right="1020" w:bottom="1134" w:left="1020" w:header="720" w:footer="720" w:gutter="0"/>
          <w:cols w:space="720" w:num="1"/>
        </w:sectPr>
      </w:pPr>
    </w:p>
    <w:p w14:paraId="692B6014">
      <w:pPr>
        <w:spacing w:before="0" w:after="0"/>
        <w:ind w:firstLine="560"/>
        <w:jc w:val="left"/>
        <w:outlineLvl w:val="9"/>
      </w:pPr>
      <w:r>
        <w:rPr>
          <w:rFonts w:ascii="方正仿宋_GBK" w:hAnsi="方正仿宋_GBK" w:eastAsia="方正仿宋_GBK" w:cs="方正仿宋_GBK"/>
          <w:b/>
          <w:color w:val="000000"/>
          <w:sz w:val="28"/>
        </w:rPr>
        <w:t>19、冀财教[2024]141号/省级/2025年义教补助经费/亦城小学公用经费绩效目标表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CB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BF91B">
            <w:pPr>
              <w:pStyle w:val="14"/>
            </w:pPr>
            <w:r>
              <w:t>单位：万元</w:t>
            </w:r>
          </w:p>
        </w:tc>
      </w:tr>
      <w:tr w14:paraId="01C6B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79B50">
            <w:pPr>
              <w:pStyle w:val="11"/>
            </w:pPr>
            <w:r>
              <w:t>项目编码</w:t>
            </w:r>
          </w:p>
        </w:tc>
        <w:tc>
          <w:tcPr>
            <w:tcW w:w="5103" w:type="dxa"/>
            <w:gridSpan w:val="2"/>
            <w:vAlign w:val="center"/>
          </w:tcPr>
          <w:p w14:paraId="4EE0C278">
            <w:pPr>
              <w:pStyle w:val="13"/>
            </w:pPr>
            <w:r>
              <w:t>13052525P00000410160G</w:t>
            </w:r>
          </w:p>
        </w:tc>
        <w:tc>
          <w:tcPr>
            <w:tcW w:w="2835" w:type="dxa"/>
            <w:vAlign w:val="center"/>
          </w:tcPr>
          <w:p w14:paraId="38661674">
            <w:pPr>
              <w:pStyle w:val="11"/>
            </w:pPr>
            <w:r>
              <w:t>项目名称</w:t>
            </w:r>
          </w:p>
        </w:tc>
        <w:tc>
          <w:tcPr>
            <w:tcW w:w="6095" w:type="dxa"/>
            <w:gridSpan w:val="3"/>
            <w:vAlign w:val="center"/>
          </w:tcPr>
          <w:p w14:paraId="79C48EC1">
            <w:pPr>
              <w:pStyle w:val="13"/>
            </w:pPr>
            <w:r>
              <w:t>冀财教[2024]141号/省级/2025年义教补助经费/亦城小学公用经费</w:t>
            </w:r>
          </w:p>
        </w:tc>
      </w:tr>
      <w:tr w14:paraId="3A79F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E1D03">
            <w:pPr>
              <w:pStyle w:val="11"/>
            </w:pPr>
            <w:r>
              <w:t>预算规模及资金用途</w:t>
            </w:r>
          </w:p>
        </w:tc>
        <w:tc>
          <w:tcPr>
            <w:tcW w:w="2268" w:type="dxa"/>
            <w:vAlign w:val="center"/>
          </w:tcPr>
          <w:p w14:paraId="13EADB00">
            <w:pPr>
              <w:pStyle w:val="11"/>
            </w:pPr>
            <w:r>
              <w:t>预算数</w:t>
            </w:r>
          </w:p>
        </w:tc>
        <w:tc>
          <w:tcPr>
            <w:tcW w:w="2835" w:type="dxa"/>
            <w:vAlign w:val="center"/>
          </w:tcPr>
          <w:p w14:paraId="0899CFF3">
            <w:pPr>
              <w:pStyle w:val="13"/>
            </w:pPr>
            <w:r>
              <w:t>7.19</w:t>
            </w:r>
          </w:p>
        </w:tc>
        <w:tc>
          <w:tcPr>
            <w:tcW w:w="2835" w:type="dxa"/>
            <w:vAlign w:val="center"/>
          </w:tcPr>
          <w:p w14:paraId="159EDAB8">
            <w:pPr>
              <w:pStyle w:val="11"/>
            </w:pPr>
            <w:r>
              <w:t>其中：财政    资金</w:t>
            </w:r>
          </w:p>
        </w:tc>
        <w:tc>
          <w:tcPr>
            <w:tcW w:w="2551" w:type="dxa"/>
            <w:vAlign w:val="center"/>
          </w:tcPr>
          <w:p w14:paraId="6F947AD9">
            <w:pPr>
              <w:pStyle w:val="13"/>
            </w:pPr>
            <w:r>
              <w:t>7.19</w:t>
            </w:r>
          </w:p>
        </w:tc>
        <w:tc>
          <w:tcPr>
            <w:tcW w:w="2268" w:type="dxa"/>
            <w:vAlign w:val="center"/>
          </w:tcPr>
          <w:p w14:paraId="661123FC">
            <w:pPr>
              <w:pStyle w:val="11"/>
            </w:pPr>
            <w:r>
              <w:t>其他资金</w:t>
            </w:r>
          </w:p>
        </w:tc>
        <w:tc>
          <w:tcPr>
            <w:tcW w:w="1276" w:type="dxa"/>
            <w:vAlign w:val="center"/>
          </w:tcPr>
          <w:p w14:paraId="7199436F">
            <w:pPr>
              <w:pStyle w:val="13"/>
            </w:pPr>
            <w:r>
              <w:t xml:space="preserve"> </w:t>
            </w:r>
          </w:p>
        </w:tc>
      </w:tr>
      <w:tr w14:paraId="3D1D9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880D6"/>
        </w:tc>
        <w:tc>
          <w:tcPr>
            <w:tcW w:w="14033" w:type="dxa"/>
            <w:gridSpan w:val="6"/>
            <w:vAlign w:val="center"/>
          </w:tcPr>
          <w:p w14:paraId="0A9E2EA9">
            <w:pPr>
              <w:pStyle w:val="13"/>
            </w:pPr>
            <w:r>
              <w:t>用于有效完成学校教学安全秩序，保障学校教学任务有效开展，满足学校正常教学需要。</w:t>
            </w:r>
          </w:p>
        </w:tc>
      </w:tr>
      <w:tr w14:paraId="158FA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61F08">
            <w:pPr>
              <w:pStyle w:val="11"/>
            </w:pPr>
            <w:r>
              <w:t>资金支出计划（%）</w:t>
            </w:r>
          </w:p>
        </w:tc>
        <w:tc>
          <w:tcPr>
            <w:tcW w:w="5103" w:type="dxa"/>
            <w:gridSpan w:val="2"/>
            <w:vAlign w:val="center"/>
          </w:tcPr>
          <w:p w14:paraId="5133E69D">
            <w:pPr>
              <w:pStyle w:val="11"/>
            </w:pPr>
            <w:r>
              <w:t>3月底</w:t>
            </w:r>
          </w:p>
        </w:tc>
        <w:tc>
          <w:tcPr>
            <w:tcW w:w="2835" w:type="dxa"/>
            <w:vAlign w:val="center"/>
          </w:tcPr>
          <w:p w14:paraId="2D25877D">
            <w:pPr>
              <w:pStyle w:val="11"/>
            </w:pPr>
            <w:r>
              <w:t>6月底</w:t>
            </w:r>
          </w:p>
        </w:tc>
        <w:tc>
          <w:tcPr>
            <w:tcW w:w="2551" w:type="dxa"/>
            <w:vAlign w:val="center"/>
          </w:tcPr>
          <w:p w14:paraId="733A5A4B">
            <w:pPr>
              <w:pStyle w:val="11"/>
            </w:pPr>
            <w:r>
              <w:t>10月底</w:t>
            </w:r>
          </w:p>
        </w:tc>
        <w:tc>
          <w:tcPr>
            <w:tcW w:w="3544" w:type="dxa"/>
            <w:gridSpan w:val="2"/>
            <w:vAlign w:val="center"/>
          </w:tcPr>
          <w:p w14:paraId="2C60973E">
            <w:pPr>
              <w:pStyle w:val="11"/>
            </w:pPr>
            <w:r>
              <w:t>12月底</w:t>
            </w:r>
          </w:p>
        </w:tc>
      </w:tr>
      <w:tr w14:paraId="48832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869D2"/>
        </w:tc>
        <w:tc>
          <w:tcPr>
            <w:tcW w:w="5103" w:type="dxa"/>
            <w:gridSpan w:val="2"/>
            <w:vAlign w:val="center"/>
          </w:tcPr>
          <w:p w14:paraId="3AA2F0DD">
            <w:pPr>
              <w:pStyle w:val="12"/>
            </w:pPr>
            <w:r>
              <w:t>25%</w:t>
            </w:r>
          </w:p>
        </w:tc>
        <w:tc>
          <w:tcPr>
            <w:tcW w:w="2835" w:type="dxa"/>
            <w:vAlign w:val="center"/>
          </w:tcPr>
          <w:p w14:paraId="4AE244BF">
            <w:pPr>
              <w:pStyle w:val="12"/>
            </w:pPr>
            <w:r>
              <w:t>50%</w:t>
            </w:r>
          </w:p>
        </w:tc>
        <w:tc>
          <w:tcPr>
            <w:tcW w:w="2551" w:type="dxa"/>
            <w:vAlign w:val="center"/>
          </w:tcPr>
          <w:p w14:paraId="7FFFBBD9">
            <w:pPr>
              <w:pStyle w:val="12"/>
            </w:pPr>
            <w:r>
              <w:t>75%</w:t>
            </w:r>
          </w:p>
        </w:tc>
        <w:tc>
          <w:tcPr>
            <w:tcW w:w="3544" w:type="dxa"/>
            <w:gridSpan w:val="2"/>
            <w:vAlign w:val="center"/>
          </w:tcPr>
          <w:p w14:paraId="4BE3D0D8">
            <w:pPr>
              <w:pStyle w:val="12"/>
            </w:pPr>
            <w:r>
              <w:t>100%</w:t>
            </w:r>
          </w:p>
        </w:tc>
      </w:tr>
      <w:tr w14:paraId="022E1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9716AA">
            <w:pPr>
              <w:pStyle w:val="11"/>
            </w:pPr>
            <w:r>
              <w:t>绩效目标</w:t>
            </w:r>
          </w:p>
        </w:tc>
        <w:tc>
          <w:tcPr>
            <w:tcW w:w="14033" w:type="dxa"/>
            <w:gridSpan w:val="6"/>
            <w:vAlign w:val="center"/>
          </w:tcPr>
          <w:p w14:paraId="6A2B2504">
            <w:pPr>
              <w:pStyle w:val="13"/>
            </w:pPr>
            <w:r>
              <w:t>1.有效完成学校教学安全秩序，保障学校教学任务有效开展，满足学校正常教学需要。</w:t>
            </w:r>
            <w:r>
              <w:tab/>
            </w:r>
            <w:r>
              <w:tab/>
            </w:r>
            <w:r>
              <w:tab/>
            </w:r>
            <w:r>
              <w:tab/>
            </w:r>
          </w:p>
          <w:p w14:paraId="33F8F898">
            <w:pPr>
              <w:pStyle w:val="13"/>
            </w:pPr>
            <w:r>
              <w:t>2.按规定拨付公用经费资金，预算执行率≥98%。</w:t>
            </w:r>
          </w:p>
        </w:tc>
      </w:tr>
    </w:tbl>
    <w:p w14:paraId="16E619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14:paraId="1C682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57349">
            <w:pPr>
              <w:pStyle w:val="11"/>
            </w:pPr>
            <w:r>
              <w:t>一级指标</w:t>
            </w:r>
          </w:p>
        </w:tc>
        <w:tc>
          <w:tcPr>
            <w:tcW w:w="2268" w:type="dxa"/>
            <w:vAlign w:val="center"/>
          </w:tcPr>
          <w:p w14:paraId="45BDD621">
            <w:pPr>
              <w:pStyle w:val="11"/>
            </w:pPr>
            <w:r>
              <w:t>二级指标</w:t>
            </w:r>
          </w:p>
        </w:tc>
        <w:tc>
          <w:tcPr>
            <w:tcW w:w="2835" w:type="dxa"/>
            <w:vAlign w:val="center"/>
          </w:tcPr>
          <w:p w14:paraId="18F5CFAD">
            <w:pPr>
              <w:pStyle w:val="11"/>
            </w:pPr>
            <w:r>
              <w:t>三级指标</w:t>
            </w:r>
          </w:p>
        </w:tc>
        <w:tc>
          <w:tcPr>
            <w:tcW w:w="5386" w:type="dxa"/>
            <w:vAlign w:val="center"/>
          </w:tcPr>
          <w:p w14:paraId="219C2ECC">
            <w:pPr>
              <w:pStyle w:val="11"/>
            </w:pPr>
            <w:r>
              <w:t>绩效指标描述</w:t>
            </w:r>
          </w:p>
        </w:tc>
        <w:tc>
          <w:tcPr>
            <w:tcW w:w="1853" w:type="dxa"/>
            <w:vAlign w:val="center"/>
          </w:tcPr>
          <w:p w14:paraId="411D005F">
            <w:pPr>
              <w:pStyle w:val="11"/>
            </w:pPr>
            <w:r>
              <w:t>指标值</w:t>
            </w:r>
          </w:p>
        </w:tc>
        <w:tc>
          <w:tcPr>
            <w:tcW w:w="1691" w:type="dxa"/>
            <w:vAlign w:val="center"/>
          </w:tcPr>
          <w:p w14:paraId="20F02E91">
            <w:pPr>
              <w:pStyle w:val="11"/>
            </w:pPr>
            <w:r>
              <w:t>指标值确定依据</w:t>
            </w:r>
          </w:p>
        </w:tc>
      </w:tr>
      <w:tr w14:paraId="30EBC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0A0A7">
            <w:pPr>
              <w:pStyle w:val="12"/>
            </w:pPr>
            <w:r>
              <w:t>产出指标</w:t>
            </w:r>
          </w:p>
        </w:tc>
        <w:tc>
          <w:tcPr>
            <w:tcW w:w="2268" w:type="dxa"/>
            <w:vAlign w:val="center"/>
          </w:tcPr>
          <w:p w14:paraId="7E1BCA2C">
            <w:pPr>
              <w:pStyle w:val="13"/>
            </w:pPr>
            <w:r>
              <w:t>数量指标</w:t>
            </w:r>
          </w:p>
        </w:tc>
        <w:tc>
          <w:tcPr>
            <w:tcW w:w="2835" w:type="dxa"/>
            <w:vAlign w:val="center"/>
          </w:tcPr>
          <w:p w14:paraId="6DF8377A">
            <w:pPr>
              <w:pStyle w:val="13"/>
            </w:pPr>
            <w:r>
              <w:t>就读学生数</w:t>
            </w:r>
          </w:p>
        </w:tc>
        <w:tc>
          <w:tcPr>
            <w:tcW w:w="5386" w:type="dxa"/>
            <w:vAlign w:val="center"/>
          </w:tcPr>
          <w:p w14:paraId="358AC1BB">
            <w:pPr>
              <w:pStyle w:val="13"/>
            </w:pPr>
            <w:r>
              <w:t>辐射区域内适龄学生人数</w:t>
            </w:r>
          </w:p>
        </w:tc>
        <w:tc>
          <w:tcPr>
            <w:tcW w:w="1853" w:type="dxa"/>
            <w:vAlign w:val="center"/>
          </w:tcPr>
          <w:p w14:paraId="3B0B7FA5">
            <w:pPr>
              <w:pStyle w:val="13"/>
            </w:pPr>
            <w:r>
              <w:t>255人</w:t>
            </w:r>
          </w:p>
        </w:tc>
        <w:tc>
          <w:tcPr>
            <w:tcW w:w="1691" w:type="dxa"/>
            <w:vAlign w:val="center"/>
          </w:tcPr>
          <w:p w14:paraId="799B62FE">
            <w:pPr>
              <w:pStyle w:val="13"/>
            </w:pPr>
            <w:r>
              <w:t>城乡义务教育公用经费管理办法</w:t>
            </w:r>
          </w:p>
        </w:tc>
      </w:tr>
      <w:tr w14:paraId="0738B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0FD3D"/>
        </w:tc>
        <w:tc>
          <w:tcPr>
            <w:tcW w:w="2268" w:type="dxa"/>
            <w:vAlign w:val="center"/>
          </w:tcPr>
          <w:p w14:paraId="1765DF4A">
            <w:pPr>
              <w:pStyle w:val="13"/>
            </w:pPr>
            <w:r>
              <w:t>质量指标</w:t>
            </w:r>
          </w:p>
        </w:tc>
        <w:tc>
          <w:tcPr>
            <w:tcW w:w="2835" w:type="dxa"/>
            <w:vAlign w:val="center"/>
          </w:tcPr>
          <w:p w14:paraId="593D53C8">
            <w:pPr>
              <w:pStyle w:val="13"/>
            </w:pPr>
            <w:r>
              <w:t>预算执行率</w:t>
            </w:r>
          </w:p>
        </w:tc>
        <w:tc>
          <w:tcPr>
            <w:tcW w:w="5386" w:type="dxa"/>
            <w:vAlign w:val="center"/>
          </w:tcPr>
          <w:p w14:paraId="4B3F59C6">
            <w:pPr>
              <w:pStyle w:val="13"/>
            </w:pPr>
            <w:r>
              <w:t>预算执行率</w:t>
            </w:r>
          </w:p>
        </w:tc>
        <w:tc>
          <w:tcPr>
            <w:tcW w:w="1853" w:type="dxa"/>
            <w:vAlign w:val="center"/>
          </w:tcPr>
          <w:p w14:paraId="6F21551B">
            <w:pPr>
              <w:pStyle w:val="13"/>
            </w:pPr>
            <w:r>
              <w:t>≥98%</w:t>
            </w:r>
          </w:p>
        </w:tc>
        <w:tc>
          <w:tcPr>
            <w:tcW w:w="1691" w:type="dxa"/>
            <w:vAlign w:val="center"/>
          </w:tcPr>
          <w:p w14:paraId="1D6A2BFB">
            <w:pPr>
              <w:pStyle w:val="13"/>
            </w:pPr>
            <w:r>
              <w:t>城乡义务教育公用经费管理办法</w:t>
            </w:r>
          </w:p>
        </w:tc>
      </w:tr>
      <w:tr w14:paraId="2A862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C028D"/>
        </w:tc>
        <w:tc>
          <w:tcPr>
            <w:tcW w:w="2268" w:type="dxa"/>
            <w:vAlign w:val="center"/>
          </w:tcPr>
          <w:p w14:paraId="3D0AB8DD">
            <w:pPr>
              <w:pStyle w:val="13"/>
            </w:pPr>
            <w:r>
              <w:t>时效指标</w:t>
            </w:r>
          </w:p>
        </w:tc>
        <w:tc>
          <w:tcPr>
            <w:tcW w:w="2835" w:type="dxa"/>
            <w:vAlign w:val="center"/>
          </w:tcPr>
          <w:p w14:paraId="173376BB">
            <w:pPr>
              <w:pStyle w:val="13"/>
            </w:pPr>
            <w:r>
              <w:t>义教经费支付完成率</w:t>
            </w:r>
          </w:p>
        </w:tc>
        <w:tc>
          <w:tcPr>
            <w:tcW w:w="5386" w:type="dxa"/>
            <w:vAlign w:val="center"/>
          </w:tcPr>
          <w:p w14:paraId="795A657B">
            <w:pPr>
              <w:pStyle w:val="13"/>
            </w:pPr>
            <w:r>
              <w:t>按照序时进度完成资金支付</w:t>
            </w:r>
          </w:p>
        </w:tc>
        <w:tc>
          <w:tcPr>
            <w:tcW w:w="1853" w:type="dxa"/>
            <w:vAlign w:val="center"/>
          </w:tcPr>
          <w:p w14:paraId="5CB6A570">
            <w:pPr>
              <w:pStyle w:val="13"/>
            </w:pPr>
            <w:r>
              <w:t>≥100%</w:t>
            </w:r>
          </w:p>
        </w:tc>
        <w:tc>
          <w:tcPr>
            <w:tcW w:w="1691" w:type="dxa"/>
            <w:vAlign w:val="center"/>
          </w:tcPr>
          <w:p w14:paraId="2D843205">
            <w:pPr>
              <w:pStyle w:val="13"/>
            </w:pPr>
            <w:r>
              <w:t>城乡义务教育公用经费管理办法</w:t>
            </w:r>
          </w:p>
        </w:tc>
      </w:tr>
      <w:tr w14:paraId="00960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223E6"/>
        </w:tc>
        <w:tc>
          <w:tcPr>
            <w:tcW w:w="2268" w:type="dxa"/>
            <w:vAlign w:val="center"/>
          </w:tcPr>
          <w:p w14:paraId="5567D955">
            <w:pPr>
              <w:pStyle w:val="13"/>
            </w:pPr>
            <w:r>
              <w:t>成本指标</w:t>
            </w:r>
          </w:p>
        </w:tc>
        <w:tc>
          <w:tcPr>
            <w:tcW w:w="2835" w:type="dxa"/>
            <w:vAlign w:val="center"/>
          </w:tcPr>
          <w:p w14:paraId="71275A9E">
            <w:pPr>
              <w:pStyle w:val="13"/>
            </w:pPr>
            <w:r>
              <w:t>生均拨款标准</w:t>
            </w:r>
          </w:p>
        </w:tc>
        <w:tc>
          <w:tcPr>
            <w:tcW w:w="5386" w:type="dxa"/>
            <w:vAlign w:val="center"/>
          </w:tcPr>
          <w:p w14:paraId="6D2141C2">
            <w:pPr>
              <w:pStyle w:val="13"/>
            </w:pPr>
            <w:r>
              <w:t>小学：（基本标准720元、寄宿生300元、生活补助120元）/生/学年；特教、随班就读学生：标准7000元/生/学年</w:t>
            </w:r>
          </w:p>
        </w:tc>
        <w:tc>
          <w:tcPr>
            <w:tcW w:w="1853" w:type="dxa"/>
            <w:vAlign w:val="center"/>
          </w:tcPr>
          <w:p w14:paraId="1B350742">
            <w:pPr>
              <w:pStyle w:val="13"/>
            </w:pPr>
            <w:r>
              <w:t>840元</w:t>
            </w:r>
          </w:p>
        </w:tc>
        <w:tc>
          <w:tcPr>
            <w:tcW w:w="1691" w:type="dxa"/>
            <w:vAlign w:val="center"/>
          </w:tcPr>
          <w:p w14:paraId="1564121D">
            <w:pPr>
              <w:pStyle w:val="13"/>
            </w:pPr>
            <w:r>
              <w:t>城乡义务教育公用经费管理办法</w:t>
            </w:r>
          </w:p>
        </w:tc>
      </w:tr>
      <w:tr w14:paraId="280CB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3384A2">
            <w:pPr>
              <w:pStyle w:val="12"/>
            </w:pPr>
            <w:r>
              <w:t>效益指标</w:t>
            </w:r>
          </w:p>
        </w:tc>
        <w:tc>
          <w:tcPr>
            <w:tcW w:w="2268" w:type="dxa"/>
            <w:vAlign w:val="center"/>
          </w:tcPr>
          <w:p w14:paraId="2F425CBA">
            <w:pPr>
              <w:pStyle w:val="13"/>
            </w:pPr>
            <w:r>
              <w:t>社会效益指标</w:t>
            </w:r>
          </w:p>
        </w:tc>
        <w:tc>
          <w:tcPr>
            <w:tcW w:w="2835" w:type="dxa"/>
            <w:vAlign w:val="center"/>
          </w:tcPr>
          <w:p w14:paraId="3FB8D80D">
            <w:pPr>
              <w:pStyle w:val="13"/>
            </w:pPr>
            <w:r>
              <w:t>学校稳定率</w:t>
            </w:r>
          </w:p>
        </w:tc>
        <w:tc>
          <w:tcPr>
            <w:tcW w:w="5386" w:type="dxa"/>
            <w:vAlign w:val="center"/>
          </w:tcPr>
          <w:p w14:paraId="5E3DCC2F">
            <w:pPr>
              <w:pStyle w:val="13"/>
            </w:pPr>
            <w:r>
              <w:t>维护学校稳定，保障学校正常教学秩序有效开展</w:t>
            </w:r>
          </w:p>
        </w:tc>
        <w:tc>
          <w:tcPr>
            <w:tcW w:w="1853" w:type="dxa"/>
            <w:vAlign w:val="center"/>
          </w:tcPr>
          <w:p w14:paraId="323E68E4">
            <w:pPr>
              <w:pStyle w:val="13"/>
            </w:pPr>
            <w:r>
              <w:t>≥100%</w:t>
            </w:r>
          </w:p>
        </w:tc>
        <w:tc>
          <w:tcPr>
            <w:tcW w:w="1691" w:type="dxa"/>
            <w:vAlign w:val="center"/>
          </w:tcPr>
          <w:p w14:paraId="27FF3841">
            <w:pPr>
              <w:pStyle w:val="13"/>
            </w:pPr>
            <w:r>
              <w:t>城乡义务教育公用经费管理办法</w:t>
            </w:r>
          </w:p>
        </w:tc>
      </w:tr>
      <w:tr w14:paraId="15D15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F56141">
            <w:pPr>
              <w:pStyle w:val="12"/>
            </w:pPr>
            <w:r>
              <w:t>满意度指标</w:t>
            </w:r>
          </w:p>
        </w:tc>
        <w:tc>
          <w:tcPr>
            <w:tcW w:w="2268" w:type="dxa"/>
            <w:vAlign w:val="center"/>
          </w:tcPr>
          <w:p w14:paraId="49E904BD">
            <w:pPr>
              <w:pStyle w:val="13"/>
            </w:pPr>
            <w:r>
              <w:t>服务对象满意度指标</w:t>
            </w:r>
          </w:p>
        </w:tc>
        <w:tc>
          <w:tcPr>
            <w:tcW w:w="2835" w:type="dxa"/>
            <w:vAlign w:val="center"/>
          </w:tcPr>
          <w:p w14:paraId="269D46A3">
            <w:pPr>
              <w:pStyle w:val="13"/>
            </w:pPr>
            <w:r>
              <w:t>家长和学生满意度</w:t>
            </w:r>
          </w:p>
        </w:tc>
        <w:tc>
          <w:tcPr>
            <w:tcW w:w="5386" w:type="dxa"/>
            <w:vAlign w:val="center"/>
          </w:tcPr>
          <w:p w14:paraId="7E5C5C41">
            <w:pPr>
              <w:pStyle w:val="13"/>
            </w:pPr>
            <w:r>
              <w:t>家长和学生满意度</w:t>
            </w:r>
          </w:p>
        </w:tc>
        <w:tc>
          <w:tcPr>
            <w:tcW w:w="1853" w:type="dxa"/>
            <w:vAlign w:val="center"/>
          </w:tcPr>
          <w:p w14:paraId="08DCF2B8">
            <w:pPr>
              <w:pStyle w:val="13"/>
            </w:pPr>
            <w:r>
              <w:t>≥95%</w:t>
            </w:r>
          </w:p>
        </w:tc>
        <w:tc>
          <w:tcPr>
            <w:tcW w:w="1691" w:type="dxa"/>
            <w:vAlign w:val="center"/>
          </w:tcPr>
          <w:p w14:paraId="2D1835FB">
            <w:pPr>
              <w:pStyle w:val="13"/>
            </w:pPr>
            <w:r>
              <w:t>问卷调查</w:t>
            </w:r>
          </w:p>
        </w:tc>
      </w:tr>
    </w:tbl>
    <w:p w14:paraId="16F0617E">
      <w:pPr>
        <w:sectPr>
          <w:pgSz w:w="16840" w:h="11900" w:orient="landscape"/>
          <w:pgMar w:top="1361" w:right="1020" w:bottom="1134" w:left="1020" w:header="720" w:footer="720" w:gutter="0"/>
          <w:cols w:space="720" w:num="1"/>
        </w:sectPr>
      </w:pPr>
    </w:p>
    <w:p w14:paraId="133414B1">
      <w:pPr>
        <w:spacing w:before="0" w:after="0"/>
        <w:ind w:firstLine="560"/>
        <w:jc w:val="left"/>
        <w:outlineLvl w:val="9"/>
      </w:pPr>
      <w:r>
        <w:rPr>
          <w:rFonts w:ascii="方正仿宋_GBK" w:hAnsi="方正仿宋_GBK" w:eastAsia="方正仿宋_GBK" w:cs="方正仿宋_GBK"/>
          <w:b/>
          <w:color w:val="000000"/>
          <w:sz w:val="28"/>
        </w:rPr>
        <w:t>20、冀财教[2024]142号/省级/2025年学前发展资金/双碑校区学前教育公用经费绩效目标表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D6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01B5A">
            <w:pPr>
              <w:pStyle w:val="14"/>
            </w:pPr>
            <w:r>
              <w:t>单位：万元</w:t>
            </w:r>
          </w:p>
        </w:tc>
      </w:tr>
      <w:tr w14:paraId="5C4A5F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9BEEDF">
            <w:pPr>
              <w:pStyle w:val="11"/>
            </w:pPr>
            <w:r>
              <w:t>项目编码</w:t>
            </w:r>
          </w:p>
        </w:tc>
        <w:tc>
          <w:tcPr>
            <w:tcW w:w="5103" w:type="dxa"/>
            <w:gridSpan w:val="2"/>
            <w:vAlign w:val="center"/>
          </w:tcPr>
          <w:p w14:paraId="6297E357">
            <w:pPr>
              <w:pStyle w:val="13"/>
            </w:pPr>
            <w:r>
              <w:t>13052525P008757100052</w:t>
            </w:r>
          </w:p>
        </w:tc>
        <w:tc>
          <w:tcPr>
            <w:tcW w:w="2835" w:type="dxa"/>
            <w:vAlign w:val="center"/>
          </w:tcPr>
          <w:p w14:paraId="5FD144B3">
            <w:pPr>
              <w:pStyle w:val="11"/>
            </w:pPr>
            <w:r>
              <w:t>项目名称</w:t>
            </w:r>
          </w:p>
        </w:tc>
        <w:tc>
          <w:tcPr>
            <w:tcW w:w="6095" w:type="dxa"/>
            <w:gridSpan w:val="3"/>
            <w:vAlign w:val="center"/>
          </w:tcPr>
          <w:p w14:paraId="1ED0E410">
            <w:pPr>
              <w:pStyle w:val="13"/>
            </w:pPr>
            <w:r>
              <w:t>冀财教[2024]142号/省级/2025年学前发展资金/双碑校区学前教育公用经费</w:t>
            </w:r>
          </w:p>
        </w:tc>
      </w:tr>
      <w:tr w14:paraId="43E95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549C03BC">
            <w:pPr>
              <w:pStyle w:val="11"/>
            </w:pPr>
            <w:r>
              <w:t>预算规模及资金用途</w:t>
            </w:r>
          </w:p>
        </w:tc>
        <w:tc>
          <w:tcPr>
            <w:tcW w:w="2268" w:type="dxa"/>
            <w:vAlign w:val="center"/>
          </w:tcPr>
          <w:p w14:paraId="1D320D0B">
            <w:pPr>
              <w:pStyle w:val="11"/>
            </w:pPr>
            <w:r>
              <w:t>预算数</w:t>
            </w:r>
          </w:p>
        </w:tc>
        <w:tc>
          <w:tcPr>
            <w:tcW w:w="2835" w:type="dxa"/>
            <w:vAlign w:val="center"/>
          </w:tcPr>
          <w:p w14:paraId="1E7C58C8">
            <w:pPr>
              <w:pStyle w:val="13"/>
            </w:pPr>
            <w:r>
              <w:t>6.24</w:t>
            </w:r>
          </w:p>
        </w:tc>
        <w:tc>
          <w:tcPr>
            <w:tcW w:w="2835" w:type="dxa"/>
            <w:vAlign w:val="center"/>
          </w:tcPr>
          <w:p w14:paraId="2A549FB9">
            <w:pPr>
              <w:pStyle w:val="11"/>
            </w:pPr>
            <w:r>
              <w:t>其中：财政    资金</w:t>
            </w:r>
          </w:p>
        </w:tc>
        <w:tc>
          <w:tcPr>
            <w:tcW w:w="2551" w:type="dxa"/>
            <w:vAlign w:val="center"/>
          </w:tcPr>
          <w:p w14:paraId="1BDA84F4">
            <w:pPr>
              <w:pStyle w:val="13"/>
            </w:pPr>
            <w:r>
              <w:t>6.24</w:t>
            </w:r>
          </w:p>
        </w:tc>
        <w:tc>
          <w:tcPr>
            <w:tcW w:w="2268" w:type="dxa"/>
            <w:vAlign w:val="center"/>
          </w:tcPr>
          <w:p w14:paraId="5E1D64BF">
            <w:pPr>
              <w:pStyle w:val="11"/>
            </w:pPr>
            <w:r>
              <w:t>其他资金</w:t>
            </w:r>
          </w:p>
        </w:tc>
        <w:tc>
          <w:tcPr>
            <w:tcW w:w="1276" w:type="dxa"/>
            <w:vAlign w:val="center"/>
          </w:tcPr>
          <w:p w14:paraId="119847E1">
            <w:pPr>
              <w:pStyle w:val="13"/>
            </w:pPr>
            <w:r>
              <w:t xml:space="preserve"> </w:t>
            </w:r>
          </w:p>
        </w:tc>
      </w:tr>
      <w:tr w14:paraId="32A18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49A8DC67"/>
        </w:tc>
        <w:tc>
          <w:tcPr>
            <w:tcW w:w="14033" w:type="dxa"/>
            <w:gridSpan w:val="6"/>
            <w:vAlign w:val="center"/>
          </w:tcPr>
          <w:p w14:paraId="57B15BD7">
            <w:pPr>
              <w:pStyle w:val="13"/>
            </w:pPr>
            <w:r>
              <w:tab/>
            </w:r>
            <w:r>
              <w:tab/>
            </w:r>
            <w:r>
              <w:tab/>
            </w:r>
            <w:r>
              <w:tab/>
            </w:r>
            <w:r>
              <w:tab/>
            </w:r>
          </w:p>
          <w:p w14:paraId="40546D9C">
            <w:pPr>
              <w:pStyle w:val="13"/>
            </w:pPr>
            <w:r>
              <w:t xml:space="preserve"> 保障幼儿园正常运转，完成教育教学活动和其他日常工作任务等方面的费用支出。</w:t>
            </w:r>
            <w:r>
              <w:tab/>
            </w:r>
            <w:r>
              <w:tab/>
            </w:r>
            <w:r>
              <w:tab/>
            </w:r>
            <w:r>
              <w:tab/>
            </w:r>
            <w:r>
              <w:tab/>
            </w:r>
            <w:r>
              <w:tab/>
            </w:r>
          </w:p>
          <w:p w14:paraId="6039DB12">
            <w:pPr>
              <w:pStyle w:val="13"/>
            </w:pPr>
            <w:r>
              <w:tab/>
            </w:r>
            <w:r>
              <w:tab/>
            </w:r>
            <w:r>
              <w:tab/>
            </w:r>
            <w:r>
              <w:tab/>
            </w:r>
            <w:r>
              <w:tab/>
            </w:r>
            <w:r>
              <w:tab/>
            </w:r>
          </w:p>
          <w:p w14:paraId="5C85DE9F">
            <w:pPr>
              <w:pStyle w:val="13"/>
            </w:pPr>
          </w:p>
        </w:tc>
      </w:tr>
      <w:tr w14:paraId="54272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62D29">
            <w:pPr>
              <w:pStyle w:val="11"/>
            </w:pPr>
            <w:r>
              <w:t>资金支出计划（%）</w:t>
            </w:r>
          </w:p>
        </w:tc>
        <w:tc>
          <w:tcPr>
            <w:tcW w:w="5103" w:type="dxa"/>
            <w:gridSpan w:val="2"/>
            <w:vAlign w:val="center"/>
          </w:tcPr>
          <w:p w14:paraId="572807BC">
            <w:pPr>
              <w:pStyle w:val="11"/>
            </w:pPr>
            <w:r>
              <w:t>3月底</w:t>
            </w:r>
          </w:p>
        </w:tc>
        <w:tc>
          <w:tcPr>
            <w:tcW w:w="2835" w:type="dxa"/>
            <w:vAlign w:val="center"/>
          </w:tcPr>
          <w:p w14:paraId="0ED7DF76">
            <w:pPr>
              <w:pStyle w:val="11"/>
            </w:pPr>
            <w:r>
              <w:t>6月底</w:t>
            </w:r>
          </w:p>
        </w:tc>
        <w:tc>
          <w:tcPr>
            <w:tcW w:w="2551" w:type="dxa"/>
            <w:vAlign w:val="center"/>
          </w:tcPr>
          <w:p w14:paraId="7E4E8DC2">
            <w:pPr>
              <w:pStyle w:val="11"/>
            </w:pPr>
            <w:r>
              <w:t>10月底</w:t>
            </w:r>
          </w:p>
        </w:tc>
        <w:tc>
          <w:tcPr>
            <w:tcW w:w="3544" w:type="dxa"/>
            <w:gridSpan w:val="2"/>
            <w:vAlign w:val="center"/>
          </w:tcPr>
          <w:p w14:paraId="7F43F4AB">
            <w:pPr>
              <w:pStyle w:val="11"/>
            </w:pPr>
            <w:r>
              <w:t>12月底</w:t>
            </w:r>
          </w:p>
        </w:tc>
      </w:tr>
      <w:tr w14:paraId="070F5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79716"/>
        </w:tc>
        <w:tc>
          <w:tcPr>
            <w:tcW w:w="5103" w:type="dxa"/>
            <w:gridSpan w:val="2"/>
            <w:vAlign w:val="center"/>
          </w:tcPr>
          <w:p w14:paraId="3A5EF747">
            <w:pPr>
              <w:pStyle w:val="12"/>
            </w:pPr>
            <w:r>
              <w:t>25%</w:t>
            </w:r>
          </w:p>
        </w:tc>
        <w:tc>
          <w:tcPr>
            <w:tcW w:w="2835" w:type="dxa"/>
            <w:vAlign w:val="center"/>
          </w:tcPr>
          <w:p w14:paraId="1BB4858B">
            <w:pPr>
              <w:pStyle w:val="12"/>
            </w:pPr>
            <w:r>
              <w:t>50%</w:t>
            </w:r>
          </w:p>
        </w:tc>
        <w:tc>
          <w:tcPr>
            <w:tcW w:w="2551" w:type="dxa"/>
            <w:vAlign w:val="center"/>
          </w:tcPr>
          <w:p w14:paraId="54E4AF0D">
            <w:pPr>
              <w:pStyle w:val="12"/>
            </w:pPr>
            <w:r>
              <w:t>75%</w:t>
            </w:r>
          </w:p>
        </w:tc>
        <w:tc>
          <w:tcPr>
            <w:tcW w:w="3544" w:type="dxa"/>
            <w:gridSpan w:val="2"/>
            <w:vAlign w:val="center"/>
          </w:tcPr>
          <w:p w14:paraId="1EB7AD37">
            <w:pPr>
              <w:pStyle w:val="12"/>
            </w:pPr>
            <w:r>
              <w:t>100%</w:t>
            </w:r>
          </w:p>
        </w:tc>
      </w:tr>
      <w:tr w14:paraId="7C55F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3193BC">
            <w:pPr>
              <w:pStyle w:val="11"/>
            </w:pPr>
            <w:r>
              <w:t>绩效目标</w:t>
            </w:r>
          </w:p>
        </w:tc>
        <w:tc>
          <w:tcPr>
            <w:tcW w:w="14033" w:type="dxa"/>
            <w:gridSpan w:val="6"/>
            <w:vAlign w:val="center"/>
          </w:tcPr>
          <w:p w14:paraId="165A1407">
            <w:pPr>
              <w:pStyle w:val="13"/>
            </w:pPr>
            <w:r>
              <w:t>1.按季度分批次拨付公用经费资金，资金拨付率达到100%。</w:t>
            </w:r>
          </w:p>
          <w:p w14:paraId="5950AE45">
            <w:pPr>
              <w:pStyle w:val="13"/>
            </w:pPr>
            <w:r>
              <w:t>2. 保障幼儿园正常运转，完成教育教学活动和其他日常工作任务等方面的费用支出。</w:t>
            </w:r>
          </w:p>
        </w:tc>
      </w:tr>
    </w:tbl>
    <w:p w14:paraId="2E5BA6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14:paraId="5C73B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7A1EB">
            <w:pPr>
              <w:pStyle w:val="11"/>
            </w:pPr>
            <w:r>
              <w:t>一级指标</w:t>
            </w:r>
          </w:p>
        </w:tc>
        <w:tc>
          <w:tcPr>
            <w:tcW w:w="2268" w:type="dxa"/>
            <w:vAlign w:val="center"/>
          </w:tcPr>
          <w:p w14:paraId="709C462B">
            <w:pPr>
              <w:pStyle w:val="11"/>
            </w:pPr>
            <w:r>
              <w:t>二级指标</w:t>
            </w:r>
          </w:p>
        </w:tc>
        <w:tc>
          <w:tcPr>
            <w:tcW w:w="2835" w:type="dxa"/>
            <w:vAlign w:val="center"/>
          </w:tcPr>
          <w:p w14:paraId="74F2165B">
            <w:pPr>
              <w:pStyle w:val="11"/>
            </w:pPr>
            <w:r>
              <w:t>三级指标</w:t>
            </w:r>
          </w:p>
        </w:tc>
        <w:tc>
          <w:tcPr>
            <w:tcW w:w="5386" w:type="dxa"/>
            <w:vAlign w:val="center"/>
          </w:tcPr>
          <w:p w14:paraId="7E0BDD4E">
            <w:pPr>
              <w:pStyle w:val="11"/>
            </w:pPr>
            <w:r>
              <w:t>绩效指标描述</w:t>
            </w:r>
          </w:p>
        </w:tc>
        <w:tc>
          <w:tcPr>
            <w:tcW w:w="1778" w:type="dxa"/>
            <w:vAlign w:val="center"/>
          </w:tcPr>
          <w:p w14:paraId="29DE115C">
            <w:pPr>
              <w:pStyle w:val="11"/>
            </w:pPr>
            <w:r>
              <w:t>指标值</w:t>
            </w:r>
          </w:p>
        </w:tc>
        <w:tc>
          <w:tcPr>
            <w:tcW w:w="1766" w:type="dxa"/>
            <w:vAlign w:val="center"/>
          </w:tcPr>
          <w:p w14:paraId="7316122F">
            <w:pPr>
              <w:pStyle w:val="11"/>
            </w:pPr>
            <w:r>
              <w:t>指标值确定依据</w:t>
            </w:r>
          </w:p>
        </w:tc>
      </w:tr>
      <w:tr w14:paraId="6D6FF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4E11C">
            <w:pPr>
              <w:pStyle w:val="12"/>
            </w:pPr>
            <w:r>
              <w:t>产出指标</w:t>
            </w:r>
          </w:p>
        </w:tc>
        <w:tc>
          <w:tcPr>
            <w:tcW w:w="2268" w:type="dxa"/>
            <w:vAlign w:val="center"/>
          </w:tcPr>
          <w:p w14:paraId="0EE1B072">
            <w:pPr>
              <w:pStyle w:val="13"/>
            </w:pPr>
            <w:r>
              <w:t>数量指标</w:t>
            </w:r>
          </w:p>
        </w:tc>
        <w:tc>
          <w:tcPr>
            <w:tcW w:w="2835" w:type="dxa"/>
            <w:vAlign w:val="center"/>
          </w:tcPr>
          <w:p w14:paraId="1A6BAB37">
            <w:pPr>
              <w:pStyle w:val="13"/>
            </w:pPr>
            <w:r>
              <w:t>适龄在园生</w:t>
            </w:r>
          </w:p>
        </w:tc>
        <w:tc>
          <w:tcPr>
            <w:tcW w:w="5386" w:type="dxa"/>
            <w:vAlign w:val="center"/>
          </w:tcPr>
          <w:p w14:paraId="173D1556">
            <w:pPr>
              <w:pStyle w:val="13"/>
            </w:pPr>
            <w:r>
              <w:t>适龄在园学生人数</w:t>
            </w:r>
          </w:p>
        </w:tc>
        <w:tc>
          <w:tcPr>
            <w:tcW w:w="1778" w:type="dxa"/>
            <w:vAlign w:val="center"/>
          </w:tcPr>
          <w:p w14:paraId="03B0FEDC">
            <w:pPr>
              <w:pStyle w:val="13"/>
            </w:pPr>
            <w:r>
              <w:t>416人</w:t>
            </w:r>
          </w:p>
        </w:tc>
        <w:tc>
          <w:tcPr>
            <w:tcW w:w="1766" w:type="dxa"/>
            <w:vAlign w:val="center"/>
          </w:tcPr>
          <w:p w14:paraId="28C6347A">
            <w:pPr>
              <w:pStyle w:val="13"/>
            </w:pPr>
            <w:r>
              <w:t>支持学前教育发展资金管理方法</w:t>
            </w:r>
          </w:p>
        </w:tc>
      </w:tr>
      <w:tr w14:paraId="07F12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7BA7E"/>
        </w:tc>
        <w:tc>
          <w:tcPr>
            <w:tcW w:w="2268" w:type="dxa"/>
            <w:vAlign w:val="center"/>
          </w:tcPr>
          <w:p w14:paraId="0550D4C8">
            <w:pPr>
              <w:pStyle w:val="13"/>
            </w:pPr>
            <w:r>
              <w:t>质量指标</w:t>
            </w:r>
          </w:p>
        </w:tc>
        <w:tc>
          <w:tcPr>
            <w:tcW w:w="2835" w:type="dxa"/>
            <w:vAlign w:val="center"/>
          </w:tcPr>
          <w:p w14:paraId="507D19B2">
            <w:pPr>
              <w:pStyle w:val="13"/>
            </w:pPr>
            <w:r>
              <w:t>预算控制率</w:t>
            </w:r>
          </w:p>
        </w:tc>
        <w:tc>
          <w:tcPr>
            <w:tcW w:w="5386" w:type="dxa"/>
            <w:vAlign w:val="center"/>
          </w:tcPr>
          <w:p w14:paraId="2B2A7292">
            <w:pPr>
              <w:pStyle w:val="13"/>
            </w:pPr>
            <w:r>
              <w:t>预算执行</w:t>
            </w:r>
          </w:p>
        </w:tc>
        <w:tc>
          <w:tcPr>
            <w:tcW w:w="1778" w:type="dxa"/>
            <w:vAlign w:val="center"/>
          </w:tcPr>
          <w:p w14:paraId="0A1D6FA4">
            <w:pPr>
              <w:pStyle w:val="13"/>
            </w:pPr>
            <w:r>
              <w:t>≥95%</w:t>
            </w:r>
          </w:p>
        </w:tc>
        <w:tc>
          <w:tcPr>
            <w:tcW w:w="1766" w:type="dxa"/>
            <w:vAlign w:val="center"/>
          </w:tcPr>
          <w:p w14:paraId="4CB0B768">
            <w:pPr>
              <w:pStyle w:val="13"/>
            </w:pPr>
            <w:r>
              <w:t>支持学前教育发展资金管理方法</w:t>
            </w:r>
          </w:p>
        </w:tc>
      </w:tr>
      <w:tr w14:paraId="1AC19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7BE6A"/>
        </w:tc>
        <w:tc>
          <w:tcPr>
            <w:tcW w:w="2268" w:type="dxa"/>
            <w:vAlign w:val="center"/>
          </w:tcPr>
          <w:p w14:paraId="45AE4F52">
            <w:pPr>
              <w:pStyle w:val="13"/>
            </w:pPr>
            <w:r>
              <w:t>时效指标</w:t>
            </w:r>
          </w:p>
        </w:tc>
        <w:tc>
          <w:tcPr>
            <w:tcW w:w="2835" w:type="dxa"/>
            <w:vAlign w:val="center"/>
          </w:tcPr>
          <w:p w14:paraId="6CAC2B89">
            <w:pPr>
              <w:pStyle w:val="13"/>
            </w:pPr>
            <w:r>
              <w:t>资金支付率</w:t>
            </w:r>
          </w:p>
        </w:tc>
        <w:tc>
          <w:tcPr>
            <w:tcW w:w="5386" w:type="dxa"/>
            <w:vAlign w:val="center"/>
          </w:tcPr>
          <w:p w14:paraId="4F4DD8BE">
            <w:pPr>
              <w:pStyle w:val="13"/>
            </w:pPr>
            <w:r>
              <w:t>按照序时进度完成资金支付</w:t>
            </w:r>
          </w:p>
        </w:tc>
        <w:tc>
          <w:tcPr>
            <w:tcW w:w="1778" w:type="dxa"/>
            <w:vAlign w:val="center"/>
          </w:tcPr>
          <w:p w14:paraId="11216F3D">
            <w:pPr>
              <w:pStyle w:val="13"/>
            </w:pPr>
            <w:r>
              <w:t>≥100%</w:t>
            </w:r>
          </w:p>
        </w:tc>
        <w:tc>
          <w:tcPr>
            <w:tcW w:w="1766" w:type="dxa"/>
            <w:vAlign w:val="center"/>
          </w:tcPr>
          <w:p w14:paraId="09525074">
            <w:pPr>
              <w:pStyle w:val="13"/>
            </w:pPr>
            <w:r>
              <w:t>支持学前教育发展资金管理方法</w:t>
            </w:r>
          </w:p>
        </w:tc>
      </w:tr>
      <w:tr w14:paraId="6B44F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47CBE"/>
        </w:tc>
        <w:tc>
          <w:tcPr>
            <w:tcW w:w="2268" w:type="dxa"/>
            <w:vAlign w:val="center"/>
          </w:tcPr>
          <w:p w14:paraId="51A91208">
            <w:pPr>
              <w:pStyle w:val="13"/>
            </w:pPr>
            <w:r>
              <w:t>成本指标</w:t>
            </w:r>
          </w:p>
        </w:tc>
        <w:tc>
          <w:tcPr>
            <w:tcW w:w="2835" w:type="dxa"/>
            <w:vAlign w:val="center"/>
          </w:tcPr>
          <w:p w14:paraId="4BFF57C5">
            <w:pPr>
              <w:pStyle w:val="13"/>
            </w:pPr>
            <w:r>
              <w:t>生均拨款标准</w:t>
            </w:r>
          </w:p>
        </w:tc>
        <w:tc>
          <w:tcPr>
            <w:tcW w:w="5386" w:type="dxa"/>
            <w:vAlign w:val="center"/>
          </w:tcPr>
          <w:p w14:paraId="30DB4723">
            <w:pPr>
              <w:pStyle w:val="13"/>
            </w:pPr>
            <w:r>
              <w:t>学前：（基本标准600元/生/学年）</w:t>
            </w:r>
          </w:p>
        </w:tc>
        <w:tc>
          <w:tcPr>
            <w:tcW w:w="1778" w:type="dxa"/>
            <w:vAlign w:val="center"/>
          </w:tcPr>
          <w:p w14:paraId="7D45AEFA">
            <w:pPr>
              <w:pStyle w:val="13"/>
            </w:pPr>
            <w:r>
              <w:t>600元</w:t>
            </w:r>
          </w:p>
        </w:tc>
        <w:tc>
          <w:tcPr>
            <w:tcW w:w="1766" w:type="dxa"/>
            <w:vAlign w:val="center"/>
          </w:tcPr>
          <w:p w14:paraId="356A6F3F">
            <w:pPr>
              <w:pStyle w:val="13"/>
            </w:pPr>
            <w:r>
              <w:t>支持学前教育发展资金管理方法</w:t>
            </w:r>
          </w:p>
        </w:tc>
      </w:tr>
      <w:tr w14:paraId="3FDDD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3EE444">
            <w:pPr>
              <w:pStyle w:val="12"/>
            </w:pPr>
            <w:r>
              <w:t>效益指标</w:t>
            </w:r>
          </w:p>
        </w:tc>
        <w:tc>
          <w:tcPr>
            <w:tcW w:w="2268" w:type="dxa"/>
            <w:vAlign w:val="center"/>
          </w:tcPr>
          <w:p w14:paraId="638DEA91">
            <w:pPr>
              <w:pStyle w:val="13"/>
            </w:pPr>
            <w:r>
              <w:t>可持续影响指标</w:t>
            </w:r>
          </w:p>
        </w:tc>
        <w:tc>
          <w:tcPr>
            <w:tcW w:w="2835" w:type="dxa"/>
            <w:vAlign w:val="center"/>
          </w:tcPr>
          <w:p w14:paraId="6910B8EE">
            <w:pPr>
              <w:pStyle w:val="13"/>
            </w:pPr>
            <w:r>
              <w:t>学校运转得到提升</w:t>
            </w:r>
          </w:p>
        </w:tc>
        <w:tc>
          <w:tcPr>
            <w:tcW w:w="5386" w:type="dxa"/>
            <w:vAlign w:val="center"/>
          </w:tcPr>
          <w:p w14:paraId="31593B8F">
            <w:pPr>
              <w:pStyle w:val="13"/>
            </w:pPr>
            <w:r>
              <w:t>幼儿受教育年限</w:t>
            </w:r>
          </w:p>
        </w:tc>
        <w:tc>
          <w:tcPr>
            <w:tcW w:w="1778" w:type="dxa"/>
            <w:vAlign w:val="center"/>
          </w:tcPr>
          <w:p w14:paraId="5263027A">
            <w:pPr>
              <w:pStyle w:val="13"/>
            </w:pPr>
            <w:r>
              <w:t>3年</w:t>
            </w:r>
          </w:p>
        </w:tc>
        <w:tc>
          <w:tcPr>
            <w:tcW w:w="1766" w:type="dxa"/>
            <w:vAlign w:val="center"/>
          </w:tcPr>
          <w:p w14:paraId="33F7B9FA">
            <w:pPr>
              <w:pStyle w:val="13"/>
            </w:pPr>
            <w:r>
              <w:t>支持学前教育发展资金管理方法</w:t>
            </w:r>
          </w:p>
        </w:tc>
      </w:tr>
      <w:tr w14:paraId="356FF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8AEC31">
            <w:pPr>
              <w:pStyle w:val="12"/>
            </w:pPr>
            <w:r>
              <w:t>满意度指标</w:t>
            </w:r>
          </w:p>
        </w:tc>
        <w:tc>
          <w:tcPr>
            <w:tcW w:w="2268" w:type="dxa"/>
            <w:vAlign w:val="center"/>
          </w:tcPr>
          <w:p w14:paraId="7F28AD96">
            <w:pPr>
              <w:pStyle w:val="13"/>
            </w:pPr>
            <w:r>
              <w:t>服务对象满意度指标</w:t>
            </w:r>
          </w:p>
        </w:tc>
        <w:tc>
          <w:tcPr>
            <w:tcW w:w="2835" w:type="dxa"/>
            <w:vAlign w:val="center"/>
          </w:tcPr>
          <w:p w14:paraId="0E02D9EB">
            <w:pPr>
              <w:pStyle w:val="13"/>
            </w:pPr>
            <w:r>
              <w:t>受益学生家长及调查满意度</w:t>
            </w:r>
          </w:p>
        </w:tc>
        <w:tc>
          <w:tcPr>
            <w:tcW w:w="5386" w:type="dxa"/>
            <w:vAlign w:val="center"/>
          </w:tcPr>
          <w:p w14:paraId="4D408EF0">
            <w:pPr>
              <w:pStyle w:val="13"/>
            </w:pPr>
            <w:r>
              <w:t>学生、教师及家长对学校保教保育工作满意度情况</w:t>
            </w:r>
          </w:p>
        </w:tc>
        <w:tc>
          <w:tcPr>
            <w:tcW w:w="1778" w:type="dxa"/>
            <w:vAlign w:val="center"/>
          </w:tcPr>
          <w:p w14:paraId="5B2B64BA">
            <w:pPr>
              <w:pStyle w:val="13"/>
            </w:pPr>
            <w:r>
              <w:t>≥95%</w:t>
            </w:r>
          </w:p>
        </w:tc>
        <w:tc>
          <w:tcPr>
            <w:tcW w:w="1766" w:type="dxa"/>
            <w:vAlign w:val="center"/>
          </w:tcPr>
          <w:p w14:paraId="34368D6D">
            <w:pPr>
              <w:pStyle w:val="13"/>
            </w:pPr>
            <w:r>
              <w:t>支持学前教育发展资金管理方法</w:t>
            </w:r>
          </w:p>
        </w:tc>
      </w:tr>
    </w:tbl>
    <w:p w14:paraId="07A8A3D5">
      <w:pPr>
        <w:sectPr>
          <w:pgSz w:w="16840" w:h="11900" w:orient="landscape"/>
          <w:pgMar w:top="1361" w:right="1020" w:bottom="1134" w:left="1020" w:header="720" w:footer="720" w:gutter="0"/>
          <w:cols w:space="720" w:num="1"/>
        </w:sectPr>
      </w:pPr>
    </w:p>
    <w:p w14:paraId="5FBEE0A3">
      <w:pPr>
        <w:spacing w:before="0" w:after="0"/>
        <w:ind w:firstLine="560"/>
        <w:jc w:val="left"/>
        <w:outlineLvl w:val="9"/>
      </w:pPr>
      <w:r>
        <w:rPr>
          <w:rFonts w:ascii="方正仿宋_GBK" w:hAnsi="方正仿宋_GBK" w:eastAsia="方正仿宋_GBK" w:cs="方正仿宋_GBK"/>
          <w:b/>
          <w:color w:val="000000"/>
          <w:sz w:val="28"/>
        </w:rPr>
        <w:t>21、冀财教[2024]142号/省级/2025年学前发展资金/双碑校区学前教育幼儿资助绩效目标表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05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2A6CF">
            <w:pPr>
              <w:pStyle w:val="14"/>
            </w:pPr>
            <w:r>
              <w:t>单位：万元</w:t>
            </w:r>
          </w:p>
        </w:tc>
      </w:tr>
      <w:tr w14:paraId="0AA0E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93343">
            <w:pPr>
              <w:pStyle w:val="11"/>
            </w:pPr>
            <w:r>
              <w:t>项目编码</w:t>
            </w:r>
          </w:p>
        </w:tc>
        <w:tc>
          <w:tcPr>
            <w:tcW w:w="5103" w:type="dxa"/>
            <w:gridSpan w:val="2"/>
            <w:vAlign w:val="center"/>
          </w:tcPr>
          <w:p w14:paraId="7B2C6D5C">
            <w:pPr>
              <w:pStyle w:val="13"/>
            </w:pPr>
            <w:r>
              <w:t>13052525P00000210069C</w:t>
            </w:r>
          </w:p>
        </w:tc>
        <w:tc>
          <w:tcPr>
            <w:tcW w:w="2835" w:type="dxa"/>
            <w:vAlign w:val="center"/>
          </w:tcPr>
          <w:p w14:paraId="6F29CAAD">
            <w:pPr>
              <w:pStyle w:val="11"/>
            </w:pPr>
            <w:r>
              <w:t>项目名称</w:t>
            </w:r>
          </w:p>
        </w:tc>
        <w:tc>
          <w:tcPr>
            <w:tcW w:w="6095" w:type="dxa"/>
            <w:gridSpan w:val="3"/>
            <w:vAlign w:val="center"/>
          </w:tcPr>
          <w:p w14:paraId="10E688B7">
            <w:pPr>
              <w:pStyle w:val="13"/>
            </w:pPr>
            <w:r>
              <w:t>冀财教[2024]142号/省级/2025年学前发展资金/双碑校区学前教育幼儿资助</w:t>
            </w:r>
          </w:p>
        </w:tc>
      </w:tr>
      <w:tr w14:paraId="07609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3B0DE">
            <w:pPr>
              <w:pStyle w:val="11"/>
            </w:pPr>
            <w:r>
              <w:t>预算规模及资金用途</w:t>
            </w:r>
          </w:p>
        </w:tc>
        <w:tc>
          <w:tcPr>
            <w:tcW w:w="2268" w:type="dxa"/>
            <w:vAlign w:val="center"/>
          </w:tcPr>
          <w:p w14:paraId="64E570F1">
            <w:pPr>
              <w:pStyle w:val="11"/>
            </w:pPr>
            <w:r>
              <w:t>预算数</w:t>
            </w:r>
          </w:p>
        </w:tc>
        <w:tc>
          <w:tcPr>
            <w:tcW w:w="2835" w:type="dxa"/>
            <w:vAlign w:val="center"/>
          </w:tcPr>
          <w:p w14:paraId="7BA9BEA0">
            <w:pPr>
              <w:pStyle w:val="13"/>
            </w:pPr>
            <w:r>
              <w:t>0.60</w:t>
            </w:r>
          </w:p>
        </w:tc>
        <w:tc>
          <w:tcPr>
            <w:tcW w:w="2835" w:type="dxa"/>
            <w:vAlign w:val="center"/>
          </w:tcPr>
          <w:p w14:paraId="54349F06">
            <w:pPr>
              <w:pStyle w:val="11"/>
            </w:pPr>
            <w:r>
              <w:t>其中：财政    资金</w:t>
            </w:r>
          </w:p>
        </w:tc>
        <w:tc>
          <w:tcPr>
            <w:tcW w:w="2551" w:type="dxa"/>
            <w:vAlign w:val="center"/>
          </w:tcPr>
          <w:p w14:paraId="454CB42E">
            <w:pPr>
              <w:pStyle w:val="13"/>
            </w:pPr>
            <w:r>
              <w:t>0.60</w:t>
            </w:r>
          </w:p>
        </w:tc>
        <w:tc>
          <w:tcPr>
            <w:tcW w:w="2268" w:type="dxa"/>
            <w:vAlign w:val="center"/>
          </w:tcPr>
          <w:p w14:paraId="490A5FAC">
            <w:pPr>
              <w:pStyle w:val="11"/>
            </w:pPr>
            <w:r>
              <w:t>其他资金</w:t>
            </w:r>
          </w:p>
        </w:tc>
        <w:tc>
          <w:tcPr>
            <w:tcW w:w="1276" w:type="dxa"/>
            <w:vAlign w:val="center"/>
          </w:tcPr>
          <w:p w14:paraId="09AB1621">
            <w:pPr>
              <w:pStyle w:val="13"/>
            </w:pPr>
            <w:r>
              <w:t xml:space="preserve"> </w:t>
            </w:r>
          </w:p>
        </w:tc>
      </w:tr>
      <w:tr w14:paraId="7E1E7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C4E650"/>
        </w:tc>
        <w:tc>
          <w:tcPr>
            <w:tcW w:w="14033" w:type="dxa"/>
            <w:gridSpan w:val="6"/>
            <w:vAlign w:val="center"/>
          </w:tcPr>
          <w:p w14:paraId="7EE35ABC">
            <w:pPr>
              <w:pStyle w:val="13"/>
            </w:pPr>
            <w:r>
              <w:t>保障落实建档立卡及家庭经济困难儿童资助所需资金，确保建档立卡等家庭经济困难幼儿优先获得资助，保证本年度资助经费足额落实到位，符合享受资助条件的学生应助尽助。</w:t>
            </w:r>
          </w:p>
        </w:tc>
      </w:tr>
      <w:tr w14:paraId="3894D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6C3AA">
            <w:pPr>
              <w:pStyle w:val="11"/>
            </w:pPr>
            <w:r>
              <w:t>资金支出计划（%）</w:t>
            </w:r>
          </w:p>
        </w:tc>
        <w:tc>
          <w:tcPr>
            <w:tcW w:w="5103" w:type="dxa"/>
            <w:gridSpan w:val="2"/>
            <w:vAlign w:val="center"/>
          </w:tcPr>
          <w:p w14:paraId="69CEC5A4">
            <w:pPr>
              <w:pStyle w:val="11"/>
            </w:pPr>
            <w:r>
              <w:t>3月底</w:t>
            </w:r>
          </w:p>
        </w:tc>
        <w:tc>
          <w:tcPr>
            <w:tcW w:w="2835" w:type="dxa"/>
            <w:vAlign w:val="center"/>
          </w:tcPr>
          <w:p w14:paraId="0A344109">
            <w:pPr>
              <w:pStyle w:val="11"/>
            </w:pPr>
            <w:r>
              <w:t>6月底</w:t>
            </w:r>
          </w:p>
        </w:tc>
        <w:tc>
          <w:tcPr>
            <w:tcW w:w="2551" w:type="dxa"/>
            <w:vAlign w:val="center"/>
          </w:tcPr>
          <w:p w14:paraId="7050B7E1">
            <w:pPr>
              <w:pStyle w:val="11"/>
            </w:pPr>
            <w:r>
              <w:t>10月底</w:t>
            </w:r>
          </w:p>
        </w:tc>
        <w:tc>
          <w:tcPr>
            <w:tcW w:w="3544" w:type="dxa"/>
            <w:gridSpan w:val="2"/>
            <w:vAlign w:val="center"/>
          </w:tcPr>
          <w:p w14:paraId="4ABA43E9">
            <w:pPr>
              <w:pStyle w:val="11"/>
            </w:pPr>
            <w:r>
              <w:t>12月底</w:t>
            </w:r>
          </w:p>
        </w:tc>
      </w:tr>
      <w:tr w14:paraId="36FBE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BE0C73"/>
        </w:tc>
        <w:tc>
          <w:tcPr>
            <w:tcW w:w="5103" w:type="dxa"/>
            <w:gridSpan w:val="2"/>
            <w:vAlign w:val="center"/>
          </w:tcPr>
          <w:p w14:paraId="24744141">
            <w:pPr>
              <w:pStyle w:val="12"/>
            </w:pPr>
            <w:r>
              <w:t xml:space="preserve"> </w:t>
            </w:r>
          </w:p>
        </w:tc>
        <w:tc>
          <w:tcPr>
            <w:tcW w:w="2835" w:type="dxa"/>
            <w:vAlign w:val="center"/>
          </w:tcPr>
          <w:p w14:paraId="65590013">
            <w:pPr>
              <w:pStyle w:val="12"/>
            </w:pPr>
            <w:r>
              <w:t xml:space="preserve"> </w:t>
            </w:r>
          </w:p>
        </w:tc>
        <w:tc>
          <w:tcPr>
            <w:tcW w:w="2551" w:type="dxa"/>
            <w:vAlign w:val="center"/>
          </w:tcPr>
          <w:p w14:paraId="4893F555">
            <w:pPr>
              <w:pStyle w:val="12"/>
            </w:pPr>
            <w:r>
              <w:t>50%</w:t>
            </w:r>
          </w:p>
        </w:tc>
        <w:tc>
          <w:tcPr>
            <w:tcW w:w="3544" w:type="dxa"/>
            <w:gridSpan w:val="2"/>
            <w:vAlign w:val="center"/>
          </w:tcPr>
          <w:p w14:paraId="7C632CA3">
            <w:pPr>
              <w:pStyle w:val="12"/>
            </w:pPr>
            <w:r>
              <w:t>100%</w:t>
            </w:r>
          </w:p>
        </w:tc>
      </w:tr>
      <w:tr w14:paraId="3A710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FF4537">
            <w:pPr>
              <w:pStyle w:val="11"/>
            </w:pPr>
            <w:r>
              <w:t>绩效目标</w:t>
            </w:r>
          </w:p>
        </w:tc>
        <w:tc>
          <w:tcPr>
            <w:tcW w:w="14033" w:type="dxa"/>
            <w:gridSpan w:val="6"/>
            <w:vAlign w:val="center"/>
          </w:tcPr>
          <w:p w14:paraId="69A71025">
            <w:pPr>
              <w:pStyle w:val="13"/>
            </w:pPr>
            <w:r>
              <w:t>1.保障落实建档立卡及家庭经济困难儿童资助所需资金，确保建档立卡等家庭经济困难幼儿优先获得资助</w:t>
            </w:r>
          </w:p>
          <w:p w14:paraId="1848A2D1">
            <w:pPr>
              <w:pStyle w:val="13"/>
            </w:pPr>
            <w:r>
              <w:t>2.保证本年度资助经费足额落实到位，符合享受资助条件的学生应助尽助。</w:t>
            </w:r>
          </w:p>
        </w:tc>
      </w:tr>
    </w:tbl>
    <w:p w14:paraId="5C4D9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A8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22C98">
            <w:pPr>
              <w:pStyle w:val="11"/>
            </w:pPr>
            <w:r>
              <w:t>一级指标</w:t>
            </w:r>
          </w:p>
        </w:tc>
        <w:tc>
          <w:tcPr>
            <w:tcW w:w="2268" w:type="dxa"/>
            <w:vAlign w:val="center"/>
          </w:tcPr>
          <w:p w14:paraId="0815C420">
            <w:pPr>
              <w:pStyle w:val="11"/>
            </w:pPr>
            <w:r>
              <w:t>二级指标</w:t>
            </w:r>
          </w:p>
        </w:tc>
        <w:tc>
          <w:tcPr>
            <w:tcW w:w="2835" w:type="dxa"/>
            <w:vAlign w:val="center"/>
          </w:tcPr>
          <w:p w14:paraId="06E174F7">
            <w:pPr>
              <w:pStyle w:val="11"/>
            </w:pPr>
            <w:r>
              <w:t>三级指标</w:t>
            </w:r>
          </w:p>
        </w:tc>
        <w:tc>
          <w:tcPr>
            <w:tcW w:w="5386" w:type="dxa"/>
            <w:vAlign w:val="center"/>
          </w:tcPr>
          <w:p w14:paraId="78B68C50">
            <w:pPr>
              <w:pStyle w:val="11"/>
            </w:pPr>
            <w:r>
              <w:t>绩效指标描述</w:t>
            </w:r>
          </w:p>
        </w:tc>
        <w:tc>
          <w:tcPr>
            <w:tcW w:w="2268" w:type="dxa"/>
            <w:vAlign w:val="center"/>
          </w:tcPr>
          <w:p w14:paraId="3D67C2F0">
            <w:pPr>
              <w:pStyle w:val="11"/>
            </w:pPr>
            <w:r>
              <w:t>指标值</w:t>
            </w:r>
          </w:p>
        </w:tc>
        <w:tc>
          <w:tcPr>
            <w:tcW w:w="1276" w:type="dxa"/>
            <w:vAlign w:val="center"/>
          </w:tcPr>
          <w:p w14:paraId="50765A00">
            <w:pPr>
              <w:pStyle w:val="11"/>
            </w:pPr>
            <w:r>
              <w:t>指标值确定依据</w:t>
            </w:r>
          </w:p>
        </w:tc>
      </w:tr>
      <w:tr w14:paraId="70F18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A69DE">
            <w:pPr>
              <w:pStyle w:val="12"/>
            </w:pPr>
            <w:r>
              <w:t>产出指标</w:t>
            </w:r>
          </w:p>
        </w:tc>
        <w:tc>
          <w:tcPr>
            <w:tcW w:w="2268" w:type="dxa"/>
            <w:vAlign w:val="center"/>
          </w:tcPr>
          <w:p w14:paraId="5BA68C80">
            <w:pPr>
              <w:pStyle w:val="13"/>
            </w:pPr>
            <w:r>
              <w:t>数量指标</w:t>
            </w:r>
          </w:p>
        </w:tc>
        <w:tc>
          <w:tcPr>
            <w:tcW w:w="2835" w:type="dxa"/>
            <w:vAlign w:val="center"/>
          </w:tcPr>
          <w:p w14:paraId="10202AE2">
            <w:pPr>
              <w:pStyle w:val="13"/>
            </w:pPr>
            <w:r>
              <w:t>幼儿资助比例</w:t>
            </w:r>
          </w:p>
        </w:tc>
        <w:tc>
          <w:tcPr>
            <w:tcW w:w="5386" w:type="dxa"/>
            <w:vAlign w:val="center"/>
          </w:tcPr>
          <w:p w14:paraId="4C77511D">
            <w:pPr>
              <w:pStyle w:val="13"/>
            </w:pPr>
            <w:r>
              <w:t>按学前适龄在园儿童10%测算</w:t>
            </w:r>
          </w:p>
        </w:tc>
        <w:tc>
          <w:tcPr>
            <w:tcW w:w="2268" w:type="dxa"/>
            <w:vAlign w:val="center"/>
          </w:tcPr>
          <w:p w14:paraId="02EB080C">
            <w:pPr>
              <w:pStyle w:val="13"/>
            </w:pPr>
            <w:r>
              <w:t>≥10%</w:t>
            </w:r>
          </w:p>
        </w:tc>
        <w:tc>
          <w:tcPr>
            <w:tcW w:w="1276" w:type="dxa"/>
            <w:vAlign w:val="center"/>
          </w:tcPr>
          <w:p w14:paraId="34F1F8D0">
            <w:pPr>
              <w:pStyle w:val="13"/>
            </w:pPr>
            <w:r>
              <w:t>幼儿资助经费管理办法</w:t>
            </w:r>
          </w:p>
        </w:tc>
      </w:tr>
      <w:tr w14:paraId="2D022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39D3E"/>
        </w:tc>
        <w:tc>
          <w:tcPr>
            <w:tcW w:w="2268" w:type="dxa"/>
            <w:vAlign w:val="center"/>
          </w:tcPr>
          <w:p w14:paraId="3149584F">
            <w:pPr>
              <w:pStyle w:val="13"/>
            </w:pPr>
            <w:r>
              <w:t>质量指标</w:t>
            </w:r>
          </w:p>
        </w:tc>
        <w:tc>
          <w:tcPr>
            <w:tcW w:w="2835" w:type="dxa"/>
            <w:vAlign w:val="center"/>
          </w:tcPr>
          <w:p w14:paraId="421509B0">
            <w:pPr>
              <w:pStyle w:val="13"/>
            </w:pPr>
            <w:r>
              <w:t>学前教育资助制度落实情况</w:t>
            </w:r>
          </w:p>
        </w:tc>
        <w:tc>
          <w:tcPr>
            <w:tcW w:w="5386" w:type="dxa"/>
            <w:vAlign w:val="center"/>
          </w:tcPr>
          <w:p w14:paraId="308F004D">
            <w:pPr>
              <w:pStyle w:val="13"/>
            </w:pPr>
            <w:r>
              <w:t>符合享受资助条件的学生应助尽助</w:t>
            </w:r>
          </w:p>
        </w:tc>
        <w:tc>
          <w:tcPr>
            <w:tcW w:w="2268" w:type="dxa"/>
            <w:vAlign w:val="center"/>
          </w:tcPr>
          <w:p w14:paraId="111AA2DE">
            <w:pPr>
              <w:pStyle w:val="13"/>
            </w:pPr>
            <w:r>
              <w:t>≥100%</w:t>
            </w:r>
          </w:p>
        </w:tc>
        <w:tc>
          <w:tcPr>
            <w:tcW w:w="1276" w:type="dxa"/>
            <w:vAlign w:val="center"/>
          </w:tcPr>
          <w:p w14:paraId="6E4305B8">
            <w:pPr>
              <w:pStyle w:val="13"/>
            </w:pPr>
            <w:r>
              <w:t>幼儿资助经费管理办法</w:t>
            </w:r>
          </w:p>
        </w:tc>
      </w:tr>
      <w:tr w14:paraId="0207C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098A8"/>
        </w:tc>
        <w:tc>
          <w:tcPr>
            <w:tcW w:w="2268" w:type="dxa"/>
            <w:vAlign w:val="center"/>
          </w:tcPr>
          <w:p w14:paraId="25212160">
            <w:pPr>
              <w:pStyle w:val="13"/>
            </w:pPr>
            <w:r>
              <w:t>时效指标</w:t>
            </w:r>
          </w:p>
        </w:tc>
        <w:tc>
          <w:tcPr>
            <w:tcW w:w="2835" w:type="dxa"/>
            <w:vAlign w:val="center"/>
          </w:tcPr>
          <w:p w14:paraId="2F6FFDFD">
            <w:pPr>
              <w:pStyle w:val="13"/>
            </w:pPr>
            <w:r>
              <w:t>资金拨付率</w:t>
            </w:r>
          </w:p>
        </w:tc>
        <w:tc>
          <w:tcPr>
            <w:tcW w:w="5386" w:type="dxa"/>
            <w:vAlign w:val="center"/>
          </w:tcPr>
          <w:p w14:paraId="1AD112EC">
            <w:pPr>
              <w:pStyle w:val="13"/>
            </w:pPr>
            <w:r>
              <w:t>所有项目资金支付进度</w:t>
            </w:r>
          </w:p>
        </w:tc>
        <w:tc>
          <w:tcPr>
            <w:tcW w:w="2268" w:type="dxa"/>
            <w:vAlign w:val="center"/>
          </w:tcPr>
          <w:p w14:paraId="561BFD1D">
            <w:pPr>
              <w:pStyle w:val="13"/>
            </w:pPr>
            <w:r>
              <w:t>≥100%</w:t>
            </w:r>
          </w:p>
        </w:tc>
        <w:tc>
          <w:tcPr>
            <w:tcW w:w="1276" w:type="dxa"/>
            <w:vAlign w:val="center"/>
          </w:tcPr>
          <w:p w14:paraId="3E65801D">
            <w:pPr>
              <w:pStyle w:val="13"/>
            </w:pPr>
            <w:r>
              <w:t>幼儿资助经费管理办法</w:t>
            </w:r>
          </w:p>
        </w:tc>
      </w:tr>
      <w:tr w14:paraId="02872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25C85"/>
        </w:tc>
        <w:tc>
          <w:tcPr>
            <w:tcW w:w="2268" w:type="dxa"/>
            <w:vAlign w:val="center"/>
          </w:tcPr>
          <w:p w14:paraId="437F7F7C">
            <w:pPr>
              <w:pStyle w:val="13"/>
            </w:pPr>
            <w:r>
              <w:t>成本指标</w:t>
            </w:r>
          </w:p>
        </w:tc>
        <w:tc>
          <w:tcPr>
            <w:tcW w:w="2835" w:type="dxa"/>
            <w:vAlign w:val="center"/>
          </w:tcPr>
          <w:p w14:paraId="5598C7DC">
            <w:pPr>
              <w:pStyle w:val="13"/>
            </w:pPr>
            <w:r>
              <w:t>幼儿园资助标准</w:t>
            </w:r>
          </w:p>
        </w:tc>
        <w:tc>
          <w:tcPr>
            <w:tcW w:w="5386" w:type="dxa"/>
            <w:vAlign w:val="center"/>
          </w:tcPr>
          <w:p w14:paraId="4E6F46D9">
            <w:pPr>
              <w:pStyle w:val="13"/>
            </w:pPr>
            <w:r>
              <w:t>按照幼儿园资助标准1000元/生/年</w:t>
            </w:r>
          </w:p>
        </w:tc>
        <w:tc>
          <w:tcPr>
            <w:tcW w:w="2268" w:type="dxa"/>
            <w:vAlign w:val="center"/>
          </w:tcPr>
          <w:p w14:paraId="649C26D6">
            <w:pPr>
              <w:pStyle w:val="13"/>
            </w:pPr>
            <w:r>
              <w:t>1000元</w:t>
            </w:r>
          </w:p>
        </w:tc>
        <w:tc>
          <w:tcPr>
            <w:tcW w:w="1276" w:type="dxa"/>
            <w:vAlign w:val="center"/>
          </w:tcPr>
          <w:p w14:paraId="5DCCABEF">
            <w:pPr>
              <w:pStyle w:val="13"/>
            </w:pPr>
            <w:r>
              <w:t>幼儿资助经费管理办法</w:t>
            </w:r>
          </w:p>
        </w:tc>
      </w:tr>
      <w:tr w14:paraId="10DF7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D8612F">
            <w:pPr>
              <w:pStyle w:val="12"/>
            </w:pPr>
            <w:r>
              <w:t>效益指标</w:t>
            </w:r>
          </w:p>
        </w:tc>
        <w:tc>
          <w:tcPr>
            <w:tcW w:w="2268" w:type="dxa"/>
            <w:vAlign w:val="center"/>
          </w:tcPr>
          <w:p w14:paraId="5CE59435">
            <w:pPr>
              <w:pStyle w:val="13"/>
            </w:pPr>
            <w:r>
              <w:t>可持续影响指标</w:t>
            </w:r>
          </w:p>
        </w:tc>
        <w:tc>
          <w:tcPr>
            <w:tcW w:w="2835" w:type="dxa"/>
            <w:vAlign w:val="center"/>
          </w:tcPr>
          <w:p w14:paraId="6CBB3F7A">
            <w:pPr>
              <w:pStyle w:val="13"/>
            </w:pPr>
            <w:r>
              <w:t>幼儿园运转</w:t>
            </w:r>
          </w:p>
        </w:tc>
        <w:tc>
          <w:tcPr>
            <w:tcW w:w="5386" w:type="dxa"/>
            <w:vAlign w:val="center"/>
          </w:tcPr>
          <w:p w14:paraId="48001CF1">
            <w:pPr>
              <w:pStyle w:val="13"/>
            </w:pPr>
            <w:r>
              <w:t>幼儿受教育年限</w:t>
            </w:r>
          </w:p>
        </w:tc>
        <w:tc>
          <w:tcPr>
            <w:tcW w:w="2268" w:type="dxa"/>
            <w:vAlign w:val="center"/>
          </w:tcPr>
          <w:p w14:paraId="09B0E9BC">
            <w:pPr>
              <w:pStyle w:val="13"/>
            </w:pPr>
            <w:r>
              <w:t>3年</w:t>
            </w:r>
          </w:p>
        </w:tc>
        <w:tc>
          <w:tcPr>
            <w:tcW w:w="1276" w:type="dxa"/>
            <w:vAlign w:val="center"/>
          </w:tcPr>
          <w:p w14:paraId="7E28F8BC">
            <w:pPr>
              <w:pStyle w:val="13"/>
            </w:pPr>
            <w:r>
              <w:t>幼儿资助经费管理办法</w:t>
            </w:r>
          </w:p>
        </w:tc>
      </w:tr>
      <w:tr w14:paraId="6D7BE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06A902">
            <w:pPr>
              <w:pStyle w:val="12"/>
            </w:pPr>
            <w:r>
              <w:t>满意度指标</w:t>
            </w:r>
          </w:p>
        </w:tc>
        <w:tc>
          <w:tcPr>
            <w:tcW w:w="2268" w:type="dxa"/>
            <w:vAlign w:val="center"/>
          </w:tcPr>
          <w:p w14:paraId="6E8DDCD0">
            <w:pPr>
              <w:pStyle w:val="13"/>
            </w:pPr>
            <w:r>
              <w:t>服务对象满意度指标</w:t>
            </w:r>
          </w:p>
        </w:tc>
        <w:tc>
          <w:tcPr>
            <w:tcW w:w="2835" w:type="dxa"/>
            <w:vAlign w:val="center"/>
          </w:tcPr>
          <w:p w14:paraId="5762B2C7">
            <w:pPr>
              <w:pStyle w:val="13"/>
            </w:pPr>
            <w:r>
              <w:t>受益幼儿家长及调查满意度</w:t>
            </w:r>
          </w:p>
        </w:tc>
        <w:tc>
          <w:tcPr>
            <w:tcW w:w="5386" w:type="dxa"/>
            <w:vAlign w:val="center"/>
          </w:tcPr>
          <w:p w14:paraId="6A9E8869">
            <w:pPr>
              <w:pStyle w:val="13"/>
            </w:pPr>
            <w:r>
              <w:t>学生、教师及家长对学校保教保育工作满意度情况</w:t>
            </w:r>
          </w:p>
        </w:tc>
        <w:tc>
          <w:tcPr>
            <w:tcW w:w="2268" w:type="dxa"/>
            <w:vAlign w:val="center"/>
          </w:tcPr>
          <w:p w14:paraId="1A321C59">
            <w:pPr>
              <w:pStyle w:val="13"/>
            </w:pPr>
            <w:r>
              <w:t>≥95%</w:t>
            </w:r>
          </w:p>
        </w:tc>
        <w:tc>
          <w:tcPr>
            <w:tcW w:w="1276" w:type="dxa"/>
            <w:vAlign w:val="center"/>
          </w:tcPr>
          <w:p w14:paraId="3F7553B9">
            <w:pPr>
              <w:pStyle w:val="13"/>
            </w:pPr>
            <w:r>
              <w:t>幼儿资助经费管理办法</w:t>
            </w:r>
          </w:p>
        </w:tc>
      </w:tr>
    </w:tbl>
    <w:p w14:paraId="48F3E20F">
      <w:pPr>
        <w:sectPr>
          <w:pgSz w:w="16840" w:h="11900" w:orient="landscape"/>
          <w:pgMar w:top="1361" w:right="1020" w:bottom="1134" w:left="1020" w:header="720" w:footer="720" w:gutter="0"/>
          <w:cols w:space="720" w:num="1"/>
        </w:sectPr>
      </w:pPr>
    </w:p>
    <w:p w14:paraId="56B078FF">
      <w:pPr>
        <w:spacing w:before="0" w:after="0"/>
        <w:ind w:firstLine="560"/>
        <w:jc w:val="left"/>
        <w:outlineLvl w:val="9"/>
      </w:pPr>
      <w:r>
        <w:rPr>
          <w:rFonts w:ascii="方正仿宋_GBK" w:hAnsi="方正仿宋_GBK" w:eastAsia="方正仿宋_GBK" w:cs="方正仿宋_GBK"/>
          <w:b/>
          <w:color w:val="000000"/>
          <w:sz w:val="28"/>
        </w:rPr>
        <w:t>22、上年盘活/冀财教[2022]152号/中央/2023年学前发展/双碑校区双碑幼儿园保教楼室外消防设施绩效目标表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9E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F98AC">
            <w:pPr>
              <w:pStyle w:val="14"/>
            </w:pPr>
            <w:r>
              <w:t>单位：万元</w:t>
            </w:r>
          </w:p>
        </w:tc>
      </w:tr>
      <w:tr w14:paraId="60D01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95BA9">
            <w:pPr>
              <w:pStyle w:val="11"/>
            </w:pPr>
            <w:r>
              <w:t>项目编码</w:t>
            </w:r>
          </w:p>
        </w:tc>
        <w:tc>
          <w:tcPr>
            <w:tcW w:w="5103" w:type="dxa"/>
            <w:gridSpan w:val="2"/>
            <w:vAlign w:val="center"/>
          </w:tcPr>
          <w:p w14:paraId="6572D4CD">
            <w:pPr>
              <w:pStyle w:val="13"/>
            </w:pPr>
            <w:r>
              <w:t>13052525P008756101912</w:t>
            </w:r>
          </w:p>
        </w:tc>
        <w:tc>
          <w:tcPr>
            <w:tcW w:w="2835" w:type="dxa"/>
            <w:vAlign w:val="center"/>
          </w:tcPr>
          <w:p w14:paraId="69B2890B">
            <w:pPr>
              <w:pStyle w:val="11"/>
            </w:pPr>
            <w:r>
              <w:t>项目名称</w:t>
            </w:r>
          </w:p>
        </w:tc>
        <w:tc>
          <w:tcPr>
            <w:tcW w:w="6095" w:type="dxa"/>
            <w:gridSpan w:val="3"/>
            <w:vAlign w:val="center"/>
          </w:tcPr>
          <w:p w14:paraId="0D967B27">
            <w:pPr>
              <w:pStyle w:val="13"/>
            </w:pPr>
            <w:r>
              <w:t>上年盘活/冀财教[2022]152号/中央/2023年学前发展/双碑校区双碑幼儿园保教楼室外消防设施</w:t>
            </w:r>
          </w:p>
        </w:tc>
      </w:tr>
      <w:tr w14:paraId="36236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F0ED5">
            <w:pPr>
              <w:pStyle w:val="11"/>
            </w:pPr>
            <w:r>
              <w:t>预算规模及资金用途</w:t>
            </w:r>
          </w:p>
        </w:tc>
        <w:tc>
          <w:tcPr>
            <w:tcW w:w="2268" w:type="dxa"/>
            <w:vAlign w:val="center"/>
          </w:tcPr>
          <w:p w14:paraId="593380F6">
            <w:pPr>
              <w:pStyle w:val="11"/>
            </w:pPr>
            <w:r>
              <w:t>预算数</w:t>
            </w:r>
          </w:p>
        </w:tc>
        <w:tc>
          <w:tcPr>
            <w:tcW w:w="2835" w:type="dxa"/>
            <w:vAlign w:val="center"/>
          </w:tcPr>
          <w:p w14:paraId="5997667E">
            <w:pPr>
              <w:pStyle w:val="13"/>
            </w:pPr>
            <w:r>
              <w:t>15.08</w:t>
            </w:r>
          </w:p>
        </w:tc>
        <w:tc>
          <w:tcPr>
            <w:tcW w:w="2835" w:type="dxa"/>
            <w:vAlign w:val="center"/>
          </w:tcPr>
          <w:p w14:paraId="4F91A63C">
            <w:pPr>
              <w:pStyle w:val="11"/>
            </w:pPr>
            <w:r>
              <w:t>其中：财政    资金</w:t>
            </w:r>
          </w:p>
        </w:tc>
        <w:tc>
          <w:tcPr>
            <w:tcW w:w="2551" w:type="dxa"/>
            <w:vAlign w:val="center"/>
          </w:tcPr>
          <w:p w14:paraId="74CEFA03">
            <w:pPr>
              <w:pStyle w:val="13"/>
            </w:pPr>
            <w:r>
              <w:t>15.08</w:t>
            </w:r>
          </w:p>
        </w:tc>
        <w:tc>
          <w:tcPr>
            <w:tcW w:w="2268" w:type="dxa"/>
            <w:vAlign w:val="center"/>
          </w:tcPr>
          <w:p w14:paraId="7B3D7536">
            <w:pPr>
              <w:pStyle w:val="11"/>
            </w:pPr>
            <w:r>
              <w:t>其他资金</w:t>
            </w:r>
          </w:p>
        </w:tc>
        <w:tc>
          <w:tcPr>
            <w:tcW w:w="1276" w:type="dxa"/>
            <w:vAlign w:val="center"/>
          </w:tcPr>
          <w:p w14:paraId="7C2336B7">
            <w:pPr>
              <w:pStyle w:val="13"/>
            </w:pPr>
            <w:r>
              <w:t xml:space="preserve"> </w:t>
            </w:r>
          </w:p>
        </w:tc>
      </w:tr>
      <w:tr w14:paraId="1373F1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C85BCD"/>
        </w:tc>
        <w:tc>
          <w:tcPr>
            <w:tcW w:w="14033" w:type="dxa"/>
            <w:gridSpan w:val="6"/>
            <w:vAlign w:val="center"/>
          </w:tcPr>
          <w:p w14:paraId="0328FBCF">
            <w:pPr>
              <w:pStyle w:val="13"/>
            </w:pPr>
            <w:r>
              <w:t>改善就学条件，提升学校形象，保障义务教育阶段教学安全，创造良好的校园环境。</w:t>
            </w:r>
            <w:r>
              <w:tab/>
            </w:r>
          </w:p>
        </w:tc>
      </w:tr>
      <w:tr w14:paraId="2947C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71EFA">
            <w:pPr>
              <w:pStyle w:val="11"/>
            </w:pPr>
            <w:r>
              <w:t>资金支出计划（%）</w:t>
            </w:r>
          </w:p>
        </w:tc>
        <w:tc>
          <w:tcPr>
            <w:tcW w:w="5103" w:type="dxa"/>
            <w:gridSpan w:val="2"/>
            <w:vAlign w:val="center"/>
          </w:tcPr>
          <w:p w14:paraId="2E72DF00">
            <w:pPr>
              <w:pStyle w:val="11"/>
            </w:pPr>
            <w:r>
              <w:t>3月底</w:t>
            </w:r>
          </w:p>
        </w:tc>
        <w:tc>
          <w:tcPr>
            <w:tcW w:w="2835" w:type="dxa"/>
            <w:vAlign w:val="center"/>
          </w:tcPr>
          <w:p w14:paraId="658A4142">
            <w:pPr>
              <w:pStyle w:val="11"/>
            </w:pPr>
            <w:r>
              <w:t>6月底</w:t>
            </w:r>
          </w:p>
        </w:tc>
        <w:tc>
          <w:tcPr>
            <w:tcW w:w="2551" w:type="dxa"/>
            <w:vAlign w:val="center"/>
          </w:tcPr>
          <w:p w14:paraId="2D86A598">
            <w:pPr>
              <w:pStyle w:val="11"/>
            </w:pPr>
            <w:r>
              <w:t>10月底</w:t>
            </w:r>
          </w:p>
        </w:tc>
        <w:tc>
          <w:tcPr>
            <w:tcW w:w="3544" w:type="dxa"/>
            <w:gridSpan w:val="2"/>
            <w:vAlign w:val="center"/>
          </w:tcPr>
          <w:p w14:paraId="0252C72E">
            <w:pPr>
              <w:pStyle w:val="11"/>
            </w:pPr>
            <w:r>
              <w:t>12月底</w:t>
            </w:r>
          </w:p>
        </w:tc>
      </w:tr>
      <w:tr w14:paraId="73911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68DA08"/>
        </w:tc>
        <w:tc>
          <w:tcPr>
            <w:tcW w:w="5103" w:type="dxa"/>
            <w:gridSpan w:val="2"/>
            <w:vAlign w:val="center"/>
          </w:tcPr>
          <w:p w14:paraId="3045D2BA">
            <w:pPr>
              <w:pStyle w:val="12"/>
            </w:pPr>
            <w:r>
              <w:t>25%</w:t>
            </w:r>
          </w:p>
        </w:tc>
        <w:tc>
          <w:tcPr>
            <w:tcW w:w="2835" w:type="dxa"/>
            <w:vAlign w:val="center"/>
          </w:tcPr>
          <w:p w14:paraId="0DEECD33">
            <w:pPr>
              <w:pStyle w:val="12"/>
            </w:pPr>
            <w:r>
              <w:t>50%</w:t>
            </w:r>
          </w:p>
        </w:tc>
        <w:tc>
          <w:tcPr>
            <w:tcW w:w="2551" w:type="dxa"/>
            <w:vAlign w:val="center"/>
          </w:tcPr>
          <w:p w14:paraId="55CE1D95">
            <w:pPr>
              <w:pStyle w:val="12"/>
            </w:pPr>
            <w:r>
              <w:t>75%</w:t>
            </w:r>
          </w:p>
        </w:tc>
        <w:tc>
          <w:tcPr>
            <w:tcW w:w="3544" w:type="dxa"/>
            <w:gridSpan w:val="2"/>
            <w:vAlign w:val="center"/>
          </w:tcPr>
          <w:p w14:paraId="0AF15905">
            <w:pPr>
              <w:pStyle w:val="12"/>
            </w:pPr>
            <w:r>
              <w:t>100%</w:t>
            </w:r>
          </w:p>
        </w:tc>
      </w:tr>
      <w:tr w14:paraId="68E5E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F9CE8">
            <w:pPr>
              <w:pStyle w:val="11"/>
            </w:pPr>
            <w:r>
              <w:t>绩效目标</w:t>
            </w:r>
          </w:p>
        </w:tc>
        <w:tc>
          <w:tcPr>
            <w:tcW w:w="14033" w:type="dxa"/>
            <w:gridSpan w:val="6"/>
            <w:vAlign w:val="center"/>
          </w:tcPr>
          <w:p w14:paraId="437B6A94">
            <w:pPr>
              <w:pStyle w:val="13"/>
            </w:pPr>
            <w:r>
              <w:t>1.项目需资金15.082861万元，资金拨付率达到100%。</w:t>
            </w:r>
            <w:r>
              <w:tab/>
            </w:r>
            <w:r>
              <w:tab/>
            </w:r>
            <w:r>
              <w:tab/>
            </w:r>
          </w:p>
          <w:p w14:paraId="171489D9">
            <w:pPr>
              <w:pStyle w:val="13"/>
            </w:pPr>
            <w:r>
              <w:t>2.改善就学条件，提升学校形象，保障义务教育阶段教学安全，创造良好的校园环境。</w:t>
            </w:r>
            <w:r>
              <w:tab/>
            </w:r>
            <w:r>
              <w:tab/>
            </w:r>
            <w:r>
              <w:tab/>
            </w:r>
          </w:p>
        </w:tc>
      </w:tr>
    </w:tbl>
    <w:p w14:paraId="2A0E4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08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E5207">
            <w:pPr>
              <w:pStyle w:val="11"/>
            </w:pPr>
            <w:r>
              <w:t>一级指标</w:t>
            </w:r>
          </w:p>
        </w:tc>
        <w:tc>
          <w:tcPr>
            <w:tcW w:w="2268" w:type="dxa"/>
            <w:vAlign w:val="center"/>
          </w:tcPr>
          <w:p w14:paraId="4957FD50">
            <w:pPr>
              <w:pStyle w:val="11"/>
            </w:pPr>
            <w:r>
              <w:t>二级指标</w:t>
            </w:r>
          </w:p>
        </w:tc>
        <w:tc>
          <w:tcPr>
            <w:tcW w:w="2835" w:type="dxa"/>
            <w:vAlign w:val="center"/>
          </w:tcPr>
          <w:p w14:paraId="662828A0">
            <w:pPr>
              <w:pStyle w:val="11"/>
            </w:pPr>
            <w:r>
              <w:t>三级指标</w:t>
            </w:r>
          </w:p>
        </w:tc>
        <w:tc>
          <w:tcPr>
            <w:tcW w:w="5386" w:type="dxa"/>
            <w:vAlign w:val="center"/>
          </w:tcPr>
          <w:p w14:paraId="400CD1DD">
            <w:pPr>
              <w:pStyle w:val="11"/>
            </w:pPr>
            <w:r>
              <w:t>绩效指标描述</w:t>
            </w:r>
          </w:p>
        </w:tc>
        <w:tc>
          <w:tcPr>
            <w:tcW w:w="2268" w:type="dxa"/>
            <w:vAlign w:val="center"/>
          </w:tcPr>
          <w:p w14:paraId="186A26BE">
            <w:pPr>
              <w:pStyle w:val="11"/>
            </w:pPr>
            <w:r>
              <w:t>指标值</w:t>
            </w:r>
          </w:p>
        </w:tc>
        <w:tc>
          <w:tcPr>
            <w:tcW w:w="1276" w:type="dxa"/>
            <w:vAlign w:val="center"/>
          </w:tcPr>
          <w:p w14:paraId="4DFAFB64">
            <w:pPr>
              <w:pStyle w:val="11"/>
            </w:pPr>
            <w:r>
              <w:t>指标值确定依据</w:t>
            </w:r>
          </w:p>
        </w:tc>
      </w:tr>
      <w:tr w14:paraId="3850F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83F20">
            <w:pPr>
              <w:pStyle w:val="12"/>
            </w:pPr>
            <w:r>
              <w:t>产出指标</w:t>
            </w:r>
          </w:p>
        </w:tc>
        <w:tc>
          <w:tcPr>
            <w:tcW w:w="2268" w:type="dxa"/>
            <w:vAlign w:val="center"/>
          </w:tcPr>
          <w:p w14:paraId="5A7FD67E">
            <w:pPr>
              <w:pStyle w:val="13"/>
            </w:pPr>
            <w:r>
              <w:t>数量指标</w:t>
            </w:r>
          </w:p>
        </w:tc>
        <w:tc>
          <w:tcPr>
            <w:tcW w:w="2835" w:type="dxa"/>
            <w:vAlign w:val="center"/>
          </w:tcPr>
          <w:p w14:paraId="325162CE">
            <w:pPr>
              <w:pStyle w:val="13"/>
            </w:pPr>
            <w:r>
              <w:t>综合楼室外消防工程</w:t>
            </w:r>
          </w:p>
        </w:tc>
        <w:tc>
          <w:tcPr>
            <w:tcW w:w="5386" w:type="dxa"/>
            <w:vAlign w:val="center"/>
          </w:tcPr>
          <w:p w14:paraId="60B0A2AD">
            <w:pPr>
              <w:pStyle w:val="13"/>
            </w:pPr>
            <w:r>
              <w:t>安装消防泵房、蓄水池、室外网管、消防设备设施等</w:t>
            </w:r>
          </w:p>
        </w:tc>
        <w:tc>
          <w:tcPr>
            <w:tcW w:w="2268" w:type="dxa"/>
            <w:vAlign w:val="center"/>
          </w:tcPr>
          <w:p w14:paraId="5C221587">
            <w:pPr>
              <w:pStyle w:val="13"/>
            </w:pPr>
            <w:r>
              <w:t>1项</w:t>
            </w:r>
          </w:p>
        </w:tc>
        <w:tc>
          <w:tcPr>
            <w:tcW w:w="1276" w:type="dxa"/>
            <w:vAlign w:val="center"/>
          </w:tcPr>
          <w:p w14:paraId="3F095F86">
            <w:pPr>
              <w:pStyle w:val="13"/>
            </w:pPr>
            <w:r>
              <w:t>项目规划</w:t>
            </w:r>
          </w:p>
        </w:tc>
      </w:tr>
      <w:tr w14:paraId="022DC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D76E9"/>
        </w:tc>
        <w:tc>
          <w:tcPr>
            <w:tcW w:w="2268" w:type="dxa"/>
            <w:vAlign w:val="center"/>
          </w:tcPr>
          <w:p w14:paraId="3A08D0D2">
            <w:pPr>
              <w:pStyle w:val="13"/>
            </w:pPr>
            <w:r>
              <w:t>质量指标</w:t>
            </w:r>
          </w:p>
        </w:tc>
        <w:tc>
          <w:tcPr>
            <w:tcW w:w="2835" w:type="dxa"/>
            <w:vAlign w:val="center"/>
          </w:tcPr>
          <w:p w14:paraId="54598D14">
            <w:pPr>
              <w:pStyle w:val="13"/>
            </w:pPr>
            <w:r>
              <w:t>工程实施验收合格率</w:t>
            </w:r>
          </w:p>
        </w:tc>
        <w:tc>
          <w:tcPr>
            <w:tcW w:w="5386" w:type="dxa"/>
            <w:vAlign w:val="center"/>
          </w:tcPr>
          <w:p w14:paraId="1398F64D">
            <w:pPr>
              <w:pStyle w:val="13"/>
            </w:pPr>
            <w:r>
              <w:t>申报程序的合规，项目实施及资金使用符合项目规划</w:t>
            </w:r>
          </w:p>
        </w:tc>
        <w:tc>
          <w:tcPr>
            <w:tcW w:w="2268" w:type="dxa"/>
            <w:vAlign w:val="center"/>
          </w:tcPr>
          <w:p w14:paraId="0AAC6420">
            <w:pPr>
              <w:pStyle w:val="13"/>
            </w:pPr>
            <w:r>
              <w:t>≥100%</w:t>
            </w:r>
          </w:p>
        </w:tc>
        <w:tc>
          <w:tcPr>
            <w:tcW w:w="1276" w:type="dxa"/>
            <w:vAlign w:val="center"/>
          </w:tcPr>
          <w:p w14:paraId="0F5F3EB1">
            <w:pPr>
              <w:pStyle w:val="13"/>
            </w:pPr>
            <w:r>
              <w:t>项目规划</w:t>
            </w:r>
          </w:p>
        </w:tc>
      </w:tr>
      <w:tr w14:paraId="4FD8A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4A356"/>
        </w:tc>
        <w:tc>
          <w:tcPr>
            <w:tcW w:w="2268" w:type="dxa"/>
            <w:vAlign w:val="center"/>
          </w:tcPr>
          <w:p w14:paraId="67397348">
            <w:pPr>
              <w:pStyle w:val="13"/>
            </w:pPr>
            <w:r>
              <w:t>时效指标</w:t>
            </w:r>
          </w:p>
        </w:tc>
        <w:tc>
          <w:tcPr>
            <w:tcW w:w="2835" w:type="dxa"/>
            <w:vAlign w:val="center"/>
          </w:tcPr>
          <w:p w14:paraId="443C0566">
            <w:pPr>
              <w:pStyle w:val="13"/>
            </w:pPr>
            <w:r>
              <w:t>资金支付率</w:t>
            </w:r>
          </w:p>
        </w:tc>
        <w:tc>
          <w:tcPr>
            <w:tcW w:w="5386" w:type="dxa"/>
            <w:vAlign w:val="center"/>
          </w:tcPr>
          <w:p w14:paraId="28A5C159">
            <w:pPr>
              <w:pStyle w:val="13"/>
            </w:pPr>
            <w:r>
              <w:t>按照序时进度完成资金支付</w:t>
            </w:r>
          </w:p>
        </w:tc>
        <w:tc>
          <w:tcPr>
            <w:tcW w:w="2268" w:type="dxa"/>
            <w:vAlign w:val="center"/>
          </w:tcPr>
          <w:p w14:paraId="079F70C8">
            <w:pPr>
              <w:pStyle w:val="13"/>
            </w:pPr>
            <w:r>
              <w:t>≥100%</w:t>
            </w:r>
          </w:p>
        </w:tc>
        <w:tc>
          <w:tcPr>
            <w:tcW w:w="1276" w:type="dxa"/>
            <w:vAlign w:val="center"/>
          </w:tcPr>
          <w:p w14:paraId="2C8875C0">
            <w:pPr>
              <w:pStyle w:val="13"/>
            </w:pPr>
            <w:r>
              <w:t>项目规划</w:t>
            </w:r>
          </w:p>
        </w:tc>
      </w:tr>
      <w:tr w14:paraId="1D0AC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026C4"/>
        </w:tc>
        <w:tc>
          <w:tcPr>
            <w:tcW w:w="2268" w:type="dxa"/>
            <w:vAlign w:val="center"/>
          </w:tcPr>
          <w:p w14:paraId="4D6C0680">
            <w:pPr>
              <w:pStyle w:val="13"/>
            </w:pPr>
            <w:r>
              <w:t>成本指标</w:t>
            </w:r>
          </w:p>
        </w:tc>
        <w:tc>
          <w:tcPr>
            <w:tcW w:w="2835" w:type="dxa"/>
            <w:vAlign w:val="center"/>
          </w:tcPr>
          <w:p w14:paraId="16B72AE4">
            <w:pPr>
              <w:pStyle w:val="13"/>
            </w:pPr>
            <w:r>
              <w:t>项目成本控制情况</w:t>
            </w:r>
          </w:p>
        </w:tc>
        <w:tc>
          <w:tcPr>
            <w:tcW w:w="5386" w:type="dxa"/>
            <w:vAlign w:val="center"/>
          </w:tcPr>
          <w:p w14:paraId="4F92258C">
            <w:pPr>
              <w:pStyle w:val="13"/>
            </w:pPr>
            <w:r>
              <w:t>严格按照招标价格及审计额进行</w:t>
            </w:r>
          </w:p>
        </w:tc>
        <w:tc>
          <w:tcPr>
            <w:tcW w:w="2268" w:type="dxa"/>
            <w:vAlign w:val="center"/>
          </w:tcPr>
          <w:p w14:paraId="6BF8EDE0">
            <w:pPr>
              <w:pStyle w:val="13"/>
            </w:pPr>
            <w:r>
              <w:t>15.08万元</w:t>
            </w:r>
          </w:p>
        </w:tc>
        <w:tc>
          <w:tcPr>
            <w:tcW w:w="1276" w:type="dxa"/>
            <w:vAlign w:val="center"/>
          </w:tcPr>
          <w:p w14:paraId="76FB1CB4">
            <w:pPr>
              <w:pStyle w:val="13"/>
            </w:pPr>
            <w:r>
              <w:t>项目规划</w:t>
            </w:r>
          </w:p>
        </w:tc>
      </w:tr>
      <w:tr w14:paraId="73B70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676035">
            <w:pPr>
              <w:pStyle w:val="12"/>
            </w:pPr>
            <w:r>
              <w:t>效益指标</w:t>
            </w:r>
          </w:p>
        </w:tc>
        <w:tc>
          <w:tcPr>
            <w:tcW w:w="2268" w:type="dxa"/>
            <w:vAlign w:val="center"/>
          </w:tcPr>
          <w:p w14:paraId="7F29F229">
            <w:pPr>
              <w:pStyle w:val="13"/>
            </w:pPr>
            <w:r>
              <w:t>可持续影响指标</w:t>
            </w:r>
          </w:p>
        </w:tc>
        <w:tc>
          <w:tcPr>
            <w:tcW w:w="2835" w:type="dxa"/>
            <w:vAlign w:val="center"/>
          </w:tcPr>
          <w:p w14:paraId="4099CAED">
            <w:pPr>
              <w:pStyle w:val="13"/>
            </w:pPr>
            <w:r>
              <w:t>工程使用年限</w:t>
            </w:r>
          </w:p>
        </w:tc>
        <w:tc>
          <w:tcPr>
            <w:tcW w:w="5386" w:type="dxa"/>
            <w:vAlign w:val="center"/>
          </w:tcPr>
          <w:p w14:paraId="2467BBD9">
            <w:pPr>
              <w:pStyle w:val="13"/>
            </w:pPr>
            <w:r>
              <w:t>工程使用年限</w:t>
            </w:r>
          </w:p>
        </w:tc>
        <w:tc>
          <w:tcPr>
            <w:tcW w:w="2268" w:type="dxa"/>
            <w:vAlign w:val="center"/>
          </w:tcPr>
          <w:p w14:paraId="32FC2630">
            <w:pPr>
              <w:pStyle w:val="13"/>
            </w:pPr>
            <w:r>
              <w:t>≥15年</w:t>
            </w:r>
          </w:p>
        </w:tc>
        <w:tc>
          <w:tcPr>
            <w:tcW w:w="1276" w:type="dxa"/>
            <w:vAlign w:val="center"/>
          </w:tcPr>
          <w:p w14:paraId="72C26136">
            <w:pPr>
              <w:pStyle w:val="13"/>
            </w:pPr>
            <w:r>
              <w:t>项目规划</w:t>
            </w:r>
          </w:p>
        </w:tc>
      </w:tr>
      <w:tr w14:paraId="0CED1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2F6010">
            <w:pPr>
              <w:pStyle w:val="12"/>
            </w:pPr>
            <w:r>
              <w:t>满意度指标</w:t>
            </w:r>
          </w:p>
        </w:tc>
        <w:tc>
          <w:tcPr>
            <w:tcW w:w="2268" w:type="dxa"/>
            <w:vAlign w:val="center"/>
          </w:tcPr>
          <w:p w14:paraId="591FEDA9">
            <w:pPr>
              <w:pStyle w:val="13"/>
            </w:pPr>
            <w:r>
              <w:t>服务对象满意度指标</w:t>
            </w:r>
          </w:p>
        </w:tc>
        <w:tc>
          <w:tcPr>
            <w:tcW w:w="2835" w:type="dxa"/>
            <w:vAlign w:val="center"/>
          </w:tcPr>
          <w:p w14:paraId="6A657B77">
            <w:pPr>
              <w:pStyle w:val="13"/>
            </w:pPr>
            <w:r>
              <w:t>受益学生家长及调查满意度</w:t>
            </w:r>
          </w:p>
        </w:tc>
        <w:tc>
          <w:tcPr>
            <w:tcW w:w="5386" w:type="dxa"/>
            <w:vAlign w:val="center"/>
          </w:tcPr>
          <w:p w14:paraId="44BB3ABE">
            <w:pPr>
              <w:pStyle w:val="13"/>
            </w:pPr>
            <w:r>
              <w:t>幼儿、教师及家长对幼儿园教学环境满意度情况</w:t>
            </w:r>
          </w:p>
        </w:tc>
        <w:tc>
          <w:tcPr>
            <w:tcW w:w="2268" w:type="dxa"/>
            <w:vAlign w:val="center"/>
          </w:tcPr>
          <w:p w14:paraId="52D96D6B">
            <w:pPr>
              <w:pStyle w:val="13"/>
            </w:pPr>
            <w:r>
              <w:t>≥95%</w:t>
            </w:r>
          </w:p>
        </w:tc>
        <w:tc>
          <w:tcPr>
            <w:tcW w:w="1276" w:type="dxa"/>
            <w:vAlign w:val="center"/>
          </w:tcPr>
          <w:p w14:paraId="68CE5757">
            <w:pPr>
              <w:pStyle w:val="13"/>
            </w:pPr>
            <w:r>
              <w:t>项目规划</w:t>
            </w:r>
          </w:p>
        </w:tc>
      </w:tr>
    </w:tbl>
    <w:p w14:paraId="3995D1AE">
      <w:pPr>
        <w:sectPr>
          <w:pgSz w:w="16840" w:h="11900" w:orient="landscape"/>
          <w:pgMar w:top="1361" w:right="1020" w:bottom="1134" w:left="1020" w:header="720" w:footer="720" w:gutter="0"/>
          <w:cols w:space="720" w:num="1"/>
        </w:sectPr>
      </w:pPr>
    </w:p>
    <w:p w14:paraId="3381F8F7">
      <w:pPr>
        <w:spacing w:before="0" w:after="0"/>
        <w:ind w:firstLine="560"/>
        <w:jc w:val="left"/>
        <w:outlineLvl w:val="9"/>
      </w:pPr>
      <w:r>
        <w:rPr>
          <w:rFonts w:ascii="方正仿宋_GBK" w:hAnsi="方正仿宋_GBK" w:eastAsia="方正仿宋_GBK" w:cs="方正仿宋_GBK"/>
          <w:b/>
          <w:color w:val="000000"/>
          <w:sz w:val="28"/>
        </w:rPr>
        <w:t>23、上年盘活/冀财教[2022]162号/省级/义教经费/校舍安全/西良后小学学生餐厅室外消防工程绩效目标表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EA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92922">
            <w:pPr>
              <w:pStyle w:val="14"/>
            </w:pPr>
            <w:r>
              <w:t>单位：万元</w:t>
            </w:r>
          </w:p>
        </w:tc>
      </w:tr>
      <w:tr w14:paraId="4C5A9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DD640">
            <w:pPr>
              <w:pStyle w:val="11"/>
            </w:pPr>
            <w:r>
              <w:t>项目编码</w:t>
            </w:r>
          </w:p>
        </w:tc>
        <w:tc>
          <w:tcPr>
            <w:tcW w:w="5103" w:type="dxa"/>
            <w:gridSpan w:val="2"/>
            <w:vAlign w:val="center"/>
          </w:tcPr>
          <w:p w14:paraId="052BEF38">
            <w:pPr>
              <w:pStyle w:val="13"/>
            </w:pPr>
            <w:r>
              <w:t>13052525P00875610161E</w:t>
            </w:r>
          </w:p>
        </w:tc>
        <w:tc>
          <w:tcPr>
            <w:tcW w:w="2835" w:type="dxa"/>
            <w:vAlign w:val="center"/>
          </w:tcPr>
          <w:p w14:paraId="58EE09B7">
            <w:pPr>
              <w:pStyle w:val="11"/>
            </w:pPr>
            <w:r>
              <w:t>项目名称</w:t>
            </w:r>
          </w:p>
        </w:tc>
        <w:tc>
          <w:tcPr>
            <w:tcW w:w="6095" w:type="dxa"/>
            <w:gridSpan w:val="3"/>
            <w:vAlign w:val="center"/>
          </w:tcPr>
          <w:p w14:paraId="6412255B">
            <w:pPr>
              <w:pStyle w:val="13"/>
            </w:pPr>
            <w:r>
              <w:t>上年盘活/冀财教[2022]162号/省级/义教经费/校舍安全/西良后小学学生餐厅室外消防工程</w:t>
            </w:r>
          </w:p>
        </w:tc>
      </w:tr>
      <w:tr w14:paraId="2D4BE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ED8A3">
            <w:pPr>
              <w:pStyle w:val="11"/>
            </w:pPr>
            <w:r>
              <w:t>预算规模及资金用途</w:t>
            </w:r>
          </w:p>
        </w:tc>
        <w:tc>
          <w:tcPr>
            <w:tcW w:w="2268" w:type="dxa"/>
            <w:vAlign w:val="center"/>
          </w:tcPr>
          <w:p w14:paraId="7A8100B6">
            <w:pPr>
              <w:pStyle w:val="11"/>
            </w:pPr>
            <w:r>
              <w:t>预算数</w:t>
            </w:r>
          </w:p>
        </w:tc>
        <w:tc>
          <w:tcPr>
            <w:tcW w:w="2835" w:type="dxa"/>
            <w:vAlign w:val="center"/>
          </w:tcPr>
          <w:p w14:paraId="6387CBAA">
            <w:pPr>
              <w:pStyle w:val="13"/>
            </w:pPr>
            <w:r>
              <w:t>15.12</w:t>
            </w:r>
          </w:p>
        </w:tc>
        <w:tc>
          <w:tcPr>
            <w:tcW w:w="2835" w:type="dxa"/>
            <w:vAlign w:val="center"/>
          </w:tcPr>
          <w:p w14:paraId="03B3C5DA">
            <w:pPr>
              <w:pStyle w:val="11"/>
            </w:pPr>
            <w:r>
              <w:t>其中：财政    资金</w:t>
            </w:r>
          </w:p>
        </w:tc>
        <w:tc>
          <w:tcPr>
            <w:tcW w:w="2551" w:type="dxa"/>
            <w:vAlign w:val="center"/>
          </w:tcPr>
          <w:p w14:paraId="2AAF6181">
            <w:pPr>
              <w:pStyle w:val="13"/>
            </w:pPr>
            <w:r>
              <w:t>15.12</w:t>
            </w:r>
          </w:p>
        </w:tc>
        <w:tc>
          <w:tcPr>
            <w:tcW w:w="2268" w:type="dxa"/>
            <w:vAlign w:val="center"/>
          </w:tcPr>
          <w:p w14:paraId="395C659B">
            <w:pPr>
              <w:pStyle w:val="11"/>
            </w:pPr>
            <w:r>
              <w:t>其他资金</w:t>
            </w:r>
          </w:p>
        </w:tc>
        <w:tc>
          <w:tcPr>
            <w:tcW w:w="1276" w:type="dxa"/>
            <w:vAlign w:val="center"/>
          </w:tcPr>
          <w:p w14:paraId="54202641">
            <w:pPr>
              <w:pStyle w:val="13"/>
            </w:pPr>
            <w:r>
              <w:t xml:space="preserve"> </w:t>
            </w:r>
          </w:p>
        </w:tc>
      </w:tr>
      <w:tr w14:paraId="137E7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667AF"/>
        </w:tc>
        <w:tc>
          <w:tcPr>
            <w:tcW w:w="14033" w:type="dxa"/>
            <w:gridSpan w:val="6"/>
            <w:vAlign w:val="center"/>
          </w:tcPr>
          <w:p w14:paraId="3A94D219">
            <w:pPr>
              <w:pStyle w:val="13"/>
            </w:pPr>
            <w:r>
              <w:t>改善就学条件，提升学校形象，保障义务教育阶段教学安全，创造良好的校园环境。</w:t>
            </w:r>
            <w:r>
              <w:tab/>
            </w:r>
            <w:r>
              <w:tab/>
            </w:r>
            <w:r>
              <w:tab/>
            </w:r>
          </w:p>
          <w:p w14:paraId="01CD4AAB">
            <w:pPr>
              <w:pStyle w:val="13"/>
            </w:pPr>
            <w:r>
              <w:tab/>
            </w:r>
            <w:r>
              <w:tab/>
            </w:r>
            <w:r>
              <w:tab/>
            </w:r>
            <w:r>
              <w:tab/>
            </w:r>
            <w:r>
              <w:tab/>
            </w:r>
          </w:p>
          <w:p w14:paraId="551FEE2E">
            <w:pPr>
              <w:pStyle w:val="13"/>
            </w:pPr>
          </w:p>
        </w:tc>
      </w:tr>
      <w:tr w14:paraId="75C8F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D450A">
            <w:pPr>
              <w:pStyle w:val="11"/>
            </w:pPr>
            <w:r>
              <w:t>资金支出计划（%）</w:t>
            </w:r>
          </w:p>
        </w:tc>
        <w:tc>
          <w:tcPr>
            <w:tcW w:w="5103" w:type="dxa"/>
            <w:gridSpan w:val="2"/>
            <w:vAlign w:val="center"/>
          </w:tcPr>
          <w:p w14:paraId="36654354">
            <w:pPr>
              <w:pStyle w:val="11"/>
            </w:pPr>
            <w:r>
              <w:t>3月底</w:t>
            </w:r>
          </w:p>
        </w:tc>
        <w:tc>
          <w:tcPr>
            <w:tcW w:w="2835" w:type="dxa"/>
            <w:vAlign w:val="center"/>
          </w:tcPr>
          <w:p w14:paraId="41D5C7C0">
            <w:pPr>
              <w:pStyle w:val="11"/>
            </w:pPr>
            <w:r>
              <w:t>6月底</w:t>
            </w:r>
          </w:p>
        </w:tc>
        <w:tc>
          <w:tcPr>
            <w:tcW w:w="2551" w:type="dxa"/>
            <w:vAlign w:val="center"/>
          </w:tcPr>
          <w:p w14:paraId="03392545">
            <w:pPr>
              <w:pStyle w:val="11"/>
            </w:pPr>
            <w:r>
              <w:t>10月底</w:t>
            </w:r>
          </w:p>
        </w:tc>
        <w:tc>
          <w:tcPr>
            <w:tcW w:w="3544" w:type="dxa"/>
            <w:gridSpan w:val="2"/>
            <w:vAlign w:val="center"/>
          </w:tcPr>
          <w:p w14:paraId="501A1ED9">
            <w:pPr>
              <w:pStyle w:val="11"/>
            </w:pPr>
            <w:r>
              <w:t>12月底</w:t>
            </w:r>
          </w:p>
        </w:tc>
      </w:tr>
      <w:tr w14:paraId="23CD4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AC2654"/>
        </w:tc>
        <w:tc>
          <w:tcPr>
            <w:tcW w:w="5103" w:type="dxa"/>
            <w:gridSpan w:val="2"/>
            <w:vAlign w:val="center"/>
          </w:tcPr>
          <w:p w14:paraId="6117B5B6">
            <w:pPr>
              <w:pStyle w:val="12"/>
            </w:pPr>
            <w:r>
              <w:t>25%</w:t>
            </w:r>
          </w:p>
        </w:tc>
        <w:tc>
          <w:tcPr>
            <w:tcW w:w="2835" w:type="dxa"/>
            <w:vAlign w:val="center"/>
          </w:tcPr>
          <w:p w14:paraId="44739D69">
            <w:pPr>
              <w:pStyle w:val="12"/>
            </w:pPr>
            <w:r>
              <w:t>50%</w:t>
            </w:r>
          </w:p>
        </w:tc>
        <w:tc>
          <w:tcPr>
            <w:tcW w:w="2551" w:type="dxa"/>
            <w:vAlign w:val="center"/>
          </w:tcPr>
          <w:p w14:paraId="744D3DAE">
            <w:pPr>
              <w:pStyle w:val="12"/>
            </w:pPr>
            <w:r>
              <w:t>75%</w:t>
            </w:r>
          </w:p>
        </w:tc>
        <w:tc>
          <w:tcPr>
            <w:tcW w:w="3544" w:type="dxa"/>
            <w:gridSpan w:val="2"/>
            <w:vAlign w:val="center"/>
          </w:tcPr>
          <w:p w14:paraId="7EF5A8FA">
            <w:pPr>
              <w:pStyle w:val="12"/>
            </w:pPr>
            <w:r>
              <w:t>100%</w:t>
            </w:r>
          </w:p>
        </w:tc>
      </w:tr>
      <w:tr w14:paraId="77335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FE4F0A">
            <w:pPr>
              <w:pStyle w:val="11"/>
            </w:pPr>
            <w:r>
              <w:t>绩效目标</w:t>
            </w:r>
          </w:p>
        </w:tc>
        <w:tc>
          <w:tcPr>
            <w:tcW w:w="14033" w:type="dxa"/>
            <w:gridSpan w:val="6"/>
            <w:vAlign w:val="center"/>
          </w:tcPr>
          <w:p w14:paraId="4960331E">
            <w:pPr>
              <w:pStyle w:val="13"/>
            </w:pPr>
            <w:r>
              <w:t>1.项目需资金15.123171万元，资金拨付率达到100%。</w:t>
            </w:r>
          </w:p>
          <w:p w14:paraId="4D0BFD92">
            <w:pPr>
              <w:pStyle w:val="13"/>
            </w:pPr>
            <w:r>
              <w:t>2.改善就学条件，提升学校形象，保障义务教育阶段教学安全，创造良好的校园环境。</w:t>
            </w:r>
            <w:r>
              <w:tab/>
            </w:r>
            <w:r>
              <w:tab/>
            </w:r>
            <w:r>
              <w:tab/>
            </w:r>
          </w:p>
        </w:tc>
      </w:tr>
    </w:tbl>
    <w:p w14:paraId="4C5FAB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6D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F6E2B">
            <w:pPr>
              <w:pStyle w:val="11"/>
            </w:pPr>
            <w:r>
              <w:t>一级指标</w:t>
            </w:r>
          </w:p>
        </w:tc>
        <w:tc>
          <w:tcPr>
            <w:tcW w:w="2268" w:type="dxa"/>
            <w:vAlign w:val="center"/>
          </w:tcPr>
          <w:p w14:paraId="177AB04D">
            <w:pPr>
              <w:pStyle w:val="11"/>
            </w:pPr>
            <w:r>
              <w:t>二级指标</w:t>
            </w:r>
          </w:p>
        </w:tc>
        <w:tc>
          <w:tcPr>
            <w:tcW w:w="2835" w:type="dxa"/>
            <w:vAlign w:val="center"/>
          </w:tcPr>
          <w:p w14:paraId="313FA53D">
            <w:pPr>
              <w:pStyle w:val="11"/>
            </w:pPr>
            <w:r>
              <w:t>三级指标</w:t>
            </w:r>
          </w:p>
        </w:tc>
        <w:tc>
          <w:tcPr>
            <w:tcW w:w="5386" w:type="dxa"/>
            <w:vAlign w:val="center"/>
          </w:tcPr>
          <w:p w14:paraId="716581EF">
            <w:pPr>
              <w:pStyle w:val="11"/>
            </w:pPr>
            <w:r>
              <w:t>绩效指标描述</w:t>
            </w:r>
          </w:p>
        </w:tc>
        <w:tc>
          <w:tcPr>
            <w:tcW w:w="2268" w:type="dxa"/>
            <w:vAlign w:val="center"/>
          </w:tcPr>
          <w:p w14:paraId="1A242B95">
            <w:pPr>
              <w:pStyle w:val="11"/>
            </w:pPr>
            <w:r>
              <w:t>指标值</w:t>
            </w:r>
          </w:p>
        </w:tc>
        <w:tc>
          <w:tcPr>
            <w:tcW w:w="1276" w:type="dxa"/>
            <w:vAlign w:val="center"/>
          </w:tcPr>
          <w:p w14:paraId="59623D41">
            <w:pPr>
              <w:pStyle w:val="11"/>
            </w:pPr>
            <w:r>
              <w:t>指标值确定依据</w:t>
            </w:r>
          </w:p>
        </w:tc>
      </w:tr>
      <w:tr w14:paraId="273B4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2B0DA">
            <w:pPr>
              <w:pStyle w:val="12"/>
            </w:pPr>
            <w:r>
              <w:t>产出指标</w:t>
            </w:r>
          </w:p>
        </w:tc>
        <w:tc>
          <w:tcPr>
            <w:tcW w:w="2268" w:type="dxa"/>
            <w:vAlign w:val="center"/>
          </w:tcPr>
          <w:p w14:paraId="73071EA2">
            <w:pPr>
              <w:pStyle w:val="13"/>
            </w:pPr>
            <w:r>
              <w:t>数量指标</w:t>
            </w:r>
          </w:p>
        </w:tc>
        <w:tc>
          <w:tcPr>
            <w:tcW w:w="2835" w:type="dxa"/>
            <w:vAlign w:val="center"/>
          </w:tcPr>
          <w:p w14:paraId="1EA58553">
            <w:pPr>
              <w:pStyle w:val="13"/>
            </w:pPr>
            <w:r>
              <w:t>综合楼室外消防工程</w:t>
            </w:r>
          </w:p>
        </w:tc>
        <w:tc>
          <w:tcPr>
            <w:tcW w:w="5386" w:type="dxa"/>
            <w:vAlign w:val="center"/>
          </w:tcPr>
          <w:p w14:paraId="1F9432AC">
            <w:pPr>
              <w:pStyle w:val="13"/>
            </w:pPr>
            <w:r>
              <w:t>安装消防泵房、蓄水池、室外网管、消防设备设施等</w:t>
            </w:r>
          </w:p>
        </w:tc>
        <w:tc>
          <w:tcPr>
            <w:tcW w:w="2268" w:type="dxa"/>
            <w:vAlign w:val="center"/>
          </w:tcPr>
          <w:p w14:paraId="0F928192">
            <w:pPr>
              <w:pStyle w:val="13"/>
            </w:pPr>
            <w:r>
              <w:t>≥1项</w:t>
            </w:r>
          </w:p>
        </w:tc>
        <w:tc>
          <w:tcPr>
            <w:tcW w:w="1276" w:type="dxa"/>
            <w:vAlign w:val="center"/>
          </w:tcPr>
          <w:p w14:paraId="1EE13AE2">
            <w:pPr>
              <w:pStyle w:val="13"/>
            </w:pPr>
            <w:r>
              <w:t>项目规划</w:t>
            </w:r>
          </w:p>
        </w:tc>
      </w:tr>
      <w:tr w14:paraId="1A9D0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B313A"/>
        </w:tc>
        <w:tc>
          <w:tcPr>
            <w:tcW w:w="2268" w:type="dxa"/>
            <w:vAlign w:val="center"/>
          </w:tcPr>
          <w:p w14:paraId="6F33BB96">
            <w:pPr>
              <w:pStyle w:val="13"/>
            </w:pPr>
            <w:r>
              <w:t>质量指标</w:t>
            </w:r>
          </w:p>
        </w:tc>
        <w:tc>
          <w:tcPr>
            <w:tcW w:w="2835" w:type="dxa"/>
            <w:vAlign w:val="center"/>
          </w:tcPr>
          <w:p w14:paraId="7A6DCDC9">
            <w:pPr>
              <w:pStyle w:val="13"/>
            </w:pPr>
            <w:r>
              <w:t>工程实施验收合格率</w:t>
            </w:r>
          </w:p>
        </w:tc>
        <w:tc>
          <w:tcPr>
            <w:tcW w:w="5386" w:type="dxa"/>
            <w:vAlign w:val="center"/>
          </w:tcPr>
          <w:p w14:paraId="0B6903FE">
            <w:pPr>
              <w:pStyle w:val="13"/>
            </w:pPr>
            <w:r>
              <w:t>申报程序的合规，项目实施及资金使用符合项目规划</w:t>
            </w:r>
          </w:p>
        </w:tc>
        <w:tc>
          <w:tcPr>
            <w:tcW w:w="2268" w:type="dxa"/>
            <w:vAlign w:val="center"/>
          </w:tcPr>
          <w:p w14:paraId="50B25ECF">
            <w:pPr>
              <w:pStyle w:val="13"/>
            </w:pPr>
            <w:r>
              <w:t>≥100%</w:t>
            </w:r>
          </w:p>
        </w:tc>
        <w:tc>
          <w:tcPr>
            <w:tcW w:w="1276" w:type="dxa"/>
            <w:vAlign w:val="center"/>
          </w:tcPr>
          <w:p w14:paraId="497751D7">
            <w:pPr>
              <w:pStyle w:val="13"/>
            </w:pPr>
            <w:r>
              <w:t>项目规划</w:t>
            </w:r>
          </w:p>
        </w:tc>
      </w:tr>
      <w:tr w14:paraId="02251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0DC22"/>
        </w:tc>
        <w:tc>
          <w:tcPr>
            <w:tcW w:w="2268" w:type="dxa"/>
            <w:vAlign w:val="center"/>
          </w:tcPr>
          <w:p w14:paraId="6A20F263">
            <w:pPr>
              <w:pStyle w:val="13"/>
            </w:pPr>
            <w:r>
              <w:t>时效指标</w:t>
            </w:r>
          </w:p>
        </w:tc>
        <w:tc>
          <w:tcPr>
            <w:tcW w:w="2835" w:type="dxa"/>
            <w:vAlign w:val="center"/>
          </w:tcPr>
          <w:p w14:paraId="6444780E">
            <w:pPr>
              <w:pStyle w:val="13"/>
            </w:pPr>
            <w:r>
              <w:t>资金支付率</w:t>
            </w:r>
          </w:p>
        </w:tc>
        <w:tc>
          <w:tcPr>
            <w:tcW w:w="5386" w:type="dxa"/>
            <w:vAlign w:val="center"/>
          </w:tcPr>
          <w:p w14:paraId="3BEA2B99">
            <w:pPr>
              <w:pStyle w:val="13"/>
            </w:pPr>
            <w:r>
              <w:t>按照序时进度完成资金支付</w:t>
            </w:r>
          </w:p>
        </w:tc>
        <w:tc>
          <w:tcPr>
            <w:tcW w:w="2268" w:type="dxa"/>
            <w:vAlign w:val="center"/>
          </w:tcPr>
          <w:p w14:paraId="0B922585">
            <w:pPr>
              <w:pStyle w:val="13"/>
            </w:pPr>
            <w:r>
              <w:t>≥100%</w:t>
            </w:r>
          </w:p>
        </w:tc>
        <w:tc>
          <w:tcPr>
            <w:tcW w:w="1276" w:type="dxa"/>
            <w:vAlign w:val="center"/>
          </w:tcPr>
          <w:p w14:paraId="2D1D35D6">
            <w:pPr>
              <w:pStyle w:val="13"/>
            </w:pPr>
            <w:r>
              <w:t>项目规划</w:t>
            </w:r>
          </w:p>
        </w:tc>
      </w:tr>
      <w:tr w14:paraId="2221F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FC055"/>
        </w:tc>
        <w:tc>
          <w:tcPr>
            <w:tcW w:w="2268" w:type="dxa"/>
            <w:vAlign w:val="center"/>
          </w:tcPr>
          <w:p w14:paraId="3491A74B">
            <w:pPr>
              <w:pStyle w:val="13"/>
            </w:pPr>
            <w:r>
              <w:t>成本指标</w:t>
            </w:r>
          </w:p>
        </w:tc>
        <w:tc>
          <w:tcPr>
            <w:tcW w:w="2835" w:type="dxa"/>
            <w:vAlign w:val="center"/>
          </w:tcPr>
          <w:p w14:paraId="547D5FA7">
            <w:pPr>
              <w:pStyle w:val="13"/>
            </w:pPr>
            <w:r>
              <w:t>项目成本控制情况</w:t>
            </w:r>
          </w:p>
        </w:tc>
        <w:tc>
          <w:tcPr>
            <w:tcW w:w="5386" w:type="dxa"/>
            <w:vAlign w:val="center"/>
          </w:tcPr>
          <w:p w14:paraId="1FE91E49">
            <w:pPr>
              <w:pStyle w:val="13"/>
            </w:pPr>
            <w:r>
              <w:t>严格按照招标价格及审计额进行</w:t>
            </w:r>
          </w:p>
        </w:tc>
        <w:tc>
          <w:tcPr>
            <w:tcW w:w="2268" w:type="dxa"/>
            <w:vAlign w:val="center"/>
          </w:tcPr>
          <w:p w14:paraId="0B065295">
            <w:pPr>
              <w:pStyle w:val="13"/>
            </w:pPr>
            <w:r>
              <w:t>≥15.12万元</w:t>
            </w:r>
          </w:p>
        </w:tc>
        <w:tc>
          <w:tcPr>
            <w:tcW w:w="1276" w:type="dxa"/>
            <w:vAlign w:val="center"/>
          </w:tcPr>
          <w:p w14:paraId="2789FCFF">
            <w:pPr>
              <w:pStyle w:val="13"/>
            </w:pPr>
            <w:r>
              <w:t>项目规划</w:t>
            </w:r>
          </w:p>
        </w:tc>
      </w:tr>
      <w:tr w14:paraId="05A19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22B7BD">
            <w:pPr>
              <w:pStyle w:val="12"/>
            </w:pPr>
            <w:r>
              <w:t>效益指标</w:t>
            </w:r>
          </w:p>
        </w:tc>
        <w:tc>
          <w:tcPr>
            <w:tcW w:w="2268" w:type="dxa"/>
            <w:vAlign w:val="center"/>
          </w:tcPr>
          <w:p w14:paraId="0D5D6AFB">
            <w:pPr>
              <w:pStyle w:val="13"/>
            </w:pPr>
            <w:r>
              <w:t>可持续影响指标</w:t>
            </w:r>
          </w:p>
        </w:tc>
        <w:tc>
          <w:tcPr>
            <w:tcW w:w="2835" w:type="dxa"/>
            <w:vAlign w:val="center"/>
          </w:tcPr>
          <w:p w14:paraId="5461783A">
            <w:pPr>
              <w:pStyle w:val="13"/>
            </w:pPr>
            <w:r>
              <w:t>工程使用年限</w:t>
            </w:r>
          </w:p>
        </w:tc>
        <w:tc>
          <w:tcPr>
            <w:tcW w:w="5386" w:type="dxa"/>
            <w:vAlign w:val="center"/>
          </w:tcPr>
          <w:p w14:paraId="19D6A626">
            <w:pPr>
              <w:pStyle w:val="13"/>
            </w:pPr>
            <w:r>
              <w:t>工程使用年限</w:t>
            </w:r>
          </w:p>
        </w:tc>
        <w:tc>
          <w:tcPr>
            <w:tcW w:w="2268" w:type="dxa"/>
            <w:vAlign w:val="center"/>
          </w:tcPr>
          <w:p w14:paraId="450C1867">
            <w:pPr>
              <w:pStyle w:val="13"/>
            </w:pPr>
            <w:r>
              <w:t>≥15年</w:t>
            </w:r>
          </w:p>
        </w:tc>
        <w:tc>
          <w:tcPr>
            <w:tcW w:w="1276" w:type="dxa"/>
            <w:vAlign w:val="center"/>
          </w:tcPr>
          <w:p w14:paraId="58633A20">
            <w:pPr>
              <w:pStyle w:val="13"/>
            </w:pPr>
            <w:r>
              <w:t>项目规划</w:t>
            </w:r>
          </w:p>
        </w:tc>
      </w:tr>
      <w:tr w14:paraId="66F01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F8FDEE">
            <w:pPr>
              <w:pStyle w:val="12"/>
            </w:pPr>
            <w:r>
              <w:t>满意度指标</w:t>
            </w:r>
          </w:p>
        </w:tc>
        <w:tc>
          <w:tcPr>
            <w:tcW w:w="2268" w:type="dxa"/>
            <w:vAlign w:val="center"/>
          </w:tcPr>
          <w:p w14:paraId="33F0E74E">
            <w:pPr>
              <w:pStyle w:val="13"/>
            </w:pPr>
            <w:r>
              <w:t>服务对象满意度指标</w:t>
            </w:r>
          </w:p>
        </w:tc>
        <w:tc>
          <w:tcPr>
            <w:tcW w:w="2835" w:type="dxa"/>
            <w:vAlign w:val="center"/>
          </w:tcPr>
          <w:p w14:paraId="00A67DCB">
            <w:pPr>
              <w:pStyle w:val="13"/>
            </w:pPr>
            <w:r>
              <w:t>受益学生家长及调查满意度</w:t>
            </w:r>
          </w:p>
        </w:tc>
        <w:tc>
          <w:tcPr>
            <w:tcW w:w="5386" w:type="dxa"/>
            <w:vAlign w:val="center"/>
          </w:tcPr>
          <w:p w14:paraId="2CECC7B3">
            <w:pPr>
              <w:pStyle w:val="13"/>
            </w:pPr>
            <w:r>
              <w:t>学生、教师及家长对学校教学环境满意度情况</w:t>
            </w:r>
          </w:p>
        </w:tc>
        <w:tc>
          <w:tcPr>
            <w:tcW w:w="2268" w:type="dxa"/>
            <w:vAlign w:val="center"/>
          </w:tcPr>
          <w:p w14:paraId="3F63F647">
            <w:pPr>
              <w:pStyle w:val="13"/>
            </w:pPr>
            <w:r>
              <w:t>≥95%</w:t>
            </w:r>
          </w:p>
        </w:tc>
        <w:tc>
          <w:tcPr>
            <w:tcW w:w="1276" w:type="dxa"/>
            <w:vAlign w:val="center"/>
          </w:tcPr>
          <w:p w14:paraId="2B8E93A0">
            <w:pPr>
              <w:pStyle w:val="13"/>
            </w:pPr>
            <w:r>
              <w:t>项目规划</w:t>
            </w:r>
          </w:p>
        </w:tc>
      </w:tr>
    </w:tbl>
    <w:p w14:paraId="0AF86A54">
      <w:pPr>
        <w:sectPr>
          <w:pgSz w:w="16840" w:h="11900" w:orient="landscape"/>
          <w:pgMar w:top="1361" w:right="1020" w:bottom="1134" w:left="1020" w:header="720" w:footer="720" w:gutter="0"/>
          <w:cols w:space="720" w:num="1"/>
        </w:sectPr>
      </w:pPr>
    </w:p>
    <w:p w14:paraId="1A7BC500">
      <w:pPr>
        <w:spacing w:before="0" w:after="0"/>
        <w:ind w:firstLine="560"/>
        <w:jc w:val="left"/>
        <w:outlineLvl w:val="9"/>
      </w:pPr>
      <w:r>
        <w:rPr>
          <w:rFonts w:ascii="方正仿宋_GBK" w:hAnsi="方正仿宋_GBK" w:eastAsia="方正仿宋_GBK" w:cs="方正仿宋_GBK"/>
          <w:b/>
          <w:color w:val="000000"/>
          <w:sz w:val="28"/>
        </w:rPr>
        <w:t>24、上年盘活/冀财教[2023]159号/省级/2024年义务教育薄弱环节改善与能力提升/隆尧县双碑乡西良后小学新建学生宿舍楼项目绩效目标表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42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4058A">
            <w:pPr>
              <w:pStyle w:val="14"/>
            </w:pPr>
            <w:r>
              <w:t>单位：万元</w:t>
            </w:r>
          </w:p>
        </w:tc>
      </w:tr>
      <w:tr w14:paraId="0703C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E5663">
            <w:pPr>
              <w:pStyle w:val="11"/>
            </w:pPr>
            <w:r>
              <w:t>项目编码</w:t>
            </w:r>
          </w:p>
        </w:tc>
        <w:tc>
          <w:tcPr>
            <w:tcW w:w="5103" w:type="dxa"/>
            <w:gridSpan w:val="2"/>
            <w:vAlign w:val="center"/>
          </w:tcPr>
          <w:p w14:paraId="18F28EDB">
            <w:pPr>
              <w:pStyle w:val="13"/>
            </w:pPr>
            <w:r>
              <w:t>13052525P008756101745</w:t>
            </w:r>
          </w:p>
        </w:tc>
        <w:tc>
          <w:tcPr>
            <w:tcW w:w="2835" w:type="dxa"/>
            <w:vAlign w:val="center"/>
          </w:tcPr>
          <w:p w14:paraId="5AA68343">
            <w:pPr>
              <w:pStyle w:val="11"/>
            </w:pPr>
            <w:r>
              <w:t>项目名称</w:t>
            </w:r>
          </w:p>
        </w:tc>
        <w:tc>
          <w:tcPr>
            <w:tcW w:w="6095" w:type="dxa"/>
            <w:gridSpan w:val="3"/>
            <w:vAlign w:val="center"/>
          </w:tcPr>
          <w:p w14:paraId="1FBF64FF">
            <w:pPr>
              <w:pStyle w:val="13"/>
            </w:pPr>
            <w:r>
              <w:t>上年盘活/冀财教[2023]159号/省级/2024年义务教育薄弱环节改善与能力提升/隆尧县双碑乡西良后小学新建学生宿舍楼项目</w:t>
            </w:r>
          </w:p>
        </w:tc>
      </w:tr>
      <w:tr w14:paraId="38193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A2A9A">
            <w:pPr>
              <w:pStyle w:val="11"/>
            </w:pPr>
            <w:r>
              <w:t>预算规模及资金用途</w:t>
            </w:r>
          </w:p>
        </w:tc>
        <w:tc>
          <w:tcPr>
            <w:tcW w:w="2268" w:type="dxa"/>
            <w:vAlign w:val="center"/>
          </w:tcPr>
          <w:p w14:paraId="7FACE911">
            <w:pPr>
              <w:pStyle w:val="11"/>
            </w:pPr>
            <w:r>
              <w:t>预算数</w:t>
            </w:r>
          </w:p>
        </w:tc>
        <w:tc>
          <w:tcPr>
            <w:tcW w:w="2835" w:type="dxa"/>
            <w:vAlign w:val="center"/>
          </w:tcPr>
          <w:p w14:paraId="51F5DD14">
            <w:pPr>
              <w:pStyle w:val="13"/>
            </w:pPr>
            <w:r>
              <w:t>240.39</w:t>
            </w:r>
          </w:p>
        </w:tc>
        <w:tc>
          <w:tcPr>
            <w:tcW w:w="2835" w:type="dxa"/>
            <w:vAlign w:val="center"/>
          </w:tcPr>
          <w:p w14:paraId="19C4A89B">
            <w:pPr>
              <w:pStyle w:val="11"/>
            </w:pPr>
            <w:r>
              <w:t>其中：财政    资金</w:t>
            </w:r>
          </w:p>
        </w:tc>
        <w:tc>
          <w:tcPr>
            <w:tcW w:w="2551" w:type="dxa"/>
            <w:vAlign w:val="center"/>
          </w:tcPr>
          <w:p w14:paraId="009878A2">
            <w:pPr>
              <w:pStyle w:val="13"/>
            </w:pPr>
            <w:r>
              <w:t>240.39</w:t>
            </w:r>
          </w:p>
        </w:tc>
        <w:tc>
          <w:tcPr>
            <w:tcW w:w="2268" w:type="dxa"/>
            <w:vAlign w:val="center"/>
          </w:tcPr>
          <w:p w14:paraId="6CD58C3D">
            <w:pPr>
              <w:pStyle w:val="11"/>
            </w:pPr>
            <w:r>
              <w:t>其他资金</w:t>
            </w:r>
          </w:p>
        </w:tc>
        <w:tc>
          <w:tcPr>
            <w:tcW w:w="1276" w:type="dxa"/>
            <w:vAlign w:val="center"/>
          </w:tcPr>
          <w:p w14:paraId="06189F19">
            <w:pPr>
              <w:pStyle w:val="13"/>
            </w:pPr>
            <w:r>
              <w:t xml:space="preserve"> </w:t>
            </w:r>
          </w:p>
        </w:tc>
      </w:tr>
      <w:tr w14:paraId="7A4FA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179438"/>
        </w:tc>
        <w:tc>
          <w:tcPr>
            <w:tcW w:w="14033" w:type="dxa"/>
            <w:gridSpan w:val="6"/>
            <w:vAlign w:val="center"/>
          </w:tcPr>
          <w:p w14:paraId="5CF44481">
            <w:pPr>
              <w:pStyle w:val="13"/>
            </w:pPr>
            <w:r>
              <w:t>完成西良后小学新建宿舍楼项目，进一步提升教育质量及教学条件。</w:t>
            </w:r>
          </w:p>
        </w:tc>
      </w:tr>
      <w:tr w14:paraId="2381F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7D186">
            <w:pPr>
              <w:pStyle w:val="11"/>
            </w:pPr>
            <w:r>
              <w:t>资金支出计划（%）</w:t>
            </w:r>
          </w:p>
        </w:tc>
        <w:tc>
          <w:tcPr>
            <w:tcW w:w="5103" w:type="dxa"/>
            <w:gridSpan w:val="2"/>
            <w:vAlign w:val="center"/>
          </w:tcPr>
          <w:p w14:paraId="0293246F">
            <w:pPr>
              <w:pStyle w:val="11"/>
            </w:pPr>
            <w:r>
              <w:t>3月底</w:t>
            </w:r>
          </w:p>
        </w:tc>
        <w:tc>
          <w:tcPr>
            <w:tcW w:w="2835" w:type="dxa"/>
            <w:vAlign w:val="center"/>
          </w:tcPr>
          <w:p w14:paraId="1FE3225A">
            <w:pPr>
              <w:pStyle w:val="11"/>
            </w:pPr>
            <w:r>
              <w:t>6月底</w:t>
            </w:r>
          </w:p>
        </w:tc>
        <w:tc>
          <w:tcPr>
            <w:tcW w:w="2551" w:type="dxa"/>
            <w:vAlign w:val="center"/>
          </w:tcPr>
          <w:p w14:paraId="69941B2A">
            <w:pPr>
              <w:pStyle w:val="11"/>
            </w:pPr>
            <w:r>
              <w:t>10月底</w:t>
            </w:r>
          </w:p>
        </w:tc>
        <w:tc>
          <w:tcPr>
            <w:tcW w:w="3544" w:type="dxa"/>
            <w:gridSpan w:val="2"/>
            <w:vAlign w:val="center"/>
          </w:tcPr>
          <w:p w14:paraId="528080AC">
            <w:pPr>
              <w:pStyle w:val="11"/>
            </w:pPr>
            <w:r>
              <w:t>12月底</w:t>
            </w:r>
          </w:p>
        </w:tc>
      </w:tr>
      <w:tr w14:paraId="607B1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EB53DC"/>
        </w:tc>
        <w:tc>
          <w:tcPr>
            <w:tcW w:w="5103" w:type="dxa"/>
            <w:gridSpan w:val="2"/>
            <w:vAlign w:val="center"/>
          </w:tcPr>
          <w:p w14:paraId="1BFDB1F4">
            <w:pPr>
              <w:pStyle w:val="12"/>
            </w:pPr>
            <w:r>
              <w:t>25%</w:t>
            </w:r>
          </w:p>
        </w:tc>
        <w:tc>
          <w:tcPr>
            <w:tcW w:w="2835" w:type="dxa"/>
            <w:vAlign w:val="center"/>
          </w:tcPr>
          <w:p w14:paraId="672F6465">
            <w:pPr>
              <w:pStyle w:val="12"/>
            </w:pPr>
            <w:r>
              <w:t>50%</w:t>
            </w:r>
          </w:p>
        </w:tc>
        <w:tc>
          <w:tcPr>
            <w:tcW w:w="2551" w:type="dxa"/>
            <w:vAlign w:val="center"/>
          </w:tcPr>
          <w:p w14:paraId="7DBD64BE">
            <w:pPr>
              <w:pStyle w:val="12"/>
            </w:pPr>
            <w:r>
              <w:t>75%</w:t>
            </w:r>
          </w:p>
        </w:tc>
        <w:tc>
          <w:tcPr>
            <w:tcW w:w="3544" w:type="dxa"/>
            <w:gridSpan w:val="2"/>
            <w:vAlign w:val="center"/>
          </w:tcPr>
          <w:p w14:paraId="4B0641A9">
            <w:pPr>
              <w:pStyle w:val="12"/>
            </w:pPr>
            <w:r>
              <w:t>100%</w:t>
            </w:r>
          </w:p>
        </w:tc>
      </w:tr>
      <w:tr w14:paraId="796E1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A64AE">
            <w:pPr>
              <w:pStyle w:val="11"/>
            </w:pPr>
            <w:r>
              <w:t>绩效目标</w:t>
            </w:r>
          </w:p>
        </w:tc>
        <w:tc>
          <w:tcPr>
            <w:tcW w:w="14033" w:type="dxa"/>
            <w:gridSpan w:val="6"/>
            <w:vAlign w:val="center"/>
          </w:tcPr>
          <w:p w14:paraId="756C5408">
            <w:pPr>
              <w:pStyle w:val="13"/>
            </w:pPr>
            <w:r>
              <w:t>1.完成西良后小学新建宿舍楼项目，进一步提升教育质量及教学条件。</w:t>
            </w:r>
          </w:p>
        </w:tc>
      </w:tr>
    </w:tbl>
    <w:p w14:paraId="2F525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9D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26C5A">
            <w:pPr>
              <w:pStyle w:val="11"/>
            </w:pPr>
            <w:r>
              <w:t>一级指标</w:t>
            </w:r>
          </w:p>
        </w:tc>
        <w:tc>
          <w:tcPr>
            <w:tcW w:w="2268" w:type="dxa"/>
            <w:vAlign w:val="center"/>
          </w:tcPr>
          <w:p w14:paraId="07E8435C">
            <w:pPr>
              <w:pStyle w:val="11"/>
            </w:pPr>
            <w:r>
              <w:t>二级指标</w:t>
            </w:r>
          </w:p>
        </w:tc>
        <w:tc>
          <w:tcPr>
            <w:tcW w:w="2835" w:type="dxa"/>
            <w:vAlign w:val="center"/>
          </w:tcPr>
          <w:p w14:paraId="76962553">
            <w:pPr>
              <w:pStyle w:val="11"/>
            </w:pPr>
            <w:r>
              <w:t>三级指标</w:t>
            </w:r>
          </w:p>
        </w:tc>
        <w:tc>
          <w:tcPr>
            <w:tcW w:w="5386" w:type="dxa"/>
            <w:vAlign w:val="center"/>
          </w:tcPr>
          <w:p w14:paraId="57324D05">
            <w:pPr>
              <w:pStyle w:val="11"/>
            </w:pPr>
            <w:r>
              <w:t>绩效指标描述</w:t>
            </w:r>
          </w:p>
        </w:tc>
        <w:tc>
          <w:tcPr>
            <w:tcW w:w="2268" w:type="dxa"/>
            <w:vAlign w:val="center"/>
          </w:tcPr>
          <w:p w14:paraId="0AB004BE">
            <w:pPr>
              <w:pStyle w:val="11"/>
            </w:pPr>
            <w:r>
              <w:t>指标值</w:t>
            </w:r>
          </w:p>
        </w:tc>
        <w:tc>
          <w:tcPr>
            <w:tcW w:w="1276" w:type="dxa"/>
            <w:vAlign w:val="center"/>
          </w:tcPr>
          <w:p w14:paraId="7415217E">
            <w:pPr>
              <w:pStyle w:val="11"/>
            </w:pPr>
            <w:r>
              <w:t>指标值确定依据</w:t>
            </w:r>
          </w:p>
        </w:tc>
      </w:tr>
      <w:tr w14:paraId="48B1E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CD055">
            <w:pPr>
              <w:pStyle w:val="12"/>
            </w:pPr>
            <w:r>
              <w:t>产出指标</w:t>
            </w:r>
          </w:p>
        </w:tc>
        <w:tc>
          <w:tcPr>
            <w:tcW w:w="2268" w:type="dxa"/>
            <w:vAlign w:val="center"/>
          </w:tcPr>
          <w:p w14:paraId="4F7748C5">
            <w:pPr>
              <w:pStyle w:val="13"/>
            </w:pPr>
            <w:r>
              <w:t>数量指标</w:t>
            </w:r>
          </w:p>
        </w:tc>
        <w:tc>
          <w:tcPr>
            <w:tcW w:w="2835" w:type="dxa"/>
            <w:vAlign w:val="center"/>
          </w:tcPr>
          <w:p w14:paraId="398EB02E">
            <w:pPr>
              <w:pStyle w:val="13"/>
            </w:pPr>
            <w:r>
              <w:t>新建附属用房</w:t>
            </w:r>
          </w:p>
        </w:tc>
        <w:tc>
          <w:tcPr>
            <w:tcW w:w="5386" w:type="dxa"/>
            <w:vAlign w:val="center"/>
          </w:tcPr>
          <w:p w14:paraId="430AF732">
            <w:pPr>
              <w:pStyle w:val="13"/>
            </w:pPr>
            <w:r>
              <w:t>西良后小学新建宿舍楼面积</w:t>
            </w:r>
          </w:p>
        </w:tc>
        <w:tc>
          <w:tcPr>
            <w:tcW w:w="2268" w:type="dxa"/>
            <w:vAlign w:val="center"/>
          </w:tcPr>
          <w:p w14:paraId="1557B0D3">
            <w:pPr>
              <w:pStyle w:val="13"/>
            </w:pPr>
            <w:r>
              <w:t>2866.71平方米</w:t>
            </w:r>
          </w:p>
        </w:tc>
        <w:tc>
          <w:tcPr>
            <w:tcW w:w="1276" w:type="dxa"/>
            <w:vAlign w:val="center"/>
          </w:tcPr>
          <w:p w14:paraId="5B7958D8">
            <w:pPr>
              <w:pStyle w:val="13"/>
            </w:pPr>
            <w:r>
              <w:t>项目规划</w:t>
            </w:r>
          </w:p>
        </w:tc>
      </w:tr>
      <w:tr w14:paraId="49A7A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D222D"/>
        </w:tc>
        <w:tc>
          <w:tcPr>
            <w:tcW w:w="2268" w:type="dxa"/>
            <w:vAlign w:val="center"/>
          </w:tcPr>
          <w:p w14:paraId="6E5AF20F">
            <w:pPr>
              <w:pStyle w:val="13"/>
            </w:pPr>
            <w:r>
              <w:t>质量指标</w:t>
            </w:r>
          </w:p>
        </w:tc>
        <w:tc>
          <w:tcPr>
            <w:tcW w:w="2835" w:type="dxa"/>
            <w:vAlign w:val="center"/>
          </w:tcPr>
          <w:p w14:paraId="6B801CA4">
            <w:pPr>
              <w:pStyle w:val="13"/>
            </w:pPr>
            <w:r>
              <w:t>工程实施验收合格率</w:t>
            </w:r>
          </w:p>
        </w:tc>
        <w:tc>
          <w:tcPr>
            <w:tcW w:w="5386" w:type="dxa"/>
            <w:vAlign w:val="center"/>
          </w:tcPr>
          <w:p w14:paraId="242919B8">
            <w:pPr>
              <w:pStyle w:val="13"/>
            </w:pPr>
            <w:r>
              <w:t>申报程序的合规，项目实施及资金使用符合项目规划</w:t>
            </w:r>
          </w:p>
        </w:tc>
        <w:tc>
          <w:tcPr>
            <w:tcW w:w="2268" w:type="dxa"/>
            <w:vAlign w:val="center"/>
          </w:tcPr>
          <w:p w14:paraId="08F182E9">
            <w:pPr>
              <w:pStyle w:val="13"/>
            </w:pPr>
            <w:r>
              <w:t>≥100%</w:t>
            </w:r>
          </w:p>
        </w:tc>
        <w:tc>
          <w:tcPr>
            <w:tcW w:w="1276" w:type="dxa"/>
            <w:vAlign w:val="center"/>
          </w:tcPr>
          <w:p w14:paraId="1D09CCB5">
            <w:pPr>
              <w:pStyle w:val="13"/>
            </w:pPr>
            <w:r>
              <w:t>项目规划</w:t>
            </w:r>
          </w:p>
        </w:tc>
      </w:tr>
      <w:tr w14:paraId="0DB0A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234AE"/>
        </w:tc>
        <w:tc>
          <w:tcPr>
            <w:tcW w:w="2268" w:type="dxa"/>
            <w:vAlign w:val="center"/>
          </w:tcPr>
          <w:p w14:paraId="002AEE27">
            <w:pPr>
              <w:pStyle w:val="13"/>
            </w:pPr>
            <w:r>
              <w:t>时效指标</w:t>
            </w:r>
          </w:p>
        </w:tc>
        <w:tc>
          <w:tcPr>
            <w:tcW w:w="2835" w:type="dxa"/>
            <w:vAlign w:val="center"/>
          </w:tcPr>
          <w:p w14:paraId="536F11B0">
            <w:pPr>
              <w:pStyle w:val="13"/>
            </w:pPr>
            <w:r>
              <w:t>资金支付率</w:t>
            </w:r>
          </w:p>
        </w:tc>
        <w:tc>
          <w:tcPr>
            <w:tcW w:w="5386" w:type="dxa"/>
            <w:vAlign w:val="center"/>
          </w:tcPr>
          <w:p w14:paraId="5944426C">
            <w:pPr>
              <w:pStyle w:val="13"/>
            </w:pPr>
            <w:r>
              <w:t>按照序时进度完成资金支付</w:t>
            </w:r>
          </w:p>
        </w:tc>
        <w:tc>
          <w:tcPr>
            <w:tcW w:w="2268" w:type="dxa"/>
            <w:vAlign w:val="center"/>
          </w:tcPr>
          <w:p w14:paraId="5E0BF02E">
            <w:pPr>
              <w:pStyle w:val="13"/>
            </w:pPr>
            <w:r>
              <w:t>≥100%</w:t>
            </w:r>
          </w:p>
        </w:tc>
        <w:tc>
          <w:tcPr>
            <w:tcW w:w="1276" w:type="dxa"/>
            <w:vAlign w:val="center"/>
          </w:tcPr>
          <w:p w14:paraId="73E2D9C3">
            <w:pPr>
              <w:pStyle w:val="13"/>
            </w:pPr>
            <w:r>
              <w:t>项目规划</w:t>
            </w:r>
          </w:p>
        </w:tc>
      </w:tr>
      <w:tr w14:paraId="2B0B6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2254C"/>
        </w:tc>
        <w:tc>
          <w:tcPr>
            <w:tcW w:w="2268" w:type="dxa"/>
            <w:vAlign w:val="center"/>
          </w:tcPr>
          <w:p w14:paraId="6FC69A2D">
            <w:pPr>
              <w:pStyle w:val="13"/>
            </w:pPr>
            <w:r>
              <w:t>成本指标</w:t>
            </w:r>
          </w:p>
        </w:tc>
        <w:tc>
          <w:tcPr>
            <w:tcW w:w="2835" w:type="dxa"/>
            <w:vAlign w:val="center"/>
          </w:tcPr>
          <w:p w14:paraId="72DA24DC">
            <w:pPr>
              <w:pStyle w:val="13"/>
            </w:pPr>
            <w:r>
              <w:t>项目成本控制情况</w:t>
            </w:r>
          </w:p>
        </w:tc>
        <w:tc>
          <w:tcPr>
            <w:tcW w:w="5386" w:type="dxa"/>
            <w:vAlign w:val="center"/>
          </w:tcPr>
          <w:p w14:paraId="1B04BB2A">
            <w:pPr>
              <w:pStyle w:val="13"/>
            </w:pPr>
            <w:r>
              <w:t>严格按照审计额进行质保金支付</w:t>
            </w:r>
          </w:p>
        </w:tc>
        <w:tc>
          <w:tcPr>
            <w:tcW w:w="2268" w:type="dxa"/>
            <w:vAlign w:val="center"/>
          </w:tcPr>
          <w:p w14:paraId="083E8817">
            <w:pPr>
              <w:pStyle w:val="13"/>
            </w:pPr>
            <w:r>
              <w:t>≤240.39万元</w:t>
            </w:r>
          </w:p>
        </w:tc>
        <w:tc>
          <w:tcPr>
            <w:tcW w:w="1276" w:type="dxa"/>
            <w:vAlign w:val="center"/>
          </w:tcPr>
          <w:p w14:paraId="57D18052">
            <w:pPr>
              <w:pStyle w:val="13"/>
            </w:pPr>
            <w:r>
              <w:t>项目规划</w:t>
            </w:r>
          </w:p>
        </w:tc>
      </w:tr>
      <w:tr w14:paraId="6386A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621EC8">
            <w:pPr>
              <w:pStyle w:val="12"/>
            </w:pPr>
            <w:r>
              <w:t>效益指标</w:t>
            </w:r>
          </w:p>
        </w:tc>
        <w:tc>
          <w:tcPr>
            <w:tcW w:w="2268" w:type="dxa"/>
            <w:vAlign w:val="center"/>
          </w:tcPr>
          <w:p w14:paraId="6B0A9AA1">
            <w:pPr>
              <w:pStyle w:val="13"/>
            </w:pPr>
            <w:r>
              <w:t>可持续影响指标</w:t>
            </w:r>
          </w:p>
        </w:tc>
        <w:tc>
          <w:tcPr>
            <w:tcW w:w="2835" w:type="dxa"/>
            <w:vAlign w:val="center"/>
          </w:tcPr>
          <w:p w14:paraId="77296D83">
            <w:pPr>
              <w:pStyle w:val="13"/>
            </w:pPr>
            <w:r>
              <w:t xml:space="preserve"> 学生住宿条件提升</w:t>
            </w:r>
          </w:p>
        </w:tc>
        <w:tc>
          <w:tcPr>
            <w:tcW w:w="5386" w:type="dxa"/>
            <w:vAlign w:val="center"/>
          </w:tcPr>
          <w:p w14:paraId="1567648E">
            <w:pPr>
              <w:pStyle w:val="13"/>
            </w:pPr>
            <w:r>
              <w:t>学校办学能力升情况及学生住宿条件等开展的情况</w:t>
            </w:r>
          </w:p>
        </w:tc>
        <w:tc>
          <w:tcPr>
            <w:tcW w:w="2268" w:type="dxa"/>
            <w:vAlign w:val="center"/>
          </w:tcPr>
          <w:p w14:paraId="25AD03D9">
            <w:pPr>
              <w:pStyle w:val="13"/>
            </w:pPr>
            <w:r>
              <w:t>≥100%</w:t>
            </w:r>
          </w:p>
        </w:tc>
        <w:tc>
          <w:tcPr>
            <w:tcW w:w="1276" w:type="dxa"/>
            <w:vAlign w:val="center"/>
          </w:tcPr>
          <w:p w14:paraId="6A17A218">
            <w:pPr>
              <w:pStyle w:val="13"/>
            </w:pPr>
            <w:r>
              <w:t>项目规划</w:t>
            </w:r>
          </w:p>
        </w:tc>
      </w:tr>
      <w:tr w14:paraId="405B6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530791">
            <w:pPr>
              <w:pStyle w:val="12"/>
            </w:pPr>
            <w:r>
              <w:t>满意度指标</w:t>
            </w:r>
          </w:p>
        </w:tc>
        <w:tc>
          <w:tcPr>
            <w:tcW w:w="2268" w:type="dxa"/>
            <w:vAlign w:val="center"/>
          </w:tcPr>
          <w:p w14:paraId="3796B0AA">
            <w:pPr>
              <w:pStyle w:val="13"/>
            </w:pPr>
            <w:r>
              <w:t>服务对象满意度指标</w:t>
            </w:r>
          </w:p>
        </w:tc>
        <w:tc>
          <w:tcPr>
            <w:tcW w:w="2835" w:type="dxa"/>
            <w:vAlign w:val="center"/>
          </w:tcPr>
          <w:p w14:paraId="5633FAB2">
            <w:pPr>
              <w:pStyle w:val="13"/>
            </w:pPr>
            <w:r>
              <w:t>学生、教师及家长对学校教学环境满意度情况</w:t>
            </w:r>
          </w:p>
        </w:tc>
        <w:tc>
          <w:tcPr>
            <w:tcW w:w="5386" w:type="dxa"/>
            <w:vAlign w:val="center"/>
          </w:tcPr>
          <w:p w14:paraId="629D4FB5">
            <w:pPr>
              <w:pStyle w:val="13"/>
            </w:pPr>
            <w:r>
              <w:t>学生、教师及家长对学生住宿环境满意度情况</w:t>
            </w:r>
          </w:p>
        </w:tc>
        <w:tc>
          <w:tcPr>
            <w:tcW w:w="2268" w:type="dxa"/>
            <w:vAlign w:val="center"/>
          </w:tcPr>
          <w:p w14:paraId="1B4D8ECC">
            <w:pPr>
              <w:pStyle w:val="13"/>
            </w:pPr>
            <w:r>
              <w:t>≥95%</w:t>
            </w:r>
          </w:p>
        </w:tc>
        <w:tc>
          <w:tcPr>
            <w:tcW w:w="1276" w:type="dxa"/>
            <w:vAlign w:val="center"/>
          </w:tcPr>
          <w:p w14:paraId="355CAA2D">
            <w:pPr>
              <w:pStyle w:val="13"/>
            </w:pPr>
            <w:r>
              <w:t>项目规划</w:t>
            </w:r>
          </w:p>
        </w:tc>
      </w:tr>
    </w:tbl>
    <w:p w14:paraId="22F317A1">
      <w:pPr>
        <w:sectPr>
          <w:pgSz w:w="16840" w:h="11900" w:orient="landscape"/>
          <w:pgMar w:top="1361" w:right="1020" w:bottom="1134" w:left="1020" w:header="720" w:footer="720" w:gutter="0"/>
          <w:cols w:space="720" w:num="1"/>
        </w:sectPr>
      </w:pPr>
    </w:p>
    <w:p w14:paraId="033E7728">
      <w:pPr>
        <w:spacing w:before="0" w:after="0"/>
        <w:ind w:firstLine="560"/>
        <w:jc w:val="left"/>
        <w:outlineLvl w:val="9"/>
      </w:pPr>
      <w:r>
        <w:rPr>
          <w:rFonts w:ascii="方正仿宋_GBK" w:hAnsi="方正仿宋_GBK" w:eastAsia="方正仿宋_GBK" w:cs="方正仿宋_GBK"/>
          <w:b/>
          <w:color w:val="000000"/>
          <w:sz w:val="28"/>
        </w:rPr>
        <w:t>25、上年盘活/隆尧县双碑乡西良后小学新建学生宿舍楼项目费用（冀财教[2023]159号)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3BA7B4C4">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8C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86AD2">
            <w:pPr>
              <w:pStyle w:val="14"/>
            </w:pPr>
            <w:r>
              <w:t>单位：万元</w:t>
            </w:r>
          </w:p>
        </w:tc>
      </w:tr>
      <w:tr w14:paraId="0380B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A780BD">
            <w:pPr>
              <w:pStyle w:val="11"/>
            </w:pPr>
            <w:r>
              <w:t>项目编码</w:t>
            </w:r>
          </w:p>
        </w:tc>
        <w:tc>
          <w:tcPr>
            <w:tcW w:w="5103" w:type="dxa"/>
            <w:gridSpan w:val="2"/>
            <w:vAlign w:val="center"/>
          </w:tcPr>
          <w:p w14:paraId="4C87CDFE">
            <w:pPr>
              <w:pStyle w:val="13"/>
            </w:pPr>
            <w:r>
              <w:t>13052525P008756101770</w:t>
            </w:r>
          </w:p>
        </w:tc>
        <w:tc>
          <w:tcPr>
            <w:tcW w:w="2835" w:type="dxa"/>
            <w:vAlign w:val="center"/>
          </w:tcPr>
          <w:p w14:paraId="2F57F02A">
            <w:pPr>
              <w:pStyle w:val="11"/>
            </w:pPr>
            <w:r>
              <w:t>项目名称</w:t>
            </w:r>
          </w:p>
        </w:tc>
        <w:tc>
          <w:tcPr>
            <w:tcW w:w="6095" w:type="dxa"/>
            <w:gridSpan w:val="3"/>
            <w:vAlign w:val="center"/>
          </w:tcPr>
          <w:p w14:paraId="78E618F1">
            <w:pPr>
              <w:pStyle w:val="13"/>
            </w:pPr>
            <w:r>
              <w:t>上年盘活/隆尧县双碑乡西良后小学新建学生宿舍楼项目费用（冀财教[2023]159号)</w:t>
            </w:r>
            <w:r>
              <w:tab/>
            </w:r>
            <w:r>
              <w:tab/>
            </w:r>
          </w:p>
          <w:p w14:paraId="4874031E">
            <w:pPr>
              <w:pStyle w:val="13"/>
            </w:pPr>
          </w:p>
        </w:tc>
      </w:tr>
      <w:tr w14:paraId="5A7CF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BDFE1">
            <w:pPr>
              <w:pStyle w:val="11"/>
            </w:pPr>
            <w:r>
              <w:t>预算规模及资金用途</w:t>
            </w:r>
          </w:p>
        </w:tc>
        <w:tc>
          <w:tcPr>
            <w:tcW w:w="2268" w:type="dxa"/>
            <w:vAlign w:val="center"/>
          </w:tcPr>
          <w:p w14:paraId="2DC45D0F">
            <w:pPr>
              <w:pStyle w:val="11"/>
            </w:pPr>
            <w:r>
              <w:t>预算数</w:t>
            </w:r>
          </w:p>
        </w:tc>
        <w:tc>
          <w:tcPr>
            <w:tcW w:w="2835" w:type="dxa"/>
            <w:vAlign w:val="center"/>
          </w:tcPr>
          <w:p w14:paraId="63AAC84E">
            <w:pPr>
              <w:pStyle w:val="13"/>
            </w:pPr>
            <w:r>
              <w:t>30.00</w:t>
            </w:r>
          </w:p>
        </w:tc>
        <w:tc>
          <w:tcPr>
            <w:tcW w:w="2835" w:type="dxa"/>
            <w:vAlign w:val="center"/>
          </w:tcPr>
          <w:p w14:paraId="3B1D19E8">
            <w:pPr>
              <w:pStyle w:val="11"/>
            </w:pPr>
            <w:r>
              <w:t>其中：财政    资金</w:t>
            </w:r>
          </w:p>
        </w:tc>
        <w:tc>
          <w:tcPr>
            <w:tcW w:w="2551" w:type="dxa"/>
            <w:vAlign w:val="center"/>
          </w:tcPr>
          <w:p w14:paraId="4D88F0CF">
            <w:pPr>
              <w:pStyle w:val="13"/>
            </w:pPr>
            <w:r>
              <w:t>30.00</w:t>
            </w:r>
          </w:p>
        </w:tc>
        <w:tc>
          <w:tcPr>
            <w:tcW w:w="2268" w:type="dxa"/>
            <w:vAlign w:val="center"/>
          </w:tcPr>
          <w:p w14:paraId="387A66AF">
            <w:pPr>
              <w:pStyle w:val="11"/>
            </w:pPr>
            <w:r>
              <w:t>其他资金</w:t>
            </w:r>
          </w:p>
        </w:tc>
        <w:tc>
          <w:tcPr>
            <w:tcW w:w="1276" w:type="dxa"/>
            <w:vAlign w:val="center"/>
          </w:tcPr>
          <w:p w14:paraId="2EFBB717">
            <w:pPr>
              <w:pStyle w:val="13"/>
            </w:pPr>
            <w:r>
              <w:t xml:space="preserve"> </w:t>
            </w:r>
          </w:p>
        </w:tc>
      </w:tr>
      <w:tr w14:paraId="757A1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4FB174"/>
        </w:tc>
        <w:tc>
          <w:tcPr>
            <w:tcW w:w="14033" w:type="dxa"/>
            <w:gridSpan w:val="6"/>
            <w:vAlign w:val="center"/>
          </w:tcPr>
          <w:p w14:paraId="0434CE3D">
            <w:pPr>
              <w:pStyle w:val="13"/>
            </w:pPr>
            <w:r>
              <w:t>完成西良后小学新建宿舍楼项目，进一步提升教育质量及教学条件。</w:t>
            </w:r>
          </w:p>
        </w:tc>
      </w:tr>
      <w:tr w14:paraId="528FD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EF847">
            <w:pPr>
              <w:pStyle w:val="11"/>
            </w:pPr>
            <w:r>
              <w:t>资金支出计划（%）</w:t>
            </w:r>
          </w:p>
        </w:tc>
        <w:tc>
          <w:tcPr>
            <w:tcW w:w="5103" w:type="dxa"/>
            <w:gridSpan w:val="2"/>
            <w:vAlign w:val="center"/>
          </w:tcPr>
          <w:p w14:paraId="18425BD3">
            <w:pPr>
              <w:pStyle w:val="11"/>
            </w:pPr>
            <w:r>
              <w:t>3月底</w:t>
            </w:r>
          </w:p>
        </w:tc>
        <w:tc>
          <w:tcPr>
            <w:tcW w:w="2835" w:type="dxa"/>
            <w:vAlign w:val="center"/>
          </w:tcPr>
          <w:p w14:paraId="3027D0B3">
            <w:pPr>
              <w:pStyle w:val="11"/>
            </w:pPr>
            <w:r>
              <w:t>6月底</w:t>
            </w:r>
          </w:p>
        </w:tc>
        <w:tc>
          <w:tcPr>
            <w:tcW w:w="2551" w:type="dxa"/>
            <w:vAlign w:val="center"/>
          </w:tcPr>
          <w:p w14:paraId="77BAE32E">
            <w:pPr>
              <w:pStyle w:val="11"/>
            </w:pPr>
            <w:r>
              <w:t>10月底</w:t>
            </w:r>
          </w:p>
        </w:tc>
        <w:tc>
          <w:tcPr>
            <w:tcW w:w="3544" w:type="dxa"/>
            <w:gridSpan w:val="2"/>
            <w:vAlign w:val="center"/>
          </w:tcPr>
          <w:p w14:paraId="45707241">
            <w:pPr>
              <w:pStyle w:val="11"/>
            </w:pPr>
            <w:r>
              <w:t>12月底</w:t>
            </w:r>
          </w:p>
        </w:tc>
      </w:tr>
      <w:tr w14:paraId="4BB47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C57548"/>
        </w:tc>
        <w:tc>
          <w:tcPr>
            <w:tcW w:w="5103" w:type="dxa"/>
            <w:gridSpan w:val="2"/>
            <w:vAlign w:val="center"/>
          </w:tcPr>
          <w:p w14:paraId="726B66D8">
            <w:pPr>
              <w:pStyle w:val="12"/>
            </w:pPr>
            <w:r>
              <w:t>25%</w:t>
            </w:r>
          </w:p>
        </w:tc>
        <w:tc>
          <w:tcPr>
            <w:tcW w:w="2835" w:type="dxa"/>
            <w:vAlign w:val="center"/>
          </w:tcPr>
          <w:p w14:paraId="6E30BFFD">
            <w:pPr>
              <w:pStyle w:val="12"/>
            </w:pPr>
            <w:r>
              <w:t>50%</w:t>
            </w:r>
          </w:p>
        </w:tc>
        <w:tc>
          <w:tcPr>
            <w:tcW w:w="2551" w:type="dxa"/>
            <w:vAlign w:val="center"/>
          </w:tcPr>
          <w:p w14:paraId="7302B1C6">
            <w:pPr>
              <w:pStyle w:val="12"/>
            </w:pPr>
            <w:r>
              <w:t>75%</w:t>
            </w:r>
          </w:p>
        </w:tc>
        <w:tc>
          <w:tcPr>
            <w:tcW w:w="3544" w:type="dxa"/>
            <w:gridSpan w:val="2"/>
            <w:vAlign w:val="center"/>
          </w:tcPr>
          <w:p w14:paraId="044F2725">
            <w:pPr>
              <w:pStyle w:val="12"/>
            </w:pPr>
            <w:r>
              <w:t>100%</w:t>
            </w:r>
          </w:p>
        </w:tc>
      </w:tr>
      <w:tr w14:paraId="27381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E4F296">
            <w:pPr>
              <w:pStyle w:val="11"/>
            </w:pPr>
            <w:r>
              <w:t>绩效目标</w:t>
            </w:r>
          </w:p>
        </w:tc>
        <w:tc>
          <w:tcPr>
            <w:tcW w:w="14033" w:type="dxa"/>
            <w:gridSpan w:val="6"/>
            <w:vAlign w:val="center"/>
          </w:tcPr>
          <w:p w14:paraId="0BD38785">
            <w:pPr>
              <w:pStyle w:val="13"/>
            </w:pPr>
            <w:r>
              <w:t>1.完成西良后小学新建宿舍楼项目，进一步提升教育质量及教学条件。</w:t>
            </w:r>
          </w:p>
        </w:tc>
      </w:tr>
    </w:tbl>
    <w:p w14:paraId="528EB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C9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D58E6">
            <w:pPr>
              <w:pStyle w:val="11"/>
            </w:pPr>
            <w:r>
              <w:t>一级指标</w:t>
            </w:r>
          </w:p>
        </w:tc>
        <w:tc>
          <w:tcPr>
            <w:tcW w:w="2268" w:type="dxa"/>
            <w:vAlign w:val="center"/>
          </w:tcPr>
          <w:p w14:paraId="4D6C5309">
            <w:pPr>
              <w:pStyle w:val="11"/>
            </w:pPr>
            <w:r>
              <w:t>二级指标</w:t>
            </w:r>
          </w:p>
        </w:tc>
        <w:tc>
          <w:tcPr>
            <w:tcW w:w="2835" w:type="dxa"/>
            <w:vAlign w:val="center"/>
          </w:tcPr>
          <w:p w14:paraId="505586F2">
            <w:pPr>
              <w:pStyle w:val="11"/>
            </w:pPr>
            <w:r>
              <w:t>三级指标</w:t>
            </w:r>
          </w:p>
        </w:tc>
        <w:tc>
          <w:tcPr>
            <w:tcW w:w="5386" w:type="dxa"/>
            <w:vAlign w:val="center"/>
          </w:tcPr>
          <w:p w14:paraId="7091128C">
            <w:pPr>
              <w:pStyle w:val="11"/>
            </w:pPr>
            <w:r>
              <w:t>绩效指标描述</w:t>
            </w:r>
          </w:p>
        </w:tc>
        <w:tc>
          <w:tcPr>
            <w:tcW w:w="2268" w:type="dxa"/>
            <w:vAlign w:val="center"/>
          </w:tcPr>
          <w:p w14:paraId="16DCBBE2">
            <w:pPr>
              <w:pStyle w:val="11"/>
            </w:pPr>
            <w:r>
              <w:t>指标值</w:t>
            </w:r>
          </w:p>
        </w:tc>
        <w:tc>
          <w:tcPr>
            <w:tcW w:w="1276" w:type="dxa"/>
            <w:vAlign w:val="center"/>
          </w:tcPr>
          <w:p w14:paraId="7CCAB125">
            <w:pPr>
              <w:pStyle w:val="11"/>
            </w:pPr>
            <w:r>
              <w:t>指标值确定依据</w:t>
            </w:r>
          </w:p>
        </w:tc>
      </w:tr>
      <w:tr w14:paraId="224E9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362C3">
            <w:pPr>
              <w:pStyle w:val="12"/>
            </w:pPr>
            <w:r>
              <w:t>产出指标</w:t>
            </w:r>
          </w:p>
        </w:tc>
        <w:tc>
          <w:tcPr>
            <w:tcW w:w="2268" w:type="dxa"/>
            <w:vAlign w:val="center"/>
          </w:tcPr>
          <w:p w14:paraId="6973824E">
            <w:pPr>
              <w:pStyle w:val="13"/>
            </w:pPr>
            <w:r>
              <w:t>数量指标</w:t>
            </w:r>
          </w:p>
        </w:tc>
        <w:tc>
          <w:tcPr>
            <w:tcW w:w="2835" w:type="dxa"/>
            <w:vAlign w:val="center"/>
          </w:tcPr>
          <w:p w14:paraId="633EC294">
            <w:pPr>
              <w:pStyle w:val="13"/>
            </w:pPr>
            <w:r>
              <w:t>新建附属用房</w:t>
            </w:r>
          </w:p>
        </w:tc>
        <w:tc>
          <w:tcPr>
            <w:tcW w:w="5386" w:type="dxa"/>
            <w:vAlign w:val="center"/>
          </w:tcPr>
          <w:p w14:paraId="70386249">
            <w:pPr>
              <w:pStyle w:val="13"/>
            </w:pPr>
            <w:r>
              <w:t>西良后小学新建宿舍楼面积</w:t>
            </w:r>
          </w:p>
        </w:tc>
        <w:tc>
          <w:tcPr>
            <w:tcW w:w="2268" w:type="dxa"/>
            <w:vAlign w:val="center"/>
          </w:tcPr>
          <w:p w14:paraId="45086FC1">
            <w:pPr>
              <w:pStyle w:val="13"/>
            </w:pPr>
            <w:r>
              <w:t>2866.71平方米</w:t>
            </w:r>
          </w:p>
        </w:tc>
        <w:tc>
          <w:tcPr>
            <w:tcW w:w="1276" w:type="dxa"/>
            <w:vAlign w:val="center"/>
          </w:tcPr>
          <w:p w14:paraId="20B852F6">
            <w:pPr>
              <w:pStyle w:val="13"/>
            </w:pPr>
            <w:r>
              <w:t>项目规划</w:t>
            </w:r>
          </w:p>
        </w:tc>
      </w:tr>
      <w:tr w14:paraId="491A1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ADDA2"/>
        </w:tc>
        <w:tc>
          <w:tcPr>
            <w:tcW w:w="2268" w:type="dxa"/>
            <w:vAlign w:val="center"/>
          </w:tcPr>
          <w:p w14:paraId="356D5036">
            <w:pPr>
              <w:pStyle w:val="13"/>
            </w:pPr>
            <w:r>
              <w:t>质量指标</w:t>
            </w:r>
          </w:p>
        </w:tc>
        <w:tc>
          <w:tcPr>
            <w:tcW w:w="2835" w:type="dxa"/>
            <w:vAlign w:val="center"/>
          </w:tcPr>
          <w:p w14:paraId="50871FAD">
            <w:pPr>
              <w:pStyle w:val="13"/>
            </w:pPr>
            <w:r>
              <w:t>工程实施验收合格率</w:t>
            </w:r>
          </w:p>
        </w:tc>
        <w:tc>
          <w:tcPr>
            <w:tcW w:w="5386" w:type="dxa"/>
            <w:vAlign w:val="center"/>
          </w:tcPr>
          <w:p w14:paraId="42E9F3D5">
            <w:pPr>
              <w:pStyle w:val="13"/>
            </w:pPr>
            <w:r>
              <w:t>申报程序的合规，项目实施及资金使用符合项目规划</w:t>
            </w:r>
          </w:p>
        </w:tc>
        <w:tc>
          <w:tcPr>
            <w:tcW w:w="2268" w:type="dxa"/>
            <w:vAlign w:val="center"/>
          </w:tcPr>
          <w:p w14:paraId="6160B018">
            <w:pPr>
              <w:pStyle w:val="13"/>
            </w:pPr>
            <w:r>
              <w:t>≥100%</w:t>
            </w:r>
          </w:p>
        </w:tc>
        <w:tc>
          <w:tcPr>
            <w:tcW w:w="1276" w:type="dxa"/>
            <w:vAlign w:val="center"/>
          </w:tcPr>
          <w:p w14:paraId="6CBEBC0A">
            <w:pPr>
              <w:pStyle w:val="13"/>
            </w:pPr>
            <w:r>
              <w:t>项目规划</w:t>
            </w:r>
          </w:p>
        </w:tc>
      </w:tr>
      <w:tr w14:paraId="5FFB0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07654"/>
        </w:tc>
        <w:tc>
          <w:tcPr>
            <w:tcW w:w="2268" w:type="dxa"/>
            <w:vAlign w:val="center"/>
          </w:tcPr>
          <w:p w14:paraId="4C965460">
            <w:pPr>
              <w:pStyle w:val="13"/>
            </w:pPr>
            <w:r>
              <w:t>时效指标</w:t>
            </w:r>
          </w:p>
        </w:tc>
        <w:tc>
          <w:tcPr>
            <w:tcW w:w="2835" w:type="dxa"/>
            <w:vAlign w:val="center"/>
          </w:tcPr>
          <w:p w14:paraId="7B19DE5D">
            <w:pPr>
              <w:pStyle w:val="13"/>
            </w:pPr>
            <w:r>
              <w:t>资金支付率</w:t>
            </w:r>
          </w:p>
        </w:tc>
        <w:tc>
          <w:tcPr>
            <w:tcW w:w="5386" w:type="dxa"/>
            <w:vAlign w:val="center"/>
          </w:tcPr>
          <w:p w14:paraId="33106531">
            <w:pPr>
              <w:pStyle w:val="13"/>
            </w:pPr>
            <w:r>
              <w:t>按照序时进度完成资金支付</w:t>
            </w:r>
          </w:p>
        </w:tc>
        <w:tc>
          <w:tcPr>
            <w:tcW w:w="2268" w:type="dxa"/>
            <w:vAlign w:val="center"/>
          </w:tcPr>
          <w:p w14:paraId="1BBD63C5">
            <w:pPr>
              <w:pStyle w:val="13"/>
            </w:pPr>
            <w:r>
              <w:t>≥100%</w:t>
            </w:r>
          </w:p>
        </w:tc>
        <w:tc>
          <w:tcPr>
            <w:tcW w:w="1276" w:type="dxa"/>
            <w:vAlign w:val="center"/>
          </w:tcPr>
          <w:p w14:paraId="5704991C">
            <w:pPr>
              <w:pStyle w:val="13"/>
            </w:pPr>
            <w:r>
              <w:t>项目规划</w:t>
            </w:r>
          </w:p>
        </w:tc>
      </w:tr>
      <w:tr w14:paraId="15A07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6CC00"/>
        </w:tc>
        <w:tc>
          <w:tcPr>
            <w:tcW w:w="2268" w:type="dxa"/>
            <w:vAlign w:val="center"/>
          </w:tcPr>
          <w:p w14:paraId="44C05BD3">
            <w:pPr>
              <w:pStyle w:val="13"/>
            </w:pPr>
            <w:r>
              <w:t>成本指标</w:t>
            </w:r>
          </w:p>
        </w:tc>
        <w:tc>
          <w:tcPr>
            <w:tcW w:w="2835" w:type="dxa"/>
            <w:vAlign w:val="center"/>
          </w:tcPr>
          <w:p w14:paraId="153218A7">
            <w:pPr>
              <w:pStyle w:val="13"/>
            </w:pPr>
            <w:r>
              <w:t>项目成本控制情况</w:t>
            </w:r>
          </w:p>
        </w:tc>
        <w:tc>
          <w:tcPr>
            <w:tcW w:w="5386" w:type="dxa"/>
            <w:vAlign w:val="center"/>
          </w:tcPr>
          <w:p w14:paraId="6CC58C3A">
            <w:pPr>
              <w:pStyle w:val="13"/>
            </w:pPr>
            <w:r>
              <w:t>严格按照审计额进行质保金支付</w:t>
            </w:r>
          </w:p>
        </w:tc>
        <w:tc>
          <w:tcPr>
            <w:tcW w:w="2268" w:type="dxa"/>
            <w:vAlign w:val="center"/>
          </w:tcPr>
          <w:p w14:paraId="03237EE9">
            <w:pPr>
              <w:pStyle w:val="13"/>
            </w:pPr>
            <w:r>
              <w:t>≤30万元</w:t>
            </w:r>
          </w:p>
        </w:tc>
        <w:tc>
          <w:tcPr>
            <w:tcW w:w="1276" w:type="dxa"/>
            <w:vAlign w:val="center"/>
          </w:tcPr>
          <w:p w14:paraId="6C756DD2">
            <w:pPr>
              <w:pStyle w:val="13"/>
            </w:pPr>
            <w:r>
              <w:t>项目规划</w:t>
            </w:r>
          </w:p>
        </w:tc>
      </w:tr>
      <w:tr w14:paraId="201A9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033CC1">
            <w:pPr>
              <w:pStyle w:val="12"/>
            </w:pPr>
            <w:r>
              <w:t>效益指标</w:t>
            </w:r>
          </w:p>
        </w:tc>
        <w:tc>
          <w:tcPr>
            <w:tcW w:w="2268" w:type="dxa"/>
            <w:vAlign w:val="center"/>
          </w:tcPr>
          <w:p w14:paraId="4733B709">
            <w:pPr>
              <w:pStyle w:val="13"/>
            </w:pPr>
            <w:r>
              <w:t>社会效益指标</w:t>
            </w:r>
          </w:p>
        </w:tc>
        <w:tc>
          <w:tcPr>
            <w:tcW w:w="2835" w:type="dxa"/>
            <w:vAlign w:val="center"/>
          </w:tcPr>
          <w:p w14:paraId="34FF4D35">
            <w:pPr>
              <w:pStyle w:val="13"/>
            </w:pPr>
            <w:r>
              <w:t xml:space="preserve"> 学生住宿条件提升</w:t>
            </w:r>
          </w:p>
        </w:tc>
        <w:tc>
          <w:tcPr>
            <w:tcW w:w="5386" w:type="dxa"/>
            <w:vAlign w:val="center"/>
          </w:tcPr>
          <w:p w14:paraId="2FBCC4BE">
            <w:pPr>
              <w:pStyle w:val="13"/>
            </w:pPr>
            <w:r>
              <w:t>学校办学能力升情况及学生住宿条件等开展的情况</w:t>
            </w:r>
          </w:p>
        </w:tc>
        <w:tc>
          <w:tcPr>
            <w:tcW w:w="2268" w:type="dxa"/>
            <w:vAlign w:val="center"/>
          </w:tcPr>
          <w:p w14:paraId="4F59B1FB">
            <w:pPr>
              <w:pStyle w:val="13"/>
            </w:pPr>
            <w:r>
              <w:t>≥100%</w:t>
            </w:r>
          </w:p>
        </w:tc>
        <w:tc>
          <w:tcPr>
            <w:tcW w:w="1276" w:type="dxa"/>
            <w:vAlign w:val="center"/>
          </w:tcPr>
          <w:p w14:paraId="371CA6CD">
            <w:pPr>
              <w:pStyle w:val="13"/>
            </w:pPr>
            <w:r>
              <w:t>项目规划</w:t>
            </w:r>
          </w:p>
        </w:tc>
      </w:tr>
      <w:tr w14:paraId="08B78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A8175C">
            <w:pPr>
              <w:pStyle w:val="12"/>
            </w:pPr>
            <w:r>
              <w:t>满意度指标</w:t>
            </w:r>
          </w:p>
        </w:tc>
        <w:tc>
          <w:tcPr>
            <w:tcW w:w="2268" w:type="dxa"/>
            <w:vAlign w:val="center"/>
          </w:tcPr>
          <w:p w14:paraId="1FF9B82D">
            <w:pPr>
              <w:pStyle w:val="13"/>
            </w:pPr>
            <w:r>
              <w:t>服务对象满意度指标</w:t>
            </w:r>
          </w:p>
        </w:tc>
        <w:tc>
          <w:tcPr>
            <w:tcW w:w="2835" w:type="dxa"/>
            <w:vAlign w:val="center"/>
          </w:tcPr>
          <w:p w14:paraId="74107E1B">
            <w:pPr>
              <w:pStyle w:val="13"/>
            </w:pPr>
            <w:r>
              <w:t>学生、教师及家长对学校教学环境满意度情况</w:t>
            </w:r>
          </w:p>
        </w:tc>
        <w:tc>
          <w:tcPr>
            <w:tcW w:w="5386" w:type="dxa"/>
            <w:vAlign w:val="center"/>
          </w:tcPr>
          <w:p w14:paraId="40691EE8">
            <w:pPr>
              <w:pStyle w:val="13"/>
            </w:pPr>
            <w:r>
              <w:t>学生、教师及家长对学生住宿环境满意度情况</w:t>
            </w:r>
          </w:p>
        </w:tc>
        <w:tc>
          <w:tcPr>
            <w:tcW w:w="2268" w:type="dxa"/>
            <w:vAlign w:val="center"/>
          </w:tcPr>
          <w:p w14:paraId="1A17156D">
            <w:pPr>
              <w:pStyle w:val="13"/>
            </w:pPr>
            <w:r>
              <w:t>≥95%</w:t>
            </w:r>
          </w:p>
        </w:tc>
        <w:tc>
          <w:tcPr>
            <w:tcW w:w="1276" w:type="dxa"/>
            <w:vAlign w:val="center"/>
          </w:tcPr>
          <w:p w14:paraId="4E354DF5">
            <w:pPr>
              <w:pStyle w:val="13"/>
            </w:pPr>
            <w:r>
              <w:t>项目规划</w:t>
            </w:r>
          </w:p>
        </w:tc>
      </w:tr>
    </w:tbl>
    <w:p w14:paraId="79444031">
      <w:pPr>
        <w:sectPr>
          <w:pgSz w:w="16840" w:h="11900" w:orient="landscape"/>
          <w:pgMar w:top="1361" w:right="1020" w:bottom="1134" w:left="1020" w:header="720" w:footer="720" w:gutter="0"/>
          <w:cols w:space="720" w:num="1"/>
        </w:sectPr>
      </w:pPr>
    </w:p>
    <w:p w14:paraId="63BC3AAA">
      <w:pPr>
        <w:spacing w:before="0" w:after="0"/>
        <w:ind w:firstLine="560"/>
        <w:jc w:val="left"/>
        <w:outlineLvl w:val="9"/>
      </w:pPr>
      <w:r>
        <w:rPr>
          <w:rFonts w:ascii="方正仿宋_GBK" w:hAnsi="方正仿宋_GBK" w:eastAsia="方正仿宋_GBK" w:cs="方正仿宋_GBK"/>
          <w:b/>
          <w:color w:val="000000"/>
          <w:sz w:val="28"/>
        </w:rPr>
        <w:t>26、审计/双碑校区西良后小学餐厅绩效目标表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14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0E72B">
            <w:pPr>
              <w:pStyle w:val="14"/>
            </w:pPr>
            <w:r>
              <w:t>单位：万元</w:t>
            </w:r>
          </w:p>
        </w:tc>
      </w:tr>
      <w:tr w14:paraId="488FF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3D3C0">
            <w:pPr>
              <w:pStyle w:val="11"/>
            </w:pPr>
            <w:r>
              <w:t>项目编码</w:t>
            </w:r>
          </w:p>
        </w:tc>
        <w:tc>
          <w:tcPr>
            <w:tcW w:w="5103" w:type="dxa"/>
            <w:gridSpan w:val="2"/>
            <w:vAlign w:val="center"/>
          </w:tcPr>
          <w:p w14:paraId="2B19665D">
            <w:pPr>
              <w:pStyle w:val="13"/>
            </w:pPr>
            <w:r>
              <w:t>13052525P00875610220L</w:t>
            </w:r>
          </w:p>
        </w:tc>
        <w:tc>
          <w:tcPr>
            <w:tcW w:w="2835" w:type="dxa"/>
            <w:vAlign w:val="center"/>
          </w:tcPr>
          <w:p w14:paraId="57FC4D2E">
            <w:pPr>
              <w:pStyle w:val="11"/>
            </w:pPr>
            <w:r>
              <w:t>项目名称</w:t>
            </w:r>
          </w:p>
        </w:tc>
        <w:tc>
          <w:tcPr>
            <w:tcW w:w="6095" w:type="dxa"/>
            <w:gridSpan w:val="3"/>
            <w:vAlign w:val="center"/>
          </w:tcPr>
          <w:p w14:paraId="6D4DF2E6">
            <w:pPr>
              <w:pStyle w:val="13"/>
            </w:pPr>
            <w:r>
              <w:t>审计/双碑校区西良后小学餐厅</w:t>
            </w:r>
          </w:p>
        </w:tc>
      </w:tr>
      <w:tr w14:paraId="2CA36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FB7F8">
            <w:pPr>
              <w:pStyle w:val="11"/>
            </w:pPr>
            <w:r>
              <w:t>预算规模及资金用途</w:t>
            </w:r>
          </w:p>
        </w:tc>
        <w:tc>
          <w:tcPr>
            <w:tcW w:w="2268" w:type="dxa"/>
            <w:vAlign w:val="center"/>
          </w:tcPr>
          <w:p w14:paraId="25AEBAE5">
            <w:pPr>
              <w:pStyle w:val="11"/>
            </w:pPr>
            <w:r>
              <w:t>预算数</w:t>
            </w:r>
          </w:p>
        </w:tc>
        <w:tc>
          <w:tcPr>
            <w:tcW w:w="2835" w:type="dxa"/>
            <w:vAlign w:val="center"/>
          </w:tcPr>
          <w:p w14:paraId="1CF86C20">
            <w:pPr>
              <w:pStyle w:val="13"/>
            </w:pPr>
            <w:r>
              <w:t>17.32</w:t>
            </w:r>
          </w:p>
        </w:tc>
        <w:tc>
          <w:tcPr>
            <w:tcW w:w="2835" w:type="dxa"/>
            <w:vAlign w:val="center"/>
          </w:tcPr>
          <w:p w14:paraId="276195DF">
            <w:pPr>
              <w:pStyle w:val="11"/>
            </w:pPr>
            <w:r>
              <w:t>其中：财政    资金</w:t>
            </w:r>
          </w:p>
        </w:tc>
        <w:tc>
          <w:tcPr>
            <w:tcW w:w="2551" w:type="dxa"/>
            <w:vAlign w:val="center"/>
          </w:tcPr>
          <w:p w14:paraId="19E283B4">
            <w:pPr>
              <w:pStyle w:val="13"/>
            </w:pPr>
            <w:r>
              <w:t>17.32</w:t>
            </w:r>
          </w:p>
        </w:tc>
        <w:tc>
          <w:tcPr>
            <w:tcW w:w="2268" w:type="dxa"/>
            <w:vAlign w:val="center"/>
          </w:tcPr>
          <w:p w14:paraId="72E6889B">
            <w:pPr>
              <w:pStyle w:val="11"/>
            </w:pPr>
            <w:r>
              <w:t>其他资金</w:t>
            </w:r>
          </w:p>
        </w:tc>
        <w:tc>
          <w:tcPr>
            <w:tcW w:w="1276" w:type="dxa"/>
            <w:vAlign w:val="center"/>
          </w:tcPr>
          <w:p w14:paraId="2062C3AD">
            <w:pPr>
              <w:pStyle w:val="13"/>
            </w:pPr>
            <w:r>
              <w:t xml:space="preserve"> </w:t>
            </w:r>
          </w:p>
        </w:tc>
      </w:tr>
      <w:tr w14:paraId="67D0E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BA401"/>
        </w:tc>
        <w:tc>
          <w:tcPr>
            <w:tcW w:w="14033" w:type="dxa"/>
            <w:gridSpan w:val="6"/>
            <w:vAlign w:val="center"/>
          </w:tcPr>
          <w:p w14:paraId="5D4F958D">
            <w:pPr>
              <w:pStyle w:val="13"/>
            </w:pPr>
            <w:r>
              <w:t>保障小学正常运转，完成教育教学生活和其他日常工作任务等方面的费用支出。</w:t>
            </w:r>
          </w:p>
        </w:tc>
      </w:tr>
      <w:tr w14:paraId="3BB13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065FC">
            <w:pPr>
              <w:pStyle w:val="11"/>
            </w:pPr>
            <w:r>
              <w:t>资金支出计划（%）</w:t>
            </w:r>
          </w:p>
        </w:tc>
        <w:tc>
          <w:tcPr>
            <w:tcW w:w="5103" w:type="dxa"/>
            <w:gridSpan w:val="2"/>
            <w:vAlign w:val="center"/>
          </w:tcPr>
          <w:p w14:paraId="590A50A3">
            <w:pPr>
              <w:pStyle w:val="11"/>
            </w:pPr>
            <w:r>
              <w:t>3月底</w:t>
            </w:r>
          </w:p>
        </w:tc>
        <w:tc>
          <w:tcPr>
            <w:tcW w:w="2835" w:type="dxa"/>
            <w:vAlign w:val="center"/>
          </w:tcPr>
          <w:p w14:paraId="1BDFB817">
            <w:pPr>
              <w:pStyle w:val="11"/>
            </w:pPr>
            <w:r>
              <w:t>6月底</w:t>
            </w:r>
          </w:p>
        </w:tc>
        <w:tc>
          <w:tcPr>
            <w:tcW w:w="2551" w:type="dxa"/>
            <w:vAlign w:val="center"/>
          </w:tcPr>
          <w:p w14:paraId="750A14D1">
            <w:pPr>
              <w:pStyle w:val="11"/>
            </w:pPr>
            <w:r>
              <w:t>10月底</w:t>
            </w:r>
          </w:p>
        </w:tc>
        <w:tc>
          <w:tcPr>
            <w:tcW w:w="3544" w:type="dxa"/>
            <w:gridSpan w:val="2"/>
            <w:vAlign w:val="center"/>
          </w:tcPr>
          <w:p w14:paraId="70F06D05">
            <w:pPr>
              <w:pStyle w:val="11"/>
            </w:pPr>
            <w:r>
              <w:t>12月底</w:t>
            </w:r>
          </w:p>
        </w:tc>
      </w:tr>
      <w:tr w14:paraId="7E50E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017455"/>
        </w:tc>
        <w:tc>
          <w:tcPr>
            <w:tcW w:w="5103" w:type="dxa"/>
            <w:gridSpan w:val="2"/>
            <w:vAlign w:val="center"/>
          </w:tcPr>
          <w:p w14:paraId="2EF7C6BC">
            <w:pPr>
              <w:pStyle w:val="12"/>
            </w:pPr>
            <w:r>
              <w:t>25%</w:t>
            </w:r>
          </w:p>
        </w:tc>
        <w:tc>
          <w:tcPr>
            <w:tcW w:w="2835" w:type="dxa"/>
            <w:vAlign w:val="center"/>
          </w:tcPr>
          <w:p w14:paraId="1CE7B36B">
            <w:pPr>
              <w:pStyle w:val="12"/>
            </w:pPr>
            <w:r>
              <w:t>50%</w:t>
            </w:r>
          </w:p>
        </w:tc>
        <w:tc>
          <w:tcPr>
            <w:tcW w:w="2551" w:type="dxa"/>
            <w:vAlign w:val="center"/>
          </w:tcPr>
          <w:p w14:paraId="5DFDD4CF">
            <w:pPr>
              <w:pStyle w:val="12"/>
            </w:pPr>
            <w:r>
              <w:t>75%</w:t>
            </w:r>
          </w:p>
        </w:tc>
        <w:tc>
          <w:tcPr>
            <w:tcW w:w="3544" w:type="dxa"/>
            <w:gridSpan w:val="2"/>
            <w:vAlign w:val="center"/>
          </w:tcPr>
          <w:p w14:paraId="0D96A141">
            <w:pPr>
              <w:pStyle w:val="12"/>
            </w:pPr>
            <w:r>
              <w:t>100%</w:t>
            </w:r>
          </w:p>
        </w:tc>
      </w:tr>
      <w:tr w14:paraId="7EC8D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76BEC2">
            <w:pPr>
              <w:pStyle w:val="11"/>
            </w:pPr>
            <w:r>
              <w:t>绩效目标</w:t>
            </w:r>
          </w:p>
        </w:tc>
        <w:tc>
          <w:tcPr>
            <w:tcW w:w="14033" w:type="dxa"/>
            <w:gridSpan w:val="6"/>
            <w:vAlign w:val="center"/>
          </w:tcPr>
          <w:p w14:paraId="52EE8A41">
            <w:pPr>
              <w:pStyle w:val="13"/>
            </w:pPr>
            <w:r>
              <w:t>1.按季度分批次拨付资金173200元，资金拨付率达到100%。</w:t>
            </w:r>
          </w:p>
          <w:p w14:paraId="251E66F1">
            <w:pPr>
              <w:pStyle w:val="13"/>
            </w:pPr>
            <w:r>
              <w:t>2.保障小学正常运转，完成教育教学生活和其他日常工作任务等方面的费用支出。</w:t>
            </w:r>
          </w:p>
        </w:tc>
      </w:tr>
    </w:tbl>
    <w:p w14:paraId="04B2EC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77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FA745">
            <w:pPr>
              <w:pStyle w:val="11"/>
            </w:pPr>
            <w:r>
              <w:t>一级指标</w:t>
            </w:r>
          </w:p>
        </w:tc>
        <w:tc>
          <w:tcPr>
            <w:tcW w:w="2268" w:type="dxa"/>
            <w:vAlign w:val="center"/>
          </w:tcPr>
          <w:p w14:paraId="356ACAD8">
            <w:pPr>
              <w:pStyle w:val="11"/>
            </w:pPr>
            <w:r>
              <w:t>二级指标</w:t>
            </w:r>
          </w:p>
        </w:tc>
        <w:tc>
          <w:tcPr>
            <w:tcW w:w="2835" w:type="dxa"/>
            <w:vAlign w:val="center"/>
          </w:tcPr>
          <w:p w14:paraId="59F77206">
            <w:pPr>
              <w:pStyle w:val="11"/>
            </w:pPr>
            <w:r>
              <w:t>三级指标</w:t>
            </w:r>
          </w:p>
        </w:tc>
        <w:tc>
          <w:tcPr>
            <w:tcW w:w="5386" w:type="dxa"/>
            <w:vAlign w:val="center"/>
          </w:tcPr>
          <w:p w14:paraId="01BEBBF0">
            <w:pPr>
              <w:pStyle w:val="11"/>
            </w:pPr>
            <w:r>
              <w:t>绩效指标描述</w:t>
            </w:r>
          </w:p>
        </w:tc>
        <w:tc>
          <w:tcPr>
            <w:tcW w:w="2268" w:type="dxa"/>
            <w:vAlign w:val="center"/>
          </w:tcPr>
          <w:p w14:paraId="10609E59">
            <w:pPr>
              <w:pStyle w:val="11"/>
            </w:pPr>
            <w:r>
              <w:t>指标值</w:t>
            </w:r>
          </w:p>
        </w:tc>
        <w:tc>
          <w:tcPr>
            <w:tcW w:w="1276" w:type="dxa"/>
            <w:vAlign w:val="center"/>
          </w:tcPr>
          <w:p w14:paraId="00EC95B7">
            <w:pPr>
              <w:pStyle w:val="11"/>
            </w:pPr>
            <w:r>
              <w:t>指标值确定依据</w:t>
            </w:r>
          </w:p>
        </w:tc>
      </w:tr>
      <w:tr w14:paraId="75C17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96568">
            <w:pPr>
              <w:pStyle w:val="12"/>
            </w:pPr>
            <w:r>
              <w:t>产出指标</w:t>
            </w:r>
          </w:p>
        </w:tc>
        <w:tc>
          <w:tcPr>
            <w:tcW w:w="2268" w:type="dxa"/>
            <w:vAlign w:val="center"/>
          </w:tcPr>
          <w:p w14:paraId="5025CFAB">
            <w:pPr>
              <w:pStyle w:val="13"/>
            </w:pPr>
            <w:r>
              <w:t>数量指标</w:t>
            </w:r>
          </w:p>
        </w:tc>
        <w:tc>
          <w:tcPr>
            <w:tcW w:w="2835" w:type="dxa"/>
            <w:vAlign w:val="center"/>
          </w:tcPr>
          <w:p w14:paraId="27E5FFD0">
            <w:pPr>
              <w:pStyle w:val="13"/>
            </w:pPr>
            <w:r>
              <w:t>新建餐厅</w:t>
            </w:r>
          </w:p>
        </w:tc>
        <w:tc>
          <w:tcPr>
            <w:tcW w:w="5386" w:type="dxa"/>
            <w:vAlign w:val="center"/>
          </w:tcPr>
          <w:p w14:paraId="320CADB3">
            <w:pPr>
              <w:pStyle w:val="13"/>
            </w:pPr>
            <w:r>
              <w:t>两层餐厅砖混结构</w:t>
            </w:r>
          </w:p>
        </w:tc>
        <w:tc>
          <w:tcPr>
            <w:tcW w:w="2268" w:type="dxa"/>
            <w:vAlign w:val="center"/>
          </w:tcPr>
          <w:p w14:paraId="5968169B">
            <w:pPr>
              <w:pStyle w:val="13"/>
            </w:pPr>
            <w:r>
              <w:t>1200平方米</w:t>
            </w:r>
          </w:p>
        </w:tc>
        <w:tc>
          <w:tcPr>
            <w:tcW w:w="1276" w:type="dxa"/>
            <w:vAlign w:val="center"/>
          </w:tcPr>
          <w:p w14:paraId="7C1F37CA">
            <w:pPr>
              <w:pStyle w:val="13"/>
            </w:pPr>
            <w:r>
              <w:t>项目规划</w:t>
            </w:r>
          </w:p>
        </w:tc>
      </w:tr>
      <w:tr w14:paraId="6A32A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E8942"/>
        </w:tc>
        <w:tc>
          <w:tcPr>
            <w:tcW w:w="2268" w:type="dxa"/>
            <w:vAlign w:val="center"/>
          </w:tcPr>
          <w:p w14:paraId="07086824">
            <w:pPr>
              <w:pStyle w:val="13"/>
            </w:pPr>
            <w:r>
              <w:t>质量指标</w:t>
            </w:r>
          </w:p>
        </w:tc>
        <w:tc>
          <w:tcPr>
            <w:tcW w:w="2835" w:type="dxa"/>
            <w:vAlign w:val="center"/>
          </w:tcPr>
          <w:p w14:paraId="4FFAE5B9">
            <w:pPr>
              <w:pStyle w:val="13"/>
            </w:pPr>
            <w:r>
              <w:t>工程实施验收合格率</w:t>
            </w:r>
          </w:p>
        </w:tc>
        <w:tc>
          <w:tcPr>
            <w:tcW w:w="5386" w:type="dxa"/>
            <w:vAlign w:val="center"/>
          </w:tcPr>
          <w:p w14:paraId="711C8374">
            <w:pPr>
              <w:pStyle w:val="13"/>
            </w:pPr>
            <w:r>
              <w:t>申报程序的合规，项目实施及资金使用符合项目规划</w:t>
            </w:r>
          </w:p>
        </w:tc>
        <w:tc>
          <w:tcPr>
            <w:tcW w:w="2268" w:type="dxa"/>
            <w:vAlign w:val="center"/>
          </w:tcPr>
          <w:p w14:paraId="1167A60E">
            <w:pPr>
              <w:pStyle w:val="13"/>
            </w:pPr>
            <w:r>
              <w:t>100%</w:t>
            </w:r>
          </w:p>
        </w:tc>
        <w:tc>
          <w:tcPr>
            <w:tcW w:w="1276" w:type="dxa"/>
            <w:vAlign w:val="center"/>
          </w:tcPr>
          <w:p w14:paraId="5BDF4D37">
            <w:pPr>
              <w:pStyle w:val="13"/>
            </w:pPr>
            <w:r>
              <w:t>项目规划</w:t>
            </w:r>
          </w:p>
        </w:tc>
      </w:tr>
      <w:tr w14:paraId="1D47E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514F3"/>
        </w:tc>
        <w:tc>
          <w:tcPr>
            <w:tcW w:w="2268" w:type="dxa"/>
            <w:vAlign w:val="center"/>
          </w:tcPr>
          <w:p w14:paraId="520C2D23">
            <w:pPr>
              <w:pStyle w:val="13"/>
            </w:pPr>
            <w:r>
              <w:t>时效指标</w:t>
            </w:r>
          </w:p>
        </w:tc>
        <w:tc>
          <w:tcPr>
            <w:tcW w:w="2835" w:type="dxa"/>
            <w:vAlign w:val="center"/>
          </w:tcPr>
          <w:p w14:paraId="3CEEFD86">
            <w:pPr>
              <w:pStyle w:val="13"/>
            </w:pPr>
            <w:r>
              <w:t>资金支付率</w:t>
            </w:r>
          </w:p>
        </w:tc>
        <w:tc>
          <w:tcPr>
            <w:tcW w:w="5386" w:type="dxa"/>
            <w:vAlign w:val="center"/>
          </w:tcPr>
          <w:p w14:paraId="6C2A4B03">
            <w:pPr>
              <w:pStyle w:val="13"/>
            </w:pPr>
            <w:r>
              <w:t>按照序时进度完成资金支付</w:t>
            </w:r>
          </w:p>
        </w:tc>
        <w:tc>
          <w:tcPr>
            <w:tcW w:w="2268" w:type="dxa"/>
            <w:vAlign w:val="center"/>
          </w:tcPr>
          <w:p w14:paraId="5683F65F">
            <w:pPr>
              <w:pStyle w:val="13"/>
            </w:pPr>
            <w:r>
              <w:t>≥100%</w:t>
            </w:r>
          </w:p>
        </w:tc>
        <w:tc>
          <w:tcPr>
            <w:tcW w:w="1276" w:type="dxa"/>
            <w:vAlign w:val="center"/>
          </w:tcPr>
          <w:p w14:paraId="032D230C">
            <w:pPr>
              <w:pStyle w:val="13"/>
            </w:pPr>
            <w:r>
              <w:t>项目规划</w:t>
            </w:r>
          </w:p>
        </w:tc>
      </w:tr>
      <w:tr w14:paraId="7B5FC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75A8B"/>
        </w:tc>
        <w:tc>
          <w:tcPr>
            <w:tcW w:w="2268" w:type="dxa"/>
            <w:vAlign w:val="center"/>
          </w:tcPr>
          <w:p w14:paraId="0499585E">
            <w:pPr>
              <w:pStyle w:val="13"/>
            </w:pPr>
            <w:r>
              <w:t>成本指标</w:t>
            </w:r>
          </w:p>
        </w:tc>
        <w:tc>
          <w:tcPr>
            <w:tcW w:w="2835" w:type="dxa"/>
            <w:vAlign w:val="center"/>
          </w:tcPr>
          <w:p w14:paraId="1C80DEB2">
            <w:pPr>
              <w:pStyle w:val="13"/>
            </w:pPr>
            <w:r>
              <w:t>项目成本控制情况</w:t>
            </w:r>
          </w:p>
        </w:tc>
        <w:tc>
          <w:tcPr>
            <w:tcW w:w="5386" w:type="dxa"/>
            <w:vAlign w:val="center"/>
          </w:tcPr>
          <w:p w14:paraId="0648C896">
            <w:pPr>
              <w:pStyle w:val="13"/>
            </w:pPr>
            <w:r>
              <w:t>严格按照招标价格及审计额进行</w:t>
            </w:r>
          </w:p>
        </w:tc>
        <w:tc>
          <w:tcPr>
            <w:tcW w:w="2268" w:type="dxa"/>
            <w:vAlign w:val="center"/>
          </w:tcPr>
          <w:p w14:paraId="067CC707">
            <w:pPr>
              <w:pStyle w:val="13"/>
            </w:pPr>
            <w:r>
              <w:t>173200元</w:t>
            </w:r>
          </w:p>
        </w:tc>
        <w:tc>
          <w:tcPr>
            <w:tcW w:w="1276" w:type="dxa"/>
            <w:vAlign w:val="center"/>
          </w:tcPr>
          <w:p w14:paraId="5E15F7E0">
            <w:pPr>
              <w:pStyle w:val="13"/>
            </w:pPr>
            <w:r>
              <w:t>项目规划</w:t>
            </w:r>
          </w:p>
        </w:tc>
      </w:tr>
      <w:tr w14:paraId="2F271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DCD3D">
            <w:pPr>
              <w:pStyle w:val="12"/>
            </w:pPr>
            <w:r>
              <w:t>效益指标</w:t>
            </w:r>
          </w:p>
        </w:tc>
        <w:tc>
          <w:tcPr>
            <w:tcW w:w="2268" w:type="dxa"/>
            <w:vAlign w:val="center"/>
          </w:tcPr>
          <w:p w14:paraId="19691B02">
            <w:pPr>
              <w:pStyle w:val="13"/>
            </w:pPr>
            <w:r>
              <w:t>经济效益指标</w:t>
            </w:r>
          </w:p>
        </w:tc>
        <w:tc>
          <w:tcPr>
            <w:tcW w:w="2835" w:type="dxa"/>
            <w:vAlign w:val="center"/>
          </w:tcPr>
          <w:p w14:paraId="1B626FFD">
            <w:pPr>
              <w:pStyle w:val="13"/>
            </w:pPr>
            <w:r>
              <w:t>项目实施成果</w:t>
            </w:r>
          </w:p>
        </w:tc>
        <w:tc>
          <w:tcPr>
            <w:tcW w:w="5386" w:type="dxa"/>
            <w:vAlign w:val="center"/>
          </w:tcPr>
          <w:p w14:paraId="5F0FA97B">
            <w:pPr>
              <w:pStyle w:val="13"/>
            </w:pPr>
            <w:r>
              <w:t>有效提高教学环境，提升教学质量</w:t>
            </w:r>
          </w:p>
        </w:tc>
        <w:tc>
          <w:tcPr>
            <w:tcW w:w="2268" w:type="dxa"/>
            <w:vAlign w:val="center"/>
          </w:tcPr>
          <w:p w14:paraId="1CEB4026">
            <w:pPr>
              <w:pStyle w:val="13"/>
            </w:pPr>
            <w:r>
              <w:t>≥98%</w:t>
            </w:r>
          </w:p>
        </w:tc>
        <w:tc>
          <w:tcPr>
            <w:tcW w:w="1276" w:type="dxa"/>
            <w:vAlign w:val="center"/>
          </w:tcPr>
          <w:p w14:paraId="2F8CBD59">
            <w:pPr>
              <w:pStyle w:val="13"/>
            </w:pPr>
            <w:r>
              <w:t>项目规划</w:t>
            </w:r>
          </w:p>
        </w:tc>
      </w:tr>
      <w:tr w14:paraId="101E5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39A3A"/>
        </w:tc>
        <w:tc>
          <w:tcPr>
            <w:tcW w:w="2268" w:type="dxa"/>
            <w:vAlign w:val="center"/>
          </w:tcPr>
          <w:p w14:paraId="3C2F0AB4">
            <w:pPr>
              <w:pStyle w:val="13"/>
            </w:pPr>
            <w:r>
              <w:t>社会效益指标</w:t>
            </w:r>
          </w:p>
        </w:tc>
        <w:tc>
          <w:tcPr>
            <w:tcW w:w="2835" w:type="dxa"/>
            <w:vAlign w:val="center"/>
          </w:tcPr>
          <w:p w14:paraId="43ECC8F3">
            <w:pPr>
              <w:pStyle w:val="13"/>
            </w:pPr>
            <w:r>
              <w:t>学校办学能力提升</w:t>
            </w:r>
          </w:p>
        </w:tc>
        <w:tc>
          <w:tcPr>
            <w:tcW w:w="5386" w:type="dxa"/>
            <w:vAlign w:val="center"/>
          </w:tcPr>
          <w:p w14:paraId="5102452A">
            <w:pPr>
              <w:pStyle w:val="13"/>
            </w:pPr>
            <w:r>
              <w:t>学校办学能力升情况及教育教学工作等开展的情况</w:t>
            </w:r>
          </w:p>
        </w:tc>
        <w:tc>
          <w:tcPr>
            <w:tcW w:w="2268" w:type="dxa"/>
            <w:vAlign w:val="center"/>
          </w:tcPr>
          <w:p w14:paraId="61772815">
            <w:pPr>
              <w:pStyle w:val="13"/>
            </w:pPr>
            <w:r>
              <w:t>≥95%</w:t>
            </w:r>
          </w:p>
        </w:tc>
        <w:tc>
          <w:tcPr>
            <w:tcW w:w="1276" w:type="dxa"/>
            <w:vAlign w:val="center"/>
          </w:tcPr>
          <w:p w14:paraId="04AE69FA">
            <w:pPr>
              <w:pStyle w:val="13"/>
            </w:pPr>
            <w:r>
              <w:t>项目规划</w:t>
            </w:r>
          </w:p>
        </w:tc>
      </w:tr>
      <w:tr w14:paraId="5BFFF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1202A"/>
        </w:tc>
        <w:tc>
          <w:tcPr>
            <w:tcW w:w="2268" w:type="dxa"/>
            <w:vAlign w:val="center"/>
          </w:tcPr>
          <w:p w14:paraId="5FAACC5E">
            <w:pPr>
              <w:pStyle w:val="13"/>
            </w:pPr>
            <w:r>
              <w:t>可持续影响指标</w:t>
            </w:r>
          </w:p>
        </w:tc>
        <w:tc>
          <w:tcPr>
            <w:tcW w:w="2835" w:type="dxa"/>
            <w:vAlign w:val="center"/>
          </w:tcPr>
          <w:p w14:paraId="450BA4C6">
            <w:pPr>
              <w:pStyle w:val="13"/>
            </w:pPr>
            <w:r>
              <w:t>教育发展水平</w:t>
            </w:r>
          </w:p>
        </w:tc>
        <w:tc>
          <w:tcPr>
            <w:tcW w:w="5386" w:type="dxa"/>
            <w:vAlign w:val="center"/>
          </w:tcPr>
          <w:p w14:paraId="26DEBF01">
            <w:pPr>
              <w:pStyle w:val="13"/>
            </w:pPr>
            <w:r>
              <w:t>辖区内教育环境明显好转</w:t>
            </w:r>
          </w:p>
        </w:tc>
        <w:tc>
          <w:tcPr>
            <w:tcW w:w="2268" w:type="dxa"/>
            <w:vAlign w:val="center"/>
          </w:tcPr>
          <w:p w14:paraId="0B7CF8B2">
            <w:pPr>
              <w:pStyle w:val="13"/>
            </w:pPr>
            <w:r>
              <w:t>≥98%</w:t>
            </w:r>
          </w:p>
        </w:tc>
        <w:tc>
          <w:tcPr>
            <w:tcW w:w="1276" w:type="dxa"/>
            <w:vAlign w:val="center"/>
          </w:tcPr>
          <w:p w14:paraId="4B33F4F8">
            <w:pPr>
              <w:pStyle w:val="13"/>
            </w:pPr>
            <w:r>
              <w:t>项目规划</w:t>
            </w:r>
          </w:p>
        </w:tc>
      </w:tr>
      <w:tr w14:paraId="473E2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050B6D">
            <w:pPr>
              <w:pStyle w:val="12"/>
            </w:pPr>
            <w:r>
              <w:t>满意度指标</w:t>
            </w:r>
          </w:p>
        </w:tc>
        <w:tc>
          <w:tcPr>
            <w:tcW w:w="2268" w:type="dxa"/>
            <w:vAlign w:val="center"/>
          </w:tcPr>
          <w:p w14:paraId="60F3EC9F">
            <w:pPr>
              <w:pStyle w:val="13"/>
            </w:pPr>
            <w:r>
              <w:t>服务对象满意度指标</w:t>
            </w:r>
          </w:p>
        </w:tc>
        <w:tc>
          <w:tcPr>
            <w:tcW w:w="2835" w:type="dxa"/>
            <w:vAlign w:val="center"/>
          </w:tcPr>
          <w:p w14:paraId="5F013062">
            <w:pPr>
              <w:pStyle w:val="13"/>
            </w:pPr>
            <w:r>
              <w:t>学生、教师及家长对学校教学环境满意度情况</w:t>
            </w:r>
          </w:p>
        </w:tc>
        <w:tc>
          <w:tcPr>
            <w:tcW w:w="5386" w:type="dxa"/>
            <w:vAlign w:val="center"/>
          </w:tcPr>
          <w:p w14:paraId="56283E90">
            <w:pPr>
              <w:pStyle w:val="13"/>
            </w:pPr>
            <w:r>
              <w:t>学生、教师及家长对学校教学环境满意度情况</w:t>
            </w:r>
          </w:p>
        </w:tc>
        <w:tc>
          <w:tcPr>
            <w:tcW w:w="2268" w:type="dxa"/>
            <w:vAlign w:val="center"/>
          </w:tcPr>
          <w:p w14:paraId="14C0E0C7">
            <w:pPr>
              <w:pStyle w:val="13"/>
            </w:pPr>
            <w:r>
              <w:t>≥95%</w:t>
            </w:r>
          </w:p>
        </w:tc>
        <w:tc>
          <w:tcPr>
            <w:tcW w:w="1276" w:type="dxa"/>
            <w:vAlign w:val="center"/>
          </w:tcPr>
          <w:p w14:paraId="2A880BD3">
            <w:pPr>
              <w:pStyle w:val="13"/>
            </w:pPr>
            <w:r>
              <w:t>调查问卷</w:t>
            </w:r>
          </w:p>
        </w:tc>
      </w:tr>
    </w:tbl>
    <w:p w14:paraId="7F10A85C">
      <w:pPr>
        <w:sectPr>
          <w:pgSz w:w="16840" w:h="11900" w:orient="landscape"/>
          <w:pgMar w:top="1361" w:right="1020" w:bottom="1134" w:left="1020" w:header="720" w:footer="720" w:gutter="0"/>
          <w:cols w:space="720" w:num="1"/>
        </w:sectPr>
      </w:pPr>
    </w:p>
    <w:p w14:paraId="637E38E7">
      <w:pPr>
        <w:spacing w:before="0" w:after="0"/>
        <w:ind w:firstLine="560"/>
        <w:jc w:val="left"/>
        <w:outlineLvl w:val="9"/>
      </w:pPr>
      <w:r>
        <w:rPr>
          <w:rFonts w:ascii="方正仿宋_GBK" w:hAnsi="方正仿宋_GBK" w:eastAsia="方正仿宋_GBK" w:cs="方正仿宋_GBK"/>
          <w:b/>
          <w:color w:val="000000"/>
          <w:sz w:val="28"/>
        </w:rPr>
        <w:t>27、审计/双碑幼儿园保育楼绩效目标表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F2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FCC7D">
            <w:pPr>
              <w:pStyle w:val="14"/>
            </w:pPr>
            <w:r>
              <w:t>单位：万元</w:t>
            </w:r>
          </w:p>
        </w:tc>
      </w:tr>
      <w:tr w14:paraId="0CA50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95EAE">
            <w:pPr>
              <w:pStyle w:val="11"/>
            </w:pPr>
            <w:r>
              <w:t>项目编码</w:t>
            </w:r>
          </w:p>
        </w:tc>
        <w:tc>
          <w:tcPr>
            <w:tcW w:w="5103" w:type="dxa"/>
            <w:gridSpan w:val="2"/>
            <w:vAlign w:val="center"/>
          </w:tcPr>
          <w:p w14:paraId="1330F25A">
            <w:pPr>
              <w:pStyle w:val="13"/>
            </w:pPr>
            <w:r>
              <w:t>13052525P008756102218</w:t>
            </w:r>
          </w:p>
        </w:tc>
        <w:tc>
          <w:tcPr>
            <w:tcW w:w="2835" w:type="dxa"/>
            <w:vAlign w:val="center"/>
          </w:tcPr>
          <w:p w14:paraId="18B92AB8">
            <w:pPr>
              <w:pStyle w:val="11"/>
            </w:pPr>
            <w:r>
              <w:t>项目名称</w:t>
            </w:r>
          </w:p>
        </w:tc>
        <w:tc>
          <w:tcPr>
            <w:tcW w:w="6095" w:type="dxa"/>
            <w:gridSpan w:val="3"/>
            <w:vAlign w:val="center"/>
          </w:tcPr>
          <w:p w14:paraId="6E89795D">
            <w:pPr>
              <w:pStyle w:val="13"/>
            </w:pPr>
            <w:r>
              <w:t>审计/双碑幼儿园保育楼</w:t>
            </w:r>
          </w:p>
        </w:tc>
      </w:tr>
      <w:tr w14:paraId="6FA2F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D533F">
            <w:pPr>
              <w:pStyle w:val="11"/>
            </w:pPr>
            <w:r>
              <w:t>预算规模及资金用途</w:t>
            </w:r>
          </w:p>
        </w:tc>
        <w:tc>
          <w:tcPr>
            <w:tcW w:w="2268" w:type="dxa"/>
            <w:vAlign w:val="center"/>
          </w:tcPr>
          <w:p w14:paraId="0555F9A9">
            <w:pPr>
              <w:pStyle w:val="11"/>
            </w:pPr>
            <w:r>
              <w:t>预算数</w:t>
            </w:r>
          </w:p>
        </w:tc>
        <w:tc>
          <w:tcPr>
            <w:tcW w:w="2835" w:type="dxa"/>
            <w:vAlign w:val="center"/>
          </w:tcPr>
          <w:p w14:paraId="05E77FE0">
            <w:pPr>
              <w:pStyle w:val="13"/>
            </w:pPr>
            <w:r>
              <w:t>74.32</w:t>
            </w:r>
          </w:p>
        </w:tc>
        <w:tc>
          <w:tcPr>
            <w:tcW w:w="2835" w:type="dxa"/>
            <w:vAlign w:val="center"/>
          </w:tcPr>
          <w:p w14:paraId="5806C98F">
            <w:pPr>
              <w:pStyle w:val="11"/>
            </w:pPr>
            <w:r>
              <w:t>其中：财政    资金</w:t>
            </w:r>
          </w:p>
        </w:tc>
        <w:tc>
          <w:tcPr>
            <w:tcW w:w="2551" w:type="dxa"/>
            <w:vAlign w:val="center"/>
          </w:tcPr>
          <w:p w14:paraId="3B8F42FE">
            <w:pPr>
              <w:pStyle w:val="13"/>
            </w:pPr>
            <w:r>
              <w:t>74.32</w:t>
            </w:r>
          </w:p>
        </w:tc>
        <w:tc>
          <w:tcPr>
            <w:tcW w:w="2268" w:type="dxa"/>
            <w:vAlign w:val="center"/>
          </w:tcPr>
          <w:p w14:paraId="0CC1EF6A">
            <w:pPr>
              <w:pStyle w:val="11"/>
            </w:pPr>
            <w:r>
              <w:t>其他资金</w:t>
            </w:r>
          </w:p>
        </w:tc>
        <w:tc>
          <w:tcPr>
            <w:tcW w:w="1276" w:type="dxa"/>
            <w:vAlign w:val="center"/>
          </w:tcPr>
          <w:p w14:paraId="4AC661AE">
            <w:pPr>
              <w:pStyle w:val="13"/>
            </w:pPr>
            <w:r>
              <w:t xml:space="preserve"> </w:t>
            </w:r>
          </w:p>
        </w:tc>
      </w:tr>
      <w:tr w14:paraId="19967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4697A"/>
        </w:tc>
        <w:tc>
          <w:tcPr>
            <w:tcW w:w="14033" w:type="dxa"/>
            <w:gridSpan w:val="6"/>
            <w:vAlign w:val="center"/>
          </w:tcPr>
          <w:p w14:paraId="2988DF92">
            <w:pPr>
              <w:pStyle w:val="13"/>
            </w:pPr>
            <w:r>
              <w:t>新建地上两层保育楼，满足幼儿园正常教学需要。</w:t>
            </w:r>
            <w:r>
              <w:tab/>
            </w:r>
            <w:r>
              <w:tab/>
            </w:r>
            <w:r>
              <w:tab/>
            </w:r>
            <w:r>
              <w:tab/>
            </w:r>
            <w:r>
              <w:tab/>
            </w:r>
          </w:p>
        </w:tc>
      </w:tr>
      <w:tr w14:paraId="02B9A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5646A">
            <w:pPr>
              <w:pStyle w:val="11"/>
            </w:pPr>
            <w:r>
              <w:t>资金支出计划（%）</w:t>
            </w:r>
          </w:p>
        </w:tc>
        <w:tc>
          <w:tcPr>
            <w:tcW w:w="5103" w:type="dxa"/>
            <w:gridSpan w:val="2"/>
            <w:vAlign w:val="center"/>
          </w:tcPr>
          <w:p w14:paraId="3D13A584">
            <w:pPr>
              <w:pStyle w:val="11"/>
            </w:pPr>
            <w:r>
              <w:t>3月底</w:t>
            </w:r>
          </w:p>
        </w:tc>
        <w:tc>
          <w:tcPr>
            <w:tcW w:w="2835" w:type="dxa"/>
            <w:vAlign w:val="center"/>
          </w:tcPr>
          <w:p w14:paraId="19F68001">
            <w:pPr>
              <w:pStyle w:val="11"/>
            </w:pPr>
            <w:r>
              <w:t>6月底</w:t>
            </w:r>
          </w:p>
        </w:tc>
        <w:tc>
          <w:tcPr>
            <w:tcW w:w="2551" w:type="dxa"/>
            <w:vAlign w:val="center"/>
          </w:tcPr>
          <w:p w14:paraId="2907DCDD">
            <w:pPr>
              <w:pStyle w:val="11"/>
            </w:pPr>
            <w:r>
              <w:t>10月底</w:t>
            </w:r>
          </w:p>
        </w:tc>
        <w:tc>
          <w:tcPr>
            <w:tcW w:w="3544" w:type="dxa"/>
            <w:gridSpan w:val="2"/>
            <w:vAlign w:val="center"/>
          </w:tcPr>
          <w:p w14:paraId="2FEE21B5">
            <w:pPr>
              <w:pStyle w:val="11"/>
            </w:pPr>
            <w:r>
              <w:t>12月底</w:t>
            </w:r>
          </w:p>
        </w:tc>
      </w:tr>
      <w:tr w14:paraId="0271F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13C56"/>
        </w:tc>
        <w:tc>
          <w:tcPr>
            <w:tcW w:w="5103" w:type="dxa"/>
            <w:gridSpan w:val="2"/>
            <w:vAlign w:val="center"/>
          </w:tcPr>
          <w:p w14:paraId="2DF6025A">
            <w:pPr>
              <w:pStyle w:val="12"/>
            </w:pPr>
            <w:r>
              <w:t>25%</w:t>
            </w:r>
          </w:p>
        </w:tc>
        <w:tc>
          <w:tcPr>
            <w:tcW w:w="2835" w:type="dxa"/>
            <w:vAlign w:val="center"/>
          </w:tcPr>
          <w:p w14:paraId="5E909DFD">
            <w:pPr>
              <w:pStyle w:val="12"/>
            </w:pPr>
            <w:r>
              <w:t>50%</w:t>
            </w:r>
          </w:p>
        </w:tc>
        <w:tc>
          <w:tcPr>
            <w:tcW w:w="2551" w:type="dxa"/>
            <w:vAlign w:val="center"/>
          </w:tcPr>
          <w:p w14:paraId="5FD1C175">
            <w:pPr>
              <w:pStyle w:val="12"/>
            </w:pPr>
            <w:r>
              <w:t>75%</w:t>
            </w:r>
          </w:p>
        </w:tc>
        <w:tc>
          <w:tcPr>
            <w:tcW w:w="3544" w:type="dxa"/>
            <w:gridSpan w:val="2"/>
            <w:vAlign w:val="center"/>
          </w:tcPr>
          <w:p w14:paraId="48271593">
            <w:pPr>
              <w:pStyle w:val="12"/>
            </w:pPr>
            <w:r>
              <w:t>100%</w:t>
            </w:r>
          </w:p>
        </w:tc>
      </w:tr>
      <w:tr w14:paraId="7F97C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84E67">
            <w:pPr>
              <w:pStyle w:val="11"/>
            </w:pPr>
            <w:r>
              <w:t>绩效目标</w:t>
            </w:r>
          </w:p>
        </w:tc>
        <w:tc>
          <w:tcPr>
            <w:tcW w:w="14033" w:type="dxa"/>
            <w:gridSpan w:val="6"/>
            <w:vAlign w:val="center"/>
          </w:tcPr>
          <w:p w14:paraId="5753AFEC">
            <w:pPr>
              <w:pStyle w:val="13"/>
            </w:pPr>
            <w:r>
              <w:t>1.按规定拨付专项资金 743200元，资金拨付率达到100%。</w:t>
            </w:r>
          </w:p>
          <w:p w14:paraId="331CADA3">
            <w:pPr>
              <w:pStyle w:val="13"/>
            </w:pPr>
            <w:r>
              <w:t>2.新建地上两层保育楼，满足幼儿园正常教学需要。</w:t>
            </w:r>
          </w:p>
        </w:tc>
      </w:tr>
    </w:tbl>
    <w:p w14:paraId="64899B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73F4E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7C4D4">
            <w:pPr>
              <w:pStyle w:val="11"/>
            </w:pPr>
            <w:r>
              <w:t>一级指标</w:t>
            </w:r>
          </w:p>
        </w:tc>
        <w:tc>
          <w:tcPr>
            <w:tcW w:w="2268" w:type="dxa"/>
            <w:vAlign w:val="center"/>
          </w:tcPr>
          <w:p w14:paraId="3FC5577C">
            <w:pPr>
              <w:pStyle w:val="11"/>
            </w:pPr>
            <w:r>
              <w:t>二级指标</w:t>
            </w:r>
          </w:p>
        </w:tc>
        <w:tc>
          <w:tcPr>
            <w:tcW w:w="2835" w:type="dxa"/>
            <w:vAlign w:val="center"/>
          </w:tcPr>
          <w:p w14:paraId="67CB593D">
            <w:pPr>
              <w:pStyle w:val="11"/>
            </w:pPr>
            <w:r>
              <w:t>三级指标</w:t>
            </w:r>
          </w:p>
        </w:tc>
        <w:tc>
          <w:tcPr>
            <w:tcW w:w="5386" w:type="dxa"/>
            <w:vAlign w:val="center"/>
          </w:tcPr>
          <w:p w14:paraId="778310F8">
            <w:pPr>
              <w:pStyle w:val="11"/>
            </w:pPr>
            <w:r>
              <w:t>绩效指标描述</w:t>
            </w:r>
          </w:p>
        </w:tc>
        <w:tc>
          <w:tcPr>
            <w:tcW w:w="1583" w:type="dxa"/>
            <w:vAlign w:val="center"/>
          </w:tcPr>
          <w:p w14:paraId="424E7BA6">
            <w:pPr>
              <w:pStyle w:val="11"/>
            </w:pPr>
            <w:r>
              <w:t>指标值</w:t>
            </w:r>
          </w:p>
        </w:tc>
        <w:tc>
          <w:tcPr>
            <w:tcW w:w="1961" w:type="dxa"/>
            <w:vAlign w:val="center"/>
          </w:tcPr>
          <w:p w14:paraId="4273B0C4">
            <w:pPr>
              <w:pStyle w:val="11"/>
            </w:pPr>
            <w:r>
              <w:t>指标值确定依据</w:t>
            </w:r>
          </w:p>
        </w:tc>
      </w:tr>
      <w:tr w14:paraId="4B088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DB56D">
            <w:pPr>
              <w:pStyle w:val="12"/>
            </w:pPr>
            <w:r>
              <w:t>产出指标</w:t>
            </w:r>
          </w:p>
        </w:tc>
        <w:tc>
          <w:tcPr>
            <w:tcW w:w="2268" w:type="dxa"/>
            <w:vAlign w:val="center"/>
          </w:tcPr>
          <w:p w14:paraId="1F18AA42">
            <w:pPr>
              <w:pStyle w:val="13"/>
            </w:pPr>
            <w:r>
              <w:t>数量指标</w:t>
            </w:r>
          </w:p>
        </w:tc>
        <w:tc>
          <w:tcPr>
            <w:tcW w:w="2835" w:type="dxa"/>
            <w:vAlign w:val="center"/>
          </w:tcPr>
          <w:p w14:paraId="68B95C36">
            <w:pPr>
              <w:pStyle w:val="13"/>
            </w:pPr>
            <w:r>
              <w:t>新建建筑面积</w:t>
            </w:r>
          </w:p>
        </w:tc>
        <w:tc>
          <w:tcPr>
            <w:tcW w:w="5386" w:type="dxa"/>
            <w:vAlign w:val="center"/>
          </w:tcPr>
          <w:p w14:paraId="2AD42896">
            <w:pPr>
              <w:pStyle w:val="13"/>
            </w:pPr>
            <w:r>
              <w:t>新建建筑面积</w:t>
            </w:r>
          </w:p>
        </w:tc>
        <w:tc>
          <w:tcPr>
            <w:tcW w:w="1583" w:type="dxa"/>
            <w:vAlign w:val="center"/>
          </w:tcPr>
          <w:p w14:paraId="0F5F0BB3">
            <w:pPr>
              <w:pStyle w:val="13"/>
            </w:pPr>
            <w:r>
              <w:t>2193平米</w:t>
            </w:r>
          </w:p>
        </w:tc>
        <w:tc>
          <w:tcPr>
            <w:tcW w:w="1961" w:type="dxa"/>
            <w:vAlign w:val="center"/>
          </w:tcPr>
          <w:p w14:paraId="3FB21F44">
            <w:pPr>
              <w:pStyle w:val="13"/>
            </w:pPr>
            <w:r>
              <w:t>支持学前教育发展专项资金管理办法</w:t>
            </w:r>
          </w:p>
        </w:tc>
      </w:tr>
      <w:tr w14:paraId="4B63E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483DC"/>
        </w:tc>
        <w:tc>
          <w:tcPr>
            <w:tcW w:w="2268" w:type="dxa"/>
            <w:vAlign w:val="center"/>
          </w:tcPr>
          <w:p w14:paraId="294C29C1">
            <w:pPr>
              <w:pStyle w:val="13"/>
            </w:pPr>
            <w:r>
              <w:t>质量指标</w:t>
            </w:r>
          </w:p>
        </w:tc>
        <w:tc>
          <w:tcPr>
            <w:tcW w:w="2835" w:type="dxa"/>
            <w:vAlign w:val="center"/>
          </w:tcPr>
          <w:p w14:paraId="681DD89E">
            <w:pPr>
              <w:pStyle w:val="13"/>
            </w:pPr>
            <w:r>
              <w:t>项目竣工验收合格率</w:t>
            </w:r>
          </w:p>
        </w:tc>
        <w:tc>
          <w:tcPr>
            <w:tcW w:w="5386" w:type="dxa"/>
            <w:vAlign w:val="center"/>
          </w:tcPr>
          <w:p w14:paraId="1CA7C7E9">
            <w:pPr>
              <w:pStyle w:val="13"/>
            </w:pPr>
            <w:r>
              <w:t>项目改造质量达标率</w:t>
            </w:r>
          </w:p>
        </w:tc>
        <w:tc>
          <w:tcPr>
            <w:tcW w:w="1583" w:type="dxa"/>
            <w:vAlign w:val="center"/>
          </w:tcPr>
          <w:p w14:paraId="2926905B">
            <w:pPr>
              <w:pStyle w:val="13"/>
            </w:pPr>
            <w:r>
              <w:t>≥100%</w:t>
            </w:r>
          </w:p>
        </w:tc>
        <w:tc>
          <w:tcPr>
            <w:tcW w:w="1961" w:type="dxa"/>
            <w:vAlign w:val="center"/>
          </w:tcPr>
          <w:p w14:paraId="31C957E8">
            <w:pPr>
              <w:pStyle w:val="13"/>
            </w:pPr>
            <w:r>
              <w:t>支持学前教育发展专项资金管理办法</w:t>
            </w:r>
          </w:p>
        </w:tc>
      </w:tr>
      <w:tr w14:paraId="66426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FE03A"/>
        </w:tc>
        <w:tc>
          <w:tcPr>
            <w:tcW w:w="2268" w:type="dxa"/>
            <w:vAlign w:val="center"/>
          </w:tcPr>
          <w:p w14:paraId="7517526C">
            <w:pPr>
              <w:pStyle w:val="13"/>
            </w:pPr>
            <w:r>
              <w:t>时效指标</w:t>
            </w:r>
          </w:p>
        </w:tc>
        <w:tc>
          <w:tcPr>
            <w:tcW w:w="2835" w:type="dxa"/>
            <w:vAlign w:val="center"/>
          </w:tcPr>
          <w:p w14:paraId="1A4C169A">
            <w:pPr>
              <w:pStyle w:val="13"/>
            </w:pPr>
            <w:r>
              <w:t>项目实际成本</w:t>
            </w:r>
          </w:p>
        </w:tc>
        <w:tc>
          <w:tcPr>
            <w:tcW w:w="5386" w:type="dxa"/>
            <w:vAlign w:val="center"/>
          </w:tcPr>
          <w:p w14:paraId="68E32D43">
            <w:pPr>
              <w:pStyle w:val="13"/>
            </w:pPr>
            <w:r>
              <w:t>新建地上两层保育楼</w:t>
            </w:r>
          </w:p>
        </w:tc>
        <w:tc>
          <w:tcPr>
            <w:tcW w:w="1583" w:type="dxa"/>
            <w:vAlign w:val="center"/>
          </w:tcPr>
          <w:p w14:paraId="4D4214AD">
            <w:pPr>
              <w:pStyle w:val="13"/>
            </w:pPr>
            <w:r>
              <w:t>743200元</w:t>
            </w:r>
          </w:p>
        </w:tc>
        <w:tc>
          <w:tcPr>
            <w:tcW w:w="1961" w:type="dxa"/>
            <w:vAlign w:val="center"/>
          </w:tcPr>
          <w:p w14:paraId="29D360BD">
            <w:pPr>
              <w:pStyle w:val="13"/>
            </w:pPr>
            <w:r>
              <w:t>支持学前教育发展专项资金管理办法</w:t>
            </w:r>
          </w:p>
        </w:tc>
      </w:tr>
      <w:tr w14:paraId="7B30E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98BE2"/>
        </w:tc>
        <w:tc>
          <w:tcPr>
            <w:tcW w:w="2268" w:type="dxa"/>
            <w:vAlign w:val="center"/>
          </w:tcPr>
          <w:p w14:paraId="3BBB9758">
            <w:pPr>
              <w:pStyle w:val="13"/>
            </w:pPr>
            <w:r>
              <w:t>成本指标</w:t>
            </w:r>
          </w:p>
        </w:tc>
        <w:tc>
          <w:tcPr>
            <w:tcW w:w="2835" w:type="dxa"/>
            <w:vAlign w:val="center"/>
          </w:tcPr>
          <w:p w14:paraId="0BD048F4">
            <w:pPr>
              <w:pStyle w:val="13"/>
            </w:pPr>
            <w:r>
              <w:t>按期完成率</w:t>
            </w:r>
          </w:p>
        </w:tc>
        <w:tc>
          <w:tcPr>
            <w:tcW w:w="5386" w:type="dxa"/>
            <w:vAlign w:val="center"/>
          </w:tcPr>
          <w:p w14:paraId="3A35CDAC">
            <w:pPr>
              <w:pStyle w:val="13"/>
            </w:pPr>
            <w:r>
              <w:t>按期完成率</w:t>
            </w:r>
          </w:p>
        </w:tc>
        <w:tc>
          <w:tcPr>
            <w:tcW w:w="1583" w:type="dxa"/>
            <w:vAlign w:val="center"/>
          </w:tcPr>
          <w:p w14:paraId="49BC62A3">
            <w:pPr>
              <w:pStyle w:val="13"/>
            </w:pPr>
            <w:r>
              <w:t>按时完成新建项目</w:t>
            </w:r>
          </w:p>
        </w:tc>
        <w:tc>
          <w:tcPr>
            <w:tcW w:w="1961" w:type="dxa"/>
            <w:vAlign w:val="center"/>
          </w:tcPr>
          <w:p w14:paraId="744A182C">
            <w:pPr>
              <w:pStyle w:val="13"/>
            </w:pPr>
            <w:r>
              <w:t>支持学前教育发展专项资金管理办法</w:t>
            </w:r>
          </w:p>
        </w:tc>
      </w:tr>
      <w:tr w14:paraId="712AE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1163B">
            <w:pPr>
              <w:pStyle w:val="12"/>
            </w:pPr>
            <w:r>
              <w:t>效益指标</w:t>
            </w:r>
          </w:p>
        </w:tc>
        <w:tc>
          <w:tcPr>
            <w:tcW w:w="2268" w:type="dxa"/>
            <w:vAlign w:val="center"/>
          </w:tcPr>
          <w:p w14:paraId="0AD820A8">
            <w:pPr>
              <w:pStyle w:val="13"/>
            </w:pPr>
            <w:r>
              <w:t>社会效益指标</w:t>
            </w:r>
          </w:p>
        </w:tc>
        <w:tc>
          <w:tcPr>
            <w:tcW w:w="2835" w:type="dxa"/>
            <w:vAlign w:val="center"/>
          </w:tcPr>
          <w:p w14:paraId="2489F833">
            <w:pPr>
              <w:pStyle w:val="13"/>
            </w:pPr>
            <w:r>
              <w:t>办园条件</w:t>
            </w:r>
          </w:p>
        </w:tc>
        <w:tc>
          <w:tcPr>
            <w:tcW w:w="5386" w:type="dxa"/>
            <w:vAlign w:val="center"/>
          </w:tcPr>
          <w:p w14:paraId="726BA797">
            <w:pPr>
              <w:pStyle w:val="13"/>
            </w:pPr>
            <w:r>
              <w:t>幼儿园办学条件和环境得到改善</w:t>
            </w:r>
          </w:p>
        </w:tc>
        <w:tc>
          <w:tcPr>
            <w:tcW w:w="1583" w:type="dxa"/>
            <w:vAlign w:val="center"/>
          </w:tcPr>
          <w:p w14:paraId="0AE623C3">
            <w:pPr>
              <w:pStyle w:val="13"/>
            </w:pPr>
            <w:r>
              <w:t>持续提高</w:t>
            </w:r>
          </w:p>
        </w:tc>
        <w:tc>
          <w:tcPr>
            <w:tcW w:w="1961" w:type="dxa"/>
            <w:vAlign w:val="center"/>
          </w:tcPr>
          <w:p w14:paraId="33932977">
            <w:pPr>
              <w:pStyle w:val="13"/>
            </w:pPr>
            <w:r>
              <w:t>支持学前教育发展专项资金管理办法</w:t>
            </w:r>
          </w:p>
        </w:tc>
      </w:tr>
      <w:tr w14:paraId="73AC6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E817C8">
            <w:pPr>
              <w:pStyle w:val="12"/>
            </w:pPr>
            <w:r>
              <w:t>满意度指标</w:t>
            </w:r>
          </w:p>
        </w:tc>
        <w:tc>
          <w:tcPr>
            <w:tcW w:w="2268" w:type="dxa"/>
            <w:vAlign w:val="center"/>
          </w:tcPr>
          <w:p w14:paraId="523E23BA">
            <w:pPr>
              <w:pStyle w:val="13"/>
            </w:pPr>
            <w:r>
              <w:t>服务对象满意度指标</w:t>
            </w:r>
          </w:p>
        </w:tc>
        <w:tc>
          <w:tcPr>
            <w:tcW w:w="2835" w:type="dxa"/>
            <w:vAlign w:val="center"/>
          </w:tcPr>
          <w:p w14:paraId="7D76ACE4">
            <w:pPr>
              <w:pStyle w:val="13"/>
            </w:pPr>
            <w:r>
              <w:t>受益学生家长及调查满意度</w:t>
            </w:r>
          </w:p>
        </w:tc>
        <w:tc>
          <w:tcPr>
            <w:tcW w:w="5386" w:type="dxa"/>
            <w:vAlign w:val="center"/>
          </w:tcPr>
          <w:p w14:paraId="105CEB57">
            <w:pPr>
              <w:pStyle w:val="13"/>
            </w:pPr>
            <w:r>
              <w:t>学生、教师及家长对学校保教保育工作满意度情况</w:t>
            </w:r>
          </w:p>
        </w:tc>
        <w:tc>
          <w:tcPr>
            <w:tcW w:w="1583" w:type="dxa"/>
            <w:vAlign w:val="center"/>
          </w:tcPr>
          <w:p w14:paraId="62149B1E">
            <w:pPr>
              <w:pStyle w:val="13"/>
            </w:pPr>
            <w:r>
              <w:t>≥95%</w:t>
            </w:r>
          </w:p>
        </w:tc>
        <w:tc>
          <w:tcPr>
            <w:tcW w:w="1961" w:type="dxa"/>
            <w:vAlign w:val="center"/>
          </w:tcPr>
          <w:p w14:paraId="5CE432D5">
            <w:pPr>
              <w:pStyle w:val="13"/>
            </w:pPr>
            <w:r>
              <w:t>支持学前教育发展专项资金管理办法</w:t>
            </w:r>
          </w:p>
        </w:tc>
      </w:tr>
    </w:tbl>
    <w:p w14:paraId="02B36577">
      <w:pPr>
        <w:sectPr>
          <w:pgSz w:w="16840" w:h="11900" w:orient="landscape"/>
          <w:pgMar w:top="1361" w:right="1020" w:bottom="1134" w:left="1020" w:header="720" w:footer="720" w:gutter="0"/>
          <w:cols w:space="720" w:num="1"/>
        </w:sectPr>
      </w:pPr>
    </w:p>
    <w:p w14:paraId="0A4EF550">
      <w:pPr>
        <w:spacing w:before="0" w:after="0"/>
        <w:ind w:firstLine="560"/>
        <w:jc w:val="left"/>
        <w:outlineLvl w:val="9"/>
      </w:pPr>
      <w:r>
        <w:rPr>
          <w:rFonts w:ascii="方正仿宋_GBK" w:hAnsi="方正仿宋_GBK" w:eastAsia="方正仿宋_GBK" w:cs="方正仿宋_GBK"/>
          <w:b/>
          <w:color w:val="000000"/>
          <w:sz w:val="28"/>
        </w:rPr>
        <w:t>28、县级配套/双碑校区学前教育幼儿资助绩效目标表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3A1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43F91">
            <w:pPr>
              <w:pStyle w:val="14"/>
            </w:pPr>
            <w:r>
              <w:t>单位：万元</w:t>
            </w:r>
          </w:p>
        </w:tc>
      </w:tr>
      <w:tr w14:paraId="3DBDD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5B8B7">
            <w:pPr>
              <w:pStyle w:val="11"/>
            </w:pPr>
            <w:r>
              <w:t>项目编码</w:t>
            </w:r>
          </w:p>
        </w:tc>
        <w:tc>
          <w:tcPr>
            <w:tcW w:w="5103" w:type="dxa"/>
            <w:gridSpan w:val="2"/>
            <w:vAlign w:val="center"/>
          </w:tcPr>
          <w:p w14:paraId="1EB9EF90">
            <w:pPr>
              <w:pStyle w:val="13"/>
            </w:pPr>
            <w:r>
              <w:t>13052525P000002100191</w:t>
            </w:r>
          </w:p>
        </w:tc>
        <w:tc>
          <w:tcPr>
            <w:tcW w:w="2835" w:type="dxa"/>
            <w:vAlign w:val="center"/>
          </w:tcPr>
          <w:p w14:paraId="3F83A5F8">
            <w:pPr>
              <w:pStyle w:val="11"/>
            </w:pPr>
            <w:r>
              <w:t>项目名称</w:t>
            </w:r>
          </w:p>
        </w:tc>
        <w:tc>
          <w:tcPr>
            <w:tcW w:w="6095" w:type="dxa"/>
            <w:gridSpan w:val="3"/>
            <w:vAlign w:val="center"/>
          </w:tcPr>
          <w:p w14:paraId="74242411">
            <w:pPr>
              <w:pStyle w:val="13"/>
            </w:pPr>
            <w:r>
              <w:t>县级配套/双碑校区学前教育幼儿资助</w:t>
            </w:r>
          </w:p>
        </w:tc>
      </w:tr>
      <w:tr w14:paraId="54C18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8727A">
            <w:pPr>
              <w:pStyle w:val="11"/>
            </w:pPr>
            <w:r>
              <w:t>预算规模及资金用途</w:t>
            </w:r>
          </w:p>
        </w:tc>
        <w:tc>
          <w:tcPr>
            <w:tcW w:w="2268" w:type="dxa"/>
            <w:vAlign w:val="center"/>
          </w:tcPr>
          <w:p w14:paraId="20A6E184">
            <w:pPr>
              <w:pStyle w:val="11"/>
            </w:pPr>
            <w:r>
              <w:t>预算数</w:t>
            </w:r>
          </w:p>
        </w:tc>
        <w:tc>
          <w:tcPr>
            <w:tcW w:w="2835" w:type="dxa"/>
            <w:vAlign w:val="center"/>
          </w:tcPr>
          <w:p w14:paraId="46556D13">
            <w:pPr>
              <w:pStyle w:val="13"/>
            </w:pPr>
            <w:r>
              <w:t>0.60</w:t>
            </w:r>
          </w:p>
        </w:tc>
        <w:tc>
          <w:tcPr>
            <w:tcW w:w="2835" w:type="dxa"/>
            <w:vAlign w:val="center"/>
          </w:tcPr>
          <w:p w14:paraId="715D12F2">
            <w:pPr>
              <w:pStyle w:val="11"/>
            </w:pPr>
            <w:r>
              <w:t>其中：财政    资金</w:t>
            </w:r>
          </w:p>
        </w:tc>
        <w:tc>
          <w:tcPr>
            <w:tcW w:w="2551" w:type="dxa"/>
            <w:vAlign w:val="center"/>
          </w:tcPr>
          <w:p w14:paraId="58961F77">
            <w:pPr>
              <w:pStyle w:val="13"/>
            </w:pPr>
            <w:r>
              <w:t>0.60</w:t>
            </w:r>
          </w:p>
        </w:tc>
        <w:tc>
          <w:tcPr>
            <w:tcW w:w="2268" w:type="dxa"/>
            <w:vAlign w:val="center"/>
          </w:tcPr>
          <w:p w14:paraId="0B7E9329">
            <w:pPr>
              <w:pStyle w:val="11"/>
            </w:pPr>
            <w:r>
              <w:t>其他资金</w:t>
            </w:r>
          </w:p>
        </w:tc>
        <w:tc>
          <w:tcPr>
            <w:tcW w:w="1276" w:type="dxa"/>
            <w:vAlign w:val="center"/>
          </w:tcPr>
          <w:p w14:paraId="0631D44A">
            <w:pPr>
              <w:pStyle w:val="13"/>
            </w:pPr>
            <w:r>
              <w:t xml:space="preserve"> </w:t>
            </w:r>
          </w:p>
        </w:tc>
      </w:tr>
      <w:tr w14:paraId="3476A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F4B0FC"/>
        </w:tc>
        <w:tc>
          <w:tcPr>
            <w:tcW w:w="14033" w:type="dxa"/>
            <w:gridSpan w:val="6"/>
            <w:vAlign w:val="center"/>
          </w:tcPr>
          <w:p w14:paraId="786E4B35">
            <w:pPr>
              <w:pStyle w:val="13"/>
            </w:pPr>
            <w:r>
              <w:t>保证本年度资助经费足额落实到位，符合享受资助条件的学生应助尽助。</w:t>
            </w:r>
          </w:p>
        </w:tc>
      </w:tr>
      <w:tr w14:paraId="26B96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FA647">
            <w:pPr>
              <w:pStyle w:val="11"/>
            </w:pPr>
            <w:r>
              <w:t>资金支出计划（%）</w:t>
            </w:r>
          </w:p>
        </w:tc>
        <w:tc>
          <w:tcPr>
            <w:tcW w:w="5103" w:type="dxa"/>
            <w:gridSpan w:val="2"/>
            <w:vAlign w:val="center"/>
          </w:tcPr>
          <w:p w14:paraId="70B450C8">
            <w:pPr>
              <w:pStyle w:val="11"/>
            </w:pPr>
            <w:r>
              <w:t>3月底</w:t>
            </w:r>
          </w:p>
        </w:tc>
        <w:tc>
          <w:tcPr>
            <w:tcW w:w="2835" w:type="dxa"/>
            <w:vAlign w:val="center"/>
          </w:tcPr>
          <w:p w14:paraId="520E933B">
            <w:pPr>
              <w:pStyle w:val="11"/>
            </w:pPr>
            <w:r>
              <w:t>6月底</w:t>
            </w:r>
          </w:p>
        </w:tc>
        <w:tc>
          <w:tcPr>
            <w:tcW w:w="2551" w:type="dxa"/>
            <w:vAlign w:val="center"/>
          </w:tcPr>
          <w:p w14:paraId="3D7FB5DD">
            <w:pPr>
              <w:pStyle w:val="11"/>
            </w:pPr>
            <w:r>
              <w:t>10月底</w:t>
            </w:r>
          </w:p>
        </w:tc>
        <w:tc>
          <w:tcPr>
            <w:tcW w:w="3544" w:type="dxa"/>
            <w:gridSpan w:val="2"/>
            <w:vAlign w:val="center"/>
          </w:tcPr>
          <w:p w14:paraId="536C8ACF">
            <w:pPr>
              <w:pStyle w:val="11"/>
            </w:pPr>
            <w:r>
              <w:t>12月底</w:t>
            </w:r>
          </w:p>
        </w:tc>
      </w:tr>
      <w:tr w14:paraId="1956D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C95D54"/>
        </w:tc>
        <w:tc>
          <w:tcPr>
            <w:tcW w:w="5103" w:type="dxa"/>
            <w:gridSpan w:val="2"/>
            <w:vAlign w:val="center"/>
          </w:tcPr>
          <w:p w14:paraId="71467285">
            <w:pPr>
              <w:pStyle w:val="12"/>
            </w:pPr>
            <w:r>
              <w:t>50%</w:t>
            </w:r>
          </w:p>
        </w:tc>
        <w:tc>
          <w:tcPr>
            <w:tcW w:w="2835" w:type="dxa"/>
            <w:vAlign w:val="center"/>
          </w:tcPr>
          <w:p w14:paraId="2E07E82D">
            <w:pPr>
              <w:pStyle w:val="12"/>
            </w:pPr>
            <w:r>
              <w:t>50%</w:t>
            </w:r>
          </w:p>
        </w:tc>
        <w:tc>
          <w:tcPr>
            <w:tcW w:w="2551" w:type="dxa"/>
            <w:vAlign w:val="center"/>
          </w:tcPr>
          <w:p w14:paraId="0D079599">
            <w:pPr>
              <w:pStyle w:val="12"/>
            </w:pPr>
            <w:r>
              <w:t>100%</w:t>
            </w:r>
          </w:p>
        </w:tc>
        <w:tc>
          <w:tcPr>
            <w:tcW w:w="3544" w:type="dxa"/>
            <w:gridSpan w:val="2"/>
            <w:vAlign w:val="center"/>
          </w:tcPr>
          <w:p w14:paraId="09FC8DA4">
            <w:pPr>
              <w:pStyle w:val="12"/>
            </w:pPr>
            <w:r>
              <w:t>100%</w:t>
            </w:r>
          </w:p>
        </w:tc>
      </w:tr>
      <w:tr w14:paraId="2CFDC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D1CDE">
            <w:pPr>
              <w:pStyle w:val="11"/>
            </w:pPr>
            <w:r>
              <w:t>绩效目标</w:t>
            </w:r>
          </w:p>
        </w:tc>
        <w:tc>
          <w:tcPr>
            <w:tcW w:w="14033" w:type="dxa"/>
            <w:gridSpan w:val="6"/>
            <w:vAlign w:val="center"/>
          </w:tcPr>
          <w:p w14:paraId="5674BCE3">
            <w:pPr>
              <w:pStyle w:val="13"/>
            </w:pPr>
            <w:r>
              <w:t>1.保证本年度资助经费足额落实到位，符合享受资助条件的学生应助尽助。</w:t>
            </w:r>
          </w:p>
          <w:p w14:paraId="41F2F4B4">
            <w:pPr>
              <w:pStyle w:val="13"/>
            </w:pPr>
            <w:r>
              <w:t>2.保障落实建档立卡及家庭经济困难儿童资助所需资金，确保建档立卡等家庭经济困难幼儿优先获得资助</w:t>
            </w:r>
          </w:p>
        </w:tc>
      </w:tr>
    </w:tbl>
    <w:p w14:paraId="3B23A0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2F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0DE49">
            <w:pPr>
              <w:pStyle w:val="11"/>
            </w:pPr>
            <w:r>
              <w:t>一级指标</w:t>
            </w:r>
          </w:p>
        </w:tc>
        <w:tc>
          <w:tcPr>
            <w:tcW w:w="2268" w:type="dxa"/>
            <w:vAlign w:val="center"/>
          </w:tcPr>
          <w:p w14:paraId="209230BC">
            <w:pPr>
              <w:pStyle w:val="11"/>
            </w:pPr>
            <w:r>
              <w:t>二级指标</w:t>
            </w:r>
          </w:p>
        </w:tc>
        <w:tc>
          <w:tcPr>
            <w:tcW w:w="2835" w:type="dxa"/>
            <w:vAlign w:val="center"/>
          </w:tcPr>
          <w:p w14:paraId="69FDA896">
            <w:pPr>
              <w:pStyle w:val="11"/>
            </w:pPr>
            <w:r>
              <w:t>三级指标</w:t>
            </w:r>
          </w:p>
        </w:tc>
        <w:tc>
          <w:tcPr>
            <w:tcW w:w="5386" w:type="dxa"/>
            <w:vAlign w:val="center"/>
          </w:tcPr>
          <w:p w14:paraId="53B1616C">
            <w:pPr>
              <w:pStyle w:val="11"/>
            </w:pPr>
            <w:r>
              <w:t>绩效指标描述</w:t>
            </w:r>
          </w:p>
        </w:tc>
        <w:tc>
          <w:tcPr>
            <w:tcW w:w="2268" w:type="dxa"/>
            <w:vAlign w:val="center"/>
          </w:tcPr>
          <w:p w14:paraId="4DA2F265">
            <w:pPr>
              <w:pStyle w:val="11"/>
            </w:pPr>
            <w:r>
              <w:t>指标值</w:t>
            </w:r>
          </w:p>
        </w:tc>
        <w:tc>
          <w:tcPr>
            <w:tcW w:w="1276" w:type="dxa"/>
            <w:vAlign w:val="center"/>
          </w:tcPr>
          <w:p w14:paraId="3E7571DB">
            <w:pPr>
              <w:pStyle w:val="11"/>
            </w:pPr>
            <w:r>
              <w:t>指标值确定依据</w:t>
            </w:r>
          </w:p>
        </w:tc>
      </w:tr>
      <w:tr w14:paraId="03815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0F480">
            <w:pPr>
              <w:pStyle w:val="12"/>
            </w:pPr>
            <w:r>
              <w:t>产出指标</w:t>
            </w:r>
          </w:p>
        </w:tc>
        <w:tc>
          <w:tcPr>
            <w:tcW w:w="2268" w:type="dxa"/>
            <w:vAlign w:val="center"/>
          </w:tcPr>
          <w:p w14:paraId="1B1D2BB4">
            <w:pPr>
              <w:pStyle w:val="13"/>
            </w:pPr>
            <w:r>
              <w:t>成本指标</w:t>
            </w:r>
          </w:p>
        </w:tc>
        <w:tc>
          <w:tcPr>
            <w:tcW w:w="2835" w:type="dxa"/>
            <w:vAlign w:val="center"/>
          </w:tcPr>
          <w:p w14:paraId="1D5B967C">
            <w:pPr>
              <w:pStyle w:val="13"/>
            </w:pPr>
            <w:r>
              <w:t>幼儿园资助标准</w:t>
            </w:r>
          </w:p>
        </w:tc>
        <w:tc>
          <w:tcPr>
            <w:tcW w:w="5386" w:type="dxa"/>
            <w:vAlign w:val="center"/>
          </w:tcPr>
          <w:p w14:paraId="0056D577">
            <w:pPr>
              <w:pStyle w:val="13"/>
            </w:pPr>
            <w:r>
              <w:t>按照幼儿园资助标准1000元/生/年</w:t>
            </w:r>
          </w:p>
        </w:tc>
        <w:tc>
          <w:tcPr>
            <w:tcW w:w="2268" w:type="dxa"/>
            <w:vAlign w:val="center"/>
          </w:tcPr>
          <w:p w14:paraId="207F73BB">
            <w:pPr>
              <w:pStyle w:val="13"/>
            </w:pPr>
            <w:r>
              <w:t>1000元/生/年</w:t>
            </w:r>
          </w:p>
        </w:tc>
        <w:tc>
          <w:tcPr>
            <w:tcW w:w="1276" w:type="dxa"/>
            <w:vAlign w:val="center"/>
          </w:tcPr>
          <w:p w14:paraId="3713CD3E">
            <w:pPr>
              <w:pStyle w:val="13"/>
            </w:pPr>
            <w:r>
              <w:t>幼儿资助经费管理办法</w:t>
            </w:r>
          </w:p>
        </w:tc>
      </w:tr>
      <w:tr w14:paraId="14074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BFAA2"/>
        </w:tc>
        <w:tc>
          <w:tcPr>
            <w:tcW w:w="2268" w:type="dxa"/>
            <w:vAlign w:val="center"/>
          </w:tcPr>
          <w:p w14:paraId="47CF391E">
            <w:pPr>
              <w:pStyle w:val="13"/>
            </w:pPr>
            <w:r>
              <w:t>数量指标</w:t>
            </w:r>
          </w:p>
        </w:tc>
        <w:tc>
          <w:tcPr>
            <w:tcW w:w="2835" w:type="dxa"/>
            <w:vAlign w:val="center"/>
          </w:tcPr>
          <w:p w14:paraId="20F0B091">
            <w:pPr>
              <w:pStyle w:val="13"/>
            </w:pPr>
            <w:r>
              <w:t>幼儿资助比例</w:t>
            </w:r>
          </w:p>
        </w:tc>
        <w:tc>
          <w:tcPr>
            <w:tcW w:w="5386" w:type="dxa"/>
            <w:vAlign w:val="center"/>
          </w:tcPr>
          <w:p w14:paraId="52F1D981">
            <w:pPr>
              <w:pStyle w:val="13"/>
            </w:pPr>
            <w:r>
              <w:t>按学前适龄在园儿童10%测算</w:t>
            </w:r>
          </w:p>
        </w:tc>
        <w:tc>
          <w:tcPr>
            <w:tcW w:w="2268" w:type="dxa"/>
            <w:vAlign w:val="center"/>
          </w:tcPr>
          <w:p w14:paraId="4F4E5FA9">
            <w:pPr>
              <w:pStyle w:val="13"/>
            </w:pPr>
            <w:r>
              <w:t>≥10%</w:t>
            </w:r>
          </w:p>
        </w:tc>
        <w:tc>
          <w:tcPr>
            <w:tcW w:w="1276" w:type="dxa"/>
            <w:vAlign w:val="center"/>
          </w:tcPr>
          <w:p w14:paraId="182E8791">
            <w:pPr>
              <w:pStyle w:val="13"/>
            </w:pPr>
            <w:r>
              <w:t>幼儿资助经费管理办法</w:t>
            </w:r>
          </w:p>
        </w:tc>
      </w:tr>
      <w:tr w14:paraId="57D73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21C3C"/>
        </w:tc>
        <w:tc>
          <w:tcPr>
            <w:tcW w:w="2268" w:type="dxa"/>
            <w:vAlign w:val="center"/>
          </w:tcPr>
          <w:p w14:paraId="39500091">
            <w:pPr>
              <w:pStyle w:val="13"/>
            </w:pPr>
            <w:r>
              <w:t>质量指标</w:t>
            </w:r>
          </w:p>
        </w:tc>
        <w:tc>
          <w:tcPr>
            <w:tcW w:w="2835" w:type="dxa"/>
            <w:vAlign w:val="center"/>
          </w:tcPr>
          <w:p w14:paraId="60E422EB">
            <w:pPr>
              <w:pStyle w:val="13"/>
            </w:pPr>
            <w:r>
              <w:t>学前教育资助制度落实情况</w:t>
            </w:r>
          </w:p>
        </w:tc>
        <w:tc>
          <w:tcPr>
            <w:tcW w:w="5386" w:type="dxa"/>
            <w:vAlign w:val="center"/>
          </w:tcPr>
          <w:p w14:paraId="4E613AB5">
            <w:pPr>
              <w:pStyle w:val="13"/>
            </w:pPr>
            <w:r>
              <w:t>符合享受资助条件的学生应助尽助</w:t>
            </w:r>
          </w:p>
        </w:tc>
        <w:tc>
          <w:tcPr>
            <w:tcW w:w="2268" w:type="dxa"/>
            <w:vAlign w:val="center"/>
          </w:tcPr>
          <w:p w14:paraId="4DAB1D17">
            <w:pPr>
              <w:pStyle w:val="13"/>
            </w:pPr>
            <w:r>
              <w:t>≥100%</w:t>
            </w:r>
          </w:p>
        </w:tc>
        <w:tc>
          <w:tcPr>
            <w:tcW w:w="1276" w:type="dxa"/>
            <w:vAlign w:val="center"/>
          </w:tcPr>
          <w:p w14:paraId="1B56DFC4">
            <w:pPr>
              <w:pStyle w:val="13"/>
            </w:pPr>
            <w:r>
              <w:t>幼儿资助经费管理办法</w:t>
            </w:r>
          </w:p>
        </w:tc>
      </w:tr>
      <w:tr w14:paraId="31120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E6CB0"/>
        </w:tc>
        <w:tc>
          <w:tcPr>
            <w:tcW w:w="2268" w:type="dxa"/>
            <w:vAlign w:val="center"/>
          </w:tcPr>
          <w:p w14:paraId="657BD023">
            <w:pPr>
              <w:pStyle w:val="13"/>
            </w:pPr>
            <w:r>
              <w:t>时效指标</w:t>
            </w:r>
          </w:p>
        </w:tc>
        <w:tc>
          <w:tcPr>
            <w:tcW w:w="2835" w:type="dxa"/>
            <w:vAlign w:val="center"/>
          </w:tcPr>
          <w:p w14:paraId="47B1E5AE">
            <w:pPr>
              <w:pStyle w:val="13"/>
            </w:pPr>
            <w:r>
              <w:t>资金拨付率</w:t>
            </w:r>
          </w:p>
        </w:tc>
        <w:tc>
          <w:tcPr>
            <w:tcW w:w="5386" w:type="dxa"/>
            <w:vAlign w:val="center"/>
          </w:tcPr>
          <w:p w14:paraId="7CA74A1B">
            <w:pPr>
              <w:pStyle w:val="13"/>
            </w:pPr>
            <w:r>
              <w:t>所有项目资金支付进度</w:t>
            </w:r>
          </w:p>
        </w:tc>
        <w:tc>
          <w:tcPr>
            <w:tcW w:w="2268" w:type="dxa"/>
            <w:vAlign w:val="center"/>
          </w:tcPr>
          <w:p w14:paraId="2723A5E3">
            <w:pPr>
              <w:pStyle w:val="13"/>
            </w:pPr>
            <w:r>
              <w:t>≥100%</w:t>
            </w:r>
          </w:p>
        </w:tc>
        <w:tc>
          <w:tcPr>
            <w:tcW w:w="1276" w:type="dxa"/>
            <w:vAlign w:val="center"/>
          </w:tcPr>
          <w:p w14:paraId="056E9AC7">
            <w:pPr>
              <w:pStyle w:val="13"/>
            </w:pPr>
            <w:r>
              <w:t>幼儿资助经费管理办法</w:t>
            </w:r>
          </w:p>
        </w:tc>
      </w:tr>
      <w:tr w14:paraId="4A937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752B38">
            <w:pPr>
              <w:pStyle w:val="12"/>
            </w:pPr>
            <w:r>
              <w:t>效益指标</w:t>
            </w:r>
          </w:p>
        </w:tc>
        <w:tc>
          <w:tcPr>
            <w:tcW w:w="2268" w:type="dxa"/>
            <w:vAlign w:val="center"/>
          </w:tcPr>
          <w:p w14:paraId="7C8FFDCE">
            <w:pPr>
              <w:pStyle w:val="13"/>
            </w:pPr>
            <w:r>
              <w:t>可持续影响指标</w:t>
            </w:r>
          </w:p>
        </w:tc>
        <w:tc>
          <w:tcPr>
            <w:tcW w:w="2835" w:type="dxa"/>
            <w:vAlign w:val="center"/>
          </w:tcPr>
          <w:p w14:paraId="4BFC33D5">
            <w:pPr>
              <w:pStyle w:val="13"/>
            </w:pPr>
            <w:r>
              <w:t>幼儿园运转</w:t>
            </w:r>
          </w:p>
        </w:tc>
        <w:tc>
          <w:tcPr>
            <w:tcW w:w="5386" w:type="dxa"/>
            <w:vAlign w:val="center"/>
          </w:tcPr>
          <w:p w14:paraId="62B240B7">
            <w:pPr>
              <w:pStyle w:val="13"/>
            </w:pPr>
            <w:r>
              <w:t>幼儿受教育年限</w:t>
            </w:r>
          </w:p>
        </w:tc>
        <w:tc>
          <w:tcPr>
            <w:tcW w:w="2268" w:type="dxa"/>
            <w:vAlign w:val="center"/>
          </w:tcPr>
          <w:p w14:paraId="504B46D2">
            <w:pPr>
              <w:pStyle w:val="13"/>
            </w:pPr>
            <w:r>
              <w:t>3年</w:t>
            </w:r>
          </w:p>
        </w:tc>
        <w:tc>
          <w:tcPr>
            <w:tcW w:w="1276" w:type="dxa"/>
            <w:vAlign w:val="center"/>
          </w:tcPr>
          <w:p w14:paraId="39BC7F32">
            <w:pPr>
              <w:pStyle w:val="13"/>
            </w:pPr>
            <w:r>
              <w:t>幼儿资助经费管理办法</w:t>
            </w:r>
          </w:p>
        </w:tc>
      </w:tr>
      <w:tr w14:paraId="4A592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226FE8">
            <w:pPr>
              <w:pStyle w:val="12"/>
            </w:pPr>
            <w:r>
              <w:t>满意度指标</w:t>
            </w:r>
          </w:p>
        </w:tc>
        <w:tc>
          <w:tcPr>
            <w:tcW w:w="2268" w:type="dxa"/>
            <w:vAlign w:val="center"/>
          </w:tcPr>
          <w:p w14:paraId="76E134C1">
            <w:pPr>
              <w:pStyle w:val="13"/>
            </w:pPr>
            <w:r>
              <w:t>服务对象满意度指标</w:t>
            </w:r>
          </w:p>
        </w:tc>
        <w:tc>
          <w:tcPr>
            <w:tcW w:w="2835" w:type="dxa"/>
            <w:vAlign w:val="center"/>
          </w:tcPr>
          <w:p w14:paraId="11583121">
            <w:pPr>
              <w:pStyle w:val="13"/>
            </w:pPr>
            <w:r>
              <w:t>受益幼儿家长及调查满意度</w:t>
            </w:r>
          </w:p>
        </w:tc>
        <w:tc>
          <w:tcPr>
            <w:tcW w:w="5386" w:type="dxa"/>
            <w:vAlign w:val="center"/>
          </w:tcPr>
          <w:p w14:paraId="3BBE4FEF">
            <w:pPr>
              <w:pStyle w:val="13"/>
            </w:pPr>
            <w:r>
              <w:t>学生、教师及家长对学校保教保育工作满意度情况</w:t>
            </w:r>
          </w:p>
        </w:tc>
        <w:tc>
          <w:tcPr>
            <w:tcW w:w="2268" w:type="dxa"/>
            <w:vAlign w:val="center"/>
          </w:tcPr>
          <w:p w14:paraId="2B9E883C">
            <w:pPr>
              <w:pStyle w:val="13"/>
            </w:pPr>
            <w:r>
              <w:t>≥95%</w:t>
            </w:r>
          </w:p>
        </w:tc>
        <w:tc>
          <w:tcPr>
            <w:tcW w:w="1276" w:type="dxa"/>
            <w:vAlign w:val="center"/>
          </w:tcPr>
          <w:p w14:paraId="0397E5BF">
            <w:pPr>
              <w:pStyle w:val="13"/>
            </w:pPr>
            <w:r>
              <w:t>幼儿资助经费管理办法</w:t>
            </w:r>
          </w:p>
        </w:tc>
      </w:tr>
    </w:tbl>
    <w:p w14:paraId="26EC4444">
      <w:pPr>
        <w:sectPr>
          <w:pgSz w:w="16840" w:h="11900" w:orient="landscape"/>
          <w:pgMar w:top="1361" w:right="1020" w:bottom="1134" w:left="1020" w:header="720" w:footer="720" w:gutter="0"/>
          <w:cols w:space="720" w:num="1"/>
        </w:sectPr>
      </w:pPr>
    </w:p>
    <w:p w14:paraId="4C98E34B">
      <w:pPr>
        <w:spacing w:before="0" w:after="0"/>
        <w:ind w:firstLine="560"/>
        <w:jc w:val="left"/>
        <w:outlineLvl w:val="9"/>
      </w:pPr>
      <w:r>
        <w:rPr>
          <w:rFonts w:ascii="方正仿宋_GBK" w:hAnsi="方正仿宋_GBK" w:eastAsia="方正仿宋_GBK" w:cs="方正仿宋_GBK"/>
          <w:b/>
          <w:color w:val="000000"/>
          <w:sz w:val="28"/>
        </w:rPr>
        <w:t>29、县级资金/双碑校区幼儿园公用经费绩效目标表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90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C8EBE">
            <w:pPr>
              <w:pStyle w:val="14"/>
            </w:pPr>
            <w:r>
              <w:t>单位：万元</w:t>
            </w:r>
          </w:p>
        </w:tc>
      </w:tr>
      <w:tr w14:paraId="4CCD4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17DC0">
            <w:pPr>
              <w:pStyle w:val="11"/>
            </w:pPr>
            <w:r>
              <w:t>项目编码</w:t>
            </w:r>
          </w:p>
        </w:tc>
        <w:tc>
          <w:tcPr>
            <w:tcW w:w="5103" w:type="dxa"/>
            <w:gridSpan w:val="2"/>
            <w:vAlign w:val="center"/>
          </w:tcPr>
          <w:p w14:paraId="1961AEC5">
            <w:pPr>
              <w:pStyle w:val="13"/>
            </w:pPr>
            <w:r>
              <w:t>13052524P00875610076L</w:t>
            </w:r>
          </w:p>
        </w:tc>
        <w:tc>
          <w:tcPr>
            <w:tcW w:w="2835" w:type="dxa"/>
            <w:vAlign w:val="center"/>
          </w:tcPr>
          <w:p w14:paraId="1B34EFF5">
            <w:pPr>
              <w:pStyle w:val="11"/>
            </w:pPr>
            <w:r>
              <w:t>项目名称</w:t>
            </w:r>
          </w:p>
        </w:tc>
        <w:tc>
          <w:tcPr>
            <w:tcW w:w="6095" w:type="dxa"/>
            <w:gridSpan w:val="3"/>
            <w:vAlign w:val="center"/>
          </w:tcPr>
          <w:p w14:paraId="6DE44652">
            <w:pPr>
              <w:pStyle w:val="13"/>
            </w:pPr>
            <w:r>
              <w:t>县级资金/双碑校区幼儿园公用经费</w:t>
            </w:r>
          </w:p>
        </w:tc>
      </w:tr>
      <w:tr w14:paraId="66824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63A8A">
            <w:pPr>
              <w:pStyle w:val="11"/>
            </w:pPr>
            <w:r>
              <w:t>预算规模及资金用途</w:t>
            </w:r>
          </w:p>
        </w:tc>
        <w:tc>
          <w:tcPr>
            <w:tcW w:w="2268" w:type="dxa"/>
            <w:vAlign w:val="center"/>
          </w:tcPr>
          <w:p w14:paraId="124C317B">
            <w:pPr>
              <w:pStyle w:val="11"/>
            </w:pPr>
            <w:r>
              <w:t>预算数</w:t>
            </w:r>
          </w:p>
        </w:tc>
        <w:tc>
          <w:tcPr>
            <w:tcW w:w="2835" w:type="dxa"/>
            <w:vAlign w:val="center"/>
          </w:tcPr>
          <w:p w14:paraId="1E0648D4">
            <w:pPr>
              <w:pStyle w:val="13"/>
            </w:pPr>
            <w:r>
              <w:t>18.72</w:t>
            </w:r>
          </w:p>
        </w:tc>
        <w:tc>
          <w:tcPr>
            <w:tcW w:w="2835" w:type="dxa"/>
            <w:vAlign w:val="center"/>
          </w:tcPr>
          <w:p w14:paraId="6F2C0321">
            <w:pPr>
              <w:pStyle w:val="11"/>
            </w:pPr>
            <w:r>
              <w:t>其中：财政    资金</w:t>
            </w:r>
          </w:p>
        </w:tc>
        <w:tc>
          <w:tcPr>
            <w:tcW w:w="2551" w:type="dxa"/>
            <w:vAlign w:val="center"/>
          </w:tcPr>
          <w:p w14:paraId="75AA13EF">
            <w:pPr>
              <w:pStyle w:val="13"/>
            </w:pPr>
            <w:r>
              <w:t>18.72</w:t>
            </w:r>
          </w:p>
        </w:tc>
        <w:tc>
          <w:tcPr>
            <w:tcW w:w="2268" w:type="dxa"/>
            <w:vAlign w:val="center"/>
          </w:tcPr>
          <w:p w14:paraId="262925CE">
            <w:pPr>
              <w:pStyle w:val="11"/>
            </w:pPr>
            <w:r>
              <w:t>其他资金</w:t>
            </w:r>
          </w:p>
        </w:tc>
        <w:tc>
          <w:tcPr>
            <w:tcW w:w="1276" w:type="dxa"/>
            <w:vAlign w:val="center"/>
          </w:tcPr>
          <w:p w14:paraId="7DAC4825">
            <w:pPr>
              <w:pStyle w:val="13"/>
            </w:pPr>
            <w:r>
              <w:t xml:space="preserve"> </w:t>
            </w:r>
          </w:p>
        </w:tc>
      </w:tr>
      <w:tr w14:paraId="5A9C4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0B7DD"/>
        </w:tc>
        <w:tc>
          <w:tcPr>
            <w:tcW w:w="14033" w:type="dxa"/>
            <w:gridSpan w:val="6"/>
            <w:vAlign w:val="center"/>
          </w:tcPr>
          <w:p w14:paraId="439C4CEC">
            <w:pPr>
              <w:pStyle w:val="13"/>
            </w:pPr>
            <w:r>
              <w:t xml:space="preserve"> 保障幼儿园正常运转，完成教育教学活动和其他日常工作任务等方面的费用支出。</w:t>
            </w:r>
          </w:p>
        </w:tc>
      </w:tr>
      <w:tr w14:paraId="3996C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80C2B">
            <w:pPr>
              <w:pStyle w:val="11"/>
            </w:pPr>
            <w:r>
              <w:t>资金支出计划（%）</w:t>
            </w:r>
          </w:p>
        </w:tc>
        <w:tc>
          <w:tcPr>
            <w:tcW w:w="5103" w:type="dxa"/>
            <w:gridSpan w:val="2"/>
            <w:vAlign w:val="center"/>
          </w:tcPr>
          <w:p w14:paraId="514A7D5D">
            <w:pPr>
              <w:pStyle w:val="11"/>
            </w:pPr>
            <w:r>
              <w:t>3月底</w:t>
            </w:r>
          </w:p>
        </w:tc>
        <w:tc>
          <w:tcPr>
            <w:tcW w:w="2835" w:type="dxa"/>
            <w:vAlign w:val="center"/>
          </w:tcPr>
          <w:p w14:paraId="0A56D997">
            <w:pPr>
              <w:pStyle w:val="11"/>
            </w:pPr>
            <w:r>
              <w:t>6月底</w:t>
            </w:r>
          </w:p>
        </w:tc>
        <w:tc>
          <w:tcPr>
            <w:tcW w:w="2551" w:type="dxa"/>
            <w:vAlign w:val="center"/>
          </w:tcPr>
          <w:p w14:paraId="19A227BB">
            <w:pPr>
              <w:pStyle w:val="11"/>
            </w:pPr>
            <w:r>
              <w:t>10月底</w:t>
            </w:r>
          </w:p>
        </w:tc>
        <w:tc>
          <w:tcPr>
            <w:tcW w:w="3544" w:type="dxa"/>
            <w:gridSpan w:val="2"/>
            <w:vAlign w:val="center"/>
          </w:tcPr>
          <w:p w14:paraId="405D2F0F">
            <w:pPr>
              <w:pStyle w:val="11"/>
            </w:pPr>
            <w:r>
              <w:t>12月底</w:t>
            </w:r>
          </w:p>
        </w:tc>
      </w:tr>
      <w:tr w14:paraId="5FDB4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80D6F9"/>
        </w:tc>
        <w:tc>
          <w:tcPr>
            <w:tcW w:w="5103" w:type="dxa"/>
            <w:gridSpan w:val="2"/>
            <w:vAlign w:val="center"/>
          </w:tcPr>
          <w:p w14:paraId="1CD41AFF">
            <w:pPr>
              <w:pStyle w:val="12"/>
            </w:pPr>
            <w:r>
              <w:t>25%</w:t>
            </w:r>
          </w:p>
        </w:tc>
        <w:tc>
          <w:tcPr>
            <w:tcW w:w="2835" w:type="dxa"/>
            <w:vAlign w:val="center"/>
          </w:tcPr>
          <w:p w14:paraId="51C2BABF">
            <w:pPr>
              <w:pStyle w:val="12"/>
            </w:pPr>
            <w:r>
              <w:t>50%</w:t>
            </w:r>
          </w:p>
        </w:tc>
        <w:tc>
          <w:tcPr>
            <w:tcW w:w="2551" w:type="dxa"/>
            <w:vAlign w:val="center"/>
          </w:tcPr>
          <w:p w14:paraId="6BB4AEFD">
            <w:pPr>
              <w:pStyle w:val="12"/>
            </w:pPr>
            <w:r>
              <w:t>75%</w:t>
            </w:r>
          </w:p>
        </w:tc>
        <w:tc>
          <w:tcPr>
            <w:tcW w:w="3544" w:type="dxa"/>
            <w:gridSpan w:val="2"/>
            <w:vAlign w:val="center"/>
          </w:tcPr>
          <w:p w14:paraId="29C225A1">
            <w:pPr>
              <w:pStyle w:val="12"/>
            </w:pPr>
            <w:r>
              <w:t>100%</w:t>
            </w:r>
          </w:p>
        </w:tc>
      </w:tr>
      <w:tr w14:paraId="05D51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3D6FE1">
            <w:pPr>
              <w:pStyle w:val="11"/>
            </w:pPr>
            <w:r>
              <w:t>绩效目标</w:t>
            </w:r>
          </w:p>
        </w:tc>
        <w:tc>
          <w:tcPr>
            <w:tcW w:w="14033" w:type="dxa"/>
            <w:gridSpan w:val="6"/>
            <w:vAlign w:val="center"/>
          </w:tcPr>
          <w:p w14:paraId="07E4FD1F">
            <w:pPr>
              <w:pStyle w:val="13"/>
            </w:pPr>
            <w:r>
              <w:t>1. 保障幼儿园正常运转，完成教育教学活动和其他日常工作任务等方面的费用支出。</w:t>
            </w:r>
          </w:p>
          <w:p w14:paraId="7BF3957E">
            <w:pPr>
              <w:pStyle w:val="13"/>
            </w:pPr>
            <w:r>
              <w:t>2.按季度分批次拨付公用经费资金，资金拨付率达到100%。</w:t>
            </w:r>
          </w:p>
        </w:tc>
      </w:tr>
    </w:tbl>
    <w:p w14:paraId="015A69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0ED01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6DBBC">
            <w:pPr>
              <w:pStyle w:val="11"/>
            </w:pPr>
            <w:r>
              <w:t>一级指标</w:t>
            </w:r>
          </w:p>
        </w:tc>
        <w:tc>
          <w:tcPr>
            <w:tcW w:w="2268" w:type="dxa"/>
            <w:vAlign w:val="center"/>
          </w:tcPr>
          <w:p w14:paraId="5BFDDFE4">
            <w:pPr>
              <w:pStyle w:val="11"/>
            </w:pPr>
            <w:r>
              <w:t>二级指标</w:t>
            </w:r>
          </w:p>
        </w:tc>
        <w:tc>
          <w:tcPr>
            <w:tcW w:w="2835" w:type="dxa"/>
            <w:vAlign w:val="center"/>
          </w:tcPr>
          <w:p w14:paraId="38F0E56C">
            <w:pPr>
              <w:pStyle w:val="11"/>
            </w:pPr>
            <w:r>
              <w:t>三级指标</w:t>
            </w:r>
          </w:p>
        </w:tc>
        <w:tc>
          <w:tcPr>
            <w:tcW w:w="5386" w:type="dxa"/>
            <w:vAlign w:val="center"/>
          </w:tcPr>
          <w:p w14:paraId="66D22DDF">
            <w:pPr>
              <w:pStyle w:val="11"/>
            </w:pPr>
            <w:r>
              <w:t>绩效指标描述</w:t>
            </w:r>
          </w:p>
        </w:tc>
        <w:tc>
          <w:tcPr>
            <w:tcW w:w="1613" w:type="dxa"/>
            <w:vAlign w:val="center"/>
          </w:tcPr>
          <w:p w14:paraId="5379D7DD">
            <w:pPr>
              <w:pStyle w:val="11"/>
            </w:pPr>
            <w:r>
              <w:t>指标值</w:t>
            </w:r>
          </w:p>
        </w:tc>
        <w:tc>
          <w:tcPr>
            <w:tcW w:w="1931" w:type="dxa"/>
            <w:vAlign w:val="center"/>
          </w:tcPr>
          <w:p w14:paraId="7596B3C8">
            <w:pPr>
              <w:pStyle w:val="11"/>
            </w:pPr>
            <w:r>
              <w:t>指标值确定依据</w:t>
            </w:r>
          </w:p>
        </w:tc>
      </w:tr>
      <w:tr w14:paraId="65B9D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A3704">
            <w:pPr>
              <w:pStyle w:val="12"/>
            </w:pPr>
            <w:r>
              <w:t>产出指标</w:t>
            </w:r>
          </w:p>
        </w:tc>
        <w:tc>
          <w:tcPr>
            <w:tcW w:w="2268" w:type="dxa"/>
            <w:vAlign w:val="center"/>
          </w:tcPr>
          <w:p w14:paraId="035651D6">
            <w:pPr>
              <w:pStyle w:val="13"/>
            </w:pPr>
            <w:r>
              <w:t>数量指标</w:t>
            </w:r>
          </w:p>
        </w:tc>
        <w:tc>
          <w:tcPr>
            <w:tcW w:w="2835" w:type="dxa"/>
            <w:vAlign w:val="center"/>
          </w:tcPr>
          <w:p w14:paraId="578912FA">
            <w:pPr>
              <w:pStyle w:val="13"/>
            </w:pPr>
            <w:r>
              <w:t>适龄在园生</w:t>
            </w:r>
          </w:p>
        </w:tc>
        <w:tc>
          <w:tcPr>
            <w:tcW w:w="5386" w:type="dxa"/>
            <w:vAlign w:val="center"/>
          </w:tcPr>
          <w:p w14:paraId="247F7C76">
            <w:pPr>
              <w:pStyle w:val="13"/>
            </w:pPr>
            <w:r>
              <w:t>适龄在园学生人数</w:t>
            </w:r>
          </w:p>
        </w:tc>
        <w:tc>
          <w:tcPr>
            <w:tcW w:w="1613" w:type="dxa"/>
            <w:vAlign w:val="center"/>
          </w:tcPr>
          <w:p w14:paraId="5DA1961E">
            <w:pPr>
              <w:pStyle w:val="13"/>
            </w:pPr>
            <w:r>
              <w:t>416人</w:t>
            </w:r>
          </w:p>
        </w:tc>
        <w:tc>
          <w:tcPr>
            <w:tcW w:w="1931" w:type="dxa"/>
            <w:vAlign w:val="center"/>
          </w:tcPr>
          <w:p w14:paraId="6BE0B041">
            <w:pPr>
              <w:pStyle w:val="13"/>
            </w:pPr>
            <w:r>
              <w:t>支持学前教育发展县级资金管理方法</w:t>
            </w:r>
          </w:p>
        </w:tc>
      </w:tr>
      <w:tr w14:paraId="1E367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F829D"/>
        </w:tc>
        <w:tc>
          <w:tcPr>
            <w:tcW w:w="2268" w:type="dxa"/>
            <w:vAlign w:val="center"/>
          </w:tcPr>
          <w:p w14:paraId="352484B8">
            <w:pPr>
              <w:pStyle w:val="13"/>
            </w:pPr>
            <w:r>
              <w:t>质量指标</w:t>
            </w:r>
          </w:p>
        </w:tc>
        <w:tc>
          <w:tcPr>
            <w:tcW w:w="2835" w:type="dxa"/>
            <w:vAlign w:val="center"/>
          </w:tcPr>
          <w:p w14:paraId="141BEE22">
            <w:pPr>
              <w:pStyle w:val="13"/>
            </w:pPr>
            <w:r>
              <w:t>预算控制率</w:t>
            </w:r>
          </w:p>
        </w:tc>
        <w:tc>
          <w:tcPr>
            <w:tcW w:w="5386" w:type="dxa"/>
            <w:vAlign w:val="center"/>
          </w:tcPr>
          <w:p w14:paraId="0D97B322">
            <w:pPr>
              <w:pStyle w:val="13"/>
            </w:pPr>
            <w:r>
              <w:t>预算执行</w:t>
            </w:r>
          </w:p>
        </w:tc>
        <w:tc>
          <w:tcPr>
            <w:tcW w:w="1613" w:type="dxa"/>
            <w:vAlign w:val="center"/>
          </w:tcPr>
          <w:p w14:paraId="7E1819F1">
            <w:pPr>
              <w:pStyle w:val="13"/>
            </w:pPr>
            <w:r>
              <w:t>≥95%</w:t>
            </w:r>
          </w:p>
        </w:tc>
        <w:tc>
          <w:tcPr>
            <w:tcW w:w="1931" w:type="dxa"/>
            <w:vAlign w:val="center"/>
          </w:tcPr>
          <w:p w14:paraId="074831AF">
            <w:pPr>
              <w:pStyle w:val="13"/>
            </w:pPr>
            <w:r>
              <w:t>支持学前教育发展县级资金管理方法</w:t>
            </w:r>
          </w:p>
        </w:tc>
      </w:tr>
      <w:tr w14:paraId="231E1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80FD0"/>
        </w:tc>
        <w:tc>
          <w:tcPr>
            <w:tcW w:w="2268" w:type="dxa"/>
            <w:vAlign w:val="center"/>
          </w:tcPr>
          <w:p w14:paraId="1976671E">
            <w:pPr>
              <w:pStyle w:val="13"/>
            </w:pPr>
            <w:r>
              <w:t>时效指标</w:t>
            </w:r>
          </w:p>
        </w:tc>
        <w:tc>
          <w:tcPr>
            <w:tcW w:w="2835" w:type="dxa"/>
            <w:vAlign w:val="center"/>
          </w:tcPr>
          <w:p w14:paraId="6D143089">
            <w:pPr>
              <w:pStyle w:val="13"/>
            </w:pPr>
            <w:r>
              <w:t>资金支付率</w:t>
            </w:r>
          </w:p>
        </w:tc>
        <w:tc>
          <w:tcPr>
            <w:tcW w:w="5386" w:type="dxa"/>
            <w:vAlign w:val="center"/>
          </w:tcPr>
          <w:p w14:paraId="2E663443">
            <w:pPr>
              <w:pStyle w:val="13"/>
            </w:pPr>
            <w:r>
              <w:t>按照序时进度完成资金支付</w:t>
            </w:r>
          </w:p>
        </w:tc>
        <w:tc>
          <w:tcPr>
            <w:tcW w:w="1613" w:type="dxa"/>
            <w:vAlign w:val="center"/>
          </w:tcPr>
          <w:p w14:paraId="5D1842F7">
            <w:pPr>
              <w:pStyle w:val="13"/>
            </w:pPr>
            <w:r>
              <w:t>100%</w:t>
            </w:r>
          </w:p>
        </w:tc>
        <w:tc>
          <w:tcPr>
            <w:tcW w:w="1931" w:type="dxa"/>
            <w:vAlign w:val="center"/>
          </w:tcPr>
          <w:p w14:paraId="44D33AAF">
            <w:pPr>
              <w:pStyle w:val="13"/>
            </w:pPr>
            <w:r>
              <w:t>支持学前教育发展县级资金管理方法</w:t>
            </w:r>
          </w:p>
        </w:tc>
      </w:tr>
      <w:tr w14:paraId="056F9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3874E"/>
        </w:tc>
        <w:tc>
          <w:tcPr>
            <w:tcW w:w="2268" w:type="dxa"/>
            <w:vAlign w:val="center"/>
          </w:tcPr>
          <w:p w14:paraId="3E5AAFED">
            <w:pPr>
              <w:pStyle w:val="13"/>
            </w:pPr>
            <w:r>
              <w:t>成本指标</w:t>
            </w:r>
          </w:p>
        </w:tc>
        <w:tc>
          <w:tcPr>
            <w:tcW w:w="2835" w:type="dxa"/>
            <w:vAlign w:val="center"/>
          </w:tcPr>
          <w:p w14:paraId="4DAD7590">
            <w:pPr>
              <w:pStyle w:val="13"/>
            </w:pPr>
            <w:r>
              <w:t>生均拨款标准</w:t>
            </w:r>
          </w:p>
        </w:tc>
        <w:tc>
          <w:tcPr>
            <w:tcW w:w="5386" w:type="dxa"/>
            <w:vAlign w:val="center"/>
          </w:tcPr>
          <w:p w14:paraId="0EFC2E7F">
            <w:pPr>
              <w:pStyle w:val="13"/>
            </w:pPr>
            <w:r>
              <w:t>学前：（基本标准600元/生/学年）</w:t>
            </w:r>
          </w:p>
        </w:tc>
        <w:tc>
          <w:tcPr>
            <w:tcW w:w="1613" w:type="dxa"/>
            <w:vAlign w:val="center"/>
          </w:tcPr>
          <w:p w14:paraId="07D71EEB">
            <w:pPr>
              <w:pStyle w:val="13"/>
            </w:pPr>
            <w:r>
              <w:t>187200元</w:t>
            </w:r>
          </w:p>
        </w:tc>
        <w:tc>
          <w:tcPr>
            <w:tcW w:w="1931" w:type="dxa"/>
            <w:vAlign w:val="center"/>
          </w:tcPr>
          <w:p w14:paraId="43A78BD3">
            <w:pPr>
              <w:pStyle w:val="13"/>
            </w:pPr>
            <w:r>
              <w:t>支持学前教育发展县级资金管理方法</w:t>
            </w:r>
          </w:p>
        </w:tc>
      </w:tr>
      <w:tr w14:paraId="4C15D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56E14">
            <w:pPr>
              <w:pStyle w:val="12"/>
            </w:pPr>
            <w:r>
              <w:t>效益指标</w:t>
            </w:r>
          </w:p>
        </w:tc>
        <w:tc>
          <w:tcPr>
            <w:tcW w:w="2268" w:type="dxa"/>
            <w:vAlign w:val="center"/>
          </w:tcPr>
          <w:p w14:paraId="76DB53E2">
            <w:pPr>
              <w:pStyle w:val="13"/>
            </w:pPr>
            <w:r>
              <w:t>社会效益指标</w:t>
            </w:r>
          </w:p>
        </w:tc>
        <w:tc>
          <w:tcPr>
            <w:tcW w:w="2835" w:type="dxa"/>
            <w:vAlign w:val="center"/>
          </w:tcPr>
          <w:p w14:paraId="68CD7246">
            <w:pPr>
              <w:pStyle w:val="13"/>
            </w:pPr>
            <w:r>
              <w:t>学校运转得到提升</w:t>
            </w:r>
          </w:p>
        </w:tc>
        <w:tc>
          <w:tcPr>
            <w:tcW w:w="5386" w:type="dxa"/>
            <w:vAlign w:val="center"/>
          </w:tcPr>
          <w:p w14:paraId="1AB1BA69">
            <w:pPr>
              <w:pStyle w:val="13"/>
            </w:pPr>
            <w:r>
              <w:t>幼儿受教育年限</w:t>
            </w:r>
          </w:p>
        </w:tc>
        <w:tc>
          <w:tcPr>
            <w:tcW w:w="1613" w:type="dxa"/>
            <w:vAlign w:val="center"/>
          </w:tcPr>
          <w:p w14:paraId="5BBD2E08">
            <w:pPr>
              <w:pStyle w:val="13"/>
            </w:pPr>
            <w:r>
              <w:t>3年</w:t>
            </w:r>
          </w:p>
        </w:tc>
        <w:tc>
          <w:tcPr>
            <w:tcW w:w="1931" w:type="dxa"/>
            <w:vAlign w:val="center"/>
          </w:tcPr>
          <w:p w14:paraId="16C33B76">
            <w:pPr>
              <w:pStyle w:val="13"/>
            </w:pPr>
            <w:r>
              <w:t>支持学前教育发展县级资金管理方法</w:t>
            </w:r>
          </w:p>
        </w:tc>
      </w:tr>
      <w:tr w14:paraId="7785A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133F9E">
            <w:pPr>
              <w:pStyle w:val="12"/>
            </w:pPr>
            <w:r>
              <w:t>满意度指标</w:t>
            </w:r>
          </w:p>
        </w:tc>
        <w:tc>
          <w:tcPr>
            <w:tcW w:w="2268" w:type="dxa"/>
            <w:vAlign w:val="center"/>
          </w:tcPr>
          <w:p w14:paraId="0EE07F29">
            <w:pPr>
              <w:pStyle w:val="13"/>
            </w:pPr>
            <w:r>
              <w:t>服务对象满意度指标</w:t>
            </w:r>
          </w:p>
        </w:tc>
        <w:tc>
          <w:tcPr>
            <w:tcW w:w="2835" w:type="dxa"/>
            <w:vAlign w:val="center"/>
          </w:tcPr>
          <w:p w14:paraId="41B4E96C">
            <w:pPr>
              <w:pStyle w:val="13"/>
            </w:pPr>
            <w:r>
              <w:t>受益学生家长及调查满意度</w:t>
            </w:r>
          </w:p>
        </w:tc>
        <w:tc>
          <w:tcPr>
            <w:tcW w:w="5386" w:type="dxa"/>
            <w:vAlign w:val="center"/>
          </w:tcPr>
          <w:p w14:paraId="0384989B">
            <w:pPr>
              <w:pStyle w:val="13"/>
            </w:pPr>
            <w:r>
              <w:t>学生、教师及家长对学校保教保育工作满意度情况</w:t>
            </w:r>
          </w:p>
        </w:tc>
        <w:tc>
          <w:tcPr>
            <w:tcW w:w="1613" w:type="dxa"/>
            <w:vAlign w:val="center"/>
          </w:tcPr>
          <w:p w14:paraId="67149301">
            <w:pPr>
              <w:pStyle w:val="13"/>
            </w:pPr>
            <w:r>
              <w:t>≥95%</w:t>
            </w:r>
          </w:p>
        </w:tc>
        <w:tc>
          <w:tcPr>
            <w:tcW w:w="1931" w:type="dxa"/>
            <w:vAlign w:val="center"/>
          </w:tcPr>
          <w:p w14:paraId="445B5A78">
            <w:pPr>
              <w:pStyle w:val="13"/>
            </w:pPr>
            <w:r>
              <w:t>支持学前教育发展县级资金管理方法</w:t>
            </w:r>
          </w:p>
        </w:tc>
      </w:tr>
    </w:tbl>
    <w:p w14:paraId="57B01DB3">
      <w:pPr>
        <w:sectPr>
          <w:pgSz w:w="16840" w:h="11900" w:orient="landscape"/>
          <w:pgMar w:top="1361" w:right="1020" w:bottom="1134" w:left="1020" w:header="720" w:footer="720" w:gutter="0"/>
          <w:cols w:space="720" w:num="1"/>
        </w:sectPr>
      </w:pPr>
    </w:p>
    <w:p w14:paraId="2D9DC25B">
      <w:pPr>
        <w:spacing w:before="0" w:after="0"/>
        <w:ind w:firstLine="560"/>
        <w:jc w:val="left"/>
        <w:outlineLvl w:val="9"/>
      </w:pPr>
      <w:r>
        <w:rPr>
          <w:rFonts w:ascii="方正仿宋_GBK" w:hAnsi="方正仿宋_GBK" w:eastAsia="方正仿宋_GBK" w:cs="方正仿宋_GBK"/>
          <w:b/>
          <w:color w:val="000000"/>
          <w:sz w:val="28"/>
        </w:rPr>
        <w:t>30、学前专项经费/双碑校区绩效目标表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8F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1A5F9">
            <w:pPr>
              <w:pStyle w:val="14"/>
            </w:pPr>
            <w:r>
              <w:t>单位：万元</w:t>
            </w:r>
          </w:p>
        </w:tc>
      </w:tr>
      <w:tr w14:paraId="688DC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770DE">
            <w:pPr>
              <w:pStyle w:val="11"/>
            </w:pPr>
            <w:r>
              <w:t>项目编码</w:t>
            </w:r>
          </w:p>
        </w:tc>
        <w:tc>
          <w:tcPr>
            <w:tcW w:w="5103" w:type="dxa"/>
            <w:gridSpan w:val="2"/>
            <w:vAlign w:val="center"/>
          </w:tcPr>
          <w:p w14:paraId="2684BADE">
            <w:pPr>
              <w:pStyle w:val="13"/>
            </w:pPr>
            <w:r>
              <w:t>13052525P00875610038T</w:t>
            </w:r>
          </w:p>
        </w:tc>
        <w:tc>
          <w:tcPr>
            <w:tcW w:w="2835" w:type="dxa"/>
            <w:vAlign w:val="center"/>
          </w:tcPr>
          <w:p w14:paraId="2AB907FE">
            <w:pPr>
              <w:pStyle w:val="11"/>
            </w:pPr>
            <w:r>
              <w:t>项目名称</w:t>
            </w:r>
          </w:p>
        </w:tc>
        <w:tc>
          <w:tcPr>
            <w:tcW w:w="6095" w:type="dxa"/>
            <w:gridSpan w:val="3"/>
            <w:vAlign w:val="center"/>
          </w:tcPr>
          <w:p w14:paraId="04F0EF07">
            <w:pPr>
              <w:pStyle w:val="13"/>
            </w:pPr>
            <w:r>
              <w:t>学前专项经费/双碑校区</w:t>
            </w:r>
          </w:p>
        </w:tc>
      </w:tr>
      <w:tr w14:paraId="751A6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7F05D">
            <w:pPr>
              <w:pStyle w:val="11"/>
            </w:pPr>
            <w:r>
              <w:t>预算规模及资金用途</w:t>
            </w:r>
          </w:p>
        </w:tc>
        <w:tc>
          <w:tcPr>
            <w:tcW w:w="2268" w:type="dxa"/>
            <w:vAlign w:val="center"/>
          </w:tcPr>
          <w:p w14:paraId="18ABB16E">
            <w:pPr>
              <w:pStyle w:val="11"/>
            </w:pPr>
            <w:r>
              <w:t>预算数</w:t>
            </w:r>
          </w:p>
        </w:tc>
        <w:tc>
          <w:tcPr>
            <w:tcW w:w="2835" w:type="dxa"/>
            <w:vAlign w:val="center"/>
          </w:tcPr>
          <w:p w14:paraId="3AE5EF43">
            <w:pPr>
              <w:pStyle w:val="13"/>
            </w:pPr>
            <w:r>
              <w:t>69.19</w:t>
            </w:r>
          </w:p>
        </w:tc>
        <w:tc>
          <w:tcPr>
            <w:tcW w:w="2835" w:type="dxa"/>
            <w:vAlign w:val="center"/>
          </w:tcPr>
          <w:p w14:paraId="261E90AC">
            <w:pPr>
              <w:pStyle w:val="11"/>
            </w:pPr>
            <w:r>
              <w:t>其中：财政    资金</w:t>
            </w:r>
          </w:p>
        </w:tc>
        <w:tc>
          <w:tcPr>
            <w:tcW w:w="2551" w:type="dxa"/>
            <w:vAlign w:val="center"/>
          </w:tcPr>
          <w:p w14:paraId="082E8D1E">
            <w:pPr>
              <w:pStyle w:val="13"/>
            </w:pPr>
            <w:r>
              <w:t>69.19</w:t>
            </w:r>
          </w:p>
        </w:tc>
        <w:tc>
          <w:tcPr>
            <w:tcW w:w="2268" w:type="dxa"/>
            <w:vAlign w:val="center"/>
          </w:tcPr>
          <w:p w14:paraId="419844EA">
            <w:pPr>
              <w:pStyle w:val="11"/>
            </w:pPr>
            <w:r>
              <w:t>其他资金</w:t>
            </w:r>
          </w:p>
        </w:tc>
        <w:tc>
          <w:tcPr>
            <w:tcW w:w="1276" w:type="dxa"/>
            <w:vAlign w:val="center"/>
          </w:tcPr>
          <w:p w14:paraId="5C12C716">
            <w:pPr>
              <w:pStyle w:val="13"/>
            </w:pPr>
            <w:r>
              <w:t xml:space="preserve"> </w:t>
            </w:r>
          </w:p>
        </w:tc>
      </w:tr>
      <w:tr w14:paraId="3079A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7DEACE"/>
        </w:tc>
        <w:tc>
          <w:tcPr>
            <w:tcW w:w="14033" w:type="dxa"/>
            <w:gridSpan w:val="6"/>
            <w:vAlign w:val="center"/>
          </w:tcPr>
          <w:p w14:paraId="30A86548">
            <w:pPr>
              <w:pStyle w:val="13"/>
            </w:pPr>
            <w:r>
              <w:t>用于保障幼儿园正常运转，完成教育教学活动和其他日常工作任务等方面的费用支出。</w:t>
            </w:r>
            <w:r>
              <w:tab/>
            </w:r>
            <w:r>
              <w:tab/>
            </w:r>
            <w:r>
              <w:tab/>
            </w:r>
            <w:r>
              <w:tab/>
            </w:r>
            <w:r>
              <w:tab/>
            </w:r>
            <w:r>
              <w:tab/>
            </w:r>
            <w:r>
              <w:tab/>
            </w:r>
          </w:p>
          <w:p w14:paraId="09821714">
            <w:pPr>
              <w:pStyle w:val="13"/>
            </w:pPr>
          </w:p>
        </w:tc>
      </w:tr>
      <w:tr w14:paraId="79E50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B3A08">
            <w:pPr>
              <w:pStyle w:val="11"/>
            </w:pPr>
            <w:r>
              <w:t>资金支出计划（%）</w:t>
            </w:r>
          </w:p>
        </w:tc>
        <w:tc>
          <w:tcPr>
            <w:tcW w:w="5103" w:type="dxa"/>
            <w:gridSpan w:val="2"/>
            <w:vAlign w:val="center"/>
          </w:tcPr>
          <w:p w14:paraId="62B284FC">
            <w:pPr>
              <w:pStyle w:val="11"/>
            </w:pPr>
            <w:r>
              <w:t>3月底</w:t>
            </w:r>
          </w:p>
        </w:tc>
        <w:tc>
          <w:tcPr>
            <w:tcW w:w="2835" w:type="dxa"/>
            <w:vAlign w:val="center"/>
          </w:tcPr>
          <w:p w14:paraId="3C498D46">
            <w:pPr>
              <w:pStyle w:val="11"/>
            </w:pPr>
            <w:r>
              <w:t>6月底</w:t>
            </w:r>
          </w:p>
        </w:tc>
        <w:tc>
          <w:tcPr>
            <w:tcW w:w="2551" w:type="dxa"/>
            <w:vAlign w:val="center"/>
          </w:tcPr>
          <w:p w14:paraId="3E12CD7E">
            <w:pPr>
              <w:pStyle w:val="11"/>
            </w:pPr>
            <w:r>
              <w:t>10月底</w:t>
            </w:r>
          </w:p>
        </w:tc>
        <w:tc>
          <w:tcPr>
            <w:tcW w:w="3544" w:type="dxa"/>
            <w:gridSpan w:val="2"/>
            <w:vAlign w:val="center"/>
          </w:tcPr>
          <w:p w14:paraId="433668D9">
            <w:pPr>
              <w:pStyle w:val="11"/>
            </w:pPr>
            <w:r>
              <w:t>12月底</w:t>
            </w:r>
          </w:p>
        </w:tc>
      </w:tr>
      <w:tr w14:paraId="22362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29EDC7"/>
        </w:tc>
        <w:tc>
          <w:tcPr>
            <w:tcW w:w="5103" w:type="dxa"/>
            <w:gridSpan w:val="2"/>
            <w:vAlign w:val="center"/>
          </w:tcPr>
          <w:p w14:paraId="6A1C115A">
            <w:pPr>
              <w:pStyle w:val="12"/>
            </w:pPr>
            <w:r>
              <w:t>25%</w:t>
            </w:r>
          </w:p>
        </w:tc>
        <w:tc>
          <w:tcPr>
            <w:tcW w:w="2835" w:type="dxa"/>
            <w:vAlign w:val="center"/>
          </w:tcPr>
          <w:p w14:paraId="32DE17AA">
            <w:pPr>
              <w:pStyle w:val="12"/>
            </w:pPr>
            <w:r>
              <w:t>50%</w:t>
            </w:r>
          </w:p>
        </w:tc>
        <w:tc>
          <w:tcPr>
            <w:tcW w:w="2551" w:type="dxa"/>
            <w:vAlign w:val="center"/>
          </w:tcPr>
          <w:p w14:paraId="2AC8A7DF">
            <w:pPr>
              <w:pStyle w:val="12"/>
            </w:pPr>
            <w:r>
              <w:t>75%</w:t>
            </w:r>
          </w:p>
        </w:tc>
        <w:tc>
          <w:tcPr>
            <w:tcW w:w="3544" w:type="dxa"/>
            <w:gridSpan w:val="2"/>
            <w:vAlign w:val="center"/>
          </w:tcPr>
          <w:p w14:paraId="6519AC3C">
            <w:pPr>
              <w:pStyle w:val="12"/>
            </w:pPr>
            <w:r>
              <w:t>100%</w:t>
            </w:r>
          </w:p>
        </w:tc>
      </w:tr>
      <w:tr w14:paraId="4F678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9E546">
            <w:pPr>
              <w:pStyle w:val="11"/>
            </w:pPr>
            <w:r>
              <w:t>绩效目标</w:t>
            </w:r>
          </w:p>
        </w:tc>
        <w:tc>
          <w:tcPr>
            <w:tcW w:w="14033" w:type="dxa"/>
            <w:gridSpan w:val="6"/>
            <w:vAlign w:val="center"/>
          </w:tcPr>
          <w:p w14:paraId="695BC75C">
            <w:pPr>
              <w:pStyle w:val="13"/>
            </w:pPr>
            <w:r>
              <w:t>1.按要求完成公立幼儿园保育费按月/季度上缴财政。</w:t>
            </w:r>
          </w:p>
          <w:p w14:paraId="21E09552">
            <w:pPr>
              <w:pStyle w:val="13"/>
            </w:pPr>
            <w:r>
              <w:t>2.按上缴财政序时进度完成公立幼儿园保育费支出。</w:t>
            </w:r>
          </w:p>
          <w:p w14:paraId="4B72B07F">
            <w:pPr>
              <w:pStyle w:val="13"/>
            </w:pPr>
            <w:r>
              <w:t>3.按预算要求完成2025年度学前教学任务提升及教学质量提高。</w:t>
            </w:r>
          </w:p>
        </w:tc>
      </w:tr>
    </w:tbl>
    <w:p w14:paraId="155CE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73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4BAB0BB">
            <w:pPr>
              <w:pStyle w:val="11"/>
            </w:pPr>
            <w:r>
              <w:t>一级指标</w:t>
            </w:r>
          </w:p>
        </w:tc>
        <w:tc>
          <w:tcPr>
            <w:tcW w:w="2268" w:type="dxa"/>
            <w:vAlign w:val="center"/>
          </w:tcPr>
          <w:p w14:paraId="4AA0B4D3">
            <w:pPr>
              <w:pStyle w:val="11"/>
            </w:pPr>
            <w:r>
              <w:t>二级指标</w:t>
            </w:r>
          </w:p>
        </w:tc>
        <w:tc>
          <w:tcPr>
            <w:tcW w:w="2835" w:type="dxa"/>
            <w:vAlign w:val="center"/>
          </w:tcPr>
          <w:p w14:paraId="1D509A2E">
            <w:pPr>
              <w:pStyle w:val="11"/>
            </w:pPr>
            <w:r>
              <w:t>三级指标</w:t>
            </w:r>
          </w:p>
        </w:tc>
        <w:tc>
          <w:tcPr>
            <w:tcW w:w="5386" w:type="dxa"/>
            <w:vAlign w:val="center"/>
          </w:tcPr>
          <w:p w14:paraId="7AE6B519">
            <w:pPr>
              <w:pStyle w:val="11"/>
            </w:pPr>
            <w:r>
              <w:t>绩效指标描述</w:t>
            </w:r>
          </w:p>
        </w:tc>
        <w:tc>
          <w:tcPr>
            <w:tcW w:w="2268" w:type="dxa"/>
            <w:vAlign w:val="center"/>
          </w:tcPr>
          <w:p w14:paraId="192DE238">
            <w:pPr>
              <w:pStyle w:val="11"/>
            </w:pPr>
            <w:r>
              <w:t>指标值</w:t>
            </w:r>
          </w:p>
        </w:tc>
        <w:tc>
          <w:tcPr>
            <w:tcW w:w="1276" w:type="dxa"/>
            <w:vAlign w:val="center"/>
          </w:tcPr>
          <w:p w14:paraId="43CF8B29">
            <w:pPr>
              <w:pStyle w:val="11"/>
            </w:pPr>
            <w:r>
              <w:t>指标值确定依据</w:t>
            </w:r>
          </w:p>
        </w:tc>
      </w:tr>
      <w:tr w14:paraId="753CD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20B96">
            <w:pPr>
              <w:pStyle w:val="12"/>
            </w:pPr>
            <w:r>
              <w:t>产出指标</w:t>
            </w:r>
          </w:p>
        </w:tc>
        <w:tc>
          <w:tcPr>
            <w:tcW w:w="2268" w:type="dxa"/>
            <w:vAlign w:val="center"/>
          </w:tcPr>
          <w:p w14:paraId="5AA085F1">
            <w:pPr>
              <w:pStyle w:val="13"/>
            </w:pPr>
            <w:r>
              <w:t>数量指标</w:t>
            </w:r>
          </w:p>
        </w:tc>
        <w:tc>
          <w:tcPr>
            <w:tcW w:w="2835" w:type="dxa"/>
            <w:vAlign w:val="center"/>
          </w:tcPr>
          <w:p w14:paraId="17523F8F">
            <w:pPr>
              <w:pStyle w:val="13"/>
            </w:pPr>
            <w:r>
              <w:t>适龄在园生</w:t>
            </w:r>
          </w:p>
        </w:tc>
        <w:tc>
          <w:tcPr>
            <w:tcW w:w="5386" w:type="dxa"/>
            <w:vAlign w:val="center"/>
          </w:tcPr>
          <w:p w14:paraId="3F3EFE48">
            <w:pPr>
              <w:pStyle w:val="13"/>
            </w:pPr>
            <w:r>
              <w:t>适龄在园学生人数</w:t>
            </w:r>
          </w:p>
        </w:tc>
        <w:tc>
          <w:tcPr>
            <w:tcW w:w="2268" w:type="dxa"/>
            <w:vAlign w:val="center"/>
          </w:tcPr>
          <w:p w14:paraId="423439F4">
            <w:pPr>
              <w:pStyle w:val="13"/>
            </w:pPr>
            <w:r>
              <w:t>416人</w:t>
            </w:r>
          </w:p>
        </w:tc>
        <w:tc>
          <w:tcPr>
            <w:tcW w:w="1276" w:type="dxa"/>
            <w:vAlign w:val="center"/>
          </w:tcPr>
          <w:p w14:paraId="1FEBE786">
            <w:pPr>
              <w:pStyle w:val="13"/>
            </w:pPr>
            <w:r>
              <w:t>年度工作计划</w:t>
            </w:r>
          </w:p>
        </w:tc>
      </w:tr>
      <w:tr w14:paraId="68037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A8B04"/>
        </w:tc>
        <w:tc>
          <w:tcPr>
            <w:tcW w:w="2268" w:type="dxa"/>
            <w:vAlign w:val="center"/>
          </w:tcPr>
          <w:p w14:paraId="3AF12D82">
            <w:pPr>
              <w:pStyle w:val="13"/>
            </w:pPr>
            <w:r>
              <w:t>质量指标</w:t>
            </w:r>
          </w:p>
        </w:tc>
        <w:tc>
          <w:tcPr>
            <w:tcW w:w="2835" w:type="dxa"/>
            <w:vAlign w:val="center"/>
          </w:tcPr>
          <w:p w14:paraId="1A8E69F1">
            <w:pPr>
              <w:pStyle w:val="13"/>
            </w:pPr>
            <w:r>
              <w:t>按月上缴财政完成率</w:t>
            </w:r>
          </w:p>
        </w:tc>
        <w:tc>
          <w:tcPr>
            <w:tcW w:w="5386" w:type="dxa"/>
            <w:vAlign w:val="center"/>
          </w:tcPr>
          <w:p w14:paraId="5747982C">
            <w:pPr>
              <w:pStyle w:val="13"/>
            </w:pPr>
            <w:r>
              <w:t>按月完成公立幼儿园保育费上缴财政</w:t>
            </w:r>
          </w:p>
        </w:tc>
        <w:tc>
          <w:tcPr>
            <w:tcW w:w="2268" w:type="dxa"/>
            <w:vAlign w:val="center"/>
          </w:tcPr>
          <w:p w14:paraId="1FB58104">
            <w:pPr>
              <w:pStyle w:val="13"/>
            </w:pPr>
            <w:r>
              <w:t>100%</w:t>
            </w:r>
          </w:p>
        </w:tc>
        <w:tc>
          <w:tcPr>
            <w:tcW w:w="1276" w:type="dxa"/>
            <w:vAlign w:val="center"/>
          </w:tcPr>
          <w:p w14:paraId="6639BE31">
            <w:pPr>
              <w:pStyle w:val="13"/>
            </w:pPr>
            <w:r>
              <w:t>年度工作计划</w:t>
            </w:r>
          </w:p>
        </w:tc>
      </w:tr>
      <w:tr w14:paraId="195E1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AF75C"/>
        </w:tc>
        <w:tc>
          <w:tcPr>
            <w:tcW w:w="2268" w:type="dxa"/>
            <w:vAlign w:val="center"/>
          </w:tcPr>
          <w:p w14:paraId="66054F79">
            <w:pPr>
              <w:pStyle w:val="13"/>
            </w:pPr>
            <w:r>
              <w:t>时效指标</w:t>
            </w:r>
          </w:p>
        </w:tc>
        <w:tc>
          <w:tcPr>
            <w:tcW w:w="2835" w:type="dxa"/>
            <w:vAlign w:val="center"/>
          </w:tcPr>
          <w:p w14:paraId="74650180">
            <w:pPr>
              <w:pStyle w:val="13"/>
            </w:pPr>
            <w:r>
              <w:t>资金支付率</w:t>
            </w:r>
          </w:p>
        </w:tc>
        <w:tc>
          <w:tcPr>
            <w:tcW w:w="5386" w:type="dxa"/>
            <w:vAlign w:val="center"/>
          </w:tcPr>
          <w:p w14:paraId="219DAC67">
            <w:pPr>
              <w:pStyle w:val="13"/>
            </w:pPr>
            <w:r>
              <w:t>按照上缴财政进度完成公立幼儿园保育费支付</w:t>
            </w:r>
          </w:p>
        </w:tc>
        <w:tc>
          <w:tcPr>
            <w:tcW w:w="2268" w:type="dxa"/>
            <w:vAlign w:val="center"/>
          </w:tcPr>
          <w:p w14:paraId="14CB8A9B">
            <w:pPr>
              <w:pStyle w:val="13"/>
            </w:pPr>
            <w:r>
              <w:t>100%</w:t>
            </w:r>
          </w:p>
        </w:tc>
        <w:tc>
          <w:tcPr>
            <w:tcW w:w="1276" w:type="dxa"/>
            <w:vAlign w:val="center"/>
          </w:tcPr>
          <w:p w14:paraId="63F45FF5">
            <w:pPr>
              <w:pStyle w:val="13"/>
            </w:pPr>
            <w:r>
              <w:t>年度工作计划</w:t>
            </w:r>
          </w:p>
        </w:tc>
      </w:tr>
      <w:tr w14:paraId="592B5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FACC9"/>
        </w:tc>
        <w:tc>
          <w:tcPr>
            <w:tcW w:w="2268" w:type="dxa"/>
            <w:vAlign w:val="center"/>
          </w:tcPr>
          <w:p w14:paraId="587D8BC0">
            <w:pPr>
              <w:pStyle w:val="13"/>
            </w:pPr>
            <w:r>
              <w:t>成本指标</w:t>
            </w:r>
          </w:p>
        </w:tc>
        <w:tc>
          <w:tcPr>
            <w:tcW w:w="2835" w:type="dxa"/>
            <w:vAlign w:val="center"/>
          </w:tcPr>
          <w:p w14:paraId="415F61E2">
            <w:pPr>
              <w:pStyle w:val="13"/>
            </w:pPr>
            <w:r>
              <w:t>公办幼儿园保育费收费标准</w:t>
            </w:r>
          </w:p>
        </w:tc>
        <w:tc>
          <w:tcPr>
            <w:tcW w:w="5386" w:type="dxa"/>
            <w:vAlign w:val="center"/>
          </w:tcPr>
          <w:p w14:paraId="5192A956">
            <w:pPr>
              <w:pStyle w:val="13"/>
            </w:pPr>
            <w:r>
              <w:t>农村示范园170元/月/生、农村一类园150元/月/生、农村二类园130元/月/生</w:t>
            </w:r>
          </w:p>
        </w:tc>
        <w:tc>
          <w:tcPr>
            <w:tcW w:w="2268" w:type="dxa"/>
            <w:vAlign w:val="center"/>
          </w:tcPr>
          <w:p w14:paraId="02E65660">
            <w:pPr>
              <w:pStyle w:val="13"/>
            </w:pPr>
            <w:r>
              <w:t>100%</w:t>
            </w:r>
          </w:p>
        </w:tc>
        <w:tc>
          <w:tcPr>
            <w:tcW w:w="1276" w:type="dxa"/>
            <w:vAlign w:val="center"/>
          </w:tcPr>
          <w:p w14:paraId="04957C3F">
            <w:pPr>
              <w:pStyle w:val="13"/>
            </w:pPr>
            <w:r>
              <w:t>年度工作计划</w:t>
            </w:r>
          </w:p>
        </w:tc>
      </w:tr>
      <w:tr w14:paraId="21BD3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E52494">
            <w:pPr>
              <w:pStyle w:val="12"/>
            </w:pPr>
            <w:r>
              <w:t>效益指标</w:t>
            </w:r>
          </w:p>
        </w:tc>
        <w:tc>
          <w:tcPr>
            <w:tcW w:w="2268" w:type="dxa"/>
            <w:vAlign w:val="center"/>
          </w:tcPr>
          <w:p w14:paraId="0528AE06">
            <w:pPr>
              <w:pStyle w:val="13"/>
            </w:pPr>
            <w:r>
              <w:t>社会效益指标</w:t>
            </w:r>
          </w:p>
        </w:tc>
        <w:tc>
          <w:tcPr>
            <w:tcW w:w="2835" w:type="dxa"/>
            <w:vAlign w:val="center"/>
          </w:tcPr>
          <w:p w14:paraId="0888CFD4">
            <w:pPr>
              <w:pStyle w:val="13"/>
            </w:pPr>
            <w:r>
              <w:t>幼儿园办园能力提升</w:t>
            </w:r>
          </w:p>
        </w:tc>
        <w:tc>
          <w:tcPr>
            <w:tcW w:w="5386" w:type="dxa"/>
            <w:vAlign w:val="center"/>
          </w:tcPr>
          <w:p w14:paraId="39B2D31D">
            <w:pPr>
              <w:pStyle w:val="13"/>
            </w:pPr>
            <w:r>
              <w:t>幼儿园办园能力提升情况及教育教学工作等开展的情况</w:t>
            </w:r>
          </w:p>
        </w:tc>
        <w:tc>
          <w:tcPr>
            <w:tcW w:w="2268" w:type="dxa"/>
            <w:vAlign w:val="center"/>
          </w:tcPr>
          <w:p w14:paraId="51C15E5F">
            <w:pPr>
              <w:pStyle w:val="13"/>
            </w:pPr>
            <w:r>
              <w:t>100%</w:t>
            </w:r>
          </w:p>
        </w:tc>
        <w:tc>
          <w:tcPr>
            <w:tcW w:w="1276" w:type="dxa"/>
            <w:vAlign w:val="center"/>
          </w:tcPr>
          <w:p w14:paraId="3504FA99">
            <w:pPr>
              <w:pStyle w:val="13"/>
            </w:pPr>
            <w:r>
              <w:t>年度工作计划</w:t>
            </w:r>
          </w:p>
        </w:tc>
      </w:tr>
      <w:tr w14:paraId="341C0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AED909">
            <w:pPr>
              <w:pStyle w:val="12"/>
            </w:pPr>
            <w:r>
              <w:t>满意度指标</w:t>
            </w:r>
          </w:p>
        </w:tc>
        <w:tc>
          <w:tcPr>
            <w:tcW w:w="2268" w:type="dxa"/>
            <w:vAlign w:val="center"/>
          </w:tcPr>
          <w:p w14:paraId="1C8484A6">
            <w:pPr>
              <w:pStyle w:val="13"/>
            </w:pPr>
            <w:r>
              <w:t>服务对象满意度指标</w:t>
            </w:r>
          </w:p>
        </w:tc>
        <w:tc>
          <w:tcPr>
            <w:tcW w:w="2835" w:type="dxa"/>
            <w:vAlign w:val="center"/>
          </w:tcPr>
          <w:p w14:paraId="00CF7157">
            <w:pPr>
              <w:pStyle w:val="13"/>
            </w:pPr>
            <w:r>
              <w:t>受益学生家长及调查满意度</w:t>
            </w:r>
          </w:p>
        </w:tc>
        <w:tc>
          <w:tcPr>
            <w:tcW w:w="5386" w:type="dxa"/>
            <w:vAlign w:val="center"/>
          </w:tcPr>
          <w:p w14:paraId="7FE31224">
            <w:pPr>
              <w:pStyle w:val="13"/>
            </w:pPr>
            <w:r>
              <w:t>幼儿、教师及家长对学校保教保育工作满意度情况</w:t>
            </w:r>
          </w:p>
        </w:tc>
        <w:tc>
          <w:tcPr>
            <w:tcW w:w="2268" w:type="dxa"/>
            <w:vAlign w:val="center"/>
          </w:tcPr>
          <w:p w14:paraId="7E529DF1">
            <w:pPr>
              <w:pStyle w:val="13"/>
            </w:pPr>
            <w:r>
              <w:t>≥95%</w:t>
            </w:r>
          </w:p>
        </w:tc>
        <w:tc>
          <w:tcPr>
            <w:tcW w:w="1276" w:type="dxa"/>
            <w:vAlign w:val="center"/>
          </w:tcPr>
          <w:p w14:paraId="6BB63880">
            <w:pPr>
              <w:pStyle w:val="13"/>
            </w:pPr>
            <w:r>
              <w:t>年度工作计划</w:t>
            </w:r>
          </w:p>
        </w:tc>
      </w:tr>
    </w:tbl>
    <w:p w14:paraId="075DB5CB">
      <w:pPr>
        <w:sectPr>
          <w:pgSz w:w="16840" w:h="11900" w:orient="landscape"/>
          <w:pgMar w:top="1361" w:right="1020" w:bottom="1134" w:left="1020" w:header="720" w:footer="720" w:gutter="0"/>
          <w:cols w:space="720" w:num="1"/>
        </w:sectPr>
      </w:pPr>
    </w:p>
    <w:p w14:paraId="046DF054">
      <w:pPr>
        <w:spacing w:before="10" w:after="10" w:line="240" w:lineRule="auto"/>
        <w:ind w:firstLine="640"/>
        <w:jc w:val="left"/>
        <w:outlineLvl w:val="5"/>
      </w:pPr>
      <w:r>
        <w:rPr>
          <w:rFonts w:ascii="黑体" w:hAnsi="黑体" w:eastAsia="黑体" w:cs="黑体"/>
          <w:color w:val="000000"/>
          <w:sz w:val="32"/>
        </w:rPr>
        <w:t>六、政府采购预算情况</w:t>
      </w:r>
    </w:p>
    <w:p w14:paraId="488B4BB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5F8D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C0BA7A4">
            <w:pPr>
              <w:pStyle w:val="8"/>
            </w:pPr>
            <w:r>
              <w:t>360020隆尧县双碑校区</w:t>
            </w:r>
          </w:p>
        </w:tc>
        <w:tc>
          <w:tcPr>
            <w:tcW w:w="7712" w:type="dxa"/>
            <w:gridSpan w:val="8"/>
            <w:tcBorders>
              <w:top w:val="single" w:color="FFFFFF" w:sz="6" w:space="0"/>
              <w:left w:val="single" w:color="FFFFFF" w:sz="6" w:space="0"/>
              <w:right w:val="single" w:color="FFFFFF" w:sz="6" w:space="0"/>
            </w:tcBorders>
            <w:vAlign w:val="center"/>
          </w:tcPr>
          <w:p w14:paraId="02C877A3">
            <w:pPr>
              <w:pStyle w:val="22"/>
            </w:pPr>
            <w:r>
              <w:t>单位：万元</w:t>
            </w:r>
          </w:p>
        </w:tc>
      </w:tr>
      <w:tr w14:paraId="012BB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E670BA2">
            <w:pPr>
              <w:pStyle w:val="11"/>
            </w:pPr>
            <w:r>
              <w:t>政府采购项目来源</w:t>
            </w:r>
          </w:p>
        </w:tc>
        <w:tc>
          <w:tcPr>
            <w:tcW w:w="1134" w:type="dxa"/>
            <w:vMerge w:val="restart"/>
            <w:vAlign w:val="center"/>
          </w:tcPr>
          <w:p w14:paraId="07067494">
            <w:pPr>
              <w:pStyle w:val="11"/>
            </w:pPr>
            <w:r>
              <w:t>采购物品名称</w:t>
            </w:r>
          </w:p>
        </w:tc>
        <w:tc>
          <w:tcPr>
            <w:tcW w:w="1134" w:type="dxa"/>
            <w:vMerge w:val="restart"/>
            <w:vAlign w:val="center"/>
          </w:tcPr>
          <w:p w14:paraId="07ACF4B1">
            <w:pPr>
              <w:pStyle w:val="11"/>
            </w:pPr>
            <w:r>
              <w:t>政府采购目录序号</w:t>
            </w:r>
          </w:p>
        </w:tc>
        <w:tc>
          <w:tcPr>
            <w:tcW w:w="709" w:type="dxa"/>
            <w:vMerge w:val="restart"/>
            <w:vAlign w:val="center"/>
          </w:tcPr>
          <w:p w14:paraId="219B0C30">
            <w:pPr>
              <w:pStyle w:val="11"/>
            </w:pPr>
            <w:r>
              <w:t>计量  单位</w:t>
            </w:r>
          </w:p>
        </w:tc>
        <w:tc>
          <w:tcPr>
            <w:tcW w:w="850" w:type="dxa"/>
            <w:vMerge w:val="restart"/>
            <w:vAlign w:val="center"/>
          </w:tcPr>
          <w:p w14:paraId="6E1817BE">
            <w:pPr>
              <w:pStyle w:val="11"/>
            </w:pPr>
            <w:r>
              <w:t>数量</w:t>
            </w:r>
          </w:p>
        </w:tc>
        <w:tc>
          <w:tcPr>
            <w:tcW w:w="850" w:type="dxa"/>
            <w:vMerge w:val="restart"/>
            <w:vAlign w:val="center"/>
          </w:tcPr>
          <w:p w14:paraId="20ADC3DF">
            <w:pPr>
              <w:pStyle w:val="11"/>
            </w:pPr>
            <w:r>
              <w:t>单价</w:t>
            </w:r>
          </w:p>
        </w:tc>
        <w:tc>
          <w:tcPr>
            <w:tcW w:w="6748" w:type="dxa"/>
            <w:gridSpan w:val="7"/>
            <w:vAlign w:val="center"/>
          </w:tcPr>
          <w:p w14:paraId="5108DD39">
            <w:pPr>
              <w:pStyle w:val="11"/>
            </w:pPr>
            <w:r>
              <w:t>政府采购金额（当年部门预算安排资金）</w:t>
            </w:r>
          </w:p>
        </w:tc>
        <w:tc>
          <w:tcPr>
            <w:tcW w:w="964" w:type="dxa"/>
            <w:vMerge w:val="restart"/>
            <w:vAlign w:val="center"/>
          </w:tcPr>
          <w:p w14:paraId="20C0ACC1">
            <w:pPr>
              <w:pStyle w:val="11"/>
            </w:pPr>
            <w:r>
              <w:t>2025年  预留中  小微企  业份额</w:t>
            </w:r>
          </w:p>
        </w:tc>
      </w:tr>
      <w:tr w14:paraId="44C80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5D3DA2D">
            <w:pPr>
              <w:pStyle w:val="11"/>
            </w:pPr>
            <w:r>
              <w:t>项目名称</w:t>
            </w:r>
          </w:p>
        </w:tc>
        <w:tc>
          <w:tcPr>
            <w:tcW w:w="964" w:type="dxa"/>
            <w:vAlign w:val="center"/>
          </w:tcPr>
          <w:p w14:paraId="409C4AC7">
            <w:pPr>
              <w:pStyle w:val="11"/>
            </w:pPr>
            <w:r>
              <w:t>预算    资金</w:t>
            </w:r>
          </w:p>
        </w:tc>
        <w:tc>
          <w:tcPr>
            <w:tcW w:w="1134" w:type="dxa"/>
            <w:vMerge w:val="continue"/>
          </w:tcPr>
          <w:p w14:paraId="4005C3D0"/>
        </w:tc>
        <w:tc>
          <w:tcPr>
            <w:tcW w:w="1134" w:type="dxa"/>
            <w:vMerge w:val="continue"/>
          </w:tcPr>
          <w:p w14:paraId="0FD2EC40"/>
        </w:tc>
        <w:tc>
          <w:tcPr>
            <w:tcW w:w="709" w:type="dxa"/>
            <w:vMerge w:val="continue"/>
          </w:tcPr>
          <w:p w14:paraId="1E6B36C8"/>
        </w:tc>
        <w:tc>
          <w:tcPr>
            <w:tcW w:w="850" w:type="dxa"/>
            <w:vMerge w:val="continue"/>
          </w:tcPr>
          <w:p w14:paraId="2AFF48D3"/>
        </w:tc>
        <w:tc>
          <w:tcPr>
            <w:tcW w:w="850" w:type="dxa"/>
            <w:vMerge w:val="continue"/>
          </w:tcPr>
          <w:p w14:paraId="71358C42"/>
        </w:tc>
        <w:tc>
          <w:tcPr>
            <w:tcW w:w="964" w:type="dxa"/>
            <w:vAlign w:val="center"/>
          </w:tcPr>
          <w:p w14:paraId="4FF4D86C">
            <w:pPr>
              <w:pStyle w:val="11"/>
            </w:pPr>
            <w:r>
              <w:t>合计</w:t>
            </w:r>
          </w:p>
        </w:tc>
        <w:tc>
          <w:tcPr>
            <w:tcW w:w="964" w:type="dxa"/>
            <w:vAlign w:val="center"/>
          </w:tcPr>
          <w:p w14:paraId="3035BFD9">
            <w:pPr>
              <w:pStyle w:val="11"/>
            </w:pPr>
            <w:r>
              <w:t>一般公共预算拨款</w:t>
            </w:r>
          </w:p>
        </w:tc>
        <w:tc>
          <w:tcPr>
            <w:tcW w:w="964" w:type="dxa"/>
            <w:vAlign w:val="center"/>
          </w:tcPr>
          <w:p w14:paraId="7704411B">
            <w:pPr>
              <w:pStyle w:val="11"/>
            </w:pPr>
            <w:r>
              <w:t>基金预算拨款</w:t>
            </w:r>
          </w:p>
        </w:tc>
        <w:tc>
          <w:tcPr>
            <w:tcW w:w="964" w:type="dxa"/>
            <w:vAlign w:val="center"/>
          </w:tcPr>
          <w:p w14:paraId="4436E5EA">
            <w:pPr>
              <w:pStyle w:val="11"/>
            </w:pPr>
            <w:r>
              <w:t>国有资本经营预算拨款</w:t>
            </w:r>
          </w:p>
        </w:tc>
        <w:tc>
          <w:tcPr>
            <w:tcW w:w="964" w:type="dxa"/>
            <w:vAlign w:val="center"/>
          </w:tcPr>
          <w:p w14:paraId="7704D761">
            <w:pPr>
              <w:pStyle w:val="11"/>
            </w:pPr>
            <w:r>
              <w:t>财政专户核拨</w:t>
            </w:r>
          </w:p>
        </w:tc>
        <w:tc>
          <w:tcPr>
            <w:tcW w:w="964" w:type="dxa"/>
            <w:vAlign w:val="center"/>
          </w:tcPr>
          <w:p w14:paraId="72FB7E38">
            <w:pPr>
              <w:pStyle w:val="11"/>
            </w:pPr>
            <w:r>
              <w:t>单位    资金</w:t>
            </w:r>
          </w:p>
        </w:tc>
        <w:tc>
          <w:tcPr>
            <w:tcW w:w="964" w:type="dxa"/>
            <w:vAlign w:val="center"/>
          </w:tcPr>
          <w:p w14:paraId="0CB8D3C9">
            <w:pPr>
              <w:pStyle w:val="11"/>
            </w:pPr>
            <w:r>
              <w:t>上年结转结余</w:t>
            </w:r>
          </w:p>
        </w:tc>
        <w:tc>
          <w:tcPr>
            <w:tcW w:w="964" w:type="dxa"/>
            <w:vMerge w:val="continue"/>
          </w:tcPr>
          <w:p w14:paraId="2C1846E8"/>
        </w:tc>
      </w:tr>
      <w:tr w14:paraId="08442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A43C96">
            <w:pPr>
              <w:pStyle w:val="15"/>
            </w:pPr>
            <w:r>
              <w:t>合  计</w:t>
            </w:r>
          </w:p>
        </w:tc>
        <w:tc>
          <w:tcPr>
            <w:tcW w:w="964" w:type="dxa"/>
            <w:vAlign w:val="center"/>
          </w:tcPr>
          <w:p w14:paraId="1697A794">
            <w:pPr>
              <w:pStyle w:val="16"/>
            </w:pPr>
          </w:p>
        </w:tc>
        <w:tc>
          <w:tcPr>
            <w:tcW w:w="1134" w:type="dxa"/>
            <w:vAlign w:val="center"/>
          </w:tcPr>
          <w:p w14:paraId="721FD5BA">
            <w:pPr>
              <w:pStyle w:val="17"/>
            </w:pPr>
          </w:p>
        </w:tc>
        <w:tc>
          <w:tcPr>
            <w:tcW w:w="1134" w:type="dxa"/>
            <w:vAlign w:val="center"/>
          </w:tcPr>
          <w:p w14:paraId="25B9EE38">
            <w:pPr>
              <w:pStyle w:val="17"/>
            </w:pPr>
          </w:p>
        </w:tc>
        <w:tc>
          <w:tcPr>
            <w:tcW w:w="709" w:type="dxa"/>
            <w:vAlign w:val="center"/>
          </w:tcPr>
          <w:p w14:paraId="7C29BDEF">
            <w:pPr>
              <w:pStyle w:val="15"/>
            </w:pPr>
          </w:p>
        </w:tc>
        <w:tc>
          <w:tcPr>
            <w:tcW w:w="850" w:type="dxa"/>
            <w:vAlign w:val="center"/>
          </w:tcPr>
          <w:p w14:paraId="5E630BBC">
            <w:pPr>
              <w:pStyle w:val="16"/>
            </w:pPr>
          </w:p>
        </w:tc>
        <w:tc>
          <w:tcPr>
            <w:tcW w:w="850" w:type="dxa"/>
            <w:vAlign w:val="center"/>
          </w:tcPr>
          <w:p w14:paraId="3A4AF1B1">
            <w:pPr>
              <w:pStyle w:val="16"/>
            </w:pPr>
          </w:p>
        </w:tc>
        <w:tc>
          <w:tcPr>
            <w:tcW w:w="964" w:type="dxa"/>
            <w:vAlign w:val="center"/>
          </w:tcPr>
          <w:p w14:paraId="37786B83">
            <w:pPr>
              <w:pStyle w:val="16"/>
            </w:pPr>
            <w:r>
              <w:t>6.84</w:t>
            </w:r>
          </w:p>
        </w:tc>
        <w:tc>
          <w:tcPr>
            <w:tcW w:w="964" w:type="dxa"/>
            <w:vAlign w:val="center"/>
          </w:tcPr>
          <w:p w14:paraId="3D88B7D1">
            <w:pPr>
              <w:pStyle w:val="16"/>
            </w:pPr>
            <w:r>
              <w:t>6.84</w:t>
            </w:r>
          </w:p>
        </w:tc>
        <w:tc>
          <w:tcPr>
            <w:tcW w:w="964" w:type="dxa"/>
            <w:vAlign w:val="center"/>
          </w:tcPr>
          <w:p w14:paraId="42A11297">
            <w:pPr>
              <w:pStyle w:val="16"/>
            </w:pPr>
          </w:p>
        </w:tc>
        <w:tc>
          <w:tcPr>
            <w:tcW w:w="964" w:type="dxa"/>
            <w:vAlign w:val="center"/>
          </w:tcPr>
          <w:p w14:paraId="0B328FEA">
            <w:pPr>
              <w:pStyle w:val="16"/>
            </w:pPr>
          </w:p>
        </w:tc>
        <w:tc>
          <w:tcPr>
            <w:tcW w:w="964" w:type="dxa"/>
            <w:vAlign w:val="center"/>
          </w:tcPr>
          <w:p w14:paraId="026ED8EB">
            <w:pPr>
              <w:pStyle w:val="16"/>
            </w:pPr>
          </w:p>
        </w:tc>
        <w:tc>
          <w:tcPr>
            <w:tcW w:w="964" w:type="dxa"/>
            <w:vAlign w:val="center"/>
          </w:tcPr>
          <w:p w14:paraId="2ABC2076">
            <w:pPr>
              <w:pStyle w:val="16"/>
            </w:pPr>
          </w:p>
        </w:tc>
        <w:tc>
          <w:tcPr>
            <w:tcW w:w="964" w:type="dxa"/>
            <w:vAlign w:val="center"/>
          </w:tcPr>
          <w:p w14:paraId="507A9CA4">
            <w:pPr>
              <w:pStyle w:val="16"/>
            </w:pPr>
          </w:p>
        </w:tc>
        <w:tc>
          <w:tcPr>
            <w:tcW w:w="964" w:type="dxa"/>
            <w:vAlign w:val="center"/>
          </w:tcPr>
          <w:p w14:paraId="15D36CFB">
            <w:pPr>
              <w:pStyle w:val="16"/>
            </w:pPr>
            <w:r>
              <w:t>6.84</w:t>
            </w:r>
          </w:p>
        </w:tc>
      </w:tr>
      <w:tr w14:paraId="7E127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F0C73D">
            <w:pPr>
              <w:pStyle w:val="15"/>
            </w:pPr>
            <w:r>
              <w:t>隆尧县双碑校区小计</w:t>
            </w:r>
          </w:p>
        </w:tc>
        <w:tc>
          <w:tcPr>
            <w:tcW w:w="964" w:type="dxa"/>
            <w:vAlign w:val="center"/>
          </w:tcPr>
          <w:p w14:paraId="267160D0">
            <w:pPr>
              <w:pStyle w:val="16"/>
            </w:pPr>
          </w:p>
        </w:tc>
        <w:tc>
          <w:tcPr>
            <w:tcW w:w="1134" w:type="dxa"/>
            <w:vAlign w:val="center"/>
          </w:tcPr>
          <w:p w14:paraId="39E5AF81">
            <w:pPr>
              <w:pStyle w:val="17"/>
            </w:pPr>
          </w:p>
        </w:tc>
        <w:tc>
          <w:tcPr>
            <w:tcW w:w="1134" w:type="dxa"/>
            <w:vAlign w:val="center"/>
          </w:tcPr>
          <w:p w14:paraId="74AEEC9E">
            <w:pPr>
              <w:pStyle w:val="17"/>
            </w:pPr>
          </w:p>
        </w:tc>
        <w:tc>
          <w:tcPr>
            <w:tcW w:w="709" w:type="dxa"/>
            <w:vAlign w:val="center"/>
          </w:tcPr>
          <w:p w14:paraId="652B4BCF">
            <w:pPr>
              <w:pStyle w:val="15"/>
            </w:pPr>
          </w:p>
        </w:tc>
        <w:tc>
          <w:tcPr>
            <w:tcW w:w="850" w:type="dxa"/>
            <w:vAlign w:val="center"/>
          </w:tcPr>
          <w:p w14:paraId="56409F7A">
            <w:pPr>
              <w:pStyle w:val="16"/>
            </w:pPr>
          </w:p>
        </w:tc>
        <w:tc>
          <w:tcPr>
            <w:tcW w:w="850" w:type="dxa"/>
            <w:vAlign w:val="center"/>
          </w:tcPr>
          <w:p w14:paraId="3D079E5E">
            <w:pPr>
              <w:pStyle w:val="16"/>
            </w:pPr>
          </w:p>
        </w:tc>
        <w:tc>
          <w:tcPr>
            <w:tcW w:w="964" w:type="dxa"/>
            <w:vAlign w:val="center"/>
          </w:tcPr>
          <w:p w14:paraId="57D330EE">
            <w:pPr>
              <w:pStyle w:val="16"/>
            </w:pPr>
            <w:r>
              <w:t>6.84</w:t>
            </w:r>
          </w:p>
        </w:tc>
        <w:tc>
          <w:tcPr>
            <w:tcW w:w="964" w:type="dxa"/>
            <w:vAlign w:val="center"/>
          </w:tcPr>
          <w:p w14:paraId="68E2B9E1">
            <w:pPr>
              <w:pStyle w:val="16"/>
            </w:pPr>
            <w:r>
              <w:t>6.84</w:t>
            </w:r>
          </w:p>
        </w:tc>
        <w:tc>
          <w:tcPr>
            <w:tcW w:w="964" w:type="dxa"/>
            <w:vAlign w:val="center"/>
          </w:tcPr>
          <w:p w14:paraId="5A02B7EE">
            <w:pPr>
              <w:pStyle w:val="16"/>
            </w:pPr>
          </w:p>
        </w:tc>
        <w:tc>
          <w:tcPr>
            <w:tcW w:w="964" w:type="dxa"/>
            <w:vAlign w:val="center"/>
          </w:tcPr>
          <w:p w14:paraId="60771A43">
            <w:pPr>
              <w:pStyle w:val="16"/>
            </w:pPr>
          </w:p>
        </w:tc>
        <w:tc>
          <w:tcPr>
            <w:tcW w:w="964" w:type="dxa"/>
            <w:vAlign w:val="center"/>
          </w:tcPr>
          <w:p w14:paraId="5395AB07">
            <w:pPr>
              <w:pStyle w:val="16"/>
            </w:pPr>
          </w:p>
        </w:tc>
        <w:tc>
          <w:tcPr>
            <w:tcW w:w="964" w:type="dxa"/>
            <w:vAlign w:val="center"/>
          </w:tcPr>
          <w:p w14:paraId="3F08D560">
            <w:pPr>
              <w:pStyle w:val="16"/>
            </w:pPr>
          </w:p>
        </w:tc>
        <w:tc>
          <w:tcPr>
            <w:tcW w:w="964" w:type="dxa"/>
            <w:vAlign w:val="center"/>
          </w:tcPr>
          <w:p w14:paraId="40A78A26">
            <w:pPr>
              <w:pStyle w:val="16"/>
            </w:pPr>
          </w:p>
        </w:tc>
        <w:tc>
          <w:tcPr>
            <w:tcW w:w="964" w:type="dxa"/>
            <w:vAlign w:val="center"/>
          </w:tcPr>
          <w:p w14:paraId="52D96581">
            <w:pPr>
              <w:pStyle w:val="16"/>
            </w:pPr>
            <w:r>
              <w:t>6.84</w:t>
            </w:r>
          </w:p>
        </w:tc>
      </w:tr>
      <w:tr w14:paraId="43F53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88F0E2">
            <w:pPr>
              <w:pStyle w:val="13"/>
            </w:pPr>
            <w:r>
              <w:t>冀财教[2024]121号/中央/2025年学前发展资金/双碑校区学前教育幼儿资助</w:t>
            </w:r>
          </w:p>
        </w:tc>
        <w:tc>
          <w:tcPr>
            <w:tcW w:w="964" w:type="dxa"/>
            <w:vAlign w:val="center"/>
          </w:tcPr>
          <w:p w14:paraId="4B93CD22">
            <w:pPr>
              <w:pStyle w:val="14"/>
            </w:pPr>
            <w:r>
              <w:t>1.80</w:t>
            </w:r>
          </w:p>
        </w:tc>
        <w:tc>
          <w:tcPr>
            <w:tcW w:w="1134" w:type="dxa"/>
            <w:vAlign w:val="center"/>
          </w:tcPr>
          <w:p w14:paraId="597BE190">
            <w:pPr>
              <w:pStyle w:val="13"/>
            </w:pPr>
            <w:r>
              <w:t>复印纸</w:t>
            </w:r>
          </w:p>
        </w:tc>
        <w:tc>
          <w:tcPr>
            <w:tcW w:w="1134" w:type="dxa"/>
            <w:vAlign w:val="center"/>
          </w:tcPr>
          <w:p w14:paraId="4E9DAC82">
            <w:pPr>
              <w:pStyle w:val="13"/>
            </w:pPr>
            <w:r>
              <w:t>A05040101</w:t>
            </w:r>
          </w:p>
        </w:tc>
        <w:tc>
          <w:tcPr>
            <w:tcW w:w="709" w:type="dxa"/>
            <w:vAlign w:val="center"/>
          </w:tcPr>
          <w:p w14:paraId="2893EC8F">
            <w:pPr>
              <w:pStyle w:val="12"/>
            </w:pPr>
            <w:r>
              <w:t>包</w:t>
            </w:r>
          </w:p>
        </w:tc>
        <w:tc>
          <w:tcPr>
            <w:tcW w:w="850" w:type="dxa"/>
            <w:vAlign w:val="center"/>
          </w:tcPr>
          <w:p w14:paraId="1CECA230">
            <w:pPr>
              <w:pStyle w:val="14"/>
            </w:pPr>
            <w:r>
              <w:t>5</w:t>
            </w:r>
          </w:p>
        </w:tc>
        <w:tc>
          <w:tcPr>
            <w:tcW w:w="850" w:type="dxa"/>
            <w:vAlign w:val="center"/>
          </w:tcPr>
          <w:p w14:paraId="2E9907F6">
            <w:pPr>
              <w:pStyle w:val="14"/>
            </w:pPr>
            <w:r>
              <w:t>0.02</w:t>
            </w:r>
          </w:p>
        </w:tc>
        <w:tc>
          <w:tcPr>
            <w:tcW w:w="964" w:type="dxa"/>
            <w:vAlign w:val="center"/>
          </w:tcPr>
          <w:p w14:paraId="1C6AFF56">
            <w:pPr>
              <w:pStyle w:val="14"/>
            </w:pPr>
            <w:r>
              <w:t>0.09</w:t>
            </w:r>
          </w:p>
        </w:tc>
        <w:tc>
          <w:tcPr>
            <w:tcW w:w="964" w:type="dxa"/>
            <w:vAlign w:val="center"/>
          </w:tcPr>
          <w:p w14:paraId="7D859004">
            <w:pPr>
              <w:pStyle w:val="14"/>
            </w:pPr>
            <w:r>
              <w:t>0.09</w:t>
            </w:r>
          </w:p>
        </w:tc>
        <w:tc>
          <w:tcPr>
            <w:tcW w:w="964" w:type="dxa"/>
            <w:vAlign w:val="center"/>
          </w:tcPr>
          <w:p w14:paraId="28EE3B20">
            <w:pPr>
              <w:pStyle w:val="14"/>
            </w:pPr>
          </w:p>
        </w:tc>
        <w:tc>
          <w:tcPr>
            <w:tcW w:w="964" w:type="dxa"/>
            <w:vAlign w:val="center"/>
          </w:tcPr>
          <w:p w14:paraId="7CCB1FC1">
            <w:pPr>
              <w:pStyle w:val="14"/>
            </w:pPr>
          </w:p>
        </w:tc>
        <w:tc>
          <w:tcPr>
            <w:tcW w:w="964" w:type="dxa"/>
            <w:vAlign w:val="center"/>
          </w:tcPr>
          <w:p w14:paraId="3F463B19">
            <w:pPr>
              <w:pStyle w:val="14"/>
            </w:pPr>
          </w:p>
        </w:tc>
        <w:tc>
          <w:tcPr>
            <w:tcW w:w="964" w:type="dxa"/>
            <w:vAlign w:val="center"/>
          </w:tcPr>
          <w:p w14:paraId="06A15627">
            <w:pPr>
              <w:pStyle w:val="14"/>
            </w:pPr>
          </w:p>
        </w:tc>
        <w:tc>
          <w:tcPr>
            <w:tcW w:w="964" w:type="dxa"/>
            <w:vAlign w:val="center"/>
          </w:tcPr>
          <w:p w14:paraId="17442114">
            <w:pPr>
              <w:pStyle w:val="14"/>
            </w:pPr>
          </w:p>
        </w:tc>
        <w:tc>
          <w:tcPr>
            <w:tcW w:w="964" w:type="dxa"/>
            <w:vAlign w:val="center"/>
          </w:tcPr>
          <w:p w14:paraId="7097C8C0">
            <w:pPr>
              <w:pStyle w:val="14"/>
            </w:pPr>
            <w:r>
              <w:t>0.09</w:t>
            </w:r>
          </w:p>
        </w:tc>
      </w:tr>
      <w:tr w14:paraId="2DCA5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FC26B6">
            <w:pPr>
              <w:pStyle w:val="13"/>
            </w:pPr>
            <w:r>
              <w:t>冀财教[2024]123号/中央/2025年义教补助经费/双碑小学公用经费</w:t>
            </w:r>
          </w:p>
        </w:tc>
        <w:tc>
          <w:tcPr>
            <w:tcW w:w="964" w:type="dxa"/>
            <w:vAlign w:val="center"/>
          </w:tcPr>
          <w:p w14:paraId="5B3BCE10">
            <w:pPr>
              <w:pStyle w:val="14"/>
            </w:pPr>
            <w:r>
              <w:t>26.73</w:t>
            </w:r>
          </w:p>
        </w:tc>
        <w:tc>
          <w:tcPr>
            <w:tcW w:w="1134" w:type="dxa"/>
            <w:vAlign w:val="center"/>
          </w:tcPr>
          <w:p w14:paraId="0A4A22AD">
            <w:pPr>
              <w:pStyle w:val="13"/>
            </w:pPr>
            <w:r>
              <w:t>台式计算机</w:t>
            </w:r>
          </w:p>
        </w:tc>
        <w:tc>
          <w:tcPr>
            <w:tcW w:w="1134" w:type="dxa"/>
            <w:vAlign w:val="center"/>
          </w:tcPr>
          <w:p w14:paraId="6435D5CE">
            <w:pPr>
              <w:pStyle w:val="13"/>
            </w:pPr>
            <w:r>
              <w:t>A02010105</w:t>
            </w:r>
          </w:p>
        </w:tc>
        <w:tc>
          <w:tcPr>
            <w:tcW w:w="709" w:type="dxa"/>
            <w:vAlign w:val="center"/>
          </w:tcPr>
          <w:p w14:paraId="1F67558F">
            <w:pPr>
              <w:pStyle w:val="12"/>
            </w:pPr>
            <w:r>
              <w:t xml:space="preserve"> 万元</w:t>
            </w:r>
          </w:p>
        </w:tc>
        <w:tc>
          <w:tcPr>
            <w:tcW w:w="850" w:type="dxa"/>
            <w:vAlign w:val="center"/>
          </w:tcPr>
          <w:p w14:paraId="433B5B1B">
            <w:pPr>
              <w:pStyle w:val="14"/>
            </w:pPr>
            <w:r>
              <w:t>5</w:t>
            </w:r>
          </w:p>
        </w:tc>
        <w:tc>
          <w:tcPr>
            <w:tcW w:w="850" w:type="dxa"/>
            <w:vAlign w:val="center"/>
          </w:tcPr>
          <w:p w14:paraId="2E7B7926">
            <w:pPr>
              <w:pStyle w:val="14"/>
            </w:pPr>
            <w:r>
              <w:t>0.41</w:t>
            </w:r>
          </w:p>
        </w:tc>
        <w:tc>
          <w:tcPr>
            <w:tcW w:w="964" w:type="dxa"/>
            <w:vAlign w:val="center"/>
          </w:tcPr>
          <w:p w14:paraId="71B00D8D">
            <w:pPr>
              <w:pStyle w:val="14"/>
            </w:pPr>
            <w:r>
              <w:t>2.05</w:t>
            </w:r>
          </w:p>
        </w:tc>
        <w:tc>
          <w:tcPr>
            <w:tcW w:w="964" w:type="dxa"/>
            <w:vAlign w:val="center"/>
          </w:tcPr>
          <w:p w14:paraId="6A1A8659">
            <w:pPr>
              <w:pStyle w:val="14"/>
            </w:pPr>
            <w:r>
              <w:t>2.05</w:t>
            </w:r>
          </w:p>
        </w:tc>
        <w:tc>
          <w:tcPr>
            <w:tcW w:w="964" w:type="dxa"/>
            <w:vAlign w:val="center"/>
          </w:tcPr>
          <w:p w14:paraId="560A77CF">
            <w:pPr>
              <w:pStyle w:val="14"/>
            </w:pPr>
          </w:p>
        </w:tc>
        <w:tc>
          <w:tcPr>
            <w:tcW w:w="964" w:type="dxa"/>
            <w:vAlign w:val="center"/>
          </w:tcPr>
          <w:p w14:paraId="09EB6276">
            <w:pPr>
              <w:pStyle w:val="14"/>
            </w:pPr>
          </w:p>
        </w:tc>
        <w:tc>
          <w:tcPr>
            <w:tcW w:w="964" w:type="dxa"/>
            <w:vAlign w:val="center"/>
          </w:tcPr>
          <w:p w14:paraId="58BD5CFD">
            <w:pPr>
              <w:pStyle w:val="14"/>
            </w:pPr>
          </w:p>
        </w:tc>
        <w:tc>
          <w:tcPr>
            <w:tcW w:w="964" w:type="dxa"/>
            <w:vAlign w:val="center"/>
          </w:tcPr>
          <w:p w14:paraId="7279C577">
            <w:pPr>
              <w:pStyle w:val="14"/>
            </w:pPr>
          </w:p>
        </w:tc>
        <w:tc>
          <w:tcPr>
            <w:tcW w:w="964" w:type="dxa"/>
            <w:vAlign w:val="center"/>
          </w:tcPr>
          <w:p w14:paraId="51D115DE">
            <w:pPr>
              <w:pStyle w:val="14"/>
            </w:pPr>
          </w:p>
        </w:tc>
        <w:tc>
          <w:tcPr>
            <w:tcW w:w="964" w:type="dxa"/>
            <w:vAlign w:val="center"/>
          </w:tcPr>
          <w:p w14:paraId="21F39AC8">
            <w:pPr>
              <w:pStyle w:val="14"/>
            </w:pPr>
            <w:r>
              <w:t>2.05</w:t>
            </w:r>
          </w:p>
        </w:tc>
      </w:tr>
      <w:tr w14:paraId="5D29C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AF3B47">
            <w:pPr>
              <w:pStyle w:val="13"/>
            </w:pPr>
            <w:r>
              <w:t>冀财教[2024]141号/省级/2025年义教补助经费/北村小学公用经费</w:t>
            </w:r>
          </w:p>
        </w:tc>
        <w:tc>
          <w:tcPr>
            <w:tcW w:w="964" w:type="dxa"/>
            <w:vAlign w:val="center"/>
          </w:tcPr>
          <w:p w14:paraId="1C0E77D6">
            <w:pPr>
              <w:pStyle w:val="14"/>
            </w:pPr>
            <w:r>
              <w:t>9.27</w:t>
            </w:r>
          </w:p>
        </w:tc>
        <w:tc>
          <w:tcPr>
            <w:tcW w:w="1134" w:type="dxa"/>
            <w:vAlign w:val="center"/>
          </w:tcPr>
          <w:p w14:paraId="0FFF2916">
            <w:pPr>
              <w:pStyle w:val="13"/>
            </w:pPr>
            <w:r>
              <w:t>台式计算机</w:t>
            </w:r>
          </w:p>
        </w:tc>
        <w:tc>
          <w:tcPr>
            <w:tcW w:w="1134" w:type="dxa"/>
            <w:vAlign w:val="center"/>
          </w:tcPr>
          <w:p w14:paraId="5FEEE493">
            <w:pPr>
              <w:pStyle w:val="13"/>
            </w:pPr>
            <w:r>
              <w:t>A02010105</w:t>
            </w:r>
          </w:p>
        </w:tc>
        <w:tc>
          <w:tcPr>
            <w:tcW w:w="709" w:type="dxa"/>
            <w:vAlign w:val="center"/>
          </w:tcPr>
          <w:p w14:paraId="416FF425">
            <w:pPr>
              <w:pStyle w:val="12"/>
            </w:pPr>
            <w:r>
              <w:t xml:space="preserve"> 万元</w:t>
            </w:r>
          </w:p>
        </w:tc>
        <w:tc>
          <w:tcPr>
            <w:tcW w:w="850" w:type="dxa"/>
            <w:vAlign w:val="center"/>
          </w:tcPr>
          <w:p w14:paraId="62E73CEF">
            <w:pPr>
              <w:pStyle w:val="14"/>
            </w:pPr>
            <w:r>
              <w:t>5</w:t>
            </w:r>
          </w:p>
        </w:tc>
        <w:tc>
          <w:tcPr>
            <w:tcW w:w="850" w:type="dxa"/>
            <w:vAlign w:val="center"/>
          </w:tcPr>
          <w:p w14:paraId="25C50BFC">
            <w:pPr>
              <w:pStyle w:val="14"/>
            </w:pPr>
            <w:r>
              <w:t>0.41</w:t>
            </w:r>
          </w:p>
        </w:tc>
        <w:tc>
          <w:tcPr>
            <w:tcW w:w="964" w:type="dxa"/>
            <w:vAlign w:val="center"/>
          </w:tcPr>
          <w:p w14:paraId="790FD6DD">
            <w:pPr>
              <w:pStyle w:val="14"/>
            </w:pPr>
            <w:r>
              <w:t>2.05</w:t>
            </w:r>
          </w:p>
        </w:tc>
        <w:tc>
          <w:tcPr>
            <w:tcW w:w="964" w:type="dxa"/>
            <w:vAlign w:val="center"/>
          </w:tcPr>
          <w:p w14:paraId="5844F263">
            <w:pPr>
              <w:pStyle w:val="14"/>
            </w:pPr>
            <w:r>
              <w:t>2.05</w:t>
            </w:r>
          </w:p>
        </w:tc>
        <w:tc>
          <w:tcPr>
            <w:tcW w:w="964" w:type="dxa"/>
            <w:vAlign w:val="center"/>
          </w:tcPr>
          <w:p w14:paraId="625F35E7">
            <w:pPr>
              <w:pStyle w:val="14"/>
            </w:pPr>
          </w:p>
        </w:tc>
        <w:tc>
          <w:tcPr>
            <w:tcW w:w="964" w:type="dxa"/>
            <w:vAlign w:val="center"/>
          </w:tcPr>
          <w:p w14:paraId="5C3DA45E">
            <w:pPr>
              <w:pStyle w:val="14"/>
            </w:pPr>
          </w:p>
        </w:tc>
        <w:tc>
          <w:tcPr>
            <w:tcW w:w="964" w:type="dxa"/>
            <w:vAlign w:val="center"/>
          </w:tcPr>
          <w:p w14:paraId="1EC8CCB3">
            <w:pPr>
              <w:pStyle w:val="14"/>
            </w:pPr>
          </w:p>
        </w:tc>
        <w:tc>
          <w:tcPr>
            <w:tcW w:w="964" w:type="dxa"/>
            <w:vAlign w:val="center"/>
          </w:tcPr>
          <w:p w14:paraId="7C416055">
            <w:pPr>
              <w:pStyle w:val="14"/>
            </w:pPr>
          </w:p>
        </w:tc>
        <w:tc>
          <w:tcPr>
            <w:tcW w:w="964" w:type="dxa"/>
            <w:vAlign w:val="center"/>
          </w:tcPr>
          <w:p w14:paraId="507C34B8">
            <w:pPr>
              <w:pStyle w:val="14"/>
            </w:pPr>
          </w:p>
        </w:tc>
        <w:tc>
          <w:tcPr>
            <w:tcW w:w="964" w:type="dxa"/>
            <w:vAlign w:val="center"/>
          </w:tcPr>
          <w:p w14:paraId="50DB34D3">
            <w:pPr>
              <w:pStyle w:val="14"/>
            </w:pPr>
            <w:r>
              <w:t>2.05</w:t>
            </w:r>
          </w:p>
        </w:tc>
      </w:tr>
      <w:tr w14:paraId="60CEF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C761431">
            <w:pPr>
              <w:pStyle w:val="13"/>
            </w:pPr>
            <w:r>
              <w:t>冀财教[2024]141号/省级/2025年义教补助经费/木花小学公用经费</w:t>
            </w:r>
          </w:p>
        </w:tc>
        <w:tc>
          <w:tcPr>
            <w:tcW w:w="964" w:type="dxa"/>
            <w:vAlign w:val="center"/>
          </w:tcPr>
          <w:p w14:paraId="48E9119C">
            <w:pPr>
              <w:pStyle w:val="14"/>
            </w:pPr>
            <w:r>
              <w:t>11.67</w:t>
            </w:r>
          </w:p>
        </w:tc>
        <w:tc>
          <w:tcPr>
            <w:tcW w:w="1134" w:type="dxa"/>
            <w:vAlign w:val="center"/>
          </w:tcPr>
          <w:p w14:paraId="68F141AB">
            <w:pPr>
              <w:pStyle w:val="13"/>
            </w:pPr>
            <w:r>
              <w:t>台式计算机</w:t>
            </w:r>
          </w:p>
        </w:tc>
        <w:tc>
          <w:tcPr>
            <w:tcW w:w="1134" w:type="dxa"/>
            <w:vAlign w:val="center"/>
          </w:tcPr>
          <w:p w14:paraId="52A25208">
            <w:pPr>
              <w:pStyle w:val="13"/>
            </w:pPr>
            <w:r>
              <w:t>A02010105</w:t>
            </w:r>
          </w:p>
        </w:tc>
        <w:tc>
          <w:tcPr>
            <w:tcW w:w="709" w:type="dxa"/>
            <w:vAlign w:val="center"/>
          </w:tcPr>
          <w:p w14:paraId="5FF3A3BC">
            <w:pPr>
              <w:pStyle w:val="12"/>
            </w:pPr>
            <w:r>
              <w:t xml:space="preserve"> 万元</w:t>
            </w:r>
          </w:p>
        </w:tc>
        <w:tc>
          <w:tcPr>
            <w:tcW w:w="850" w:type="dxa"/>
            <w:vAlign w:val="center"/>
          </w:tcPr>
          <w:p w14:paraId="1346927E">
            <w:pPr>
              <w:pStyle w:val="14"/>
            </w:pPr>
            <w:r>
              <w:t>5</w:t>
            </w:r>
          </w:p>
        </w:tc>
        <w:tc>
          <w:tcPr>
            <w:tcW w:w="850" w:type="dxa"/>
            <w:vAlign w:val="center"/>
          </w:tcPr>
          <w:p w14:paraId="73694DCA">
            <w:pPr>
              <w:pStyle w:val="14"/>
            </w:pPr>
            <w:r>
              <w:t>0.41</w:t>
            </w:r>
          </w:p>
        </w:tc>
        <w:tc>
          <w:tcPr>
            <w:tcW w:w="964" w:type="dxa"/>
            <w:vAlign w:val="center"/>
          </w:tcPr>
          <w:p w14:paraId="2937CA11">
            <w:pPr>
              <w:pStyle w:val="14"/>
            </w:pPr>
            <w:r>
              <w:t>2.05</w:t>
            </w:r>
          </w:p>
        </w:tc>
        <w:tc>
          <w:tcPr>
            <w:tcW w:w="964" w:type="dxa"/>
            <w:vAlign w:val="center"/>
          </w:tcPr>
          <w:p w14:paraId="377A745A">
            <w:pPr>
              <w:pStyle w:val="14"/>
            </w:pPr>
            <w:r>
              <w:t>2.05</w:t>
            </w:r>
          </w:p>
        </w:tc>
        <w:tc>
          <w:tcPr>
            <w:tcW w:w="964" w:type="dxa"/>
            <w:vAlign w:val="center"/>
          </w:tcPr>
          <w:p w14:paraId="553365DC">
            <w:pPr>
              <w:pStyle w:val="14"/>
            </w:pPr>
          </w:p>
        </w:tc>
        <w:tc>
          <w:tcPr>
            <w:tcW w:w="964" w:type="dxa"/>
            <w:vAlign w:val="center"/>
          </w:tcPr>
          <w:p w14:paraId="09DB4EAD">
            <w:pPr>
              <w:pStyle w:val="14"/>
            </w:pPr>
          </w:p>
        </w:tc>
        <w:tc>
          <w:tcPr>
            <w:tcW w:w="964" w:type="dxa"/>
            <w:vAlign w:val="center"/>
          </w:tcPr>
          <w:p w14:paraId="3B25D3EC">
            <w:pPr>
              <w:pStyle w:val="14"/>
            </w:pPr>
          </w:p>
        </w:tc>
        <w:tc>
          <w:tcPr>
            <w:tcW w:w="964" w:type="dxa"/>
            <w:vAlign w:val="center"/>
          </w:tcPr>
          <w:p w14:paraId="0C9D253C">
            <w:pPr>
              <w:pStyle w:val="14"/>
            </w:pPr>
          </w:p>
        </w:tc>
        <w:tc>
          <w:tcPr>
            <w:tcW w:w="964" w:type="dxa"/>
            <w:vAlign w:val="center"/>
          </w:tcPr>
          <w:p w14:paraId="34329438">
            <w:pPr>
              <w:pStyle w:val="14"/>
            </w:pPr>
          </w:p>
        </w:tc>
        <w:tc>
          <w:tcPr>
            <w:tcW w:w="964" w:type="dxa"/>
            <w:vAlign w:val="center"/>
          </w:tcPr>
          <w:p w14:paraId="4C856558">
            <w:pPr>
              <w:pStyle w:val="14"/>
            </w:pPr>
            <w:r>
              <w:t>2.05</w:t>
            </w:r>
          </w:p>
        </w:tc>
      </w:tr>
      <w:tr w14:paraId="77298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E92115">
            <w:pPr>
              <w:pStyle w:val="13"/>
            </w:pPr>
            <w:r>
              <w:t>冀财教[2024]141号/省级/2025年义教补助经费/亦城小学公用经费</w:t>
            </w:r>
          </w:p>
        </w:tc>
        <w:tc>
          <w:tcPr>
            <w:tcW w:w="964" w:type="dxa"/>
            <w:vAlign w:val="center"/>
          </w:tcPr>
          <w:p w14:paraId="063DC684">
            <w:pPr>
              <w:pStyle w:val="14"/>
            </w:pPr>
            <w:r>
              <w:t>7.19</w:t>
            </w:r>
          </w:p>
        </w:tc>
        <w:tc>
          <w:tcPr>
            <w:tcW w:w="1134" w:type="dxa"/>
            <w:vAlign w:val="center"/>
          </w:tcPr>
          <w:p w14:paraId="5C8EEBD2">
            <w:pPr>
              <w:pStyle w:val="13"/>
            </w:pPr>
            <w:r>
              <w:t>台式计算机</w:t>
            </w:r>
          </w:p>
        </w:tc>
        <w:tc>
          <w:tcPr>
            <w:tcW w:w="1134" w:type="dxa"/>
            <w:vAlign w:val="center"/>
          </w:tcPr>
          <w:p w14:paraId="4D4D69BB">
            <w:pPr>
              <w:pStyle w:val="13"/>
            </w:pPr>
            <w:r>
              <w:t>A02010105</w:t>
            </w:r>
          </w:p>
        </w:tc>
        <w:tc>
          <w:tcPr>
            <w:tcW w:w="709" w:type="dxa"/>
            <w:vAlign w:val="center"/>
          </w:tcPr>
          <w:p w14:paraId="428F0211">
            <w:pPr>
              <w:pStyle w:val="12"/>
            </w:pPr>
            <w:r>
              <w:t xml:space="preserve"> 万元</w:t>
            </w:r>
          </w:p>
        </w:tc>
        <w:tc>
          <w:tcPr>
            <w:tcW w:w="850" w:type="dxa"/>
            <w:vAlign w:val="center"/>
          </w:tcPr>
          <w:p w14:paraId="258F1223">
            <w:pPr>
              <w:pStyle w:val="14"/>
            </w:pPr>
            <w:r>
              <w:t>1</w:t>
            </w:r>
          </w:p>
        </w:tc>
        <w:tc>
          <w:tcPr>
            <w:tcW w:w="850" w:type="dxa"/>
            <w:vAlign w:val="center"/>
          </w:tcPr>
          <w:p w14:paraId="1775D5EC">
            <w:pPr>
              <w:pStyle w:val="14"/>
            </w:pPr>
            <w:r>
              <w:t>0.42</w:t>
            </w:r>
          </w:p>
        </w:tc>
        <w:tc>
          <w:tcPr>
            <w:tcW w:w="964" w:type="dxa"/>
            <w:vAlign w:val="center"/>
          </w:tcPr>
          <w:p w14:paraId="444A6A23">
            <w:pPr>
              <w:pStyle w:val="14"/>
            </w:pPr>
            <w:r>
              <w:t>0.42</w:t>
            </w:r>
          </w:p>
        </w:tc>
        <w:tc>
          <w:tcPr>
            <w:tcW w:w="964" w:type="dxa"/>
            <w:vAlign w:val="center"/>
          </w:tcPr>
          <w:p w14:paraId="4407E3CC">
            <w:pPr>
              <w:pStyle w:val="14"/>
            </w:pPr>
            <w:r>
              <w:t>0.42</w:t>
            </w:r>
          </w:p>
        </w:tc>
        <w:tc>
          <w:tcPr>
            <w:tcW w:w="964" w:type="dxa"/>
            <w:vAlign w:val="center"/>
          </w:tcPr>
          <w:p w14:paraId="25869B09">
            <w:pPr>
              <w:pStyle w:val="14"/>
            </w:pPr>
          </w:p>
        </w:tc>
        <w:tc>
          <w:tcPr>
            <w:tcW w:w="964" w:type="dxa"/>
            <w:vAlign w:val="center"/>
          </w:tcPr>
          <w:p w14:paraId="784A032F">
            <w:pPr>
              <w:pStyle w:val="14"/>
            </w:pPr>
          </w:p>
        </w:tc>
        <w:tc>
          <w:tcPr>
            <w:tcW w:w="964" w:type="dxa"/>
            <w:vAlign w:val="center"/>
          </w:tcPr>
          <w:p w14:paraId="785D79A1">
            <w:pPr>
              <w:pStyle w:val="14"/>
            </w:pPr>
          </w:p>
        </w:tc>
        <w:tc>
          <w:tcPr>
            <w:tcW w:w="964" w:type="dxa"/>
            <w:vAlign w:val="center"/>
          </w:tcPr>
          <w:p w14:paraId="0BD221B7">
            <w:pPr>
              <w:pStyle w:val="14"/>
            </w:pPr>
          </w:p>
        </w:tc>
        <w:tc>
          <w:tcPr>
            <w:tcW w:w="964" w:type="dxa"/>
            <w:vAlign w:val="center"/>
          </w:tcPr>
          <w:p w14:paraId="5BA4B5A1">
            <w:pPr>
              <w:pStyle w:val="14"/>
            </w:pPr>
          </w:p>
        </w:tc>
        <w:tc>
          <w:tcPr>
            <w:tcW w:w="964" w:type="dxa"/>
            <w:vAlign w:val="center"/>
          </w:tcPr>
          <w:p w14:paraId="5D900D35">
            <w:pPr>
              <w:pStyle w:val="14"/>
            </w:pPr>
            <w:r>
              <w:t>0.42</w:t>
            </w:r>
          </w:p>
        </w:tc>
      </w:tr>
      <w:tr w14:paraId="3E80E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81FA39">
            <w:pPr>
              <w:pStyle w:val="13"/>
            </w:pPr>
            <w:r>
              <w:t>冀财教[2024]142号/省级/2025年学前发展资金/双碑校区学前教育幼儿资助</w:t>
            </w:r>
          </w:p>
        </w:tc>
        <w:tc>
          <w:tcPr>
            <w:tcW w:w="964" w:type="dxa"/>
            <w:vAlign w:val="center"/>
          </w:tcPr>
          <w:p w14:paraId="45EA2BBE">
            <w:pPr>
              <w:pStyle w:val="14"/>
            </w:pPr>
            <w:r>
              <w:t>0.60</w:t>
            </w:r>
          </w:p>
        </w:tc>
        <w:tc>
          <w:tcPr>
            <w:tcW w:w="1134" w:type="dxa"/>
            <w:vAlign w:val="center"/>
          </w:tcPr>
          <w:p w14:paraId="30B20BCD">
            <w:pPr>
              <w:pStyle w:val="13"/>
            </w:pPr>
            <w:r>
              <w:t>复印纸</w:t>
            </w:r>
          </w:p>
        </w:tc>
        <w:tc>
          <w:tcPr>
            <w:tcW w:w="1134" w:type="dxa"/>
            <w:vAlign w:val="center"/>
          </w:tcPr>
          <w:p w14:paraId="74AEFB4A">
            <w:pPr>
              <w:pStyle w:val="13"/>
            </w:pPr>
            <w:r>
              <w:t>A05040101</w:t>
            </w:r>
          </w:p>
        </w:tc>
        <w:tc>
          <w:tcPr>
            <w:tcW w:w="709" w:type="dxa"/>
            <w:vAlign w:val="center"/>
          </w:tcPr>
          <w:p w14:paraId="329BBBA6">
            <w:pPr>
              <w:pStyle w:val="12"/>
            </w:pPr>
            <w:r>
              <w:t>包</w:t>
            </w:r>
          </w:p>
        </w:tc>
        <w:tc>
          <w:tcPr>
            <w:tcW w:w="850" w:type="dxa"/>
            <w:vAlign w:val="center"/>
          </w:tcPr>
          <w:p w14:paraId="3F7A5A41">
            <w:pPr>
              <w:pStyle w:val="14"/>
            </w:pPr>
            <w:r>
              <w:t>5</w:t>
            </w:r>
          </w:p>
        </w:tc>
        <w:tc>
          <w:tcPr>
            <w:tcW w:w="850" w:type="dxa"/>
            <w:vAlign w:val="center"/>
          </w:tcPr>
          <w:p w14:paraId="089B176A">
            <w:pPr>
              <w:pStyle w:val="14"/>
            </w:pPr>
            <w:r>
              <w:t>0.02</w:t>
            </w:r>
          </w:p>
        </w:tc>
        <w:tc>
          <w:tcPr>
            <w:tcW w:w="964" w:type="dxa"/>
            <w:vAlign w:val="center"/>
          </w:tcPr>
          <w:p w14:paraId="3D67F67B">
            <w:pPr>
              <w:pStyle w:val="14"/>
            </w:pPr>
            <w:r>
              <w:t>0.09</w:t>
            </w:r>
          </w:p>
        </w:tc>
        <w:tc>
          <w:tcPr>
            <w:tcW w:w="964" w:type="dxa"/>
            <w:vAlign w:val="center"/>
          </w:tcPr>
          <w:p w14:paraId="5E07C186">
            <w:pPr>
              <w:pStyle w:val="14"/>
            </w:pPr>
            <w:r>
              <w:t>0.09</w:t>
            </w:r>
          </w:p>
        </w:tc>
        <w:tc>
          <w:tcPr>
            <w:tcW w:w="964" w:type="dxa"/>
            <w:vAlign w:val="center"/>
          </w:tcPr>
          <w:p w14:paraId="75D1C539">
            <w:pPr>
              <w:pStyle w:val="14"/>
            </w:pPr>
          </w:p>
        </w:tc>
        <w:tc>
          <w:tcPr>
            <w:tcW w:w="964" w:type="dxa"/>
            <w:vAlign w:val="center"/>
          </w:tcPr>
          <w:p w14:paraId="09914EB2">
            <w:pPr>
              <w:pStyle w:val="14"/>
            </w:pPr>
          </w:p>
        </w:tc>
        <w:tc>
          <w:tcPr>
            <w:tcW w:w="964" w:type="dxa"/>
            <w:vAlign w:val="center"/>
          </w:tcPr>
          <w:p w14:paraId="3FC88FDA">
            <w:pPr>
              <w:pStyle w:val="14"/>
            </w:pPr>
          </w:p>
        </w:tc>
        <w:tc>
          <w:tcPr>
            <w:tcW w:w="964" w:type="dxa"/>
            <w:vAlign w:val="center"/>
          </w:tcPr>
          <w:p w14:paraId="1D2BFE34">
            <w:pPr>
              <w:pStyle w:val="14"/>
            </w:pPr>
          </w:p>
        </w:tc>
        <w:tc>
          <w:tcPr>
            <w:tcW w:w="964" w:type="dxa"/>
            <w:vAlign w:val="center"/>
          </w:tcPr>
          <w:p w14:paraId="726C1F5D">
            <w:pPr>
              <w:pStyle w:val="14"/>
            </w:pPr>
          </w:p>
        </w:tc>
        <w:tc>
          <w:tcPr>
            <w:tcW w:w="964" w:type="dxa"/>
            <w:vAlign w:val="center"/>
          </w:tcPr>
          <w:p w14:paraId="230E2318">
            <w:pPr>
              <w:pStyle w:val="14"/>
            </w:pPr>
            <w:r>
              <w:t>0.09</w:t>
            </w:r>
          </w:p>
        </w:tc>
      </w:tr>
      <w:tr w14:paraId="6DEDA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AC0D14">
            <w:pPr>
              <w:pStyle w:val="13"/>
            </w:pPr>
            <w:r>
              <w:t>县级配套/双碑校区学前教育幼儿资助</w:t>
            </w:r>
          </w:p>
        </w:tc>
        <w:tc>
          <w:tcPr>
            <w:tcW w:w="964" w:type="dxa"/>
            <w:vAlign w:val="center"/>
          </w:tcPr>
          <w:p w14:paraId="14254D9C">
            <w:pPr>
              <w:pStyle w:val="14"/>
            </w:pPr>
            <w:r>
              <w:t>0.60</w:t>
            </w:r>
          </w:p>
        </w:tc>
        <w:tc>
          <w:tcPr>
            <w:tcW w:w="1134" w:type="dxa"/>
            <w:vAlign w:val="center"/>
          </w:tcPr>
          <w:p w14:paraId="1273416A">
            <w:pPr>
              <w:pStyle w:val="13"/>
            </w:pPr>
            <w:r>
              <w:t>复印纸</w:t>
            </w:r>
          </w:p>
        </w:tc>
        <w:tc>
          <w:tcPr>
            <w:tcW w:w="1134" w:type="dxa"/>
            <w:vAlign w:val="center"/>
          </w:tcPr>
          <w:p w14:paraId="55653629">
            <w:pPr>
              <w:pStyle w:val="13"/>
            </w:pPr>
            <w:r>
              <w:t>A05040101</w:t>
            </w:r>
          </w:p>
        </w:tc>
        <w:tc>
          <w:tcPr>
            <w:tcW w:w="709" w:type="dxa"/>
            <w:vAlign w:val="center"/>
          </w:tcPr>
          <w:p w14:paraId="43D1880D">
            <w:pPr>
              <w:pStyle w:val="12"/>
            </w:pPr>
            <w:r>
              <w:t>包</w:t>
            </w:r>
          </w:p>
        </w:tc>
        <w:tc>
          <w:tcPr>
            <w:tcW w:w="850" w:type="dxa"/>
            <w:vAlign w:val="center"/>
          </w:tcPr>
          <w:p w14:paraId="0E7AE853">
            <w:pPr>
              <w:pStyle w:val="14"/>
            </w:pPr>
            <w:r>
              <w:t>5</w:t>
            </w:r>
          </w:p>
        </w:tc>
        <w:tc>
          <w:tcPr>
            <w:tcW w:w="850" w:type="dxa"/>
            <w:vAlign w:val="center"/>
          </w:tcPr>
          <w:p w14:paraId="417D05DD">
            <w:pPr>
              <w:pStyle w:val="14"/>
            </w:pPr>
            <w:r>
              <w:t>0.02</w:t>
            </w:r>
          </w:p>
        </w:tc>
        <w:tc>
          <w:tcPr>
            <w:tcW w:w="964" w:type="dxa"/>
            <w:vAlign w:val="center"/>
          </w:tcPr>
          <w:p w14:paraId="35CEEFC5">
            <w:pPr>
              <w:pStyle w:val="14"/>
            </w:pPr>
            <w:r>
              <w:t>0.09</w:t>
            </w:r>
          </w:p>
        </w:tc>
        <w:tc>
          <w:tcPr>
            <w:tcW w:w="964" w:type="dxa"/>
            <w:vAlign w:val="center"/>
          </w:tcPr>
          <w:p w14:paraId="22824BBB">
            <w:pPr>
              <w:pStyle w:val="14"/>
            </w:pPr>
            <w:r>
              <w:t>0.09</w:t>
            </w:r>
          </w:p>
        </w:tc>
        <w:tc>
          <w:tcPr>
            <w:tcW w:w="964" w:type="dxa"/>
            <w:vAlign w:val="center"/>
          </w:tcPr>
          <w:p w14:paraId="6E592C1D">
            <w:pPr>
              <w:pStyle w:val="14"/>
            </w:pPr>
          </w:p>
        </w:tc>
        <w:tc>
          <w:tcPr>
            <w:tcW w:w="964" w:type="dxa"/>
            <w:vAlign w:val="center"/>
          </w:tcPr>
          <w:p w14:paraId="7BA44E0F">
            <w:pPr>
              <w:pStyle w:val="14"/>
            </w:pPr>
          </w:p>
        </w:tc>
        <w:tc>
          <w:tcPr>
            <w:tcW w:w="964" w:type="dxa"/>
            <w:vAlign w:val="center"/>
          </w:tcPr>
          <w:p w14:paraId="5FC938D2">
            <w:pPr>
              <w:pStyle w:val="14"/>
            </w:pPr>
          </w:p>
        </w:tc>
        <w:tc>
          <w:tcPr>
            <w:tcW w:w="964" w:type="dxa"/>
            <w:vAlign w:val="center"/>
          </w:tcPr>
          <w:p w14:paraId="0CC84D1E">
            <w:pPr>
              <w:pStyle w:val="14"/>
            </w:pPr>
          </w:p>
        </w:tc>
        <w:tc>
          <w:tcPr>
            <w:tcW w:w="964" w:type="dxa"/>
            <w:vAlign w:val="center"/>
          </w:tcPr>
          <w:p w14:paraId="0995219D">
            <w:pPr>
              <w:pStyle w:val="14"/>
            </w:pPr>
          </w:p>
        </w:tc>
        <w:tc>
          <w:tcPr>
            <w:tcW w:w="964" w:type="dxa"/>
            <w:vAlign w:val="center"/>
          </w:tcPr>
          <w:p w14:paraId="37DB97DB">
            <w:pPr>
              <w:pStyle w:val="14"/>
            </w:pPr>
            <w:r>
              <w:t>0.09</w:t>
            </w:r>
          </w:p>
        </w:tc>
      </w:tr>
    </w:tbl>
    <w:p w14:paraId="0121BFD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294619">
      <w:pPr>
        <w:spacing w:before="0" w:after="0"/>
        <w:ind w:firstLine="640"/>
        <w:jc w:val="left"/>
        <w:outlineLvl w:val="9"/>
      </w:pPr>
      <w:r>
        <w:rPr>
          <w:rFonts w:ascii="Times New Roman" w:hAnsi="Times New Roman" w:eastAsia="方正仿宋_GBK" w:cs="Times New Roman"/>
          <w:color w:val="000000"/>
          <w:sz w:val="32"/>
        </w:rPr>
        <w:t xml:space="preserve"> </w:t>
      </w:r>
    </w:p>
    <w:p w14:paraId="2F55A37A">
      <w:pPr>
        <w:spacing w:before="10" w:after="10" w:line="240" w:lineRule="auto"/>
        <w:ind w:firstLine="640"/>
        <w:jc w:val="left"/>
        <w:outlineLvl w:val="5"/>
      </w:pPr>
      <w:r>
        <w:rPr>
          <w:rFonts w:ascii="黑体" w:hAnsi="黑体" w:eastAsia="黑体" w:cs="黑体"/>
          <w:color w:val="000000"/>
          <w:sz w:val="32"/>
        </w:rPr>
        <w:t>七、国有资产信息</w:t>
      </w:r>
    </w:p>
    <w:p w14:paraId="16D5F192">
      <w:pPr>
        <w:spacing w:before="0" w:after="0" w:line="500" w:lineRule="exact"/>
        <w:ind w:firstLine="560"/>
        <w:jc w:val="left"/>
        <w:outlineLvl w:val="9"/>
      </w:pPr>
      <w:r>
        <w:rPr>
          <w:rFonts w:ascii="Times New Roman" w:hAnsi="Times New Roman" w:eastAsia="方正仿宋_GBK" w:cs="Times New Roman"/>
          <w:b w:val="0"/>
          <w:color w:val="000000"/>
          <w:sz w:val="28"/>
        </w:rPr>
        <w:t>隆尧县双碑校区上年末固定资产金额为2173.83万元（详见下表）。本年度拟购置固定资产总额为21.69万元，已按要求列入政府采购预算，详见政府采购预算表。</w:t>
      </w:r>
    </w:p>
    <w:p w14:paraId="45EA423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4DEA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2E28A70">
            <w:pPr>
              <w:pStyle w:val="8"/>
            </w:pPr>
            <w:r>
              <w:t>360020隆尧县双碑校区</w:t>
            </w:r>
          </w:p>
        </w:tc>
        <w:tc>
          <w:tcPr>
            <w:tcW w:w="5670" w:type="dxa"/>
            <w:gridSpan w:val="2"/>
            <w:tcBorders>
              <w:top w:val="single" w:color="FFFFFF" w:sz="6" w:space="0"/>
              <w:left w:val="single" w:color="FFFFFF" w:sz="6" w:space="0"/>
              <w:right w:val="single" w:color="FFFFFF" w:sz="6" w:space="0"/>
            </w:tcBorders>
            <w:vAlign w:val="center"/>
          </w:tcPr>
          <w:p w14:paraId="1DD0D83C">
            <w:pPr>
              <w:pStyle w:val="10"/>
            </w:pPr>
            <w:r>
              <w:t>截止时间：2024-12-31</w:t>
            </w:r>
          </w:p>
        </w:tc>
      </w:tr>
      <w:tr w14:paraId="3FB66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376153A">
            <w:pPr>
              <w:pStyle w:val="11"/>
            </w:pPr>
            <w:r>
              <w:t>项   目</w:t>
            </w:r>
          </w:p>
        </w:tc>
        <w:tc>
          <w:tcPr>
            <w:tcW w:w="2835" w:type="dxa"/>
            <w:vAlign w:val="center"/>
          </w:tcPr>
          <w:p w14:paraId="32B8F806">
            <w:pPr>
              <w:pStyle w:val="11"/>
            </w:pPr>
            <w:r>
              <w:t>数量</w:t>
            </w:r>
          </w:p>
        </w:tc>
        <w:tc>
          <w:tcPr>
            <w:tcW w:w="2835" w:type="dxa"/>
            <w:vAlign w:val="center"/>
          </w:tcPr>
          <w:p w14:paraId="6D47CB52">
            <w:pPr>
              <w:pStyle w:val="11"/>
            </w:pPr>
            <w:r>
              <w:t>价值（金额单位：万元）</w:t>
            </w:r>
          </w:p>
        </w:tc>
      </w:tr>
      <w:tr w14:paraId="799D4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043B4A">
            <w:pPr>
              <w:pStyle w:val="13"/>
            </w:pPr>
            <w:r>
              <w:t>资产总额</w:t>
            </w:r>
          </w:p>
        </w:tc>
        <w:tc>
          <w:tcPr>
            <w:tcW w:w="2835" w:type="dxa"/>
            <w:vAlign w:val="center"/>
          </w:tcPr>
          <w:p w14:paraId="13C586A4">
            <w:pPr>
              <w:pStyle w:val="12"/>
            </w:pPr>
          </w:p>
        </w:tc>
        <w:tc>
          <w:tcPr>
            <w:tcW w:w="2835" w:type="dxa"/>
            <w:vAlign w:val="center"/>
          </w:tcPr>
          <w:p w14:paraId="45695225">
            <w:pPr>
              <w:pStyle w:val="14"/>
            </w:pPr>
            <w:r>
              <w:t>2173.83</w:t>
            </w:r>
          </w:p>
        </w:tc>
      </w:tr>
      <w:tr w14:paraId="30208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D15545">
            <w:pPr>
              <w:pStyle w:val="13"/>
            </w:pPr>
            <w:r>
              <w:t>1、房屋（平方米）</w:t>
            </w:r>
          </w:p>
        </w:tc>
        <w:tc>
          <w:tcPr>
            <w:tcW w:w="2835" w:type="dxa"/>
            <w:vAlign w:val="center"/>
          </w:tcPr>
          <w:p w14:paraId="2237209A">
            <w:pPr>
              <w:pStyle w:val="12"/>
            </w:pPr>
            <w:r>
              <w:t>1892269</w:t>
            </w:r>
          </w:p>
        </w:tc>
        <w:tc>
          <w:tcPr>
            <w:tcW w:w="2835" w:type="dxa"/>
            <w:vAlign w:val="center"/>
          </w:tcPr>
          <w:p w14:paraId="6609523C">
            <w:pPr>
              <w:pStyle w:val="14"/>
            </w:pPr>
            <w:r>
              <w:t>1213.07</w:t>
            </w:r>
          </w:p>
        </w:tc>
      </w:tr>
      <w:tr w14:paraId="23852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E5499D">
            <w:pPr>
              <w:pStyle w:val="13"/>
            </w:pPr>
            <w:r>
              <w:t>　　其中：办公用房（平方米）</w:t>
            </w:r>
          </w:p>
        </w:tc>
        <w:tc>
          <w:tcPr>
            <w:tcW w:w="2835" w:type="dxa"/>
            <w:vAlign w:val="center"/>
          </w:tcPr>
          <w:p w14:paraId="7626C716">
            <w:pPr>
              <w:pStyle w:val="12"/>
            </w:pPr>
            <w:r>
              <w:t>183869</w:t>
            </w:r>
          </w:p>
        </w:tc>
        <w:tc>
          <w:tcPr>
            <w:tcW w:w="2835" w:type="dxa"/>
            <w:vAlign w:val="center"/>
          </w:tcPr>
          <w:p w14:paraId="22D50FBB">
            <w:pPr>
              <w:pStyle w:val="14"/>
            </w:pPr>
            <w:r>
              <w:t>136.29</w:t>
            </w:r>
          </w:p>
        </w:tc>
      </w:tr>
      <w:tr w14:paraId="7DAD3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52198D">
            <w:pPr>
              <w:pStyle w:val="13"/>
            </w:pPr>
            <w:r>
              <w:t>2、车辆（台、辆）</w:t>
            </w:r>
          </w:p>
        </w:tc>
        <w:tc>
          <w:tcPr>
            <w:tcW w:w="2835" w:type="dxa"/>
            <w:vAlign w:val="center"/>
          </w:tcPr>
          <w:p w14:paraId="1D78B12C">
            <w:pPr>
              <w:pStyle w:val="12"/>
            </w:pPr>
          </w:p>
        </w:tc>
        <w:tc>
          <w:tcPr>
            <w:tcW w:w="2835" w:type="dxa"/>
            <w:vAlign w:val="center"/>
          </w:tcPr>
          <w:p w14:paraId="2043C1BD">
            <w:pPr>
              <w:pStyle w:val="14"/>
            </w:pPr>
          </w:p>
        </w:tc>
      </w:tr>
      <w:tr w14:paraId="45B46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AF8BE4">
            <w:pPr>
              <w:pStyle w:val="13"/>
            </w:pPr>
            <w:r>
              <w:t>3、单价在20万元以上的设备</w:t>
            </w:r>
          </w:p>
        </w:tc>
        <w:tc>
          <w:tcPr>
            <w:tcW w:w="2835" w:type="dxa"/>
            <w:vAlign w:val="center"/>
          </w:tcPr>
          <w:p w14:paraId="0ED4F1A8">
            <w:pPr>
              <w:pStyle w:val="12"/>
            </w:pPr>
            <w:r>
              <w:t>1</w:t>
            </w:r>
          </w:p>
        </w:tc>
        <w:tc>
          <w:tcPr>
            <w:tcW w:w="2835" w:type="dxa"/>
            <w:vAlign w:val="center"/>
          </w:tcPr>
          <w:p w14:paraId="7A3D216E">
            <w:pPr>
              <w:pStyle w:val="14"/>
            </w:pPr>
            <w:r>
              <w:t>26.28</w:t>
            </w:r>
          </w:p>
        </w:tc>
      </w:tr>
      <w:tr w14:paraId="1A44D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54BC5E">
            <w:pPr>
              <w:pStyle w:val="13"/>
            </w:pPr>
            <w:r>
              <w:t>4、其他固定资产</w:t>
            </w:r>
          </w:p>
        </w:tc>
        <w:tc>
          <w:tcPr>
            <w:tcW w:w="2835" w:type="dxa"/>
            <w:vAlign w:val="center"/>
          </w:tcPr>
          <w:p w14:paraId="7D3CB511">
            <w:pPr>
              <w:pStyle w:val="12"/>
            </w:pPr>
            <w:r>
              <w:t>5368</w:t>
            </w:r>
          </w:p>
        </w:tc>
        <w:tc>
          <w:tcPr>
            <w:tcW w:w="2835" w:type="dxa"/>
            <w:vAlign w:val="center"/>
          </w:tcPr>
          <w:p w14:paraId="6BEC0A21">
            <w:pPr>
              <w:pStyle w:val="14"/>
            </w:pPr>
            <w:r>
              <w:t>934.48</w:t>
            </w:r>
          </w:p>
        </w:tc>
      </w:tr>
    </w:tbl>
    <w:p w14:paraId="4563C722">
      <w:pPr>
        <w:spacing w:before="0" w:after="0"/>
        <w:ind w:firstLine="640"/>
        <w:jc w:val="left"/>
        <w:outlineLvl w:val="9"/>
      </w:pPr>
      <w:r>
        <w:rPr>
          <w:rFonts w:ascii="Times New Roman" w:hAnsi="Times New Roman" w:eastAsia="方正仿宋_GBK" w:cs="Times New Roman"/>
          <w:color w:val="000000"/>
          <w:sz w:val="32"/>
        </w:rPr>
        <w:t xml:space="preserve"> </w:t>
      </w:r>
    </w:p>
    <w:p w14:paraId="7280552B">
      <w:pPr>
        <w:spacing w:before="10" w:after="10" w:line="240" w:lineRule="auto"/>
        <w:ind w:firstLine="640"/>
        <w:jc w:val="left"/>
        <w:outlineLvl w:val="5"/>
      </w:pPr>
      <w:r>
        <w:rPr>
          <w:rFonts w:ascii="黑体" w:hAnsi="黑体" w:eastAsia="黑体" w:cs="黑体"/>
          <w:color w:val="000000"/>
          <w:sz w:val="32"/>
        </w:rPr>
        <w:t>八、名词解释</w:t>
      </w:r>
    </w:p>
    <w:p w14:paraId="550AFAC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5057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86121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53AF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FE9A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E993F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D3D59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66B6C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334D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99977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E0422A">
      <w:pPr>
        <w:spacing w:before="10" w:after="10" w:line="240" w:lineRule="auto"/>
        <w:ind w:firstLine="640"/>
        <w:jc w:val="left"/>
        <w:outlineLvl w:val="5"/>
      </w:pPr>
      <w:r>
        <w:rPr>
          <w:rFonts w:ascii="黑体" w:hAnsi="黑体" w:eastAsia="黑体" w:cs="黑体"/>
          <w:color w:val="000000"/>
          <w:sz w:val="32"/>
        </w:rPr>
        <w:t>九、其他需要说明的事项</w:t>
      </w:r>
    </w:p>
    <w:p w14:paraId="2B031C2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C069A5B">
      <w:pPr>
        <w:spacing w:before="0" w:after="0"/>
        <w:ind w:firstLine="0"/>
        <w:jc w:val="center"/>
        <w:outlineLvl w:val="3"/>
      </w:pPr>
      <w:bookmarkStart w:id="20" w:name="_Toc_4_4_0000000040"/>
      <w:r>
        <w:rPr>
          <w:rFonts w:ascii="方正小标宋_GBK" w:hAnsi="方正小标宋_GBK" w:eastAsia="方正小标宋_GBK" w:cs="方正小标宋_GBK"/>
          <w:b w:val="0"/>
          <w:color w:val="000000"/>
          <w:sz w:val="44"/>
        </w:rPr>
        <w:t>二十、隆尧县山口校区收支预算</w:t>
      </w:r>
      <w:bookmarkEnd w:id="20"/>
    </w:p>
    <w:p w14:paraId="715A28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8AAB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790616">
            <w:pPr>
              <w:pStyle w:val="8"/>
            </w:pPr>
            <w:r>
              <w:t>360021隆尧县山口校区</w:t>
            </w:r>
          </w:p>
        </w:tc>
        <w:tc>
          <w:tcPr>
            <w:tcW w:w="2126" w:type="dxa"/>
            <w:tcBorders>
              <w:top w:val="single" w:color="FFFFFF" w:sz="6" w:space="0"/>
              <w:left w:val="single" w:color="FFFFFF" w:sz="6" w:space="0"/>
              <w:right w:val="single" w:color="FFFFFF" w:sz="6" w:space="0"/>
            </w:tcBorders>
            <w:vAlign w:val="center"/>
          </w:tcPr>
          <w:p w14:paraId="2CD048B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C835CC4">
            <w:pPr>
              <w:pStyle w:val="10"/>
            </w:pPr>
            <w:r>
              <w:t>单位：万元</w:t>
            </w:r>
          </w:p>
        </w:tc>
      </w:tr>
      <w:tr w14:paraId="47626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307A1">
            <w:pPr>
              <w:pStyle w:val="11"/>
            </w:pPr>
            <w:r>
              <w:t>序号</w:t>
            </w:r>
          </w:p>
        </w:tc>
        <w:tc>
          <w:tcPr>
            <w:tcW w:w="6661" w:type="dxa"/>
            <w:gridSpan w:val="2"/>
            <w:vAlign w:val="center"/>
          </w:tcPr>
          <w:p w14:paraId="47EA4317">
            <w:pPr>
              <w:pStyle w:val="11"/>
            </w:pPr>
            <w:r>
              <w:t>收入</w:t>
            </w:r>
          </w:p>
        </w:tc>
        <w:tc>
          <w:tcPr>
            <w:tcW w:w="6661" w:type="dxa"/>
            <w:gridSpan w:val="2"/>
            <w:vAlign w:val="center"/>
          </w:tcPr>
          <w:p w14:paraId="49245B23">
            <w:pPr>
              <w:pStyle w:val="11"/>
            </w:pPr>
            <w:r>
              <w:t>支出</w:t>
            </w:r>
          </w:p>
        </w:tc>
      </w:tr>
      <w:tr w14:paraId="7B726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178C55"/>
        </w:tc>
        <w:tc>
          <w:tcPr>
            <w:tcW w:w="4535" w:type="dxa"/>
            <w:vAlign w:val="center"/>
          </w:tcPr>
          <w:p w14:paraId="4216BFCA">
            <w:pPr>
              <w:pStyle w:val="11"/>
            </w:pPr>
            <w:r>
              <w:t>项  目</w:t>
            </w:r>
          </w:p>
        </w:tc>
        <w:tc>
          <w:tcPr>
            <w:tcW w:w="2126" w:type="dxa"/>
            <w:vAlign w:val="center"/>
          </w:tcPr>
          <w:p w14:paraId="0FB4E2E6">
            <w:pPr>
              <w:pStyle w:val="11"/>
            </w:pPr>
            <w:r>
              <w:t>预算数</w:t>
            </w:r>
          </w:p>
        </w:tc>
        <w:tc>
          <w:tcPr>
            <w:tcW w:w="4535" w:type="dxa"/>
            <w:vAlign w:val="center"/>
          </w:tcPr>
          <w:p w14:paraId="7DDEA19C">
            <w:pPr>
              <w:pStyle w:val="11"/>
            </w:pPr>
            <w:r>
              <w:t>项  目</w:t>
            </w:r>
          </w:p>
        </w:tc>
        <w:tc>
          <w:tcPr>
            <w:tcW w:w="2126" w:type="dxa"/>
            <w:vAlign w:val="center"/>
          </w:tcPr>
          <w:p w14:paraId="5760DAA9">
            <w:pPr>
              <w:pStyle w:val="11"/>
            </w:pPr>
            <w:r>
              <w:t>预算数</w:t>
            </w:r>
          </w:p>
        </w:tc>
      </w:tr>
      <w:tr w14:paraId="395E6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AB2B39">
            <w:pPr>
              <w:pStyle w:val="11"/>
            </w:pPr>
            <w:r>
              <w:t>栏次</w:t>
            </w:r>
          </w:p>
        </w:tc>
        <w:tc>
          <w:tcPr>
            <w:tcW w:w="4535" w:type="dxa"/>
            <w:vAlign w:val="center"/>
          </w:tcPr>
          <w:p w14:paraId="7DDDA5BC">
            <w:pPr>
              <w:pStyle w:val="11"/>
            </w:pPr>
            <w:r>
              <w:t>1</w:t>
            </w:r>
          </w:p>
        </w:tc>
        <w:tc>
          <w:tcPr>
            <w:tcW w:w="2126" w:type="dxa"/>
            <w:vAlign w:val="center"/>
          </w:tcPr>
          <w:p w14:paraId="59D8E0EF">
            <w:pPr>
              <w:pStyle w:val="11"/>
            </w:pPr>
            <w:r>
              <w:t>2</w:t>
            </w:r>
          </w:p>
        </w:tc>
        <w:tc>
          <w:tcPr>
            <w:tcW w:w="4535" w:type="dxa"/>
            <w:vAlign w:val="center"/>
          </w:tcPr>
          <w:p w14:paraId="57D259F4">
            <w:pPr>
              <w:pStyle w:val="11"/>
            </w:pPr>
            <w:r>
              <w:t>3</w:t>
            </w:r>
          </w:p>
        </w:tc>
        <w:tc>
          <w:tcPr>
            <w:tcW w:w="2126" w:type="dxa"/>
            <w:vAlign w:val="center"/>
          </w:tcPr>
          <w:p w14:paraId="567C4AB7">
            <w:pPr>
              <w:pStyle w:val="11"/>
            </w:pPr>
            <w:r>
              <w:t>4</w:t>
            </w:r>
          </w:p>
        </w:tc>
      </w:tr>
      <w:tr w14:paraId="063B8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4A946">
            <w:pPr>
              <w:pStyle w:val="12"/>
            </w:pPr>
            <w:r>
              <w:t>1</w:t>
            </w:r>
          </w:p>
        </w:tc>
        <w:tc>
          <w:tcPr>
            <w:tcW w:w="4535" w:type="dxa"/>
            <w:vAlign w:val="center"/>
          </w:tcPr>
          <w:p w14:paraId="392A685F">
            <w:pPr>
              <w:pStyle w:val="13"/>
            </w:pPr>
            <w:r>
              <w:t>一、一般公共预算拨款收入</w:t>
            </w:r>
          </w:p>
        </w:tc>
        <w:tc>
          <w:tcPr>
            <w:tcW w:w="2126" w:type="dxa"/>
            <w:vAlign w:val="center"/>
          </w:tcPr>
          <w:p w14:paraId="1F58BEC7">
            <w:pPr>
              <w:pStyle w:val="14"/>
            </w:pPr>
            <w:r>
              <w:t>3004.40</w:t>
            </w:r>
          </w:p>
        </w:tc>
        <w:tc>
          <w:tcPr>
            <w:tcW w:w="4535" w:type="dxa"/>
            <w:vAlign w:val="center"/>
          </w:tcPr>
          <w:p w14:paraId="5C85CDA9">
            <w:pPr>
              <w:pStyle w:val="13"/>
            </w:pPr>
            <w:r>
              <w:t>一、一般公共服务支出</w:t>
            </w:r>
          </w:p>
        </w:tc>
        <w:tc>
          <w:tcPr>
            <w:tcW w:w="2126" w:type="dxa"/>
            <w:vAlign w:val="center"/>
          </w:tcPr>
          <w:p w14:paraId="45F591A9">
            <w:pPr>
              <w:pStyle w:val="14"/>
            </w:pPr>
          </w:p>
        </w:tc>
      </w:tr>
      <w:tr w14:paraId="60D31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4D9E2">
            <w:pPr>
              <w:pStyle w:val="12"/>
            </w:pPr>
            <w:r>
              <w:t>2</w:t>
            </w:r>
          </w:p>
        </w:tc>
        <w:tc>
          <w:tcPr>
            <w:tcW w:w="4535" w:type="dxa"/>
            <w:vAlign w:val="center"/>
          </w:tcPr>
          <w:p w14:paraId="1E8FC656">
            <w:pPr>
              <w:pStyle w:val="13"/>
            </w:pPr>
            <w:r>
              <w:t>二、政府性基金预算拨款收入</w:t>
            </w:r>
          </w:p>
        </w:tc>
        <w:tc>
          <w:tcPr>
            <w:tcW w:w="2126" w:type="dxa"/>
            <w:vAlign w:val="center"/>
          </w:tcPr>
          <w:p w14:paraId="029E1399">
            <w:pPr>
              <w:pStyle w:val="14"/>
            </w:pPr>
          </w:p>
        </w:tc>
        <w:tc>
          <w:tcPr>
            <w:tcW w:w="4535" w:type="dxa"/>
            <w:vAlign w:val="center"/>
          </w:tcPr>
          <w:p w14:paraId="78096116">
            <w:pPr>
              <w:pStyle w:val="13"/>
            </w:pPr>
            <w:r>
              <w:t>二、外交支出</w:t>
            </w:r>
          </w:p>
        </w:tc>
        <w:tc>
          <w:tcPr>
            <w:tcW w:w="2126" w:type="dxa"/>
            <w:vAlign w:val="center"/>
          </w:tcPr>
          <w:p w14:paraId="0E4AF574">
            <w:pPr>
              <w:pStyle w:val="14"/>
            </w:pPr>
          </w:p>
        </w:tc>
      </w:tr>
      <w:tr w14:paraId="0C133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2BF55">
            <w:pPr>
              <w:pStyle w:val="12"/>
            </w:pPr>
            <w:r>
              <w:t>3</w:t>
            </w:r>
          </w:p>
        </w:tc>
        <w:tc>
          <w:tcPr>
            <w:tcW w:w="4535" w:type="dxa"/>
            <w:vAlign w:val="center"/>
          </w:tcPr>
          <w:p w14:paraId="78ACEF9A">
            <w:pPr>
              <w:pStyle w:val="13"/>
            </w:pPr>
            <w:r>
              <w:t>三、国有资本经营预算拨款收入</w:t>
            </w:r>
          </w:p>
        </w:tc>
        <w:tc>
          <w:tcPr>
            <w:tcW w:w="2126" w:type="dxa"/>
            <w:vAlign w:val="center"/>
          </w:tcPr>
          <w:p w14:paraId="4F485A2A">
            <w:pPr>
              <w:pStyle w:val="14"/>
            </w:pPr>
          </w:p>
        </w:tc>
        <w:tc>
          <w:tcPr>
            <w:tcW w:w="4535" w:type="dxa"/>
            <w:vAlign w:val="center"/>
          </w:tcPr>
          <w:p w14:paraId="3AD776A9">
            <w:pPr>
              <w:pStyle w:val="13"/>
            </w:pPr>
            <w:r>
              <w:t>三、国防支出</w:t>
            </w:r>
          </w:p>
        </w:tc>
        <w:tc>
          <w:tcPr>
            <w:tcW w:w="2126" w:type="dxa"/>
            <w:vAlign w:val="center"/>
          </w:tcPr>
          <w:p w14:paraId="35063818">
            <w:pPr>
              <w:pStyle w:val="14"/>
            </w:pPr>
          </w:p>
        </w:tc>
      </w:tr>
      <w:tr w14:paraId="52795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FE173">
            <w:pPr>
              <w:pStyle w:val="12"/>
            </w:pPr>
            <w:r>
              <w:t>4</w:t>
            </w:r>
          </w:p>
        </w:tc>
        <w:tc>
          <w:tcPr>
            <w:tcW w:w="4535" w:type="dxa"/>
            <w:vAlign w:val="center"/>
          </w:tcPr>
          <w:p w14:paraId="4FA40EE5">
            <w:pPr>
              <w:pStyle w:val="13"/>
            </w:pPr>
            <w:r>
              <w:t>四、财政专户管理资金收入</w:t>
            </w:r>
          </w:p>
        </w:tc>
        <w:tc>
          <w:tcPr>
            <w:tcW w:w="2126" w:type="dxa"/>
            <w:vAlign w:val="center"/>
          </w:tcPr>
          <w:p w14:paraId="10DC9DD3">
            <w:pPr>
              <w:pStyle w:val="14"/>
            </w:pPr>
          </w:p>
        </w:tc>
        <w:tc>
          <w:tcPr>
            <w:tcW w:w="4535" w:type="dxa"/>
            <w:vAlign w:val="center"/>
          </w:tcPr>
          <w:p w14:paraId="0101BB0C">
            <w:pPr>
              <w:pStyle w:val="13"/>
            </w:pPr>
            <w:r>
              <w:t>四、公共安全支出</w:t>
            </w:r>
          </w:p>
        </w:tc>
        <w:tc>
          <w:tcPr>
            <w:tcW w:w="2126" w:type="dxa"/>
            <w:vAlign w:val="center"/>
          </w:tcPr>
          <w:p w14:paraId="2BE01C70">
            <w:pPr>
              <w:pStyle w:val="14"/>
            </w:pPr>
          </w:p>
        </w:tc>
      </w:tr>
      <w:tr w14:paraId="6A6F8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C2230">
            <w:pPr>
              <w:pStyle w:val="12"/>
            </w:pPr>
            <w:r>
              <w:t>5</w:t>
            </w:r>
          </w:p>
        </w:tc>
        <w:tc>
          <w:tcPr>
            <w:tcW w:w="4535" w:type="dxa"/>
            <w:vAlign w:val="center"/>
          </w:tcPr>
          <w:p w14:paraId="301BD7F2">
            <w:pPr>
              <w:pStyle w:val="13"/>
            </w:pPr>
            <w:r>
              <w:t>五、单位资金</w:t>
            </w:r>
          </w:p>
        </w:tc>
        <w:tc>
          <w:tcPr>
            <w:tcW w:w="2126" w:type="dxa"/>
            <w:vAlign w:val="center"/>
          </w:tcPr>
          <w:p w14:paraId="6EDA289D">
            <w:pPr>
              <w:pStyle w:val="14"/>
            </w:pPr>
          </w:p>
        </w:tc>
        <w:tc>
          <w:tcPr>
            <w:tcW w:w="4535" w:type="dxa"/>
            <w:vAlign w:val="center"/>
          </w:tcPr>
          <w:p w14:paraId="556C24D4">
            <w:pPr>
              <w:pStyle w:val="13"/>
            </w:pPr>
            <w:r>
              <w:t>五、教育支出</w:t>
            </w:r>
          </w:p>
        </w:tc>
        <w:tc>
          <w:tcPr>
            <w:tcW w:w="2126" w:type="dxa"/>
            <w:vAlign w:val="center"/>
          </w:tcPr>
          <w:p w14:paraId="5FB3BAC9">
            <w:pPr>
              <w:pStyle w:val="14"/>
            </w:pPr>
            <w:r>
              <w:t>3046.44</w:t>
            </w:r>
          </w:p>
        </w:tc>
      </w:tr>
      <w:tr w14:paraId="02639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5E948">
            <w:pPr>
              <w:pStyle w:val="12"/>
            </w:pPr>
            <w:r>
              <w:t>6</w:t>
            </w:r>
          </w:p>
        </w:tc>
        <w:tc>
          <w:tcPr>
            <w:tcW w:w="4535" w:type="dxa"/>
            <w:vAlign w:val="center"/>
          </w:tcPr>
          <w:p w14:paraId="7BCCB9C5">
            <w:pPr>
              <w:pStyle w:val="13"/>
            </w:pPr>
          </w:p>
        </w:tc>
        <w:tc>
          <w:tcPr>
            <w:tcW w:w="2126" w:type="dxa"/>
            <w:vAlign w:val="center"/>
          </w:tcPr>
          <w:p w14:paraId="2DCCE58A">
            <w:pPr>
              <w:pStyle w:val="14"/>
            </w:pPr>
          </w:p>
        </w:tc>
        <w:tc>
          <w:tcPr>
            <w:tcW w:w="4535" w:type="dxa"/>
            <w:vAlign w:val="center"/>
          </w:tcPr>
          <w:p w14:paraId="2091C86C">
            <w:pPr>
              <w:pStyle w:val="13"/>
            </w:pPr>
            <w:r>
              <w:t>六、科学技术支出</w:t>
            </w:r>
          </w:p>
        </w:tc>
        <w:tc>
          <w:tcPr>
            <w:tcW w:w="2126" w:type="dxa"/>
            <w:vAlign w:val="center"/>
          </w:tcPr>
          <w:p w14:paraId="46A3C19F">
            <w:pPr>
              <w:pStyle w:val="14"/>
            </w:pPr>
          </w:p>
        </w:tc>
      </w:tr>
      <w:tr w14:paraId="4C02B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28157">
            <w:pPr>
              <w:pStyle w:val="12"/>
            </w:pPr>
            <w:r>
              <w:t>7</w:t>
            </w:r>
          </w:p>
        </w:tc>
        <w:tc>
          <w:tcPr>
            <w:tcW w:w="4535" w:type="dxa"/>
            <w:vAlign w:val="center"/>
          </w:tcPr>
          <w:p w14:paraId="0256C8DC">
            <w:pPr>
              <w:pStyle w:val="13"/>
            </w:pPr>
          </w:p>
        </w:tc>
        <w:tc>
          <w:tcPr>
            <w:tcW w:w="2126" w:type="dxa"/>
            <w:vAlign w:val="center"/>
          </w:tcPr>
          <w:p w14:paraId="2D71D6FD">
            <w:pPr>
              <w:pStyle w:val="14"/>
            </w:pPr>
          </w:p>
        </w:tc>
        <w:tc>
          <w:tcPr>
            <w:tcW w:w="4535" w:type="dxa"/>
            <w:vAlign w:val="center"/>
          </w:tcPr>
          <w:p w14:paraId="4B6CAC26">
            <w:pPr>
              <w:pStyle w:val="13"/>
            </w:pPr>
            <w:r>
              <w:t>七、文化旅游体育与传媒支出</w:t>
            </w:r>
          </w:p>
        </w:tc>
        <w:tc>
          <w:tcPr>
            <w:tcW w:w="2126" w:type="dxa"/>
            <w:vAlign w:val="center"/>
          </w:tcPr>
          <w:p w14:paraId="678B942B">
            <w:pPr>
              <w:pStyle w:val="14"/>
            </w:pPr>
          </w:p>
        </w:tc>
      </w:tr>
      <w:tr w14:paraId="245A7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65D43">
            <w:pPr>
              <w:pStyle w:val="12"/>
            </w:pPr>
            <w:r>
              <w:t>8</w:t>
            </w:r>
          </w:p>
        </w:tc>
        <w:tc>
          <w:tcPr>
            <w:tcW w:w="4535" w:type="dxa"/>
            <w:vAlign w:val="center"/>
          </w:tcPr>
          <w:p w14:paraId="0E94DBBC">
            <w:pPr>
              <w:pStyle w:val="13"/>
            </w:pPr>
          </w:p>
        </w:tc>
        <w:tc>
          <w:tcPr>
            <w:tcW w:w="2126" w:type="dxa"/>
            <w:vAlign w:val="center"/>
          </w:tcPr>
          <w:p w14:paraId="06986980">
            <w:pPr>
              <w:pStyle w:val="14"/>
            </w:pPr>
          </w:p>
        </w:tc>
        <w:tc>
          <w:tcPr>
            <w:tcW w:w="4535" w:type="dxa"/>
            <w:vAlign w:val="center"/>
          </w:tcPr>
          <w:p w14:paraId="358E1A46">
            <w:pPr>
              <w:pStyle w:val="13"/>
            </w:pPr>
            <w:r>
              <w:t>八、社会保障和就业支出</w:t>
            </w:r>
          </w:p>
        </w:tc>
        <w:tc>
          <w:tcPr>
            <w:tcW w:w="2126" w:type="dxa"/>
            <w:vAlign w:val="center"/>
          </w:tcPr>
          <w:p w14:paraId="0EDF0302">
            <w:pPr>
              <w:pStyle w:val="14"/>
            </w:pPr>
          </w:p>
        </w:tc>
      </w:tr>
      <w:tr w14:paraId="38106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5E185">
            <w:pPr>
              <w:pStyle w:val="12"/>
            </w:pPr>
            <w:r>
              <w:t>9</w:t>
            </w:r>
          </w:p>
        </w:tc>
        <w:tc>
          <w:tcPr>
            <w:tcW w:w="4535" w:type="dxa"/>
            <w:vAlign w:val="center"/>
          </w:tcPr>
          <w:p w14:paraId="3300B138">
            <w:pPr>
              <w:pStyle w:val="13"/>
            </w:pPr>
          </w:p>
        </w:tc>
        <w:tc>
          <w:tcPr>
            <w:tcW w:w="2126" w:type="dxa"/>
            <w:vAlign w:val="center"/>
          </w:tcPr>
          <w:p w14:paraId="1C2C9606">
            <w:pPr>
              <w:pStyle w:val="14"/>
            </w:pPr>
          </w:p>
        </w:tc>
        <w:tc>
          <w:tcPr>
            <w:tcW w:w="4535" w:type="dxa"/>
            <w:vAlign w:val="center"/>
          </w:tcPr>
          <w:p w14:paraId="4B02738A">
            <w:pPr>
              <w:pStyle w:val="13"/>
            </w:pPr>
            <w:r>
              <w:t>九、社会保险基金支出</w:t>
            </w:r>
          </w:p>
        </w:tc>
        <w:tc>
          <w:tcPr>
            <w:tcW w:w="2126" w:type="dxa"/>
            <w:vAlign w:val="center"/>
          </w:tcPr>
          <w:p w14:paraId="5D56955C">
            <w:pPr>
              <w:pStyle w:val="14"/>
            </w:pPr>
          </w:p>
        </w:tc>
      </w:tr>
      <w:tr w14:paraId="0E0C6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59F107D">
            <w:pPr>
              <w:pStyle w:val="12"/>
            </w:pPr>
            <w:r>
              <w:t>10</w:t>
            </w:r>
          </w:p>
        </w:tc>
        <w:tc>
          <w:tcPr>
            <w:tcW w:w="4535" w:type="dxa"/>
            <w:vAlign w:val="center"/>
          </w:tcPr>
          <w:p w14:paraId="3EA32DF9">
            <w:pPr>
              <w:pStyle w:val="13"/>
            </w:pPr>
          </w:p>
        </w:tc>
        <w:tc>
          <w:tcPr>
            <w:tcW w:w="2126" w:type="dxa"/>
            <w:vAlign w:val="center"/>
          </w:tcPr>
          <w:p w14:paraId="0B85D75A">
            <w:pPr>
              <w:pStyle w:val="14"/>
            </w:pPr>
          </w:p>
        </w:tc>
        <w:tc>
          <w:tcPr>
            <w:tcW w:w="4535" w:type="dxa"/>
            <w:vAlign w:val="center"/>
          </w:tcPr>
          <w:p w14:paraId="4E85182D">
            <w:pPr>
              <w:pStyle w:val="13"/>
            </w:pPr>
            <w:r>
              <w:t>十、卫生健康支出</w:t>
            </w:r>
          </w:p>
        </w:tc>
        <w:tc>
          <w:tcPr>
            <w:tcW w:w="2126" w:type="dxa"/>
            <w:vAlign w:val="center"/>
          </w:tcPr>
          <w:p w14:paraId="575ED4A6">
            <w:pPr>
              <w:pStyle w:val="14"/>
            </w:pPr>
          </w:p>
        </w:tc>
      </w:tr>
      <w:tr w14:paraId="51FFE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3EBEC">
            <w:pPr>
              <w:pStyle w:val="12"/>
            </w:pPr>
            <w:r>
              <w:t>11</w:t>
            </w:r>
          </w:p>
        </w:tc>
        <w:tc>
          <w:tcPr>
            <w:tcW w:w="4535" w:type="dxa"/>
            <w:vAlign w:val="center"/>
          </w:tcPr>
          <w:p w14:paraId="367A8AB8">
            <w:pPr>
              <w:pStyle w:val="13"/>
            </w:pPr>
          </w:p>
        </w:tc>
        <w:tc>
          <w:tcPr>
            <w:tcW w:w="2126" w:type="dxa"/>
            <w:vAlign w:val="center"/>
          </w:tcPr>
          <w:p w14:paraId="63E2FBAB">
            <w:pPr>
              <w:pStyle w:val="14"/>
            </w:pPr>
          </w:p>
        </w:tc>
        <w:tc>
          <w:tcPr>
            <w:tcW w:w="4535" w:type="dxa"/>
            <w:vAlign w:val="center"/>
          </w:tcPr>
          <w:p w14:paraId="20B4E3BE">
            <w:pPr>
              <w:pStyle w:val="13"/>
            </w:pPr>
            <w:r>
              <w:t>十一、节能环保支出</w:t>
            </w:r>
          </w:p>
        </w:tc>
        <w:tc>
          <w:tcPr>
            <w:tcW w:w="2126" w:type="dxa"/>
            <w:vAlign w:val="center"/>
          </w:tcPr>
          <w:p w14:paraId="5C1995C5">
            <w:pPr>
              <w:pStyle w:val="14"/>
            </w:pPr>
          </w:p>
        </w:tc>
      </w:tr>
      <w:tr w14:paraId="56040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A5B07">
            <w:pPr>
              <w:pStyle w:val="12"/>
            </w:pPr>
            <w:r>
              <w:t>12</w:t>
            </w:r>
          </w:p>
        </w:tc>
        <w:tc>
          <w:tcPr>
            <w:tcW w:w="4535" w:type="dxa"/>
            <w:vAlign w:val="center"/>
          </w:tcPr>
          <w:p w14:paraId="242FE5A5">
            <w:pPr>
              <w:pStyle w:val="13"/>
            </w:pPr>
          </w:p>
        </w:tc>
        <w:tc>
          <w:tcPr>
            <w:tcW w:w="2126" w:type="dxa"/>
            <w:vAlign w:val="center"/>
          </w:tcPr>
          <w:p w14:paraId="20763A0F">
            <w:pPr>
              <w:pStyle w:val="14"/>
            </w:pPr>
          </w:p>
        </w:tc>
        <w:tc>
          <w:tcPr>
            <w:tcW w:w="4535" w:type="dxa"/>
            <w:vAlign w:val="center"/>
          </w:tcPr>
          <w:p w14:paraId="1D04D59E">
            <w:pPr>
              <w:pStyle w:val="13"/>
            </w:pPr>
            <w:r>
              <w:t>十二、城乡社区支出</w:t>
            </w:r>
          </w:p>
        </w:tc>
        <w:tc>
          <w:tcPr>
            <w:tcW w:w="2126" w:type="dxa"/>
            <w:vAlign w:val="center"/>
          </w:tcPr>
          <w:p w14:paraId="63E0A9C4">
            <w:pPr>
              <w:pStyle w:val="14"/>
            </w:pPr>
          </w:p>
        </w:tc>
      </w:tr>
      <w:tr w14:paraId="6D39B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7461F">
            <w:pPr>
              <w:pStyle w:val="12"/>
            </w:pPr>
            <w:r>
              <w:t>13</w:t>
            </w:r>
          </w:p>
        </w:tc>
        <w:tc>
          <w:tcPr>
            <w:tcW w:w="4535" w:type="dxa"/>
            <w:vAlign w:val="center"/>
          </w:tcPr>
          <w:p w14:paraId="18E89B15">
            <w:pPr>
              <w:pStyle w:val="13"/>
            </w:pPr>
          </w:p>
        </w:tc>
        <w:tc>
          <w:tcPr>
            <w:tcW w:w="2126" w:type="dxa"/>
            <w:vAlign w:val="center"/>
          </w:tcPr>
          <w:p w14:paraId="721B9C62">
            <w:pPr>
              <w:pStyle w:val="14"/>
            </w:pPr>
          </w:p>
        </w:tc>
        <w:tc>
          <w:tcPr>
            <w:tcW w:w="4535" w:type="dxa"/>
            <w:vAlign w:val="center"/>
          </w:tcPr>
          <w:p w14:paraId="7E68BD3B">
            <w:pPr>
              <w:pStyle w:val="13"/>
            </w:pPr>
            <w:r>
              <w:t>十三、农林水支出</w:t>
            </w:r>
          </w:p>
        </w:tc>
        <w:tc>
          <w:tcPr>
            <w:tcW w:w="2126" w:type="dxa"/>
            <w:vAlign w:val="center"/>
          </w:tcPr>
          <w:p w14:paraId="6732F9D3">
            <w:pPr>
              <w:pStyle w:val="14"/>
            </w:pPr>
          </w:p>
        </w:tc>
      </w:tr>
      <w:tr w14:paraId="77B07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3AD45">
            <w:pPr>
              <w:pStyle w:val="12"/>
            </w:pPr>
            <w:r>
              <w:t>14</w:t>
            </w:r>
          </w:p>
        </w:tc>
        <w:tc>
          <w:tcPr>
            <w:tcW w:w="4535" w:type="dxa"/>
            <w:vAlign w:val="center"/>
          </w:tcPr>
          <w:p w14:paraId="0E4D1D80">
            <w:pPr>
              <w:pStyle w:val="13"/>
            </w:pPr>
          </w:p>
        </w:tc>
        <w:tc>
          <w:tcPr>
            <w:tcW w:w="2126" w:type="dxa"/>
            <w:vAlign w:val="center"/>
          </w:tcPr>
          <w:p w14:paraId="609E98AE">
            <w:pPr>
              <w:pStyle w:val="14"/>
            </w:pPr>
          </w:p>
        </w:tc>
        <w:tc>
          <w:tcPr>
            <w:tcW w:w="4535" w:type="dxa"/>
            <w:vAlign w:val="center"/>
          </w:tcPr>
          <w:p w14:paraId="0A9368E7">
            <w:pPr>
              <w:pStyle w:val="13"/>
            </w:pPr>
            <w:r>
              <w:t>十四、交通运输支出</w:t>
            </w:r>
          </w:p>
        </w:tc>
        <w:tc>
          <w:tcPr>
            <w:tcW w:w="2126" w:type="dxa"/>
            <w:vAlign w:val="center"/>
          </w:tcPr>
          <w:p w14:paraId="645F379F">
            <w:pPr>
              <w:pStyle w:val="14"/>
            </w:pPr>
          </w:p>
        </w:tc>
      </w:tr>
      <w:tr w14:paraId="24DF2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B3114">
            <w:pPr>
              <w:pStyle w:val="12"/>
            </w:pPr>
            <w:r>
              <w:t>15</w:t>
            </w:r>
          </w:p>
        </w:tc>
        <w:tc>
          <w:tcPr>
            <w:tcW w:w="4535" w:type="dxa"/>
            <w:vAlign w:val="center"/>
          </w:tcPr>
          <w:p w14:paraId="3138998F">
            <w:pPr>
              <w:pStyle w:val="13"/>
            </w:pPr>
          </w:p>
        </w:tc>
        <w:tc>
          <w:tcPr>
            <w:tcW w:w="2126" w:type="dxa"/>
            <w:vAlign w:val="center"/>
          </w:tcPr>
          <w:p w14:paraId="4AE7A757">
            <w:pPr>
              <w:pStyle w:val="14"/>
            </w:pPr>
          </w:p>
        </w:tc>
        <w:tc>
          <w:tcPr>
            <w:tcW w:w="4535" w:type="dxa"/>
            <w:vAlign w:val="center"/>
          </w:tcPr>
          <w:p w14:paraId="36070439">
            <w:pPr>
              <w:pStyle w:val="13"/>
            </w:pPr>
            <w:r>
              <w:t>十五、资源勘探工业信息等支出</w:t>
            </w:r>
          </w:p>
        </w:tc>
        <w:tc>
          <w:tcPr>
            <w:tcW w:w="2126" w:type="dxa"/>
            <w:vAlign w:val="center"/>
          </w:tcPr>
          <w:p w14:paraId="45AF3918">
            <w:pPr>
              <w:pStyle w:val="14"/>
            </w:pPr>
          </w:p>
        </w:tc>
      </w:tr>
      <w:tr w14:paraId="28ED8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AB247A7">
            <w:pPr>
              <w:pStyle w:val="12"/>
            </w:pPr>
            <w:r>
              <w:t>16</w:t>
            </w:r>
          </w:p>
        </w:tc>
        <w:tc>
          <w:tcPr>
            <w:tcW w:w="4535" w:type="dxa"/>
            <w:vAlign w:val="center"/>
          </w:tcPr>
          <w:p w14:paraId="461AD64C">
            <w:pPr>
              <w:pStyle w:val="13"/>
            </w:pPr>
          </w:p>
        </w:tc>
        <w:tc>
          <w:tcPr>
            <w:tcW w:w="2126" w:type="dxa"/>
            <w:vAlign w:val="center"/>
          </w:tcPr>
          <w:p w14:paraId="2DB9CF12">
            <w:pPr>
              <w:pStyle w:val="14"/>
            </w:pPr>
          </w:p>
        </w:tc>
        <w:tc>
          <w:tcPr>
            <w:tcW w:w="4535" w:type="dxa"/>
            <w:vAlign w:val="center"/>
          </w:tcPr>
          <w:p w14:paraId="5DDEDFDA">
            <w:pPr>
              <w:pStyle w:val="13"/>
            </w:pPr>
            <w:r>
              <w:t>十六、商业服务业等支出</w:t>
            </w:r>
          </w:p>
        </w:tc>
        <w:tc>
          <w:tcPr>
            <w:tcW w:w="2126" w:type="dxa"/>
            <w:vAlign w:val="center"/>
          </w:tcPr>
          <w:p w14:paraId="66E47241">
            <w:pPr>
              <w:pStyle w:val="14"/>
            </w:pPr>
          </w:p>
        </w:tc>
      </w:tr>
      <w:tr w14:paraId="5F3B8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11046">
            <w:pPr>
              <w:pStyle w:val="12"/>
            </w:pPr>
            <w:r>
              <w:t>17</w:t>
            </w:r>
          </w:p>
        </w:tc>
        <w:tc>
          <w:tcPr>
            <w:tcW w:w="4535" w:type="dxa"/>
            <w:vAlign w:val="center"/>
          </w:tcPr>
          <w:p w14:paraId="7087560F">
            <w:pPr>
              <w:pStyle w:val="13"/>
            </w:pPr>
          </w:p>
        </w:tc>
        <w:tc>
          <w:tcPr>
            <w:tcW w:w="2126" w:type="dxa"/>
            <w:vAlign w:val="center"/>
          </w:tcPr>
          <w:p w14:paraId="5C650F19">
            <w:pPr>
              <w:pStyle w:val="14"/>
            </w:pPr>
          </w:p>
        </w:tc>
        <w:tc>
          <w:tcPr>
            <w:tcW w:w="4535" w:type="dxa"/>
            <w:vAlign w:val="center"/>
          </w:tcPr>
          <w:p w14:paraId="073D0603">
            <w:pPr>
              <w:pStyle w:val="13"/>
            </w:pPr>
            <w:r>
              <w:t>十七、金融支出</w:t>
            </w:r>
          </w:p>
        </w:tc>
        <w:tc>
          <w:tcPr>
            <w:tcW w:w="2126" w:type="dxa"/>
            <w:vAlign w:val="center"/>
          </w:tcPr>
          <w:p w14:paraId="00A5F87A">
            <w:pPr>
              <w:pStyle w:val="14"/>
            </w:pPr>
          </w:p>
        </w:tc>
      </w:tr>
      <w:tr w14:paraId="4C02C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E2D41">
            <w:pPr>
              <w:pStyle w:val="12"/>
            </w:pPr>
            <w:r>
              <w:t>18</w:t>
            </w:r>
          </w:p>
        </w:tc>
        <w:tc>
          <w:tcPr>
            <w:tcW w:w="4535" w:type="dxa"/>
            <w:vAlign w:val="center"/>
          </w:tcPr>
          <w:p w14:paraId="52C8980B">
            <w:pPr>
              <w:pStyle w:val="13"/>
            </w:pPr>
          </w:p>
        </w:tc>
        <w:tc>
          <w:tcPr>
            <w:tcW w:w="2126" w:type="dxa"/>
            <w:vAlign w:val="center"/>
          </w:tcPr>
          <w:p w14:paraId="2E1CD0D1">
            <w:pPr>
              <w:pStyle w:val="14"/>
            </w:pPr>
          </w:p>
        </w:tc>
        <w:tc>
          <w:tcPr>
            <w:tcW w:w="4535" w:type="dxa"/>
            <w:vAlign w:val="center"/>
          </w:tcPr>
          <w:p w14:paraId="4E9F1DF8">
            <w:pPr>
              <w:pStyle w:val="13"/>
            </w:pPr>
            <w:r>
              <w:t>十八、援助其他地区支出</w:t>
            </w:r>
          </w:p>
        </w:tc>
        <w:tc>
          <w:tcPr>
            <w:tcW w:w="2126" w:type="dxa"/>
            <w:vAlign w:val="center"/>
          </w:tcPr>
          <w:p w14:paraId="783681DF">
            <w:pPr>
              <w:pStyle w:val="14"/>
            </w:pPr>
          </w:p>
        </w:tc>
      </w:tr>
      <w:tr w14:paraId="3B1BB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3FA0130">
            <w:pPr>
              <w:pStyle w:val="12"/>
            </w:pPr>
            <w:r>
              <w:t>19</w:t>
            </w:r>
          </w:p>
        </w:tc>
        <w:tc>
          <w:tcPr>
            <w:tcW w:w="4535" w:type="dxa"/>
            <w:vAlign w:val="center"/>
          </w:tcPr>
          <w:p w14:paraId="4E2D6C9B">
            <w:pPr>
              <w:pStyle w:val="13"/>
            </w:pPr>
          </w:p>
        </w:tc>
        <w:tc>
          <w:tcPr>
            <w:tcW w:w="2126" w:type="dxa"/>
            <w:vAlign w:val="center"/>
          </w:tcPr>
          <w:p w14:paraId="253D4717">
            <w:pPr>
              <w:pStyle w:val="14"/>
            </w:pPr>
          </w:p>
        </w:tc>
        <w:tc>
          <w:tcPr>
            <w:tcW w:w="4535" w:type="dxa"/>
            <w:vAlign w:val="center"/>
          </w:tcPr>
          <w:p w14:paraId="333D9C9C">
            <w:pPr>
              <w:pStyle w:val="13"/>
            </w:pPr>
            <w:r>
              <w:t>十九、自然资源海洋气象等支出</w:t>
            </w:r>
          </w:p>
        </w:tc>
        <w:tc>
          <w:tcPr>
            <w:tcW w:w="2126" w:type="dxa"/>
            <w:vAlign w:val="center"/>
          </w:tcPr>
          <w:p w14:paraId="441071DB">
            <w:pPr>
              <w:pStyle w:val="14"/>
            </w:pPr>
          </w:p>
        </w:tc>
      </w:tr>
      <w:tr w14:paraId="02350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B0B65">
            <w:pPr>
              <w:pStyle w:val="12"/>
            </w:pPr>
            <w:r>
              <w:t>20</w:t>
            </w:r>
          </w:p>
        </w:tc>
        <w:tc>
          <w:tcPr>
            <w:tcW w:w="4535" w:type="dxa"/>
            <w:vAlign w:val="center"/>
          </w:tcPr>
          <w:p w14:paraId="2BA0C478">
            <w:pPr>
              <w:pStyle w:val="13"/>
            </w:pPr>
          </w:p>
        </w:tc>
        <w:tc>
          <w:tcPr>
            <w:tcW w:w="2126" w:type="dxa"/>
            <w:vAlign w:val="center"/>
          </w:tcPr>
          <w:p w14:paraId="26D605E7">
            <w:pPr>
              <w:pStyle w:val="14"/>
            </w:pPr>
          </w:p>
        </w:tc>
        <w:tc>
          <w:tcPr>
            <w:tcW w:w="4535" w:type="dxa"/>
            <w:vAlign w:val="center"/>
          </w:tcPr>
          <w:p w14:paraId="2EEAAF28">
            <w:pPr>
              <w:pStyle w:val="13"/>
            </w:pPr>
            <w:r>
              <w:t>二十、住房保障支出</w:t>
            </w:r>
          </w:p>
        </w:tc>
        <w:tc>
          <w:tcPr>
            <w:tcW w:w="2126" w:type="dxa"/>
            <w:vAlign w:val="center"/>
          </w:tcPr>
          <w:p w14:paraId="1CD9A725">
            <w:pPr>
              <w:pStyle w:val="14"/>
            </w:pPr>
          </w:p>
        </w:tc>
      </w:tr>
      <w:tr w14:paraId="39E0C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0D52F7C">
            <w:pPr>
              <w:pStyle w:val="12"/>
            </w:pPr>
            <w:r>
              <w:t>21</w:t>
            </w:r>
          </w:p>
        </w:tc>
        <w:tc>
          <w:tcPr>
            <w:tcW w:w="4535" w:type="dxa"/>
            <w:vAlign w:val="center"/>
          </w:tcPr>
          <w:p w14:paraId="3C3FA15F">
            <w:pPr>
              <w:pStyle w:val="13"/>
            </w:pPr>
          </w:p>
        </w:tc>
        <w:tc>
          <w:tcPr>
            <w:tcW w:w="2126" w:type="dxa"/>
            <w:vAlign w:val="center"/>
          </w:tcPr>
          <w:p w14:paraId="4060546A">
            <w:pPr>
              <w:pStyle w:val="14"/>
            </w:pPr>
          </w:p>
        </w:tc>
        <w:tc>
          <w:tcPr>
            <w:tcW w:w="4535" w:type="dxa"/>
            <w:vAlign w:val="center"/>
          </w:tcPr>
          <w:p w14:paraId="77A7F96A">
            <w:pPr>
              <w:pStyle w:val="13"/>
            </w:pPr>
            <w:r>
              <w:t>二十一、粮油物资储备支出</w:t>
            </w:r>
          </w:p>
        </w:tc>
        <w:tc>
          <w:tcPr>
            <w:tcW w:w="2126" w:type="dxa"/>
            <w:vAlign w:val="center"/>
          </w:tcPr>
          <w:p w14:paraId="205D8E2F">
            <w:pPr>
              <w:pStyle w:val="14"/>
            </w:pPr>
          </w:p>
        </w:tc>
      </w:tr>
      <w:tr w14:paraId="5DD20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11166">
            <w:pPr>
              <w:pStyle w:val="12"/>
            </w:pPr>
            <w:r>
              <w:t>22</w:t>
            </w:r>
          </w:p>
        </w:tc>
        <w:tc>
          <w:tcPr>
            <w:tcW w:w="4535" w:type="dxa"/>
            <w:vAlign w:val="center"/>
          </w:tcPr>
          <w:p w14:paraId="7D82C558">
            <w:pPr>
              <w:pStyle w:val="13"/>
            </w:pPr>
          </w:p>
        </w:tc>
        <w:tc>
          <w:tcPr>
            <w:tcW w:w="2126" w:type="dxa"/>
            <w:vAlign w:val="center"/>
          </w:tcPr>
          <w:p w14:paraId="7CAFFE5B">
            <w:pPr>
              <w:pStyle w:val="14"/>
            </w:pPr>
          </w:p>
        </w:tc>
        <w:tc>
          <w:tcPr>
            <w:tcW w:w="4535" w:type="dxa"/>
            <w:vAlign w:val="center"/>
          </w:tcPr>
          <w:p w14:paraId="19926654">
            <w:pPr>
              <w:pStyle w:val="13"/>
            </w:pPr>
            <w:r>
              <w:t>二十二、国有资本经营预算支出</w:t>
            </w:r>
          </w:p>
        </w:tc>
        <w:tc>
          <w:tcPr>
            <w:tcW w:w="2126" w:type="dxa"/>
            <w:vAlign w:val="center"/>
          </w:tcPr>
          <w:p w14:paraId="3823E87C">
            <w:pPr>
              <w:pStyle w:val="14"/>
            </w:pPr>
          </w:p>
        </w:tc>
      </w:tr>
      <w:tr w14:paraId="6DA95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C1EEB78">
            <w:pPr>
              <w:pStyle w:val="12"/>
            </w:pPr>
            <w:r>
              <w:t>23</w:t>
            </w:r>
          </w:p>
        </w:tc>
        <w:tc>
          <w:tcPr>
            <w:tcW w:w="4535" w:type="dxa"/>
            <w:vAlign w:val="center"/>
          </w:tcPr>
          <w:p w14:paraId="616F296D">
            <w:pPr>
              <w:pStyle w:val="13"/>
            </w:pPr>
          </w:p>
        </w:tc>
        <w:tc>
          <w:tcPr>
            <w:tcW w:w="2126" w:type="dxa"/>
            <w:vAlign w:val="center"/>
          </w:tcPr>
          <w:p w14:paraId="43B8ABA5">
            <w:pPr>
              <w:pStyle w:val="14"/>
            </w:pPr>
          </w:p>
        </w:tc>
        <w:tc>
          <w:tcPr>
            <w:tcW w:w="4535" w:type="dxa"/>
            <w:vAlign w:val="center"/>
          </w:tcPr>
          <w:p w14:paraId="36D6D1A8">
            <w:pPr>
              <w:pStyle w:val="13"/>
            </w:pPr>
            <w:r>
              <w:t>二十三、灾害防治及应急管理支出</w:t>
            </w:r>
          </w:p>
        </w:tc>
        <w:tc>
          <w:tcPr>
            <w:tcW w:w="2126" w:type="dxa"/>
            <w:vAlign w:val="center"/>
          </w:tcPr>
          <w:p w14:paraId="77CD1AA8">
            <w:pPr>
              <w:pStyle w:val="14"/>
            </w:pPr>
          </w:p>
        </w:tc>
      </w:tr>
      <w:tr w14:paraId="2D24A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5EAA363">
            <w:pPr>
              <w:pStyle w:val="12"/>
            </w:pPr>
            <w:r>
              <w:t>24</w:t>
            </w:r>
          </w:p>
        </w:tc>
        <w:tc>
          <w:tcPr>
            <w:tcW w:w="4535" w:type="dxa"/>
            <w:vAlign w:val="center"/>
          </w:tcPr>
          <w:p w14:paraId="07AF1C61">
            <w:pPr>
              <w:pStyle w:val="13"/>
            </w:pPr>
          </w:p>
        </w:tc>
        <w:tc>
          <w:tcPr>
            <w:tcW w:w="2126" w:type="dxa"/>
            <w:vAlign w:val="center"/>
          </w:tcPr>
          <w:p w14:paraId="19386D87">
            <w:pPr>
              <w:pStyle w:val="14"/>
            </w:pPr>
          </w:p>
        </w:tc>
        <w:tc>
          <w:tcPr>
            <w:tcW w:w="4535" w:type="dxa"/>
            <w:vAlign w:val="center"/>
          </w:tcPr>
          <w:p w14:paraId="29E6EAE3">
            <w:pPr>
              <w:pStyle w:val="13"/>
            </w:pPr>
            <w:r>
              <w:t>二十四、预备费</w:t>
            </w:r>
          </w:p>
        </w:tc>
        <w:tc>
          <w:tcPr>
            <w:tcW w:w="2126" w:type="dxa"/>
            <w:vAlign w:val="center"/>
          </w:tcPr>
          <w:p w14:paraId="00A73D17">
            <w:pPr>
              <w:pStyle w:val="14"/>
            </w:pPr>
          </w:p>
        </w:tc>
      </w:tr>
      <w:tr w14:paraId="2DE9D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73FEE">
            <w:pPr>
              <w:pStyle w:val="12"/>
            </w:pPr>
            <w:r>
              <w:t>25</w:t>
            </w:r>
          </w:p>
        </w:tc>
        <w:tc>
          <w:tcPr>
            <w:tcW w:w="4535" w:type="dxa"/>
            <w:vAlign w:val="center"/>
          </w:tcPr>
          <w:p w14:paraId="7B9B4E72">
            <w:pPr>
              <w:pStyle w:val="13"/>
            </w:pPr>
          </w:p>
        </w:tc>
        <w:tc>
          <w:tcPr>
            <w:tcW w:w="2126" w:type="dxa"/>
            <w:vAlign w:val="center"/>
          </w:tcPr>
          <w:p w14:paraId="394C3462">
            <w:pPr>
              <w:pStyle w:val="14"/>
            </w:pPr>
          </w:p>
        </w:tc>
        <w:tc>
          <w:tcPr>
            <w:tcW w:w="4535" w:type="dxa"/>
            <w:vAlign w:val="center"/>
          </w:tcPr>
          <w:p w14:paraId="34B83740">
            <w:pPr>
              <w:pStyle w:val="13"/>
            </w:pPr>
            <w:r>
              <w:t>二十五、其他支出</w:t>
            </w:r>
          </w:p>
        </w:tc>
        <w:tc>
          <w:tcPr>
            <w:tcW w:w="2126" w:type="dxa"/>
            <w:vAlign w:val="center"/>
          </w:tcPr>
          <w:p w14:paraId="2012D0AC">
            <w:pPr>
              <w:pStyle w:val="14"/>
            </w:pPr>
          </w:p>
        </w:tc>
      </w:tr>
      <w:tr w14:paraId="3D984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03B422D">
            <w:pPr>
              <w:pStyle w:val="12"/>
            </w:pPr>
            <w:r>
              <w:t>26</w:t>
            </w:r>
          </w:p>
        </w:tc>
        <w:tc>
          <w:tcPr>
            <w:tcW w:w="4535" w:type="dxa"/>
            <w:vAlign w:val="center"/>
          </w:tcPr>
          <w:p w14:paraId="4B5B80FD">
            <w:pPr>
              <w:pStyle w:val="13"/>
            </w:pPr>
          </w:p>
        </w:tc>
        <w:tc>
          <w:tcPr>
            <w:tcW w:w="2126" w:type="dxa"/>
            <w:vAlign w:val="center"/>
          </w:tcPr>
          <w:p w14:paraId="186F3DF4">
            <w:pPr>
              <w:pStyle w:val="14"/>
            </w:pPr>
          </w:p>
        </w:tc>
        <w:tc>
          <w:tcPr>
            <w:tcW w:w="4535" w:type="dxa"/>
            <w:vAlign w:val="center"/>
          </w:tcPr>
          <w:p w14:paraId="2FD32E99">
            <w:pPr>
              <w:pStyle w:val="13"/>
            </w:pPr>
            <w:r>
              <w:t>二十六、转移性支出</w:t>
            </w:r>
          </w:p>
        </w:tc>
        <w:tc>
          <w:tcPr>
            <w:tcW w:w="2126" w:type="dxa"/>
            <w:vAlign w:val="center"/>
          </w:tcPr>
          <w:p w14:paraId="6B390CA3">
            <w:pPr>
              <w:pStyle w:val="14"/>
            </w:pPr>
          </w:p>
        </w:tc>
      </w:tr>
      <w:tr w14:paraId="31270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9575C">
            <w:pPr>
              <w:pStyle w:val="12"/>
            </w:pPr>
            <w:r>
              <w:t>27</w:t>
            </w:r>
          </w:p>
        </w:tc>
        <w:tc>
          <w:tcPr>
            <w:tcW w:w="4535" w:type="dxa"/>
            <w:vAlign w:val="center"/>
          </w:tcPr>
          <w:p w14:paraId="66C0AAB4">
            <w:pPr>
              <w:pStyle w:val="13"/>
            </w:pPr>
          </w:p>
        </w:tc>
        <w:tc>
          <w:tcPr>
            <w:tcW w:w="2126" w:type="dxa"/>
            <w:vAlign w:val="center"/>
          </w:tcPr>
          <w:p w14:paraId="43E49AC9">
            <w:pPr>
              <w:pStyle w:val="14"/>
            </w:pPr>
          </w:p>
        </w:tc>
        <w:tc>
          <w:tcPr>
            <w:tcW w:w="4535" w:type="dxa"/>
            <w:vAlign w:val="center"/>
          </w:tcPr>
          <w:p w14:paraId="28117124">
            <w:pPr>
              <w:pStyle w:val="13"/>
            </w:pPr>
            <w:r>
              <w:t>二十七、债务还本支出</w:t>
            </w:r>
          </w:p>
        </w:tc>
        <w:tc>
          <w:tcPr>
            <w:tcW w:w="2126" w:type="dxa"/>
            <w:vAlign w:val="center"/>
          </w:tcPr>
          <w:p w14:paraId="3B588FBD">
            <w:pPr>
              <w:pStyle w:val="14"/>
            </w:pPr>
          </w:p>
        </w:tc>
      </w:tr>
      <w:tr w14:paraId="1A793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82E52">
            <w:pPr>
              <w:pStyle w:val="12"/>
            </w:pPr>
            <w:r>
              <w:t>28</w:t>
            </w:r>
          </w:p>
        </w:tc>
        <w:tc>
          <w:tcPr>
            <w:tcW w:w="4535" w:type="dxa"/>
            <w:vAlign w:val="center"/>
          </w:tcPr>
          <w:p w14:paraId="32A77A39">
            <w:pPr>
              <w:pStyle w:val="13"/>
            </w:pPr>
          </w:p>
        </w:tc>
        <w:tc>
          <w:tcPr>
            <w:tcW w:w="2126" w:type="dxa"/>
            <w:vAlign w:val="center"/>
          </w:tcPr>
          <w:p w14:paraId="31AF27A8">
            <w:pPr>
              <w:pStyle w:val="14"/>
            </w:pPr>
          </w:p>
        </w:tc>
        <w:tc>
          <w:tcPr>
            <w:tcW w:w="4535" w:type="dxa"/>
            <w:vAlign w:val="center"/>
          </w:tcPr>
          <w:p w14:paraId="7A76F081">
            <w:pPr>
              <w:pStyle w:val="13"/>
            </w:pPr>
            <w:r>
              <w:t>二十八、债务付息支出</w:t>
            </w:r>
          </w:p>
        </w:tc>
        <w:tc>
          <w:tcPr>
            <w:tcW w:w="2126" w:type="dxa"/>
            <w:vAlign w:val="center"/>
          </w:tcPr>
          <w:p w14:paraId="4ABCD7D4">
            <w:pPr>
              <w:pStyle w:val="14"/>
            </w:pPr>
          </w:p>
        </w:tc>
      </w:tr>
      <w:tr w14:paraId="0F911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1EBCE">
            <w:pPr>
              <w:pStyle w:val="12"/>
            </w:pPr>
            <w:r>
              <w:t>29</w:t>
            </w:r>
          </w:p>
        </w:tc>
        <w:tc>
          <w:tcPr>
            <w:tcW w:w="4535" w:type="dxa"/>
            <w:vAlign w:val="center"/>
          </w:tcPr>
          <w:p w14:paraId="7F7A9868">
            <w:pPr>
              <w:pStyle w:val="13"/>
            </w:pPr>
          </w:p>
        </w:tc>
        <w:tc>
          <w:tcPr>
            <w:tcW w:w="2126" w:type="dxa"/>
            <w:vAlign w:val="center"/>
          </w:tcPr>
          <w:p w14:paraId="619730B5">
            <w:pPr>
              <w:pStyle w:val="14"/>
            </w:pPr>
          </w:p>
        </w:tc>
        <w:tc>
          <w:tcPr>
            <w:tcW w:w="4535" w:type="dxa"/>
            <w:vAlign w:val="center"/>
          </w:tcPr>
          <w:p w14:paraId="3FF0D504">
            <w:pPr>
              <w:pStyle w:val="13"/>
            </w:pPr>
            <w:r>
              <w:t>二十九、债务发行费用支出</w:t>
            </w:r>
          </w:p>
        </w:tc>
        <w:tc>
          <w:tcPr>
            <w:tcW w:w="2126" w:type="dxa"/>
            <w:vAlign w:val="center"/>
          </w:tcPr>
          <w:p w14:paraId="4D80E997">
            <w:pPr>
              <w:pStyle w:val="14"/>
            </w:pPr>
          </w:p>
        </w:tc>
      </w:tr>
      <w:tr w14:paraId="7F0EF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D3E26">
            <w:pPr>
              <w:pStyle w:val="12"/>
            </w:pPr>
            <w:r>
              <w:t>30</w:t>
            </w:r>
          </w:p>
        </w:tc>
        <w:tc>
          <w:tcPr>
            <w:tcW w:w="4535" w:type="dxa"/>
            <w:vAlign w:val="center"/>
          </w:tcPr>
          <w:p w14:paraId="6E1D0FF2">
            <w:pPr>
              <w:pStyle w:val="13"/>
            </w:pPr>
          </w:p>
        </w:tc>
        <w:tc>
          <w:tcPr>
            <w:tcW w:w="2126" w:type="dxa"/>
            <w:vAlign w:val="center"/>
          </w:tcPr>
          <w:p w14:paraId="2199E1FD">
            <w:pPr>
              <w:pStyle w:val="14"/>
            </w:pPr>
          </w:p>
        </w:tc>
        <w:tc>
          <w:tcPr>
            <w:tcW w:w="4535" w:type="dxa"/>
            <w:vAlign w:val="center"/>
          </w:tcPr>
          <w:p w14:paraId="28E9600F">
            <w:pPr>
              <w:pStyle w:val="13"/>
            </w:pPr>
            <w:r>
              <w:t>三十、抗疫特别国债安排的支出</w:t>
            </w:r>
          </w:p>
        </w:tc>
        <w:tc>
          <w:tcPr>
            <w:tcW w:w="2126" w:type="dxa"/>
            <w:vAlign w:val="center"/>
          </w:tcPr>
          <w:p w14:paraId="7369D3B7">
            <w:pPr>
              <w:pStyle w:val="14"/>
            </w:pPr>
          </w:p>
        </w:tc>
      </w:tr>
      <w:tr w14:paraId="60EA0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B619B">
            <w:pPr>
              <w:pStyle w:val="12"/>
            </w:pPr>
            <w:r>
              <w:t>31</w:t>
            </w:r>
          </w:p>
        </w:tc>
        <w:tc>
          <w:tcPr>
            <w:tcW w:w="4535" w:type="dxa"/>
            <w:vAlign w:val="center"/>
          </w:tcPr>
          <w:p w14:paraId="656C4DCE">
            <w:pPr>
              <w:pStyle w:val="13"/>
            </w:pPr>
          </w:p>
        </w:tc>
        <w:tc>
          <w:tcPr>
            <w:tcW w:w="2126" w:type="dxa"/>
            <w:vAlign w:val="center"/>
          </w:tcPr>
          <w:p w14:paraId="075DEA29">
            <w:pPr>
              <w:pStyle w:val="14"/>
            </w:pPr>
          </w:p>
        </w:tc>
        <w:tc>
          <w:tcPr>
            <w:tcW w:w="4535" w:type="dxa"/>
            <w:vAlign w:val="center"/>
          </w:tcPr>
          <w:p w14:paraId="5F29AB03">
            <w:pPr>
              <w:pStyle w:val="13"/>
            </w:pPr>
            <w:r>
              <w:t>三十一、人行科目</w:t>
            </w:r>
          </w:p>
        </w:tc>
        <w:tc>
          <w:tcPr>
            <w:tcW w:w="2126" w:type="dxa"/>
            <w:vAlign w:val="center"/>
          </w:tcPr>
          <w:p w14:paraId="060971D1">
            <w:pPr>
              <w:pStyle w:val="14"/>
            </w:pPr>
          </w:p>
        </w:tc>
      </w:tr>
      <w:tr w14:paraId="147D3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75665">
            <w:pPr>
              <w:pStyle w:val="12"/>
            </w:pPr>
            <w:r>
              <w:t>32</w:t>
            </w:r>
          </w:p>
        </w:tc>
        <w:tc>
          <w:tcPr>
            <w:tcW w:w="4535" w:type="dxa"/>
            <w:vAlign w:val="center"/>
          </w:tcPr>
          <w:p w14:paraId="139324FA">
            <w:pPr>
              <w:pStyle w:val="15"/>
            </w:pPr>
            <w:r>
              <w:t>本年收入合计</w:t>
            </w:r>
          </w:p>
        </w:tc>
        <w:tc>
          <w:tcPr>
            <w:tcW w:w="2126" w:type="dxa"/>
            <w:vAlign w:val="center"/>
          </w:tcPr>
          <w:p w14:paraId="78C35721">
            <w:pPr>
              <w:pStyle w:val="16"/>
            </w:pPr>
            <w:r>
              <w:t>3004.40</w:t>
            </w:r>
          </w:p>
        </w:tc>
        <w:tc>
          <w:tcPr>
            <w:tcW w:w="4535" w:type="dxa"/>
            <w:vAlign w:val="center"/>
          </w:tcPr>
          <w:p w14:paraId="4581D56B">
            <w:pPr>
              <w:pStyle w:val="15"/>
            </w:pPr>
            <w:r>
              <w:t>本年支出合计</w:t>
            </w:r>
          </w:p>
        </w:tc>
        <w:tc>
          <w:tcPr>
            <w:tcW w:w="2126" w:type="dxa"/>
            <w:vAlign w:val="center"/>
          </w:tcPr>
          <w:p w14:paraId="0B232FEB">
            <w:pPr>
              <w:pStyle w:val="16"/>
            </w:pPr>
            <w:r>
              <w:t>3046.44</w:t>
            </w:r>
          </w:p>
        </w:tc>
      </w:tr>
      <w:tr w14:paraId="58CEF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E77FA">
            <w:pPr>
              <w:pStyle w:val="12"/>
            </w:pPr>
            <w:r>
              <w:t>33</w:t>
            </w:r>
          </w:p>
        </w:tc>
        <w:tc>
          <w:tcPr>
            <w:tcW w:w="4535" w:type="dxa"/>
            <w:vAlign w:val="center"/>
          </w:tcPr>
          <w:p w14:paraId="5BDFC00F">
            <w:pPr>
              <w:pStyle w:val="13"/>
            </w:pPr>
            <w:r>
              <w:t>上年结转结余</w:t>
            </w:r>
          </w:p>
        </w:tc>
        <w:tc>
          <w:tcPr>
            <w:tcW w:w="2126" w:type="dxa"/>
            <w:vAlign w:val="center"/>
          </w:tcPr>
          <w:p w14:paraId="30D5253B">
            <w:pPr>
              <w:pStyle w:val="14"/>
            </w:pPr>
            <w:r>
              <w:t>42.04</w:t>
            </w:r>
          </w:p>
        </w:tc>
        <w:tc>
          <w:tcPr>
            <w:tcW w:w="4535" w:type="dxa"/>
            <w:vAlign w:val="center"/>
          </w:tcPr>
          <w:p w14:paraId="088021AE">
            <w:pPr>
              <w:pStyle w:val="13"/>
            </w:pPr>
            <w:r>
              <w:t>年终结转结余</w:t>
            </w:r>
          </w:p>
        </w:tc>
        <w:tc>
          <w:tcPr>
            <w:tcW w:w="2126" w:type="dxa"/>
            <w:vAlign w:val="center"/>
          </w:tcPr>
          <w:p w14:paraId="7D888D16">
            <w:pPr>
              <w:pStyle w:val="14"/>
            </w:pPr>
          </w:p>
        </w:tc>
      </w:tr>
      <w:tr w14:paraId="1834E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E90B6">
            <w:pPr>
              <w:pStyle w:val="12"/>
            </w:pPr>
            <w:r>
              <w:t>34</w:t>
            </w:r>
          </w:p>
        </w:tc>
        <w:tc>
          <w:tcPr>
            <w:tcW w:w="4535" w:type="dxa"/>
            <w:vAlign w:val="center"/>
          </w:tcPr>
          <w:p w14:paraId="7C6DF677">
            <w:pPr>
              <w:pStyle w:val="15"/>
            </w:pPr>
            <w:r>
              <w:t>收入总计</w:t>
            </w:r>
          </w:p>
        </w:tc>
        <w:tc>
          <w:tcPr>
            <w:tcW w:w="2126" w:type="dxa"/>
            <w:vAlign w:val="center"/>
          </w:tcPr>
          <w:p w14:paraId="07F77D1A">
            <w:pPr>
              <w:pStyle w:val="16"/>
            </w:pPr>
            <w:r>
              <w:t>3046.44</w:t>
            </w:r>
          </w:p>
        </w:tc>
        <w:tc>
          <w:tcPr>
            <w:tcW w:w="4535" w:type="dxa"/>
            <w:vAlign w:val="center"/>
          </w:tcPr>
          <w:p w14:paraId="2F2617F6">
            <w:pPr>
              <w:pStyle w:val="15"/>
            </w:pPr>
            <w:r>
              <w:t>支出总计</w:t>
            </w:r>
          </w:p>
        </w:tc>
        <w:tc>
          <w:tcPr>
            <w:tcW w:w="2126" w:type="dxa"/>
            <w:vAlign w:val="center"/>
          </w:tcPr>
          <w:p w14:paraId="59FD94F0">
            <w:pPr>
              <w:pStyle w:val="16"/>
            </w:pPr>
            <w:r>
              <w:t>3046.44</w:t>
            </w:r>
          </w:p>
        </w:tc>
      </w:tr>
    </w:tbl>
    <w:p w14:paraId="2AC80E56">
      <w:pPr>
        <w:sectPr>
          <w:pgSz w:w="16840" w:h="11900" w:orient="landscape"/>
          <w:pgMar w:top="1361" w:right="1020" w:bottom="1134" w:left="1020" w:header="720" w:footer="720" w:gutter="0"/>
          <w:cols w:space="720" w:num="1"/>
        </w:sectPr>
      </w:pPr>
    </w:p>
    <w:p w14:paraId="2093E2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7E9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D6A908">
            <w:pPr>
              <w:pStyle w:val="8"/>
            </w:pPr>
            <w:r>
              <w:t>360021隆尧县山口校区</w:t>
            </w:r>
          </w:p>
        </w:tc>
        <w:tc>
          <w:tcPr>
            <w:tcW w:w="3402" w:type="dxa"/>
            <w:gridSpan w:val="3"/>
            <w:tcBorders>
              <w:top w:val="single" w:color="FFFFFF" w:sz="6" w:space="0"/>
              <w:left w:val="single" w:color="FFFFFF" w:sz="6" w:space="0"/>
              <w:right w:val="single" w:color="FFFFFF" w:sz="6" w:space="0"/>
            </w:tcBorders>
            <w:vAlign w:val="center"/>
          </w:tcPr>
          <w:p w14:paraId="3C404BE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3F4AAD1">
            <w:pPr>
              <w:pStyle w:val="10"/>
            </w:pPr>
            <w:r>
              <w:t>单位：万元</w:t>
            </w:r>
          </w:p>
        </w:tc>
      </w:tr>
      <w:tr w14:paraId="7B970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B78DAB">
            <w:pPr>
              <w:pStyle w:val="11"/>
            </w:pPr>
            <w:r>
              <w:t>序号</w:t>
            </w:r>
          </w:p>
        </w:tc>
        <w:tc>
          <w:tcPr>
            <w:tcW w:w="2551" w:type="dxa"/>
            <w:gridSpan w:val="2"/>
            <w:vAlign w:val="center"/>
          </w:tcPr>
          <w:p w14:paraId="081AC3C0">
            <w:pPr>
              <w:pStyle w:val="11"/>
            </w:pPr>
            <w:r>
              <w:t>功能分类科目</w:t>
            </w:r>
          </w:p>
        </w:tc>
        <w:tc>
          <w:tcPr>
            <w:tcW w:w="1134" w:type="dxa"/>
            <w:vMerge w:val="restart"/>
            <w:vAlign w:val="center"/>
          </w:tcPr>
          <w:p w14:paraId="345DE3E2">
            <w:pPr>
              <w:pStyle w:val="11"/>
            </w:pPr>
            <w:r>
              <w:t>合计</w:t>
            </w:r>
          </w:p>
        </w:tc>
        <w:tc>
          <w:tcPr>
            <w:tcW w:w="9072" w:type="dxa"/>
            <w:gridSpan w:val="8"/>
            <w:vAlign w:val="center"/>
          </w:tcPr>
          <w:p w14:paraId="1FC74C75">
            <w:pPr>
              <w:pStyle w:val="11"/>
            </w:pPr>
            <w:r>
              <w:t>本年收入</w:t>
            </w:r>
          </w:p>
        </w:tc>
        <w:tc>
          <w:tcPr>
            <w:tcW w:w="1134" w:type="dxa"/>
            <w:vMerge w:val="restart"/>
            <w:vAlign w:val="center"/>
          </w:tcPr>
          <w:p w14:paraId="43521716">
            <w:pPr>
              <w:pStyle w:val="11"/>
            </w:pPr>
            <w:r>
              <w:t>上年结转</w:t>
            </w:r>
          </w:p>
        </w:tc>
      </w:tr>
      <w:tr w14:paraId="193A7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D35E52"/>
        </w:tc>
        <w:tc>
          <w:tcPr>
            <w:tcW w:w="992" w:type="dxa"/>
            <w:vAlign w:val="center"/>
          </w:tcPr>
          <w:p w14:paraId="4B831813">
            <w:pPr>
              <w:pStyle w:val="11"/>
            </w:pPr>
            <w:r>
              <w:t>科目    编码</w:t>
            </w:r>
          </w:p>
        </w:tc>
        <w:tc>
          <w:tcPr>
            <w:tcW w:w="1559" w:type="dxa"/>
            <w:vAlign w:val="center"/>
          </w:tcPr>
          <w:p w14:paraId="5C446DD2">
            <w:pPr>
              <w:pStyle w:val="11"/>
            </w:pPr>
            <w:r>
              <w:t>科目名称</w:t>
            </w:r>
          </w:p>
        </w:tc>
        <w:tc>
          <w:tcPr>
            <w:tcW w:w="1134" w:type="dxa"/>
            <w:vMerge w:val="continue"/>
          </w:tcPr>
          <w:p w14:paraId="5EC102EA"/>
        </w:tc>
        <w:tc>
          <w:tcPr>
            <w:tcW w:w="1134" w:type="dxa"/>
            <w:vAlign w:val="center"/>
          </w:tcPr>
          <w:p w14:paraId="4A396350">
            <w:pPr>
              <w:pStyle w:val="11"/>
            </w:pPr>
            <w:r>
              <w:t>小计</w:t>
            </w:r>
          </w:p>
        </w:tc>
        <w:tc>
          <w:tcPr>
            <w:tcW w:w="1134" w:type="dxa"/>
            <w:vAlign w:val="center"/>
          </w:tcPr>
          <w:p w14:paraId="36D861D1">
            <w:pPr>
              <w:pStyle w:val="11"/>
            </w:pPr>
            <w:r>
              <w:t>财政拨款 收入</w:t>
            </w:r>
          </w:p>
        </w:tc>
        <w:tc>
          <w:tcPr>
            <w:tcW w:w="1134" w:type="dxa"/>
            <w:vAlign w:val="center"/>
          </w:tcPr>
          <w:p w14:paraId="67D14235">
            <w:pPr>
              <w:pStyle w:val="11"/>
            </w:pPr>
            <w:r>
              <w:t>财政专户 收入</w:t>
            </w:r>
          </w:p>
        </w:tc>
        <w:tc>
          <w:tcPr>
            <w:tcW w:w="1134" w:type="dxa"/>
            <w:vAlign w:val="center"/>
          </w:tcPr>
          <w:p w14:paraId="7143BCE7">
            <w:pPr>
              <w:pStyle w:val="11"/>
            </w:pPr>
            <w:r>
              <w:t>事业收入</w:t>
            </w:r>
          </w:p>
        </w:tc>
        <w:tc>
          <w:tcPr>
            <w:tcW w:w="1134" w:type="dxa"/>
            <w:vAlign w:val="center"/>
          </w:tcPr>
          <w:p w14:paraId="7614EE0C">
            <w:pPr>
              <w:pStyle w:val="11"/>
            </w:pPr>
            <w:r>
              <w:t>经营收入</w:t>
            </w:r>
          </w:p>
        </w:tc>
        <w:tc>
          <w:tcPr>
            <w:tcW w:w="1134" w:type="dxa"/>
            <w:vAlign w:val="center"/>
          </w:tcPr>
          <w:p w14:paraId="78018628">
            <w:pPr>
              <w:pStyle w:val="11"/>
            </w:pPr>
            <w:r>
              <w:t>上级补助收入</w:t>
            </w:r>
          </w:p>
        </w:tc>
        <w:tc>
          <w:tcPr>
            <w:tcW w:w="1134" w:type="dxa"/>
            <w:vAlign w:val="center"/>
          </w:tcPr>
          <w:p w14:paraId="183F9859">
            <w:pPr>
              <w:pStyle w:val="11"/>
            </w:pPr>
            <w:r>
              <w:t>附属单位上缴收入</w:t>
            </w:r>
          </w:p>
        </w:tc>
        <w:tc>
          <w:tcPr>
            <w:tcW w:w="1134" w:type="dxa"/>
            <w:vAlign w:val="center"/>
          </w:tcPr>
          <w:p w14:paraId="45BBE6C4">
            <w:pPr>
              <w:pStyle w:val="11"/>
            </w:pPr>
            <w:r>
              <w:t>其他收入</w:t>
            </w:r>
          </w:p>
        </w:tc>
        <w:tc>
          <w:tcPr>
            <w:tcW w:w="1134" w:type="dxa"/>
            <w:vMerge w:val="continue"/>
          </w:tcPr>
          <w:p w14:paraId="7AD501CF"/>
        </w:tc>
      </w:tr>
      <w:tr w14:paraId="61EEC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F64AF7">
            <w:pPr>
              <w:pStyle w:val="11"/>
            </w:pPr>
            <w:r>
              <w:t>栏次</w:t>
            </w:r>
          </w:p>
        </w:tc>
        <w:tc>
          <w:tcPr>
            <w:tcW w:w="992" w:type="dxa"/>
            <w:vAlign w:val="center"/>
          </w:tcPr>
          <w:p w14:paraId="2A896287">
            <w:pPr>
              <w:pStyle w:val="11"/>
            </w:pPr>
            <w:r>
              <w:t>1</w:t>
            </w:r>
          </w:p>
        </w:tc>
        <w:tc>
          <w:tcPr>
            <w:tcW w:w="1559" w:type="dxa"/>
            <w:vAlign w:val="center"/>
          </w:tcPr>
          <w:p w14:paraId="41EFEF0D">
            <w:pPr>
              <w:pStyle w:val="11"/>
            </w:pPr>
            <w:r>
              <w:t>2</w:t>
            </w:r>
          </w:p>
        </w:tc>
        <w:tc>
          <w:tcPr>
            <w:tcW w:w="1134" w:type="dxa"/>
            <w:vAlign w:val="center"/>
          </w:tcPr>
          <w:p w14:paraId="1A574138">
            <w:pPr>
              <w:pStyle w:val="11"/>
            </w:pPr>
            <w:r>
              <w:t>3</w:t>
            </w:r>
          </w:p>
        </w:tc>
        <w:tc>
          <w:tcPr>
            <w:tcW w:w="1134" w:type="dxa"/>
            <w:vAlign w:val="center"/>
          </w:tcPr>
          <w:p w14:paraId="3DA04307">
            <w:pPr>
              <w:pStyle w:val="11"/>
            </w:pPr>
            <w:r>
              <w:t>4</w:t>
            </w:r>
          </w:p>
        </w:tc>
        <w:tc>
          <w:tcPr>
            <w:tcW w:w="1134" w:type="dxa"/>
            <w:vAlign w:val="center"/>
          </w:tcPr>
          <w:p w14:paraId="4A130968">
            <w:pPr>
              <w:pStyle w:val="11"/>
            </w:pPr>
            <w:r>
              <w:t>5</w:t>
            </w:r>
          </w:p>
        </w:tc>
        <w:tc>
          <w:tcPr>
            <w:tcW w:w="1134" w:type="dxa"/>
            <w:vAlign w:val="center"/>
          </w:tcPr>
          <w:p w14:paraId="5872E8BF">
            <w:pPr>
              <w:pStyle w:val="11"/>
            </w:pPr>
            <w:r>
              <w:t>6</w:t>
            </w:r>
          </w:p>
        </w:tc>
        <w:tc>
          <w:tcPr>
            <w:tcW w:w="1134" w:type="dxa"/>
            <w:vAlign w:val="center"/>
          </w:tcPr>
          <w:p w14:paraId="7214FA36">
            <w:pPr>
              <w:pStyle w:val="11"/>
            </w:pPr>
            <w:r>
              <w:t>7</w:t>
            </w:r>
          </w:p>
        </w:tc>
        <w:tc>
          <w:tcPr>
            <w:tcW w:w="1134" w:type="dxa"/>
            <w:vAlign w:val="center"/>
          </w:tcPr>
          <w:p w14:paraId="3E510B35">
            <w:pPr>
              <w:pStyle w:val="11"/>
            </w:pPr>
            <w:r>
              <w:t>8</w:t>
            </w:r>
          </w:p>
        </w:tc>
        <w:tc>
          <w:tcPr>
            <w:tcW w:w="1134" w:type="dxa"/>
            <w:vAlign w:val="center"/>
          </w:tcPr>
          <w:p w14:paraId="64610769">
            <w:pPr>
              <w:pStyle w:val="11"/>
            </w:pPr>
            <w:r>
              <w:t>9</w:t>
            </w:r>
          </w:p>
        </w:tc>
        <w:tc>
          <w:tcPr>
            <w:tcW w:w="1134" w:type="dxa"/>
            <w:vAlign w:val="center"/>
          </w:tcPr>
          <w:p w14:paraId="4DB0413B">
            <w:pPr>
              <w:pStyle w:val="11"/>
            </w:pPr>
            <w:r>
              <w:t>10</w:t>
            </w:r>
          </w:p>
        </w:tc>
        <w:tc>
          <w:tcPr>
            <w:tcW w:w="1134" w:type="dxa"/>
            <w:vAlign w:val="center"/>
          </w:tcPr>
          <w:p w14:paraId="5F5AD741">
            <w:pPr>
              <w:pStyle w:val="11"/>
            </w:pPr>
            <w:r>
              <w:t>11</w:t>
            </w:r>
          </w:p>
        </w:tc>
        <w:tc>
          <w:tcPr>
            <w:tcW w:w="1134" w:type="dxa"/>
            <w:vAlign w:val="center"/>
          </w:tcPr>
          <w:p w14:paraId="16AD0AF3">
            <w:pPr>
              <w:pStyle w:val="11"/>
            </w:pPr>
            <w:r>
              <w:t>12</w:t>
            </w:r>
          </w:p>
        </w:tc>
      </w:tr>
      <w:tr w14:paraId="4DDB7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548E77">
            <w:pPr>
              <w:pStyle w:val="12"/>
            </w:pPr>
            <w:r>
              <w:t>1</w:t>
            </w:r>
          </w:p>
        </w:tc>
        <w:tc>
          <w:tcPr>
            <w:tcW w:w="992" w:type="dxa"/>
            <w:vAlign w:val="center"/>
          </w:tcPr>
          <w:p w14:paraId="30D7EE27">
            <w:pPr>
              <w:pStyle w:val="17"/>
            </w:pPr>
          </w:p>
        </w:tc>
        <w:tc>
          <w:tcPr>
            <w:tcW w:w="1559" w:type="dxa"/>
            <w:vAlign w:val="center"/>
          </w:tcPr>
          <w:p w14:paraId="1780FD4C">
            <w:pPr>
              <w:pStyle w:val="15"/>
            </w:pPr>
            <w:r>
              <w:t>合计</w:t>
            </w:r>
          </w:p>
        </w:tc>
        <w:tc>
          <w:tcPr>
            <w:tcW w:w="1134" w:type="dxa"/>
            <w:vAlign w:val="center"/>
          </w:tcPr>
          <w:p w14:paraId="3C9CCF75">
            <w:pPr>
              <w:pStyle w:val="16"/>
            </w:pPr>
            <w:r>
              <w:t>3046.44</w:t>
            </w:r>
          </w:p>
        </w:tc>
        <w:tc>
          <w:tcPr>
            <w:tcW w:w="1134" w:type="dxa"/>
            <w:vAlign w:val="center"/>
          </w:tcPr>
          <w:p w14:paraId="2154B16D">
            <w:pPr>
              <w:pStyle w:val="16"/>
            </w:pPr>
            <w:r>
              <w:t>3004.40</w:t>
            </w:r>
          </w:p>
        </w:tc>
        <w:tc>
          <w:tcPr>
            <w:tcW w:w="1134" w:type="dxa"/>
            <w:vAlign w:val="center"/>
          </w:tcPr>
          <w:p w14:paraId="7E96BC9D">
            <w:pPr>
              <w:pStyle w:val="16"/>
            </w:pPr>
            <w:r>
              <w:t>3004.40</w:t>
            </w:r>
          </w:p>
        </w:tc>
        <w:tc>
          <w:tcPr>
            <w:tcW w:w="1134" w:type="dxa"/>
            <w:vAlign w:val="center"/>
          </w:tcPr>
          <w:p w14:paraId="37791220">
            <w:pPr>
              <w:pStyle w:val="16"/>
            </w:pPr>
          </w:p>
        </w:tc>
        <w:tc>
          <w:tcPr>
            <w:tcW w:w="1134" w:type="dxa"/>
            <w:vAlign w:val="center"/>
          </w:tcPr>
          <w:p w14:paraId="7B2FEA27">
            <w:pPr>
              <w:pStyle w:val="16"/>
            </w:pPr>
          </w:p>
        </w:tc>
        <w:tc>
          <w:tcPr>
            <w:tcW w:w="1134" w:type="dxa"/>
            <w:vAlign w:val="center"/>
          </w:tcPr>
          <w:p w14:paraId="63728E60">
            <w:pPr>
              <w:pStyle w:val="16"/>
            </w:pPr>
          </w:p>
        </w:tc>
        <w:tc>
          <w:tcPr>
            <w:tcW w:w="1134" w:type="dxa"/>
            <w:vAlign w:val="center"/>
          </w:tcPr>
          <w:p w14:paraId="795930D9">
            <w:pPr>
              <w:pStyle w:val="16"/>
            </w:pPr>
          </w:p>
        </w:tc>
        <w:tc>
          <w:tcPr>
            <w:tcW w:w="1134" w:type="dxa"/>
            <w:vAlign w:val="center"/>
          </w:tcPr>
          <w:p w14:paraId="29436D46">
            <w:pPr>
              <w:pStyle w:val="16"/>
            </w:pPr>
          </w:p>
        </w:tc>
        <w:tc>
          <w:tcPr>
            <w:tcW w:w="1134" w:type="dxa"/>
            <w:vAlign w:val="center"/>
          </w:tcPr>
          <w:p w14:paraId="37FEA3D8">
            <w:pPr>
              <w:pStyle w:val="16"/>
            </w:pPr>
          </w:p>
        </w:tc>
        <w:tc>
          <w:tcPr>
            <w:tcW w:w="1134" w:type="dxa"/>
            <w:vAlign w:val="center"/>
          </w:tcPr>
          <w:p w14:paraId="6EE94965">
            <w:pPr>
              <w:pStyle w:val="16"/>
            </w:pPr>
            <w:r>
              <w:t>42.04</w:t>
            </w:r>
          </w:p>
        </w:tc>
      </w:tr>
      <w:tr w14:paraId="0723E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E1407D">
            <w:pPr>
              <w:pStyle w:val="12"/>
            </w:pPr>
            <w:r>
              <w:t>2</w:t>
            </w:r>
          </w:p>
        </w:tc>
        <w:tc>
          <w:tcPr>
            <w:tcW w:w="992" w:type="dxa"/>
            <w:vAlign w:val="center"/>
          </w:tcPr>
          <w:p w14:paraId="099193ED">
            <w:pPr>
              <w:pStyle w:val="13"/>
            </w:pPr>
            <w:r>
              <w:t>205</w:t>
            </w:r>
          </w:p>
        </w:tc>
        <w:tc>
          <w:tcPr>
            <w:tcW w:w="1559" w:type="dxa"/>
            <w:vAlign w:val="center"/>
          </w:tcPr>
          <w:p w14:paraId="6B44A0E5">
            <w:pPr>
              <w:pStyle w:val="13"/>
            </w:pPr>
            <w:r>
              <w:t>教育支出</w:t>
            </w:r>
          </w:p>
        </w:tc>
        <w:tc>
          <w:tcPr>
            <w:tcW w:w="1134" w:type="dxa"/>
            <w:vAlign w:val="center"/>
          </w:tcPr>
          <w:p w14:paraId="184CC249">
            <w:pPr>
              <w:pStyle w:val="14"/>
            </w:pPr>
            <w:r>
              <w:t>3046.44</w:t>
            </w:r>
          </w:p>
        </w:tc>
        <w:tc>
          <w:tcPr>
            <w:tcW w:w="1134" w:type="dxa"/>
            <w:vAlign w:val="center"/>
          </w:tcPr>
          <w:p w14:paraId="21B00D74">
            <w:pPr>
              <w:pStyle w:val="14"/>
            </w:pPr>
            <w:r>
              <w:t>3004.40</w:t>
            </w:r>
          </w:p>
        </w:tc>
        <w:tc>
          <w:tcPr>
            <w:tcW w:w="1134" w:type="dxa"/>
            <w:vAlign w:val="center"/>
          </w:tcPr>
          <w:p w14:paraId="2924BD9E">
            <w:pPr>
              <w:pStyle w:val="14"/>
            </w:pPr>
            <w:r>
              <w:t>3004.40</w:t>
            </w:r>
          </w:p>
        </w:tc>
        <w:tc>
          <w:tcPr>
            <w:tcW w:w="1134" w:type="dxa"/>
            <w:vAlign w:val="center"/>
          </w:tcPr>
          <w:p w14:paraId="6DA82A6E">
            <w:pPr>
              <w:pStyle w:val="14"/>
            </w:pPr>
          </w:p>
        </w:tc>
        <w:tc>
          <w:tcPr>
            <w:tcW w:w="1134" w:type="dxa"/>
            <w:vAlign w:val="center"/>
          </w:tcPr>
          <w:p w14:paraId="46F7DD2C">
            <w:pPr>
              <w:pStyle w:val="14"/>
            </w:pPr>
          </w:p>
        </w:tc>
        <w:tc>
          <w:tcPr>
            <w:tcW w:w="1134" w:type="dxa"/>
            <w:vAlign w:val="center"/>
          </w:tcPr>
          <w:p w14:paraId="24ED9882">
            <w:pPr>
              <w:pStyle w:val="14"/>
            </w:pPr>
          </w:p>
        </w:tc>
        <w:tc>
          <w:tcPr>
            <w:tcW w:w="1134" w:type="dxa"/>
            <w:vAlign w:val="center"/>
          </w:tcPr>
          <w:p w14:paraId="173D5ABF">
            <w:pPr>
              <w:pStyle w:val="14"/>
            </w:pPr>
          </w:p>
        </w:tc>
        <w:tc>
          <w:tcPr>
            <w:tcW w:w="1134" w:type="dxa"/>
            <w:vAlign w:val="center"/>
          </w:tcPr>
          <w:p w14:paraId="6B8490A9">
            <w:pPr>
              <w:pStyle w:val="14"/>
            </w:pPr>
          </w:p>
        </w:tc>
        <w:tc>
          <w:tcPr>
            <w:tcW w:w="1134" w:type="dxa"/>
            <w:vAlign w:val="center"/>
          </w:tcPr>
          <w:p w14:paraId="6C5680F7">
            <w:pPr>
              <w:pStyle w:val="14"/>
            </w:pPr>
          </w:p>
        </w:tc>
        <w:tc>
          <w:tcPr>
            <w:tcW w:w="1134" w:type="dxa"/>
            <w:vAlign w:val="center"/>
          </w:tcPr>
          <w:p w14:paraId="10AD8052">
            <w:pPr>
              <w:pStyle w:val="14"/>
            </w:pPr>
            <w:r>
              <w:t>42.04</w:t>
            </w:r>
          </w:p>
        </w:tc>
      </w:tr>
      <w:tr w14:paraId="6E67F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ED5F72">
            <w:pPr>
              <w:pStyle w:val="12"/>
            </w:pPr>
            <w:r>
              <w:t>3</w:t>
            </w:r>
          </w:p>
        </w:tc>
        <w:tc>
          <w:tcPr>
            <w:tcW w:w="992" w:type="dxa"/>
            <w:vAlign w:val="center"/>
          </w:tcPr>
          <w:p w14:paraId="61171C59">
            <w:pPr>
              <w:pStyle w:val="13"/>
            </w:pPr>
            <w:r>
              <w:t>20502</w:t>
            </w:r>
          </w:p>
        </w:tc>
        <w:tc>
          <w:tcPr>
            <w:tcW w:w="1559" w:type="dxa"/>
            <w:vAlign w:val="center"/>
          </w:tcPr>
          <w:p w14:paraId="04C33A69">
            <w:pPr>
              <w:pStyle w:val="13"/>
            </w:pPr>
            <w:r>
              <w:t>普通教育</w:t>
            </w:r>
          </w:p>
        </w:tc>
        <w:tc>
          <w:tcPr>
            <w:tcW w:w="1134" w:type="dxa"/>
            <w:vAlign w:val="center"/>
          </w:tcPr>
          <w:p w14:paraId="3A0D80A4">
            <w:pPr>
              <w:pStyle w:val="14"/>
            </w:pPr>
            <w:r>
              <w:t>3046.44</w:t>
            </w:r>
          </w:p>
        </w:tc>
        <w:tc>
          <w:tcPr>
            <w:tcW w:w="1134" w:type="dxa"/>
            <w:vAlign w:val="center"/>
          </w:tcPr>
          <w:p w14:paraId="44DC742D">
            <w:pPr>
              <w:pStyle w:val="14"/>
            </w:pPr>
            <w:r>
              <w:t>3004.40</w:t>
            </w:r>
          </w:p>
        </w:tc>
        <w:tc>
          <w:tcPr>
            <w:tcW w:w="1134" w:type="dxa"/>
            <w:vAlign w:val="center"/>
          </w:tcPr>
          <w:p w14:paraId="76D91D6A">
            <w:pPr>
              <w:pStyle w:val="14"/>
            </w:pPr>
            <w:r>
              <w:t>3004.40</w:t>
            </w:r>
          </w:p>
        </w:tc>
        <w:tc>
          <w:tcPr>
            <w:tcW w:w="1134" w:type="dxa"/>
            <w:vAlign w:val="center"/>
          </w:tcPr>
          <w:p w14:paraId="57AD151E">
            <w:pPr>
              <w:pStyle w:val="14"/>
            </w:pPr>
          </w:p>
        </w:tc>
        <w:tc>
          <w:tcPr>
            <w:tcW w:w="1134" w:type="dxa"/>
            <w:vAlign w:val="center"/>
          </w:tcPr>
          <w:p w14:paraId="4C2D63D2">
            <w:pPr>
              <w:pStyle w:val="14"/>
            </w:pPr>
          </w:p>
        </w:tc>
        <w:tc>
          <w:tcPr>
            <w:tcW w:w="1134" w:type="dxa"/>
            <w:vAlign w:val="center"/>
          </w:tcPr>
          <w:p w14:paraId="3868EDB4">
            <w:pPr>
              <w:pStyle w:val="14"/>
            </w:pPr>
          </w:p>
        </w:tc>
        <w:tc>
          <w:tcPr>
            <w:tcW w:w="1134" w:type="dxa"/>
            <w:vAlign w:val="center"/>
          </w:tcPr>
          <w:p w14:paraId="2D7CB899">
            <w:pPr>
              <w:pStyle w:val="14"/>
            </w:pPr>
          </w:p>
        </w:tc>
        <w:tc>
          <w:tcPr>
            <w:tcW w:w="1134" w:type="dxa"/>
            <w:vAlign w:val="center"/>
          </w:tcPr>
          <w:p w14:paraId="03CFD3D6">
            <w:pPr>
              <w:pStyle w:val="14"/>
            </w:pPr>
          </w:p>
        </w:tc>
        <w:tc>
          <w:tcPr>
            <w:tcW w:w="1134" w:type="dxa"/>
            <w:vAlign w:val="center"/>
          </w:tcPr>
          <w:p w14:paraId="730CD915">
            <w:pPr>
              <w:pStyle w:val="14"/>
            </w:pPr>
          </w:p>
        </w:tc>
        <w:tc>
          <w:tcPr>
            <w:tcW w:w="1134" w:type="dxa"/>
            <w:vAlign w:val="center"/>
          </w:tcPr>
          <w:p w14:paraId="631FBACD">
            <w:pPr>
              <w:pStyle w:val="14"/>
            </w:pPr>
            <w:r>
              <w:t>42.04</w:t>
            </w:r>
          </w:p>
        </w:tc>
      </w:tr>
      <w:tr w14:paraId="31150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756264">
            <w:pPr>
              <w:pStyle w:val="12"/>
            </w:pPr>
            <w:r>
              <w:t>4</w:t>
            </w:r>
          </w:p>
        </w:tc>
        <w:tc>
          <w:tcPr>
            <w:tcW w:w="992" w:type="dxa"/>
            <w:vAlign w:val="center"/>
          </w:tcPr>
          <w:p w14:paraId="4FCC0A40">
            <w:pPr>
              <w:pStyle w:val="13"/>
            </w:pPr>
            <w:r>
              <w:t>2050201</w:t>
            </w:r>
          </w:p>
        </w:tc>
        <w:tc>
          <w:tcPr>
            <w:tcW w:w="1559" w:type="dxa"/>
            <w:vAlign w:val="center"/>
          </w:tcPr>
          <w:p w14:paraId="438E19DD">
            <w:pPr>
              <w:pStyle w:val="13"/>
            </w:pPr>
            <w:r>
              <w:t>学前教育</w:t>
            </w:r>
          </w:p>
        </w:tc>
        <w:tc>
          <w:tcPr>
            <w:tcW w:w="1134" w:type="dxa"/>
            <w:vAlign w:val="center"/>
          </w:tcPr>
          <w:p w14:paraId="65648194">
            <w:pPr>
              <w:pStyle w:val="14"/>
            </w:pPr>
            <w:r>
              <w:t>167.30</w:t>
            </w:r>
          </w:p>
        </w:tc>
        <w:tc>
          <w:tcPr>
            <w:tcW w:w="1134" w:type="dxa"/>
            <w:vAlign w:val="center"/>
          </w:tcPr>
          <w:p w14:paraId="2CA1BC85">
            <w:pPr>
              <w:pStyle w:val="14"/>
            </w:pPr>
            <w:r>
              <w:t>167.30</w:t>
            </w:r>
          </w:p>
        </w:tc>
        <w:tc>
          <w:tcPr>
            <w:tcW w:w="1134" w:type="dxa"/>
            <w:vAlign w:val="center"/>
          </w:tcPr>
          <w:p w14:paraId="1D5F5358">
            <w:pPr>
              <w:pStyle w:val="14"/>
            </w:pPr>
            <w:r>
              <w:t>167.30</w:t>
            </w:r>
          </w:p>
        </w:tc>
        <w:tc>
          <w:tcPr>
            <w:tcW w:w="1134" w:type="dxa"/>
            <w:vAlign w:val="center"/>
          </w:tcPr>
          <w:p w14:paraId="0C4633CC">
            <w:pPr>
              <w:pStyle w:val="14"/>
            </w:pPr>
          </w:p>
        </w:tc>
        <w:tc>
          <w:tcPr>
            <w:tcW w:w="1134" w:type="dxa"/>
            <w:vAlign w:val="center"/>
          </w:tcPr>
          <w:p w14:paraId="01F3F108">
            <w:pPr>
              <w:pStyle w:val="14"/>
            </w:pPr>
          </w:p>
        </w:tc>
        <w:tc>
          <w:tcPr>
            <w:tcW w:w="1134" w:type="dxa"/>
            <w:vAlign w:val="center"/>
          </w:tcPr>
          <w:p w14:paraId="35A088BB">
            <w:pPr>
              <w:pStyle w:val="14"/>
            </w:pPr>
          </w:p>
        </w:tc>
        <w:tc>
          <w:tcPr>
            <w:tcW w:w="1134" w:type="dxa"/>
            <w:vAlign w:val="center"/>
          </w:tcPr>
          <w:p w14:paraId="669BFF7E">
            <w:pPr>
              <w:pStyle w:val="14"/>
            </w:pPr>
          </w:p>
        </w:tc>
        <w:tc>
          <w:tcPr>
            <w:tcW w:w="1134" w:type="dxa"/>
            <w:vAlign w:val="center"/>
          </w:tcPr>
          <w:p w14:paraId="778CE25D">
            <w:pPr>
              <w:pStyle w:val="14"/>
            </w:pPr>
          </w:p>
        </w:tc>
        <w:tc>
          <w:tcPr>
            <w:tcW w:w="1134" w:type="dxa"/>
            <w:vAlign w:val="center"/>
          </w:tcPr>
          <w:p w14:paraId="12A89ACA">
            <w:pPr>
              <w:pStyle w:val="14"/>
            </w:pPr>
          </w:p>
        </w:tc>
        <w:tc>
          <w:tcPr>
            <w:tcW w:w="1134" w:type="dxa"/>
            <w:vAlign w:val="center"/>
          </w:tcPr>
          <w:p w14:paraId="380F93E8">
            <w:pPr>
              <w:pStyle w:val="14"/>
            </w:pPr>
          </w:p>
        </w:tc>
      </w:tr>
      <w:tr w14:paraId="66F6A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66D489">
            <w:pPr>
              <w:pStyle w:val="12"/>
            </w:pPr>
            <w:r>
              <w:t>5</w:t>
            </w:r>
          </w:p>
        </w:tc>
        <w:tc>
          <w:tcPr>
            <w:tcW w:w="992" w:type="dxa"/>
            <w:vAlign w:val="center"/>
          </w:tcPr>
          <w:p w14:paraId="6E1BC3B8">
            <w:pPr>
              <w:pStyle w:val="13"/>
            </w:pPr>
            <w:r>
              <w:t>2050202</w:t>
            </w:r>
          </w:p>
        </w:tc>
        <w:tc>
          <w:tcPr>
            <w:tcW w:w="1559" w:type="dxa"/>
            <w:vAlign w:val="center"/>
          </w:tcPr>
          <w:p w14:paraId="77008A2A">
            <w:pPr>
              <w:pStyle w:val="13"/>
            </w:pPr>
            <w:r>
              <w:t>小学教育</w:t>
            </w:r>
          </w:p>
        </w:tc>
        <w:tc>
          <w:tcPr>
            <w:tcW w:w="1134" w:type="dxa"/>
            <w:vAlign w:val="center"/>
          </w:tcPr>
          <w:p w14:paraId="1A5AA42E">
            <w:pPr>
              <w:pStyle w:val="14"/>
            </w:pPr>
            <w:r>
              <w:t>2879.14</w:t>
            </w:r>
          </w:p>
        </w:tc>
        <w:tc>
          <w:tcPr>
            <w:tcW w:w="1134" w:type="dxa"/>
            <w:vAlign w:val="center"/>
          </w:tcPr>
          <w:p w14:paraId="39396C45">
            <w:pPr>
              <w:pStyle w:val="14"/>
            </w:pPr>
            <w:r>
              <w:t>2837.10</w:t>
            </w:r>
          </w:p>
        </w:tc>
        <w:tc>
          <w:tcPr>
            <w:tcW w:w="1134" w:type="dxa"/>
            <w:vAlign w:val="center"/>
          </w:tcPr>
          <w:p w14:paraId="780EC307">
            <w:pPr>
              <w:pStyle w:val="14"/>
            </w:pPr>
            <w:r>
              <w:t>2837.10</w:t>
            </w:r>
          </w:p>
        </w:tc>
        <w:tc>
          <w:tcPr>
            <w:tcW w:w="1134" w:type="dxa"/>
            <w:vAlign w:val="center"/>
          </w:tcPr>
          <w:p w14:paraId="2EED2652">
            <w:pPr>
              <w:pStyle w:val="14"/>
            </w:pPr>
          </w:p>
        </w:tc>
        <w:tc>
          <w:tcPr>
            <w:tcW w:w="1134" w:type="dxa"/>
            <w:vAlign w:val="center"/>
          </w:tcPr>
          <w:p w14:paraId="60E0D53B">
            <w:pPr>
              <w:pStyle w:val="14"/>
            </w:pPr>
          </w:p>
        </w:tc>
        <w:tc>
          <w:tcPr>
            <w:tcW w:w="1134" w:type="dxa"/>
            <w:vAlign w:val="center"/>
          </w:tcPr>
          <w:p w14:paraId="1F25B771">
            <w:pPr>
              <w:pStyle w:val="14"/>
            </w:pPr>
          </w:p>
        </w:tc>
        <w:tc>
          <w:tcPr>
            <w:tcW w:w="1134" w:type="dxa"/>
            <w:vAlign w:val="center"/>
          </w:tcPr>
          <w:p w14:paraId="576C0CA0">
            <w:pPr>
              <w:pStyle w:val="14"/>
            </w:pPr>
          </w:p>
        </w:tc>
        <w:tc>
          <w:tcPr>
            <w:tcW w:w="1134" w:type="dxa"/>
            <w:vAlign w:val="center"/>
          </w:tcPr>
          <w:p w14:paraId="5C58DDFA">
            <w:pPr>
              <w:pStyle w:val="14"/>
            </w:pPr>
          </w:p>
        </w:tc>
        <w:tc>
          <w:tcPr>
            <w:tcW w:w="1134" w:type="dxa"/>
            <w:vAlign w:val="center"/>
          </w:tcPr>
          <w:p w14:paraId="3698423A">
            <w:pPr>
              <w:pStyle w:val="14"/>
            </w:pPr>
          </w:p>
        </w:tc>
        <w:tc>
          <w:tcPr>
            <w:tcW w:w="1134" w:type="dxa"/>
            <w:vAlign w:val="center"/>
          </w:tcPr>
          <w:p w14:paraId="7638EED3">
            <w:pPr>
              <w:pStyle w:val="14"/>
            </w:pPr>
            <w:r>
              <w:t>42.04</w:t>
            </w:r>
          </w:p>
        </w:tc>
      </w:tr>
    </w:tbl>
    <w:p w14:paraId="373B0116">
      <w:pPr>
        <w:sectPr>
          <w:pgSz w:w="16840" w:h="11900" w:orient="landscape"/>
          <w:pgMar w:top="1361" w:right="1020" w:bottom="1134" w:left="1020" w:header="720" w:footer="720" w:gutter="0"/>
          <w:cols w:space="720" w:num="1"/>
        </w:sectPr>
      </w:pPr>
    </w:p>
    <w:p w14:paraId="7C560C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C2F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023138">
            <w:pPr>
              <w:pStyle w:val="8"/>
            </w:pPr>
            <w:r>
              <w:t>360021隆尧县山口校区</w:t>
            </w:r>
          </w:p>
        </w:tc>
        <w:tc>
          <w:tcPr>
            <w:tcW w:w="2722" w:type="dxa"/>
            <w:gridSpan w:val="2"/>
            <w:tcBorders>
              <w:top w:val="single" w:color="FFFFFF" w:sz="6" w:space="0"/>
              <w:left w:val="single" w:color="FFFFFF" w:sz="6" w:space="0"/>
              <w:right w:val="single" w:color="FFFFFF" w:sz="6" w:space="0"/>
            </w:tcBorders>
            <w:vAlign w:val="center"/>
          </w:tcPr>
          <w:p w14:paraId="39651483">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389E9A4">
            <w:pPr>
              <w:pStyle w:val="10"/>
            </w:pPr>
            <w:r>
              <w:t>单位：万元</w:t>
            </w:r>
          </w:p>
        </w:tc>
      </w:tr>
      <w:tr w14:paraId="04DD8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7EA8C">
            <w:pPr>
              <w:pStyle w:val="11"/>
            </w:pPr>
            <w:r>
              <w:t>序号</w:t>
            </w:r>
          </w:p>
        </w:tc>
        <w:tc>
          <w:tcPr>
            <w:tcW w:w="5527" w:type="dxa"/>
            <w:gridSpan w:val="2"/>
            <w:vAlign w:val="center"/>
          </w:tcPr>
          <w:p w14:paraId="5BAB0F3A">
            <w:pPr>
              <w:pStyle w:val="11"/>
            </w:pPr>
            <w:r>
              <w:t>功能分类科目</w:t>
            </w:r>
          </w:p>
        </w:tc>
        <w:tc>
          <w:tcPr>
            <w:tcW w:w="1361" w:type="dxa"/>
            <w:vMerge w:val="restart"/>
            <w:vAlign w:val="center"/>
          </w:tcPr>
          <w:p w14:paraId="377AE990">
            <w:pPr>
              <w:pStyle w:val="11"/>
            </w:pPr>
            <w:r>
              <w:t>合计</w:t>
            </w:r>
          </w:p>
        </w:tc>
        <w:tc>
          <w:tcPr>
            <w:tcW w:w="1361" w:type="dxa"/>
            <w:vMerge w:val="restart"/>
            <w:vAlign w:val="center"/>
          </w:tcPr>
          <w:p w14:paraId="1699886F">
            <w:pPr>
              <w:pStyle w:val="11"/>
            </w:pPr>
            <w:r>
              <w:t>基本支出</w:t>
            </w:r>
          </w:p>
        </w:tc>
        <w:tc>
          <w:tcPr>
            <w:tcW w:w="1361" w:type="dxa"/>
            <w:vMerge w:val="restart"/>
            <w:vAlign w:val="center"/>
          </w:tcPr>
          <w:p w14:paraId="7FD43F0B">
            <w:pPr>
              <w:pStyle w:val="11"/>
            </w:pPr>
            <w:r>
              <w:t>项目支出</w:t>
            </w:r>
          </w:p>
        </w:tc>
        <w:tc>
          <w:tcPr>
            <w:tcW w:w="1361" w:type="dxa"/>
            <w:vMerge w:val="restart"/>
            <w:vAlign w:val="center"/>
          </w:tcPr>
          <w:p w14:paraId="5EC4290E">
            <w:pPr>
              <w:pStyle w:val="11"/>
            </w:pPr>
            <w:r>
              <w:t>经营支出</w:t>
            </w:r>
          </w:p>
        </w:tc>
        <w:tc>
          <w:tcPr>
            <w:tcW w:w="1361" w:type="dxa"/>
            <w:vMerge w:val="restart"/>
            <w:vAlign w:val="center"/>
          </w:tcPr>
          <w:p w14:paraId="5DD3A189">
            <w:pPr>
              <w:pStyle w:val="11"/>
            </w:pPr>
            <w:r>
              <w:t>上解上级     支出</w:t>
            </w:r>
          </w:p>
        </w:tc>
        <w:tc>
          <w:tcPr>
            <w:tcW w:w="1361" w:type="dxa"/>
            <w:vMerge w:val="restart"/>
            <w:vAlign w:val="center"/>
          </w:tcPr>
          <w:p w14:paraId="0823BDD4">
            <w:pPr>
              <w:pStyle w:val="11"/>
            </w:pPr>
            <w:r>
              <w:t>对附属单位补助支出</w:t>
            </w:r>
          </w:p>
        </w:tc>
      </w:tr>
      <w:tr w14:paraId="41181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45CA3"/>
        </w:tc>
        <w:tc>
          <w:tcPr>
            <w:tcW w:w="992" w:type="dxa"/>
            <w:vAlign w:val="center"/>
          </w:tcPr>
          <w:p w14:paraId="542B2FB3">
            <w:pPr>
              <w:pStyle w:val="11"/>
            </w:pPr>
            <w:r>
              <w:t>科目    编码</w:t>
            </w:r>
          </w:p>
        </w:tc>
        <w:tc>
          <w:tcPr>
            <w:tcW w:w="4535" w:type="dxa"/>
            <w:vAlign w:val="center"/>
          </w:tcPr>
          <w:p w14:paraId="7F0E1EAB">
            <w:pPr>
              <w:pStyle w:val="11"/>
            </w:pPr>
            <w:r>
              <w:t>科目名称</w:t>
            </w:r>
          </w:p>
        </w:tc>
        <w:tc>
          <w:tcPr>
            <w:tcW w:w="1361" w:type="dxa"/>
            <w:vMerge w:val="continue"/>
          </w:tcPr>
          <w:p w14:paraId="479C04F5"/>
        </w:tc>
        <w:tc>
          <w:tcPr>
            <w:tcW w:w="1361" w:type="dxa"/>
            <w:vMerge w:val="continue"/>
          </w:tcPr>
          <w:p w14:paraId="04D4C257"/>
        </w:tc>
        <w:tc>
          <w:tcPr>
            <w:tcW w:w="1361" w:type="dxa"/>
            <w:vMerge w:val="continue"/>
          </w:tcPr>
          <w:p w14:paraId="19371E51"/>
        </w:tc>
        <w:tc>
          <w:tcPr>
            <w:tcW w:w="1361" w:type="dxa"/>
            <w:vMerge w:val="continue"/>
          </w:tcPr>
          <w:p w14:paraId="45A3AE61"/>
        </w:tc>
        <w:tc>
          <w:tcPr>
            <w:tcW w:w="1361" w:type="dxa"/>
            <w:vMerge w:val="continue"/>
          </w:tcPr>
          <w:p w14:paraId="46F2289C"/>
        </w:tc>
        <w:tc>
          <w:tcPr>
            <w:tcW w:w="1361" w:type="dxa"/>
            <w:vMerge w:val="continue"/>
          </w:tcPr>
          <w:p w14:paraId="25E21714"/>
        </w:tc>
      </w:tr>
      <w:tr w14:paraId="657B4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58D7A8">
            <w:pPr>
              <w:pStyle w:val="11"/>
            </w:pPr>
            <w:r>
              <w:t>栏次</w:t>
            </w:r>
          </w:p>
        </w:tc>
        <w:tc>
          <w:tcPr>
            <w:tcW w:w="992" w:type="dxa"/>
            <w:vAlign w:val="center"/>
          </w:tcPr>
          <w:p w14:paraId="1070C908">
            <w:pPr>
              <w:pStyle w:val="11"/>
            </w:pPr>
            <w:r>
              <w:t>1</w:t>
            </w:r>
          </w:p>
        </w:tc>
        <w:tc>
          <w:tcPr>
            <w:tcW w:w="4535" w:type="dxa"/>
            <w:vAlign w:val="center"/>
          </w:tcPr>
          <w:p w14:paraId="639AE517">
            <w:pPr>
              <w:pStyle w:val="11"/>
            </w:pPr>
            <w:r>
              <w:t>2</w:t>
            </w:r>
          </w:p>
        </w:tc>
        <w:tc>
          <w:tcPr>
            <w:tcW w:w="1361" w:type="dxa"/>
            <w:vAlign w:val="center"/>
          </w:tcPr>
          <w:p w14:paraId="5B8012A1">
            <w:pPr>
              <w:pStyle w:val="11"/>
            </w:pPr>
            <w:r>
              <w:t>3</w:t>
            </w:r>
          </w:p>
        </w:tc>
        <w:tc>
          <w:tcPr>
            <w:tcW w:w="1361" w:type="dxa"/>
            <w:vAlign w:val="center"/>
          </w:tcPr>
          <w:p w14:paraId="1540FC16">
            <w:pPr>
              <w:pStyle w:val="11"/>
            </w:pPr>
            <w:r>
              <w:t>4</w:t>
            </w:r>
          </w:p>
        </w:tc>
        <w:tc>
          <w:tcPr>
            <w:tcW w:w="1361" w:type="dxa"/>
            <w:vAlign w:val="center"/>
          </w:tcPr>
          <w:p w14:paraId="60BD499A">
            <w:pPr>
              <w:pStyle w:val="11"/>
            </w:pPr>
            <w:r>
              <w:t>5</w:t>
            </w:r>
          </w:p>
        </w:tc>
        <w:tc>
          <w:tcPr>
            <w:tcW w:w="1361" w:type="dxa"/>
            <w:vAlign w:val="center"/>
          </w:tcPr>
          <w:p w14:paraId="575A1E4D">
            <w:pPr>
              <w:pStyle w:val="11"/>
            </w:pPr>
            <w:r>
              <w:t>6</w:t>
            </w:r>
          </w:p>
        </w:tc>
        <w:tc>
          <w:tcPr>
            <w:tcW w:w="1361" w:type="dxa"/>
            <w:vAlign w:val="center"/>
          </w:tcPr>
          <w:p w14:paraId="01931FC9">
            <w:pPr>
              <w:pStyle w:val="11"/>
            </w:pPr>
            <w:r>
              <w:t>7</w:t>
            </w:r>
          </w:p>
        </w:tc>
        <w:tc>
          <w:tcPr>
            <w:tcW w:w="1361" w:type="dxa"/>
            <w:vAlign w:val="center"/>
          </w:tcPr>
          <w:p w14:paraId="3A43F7AC">
            <w:pPr>
              <w:pStyle w:val="11"/>
            </w:pPr>
            <w:r>
              <w:t>8</w:t>
            </w:r>
          </w:p>
        </w:tc>
      </w:tr>
      <w:tr w14:paraId="4268E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53A4C">
            <w:pPr>
              <w:pStyle w:val="12"/>
            </w:pPr>
            <w:r>
              <w:t>1</w:t>
            </w:r>
          </w:p>
        </w:tc>
        <w:tc>
          <w:tcPr>
            <w:tcW w:w="992" w:type="dxa"/>
            <w:vAlign w:val="center"/>
          </w:tcPr>
          <w:p w14:paraId="16269187">
            <w:pPr>
              <w:pStyle w:val="17"/>
            </w:pPr>
          </w:p>
        </w:tc>
        <w:tc>
          <w:tcPr>
            <w:tcW w:w="4535" w:type="dxa"/>
            <w:vAlign w:val="center"/>
          </w:tcPr>
          <w:p w14:paraId="50893B5E">
            <w:pPr>
              <w:pStyle w:val="15"/>
            </w:pPr>
            <w:r>
              <w:t>合计</w:t>
            </w:r>
          </w:p>
        </w:tc>
        <w:tc>
          <w:tcPr>
            <w:tcW w:w="1361" w:type="dxa"/>
            <w:vAlign w:val="center"/>
          </w:tcPr>
          <w:p w14:paraId="6D70A04D">
            <w:pPr>
              <w:pStyle w:val="16"/>
            </w:pPr>
            <w:r>
              <w:t>3046.44</w:t>
            </w:r>
          </w:p>
        </w:tc>
        <w:tc>
          <w:tcPr>
            <w:tcW w:w="1361" w:type="dxa"/>
            <w:vAlign w:val="center"/>
          </w:tcPr>
          <w:p w14:paraId="4539BC47">
            <w:pPr>
              <w:pStyle w:val="16"/>
            </w:pPr>
            <w:r>
              <w:t>2555.60</w:t>
            </w:r>
          </w:p>
        </w:tc>
        <w:tc>
          <w:tcPr>
            <w:tcW w:w="1361" w:type="dxa"/>
            <w:vAlign w:val="center"/>
          </w:tcPr>
          <w:p w14:paraId="3CA70F3B">
            <w:pPr>
              <w:pStyle w:val="16"/>
            </w:pPr>
            <w:r>
              <w:t>490.84</w:t>
            </w:r>
          </w:p>
        </w:tc>
        <w:tc>
          <w:tcPr>
            <w:tcW w:w="1361" w:type="dxa"/>
            <w:vAlign w:val="center"/>
          </w:tcPr>
          <w:p w14:paraId="029B520F">
            <w:pPr>
              <w:pStyle w:val="16"/>
            </w:pPr>
          </w:p>
        </w:tc>
        <w:tc>
          <w:tcPr>
            <w:tcW w:w="1361" w:type="dxa"/>
            <w:vAlign w:val="center"/>
          </w:tcPr>
          <w:p w14:paraId="46795B63">
            <w:pPr>
              <w:pStyle w:val="16"/>
            </w:pPr>
          </w:p>
        </w:tc>
        <w:tc>
          <w:tcPr>
            <w:tcW w:w="1361" w:type="dxa"/>
            <w:vAlign w:val="center"/>
          </w:tcPr>
          <w:p w14:paraId="022C83C1">
            <w:pPr>
              <w:pStyle w:val="16"/>
            </w:pPr>
          </w:p>
        </w:tc>
      </w:tr>
      <w:tr w14:paraId="46B65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DA164">
            <w:pPr>
              <w:pStyle w:val="12"/>
            </w:pPr>
            <w:r>
              <w:t>2</w:t>
            </w:r>
          </w:p>
        </w:tc>
        <w:tc>
          <w:tcPr>
            <w:tcW w:w="992" w:type="dxa"/>
            <w:vAlign w:val="center"/>
          </w:tcPr>
          <w:p w14:paraId="6EF4DACA">
            <w:pPr>
              <w:pStyle w:val="13"/>
            </w:pPr>
            <w:r>
              <w:t>205</w:t>
            </w:r>
          </w:p>
        </w:tc>
        <w:tc>
          <w:tcPr>
            <w:tcW w:w="4535" w:type="dxa"/>
            <w:vAlign w:val="center"/>
          </w:tcPr>
          <w:p w14:paraId="214270FF">
            <w:pPr>
              <w:pStyle w:val="13"/>
            </w:pPr>
            <w:r>
              <w:t>教育支出</w:t>
            </w:r>
          </w:p>
        </w:tc>
        <w:tc>
          <w:tcPr>
            <w:tcW w:w="1361" w:type="dxa"/>
            <w:vAlign w:val="center"/>
          </w:tcPr>
          <w:p w14:paraId="236B079F">
            <w:pPr>
              <w:pStyle w:val="14"/>
            </w:pPr>
            <w:r>
              <w:t>3046.44</w:t>
            </w:r>
          </w:p>
        </w:tc>
        <w:tc>
          <w:tcPr>
            <w:tcW w:w="1361" w:type="dxa"/>
            <w:vAlign w:val="center"/>
          </w:tcPr>
          <w:p w14:paraId="614C656A">
            <w:pPr>
              <w:pStyle w:val="14"/>
            </w:pPr>
            <w:r>
              <w:t>2555.60</w:t>
            </w:r>
          </w:p>
        </w:tc>
        <w:tc>
          <w:tcPr>
            <w:tcW w:w="1361" w:type="dxa"/>
            <w:vAlign w:val="center"/>
          </w:tcPr>
          <w:p w14:paraId="213765AF">
            <w:pPr>
              <w:pStyle w:val="14"/>
            </w:pPr>
            <w:r>
              <w:t>490.84</w:t>
            </w:r>
          </w:p>
        </w:tc>
        <w:tc>
          <w:tcPr>
            <w:tcW w:w="1361" w:type="dxa"/>
            <w:vAlign w:val="center"/>
          </w:tcPr>
          <w:p w14:paraId="5E74323A">
            <w:pPr>
              <w:pStyle w:val="14"/>
            </w:pPr>
          </w:p>
        </w:tc>
        <w:tc>
          <w:tcPr>
            <w:tcW w:w="1361" w:type="dxa"/>
            <w:vAlign w:val="center"/>
          </w:tcPr>
          <w:p w14:paraId="000A284A">
            <w:pPr>
              <w:pStyle w:val="14"/>
            </w:pPr>
          </w:p>
        </w:tc>
        <w:tc>
          <w:tcPr>
            <w:tcW w:w="1361" w:type="dxa"/>
            <w:vAlign w:val="center"/>
          </w:tcPr>
          <w:p w14:paraId="15AFD366">
            <w:pPr>
              <w:pStyle w:val="14"/>
            </w:pPr>
          </w:p>
        </w:tc>
      </w:tr>
      <w:tr w14:paraId="5C538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7ED11">
            <w:pPr>
              <w:pStyle w:val="12"/>
            </w:pPr>
            <w:r>
              <w:t>3</w:t>
            </w:r>
          </w:p>
        </w:tc>
        <w:tc>
          <w:tcPr>
            <w:tcW w:w="992" w:type="dxa"/>
            <w:vAlign w:val="center"/>
          </w:tcPr>
          <w:p w14:paraId="03A66BD2">
            <w:pPr>
              <w:pStyle w:val="13"/>
            </w:pPr>
            <w:r>
              <w:t>20502</w:t>
            </w:r>
          </w:p>
        </w:tc>
        <w:tc>
          <w:tcPr>
            <w:tcW w:w="4535" w:type="dxa"/>
            <w:vAlign w:val="center"/>
          </w:tcPr>
          <w:p w14:paraId="71E92B6E">
            <w:pPr>
              <w:pStyle w:val="13"/>
            </w:pPr>
            <w:r>
              <w:t>普通教育</w:t>
            </w:r>
          </w:p>
        </w:tc>
        <w:tc>
          <w:tcPr>
            <w:tcW w:w="1361" w:type="dxa"/>
            <w:vAlign w:val="center"/>
          </w:tcPr>
          <w:p w14:paraId="786AF724">
            <w:pPr>
              <w:pStyle w:val="14"/>
            </w:pPr>
            <w:r>
              <w:t>3046.44</w:t>
            </w:r>
          </w:p>
        </w:tc>
        <w:tc>
          <w:tcPr>
            <w:tcW w:w="1361" w:type="dxa"/>
            <w:vAlign w:val="center"/>
          </w:tcPr>
          <w:p w14:paraId="3859DB96">
            <w:pPr>
              <w:pStyle w:val="14"/>
            </w:pPr>
            <w:r>
              <w:t>2555.60</w:t>
            </w:r>
          </w:p>
        </w:tc>
        <w:tc>
          <w:tcPr>
            <w:tcW w:w="1361" w:type="dxa"/>
            <w:vAlign w:val="center"/>
          </w:tcPr>
          <w:p w14:paraId="006C6EF6">
            <w:pPr>
              <w:pStyle w:val="14"/>
            </w:pPr>
            <w:r>
              <w:t>490.84</w:t>
            </w:r>
          </w:p>
        </w:tc>
        <w:tc>
          <w:tcPr>
            <w:tcW w:w="1361" w:type="dxa"/>
            <w:vAlign w:val="center"/>
          </w:tcPr>
          <w:p w14:paraId="70EC406A">
            <w:pPr>
              <w:pStyle w:val="14"/>
            </w:pPr>
          </w:p>
        </w:tc>
        <w:tc>
          <w:tcPr>
            <w:tcW w:w="1361" w:type="dxa"/>
            <w:vAlign w:val="center"/>
          </w:tcPr>
          <w:p w14:paraId="76D69659">
            <w:pPr>
              <w:pStyle w:val="14"/>
            </w:pPr>
          </w:p>
        </w:tc>
        <w:tc>
          <w:tcPr>
            <w:tcW w:w="1361" w:type="dxa"/>
            <w:vAlign w:val="center"/>
          </w:tcPr>
          <w:p w14:paraId="4C383E52">
            <w:pPr>
              <w:pStyle w:val="14"/>
            </w:pPr>
          </w:p>
        </w:tc>
      </w:tr>
      <w:tr w14:paraId="0241A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99BB2">
            <w:pPr>
              <w:pStyle w:val="12"/>
            </w:pPr>
            <w:r>
              <w:t>4</w:t>
            </w:r>
          </w:p>
        </w:tc>
        <w:tc>
          <w:tcPr>
            <w:tcW w:w="992" w:type="dxa"/>
            <w:vAlign w:val="center"/>
          </w:tcPr>
          <w:p w14:paraId="51D9E62F">
            <w:pPr>
              <w:pStyle w:val="13"/>
            </w:pPr>
            <w:r>
              <w:t>2050201</w:t>
            </w:r>
          </w:p>
        </w:tc>
        <w:tc>
          <w:tcPr>
            <w:tcW w:w="4535" w:type="dxa"/>
            <w:vAlign w:val="center"/>
          </w:tcPr>
          <w:p w14:paraId="6ED114DD">
            <w:pPr>
              <w:pStyle w:val="13"/>
            </w:pPr>
            <w:r>
              <w:t>学前教育</w:t>
            </w:r>
          </w:p>
        </w:tc>
        <w:tc>
          <w:tcPr>
            <w:tcW w:w="1361" w:type="dxa"/>
            <w:vAlign w:val="center"/>
          </w:tcPr>
          <w:p w14:paraId="1321373F">
            <w:pPr>
              <w:pStyle w:val="14"/>
            </w:pPr>
            <w:r>
              <w:t>167.30</w:t>
            </w:r>
          </w:p>
        </w:tc>
        <w:tc>
          <w:tcPr>
            <w:tcW w:w="1361" w:type="dxa"/>
            <w:vAlign w:val="center"/>
          </w:tcPr>
          <w:p w14:paraId="3D72BC5F">
            <w:pPr>
              <w:pStyle w:val="14"/>
            </w:pPr>
          </w:p>
        </w:tc>
        <w:tc>
          <w:tcPr>
            <w:tcW w:w="1361" w:type="dxa"/>
            <w:vAlign w:val="center"/>
          </w:tcPr>
          <w:p w14:paraId="3DDD4977">
            <w:pPr>
              <w:pStyle w:val="14"/>
            </w:pPr>
            <w:r>
              <w:t>167.30</w:t>
            </w:r>
          </w:p>
        </w:tc>
        <w:tc>
          <w:tcPr>
            <w:tcW w:w="1361" w:type="dxa"/>
            <w:vAlign w:val="center"/>
          </w:tcPr>
          <w:p w14:paraId="7CD23BD6">
            <w:pPr>
              <w:pStyle w:val="14"/>
            </w:pPr>
          </w:p>
        </w:tc>
        <w:tc>
          <w:tcPr>
            <w:tcW w:w="1361" w:type="dxa"/>
            <w:vAlign w:val="center"/>
          </w:tcPr>
          <w:p w14:paraId="6DE96ABE">
            <w:pPr>
              <w:pStyle w:val="14"/>
            </w:pPr>
          </w:p>
        </w:tc>
        <w:tc>
          <w:tcPr>
            <w:tcW w:w="1361" w:type="dxa"/>
            <w:vAlign w:val="center"/>
          </w:tcPr>
          <w:p w14:paraId="73CA56BD">
            <w:pPr>
              <w:pStyle w:val="14"/>
            </w:pPr>
          </w:p>
        </w:tc>
      </w:tr>
      <w:tr w14:paraId="330FC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37FA2">
            <w:pPr>
              <w:pStyle w:val="12"/>
            </w:pPr>
            <w:r>
              <w:t>5</w:t>
            </w:r>
          </w:p>
        </w:tc>
        <w:tc>
          <w:tcPr>
            <w:tcW w:w="992" w:type="dxa"/>
            <w:vAlign w:val="center"/>
          </w:tcPr>
          <w:p w14:paraId="37DADE2B">
            <w:pPr>
              <w:pStyle w:val="13"/>
            </w:pPr>
            <w:r>
              <w:t>2050202</w:t>
            </w:r>
          </w:p>
        </w:tc>
        <w:tc>
          <w:tcPr>
            <w:tcW w:w="4535" w:type="dxa"/>
            <w:vAlign w:val="center"/>
          </w:tcPr>
          <w:p w14:paraId="3E159EB4">
            <w:pPr>
              <w:pStyle w:val="13"/>
            </w:pPr>
            <w:r>
              <w:t>小学教育</w:t>
            </w:r>
          </w:p>
        </w:tc>
        <w:tc>
          <w:tcPr>
            <w:tcW w:w="1361" w:type="dxa"/>
            <w:vAlign w:val="center"/>
          </w:tcPr>
          <w:p w14:paraId="610580E7">
            <w:pPr>
              <w:pStyle w:val="14"/>
            </w:pPr>
            <w:r>
              <w:t>2879.14</w:t>
            </w:r>
          </w:p>
        </w:tc>
        <w:tc>
          <w:tcPr>
            <w:tcW w:w="1361" w:type="dxa"/>
            <w:vAlign w:val="center"/>
          </w:tcPr>
          <w:p w14:paraId="2EC78E3E">
            <w:pPr>
              <w:pStyle w:val="14"/>
            </w:pPr>
            <w:r>
              <w:t>2555.60</w:t>
            </w:r>
          </w:p>
        </w:tc>
        <w:tc>
          <w:tcPr>
            <w:tcW w:w="1361" w:type="dxa"/>
            <w:vAlign w:val="center"/>
          </w:tcPr>
          <w:p w14:paraId="1066C70D">
            <w:pPr>
              <w:pStyle w:val="14"/>
            </w:pPr>
            <w:r>
              <w:t>323.54</w:t>
            </w:r>
          </w:p>
        </w:tc>
        <w:tc>
          <w:tcPr>
            <w:tcW w:w="1361" w:type="dxa"/>
            <w:vAlign w:val="center"/>
          </w:tcPr>
          <w:p w14:paraId="2478B1F6">
            <w:pPr>
              <w:pStyle w:val="14"/>
            </w:pPr>
          </w:p>
        </w:tc>
        <w:tc>
          <w:tcPr>
            <w:tcW w:w="1361" w:type="dxa"/>
            <w:vAlign w:val="center"/>
          </w:tcPr>
          <w:p w14:paraId="3E742171">
            <w:pPr>
              <w:pStyle w:val="14"/>
            </w:pPr>
          </w:p>
        </w:tc>
        <w:tc>
          <w:tcPr>
            <w:tcW w:w="1361" w:type="dxa"/>
            <w:vAlign w:val="center"/>
          </w:tcPr>
          <w:p w14:paraId="41468C5F">
            <w:pPr>
              <w:pStyle w:val="14"/>
            </w:pPr>
          </w:p>
        </w:tc>
      </w:tr>
    </w:tbl>
    <w:p w14:paraId="1F87AB7E">
      <w:pPr>
        <w:sectPr>
          <w:pgSz w:w="16840" w:h="11900" w:orient="landscape"/>
          <w:pgMar w:top="1361" w:right="1020" w:bottom="1134" w:left="1020" w:header="720" w:footer="720" w:gutter="0"/>
          <w:cols w:space="720" w:num="1"/>
        </w:sectPr>
      </w:pPr>
    </w:p>
    <w:p w14:paraId="436EAE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D31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296077">
            <w:pPr>
              <w:pStyle w:val="8"/>
            </w:pPr>
            <w:r>
              <w:t>360021隆尧县山口校区</w:t>
            </w:r>
          </w:p>
        </w:tc>
        <w:tc>
          <w:tcPr>
            <w:tcW w:w="3402" w:type="dxa"/>
            <w:tcBorders>
              <w:top w:val="single" w:color="FFFFFF" w:sz="6" w:space="0"/>
              <w:left w:val="single" w:color="FFFFFF" w:sz="6" w:space="0"/>
              <w:right w:val="single" w:color="FFFFFF" w:sz="6" w:space="0"/>
            </w:tcBorders>
            <w:vAlign w:val="center"/>
          </w:tcPr>
          <w:p w14:paraId="5028C44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090862E">
            <w:pPr>
              <w:pStyle w:val="10"/>
            </w:pPr>
            <w:r>
              <w:t>单位：万元</w:t>
            </w:r>
          </w:p>
        </w:tc>
      </w:tr>
      <w:tr w14:paraId="515DE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DFA248">
            <w:pPr>
              <w:pStyle w:val="11"/>
            </w:pPr>
            <w:r>
              <w:t>序号</w:t>
            </w:r>
          </w:p>
        </w:tc>
        <w:tc>
          <w:tcPr>
            <w:tcW w:w="4876" w:type="dxa"/>
            <w:gridSpan w:val="2"/>
            <w:vAlign w:val="center"/>
          </w:tcPr>
          <w:p w14:paraId="44FD0B2D">
            <w:pPr>
              <w:pStyle w:val="11"/>
            </w:pPr>
            <w:r>
              <w:t>收入</w:t>
            </w:r>
          </w:p>
        </w:tc>
        <w:tc>
          <w:tcPr>
            <w:tcW w:w="9298" w:type="dxa"/>
            <w:gridSpan w:val="5"/>
            <w:vAlign w:val="center"/>
          </w:tcPr>
          <w:p w14:paraId="54E2E0C6">
            <w:pPr>
              <w:pStyle w:val="11"/>
            </w:pPr>
            <w:r>
              <w:t>支出</w:t>
            </w:r>
          </w:p>
        </w:tc>
      </w:tr>
      <w:tr w14:paraId="1C6C7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227E5295"/>
        </w:tc>
        <w:tc>
          <w:tcPr>
            <w:tcW w:w="3402" w:type="dxa"/>
            <w:vAlign w:val="center"/>
          </w:tcPr>
          <w:p w14:paraId="54EDCA3A">
            <w:pPr>
              <w:pStyle w:val="11"/>
            </w:pPr>
            <w:r>
              <w:t>项  目</w:t>
            </w:r>
          </w:p>
        </w:tc>
        <w:tc>
          <w:tcPr>
            <w:tcW w:w="1474" w:type="dxa"/>
            <w:vAlign w:val="center"/>
          </w:tcPr>
          <w:p w14:paraId="13BEF030">
            <w:pPr>
              <w:pStyle w:val="11"/>
            </w:pPr>
            <w:r>
              <w:t>金额</w:t>
            </w:r>
          </w:p>
        </w:tc>
        <w:tc>
          <w:tcPr>
            <w:tcW w:w="3402" w:type="dxa"/>
            <w:vAlign w:val="center"/>
          </w:tcPr>
          <w:p w14:paraId="3FF80AF6">
            <w:pPr>
              <w:pStyle w:val="11"/>
            </w:pPr>
            <w:r>
              <w:t>项  目</w:t>
            </w:r>
          </w:p>
        </w:tc>
        <w:tc>
          <w:tcPr>
            <w:tcW w:w="1474" w:type="dxa"/>
            <w:vAlign w:val="center"/>
          </w:tcPr>
          <w:p w14:paraId="1B1A9B4F">
            <w:pPr>
              <w:pStyle w:val="11"/>
            </w:pPr>
            <w:r>
              <w:t>合计</w:t>
            </w:r>
          </w:p>
        </w:tc>
        <w:tc>
          <w:tcPr>
            <w:tcW w:w="1474" w:type="dxa"/>
            <w:vAlign w:val="center"/>
          </w:tcPr>
          <w:p w14:paraId="798306A4">
            <w:pPr>
              <w:pStyle w:val="11"/>
            </w:pPr>
            <w:r>
              <w:t>一般公共预算财政拨款</w:t>
            </w:r>
          </w:p>
        </w:tc>
        <w:tc>
          <w:tcPr>
            <w:tcW w:w="1474" w:type="dxa"/>
            <w:vAlign w:val="center"/>
          </w:tcPr>
          <w:p w14:paraId="0B416419">
            <w:pPr>
              <w:pStyle w:val="11"/>
            </w:pPr>
            <w:r>
              <w:t>政府性基金预算财政    拨款</w:t>
            </w:r>
          </w:p>
        </w:tc>
        <w:tc>
          <w:tcPr>
            <w:tcW w:w="1474" w:type="dxa"/>
            <w:vAlign w:val="center"/>
          </w:tcPr>
          <w:p w14:paraId="26A51DB2">
            <w:pPr>
              <w:pStyle w:val="11"/>
            </w:pPr>
            <w:r>
              <w:t>国有资本经营预算财政拨款</w:t>
            </w:r>
          </w:p>
        </w:tc>
      </w:tr>
      <w:tr w14:paraId="34EF1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ED2256">
            <w:pPr>
              <w:pStyle w:val="11"/>
            </w:pPr>
            <w:r>
              <w:t>栏次</w:t>
            </w:r>
          </w:p>
        </w:tc>
        <w:tc>
          <w:tcPr>
            <w:tcW w:w="3402" w:type="dxa"/>
            <w:vAlign w:val="center"/>
          </w:tcPr>
          <w:p w14:paraId="70DC1568">
            <w:pPr>
              <w:pStyle w:val="11"/>
            </w:pPr>
            <w:r>
              <w:t>1</w:t>
            </w:r>
          </w:p>
        </w:tc>
        <w:tc>
          <w:tcPr>
            <w:tcW w:w="1474" w:type="dxa"/>
            <w:vAlign w:val="center"/>
          </w:tcPr>
          <w:p w14:paraId="3B0F3BE5">
            <w:pPr>
              <w:pStyle w:val="11"/>
            </w:pPr>
            <w:r>
              <w:t>2</w:t>
            </w:r>
          </w:p>
        </w:tc>
        <w:tc>
          <w:tcPr>
            <w:tcW w:w="3402" w:type="dxa"/>
            <w:vAlign w:val="center"/>
          </w:tcPr>
          <w:p w14:paraId="2EF3CC1A">
            <w:pPr>
              <w:pStyle w:val="11"/>
            </w:pPr>
            <w:r>
              <w:t>3</w:t>
            </w:r>
          </w:p>
        </w:tc>
        <w:tc>
          <w:tcPr>
            <w:tcW w:w="1474" w:type="dxa"/>
            <w:vAlign w:val="center"/>
          </w:tcPr>
          <w:p w14:paraId="3F605FE9">
            <w:pPr>
              <w:pStyle w:val="11"/>
            </w:pPr>
            <w:r>
              <w:t>4</w:t>
            </w:r>
          </w:p>
        </w:tc>
        <w:tc>
          <w:tcPr>
            <w:tcW w:w="1474" w:type="dxa"/>
            <w:vAlign w:val="center"/>
          </w:tcPr>
          <w:p w14:paraId="150C4794">
            <w:pPr>
              <w:pStyle w:val="11"/>
            </w:pPr>
            <w:r>
              <w:t>5</w:t>
            </w:r>
          </w:p>
        </w:tc>
        <w:tc>
          <w:tcPr>
            <w:tcW w:w="1474" w:type="dxa"/>
            <w:vAlign w:val="center"/>
          </w:tcPr>
          <w:p w14:paraId="2714370F">
            <w:pPr>
              <w:pStyle w:val="11"/>
            </w:pPr>
            <w:r>
              <w:t>6</w:t>
            </w:r>
          </w:p>
        </w:tc>
        <w:tc>
          <w:tcPr>
            <w:tcW w:w="1474" w:type="dxa"/>
            <w:vAlign w:val="center"/>
          </w:tcPr>
          <w:p w14:paraId="3190C76A">
            <w:pPr>
              <w:pStyle w:val="11"/>
            </w:pPr>
            <w:r>
              <w:t>7</w:t>
            </w:r>
          </w:p>
        </w:tc>
      </w:tr>
      <w:tr w14:paraId="7EE25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1C1FC7B">
            <w:pPr>
              <w:pStyle w:val="12"/>
            </w:pPr>
            <w:r>
              <w:t>1</w:t>
            </w:r>
          </w:p>
        </w:tc>
        <w:tc>
          <w:tcPr>
            <w:tcW w:w="3402" w:type="dxa"/>
            <w:vAlign w:val="center"/>
          </w:tcPr>
          <w:p w14:paraId="232E62B0">
            <w:pPr>
              <w:pStyle w:val="13"/>
            </w:pPr>
            <w:r>
              <w:t>一、一般公共预算拨款</w:t>
            </w:r>
          </w:p>
        </w:tc>
        <w:tc>
          <w:tcPr>
            <w:tcW w:w="1474" w:type="dxa"/>
            <w:vAlign w:val="center"/>
          </w:tcPr>
          <w:p w14:paraId="07C32FEF">
            <w:pPr>
              <w:pStyle w:val="14"/>
            </w:pPr>
            <w:r>
              <w:t>3004.40</w:t>
            </w:r>
          </w:p>
        </w:tc>
        <w:tc>
          <w:tcPr>
            <w:tcW w:w="3402" w:type="dxa"/>
            <w:vAlign w:val="center"/>
          </w:tcPr>
          <w:p w14:paraId="2698316A">
            <w:pPr>
              <w:pStyle w:val="13"/>
            </w:pPr>
            <w:r>
              <w:t>一、一般公共服务支出</w:t>
            </w:r>
          </w:p>
        </w:tc>
        <w:tc>
          <w:tcPr>
            <w:tcW w:w="1474" w:type="dxa"/>
            <w:vAlign w:val="center"/>
          </w:tcPr>
          <w:p w14:paraId="57801647">
            <w:pPr>
              <w:pStyle w:val="14"/>
            </w:pPr>
          </w:p>
        </w:tc>
        <w:tc>
          <w:tcPr>
            <w:tcW w:w="1474" w:type="dxa"/>
            <w:vAlign w:val="center"/>
          </w:tcPr>
          <w:p w14:paraId="492D0242">
            <w:pPr>
              <w:pStyle w:val="14"/>
            </w:pPr>
          </w:p>
        </w:tc>
        <w:tc>
          <w:tcPr>
            <w:tcW w:w="1474" w:type="dxa"/>
            <w:vAlign w:val="center"/>
          </w:tcPr>
          <w:p w14:paraId="379AA573">
            <w:pPr>
              <w:pStyle w:val="14"/>
            </w:pPr>
          </w:p>
        </w:tc>
        <w:tc>
          <w:tcPr>
            <w:tcW w:w="1474" w:type="dxa"/>
            <w:vAlign w:val="center"/>
          </w:tcPr>
          <w:p w14:paraId="6ACFF191">
            <w:pPr>
              <w:pStyle w:val="14"/>
            </w:pPr>
          </w:p>
        </w:tc>
      </w:tr>
      <w:tr w14:paraId="4EC4E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EBC3B">
            <w:pPr>
              <w:pStyle w:val="12"/>
            </w:pPr>
            <w:r>
              <w:t>2</w:t>
            </w:r>
          </w:p>
        </w:tc>
        <w:tc>
          <w:tcPr>
            <w:tcW w:w="3402" w:type="dxa"/>
            <w:vAlign w:val="center"/>
          </w:tcPr>
          <w:p w14:paraId="1E5DC28F">
            <w:pPr>
              <w:pStyle w:val="13"/>
            </w:pPr>
            <w:r>
              <w:t>二、政府性基金预算拨款</w:t>
            </w:r>
          </w:p>
        </w:tc>
        <w:tc>
          <w:tcPr>
            <w:tcW w:w="1474" w:type="dxa"/>
            <w:vAlign w:val="center"/>
          </w:tcPr>
          <w:p w14:paraId="17B3B945">
            <w:pPr>
              <w:pStyle w:val="14"/>
            </w:pPr>
          </w:p>
        </w:tc>
        <w:tc>
          <w:tcPr>
            <w:tcW w:w="3402" w:type="dxa"/>
            <w:vAlign w:val="center"/>
          </w:tcPr>
          <w:p w14:paraId="0299947D">
            <w:pPr>
              <w:pStyle w:val="13"/>
            </w:pPr>
            <w:r>
              <w:t>二、外交支出</w:t>
            </w:r>
          </w:p>
        </w:tc>
        <w:tc>
          <w:tcPr>
            <w:tcW w:w="1474" w:type="dxa"/>
            <w:vAlign w:val="center"/>
          </w:tcPr>
          <w:p w14:paraId="0B1ACB0C">
            <w:pPr>
              <w:pStyle w:val="14"/>
            </w:pPr>
          </w:p>
        </w:tc>
        <w:tc>
          <w:tcPr>
            <w:tcW w:w="1474" w:type="dxa"/>
            <w:vAlign w:val="center"/>
          </w:tcPr>
          <w:p w14:paraId="11E54D31">
            <w:pPr>
              <w:pStyle w:val="14"/>
            </w:pPr>
          </w:p>
        </w:tc>
        <w:tc>
          <w:tcPr>
            <w:tcW w:w="1474" w:type="dxa"/>
            <w:vAlign w:val="center"/>
          </w:tcPr>
          <w:p w14:paraId="2216B3F2">
            <w:pPr>
              <w:pStyle w:val="14"/>
            </w:pPr>
          </w:p>
        </w:tc>
        <w:tc>
          <w:tcPr>
            <w:tcW w:w="1474" w:type="dxa"/>
            <w:vAlign w:val="center"/>
          </w:tcPr>
          <w:p w14:paraId="74AA42CE">
            <w:pPr>
              <w:pStyle w:val="14"/>
            </w:pPr>
          </w:p>
        </w:tc>
      </w:tr>
      <w:tr w14:paraId="6067F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5F8D6EF">
            <w:pPr>
              <w:pStyle w:val="12"/>
            </w:pPr>
            <w:r>
              <w:t>3</w:t>
            </w:r>
          </w:p>
        </w:tc>
        <w:tc>
          <w:tcPr>
            <w:tcW w:w="3402" w:type="dxa"/>
            <w:vAlign w:val="center"/>
          </w:tcPr>
          <w:p w14:paraId="4D063693">
            <w:pPr>
              <w:pStyle w:val="13"/>
            </w:pPr>
            <w:r>
              <w:t>三、国有资本经营预算拨款</w:t>
            </w:r>
          </w:p>
        </w:tc>
        <w:tc>
          <w:tcPr>
            <w:tcW w:w="1474" w:type="dxa"/>
            <w:vAlign w:val="center"/>
          </w:tcPr>
          <w:p w14:paraId="60303F5D">
            <w:pPr>
              <w:pStyle w:val="14"/>
            </w:pPr>
          </w:p>
        </w:tc>
        <w:tc>
          <w:tcPr>
            <w:tcW w:w="3402" w:type="dxa"/>
            <w:vAlign w:val="center"/>
          </w:tcPr>
          <w:p w14:paraId="2067880A">
            <w:pPr>
              <w:pStyle w:val="13"/>
            </w:pPr>
            <w:r>
              <w:t>三、国防支出</w:t>
            </w:r>
          </w:p>
        </w:tc>
        <w:tc>
          <w:tcPr>
            <w:tcW w:w="1474" w:type="dxa"/>
            <w:vAlign w:val="center"/>
          </w:tcPr>
          <w:p w14:paraId="545AF610">
            <w:pPr>
              <w:pStyle w:val="14"/>
            </w:pPr>
          </w:p>
        </w:tc>
        <w:tc>
          <w:tcPr>
            <w:tcW w:w="1474" w:type="dxa"/>
            <w:vAlign w:val="center"/>
          </w:tcPr>
          <w:p w14:paraId="2C1F26E5">
            <w:pPr>
              <w:pStyle w:val="14"/>
            </w:pPr>
          </w:p>
        </w:tc>
        <w:tc>
          <w:tcPr>
            <w:tcW w:w="1474" w:type="dxa"/>
            <w:vAlign w:val="center"/>
          </w:tcPr>
          <w:p w14:paraId="1F3DB110">
            <w:pPr>
              <w:pStyle w:val="14"/>
            </w:pPr>
          </w:p>
        </w:tc>
        <w:tc>
          <w:tcPr>
            <w:tcW w:w="1474" w:type="dxa"/>
            <w:vAlign w:val="center"/>
          </w:tcPr>
          <w:p w14:paraId="0EF0B48C">
            <w:pPr>
              <w:pStyle w:val="14"/>
            </w:pPr>
          </w:p>
        </w:tc>
      </w:tr>
      <w:tr w14:paraId="258C7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E84CE">
            <w:pPr>
              <w:pStyle w:val="12"/>
            </w:pPr>
            <w:r>
              <w:t>4</w:t>
            </w:r>
          </w:p>
        </w:tc>
        <w:tc>
          <w:tcPr>
            <w:tcW w:w="3402" w:type="dxa"/>
            <w:vAlign w:val="center"/>
          </w:tcPr>
          <w:p w14:paraId="76C47060">
            <w:pPr>
              <w:pStyle w:val="13"/>
            </w:pPr>
          </w:p>
        </w:tc>
        <w:tc>
          <w:tcPr>
            <w:tcW w:w="1474" w:type="dxa"/>
            <w:vAlign w:val="center"/>
          </w:tcPr>
          <w:p w14:paraId="0A1EA872">
            <w:pPr>
              <w:pStyle w:val="14"/>
            </w:pPr>
          </w:p>
        </w:tc>
        <w:tc>
          <w:tcPr>
            <w:tcW w:w="3402" w:type="dxa"/>
            <w:vAlign w:val="center"/>
          </w:tcPr>
          <w:p w14:paraId="77D0A7B8">
            <w:pPr>
              <w:pStyle w:val="13"/>
            </w:pPr>
            <w:r>
              <w:t>四、公共安全支出</w:t>
            </w:r>
          </w:p>
        </w:tc>
        <w:tc>
          <w:tcPr>
            <w:tcW w:w="1474" w:type="dxa"/>
            <w:vAlign w:val="center"/>
          </w:tcPr>
          <w:p w14:paraId="3C43DFCD">
            <w:pPr>
              <w:pStyle w:val="14"/>
            </w:pPr>
          </w:p>
        </w:tc>
        <w:tc>
          <w:tcPr>
            <w:tcW w:w="1474" w:type="dxa"/>
            <w:vAlign w:val="center"/>
          </w:tcPr>
          <w:p w14:paraId="34707A4D">
            <w:pPr>
              <w:pStyle w:val="14"/>
            </w:pPr>
          </w:p>
        </w:tc>
        <w:tc>
          <w:tcPr>
            <w:tcW w:w="1474" w:type="dxa"/>
            <w:vAlign w:val="center"/>
          </w:tcPr>
          <w:p w14:paraId="40EB321B">
            <w:pPr>
              <w:pStyle w:val="14"/>
            </w:pPr>
          </w:p>
        </w:tc>
        <w:tc>
          <w:tcPr>
            <w:tcW w:w="1474" w:type="dxa"/>
            <w:vAlign w:val="center"/>
          </w:tcPr>
          <w:p w14:paraId="01FEFC22">
            <w:pPr>
              <w:pStyle w:val="14"/>
            </w:pPr>
          </w:p>
        </w:tc>
      </w:tr>
      <w:tr w14:paraId="600F3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B2101FD">
            <w:pPr>
              <w:pStyle w:val="12"/>
            </w:pPr>
            <w:r>
              <w:t>5</w:t>
            </w:r>
          </w:p>
        </w:tc>
        <w:tc>
          <w:tcPr>
            <w:tcW w:w="3402" w:type="dxa"/>
            <w:vAlign w:val="center"/>
          </w:tcPr>
          <w:p w14:paraId="301D975A">
            <w:pPr>
              <w:pStyle w:val="13"/>
            </w:pPr>
          </w:p>
        </w:tc>
        <w:tc>
          <w:tcPr>
            <w:tcW w:w="1474" w:type="dxa"/>
            <w:vAlign w:val="center"/>
          </w:tcPr>
          <w:p w14:paraId="445F8A78">
            <w:pPr>
              <w:pStyle w:val="14"/>
            </w:pPr>
          </w:p>
        </w:tc>
        <w:tc>
          <w:tcPr>
            <w:tcW w:w="3402" w:type="dxa"/>
            <w:vAlign w:val="center"/>
          </w:tcPr>
          <w:p w14:paraId="75A94576">
            <w:pPr>
              <w:pStyle w:val="13"/>
            </w:pPr>
            <w:r>
              <w:t>五、教育支出</w:t>
            </w:r>
          </w:p>
        </w:tc>
        <w:tc>
          <w:tcPr>
            <w:tcW w:w="1474" w:type="dxa"/>
            <w:vAlign w:val="center"/>
          </w:tcPr>
          <w:p w14:paraId="158275E6">
            <w:pPr>
              <w:pStyle w:val="14"/>
            </w:pPr>
            <w:r>
              <w:t>3046.44</w:t>
            </w:r>
          </w:p>
        </w:tc>
        <w:tc>
          <w:tcPr>
            <w:tcW w:w="1474" w:type="dxa"/>
            <w:vAlign w:val="center"/>
          </w:tcPr>
          <w:p w14:paraId="48064AB0">
            <w:pPr>
              <w:pStyle w:val="14"/>
            </w:pPr>
            <w:r>
              <w:t>3046.44</w:t>
            </w:r>
          </w:p>
        </w:tc>
        <w:tc>
          <w:tcPr>
            <w:tcW w:w="1474" w:type="dxa"/>
            <w:vAlign w:val="center"/>
          </w:tcPr>
          <w:p w14:paraId="0D7B4653">
            <w:pPr>
              <w:pStyle w:val="14"/>
            </w:pPr>
          </w:p>
        </w:tc>
        <w:tc>
          <w:tcPr>
            <w:tcW w:w="1474" w:type="dxa"/>
            <w:vAlign w:val="center"/>
          </w:tcPr>
          <w:p w14:paraId="4311E780">
            <w:pPr>
              <w:pStyle w:val="14"/>
            </w:pPr>
          </w:p>
        </w:tc>
      </w:tr>
      <w:tr w14:paraId="6272B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F7F362B">
            <w:pPr>
              <w:pStyle w:val="12"/>
            </w:pPr>
            <w:r>
              <w:t>6</w:t>
            </w:r>
          </w:p>
        </w:tc>
        <w:tc>
          <w:tcPr>
            <w:tcW w:w="3402" w:type="dxa"/>
            <w:vAlign w:val="center"/>
          </w:tcPr>
          <w:p w14:paraId="79745A7D">
            <w:pPr>
              <w:pStyle w:val="13"/>
            </w:pPr>
          </w:p>
        </w:tc>
        <w:tc>
          <w:tcPr>
            <w:tcW w:w="1474" w:type="dxa"/>
            <w:vAlign w:val="center"/>
          </w:tcPr>
          <w:p w14:paraId="4B4BDE4B">
            <w:pPr>
              <w:pStyle w:val="14"/>
            </w:pPr>
          </w:p>
        </w:tc>
        <w:tc>
          <w:tcPr>
            <w:tcW w:w="3402" w:type="dxa"/>
            <w:vAlign w:val="center"/>
          </w:tcPr>
          <w:p w14:paraId="2ED89560">
            <w:pPr>
              <w:pStyle w:val="13"/>
            </w:pPr>
            <w:r>
              <w:t>六、科学技术支出</w:t>
            </w:r>
          </w:p>
        </w:tc>
        <w:tc>
          <w:tcPr>
            <w:tcW w:w="1474" w:type="dxa"/>
            <w:vAlign w:val="center"/>
          </w:tcPr>
          <w:p w14:paraId="0AA8B765">
            <w:pPr>
              <w:pStyle w:val="14"/>
            </w:pPr>
          </w:p>
        </w:tc>
        <w:tc>
          <w:tcPr>
            <w:tcW w:w="1474" w:type="dxa"/>
            <w:vAlign w:val="center"/>
          </w:tcPr>
          <w:p w14:paraId="11F78F14">
            <w:pPr>
              <w:pStyle w:val="14"/>
            </w:pPr>
          </w:p>
        </w:tc>
        <w:tc>
          <w:tcPr>
            <w:tcW w:w="1474" w:type="dxa"/>
            <w:vAlign w:val="center"/>
          </w:tcPr>
          <w:p w14:paraId="3BB57513">
            <w:pPr>
              <w:pStyle w:val="14"/>
            </w:pPr>
          </w:p>
        </w:tc>
        <w:tc>
          <w:tcPr>
            <w:tcW w:w="1474" w:type="dxa"/>
            <w:vAlign w:val="center"/>
          </w:tcPr>
          <w:p w14:paraId="6514DFF4">
            <w:pPr>
              <w:pStyle w:val="14"/>
            </w:pPr>
          </w:p>
        </w:tc>
      </w:tr>
      <w:tr w14:paraId="1B880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AAF66">
            <w:pPr>
              <w:pStyle w:val="12"/>
            </w:pPr>
            <w:r>
              <w:t>7</w:t>
            </w:r>
          </w:p>
        </w:tc>
        <w:tc>
          <w:tcPr>
            <w:tcW w:w="3402" w:type="dxa"/>
            <w:vAlign w:val="center"/>
          </w:tcPr>
          <w:p w14:paraId="4987EAC4">
            <w:pPr>
              <w:pStyle w:val="13"/>
            </w:pPr>
          </w:p>
        </w:tc>
        <w:tc>
          <w:tcPr>
            <w:tcW w:w="1474" w:type="dxa"/>
            <w:vAlign w:val="center"/>
          </w:tcPr>
          <w:p w14:paraId="18C9E7D8">
            <w:pPr>
              <w:pStyle w:val="14"/>
            </w:pPr>
          </w:p>
        </w:tc>
        <w:tc>
          <w:tcPr>
            <w:tcW w:w="3402" w:type="dxa"/>
            <w:vAlign w:val="center"/>
          </w:tcPr>
          <w:p w14:paraId="72E31090">
            <w:pPr>
              <w:pStyle w:val="13"/>
            </w:pPr>
            <w:r>
              <w:t>七、文化旅游体育与传媒支出</w:t>
            </w:r>
          </w:p>
        </w:tc>
        <w:tc>
          <w:tcPr>
            <w:tcW w:w="1474" w:type="dxa"/>
            <w:vAlign w:val="center"/>
          </w:tcPr>
          <w:p w14:paraId="6186A059">
            <w:pPr>
              <w:pStyle w:val="14"/>
            </w:pPr>
          </w:p>
        </w:tc>
        <w:tc>
          <w:tcPr>
            <w:tcW w:w="1474" w:type="dxa"/>
            <w:vAlign w:val="center"/>
          </w:tcPr>
          <w:p w14:paraId="30D07A7D">
            <w:pPr>
              <w:pStyle w:val="14"/>
            </w:pPr>
          </w:p>
        </w:tc>
        <w:tc>
          <w:tcPr>
            <w:tcW w:w="1474" w:type="dxa"/>
            <w:vAlign w:val="center"/>
          </w:tcPr>
          <w:p w14:paraId="786A797D">
            <w:pPr>
              <w:pStyle w:val="14"/>
            </w:pPr>
          </w:p>
        </w:tc>
        <w:tc>
          <w:tcPr>
            <w:tcW w:w="1474" w:type="dxa"/>
            <w:vAlign w:val="center"/>
          </w:tcPr>
          <w:p w14:paraId="345A23A1">
            <w:pPr>
              <w:pStyle w:val="14"/>
            </w:pPr>
          </w:p>
        </w:tc>
      </w:tr>
      <w:tr w14:paraId="2D08D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A1BC1DC">
            <w:pPr>
              <w:pStyle w:val="12"/>
            </w:pPr>
            <w:r>
              <w:t>8</w:t>
            </w:r>
          </w:p>
        </w:tc>
        <w:tc>
          <w:tcPr>
            <w:tcW w:w="3402" w:type="dxa"/>
            <w:vAlign w:val="center"/>
          </w:tcPr>
          <w:p w14:paraId="00B25546">
            <w:pPr>
              <w:pStyle w:val="13"/>
            </w:pPr>
          </w:p>
        </w:tc>
        <w:tc>
          <w:tcPr>
            <w:tcW w:w="1474" w:type="dxa"/>
            <w:vAlign w:val="center"/>
          </w:tcPr>
          <w:p w14:paraId="28EF8164">
            <w:pPr>
              <w:pStyle w:val="14"/>
            </w:pPr>
          </w:p>
        </w:tc>
        <w:tc>
          <w:tcPr>
            <w:tcW w:w="3402" w:type="dxa"/>
            <w:vAlign w:val="center"/>
          </w:tcPr>
          <w:p w14:paraId="364749C7">
            <w:pPr>
              <w:pStyle w:val="13"/>
            </w:pPr>
            <w:r>
              <w:t>八、社会保障和就业支出</w:t>
            </w:r>
          </w:p>
        </w:tc>
        <w:tc>
          <w:tcPr>
            <w:tcW w:w="1474" w:type="dxa"/>
            <w:vAlign w:val="center"/>
          </w:tcPr>
          <w:p w14:paraId="0B02AAC3">
            <w:pPr>
              <w:pStyle w:val="14"/>
            </w:pPr>
          </w:p>
        </w:tc>
        <w:tc>
          <w:tcPr>
            <w:tcW w:w="1474" w:type="dxa"/>
            <w:vAlign w:val="center"/>
          </w:tcPr>
          <w:p w14:paraId="2FF90831">
            <w:pPr>
              <w:pStyle w:val="14"/>
            </w:pPr>
          </w:p>
        </w:tc>
        <w:tc>
          <w:tcPr>
            <w:tcW w:w="1474" w:type="dxa"/>
            <w:vAlign w:val="center"/>
          </w:tcPr>
          <w:p w14:paraId="34E9A5C1">
            <w:pPr>
              <w:pStyle w:val="14"/>
            </w:pPr>
          </w:p>
        </w:tc>
        <w:tc>
          <w:tcPr>
            <w:tcW w:w="1474" w:type="dxa"/>
            <w:vAlign w:val="center"/>
          </w:tcPr>
          <w:p w14:paraId="5F055A65">
            <w:pPr>
              <w:pStyle w:val="14"/>
            </w:pPr>
          </w:p>
        </w:tc>
      </w:tr>
      <w:tr w14:paraId="187D3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2FFE0ED">
            <w:pPr>
              <w:pStyle w:val="12"/>
            </w:pPr>
            <w:r>
              <w:t>9</w:t>
            </w:r>
          </w:p>
        </w:tc>
        <w:tc>
          <w:tcPr>
            <w:tcW w:w="3402" w:type="dxa"/>
            <w:vAlign w:val="center"/>
          </w:tcPr>
          <w:p w14:paraId="5436FDD0">
            <w:pPr>
              <w:pStyle w:val="13"/>
            </w:pPr>
          </w:p>
        </w:tc>
        <w:tc>
          <w:tcPr>
            <w:tcW w:w="1474" w:type="dxa"/>
            <w:vAlign w:val="center"/>
          </w:tcPr>
          <w:p w14:paraId="21642809">
            <w:pPr>
              <w:pStyle w:val="14"/>
            </w:pPr>
          </w:p>
        </w:tc>
        <w:tc>
          <w:tcPr>
            <w:tcW w:w="3402" w:type="dxa"/>
            <w:vAlign w:val="center"/>
          </w:tcPr>
          <w:p w14:paraId="2D57B5DC">
            <w:pPr>
              <w:pStyle w:val="13"/>
            </w:pPr>
            <w:r>
              <w:t>九、社会保险基金支出</w:t>
            </w:r>
          </w:p>
        </w:tc>
        <w:tc>
          <w:tcPr>
            <w:tcW w:w="1474" w:type="dxa"/>
            <w:vAlign w:val="center"/>
          </w:tcPr>
          <w:p w14:paraId="49328075">
            <w:pPr>
              <w:pStyle w:val="14"/>
            </w:pPr>
          </w:p>
        </w:tc>
        <w:tc>
          <w:tcPr>
            <w:tcW w:w="1474" w:type="dxa"/>
            <w:vAlign w:val="center"/>
          </w:tcPr>
          <w:p w14:paraId="7EFE29F6">
            <w:pPr>
              <w:pStyle w:val="14"/>
            </w:pPr>
          </w:p>
        </w:tc>
        <w:tc>
          <w:tcPr>
            <w:tcW w:w="1474" w:type="dxa"/>
            <w:vAlign w:val="center"/>
          </w:tcPr>
          <w:p w14:paraId="029EADFB">
            <w:pPr>
              <w:pStyle w:val="14"/>
            </w:pPr>
          </w:p>
        </w:tc>
        <w:tc>
          <w:tcPr>
            <w:tcW w:w="1474" w:type="dxa"/>
            <w:vAlign w:val="center"/>
          </w:tcPr>
          <w:p w14:paraId="207A1259">
            <w:pPr>
              <w:pStyle w:val="14"/>
            </w:pPr>
          </w:p>
        </w:tc>
      </w:tr>
      <w:tr w14:paraId="3D99C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8F91A8A">
            <w:pPr>
              <w:pStyle w:val="12"/>
            </w:pPr>
            <w:r>
              <w:t>10</w:t>
            </w:r>
          </w:p>
        </w:tc>
        <w:tc>
          <w:tcPr>
            <w:tcW w:w="3402" w:type="dxa"/>
            <w:vAlign w:val="center"/>
          </w:tcPr>
          <w:p w14:paraId="17A43355">
            <w:pPr>
              <w:pStyle w:val="13"/>
            </w:pPr>
          </w:p>
        </w:tc>
        <w:tc>
          <w:tcPr>
            <w:tcW w:w="1474" w:type="dxa"/>
            <w:vAlign w:val="center"/>
          </w:tcPr>
          <w:p w14:paraId="1EA35C28">
            <w:pPr>
              <w:pStyle w:val="14"/>
            </w:pPr>
          </w:p>
        </w:tc>
        <w:tc>
          <w:tcPr>
            <w:tcW w:w="3402" w:type="dxa"/>
            <w:vAlign w:val="center"/>
          </w:tcPr>
          <w:p w14:paraId="5511A261">
            <w:pPr>
              <w:pStyle w:val="13"/>
            </w:pPr>
            <w:r>
              <w:t>十、卫生健康支出</w:t>
            </w:r>
          </w:p>
        </w:tc>
        <w:tc>
          <w:tcPr>
            <w:tcW w:w="1474" w:type="dxa"/>
            <w:vAlign w:val="center"/>
          </w:tcPr>
          <w:p w14:paraId="401E2992">
            <w:pPr>
              <w:pStyle w:val="14"/>
            </w:pPr>
          </w:p>
        </w:tc>
        <w:tc>
          <w:tcPr>
            <w:tcW w:w="1474" w:type="dxa"/>
            <w:vAlign w:val="center"/>
          </w:tcPr>
          <w:p w14:paraId="6E7BCBA4">
            <w:pPr>
              <w:pStyle w:val="14"/>
            </w:pPr>
          </w:p>
        </w:tc>
        <w:tc>
          <w:tcPr>
            <w:tcW w:w="1474" w:type="dxa"/>
            <w:vAlign w:val="center"/>
          </w:tcPr>
          <w:p w14:paraId="325F8D3D">
            <w:pPr>
              <w:pStyle w:val="14"/>
            </w:pPr>
          </w:p>
        </w:tc>
        <w:tc>
          <w:tcPr>
            <w:tcW w:w="1474" w:type="dxa"/>
            <w:vAlign w:val="center"/>
          </w:tcPr>
          <w:p w14:paraId="62354884">
            <w:pPr>
              <w:pStyle w:val="14"/>
            </w:pPr>
          </w:p>
        </w:tc>
      </w:tr>
      <w:tr w14:paraId="78154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BB273">
            <w:pPr>
              <w:pStyle w:val="12"/>
            </w:pPr>
            <w:r>
              <w:t>11</w:t>
            </w:r>
          </w:p>
        </w:tc>
        <w:tc>
          <w:tcPr>
            <w:tcW w:w="3402" w:type="dxa"/>
            <w:vAlign w:val="center"/>
          </w:tcPr>
          <w:p w14:paraId="33321DFC">
            <w:pPr>
              <w:pStyle w:val="13"/>
            </w:pPr>
          </w:p>
        </w:tc>
        <w:tc>
          <w:tcPr>
            <w:tcW w:w="1474" w:type="dxa"/>
            <w:vAlign w:val="center"/>
          </w:tcPr>
          <w:p w14:paraId="5B59EA1B">
            <w:pPr>
              <w:pStyle w:val="14"/>
            </w:pPr>
          </w:p>
        </w:tc>
        <w:tc>
          <w:tcPr>
            <w:tcW w:w="3402" w:type="dxa"/>
            <w:vAlign w:val="center"/>
          </w:tcPr>
          <w:p w14:paraId="7316C809">
            <w:pPr>
              <w:pStyle w:val="13"/>
            </w:pPr>
            <w:r>
              <w:t>十一、节能环保支出</w:t>
            </w:r>
          </w:p>
        </w:tc>
        <w:tc>
          <w:tcPr>
            <w:tcW w:w="1474" w:type="dxa"/>
            <w:vAlign w:val="center"/>
          </w:tcPr>
          <w:p w14:paraId="662A7831">
            <w:pPr>
              <w:pStyle w:val="14"/>
            </w:pPr>
          </w:p>
        </w:tc>
        <w:tc>
          <w:tcPr>
            <w:tcW w:w="1474" w:type="dxa"/>
            <w:vAlign w:val="center"/>
          </w:tcPr>
          <w:p w14:paraId="4CEBA6E4">
            <w:pPr>
              <w:pStyle w:val="14"/>
            </w:pPr>
          </w:p>
        </w:tc>
        <w:tc>
          <w:tcPr>
            <w:tcW w:w="1474" w:type="dxa"/>
            <w:vAlign w:val="center"/>
          </w:tcPr>
          <w:p w14:paraId="47017909">
            <w:pPr>
              <w:pStyle w:val="14"/>
            </w:pPr>
          </w:p>
        </w:tc>
        <w:tc>
          <w:tcPr>
            <w:tcW w:w="1474" w:type="dxa"/>
            <w:vAlign w:val="center"/>
          </w:tcPr>
          <w:p w14:paraId="783D6E33">
            <w:pPr>
              <w:pStyle w:val="14"/>
            </w:pPr>
          </w:p>
        </w:tc>
      </w:tr>
      <w:tr w14:paraId="4E3B3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775B7">
            <w:pPr>
              <w:pStyle w:val="12"/>
            </w:pPr>
            <w:r>
              <w:t>12</w:t>
            </w:r>
          </w:p>
        </w:tc>
        <w:tc>
          <w:tcPr>
            <w:tcW w:w="3402" w:type="dxa"/>
            <w:vAlign w:val="center"/>
          </w:tcPr>
          <w:p w14:paraId="5864EDE4">
            <w:pPr>
              <w:pStyle w:val="13"/>
            </w:pPr>
          </w:p>
        </w:tc>
        <w:tc>
          <w:tcPr>
            <w:tcW w:w="1474" w:type="dxa"/>
            <w:vAlign w:val="center"/>
          </w:tcPr>
          <w:p w14:paraId="6E09A440">
            <w:pPr>
              <w:pStyle w:val="14"/>
            </w:pPr>
          </w:p>
        </w:tc>
        <w:tc>
          <w:tcPr>
            <w:tcW w:w="3402" w:type="dxa"/>
            <w:vAlign w:val="center"/>
          </w:tcPr>
          <w:p w14:paraId="26A1525D">
            <w:pPr>
              <w:pStyle w:val="13"/>
            </w:pPr>
            <w:r>
              <w:t>十二、城乡社区支出</w:t>
            </w:r>
          </w:p>
        </w:tc>
        <w:tc>
          <w:tcPr>
            <w:tcW w:w="1474" w:type="dxa"/>
            <w:vAlign w:val="center"/>
          </w:tcPr>
          <w:p w14:paraId="2B58157F">
            <w:pPr>
              <w:pStyle w:val="14"/>
            </w:pPr>
          </w:p>
        </w:tc>
        <w:tc>
          <w:tcPr>
            <w:tcW w:w="1474" w:type="dxa"/>
            <w:vAlign w:val="center"/>
          </w:tcPr>
          <w:p w14:paraId="7BB17FA7">
            <w:pPr>
              <w:pStyle w:val="14"/>
            </w:pPr>
          </w:p>
        </w:tc>
        <w:tc>
          <w:tcPr>
            <w:tcW w:w="1474" w:type="dxa"/>
            <w:vAlign w:val="center"/>
          </w:tcPr>
          <w:p w14:paraId="0E4C540C">
            <w:pPr>
              <w:pStyle w:val="14"/>
            </w:pPr>
          </w:p>
        </w:tc>
        <w:tc>
          <w:tcPr>
            <w:tcW w:w="1474" w:type="dxa"/>
            <w:vAlign w:val="center"/>
          </w:tcPr>
          <w:p w14:paraId="55FC1B68">
            <w:pPr>
              <w:pStyle w:val="14"/>
            </w:pPr>
          </w:p>
        </w:tc>
      </w:tr>
      <w:tr w14:paraId="72705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BDAA986">
            <w:pPr>
              <w:pStyle w:val="12"/>
            </w:pPr>
            <w:r>
              <w:t>13</w:t>
            </w:r>
          </w:p>
        </w:tc>
        <w:tc>
          <w:tcPr>
            <w:tcW w:w="3402" w:type="dxa"/>
            <w:vAlign w:val="center"/>
          </w:tcPr>
          <w:p w14:paraId="4F1CD848">
            <w:pPr>
              <w:pStyle w:val="13"/>
            </w:pPr>
          </w:p>
        </w:tc>
        <w:tc>
          <w:tcPr>
            <w:tcW w:w="1474" w:type="dxa"/>
            <w:vAlign w:val="center"/>
          </w:tcPr>
          <w:p w14:paraId="3EDD1B58">
            <w:pPr>
              <w:pStyle w:val="14"/>
            </w:pPr>
          </w:p>
        </w:tc>
        <w:tc>
          <w:tcPr>
            <w:tcW w:w="3402" w:type="dxa"/>
            <w:vAlign w:val="center"/>
          </w:tcPr>
          <w:p w14:paraId="12E50685">
            <w:pPr>
              <w:pStyle w:val="13"/>
            </w:pPr>
            <w:r>
              <w:t>十三、农林水支出</w:t>
            </w:r>
          </w:p>
        </w:tc>
        <w:tc>
          <w:tcPr>
            <w:tcW w:w="1474" w:type="dxa"/>
            <w:vAlign w:val="center"/>
          </w:tcPr>
          <w:p w14:paraId="35B4B17A">
            <w:pPr>
              <w:pStyle w:val="14"/>
            </w:pPr>
          </w:p>
        </w:tc>
        <w:tc>
          <w:tcPr>
            <w:tcW w:w="1474" w:type="dxa"/>
            <w:vAlign w:val="center"/>
          </w:tcPr>
          <w:p w14:paraId="6F27641F">
            <w:pPr>
              <w:pStyle w:val="14"/>
            </w:pPr>
          </w:p>
        </w:tc>
        <w:tc>
          <w:tcPr>
            <w:tcW w:w="1474" w:type="dxa"/>
            <w:vAlign w:val="center"/>
          </w:tcPr>
          <w:p w14:paraId="338CE2A2">
            <w:pPr>
              <w:pStyle w:val="14"/>
            </w:pPr>
          </w:p>
        </w:tc>
        <w:tc>
          <w:tcPr>
            <w:tcW w:w="1474" w:type="dxa"/>
            <w:vAlign w:val="center"/>
          </w:tcPr>
          <w:p w14:paraId="68B57FE0">
            <w:pPr>
              <w:pStyle w:val="14"/>
            </w:pPr>
          </w:p>
        </w:tc>
      </w:tr>
      <w:tr w14:paraId="1A8E5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F7C0383">
            <w:pPr>
              <w:pStyle w:val="12"/>
            </w:pPr>
            <w:r>
              <w:t>14</w:t>
            </w:r>
          </w:p>
        </w:tc>
        <w:tc>
          <w:tcPr>
            <w:tcW w:w="3402" w:type="dxa"/>
            <w:vAlign w:val="center"/>
          </w:tcPr>
          <w:p w14:paraId="3B2E8F13">
            <w:pPr>
              <w:pStyle w:val="13"/>
            </w:pPr>
          </w:p>
        </w:tc>
        <w:tc>
          <w:tcPr>
            <w:tcW w:w="1474" w:type="dxa"/>
            <w:vAlign w:val="center"/>
          </w:tcPr>
          <w:p w14:paraId="32B9CA8C">
            <w:pPr>
              <w:pStyle w:val="14"/>
            </w:pPr>
          </w:p>
        </w:tc>
        <w:tc>
          <w:tcPr>
            <w:tcW w:w="3402" w:type="dxa"/>
            <w:vAlign w:val="center"/>
          </w:tcPr>
          <w:p w14:paraId="7665A664">
            <w:pPr>
              <w:pStyle w:val="13"/>
            </w:pPr>
            <w:r>
              <w:t>十四、交通运输支出</w:t>
            </w:r>
          </w:p>
        </w:tc>
        <w:tc>
          <w:tcPr>
            <w:tcW w:w="1474" w:type="dxa"/>
            <w:vAlign w:val="center"/>
          </w:tcPr>
          <w:p w14:paraId="2879AD25">
            <w:pPr>
              <w:pStyle w:val="14"/>
            </w:pPr>
          </w:p>
        </w:tc>
        <w:tc>
          <w:tcPr>
            <w:tcW w:w="1474" w:type="dxa"/>
            <w:vAlign w:val="center"/>
          </w:tcPr>
          <w:p w14:paraId="6B8610D9">
            <w:pPr>
              <w:pStyle w:val="14"/>
            </w:pPr>
          </w:p>
        </w:tc>
        <w:tc>
          <w:tcPr>
            <w:tcW w:w="1474" w:type="dxa"/>
            <w:vAlign w:val="center"/>
          </w:tcPr>
          <w:p w14:paraId="37200EE9">
            <w:pPr>
              <w:pStyle w:val="14"/>
            </w:pPr>
          </w:p>
        </w:tc>
        <w:tc>
          <w:tcPr>
            <w:tcW w:w="1474" w:type="dxa"/>
            <w:vAlign w:val="center"/>
          </w:tcPr>
          <w:p w14:paraId="09BD85C6">
            <w:pPr>
              <w:pStyle w:val="14"/>
            </w:pPr>
          </w:p>
        </w:tc>
      </w:tr>
      <w:tr w14:paraId="11008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F10C1">
            <w:pPr>
              <w:pStyle w:val="12"/>
            </w:pPr>
            <w:r>
              <w:t>15</w:t>
            </w:r>
          </w:p>
        </w:tc>
        <w:tc>
          <w:tcPr>
            <w:tcW w:w="3402" w:type="dxa"/>
            <w:vAlign w:val="center"/>
          </w:tcPr>
          <w:p w14:paraId="7A73CC10">
            <w:pPr>
              <w:pStyle w:val="13"/>
            </w:pPr>
          </w:p>
        </w:tc>
        <w:tc>
          <w:tcPr>
            <w:tcW w:w="1474" w:type="dxa"/>
            <w:vAlign w:val="center"/>
          </w:tcPr>
          <w:p w14:paraId="6796E602">
            <w:pPr>
              <w:pStyle w:val="14"/>
            </w:pPr>
          </w:p>
        </w:tc>
        <w:tc>
          <w:tcPr>
            <w:tcW w:w="3402" w:type="dxa"/>
            <w:vAlign w:val="center"/>
          </w:tcPr>
          <w:p w14:paraId="43C9ACA5">
            <w:pPr>
              <w:pStyle w:val="13"/>
            </w:pPr>
            <w:r>
              <w:t>十五、资源勘探工业信息等支出</w:t>
            </w:r>
          </w:p>
        </w:tc>
        <w:tc>
          <w:tcPr>
            <w:tcW w:w="1474" w:type="dxa"/>
            <w:vAlign w:val="center"/>
          </w:tcPr>
          <w:p w14:paraId="6A5EF969">
            <w:pPr>
              <w:pStyle w:val="14"/>
            </w:pPr>
          </w:p>
        </w:tc>
        <w:tc>
          <w:tcPr>
            <w:tcW w:w="1474" w:type="dxa"/>
            <w:vAlign w:val="center"/>
          </w:tcPr>
          <w:p w14:paraId="19AAC588">
            <w:pPr>
              <w:pStyle w:val="14"/>
            </w:pPr>
          </w:p>
        </w:tc>
        <w:tc>
          <w:tcPr>
            <w:tcW w:w="1474" w:type="dxa"/>
            <w:vAlign w:val="center"/>
          </w:tcPr>
          <w:p w14:paraId="2A6FC1CD">
            <w:pPr>
              <w:pStyle w:val="14"/>
            </w:pPr>
          </w:p>
        </w:tc>
        <w:tc>
          <w:tcPr>
            <w:tcW w:w="1474" w:type="dxa"/>
            <w:vAlign w:val="center"/>
          </w:tcPr>
          <w:p w14:paraId="1C31A475">
            <w:pPr>
              <w:pStyle w:val="14"/>
            </w:pPr>
          </w:p>
        </w:tc>
      </w:tr>
      <w:tr w14:paraId="13E6D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6703D">
            <w:pPr>
              <w:pStyle w:val="12"/>
            </w:pPr>
            <w:r>
              <w:t>16</w:t>
            </w:r>
          </w:p>
        </w:tc>
        <w:tc>
          <w:tcPr>
            <w:tcW w:w="3402" w:type="dxa"/>
            <w:vAlign w:val="center"/>
          </w:tcPr>
          <w:p w14:paraId="7D1A8513">
            <w:pPr>
              <w:pStyle w:val="13"/>
            </w:pPr>
          </w:p>
        </w:tc>
        <w:tc>
          <w:tcPr>
            <w:tcW w:w="1474" w:type="dxa"/>
            <w:vAlign w:val="center"/>
          </w:tcPr>
          <w:p w14:paraId="48E90954">
            <w:pPr>
              <w:pStyle w:val="14"/>
            </w:pPr>
          </w:p>
        </w:tc>
        <w:tc>
          <w:tcPr>
            <w:tcW w:w="3402" w:type="dxa"/>
            <w:vAlign w:val="center"/>
          </w:tcPr>
          <w:p w14:paraId="302EEE42">
            <w:pPr>
              <w:pStyle w:val="13"/>
            </w:pPr>
            <w:r>
              <w:t>十六、商业服务业等支出</w:t>
            </w:r>
          </w:p>
        </w:tc>
        <w:tc>
          <w:tcPr>
            <w:tcW w:w="1474" w:type="dxa"/>
            <w:vAlign w:val="center"/>
          </w:tcPr>
          <w:p w14:paraId="677B516C">
            <w:pPr>
              <w:pStyle w:val="14"/>
            </w:pPr>
          </w:p>
        </w:tc>
        <w:tc>
          <w:tcPr>
            <w:tcW w:w="1474" w:type="dxa"/>
            <w:vAlign w:val="center"/>
          </w:tcPr>
          <w:p w14:paraId="25379CCA">
            <w:pPr>
              <w:pStyle w:val="14"/>
            </w:pPr>
          </w:p>
        </w:tc>
        <w:tc>
          <w:tcPr>
            <w:tcW w:w="1474" w:type="dxa"/>
            <w:vAlign w:val="center"/>
          </w:tcPr>
          <w:p w14:paraId="41121462">
            <w:pPr>
              <w:pStyle w:val="14"/>
            </w:pPr>
          </w:p>
        </w:tc>
        <w:tc>
          <w:tcPr>
            <w:tcW w:w="1474" w:type="dxa"/>
            <w:vAlign w:val="center"/>
          </w:tcPr>
          <w:p w14:paraId="65688153">
            <w:pPr>
              <w:pStyle w:val="14"/>
            </w:pPr>
          </w:p>
        </w:tc>
      </w:tr>
      <w:tr w14:paraId="134D9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19C37">
            <w:pPr>
              <w:pStyle w:val="12"/>
            </w:pPr>
            <w:r>
              <w:t>17</w:t>
            </w:r>
          </w:p>
        </w:tc>
        <w:tc>
          <w:tcPr>
            <w:tcW w:w="3402" w:type="dxa"/>
            <w:vAlign w:val="center"/>
          </w:tcPr>
          <w:p w14:paraId="49090123">
            <w:pPr>
              <w:pStyle w:val="13"/>
            </w:pPr>
          </w:p>
        </w:tc>
        <w:tc>
          <w:tcPr>
            <w:tcW w:w="1474" w:type="dxa"/>
            <w:vAlign w:val="center"/>
          </w:tcPr>
          <w:p w14:paraId="083A8A7E">
            <w:pPr>
              <w:pStyle w:val="14"/>
            </w:pPr>
          </w:p>
        </w:tc>
        <w:tc>
          <w:tcPr>
            <w:tcW w:w="3402" w:type="dxa"/>
            <w:vAlign w:val="center"/>
          </w:tcPr>
          <w:p w14:paraId="4B22C13B">
            <w:pPr>
              <w:pStyle w:val="13"/>
            </w:pPr>
            <w:r>
              <w:t>十七、金融支出</w:t>
            </w:r>
          </w:p>
        </w:tc>
        <w:tc>
          <w:tcPr>
            <w:tcW w:w="1474" w:type="dxa"/>
            <w:vAlign w:val="center"/>
          </w:tcPr>
          <w:p w14:paraId="099A2449">
            <w:pPr>
              <w:pStyle w:val="14"/>
            </w:pPr>
          </w:p>
        </w:tc>
        <w:tc>
          <w:tcPr>
            <w:tcW w:w="1474" w:type="dxa"/>
            <w:vAlign w:val="center"/>
          </w:tcPr>
          <w:p w14:paraId="4A7F09FD">
            <w:pPr>
              <w:pStyle w:val="14"/>
            </w:pPr>
          </w:p>
        </w:tc>
        <w:tc>
          <w:tcPr>
            <w:tcW w:w="1474" w:type="dxa"/>
            <w:vAlign w:val="center"/>
          </w:tcPr>
          <w:p w14:paraId="17FB6B5E">
            <w:pPr>
              <w:pStyle w:val="14"/>
            </w:pPr>
          </w:p>
        </w:tc>
        <w:tc>
          <w:tcPr>
            <w:tcW w:w="1474" w:type="dxa"/>
            <w:vAlign w:val="center"/>
          </w:tcPr>
          <w:p w14:paraId="0419FE07">
            <w:pPr>
              <w:pStyle w:val="14"/>
            </w:pPr>
          </w:p>
        </w:tc>
      </w:tr>
      <w:tr w14:paraId="306BF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62739">
            <w:pPr>
              <w:pStyle w:val="12"/>
            </w:pPr>
            <w:r>
              <w:t>18</w:t>
            </w:r>
          </w:p>
        </w:tc>
        <w:tc>
          <w:tcPr>
            <w:tcW w:w="3402" w:type="dxa"/>
            <w:vAlign w:val="center"/>
          </w:tcPr>
          <w:p w14:paraId="213AC3E3">
            <w:pPr>
              <w:pStyle w:val="13"/>
            </w:pPr>
          </w:p>
        </w:tc>
        <w:tc>
          <w:tcPr>
            <w:tcW w:w="1474" w:type="dxa"/>
            <w:vAlign w:val="center"/>
          </w:tcPr>
          <w:p w14:paraId="41AD3327">
            <w:pPr>
              <w:pStyle w:val="14"/>
            </w:pPr>
          </w:p>
        </w:tc>
        <w:tc>
          <w:tcPr>
            <w:tcW w:w="3402" w:type="dxa"/>
            <w:vAlign w:val="center"/>
          </w:tcPr>
          <w:p w14:paraId="3EBB3964">
            <w:pPr>
              <w:pStyle w:val="13"/>
            </w:pPr>
            <w:r>
              <w:t>十八、援助其他地区支出</w:t>
            </w:r>
          </w:p>
        </w:tc>
        <w:tc>
          <w:tcPr>
            <w:tcW w:w="1474" w:type="dxa"/>
            <w:vAlign w:val="center"/>
          </w:tcPr>
          <w:p w14:paraId="507F81F1">
            <w:pPr>
              <w:pStyle w:val="14"/>
            </w:pPr>
          </w:p>
        </w:tc>
        <w:tc>
          <w:tcPr>
            <w:tcW w:w="1474" w:type="dxa"/>
            <w:vAlign w:val="center"/>
          </w:tcPr>
          <w:p w14:paraId="1A9F7E09">
            <w:pPr>
              <w:pStyle w:val="14"/>
            </w:pPr>
          </w:p>
        </w:tc>
        <w:tc>
          <w:tcPr>
            <w:tcW w:w="1474" w:type="dxa"/>
            <w:vAlign w:val="center"/>
          </w:tcPr>
          <w:p w14:paraId="3B8AFE9A">
            <w:pPr>
              <w:pStyle w:val="14"/>
            </w:pPr>
          </w:p>
        </w:tc>
        <w:tc>
          <w:tcPr>
            <w:tcW w:w="1474" w:type="dxa"/>
            <w:vAlign w:val="center"/>
          </w:tcPr>
          <w:p w14:paraId="2BE36A1C">
            <w:pPr>
              <w:pStyle w:val="14"/>
            </w:pPr>
          </w:p>
        </w:tc>
      </w:tr>
      <w:tr w14:paraId="6DE52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038DC56">
            <w:pPr>
              <w:pStyle w:val="12"/>
            </w:pPr>
            <w:r>
              <w:t>19</w:t>
            </w:r>
          </w:p>
        </w:tc>
        <w:tc>
          <w:tcPr>
            <w:tcW w:w="3402" w:type="dxa"/>
            <w:vAlign w:val="center"/>
          </w:tcPr>
          <w:p w14:paraId="09AD91C1">
            <w:pPr>
              <w:pStyle w:val="13"/>
            </w:pPr>
          </w:p>
        </w:tc>
        <w:tc>
          <w:tcPr>
            <w:tcW w:w="1474" w:type="dxa"/>
            <w:vAlign w:val="center"/>
          </w:tcPr>
          <w:p w14:paraId="4FF2DEF3">
            <w:pPr>
              <w:pStyle w:val="14"/>
            </w:pPr>
          </w:p>
        </w:tc>
        <w:tc>
          <w:tcPr>
            <w:tcW w:w="3402" w:type="dxa"/>
            <w:vAlign w:val="center"/>
          </w:tcPr>
          <w:p w14:paraId="65371BF4">
            <w:pPr>
              <w:pStyle w:val="13"/>
            </w:pPr>
            <w:r>
              <w:t>十九、自然资源海洋气象等支出</w:t>
            </w:r>
          </w:p>
        </w:tc>
        <w:tc>
          <w:tcPr>
            <w:tcW w:w="1474" w:type="dxa"/>
            <w:vAlign w:val="center"/>
          </w:tcPr>
          <w:p w14:paraId="0BBE57FE">
            <w:pPr>
              <w:pStyle w:val="14"/>
            </w:pPr>
          </w:p>
        </w:tc>
        <w:tc>
          <w:tcPr>
            <w:tcW w:w="1474" w:type="dxa"/>
            <w:vAlign w:val="center"/>
          </w:tcPr>
          <w:p w14:paraId="76421408">
            <w:pPr>
              <w:pStyle w:val="14"/>
            </w:pPr>
          </w:p>
        </w:tc>
        <w:tc>
          <w:tcPr>
            <w:tcW w:w="1474" w:type="dxa"/>
            <w:vAlign w:val="center"/>
          </w:tcPr>
          <w:p w14:paraId="5DEEE48E">
            <w:pPr>
              <w:pStyle w:val="14"/>
            </w:pPr>
          </w:p>
        </w:tc>
        <w:tc>
          <w:tcPr>
            <w:tcW w:w="1474" w:type="dxa"/>
            <w:vAlign w:val="center"/>
          </w:tcPr>
          <w:p w14:paraId="34647E93">
            <w:pPr>
              <w:pStyle w:val="14"/>
            </w:pPr>
          </w:p>
        </w:tc>
      </w:tr>
      <w:tr w14:paraId="1188C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A2585E1">
            <w:pPr>
              <w:pStyle w:val="12"/>
            </w:pPr>
            <w:r>
              <w:t>20</w:t>
            </w:r>
          </w:p>
        </w:tc>
        <w:tc>
          <w:tcPr>
            <w:tcW w:w="3402" w:type="dxa"/>
            <w:vAlign w:val="center"/>
          </w:tcPr>
          <w:p w14:paraId="1745D6D5">
            <w:pPr>
              <w:pStyle w:val="13"/>
            </w:pPr>
          </w:p>
        </w:tc>
        <w:tc>
          <w:tcPr>
            <w:tcW w:w="1474" w:type="dxa"/>
            <w:vAlign w:val="center"/>
          </w:tcPr>
          <w:p w14:paraId="1ADDE00B">
            <w:pPr>
              <w:pStyle w:val="14"/>
            </w:pPr>
          </w:p>
        </w:tc>
        <w:tc>
          <w:tcPr>
            <w:tcW w:w="3402" w:type="dxa"/>
            <w:vAlign w:val="center"/>
          </w:tcPr>
          <w:p w14:paraId="55F517A9">
            <w:pPr>
              <w:pStyle w:val="13"/>
            </w:pPr>
            <w:r>
              <w:t>二十、住房保障支出</w:t>
            </w:r>
          </w:p>
        </w:tc>
        <w:tc>
          <w:tcPr>
            <w:tcW w:w="1474" w:type="dxa"/>
            <w:vAlign w:val="center"/>
          </w:tcPr>
          <w:p w14:paraId="512EFD14">
            <w:pPr>
              <w:pStyle w:val="14"/>
            </w:pPr>
          </w:p>
        </w:tc>
        <w:tc>
          <w:tcPr>
            <w:tcW w:w="1474" w:type="dxa"/>
            <w:vAlign w:val="center"/>
          </w:tcPr>
          <w:p w14:paraId="7543918C">
            <w:pPr>
              <w:pStyle w:val="14"/>
            </w:pPr>
          </w:p>
        </w:tc>
        <w:tc>
          <w:tcPr>
            <w:tcW w:w="1474" w:type="dxa"/>
            <w:vAlign w:val="center"/>
          </w:tcPr>
          <w:p w14:paraId="3A510B0A">
            <w:pPr>
              <w:pStyle w:val="14"/>
            </w:pPr>
          </w:p>
        </w:tc>
        <w:tc>
          <w:tcPr>
            <w:tcW w:w="1474" w:type="dxa"/>
            <w:vAlign w:val="center"/>
          </w:tcPr>
          <w:p w14:paraId="44F52E40">
            <w:pPr>
              <w:pStyle w:val="14"/>
            </w:pPr>
          </w:p>
        </w:tc>
      </w:tr>
      <w:tr w14:paraId="7E827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845D4">
            <w:pPr>
              <w:pStyle w:val="12"/>
            </w:pPr>
            <w:r>
              <w:t>21</w:t>
            </w:r>
          </w:p>
        </w:tc>
        <w:tc>
          <w:tcPr>
            <w:tcW w:w="3402" w:type="dxa"/>
            <w:vAlign w:val="center"/>
          </w:tcPr>
          <w:p w14:paraId="4D8B8764">
            <w:pPr>
              <w:pStyle w:val="13"/>
            </w:pPr>
          </w:p>
        </w:tc>
        <w:tc>
          <w:tcPr>
            <w:tcW w:w="1474" w:type="dxa"/>
            <w:vAlign w:val="center"/>
          </w:tcPr>
          <w:p w14:paraId="53FB75DF">
            <w:pPr>
              <w:pStyle w:val="14"/>
            </w:pPr>
          </w:p>
        </w:tc>
        <w:tc>
          <w:tcPr>
            <w:tcW w:w="3402" w:type="dxa"/>
            <w:vAlign w:val="center"/>
          </w:tcPr>
          <w:p w14:paraId="4ADE1932">
            <w:pPr>
              <w:pStyle w:val="13"/>
            </w:pPr>
            <w:r>
              <w:t>二十一、粮油物资储备支出</w:t>
            </w:r>
          </w:p>
        </w:tc>
        <w:tc>
          <w:tcPr>
            <w:tcW w:w="1474" w:type="dxa"/>
            <w:vAlign w:val="center"/>
          </w:tcPr>
          <w:p w14:paraId="5C49E028">
            <w:pPr>
              <w:pStyle w:val="14"/>
            </w:pPr>
          </w:p>
        </w:tc>
        <w:tc>
          <w:tcPr>
            <w:tcW w:w="1474" w:type="dxa"/>
            <w:vAlign w:val="center"/>
          </w:tcPr>
          <w:p w14:paraId="5807DEC0">
            <w:pPr>
              <w:pStyle w:val="14"/>
            </w:pPr>
          </w:p>
        </w:tc>
        <w:tc>
          <w:tcPr>
            <w:tcW w:w="1474" w:type="dxa"/>
            <w:vAlign w:val="center"/>
          </w:tcPr>
          <w:p w14:paraId="050720D2">
            <w:pPr>
              <w:pStyle w:val="14"/>
            </w:pPr>
          </w:p>
        </w:tc>
        <w:tc>
          <w:tcPr>
            <w:tcW w:w="1474" w:type="dxa"/>
            <w:vAlign w:val="center"/>
          </w:tcPr>
          <w:p w14:paraId="19A4CD76">
            <w:pPr>
              <w:pStyle w:val="14"/>
            </w:pPr>
          </w:p>
        </w:tc>
      </w:tr>
      <w:tr w14:paraId="13915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F7199">
            <w:pPr>
              <w:pStyle w:val="12"/>
            </w:pPr>
            <w:r>
              <w:t>22</w:t>
            </w:r>
          </w:p>
        </w:tc>
        <w:tc>
          <w:tcPr>
            <w:tcW w:w="3402" w:type="dxa"/>
            <w:vAlign w:val="center"/>
          </w:tcPr>
          <w:p w14:paraId="375CEE2E">
            <w:pPr>
              <w:pStyle w:val="13"/>
            </w:pPr>
          </w:p>
        </w:tc>
        <w:tc>
          <w:tcPr>
            <w:tcW w:w="1474" w:type="dxa"/>
            <w:vAlign w:val="center"/>
          </w:tcPr>
          <w:p w14:paraId="305E5AE1">
            <w:pPr>
              <w:pStyle w:val="14"/>
            </w:pPr>
          </w:p>
        </w:tc>
        <w:tc>
          <w:tcPr>
            <w:tcW w:w="3402" w:type="dxa"/>
            <w:vAlign w:val="center"/>
          </w:tcPr>
          <w:p w14:paraId="661FDFDA">
            <w:pPr>
              <w:pStyle w:val="13"/>
            </w:pPr>
            <w:r>
              <w:t>二十二、国有资本经营预算支出</w:t>
            </w:r>
          </w:p>
        </w:tc>
        <w:tc>
          <w:tcPr>
            <w:tcW w:w="1474" w:type="dxa"/>
            <w:vAlign w:val="center"/>
          </w:tcPr>
          <w:p w14:paraId="32888CD8">
            <w:pPr>
              <w:pStyle w:val="14"/>
            </w:pPr>
          </w:p>
        </w:tc>
        <w:tc>
          <w:tcPr>
            <w:tcW w:w="1474" w:type="dxa"/>
            <w:vAlign w:val="center"/>
          </w:tcPr>
          <w:p w14:paraId="51E9CB9B">
            <w:pPr>
              <w:pStyle w:val="14"/>
            </w:pPr>
          </w:p>
        </w:tc>
        <w:tc>
          <w:tcPr>
            <w:tcW w:w="1474" w:type="dxa"/>
            <w:vAlign w:val="center"/>
          </w:tcPr>
          <w:p w14:paraId="38D99215">
            <w:pPr>
              <w:pStyle w:val="14"/>
            </w:pPr>
          </w:p>
        </w:tc>
        <w:tc>
          <w:tcPr>
            <w:tcW w:w="1474" w:type="dxa"/>
            <w:vAlign w:val="center"/>
          </w:tcPr>
          <w:p w14:paraId="54B11F51">
            <w:pPr>
              <w:pStyle w:val="14"/>
            </w:pPr>
          </w:p>
        </w:tc>
      </w:tr>
      <w:tr w14:paraId="33235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D2FD86">
            <w:pPr>
              <w:pStyle w:val="12"/>
            </w:pPr>
            <w:r>
              <w:t>23</w:t>
            </w:r>
          </w:p>
        </w:tc>
        <w:tc>
          <w:tcPr>
            <w:tcW w:w="3402" w:type="dxa"/>
            <w:vAlign w:val="center"/>
          </w:tcPr>
          <w:p w14:paraId="07CD8493">
            <w:pPr>
              <w:pStyle w:val="13"/>
            </w:pPr>
          </w:p>
        </w:tc>
        <w:tc>
          <w:tcPr>
            <w:tcW w:w="1474" w:type="dxa"/>
            <w:vAlign w:val="center"/>
          </w:tcPr>
          <w:p w14:paraId="06F8C4DC">
            <w:pPr>
              <w:pStyle w:val="14"/>
            </w:pPr>
          </w:p>
        </w:tc>
        <w:tc>
          <w:tcPr>
            <w:tcW w:w="3402" w:type="dxa"/>
            <w:vAlign w:val="center"/>
          </w:tcPr>
          <w:p w14:paraId="3AC3537F">
            <w:pPr>
              <w:pStyle w:val="13"/>
            </w:pPr>
            <w:r>
              <w:t>二十三、灾害防治及应急管理支出</w:t>
            </w:r>
          </w:p>
        </w:tc>
        <w:tc>
          <w:tcPr>
            <w:tcW w:w="1474" w:type="dxa"/>
            <w:vAlign w:val="center"/>
          </w:tcPr>
          <w:p w14:paraId="3F9EB605">
            <w:pPr>
              <w:pStyle w:val="14"/>
            </w:pPr>
          </w:p>
        </w:tc>
        <w:tc>
          <w:tcPr>
            <w:tcW w:w="1474" w:type="dxa"/>
            <w:vAlign w:val="center"/>
          </w:tcPr>
          <w:p w14:paraId="23E746C6">
            <w:pPr>
              <w:pStyle w:val="14"/>
            </w:pPr>
          </w:p>
        </w:tc>
        <w:tc>
          <w:tcPr>
            <w:tcW w:w="1474" w:type="dxa"/>
            <w:vAlign w:val="center"/>
          </w:tcPr>
          <w:p w14:paraId="0AFDEC52">
            <w:pPr>
              <w:pStyle w:val="14"/>
            </w:pPr>
          </w:p>
        </w:tc>
        <w:tc>
          <w:tcPr>
            <w:tcW w:w="1474" w:type="dxa"/>
            <w:vAlign w:val="center"/>
          </w:tcPr>
          <w:p w14:paraId="7FC46086">
            <w:pPr>
              <w:pStyle w:val="14"/>
            </w:pPr>
          </w:p>
        </w:tc>
      </w:tr>
      <w:tr w14:paraId="4CE08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0A29F">
            <w:pPr>
              <w:pStyle w:val="12"/>
            </w:pPr>
            <w:r>
              <w:t>24</w:t>
            </w:r>
          </w:p>
        </w:tc>
        <w:tc>
          <w:tcPr>
            <w:tcW w:w="3402" w:type="dxa"/>
            <w:vAlign w:val="center"/>
          </w:tcPr>
          <w:p w14:paraId="2689B2DF">
            <w:pPr>
              <w:pStyle w:val="13"/>
            </w:pPr>
          </w:p>
        </w:tc>
        <w:tc>
          <w:tcPr>
            <w:tcW w:w="1474" w:type="dxa"/>
            <w:vAlign w:val="center"/>
          </w:tcPr>
          <w:p w14:paraId="4B7C57B5">
            <w:pPr>
              <w:pStyle w:val="14"/>
            </w:pPr>
          </w:p>
        </w:tc>
        <w:tc>
          <w:tcPr>
            <w:tcW w:w="3402" w:type="dxa"/>
            <w:vAlign w:val="center"/>
          </w:tcPr>
          <w:p w14:paraId="5D80337F">
            <w:pPr>
              <w:pStyle w:val="13"/>
            </w:pPr>
            <w:r>
              <w:t>二十四、预备费</w:t>
            </w:r>
          </w:p>
        </w:tc>
        <w:tc>
          <w:tcPr>
            <w:tcW w:w="1474" w:type="dxa"/>
            <w:vAlign w:val="center"/>
          </w:tcPr>
          <w:p w14:paraId="5DF1A338">
            <w:pPr>
              <w:pStyle w:val="14"/>
            </w:pPr>
          </w:p>
        </w:tc>
        <w:tc>
          <w:tcPr>
            <w:tcW w:w="1474" w:type="dxa"/>
            <w:vAlign w:val="center"/>
          </w:tcPr>
          <w:p w14:paraId="3604DF56">
            <w:pPr>
              <w:pStyle w:val="14"/>
            </w:pPr>
          </w:p>
        </w:tc>
        <w:tc>
          <w:tcPr>
            <w:tcW w:w="1474" w:type="dxa"/>
            <w:vAlign w:val="center"/>
          </w:tcPr>
          <w:p w14:paraId="0613C0A3">
            <w:pPr>
              <w:pStyle w:val="14"/>
            </w:pPr>
          </w:p>
        </w:tc>
        <w:tc>
          <w:tcPr>
            <w:tcW w:w="1474" w:type="dxa"/>
            <w:vAlign w:val="center"/>
          </w:tcPr>
          <w:p w14:paraId="1251ADB7">
            <w:pPr>
              <w:pStyle w:val="14"/>
            </w:pPr>
          </w:p>
        </w:tc>
      </w:tr>
      <w:tr w14:paraId="750FD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75880EB">
            <w:pPr>
              <w:pStyle w:val="12"/>
            </w:pPr>
            <w:r>
              <w:t>25</w:t>
            </w:r>
          </w:p>
        </w:tc>
        <w:tc>
          <w:tcPr>
            <w:tcW w:w="3402" w:type="dxa"/>
            <w:vAlign w:val="center"/>
          </w:tcPr>
          <w:p w14:paraId="1AF94A91">
            <w:pPr>
              <w:pStyle w:val="13"/>
            </w:pPr>
          </w:p>
        </w:tc>
        <w:tc>
          <w:tcPr>
            <w:tcW w:w="1474" w:type="dxa"/>
            <w:vAlign w:val="center"/>
          </w:tcPr>
          <w:p w14:paraId="487E1FB5">
            <w:pPr>
              <w:pStyle w:val="14"/>
            </w:pPr>
          </w:p>
        </w:tc>
        <w:tc>
          <w:tcPr>
            <w:tcW w:w="3402" w:type="dxa"/>
            <w:vAlign w:val="center"/>
          </w:tcPr>
          <w:p w14:paraId="43F53377">
            <w:pPr>
              <w:pStyle w:val="13"/>
            </w:pPr>
            <w:r>
              <w:t>二十五、其他支出</w:t>
            </w:r>
          </w:p>
        </w:tc>
        <w:tc>
          <w:tcPr>
            <w:tcW w:w="1474" w:type="dxa"/>
            <w:vAlign w:val="center"/>
          </w:tcPr>
          <w:p w14:paraId="171CCAEB">
            <w:pPr>
              <w:pStyle w:val="14"/>
            </w:pPr>
          </w:p>
        </w:tc>
        <w:tc>
          <w:tcPr>
            <w:tcW w:w="1474" w:type="dxa"/>
            <w:vAlign w:val="center"/>
          </w:tcPr>
          <w:p w14:paraId="6E5EE7BE">
            <w:pPr>
              <w:pStyle w:val="14"/>
            </w:pPr>
          </w:p>
        </w:tc>
        <w:tc>
          <w:tcPr>
            <w:tcW w:w="1474" w:type="dxa"/>
            <w:vAlign w:val="center"/>
          </w:tcPr>
          <w:p w14:paraId="7DA178FD">
            <w:pPr>
              <w:pStyle w:val="14"/>
            </w:pPr>
          </w:p>
        </w:tc>
        <w:tc>
          <w:tcPr>
            <w:tcW w:w="1474" w:type="dxa"/>
            <w:vAlign w:val="center"/>
          </w:tcPr>
          <w:p w14:paraId="279A79FD">
            <w:pPr>
              <w:pStyle w:val="14"/>
            </w:pPr>
          </w:p>
        </w:tc>
      </w:tr>
      <w:tr w14:paraId="6EECB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FC66619">
            <w:pPr>
              <w:pStyle w:val="12"/>
            </w:pPr>
            <w:r>
              <w:t>26</w:t>
            </w:r>
          </w:p>
        </w:tc>
        <w:tc>
          <w:tcPr>
            <w:tcW w:w="3402" w:type="dxa"/>
            <w:vAlign w:val="center"/>
          </w:tcPr>
          <w:p w14:paraId="765EBBD0">
            <w:pPr>
              <w:pStyle w:val="13"/>
            </w:pPr>
          </w:p>
        </w:tc>
        <w:tc>
          <w:tcPr>
            <w:tcW w:w="1474" w:type="dxa"/>
            <w:vAlign w:val="center"/>
          </w:tcPr>
          <w:p w14:paraId="3B761123">
            <w:pPr>
              <w:pStyle w:val="14"/>
            </w:pPr>
          </w:p>
        </w:tc>
        <w:tc>
          <w:tcPr>
            <w:tcW w:w="3402" w:type="dxa"/>
            <w:vAlign w:val="center"/>
          </w:tcPr>
          <w:p w14:paraId="42811EDA">
            <w:pPr>
              <w:pStyle w:val="13"/>
            </w:pPr>
            <w:r>
              <w:t>二十六、转移性支出</w:t>
            </w:r>
          </w:p>
        </w:tc>
        <w:tc>
          <w:tcPr>
            <w:tcW w:w="1474" w:type="dxa"/>
            <w:vAlign w:val="center"/>
          </w:tcPr>
          <w:p w14:paraId="6ED92EFE">
            <w:pPr>
              <w:pStyle w:val="14"/>
            </w:pPr>
          </w:p>
        </w:tc>
        <w:tc>
          <w:tcPr>
            <w:tcW w:w="1474" w:type="dxa"/>
            <w:vAlign w:val="center"/>
          </w:tcPr>
          <w:p w14:paraId="5E60E933">
            <w:pPr>
              <w:pStyle w:val="14"/>
            </w:pPr>
          </w:p>
        </w:tc>
        <w:tc>
          <w:tcPr>
            <w:tcW w:w="1474" w:type="dxa"/>
            <w:vAlign w:val="center"/>
          </w:tcPr>
          <w:p w14:paraId="7845AC9F">
            <w:pPr>
              <w:pStyle w:val="14"/>
            </w:pPr>
          </w:p>
        </w:tc>
        <w:tc>
          <w:tcPr>
            <w:tcW w:w="1474" w:type="dxa"/>
            <w:vAlign w:val="center"/>
          </w:tcPr>
          <w:p w14:paraId="4E6ADAB9">
            <w:pPr>
              <w:pStyle w:val="14"/>
            </w:pPr>
          </w:p>
        </w:tc>
      </w:tr>
      <w:tr w14:paraId="2055C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DF78661">
            <w:pPr>
              <w:pStyle w:val="12"/>
            </w:pPr>
            <w:r>
              <w:t>27</w:t>
            </w:r>
          </w:p>
        </w:tc>
        <w:tc>
          <w:tcPr>
            <w:tcW w:w="3402" w:type="dxa"/>
            <w:vAlign w:val="center"/>
          </w:tcPr>
          <w:p w14:paraId="5CE54AF1">
            <w:pPr>
              <w:pStyle w:val="13"/>
            </w:pPr>
          </w:p>
        </w:tc>
        <w:tc>
          <w:tcPr>
            <w:tcW w:w="1474" w:type="dxa"/>
            <w:vAlign w:val="center"/>
          </w:tcPr>
          <w:p w14:paraId="7B40833A">
            <w:pPr>
              <w:pStyle w:val="14"/>
            </w:pPr>
          </w:p>
        </w:tc>
        <w:tc>
          <w:tcPr>
            <w:tcW w:w="3402" w:type="dxa"/>
            <w:vAlign w:val="center"/>
          </w:tcPr>
          <w:p w14:paraId="7A406A6C">
            <w:pPr>
              <w:pStyle w:val="13"/>
            </w:pPr>
            <w:r>
              <w:t>二十七、债务还本支出</w:t>
            </w:r>
          </w:p>
        </w:tc>
        <w:tc>
          <w:tcPr>
            <w:tcW w:w="1474" w:type="dxa"/>
            <w:vAlign w:val="center"/>
          </w:tcPr>
          <w:p w14:paraId="4C6BACC5">
            <w:pPr>
              <w:pStyle w:val="14"/>
            </w:pPr>
          </w:p>
        </w:tc>
        <w:tc>
          <w:tcPr>
            <w:tcW w:w="1474" w:type="dxa"/>
            <w:vAlign w:val="center"/>
          </w:tcPr>
          <w:p w14:paraId="0DD06867">
            <w:pPr>
              <w:pStyle w:val="14"/>
            </w:pPr>
          </w:p>
        </w:tc>
        <w:tc>
          <w:tcPr>
            <w:tcW w:w="1474" w:type="dxa"/>
            <w:vAlign w:val="center"/>
          </w:tcPr>
          <w:p w14:paraId="25244E65">
            <w:pPr>
              <w:pStyle w:val="14"/>
            </w:pPr>
          </w:p>
        </w:tc>
        <w:tc>
          <w:tcPr>
            <w:tcW w:w="1474" w:type="dxa"/>
            <w:vAlign w:val="center"/>
          </w:tcPr>
          <w:p w14:paraId="3FFA01E2">
            <w:pPr>
              <w:pStyle w:val="14"/>
            </w:pPr>
          </w:p>
        </w:tc>
      </w:tr>
      <w:tr w14:paraId="2D953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D9DB7">
            <w:pPr>
              <w:pStyle w:val="12"/>
            </w:pPr>
            <w:r>
              <w:t>28</w:t>
            </w:r>
          </w:p>
        </w:tc>
        <w:tc>
          <w:tcPr>
            <w:tcW w:w="3402" w:type="dxa"/>
            <w:vAlign w:val="center"/>
          </w:tcPr>
          <w:p w14:paraId="2343F05F">
            <w:pPr>
              <w:pStyle w:val="13"/>
            </w:pPr>
          </w:p>
        </w:tc>
        <w:tc>
          <w:tcPr>
            <w:tcW w:w="1474" w:type="dxa"/>
            <w:vAlign w:val="center"/>
          </w:tcPr>
          <w:p w14:paraId="3E6B856A">
            <w:pPr>
              <w:pStyle w:val="14"/>
            </w:pPr>
          </w:p>
        </w:tc>
        <w:tc>
          <w:tcPr>
            <w:tcW w:w="3402" w:type="dxa"/>
            <w:vAlign w:val="center"/>
          </w:tcPr>
          <w:p w14:paraId="1A129164">
            <w:pPr>
              <w:pStyle w:val="13"/>
            </w:pPr>
            <w:r>
              <w:t>二十八、债务付息支出</w:t>
            </w:r>
          </w:p>
        </w:tc>
        <w:tc>
          <w:tcPr>
            <w:tcW w:w="1474" w:type="dxa"/>
            <w:vAlign w:val="center"/>
          </w:tcPr>
          <w:p w14:paraId="3C046EC7">
            <w:pPr>
              <w:pStyle w:val="14"/>
            </w:pPr>
          </w:p>
        </w:tc>
        <w:tc>
          <w:tcPr>
            <w:tcW w:w="1474" w:type="dxa"/>
            <w:vAlign w:val="center"/>
          </w:tcPr>
          <w:p w14:paraId="3D1E005E">
            <w:pPr>
              <w:pStyle w:val="14"/>
            </w:pPr>
          </w:p>
        </w:tc>
        <w:tc>
          <w:tcPr>
            <w:tcW w:w="1474" w:type="dxa"/>
            <w:vAlign w:val="center"/>
          </w:tcPr>
          <w:p w14:paraId="343CFF6B">
            <w:pPr>
              <w:pStyle w:val="14"/>
            </w:pPr>
          </w:p>
        </w:tc>
        <w:tc>
          <w:tcPr>
            <w:tcW w:w="1474" w:type="dxa"/>
            <w:vAlign w:val="center"/>
          </w:tcPr>
          <w:p w14:paraId="1695541C">
            <w:pPr>
              <w:pStyle w:val="14"/>
            </w:pPr>
          </w:p>
        </w:tc>
      </w:tr>
      <w:tr w14:paraId="09A0A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34759">
            <w:pPr>
              <w:pStyle w:val="12"/>
            </w:pPr>
            <w:r>
              <w:t>29</w:t>
            </w:r>
          </w:p>
        </w:tc>
        <w:tc>
          <w:tcPr>
            <w:tcW w:w="3402" w:type="dxa"/>
            <w:vAlign w:val="center"/>
          </w:tcPr>
          <w:p w14:paraId="690502E6">
            <w:pPr>
              <w:pStyle w:val="13"/>
            </w:pPr>
          </w:p>
        </w:tc>
        <w:tc>
          <w:tcPr>
            <w:tcW w:w="1474" w:type="dxa"/>
            <w:vAlign w:val="center"/>
          </w:tcPr>
          <w:p w14:paraId="3E13151C">
            <w:pPr>
              <w:pStyle w:val="14"/>
            </w:pPr>
          </w:p>
        </w:tc>
        <w:tc>
          <w:tcPr>
            <w:tcW w:w="3402" w:type="dxa"/>
            <w:vAlign w:val="center"/>
          </w:tcPr>
          <w:p w14:paraId="358B6F1E">
            <w:pPr>
              <w:pStyle w:val="13"/>
            </w:pPr>
            <w:r>
              <w:t>二十九、债务发行费用支出</w:t>
            </w:r>
          </w:p>
        </w:tc>
        <w:tc>
          <w:tcPr>
            <w:tcW w:w="1474" w:type="dxa"/>
            <w:vAlign w:val="center"/>
          </w:tcPr>
          <w:p w14:paraId="4AD8F3C3">
            <w:pPr>
              <w:pStyle w:val="14"/>
            </w:pPr>
          </w:p>
        </w:tc>
        <w:tc>
          <w:tcPr>
            <w:tcW w:w="1474" w:type="dxa"/>
            <w:vAlign w:val="center"/>
          </w:tcPr>
          <w:p w14:paraId="56767978">
            <w:pPr>
              <w:pStyle w:val="14"/>
            </w:pPr>
          </w:p>
        </w:tc>
        <w:tc>
          <w:tcPr>
            <w:tcW w:w="1474" w:type="dxa"/>
            <w:vAlign w:val="center"/>
          </w:tcPr>
          <w:p w14:paraId="41078711">
            <w:pPr>
              <w:pStyle w:val="14"/>
            </w:pPr>
          </w:p>
        </w:tc>
        <w:tc>
          <w:tcPr>
            <w:tcW w:w="1474" w:type="dxa"/>
            <w:vAlign w:val="center"/>
          </w:tcPr>
          <w:p w14:paraId="77C60638">
            <w:pPr>
              <w:pStyle w:val="14"/>
            </w:pPr>
          </w:p>
        </w:tc>
      </w:tr>
      <w:tr w14:paraId="3706B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9252D">
            <w:pPr>
              <w:pStyle w:val="12"/>
            </w:pPr>
            <w:r>
              <w:t>30</w:t>
            </w:r>
          </w:p>
        </w:tc>
        <w:tc>
          <w:tcPr>
            <w:tcW w:w="3402" w:type="dxa"/>
            <w:vAlign w:val="center"/>
          </w:tcPr>
          <w:p w14:paraId="00E43114">
            <w:pPr>
              <w:pStyle w:val="13"/>
            </w:pPr>
          </w:p>
        </w:tc>
        <w:tc>
          <w:tcPr>
            <w:tcW w:w="1474" w:type="dxa"/>
            <w:vAlign w:val="center"/>
          </w:tcPr>
          <w:p w14:paraId="6694B218">
            <w:pPr>
              <w:pStyle w:val="14"/>
            </w:pPr>
          </w:p>
        </w:tc>
        <w:tc>
          <w:tcPr>
            <w:tcW w:w="3402" w:type="dxa"/>
            <w:vAlign w:val="center"/>
          </w:tcPr>
          <w:p w14:paraId="063A6895">
            <w:pPr>
              <w:pStyle w:val="13"/>
            </w:pPr>
            <w:r>
              <w:t>三十、抗疫特别国债安排的支出</w:t>
            </w:r>
          </w:p>
        </w:tc>
        <w:tc>
          <w:tcPr>
            <w:tcW w:w="1474" w:type="dxa"/>
            <w:vAlign w:val="center"/>
          </w:tcPr>
          <w:p w14:paraId="12DEF6C6">
            <w:pPr>
              <w:pStyle w:val="14"/>
            </w:pPr>
          </w:p>
        </w:tc>
        <w:tc>
          <w:tcPr>
            <w:tcW w:w="1474" w:type="dxa"/>
            <w:vAlign w:val="center"/>
          </w:tcPr>
          <w:p w14:paraId="56A10AB8">
            <w:pPr>
              <w:pStyle w:val="14"/>
            </w:pPr>
          </w:p>
        </w:tc>
        <w:tc>
          <w:tcPr>
            <w:tcW w:w="1474" w:type="dxa"/>
            <w:vAlign w:val="center"/>
          </w:tcPr>
          <w:p w14:paraId="5B75CBD8">
            <w:pPr>
              <w:pStyle w:val="14"/>
            </w:pPr>
          </w:p>
        </w:tc>
        <w:tc>
          <w:tcPr>
            <w:tcW w:w="1474" w:type="dxa"/>
            <w:vAlign w:val="center"/>
          </w:tcPr>
          <w:p w14:paraId="5C544913">
            <w:pPr>
              <w:pStyle w:val="14"/>
            </w:pPr>
          </w:p>
        </w:tc>
      </w:tr>
      <w:tr w14:paraId="61CDC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04DFB">
            <w:pPr>
              <w:pStyle w:val="12"/>
            </w:pPr>
            <w:r>
              <w:t>31</w:t>
            </w:r>
          </w:p>
        </w:tc>
        <w:tc>
          <w:tcPr>
            <w:tcW w:w="3402" w:type="dxa"/>
            <w:vAlign w:val="center"/>
          </w:tcPr>
          <w:p w14:paraId="3F12B9A7">
            <w:pPr>
              <w:pStyle w:val="13"/>
            </w:pPr>
          </w:p>
        </w:tc>
        <w:tc>
          <w:tcPr>
            <w:tcW w:w="1474" w:type="dxa"/>
            <w:vAlign w:val="center"/>
          </w:tcPr>
          <w:p w14:paraId="080685D8">
            <w:pPr>
              <w:pStyle w:val="14"/>
            </w:pPr>
          </w:p>
        </w:tc>
        <w:tc>
          <w:tcPr>
            <w:tcW w:w="3402" w:type="dxa"/>
            <w:vAlign w:val="center"/>
          </w:tcPr>
          <w:p w14:paraId="799EC943">
            <w:pPr>
              <w:pStyle w:val="13"/>
            </w:pPr>
            <w:r>
              <w:t>三十一、人行科目</w:t>
            </w:r>
          </w:p>
        </w:tc>
        <w:tc>
          <w:tcPr>
            <w:tcW w:w="1474" w:type="dxa"/>
            <w:vAlign w:val="center"/>
          </w:tcPr>
          <w:p w14:paraId="62AC58C8">
            <w:pPr>
              <w:pStyle w:val="14"/>
            </w:pPr>
          </w:p>
        </w:tc>
        <w:tc>
          <w:tcPr>
            <w:tcW w:w="1474" w:type="dxa"/>
            <w:vAlign w:val="center"/>
          </w:tcPr>
          <w:p w14:paraId="38889969">
            <w:pPr>
              <w:pStyle w:val="14"/>
            </w:pPr>
          </w:p>
        </w:tc>
        <w:tc>
          <w:tcPr>
            <w:tcW w:w="1474" w:type="dxa"/>
            <w:vAlign w:val="center"/>
          </w:tcPr>
          <w:p w14:paraId="3BA8FCC7">
            <w:pPr>
              <w:pStyle w:val="14"/>
            </w:pPr>
          </w:p>
        </w:tc>
        <w:tc>
          <w:tcPr>
            <w:tcW w:w="1474" w:type="dxa"/>
            <w:vAlign w:val="center"/>
          </w:tcPr>
          <w:p w14:paraId="19D50EC8">
            <w:pPr>
              <w:pStyle w:val="14"/>
            </w:pPr>
          </w:p>
        </w:tc>
      </w:tr>
      <w:tr w14:paraId="7DD01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35C99">
            <w:pPr>
              <w:pStyle w:val="12"/>
            </w:pPr>
            <w:r>
              <w:t>32</w:t>
            </w:r>
          </w:p>
        </w:tc>
        <w:tc>
          <w:tcPr>
            <w:tcW w:w="3402" w:type="dxa"/>
            <w:vAlign w:val="center"/>
          </w:tcPr>
          <w:p w14:paraId="017AFB5A">
            <w:pPr>
              <w:pStyle w:val="15"/>
            </w:pPr>
            <w:r>
              <w:t>本年收入合计</w:t>
            </w:r>
          </w:p>
        </w:tc>
        <w:tc>
          <w:tcPr>
            <w:tcW w:w="1474" w:type="dxa"/>
            <w:vAlign w:val="center"/>
          </w:tcPr>
          <w:p w14:paraId="5F36A629">
            <w:pPr>
              <w:pStyle w:val="16"/>
            </w:pPr>
            <w:r>
              <w:t>3004.40</w:t>
            </w:r>
          </w:p>
        </w:tc>
        <w:tc>
          <w:tcPr>
            <w:tcW w:w="3402" w:type="dxa"/>
            <w:vAlign w:val="center"/>
          </w:tcPr>
          <w:p w14:paraId="50CB8CAA">
            <w:pPr>
              <w:pStyle w:val="15"/>
            </w:pPr>
            <w:r>
              <w:t>本年支出合计</w:t>
            </w:r>
          </w:p>
        </w:tc>
        <w:tc>
          <w:tcPr>
            <w:tcW w:w="1474" w:type="dxa"/>
            <w:vAlign w:val="center"/>
          </w:tcPr>
          <w:p w14:paraId="2B006119">
            <w:pPr>
              <w:pStyle w:val="16"/>
            </w:pPr>
            <w:r>
              <w:t>3046.44</w:t>
            </w:r>
          </w:p>
        </w:tc>
        <w:tc>
          <w:tcPr>
            <w:tcW w:w="1474" w:type="dxa"/>
            <w:vAlign w:val="center"/>
          </w:tcPr>
          <w:p w14:paraId="73906360">
            <w:pPr>
              <w:pStyle w:val="16"/>
            </w:pPr>
            <w:r>
              <w:t>3046.44</w:t>
            </w:r>
          </w:p>
        </w:tc>
        <w:tc>
          <w:tcPr>
            <w:tcW w:w="1474" w:type="dxa"/>
            <w:vAlign w:val="center"/>
          </w:tcPr>
          <w:p w14:paraId="0988B887">
            <w:pPr>
              <w:pStyle w:val="16"/>
            </w:pPr>
          </w:p>
        </w:tc>
        <w:tc>
          <w:tcPr>
            <w:tcW w:w="1474" w:type="dxa"/>
            <w:vAlign w:val="center"/>
          </w:tcPr>
          <w:p w14:paraId="1FC73B24">
            <w:pPr>
              <w:pStyle w:val="16"/>
            </w:pPr>
          </w:p>
        </w:tc>
      </w:tr>
      <w:tr w14:paraId="503DD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67767D3">
            <w:pPr>
              <w:pStyle w:val="12"/>
            </w:pPr>
            <w:r>
              <w:t>33</w:t>
            </w:r>
          </w:p>
        </w:tc>
        <w:tc>
          <w:tcPr>
            <w:tcW w:w="3402" w:type="dxa"/>
            <w:vAlign w:val="center"/>
          </w:tcPr>
          <w:p w14:paraId="20BC4329">
            <w:pPr>
              <w:pStyle w:val="13"/>
            </w:pPr>
            <w:r>
              <w:t>年初财政拨款结转和结余</w:t>
            </w:r>
          </w:p>
        </w:tc>
        <w:tc>
          <w:tcPr>
            <w:tcW w:w="1474" w:type="dxa"/>
            <w:vAlign w:val="center"/>
          </w:tcPr>
          <w:p w14:paraId="5CC1B1AB">
            <w:pPr>
              <w:pStyle w:val="14"/>
            </w:pPr>
            <w:r>
              <w:t>42.04</w:t>
            </w:r>
          </w:p>
        </w:tc>
        <w:tc>
          <w:tcPr>
            <w:tcW w:w="3402" w:type="dxa"/>
            <w:vAlign w:val="center"/>
          </w:tcPr>
          <w:p w14:paraId="7E54BD75">
            <w:pPr>
              <w:pStyle w:val="13"/>
            </w:pPr>
            <w:r>
              <w:t>年末财政拨款结转和结余</w:t>
            </w:r>
          </w:p>
        </w:tc>
        <w:tc>
          <w:tcPr>
            <w:tcW w:w="1474" w:type="dxa"/>
            <w:vAlign w:val="center"/>
          </w:tcPr>
          <w:p w14:paraId="76682517">
            <w:pPr>
              <w:pStyle w:val="14"/>
            </w:pPr>
          </w:p>
        </w:tc>
        <w:tc>
          <w:tcPr>
            <w:tcW w:w="1474" w:type="dxa"/>
            <w:vAlign w:val="center"/>
          </w:tcPr>
          <w:p w14:paraId="4F500D7C">
            <w:pPr>
              <w:pStyle w:val="14"/>
            </w:pPr>
          </w:p>
        </w:tc>
        <w:tc>
          <w:tcPr>
            <w:tcW w:w="1474" w:type="dxa"/>
            <w:vAlign w:val="center"/>
          </w:tcPr>
          <w:p w14:paraId="310960D3">
            <w:pPr>
              <w:pStyle w:val="14"/>
            </w:pPr>
          </w:p>
        </w:tc>
        <w:tc>
          <w:tcPr>
            <w:tcW w:w="1474" w:type="dxa"/>
            <w:vAlign w:val="center"/>
          </w:tcPr>
          <w:p w14:paraId="3F84E622">
            <w:pPr>
              <w:pStyle w:val="14"/>
            </w:pPr>
          </w:p>
        </w:tc>
      </w:tr>
      <w:tr w14:paraId="75B0F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290CA20">
            <w:pPr>
              <w:pStyle w:val="12"/>
            </w:pPr>
            <w:r>
              <w:t>34</w:t>
            </w:r>
          </w:p>
        </w:tc>
        <w:tc>
          <w:tcPr>
            <w:tcW w:w="3402" w:type="dxa"/>
            <w:vAlign w:val="center"/>
          </w:tcPr>
          <w:p w14:paraId="31BC8A09">
            <w:pPr>
              <w:pStyle w:val="13"/>
            </w:pPr>
            <w:r>
              <w:t>一、一般公共预算拨款</w:t>
            </w:r>
          </w:p>
        </w:tc>
        <w:tc>
          <w:tcPr>
            <w:tcW w:w="1474" w:type="dxa"/>
            <w:vAlign w:val="center"/>
          </w:tcPr>
          <w:p w14:paraId="427E229B">
            <w:pPr>
              <w:pStyle w:val="14"/>
            </w:pPr>
            <w:r>
              <w:t>42.04</w:t>
            </w:r>
          </w:p>
        </w:tc>
        <w:tc>
          <w:tcPr>
            <w:tcW w:w="3402" w:type="dxa"/>
            <w:vAlign w:val="center"/>
          </w:tcPr>
          <w:p w14:paraId="6B197684">
            <w:pPr>
              <w:pStyle w:val="13"/>
            </w:pPr>
          </w:p>
        </w:tc>
        <w:tc>
          <w:tcPr>
            <w:tcW w:w="1474" w:type="dxa"/>
            <w:vAlign w:val="center"/>
          </w:tcPr>
          <w:p w14:paraId="501371E9">
            <w:pPr>
              <w:pStyle w:val="14"/>
            </w:pPr>
          </w:p>
        </w:tc>
        <w:tc>
          <w:tcPr>
            <w:tcW w:w="1474" w:type="dxa"/>
            <w:vAlign w:val="center"/>
          </w:tcPr>
          <w:p w14:paraId="064BE21F">
            <w:pPr>
              <w:pStyle w:val="14"/>
            </w:pPr>
          </w:p>
        </w:tc>
        <w:tc>
          <w:tcPr>
            <w:tcW w:w="1474" w:type="dxa"/>
            <w:vAlign w:val="center"/>
          </w:tcPr>
          <w:p w14:paraId="6D166482">
            <w:pPr>
              <w:pStyle w:val="14"/>
            </w:pPr>
          </w:p>
        </w:tc>
        <w:tc>
          <w:tcPr>
            <w:tcW w:w="1474" w:type="dxa"/>
            <w:vAlign w:val="center"/>
          </w:tcPr>
          <w:p w14:paraId="3F3D946C">
            <w:pPr>
              <w:pStyle w:val="14"/>
            </w:pPr>
          </w:p>
        </w:tc>
      </w:tr>
      <w:tr w14:paraId="4F0D2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95D9F">
            <w:pPr>
              <w:pStyle w:val="12"/>
            </w:pPr>
            <w:r>
              <w:t>35</w:t>
            </w:r>
          </w:p>
        </w:tc>
        <w:tc>
          <w:tcPr>
            <w:tcW w:w="3402" w:type="dxa"/>
            <w:vAlign w:val="center"/>
          </w:tcPr>
          <w:p w14:paraId="117D43A7">
            <w:pPr>
              <w:pStyle w:val="13"/>
            </w:pPr>
            <w:r>
              <w:t>二、政府性基金预算拨款</w:t>
            </w:r>
          </w:p>
        </w:tc>
        <w:tc>
          <w:tcPr>
            <w:tcW w:w="1474" w:type="dxa"/>
            <w:vAlign w:val="center"/>
          </w:tcPr>
          <w:p w14:paraId="26E14A66">
            <w:pPr>
              <w:pStyle w:val="14"/>
            </w:pPr>
          </w:p>
        </w:tc>
        <w:tc>
          <w:tcPr>
            <w:tcW w:w="3402" w:type="dxa"/>
            <w:vAlign w:val="center"/>
          </w:tcPr>
          <w:p w14:paraId="1FF61125">
            <w:pPr>
              <w:pStyle w:val="13"/>
            </w:pPr>
          </w:p>
        </w:tc>
        <w:tc>
          <w:tcPr>
            <w:tcW w:w="1474" w:type="dxa"/>
            <w:vAlign w:val="center"/>
          </w:tcPr>
          <w:p w14:paraId="489C89DB">
            <w:pPr>
              <w:pStyle w:val="14"/>
            </w:pPr>
          </w:p>
        </w:tc>
        <w:tc>
          <w:tcPr>
            <w:tcW w:w="1474" w:type="dxa"/>
            <w:vAlign w:val="center"/>
          </w:tcPr>
          <w:p w14:paraId="5D4FB98A">
            <w:pPr>
              <w:pStyle w:val="14"/>
            </w:pPr>
          </w:p>
        </w:tc>
        <w:tc>
          <w:tcPr>
            <w:tcW w:w="1474" w:type="dxa"/>
            <w:vAlign w:val="center"/>
          </w:tcPr>
          <w:p w14:paraId="479CC91C">
            <w:pPr>
              <w:pStyle w:val="14"/>
            </w:pPr>
          </w:p>
        </w:tc>
        <w:tc>
          <w:tcPr>
            <w:tcW w:w="1474" w:type="dxa"/>
            <w:vAlign w:val="center"/>
          </w:tcPr>
          <w:p w14:paraId="4DFB83DA">
            <w:pPr>
              <w:pStyle w:val="14"/>
            </w:pPr>
          </w:p>
        </w:tc>
      </w:tr>
      <w:tr w14:paraId="37383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21723">
            <w:pPr>
              <w:pStyle w:val="12"/>
            </w:pPr>
            <w:r>
              <w:t>36</w:t>
            </w:r>
          </w:p>
        </w:tc>
        <w:tc>
          <w:tcPr>
            <w:tcW w:w="3402" w:type="dxa"/>
            <w:vAlign w:val="center"/>
          </w:tcPr>
          <w:p w14:paraId="5D311F29">
            <w:pPr>
              <w:pStyle w:val="13"/>
            </w:pPr>
            <w:r>
              <w:t>三、国有资本经营预算拨款</w:t>
            </w:r>
          </w:p>
        </w:tc>
        <w:tc>
          <w:tcPr>
            <w:tcW w:w="1474" w:type="dxa"/>
            <w:vAlign w:val="center"/>
          </w:tcPr>
          <w:p w14:paraId="1EC665C5">
            <w:pPr>
              <w:pStyle w:val="14"/>
            </w:pPr>
          </w:p>
        </w:tc>
        <w:tc>
          <w:tcPr>
            <w:tcW w:w="3402" w:type="dxa"/>
            <w:vAlign w:val="center"/>
          </w:tcPr>
          <w:p w14:paraId="7488BE84">
            <w:pPr>
              <w:pStyle w:val="13"/>
            </w:pPr>
          </w:p>
        </w:tc>
        <w:tc>
          <w:tcPr>
            <w:tcW w:w="1474" w:type="dxa"/>
            <w:vAlign w:val="center"/>
          </w:tcPr>
          <w:p w14:paraId="06E6A6E4">
            <w:pPr>
              <w:pStyle w:val="14"/>
            </w:pPr>
          </w:p>
        </w:tc>
        <w:tc>
          <w:tcPr>
            <w:tcW w:w="1474" w:type="dxa"/>
            <w:vAlign w:val="center"/>
          </w:tcPr>
          <w:p w14:paraId="1716F957">
            <w:pPr>
              <w:pStyle w:val="14"/>
            </w:pPr>
          </w:p>
        </w:tc>
        <w:tc>
          <w:tcPr>
            <w:tcW w:w="1474" w:type="dxa"/>
            <w:vAlign w:val="center"/>
          </w:tcPr>
          <w:p w14:paraId="336B9A25">
            <w:pPr>
              <w:pStyle w:val="14"/>
            </w:pPr>
          </w:p>
        </w:tc>
        <w:tc>
          <w:tcPr>
            <w:tcW w:w="1474" w:type="dxa"/>
            <w:vAlign w:val="center"/>
          </w:tcPr>
          <w:p w14:paraId="53C8C9FD">
            <w:pPr>
              <w:pStyle w:val="14"/>
            </w:pPr>
          </w:p>
        </w:tc>
      </w:tr>
      <w:tr w14:paraId="06150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366E1">
            <w:pPr>
              <w:pStyle w:val="12"/>
            </w:pPr>
            <w:r>
              <w:t>37</w:t>
            </w:r>
          </w:p>
        </w:tc>
        <w:tc>
          <w:tcPr>
            <w:tcW w:w="3402" w:type="dxa"/>
            <w:vAlign w:val="center"/>
          </w:tcPr>
          <w:p w14:paraId="5D39A18F">
            <w:pPr>
              <w:pStyle w:val="15"/>
            </w:pPr>
            <w:r>
              <w:t>收入总计</w:t>
            </w:r>
          </w:p>
        </w:tc>
        <w:tc>
          <w:tcPr>
            <w:tcW w:w="1474" w:type="dxa"/>
            <w:vAlign w:val="center"/>
          </w:tcPr>
          <w:p w14:paraId="721289DF">
            <w:pPr>
              <w:pStyle w:val="16"/>
            </w:pPr>
            <w:r>
              <w:t>3046.44</w:t>
            </w:r>
          </w:p>
        </w:tc>
        <w:tc>
          <w:tcPr>
            <w:tcW w:w="3402" w:type="dxa"/>
            <w:vAlign w:val="center"/>
          </w:tcPr>
          <w:p w14:paraId="039DF0F7">
            <w:pPr>
              <w:pStyle w:val="15"/>
            </w:pPr>
            <w:r>
              <w:t>支出总计</w:t>
            </w:r>
          </w:p>
        </w:tc>
        <w:tc>
          <w:tcPr>
            <w:tcW w:w="1474" w:type="dxa"/>
            <w:vAlign w:val="center"/>
          </w:tcPr>
          <w:p w14:paraId="2AAC6CBD">
            <w:pPr>
              <w:pStyle w:val="16"/>
            </w:pPr>
            <w:r>
              <w:t>3046.44</w:t>
            </w:r>
          </w:p>
        </w:tc>
        <w:tc>
          <w:tcPr>
            <w:tcW w:w="1474" w:type="dxa"/>
            <w:vAlign w:val="center"/>
          </w:tcPr>
          <w:p w14:paraId="21DA109C">
            <w:pPr>
              <w:pStyle w:val="16"/>
            </w:pPr>
            <w:r>
              <w:t>3046.44</w:t>
            </w:r>
          </w:p>
        </w:tc>
        <w:tc>
          <w:tcPr>
            <w:tcW w:w="1474" w:type="dxa"/>
            <w:vAlign w:val="center"/>
          </w:tcPr>
          <w:p w14:paraId="52CB27D8">
            <w:pPr>
              <w:pStyle w:val="16"/>
            </w:pPr>
          </w:p>
        </w:tc>
        <w:tc>
          <w:tcPr>
            <w:tcW w:w="1474" w:type="dxa"/>
            <w:vAlign w:val="center"/>
          </w:tcPr>
          <w:p w14:paraId="0B48EB0C">
            <w:pPr>
              <w:pStyle w:val="16"/>
            </w:pPr>
          </w:p>
        </w:tc>
      </w:tr>
    </w:tbl>
    <w:p w14:paraId="5B1802B5">
      <w:pPr>
        <w:sectPr>
          <w:pgSz w:w="16840" w:h="11900" w:orient="landscape"/>
          <w:pgMar w:top="1361" w:right="1020" w:bottom="1134" w:left="1020" w:header="720" w:footer="720" w:gutter="0"/>
          <w:cols w:space="720" w:num="1"/>
        </w:sectPr>
      </w:pPr>
    </w:p>
    <w:p w14:paraId="22C183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BEF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F2F7B3">
            <w:pPr>
              <w:pStyle w:val="8"/>
            </w:pPr>
            <w:r>
              <w:t>360021隆尧县山口校区</w:t>
            </w:r>
          </w:p>
        </w:tc>
        <w:tc>
          <w:tcPr>
            <w:tcW w:w="2551" w:type="dxa"/>
            <w:tcBorders>
              <w:top w:val="single" w:color="FFFFFF" w:sz="6" w:space="0"/>
              <w:left w:val="single" w:color="FFFFFF" w:sz="6" w:space="0"/>
              <w:right w:val="single" w:color="FFFFFF" w:sz="6" w:space="0"/>
            </w:tcBorders>
            <w:vAlign w:val="center"/>
          </w:tcPr>
          <w:p w14:paraId="7643E78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767768C">
            <w:pPr>
              <w:pStyle w:val="10"/>
            </w:pPr>
            <w:r>
              <w:t>单位：万元</w:t>
            </w:r>
          </w:p>
        </w:tc>
      </w:tr>
      <w:tr w14:paraId="34C42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88C009">
            <w:pPr>
              <w:pStyle w:val="11"/>
            </w:pPr>
            <w:r>
              <w:t>序号</w:t>
            </w:r>
          </w:p>
        </w:tc>
        <w:tc>
          <w:tcPr>
            <w:tcW w:w="5726" w:type="dxa"/>
            <w:gridSpan w:val="2"/>
            <w:vAlign w:val="center"/>
          </w:tcPr>
          <w:p w14:paraId="65D28687">
            <w:pPr>
              <w:pStyle w:val="11"/>
            </w:pPr>
            <w:r>
              <w:t>功能分类科目</w:t>
            </w:r>
          </w:p>
        </w:tc>
        <w:tc>
          <w:tcPr>
            <w:tcW w:w="2551" w:type="dxa"/>
            <w:vMerge w:val="restart"/>
            <w:vAlign w:val="center"/>
          </w:tcPr>
          <w:p w14:paraId="241B808F">
            <w:pPr>
              <w:pStyle w:val="11"/>
            </w:pPr>
            <w:r>
              <w:t>合计</w:t>
            </w:r>
          </w:p>
        </w:tc>
        <w:tc>
          <w:tcPr>
            <w:tcW w:w="2551" w:type="dxa"/>
            <w:vMerge w:val="restart"/>
            <w:vAlign w:val="center"/>
          </w:tcPr>
          <w:p w14:paraId="6105C8A2">
            <w:pPr>
              <w:pStyle w:val="11"/>
            </w:pPr>
            <w:r>
              <w:t>基本支出</w:t>
            </w:r>
          </w:p>
        </w:tc>
        <w:tc>
          <w:tcPr>
            <w:tcW w:w="2551" w:type="dxa"/>
            <w:vMerge w:val="restart"/>
            <w:vAlign w:val="center"/>
          </w:tcPr>
          <w:p w14:paraId="5FAFB3E0">
            <w:pPr>
              <w:pStyle w:val="11"/>
            </w:pPr>
            <w:r>
              <w:t>项目支出</w:t>
            </w:r>
          </w:p>
        </w:tc>
      </w:tr>
      <w:tr w14:paraId="070E1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18D38"/>
        </w:tc>
        <w:tc>
          <w:tcPr>
            <w:tcW w:w="1191" w:type="dxa"/>
            <w:vAlign w:val="center"/>
          </w:tcPr>
          <w:p w14:paraId="6EA594B2">
            <w:pPr>
              <w:pStyle w:val="11"/>
            </w:pPr>
            <w:r>
              <w:t>科目编码</w:t>
            </w:r>
          </w:p>
        </w:tc>
        <w:tc>
          <w:tcPr>
            <w:tcW w:w="4535" w:type="dxa"/>
            <w:vAlign w:val="center"/>
          </w:tcPr>
          <w:p w14:paraId="7C9CDAF3">
            <w:pPr>
              <w:pStyle w:val="11"/>
            </w:pPr>
            <w:r>
              <w:t>科目名称</w:t>
            </w:r>
          </w:p>
        </w:tc>
        <w:tc>
          <w:tcPr>
            <w:tcW w:w="2551" w:type="dxa"/>
            <w:vMerge w:val="continue"/>
          </w:tcPr>
          <w:p w14:paraId="12287AF7"/>
        </w:tc>
        <w:tc>
          <w:tcPr>
            <w:tcW w:w="2551" w:type="dxa"/>
            <w:vMerge w:val="continue"/>
          </w:tcPr>
          <w:p w14:paraId="22FC7A81"/>
        </w:tc>
        <w:tc>
          <w:tcPr>
            <w:tcW w:w="2551" w:type="dxa"/>
            <w:vMerge w:val="continue"/>
          </w:tcPr>
          <w:p w14:paraId="0F2EEEE6"/>
        </w:tc>
      </w:tr>
      <w:tr w14:paraId="712E8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A5E865">
            <w:pPr>
              <w:pStyle w:val="11"/>
            </w:pPr>
            <w:r>
              <w:t>栏次</w:t>
            </w:r>
          </w:p>
        </w:tc>
        <w:tc>
          <w:tcPr>
            <w:tcW w:w="1191" w:type="dxa"/>
            <w:vAlign w:val="center"/>
          </w:tcPr>
          <w:p w14:paraId="07D81506">
            <w:pPr>
              <w:pStyle w:val="11"/>
            </w:pPr>
            <w:r>
              <w:t>1</w:t>
            </w:r>
          </w:p>
        </w:tc>
        <w:tc>
          <w:tcPr>
            <w:tcW w:w="4535" w:type="dxa"/>
            <w:vAlign w:val="center"/>
          </w:tcPr>
          <w:p w14:paraId="14A83A85">
            <w:pPr>
              <w:pStyle w:val="11"/>
            </w:pPr>
            <w:r>
              <w:t>2</w:t>
            </w:r>
          </w:p>
        </w:tc>
        <w:tc>
          <w:tcPr>
            <w:tcW w:w="2551" w:type="dxa"/>
            <w:vAlign w:val="center"/>
          </w:tcPr>
          <w:p w14:paraId="2662F71D">
            <w:pPr>
              <w:pStyle w:val="11"/>
            </w:pPr>
            <w:r>
              <w:t>3</w:t>
            </w:r>
          </w:p>
        </w:tc>
        <w:tc>
          <w:tcPr>
            <w:tcW w:w="2551" w:type="dxa"/>
            <w:vAlign w:val="center"/>
          </w:tcPr>
          <w:p w14:paraId="2427B91D">
            <w:pPr>
              <w:pStyle w:val="11"/>
            </w:pPr>
            <w:r>
              <w:t>4</w:t>
            </w:r>
          </w:p>
        </w:tc>
        <w:tc>
          <w:tcPr>
            <w:tcW w:w="2551" w:type="dxa"/>
            <w:vAlign w:val="center"/>
          </w:tcPr>
          <w:p w14:paraId="0AF3FD5A">
            <w:pPr>
              <w:pStyle w:val="11"/>
            </w:pPr>
            <w:r>
              <w:t>5</w:t>
            </w:r>
          </w:p>
        </w:tc>
      </w:tr>
      <w:tr w14:paraId="1EFCA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B485B">
            <w:pPr>
              <w:pStyle w:val="12"/>
            </w:pPr>
            <w:r>
              <w:t>1</w:t>
            </w:r>
          </w:p>
        </w:tc>
        <w:tc>
          <w:tcPr>
            <w:tcW w:w="1191" w:type="dxa"/>
            <w:vAlign w:val="center"/>
          </w:tcPr>
          <w:p w14:paraId="337BD80D">
            <w:pPr>
              <w:pStyle w:val="17"/>
            </w:pPr>
          </w:p>
        </w:tc>
        <w:tc>
          <w:tcPr>
            <w:tcW w:w="4535" w:type="dxa"/>
            <w:vAlign w:val="center"/>
          </w:tcPr>
          <w:p w14:paraId="763086BD">
            <w:pPr>
              <w:pStyle w:val="15"/>
            </w:pPr>
            <w:r>
              <w:t>合计</w:t>
            </w:r>
          </w:p>
        </w:tc>
        <w:tc>
          <w:tcPr>
            <w:tcW w:w="2551" w:type="dxa"/>
            <w:vAlign w:val="center"/>
          </w:tcPr>
          <w:p w14:paraId="5EE962CA">
            <w:pPr>
              <w:pStyle w:val="16"/>
            </w:pPr>
            <w:r>
              <w:t>3046.44</w:t>
            </w:r>
          </w:p>
        </w:tc>
        <w:tc>
          <w:tcPr>
            <w:tcW w:w="2551" w:type="dxa"/>
            <w:vAlign w:val="center"/>
          </w:tcPr>
          <w:p w14:paraId="3E437F6A">
            <w:pPr>
              <w:pStyle w:val="16"/>
            </w:pPr>
            <w:r>
              <w:t>2555.60</w:t>
            </w:r>
          </w:p>
        </w:tc>
        <w:tc>
          <w:tcPr>
            <w:tcW w:w="2551" w:type="dxa"/>
            <w:vAlign w:val="center"/>
          </w:tcPr>
          <w:p w14:paraId="65105D15">
            <w:pPr>
              <w:pStyle w:val="16"/>
            </w:pPr>
            <w:r>
              <w:t>490.84</w:t>
            </w:r>
          </w:p>
        </w:tc>
      </w:tr>
      <w:tr w14:paraId="1D533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3A16A">
            <w:pPr>
              <w:pStyle w:val="12"/>
            </w:pPr>
            <w:r>
              <w:t>2</w:t>
            </w:r>
          </w:p>
        </w:tc>
        <w:tc>
          <w:tcPr>
            <w:tcW w:w="1191" w:type="dxa"/>
            <w:vAlign w:val="center"/>
          </w:tcPr>
          <w:p w14:paraId="3F36870C">
            <w:pPr>
              <w:pStyle w:val="13"/>
            </w:pPr>
            <w:r>
              <w:t>205</w:t>
            </w:r>
          </w:p>
        </w:tc>
        <w:tc>
          <w:tcPr>
            <w:tcW w:w="4535" w:type="dxa"/>
            <w:vAlign w:val="center"/>
          </w:tcPr>
          <w:p w14:paraId="7BE50F13">
            <w:pPr>
              <w:pStyle w:val="13"/>
            </w:pPr>
            <w:r>
              <w:t>教育支出</w:t>
            </w:r>
          </w:p>
        </w:tc>
        <w:tc>
          <w:tcPr>
            <w:tcW w:w="2551" w:type="dxa"/>
            <w:vAlign w:val="center"/>
          </w:tcPr>
          <w:p w14:paraId="20CF7C81">
            <w:pPr>
              <w:pStyle w:val="14"/>
            </w:pPr>
            <w:r>
              <w:t>3046.44</w:t>
            </w:r>
          </w:p>
        </w:tc>
        <w:tc>
          <w:tcPr>
            <w:tcW w:w="2551" w:type="dxa"/>
            <w:vAlign w:val="center"/>
          </w:tcPr>
          <w:p w14:paraId="7260E2E7">
            <w:pPr>
              <w:pStyle w:val="14"/>
            </w:pPr>
            <w:r>
              <w:t>2555.60</w:t>
            </w:r>
          </w:p>
        </w:tc>
        <w:tc>
          <w:tcPr>
            <w:tcW w:w="2551" w:type="dxa"/>
            <w:vAlign w:val="center"/>
          </w:tcPr>
          <w:p w14:paraId="2376D9B7">
            <w:pPr>
              <w:pStyle w:val="14"/>
            </w:pPr>
            <w:r>
              <w:t>490.84</w:t>
            </w:r>
          </w:p>
        </w:tc>
      </w:tr>
      <w:tr w14:paraId="0A062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EE72D">
            <w:pPr>
              <w:pStyle w:val="12"/>
            </w:pPr>
            <w:r>
              <w:t>3</w:t>
            </w:r>
          </w:p>
        </w:tc>
        <w:tc>
          <w:tcPr>
            <w:tcW w:w="1191" w:type="dxa"/>
            <w:vAlign w:val="center"/>
          </w:tcPr>
          <w:p w14:paraId="1345FF29">
            <w:pPr>
              <w:pStyle w:val="13"/>
            </w:pPr>
            <w:r>
              <w:t>20502</w:t>
            </w:r>
          </w:p>
        </w:tc>
        <w:tc>
          <w:tcPr>
            <w:tcW w:w="4535" w:type="dxa"/>
            <w:vAlign w:val="center"/>
          </w:tcPr>
          <w:p w14:paraId="47F6B95B">
            <w:pPr>
              <w:pStyle w:val="13"/>
            </w:pPr>
            <w:r>
              <w:t>普通教育</w:t>
            </w:r>
          </w:p>
        </w:tc>
        <w:tc>
          <w:tcPr>
            <w:tcW w:w="2551" w:type="dxa"/>
            <w:vAlign w:val="center"/>
          </w:tcPr>
          <w:p w14:paraId="51F10BAE">
            <w:pPr>
              <w:pStyle w:val="14"/>
            </w:pPr>
            <w:r>
              <w:t>3046.44</w:t>
            </w:r>
          </w:p>
        </w:tc>
        <w:tc>
          <w:tcPr>
            <w:tcW w:w="2551" w:type="dxa"/>
            <w:vAlign w:val="center"/>
          </w:tcPr>
          <w:p w14:paraId="2624469E">
            <w:pPr>
              <w:pStyle w:val="14"/>
            </w:pPr>
            <w:r>
              <w:t>2555.60</w:t>
            </w:r>
          </w:p>
        </w:tc>
        <w:tc>
          <w:tcPr>
            <w:tcW w:w="2551" w:type="dxa"/>
            <w:vAlign w:val="center"/>
          </w:tcPr>
          <w:p w14:paraId="6ABCF070">
            <w:pPr>
              <w:pStyle w:val="14"/>
            </w:pPr>
            <w:r>
              <w:t>490.84</w:t>
            </w:r>
          </w:p>
        </w:tc>
      </w:tr>
      <w:tr w14:paraId="32560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04BCA">
            <w:pPr>
              <w:pStyle w:val="12"/>
            </w:pPr>
            <w:r>
              <w:t>4</w:t>
            </w:r>
          </w:p>
        </w:tc>
        <w:tc>
          <w:tcPr>
            <w:tcW w:w="1191" w:type="dxa"/>
            <w:vAlign w:val="center"/>
          </w:tcPr>
          <w:p w14:paraId="3E02F19B">
            <w:pPr>
              <w:pStyle w:val="13"/>
            </w:pPr>
            <w:r>
              <w:t>2050201</w:t>
            </w:r>
          </w:p>
        </w:tc>
        <w:tc>
          <w:tcPr>
            <w:tcW w:w="4535" w:type="dxa"/>
            <w:vAlign w:val="center"/>
          </w:tcPr>
          <w:p w14:paraId="15164661">
            <w:pPr>
              <w:pStyle w:val="13"/>
            </w:pPr>
            <w:r>
              <w:t>学前教育</w:t>
            </w:r>
          </w:p>
        </w:tc>
        <w:tc>
          <w:tcPr>
            <w:tcW w:w="2551" w:type="dxa"/>
            <w:vAlign w:val="center"/>
          </w:tcPr>
          <w:p w14:paraId="1029C363">
            <w:pPr>
              <w:pStyle w:val="14"/>
            </w:pPr>
            <w:r>
              <w:t>167.30</w:t>
            </w:r>
          </w:p>
        </w:tc>
        <w:tc>
          <w:tcPr>
            <w:tcW w:w="2551" w:type="dxa"/>
            <w:vAlign w:val="center"/>
          </w:tcPr>
          <w:p w14:paraId="58E70B2A">
            <w:pPr>
              <w:pStyle w:val="14"/>
            </w:pPr>
          </w:p>
        </w:tc>
        <w:tc>
          <w:tcPr>
            <w:tcW w:w="2551" w:type="dxa"/>
            <w:vAlign w:val="center"/>
          </w:tcPr>
          <w:p w14:paraId="0C18B76F">
            <w:pPr>
              <w:pStyle w:val="14"/>
            </w:pPr>
            <w:r>
              <w:t>167.30</w:t>
            </w:r>
          </w:p>
        </w:tc>
      </w:tr>
      <w:tr w14:paraId="0CA01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D584C">
            <w:pPr>
              <w:pStyle w:val="12"/>
            </w:pPr>
            <w:r>
              <w:t>5</w:t>
            </w:r>
          </w:p>
        </w:tc>
        <w:tc>
          <w:tcPr>
            <w:tcW w:w="1191" w:type="dxa"/>
            <w:vAlign w:val="center"/>
          </w:tcPr>
          <w:p w14:paraId="4D9E36BB">
            <w:pPr>
              <w:pStyle w:val="13"/>
            </w:pPr>
            <w:r>
              <w:t>2050202</w:t>
            </w:r>
          </w:p>
        </w:tc>
        <w:tc>
          <w:tcPr>
            <w:tcW w:w="4535" w:type="dxa"/>
            <w:vAlign w:val="center"/>
          </w:tcPr>
          <w:p w14:paraId="687EB40D">
            <w:pPr>
              <w:pStyle w:val="13"/>
            </w:pPr>
            <w:r>
              <w:t>小学教育</w:t>
            </w:r>
          </w:p>
        </w:tc>
        <w:tc>
          <w:tcPr>
            <w:tcW w:w="2551" w:type="dxa"/>
            <w:vAlign w:val="center"/>
          </w:tcPr>
          <w:p w14:paraId="66121EC8">
            <w:pPr>
              <w:pStyle w:val="14"/>
            </w:pPr>
            <w:r>
              <w:t>2879.14</w:t>
            </w:r>
          </w:p>
        </w:tc>
        <w:tc>
          <w:tcPr>
            <w:tcW w:w="2551" w:type="dxa"/>
            <w:vAlign w:val="center"/>
          </w:tcPr>
          <w:p w14:paraId="6E5FBA9C">
            <w:pPr>
              <w:pStyle w:val="14"/>
            </w:pPr>
            <w:r>
              <w:t>2555.60</w:t>
            </w:r>
          </w:p>
        </w:tc>
        <w:tc>
          <w:tcPr>
            <w:tcW w:w="2551" w:type="dxa"/>
            <w:vAlign w:val="center"/>
          </w:tcPr>
          <w:p w14:paraId="158B2C72">
            <w:pPr>
              <w:pStyle w:val="14"/>
            </w:pPr>
            <w:r>
              <w:t>323.54</w:t>
            </w:r>
          </w:p>
        </w:tc>
      </w:tr>
    </w:tbl>
    <w:p w14:paraId="33A9094D">
      <w:pPr>
        <w:sectPr>
          <w:pgSz w:w="16840" w:h="11900" w:orient="landscape"/>
          <w:pgMar w:top="1361" w:right="1020" w:bottom="1134" w:left="1020" w:header="720" w:footer="720" w:gutter="0"/>
          <w:cols w:space="720" w:num="1"/>
        </w:sectPr>
      </w:pPr>
    </w:p>
    <w:p w14:paraId="5FBC5C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FD3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46FBB">
            <w:pPr>
              <w:pStyle w:val="8"/>
            </w:pPr>
            <w:r>
              <w:t>360021隆尧县山口校区</w:t>
            </w:r>
          </w:p>
        </w:tc>
        <w:tc>
          <w:tcPr>
            <w:tcW w:w="2551" w:type="dxa"/>
            <w:tcBorders>
              <w:top w:val="single" w:color="FFFFFF" w:sz="6" w:space="0"/>
              <w:left w:val="single" w:color="FFFFFF" w:sz="6" w:space="0"/>
              <w:right w:val="single" w:color="FFFFFF" w:sz="6" w:space="0"/>
            </w:tcBorders>
            <w:vAlign w:val="center"/>
          </w:tcPr>
          <w:p w14:paraId="64F936F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E84EFCD">
            <w:pPr>
              <w:pStyle w:val="10"/>
            </w:pPr>
            <w:r>
              <w:t>单位：万元</w:t>
            </w:r>
          </w:p>
        </w:tc>
      </w:tr>
      <w:tr w14:paraId="78AA4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3076A">
            <w:pPr>
              <w:pStyle w:val="11"/>
            </w:pPr>
            <w:r>
              <w:t>序号</w:t>
            </w:r>
          </w:p>
        </w:tc>
        <w:tc>
          <w:tcPr>
            <w:tcW w:w="5726" w:type="dxa"/>
            <w:gridSpan w:val="2"/>
            <w:vAlign w:val="center"/>
          </w:tcPr>
          <w:p w14:paraId="5FFBA892">
            <w:pPr>
              <w:pStyle w:val="11"/>
            </w:pPr>
            <w:r>
              <w:t>支出部门经济分类科目</w:t>
            </w:r>
          </w:p>
        </w:tc>
        <w:tc>
          <w:tcPr>
            <w:tcW w:w="7653" w:type="dxa"/>
            <w:gridSpan w:val="3"/>
            <w:vAlign w:val="center"/>
          </w:tcPr>
          <w:p w14:paraId="01CED896">
            <w:pPr>
              <w:pStyle w:val="11"/>
            </w:pPr>
            <w:r>
              <w:t>一般公共预算基本支出</w:t>
            </w:r>
          </w:p>
        </w:tc>
      </w:tr>
      <w:tr w14:paraId="003E3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B1DD8"/>
        </w:tc>
        <w:tc>
          <w:tcPr>
            <w:tcW w:w="1191" w:type="dxa"/>
            <w:vAlign w:val="center"/>
          </w:tcPr>
          <w:p w14:paraId="42B7D439">
            <w:pPr>
              <w:pStyle w:val="11"/>
            </w:pPr>
            <w:r>
              <w:t>科目编码</w:t>
            </w:r>
          </w:p>
        </w:tc>
        <w:tc>
          <w:tcPr>
            <w:tcW w:w="4535" w:type="dxa"/>
            <w:vAlign w:val="center"/>
          </w:tcPr>
          <w:p w14:paraId="60F12B82">
            <w:pPr>
              <w:pStyle w:val="11"/>
            </w:pPr>
            <w:r>
              <w:t>科目名称</w:t>
            </w:r>
          </w:p>
        </w:tc>
        <w:tc>
          <w:tcPr>
            <w:tcW w:w="2551" w:type="dxa"/>
            <w:vAlign w:val="center"/>
          </w:tcPr>
          <w:p w14:paraId="7BCB5EBF">
            <w:pPr>
              <w:pStyle w:val="11"/>
            </w:pPr>
            <w:r>
              <w:t>合计</w:t>
            </w:r>
          </w:p>
        </w:tc>
        <w:tc>
          <w:tcPr>
            <w:tcW w:w="2551" w:type="dxa"/>
            <w:vAlign w:val="center"/>
          </w:tcPr>
          <w:p w14:paraId="398C99E8">
            <w:pPr>
              <w:pStyle w:val="11"/>
            </w:pPr>
            <w:r>
              <w:t>人员经费</w:t>
            </w:r>
          </w:p>
        </w:tc>
        <w:tc>
          <w:tcPr>
            <w:tcW w:w="2551" w:type="dxa"/>
            <w:vAlign w:val="center"/>
          </w:tcPr>
          <w:p w14:paraId="5C7AB490">
            <w:pPr>
              <w:pStyle w:val="11"/>
            </w:pPr>
            <w:r>
              <w:t>公用经费</w:t>
            </w:r>
          </w:p>
        </w:tc>
      </w:tr>
      <w:tr w14:paraId="7961F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11DBA">
            <w:pPr>
              <w:pStyle w:val="11"/>
            </w:pPr>
            <w:r>
              <w:t>栏次</w:t>
            </w:r>
          </w:p>
        </w:tc>
        <w:tc>
          <w:tcPr>
            <w:tcW w:w="1191" w:type="dxa"/>
            <w:vAlign w:val="center"/>
          </w:tcPr>
          <w:p w14:paraId="6B7604F3">
            <w:pPr>
              <w:pStyle w:val="11"/>
            </w:pPr>
            <w:r>
              <w:t>1</w:t>
            </w:r>
          </w:p>
        </w:tc>
        <w:tc>
          <w:tcPr>
            <w:tcW w:w="4535" w:type="dxa"/>
            <w:vAlign w:val="center"/>
          </w:tcPr>
          <w:p w14:paraId="5A815E32">
            <w:pPr>
              <w:pStyle w:val="11"/>
            </w:pPr>
            <w:r>
              <w:t>2</w:t>
            </w:r>
          </w:p>
        </w:tc>
        <w:tc>
          <w:tcPr>
            <w:tcW w:w="2551" w:type="dxa"/>
            <w:vAlign w:val="center"/>
          </w:tcPr>
          <w:p w14:paraId="10FA3B08">
            <w:pPr>
              <w:pStyle w:val="11"/>
            </w:pPr>
            <w:r>
              <w:t>3</w:t>
            </w:r>
          </w:p>
        </w:tc>
        <w:tc>
          <w:tcPr>
            <w:tcW w:w="2551" w:type="dxa"/>
            <w:vAlign w:val="center"/>
          </w:tcPr>
          <w:p w14:paraId="42DFC871">
            <w:pPr>
              <w:pStyle w:val="11"/>
            </w:pPr>
            <w:r>
              <w:t>4</w:t>
            </w:r>
          </w:p>
        </w:tc>
        <w:tc>
          <w:tcPr>
            <w:tcW w:w="2551" w:type="dxa"/>
            <w:vAlign w:val="center"/>
          </w:tcPr>
          <w:p w14:paraId="49238732">
            <w:pPr>
              <w:pStyle w:val="11"/>
            </w:pPr>
            <w:r>
              <w:t>5</w:t>
            </w:r>
          </w:p>
        </w:tc>
      </w:tr>
      <w:tr w14:paraId="5BE40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69D0D">
            <w:pPr>
              <w:pStyle w:val="12"/>
            </w:pPr>
            <w:r>
              <w:t>1</w:t>
            </w:r>
          </w:p>
        </w:tc>
        <w:tc>
          <w:tcPr>
            <w:tcW w:w="1191" w:type="dxa"/>
            <w:vAlign w:val="center"/>
          </w:tcPr>
          <w:p w14:paraId="7A8A7F53">
            <w:pPr>
              <w:pStyle w:val="17"/>
            </w:pPr>
          </w:p>
        </w:tc>
        <w:tc>
          <w:tcPr>
            <w:tcW w:w="4535" w:type="dxa"/>
            <w:vAlign w:val="center"/>
          </w:tcPr>
          <w:p w14:paraId="7D5AA2CA">
            <w:pPr>
              <w:pStyle w:val="15"/>
            </w:pPr>
            <w:r>
              <w:t>合计</w:t>
            </w:r>
          </w:p>
        </w:tc>
        <w:tc>
          <w:tcPr>
            <w:tcW w:w="2551" w:type="dxa"/>
            <w:vAlign w:val="center"/>
          </w:tcPr>
          <w:p w14:paraId="59B557AC">
            <w:pPr>
              <w:pStyle w:val="16"/>
            </w:pPr>
            <w:r>
              <w:t>2555.60</w:t>
            </w:r>
          </w:p>
        </w:tc>
        <w:tc>
          <w:tcPr>
            <w:tcW w:w="2551" w:type="dxa"/>
            <w:vAlign w:val="center"/>
          </w:tcPr>
          <w:p w14:paraId="70781255">
            <w:pPr>
              <w:pStyle w:val="16"/>
            </w:pPr>
            <w:r>
              <w:t>2555.60</w:t>
            </w:r>
          </w:p>
        </w:tc>
        <w:tc>
          <w:tcPr>
            <w:tcW w:w="2551" w:type="dxa"/>
            <w:vAlign w:val="center"/>
          </w:tcPr>
          <w:p w14:paraId="20EF2755">
            <w:pPr>
              <w:pStyle w:val="16"/>
            </w:pPr>
          </w:p>
        </w:tc>
      </w:tr>
      <w:tr w14:paraId="2864A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5F59A">
            <w:pPr>
              <w:pStyle w:val="12"/>
            </w:pPr>
            <w:r>
              <w:t>2</w:t>
            </w:r>
          </w:p>
        </w:tc>
        <w:tc>
          <w:tcPr>
            <w:tcW w:w="1191" w:type="dxa"/>
            <w:vAlign w:val="center"/>
          </w:tcPr>
          <w:p w14:paraId="32C39D71">
            <w:pPr>
              <w:pStyle w:val="13"/>
            </w:pPr>
            <w:r>
              <w:t>301</w:t>
            </w:r>
          </w:p>
        </w:tc>
        <w:tc>
          <w:tcPr>
            <w:tcW w:w="4535" w:type="dxa"/>
            <w:vAlign w:val="center"/>
          </w:tcPr>
          <w:p w14:paraId="60FEE46C">
            <w:pPr>
              <w:pStyle w:val="13"/>
            </w:pPr>
            <w:r>
              <w:t>工资福利支出</w:t>
            </w:r>
          </w:p>
        </w:tc>
        <w:tc>
          <w:tcPr>
            <w:tcW w:w="2551" w:type="dxa"/>
            <w:vAlign w:val="center"/>
          </w:tcPr>
          <w:p w14:paraId="45A70CE8">
            <w:pPr>
              <w:pStyle w:val="14"/>
            </w:pPr>
            <w:r>
              <w:t>2416.08</w:t>
            </w:r>
          </w:p>
        </w:tc>
        <w:tc>
          <w:tcPr>
            <w:tcW w:w="2551" w:type="dxa"/>
            <w:vAlign w:val="center"/>
          </w:tcPr>
          <w:p w14:paraId="5E4A1D43">
            <w:pPr>
              <w:pStyle w:val="14"/>
            </w:pPr>
            <w:r>
              <w:t>2416.08</w:t>
            </w:r>
          </w:p>
        </w:tc>
        <w:tc>
          <w:tcPr>
            <w:tcW w:w="2551" w:type="dxa"/>
            <w:vAlign w:val="center"/>
          </w:tcPr>
          <w:p w14:paraId="528547C7">
            <w:pPr>
              <w:pStyle w:val="14"/>
            </w:pPr>
          </w:p>
        </w:tc>
      </w:tr>
      <w:tr w14:paraId="30706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B49A9">
            <w:pPr>
              <w:pStyle w:val="12"/>
            </w:pPr>
            <w:r>
              <w:t>3</w:t>
            </w:r>
          </w:p>
        </w:tc>
        <w:tc>
          <w:tcPr>
            <w:tcW w:w="1191" w:type="dxa"/>
            <w:vAlign w:val="center"/>
          </w:tcPr>
          <w:p w14:paraId="7EB6B51A">
            <w:pPr>
              <w:pStyle w:val="13"/>
            </w:pPr>
            <w:r>
              <w:t>30101</w:t>
            </w:r>
          </w:p>
        </w:tc>
        <w:tc>
          <w:tcPr>
            <w:tcW w:w="4535" w:type="dxa"/>
            <w:vAlign w:val="center"/>
          </w:tcPr>
          <w:p w14:paraId="50FD7BB9">
            <w:pPr>
              <w:pStyle w:val="13"/>
            </w:pPr>
            <w:r>
              <w:t>基本工资</w:t>
            </w:r>
          </w:p>
        </w:tc>
        <w:tc>
          <w:tcPr>
            <w:tcW w:w="2551" w:type="dxa"/>
            <w:vAlign w:val="center"/>
          </w:tcPr>
          <w:p w14:paraId="2E6BCC97">
            <w:pPr>
              <w:pStyle w:val="14"/>
            </w:pPr>
            <w:r>
              <w:t>1150.33</w:t>
            </w:r>
          </w:p>
        </w:tc>
        <w:tc>
          <w:tcPr>
            <w:tcW w:w="2551" w:type="dxa"/>
            <w:vAlign w:val="center"/>
          </w:tcPr>
          <w:p w14:paraId="0CAA0BD9">
            <w:pPr>
              <w:pStyle w:val="14"/>
            </w:pPr>
            <w:r>
              <w:t>1150.33</w:t>
            </w:r>
          </w:p>
        </w:tc>
        <w:tc>
          <w:tcPr>
            <w:tcW w:w="2551" w:type="dxa"/>
            <w:vAlign w:val="center"/>
          </w:tcPr>
          <w:p w14:paraId="6D9AFAAB">
            <w:pPr>
              <w:pStyle w:val="14"/>
            </w:pPr>
          </w:p>
        </w:tc>
      </w:tr>
      <w:tr w14:paraId="334D3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E7BA1">
            <w:pPr>
              <w:pStyle w:val="12"/>
            </w:pPr>
            <w:r>
              <w:t>4</w:t>
            </w:r>
          </w:p>
        </w:tc>
        <w:tc>
          <w:tcPr>
            <w:tcW w:w="1191" w:type="dxa"/>
            <w:vAlign w:val="center"/>
          </w:tcPr>
          <w:p w14:paraId="350830B8">
            <w:pPr>
              <w:pStyle w:val="13"/>
            </w:pPr>
            <w:r>
              <w:t>30102</w:t>
            </w:r>
          </w:p>
        </w:tc>
        <w:tc>
          <w:tcPr>
            <w:tcW w:w="4535" w:type="dxa"/>
            <w:vAlign w:val="center"/>
          </w:tcPr>
          <w:p w14:paraId="0CFE3704">
            <w:pPr>
              <w:pStyle w:val="13"/>
            </w:pPr>
            <w:r>
              <w:t>津贴补贴</w:t>
            </w:r>
          </w:p>
        </w:tc>
        <w:tc>
          <w:tcPr>
            <w:tcW w:w="2551" w:type="dxa"/>
            <w:vAlign w:val="center"/>
          </w:tcPr>
          <w:p w14:paraId="3CF2CC92">
            <w:pPr>
              <w:pStyle w:val="14"/>
            </w:pPr>
            <w:r>
              <w:t>110.73</w:t>
            </w:r>
          </w:p>
        </w:tc>
        <w:tc>
          <w:tcPr>
            <w:tcW w:w="2551" w:type="dxa"/>
            <w:vAlign w:val="center"/>
          </w:tcPr>
          <w:p w14:paraId="5DD3660A">
            <w:pPr>
              <w:pStyle w:val="14"/>
            </w:pPr>
            <w:r>
              <w:t>110.73</w:t>
            </w:r>
          </w:p>
        </w:tc>
        <w:tc>
          <w:tcPr>
            <w:tcW w:w="2551" w:type="dxa"/>
            <w:vAlign w:val="center"/>
          </w:tcPr>
          <w:p w14:paraId="5DFB17A1">
            <w:pPr>
              <w:pStyle w:val="14"/>
            </w:pPr>
          </w:p>
        </w:tc>
      </w:tr>
      <w:tr w14:paraId="18507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60E7E">
            <w:pPr>
              <w:pStyle w:val="12"/>
            </w:pPr>
            <w:r>
              <w:t>5</w:t>
            </w:r>
          </w:p>
        </w:tc>
        <w:tc>
          <w:tcPr>
            <w:tcW w:w="1191" w:type="dxa"/>
            <w:vAlign w:val="center"/>
          </w:tcPr>
          <w:p w14:paraId="56DDEB67">
            <w:pPr>
              <w:pStyle w:val="13"/>
            </w:pPr>
            <w:r>
              <w:t>30107</w:t>
            </w:r>
          </w:p>
        </w:tc>
        <w:tc>
          <w:tcPr>
            <w:tcW w:w="4535" w:type="dxa"/>
            <w:vAlign w:val="center"/>
          </w:tcPr>
          <w:p w14:paraId="0FF65F30">
            <w:pPr>
              <w:pStyle w:val="13"/>
            </w:pPr>
            <w:r>
              <w:t>绩效工资</w:t>
            </w:r>
          </w:p>
        </w:tc>
        <w:tc>
          <w:tcPr>
            <w:tcW w:w="2551" w:type="dxa"/>
            <w:vAlign w:val="center"/>
          </w:tcPr>
          <w:p w14:paraId="464AA5D8">
            <w:pPr>
              <w:pStyle w:val="14"/>
            </w:pPr>
            <w:r>
              <w:t>628.24</w:t>
            </w:r>
          </w:p>
        </w:tc>
        <w:tc>
          <w:tcPr>
            <w:tcW w:w="2551" w:type="dxa"/>
            <w:vAlign w:val="center"/>
          </w:tcPr>
          <w:p w14:paraId="707DD50E">
            <w:pPr>
              <w:pStyle w:val="14"/>
            </w:pPr>
            <w:r>
              <w:t>628.24</w:t>
            </w:r>
          </w:p>
        </w:tc>
        <w:tc>
          <w:tcPr>
            <w:tcW w:w="2551" w:type="dxa"/>
            <w:vAlign w:val="center"/>
          </w:tcPr>
          <w:p w14:paraId="6A61683F">
            <w:pPr>
              <w:pStyle w:val="14"/>
            </w:pPr>
          </w:p>
        </w:tc>
      </w:tr>
      <w:tr w14:paraId="5AB12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013F1">
            <w:pPr>
              <w:pStyle w:val="12"/>
            </w:pPr>
            <w:r>
              <w:t>6</w:t>
            </w:r>
          </w:p>
        </w:tc>
        <w:tc>
          <w:tcPr>
            <w:tcW w:w="1191" w:type="dxa"/>
            <w:vAlign w:val="center"/>
          </w:tcPr>
          <w:p w14:paraId="1C8A8A3F">
            <w:pPr>
              <w:pStyle w:val="13"/>
            </w:pPr>
            <w:r>
              <w:t>30108</w:t>
            </w:r>
          </w:p>
        </w:tc>
        <w:tc>
          <w:tcPr>
            <w:tcW w:w="4535" w:type="dxa"/>
            <w:vAlign w:val="center"/>
          </w:tcPr>
          <w:p w14:paraId="1E0D5F72">
            <w:pPr>
              <w:pStyle w:val="13"/>
            </w:pPr>
            <w:r>
              <w:t>机关事业单位基本养老保险缴费</w:t>
            </w:r>
          </w:p>
        </w:tc>
        <w:tc>
          <w:tcPr>
            <w:tcW w:w="2551" w:type="dxa"/>
            <w:vAlign w:val="center"/>
          </w:tcPr>
          <w:p w14:paraId="031E2269">
            <w:pPr>
              <w:pStyle w:val="14"/>
            </w:pPr>
            <w:r>
              <w:t>228.82</w:t>
            </w:r>
          </w:p>
        </w:tc>
        <w:tc>
          <w:tcPr>
            <w:tcW w:w="2551" w:type="dxa"/>
            <w:vAlign w:val="center"/>
          </w:tcPr>
          <w:p w14:paraId="401E3253">
            <w:pPr>
              <w:pStyle w:val="14"/>
            </w:pPr>
            <w:r>
              <w:t>228.82</w:t>
            </w:r>
          </w:p>
        </w:tc>
        <w:tc>
          <w:tcPr>
            <w:tcW w:w="2551" w:type="dxa"/>
            <w:vAlign w:val="center"/>
          </w:tcPr>
          <w:p w14:paraId="4D0BC731">
            <w:pPr>
              <w:pStyle w:val="14"/>
            </w:pPr>
          </w:p>
        </w:tc>
      </w:tr>
      <w:tr w14:paraId="000CF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BC09E">
            <w:pPr>
              <w:pStyle w:val="12"/>
            </w:pPr>
            <w:r>
              <w:t>7</w:t>
            </w:r>
          </w:p>
        </w:tc>
        <w:tc>
          <w:tcPr>
            <w:tcW w:w="1191" w:type="dxa"/>
            <w:vAlign w:val="center"/>
          </w:tcPr>
          <w:p w14:paraId="37DB2696">
            <w:pPr>
              <w:pStyle w:val="13"/>
            </w:pPr>
            <w:r>
              <w:t>30110</w:t>
            </w:r>
          </w:p>
        </w:tc>
        <w:tc>
          <w:tcPr>
            <w:tcW w:w="4535" w:type="dxa"/>
            <w:vAlign w:val="center"/>
          </w:tcPr>
          <w:p w14:paraId="6EEF9500">
            <w:pPr>
              <w:pStyle w:val="13"/>
            </w:pPr>
            <w:r>
              <w:t>职工基本医疗保险缴费</w:t>
            </w:r>
          </w:p>
        </w:tc>
        <w:tc>
          <w:tcPr>
            <w:tcW w:w="2551" w:type="dxa"/>
            <w:vAlign w:val="center"/>
          </w:tcPr>
          <w:p w14:paraId="11B72A13">
            <w:pPr>
              <w:pStyle w:val="14"/>
            </w:pPr>
            <w:r>
              <w:t>113.72</w:t>
            </w:r>
          </w:p>
        </w:tc>
        <w:tc>
          <w:tcPr>
            <w:tcW w:w="2551" w:type="dxa"/>
            <w:vAlign w:val="center"/>
          </w:tcPr>
          <w:p w14:paraId="3CA09714">
            <w:pPr>
              <w:pStyle w:val="14"/>
            </w:pPr>
            <w:r>
              <w:t>113.72</w:t>
            </w:r>
          </w:p>
        </w:tc>
        <w:tc>
          <w:tcPr>
            <w:tcW w:w="2551" w:type="dxa"/>
            <w:vAlign w:val="center"/>
          </w:tcPr>
          <w:p w14:paraId="287AA8D3">
            <w:pPr>
              <w:pStyle w:val="14"/>
            </w:pPr>
          </w:p>
        </w:tc>
      </w:tr>
      <w:tr w14:paraId="78083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D502C">
            <w:pPr>
              <w:pStyle w:val="12"/>
            </w:pPr>
            <w:r>
              <w:t>8</w:t>
            </w:r>
          </w:p>
        </w:tc>
        <w:tc>
          <w:tcPr>
            <w:tcW w:w="1191" w:type="dxa"/>
            <w:vAlign w:val="center"/>
          </w:tcPr>
          <w:p w14:paraId="0230A431">
            <w:pPr>
              <w:pStyle w:val="13"/>
            </w:pPr>
            <w:r>
              <w:t>30112</w:t>
            </w:r>
          </w:p>
        </w:tc>
        <w:tc>
          <w:tcPr>
            <w:tcW w:w="4535" w:type="dxa"/>
            <w:vAlign w:val="center"/>
          </w:tcPr>
          <w:p w14:paraId="0F9A44FE">
            <w:pPr>
              <w:pStyle w:val="13"/>
            </w:pPr>
            <w:r>
              <w:t>其他社会保障缴费</w:t>
            </w:r>
          </w:p>
        </w:tc>
        <w:tc>
          <w:tcPr>
            <w:tcW w:w="2551" w:type="dxa"/>
            <w:vAlign w:val="center"/>
          </w:tcPr>
          <w:p w14:paraId="5C255424">
            <w:pPr>
              <w:pStyle w:val="14"/>
            </w:pPr>
            <w:r>
              <w:t>6.40</w:t>
            </w:r>
          </w:p>
        </w:tc>
        <w:tc>
          <w:tcPr>
            <w:tcW w:w="2551" w:type="dxa"/>
            <w:vAlign w:val="center"/>
          </w:tcPr>
          <w:p w14:paraId="2094AABC">
            <w:pPr>
              <w:pStyle w:val="14"/>
            </w:pPr>
            <w:r>
              <w:t>6.40</w:t>
            </w:r>
          </w:p>
        </w:tc>
        <w:tc>
          <w:tcPr>
            <w:tcW w:w="2551" w:type="dxa"/>
            <w:vAlign w:val="center"/>
          </w:tcPr>
          <w:p w14:paraId="73B34325">
            <w:pPr>
              <w:pStyle w:val="14"/>
            </w:pPr>
          </w:p>
        </w:tc>
      </w:tr>
      <w:tr w14:paraId="4976C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B1FC8">
            <w:pPr>
              <w:pStyle w:val="12"/>
            </w:pPr>
            <w:r>
              <w:t>9</w:t>
            </w:r>
          </w:p>
        </w:tc>
        <w:tc>
          <w:tcPr>
            <w:tcW w:w="1191" w:type="dxa"/>
            <w:vAlign w:val="center"/>
          </w:tcPr>
          <w:p w14:paraId="5495053E">
            <w:pPr>
              <w:pStyle w:val="13"/>
            </w:pPr>
            <w:r>
              <w:t>30113</w:t>
            </w:r>
          </w:p>
        </w:tc>
        <w:tc>
          <w:tcPr>
            <w:tcW w:w="4535" w:type="dxa"/>
            <w:vAlign w:val="center"/>
          </w:tcPr>
          <w:p w14:paraId="795F31B6">
            <w:pPr>
              <w:pStyle w:val="13"/>
            </w:pPr>
            <w:r>
              <w:t>住房公积金</w:t>
            </w:r>
          </w:p>
        </w:tc>
        <w:tc>
          <w:tcPr>
            <w:tcW w:w="2551" w:type="dxa"/>
            <w:vAlign w:val="center"/>
          </w:tcPr>
          <w:p w14:paraId="6F887159">
            <w:pPr>
              <w:pStyle w:val="14"/>
            </w:pPr>
            <w:r>
              <w:t>177.83</w:t>
            </w:r>
          </w:p>
        </w:tc>
        <w:tc>
          <w:tcPr>
            <w:tcW w:w="2551" w:type="dxa"/>
            <w:vAlign w:val="center"/>
          </w:tcPr>
          <w:p w14:paraId="63130A99">
            <w:pPr>
              <w:pStyle w:val="14"/>
            </w:pPr>
            <w:r>
              <w:t>177.83</w:t>
            </w:r>
          </w:p>
        </w:tc>
        <w:tc>
          <w:tcPr>
            <w:tcW w:w="2551" w:type="dxa"/>
            <w:vAlign w:val="center"/>
          </w:tcPr>
          <w:p w14:paraId="57018281">
            <w:pPr>
              <w:pStyle w:val="14"/>
            </w:pPr>
          </w:p>
        </w:tc>
      </w:tr>
      <w:tr w14:paraId="43057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1D825">
            <w:pPr>
              <w:pStyle w:val="12"/>
            </w:pPr>
            <w:r>
              <w:t>10</w:t>
            </w:r>
          </w:p>
        </w:tc>
        <w:tc>
          <w:tcPr>
            <w:tcW w:w="1191" w:type="dxa"/>
            <w:vAlign w:val="center"/>
          </w:tcPr>
          <w:p w14:paraId="33EE4E33">
            <w:pPr>
              <w:pStyle w:val="13"/>
            </w:pPr>
            <w:r>
              <w:t>303</w:t>
            </w:r>
          </w:p>
        </w:tc>
        <w:tc>
          <w:tcPr>
            <w:tcW w:w="4535" w:type="dxa"/>
            <w:vAlign w:val="center"/>
          </w:tcPr>
          <w:p w14:paraId="25C7649A">
            <w:pPr>
              <w:pStyle w:val="13"/>
            </w:pPr>
            <w:r>
              <w:t>对个人和家庭的补助</w:t>
            </w:r>
          </w:p>
        </w:tc>
        <w:tc>
          <w:tcPr>
            <w:tcW w:w="2551" w:type="dxa"/>
            <w:vAlign w:val="center"/>
          </w:tcPr>
          <w:p w14:paraId="23E32049">
            <w:pPr>
              <w:pStyle w:val="14"/>
            </w:pPr>
            <w:r>
              <w:t>139.52</w:t>
            </w:r>
          </w:p>
        </w:tc>
        <w:tc>
          <w:tcPr>
            <w:tcW w:w="2551" w:type="dxa"/>
            <w:vAlign w:val="center"/>
          </w:tcPr>
          <w:p w14:paraId="3C9CACA0">
            <w:pPr>
              <w:pStyle w:val="14"/>
            </w:pPr>
            <w:r>
              <w:t>139.52</w:t>
            </w:r>
          </w:p>
        </w:tc>
        <w:tc>
          <w:tcPr>
            <w:tcW w:w="2551" w:type="dxa"/>
            <w:vAlign w:val="center"/>
          </w:tcPr>
          <w:p w14:paraId="3DD31CB5">
            <w:pPr>
              <w:pStyle w:val="14"/>
            </w:pPr>
          </w:p>
        </w:tc>
      </w:tr>
      <w:tr w14:paraId="7B223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CE844">
            <w:pPr>
              <w:pStyle w:val="12"/>
            </w:pPr>
            <w:r>
              <w:t>11</w:t>
            </w:r>
          </w:p>
        </w:tc>
        <w:tc>
          <w:tcPr>
            <w:tcW w:w="1191" w:type="dxa"/>
            <w:vAlign w:val="center"/>
          </w:tcPr>
          <w:p w14:paraId="7EE41C27">
            <w:pPr>
              <w:pStyle w:val="13"/>
            </w:pPr>
            <w:r>
              <w:t>30302</w:t>
            </w:r>
          </w:p>
        </w:tc>
        <w:tc>
          <w:tcPr>
            <w:tcW w:w="4535" w:type="dxa"/>
            <w:vAlign w:val="center"/>
          </w:tcPr>
          <w:p w14:paraId="23BFAEE0">
            <w:pPr>
              <w:pStyle w:val="13"/>
            </w:pPr>
            <w:r>
              <w:t>退休费</w:t>
            </w:r>
          </w:p>
        </w:tc>
        <w:tc>
          <w:tcPr>
            <w:tcW w:w="2551" w:type="dxa"/>
            <w:vAlign w:val="center"/>
          </w:tcPr>
          <w:p w14:paraId="10B03E37">
            <w:pPr>
              <w:pStyle w:val="14"/>
            </w:pPr>
            <w:r>
              <w:t>129.44</w:t>
            </w:r>
          </w:p>
        </w:tc>
        <w:tc>
          <w:tcPr>
            <w:tcW w:w="2551" w:type="dxa"/>
            <w:vAlign w:val="center"/>
          </w:tcPr>
          <w:p w14:paraId="536B5F21">
            <w:pPr>
              <w:pStyle w:val="14"/>
            </w:pPr>
            <w:r>
              <w:t>129.44</w:t>
            </w:r>
          </w:p>
        </w:tc>
        <w:tc>
          <w:tcPr>
            <w:tcW w:w="2551" w:type="dxa"/>
            <w:vAlign w:val="center"/>
          </w:tcPr>
          <w:p w14:paraId="4077B7B5">
            <w:pPr>
              <w:pStyle w:val="14"/>
            </w:pPr>
          </w:p>
        </w:tc>
      </w:tr>
      <w:tr w14:paraId="3D9FC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3D9EC">
            <w:pPr>
              <w:pStyle w:val="12"/>
            </w:pPr>
            <w:r>
              <w:t>12</w:t>
            </w:r>
          </w:p>
        </w:tc>
        <w:tc>
          <w:tcPr>
            <w:tcW w:w="1191" w:type="dxa"/>
            <w:vAlign w:val="center"/>
          </w:tcPr>
          <w:p w14:paraId="00D033D8">
            <w:pPr>
              <w:pStyle w:val="13"/>
            </w:pPr>
            <w:r>
              <w:t>30305</w:t>
            </w:r>
          </w:p>
        </w:tc>
        <w:tc>
          <w:tcPr>
            <w:tcW w:w="4535" w:type="dxa"/>
            <w:vAlign w:val="center"/>
          </w:tcPr>
          <w:p w14:paraId="0A04EF5B">
            <w:pPr>
              <w:pStyle w:val="13"/>
            </w:pPr>
            <w:r>
              <w:t>生活补助</w:t>
            </w:r>
          </w:p>
        </w:tc>
        <w:tc>
          <w:tcPr>
            <w:tcW w:w="2551" w:type="dxa"/>
            <w:vAlign w:val="center"/>
          </w:tcPr>
          <w:p w14:paraId="651F114A">
            <w:pPr>
              <w:pStyle w:val="14"/>
            </w:pPr>
            <w:r>
              <w:t>10.08</w:t>
            </w:r>
          </w:p>
        </w:tc>
        <w:tc>
          <w:tcPr>
            <w:tcW w:w="2551" w:type="dxa"/>
            <w:vAlign w:val="center"/>
          </w:tcPr>
          <w:p w14:paraId="3A3B5BB5">
            <w:pPr>
              <w:pStyle w:val="14"/>
            </w:pPr>
            <w:r>
              <w:t>10.08</w:t>
            </w:r>
          </w:p>
        </w:tc>
        <w:tc>
          <w:tcPr>
            <w:tcW w:w="2551" w:type="dxa"/>
            <w:vAlign w:val="center"/>
          </w:tcPr>
          <w:p w14:paraId="4F195E06">
            <w:pPr>
              <w:pStyle w:val="14"/>
            </w:pPr>
          </w:p>
        </w:tc>
      </w:tr>
    </w:tbl>
    <w:p w14:paraId="073E37E4">
      <w:pPr>
        <w:sectPr>
          <w:pgSz w:w="16840" w:h="11900" w:orient="landscape"/>
          <w:pgMar w:top="1361" w:right="1020" w:bottom="1134" w:left="1020" w:header="720" w:footer="720" w:gutter="0"/>
          <w:cols w:space="720" w:num="1"/>
        </w:sectPr>
      </w:pPr>
    </w:p>
    <w:p w14:paraId="483B9E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4F4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4FCC7F">
            <w:pPr>
              <w:pStyle w:val="8"/>
            </w:pPr>
            <w:r>
              <w:t>360021隆尧县山口校区</w:t>
            </w:r>
          </w:p>
        </w:tc>
        <w:tc>
          <w:tcPr>
            <w:tcW w:w="2551" w:type="dxa"/>
            <w:tcBorders>
              <w:top w:val="single" w:color="FFFFFF" w:sz="6" w:space="0"/>
              <w:left w:val="single" w:color="FFFFFF" w:sz="6" w:space="0"/>
              <w:right w:val="single" w:color="FFFFFF" w:sz="6" w:space="0"/>
            </w:tcBorders>
            <w:vAlign w:val="center"/>
          </w:tcPr>
          <w:p w14:paraId="085309E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8DDF6F4">
            <w:pPr>
              <w:pStyle w:val="10"/>
            </w:pPr>
            <w:r>
              <w:t>单位：万元</w:t>
            </w:r>
          </w:p>
        </w:tc>
      </w:tr>
      <w:tr w14:paraId="4868F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885D6">
            <w:pPr>
              <w:pStyle w:val="11"/>
            </w:pPr>
            <w:r>
              <w:t>序号</w:t>
            </w:r>
          </w:p>
        </w:tc>
        <w:tc>
          <w:tcPr>
            <w:tcW w:w="5726" w:type="dxa"/>
            <w:gridSpan w:val="2"/>
            <w:vAlign w:val="center"/>
          </w:tcPr>
          <w:p w14:paraId="0B724A8D">
            <w:pPr>
              <w:pStyle w:val="11"/>
            </w:pPr>
            <w:r>
              <w:t>功能分类科目</w:t>
            </w:r>
          </w:p>
        </w:tc>
        <w:tc>
          <w:tcPr>
            <w:tcW w:w="2551" w:type="dxa"/>
            <w:vMerge w:val="restart"/>
            <w:vAlign w:val="center"/>
          </w:tcPr>
          <w:p w14:paraId="19166670">
            <w:pPr>
              <w:pStyle w:val="11"/>
            </w:pPr>
            <w:r>
              <w:t>合计</w:t>
            </w:r>
          </w:p>
        </w:tc>
        <w:tc>
          <w:tcPr>
            <w:tcW w:w="2551" w:type="dxa"/>
            <w:vMerge w:val="restart"/>
            <w:vAlign w:val="center"/>
          </w:tcPr>
          <w:p w14:paraId="7F1CB4CC">
            <w:pPr>
              <w:pStyle w:val="11"/>
            </w:pPr>
            <w:r>
              <w:t>基本支出</w:t>
            </w:r>
          </w:p>
        </w:tc>
        <w:tc>
          <w:tcPr>
            <w:tcW w:w="2551" w:type="dxa"/>
            <w:vMerge w:val="restart"/>
            <w:vAlign w:val="center"/>
          </w:tcPr>
          <w:p w14:paraId="55C746F1">
            <w:pPr>
              <w:pStyle w:val="11"/>
            </w:pPr>
            <w:r>
              <w:t>项目支出</w:t>
            </w:r>
          </w:p>
        </w:tc>
      </w:tr>
      <w:tr w14:paraId="18089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D7C048"/>
        </w:tc>
        <w:tc>
          <w:tcPr>
            <w:tcW w:w="1191" w:type="dxa"/>
            <w:vAlign w:val="center"/>
          </w:tcPr>
          <w:p w14:paraId="7DEE73BD">
            <w:pPr>
              <w:pStyle w:val="11"/>
            </w:pPr>
            <w:r>
              <w:t>科目编码</w:t>
            </w:r>
          </w:p>
        </w:tc>
        <w:tc>
          <w:tcPr>
            <w:tcW w:w="4535" w:type="dxa"/>
            <w:vAlign w:val="center"/>
          </w:tcPr>
          <w:p w14:paraId="41BDFC1E">
            <w:pPr>
              <w:pStyle w:val="11"/>
            </w:pPr>
            <w:r>
              <w:t>科目名称</w:t>
            </w:r>
          </w:p>
        </w:tc>
        <w:tc>
          <w:tcPr>
            <w:tcW w:w="2551" w:type="dxa"/>
            <w:vMerge w:val="continue"/>
          </w:tcPr>
          <w:p w14:paraId="689C3D5F"/>
        </w:tc>
        <w:tc>
          <w:tcPr>
            <w:tcW w:w="2551" w:type="dxa"/>
            <w:vMerge w:val="continue"/>
          </w:tcPr>
          <w:p w14:paraId="451283F5"/>
        </w:tc>
        <w:tc>
          <w:tcPr>
            <w:tcW w:w="2551" w:type="dxa"/>
            <w:vMerge w:val="continue"/>
          </w:tcPr>
          <w:p w14:paraId="625FBC71"/>
        </w:tc>
      </w:tr>
      <w:tr w14:paraId="433F3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14A891">
            <w:pPr>
              <w:pStyle w:val="11"/>
            </w:pPr>
            <w:r>
              <w:t>栏次</w:t>
            </w:r>
          </w:p>
        </w:tc>
        <w:tc>
          <w:tcPr>
            <w:tcW w:w="1191" w:type="dxa"/>
            <w:vAlign w:val="center"/>
          </w:tcPr>
          <w:p w14:paraId="5A965750">
            <w:pPr>
              <w:pStyle w:val="11"/>
            </w:pPr>
            <w:r>
              <w:t>1</w:t>
            </w:r>
          </w:p>
        </w:tc>
        <w:tc>
          <w:tcPr>
            <w:tcW w:w="4535" w:type="dxa"/>
            <w:vAlign w:val="center"/>
          </w:tcPr>
          <w:p w14:paraId="0D0455E8">
            <w:pPr>
              <w:pStyle w:val="11"/>
            </w:pPr>
            <w:r>
              <w:t>2</w:t>
            </w:r>
          </w:p>
        </w:tc>
        <w:tc>
          <w:tcPr>
            <w:tcW w:w="2551" w:type="dxa"/>
            <w:vAlign w:val="center"/>
          </w:tcPr>
          <w:p w14:paraId="2788EDF2">
            <w:pPr>
              <w:pStyle w:val="11"/>
            </w:pPr>
            <w:r>
              <w:t>3</w:t>
            </w:r>
          </w:p>
        </w:tc>
        <w:tc>
          <w:tcPr>
            <w:tcW w:w="2551" w:type="dxa"/>
            <w:vAlign w:val="center"/>
          </w:tcPr>
          <w:p w14:paraId="1A9A8165">
            <w:pPr>
              <w:pStyle w:val="11"/>
            </w:pPr>
            <w:r>
              <w:t>4</w:t>
            </w:r>
          </w:p>
        </w:tc>
        <w:tc>
          <w:tcPr>
            <w:tcW w:w="2551" w:type="dxa"/>
            <w:vAlign w:val="center"/>
          </w:tcPr>
          <w:p w14:paraId="1D00F3A3">
            <w:pPr>
              <w:pStyle w:val="11"/>
            </w:pPr>
            <w:r>
              <w:t>5</w:t>
            </w:r>
          </w:p>
        </w:tc>
      </w:tr>
      <w:tr w14:paraId="2CB56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944E3">
            <w:pPr>
              <w:pStyle w:val="12"/>
            </w:pPr>
          </w:p>
        </w:tc>
        <w:tc>
          <w:tcPr>
            <w:tcW w:w="1191" w:type="dxa"/>
            <w:vAlign w:val="center"/>
          </w:tcPr>
          <w:p w14:paraId="656A8B96">
            <w:pPr>
              <w:pStyle w:val="13"/>
            </w:pPr>
          </w:p>
        </w:tc>
        <w:tc>
          <w:tcPr>
            <w:tcW w:w="4535" w:type="dxa"/>
            <w:vAlign w:val="center"/>
          </w:tcPr>
          <w:p w14:paraId="3E801F3D">
            <w:pPr>
              <w:pStyle w:val="13"/>
            </w:pPr>
          </w:p>
        </w:tc>
        <w:tc>
          <w:tcPr>
            <w:tcW w:w="2551" w:type="dxa"/>
            <w:vAlign w:val="center"/>
          </w:tcPr>
          <w:p w14:paraId="542A17AA">
            <w:pPr>
              <w:pStyle w:val="14"/>
            </w:pPr>
          </w:p>
        </w:tc>
        <w:tc>
          <w:tcPr>
            <w:tcW w:w="2551" w:type="dxa"/>
            <w:vAlign w:val="center"/>
          </w:tcPr>
          <w:p w14:paraId="6F23A44E">
            <w:pPr>
              <w:pStyle w:val="14"/>
            </w:pPr>
          </w:p>
        </w:tc>
        <w:tc>
          <w:tcPr>
            <w:tcW w:w="2551" w:type="dxa"/>
            <w:vAlign w:val="center"/>
          </w:tcPr>
          <w:p w14:paraId="234F7993">
            <w:pPr>
              <w:pStyle w:val="14"/>
            </w:pPr>
          </w:p>
        </w:tc>
      </w:tr>
    </w:tbl>
    <w:p w14:paraId="5F176A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24E61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E0A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E275E6">
            <w:pPr>
              <w:pStyle w:val="8"/>
            </w:pPr>
            <w:r>
              <w:t>360021隆尧县山口校区</w:t>
            </w:r>
          </w:p>
        </w:tc>
        <w:tc>
          <w:tcPr>
            <w:tcW w:w="2551" w:type="dxa"/>
            <w:tcBorders>
              <w:top w:val="single" w:color="FFFFFF" w:sz="6" w:space="0"/>
              <w:left w:val="single" w:color="FFFFFF" w:sz="6" w:space="0"/>
              <w:right w:val="single" w:color="FFFFFF" w:sz="6" w:space="0"/>
            </w:tcBorders>
            <w:vAlign w:val="center"/>
          </w:tcPr>
          <w:p w14:paraId="4F81C54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9D2A00">
            <w:pPr>
              <w:pStyle w:val="10"/>
            </w:pPr>
            <w:r>
              <w:t>单位：万元</w:t>
            </w:r>
          </w:p>
        </w:tc>
      </w:tr>
      <w:tr w14:paraId="32D62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27B931">
            <w:pPr>
              <w:pStyle w:val="11"/>
            </w:pPr>
            <w:r>
              <w:t>序号</w:t>
            </w:r>
          </w:p>
        </w:tc>
        <w:tc>
          <w:tcPr>
            <w:tcW w:w="5726" w:type="dxa"/>
            <w:gridSpan w:val="2"/>
            <w:vAlign w:val="center"/>
          </w:tcPr>
          <w:p w14:paraId="542E40BB">
            <w:pPr>
              <w:pStyle w:val="11"/>
            </w:pPr>
            <w:r>
              <w:t>功能分类科目</w:t>
            </w:r>
          </w:p>
        </w:tc>
        <w:tc>
          <w:tcPr>
            <w:tcW w:w="2551" w:type="dxa"/>
            <w:vMerge w:val="restart"/>
            <w:vAlign w:val="center"/>
          </w:tcPr>
          <w:p w14:paraId="60D0D0CF">
            <w:pPr>
              <w:pStyle w:val="11"/>
            </w:pPr>
            <w:r>
              <w:t>合计</w:t>
            </w:r>
          </w:p>
        </w:tc>
        <w:tc>
          <w:tcPr>
            <w:tcW w:w="2551" w:type="dxa"/>
            <w:vMerge w:val="restart"/>
            <w:vAlign w:val="center"/>
          </w:tcPr>
          <w:p w14:paraId="7A49404F">
            <w:pPr>
              <w:pStyle w:val="11"/>
            </w:pPr>
            <w:r>
              <w:t>基本支出</w:t>
            </w:r>
          </w:p>
        </w:tc>
        <w:tc>
          <w:tcPr>
            <w:tcW w:w="2551" w:type="dxa"/>
            <w:vMerge w:val="restart"/>
            <w:vAlign w:val="center"/>
          </w:tcPr>
          <w:p w14:paraId="5F20D469">
            <w:pPr>
              <w:pStyle w:val="11"/>
            </w:pPr>
            <w:r>
              <w:t>项目支出</w:t>
            </w:r>
          </w:p>
        </w:tc>
      </w:tr>
      <w:tr w14:paraId="6729E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191EE"/>
        </w:tc>
        <w:tc>
          <w:tcPr>
            <w:tcW w:w="1191" w:type="dxa"/>
            <w:vAlign w:val="center"/>
          </w:tcPr>
          <w:p w14:paraId="6436D37F">
            <w:pPr>
              <w:pStyle w:val="11"/>
            </w:pPr>
            <w:r>
              <w:t>科目编码</w:t>
            </w:r>
          </w:p>
        </w:tc>
        <w:tc>
          <w:tcPr>
            <w:tcW w:w="4535" w:type="dxa"/>
            <w:vAlign w:val="center"/>
          </w:tcPr>
          <w:p w14:paraId="5244A023">
            <w:pPr>
              <w:pStyle w:val="11"/>
            </w:pPr>
            <w:r>
              <w:t>科目名称</w:t>
            </w:r>
          </w:p>
        </w:tc>
        <w:tc>
          <w:tcPr>
            <w:tcW w:w="2551" w:type="dxa"/>
            <w:vMerge w:val="continue"/>
          </w:tcPr>
          <w:p w14:paraId="6E8BB81F"/>
        </w:tc>
        <w:tc>
          <w:tcPr>
            <w:tcW w:w="2551" w:type="dxa"/>
            <w:vMerge w:val="continue"/>
          </w:tcPr>
          <w:p w14:paraId="414A167C"/>
        </w:tc>
        <w:tc>
          <w:tcPr>
            <w:tcW w:w="2551" w:type="dxa"/>
            <w:vMerge w:val="continue"/>
          </w:tcPr>
          <w:p w14:paraId="5AF085EA"/>
        </w:tc>
      </w:tr>
      <w:tr w14:paraId="7C8E3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C9CF9B">
            <w:pPr>
              <w:pStyle w:val="11"/>
            </w:pPr>
            <w:r>
              <w:t>栏次</w:t>
            </w:r>
          </w:p>
        </w:tc>
        <w:tc>
          <w:tcPr>
            <w:tcW w:w="1191" w:type="dxa"/>
            <w:vAlign w:val="center"/>
          </w:tcPr>
          <w:p w14:paraId="4E6E0DBA">
            <w:pPr>
              <w:pStyle w:val="11"/>
            </w:pPr>
            <w:r>
              <w:t>1</w:t>
            </w:r>
          </w:p>
        </w:tc>
        <w:tc>
          <w:tcPr>
            <w:tcW w:w="4535" w:type="dxa"/>
            <w:vAlign w:val="center"/>
          </w:tcPr>
          <w:p w14:paraId="19406671">
            <w:pPr>
              <w:pStyle w:val="11"/>
            </w:pPr>
            <w:r>
              <w:t>2</w:t>
            </w:r>
          </w:p>
        </w:tc>
        <w:tc>
          <w:tcPr>
            <w:tcW w:w="2551" w:type="dxa"/>
            <w:vAlign w:val="center"/>
          </w:tcPr>
          <w:p w14:paraId="08F38E3D">
            <w:pPr>
              <w:pStyle w:val="11"/>
            </w:pPr>
            <w:r>
              <w:t>3</w:t>
            </w:r>
          </w:p>
        </w:tc>
        <w:tc>
          <w:tcPr>
            <w:tcW w:w="2551" w:type="dxa"/>
            <w:vAlign w:val="center"/>
          </w:tcPr>
          <w:p w14:paraId="5410C1CC">
            <w:pPr>
              <w:pStyle w:val="11"/>
            </w:pPr>
            <w:r>
              <w:t>4</w:t>
            </w:r>
          </w:p>
        </w:tc>
        <w:tc>
          <w:tcPr>
            <w:tcW w:w="2551" w:type="dxa"/>
            <w:vAlign w:val="center"/>
          </w:tcPr>
          <w:p w14:paraId="526C3848">
            <w:pPr>
              <w:pStyle w:val="11"/>
            </w:pPr>
            <w:r>
              <w:t>5</w:t>
            </w:r>
          </w:p>
        </w:tc>
      </w:tr>
      <w:tr w14:paraId="47519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4375E">
            <w:pPr>
              <w:pStyle w:val="12"/>
            </w:pPr>
          </w:p>
        </w:tc>
        <w:tc>
          <w:tcPr>
            <w:tcW w:w="1191" w:type="dxa"/>
            <w:vAlign w:val="center"/>
          </w:tcPr>
          <w:p w14:paraId="17486ED7">
            <w:pPr>
              <w:pStyle w:val="13"/>
            </w:pPr>
          </w:p>
        </w:tc>
        <w:tc>
          <w:tcPr>
            <w:tcW w:w="4535" w:type="dxa"/>
            <w:vAlign w:val="center"/>
          </w:tcPr>
          <w:p w14:paraId="4340AAA2">
            <w:pPr>
              <w:pStyle w:val="13"/>
            </w:pPr>
          </w:p>
        </w:tc>
        <w:tc>
          <w:tcPr>
            <w:tcW w:w="2551" w:type="dxa"/>
            <w:vAlign w:val="center"/>
          </w:tcPr>
          <w:p w14:paraId="540BECC9">
            <w:pPr>
              <w:pStyle w:val="14"/>
            </w:pPr>
          </w:p>
        </w:tc>
        <w:tc>
          <w:tcPr>
            <w:tcW w:w="2551" w:type="dxa"/>
            <w:vAlign w:val="center"/>
          </w:tcPr>
          <w:p w14:paraId="66635E1E">
            <w:pPr>
              <w:pStyle w:val="14"/>
            </w:pPr>
          </w:p>
        </w:tc>
        <w:tc>
          <w:tcPr>
            <w:tcW w:w="2551" w:type="dxa"/>
            <w:vAlign w:val="center"/>
          </w:tcPr>
          <w:p w14:paraId="51036ED2">
            <w:pPr>
              <w:pStyle w:val="14"/>
            </w:pPr>
          </w:p>
        </w:tc>
      </w:tr>
    </w:tbl>
    <w:p w14:paraId="2D54BC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3689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23A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E2F347C">
            <w:pPr>
              <w:pStyle w:val="8"/>
            </w:pPr>
            <w:r>
              <w:t>360021隆尧县山口校区</w:t>
            </w:r>
          </w:p>
        </w:tc>
        <w:tc>
          <w:tcPr>
            <w:tcW w:w="2381" w:type="dxa"/>
            <w:tcBorders>
              <w:top w:val="single" w:color="FFFFFF" w:sz="6" w:space="0"/>
              <w:left w:val="single" w:color="FFFFFF" w:sz="6" w:space="0"/>
              <w:right w:val="single" w:color="FFFFFF" w:sz="6" w:space="0"/>
            </w:tcBorders>
            <w:vAlign w:val="center"/>
          </w:tcPr>
          <w:p w14:paraId="4E6FB4B4">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14ECC15">
            <w:pPr>
              <w:pStyle w:val="10"/>
            </w:pPr>
            <w:r>
              <w:t>单位：万元</w:t>
            </w:r>
          </w:p>
        </w:tc>
      </w:tr>
      <w:tr w14:paraId="02DE1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73211">
            <w:pPr>
              <w:pStyle w:val="11"/>
            </w:pPr>
            <w:r>
              <w:t>序号</w:t>
            </w:r>
          </w:p>
        </w:tc>
        <w:tc>
          <w:tcPr>
            <w:tcW w:w="3798" w:type="dxa"/>
            <w:vMerge w:val="restart"/>
            <w:vAlign w:val="center"/>
          </w:tcPr>
          <w:p w14:paraId="2219DBE7">
            <w:pPr>
              <w:pStyle w:val="11"/>
            </w:pPr>
            <w:r>
              <w:t>项  目</w:t>
            </w:r>
          </w:p>
        </w:tc>
        <w:tc>
          <w:tcPr>
            <w:tcW w:w="9524" w:type="dxa"/>
            <w:gridSpan w:val="4"/>
            <w:vAlign w:val="center"/>
          </w:tcPr>
          <w:p w14:paraId="3B936D7A">
            <w:pPr>
              <w:pStyle w:val="11"/>
            </w:pPr>
            <w:r>
              <w:t>资 金 性 质</w:t>
            </w:r>
          </w:p>
        </w:tc>
      </w:tr>
      <w:tr w14:paraId="445B6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A1BCEC"/>
        </w:tc>
        <w:tc>
          <w:tcPr>
            <w:tcW w:w="3798" w:type="dxa"/>
            <w:vMerge w:val="continue"/>
          </w:tcPr>
          <w:p w14:paraId="145FEE26"/>
        </w:tc>
        <w:tc>
          <w:tcPr>
            <w:tcW w:w="2381" w:type="dxa"/>
            <w:vAlign w:val="center"/>
          </w:tcPr>
          <w:p w14:paraId="049C09FD">
            <w:pPr>
              <w:pStyle w:val="11"/>
            </w:pPr>
            <w:r>
              <w:t>合计</w:t>
            </w:r>
          </w:p>
        </w:tc>
        <w:tc>
          <w:tcPr>
            <w:tcW w:w="2381" w:type="dxa"/>
            <w:vAlign w:val="center"/>
          </w:tcPr>
          <w:p w14:paraId="3542AC18">
            <w:pPr>
              <w:pStyle w:val="11"/>
            </w:pPr>
            <w:r>
              <w:t>一般公共预算              财政拨款</w:t>
            </w:r>
          </w:p>
        </w:tc>
        <w:tc>
          <w:tcPr>
            <w:tcW w:w="2381" w:type="dxa"/>
            <w:vAlign w:val="center"/>
          </w:tcPr>
          <w:p w14:paraId="0A94B015">
            <w:pPr>
              <w:pStyle w:val="11"/>
            </w:pPr>
            <w:r>
              <w:t>政府性基金                  预算拨款</w:t>
            </w:r>
          </w:p>
        </w:tc>
        <w:tc>
          <w:tcPr>
            <w:tcW w:w="2381" w:type="dxa"/>
            <w:vAlign w:val="center"/>
          </w:tcPr>
          <w:p w14:paraId="6A3F667F">
            <w:pPr>
              <w:pStyle w:val="11"/>
            </w:pPr>
            <w:r>
              <w:t>国有资本经营              预算财政拨款</w:t>
            </w:r>
          </w:p>
        </w:tc>
      </w:tr>
      <w:tr w14:paraId="2D29D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3DD3D7">
            <w:pPr>
              <w:pStyle w:val="11"/>
            </w:pPr>
            <w:r>
              <w:t>栏次</w:t>
            </w:r>
          </w:p>
        </w:tc>
        <w:tc>
          <w:tcPr>
            <w:tcW w:w="3798" w:type="dxa"/>
            <w:vAlign w:val="center"/>
          </w:tcPr>
          <w:p w14:paraId="5250476F">
            <w:pPr>
              <w:pStyle w:val="11"/>
            </w:pPr>
            <w:r>
              <w:t>1</w:t>
            </w:r>
          </w:p>
        </w:tc>
        <w:tc>
          <w:tcPr>
            <w:tcW w:w="2381" w:type="dxa"/>
            <w:vAlign w:val="center"/>
          </w:tcPr>
          <w:p w14:paraId="55A9DF09">
            <w:pPr>
              <w:pStyle w:val="11"/>
            </w:pPr>
            <w:r>
              <w:t>2</w:t>
            </w:r>
          </w:p>
        </w:tc>
        <w:tc>
          <w:tcPr>
            <w:tcW w:w="2381" w:type="dxa"/>
            <w:vAlign w:val="center"/>
          </w:tcPr>
          <w:p w14:paraId="5F662E4A">
            <w:pPr>
              <w:pStyle w:val="11"/>
            </w:pPr>
            <w:r>
              <w:t>3</w:t>
            </w:r>
          </w:p>
        </w:tc>
        <w:tc>
          <w:tcPr>
            <w:tcW w:w="2381" w:type="dxa"/>
            <w:vAlign w:val="center"/>
          </w:tcPr>
          <w:p w14:paraId="42C8F2E5">
            <w:pPr>
              <w:pStyle w:val="11"/>
            </w:pPr>
            <w:r>
              <w:t>4</w:t>
            </w:r>
          </w:p>
        </w:tc>
        <w:tc>
          <w:tcPr>
            <w:tcW w:w="2381" w:type="dxa"/>
            <w:vAlign w:val="center"/>
          </w:tcPr>
          <w:p w14:paraId="76A21784">
            <w:pPr>
              <w:pStyle w:val="11"/>
            </w:pPr>
            <w:r>
              <w:t>5</w:t>
            </w:r>
          </w:p>
        </w:tc>
      </w:tr>
      <w:tr w14:paraId="47F8E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145264">
            <w:pPr>
              <w:pStyle w:val="12"/>
            </w:pPr>
          </w:p>
        </w:tc>
        <w:tc>
          <w:tcPr>
            <w:tcW w:w="3798" w:type="dxa"/>
            <w:vAlign w:val="center"/>
          </w:tcPr>
          <w:p w14:paraId="23AD0672">
            <w:pPr>
              <w:pStyle w:val="13"/>
            </w:pPr>
          </w:p>
        </w:tc>
        <w:tc>
          <w:tcPr>
            <w:tcW w:w="2381" w:type="dxa"/>
            <w:vAlign w:val="center"/>
          </w:tcPr>
          <w:p w14:paraId="3EB0F22C">
            <w:pPr>
              <w:pStyle w:val="14"/>
            </w:pPr>
          </w:p>
        </w:tc>
        <w:tc>
          <w:tcPr>
            <w:tcW w:w="2381" w:type="dxa"/>
            <w:vAlign w:val="center"/>
          </w:tcPr>
          <w:p w14:paraId="4E0EF32B">
            <w:pPr>
              <w:pStyle w:val="14"/>
            </w:pPr>
          </w:p>
        </w:tc>
        <w:tc>
          <w:tcPr>
            <w:tcW w:w="2381" w:type="dxa"/>
            <w:vAlign w:val="center"/>
          </w:tcPr>
          <w:p w14:paraId="7E3E437B">
            <w:pPr>
              <w:pStyle w:val="14"/>
            </w:pPr>
          </w:p>
        </w:tc>
        <w:tc>
          <w:tcPr>
            <w:tcW w:w="2381" w:type="dxa"/>
            <w:vAlign w:val="center"/>
          </w:tcPr>
          <w:p w14:paraId="7E4E85EC">
            <w:pPr>
              <w:pStyle w:val="14"/>
            </w:pPr>
          </w:p>
        </w:tc>
      </w:tr>
    </w:tbl>
    <w:p w14:paraId="3C45D1D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1882FD6">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隆尧县山口校区2025年单位预算信息公开情况说明</w:t>
      </w:r>
    </w:p>
    <w:p w14:paraId="4A43596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按照《中华人民共和国预算法》、《地方预决算公开操作规程》和《关于进一步推进预算公开工作的实施意见》规定，现将隆尧县山口校区2025年单位预算公开如下：</w:t>
      </w:r>
    </w:p>
    <w:p w14:paraId="5CA9C75D">
      <w:pPr>
        <w:spacing w:before="10" w:after="10" w:line="240" w:lineRule="auto"/>
        <w:ind w:firstLine="640"/>
        <w:jc w:val="left"/>
        <w:outlineLvl w:val="5"/>
      </w:pPr>
      <w:r>
        <w:rPr>
          <w:rFonts w:ascii="黑体" w:hAnsi="黑体" w:eastAsia="黑体" w:cs="黑体"/>
          <w:color w:val="000000"/>
          <w:sz w:val="32"/>
        </w:rPr>
        <w:t>一、单位职责及机构设置情况</w:t>
      </w:r>
    </w:p>
    <w:p w14:paraId="15E66B9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E9868BF">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7F68A92E">
      <w:pPr>
        <w:pStyle w:val="18"/>
      </w:pPr>
      <w:r>
        <w:t>隆尧县山口校区事业编制217名．其中，校长1名（正股级），副校长2名（副股级）；经费形式为财政性资金基本保证。</w:t>
      </w:r>
    </w:p>
    <w:p w14:paraId="32D32F8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F75D48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565F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30E6D5">
            <w:pPr>
              <w:pStyle w:val="11"/>
            </w:pPr>
            <w:r>
              <w:t>单位名称</w:t>
            </w:r>
          </w:p>
        </w:tc>
        <w:tc>
          <w:tcPr>
            <w:tcW w:w="1843" w:type="dxa"/>
            <w:vAlign w:val="center"/>
          </w:tcPr>
          <w:p w14:paraId="2455422D">
            <w:pPr>
              <w:pStyle w:val="11"/>
            </w:pPr>
            <w:r>
              <w:t>单位性质</w:t>
            </w:r>
          </w:p>
        </w:tc>
        <w:tc>
          <w:tcPr>
            <w:tcW w:w="2126" w:type="dxa"/>
            <w:vAlign w:val="center"/>
          </w:tcPr>
          <w:p w14:paraId="2BFBD446">
            <w:pPr>
              <w:pStyle w:val="11"/>
            </w:pPr>
            <w:r>
              <w:t>单位规格</w:t>
            </w:r>
          </w:p>
        </w:tc>
        <w:tc>
          <w:tcPr>
            <w:tcW w:w="3827" w:type="dxa"/>
            <w:vAlign w:val="center"/>
          </w:tcPr>
          <w:p w14:paraId="4CE7A9F6">
            <w:pPr>
              <w:pStyle w:val="11"/>
            </w:pPr>
            <w:r>
              <w:t>经费保障形式</w:t>
            </w:r>
          </w:p>
        </w:tc>
      </w:tr>
      <w:tr w14:paraId="006B0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24BDE3F">
            <w:pPr>
              <w:pStyle w:val="13"/>
            </w:pPr>
            <w:r>
              <w:t>隆尧县山口校区</w:t>
            </w:r>
          </w:p>
        </w:tc>
        <w:tc>
          <w:tcPr>
            <w:tcW w:w="1843" w:type="dxa"/>
            <w:vAlign w:val="center"/>
          </w:tcPr>
          <w:p w14:paraId="38783DEE">
            <w:pPr>
              <w:pStyle w:val="12"/>
            </w:pPr>
            <w:r>
              <w:t>事业</w:t>
            </w:r>
          </w:p>
        </w:tc>
        <w:tc>
          <w:tcPr>
            <w:tcW w:w="2126" w:type="dxa"/>
            <w:vAlign w:val="center"/>
          </w:tcPr>
          <w:p w14:paraId="1BBFDD83">
            <w:pPr>
              <w:pStyle w:val="12"/>
            </w:pPr>
            <w:r>
              <w:t>股级</w:t>
            </w:r>
          </w:p>
        </w:tc>
        <w:tc>
          <w:tcPr>
            <w:tcW w:w="3827" w:type="dxa"/>
            <w:vAlign w:val="center"/>
          </w:tcPr>
          <w:p w14:paraId="2EBD386C">
            <w:pPr>
              <w:pStyle w:val="12"/>
            </w:pPr>
            <w:r>
              <w:t>财政性资金基本保证</w:t>
            </w:r>
          </w:p>
        </w:tc>
      </w:tr>
    </w:tbl>
    <w:p w14:paraId="705931D5">
      <w:pPr>
        <w:spacing w:before="10" w:after="10" w:line="240" w:lineRule="auto"/>
        <w:ind w:firstLine="640"/>
        <w:jc w:val="left"/>
        <w:outlineLvl w:val="5"/>
      </w:pPr>
      <w:r>
        <w:rPr>
          <w:rFonts w:ascii="黑体" w:hAnsi="黑体" w:eastAsia="黑体" w:cs="黑体"/>
          <w:color w:val="000000"/>
          <w:sz w:val="32"/>
        </w:rPr>
        <w:t>二、单位预算安排的总体情况</w:t>
      </w:r>
    </w:p>
    <w:p w14:paraId="2E0238E5">
      <w:pPr>
        <w:pStyle w:val="19"/>
      </w:pPr>
      <w:r>
        <w:t>二、单位预算安排的总体情况</w:t>
      </w:r>
    </w:p>
    <w:p w14:paraId="68232810">
      <w:pPr>
        <w:pStyle w:val="19"/>
      </w:pPr>
      <w:r>
        <w:t>按照预算管理有关规定，目前我校区单位预算的编制实行综合预算管理，即全部收入和支出都反映的预算中。隆尧县山口校区的收支包含在单位预算中。</w:t>
      </w:r>
    </w:p>
    <w:p w14:paraId="220FA1C3">
      <w:pPr>
        <w:pStyle w:val="19"/>
      </w:pPr>
      <w:r>
        <w:t>1、收入说明</w:t>
      </w:r>
    </w:p>
    <w:p w14:paraId="5CA2270E">
      <w:pPr>
        <w:pStyle w:val="19"/>
      </w:pPr>
      <w:r>
        <w:t>反映本单位当年全部收入。2025年预算收入3046.44万元，其中：一般公共预算收入3004.40万元，基金预算收入0万元，上年结转收入42.04万元，财政专户收入0万元，其他来源收入0万元。</w:t>
      </w:r>
    </w:p>
    <w:p w14:paraId="2F396161">
      <w:pPr>
        <w:pStyle w:val="19"/>
      </w:pPr>
      <w:r>
        <w:t>2、支出说明</w:t>
      </w:r>
    </w:p>
    <w:p w14:paraId="7468871F">
      <w:pPr>
        <w:pStyle w:val="19"/>
      </w:pPr>
      <w:r>
        <w:t>收支预算总表支出栏、基本支出表、项目支出表按经济分类和支出功能分类科目编制，反映我单位预算中支出预算的总体情况。2025年单位支出预算为3046.44万元，其中基本支出2555.60万元；项目支出490.84万元。</w:t>
      </w:r>
    </w:p>
    <w:p w14:paraId="4FC2D6F6">
      <w:pPr>
        <w:pStyle w:val="19"/>
      </w:pPr>
      <w:r>
        <w:t>3、比上年增减情况</w:t>
      </w:r>
    </w:p>
    <w:p w14:paraId="7CEA37CB">
      <w:pPr>
        <w:pStyle w:val="19"/>
      </w:pPr>
      <w:r>
        <w:t>2025年部门预算收支安排3046.44万元，较2024年预算增加120万元，其中基本支出增加158.6万元，项目支出减少38.6万元.</w:t>
      </w:r>
    </w:p>
    <w:p w14:paraId="1C91CA69">
      <w:pPr>
        <w:spacing w:before="10" w:after="10" w:line="240" w:lineRule="auto"/>
        <w:ind w:firstLine="640"/>
        <w:jc w:val="left"/>
        <w:outlineLvl w:val="5"/>
      </w:pPr>
      <w:r>
        <w:rPr>
          <w:rFonts w:ascii="黑体" w:hAnsi="黑体" w:eastAsia="黑体" w:cs="黑体"/>
          <w:color w:val="000000"/>
          <w:sz w:val="32"/>
        </w:rPr>
        <w:t>三、机关运行经费安排情况</w:t>
      </w:r>
    </w:p>
    <w:p w14:paraId="3CD41D2E">
      <w:pPr>
        <w:pStyle w:val="20"/>
      </w:pPr>
      <w:r>
        <w:t>三、机关运行经费安排情况</w:t>
      </w:r>
    </w:p>
    <w:p w14:paraId="73152D30">
      <w:pPr>
        <w:pStyle w:val="20"/>
      </w:pPr>
      <w:r>
        <w:t>机关运行经费安排情况</w:t>
      </w:r>
    </w:p>
    <w:p w14:paraId="64B69A35">
      <w:pPr>
        <w:pStyle w:val="20"/>
      </w:pPr>
      <w:r>
        <w:t>2025年我单位机关运行经费安排0万元</w:t>
      </w:r>
    </w:p>
    <w:p w14:paraId="0556F93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B723A5D">
      <w:pPr>
        <w:pStyle w:val="21"/>
      </w:pPr>
      <w:r>
        <w:t>四、财政拨款“三公”经费预算情况及增减变化原因</w:t>
      </w:r>
    </w:p>
    <w:p w14:paraId="1D51DC7F">
      <w:pPr>
        <w:pStyle w:val="21"/>
      </w:pPr>
      <w:r>
        <w:t>我单位未安排三公经费。</w:t>
      </w:r>
    </w:p>
    <w:p w14:paraId="7F887C3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6388097">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1、冀财教[2023]154号/中央/义教经费/校舍安全保障/山口校区水饭小学塑胶操场改造绩效目标表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A5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E24A31">
            <w:pPr>
              <w:pStyle w:val="14"/>
            </w:pPr>
            <w:r>
              <w:t>单位：万元</w:t>
            </w:r>
          </w:p>
        </w:tc>
      </w:tr>
      <w:tr w14:paraId="546C3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3EE2DC">
            <w:pPr>
              <w:pStyle w:val="11"/>
            </w:pPr>
            <w:r>
              <w:t>项目编码</w:t>
            </w:r>
          </w:p>
        </w:tc>
        <w:tc>
          <w:tcPr>
            <w:tcW w:w="5103" w:type="dxa"/>
            <w:gridSpan w:val="2"/>
            <w:vAlign w:val="center"/>
          </w:tcPr>
          <w:p w14:paraId="0103B367">
            <w:pPr>
              <w:pStyle w:val="13"/>
            </w:pPr>
            <w:r>
              <w:t>13052524P00000611249J</w:t>
            </w:r>
          </w:p>
        </w:tc>
        <w:tc>
          <w:tcPr>
            <w:tcW w:w="2835" w:type="dxa"/>
            <w:vAlign w:val="center"/>
          </w:tcPr>
          <w:p w14:paraId="07801403">
            <w:pPr>
              <w:pStyle w:val="11"/>
            </w:pPr>
            <w:r>
              <w:t>项目名称</w:t>
            </w:r>
          </w:p>
        </w:tc>
        <w:tc>
          <w:tcPr>
            <w:tcW w:w="6095" w:type="dxa"/>
            <w:gridSpan w:val="3"/>
            <w:vAlign w:val="center"/>
          </w:tcPr>
          <w:p w14:paraId="060152D7">
            <w:pPr>
              <w:pStyle w:val="13"/>
            </w:pPr>
            <w:r>
              <w:t>冀财教[2023]154号/中央/义教经费/校舍安全保障/山口校区水饭小学塑胶操场改造</w:t>
            </w:r>
          </w:p>
        </w:tc>
      </w:tr>
      <w:tr w14:paraId="0EC64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32B75">
            <w:pPr>
              <w:pStyle w:val="11"/>
            </w:pPr>
            <w:r>
              <w:t>预算规模及资金用途</w:t>
            </w:r>
          </w:p>
        </w:tc>
        <w:tc>
          <w:tcPr>
            <w:tcW w:w="2268" w:type="dxa"/>
            <w:vAlign w:val="center"/>
          </w:tcPr>
          <w:p w14:paraId="64CDB639">
            <w:pPr>
              <w:pStyle w:val="11"/>
            </w:pPr>
            <w:r>
              <w:t>预算数</w:t>
            </w:r>
          </w:p>
        </w:tc>
        <w:tc>
          <w:tcPr>
            <w:tcW w:w="2835" w:type="dxa"/>
            <w:vAlign w:val="center"/>
          </w:tcPr>
          <w:p w14:paraId="474B1699">
            <w:pPr>
              <w:pStyle w:val="13"/>
            </w:pPr>
            <w:r>
              <w:t>42.04</w:t>
            </w:r>
          </w:p>
        </w:tc>
        <w:tc>
          <w:tcPr>
            <w:tcW w:w="2835" w:type="dxa"/>
            <w:vAlign w:val="center"/>
          </w:tcPr>
          <w:p w14:paraId="193A6918">
            <w:pPr>
              <w:pStyle w:val="11"/>
            </w:pPr>
            <w:r>
              <w:t>其中：财政    资金</w:t>
            </w:r>
          </w:p>
        </w:tc>
        <w:tc>
          <w:tcPr>
            <w:tcW w:w="2551" w:type="dxa"/>
            <w:vAlign w:val="center"/>
          </w:tcPr>
          <w:p w14:paraId="46D37743">
            <w:pPr>
              <w:pStyle w:val="13"/>
            </w:pPr>
            <w:r>
              <w:t>42.04</w:t>
            </w:r>
          </w:p>
        </w:tc>
        <w:tc>
          <w:tcPr>
            <w:tcW w:w="2268" w:type="dxa"/>
            <w:vAlign w:val="center"/>
          </w:tcPr>
          <w:p w14:paraId="38B34B1F">
            <w:pPr>
              <w:pStyle w:val="11"/>
            </w:pPr>
            <w:r>
              <w:t>其他资金</w:t>
            </w:r>
          </w:p>
        </w:tc>
        <w:tc>
          <w:tcPr>
            <w:tcW w:w="1276" w:type="dxa"/>
            <w:vAlign w:val="center"/>
          </w:tcPr>
          <w:p w14:paraId="2409692A">
            <w:pPr>
              <w:pStyle w:val="13"/>
            </w:pPr>
            <w:r>
              <w:t xml:space="preserve"> </w:t>
            </w:r>
          </w:p>
        </w:tc>
      </w:tr>
      <w:tr w14:paraId="62458E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0A9A9"/>
        </w:tc>
        <w:tc>
          <w:tcPr>
            <w:tcW w:w="14033" w:type="dxa"/>
            <w:gridSpan w:val="6"/>
            <w:vAlign w:val="center"/>
          </w:tcPr>
          <w:p w14:paraId="0A59BA7A">
            <w:pPr>
              <w:pStyle w:val="13"/>
            </w:pPr>
            <w:r>
              <w:t>用于改善义务教育办学条件，进一步提升教育教学办学质量</w:t>
            </w:r>
            <w:r>
              <w:tab/>
            </w:r>
          </w:p>
        </w:tc>
      </w:tr>
      <w:tr w14:paraId="74ED2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F1A77">
            <w:pPr>
              <w:pStyle w:val="11"/>
            </w:pPr>
            <w:r>
              <w:t>资金支出计划（%）</w:t>
            </w:r>
          </w:p>
        </w:tc>
        <w:tc>
          <w:tcPr>
            <w:tcW w:w="5103" w:type="dxa"/>
            <w:gridSpan w:val="2"/>
            <w:vAlign w:val="center"/>
          </w:tcPr>
          <w:p w14:paraId="4B397908">
            <w:pPr>
              <w:pStyle w:val="11"/>
            </w:pPr>
            <w:r>
              <w:t>3月底</w:t>
            </w:r>
          </w:p>
        </w:tc>
        <w:tc>
          <w:tcPr>
            <w:tcW w:w="2835" w:type="dxa"/>
            <w:vAlign w:val="center"/>
          </w:tcPr>
          <w:p w14:paraId="6899E53E">
            <w:pPr>
              <w:pStyle w:val="11"/>
            </w:pPr>
            <w:r>
              <w:t>6月底</w:t>
            </w:r>
          </w:p>
        </w:tc>
        <w:tc>
          <w:tcPr>
            <w:tcW w:w="2551" w:type="dxa"/>
            <w:vAlign w:val="center"/>
          </w:tcPr>
          <w:p w14:paraId="53DA6CBF">
            <w:pPr>
              <w:pStyle w:val="11"/>
            </w:pPr>
            <w:r>
              <w:t>10月底</w:t>
            </w:r>
          </w:p>
        </w:tc>
        <w:tc>
          <w:tcPr>
            <w:tcW w:w="3544" w:type="dxa"/>
            <w:gridSpan w:val="2"/>
            <w:vAlign w:val="center"/>
          </w:tcPr>
          <w:p w14:paraId="6903C78B">
            <w:pPr>
              <w:pStyle w:val="11"/>
            </w:pPr>
            <w:r>
              <w:t>12月底</w:t>
            </w:r>
          </w:p>
        </w:tc>
      </w:tr>
      <w:tr w14:paraId="0574B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47525B"/>
        </w:tc>
        <w:tc>
          <w:tcPr>
            <w:tcW w:w="5103" w:type="dxa"/>
            <w:gridSpan w:val="2"/>
            <w:vAlign w:val="center"/>
          </w:tcPr>
          <w:p w14:paraId="63A2A90B">
            <w:pPr>
              <w:pStyle w:val="12"/>
            </w:pPr>
            <w:r>
              <w:t xml:space="preserve"> </w:t>
            </w:r>
          </w:p>
        </w:tc>
        <w:tc>
          <w:tcPr>
            <w:tcW w:w="2835" w:type="dxa"/>
            <w:vAlign w:val="center"/>
          </w:tcPr>
          <w:p w14:paraId="7CDCCFB6">
            <w:pPr>
              <w:pStyle w:val="12"/>
            </w:pPr>
            <w:r>
              <w:t xml:space="preserve"> </w:t>
            </w:r>
          </w:p>
        </w:tc>
        <w:tc>
          <w:tcPr>
            <w:tcW w:w="2551" w:type="dxa"/>
            <w:vAlign w:val="center"/>
          </w:tcPr>
          <w:p w14:paraId="01CE2125">
            <w:pPr>
              <w:pStyle w:val="12"/>
            </w:pPr>
            <w:r>
              <w:t>50%</w:t>
            </w:r>
          </w:p>
        </w:tc>
        <w:tc>
          <w:tcPr>
            <w:tcW w:w="3544" w:type="dxa"/>
            <w:gridSpan w:val="2"/>
            <w:vAlign w:val="center"/>
          </w:tcPr>
          <w:p w14:paraId="0C8A5CB5">
            <w:pPr>
              <w:pStyle w:val="12"/>
            </w:pPr>
            <w:r>
              <w:t>100%</w:t>
            </w:r>
          </w:p>
        </w:tc>
      </w:tr>
      <w:tr w14:paraId="4736D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6430C6">
            <w:pPr>
              <w:pStyle w:val="11"/>
            </w:pPr>
            <w:r>
              <w:t>绩效目标</w:t>
            </w:r>
          </w:p>
        </w:tc>
        <w:tc>
          <w:tcPr>
            <w:tcW w:w="14033" w:type="dxa"/>
            <w:gridSpan w:val="6"/>
            <w:vAlign w:val="center"/>
          </w:tcPr>
          <w:p w14:paraId="6AB90404">
            <w:pPr>
              <w:pStyle w:val="13"/>
            </w:pPr>
            <w:r>
              <w:t>1.改善义务教育办学条件，进一步提升教育教学办学质量</w:t>
            </w:r>
            <w:r>
              <w:tab/>
            </w:r>
          </w:p>
          <w:p w14:paraId="15E274AA">
            <w:pPr>
              <w:pStyle w:val="13"/>
            </w:pPr>
            <w:r>
              <w:t>2.水饭小学塑胶操场项目资金420390.26元，资金拨付率达100%</w:t>
            </w:r>
          </w:p>
        </w:tc>
      </w:tr>
    </w:tbl>
    <w:p w14:paraId="4AF41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E3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5C92F">
            <w:pPr>
              <w:pStyle w:val="11"/>
            </w:pPr>
            <w:r>
              <w:t>一级指标</w:t>
            </w:r>
          </w:p>
        </w:tc>
        <w:tc>
          <w:tcPr>
            <w:tcW w:w="2268" w:type="dxa"/>
            <w:vAlign w:val="center"/>
          </w:tcPr>
          <w:p w14:paraId="07DCA7B9">
            <w:pPr>
              <w:pStyle w:val="11"/>
            </w:pPr>
            <w:r>
              <w:t>二级指标</w:t>
            </w:r>
          </w:p>
        </w:tc>
        <w:tc>
          <w:tcPr>
            <w:tcW w:w="2835" w:type="dxa"/>
            <w:vAlign w:val="center"/>
          </w:tcPr>
          <w:p w14:paraId="1AD3F38A">
            <w:pPr>
              <w:pStyle w:val="11"/>
            </w:pPr>
            <w:r>
              <w:t>三级指标</w:t>
            </w:r>
          </w:p>
        </w:tc>
        <w:tc>
          <w:tcPr>
            <w:tcW w:w="5386" w:type="dxa"/>
            <w:vAlign w:val="center"/>
          </w:tcPr>
          <w:p w14:paraId="3497CDDC">
            <w:pPr>
              <w:pStyle w:val="11"/>
            </w:pPr>
            <w:r>
              <w:t>绩效指标描述</w:t>
            </w:r>
          </w:p>
        </w:tc>
        <w:tc>
          <w:tcPr>
            <w:tcW w:w="2268" w:type="dxa"/>
            <w:vAlign w:val="center"/>
          </w:tcPr>
          <w:p w14:paraId="48ACE62A">
            <w:pPr>
              <w:pStyle w:val="11"/>
            </w:pPr>
            <w:r>
              <w:t>指标值</w:t>
            </w:r>
          </w:p>
        </w:tc>
        <w:tc>
          <w:tcPr>
            <w:tcW w:w="1276" w:type="dxa"/>
            <w:vAlign w:val="center"/>
          </w:tcPr>
          <w:p w14:paraId="2CE0528F">
            <w:pPr>
              <w:pStyle w:val="11"/>
            </w:pPr>
            <w:r>
              <w:t>指标值确定依据</w:t>
            </w:r>
          </w:p>
        </w:tc>
      </w:tr>
      <w:tr w14:paraId="0BD38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D89CD">
            <w:pPr>
              <w:pStyle w:val="12"/>
            </w:pPr>
            <w:r>
              <w:t>产出指标</w:t>
            </w:r>
          </w:p>
        </w:tc>
        <w:tc>
          <w:tcPr>
            <w:tcW w:w="2268" w:type="dxa"/>
            <w:vAlign w:val="center"/>
          </w:tcPr>
          <w:p w14:paraId="7EC6DF2A">
            <w:pPr>
              <w:pStyle w:val="13"/>
            </w:pPr>
            <w:r>
              <w:t>数量指标</w:t>
            </w:r>
          </w:p>
        </w:tc>
        <w:tc>
          <w:tcPr>
            <w:tcW w:w="2835" w:type="dxa"/>
            <w:vAlign w:val="center"/>
          </w:tcPr>
          <w:p w14:paraId="67E14D17">
            <w:pPr>
              <w:pStyle w:val="13"/>
            </w:pPr>
            <w:r>
              <w:t>塑胶操场改造</w:t>
            </w:r>
          </w:p>
        </w:tc>
        <w:tc>
          <w:tcPr>
            <w:tcW w:w="5386" w:type="dxa"/>
            <w:vAlign w:val="center"/>
          </w:tcPr>
          <w:p w14:paraId="72DBA55A">
            <w:pPr>
              <w:pStyle w:val="13"/>
            </w:pPr>
            <w:r>
              <w:t>对学校操场进行铺设塑胶跑道面积</w:t>
            </w:r>
          </w:p>
        </w:tc>
        <w:tc>
          <w:tcPr>
            <w:tcW w:w="2268" w:type="dxa"/>
            <w:vAlign w:val="center"/>
          </w:tcPr>
          <w:p w14:paraId="41B24A7E">
            <w:pPr>
              <w:pStyle w:val="13"/>
            </w:pPr>
            <w:r>
              <w:t>9100平方米</w:t>
            </w:r>
          </w:p>
        </w:tc>
        <w:tc>
          <w:tcPr>
            <w:tcW w:w="1276" w:type="dxa"/>
            <w:vAlign w:val="center"/>
          </w:tcPr>
          <w:p w14:paraId="5C02F903">
            <w:pPr>
              <w:pStyle w:val="13"/>
            </w:pPr>
            <w:r>
              <w:t>项目规划</w:t>
            </w:r>
          </w:p>
        </w:tc>
      </w:tr>
      <w:tr w14:paraId="366D9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013C4"/>
        </w:tc>
        <w:tc>
          <w:tcPr>
            <w:tcW w:w="2268" w:type="dxa"/>
            <w:vAlign w:val="center"/>
          </w:tcPr>
          <w:p w14:paraId="245740AC">
            <w:pPr>
              <w:pStyle w:val="13"/>
            </w:pPr>
            <w:r>
              <w:t>质量指标</w:t>
            </w:r>
          </w:p>
        </w:tc>
        <w:tc>
          <w:tcPr>
            <w:tcW w:w="2835" w:type="dxa"/>
            <w:vAlign w:val="center"/>
          </w:tcPr>
          <w:p w14:paraId="6B7DA18B">
            <w:pPr>
              <w:pStyle w:val="13"/>
            </w:pPr>
            <w:r>
              <w:t>工程实施验收合格率</w:t>
            </w:r>
          </w:p>
        </w:tc>
        <w:tc>
          <w:tcPr>
            <w:tcW w:w="5386" w:type="dxa"/>
            <w:vAlign w:val="center"/>
          </w:tcPr>
          <w:p w14:paraId="100235C7">
            <w:pPr>
              <w:pStyle w:val="13"/>
            </w:pPr>
            <w:r>
              <w:t>申报程序的合规，项目实施及资金使用符合项目规划</w:t>
            </w:r>
          </w:p>
        </w:tc>
        <w:tc>
          <w:tcPr>
            <w:tcW w:w="2268" w:type="dxa"/>
            <w:vAlign w:val="center"/>
          </w:tcPr>
          <w:p w14:paraId="67E56169">
            <w:pPr>
              <w:pStyle w:val="13"/>
            </w:pPr>
            <w:r>
              <w:t>100%</w:t>
            </w:r>
          </w:p>
        </w:tc>
        <w:tc>
          <w:tcPr>
            <w:tcW w:w="1276" w:type="dxa"/>
            <w:vAlign w:val="center"/>
          </w:tcPr>
          <w:p w14:paraId="01D9856C">
            <w:pPr>
              <w:pStyle w:val="13"/>
            </w:pPr>
            <w:r>
              <w:t>项目规划</w:t>
            </w:r>
          </w:p>
        </w:tc>
      </w:tr>
      <w:tr w14:paraId="263BF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5A8A8"/>
        </w:tc>
        <w:tc>
          <w:tcPr>
            <w:tcW w:w="2268" w:type="dxa"/>
            <w:vAlign w:val="center"/>
          </w:tcPr>
          <w:p w14:paraId="10F6C5DA">
            <w:pPr>
              <w:pStyle w:val="13"/>
            </w:pPr>
            <w:r>
              <w:t>时效指标</w:t>
            </w:r>
          </w:p>
        </w:tc>
        <w:tc>
          <w:tcPr>
            <w:tcW w:w="2835" w:type="dxa"/>
            <w:vAlign w:val="center"/>
          </w:tcPr>
          <w:p w14:paraId="51CA3464">
            <w:pPr>
              <w:pStyle w:val="13"/>
            </w:pPr>
            <w:r>
              <w:t>资金支付率</w:t>
            </w:r>
          </w:p>
        </w:tc>
        <w:tc>
          <w:tcPr>
            <w:tcW w:w="5386" w:type="dxa"/>
            <w:vAlign w:val="center"/>
          </w:tcPr>
          <w:p w14:paraId="32F8AF5C">
            <w:pPr>
              <w:pStyle w:val="13"/>
            </w:pPr>
            <w:r>
              <w:t>按照序时进度完成资金支付</w:t>
            </w:r>
          </w:p>
        </w:tc>
        <w:tc>
          <w:tcPr>
            <w:tcW w:w="2268" w:type="dxa"/>
            <w:vAlign w:val="center"/>
          </w:tcPr>
          <w:p w14:paraId="28A0C22A">
            <w:pPr>
              <w:pStyle w:val="13"/>
            </w:pPr>
            <w:r>
              <w:t>100%</w:t>
            </w:r>
          </w:p>
        </w:tc>
        <w:tc>
          <w:tcPr>
            <w:tcW w:w="1276" w:type="dxa"/>
            <w:vAlign w:val="center"/>
          </w:tcPr>
          <w:p w14:paraId="0968CEC1">
            <w:pPr>
              <w:pStyle w:val="13"/>
            </w:pPr>
            <w:r>
              <w:t>项目规划</w:t>
            </w:r>
          </w:p>
        </w:tc>
      </w:tr>
      <w:tr w14:paraId="30875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B06E0"/>
        </w:tc>
        <w:tc>
          <w:tcPr>
            <w:tcW w:w="2268" w:type="dxa"/>
            <w:vAlign w:val="center"/>
          </w:tcPr>
          <w:p w14:paraId="5EBE5D04">
            <w:pPr>
              <w:pStyle w:val="13"/>
            </w:pPr>
            <w:r>
              <w:t>成本指标</w:t>
            </w:r>
          </w:p>
        </w:tc>
        <w:tc>
          <w:tcPr>
            <w:tcW w:w="2835" w:type="dxa"/>
            <w:vAlign w:val="center"/>
          </w:tcPr>
          <w:p w14:paraId="234D6243">
            <w:pPr>
              <w:pStyle w:val="13"/>
            </w:pPr>
            <w:r>
              <w:t>项目成本控制情况</w:t>
            </w:r>
          </w:p>
        </w:tc>
        <w:tc>
          <w:tcPr>
            <w:tcW w:w="5386" w:type="dxa"/>
            <w:vAlign w:val="center"/>
          </w:tcPr>
          <w:p w14:paraId="096213A3">
            <w:pPr>
              <w:pStyle w:val="13"/>
            </w:pPr>
            <w:r>
              <w:t>严格按照招标价格及审计额进行</w:t>
            </w:r>
          </w:p>
        </w:tc>
        <w:tc>
          <w:tcPr>
            <w:tcW w:w="2268" w:type="dxa"/>
            <w:vAlign w:val="center"/>
          </w:tcPr>
          <w:p w14:paraId="34F8CAB2">
            <w:pPr>
              <w:pStyle w:val="13"/>
            </w:pPr>
            <w:r>
              <w:t>420390.26元</w:t>
            </w:r>
          </w:p>
        </w:tc>
        <w:tc>
          <w:tcPr>
            <w:tcW w:w="1276" w:type="dxa"/>
            <w:vAlign w:val="center"/>
          </w:tcPr>
          <w:p w14:paraId="1EE60410">
            <w:pPr>
              <w:pStyle w:val="13"/>
            </w:pPr>
            <w:r>
              <w:t>项目规划</w:t>
            </w:r>
          </w:p>
        </w:tc>
      </w:tr>
      <w:tr w14:paraId="63ECA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1516E3">
            <w:pPr>
              <w:pStyle w:val="12"/>
            </w:pPr>
            <w:r>
              <w:t>效益指标</w:t>
            </w:r>
          </w:p>
        </w:tc>
        <w:tc>
          <w:tcPr>
            <w:tcW w:w="2268" w:type="dxa"/>
            <w:vAlign w:val="center"/>
          </w:tcPr>
          <w:p w14:paraId="6262353A">
            <w:pPr>
              <w:pStyle w:val="13"/>
            </w:pPr>
            <w:r>
              <w:t>可持续影响指标</w:t>
            </w:r>
          </w:p>
        </w:tc>
        <w:tc>
          <w:tcPr>
            <w:tcW w:w="2835" w:type="dxa"/>
            <w:vAlign w:val="center"/>
          </w:tcPr>
          <w:p w14:paraId="37B142CA">
            <w:pPr>
              <w:pStyle w:val="13"/>
            </w:pPr>
            <w:r>
              <w:t>教育发展水平</w:t>
            </w:r>
          </w:p>
        </w:tc>
        <w:tc>
          <w:tcPr>
            <w:tcW w:w="5386" w:type="dxa"/>
            <w:vAlign w:val="center"/>
          </w:tcPr>
          <w:p w14:paraId="58C69CB6">
            <w:pPr>
              <w:pStyle w:val="13"/>
            </w:pPr>
            <w:r>
              <w:t>辖区内教育环境明显好转</w:t>
            </w:r>
          </w:p>
        </w:tc>
        <w:tc>
          <w:tcPr>
            <w:tcW w:w="2268" w:type="dxa"/>
            <w:vAlign w:val="center"/>
          </w:tcPr>
          <w:p w14:paraId="25D21C51">
            <w:pPr>
              <w:pStyle w:val="13"/>
            </w:pPr>
            <w:r>
              <w:t>≥95%</w:t>
            </w:r>
          </w:p>
        </w:tc>
        <w:tc>
          <w:tcPr>
            <w:tcW w:w="1276" w:type="dxa"/>
            <w:vAlign w:val="center"/>
          </w:tcPr>
          <w:p w14:paraId="2691DD2C">
            <w:pPr>
              <w:pStyle w:val="13"/>
            </w:pPr>
            <w:r>
              <w:t>项目规划</w:t>
            </w:r>
          </w:p>
        </w:tc>
      </w:tr>
      <w:tr w14:paraId="3915C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30DDFD">
            <w:pPr>
              <w:pStyle w:val="12"/>
            </w:pPr>
            <w:r>
              <w:t>满意度指标</w:t>
            </w:r>
          </w:p>
        </w:tc>
        <w:tc>
          <w:tcPr>
            <w:tcW w:w="2268" w:type="dxa"/>
            <w:vAlign w:val="center"/>
          </w:tcPr>
          <w:p w14:paraId="5BBA9A7C">
            <w:pPr>
              <w:pStyle w:val="13"/>
            </w:pPr>
            <w:r>
              <w:t>服务对象满意度指标</w:t>
            </w:r>
          </w:p>
        </w:tc>
        <w:tc>
          <w:tcPr>
            <w:tcW w:w="2835" w:type="dxa"/>
            <w:vAlign w:val="center"/>
          </w:tcPr>
          <w:p w14:paraId="53875283">
            <w:pPr>
              <w:pStyle w:val="13"/>
            </w:pPr>
            <w:r>
              <w:t>学生、教师及家长对学校教学环境满意度情况</w:t>
            </w:r>
          </w:p>
        </w:tc>
        <w:tc>
          <w:tcPr>
            <w:tcW w:w="5386" w:type="dxa"/>
            <w:vAlign w:val="center"/>
          </w:tcPr>
          <w:p w14:paraId="3FD23BEF">
            <w:pPr>
              <w:pStyle w:val="13"/>
            </w:pPr>
            <w:r>
              <w:t>学生、教师及家长对学校教学环境满意度情况</w:t>
            </w:r>
          </w:p>
        </w:tc>
        <w:tc>
          <w:tcPr>
            <w:tcW w:w="2268" w:type="dxa"/>
            <w:vAlign w:val="center"/>
          </w:tcPr>
          <w:p w14:paraId="67B55FC6">
            <w:pPr>
              <w:pStyle w:val="13"/>
            </w:pPr>
            <w:r>
              <w:t>≥95%</w:t>
            </w:r>
          </w:p>
        </w:tc>
        <w:tc>
          <w:tcPr>
            <w:tcW w:w="1276" w:type="dxa"/>
            <w:vAlign w:val="center"/>
          </w:tcPr>
          <w:p w14:paraId="7D0BD34E">
            <w:pPr>
              <w:pStyle w:val="13"/>
            </w:pPr>
            <w:r>
              <w:t>调查问卷</w:t>
            </w:r>
          </w:p>
        </w:tc>
      </w:tr>
    </w:tbl>
    <w:p w14:paraId="2C6473A9">
      <w:pPr>
        <w:sectPr>
          <w:pgSz w:w="16840" w:h="11900" w:orient="landscape"/>
          <w:pgMar w:top="1361" w:right="1020" w:bottom="1134" w:left="1020" w:header="720" w:footer="720" w:gutter="0"/>
          <w:cols w:space="720" w:num="1"/>
        </w:sectPr>
      </w:pPr>
    </w:p>
    <w:p w14:paraId="642E92DE">
      <w:pPr>
        <w:spacing w:before="0" w:after="0"/>
        <w:ind w:firstLine="560"/>
        <w:jc w:val="left"/>
        <w:outlineLvl w:val="9"/>
      </w:pPr>
      <w:r>
        <w:rPr>
          <w:rFonts w:ascii="方正仿宋_GBK" w:hAnsi="方正仿宋_GBK" w:eastAsia="方正仿宋_GBK" w:cs="方正仿宋_GBK"/>
          <w:b/>
          <w:color w:val="000000"/>
          <w:sz w:val="28"/>
        </w:rPr>
        <w:t>2、冀财教[2024]121号/中央/2025年学前发展资金/山口校区学前教育幼儿资助绩效目标表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5F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50A50">
            <w:pPr>
              <w:pStyle w:val="14"/>
            </w:pPr>
            <w:r>
              <w:t>单位：万元</w:t>
            </w:r>
          </w:p>
        </w:tc>
      </w:tr>
      <w:tr w14:paraId="28E0D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198A3E">
            <w:pPr>
              <w:pStyle w:val="11"/>
            </w:pPr>
            <w:r>
              <w:t>项目编码</w:t>
            </w:r>
          </w:p>
        </w:tc>
        <w:tc>
          <w:tcPr>
            <w:tcW w:w="5103" w:type="dxa"/>
            <w:gridSpan w:val="2"/>
            <w:vAlign w:val="center"/>
          </w:tcPr>
          <w:p w14:paraId="01E21DD1">
            <w:pPr>
              <w:pStyle w:val="13"/>
            </w:pPr>
            <w:r>
              <w:t>13052525P000002100552</w:t>
            </w:r>
          </w:p>
        </w:tc>
        <w:tc>
          <w:tcPr>
            <w:tcW w:w="2835" w:type="dxa"/>
            <w:vAlign w:val="center"/>
          </w:tcPr>
          <w:p w14:paraId="0CEA9DC9">
            <w:pPr>
              <w:pStyle w:val="11"/>
            </w:pPr>
            <w:r>
              <w:t>项目名称</w:t>
            </w:r>
          </w:p>
        </w:tc>
        <w:tc>
          <w:tcPr>
            <w:tcW w:w="6095" w:type="dxa"/>
            <w:gridSpan w:val="3"/>
            <w:vAlign w:val="center"/>
          </w:tcPr>
          <w:p w14:paraId="29F2958F">
            <w:pPr>
              <w:pStyle w:val="13"/>
            </w:pPr>
            <w:r>
              <w:t>冀财教[2024]121号/中央/2025年学前发展资金/山口校区学前教育幼儿资助</w:t>
            </w:r>
          </w:p>
        </w:tc>
      </w:tr>
      <w:tr w14:paraId="5FB27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1386F">
            <w:pPr>
              <w:pStyle w:val="11"/>
            </w:pPr>
            <w:r>
              <w:t>预算规模及资金用途</w:t>
            </w:r>
          </w:p>
        </w:tc>
        <w:tc>
          <w:tcPr>
            <w:tcW w:w="2268" w:type="dxa"/>
            <w:vAlign w:val="center"/>
          </w:tcPr>
          <w:p w14:paraId="509A516D">
            <w:pPr>
              <w:pStyle w:val="11"/>
            </w:pPr>
            <w:r>
              <w:t>预算数</w:t>
            </w:r>
          </w:p>
        </w:tc>
        <w:tc>
          <w:tcPr>
            <w:tcW w:w="2835" w:type="dxa"/>
            <w:vAlign w:val="center"/>
          </w:tcPr>
          <w:p w14:paraId="37433814">
            <w:pPr>
              <w:pStyle w:val="13"/>
            </w:pPr>
            <w:r>
              <w:t>2.40</w:t>
            </w:r>
          </w:p>
        </w:tc>
        <w:tc>
          <w:tcPr>
            <w:tcW w:w="2835" w:type="dxa"/>
            <w:vAlign w:val="center"/>
          </w:tcPr>
          <w:p w14:paraId="03C3F531">
            <w:pPr>
              <w:pStyle w:val="11"/>
            </w:pPr>
            <w:r>
              <w:t>其中：财政    资金</w:t>
            </w:r>
          </w:p>
        </w:tc>
        <w:tc>
          <w:tcPr>
            <w:tcW w:w="2551" w:type="dxa"/>
            <w:vAlign w:val="center"/>
          </w:tcPr>
          <w:p w14:paraId="6294B1C2">
            <w:pPr>
              <w:pStyle w:val="13"/>
            </w:pPr>
            <w:r>
              <w:t>2.40</w:t>
            </w:r>
          </w:p>
        </w:tc>
        <w:tc>
          <w:tcPr>
            <w:tcW w:w="2268" w:type="dxa"/>
            <w:vAlign w:val="center"/>
          </w:tcPr>
          <w:p w14:paraId="37CE05BD">
            <w:pPr>
              <w:pStyle w:val="11"/>
            </w:pPr>
            <w:r>
              <w:t>其他资金</w:t>
            </w:r>
          </w:p>
        </w:tc>
        <w:tc>
          <w:tcPr>
            <w:tcW w:w="1276" w:type="dxa"/>
            <w:vAlign w:val="center"/>
          </w:tcPr>
          <w:p w14:paraId="70DA1794">
            <w:pPr>
              <w:pStyle w:val="13"/>
            </w:pPr>
            <w:r>
              <w:t xml:space="preserve"> </w:t>
            </w:r>
          </w:p>
        </w:tc>
      </w:tr>
      <w:tr w14:paraId="2C498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CAAF63"/>
        </w:tc>
        <w:tc>
          <w:tcPr>
            <w:tcW w:w="14033" w:type="dxa"/>
            <w:gridSpan w:val="6"/>
            <w:vAlign w:val="center"/>
          </w:tcPr>
          <w:p w14:paraId="5178D15F">
            <w:pPr>
              <w:pStyle w:val="13"/>
            </w:pPr>
            <w:r>
              <w:t>用于保障落实建档立卡及家庭经济困难儿童资助所需资金，确保建档立卡等家庭经济困难幼儿优先获得资助</w:t>
            </w:r>
            <w:r>
              <w:tab/>
            </w:r>
          </w:p>
        </w:tc>
      </w:tr>
      <w:tr w14:paraId="39DD7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09AB5">
            <w:pPr>
              <w:pStyle w:val="11"/>
            </w:pPr>
            <w:r>
              <w:t>资金支出计划（%）</w:t>
            </w:r>
          </w:p>
        </w:tc>
        <w:tc>
          <w:tcPr>
            <w:tcW w:w="5103" w:type="dxa"/>
            <w:gridSpan w:val="2"/>
            <w:vAlign w:val="center"/>
          </w:tcPr>
          <w:p w14:paraId="4581AE3D">
            <w:pPr>
              <w:pStyle w:val="11"/>
            </w:pPr>
            <w:r>
              <w:t>3月底</w:t>
            </w:r>
          </w:p>
        </w:tc>
        <w:tc>
          <w:tcPr>
            <w:tcW w:w="2835" w:type="dxa"/>
            <w:vAlign w:val="center"/>
          </w:tcPr>
          <w:p w14:paraId="110D3641">
            <w:pPr>
              <w:pStyle w:val="11"/>
            </w:pPr>
            <w:r>
              <w:t>6月底</w:t>
            </w:r>
          </w:p>
        </w:tc>
        <w:tc>
          <w:tcPr>
            <w:tcW w:w="2551" w:type="dxa"/>
            <w:vAlign w:val="center"/>
          </w:tcPr>
          <w:p w14:paraId="51268FDE">
            <w:pPr>
              <w:pStyle w:val="11"/>
            </w:pPr>
            <w:r>
              <w:t>10月底</w:t>
            </w:r>
          </w:p>
        </w:tc>
        <w:tc>
          <w:tcPr>
            <w:tcW w:w="3544" w:type="dxa"/>
            <w:gridSpan w:val="2"/>
            <w:vAlign w:val="center"/>
          </w:tcPr>
          <w:p w14:paraId="4FB3B87F">
            <w:pPr>
              <w:pStyle w:val="11"/>
            </w:pPr>
            <w:r>
              <w:t>12月底</w:t>
            </w:r>
          </w:p>
        </w:tc>
      </w:tr>
      <w:tr w14:paraId="46540B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4BD523"/>
        </w:tc>
        <w:tc>
          <w:tcPr>
            <w:tcW w:w="5103" w:type="dxa"/>
            <w:gridSpan w:val="2"/>
            <w:vAlign w:val="center"/>
          </w:tcPr>
          <w:p w14:paraId="298238F7">
            <w:pPr>
              <w:pStyle w:val="12"/>
            </w:pPr>
            <w:r>
              <w:t xml:space="preserve"> </w:t>
            </w:r>
          </w:p>
        </w:tc>
        <w:tc>
          <w:tcPr>
            <w:tcW w:w="2835" w:type="dxa"/>
            <w:vAlign w:val="center"/>
          </w:tcPr>
          <w:p w14:paraId="3FC7C0E6">
            <w:pPr>
              <w:pStyle w:val="12"/>
            </w:pPr>
            <w:r>
              <w:t>50%</w:t>
            </w:r>
          </w:p>
        </w:tc>
        <w:tc>
          <w:tcPr>
            <w:tcW w:w="2551" w:type="dxa"/>
            <w:vAlign w:val="center"/>
          </w:tcPr>
          <w:p w14:paraId="4F32452C">
            <w:pPr>
              <w:pStyle w:val="12"/>
            </w:pPr>
            <w:r>
              <w:t>50%</w:t>
            </w:r>
          </w:p>
        </w:tc>
        <w:tc>
          <w:tcPr>
            <w:tcW w:w="3544" w:type="dxa"/>
            <w:gridSpan w:val="2"/>
            <w:vAlign w:val="center"/>
          </w:tcPr>
          <w:p w14:paraId="65CBA880">
            <w:pPr>
              <w:pStyle w:val="12"/>
            </w:pPr>
            <w:r>
              <w:t>100%</w:t>
            </w:r>
          </w:p>
        </w:tc>
      </w:tr>
      <w:tr w14:paraId="4B824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73459A">
            <w:pPr>
              <w:pStyle w:val="11"/>
            </w:pPr>
            <w:r>
              <w:t>绩效目标</w:t>
            </w:r>
          </w:p>
        </w:tc>
        <w:tc>
          <w:tcPr>
            <w:tcW w:w="14033" w:type="dxa"/>
            <w:gridSpan w:val="6"/>
            <w:vAlign w:val="center"/>
          </w:tcPr>
          <w:p w14:paraId="0F8CC13A">
            <w:pPr>
              <w:pStyle w:val="13"/>
            </w:pPr>
            <w:r>
              <w:t>1.保障落实建档立卡及家庭经济困难儿童资助所需资金，确保建档立卡等家庭经济困难幼儿优先获得资助</w:t>
            </w:r>
            <w:r>
              <w:tab/>
            </w:r>
          </w:p>
          <w:p w14:paraId="6FAC7F8F">
            <w:pPr>
              <w:pStyle w:val="13"/>
            </w:pPr>
            <w:r>
              <w:t>2.保证本年度资助经费足额落实到位，符合享受资助条件的学生应助尽助。</w:t>
            </w:r>
            <w:r>
              <w:tab/>
            </w:r>
            <w:r>
              <w:tab/>
            </w:r>
            <w:r>
              <w:tab/>
            </w:r>
            <w:r>
              <w:tab/>
            </w:r>
            <w:r>
              <w:tab/>
            </w:r>
            <w:r>
              <w:tab/>
            </w:r>
            <w:r>
              <w:tab/>
            </w:r>
            <w:r>
              <w:tab/>
            </w:r>
            <w:r>
              <w:tab/>
            </w:r>
            <w:r>
              <w:tab/>
            </w:r>
            <w:r>
              <w:tab/>
            </w:r>
          </w:p>
          <w:p w14:paraId="6E87EB26">
            <w:pPr>
              <w:pStyle w:val="13"/>
            </w:pPr>
          </w:p>
        </w:tc>
      </w:tr>
    </w:tbl>
    <w:p w14:paraId="57A16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CC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550FBBE">
            <w:pPr>
              <w:pStyle w:val="11"/>
            </w:pPr>
            <w:r>
              <w:t>一级指标</w:t>
            </w:r>
          </w:p>
        </w:tc>
        <w:tc>
          <w:tcPr>
            <w:tcW w:w="2268" w:type="dxa"/>
            <w:vAlign w:val="center"/>
          </w:tcPr>
          <w:p w14:paraId="7F838F94">
            <w:pPr>
              <w:pStyle w:val="11"/>
            </w:pPr>
            <w:r>
              <w:t>二级指标</w:t>
            </w:r>
          </w:p>
        </w:tc>
        <w:tc>
          <w:tcPr>
            <w:tcW w:w="2835" w:type="dxa"/>
            <w:vAlign w:val="center"/>
          </w:tcPr>
          <w:p w14:paraId="440BB9D5">
            <w:pPr>
              <w:pStyle w:val="11"/>
            </w:pPr>
            <w:r>
              <w:t>三级指标</w:t>
            </w:r>
          </w:p>
        </w:tc>
        <w:tc>
          <w:tcPr>
            <w:tcW w:w="5386" w:type="dxa"/>
            <w:vAlign w:val="center"/>
          </w:tcPr>
          <w:p w14:paraId="20122862">
            <w:pPr>
              <w:pStyle w:val="11"/>
            </w:pPr>
            <w:r>
              <w:t>绩效指标描述</w:t>
            </w:r>
          </w:p>
        </w:tc>
        <w:tc>
          <w:tcPr>
            <w:tcW w:w="2268" w:type="dxa"/>
            <w:vAlign w:val="center"/>
          </w:tcPr>
          <w:p w14:paraId="732E0365">
            <w:pPr>
              <w:pStyle w:val="11"/>
            </w:pPr>
            <w:r>
              <w:t>指标值</w:t>
            </w:r>
          </w:p>
        </w:tc>
        <w:tc>
          <w:tcPr>
            <w:tcW w:w="1276" w:type="dxa"/>
            <w:vAlign w:val="center"/>
          </w:tcPr>
          <w:p w14:paraId="07983C43">
            <w:pPr>
              <w:pStyle w:val="11"/>
            </w:pPr>
            <w:r>
              <w:t>指标值确定依据</w:t>
            </w:r>
          </w:p>
        </w:tc>
      </w:tr>
      <w:tr w14:paraId="1CCFD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F9C87">
            <w:pPr>
              <w:pStyle w:val="12"/>
            </w:pPr>
            <w:r>
              <w:t>产出指标</w:t>
            </w:r>
          </w:p>
        </w:tc>
        <w:tc>
          <w:tcPr>
            <w:tcW w:w="2268" w:type="dxa"/>
            <w:vAlign w:val="center"/>
          </w:tcPr>
          <w:p w14:paraId="7DE27BBD">
            <w:pPr>
              <w:pStyle w:val="13"/>
            </w:pPr>
            <w:r>
              <w:t>数量指标</w:t>
            </w:r>
          </w:p>
        </w:tc>
        <w:tc>
          <w:tcPr>
            <w:tcW w:w="2835" w:type="dxa"/>
            <w:vAlign w:val="center"/>
          </w:tcPr>
          <w:p w14:paraId="58463D71">
            <w:pPr>
              <w:pStyle w:val="13"/>
            </w:pPr>
            <w:r>
              <w:t>幼儿资助比例</w:t>
            </w:r>
          </w:p>
        </w:tc>
        <w:tc>
          <w:tcPr>
            <w:tcW w:w="5386" w:type="dxa"/>
            <w:vAlign w:val="center"/>
          </w:tcPr>
          <w:p w14:paraId="0A1DADC5">
            <w:pPr>
              <w:pStyle w:val="13"/>
            </w:pPr>
            <w:r>
              <w:t>按学前适龄在园儿童10%测算</w:t>
            </w:r>
          </w:p>
        </w:tc>
        <w:tc>
          <w:tcPr>
            <w:tcW w:w="2268" w:type="dxa"/>
            <w:vAlign w:val="center"/>
          </w:tcPr>
          <w:p w14:paraId="4DD5D3FC">
            <w:pPr>
              <w:pStyle w:val="13"/>
            </w:pPr>
            <w:r>
              <w:t>10%</w:t>
            </w:r>
          </w:p>
        </w:tc>
        <w:tc>
          <w:tcPr>
            <w:tcW w:w="1276" w:type="dxa"/>
            <w:vAlign w:val="center"/>
          </w:tcPr>
          <w:p w14:paraId="34EDA3FE">
            <w:pPr>
              <w:pStyle w:val="13"/>
            </w:pPr>
            <w:r>
              <w:t>幼儿资助经费管理办法</w:t>
            </w:r>
          </w:p>
        </w:tc>
      </w:tr>
      <w:tr w14:paraId="5313B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5901B"/>
        </w:tc>
        <w:tc>
          <w:tcPr>
            <w:tcW w:w="2268" w:type="dxa"/>
            <w:vAlign w:val="center"/>
          </w:tcPr>
          <w:p w14:paraId="3658CB68">
            <w:pPr>
              <w:pStyle w:val="13"/>
            </w:pPr>
            <w:r>
              <w:t>质量指标</w:t>
            </w:r>
          </w:p>
        </w:tc>
        <w:tc>
          <w:tcPr>
            <w:tcW w:w="2835" w:type="dxa"/>
            <w:vAlign w:val="center"/>
          </w:tcPr>
          <w:p w14:paraId="26EEACA2">
            <w:pPr>
              <w:pStyle w:val="13"/>
            </w:pPr>
            <w:r>
              <w:t>资助资金使用率</w:t>
            </w:r>
          </w:p>
        </w:tc>
        <w:tc>
          <w:tcPr>
            <w:tcW w:w="5386" w:type="dxa"/>
            <w:vAlign w:val="center"/>
          </w:tcPr>
          <w:p w14:paraId="3D12EBEC">
            <w:pPr>
              <w:pStyle w:val="13"/>
            </w:pPr>
            <w:r>
              <w:t>符合享受资助条件的学生应助尽助</w:t>
            </w:r>
          </w:p>
        </w:tc>
        <w:tc>
          <w:tcPr>
            <w:tcW w:w="2268" w:type="dxa"/>
            <w:vAlign w:val="center"/>
          </w:tcPr>
          <w:p w14:paraId="1F353503">
            <w:pPr>
              <w:pStyle w:val="13"/>
            </w:pPr>
            <w:r>
              <w:t>≥100%</w:t>
            </w:r>
          </w:p>
        </w:tc>
        <w:tc>
          <w:tcPr>
            <w:tcW w:w="1276" w:type="dxa"/>
            <w:vAlign w:val="center"/>
          </w:tcPr>
          <w:p w14:paraId="24F419D9">
            <w:pPr>
              <w:pStyle w:val="13"/>
            </w:pPr>
            <w:r>
              <w:t>幼儿资助经费管理办法</w:t>
            </w:r>
          </w:p>
        </w:tc>
      </w:tr>
      <w:tr w14:paraId="7BE4F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5D416"/>
        </w:tc>
        <w:tc>
          <w:tcPr>
            <w:tcW w:w="2268" w:type="dxa"/>
            <w:vAlign w:val="center"/>
          </w:tcPr>
          <w:p w14:paraId="6B643E14">
            <w:pPr>
              <w:pStyle w:val="13"/>
            </w:pPr>
            <w:r>
              <w:t>时效指标</w:t>
            </w:r>
          </w:p>
        </w:tc>
        <w:tc>
          <w:tcPr>
            <w:tcW w:w="2835" w:type="dxa"/>
            <w:vAlign w:val="center"/>
          </w:tcPr>
          <w:p w14:paraId="2456ED63">
            <w:pPr>
              <w:pStyle w:val="13"/>
            </w:pPr>
            <w:r>
              <w:t>资金拨付率</w:t>
            </w:r>
          </w:p>
        </w:tc>
        <w:tc>
          <w:tcPr>
            <w:tcW w:w="5386" w:type="dxa"/>
            <w:vAlign w:val="center"/>
          </w:tcPr>
          <w:p w14:paraId="30348323">
            <w:pPr>
              <w:pStyle w:val="13"/>
            </w:pPr>
            <w:r>
              <w:t>所有项目资金支付进度</w:t>
            </w:r>
          </w:p>
        </w:tc>
        <w:tc>
          <w:tcPr>
            <w:tcW w:w="2268" w:type="dxa"/>
            <w:vAlign w:val="center"/>
          </w:tcPr>
          <w:p w14:paraId="6DF8E0D9">
            <w:pPr>
              <w:pStyle w:val="13"/>
            </w:pPr>
            <w:r>
              <w:t>≥100%</w:t>
            </w:r>
          </w:p>
        </w:tc>
        <w:tc>
          <w:tcPr>
            <w:tcW w:w="1276" w:type="dxa"/>
            <w:vAlign w:val="center"/>
          </w:tcPr>
          <w:p w14:paraId="56237EBD">
            <w:pPr>
              <w:pStyle w:val="13"/>
            </w:pPr>
            <w:r>
              <w:t>幼儿资助经费管理办法</w:t>
            </w:r>
          </w:p>
        </w:tc>
      </w:tr>
      <w:tr w14:paraId="13D3E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5F0EF"/>
        </w:tc>
        <w:tc>
          <w:tcPr>
            <w:tcW w:w="2268" w:type="dxa"/>
            <w:vAlign w:val="center"/>
          </w:tcPr>
          <w:p w14:paraId="08E8D5BD">
            <w:pPr>
              <w:pStyle w:val="13"/>
            </w:pPr>
            <w:r>
              <w:t>成本指标</w:t>
            </w:r>
          </w:p>
        </w:tc>
        <w:tc>
          <w:tcPr>
            <w:tcW w:w="2835" w:type="dxa"/>
            <w:vAlign w:val="center"/>
          </w:tcPr>
          <w:p w14:paraId="647CE3C0">
            <w:pPr>
              <w:pStyle w:val="13"/>
            </w:pPr>
            <w:r>
              <w:t>幼儿园生均成本</w:t>
            </w:r>
          </w:p>
        </w:tc>
        <w:tc>
          <w:tcPr>
            <w:tcW w:w="5386" w:type="dxa"/>
            <w:vAlign w:val="center"/>
          </w:tcPr>
          <w:p w14:paraId="075D2A83">
            <w:pPr>
              <w:pStyle w:val="13"/>
            </w:pPr>
            <w:r>
              <w:t>按照幼儿园资助标准1000元/生/年</w:t>
            </w:r>
          </w:p>
        </w:tc>
        <w:tc>
          <w:tcPr>
            <w:tcW w:w="2268" w:type="dxa"/>
            <w:vAlign w:val="center"/>
          </w:tcPr>
          <w:p w14:paraId="6F33AF2D">
            <w:pPr>
              <w:pStyle w:val="13"/>
            </w:pPr>
            <w:r>
              <w:t>1000元</w:t>
            </w:r>
          </w:p>
        </w:tc>
        <w:tc>
          <w:tcPr>
            <w:tcW w:w="1276" w:type="dxa"/>
            <w:vAlign w:val="center"/>
          </w:tcPr>
          <w:p w14:paraId="414CF9F7">
            <w:pPr>
              <w:pStyle w:val="13"/>
            </w:pPr>
            <w:r>
              <w:t>幼儿资助经费管理办法</w:t>
            </w:r>
          </w:p>
        </w:tc>
      </w:tr>
      <w:tr w14:paraId="16890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ABC9C9">
            <w:pPr>
              <w:pStyle w:val="12"/>
            </w:pPr>
            <w:r>
              <w:t>效益指标</w:t>
            </w:r>
          </w:p>
        </w:tc>
        <w:tc>
          <w:tcPr>
            <w:tcW w:w="2268" w:type="dxa"/>
            <w:vAlign w:val="center"/>
          </w:tcPr>
          <w:p w14:paraId="59725664">
            <w:pPr>
              <w:pStyle w:val="13"/>
            </w:pPr>
            <w:r>
              <w:t>可持续影响指标</w:t>
            </w:r>
          </w:p>
        </w:tc>
        <w:tc>
          <w:tcPr>
            <w:tcW w:w="2835" w:type="dxa"/>
            <w:vAlign w:val="center"/>
          </w:tcPr>
          <w:p w14:paraId="055A148F">
            <w:pPr>
              <w:pStyle w:val="13"/>
            </w:pPr>
            <w:r>
              <w:t>幼儿园正常运转</w:t>
            </w:r>
          </w:p>
        </w:tc>
        <w:tc>
          <w:tcPr>
            <w:tcW w:w="5386" w:type="dxa"/>
            <w:vAlign w:val="center"/>
          </w:tcPr>
          <w:p w14:paraId="2935C150">
            <w:pPr>
              <w:pStyle w:val="13"/>
            </w:pPr>
            <w:r>
              <w:t>幼儿受教育年限</w:t>
            </w:r>
          </w:p>
        </w:tc>
        <w:tc>
          <w:tcPr>
            <w:tcW w:w="2268" w:type="dxa"/>
            <w:vAlign w:val="center"/>
          </w:tcPr>
          <w:p w14:paraId="2E316FAA">
            <w:pPr>
              <w:pStyle w:val="13"/>
            </w:pPr>
            <w:r>
              <w:t>3年</w:t>
            </w:r>
          </w:p>
        </w:tc>
        <w:tc>
          <w:tcPr>
            <w:tcW w:w="1276" w:type="dxa"/>
            <w:vAlign w:val="center"/>
          </w:tcPr>
          <w:p w14:paraId="46DA984E">
            <w:pPr>
              <w:pStyle w:val="13"/>
            </w:pPr>
            <w:r>
              <w:t>幼儿资助经费管理办法</w:t>
            </w:r>
          </w:p>
        </w:tc>
      </w:tr>
      <w:tr w14:paraId="1A046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A639E7">
            <w:pPr>
              <w:pStyle w:val="12"/>
            </w:pPr>
            <w:r>
              <w:t>满意度指标</w:t>
            </w:r>
          </w:p>
        </w:tc>
        <w:tc>
          <w:tcPr>
            <w:tcW w:w="2268" w:type="dxa"/>
            <w:vAlign w:val="center"/>
          </w:tcPr>
          <w:p w14:paraId="1F690979">
            <w:pPr>
              <w:pStyle w:val="13"/>
            </w:pPr>
            <w:r>
              <w:t>服务对象满意度指标</w:t>
            </w:r>
          </w:p>
        </w:tc>
        <w:tc>
          <w:tcPr>
            <w:tcW w:w="2835" w:type="dxa"/>
            <w:vAlign w:val="center"/>
          </w:tcPr>
          <w:p w14:paraId="346EE0C4">
            <w:pPr>
              <w:pStyle w:val="13"/>
            </w:pPr>
            <w:r>
              <w:t>受益幼儿家长及调查满意度</w:t>
            </w:r>
          </w:p>
        </w:tc>
        <w:tc>
          <w:tcPr>
            <w:tcW w:w="5386" w:type="dxa"/>
            <w:vAlign w:val="center"/>
          </w:tcPr>
          <w:p w14:paraId="76A140DB">
            <w:pPr>
              <w:pStyle w:val="13"/>
            </w:pPr>
            <w:r>
              <w:t>学生、教师及家长对学校保教保育工作满意度情况</w:t>
            </w:r>
          </w:p>
        </w:tc>
        <w:tc>
          <w:tcPr>
            <w:tcW w:w="2268" w:type="dxa"/>
            <w:vAlign w:val="center"/>
          </w:tcPr>
          <w:p w14:paraId="190AD4FB">
            <w:pPr>
              <w:pStyle w:val="13"/>
            </w:pPr>
            <w:r>
              <w:t>≥95%</w:t>
            </w:r>
          </w:p>
        </w:tc>
        <w:tc>
          <w:tcPr>
            <w:tcW w:w="1276" w:type="dxa"/>
            <w:vAlign w:val="center"/>
          </w:tcPr>
          <w:p w14:paraId="1D21A9E9">
            <w:pPr>
              <w:pStyle w:val="13"/>
            </w:pPr>
            <w:r>
              <w:t>幼儿资助经费管理办法</w:t>
            </w:r>
          </w:p>
        </w:tc>
      </w:tr>
    </w:tbl>
    <w:p w14:paraId="7FA61823">
      <w:pPr>
        <w:sectPr>
          <w:pgSz w:w="16840" w:h="11900" w:orient="landscape"/>
          <w:pgMar w:top="1361" w:right="1020" w:bottom="1134" w:left="1020" w:header="720" w:footer="720" w:gutter="0"/>
          <w:cols w:space="720" w:num="1"/>
        </w:sectPr>
      </w:pPr>
    </w:p>
    <w:p w14:paraId="1AE22A83">
      <w:pPr>
        <w:spacing w:before="0" w:after="0"/>
        <w:ind w:firstLine="560"/>
        <w:jc w:val="left"/>
        <w:outlineLvl w:val="9"/>
      </w:pPr>
      <w:r>
        <w:rPr>
          <w:rFonts w:ascii="方正仿宋_GBK" w:hAnsi="方正仿宋_GBK" w:eastAsia="方正仿宋_GBK" w:cs="方正仿宋_GBK"/>
          <w:b/>
          <w:color w:val="000000"/>
          <w:sz w:val="28"/>
        </w:rPr>
        <w:t>3、冀财教[2024]121号/中央/2025年学前教育发展/齐村幼儿园地面硬化、食堂吊顶等维修改造绩效目标表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AB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F4BC2">
            <w:pPr>
              <w:pStyle w:val="14"/>
            </w:pPr>
            <w:r>
              <w:t>单位：万元</w:t>
            </w:r>
          </w:p>
        </w:tc>
      </w:tr>
      <w:tr w14:paraId="2576D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E674E7">
            <w:pPr>
              <w:pStyle w:val="11"/>
            </w:pPr>
            <w:r>
              <w:t>项目编码</w:t>
            </w:r>
          </w:p>
        </w:tc>
        <w:tc>
          <w:tcPr>
            <w:tcW w:w="5103" w:type="dxa"/>
            <w:gridSpan w:val="2"/>
            <w:vAlign w:val="center"/>
          </w:tcPr>
          <w:p w14:paraId="7698183B">
            <w:pPr>
              <w:pStyle w:val="13"/>
            </w:pPr>
            <w:r>
              <w:t>13052525P008769100139</w:t>
            </w:r>
          </w:p>
        </w:tc>
        <w:tc>
          <w:tcPr>
            <w:tcW w:w="2835" w:type="dxa"/>
            <w:vAlign w:val="center"/>
          </w:tcPr>
          <w:p w14:paraId="17682F32">
            <w:pPr>
              <w:pStyle w:val="11"/>
            </w:pPr>
            <w:r>
              <w:t>项目名称</w:t>
            </w:r>
          </w:p>
        </w:tc>
        <w:tc>
          <w:tcPr>
            <w:tcW w:w="6095" w:type="dxa"/>
            <w:gridSpan w:val="3"/>
            <w:vAlign w:val="center"/>
          </w:tcPr>
          <w:p w14:paraId="31CC3EE8">
            <w:pPr>
              <w:pStyle w:val="13"/>
            </w:pPr>
            <w:r>
              <w:t>冀财教[2024]121号/中央/2025年学前教育发展/齐村幼儿园地面硬化、食堂吊顶等维修改造</w:t>
            </w:r>
          </w:p>
        </w:tc>
      </w:tr>
      <w:tr w14:paraId="77722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9EC8C">
            <w:pPr>
              <w:pStyle w:val="11"/>
            </w:pPr>
            <w:r>
              <w:t>预算规模及资金用途</w:t>
            </w:r>
          </w:p>
        </w:tc>
        <w:tc>
          <w:tcPr>
            <w:tcW w:w="2268" w:type="dxa"/>
            <w:vAlign w:val="center"/>
          </w:tcPr>
          <w:p w14:paraId="335F7117">
            <w:pPr>
              <w:pStyle w:val="11"/>
            </w:pPr>
            <w:r>
              <w:t>预算数</w:t>
            </w:r>
          </w:p>
        </w:tc>
        <w:tc>
          <w:tcPr>
            <w:tcW w:w="2835" w:type="dxa"/>
            <w:vAlign w:val="center"/>
          </w:tcPr>
          <w:p w14:paraId="74B8B2A2">
            <w:pPr>
              <w:pStyle w:val="13"/>
            </w:pPr>
            <w:r>
              <w:t>34.00</w:t>
            </w:r>
          </w:p>
        </w:tc>
        <w:tc>
          <w:tcPr>
            <w:tcW w:w="2835" w:type="dxa"/>
            <w:vAlign w:val="center"/>
          </w:tcPr>
          <w:p w14:paraId="2C39D680">
            <w:pPr>
              <w:pStyle w:val="11"/>
            </w:pPr>
            <w:r>
              <w:t>其中：财政    资金</w:t>
            </w:r>
          </w:p>
        </w:tc>
        <w:tc>
          <w:tcPr>
            <w:tcW w:w="2551" w:type="dxa"/>
            <w:vAlign w:val="center"/>
          </w:tcPr>
          <w:p w14:paraId="39A7FF2B">
            <w:pPr>
              <w:pStyle w:val="13"/>
            </w:pPr>
            <w:r>
              <w:t>34.00</w:t>
            </w:r>
          </w:p>
        </w:tc>
        <w:tc>
          <w:tcPr>
            <w:tcW w:w="2268" w:type="dxa"/>
            <w:vAlign w:val="center"/>
          </w:tcPr>
          <w:p w14:paraId="0C1BAFD8">
            <w:pPr>
              <w:pStyle w:val="11"/>
            </w:pPr>
            <w:r>
              <w:t>其他资金</w:t>
            </w:r>
          </w:p>
        </w:tc>
        <w:tc>
          <w:tcPr>
            <w:tcW w:w="1276" w:type="dxa"/>
            <w:vAlign w:val="center"/>
          </w:tcPr>
          <w:p w14:paraId="31B19ECA">
            <w:pPr>
              <w:pStyle w:val="13"/>
            </w:pPr>
            <w:r>
              <w:t xml:space="preserve"> </w:t>
            </w:r>
          </w:p>
        </w:tc>
      </w:tr>
      <w:tr w14:paraId="2D13F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D867B"/>
        </w:tc>
        <w:tc>
          <w:tcPr>
            <w:tcW w:w="14033" w:type="dxa"/>
            <w:gridSpan w:val="6"/>
            <w:vAlign w:val="center"/>
          </w:tcPr>
          <w:p w14:paraId="29E74B17">
            <w:pPr>
              <w:pStyle w:val="13"/>
            </w:pPr>
            <w:r>
              <w:t>完成齐村幼儿园维修改造</w:t>
            </w:r>
          </w:p>
          <w:p w14:paraId="0FB7B38F">
            <w:pPr>
              <w:pStyle w:val="13"/>
            </w:pPr>
            <w:r>
              <w:t>，满足学校正常教学需要。</w:t>
            </w:r>
          </w:p>
        </w:tc>
      </w:tr>
      <w:tr w14:paraId="67509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80EB9">
            <w:pPr>
              <w:pStyle w:val="11"/>
            </w:pPr>
            <w:r>
              <w:t>资金支出计划（%）</w:t>
            </w:r>
          </w:p>
        </w:tc>
        <w:tc>
          <w:tcPr>
            <w:tcW w:w="5103" w:type="dxa"/>
            <w:gridSpan w:val="2"/>
            <w:vAlign w:val="center"/>
          </w:tcPr>
          <w:p w14:paraId="19A9717C">
            <w:pPr>
              <w:pStyle w:val="11"/>
            </w:pPr>
            <w:r>
              <w:t>3月底</w:t>
            </w:r>
          </w:p>
        </w:tc>
        <w:tc>
          <w:tcPr>
            <w:tcW w:w="2835" w:type="dxa"/>
            <w:vAlign w:val="center"/>
          </w:tcPr>
          <w:p w14:paraId="5EC11761">
            <w:pPr>
              <w:pStyle w:val="11"/>
            </w:pPr>
            <w:r>
              <w:t>6月底</w:t>
            </w:r>
          </w:p>
        </w:tc>
        <w:tc>
          <w:tcPr>
            <w:tcW w:w="2551" w:type="dxa"/>
            <w:vAlign w:val="center"/>
          </w:tcPr>
          <w:p w14:paraId="44A8AECF">
            <w:pPr>
              <w:pStyle w:val="11"/>
            </w:pPr>
            <w:r>
              <w:t>10月底</w:t>
            </w:r>
          </w:p>
        </w:tc>
        <w:tc>
          <w:tcPr>
            <w:tcW w:w="3544" w:type="dxa"/>
            <w:gridSpan w:val="2"/>
            <w:vAlign w:val="center"/>
          </w:tcPr>
          <w:p w14:paraId="732532AC">
            <w:pPr>
              <w:pStyle w:val="11"/>
            </w:pPr>
            <w:r>
              <w:t>12月底</w:t>
            </w:r>
          </w:p>
        </w:tc>
      </w:tr>
      <w:tr w14:paraId="6316A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7BE2C"/>
        </w:tc>
        <w:tc>
          <w:tcPr>
            <w:tcW w:w="5103" w:type="dxa"/>
            <w:gridSpan w:val="2"/>
            <w:vAlign w:val="center"/>
          </w:tcPr>
          <w:p w14:paraId="02CBD972">
            <w:pPr>
              <w:pStyle w:val="12"/>
            </w:pPr>
            <w:r>
              <w:t>25%</w:t>
            </w:r>
          </w:p>
        </w:tc>
        <w:tc>
          <w:tcPr>
            <w:tcW w:w="2835" w:type="dxa"/>
            <w:vAlign w:val="center"/>
          </w:tcPr>
          <w:p w14:paraId="262C42D3">
            <w:pPr>
              <w:pStyle w:val="12"/>
            </w:pPr>
            <w:r>
              <w:t>50%</w:t>
            </w:r>
          </w:p>
        </w:tc>
        <w:tc>
          <w:tcPr>
            <w:tcW w:w="2551" w:type="dxa"/>
            <w:vAlign w:val="center"/>
          </w:tcPr>
          <w:p w14:paraId="120DC151">
            <w:pPr>
              <w:pStyle w:val="12"/>
            </w:pPr>
            <w:r>
              <w:t>75%</w:t>
            </w:r>
          </w:p>
        </w:tc>
        <w:tc>
          <w:tcPr>
            <w:tcW w:w="3544" w:type="dxa"/>
            <w:gridSpan w:val="2"/>
            <w:vAlign w:val="center"/>
          </w:tcPr>
          <w:p w14:paraId="4DBF2B21">
            <w:pPr>
              <w:pStyle w:val="12"/>
            </w:pPr>
            <w:r>
              <w:t>100%</w:t>
            </w:r>
          </w:p>
        </w:tc>
      </w:tr>
      <w:tr w14:paraId="45D8B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3CEDC">
            <w:pPr>
              <w:pStyle w:val="11"/>
            </w:pPr>
            <w:r>
              <w:t>绩效目标</w:t>
            </w:r>
          </w:p>
        </w:tc>
        <w:tc>
          <w:tcPr>
            <w:tcW w:w="14033" w:type="dxa"/>
            <w:gridSpan w:val="6"/>
            <w:vAlign w:val="center"/>
          </w:tcPr>
          <w:p w14:paraId="3193E9F1">
            <w:pPr>
              <w:pStyle w:val="13"/>
            </w:pPr>
            <w:r>
              <w:t>1.按规定拨付专项资金，资金支付率达到100%。</w:t>
            </w:r>
          </w:p>
          <w:p w14:paraId="5668D168">
            <w:pPr>
              <w:pStyle w:val="13"/>
            </w:pPr>
            <w:r>
              <w:t>2.完成齐村幼儿园维修改造</w:t>
            </w:r>
          </w:p>
          <w:p w14:paraId="4A959A64">
            <w:pPr>
              <w:pStyle w:val="13"/>
            </w:pPr>
            <w:r>
              <w:t>，满足学校正常教学需要。</w:t>
            </w:r>
          </w:p>
        </w:tc>
      </w:tr>
    </w:tbl>
    <w:p w14:paraId="26F56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63"/>
        <w:gridCol w:w="2081"/>
      </w:tblGrid>
      <w:tr w14:paraId="25A07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813FE">
            <w:pPr>
              <w:pStyle w:val="11"/>
            </w:pPr>
            <w:r>
              <w:t>一级指标</w:t>
            </w:r>
          </w:p>
        </w:tc>
        <w:tc>
          <w:tcPr>
            <w:tcW w:w="2268" w:type="dxa"/>
            <w:vAlign w:val="center"/>
          </w:tcPr>
          <w:p w14:paraId="66CF8B8B">
            <w:pPr>
              <w:pStyle w:val="11"/>
            </w:pPr>
            <w:r>
              <w:t>二级指标</w:t>
            </w:r>
          </w:p>
        </w:tc>
        <w:tc>
          <w:tcPr>
            <w:tcW w:w="2835" w:type="dxa"/>
            <w:vAlign w:val="center"/>
          </w:tcPr>
          <w:p w14:paraId="3D2DFB6F">
            <w:pPr>
              <w:pStyle w:val="11"/>
            </w:pPr>
            <w:r>
              <w:t>三级指标</w:t>
            </w:r>
          </w:p>
        </w:tc>
        <w:tc>
          <w:tcPr>
            <w:tcW w:w="5386" w:type="dxa"/>
            <w:vAlign w:val="center"/>
          </w:tcPr>
          <w:p w14:paraId="71275224">
            <w:pPr>
              <w:pStyle w:val="11"/>
            </w:pPr>
            <w:r>
              <w:t>绩效指标描述</w:t>
            </w:r>
          </w:p>
        </w:tc>
        <w:tc>
          <w:tcPr>
            <w:tcW w:w="1463" w:type="dxa"/>
            <w:vAlign w:val="center"/>
          </w:tcPr>
          <w:p w14:paraId="7904FA93">
            <w:pPr>
              <w:pStyle w:val="11"/>
            </w:pPr>
            <w:r>
              <w:t>指标值</w:t>
            </w:r>
          </w:p>
        </w:tc>
        <w:tc>
          <w:tcPr>
            <w:tcW w:w="2081" w:type="dxa"/>
            <w:vAlign w:val="center"/>
          </w:tcPr>
          <w:p w14:paraId="235D2DDC">
            <w:pPr>
              <w:pStyle w:val="11"/>
            </w:pPr>
            <w:r>
              <w:t>指标值确定依据</w:t>
            </w:r>
          </w:p>
        </w:tc>
      </w:tr>
      <w:tr w14:paraId="43970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A6CC4">
            <w:pPr>
              <w:pStyle w:val="12"/>
            </w:pPr>
            <w:r>
              <w:t>产出指标</w:t>
            </w:r>
          </w:p>
        </w:tc>
        <w:tc>
          <w:tcPr>
            <w:tcW w:w="2268" w:type="dxa"/>
            <w:vAlign w:val="center"/>
          </w:tcPr>
          <w:p w14:paraId="1FE204F8">
            <w:pPr>
              <w:pStyle w:val="13"/>
            </w:pPr>
            <w:r>
              <w:t>数量指标</w:t>
            </w:r>
          </w:p>
        </w:tc>
        <w:tc>
          <w:tcPr>
            <w:tcW w:w="2835" w:type="dxa"/>
            <w:vAlign w:val="center"/>
          </w:tcPr>
          <w:p w14:paraId="2464C794">
            <w:pPr>
              <w:pStyle w:val="13"/>
            </w:pPr>
            <w:r>
              <w:t>地面硬化、封阳台、食堂墙板吊顶等</w:t>
            </w:r>
          </w:p>
        </w:tc>
        <w:tc>
          <w:tcPr>
            <w:tcW w:w="5386" w:type="dxa"/>
            <w:vAlign w:val="center"/>
          </w:tcPr>
          <w:p w14:paraId="552B9612">
            <w:pPr>
              <w:pStyle w:val="13"/>
            </w:pPr>
            <w:r>
              <w:t>地面硬化、封阳台、食堂墙板吊顶等</w:t>
            </w:r>
          </w:p>
        </w:tc>
        <w:tc>
          <w:tcPr>
            <w:tcW w:w="1463" w:type="dxa"/>
            <w:vAlign w:val="center"/>
          </w:tcPr>
          <w:p w14:paraId="641BA95D">
            <w:pPr>
              <w:pStyle w:val="13"/>
            </w:pPr>
            <w:r>
              <w:t>34万元</w:t>
            </w:r>
          </w:p>
        </w:tc>
        <w:tc>
          <w:tcPr>
            <w:tcW w:w="2081" w:type="dxa"/>
            <w:vAlign w:val="center"/>
          </w:tcPr>
          <w:p w14:paraId="616D065B">
            <w:pPr>
              <w:pStyle w:val="13"/>
            </w:pPr>
            <w:r>
              <w:t>城乡义务教育公用经费管理办法</w:t>
            </w:r>
          </w:p>
        </w:tc>
      </w:tr>
      <w:tr w14:paraId="4EE4F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459D8DBB"/>
        </w:tc>
        <w:tc>
          <w:tcPr>
            <w:tcW w:w="2268" w:type="dxa"/>
            <w:vAlign w:val="center"/>
          </w:tcPr>
          <w:p w14:paraId="53305E86">
            <w:pPr>
              <w:pStyle w:val="13"/>
            </w:pPr>
            <w:r>
              <w:t>质量指标</w:t>
            </w:r>
          </w:p>
        </w:tc>
        <w:tc>
          <w:tcPr>
            <w:tcW w:w="2835" w:type="dxa"/>
            <w:vAlign w:val="center"/>
          </w:tcPr>
          <w:p w14:paraId="0145B643">
            <w:pPr>
              <w:pStyle w:val="13"/>
            </w:pPr>
            <w:r>
              <w:t>资金支付率</w:t>
            </w:r>
          </w:p>
        </w:tc>
        <w:tc>
          <w:tcPr>
            <w:tcW w:w="5386" w:type="dxa"/>
            <w:vAlign w:val="center"/>
          </w:tcPr>
          <w:p w14:paraId="3289DEA2">
            <w:pPr>
              <w:pStyle w:val="13"/>
            </w:pPr>
            <w:r>
              <w:t>按照序时进度完成资金支付</w:t>
            </w:r>
          </w:p>
        </w:tc>
        <w:tc>
          <w:tcPr>
            <w:tcW w:w="1463" w:type="dxa"/>
            <w:vAlign w:val="center"/>
          </w:tcPr>
          <w:p w14:paraId="560C88CB">
            <w:pPr>
              <w:pStyle w:val="13"/>
            </w:pPr>
            <w:r>
              <w:t>≥100%</w:t>
            </w:r>
          </w:p>
        </w:tc>
        <w:tc>
          <w:tcPr>
            <w:tcW w:w="2081" w:type="dxa"/>
            <w:vAlign w:val="center"/>
          </w:tcPr>
          <w:p w14:paraId="212E484A">
            <w:pPr>
              <w:pStyle w:val="13"/>
            </w:pPr>
            <w:r>
              <w:t>城乡义务教育公用经费管理办法</w:t>
            </w:r>
          </w:p>
        </w:tc>
      </w:tr>
      <w:tr w14:paraId="78304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254911BC"/>
        </w:tc>
        <w:tc>
          <w:tcPr>
            <w:tcW w:w="2268" w:type="dxa"/>
            <w:vAlign w:val="center"/>
          </w:tcPr>
          <w:p w14:paraId="6621F506">
            <w:pPr>
              <w:pStyle w:val="13"/>
            </w:pPr>
            <w:r>
              <w:t>时效指标</w:t>
            </w:r>
          </w:p>
        </w:tc>
        <w:tc>
          <w:tcPr>
            <w:tcW w:w="2835" w:type="dxa"/>
            <w:vAlign w:val="center"/>
          </w:tcPr>
          <w:p w14:paraId="43D58E20">
            <w:pPr>
              <w:pStyle w:val="13"/>
            </w:pPr>
            <w:r>
              <w:t>项目竣工验收合格率</w:t>
            </w:r>
          </w:p>
        </w:tc>
        <w:tc>
          <w:tcPr>
            <w:tcW w:w="5386" w:type="dxa"/>
            <w:vAlign w:val="center"/>
          </w:tcPr>
          <w:p w14:paraId="6923F7F7">
            <w:pPr>
              <w:pStyle w:val="13"/>
            </w:pPr>
            <w:r>
              <w:t>项目改造质量达标率</w:t>
            </w:r>
          </w:p>
        </w:tc>
        <w:tc>
          <w:tcPr>
            <w:tcW w:w="1463" w:type="dxa"/>
            <w:vAlign w:val="center"/>
          </w:tcPr>
          <w:p w14:paraId="77D9322B">
            <w:pPr>
              <w:pStyle w:val="13"/>
            </w:pPr>
            <w:r>
              <w:t>≥100%</w:t>
            </w:r>
          </w:p>
        </w:tc>
        <w:tc>
          <w:tcPr>
            <w:tcW w:w="2081" w:type="dxa"/>
            <w:vAlign w:val="center"/>
          </w:tcPr>
          <w:p w14:paraId="7B97EFE3">
            <w:pPr>
              <w:pStyle w:val="13"/>
            </w:pPr>
            <w:r>
              <w:t>城乡义务教育公用经费管理办法</w:t>
            </w:r>
          </w:p>
        </w:tc>
      </w:tr>
      <w:tr w14:paraId="16E6C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D1E55"/>
        </w:tc>
        <w:tc>
          <w:tcPr>
            <w:tcW w:w="2268" w:type="dxa"/>
            <w:vAlign w:val="center"/>
          </w:tcPr>
          <w:p w14:paraId="64511841">
            <w:pPr>
              <w:pStyle w:val="13"/>
            </w:pPr>
            <w:r>
              <w:t>成本指标</w:t>
            </w:r>
          </w:p>
        </w:tc>
        <w:tc>
          <w:tcPr>
            <w:tcW w:w="2835" w:type="dxa"/>
            <w:vAlign w:val="center"/>
          </w:tcPr>
          <w:p w14:paraId="3C93B0F4">
            <w:pPr>
              <w:pStyle w:val="13"/>
            </w:pPr>
            <w:r>
              <w:t>项目实际成本</w:t>
            </w:r>
          </w:p>
        </w:tc>
        <w:tc>
          <w:tcPr>
            <w:tcW w:w="5386" w:type="dxa"/>
            <w:vAlign w:val="center"/>
          </w:tcPr>
          <w:p w14:paraId="5D5B126A">
            <w:pPr>
              <w:pStyle w:val="13"/>
            </w:pPr>
            <w:r>
              <w:t>地面硬化、封阳台、食堂墙板吊顶等</w:t>
            </w:r>
          </w:p>
        </w:tc>
        <w:tc>
          <w:tcPr>
            <w:tcW w:w="1463" w:type="dxa"/>
            <w:vAlign w:val="center"/>
          </w:tcPr>
          <w:p w14:paraId="414931CB">
            <w:pPr>
              <w:pStyle w:val="13"/>
            </w:pPr>
            <w:r>
              <w:t>34万元</w:t>
            </w:r>
          </w:p>
        </w:tc>
        <w:tc>
          <w:tcPr>
            <w:tcW w:w="2081" w:type="dxa"/>
            <w:vAlign w:val="center"/>
          </w:tcPr>
          <w:p w14:paraId="57BEA540">
            <w:pPr>
              <w:pStyle w:val="13"/>
            </w:pPr>
            <w:r>
              <w:t>城乡义务教育公用经费管理办法</w:t>
            </w:r>
          </w:p>
        </w:tc>
      </w:tr>
      <w:tr w14:paraId="098E4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EA7C1">
            <w:pPr>
              <w:pStyle w:val="12"/>
            </w:pPr>
            <w:r>
              <w:t>效益指标</w:t>
            </w:r>
          </w:p>
        </w:tc>
        <w:tc>
          <w:tcPr>
            <w:tcW w:w="2268" w:type="dxa"/>
            <w:vAlign w:val="center"/>
          </w:tcPr>
          <w:p w14:paraId="552706BC">
            <w:pPr>
              <w:pStyle w:val="13"/>
            </w:pPr>
            <w:r>
              <w:t>经济效益指标</w:t>
            </w:r>
          </w:p>
        </w:tc>
        <w:tc>
          <w:tcPr>
            <w:tcW w:w="2835" w:type="dxa"/>
            <w:vAlign w:val="center"/>
          </w:tcPr>
          <w:p w14:paraId="7A491365">
            <w:pPr>
              <w:pStyle w:val="13"/>
            </w:pPr>
            <w:r>
              <w:t>教育发展水平</w:t>
            </w:r>
          </w:p>
        </w:tc>
        <w:tc>
          <w:tcPr>
            <w:tcW w:w="5386" w:type="dxa"/>
            <w:vAlign w:val="center"/>
          </w:tcPr>
          <w:p w14:paraId="25673CEF">
            <w:pPr>
              <w:pStyle w:val="13"/>
            </w:pPr>
            <w:r>
              <w:t>辖区内教育环境明显好转</w:t>
            </w:r>
          </w:p>
        </w:tc>
        <w:tc>
          <w:tcPr>
            <w:tcW w:w="1463" w:type="dxa"/>
            <w:vAlign w:val="center"/>
          </w:tcPr>
          <w:p w14:paraId="28C97219">
            <w:pPr>
              <w:pStyle w:val="13"/>
            </w:pPr>
            <w:r>
              <w:t>≥95%</w:t>
            </w:r>
          </w:p>
        </w:tc>
        <w:tc>
          <w:tcPr>
            <w:tcW w:w="2081" w:type="dxa"/>
            <w:vAlign w:val="center"/>
          </w:tcPr>
          <w:p w14:paraId="70F45528">
            <w:pPr>
              <w:pStyle w:val="13"/>
            </w:pPr>
            <w:r>
              <w:t>城乡义务教育公用经费管理办法</w:t>
            </w:r>
          </w:p>
        </w:tc>
      </w:tr>
      <w:tr w14:paraId="56E28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9EA3"/>
        </w:tc>
        <w:tc>
          <w:tcPr>
            <w:tcW w:w="2268" w:type="dxa"/>
            <w:vAlign w:val="center"/>
          </w:tcPr>
          <w:p w14:paraId="66564C09">
            <w:pPr>
              <w:pStyle w:val="13"/>
            </w:pPr>
            <w:r>
              <w:t>社会效益指标</w:t>
            </w:r>
          </w:p>
        </w:tc>
        <w:tc>
          <w:tcPr>
            <w:tcW w:w="2835" w:type="dxa"/>
            <w:vAlign w:val="center"/>
          </w:tcPr>
          <w:p w14:paraId="6D0F1A7E">
            <w:pPr>
              <w:pStyle w:val="13"/>
            </w:pPr>
            <w:r>
              <w:t>校园环境</w:t>
            </w:r>
          </w:p>
        </w:tc>
        <w:tc>
          <w:tcPr>
            <w:tcW w:w="5386" w:type="dxa"/>
            <w:vAlign w:val="center"/>
          </w:tcPr>
          <w:p w14:paraId="7EB176DA">
            <w:pPr>
              <w:pStyle w:val="13"/>
            </w:pPr>
            <w:r>
              <w:t>办学条件和环境得到改善</w:t>
            </w:r>
          </w:p>
        </w:tc>
        <w:tc>
          <w:tcPr>
            <w:tcW w:w="1463" w:type="dxa"/>
            <w:vAlign w:val="center"/>
          </w:tcPr>
          <w:p w14:paraId="62235AB3">
            <w:pPr>
              <w:pStyle w:val="13"/>
            </w:pPr>
            <w:r>
              <w:t>≥95%</w:t>
            </w:r>
          </w:p>
        </w:tc>
        <w:tc>
          <w:tcPr>
            <w:tcW w:w="2081" w:type="dxa"/>
            <w:vAlign w:val="center"/>
          </w:tcPr>
          <w:p w14:paraId="2B6A205F">
            <w:pPr>
              <w:pStyle w:val="13"/>
            </w:pPr>
            <w:r>
              <w:t>城乡义务教育公用经费管理办法</w:t>
            </w:r>
          </w:p>
        </w:tc>
      </w:tr>
      <w:tr w14:paraId="763F5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37960A">
            <w:pPr>
              <w:pStyle w:val="12"/>
            </w:pPr>
            <w:r>
              <w:t>满意度指标</w:t>
            </w:r>
          </w:p>
        </w:tc>
        <w:tc>
          <w:tcPr>
            <w:tcW w:w="2268" w:type="dxa"/>
            <w:vAlign w:val="center"/>
          </w:tcPr>
          <w:p w14:paraId="1A3F8F0E">
            <w:pPr>
              <w:pStyle w:val="13"/>
            </w:pPr>
            <w:r>
              <w:t>服务对象满意度指标</w:t>
            </w:r>
          </w:p>
        </w:tc>
        <w:tc>
          <w:tcPr>
            <w:tcW w:w="2835" w:type="dxa"/>
            <w:vAlign w:val="center"/>
          </w:tcPr>
          <w:p w14:paraId="53597869">
            <w:pPr>
              <w:pStyle w:val="13"/>
            </w:pPr>
            <w:r>
              <w:t>受益学生家长及调查满意度</w:t>
            </w:r>
          </w:p>
        </w:tc>
        <w:tc>
          <w:tcPr>
            <w:tcW w:w="5386" w:type="dxa"/>
            <w:vAlign w:val="center"/>
          </w:tcPr>
          <w:p w14:paraId="63A1D750">
            <w:pPr>
              <w:pStyle w:val="13"/>
            </w:pPr>
            <w:r>
              <w:t>学生、教师及家长对学校工作满意度情况</w:t>
            </w:r>
          </w:p>
        </w:tc>
        <w:tc>
          <w:tcPr>
            <w:tcW w:w="1463" w:type="dxa"/>
            <w:vAlign w:val="center"/>
          </w:tcPr>
          <w:p w14:paraId="24FEC95E">
            <w:pPr>
              <w:pStyle w:val="13"/>
            </w:pPr>
            <w:r>
              <w:t>≥95%</w:t>
            </w:r>
          </w:p>
        </w:tc>
        <w:tc>
          <w:tcPr>
            <w:tcW w:w="2081" w:type="dxa"/>
            <w:vAlign w:val="center"/>
          </w:tcPr>
          <w:p w14:paraId="2A127775">
            <w:pPr>
              <w:pStyle w:val="13"/>
            </w:pPr>
            <w:r>
              <w:t>城乡义务教育公用经费管理办法</w:t>
            </w:r>
          </w:p>
        </w:tc>
      </w:tr>
    </w:tbl>
    <w:p w14:paraId="138D874D">
      <w:pPr>
        <w:sectPr>
          <w:pgSz w:w="16840" w:h="11900" w:orient="landscape"/>
          <w:pgMar w:top="1361" w:right="1020" w:bottom="1134" w:left="1020" w:header="720" w:footer="720" w:gutter="0"/>
          <w:cols w:space="720" w:num="1"/>
        </w:sectPr>
      </w:pPr>
    </w:p>
    <w:p w14:paraId="5F08F6E9">
      <w:pPr>
        <w:spacing w:before="0" w:after="0"/>
        <w:ind w:firstLine="560"/>
        <w:jc w:val="left"/>
        <w:outlineLvl w:val="9"/>
      </w:pPr>
      <w:r>
        <w:rPr>
          <w:rFonts w:ascii="方正仿宋_GBK" w:hAnsi="方正仿宋_GBK" w:eastAsia="方正仿宋_GBK" w:cs="方正仿宋_GBK"/>
          <w:b/>
          <w:color w:val="000000"/>
          <w:sz w:val="28"/>
        </w:rPr>
        <w:t>4、冀财教[2024]121号/中央/2025年学前教育发展/山口幼儿园围墙修建绩效目标表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B0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B709C">
            <w:pPr>
              <w:pStyle w:val="14"/>
            </w:pPr>
            <w:r>
              <w:t>单位：万元</w:t>
            </w:r>
          </w:p>
        </w:tc>
      </w:tr>
      <w:tr w14:paraId="043B5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C5C6B">
            <w:pPr>
              <w:pStyle w:val="11"/>
            </w:pPr>
            <w:r>
              <w:t>项目编码</w:t>
            </w:r>
          </w:p>
        </w:tc>
        <w:tc>
          <w:tcPr>
            <w:tcW w:w="5103" w:type="dxa"/>
            <w:gridSpan w:val="2"/>
            <w:vAlign w:val="center"/>
          </w:tcPr>
          <w:p w14:paraId="243793DA">
            <w:pPr>
              <w:pStyle w:val="13"/>
            </w:pPr>
            <w:r>
              <w:t>13052525P008769100068</w:t>
            </w:r>
          </w:p>
        </w:tc>
        <w:tc>
          <w:tcPr>
            <w:tcW w:w="2835" w:type="dxa"/>
            <w:vAlign w:val="center"/>
          </w:tcPr>
          <w:p w14:paraId="7A1D88DD">
            <w:pPr>
              <w:pStyle w:val="11"/>
            </w:pPr>
            <w:r>
              <w:t>项目名称</w:t>
            </w:r>
          </w:p>
        </w:tc>
        <w:tc>
          <w:tcPr>
            <w:tcW w:w="6095" w:type="dxa"/>
            <w:gridSpan w:val="3"/>
            <w:vAlign w:val="center"/>
          </w:tcPr>
          <w:p w14:paraId="3AA7097E">
            <w:pPr>
              <w:pStyle w:val="13"/>
            </w:pPr>
            <w:r>
              <w:t>冀财教[2024]121号/中央/2025年学前教育发展/山口幼儿园围墙修建</w:t>
            </w:r>
          </w:p>
        </w:tc>
      </w:tr>
      <w:tr w14:paraId="0678C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E2B30">
            <w:pPr>
              <w:pStyle w:val="11"/>
            </w:pPr>
            <w:r>
              <w:t>预算规模及资金用途</w:t>
            </w:r>
          </w:p>
        </w:tc>
        <w:tc>
          <w:tcPr>
            <w:tcW w:w="2268" w:type="dxa"/>
            <w:vAlign w:val="center"/>
          </w:tcPr>
          <w:p w14:paraId="4D0B2D69">
            <w:pPr>
              <w:pStyle w:val="11"/>
            </w:pPr>
            <w:r>
              <w:t>预算数</w:t>
            </w:r>
          </w:p>
        </w:tc>
        <w:tc>
          <w:tcPr>
            <w:tcW w:w="2835" w:type="dxa"/>
            <w:vAlign w:val="center"/>
          </w:tcPr>
          <w:p w14:paraId="4F2EA2E8">
            <w:pPr>
              <w:pStyle w:val="13"/>
            </w:pPr>
            <w:r>
              <w:t>16.00</w:t>
            </w:r>
          </w:p>
        </w:tc>
        <w:tc>
          <w:tcPr>
            <w:tcW w:w="2835" w:type="dxa"/>
            <w:vAlign w:val="center"/>
          </w:tcPr>
          <w:p w14:paraId="1522ADE8">
            <w:pPr>
              <w:pStyle w:val="11"/>
            </w:pPr>
            <w:r>
              <w:t>其中：财政    资金</w:t>
            </w:r>
          </w:p>
        </w:tc>
        <w:tc>
          <w:tcPr>
            <w:tcW w:w="2551" w:type="dxa"/>
            <w:vAlign w:val="center"/>
          </w:tcPr>
          <w:p w14:paraId="575C4F34">
            <w:pPr>
              <w:pStyle w:val="13"/>
            </w:pPr>
            <w:r>
              <w:t>16.00</w:t>
            </w:r>
          </w:p>
        </w:tc>
        <w:tc>
          <w:tcPr>
            <w:tcW w:w="2268" w:type="dxa"/>
            <w:vAlign w:val="center"/>
          </w:tcPr>
          <w:p w14:paraId="2A0AB0F5">
            <w:pPr>
              <w:pStyle w:val="11"/>
            </w:pPr>
            <w:r>
              <w:t>其他资金</w:t>
            </w:r>
          </w:p>
        </w:tc>
        <w:tc>
          <w:tcPr>
            <w:tcW w:w="1276" w:type="dxa"/>
            <w:vAlign w:val="center"/>
          </w:tcPr>
          <w:p w14:paraId="06EB5BC3">
            <w:pPr>
              <w:pStyle w:val="13"/>
            </w:pPr>
            <w:r>
              <w:t xml:space="preserve"> </w:t>
            </w:r>
          </w:p>
        </w:tc>
      </w:tr>
      <w:tr w14:paraId="1C084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364F9"/>
        </w:tc>
        <w:tc>
          <w:tcPr>
            <w:tcW w:w="14033" w:type="dxa"/>
            <w:gridSpan w:val="6"/>
            <w:vAlign w:val="center"/>
          </w:tcPr>
          <w:p w14:paraId="28B64CCD">
            <w:pPr>
              <w:pStyle w:val="13"/>
            </w:pPr>
            <w:r>
              <w:t>完成山口幼儿园维修改造</w:t>
            </w:r>
          </w:p>
          <w:p w14:paraId="251CAF80">
            <w:pPr>
              <w:pStyle w:val="13"/>
            </w:pPr>
            <w:r>
              <w:t>，满足学校正常教学需要。</w:t>
            </w:r>
            <w:r>
              <w:tab/>
            </w:r>
          </w:p>
        </w:tc>
      </w:tr>
      <w:tr w14:paraId="50173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14342">
            <w:pPr>
              <w:pStyle w:val="11"/>
            </w:pPr>
            <w:r>
              <w:t>资金支出计划（%）</w:t>
            </w:r>
          </w:p>
        </w:tc>
        <w:tc>
          <w:tcPr>
            <w:tcW w:w="5103" w:type="dxa"/>
            <w:gridSpan w:val="2"/>
            <w:vAlign w:val="center"/>
          </w:tcPr>
          <w:p w14:paraId="53609401">
            <w:pPr>
              <w:pStyle w:val="11"/>
            </w:pPr>
            <w:r>
              <w:t>3月底</w:t>
            </w:r>
          </w:p>
        </w:tc>
        <w:tc>
          <w:tcPr>
            <w:tcW w:w="2835" w:type="dxa"/>
            <w:vAlign w:val="center"/>
          </w:tcPr>
          <w:p w14:paraId="3FF2EBA2">
            <w:pPr>
              <w:pStyle w:val="11"/>
            </w:pPr>
            <w:r>
              <w:t>6月底</w:t>
            </w:r>
          </w:p>
        </w:tc>
        <w:tc>
          <w:tcPr>
            <w:tcW w:w="2551" w:type="dxa"/>
            <w:vAlign w:val="center"/>
          </w:tcPr>
          <w:p w14:paraId="30D5F510">
            <w:pPr>
              <w:pStyle w:val="11"/>
            </w:pPr>
            <w:r>
              <w:t>10月底</w:t>
            </w:r>
          </w:p>
        </w:tc>
        <w:tc>
          <w:tcPr>
            <w:tcW w:w="3544" w:type="dxa"/>
            <w:gridSpan w:val="2"/>
            <w:vAlign w:val="center"/>
          </w:tcPr>
          <w:p w14:paraId="71B5D6EC">
            <w:pPr>
              <w:pStyle w:val="11"/>
            </w:pPr>
            <w:r>
              <w:t>12月底</w:t>
            </w:r>
          </w:p>
        </w:tc>
      </w:tr>
      <w:tr w14:paraId="66C52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DF6B8F"/>
        </w:tc>
        <w:tc>
          <w:tcPr>
            <w:tcW w:w="5103" w:type="dxa"/>
            <w:gridSpan w:val="2"/>
            <w:vAlign w:val="center"/>
          </w:tcPr>
          <w:p w14:paraId="5E1950DB">
            <w:pPr>
              <w:pStyle w:val="12"/>
            </w:pPr>
            <w:r>
              <w:t>25%</w:t>
            </w:r>
          </w:p>
        </w:tc>
        <w:tc>
          <w:tcPr>
            <w:tcW w:w="2835" w:type="dxa"/>
            <w:vAlign w:val="center"/>
          </w:tcPr>
          <w:p w14:paraId="6DDDC78F">
            <w:pPr>
              <w:pStyle w:val="12"/>
            </w:pPr>
            <w:r>
              <w:t>50%</w:t>
            </w:r>
          </w:p>
        </w:tc>
        <w:tc>
          <w:tcPr>
            <w:tcW w:w="2551" w:type="dxa"/>
            <w:vAlign w:val="center"/>
          </w:tcPr>
          <w:p w14:paraId="5F5DBECC">
            <w:pPr>
              <w:pStyle w:val="12"/>
            </w:pPr>
            <w:r>
              <w:t>75%</w:t>
            </w:r>
          </w:p>
        </w:tc>
        <w:tc>
          <w:tcPr>
            <w:tcW w:w="3544" w:type="dxa"/>
            <w:gridSpan w:val="2"/>
            <w:vAlign w:val="center"/>
          </w:tcPr>
          <w:p w14:paraId="29953079">
            <w:pPr>
              <w:pStyle w:val="12"/>
            </w:pPr>
            <w:r>
              <w:t>100%</w:t>
            </w:r>
          </w:p>
        </w:tc>
      </w:tr>
      <w:tr w14:paraId="78133D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4AEAEA">
            <w:pPr>
              <w:pStyle w:val="11"/>
            </w:pPr>
            <w:r>
              <w:t>绩效目标</w:t>
            </w:r>
          </w:p>
        </w:tc>
        <w:tc>
          <w:tcPr>
            <w:tcW w:w="14033" w:type="dxa"/>
            <w:gridSpan w:val="6"/>
            <w:vAlign w:val="center"/>
          </w:tcPr>
          <w:p w14:paraId="0718CD4C">
            <w:pPr>
              <w:pStyle w:val="13"/>
            </w:pPr>
            <w:r>
              <w:t>1.按规定拨付专项资金，资金支付率达到100%。</w:t>
            </w:r>
            <w:r>
              <w:tab/>
            </w:r>
            <w:r>
              <w:tab/>
            </w:r>
            <w:r>
              <w:tab/>
            </w:r>
            <w:r>
              <w:tab/>
            </w:r>
            <w:r>
              <w:tab/>
            </w:r>
            <w:r>
              <w:tab/>
            </w:r>
          </w:p>
          <w:p w14:paraId="7FB8DA0D">
            <w:pPr>
              <w:pStyle w:val="13"/>
            </w:pPr>
            <w:r>
              <w:t>2.完成山口幼儿园维修改造，满足学校正常教学需要。</w:t>
            </w:r>
          </w:p>
        </w:tc>
      </w:tr>
    </w:tbl>
    <w:p w14:paraId="3CE17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78B33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86E4C">
            <w:pPr>
              <w:pStyle w:val="11"/>
            </w:pPr>
            <w:r>
              <w:t>一级指标</w:t>
            </w:r>
          </w:p>
        </w:tc>
        <w:tc>
          <w:tcPr>
            <w:tcW w:w="2268" w:type="dxa"/>
            <w:vAlign w:val="center"/>
          </w:tcPr>
          <w:p w14:paraId="09B9730A">
            <w:pPr>
              <w:pStyle w:val="11"/>
            </w:pPr>
            <w:r>
              <w:t>二级指标</w:t>
            </w:r>
          </w:p>
        </w:tc>
        <w:tc>
          <w:tcPr>
            <w:tcW w:w="2835" w:type="dxa"/>
            <w:vAlign w:val="center"/>
          </w:tcPr>
          <w:p w14:paraId="127CB0B5">
            <w:pPr>
              <w:pStyle w:val="11"/>
            </w:pPr>
            <w:r>
              <w:t>三级指标</w:t>
            </w:r>
          </w:p>
        </w:tc>
        <w:tc>
          <w:tcPr>
            <w:tcW w:w="5386" w:type="dxa"/>
            <w:vAlign w:val="center"/>
          </w:tcPr>
          <w:p w14:paraId="0458E2C2">
            <w:pPr>
              <w:pStyle w:val="11"/>
            </w:pPr>
            <w:r>
              <w:t>绩效指标描述</w:t>
            </w:r>
          </w:p>
        </w:tc>
        <w:tc>
          <w:tcPr>
            <w:tcW w:w="1613" w:type="dxa"/>
            <w:vAlign w:val="center"/>
          </w:tcPr>
          <w:p w14:paraId="7C87150A">
            <w:pPr>
              <w:pStyle w:val="11"/>
            </w:pPr>
            <w:r>
              <w:t>指标值</w:t>
            </w:r>
          </w:p>
        </w:tc>
        <w:tc>
          <w:tcPr>
            <w:tcW w:w="1931" w:type="dxa"/>
            <w:vAlign w:val="center"/>
          </w:tcPr>
          <w:p w14:paraId="362F1314">
            <w:pPr>
              <w:pStyle w:val="11"/>
            </w:pPr>
            <w:r>
              <w:t>指标值确定依据</w:t>
            </w:r>
          </w:p>
        </w:tc>
      </w:tr>
      <w:tr w14:paraId="4DE22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75DFB">
            <w:pPr>
              <w:pStyle w:val="12"/>
            </w:pPr>
            <w:r>
              <w:t>产出指标</w:t>
            </w:r>
          </w:p>
        </w:tc>
        <w:tc>
          <w:tcPr>
            <w:tcW w:w="2268" w:type="dxa"/>
            <w:vAlign w:val="center"/>
          </w:tcPr>
          <w:p w14:paraId="200993CB">
            <w:pPr>
              <w:pStyle w:val="13"/>
            </w:pPr>
            <w:r>
              <w:t>数量指标</w:t>
            </w:r>
          </w:p>
        </w:tc>
        <w:tc>
          <w:tcPr>
            <w:tcW w:w="2835" w:type="dxa"/>
            <w:vAlign w:val="center"/>
          </w:tcPr>
          <w:p w14:paraId="5E49CA69">
            <w:pPr>
              <w:pStyle w:val="13"/>
            </w:pPr>
            <w:r>
              <w:t>拆除原围墙，新建围墙</w:t>
            </w:r>
          </w:p>
        </w:tc>
        <w:tc>
          <w:tcPr>
            <w:tcW w:w="5386" w:type="dxa"/>
            <w:vAlign w:val="center"/>
          </w:tcPr>
          <w:p w14:paraId="6192EE4E">
            <w:pPr>
              <w:pStyle w:val="13"/>
            </w:pPr>
            <w:r>
              <w:t>拆除原围墙，新建围墙</w:t>
            </w:r>
          </w:p>
        </w:tc>
        <w:tc>
          <w:tcPr>
            <w:tcW w:w="1613" w:type="dxa"/>
            <w:vAlign w:val="center"/>
          </w:tcPr>
          <w:p w14:paraId="38736A98">
            <w:pPr>
              <w:pStyle w:val="13"/>
            </w:pPr>
            <w:r>
              <w:t>16万元</w:t>
            </w:r>
          </w:p>
        </w:tc>
        <w:tc>
          <w:tcPr>
            <w:tcW w:w="1931" w:type="dxa"/>
            <w:vAlign w:val="center"/>
          </w:tcPr>
          <w:p w14:paraId="1A0E9113">
            <w:pPr>
              <w:pStyle w:val="13"/>
            </w:pPr>
            <w:r>
              <w:t>城乡义务教育公用经费管理办法</w:t>
            </w:r>
          </w:p>
        </w:tc>
      </w:tr>
      <w:tr w14:paraId="0C2FE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8B91D"/>
        </w:tc>
        <w:tc>
          <w:tcPr>
            <w:tcW w:w="2268" w:type="dxa"/>
            <w:vAlign w:val="center"/>
          </w:tcPr>
          <w:p w14:paraId="0624AC05">
            <w:pPr>
              <w:pStyle w:val="13"/>
            </w:pPr>
            <w:r>
              <w:t>质量指标</w:t>
            </w:r>
          </w:p>
        </w:tc>
        <w:tc>
          <w:tcPr>
            <w:tcW w:w="2835" w:type="dxa"/>
            <w:vAlign w:val="center"/>
          </w:tcPr>
          <w:p w14:paraId="3E397D2A">
            <w:pPr>
              <w:pStyle w:val="13"/>
            </w:pPr>
            <w:r>
              <w:t>资金支付率</w:t>
            </w:r>
          </w:p>
        </w:tc>
        <w:tc>
          <w:tcPr>
            <w:tcW w:w="5386" w:type="dxa"/>
            <w:vAlign w:val="center"/>
          </w:tcPr>
          <w:p w14:paraId="0BAC6FFE">
            <w:pPr>
              <w:pStyle w:val="13"/>
            </w:pPr>
            <w:r>
              <w:t>按照序时进度完成资金支付</w:t>
            </w:r>
          </w:p>
        </w:tc>
        <w:tc>
          <w:tcPr>
            <w:tcW w:w="1613" w:type="dxa"/>
            <w:vAlign w:val="center"/>
          </w:tcPr>
          <w:p w14:paraId="5B323A27">
            <w:pPr>
              <w:pStyle w:val="13"/>
            </w:pPr>
            <w:r>
              <w:t>≥100%</w:t>
            </w:r>
          </w:p>
        </w:tc>
        <w:tc>
          <w:tcPr>
            <w:tcW w:w="1931" w:type="dxa"/>
            <w:vAlign w:val="center"/>
          </w:tcPr>
          <w:p w14:paraId="3C991583">
            <w:pPr>
              <w:pStyle w:val="13"/>
            </w:pPr>
            <w:r>
              <w:t>城乡义务教育公用经费管理办法</w:t>
            </w:r>
          </w:p>
        </w:tc>
      </w:tr>
      <w:tr w14:paraId="05694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60CBD"/>
        </w:tc>
        <w:tc>
          <w:tcPr>
            <w:tcW w:w="2268" w:type="dxa"/>
            <w:vAlign w:val="center"/>
          </w:tcPr>
          <w:p w14:paraId="50D6C45F">
            <w:pPr>
              <w:pStyle w:val="13"/>
            </w:pPr>
            <w:r>
              <w:t>时效指标</w:t>
            </w:r>
          </w:p>
        </w:tc>
        <w:tc>
          <w:tcPr>
            <w:tcW w:w="2835" w:type="dxa"/>
            <w:vAlign w:val="center"/>
          </w:tcPr>
          <w:p w14:paraId="00AB6C36">
            <w:pPr>
              <w:pStyle w:val="13"/>
            </w:pPr>
            <w:r>
              <w:t>项目竣工验收合格率</w:t>
            </w:r>
          </w:p>
        </w:tc>
        <w:tc>
          <w:tcPr>
            <w:tcW w:w="5386" w:type="dxa"/>
            <w:vAlign w:val="center"/>
          </w:tcPr>
          <w:p w14:paraId="283F14BF">
            <w:pPr>
              <w:pStyle w:val="13"/>
            </w:pPr>
            <w:r>
              <w:t>项目改造质量达标率</w:t>
            </w:r>
          </w:p>
        </w:tc>
        <w:tc>
          <w:tcPr>
            <w:tcW w:w="1613" w:type="dxa"/>
            <w:vAlign w:val="center"/>
          </w:tcPr>
          <w:p w14:paraId="0734FCDA">
            <w:pPr>
              <w:pStyle w:val="13"/>
            </w:pPr>
            <w:r>
              <w:t>≥100%</w:t>
            </w:r>
          </w:p>
        </w:tc>
        <w:tc>
          <w:tcPr>
            <w:tcW w:w="1931" w:type="dxa"/>
            <w:vAlign w:val="center"/>
          </w:tcPr>
          <w:p w14:paraId="4289CA6B">
            <w:pPr>
              <w:pStyle w:val="13"/>
            </w:pPr>
            <w:r>
              <w:t>城乡义务教育公用经费管理办法</w:t>
            </w:r>
          </w:p>
        </w:tc>
      </w:tr>
      <w:tr w14:paraId="43DCE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CF9B3"/>
        </w:tc>
        <w:tc>
          <w:tcPr>
            <w:tcW w:w="2268" w:type="dxa"/>
            <w:vAlign w:val="center"/>
          </w:tcPr>
          <w:p w14:paraId="0A89FB35">
            <w:pPr>
              <w:pStyle w:val="13"/>
            </w:pPr>
            <w:r>
              <w:t>成本指标</w:t>
            </w:r>
          </w:p>
        </w:tc>
        <w:tc>
          <w:tcPr>
            <w:tcW w:w="2835" w:type="dxa"/>
            <w:vAlign w:val="center"/>
          </w:tcPr>
          <w:p w14:paraId="2D3EC97B">
            <w:pPr>
              <w:pStyle w:val="13"/>
            </w:pPr>
            <w:r>
              <w:t>项目实际成本</w:t>
            </w:r>
          </w:p>
        </w:tc>
        <w:tc>
          <w:tcPr>
            <w:tcW w:w="5386" w:type="dxa"/>
            <w:vAlign w:val="center"/>
          </w:tcPr>
          <w:p w14:paraId="3DEEC148">
            <w:pPr>
              <w:pStyle w:val="13"/>
            </w:pPr>
            <w:r>
              <w:t>拆除原围墙，新建围墙</w:t>
            </w:r>
          </w:p>
        </w:tc>
        <w:tc>
          <w:tcPr>
            <w:tcW w:w="1613" w:type="dxa"/>
            <w:vAlign w:val="center"/>
          </w:tcPr>
          <w:p w14:paraId="13727D69">
            <w:pPr>
              <w:pStyle w:val="13"/>
            </w:pPr>
            <w:r>
              <w:t>16万元</w:t>
            </w:r>
          </w:p>
        </w:tc>
        <w:tc>
          <w:tcPr>
            <w:tcW w:w="1931" w:type="dxa"/>
            <w:vAlign w:val="center"/>
          </w:tcPr>
          <w:p w14:paraId="4364E529">
            <w:pPr>
              <w:pStyle w:val="13"/>
            </w:pPr>
            <w:r>
              <w:t>城乡义务教育公用经费管理办法</w:t>
            </w:r>
          </w:p>
        </w:tc>
      </w:tr>
      <w:tr w14:paraId="67DBA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977E8">
            <w:pPr>
              <w:pStyle w:val="12"/>
            </w:pPr>
            <w:r>
              <w:t>效益指标</w:t>
            </w:r>
          </w:p>
        </w:tc>
        <w:tc>
          <w:tcPr>
            <w:tcW w:w="2268" w:type="dxa"/>
            <w:vAlign w:val="center"/>
          </w:tcPr>
          <w:p w14:paraId="61202313">
            <w:pPr>
              <w:pStyle w:val="13"/>
            </w:pPr>
            <w:r>
              <w:t>经济效益指标</w:t>
            </w:r>
          </w:p>
        </w:tc>
        <w:tc>
          <w:tcPr>
            <w:tcW w:w="2835" w:type="dxa"/>
            <w:vAlign w:val="center"/>
          </w:tcPr>
          <w:p w14:paraId="3A2E3BAA">
            <w:pPr>
              <w:pStyle w:val="13"/>
            </w:pPr>
            <w:r>
              <w:t>教育发展水平</w:t>
            </w:r>
          </w:p>
        </w:tc>
        <w:tc>
          <w:tcPr>
            <w:tcW w:w="5386" w:type="dxa"/>
            <w:vAlign w:val="center"/>
          </w:tcPr>
          <w:p w14:paraId="2AA63C5F">
            <w:pPr>
              <w:pStyle w:val="13"/>
            </w:pPr>
            <w:r>
              <w:t>辖区内教育环境明显好转</w:t>
            </w:r>
          </w:p>
        </w:tc>
        <w:tc>
          <w:tcPr>
            <w:tcW w:w="1613" w:type="dxa"/>
            <w:vAlign w:val="center"/>
          </w:tcPr>
          <w:p w14:paraId="60CC99AF">
            <w:pPr>
              <w:pStyle w:val="13"/>
            </w:pPr>
            <w:r>
              <w:t>≥95%</w:t>
            </w:r>
          </w:p>
        </w:tc>
        <w:tc>
          <w:tcPr>
            <w:tcW w:w="1931" w:type="dxa"/>
            <w:vAlign w:val="center"/>
          </w:tcPr>
          <w:p w14:paraId="023FD232">
            <w:pPr>
              <w:pStyle w:val="13"/>
            </w:pPr>
            <w:r>
              <w:t>城乡义务教育公用经费管理办法</w:t>
            </w:r>
          </w:p>
        </w:tc>
      </w:tr>
      <w:tr w14:paraId="5D697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F2953"/>
        </w:tc>
        <w:tc>
          <w:tcPr>
            <w:tcW w:w="2268" w:type="dxa"/>
            <w:vAlign w:val="center"/>
          </w:tcPr>
          <w:p w14:paraId="769E8164">
            <w:pPr>
              <w:pStyle w:val="13"/>
            </w:pPr>
            <w:r>
              <w:t>社会效益指标</w:t>
            </w:r>
          </w:p>
        </w:tc>
        <w:tc>
          <w:tcPr>
            <w:tcW w:w="2835" w:type="dxa"/>
            <w:vAlign w:val="center"/>
          </w:tcPr>
          <w:p w14:paraId="4349E34E">
            <w:pPr>
              <w:pStyle w:val="13"/>
            </w:pPr>
            <w:r>
              <w:t>校园环境</w:t>
            </w:r>
          </w:p>
        </w:tc>
        <w:tc>
          <w:tcPr>
            <w:tcW w:w="5386" w:type="dxa"/>
            <w:vAlign w:val="center"/>
          </w:tcPr>
          <w:p w14:paraId="64AE4E19">
            <w:pPr>
              <w:pStyle w:val="13"/>
            </w:pPr>
            <w:r>
              <w:t>办学条件和环境得到改善</w:t>
            </w:r>
          </w:p>
        </w:tc>
        <w:tc>
          <w:tcPr>
            <w:tcW w:w="1613" w:type="dxa"/>
            <w:vAlign w:val="center"/>
          </w:tcPr>
          <w:p w14:paraId="001C7CF2">
            <w:pPr>
              <w:pStyle w:val="13"/>
            </w:pPr>
            <w:r>
              <w:t>≥95%</w:t>
            </w:r>
          </w:p>
        </w:tc>
        <w:tc>
          <w:tcPr>
            <w:tcW w:w="1931" w:type="dxa"/>
            <w:vAlign w:val="center"/>
          </w:tcPr>
          <w:p w14:paraId="61234DF2">
            <w:pPr>
              <w:pStyle w:val="13"/>
            </w:pPr>
            <w:r>
              <w:t>城乡义务教育公用经费管理办法</w:t>
            </w:r>
          </w:p>
        </w:tc>
      </w:tr>
      <w:tr w14:paraId="4332C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D2E200">
            <w:pPr>
              <w:pStyle w:val="12"/>
            </w:pPr>
            <w:r>
              <w:t>满意度指标</w:t>
            </w:r>
          </w:p>
        </w:tc>
        <w:tc>
          <w:tcPr>
            <w:tcW w:w="2268" w:type="dxa"/>
            <w:vAlign w:val="center"/>
          </w:tcPr>
          <w:p w14:paraId="399547F3">
            <w:pPr>
              <w:pStyle w:val="13"/>
            </w:pPr>
            <w:r>
              <w:t>服务对象满意度指标</w:t>
            </w:r>
          </w:p>
        </w:tc>
        <w:tc>
          <w:tcPr>
            <w:tcW w:w="2835" w:type="dxa"/>
            <w:vAlign w:val="center"/>
          </w:tcPr>
          <w:p w14:paraId="31F84E68">
            <w:pPr>
              <w:pStyle w:val="13"/>
            </w:pPr>
            <w:r>
              <w:t>受益学生家长及调查满意度</w:t>
            </w:r>
          </w:p>
        </w:tc>
        <w:tc>
          <w:tcPr>
            <w:tcW w:w="5386" w:type="dxa"/>
            <w:vAlign w:val="center"/>
          </w:tcPr>
          <w:p w14:paraId="2419C848">
            <w:pPr>
              <w:pStyle w:val="13"/>
            </w:pPr>
            <w:r>
              <w:t>学生、教师及家长对学校工作满意度情况</w:t>
            </w:r>
          </w:p>
        </w:tc>
        <w:tc>
          <w:tcPr>
            <w:tcW w:w="1613" w:type="dxa"/>
            <w:vAlign w:val="center"/>
          </w:tcPr>
          <w:p w14:paraId="5A0DFB09">
            <w:pPr>
              <w:pStyle w:val="13"/>
            </w:pPr>
            <w:r>
              <w:t>≥95%</w:t>
            </w:r>
          </w:p>
        </w:tc>
        <w:tc>
          <w:tcPr>
            <w:tcW w:w="1931" w:type="dxa"/>
            <w:vAlign w:val="center"/>
          </w:tcPr>
          <w:p w14:paraId="171A7B16">
            <w:pPr>
              <w:pStyle w:val="13"/>
            </w:pPr>
            <w:r>
              <w:t>城乡义务教育公用经费管理办法</w:t>
            </w:r>
          </w:p>
        </w:tc>
      </w:tr>
    </w:tbl>
    <w:p w14:paraId="3EA7FFBE">
      <w:pPr>
        <w:sectPr>
          <w:pgSz w:w="16840" w:h="11900" w:orient="landscape"/>
          <w:pgMar w:top="1361" w:right="1020" w:bottom="1134" w:left="1020" w:header="720" w:footer="720" w:gutter="0"/>
          <w:cols w:space="720" w:num="1"/>
        </w:sectPr>
      </w:pPr>
    </w:p>
    <w:p w14:paraId="0700B350">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5、冀财教[2024]123号/中央/2025年义教补助经费/第四实验小学公用经费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78CBE283">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67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FCC2C">
            <w:pPr>
              <w:pStyle w:val="14"/>
            </w:pPr>
            <w:r>
              <w:t>单位：万元</w:t>
            </w:r>
          </w:p>
        </w:tc>
      </w:tr>
      <w:tr w14:paraId="26BFE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07E33E">
            <w:pPr>
              <w:pStyle w:val="11"/>
            </w:pPr>
            <w:r>
              <w:t>项目编码</w:t>
            </w:r>
          </w:p>
        </w:tc>
        <w:tc>
          <w:tcPr>
            <w:tcW w:w="5103" w:type="dxa"/>
            <w:gridSpan w:val="2"/>
            <w:vAlign w:val="center"/>
          </w:tcPr>
          <w:p w14:paraId="4261E074">
            <w:pPr>
              <w:pStyle w:val="13"/>
            </w:pPr>
            <w:r>
              <w:t>13052525P00000410086L</w:t>
            </w:r>
          </w:p>
        </w:tc>
        <w:tc>
          <w:tcPr>
            <w:tcW w:w="2835" w:type="dxa"/>
            <w:vAlign w:val="center"/>
          </w:tcPr>
          <w:p w14:paraId="3E38D3D4">
            <w:pPr>
              <w:pStyle w:val="11"/>
            </w:pPr>
            <w:r>
              <w:t>项目名称</w:t>
            </w:r>
          </w:p>
        </w:tc>
        <w:tc>
          <w:tcPr>
            <w:tcW w:w="6095" w:type="dxa"/>
            <w:gridSpan w:val="3"/>
            <w:vAlign w:val="center"/>
          </w:tcPr>
          <w:p w14:paraId="4511531D">
            <w:pPr>
              <w:pStyle w:val="13"/>
            </w:pPr>
            <w:r>
              <w:t>冀财教[2024]123号/中央/2025年义教补助经费/第四实验小学公用经费</w:t>
            </w:r>
            <w:r>
              <w:tab/>
            </w:r>
            <w:r>
              <w:tab/>
            </w:r>
          </w:p>
          <w:p w14:paraId="1100C170">
            <w:pPr>
              <w:pStyle w:val="13"/>
            </w:pPr>
          </w:p>
        </w:tc>
      </w:tr>
      <w:tr w14:paraId="3C330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93615">
            <w:pPr>
              <w:pStyle w:val="11"/>
            </w:pPr>
            <w:r>
              <w:t>预算规模及资金用途</w:t>
            </w:r>
          </w:p>
        </w:tc>
        <w:tc>
          <w:tcPr>
            <w:tcW w:w="2268" w:type="dxa"/>
            <w:vAlign w:val="center"/>
          </w:tcPr>
          <w:p w14:paraId="6BCD4D42">
            <w:pPr>
              <w:pStyle w:val="11"/>
            </w:pPr>
            <w:r>
              <w:t>预算数</w:t>
            </w:r>
          </w:p>
        </w:tc>
        <w:tc>
          <w:tcPr>
            <w:tcW w:w="2835" w:type="dxa"/>
            <w:vAlign w:val="center"/>
          </w:tcPr>
          <w:p w14:paraId="0BFE8340">
            <w:pPr>
              <w:pStyle w:val="13"/>
            </w:pPr>
            <w:r>
              <w:t>7.54</w:t>
            </w:r>
          </w:p>
        </w:tc>
        <w:tc>
          <w:tcPr>
            <w:tcW w:w="2835" w:type="dxa"/>
            <w:vAlign w:val="center"/>
          </w:tcPr>
          <w:p w14:paraId="679BC7E4">
            <w:pPr>
              <w:pStyle w:val="11"/>
            </w:pPr>
            <w:r>
              <w:t>其中：财政    资金</w:t>
            </w:r>
          </w:p>
        </w:tc>
        <w:tc>
          <w:tcPr>
            <w:tcW w:w="2551" w:type="dxa"/>
            <w:vAlign w:val="center"/>
          </w:tcPr>
          <w:p w14:paraId="15F5F608">
            <w:pPr>
              <w:pStyle w:val="13"/>
            </w:pPr>
            <w:r>
              <w:t>7.54</w:t>
            </w:r>
          </w:p>
        </w:tc>
        <w:tc>
          <w:tcPr>
            <w:tcW w:w="2268" w:type="dxa"/>
            <w:vAlign w:val="center"/>
          </w:tcPr>
          <w:p w14:paraId="3964F2F8">
            <w:pPr>
              <w:pStyle w:val="11"/>
            </w:pPr>
            <w:r>
              <w:t>其他资金</w:t>
            </w:r>
          </w:p>
        </w:tc>
        <w:tc>
          <w:tcPr>
            <w:tcW w:w="1276" w:type="dxa"/>
            <w:vAlign w:val="center"/>
          </w:tcPr>
          <w:p w14:paraId="4ACF1B2D">
            <w:pPr>
              <w:pStyle w:val="13"/>
            </w:pPr>
            <w:r>
              <w:t xml:space="preserve"> </w:t>
            </w:r>
          </w:p>
        </w:tc>
      </w:tr>
      <w:tr w14:paraId="5A5D2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0240B"/>
        </w:tc>
        <w:tc>
          <w:tcPr>
            <w:tcW w:w="14033" w:type="dxa"/>
            <w:gridSpan w:val="6"/>
            <w:vAlign w:val="center"/>
          </w:tcPr>
          <w:p w14:paraId="1228E4FF">
            <w:pPr>
              <w:pStyle w:val="13"/>
            </w:pPr>
            <w:r>
              <w:t>用于有效完成学校教学安全秩序，保障学校教学任务有效开展，满足学校正常教学需要。</w:t>
            </w:r>
          </w:p>
        </w:tc>
      </w:tr>
      <w:tr w14:paraId="6AF09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548CF">
            <w:pPr>
              <w:pStyle w:val="11"/>
            </w:pPr>
            <w:r>
              <w:t>资金支出计划（%）</w:t>
            </w:r>
          </w:p>
        </w:tc>
        <w:tc>
          <w:tcPr>
            <w:tcW w:w="5103" w:type="dxa"/>
            <w:gridSpan w:val="2"/>
            <w:vAlign w:val="center"/>
          </w:tcPr>
          <w:p w14:paraId="2AB2C493">
            <w:pPr>
              <w:pStyle w:val="11"/>
            </w:pPr>
            <w:r>
              <w:t>3月底</w:t>
            </w:r>
          </w:p>
        </w:tc>
        <w:tc>
          <w:tcPr>
            <w:tcW w:w="2835" w:type="dxa"/>
            <w:vAlign w:val="center"/>
          </w:tcPr>
          <w:p w14:paraId="46A6FD36">
            <w:pPr>
              <w:pStyle w:val="11"/>
            </w:pPr>
            <w:r>
              <w:t>6月底</w:t>
            </w:r>
          </w:p>
        </w:tc>
        <w:tc>
          <w:tcPr>
            <w:tcW w:w="2551" w:type="dxa"/>
            <w:vAlign w:val="center"/>
          </w:tcPr>
          <w:p w14:paraId="00AF9D64">
            <w:pPr>
              <w:pStyle w:val="11"/>
            </w:pPr>
            <w:r>
              <w:t>10月底</w:t>
            </w:r>
          </w:p>
        </w:tc>
        <w:tc>
          <w:tcPr>
            <w:tcW w:w="3544" w:type="dxa"/>
            <w:gridSpan w:val="2"/>
            <w:vAlign w:val="center"/>
          </w:tcPr>
          <w:p w14:paraId="3B6DA47D">
            <w:pPr>
              <w:pStyle w:val="11"/>
            </w:pPr>
            <w:r>
              <w:t>12月底</w:t>
            </w:r>
          </w:p>
        </w:tc>
      </w:tr>
      <w:tr w14:paraId="3450F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C88C81"/>
        </w:tc>
        <w:tc>
          <w:tcPr>
            <w:tcW w:w="5103" w:type="dxa"/>
            <w:gridSpan w:val="2"/>
            <w:vAlign w:val="center"/>
          </w:tcPr>
          <w:p w14:paraId="66A401B7">
            <w:pPr>
              <w:pStyle w:val="12"/>
            </w:pPr>
            <w:r>
              <w:t>25%</w:t>
            </w:r>
          </w:p>
        </w:tc>
        <w:tc>
          <w:tcPr>
            <w:tcW w:w="2835" w:type="dxa"/>
            <w:vAlign w:val="center"/>
          </w:tcPr>
          <w:p w14:paraId="19F3907D">
            <w:pPr>
              <w:pStyle w:val="12"/>
            </w:pPr>
            <w:r>
              <w:t>50%</w:t>
            </w:r>
          </w:p>
        </w:tc>
        <w:tc>
          <w:tcPr>
            <w:tcW w:w="2551" w:type="dxa"/>
            <w:vAlign w:val="center"/>
          </w:tcPr>
          <w:p w14:paraId="32B210C4">
            <w:pPr>
              <w:pStyle w:val="12"/>
            </w:pPr>
            <w:r>
              <w:t>75%</w:t>
            </w:r>
          </w:p>
        </w:tc>
        <w:tc>
          <w:tcPr>
            <w:tcW w:w="3544" w:type="dxa"/>
            <w:gridSpan w:val="2"/>
            <w:vAlign w:val="center"/>
          </w:tcPr>
          <w:p w14:paraId="65F3976E">
            <w:pPr>
              <w:pStyle w:val="12"/>
            </w:pPr>
            <w:r>
              <w:t>100%</w:t>
            </w:r>
          </w:p>
        </w:tc>
      </w:tr>
      <w:tr w14:paraId="3FCDF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11EADE">
            <w:pPr>
              <w:pStyle w:val="11"/>
            </w:pPr>
            <w:r>
              <w:t>绩效目标</w:t>
            </w:r>
          </w:p>
        </w:tc>
        <w:tc>
          <w:tcPr>
            <w:tcW w:w="14033" w:type="dxa"/>
            <w:gridSpan w:val="6"/>
            <w:vAlign w:val="center"/>
          </w:tcPr>
          <w:p w14:paraId="5B8AF449">
            <w:pPr>
              <w:pStyle w:val="13"/>
            </w:pPr>
            <w:r>
              <w:t>1.按规定拨付公用经费资金，预算执行率≥98%。</w:t>
            </w:r>
          </w:p>
          <w:p w14:paraId="7D6CB3A2">
            <w:pPr>
              <w:pStyle w:val="13"/>
            </w:pPr>
            <w:r>
              <w:t>2.有效完成学校教学安全秩序，保障学校教学任务有效开展，满足学校正常教学需要。</w:t>
            </w:r>
          </w:p>
        </w:tc>
      </w:tr>
    </w:tbl>
    <w:p w14:paraId="5575DF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14:paraId="37B4B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88AAD">
            <w:pPr>
              <w:pStyle w:val="11"/>
            </w:pPr>
            <w:r>
              <w:t>一级指标</w:t>
            </w:r>
          </w:p>
        </w:tc>
        <w:tc>
          <w:tcPr>
            <w:tcW w:w="2268" w:type="dxa"/>
            <w:vAlign w:val="center"/>
          </w:tcPr>
          <w:p w14:paraId="2752CD5D">
            <w:pPr>
              <w:pStyle w:val="11"/>
            </w:pPr>
            <w:r>
              <w:t>二级指标</w:t>
            </w:r>
          </w:p>
        </w:tc>
        <w:tc>
          <w:tcPr>
            <w:tcW w:w="2835" w:type="dxa"/>
            <w:vAlign w:val="center"/>
          </w:tcPr>
          <w:p w14:paraId="42AAB554">
            <w:pPr>
              <w:pStyle w:val="11"/>
            </w:pPr>
            <w:r>
              <w:t>三级指标</w:t>
            </w:r>
          </w:p>
        </w:tc>
        <w:tc>
          <w:tcPr>
            <w:tcW w:w="5386" w:type="dxa"/>
            <w:vAlign w:val="center"/>
          </w:tcPr>
          <w:p w14:paraId="43E0D336">
            <w:pPr>
              <w:pStyle w:val="11"/>
            </w:pPr>
            <w:r>
              <w:t>绩效指标描述</w:t>
            </w:r>
          </w:p>
        </w:tc>
        <w:tc>
          <w:tcPr>
            <w:tcW w:w="1763" w:type="dxa"/>
            <w:vAlign w:val="center"/>
          </w:tcPr>
          <w:p w14:paraId="2BC5E6CD">
            <w:pPr>
              <w:pStyle w:val="11"/>
            </w:pPr>
            <w:r>
              <w:t>指标值</w:t>
            </w:r>
          </w:p>
        </w:tc>
        <w:tc>
          <w:tcPr>
            <w:tcW w:w="1781" w:type="dxa"/>
            <w:vAlign w:val="center"/>
          </w:tcPr>
          <w:p w14:paraId="6296783B">
            <w:pPr>
              <w:pStyle w:val="11"/>
            </w:pPr>
            <w:r>
              <w:t>指标值确定依据</w:t>
            </w:r>
          </w:p>
        </w:tc>
      </w:tr>
      <w:tr w14:paraId="64CD3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A0971">
            <w:pPr>
              <w:pStyle w:val="12"/>
            </w:pPr>
            <w:r>
              <w:t>产出指标</w:t>
            </w:r>
          </w:p>
        </w:tc>
        <w:tc>
          <w:tcPr>
            <w:tcW w:w="2268" w:type="dxa"/>
            <w:vAlign w:val="center"/>
          </w:tcPr>
          <w:p w14:paraId="2D21199D">
            <w:pPr>
              <w:pStyle w:val="13"/>
            </w:pPr>
            <w:r>
              <w:t>数量指标</w:t>
            </w:r>
          </w:p>
        </w:tc>
        <w:tc>
          <w:tcPr>
            <w:tcW w:w="2835" w:type="dxa"/>
            <w:vAlign w:val="center"/>
          </w:tcPr>
          <w:p w14:paraId="2271436C">
            <w:pPr>
              <w:pStyle w:val="13"/>
            </w:pPr>
            <w:r>
              <w:t>就读学生数</w:t>
            </w:r>
          </w:p>
        </w:tc>
        <w:tc>
          <w:tcPr>
            <w:tcW w:w="5386" w:type="dxa"/>
            <w:vAlign w:val="center"/>
          </w:tcPr>
          <w:p w14:paraId="39F3B551">
            <w:pPr>
              <w:pStyle w:val="13"/>
            </w:pPr>
            <w:r>
              <w:t>辐射区域内适龄学生人数</w:t>
            </w:r>
          </w:p>
        </w:tc>
        <w:tc>
          <w:tcPr>
            <w:tcW w:w="1763" w:type="dxa"/>
            <w:vAlign w:val="center"/>
          </w:tcPr>
          <w:p w14:paraId="0715C550">
            <w:pPr>
              <w:pStyle w:val="13"/>
            </w:pPr>
            <w:r>
              <w:t>132人</w:t>
            </w:r>
          </w:p>
        </w:tc>
        <w:tc>
          <w:tcPr>
            <w:tcW w:w="1781" w:type="dxa"/>
            <w:vAlign w:val="center"/>
          </w:tcPr>
          <w:p w14:paraId="3E059AA0">
            <w:pPr>
              <w:pStyle w:val="13"/>
            </w:pPr>
            <w:r>
              <w:t>城乡义务教育公用经费管理办法</w:t>
            </w:r>
          </w:p>
        </w:tc>
      </w:tr>
      <w:tr w14:paraId="6DBFF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19400"/>
        </w:tc>
        <w:tc>
          <w:tcPr>
            <w:tcW w:w="2268" w:type="dxa"/>
            <w:vAlign w:val="center"/>
          </w:tcPr>
          <w:p w14:paraId="1DC71839">
            <w:pPr>
              <w:pStyle w:val="13"/>
            </w:pPr>
            <w:r>
              <w:t>质量指标</w:t>
            </w:r>
          </w:p>
        </w:tc>
        <w:tc>
          <w:tcPr>
            <w:tcW w:w="2835" w:type="dxa"/>
            <w:vAlign w:val="center"/>
          </w:tcPr>
          <w:p w14:paraId="32654404">
            <w:pPr>
              <w:pStyle w:val="13"/>
            </w:pPr>
            <w:r>
              <w:t>预算执行率</w:t>
            </w:r>
          </w:p>
        </w:tc>
        <w:tc>
          <w:tcPr>
            <w:tcW w:w="5386" w:type="dxa"/>
            <w:vAlign w:val="center"/>
          </w:tcPr>
          <w:p w14:paraId="69461270">
            <w:pPr>
              <w:pStyle w:val="13"/>
            </w:pPr>
            <w:r>
              <w:t>预算执行率</w:t>
            </w:r>
          </w:p>
        </w:tc>
        <w:tc>
          <w:tcPr>
            <w:tcW w:w="1763" w:type="dxa"/>
            <w:vAlign w:val="center"/>
          </w:tcPr>
          <w:p w14:paraId="32F758CB">
            <w:pPr>
              <w:pStyle w:val="13"/>
            </w:pPr>
            <w:r>
              <w:t>≥98%</w:t>
            </w:r>
          </w:p>
        </w:tc>
        <w:tc>
          <w:tcPr>
            <w:tcW w:w="1781" w:type="dxa"/>
            <w:vAlign w:val="center"/>
          </w:tcPr>
          <w:p w14:paraId="2541EC37">
            <w:pPr>
              <w:pStyle w:val="13"/>
            </w:pPr>
            <w:r>
              <w:t>城乡义务教育公用经费管理办法</w:t>
            </w:r>
          </w:p>
        </w:tc>
      </w:tr>
      <w:tr w14:paraId="20D81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B4563"/>
        </w:tc>
        <w:tc>
          <w:tcPr>
            <w:tcW w:w="2268" w:type="dxa"/>
            <w:vAlign w:val="center"/>
          </w:tcPr>
          <w:p w14:paraId="34799C28">
            <w:pPr>
              <w:pStyle w:val="13"/>
            </w:pPr>
            <w:r>
              <w:t>时效指标</w:t>
            </w:r>
          </w:p>
        </w:tc>
        <w:tc>
          <w:tcPr>
            <w:tcW w:w="2835" w:type="dxa"/>
            <w:vAlign w:val="center"/>
          </w:tcPr>
          <w:p w14:paraId="27377A69">
            <w:pPr>
              <w:pStyle w:val="13"/>
            </w:pPr>
            <w:r>
              <w:t>义教经费支付完成率</w:t>
            </w:r>
          </w:p>
        </w:tc>
        <w:tc>
          <w:tcPr>
            <w:tcW w:w="5386" w:type="dxa"/>
            <w:vAlign w:val="center"/>
          </w:tcPr>
          <w:p w14:paraId="71D543B5">
            <w:pPr>
              <w:pStyle w:val="13"/>
            </w:pPr>
            <w:r>
              <w:t>按照序时进度完成资金支付</w:t>
            </w:r>
          </w:p>
        </w:tc>
        <w:tc>
          <w:tcPr>
            <w:tcW w:w="1763" w:type="dxa"/>
            <w:vAlign w:val="center"/>
          </w:tcPr>
          <w:p w14:paraId="29C79D11">
            <w:pPr>
              <w:pStyle w:val="13"/>
            </w:pPr>
            <w:r>
              <w:t>≥100%</w:t>
            </w:r>
          </w:p>
        </w:tc>
        <w:tc>
          <w:tcPr>
            <w:tcW w:w="1781" w:type="dxa"/>
            <w:vAlign w:val="center"/>
          </w:tcPr>
          <w:p w14:paraId="76558C33">
            <w:pPr>
              <w:pStyle w:val="13"/>
            </w:pPr>
            <w:r>
              <w:t>城乡义务教育公用经费管理办法</w:t>
            </w:r>
          </w:p>
        </w:tc>
      </w:tr>
      <w:tr w14:paraId="36EEB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67A3E"/>
        </w:tc>
        <w:tc>
          <w:tcPr>
            <w:tcW w:w="2268" w:type="dxa"/>
            <w:vAlign w:val="center"/>
          </w:tcPr>
          <w:p w14:paraId="2BDC120F">
            <w:pPr>
              <w:pStyle w:val="13"/>
            </w:pPr>
            <w:r>
              <w:t>成本指标</w:t>
            </w:r>
          </w:p>
        </w:tc>
        <w:tc>
          <w:tcPr>
            <w:tcW w:w="2835" w:type="dxa"/>
            <w:vAlign w:val="center"/>
          </w:tcPr>
          <w:p w14:paraId="028ACE7F">
            <w:pPr>
              <w:pStyle w:val="13"/>
            </w:pPr>
            <w:r>
              <w:t>生均拨款标准</w:t>
            </w:r>
          </w:p>
        </w:tc>
        <w:tc>
          <w:tcPr>
            <w:tcW w:w="5386" w:type="dxa"/>
            <w:vAlign w:val="center"/>
          </w:tcPr>
          <w:p w14:paraId="5BC86144">
            <w:pPr>
              <w:pStyle w:val="13"/>
            </w:pPr>
            <w:r>
              <w:t>小学：（基本标准720元、寄宿生300元、生活补助120元）/生/学年；特教、随班就读学生：标准6000元/生/学年</w:t>
            </w:r>
          </w:p>
        </w:tc>
        <w:tc>
          <w:tcPr>
            <w:tcW w:w="1763" w:type="dxa"/>
            <w:vAlign w:val="center"/>
          </w:tcPr>
          <w:p w14:paraId="00E37C9E">
            <w:pPr>
              <w:pStyle w:val="13"/>
            </w:pPr>
            <w:r>
              <w:t>840元</w:t>
            </w:r>
          </w:p>
        </w:tc>
        <w:tc>
          <w:tcPr>
            <w:tcW w:w="1781" w:type="dxa"/>
            <w:vAlign w:val="center"/>
          </w:tcPr>
          <w:p w14:paraId="1F2D9A44">
            <w:pPr>
              <w:pStyle w:val="13"/>
            </w:pPr>
            <w:r>
              <w:t>城乡义务教育公用经费管理办法</w:t>
            </w:r>
          </w:p>
        </w:tc>
      </w:tr>
      <w:tr w14:paraId="27A16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68D5A5">
            <w:pPr>
              <w:pStyle w:val="12"/>
            </w:pPr>
            <w:r>
              <w:t>效益指标</w:t>
            </w:r>
          </w:p>
        </w:tc>
        <w:tc>
          <w:tcPr>
            <w:tcW w:w="2268" w:type="dxa"/>
            <w:vAlign w:val="center"/>
          </w:tcPr>
          <w:p w14:paraId="2CA35A3B">
            <w:pPr>
              <w:pStyle w:val="13"/>
            </w:pPr>
            <w:r>
              <w:t>社会效益指标</w:t>
            </w:r>
          </w:p>
        </w:tc>
        <w:tc>
          <w:tcPr>
            <w:tcW w:w="2835" w:type="dxa"/>
            <w:vAlign w:val="center"/>
          </w:tcPr>
          <w:p w14:paraId="3331853A">
            <w:pPr>
              <w:pStyle w:val="13"/>
            </w:pPr>
            <w:r>
              <w:t>学校稳定率</w:t>
            </w:r>
          </w:p>
        </w:tc>
        <w:tc>
          <w:tcPr>
            <w:tcW w:w="5386" w:type="dxa"/>
            <w:vAlign w:val="center"/>
          </w:tcPr>
          <w:p w14:paraId="68DFA815">
            <w:pPr>
              <w:pStyle w:val="13"/>
            </w:pPr>
            <w:r>
              <w:t>维护学校稳定，保障学校正常教学秩序有效开展</w:t>
            </w:r>
          </w:p>
        </w:tc>
        <w:tc>
          <w:tcPr>
            <w:tcW w:w="1763" w:type="dxa"/>
            <w:vAlign w:val="center"/>
          </w:tcPr>
          <w:p w14:paraId="566CCE77">
            <w:pPr>
              <w:pStyle w:val="13"/>
            </w:pPr>
            <w:r>
              <w:t>≥100%</w:t>
            </w:r>
          </w:p>
        </w:tc>
        <w:tc>
          <w:tcPr>
            <w:tcW w:w="1781" w:type="dxa"/>
            <w:vAlign w:val="center"/>
          </w:tcPr>
          <w:p w14:paraId="75F5A4FC">
            <w:pPr>
              <w:pStyle w:val="13"/>
            </w:pPr>
            <w:r>
              <w:t>城乡义务教育公用经费管理办法</w:t>
            </w:r>
          </w:p>
        </w:tc>
      </w:tr>
      <w:tr w14:paraId="2C138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BC0878">
            <w:pPr>
              <w:pStyle w:val="12"/>
            </w:pPr>
            <w:r>
              <w:t>满意度指标</w:t>
            </w:r>
          </w:p>
        </w:tc>
        <w:tc>
          <w:tcPr>
            <w:tcW w:w="2268" w:type="dxa"/>
            <w:vAlign w:val="center"/>
          </w:tcPr>
          <w:p w14:paraId="368B3C84">
            <w:pPr>
              <w:pStyle w:val="13"/>
            </w:pPr>
            <w:r>
              <w:t>服务对象满意度指标</w:t>
            </w:r>
          </w:p>
        </w:tc>
        <w:tc>
          <w:tcPr>
            <w:tcW w:w="2835" w:type="dxa"/>
            <w:vAlign w:val="center"/>
          </w:tcPr>
          <w:p w14:paraId="02ADAAA9">
            <w:pPr>
              <w:pStyle w:val="13"/>
            </w:pPr>
            <w:r>
              <w:t>家长和学生满意度</w:t>
            </w:r>
          </w:p>
        </w:tc>
        <w:tc>
          <w:tcPr>
            <w:tcW w:w="5386" w:type="dxa"/>
            <w:vAlign w:val="center"/>
          </w:tcPr>
          <w:p w14:paraId="25B01A0E">
            <w:pPr>
              <w:pStyle w:val="13"/>
            </w:pPr>
            <w:r>
              <w:t>家长和学生满意度</w:t>
            </w:r>
          </w:p>
        </w:tc>
        <w:tc>
          <w:tcPr>
            <w:tcW w:w="1763" w:type="dxa"/>
            <w:vAlign w:val="center"/>
          </w:tcPr>
          <w:p w14:paraId="04D43562">
            <w:pPr>
              <w:pStyle w:val="13"/>
            </w:pPr>
            <w:r>
              <w:t>≥95%</w:t>
            </w:r>
          </w:p>
        </w:tc>
        <w:tc>
          <w:tcPr>
            <w:tcW w:w="1781" w:type="dxa"/>
            <w:vAlign w:val="center"/>
          </w:tcPr>
          <w:p w14:paraId="6413FBC6">
            <w:pPr>
              <w:pStyle w:val="13"/>
            </w:pPr>
            <w:r>
              <w:t>问卷调查</w:t>
            </w:r>
          </w:p>
        </w:tc>
      </w:tr>
    </w:tbl>
    <w:p w14:paraId="5B787ECB">
      <w:pPr>
        <w:sectPr>
          <w:pgSz w:w="16840" w:h="11900" w:orient="landscape"/>
          <w:pgMar w:top="1361" w:right="1020" w:bottom="1134" w:left="1020" w:header="720" w:footer="720" w:gutter="0"/>
          <w:cols w:space="720" w:num="1"/>
        </w:sectPr>
      </w:pPr>
    </w:p>
    <w:p w14:paraId="19A2EAAB">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6、冀财教[2024]123号/中央/2025年义教补助经费/佃户营小学公用经费绩效目标表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C4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3821A">
            <w:pPr>
              <w:pStyle w:val="14"/>
            </w:pPr>
            <w:r>
              <w:t>单位：万元</w:t>
            </w:r>
          </w:p>
        </w:tc>
      </w:tr>
      <w:tr w14:paraId="6C0F3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DC8EFF">
            <w:pPr>
              <w:pStyle w:val="11"/>
            </w:pPr>
            <w:r>
              <w:t>项目编码</w:t>
            </w:r>
          </w:p>
        </w:tc>
        <w:tc>
          <w:tcPr>
            <w:tcW w:w="5103" w:type="dxa"/>
            <w:gridSpan w:val="2"/>
            <w:vAlign w:val="center"/>
          </w:tcPr>
          <w:p w14:paraId="1BB91DF7">
            <w:pPr>
              <w:pStyle w:val="13"/>
            </w:pPr>
            <w:r>
              <w:t>13052525P00000410091E</w:t>
            </w:r>
          </w:p>
        </w:tc>
        <w:tc>
          <w:tcPr>
            <w:tcW w:w="2835" w:type="dxa"/>
            <w:vAlign w:val="center"/>
          </w:tcPr>
          <w:p w14:paraId="6D9D8B5C">
            <w:pPr>
              <w:pStyle w:val="11"/>
            </w:pPr>
            <w:r>
              <w:t>项目名称</w:t>
            </w:r>
          </w:p>
        </w:tc>
        <w:tc>
          <w:tcPr>
            <w:tcW w:w="6095" w:type="dxa"/>
            <w:gridSpan w:val="3"/>
            <w:vAlign w:val="center"/>
          </w:tcPr>
          <w:p w14:paraId="1DDEB127">
            <w:pPr>
              <w:pStyle w:val="13"/>
            </w:pPr>
            <w:r>
              <w:t>冀财教[2024]123号/中央/2025年义教补助经费/佃户营小学公用经费</w:t>
            </w:r>
          </w:p>
        </w:tc>
      </w:tr>
      <w:tr w14:paraId="1CE8E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6117D">
            <w:pPr>
              <w:pStyle w:val="11"/>
            </w:pPr>
            <w:r>
              <w:t>预算规模及资金用途</w:t>
            </w:r>
          </w:p>
        </w:tc>
        <w:tc>
          <w:tcPr>
            <w:tcW w:w="2268" w:type="dxa"/>
            <w:vAlign w:val="center"/>
          </w:tcPr>
          <w:p w14:paraId="608A75F9">
            <w:pPr>
              <w:pStyle w:val="11"/>
            </w:pPr>
            <w:r>
              <w:t>预算数</w:t>
            </w:r>
          </w:p>
        </w:tc>
        <w:tc>
          <w:tcPr>
            <w:tcW w:w="2835" w:type="dxa"/>
            <w:vAlign w:val="center"/>
          </w:tcPr>
          <w:p w14:paraId="2A271B19">
            <w:pPr>
              <w:pStyle w:val="13"/>
            </w:pPr>
            <w:r>
              <w:t>5.71</w:t>
            </w:r>
          </w:p>
        </w:tc>
        <w:tc>
          <w:tcPr>
            <w:tcW w:w="2835" w:type="dxa"/>
            <w:vAlign w:val="center"/>
          </w:tcPr>
          <w:p w14:paraId="0E291DBA">
            <w:pPr>
              <w:pStyle w:val="11"/>
            </w:pPr>
            <w:r>
              <w:t>其中：财政    资金</w:t>
            </w:r>
          </w:p>
        </w:tc>
        <w:tc>
          <w:tcPr>
            <w:tcW w:w="2551" w:type="dxa"/>
            <w:vAlign w:val="center"/>
          </w:tcPr>
          <w:p w14:paraId="30B226D2">
            <w:pPr>
              <w:pStyle w:val="13"/>
            </w:pPr>
            <w:r>
              <w:t>5.71</w:t>
            </w:r>
          </w:p>
        </w:tc>
        <w:tc>
          <w:tcPr>
            <w:tcW w:w="2268" w:type="dxa"/>
            <w:vAlign w:val="center"/>
          </w:tcPr>
          <w:p w14:paraId="6EF05CA7">
            <w:pPr>
              <w:pStyle w:val="11"/>
            </w:pPr>
            <w:r>
              <w:t>其他资金</w:t>
            </w:r>
          </w:p>
        </w:tc>
        <w:tc>
          <w:tcPr>
            <w:tcW w:w="1276" w:type="dxa"/>
            <w:vAlign w:val="center"/>
          </w:tcPr>
          <w:p w14:paraId="03EEF35B">
            <w:pPr>
              <w:pStyle w:val="13"/>
            </w:pPr>
            <w:r>
              <w:t xml:space="preserve"> </w:t>
            </w:r>
          </w:p>
        </w:tc>
      </w:tr>
      <w:tr w14:paraId="6DA13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CA669"/>
        </w:tc>
        <w:tc>
          <w:tcPr>
            <w:tcW w:w="14033" w:type="dxa"/>
            <w:gridSpan w:val="6"/>
            <w:vAlign w:val="center"/>
          </w:tcPr>
          <w:p w14:paraId="13D76DE4">
            <w:pPr>
              <w:pStyle w:val="13"/>
            </w:pPr>
            <w:r>
              <w:t>用于有效完成学校教学安全秩序，保障学校教学任务有效开展，满足学校正常教学需要。</w:t>
            </w:r>
          </w:p>
        </w:tc>
      </w:tr>
      <w:tr w14:paraId="270CF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3E4B2">
            <w:pPr>
              <w:pStyle w:val="11"/>
            </w:pPr>
            <w:r>
              <w:t>资金支出计划（%）</w:t>
            </w:r>
          </w:p>
        </w:tc>
        <w:tc>
          <w:tcPr>
            <w:tcW w:w="5103" w:type="dxa"/>
            <w:gridSpan w:val="2"/>
            <w:vAlign w:val="center"/>
          </w:tcPr>
          <w:p w14:paraId="22862D7A">
            <w:pPr>
              <w:pStyle w:val="11"/>
            </w:pPr>
            <w:r>
              <w:t>3月底</w:t>
            </w:r>
          </w:p>
        </w:tc>
        <w:tc>
          <w:tcPr>
            <w:tcW w:w="2835" w:type="dxa"/>
            <w:vAlign w:val="center"/>
          </w:tcPr>
          <w:p w14:paraId="164C8E9F">
            <w:pPr>
              <w:pStyle w:val="11"/>
            </w:pPr>
            <w:r>
              <w:t>6月底</w:t>
            </w:r>
          </w:p>
        </w:tc>
        <w:tc>
          <w:tcPr>
            <w:tcW w:w="2551" w:type="dxa"/>
            <w:vAlign w:val="center"/>
          </w:tcPr>
          <w:p w14:paraId="27A68303">
            <w:pPr>
              <w:pStyle w:val="11"/>
            </w:pPr>
            <w:r>
              <w:t>10月底</w:t>
            </w:r>
          </w:p>
        </w:tc>
        <w:tc>
          <w:tcPr>
            <w:tcW w:w="3544" w:type="dxa"/>
            <w:gridSpan w:val="2"/>
            <w:vAlign w:val="center"/>
          </w:tcPr>
          <w:p w14:paraId="1291ADA7">
            <w:pPr>
              <w:pStyle w:val="11"/>
            </w:pPr>
            <w:r>
              <w:t>12月底</w:t>
            </w:r>
          </w:p>
        </w:tc>
      </w:tr>
      <w:tr w14:paraId="51F5A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326D9C"/>
        </w:tc>
        <w:tc>
          <w:tcPr>
            <w:tcW w:w="5103" w:type="dxa"/>
            <w:gridSpan w:val="2"/>
            <w:vAlign w:val="center"/>
          </w:tcPr>
          <w:p w14:paraId="0AD5ACAB">
            <w:pPr>
              <w:pStyle w:val="12"/>
            </w:pPr>
            <w:r>
              <w:t>25%</w:t>
            </w:r>
          </w:p>
        </w:tc>
        <w:tc>
          <w:tcPr>
            <w:tcW w:w="2835" w:type="dxa"/>
            <w:vAlign w:val="center"/>
          </w:tcPr>
          <w:p w14:paraId="1CF1A28F">
            <w:pPr>
              <w:pStyle w:val="12"/>
            </w:pPr>
            <w:r>
              <w:t>50%</w:t>
            </w:r>
          </w:p>
        </w:tc>
        <w:tc>
          <w:tcPr>
            <w:tcW w:w="2551" w:type="dxa"/>
            <w:vAlign w:val="center"/>
          </w:tcPr>
          <w:p w14:paraId="3DF9D0F2">
            <w:pPr>
              <w:pStyle w:val="12"/>
            </w:pPr>
            <w:r>
              <w:t>75%</w:t>
            </w:r>
          </w:p>
        </w:tc>
        <w:tc>
          <w:tcPr>
            <w:tcW w:w="3544" w:type="dxa"/>
            <w:gridSpan w:val="2"/>
            <w:vAlign w:val="center"/>
          </w:tcPr>
          <w:p w14:paraId="259FAA17">
            <w:pPr>
              <w:pStyle w:val="12"/>
            </w:pPr>
            <w:r>
              <w:t>100%</w:t>
            </w:r>
          </w:p>
        </w:tc>
      </w:tr>
      <w:tr w14:paraId="49E93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01153D">
            <w:pPr>
              <w:pStyle w:val="11"/>
            </w:pPr>
            <w:r>
              <w:t>绩效目标</w:t>
            </w:r>
          </w:p>
        </w:tc>
        <w:tc>
          <w:tcPr>
            <w:tcW w:w="14033" w:type="dxa"/>
            <w:gridSpan w:val="6"/>
            <w:vAlign w:val="center"/>
          </w:tcPr>
          <w:p w14:paraId="31310C08">
            <w:pPr>
              <w:pStyle w:val="13"/>
            </w:pPr>
            <w:r>
              <w:t>1.按规定拨付公用经费资金，预算执行率≥98%。</w:t>
            </w:r>
          </w:p>
          <w:p w14:paraId="51FD0198">
            <w:pPr>
              <w:pStyle w:val="13"/>
            </w:pPr>
            <w:r>
              <w:t>2.有效完成学校教学安全秩序，保障学校教学任务有效开展，满足学校正常教学需要。</w:t>
            </w:r>
          </w:p>
        </w:tc>
      </w:tr>
    </w:tbl>
    <w:p w14:paraId="508C26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94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9347F">
            <w:pPr>
              <w:pStyle w:val="11"/>
            </w:pPr>
            <w:r>
              <w:t>一级指标</w:t>
            </w:r>
          </w:p>
        </w:tc>
        <w:tc>
          <w:tcPr>
            <w:tcW w:w="2268" w:type="dxa"/>
            <w:vAlign w:val="center"/>
          </w:tcPr>
          <w:p w14:paraId="3AC862E6">
            <w:pPr>
              <w:pStyle w:val="11"/>
            </w:pPr>
            <w:r>
              <w:t>二级指标</w:t>
            </w:r>
          </w:p>
        </w:tc>
        <w:tc>
          <w:tcPr>
            <w:tcW w:w="2835" w:type="dxa"/>
            <w:vAlign w:val="center"/>
          </w:tcPr>
          <w:p w14:paraId="5BC3F4E4">
            <w:pPr>
              <w:pStyle w:val="11"/>
            </w:pPr>
            <w:r>
              <w:t>三级指标</w:t>
            </w:r>
          </w:p>
        </w:tc>
        <w:tc>
          <w:tcPr>
            <w:tcW w:w="5386" w:type="dxa"/>
            <w:vAlign w:val="center"/>
          </w:tcPr>
          <w:p w14:paraId="2DD90AEE">
            <w:pPr>
              <w:pStyle w:val="11"/>
            </w:pPr>
            <w:r>
              <w:t>绩效指标描述</w:t>
            </w:r>
          </w:p>
        </w:tc>
        <w:tc>
          <w:tcPr>
            <w:tcW w:w="2268" w:type="dxa"/>
            <w:vAlign w:val="center"/>
          </w:tcPr>
          <w:p w14:paraId="3D4AD116">
            <w:pPr>
              <w:pStyle w:val="11"/>
            </w:pPr>
            <w:r>
              <w:t>指标值</w:t>
            </w:r>
          </w:p>
        </w:tc>
        <w:tc>
          <w:tcPr>
            <w:tcW w:w="1276" w:type="dxa"/>
            <w:vAlign w:val="center"/>
          </w:tcPr>
          <w:p w14:paraId="6E48FABF">
            <w:pPr>
              <w:pStyle w:val="11"/>
            </w:pPr>
            <w:r>
              <w:t>指标值确定依据</w:t>
            </w:r>
          </w:p>
        </w:tc>
      </w:tr>
      <w:tr w14:paraId="47C97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47125">
            <w:pPr>
              <w:pStyle w:val="12"/>
            </w:pPr>
            <w:r>
              <w:t>产出指标</w:t>
            </w:r>
          </w:p>
        </w:tc>
        <w:tc>
          <w:tcPr>
            <w:tcW w:w="2268" w:type="dxa"/>
            <w:vAlign w:val="center"/>
          </w:tcPr>
          <w:p w14:paraId="09C4350E">
            <w:pPr>
              <w:pStyle w:val="13"/>
            </w:pPr>
            <w:r>
              <w:t>数量指标</w:t>
            </w:r>
          </w:p>
        </w:tc>
        <w:tc>
          <w:tcPr>
            <w:tcW w:w="2835" w:type="dxa"/>
            <w:vAlign w:val="center"/>
          </w:tcPr>
          <w:p w14:paraId="77748147">
            <w:pPr>
              <w:pStyle w:val="13"/>
            </w:pPr>
            <w:r>
              <w:t>就读学生数</w:t>
            </w:r>
          </w:p>
        </w:tc>
        <w:tc>
          <w:tcPr>
            <w:tcW w:w="5386" w:type="dxa"/>
            <w:vAlign w:val="center"/>
          </w:tcPr>
          <w:p w14:paraId="003F58D3">
            <w:pPr>
              <w:pStyle w:val="13"/>
            </w:pPr>
            <w:r>
              <w:t>辐射区域内适龄学生人数</w:t>
            </w:r>
          </w:p>
        </w:tc>
        <w:tc>
          <w:tcPr>
            <w:tcW w:w="2268" w:type="dxa"/>
            <w:vAlign w:val="center"/>
          </w:tcPr>
          <w:p w14:paraId="1B15F771">
            <w:pPr>
              <w:pStyle w:val="13"/>
            </w:pPr>
            <w:r>
              <w:t>4人</w:t>
            </w:r>
          </w:p>
        </w:tc>
        <w:tc>
          <w:tcPr>
            <w:tcW w:w="1276" w:type="dxa"/>
            <w:vAlign w:val="center"/>
          </w:tcPr>
          <w:p w14:paraId="48CA3631">
            <w:pPr>
              <w:pStyle w:val="13"/>
            </w:pPr>
            <w:r>
              <w:t>城乡义务教育公用经费管理办法</w:t>
            </w:r>
          </w:p>
        </w:tc>
      </w:tr>
      <w:tr w14:paraId="662EC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D2A51"/>
        </w:tc>
        <w:tc>
          <w:tcPr>
            <w:tcW w:w="2268" w:type="dxa"/>
            <w:vAlign w:val="center"/>
          </w:tcPr>
          <w:p w14:paraId="1221EA73">
            <w:pPr>
              <w:pStyle w:val="13"/>
            </w:pPr>
            <w:r>
              <w:t>质量指标</w:t>
            </w:r>
          </w:p>
        </w:tc>
        <w:tc>
          <w:tcPr>
            <w:tcW w:w="2835" w:type="dxa"/>
            <w:vAlign w:val="center"/>
          </w:tcPr>
          <w:p w14:paraId="25B33F8A">
            <w:pPr>
              <w:pStyle w:val="13"/>
            </w:pPr>
            <w:r>
              <w:t>预算执行率</w:t>
            </w:r>
          </w:p>
        </w:tc>
        <w:tc>
          <w:tcPr>
            <w:tcW w:w="5386" w:type="dxa"/>
            <w:vAlign w:val="center"/>
          </w:tcPr>
          <w:p w14:paraId="345D884C">
            <w:pPr>
              <w:pStyle w:val="13"/>
            </w:pPr>
            <w:r>
              <w:t>预算执行率</w:t>
            </w:r>
          </w:p>
        </w:tc>
        <w:tc>
          <w:tcPr>
            <w:tcW w:w="2268" w:type="dxa"/>
            <w:vAlign w:val="center"/>
          </w:tcPr>
          <w:p w14:paraId="555DD95B">
            <w:pPr>
              <w:pStyle w:val="13"/>
            </w:pPr>
            <w:r>
              <w:t>≥98%</w:t>
            </w:r>
          </w:p>
        </w:tc>
        <w:tc>
          <w:tcPr>
            <w:tcW w:w="1276" w:type="dxa"/>
            <w:vAlign w:val="center"/>
          </w:tcPr>
          <w:p w14:paraId="359A9961">
            <w:pPr>
              <w:pStyle w:val="13"/>
            </w:pPr>
            <w:r>
              <w:t>城乡义务教育公用经费管理办法</w:t>
            </w:r>
          </w:p>
        </w:tc>
      </w:tr>
      <w:tr w14:paraId="096AB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28FD4"/>
        </w:tc>
        <w:tc>
          <w:tcPr>
            <w:tcW w:w="2268" w:type="dxa"/>
            <w:vAlign w:val="center"/>
          </w:tcPr>
          <w:p w14:paraId="037A8F41">
            <w:pPr>
              <w:pStyle w:val="13"/>
            </w:pPr>
            <w:r>
              <w:t>时效指标</w:t>
            </w:r>
          </w:p>
        </w:tc>
        <w:tc>
          <w:tcPr>
            <w:tcW w:w="2835" w:type="dxa"/>
            <w:vAlign w:val="center"/>
          </w:tcPr>
          <w:p w14:paraId="1EA79525">
            <w:pPr>
              <w:pStyle w:val="13"/>
            </w:pPr>
            <w:r>
              <w:t>义教经费支付完成率</w:t>
            </w:r>
          </w:p>
        </w:tc>
        <w:tc>
          <w:tcPr>
            <w:tcW w:w="5386" w:type="dxa"/>
            <w:vAlign w:val="center"/>
          </w:tcPr>
          <w:p w14:paraId="7F2C00DD">
            <w:pPr>
              <w:pStyle w:val="13"/>
            </w:pPr>
            <w:r>
              <w:t>按照序时进度完成资金支付</w:t>
            </w:r>
          </w:p>
        </w:tc>
        <w:tc>
          <w:tcPr>
            <w:tcW w:w="2268" w:type="dxa"/>
            <w:vAlign w:val="center"/>
          </w:tcPr>
          <w:p w14:paraId="78A9A3F8">
            <w:pPr>
              <w:pStyle w:val="13"/>
            </w:pPr>
            <w:r>
              <w:t>≥100%</w:t>
            </w:r>
          </w:p>
        </w:tc>
        <w:tc>
          <w:tcPr>
            <w:tcW w:w="1276" w:type="dxa"/>
            <w:vAlign w:val="center"/>
          </w:tcPr>
          <w:p w14:paraId="3E5674CA">
            <w:pPr>
              <w:pStyle w:val="13"/>
            </w:pPr>
            <w:r>
              <w:t>城乡义务教育公用经费管理办法</w:t>
            </w:r>
          </w:p>
        </w:tc>
      </w:tr>
      <w:tr w14:paraId="44DA7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5FEF3"/>
        </w:tc>
        <w:tc>
          <w:tcPr>
            <w:tcW w:w="2268" w:type="dxa"/>
            <w:vAlign w:val="center"/>
          </w:tcPr>
          <w:p w14:paraId="59449A35">
            <w:pPr>
              <w:pStyle w:val="13"/>
            </w:pPr>
            <w:r>
              <w:t>成本指标</w:t>
            </w:r>
          </w:p>
        </w:tc>
        <w:tc>
          <w:tcPr>
            <w:tcW w:w="2835" w:type="dxa"/>
            <w:vAlign w:val="center"/>
          </w:tcPr>
          <w:p w14:paraId="695EDB47">
            <w:pPr>
              <w:pStyle w:val="13"/>
            </w:pPr>
            <w:r>
              <w:t>生均拨款标准</w:t>
            </w:r>
          </w:p>
        </w:tc>
        <w:tc>
          <w:tcPr>
            <w:tcW w:w="5386" w:type="dxa"/>
            <w:vAlign w:val="center"/>
          </w:tcPr>
          <w:p w14:paraId="3A5E32C1">
            <w:pPr>
              <w:pStyle w:val="13"/>
            </w:pPr>
            <w:r>
              <w:t>小学：（基本标准720元、寄宿生300元、生活补助120元）/生/学年；特教、随班就读学生：标准6000元/生/学年</w:t>
            </w:r>
          </w:p>
        </w:tc>
        <w:tc>
          <w:tcPr>
            <w:tcW w:w="2268" w:type="dxa"/>
            <w:vAlign w:val="center"/>
          </w:tcPr>
          <w:p w14:paraId="2B40B3E1">
            <w:pPr>
              <w:pStyle w:val="13"/>
            </w:pPr>
            <w:r>
              <w:t>840元</w:t>
            </w:r>
          </w:p>
        </w:tc>
        <w:tc>
          <w:tcPr>
            <w:tcW w:w="1276" w:type="dxa"/>
            <w:vAlign w:val="center"/>
          </w:tcPr>
          <w:p w14:paraId="751099A5">
            <w:pPr>
              <w:pStyle w:val="13"/>
            </w:pPr>
            <w:r>
              <w:t>城乡义务教育公用经费管理办法</w:t>
            </w:r>
          </w:p>
        </w:tc>
      </w:tr>
      <w:tr w14:paraId="37162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BB2028">
            <w:pPr>
              <w:pStyle w:val="12"/>
            </w:pPr>
            <w:r>
              <w:t>效益指标</w:t>
            </w:r>
          </w:p>
        </w:tc>
        <w:tc>
          <w:tcPr>
            <w:tcW w:w="2268" w:type="dxa"/>
            <w:vAlign w:val="center"/>
          </w:tcPr>
          <w:p w14:paraId="78DB660F">
            <w:pPr>
              <w:pStyle w:val="13"/>
            </w:pPr>
            <w:r>
              <w:t>社会效益指标</w:t>
            </w:r>
          </w:p>
        </w:tc>
        <w:tc>
          <w:tcPr>
            <w:tcW w:w="2835" w:type="dxa"/>
            <w:vAlign w:val="center"/>
          </w:tcPr>
          <w:p w14:paraId="216990F3">
            <w:pPr>
              <w:pStyle w:val="13"/>
            </w:pPr>
            <w:r>
              <w:t>学校稳定率</w:t>
            </w:r>
          </w:p>
        </w:tc>
        <w:tc>
          <w:tcPr>
            <w:tcW w:w="5386" w:type="dxa"/>
            <w:vAlign w:val="center"/>
          </w:tcPr>
          <w:p w14:paraId="48E0CAE6">
            <w:pPr>
              <w:pStyle w:val="13"/>
            </w:pPr>
            <w:r>
              <w:t>维护学校稳定，保障学校正常教学秩序有效开展</w:t>
            </w:r>
          </w:p>
        </w:tc>
        <w:tc>
          <w:tcPr>
            <w:tcW w:w="2268" w:type="dxa"/>
            <w:vAlign w:val="center"/>
          </w:tcPr>
          <w:p w14:paraId="537AD0C9">
            <w:pPr>
              <w:pStyle w:val="13"/>
            </w:pPr>
            <w:r>
              <w:t>≥100%</w:t>
            </w:r>
          </w:p>
        </w:tc>
        <w:tc>
          <w:tcPr>
            <w:tcW w:w="1276" w:type="dxa"/>
            <w:vAlign w:val="center"/>
          </w:tcPr>
          <w:p w14:paraId="196586B6">
            <w:pPr>
              <w:pStyle w:val="13"/>
            </w:pPr>
            <w:r>
              <w:t>城乡义务教育公用经费管理办法</w:t>
            </w:r>
          </w:p>
        </w:tc>
      </w:tr>
      <w:tr w14:paraId="763D4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94E39E">
            <w:pPr>
              <w:pStyle w:val="12"/>
            </w:pPr>
            <w:r>
              <w:t>满意度指标</w:t>
            </w:r>
          </w:p>
        </w:tc>
        <w:tc>
          <w:tcPr>
            <w:tcW w:w="2268" w:type="dxa"/>
            <w:vAlign w:val="center"/>
          </w:tcPr>
          <w:p w14:paraId="1486B287">
            <w:pPr>
              <w:pStyle w:val="13"/>
            </w:pPr>
            <w:r>
              <w:t>服务对象满意度指标</w:t>
            </w:r>
          </w:p>
        </w:tc>
        <w:tc>
          <w:tcPr>
            <w:tcW w:w="2835" w:type="dxa"/>
            <w:vAlign w:val="center"/>
          </w:tcPr>
          <w:p w14:paraId="2E831A79">
            <w:pPr>
              <w:pStyle w:val="13"/>
            </w:pPr>
            <w:r>
              <w:t>家长和学生满意度</w:t>
            </w:r>
          </w:p>
        </w:tc>
        <w:tc>
          <w:tcPr>
            <w:tcW w:w="5386" w:type="dxa"/>
            <w:vAlign w:val="center"/>
          </w:tcPr>
          <w:p w14:paraId="4D8B4599">
            <w:pPr>
              <w:pStyle w:val="13"/>
            </w:pPr>
            <w:r>
              <w:t>家长和学生满意度</w:t>
            </w:r>
          </w:p>
        </w:tc>
        <w:tc>
          <w:tcPr>
            <w:tcW w:w="2268" w:type="dxa"/>
            <w:vAlign w:val="center"/>
          </w:tcPr>
          <w:p w14:paraId="418391A8">
            <w:pPr>
              <w:pStyle w:val="13"/>
            </w:pPr>
            <w:r>
              <w:t>≥95%</w:t>
            </w:r>
          </w:p>
        </w:tc>
        <w:tc>
          <w:tcPr>
            <w:tcW w:w="1276" w:type="dxa"/>
            <w:vAlign w:val="center"/>
          </w:tcPr>
          <w:p w14:paraId="635F26B1">
            <w:pPr>
              <w:pStyle w:val="13"/>
            </w:pPr>
            <w:r>
              <w:t>问卷调查</w:t>
            </w:r>
          </w:p>
        </w:tc>
      </w:tr>
    </w:tbl>
    <w:p w14:paraId="3A4DC5E2">
      <w:pPr>
        <w:sectPr>
          <w:pgSz w:w="16840" w:h="11900" w:orient="landscape"/>
          <w:pgMar w:top="1361" w:right="1020" w:bottom="1134" w:left="1020" w:header="720" w:footer="720" w:gutter="0"/>
          <w:cols w:space="720" w:num="1"/>
        </w:sectPr>
      </w:pPr>
    </w:p>
    <w:p w14:paraId="4CB4465E">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7、冀财教[2024]123号/中央/2025年义教补助经费/东尚中心小学公用经费绩效目标表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D3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ECE8A">
            <w:pPr>
              <w:pStyle w:val="14"/>
            </w:pPr>
            <w:r>
              <w:t>单位：万元</w:t>
            </w:r>
          </w:p>
        </w:tc>
      </w:tr>
      <w:tr w14:paraId="5EE91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858C8">
            <w:pPr>
              <w:pStyle w:val="11"/>
            </w:pPr>
            <w:r>
              <w:t>项目编码</w:t>
            </w:r>
          </w:p>
        </w:tc>
        <w:tc>
          <w:tcPr>
            <w:tcW w:w="5103" w:type="dxa"/>
            <w:gridSpan w:val="2"/>
            <w:vAlign w:val="center"/>
          </w:tcPr>
          <w:p w14:paraId="06F7B8C8">
            <w:pPr>
              <w:pStyle w:val="13"/>
            </w:pPr>
            <w:r>
              <w:t>13052525P000004100878</w:t>
            </w:r>
          </w:p>
        </w:tc>
        <w:tc>
          <w:tcPr>
            <w:tcW w:w="2835" w:type="dxa"/>
            <w:vAlign w:val="center"/>
          </w:tcPr>
          <w:p w14:paraId="5EAFA4C6">
            <w:pPr>
              <w:pStyle w:val="11"/>
            </w:pPr>
            <w:r>
              <w:t>项目名称</w:t>
            </w:r>
          </w:p>
        </w:tc>
        <w:tc>
          <w:tcPr>
            <w:tcW w:w="6095" w:type="dxa"/>
            <w:gridSpan w:val="3"/>
            <w:vAlign w:val="center"/>
          </w:tcPr>
          <w:p w14:paraId="716F7F0E">
            <w:pPr>
              <w:pStyle w:val="13"/>
            </w:pPr>
            <w:r>
              <w:t>冀财教[2024]123号/中央/2025年义教补助经费/东尚中心小学公用经费</w:t>
            </w:r>
          </w:p>
        </w:tc>
      </w:tr>
      <w:tr w14:paraId="299CA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B1EAC">
            <w:pPr>
              <w:pStyle w:val="11"/>
            </w:pPr>
            <w:r>
              <w:t>预算规模及资金用途</w:t>
            </w:r>
          </w:p>
        </w:tc>
        <w:tc>
          <w:tcPr>
            <w:tcW w:w="2268" w:type="dxa"/>
            <w:vAlign w:val="center"/>
          </w:tcPr>
          <w:p w14:paraId="649E702F">
            <w:pPr>
              <w:pStyle w:val="11"/>
            </w:pPr>
            <w:r>
              <w:t>预算数</w:t>
            </w:r>
          </w:p>
        </w:tc>
        <w:tc>
          <w:tcPr>
            <w:tcW w:w="2835" w:type="dxa"/>
            <w:vAlign w:val="center"/>
          </w:tcPr>
          <w:p w14:paraId="0C6C35C8">
            <w:pPr>
              <w:pStyle w:val="13"/>
            </w:pPr>
            <w:r>
              <w:t>5.71</w:t>
            </w:r>
          </w:p>
        </w:tc>
        <w:tc>
          <w:tcPr>
            <w:tcW w:w="2835" w:type="dxa"/>
            <w:vAlign w:val="center"/>
          </w:tcPr>
          <w:p w14:paraId="7F78B6A7">
            <w:pPr>
              <w:pStyle w:val="11"/>
            </w:pPr>
            <w:r>
              <w:t>其中：财政    资金</w:t>
            </w:r>
          </w:p>
        </w:tc>
        <w:tc>
          <w:tcPr>
            <w:tcW w:w="2551" w:type="dxa"/>
            <w:vAlign w:val="center"/>
          </w:tcPr>
          <w:p w14:paraId="4B9016D0">
            <w:pPr>
              <w:pStyle w:val="13"/>
            </w:pPr>
            <w:r>
              <w:t>5.71</w:t>
            </w:r>
          </w:p>
        </w:tc>
        <w:tc>
          <w:tcPr>
            <w:tcW w:w="2268" w:type="dxa"/>
            <w:vAlign w:val="center"/>
          </w:tcPr>
          <w:p w14:paraId="5B502EF5">
            <w:pPr>
              <w:pStyle w:val="11"/>
            </w:pPr>
            <w:r>
              <w:t>其他资金</w:t>
            </w:r>
          </w:p>
        </w:tc>
        <w:tc>
          <w:tcPr>
            <w:tcW w:w="1276" w:type="dxa"/>
            <w:vAlign w:val="center"/>
          </w:tcPr>
          <w:p w14:paraId="5178056D">
            <w:pPr>
              <w:pStyle w:val="13"/>
            </w:pPr>
            <w:r>
              <w:t xml:space="preserve"> </w:t>
            </w:r>
          </w:p>
        </w:tc>
      </w:tr>
      <w:tr w14:paraId="7C51F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BCDBC"/>
        </w:tc>
        <w:tc>
          <w:tcPr>
            <w:tcW w:w="14033" w:type="dxa"/>
            <w:gridSpan w:val="6"/>
            <w:vAlign w:val="center"/>
          </w:tcPr>
          <w:p w14:paraId="68AF2700">
            <w:pPr>
              <w:pStyle w:val="13"/>
            </w:pPr>
            <w:r>
              <w:t>用于有效完成学校教学安全秩序，保障学校教学任务有效开展，满足学校正常教学需要。</w:t>
            </w:r>
          </w:p>
        </w:tc>
      </w:tr>
      <w:tr w14:paraId="38582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383CE">
            <w:pPr>
              <w:pStyle w:val="11"/>
            </w:pPr>
            <w:r>
              <w:t>资金支出计划（%）</w:t>
            </w:r>
          </w:p>
        </w:tc>
        <w:tc>
          <w:tcPr>
            <w:tcW w:w="5103" w:type="dxa"/>
            <w:gridSpan w:val="2"/>
            <w:vAlign w:val="center"/>
          </w:tcPr>
          <w:p w14:paraId="4E35519F">
            <w:pPr>
              <w:pStyle w:val="11"/>
            </w:pPr>
            <w:r>
              <w:t>3月底</w:t>
            </w:r>
          </w:p>
        </w:tc>
        <w:tc>
          <w:tcPr>
            <w:tcW w:w="2835" w:type="dxa"/>
            <w:vAlign w:val="center"/>
          </w:tcPr>
          <w:p w14:paraId="146B8A24">
            <w:pPr>
              <w:pStyle w:val="11"/>
            </w:pPr>
            <w:r>
              <w:t>6月底</w:t>
            </w:r>
          </w:p>
        </w:tc>
        <w:tc>
          <w:tcPr>
            <w:tcW w:w="2551" w:type="dxa"/>
            <w:vAlign w:val="center"/>
          </w:tcPr>
          <w:p w14:paraId="46E9614D">
            <w:pPr>
              <w:pStyle w:val="11"/>
            </w:pPr>
            <w:r>
              <w:t>10月底</w:t>
            </w:r>
          </w:p>
        </w:tc>
        <w:tc>
          <w:tcPr>
            <w:tcW w:w="3544" w:type="dxa"/>
            <w:gridSpan w:val="2"/>
            <w:vAlign w:val="center"/>
          </w:tcPr>
          <w:p w14:paraId="41A63B85">
            <w:pPr>
              <w:pStyle w:val="11"/>
            </w:pPr>
            <w:r>
              <w:t>12月底</w:t>
            </w:r>
          </w:p>
        </w:tc>
      </w:tr>
      <w:tr w14:paraId="226F8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D99744"/>
        </w:tc>
        <w:tc>
          <w:tcPr>
            <w:tcW w:w="5103" w:type="dxa"/>
            <w:gridSpan w:val="2"/>
            <w:vAlign w:val="center"/>
          </w:tcPr>
          <w:p w14:paraId="35E87FFA">
            <w:pPr>
              <w:pStyle w:val="12"/>
            </w:pPr>
            <w:r>
              <w:t>25%</w:t>
            </w:r>
          </w:p>
        </w:tc>
        <w:tc>
          <w:tcPr>
            <w:tcW w:w="2835" w:type="dxa"/>
            <w:vAlign w:val="center"/>
          </w:tcPr>
          <w:p w14:paraId="199D94E2">
            <w:pPr>
              <w:pStyle w:val="12"/>
            </w:pPr>
            <w:r>
              <w:t>50%</w:t>
            </w:r>
          </w:p>
        </w:tc>
        <w:tc>
          <w:tcPr>
            <w:tcW w:w="2551" w:type="dxa"/>
            <w:vAlign w:val="center"/>
          </w:tcPr>
          <w:p w14:paraId="22898B92">
            <w:pPr>
              <w:pStyle w:val="12"/>
            </w:pPr>
            <w:r>
              <w:t>75%</w:t>
            </w:r>
          </w:p>
        </w:tc>
        <w:tc>
          <w:tcPr>
            <w:tcW w:w="3544" w:type="dxa"/>
            <w:gridSpan w:val="2"/>
            <w:vAlign w:val="center"/>
          </w:tcPr>
          <w:p w14:paraId="77E977C0">
            <w:pPr>
              <w:pStyle w:val="12"/>
            </w:pPr>
            <w:r>
              <w:t>100%</w:t>
            </w:r>
          </w:p>
        </w:tc>
      </w:tr>
      <w:tr w14:paraId="235C8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80A3C3">
            <w:pPr>
              <w:pStyle w:val="11"/>
            </w:pPr>
            <w:r>
              <w:t>绩效目标</w:t>
            </w:r>
          </w:p>
        </w:tc>
        <w:tc>
          <w:tcPr>
            <w:tcW w:w="14033" w:type="dxa"/>
            <w:gridSpan w:val="6"/>
            <w:vAlign w:val="center"/>
          </w:tcPr>
          <w:p w14:paraId="34CCDF5E">
            <w:pPr>
              <w:pStyle w:val="13"/>
            </w:pPr>
            <w:r>
              <w:t>1.按规定拨付公用经费资金，预算执行率≥98%。</w:t>
            </w:r>
          </w:p>
          <w:p w14:paraId="350047AB">
            <w:pPr>
              <w:pStyle w:val="13"/>
            </w:pPr>
            <w:r>
              <w:t>2.有效完成学校教学安全秩序，保障学校教学任务有效开展，满足学校正常教学需要。</w:t>
            </w:r>
          </w:p>
        </w:tc>
      </w:tr>
    </w:tbl>
    <w:p w14:paraId="5B633A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69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62529">
            <w:pPr>
              <w:pStyle w:val="11"/>
            </w:pPr>
            <w:r>
              <w:t>一级指标</w:t>
            </w:r>
          </w:p>
        </w:tc>
        <w:tc>
          <w:tcPr>
            <w:tcW w:w="2268" w:type="dxa"/>
            <w:vAlign w:val="center"/>
          </w:tcPr>
          <w:p w14:paraId="76B309D0">
            <w:pPr>
              <w:pStyle w:val="11"/>
            </w:pPr>
            <w:r>
              <w:t>二级指标</w:t>
            </w:r>
          </w:p>
        </w:tc>
        <w:tc>
          <w:tcPr>
            <w:tcW w:w="2835" w:type="dxa"/>
            <w:vAlign w:val="center"/>
          </w:tcPr>
          <w:p w14:paraId="268675A1">
            <w:pPr>
              <w:pStyle w:val="11"/>
            </w:pPr>
            <w:r>
              <w:t>三级指标</w:t>
            </w:r>
          </w:p>
        </w:tc>
        <w:tc>
          <w:tcPr>
            <w:tcW w:w="5386" w:type="dxa"/>
            <w:vAlign w:val="center"/>
          </w:tcPr>
          <w:p w14:paraId="66C3B30D">
            <w:pPr>
              <w:pStyle w:val="11"/>
            </w:pPr>
            <w:r>
              <w:t>绩效指标描述</w:t>
            </w:r>
          </w:p>
        </w:tc>
        <w:tc>
          <w:tcPr>
            <w:tcW w:w="2268" w:type="dxa"/>
            <w:vAlign w:val="center"/>
          </w:tcPr>
          <w:p w14:paraId="5A9026B8">
            <w:pPr>
              <w:pStyle w:val="11"/>
            </w:pPr>
            <w:r>
              <w:t>指标值</w:t>
            </w:r>
          </w:p>
        </w:tc>
        <w:tc>
          <w:tcPr>
            <w:tcW w:w="1276" w:type="dxa"/>
            <w:vAlign w:val="center"/>
          </w:tcPr>
          <w:p w14:paraId="0BB11FC1">
            <w:pPr>
              <w:pStyle w:val="11"/>
            </w:pPr>
            <w:r>
              <w:t>指标值确定依据</w:t>
            </w:r>
          </w:p>
        </w:tc>
      </w:tr>
      <w:tr w14:paraId="65F3C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55034">
            <w:pPr>
              <w:pStyle w:val="12"/>
            </w:pPr>
            <w:r>
              <w:t>产出指标</w:t>
            </w:r>
          </w:p>
        </w:tc>
        <w:tc>
          <w:tcPr>
            <w:tcW w:w="2268" w:type="dxa"/>
            <w:vAlign w:val="center"/>
          </w:tcPr>
          <w:p w14:paraId="6AE4432F">
            <w:pPr>
              <w:pStyle w:val="13"/>
            </w:pPr>
            <w:r>
              <w:t>数量指标</w:t>
            </w:r>
          </w:p>
        </w:tc>
        <w:tc>
          <w:tcPr>
            <w:tcW w:w="2835" w:type="dxa"/>
            <w:vAlign w:val="center"/>
          </w:tcPr>
          <w:p w14:paraId="572B3F65">
            <w:pPr>
              <w:pStyle w:val="13"/>
            </w:pPr>
            <w:r>
              <w:t>就读学生数</w:t>
            </w:r>
          </w:p>
        </w:tc>
        <w:tc>
          <w:tcPr>
            <w:tcW w:w="5386" w:type="dxa"/>
            <w:vAlign w:val="center"/>
          </w:tcPr>
          <w:p w14:paraId="0AC569D0">
            <w:pPr>
              <w:pStyle w:val="13"/>
            </w:pPr>
            <w:r>
              <w:t>辐射区域内适龄学生人数</w:t>
            </w:r>
          </w:p>
        </w:tc>
        <w:tc>
          <w:tcPr>
            <w:tcW w:w="2268" w:type="dxa"/>
            <w:vAlign w:val="center"/>
          </w:tcPr>
          <w:p w14:paraId="07F131AE">
            <w:pPr>
              <w:pStyle w:val="13"/>
            </w:pPr>
            <w:r>
              <w:t>98人</w:t>
            </w:r>
          </w:p>
        </w:tc>
        <w:tc>
          <w:tcPr>
            <w:tcW w:w="1276" w:type="dxa"/>
            <w:vAlign w:val="center"/>
          </w:tcPr>
          <w:p w14:paraId="4531A5E1">
            <w:pPr>
              <w:pStyle w:val="13"/>
            </w:pPr>
            <w:r>
              <w:t>城乡义务教育公用经费管理办法</w:t>
            </w:r>
          </w:p>
        </w:tc>
      </w:tr>
      <w:tr w14:paraId="4C656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DCC0A"/>
        </w:tc>
        <w:tc>
          <w:tcPr>
            <w:tcW w:w="2268" w:type="dxa"/>
            <w:vAlign w:val="center"/>
          </w:tcPr>
          <w:p w14:paraId="2809B944">
            <w:pPr>
              <w:pStyle w:val="13"/>
            </w:pPr>
            <w:r>
              <w:t>质量指标</w:t>
            </w:r>
          </w:p>
        </w:tc>
        <w:tc>
          <w:tcPr>
            <w:tcW w:w="2835" w:type="dxa"/>
            <w:vAlign w:val="center"/>
          </w:tcPr>
          <w:p w14:paraId="1712B226">
            <w:pPr>
              <w:pStyle w:val="13"/>
            </w:pPr>
            <w:r>
              <w:t>预算执行率</w:t>
            </w:r>
          </w:p>
        </w:tc>
        <w:tc>
          <w:tcPr>
            <w:tcW w:w="5386" w:type="dxa"/>
            <w:vAlign w:val="center"/>
          </w:tcPr>
          <w:p w14:paraId="3CC771C8">
            <w:pPr>
              <w:pStyle w:val="13"/>
            </w:pPr>
            <w:r>
              <w:t>预算执行率</w:t>
            </w:r>
          </w:p>
        </w:tc>
        <w:tc>
          <w:tcPr>
            <w:tcW w:w="2268" w:type="dxa"/>
            <w:vAlign w:val="center"/>
          </w:tcPr>
          <w:p w14:paraId="4BE30D25">
            <w:pPr>
              <w:pStyle w:val="13"/>
            </w:pPr>
            <w:r>
              <w:t>≥98%</w:t>
            </w:r>
          </w:p>
        </w:tc>
        <w:tc>
          <w:tcPr>
            <w:tcW w:w="1276" w:type="dxa"/>
            <w:vAlign w:val="center"/>
          </w:tcPr>
          <w:p w14:paraId="42F6F8C8">
            <w:pPr>
              <w:pStyle w:val="13"/>
            </w:pPr>
            <w:r>
              <w:t>城乡义务教育公用经费管理办法</w:t>
            </w:r>
          </w:p>
        </w:tc>
      </w:tr>
      <w:tr w14:paraId="4BDFB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57504"/>
        </w:tc>
        <w:tc>
          <w:tcPr>
            <w:tcW w:w="2268" w:type="dxa"/>
            <w:vAlign w:val="center"/>
          </w:tcPr>
          <w:p w14:paraId="15829047">
            <w:pPr>
              <w:pStyle w:val="13"/>
            </w:pPr>
            <w:r>
              <w:t>时效指标</w:t>
            </w:r>
          </w:p>
        </w:tc>
        <w:tc>
          <w:tcPr>
            <w:tcW w:w="2835" w:type="dxa"/>
            <w:vAlign w:val="center"/>
          </w:tcPr>
          <w:p w14:paraId="4F64CAA4">
            <w:pPr>
              <w:pStyle w:val="13"/>
            </w:pPr>
            <w:r>
              <w:t>义教经费支付完成率</w:t>
            </w:r>
          </w:p>
        </w:tc>
        <w:tc>
          <w:tcPr>
            <w:tcW w:w="5386" w:type="dxa"/>
            <w:vAlign w:val="center"/>
          </w:tcPr>
          <w:p w14:paraId="7E09F524">
            <w:pPr>
              <w:pStyle w:val="13"/>
            </w:pPr>
            <w:r>
              <w:t>按照序时进度完成资金支付</w:t>
            </w:r>
          </w:p>
        </w:tc>
        <w:tc>
          <w:tcPr>
            <w:tcW w:w="2268" w:type="dxa"/>
            <w:vAlign w:val="center"/>
          </w:tcPr>
          <w:p w14:paraId="65F32D69">
            <w:pPr>
              <w:pStyle w:val="13"/>
            </w:pPr>
            <w:r>
              <w:t>≥100%</w:t>
            </w:r>
          </w:p>
        </w:tc>
        <w:tc>
          <w:tcPr>
            <w:tcW w:w="1276" w:type="dxa"/>
            <w:vAlign w:val="center"/>
          </w:tcPr>
          <w:p w14:paraId="2ED7CD25">
            <w:pPr>
              <w:pStyle w:val="13"/>
            </w:pPr>
            <w:r>
              <w:t>城乡义务教育公用经费管理办法</w:t>
            </w:r>
          </w:p>
        </w:tc>
      </w:tr>
      <w:tr w14:paraId="7C5B9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9AE2F"/>
        </w:tc>
        <w:tc>
          <w:tcPr>
            <w:tcW w:w="2268" w:type="dxa"/>
            <w:vAlign w:val="center"/>
          </w:tcPr>
          <w:p w14:paraId="0EA3F38D">
            <w:pPr>
              <w:pStyle w:val="13"/>
            </w:pPr>
            <w:r>
              <w:t>成本指标</w:t>
            </w:r>
          </w:p>
        </w:tc>
        <w:tc>
          <w:tcPr>
            <w:tcW w:w="2835" w:type="dxa"/>
            <w:vAlign w:val="center"/>
          </w:tcPr>
          <w:p w14:paraId="0D947078">
            <w:pPr>
              <w:pStyle w:val="13"/>
            </w:pPr>
            <w:r>
              <w:t>生均拨款标准</w:t>
            </w:r>
          </w:p>
        </w:tc>
        <w:tc>
          <w:tcPr>
            <w:tcW w:w="5386" w:type="dxa"/>
            <w:vAlign w:val="center"/>
          </w:tcPr>
          <w:p w14:paraId="77F14A53">
            <w:pPr>
              <w:pStyle w:val="13"/>
            </w:pPr>
            <w:r>
              <w:t>小学：（基本标准720元、寄宿生300元、生活补助120元）/生/学年；特教、随班就读学生：标准6000元/生/学年</w:t>
            </w:r>
          </w:p>
        </w:tc>
        <w:tc>
          <w:tcPr>
            <w:tcW w:w="2268" w:type="dxa"/>
            <w:vAlign w:val="center"/>
          </w:tcPr>
          <w:p w14:paraId="3A05B4E3">
            <w:pPr>
              <w:pStyle w:val="13"/>
            </w:pPr>
            <w:r>
              <w:t>840元</w:t>
            </w:r>
          </w:p>
        </w:tc>
        <w:tc>
          <w:tcPr>
            <w:tcW w:w="1276" w:type="dxa"/>
            <w:vAlign w:val="center"/>
          </w:tcPr>
          <w:p w14:paraId="4920E150">
            <w:pPr>
              <w:pStyle w:val="13"/>
            </w:pPr>
            <w:r>
              <w:t>城乡义务教育公用经费管理办法</w:t>
            </w:r>
          </w:p>
        </w:tc>
      </w:tr>
      <w:tr w14:paraId="3DD34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CA6784">
            <w:pPr>
              <w:pStyle w:val="12"/>
            </w:pPr>
            <w:r>
              <w:t>效益指标</w:t>
            </w:r>
          </w:p>
        </w:tc>
        <w:tc>
          <w:tcPr>
            <w:tcW w:w="2268" w:type="dxa"/>
            <w:vAlign w:val="center"/>
          </w:tcPr>
          <w:p w14:paraId="0CA6F024">
            <w:pPr>
              <w:pStyle w:val="13"/>
            </w:pPr>
            <w:r>
              <w:t>社会效益指标</w:t>
            </w:r>
          </w:p>
        </w:tc>
        <w:tc>
          <w:tcPr>
            <w:tcW w:w="2835" w:type="dxa"/>
            <w:vAlign w:val="center"/>
          </w:tcPr>
          <w:p w14:paraId="06185C65">
            <w:pPr>
              <w:pStyle w:val="13"/>
            </w:pPr>
            <w:r>
              <w:t>学校稳定率</w:t>
            </w:r>
          </w:p>
        </w:tc>
        <w:tc>
          <w:tcPr>
            <w:tcW w:w="5386" w:type="dxa"/>
            <w:vAlign w:val="center"/>
          </w:tcPr>
          <w:p w14:paraId="73E001B5">
            <w:pPr>
              <w:pStyle w:val="13"/>
            </w:pPr>
            <w:r>
              <w:t>维护学校稳定，保障学校正常教学秩序有效开展</w:t>
            </w:r>
          </w:p>
        </w:tc>
        <w:tc>
          <w:tcPr>
            <w:tcW w:w="2268" w:type="dxa"/>
            <w:vAlign w:val="center"/>
          </w:tcPr>
          <w:p w14:paraId="38A339FA">
            <w:pPr>
              <w:pStyle w:val="13"/>
            </w:pPr>
            <w:r>
              <w:t>≥100%</w:t>
            </w:r>
          </w:p>
        </w:tc>
        <w:tc>
          <w:tcPr>
            <w:tcW w:w="1276" w:type="dxa"/>
            <w:vAlign w:val="center"/>
          </w:tcPr>
          <w:p w14:paraId="6762674C">
            <w:pPr>
              <w:pStyle w:val="13"/>
            </w:pPr>
            <w:r>
              <w:t>城乡义务教育公用经费管理办法</w:t>
            </w:r>
          </w:p>
        </w:tc>
      </w:tr>
      <w:tr w14:paraId="58D23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DA2835">
            <w:pPr>
              <w:pStyle w:val="12"/>
            </w:pPr>
            <w:r>
              <w:t>满意度指标</w:t>
            </w:r>
          </w:p>
        </w:tc>
        <w:tc>
          <w:tcPr>
            <w:tcW w:w="2268" w:type="dxa"/>
            <w:vAlign w:val="center"/>
          </w:tcPr>
          <w:p w14:paraId="095FEE11">
            <w:pPr>
              <w:pStyle w:val="13"/>
            </w:pPr>
            <w:r>
              <w:t>服务对象满意度指标</w:t>
            </w:r>
          </w:p>
        </w:tc>
        <w:tc>
          <w:tcPr>
            <w:tcW w:w="2835" w:type="dxa"/>
            <w:vAlign w:val="center"/>
          </w:tcPr>
          <w:p w14:paraId="1BB0954A">
            <w:pPr>
              <w:pStyle w:val="13"/>
            </w:pPr>
            <w:r>
              <w:t>家长和学生满意度</w:t>
            </w:r>
          </w:p>
        </w:tc>
        <w:tc>
          <w:tcPr>
            <w:tcW w:w="5386" w:type="dxa"/>
            <w:vAlign w:val="center"/>
          </w:tcPr>
          <w:p w14:paraId="5A6591DE">
            <w:pPr>
              <w:pStyle w:val="13"/>
            </w:pPr>
            <w:r>
              <w:t>家长和学生满意度</w:t>
            </w:r>
          </w:p>
        </w:tc>
        <w:tc>
          <w:tcPr>
            <w:tcW w:w="2268" w:type="dxa"/>
            <w:vAlign w:val="center"/>
          </w:tcPr>
          <w:p w14:paraId="4059E47C">
            <w:pPr>
              <w:pStyle w:val="13"/>
            </w:pPr>
            <w:r>
              <w:t>≥95%</w:t>
            </w:r>
          </w:p>
        </w:tc>
        <w:tc>
          <w:tcPr>
            <w:tcW w:w="1276" w:type="dxa"/>
            <w:vAlign w:val="center"/>
          </w:tcPr>
          <w:p w14:paraId="3B3395AB">
            <w:pPr>
              <w:pStyle w:val="13"/>
            </w:pPr>
            <w:r>
              <w:t>问卷调查</w:t>
            </w:r>
          </w:p>
        </w:tc>
      </w:tr>
    </w:tbl>
    <w:p w14:paraId="7CC8AFE6">
      <w:pPr>
        <w:sectPr>
          <w:pgSz w:w="16840" w:h="11900" w:orient="landscape"/>
          <w:pgMar w:top="1361" w:right="1020" w:bottom="1134" w:left="1020" w:header="720" w:footer="720" w:gutter="0"/>
          <w:cols w:space="720" w:num="1"/>
        </w:sectPr>
      </w:pPr>
    </w:p>
    <w:p w14:paraId="030ED500">
      <w:pPr>
        <w:spacing w:before="0" w:after="0"/>
        <w:ind w:firstLine="560"/>
        <w:jc w:val="left"/>
        <w:outlineLvl w:val="9"/>
      </w:pPr>
      <w:r>
        <w:rPr>
          <w:rFonts w:ascii="方正仿宋_GBK" w:hAnsi="方正仿宋_GBK" w:eastAsia="方正仿宋_GBK" w:cs="方正仿宋_GBK"/>
          <w:b/>
          <w:color w:val="000000"/>
          <w:sz w:val="28"/>
        </w:rPr>
        <w:t>8、冀财教[2024]123号/中央/2025年义教补助经费/后庄中心小学公用经费绩效目标表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99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8DCA5">
            <w:pPr>
              <w:pStyle w:val="14"/>
            </w:pPr>
            <w:r>
              <w:t>单位：万元</w:t>
            </w:r>
          </w:p>
        </w:tc>
      </w:tr>
      <w:tr w14:paraId="35408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000F1">
            <w:pPr>
              <w:pStyle w:val="11"/>
            </w:pPr>
            <w:r>
              <w:t>项目编码</w:t>
            </w:r>
          </w:p>
        </w:tc>
        <w:tc>
          <w:tcPr>
            <w:tcW w:w="5103" w:type="dxa"/>
            <w:gridSpan w:val="2"/>
            <w:vAlign w:val="center"/>
          </w:tcPr>
          <w:p w14:paraId="03D8A57F">
            <w:pPr>
              <w:pStyle w:val="13"/>
            </w:pPr>
            <w:r>
              <w:t>13052525P00000410088U</w:t>
            </w:r>
          </w:p>
        </w:tc>
        <w:tc>
          <w:tcPr>
            <w:tcW w:w="2835" w:type="dxa"/>
            <w:vAlign w:val="center"/>
          </w:tcPr>
          <w:p w14:paraId="529AECAB">
            <w:pPr>
              <w:pStyle w:val="11"/>
            </w:pPr>
            <w:r>
              <w:t>项目名称</w:t>
            </w:r>
          </w:p>
        </w:tc>
        <w:tc>
          <w:tcPr>
            <w:tcW w:w="6095" w:type="dxa"/>
            <w:gridSpan w:val="3"/>
            <w:vAlign w:val="center"/>
          </w:tcPr>
          <w:p w14:paraId="0D31C8D0">
            <w:pPr>
              <w:pStyle w:val="13"/>
            </w:pPr>
            <w:r>
              <w:t>冀财教[2024]123号/中央/2025年义教补助经费/后庄中心小学公用经费</w:t>
            </w:r>
          </w:p>
        </w:tc>
      </w:tr>
      <w:tr w14:paraId="5BA91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A5DE1">
            <w:pPr>
              <w:pStyle w:val="11"/>
            </w:pPr>
            <w:r>
              <w:t>预算规模及资金用途</w:t>
            </w:r>
          </w:p>
        </w:tc>
        <w:tc>
          <w:tcPr>
            <w:tcW w:w="2268" w:type="dxa"/>
            <w:vAlign w:val="center"/>
          </w:tcPr>
          <w:p w14:paraId="1744DC82">
            <w:pPr>
              <w:pStyle w:val="11"/>
            </w:pPr>
            <w:r>
              <w:t>预算数</w:t>
            </w:r>
          </w:p>
        </w:tc>
        <w:tc>
          <w:tcPr>
            <w:tcW w:w="2835" w:type="dxa"/>
            <w:vAlign w:val="center"/>
          </w:tcPr>
          <w:p w14:paraId="01CFDCDE">
            <w:pPr>
              <w:pStyle w:val="13"/>
            </w:pPr>
            <w:r>
              <w:t>5.71</w:t>
            </w:r>
          </w:p>
        </w:tc>
        <w:tc>
          <w:tcPr>
            <w:tcW w:w="2835" w:type="dxa"/>
            <w:vAlign w:val="center"/>
          </w:tcPr>
          <w:p w14:paraId="57EC60EA">
            <w:pPr>
              <w:pStyle w:val="11"/>
            </w:pPr>
            <w:r>
              <w:t>其中：财政    资金</w:t>
            </w:r>
          </w:p>
        </w:tc>
        <w:tc>
          <w:tcPr>
            <w:tcW w:w="2551" w:type="dxa"/>
            <w:vAlign w:val="center"/>
          </w:tcPr>
          <w:p w14:paraId="3789A43D">
            <w:pPr>
              <w:pStyle w:val="13"/>
            </w:pPr>
            <w:r>
              <w:t>5.71</w:t>
            </w:r>
          </w:p>
        </w:tc>
        <w:tc>
          <w:tcPr>
            <w:tcW w:w="2268" w:type="dxa"/>
            <w:vAlign w:val="center"/>
          </w:tcPr>
          <w:p w14:paraId="4F01C184">
            <w:pPr>
              <w:pStyle w:val="11"/>
            </w:pPr>
            <w:r>
              <w:t>其他资金</w:t>
            </w:r>
          </w:p>
        </w:tc>
        <w:tc>
          <w:tcPr>
            <w:tcW w:w="1276" w:type="dxa"/>
            <w:vAlign w:val="center"/>
          </w:tcPr>
          <w:p w14:paraId="583C8B4D">
            <w:pPr>
              <w:pStyle w:val="13"/>
            </w:pPr>
            <w:r>
              <w:t xml:space="preserve"> </w:t>
            </w:r>
          </w:p>
        </w:tc>
      </w:tr>
      <w:tr w14:paraId="5F90EB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6911F"/>
        </w:tc>
        <w:tc>
          <w:tcPr>
            <w:tcW w:w="14033" w:type="dxa"/>
            <w:gridSpan w:val="6"/>
            <w:vAlign w:val="center"/>
          </w:tcPr>
          <w:p w14:paraId="7F6D6462">
            <w:pPr>
              <w:pStyle w:val="13"/>
            </w:pPr>
            <w:r>
              <w:t>有效完成学校教学安全秩序，保障学校教学任务有效开展，满足学校正常教学需要。</w:t>
            </w:r>
          </w:p>
        </w:tc>
      </w:tr>
      <w:tr w14:paraId="5F7ED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9EBF5">
            <w:pPr>
              <w:pStyle w:val="11"/>
            </w:pPr>
            <w:r>
              <w:t>资金支出计划（%）</w:t>
            </w:r>
          </w:p>
        </w:tc>
        <w:tc>
          <w:tcPr>
            <w:tcW w:w="5103" w:type="dxa"/>
            <w:gridSpan w:val="2"/>
            <w:vAlign w:val="center"/>
          </w:tcPr>
          <w:p w14:paraId="1872DE2B">
            <w:pPr>
              <w:pStyle w:val="11"/>
            </w:pPr>
            <w:r>
              <w:t>3月底</w:t>
            </w:r>
          </w:p>
        </w:tc>
        <w:tc>
          <w:tcPr>
            <w:tcW w:w="2835" w:type="dxa"/>
            <w:vAlign w:val="center"/>
          </w:tcPr>
          <w:p w14:paraId="7CA8B402">
            <w:pPr>
              <w:pStyle w:val="11"/>
            </w:pPr>
            <w:r>
              <w:t>6月底</w:t>
            </w:r>
          </w:p>
        </w:tc>
        <w:tc>
          <w:tcPr>
            <w:tcW w:w="2551" w:type="dxa"/>
            <w:vAlign w:val="center"/>
          </w:tcPr>
          <w:p w14:paraId="6D50966E">
            <w:pPr>
              <w:pStyle w:val="11"/>
            </w:pPr>
            <w:r>
              <w:t>10月底</w:t>
            </w:r>
          </w:p>
        </w:tc>
        <w:tc>
          <w:tcPr>
            <w:tcW w:w="3544" w:type="dxa"/>
            <w:gridSpan w:val="2"/>
            <w:vAlign w:val="center"/>
          </w:tcPr>
          <w:p w14:paraId="04880253">
            <w:pPr>
              <w:pStyle w:val="11"/>
            </w:pPr>
            <w:r>
              <w:t>12月底</w:t>
            </w:r>
          </w:p>
        </w:tc>
      </w:tr>
      <w:tr w14:paraId="0AC61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46E02"/>
        </w:tc>
        <w:tc>
          <w:tcPr>
            <w:tcW w:w="5103" w:type="dxa"/>
            <w:gridSpan w:val="2"/>
            <w:vAlign w:val="center"/>
          </w:tcPr>
          <w:p w14:paraId="0A0BD44F">
            <w:pPr>
              <w:pStyle w:val="12"/>
            </w:pPr>
            <w:r>
              <w:t>25%</w:t>
            </w:r>
          </w:p>
        </w:tc>
        <w:tc>
          <w:tcPr>
            <w:tcW w:w="2835" w:type="dxa"/>
            <w:vAlign w:val="center"/>
          </w:tcPr>
          <w:p w14:paraId="30CA1701">
            <w:pPr>
              <w:pStyle w:val="12"/>
            </w:pPr>
            <w:r>
              <w:t>50%</w:t>
            </w:r>
          </w:p>
        </w:tc>
        <w:tc>
          <w:tcPr>
            <w:tcW w:w="2551" w:type="dxa"/>
            <w:vAlign w:val="center"/>
          </w:tcPr>
          <w:p w14:paraId="0981242B">
            <w:pPr>
              <w:pStyle w:val="12"/>
            </w:pPr>
            <w:r>
              <w:t>75%</w:t>
            </w:r>
          </w:p>
        </w:tc>
        <w:tc>
          <w:tcPr>
            <w:tcW w:w="3544" w:type="dxa"/>
            <w:gridSpan w:val="2"/>
            <w:vAlign w:val="center"/>
          </w:tcPr>
          <w:p w14:paraId="136BF794">
            <w:pPr>
              <w:pStyle w:val="12"/>
            </w:pPr>
            <w:r>
              <w:t>100%</w:t>
            </w:r>
          </w:p>
        </w:tc>
      </w:tr>
      <w:tr w14:paraId="1A0CF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B94A9C">
            <w:pPr>
              <w:pStyle w:val="11"/>
            </w:pPr>
            <w:r>
              <w:t>绩效目标</w:t>
            </w:r>
          </w:p>
        </w:tc>
        <w:tc>
          <w:tcPr>
            <w:tcW w:w="14033" w:type="dxa"/>
            <w:gridSpan w:val="6"/>
            <w:vAlign w:val="center"/>
          </w:tcPr>
          <w:p w14:paraId="538E8BC8">
            <w:pPr>
              <w:pStyle w:val="13"/>
            </w:pPr>
            <w:r>
              <w:t>1.按规定拨付公用经费资金，预算执行率≥98%。</w:t>
            </w:r>
          </w:p>
          <w:p w14:paraId="1EAABE3E">
            <w:pPr>
              <w:pStyle w:val="13"/>
            </w:pPr>
            <w:r>
              <w:t>2.有效完成学校教学安全秩序，保障学校教学任务有效开展，满足学校正常教学需要。</w:t>
            </w:r>
          </w:p>
        </w:tc>
      </w:tr>
    </w:tbl>
    <w:p w14:paraId="60352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E67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1BFAD">
            <w:pPr>
              <w:pStyle w:val="11"/>
            </w:pPr>
            <w:r>
              <w:t>一级指标</w:t>
            </w:r>
          </w:p>
        </w:tc>
        <w:tc>
          <w:tcPr>
            <w:tcW w:w="2268" w:type="dxa"/>
            <w:vAlign w:val="center"/>
          </w:tcPr>
          <w:p w14:paraId="58710CE0">
            <w:pPr>
              <w:pStyle w:val="11"/>
            </w:pPr>
            <w:r>
              <w:t>二级指标</w:t>
            </w:r>
          </w:p>
        </w:tc>
        <w:tc>
          <w:tcPr>
            <w:tcW w:w="2835" w:type="dxa"/>
            <w:vAlign w:val="center"/>
          </w:tcPr>
          <w:p w14:paraId="68EC88A0">
            <w:pPr>
              <w:pStyle w:val="11"/>
            </w:pPr>
            <w:r>
              <w:t>三级指标</w:t>
            </w:r>
          </w:p>
        </w:tc>
        <w:tc>
          <w:tcPr>
            <w:tcW w:w="5386" w:type="dxa"/>
            <w:vAlign w:val="center"/>
          </w:tcPr>
          <w:p w14:paraId="0FBB2BEB">
            <w:pPr>
              <w:pStyle w:val="11"/>
            </w:pPr>
            <w:r>
              <w:t>绩效指标描述</w:t>
            </w:r>
          </w:p>
        </w:tc>
        <w:tc>
          <w:tcPr>
            <w:tcW w:w="2268" w:type="dxa"/>
            <w:vAlign w:val="center"/>
          </w:tcPr>
          <w:p w14:paraId="0F48DD35">
            <w:pPr>
              <w:pStyle w:val="11"/>
            </w:pPr>
            <w:r>
              <w:t>指标值</w:t>
            </w:r>
          </w:p>
        </w:tc>
        <w:tc>
          <w:tcPr>
            <w:tcW w:w="1276" w:type="dxa"/>
            <w:vAlign w:val="center"/>
          </w:tcPr>
          <w:p w14:paraId="1F01F2AA">
            <w:pPr>
              <w:pStyle w:val="11"/>
            </w:pPr>
            <w:r>
              <w:t>指标值确定依据</w:t>
            </w:r>
          </w:p>
        </w:tc>
      </w:tr>
      <w:tr w14:paraId="42CB0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A5C8C">
            <w:pPr>
              <w:pStyle w:val="12"/>
            </w:pPr>
            <w:r>
              <w:t>产出指标</w:t>
            </w:r>
          </w:p>
        </w:tc>
        <w:tc>
          <w:tcPr>
            <w:tcW w:w="2268" w:type="dxa"/>
            <w:vAlign w:val="center"/>
          </w:tcPr>
          <w:p w14:paraId="1FE843AF">
            <w:pPr>
              <w:pStyle w:val="13"/>
            </w:pPr>
            <w:r>
              <w:t>数量指标</w:t>
            </w:r>
          </w:p>
        </w:tc>
        <w:tc>
          <w:tcPr>
            <w:tcW w:w="2835" w:type="dxa"/>
            <w:vAlign w:val="center"/>
          </w:tcPr>
          <w:p w14:paraId="6B5E9F99">
            <w:pPr>
              <w:pStyle w:val="13"/>
            </w:pPr>
            <w:r>
              <w:t>就读学生数</w:t>
            </w:r>
          </w:p>
        </w:tc>
        <w:tc>
          <w:tcPr>
            <w:tcW w:w="5386" w:type="dxa"/>
            <w:vAlign w:val="center"/>
          </w:tcPr>
          <w:p w14:paraId="603EE905">
            <w:pPr>
              <w:pStyle w:val="13"/>
            </w:pPr>
            <w:r>
              <w:t>辐射区域内适龄学生人数</w:t>
            </w:r>
          </w:p>
        </w:tc>
        <w:tc>
          <w:tcPr>
            <w:tcW w:w="2268" w:type="dxa"/>
            <w:vAlign w:val="center"/>
          </w:tcPr>
          <w:p w14:paraId="3D6270DC">
            <w:pPr>
              <w:pStyle w:val="13"/>
            </w:pPr>
            <w:r>
              <w:t>90人</w:t>
            </w:r>
          </w:p>
        </w:tc>
        <w:tc>
          <w:tcPr>
            <w:tcW w:w="1276" w:type="dxa"/>
            <w:vAlign w:val="center"/>
          </w:tcPr>
          <w:p w14:paraId="7DA006D4">
            <w:pPr>
              <w:pStyle w:val="13"/>
            </w:pPr>
            <w:r>
              <w:t>城乡义务教育公用经费管理办法</w:t>
            </w:r>
          </w:p>
        </w:tc>
      </w:tr>
      <w:tr w14:paraId="04CC8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4E861"/>
        </w:tc>
        <w:tc>
          <w:tcPr>
            <w:tcW w:w="2268" w:type="dxa"/>
            <w:vAlign w:val="center"/>
          </w:tcPr>
          <w:p w14:paraId="7A3A0318">
            <w:pPr>
              <w:pStyle w:val="13"/>
            </w:pPr>
            <w:r>
              <w:t>质量指标</w:t>
            </w:r>
          </w:p>
        </w:tc>
        <w:tc>
          <w:tcPr>
            <w:tcW w:w="2835" w:type="dxa"/>
            <w:vAlign w:val="center"/>
          </w:tcPr>
          <w:p w14:paraId="4870859A">
            <w:pPr>
              <w:pStyle w:val="13"/>
            </w:pPr>
            <w:r>
              <w:t>预算执行率</w:t>
            </w:r>
          </w:p>
        </w:tc>
        <w:tc>
          <w:tcPr>
            <w:tcW w:w="5386" w:type="dxa"/>
            <w:vAlign w:val="center"/>
          </w:tcPr>
          <w:p w14:paraId="16C2CA16">
            <w:pPr>
              <w:pStyle w:val="13"/>
            </w:pPr>
            <w:r>
              <w:t>预算执行率</w:t>
            </w:r>
          </w:p>
        </w:tc>
        <w:tc>
          <w:tcPr>
            <w:tcW w:w="2268" w:type="dxa"/>
            <w:vAlign w:val="center"/>
          </w:tcPr>
          <w:p w14:paraId="221CDC1B">
            <w:pPr>
              <w:pStyle w:val="13"/>
            </w:pPr>
            <w:r>
              <w:t>≥98%</w:t>
            </w:r>
          </w:p>
        </w:tc>
        <w:tc>
          <w:tcPr>
            <w:tcW w:w="1276" w:type="dxa"/>
            <w:vAlign w:val="center"/>
          </w:tcPr>
          <w:p w14:paraId="1E61BE69">
            <w:pPr>
              <w:pStyle w:val="13"/>
            </w:pPr>
            <w:r>
              <w:t>城乡义务教育公用经费管理办法</w:t>
            </w:r>
          </w:p>
        </w:tc>
      </w:tr>
      <w:tr w14:paraId="7986C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B54B1"/>
        </w:tc>
        <w:tc>
          <w:tcPr>
            <w:tcW w:w="2268" w:type="dxa"/>
            <w:vAlign w:val="center"/>
          </w:tcPr>
          <w:p w14:paraId="50422D59">
            <w:pPr>
              <w:pStyle w:val="13"/>
            </w:pPr>
            <w:r>
              <w:t>时效指标</w:t>
            </w:r>
          </w:p>
        </w:tc>
        <w:tc>
          <w:tcPr>
            <w:tcW w:w="2835" w:type="dxa"/>
            <w:vAlign w:val="center"/>
          </w:tcPr>
          <w:p w14:paraId="57D4D870">
            <w:pPr>
              <w:pStyle w:val="13"/>
            </w:pPr>
            <w:r>
              <w:t>义教经费支付完成率</w:t>
            </w:r>
          </w:p>
        </w:tc>
        <w:tc>
          <w:tcPr>
            <w:tcW w:w="5386" w:type="dxa"/>
            <w:vAlign w:val="center"/>
          </w:tcPr>
          <w:p w14:paraId="6C938AC7">
            <w:pPr>
              <w:pStyle w:val="13"/>
            </w:pPr>
            <w:r>
              <w:t>按照序时进度完成资金支付</w:t>
            </w:r>
          </w:p>
        </w:tc>
        <w:tc>
          <w:tcPr>
            <w:tcW w:w="2268" w:type="dxa"/>
            <w:vAlign w:val="center"/>
          </w:tcPr>
          <w:p w14:paraId="41A1B504">
            <w:pPr>
              <w:pStyle w:val="13"/>
            </w:pPr>
            <w:r>
              <w:t>≥100%</w:t>
            </w:r>
          </w:p>
        </w:tc>
        <w:tc>
          <w:tcPr>
            <w:tcW w:w="1276" w:type="dxa"/>
            <w:vAlign w:val="center"/>
          </w:tcPr>
          <w:p w14:paraId="7A438FDD">
            <w:pPr>
              <w:pStyle w:val="13"/>
            </w:pPr>
            <w:r>
              <w:t>城乡义务教育公用经费管理办法</w:t>
            </w:r>
          </w:p>
        </w:tc>
      </w:tr>
      <w:tr w14:paraId="0DA42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2468C"/>
        </w:tc>
        <w:tc>
          <w:tcPr>
            <w:tcW w:w="2268" w:type="dxa"/>
            <w:vAlign w:val="center"/>
          </w:tcPr>
          <w:p w14:paraId="06A05530">
            <w:pPr>
              <w:pStyle w:val="13"/>
            </w:pPr>
            <w:r>
              <w:t>成本指标</w:t>
            </w:r>
          </w:p>
        </w:tc>
        <w:tc>
          <w:tcPr>
            <w:tcW w:w="2835" w:type="dxa"/>
            <w:vAlign w:val="center"/>
          </w:tcPr>
          <w:p w14:paraId="7FA63982">
            <w:pPr>
              <w:pStyle w:val="13"/>
            </w:pPr>
            <w:r>
              <w:t>生均拨款标准</w:t>
            </w:r>
          </w:p>
        </w:tc>
        <w:tc>
          <w:tcPr>
            <w:tcW w:w="5386" w:type="dxa"/>
            <w:vAlign w:val="center"/>
          </w:tcPr>
          <w:p w14:paraId="581829D2">
            <w:pPr>
              <w:pStyle w:val="13"/>
            </w:pPr>
            <w:r>
              <w:t>小学：（基本标准720元、寄宿生300元、生活补助120元）/生/学年；特教、随班就读学生：标准6000元/生/学年</w:t>
            </w:r>
          </w:p>
        </w:tc>
        <w:tc>
          <w:tcPr>
            <w:tcW w:w="2268" w:type="dxa"/>
            <w:vAlign w:val="center"/>
          </w:tcPr>
          <w:p w14:paraId="3CC3782A">
            <w:pPr>
              <w:pStyle w:val="13"/>
            </w:pPr>
            <w:r>
              <w:t>840元</w:t>
            </w:r>
          </w:p>
        </w:tc>
        <w:tc>
          <w:tcPr>
            <w:tcW w:w="1276" w:type="dxa"/>
            <w:vAlign w:val="center"/>
          </w:tcPr>
          <w:p w14:paraId="083992D0">
            <w:pPr>
              <w:pStyle w:val="13"/>
            </w:pPr>
            <w:r>
              <w:t>城乡义务教育公用经费管理办法</w:t>
            </w:r>
          </w:p>
        </w:tc>
      </w:tr>
      <w:tr w14:paraId="2AE87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19389F">
            <w:pPr>
              <w:pStyle w:val="12"/>
            </w:pPr>
            <w:r>
              <w:t>效益指标</w:t>
            </w:r>
          </w:p>
        </w:tc>
        <w:tc>
          <w:tcPr>
            <w:tcW w:w="2268" w:type="dxa"/>
            <w:vAlign w:val="center"/>
          </w:tcPr>
          <w:p w14:paraId="5C30C46F">
            <w:pPr>
              <w:pStyle w:val="13"/>
            </w:pPr>
            <w:r>
              <w:t>社会效益指标</w:t>
            </w:r>
          </w:p>
        </w:tc>
        <w:tc>
          <w:tcPr>
            <w:tcW w:w="2835" w:type="dxa"/>
            <w:vAlign w:val="center"/>
          </w:tcPr>
          <w:p w14:paraId="52F6C033">
            <w:pPr>
              <w:pStyle w:val="13"/>
            </w:pPr>
            <w:r>
              <w:t>学校稳定率</w:t>
            </w:r>
          </w:p>
        </w:tc>
        <w:tc>
          <w:tcPr>
            <w:tcW w:w="5386" w:type="dxa"/>
            <w:vAlign w:val="center"/>
          </w:tcPr>
          <w:p w14:paraId="312F381E">
            <w:pPr>
              <w:pStyle w:val="13"/>
            </w:pPr>
            <w:r>
              <w:t>维护学校稳定，保障学校正常教学秩序有效开展</w:t>
            </w:r>
          </w:p>
        </w:tc>
        <w:tc>
          <w:tcPr>
            <w:tcW w:w="2268" w:type="dxa"/>
            <w:vAlign w:val="center"/>
          </w:tcPr>
          <w:p w14:paraId="2421F5E4">
            <w:pPr>
              <w:pStyle w:val="13"/>
            </w:pPr>
            <w:r>
              <w:t>≥100%</w:t>
            </w:r>
          </w:p>
        </w:tc>
        <w:tc>
          <w:tcPr>
            <w:tcW w:w="1276" w:type="dxa"/>
            <w:vAlign w:val="center"/>
          </w:tcPr>
          <w:p w14:paraId="6C0CCBD0">
            <w:pPr>
              <w:pStyle w:val="13"/>
            </w:pPr>
            <w:r>
              <w:t>城乡义务教育公用经费管理办法</w:t>
            </w:r>
          </w:p>
        </w:tc>
      </w:tr>
      <w:tr w14:paraId="767AB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4A9DD7">
            <w:pPr>
              <w:pStyle w:val="12"/>
            </w:pPr>
            <w:r>
              <w:t>满意度指标</w:t>
            </w:r>
          </w:p>
        </w:tc>
        <w:tc>
          <w:tcPr>
            <w:tcW w:w="2268" w:type="dxa"/>
            <w:vAlign w:val="center"/>
          </w:tcPr>
          <w:p w14:paraId="0B1EDF79">
            <w:pPr>
              <w:pStyle w:val="13"/>
            </w:pPr>
            <w:r>
              <w:t>服务对象满意度指标</w:t>
            </w:r>
          </w:p>
        </w:tc>
        <w:tc>
          <w:tcPr>
            <w:tcW w:w="2835" w:type="dxa"/>
            <w:vAlign w:val="center"/>
          </w:tcPr>
          <w:p w14:paraId="23A14506">
            <w:pPr>
              <w:pStyle w:val="13"/>
            </w:pPr>
            <w:r>
              <w:t>家长和学生满意度</w:t>
            </w:r>
          </w:p>
        </w:tc>
        <w:tc>
          <w:tcPr>
            <w:tcW w:w="5386" w:type="dxa"/>
            <w:vAlign w:val="center"/>
          </w:tcPr>
          <w:p w14:paraId="7A00248A">
            <w:pPr>
              <w:pStyle w:val="13"/>
            </w:pPr>
            <w:r>
              <w:t>家长和学生满意度</w:t>
            </w:r>
          </w:p>
        </w:tc>
        <w:tc>
          <w:tcPr>
            <w:tcW w:w="2268" w:type="dxa"/>
            <w:vAlign w:val="center"/>
          </w:tcPr>
          <w:p w14:paraId="26D79351">
            <w:pPr>
              <w:pStyle w:val="13"/>
            </w:pPr>
            <w:r>
              <w:t>≥95%</w:t>
            </w:r>
          </w:p>
        </w:tc>
        <w:tc>
          <w:tcPr>
            <w:tcW w:w="1276" w:type="dxa"/>
            <w:vAlign w:val="center"/>
          </w:tcPr>
          <w:p w14:paraId="534260C2">
            <w:pPr>
              <w:pStyle w:val="13"/>
            </w:pPr>
            <w:r>
              <w:t>问卷调查</w:t>
            </w:r>
          </w:p>
        </w:tc>
      </w:tr>
    </w:tbl>
    <w:p w14:paraId="0548DF23">
      <w:pPr>
        <w:sectPr>
          <w:pgSz w:w="16840" w:h="11900" w:orient="landscape"/>
          <w:pgMar w:top="1361" w:right="1020" w:bottom="1134" w:left="1020" w:header="720" w:footer="720" w:gutter="0"/>
          <w:cols w:space="720" w:num="1"/>
        </w:sectPr>
      </w:pPr>
    </w:p>
    <w:p w14:paraId="40BFFB1D">
      <w:pPr>
        <w:spacing w:before="0" w:after="0"/>
        <w:ind w:firstLine="560"/>
        <w:jc w:val="left"/>
        <w:outlineLvl w:val="9"/>
      </w:pPr>
      <w:r>
        <w:rPr>
          <w:rFonts w:ascii="方正仿宋_GBK" w:hAnsi="方正仿宋_GBK" w:eastAsia="方正仿宋_GBK" w:cs="方正仿宋_GBK"/>
          <w:b/>
          <w:color w:val="000000"/>
          <w:sz w:val="28"/>
        </w:rPr>
        <w:t>9、冀财教[2024]123号/中央/2025年义教补助经费/齐村小学公用经费绩效目标表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A1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0F5B3">
            <w:pPr>
              <w:pStyle w:val="14"/>
            </w:pPr>
            <w:r>
              <w:t>单位：万元</w:t>
            </w:r>
          </w:p>
        </w:tc>
      </w:tr>
      <w:tr w14:paraId="196BF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34382">
            <w:pPr>
              <w:pStyle w:val="11"/>
            </w:pPr>
            <w:r>
              <w:t>项目编码</w:t>
            </w:r>
          </w:p>
        </w:tc>
        <w:tc>
          <w:tcPr>
            <w:tcW w:w="5103" w:type="dxa"/>
            <w:gridSpan w:val="2"/>
            <w:vAlign w:val="center"/>
          </w:tcPr>
          <w:p w14:paraId="3A21E425">
            <w:pPr>
              <w:pStyle w:val="13"/>
            </w:pPr>
            <w:r>
              <w:t>13052525P00000410090T</w:t>
            </w:r>
          </w:p>
        </w:tc>
        <w:tc>
          <w:tcPr>
            <w:tcW w:w="2835" w:type="dxa"/>
            <w:vAlign w:val="center"/>
          </w:tcPr>
          <w:p w14:paraId="70A44637">
            <w:pPr>
              <w:pStyle w:val="11"/>
            </w:pPr>
            <w:r>
              <w:t>项目名称</w:t>
            </w:r>
          </w:p>
        </w:tc>
        <w:tc>
          <w:tcPr>
            <w:tcW w:w="6095" w:type="dxa"/>
            <w:gridSpan w:val="3"/>
            <w:vAlign w:val="center"/>
          </w:tcPr>
          <w:p w14:paraId="7B6611DC">
            <w:pPr>
              <w:pStyle w:val="13"/>
            </w:pPr>
            <w:r>
              <w:t>冀财教[2024]123号/中央/2025年义教补助经费/齐村小学公用经费</w:t>
            </w:r>
          </w:p>
        </w:tc>
      </w:tr>
      <w:tr w14:paraId="0D4CC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A709B">
            <w:pPr>
              <w:pStyle w:val="11"/>
            </w:pPr>
            <w:r>
              <w:t>预算规模及资金用途</w:t>
            </w:r>
          </w:p>
        </w:tc>
        <w:tc>
          <w:tcPr>
            <w:tcW w:w="2268" w:type="dxa"/>
            <w:vAlign w:val="center"/>
          </w:tcPr>
          <w:p w14:paraId="5399D532">
            <w:pPr>
              <w:pStyle w:val="11"/>
            </w:pPr>
            <w:r>
              <w:t>预算数</w:t>
            </w:r>
          </w:p>
        </w:tc>
        <w:tc>
          <w:tcPr>
            <w:tcW w:w="2835" w:type="dxa"/>
            <w:vAlign w:val="center"/>
          </w:tcPr>
          <w:p w14:paraId="34E35C3E">
            <w:pPr>
              <w:pStyle w:val="13"/>
            </w:pPr>
            <w:r>
              <w:t>41.64</w:t>
            </w:r>
          </w:p>
        </w:tc>
        <w:tc>
          <w:tcPr>
            <w:tcW w:w="2835" w:type="dxa"/>
            <w:vAlign w:val="center"/>
          </w:tcPr>
          <w:p w14:paraId="4C0D66A2">
            <w:pPr>
              <w:pStyle w:val="11"/>
            </w:pPr>
            <w:r>
              <w:t>其中：财政    资金</w:t>
            </w:r>
          </w:p>
        </w:tc>
        <w:tc>
          <w:tcPr>
            <w:tcW w:w="2551" w:type="dxa"/>
            <w:vAlign w:val="center"/>
          </w:tcPr>
          <w:p w14:paraId="30E3080A">
            <w:pPr>
              <w:pStyle w:val="13"/>
            </w:pPr>
            <w:r>
              <w:t>41.64</w:t>
            </w:r>
          </w:p>
        </w:tc>
        <w:tc>
          <w:tcPr>
            <w:tcW w:w="2268" w:type="dxa"/>
            <w:vAlign w:val="center"/>
          </w:tcPr>
          <w:p w14:paraId="498E7705">
            <w:pPr>
              <w:pStyle w:val="11"/>
            </w:pPr>
            <w:r>
              <w:t>其他资金</w:t>
            </w:r>
          </w:p>
        </w:tc>
        <w:tc>
          <w:tcPr>
            <w:tcW w:w="1276" w:type="dxa"/>
            <w:vAlign w:val="center"/>
          </w:tcPr>
          <w:p w14:paraId="1D0B2960">
            <w:pPr>
              <w:pStyle w:val="13"/>
            </w:pPr>
            <w:r>
              <w:t xml:space="preserve"> </w:t>
            </w:r>
          </w:p>
        </w:tc>
      </w:tr>
      <w:tr w14:paraId="299CC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74F1C"/>
        </w:tc>
        <w:tc>
          <w:tcPr>
            <w:tcW w:w="14033" w:type="dxa"/>
            <w:gridSpan w:val="6"/>
            <w:vAlign w:val="center"/>
          </w:tcPr>
          <w:p w14:paraId="128FC51D">
            <w:pPr>
              <w:pStyle w:val="13"/>
            </w:pPr>
            <w:r>
              <w:t>用于有效完成学校教学安全秩序，保障学校教学任务有效开展，满足学校正常教学需要。</w:t>
            </w:r>
          </w:p>
        </w:tc>
      </w:tr>
      <w:tr w14:paraId="1094E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3DF5D">
            <w:pPr>
              <w:pStyle w:val="11"/>
            </w:pPr>
            <w:r>
              <w:t>资金支出计划（%）</w:t>
            </w:r>
          </w:p>
        </w:tc>
        <w:tc>
          <w:tcPr>
            <w:tcW w:w="5103" w:type="dxa"/>
            <w:gridSpan w:val="2"/>
            <w:vAlign w:val="center"/>
          </w:tcPr>
          <w:p w14:paraId="319B6621">
            <w:pPr>
              <w:pStyle w:val="11"/>
            </w:pPr>
            <w:r>
              <w:t>3月底</w:t>
            </w:r>
          </w:p>
        </w:tc>
        <w:tc>
          <w:tcPr>
            <w:tcW w:w="2835" w:type="dxa"/>
            <w:vAlign w:val="center"/>
          </w:tcPr>
          <w:p w14:paraId="24C491B4">
            <w:pPr>
              <w:pStyle w:val="11"/>
            </w:pPr>
            <w:r>
              <w:t>6月底</w:t>
            </w:r>
          </w:p>
        </w:tc>
        <w:tc>
          <w:tcPr>
            <w:tcW w:w="2551" w:type="dxa"/>
            <w:vAlign w:val="center"/>
          </w:tcPr>
          <w:p w14:paraId="026B2D10">
            <w:pPr>
              <w:pStyle w:val="11"/>
            </w:pPr>
            <w:r>
              <w:t>10月底</w:t>
            </w:r>
          </w:p>
        </w:tc>
        <w:tc>
          <w:tcPr>
            <w:tcW w:w="3544" w:type="dxa"/>
            <w:gridSpan w:val="2"/>
            <w:vAlign w:val="center"/>
          </w:tcPr>
          <w:p w14:paraId="6185ACBD">
            <w:pPr>
              <w:pStyle w:val="11"/>
            </w:pPr>
            <w:r>
              <w:t>12月底</w:t>
            </w:r>
          </w:p>
        </w:tc>
      </w:tr>
      <w:tr w14:paraId="77058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A64F7"/>
        </w:tc>
        <w:tc>
          <w:tcPr>
            <w:tcW w:w="5103" w:type="dxa"/>
            <w:gridSpan w:val="2"/>
            <w:vAlign w:val="center"/>
          </w:tcPr>
          <w:p w14:paraId="731D2E2D">
            <w:pPr>
              <w:pStyle w:val="12"/>
            </w:pPr>
            <w:r>
              <w:t>25%</w:t>
            </w:r>
          </w:p>
        </w:tc>
        <w:tc>
          <w:tcPr>
            <w:tcW w:w="2835" w:type="dxa"/>
            <w:vAlign w:val="center"/>
          </w:tcPr>
          <w:p w14:paraId="0608F768">
            <w:pPr>
              <w:pStyle w:val="12"/>
            </w:pPr>
            <w:r>
              <w:t>50%</w:t>
            </w:r>
          </w:p>
        </w:tc>
        <w:tc>
          <w:tcPr>
            <w:tcW w:w="2551" w:type="dxa"/>
            <w:vAlign w:val="center"/>
          </w:tcPr>
          <w:p w14:paraId="1010E29C">
            <w:pPr>
              <w:pStyle w:val="12"/>
            </w:pPr>
            <w:r>
              <w:t>75%</w:t>
            </w:r>
          </w:p>
        </w:tc>
        <w:tc>
          <w:tcPr>
            <w:tcW w:w="3544" w:type="dxa"/>
            <w:gridSpan w:val="2"/>
            <w:vAlign w:val="center"/>
          </w:tcPr>
          <w:p w14:paraId="4AA00E5E">
            <w:pPr>
              <w:pStyle w:val="12"/>
            </w:pPr>
            <w:r>
              <w:t>100%</w:t>
            </w:r>
          </w:p>
        </w:tc>
      </w:tr>
      <w:tr w14:paraId="28A9F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F1ED34">
            <w:pPr>
              <w:pStyle w:val="11"/>
            </w:pPr>
            <w:r>
              <w:t>绩效目标</w:t>
            </w:r>
          </w:p>
        </w:tc>
        <w:tc>
          <w:tcPr>
            <w:tcW w:w="14033" w:type="dxa"/>
            <w:gridSpan w:val="6"/>
            <w:vAlign w:val="center"/>
          </w:tcPr>
          <w:p w14:paraId="62815336">
            <w:pPr>
              <w:pStyle w:val="13"/>
            </w:pPr>
            <w:r>
              <w:t>1.按规定拨付公用经费资金，预算执行率≥98%。</w:t>
            </w:r>
          </w:p>
          <w:p w14:paraId="14BA206A">
            <w:pPr>
              <w:pStyle w:val="13"/>
            </w:pPr>
            <w:r>
              <w:t>2.有效完成学校教学安全秩序，保障学校教学任务有效开展，满足学校正常教学需要。</w:t>
            </w:r>
          </w:p>
        </w:tc>
      </w:tr>
    </w:tbl>
    <w:p w14:paraId="257D1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9E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EA775">
            <w:pPr>
              <w:pStyle w:val="11"/>
            </w:pPr>
            <w:r>
              <w:t>一级指标</w:t>
            </w:r>
          </w:p>
        </w:tc>
        <w:tc>
          <w:tcPr>
            <w:tcW w:w="2268" w:type="dxa"/>
            <w:vAlign w:val="center"/>
          </w:tcPr>
          <w:p w14:paraId="12A2027C">
            <w:pPr>
              <w:pStyle w:val="11"/>
            </w:pPr>
            <w:r>
              <w:t>二级指标</w:t>
            </w:r>
          </w:p>
        </w:tc>
        <w:tc>
          <w:tcPr>
            <w:tcW w:w="2835" w:type="dxa"/>
            <w:vAlign w:val="center"/>
          </w:tcPr>
          <w:p w14:paraId="2336E699">
            <w:pPr>
              <w:pStyle w:val="11"/>
            </w:pPr>
            <w:r>
              <w:t>三级指标</w:t>
            </w:r>
          </w:p>
        </w:tc>
        <w:tc>
          <w:tcPr>
            <w:tcW w:w="5386" w:type="dxa"/>
            <w:vAlign w:val="center"/>
          </w:tcPr>
          <w:p w14:paraId="7AE69522">
            <w:pPr>
              <w:pStyle w:val="11"/>
            </w:pPr>
            <w:r>
              <w:t>绩效指标描述</w:t>
            </w:r>
          </w:p>
        </w:tc>
        <w:tc>
          <w:tcPr>
            <w:tcW w:w="2268" w:type="dxa"/>
            <w:vAlign w:val="center"/>
          </w:tcPr>
          <w:p w14:paraId="48A52D05">
            <w:pPr>
              <w:pStyle w:val="11"/>
            </w:pPr>
            <w:r>
              <w:t>指标值</w:t>
            </w:r>
          </w:p>
        </w:tc>
        <w:tc>
          <w:tcPr>
            <w:tcW w:w="1276" w:type="dxa"/>
            <w:vAlign w:val="center"/>
          </w:tcPr>
          <w:p w14:paraId="2B8CBDCB">
            <w:pPr>
              <w:pStyle w:val="11"/>
            </w:pPr>
            <w:r>
              <w:t>指标值确定依据</w:t>
            </w:r>
          </w:p>
        </w:tc>
      </w:tr>
      <w:tr w14:paraId="747E5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224CD">
            <w:pPr>
              <w:pStyle w:val="12"/>
            </w:pPr>
            <w:r>
              <w:t>产出指标</w:t>
            </w:r>
          </w:p>
        </w:tc>
        <w:tc>
          <w:tcPr>
            <w:tcW w:w="2268" w:type="dxa"/>
            <w:vAlign w:val="center"/>
          </w:tcPr>
          <w:p w14:paraId="7D51B8CF">
            <w:pPr>
              <w:pStyle w:val="13"/>
            </w:pPr>
            <w:r>
              <w:t>数量指标</w:t>
            </w:r>
          </w:p>
        </w:tc>
        <w:tc>
          <w:tcPr>
            <w:tcW w:w="2835" w:type="dxa"/>
            <w:vAlign w:val="center"/>
          </w:tcPr>
          <w:p w14:paraId="50AA3979">
            <w:pPr>
              <w:pStyle w:val="13"/>
            </w:pPr>
            <w:r>
              <w:t>就读学生数</w:t>
            </w:r>
          </w:p>
        </w:tc>
        <w:tc>
          <w:tcPr>
            <w:tcW w:w="5386" w:type="dxa"/>
            <w:vAlign w:val="center"/>
          </w:tcPr>
          <w:p w14:paraId="344BD718">
            <w:pPr>
              <w:pStyle w:val="13"/>
            </w:pPr>
            <w:r>
              <w:t>辐射区域内适龄学生人数</w:t>
            </w:r>
          </w:p>
        </w:tc>
        <w:tc>
          <w:tcPr>
            <w:tcW w:w="2268" w:type="dxa"/>
            <w:vAlign w:val="center"/>
          </w:tcPr>
          <w:p w14:paraId="333A2E46">
            <w:pPr>
              <w:pStyle w:val="13"/>
            </w:pPr>
            <w:r>
              <w:t>700人</w:t>
            </w:r>
          </w:p>
        </w:tc>
        <w:tc>
          <w:tcPr>
            <w:tcW w:w="1276" w:type="dxa"/>
            <w:vAlign w:val="center"/>
          </w:tcPr>
          <w:p w14:paraId="34B0F8AE">
            <w:pPr>
              <w:pStyle w:val="13"/>
            </w:pPr>
            <w:r>
              <w:t>城乡义务教育公用经费管理办法</w:t>
            </w:r>
          </w:p>
        </w:tc>
      </w:tr>
      <w:tr w14:paraId="5C0C5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0E772"/>
        </w:tc>
        <w:tc>
          <w:tcPr>
            <w:tcW w:w="2268" w:type="dxa"/>
            <w:vAlign w:val="center"/>
          </w:tcPr>
          <w:p w14:paraId="3066F973">
            <w:pPr>
              <w:pStyle w:val="13"/>
            </w:pPr>
            <w:r>
              <w:t>质量指标</w:t>
            </w:r>
          </w:p>
        </w:tc>
        <w:tc>
          <w:tcPr>
            <w:tcW w:w="2835" w:type="dxa"/>
            <w:vAlign w:val="center"/>
          </w:tcPr>
          <w:p w14:paraId="47734743">
            <w:pPr>
              <w:pStyle w:val="13"/>
            </w:pPr>
            <w:r>
              <w:t>预算执行率</w:t>
            </w:r>
          </w:p>
        </w:tc>
        <w:tc>
          <w:tcPr>
            <w:tcW w:w="5386" w:type="dxa"/>
            <w:vAlign w:val="center"/>
          </w:tcPr>
          <w:p w14:paraId="65FAC2D2">
            <w:pPr>
              <w:pStyle w:val="13"/>
            </w:pPr>
            <w:r>
              <w:t>预算执行率</w:t>
            </w:r>
          </w:p>
        </w:tc>
        <w:tc>
          <w:tcPr>
            <w:tcW w:w="2268" w:type="dxa"/>
            <w:vAlign w:val="center"/>
          </w:tcPr>
          <w:p w14:paraId="1485CD2E">
            <w:pPr>
              <w:pStyle w:val="13"/>
            </w:pPr>
            <w:r>
              <w:t>≥98%</w:t>
            </w:r>
          </w:p>
        </w:tc>
        <w:tc>
          <w:tcPr>
            <w:tcW w:w="1276" w:type="dxa"/>
            <w:vAlign w:val="center"/>
          </w:tcPr>
          <w:p w14:paraId="4F4D16B8">
            <w:pPr>
              <w:pStyle w:val="13"/>
            </w:pPr>
            <w:r>
              <w:t>城乡义务教育公用经费管理办法</w:t>
            </w:r>
          </w:p>
        </w:tc>
      </w:tr>
      <w:tr w14:paraId="62283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2D104"/>
        </w:tc>
        <w:tc>
          <w:tcPr>
            <w:tcW w:w="2268" w:type="dxa"/>
            <w:vAlign w:val="center"/>
          </w:tcPr>
          <w:p w14:paraId="54963AE6">
            <w:pPr>
              <w:pStyle w:val="13"/>
            </w:pPr>
            <w:r>
              <w:t>时效指标</w:t>
            </w:r>
          </w:p>
        </w:tc>
        <w:tc>
          <w:tcPr>
            <w:tcW w:w="2835" w:type="dxa"/>
            <w:vAlign w:val="center"/>
          </w:tcPr>
          <w:p w14:paraId="38DAEF69">
            <w:pPr>
              <w:pStyle w:val="13"/>
            </w:pPr>
            <w:r>
              <w:t>义教经费支付完成率</w:t>
            </w:r>
          </w:p>
        </w:tc>
        <w:tc>
          <w:tcPr>
            <w:tcW w:w="5386" w:type="dxa"/>
            <w:vAlign w:val="center"/>
          </w:tcPr>
          <w:p w14:paraId="5D54D079">
            <w:pPr>
              <w:pStyle w:val="13"/>
            </w:pPr>
            <w:r>
              <w:t>按照序时进度完成资金支付</w:t>
            </w:r>
          </w:p>
        </w:tc>
        <w:tc>
          <w:tcPr>
            <w:tcW w:w="2268" w:type="dxa"/>
            <w:vAlign w:val="center"/>
          </w:tcPr>
          <w:p w14:paraId="026EAD06">
            <w:pPr>
              <w:pStyle w:val="13"/>
            </w:pPr>
            <w:r>
              <w:t>≥100%</w:t>
            </w:r>
          </w:p>
        </w:tc>
        <w:tc>
          <w:tcPr>
            <w:tcW w:w="1276" w:type="dxa"/>
            <w:vAlign w:val="center"/>
          </w:tcPr>
          <w:p w14:paraId="43B49140">
            <w:pPr>
              <w:pStyle w:val="13"/>
            </w:pPr>
            <w:r>
              <w:t>城乡义务教育公用经费管理办法</w:t>
            </w:r>
          </w:p>
        </w:tc>
      </w:tr>
      <w:tr w14:paraId="69EE4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EDE27"/>
        </w:tc>
        <w:tc>
          <w:tcPr>
            <w:tcW w:w="2268" w:type="dxa"/>
            <w:vAlign w:val="center"/>
          </w:tcPr>
          <w:p w14:paraId="09523C6F">
            <w:pPr>
              <w:pStyle w:val="13"/>
            </w:pPr>
            <w:r>
              <w:t>成本指标</w:t>
            </w:r>
          </w:p>
        </w:tc>
        <w:tc>
          <w:tcPr>
            <w:tcW w:w="2835" w:type="dxa"/>
            <w:vAlign w:val="center"/>
          </w:tcPr>
          <w:p w14:paraId="002F12F9">
            <w:pPr>
              <w:pStyle w:val="13"/>
            </w:pPr>
            <w:r>
              <w:t>生均拨款标准</w:t>
            </w:r>
          </w:p>
        </w:tc>
        <w:tc>
          <w:tcPr>
            <w:tcW w:w="5386" w:type="dxa"/>
            <w:vAlign w:val="center"/>
          </w:tcPr>
          <w:p w14:paraId="51756E6D">
            <w:pPr>
              <w:pStyle w:val="13"/>
            </w:pPr>
            <w:r>
              <w:t>小学：（基本标准720元、寄宿生300元、生活补助120元）/生/学年；特教、随班就读学生：标准6000元/生/学年</w:t>
            </w:r>
          </w:p>
        </w:tc>
        <w:tc>
          <w:tcPr>
            <w:tcW w:w="2268" w:type="dxa"/>
            <w:vAlign w:val="center"/>
          </w:tcPr>
          <w:p w14:paraId="79DF7F22">
            <w:pPr>
              <w:pStyle w:val="13"/>
            </w:pPr>
            <w:r>
              <w:t>840元</w:t>
            </w:r>
          </w:p>
        </w:tc>
        <w:tc>
          <w:tcPr>
            <w:tcW w:w="1276" w:type="dxa"/>
            <w:vAlign w:val="center"/>
          </w:tcPr>
          <w:p w14:paraId="0FEDC3F5">
            <w:pPr>
              <w:pStyle w:val="13"/>
            </w:pPr>
            <w:r>
              <w:t>城乡义务教育公用经费管理办法</w:t>
            </w:r>
          </w:p>
        </w:tc>
      </w:tr>
      <w:tr w14:paraId="2E379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CA1631">
            <w:pPr>
              <w:pStyle w:val="12"/>
            </w:pPr>
            <w:r>
              <w:t>效益指标</w:t>
            </w:r>
          </w:p>
        </w:tc>
        <w:tc>
          <w:tcPr>
            <w:tcW w:w="2268" w:type="dxa"/>
            <w:vAlign w:val="center"/>
          </w:tcPr>
          <w:p w14:paraId="780ED654">
            <w:pPr>
              <w:pStyle w:val="13"/>
            </w:pPr>
            <w:r>
              <w:t>社会效益指标</w:t>
            </w:r>
          </w:p>
        </w:tc>
        <w:tc>
          <w:tcPr>
            <w:tcW w:w="2835" w:type="dxa"/>
            <w:vAlign w:val="center"/>
          </w:tcPr>
          <w:p w14:paraId="358AD67C">
            <w:pPr>
              <w:pStyle w:val="13"/>
            </w:pPr>
            <w:r>
              <w:t>学校稳定率</w:t>
            </w:r>
          </w:p>
        </w:tc>
        <w:tc>
          <w:tcPr>
            <w:tcW w:w="5386" w:type="dxa"/>
            <w:vAlign w:val="center"/>
          </w:tcPr>
          <w:p w14:paraId="243ADAF8">
            <w:pPr>
              <w:pStyle w:val="13"/>
            </w:pPr>
            <w:r>
              <w:t>维护学校稳定，保障学校正常教学秩序有效开展</w:t>
            </w:r>
          </w:p>
        </w:tc>
        <w:tc>
          <w:tcPr>
            <w:tcW w:w="2268" w:type="dxa"/>
            <w:vAlign w:val="center"/>
          </w:tcPr>
          <w:p w14:paraId="43B45C49">
            <w:pPr>
              <w:pStyle w:val="13"/>
            </w:pPr>
            <w:r>
              <w:t>≥100%</w:t>
            </w:r>
          </w:p>
        </w:tc>
        <w:tc>
          <w:tcPr>
            <w:tcW w:w="1276" w:type="dxa"/>
            <w:vAlign w:val="center"/>
          </w:tcPr>
          <w:p w14:paraId="6FF2EC06">
            <w:pPr>
              <w:pStyle w:val="13"/>
            </w:pPr>
            <w:r>
              <w:t>城乡义务教育公用经费管理办法</w:t>
            </w:r>
          </w:p>
        </w:tc>
      </w:tr>
      <w:tr w14:paraId="42FDF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CCF6CF">
            <w:pPr>
              <w:pStyle w:val="12"/>
            </w:pPr>
            <w:r>
              <w:t>满意度指标</w:t>
            </w:r>
          </w:p>
        </w:tc>
        <w:tc>
          <w:tcPr>
            <w:tcW w:w="2268" w:type="dxa"/>
            <w:vAlign w:val="center"/>
          </w:tcPr>
          <w:p w14:paraId="48BB8712">
            <w:pPr>
              <w:pStyle w:val="13"/>
            </w:pPr>
            <w:r>
              <w:t>服务对象满意度指标</w:t>
            </w:r>
          </w:p>
        </w:tc>
        <w:tc>
          <w:tcPr>
            <w:tcW w:w="2835" w:type="dxa"/>
            <w:vAlign w:val="center"/>
          </w:tcPr>
          <w:p w14:paraId="21D656D8">
            <w:pPr>
              <w:pStyle w:val="13"/>
            </w:pPr>
            <w:r>
              <w:t>家长和学生满意度</w:t>
            </w:r>
          </w:p>
        </w:tc>
        <w:tc>
          <w:tcPr>
            <w:tcW w:w="5386" w:type="dxa"/>
            <w:vAlign w:val="center"/>
          </w:tcPr>
          <w:p w14:paraId="3AC74F8A">
            <w:pPr>
              <w:pStyle w:val="13"/>
            </w:pPr>
            <w:r>
              <w:t>家长和学生满意度</w:t>
            </w:r>
          </w:p>
        </w:tc>
        <w:tc>
          <w:tcPr>
            <w:tcW w:w="2268" w:type="dxa"/>
            <w:vAlign w:val="center"/>
          </w:tcPr>
          <w:p w14:paraId="7E5B7AE4">
            <w:pPr>
              <w:pStyle w:val="13"/>
            </w:pPr>
            <w:r>
              <w:t>≥95%</w:t>
            </w:r>
          </w:p>
        </w:tc>
        <w:tc>
          <w:tcPr>
            <w:tcW w:w="1276" w:type="dxa"/>
            <w:vAlign w:val="center"/>
          </w:tcPr>
          <w:p w14:paraId="4E860BDB">
            <w:pPr>
              <w:pStyle w:val="13"/>
            </w:pPr>
            <w:r>
              <w:t>问卷调查</w:t>
            </w:r>
          </w:p>
        </w:tc>
      </w:tr>
    </w:tbl>
    <w:p w14:paraId="2464B2E4">
      <w:pPr>
        <w:sectPr>
          <w:pgSz w:w="16840" w:h="11900" w:orient="landscape"/>
          <w:pgMar w:top="1361" w:right="1020" w:bottom="1134" w:left="1020" w:header="720" w:footer="720" w:gutter="0"/>
          <w:cols w:space="720" w:num="1"/>
        </w:sectPr>
      </w:pPr>
    </w:p>
    <w:p w14:paraId="69F7DA94">
      <w:pPr>
        <w:spacing w:before="0" w:after="0"/>
        <w:ind w:firstLine="560"/>
        <w:jc w:val="left"/>
        <w:outlineLvl w:val="9"/>
      </w:pPr>
      <w:r>
        <w:rPr>
          <w:rFonts w:ascii="方正仿宋_GBK" w:hAnsi="方正仿宋_GBK" w:eastAsia="方正仿宋_GBK" w:cs="方正仿宋_GBK"/>
          <w:b/>
          <w:color w:val="000000"/>
          <w:sz w:val="28"/>
        </w:rPr>
        <w:t>10、冀财教[2024]123号/中央/2025年义教补助经费/水饭庄中心小学公用经费绩效目标表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1A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DE24D">
            <w:pPr>
              <w:pStyle w:val="14"/>
            </w:pPr>
            <w:r>
              <w:t>单位：万元</w:t>
            </w:r>
          </w:p>
        </w:tc>
      </w:tr>
      <w:tr w14:paraId="3970A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86399">
            <w:pPr>
              <w:pStyle w:val="11"/>
            </w:pPr>
            <w:r>
              <w:t>项目编码</w:t>
            </w:r>
          </w:p>
        </w:tc>
        <w:tc>
          <w:tcPr>
            <w:tcW w:w="5103" w:type="dxa"/>
            <w:gridSpan w:val="2"/>
            <w:vAlign w:val="center"/>
          </w:tcPr>
          <w:p w14:paraId="5E62A061">
            <w:pPr>
              <w:pStyle w:val="13"/>
            </w:pPr>
            <w:r>
              <w:t>13052525P00000410089F</w:t>
            </w:r>
          </w:p>
        </w:tc>
        <w:tc>
          <w:tcPr>
            <w:tcW w:w="2835" w:type="dxa"/>
            <w:vAlign w:val="center"/>
          </w:tcPr>
          <w:p w14:paraId="0F0B06AB">
            <w:pPr>
              <w:pStyle w:val="11"/>
            </w:pPr>
            <w:r>
              <w:t>项目名称</w:t>
            </w:r>
          </w:p>
        </w:tc>
        <w:tc>
          <w:tcPr>
            <w:tcW w:w="6095" w:type="dxa"/>
            <w:gridSpan w:val="3"/>
            <w:vAlign w:val="center"/>
          </w:tcPr>
          <w:p w14:paraId="2A88934E">
            <w:pPr>
              <w:pStyle w:val="13"/>
            </w:pPr>
            <w:r>
              <w:t>冀财教[2024]123号/中央/2025年义教补助经费/水饭庄中心小学公用经费</w:t>
            </w:r>
          </w:p>
        </w:tc>
      </w:tr>
      <w:tr w14:paraId="0FCB1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6EED8">
            <w:pPr>
              <w:pStyle w:val="11"/>
            </w:pPr>
            <w:r>
              <w:t>预算规模及资金用途</w:t>
            </w:r>
          </w:p>
        </w:tc>
        <w:tc>
          <w:tcPr>
            <w:tcW w:w="2268" w:type="dxa"/>
            <w:vAlign w:val="center"/>
          </w:tcPr>
          <w:p w14:paraId="03CAC9D2">
            <w:pPr>
              <w:pStyle w:val="11"/>
            </w:pPr>
            <w:r>
              <w:t>预算数</w:t>
            </w:r>
          </w:p>
        </w:tc>
        <w:tc>
          <w:tcPr>
            <w:tcW w:w="2835" w:type="dxa"/>
            <w:vAlign w:val="center"/>
          </w:tcPr>
          <w:p w14:paraId="3FF77B6E">
            <w:pPr>
              <w:pStyle w:val="13"/>
            </w:pPr>
            <w:r>
              <w:t>84.39</w:t>
            </w:r>
          </w:p>
        </w:tc>
        <w:tc>
          <w:tcPr>
            <w:tcW w:w="2835" w:type="dxa"/>
            <w:vAlign w:val="center"/>
          </w:tcPr>
          <w:p w14:paraId="67DD0320">
            <w:pPr>
              <w:pStyle w:val="11"/>
            </w:pPr>
            <w:r>
              <w:t>其中：财政    资金</w:t>
            </w:r>
          </w:p>
        </w:tc>
        <w:tc>
          <w:tcPr>
            <w:tcW w:w="2551" w:type="dxa"/>
            <w:vAlign w:val="center"/>
          </w:tcPr>
          <w:p w14:paraId="37C26E88">
            <w:pPr>
              <w:pStyle w:val="13"/>
            </w:pPr>
            <w:r>
              <w:t>84.39</w:t>
            </w:r>
          </w:p>
        </w:tc>
        <w:tc>
          <w:tcPr>
            <w:tcW w:w="2268" w:type="dxa"/>
            <w:vAlign w:val="center"/>
          </w:tcPr>
          <w:p w14:paraId="27EB8467">
            <w:pPr>
              <w:pStyle w:val="11"/>
            </w:pPr>
            <w:r>
              <w:t>其他资金</w:t>
            </w:r>
          </w:p>
        </w:tc>
        <w:tc>
          <w:tcPr>
            <w:tcW w:w="1276" w:type="dxa"/>
            <w:vAlign w:val="center"/>
          </w:tcPr>
          <w:p w14:paraId="04ABF89F">
            <w:pPr>
              <w:pStyle w:val="13"/>
            </w:pPr>
            <w:r>
              <w:t xml:space="preserve"> </w:t>
            </w:r>
          </w:p>
        </w:tc>
      </w:tr>
      <w:tr w14:paraId="41139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93F543"/>
        </w:tc>
        <w:tc>
          <w:tcPr>
            <w:tcW w:w="14033" w:type="dxa"/>
            <w:gridSpan w:val="6"/>
            <w:vAlign w:val="center"/>
          </w:tcPr>
          <w:p w14:paraId="30BB0769">
            <w:pPr>
              <w:pStyle w:val="13"/>
            </w:pPr>
            <w:r>
              <w:t>有效完成学校教学安全秩序，保障学校教学任务有效开展，满足学校正常教学需要。</w:t>
            </w:r>
          </w:p>
        </w:tc>
      </w:tr>
      <w:tr w14:paraId="6F3FB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3E21E">
            <w:pPr>
              <w:pStyle w:val="11"/>
            </w:pPr>
            <w:r>
              <w:t>资金支出计划（%）</w:t>
            </w:r>
          </w:p>
        </w:tc>
        <w:tc>
          <w:tcPr>
            <w:tcW w:w="5103" w:type="dxa"/>
            <w:gridSpan w:val="2"/>
            <w:vAlign w:val="center"/>
          </w:tcPr>
          <w:p w14:paraId="3FE91841">
            <w:pPr>
              <w:pStyle w:val="11"/>
            </w:pPr>
            <w:r>
              <w:t>3月底</w:t>
            </w:r>
          </w:p>
        </w:tc>
        <w:tc>
          <w:tcPr>
            <w:tcW w:w="2835" w:type="dxa"/>
            <w:vAlign w:val="center"/>
          </w:tcPr>
          <w:p w14:paraId="24F09DD1">
            <w:pPr>
              <w:pStyle w:val="11"/>
            </w:pPr>
            <w:r>
              <w:t>6月底</w:t>
            </w:r>
          </w:p>
        </w:tc>
        <w:tc>
          <w:tcPr>
            <w:tcW w:w="2551" w:type="dxa"/>
            <w:vAlign w:val="center"/>
          </w:tcPr>
          <w:p w14:paraId="6148F162">
            <w:pPr>
              <w:pStyle w:val="11"/>
            </w:pPr>
            <w:r>
              <w:t>10月底</w:t>
            </w:r>
          </w:p>
        </w:tc>
        <w:tc>
          <w:tcPr>
            <w:tcW w:w="3544" w:type="dxa"/>
            <w:gridSpan w:val="2"/>
            <w:vAlign w:val="center"/>
          </w:tcPr>
          <w:p w14:paraId="267E1981">
            <w:pPr>
              <w:pStyle w:val="11"/>
            </w:pPr>
            <w:r>
              <w:t>12月底</w:t>
            </w:r>
          </w:p>
        </w:tc>
      </w:tr>
      <w:tr w14:paraId="211F9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0FB1E0"/>
        </w:tc>
        <w:tc>
          <w:tcPr>
            <w:tcW w:w="5103" w:type="dxa"/>
            <w:gridSpan w:val="2"/>
            <w:vAlign w:val="center"/>
          </w:tcPr>
          <w:p w14:paraId="4D2F8593">
            <w:pPr>
              <w:pStyle w:val="12"/>
            </w:pPr>
            <w:r>
              <w:t>25%</w:t>
            </w:r>
          </w:p>
        </w:tc>
        <w:tc>
          <w:tcPr>
            <w:tcW w:w="2835" w:type="dxa"/>
            <w:vAlign w:val="center"/>
          </w:tcPr>
          <w:p w14:paraId="1D61BC84">
            <w:pPr>
              <w:pStyle w:val="12"/>
            </w:pPr>
            <w:r>
              <w:t>50%</w:t>
            </w:r>
          </w:p>
        </w:tc>
        <w:tc>
          <w:tcPr>
            <w:tcW w:w="2551" w:type="dxa"/>
            <w:vAlign w:val="center"/>
          </w:tcPr>
          <w:p w14:paraId="02270D6B">
            <w:pPr>
              <w:pStyle w:val="12"/>
            </w:pPr>
            <w:r>
              <w:t>75%</w:t>
            </w:r>
          </w:p>
        </w:tc>
        <w:tc>
          <w:tcPr>
            <w:tcW w:w="3544" w:type="dxa"/>
            <w:gridSpan w:val="2"/>
            <w:vAlign w:val="center"/>
          </w:tcPr>
          <w:p w14:paraId="46DB1087">
            <w:pPr>
              <w:pStyle w:val="12"/>
            </w:pPr>
            <w:r>
              <w:t>100%</w:t>
            </w:r>
          </w:p>
        </w:tc>
      </w:tr>
      <w:tr w14:paraId="2DE54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3B783">
            <w:pPr>
              <w:pStyle w:val="11"/>
            </w:pPr>
            <w:r>
              <w:t>绩效目标</w:t>
            </w:r>
          </w:p>
        </w:tc>
        <w:tc>
          <w:tcPr>
            <w:tcW w:w="14033" w:type="dxa"/>
            <w:gridSpan w:val="6"/>
            <w:vAlign w:val="center"/>
          </w:tcPr>
          <w:p w14:paraId="6E1E2047">
            <w:pPr>
              <w:pStyle w:val="13"/>
            </w:pPr>
            <w:r>
              <w:t>1.按规定拨付公用经费资金，预算执行率≥98%。</w:t>
            </w:r>
          </w:p>
          <w:p w14:paraId="19EDB89D">
            <w:pPr>
              <w:pStyle w:val="13"/>
            </w:pPr>
            <w:r>
              <w:t>2.有效完成学校教学安全秩序，保障学校教学任务有效开展，满足学校正常教学需要。</w:t>
            </w:r>
          </w:p>
        </w:tc>
      </w:tr>
    </w:tbl>
    <w:p w14:paraId="657B9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3B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846D4">
            <w:pPr>
              <w:pStyle w:val="11"/>
            </w:pPr>
            <w:r>
              <w:t>一级指标</w:t>
            </w:r>
          </w:p>
        </w:tc>
        <w:tc>
          <w:tcPr>
            <w:tcW w:w="2268" w:type="dxa"/>
            <w:vAlign w:val="center"/>
          </w:tcPr>
          <w:p w14:paraId="3A2C24BB">
            <w:pPr>
              <w:pStyle w:val="11"/>
            </w:pPr>
            <w:r>
              <w:t>二级指标</w:t>
            </w:r>
          </w:p>
        </w:tc>
        <w:tc>
          <w:tcPr>
            <w:tcW w:w="2835" w:type="dxa"/>
            <w:vAlign w:val="center"/>
          </w:tcPr>
          <w:p w14:paraId="6C068656">
            <w:pPr>
              <w:pStyle w:val="11"/>
            </w:pPr>
            <w:r>
              <w:t>三级指标</w:t>
            </w:r>
          </w:p>
        </w:tc>
        <w:tc>
          <w:tcPr>
            <w:tcW w:w="5386" w:type="dxa"/>
            <w:vAlign w:val="center"/>
          </w:tcPr>
          <w:p w14:paraId="260A0730">
            <w:pPr>
              <w:pStyle w:val="11"/>
            </w:pPr>
            <w:r>
              <w:t>绩效指标描述</w:t>
            </w:r>
          </w:p>
        </w:tc>
        <w:tc>
          <w:tcPr>
            <w:tcW w:w="2268" w:type="dxa"/>
            <w:vAlign w:val="center"/>
          </w:tcPr>
          <w:p w14:paraId="69293F05">
            <w:pPr>
              <w:pStyle w:val="11"/>
            </w:pPr>
            <w:r>
              <w:t>指标值</w:t>
            </w:r>
          </w:p>
        </w:tc>
        <w:tc>
          <w:tcPr>
            <w:tcW w:w="1276" w:type="dxa"/>
            <w:vAlign w:val="center"/>
          </w:tcPr>
          <w:p w14:paraId="30B04595">
            <w:pPr>
              <w:pStyle w:val="11"/>
            </w:pPr>
            <w:r>
              <w:t>指标值确定依据</w:t>
            </w:r>
          </w:p>
        </w:tc>
      </w:tr>
      <w:tr w14:paraId="2BF0D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5114A">
            <w:pPr>
              <w:pStyle w:val="12"/>
            </w:pPr>
            <w:r>
              <w:t>产出指标</w:t>
            </w:r>
          </w:p>
        </w:tc>
        <w:tc>
          <w:tcPr>
            <w:tcW w:w="2268" w:type="dxa"/>
            <w:vAlign w:val="center"/>
          </w:tcPr>
          <w:p w14:paraId="1695C045">
            <w:pPr>
              <w:pStyle w:val="13"/>
            </w:pPr>
            <w:r>
              <w:t>数量指标</w:t>
            </w:r>
          </w:p>
        </w:tc>
        <w:tc>
          <w:tcPr>
            <w:tcW w:w="2835" w:type="dxa"/>
            <w:vAlign w:val="center"/>
          </w:tcPr>
          <w:p w14:paraId="13EC5A9C">
            <w:pPr>
              <w:pStyle w:val="13"/>
            </w:pPr>
            <w:r>
              <w:t>就读学生数</w:t>
            </w:r>
          </w:p>
        </w:tc>
        <w:tc>
          <w:tcPr>
            <w:tcW w:w="5386" w:type="dxa"/>
            <w:vAlign w:val="center"/>
          </w:tcPr>
          <w:p w14:paraId="2EAB7B7C">
            <w:pPr>
              <w:pStyle w:val="13"/>
            </w:pPr>
            <w:r>
              <w:t>辐射区域内适龄学生人数</w:t>
            </w:r>
          </w:p>
        </w:tc>
        <w:tc>
          <w:tcPr>
            <w:tcW w:w="2268" w:type="dxa"/>
            <w:vAlign w:val="center"/>
          </w:tcPr>
          <w:p w14:paraId="6D75BFA3">
            <w:pPr>
              <w:pStyle w:val="13"/>
            </w:pPr>
            <w:r>
              <w:t>1257人</w:t>
            </w:r>
          </w:p>
        </w:tc>
        <w:tc>
          <w:tcPr>
            <w:tcW w:w="1276" w:type="dxa"/>
            <w:vAlign w:val="center"/>
          </w:tcPr>
          <w:p w14:paraId="14E53952">
            <w:pPr>
              <w:pStyle w:val="13"/>
            </w:pPr>
            <w:r>
              <w:t>城乡义务教育公用经费管理办法</w:t>
            </w:r>
          </w:p>
        </w:tc>
      </w:tr>
      <w:tr w14:paraId="02FBA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C3E2E"/>
        </w:tc>
        <w:tc>
          <w:tcPr>
            <w:tcW w:w="2268" w:type="dxa"/>
            <w:vAlign w:val="center"/>
          </w:tcPr>
          <w:p w14:paraId="1CBD59B4">
            <w:pPr>
              <w:pStyle w:val="13"/>
            </w:pPr>
            <w:r>
              <w:t>质量指标</w:t>
            </w:r>
          </w:p>
        </w:tc>
        <w:tc>
          <w:tcPr>
            <w:tcW w:w="2835" w:type="dxa"/>
            <w:vAlign w:val="center"/>
          </w:tcPr>
          <w:p w14:paraId="5BAE5066">
            <w:pPr>
              <w:pStyle w:val="13"/>
            </w:pPr>
            <w:r>
              <w:t>预算执行率</w:t>
            </w:r>
          </w:p>
        </w:tc>
        <w:tc>
          <w:tcPr>
            <w:tcW w:w="5386" w:type="dxa"/>
            <w:vAlign w:val="center"/>
          </w:tcPr>
          <w:p w14:paraId="1F0BEF19">
            <w:pPr>
              <w:pStyle w:val="13"/>
            </w:pPr>
            <w:r>
              <w:t>预算执行率</w:t>
            </w:r>
          </w:p>
        </w:tc>
        <w:tc>
          <w:tcPr>
            <w:tcW w:w="2268" w:type="dxa"/>
            <w:vAlign w:val="center"/>
          </w:tcPr>
          <w:p w14:paraId="326B1504">
            <w:pPr>
              <w:pStyle w:val="13"/>
            </w:pPr>
            <w:r>
              <w:t>≥98%</w:t>
            </w:r>
          </w:p>
        </w:tc>
        <w:tc>
          <w:tcPr>
            <w:tcW w:w="1276" w:type="dxa"/>
            <w:vAlign w:val="center"/>
          </w:tcPr>
          <w:p w14:paraId="5C8C2498">
            <w:pPr>
              <w:pStyle w:val="13"/>
            </w:pPr>
            <w:r>
              <w:t>城乡义务教育公用经费管理办法</w:t>
            </w:r>
          </w:p>
        </w:tc>
      </w:tr>
      <w:tr w14:paraId="42FD9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44B41"/>
        </w:tc>
        <w:tc>
          <w:tcPr>
            <w:tcW w:w="2268" w:type="dxa"/>
            <w:vAlign w:val="center"/>
          </w:tcPr>
          <w:p w14:paraId="7CE716B0">
            <w:pPr>
              <w:pStyle w:val="13"/>
            </w:pPr>
            <w:r>
              <w:t>时效指标</w:t>
            </w:r>
          </w:p>
        </w:tc>
        <w:tc>
          <w:tcPr>
            <w:tcW w:w="2835" w:type="dxa"/>
            <w:vAlign w:val="center"/>
          </w:tcPr>
          <w:p w14:paraId="77D71652">
            <w:pPr>
              <w:pStyle w:val="13"/>
            </w:pPr>
            <w:r>
              <w:t>义教经费支付完成率</w:t>
            </w:r>
          </w:p>
        </w:tc>
        <w:tc>
          <w:tcPr>
            <w:tcW w:w="5386" w:type="dxa"/>
            <w:vAlign w:val="center"/>
          </w:tcPr>
          <w:p w14:paraId="1D49BFD3">
            <w:pPr>
              <w:pStyle w:val="13"/>
            </w:pPr>
            <w:r>
              <w:t>按照序时进度完成资金支付</w:t>
            </w:r>
          </w:p>
        </w:tc>
        <w:tc>
          <w:tcPr>
            <w:tcW w:w="2268" w:type="dxa"/>
            <w:vAlign w:val="center"/>
          </w:tcPr>
          <w:p w14:paraId="037ECAC7">
            <w:pPr>
              <w:pStyle w:val="13"/>
            </w:pPr>
            <w:r>
              <w:t>≥100%</w:t>
            </w:r>
          </w:p>
        </w:tc>
        <w:tc>
          <w:tcPr>
            <w:tcW w:w="1276" w:type="dxa"/>
            <w:vAlign w:val="center"/>
          </w:tcPr>
          <w:p w14:paraId="1D258AD1">
            <w:pPr>
              <w:pStyle w:val="13"/>
            </w:pPr>
            <w:r>
              <w:t>城乡义务教育公用经费管理办法</w:t>
            </w:r>
          </w:p>
        </w:tc>
      </w:tr>
      <w:tr w14:paraId="48797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40F82"/>
        </w:tc>
        <w:tc>
          <w:tcPr>
            <w:tcW w:w="2268" w:type="dxa"/>
            <w:vAlign w:val="center"/>
          </w:tcPr>
          <w:p w14:paraId="334A8496">
            <w:pPr>
              <w:pStyle w:val="13"/>
            </w:pPr>
            <w:r>
              <w:t>成本指标</w:t>
            </w:r>
          </w:p>
        </w:tc>
        <w:tc>
          <w:tcPr>
            <w:tcW w:w="2835" w:type="dxa"/>
            <w:vAlign w:val="center"/>
          </w:tcPr>
          <w:p w14:paraId="5079F019">
            <w:pPr>
              <w:pStyle w:val="13"/>
            </w:pPr>
            <w:r>
              <w:t>生均拨款标准</w:t>
            </w:r>
          </w:p>
        </w:tc>
        <w:tc>
          <w:tcPr>
            <w:tcW w:w="5386" w:type="dxa"/>
            <w:vAlign w:val="center"/>
          </w:tcPr>
          <w:p w14:paraId="17EF5305">
            <w:pPr>
              <w:pStyle w:val="13"/>
            </w:pPr>
            <w:r>
              <w:t>小学：（基本标准720元、寄宿生300元、生活补助120元）/生/学年；特教、随班就读学生：标准6000元/生/学年</w:t>
            </w:r>
          </w:p>
        </w:tc>
        <w:tc>
          <w:tcPr>
            <w:tcW w:w="2268" w:type="dxa"/>
            <w:vAlign w:val="center"/>
          </w:tcPr>
          <w:p w14:paraId="363C691E">
            <w:pPr>
              <w:pStyle w:val="13"/>
            </w:pPr>
            <w:r>
              <w:t>840元</w:t>
            </w:r>
          </w:p>
        </w:tc>
        <w:tc>
          <w:tcPr>
            <w:tcW w:w="1276" w:type="dxa"/>
            <w:vAlign w:val="center"/>
          </w:tcPr>
          <w:p w14:paraId="5AEC76F0">
            <w:pPr>
              <w:pStyle w:val="13"/>
            </w:pPr>
            <w:r>
              <w:t>城乡义务教育公用经费管理办法</w:t>
            </w:r>
          </w:p>
        </w:tc>
      </w:tr>
      <w:tr w14:paraId="7069F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D44549">
            <w:pPr>
              <w:pStyle w:val="12"/>
            </w:pPr>
            <w:r>
              <w:t>效益指标</w:t>
            </w:r>
          </w:p>
        </w:tc>
        <w:tc>
          <w:tcPr>
            <w:tcW w:w="2268" w:type="dxa"/>
            <w:vAlign w:val="center"/>
          </w:tcPr>
          <w:p w14:paraId="3F2800B1">
            <w:pPr>
              <w:pStyle w:val="13"/>
            </w:pPr>
            <w:r>
              <w:t>社会效益指标</w:t>
            </w:r>
          </w:p>
        </w:tc>
        <w:tc>
          <w:tcPr>
            <w:tcW w:w="2835" w:type="dxa"/>
            <w:vAlign w:val="center"/>
          </w:tcPr>
          <w:p w14:paraId="200F70D0">
            <w:pPr>
              <w:pStyle w:val="13"/>
            </w:pPr>
            <w:r>
              <w:t>学校稳定率</w:t>
            </w:r>
          </w:p>
        </w:tc>
        <w:tc>
          <w:tcPr>
            <w:tcW w:w="5386" w:type="dxa"/>
            <w:vAlign w:val="center"/>
          </w:tcPr>
          <w:p w14:paraId="47256CC7">
            <w:pPr>
              <w:pStyle w:val="13"/>
            </w:pPr>
            <w:r>
              <w:t>维护学校稳定，保障学校正常教学秩序有效开展</w:t>
            </w:r>
          </w:p>
        </w:tc>
        <w:tc>
          <w:tcPr>
            <w:tcW w:w="2268" w:type="dxa"/>
            <w:vAlign w:val="center"/>
          </w:tcPr>
          <w:p w14:paraId="6E588FFA">
            <w:pPr>
              <w:pStyle w:val="13"/>
            </w:pPr>
            <w:r>
              <w:t>≥100%</w:t>
            </w:r>
          </w:p>
        </w:tc>
        <w:tc>
          <w:tcPr>
            <w:tcW w:w="1276" w:type="dxa"/>
            <w:vAlign w:val="center"/>
          </w:tcPr>
          <w:p w14:paraId="0D5605FE">
            <w:pPr>
              <w:pStyle w:val="13"/>
            </w:pPr>
            <w:r>
              <w:t>城乡义务教育公用经费管理办法</w:t>
            </w:r>
          </w:p>
        </w:tc>
      </w:tr>
      <w:tr w14:paraId="1EE2D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A63EEC">
            <w:pPr>
              <w:pStyle w:val="12"/>
            </w:pPr>
            <w:r>
              <w:t>满意度指标</w:t>
            </w:r>
          </w:p>
        </w:tc>
        <w:tc>
          <w:tcPr>
            <w:tcW w:w="2268" w:type="dxa"/>
            <w:vAlign w:val="center"/>
          </w:tcPr>
          <w:p w14:paraId="3AF50154">
            <w:pPr>
              <w:pStyle w:val="13"/>
            </w:pPr>
            <w:r>
              <w:t>服务对象满意度指标</w:t>
            </w:r>
          </w:p>
        </w:tc>
        <w:tc>
          <w:tcPr>
            <w:tcW w:w="2835" w:type="dxa"/>
            <w:vAlign w:val="center"/>
          </w:tcPr>
          <w:p w14:paraId="0EFA7F98">
            <w:pPr>
              <w:pStyle w:val="13"/>
            </w:pPr>
            <w:r>
              <w:t>家长和学生满意度</w:t>
            </w:r>
          </w:p>
        </w:tc>
        <w:tc>
          <w:tcPr>
            <w:tcW w:w="5386" w:type="dxa"/>
            <w:vAlign w:val="center"/>
          </w:tcPr>
          <w:p w14:paraId="7E0788B4">
            <w:pPr>
              <w:pStyle w:val="13"/>
            </w:pPr>
            <w:r>
              <w:t>家长和学生满意度</w:t>
            </w:r>
          </w:p>
        </w:tc>
        <w:tc>
          <w:tcPr>
            <w:tcW w:w="2268" w:type="dxa"/>
            <w:vAlign w:val="center"/>
          </w:tcPr>
          <w:p w14:paraId="6F9CC187">
            <w:pPr>
              <w:pStyle w:val="13"/>
            </w:pPr>
            <w:r>
              <w:t>≥95%</w:t>
            </w:r>
          </w:p>
        </w:tc>
        <w:tc>
          <w:tcPr>
            <w:tcW w:w="1276" w:type="dxa"/>
            <w:vAlign w:val="center"/>
          </w:tcPr>
          <w:p w14:paraId="62AB3D27">
            <w:pPr>
              <w:pStyle w:val="13"/>
            </w:pPr>
            <w:r>
              <w:t>问卷调查</w:t>
            </w:r>
          </w:p>
        </w:tc>
      </w:tr>
    </w:tbl>
    <w:p w14:paraId="11BF7BA8">
      <w:pPr>
        <w:sectPr>
          <w:pgSz w:w="16840" w:h="11900" w:orient="landscape"/>
          <w:pgMar w:top="1361" w:right="1020" w:bottom="1134" w:left="1020" w:header="720" w:footer="720" w:gutter="0"/>
          <w:cols w:space="720" w:num="1"/>
        </w:sectPr>
      </w:pPr>
    </w:p>
    <w:p w14:paraId="49B8474B">
      <w:pPr>
        <w:spacing w:before="0" w:after="0"/>
        <w:ind w:firstLine="560"/>
        <w:jc w:val="left"/>
        <w:outlineLvl w:val="9"/>
      </w:pPr>
      <w:r>
        <w:rPr>
          <w:rFonts w:ascii="方正仿宋_GBK" w:hAnsi="方正仿宋_GBK" w:eastAsia="方正仿宋_GBK" w:cs="方正仿宋_GBK"/>
          <w:b/>
          <w:color w:val="000000"/>
          <w:sz w:val="28"/>
        </w:rPr>
        <w:t>11、冀财教[2024]123号/中央/2025年义教补助经费/校舍安全保障/第四实验小学操场硬化绩效目标表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BB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64A82">
            <w:pPr>
              <w:pStyle w:val="14"/>
            </w:pPr>
            <w:r>
              <w:t>单位：万元</w:t>
            </w:r>
          </w:p>
        </w:tc>
      </w:tr>
      <w:tr w14:paraId="012EB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7CA437">
            <w:pPr>
              <w:pStyle w:val="11"/>
            </w:pPr>
            <w:r>
              <w:t>项目编码</w:t>
            </w:r>
          </w:p>
        </w:tc>
        <w:tc>
          <w:tcPr>
            <w:tcW w:w="5103" w:type="dxa"/>
            <w:gridSpan w:val="2"/>
            <w:vAlign w:val="center"/>
          </w:tcPr>
          <w:p w14:paraId="27CFC721">
            <w:pPr>
              <w:pStyle w:val="13"/>
            </w:pPr>
            <w:r>
              <w:t>13052525P00876210011A</w:t>
            </w:r>
          </w:p>
        </w:tc>
        <w:tc>
          <w:tcPr>
            <w:tcW w:w="2835" w:type="dxa"/>
            <w:vAlign w:val="center"/>
          </w:tcPr>
          <w:p w14:paraId="4A981156">
            <w:pPr>
              <w:pStyle w:val="11"/>
            </w:pPr>
            <w:r>
              <w:t>项目名称</w:t>
            </w:r>
          </w:p>
        </w:tc>
        <w:tc>
          <w:tcPr>
            <w:tcW w:w="6095" w:type="dxa"/>
            <w:gridSpan w:val="3"/>
            <w:vAlign w:val="center"/>
          </w:tcPr>
          <w:p w14:paraId="6E5A2387">
            <w:pPr>
              <w:pStyle w:val="13"/>
            </w:pPr>
            <w:r>
              <w:t>冀财教[2024]123号/中央/2025年义教补助经费/校舍安全保障/第四实验小学操场硬化</w:t>
            </w:r>
          </w:p>
        </w:tc>
      </w:tr>
      <w:tr w14:paraId="3405D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5C4C1">
            <w:pPr>
              <w:pStyle w:val="11"/>
            </w:pPr>
            <w:r>
              <w:t>预算规模及资金用途</w:t>
            </w:r>
          </w:p>
        </w:tc>
        <w:tc>
          <w:tcPr>
            <w:tcW w:w="2268" w:type="dxa"/>
            <w:vAlign w:val="center"/>
          </w:tcPr>
          <w:p w14:paraId="07C7417A">
            <w:pPr>
              <w:pStyle w:val="11"/>
            </w:pPr>
            <w:r>
              <w:t>预算数</w:t>
            </w:r>
          </w:p>
        </w:tc>
        <w:tc>
          <w:tcPr>
            <w:tcW w:w="2835" w:type="dxa"/>
            <w:vAlign w:val="center"/>
          </w:tcPr>
          <w:p w14:paraId="51AC4662">
            <w:pPr>
              <w:pStyle w:val="13"/>
            </w:pPr>
            <w:r>
              <w:t>57.87</w:t>
            </w:r>
          </w:p>
        </w:tc>
        <w:tc>
          <w:tcPr>
            <w:tcW w:w="2835" w:type="dxa"/>
            <w:vAlign w:val="center"/>
          </w:tcPr>
          <w:p w14:paraId="3E8CF997">
            <w:pPr>
              <w:pStyle w:val="11"/>
            </w:pPr>
            <w:r>
              <w:t>其中：财政    资金</w:t>
            </w:r>
          </w:p>
        </w:tc>
        <w:tc>
          <w:tcPr>
            <w:tcW w:w="2551" w:type="dxa"/>
            <w:vAlign w:val="center"/>
          </w:tcPr>
          <w:p w14:paraId="51443FF9">
            <w:pPr>
              <w:pStyle w:val="13"/>
            </w:pPr>
            <w:r>
              <w:t>57.87</w:t>
            </w:r>
          </w:p>
        </w:tc>
        <w:tc>
          <w:tcPr>
            <w:tcW w:w="2268" w:type="dxa"/>
            <w:vAlign w:val="center"/>
          </w:tcPr>
          <w:p w14:paraId="4602594D">
            <w:pPr>
              <w:pStyle w:val="11"/>
            </w:pPr>
            <w:r>
              <w:t>其他资金</w:t>
            </w:r>
          </w:p>
        </w:tc>
        <w:tc>
          <w:tcPr>
            <w:tcW w:w="1276" w:type="dxa"/>
            <w:vAlign w:val="center"/>
          </w:tcPr>
          <w:p w14:paraId="152411A5">
            <w:pPr>
              <w:pStyle w:val="13"/>
            </w:pPr>
            <w:r>
              <w:t xml:space="preserve"> </w:t>
            </w:r>
          </w:p>
        </w:tc>
      </w:tr>
      <w:tr w14:paraId="3BEFB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79F427"/>
        </w:tc>
        <w:tc>
          <w:tcPr>
            <w:tcW w:w="14033" w:type="dxa"/>
            <w:gridSpan w:val="6"/>
            <w:vAlign w:val="center"/>
          </w:tcPr>
          <w:p w14:paraId="2A87D4EC">
            <w:pPr>
              <w:pStyle w:val="13"/>
            </w:pPr>
            <w:r>
              <w:t>完成第四实验小学操场硬化，满足学校正常教学需要。</w:t>
            </w:r>
          </w:p>
        </w:tc>
      </w:tr>
      <w:tr w14:paraId="6AD78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CF641">
            <w:pPr>
              <w:pStyle w:val="11"/>
            </w:pPr>
            <w:r>
              <w:t>资金支出计划（%）</w:t>
            </w:r>
          </w:p>
        </w:tc>
        <w:tc>
          <w:tcPr>
            <w:tcW w:w="5103" w:type="dxa"/>
            <w:gridSpan w:val="2"/>
            <w:vAlign w:val="center"/>
          </w:tcPr>
          <w:p w14:paraId="67D59A0A">
            <w:pPr>
              <w:pStyle w:val="11"/>
            </w:pPr>
            <w:r>
              <w:t>3月底</w:t>
            </w:r>
          </w:p>
        </w:tc>
        <w:tc>
          <w:tcPr>
            <w:tcW w:w="2835" w:type="dxa"/>
            <w:vAlign w:val="center"/>
          </w:tcPr>
          <w:p w14:paraId="536239B4">
            <w:pPr>
              <w:pStyle w:val="11"/>
            </w:pPr>
            <w:r>
              <w:t>6月底</w:t>
            </w:r>
          </w:p>
        </w:tc>
        <w:tc>
          <w:tcPr>
            <w:tcW w:w="2551" w:type="dxa"/>
            <w:vAlign w:val="center"/>
          </w:tcPr>
          <w:p w14:paraId="00401F07">
            <w:pPr>
              <w:pStyle w:val="11"/>
            </w:pPr>
            <w:r>
              <w:t>10月底</w:t>
            </w:r>
          </w:p>
        </w:tc>
        <w:tc>
          <w:tcPr>
            <w:tcW w:w="3544" w:type="dxa"/>
            <w:gridSpan w:val="2"/>
            <w:vAlign w:val="center"/>
          </w:tcPr>
          <w:p w14:paraId="0C71323D">
            <w:pPr>
              <w:pStyle w:val="11"/>
            </w:pPr>
            <w:r>
              <w:t>12月底</w:t>
            </w:r>
          </w:p>
        </w:tc>
      </w:tr>
      <w:tr w14:paraId="76E61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3F4D8"/>
        </w:tc>
        <w:tc>
          <w:tcPr>
            <w:tcW w:w="5103" w:type="dxa"/>
            <w:gridSpan w:val="2"/>
            <w:vAlign w:val="center"/>
          </w:tcPr>
          <w:p w14:paraId="44295A49">
            <w:pPr>
              <w:pStyle w:val="12"/>
            </w:pPr>
            <w:r>
              <w:t>25%</w:t>
            </w:r>
          </w:p>
        </w:tc>
        <w:tc>
          <w:tcPr>
            <w:tcW w:w="2835" w:type="dxa"/>
            <w:vAlign w:val="center"/>
          </w:tcPr>
          <w:p w14:paraId="5AC00415">
            <w:pPr>
              <w:pStyle w:val="12"/>
            </w:pPr>
            <w:r>
              <w:t>50%</w:t>
            </w:r>
          </w:p>
        </w:tc>
        <w:tc>
          <w:tcPr>
            <w:tcW w:w="2551" w:type="dxa"/>
            <w:vAlign w:val="center"/>
          </w:tcPr>
          <w:p w14:paraId="63F59DF3">
            <w:pPr>
              <w:pStyle w:val="12"/>
            </w:pPr>
            <w:r>
              <w:t>75%</w:t>
            </w:r>
          </w:p>
        </w:tc>
        <w:tc>
          <w:tcPr>
            <w:tcW w:w="3544" w:type="dxa"/>
            <w:gridSpan w:val="2"/>
            <w:vAlign w:val="center"/>
          </w:tcPr>
          <w:p w14:paraId="2CBCA496">
            <w:pPr>
              <w:pStyle w:val="12"/>
            </w:pPr>
            <w:r>
              <w:t>100%</w:t>
            </w:r>
          </w:p>
        </w:tc>
      </w:tr>
      <w:tr w14:paraId="02443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5A127">
            <w:pPr>
              <w:pStyle w:val="11"/>
            </w:pPr>
            <w:r>
              <w:t>绩效目标</w:t>
            </w:r>
          </w:p>
        </w:tc>
        <w:tc>
          <w:tcPr>
            <w:tcW w:w="14033" w:type="dxa"/>
            <w:gridSpan w:val="6"/>
            <w:vAlign w:val="center"/>
          </w:tcPr>
          <w:p w14:paraId="2373F263">
            <w:pPr>
              <w:pStyle w:val="13"/>
            </w:pPr>
            <w:r>
              <w:t>1.按规定拨付专项资金，资金支付率达到100%。</w:t>
            </w:r>
          </w:p>
          <w:p w14:paraId="7CF13B90">
            <w:pPr>
              <w:pStyle w:val="13"/>
            </w:pPr>
            <w:r>
              <w:t>2.完成第四实验小学操场硬化，满足学校正常教学需要。</w:t>
            </w:r>
          </w:p>
        </w:tc>
      </w:tr>
    </w:tbl>
    <w:p w14:paraId="6062E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C7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360F8">
            <w:pPr>
              <w:pStyle w:val="11"/>
            </w:pPr>
            <w:r>
              <w:t>一级指标</w:t>
            </w:r>
          </w:p>
        </w:tc>
        <w:tc>
          <w:tcPr>
            <w:tcW w:w="2268" w:type="dxa"/>
            <w:vAlign w:val="center"/>
          </w:tcPr>
          <w:p w14:paraId="660A40BF">
            <w:pPr>
              <w:pStyle w:val="11"/>
            </w:pPr>
            <w:r>
              <w:t>二级指标</w:t>
            </w:r>
          </w:p>
        </w:tc>
        <w:tc>
          <w:tcPr>
            <w:tcW w:w="2835" w:type="dxa"/>
            <w:vAlign w:val="center"/>
          </w:tcPr>
          <w:p w14:paraId="7D76396D">
            <w:pPr>
              <w:pStyle w:val="11"/>
            </w:pPr>
            <w:r>
              <w:t>三级指标</w:t>
            </w:r>
          </w:p>
        </w:tc>
        <w:tc>
          <w:tcPr>
            <w:tcW w:w="5386" w:type="dxa"/>
            <w:vAlign w:val="center"/>
          </w:tcPr>
          <w:p w14:paraId="66038154">
            <w:pPr>
              <w:pStyle w:val="11"/>
            </w:pPr>
            <w:r>
              <w:t>绩效指标描述</w:t>
            </w:r>
          </w:p>
        </w:tc>
        <w:tc>
          <w:tcPr>
            <w:tcW w:w="2268" w:type="dxa"/>
            <w:vAlign w:val="center"/>
          </w:tcPr>
          <w:p w14:paraId="316E70FE">
            <w:pPr>
              <w:pStyle w:val="11"/>
            </w:pPr>
            <w:r>
              <w:t>指标值</w:t>
            </w:r>
          </w:p>
        </w:tc>
        <w:tc>
          <w:tcPr>
            <w:tcW w:w="1276" w:type="dxa"/>
            <w:vAlign w:val="center"/>
          </w:tcPr>
          <w:p w14:paraId="0FCBB409">
            <w:pPr>
              <w:pStyle w:val="11"/>
            </w:pPr>
            <w:r>
              <w:t>指标值确定依据</w:t>
            </w:r>
          </w:p>
        </w:tc>
      </w:tr>
      <w:tr w14:paraId="09619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F5B60">
            <w:pPr>
              <w:pStyle w:val="12"/>
            </w:pPr>
            <w:r>
              <w:t>产出指标</w:t>
            </w:r>
          </w:p>
        </w:tc>
        <w:tc>
          <w:tcPr>
            <w:tcW w:w="2268" w:type="dxa"/>
            <w:vAlign w:val="center"/>
          </w:tcPr>
          <w:p w14:paraId="01C3DD88">
            <w:pPr>
              <w:pStyle w:val="13"/>
            </w:pPr>
            <w:r>
              <w:t>数量指标</w:t>
            </w:r>
          </w:p>
        </w:tc>
        <w:tc>
          <w:tcPr>
            <w:tcW w:w="2835" w:type="dxa"/>
            <w:vAlign w:val="center"/>
          </w:tcPr>
          <w:p w14:paraId="67916C90">
            <w:pPr>
              <w:pStyle w:val="13"/>
            </w:pPr>
            <w:r>
              <w:t>操场硬化</w:t>
            </w:r>
          </w:p>
        </w:tc>
        <w:tc>
          <w:tcPr>
            <w:tcW w:w="5386" w:type="dxa"/>
            <w:vAlign w:val="center"/>
          </w:tcPr>
          <w:p w14:paraId="16E41946">
            <w:pPr>
              <w:pStyle w:val="13"/>
            </w:pPr>
            <w:r>
              <w:t>操场硬化</w:t>
            </w:r>
          </w:p>
        </w:tc>
        <w:tc>
          <w:tcPr>
            <w:tcW w:w="2268" w:type="dxa"/>
            <w:vAlign w:val="center"/>
          </w:tcPr>
          <w:p w14:paraId="7D86D70F">
            <w:pPr>
              <w:pStyle w:val="13"/>
            </w:pPr>
            <w:r>
              <w:t>57.87万元</w:t>
            </w:r>
          </w:p>
        </w:tc>
        <w:tc>
          <w:tcPr>
            <w:tcW w:w="1276" w:type="dxa"/>
            <w:vAlign w:val="center"/>
          </w:tcPr>
          <w:p w14:paraId="521EBADF">
            <w:pPr>
              <w:pStyle w:val="13"/>
            </w:pPr>
            <w:r>
              <w:t>城乡义务教育公用经费管理办法</w:t>
            </w:r>
          </w:p>
        </w:tc>
      </w:tr>
      <w:tr w14:paraId="25F2A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7D9D0"/>
        </w:tc>
        <w:tc>
          <w:tcPr>
            <w:tcW w:w="2268" w:type="dxa"/>
            <w:vAlign w:val="center"/>
          </w:tcPr>
          <w:p w14:paraId="725692E2">
            <w:pPr>
              <w:pStyle w:val="13"/>
            </w:pPr>
            <w:r>
              <w:t>质量指标</w:t>
            </w:r>
          </w:p>
        </w:tc>
        <w:tc>
          <w:tcPr>
            <w:tcW w:w="2835" w:type="dxa"/>
            <w:vAlign w:val="center"/>
          </w:tcPr>
          <w:p w14:paraId="44852947">
            <w:pPr>
              <w:pStyle w:val="13"/>
            </w:pPr>
            <w:r>
              <w:t>资金支付率</w:t>
            </w:r>
          </w:p>
        </w:tc>
        <w:tc>
          <w:tcPr>
            <w:tcW w:w="5386" w:type="dxa"/>
            <w:vAlign w:val="center"/>
          </w:tcPr>
          <w:p w14:paraId="24A17903">
            <w:pPr>
              <w:pStyle w:val="13"/>
            </w:pPr>
            <w:r>
              <w:t>按照序时进度完成资金支付</w:t>
            </w:r>
          </w:p>
        </w:tc>
        <w:tc>
          <w:tcPr>
            <w:tcW w:w="2268" w:type="dxa"/>
            <w:vAlign w:val="center"/>
          </w:tcPr>
          <w:p w14:paraId="512B18EF">
            <w:pPr>
              <w:pStyle w:val="13"/>
            </w:pPr>
            <w:r>
              <w:t>≥100%</w:t>
            </w:r>
          </w:p>
        </w:tc>
        <w:tc>
          <w:tcPr>
            <w:tcW w:w="1276" w:type="dxa"/>
            <w:vAlign w:val="center"/>
          </w:tcPr>
          <w:p w14:paraId="613D4A81">
            <w:pPr>
              <w:pStyle w:val="13"/>
            </w:pPr>
            <w:r>
              <w:t>城乡义务教育公用经费管理办法</w:t>
            </w:r>
          </w:p>
        </w:tc>
      </w:tr>
      <w:tr w14:paraId="4EA43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FED62"/>
        </w:tc>
        <w:tc>
          <w:tcPr>
            <w:tcW w:w="2268" w:type="dxa"/>
            <w:vAlign w:val="center"/>
          </w:tcPr>
          <w:p w14:paraId="205A19AA">
            <w:pPr>
              <w:pStyle w:val="13"/>
            </w:pPr>
            <w:r>
              <w:t>时效指标</w:t>
            </w:r>
          </w:p>
        </w:tc>
        <w:tc>
          <w:tcPr>
            <w:tcW w:w="2835" w:type="dxa"/>
            <w:vAlign w:val="center"/>
          </w:tcPr>
          <w:p w14:paraId="6B4B4902">
            <w:pPr>
              <w:pStyle w:val="13"/>
            </w:pPr>
            <w:r>
              <w:t>项目竣工验收合格率</w:t>
            </w:r>
          </w:p>
        </w:tc>
        <w:tc>
          <w:tcPr>
            <w:tcW w:w="5386" w:type="dxa"/>
            <w:vAlign w:val="center"/>
          </w:tcPr>
          <w:p w14:paraId="1EC98EE8">
            <w:pPr>
              <w:pStyle w:val="13"/>
            </w:pPr>
            <w:r>
              <w:t>项目改造质量达标率</w:t>
            </w:r>
          </w:p>
        </w:tc>
        <w:tc>
          <w:tcPr>
            <w:tcW w:w="2268" w:type="dxa"/>
            <w:vAlign w:val="center"/>
          </w:tcPr>
          <w:p w14:paraId="127A7EC5">
            <w:pPr>
              <w:pStyle w:val="13"/>
            </w:pPr>
            <w:r>
              <w:t>≥100%</w:t>
            </w:r>
          </w:p>
        </w:tc>
        <w:tc>
          <w:tcPr>
            <w:tcW w:w="1276" w:type="dxa"/>
            <w:vAlign w:val="center"/>
          </w:tcPr>
          <w:p w14:paraId="04762D88">
            <w:pPr>
              <w:pStyle w:val="13"/>
            </w:pPr>
            <w:r>
              <w:t>城乡义务教育公用经费管理办法</w:t>
            </w:r>
          </w:p>
        </w:tc>
      </w:tr>
      <w:tr w14:paraId="7FEE0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2751D"/>
        </w:tc>
        <w:tc>
          <w:tcPr>
            <w:tcW w:w="2268" w:type="dxa"/>
            <w:vAlign w:val="center"/>
          </w:tcPr>
          <w:p w14:paraId="63A34E88">
            <w:pPr>
              <w:pStyle w:val="13"/>
            </w:pPr>
            <w:r>
              <w:t>成本指标</w:t>
            </w:r>
          </w:p>
        </w:tc>
        <w:tc>
          <w:tcPr>
            <w:tcW w:w="2835" w:type="dxa"/>
            <w:vAlign w:val="center"/>
          </w:tcPr>
          <w:p w14:paraId="099CF45A">
            <w:pPr>
              <w:pStyle w:val="13"/>
            </w:pPr>
            <w:r>
              <w:t>项目实际成本</w:t>
            </w:r>
          </w:p>
        </w:tc>
        <w:tc>
          <w:tcPr>
            <w:tcW w:w="5386" w:type="dxa"/>
            <w:vAlign w:val="center"/>
          </w:tcPr>
          <w:p w14:paraId="42C600EE">
            <w:pPr>
              <w:pStyle w:val="13"/>
            </w:pPr>
            <w:r>
              <w:t>操场硬化</w:t>
            </w:r>
          </w:p>
        </w:tc>
        <w:tc>
          <w:tcPr>
            <w:tcW w:w="2268" w:type="dxa"/>
            <w:vAlign w:val="center"/>
          </w:tcPr>
          <w:p w14:paraId="464CD9CA">
            <w:pPr>
              <w:pStyle w:val="13"/>
            </w:pPr>
            <w:r>
              <w:t>57.87万元</w:t>
            </w:r>
          </w:p>
        </w:tc>
        <w:tc>
          <w:tcPr>
            <w:tcW w:w="1276" w:type="dxa"/>
            <w:vAlign w:val="center"/>
          </w:tcPr>
          <w:p w14:paraId="7A9104D4">
            <w:pPr>
              <w:pStyle w:val="13"/>
            </w:pPr>
            <w:r>
              <w:t>城乡义务教育公用经费管理办法</w:t>
            </w:r>
          </w:p>
        </w:tc>
      </w:tr>
      <w:tr w14:paraId="3C9DD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1884C">
            <w:pPr>
              <w:pStyle w:val="12"/>
            </w:pPr>
            <w:r>
              <w:t>效益指标</w:t>
            </w:r>
          </w:p>
        </w:tc>
        <w:tc>
          <w:tcPr>
            <w:tcW w:w="2268" w:type="dxa"/>
            <w:vAlign w:val="center"/>
          </w:tcPr>
          <w:p w14:paraId="10C803BF">
            <w:pPr>
              <w:pStyle w:val="13"/>
            </w:pPr>
            <w:r>
              <w:t>经济效益指标</w:t>
            </w:r>
          </w:p>
        </w:tc>
        <w:tc>
          <w:tcPr>
            <w:tcW w:w="2835" w:type="dxa"/>
            <w:vAlign w:val="center"/>
          </w:tcPr>
          <w:p w14:paraId="62B2C456">
            <w:pPr>
              <w:pStyle w:val="13"/>
            </w:pPr>
            <w:r>
              <w:t>教育发展水平</w:t>
            </w:r>
          </w:p>
        </w:tc>
        <w:tc>
          <w:tcPr>
            <w:tcW w:w="5386" w:type="dxa"/>
            <w:vAlign w:val="center"/>
          </w:tcPr>
          <w:p w14:paraId="0EE4A617">
            <w:pPr>
              <w:pStyle w:val="13"/>
            </w:pPr>
            <w:r>
              <w:t>辖区内教育环境明显好转</w:t>
            </w:r>
          </w:p>
        </w:tc>
        <w:tc>
          <w:tcPr>
            <w:tcW w:w="2268" w:type="dxa"/>
            <w:vAlign w:val="center"/>
          </w:tcPr>
          <w:p w14:paraId="0D668374">
            <w:pPr>
              <w:pStyle w:val="13"/>
            </w:pPr>
            <w:r>
              <w:t>≥95%</w:t>
            </w:r>
          </w:p>
        </w:tc>
        <w:tc>
          <w:tcPr>
            <w:tcW w:w="1276" w:type="dxa"/>
            <w:vAlign w:val="center"/>
          </w:tcPr>
          <w:p w14:paraId="59F5C70D">
            <w:pPr>
              <w:pStyle w:val="13"/>
            </w:pPr>
            <w:r>
              <w:t>城乡义务教育公用经费管理办法</w:t>
            </w:r>
          </w:p>
        </w:tc>
      </w:tr>
      <w:tr w14:paraId="704E5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B5297"/>
        </w:tc>
        <w:tc>
          <w:tcPr>
            <w:tcW w:w="2268" w:type="dxa"/>
            <w:vAlign w:val="center"/>
          </w:tcPr>
          <w:p w14:paraId="2FB66F64">
            <w:pPr>
              <w:pStyle w:val="13"/>
            </w:pPr>
            <w:r>
              <w:t>社会效益指标</w:t>
            </w:r>
          </w:p>
        </w:tc>
        <w:tc>
          <w:tcPr>
            <w:tcW w:w="2835" w:type="dxa"/>
            <w:vAlign w:val="center"/>
          </w:tcPr>
          <w:p w14:paraId="31B74FDB">
            <w:pPr>
              <w:pStyle w:val="13"/>
            </w:pPr>
            <w:r>
              <w:t>校园环境</w:t>
            </w:r>
          </w:p>
        </w:tc>
        <w:tc>
          <w:tcPr>
            <w:tcW w:w="5386" w:type="dxa"/>
            <w:vAlign w:val="center"/>
          </w:tcPr>
          <w:p w14:paraId="1E27827A">
            <w:pPr>
              <w:pStyle w:val="13"/>
            </w:pPr>
            <w:r>
              <w:t>办学条件和环境得到改善</w:t>
            </w:r>
          </w:p>
        </w:tc>
        <w:tc>
          <w:tcPr>
            <w:tcW w:w="2268" w:type="dxa"/>
            <w:vAlign w:val="center"/>
          </w:tcPr>
          <w:p w14:paraId="01B98BE2">
            <w:pPr>
              <w:pStyle w:val="13"/>
            </w:pPr>
            <w:r>
              <w:t>≥95%</w:t>
            </w:r>
          </w:p>
        </w:tc>
        <w:tc>
          <w:tcPr>
            <w:tcW w:w="1276" w:type="dxa"/>
            <w:vAlign w:val="center"/>
          </w:tcPr>
          <w:p w14:paraId="428D8283">
            <w:pPr>
              <w:pStyle w:val="13"/>
            </w:pPr>
            <w:r>
              <w:t>城乡义务教育公用经费管理办法</w:t>
            </w:r>
          </w:p>
        </w:tc>
      </w:tr>
      <w:tr w14:paraId="4331F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AEF198">
            <w:pPr>
              <w:pStyle w:val="12"/>
            </w:pPr>
            <w:r>
              <w:t>满意度指标</w:t>
            </w:r>
          </w:p>
        </w:tc>
        <w:tc>
          <w:tcPr>
            <w:tcW w:w="2268" w:type="dxa"/>
            <w:vAlign w:val="center"/>
          </w:tcPr>
          <w:p w14:paraId="36868052">
            <w:pPr>
              <w:pStyle w:val="13"/>
            </w:pPr>
            <w:r>
              <w:t>服务对象满意度指标</w:t>
            </w:r>
          </w:p>
        </w:tc>
        <w:tc>
          <w:tcPr>
            <w:tcW w:w="2835" w:type="dxa"/>
            <w:vAlign w:val="center"/>
          </w:tcPr>
          <w:p w14:paraId="53EF6504">
            <w:pPr>
              <w:pStyle w:val="13"/>
            </w:pPr>
            <w:r>
              <w:t>受益学生家长及调查满意度</w:t>
            </w:r>
          </w:p>
        </w:tc>
        <w:tc>
          <w:tcPr>
            <w:tcW w:w="5386" w:type="dxa"/>
            <w:vAlign w:val="center"/>
          </w:tcPr>
          <w:p w14:paraId="447F2239">
            <w:pPr>
              <w:pStyle w:val="13"/>
            </w:pPr>
            <w:r>
              <w:t>学生、教师及家长对学校工作满意度情况</w:t>
            </w:r>
          </w:p>
        </w:tc>
        <w:tc>
          <w:tcPr>
            <w:tcW w:w="2268" w:type="dxa"/>
            <w:vAlign w:val="center"/>
          </w:tcPr>
          <w:p w14:paraId="34904161">
            <w:pPr>
              <w:pStyle w:val="13"/>
            </w:pPr>
            <w:r>
              <w:t>≥95%</w:t>
            </w:r>
          </w:p>
        </w:tc>
        <w:tc>
          <w:tcPr>
            <w:tcW w:w="1276" w:type="dxa"/>
            <w:vAlign w:val="center"/>
          </w:tcPr>
          <w:p w14:paraId="6DF614CD">
            <w:pPr>
              <w:pStyle w:val="13"/>
            </w:pPr>
            <w:r>
              <w:t>城乡义务教育公用经费管理办法</w:t>
            </w:r>
          </w:p>
        </w:tc>
      </w:tr>
    </w:tbl>
    <w:p w14:paraId="7BC25CAA">
      <w:pPr>
        <w:sectPr>
          <w:pgSz w:w="16840" w:h="11900" w:orient="landscape"/>
          <w:pgMar w:top="1361" w:right="1020" w:bottom="1134" w:left="1020" w:header="720" w:footer="720" w:gutter="0"/>
          <w:cols w:space="720" w:num="1"/>
        </w:sectPr>
      </w:pPr>
    </w:p>
    <w:p w14:paraId="6DE1014C">
      <w:pPr>
        <w:spacing w:before="0" w:after="0"/>
        <w:ind w:firstLine="560"/>
        <w:jc w:val="left"/>
        <w:outlineLvl w:val="9"/>
      </w:pPr>
      <w:r>
        <w:rPr>
          <w:rFonts w:ascii="方正仿宋_GBK" w:hAnsi="方正仿宋_GBK" w:eastAsia="方正仿宋_GBK" w:cs="方正仿宋_GBK"/>
          <w:b/>
          <w:color w:val="000000"/>
          <w:sz w:val="28"/>
        </w:rPr>
        <w:t>12、冀财教[2024]123号/中央/2025年义教补助经费/综合奖补/山口校区水饭小学公用经费绩效目标表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62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B05D3">
            <w:pPr>
              <w:pStyle w:val="14"/>
            </w:pPr>
            <w:r>
              <w:t>单位：万元</w:t>
            </w:r>
          </w:p>
        </w:tc>
      </w:tr>
      <w:tr w14:paraId="363F0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58BB3E">
            <w:pPr>
              <w:pStyle w:val="11"/>
            </w:pPr>
            <w:r>
              <w:t>项目编码</w:t>
            </w:r>
          </w:p>
        </w:tc>
        <w:tc>
          <w:tcPr>
            <w:tcW w:w="5103" w:type="dxa"/>
            <w:gridSpan w:val="2"/>
            <w:vAlign w:val="center"/>
          </w:tcPr>
          <w:p w14:paraId="38166BA0">
            <w:pPr>
              <w:pStyle w:val="13"/>
            </w:pPr>
            <w:r>
              <w:t>13052525P008756102823</w:t>
            </w:r>
          </w:p>
        </w:tc>
        <w:tc>
          <w:tcPr>
            <w:tcW w:w="2835" w:type="dxa"/>
            <w:vAlign w:val="center"/>
          </w:tcPr>
          <w:p w14:paraId="5AB10676">
            <w:pPr>
              <w:pStyle w:val="11"/>
            </w:pPr>
            <w:r>
              <w:t>项目名称</w:t>
            </w:r>
          </w:p>
        </w:tc>
        <w:tc>
          <w:tcPr>
            <w:tcW w:w="6095" w:type="dxa"/>
            <w:gridSpan w:val="3"/>
            <w:vAlign w:val="center"/>
          </w:tcPr>
          <w:p w14:paraId="7A64E4C7">
            <w:pPr>
              <w:pStyle w:val="13"/>
            </w:pPr>
            <w:r>
              <w:t>冀财教[2024]123号/中央/2025年义教补助经费/综合奖补/山口校区水饭小学公用经费</w:t>
            </w:r>
          </w:p>
        </w:tc>
      </w:tr>
      <w:tr w14:paraId="5B8F1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AF5C3">
            <w:pPr>
              <w:pStyle w:val="11"/>
            </w:pPr>
            <w:r>
              <w:t>预算规模及资金用途</w:t>
            </w:r>
          </w:p>
        </w:tc>
        <w:tc>
          <w:tcPr>
            <w:tcW w:w="2268" w:type="dxa"/>
            <w:vAlign w:val="center"/>
          </w:tcPr>
          <w:p w14:paraId="267F4632">
            <w:pPr>
              <w:pStyle w:val="11"/>
            </w:pPr>
            <w:r>
              <w:t>预算数</w:t>
            </w:r>
          </w:p>
        </w:tc>
        <w:tc>
          <w:tcPr>
            <w:tcW w:w="2835" w:type="dxa"/>
            <w:vAlign w:val="center"/>
          </w:tcPr>
          <w:p w14:paraId="448BDA44">
            <w:pPr>
              <w:pStyle w:val="13"/>
            </w:pPr>
            <w:r>
              <w:t>2.01</w:t>
            </w:r>
          </w:p>
        </w:tc>
        <w:tc>
          <w:tcPr>
            <w:tcW w:w="2835" w:type="dxa"/>
            <w:vAlign w:val="center"/>
          </w:tcPr>
          <w:p w14:paraId="136A1853">
            <w:pPr>
              <w:pStyle w:val="11"/>
            </w:pPr>
            <w:r>
              <w:t>其中：财政    资金</w:t>
            </w:r>
          </w:p>
        </w:tc>
        <w:tc>
          <w:tcPr>
            <w:tcW w:w="2551" w:type="dxa"/>
            <w:vAlign w:val="center"/>
          </w:tcPr>
          <w:p w14:paraId="679B7838">
            <w:pPr>
              <w:pStyle w:val="13"/>
            </w:pPr>
            <w:r>
              <w:t>2.01</w:t>
            </w:r>
          </w:p>
        </w:tc>
        <w:tc>
          <w:tcPr>
            <w:tcW w:w="2268" w:type="dxa"/>
            <w:vAlign w:val="center"/>
          </w:tcPr>
          <w:p w14:paraId="6D1F4EA3">
            <w:pPr>
              <w:pStyle w:val="11"/>
            </w:pPr>
            <w:r>
              <w:t>其他资金</w:t>
            </w:r>
          </w:p>
        </w:tc>
        <w:tc>
          <w:tcPr>
            <w:tcW w:w="1276" w:type="dxa"/>
            <w:vAlign w:val="center"/>
          </w:tcPr>
          <w:p w14:paraId="632316C8">
            <w:pPr>
              <w:pStyle w:val="13"/>
            </w:pPr>
            <w:r>
              <w:t xml:space="preserve"> </w:t>
            </w:r>
          </w:p>
        </w:tc>
      </w:tr>
      <w:tr w14:paraId="12C1A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6F42D3"/>
        </w:tc>
        <w:tc>
          <w:tcPr>
            <w:tcW w:w="14033" w:type="dxa"/>
            <w:gridSpan w:val="6"/>
            <w:vAlign w:val="center"/>
          </w:tcPr>
          <w:p w14:paraId="7812B170">
            <w:pPr>
              <w:pStyle w:val="13"/>
            </w:pPr>
            <w:r>
              <w:t>有效完成学校教学安全秩序，保障学校教学任务有效开展，满足学校正常教学需要。</w:t>
            </w:r>
          </w:p>
        </w:tc>
      </w:tr>
      <w:tr w14:paraId="4C5E0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B44E4">
            <w:pPr>
              <w:pStyle w:val="11"/>
            </w:pPr>
            <w:r>
              <w:t>资金支出计划（%）</w:t>
            </w:r>
          </w:p>
        </w:tc>
        <w:tc>
          <w:tcPr>
            <w:tcW w:w="5103" w:type="dxa"/>
            <w:gridSpan w:val="2"/>
            <w:vAlign w:val="center"/>
          </w:tcPr>
          <w:p w14:paraId="3E064A79">
            <w:pPr>
              <w:pStyle w:val="11"/>
            </w:pPr>
            <w:r>
              <w:t>3月底</w:t>
            </w:r>
          </w:p>
        </w:tc>
        <w:tc>
          <w:tcPr>
            <w:tcW w:w="2835" w:type="dxa"/>
            <w:vAlign w:val="center"/>
          </w:tcPr>
          <w:p w14:paraId="583A5685">
            <w:pPr>
              <w:pStyle w:val="11"/>
            </w:pPr>
            <w:r>
              <w:t>6月底</w:t>
            </w:r>
          </w:p>
        </w:tc>
        <w:tc>
          <w:tcPr>
            <w:tcW w:w="2551" w:type="dxa"/>
            <w:vAlign w:val="center"/>
          </w:tcPr>
          <w:p w14:paraId="621E81F4">
            <w:pPr>
              <w:pStyle w:val="11"/>
            </w:pPr>
            <w:r>
              <w:t>10月底</w:t>
            </w:r>
          </w:p>
        </w:tc>
        <w:tc>
          <w:tcPr>
            <w:tcW w:w="3544" w:type="dxa"/>
            <w:gridSpan w:val="2"/>
            <w:vAlign w:val="center"/>
          </w:tcPr>
          <w:p w14:paraId="42C1BB50">
            <w:pPr>
              <w:pStyle w:val="11"/>
            </w:pPr>
            <w:r>
              <w:t>12月底</w:t>
            </w:r>
          </w:p>
        </w:tc>
      </w:tr>
      <w:tr w14:paraId="40D21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4FC431"/>
        </w:tc>
        <w:tc>
          <w:tcPr>
            <w:tcW w:w="5103" w:type="dxa"/>
            <w:gridSpan w:val="2"/>
            <w:vAlign w:val="center"/>
          </w:tcPr>
          <w:p w14:paraId="79F61FEE">
            <w:pPr>
              <w:pStyle w:val="12"/>
            </w:pPr>
            <w:r>
              <w:t xml:space="preserve"> </w:t>
            </w:r>
          </w:p>
        </w:tc>
        <w:tc>
          <w:tcPr>
            <w:tcW w:w="2835" w:type="dxa"/>
            <w:vAlign w:val="center"/>
          </w:tcPr>
          <w:p w14:paraId="5871AE5E">
            <w:pPr>
              <w:pStyle w:val="12"/>
            </w:pPr>
            <w:r>
              <w:t xml:space="preserve"> </w:t>
            </w:r>
          </w:p>
        </w:tc>
        <w:tc>
          <w:tcPr>
            <w:tcW w:w="2551" w:type="dxa"/>
            <w:vAlign w:val="center"/>
          </w:tcPr>
          <w:p w14:paraId="3CB4B97C">
            <w:pPr>
              <w:pStyle w:val="12"/>
            </w:pPr>
            <w:r>
              <w:t>100%</w:t>
            </w:r>
          </w:p>
        </w:tc>
        <w:tc>
          <w:tcPr>
            <w:tcW w:w="3544" w:type="dxa"/>
            <w:gridSpan w:val="2"/>
            <w:vAlign w:val="center"/>
          </w:tcPr>
          <w:p w14:paraId="2A8DE12E">
            <w:pPr>
              <w:pStyle w:val="12"/>
            </w:pPr>
            <w:r>
              <w:t>100%</w:t>
            </w:r>
          </w:p>
        </w:tc>
      </w:tr>
      <w:tr w14:paraId="126A2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B9775">
            <w:pPr>
              <w:pStyle w:val="11"/>
            </w:pPr>
            <w:r>
              <w:t>绩效目标</w:t>
            </w:r>
          </w:p>
        </w:tc>
        <w:tc>
          <w:tcPr>
            <w:tcW w:w="14033" w:type="dxa"/>
            <w:gridSpan w:val="6"/>
            <w:vAlign w:val="center"/>
          </w:tcPr>
          <w:p w14:paraId="1DFCF4CE">
            <w:pPr>
              <w:pStyle w:val="13"/>
            </w:pPr>
            <w:r>
              <w:t>1.有效完成学校教学安全秩序，保障学校教学任务有效开展，满足学校正常教学需要。</w:t>
            </w:r>
          </w:p>
          <w:p w14:paraId="5E7592F2">
            <w:pPr>
              <w:pStyle w:val="13"/>
            </w:pPr>
            <w:r>
              <w:t>2.按规定拨付公用经费资金，预算执行率≥98%。</w:t>
            </w:r>
          </w:p>
        </w:tc>
      </w:tr>
    </w:tbl>
    <w:p w14:paraId="23493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43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2D6FD">
            <w:pPr>
              <w:pStyle w:val="11"/>
            </w:pPr>
            <w:r>
              <w:t>一级指标</w:t>
            </w:r>
          </w:p>
        </w:tc>
        <w:tc>
          <w:tcPr>
            <w:tcW w:w="2268" w:type="dxa"/>
            <w:vAlign w:val="center"/>
          </w:tcPr>
          <w:p w14:paraId="3367DDFD">
            <w:pPr>
              <w:pStyle w:val="11"/>
            </w:pPr>
            <w:r>
              <w:t>二级指标</w:t>
            </w:r>
          </w:p>
        </w:tc>
        <w:tc>
          <w:tcPr>
            <w:tcW w:w="2835" w:type="dxa"/>
            <w:vAlign w:val="center"/>
          </w:tcPr>
          <w:p w14:paraId="39F7582B">
            <w:pPr>
              <w:pStyle w:val="11"/>
            </w:pPr>
            <w:r>
              <w:t>三级指标</w:t>
            </w:r>
          </w:p>
        </w:tc>
        <w:tc>
          <w:tcPr>
            <w:tcW w:w="5386" w:type="dxa"/>
            <w:vAlign w:val="center"/>
          </w:tcPr>
          <w:p w14:paraId="556E7BAC">
            <w:pPr>
              <w:pStyle w:val="11"/>
            </w:pPr>
            <w:r>
              <w:t>绩效指标描述</w:t>
            </w:r>
          </w:p>
        </w:tc>
        <w:tc>
          <w:tcPr>
            <w:tcW w:w="2268" w:type="dxa"/>
            <w:vAlign w:val="center"/>
          </w:tcPr>
          <w:p w14:paraId="11D48E30">
            <w:pPr>
              <w:pStyle w:val="11"/>
            </w:pPr>
            <w:r>
              <w:t>指标值</w:t>
            </w:r>
          </w:p>
        </w:tc>
        <w:tc>
          <w:tcPr>
            <w:tcW w:w="1276" w:type="dxa"/>
            <w:vAlign w:val="center"/>
          </w:tcPr>
          <w:p w14:paraId="450AA4C7">
            <w:pPr>
              <w:pStyle w:val="11"/>
            </w:pPr>
            <w:r>
              <w:t>指标值确定依据</w:t>
            </w:r>
          </w:p>
        </w:tc>
      </w:tr>
      <w:tr w14:paraId="019CC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283BA">
            <w:pPr>
              <w:pStyle w:val="12"/>
            </w:pPr>
            <w:r>
              <w:t>产出指标</w:t>
            </w:r>
          </w:p>
        </w:tc>
        <w:tc>
          <w:tcPr>
            <w:tcW w:w="2268" w:type="dxa"/>
            <w:vAlign w:val="center"/>
          </w:tcPr>
          <w:p w14:paraId="61C4605F">
            <w:pPr>
              <w:pStyle w:val="13"/>
            </w:pPr>
            <w:r>
              <w:t>数量指标</w:t>
            </w:r>
          </w:p>
        </w:tc>
        <w:tc>
          <w:tcPr>
            <w:tcW w:w="2835" w:type="dxa"/>
            <w:vAlign w:val="center"/>
          </w:tcPr>
          <w:p w14:paraId="05FF2819">
            <w:pPr>
              <w:pStyle w:val="13"/>
            </w:pPr>
            <w:r>
              <w:t>生均拨款标准</w:t>
            </w:r>
          </w:p>
        </w:tc>
        <w:tc>
          <w:tcPr>
            <w:tcW w:w="5386" w:type="dxa"/>
            <w:vAlign w:val="center"/>
          </w:tcPr>
          <w:p w14:paraId="487BCD32">
            <w:pPr>
              <w:pStyle w:val="13"/>
            </w:pPr>
            <w:r>
              <w:t>小学生公用经费生均小学720元。取暖费140元/生/年，随班就读学生补助6000元/生</w:t>
            </w:r>
          </w:p>
        </w:tc>
        <w:tc>
          <w:tcPr>
            <w:tcW w:w="2268" w:type="dxa"/>
            <w:vAlign w:val="center"/>
          </w:tcPr>
          <w:p w14:paraId="00D1F6A6">
            <w:pPr>
              <w:pStyle w:val="13"/>
            </w:pPr>
            <w:r>
              <w:t>840元</w:t>
            </w:r>
          </w:p>
        </w:tc>
        <w:tc>
          <w:tcPr>
            <w:tcW w:w="1276" w:type="dxa"/>
            <w:vAlign w:val="center"/>
          </w:tcPr>
          <w:p w14:paraId="15FD4594">
            <w:pPr>
              <w:pStyle w:val="13"/>
            </w:pPr>
            <w:r>
              <w:t>城乡义务教育公用经费管理办法</w:t>
            </w:r>
          </w:p>
        </w:tc>
      </w:tr>
      <w:tr w14:paraId="151A2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68211"/>
        </w:tc>
        <w:tc>
          <w:tcPr>
            <w:tcW w:w="2268" w:type="dxa"/>
            <w:vAlign w:val="center"/>
          </w:tcPr>
          <w:p w14:paraId="515106CF">
            <w:pPr>
              <w:pStyle w:val="13"/>
            </w:pPr>
            <w:r>
              <w:t>质量指标</w:t>
            </w:r>
          </w:p>
        </w:tc>
        <w:tc>
          <w:tcPr>
            <w:tcW w:w="2835" w:type="dxa"/>
            <w:vAlign w:val="center"/>
          </w:tcPr>
          <w:p w14:paraId="2AB6744A">
            <w:pPr>
              <w:pStyle w:val="13"/>
            </w:pPr>
            <w:r>
              <w:t>就读学生数</w:t>
            </w:r>
          </w:p>
        </w:tc>
        <w:tc>
          <w:tcPr>
            <w:tcW w:w="5386" w:type="dxa"/>
            <w:vAlign w:val="center"/>
          </w:tcPr>
          <w:p w14:paraId="04F61670">
            <w:pPr>
              <w:pStyle w:val="13"/>
            </w:pPr>
            <w:r>
              <w:t>辐射区域内适龄学生人数</w:t>
            </w:r>
          </w:p>
        </w:tc>
        <w:tc>
          <w:tcPr>
            <w:tcW w:w="2268" w:type="dxa"/>
            <w:vAlign w:val="center"/>
          </w:tcPr>
          <w:p w14:paraId="0C0D491D">
            <w:pPr>
              <w:pStyle w:val="13"/>
            </w:pPr>
            <w:r>
              <w:t>≥1257人</w:t>
            </w:r>
          </w:p>
        </w:tc>
        <w:tc>
          <w:tcPr>
            <w:tcW w:w="1276" w:type="dxa"/>
            <w:vAlign w:val="center"/>
          </w:tcPr>
          <w:p w14:paraId="3FB33453">
            <w:pPr>
              <w:pStyle w:val="13"/>
            </w:pPr>
            <w:r>
              <w:t>城乡义务教育公用经费管理办法</w:t>
            </w:r>
          </w:p>
        </w:tc>
      </w:tr>
      <w:tr w14:paraId="06973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677F8"/>
        </w:tc>
        <w:tc>
          <w:tcPr>
            <w:tcW w:w="2268" w:type="dxa"/>
            <w:vAlign w:val="center"/>
          </w:tcPr>
          <w:p w14:paraId="7612058A">
            <w:pPr>
              <w:pStyle w:val="13"/>
            </w:pPr>
            <w:r>
              <w:t>时效指标</w:t>
            </w:r>
          </w:p>
        </w:tc>
        <w:tc>
          <w:tcPr>
            <w:tcW w:w="2835" w:type="dxa"/>
            <w:vAlign w:val="center"/>
          </w:tcPr>
          <w:p w14:paraId="7CC5FE86">
            <w:pPr>
              <w:pStyle w:val="13"/>
            </w:pPr>
            <w:r>
              <w:t>预算执行率</w:t>
            </w:r>
          </w:p>
        </w:tc>
        <w:tc>
          <w:tcPr>
            <w:tcW w:w="5386" w:type="dxa"/>
            <w:vAlign w:val="center"/>
          </w:tcPr>
          <w:p w14:paraId="1A589AFA">
            <w:pPr>
              <w:pStyle w:val="13"/>
            </w:pPr>
            <w:r>
              <w:t>预算执行率≥98%</w:t>
            </w:r>
          </w:p>
        </w:tc>
        <w:tc>
          <w:tcPr>
            <w:tcW w:w="2268" w:type="dxa"/>
            <w:vAlign w:val="center"/>
          </w:tcPr>
          <w:p w14:paraId="3766AC49">
            <w:pPr>
              <w:pStyle w:val="13"/>
            </w:pPr>
            <w:r>
              <w:t>≥98%</w:t>
            </w:r>
          </w:p>
        </w:tc>
        <w:tc>
          <w:tcPr>
            <w:tcW w:w="1276" w:type="dxa"/>
            <w:vAlign w:val="center"/>
          </w:tcPr>
          <w:p w14:paraId="0D6624B1">
            <w:pPr>
              <w:pStyle w:val="13"/>
            </w:pPr>
            <w:r>
              <w:t>城乡义务教育公用经费管理办法</w:t>
            </w:r>
          </w:p>
        </w:tc>
      </w:tr>
      <w:tr w14:paraId="32FDF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19A25"/>
        </w:tc>
        <w:tc>
          <w:tcPr>
            <w:tcW w:w="2268" w:type="dxa"/>
            <w:vAlign w:val="center"/>
          </w:tcPr>
          <w:p w14:paraId="17A7262D">
            <w:pPr>
              <w:pStyle w:val="13"/>
            </w:pPr>
            <w:r>
              <w:t>成本指标</w:t>
            </w:r>
          </w:p>
        </w:tc>
        <w:tc>
          <w:tcPr>
            <w:tcW w:w="2835" w:type="dxa"/>
            <w:vAlign w:val="center"/>
          </w:tcPr>
          <w:p w14:paraId="40BBADA4">
            <w:pPr>
              <w:pStyle w:val="13"/>
            </w:pPr>
            <w:r>
              <w:t>义教经费支付完成率</w:t>
            </w:r>
          </w:p>
        </w:tc>
        <w:tc>
          <w:tcPr>
            <w:tcW w:w="5386" w:type="dxa"/>
            <w:vAlign w:val="center"/>
          </w:tcPr>
          <w:p w14:paraId="214F0172">
            <w:pPr>
              <w:pStyle w:val="13"/>
            </w:pPr>
            <w:r>
              <w:t>按照序时进度完成资金支付</w:t>
            </w:r>
          </w:p>
        </w:tc>
        <w:tc>
          <w:tcPr>
            <w:tcW w:w="2268" w:type="dxa"/>
            <w:vAlign w:val="center"/>
          </w:tcPr>
          <w:p w14:paraId="628BDFCE">
            <w:pPr>
              <w:pStyle w:val="13"/>
            </w:pPr>
            <w:r>
              <w:t>≥100%</w:t>
            </w:r>
          </w:p>
        </w:tc>
        <w:tc>
          <w:tcPr>
            <w:tcW w:w="1276" w:type="dxa"/>
            <w:vAlign w:val="center"/>
          </w:tcPr>
          <w:p w14:paraId="42897062">
            <w:pPr>
              <w:pStyle w:val="13"/>
            </w:pPr>
            <w:r>
              <w:t>城乡义务教育公用经费管理办法</w:t>
            </w:r>
          </w:p>
        </w:tc>
      </w:tr>
      <w:tr w14:paraId="3BED1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B25AE">
            <w:pPr>
              <w:pStyle w:val="12"/>
            </w:pPr>
            <w:r>
              <w:t>效益指标</w:t>
            </w:r>
          </w:p>
        </w:tc>
        <w:tc>
          <w:tcPr>
            <w:tcW w:w="2268" w:type="dxa"/>
            <w:vAlign w:val="center"/>
          </w:tcPr>
          <w:p w14:paraId="15E2AE70">
            <w:pPr>
              <w:pStyle w:val="13"/>
            </w:pPr>
            <w:r>
              <w:t>社会效益指标</w:t>
            </w:r>
          </w:p>
        </w:tc>
        <w:tc>
          <w:tcPr>
            <w:tcW w:w="2835" w:type="dxa"/>
            <w:vAlign w:val="center"/>
          </w:tcPr>
          <w:p w14:paraId="62C1DD2C">
            <w:pPr>
              <w:pStyle w:val="13"/>
            </w:pPr>
            <w:r>
              <w:t>学校运转得到提高</w:t>
            </w:r>
          </w:p>
        </w:tc>
        <w:tc>
          <w:tcPr>
            <w:tcW w:w="5386" w:type="dxa"/>
            <w:vAlign w:val="center"/>
          </w:tcPr>
          <w:p w14:paraId="24C49364">
            <w:pPr>
              <w:pStyle w:val="13"/>
            </w:pPr>
            <w:r>
              <w:t>学生受教育年限</w:t>
            </w:r>
          </w:p>
        </w:tc>
        <w:tc>
          <w:tcPr>
            <w:tcW w:w="2268" w:type="dxa"/>
            <w:vAlign w:val="center"/>
          </w:tcPr>
          <w:p w14:paraId="062A9C34">
            <w:pPr>
              <w:pStyle w:val="13"/>
            </w:pPr>
            <w:r>
              <w:t>6年</w:t>
            </w:r>
          </w:p>
        </w:tc>
        <w:tc>
          <w:tcPr>
            <w:tcW w:w="1276" w:type="dxa"/>
            <w:vAlign w:val="center"/>
          </w:tcPr>
          <w:p w14:paraId="6B2E0156">
            <w:pPr>
              <w:pStyle w:val="13"/>
            </w:pPr>
            <w:r>
              <w:t>城乡义务教育公用经费管理办法</w:t>
            </w:r>
          </w:p>
        </w:tc>
      </w:tr>
      <w:tr w14:paraId="529BB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B2A168">
            <w:pPr>
              <w:pStyle w:val="12"/>
            </w:pPr>
            <w:r>
              <w:t>满意度指标</w:t>
            </w:r>
          </w:p>
        </w:tc>
        <w:tc>
          <w:tcPr>
            <w:tcW w:w="2268" w:type="dxa"/>
            <w:vAlign w:val="center"/>
          </w:tcPr>
          <w:p w14:paraId="66805891">
            <w:pPr>
              <w:pStyle w:val="13"/>
            </w:pPr>
            <w:r>
              <w:t>服务对象满意度指标</w:t>
            </w:r>
          </w:p>
        </w:tc>
        <w:tc>
          <w:tcPr>
            <w:tcW w:w="2835" w:type="dxa"/>
            <w:vAlign w:val="center"/>
          </w:tcPr>
          <w:p w14:paraId="0A534AD2">
            <w:pPr>
              <w:pStyle w:val="13"/>
            </w:pPr>
            <w:r>
              <w:t>服务对象满意度</w:t>
            </w:r>
          </w:p>
        </w:tc>
        <w:tc>
          <w:tcPr>
            <w:tcW w:w="5386" w:type="dxa"/>
            <w:vAlign w:val="center"/>
          </w:tcPr>
          <w:p w14:paraId="24747A70">
            <w:pPr>
              <w:pStyle w:val="13"/>
            </w:pPr>
            <w:r>
              <w:t>学校老师和学生满意度</w:t>
            </w:r>
          </w:p>
        </w:tc>
        <w:tc>
          <w:tcPr>
            <w:tcW w:w="2268" w:type="dxa"/>
            <w:vAlign w:val="center"/>
          </w:tcPr>
          <w:p w14:paraId="65D7376F">
            <w:pPr>
              <w:pStyle w:val="13"/>
            </w:pPr>
            <w:r>
              <w:t>≥95%</w:t>
            </w:r>
          </w:p>
        </w:tc>
        <w:tc>
          <w:tcPr>
            <w:tcW w:w="1276" w:type="dxa"/>
            <w:vAlign w:val="center"/>
          </w:tcPr>
          <w:p w14:paraId="3C2DD40B">
            <w:pPr>
              <w:pStyle w:val="13"/>
            </w:pPr>
            <w:r>
              <w:t>问卷调查</w:t>
            </w:r>
          </w:p>
        </w:tc>
      </w:tr>
    </w:tbl>
    <w:p w14:paraId="3416669C">
      <w:pPr>
        <w:sectPr>
          <w:pgSz w:w="16840" w:h="11900" w:orient="landscape"/>
          <w:pgMar w:top="1361" w:right="1020" w:bottom="1134" w:left="1020" w:header="720" w:footer="720" w:gutter="0"/>
          <w:cols w:space="720" w:num="1"/>
        </w:sectPr>
      </w:pPr>
    </w:p>
    <w:p w14:paraId="004629A3">
      <w:pPr>
        <w:spacing w:before="0" w:after="0"/>
        <w:ind w:firstLine="560"/>
        <w:jc w:val="left"/>
        <w:outlineLvl w:val="9"/>
      </w:pPr>
      <w:r>
        <w:rPr>
          <w:rFonts w:ascii="方正仿宋_GBK" w:hAnsi="方正仿宋_GBK" w:eastAsia="方正仿宋_GBK" w:cs="方正仿宋_GBK"/>
          <w:b/>
          <w:color w:val="000000"/>
          <w:sz w:val="28"/>
        </w:rPr>
        <w:t>13、冀财教[2024]141号/省级/2025年义教补助经费/第四实验小学公用经费绩效目标表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89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5BC63">
            <w:pPr>
              <w:pStyle w:val="14"/>
            </w:pPr>
            <w:r>
              <w:t>单位：万元</w:t>
            </w:r>
          </w:p>
        </w:tc>
      </w:tr>
      <w:tr w14:paraId="38D27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062D3">
            <w:pPr>
              <w:pStyle w:val="11"/>
            </w:pPr>
            <w:r>
              <w:t>项目编码</w:t>
            </w:r>
          </w:p>
        </w:tc>
        <w:tc>
          <w:tcPr>
            <w:tcW w:w="5103" w:type="dxa"/>
            <w:gridSpan w:val="2"/>
            <w:vAlign w:val="center"/>
          </w:tcPr>
          <w:p w14:paraId="7EB8FBA8">
            <w:pPr>
              <w:pStyle w:val="13"/>
            </w:pPr>
            <w:r>
              <w:t>13052525P00000410152U</w:t>
            </w:r>
          </w:p>
        </w:tc>
        <w:tc>
          <w:tcPr>
            <w:tcW w:w="2835" w:type="dxa"/>
            <w:vAlign w:val="center"/>
          </w:tcPr>
          <w:p w14:paraId="70BE830C">
            <w:pPr>
              <w:pStyle w:val="11"/>
            </w:pPr>
            <w:r>
              <w:t>项目名称</w:t>
            </w:r>
          </w:p>
        </w:tc>
        <w:tc>
          <w:tcPr>
            <w:tcW w:w="6095" w:type="dxa"/>
            <w:gridSpan w:val="3"/>
            <w:vAlign w:val="center"/>
          </w:tcPr>
          <w:p w14:paraId="6351AAEB">
            <w:pPr>
              <w:pStyle w:val="13"/>
            </w:pPr>
            <w:r>
              <w:t>冀财教[2024]141号/省级/2025年义教补助经费/第四实验小学公用经费</w:t>
            </w:r>
          </w:p>
        </w:tc>
      </w:tr>
      <w:tr w14:paraId="704FB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5C8D6">
            <w:pPr>
              <w:pStyle w:val="11"/>
            </w:pPr>
            <w:r>
              <w:t>预算规模及资金用途</w:t>
            </w:r>
          </w:p>
        </w:tc>
        <w:tc>
          <w:tcPr>
            <w:tcW w:w="2268" w:type="dxa"/>
            <w:vAlign w:val="center"/>
          </w:tcPr>
          <w:p w14:paraId="397B9C2B">
            <w:pPr>
              <w:pStyle w:val="11"/>
            </w:pPr>
            <w:r>
              <w:t>预算数</w:t>
            </w:r>
          </w:p>
        </w:tc>
        <w:tc>
          <w:tcPr>
            <w:tcW w:w="2835" w:type="dxa"/>
            <w:vAlign w:val="center"/>
          </w:tcPr>
          <w:p w14:paraId="2FA5FA70">
            <w:pPr>
              <w:pStyle w:val="13"/>
            </w:pPr>
            <w:r>
              <w:t>3.55</w:t>
            </w:r>
          </w:p>
        </w:tc>
        <w:tc>
          <w:tcPr>
            <w:tcW w:w="2835" w:type="dxa"/>
            <w:vAlign w:val="center"/>
          </w:tcPr>
          <w:p w14:paraId="0B51C119">
            <w:pPr>
              <w:pStyle w:val="11"/>
            </w:pPr>
            <w:r>
              <w:t>其中：财政    资金</w:t>
            </w:r>
          </w:p>
        </w:tc>
        <w:tc>
          <w:tcPr>
            <w:tcW w:w="2551" w:type="dxa"/>
            <w:vAlign w:val="center"/>
          </w:tcPr>
          <w:p w14:paraId="108BF5F4">
            <w:pPr>
              <w:pStyle w:val="13"/>
            </w:pPr>
            <w:r>
              <w:t>3.55</w:t>
            </w:r>
          </w:p>
        </w:tc>
        <w:tc>
          <w:tcPr>
            <w:tcW w:w="2268" w:type="dxa"/>
            <w:vAlign w:val="center"/>
          </w:tcPr>
          <w:p w14:paraId="3087347E">
            <w:pPr>
              <w:pStyle w:val="11"/>
            </w:pPr>
            <w:r>
              <w:t>其他资金</w:t>
            </w:r>
          </w:p>
        </w:tc>
        <w:tc>
          <w:tcPr>
            <w:tcW w:w="1276" w:type="dxa"/>
            <w:vAlign w:val="center"/>
          </w:tcPr>
          <w:p w14:paraId="3A25E9FF">
            <w:pPr>
              <w:pStyle w:val="13"/>
            </w:pPr>
            <w:r>
              <w:t xml:space="preserve"> </w:t>
            </w:r>
          </w:p>
        </w:tc>
      </w:tr>
      <w:tr w14:paraId="463C8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12EF8"/>
        </w:tc>
        <w:tc>
          <w:tcPr>
            <w:tcW w:w="14033" w:type="dxa"/>
            <w:gridSpan w:val="6"/>
            <w:vAlign w:val="center"/>
          </w:tcPr>
          <w:p w14:paraId="4FA56D8D">
            <w:pPr>
              <w:pStyle w:val="13"/>
            </w:pPr>
            <w:r>
              <w:t>用于有效完成学校教学安全秩序，保障学校教学任务有效开展，满足学校正常教学需要。</w:t>
            </w:r>
          </w:p>
        </w:tc>
      </w:tr>
      <w:tr w14:paraId="39D9C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F4EAA">
            <w:pPr>
              <w:pStyle w:val="11"/>
            </w:pPr>
            <w:r>
              <w:t>资金支出计划（%）</w:t>
            </w:r>
          </w:p>
        </w:tc>
        <w:tc>
          <w:tcPr>
            <w:tcW w:w="5103" w:type="dxa"/>
            <w:gridSpan w:val="2"/>
            <w:vAlign w:val="center"/>
          </w:tcPr>
          <w:p w14:paraId="38C650A3">
            <w:pPr>
              <w:pStyle w:val="11"/>
            </w:pPr>
            <w:r>
              <w:t>3月底</w:t>
            </w:r>
          </w:p>
        </w:tc>
        <w:tc>
          <w:tcPr>
            <w:tcW w:w="2835" w:type="dxa"/>
            <w:vAlign w:val="center"/>
          </w:tcPr>
          <w:p w14:paraId="703749EA">
            <w:pPr>
              <w:pStyle w:val="11"/>
            </w:pPr>
            <w:r>
              <w:t>6月底</w:t>
            </w:r>
          </w:p>
        </w:tc>
        <w:tc>
          <w:tcPr>
            <w:tcW w:w="2551" w:type="dxa"/>
            <w:vAlign w:val="center"/>
          </w:tcPr>
          <w:p w14:paraId="737F3A1D">
            <w:pPr>
              <w:pStyle w:val="11"/>
            </w:pPr>
            <w:r>
              <w:t>10月底</w:t>
            </w:r>
          </w:p>
        </w:tc>
        <w:tc>
          <w:tcPr>
            <w:tcW w:w="3544" w:type="dxa"/>
            <w:gridSpan w:val="2"/>
            <w:vAlign w:val="center"/>
          </w:tcPr>
          <w:p w14:paraId="21826D07">
            <w:pPr>
              <w:pStyle w:val="11"/>
            </w:pPr>
            <w:r>
              <w:t>12月底</w:t>
            </w:r>
          </w:p>
        </w:tc>
      </w:tr>
      <w:tr w14:paraId="7747C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44AADB"/>
        </w:tc>
        <w:tc>
          <w:tcPr>
            <w:tcW w:w="5103" w:type="dxa"/>
            <w:gridSpan w:val="2"/>
            <w:vAlign w:val="center"/>
          </w:tcPr>
          <w:p w14:paraId="40169BB5">
            <w:pPr>
              <w:pStyle w:val="12"/>
            </w:pPr>
            <w:r>
              <w:t>25%</w:t>
            </w:r>
          </w:p>
        </w:tc>
        <w:tc>
          <w:tcPr>
            <w:tcW w:w="2835" w:type="dxa"/>
            <w:vAlign w:val="center"/>
          </w:tcPr>
          <w:p w14:paraId="1D6A477B">
            <w:pPr>
              <w:pStyle w:val="12"/>
            </w:pPr>
            <w:r>
              <w:t>50%</w:t>
            </w:r>
          </w:p>
        </w:tc>
        <w:tc>
          <w:tcPr>
            <w:tcW w:w="2551" w:type="dxa"/>
            <w:vAlign w:val="center"/>
          </w:tcPr>
          <w:p w14:paraId="415A4069">
            <w:pPr>
              <w:pStyle w:val="12"/>
            </w:pPr>
            <w:r>
              <w:t>75%</w:t>
            </w:r>
          </w:p>
        </w:tc>
        <w:tc>
          <w:tcPr>
            <w:tcW w:w="3544" w:type="dxa"/>
            <w:gridSpan w:val="2"/>
            <w:vAlign w:val="center"/>
          </w:tcPr>
          <w:p w14:paraId="0A06FAE5">
            <w:pPr>
              <w:pStyle w:val="12"/>
            </w:pPr>
            <w:r>
              <w:t>100%</w:t>
            </w:r>
          </w:p>
        </w:tc>
      </w:tr>
      <w:tr w14:paraId="7D607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5FEC9">
            <w:pPr>
              <w:pStyle w:val="11"/>
            </w:pPr>
            <w:r>
              <w:t>绩效目标</w:t>
            </w:r>
          </w:p>
        </w:tc>
        <w:tc>
          <w:tcPr>
            <w:tcW w:w="14033" w:type="dxa"/>
            <w:gridSpan w:val="6"/>
            <w:vAlign w:val="center"/>
          </w:tcPr>
          <w:p w14:paraId="36EB3525">
            <w:pPr>
              <w:pStyle w:val="13"/>
            </w:pPr>
            <w:r>
              <w:t>1.按规定拨付公用经费资金，预算执行率≥98%。</w:t>
            </w:r>
          </w:p>
          <w:p w14:paraId="18381F4E">
            <w:pPr>
              <w:pStyle w:val="13"/>
            </w:pPr>
            <w:r>
              <w:t>2.有效完成学校教学安全秩序，保障学校教学任务有效开展，满足学校正常教学需要。</w:t>
            </w:r>
          </w:p>
        </w:tc>
      </w:tr>
    </w:tbl>
    <w:p w14:paraId="3A11CE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2D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0AF92">
            <w:pPr>
              <w:pStyle w:val="11"/>
            </w:pPr>
            <w:r>
              <w:t>一级指标</w:t>
            </w:r>
          </w:p>
        </w:tc>
        <w:tc>
          <w:tcPr>
            <w:tcW w:w="2268" w:type="dxa"/>
            <w:vAlign w:val="center"/>
          </w:tcPr>
          <w:p w14:paraId="01E2B533">
            <w:pPr>
              <w:pStyle w:val="11"/>
            </w:pPr>
            <w:r>
              <w:t>二级指标</w:t>
            </w:r>
          </w:p>
        </w:tc>
        <w:tc>
          <w:tcPr>
            <w:tcW w:w="2835" w:type="dxa"/>
            <w:vAlign w:val="center"/>
          </w:tcPr>
          <w:p w14:paraId="52F5AEAC">
            <w:pPr>
              <w:pStyle w:val="11"/>
            </w:pPr>
            <w:r>
              <w:t>三级指标</w:t>
            </w:r>
          </w:p>
        </w:tc>
        <w:tc>
          <w:tcPr>
            <w:tcW w:w="5386" w:type="dxa"/>
            <w:vAlign w:val="center"/>
          </w:tcPr>
          <w:p w14:paraId="0A81FD8E">
            <w:pPr>
              <w:pStyle w:val="11"/>
            </w:pPr>
            <w:r>
              <w:t>绩效指标描述</w:t>
            </w:r>
          </w:p>
        </w:tc>
        <w:tc>
          <w:tcPr>
            <w:tcW w:w="2268" w:type="dxa"/>
            <w:vAlign w:val="center"/>
          </w:tcPr>
          <w:p w14:paraId="6706EA68">
            <w:pPr>
              <w:pStyle w:val="11"/>
            </w:pPr>
            <w:r>
              <w:t>指标值</w:t>
            </w:r>
          </w:p>
        </w:tc>
        <w:tc>
          <w:tcPr>
            <w:tcW w:w="1276" w:type="dxa"/>
            <w:vAlign w:val="center"/>
          </w:tcPr>
          <w:p w14:paraId="53F56A12">
            <w:pPr>
              <w:pStyle w:val="11"/>
            </w:pPr>
            <w:r>
              <w:t>指标值确定依据</w:t>
            </w:r>
          </w:p>
        </w:tc>
      </w:tr>
      <w:tr w14:paraId="3993F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9A77A">
            <w:pPr>
              <w:pStyle w:val="12"/>
            </w:pPr>
            <w:r>
              <w:t>产出指标</w:t>
            </w:r>
          </w:p>
        </w:tc>
        <w:tc>
          <w:tcPr>
            <w:tcW w:w="2268" w:type="dxa"/>
            <w:vAlign w:val="center"/>
          </w:tcPr>
          <w:p w14:paraId="3831E352">
            <w:pPr>
              <w:pStyle w:val="13"/>
            </w:pPr>
            <w:r>
              <w:t>数量指标</w:t>
            </w:r>
          </w:p>
        </w:tc>
        <w:tc>
          <w:tcPr>
            <w:tcW w:w="2835" w:type="dxa"/>
            <w:vAlign w:val="center"/>
          </w:tcPr>
          <w:p w14:paraId="7612AB68">
            <w:pPr>
              <w:pStyle w:val="13"/>
            </w:pPr>
            <w:r>
              <w:t>就读学生数</w:t>
            </w:r>
          </w:p>
        </w:tc>
        <w:tc>
          <w:tcPr>
            <w:tcW w:w="5386" w:type="dxa"/>
            <w:vAlign w:val="center"/>
          </w:tcPr>
          <w:p w14:paraId="558F3A31">
            <w:pPr>
              <w:pStyle w:val="13"/>
            </w:pPr>
            <w:r>
              <w:t>辐射区域内适龄学生人数</w:t>
            </w:r>
          </w:p>
        </w:tc>
        <w:tc>
          <w:tcPr>
            <w:tcW w:w="2268" w:type="dxa"/>
            <w:vAlign w:val="center"/>
          </w:tcPr>
          <w:p w14:paraId="3E02A547">
            <w:pPr>
              <w:pStyle w:val="13"/>
            </w:pPr>
            <w:r>
              <w:t>132人</w:t>
            </w:r>
          </w:p>
        </w:tc>
        <w:tc>
          <w:tcPr>
            <w:tcW w:w="1276" w:type="dxa"/>
            <w:vAlign w:val="center"/>
          </w:tcPr>
          <w:p w14:paraId="02D6362D">
            <w:pPr>
              <w:pStyle w:val="13"/>
            </w:pPr>
            <w:r>
              <w:t>城乡义务教育公用经费管理办法</w:t>
            </w:r>
          </w:p>
        </w:tc>
      </w:tr>
      <w:tr w14:paraId="1A8FF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B5F3D"/>
        </w:tc>
        <w:tc>
          <w:tcPr>
            <w:tcW w:w="2268" w:type="dxa"/>
            <w:vAlign w:val="center"/>
          </w:tcPr>
          <w:p w14:paraId="156D5297">
            <w:pPr>
              <w:pStyle w:val="13"/>
            </w:pPr>
            <w:r>
              <w:t>质量指标</w:t>
            </w:r>
          </w:p>
        </w:tc>
        <w:tc>
          <w:tcPr>
            <w:tcW w:w="2835" w:type="dxa"/>
            <w:vAlign w:val="center"/>
          </w:tcPr>
          <w:p w14:paraId="371D7AD4">
            <w:pPr>
              <w:pStyle w:val="13"/>
            </w:pPr>
            <w:r>
              <w:t>预算执行率</w:t>
            </w:r>
          </w:p>
        </w:tc>
        <w:tc>
          <w:tcPr>
            <w:tcW w:w="5386" w:type="dxa"/>
            <w:vAlign w:val="center"/>
          </w:tcPr>
          <w:p w14:paraId="59133ED9">
            <w:pPr>
              <w:pStyle w:val="13"/>
            </w:pPr>
            <w:r>
              <w:t>预算执行率</w:t>
            </w:r>
          </w:p>
        </w:tc>
        <w:tc>
          <w:tcPr>
            <w:tcW w:w="2268" w:type="dxa"/>
            <w:vAlign w:val="center"/>
          </w:tcPr>
          <w:p w14:paraId="25EE42F7">
            <w:pPr>
              <w:pStyle w:val="13"/>
            </w:pPr>
            <w:r>
              <w:t>≥98%</w:t>
            </w:r>
          </w:p>
        </w:tc>
        <w:tc>
          <w:tcPr>
            <w:tcW w:w="1276" w:type="dxa"/>
            <w:vAlign w:val="center"/>
          </w:tcPr>
          <w:p w14:paraId="1E72C756">
            <w:pPr>
              <w:pStyle w:val="13"/>
            </w:pPr>
            <w:r>
              <w:t>城乡义务教育公用经费管理办法</w:t>
            </w:r>
          </w:p>
        </w:tc>
      </w:tr>
      <w:tr w14:paraId="7E180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1220"/>
        </w:tc>
        <w:tc>
          <w:tcPr>
            <w:tcW w:w="2268" w:type="dxa"/>
            <w:vAlign w:val="center"/>
          </w:tcPr>
          <w:p w14:paraId="1614CC02">
            <w:pPr>
              <w:pStyle w:val="13"/>
            </w:pPr>
            <w:r>
              <w:t>时效指标</w:t>
            </w:r>
          </w:p>
        </w:tc>
        <w:tc>
          <w:tcPr>
            <w:tcW w:w="2835" w:type="dxa"/>
            <w:vAlign w:val="center"/>
          </w:tcPr>
          <w:p w14:paraId="20010E65">
            <w:pPr>
              <w:pStyle w:val="13"/>
            </w:pPr>
            <w:r>
              <w:t>义教经费支付完成率</w:t>
            </w:r>
          </w:p>
        </w:tc>
        <w:tc>
          <w:tcPr>
            <w:tcW w:w="5386" w:type="dxa"/>
            <w:vAlign w:val="center"/>
          </w:tcPr>
          <w:p w14:paraId="315DF01B">
            <w:pPr>
              <w:pStyle w:val="13"/>
            </w:pPr>
            <w:r>
              <w:t>按照序时进度完成资金支付</w:t>
            </w:r>
          </w:p>
        </w:tc>
        <w:tc>
          <w:tcPr>
            <w:tcW w:w="2268" w:type="dxa"/>
            <w:vAlign w:val="center"/>
          </w:tcPr>
          <w:p w14:paraId="571A9774">
            <w:pPr>
              <w:pStyle w:val="13"/>
            </w:pPr>
            <w:r>
              <w:t>≥100%</w:t>
            </w:r>
          </w:p>
        </w:tc>
        <w:tc>
          <w:tcPr>
            <w:tcW w:w="1276" w:type="dxa"/>
            <w:vAlign w:val="center"/>
          </w:tcPr>
          <w:p w14:paraId="08AF8598">
            <w:pPr>
              <w:pStyle w:val="13"/>
            </w:pPr>
            <w:r>
              <w:t>城乡义务教育公用经费管理办法</w:t>
            </w:r>
          </w:p>
        </w:tc>
      </w:tr>
      <w:tr w14:paraId="1BDBF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DB29B"/>
        </w:tc>
        <w:tc>
          <w:tcPr>
            <w:tcW w:w="2268" w:type="dxa"/>
            <w:vAlign w:val="center"/>
          </w:tcPr>
          <w:p w14:paraId="6B54B25E">
            <w:pPr>
              <w:pStyle w:val="13"/>
            </w:pPr>
            <w:r>
              <w:t>成本指标</w:t>
            </w:r>
          </w:p>
        </w:tc>
        <w:tc>
          <w:tcPr>
            <w:tcW w:w="2835" w:type="dxa"/>
            <w:vAlign w:val="center"/>
          </w:tcPr>
          <w:p w14:paraId="17576CA8">
            <w:pPr>
              <w:pStyle w:val="13"/>
            </w:pPr>
            <w:r>
              <w:t>生均拨款标准</w:t>
            </w:r>
          </w:p>
        </w:tc>
        <w:tc>
          <w:tcPr>
            <w:tcW w:w="5386" w:type="dxa"/>
            <w:vAlign w:val="center"/>
          </w:tcPr>
          <w:p w14:paraId="2B6FFC5F">
            <w:pPr>
              <w:pStyle w:val="13"/>
            </w:pPr>
            <w:r>
              <w:t>小学：（基本标准720元、寄宿生300元、生活补助120元）/生/学年；特教、随班就读学生：标准6000元/生/学年</w:t>
            </w:r>
          </w:p>
        </w:tc>
        <w:tc>
          <w:tcPr>
            <w:tcW w:w="2268" w:type="dxa"/>
            <w:vAlign w:val="center"/>
          </w:tcPr>
          <w:p w14:paraId="4000662B">
            <w:pPr>
              <w:pStyle w:val="13"/>
            </w:pPr>
            <w:r>
              <w:t>840元</w:t>
            </w:r>
          </w:p>
        </w:tc>
        <w:tc>
          <w:tcPr>
            <w:tcW w:w="1276" w:type="dxa"/>
            <w:vAlign w:val="center"/>
          </w:tcPr>
          <w:p w14:paraId="2B017643">
            <w:pPr>
              <w:pStyle w:val="13"/>
            </w:pPr>
            <w:r>
              <w:t>城乡义务教育公用经费管理办法</w:t>
            </w:r>
          </w:p>
        </w:tc>
      </w:tr>
      <w:tr w14:paraId="4DCEA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B10738">
            <w:pPr>
              <w:pStyle w:val="12"/>
            </w:pPr>
            <w:r>
              <w:t>效益指标</w:t>
            </w:r>
          </w:p>
        </w:tc>
        <w:tc>
          <w:tcPr>
            <w:tcW w:w="2268" w:type="dxa"/>
            <w:vAlign w:val="center"/>
          </w:tcPr>
          <w:p w14:paraId="488BA693">
            <w:pPr>
              <w:pStyle w:val="13"/>
            </w:pPr>
            <w:r>
              <w:t>社会效益指标</w:t>
            </w:r>
          </w:p>
        </w:tc>
        <w:tc>
          <w:tcPr>
            <w:tcW w:w="2835" w:type="dxa"/>
            <w:vAlign w:val="center"/>
          </w:tcPr>
          <w:p w14:paraId="03105E85">
            <w:pPr>
              <w:pStyle w:val="13"/>
            </w:pPr>
            <w:r>
              <w:t>学校稳定率</w:t>
            </w:r>
          </w:p>
        </w:tc>
        <w:tc>
          <w:tcPr>
            <w:tcW w:w="5386" w:type="dxa"/>
            <w:vAlign w:val="center"/>
          </w:tcPr>
          <w:p w14:paraId="74EA0F47">
            <w:pPr>
              <w:pStyle w:val="13"/>
            </w:pPr>
            <w:r>
              <w:t>维护学校稳定，保障学校正常教学秩序有效开展</w:t>
            </w:r>
          </w:p>
        </w:tc>
        <w:tc>
          <w:tcPr>
            <w:tcW w:w="2268" w:type="dxa"/>
            <w:vAlign w:val="center"/>
          </w:tcPr>
          <w:p w14:paraId="603F2A3E">
            <w:pPr>
              <w:pStyle w:val="13"/>
            </w:pPr>
            <w:r>
              <w:t>≥100%</w:t>
            </w:r>
          </w:p>
        </w:tc>
        <w:tc>
          <w:tcPr>
            <w:tcW w:w="1276" w:type="dxa"/>
            <w:vAlign w:val="center"/>
          </w:tcPr>
          <w:p w14:paraId="3F0F76AF">
            <w:pPr>
              <w:pStyle w:val="13"/>
            </w:pPr>
            <w:r>
              <w:t>城乡义务教育公用经费管理办法</w:t>
            </w:r>
          </w:p>
        </w:tc>
      </w:tr>
      <w:tr w14:paraId="0995D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1D71A7">
            <w:pPr>
              <w:pStyle w:val="12"/>
            </w:pPr>
            <w:r>
              <w:t>满意度指标</w:t>
            </w:r>
          </w:p>
        </w:tc>
        <w:tc>
          <w:tcPr>
            <w:tcW w:w="2268" w:type="dxa"/>
            <w:vAlign w:val="center"/>
          </w:tcPr>
          <w:p w14:paraId="56C4E48B">
            <w:pPr>
              <w:pStyle w:val="13"/>
            </w:pPr>
            <w:r>
              <w:t>服务对象满意度指标</w:t>
            </w:r>
          </w:p>
        </w:tc>
        <w:tc>
          <w:tcPr>
            <w:tcW w:w="2835" w:type="dxa"/>
            <w:vAlign w:val="center"/>
          </w:tcPr>
          <w:p w14:paraId="7E3650CF">
            <w:pPr>
              <w:pStyle w:val="13"/>
            </w:pPr>
            <w:r>
              <w:t>家长和学生满意度</w:t>
            </w:r>
          </w:p>
        </w:tc>
        <w:tc>
          <w:tcPr>
            <w:tcW w:w="5386" w:type="dxa"/>
            <w:vAlign w:val="center"/>
          </w:tcPr>
          <w:p w14:paraId="39476951">
            <w:pPr>
              <w:pStyle w:val="13"/>
            </w:pPr>
            <w:r>
              <w:t>家长和学生满意度</w:t>
            </w:r>
          </w:p>
        </w:tc>
        <w:tc>
          <w:tcPr>
            <w:tcW w:w="2268" w:type="dxa"/>
            <w:vAlign w:val="center"/>
          </w:tcPr>
          <w:p w14:paraId="37AAC5F6">
            <w:pPr>
              <w:pStyle w:val="13"/>
            </w:pPr>
            <w:r>
              <w:t>≥95%</w:t>
            </w:r>
          </w:p>
        </w:tc>
        <w:tc>
          <w:tcPr>
            <w:tcW w:w="1276" w:type="dxa"/>
            <w:vAlign w:val="center"/>
          </w:tcPr>
          <w:p w14:paraId="6AFB6F5C">
            <w:pPr>
              <w:pStyle w:val="13"/>
            </w:pPr>
            <w:r>
              <w:t>问卷调查</w:t>
            </w:r>
          </w:p>
        </w:tc>
      </w:tr>
    </w:tbl>
    <w:p w14:paraId="54AC4CAC">
      <w:pPr>
        <w:sectPr>
          <w:pgSz w:w="16840" w:h="11900" w:orient="landscape"/>
          <w:pgMar w:top="1361" w:right="1020" w:bottom="1134" w:left="1020" w:header="720" w:footer="720" w:gutter="0"/>
          <w:cols w:space="720" w:num="1"/>
        </w:sectPr>
      </w:pPr>
    </w:p>
    <w:p w14:paraId="18281B89">
      <w:pPr>
        <w:spacing w:before="0" w:after="0"/>
        <w:ind w:firstLine="560"/>
        <w:jc w:val="left"/>
        <w:outlineLvl w:val="9"/>
      </w:pPr>
      <w:r>
        <w:rPr>
          <w:rFonts w:ascii="方正仿宋_GBK" w:hAnsi="方正仿宋_GBK" w:eastAsia="方正仿宋_GBK" w:cs="方正仿宋_GBK"/>
          <w:b/>
          <w:color w:val="000000"/>
          <w:sz w:val="28"/>
        </w:rPr>
        <w:t>14、冀财教[2024]141号/省级/2025年义教补助经费/佃户营小学公用经费绩效目标表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E75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21C98">
            <w:pPr>
              <w:pStyle w:val="14"/>
            </w:pPr>
            <w:r>
              <w:t>单位：万元</w:t>
            </w:r>
          </w:p>
        </w:tc>
      </w:tr>
      <w:tr w14:paraId="52583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5B86F">
            <w:pPr>
              <w:pStyle w:val="11"/>
            </w:pPr>
            <w:r>
              <w:t>项目编码</w:t>
            </w:r>
          </w:p>
        </w:tc>
        <w:tc>
          <w:tcPr>
            <w:tcW w:w="5103" w:type="dxa"/>
            <w:gridSpan w:val="2"/>
            <w:vAlign w:val="center"/>
          </w:tcPr>
          <w:p w14:paraId="4DC796F1">
            <w:pPr>
              <w:pStyle w:val="13"/>
            </w:pPr>
            <w:r>
              <w:t>13052525P00000410163B</w:t>
            </w:r>
          </w:p>
        </w:tc>
        <w:tc>
          <w:tcPr>
            <w:tcW w:w="2835" w:type="dxa"/>
            <w:vAlign w:val="center"/>
          </w:tcPr>
          <w:p w14:paraId="352424DB">
            <w:pPr>
              <w:pStyle w:val="11"/>
            </w:pPr>
            <w:r>
              <w:t>项目名称</w:t>
            </w:r>
          </w:p>
        </w:tc>
        <w:tc>
          <w:tcPr>
            <w:tcW w:w="6095" w:type="dxa"/>
            <w:gridSpan w:val="3"/>
            <w:vAlign w:val="center"/>
          </w:tcPr>
          <w:p w14:paraId="5818F407">
            <w:pPr>
              <w:pStyle w:val="13"/>
            </w:pPr>
            <w:r>
              <w:t>冀财教[2024]141号/省级/2025年义教补助经费/佃户营小学公用经费</w:t>
            </w:r>
          </w:p>
        </w:tc>
      </w:tr>
      <w:tr w14:paraId="55285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83AD4">
            <w:pPr>
              <w:pStyle w:val="11"/>
            </w:pPr>
            <w:r>
              <w:t>预算规模及资金用途</w:t>
            </w:r>
          </w:p>
        </w:tc>
        <w:tc>
          <w:tcPr>
            <w:tcW w:w="2268" w:type="dxa"/>
            <w:vAlign w:val="center"/>
          </w:tcPr>
          <w:p w14:paraId="497F36A5">
            <w:pPr>
              <w:pStyle w:val="11"/>
            </w:pPr>
            <w:r>
              <w:t>预算数</w:t>
            </w:r>
          </w:p>
        </w:tc>
        <w:tc>
          <w:tcPr>
            <w:tcW w:w="2835" w:type="dxa"/>
            <w:vAlign w:val="center"/>
          </w:tcPr>
          <w:p w14:paraId="4C9F63B6">
            <w:pPr>
              <w:pStyle w:val="13"/>
            </w:pPr>
            <w:r>
              <w:t>2.69</w:t>
            </w:r>
          </w:p>
        </w:tc>
        <w:tc>
          <w:tcPr>
            <w:tcW w:w="2835" w:type="dxa"/>
            <w:vAlign w:val="center"/>
          </w:tcPr>
          <w:p w14:paraId="2DBCDEFA">
            <w:pPr>
              <w:pStyle w:val="11"/>
            </w:pPr>
            <w:r>
              <w:t>其中：财政    资金</w:t>
            </w:r>
          </w:p>
        </w:tc>
        <w:tc>
          <w:tcPr>
            <w:tcW w:w="2551" w:type="dxa"/>
            <w:vAlign w:val="center"/>
          </w:tcPr>
          <w:p w14:paraId="59382F06">
            <w:pPr>
              <w:pStyle w:val="13"/>
            </w:pPr>
            <w:r>
              <w:t>2.69</w:t>
            </w:r>
          </w:p>
        </w:tc>
        <w:tc>
          <w:tcPr>
            <w:tcW w:w="2268" w:type="dxa"/>
            <w:vAlign w:val="center"/>
          </w:tcPr>
          <w:p w14:paraId="385BA63E">
            <w:pPr>
              <w:pStyle w:val="11"/>
            </w:pPr>
            <w:r>
              <w:t>其他资金</w:t>
            </w:r>
          </w:p>
        </w:tc>
        <w:tc>
          <w:tcPr>
            <w:tcW w:w="1276" w:type="dxa"/>
            <w:vAlign w:val="center"/>
          </w:tcPr>
          <w:p w14:paraId="4D56E3B2">
            <w:pPr>
              <w:pStyle w:val="13"/>
            </w:pPr>
            <w:r>
              <w:t xml:space="preserve"> </w:t>
            </w:r>
          </w:p>
        </w:tc>
      </w:tr>
      <w:tr w14:paraId="5944D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8D02D"/>
        </w:tc>
        <w:tc>
          <w:tcPr>
            <w:tcW w:w="14033" w:type="dxa"/>
            <w:gridSpan w:val="6"/>
            <w:vAlign w:val="center"/>
          </w:tcPr>
          <w:p w14:paraId="6F137614">
            <w:pPr>
              <w:pStyle w:val="13"/>
            </w:pPr>
            <w:r>
              <w:t>用于有效完成学校教学安全秩序，保障学校教学任务有效开展，满足学校正常教学需要。</w:t>
            </w:r>
          </w:p>
        </w:tc>
      </w:tr>
      <w:tr w14:paraId="5EE8E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60A0E">
            <w:pPr>
              <w:pStyle w:val="11"/>
            </w:pPr>
            <w:r>
              <w:t>资金支出计划（%）</w:t>
            </w:r>
          </w:p>
        </w:tc>
        <w:tc>
          <w:tcPr>
            <w:tcW w:w="5103" w:type="dxa"/>
            <w:gridSpan w:val="2"/>
            <w:vAlign w:val="center"/>
          </w:tcPr>
          <w:p w14:paraId="0DD56886">
            <w:pPr>
              <w:pStyle w:val="11"/>
            </w:pPr>
            <w:r>
              <w:t>3月底</w:t>
            </w:r>
          </w:p>
        </w:tc>
        <w:tc>
          <w:tcPr>
            <w:tcW w:w="2835" w:type="dxa"/>
            <w:vAlign w:val="center"/>
          </w:tcPr>
          <w:p w14:paraId="06132BC1">
            <w:pPr>
              <w:pStyle w:val="11"/>
            </w:pPr>
            <w:r>
              <w:t>6月底</w:t>
            </w:r>
          </w:p>
        </w:tc>
        <w:tc>
          <w:tcPr>
            <w:tcW w:w="2551" w:type="dxa"/>
            <w:vAlign w:val="center"/>
          </w:tcPr>
          <w:p w14:paraId="730F85E8">
            <w:pPr>
              <w:pStyle w:val="11"/>
            </w:pPr>
            <w:r>
              <w:t>10月底</w:t>
            </w:r>
          </w:p>
        </w:tc>
        <w:tc>
          <w:tcPr>
            <w:tcW w:w="3544" w:type="dxa"/>
            <w:gridSpan w:val="2"/>
            <w:vAlign w:val="center"/>
          </w:tcPr>
          <w:p w14:paraId="03D2FE59">
            <w:pPr>
              <w:pStyle w:val="11"/>
            </w:pPr>
            <w:r>
              <w:t>12月底</w:t>
            </w:r>
          </w:p>
        </w:tc>
      </w:tr>
      <w:tr w14:paraId="182A1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C411A1"/>
        </w:tc>
        <w:tc>
          <w:tcPr>
            <w:tcW w:w="5103" w:type="dxa"/>
            <w:gridSpan w:val="2"/>
            <w:vAlign w:val="center"/>
          </w:tcPr>
          <w:p w14:paraId="11B2B799">
            <w:pPr>
              <w:pStyle w:val="12"/>
            </w:pPr>
            <w:r>
              <w:t>25%</w:t>
            </w:r>
          </w:p>
        </w:tc>
        <w:tc>
          <w:tcPr>
            <w:tcW w:w="2835" w:type="dxa"/>
            <w:vAlign w:val="center"/>
          </w:tcPr>
          <w:p w14:paraId="5ABAC013">
            <w:pPr>
              <w:pStyle w:val="12"/>
            </w:pPr>
            <w:r>
              <w:t>50%</w:t>
            </w:r>
          </w:p>
        </w:tc>
        <w:tc>
          <w:tcPr>
            <w:tcW w:w="2551" w:type="dxa"/>
            <w:vAlign w:val="center"/>
          </w:tcPr>
          <w:p w14:paraId="3E931F18">
            <w:pPr>
              <w:pStyle w:val="12"/>
            </w:pPr>
            <w:r>
              <w:t>75%</w:t>
            </w:r>
          </w:p>
        </w:tc>
        <w:tc>
          <w:tcPr>
            <w:tcW w:w="3544" w:type="dxa"/>
            <w:gridSpan w:val="2"/>
            <w:vAlign w:val="center"/>
          </w:tcPr>
          <w:p w14:paraId="5363021C">
            <w:pPr>
              <w:pStyle w:val="12"/>
            </w:pPr>
            <w:r>
              <w:t>100%</w:t>
            </w:r>
          </w:p>
        </w:tc>
      </w:tr>
      <w:tr w14:paraId="09CFE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183FEE">
            <w:pPr>
              <w:pStyle w:val="11"/>
            </w:pPr>
            <w:r>
              <w:t>绩效目标</w:t>
            </w:r>
          </w:p>
        </w:tc>
        <w:tc>
          <w:tcPr>
            <w:tcW w:w="14033" w:type="dxa"/>
            <w:gridSpan w:val="6"/>
            <w:vAlign w:val="center"/>
          </w:tcPr>
          <w:p w14:paraId="613DC9AB">
            <w:pPr>
              <w:pStyle w:val="13"/>
            </w:pPr>
            <w:r>
              <w:t>1.按规定拨付公用经费资金，预算执行率≥98%。</w:t>
            </w:r>
          </w:p>
          <w:p w14:paraId="3B7F62DC">
            <w:pPr>
              <w:pStyle w:val="13"/>
            </w:pPr>
            <w:r>
              <w:t>2.有效完成学校教学安全秩序，保障学校教学任务有效开展，满足学校正常教学需要。</w:t>
            </w:r>
          </w:p>
        </w:tc>
      </w:tr>
    </w:tbl>
    <w:p w14:paraId="6E303C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27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C8C9E5F">
            <w:pPr>
              <w:pStyle w:val="11"/>
            </w:pPr>
            <w:r>
              <w:t>一级指标</w:t>
            </w:r>
          </w:p>
        </w:tc>
        <w:tc>
          <w:tcPr>
            <w:tcW w:w="2268" w:type="dxa"/>
            <w:vAlign w:val="center"/>
          </w:tcPr>
          <w:p w14:paraId="005DDFF4">
            <w:pPr>
              <w:pStyle w:val="11"/>
            </w:pPr>
            <w:r>
              <w:t>二级指标</w:t>
            </w:r>
          </w:p>
        </w:tc>
        <w:tc>
          <w:tcPr>
            <w:tcW w:w="2835" w:type="dxa"/>
            <w:vAlign w:val="center"/>
          </w:tcPr>
          <w:p w14:paraId="1F70F8BF">
            <w:pPr>
              <w:pStyle w:val="11"/>
            </w:pPr>
            <w:r>
              <w:t>三级指标</w:t>
            </w:r>
          </w:p>
        </w:tc>
        <w:tc>
          <w:tcPr>
            <w:tcW w:w="5386" w:type="dxa"/>
            <w:vAlign w:val="center"/>
          </w:tcPr>
          <w:p w14:paraId="271E3996">
            <w:pPr>
              <w:pStyle w:val="11"/>
            </w:pPr>
            <w:r>
              <w:t>绩效指标描述</w:t>
            </w:r>
          </w:p>
        </w:tc>
        <w:tc>
          <w:tcPr>
            <w:tcW w:w="2268" w:type="dxa"/>
            <w:vAlign w:val="center"/>
          </w:tcPr>
          <w:p w14:paraId="108B4D87">
            <w:pPr>
              <w:pStyle w:val="11"/>
            </w:pPr>
            <w:r>
              <w:t>指标值</w:t>
            </w:r>
          </w:p>
        </w:tc>
        <w:tc>
          <w:tcPr>
            <w:tcW w:w="1276" w:type="dxa"/>
            <w:vAlign w:val="center"/>
          </w:tcPr>
          <w:p w14:paraId="1F52B1D5">
            <w:pPr>
              <w:pStyle w:val="11"/>
            </w:pPr>
            <w:r>
              <w:t>指标值确定依据</w:t>
            </w:r>
          </w:p>
        </w:tc>
      </w:tr>
      <w:tr w14:paraId="6B4C6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167D1ADD">
            <w:pPr>
              <w:pStyle w:val="12"/>
            </w:pPr>
            <w:r>
              <w:t>产出指标</w:t>
            </w:r>
          </w:p>
        </w:tc>
        <w:tc>
          <w:tcPr>
            <w:tcW w:w="2268" w:type="dxa"/>
            <w:vAlign w:val="center"/>
          </w:tcPr>
          <w:p w14:paraId="53EA5995">
            <w:pPr>
              <w:pStyle w:val="13"/>
            </w:pPr>
            <w:r>
              <w:t>数量指标</w:t>
            </w:r>
          </w:p>
        </w:tc>
        <w:tc>
          <w:tcPr>
            <w:tcW w:w="2835" w:type="dxa"/>
            <w:vAlign w:val="center"/>
          </w:tcPr>
          <w:p w14:paraId="5710AE69">
            <w:pPr>
              <w:pStyle w:val="13"/>
            </w:pPr>
            <w:r>
              <w:t>就读学生数</w:t>
            </w:r>
          </w:p>
        </w:tc>
        <w:tc>
          <w:tcPr>
            <w:tcW w:w="5386" w:type="dxa"/>
            <w:vAlign w:val="center"/>
          </w:tcPr>
          <w:p w14:paraId="31643F01">
            <w:pPr>
              <w:pStyle w:val="13"/>
            </w:pPr>
            <w:r>
              <w:t>辐射区域内适龄学生人数</w:t>
            </w:r>
          </w:p>
        </w:tc>
        <w:tc>
          <w:tcPr>
            <w:tcW w:w="2268" w:type="dxa"/>
            <w:vAlign w:val="center"/>
          </w:tcPr>
          <w:p w14:paraId="65ED6A26">
            <w:pPr>
              <w:pStyle w:val="13"/>
            </w:pPr>
            <w:r>
              <w:t>4人</w:t>
            </w:r>
          </w:p>
        </w:tc>
        <w:tc>
          <w:tcPr>
            <w:tcW w:w="1276" w:type="dxa"/>
            <w:vAlign w:val="center"/>
          </w:tcPr>
          <w:p w14:paraId="7437F004">
            <w:pPr>
              <w:pStyle w:val="13"/>
            </w:pPr>
            <w:r>
              <w:t>城乡义务教育公用经费管理办法</w:t>
            </w:r>
          </w:p>
        </w:tc>
      </w:tr>
      <w:tr w14:paraId="502BF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FBFAD"/>
        </w:tc>
        <w:tc>
          <w:tcPr>
            <w:tcW w:w="2268" w:type="dxa"/>
            <w:vAlign w:val="center"/>
          </w:tcPr>
          <w:p w14:paraId="457ED32D">
            <w:pPr>
              <w:pStyle w:val="13"/>
            </w:pPr>
            <w:r>
              <w:t>质量指标</w:t>
            </w:r>
          </w:p>
        </w:tc>
        <w:tc>
          <w:tcPr>
            <w:tcW w:w="2835" w:type="dxa"/>
            <w:vAlign w:val="center"/>
          </w:tcPr>
          <w:p w14:paraId="148B23E1">
            <w:pPr>
              <w:pStyle w:val="13"/>
            </w:pPr>
            <w:r>
              <w:t>预算执行率</w:t>
            </w:r>
          </w:p>
        </w:tc>
        <w:tc>
          <w:tcPr>
            <w:tcW w:w="5386" w:type="dxa"/>
            <w:vAlign w:val="center"/>
          </w:tcPr>
          <w:p w14:paraId="43C7C897">
            <w:pPr>
              <w:pStyle w:val="13"/>
            </w:pPr>
            <w:r>
              <w:t>预算执行率</w:t>
            </w:r>
          </w:p>
        </w:tc>
        <w:tc>
          <w:tcPr>
            <w:tcW w:w="2268" w:type="dxa"/>
            <w:vAlign w:val="center"/>
          </w:tcPr>
          <w:p w14:paraId="03203433">
            <w:pPr>
              <w:pStyle w:val="13"/>
            </w:pPr>
            <w:r>
              <w:t>≥98%</w:t>
            </w:r>
          </w:p>
        </w:tc>
        <w:tc>
          <w:tcPr>
            <w:tcW w:w="1276" w:type="dxa"/>
            <w:vAlign w:val="center"/>
          </w:tcPr>
          <w:p w14:paraId="71C557D9">
            <w:pPr>
              <w:pStyle w:val="13"/>
            </w:pPr>
            <w:r>
              <w:t>城乡义务教育公用经费管理办法</w:t>
            </w:r>
          </w:p>
        </w:tc>
      </w:tr>
      <w:tr w14:paraId="67EE7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E915D"/>
        </w:tc>
        <w:tc>
          <w:tcPr>
            <w:tcW w:w="2268" w:type="dxa"/>
            <w:vAlign w:val="center"/>
          </w:tcPr>
          <w:p w14:paraId="145A4BEF">
            <w:pPr>
              <w:pStyle w:val="13"/>
            </w:pPr>
            <w:r>
              <w:t>时效指标</w:t>
            </w:r>
          </w:p>
        </w:tc>
        <w:tc>
          <w:tcPr>
            <w:tcW w:w="2835" w:type="dxa"/>
            <w:vAlign w:val="center"/>
          </w:tcPr>
          <w:p w14:paraId="7E752692">
            <w:pPr>
              <w:pStyle w:val="13"/>
            </w:pPr>
            <w:r>
              <w:t>义教经费支付完成率</w:t>
            </w:r>
          </w:p>
        </w:tc>
        <w:tc>
          <w:tcPr>
            <w:tcW w:w="5386" w:type="dxa"/>
            <w:vAlign w:val="center"/>
          </w:tcPr>
          <w:p w14:paraId="634856A9">
            <w:pPr>
              <w:pStyle w:val="13"/>
            </w:pPr>
            <w:r>
              <w:t>按照序时进度完成资金支付</w:t>
            </w:r>
          </w:p>
        </w:tc>
        <w:tc>
          <w:tcPr>
            <w:tcW w:w="2268" w:type="dxa"/>
            <w:vAlign w:val="center"/>
          </w:tcPr>
          <w:p w14:paraId="07A74830">
            <w:pPr>
              <w:pStyle w:val="13"/>
            </w:pPr>
            <w:r>
              <w:t>≥100%</w:t>
            </w:r>
          </w:p>
        </w:tc>
        <w:tc>
          <w:tcPr>
            <w:tcW w:w="1276" w:type="dxa"/>
            <w:vAlign w:val="center"/>
          </w:tcPr>
          <w:p w14:paraId="253808EF">
            <w:pPr>
              <w:pStyle w:val="13"/>
            </w:pPr>
            <w:r>
              <w:t>城乡义务教育公用经费管理办法</w:t>
            </w:r>
          </w:p>
        </w:tc>
      </w:tr>
      <w:tr w14:paraId="24939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603E"/>
        </w:tc>
        <w:tc>
          <w:tcPr>
            <w:tcW w:w="2268" w:type="dxa"/>
            <w:vAlign w:val="center"/>
          </w:tcPr>
          <w:p w14:paraId="3923C9E9">
            <w:pPr>
              <w:pStyle w:val="13"/>
            </w:pPr>
            <w:r>
              <w:t>成本指标</w:t>
            </w:r>
          </w:p>
        </w:tc>
        <w:tc>
          <w:tcPr>
            <w:tcW w:w="2835" w:type="dxa"/>
            <w:vAlign w:val="center"/>
          </w:tcPr>
          <w:p w14:paraId="21AD457F">
            <w:pPr>
              <w:pStyle w:val="13"/>
            </w:pPr>
            <w:r>
              <w:t>生均拨款标准</w:t>
            </w:r>
          </w:p>
        </w:tc>
        <w:tc>
          <w:tcPr>
            <w:tcW w:w="5386" w:type="dxa"/>
            <w:vAlign w:val="center"/>
          </w:tcPr>
          <w:p w14:paraId="662B9D9B">
            <w:pPr>
              <w:pStyle w:val="13"/>
            </w:pPr>
            <w:r>
              <w:t>小学：（基本标准720元、寄宿生300元、生活补助120元）/生/学年；特教、随班就读学生：标准6000元/生/学年</w:t>
            </w:r>
          </w:p>
        </w:tc>
        <w:tc>
          <w:tcPr>
            <w:tcW w:w="2268" w:type="dxa"/>
            <w:vAlign w:val="center"/>
          </w:tcPr>
          <w:p w14:paraId="283B31F3">
            <w:pPr>
              <w:pStyle w:val="13"/>
            </w:pPr>
            <w:r>
              <w:t>840元</w:t>
            </w:r>
          </w:p>
        </w:tc>
        <w:tc>
          <w:tcPr>
            <w:tcW w:w="1276" w:type="dxa"/>
            <w:vAlign w:val="center"/>
          </w:tcPr>
          <w:p w14:paraId="327EECFE">
            <w:pPr>
              <w:pStyle w:val="13"/>
            </w:pPr>
            <w:r>
              <w:t>城乡义务教育公用经费管理办法</w:t>
            </w:r>
          </w:p>
        </w:tc>
      </w:tr>
      <w:tr w14:paraId="77CE5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42E1BB">
            <w:pPr>
              <w:pStyle w:val="12"/>
            </w:pPr>
            <w:r>
              <w:t>效益指标</w:t>
            </w:r>
          </w:p>
        </w:tc>
        <w:tc>
          <w:tcPr>
            <w:tcW w:w="2268" w:type="dxa"/>
            <w:vAlign w:val="center"/>
          </w:tcPr>
          <w:p w14:paraId="0C6EB8DA">
            <w:pPr>
              <w:pStyle w:val="13"/>
            </w:pPr>
            <w:r>
              <w:t>社会效益指标</w:t>
            </w:r>
          </w:p>
        </w:tc>
        <w:tc>
          <w:tcPr>
            <w:tcW w:w="2835" w:type="dxa"/>
            <w:vAlign w:val="center"/>
          </w:tcPr>
          <w:p w14:paraId="1455D942">
            <w:pPr>
              <w:pStyle w:val="13"/>
            </w:pPr>
            <w:r>
              <w:t>学校稳定率</w:t>
            </w:r>
          </w:p>
        </w:tc>
        <w:tc>
          <w:tcPr>
            <w:tcW w:w="5386" w:type="dxa"/>
            <w:vAlign w:val="center"/>
          </w:tcPr>
          <w:p w14:paraId="6DB31C4E">
            <w:pPr>
              <w:pStyle w:val="13"/>
            </w:pPr>
            <w:r>
              <w:t>维护学校稳定，保障学校正常教学秩序有效开展</w:t>
            </w:r>
          </w:p>
        </w:tc>
        <w:tc>
          <w:tcPr>
            <w:tcW w:w="2268" w:type="dxa"/>
            <w:vAlign w:val="center"/>
          </w:tcPr>
          <w:p w14:paraId="05257502">
            <w:pPr>
              <w:pStyle w:val="13"/>
            </w:pPr>
            <w:r>
              <w:t>≥100%</w:t>
            </w:r>
          </w:p>
        </w:tc>
        <w:tc>
          <w:tcPr>
            <w:tcW w:w="1276" w:type="dxa"/>
            <w:vAlign w:val="center"/>
          </w:tcPr>
          <w:p w14:paraId="1A060134">
            <w:pPr>
              <w:pStyle w:val="13"/>
            </w:pPr>
            <w:r>
              <w:t>城乡义务教育公用经费管理办法</w:t>
            </w:r>
          </w:p>
        </w:tc>
      </w:tr>
      <w:tr w14:paraId="4EC1A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05124C">
            <w:pPr>
              <w:pStyle w:val="12"/>
            </w:pPr>
            <w:r>
              <w:t>满意度指标</w:t>
            </w:r>
          </w:p>
        </w:tc>
        <w:tc>
          <w:tcPr>
            <w:tcW w:w="2268" w:type="dxa"/>
            <w:vAlign w:val="center"/>
          </w:tcPr>
          <w:p w14:paraId="01E8E7FE">
            <w:pPr>
              <w:pStyle w:val="13"/>
            </w:pPr>
            <w:r>
              <w:t>服务对象满意度指标</w:t>
            </w:r>
          </w:p>
        </w:tc>
        <w:tc>
          <w:tcPr>
            <w:tcW w:w="2835" w:type="dxa"/>
            <w:vAlign w:val="center"/>
          </w:tcPr>
          <w:p w14:paraId="5E7CFF6C">
            <w:pPr>
              <w:pStyle w:val="13"/>
            </w:pPr>
            <w:r>
              <w:t>家长和学生满意度</w:t>
            </w:r>
          </w:p>
        </w:tc>
        <w:tc>
          <w:tcPr>
            <w:tcW w:w="5386" w:type="dxa"/>
            <w:vAlign w:val="center"/>
          </w:tcPr>
          <w:p w14:paraId="29A1F174">
            <w:pPr>
              <w:pStyle w:val="13"/>
            </w:pPr>
            <w:r>
              <w:t>家长和学生满意度</w:t>
            </w:r>
          </w:p>
        </w:tc>
        <w:tc>
          <w:tcPr>
            <w:tcW w:w="2268" w:type="dxa"/>
            <w:vAlign w:val="center"/>
          </w:tcPr>
          <w:p w14:paraId="0EF669A5">
            <w:pPr>
              <w:pStyle w:val="13"/>
            </w:pPr>
            <w:r>
              <w:t>≥95%</w:t>
            </w:r>
          </w:p>
        </w:tc>
        <w:tc>
          <w:tcPr>
            <w:tcW w:w="1276" w:type="dxa"/>
            <w:vAlign w:val="center"/>
          </w:tcPr>
          <w:p w14:paraId="40A7AC7D">
            <w:pPr>
              <w:pStyle w:val="13"/>
            </w:pPr>
            <w:r>
              <w:t>问卷调查</w:t>
            </w:r>
          </w:p>
        </w:tc>
      </w:tr>
    </w:tbl>
    <w:p w14:paraId="61110194">
      <w:pPr>
        <w:sectPr>
          <w:pgSz w:w="16840" w:h="11900" w:orient="landscape"/>
          <w:pgMar w:top="1361" w:right="1020" w:bottom="1134" w:left="1020" w:header="720" w:footer="720" w:gutter="0"/>
          <w:cols w:space="720" w:num="1"/>
        </w:sectPr>
      </w:pPr>
    </w:p>
    <w:p w14:paraId="30FE0BEF">
      <w:pPr>
        <w:spacing w:before="0" w:after="0"/>
        <w:ind w:firstLine="560"/>
        <w:jc w:val="left"/>
        <w:outlineLvl w:val="9"/>
      </w:pPr>
      <w:r>
        <w:rPr>
          <w:rFonts w:ascii="方正仿宋_GBK" w:hAnsi="方正仿宋_GBK" w:eastAsia="方正仿宋_GBK" w:cs="方正仿宋_GBK"/>
          <w:b/>
          <w:color w:val="000000"/>
          <w:sz w:val="28"/>
        </w:rPr>
        <w:t>15、冀财教[2024]141号/省级/2025年义教补助经费/东尚中心小学公用经费绩效目标表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FB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6FDA2">
            <w:pPr>
              <w:pStyle w:val="14"/>
            </w:pPr>
            <w:r>
              <w:t>单位：万元</w:t>
            </w:r>
          </w:p>
        </w:tc>
      </w:tr>
      <w:tr w14:paraId="3C03E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C29A9">
            <w:pPr>
              <w:pStyle w:val="11"/>
            </w:pPr>
            <w:r>
              <w:t>项目编码</w:t>
            </w:r>
          </w:p>
        </w:tc>
        <w:tc>
          <w:tcPr>
            <w:tcW w:w="5103" w:type="dxa"/>
            <w:gridSpan w:val="2"/>
            <w:vAlign w:val="center"/>
          </w:tcPr>
          <w:p w14:paraId="068A7DD4">
            <w:pPr>
              <w:pStyle w:val="13"/>
            </w:pPr>
            <w:r>
              <w:t>13052525P00000410155N</w:t>
            </w:r>
          </w:p>
        </w:tc>
        <w:tc>
          <w:tcPr>
            <w:tcW w:w="2835" w:type="dxa"/>
            <w:vAlign w:val="center"/>
          </w:tcPr>
          <w:p w14:paraId="4C642AAE">
            <w:pPr>
              <w:pStyle w:val="11"/>
            </w:pPr>
            <w:r>
              <w:t>项目名称</w:t>
            </w:r>
          </w:p>
        </w:tc>
        <w:tc>
          <w:tcPr>
            <w:tcW w:w="6095" w:type="dxa"/>
            <w:gridSpan w:val="3"/>
            <w:vAlign w:val="center"/>
          </w:tcPr>
          <w:p w14:paraId="72A092AE">
            <w:pPr>
              <w:pStyle w:val="13"/>
            </w:pPr>
            <w:r>
              <w:t>冀财教[2024]141号/省级/2025年义教补助经费/东尚中心小学公用经费</w:t>
            </w:r>
          </w:p>
        </w:tc>
      </w:tr>
      <w:tr w14:paraId="78BFD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0815A">
            <w:pPr>
              <w:pStyle w:val="11"/>
            </w:pPr>
            <w:r>
              <w:t>预算规模及资金用途</w:t>
            </w:r>
          </w:p>
        </w:tc>
        <w:tc>
          <w:tcPr>
            <w:tcW w:w="2268" w:type="dxa"/>
            <w:vAlign w:val="center"/>
          </w:tcPr>
          <w:p w14:paraId="46995B98">
            <w:pPr>
              <w:pStyle w:val="11"/>
            </w:pPr>
            <w:r>
              <w:t>预算数</w:t>
            </w:r>
          </w:p>
        </w:tc>
        <w:tc>
          <w:tcPr>
            <w:tcW w:w="2835" w:type="dxa"/>
            <w:vAlign w:val="center"/>
          </w:tcPr>
          <w:p w14:paraId="401EA948">
            <w:pPr>
              <w:pStyle w:val="13"/>
            </w:pPr>
            <w:r>
              <w:t>2.69</w:t>
            </w:r>
          </w:p>
        </w:tc>
        <w:tc>
          <w:tcPr>
            <w:tcW w:w="2835" w:type="dxa"/>
            <w:vAlign w:val="center"/>
          </w:tcPr>
          <w:p w14:paraId="57D2052D">
            <w:pPr>
              <w:pStyle w:val="11"/>
            </w:pPr>
            <w:r>
              <w:t>其中：财政    资金</w:t>
            </w:r>
          </w:p>
        </w:tc>
        <w:tc>
          <w:tcPr>
            <w:tcW w:w="2551" w:type="dxa"/>
            <w:vAlign w:val="center"/>
          </w:tcPr>
          <w:p w14:paraId="7D241B75">
            <w:pPr>
              <w:pStyle w:val="13"/>
            </w:pPr>
            <w:r>
              <w:t>2.69</w:t>
            </w:r>
          </w:p>
        </w:tc>
        <w:tc>
          <w:tcPr>
            <w:tcW w:w="2268" w:type="dxa"/>
            <w:vAlign w:val="center"/>
          </w:tcPr>
          <w:p w14:paraId="06750589">
            <w:pPr>
              <w:pStyle w:val="11"/>
            </w:pPr>
            <w:r>
              <w:t>其他资金</w:t>
            </w:r>
          </w:p>
        </w:tc>
        <w:tc>
          <w:tcPr>
            <w:tcW w:w="1276" w:type="dxa"/>
            <w:vAlign w:val="center"/>
          </w:tcPr>
          <w:p w14:paraId="7E53FB36">
            <w:pPr>
              <w:pStyle w:val="13"/>
            </w:pPr>
            <w:r>
              <w:t xml:space="preserve"> </w:t>
            </w:r>
          </w:p>
        </w:tc>
      </w:tr>
      <w:tr w14:paraId="7CFCD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6DE343"/>
        </w:tc>
        <w:tc>
          <w:tcPr>
            <w:tcW w:w="14033" w:type="dxa"/>
            <w:gridSpan w:val="6"/>
            <w:vAlign w:val="center"/>
          </w:tcPr>
          <w:p w14:paraId="07DE069D">
            <w:pPr>
              <w:pStyle w:val="13"/>
            </w:pPr>
            <w:r>
              <w:t>用于有效完成学校教学安全秩序，保障学校教学任务有效开展，满足学校正常教学需要。</w:t>
            </w:r>
          </w:p>
        </w:tc>
      </w:tr>
      <w:tr w14:paraId="11B43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F8B0A">
            <w:pPr>
              <w:pStyle w:val="11"/>
            </w:pPr>
            <w:r>
              <w:t>资金支出计划（%）</w:t>
            </w:r>
          </w:p>
        </w:tc>
        <w:tc>
          <w:tcPr>
            <w:tcW w:w="5103" w:type="dxa"/>
            <w:gridSpan w:val="2"/>
            <w:vAlign w:val="center"/>
          </w:tcPr>
          <w:p w14:paraId="05B56AA8">
            <w:pPr>
              <w:pStyle w:val="11"/>
            </w:pPr>
            <w:r>
              <w:t>3月底</w:t>
            </w:r>
          </w:p>
        </w:tc>
        <w:tc>
          <w:tcPr>
            <w:tcW w:w="2835" w:type="dxa"/>
            <w:vAlign w:val="center"/>
          </w:tcPr>
          <w:p w14:paraId="623E9EDE">
            <w:pPr>
              <w:pStyle w:val="11"/>
            </w:pPr>
            <w:r>
              <w:t>6月底</w:t>
            </w:r>
          </w:p>
        </w:tc>
        <w:tc>
          <w:tcPr>
            <w:tcW w:w="2551" w:type="dxa"/>
            <w:vAlign w:val="center"/>
          </w:tcPr>
          <w:p w14:paraId="1598D393">
            <w:pPr>
              <w:pStyle w:val="11"/>
            </w:pPr>
            <w:r>
              <w:t>10月底</w:t>
            </w:r>
          </w:p>
        </w:tc>
        <w:tc>
          <w:tcPr>
            <w:tcW w:w="3544" w:type="dxa"/>
            <w:gridSpan w:val="2"/>
            <w:vAlign w:val="center"/>
          </w:tcPr>
          <w:p w14:paraId="38C2EF0C">
            <w:pPr>
              <w:pStyle w:val="11"/>
            </w:pPr>
            <w:r>
              <w:t>12月底</w:t>
            </w:r>
          </w:p>
        </w:tc>
      </w:tr>
      <w:tr w14:paraId="3FBDC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9F85F"/>
        </w:tc>
        <w:tc>
          <w:tcPr>
            <w:tcW w:w="5103" w:type="dxa"/>
            <w:gridSpan w:val="2"/>
            <w:vAlign w:val="center"/>
          </w:tcPr>
          <w:p w14:paraId="6E13D8AF">
            <w:pPr>
              <w:pStyle w:val="12"/>
            </w:pPr>
            <w:r>
              <w:t>25%</w:t>
            </w:r>
          </w:p>
        </w:tc>
        <w:tc>
          <w:tcPr>
            <w:tcW w:w="2835" w:type="dxa"/>
            <w:vAlign w:val="center"/>
          </w:tcPr>
          <w:p w14:paraId="7213D8B1">
            <w:pPr>
              <w:pStyle w:val="12"/>
            </w:pPr>
            <w:r>
              <w:t>50%</w:t>
            </w:r>
          </w:p>
        </w:tc>
        <w:tc>
          <w:tcPr>
            <w:tcW w:w="2551" w:type="dxa"/>
            <w:vAlign w:val="center"/>
          </w:tcPr>
          <w:p w14:paraId="09AADC67">
            <w:pPr>
              <w:pStyle w:val="12"/>
            </w:pPr>
            <w:r>
              <w:t>75%</w:t>
            </w:r>
          </w:p>
        </w:tc>
        <w:tc>
          <w:tcPr>
            <w:tcW w:w="3544" w:type="dxa"/>
            <w:gridSpan w:val="2"/>
            <w:vAlign w:val="center"/>
          </w:tcPr>
          <w:p w14:paraId="30886E3A">
            <w:pPr>
              <w:pStyle w:val="12"/>
            </w:pPr>
            <w:r>
              <w:t>100%</w:t>
            </w:r>
          </w:p>
        </w:tc>
      </w:tr>
      <w:tr w14:paraId="24A54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9D0E74">
            <w:pPr>
              <w:pStyle w:val="11"/>
            </w:pPr>
            <w:r>
              <w:t>绩效目标</w:t>
            </w:r>
          </w:p>
        </w:tc>
        <w:tc>
          <w:tcPr>
            <w:tcW w:w="14033" w:type="dxa"/>
            <w:gridSpan w:val="6"/>
            <w:vAlign w:val="center"/>
          </w:tcPr>
          <w:p w14:paraId="105CA0F7">
            <w:pPr>
              <w:pStyle w:val="13"/>
            </w:pPr>
            <w:r>
              <w:t>1.按规定拨付公用经费资金，预算执行率≥98%。</w:t>
            </w:r>
          </w:p>
          <w:p w14:paraId="598AB4BB">
            <w:pPr>
              <w:pStyle w:val="13"/>
            </w:pPr>
            <w:r>
              <w:t>2.有效完成学校教学安全秩序，保障学校教学任务有效开展，满足学校正常教学需要。</w:t>
            </w:r>
          </w:p>
        </w:tc>
      </w:tr>
    </w:tbl>
    <w:p w14:paraId="32AE3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93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073D3">
            <w:pPr>
              <w:pStyle w:val="11"/>
            </w:pPr>
            <w:r>
              <w:t>一级指标</w:t>
            </w:r>
          </w:p>
        </w:tc>
        <w:tc>
          <w:tcPr>
            <w:tcW w:w="2268" w:type="dxa"/>
            <w:vAlign w:val="center"/>
          </w:tcPr>
          <w:p w14:paraId="5872BBD6">
            <w:pPr>
              <w:pStyle w:val="11"/>
            </w:pPr>
            <w:r>
              <w:t>二级指标</w:t>
            </w:r>
          </w:p>
        </w:tc>
        <w:tc>
          <w:tcPr>
            <w:tcW w:w="2835" w:type="dxa"/>
            <w:vAlign w:val="center"/>
          </w:tcPr>
          <w:p w14:paraId="6CFA036E">
            <w:pPr>
              <w:pStyle w:val="11"/>
            </w:pPr>
            <w:r>
              <w:t>三级指标</w:t>
            </w:r>
          </w:p>
        </w:tc>
        <w:tc>
          <w:tcPr>
            <w:tcW w:w="5386" w:type="dxa"/>
            <w:vAlign w:val="center"/>
          </w:tcPr>
          <w:p w14:paraId="230380E7">
            <w:pPr>
              <w:pStyle w:val="11"/>
            </w:pPr>
            <w:r>
              <w:t>绩效指标描述</w:t>
            </w:r>
          </w:p>
        </w:tc>
        <w:tc>
          <w:tcPr>
            <w:tcW w:w="2268" w:type="dxa"/>
            <w:vAlign w:val="center"/>
          </w:tcPr>
          <w:p w14:paraId="3E7B1768">
            <w:pPr>
              <w:pStyle w:val="11"/>
            </w:pPr>
            <w:r>
              <w:t>指标值</w:t>
            </w:r>
          </w:p>
        </w:tc>
        <w:tc>
          <w:tcPr>
            <w:tcW w:w="1276" w:type="dxa"/>
            <w:vAlign w:val="center"/>
          </w:tcPr>
          <w:p w14:paraId="692F60BE">
            <w:pPr>
              <w:pStyle w:val="11"/>
            </w:pPr>
            <w:r>
              <w:t>指标值确定依据</w:t>
            </w:r>
          </w:p>
        </w:tc>
      </w:tr>
      <w:tr w14:paraId="16A6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E343C">
            <w:pPr>
              <w:pStyle w:val="12"/>
            </w:pPr>
            <w:r>
              <w:t>产出指标</w:t>
            </w:r>
          </w:p>
        </w:tc>
        <w:tc>
          <w:tcPr>
            <w:tcW w:w="2268" w:type="dxa"/>
            <w:vAlign w:val="center"/>
          </w:tcPr>
          <w:p w14:paraId="6CB53B7F">
            <w:pPr>
              <w:pStyle w:val="13"/>
            </w:pPr>
            <w:r>
              <w:t>数量指标</w:t>
            </w:r>
          </w:p>
        </w:tc>
        <w:tc>
          <w:tcPr>
            <w:tcW w:w="2835" w:type="dxa"/>
            <w:vAlign w:val="center"/>
          </w:tcPr>
          <w:p w14:paraId="2F55EC82">
            <w:pPr>
              <w:pStyle w:val="13"/>
            </w:pPr>
            <w:r>
              <w:t>就读学生数</w:t>
            </w:r>
          </w:p>
        </w:tc>
        <w:tc>
          <w:tcPr>
            <w:tcW w:w="5386" w:type="dxa"/>
            <w:vAlign w:val="center"/>
          </w:tcPr>
          <w:p w14:paraId="7326C82B">
            <w:pPr>
              <w:pStyle w:val="13"/>
            </w:pPr>
            <w:r>
              <w:t>辐射区域内适龄学生人数</w:t>
            </w:r>
          </w:p>
        </w:tc>
        <w:tc>
          <w:tcPr>
            <w:tcW w:w="2268" w:type="dxa"/>
            <w:vAlign w:val="center"/>
          </w:tcPr>
          <w:p w14:paraId="66804AC0">
            <w:pPr>
              <w:pStyle w:val="13"/>
            </w:pPr>
            <w:r>
              <w:t>98人</w:t>
            </w:r>
          </w:p>
        </w:tc>
        <w:tc>
          <w:tcPr>
            <w:tcW w:w="1276" w:type="dxa"/>
            <w:vAlign w:val="center"/>
          </w:tcPr>
          <w:p w14:paraId="0C3AE749">
            <w:pPr>
              <w:pStyle w:val="13"/>
            </w:pPr>
            <w:r>
              <w:t>城乡义务教育公用经费管理办法</w:t>
            </w:r>
          </w:p>
        </w:tc>
      </w:tr>
      <w:tr w14:paraId="7A2A9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CF187"/>
        </w:tc>
        <w:tc>
          <w:tcPr>
            <w:tcW w:w="2268" w:type="dxa"/>
            <w:vAlign w:val="center"/>
          </w:tcPr>
          <w:p w14:paraId="12F20CA9">
            <w:pPr>
              <w:pStyle w:val="13"/>
            </w:pPr>
            <w:r>
              <w:t>质量指标</w:t>
            </w:r>
          </w:p>
        </w:tc>
        <w:tc>
          <w:tcPr>
            <w:tcW w:w="2835" w:type="dxa"/>
            <w:vAlign w:val="center"/>
          </w:tcPr>
          <w:p w14:paraId="6BC2FF98">
            <w:pPr>
              <w:pStyle w:val="13"/>
            </w:pPr>
            <w:r>
              <w:t>预算执行率</w:t>
            </w:r>
          </w:p>
        </w:tc>
        <w:tc>
          <w:tcPr>
            <w:tcW w:w="5386" w:type="dxa"/>
            <w:vAlign w:val="center"/>
          </w:tcPr>
          <w:p w14:paraId="13F5DAC1">
            <w:pPr>
              <w:pStyle w:val="13"/>
            </w:pPr>
            <w:r>
              <w:t>预算执行率</w:t>
            </w:r>
          </w:p>
        </w:tc>
        <w:tc>
          <w:tcPr>
            <w:tcW w:w="2268" w:type="dxa"/>
            <w:vAlign w:val="center"/>
          </w:tcPr>
          <w:p w14:paraId="204309CA">
            <w:pPr>
              <w:pStyle w:val="13"/>
            </w:pPr>
            <w:r>
              <w:t>≥98%</w:t>
            </w:r>
          </w:p>
        </w:tc>
        <w:tc>
          <w:tcPr>
            <w:tcW w:w="1276" w:type="dxa"/>
            <w:vAlign w:val="center"/>
          </w:tcPr>
          <w:p w14:paraId="5DBFF63D">
            <w:pPr>
              <w:pStyle w:val="13"/>
            </w:pPr>
            <w:r>
              <w:t>城乡义务教育公用经费管理办法</w:t>
            </w:r>
          </w:p>
        </w:tc>
      </w:tr>
      <w:tr w14:paraId="1620A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B30AA"/>
        </w:tc>
        <w:tc>
          <w:tcPr>
            <w:tcW w:w="2268" w:type="dxa"/>
            <w:vAlign w:val="center"/>
          </w:tcPr>
          <w:p w14:paraId="6718BDBD">
            <w:pPr>
              <w:pStyle w:val="13"/>
            </w:pPr>
            <w:r>
              <w:t>时效指标</w:t>
            </w:r>
          </w:p>
        </w:tc>
        <w:tc>
          <w:tcPr>
            <w:tcW w:w="2835" w:type="dxa"/>
            <w:vAlign w:val="center"/>
          </w:tcPr>
          <w:p w14:paraId="443DED15">
            <w:pPr>
              <w:pStyle w:val="13"/>
            </w:pPr>
            <w:r>
              <w:t>义教经费支付完成率</w:t>
            </w:r>
          </w:p>
        </w:tc>
        <w:tc>
          <w:tcPr>
            <w:tcW w:w="5386" w:type="dxa"/>
            <w:vAlign w:val="center"/>
          </w:tcPr>
          <w:p w14:paraId="204FC51B">
            <w:pPr>
              <w:pStyle w:val="13"/>
            </w:pPr>
            <w:r>
              <w:t>按照序时进度完成资金支付</w:t>
            </w:r>
          </w:p>
        </w:tc>
        <w:tc>
          <w:tcPr>
            <w:tcW w:w="2268" w:type="dxa"/>
            <w:vAlign w:val="center"/>
          </w:tcPr>
          <w:p w14:paraId="5F92726F">
            <w:pPr>
              <w:pStyle w:val="13"/>
            </w:pPr>
            <w:r>
              <w:t>≥100%</w:t>
            </w:r>
          </w:p>
        </w:tc>
        <w:tc>
          <w:tcPr>
            <w:tcW w:w="1276" w:type="dxa"/>
            <w:vAlign w:val="center"/>
          </w:tcPr>
          <w:p w14:paraId="18BD65D4">
            <w:pPr>
              <w:pStyle w:val="13"/>
            </w:pPr>
            <w:r>
              <w:t>城乡义务教育公用经费管理办法</w:t>
            </w:r>
          </w:p>
        </w:tc>
      </w:tr>
      <w:tr w14:paraId="74C4B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318B1"/>
        </w:tc>
        <w:tc>
          <w:tcPr>
            <w:tcW w:w="2268" w:type="dxa"/>
            <w:vAlign w:val="center"/>
          </w:tcPr>
          <w:p w14:paraId="003A40DF">
            <w:pPr>
              <w:pStyle w:val="13"/>
            </w:pPr>
            <w:r>
              <w:t>成本指标</w:t>
            </w:r>
          </w:p>
        </w:tc>
        <w:tc>
          <w:tcPr>
            <w:tcW w:w="2835" w:type="dxa"/>
            <w:vAlign w:val="center"/>
          </w:tcPr>
          <w:p w14:paraId="5E25DCA0">
            <w:pPr>
              <w:pStyle w:val="13"/>
            </w:pPr>
            <w:r>
              <w:t>生均拨款标准</w:t>
            </w:r>
          </w:p>
        </w:tc>
        <w:tc>
          <w:tcPr>
            <w:tcW w:w="5386" w:type="dxa"/>
            <w:vAlign w:val="center"/>
          </w:tcPr>
          <w:p w14:paraId="276D06ED">
            <w:pPr>
              <w:pStyle w:val="13"/>
            </w:pPr>
            <w:r>
              <w:t>小学：（基本标准720元、寄宿生300元、生活补助120元）/生/学年；特教、随班就读学生：标准6000元/生/学年</w:t>
            </w:r>
          </w:p>
        </w:tc>
        <w:tc>
          <w:tcPr>
            <w:tcW w:w="2268" w:type="dxa"/>
            <w:vAlign w:val="center"/>
          </w:tcPr>
          <w:p w14:paraId="048C52E5">
            <w:pPr>
              <w:pStyle w:val="13"/>
            </w:pPr>
            <w:r>
              <w:t>840元</w:t>
            </w:r>
          </w:p>
        </w:tc>
        <w:tc>
          <w:tcPr>
            <w:tcW w:w="1276" w:type="dxa"/>
            <w:vAlign w:val="center"/>
          </w:tcPr>
          <w:p w14:paraId="0F5F7B62">
            <w:pPr>
              <w:pStyle w:val="13"/>
            </w:pPr>
            <w:r>
              <w:t>城乡义务教育公用经费管理办法</w:t>
            </w:r>
          </w:p>
        </w:tc>
      </w:tr>
      <w:tr w14:paraId="171AD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3AC4EF">
            <w:pPr>
              <w:pStyle w:val="12"/>
            </w:pPr>
            <w:r>
              <w:t>效益指标</w:t>
            </w:r>
          </w:p>
        </w:tc>
        <w:tc>
          <w:tcPr>
            <w:tcW w:w="2268" w:type="dxa"/>
            <w:vAlign w:val="center"/>
          </w:tcPr>
          <w:p w14:paraId="61FE642D">
            <w:pPr>
              <w:pStyle w:val="13"/>
            </w:pPr>
            <w:r>
              <w:t>社会效益指标</w:t>
            </w:r>
          </w:p>
        </w:tc>
        <w:tc>
          <w:tcPr>
            <w:tcW w:w="2835" w:type="dxa"/>
            <w:vAlign w:val="center"/>
          </w:tcPr>
          <w:p w14:paraId="33BEAA04">
            <w:pPr>
              <w:pStyle w:val="13"/>
            </w:pPr>
            <w:r>
              <w:t>学校稳定率</w:t>
            </w:r>
          </w:p>
        </w:tc>
        <w:tc>
          <w:tcPr>
            <w:tcW w:w="5386" w:type="dxa"/>
            <w:vAlign w:val="center"/>
          </w:tcPr>
          <w:p w14:paraId="0481C23F">
            <w:pPr>
              <w:pStyle w:val="13"/>
            </w:pPr>
            <w:r>
              <w:t>维护学校稳定，保障学校正常教学秩序有效开展</w:t>
            </w:r>
          </w:p>
        </w:tc>
        <w:tc>
          <w:tcPr>
            <w:tcW w:w="2268" w:type="dxa"/>
            <w:vAlign w:val="center"/>
          </w:tcPr>
          <w:p w14:paraId="412DAA09">
            <w:pPr>
              <w:pStyle w:val="13"/>
            </w:pPr>
            <w:r>
              <w:t>≥100%</w:t>
            </w:r>
          </w:p>
        </w:tc>
        <w:tc>
          <w:tcPr>
            <w:tcW w:w="1276" w:type="dxa"/>
            <w:vAlign w:val="center"/>
          </w:tcPr>
          <w:p w14:paraId="515F134B">
            <w:pPr>
              <w:pStyle w:val="13"/>
            </w:pPr>
            <w:r>
              <w:t>城乡义务教育公用经费管理办法</w:t>
            </w:r>
          </w:p>
        </w:tc>
      </w:tr>
      <w:tr w14:paraId="18E7C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32ECC4">
            <w:pPr>
              <w:pStyle w:val="12"/>
            </w:pPr>
            <w:r>
              <w:t>满意度指标</w:t>
            </w:r>
          </w:p>
        </w:tc>
        <w:tc>
          <w:tcPr>
            <w:tcW w:w="2268" w:type="dxa"/>
            <w:vAlign w:val="center"/>
          </w:tcPr>
          <w:p w14:paraId="40EE1696">
            <w:pPr>
              <w:pStyle w:val="13"/>
            </w:pPr>
            <w:r>
              <w:t>服务对象满意度指标</w:t>
            </w:r>
          </w:p>
        </w:tc>
        <w:tc>
          <w:tcPr>
            <w:tcW w:w="2835" w:type="dxa"/>
            <w:vAlign w:val="center"/>
          </w:tcPr>
          <w:p w14:paraId="43C17F61">
            <w:pPr>
              <w:pStyle w:val="13"/>
            </w:pPr>
            <w:r>
              <w:t>家长和学生满意度</w:t>
            </w:r>
          </w:p>
        </w:tc>
        <w:tc>
          <w:tcPr>
            <w:tcW w:w="5386" w:type="dxa"/>
            <w:vAlign w:val="center"/>
          </w:tcPr>
          <w:p w14:paraId="78D22D01">
            <w:pPr>
              <w:pStyle w:val="13"/>
            </w:pPr>
            <w:r>
              <w:t>家长和学生满意度</w:t>
            </w:r>
          </w:p>
        </w:tc>
        <w:tc>
          <w:tcPr>
            <w:tcW w:w="2268" w:type="dxa"/>
            <w:vAlign w:val="center"/>
          </w:tcPr>
          <w:p w14:paraId="4D5A63B7">
            <w:pPr>
              <w:pStyle w:val="13"/>
            </w:pPr>
            <w:r>
              <w:t>≥95%</w:t>
            </w:r>
          </w:p>
        </w:tc>
        <w:tc>
          <w:tcPr>
            <w:tcW w:w="1276" w:type="dxa"/>
            <w:vAlign w:val="center"/>
          </w:tcPr>
          <w:p w14:paraId="447FC6D6">
            <w:pPr>
              <w:pStyle w:val="13"/>
            </w:pPr>
            <w:r>
              <w:t>问卷调查</w:t>
            </w:r>
          </w:p>
        </w:tc>
      </w:tr>
    </w:tbl>
    <w:p w14:paraId="076AA59F">
      <w:pPr>
        <w:sectPr>
          <w:pgSz w:w="16840" w:h="11900" w:orient="landscape"/>
          <w:pgMar w:top="1361" w:right="1020" w:bottom="1134" w:left="1020" w:header="720" w:footer="720" w:gutter="0"/>
          <w:cols w:space="720" w:num="1"/>
        </w:sectPr>
      </w:pPr>
    </w:p>
    <w:p w14:paraId="78FBDC37">
      <w:pPr>
        <w:spacing w:before="0" w:after="0"/>
        <w:ind w:firstLine="560"/>
        <w:jc w:val="left"/>
        <w:outlineLvl w:val="9"/>
      </w:pPr>
      <w:r>
        <w:rPr>
          <w:rFonts w:ascii="方正仿宋_GBK" w:hAnsi="方正仿宋_GBK" w:eastAsia="方正仿宋_GBK" w:cs="方正仿宋_GBK"/>
          <w:b/>
          <w:color w:val="000000"/>
          <w:sz w:val="28"/>
        </w:rPr>
        <w:t>16、冀财教[2024]141号/省级/2025年义教补助经费/后庄中心小学公用经费绩效目标表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13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FD2EC">
            <w:pPr>
              <w:pStyle w:val="14"/>
            </w:pPr>
            <w:r>
              <w:t>单位：万元</w:t>
            </w:r>
          </w:p>
        </w:tc>
      </w:tr>
      <w:tr w14:paraId="11B42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15815">
            <w:pPr>
              <w:pStyle w:val="11"/>
            </w:pPr>
            <w:r>
              <w:t>项目编码</w:t>
            </w:r>
          </w:p>
        </w:tc>
        <w:tc>
          <w:tcPr>
            <w:tcW w:w="5103" w:type="dxa"/>
            <w:gridSpan w:val="2"/>
            <w:vAlign w:val="center"/>
          </w:tcPr>
          <w:p w14:paraId="0C1053F5">
            <w:pPr>
              <w:pStyle w:val="13"/>
            </w:pPr>
            <w:r>
              <w:t>13052525P00000410157X</w:t>
            </w:r>
          </w:p>
        </w:tc>
        <w:tc>
          <w:tcPr>
            <w:tcW w:w="2835" w:type="dxa"/>
            <w:vAlign w:val="center"/>
          </w:tcPr>
          <w:p w14:paraId="498ABEFF">
            <w:pPr>
              <w:pStyle w:val="11"/>
            </w:pPr>
            <w:r>
              <w:t>项目名称</w:t>
            </w:r>
          </w:p>
        </w:tc>
        <w:tc>
          <w:tcPr>
            <w:tcW w:w="6095" w:type="dxa"/>
            <w:gridSpan w:val="3"/>
            <w:vAlign w:val="center"/>
          </w:tcPr>
          <w:p w14:paraId="2CABA935">
            <w:pPr>
              <w:pStyle w:val="13"/>
            </w:pPr>
            <w:r>
              <w:t>冀财教[2024]141号/省级/2025年义教补助经费/后庄中心小学公用经费</w:t>
            </w:r>
          </w:p>
        </w:tc>
      </w:tr>
      <w:tr w14:paraId="58887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4B4D6">
            <w:pPr>
              <w:pStyle w:val="11"/>
            </w:pPr>
            <w:r>
              <w:t>预算规模及资金用途</w:t>
            </w:r>
          </w:p>
        </w:tc>
        <w:tc>
          <w:tcPr>
            <w:tcW w:w="2268" w:type="dxa"/>
            <w:vAlign w:val="center"/>
          </w:tcPr>
          <w:p w14:paraId="565967DB">
            <w:pPr>
              <w:pStyle w:val="11"/>
            </w:pPr>
            <w:r>
              <w:t>预算数</w:t>
            </w:r>
          </w:p>
        </w:tc>
        <w:tc>
          <w:tcPr>
            <w:tcW w:w="2835" w:type="dxa"/>
            <w:vAlign w:val="center"/>
          </w:tcPr>
          <w:p w14:paraId="6A829601">
            <w:pPr>
              <w:pStyle w:val="13"/>
            </w:pPr>
            <w:r>
              <w:t>2.69</w:t>
            </w:r>
          </w:p>
        </w:tc>
        <w:tc>
          <w:tcPr>
            <w:tcW w:w="2835" w:type="dxa"/>
            <w:vAlign w:val="center"/>
          </w:tcPr>
          <w:p w14:paraId="6A3C4417">
            <w:pPr>
              <w:pStyle w:val="11"/>
            </w:pPr>
            <w:r>
              <w:t>其中：财政    资金</w:t>
            </w:r>
          </w:p>
        </w:tc>
        <w:tc>
          <w:tcPr>
            <w:tcW w:w="2551" w:type="dxa"/>
            <w:vAlign w:val="center"/>
          </w:tcPr>
          <w:p w14:paraId="3AEE3446">
            <w:pPr>
              <w:pStyle w:val="13"/>
            </w:pPr>
            <w:r>
              <w:t>2.69</w:t>
            </w:r>
          </w:p>
        </w:tc>
        <w:tc>
          <w:tcPr>
            <w:tcW w:w="2268" w:type="dxa"/>
            <w:vAlign w:val="center"/>
          </w:tcPr>
          <w:p w14:paraId="3DB382E2">
            <w:pPr>
              <w:pStyle w:val="11"/>
            </w:pPr>
            <w:r>
              <w:t>其他资金</w:t>
            </w:r>
          </w:p>
        </w:tc>
        <w:tc>
          <w:tcPr>
            <w:tcW w:w="1276" w:type="dxa"/>
            <w:vAlign w:val="center"/>
          </w:tcPr>
          <w:p w14:paraId="58EA4066">
            <w:pPr>
              <w:pStyle w:val="13"/>
            </w:pPr>
            <w:r>
              <w:t xml:space="preserve"> </w:t>
            </w:r>
          </w:p>
        </w:tc>
      </w:tr>
      <w:tr w14:paraId="3FA99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DE424"/>
        </w:tc>
        <w:tc>
          <w:tcPr>
            <w:tcW w:w="14033" w:type="dxa"/>
            <w:gridSpan w:val="6"/>
            <w:vAlign w:val="center"/>
          </w:tcPr>
          <w:p w14:paraId="4C564E2E">
            <w:pPr>
              <w:pStyle w:val="13"/>
            </w:pPr>
            <w:r>
              <w:t>用于有效完成学校教学安全秩序，保障学校教学任务有效开展，满足学校正常教学需要。</w:t>
            </w:r>
          </w:p>
        </w:tc>
      </w:tr>
      <w:tr w14:paraId="55CEC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ACDAB">
            <w:pPr>
              <w:pStyle w:val="11"/>
            </w:pPr>
            <w:r>
              <w:t>资金支出计划（%）</w:t>
            </w:r>
          </w:p>
        </w:tc>
        <w:tc>
          <w:tcPr>
            <w:tcW w:w="5103" w:type="dxa"/>
            <w:gridSpan w:val="2"/>
            <w:vAlign w:val="center"/>
          </w:tcPr>
          <w:p w14:paraId="7DB915FC">
            <w:pPr>
              <w:pStyle w:val="11"/>
            </w:pPr>
            <w:r>
              <w:t>3月底</w:t>
            </w:r>
          </w:p>
        </w:tc>
        <w:tc>
          <w:tcPr>
            <w:tcW w:w="2835" w:type="dxa"/>
            <w:vAlign w:val="center"/>
          </w:tcPr>
          <w:p w14:paraId="35AA3A1B">
            <w:pPr>
              <w:pStyle w:val="11"/>
            </w:pPr>
            <w:r>
              <w:t>6月底</w:t>
            </w:r>
          </w:p>
        </w:tc>
        <w:tc>
          <w:tcPr>
            <w:tcW w:w="2551" w:type="dxa"/>
            <w:vAlign w:val="center"/>
          </w:tcPr>
          <w:p w14:paraId="58BDE13A">
            <w:pPr>
              <w:pStyle w:val="11"/>
            </w:pPr>
            <w:r>
              <w:t>10月底</w:t>
            </w:r>
          </w:p>
        </w:tc>
        <w:tc>
          <w:tcPr>
            <w:tcW w:w="3544" w:type="dxa"/>
            <w:gridSpan w:val="2"/>
            <w:vAlign w:val="center"/>
          </w:tcPr>
          <w:p w14:paraId="029C9D1D">
            <w:pPr>
              <w:pStyle w:val="11"/>
            </w:pPr>
            <w:r>
              <w:t>12月底</w:t>
            </w:r>
          </w:p>
        </w:tc>
      </w:tr>
      <w:tr w14:paraId="7E68C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3C6CC0"/>
        </w:tc>
        <w:tc>
          <w:tcPr>
            <w:tcW w:w="5103" w:type="dxa"/>
            <w:gridSpan w:val="2"/>
            <w:vAlign w:val="center"/>
          </w:tcPr>
          <w:p w14:paraId="3BFCE21B">
            <w:pPr>
              <w:pStyle w:val="12"/>
            </w:pPr>
            <w:r>
              <w:t>25%</w:t>
            </w:r>
          </w:p>
        </w:tc>
        <w:tc>
          <w:tcPr>
            <w:tcW w:w="2835" w:type="dxa"/>
            <w:vAlign w:val="center"/>
          </w:tcPr>
          <w:p w14:paraId="62E74FDF">
            <w:pPr>
              <w:pStyle w:val="12"/>
            </w:pPr>
            <w:r>
              <w:t>50%</w:t>
            </w:r>
          </w:p>
        </w:tc>
        <w:tc>
          <w:tcPr>
            <w:tcW w:w="2551" w:type="dxa"/>
            <w:vAlign w:val="center"/>
          </w:tcPr>
          <w:p w14:paraId="6A663566">
            <w:pPr>
              <w:pStyle w:val="12"/>
            </w:pPr>
            <w:r>
              <w:t>75%</w:t>
            </w:r>
          </w:p>
        </w:tc>
        <w:tc>
          <w:tcPr>
            <w:tcW w:w="3544" w:type="dxa"/>
            <w:gridSpan w:val="2"/>
            <w:vAlign w:val="center"/>
          </w:tcPr>
          <w:p w14:paraId="0E3F43B1">
            <w:pPr>
              <w:pStyle w:val="12"/>
            </w:pPr>
            <w:r>
              <w:t>100%</w:t>
            </w:r>
          </w:p>
        </w:tc>
      </w:tr>
      <w:tr w14:paraId="1CC29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C88B76">
            <w:pPr>
              <w:pStyle w:val="11"/>
            </w:pPr>
            <w:r>
              <w:t>绩效目标</w:t>
            </w:r>
          </w:p>
        </w:tc>
        <w:tc>
          <w:tcPr>
            <w:tcW w:w="14033" w:type="dxa"/>
            <w:gridSpan w:val="6"/>
            <w:vAlign w:val="center"/>
          </w:tcPr>
          <w:p w14:paraId="1AA26185">
            <w:pPr>
              <w:pStyle w:val="13"/>
            </w:pPr>
            <w:r>
              <w:t>1.按规定拨付公用经费资金，预算执行率≥98%。</w:t>
            </w:r>
          </w:p>
          <w:p w14:paraId="40613998">
            <w:pPr>
              <w:pStyle w:val="13"/>
            </w:pPr>
            <w:r>
              <w:t>2.有效完成学校教学安全秩序，保障学校教学任务有效开展，满足学校正常教学需要。</w:t>
            </w:r>
          </w:p>
        </w:tc>
      </w:tr>
    </w:tbl>
    <w:p w14:paraId="0F58A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26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828A8">
            <w:pPr>
              <w:pStyle w:val="11"/>
            </w:pPr>
            <w:r>
              <w:t>一级指标</w:t>
            </w:r>
          </w:p>
        </w:tc>
        <w:tc>
          <w:tcPr>
            <w:tcW w:w="2268" w:type="dxa"/>
            <w:vAlign w:val="center"/>
          </w:tcPr>
          <w:p w14:paraId="210CC9B2">
            <w:pPr>
              <w:pStyle w:val="11"/>
            </w:pPr>
            <w:r>
              <w:t>二级指标</w:t>
            </w:r>
          </w:p>
        </w:tc>
        <w:tc>
          <w:tcPr>
            <w:tcW w:w="2835" w:type="dxa"/>
            <w:vAlign w:val="center"/>
          </w:tcPr>
          <w:p w14:paraId="2C4275CF">
            <w:pPr>
              <w:pStyle w:val="11"/>
            </w:pPr>
            <w:r>
              <w:t>三级指标</w:t>
            </w:r>
          </w:p>
        </w:tc>
        <w:tc>
          <w:tcPr>
            <w:tcW w:w="5386" w:type="dxa"/>
            <w:vAlign w:val="center"/>
          </w:tcPr>
          <w:p w14:paraId="2C6DAEE6">
            <w:pPr>
              <w:pStyle w:val="11"/>
            </w:pPr>
            <w:r>
              <w:t>绩效指标描述</w:t>
            </w:r>
          </w:p>
        </w:tc>
        <w:tc>
          <w:tcPr>
            <w:tcW w:w="2268" w:type="dxa"/>
            <w:vAlign w:val="center"/>
          </w:tcPr>
          <w:p w14:paraId="0E2F4A4A">
            <w:pPr>
              <w:pStyle w:val="11"/>
            </w:pPr>
            <w:r>
              <w:t>指标值</w:t>
            </w:r>
          </w:p>
        </w:tc>
        <w:tc>
          <w:tcPr>
            <w:tcW w:w="1276" w:type="dxa"/>
            <w:vAlign w:val="center"/>
          </w:tcPr>
          <w:p w14:paraId="7A698D3E">
            <w:pPr>
              <w:pStyle w:val="11"/>
            </w:pPr>
            <w:r>
              <w:t>指标值确定依据</w:t>
            </w:r>
          </w:p>
        </w:tc>
      </w:tr>
      <w:tr w14:paraId="716D4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9041F">
            <w:pPr>
              <w:pStyle w:val="12"/>
            </w:pPr>
            <w:r>
              <w:t>产出指标</w:t>
            </w:r>
          </w:p>
        </w:tc>
        <w:tc>
          <w:tcPr>
            <w:tcW w:w="2268" w:type="dxa"/>
            <w:vAlign w:val="center"/>
          </w:tcPr>
          <w:p w14:paraId="796FFB48">
            <w:pPr>
              <w:pStyle w:val="13"/>
            </w:pPr>
            <w:r>
              <w:t>数量指标</w:t>
            </w:r>
          </w:p>
        </w:tc>
        <w:tc>
          <w:tcPr>
            <w:tcW w:w="2835" w:type="dxa"/>
            <w:vAlign w:val="center"/>
          </w:tcPr>
          <w:p w14:paraId="553AA620">
            <w:pPr>
              <w:pStyle w:val="13"/>
            </w:pPr>
            <w:r>
              <w:t>就读学生数</w:t>
            </w:r>
          </w:p>
        </w:tc>
        <w:tc>
          <w:tcPr>
            <w:tcW w:w="5386" w:type="dxa"/>
            <w:vAlign w:val="center"/>
          </w:tcPr>
          <w:p w14:paraId="7529BC16">
            <w:pPr>
              <w:pStyle w:val="13"/>
            </w:pPr>
            <w:r>
              <w:t>辐射区域内适龄学生人数</w:t>
            </w:r>
          </w:p>
        </w:tc>
        <w:tc>
          <w:tcPr>
            <w:tcW w:w="2268" w:type="dxa"/>
            <w:vAlign w:val="center"/>
          </w:tcPr>
          <w:p w14:paraId="0DB5CD86">
            <w:pPr>
              <w:pStyle w:val="13"/>
            </w:pPr>
            <w:r>
              <w:t>90人</w:t>
            </w:r>
          </w:p>
        </w:tc>
        <w:tc>
          <w:tcPr>
            <w:tcW w:w="1276" w:type="dxa"/>
            <w:vAlign w:val="center"/>
          </w:tcPr>
          <w:p w14:paraId="0290E564">
            <w:pPr>
              <w:pStyle w:val="13"/>
            </w:pPr>
            <w:r>
              <w:t>城乡义务教育公用经费管理办法</w:t>
            </w:r>
          </w:p>
        </w:tc>
      </w:tr>
      <w:tr w14:paraId="1B06A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53E6C"/>
        </w:tc>
        <w:tc>
          <w:tcPr>
            <w:tcW w:w="2268" w:type="dxa"/>
            <w:vAlign w:val="center"/>
          </w:tcPr>
          <w:p w14:paraId="0F5F40A5">
            <w:pPr>
              <w:pStyle w:val="13"/>
            </w:pPr>
            <w:r>
              <w:t>质量指标</w:t>
            </w:r>
          </w:p>
        </w:tc>
        <w:tc>
          <w:tcPr>
            <w:tcW w:w="2835" w:type="dxa"/>
            <w:vAlign w:val="center"/>
          </w:tcPr>
          <w:p w14:paraId="1A857712">
            <w:pPr>
              <w:pStyle w:val="13"/>
            </w:pPr>
            <w:r>
              <w:t>预算执行率</w:t>
            </w:r>
          </w:p>
        </w:tc>
        <w:tc>
          <w:tcPr>
            <w:tcW w:w="5386" w:type="dxa"/>
            <w:vAlign w:val="center"/>
          </w:tcPr>
          <w:p w14:paraId="45C46EB9">
            <w:pPr>
              <w:pStyle w:val="13"/>
            </w:pPr>
            <w:r>
              <w:t>预算执行率</w:t>
            </w:r>
          </w:p>
        </w:tc>
        <w:tc>
          <w:tcPr>
            <w:tcW w:w="2268" w:type="dxa"/>
            <w:vAlign w:val="center"/>
          </w:tcPr>
          <w:p w14:paraId="498C903E">
            <w:pPr>
              <w:pStyle w:val="13"/>
            </w:pPr>
            <w:r>
              <w:t>≥98%</w:t>
            </w:r>
          </w:p>
        </w:tc>
        <w:tc>
          <w:tcPr>
            <w:tcW w:w="1276" w:type="dxa"/>
            <w:vAlign w:val="center"/>
          </w:tcPr>
          <w:p w14:paraId="43433A7C">
            <w:pPr>
              <w:pStyle w:val="13"/>
            </w:pPr>
            <w:r>
              <w:t>城乡义务教育公用经费管理办法</w:t>
            </w:r>
          </w:p>
        </w:tc>
      </w:tr>
      <w:tr w14:paraId="467F5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7D3B1"/>
        </w:tc>
        <w:tc>
          <w:tcPr>
            <w:tcW w:w="2268" w:type="dxa"/>
            <w:vAlign w:val="center"/>
          </w:tcPr>
          <w:p w14:paraId="383792C3">
            <w:pPr>
              <w:pStyle w:val="13"/>
            </w:pPr>
            <w:r>
              <w:t>时效指标</w:t>
            </w:r>
          </w:p>
        </w:tc>
        <w:tc>
          <w:tcPr>
            <w:tcW w:w="2835" w:type="dxa"/>
            <w:vAlign w:val="center"/>
          </w:tcPr>
          <w:p w14:paraId="4B8F24AD">
            <w:pPr>
              <w:pStyle w:val="13"/>
            </w:pPr>
            <w:r>
              <w:t>义教经费支付完成率</w:t>
            </w:r>
          </w:p>
        </w:tc>
        <w:tc>
          <w:tcPr>
            <w:tcW w:w="5386" w:type="dxa"/>
            <w:vAlign w:val="center"/>
          </w:tcPr>
          <w:p w14:paraId="46AE9241">
            <w:pPr>
              <w:pStyle w:val="13"/>
            </w:pPr>
            <w:r>
              <w:t>按照序时进度完成资金支付</w:t>
            </w:r>
          </w:p>
        </w:tc>
        <w:tc>
          <w:tcPr>
            <w:tcW w:w="2268" w:type="dxa"/>
            <w:vAlign w:val="center"/>
          </w:tcPr>
          <w:p w14:paraId="6CB5AA9C">
            <w:pPr>
              <w:pStyle w:val="13"/>
            </w:pPr>
            <w:r>
              <w:t>≥100%</w:t>
            </w:r>
          </w:p>
        </w:tc>
        <w:tc>
          <w:tcPr>
            <w:tcW w:w="1276" w:type="dxa"/>
            <w:vAlign w:val="center"/>
          </w:tcPr>
          <w:p w14:paraId="54363A3F">
            <w:pPr>
              <w:pStyle w:val="13"/>
            </w:pPr>
            <w:r>
              <w:t>城乡义务教育公用经费管理办法</w:t>
            </w:r>
          </w:p>
        </w:tc>
      </w:tr>
      <w:tr w14:paraId="7A084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07E2D"/>
        </w:tc>
        <w:tc>
          <w:tcPr>
            <w:tcW w:w="2268" w:type="dxa"/>
            <w:vAlign w:val="center"/>
          </w:tcPr>
          <w:p w14:paraId="159DCF55">
            <w:pPr>
              <w:pStyle w:val="13"/>
            </w:pPr>
            <w:r>
              <w:t>成本指标</w:t>
            </w:r>
          </w:p>
        </w:tc>
        <w:tc>
          <w:tcPr>
            <w:tcW w:w="2835" w:type="dxa"/>
            <w:vAlign w:val="center"/>
          </w:tcPr>
          <w:p w14:paraId="660D73F3">
            <w:pPr>
              <w:pStyle w:val="13"/>
            </w:pPr>
            <w:r>
              <w:t>生均拨款标准</w:t>
            </w:r>
          </w:p>
        </w:tc>
        <w:tc>
          <w:tcPr>
            <w:tcW w:w="5386" w:type="dxa"/>
            <w:vAlign w:val="center"/>
          </w:tcPr>
          <w:p w14:paraId="779626B5">
            <w:pPr>
              <w:pStyle w:val="13"/>
            </w:pPr>
            <w:r>
              <w:t>小学：（基本标准720元、寄宿生300元、生活补助120元）/生/学年；特教、随班就读学生：标准6000元/生/学年</w:t>
            </w:r>
          </w:p>
        </w:tc>
        <w:tc>
          <w:tcPr>
            <w:tcW w:w="2268" w:type="dxa"/>
            <w:vAlign w:val="center"/>
          </w:tcPr>
          <w:p w14:paraId="772532FF">
            <w:pPr>
              <w:pStyle w:val="13"/>
            </w:pPr>
            <w:r>
              <w:t>840元</w:t>
            </w:r>
          </w:p>
        </w:tc>
        <w:tc>
          <w:tcPr>
            <w:tcW w:w="1276" w:type="dxa"/>
            <w:vAlign w:val="center"/>
          </w:tcPr>
          <w:p w14:paraId="76666FE9">
            <w:pPr>
              <w:pStyle w:val="13"/>
            </w:pPr>
            <w:r>
              <w:t>城乡义务教育公用经费管理办法</w:t>
            </w:r>
          </w:p>
        </w:tc>
      </w:tr>
      <w:tr w14:paraId="2F6B6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28E48">
            <w:pPr>
              <w:pStyle w:val="12"/>
            </w:pPr>
            <w:r>
              <w:t>效益指标</w:t>
            </w:r>
          </w:p>
        </w:tc>
        <w:tc>
          <w:tcPr>
            <w:tcW w:w="2268" w:type="dxa"/>
            <w:vAlign w:val="center"/>
          </w:tcPr>
          <w:p w14:paraId="1423D75D">
            <w:pPr>
              <w:pStyle w:val="13"/>
            </w:pPr>
            <w:r>
              <w:t>社会效益指标</w:t>
            </w:r>
          </w:p>
        </w:tc>
        <w:tc>
          <w:tcPr>
            <w:tcW w:w="2835" w:type="dxa"/>
            <w:vAlign w:val="center"/>
          </w:tcPr>
          <w:p w14:paraId="22194583">
            <w:pPr>
              <w:pStyle w:val="13"/>
            </w:pPr>
            <w:r>
              <w:t>学校稳定率</w:t>
            </w:r>
          </w:p>
        </w:tc>
        <w:tc>
          <w:tcPr>
            <w:tcW w:w="5386" w:type="dxa"/>
            <w:vAlign w:val="center"/>
          </w:tcPr>
          <w:p w14:paraId="34615D47">
            <w:pPr>
              <w:pStyle w:val="13"/>
            </w:pPr>
            <w:r>
              <w:t>维护学校稳定，保障学校正常教学秩序有效开展</w:t>
            </w:r>
          </w:p>
        </w:tc>
        <w:tc>
          <w:tcPr>
            <w:tcW w:w="2268" w:type="dxa"/>
            <w:vAlign w:val="center"/>
          </w:tcPr>
          <w:p w14:paraId="71DAE3E3">
            <w:pPr>
              <w:pStyle w:val="13"/>
            </w:pPr>
            <w:r>
              <w:t>≥100%</w:t>
            </w:r>
          </w:p>
        </w:tc>
        <w:tc>
          <w:tcPr>
            <w:tcW w:w="1276" w:type="dxa"/>
            <w:vAlign w:val="center"/>
          </w:tcPr>
          <w:p w14:paraId="02BA3261">
            <w:pPr>
              <w:pStyle w:val="13"/>
            </w:pPr>
            <w:r>
              <w:t>城乡义务教育公用经费管理办法</w:t>
            </w:r>
          </w:p>
        </w:tc>
      </w:tr>
      <w:tr w14:paraId="48BF9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6628EB">
            <w:pPr>
              <w:pStyle w:val="12"/>
            </w:pPr>
            <w:r>
              <w:t>满意度指标</w:t>
            </w:r>
          </w:p>
        </w:tc>
        <w:tc>
          <w:tcPr>
            <w:tcW w:w="2268" w:type="dxa"/>
            <w:vAlign w:val="center"/>
          </w:tcPr>
          <w:p w14:paraId="3266E042">
            <w:pPr>
              <w:pStyle w:val="13"/>
            </w:pPr>
            <w:r>
              <w:t>服务对象满意度指标</w:t>
            </w:r>
          </w:p>
        </w:tc>
        <w:tc>
          <w:tcPr>
            <w:tcW w:w="2835" w:type="dxa"/>
            <w:vAlign w:val="center"/>
          </w:tcPr>
          <w:p w14:paraId="42FDA25F">
            <w:pPr>
              <w:pStyle w:val="13"/>
            </w:pPr>
            <w:r>
              <w:t>家长和学生满意度</w:t>
            </w:r>
          </w:p>
        </w:tc>
        <w:tc>
          <w:tcPr>
            <w:tcW w:w="5386" w:type="dxa"/>
            <w:vAlign w:val="center"/>
          </w:tcPr>
          <w:p w14:paraId="2BBC1098">
            <w:pPr>
              <w:pStyle w:val="13"/>
            </w:pPr>
            <w:r>
              <w:t>家长和学生满意度</w:t>
            </w:r>
          </w:p>
        </w:tc>
        <w:tc>
          <w:tcPr>
            <w:tcW w:w="2268" w:type="dxa"/>
            <w:vAlign w:val="center"/>
          </w:tcPr>
          <w:p w14:paraId="65ACA433">
            <w:pPr>
              <w:pStyle w:val="13"/>
            </w:pPr>
            <w:r>
              <w:t>≥95%</w:t>
            </w:r>
          </w:p>
        </w:tc>
        <w:tc>
          <w:tcPr>
            <w:tcW w:w="1276" w:type="dxa"/>
            <w:vAlign w:val="center"/>
          </w:tcPr>
          <w:p w14:paraId="4BF68BAA">
            <w:pPr>
              <w:pStyle w:val="13"/>
            </w:pPr>
            <w:r>
              <w:t>问卷调查</w:t>
            </w:r>
          </w:p>
        </w:tc>
      </w:tr>
    </w:tbl>
    <w:p w14:paraId="3C286D72">
      <w:pPr>
        <w:sectPr>
          <w:pgSz w:w="16840" w:h="11900" w:orient="landscape"/>
          <w:pgMar w:top="1361" w:right="1020" w:bottom="1134" w:left="1020" w:header="720" w:footer="720" w:gutter="0"/>
          <w:cols w:space="720" w:num="1"/>
        </w:sectPr>
      </w:pPr>
    </w:p>
    <w:p w14:paraId="69D0BC6F">
      <w:pPr>
        <w:spacing w:before="0" w:after="0"/>
        <w:ind w:firstLine="560"/>
        <w:jc w:val="left"/>
        <w:outlineLvl w:val="9"/>
      </w:pPr>
      <w:r>
        <w:rPr>
          <w:rFonts w:ascii="方正仿宋_GBK" w:hAnsi="方正仿宋_GBK" w:eastAsia="方正仿宋_GBK" w:cs="方正仿宋_GBK"/>
          <w:b/>
          <w:color w:val="000000"/>
          <w:sz w:val="28"/>
        </w:rPr>
        <w:t>17、冀财教[2024]141号/省级/2025年义教补助经费/齐村小学公用经费绩效目标表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B3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34657">
            <w:pPr>
              <w:pStyle w:val="14"/>
            </w:pPr>
            <w:r>
              <w:t>单位：万元</w:t>
            </w:r>
          </w:p>
        </w:tc>
      </w:tr>
      <w:tr w14:paraId="0F3B5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32F8D">
            <w:pPr>
              <w:pStyle w:val="11"/>
            </w:pPr>
            <w:r>
              <w:t>项目编码</w:t>
            </w:r>
          </w:p>
        </w:tc>
        <w:tc>
          <w:tcPr>
            <w:tcW w:w="5103" w:type="dxa"/>
            <w:gridSpan w:val="2"/>
            <w:vAlign w:val="center"/>
          </w:tcPr>
          <w:p w14:paraId="520FEB03">
            <w:pPr>
              <w:pStyle w:val="13"/>
            </w:pPr>
            <w:r>
              <w:t>13052525P000004101614</w:t>
            </w:r>
          </w:p>
        </w:tc>
        <w:tc>
          <w:tcPr>
            <w:tcW w:w="2835" w:type="dxa"/>
            <w:vAlign w:val="center"/>
          </w:tcPr>
          <w:p w14:paraId="3123C54A">
            <w:pPr>
              <w:pStyle w:val="11"/>
            </w:pPr>
            <w:r>
              <w:t>项目名称</w:t>
            </w:r>
          </w:p>
        </w:tc>
        <w:tc>
          <w:tcPr>
            <w:tcW w:w="6095" w:type="dxa"/>
            <w:gridSpan w:val="3"/>
            <w:vAlign w:val="center"/>
          </w:tcPr>
          <w:p w14:paraId="66A91ADF">
            <w:pPr>
              <w:pStyle w:val="13"/>
            </w:pPr>
            <w:r>
              <w:t>冀财教[2024]141号/省级/2025年义教补助经费/齐村小学公用经费</w:t>
            </w:r>
          </w:p>
        </w:tc>
      </w:tr>
      <w:tr w14:paraId="71D064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CDF0C">
            <w:pPr>
              <w:pStyle w:val="11"/>
            </w:pPr>
            <w:r>
              <w:t>预算规模及资金用途</w:t>
            </w:r>
          </w:p>
        </w:tc>
        <w:tc>
          <w:tcPr>
            <w:tcW w:w="2268" w:type="dxa"/>
            <w:vAlign w:val="center"/>
          </w:tcPr>
          <w:p w14:paraId="2B6B1CD1">
            <w:pPr>
              <w:pStyle w:val="11"/>
            </w:pPr>
            <w:r>
              <w:t>预算数</w:t>
            </w:r>
          </w:p>
        </w:tc>
        <w:tc>
          <w:tcPr>
            <w:tcW w:w="2835" w:type="dxa"/>
            <w:vAlign w:val="center"/>
          </w:tcPr>
          <w:p w14:paraId="6EFDADBC">
            <w:pPr>
              <w:pStyle w:val="13"/>
            </w:pPr>
            <w:r>
              <w:t>19.59</w:t>
            </w:r>
          </w:p>
        </w:tc>
        <w:tc>
          <w:tcPr>
            <w:tcW w:w="2835" w:type="dxa"/>
            <w:vAlign w:val="center"/>
          </w:tcPr>
          <w:p w14:paraId="5021D508">
            <w:pPr>
              <w:pStyle w:val="11"/>
            </w:pPr>
            <w:r>
              <w:t>其中：财政    资金</w:t>
            </w:r>
          </w:p>
        </w:tc>
        <w:tc>
          <w:tcPr>
            <w:tcW w:w="2551" w:type="dxa"/>
            <w:vAlign w:val="center"/>
          </w:tcPr>
          <w:p w14:paraId="3108AC05">
            <w:pPr>
              <w:pStyle w:val="13"/>
            </w:pPr>
            <w:r>
              <w:t>19.59</w:t>
            </w:r>
          </w:p>
        </w:tc>
        <w:tc>
          <w:tcPr>
            <w:tcW w:w="2268" w:type="dxa"/>
            <w:vAlign w:val="center"/>
          </w:tcPr>
          <w:p w14:paraId="29A1A7D8">
            <w:pPr>
              <w:pStyle w:val="11"/>
            </w:pPr>
            <w:r>
              <w:t>其他资金</w:t>
            </w:r>
          </w:p>
        </w:tc>
        <w:tc>
          <w:tcPr>
            <w:tcW w:w="1276" w:type="dxa"/>
            <w:vAlign w:val="center"/>
          </w:tcPr>
          <w:p w14:paraId="401ABF83">
            <w:pPr>
              <w:pStyle w:val="13"/>
            </w:pPr>
            <w:r>
              <w:t xml:space="preserve"> </w:t>
            </w:r>
          </w:p>
        </w:tc>
      </w:tr>
      <w:tr w14:paraId="47FEE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7D916"/>
        </w:tc>
        <w:tc>
          <w:tcPr>
            <w:tcW w:w="14033" w:type="dxa"/>
            <w:gridSpan w:val="6"/>
            <w:vAlign w:val="center"/>
          </w:tcPr>
          <w:p w14:paraId="07A9CF71">
            <w:pPr>
              <w:pStyle w:val="13"/>
            </w:pPr>
            <w:r>
              <w:t>用于有效完成学校教学安全秩序，保障学校教学任务有效开展，满足学校正常教学需要。</w:t>
            </w:r>
          </w:p>
        </w:tc>
      </w:tr>
      <w:tr w14:paraId="1AF2D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C6307">
            <w:pPr>
              <w:pStyle w:val="11"/>
            </w:pPr>
            <w:r>
              <w:t>资金支出计划（%）</w:t>
            </w:r>
          </w:p>
        </w:tc>
        <w:tc>
          <w:tcPr>
            <w:tcW w:w="5103" w:type="dxa"/>
            <w:gridSpan w:val="2"/>
            <w:vAlign w:val="center"/>
          </w:tcPr>
          <w:p w14:paraId="75794A92">
            <w:pPr>
              <w:pStyle w:val="11"/>
            </w:pPr>
            <w:r>
              <w:t>3月底</w:t>
            </w:r>
          </w:p>
        </w:tc>
        <w:tc>
          <w:tcPr>
            <w:tcW w:w="2835" w:type="dxa"/>
            <w:vAlign w:val="center"/>
          </w:tcPr>
          <w:p w14:paraId="5C549B03">
            <w:pPr>
              <w:pStyle w:val="11"/>
            </w:pPr>
            <w:r>
              <w:t>6月底</w:t>
            </w:r>
          </w:p>
        </w:tc>
        <w:tc>
          <w:tcPr>
            <w:tcW w:w="2551" w:type="dxa"/>
            <w:vAlign w:val="center"/>
          </w:tcPr>
          <w:p w14:paraId="6F518C7D">
            <w:pPr>
              <w:pStyle w:val="11"/>
            </w:pPr>
            <w:r>
              <w:t>10月底</w:t>
            </w:r>
          </w:p>
        </w:tc>
        <w:tc>
          <w:tcPr>
            <w:tcW w:w="3544" w:type="dxa"/>
            <w:gridSpan w:val="2"/>
            <w:vAlign w:val="center"/>
          </w:tcPr>
          <w:p w14:paraId="74EE053D">
            <w:pPr>
              <w:pStyle w:val="11"/>
            </w:pPr>
            <w:r>
              <w:t>12月底</w:t>
            </w:r>
          </w:p>
        </w:tc>
      </w:tr>
      <w:tr w14:paraId="2DF61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F9210A"/>
        </w:tc>
        <w:tc>
          <w:tcPr>
            <w:tcW w:w="5103" w:type="dxa"/>
            <w:gridSpan w:val="2"/>
            <w:vAlign w:val="center"/>
          </w:tcPr>
          <w:p w14:paraId="695F0B22">
            <w:pPr>
              <w:pStyle w:val="12"/>
            </w:pPr>
            <w:r>
              <w:t>25%</w:t>
            </w:r>
          </w:p>
        </w:tc>
        <w:tc>
          <w:tcPr>
            <w:tcW w:w="2835" w:type="dxa"/>
            <w:vAlign w:val="center"/>
          </w:tcPr>
          <w:p w14:paraId="33FB6311">
            <w:pPr>
              <w:pStyle w:val="12"/>
            </w:pPr>
            <w:r>
              <w:t>50%</w:t>
            </w:r>
          </w:p>
        </w:tc>
        <w:tc>
          <w:tcPr>
            <w:tcW w:w="2551" w:type="dxa"/>
            <w:vAlign w:val="center"/>
          </w:tcPr>
          <w:p w14:paraId="3CA1A2C6">
            <w:pPr>
              <w:pStyle w:val="12"/>
            </w:pPr>
            <w:r>
              <w:t>75%</w:t>
            </w:r>
          </w:p>
        </w:tc>
        <w:tc>
          <w:tcPr>
            <w:tcW w:w="3544" w:type="dxa"/>
            <w:gridSpan w:val="2"/>
            <w:vAlign w:val="center"/>
          </w:tcPr>
          <w:p w14:paraId="08EA74F5">
            <w:pPr>
              <w:pStyle w:val="12"/>
            </w:pPr>
            <w:r>
              <w:t>100%</w:t>
            </w:r>
          </w:p>
        </w:tc>
      </w:tr>
      <w:tr w14:paraId="38F3F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BDAAB">
            <w:pPr>
              <w:pStyle w:val="11"/>
            </w:pPr>
            <w:r>
              <w:t>绩效目标</w:t>
            </w:r>
          </w:p>
        </w:tc>
        <w:tc>
          <w:tcPr>
            <w:tcW w:w="14033" w:type="dxa"/>
            <w:gridSpan w:val="6"/>
            <w:vAlign w:val="center"/>
          </w:tcPr>
          <w:p w14:paraId="7EFE5CCD">
            <w:pPr>
              <w:pStyle w:val="13"/>
            </w:pPr>
            <w:r>
              <w:t>1.按规定拨付公用经费资金，预算执行率≥98%。</w:t>
            </w:r>
          </w:p>
          <w:p w14:paraId="6E5C2052">
            <w:pPr>
              <w:pStyle w:val="13"/>
            </w:pPr>
            <w:r>
              <w:t>2.有效完成学校教学安全秩序，保障学校教学任务有效开展，满足学校正常教学需要。</w:t>
            </w:r>
          </w:p>
        </w:tc>
      </w:tr>
    </w:tbl>
    <w:p w14:paraId="747AF7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10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D5320">
            <w:pPr>
              <w:pStyle w:val="11"/>
            </w:pPr>
            <w:r>
              <w:t>一级指标</w:t>
            </w:r>
          </w:p>
        </w:tc>
        <w:tc>
          <w:tcPr>
            <w:tcW w:w="2268" w:type="dxa"/>
            <w:vAlign w:val="center"/>
          </w:tcPr>
          <w:p w14:paraId="3787EB6F">
            <w:pPr>
              <w:pStyle w:val="11"/>
            </w:pPr>
            <w:r>
              <w:t>二级指标</w:t>
            </w:r>
          </w:p>
        </w:tc>
        <w:tc>
          <w:tcPr>
            <w:tcW w:w="2835" w:type="dxa"/>
            <w:vAlign w:val="center"/>
          </w:tcPr>
          <w:p w14:paraId="2291F7BE">
            <w:pPr>
              <w:pStyle w:val="11"/>
            </w:pPr>
            <w:r>
              <w:t>三级指标</w:t>
            </w:r>
          </w:p>
        </w:tc>
        <w:tc>
          <w:tcPr>
            <w:tcW w:w="5386" w:type="dxa"/>
            <w:vAlign w:val="center"/>
          </w:tcPr>
          <w:p w14:paraId="0DAFAD3A">
            <w:pPr>
              <w:pStyle w:val="11"/>
            </w:pPr>
            <w:r>
              <w:t>绩效指标描述</w:t>
            </w:r>
          </w:p>
        </w:tc>
        <w:tc>
          <w:tcPr>
            <w:tcW w:w="2268" w:type="dxa"/>
            <w:vAlign w:val="center"/>
          </w:tcPr>
          <w:p w14:paraId="429E92E1">
            <w:pPr>
              <w:pStyle w:val="11"/>
            </w:pPr>
            <w:r>
              <w:t>指标值</w:t>
            </w:r>
          </w:p>
        </w:tc>
        <w:tc>
          <w:tcPr>
            <w:tcW w:w="1276" w:type="dxa"/>
            <w:vAlign w:val="center"/>
          </w:tcPr>
          <w:p w14:paraId="166053C0">
            <w:pPr>
              <w:pStyle w:val="11"/>
            </w:pPr>
            <w:r>
              <w:t>指标值确定依据</w:t>
            </w:r>
          </w:p>
        </w:tc>
      </w:tr>
      <w:tr w14:paraId="17B27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38D60">
            <w:pPr>
              <w:pStyle w:val="12"/>
            </w:pPr>
            <w:r>
              <w:t>产出指标</w:t>
            </w:r>
          </w:p>
        </w:tc>
        <w:tc>
          <w:tcPr>
            <w:tcW w:w="2268" w:type="dxa"/>
            <w:vAlign w:val="center"/>
          </w:tcPr>
          <w:p w14:paraId="3CD99ECF">
            <w:pPr>
              <w:pStyle w:val="13"/>
            </w:pPr>
            <w:r>
              <w:t>数量指标</w:t>
            </w:r>
          </w:p>
        </w:tc>
        <w:tc>
          <w:tcPr>
            <w:tcW w:w="2835" w:type="dxa"/>
            <w:vAlign w:val="center"/>
          </w:tcPr>
          <w:p w14:paraId="0E8C5513">
            <w:pPr>
              <w:pStyle w:val="13"/>
            </w:pPr>
            <w:r>
              <w:t>就读学生数</w:t>
            </w:r>
          </w:p>
        </w:tc>
        <w:tc>
          <w:tcPr>
            <w:tcW w:w="5386" w:type="dxa"/>
            <w:vAlign w:val="center"/>
          </w:tcPr>
          <w:p w14:paraId="5412AB34">
            <w:pPr>
              <w:pStyle w:val="13"/>
            </w:pPr>
            <w:r>
              <w:t>辐射区域内适龄学生人数</w:t>
            </w:r>
          </w:p>
        </w:tc>
        <w:tc>
          <w:tcPr>
            <w:tcW w:w="2268" w:type="dxa"/>
            <w:vAlign w:val="center"/>
          </w:tcPr>
          <w:p w14:paraId="662A3DBD">
            <w:pPr>
              <w:pStyle w:val="13"/>
            </w:pPr>
            <w:r>
              <w:t>700人</w:t>
            </w:r>
          </w:p>
        </w:tc>
        <w:tc>
          <w:tcPr>
            <w:tcW w:w="1276" w:type="dxa"/>
            <w:vAlign w:val="center"/>
          </w:tcPr>
          <w:p w14:paraId="03E13117">
            <w:pPr>
              <w:pStyle w:val="13"/>
            </w:pPr>
            <w:r>
              <w:t>城乡义务教育公用经费管理办法</w:t>
            </w:r>
          </w:p>
        </w:tc>
      </w:tr>
      <w:tr w14:paraId="51F5E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D0DB8"/>
        </w:tc>
        <w:tc>
          <w:tcPr>
            <w:tcW w:w="2268" w:type="dxa"/>
            <w:vAlign w:val="center"/>
          </w:tcPr>
          <w:p w14:paraId="011D4461">
            <w:pPr>
              <w:pStyle w:val="13"/>
            </w:pPr>
            <w:r>
              <w:t>质量指标</w:t>
            </w:r>
          </w:p>
        </w:tc>
        <w:tc>
          <w:tcPr>
            <w:tcW w:w="2835" w:type="dxa"/>
            <w:vAlign w:val="center"/>
          </w:tcPr>
          <w:p w14:paraId="4D0B6D4B">
            <w:pPr>
              <w:pStyle w:val="13"/>
            </w:pPr>
            <w:r>
              <w:t>预算执行率</w:t>
            </w:r>
          </w:p>
        </w:tc>
        <w:tc>
          <w:tcPr>
            <w:tcW w:w="5386" w:type="dxa"/>
            <w:vAlign w:val="center"/>
          </w:tcPr>
          <w:p w14:paraId="27F42FA2">
            <w:pPr>
              <w:pStyle w:val="13"/>
            </w:pPr>
            <w:r>
              <w:t>预算执行率</w:t>
            </w:r>
          </w:p>
        </w:tc>
        <w:tc>
          <w:tcPr>
            <w:tcW w:w="2268" w:type="dxa"/>
            <w:vAlign w:val="center"/>
          </w:tcPr>
          <w:p w14:paraId="0F0CC384">
            <w:pPr>
              <w:pStyle w:val="13"/>
            </w:pPr>
            <w:r>
              <w:t>≥98%</w:t>
            </w:r>
          </w:p>
        </w:tc>
        <w:tc>
          <w:tcPr>
            <w:tcW w:w="1276" w:type="dxa"/>
            <w:vAlign w:val="center"/>
          </w:tcPr>
          <w:p w14:paraId="5EA63A67">
            <w:pPr>
              <w:pStyle w:val="13"/>
            </w:pPr>
            <w:r>
              <w:t>城乡义务教育公用经费管理办法</w:t>
            </w:r>
          </w:p>
        </w:tc>
      </w:tr>
      <w:tr w14:paraId="46FF8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393D0"/>
        </w:tc>
        <w:tc>
          <w:tcPr>
            <w:tcW w:w="2268" w:type="dxa"/>
            <w:vAlign w:val="center"/>
          </w:tcPr>
          <w:p w14:paraId="3014D32C">
            <w:pPr>
              <w:pStyle w:val="13"/>
            </w:pPr>
            <w:r>
              <w:t>时效指标</w:t>
            </w:r>
          </w:p>
        </w:tc>
        <w:tc>
          <w:tcPr>
            <w:tcW w:w="2835" w:type="dxa"/>
            <w:vAlign w:val="center"/>
          </w:tcPr>
          <w:p w14:paraId="795AB861">
            <w:pPr>
              <w:pStyle w:val="13"/>
            </w:pPr>
            <w:r>
              <w:t>义教经费支付完成率</w:t>
            </w:r>
          </w:p>
        </w:tc>
        <w:tc>
          <w:tcPr>
            <w:tcW w:w="5386" w:type="dxa"/>
            <w:vAlign w:val="center"/>
          </w:tcPr>
          <w:p w14:paraId="34C5AE48">
            <w:pPr>
              <w:pStyle w:val="13"/>
            </w:pPr>
            <w:r>
              <w:t>按照序时进度完成资金支付</w:t>
            </w:r>
          </w:p>
        </w:tc>
        <w:tc>
          <w:tcPr>
            <w:tcW w:w="2268" w:type="dxa"/>
            <w:vAlign w:val="center"/>
          </w:tcPr>
          <w:p w14:paraId="4F6DDF59">
            <w:pPr>
              <w:pStyle w:val="13"/>
            </w:pPr>
            <w:r>
              <w:t>≥100%</w:t>
            </w:r>
          </w:p>
        </w:tc>
        <w:tc>
          <w:tcPr>
            <w:tcW w:w="1276" w:type="dxa"/>
            <w:vAlign w:val="center"/>
          </w:tcPr>
          <w:p w14:paraId="7C6BB194">
            <w:pPr>
              <w:pStyle w:val="13"/>
            </w:pPr>
            <w:r>
              <w:t>城乡义务教育公用经费管理办法</w:t>
            </w:r>
          </w:p>
        </w:tc>
      </w:tr>
      <w:tr w14:paraId="2CE5F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D8CA7"/>
        </w:tc>
        <w:tc>
          <w:tcPr>
            <w:tcW w:w="2268" w:type="dxa"/>
            <w:vAlign w:val="center"/>
          </w:tcPr>
          <w:p w14:paraId="4EB098E9">
            <w:pPr>
              <w:pStyle w:val="13"/>
            </w:pPr>
            <w:r>
              <w:t>成本指标</w:t>
            </w:r>
          </w:p>
        </w:tc>
        <w:tc>
          <w:tcPr>
            <w:tcW w:w="2835" w:type="dxa"/>
            <w:vAlign w:val="center"/>
          </w:tcPr>
          <w:p w14:paraId="3620C9DB">
            <w:pPr>
              <w:pStyle w:val="13"/>
            </w:pPr>
            <w:r>
              <w:t>生均拨款标准</w:t>
            </w:r>
          </w:p>
        </w:tc>
        <w:tc>
          <w:tcPr>
            <w:tcW w:w="5386" w:type="dxa"/>
            <w:vAlign w:val="center"/>
          </w:tcPr>
          <w:p w14:paraId="3E67AB03">
            <w:pPr>
              <w:pStyle w:val="13"/>
            </w:pPr>
            <w:r>
              <w:t>小学：（基本标准720元、寄宿生300元、生活补助120元）/生/学年；特教、随班就读学生：标准6000元/生/学年</w:t>
            </w:r>
          </w:p>
        </w:tc>
        <w:tc>
          <w:tcPr>
            <w:tcW w:w="2268" w:type="dxa"/>
            <w:vAlign w:val="center"/>
          </w:tcPr>
          <w:p w14:paraId="07F8C5A9">
            <w:pPr>
              <w:pStyle w:val="13"/>
            </w:pPr>
            <w:r>
              <w:t>840元</w:t>
            </w:r>
          </w:p>
        </w:tc>
        <w:tc>
          <w:tcPr>
            <w:tcW w:w="1276" w:type="dxa"/>
            <w:vAlign w:val="center"/>
          </w:tcPr>
          <w:p w14:paraId="4B922C9D">
            <w:pPr>
              <w:pStyle w:val="13"/>
            </w:pPr>
            <w:r>
              <w:t>城乡义务教育公用经费管理办法</w:t>
            </w:r>
          </w:p>
        </w:tc>
      </w:tr>
      <w:tr w14:paraId="17B17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3151BF">
            <w:pPr>
              <w:pStyle w:val="12"/>
            </w:pPr>
            <w:r>
              <w:t>效益指标</w:t>
            </w:r>
          </w:p>
        </w:tc>
        <w:tc>
          <w:tcPr>
            <w:tcW w:w="2268" w:type="dxa"/>
            <w:vAlign w:val="center"/>
          </w:tcPr>
          <w:p w14:paraId="5AACA839">
            <w:pPr>
              <w:pStyle w:val="13"/>
            </w:pPr>
            <w:r>
              <w:t>社会效益指标</w:t>
            </w:r>
          </w:p>
        </w:tc>
        <w:tc>
          <w:tcPr>
            <w:tcW w:w="2835" w:type="dxa"/>
            <w:vAlign w:val="center"/>
          </w:tcPr>
          <w:p w14:paraId="3D048B38">
            <w:pPr>
              <w:pStyle w:val="13"/>
            </w:pPr>
            <w:r>
              <w:t>学校稳定率</w:t>
            </w:r>
          </w:p>
        </w:tc>
        <w:tc>
          <w:tcPr>
            <w:tcW w:w="5386" w:type="dxa"/>
            <w:vAlign w:val="center"/>
          </w:tcPr>
          <w:p w14:paraId="45549FA3">
            <w:pPr>
              <w:pStyle w:val="13"/>
            </w:pPr>
            <w:r>
              <w:t>维护学校稳定，保障学校正常教学秩序有效开展</w:t>
            </w:r>
          </w:p>
        </w:tc>
        <w:tc>
          <w:tcPr>
            <w:tcW w:w="2268" w:type="dxa"/>
            <w:vAlign w:val="center"/>
          </w:tcPr>
          <w:p w14:paraId="006C4D36">
            <w:pPr>
              <w:pStyle w:val="13"/>
            </w:pPr>
            <w:r>
              <w:t>≥100%</w:t>
            </w:r>
          </w:p>
        </w:tc>
        <w:tc>
          <w:tcPr>
            <w:tcW w:w="1276" w:type="dxa"/>
            <w:vAlign w:val="center"/>
          </w:tcPr>
          <w:p w14:paraId="3718A24B">
            <w:pPr>
              <w:pStyle w:val="13"/>
            </w:pPr>
            <w:r>
              <w:t>城乡义务教育公用经费管理办法</w:t>
            </w:r>
          </w:p>
        </w:tc>
      </w:tr>
      <w:tr w14:paraId="04541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27C45C">
            <w:pPr>
              <w:pStyle w:val="12"/>
            </w:pPr>
            <w:r>
              <w:t>满意度指标</w:t>
            </w:r>
          </w:p>
        </w:tc>
        <w:tc>
          <w:tcPr>
            <w:tcW w:w="2268" w:type="dxa"/>
            <w:vAlign w:val="center"/>
          </w:tcPr>
          <w:p w14:paraId="2DAFCC18">
            <w:pPr>
              <w:pStyle w:val="13"/>
            </w:pPr>
            <w:r>
              <w:t>服务对象满意度指标</w:t>
            </w:r>
          </w:p>
        </w:tc>
        <w:tc>
          <w:tcPr>
            <w:tcW w:w="2835" w:type="dxa"/>
            <w:vAlign w:val="center"/>
          </w:tcPr>
          <w:p w14:paraId="15E76616">
            <w:pPr>
              <w:pStyle w:val="13"/>
            </w:pPr>
            <w:r>
              <w:t>家长和学生满意度</w:t>
            </w:r>
          </w:p>
        </w:tc>
        <w:tc>
          <w:tcPr>
            <w:tcW w:w="5386" w:type="dxa"/>
            <w:vAlign w:val="center"/>
          </w:tcPr>
          <w:p w14:paraId="3E93746B">
            <w:pPr>
              <w:pStyle w:val="13"/>
            </w:pPr>
            <w:r>
              <w:t>家长和学生满意度</w:t>
            </w:r>
          </w:p>
        </w:tc>
        <w:tc>
          <w:tcPr>
            <w:tcW w:w="2268" w:type="dxa"/>
            <w:vAlign w:val="center"/>
          </w:tcPr>
          <w:p w14:paraId="430159C7">
            <w:pPr>
              <w:pStyle w:val="13"/>
            </w:pPr>
            <w:r>
              <w:t>≥95%</w:t>
            </w:r>
          </w:p>
        </w:tc>
        <w:tc>
          <w:tcPr>
            <w:tcW w:w="1276" w:type="dxa"/>
            <w:vAlign w:val="center"/>
          </w:tcPr>
          <w:p w14:paraId="5229FEE0">
            <w:pPr>
              <w:pStyle w:val="13"/>
            </w:pPr>
            <w:r>
              <w:t>问卷调查</w:t>
            </w:r>
          </w:p>
        </w:tc>
      </w:tr>
    </w:tbl>
    <w:p w14:paraId="09805065">
      <w:pPr>
        <w:sectPr>
          <w:pgSz w:w="16840" w:h="11900" w:orient="landscape"/>
          <w:pgMar w:top="1361" w:right="1020" w:bottom="1134" w:left="1020" w:header="720" w:footer="720" w:gutter="0"/>
          <w:cols w:space="720" w:num="1"/>
        </w:sectPr>
      </w:pPr>
    </w:p>
    <w:p w14:paraId="6F27B3EB">
      <w:pPr>
        <w:spacing w:before="0" w:after="0"/>
        <w:ind w:firstLine="560"/>
        <w:jc w:val="left"/>
        <w:outlineLvl w:val="9"/>
      </w:pPr>
      <w:r>
        <w:rPr>
          <w:rFonts w:ascii="方正仿宋_GBK" w:hAnsi="方正仿宋_GBK" w:eastAsia="方正仿宋_GBK" w:cs="方正仿宋_GBK"/>
          <w:b/>
          <w:color w:val="000000"/>
          <w:sz w:val="28"/>
        </w:rPr>
        <w:t>18、冀财教[2024]141号/省级/2025年义教补助经费/水饭庄中心小学公用经费绩效目标表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06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E9B31">
            <w:pPr>
              <w:pStyle w:val="14"/>
            </w:pPr>
            <w:r>
              <w:t>单位：万元</w:t>
            </w:r>
          </w:p>
        </w:tc>
      </w:tr>
      <w:tr w14:paraId="15395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FABEB">
            <w:pPr>
              <w:pStyle w:val="11"/>
            </w:pPr>
            <w:r>
              <w:t>项目编码</w:t>
            </w:r>
          </w:p>
        </w:tc>
        <w:tc>
          <w:tcPr>
            <w:tcW w:w="5103" w:type="dxa"/>
            <w:gridSpan w:val="2"/>
            <w:vAlign w:val="center"/>
          </w:tcPr>
          <w:p w14:paraId="38604E81">
            <w:pPr>
              <w:pStyle w:val="13"/>
            </w:pPr>
            <w:r>
              <w:t>13052525P000004101595</w:t>
            </w:r>
          </w:p>
        </w:tc>
        <w:tc>
          <w:tcPr>
            <w:tcW w:w="2835" w:type="dxa"/>
            <w:vAlign w:val="center"/>
          </w:tcPr>
          <w:p w14:paraId="10DDF586">
            <w:pPr>
              <w:pStyle w:val="11"/>
            </w:pPr>
            <w:r>
              <w:t>项目名称</w:t>
            </w:r>
          </w:p>
        </w:tc>
        <w:tc>
          <w:tcPr>
            <w:tcW w:w="6095" w:type="dxa"/>
            <w:gridSpan w:val="3"/>
            <w:vAlign w:val="center"/>
          </w:tcPr>
          <w:p w14:paraId="7E758B19">
            <w:pPr>
              <w:pStyle w:val="13"/>
            </w:pPr>
            <w:r>
              <w:t>冀财教[2024]141号/省级/2025年义教补助经费/水饭庄中心小学公用经费</w:t>
            </w:r>
          </w:p>
        </w:tc>
      </w:tr>
      <w:tr w14:paraId="750A91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B5B72">
            <w:pPr>
              <w:pStyle w:val="11"/>
            </w:pPr>
            <w:r>
              <w:t>预算规模及资金用途</w:t>
            </w:r>
          </w:p>
        </w:tc>
        <w:tc>
          <w:tcPr>
            <w:tcW w:w="2268" w:type="dxa"/>
            <w:vAlign w:val="center"/>
          </w:tcPr>
          <w:p w14:paraId="6165F244">
            <w:pPr>
              <w:pStyle w:val="11"/>
            </w:pPr>
            <w:r>
              <w:t>预算数</w:t>
            </w:r>
          </w:p>
        </w:tc>
        <w:tc>
          <w:tcPr>
            <w:tcW w:w="2835" w:type="dxa"/>
            <w:vAlign w:val="center"/>
          </w:tcPr>
          <w:p w14:paraId="76D2EA2A">
            <w:pPr>
              <w:pStyle w:val="13"/>
            </w:pPr>
            <w:r>
              <w:t>39.71</w:t>
            </w:r>
          </w:p>
        </w:tc>
        <w:tc>
          <w:tcPr>
            <w:tcW w:w="2835" w:type="dxa"/>
            <w:vAlign w:val="center"/>
          </w:tcPr>
          <w:p w14:paraId="25938544">
            <w:pPr>
              <w:pStyle w:val="11"/>
            </w:pPr>
            <w:r>
              <w:t>其中：财政    资金</w:t>
            </w:r>
          </w:p>
        </w:tc>
        <w:tc>
          <w:tcPr>
            <w:tcW w:w="2551" w:type="dxa"/>
            <w:vAlign w:val="center"/>
          </w:tcPr>
          <w:p w14:paraId="5F5874AD">
            <w:pPr>
              <w:pStyle w:val="13"/>
            </w:pPr>
            <w:r>
              <w:t>39.71</w:t>
            </w:r>
          </w:p>
        </w:tc>
        <w:tc>
          <w:tcPr>
            <w:tcW w:w="2268" w:type="dxa"/>
            <w:vAlign w:val="center"/>
          </w:tcPr>
          <w:p w14:paraId="124641FB">
            <w:pPr>
              <w:pStyle w:val="11"/>
            </w:pPr>
            <w:r>
              <w:t>其他资金</w:t>
            </w:r>
          </w:p>
        </w:tc>
        <w:tc>
          <w:tcPr>
            <w:tcW w:w="1276" w:type="dxa"/>
            <w:vAlign w:val="center"/>
          </w:tcPr>
          <w:p w14:paraId="2FE74C48">
            <w:pPr>
              <w:pStyle w:val="13"/>
            </w:pPr>
            <w:r>
              <w:t xml:space="preserve"> </w:t>
            </w:r>
          </w:p>
        </w:tc>
      </w:tr>
      <w:tr w14:paraId="4A439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0DA473"/>
        </w:tc>
        <w:tc>
          <w:tcPr>
            <w:tcW w:w="14033" w:type="dxa"/>
            <w:gridSpan w:val="6"/>
            <w:vAlign w:val="center"/>
          </w:tcPr>
          <w:p w14:paraId="58404D0F">
            <w:pPr>
              <w:pStyle w:val="13"/>
            </w:pPr>
            <w:r>
              <w:t>用于有效完成学校教学安全秩序，保障学校教学任务有效开展，满足学校正常教学需要。</w:t>
            </w:r>
          </w:p>
        </w:tc>
      </w:tr>
      <w:tr w14:paraId="1B3FC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EE58F">
            <w:pPr>
              <w:pStyle w:val="11"/>
            </w:pPr>
            <w:r>
              <w:t>资金支出计划（%）</w:t>
            </w:r>
          </w:p>
        </w:tc>
        <w:tc>
          <w:tcPr>
            <w:tcW w:w="5103" w:type="dxa"/>
            <w:gridSpan w:val="2"/>
            <w:vAlign w:val="center"/>
          </w:tcPr>
          <w:p w14:paraId="12CA6B90">
            <w:pPr>
              <w:pStyle w:val="11"/>
            </w:pPr>
            <w:r>
              <w:t>3月底</w:t>
            </w:r>
          </w:p>
        </w:tc>
        <w:tc>
          <w:tcPr>
            <w:tcW w:w="2835" w:type="dxa"/>
            <w:vAlign w:val="center"/>
          </w:tcPr>
          <w:p w14:paraId="3740FB7B">
            <w:pPr>
              <w:pStyle w:val="11"/>
            </w:pPr>
            <w:r>
              <w:t>6月底</w:t>
            </w:r>
          </w:p>
        </w:tc>
        <w:tc>
          <w:tcPr>
            <w:tcW w:w="2551" w:type="dxa"/>
            <w:vAlign w:val="center"/>
          </w:tcPr>
          <w:p w14:paraId="7B4E9E2C">
            <w:pPr>
              <w:pStyle w:val="11"/>
            </w:pPr>
            <w:r>
              <w:t>10月底</w:t>
            </w:r>
          </w:p>
        </w:tc>
        <w:tc>
          <w:tcPr>
            <w:tcW w:w="3544" w:type="dxa"/>
            <w:gridSpan w:val="2"/>
            <w:vAlign w:val="center"/>
          </w:tcPr>
          <w:p w14:paraId="477420B0">
            <w:pPr>
              <w:pStyle w:val="11"/>
            </w:pPr>
            <w:r>
              <w:t>12月底</w:t>
            </w:r>
          </w:p>
        </w:tc>
      </w:tr>
      <w:tr w14:paraId="6EB55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1A915"/>
        </w:tc>
        <w:tc>
          <w:tcPr>
            <w:tcW w:w="5103" w:type="dxa"/>
            <w:gridSpan w:val="2"/>
            <w:vAlign w:val="center"/>
          </w:tcPr>
          <w:p w14:paraId="42172601">
            <w:pPr>
              <w:pStyle w:val="12"/>
            </w:pPr>
            <w:r>
              <w:t>25%</w:t>
            </w:r>
          </w:p>
        </w:tc>
        <w:tc>
          <w:tcPr>
            <w:tcW w:w="2835" w:type="dxa"/>
            <w:vAlign w:val="center"/>
          </w:tcPr>
          <w:p w14:paraId="7481345B">
            <w:pPr>
              <w:pStyle w:val="12"/>
            </w:pPr>
            <w:r>
              <w:t>50%</w:t>
            </w:r>
          </w:p>
        </w:tc>
        <w:tc>
          <w:tcPr>
            <w:tcW w:w="2551" w:type="dxa"/>
            <w:vAlign w:val="center"/>
          </w:tcPr>
          <w:p w14:paraId="30063718">
            <w:pPr>
              <w:pStyle w:val="12"/>
            </w:pPr>
            <w:r>
              <w:t>75%</w:t>
            </w:r>
          </w:p>
        </w:tc>
        <w:tc>
          <w:tcPr>
            <w:tcW w:w="3544" w:type="dxa"/>
            <w:gridSpan w:val="2"/>
            <w:vAlign w:val="center"/>
          </w:tcPr>
          <w:p w14:paraId="78DEF563">
            <w:pPr>
              <w:pStyle w:val="12"/>
            </w:pPr>
            <w:r>
              <w:t>100%</w:t>
            </w:r>
          </w:p>
        </w:tc>
      </w:tr>
      <w:tr w14:paraId="16A0F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DEF89E">
            <w:pPr>
              <w:pStyle w:val="11"/>
            </w:pPr>
            <w:r>
              <w:t>绩效目标</w:t>
            </w:r>
          </w:p>
        </w:tc>
        <w:tc>
          <w:tcPr>
            <w:tcW w:w="14033" w:type="dxa"/>
            <w:gridSpan w:val="6"/>
            <w:vAlign w:val="center"/>
          </w:tcPr>
          <w:p w14:paraId="040A0C4C">
            <w:pPr>
              <w:pStyle w:val="13"/>
            </w:pPr>
            <w:r>
              <w:t>1.按规定拨付公用经费资金，预算执行率≥98%。</w:t>
            </w:r>
          </w:p>
          <w:p w14:paraId="155E2441">
            <w:pPr>
              <w:pStyle w:val="13"/>
            </w:pPr>
            <w:r>
              <w:t>2.有效完成学校教学安全秩序，保障学校教学任务有效开展，满足学校正常教学需要。</w:t>
            </w:r>
          </w:p>
        </w:tc>
      </w:tr>
    </w:tbl>
    <w:p w14:paraId="3F999E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92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7D099">
            <w:pPr>
              <w:pStyle w:val="11"/>
            </w:pPr>
            <w:r>
              <w:t>一级指标</w:t>
            </w:r>
          </w:p>
        </w:tc>
        <w:tc>
          <w:tcPr>
            <w:tcW w:w="2268" w:type="dxa"/>
            <w:vAlign w:val="center"/>
          </w:tcPr>
          <w:p w14:paraId="316F37D3">
            <w:pPr>
              <w:pStyle w:val="11"/>
            </w:pPr>
            <w:r>
              <w:t>二级指标</w:t>
            </w:r>
          </w:p>
        </w:tc>
        <w:tc>
          <w:tcPr>
            <w:tcW w:w="2835" w:type="dxa"/>
            <w:vAlign w:val="center"/>
          </w:tcPr>
          <w:p w14:paraId="69E787AB">
            <w:pPr>
              <w:pStyle w:val="11"/>
            </w:pPr>
            <w:r>
              <w:t>三级指标</w:t>
            </w:r>
          </w:p>
        </w:tc>
        <w:tc>
          <w:tcPr>
            <w:tcW w:w="5386" w:type="dxa"/>
            <w:vAlign w:val="center"/>
          </w:tcPr>
          <w:p w14:paraId="7ED64604">
            <w:pPr>
              <w:pStyle w:val="11"/>
            </w:pPr>
            <w:r>
              <w:t>绩效指标描述</w:t>
            </w:r>
          </w:p>
        </w:tc>
        <w:tc>
          <w:tcPr>
            <w:tcW w:w="2268" w:type="dxa"/>
            <w:vAlign w:val="center"/>
          </w:tcPr>
          <w:p w14:paraId="34AF1A02">
            <w:pPr>
              <w:pStyle w:val="11"/>
            </w:pPr>
            <w:r>
              <w:t>指标值</w:t>
            </w:r>
          </w:p>
        </w:tc>
        <w:tc>
          <w:tcPr>
            <w:tcW w:w="1276" w:type="dxa"/>
            <w:vAlign w:val="center"/>
          </w:tcPr>
          <w:p w14:paraId="2AEC5DAA">
            <w:pPr>
              <w:pStyle w:val="11"/>
            </w:pPr>
            <w:r>
              <w:t>指标值确定依据</w:t>
            </w:r>
          </w:p>
        </w:tc>
      </w:tr>
      <w:tr w14:paraId="3E57A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8595A">
            <w:pPr>
              <w:pStyle w:val="12"/>
            </w:pPr>
            <w:r>
              <w:t>产出指标</w:t>
            </w:r>
          </w:p>
        </w:tc>
        <w:tc>
          <w:tcPr>
            <w:tcW w:w="2268" w:type="dxa"/>
            <w:vAlign w:val="center"/>
          </w:tcPr>
          <w:p w14:paraId="46F4708C">
            <w:pPr>
              <w:pStyle w:val="13"/>
            </w:pPr>
            <w:r>
              <w:t>数量指标</w:t>
            </w:r>
          </w:p>
        </w:tc>
        <w:tc>
          <w:tcPr>
            <w:tcW w:w="2835" w:type="dxa"/>
            <w:vAlign w:val="center"/>
          </w:tcPr>
          <w:p w14:paraId="546AAA53">
            <w:pPr>
              <w:pStyle w:val="13"/>
            </w:pPr>
            <w:r>
              <w:t>就读学生数</w:t>
            </w:r>
          </w:p>
        </w:tc>
        <w:tc>
          <w:tcPr>
            <w:tcW w:w="5386" w:type="dxa"/>
            <w:vAlign w:val="center"/>
          </w:tcPr>
          <w:p w14:paraId="2F06488E">
            <w:pPr>
              <w:pStyle w:val="13"/>
            </w:pPr>
            <w:r>
              <w:t>辐射区域内适龄学生人数</w:t>
            </w:r>
          </w:p>
        </w:tc>
        <w:tc>
          <w:tcPr>
            <w:tcW w:w="2268" w:type="dxa"/>
            <w:vAlign w:val="center"/>
          </w:tcPr>
          <w:p w14:paraId="02EC6BAC">
            <w:pPr>
              <w:pStyle w:val="13"/>
            </w:pPr>
            <w:r>
              <w:t>1257人</w:t>
            </w:r>
          </w:p>
        </w:tc>
        <w:tc>
          <w:tcPr>
            <w:tcW w:w="1276" w:type="dxa"/>
            <w:vAlign w:val="center"/>
          </w:tcPr>
          <w:p w14:paraId="1F388F7B">
            <w:pPr>
              <w:pStyle w:val="13"/>
            </w:pPr>
            <w:r>
              <w:t>城乡义务教育公用经费管理办法</w:t>
            </w:r>
          </w:p>
        </w:tc>
      </w:tr>
      <w:tr w14:paraId="1179F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BA605"/>
        </w:tc>
        <w:tc>
          <w:tcPr>
            <w:tcW w:w="2268" w:type="dxa"/>
            <w:vAlign w:val="center"/>
          </w:tcPr>
          <w:p w14:paraId="2655968C">
            <w:pPr>
              <w:pStyle w:val="13"/>
            </w:pPr>
            <w:r>
              <w:t>质量指标</w:t>
            </w:r>
          </w:p>
        </w:tc>
        <w:tc>
          <w:tcPr>
            <w:tcW w:w="2835" w:type="dxa"/>
            <w:vAlign w:val="center"/>
          </w:tcPr>
          <w:p w14:paraId="5404E98C">
            <w:pPr>
              <w:pStyle w:val="13"/>
            </w:pPr>
            <w:r>
              <w:t>预算执行率</w:t>
            </w:r>
          </w:p>
        </w:tc>
        <w:tc>
          <w:tcPr>
            <w:tcW w:w="5386" w:type="dxa"/>
            <w:vAlign w:val="center"/>
          </w:tcPr>
          <w:p w14:paraId="0C749D94">
            <w:pPr>
              <w:pStyle w:val="13"/>
            </w:pPr>
            <w:r>
              <w:t>预算执行率</w:t>
            </w:r>
          </w:p>
        </w:tc>
        <w:tc>
          <w:tcPr>
            <w:tcW w:w="2268" w:type="dxa"/>
            <w:vAlign w:val="center"/>
          </w:tcPr>
          <w:p w14:paraId="3526F842">
            <w:pPr>
              <w:pStyle w:val="13"/>
            </w:pPr>
            <w:r>
              <w:t>≥98%</w:t>
            </w:r>
          </w:p>
        </w:tc>
        <w:tc>
          <w:tcPr>
            <w:tcW w:w="1276" w:type="dxa"/>
            <w:vAlign w:val="center"/>
          </w:tcPr>
          <w:p w14:paraId="62A735D6">
            <w:pPr>
              <w:pStyle w:val="13"/>
            </w:pPr>
            <w:r>
              <w:t>城乡义务教育公用经费管理办法</w:t>
            </w:r>
          </w:p>
        </w:tc>
      </w:tr>
      <w:tr w14:paraId="5728B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1E780"/>
        </w:tc>
        <w:tc>
          <w:tcPr>
            <w:tcW w:w="2268" w:type="dxa"/>
            <w:vAlign w:val="center"/>
          </w:tcPr>
          <w:p w14:paraId="788E626F">
            <w:pPr>
              <w:pStyle w:val="13"/>
            </w:pPr>
            <w:r>
              <w:t>时效指标</w:t>
            </w:r>
          </w:p>
        </w:tc>
        <w:tc>
          <w:tcPr>
            <w:tcW w:w="2835" w:type="dxa"/>
            <w:vAlign w:val="center"/>
          </w:tcPr>
          <w:p w14:paraId="18F84678">
            <w:pPr>
              <w:pStyle w:val="13"/>
            </w:pPr>
            <w:r>
              <w:t>义教经费支付完成率</w:t>
            </w:r>
          </w:p>
        </w:tc>
        <w:tc>
          <w:tcPr>
            <w:tcW w:w="5386" w:type="dxa"/>
            <w:vAlign w:val="center"/>
          </w:tcPr>
          <w:p w14:paraId="755AFEF6">
            <w:pPr>
              <w:pStyle w:val="13"/>
            </w:pPr>
            <w:r>
              <w:t>按照序时进度完成资金支付</w:t>
            </w:r>
          </w:p>
        </w:tc>
        <w:tc>
          <w:tcPr>
            <w:tcW w:w="2268" w:type="dxa"/>
            <w:vAlign w:val="center"/>
          </w:tcPr>
          <w:p w14:paraId="1D5F7554">
            <w:pPr>
              <w:pStyle w:val="13"/>
            </w:pPr>
            <w:r>
              <w:t>≥100%</w:t>
            </w:r>
          </w:p>
        </w:tc>
        <w:tc>
          <w:tcPr>
            <w:tcW w:w="1276" w:type="dxa"/>
            <w:vAlign w:val="center"/>
          </w:tcPr>
          <w:p w14:paraId="0670C41B">
            <w:pPr>
              <w:pStyle w:val="13"/>
            </w:pPr>
            <w:r>
              <w:t>城乡义务教育公用经费管理办法</w:t>
            </w:r>
          </w:p>
        </w:tc>
      </w:tr>
      <w:tr w14:paraId="5D1C6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28057"/>
        </w:tc>
        <w:tc>
          <w:tcPr>
            <w:tcW w:w="2268" w:type="dxa"/>
            <w:vAlign w:val="center"/>
          </w:tcPr>
          <w:p w14:paraId="26FB3A84">
            <w:pPr>
              <w:pStyle w:val="13"/>
            </w:pPr>
            <w:r>
              <w:t>成本指标</w:t>
            </w:r>
          </w:p>
        </w:tc>
        <w:tc>
          <w:tcPr>
            <w:tcW w:w="2835" w:type="dxa"/>
            <w:vAlign w:val="center"/>
          </w:tcPr>
          <w:p w14:paraId="7C95E391">
            <w:pPr>
              <w:pStyle w:val="13"/>
            </w:pPr>
            <w:r>
              <w:t>生均拨款标准</w:t>
            </w:r>
          </w:p>
        </w:tc>
        <w:tc>
          <w:tcPr>
            <w:tcW w:w="5386" w:type="dxa"/>
            <w:vAlign w:val="center"/>
          </w:tcPr>
          <w:p w14:paraId="49C37F0E">
            <w:pPr>
              <w:pStyle w:val="13"/>
            </w:pPr>
            <w:r>
              <w:t>小学：（基本标准720元、寄宿生300元、生活补助120元）/生/学年；特教、随班就读学生：标准6000元/生/学年</w:t>
            </w:r>
          </w:p>
        </w:tc>
        <w:tc>
          <w:tcPr>
            <w:tcW w:w="2268" w:type="dxa"/>
            <w:vAlign w:val="center"/>
          </w:tcPr>
          <w:p w14:paraId="6EF84CC5">
            <w:pPr>
              <w:pStyle w:val="13"/>
            </w:pPr>
            <w:r>
              <w:t>840元</w:t>
            </w:r>
          </w:p>
        </w:tc>
        <w:tc>
          <w:tcPr>
            <w:tcW w:w="1276" w:type="dxa"/>
            <w:vAlign w:val="center"/>
          </w:tcPr>
          <w:p w14:paraId="45CC4548">
            <w:pPr>
              <w:pStyle w:val="13"/>
            </w:pPr>
            <w:r>
              <w:t>城乡义务教育公用经费管理办法</w:t>
            </w:r>
          </w:p>
        </w:tc>
      </w:tr>
      <w:tr w14:paraId="03FAC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248367">
            <w:pPr>
              <w:pStyle w:val="12"/>
            </w:pPr>
            <w:r>
              <w:t>效益指标</w:t>
            </w:r>
          </w:p>
        </w:tc>
        <w:tc>
          <w:tcPr>
            <w:tcW w:w="2268" w:type="dxa"/>
            <w:vAlign w:val="center"/>
          </w:tcPr>
          <w:p w14:paraId="28B55C9A">
            <w:pPr>
              <w:pStyle w:val="13"/>
            </w:pPr>
            <w:r>
              <w:t>社会效益指标</w:t>
            </w:r>
          </w:p>
        </w:tc>
        <w:tc>
          <w:tcPr>
            <w:tcW w:w="2835" w:type="dxa"/>
            <w:vAlign w:val="center"/>
          </w:tcPr>
          <w:p w14:paraId="787A363E">
            <w:pPr>
              <w:pStyle w:val="13"/>
            </w:pPr>
            <w:r>
              <w:t>学校稳定率</w:t>
            </w:r>
          </w:p>
        </w:tc>
        <w:tc>
          <w:tcPr>
            <w:tcW w:w="5386" w:type="dxa"/>
            <w:vAlign w:val="center"/>
          </w:tcPr>
          <w:p w14:paraId="693AFA85">
            <w:pPr>
              <w:pStyle w:val="13"/>
            </w:pPr>
            <w:r>
              <w:t>维护学校稳定，保障学校正常教学秩序有效开展</w:t>
            </w:r>
          </w:p>
        </w:tc>
        <w:tc>
          <w:tcPr>
            <w:tcW w:w="2268" w:type="dxa"/>
            <w:vAlign w:val="center"/>
          </w:tcPr>
          <w:p w14:paraId="48F320CC">
            <w:pPr>
              <w:pStyle w:val="13"/>
            </w:pPr>
            <w:r>
              <w:t>≥100%</w:t>
            </w:r>
          </w:p>
        </w:tc>
        <w:tc>
          <w:tcPr>
            <w:tcW w:w="1276" w:type="dxa"/>
            <w:vAlign w:val="center"/>
          </w:tcPr>
          <w:p w14:paraId="43EABE62">
            <w:pPr>
              <w:pStyle w:val="13"/>
            </w:pPr>
            <w:r>
              <w:t>城乡义务教育公用经费管理办法</w:t>
            </w:r>
          </w:p>
        </w:tc>
      </w:tr>
      <w:tr w14:paraId="0F51E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6AFF63">
            <w:pPr>
              <w:pStyle w:val="12"/>
            </w:pPr>
            <w:r>
              <w:t>满意度指标</w:t>
            </w:r>
          </w:p>
        </w:tc>
        <w:tc>
          <w:tcPr>
            <w:tcW w:w="2268" w:type="dxa"/>
            <w:vAlign w:val="center"/>
          </w:tcPr>
          <w:p w14:paraId="08BCD18C">
            <w:pPr>
              <w:pStyle w:val="13"/>
            </w:pPr>
            <w:r>
              <w:t>服务对象满意度指标</w:t>
            </w:r>
          </w:p>
        </w:tc>
        <w:tc>
          <w:tcPr>
            <w:tcW w:w="2835" w:type="dxa"/>
            <w:vAlign w:val="center"/>
          </w:tcPr>
          <w:p w14:paraId="5327A7AA">
            <w:pPr>
              <w:pStyle w:val="13"/>
            </w:pPr>
            <w:r>
              <w:t>家长和学生满意度</w:t>
            </w:r>
          </w:p>
        </w:tc>
        <w:tc>
          <w:tcPr>
            <w:tcW w:w="5386" w:type="dxa"/>
            <w:vAlign w:val="center"/>
          </w:tcPr>
          <w:p w14:paraId="2E5E0C5A">
            <w:pPr>
              <w:pStyle w:val="13"/>
            </w:pPr>
            <w:r>
              <w:t>家长和学生满意度</w:t>
            </w:r>
          </w:p>
        </w:tc>
        <w:tc>
          <w:tcPr>
            <w:tcW w:w="2268" w:type="dxa"/>
            <w:vAlign w:val="center"/>
          </w:tcPr>
          <w:p w14:paraId="7CE0162D">
            <w:pPr>
              <w:pStyle w:val="13"/>
            </w:pPr>
            <w:r>
              <w:t>≥95%</w:t>
            </w:r>
          </w:p>
        </w:tc>
        <w:tc>
          <w:tcPr>
            <w:tcW w:w="1276" w:type="dxa"/>
            <w:vAlign w:val="center"/>
          </w:tcPr>
          <w:p w14:paraId="3435B202">
            <w:pPr>
              <w:pStyle w:val="13"/>
            </w:pPr>
            <w:r>
              <w:t>问卷调查</w:t>
            </w:r>
          </w:p>
        </w:tc>
      </w:tr>
    </w:tbl>
    <w:p w14:paraId="4EE21FD2">
      <w:pPr>
        <w:sectPr>
          <w:pgSz w:w="16840" w:h="11900" w:orient="landscape"/>
          <w:pgMar w:top="1361" w:right="1020" w:bottom="1134" w:left="1020" w:header="720" w:footer="720" w:gutter="0"/>
          <w:cols w:space="720" w:num="1"/>
        </w:sectPr>
      </w:pPr>
    </w:p>
    <w:p w14:paraId="6CAA9F99">
      <w:pPr>
        <w:spacing w:before="0" w:after="0"/>
        <w:ind w:firstLine="560"/>
        <w:jc w:val="left"/>
        <w:outlineLvl w:val="9"/>
      </w:pPr>
      <w:r>
        <w:rPr>
          <w:rFonts w:ascii="方正仿宋_GBK" w:hAnsi="方正仿宋_GBK" w:eastAsia="方正仿宋_GBK" w:cs="方正仿宋_GBK"/>
          <w:b/>
          <w:color w:val="000000"/>
          <w:sz w:val="28"/>
        </w:rPr>
        <w:t>19、冀财教[2024]142号/省级/2025年学前发展资金/山口校区学前教育公用经费绩效目标表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008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34FD7">
            <w:pPr>
              <w:pStyle w:val="14"/>
            </w:pPr>
            <w:r>
              <w:t>单位：万元</w:t>
            </w:r>
          </w:p>
        </w:tc>
      </w:tr>
      <w:tr w14:paraId="09A01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4DAABC">
            <w:pPr>
              <w:pStyle w:val="11"/>
            </w:pPr>
            <w:r>
              <w:t>项目编码</w:t>
            </w:r>
          </w:p>
        </w:tc>
        <w:tc>
          <w:tcPr>
            <w:tcW w:w="5103" w:type="dxa"/>
            <w:gridSpan w:val="2"/>
            <w:vAlign w:val="center"/>
          </w:tcPr>
          <w:p w14:paraId="73873649">
            <w:pPr>
              <w:pStyle w:val="13"/>
            </w:pPr>
            <w:r>
              <w:t>13052525P00875710006M</w:t>
            </w:r>
          </w:p>
        </w:tc>
        <w:tc>
          <w:tcPr>
            <w:tcW w:w="2835" w:type="dxa"/>
            <w:vAlign w:val="center"/>
          </w:tcPr>
          <w:p w14:paraId="5E2185EC">
            <w:pPr>
              <w:pStyle w:val="11"/>
            </w:pPr>
            <w:r>
              <w:t>项目名称</w:t>
            </w:r>
          </w:p>
        </w:tc>
        <w:tc>
          <w:tcPr>
            <w:tcW w:w="6095" w:type="dxa"/>
            <w:gridSpan w:val="3"/>
            <w:vAlign w:val="center"/>
          </w:tcPr>
          <w:p w14:paraId="1DF4D74E">
            <w:pPr>
              <w:pStyle w:val="13"/>
            </w:pPr>
            <w:r>
              <w:t>冀财教[2024]142号/省级/2025年学前发展资金/山口校区学前教育公用经费</w:t>
            </w:r>
          </w:p>
        </w:tc>
      </w:tr>
      <w:tr w14:paraId="251F4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6EBED">
            <w:pPr>
              <w:pStyle w:val="11"/>
            </w:pPr>
            <w:r>
              <w:t>预算规模及资金用途</w:t>
            </w:r>
          </w:p>
        </w:tc>
        <w:tc>
          <w:tcPr>
            <w:tcW w:w="2268" w:type="dxa"/>
            <w:vAlign w:val="center"/>
          </w:tcPr>
          <w:p w14:paraId="7768DDD3">
            <w:pPr>
              <w:pStyle w:val="11"/>
            </w:pPr>
            <w:r>
              <w:t>预算数</w:t>
            </w:r>
          </w:p>
        </w:tc>
        <w:tc>
          <w:tcPr>
            <w:tcW w:w="2835" w:type="dxa"/>
            <w:vAlign w:val="center"/>
          </w:tcPr>
          <w:p w14:paraId="331BA07E">
            <w:pPr>
              <w:pStyle w:val="13"/>
            </w:pPr>
            <w:r>
              <w:t>8.22</w:t>
            </w:r>
          </w:p>
        </w:tc>
        <w:tc>
          <w:tcPr>
            <w:tcW w:w="2835" w:type="dxa"/>
            <w:vAlign w:val="center"/>
          </w:tcPr>
          <w:p w14:paraId="6D69C3C2">
            <w:pPr>
              <w:pStyle w:val="11"/>
            </w:pPr>
            <w:r>
              <w:t>其中：财政    资金</w:t>
            </w:r>
          </w:p>
        </w:tc>
        <w:tc>
          <w:tcPr>
            <w:tcW w:w="2551" w:type="dxa"/>
            <w:vAlign w:val="center"/>
          </w:tcPr>
          <w:p w14:paraId="31001552">
            <w:pPr>
              <w:pStyle w:val="13"/>
            </w:pPr>
            <w:r>
              <w:t>8.22</w:t>
            </w:r>
          </w:p>
        </w:tc>
        <w:tc>
          <w:tcPr>
            <w:tcW w:w="2268" w:type="dxa"/>
            <w:vAlign w:val="center"/>
          </w:tcPr>
          <w:p w14:paraId="3F2AC771">
            <w:pPr>
              <w:pStyle w:val="11"/>
            </w:pPr>
            <w:r>
              <w:t>其他资金</w:t>
            </w:r>
          </w:p>
        </w:tc>
        <w:tc>
          <w:tcPr>
            <w:tcW w:w="1276" w:type="dxa"/>
            <w:vAlign w:val="center"/>
          </w:tcPr>
          <w:p w14:paraId="2ABFE803">
            <w:pPr>
              <w:pStyle w:val="13"/>
            </w:pPr>
            <w:r>
              <w:t xml:space="preserve"> </w:t>
            </w:r>
          </w:p>
        </w:tc>
      </w:tr>
      <w:tr w14:paraId="5E073B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20D758"/>
        </w:tc>
        <w:tc>
          <w:tcPr>
            <w:tcW w:w="14033" w:type="dxa"/>
            <w:gridSpan w:val="6"/>
            <w:vAlign w:val="center"/>
          </w:tcPr>
          <w:p w14:paraId="5C734912">
            <w:pPr>
              <w:pStyle w:val="13"/>
            </w:pPr>
            <w:r>
              <w:t>用于保障幼儿园正常运转，完成教育教学活动和其他日常工作任务等方面的费用支出。</w:t>
            </w:r>
          </w:p>
        </w:tc>
      </w:tr>
      <w:tr w14:paraId="553C5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48FA2">
            <w:pPr>
              <w:pStyle w:val="11"/>
            </w:pPr>
            <w:r>
              <w:t>资金支出计划（%）</w:t>
            </w:r>
          </w:p>
        </w:tc>
        <w:tc>
          <w:tcPr>
            <w:tcW w:w="5103" w:type="dxa"/>
            <w:gridSpan w:val="2"/>
            <w:vAlign w:val="center"/>
          </w:tcPr>
          <w:p w14:paraId="5411260C">
            <w:pPr>
              <w:pStyle w:val="11"/>
            </w:pPr>
            <w:r>
              <w:t>3月底</w:t>
            </w:r>
          </w:p>
        </w:tc>
        <w:tc>
          <w:tcPr>
            <w:tcW w:w="2835" w:type="dxa"/>
            <w:vAlign w:val="center"/>
          </w:tcPr>
          <w:p w14:paraId="3EEA1B00">
            <w:pPr>
              <w:pStyle w:val="11"/>
            </w:pPr>
            <w:r>
              <w:t>6月底</w:t>
            </w:r>
          </w:p>
        </w:tc>
        <w:tc>
          <w:tcPr>
            <w:tcW w:w="2551" w:type="dxa"/>
            <w:vAlign w:val="center"/>
          </w:tcPr>
          <w:p w14:paraId="26141645">
            <w:pPr>
              <w:pStyle w:val="11"/>
            </w:pPr>
            <w:r>
              <w:t>10月底</w:t>
            </w:r>
          </w:p>
        </w:tc>
        <w:tc>
          <w:tcPr>
            <w:tcW w:w="3544" w:type="dxa"/>
            <w:gridSpan w:val="2"/>
            <w:vAlign w:val="center"/>
          </w:tcPr>
          <w:p w14:paraId="4610865A">
            <w:pPr>
              <w:pStyle w:val="11"/>
            </w:pPr>
            <w:r>
              <w:t>12月底</w:t>
            </w:r>
          </w:p>
        </w:tc>
      </w:tr>
      <w:tr w14:paraId="4C0E1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B276BD"/>
        </w:tc>
        <w:tc>
          <w:tcPr>
            <w:tcW w:w="5103" w:type="dxa"/>
            <w:gridSpan w:val="2"/>
            <w:vAlign w:val="center"/>
          </w:tcPr>
          <w:p w14:paraId="5705075D">
            <w:pPr>
              <w:pStyle w:val="12"/>
            </w:pPr>
            <w:r>
              <w:t>25%</w:t>
            </w:r>
          </w:p>
        </w:tc>
        <w:tc>
          <w:tcPr>
            <w:tcW w:w="2835" w:type="dxa"/>
            <w:vAlign w:val="center"/>
          </w:tcPr>
          <w:p w14:paraId="11E2F08D">
            <w:pPr>
              <w:pStyle w:val="12"/>
            </w:pPr>
            <w:r>
              <w:t>50%</w:t>
            </w:r>
          </w:p>
        </w:tc>
        <w:tc>
          <w:tcPr>
            <w:tcW w:w="2551" w:type="dxa"/>
            <w:vAlign w:val="center"/>
          </w:tcPr>
          <w:p w14:paraId="723849BF">
            <w:pPr>
              <w:pStyle w:val="12"/>
            </w:pPr>
            <w:r>
              <w:t>75%</w:t>
            </w:r>
          </w:p>
        </w:tc>
        <w:tc>
          <w:tcPr>
            <w:tcW w:w="3544" w:type="dxa"/>
            <w:gridSpan w:val="2"/>
            <w:vAlign w:val="center"/>
          </w:tcPr>
          <w:p w14:paraId="08EC0E91">
            <w:pPr>
              <w:pStyle w:val="12"/>
            </w:pPr>
            <w:r>
              <w:t>100%</w:t>
            </w:r>
          </w:p>
        </w:tc>
      </w:tr>
      <w:tr w14:paraId="1F9AB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47ABC">
            <w:pPr>
              <w:pStyle w:val="11"/>
            </w:pPr>
            <w:r>
              <w:t>绩效目标</w:t>
            </w:r>
          </w:p>
        </w:tc>
        <w:tc>
          <w:tcPr>
            <w:tcW w:w="14033" w:type="dxa"/>
            <w:gridSpan w:val="6"/>
            <w:vAlign w:val="center"/>
          </w:tcPr>
          <w:p w14:paraId="71B921D8">
            <w:pPr>
              <w:pStyle w:val="13"/>
            </w:pPr>
            <w:r>
              <w:t>1.按季度分批次拨付公用经费资金，资金拨付率达到100%。</w:t>
            </w:r>
          </w:p>
          <w:p w14:paraId="163D61A5">
            <w:pPr>
              <w:pStyle w:val="13"/>
            </w:pPr>
            <w:r>
              <w:t>2.保障幼儿园正常运转，完成教育教学活动和其他日常工作任务等方面的费用支出。</w:t>
            </w:r>
          </w:p>
        </w:tc>
      </w:tr>
    </w:tbl>
    <w:p w14:paraId="20C325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14:paraId="57AA2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CEF60">
            <w:pPr>
              <w:pStyle w:val="11"/>
            </w:pPr>
            <w:r>
              <w:t>一级指标</w:t>
            </w:r>
          </w:p>
        </w:tc>
        <w:tc>
          <w:tcPr>
            <w:tcW w:w="2268" w:type="dxa"/>
            <w:vAlign w:val="center"/>
          </w:tcPr>
          <w:p w14:paraId="130AF9BE">
            <w:pPr>
              <w:pStyle w:val="11"/>
            </w:pPr>
            <w:r>
              <w:t>二级指标</w:t>
            </w:r>
          </w:p>
        </w:tc>
        <w:tc>
          <w:tcPr>
            <w:tcW w:w="2835" w:type="dxa"/>
            <w:vAlign w:val="center"/>
          </w:tcPr>
          <w:p w14:paraId="28653B08">
            <w:pPr>
              <w:pStyle w:val="11"/>
            </w:pPr>
            <w:r>
              <w:t>三级指标</w:t>
            </w:r>
          </w:p>
        </w:tc>
        <w:tc>
          <w:tcPr>
            <w:tcW w:w="5386" w:type="dxa"/>
            <w:vAlign w:val="center"/>
          </w:tcPr>
          <w:p w14:paraId="49E682D5">
            <w:pPr>
              <w:pStyle w:val="11"/>
            </w:pPr>
            <w:r>
              <w:t>绩效指标描述</w:t>
            </w:r>
          </w:p>
        </w:tc>
        <w:tc>
          <w:tcPr>
            <w:tcW w:w="1763" w:type="dxa"/>
            <w:vAlign w:val="center"/>
          </w:tcPr>
          <w:p w14:paraId="3EDF06EC">
            <w:pPr>
              <w:pStyle w:val="11"/>
            </w:pPr>
            <w:r>
              <w:t>指标值</w:t>
            </w:r>
          </w:p>
        </w:tc>
        <w:tc>
          <w:tcPr>
            <w:tcW w:w="1781" w:type="dxa"/>
            <w:vAlign w:val="center"/>
          </w:tcPr>
          <w:p w14:paraId="67389CBA">
            <w:pPr>
              <w:pStyle w:val="11"/>
            </w:pPr>
            <w:r>
              <w:t>指标值确定依据</w:t>
            </w:r>
          </w:p>
        </w:tc>
      </w:tr>
      <w:tr w14:paraId="13205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EE64F">
            <w:pPr>
              <w:pStyle w:val="12"/>
            </w:pPr>
            <w:r>
              <w:t>产出指标</w:t>
            </w:r>
          </w:p>
        </w:tc>
        <w:tc>
          <w:tcPr>
            <w:tcW w:w="2268" w:type="dxa"/>
            <w:vAlign w:val="center"/>
          </w:tcPr>
          <w:p w14:paraId="2270237F">
            <w:pPr>
              <w:pStyle w:val="13"/>
            </w:pPr>
            <w:r>
              <w:t>数量指标</w:t>
            </w:r>
          </w:p>
        </w:tc>
        <w:tc>
          <w:tcPr>
            <w:tcW w:w="2835" w:type="dxa"/>
            <w:vAlign w:val="center"/>
          </w:tcPr>
          <w:p w14:paraId="35441AAD">
            <w:pPr>
              <w:pStyle w:val="13"/>
            </w:pPr>
            <w:r>
              <w:t>就读学生数</w:t>
            </w:r>
          </w:p>
        </w:tc>
        <w:tc>
          <w:tcPr>
            <w:tcW w:w="5386" w:type="dxa"/>
            <w:vAlign w:val="center"/>
          </w:tcPr>
          <w:p w14:paraId="56531052">
            <w:pPr>
              <w:pStyle w:val="13"/>
            </w:pPr>
            <w:r>
              <w:t>辐射区域内适龄学生人数</w:t>
            </w:r>
          </w:p>
        </w:tc>
        <w:tc>
          <w:tcPr>
            <w:tcW w:w="1763" w:type="dxa"/>
            <w:vAlign w:val="center"/>
          </w:tcPr>
          <w:p w14:paraId="4C423133">
            <w:pPr>
              <w:pStyle w:val="13"/>
            </w:pPr>
            <w:r>
              <w:t>≥548人</w:t>
            </w:r>
          </w:p>
        </w:tc>
        <w:tc>
          <w:tcPr>
            <w:tcW w:w="1781" w:type="dxa"/>
            <w:vAlign w:val="center"/>
          </w:tcPr>
          <w:p w14:paraId="28B3FCA8">
            <w:pPr>
              <w:pStyle w:val="13"/>
            </w:pPr>
            <w:r>
              <w:t>城乡义务教育公用经费管理办法</w:t>
            </w:r>
          </w:p>
        </w:tc>
      </w:tr>
      <w:tr w14:paraId="3EA24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E71C3"/>
        </w:tc>
        <w:tc>
          <w:tcPr>
            <w:tcW w:w="2268" w:type="dxa"/>
            <w:vAlign w:val="center"/>
          </w:tcPr>
          <w:p w14:paraId="5B7DABF2">
            <w:pPr>
              <w:pStyle w:val="13"/>
            </w:pPr>
            <w:r>
              <w:t>质量指标</w:t>
            </w:r>
          </w:p>
        </w:tc>
        <w:tc>
          <w:tcPr>
            <w:tcW w:w="2835" w:type="dxa"/>
            <w:vAlign w:val="center"/>
          </w:tcPr>
          <w:p w14:paraId="186713BB">
            <w:pPr>
              <w:pStyle w:val="13"/>
            </w:pPr>
            <w:r>
              <w:t>预算控制率</w:t>
            </w:r>
          </w:p>
        </w:tc>
        <w:tc>
          <w:tcPr>
            <w:tcW w:w="5386" w:type="dxa"/>
            <w:vAlign w:val="center"/>
          </w:tcPr>
          <w:p w14:paraId="431D53A6">
            <w:pPr>
              <w:pStyle w:val="13"/>
            </w:pPr>
            <w:r>
              <w:t>预算执行</w:t>
            </w:r>
          </w:p>
        </w:tc>
        <w:tc>
          <w:tcPr>
            <w:tcW w:w="1763" w:type="dxa"/>
            <w:vAlign w:val="center"/>
          </w:tcPr>
          <w:p w14:paraId="2679F3D4">
            <w:pPr>
              <w:pStyle w:val="13"/>
            </w:pPr>
            <w:r>
              <w:t>≥95%</w:t>
            </w:r>
          </w:p>
        </w:tc>
        <w:tc>
          <w:tcPr>
            <w:tcW w:w="1781" w:type="dxa"/>
            <w:vAlign w:val="center"/>
          </w:tcPr>
          <w:p w14:paraId="36E0E1CF">
            <w:pPr>
              <w:pStyle w:val="13"/>
            </w:pPr>
            <w:r>
              <w:t>支持学前教育发展县级资金管理方法</w:t>
            </w:r>
          </w:p>
        </w:tc>
      </w:tr>
      <w:tr w14:paraId="557CC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47A17"/>
        </w:tc>
        <w:tc>
          <w:tcPr>
            <w:tcW w:w="2268" w:type="dxa"/>
            <w:vAlign w:val="center"/>
          </w:tcPr>
          <w:p w14:paraId="5E70541E">
            <w:pPr>
              <w:pStyle w:val="13"/>
            </w:pPr>
            <w:r>
              <w:t>时效指标</w:t>
            </w:r>
          </w:p>
        </w:tc>
        <w:tc>
          <w:tcPr>
            <w:tcW w:w="2835" w:type="dxa"/>
            <w:vAlign w:val="center"/>
          </w:tcPr>
          <w:p w14:paraId="45364F3B">
            <w:pPr>
              <w:pStyle w:val="13"/>
            </w:pPr>
            <w:r>
              <w:t>义教经费支付完成率</w:t>
            </w:r>
          </w:p>
        </w:tc>
        <w:tc>
          <w:tcPr>
            <w:tcW w:w="5386" w:type="dxa"/>
            <w:vAlign w:val="center"/>
          </w:tcPr>
          <w:p w14:paraId="4F74C2F3">
            <w:pPr>
              <w:pStyle w:val="13"/>
            </w:pPr>
            <w:r>
              <w:t>按照序时进度完成资金支付</w:t>
            </w:r>
          </w:p>
        </w:tc>
        <w:tc>
          <w:tcPr>
            <w:tcW w:w="1763" w:type="dxa"/>
            <w:vAlign w:val="center"/>
          </w:tcPr>
          <w:p w14:paraId="5BC8D0D4">
            <w:pPr>
              <w:pStyle w:val="13"/>
            </w:pPr>
            <w:r>
              <w:t>100%</w:t>
            </w:r>
          </w:p>
        </w:tc>
        <w:tc>
          <w:tcPr>
            <w:tcW w:w="1781" w:type="dxa"/>
            <w:vAlign w:val="center"/>
          </w:tcPr>
          <w:p w14:paraId="6496FFC3">
            <w:pPr>
              <w:pStyle w:val="13"/>
            </w:pPr>
            <w:r>
              <w:t>城乡义务教育公用经费管理办法</w:t>
            </w:r>
          </w:p>
        </w:tc>
      </w:tr>
      <w:tr w14:paraId="43372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51ABB"/>
        </w:tc>
        <w:tc>
          <w:tcPr>
            <w:tcW w:w="2268" w:type="dxa"/>
            <w:vAlign w:val="center"/>
          </w:tcPr>
          <w:p w14:paraId="01A3D26E">
            <w:pPr>
              <w:pStyle w:val="13"/>
            </w:pPr>
            <w:r>
              <w:t>成本指标</w:t>
            </w:r>
          </w:p>
        </w:tc>
        <w:tc>
          <w:tcPr>
            <w:tcW w:w="2835" w:type="dxa"/>
            <w:vAlign w:val="center"/>
          </w:tcPr>
          <w:p w14:paraId="4A7E6F9F">
            <w:pPr>
              <w:pStyle w:val="13"/>
            </w:pPr>
            <w:r>
              <w:t>生均拨款标准</w:t>
            </w:r>
          </w:p>
        </w:tc>
        <w:tc>
          <w:tcPr>
            <w:tcW w:w="5386" w:type="dxa"/>
            <w:vAlign w:val="center"/>
          </w:tcPr>
          <w:p w14:paraId="483EF780">
            <w:pPr>
              <w:pStyle w:val="13"/>
            </w:pPr>
            <w:r>
              <w:t>学前：（基本标准600元/生/学年）</w:t>
            </w:r>
          </w:p>
        </w:tc>
        <w:tc>
          <w:tcPr>
            <w:tcW w:w="1763" w:type="dxa"/>
            <w:vAlign w:val="center"/>
          </w:tcPr>
          <w:p w14:paraId="35C249DF">
            <w:pPr>
              <w:pStyle w:val="13"/>
            </w:pPr>
            <w:r>
              <w:t>600元</w:t>
            </w:r>
          </w:p>
        </w:tc>
        <w:tc>
          <w:tcPr>
            <w:tcW w:w="1781" w:type="dxa"/>
            <w:vAlign w:val="center"/>
          </w:tcPr>
          <w:p w14:paraId="6A050817">
            <w:pPr>
              <w:pStyle w:val="13"/>
            </w:pPr>
            <w:r>
              <w:t>城乡义务教育公用经费管理办法</w:t>
            </w:r>
          </w:p>
        </w:tc>
      </w:tr>
      <w:tr w14:paraId="1F1A7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4D4D57">
            <w:pPr>
              <w:pStyle w:val="12"/>
            </w:pPr>
            <w:r>
              <w:t>效益指标</w:t>
            </w:r>
          </w:p>
        </w:tc>
        <w:tc>
          <w:tcPr>
            <w:tcW w:w="2268" w:type="dxa"/>
            <w:vAlign w:val="center"/>
          </w:tcPr>
          <w:p w14:paraId="732AEFFC">
            <w:pPr>
              <w:pStyle w:val="13"/>
            </w:pPr>
            <w:r>
              <w:t>社会效益指标</w:t>
            </w:r>
          </w:p>
        </w:tc>
        <w:tc>
          <w:tcPr>
            <w:tcW w:w="2835" w:type="dxa"/>
            <w:vAlign w:val="center"/>
          </w:tcPr>
          <w:p w14:paraId="16648779">
            <w:pPr>
              <w:pStyle w:val="13"/>
            </w:pPr>
            <w:r>
              <w:t>学校稳定率</w:t>
            </w:r>
          </w:p>
        </w:tc>
        <w:tc>
          <w:tcPr>
            <w:tcW w:w="5386" w:type="dxa"/>
            <w:vAlign w:val="center"/>
          </w:tcPr>
          <w:p w14:paraId="7BC72150">
            <w:pPr>
              <w:pStyle w:val="13"/>
            </w:pPr>
            <w:r>
              <w:t>维护学校稳定，保障学校正常教学秩序有效开展</w:t>
            </w:r>
          </w:p>
        </w:tc>
        <w:tc>
          <w:tcPr>
            <w:tcW w:w="1763" w:type="dxa"/>
            <w:vAlign w:val="center"/>
          </w:tcPr>
          <w:p w14:paraId="3833ADF5">
            <w:pPr>
              <w:pStyle w:val="13"/>
            </w:pPr>
            <w:r>
              <w:t>≥100%</w:t>
            </w:r>
          </w:p>
        </w:tc>
        <w:tc>
          <w:tcPr>
            <w:tcW w:w="1781" w:type="dxa"/>
            <w:vAlign w:val="center"/>
          </w:tcPr>
          <w:p w14:paraId="711094F7">
            <w:pPr>
              <w:pStyle w:val="13"/>
            </w:pPr>
            <w:r>
              <w:t>城乡义务教育公用经费管理办法</w:t>
            </w:r>
          </w:p>
        </w:tc>
      </w:tr>
      <w:tr w14:paraId="5A8AC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67FE43">
            <w:pPr>
              <w:pStyle w:val="12"/>
            </w:pPr>
            <w:r>
              <w:t>满意度指标</w:t>
            </w:r>
          </w:p>
        </w:tc>
        <w:tc>
          <w:tcPr>
            <w:tcW w:w="2268" w:type="dxa"/>
            <w:vAlign w:val="center"/>
          </w:tcPr>
          <w:p w14:paraId="7A9183A6">
            <w:pPr>
              <w:pStyle w:val="13"/>
            </w:pPr>
            <w:r>
              <w:t>服务对象满意度指标</w:t>
            </w:r>
          </w:p>
        </w:tc>
        <w:tc>
          <w:tcPr>
            <w:tcW w:w="2835" w:type="dxa"/>
            <w:vAlign w:val="center"/>
          </w:tcPr>
          <w:p w14:paraId="47A5FFBE">
            <w:pPr>
              <w:pStyle w:val="13"/>
            </w:pPr>
            <w:r>
              <w:t>家长和学生满意度</w:t>
            </w:r>
          </w:p>
        </w:tc>
        <w:tc>
          <w:tcPr>
            <w:tcW w:w="5386" w:type="dxa"/>
            <w:vAlign w:val="center"/>
          </w:tcPr>
          <w:p w14:paraId="64ACECB3">
            <w:pPr>
              <w:pStyle w:val="13"/>
            </w:pPr>
            <w:r>
              <w:t>家长和学生满意度</w:t>
            </w:r>
          </w:p>
        </w:tc>
        <w:tc>
          <w:tcPr>
            <w:tcW w:w="1763" w:type="dxa"/>
            <w:vAlign w:val="center"/>
          </w:tcPr>
          <w:p w14:paraId="3E6989F9">
            <w:pPr>
              <w:pStyle w:val="13"/>
            </w:pPr>
            <w:r>
              <w:t>≥95%</w:t>
            </w:r>
          </w:p>
        </w:tc>
        <w:tc>
          <w:tcPr>
            <w:tcW w:w="1781" w:type="dxa"/>
            <w:vAlign w:val="center"/>
          </w:tcPr>
          <w:p w14:paraId="184A82CE">
            <w:pPr>
              <w:pStyle w:val="13"/>
            </w:pPr>
            <w:r>
              <w:t>问卷调查</w:t>
            </w:r>
          </w:p>
        </w:tc>
      </w:tr>
    </w:tbl>
    <w:p w14:paraId="19708131">
      <w:pPr>
        <w:sectPr>
          <w:pgSz w:w="16840" w:h="11900" w:orient="landscape"/>
          <w:pgMar w:top="1361" w:right="1020" w:bottom="1134" w:left="1020" w:header="720" w:footer="720" w:gutter="0"/>
          <w:cols w:space="720" w:num="1"/>
        </w:sectPr>
      </w:pPr>
    </w:p>
    <w:p w14:paraId="15601606">
      <w:pPr>
        <w:spacing w:before="0" w:after="0"/>
        <w:ind w:firstLine="560"/>
        <w:jc w:val="left"/>
        <w:outlineLvl w:val="9"/>
      </w:pPr>
      <w:r>
        <w:rPr>
          <w:rFonts w:ascii="方正仿宋_GBK" w:hAnsi="方正仿宋_GBK" w:eastAsia="方正仿宋_GBK" w:cs="方正仿宋_GBK"/>
          <w:b/>
          <w:color w:val="000000"/>
          <w:sz w:val="28"/>
        </w:rPr>
        <w:t>20、冀财教[2024]142号/省级/2025年学前发展资金/山口校区学前教育幼儿资助绩效目标表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76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48EE3">
            <w:pPr>
              <w:pStyle w:val="14"/>
            </w:pPr>
            <w:r>
              <w:t>单位：万元</w:t>
            </w:r>
          </w:p>
        </w:tc>
      </w:tr>
      <w:tr w14:paraId="784D3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DE9B6F">
            <w:pPr>
              <w:pStyle w:val="11"/>
            </w:pPr>
            <w:r>
              <w:t>项目编码</w:t>
            </w:r>
          </w:p>
        </w:tc>
        <w:tc>
          <w:tcPr>
            <w:tcW w:w="5103" w:type="dxa"/>
            <w:gridSpan w:val="2"/>
            <w:vAlign w:val="center"/>
          </w:tcPr>
          <w:p w14:paraId="1994DFE8">
            <w:pPr>
              <w:pStyle w:val="13"/>
            </w:pPr>
            <w:r>
              <w:t>13052525P00000210070P</w:t>
            </w:r>
          </w:p>
        </w:tc>
        <w:tc>
          <w:tcPr>
            <w:tcW w:w="2835" w:type="dxa"/>
            <w:vAlign w:val="center"/>
          </w:tcPr>
          <w:p w14:paraId="5A5AC5E1">
            <w:pPr>
              <w:pStyle w:val="11"/>
            </w:pPr>
            <w:r>
              <w:t>项目名称</w:t>
            </w:r>
          </w:p>
        </w:tc>
        <w:tc>
          <w:tcPr>
            <w:tcW w:w="6095" w:type="dxa"/>
            <w:gridSpan w:val="3"/>
            <w:vAlign w:val="center"/>
          </w:tcPr>
          <w:p w14:paraId="47FE79FB">
            <w:pPr>
              <w:pStyle w:val="13"/>
            </w:pPr>
            <w:r>
              <w:t>冀财教[2024]142号/省级/2025年学前发展资金/山口校区学前教育幼儿资助</w:t>
            </w:r>
          </w:p>
        </w:tc>
      </w:tr>
      <w:tr w14:paraId="0E66A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1E9C2">
            <w:pPr>
              <w:pStyle w:val="11"/>
            </w:pPr>
            <w:r>
              <w:t>预算规模及资金用途</w:t>
            </w:r>
          </w:p>
        </w:tc>
        <w:tc>
          <w:tcPr>
            <w:tcW w:w="2268" w:type="dxa"/>
            <w:vAlign w:val="center"/>
          </w:tcPr>
          <w:p w14:paraId="0B336CDA">
            <w:pPr>
              <w:pStyle w:val="11"/>
            </w:pPr>
            <w:r>
              <w:t>预算数</w:t>
            </w:r>
          </w:p>
        </w:tc>
        <w:tc>
          <w:tcPr>
            <w:tcW w:w="2835" w:type="dxa"/>
            <w:vAlign w:val="center"/>
          </w:tcPr>
          <w:p w14:paraId="50873B88">
            <w:pPr>
              <w:pStyle w:val="13"/>
            </w:pPr>
            <w:r>
              <w:t>0.80</w:t>
            </w:r>
          </w:p>
        </w:tc>
        <w:tc>
          <w:tcPr>
            <w:tcW w:w="2835" w:type="dxa"/>
            <w:vAlign w:val="center"/>
          </w:tcPr>
          <w:p w14:paraId="686F4330">
            <w:pPr>
              <w:pStyle w:val="11"/>
            </w:pPr>
            <w:r>
              <w:t>其中：财政    资金</w:t>
            </w:r>
          </w:p>
        </w:tc>
        <w:tc>
          <w:tcPr>
            <w:tcW w:w="2551" w:type="dxa"/>
            <w:vAlign w:val="center"/>
          </w:tcPr>
          <w:p w14:paraId="52D8E6E3">
            <w:pPr>
              <w:pStyle w:val="13"/>
            </w:pPr>
            <w:r>
              <w:t>0.80</w:t>
            </w:r>
          </w:p>
        </w:tc>
        <w:tc>
          <w:tcPr>
            <w:tcW w:w="2268" w:type="dxa"/>
            <w:vAlign w:val="center"/>
          </w:tcPr>
          <w:p w14:paraId="7C58E885">
            <w:pPr>
              <w:pStyle w:val="11"/>
            </w:pPr>
            <w:r>
              <w:t>其他资金</w:t>
            </w:r>
          </w:p>
        </w:tc>
        <w:tc>
          <w:tcPr>
            <w:tcW w:w="1276" w:type="dxa"/>
            <w:vAlign w:val="center"/>
          </w:tcPr>
          <w:p w14:paraId="11569913">
            <w:pPr>
              <w:pStyle w:val="13"/>
            </w:pPr>
            <w:r>
              <w:t xml:space="preserve"> </w:t>
            </w:r>
          </w:p>
        </w:tc>
      </w:tr>
      <w:tr w14:paraId="7D6CA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C831A9"/>
        </w:tc>
        <w:tc>
          <w:tcPr>
            <w:tcW w:w="14033" w:type="dxa"/>
            <w:gridSpan w:val="6"/>
            <w:vAlign w:val="center"/>
          </w:tcPr>
          <w:p w14:paraId="19357144">
            <w:pPr>
              <w:pStyle w:val="13"/>
            </w:pPr>
            <w:r>
              <w:t>用于保障落实建档立卡及家庭经济困难儿童资助所需资金，确保建档立卡等家庭经济困难幼儿优先获得资助</w:t>
            </w:r>
          </w:p>
        </w:tc>
      </w:tr>
      <w:tr w14:paraId="6BCF3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D292B">
            <w:pPr>
              <w:pStyle w:val="11"/>
            </w:pPr>
            <w:r>
              <w:t>资金支出计划（%）</w:t>
            </w:r>
          </w:p>
        </w:tc>
        <w:tc>
          <w:tcPr>
            <w:tcW w:w="5103" w:type="dxa"/>
            <w:gridSpan w:val="2"/>
            <w:vAlign w:val="center"/>
          </w:tcPr>
          <w:p w14:paraId="1D17983A">
            <w:pPr>
              <w:pStyle w:val="11"/>
            </w:pPr>
            <w:r>
              <w:t>3月底</w:t>
            </w:r>
          </w:p>
        </w:tc>
        <w:tc>
          <w:tcPr>
            <w:tcW w:w="2835" w:type="dxa"/>
            <w:vAlign w:val="center"/>
          </w:tcPr>
          <w:p w14:paraId="37269054">
            <w:pPr>
              <w:pStyle w:val="11"/>
            </w:pPr>
            <w:r>
              <w:t>6月底</w:t>
            </w:r>
          </w:p>
        </w:tc>
        <w:tc>
          <w:tcPr>
            <w:tcW w:w="2551" w:type="dxa"/>
            <w:vAlign w:val="center"/>
          </w:tcPr>
          <w:p w14:paraId="4ED73528">
            <w:pPr>
              <w:pStyle w:val="11"/>
            </w:pPr>
            <w:r>
              <w:t>10月底</w:t>
            </w:r>
          </w:p>
        </w:tc>
        <w:tc>
          <w:tcPr>
            <w:tcW w:w="3544" w:type="dxa"/>
            <w:gridSpan w:val="2"/>
            <w:vAlign w:val="center"/>
          </w:tcPr>
          <w:p w14:paraId="58452863">
            <w:pPr>
              <w:pStyle w:val="11"/>
            </w:pPr>
            <w:r>
              <w:t>12月底</w:t>
            </w:r>
          </w:p>
        </w:tc>
      </w:tr>
      <w:tr w14:paraId="516A4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78CD6"/>
        </w:tc>
        <w:tc>
          <w:tcPr>
            <w:tcW w:w="5103" w:type="dxa"/>
            <w:gridSpan w:val="2"/>
            <w:vAlign w:val="center"/>
          </w:tcPr>
          <w:p w14:paraId="6CF3B4DD">
            <w:pPr>
              <w:pStyle w:val="12"/>
            </w:pPr>
            <w:r>
              <w:t xml:space="preserve"> </w:t>
            </w:r>
          </w:p>
        </w:tc>
        <w:tc>
          <w:tcPr>
            <w:tcW w:w="2835" w:type="dxa"/>
            <w:vAlign w:val="center"/>
          </w:tcPr>
          <w:p w14:paraId="72367AFF">
            <w:pPr>
              <w:pStyle w:val="12"/>
            </w:pPr>
            <w:r>
              <w:t>50%</w:t>
            </w:r>
          </w:p>
        </w:tc>
        <w:tc>
          <w:tcPr>
            <w:tcW w:w="2551" w:type="dxa"/>
            <w:vAlign w:val="center"/>
          </w:tcPr>
          <w:p w14:paraId="1340FF0B">
            <w:pPr>
              <w:pStyle w:val="12"/>
            </w:pPr>
            <w:r>
              <w:t>50%</w:t>
            </w:r>
          </w:p>
        </w:tc>
        <w:tc>
          <w:tcPr>
            <w:tcW w:w="3544" w:type="dxa"/>
            <w:gridSpan w:val="2"/>
            <w:vAlign w:val="center"/>
          </w:tcPr>
          <w:p w14:paraId="43EC4687">
            <w:pPr>
              <w:pStyle w:val="12"/>
            </w:pPr>
            <w:r>
              <w:t>100%</w:t>
            </w:r>
          </w:p>
        </w:tc>
      </w:tr>
      <w:tr w14:paraId="335E7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0157F58A">
            <w:pPr>
              <w:pStyle w:val="11"/>
            </w:pPr>
            <w:r>
              <w:t>绩效目标</w:t>
            </w:r>
          </w:p>
        </w:tc>
        <w:tc>
          <w:tcPr>
            <w:tcW w:w="14033" w:type="dxa"/>
            <w:gridSpan w:val="6"/>
            <w:vAlign w:val="center"/>
          </w:tcPr>
          <w:p w14:paraId="0938A306">
            <w:pPr>
              <w:pStyle w:val="13"/>
            </w:pPr>
            <w:r>
              <w:t>1.保障落实建档立卡及家庭经济困难儿童资助所需资金，确保建档立卡等家庭经济困难幼儿优先获得资助</w:t>
            </w:r>
          </w:p>
          <w:p w14:paraId="01354527">
            <w:pPr>
              <w:pStyle w:val="13"/>
            </w:pPr>
            <w:r>
              <w:t>2.保证本年度资助经费足额落实到位，符合享受资助条件的学生应助尽助。</w:t>
            </w:r>
          </w:p>
        </w:tc>
      </w:tr>
    </w:tbl>
    <w:p w14:paraId="7D2AE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9A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7A934">
            <w:pPr>
              <w:pStyle w:val="11"/>
            </w:pPr>
            <w:r>
              <w:t>一级指标</w:t>
            </w:r>
          </w:p>
        </w:tc>
        <w:tc>
          <w:tcPr>
            <w:tcW w:w="2268" w:type="dxa"/>
            <w:vAlign w:val="center"/>
          </w:tcPr>
          <w:p w14:paraId="18CDE824">
            <w:pPr>
              <w:pStyle w:val="11"/>
            </w:pPr>
            <w:r>
              <w:t>二级指标</w:t>
            </w:r>
          </w:p>
        </w:tc>
        <w:tc>
          <w:tcPr>
            <w:tcW w:w="2835" w:type="dxa"/>
            <w:vAlign w:val="center"/>
          </w:tcPr>
          <w:p w14:paraId="5208D51C">
            <w:pPr>
              <w:pStyle w:val="11"/>
            </w:pPr>
            <w:r>
              <w:t>三级指标</w:t>
            </w:r>
          </w:p>
        </w:tc>
        <w:tc>
          <w:tcPr>
            <w:tcW w:w="5386" w:type="dxa"/>
            <w:vAlign w:val="center"/>
          </w:tcPr>
          <w:p w14:paraId="045DAF05">
            <w:pPr>
              <w:pStyle w:val="11"/>
            </w:pPr>
            <w:r>
              <w:t>绩效指标描述</w:t>
            </w:r>
          </w:p>
        </w:tc>
        <w:tc>
          <w:tcPr>
            <w:tcW w:w="2268" w:type="dxa"/>
            <w:vAlign w:val="center"/>
          </w:tcPr>
          <w:p w14:paraId="5EAF3795">
            <w:pPr>
              <w:pStyle w:val="11"/>
            </w:pPr>
            <w:r>
              <w:t>指标值</w:t>
            </w:r>
          </w:p>
        </w:tc>
        <w:tc>
          <w:tcPr>
            <w:tcW w:w="1276" w:type="dxa"/>
            <w:vAlign w:val="center"/>
          </w:tcPr>
          <w:p w14:paraId="76D2175B">
            <w:pPr>
              <w:pStyle w:val="11"/>
            </w:pPr>
            <w:r>
              <w:t>指标值确定依据</w:t>
            </w:r>
          </w:p>
        </w:tc>
      </w:tr>
      <w:tr w14:paraId="3BEA6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802DC">
            <w:pPr>
              <w:pStyle w:val="12"/>
            </w:pPr>
            <w:r>
              <w:t>产出指标</w:t>
            </w:r>
          </w:p>
        </w:tc>
        <w:tc>
          <w:tcPr>
            <w:tcW w:w="2268" w:type="dxa"/>
            <w:vAlign w:val="center"/>
          </w:tcPr>
          <w:p w14:paraId="450BFDBD">
            <w:pPr>
              <w:pStyle w:val="13"/>
            </w:pPr>
            <w:r>
              <w:t>数量指标</w:t>
            </w:r>
          </w:p>
        </w:tc>
        <w:tc>
          <w:tcPr>
            <w:tcW w:w="2835" w:type="dxa"/>
            <w:vAlign w:val="center"/>
          </w:tcPr>
          <w:p w14:paraId="3B07808C">
            <w:pPr>
              <w:pStyle w:val="13"/>
            </w:pPr>
            <w:r>
              <w:t>幼儿资助比例</w:t>
            </w:r>
          </w:p>
        </w:tc>
        <w:tc>
          <w:tcPr>
            <w:tcW w:w="5386" w:type="dxa"/>
            <w:vAlign w:val="center"/>
          </w:tcPr>
          <w:p w14:paraId="3C2EE9FF">
            <w:pPr>
              <w:pStyle w:val="13"/>
            </w:pPr>
            <w:r>
              <w:t>按学前适龄在园儿童10%测算</w:t>
            </w:r>
          </w:p>
        </w:tc>
        <w:tc>
          <w:tcPr>
            <w:tcW w:w="2268" w:type="dxa"/>
            <w:vAlign w:val="center"/>
          </w:tcPr>
          <w:p w14:paraId="2004C590">
            <w:pPr>
              <w:pStyle w:val="13"/>
            </w:pPr>
            <w:r>
              <w:t>10%</w:t>
            </w:r>
          </w:p>
        </w:tc>
        <w:tc>
          <w:tcPr>
            <w:tcW w:w="1276" w:type="dxa"/>
            <w:vAlign w:val="center"/>
          </w:tcPr>
          <w:p w14:paraId="0D3F8BE6">
            <w:pPr>
              <w:pStyle w:val="13"/>
            </w:pPr>
            <w:r>
              <w:t>幼儿资助经费管理办法</w:t>
            </w:r>
          </w:p>
        </w:tc>
      </w:tr>
      <w:tr w14:paraId="335B5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40162"/>
        </w:tc>
        <w:tc>
          <w:tcPr>
            <w:tcW w:w="2268" w:type="dxa"/>
            <w:vAlign w:val="center"/>
          </w:tcPr>
          <w:p w14:paraId="73D28FAA">
            <w:pPr>
              <w:pStyle w:val="13"/>
            </w:pPr>
            <w:r>
              <w:t>质量指标</w:t>
            </w:r>
          </w:p>
        </w:tc>
        <w:tc>
          <w:tcPr>
            <w:tcW w:w="2835" w:type="dxa"/>
            <w:vAlign w:val="center"/>
          </w:tcPr>
          <w:p w14:paraId="4DCB9509">
            <w:pPr>
              <w:pStyle w:val="13"/>
            </w:pPr>
            <w:r>
              <w:t>资助资金使用率</w:t>
            </w:r>
          </w:p>
        </w:tc>
        <w:tc>
          <w:tcPr>
            <w:tcW w:w="5386" w:type="dxa"/>
            <w:vAlign w:val="center"/>
          </w:tcPr>
          <w:p w14:paraId="0983E936">
            <w:pPr>
              <w:pStyle w:val="13"/>
            </w:pPr>
            <w:r>
              <w:t>符合享受资助条件的学生应助尽助</w:t>
            </w:r>
          </w:p>
        </w:tc>
        <w:tc>
          <w:tcPr>
            <w:tcW w:w="2268" w:type="dxa"/>
            <w:vAlign w:val="center"/>
          </w:tcPr>
          <w:p w14:paraId="6B4E869E">
            <w:pPr>
              <w:pStyle w:val="13"/>
            </w:pPr>
            <w:r>
              <w:t>≥100%</w:t>
            </w:r>
          </w:p>
        </w:tc>
        <w:tc>
          <w:tcPr>
            <w:tcW w:w="1276" w:type="dxa"/>
            <w:vAlign w:val="center"/>
          </w:tcPr>
          <w:p w14:paraId="6227526F">
            <w:pPr>
              <w:pStyle w:val="13"/>
            </w:pPr>
            <w:r>
              <w:t>幼儿资助经费管理办法</w:t>
            </w:r>
          </w:p>
        </w:tc>
      </w:tr>
      <w:tr w14:paraId="724D6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90D50"/>
        </w:tc>
        <w:tc>
          <w:tcPr>
            <w:tcW w:w="2268" w:type="dxa"/>
            <w:vAlign w:val="center"/>
          </w:tcPr>
          <w:p w14:paraId="33C270EA">
            <w:pPr>
              <w:pStyle w:val="13"/>
            </w:pPr>
            <w:r>
              <w:t>时效指标</w:t>
            </w:r>
          </w:p>
        </w:tc>
        <w:tc>
          <w:tcPr>
            <w:tcW w:w="2835" w:type="dxa"/>
            <w:vAlign w:val="center"/>
          </w:tcPr>
          <w:p w14:paraId="78DAD354">
            <w:pPr>
              <w:pStyle w:val="13"/>
            </w:pPr>
            <w:r>
              <w:t>资金拨付率</w:t>
            </w:r>
          </w:p>
        </w:tc>
        <w:tc>
          <w:tcPr>
            <w:tcW w:w="5386" w:type="dxa"/>
            <w:vAlign w:val="center"/>
          </w:tcPr>
          <w:p w14:paraId="27F5392C">
            <w:pPr>
              <w:pStyle w:val="13"/>
            </w:pPr>
            <w:r>
              <w:t>所有项目资金支付进度</w:t>
            </w:r>
          </w:p>
        </w:tc>
        <w:tc>
          <w:tcPr>
            <w:tcW w:w="2268" w:type="dxa"/>
            <w:vAlign w:val="center"/>
          </w:tcPr>
          <w:p w14:paraId="11022219">
            <w:pPr>
              <w:pStyle w:val="13"/>
            </w:pPr>
            <w:r>
              <w:t>≥100%</w:t>
            </w:r>
          </w:p>
        </w:tc>
        <w:tc>
          <w:tcPr>
            <w:tcW w:w="1276" w:type="dxa"/>
            <w:vAlign w:val="center"/>
          </w:tcPr>
          <w:p w14:paraId="7F2871A8">
            <w:pPr>
              <w:pStyle w:val="13"/>
            </w:pPr>
            <w:r>
              <w:t>幼儿资助经费管理办法</w:t>
            </w:r>
          </w:p>
        </w:tc>
      </w:tr>
      <w:tr w14:paraId="3319F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ADB8F"/>
        </w:tc>
        <w:tc>
          <w:tcPr>
            <w:tcW w:w="2268" w:type="dxa"/>
            <w:vAlign w:val="center"/>
          </w:tcPr>
          <w:p w14:paraId="69D8DEB8">
            <w:pPr>
              <w:pStyle w:val="13"/>
            </w:pPr>
            <w:r>
              <w:t>成本指标</w:t>
            </w:r>
          </w:p>
        </w:tc>
        <w:tc>
          <w:tcPr>
            <w:tcW w:w="2835" w:type="dxa"/>
            <w:vAlign w:val="center"/>
          </w:tcPr>
          <w:p w14:paraId="4911BDDF">
            <w:pPr>
              <w:pStyle w:val="13"/>
            </w:pPr>
            <w:r>
              <w:t>幼儿园生均成本</w:t>
            </w:r>
          </w:p>
        </w:tc>
        <w:tc>
          <w:tcPr>
            <w:tcW w:w="5386" w:type="dxa"/>
            <w:vAlign w:val="center"/>
          </w:tcPr>
          <w:p w14:paraId="3FE61EC5">
            <w:pPr>
              <w:pStyle w:val="13"/>
            </w:pPr>
            <w:r>
              <w:t>按照幼儿园资助标准1000元/生/年</w:t>
            </w:r>
          </w:p>
        </w:tc>
        <w:tc>
          <w:tcPr>
            <w:tcW w:w="2268" w:type="dxa"/>
            <w:vAlign w:val="center"/>
          </w:tcPr>
          <w:p w14:paraId="6E22F0A0">
            <w:pPr>
              <w:pStyle w:val="13"/>
            </w:pPr>
            <w:r>
              <w:t>1000元</w:t>
            </w:r>
          </w:p>
        </w:tc>
        <w:tc>
          <w:tcPr>
            <w:tcW w:w="1276" w:type="dxa"/>
            <w:vAlign w:val="center"/>
          </w:tcPr>
          <w:p w14:paraId="25E4BBDA">
            <w:pPr>
              <w:pStyle w:val="13"/>
            </w:pPr>
            <w:r>
              <w:t>幼儿资助经费管理办法</w:t>
            </w:r>
          </w:p>
        </w:tc>
      </w:tr>
      <w:tr w14:paraId="1020A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5A9D43">
            <w:pPr>
              <w:pStyle w:val="12"/>
            </w:pPr>
            <w:r>
              <w:t>效益指标</w:t>
            </w:r>
          </w:p>
        </w:tc>
        <w:tc>
          <w:tcPr>
            <w:tcW w:w="2268" w:type="dxa"/>
            <w:vAlign w:val="center"/>
          </w:tcPr>
          <w:p w14:paraId="585D6DDA">
            <w:pPr>
              <w:pStyle w:val="13"/>
            </w:pPr>
            <w:r>
              <w:t>可持续影响指标</w:t>
            </w:r>
          </w:p>
        </w:tc>
        <w:tc>
          <w:tcPr>
            <w:tcW w:w="2835" w:type="dxa"/>
            <w:vAlign w:val="center"/>
          </w:tcPr>
          <w:p w14:paraId="1864CADA">
            <w:pPr>
              <w:pStyle w:val="13"/>
            </w:pPr>
            <w:r>
              <w:t>幼儿园正常运转</w:t>
            </w:r>
          </w:p>
        </w:tc>
        <w:tc>
          <w:tcPr>
            <w:tcW w:w="5386" w:type="dxa"/>
            <w:vAlign w:val="center"/>
          </w:tcPr>
          <w:p w14:paraId="1661DF6E">
            <w:pPr>
              <w:pStyle w:val="13"/>
            </w:pPr>
            <w:r>
              <w:t>幼儿受教育年限</w:t>
            </w:r>
          </w:p>
        </w:tc>
        <w:tc>
          <w:tcPr>
            <w:tcW w:w="2268" w:type="dxa"/>
            <w:vAlign w:val="center"/>
          </w:tcPr>
          <w:p w14:paraId="0C4C9EDB">
            <w:pPr>
              <w:pStyle w:val="13"/>
            </w:pPr>
            <w:r>
              <w:t>3年</w:t>
            </w:r>
          </w:p>
        </w:tc>
        <w:tc>
          <w:tcPr>
            <w:tcW w:w="1276" w:type="dxa"/>
            <w:vAlign w:val="center"/>
          </w:tcPr>
          <w:p w14:paraId="6C043466">
            <w:pPr>
              <w:pStyle w:val="13"/>
            </w:pPr>
            <w:r>
              <w:t>幼儿资助经费管理办法</w:t>
            </w:r>
          </w:p>
        </w:tc>
      </w:tr>
      <w:tr w14:paraId="26DBF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4DC58C">
            <w:pPr>
              <w:pStyle w:val="12"/>
            </w:pPr>
            <w:r>
              <w:t>满意度指标</w:t>
            </w:r>
          </w:p>
        </w:tc>
        <w:tc>
          <w:tcPr>
            <w:tcW w:w="2268" w:type="dxa"/>
            <w:vAlign w:val="center"/>
          </w:tcPr>
          <w:p w14:paraId="1A218C9A">
            <w:pPr>
              <w:pStyle w:val="13"/>
            </w:pPr>
            <w:r>
              <w:t>服务对象满意度指标</w:t>
            </w:r>
          </w:p>
        </w:tc>
        <w:tc>
          <w:tcPr>
            <w:tcW w:w="2835" w:type="dxa"/>
            <w:vAlign w:val="center"/>
          </w:tcPr>
          <w:p w14:paraId="38F98252">
            <w:pPr>
              <w:pStyle w:val="13"/>
            </w:pPr>
            <w:r>
              <w:t>受益幼儿家长及调查满意度</w:t>
            </w:r>
          </w:p>
        </w:tc>
        <w:tc>
          <w:tcPr>
            <w:tcW w:w="5386" w:type="dxa"/>
            <w:vAlign w:val="center"/>
          </w:tcPr>
          <w:p w14:paraId="2CA19AE0">
            <w:pPr>
              <w:pStyle w:val="13"/>
            </w:pPr>
            <w:r>
              <w:t>学生、教师及家长对学校保教保育工作满意度情况</w:t>
            </w:r>
          </w:p>
        </w:tc>
        <w:tc>
          <w:tcPr>
            <w:tcW w:w="2268" w:type="dxa"/>
            <w:vAlign w:val="center"/>
          </w:tcPr>
          <w:p w14:paraId="5164A9ED">
            <w:pPr>
              <w:pStyle w:val="13"/>
            </w:pPr>
            <w:r>
              <w:t>≥95%</w:t>
            </w:r>
          </w:p>
        </w:tc>
        <w:tc>
          <w:tcPr>
            <w:tcW w:w="1276" w:type="dxa"/>
            <w:vAlign w:val="center"/>
          </w:tcPr>
          <w:p w14:paraId="0164859D">
            <w:pPr>
              <w:pStyle w:val="13"/>
            </w:pPr>
            <w:r>
              <w:t>幼儿资助经费管理办法</w:t>
            </w:r>
          </w:p>
        </w:tc>
      </w:tr>
    </w:tbl>
    <w:p w14:paraId="0660555B">
      <w:pPr>
        <w:sectPr>
          <w:pgSz w:w="16840" w:h="11900" w:orient="landscape"/>
          <w:pgMar w:top="1361" w:right="1020" w:bottom="1134" w:left="1020" w:header="720" w:footer="720" w:gutter="0"/>
          <w:cols w:space="720" w:num="1"/>
        </w:sectPr>
      </w:pPr>
    </w:p>
    <w:p w14:paraId="35947EC3">
      <w:pPr>
        <w:spacing w:before="0" w:after="0"/>
        <w:ind w:firstLine="560"/>
        <w:jc w:val="left"/>
        <w:outlineLvl w:val="9"/>
      </w:pPr>
      <w:r>
        <w:rPr>
          <w:rFonts w:ascii="方正仿宋_GBK" w:hAnsi="方正仿宋_GBK" w:eastAsia="方正仿宋_GBK" w:cs="方正仿宋_GBK"/>
          <w:b/>
          <w:color w:val="000000"/>
          <w:sz w:val="28"/>
        </w:rPr>
        <w:t>21、县级配套/山口校区学前教育幼儿资助绩效目标表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39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57782">
            <w:pPr>
              <w:pStyle w:val="14"/>
            </w:pPr>
            <w:r>
              <w:t>单位：万元</w:t>
            </w:r>
          </w:p>
        </w:tc>
      </w:tr>
      <w:tr w14:paraId="3AE25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8FB60">
            <w:pPr>
              <w:pStyle w:val="11"/>
            </w:pPr>
            <w:r>
              <w:t>项目编码</w:t>
            </w:r>
          </w:p>
        </w:tc>
        <w:tc>
          <w:tcPr>
            <w:tcW w:w="5103" w:type="dxa"/>
            <w:gridSpan w:val="2"/>
            <w:vAlign w:val="center"/>
          </w:tcPr>
          <w:p w14:paraId="749F5E15">
            <w:pPr>
              <w:pStyle w:val="13"/>
            </w:pPr>
            <w:r>
              <w:t>13052525P00000210020C</w:t>
            </w:r>
          </w:p>
        </w:tc>
        <w:tc>
          <w:tcPr>
            <w:tcW w:w="2835" w:type="dxa"/>
            <w:vAlign w:val="center"/>
          </w:tcPr>
          <w:p w14:paraId="4AA4D84F">
            <w:pPr>
              <w:pStyle w:val="11"/>
            </w:pPr>
            <w:r>
              <w:t>项目名称</w:t>
            </w:r>
          </w:p>
        </w:tc>
        <w:tc>
          <w:tcPr>
            <w:tcW w:w="6095" w:type="dxa"/>
            <w:gridSpan w:val="3"/>
            <w:vAlign w:val="center"/>
          </w:tcPr>
          <w:p w14:paraId="74B4B1D9">
            <w:pPr>
              <w:pStyle w:val="13"/>
            </w:pPr>
            <w:r>
              <w:t>县级配套/山口校区学前教育幼儿资助</w:t>
            </w:r>
          </w:p>
        </w:tc>
      </w:tr>
      <w:tr w14:paraId="459C5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C4A9A">
            <w:pPr>
              <w:pStyle w:val="11"/>
            </w:pPr>
            <w:r>
              <w:t>预算规模及资金用途</w:t>
            </w:r>
          </w:p>
        </w:tc>
        <w:tc>
          <w:tcPr>
            <w:tcW w:w="2268" w:type="dxa"/>
            <w:vAlign w:val="center"/>
          </w:tcPr>
          <w:p w14:paraId="282D831A">
            <w:pPr>
              <w:pStyle w:val="11"/>
            </w:pPr>
            <w:r>
              <w:t>预算数</w:t>
            </w:r>
          </w:p>
        </w:tc>
        <w:tc>
          <w:tcPr>
            <w:tcW w:w="2835" w:type="dxa"/>
            <w:vAlign w:val="center"/>
          </w:tcPr>
          <w:p w14:paraId="3232AC62">
            <w:pPr>
              <w:pStyle w:val="13"/>
            </w:pPr>
            <w:r>
              <w:t>0.80</w:t>
            </w:r>
          </w:p>
        </w:tc>
        <w:tc>
          <w:tcPr>
            <w:tcW w:w="2835" w:type="dxa"/>
            <w:vAlign w:val="center"/>
          </w:tcPr>
          <w:p w14:paraId="5F90A417">
            <w:pPr>
              <w:pStyle w:val="11"/>
            </w:pPr>
            <w:r>
              <w:t>其中：财政    资金</w:t>
            </w:r>
          </w:p>
        </w:tc>
        <w:tc>
          <w:tcPr>
            <w:tcW w:w="2551" w:type="dxa"/>
            <w:vAlign w:val="center"/>
          </w:tcPr>
          <w:p w14:paraId="1755C5B2">
            <w:pPr>
              <w:pStyle w:val="13"/>
            </w:pPr>
            <w:r>
              <w:t>0.80</w:t>
            </w:r>
          </w:p>
        </w:tc>
        <w:tc>
          <w:tcPr>
            <w:tcW w:w="2268" w:type="dxa"/>
            <w:vAlign w:val="center"/>
          </w:tcPr>
          <w:p w14:paraId="0413E561">
            <w:pPr>
              <w:pStyle w:val="11"/>
            </w:pPr>
            <w:r>
              <w:t>其他资金</w:t>
            </w:r>
          </w:p>
        </w:tc>
        <w:tc>
          <w:tcPr>
            <w:tcW w:w="1276" w:type="dxa"/>
            <w:vAlign w:val="center"/>
          </w:tcPr>
          <w:p w14:paraId="382259A6">
            <w:pPr>
              <w:pStyle w:val="13"/>
            </w:pPr>
            <w:r>
              <w:t xml:space="preserve"> </w:t>
            </w:r>
          </w:p>
        </w:tc>
      </w:tr>
      <w:tr w14:paraId="14A4A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907E9F"/>
        </w:tc>
        <w:tc>
          <w:tcPr>
            <w:tcW w:w="14033" w:type="dxa"/>
            <w:gridSpan w:val="6"/>
            <w:vAlign w:val="center"/>
          </w:tcPr>
          <w:p w14:paraId="34E9B280">
            <w:pPr>
              <w:pStyle w:val="13"/>
            </w:pPr>
            <w:r>
              <w:t>用于保障落实建档立卡及家庭经济困难儿童资助所需资金，确保建档立卡等家庭经济困难幼儿优先获得资助</w:t>
            </w:r>
          </w:p>
        </w:tc>
      </w:tr>
      <w:tr w14:paraId="402C3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8F08A">
            <w:pPr>
              <w:pStyle w:val="11"/>
            </w:pPr>
            <w:r>
              <w:t>资金支出计划（%）</w:t>
            </w:r>
          </w:p>
        </w:tc>
        <w:tc>
          <w:tcPr>
            <w:tcW w:w="5103" w:type="dxa"/>
            <w:gridSpan w:val="2"/>
            <w:vAlign w:val="center"/>
          </w:tcPr>
          <w:p w14:paraId="01784247">
            <w:pPr>
              <w:pStyle w:val="11"/>
            </w:pPr>
            <w:r>
              <w:t>3月底</w:t>
            </w:r>
          </w:p>
        </w:tc>
        <w:tc>
          <w:tcPr>
            <w:tcW w:w="2835" w:type="dxa"/>
            <w:vAlign w:val="center"/>
          </w:tcPr>
          <w:p w14:paraId="71F197CB">
            <w:pPr>
              <w:pStyle w:val="11"/>
            </w:pPr>
            <w:r>
              <w:t>6月底</w:t>
            </w:r>
          </w:p>
        </w:tc>
        <w:tc>
          <w:tcPr>
            <w:tcW w:w="2551" w:type="dxa"/>
            <w:vAlign w:val="center"/>
          </w:tcPr>
          <w:p w14:paraId="49F65672">
            <w:pPr>
              <w:pStyle w:val="11"/>
            </w:pPr>
            <w:r>
              <w:t>10月底</w:t>
            </w:r>
          </w:p>
        </w:tc>
        <w:tc>
          <w:tcPr>
            <w:tcW w:w="3544" w:type="dxa"/>
            <w:gridSpan w:val="2"/>
            <w:vAlign w:val="center"/>
          </w:tcPr>
          <w:p w14:paraId="1D158ACF">
            <w:pPr>
              <w:pStyle w:val="11"/>
            </w:pPr>
            <w:r>
              <w:t>12月底</w:t>
            </w:r>
          </w:p>
        </w:tc>
      </w:tr>
      <w:tr w14:paraId="61294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0DD17A"/>
        </w:tc>
        <w:tc>
          <w:tcPr>
            <w:tcW w:w="5103" w:type="dxa"/>
            <w:gridSpan w:val="2"/>
            <w:vAlign w:val="center"/>
          </w:tcPr>
          <w:p w14:paraId="43716157">
            <w:pPr>
              <w:pStyle w:val="12"/>
            </w:pPr>
            <w:r>
              <w:t xml:space="preserve"> </w:t>
            </w:r>
          </w:p>
        </w:tc>
        <w:tc>
          <w:tcPr>
            <w:tcW w:w="2835" w:type="dxa"/>
            <w:vAlign w:val="center"/>
          </w:tcPr>
          <w:p w14:paraId="09E4E63F">
            <w:pPr>
              <w:pStyle w:val="12"/>
            </w:pPr>
            <w:r>
              <w:t>50%</w:t>
            </w:r>
          </w:p>
        </w:tc>
        <w:tc>
          <w:tcPr>
            <w:tcW w:w="2551" w:type="dxa"/>
            <w:vAlign w:val="center"/>
          </w:tcPr>
          <w:p w14:paraId="18F2AF8C">
            <w:pPr>
              <w:pStyle w:val="12"/>
            </w:pPr>
            <w:r>
              <w:t>100%</w:t>
            </w:r>
          </w:p>
        </w:tc>
        <w:tc>
          <w:tcPr>
            <w:tcW w:w="3544" w:type="dxa"/>
            <w:gridSpan w:val="2"/>
            <w:vAlign w:val="center"/>
          </w:tcPr>
          <w:p w14:paraId="22BA4BAC">
            <w:pPr>
              <w:pStyle w:val="12"/>
            </w:pPr>
            <w:r>
              <w:t>100%</w:t>
            </w:r>
          </w:p>
        </w:tc>
      </w:tr>
      <w:tr w14:paraId="23C31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F2FB1">
            <w:pPr>
              <w:pStyle w:val="11"/>
            </w:pPr>
            <w:r>
              <w:t>绩效目标</w:t>
            </w:r>
          </w:p>
        </w:tc>
        <w:tc>
          <w:tcPr>
            <w:tcW w:w="14033" w:type="dxa"/>
            <w:gridSpan w:val="6"/>
            <w:vAlign w:val="center"/>
          </w:tcPr>
          <w:p w14:paraId="7A73481C">
            <w:pPr>
              <w:pStyle w:val="13"/>
            </w:pPr>
            <w:r>
              <w:t>1.减轻学前受教育幼儿家庭经济负担，提高学前幼儿入学率。</w:t>
            </w:r>
          </w:p>
          <w:p w14:paraId="11FA597D">
            <w:pPr>
              <w:pStyle w:val="13"/>
            </w:pPr>
            <w:r>
              <w:t>2.保障落实建档立卡及家庭经济困难儿童资助所需资金，确保建档立卡等家庭经济困难幼儿优先获得资助</w:t>
            </w:r>
          </w:p>
        </w:tc>
      </w:tr>
    </w:tbl>
    <w:p w14:paraId="72DDE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D7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9CA05">
            <w:pPr>
              <w:pStyle w:val="11"/>
            </w:pPr>
            <w:r>
              <w:t>一级指标</w:t>
            </w:r>
          </w:p>
        </w:tc>
        <w:tc>
          <w:tcPr>
            <w:tcW w:w="2268" w:type="dxa"/>
            <w:vAlign w:val="center"/>
          </w:tcPr>
          <w:p w14:paraId="69D25B8E">
            <w:pPr>
              <w:pStyle w:val="11"/>
            </w:pPr>
            <w:r>
              <w:t>二级指标</w:t>
            </w:r>
          </w:p>
        </w:tc>
        <w:tc>
          <w:tcPr>
            <w:tcW w:w="2835" w:type="dxa"/>
            <w:vAlign w:val="center"/>
          </w:tcPr>
          <w:p w14:paraId="2C0B1C5C">
            <w:pPr>
              <w:pStyle w:val="11"/>
            </w:pPr>
            <w:r>
              <w:t>三级指标</w:t>
            </w:r>
          </w:p>
        </w:tc>
        <w:tc>
          <w:tcPr>
            <w:tcW w:w="5386" w:type="dxa"/>
            <w:vAlign w:val="center"/>
          </w:tcPr>
          <w:p w14:paraId="6D1308D7">
            <w:pPr>
              <w:pStyle w:val="11"/>
            </w:pPr>
            <w:r>
              <w:t>绩效指标描述</w:t>
            </w:r>
          </w:p>
        </w:tc>
        <w:tc>
          <w:tcPr>
            <w:tcW w:w="2268" w:type="dxa"/>
            <w:vAlign w:val="center"/>
          </w:tcPr>
          <w:p w14:paraId="277222A0">
            <w:pPr>
              <w:pStyle w:val="11"/>
            </w:pPr>
            <w:r>
              <w:t>指标值</w:t>
            </w:r>
          </w:p>
        </w:tc>
        <w:tc>
          <w:tcPr>
            <w:tcW w:w="1276" w:type="dxa"/>
            <w:vAlign w:val="center"/>
          </w:tcPr>
          <w:p w14:paraId="00EAC5F6">
            <w:pPr>
              <w:pStyle w:val="11"/>
            </w:pPr>
            <w:r>
              <w:t>指标值确定依据</w:t>
            </w:r>
          </w:p>
        </w:tc>
      </w:tr>
      <w:tr w14:paraId="3EB9E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2D18A">
            <w:pPr>
              <w:pStyle w:val="12"/>
            </w:pPr>
            <w:r>
              <w:t>产出指标</w:t>
            </w:r>
          </w:p>
        </w:tc>
        <w:tc>
          <w:tcPr>
            <w:tcW w:w="2268" w:type="dxa"/>
            <w:vAlign w:val="center"/>
          </w:tcPr>
          <w:p w14:paraId="1AB3DE6C">
            <w:pPr>
              <w:pStyle w:val="13"/>
            </w:pPr>
            <w:r>
              <w:t>数量指标</w:t>
            </w:r>
          </w:p>
        </w:tc>
        <w:tc>
          <w:tcPr>
            <w:tcW w:w="2835" w:type="dxa"/>
            <w:vAlign w:val="center"/>
          </w:tcPr>
          <w:p w14:paraId="69116C7E">
            <w:pPr>
              <w:pStyle w:val="13"/>
            </w:pPr>
            <w:r>
              <w:t>幼儿资助比例</w:t>
            </w:r>
          </w:p>
        </w:tc>
        <w:tc>
          <w:tcPr>
            <w:tcW w:w="5386" w:type="dxa"/>
            <w:vAlign w:val="center"/>
          </w:tcPr>
          <w:p w14:paraId="3043DB0D">
            <w:pPr>
              <w:pStyle w:val="13"/>
            </w:pPr>
            <w:r>
              <w:t>按学前适龄在园儿童实际需资助人数测算</w:t>
            </w:r>
          </w:p>
        </w:tc>
        <w:tc>
          <w:tcPr>
            <w:tcW w:w="2268" w:type="dxa"/>
            <w:vAlign w:val="center"/>
          </w:tcPr>
          <w:p w14:paraId="3966137A">
            <w:pPr>
              <w:pStyle w:val="13"/>
            </w:pPr>
            <w:r>
              <w:t>40人</w:t>
            </w:r>
          </w:p>
        </w:tc>
        <w:tc>
          <w:tcPr>
            <w:tcW w:w="1276" w:type="dxa"/>
            <w:vAlign w:val="center"/>
          </w:tcPr>
          <w:p w14:paraId="5715336D">
            <w:pPr>
              <w:pStyle w:val="13"/>
            </w:pPr>
            <w:r>
              <w:t>发展学前教育资金管理办法</w:t>
            </w:r>
          </w:p>
        </w:tc>
      </w:tr>
      <w:tr w14:paraId="5466A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CCB12"/>
        </w:tc>
        <w:tc>
          <w:tcPr>
            <w:tcW w:w="2268" w:type="dxa"/>
            <w:vAlign w:val="center"/>
          </w:tcPr>
          <w:p w14:paraId="62F1DEA7">
            <w:pPr>
              <w:pStyle w:val="13"/>
            </w:pPr>
            <w:r>
              <w:t>质量指标</w:t>
            </w:r>
          </w:p>
        </w:tc>
        <w:tc>
          <w:tcPr>
            <w:tcW w:w="2835" w:type="dxa"/>
            <w:vAlign w:val="center"/>
          </w:tcPr>
          <w:p w14:paraId="1ED6F512">
            <w:pPr>
              <w:pStyle w:val="13"/>
            </w:pPr>
            <w:r>
              <w:t>学前教育资助制度落实情况</w:t>
            </w:r>
          </w:p>
        </w:tc>
        <w:tc>
          <w:tcPr>
            <w:tcW w:w="5386" w:type="dxa"/>
            <w:vAlign w:val="center"/>
          </w:tcPr>
          <w:p w14:paraId="1C055E14">
            <w:pPr>
              <w:pStyle w:val="13"/>
            </w:pPr>
            <w:r>
              <w:t>符合享受资助条件的学生覆盖率</w:t>
            </w:r>
          </w:p>
        </w:tc>
        <w:tc>
          <w:tcPr>
            <w:tcW w:w="2268" w:type="dxa"/>
            <w:vAlign w:val="center"/>
          </w:tcPr>
          <w:p w14:paraId="340AC8B2">
            <w:pPr>
              <w:pStyle w:val="13"/>
            </w:pPr>
            <w:r>
              <w:t>≥100%</w:t>
            </w:r>
          </w:p>
        </w:tc>
        <w:tc>
          <w:tcPr>
            <w:tcW w:w="1276" w:type="dxa"/>
            <w:vAlign w:val="center"/>
          </w:tcPr>
          <w:p w14:paraId="68B29CBB">
            <w:pPr>
              <w:pStyle w:val="13"/>
            </w:pPr>
            <w:r>
              <w:t>发展学前教育资金管理办法</w:t>
            </w:r>
          </w:p>
        </w:tc>
      </w:tr>
      <w:tr w14:paraId="1782C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623F1"/>
        </w:tc>
        <w:tc>
          <w:tcPr>
            <w:tcW w:w="2268" w:type="dxa"/>
            <w:vAlign w:val="center"/>
          </w:tcPr>
          <w:p w14:paraId="6602A50E">
            <w:pPr>
              <w:pStyle w:val="13"/>
            </w:pPr>
            <w:r>
              <w:t>时效指标</w:t>
            </w:r>
          </w:p>
        </w:tc>
        <w:tc>
          <w:tcPr>
            <w:tcW w:w="2835" w:type="dxa"/>
            <w:vAlign w:val="center"/>
          </w:tcPr>
          <w:p w14:paraId="769C2B8C">
            <w:pPr>
              <w:pStyle w:val="13"/>
            </w:pPr>
            <w:r>
              <w:t>资金拨付率</w:t>
            </w:r>
          </w:p>
        </w:tc>
        <w:tc>
          <w:tcPr>
            <w:tcW w:w="5386" w:type="dxa"/>
            <w:vAlign w:val="center"/>
          </w:tcPr>
          <w:p w14:paraId="1C191E76">
            <w:pPr>
              <w:pStyle w:val="13"/>
            </w:pPr>
            <w:r>
              <w:t>按进度进行资金支付</w:t>
            </w:r>
          </w:p>
        </w:tc>
        <w:tc>
          <w:tcPr>
            <w:tcW w:w="2268" w:type="dxa"/>
            <w:vAlign w:val="center"/>
          </w:tcPr>
          <w:p w14:paraId="558F22FB">
            <w:pPr>
              <w:pStyle w:val="13"/>
            </w:pPr>
            <w:r>
              <w:t>≥100%</w:t>
            </w:r>
          </w:p>
        </w:tc>
        <w:tc>
          <w:tcPr>
            <w:tcW w:w="1276" w:type="dxa"/>
            <w:vAlign w:val="center"/>
          </w:tcPr>
          <w:p w14:paraId="035D2EAB">
            <w:pPr>
              <w:pStyle w:val="13"/>
            </w:pPr>
            <w:r>
              <w:t>发展学前教育资金管理办法</w:t>
            </w:r>
          </w:p>
        </w:tc>
      </w:tr>
      <w:tr w14:paraId="16B7D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942C4"/>
        </w:tc>
        <w:tc>
          <w:tcPr>
            <w:tcW w:w="2268" w:type="dxa"/>
            <w:vAlign w:val="center"/>
          </w:tcPr>
          <w:p w14:paraId="016B1F60">
            <w:pPr>
              <w:pStyle w:val="13"/>
            </w:pPr>
            <w:r>
              <w:t>成本指标</w:t>
            </w:r>
          </w:p>
        </w:tc>
        <w:tc>
          <w:tcPr>
            <w:tcW w:w="2835" w:type="dxa"/>
            <w:vAlign w:val="center"/>
          </w:tcPr>
          <w:p w14:paraId="4075AE6F">
            <w:pPr>
              <w:pStyle w:val="13"/>
            </w:pPr>
            <w:r>
              <w:t>生均拨款标准</w:t>
            </w:r>
          </w:p>
        </w:tc>
        <w:tc>
          <w:tcPr>
            <w:tcW w:w="5386" w:type="dxa"/>
            <w:vAlign w:val="center"/>
          </w:tcPr>
          <w:p w14:paraId="3FCFE6C7">
            <w:pPr>
              <w:pStyle w:val="13"/>
            </w:pPr>
            <w:r>
              <w:t>按规定标准落实</w:t>
            </w:r>
          </w:p>
        </w:tc>
        <w:tc>
          <w:tcPr>
            <w:tcW w:w="2268" w:type="dxa"/>
            <w:vAlign w:val="center"/>
          </w:tcPr>
          <w:p w14:paraId="564C78CB">
            <w:pPr>
              <w:pStyle w:val="13"/>
            </w:pPr>
            <w:r>
              <w:t>500元/生/半年</w:t>
            </w:r>
          </w:p>
        </w:tc>
        <w:tc>
          <w:tcPr>
            <w:tcW w:w="1276" w:type="dxa"/>
            <w:vAlign w:val="center"/>
          </w:tcPr>
          <w:p w14:paraId="68D0F305">
            <w:pPr>
              <w:pStyle w:val="13"/>
            </w:pPr>
            <w:r>
              <w:t>发展学前教育资金管理办法</w:t>
            </w:r>
          </w:p>
        </w:tc>
      </w:tr>
      <w:tr w14:paraId="5431D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F003F0">
            <w:pPr>
              <w:pStyle w:val="12"/>
            </w:pPr>
            <w:r>
              <w:t>效益指标</w:t>
            </w:r>
          </w:p>
        </w:tc>
        <w:tc>
          <w:tcPr>
            <w:tcW w:w="2268" w:type="dxa"/>
            <w:vAlign w:val="center"/>
          </w:tcPr>
          <w:p w14:paraId="1AD2C54E">
            <w:pPr>
              <w:pStyle w:val="13"/>
            </w:pPr>
            <w:r>
              <w:t>可持续影响指标</w:t>
            </w:r>
          </w:p>
        </w:tc>
        <w:tc>
          <w:tcPr>
            <w:tcW w:w="2835" w:type="dxa"/>
            <w:vAlign w:val="center"/>
          </w:tcPr>
          <w:p w14:paraId="070194E8">
            <w:pPr>
              <w:pStyle w:val="13"/>
            </w:pPr>
            <w:r>
              <w:t>教育发展水平明显好转</w:t>
            </w:r>
          </w:p>
        </w:tc>
        <w:tc>
          <w:tcPr>
            <w:tcW w:w="5386" w:type="dxa"/>
            <w:vAlign w:val="center"/>
          </w:tcPr>
          <w:p w14:paraId="7D6E37E6">
            <w:pPr>
              <w:pStyle w:val="13"/>
            </w:pPr>
            <w:r>
              <w:t>幼儿受教育年限</w:t>
            </w:r>
          </w:p>
        </w:tc>
        <w:tc>
          <w:tcPr>
            <w:tcW w:w="2268" w:type="dxa"/>
            <w:vAlign w:val="center"/>
          </w:tcPr>
          <w:p w14:paraId="62E78941">
            <w:pPr>
              <w:pStyle w:val="13"/>
            </w:pPr>
            <w:r>
              <w:t>3年</w:t>
            </w:r>
          </w:p>
        </w:tc>
        <w:tc>
          <w:tcPr>
            <w:tcW w:w="1276" w:type="dxa"/>
            <w:vAlign w:val="center"/>
          </w:tcPr>
          <w:p w14:paraId="43C7BFB8">
            <w:pPr>
              <w:pStyle w:val="13"/>
            </w:pPr>
            <w:r>
              <w:t>发展学前教育资金管理办法</w:t>
            </w:r>
          </w:p>
        </w:tc>
      </w:tr>
      <w:tr w14:paraId="15FCE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4E9A2D">
            <w:pPr>
              <w:pStyle w:val="12"/>
            </w:pPr>
            <w:r>
              <w:t>满意度指标</w:t>
            </w:r>
          </w:p>
        </w:tc>
        <w:tc>
          <w:tcPr>
            <w:tcW w:w="2268" w:type="dxa"/>
            <w:vAlign w:val="center"/>
          </w:tcPr>
          <w:p w14:paraId="6CCB385A">
            <w:pPr>
              <w:pStyle w:val="13"/>
            </w:pPr>
            <w:r>
              <w:t>服务对象满意度指标</w:t>
            </w:r>
          </w:p>
        </w:tc>
        <w:tc>
          <w:tcPr>
            <w:tcW w:w="2835" w:type="dxa"/>
            <w:vAlign w:val="center"/>
          </w:tcPr>
          <w:p w14:paraId="171713B0">
            <w:pPr>
              <w:pStyle w:val="13"/>
            </w:pPr>
            <w:r>
              <w:t>受益幼儿家长及调查满意度</w:t>
            </w:r>
          </w:p>
        </w:tc>
        <w:tc>
          <w:tcPr>
            <w:tcW w:w="5386" w:type="dxa"/>
            <w:vAlign w:val="center"/>
          </w:tcPr>
          <w:p w14:paraId="325499E4">
            <w:pPr>
              <w:pStyle w:val="13"/>
            </w:pPr>
            <w:r>
              <w:t>学生、教师及家长对学校保教保育工作满意度情况</w:t>
            </w:r>
          </w:p>
        </w:tc>
        <w:tc>
          <w:tcPr>
            <w:tcW w:w="2268" w:type="dxa"/>
            <w:vAlign w:val="center"/>
          </w:tcPr>
          <w:p w14:paraId="58697DD3">
            <w:pPr>
              <w:pStyle w:val="13"/>
            </w:pPr>
            <w:r>
              <w:t>≥95%</w:t>
            </w:r>
          </w:p>
        </w:tc>
        <w:tc>
          <w:tcPr>
            <w:tcW w:w="1276" w:type="dxa"/>
            <w:vAlign w:val="center"/>
          </w:tcPr>
          <w:p w14:paraId="12765101">
            <w:pPr>
              <w:pStyle w:val="13"/>
            </w:pPr>
            <w:r>
              <w:t>调查问卷</w:t>
            </w:r>
          </w:p>
        </w:tc>
      </w:tr>
    </w:tbl>
    <w:p w14:paraId="6E00D6E3">
      <w:pPr>
        <w:sectPr>
          <w:pgSz w:w="16840" w:h="11900" w:orient="landscape"/>
          <w:pgMar w:top="1361" w:right="1020" w:bottom="1134" w:left="1020" w:header="720" w:footer="720" w:gutter="0"/>
          <w:cols w:space="720" w:num="1"/>
        </w:sectPr>
      </w:pPr>
    </w:p>
    <w:p w14:paraId="6098EDAA">
      <w:pPr>
        <w:spacing w:before="0" w:after="0"/>
        <w:ind w:firstLine="560"/>
        <w:jc w:val="left"/>
        <w:outlineLvl w:val="9"/>
      </w:pPr>
      <w:r>
        <w:rPr>
          <w:rFonts w:ascii="方正仿宋_GBK" w:hAnsi="方正仿宋_GBK" w:eastAsia="方正仿宋_GBK" w:cs="方正仿宋_GBK"/>
          <w:b/>
          <w:color w:val="000000"/>
          <w:sz w:val="28"/>
        </w:rPr>
        <w:t>22、县级资金/山口校区幼儿园公用经费绩效目标表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D1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3F26A">
            <w:pPr>
              <w:pStyle w:val="14"/>
            </w:pPr>
            <w:r>
              <w:t>单位：万元</w:t>
            </w:r>
          </w:p>
        </w:tc>
      </w:tr>
      <w:tr w14:paraId="7B770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6ED7C">
            <w:pPr>
              <w:pStyle w:val="11"/>
            </w:pPr>
            <w:r>
              <w:t>项目编码</w:t>
            </w:r>
          </w:p>
        </w:tc>
        <w:tc>
          <w:tcPr>
            <w:tcW w:w="5103" w:type="dxa"/>
            <w:gridSpan w:val="2"/>
            <w:vAlign w:val="center"/>
          </w:tcPr>
          <w:p w14:paraId="6481DC6F">
            <w:pPr>
              <w:pStyle w:val="13"/>
            </w:pPr>
            <w:r>
              <w:t>13052524P00875610078U</w:t>
            </w:r>
          </w:p>
        </w:tc>
        <w:tc>
          <w:tcPr>
            <w:tcW w:w="2835" w:type="dxa"/>
            <w:vAlign w:val="center"/>
          </w:tcPr>
          <w:p w14:paraId="70D46DC0">
            <w:pPr>
              <w:pStyle w:val="11"/>
            </w:pPr>
            <w:r>
              <w:t>项目名称</w:t>
            </w:r>
          </w:p>
        </w:tc>
        <w:tc>
          <w:tcPr>
            <w:tcW w:w="6095" w:type="dxa"/>
            <w:gridSpan w:val="3"/>
            <w:vAlign w:val="center"/>
          </w:tcPr>
          <w:p w14:paraId="02622BB2">
            <w:pPr>
              <w:pStyle w:val="13"/>
            </w:pPr>
            <w:r>
              <w:t>县级资金/山口校区幼儿园公用经费</w:t>
            </w:r>
          </w:p>
        </w:tc>
      </w:tr>
      <w:tr w14:paraId="6E240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E967B">
            <w:pPr>
              <w:pStyle w:val="11"/>
            </w:pPr>
            <w:r>
              <w:t>预算规模及资金用途</w:t>
            </w:r>
          </w:p>
        </w:tc>
        <w:tc>
          <w:tcPr>
            <w:tcW w:w="2268" w:type="dxa"/>
            <w:vAlign w:val="center"/>
          </w:tcPr>
          <w:p w14:paraId="75A9564E">
            <w:pPr>
              <w:pStyle w:val="11"/>
            </w:pPr>
            <w:r>
              <w:t>预算数</w:t>
            </w:r>
          </w:p>
        </w:tc>
        <w:tc>
          <w:tcPr>
            <w:tcW w:w="2835" w:type="dxa"/>
            <w:vAlign w:val="center"/>
          </w:tcPr>
          <w:p w14:paraId="6798C0CC">
            <w:pPr>
              <w:pStyle w:val="13"/>
            </w:pPr>
            <w:r>
              <w:t>24.66</w:t>
            </w:r>
          </w:p>
        </w:tc>
        <w:tc>
          <w:tcPr>
            <w:tcW w:w="2835" w:type="dxa"/>
            <w:vAlign w:val="center"/>
          </w:tcPr>
          <w:p w14:paraId="3352FE85">
            <w:pPr>
              <w:pStyle w:val="11"/>
            </w:pPr>
            <w:r>
              <w:t>其中：财政    资金</w:t>
            </w:r>
          </w:p>
        </w:tc>
        <w:tc>
          <w:tcPr>
            <w:tcW w:w="2551" w:type="dxa"/>
            <w:vAlign w:val="center"/>
          </w:tcPr>
          <w:p w14:paraId="5692A540">
            <w:pPr>
              <w:pStyle w:val="13"/>
            </w:pPr>
            <w:r>
              <w:t>24.66</w:t>
            </w:r>
          </w:p>
        </w:tc>
        <w:tc>
          <w:tcPr>
            <w:tcW w:w="2268" w:type="dxa"/>
            <w:vAlign w:val="center"/>
          </w:tcPr>
          <w:p w14:paraId="1E898EF1">
            <w:pPr>
              <w:pStyle w:val="11"/>
            </w:pPr>
            <w:r>
              <w:t>其他资金</w:t>
            </w:r>
          </w:p>
        </w:tc>
        <w:tc>
          <w:tcPr>
            <w:tcW w:w="1276" w:type="dxa"/>
            <w:vAlign w:val="center"/>
          </w:tcPr>
          <w:p w14:paraId="64342522">
            <w:pPr>
              <w:pStyle w:val="13"/>
            </w:pPr>
            <w:r>
              <w:t xml:space="preserve"> </w:t>
            </w:r>
          </w:p>
        </w:tc>
      </w:tr>
      <w:tr w14:paraId="4383D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BFF197"/>
        </w:tc>
        <w:tc>
          <w:tcPr>
            <w:tcW w:w="14033" w:type="dxa"/>
            <w:gridSpan w:val="6"/>
            <w:vAlign w:val="center"/>
          </w:tcPr>
          <w:p w14:paraId="67EF8171">
            <w:pPr>
              <w:pStyle w:val="13"/>
            </w:pPr>
            <w:r>
              <w:t>用于保障幼儿园正常运转，完成教育教学活动和其他日常工作任务等方面的费用支出。</w:t>
            </w:r>
          </w:p>
        </w:tc>
      </w:tr>
      <w:tr w14:paraId="06666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996B5">
            <w:pPr>
              <w:pStyle w:val="11"/>
            </w:pPr>
            <w:r>
              <w:t>资金支出计划（%）</w:t>
            </w:r>
          </w:p>
        </w:tc>
        <w:tc>
          <w:tcPr>
            <w:tcW w:w="5103" w:type="dxa"/>
            <w:gridSpan w:val="2"/>
            <w:vAlign w:val="center"/>
          </w:tcPr>
          <w:p w14:paraId="137ECC7A">
            <w:pPr>
              <w:pStyle w:val="11"/>
            </w:pPr>
            <w:r>
              <w:t>3月底</w:t>
            </w:r>
          </w:p>
        </w:tc>
        <w:tc>
          <w:tcPr>
            <w:tcW w:w="2835" w:type="dxa"/>
            <w:vAlign w:val="center"/>
          </w:tcPr>
          <w:p w14:paraId="261DFA4E">
            <w:pPr>
              <w:pStyle w:val="11"/>
            </w:pPr>
            <w:r>
              <w:t>6月底</w:t>
            </w:r>
          </w:p>
        </w:tc>
        <w:tc>
          <w:tcPr>
            <w:tcW w:w="2551" w:type="dxa"/>
            <w:vAlign w:val="center"/>
          </w:tcPr>
          <w:p w14:paraId="22839282">
            <w:pPr>
              <w:pStyle w:val="11"/>
            </w:pPr>
            <w:r>
              <w:t>10月底</w:t>
            </w:r>
          </w:p>
        </w:tc>
        <w:tc>
          <w:tcPr>
            <w:tcW w:w="3544" w:type="dxa"/>
            <w:gridSpan w:val="2"/>
            <w:vAlign w:val="center"/>
          </w:tcPr>
          <w:p w14:paraId="29C34D2A">
            <w:pPr>
              <w:pStyle w:val="11"/>
            </w:pPr>
            <w:r>
              <w:t>12月底</w:t>
            </w:r>
          </w:p>
        </w:tc>
      </w:tr>
      <w:tr w14:paraId="508A4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C3F05"/>
        </w:tc>
        <w:tc>
          <w:tcPr>
            <w:tcW w:w="5103" w:type="dxa"/>
            <w:gridSpan w:val="2"/>
            <w:vAlign w:val="center"/>
          </w:tcPr>
          <w:p w14:paraId="4EDBD67B">
            <w:pPr>
              <w:pStyle w:val="12"/>
            </w:pPr>
            <w:r>
              <w:t>25%</w:t>
            </w:r>
          </w:p>
        </w:tc>
        <w:tc>
          <w:tcPr>
            <w:tcW w:w="2835" w:type="dxa"/>
            <w:vAlign w:val="center"/>
          </w:tcPr>
          <w:p w14:paraId="1C93886C">
            <w:pPr>
              <w:pStyle w:val="12"/>
            </w:pPr>
            <w:r>
              <w:t>50%</w:t>
            </w:r>
          </w:p>
        </w:tc>
        <w:tc>
          <w:tcPr>
            <w:tcW w:w="2551" w:type="dxa"/>
            <w:vAlign w:val="center"/>
          </w:tcPr>
          <w:p w14:paraId="1D4961ED">
            <w:pPr>
              <w:pStyle w:val="12"/>
            </w:pPr>
            <w:r>
              <w:t>75%</w:t>
            </w:r>
          </w:p>
        </w:tc>
        <w:tc>
          <w:tcPr>
            <w:tcW w:w="3544" w:type="dxa"/>
            <w:gridSpan w:val="2"/>
            <w:vAlign w:val="center"/>
          </w:tcPr>
          <w:p w14:paraId="465DB1C6">
            <w:pPr>
              <w:pStyle w:val="12"/>
            </w:pPr>
            <w:r>
              <w:t>100%</w:t>
            </w:r>
          </w:p>
        </w:tc>
      </w:tr>
      <w:tr w14:paraId="171BD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3ECCB5">
            <w:pPr>
              <w:pStyle w:val="11"/>
            </w:pPr>
            <w:r>
              <w:t>绩效目标</w:t>
            </w:r>
          </w:p>
        </w:tc>
        <w:tc>
          <w:tcPr>
            <w:tcW w:w="14033" w:type="dxa"/>
            <w:gridSpan w:val="6"/>
            <w:vAlign w:val="center"/>
          </w:tcPr>
          <w:p w14:paraId="482EDE85">
            <w:pPr>
              <w:pStyle w:val="13"/>
            </w:pPr>
            <w:r>
              <w:t>1.按季度分批次拨付公用经费资金，资金拨付率达到100%。</w:t>
            </w:r>
          </w:p>
          <w:p w14:paraId="115F1E5B">
            <w:pPr>
              <w:pStyle w:val="13"/>
            </w:pPr>
            <w:r>
              <w:t>2.保障幼儿园正常运转，完成教育教学活动和其他日常工作任务等方面的费用支出。</w:t>
            </w:r>
          </w:p>
        </w:tc>
      </w:tr>
    </w:tbl>
    <w:p w14:paraId="36AA69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14:paraId="6E90D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AEA4F">
            <w:pPr>
              <w:pStyle w:val="11"/>
            </w:pPr>
            <w:r>
              <w:t>一级指标</w:t>
            </w:r>
          </w:p>
        </w:tc>
        <w:tc>
          <w:tcPr>
            <w:tcW w:w="2268" w:type="dxa"/>
            <w:vAlign w:val="center"/>
          </w:tcPr>
          <w:p w14:paraId="39B5FFA7">
            <w:pPr>
              <w:pStyle w:val="11"/>
            </w:pPr>
            <w:r>
              <w:t>二级指标</w:t>
            </w:r>
          </w:p>
        </w:tc>
        <w:tc>
          <w:tcPr>
            <w:tcW w:w="2835" w:type="dxa"/>
            <w:vAlign w:val="center"/>
          </w:tcPr>
          <w:p w14:paraId="71B37A63">
            <w:pPr>
              <w:pStyle w:val="11"/>
            </w:pPr>
            <w:r>
              <w:t>三级指标</w:t>
            </w:r>
          </w:p>
        </w:tc>
        <w:tc>
          <w:tcPr>
            <w:tcW w:w="5386" w:type="dxa"/>
            <w:vAlign w:val="center"/>
          </w:tcPr>
          <w:p w14:paraId="4D3C1D58">
            <w:pPr>
              <w:pStyle w:val="11"/>
            </w:pPr>
            <w:r>
              <w:t>绩效指标描述</w:t>
            </w:r>
          </w:p>
        </w:tc>
        <w:tc>
          <w:tcPr>
            <w:tcW w:w="1988" w:type="dxa"/>
            <w:vAlign w:val="center"/>
          </w:tcPr>
          <w:p w14:paraId="685493D0">
            <w:pPr>
              <w:pStyle w:val="11"/>
            </w:pPr>
            <w:r>
              <w:t>指标值</w:t>
            </w:r>
          </w:p>
        </w:tc>
        <w:tc>
          <w:tcPr>
            <w:tcW w:w="1556" w:type="dxa"/>
            <w:vAlign w:val="center"/>
          </w:tcPr>
          <w:p w14:paraId="3B0469A8">
            <w:pPr>
              <w:pStyle w:val="11"/>
            </w:pPr>
            <w:r>
              <w:t>指标值确定依据</w:t>
            </w:r>
          </w:p>
        </w:tc>
      </w:tr>
      <w:tr w14:paraId="0C56F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29D7B">
            <w:pPr>
              <w:pStyle w:val="12"/>
            </w:pPr>
            <w:r>
              <w:t>产出指标</w:t>
            </w:r>
          </w:p>
        </w:tc>
        <w:tc>
          <w:tcPr>
            <w:tcW w:w="2268" w:type="dxa"/>
            <w:vAlign w:val="center"/>
          </w:tcPr>
          <w:p w14:paraId="7C84FD1D">
            <w:pPr>
              <w:pStyle w:val="13"/>
            </w:pPr>
            <w:r>
              <w:t>数量指标</w:t>
            </w:r>
          </w:p>
        </w:tc>
        <w:tc>
          <w:tcPr>
            <w:tcW w:w="2835" w:type="dxa"/>
            <w:vAlign w:val="center"/>
          </w:tcPr>
          <w:p w14:paraId="6AA363A6">
            <w:pPr>
              <w:pStyle w:val="13"/>
            </w:pPr>
            <w:r>
              <w:t>就读学生数</w:t>
            </w:r>
          </w:p>
        </w:tc>
        <w:tc>
          <w:tcPr>
            <w:tcW w:w="5386" w:type="dxa"/>
            <w:vAlign w:val="center"/>
          </w:tcPr>
          <w:p w14:paraId="7D974F59">
            <w:pPr>
              <w:pStyle w:val="13"/>
            </w:pPr>
            <w:r>
              <w:t>辐射区域内适龄学生人数</w:t>
            </w:r>
          </w:p>
        </w:tc>
        <w:tc>
          <w:tcPr>
            <w:tcW w:w="1988" w:type="dxa"/>
            <w:vAlign w:val="center"/>
          </w:tcPr>
          <w:p w14:paraId="7E589B21">
            <w:pPr>
              <w:pStyle w:val="13"/>
            </w:pPr>
            <w:r>
              <w:t>≥548人</w:t>
            </w:r>
          </w:p>
        </w:tc>
        <w:tc>
          <w:tcPr>
            <w:tcW w:w="1556" w:type="dxa"/>
            <w:vAlign w:val="center"/>
          </w:tcPr>
          <w:p w14:paraId="3AEB1DA6">
            <w:pPr>
              <w:pStyle w:val="13"/>
            </w:pPr>
            <w:r>
              <w:t>城乡义务教育公用经费管理办法</w:t>
            </w:r>
          </w:p>
        </w:tc>
      </w:tr>
      <w:tr w14:paraId="44341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08E62"/>
        </w:tc>
        <w:tc>
          <w:tcPr>
            <w:tcW w:w="2268" w:type="dxa"/>
            <w:vAlign w:val="center"/>
          </w:tcPr>
          <w:p w14:paraId="34721051">
            <w:pPr>
              <w:pStyle w:val="13"/>
            </w:pPr>
            <w:r>
              <w:t>质量指标</w:t>
            </w:r>
          </w:p>
        </w:tc>
        <w:tc>
          <w:tcPr>
            <w:tcW w:w="2835" w:type="dxa"/>
            <w:vAlign w:val="center"/>
          </w:tcPr>
          <w:p w14:paraId="1982B10F">
            <w:pPr>
              <w:pStyle w:val="13"/>
            </w:pPr>
            <w:r>
              <w:t>预算控制率</w:t>
            </w:r>
          </w:p>
        </w:tc>
        <w:tc>
          <w:tcPr>
            <w:tcW w:w="5386" w:type="dxa"/>
            <w:vAlign w:val="center"/>
          </w:tcPr>
          <w:p w14:paraId="04DC39FC">
            <w:pPr>
              <w:pStyle w:val="13"/>
            </w:pPr>
            <w:r>
              <w:t>预算执行</w:t>
            </w:r>
          </w:p>
        </w:tc>
        <w:tc>
          <w:tcPr>
            <w:tcW w:w="1988" w:type="dxa"/>
            <w:vAlign w:val="center"/>
          </w:tcPr>
          <w:p w14:paraId="0AA82FDC">
            <w:pPr>
              <w:pStyle w:val="13"/>
            </w:pPr>
            <w:r>
              <w:t>≥95%</w:t>
            </w:r>
          </w:p>
        </w:tc>
        <w:tc>
          <w:tcPr>
            <w:tcW w:w="1556" w:type="dxa"/>
            <w:vAlign w:val="center"/>
          </w:tcPr>
          <w:p w14:paraId="0449B786">
            <w:pPr>
              <w:pStyle w:val="13"/>
            </w:pPr>
            <w:r>
              <w:t>支持学前教育发展县级资金管理方法</w:t>
            </w:r>
          </w:p>
        </w:tc>
      </w:tr>
      <w:tr w14:paraId="60405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1B205"/>
        </w:tc>
        <w:tc>
          <w:tcPr>
            <w:tcW w:w="2268" w:type="dxa"/>
            <w:vAlign w:val="center"/>
          </w:tcPr>
          <w:p w14:paraId="4F3CEC33">
            <w:pPr>
              <w:pStyle w:val="13"/>
            </w:pPr>
            <w:r>
              <w:t>时效指标</w:t>
            </w:r>
          </w:p>
        </w:tc>
        <w:tc>
          <w:tcPr>
            <w:tcW w:w="2835" w:type="dxa"/>
            <w:vAlign w:val="center"/>
          </w:tcPr>
          <w:p w14:paraId="3AA4B6AB">
            <w:pPr>
              <w:pStyle w:val="13"/>
            </w:pPr>
            <w:r>
              <w:t>义教经费支付完成率</w:t>
            </w:r>
          </w:p>
        </w:tc>
        <w:tc>
          <w:tcPr>
            <w:tcW w:w="5386" w:type="dxa"/>
            <w:vAlign w:val="center"/>
          </w:tcPr>
          <w:p w14:paraId="0EC04341">
            <w:pPr>
              <w:pStyle w:val="13"/>
            </w:pPr>
            <w:r>
              <w:t>按照序时进度完成资金支付</w:t>
            </w:r>
          </w:p>
        </w:tc>
        <w:tc>
          <w:tcPr>
            <w:tcW w:w="1988" w:type="dxa"/>
            <w:vAlign w:val="center"/>
          </w:tcPr>
          <w:p w14:paraId="1BCA765B">
            <w:pPr>
              <w:pStyle w:val="13"/>
            </w:pPr>
            <w:r>
              <w:t>100%</w:t>
            </w:r>
          </w:p>
        </w:tc>
        <w:tc>
          <w:tcPr>
            <w:tcW w:w="1556" w:type="dxa"/>
            <w:vAlign w:val="center"/>
          </w:tcPr>
          <w:p w14:paraId="03A916B9">
            <w:pPr>
              <w:pStyle w:val="13"/>
            </w:pPr>
            <w:r>
              <w:t>城乡义务教育公用经费管理办法</w:t>
            </w:r>
          </w:p>
        </w:tc>
      </w:tr>
      <w:tr w14:paraId="7B509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D354F"/>
        </w:tc>
        <w:tc>
          <w:tcPr>
            <w:tcW w:w="2268" w:type="dxa"/>
            <w:vAlign w:val="center"/>
          </w:tcPr>
          <w:p w14:paraId="2638AE02">
            <w:pPr>
              <w:pStyle w:val="13"/>
            </w:pPr>
            <w:r>
              <w:t>成本指标</w:t>
            </w:r>
          </w:p>
        </w:tc>
        <w:tc>
          <w:tcPr>
            <w:tcW w:w="2835" w:type="dxa"/>
            <w:vAlign w:val="center"/>
          </w:tcPr>
          <w:p w14:paraId="2FEEC127">
            <w:pPr>
              <w:pStyle w:val="13"/>
            </w:pPr>
            <w:r>
              <w:t>生均拨款标准</w:t>
            </w:r>
          </w:p>
        </w:tc>
        <w:tc>
          <w:tcPr>
            <w:tcW w:w="5386" w:type="dxa"/>
            <w:vAlign w:val="center"/>
          </w:tcPr>
          <w:p w14:paraId="204E6547">
            <w:pPr>
              <w:pStyle w:val="13"/>
            </w:pPr>
            <w:r>
              <w:t>学前：（基本标准600元/生/学年）</w:t>
            </w:r>
          </w:p>
        </w:tc>
        <w:tc>
          <w:tcPr>
            <w:tcW w:w="1988" w:type="dxa"/>
            <w:vAlign w:val="center"/>
          </w:tcPr>
          <w:p w14:paraId="34CC874E">
            <w:pPr>
              <w:pStyle w:val="13"/>
            </w:pPr>
            <w:r>
              <w:t>600元</w:t>
            </w:r>
          </w:p>
        </w:tc>
        <w:tc>
          <w:tcPr>
            <w:tcW w:w="1556" w:type="dxa"/>
            <w:vAlign w:val="center"/>
          </w:tcPr>
          <w:p w14:paraId="32567F04">
            <w:pPr>
              <w:pStyle w:val="13"/>
            </w:pPr>
            <w:r>
              <w:t>城乡义务教育公用经费管理办法</w:t>
            </w:r>
          </w:p>
        </w:tc>
      </w:tr>
      <w:tr w14:paraId="1646E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2ABFCD">
            <w:pPr>
              <w:pStyle w:val="12"/>
            </w:pPr>
            <w:r>
              <w:t>效益指标</w:t>
            </w:r>
          </w:p>
        </w:tc>
        <w:tc>
          <w:tcPr>
            <w:tcW w:w="2268" w:type="dxa"/>
            <w:vAlign w:val="center"/>
          </w:tcPr>
          <w:p w14:paraId="408E699B">
            <w:pPr>
              <w:pStyle w:val="13"/>
            </w:pPr>
            <w:r>
              <w:t>社会效益指标</w:t>
            </w:r>
          </w:p>
        </w:tc>
        <w:tc>
          <w:tcPr>
            <w:tcW w:w="2835" w:type="dxa"/>
            <w:vAlign w:val="center"/>
          </w:tcPr>
          <w:p w14:paraId="48C15ED4">
            <w:pPr>
              <w:pStyle w:val="13"/>
            </w:pPr>
            <w:r>
              <w:t>学校稳定率</w:t>
            </w:r>
          </w:p>
        </w:tc>
        <w:tc>
          <w:tcPr>
            <w:tcW w:w="5386" w:type="dxa"/>
            <w:vAlign w:val="center"/>
          </w:tcPr>
          <w:p w14:paraId="4530CD45">
            <w:pPr>
              <w:pStyle w:val="13"/>
            </w:pPr>
            <w:r>
              <w:t>维护学校稳定，保障学校正常教学秩序有效开展</w:t>
            </w:r>
          </w:p>
        </w:tc>
        <w:tc>
          <w:tcPr>
            <w:tcW w:w="1988" w:type="dxa"/>
            <w:vAlign w:val="center"/>
          </w:tcPr>
          <w:p w14:paraId="4068A787">
            <w:pPr>
              <w:pStyle w:val="13"/>
            </w:pPr>
            <w:r>
              <w:t>≥100%</w:t>
            </w:r>
          </w:p>
        </w:tc>
        <w:tc>
          <w:tcPr>
            <w:tcW w:w="1556" w:type="dxa"/>
            <w:vAlign w:val="center"/>
          </w:tcPr>
          <w:p w14:paraId="0212D229">
            <w:pPr>
              <w:pStyle w:val="13"/>
            </w:pPr>
            <w:r>
              <w:t>城乡义务教育公用经费管理办法</w:t>
            </w:r>
          </w:p>
        </w:tc>
      </w:tr>
      <w:tr w14:paraId="332A0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0BBF50">
            <w:pPr>
              <w:pStyle w:val="12"/>
            </w:pPr>
            <w:r>
              <w:t>满意度指标</w:t>
            </w:r>
          </w:p>
        </w:tc>
        <w:tc>
          <w:tcPr>
            <w:tcW w:w="2268" w:type="dxa"/>
            <w:vAlign w:val="center"/>
          </w:tcPr>
          <w:p w14:paraId="722E2D7A">
            <w:pPr>
              <w:pStyle w:val="13"/>
            </w:pPr>
            <w:r>
              <w:t>服务对象满意度指标</w:t>
            </w:r>
          </w:p>
        </w:tc>
        <w:tc>
          <w:tcPr>
            <w:tcW w:w="2835" w:type="dxa"/>
            <w:vAlign w:val="center"/>
          </w:tcPr>
          <w:p w14:paraId="6B41BDFB">
            <w:pPr>
              <w:pStyle w:val="13"/>
            </w:pPr>
            <w:r>
              <w:t>家长和学生满意度</w:t>
            </w:r>
          </w:p>
        </w:tc>
        <w:tc>
          <w:tcPr>
            <w:tcW w:w="5386" w:type="dxa"/>
            <w:vAlign w:val="center"/>
          </w:tcPr>
          <w:p w14:paraId="22C1068A">
            <w:pPr>
              <w:pStyle w:val="13"/>
            </w:pPr>
            <w:r>
              <w:t>家长和学生满意度</w:t>
            </w:r>
          </w:p>
        </w:tc>
        <w:tc>
          <w:tcPr>
            <w:tcW w:w="1988" w:type="dxa"/>
            <w:vAlign w:val="center"/>
          </w:tcPr>
          <w:p w14:paraId="0209CCDF">
            <w:pPr>
              <w:pStyle w:val="13"/>
            </w:pPr>
            <w:r>
              <w:t>≥95%</w:t>
            </w:r>
          </w:p>
        </w:tc>
        <w:tc>
          <w:tcPr>
            <w:tcW w:w="1556" w:type="dxa"/>
            <w:vAlign w:val="center"/>
          </w:tcPr>
          <w:p w14:paraId="27D68F7A">
            <w:pPr>
              <w:pStyle w:val="13"/>
            </w:pPr>
            <w:r>
              <w:t>问卷调查</w:t>
            </w:r>
          </w:p>
        </w:tc>
      </w:tr>
    </w:tbl>
    <w:p w14:paraId="4D1B118C">
      <w:pPr>
        <w:sectPr>
          <w:pgSz w:w="16840" w:h="11900" w:orient="landscape"/>
          <w:pgMar w:top="1361" w:right="1020" w:bottom="1134" w:left="1020" w:header="720" w:footer="720" w:gutter="0"/>
          <w:cols w:space="720" w:num="1"/>
        </w:sectPr>
      </w:pPr>
    </w:p>
    <w:p w14:paraId="6375FA23">
      <w:pPr>
        <w:spacing w:before="0" w:after="0"/>
        <w:ind w:firstLine="560"/>
        <w:jc w:val="left"/>
        <w:outlineLvl w:val="9"/>
      </w:pPr>
      <w:r>
        <w:rPr>
          <w:rFonts w:ascii="方正仿宋_GBK" w:hAnsi="方正仿宋_GBK" w:eastAsia="方正仿宋_GBK" w:cs="方正仿宋_GBK"/>
          <w:b/>
          <w:color w:val="000000"/>
          <w:sz w:val="28"/>
        </w:rPr>
        <w:t>23、学前专项经费/山口校区绩效目标表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47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1E8A3">
            <w:pPr>
              <w:pStyle w:val="14"/>
            </w:pPr>
            <w:r>
              <w:t>单位：万元</w:t>
            </w:r>
          </w:p>
        </w:tc>
      </w:tr>
      <w:tr w14:paraId="77CDE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96BD49">
            <w:pPr>
              <w:pStyle w:val="11"/>
            </w:pPr>
            <w:r>
              <w:t>项目编码</w:t>
            </w:r>
          </w:p>
        </w:tc>
        <w:tc>
          <w:tcPr>
            <w:tcW w:w="5103" w:type="dxa"/>
            <w:gridSpan w:val="2"/>
            <w:vAlign w:val="center"/>
          </w:tcPr>
          <w:p w14:paraId="46FF6E89">
            <w:pPr>
              <w:pStyle w:val="13"/>
            </w:pPr>
            <w:r>
              <w:t>13052525P00875610039E</w:t>
            </w:r>
          </w:p>
        </w:tc>
        <w:tc>
          <w:tcPr>
            <w:tcW w:w="2835" w:type="dxa"/>
            <w:vAlign w:val="center"/>
          </w:tcPr>
          <w:p w14:paraId="22F60EA1">
            <w:pPr>
              <w:pStyle w:val="11"/>
            </w:pPr>
            <w:r>
              <w:t>项目名称</w:t>
            </w:r>
          </w:p>
        </w:tc>
        <w:tc>
          <w:tcPr>
            <w:tcW w:w="6095" w:type="dxa"/>
            <w:gridSpan w:val="3"/>
            <w:vAlign w:val="center"/>
          </w:tcPr>
          <w:p w14:paraId="5FF1BCEC">
            <w:pPr>
              <w:pStyle w:val="13"/>
            </w:pPr>
            <w:r>
              <w:t>学前专项经费/山口校区</w:t>
            </w:r>
          </w:p>
        </w:tc>
      </w:tr>
      <w:tr w14:paraId="717FF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1E59568">
            <w:pPr>
              <w:pStyle w:val="11"/>
            </w:pPr>
            <w:r>
              <w:t>预算规模及资金用途</w:t>
            </w:r>
          </w:p>
        </w:tc>
        <w:tc>
          <w:tcPr>
            <w:tcW w:w="2268" w:type="dxa"/>
            <w:vAlign w:val="center"/>
          </w:tcPr>
          <w:p w14:paraId="1010CF73">
            <w:pPr>
              <w:pStyle w:val="11"/>
            </w:pPr>
            <w:r>
              <w:t>预算数</w:t>
            </w:r>
          </w:p>
        </w:tc>
        <w:tc>
          <w:tcPr>
            <w:tcW w:w="2835" w:type="dxa"/>
            <w:vAlign w:val="center"/>
          </w:tcPr>
          <w:p w14:paraId="1FFBDDD5">
            <w:pPr>
              <w:pStyle w:val="13"/>
            </w:pPr>
            <w:r>
              <w:t>80.42</w:t>
            </w:r>
          </w:p>
        </w:tc>
        <w:tc>
          <w:tcPr>
            <w:tcW w:w="2835" w:type="dxa"/>
            <w:vAlign w:val="center"/>
          </w:tcPr>
          <w:p w14:paraId="3AC7A5FB">
            <w:pPr>
              <w:pStyle w:val="11"/>
            </w:pPr>
            <w:r>
              <w:t>其中：财政    资金</w:t>
            </w:r>
          </w:p>
        </w:tc>
        <w:tc>
          <w:tcPr>
            <w:tcW w:w="2551" w:type="dxa"/>
            <w:vAlign w:val="center"/>
          </w:tcPr>
          <w:p w14:paraId="4E44E559">
            <w:pPr>
              <w:pStyle w:val="13"/>
            </w:pPr>
            <w:r>
              <w:t>80.42</w:t>
            </w:r>
          </w:p>
        </w:tc>
        <w:tc>
          <w:tcPr>
            <w:tcW w:w="2268" w:type="dxa"/>
            <w:vAlign w:val="center"/>
          </w:tcPr>
          <w:p w14:paraId="02C9B939">
            <w:pPr>
              <w:pStyle w:val="11"/>
            </w:pPr>
            <w:r>
              <w:t>其他资金</w:t>
            </w:r>
          </w:p>
        </w:tc>
        <w:tc>
          <w:tcPr>
            <w:tcW w:w="1276" w:type="dxa"/>
            <w:vAlign w:val="center"/>
          </w:tcPr>
          <w:p w14:paraId="1546ED7C">
            <w:pPr>
              <w:pStyle w:val="13"/>
            </w:pPr>
            <w:r>
              <w:t xml:space="preserve"> </w:t>
            </w:r>
          </w:p>
        </w:tc>
      </w:tr>
      <w:tr w14:paraId="38DDF0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87EB30"/>
        </w:tc>
        <w:tc>
          <w:tcPr>
            <w:tcW w:w="14033" w:type="dxa"/>
            <w:gridSpan w:val="6"/>
            <w:vAlign w:val="center"/>
          </w:tcPr>
          <w:p w14:paraId="2F54767E">
            <w:pPr>
              <w:pStyle w:val="13"/>
            </w:pPr>
            <w:r>
              <w:t>用于保障幼儿园正常运转，完成教育教学活动和其他日常工作任务等方面的费用支出。</w:t>
            </w:r>
          </w:p>
        </w:tc>
      </w:tr>
      <w:tr w14:paraId="41641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C3AAE">
            <w:pPr>
              <w:pStyle w:val="11"/>
            </w:pPr>
            <w:r>
              <w:t>资金支出计划（%）</w:t>
            </w:r>
          </w:p>
        </w:tc>
        <w:tc>
          <w:tcPr>
            <w:tcW w:w="5103" w:type="dxa"/>
            <w:gridSpan w:val="2"/>
            <w:vAlign w:val="center"/>
          </w:tcPr>
          <w:p w14:paraId="7B7321DA">
            <w:pPr>
              <w:pStyle w:val="11"/>
            </w:pPr>
            <w:r>
              <w:t>3月底</w:t>
            </w:r>
          </w:p>
        </w:tc>
        <w:tc>
          <w:tcPr>
            <w:tcW w:w="2835" w:type="dxa"/>
            <w:vAlign w:val="center"/>
          </w:tcPr>
          <w:p w14:paraId="5DFCDBDD">
            <w:pPr>
              <w:pStyle w:val="11"/>
            </w:pPr>
            <w:r>
              <w:t>6月底</w:t>
            </w:r>
          </w:p>
        </w:tc>
        <w:tc>
          <w:tcPr>
            <w:tcW w:w="2551" w:type="dxa"/>
            <w:vAlign w:val="center"/>
          </w:tcPr>
          <w:p w14:paraId="6CDAF615">
            <w:pPr>
              <w:pStyle w:val="11"/>
            </w:pPr>
            <w:r>
              <w:t>10月底</w:t>
            </w:r>
          </w:p>
        </w:tc>
        <w:tc>
          <w:tcPr>
            <w:tcW w:w="3544" w:type="dxa"/>
            <w:gridSpan w:val="2"/>
            <w:vAlign w:val="center"/>
          </w:tcPr>
          <w:p w14:paraId="74728DEB">
            <w:pPr>
              <w:pStyle w:val="11"/>
            </w:pPr>
            <w:r>
              <w:t>12月底</w:t>
            </w:r>
          </w:p>
        </w:tc>
      </w:tr>
      <w:tr w14:paraId="7B646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BD23C"/>
        </w:tc>
        <w:tc>
          <w:tcPr>
            <w:tcW w:w="5103" w:type="dxa"/>
            <w:gridSpan w:val="2"/>
            <w:vAlign w:val="center"/>
          </w:tcPr>
          <w:p w14:paraId="79C99C62">
            <w:pPr>
              <w:pStyle w:val="12"/>
            </w:pPr>
            <w:r>
              <w:t>25%</w:t>
            </w:r>
          </w:p>
        </w:tc>
        <w:tc>
          <w:tcPr>
            <w:tcW w:w="2835" w:type="dxa"/>
            <w:vAlign w:val="center"/>
          </w:tcPr>
          <w:p w14:paraId="38CDBD06">
            <w:pPr>
              <w:pStyle w:val="12"/>
            </w:pPr>
            <w:r>
              <w:t>50%</w:t>
            </w:r>
          </w:p>
        </w:tc>
        <w:tc>
          <w:tcPr>
            <w:tcW w:w="2551" w:type="dxa"/>
            <w:vAlign w:val="center"/>
          </w:tcPr>
          <w:p w14:paraId="6367CE25">
            <w:pPr>
              <w:pStyle w:val="12"/>
            </w:pPr>
            <w:r>
              <w:t>75%</w:t>
            </w:r>
          </w:p>
        </w:tc>
        <w:tc>
          <w:tcPr>
            <w:tcW w:w="3544" w:type="dxa"/>
            <w:gridSpan w:val="2"/>
            <w:vAlign w:val="center"/>
          </w:tcPr>
          <w:p w14:paraId="04ACBFB3">
            <w:pPr>
              <w:pStyle w:val="12"/>
            </w:pPr>
            <w:r>
              <w:t>100%</w:t>
            </w:r>
          </w:p>
        </w:tc>
      </w:tr>
      <w:tr w14:paraId="05B38B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7A7B48">
            <w:pPr>
              <w:pStyle w:val="11"/>
            </w:pPr>
            <w:r>
              <w:t>绩效目标</w:t>
            </w:r>
          </w:p>
        </w:tc>
        <w:tc>
          <w:tcPr>
            <w:tcW w:w="14033" w:type="dxa"/>
            <w:gridSpan w:val="6"/>
            <w:vAlign w:val="center"/>
          </w:tcPr>
          <w:p w14:paraId="15BFDD17">
            <w:pPr>
              <w:pStyle w:val="13"/>
            </w:pPr>
            <w:r>
              <w:t>1.按预算要求完成2025年度学前教学任务提升及教学质量提高。</w:t>
            </w:r>
          </w:p>
          <w:p w14:paraId="1C6ABBD7">
            <w:pPr>
              <w:pStyle w:val="13"/>
            </w:pPr>
            <w:r>
              <w:t>2.按要求完成公立幼儿园保育费按月/季度上缴财政。</w:t>
            </w:r>
          </w:p>
          <w:p w14:paraId="75F81092">
            <w:pPr>
              <w:pStyle w:val="13"/>
            </w:pPr>
            <w:r>
              <w:t>3.按上缴财政序时进度完成公立幼儿园保育费支出。</w:t>
            </w:r>
          </w:p>
        </w:tc>
      </w:tr>
    </w:tbl>
    <w:p w14:paraId="75286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2E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619D9">
            <w:pPr>
              <w:pStyle w:val="11"/>
            </w:pPr>
            <w:r>
              <w:t>一级指标</w:t>
            </w:r>
          </w:p>
        </w:tc>
        <w:tc>
          <w:tcPr>
            <w:tcW w:w="2268" w:type="dxa"/>
            <w:vAlign w:val="center"/>
          </w:tcPr>
          <w:p w14:paraId="7536825C">
            <w:pPr>
              <w:pStyle w:val="11"/>
            </w:pPr>
            <w:r>
              <w:t>二级指标</w:t>
            </w:r>
          </w:p>
        </w:tc>
        <w:tc>
          <w:tcPr>
            <w:tcW w:w="2835" w:type="dxa"/>
            <w:vAlign w:val="center"/>
          </w:tcPr>
          <w:p w14:paraId="50755A6B">
            <w:pPr>
              <w:pStyle w:val="11"/>
            </w:pPr>
            <w:r>
              <w:t>三级指标</w:t>
            </w:r>
          </w:p>
        </w:tc>
        <w:tc>
          <w:tcPr>
            <w:tcW w:w="5386" w:type="dxa"/>
            <w:vAlign w:val="center"/>
          </w:tcPr>
          <w:p w14:paraId="7FBA815F">
            <w:pPr>
              <w:pStyle w:val="11"/>
            </w:pPr>
            <w:r>
              <w:t>绩效指标描述</w:t>
            </w:r>
          </w:p>
        </w:tc>
        <w:tc>
          <w:tcPr>
            <w:tcW w:w="2268" w:type="dxa"/>
            <w:vAlign w:val="center"/>
          </w:tcPr>
          <w:p w14:paraId="677800DC">
            <w:pPr>
              <w:pStyle w:val="11"/>
            </w:pPr>
            <w:r>
              <w:t>指标值</w:t>
            </w:r>
          </w:p>
        </w:tc>
        <w:tc>
          <w:tcPr>
            <w:tcW w:w="1276" w:type="dxa"/>
            <w:vAlign w:val="center"/>
          </w:tcPr>
          <w:p w14:paraId="6A46D938">
            <w:pPr>
              <w:pStyle w:val="11"/>
            </w:pPr>
            <w:r>
              <w:t>指标值确定依据</w:t>
            </w:r>
          </w:p>
        </w:tc>
      </w:tr>
      <w:tr w14:paraId="584D3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EB41D">
            <w:pPr>
              <w:pStyle w:val="12"/>
            </w:pPr>
            <w:r>
              <w:t>产出指标</w:t>
            </w:r>
          </w:p>
        </w:tc>
        <w:tc>
          <w:tcPr>
            <w:tcW w:w="2268" w:type="dxa"/>
            <w:vAlign w:val="center"/>
          </w:tcPr>
          <w:p w14:paraId="44575BA4">
            <w:pPr>
              <w:pStyle w:val="13"/>
            </w:pPr>
            <w:r>
              <w:t>数量指标</w:t>
            </w:r>
          </w:p>
        </w:tc>
        <w:tc>
          <w:tcPr>
            <w:tcW w:w="2835" w:type="dxa"/>
            <w:vAlign w:val="center"/>
          </w:tcPr>
          <w:p w14:paraId="3F56FB9D">
            <w:pPr>
              <w:pStyle w:val="13"/>
            </w:pPr>
            <w:r>
              <w:t>适龄在校生</w:t>
            </w:r>
          </w:p>
        </w:tc>
        <w:tc>
          <w:tcPr>
            <w:tcW w:w="5386" w:type="dxa"/>
            <w:vAlign w:val="center"/>
          </w:tcPr>
          <w:p w14:paraId="287D6072">
            <w:pPr>
              <w:pStyle w:val="13"/>
            </w:pPr>
            <w:r>
              <w:t>适龄在校就读学生人数</w:t>
            </w:r>
          </w:p>
        </w:tc>
        <w:tc>
          <w:tcPr>
            <w:tcW w:w="2268" w:type="dxa"/>
            <w:vAlign w:val="center"/>
          </w:tcPr>
          <w:p w14:paraId="16CC4331">
            <w:pPr>
              <w:pStyle w:val="13"/>
            </w:pPr>
            <w:r>
              <w:t>548人</w:t>
            </w:r>
          </w:p>
        </w:tc>
        <w:tc>
          <w:tcPr>
            <w:tcW w:w="1276" w:type="dxa"/>
            <w:vAlign w:val="center"/>
          </w:tcPr>
          <w:p w14:paraId="1D52ABDB">
            <w:pPr>
              <w:pStyle w:val="13"/>
            </w:pPr>
            <w:r>
              <w:t>年度工作计划</w:t>
            </w:r>
          </w:p>
        </w:tc>
      </w:tr>
      <w:tr w14:paraId="3B0FA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3148E"/>
        </w:tc>
        <w:tc>
          <w:tcPr>
            <w:tcW w:w="2268" w:type="dxa"/>
            <w:vAlign w:val="center"/>
          </w:tcPr>
          <w:p w14:paraId="2BDBD4E9">
            <w:pPr>
              <w:pStyle w:val="13"/>
            </w:pPr>
            <w:r>
              <w:t>质量指标</w:t>
            </w:r>
          </w:p>
        </w:tc>
        <w:tc>
          <w:tcPr>
            <w:tcW w:w="2835" w:type="dxa"/>
            <w:vAlign w:val="center"/>
          </w:tcPr>
          <w:p w14:paraId="33E4FD3E">
            <w:pPr>
              <w:pStyle w:val="13"/>
            </w:pPr>
            <w:r>
              <w:t>按月上缴财政完成率</w:t>
            </w:r>
          </w:p>
        </w:tc>
        <w:tc>
          <w:tcPr>
            <w:tcW w:w="5386" w:type="dxa"/>
            <w:vAlign w:val="center"/>
          </w:tcPr>
          <w:p w14:paraId="7497BF52">
            <w:pPr>
              <w:pStyle w:val="13"/>
            </w:pPr>
            <w:r>
              <w:t>按月完成公立幼儿园保育费上缴财政</w:t>
            </w:r>
          </w:p>
        </w:tc>
        <w:tc>
          <w:tcPr>
            <w:tcW w:w="2268" w:type="dxa"/>
            <w:vAlign w:val="center"/>
          </w:tcPr>
          <w:p w14:paraId="0FCC783D">
            <w:pPr>
              <w:pStyle w:val="13"/>
            </w:pPr>
            <w:r>
              <w:t>100%</w:t>
            </w:r>
          </w:p>
        </w:tc>
        <w:tc>
          <w:tcPr>
            <w:tcW w:w="1276" w:type="dxa"/>
            <w:vAlign w:val="center"/>
          </w:tcPr>
          <w:p w14:paraId="35A6F5B0">
            <w:pPr>
              <w:pStyle w:val="13"/>
            </w:pPr>
            <w:r>
              <w:t>年度工作计划</w:t>
            </w:r>
          </w:p>
        </w:tc>
      </w:tr>
      <w:tr w14:paraId="06FBF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BE0FA"/>
        </w:tc>
        <w:tc>
          <w:tcPr>
            <w:tcW w:w="2268" w:type="dxa"/>
            <w:vAlign w:val="center"/>
          </w:tcPr>
          <w:p w14:paraId="468EA912">
            <w:pPr>
              <w:pStyle w:val="13"/>
            </w:pPr>
            <w:r>
              <w:t>时效指标</w:t>
            </w:r>
          </w:p>
        </w:tc>
        <w:tc>
          <w:tcPr>
            <w:tcW w:w="2835" w:type="dxa"/>
            <w:vAlign w:val="center"/>
          </w:tcPr>
          <w:p w14:paraId="17E45095">
            <w:pPr>
              <w:pStyle w:val="13"/>
            </w:pPr>
            <w:r>
              <w:t>资金支付率</w:t>
            </w:r>
          </w:p>
        </w:tc>
        <w:tc>
          <w:tcPr>
            <w:tcW w:w="5386" w:type="dxa"/>
            <w:vAlign w:val="center"/>
          </w:tcPr>
          <w:p w14:paraId="228ACC0A">
            <w:pPr>
              <w:pStyle w:val="13"/>
            </w:pPr>
            <w:r>
              <w:t>按照上缴财政进度完成公立幼儿园保育费支付</w:t>
            </w:r>
          </w:p>
        </w:tc>
        <w:tc>
          <w:tcPr>
            <w:tcW w:w="2268" w:type="dxa"/>
            <w:vAlign w:val="center"/>
          </w:tcPr>
          <w:p w14:paraId="45C1E105">
            <w:pPr>
              <w:pStyle w:val="13"/>
            </w:pPr>
            <w:r>
              <w:t>100%</w:t>
            </w:r>
          </w:p>
        </w:tc>
        <w:tc>
          <w:tcPr>
            <w:tcW w:w="1276" w:type="dxa"/>
            <w:vAlign w:val="center"/>
          </w:tcPr>
          <w:p w14:paraId="555B887C">
            <w:pPr>
              <w:pStyle w:val="13"/>
            </w:pPr>
            <w:r>
              <w:t>年度工作计划</w:t>
            </w:r>
          </w:p>
        </w:tc>
      </w:tr>
      <w:tr w14:paraId="33E51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23519"/>
        </w:tc>
        <w:tc>
          <w:tcPr>
            <w:tcW w:w="2268" w:type="dxa"/>
            <w:vAlign w:val="center"/>
          </w:tcPr>
          <w:p w14:paraId="62B5271A">
            <w:pPr>
              <w:pStyle w:val="13"/>
            </w:pPr>
            <w:r>
              <w:t>成本指标</w:t>
            </w:r>
          </w:p>
        </w:tc>
        <w:tc>
          <w:tcPr>
            <w:tcW w:w="2835" w:type="dxa"/>
            <w:vAlign w:val="center"/>
          </w:tcPr>
          <w:p w14:paraId="77C1662B">
            <w:pPr>
              <w:pStyle w:val="13"/>
            </w:pPr>
            <w:r>
              <w:t>生均拨款标准拨付率</w:t>
            </w:r>
          </w:p>
        </w:tc>
        <w:tc>
          <w:tcPr>
            <w:tcW w:w="5386" w:type="dxa"/>
            <w:vAlign w:val="center"/>
          </w:tcPr>
          <w:p w14:paraId="13710634">
            <w:pPr>
              <w:pStyle w:val="13"/>
            </w:pPr>
            <w:r>
              <w:t>城市一类园280元/月/生，城市二类园230元/月/生。城市三类200元/月/生，农村示范园170元/月/生农村一类园150元/月/生，农村二类园130元/月/生，农村三类园100元/月/生</w:t>
            </w:r>
          </w:p>
        </w:tc>
        <w:tc>
          <w:tcPr>
            <w:tcW w:w="2268" w:type="dxa"/>
            <w:vAlign w:val="center"/>
          </w:tcPr>
          <w:p w14:paraId="7ECCCDCF">
            <w:pPr>
              <w:pStyle w:val="13"/>
            </w:pPr>
            <w:r>
              <w:t>100%</w:t>
            </w:r>
          </w:p>
        </w:tc>
        <w:tc>
          <w:tcPr>
            <w:tcW w:w="1276" w:type="dxa"/>
            <w:vAlign w:val="center"/>
          </w:tcPr>
          <w:p w14:paraId="24410D8B">
            <w:pPr>
              <w:pStyle w:val="13"/>
            </w:pPr>
            <w:r>
              <w:t>年度工作计划</w:t>
            </w:r>
          </w:p>
        </w:tc>
      </w:tr>
      <w:tr w14:paraId="324DC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036F87">
            <w:pPr>
              <w:pStyle w:val="12"/>
            </w:pPr>
            <w:r>
              <w:t>效益指标</w:t>
            </w:r>
          </w:p>
        </w:tc>
        <w:tc>
          <w:tcPr>
            <w:tcW w:w="2268" w:type="dxa"/>
            <w:vAlign w:val="center"/>
          </w:tcPr>
          <w:p w14:paraId="57905BD2">
            <w:pPr>
              <w:pStyle w:val="13"/>
            </w:pPr>
            <w:r>
              <w:t>社会效益指标</w:t>
            </w:r>
          </w:p>
        </w:tc>
        <w:tc>
          <w:tcPr>
            <w:tcW w:w="2835" w:type="dxa"/>
            <w:vAlign w:val="center"/>
          </w:tcPr>
          <w:p w14:paraId="2782EF06">
            <w:pPr>
              <w:pStyle w:val="13"/>
            </w:pPr>
            <w:r>
              <w:t>幼儿园办园能力提升</w:t>
            </w:r>
          </w:p>
        </w:tc>
        <w:tc>
          <w:tcPr>
            <w:tcW w:w="5386" w:type="dxa"/>
            <w:vAlign w:val="center"/>
          </w:tcPr>
          <w:p w14:paraId="77ECEF28">
            <w:pPr>
              <w:pStyle w:val="13"/>
            </w:pPr>
            <w:r>
              <w:t>幼儿园办园能力提升情况及教育教学工作等开展的情况</w:t>
            </w:r>
          </w:p>
        </w:tc>
        <w:tc>
          <w:tcPr>
            <w:tcW w:w="2268" w:type="dxa"/>
            <w:vAlign w:val="center"/>
          </w:tcPr>
          <w:p w14:paraId="4EC01430">
            <w:pPr>
              <w:pStyle w:val="13"/>
            </w:pPr>
            <w:r>
              <w:t>100%</w:t>
            </w:r>
          </w:p>
        </w:tc>
        <w:tc>
          <w:tcPr>
            <w:tcW w:w="1276" w:type="dxa"/>
            <w:vAlign w:val="center"/>
          </w:tcPr>
          <w:p w14:paraId="5E510920">
            <w:pPr>
              <w:pStyle w:val="13"/>
            </w:pPr>
            <w:r>
              <w:t>年度工作计划</w:t>
            </w:r>
          </w:p>
        </w:tc>
      </w:tr>
      <w:tr w14:paraId="0B838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D38E00">
            <w:pPr>
              <w:pStyle w:val="12"/>
            </w:pPr>
            <w:r>
              <w:t>满意度指标</w:t>
            </w:r>
          </w:p>
        </w:tc>
        <w:tc>
          <w:tcPr>
            <w:tcW w:w="2268" w:type="dxa"/>
            <w:vAlign w:val="center"/>
          </w:tcPr>
          <w:p w14:paraId="57E3C23A">
            <w:pPr>
              <w:pStyle w:val="13"/>
            </w:pPr>
            <w:r>
              <w:t>服务对象满意度指标</w:t>
            </w:r>
          </w:p>
        </w:tc>
        <w:tc>
          <w:tcPr>
            <w:tcW w:w="2835" w:type="dxa"/>
            <w:vAlign w:val="center"/>
          </w:tcPr>
          <w:p w14:paraId="73E79F97">
            <w:pPr>
              <w:pStyle w:val="13"/>
            </w:pPr>
            <w:r>
              <w:t>受益学生家长及调查满意度</w:t>
            </w:r>
          </w:p>
        </w:tc>
        <w:tc>
          <w:tcPr>
            <w:tcW w:w="5386" w:type="dxa"/>
            <w:vAlign w:val="center"/>
          </w:tcPr>
          <w:p w14:paraId="07FE02CF">
            <w:pPr>
              <w:pStyle w:val="13"/>
            </w:pPr>
            <w:r>
              <w:t>幼儿、教师及家长对学校保教保育工作满意度情况</w:t>
            </w:r>
          </w:p>
        </w:tc>
        <w:tc>
          <w:tcPr>
            <w:tcW w:w="2268" w:type="dxa"/>
            <w:vAlign w:val="center"/>
          </w:tcPr>
          <w:p w14:paraId="79BCEEEB">
            <w:pPr>
              <w:pStyle w:val="13"/>
            </w:pPr>
            <w:r>
              <w:t>≥95%</w:t>
            </w:r>
          </w:p>
        </w:tc>
        <w:tc>
          <w:tcPr>
            <w:tcW w:w="1276" w:type="dxa"/>
            <w:vAlign w:val="center"/>
          </w:tcPr>
          <w:p w14:paraId="75E8291F">
            <w:pPr>
              <w:pStyle w:val="13"/>
            </w:pPr>
            <w:r>
              <w:t>年度工作计划</w:t>
            </w:r>
          </w:p>
        </w:tc>
      </w:tr>
    </w:tbl>
    <w:p w14:paraId="18C52F9F">
      <w:pPr>
        <w:sectPr>
          <w:pgSz w:w="16840" w:h="11900" w:orient="landscape"/>
          <w:pgMar w:top="1361" w:right="1020" w:bottom="1134" w:left="1020" w:header="720" w:footer="720" w:gutter="0"/>
          <w:cols w:space="720" w:num="1"/>
        </w:sectPr>
      </w:pPr>
    </w:p>
    <w:p w14:paraId="3924EC6F">
      <w:pPr>
        <w:spacing w:before="10" w:after="10" w:line="240" w:lineRule="auto"/>
        <w:ind w:firstLine="640"/>
        <w:jc w:val="left"/>
        <w:outlineLvl w:val="5"/>
      </w:pPr>
      <w:r>
        <w:rPr>
          <w:rFonts w:ascii="黑体" w:hAnsi="黑体" w:eastAsia="黑体" w:cs="黑体"/>
          <w:color w:val="000000"/>
          <w:sz w:val="32"/>
        </w:rPr>
        <w:t>六、政府采购预算情况</w:t>
      </w:r>
    </w:p>
    <w:p w14:paraId="53A4361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C9D8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4FB65D6">
            <w:pPr>
              <w:pStyle w:val="8"/>
            </w:pPr>
            <w:r>
              <w:t>360021隆尧县山口校区</w:t>
            </w:r>
          </w:p>
        </w:tc>
        <w:tc>
          <w:tcPr>
            <w:tcW w:w="7712" w:type="dxa"/>
            <w:gridSpan w:val="8"/>
            <w:tcBorders>
              <w:top w:val="single" w:color="FFFFFF" w:sz="6" w:space="0"/>
              <w:left w:val="single" w:color="FFFFFF" w:sz="6" w:space="0"/>
              <w:right w:val="single" w:color="FFFFFF" w:sz="6" w:space="0"/>
            </w:tcBorders>
            <w:vAlign w:val="center"/>
          </w:tcPr>
          <w:p w14:paraId="7227D779">
            <w:pPr>
              <w:pStyle w:val="22"/>
            </w:pPr>
            <w:r>
              <w:t>单位：万元</w:t>
            </w:r>
          </w:p>
        </w:tc>
      </w:tr>
      <w:tr w14:paraId="1E5EB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E125FD2">
            <w:pPr>
              <w:pStyle w:val="11"/>
            </w:pPr>
            <w:r>
              <w:t>政府采购项目来源</w:t>
            </w:r>
          </w:p>
        </w:tc>
        <w:tc>
          <w:tcPr>
            <w:tcW w:w="1134" w:type="dxa"/>
            <w:vMerge w:val="restart"/>
            <w:vAlign w:val="center"/>
          </w:tcPr>
          <w:p w14:paraId="447DE950">
            <w:pPr>
              <w:pStyle w:val="11"/>
            </w:pPr>
            <w:r>
              <w:t>采购物品名称</w:t>
            </w:r>
          </w:p>
        </w:tc>
        <w:tc>
          <w:tcPr>
            <w:tcW w:w="1134" w:type="dxa"/>
            <w:vMerge w:val="restart"/>
            <w:vAlign w:val="center"/>
          </w:tcPr>
          <w:p w14:paraId="60416B1E">
            <w:pPr>
              <w:pStyle w:val="11"/>
            </w:pPr>
            <w:r>
              <w:t>政府采购目录序号</w:t>
            </w:r>
          </w:p>
        </w:tc>
        <w:tc>
          <w:tcPr>
            <w:tcW w:w="709" w:type="dxa"/>
            <w:vMerge w:val="restart"/>
            <w:vAlign w:val="center"/>
          </w:tcPr>
          <w:p w14:paraId="6ADF7BC8">
            <w:pPr>
              <w:pStyle w:val="11"/>
            </w:pPr>
            <w:r>
              <w:t>计量  单位</w:t>
            </w:r>
          </w:p>
        </w:tc>
        <w:tc>
          <w:tcPr>
            <w:tcW w:w="850" w:type="dxa"/>
            <w:vMerge w:val="restart"/>
            <w:vAlign w:val="center"/>
          </w:tcPr>
          <w:p w14:paraId="7ECFE8D7">
            <w:pPr>
              <w:pStyle w:val="11"/>
            </w:pPr>
            <w:r>
              <w:t>数量</w:t>
            </w:r>
          </w:p>
        </w:tc>
        <w:tc>
          <w:tcPr>
            <w:tcW w:w="850" w:type="dxa"/>
            <w:vMerge w:val="restart"/>
            <w:vAlign w:val="center"/>
          </w:tcPr>
          <w:p w14:paraId="09F8731A">
            <w:pPr>
              <w:pStyle w:val="11"/>
            </w:pPr>
            <w:r>
              <w:t>单价</w:t>
            </w:r>
          </w:p>
        </w:tc>
        <w:tc>
          <w:tcPr>
            <w:tcW w:w="6748" w:type="dxa"/>
            <w:gridSpan w:val="7"/>
            <w:vAlign w:val="center"/>
          </w:tcPr>
          <w:p w14:paraId="14683B05">
            <w:pPr>
              <w:pStyle w:val="11"/>
            </w:pPr>
            <w:r>
              <w:t>政府采购金额（当年部门预算安排资金）</w:t>
            </w:r>
          </w:p>
        </w:tc>
        <w:tc>
          <w:tcPr>
            <w:tcW w:w="964" w:type="dxa"/>
            <w:vMerge w:val="restart"/>
            <w:vAlign w:val="center"/>
          </w:tcPr>
          <w:p w14:paraId="7900D25B">
            <w:pPr>
              <w:pStyle w:val="11"/>
            </w:pPr>
            <w:r>
              <w:t>2025年  预留中  小微企  业份额</w:t>
            </w:r>
          </w:p>
        </w:tc>
      </w:tr>
      <w:tr w14:paraId="60E47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D96D64B">
            <w:pPr>
              <w:pStyle w:val="11"/>
            </w:pPr>
            <w:r>
              <w:t>项目名称</w:t>
            </w:r>
          </w:p>
        </w:tc>
        <w:tc>
          <w:tcPr>
            <w:tcW w:w="964" w:type="dxa"/>
            <w:vAlign w:val="center"/>
          </w:tcPr>
          <w:p w14:paraId="2CFCEF0B">
            <w:pPr>
              <w:pStyle w:val="11"/>
            </w:pPr>
            <w:r>
              <w:t>预算    资金</w:t>
            </w:r>
          </w:p>
        </w:tc>
        <w:tc>
          <w:tcPr>
            <w:tcW w:w="1134" w:type="dxa"/>
            <w:vMerge w:val="continue"/>
          </w:tcPr>
          <w:p w14:paraId="054C40E7"/>
        </w:tc>
        <w:tc>
          <w:tcPr>
            <w:tcW w:w="1134" w:type="dxa"/>
            <w:vMerge w:val="continue"/>
          </w:tcPr>
          <w:p w14:paraId="42155937"/>
        </w:tc>
        <w:tc>
          <w:tcPr>
            <w:tcW w:w="709" w:type="dxa"/>
            <w:vMerge w:val="continue"/>
          </w:tcPr>
          <w:p w14:paraId="3EB49DEE"/>
        </w:tc>
        <w:tc>
          <w:tcPr>
            <w:tcW w:w="850" w:type="dxa"/>
            <w:vMerge w:val="continue"/>
          </w:tcPr>
          <w:p w14:paraId="6FEB2AE5"/>
        </w:tc>
        <w:tc>
          <w:tcPr>
            <w:tcW w:w="850" w:type="dxa"/>
            <w:vMerge w:val="continue"/>
          </w:tcPr>
          <w:p w14:paraId="0118519D"/>
        </w:tc>
        <w:tc>
          <w:tcPr>
            <w:tcW w:w="964" w:type="dxa"/>
            <w:vAlign w:val="center"/>
          </w:tcPr>
          <w:p w14:paraId="48942529">
            <w:pPr>
              <w:pStyle w:val="11"/>
            </w:pPr>
            <w:r>
              <w:t>合计</w:t>
            </w:r>
          </w:p>
        </w:tc>
        <w:tc>
          <w:tcPr>
            <w:tcW w:w="964" w:type="dxa"/>
            <w:vAlign w:val="center"/>
          </w:tcPr>
          <w:p w14:paraId="444493B2">
            <w:pPr>
              <w:pStyle w:val="11"/>
            </w:pPr>
            <w:r>
              <w:t>一般公共预算拨款</w:t>
            </w:r>
          </w:p>
        </w:tc>
        <w:tc>
          <w:tcPr>
            <w:tcW w:w="964" w:type="dxa"/>
            <w:vAlign w:val="center"/>
          </w:tcPr>
          <w:p w14:paraId="2019128B">
            <w:pPr>
              <w:pStyle w:val="11"/>
            </w:pPr>
            <w:r>
              <w:t>基金预算拨款</w:t>
            </w:r>
          </w:p>
        </w:tc>
        <w:tc>
          <w:tcPr>
            <w:tcW w:w="964" w:type="dxa"/>
            <w:vAlign w:val="center"/>
          </w:tcPr>
          <w:p w14:paraId="43D280C8">
            <w:pPr>
              <w:pStyle w:val="11"/>
            </w:pPr>
            <w:r>
              <w:t>国有资本经营预算拨款</w:t>
            </w:r>
          </w:p>
        </w:tc>
        <w:tc>
          <w:tcPr>
            <w:tcW w:w="964" w:type="dxa"/>
            <w:vAlign w:val="center"/>
          </w:tcPr>
          <w:p w14:paraId="31100005">
            <w:pPr>
              <w:pStyle w:val="11"/>
            </w:pPr>
            <w:r>
              <w:t>财政专户核拨</w:t>
            </w:r>
          </w:p>
        </w:tc>
        <w:tc>
          <w:tcPr>
            <w:tcW w:w="964" w:type="dxa"/>
            <w:vAlign w:val="center"/>
          </w:tcPr>
          <w:p w14:paraId="1458A5C9">
            <w:pPr>
              <w:pStyle w:val="11"/>
            </w:pPr>
            <w:r>
              <w:t>单位    资金</w:t>
            </w:r>
          </w:p>
        </w:tc>
        <w:tc>
          <w:tcPr>
            <w:tcW w:w="964" w:type="dxa"/>
            <w:vAlign w:val="center"/>
          </w:tcPr>
          <w:p w14:paraId="0CA35DB2">
            <w:pPr>
              <w:pStyle w:val="11"/>
            </w:pPr>
            <w:r>
              <w:t>上年结转结余</w:t>
            </w:r>
          </w:p>
        </w:tc>
        <w:tc>
          <w:tcPr>
            <w:tcW w:w="964" w:type="dxa"/>
            <w:vMerge w:val="continue"/>
          </w:tcPr>
          <w:p w14:paraId="6F1C8AC5"/>
        </w:tc>
      </w:tr>
      <w:tr w14:paraId="46DBE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6E9499">
            <w:pPr>
              <w:pStyle w:val="15"/>
            </w:pPr>
            <w:r>
              <w:t>合  计</w:t>
            </w:r>
          </w:p>
        </w:tc>
        <w:tc>
          <w:tcPr>
            <w:tcW w:w="964" w:type="dxa"/>
            <w:vAlign w:val="center"/>
          </w:tcPr>
          <w:p w14:paraId="0192AF13">
            <w:pPr>
              <w:pStyle w:val="16"/>
            </w:pPr>
          </w:p>
        </w:tc>
        <w:tc>
          <w:tcPr>
            <w:tcW w:w="1134" w:type="dxa"/>
            <w:vAlign w:val="center"/>
          </w:tcPr>
          <w:p w14:paraId="6BDFD80B">
            <w:pPr>
              <w:pStyle w:val="17"/>
            </w:pPr>
          </w:p>
        </w:tc>
        <w:tc>
          <w:tcPr>
            <w:tcW w:w="1134" w:type="dxa"/>
            <w:vAlign w:val="center"/>
          </w:tcPr>
          <w:p w14:paraId="61744C18">
            <w:pPr>
              <w:pStyle w:val="17"/>
            </w:pPr>
          </w:p>
        </w:tc>
        <w:tc>
          <w:tcPr>
            <w:tcW w:w="709" w:type="dxa"/>
            <w:vAlign w:val="center"/>
          </w:tcPr>
          <w:p w14:paraId="08AD9DDA">
            <w:pPr>
              <w:pStyle w:val="15"/>
            </w:pPr>
          </w:p>
        </w:tc>
        <w:tc>
          <w:tcPr>
            <w:tcW w:w="850" w:type="dxa"/>
            <w:vAlign w:val="center"/>
          </w:tcPr>
          <w:p w14:paraId="4B5B6A29">
            <w:pPr>
              <w:pStyle w:val="16"/>
            </w:pPr>
          </w:p>
        </w:tc>
        <w:tc>
          <w:tcPr>
            <w:tcW w:w="850" w:type="dxa"/>
            <w:vAlign w:val="center"/>
          </w:tcPr>
          <w:p w14:paraId="616965CE">
            <w:pPr>
              <w:pStyle w:val="16"/>
            </w:pPr>
          </w:p>
        </w:tc>
        <w:tc>
          <w:tcPr>
            <w:tcW w:w="964" w:type="dxa"/>
            <w:vAlign w:val="center"/>
          </w:tcPr>
          <w:p w14:paraId="7D3731E1">
            <w:pPr>
              <w:pStyle w:val="16"/>
            </w:pPr>
            <w:r>
              <w:t>2.65</w:t>
            </w:r>
          </w:p>
        </w:tc>
        <w:tc>
          <w:tcPr>
            <w:tcW w:w="964" w:type="dxa"/>
            <w:vAlign w:val="center"/>
          </w:tcPr>
          <w:p w14:paraId="0D4FD791">
            <w:pPr>
              <w:pStyle w:val="16"/>
            </w:pPr>
            <w:r>
              <w:t>2.65</w:t>
            </w:r>
          </w:p>
        </w:tc>
        <w:tc>
          <w:tcPr>
            <w:tcW w:w="964" w:type="dxa"/>
            <w:vAlign w:val="center"/>
          </w:tcPr>
          <w:p w14:paraId="381EC0D3">
            <w:pPr>
              <w:pStyle w:val="16"/>
            </w:pPr>
          </w:p>
        </w:tc>
        <w:tc>
          <w:tcPr>
            <w:tcW w:w="964" w:type="dxa"/>
            <w:vAlign w:val="center"/>
          </w:tcPr>
          <w:p w14:paraId="4E187850">
            <w:pPr>
              <w:pStyle w:val="16"/>
            </w:pPr>
          </w:p>
        </w:tc>
        <w:tc>
          <w:tcPr>
            <w:tcW w:w="964" w:type="dxa"/>
            <w:vAlign w:val="center"/>
          </w:tcPr>
          <w:p w14:paraId="4D8A77A9">
            <w:pPr>
              <w:pStyle w:val="16"/>
            </w:pPr>
          </w:p>
        </w:tc>
        <w:tc>
          <w:tcPr>
            <w:tcW w:w="964" w:type="dxa"/>
            <w:vAlign w:val="center"/>
          </w:tcPr>
          <w:p w14:paraId="3433CC15">
            <w:pPr>
              <w:pStyle w:val="16"/>
            </w:pPr>
          </w:p>
        </w:tc>
        <w:tc>
          <w:tcPr>
            <w:tcW w:w="964" w:type="dxa"/>
            <w:vAlign w:val="center"/>
          </w:tcPr>
          <w:p w14:paraId="21BEDCF6">
            <w:pPr>
              <w:pStyle w:val="16"/>
            </w:pPr>
          </w:p>
        </w:tc>
        <w:tc>
          <w:tcPr>
            <w:tcW w:w="964" w:type="dxa"/>
            <w:vAlign w:val="center"/>
          </w:tcPr>
          <w:p w14:paraId="698E6411">
            <w:pPr>
              <w:pStyle w:val="16"/>
            </w:pPr>
            <w:r>
              <w:t>2.65</w:t>
            </w:r>
          </w:p>
        </w:tc>
      </w:tr>
      <w:tr w14:paraId="151B6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3061EF">
            <w:pPr>
              <w:pStyle w:val="15"/>
            </w:pPr>
            <w:r>
              <w:t>隆尧县山口校区小计</w:t>
            </w:r>
          </w:p>
        </w:tc>
        <w:tc>
          <w:tcPr>
            <w:tcW w:w="964" w:type="dxa"/>
            <w:vAlign w:val="center"/>
          </w:tcPr>
          <w:p w14:paraId="585E3910">
            <w:pPr>
              <w:pStyle w:val="16"/>
            </w:pPr>
          </w:p>
        </w:tc>
        <w:tc>
          <w:tcPr>
            <w:tcW w:w="1134" w:type="dxa"/>
            <w:vAlign w:val="center"/>
          </w:tcPr>
          <w:p w14:paraId="75F630EC">
            <w:pPr>
              <w:pStyle w:val="17"/>
            </w:pPr>
          </w:p>
        </w:tc>
        <w:tc>
          <w:tcPr>
            <w:tcW w:w="1134" w:type="dxa"/>
            <w:vAlign w:val="center"/>
          </w:tcPr>
          <w:p w14:paraId="2B9A3BA4">
            <w:pPr>
              <w:pStyle w:val="17"/>
            </w:pPr>
          </w:p>
        </w:tc>
        <w:tc>
          <w:tcPr>
            <w:tcW w:w="709" w:type="dxa"/>
            <w:vAlign w:val="center"/>
          </w:tcPr>
          <w:p w14:paraId="36AFC3D9">
            <w:pPr>
              <w:pStyle w:val="15"/>
            </w:pPr>
          </w:p>
        </w:tc>
        <w:tc>
          <w:tcPr>
            <w:tcW w:w="850" w:type="dxa"/>
            <w:vAlign w:val="center"/>
          </w:tcPr>
          <w:p w14:paraId="1E3A980F">
            <w:pPr>
              <w:pStyle w:val="16"/>
            </w:pPr>
          </w:p>
        </w:tc>
        <w:tc>
          <w:tcPr>
            <w:tcW w:w="850" w:type="dxa"/>
            <w:vAlign w:val="center"/>
          </w:tcPr>
          <w:p w14:paraId="0F7508D4">
            <w:pPr>
              <w:pStyle w:val="16"/>
            </w:pPr>
          </w:p>
        </w:tc>
        <w:tc>
          <w:tcPr>
            <w:tcW w:w="964" w:type="dxa"/>
            <w:vAlign w:val="center"/>
          </w:tcPr>
          <w:p w14:paraId="561AE3BF">
            <w:pPr>
              <w:pStyle w:val="16"/>
            </w:pPr>
            <w:r>
              <w:t>2.65</w:t>
            </w:r>
          </w:p>
        </w:tc>
        <w:tc>
          <w:tcPr>
            <w:tcW w:w="964" w:type="dxa"/>
            <w:vAlign w:val="center"/>
          </w:tcPr>
          <w:p w14:paraId="42798312">
            <w:pPr>
              <w:pStyle w:val="16"/>
            </w:pPr>
            <w:r>
              <w:t>2.65</w:t>
            </w:r>
          </w:p>
        </w:tc>
        <w:tc>
          <w:tcPr>
            <w:tcW w:w="964" w:type="dxa"/>
            <w:vAlign w:val="center"/>
          </w:tcPr>
          <w:p w14:paraId="3002CBD3">
            <w:pPr>
              <w:pStyle w:val="16"/>
            </w:pPr>
          </w:p>
        </w:tc>
        <w:tc>
          <w:tcPr>
            <w:tcW w:w="964" w:type="dxa"/>
            <w:vAlign w:val="center"/>
          </w:tcPr>
          <w:p w14:paraId="0549CD35">
            <w:pPr>
              <w:pStyle w:val="16"/>
            </w:pPr>
          </w:p>
        </w:tc>
        <w:tc>
          <w:tcPr>
            <w:tcW w:w="964" w:type="dxa"/>
            <w:vAlign w:val="center"/>
          </w:tcPr>
          <w:p w14:paraId="53B2E247">
            <w:pPr>
              <w:pStyle w:val="16"/>
            </w:pPr>
          </w:p>
        </w:tc>
        <w:tc>
          <w:tcPr>
            <w:tcW w:w="964" w:type="dxa"/>
            <w:vAlign w:val="center"/>
          </w:tcPr>
          <w:p w14:paraId="4A9B5E35">
            <w:pPr>
              <w:pStyle w:val="16"/>
            </w:pPr>
          </w:p>
        </w:tc>
        <w:tc>
          <w:tcPr>
            <w:tcW w:w="964" w:type="dxa"/>
            <w:vAlign w:val="center"/>
          </w:tcPr>
          <w:p w14:paraId="33813D53">
            <w:pPr>
              <w:pStyle w:val="16"/>
            </w:pPr>
          </w:p>
        </w:tc>
        <w:tc>
          <w:tcPr>
            <w:tcW w:w="964" w:type="dxa"/>
            <w:vAlign w:val="center"/>
          </w:tcPr>
          <w:p w14:paraId="75694F1C">
            <w:pPr>
              <w:pStyle w:val="16"/>
            </w:pPr>
            <w:r>
              <w:t>2.65</w:t>
            </w:r>
          </w:p>
        </w:tc>
      </w:tr>
      <w:tr w14:paraId="00CCF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7F0B1F">
            <w:pPr>
              <w:pStyle w:val="13"/>
            </w:pPr>
            <w:r>
              <w:t>冀财教[2024]123号/中央/2025年义教补助经费/齐村小学公用经费</w:t>
            </w:r>
          </w:p>
        </w:tc>
        <w:tc>
          <w:tcPr>
            <w:tcW w:w="964" w:type="dxa"/>
            <w:vAlign w:val="center"/>
          </w:tcPr>
          <w:p w14:paraId="0F779292">
            <w:pPr>
              <w:pStyle w:val="14"/>
            </w:pPr>
            <w:r>
              <w:t>41.64</w:t>
            </w:r>
          </w:p>
        </w:tc>
        <w:tc>
          <w:tcPr>
            <w:tcW w:w="1134" w:type="dxa"/>
            <w:vAlign w:val="center"/>
          </w:tcPr>
          <w:p w14:paraId="67DCBDC0">
            <w:pPr>
              <w:pStyle w:val="13"/>
            </w:pPr>
            <w:r>
              <w:t>台式计算机</w:t>
            </w:r>
          </w:p>
        </w:tc>
        <w:tc>
          <w:tcPr>
            <w:tcW w:w="1134" w:type="dxa"/>
            <w:vAlign w:val="center"/>
          </w:tcPr>
          <w:p w14:paraId="060B6D6B">
            <w:pPr>
              <w:pStyle w:val="13"/>
            </w:pPr>
            <w:r>
              <w:t>A02010105</w:t>
            </w:r>
          </w:p>
        </w:tc>
        <w:tc>
          <w:tcPr>
            <w:tcW w:w="709" w:type="dxa"/>
            <w:vAlign w:val="center"/>
          </w:tcPr>
          <w:p w14:paraId="75D62486">
            <w:pPr>
              <w:pStyle w:val="12"/>
            </w:pPr>
            <w:r>
              <w:t>万元</w:t>
            </w:r>
          </w:p>
        </w:tc>
        <w:tc>
          <w:tcPr>
            <w:tcW w:w="850" w:type="dxa"/>
            <w:vAlign w:val="center"/>
          </w:tcPr>
          <w:p w14:paraId="5D43BB22">
            <w:pPr>
              <w:pStyle w:val="14"/>
            </w:pPr>
            <w:r>
              <w:t>20</w:t>
            </w:r>
          </w:p>
        </w:tc>
        <w:tc>
          <w:tcPr>
            <w:tcW w:w="850" w:type="dxa"/>
            <w:vAlign w:val="center"/>
          </w:tcPr>
          <w:p w14:paraId="768AF934">
            <w:pPr>
              <w:pStyle w:val="14"/>
            </w:pPr>
            <w:r>
              <w:t>0.13</w:t>
            </w:r>
          </w:p>
        </w:tc>
        <w:tc>
          <w:tcPr>
            <w:tcW w:w="964" w:type="dxa"/>
            <w:vAlign w:val="center"/>
          </w:tcPr>
          <w:p w14:paraId="568E8422">
            <w:pPr>
              <w:pStyle w:val="14"/>
            </w:pPr>
            <w:r>
              <w:t>2.65</w:t>
            </w:r>
          </w:p>
        </w:tc>
        <w:tc>
          <w:tcPr>
            <w:tcW w:w="964" w:type="dxa"/>
            <w:vAlign w:val="center"/>
          </w:tcPr>
          <w:p w14:paraId="13E50D95">
            <w:pPr>
              <w:pStyle w:val="14"/>
            </w:pPr>
            <w:r>
              <w:t>2.65</w:t>
            </w:r>
          </w:p>
        </w:tc>
        <w:tc>
          <w:tcPr>
            <w:tcW w:w="964" w:type="dxa"/>
            <w:vAlign w:val="center"/>
          </w:tcPr>
          <w:p w14:paraId="22FA7678">
            <w:pPr>
              <w:pStyle w:val="14"/>
            </w:pPr>
          </w:p>
        </w:tc>
        <w:tc>
          <w:tcPr>
            <w:tcW w:w="964" w:type="dxa"/>
            <w:vAlign w:val="center"/>
          </w:tcPr>
          <w:p w14:paraId="25317B31">
            <w:pPr>
              <w:pStyle w:val="14"/>
            </w:pPr>
          </w:p>
        </w:tc>
        <w:tc>
          <w:tcPr>
            <w:tcW w:w="964" w:type="dxa"/>
            <w:vAlign w:val="center"/>
          </w:tcPr>
          <w:p w14:paraId="55302F57">
            <w:pPr>
              <w:pStyle w:val="14"/>
            </w:pPr>
          </w:p>
        </w:tc>
        <w:tc>
          <w:tcPr>
            <w:tcW w:w="964" w:type="dxa"/>
            <w:vAlign w:val="center"/>
          </w:tcPr>
          <w:p w14:paraId="5E138380">
            <w:pPr>
              <w:pStyle w:val="14"/>
            </w:pPr>
          </w:p>
        </w:tc>
        <w:tc>
          <w:tcPr>
            <w:tcW w:w="964" w:type="dxa"/>
            <w:vAlign w:val="center"/>
          </w:tcPr>
          <w:p w14:paraId="3249F169">
            <w:pPr>
              <w:pStyle w:val="14"/>
            </w:pPr>
          </w:p>
        </w:tc>
        <w:tc>
          <w:tcPr>
            <w:tcW w:w="964" w:type="dxa"/>
            <w:vAlign w:val="center"/>
          </w:tcPr>
          <w:p w14:paraId="27E44D74">
            <w:pPr>
              <w:pStyle w:val="14"/>
            </w:pPr>
            <w:r>
              <w:t>2.65</w:t>
            </w:r>
          </w:p>
        </w:tc>
      </w:tr>
    </w:tbl>
    <w:p w14:paraId="701770A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528A7F">
      <w:pPr>
        <w:spacing w:before="0" w:after="0"/>
        <w:ind w:firstLine="640"/>
        <w:jc w:val="left"/>
        <w:outlineLvl w:val="9"/>
      </w:pPr>
      <w:r>
        <w:rPr>
          <w:rFonts w:ascii="Times New Roman" w:hAnsi="Times New Roman" w:eastAsia="方正仿宋_GBK" w:cs="Times New Roman"/>
          <w:color w:val="000000"/>
          <w:sz w:val="32"/>
        </w:rPr>
        <w:t xml:space="preserve"> </w:t>
      </w:r>
    </w:p>
    <w:p w14:paraId="0DBC611A">
      <w:pPr>
        <w:spacing w:before="10" w:after="10" w:line="240" w:lineRule="auto"/>
        <w:ind w:firstLine="640"/>
        <w:jc w:val="left"/>
        <w:outlineLvl w:val="5"/>
        <w:rPr>
          <w:rFonts w:ascii="黑体" w:hAnsi="黑体" w:eastAsia="黑体" w:cs="黑体"/>
          <w:color w:val="000000"/>
          <w:sz w:val="32"/>
        </w:rPr>
      </w:pPr>
    </w:p>
    <w:p w14:paraId="21139087">
      <w:pPr>
        <w:spacing w:before="10" w:after="10" w:line="240" w:lineRule="auto"/>
        <w:ind w:firstLine="640"/>
        <w:jc w:val="left"/>
        <w:outlineLvl w:val="5"/>
        <w:rPr>
          <w:rFonts w:ascii="黑体" w:hAnsi="黑体" w:eastAsia="黑体" w:cs="黑体"/>
          <w:color w:val="000000"/>
          <w:sz w:val="32"/>
        </w:rPr>
      </w:pPr>
    </w:p>
    <w:p w14:paraId="3185BE19">
      <w:pPr>
        <w:spacing w:before="10" w:after="10" w:line="240" w:lineRule="auto"/>
        <w:ind w:firstLine="640"/>
        <w:jc w:val="left"/>
        <w:outlineLvl w:val="5"/>
        <w:rPr>
          <w:rFonts w:ascii="黑体" w:hAnsi="黑体" w:eastAsia="黑体" w:cs="黑体"/>
          <w:color w:val="000000"/>
          <w:sz w:val="32"/>
        </w:rPr>
      </w:pPr>
    </w:p>
    <w:p w14:paraId="5BA5EBD6">
      <w:pPr>
        <w:spacing w:before="10" w:after="10" w:line="240" w:lineRule="auto"/>
        <w:ind w:firstLine="640"/>
        <w:jc w:val="left"/>
        <w:outlineLvl w:val="5"/>
        <w:rPr>
          <w:rFonts w:ascii="黑体" w:hAnsi="黑体" w:eastAsia="黑体" w:cs="黑体"/>
          <w:color w:val="000000"/>
          <w:sz w:val="32"/>
        </w:rPr>
      </w:pPr>
    </w:p>
    <w:p w14:paraId="00C755B9">
      <w:pPr>
        <w:spacing w:before="10" w:after="10" w:line="240" w:lineRule="auto"/>
        <w:ind w:firstLine="640"/>
        <w:jc w:val="left"/>
        <w:outlineLvl w:val="5"/>
        <w:rPr>
          <w:rFonts w:ascii="黑体" w:hAnsi="黑体" w:eastAsia="黑体" w:cs="黑体"/>
          <w:color w:val="000000"/>
          <w:sz w:val="32"/>
        </w:rPr>
      </w:pPr>
    </w:p>
    <w:p w14:paraId="0D461F02">
      <w:pPr>
        <w:spacing w:before="10" w:after="10" w:line="240" w:lineRule="auto"/>
        <w:ind w:firstLine="640"/>
        <w:jc w:val="left"/>
        <w:outlineLvl w:val="5"/>
        <w:rPr>
          <w:rFonts w:ascii="黑体" w:hAnsi="黑体" w:eastAsia="黑体" w:cs="黑体"/>
          <w:color w:val="000000"/>
          <w:sz w:val="32"/>
        </w:rPr>
      </w:pPr>
    </w:p>
    <w:p w14:paraId="6CB05BF3">
      <w:pPr>
        <w:spacing w:before="10" w:after="10" w:line="240" w:lineRule="auto"/>
        <w:ind w:firstLine="640"/>
        <w:jc w:val="left"/>
        <w:outlineLvl w:val="5"/>
        <w:rPr>
          <w:rFonts w:ascii="黑体" w:hAnsi="黑体" w:eastAsia="黑体" w:cs="黑体"/>
          <w:color w:val="000000"/>
          <w:sz w:val="32"/>
        </w:rPr>
      </w:pPr>
    </w:p>
    <w:p w14:paraId="5A118133">
      <w:pPr>
        <w:spacing w:before="10" w:after="10" w:line="240" w:lineRule="auto"/>
        <w:ind w:firstLine="640"/>
        <w:jc w:val="left"/>
        <w:outlineLvl w:val="5"/>
      </w:pPr>
      <w:r>
        <w:rPr>
          <w:rFonts w:ascii="黑体" w:hAnsi="黑体" w:eastAsia="黑体" w:cs="黑体"/>
          <w:color w:val="000000"/>
          <w:sz w:val="32"/>
        </w:rPr>
        <w:t>七、国有资产信息</w:t>
      </w:r>
    </w:p>
    <w:p w14:paraId="2C7EB12E">
      <w:pPr>
        <w:spacing w:before="0" w:after="0" w:line="500" w:lineRule="exact"/>
        <w:ind w:firstLine="560"/>
        <w:jc w:val="left"/>
        <w:outlineLvl w:val="9"/>
      </w:pPr>
      <w:r>
        <w:rPr>
          <w:rFonts w:ascii="Times New Roman" w:hAnsi="Times New Roman" w:eastAsia="方正仿宋_GBK" w:cs="Times New Roman"/>
          <w:b w:val="0"/>
          <w:color w:val="000000"/>
          <w:sz w:val="28"/>
        </w:rPr>
        <w:t>隆尧县山口校区上年末固定资产金额为3454.66万元（详见下表）。本年度拟购置固定资产总额为21.80万元，已按要求列入政府采购预算，详见政府采购预算表。</w:t>
      </w:r>
    </w:p>
    <w:p w14:paraId="151899E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CC09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DCEF8B8">
            <w:pPr>
              <w:pStyle w:val="8"/>
            </w:pPr>
            <w:r>
              <w:t>360021隆尧县山口校区</w:t>
            </w:r>
          </w:p>
        </w:tc>
        <w:tc>
          <w:tcPr>
            <w:tcW w:w="5670" w:type="dxa"/>
            <w:gridSpan w:val="2"/>
            <w:tcBorders>
              <w:top w:val="single" w:color="FFFFFF" w:sz="6" w:space="0"/>
              <w:left w:val="single" w:color="FFFFFF" w:sz="6" w:space="0"/>
              <w:right w:val="single" w:color="FFFFFF" w:sz="6" w:space="0"/>
            </w:tcBorders>
            <w:vAlign w:val="center"/>
          </w:tcPr>
          <w:p w14:paraId="5656DD89">
            <w:pPr>
              <w:pStyle w:val="10"/>
            </w:pPr>
            <w:r>
              <w:t>截止时间：2024-12-31</w:t>
            </w:r>
          </w:p>
        </w:tc>
      </w:tr>
      <w:tr w14:paraId="29DAA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03D0CD0">
            <w:pPr>
              <w:pStyle w:val="11"/>
            </w:pPr>
            <w:r>
              <w:t>项   目</w:t>
            </w:r>
          </w:p>
        </w:tc>
        <w:tc>
          <w:tcPr>
            <w:tcW w:w="2835" w:type="dxa"/>
            <w:vAlign w:val="center"/>
          </w:tcPr>
          <w:p w14:paraId="71A27AD4">
            <w:pPr>
              <w:pStyle w:val="11"/>
            </w:pPr>
            <w:r>
              <w:t>数量</w:t>
            </w:r>
          </w:p>
        </w:tc>
        <w:tc>
          <w:tcPr>
            <w:tcW w:w="2835" w:type="dxa"/>
            <w:vAlign w:val="center"/>
          </w:tcPr>
          <w:p w14:paraId="10BC57E3">
            <w:pPr>
              <w:pStyle w:val="11"/>
            </w:pPr>
            <w:r>
              <w:t>价值（金额单位：万元）</w:t>
            </w:r>
          </w:p>
        </w:tc>
      </w:tr>
      <w:tr w14:paraId="6CD88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76D13D">
            <w:pPr>
              <w:pStyle w:val="13"/>
            </w:pPr>
            <w:r>
              <w:t>资产总额</w:t>
            </w:r>
          </w:p>
        </w:tc>
        <w:tc>
          <w:tcPr>
            <w:tcW w:w="2835" w:type="dxa"/>
            <w:vAlign w:val="center"/>
          </w:tcPr>
          <w:p w14:paraId="7F3800CB">
            <w:pPr>
              <w:pStyle w:val="12"/>
            </w:pPr>
          </w:p>
        </w:tc>
        <w:tc>
          <w:tcPr>
            <w:tcW w:w="2835" w:type="dxa"/>
            <w:vAlign w:val="center"/>
          </w:tcPr>
          <w:p w14:paraId="0E267FC8">
            <w:pPr>
              <w:pStyle w:val="14"/>
            </w:pPr>
            <w:r>
              <w:t>3454.66</w:t>
            </w:r>
          </w:p>
        </w:tc>
      </w:tr>
      <w:tr w14:paraId="52418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1F93C3">
            <w:pPr>
              <w:pStyle w:val="13"/>
            </w:pPr>
            <w:r>
              <w:t>1、房屋（平方米）</w:t>
            </w:r>
          </w:p>
        </w:tc>
        <w:tc>
          <w:tcPr>
            <w:tcW w:w="2835" w:type="dxa"/>
            <w:vAlign w:val="center"/>
          </w:tcPr>
          <w:p w14:paraId="7FD59673">
            <w:pPr>
              <w:pStyle w:val="12"/>
            </w:pPr>
            <w:r>
              <w:t>29364.53</w:t>
            </w:r>
          </w:p>
        </w:tc>
        <w:tc>
          <w:tcPr>
            <w:tcW w:w="2835" w:type="dxa"/>
            <w:vAlign w:val="center"/>
          </w:tcPr>
          <w:p w14:paraId="1FF834C3">
            <w:pPr>
              <w:pStyle w:val="14"/>
            </w:pPr>
            <w:r>
              <w:t>2589.72</w:t>
            </w:r>
          </w:p>
        </w:tc>
      </w:tr>
      <w:tr w14:paraId="5CC16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9555411">
            <w:pPr>
              <w:pStyle w:val="13"/>
            </w:pPr>
            <w:r>
              <w:t>　　其中：办公用房（平方米）</w:t>
            </w:r>
          </w:p>
        </w:tc>
        <w:tc>
          <w:tcPr>
            <w:tcW w:w="2835" w:type="dxa"/>
            <w:vAlign w:val="center"/>
          </w:tcPr>
          <w:p w14:paraId="065AB1CA">
            <w:pPr>
              <w:pStyle w:val="12"/>
            </w:pPr>
            <w:r>
              <w:t>18685.38</w:t>
            </w:r>
          </w:p>
        </w:tc>
        <w:tc>
          <w:tcPr>
            <w:tcW w:w="2835" w:type="dxa"/>
            <w:vAlign w:val="center"/>
          </w:tcPr>
          <w:p w14:paraId="11E69F5F">
            <w:pPr>
              <w:pStyle w:val="14"/>
              <w:rPr>
                <w:rFonts w:hint="default" w:eastAsia="方正书宋_GBK"/>
                <w:color w:val="FF0000"/>
                <w:lang w:val="en-US" w:eastAsia="zh-CN"/>
              </w:rPr>
            </w:pPr>
            <w:r>
              <w:rPr>
                <w:rFonts w:hint="eastAsia"/>
                <w:color w:val="auto"/>
                <w:lang w:val="en-US" w:eastAsia="zh-CN"/>
              </w:rPr>
              <w:t>1374.52</w:t>
            </w:r>
          </w:p>
        </w:tc>
      </w:tr>
      <w:tr w14:paraId="65851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01C474">
            <w:pPr>
              <w:pStyle w:val="13"/>
            </w:pPr>
            <w:r>
              <w:t>2、车辆（台、辆）</w:t>
            </w:r>
          </w:p>
        </w:tc>
        <w:tc>
          <w:tcPr>
            <w:tcW w:w="2835" w:type="dxa"/>
            <w:vAlign w:val="center"/>
          </w:tcPr>
          <w:p w14:paraId="4B029D9E">
            <w:pPr>
              <w:pStyle w:val="12"/>
            </w:pPr>
          </w:p>
        </w:tc>
        <w:tc>
          <w:tcPr>
            <w:tcW w:w="2835" w:type="dxa"/>
            <w:vAlign w:val="center"/>
          </w:tcPr>
          <w:p w14:paraId="58352C2D">
            <w:pPr>
              <w:pStyle w:val="14"/>
            </w:pPr>
          </w:p>
        </w:tc>
      </w:tr>
      <w:tr w14:paraId="6F4D1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77848E">
            <w:pPr>
              <w:pStyle w:val="13"/>
            </w:pPr>
            <w:r>
              <w:t>3、单价在20万元以上的设备</w:t>
            </w:r>
          </w:p>
        </w:tc>
        <w:tc>
          <w:tcPr>
            <w:tcW w:w="2835" w:type="dxa"/>
            <w:vAlign w:val="center"/>
          </w:tcPr>
          <w:p w14:paraId="4B898C4D">
            <w:pPr>
              <w:pStyle w:val="12"/>
            </w:pPr>
            <w:r>
              <w:t>1</w:t>
            </w:r>
          </w:p>
        </w:tc>
        <w:tc>
          <w:tcPr>
            <w:tcW w:w="2835" w:type="dxa"/>
            <w:vAlign w:val="center"/>
          </w:tcPr>
          <w:p w14:paraId="596E8038">
            <w:pPr>
              <w:pStyle w:val="14"/>
            </w:pPr>
            <w:r>
              <w:t>26.28</w:t>
            </w:r>
          </w:p>
        </w:tc>
      </w:tr>
      <w:tr w14:paraId="0A38F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60493D">
            <w:pPr>
              <w:pStyle w:val="13"/>
            </w:pPr>
            <w:r>
              <w:t>4、其他固定资产</w:t>
            </w:r>
          </w:p>
        </w:tc>
        <w:tc>
          <w:tcPr>
            <w:tcW w:w="2835" w:type="dxa"/>
            <w:vAlign w:val="center"/>
          </w:tcPr>
          <w:p w14:paraId="39330FBB">
            <w:pPr>
              <w:pStyle w:val="12"/>
            </w:pPr>
            <w:r>
              <w:t>3248</w:t>
            </w:r>
          </w:p>
        </w:tc>
        <w:tc>
          <w:tcPr>
            <w:tcW w:w="2835" w:type="dxa"/>
            <w:vAlign w:val="center"/>
          </w:tcPr>
          <w:p w14:paraId="2D4ED7B4">
            <w:pPr>
              <w:pStyle w:val="14"/>
            </w:pPr>
            <w:r>
              <w:t>838.66</w:t>
            </w:r>
          </w:p>
        </w:tc>
      </w:tr>
    </w:tbl>
    <w:p w14:paraId="0FE84D6F">
      <w:pPr>
        <w:spacing w:before="0" w:after="0"/>
        <w:ind w:firstLine="640"/>
        <w:jc w:val="left"/>
        <w:outlineLvl w:val="9"/>
      </w:pPr>
      <w:r>
        <w:rPr>
          <w:rFonts w:ascii="Times New Roman" w:hAnsi="Times New Roman" w:eastAsia="方正仿宋_GBK" w:cs="Times New Roman"/>
          <w:color w:val="000000"/>
          <w:sz w:val="32"/>
        </w:rPr>
        <w:t xml:space="preserve"> </w:t>
      </w:r>
    </w:p>
    <w:p w14:paraId="2D4835B5">
      <w:pPr>
        <w:spacing w:before="10" w:after="10" w:line="240" w:lineRule="auto"/>
        <w:ind w:firstLine="640"/>
        <w:jc w:val="left"/>
        <w:outlineLvl w:val="5"/>
      </w:pPr>
      <w:r>
        <w:rPr>
          <w:rFonts w:ascii="黑体" w:hAnsi="黑体" w:eastAsia="黑体" w:cs="黑体"/>
          <w:color w:val="000000"/>
          <w:sz w:val="32"/>
        </w:rPr>
        <w:t>八、名词解释</w:t>
      </w:r>
    </w:p>
    <w:p w14:paraId="62F29AB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3AF4BC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36614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B0ECE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B8383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2E7D8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FA03B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2804A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F0B9A8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735A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71499D">
      <w:pPr>
        <w:spacing w:before="10" w:after="10" w:line="240" w:lineRule="auto"/>
        <w:ind w:firstLine="640"/>
        <w:jc w:val="left"/>
        <w:outlineLvl w:val="5"/>
      </w:pPr>
      <w:r>
        <w:rPr>
          <w:rFonts w:ascii="黑体" w:hAnsi="黑体" w:eastAsia="黑体" w:cs="黑体"/>
          <w:color w:val="000000"/>
          <w:sz w:val="32"/>
        </w:rPr>
        <w:t>九、其他需要说明的事项</w:t>
      </w:r>
    </w:p>
    <w:p w14:paraId="38AD437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F90A48A">
      <w:pPr>
        <w:spacing w:before="0" w:after="0"/>
        <w:ind w:firstLine="0"/>
        <w:jc w:val="center"/>
        <w:outlineLvl w:val="3"/>
      </w:pPr>
      <w:bookmarkStart w:id="21" w:name="_Toc_4_4_0000000041"/>
      <w:r>
        <w:rPr>
          <w:rFonts w:ascii="方正小标宋_GBK" w:hAnsi="方正小标宋_GBK" w:eastAsia="方正小标宋_GBK" w:cs="方正小标宋_GBK"/>
          <w:b w:val="0"/>
          <w:color w:val="000000"/>
          <w:sz w:val="44"/>
        </w:rPr>
        <w:t>二十一、隆尧县尹村校区收支预算</w:t>
      </w:r>
      <w:bookmarkEnd w:id="21"/>
    </w:p>
    <w:p w14:paraId="7A8D97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2891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CEBBAD">
            <w:pPr>
              <w:pStyle w:val="8"/>
            </w:pPr>
            <w:r>
              <w:t>360022隆尧县尹村校区</w:t>
            </w:r>
          </w:p>
        </w:tc>
        <w:tc>
          <w:tcPr>
            <w:tcW w:w="2126" w:type="dxa"/>
            <w:tcBorders>
              <w:top w:val="single" w:color="FFFFFF" w:sz="6" w:space="0"/>
              <w:left w:val="single" w:color="FFFFFF" w:sz="6" w:space="0"/>
              <w:right w:val="single" w:color="FFFFFF" w:sz="6" w:space="0"/>
            </w:tcBorders>
            <w:vAlign w:val="center"/>
          </w:tcPr>
          <w:p w14:paraId="207664B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F0B92F8">
            <w:pPr>
              <w:pStyle w:val="10"/>
            </w:pPr>
            <w:r>
              <w:t>单位：万元</w:t>
            </w:r>
          </w:p>
        </w:tc>
      </w:tr>
      <w:tr w14:paraId="40CE2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255EBE">
            <w:pPr>
              <w:pStyle w:val="11"/>
            </w:pPr>
            <w:r>
              <w:t>序号</w:t>
            </w:r>
          </w:p>
        </w:tc>
        <w:tc>
          <w:tcPr>
            <w:tcW w:w="6661" w:type="dxa"/>
            <w:gridSpan w:val="2"/>
            <w:vAlign w:val="center"/>
          </w:tcPr>
          <w:p w14:paraId="75ED5F51">
            <w:pPr>
              <w:pStyle w:val="11"/>
            </w:pPr>
            <w:r>
              <w:t>收入</w:t>
            </w:r>
          </w:p>
        </w:tc>
        <w:tc>
          <w:tcPr>
            <w:tcW w:w="6661" w:type="dxa"/>
            <w:gridSpan w:val="2"/>
            <w:vAlign w:val="center"/>
          </w:tcPr>
          <w:p w14:paraId="5F8F3776">
            <w:pPr>
              <w:pStyle w:val="11"/>
            </w:pPr>
            <w:r>
              <w:t>支出</w:t>
            </w:r>
          </w:p>
        </w:tc>
      </w:tr>
      <w:tr w14:paraId="6AA79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48B877A2"/>
        </w:tc>
        <w:tc>
          <w:tcPr>
            <w:tcW w:w="4535" w:type="dxa"/>
            <w:vAlign w:val="center"/>
          </w:tcPr>
          <w:p w14:paraId="269DF591">
            <w:pPr>
              <w:pStyle w:val="11"/>
            </w:pPr>
            <w:r>
              <w:t>项  目</w:t>
            </w:r>
          </w:p>
        </w:tc>
        <w:tc>
          <w:tcPr>
            <w:tcW w:w="2126" w:type="dxa"/>
            <w:vAlign w:val="center"/>
          </w:tcPr>
          <w:p w14:paraId="3C623796">
            <w:pPr>
              <w:pStyle w:val="11"/>
            </w:pPr>
            <w:r>
              <w:t>预算数</w:t>
            </w:r>
          </w:p>
        </w:tc>
        <w:tc>
          <w:tcPr>
            <w:tcW w:w="4535" w:type="dxa"/>
            <w:vAlign w:val="center"/>
          </w:tcPr>
          <w:p w14:paraId="7B1C3262">
            <w:pPr>
              <w:pStyle w:val="11"/>
            </w:pPr>
            <w:r>
              <w:t>项  目</w:t>
            </w:r>
          </w:p>
        </w:tc>
        <w:tc>
          <w:tcPr>
            <w:tcW w:w="2126" w:type="dxa"/>
            <w:vAlign w:val="center"/>
          </w:tcPr>
          <w:p w14:paraId="3E8BDC2E">
            <w:pPr>
              <w:pStyle w:val="11"/>
            </w:pPr>
            <w:r>
              <w:t>预算数</w:t>
            </w:r>
          </w:p>
        </w:tc>
      </w:tr>
      <w:tr w14:paraId="4CC78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6C3D6">
            <w:pPr>
              <w:pStyle w:val="11"/>
            </w:pPr>
            <w:r>
              <w:t>栏次</w:t>
            </w:r>
          </w:p>
        </w:tc>
        <w:tc>
          <w:tcPr>
            <w:tcW w:w="4535" w:type="dxa"/>
            <w:vAlign w:val="center"/>
          </w:tcPr>
          <w:p w14:paraId="6724EC8C">
            <w:pPr>
              <w:pStyle w:val="11"/>
            </w:pPr>
            <w:r>
              <w:t>1</w:t>
            </w:r>
          </w:p>
        </w:tc>
        <w:tc>
          <w:tcPr>
            <w:tcW w:w="2126" w:type="dxa"/>
            <w:vAlign w:val="center"/>
          </w:tcPr>
          <w:p w14:paraId="053BCD19">
            <w:pPr>
              <w:pStyle w:val="11"/>
            </w:pPr>
            <w:r>
              <w:t>2</w:t>
            </w:r>
          </w:p>
        </w:tc>
        <w:tc>
          <w:tcPr>
            <w:tcW w:w="4535" w:type="dxa"/>
            <w:vAlign w:val="center"/>
          </w:tcPr>
          <w:p w14:paraId="1803520E">
            <w:pPr>
              <w:pStyle w:val="11"/>
            </w:pPr>
            <w:r>
              <w:t>3</w:t>
            </w:r>
          </w:p>
        </w:tc>
        <w:tc>
          <w:tcPr>
            <w:tcW w:w="2126" w:type="dxa"/>
            <w:vAlign w:val="center"/>
          </w:tcPr>
          <w:p w14:paraId="3CA8C767">
            <w:pPr>
              <w:pStyle w:val="11"/>
            </w:pPr>
            <w:r>
              <w:t>4</w:t>
            </w:r>
          </w:p>
        </w:tc>
      </w:tr>
      <w:tr w14:paraId="3CA71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F0D84">
            <w:pPr>
              <w:pStyle w:val="12"/>
            </w:pPr>
            <w:r>
              <w:t>1</w:t>
            </w:r>
          </w:p>
        </w:tc>
        <w:tc>
          <w:tcPr>
            <w:tcW w:w="4535" w:type="dxa"/>
            <w:vAlign w:val="center"/>
          </w:tcPr>
          <w:p w14:paraId="5ADEC844">
            <w:pPr>
              <w:pStyle w:val="13"/>
            </w:pPr>
            <w:r>
              <w:t>一、一般公共预算拨款收入</w:t>
            </w:r>
          </w:p>
        </w:tc>
        <w:tc>
          <w:tcPr>
            <w:tcW w:w="2126" w:type="dxa"/>
            <w:vAlign w:val="center"/>
          </w:tcPr>
          <w:p w14:paraId="4CACCA59">
            <w:pPr>
              <w:pStyle w:val="14"/>
            </w:pPr>
            <w:r>
              <w:t>4338.96</w:t>
            </w:r>
          </w:p>
        </w:tc>
        <w:tc>
          <w:tcPr>
            <w:tcW w:w="4535" w:type="dxa"/>
            <w:vAlign w:val="center"/>
          </w:tcPr>
          <w:p w14:paraId="3E085F64">
            <w:pPr>
              <w:pStyle w:val="13"/>
            </w:pPr>
            <w:r>
              <w:t>一、一般公共服务支出</w:t>
            </w:r>
          </w:p>
        </w:tc>
        <w:tc>
          <w:tcPr>
            <w:tcW w:w="2126" w:type="dxa"/>
            <w:vAlign w:val="center"/>
          </w:tcPr>
          <w:p w14:paraId="1ECA2C6F">
            <w:pPr>
              <w:pStyle w:val="14"/>
            </w:pPr>
          </w:p>
        </w:tc>
      </w:tr>
      <w:tr w14:paraId="0F5DB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874E8">
            <w:pPr>
              <w:pStyle w:val="12"/>
            </w:pPr>
            <w:r>
              <w:t>2</w:t>
            </w:r>
          </w:p>
        </w:tc>
        <w:tc>
          <w:tcPr>
            <w:tcW w:w="4535" w:type="dxa"/>
            <w:vAlign w:val="center"/>
          </w:tcPr>
          <w:p w14:paraId="4F83E692">
            <w:pPr>
              <w:pStyle w:val="13"/>
            </w:pPr>
            <w:r>
              <w:t>二、政府性基金预算拨款收入</w:t>
            </w:r>
          </w:p>
        </w:tc>
        <w:tc>
          <w:tcPr>
            <w:tcW w:w="2126" w:type="dxa"/>
            <w:vAlign w:val="center"/>
          </w:tcPr>
          <w:p w14:paraId="1D0444A1">
            <w:pPr>
              <w:pStyle w:val="14"/>
            </w:pPr>
          </w:p>
        </w:tc>
        <w:tc>
          <w:tcPr>
            <w:tcW w:w="4535" w:type="dxa"/>
            <w:vAlign w:val="center"/>
          </w:tcPr>
          <w:p w14:paraId="4B554CDB">
            <w:pPr>
              <w:pStyle w:val="13"/>
            </w:pPr>
            <w:r>
              <w:t>二、外交支出</w:t>
            </w:r>
          </w:p>
        </w:tc>
        <w:tc>
          <w:tcPr>
            <w:tcW w:w="2126" w:type="dxa"/>
            <w:vAlign w:val="center"/>
          </w:tcPr>
          <w:p w14:paraId="4D62C60C">
            <w:pPr>
              <w:pStyle w:val="14"/>
            </w:pPr>
          </w:p>
        </w:tc>
      </w:tr>
      <w:tr w14:paraId="01180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CBB54">
            <w:pPr>
              <w:pStyle w:val="12"/>
            </w:pPr>
            <w:r>
              <w:t>3</w:t>
            </w:r>
          </w:p>
        </w:tc>
        <w:tc>
          <w:tcPr>
            <w:tcW w:w="4535" w:type="dxa"/>
            <w:vAlign w:val="center"/>
          </w:tcPr>
          <w:p w14:paraId="5BC98193">
            <w:pPr>
              <w:pStyle w:val="13"/>
            </w:pPr>
            <w:r>
              <w:t>三、国有资本经营预算拨款收入</w:t>
            </w:r>
          </w:p>
        </w:tc>
        <w:tc>
          <w:tcPr>
            <w:tcW w:w="2126" w:type="dxa"/>
            <w:vAlign w:val="center"/>
          </w:tcPr>
          <w:p w14:paraId="148A433F">
            <w:pPr>
              <w:pStyle w:val="14"/>
            </w:pPr>
          </w:p>
        </w:tc>
        <w:tc>
          <w:tcPr>
            <w:tcW w:w="4535" w:type="dxa"/>
            <w:vAlign w:val="center"/>
          </w:tcPr>
          <w:p w14:paraId="7182BEFD">
            <w:pPr>
              <w:pStyle w:val="13"/>
            </w:pPr>
            <w:r>
              <w:t>三、国防支出</w:t>
            </w:r>
          </w:p>
        </w:tc>
        <w:tc>
          <w:tcPr>
            <w:tcW w:w="2126" w:type="dxa"/>
            <w:vAlign w:val="center"/>
          </w:tcPr>
          <w:p w14:paraId="54181EC9">
            <w:pPr>
              <w:pStyle w:val="14"/>
            </w:pPr>
          </w:p>
        </w:tc>
      </w:tr>
      <w:tr w14:paraId="0B280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833B9">
            <w:pPr>
              <w:pStyle w:val="12"/>
            </w:pPr>
            <w:r>
              <w:t>4</w:t>
            </w:r>
          </w:p>
        </w:tc>
        <w:tc>
          <w:tcPr>
            <w:tcW w:w="4535" w:type="dxa"/>
            <w:vAlign w:val="center"/>
          </w:tcPr>
          <w:p w14:paraId="7A498922">
            <w:pPr>
              <w:pStyle w:val="13"/>
            </w:pPr>
            <w:r>
              <w:t>四、财政专户管理资金收入</w:t>
            </w:r>
          </w:p>
        </w:tc>
        <w:tc>
          <w:tcPr>
            <w:tcW w:w="2126" w:type="dxa"/>
            <w:vAlign w:val="center"/>
          </w:tcPr>
          <w:p w14:paraId="7614985A">
            <w:pPr>
              <w:pStyle w:val="14"/>
            </w:pPr>
          </w:p>
        </w:tc>
        <w:tc>
          <w:tcPr>
            <w:tcW w:w="4535" w:type="dxa"/>
            <w:vAlign w:val="center"/>
          </w:tcPr>
          <w:p w14:paraId="323D9B20">
            <w:pPr>
              <w:pStyle w:val="13"/>
            </w:pPr>
            <w:r>
              <w:t>四、公共安全支出</w:t>
            </w:r>
          </w:p>
        </w:tc>
        <w:tc>
          <w:tcPr>
            <w:tcW w:w="2126" w:type="dxa"/>
            <w:vAlign w:val="center"/>
          </w:tcPr>
          <w:p w14:paraId="15F7F50E">
            <w:pPr>
              <w:pStyle w:val="14"/>
            </w:pPr>
          </w:p>
        </w:tc>
      </w:tr>
      <w:tr w14:paraId="3595A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119C8">
            <w:pPr>
              <w:pStyle w:val="12"/>
            </w:pPr>
            <w:r>
              <w:t>5</w:t>
            </w:r>
          </w:p>
        </w:tc>
        <w:tc>
          <w:tcPr>
            <w:tcW w:w="4535" w:type="dxa"/>
            <w:vAlign w:val="center"/>
          </w:tcPr>
          <w:p w14:paraId="63D7ED9C">
            <w:pPr>
              <w:pStyle w:val="13"/>
            </w:pPr>
            <w:r>
              <w:t>五、单位资金</w:t>
            </w:r>
          </w:p>
        </w:tc>
        <w:tc>
          <w:tcPr>
            <w:tcW w:w="2126" w:type="dxa"/>
            <w:vAlign w:val="center"/>
          </w:tcPr>
          <w:p w14:paraId="53CDBB43">
            <w:pPr>
              <w:pStyle w:val="14"/>
            </w:pPr>
          </w:p>
        </w:tc>
        <w:tc>
          <w:tcPr>
            <w:tcW w:w="4535" w:type="dxa"/>
            <w:vAlign w:val="center"/>
          </w:tcPr>
          <w:p w14:paraId="4AA4CA45">
            <w:pPr>
              <w:pStyle w:val="13"/>
            </w:pPr>
            <w:r>
              <w:t>五、教育支出</w:t>
            </w:r>
          </w:p>
        </w:tc>
        <w:tc>
          <w:tcPr>
            <w:tcW w:w="2126" w:type="dxa"/>
            <w:vAlign w:val="center"/>
          </w:tcPr>
          <w:p w14:paraId="5A1C7F42">
            <w:pPr>
              <w:pStyle w:val="14"/>
            </w:pPr>
            <w:r>
              <w:t>4453.71</w:t>
            </w:r>
          </w:p>
        </w:tc>
      </w:tr>
      <w:tr w14:paraId="37AB3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36A11">
            <w:pPr>
              <w:pStyle w:val="12"/>
            </w:pPr>
            <w:r>
              <w:t>6</w:t>
            </w:r>
          </w:p>
        </w:tc>
        <w:tc>
          <w:tcPr>
            <w:tcW w:w="4535" w:type="dxa"/>
            <w:vAlign w:val="center"/>
          </w:tcPr>
          <w:p w14:paraId="6AB8EC79">
            <w:pPr>
              <w:pStyle w:val="13"/>
            </w:pPr>
          </w:p>
        </w:tc>
        <w:tc>
          <w:tcPr>
            <w:tcW w:w="2126" w:type="dxa"/>
            <w:vAlign w:val="center"/>
          </w:tcPr>
          <w:p w14:paraId="71C34B13">
            <w:pPr>
              <w:pStyle w:val="14"/>
            </w:pPr>
          </w:p>
        </w:tc>
        <w:tc>
          <w:tcPr>
            <w:tcW w:w="4535" w:type="dxa"/>
            <w:vAlign w:val="center"/>
          </w:tcPr>
          <w:p w14:paraId="02BE2734">
            <w:pPr>
              <w:pStyle w:val="13"/>
            </w:pPr>
            <w:r>
              <w:t>六、科学技术支出</w:t>
            </w:r>
          </w:p>
        </w:tc>
        <w:tc>
          <w:tcPr>
            <w:tcW w:w="2126" w:type="dxa"/>
            <w:vAlign w:val="center"/>
          </w:tcPr>
          <w:p w14:paraId="1197C6FB">
            <w:pPr>
              <w:pStyle w:val="14"/>
            </w:pPr>
          </w:p>
        </w:tc>
      </w:tr>
      <w:tr w14:paraId="63C18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EEC73">
            <w:pPr>
              <w:pStyle w:val="12"/>
            </w:pPr>
            <w:r>
              <w:t>7</w:t>
            </w:r>
          </w:p>
        </w:tc>
        <w:tc>
          <w:tcPr>
            <w:tcW w:w="4535" w:type="dxa"/>
            <w:vAlign w:val="center"/>
          </w:tcPr>
          <w:p w14:paraId="53D29811">
            <w:pPr>
              <w:pStyle w:val="13"/>
            </w:pPr>
          </w:p>
        </w:tc>
        <w:tc>
          <w:tcPr>
            <w:tcW w:w="2126" w:type="dxa"/>
            <w:vAlign w:val="center"/>
          </w:tcPr>
          <w:p w14:paraId="2AA1736D">
            <w:pPr>
              <w:pStyle w:val="14"/>
            </w:pPr>
          </w:p>
        </w:tc>
        <w:tc>
          <w:tcPr>
            <w:tcW w:w="4535" w:type="dxa"/>
            <w:vAlign w:val="center"/>
          </w:tcPr>
          <w:p w14:paraId="37215F49">
            <w:pPr>
              <w:pStyle w:val="13"/>
            </w:pPr>
            <w:r>
              <w:t>七、文化旅游体育与传媒支出</w:t>
            </w:r>
          </w:p>
        </w:tc>
        <w:tc>
          <w:tcPr>
            <w:tcW w:w="2126" w:type="dxa"/>
            <w:vAlign w:val="center"/>
          </w:tcPr>
          <w:p w14:paraId="421A398B">
            <w:pPr>
              <w:pStyle w:val="14"/>
            </w:pPr>
          </w:p>
        </w:tc>
      </w:tr>
      <w:tr w14:paraId="06941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479E7">
            <w:pPr>
              <w:pStyle w:val="12"/>
            </w:pPr>
            <w:r>
              <w:t>8</w:t>
            </w:r>
          </w:p>
        </w:tc>
        <w:tc>
          <w:tcPr>
            <w:tcW w:w="4535" w:type="dxa"/>
            <w:vAlign w:val="center"/>
          </w:tcPr>
          <w:p w14:paraId="028DC451">
            <w:pPr>
              <w:pStyle w:val="13"/>
            </w:pPr>
          </w:p>
        </w:tc>
        <w:tc>
          <w:tcPr>
            <w:tcW w:w="2126" w:type="dxa"/>
            <w:vAlign w:val="center"/>
          </w:tcPr>
          <w:p w14:paraId="51EDE9E4">
            <w:pPr>
              <w:pStyle w:val="14"/>
            </w:pPr>
          </w:p>
        </w:tc>
        <w:tc>
          <w:tcPr>
            <w:tcW w:w="4535" w:type="dxa"/>
            <w:vAlign w:val="center"/>
          </w:tcPr>
          <w:p w14:paraId="35F6EBF7">
            <w:pPr>
              <w:pStyle w:val="13"/>
            </w:pPr>
            <w:r>
              <w:t>八、社会保障和就业支出</w:t>
            </w:r>
          </w:p>
        </w:tc>
        <w:tc>
          <w:tcPr>
            <w:tcW w:w="2126" w:type="dxa"/>
            <w:vAlign w:val="center"/>
          </w:tcPr>
          <w:p w14:paraId="041F1CEF">
            <w:pPr>
              <w:pStyle w:val="14"/>
            </w:pPr>
          </w:p>
        </w:tc>
      </w:tr>
      <w:tr w14:paraId="42623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0F212">
            <w:pPr>
              <w:pStyle w:val="12"/>
            </w:pPr>
            <w:r>
              <w:t>9</w:t>
            </w:r>
          </w:p>
        </w:tc>
        <w:tc>
          <w:tcPr>
            <w:tcW w:w="4535" w:type="dxa"/>
            <w:vAlign w:val="center"/>
          </w:tcPr>
          <w:p w14:paraId="14B4FC03">
            <w:pPr>
              <w:pStyle w:val="13"/>
            </w:pPr>
          </w:p>
        </w:tc>
        <w:tc>
          <w:tcPr>
            <w:tcW w:w="2126" w:type="dxa"/>
            <w:vAlign w:val="center"/>
          </w:tcPr>
          <w:p w14:paraId="5CA257A1">
            <w:pPr>
              <w:pStyle w:val="14"/>
            </w:pPr>
          </w:p>
        </w:tc>
        <w:tc>
          <w:tcPr>
            <w:tcW w:w="4535" w:type="dxa"/>
            <w:vAlign w:val="center"/>
          </w:tcPr>
          <w:p w14:paraId="178EEFF6">
            <w:pPr>
              <w:pStyle w:val="13"/>
            </w:pPr>
            <w:r>
              <w:t>九、社会保险基金支出</w:t>
            </w:r>
          </w:p>
        </w:tc>
        <w:tc>
          <w:tcPr>
            <w:tcW w:w="2126" w:type="dxa"/>
            <w:vAlign w:val="center"/>
          </w:tcPr>
          <w:p w14:paraId="6F6661B2">
            <w:pPr>
              <w:pStyle w:val="14"/>
            </w:pPr>
          </w:p>
        </w:tc>
      </w:tr>
      <w:tr w14:paraId="5FD97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9AC08">
            <w:pPr>
              <w:pStyle w:val="12"/>
            </w:pPr>
            <w:r>
              <w:t>10</w:t>
            </w:r>
          </w:p>
        </w:tc>
        <w:tc>
          <w:tcPr>
            <w:tcW w:w="4535" w:type="dxa"/>
            <w:vAlign w:val="center"/>
          </w:tcPr>
          <w:p w14:paraId="2131A2EE">
            <w:pPr>
              <w:pStyle w:val="13"/>
            </w:pPr>
          </w:p>
        </w:tc>
        <w:tc>
          <w:tcPr>
            <w:tcW w:w="2126" w:type="dxa"/>
            <w:vAlign w:val="center"/>
          </w:tcPr>
          <w:p w14:paraId="6AD296C8">
            <w:pPr>
              <w:pStyle w:val="14"/>
            </w:pPr>
          </w:p>
        </w:tc>
        <w:tc>
          <w:tcPr>
            <w:tcW w:w="4535" w:type="dxa"/>
            <w:vAlign w:val="center"/>
          </w:tcPr>
          <w:p w14:paraId="1FC721E7">
            <w:pPr>
              <w:pStyle w:val="13"/>
            </w:pPr>
            <w:r>
              <w:t>十、卫生健康支出</w:t>
            </w:r>
          </w:p>
        </w:tc>
        <w:tc>
          <w:tcPr>
            <w:tcW w:w="2126" w:type="dxa"/>
            <w:vAlign w:val="center"/>
          </w:tcPr>
          <w:p w14:paraId="7A410A19">
            <w:pPr>
              <w:pStyle w:val="14"/>
            </w:pPr>
          </w:p>
        </w:tc>
      </w:tr>
      <w:tr w14:paraId="38D60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50737">
            <w:pPr>
              <w:pStyle w:val="12"/>
            </w:pPr>
            <w:r>
              <w:t>11</w:t>
            </w:r>
          </w:p>
        </w:tc>
        <w:tc>
          <w:tcPr>
            <w:tcW w:w="4535" w:type="dxa"/>
            <w:vAlign w:val="center"/>
          </w:tcPr>
          <w:p w14:paraId="6EDE04E0">
            <w:pPr>
              <w:pStyle w:val="13"/>
            </w:pPr>
          </w:p>
        </w:tc>
        <w:tc>
          <w:tcPr>
            <w:tcW w:w="2126" w:type="dxa"/>
            <w:vAlign w:val="center"/>
          </w:tcPr>
          <w:p w14:paraId="26571174">
            <w:pPr>
              <w:pStyle w:val="14"/>
            </w:pPr>
          </w:p>
        </w:tc>
        <w:tc>
          <w:tcPr>
            <w:tcW w:w="4535" w:type="dxa"/>
            <w:vAlign w:val="center"/>
          </w:tcPr>
          <w:p w14:paraId="1A184C13">
            <w:pPr>
              <w:pStyle w:val="13"/>
            </w:pPr>
            <w:r>
              <w:t>十一、节能环保支出</w:t>
            </w:r>
          </w:p>
        </w:tc>
        <w:tc>
          <w:tcPr>
            <w:tcW w:w="2126" w:type="dxa"/>
            <w:vAlign w:val="center"/>
          </w:tcPr>
          <w:p w14:paraId="10D956BB">
            <w:pPr>
              <w:pStyle w:val="14"/>
            </w:pPr>
          </w:p>
        </w:tc>
      </w:tr>
      <w:tr w14:paraId="43C17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B0D65">
            <w:pPr>
              <w:pStyle w:val="12"/>
            </w:pPr>
            <w:r>
              <w:t>12</w:t>
            </w:r>
          </w:p>
        </w:tc>
        <w:tc>
          <w:tcPr>
            <w:tcW w:w="4535" w:type="dxa"/>
            <w:vAlign w:val="center"/>
          </w:tcPr>
          <w:p w14:paraId="4823FF57">
            <w:pPr>
              <w:pStyle w:val="13"/>
            </w:pPr>
          </w:p>
        </w:tc>
        <w:tc>
          <w:tcPr>
            <w:tcW w:w="2126" w:type="dxa"/>
            <w:vAlign w:val="center"/>
          </w:tcPr>
          <w:p w14:paraId="3BA035D9">
            <w:pPr>
              <w:pStyle w:val="14"/>
            </w:pPr>
          </w:p>
        </w:tc>
        <w:tc>
          <w:tcPr>
            <w:tcW w:w="4535" w:type="dxa"/>
            <w:vAlign w:val="center"/>
          </w:tcPr>
          <w:p w14:paraId="58327115">
            <w:pPr>
              <w:pStyle w:val="13"/>
            </w:pPr>
            <w:r>
              <w:t>十二、城乡社区支出</w:t>
            </w:r>
          </w:p>
        </w:tc>
        <w:tc>
          <w:tcPr>
            <w:tcW w:w="2126" w:type="dxa"/>
            <w:vAlign w:val="center"/>
          </w:tcPr>
          <w:p w14:paraId="6F905091">
            <w:pPr>
              <w:pStyle w:val="14"/>
            </w:pPr>
          </w:p>
        </w:tc>
      </w:tr>
      <w:tr w14:paraId="4EC03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59A60">
            <w:pPr>
              <w:pStyle w:val="12"/>
            </w:pPr>
            <w:r>
              <w:t>13</w:t>
            </w:r>
          </w:p>
        </w:tc>
        <w:tc>
          <w:tcPr>
            <w:tcW w:w="4535" w:type="dxa"/>
            <w:vAlign w:val="center"/>
          </w:tcPr>
          <w:p w14:paraId="1FCC6B64">
            <w:pPr>
              <w:pStyle w:val="13"/>
            </w:pPr>
          </w:p>
        </w:tc>
        <w:tc>
          <w:tcPr>
            <w:tcW w:w="2126" w:type="dxa"/>
            <w:vAlign w:val="center"/>
          </w:tcPr>
          <w:p w14:paraId="6D9919F5">
            <w:pPr>
              <w:pStyle w:val="14"/>
            </w:pPr>
          </w:p>
        </w:tc>
        <w:tc>
          <w:tcPr>
            <w:tcW w:w="4535" w:type="dxa"/>
            <w:vAlign w:val="center"/>
          </w:tcPr>
          <w:p w14:paraId="7E5AB432">
            <w:pPr>
              <w:pStyle w:val="13"/>
            </w:pPr>
            <w:r>
              <w:t>十三、农林水支出</w:t>
            </w:r>
          </w:p>
        </w:tc>
        <w:tc>
          <w:tcPr>
            <w:tcW w:w="2126" w:type="dxa"/>
            <w:vAlign w:val="center"/>
          </w:tcPr>
          <w:p w14:paraId="296FBFE8">
            <w:pPr>
              <w:pStyle w:val="14"/>
            </w:pPr>
          </w:p>
        </w:tc>
      </w:tr>
      <w:tr w14:paraId="08204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5EB34">
            <w:pPr>
              <w:pStyle w:val="12"/>
            </w:pPr>
            <w:r>
              <w:t>14</w:t>
            </w:r>
          </w:p>
        </w:tc>
        <w:tc>
          <w:tcPr>
            <w:tcW w:w="4535" w:type="dxa"/>
            <w:vAlign w:val="center"/>
          </w:tcPr>
          <w:p w14:paraId="74A8C6E5">
            <w:pPr>
              <w:pStyle w:val="13"/>
            </w:pPr>
          </w:p>
        </w:tc>
        <w:tc>
          <w:tcPr>
            <w:tcW w:w="2126" w:type="dxa"/>
            <w:vAlign w:val="center"/>
          </w:tcPr>
          <w:p w14:paraId="15AE4BF6">
            <w:pPr>
              <w:pStyle w:val="14"/>
            </w:pPr>
          </w:p>
        </w:tc>
        <w:tc>
          <w:tcPr>
            <w:tcW w:w="4535" w:type="dxa"/>
            <w:vAlign w:val="center"/>
          </w:tcPr>
          <w:p w14:paraId="436FAE45">
            <w:pPr>
              <w:pStyle w:val="13"/>
            </w:pPr>
            <w:r>
              <w:t>十四、交通运输支出</w:t>
            </w:r>
          </w:p>
        </w:tc>
        <w:tc>
          <w:tcPr>
            <w:tcW w:w="2126" w:type="dxa"/>
            <w:vAlign w:val="center"/>
          </w:tcPr>
          <w:p w14:paraId="3AA58C93">
            <w:pPr>
              <w:pStyle w:val="14"/>
            </w:pPr>
          </w:p>
        </w:tc>
      </w:tr>
      <w:tr w14:paraId="13321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2FCF0B4">
            <w:pPr>
              <w:pStyle w:val="12"/>
            </w:pPr>
            <w:r>
              <w:t>15</w:t>
            </w:r>
          </w:p>
        </w:tc>
        <w:tc>
          <w:tcPr>
            <w:tcW w:w="4535" w:type="dxa"/>
            <w:vAlign w:val="center"/>
          </w:tcPr>
          <w:p w14:paraId="11126610">
            <w:pPr>
              <w:pStyle w:val="13"/>
            </w:pPr>
          </w:p>
        </w:tc>
        <w:tc>
          <w:tcPr>
            <w:tcW w:w="2126" w:type="dxa"/>
            <w:vAlign w:val="center"/>
          </w:tcPr>
          <w:p w14:paraId="275F46B0">
            <w:pPr>
              <w:pStyle w:val="14"/>
            </w:pPr>
          </w:p>
        </w:tc>
        <w:tc>
          <w:tcPr>
            <w:tcW w:w="4535" w:type="dxa"/>
            <w:vAlign w:val="center"/>
          </w:tcPr>
          <w:p w14:paraId="45666716">
            <w:pPr>
              <w:pStyle w:val="13"/>
            </w:pPr>
            <w:r>
              <w:t>十五、资源勘探工业信息等支出</w:t>
            </w:r>
          </w:p>
        </w:tc>
        <w:tc>
          <w:tcPr>
            <w:tcW w:w="2126" w:type="dxa"/>
            <w:vAlign w:val="center"/>
          </w:tcPr>
          <w:p w14:paraId="172C767B">
            <w:pPr>
              <w:pStyle w:val="14"/>
            </w:pPr>
          </w:p>
        </w:tc>
      </w:tr>
      <w:tr w14:paraId="2921C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626AD">
            <w:pPr>
              <w:pStyle w:val="12"/>
            </w:pPr>
            <w:r>
              <w:t>16</w:t>
            </w:r>
          </w:p>
        </w:tc>
        <w:tc>
          <w:tcPr>
            <w:tcW w:w="4535" w:type="dxa"/>
            <w:vAlign w:val="center"/>
          </w:tcPr>
          <w:p w14:paraId="298F56A1">
            <w:pPr>
              <w:pStyle w:val="13"/>
            </w:pPr>
          </w:p>
        </w:tc>
        <w:tc>
          <w:tcPr>
            <w:tcW w:w="2126" w:type="dxa"/>
            <w:vAlign w:val="center"/>
          </w:tcPr>
          <w:p w14:paraId="71E4D058">
            <w:pPr>
              <w:pStyle w:val="14"/>
            </w:pPr>
          </w:p>
        </w:tc>
        <w:tc>
          <w:tcPr>
            <w:tcW w:w="4535" w:type="dxa"/>
            <w:vAlign w:val="center"/>
          </w:tcPr>
          <w:p w14:paraId="4FA0AE22">
            <w:pPr>
              <w:pStyle w:val="13"/>
            </w:pPr>
            <w:r>
              <w:t>十六、商业服务业等支出</w:t>
            </w:r>
          </w:p>
        </w:tc>
        <w:tc>
          <w:tcPr>
            <w:tcW w:w="2126" w:type="dxa"/>
            <w:vAlign w:val="center"/>
          </w:tcPr>
          <w:p w14:paraId="73B458D4">
            <w:pPr>
              <w:pStyle w:val="14"/>
            </w:pPr>
          </w:p>
        </w:tc>
      </w:tr>
      <w:tr w14:paraId="322DB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8C047">
            <w:pPr>
              <w:pStyle w:val="12"/>
            </w:pPr>
            <w:r>
              <w:t>17</w:t>
            </w:r>
          </w:p>
        </w:tc>
        <w:tc>
          <w:tcPr>
            <w:tcW w:w="4535" w:type="dxa"/>
            <w:vAlign w:val="center"/>
          </w:tcPr>
          <w:p w14:paraId="51916A7D">
            <w:pPr>
              <w:pStyle w:val="13"/>
            </w:pPr>
          </w:p>
        </w:tc>
        <w:tc>
          <w:tcPr>
            <w:tcW w:w="2126" w:type="dxa"/>
            <w:vAlign w:val="center"/>
          </w:tcPr>
          <w:p w14:paraId="50C4D8B8">
            <w:pPr>
              <w:pStyle w:val="14"/>
            </w:pPr>
          </w:p>
        </w:tc>
        <w:tc>
          <w:tcPr>
            <w:tcW w:w="4535" w:type="dxa"/>
            <w:vAlign w:val="center"/>
          </w:tcPr>
          <w:p w14:paraId="6C90F88B">
            <w:pPr>
              <w:pStyle w:val="13"/>
            </w:pPr>
            <w:r>
              <w:t>十七、金融支出</w:t>
            </w:r>
          </w:p>
        </w:tc>
        <w:tc>
          <w:tcPr>
            <w:tcW w:w="2126" w:type="dxa"/>
            <w:vAlign w:val="center"/>
          </w:tcPr>
          <w:p w14:paraId="392526B4">
            <w:pPr>
              <w:pStyle w:val="14"/>
            </w:pPr>
          </w:p>
        </w:tc>
      </w:tr>
      <w:tr w14:paraId="70557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CA3C2">
            <w:pPr>
              <w:pStyle w:val="12"/>
            </w:pPr>
            <w:r>
              <w:t>18</w:t>
            </w:r>
          </w:p>
        </w:tc>
        <w:tc>
          <w:tcPr>
            <w:tcW w:w="4535" w:type="dxa"/>
            <w:vAlign w:val="center"/>
          </w:tcPr>
          <w:p w14:paraId="2FACBA82">
            <w:pPr>
              <w:pStyle w:val="13"/>
            </w:pPr>
          </w:p>
        </w:tc>
        <w:tc>
          <w:tcPr>
            <w:tcW w:w="2126" w:type="dxa"/>
            <w:vAlign w:val="center"/>
          </w:tcPr>
          <w:p w14:paraId="30529E7D">
            <w:pPr>
              <w:pStyle w:val="14"/>
            </w:pPr>
          </w:p>
        </w:tc>
        <w:tc>
          <w:tcPr>
            <w:tcW w:w="4535" w:type="dxa"/>
            <w:vAlign w:val="center"/>
          </w:tcPr>
          <w:p w14:paraId="0AE781C5">
            <w:pPr>
              <w:pStyle w:val="13"/>
            </w:pPr>
            <w:r>
              <w:t>十八、援助其他地区支出</w:t>
            </w:r>
          </w:p>
        </w:tc>
        <w:tc>
          <w:tcPr>
            <w:tcW w:w="2126" w:type="dxa"/>
            <w:vAlign w:val="center"/>
          </w:tcPr>
          <w:p w14:paraId="4E4E0603">
            <w:pPr>
              <w:pStyle w:val="14"/>
            </w:pPr>
          </w:p>
        </w:tc>
      </w:tr>
      <w:tr w14:paraId="34109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5CB0E46">
            <w:pPr>
              <w:pStyle w:val="12"/>
            </w:pPr>
            <w:r>
              <w:t>19</w:t>
            </w:r>
          </w:p>
        </w:tc>
        <w:tc>
          <w:tcPr>
            <w:tcW w:w="4535" w:type="dxa"/>
            <w:vAlign w:val="center"/>
          </w:tcPr>
          <w:p w14:paraId="48E8BA04">
            <w:pPr>
              <w:pStyle w:val="13"/>
            </w:pPr>
          </w:p>
        </w:tc>
        <w:tc>
          <w:tcPr>
            <w:tcW w:w="2126" w:type="dxa"/>
            <w:vAlign w:val="center"/>
          </w:tcPr>
          <w:p w14:paraId="771D8DD4">
            <w:pPr>
              <w:pStyle w:val="14"/>
            </w:pPr>
          </w:p>
        </w:tc>
        <w:tc>
          <w:tcPr>
            <w:tcW w:w="4535" w:type="dxa"/>
            <w:vAlign w:val="center"/>
          </w:tcPr>
          <w:p w14:paraId="1137A823">
            <w:pPr>
              <w:pStyle w:val="13"/>
            </w:pPr>
            <w:r>
              <w:t>十九、自然资源海洋气象等支出</w:t>
            </w:r>
          </w:p>
        </w:tc>
        <w:tc>
          <w:tcPr>
            <w:tcW w:w="2126" w:type="dxa"/>
            <w:vAlign w:val="center"/>
          </w:tcPr>
          <w:p w14:paraId="7CB6BCF2">
            <w:pPr>
              <w:pStyle w:val="14"/>
            </w:pPr>
          </w:p>
        </w:tc>
      </w:tr>
      <w:tr w14:paraId="06BD9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8F15C">
            <w:pPr>
              <w:pStyle w:val="12"/>
            </w:pPr>
            <w:r>
              <w:t>20</w:t>
            </w:r>
          </w:p>
        </w:tc>
        <w:tc>
          <w:tcPr>
            <w:tcW w:w="4535" w:type="dxa"/>
            <w:vAlign w:val="center"/>
          </w:tcPr>
          <w:p w14:paraId="12E0F0C7">
            <w:pPr>
              <w:pStyle w:val="13"/>
            </w:pPr>
          </w:p>
        </w:tc>
        <w:tc>
          <w:tcPr>
            <w:tcW w:w="2126" w:type="dxa"/>
            <w:vAlign w:val="center"/>
          </w:tcPr>
          <w:p w14:paraId="1D0CB49C">
            <w:pPr>
              <w:pStyle w:val="14"/>
            </w:pPr>
          </w:p>
        </w:tc>
        <w:tc>
          <w:tcPr>
            <w:tcW w:w="4535" w:type="dxa"/>
            <w:vAlign w:val="center"/>
          </w:tcPr>
          <w:p w14:paraId="2DCC3696">
            <w:pPr>
              <w:pStyle w:val="13"/>
            </w:pPr>
            <w:r>
              <w:t>二十、住房保障支出</w:t>
            </w:r>
          </w:p>
        </w:tc>
        <w:tc>
          <w:tcPr>
            <w:tcW w:w="2126" w:type="dxa"/>
            <w:vAlign w:val="center"/>
          </w:tcPr>
          <w:p w14:paraId="7B53E273">
            <w:pPr>
              <w:pStyle w:val="14"/>
            </w:pPr>
          </w:p>
        </w:tc>
      </w:tr>
      <w:tr w14:paraId="4DD1F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4B414">
            <w:pPr>
              <w:pStyle w:val="12"/>
            </w:pPr>
            <w:r>
              <w:t>21</w:t>
            </w:r>
          </w:p>
        </w:tc>
        <w:tc>
          <w:tcPr>
            <w:tcW w:w="4535" w:type="dxa"/>
            <w:vAlign w:val="center"/>
          </w:tcPr>
          <w:p w14:paraId="1E527955">
            <w:pPr>
              <w:pStyle w:val="13"/>
            </w:pPr>
          </w:p>
        </w:tc>
        <w:tc>
          <w:tcPr>
            <w:tcW w:w="2126" w:type="dxa"/>
            <w:vAlign w:val="center"/>
          </w:tcPr>
          <w:p w14:paraId="06523F7D">
            <w:pPr>
              <w:pStyle w:val="14"/>
            </w:pPr>
          </w:p>
        </w:tc>
        <w:tc>
          <w:tcPr>
            <w:tcW w:w="4535" w:type="dxa"/>
            <w:vAlign w:val="center"/>
          </w:tcPr>
          <w:p w14:paraId="73F9E228">
            <w:pPr>
              <w:pStyle w:val="13"/>
            </w:pPr>
            <w:r>
              <w:t>二十一、粮油物资储备支出</w:t>
            </w:r>
          </w:p>
        </w:tc>
        <w:tc>
          <w:tcPr>
            <w:tcW w:w="2126" w:type="dxa"/>
            <w:vAlign w:val="center"/>
          </w:tcPr>
          <w:p w14:paraId="39CB19A8">
            <w:pPr>
              <w:pStyle w:val="14"/>
            </w:pPr>
          </w:p>
        </w:tc>
      </w:tr>
      <w:tr w14:paraId="5B40F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4FE32">
            <w:pPr>
              <w:pStyle w:val="12"/>
            </w:pPr>
            <w:r>
              <w:t>22</w:t>
            </w:r>
          </w:p>
        </w:tc>
        <w:tc>
          <w:tcPr>
            <w:tcW w:w="4535" w:type="dxa"/>
            <w:vAlign w:val="center"/>
          </w:tcPr>
          <w:p w14:paraId="18B792F8">
            <w:pPr>
              <w:pStyle w:val="13"/>
            </w:pPr>
          </w:p>
        </w:tc>
        <w:tc>
          <w:tcPr>
            <w:tcW w:w="2126" w:type="dxa"/>
            <w:vAlign w:val="center"/>
          </w:tcPr>
          <w:p w14:paraId="0C2CF79E">
            <w:pPr>
              <w:pStyle w:val="14"/>
            </w:pPr>
          </w:p>
        </w:tc>
        <w:tc>
          <w:tcPr>
            <w:tcW w:w="4535" w:type="dxa"/>
            <w:vAlign w:val="center"/>
          </w:tcPr>
          <w:p w14:paraId="40D44EAB">
            <w:pPr>
              <w:pStyle w:val="13"/>
            </w:pPr>
            <w:r>
              <w:t>二十二、国有资本经营预算支出</w:t>
            </w:r>
          </w:p>
        </w:tc>
        <w:tc>
          <w:tcPr>
            <w:tcW w:w="2126" w:type="dxa"/>
            <w:vAlign w:val="center"/>
          </w:tcPr>
          <w:p w14:paraId="15ED391F">
            <w:pPr>
              <w:pStyle w:val="14"/>
            </w:pPr>
          </w:p>
        </w:tc>
      </w:tr>
      <w:tr w14:paraId="3DCE0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B02D71D">
            <w:pPr>
              <w:pStyle w:val="12"/>
            </w:pPr>
            <w:r>
              <w:t>23</w:t>
            </w:r>
          </w:p>
        </w:tc>
        <w:tc>
          <w:tcPr>
            <w:tcW w:w="4535" w:type="dxa"/>
            <w:vAlign w:val="center"/>
          </w:tcPr>
          <w:p w14:paraId="5B38F472">
            <w:pPr>
              <w:pStyle w:val="13"/>
            </w:pPr>
          </w:p>
        </w:tc>
        <w:tc>
          <w:tcPr>
            <w:tcW w:w="2126" w:type="dxa"/>
            <w:vAlign w:val="center"/>
          </w:tcPr>
          <w:p w14:paraId="7AAD06F1">
            <w:pPr>
              <w:pStyle w:val="14"/>
            </w:pPr>
          </w:p>
        </w:tc>
        <w:tc>
          <w:tcPr>
            <w:tcW w:w="4535" w:type="dxa"/>
            <w:vAlign w:val="center"/>
          </w:tcPr>
          <w:p w14:paraId="20C9D076">
            <w:pPr>
              <w:pStyle w:val="13"/>
            </w:pPr>
            <w:r>
              <w:t>二十三、灾害防治及应急管理支出</w:t>
            </w:r>
          </w:p>
        </w:tc>
        <w:tc>
          <w:tcPr>
            <w:tcW w:w="2126" w:type="dxa"/>
            <w:vAlign w:val="center"/>
          </w:tcPr>
          <w:p w14:paraId="2F546D49">
            <w:pPr>
              <w:pStyle w:val="14"/>
            </w:pPr>
          </w:p>
        </w:tc>
      </w:tr>
      <w:tr w14:paraId="60599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AA890">
            <w:pPr>
              <w:pStyle w:val="12"/>
            </w:pPr>
            <w:r>
              <w:t>24</w:t>
            </w:r>
          </w:p>
        </w:tc>
        <w:tc>
          <w:tcPr>
            <w:tcW w:w="4535" w:type="dxa"/>
            <w:vAlign w:val="center"/>
          </w:tcPr>
          <w:p w14:paraId="17104DFC">
            <w:pPr>
              <w:pStyle w:val="13"/>
            </w:pPr>
          </w:p>
        </w:tc>
        <w:tc>
          <w:tcPr>
            <w:tcW w:w="2126" w:type="dxa"/>
            <w:vAlign w:val="center"/>
          </w:tcPr>
          <w:p w14:paraId="2AA1DE66">
            <w:pPr>
              <w:pStyle w:val="14"/>
            </w:pPr>
          </w:p>
        </w:tc>
        <w:tc>
          <w:tcPr>
            <w:tcW w:w="4535" w:type="dxa"/>
            <w:vAlign w:val="center"/>
          </w:tcPr>
          <w:p w14:paraId="52322A7B">
            <w:pPr>
              <w:pStyle w:val="13"/>
            </w:pPr>
            <w:r>
              <w:t>二十四、预备费</w:t>
            </w:r>
          </w:p>
        </w:tc>
        <w:tc>
          <w:tcPr>
            <w:tcW w:w="2126" w:type="dxa"/>
            <w:vAlign w:val="center"/>
          </w:tcPr>
          <w:p w14:paraId="61AA688A">
            <w:pPr>
              <w:pStyle w:val="14"/>
            </w:pPr>
          </w:p>
        </w:tc>
      </w:tr>
      <w:tr w14:paraId="33F9F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7FD5770">
            <w:pPr>
              <w:pStyle w:val="12"/>
            </w:pPr>
            <w:r>
              <w:t>25</w:t>
            </w:r>
          </w:p>
        </w:tc>
        <w:tc>
          <w:tcPr>
            <w:tcW w:w="4535" w:type="dxa"/>
            <w:vAlign w:val="center"/>
          </w:tcPr>
          <w:p w14:paraId="69A80630">
            <w:pPr>
              <w:pStyle w:val="13"/>
            </w:pPr>
          </w:p>
        </w:tc>
        <w:tc>
          <w:tcPr>
            <w:tcW w:w="2126" w:type="dxa"/>
            <w:vAlign w:val="center"/>
          </w:tcPr>
          <w:p w14:paraId="7E6EA0C1">
            <w:pPr>
              <w:pStyle w:val="14"/>
            </w:pPr>
          </w:p>
        </w:tc>
        <w:tc>
          <w:tcPr>
            <w:tcW w:w="4535" w:type="dxa"/>
            <w:vAlign w:val="center"/>
          </w:tcPr>
          <w:p w14:paraId="75F3C783">
            <w:pPr>
              <w:pStyle w:val="13"/>
            </w:pPr>
            <w:r>
              <w:t>二十五、其他支出</w:t>
            </w:r>
          </w:p>
        </w:tc>
        <w:tc>
          <w:tcPr>
            <w:tcW w:w="2126" w:type="dxa"/>
            <w:vAlign w:val="center"/>
          </w:tcPr>
          <w:p w14:paraId="5547F22A">
            <w:pPr>
              <w:pStyle w:val="14"/>
            </w:pPr>
          </w:p>
        </w:tc>
      </w:tr>
      <w:tr w14:paraId="45F0A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72471">
            <w:pPr>
              <w:pStyle w:val="12"/>
            </w:pPr>
            <w:r>
              <w:t>26</w:t>
            </w:r>
          </w:p>
        </w:tc>
        <w:tc>
          <w:tcPr>
            <w:tcW w:w="4535" w:type="dxa"/>
            <w:vAlign w:val="center"/>
          </w:tcPr>
          <w:p w14:paraId="5BB3CC35">
            <w:pPr>
              <w:pStyle w:val="13"/>
            </w:pPr>
          </w:p>
        </w:tc>
        <w:tc>
          <w:tcPr>
            <w:tcW w:w="2126" w:type="dxa"/>
            <w:vAlign w:val="center"/>
          </w:tcPr>
          <w:p w14:paraId="60ED5663">
            <w:pPr>
              <w:pStyle w:val="14"/>
            </w:pPr>
          </w:p>
        </w:tc>
        <w:tc>
          <w:tcPr>
            <w:tcW w:w="4535" w:type="dxa"/>
            <w:vAlign w:val="center"/>
          </w:tcPr>
          <w:p w14:paraId="32476811">
            <w:pPr>
              <w:pStyle w:val="13"/>
            </w:pPr>
            <w:r>
              <w:t>二十六、转移性支出</w:t>
            </w:r>
          </w:p>
        </w:tc>
        <w:tc>
          <w:tcPr>
            <w:tcW w:w="2126" w:type="dxa"/>
            <w:vAlign w:val="center"/>
          </w:tcPr>
          <w:p w14:paraId="52B803A3">
            <w:pPr>
              <w:pStyle w:val="14"/>
            </w:pPr>
          </w:p>
        </w:tc>
      </w:tr>
      <w:tr w14:paraId="1B1D5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95661">
            <w:pPr>
              <w:pStyle w:val="12"/>
            </w:pPr>
            <w:r>
              <w:t>27</w:t>
            </w:r>
          </w:p>
        </w:tc>
        <w:tc>
          <w:tcPr>
            <w:tcW w:w="4535" w:type="dxa"/>
            <w:vAlign w:val="center"/>
          </w:tcPr>
          <w:p w14:paraId="164AA9EE">
            <w:pPr>
              <w:pStyle w:val="13"/>
            </w:pPr>
          </w:p>
        </w:tc>
        <w:tc>
          <w:tcPr>
            <w:tcW w:w="2126" w:type="dxa"/>
            <w:vAlign w:val="center"/>
          </w:tcPr>
          <w:p w14:paraId="458E8945">
            <w:pPr>
              <w:pStyle w:val="14"/>
            </w:pPr>
          </w:p>
        </w:tc>
        <w:tc>
          <w:tcPr>
            <w:tcW w:w="4535" w:type="dxa"/>
            <w:vAlign w:val="center"/>
          </w:tcPr>
          <w:p w14:paraId="1397828A">
            <w:pPr>
              <w:pStyle w:val="13"/>
            </w:pPr>
            <w:r>
              <w:t>二十七、债务还本支出</w:t>
            </w:r>
          </w:p>
        </w:tc>
        <w:tc>
          <w:tcPr>
            <w:tcW w:w="2126" w:type="dxa"/>
            <w:vAlign w:val="center"/>
          </w:tcPr>
          <w:p w14:paraId="6E036F73">
            <w:pPr>
              <w:pStyle w:val="14"/>
            </w:pPr>
          </w:p>
        </w:tc>
      </w:tr>
      <w:tr w14:paraId="1E4AA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14819">
            <w:pPr>
              <w:pStyle w:val="12"/>
            </w:pPr>
            <w:r>
              <w:t>28</w:t>
            </w:r>
          </w:p>
        </w:tc>
        <w:tc>
          <w:tcPr>
            <w:tcW w:w="4535" w:type="dxa"/>
            <w:vAlign w:val="center"/>
          </w:tcPr>
          <w:p w14:paraId="515F2EEA">
            <w:pPr>
              <w:pStyle w:val="13"/>
            </w:pPr>
          </w:p>
        </w:tc>
        <w:tc>
          <w:tcPr>
            <w:tcW w:w="2126" w:type="dxa"/>
            <w:vAlign w:val="center"/>
          </w:tcPr>
          <w:p w14:paraId="4A4A8E81">
            <w:pPr>
              <w:pStyle w:val="14"/>
            </w:pPr>
          </w:p>
        </w:tc>
        <w:tc>
          <w:tcPr>
            <w:tcW w:w="4535" w:type="dxa"/>
            <w:vAlign w:val="center"/>
          </w:tcPr>
          <w:p w14:paraId="736CD224">
            <w:pPr>
              <w:pStyle w:val="13"/>
            </w:pPr>
            <w:r>
              <w:t>二十八、债务付息支出</w:t>
            </w:r>
          </w:p>
        </w:tc>
        <w:tc>
          <w:tcPr>
            <w:tcW w:w="2126" w:type="dxa"/>
            <w:vAlign w:val="center"/>
          </w:tcPr>
          <w:p w14:paraId="3F31CE3D">
            <w:pPr>
              <w:pStyle w:val="14"/>
            </w:pPr>
          </w:p>
        </w:tc>
      </w:tr>
      <w:tr w14:paraId="4F67A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44F01">
            <w:pPr>
              <w:pStyle w:val="12"/>
            </w:pPr>
            <w:r>
              <w:t>29</w:t>
            </w:r>
          </w:p>
        </w:tc>
        <w:tc>
          <w:tcPr>
            <w:tcW w:w="4535" w:type="dxa"/>
            <w:vAlign w:val="center"/>
          </w:tcPr>
          <w:p w14:paraId="0C903846">
            <w:pPr>
              <w:pStyle w:val="13"/>
            </w:pPr>
          </w:p>
        </w:tc>
        <w:tc>
          <w:tcPr>
            <w:tcW w:w="2126" w:type="dxa"/>
            <w:vAlign w:val="center"/>
          </w:tcPr>
          <w:p w14:paraId="1FF08D13">
            <w:pPr>
              <w:pStyle w:val="14"/>
            </w:pPr>
          </w:p>
        </w:tc>
        <w:tc>
          <w:tcPr>
            <w:tcW w:w="4535" w:type="dxa"/>
            <w:vAlign w:val="center"/>
          </w:tcPr>
          <w:p w14:paraId="786D2AE7">
            <w:pPr>
              <w:pStyle w:val="13"/>
            </w:pPr>
            <w:r>
              <w:t>二十九、债务发行费用支出</w:t>
            </w:r>
          </w:p>
        </w:tc>
        <w:tc>
          <w:tcPr>
            <w:tcW w:w="2126" w:type="dxa"/>
            <w:vAlign w:val="center"/>
          </w:tcPr>
          <w:p w14:paraId="39E593C7">
            <w:pPr>
              <w:pStyle w:val="14"/>
            </w:pPr>
          </w:p>
        </w:tc>
      </w:tr>
      <w:tr w14:paraId="0EC85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42D3B">
            <w:pPr>
              <w:pStyle w:val="12"/>
            </w:pPr>
            <w:r>
              <w:t>30</w:t>
            </w:r>
          </w:p>
        </w:tc>
        <w:tc>
          <w:tcPr>
            <w:tcW w:w="4535" w:type="dxa"/>
            <w:vAlign w:val="center"/>
          </w:tcPr>
          <w:p w14:paraId="70E404E8">
            <w:pPr>
              <w:pStyle w:val="13"/>
            </w:pPr>
          </w:p>
        </w:tc>
        <w:tc>
          <w:tcPr>
            <w:tcW w:w="2126" w:type="dxa"/>
            <w:vAlign w:val="center"/>
          </w:tcPr>
          <w:p w14:paraId="52CABF59">
            <w:pPr>
              <w:pStyle w:val="14"/>
            </w:pPr>
          </w:p>
        </w:tc>
        <w:tc>
          <w:tcPr>
            <w:tcW w:w="4535" w:type="dxa"/>
            <w:vAlign w:val="center"/>
          </w:tcPr>
          <w:p w14:paraId="49846BB5">
            <w:pPr>
              <w:pStyle w:val="13"/>
            </w:pPr>
            <w:r>
              <w:t>三十、抗疫特别国债安排的支出</w:t>
            </w:r>
          </w:p>
        </w:tc>
        <w:tc>
          <w:tcPr>
            <w:tcW w:w="2126" w:type="dxa"/>
            <w:vAlign w:val="center"/>
          </w:tcPr>
          <w:p w14:paraId="64D93378">
            <w:pPr>
              <w:pStyle w:val="14"/>
            </w:pPr>
          </w:p>
        </w:tc>
      </w:tr>
      <w:tr w14:paraId="667B4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B36034C">
            <w:pPr>
              <w:pStyle w:val="12"/>
            </w:pPr>
            <w:r>
              <w:t>31</w:t>
            </w:r>
          </w:p>
        </w:tc>
        <w:tc>
          <w:tcPr>
            <w:tcW w:w="4535" w:type="dxa"/>
            <w:vAlign w:val="center"/>
          </w:tcPr>
          <w:p w14:paraId="3325192C">
            <w:pPr>
              <w:pStyle w:val="13"/>
            </w:pPr>
          </w:p>
        </w:tc>
        <w:tc>
          <w:tcPr>
            <w:tcW w:w="2126" w:type="dxa"/>
            <w:vAlign w:val="center"/>
          </w:tcPr>
          <w:p w14:paraId="29AAD5A7">
            <w:pPr>
              <w:pStyle w:val="14"/>
            </w:pPr>
          </w:p>
        </w:tc>
        <w:tc>
          <w:tcPr>
            <w:tcW w:w="4535" w:type="dxa"/>
            <w:vAlign w:val="center"/>
          </w:tcPr>
          <w:p w14:paraId="7C84F032">
            <w:pPr>
              <w:pStyle w:val="13"/>
            </w:pPr>
            <w:r>
              <w:t>三十一、人行科目</w:t>
            </w:r>
          </w:p>
        </w:tc>
        <w:tc>
          <w:tcPr>
            <w:tcW w:w="2126" w:type="dxa"/>
            <w:vAlign w:val="center"/>
          </w:tcPr>
          <w:p w14:paraId="596CEF5E">
            <w:pPr>
              <w:pStyle w:val="14"/>
            </w:pPr>
          </w:p>
        </w:tc>
      </w:tr>
      <w:tr w14:paraId="75DB1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E151B">
            <w:pPr>
              <w:pStyle w:val="12"/>
            </w:pPr>
            <w:r>
              <w:t>32</w:t>
            </w:r>
          </w:p>
        </w:tc>
        <w:tc>
          <w:tcPr>
            <w:tcW w:w="4535" w:type="dxa"/>
            <w:vAlign w:val="center"/>
          </w:tcPr>
          <w:p w14:paraId="60056BE4">
            <w:pPr>
              <w:pStyle w:val="15"/>
            </w:pPr>
            <w:r>
              <w:t>本年收入合计</w:t>
            </w:r>
          </w:p>
        </w:tc>
        <w:tc>
          <w:tcPr>
            <w:tcW w:w="2126" w:type="dxa"/>
            <w:vAlign w:val="center"/>
          </w:tcPr>
          <w:p w14:paraId="311BDA96">
            <w:pPr>
              <w:pStyle w:val="16"/>
            </w:pPr>
            <w:r>
              <w:t>4338.96</w:t>
            </w:r>
          </w:p>
        </w:tc>
        <w:tc>
          <w:tcPr>
            <w:tcW w:w="4535" w:type="dxa"/>
            <w:vAlign w:val="center"/>
          </w:tcPr>
          <w:p w14:paraId="40B1169A">
            <w:pPr>
              <w:pStyle w:val="15"/>
            </w:pPr>
            <w:r>
              <w:t>本年支出合计</w:t>
            </w:r>
          </w:p>
        </w:tc>
        <w:tc>
          <w:tcPr>
            <w:tcW w:w="2126" w:type="dxa"/>
            <w:vAlign w:val="center"/>
          </w:tcPr>
          <w:p w14:paraId="1D97A53D">
            <w:pPr>
              <w:pStyle w:val="16"/>
            </w:pPr>
            <w:r>
              <w:t>4453.71</w:t>
            </w:r>
          </w:p>
        </w:tc>
      </w:tr>
      <w:tr w14:paraId="6315A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F4E5C">
            <w:pPr>
              <w:pStyle w:val="12"/>
            </w:pPr>
            <w:r>
              <w:t>33</w:t>
            </w:r>
          </w:p>
        </w:tc>
        <w:tc>
          <w:tcPr>
            <w:tcW w:w="4535" w:type="dxa"/>
            <w:vAlign w:val="center"/>
          </w:tcPr>
          <w:p w14:paraId="7538B511">
            <w:pPr>
              <w:pStyle w:val="13"/>
            </w:pPr>
            <w:r>
              <w:t>上年结转结余</w:t>
            </w:r>
          </w:p>
        </w:tc>
        <w:tc>
          <w:tcPr>
            <w:tcW w:w="2126" w:type="dxa"/>
            <w:vAlign w:val="center"/>
          </w:tcPr>
          <w:p w14:paraId="4AD0EE3D">
            <w:pPr>
              <w:pStyle w:val="14"/>
            </w:pPr>
            <w:r>
              <w:t>114.75</w:t>
            </w:r>
          </w:p>
        </w:tc>
        <w:tc>
          <w:tcPr>
            <w:tcW w:w="4535" w:type="dxa"/>
            <w:vAlign w:val="center"/>
          </w:tcPr>
          <w:p w14:paraId="3D9CE7A8">
            <w:pPr>
              <w:pStyle w:val="13"/>
            </w:pPr>
            <w:r>
              <w:t>年终结转结余</w:t>
            </w:r>
          </w:p>
        </w:tc>
        <w:tc>
          <w:tcPr>
            <w:tcW w:w="2126" w:type="dxa"/>
            <w:vAlign w:val="center"/>
          </w:tcPr>
          <w:p w14:paraId="2E0C4E4E">
            <w:pPr>
              <w:pStyle w:val="14"/>
            </w:pPr>
          </w:p>
        </w:tc>
      </w:tr>
      <w:tr w14:paraId="00034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CBA14">
            <w:pPr>
              <w:pStyle w:val="12"/>
            </w:pPr>
            <w:r>
              <w:t>34</w:t>
            </w:r>
          </w:p>
        </w:tc>
        <w:tc>
          <w:tcPr>
            <w:tcW w:w="4535" w:type="dxa"/>
            <w:vAlign w:val="center"/>
          </w:tcPr>
          <w:p w14:paraId="40B29DD0">
            <w:pPr>
              <w:pStyle w:val="15"/>
            </w:pPr>
            <w:r>
              <w:t>收入总计</w:t>
            </w:r>
          </w:p>
        </w:tc>
        <w:tc>
          <w:tcPr>
            <w:tcW w:w="2126" w:type="dxa"/>
            <w:vAlign w:val="center"/>
          </w:tcPr>
          <w:p w14:paraId="613DCD67">
            <w:pPr>
              <w:pStyle w:val="16"/>
            </w:pPr>
            <w:r>
              <w:t>4453.71</w:t>
            </w:r>
          </w:p>
        </w:tc>
        <w:tc>
          <w:tcPr>
            <w:tcW w:w="4535" w:type="dxa"/>
            <w:vAlign w:val="center"/>
          </w:tcPr>
          <w:p w14:paraId="70E533E5">
            <w:pPr>
              <w:pStyle w:val="15"/>
            </w:pPr>
            <w:r>
              <w:t>支出总计</w:t>
            </w:r>
          </w:p>
        </w:tc>
        <w:tc>
          <w:tcPr>
            <w:tcW w:w="2126" w:type="dxa"/>
            <w:vAlign w:val="center"/>
          </w:tcPr>
          <w:p w14:paraId="3438CB9B">
            <w:pPr>
              <w:pStyle w:val="16"/>
            </w:pPr>
            <w:r>
              <w:t>4453.71</w:t>
            </w:r>
          </w:p>
        </w:tc>
      </w:tr>
    </w:tbl>
    <w:p w14:paraId="6334FAA3">
      <w:pPr>
        <w:sectPr>
          <w:pgSz w:w="16840" w:h="11900" w:orient="landscape"/>
          <w:pgMar w:top="1361" w:right="1020" w:bottom="1134" w:left="1020" w:header="720" w:footer="720" w:gutter="0"/>
          <w:cols w:space="720" w:num="1"/>
        </w:sectPr>
      </w:pPr>
    </w:p>
    <w:p w14:paraId="6F8329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844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63EF14">
            <w:pPr>
              <w:pStyle w:val="8"/>
            </w:pPr>
            <w:r>
              <w:t>360022隆尧县尹村校区</w:t>
            </w:r>
          </w:p>
        </w:tc>
        <w:tc>
          <w:tcPr>
            <w:tcW w:w="3402" w:type="dxa"/>
            <w:gridSpan w:val="3"/>
            <w:tcBorders>
              <w:top w:val="single" w:color="FFFFFF" w:sz="6" w:space="0"/>
              <w:left w:val="single" w:color="FFFFFF" w:sz="6" w:space="0"/>
              <w:right w:val="single" w:color="FFFFFF" w:sz="6" w:space="0"/>
            </w:tcBorders>
            <w:vAlign w:val="center"/>
          </w:tcPr>
          <w:p w14:paraId="2CB90BE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4975565">
            <w:pPr>
              <w:pStyle w:val="10"/>
            </w:pPr>
            <w:r>
              <w:t>单位：万元</w:t>
            </w:r>
          </w:p>
        </w:tc>
      </w:tr>
      <w:tr w14:paraId="10739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784F5D">
            <w:pPr>
              <w:pStyle w:val="11"/>
            </w:pPr>
            <w:r>
              <w:t>序号</w:t>
            </w:r>
          </w:p>
        </w:tc>
        <w:tc>
          <w:tcPr>
            <w:tcW w:w="2551" w:type="dxa"/>
            <w:gridSpan w:val="2"/>
            <w:vAlign w:val="center"/>
          </w:tcPr>
          <w:p w14:paraId="5BF66DB9">
            <w:pPr>
              <w:pStyle w:val="11"/>
            </w:pPr>
            <w:r>
              <w:t>功能分类科目</w:t>
            </w:r>
          </w:p>
        </w:tc>
        <w:tc>
          <w:tcPr>
            <w:tcW w:w="1134" w:type="dxa"/>
            <w:vMerge w:val="restart"/>
            <w:vAlign w:val="center"/>
          </w:tcPr>
          <w:p w14:paraId="44CE51E2">
            <w:pPr>
              <w:pStyle w:val="11"/>
            </w:pPr>
            <w:r>
              <w:t>合计</w:t>
            </w:r>
          </w:p>
        </w:tc>
        <w:tc>
          <w:tcPr>
            <w:tcW w:w="9072" w:type="dxa"/>
            <w:gridSpan w:val="8"/>
            <w:vAlign w:val="center"/>
          </w:tcPr>
          <w:p w14:paraId="024033CF">
            <w:pPr>
              <w:pStyle w:val="11"/>
            </w:pPr>
            <w:r>
              <w:t>本年收入</w:t>
            </w:r>
          </w:p>
        </w:tc>
        <w:tc>
          <w:tcPr>
            <w:tcW w:w="1134" w:type="dxa"/>
            <w:vMerge w:val="restart"/>
            <w:vAlign w:val="center"/>
          </w:tcPr>
          <w:p w14:paraId="1FFA0AE6">
            <w:pPr>
              <w:pStyle w:val="11"/>
            </w:pPr>
            <w:r>
              <w:t>上年结转</w:t>
            </w:r>
          </w:p>
        </w:tc>
      </w:tr>
      <w:tr w14:paraId="6C03D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A647C2"/>
        </w:tc>
        <w:tc>
          <w:tcPr>
            <w:tcW w:w="992" w:type="dxa"/>
            <w:vAlign w:val="center"/>
          </w:tcPr>
          <w:p w14:paraId="551B60BD">
            <w:pPr>
              <w:pStyle w:val="11"/>
            </w:pPr>
            <w:r>
              <w:t>科目    编码</w:t>
            </w:r>
          </w:p>
        </w:tc>
        <w:tc>
          <w:tcPr>
            <w:tcW w:w="1559" w:type="dxa"/>
            <w:vAlign w:val="center"/>
          </w:tcPr>
          <w:p w14:paraId="731BB98D">
            <w:pPr>
              <w:pStyle w:val="11"/>
            </w:pPr>
            <w:r>
              <w:t>科目名称</w:t>
            </w:r>
          </w:p>
        </w:tc>
        <w:tc>
          <w:tcPr>
            <w:tcW w:w="1134" w:type="dxa"/>
            <w:vMerge w:val="continue"/>
          </w:tcPr>
          <w:p w14:paraId="611C3488"/>
        </w:tc>
        <w:tc>
          <w:tcPr>
            <w:tcW w:w="1134" w:type="dxa"/>
            <w:vAlign w:val="center"/>
          </w:tcPr>
          <w:p w14:paraId="1F091EFB">
            <w:pPr>
              <w:pStyle w:val="11"/>
            </w:pPr>
            <w:r>
              <w:t>小计</w:t>
            </w:r>
          </w:p>
        </w:tc>
        <w:tc>
          <w:tcPr>
            <w:tcW w:w="1134" w:type="dxa"/>
            <w:vAlign w:val="center"/>
          </w:tcPr>
          <w:p w14:paraId="53DC4ED1">
            <w:pPr>
              <w:pStyle w:val="11"/>
            </w:pPr>
            <w:r>
              <w:t>财政拨款 收入</w:t>
            </w:r>
          </w:p>
        </w:tc>
        <w:tc>
          <w:tcPr>
            <w:tcW w:w="1134" w:type="dxa"/>
            <w:vAlign w:val="center"/>
          </w:tcPr>
          <w:p w14:paraId="2DFE0762">
            <w:pPr>
              <w:pStyle w:val="11"/>
            </w:pPr>
            <w:r>
              <w:t>财政专户 收入</w:t>
            </w:r>
          </w:p>
        </w:tc>
        <w:tc>
          <w:tcPr>
            <w:tcW w:w="1134" w:type="dxa"/>
            <w:vAlign w:val="center"/>
          </w:tcPr>
          <w:p w14:paraId="12334E17">
            <w:pPr>
              <w:pStyle w:val="11"/>
            </w:pPr>
            <w:r>
              <w:t>事业收入</w:t>
            </w:r>
          </w:p>
        </w:tc>
        <w:tc>
          <w:tcPr>
            <w:tcW w:w="1134" w:type="dxa"/>
            <w:vAlign w:val="center"/>
          </w:tcPr>
          <w:p w14:paraId="5B03193F">
            <w:pPr>
              <w:pStyle w:val="11"/>
            </w:pPr>
            <w:r>
              <w:t>经营收入</w:t>
            </w:r>
          </w:p>
        </w:tc>
        <w:tc>
          <w:tcPr>
            <w:tcW w:w="1134" w:type="dxa"/>
            <w:vAlign w:val="center"/>
          </w:tcPr>
          <w:p w14:paraId="14658A13">
            <w:pPr>
              <w:pStyle w:val="11"/>
            </w:pPr>
            <w:r>
              <w:t>上级补助收入</w:t>
            </w:r>
          </w:p>
        </w:tc>
        <w:tc>
          <w:tcPr>
            <w:tcW w:w="1134" w:type="dxa"/>
            <w:vAlign w:val="center"/>
          </w:tcPr>
          <w:p w14:paraId="74AEDD52">
            <w:pPr>
              <w:pStyle w:val="11"/>
            </w:pPr>
            <w:r>
              <w:t>附属单位上缴收入</w:t>
            </w:r>
          </w:p>
        </w:tc>
        <w:tc>
          <w:tcPr>
            <w:tcW w:w="1134" w:type="dxa"/>
            <w:vAlign w:val="center"/>
          </w:tcPr>
          <w:p w14:paraId="304C4961">
            <w:pPr>
              <w:pStyle w:val="11"/>
            </w:pPr>
            <w:r>
              <w:t>其他收入</w:t>
            </w:r>
          </w:p>
        </w:tc>
        <w:tc>
          <w:tcPr>
            <w:tcW w:w="1134" w:type="dxa"/>
            <w:vMerge w:val="continue"/>
          </w:tcPr>
          <w:p w14:paraId="35E8995D"/>
        </w:tc>
      </w:tr>
      <w:tr w14:paraId="2C0F6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6D1775">
            <w:pPr>
              <w:pStyle w:val="11"/>
            </w:pPr>
            <w:r>
              <w:t>栏次</w:t>
            </w:r>
          </w:p>
        </w:tc>
        <w:tc>
          <w:tcPr>
            <w:tcW w:w="992" w:type="dxa"/>
            <w:vAlign w:val="center"/>
          </w:tcPr>
          <w:p w14:paraId="750B2E94">
            <w:pPr>
              <w:pStyle w:val="11"/>
            </w:pPr>
            <w:r>
              <w:t>1</w:t>
            </w:r>
          </w:p>
        </w:tc>
        <w:tc>
          <w:tcPr>
            <w:tcW w:w="1559" w:type="dxa"/>
            <w:vAlign w:val="center"/>
          </w:tcPr>
          <w:p w14:paraId="4395D026">
            <w:pPr>
              <w:pStyle w:val="11"/>
            </w:pPr>
            <w:r>
              <w:t>2</w:t>
            </w:r>
          </w:p>
        </w:tc>
        <w:tc>
          <w:tcPr>
            <w:tcW w:w="1134" w:type="dxa"/>
            <w:vAlign w:val="center"/>
          </w:tcPr>
          <w:p w14:paraId="62587398">
            <w:pPr>
              <w:pStyle w:val="11"/>
            </w:pPr>
            <w:r>
              <w:t>3</w:t>
            </w:r>
          </w:p>
        </w:tc>
        <w:tc>
          <w:tcPr>
            <w:tcW w:w="1134" w:type="dxa"/>
            <w:vAlign w:val="center"/>
          </w:tcPr>
          <w:p w14:paraId="5576C637">
            <w:pPr>
              <w:pStyle w:val="11"/>
            </w:pPr>
            <w:r>
              <w:t>4</w:t>
            </w:r>
          </w:p>
        </w:tc>
        <w:tc>
          <w:tcPr>
            <w:tcW w:w="1134" w:type="dxa"/>
            <w:vAlign w:val="center"/>
          </w:tcPr>
          <w:p w14:paraId="7070707C">
            <w:pPr>
              <w:pStyle w:val="11"/>
            </w:pPr>
            <w:r>
              <w:t>5</w:t>
            </w:r>
          </w:p>
        </w:tc>
        <w:tc>
          <w:tcPr>
            <w:tcW w:w="1134" w:type="dxa"/>
            <w:vAlign w:val="center"/>
          </w:tcPr>
          <w:p w14:paraId="2779585E">
            <w:pPr>
              <w:pStyle w:val="11"/>
            </w:pPr>
            <w:r>
              <w:t>6</w:t>
            </w:r>
          </w:p>
        </w:tc>
        <w:tc>
          <w:tcPr>
            <w:tcW w:w="1134" w:type="dxa"/>
            <w:vAlign w:val="center"/>
          </w:tcPr>
          <w:p w14:paraId="573CCE55">
            <w:pPr>
              <w:pStyle w:val="11"/>
            </w:pPr>
            <w:r>
              <w:t>7</w:t>
            </w:r>
          </w:p>
        </w:tc>
        <w:tc>
          <w:tcPr>
            <w:tcW w:w="1134" w:type="dxa"/>
            <w:vAlign w:val="center"/>
          </w:tcPr>
          <w:p w14:paraId="40E5CE57">
            <w:pPr>
              <w:pStyle w:val="11"/>
            </w:pPr>
            <w:r>
              <w:t>8</w:t>
            </w:r>
          </w:p>
        </w:tc>
        <w:tc>
          <w:tcPr>
            <w:tcW w:w="1134" w:type="dxa"/>
            <w:vAlign w:val="center"/>
          </w:tcPr>
          <w:p w14:paraId="57A9F506">
            <w:pPr>
              <w:pStyle w:val="11"/>
            </w:pPr>
            <w:r>
              <w:t>9</w:t>
            </w:r>
          </w:p>
        </w:tc>
        <w:tc>
          <w:tcPr>
            <w:tcW w:w="1134" w:type="dxa"/>
            <w:vAlign w:val="center"/>
          </w:tcPr>
          <w:p w14:paraId="7CEAFCE1">
            <w:pPr>
              <w:pStyle w:val="11"/>
            </w:pPr>
            <w:r>
              <w:t>10</w:t>
            </w:r>
          </w:p>
        </w:tc>
        <w:tc>
          <w:tcPr>
            <w:tcW w:w="1134" w:type="dxa"/>
            <w:vAlign w:val="center"/>
          </w:tcPr>
          <w:p w14:paraId="5D31559D">
            <w:pPr>
              <w:pStyle w:val="11"/>
            </w:pPr>
            <w:r>
              <w:t>11</w:t>
            </w:r>
          </w:p>
        </w:tc>
        <w:tc>
          <w:tcPr>
            <w:tcW w:w="1134" w:type="dxa"/>
            <w:vAlign w:val="center"/>
          </w:tcPr>
          <w:p w14:paraId="74D566BA">
            <w:pPr>
              <w:pStyle w:val="11"/>
            </w:pPr>
            <w:r>
              <w:t>12</w:t>
            </w:r>
          </w:p>
        </w:tc>
      </w:tr>
      <w:tr w14:paraId="563BC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078225">
            <w:pPr>
              <w:pStyle w:val="12"/>
            </w:pPr>
            <w:r>
              <w:t>1</w:t>
            </w:r>
          </w:p>
        </w:tc>
        <w:tc>
          <w:tcPr>
            <w:tcW w:w="992" w:type="dxa"/>
            <w:vAlign w:val="center"/>
          </w:tcPr>
          <w:p w14:paraId="0F98BC0B">
            <w:pPr>
              <w:pStyle w:val="17"/>
            </w:pPr>
          </w:p>
        </w:tc>
        <w:tc>
          <w:tcPr>
            <w:tcW w:w="1559" w:type="dxa"/>
            <w:vAlign w:val="center"/>
          </w:tcPr>
          <w:p w14:paraId="69FCEB4D">
            <w:pPr>
              <w:pStyle w:val="15"/>
            </w:pPr>
            <w:r>
              <w:t>合计</w:t>
            </w:r>
          </w:p>
        </w:tc>
        <w:tc>
          <w:tcPr>
            <w:tcW w:w="1134" w:type="dxa"/>
            <w:vAlign w:val="center"/>
          </w:tcPr>
          <w:p w14:paraId="32AB9CCD">
            <w:pPr>
              <w:pStyle w:val="16"/>
            </w:pPr>
            <w:r>
              <w:t>4453.71</w:t>
            </w:r>
          </w:p>
        </w:tc>
        <w:tc>
          <w:tcPr>
            <w:tcW w:w="1134" w:type="dxa"/>
            <w:vAlign w:val="center"/>
          </w:tcPr>
          <w:p w14:paraId="0D249213">
            <w:pPr>
              <w:pStyle w:val="16"/>
            </w:pPr>
            <w:r>
              <w:t>4338.96</w:t>
            </w:r>
          </w:p>
        </w:tc>
        <w:tc>
          <w:tcPr>
            <w:tcW w:w="1134" w:type="dxa"/>
            <w:vAlign w:val="center"/>
          </w:tcPr>
          <w:p w14:paraId="6BE3851A">
            <w:pPr>
              <w:pStyle w:val="16"/>
            </w:pPr>
            <w:r>
              <w:t>4338.96</w:t>
            </w:r>
          </w:p>
        </w:tc>
        <w:tc>
          <w:tcPr>
            <w:tcW w:w="1134" w:type="dxa"/>
            <w:vAlign w:val="center"/>
          </w:tcPr>
          <w:p w14:paraId="01D37AD3">
            <w:pPr>
              <w:pStyle w:val="16"/>
            </w:pPr>
          </w:p>
        </w:tc>
        <w:tc>
          <w:tcPr>
            <w:tcW w:w="1134" w:type="dxa"/>
            <w:vAlign w:val="center"/>
          </w:tcPr>
          <w:p w14:paraId="096675E7">
            <w:pPr>
              <w:pStyle w:val="16"/>
            </w:pPr>
          </w:p>
        </w:tc>
        <w:tc>
          <w:tcPr>
            <w:tcW w:w="1134" w:type="dxa"/>
            <w:vAlign w:val="center"/>
          </w:tcPr>
          <w:p w14:paraId="5A27AEA4">
            <w:pPr>
              <w:pStyle w:val="16"/>
            </w:pPr>
          </w:p>
        </w:tc>
        <w:tc>
          <w:tcPr>
            <w:tcW w:w="1134" w:type="dxa"/>
            <w:vAlign w:val="center"/>
          </w:tcPr>
          <w:p w14:paraId="2CE6CCDF">
            <w:pPr>
              <w:pStyle w:val="16"/>
            </w:pPr>
          </w:p>
        </w:tc>
        <w:tc>
          <w:tcPr>
            <w:tcW w:w="1134" w:type="dxa"/>
            <w:vAlign w:val="center"/>
          </w:tcPr>
          <w:p w14:paraId="00E033A8">
            <w:pPr>
              <w:pStyle w:val="16"/>
            </w:pPr>
          </w:p>
        </w:tc>
        <w:tc>
          <w:tcPr>
            <w:tcW w:w="1134" w:type="dxa"/>
            <w:vAlign w:val="center"/>
          </w:tcPr>
          <w:p w14:paraId="7178F628">
            <w:pPr>
              <w:pStyle w:val="16"/>
            </w:pPr>
          </w:p>
        </w:tc>
        <w:tc>
          <w:tcPr>
            <w:tcW w:w="1134" w:type="dxa"/>
            <w:vAlign w:val="center"/>
          </w:tcPr>
          <w:p w14:paraId="4639E65C">
            <w:pPr>
              <w:pStyle w:val="16"/>
            </w:pPr>
            <w:r>
              <w:t>114.75</w:t>
            </w:r>
          </w:p>
        </w:tc>
      </w:tr>
      <w:tr w14:paraId="291EC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92D56B">
            <w:pPr>
              <w:pStyle w:val="12"/>
            </w:pPr>
            <w:r>
              <w:t>2</w:t>
            </w:r>
          </w:p>
        </w:tc>
        <w:tc>
          <w:tcPr>
            <w:tcW w:w="992" w:type="dxa"/>
            <w:vAlign w:val="center"/>
          </w:tcPr>
          <w:p w14:paraId="263C6F55">
            <w:pPr>
              <w:pStyle w:val="13"/>
            </w:pPr>
            <w:r>
              <w:t>205</w:t>
            </w:r>
          </w:p>
        </w:tc>
        <w:tc>
          <w:tcPr>
            <w:tcW w:w="1559" w:type="dxa"/>
            <w:vAlign w:val="center"/>
          </w:tcPr>
          <w:p w14:paraId="61E4F38B">
            <w:pPr>
              <w:pStyle w:val="13"/>
            </w:pPr>
            <w:r>
              <w:t>教育支出</w:t>
            </w:r>
          </w:p>
        </w:tc>
        <w:tc>
          <w:tcPr>
            <w:tcW w:w="1134" w:type="dxa"/>
            <w:vAlign w:val="center"/>
          </w:tcPr>
          <w:p w14:paraId="4BE6788B">
            <w:pPr>
              <w:pStyle w:val="14"/>
            </w:pPr>
            <w:r>
              <w:t>4453.71</w:t>
            </w:r>
          </w:p>
        </w:tc>
        <w:tc>
          <w:tcPr>
            <w:tcW w:w="1134" w:type="dxa"/>
            <w:vAlign w:val="center"/>
          </w:tcPr>
          <w:p w14:paraId="6199FC2A">
            <w:pPr>
              <w:pStyle w:val="14"/>
            </w:pPr>
            <w:r>
              <w:t>4338.96</w:t>
            </w:r>
          </w:p>
        </w:tc>
        <w:tc>
          <w:tcPr>
            <w:tcW w:w="1134" w:type="dxa"/>
            <w:vAlign w:val="center"/>
          </w:tcPr>
          <w:p w14:paraId="18ABC12E">
            <w:pPr>
              <w:pStyle w:val="14"/>
            </w:pPr>
            <w:r>
              <w:t>4338.96</w:t>
            </w:r>
          </w:p>
        </w:tc>
        <w:tc>
          <w:tcPr>
            <w:tcW w:w="1134" w:type="dxa"/>
            <w:vAlign w:val="center"/>
          </w:tcPr>
          <w:p w14:paraId="6589473C">
            <w:pPr>
              <w:pStyle w:val="14"/>
            </w:pPr>
          </w:p>
        </w:tc>
        <w:tc>
          <w:tcPr>
            <w:tcW w:w="1134" w:type="dxa"/>
            <w:vAlign w:val="center"/>
          </w:tcPr>
          <w:p w14:paraId="043F8A8A">
            <w:pPr>
              <w:pStyle w:val="14"/>
            </w:pPr>
          </w:p>
        </w:tc>
        <w:tc>
          <w:tcPr>
            <w:tcW w:w="1134" w:type="dxa"/>
            <w:vAlign w:val="center"/>
          </w:tcPr>
          <w:p w14:paraId="3117285D">
            <w:pPr>
              <w:pStyle w:val="14"/>
            </w:pPr>
          </w:p>
        </w:tc>
        <w:tc>
          <w:tcPr>
            <w:tcW w:w="1134" w:type="dxa"/>
            <w:vAlign w:val="center"/>
          </w:tcPr>
          <w:p w14:paraId="0126F438">
            <w:pPr>
              <w:pStyle w:val="14"/>
            </w:pPr>
          </w:p>
        </w:tc>
        <w:tc>
          <w:tcPr>
            <w:tcW w:w="1134" w:type="dxa"/>
            <w:vAlign w:val="center"/>
          </w:tcPr>
          <w:p w14:paraId="42318ECC">
            <w:pPr>
              <w:pStyle w:val="14"/>
            </w:pPr>
          </w:p>
        </w:tc>
        <w:tc>
          <w:tcPr>
            <w:tcW w:w="1134" w:type="dxa"/>
            <w:vAlign w:val="center"/>
          </w:tcPr>
          <w:p w14:paraId="6C08D63D">
            <w:pPr>
              <w:pStyle w:val="14"/>
            </w:pPr>
          </w:p>
        </w:tc>
        <w:tc>
          <w:tcPr>
            <w:tcW w:w="1134" w:type="dxa"/>
            <w:vAlign w:val="center"/>
          </w:tcPr>
          <w:p w14:paraId="7F5D4278">
            <w:pPr>
              <w:pStyle w:val="14"/>
            </w:pPr>
            <w:r>
              <w:t>114.75</w:t>
            </w:r>
          </w:p>
        </w:tc>
      </w:tr>
      <w:tr w14:paraId="435D4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0406AF">
            <w:pPr>
              <w:pStyle w:val="12"/>
            </w:pPr>
            <w:r>
              <w:t>3</w:t>
            </w:r>
          </w:p>
        </w:tc>
        <w:tc>
          <w:tcPr>
            <w:tcW w:w="992" w:type="dxa"/>
            <w:vAlign w:val="center"/>
          </w:tcPr>
          <w:p w14:paraId="74B4F69A">
            <w:pPr>
              <w:pStyle w:val="13"/>
            </w:pPr>
            <w:r>
              <w:t>20502</w:t>
            </w:r>
          </w:p>
        </w:tc>
        <w:tc>
          <w:tcPr>
            <w:tcW w:w="1559" w:type="dxa"/>
            <w:vAlign w:val="center"/>
          </w:tcPr>
          <w:p w14:paraId="3A21F543">
            <w:pPr>
              <w:pStyle w:val="13"/>
            </w:pPr>
            <w:r>
              <w:t>普通教育</w:t>
            </w:r>
          </w:p>
        </w:tc>
        <w:tc>
          <w:tcPr>
            <w:tcW w:w="1134" w:type="dxa"/>
            <w:vAlign w:val="center"/>
          </w:tcPr>
          <w:p w14:paraId="20E0560B">
            <w:pPr>
              <w:pStyle w:val="14"/>
            </w:pPr>
            <w:r>
              <w:t>4453.71</w:t>
            </w:r>
          </w:p>
        </w:tc>
        <w:tc>
          <w:tcPr>
            <w:tcW w:w="1134" w:type="dxa"/>
            <w:vAlign w:val="center"/>
          </w:tcPr>
          <w:p w14:paraId="67354C55">
            <w:pPr>
              <w:pStyle w:val="14"/>
            </w:pPr>
            <w:r>
              <w:t>4338.96</w:t>
            </w:r>
          </w:p>
        </w:tc>
        <w:tc>
          <w:tcPr>
            <w:tcW w:w="1134" w:type="dxa"/>
            <w:vAlign w:val="center"/>
          </w:tcPr>
          <w:p w14:paraId="078C2215">
            <w:pPr>
              <w:pStyle w:val="14"/>
            </w:pPr>
            <w:r>
              <w:t>4338.96</w:t>
            </w:r>
          </w:p>
        </w:tc>
        <w:tc>
          <w:tcPr>
            <w:tcW w:w="1134" w:type="dxa"/>
            <w:vAlign w:val="center"/>
          </w:tcPr>
          <w:p w14:paraId="5B1BFF61">
            <w:pPr>
              <w:pStyle w:val="14"/>
            </w:pPr>
          </w:p>
        </w:tc>
        <w:tc>
          <w:tcPr>
            <w:tcW w:w="1134" w:type="dxa"/>
            <w:vAlign w:val="center"/>
          </w:tcPr>
          <w:p w14:paraId="49083605">
            <w:pPr>
              <w:pStyle w:val="14"/>
            </w:pPr>
          </w:p>
        </w:tc>
        <w:tc>
          <w:tcPr>
            <w:tcW w:w="1134" w:type="dxa"/>
            <w:vAlign w:val="center"/>
          </w:tcPr>
          <w:p w14:paraId="04C78D5C">
            <w:pPr>
              <w:pStyle w:val="14"/>
            </w:pPr>
          </w:p>
        </w:tc>
        <w:tc>
          <w:tcPr>
            <w:tcW w:w="1134" w:type="dxa"/>
            <w:vAlign w:val="center"/>
          </w:tcPr>
          <w:p w14:paraId="1877708D">
            <w:pPr>
              <w:pStyle w:val="14"/>
            </w:pPr>
          </w:p>
        </w:tc>
        <w:tc>
          <w:tcPr>
            <w:tcW w:w="1134" w:type="dxa"/>
            <w:vAlign w:val="center"/>
          </w:tcPr>
          <w:p w14:paraId="7FA60B6A">
            <w:pPr>
              <w:pStyle w:val="14"/>
            </w:pPr>
          </w:p>
        </w:tc>
        <w:tc>
          <w:tcPr>
            <w:tcW w:w="1134" w:type="dxa"/>
            <w:vAlign w:val="center"/>
          </w:tcPr>
          <w:p w14:paraId="31B6CA42">
            <w:pPr>
              <w:pStyle w:val="14"/>
            </w:pPr>
          </w:p>
        </w:tc>
        <w:tc>
          <w:tcPr>
            <w:tcW w:w="1134" w:type="dxa"/>
            <w:vAlign w:val="center"/>
          </w:tcPr>
          <w:p w14:paraId="78475742">
            <w:pPr>
              <w:pStyle w:val="14"/>
            </w:pPr>
            <w:r>
              <w:t>114.75</w:t>
            </w:r>
          </w:p>
        </w:tc>
      </w:tr>
      <w:tr w14:paraId="12C03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7E11B0">
            <w:pPr>
              <w:pStyle w:val="12"/>
            </w:pPr>
            <w:r>
              <w:t>4</w:t>
            </w:r>
          </w:p>
        </w:tc>
        <w:tc>
          <w:tcPr>
            <w:tcW w:w="992" w:type="dxa"/>
            <w:vAlign w:val="center"/>
          </w:tcPr>
          <w:p w14:paraId="030B96C0">
            <w:pPr>
              <w:pStyle w:val="13"/>
            </w:pPr>
            <w:r>
              <w:t>2050201</w:t>
            </w:r>
          </w:p>
        </w:tc>
        <w:tc>
          <w:tcPr>
            <w:tcW w:w="1559" w:type="dxa"/>
            <w:vAlign w:val="center"/>
          </w:tcPr>
          <w:p w14:paraId="0FF2215B">
            <w:pPr>
              <w:pStyle w:val="13"/>
            </w:pPr>
            <w:r>
              <w:t>学前教育</w:t>
            </w:r>
          </w:p>
        </w:tc>
        <w:tc>
          <w:tcPr>
            <w:tcW w:w="1134" w:type="dxa"/>
            <w:vAlign w:val="center"/>
          </w:tcPr>
          <w:p w14:paraId="3217E0EC">
            <w:pPr>
              <w:pStyle w:val="14"/>
            </w:pPr>
            <w:r>
              <w:t>509.16</w:t>
            </w:r>
          </w:p>
        </w:tc>
        <w:tc>
          <w:tcPr>
            <w:tcW w:w="1134" w:type="dxa"/>
            <w:vAlign w:val="center"/>
          </w:tcPr>
          <w:p w14:paraId="56125782">
            <w:pPr>
              <w:pStyle w:val="14"/>
            </w:pPr>
            <w:r>
              <w:t>432.66</w:t>
            </w:r>
          </w:p>
        </w:tc>
        <w:tc>
          <w:tcPr>
            <w:tcW w:w="1134" w:type="dxa"/>
            <w:vAlign w:val="center"/>
          </w:tcPr>
          <w:p w14:paraId="0C9456F8">
            <w:pPr>
              <w:pStyle w:val="14"/>
            </w:pPr>
            <w:r>
              <w:t>432.66</w:t>
            </w:r>
          </w:p>
        </w:tc>
        <w:tc>
          <w:tcPr>
            <w:tcW w:w="1134" w:type="dxa"/>
            <w:vAlign w:val="center"/>
          </w:tcPr>
          <w:p w14:paraId="1239A776">
            <w:pPr>
              <w:pStyle w:val="14"/>
            </w:pPr>
          </w:p>
        </w:tc>
        <w:tc>
          <w:tcPr>
            <w:tcW w:w="1134" w:type="dxa"/>
            <w:vAlign w:val="center"/>
          </w:tcPr>
          <w:p w14:paraId="3D02BC4A">
            <w:pPr>
              <w:pStyle w:val="14"/>
            </w:pPr>
          </w:p>
        </w:tc>
        <w:tc>
          <w:tcPr>
            <w:tcW w:w="1134" w:type="dxa"/>
            <w:vAlign w:val="center"/>
          </w:tcPr>
          <w:p w14:paraId="0417D6A4">
            <w:pPr>
              <w:pStyle w:val="14"/>
            </w:pPr>
          </w:p>
        </w:tc>
        <w:tc>
          <w:tcPr>
            <w:tcW w:w="1134" w:type="dxa"/>
            <w:vAlign w:val="center"/>
          </w:tcPr>
          <w:p w14:paraId="1C678FD4">
            <w:pPr>
              <w:pStyle w:val="14"/>
            </w:pPr>
          </w:p>
        </w:tc>
        <w:tc>
          <w:tcPr>
            <w:tcW w:w="1134" w:type="dxa"/>
            <w:vAlign w:val="center"/>
          </w:tcPr>
          <w:p w14:paraId="5DC7F4DC">
            <w:pPr>
              <w:pStyle w:val="14"/>
            </w:pPr>
          </w:p>
        </w:tc>
        <w:tc>
          <w:tcPr>
            <w:tcW w:w="1134" w:type="dxa"/>
            <w:vAlign w:val="center"/>
          </w:tcPr>
          <w:p w14:paraId="4B0F5B67">
            <w:pPr>
              <w:pStyle w:val="14"/>
            </w:pPr>
          </w:p>
        </w:tc>
        <w:tc>
          <w:tcPr>
            <w:tcW w:w="1134" w:type="dxa"/>
            <w:vAlign w:val="center"/>
          </w:tcPr>
          <w:p w14:paraId="5AAC3A6E">
            <w:pPr>
              <w:pStyle w:val="14"/>
            </w:pPr>
            <w:r>
              <w:t>76.50</w:t>
            </w:r>
          </w:p>
        </w:tc>
      </w:tr>
      <w:tr w14:paraId="57003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E84D31">
            <w:pPr>
              <w:pStyle w:val="12"/>
            </w:pPr>
            <w:r>
              <w:t>5</w:t>
            </w:r>
          </w:p>
        </w:tc>
        <w:tc>
          <w:tcPr>
            <w:tcW w:w="992" w:type="dxa"/>
            <w:vAlign w:val="center"/>
          </w:tcPr>
          <w:p w14:paraId="16F3812D">
            <w:pPr>
              <w:pStyle w:val="13"/>
            </w:pPr>
            <w:r>
              <w:t>2050202</w:t>
            </w:r>
          </w:p>
        </w:tc>
        <w:tc>
          <w:tcPr>
            <w:tcW w:w="1559" w:type="dxa"/>
            <w:vAlign w:val="center"/>
          </w:tcPr>
          <w:p w14:paraId="724198AC">
            <w:pPr>
              <w:pStyle w:val="13"/>
            </w:pPr>
            <w:r>
              <w:t>小学教育</w:t>
            </w:r>
          </w:p>
        </w:tc>
        <w:tc>
          <w:tcPr>
            <w:tcW w:w="1134" w:type="dxa"/>
            <w:vAlign w:val="center"/>
          </w:tcPr>
          <w:p w14:paraId="7603B07D">
            <w:pPr>
              <w:pStyle w:val="14"/>
            </w:pPr>
            <w:r>
              <w:t>3944.55</w:t>
            </w:r>
          </w:p>
        </w:tc>
        <w:tc>
          <w:tcPr>
            <w:tcW w:w="1134" w:type="dxa"/>
            <w:vAlign w:val="center"/>
          </w:tcPr>
          <w:p w14:paraId="590219BA">
            <w:pPr>
              <w:pStyle w:val="14"/>
            </w:pPr>
            <w:r>
              <w:t>3906.30</w:t>
            </w:r>
          </w:p>
        </w:tc>
        <w:tc>
          <w:tcPr>
            <w:tcW w:w="1134" w:type="dxa"/>
            <w:vAlign w:val="center"/>
          </w:tcPr>
          <w:p w14:paraId="4F9647B0">
            <w:pPr>
              <w:pStyle w:val="14"/>
            </w:pPr>
            <w:r>
              <w:t>3906.30</w:t>
            </w:r>
          </w:p>
        </w:tc>
        <w:tc>
          <w:tcPr>
            <w:tcW w:w="1134" w:type="dxa"/>
            <w:vAlign w:val="center"/>
          </w:tcPr>
          <w:p w14:paraId="71581669">
            <w:pPr>
              <w:pStyle w:val="14"/>
            </w:pPr>
          </w:p>
        </w:tc>
        <w:tc>
          <w:tcPr>
            <w:tcW w:w="1134" w:type="dxa"/>
            <w:vAlign w:val="center"/>
          </w:tcPr>
          <w:p w14:paraId="4E238516">
            <w:pPr>
              <w:pStyle w:val="14"/>
            </w:pPr>
          </w:p>
        </w:tc>
        <w:tc>
          <w:tcPr>
            <w:tcW w:w="1134" w:type="dxa"/>
            <w:vAlign w:val="center"/>
          </w:tcPr>
          <w:p w14:paraId="0B530F10">
            <w:pPr>
              <w:pStyle w:val="14"/>
            </w:pPr>
          </w:p>
        </w:tc>
        <w:tc>
          <w:tcPr>
            <w:tcW w:w="1134" w:type="dxa"/>
            <w:vAlign w:val="center"/>
          </w:tcPr>
          <w:p w14:paraId="63612AF1">
            <w:pPr>
              <w:pStyle w:val="14"/>
            </w:pPr>
          </w:p>
        </w:tc>
        <w:tc>
          <w:tcPr>
            <w:tcW w:w="1134" w:type="dxa"/>
            <w:vAlign w:val="center"/>
          </w:tcPr>
          <w:p w14:paraId="48C53583">
            <w:pPr>
              <w:pStyle w:val="14"/>
            </w:pPr>
          </w:p>
        </w:tc>
        <w:tc>
          <w:tcPr>
            <w:tcW w:w="1134" w:type="dxa"/>
            <w:vAlign w:val="center"/>
          </w:tcPr>
          <w:p w14:paraId="359916DF">
            <w:pPr>
              <w:pStyle w:val="14"/>
            </w:pPr>
          </w:p>
        </w:tc>
        <w:tc>
          <w:tcPr>
            <w:tcW w:w="1134" w:type="dxa"/>
            <w:vAlign w:val="center"/>
          </w:tcPr>
          <w:p w14:paraId="3AB97BA1">
            <w:pPr>
              <w:pStyle w:val="14"/>
            </w:pPr>
            <w:r>
              <w:t>38.25</w:t>
            </w:r>
          </w:p>
        </w:tc>
      </w:tr>
    </w:tbl>
    <w:p w14:paraId="63C366FB">
      <w:pPr>
        <w:sectPr>
          <w:pgSz w:w="16840" w:h="11900" w:orient="landscape"/>
          <w:pgMar w:top="1361" w:right="1020" w:bottom="1134" w:left="1020" w:header="720" w:footer="720" w:gutter="0"/>
          <w:cols w:space="720" w:num="1"/>
        </w:sectPr>
      </w:pPr>
    </w:p>
    <w:p w14:paraId="2FF3E8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09A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FB73CA">
            <w:pPr>
              <w:pStyle w:val="8"/>
            </w:pPr>
            <w:r>
              <w:t>360022隆尧县尹村校区</w:t>
            </w:r>
          </w:p>
        </w:tc>
        <w:tc>
          <w:tcPr>
            <w:tcW w:w="2722" w:type="dxa"/>
            <w:gridSpan w:val="2"/>
            <w:tcBorders>
              <w:top w:val="single" w:color="FFFFFF" w:sz="6" w:space="0"/>
              <w:left w:val="single" w:color="FFFFFF" w:sz="6" w:space="0"/>
              <w:right w:val="single" w:color="FFFFFF" w:sz="6" w:space="0"/>
            </w:tcBorders>
            <w:vAlign w:val="center"/>
          </w:tcPr>
          <w:p w14:paraId="7908E523">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81EEBFD">
            <w:pPr>
              <w:pStyle w:val="10"/>
            </w:pPr>
            <w:r>
              <w:t>单位：万元</w:t>
            </w:r>
          </w:p>
        </w:tc>
      </w:tr>
      <w:tr w14:paraId="0B6DE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5566A">
            <w:pPr>
              <w:pStyle w:val="11"/>
            </w:pPr>
            <w:r>
              <w:t>序号</w:t>
            </w:r>
          </w:p>
        </w:tc>
        <w:tc>
          <w:tcPr>
            <w:tcW w:w="5527" w:type="dxa"/>
            <w:gridSpan w:val="2"/>
            <w:vAlign w:val="center"/>
          </w:tcPr>
          <w:p w14:paraId="33B96593">
            <w:pPr>
              <w:pStyle w:val="11"/>
            </w:pPr>
            <w:r>
              <w:t>功能分类科目</w:t>
            </w:r>
          </w:p>
        </w:tc>
        <w:tc>
          <w:tcPr>
            <w:tcW w:w="1361" w:type="dxa"/>
            <w:vMerge w:val="restart"/>
            <w:vAlign w:val="center"/>
          </w:tcPr>
          <w:p w14:paraId="158C36FF">
            <w:pPr>
              <w:pStyle w:val="11"/>
            </w:pPr>
            <w:r>
              <w:t>合计</w:t>
            </w:r>
          </w:p>
        </w:tc>
        <w:tc>
          <w:tcPr>
            <w:tcW w:w="1361" w:type="dxa"/>
            <w:vMerge w:val="restart"/>
            <w:vAlign w:val="center"/>
          </w:tcPr>
          <w:p w14:paraId="3D765D54">
            <w:pPr>
              <w:pStyle w:val="11"/>
            </w:pPr>
            <w:r>
              <w:t>基本支出</w:t>
            </w:r>
          </w:p>
        </w:tc>
        <w:tc>
          <w:tcPr>
            <w:tcW w:w="1361" w:type="dxa"/>
            <w:vMerge w:val="restart"/>
            <w:vAlign w:val="center"/>
          </w:tcPr>
          <w:p w14:paraId="28005C57">
            <w:pPr>
              <w:pStyle w:val="11"/>
            </w:pPr>
            <w:r>
              <w:t>项目支出</w:t>
            </w:r>
          </w:p>
        </w:tc>
        <w:tc>
          <w:tcPr>
            <w:tcW w:w="1361" w:type="dxa"/>
            <w:vMerge w:val="restart"/>
            <w:vAlign w:val="center"/>
          </w:tcPr>
          <w:p w14:paraId="0F566D15">
            <w:pPr>
              <w:pStyle w:val="11"/>
            </w:pPr>
            <w:r>
              <w:t>经营支出</w:t>
            </w:r>
          </w:p>
        </w:tc>
        <w:tc>
          <w:tcPr>
            <w:tcW w:w="1361" w:type="dxa"/>
            <w:vMerge w:val="restart"/>
            <w:vAlign w:val="center"/>
          </w:tcPr>
          <w:p w14:paraId="7C378807">
            <w:pPr>
              <w:pStyle w:val="11"/>
            </w:pPr>
            <w:r>
              <w:t>上解上级     支出</w:t>
            </w:r>
          </w:p>
        </w:tc>
        <w:tc>
          <w:tcPr>
            <w:tcW w:w="1361" w:type="dxa"/>
            <w:vMerge w:val="restart"/>
            <w:vAlign w:val="center"/>
          </w:tcPr>
          <w:p w14:paraId="4F4E3D50">
            <w:pPr>
              <w:pStyle w:val="11"/>
            </w:pPr>
            <w:r>
              <w:t>对附属单位补助支出</w:t>
            </w:r>
          </w:p>
        </w:tc>
      </w:tr>
      <w:tr w14:paraId="3F43A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F550C"/>
        </w:tc>
        <w:tc>
          <w:tcPr>
            <w:tcW w:w="992" w:type="dxa"/>
            <w:vAlign w:val="center"/>
          </w:tcPr>
          <w:p w14:paraId="34F70865">
            <w:pPr>
              <w:pStyle w:val="11"/>
            </w:pPr>
            <w:r>
              <w:t>科目    编码</w:t>
            </w:r>
          </w:p>
        </w:tc>
        <w:tc>
          <w:tcPr>
            <w:tcW w:w="4535" w:type="dxa"/>
            <w:vAlign w:val="center"/>
          </w:tcPr>
          <w:p w14:paraId="44F8469E">
            <w:pPr>
              <w:pStyle w:val="11"/>
            </w:pPr>
            <w:r>
              <w:t>科目名称</w:t>
            </w:r>
          </w:p>
        </w:tc>
        <w:tc>
          <w:tcPr>
            <w:tcW w:w="1361" w:type="dxa"/>
            <w:vMerge w:val="continue"/>
          </w:tcPr>
          <w:p w14:paraId="3DA087C9"/>
        </w:tc>
        <w:tc>
          <w:tcPr>
            <w:tcW w:w="1361" w:type="dxa"/>
            <w:vMerge w:val="continue"/>
          </w:tcPr>
          <w:p w14:paraId="7F463833"/>
        </w:tc>
        <w:tc>
          <w:tcPr>
            <w:tcW w:w="1361" w:type="dxa"/>
            <w:vMerge w:val="continue"/>
          </w:tcPr>
          <w:p w14:paraId="5859705C"/>
        </w:tc>
        <w:tc>
          <w:tcPr>
            <w:tcW w:w="1361" w:type="dxa"/>
            <w:vMerge w:val="continue"/>
          </w:tcPr>
          <w:p w14:paraId="27BAD7D9"/>
        </w:tc>
        <w:tc>
          <w:tcPr>
            <w:tcW w:w="1361" w:type="dxa"/>
            <w:vMerge w:val="continue"/>
          </w:tcPr>
          <w:p w14:paraId="51170C80"/>
        </w:tc>
        <w:tc>
          <w:tcPr>
            <w:tcW w:w="1361" w:type="dxa"/>
            <w:vMerge w:val="continue"/>
          </w:tcPr>
          <w:p w14:paraId="5D2CFFDC"/>
        </w:tc>
      </w:tr>
      <w:tr w14:paraId="476FC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95B1B9">
            <w:pPr>
              <w:pStyle w:val="11"/>
            </w:pPr>
            <w:r>
              <w:t>栏次</w:t>
            </w:r>
          </w:p>
        </w:tc>
        <w:tc>
          <w:tcPr>
            <w:tcW w:w="992" w:type="dxa"/>
            <w:vAlign w:val="center"/>
          </w:tcPr>
          <w:p w14:paraId="1C71758C">
            <w:pPr>
              <w:pStyle w:val="11"/>
            </w:pPr>
            <w:r>
              <w:t>1</w:t>
            </w:r>
          </w:p>
        </w:tc>
        <w:tc>
          <w:tcPr>
            <w:tcW w:w="4535" w:type="dxa"/>
            <w:vAlign w:val="center"/>
          </w:tcPr>
          <w:p w14:paraId="541314E6">
            <w:pPr>
              <w:pStyle w:val="11"/>
            </w:pPr>
            <w:r>
              <w:t>2</w:t>
            </w:r>
          </w:p>
        </w:tc>
        <w:tc>
          <w:tcPr>
            <w:tcW w:w="1361" w:type="dxa"/>
            <w:vAlign w:val="center"/>
          </w:tcPr>
          <w:p w14:paraId="6D7BEAD8">
            <w:pPr>
              <w:pStyle w:val="11"/>
            </w:pPr>
            <w:r>
              <w:t>3</w:t>
            </w:r>
          </w:p>
        </w:tc>
        <w:tc>
          <w:tcPr>
            <w:tcW w:w="1361" w:type="dxa"/>
            <w:vAlign w:val="center"/>
          </w:tcPr>
          <w:p w14:paraId="1553E287">
            <w:pPr>
              <w:pStyle w:val="11"/>
            </w:pPr>
            <w:r>
              <w:t>4</w:t>
            </w:r>
          </w:p>
        </w:tc>
        <w:tc>
          <w:tcPr>
            <w:tcW w:w="1361" w:type="dxa"/>
            <w:vAlign w:val="center"/>
          </w:tcPr>
          <w:p w14:paraId="53827826">
            <w:pPr>
              <w:pStyle w:val="11"/>
            </w:pPr>
            <w:r>
              <w:t>5</w:t>
            </w:r>
          </w:p>
        </w:tc>
        <w:tc>
          <w:tcPr>
            <w:tcW w:w="1361" w:type="dxa"/>
            <w:vAlign w:val="center"/>
          </w:tcPr>
          <w:p w14:paraId="55325FA5">
            <w:pPr>
              <w:pStyle w:val="11"/>
            </w:pPr>
            <w:r>
              <w:t>6</w:t>
            </w:r>
          </w:p>
        </w:tc>
        <w:tc>
          <w:tcPr>
            <w:tcW w:w="1361" w:type="dxa"/>
            <w:vAlign w:val="center"/>
          </w:tcPr>
          <w:p w14:paraId="5B9D0338">
            <w:pPr>
              <w:pStyle w:val="11"/>
            </w:pPr>
            <w:r>
              <w:t>7</w:t>
            </w:r>
          </w:p>
        </w:tc>
        <w:tc>
          <w:tcPr>
            <w:tcW w:w="1361" w:type="dxa"/>
            <w:vAlign w:val="center"/>
          </w:tcPr>
          <w:p w14:paraId="672DC88D">
            <w:pPr>
              <w:pStyle w:val="11"/>
            </w:pPr>
            <w:r>
              <w:t>8</w:t>
            </w:r>
          </w:p>
        </w:tc>
      </w:tr>
      <w:tr w14:paraId="102E2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4F954">
            <w:pPr>
              <w:pStyle w:val="12"/>
            </w:pPr>
            <w:r>
              <w:t>1</w:t>
            </w:r>
          </w:p>
        </w:tc>
        <w:tc>
          <w:tcPr>
            <w:tcW w:w="992" w:type="dxa"/>
            <w:vAlign w:val="center"/>
          </w:tcPr>
          <w:p w14:paraId="1DA3460E">
            <w:pPr>
              <w:pStyle w:val="17"/>
            </w:pPr>
          </w:p>
        </w:tc>
        <w:tc>
          <w:tcPr>
            <w:tcW w:w="4535" w:type="dxa"/>
            <w:vAlign w:val="center"/>
          </w:tcPr>
          <w:p w14:paraId="53C8A83F">
            <w:pPr>
              <w:pStyle w:val="15"/>
            </w:pPr>
            <w:r>
              <w:t>合计</w:t>
            </w:r>
          </w:p>
        </w:tc>
        <w:tc>
          <w:tcPr>
            <w:tcW w:w="1361" w:type="dxa"/>
            <w:vAlign w:val="center"/>
          </w:tcPr>
          <w:p w14:paraId="77AC5493">
            <w:pPr>
              <w:pStyle w:val="16"/>
            </w:pPr>
            <w:r>
              <w:t>4453.71</w:t>
            </w:r>
          </w:p>
        </w:tc>
        <w:tc>
          <w:tcPr>
            <w:tcW w:w="1361" w:type="dxa"/>
            <w:vAlign w:val="center"/>
          </w:tcPr>
          <w:p w14:paraId="21CCD2CC">
            <w:pPr>
              <w:pStyle w:val="16"/>
            </w:pPr>
            <w:r>
              <w:t>3367.96</w:t>
            </w:r>
          </w:p>
        </w:tc>
        <w:tc>
          <w:tcPr>
            <w:tcW w:w="1361" w:type="dxa"/>
            <w:vAlign w:val="center"/>
          </w:tcPr>
          <w:p w14:paraId="26E9F808">
            <w:pPr>
              <w:pStyle w:val="16"/>
            </w:pPr>
            <w:r>
              <w:t>1085.74</w:t>
            </w:r>
          </w:p>
        </w:tc>
        <w:tc>
          <w:tcPr>
            <w:tcW w:w="1361" w:type="dxa"/>
            <w:vAlign w:val="center"/>
          </w:tcPr>
          <w:p w14:paraId="6F4CDEF5">
            <w:pPr>
              <w:pStyle w:val="16"/>
            </w:pPr>
          </w:p>
        </w:tc>
        <w:tc>
          <w:tcPr>
            <w:tcW w:w="1361" w:type="dxa"/>
            <w:vAlign w:val="center"/>
          </w:tcPr>
          <w:p w14:paraId="38511BC1">
            <w:pPr>
              <w:pStyle w:val="16"/>
            </w:pPr>
          </w:p>
        </w:tc>
        <w:tc>
          <w:tcPr>
            <w:tcW w:w="1361" w:type="dxa"/>
            <w:vAlign w:val="center"/>
          </w:tcPr>
          <w:p w14:paraId="58D990F4">
            <w:pPr>
              <w:pStyle w:val="16"/>
            </w:pPr>
          </w:p>
        </w:tc>
      </w:tr>
      <w:tr w14:paraId="06955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736DD">
            <w:pPr>
              <w:pStyle w:val="12"/>
            </w:pPr>
            <w:r>
              <w:t>2</w:t>
            </w:r>
          </w:p>
        </w:tc>
        <w:tc>
          <w:tcPr>
            <w:tcW w:w="992" w:type="dxa"/>
            <w:vAlign w:val="center"/>
          </w:tcPr>
          <w:p w14:paraId="145857A9">
            <w:pPr>
              <w:pStyle w:val="13"/>
            </w:pPr>
            <w:r>
              <w:t>205</w:t>
            </w:r>
          </w:p>
        </w:tc>
        <w:tc>
          <w:tcPr>
            <w:tcW w:w="4535" w:type="dxa"/>
            <w:vAlign w:val="center"/>
          </w:tcPr>
          <w:p w14:paraId="78C16DB7">
            <w:pPr>
              <w:pStyle w:val="13"/>
            </w:pPr>
            <w:r>
              <w:t>教育支出</w:t>
            </w:r>
          </w:p>
        </w:tc>
        <w:tc>
          <w:tcPr>
            <w:tcW w:w="1361" w:type="dxa"/>
            <w:vAlign w:val="center"/>
          </w:tcPr>
          <w:p w14:paraId="2FF88A3D">
            <w:pPr>
              <w:pStyle w:val="14"/>
            </w:pPr>
            <w:r>
              <w:t>4453.71</w:t>
            </w:r>
          </w:p>
        </w:tc>
        <w:tc>
          <w:tcPr>
            <w:tcW w:w="1361" w:type="dxa"/>
            <w:vAlign w:val="center"/>
          </w:tcPr>
          <w:p w14:paraId="338A3DB0">
            <w:pPr>
              <w:pStyle w:val="14"/>
            </w:pPr>
            <w:r>
              <w:t>3367.96</w:t>
            </w:r>
          </w:p>
        </w:tc>
        <w:tc>
          <w:tcPr>
            <w:tcW w:w="1361" w:type="dxa"/>
            <w:vAlign w:val="center"/>
          </w:tcPr>
          <w:p w14:paraId="62018F6C">
            <w:pPr>
              <w:pStyle w:val="14"/>
            </w:pPr>
            <w:r>
              <w:t>1085.74</w:t>
            </w:r>
          </w:p>
        </w:tc>
        <w:tc>
          <w:tcPr>
            <w:tcW w:w="1361" w:type="dxa"/>
            <w:vAlign w:val="center"/>
          </w:tcPr>
          <w:p w14:paraId="247BF557">
            <w:pPr>
              <w:pStyle w:val="14"/>
            </w:pPr>
          </w:p>
        </w:tc>
        <w:tc>
          <w:tcPr>
            <w:tcW w:w="1361" w:type="dxa"/>
            <w:vAlign w:val="center"/>
          </w:tcPr>
          <w:p w14:paraId="46C9B0D6">
            <w:pPr>
              <w:pStyle w:val="14"/>
            </w:pPr>
          </w:p>
        </w:tc>
        <w:tc>
          <w:tcPr>
            <w:tcW w:w="1361" w:type="dxa"/>
            <w:vAlign w:val="center"/>
          </w:tcPr>
          <w:p w14:paraId="071EC79E">
            <w:pPr>
              <w:pStyle w:val="14"/>
            </w:pPr>
          </w:p>
        </w:tc>
      </w:tr>
      <w:tr w14:paraId="0BD12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70A6C">
            <w:pPr>
              <w:pStyle w:val="12"/>
            </w:pPr>
            <w:r>
              <w:t>3</w:t>
            </w:r>
          </w:p>
        </w:tc>
        <w:tc>
          <w:tcPr>
            <w:tcW w:w="992" w:type="dxa"/>
            <w:vAlign w:val="center"/>
          </w:tcPr>
          <w:p w14:paraId="0C8BD89D">
            <w:pPr>
              <w:pStyle w:val="13"/>
            </w:pPr>
            <w:r>
              <w:t>20502</w:t>
            </w:r>
          </w:p>
        </w:tc>
        <w:tc>
          <w:tcPr>
            <w:tcW w:w="4535" w:type="dxa"/>
            <w:vAlign w:val="center"/>
          </w:tcPr>
          <w:p w14:paraId="527CD610">
            <w:pPr>
              <w:pStyle w:val="13"/>
            </w:pPr>
            <w:r>
              <w:t>普通教育</w:t>
            </w:r>
          </w:p>
        </w:tc>
        <w:tc>
          <w:tcPr>
            <w:tcW w:w="1361" w:type="dxa"/>
            <w:vAlign w:val="center"/>
          </w:tcPr>
          <w:p w14:paraId="0F41EC93">
            <w:pPr>
              <w:pStyle w:val="14"/>
            </w:pPr>
            <w:r>
              <w:t>4453.71</w:t>
            </w:r>
          </w:p>
        </w:tc>
        <w:tc>
          <w:tcPr>
            <w:tcW w:w="1361" w:type="dxa"/>
            <w:vAlign w:val="center"/>
          </w:tcPr>
          <w:p w14:paraId="7BF15034">
            <w:pPr>
              <w:pStyle w:val="14"/>
            </w:pPr>
            <w:r>
              <w:t>3367.96</w:t>
            </w:r>
          </w:p>
        </w:tc>
        <w:tc>
          <w:tcPr>
            <w:tcW w:w="1361" w:type="dxa"/>
            <w:vAlign w:val="center"/>
          </w:tcPr>
          <w:p w14:paraId="68687655">
            <w:pPr>
              <w:pStyle w:val="14"/>
            </w:pPr>
            <w:r>
              <w:t>1085.74</w:t>
            </w:r>
          </w:p>
        </w:tc>
        <w:tc>
          <w:tcPr>
            <w:tcW w:w="1361" w:type="dxa"/>
            <w:vAlign w:val="center"/>
          </w:tcPr>
          <w:p w14:paraId="4BE5E172">
            <w:pPr>
              <w:pStyle w:val="14"/>
            </w:pPr>
          </w:p>
        </w:tc>
        <w:tc>
          <w:tcPr>
            <w:tcW w:w="1361" w:type="dxa"/>
            <w:vAlign w:val="center"/>
          </w:tcPr>
          <w:p w14:paraId="28448A53">
            <w:pPr>
              <w:pStyle w:val="14"/>
            </w:pPr>
          </w:p>
        </w:tc>
        <w:tc>
          <w:tcPr>
            <w:tcW w:w="1361" w:type="dxa"/>
            <w:vAlign w:val="center"/>
          </w:tcPr>
          <w:p w14:paraId="1751DA3D">
            <w:pPr>
              <w:pStyle w:val="14"/>
            </w:pPr>
          </w:p>
        </w:tc>
      </w:tr>
      <w:tr w14:paraId="0E17E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037E8">
            <w:pPr>
              <w:pStyle w:val="12"/>
            </w:pPr>
            <w:r>
              <w:t>4</w:t>
            </w:r>
          </w:p>
        </w:tc>
        <w:tc>
          <w:tcPr>
            <w:tcW w:w="992" w:type="dxa"/>
            <w:vAlign w:val="center"/>
          </w:tcPr>
          <w:p w14:paraId="526712A5">
            <w:pPr>
              <w:pStyle w:val="13"/>
            </w:pPr>
            <w:r>
              <w:t>2050201</w:t>
            </w:r>
          </w:p>
        </w:tc>
        <w:tc>
          <w:tcPr>
            <w:tcW w:w="4535" w:type="dxa"/>
            <w:vAlign w:val="center"/>
          </w:tcPr>
          <w:p w14:paraId="2F74DEE4">
            <w:pPr>
              <w:pStyle w:val="13"/>
            </w:pPr>
            <w:r>
              <w:t>学前教育</w:t>
            </w:r>
          </w:p>
        </w:tc>
        <w:tc>
          <w:tcPr>
            <w:tcW w:w="1361" w:type="dxa"/>
            <w:vAlign w:val="center"/>
          </w:tcPr>
          <w:p w14:paraId="66C48E0F">
            <w:pPr>
              <w:pStyle w:val="14"/>
            </w:pPr>
            <w:r>
              <w:t>509.16</w:t>
            </w:r>
          </w:p>
        </w:tc>
        <w:tc>
          <w:tcPr>
            <w:tcW w:w="1361" w:type="dxa"/>
            <w:vAlign w:val="center"/>
          </w:tcPr>
          <w:p w14:paraId="715CF4AB">
            <w:pPr>
              <w:pStyle w:val="14"/>
            </w:pPr>
          </w:p>
        </w:tc>
        <w:tc>
          <w:tcPr>
            <w:tcW w:w="1361" w:type="dxa"/>
            <w:vAlign w:val="center"/>
          </w:tcPr>
          <w:p w14:paraId="4F8B765E">
            <w:pPr>
              <w:pStyle w:val="14"/>
            </w:pPr>
            <w:r>
              <w:t>509.16</w:t>
            </w:r>
          </w:p>
        </w:tc>
        <w:tc>
          <w:tcPr>
            <w:tcW w:w="1361" w:type="dxa"/>
            <w:vAlign w:val="center"/>
          </w:tcPr>
          <w:p w14:paraId="6D63CEF6">
            <w:pPr>
              <w:pStyle w:val="14"/>
            </w:pPr>
          </w:p>
        </w:tc>
        <w:tc>
          <w:tcPr>
            <w:tcW w:w="1361" w:type="dxa"/>
            <w:vAlign w:val="center"/>
          </w:tcPr>
          <w:p w14:paraId="281B9671">
            <w:pPr>
              <w:pStyle w:val="14"/>
            </w:pPr>
          </w:p>
        </w:tc>
        <w:tc>
          <w:tcPr>
            <w:tcW w:w="1361" w:type="dxa"/>
            <w:vAlign w:val="center"/>
          </w:tcPr>
          <w:p w14:paraId="48DBA958">
            <w:pPr>
              <w:pStyle w:val="14"/>
            </w:pPr>
          </w:p>
        </w:tc>
      </w:tr>
      <w:tr w14:paraId="2F9F5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DDB0A">
            <w:pPr>
              <w:pStyle w:val="12"/>
            </w:pPr>
            <w:r>
              <w:t>5</w:t>
            </w:r>
          </w:p>
        </w:tc>
        <w:tc>
          <w:tcPr>
            <w:tcW w:w="992" w:type="dxa"/>
            <w:vAlign w:val="center"/>
          </w:tcPr>
          <w:p w14:paraId="0A601B96">
            <w:pPr>
              <w:pStyle w:val="13"/>
            </w:pPr>
            <w:r>
              <w:t>2050202</w:t>
            </w:r>
          </w:p>
        </w:tc>
        <w:tc>
          <w:tcPr>
            <w:tcW w:w="4535" w:type="dxa"/>
            <w:vAlign w:val="center"/>
          </w:tcPr>
          <w:p w14:paraId="3C3341E0">
            <w:pPr>
              <w:pStyle w:val="13"/>
            </w:pPr>
            <w:r>
              <w:t>小学教育</w:t>
            </w:r>
          </w:p>
        </w:tc>
        <w:tc>
          <w:tcPr>
            <w:tcW w:w="1361" w:type="dxa"/>
            <w:vAlign w:val="center"/>
          </w:tcPr>
          <w:p w14:paraId="1210805A">
            <w:pPr>
              <w:pStyle w:val="14"/>
            </w:pPr>
            <w:r>
              <w:t>3944.55</w:t>
            </w:r>
          </w:p>
        </w:tc>
        <w:tc>
          <w:tcPr>
            <w:tcW w:w="1361" w:type="dxa"/>
            <w:vAlign w:val="center"/>
          </w:tcPr>
          <w:p w14:paraId="5DDE54B8">
            <w:pPr>
              <w:pStyle w:val="14"/>
            </w:pPr>
            <w:r>
              <w:t>3367.96</w:t>
            </w:r>
          </w:p>
        </w:tc>
        <w:tc>
          <w:tcPr>
            <w:tcW w:w="1361" w:type="dxa"/>
            <w:vAlign w:val="center"/>
          </w:tcPr>
          <w:p w14:paraId="4ED341C1">
            <w:pPr>
              <w:pStyle w:val="14"/>
            </w:pPr>
            <w:r>
              <w:t>576.58</w:t>
            </w:r>
          </w:p>
        </w:tc>
        <w:tc>
          <w:tcPr>
            <w:tcW w:w="1361" w:type="dxa"/>
            <w:vAlign w:val="center"/>
          </w:tcPr>
          <w:p w14:paraId="6CF2E5B9">
            <w:pPr>
              <w:pStyle w:val="14"/>
            </w:pPr>
          </w:p>
        </w:tc>
        <w:tc>
          <w:tcPr>
            <w:tcW w:w="1361" w:type="dxa"/>
            <w:vAlign w:val="center"/>
          </w:tcPr>
          <w:p w14:paraId="3F02DFAB">
            <w:pPr>
              <w:pStyle w:val="14"/>
            </w:pPr>
          </w:p>
        </w:tc>
        <w:tc>
          <w:tcPr>
            <w:tcW w:w="1361" w:type="dxa"/>
            <w:vAlign w:val="center"/>
          </w:tcPr>
          <w:p w14:paraId="187137A9">
            <w:pPr>
              <w:pStyle w:val="14"/>
            </w:pPr>
          </w:p>
        </w:tc>
      </w:tr>
    </w:tbl>
    <w:p w14:paraId="7BD03EFE">
      <w:pPr>
        <w:sectPr>
          <w:pgSz w:w="16840" w:h="11900" w:orient="landscape"/>
          <w:pgMar w:top="1361" w:right="1020" w:bottom="1134" w:left="1020" w:header="720" w:footer="720" w:gutter="0"/>
          <w:cols w:space="720" w:num="1"/>
        </w:sectPr>
      </w:pPr>
    </w:p>
    <w:p w14:paraId="22C414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762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3B51E4">
            <w:pPr>
              <w:pStyle w:val="8"/>
            </w:pPr>
            <w:r>
              <w:t>360022隆尧县尹村校区</w:t>
            </w:r>
          </w:p>
        </w:tc>
        <w:tc>
          <w:tcPr>
            <w:tcW w:w="3402" w:type="dxa"/>
            <w:tcBorders>
              <w:top w:val="single" w:color="FFFFFF" w:sz="6" w:space="0"/>
              <w:left w:val="single" w:color="FFFFFF" w:sz="6" w:space="0"/>
              <w:right w:val="single" w:color="FFFFFF" w:sz="6" w:space="0"/>
            </w:tcBorders>
            <w:vAlign w:val="center"/>
          </w:tcPr>
          <w:p w14:paraId="6F01D89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C805F32">
            <w:pPr>
              <w:pStyle w:val="10"/>
            </w:pPr>
            <w:r>
              <w:t>单位：万元</w:t>
            </w:r>
          </w:p>
        </w:tc>
      </w:tr>
      <w:tr w14:paraId="20779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04F6C">
            <w:pPr>
              <w:pStyle w:val="11"/>
            </w:pPr>
            <w:r>
              <w:t>序号</w:t>
            </w:r>
          </w:p>
        </w:tc>
        <w:tc>
          <w:tcPr>
            <w:tcW w:w="4876" w:type="dxa"/>
            <w:gridSpan w:val="2"/>
            <w:vAlign w:val="center"/>
          </w:tcPr>
          <w:p w14:paraId="28C462E1">
            <w:pPr>
              <w:pStyle w:val="11"/>
            </w:pPr>
            <w:r>
              <w:t>收入</w:t>
            </w:r>
          </w:p>
        </w:tc>
        <w:tc>
          <w:tcPr>
            <w:tcW w:w="9298" w:type="dxa"/>
            <w:gridSpan w:val="5"/>
            <w:vAlign w:val="center"/>
          </w:tcPr>
          <w:p w14:paraId="30D103B4">
            <w:pPr>
              <w:pStyle w:val="11"/>
            </w:pPr>
            <w:r>
              <w:t>支出</w:t>
            </w:r>
          </w:p>
        </w:tc>
      </w:tr>
      <w:tr w14:paraId="27E7A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DBE7F"/>
        </w:tc>
        <w:tc>
          <w:tcPr>
            <w:tcW w:w="3402" w:type="dxa"/>
            <w:vAlign w:val="center"/>
          </w:tcPr>
          <w:p w14:paraId="3ECC4CAC">
            <w:pPr>
              <w:pStyle w:val="11"/>
            </w:pPr>
            <w:r>
              <w:t>项  目</w:t>
            </w:r>
          </w:p>
        </w:tc>
        <w:tc>
          <w:tcPr>
            <w:tcW w:w="1474" w:type="dxa"/>
            <w:vAlign w:val="center"/>
          </w:tcPr>
          <w:p w14:paraId="3E6F8326">
            <w:pPr>
              <w:pStyle w:val="11"/>
            </w:pPr>
            <w:r>
              <w:t>金额</w:t>
            </w:r>
          </w:p>
        </w:tc>
        <w:tc>
          <w:tcPr>
            <w:tcW w:w="3402" w:type="dxa"/>
            <w:vAlign w:val="center"/>
          </w:tcPr>
          <w:p w14:paraId="3B57CAA2">
            <w:pPr>
              <w:pStyle w:val="11"/>
            </w:pPr>
            <w:r>
              <w:t>项  目</w:t>
            </w:r>
          </w:p>
        </w:tc>
        <w:tc>
          <w:tcPr>
            <w:tcW w:w="1474" w:type="dxa"/>
            <w:vAlign w:val="center"/>
          </w:tcPr>
          <w:p w14:paraId="7AF49062">
            <w:pPr>
              <w:pStyle w:val="11"/>
            </w:pPr>
            <w:r>
              <w:t>合计</w:t>
            </w:r>
          </w:p>
        </w:tc>
        <w:tc>
          <w:tcPr>
            <w:tcW w:w="1474" w:type="dxa"/>
            <w:vAlign w:val="center"/>
          </w:tcPr>
          <w:p w14:paraId="5E5EC5F3">
            <w:pPr>
              <w:pStyle w:val="11"/>
            </w:pPr>
            <w:r>
              <w:t>一般公共预算财政拨款</w:t>
            </w:r>
          </w:p>
        </w:tc>
        <w:tc>
          <w:tcPr>
            <w:tcW w:w="1474" w:type="dxa"/>
            <w:vAlign w:val="center"/>
          </w:tcPr>
          <w:p w14:paraId="76114D99">
            <w:pPr>
              <w:pStyle w:val="11"/>
            </w:pPr>
            <w:r>
              <w:t>政府性基金预算财政    拨款</w:t>
            </w:r>
          </w:p>
        </w:tc>
        <w:tc>
          <w:tcPr>
            <w:tcW w:w="1474" w:type="dxa"/>
            <w:vAlign w:val="center"/>
          </w:tcPr>
          <w:p w14:paraId="55719CCB">
            <w:pPr>
              <w:pStyle w:val="11"/>
            </w:pPr>
            <w:r>
              <w:t>国有资本经营预算财政拨款</w:t>
            </w:r>
          </w:p>
        </w:tc>
      </w:tr>
      <w:tr w14:paraId="614E0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5FA8E">
            <w:pPr>
              <w:pStyle w:val="11"/>
            </w:pPr>
            <w:r>
              <w:t>栏次</w:t>
            </w:r>
          </w:p>
        </w:tc>
        <w:tc>
          <w:tcPr>
            <w:tcW w:w="3402" w:type="dxa"/>
            <w:vAlign w:val="center"/>
          </w:tcPr>
          <w:p w14:paraId="46969C78">
            <w:pPr>
              <w:pStyle w:val="11"/>
            </w:pPr>
            <w:r>
              <w:t>1</w:t>
            </w:r>
          </w:p>
        </w:tc>
        <w:tc>
          <w:tcPr>
            <w:tcW w:w="1474" w:type="dxa"/>
            <w:vAlign w:val="center"/>
          </w:tcPr>
          <w:p w14:paraId="6E09A8FA">
            <w:pPr>
              <w:pStyle w:val="11"/>
            </w:pPr>
            <w:r>
              <w:t>2</w:t>
            </w:r>
          </w:p>
        </w:tc>
        <w:tc>
          <w:tcPr>
            <w:tcW w:w="3402" w:type="dxa"/>
            <w:vAlign w:val="center"/>
          </w:tcPr>
          <w:p w14:paraId="490DE37A">
            <w:pPr>
              <w:pStyle w:val="11"/>
            </w:pPr>
            <w:r>
              <w:t>3</w:t>
            </w:r>
          </w:p>
        </w:tc>
        <w:tc>
          <w:tcPr>
            <w:tcW w:w="1474" w:type="dxa"/>
            <w:vAlign w:val="center"/>
          </w:tcPr>
          <w:p w14:paraId="7DF2C1B2">
            <w:pPr>
              <w:pStyle w:val="11"/>
            </w:pPr>
            <w:r>
              <w:t>4</w:t>
            </w:r>
          </w:p>
        </w:tc>
        <w:tc>
          <w:tcPr>
            <w:tcW w:w="1474" w:type="dxa"/>
            <w:vAlign w:val="center"/>
          </w:tcPr>
          <w:p w14:paraId="0496FA28">
            <w:pPr>
              <w:pStyle w:val="11"/>
            </w:pPr>
            <w:r>
              <w:t>5</w:t>
            </w:r>
          </w:p>
        </w:tc>
        <w:tc>
          <w:tcPr>
            <w:tcW w:w="1474" w:type="dxa"/>
            <w:vAlign w:val="center"/>
          </w:tcPr>
          <w:p w14:paraId="15333D0C">
            <w:pPr>
              <w:pStyle w:val="11"/>
            </w:pPr>
            <w:r>
              <w:t>6</w:t>
            </w:r>
          </w:p>
        </w:tc>
        <w:tc>
          <w:tcPr>
            <w:tcW w:w="1474" w:type="dxa"/>
            <w:vAlign w:val="center"/>
          </w:tcPr>
          <w:p w14:paraId="4119215C">
            <w:pPr>
              <w:pStyle w:val="11"/>
            </w:pPr>
            <w:r>
              <w:t>7</w:t>
            </w:r>
          </w:p>
        </w:tc>
      </w:tr>
      <w:tr w14:paraId="0F4AE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4B5CB">
            <w:pPr>
              <w:pStyle w:val="12"/>
            </w:pPr>
            <w:r>
              <w:t>1</w:t>
            </w:r>
          </w:p>
        </w:tc>
        <w:tc>
          <w:tcPr>
            <w:tcW w:w="3402" w:type="dxa"/>
            <w:vAlign w:val="center"/>
          </w:tcPr>
          <w:p w14:paraId="7D143433">
            <w:pPr>
              <w:pStyle w:val="13"/>
            </w:pPr>
            <w:r>
              <w:t>一、一般公共预算拨款</w:t>
            </w:r>
          </w:p>
        </w:tc>
        <w:tc>
          <w:tcPr>
            <w:tcW w:w="1474" w:type="dxa"/>
            <w:vAlign w:val="center"/>
          </w:tcPr>
          <w:p w14:paraId="499DB9A7">
            <w:pPr>
              <w:pStyle w:val="14"/>
            </w:pPr>
            <w:r>
              <w:t>4338.96</w:t>
            </w:r>
          </w:p>
        </w:tc>
        <w:tc>
          <w:tcPr>
            <w:tcW w:w="3402" w:type="dxa"/>
            <w:vAlign w:val="center"/>
          </w:tcPr>
          <w:p w14:paraId="007A1423">
            <w:pPr>
              <w:pStyle w:val="13"/>
            </w:pPr>
            <w:r>
              <w:t>一、一般公共服务支出</w:t>
            </w:r>
          </w:p>
        </w:tc>
        <w:tc>
          <w:tcPr>
            <w:tcW w:w="1474" w:type="dxa"/>
            <w:vAlign w:val="center"/>
          </w:tcPr>
          <w:p w14:paraId="110F270B">
            <w:pPr>
              <w:pStyle w:val="14"/>
            </w:pPr>
          </w:p>
        </w:tc>
        <w:tc>
          <w:tcPr>
            <w:tcW w:w="1474" w:type="dxa"/>
            <w:vAlign w:val="center"/>
          </w:tcPr>
          <w:p w14:paraId="078AA637">
            <w:pPr>
              <w:pStyle w:val="14"/>
            </w:pPr>
          </w:p>
        </w:tc>
        <w:tc>
          <w:tcPr>
            <w:tcW w:w="1474" w:type="dxa"/>
            <w:vAlign w:val="center"/>
          </w:tcPr>
          <w:p w14:paraId="48CACA42">
            <w:pPr>
              <w:pStyle w:val="14"/>
            </w:pPr>
          </w:p>
        </w:tc>
        <w:tc>
          <w:tcPr>
            <w:tcW w:w="1474" w:type="dxa"/>
            <w:vAlign w:val="center"/>
          </w:tcPr>
          <w:p w14:paraId="4338B6A4">
            <w:pPr>
              <w:pStyle w:val="14"/>
            </w:pPr>
          </w:p>
        </w:tc>
      </w:tr>
      <w:tr w14:paraId="0CDDE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70C10">
            <w:pPr>
              <w:pStyle w:val="12"/>
            </w:pPr>
            <w:r>
              <w:t>2</w:t>
            </w:r>
          </w:p>
        </w:tc>
        <w:tc>
          <w:tcPr>
            <w:tcW w:w="3402" w:type="dxa"/>
            <w:vAlign w:val="center"/>
          </w:tcPr>
          <w:p w14:paraId="6EF9F6BD">
            <w:pPr>
              <w:pStyle w:val="13"/>
            </w:pPr>
            <w:r>
              <w:t>二、政府性基金预算拨款</w:t>
            </w:r>
          </w:p>
        </w:tc>
        <w:tc>
          <w:tcPr>
            <w:tcW w:w="1474" w:type="dxa"/>
            <w:vAlign w:val="center"/>
          </w:tcPr>
          <w:p w14:paraId="3DE57695">
            <w:pPr>
              <w:pStyle w:val="14"/>
            </w:pPr>
          </w:p>
        </w:tc>
        <w:tc>
          <w:tcPr>
            <w:tcW w:w="3402" w:type="dxa"/>
            <w:vAlign w:val="center"/>
          </w:tcPr>
          <w:p w14:paraId="26D4CEF3">
            <w:pPr>
              <w:pStyle w:val="13"/>
            </w:pPr>
            <w:r>
              <w:t>二、外交支出</w:t>
            </w:r>
          </w:p>
        </w:tc>
        <w:tc>
          <w:tcPr>
            <w:tcW w:w="1474" w:type="dxa"/>
            <w:vAlign w:val="center"/>
          </w:tcPr>
          <w:p w14:paraId="27455890">
            <w:pPr>
              <w:pStyle w:val="14"/>
            </w:pPr>
          </w:p>
        </w:tc>
        <w:tc>
          <w:tcPr>
            <w:tcW w:w="1474" w:type="dxa"/>
            <w:vAlign w:val="center"/>
          </w:tcPr>
          <w:p w14:paraId="3DA2B004">
            <w:pPr>
              <w:pStyle w:val="14"/>
            </w:pPr>
          </w:p>
        </w:tc>
        <w:tc>
          <w:tcPr>
            <w:tcW w:w="1474" w:type="dxa"/>
            <w:vAlign w:val="center"/>
          </w:tcPr>
          <w:p w14:paraId="2415E9A9">
            <w:pPr>
              <w:pStyle w:val="14"/>
            </w:pPr>
          </w:p>
        </w:tc>
        <w:tc>
          <w:tcPr>
            <w:tcW w:w="1474" w:type="dxa"/>
            <w:vAlign w:val="center"/>
          </w:tcPr>
          <w:p w14:paraId="32CDDF95">
            <w:pPr>
              <w:pStyle w:val="14"/>
            </w:pPr>
          </w:p>
        </w:tc>
      </w:tr>
      <w:tr w14:paraId="58942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14061">
            <w:pPr>
              <w:pStyle w:val="12"/>
            </w:pPr>
            <w:r>
              <w:t>3</w:t>
            </w:r>
          </w:p>
        </w:tc>
        <w:tc>
          <w:tcPr>
            <w:tcW w:w="3402" w:type="dxa"/>
            <w:vAlign w:val="center"/>
          </w:tcPr>
          <w:p w14:paraId="37168DF1">
            <w:pPr>
              <w:pStyle w:val="13"/>
            </w:pPr>
            <w:r>
              <w:t>三、国有资本经营预算拨款</w:t>
            </w:r>
          </w:p>
        </w:tc>
        <w:tc>
          <w:tcPr>
            <w:tcW w:w="1474" w:type="dxa"/>
            <w:vAlign w:val="center"/>
          </w:tcPr>
          <w:p w14:paraId="3B3B36D2">
            <w:pPr>
              <w:pStyle w:val="14"/>
            </w:pPr>
          </w:p>
        </w:tc>
        <w:tc>
          <w:tcPr>
            <w:tcW w:w="3402" w:type="dxa"/>
            <w:vAlign w:val="center"/>
          </w:tcPr>
          <w:p w14:paraId="1F4E14C9">
            <w:pPr>
              <w:pStyle w:val="13"/>
            </w:pPr>
            <w:r>
              <w:t>三、国防支出</w:t>
            </w:r>
          </w:p>
        </w:tc>
        <w:tc>
          <w:tcPr>
            <w:tcW w:w="1474" w:type="dxa"/>
            <w:vAlign w:val="center"/>
          </w:tcPr>
          <w:p w14:paraId="017D1D61">
            <w:pPr>
              <w:pStyle w:val="14"/>
            </w:pPr>
          </w:p>
        </w:tc>
        <w:tc>
          <w:tcPr>
            <w:tcW w:w="1474" w:type="dxa"/>
            <w:vAlign w:val="center"/>
          </w:tcPr>
          <w:p w14:paraId="3DB68643">
            <w:pPr>
              <w:pStyle w:val="14"/>
            </w:pPr>
          </w:p>
        </w:tc>
        <w:tc>
          <w:tcPr>
            <w:tcW w:w="1474" w:type="dxa"/>
            <w:vAlign w:val="center"/>
          </w:tcPr>
          <w:p w14:paraId="3800E637">
            <w:pPr>
              <w:pStyle w:val="14"/>
            </w:pPr>
          </w:p>
        </w:tc>
        <w:tc>
          <w:tcPr>
            <w:tcW w:w="1474" w:type="dxa"/>
            <w:vAlign w:val="center"/>
          </w:tcPr>
          <w:p w14:paraId="2E608496">
            <w:pPr>
              <w:pStyle w:val="14"/>
            </w:pPr>
          </w:p>
        </w:tc>
      </w:tr>
      <w:tr w14:paraId="3D458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5ED5C">
            <w:pPr>
              <w:pStyle w:val="12"/>
            </w:pPr>
            <w:r>
              <w:t>4</w:t>
            </w:r>
          </w:p>
        </w:tc>
        <w:tc>
          <w:tcPr>
            <w:tcW w:w="3402" w:type="dxa"/>
            <w:vAlign w:val="center"/>
          </w:tcPr>
          <w:p w14:paraId="6D4117D3">
            <w:pPr>
              <w:pStyle w:val="13"/>
            </w:pPr>
          </w:p>
        </w:tc>
        <w:tc>
          <w:tcPr>
            <w:tcW w:w="1474" w:type="dxa"/>
            <w:vAlign w:val="center"/>
          </w:tcPr>
          <w:p w14:paraId="063D3FD0">
            <w:pPr>
              <w:pStyle w:val="14"/>
            </w:pPr>
          </w:p>
        </w:tc>
        <w:tc>
          <w:tcPr>
            <w:tcW w:w="3402" w:type="dxa"/>
            <w:vAlign w:val="center"/>
          </w:tcPr>
          <w:p w14:paraId="21005125">
            <w:pPr>
              <w:pStyle w:val="13"/>
            </w:pPr>
            <w:r>
              <w:t>四、公共安全支出</w:t>
            </w:r>
          </w:p>
        </w:tc>
        <w:tc>
          <w:tcPr>
            <w:tcW w:w="1474" w:type="dxa"/>
            <w:vAlign w:val="center"/>
          </w:tcPr>
          <w:p w14:paraId="5C75C036">
            <w:pPr>
              <w:pStyle w:val="14"/>
            </w:pPr>
          </w:p>
        </w:tc>
        <w:tc>
          <w:tcPr>
            <w:tcW w:w="1474" w:type="dxa"/>
            <w:vAlign w:val="center"/>
          </w:tcPr>
          <w:p w14:paraId="4461D126">
            <w:pPr>
              <w:pStyle w:val="14"/>
            </w:pPr>
          </w:p>
        </w:tc>
        <w:tc>
          <w:tcPr>
            <w:tcW w:w="1474" w:type="dxa"/>
            <w:vAlign w:val="center"/>
          </w:tcPr>
          <w:p w14:paraId="4C99D44F">
            <w:pPr>
              <w:pStyle w:val="14"/>
            </w:pPr>
          </w:p>
        </w:tc>
        <w:tc>
          <w:tcPr>
            <w:tcW w:w="1474" w:type="dxa"/>
            <w:vAlign w:val="center"/>
          </w:tcPr>
          <w:p w14:paraId="6E22D0DF">
            <w:pPr>
              <w:pStyle w:val="14"/>
            </w:pPr>
          </w:p>
        </w:tc>
      </w:tr>
      <w:tr w14:paraId="1508A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131C4">
            <w:pPr>
              <w:pStyle w:val="12"/>
            </w:pPr>
            <w:r>
              <w:t>5</w:t>
            </w:r>
          </w:p>
        </w:tc>
        <w:tc>
          <w:tcPr>
            <w:tcW w:w="3402" w:type="dxa"/>
            <w:vAlign w:val="center"/>
          </w:tcPr>
          <w:p w14:paraId="570FB96E">
            <w:pPr>
              <w:pStyle w:val="13"/>
            </w:pPr>
          </w:p>
        </w:tc>
        <w:tc>
          <w:tcPr>
            <w:tcW w:w="1474" w:type="dxa"/>
            <w:vAlign w:val="center"/>
          </w:tcPr>
          <w:p w14:paraId="7C4AE3EF">
            <w:pPr>
              <w:pStyle w:val="14"/>
            </w:pPr>
          </w:p>
        </w:tc>
        <w:tc>
          <w:tcPr>
            <w:tcW w:w="3402" w:type="dxa"/>
            <w:vAlign w:val="center"/>
          </w:tcPr>
          <w:p w14:paraId="52811210">
            <w:pPr>
              <w:pStyle w:val="13"/>
            </w:pPr>
            <w:r>
              <w:t>五、教育支出</w:t>
            </w:r>
          </w:p>
        </w:tc>
        <w:tc>
          <w:tcPr>
            <w:tcW w:w="1474" w:type="dxa"/>
            <w:vAlign w:val="center"/>
          </w:tcPr>
          <w:p w14:paraId="79DEA02E">
            <w:pPr>
              <w:pStyle w:val="14"/>
            </w:pPr>
            <w:r>
              <w:t>4453.71</w:t>
            </w:r>
          </w:p>
        </w:tc>
        <w:tc>
          <w:tcPr>
            <w:tcW w:w="1474" w:type="dxa"/>
            <w:vAlign w:val="center"/>
          </w:tcPr>
          <w:p w14:paraId="08855EA4">
            <w:pPr>
              <w:pStyle w:val="14"/>
            </w:pPr>
            <w:r>
              <w:t>4453.71</w:t>
            </w:r>
          </w:p>
        </w:tc>
        <w:tc>
          <w:tcPr>
            <w:tcW w:w="1474" w:type="dxa"/>
            <w:vAlign w:val="center"/>
          </w:tcPr>
          <w:p w14:paraId="22DFDB19">
            <w:pPr>
              <w:pStyle w:val="14"/>
            </w:pPr>
          </w:p>
        </w:tc>
        <w:tc>
          <w:tcPr>
            <w:tcW w:w="1474" w:type="dxa"/>
            <w:vAlign w:val="center"/>
          </w:tcPr>
          <w:p w14:paraId="1BE963DB">
            <w:pPr>
              <w:pStyle w:val="14"/>
            </w:pPr>
          </w:p>
        </w:tc>
      </w:tr>
      <w:tr w14:paraId="1EF77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EF4BB">
            <w:pPr>
              <w:pStyle w:val="12"/>
            </w:pPr>
            <w:r>
              <w:t>6</w:t>
            </w:r>
          </w:p>
        </w:tc>
        <w:tc>
          <w:tcPr>
            <w:tcW w:w="3402" w:type="dxa"/>
            <w:vAlign w:val="center"/>
          </w:tcPr>
          <w:p w14:paraId="1D0CD0A0">
            <w:pPr>
              <w:pStyle w:val="13"/>
            </w:pPr>
          </w:p>
        </w:tc>
        <w:tc>
          <w:tcPr>
            <w:tcW w:w="1474" w:type="dxa"/>
            <w:vAlign w:val="center"/>
          </w:tcPr>
          <w:p w14:paraId="2D37191C">
            <w:pPr>
              <w:pStyle w:val="14"/>
            </w:pPr>
          </w:p>
        </w:tc>
        <w:tc>
          <w:tcPr>
            <w:tcW w:w="3402" w:type="dxa"/>
            <w:vAlign w:val="center"/>
          </w:tcPr>
          <w:p w14:paraId="7F86772F">
            <w:pPr>
              <w:pStyle w:val="13"/>
            </w:pPr>
            <w:r>
              <w:t>六、科学技术支出</w:t>
            </w:r>
          </w:p>
        </w:tc>
        <w:tc>
          <w:tcPr>
            <w:tcW w:w="1474" w:type="dxa"/>
            <w:vAlign w:val="center"/>
          </w:tcPr>
          <w:p w14:paraId="409413E5">
            <w:pPr>
              <w:pStyle w:val="14"/>
            </w:pPr>
          </w:p>
        </w:tc>
        <w:tc>
          <w:tcPr>
            <w:tcW w:w="1474" w:type="dxa"/>
            <w:vAlign w:val="center"/>
          </w:tcPr>
          <w:p w14:paraId="5B95B2E9">
            <w:pPr>
              <w:pStyle w:val="14"/>
            </w:pPr>
          </w:p>
        </w:tc>
        <w:tc>
          <w:tcPr>
            <w:tcW w:w="1474" w:type="dxa"/>
            <w:vAlign w:val="center"/>
          </w:tcPr>
          <w:p w14:paraId="3E898066">
            <w:pPr>
              <w:pStyle w:val="14"/>
            </w:pPr>
          </w:p>
        </w:tc>
        <w:tc>
          <w:tcPr>
            <w:tcW w:w="1474" w:type="dxa"/>
            <w:vAlign w:val="center"/>
          </w:tcPr>
          <w:p w14:paraId="2DE2A308">
            <w:pPr>
              <w:pStyle w:val="14"/>
            </w:pPr>
          </w:p>
        </w:tc>
      </w:tr>
      <w:tr w14:paraId="21106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A8BC8">
            <w:pPr>
              <w:pStyle w:val="12"/>
            </w:pPr>
            <w:r>
              <w:t>7</w:t>
            </w:r>
          </w:p>
        </w:tc>
        <w:tc>
          <w:tcPr>
            <w:tcW w:w="3402" w:type="dxa"/>
            <w:vAlign w:val="center"/>
          </w:tcPr>
          <w:p w14:paraId="0D10E209">
            <w:pPr>
              <w:pStyle w:val="13"/>
            </w:pPr>
          </w:p>
        </w:tc>
        <w:tc>
          <w:tcPr>
            <w:tcW w:w="1474" w:type="dxa"/>
            <w:vAlign w:val="center"/>
          </w:tcPr>
          <w:p w14:paraId="47898D40">
            <w:pPr>
              <w:pStyle w:val="14"/>
            </w:pPr>
          </w:p>
        </w:tc>
        <w:tc>
          <w:tcPr>
            <w:tcW w:w="3402" w:type="dxa"/>
            <w:vAlign w:val="center"/>
          </w:tcPr>
          <w:p w14:paraId="38010C1A">
            <w:pPr>
              <w:pStyle w:val="13"/>
            </w:pPr>
            <w:r>
              <w:t>七、文化旅游体育与传媒支出</w:t>
            </w:r>
          </w:p>
        </w:tc>
        <w:tc>
          <w:tcPr>
            <w:tcW w:w="1474" w:type="dxa"/>
            <w:vAlign w:val="center"/>
          </w:tcPr>
          <w:p w14:paraId="3BB22B5C">
            <w:pPr>
              <w:pStyle w:val="14"/>
            </w:pPr>
          </w:p>
        </w:tc>
        <w:tc>
          <w:tcPr>
            <w:tcW w:w="1474" w:type="dxa"/>
            <w:vAlign w:val="center"/>
          </w:tcPr>
          <w:p w14:paraId="1E710916">
            <w:pPr>
              <w:pStyle w:val="14"/>
            </w:pPr>
          </w:p>
        </w:tc>
        <w:tc>
          <w:tcPr>
            <w:tcW w:w="1474" w:type="dxa"/>
            <w:vAlign w:val="center"/>
          </w:tcPr>
          <w:p w14:paraId="36271587">
            <w:pPr>
              <w:pStyle w:val="14"/>
            </w:pPr>
          </w:p>
        </w:tc>
        <w:tc>
          <w:tcPr>
            <w:tcW w:w="1474" w:type="dxa"/>
            <w:vAlign w:val="center"/>
          </w:tcPr>
          <w:p w14:paraId="584B0CEC">
            <w:pPr>
              <w:pStyle w:val="14"/>
            </w:pPr>
          </w:p>
        </w:tc>
      </w:tr>
      <w:tr w14:paraId="04330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2DC0A">
            <w:pPr>
              <w:pStyle w:val="12"/>
            </w:pPr>
            <w:r>
              <w:t>8</w:t>
            </w:r>
          </w:p>
        </w:tc>
        <w:tc>
          <w:tcPr>
            <w:tcW w:w="3402" w:type="dxa"/>
            <w:vAlign w:val="center"/>
          </w:tcPr>
          <w:p w14:paraId="4AC7F524">
            <w:pPr>
              <w:pStyle w:val="13"/>
            </w:pPr>
          </w:p>
        </w:tc>
        <w:tc>
          <w:tcPr>
            <w:tcW w:w="1474" w:type="dxa"/>
            <w:vAlign w:val="center"/>
          </w:tcPr>
          <w:p w14:paraId="11E0E233">
            <w:pPr>
              <w:pStyle w:val="14"/>
            </w:pPr>
          </w:p>
        </w:tc>
        <w:tc>
          <w:tcPr>
            <w:tcW w:w="3402" w:type="dxa"/>
            <w:vAlign w:val="center"/>
          </w:tcPr>
          <w:p w14:paraId="4968E1D4">
            <w:pPr>
              <w:pStyle w:val="13"/>
            </w:pPr>
            <w:r>
              <w:t>八、社会保障和就业支出</w:t>
            </w:r>
          </w:p>
        </w:tc>
        <w:tc>
          <w:tcPr>
            <w:tcW w:w="1474" w:type="dxa"/>
            <w:vAlign w:val="center"/>
          </w:tcPr>
          <w:p w14:paraId="30F945DF">
            <w:pPr>
              <w:pStyle w:val="14"/>
            </w:pPr>
          </w:p>
        </w:tc>
        <w:tc>
          <w:tcPr>
            <w:tcW w:w="1474" w:type="dxa"/>
            <w:vAlign w:val="center"/>
          </w:tcPr>
          <w:p w14:paraId="3352D3A1">
            <w:pPr>
              <w:pStyle w:val="14"/>
            </w:pPr>
          </w:p>
        </w:tc>
        <w:tc>
          <w:tcPr>
            <w:tcW w:w="1474" w:type="dxa"/>
            <w:vAlign w:val="center"/>
          </w:tcPr>
          <w:p w14:paraId="30C562F1">
            <w:pPr>
              <w:pStyle w:val="14"/>
            </w:pPr>
          </w:p>
        </w:tc>
        <w:tc>
          <w:tcPr>
            <w:tcW w:w="1474" w:type="dxa"/>
            <w:vAlign w:val="center"/>
          </w:tcPr>
          <w:p w14:paraId="1D75E9F2">
            <w:pPr>
              <w:pStyle w:val="14"/>
            </w:pPr>
          </w:p>
        </w:tc>
      </w:tr>
      <w:tr w14:paraId="683E7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F64F4">
            <w:pPr>
              <w:pStyle w:val="12"/>
            </w:pPr>
            <w:r>
              <w:t>9</w:t>
            </w:r>
          </w:p>
        </w:tc>
        <w:tc>
          <w:tcPr>
            <w:tcW w:w="3402" w:type="dxa"/>
            <w:vAlign w:val="center"/>
          </w:tcPr>
          <w:p w14:paraId="1990D7E1">
            <w:pPr>
              <w:pStyle w:val="13"/>
            </w:pPr>
          </w:p>
        </w:tc>
        <w:tc>
          <w:tcPr>
            <w:tcW w:w="1474" w:type="dxa"/>
            <w:vAlign w:val="center"/>
          </w:tcPr>
          <w:p w14:paraId="62D2BD21">
            <w:pPr>
              <w:pStyle w:val="14"/>
            </w:pPr>
          </w:p>
        </w:tc>
        <w:tc>
          <w:tcPr>
            <w:tcW w:w="3402" w:type="dxa"/>
            <w:vAlign w:val="center"/>
          </w:tcPr>
          <w:p w14:paraId="31C9F3EB">
            <w:pPr>
              <w:pStyle w:val="13"/>
            </w:pPr>
            <w:r>
              <w:t>九、社会保险基金支出</w:t>
            </w:r>
          </w:p>
        </w:tc>
        <w:tc>
          <w:tcPr>
            <w:tcW w:w="1474" w:type="dxa"/>
            <w:vAlign w:val="center"/>
          </w:tcPr>
          <w:p w14:paraId="458DE42D">
            <w:pPr>
              <w:pStyle w:val="14"/>
            </w:pPr>
          </w:p>
        </w:tc>
        <w:tc>
          <w:tcPr>
            <w:tcW w:w="1474" w:type="dxa"/>
            <w:vAlign w:val="center"/>
          </w:tcPr>
          <w:p w14:paraId="58C16745">
            <w:pPr>
              <w:pStyle w:val="14"/>
            </w:pPr>
          </w:p>
        </w:tc>
        <w:tc>
          <w:tcPr>
            <w:tcW w:w="1474" w:type="dxa"/>
            <w:vAlign w:val="center"/>
          </w:tcPr>
          <w:p w14:paraId="43285606">
            <w:pPr>
              <w:pStyle w:val="14"/>
            </w:pPr>
          </w:p>
        </w:tc>
        <w:tc>
          <w:tcPr>
            <w:tcW w:w="1474" w:type="dxa"/>
            <w:vAlign w:val="center"/>
          </w:tcPr>
          <w:p w14:paraId="14D0C080">
            <w:pPr>
              <w:pStyle w:val="14"/>
            </w:pPr>
          </w:p>
        </w:tc>
      </w:tr>
      <w:tr w14:paraId="1DD52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F0B8D">
            <w:pPr>
              <w:pStyle w:val="12"/>
            </w:pPr>
            <w:r>
              <w:t>10</w:t>
            </w:r>
          </w:p>
        </w:tc>
        <w:tc>
          <w:tcPr>
            <w:tcW w:w="3402" w:type="dxa"/>
            <w:vAlign w:val="center"/>
          </w:tcPr>
          <w:p w14:paraId="2E5B0508">
            <w:pPr>
              <w:pStyle w:val="13"/>
            </w:pPr>
          </w:p>
        </w:tc>
        <w:tc>
          <w:tcPr>
            <w:tcW w:w="1474" w:type="dxa"/>
            <w:vAlign w:val="center"/>
          </w:tcPr>
          <w:p w14:paraId="633FC579">
            <w:pPr>
              <w:pStyle w:val="14"/>
            </w:pPr>
          </w:p>
        </w:tc>
        <w:tc>
          <w:tcPr>
            <w:tcW w:w="3402" w:type="dxa"/>
            <w:vAlign w:val="center"/>
          </w:tcPr>
          <w:p w14:paraId="067DB123">
            <w:pPr>
              <w:pStyle w:val="13"/>
            </w:pPr>
            <w:r>
              <w:t>十、卫生健康支出</w:t>
            </w:r>
          </w:p>
        </w:tc>
        <w:tc>
          <w:tcPr>
            <w:tcW w:w="1474" w:type="dxa"/>
            <w:vAlign w:val="center"/>
          </w:tcPr>
          <w:p w14:paraId="6B851BAA">
            <w:pPr>
              <w:pStyle w:val="14"/>
            </w:pPr>
          </w:p>
        </w:tc>
        <w:tc>
          <w:tcPr>
            <w:tcW w:w="1474" w:type="dxa"/>
            <w:vAlign w:val="center"/>
          </w:tcPr>
          <w:p w14:paraId="7BAC8424">
            <w:pPr>
              <w:pStyle w:val="14"/>
            </w:pPr>
          </w:p>
        </w:tc>
        <w:tc>
          <w:tcPr>
            <w:tcW w:w="1474" w:type="dxa"/>
            <w:vAlign w:val="center"/>
          </w:tcPr>
          <w:p w14:paraId="713B404C">
            <w:pPr>
              <w:pStyle w:val="14"/>
            </w:pPr>
          </w:p>
        </w:tc>
        <w:tc>
          <w:tcPr>
            <w:tcW w:w="1474" w:type="dxa"/>
            <w:vAlign w:val="center"/>
          </w:tcPr>
          <w:p w14:paraId="5AF96A13">
            <w:pPr>
              <w:pStyle w:val="14"/>
            </w:pPr>
          </w:p>
        </w:tc>
      </w:tr>
      <w:tr w14:paraId="15962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36392">
            <w:pPr>
              <w:pStyle w:val="12"/>
            </w:pPr>
            <w:r>
              <w:t>11</w:t>
            </w:r>
          </w:p>
        </w:tc>
        <w:tc>
          <w:tcPr>
            <w:tcW w:w="3402" w:type="dxa"/>
            <w:vAlign w:val="center"/>
          </w:tcPr>
          <w:p w14:paraId="6B2024A8">
            <w:pPr>
              <w:pStyle w:val="13"/>
            </w:pPr>
          </w:p>
        </w:tc>
        <w:tc>
          <w:tcPr>
            <w:tcW w:w="1474" w:type="dxa"/>
            <w:vAlign w:val="center"/>
          </w:tcPr>
          <w:p w14:paraId="43DC5039">
            <w:pPr>
              <w:pStyle w:val="14"/>
            </w:pPr>
          </w:p>
        </w:tc>
        <w:tc>
          <w:tcPr>
            <w:tcW w:w="3402" w:type="dxa"/>
            <w:vAlign w:val="center"/>
          </w:tcPr>
          <w:p w14:paraId="382469DD">
            <w:pPr>
              <w:pStyle w:val="13"/>
            </w:pPr>
            <w:r>
              <w:t>十一、节能环保支出</w:t>
            </w:r>
          </w:p>
        </w:tc>
        <w:tc>
          <w:tcPr>
            <w:tcW w:w="1474" w:type="dxa"/>
            <w:vAlign w:val="center"/>
          </w:tcPr>
          <w:p w14:paraId="3FBB62F9">
            <w:pPr>
              <w:pStyle w:val="14"/>
            </w:pPr>
          </w:p>
        </w:tc>
        <w:tc>
          <w:tcPr>
            <w:tcW w:w="1474" w:type="dxa"/>
            <w:vAlign w:val="center"/>
          </w:tcPr>
          <w:p w14:paraId="3CB581B6">
            <w:pPr>
              <w:pStyle w:val="14"/>
            </w:pPr>
          </w:p>
        </w:tc>
        <w:tc>
          <w:tcPr>
            <w:tcW w:w="1474" w:type="dxa"/>
            <w:vAlign w:val="center"/>
          </w:tcPr>
          <w:p w14:paraId="3899027D">
            <w:pPr>
              <w:pStyle w:val="14"/>
            </w:pPr>
          </w:p>
        </w:tc>
        <w:tc>
          <w:tcPr>
            <w:tcW w:w="1474" w:type="dxa"/>
            <w:vAlign w:val="center"/>
          </w:tcPr>
          <w:p w14:paraId="554E9757">
            <w:pPr>
              <w:pStyle w:val="14"/>
            </w:pPr>
          </w:p>
        </w:tc>
      </w:tr>
      <w:tr w14:paraId="05708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548D0">
            <w:pPr>
              <w:pStyle w:val="12"/>
            </w:pPr>
            <w:r>
              <w:t>12</w:t>
            </w:r>
          </w:p>
        </w:tc>
        <w:tc>
          <w:tcPr>
            <w:tcW w:w="3402" w:type="dxa"/>
            <w:vAlign w:val="center"/>
          </w:tcPr>
          <w:p w14:paraId="1EF0B49E">
            <w:pPr>
              <w:pStyle w:val="13"/>
            </w:pPr>
          </w:p>
        </w:tc>
        <w:tc>
          <w:tcPr>
            <w:tcW w:w="1474" w:type="dxa"/>
            <w:vAlign w:val="center"/>
          </w:tcPr>
          <w:p w14:paraId="399F2B59">
            <w:pPr>
              <w:pStyle w:val="14"/>
            </w:pPr>
          </w:p>
        </w:tc>
        <w:tc>
          <w:tcPr>
            <w:tcW w:w="3402" w:type="dxa"/>
            <w:vAlign w:val="center"/>
          </w:tcPr>
          <w:p w14:paraId="30C66A65">
            <w:pPr>
              <w:pStyle w:val="13"/>
            </w:pPr>
            <w:r>
              <w:t>十二、城乡社区支出</w:t>
            </w:r>
          </w:p>
        </w:tc>
        <w:tc>
          <w:tcPr>
            <w:tcW w:w="1474" w:type="dxa"/>
            <w:vAlign w:val="center"/>
          </w:tcPr>
          <w:p w14:paraId="2C527B47">
            <w:pPr>
              <w:pStyle w:val="14"/>
            </w:pPr>
          </w:p>
        </w:tc>
        <w:tc>
          <w:tcPr>
            <w:tcW w:w="1474" w:type="dxa"/>
            <w:vAlign w:val="center"/>
          </w:tcPr>
          <w:p w14:paraId="46C87A04">
            <w:pPr>
              <w:pStyle w:val="14"/>
            </w:pPr>
          </w:p>
        </w:tc>
        <w:tc>
          <w:tcPr>
            <w:tcW w:w="1474" w:type="dxa"/>
            <w:vAlign w:val="center"/>
          </w:tcPr>
          <w:p w14:paraId="318355B9">
            <w:pPr>
              <w:pStyle w:val="14"/>
            </w:pPr>
          </w:p>
        </w:tc>
        <w:tc>
          <w:tcPr>
            <w:tcW w:w="1474" w:type="dxa"/>
            <w:vAlign w:val="center"/>
          </w:tcPr>
          <w:p w14:paraId="4470073D">
            <w:pPr>
              <w:pStyle w:val="14"/>
            </w:pPr>
          </w:p>
        </w:tc>
      </w:tr>
      <w:tr w14:paraId="54E03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31576">
            <w:pPr>
              <w:pStyle w:val="12"/>
            </w:pPr>
            <w:r>
              <w:t>13</w:t>
            </w:r>
          </w:p>
        </w:tc>
        <w:tc>
          <w:tcPr>
            <w:tcW w:w="3402" w:type="dxa"/>
            <w:vAlign w:val="center"/>
          </w:tcPr>
          <w:p w14:paraId="6E76BE59">
            <w:pPr>
              <w:pStyle w:val="13"/>
            </w:pPr>
          </w:p>
        </w:tc>
        <w:tc>
          <w:tcPr>
            <w:tcW w:w="1474" w:type="dxa"/>
            <w:vAlign w:val="center"/>
          </w:tcPr>
          <w:p w14:paraId="159A9DD7">
            <w:pPr>
              <w:pStyle w:val="14"/>
            </w:pPr>
          </w:p>
        </w:tc>
        <w:tc>
          <w:tcPr>
            <w:tcW w:w="3402" w:type="dxa"/>
            <w:vAlign w:val="center"/>
          </w:tcPr>
          <w:p w14:paraId="32B343B7">
            <w:pPr>
              <w:pStyle w:val="13"/>
            </w:pPr>
            <w:r>
              <w:t>十三、农林水支出</w:t>
            </w:r>
          </w:p>
        </w:tc>
        <w:tc>
          <w:tcPr>
            <w:tcW w:w="1474" w:type="dxa"/>
            <w:vAlign w:val="center"/>
          </w:tcPr>
          <w:p w14:paraId="593C68BA">
            <w:pPr>
              <w:pStyle w:val="14"/>
            </w:pPr>
          </w:p>
        </w:tc>
        <w:tc>
          <w:tcPr>
            <w:tcW w:w="1474" w:type="dxa"/>
            <w:vAlign w:val="center"/>
          </w:tcPr>
          <w:p w14:paraId="3F83E826">
            <w:pPr>
              <w:pStyle w:val="14"/>
            </w:pPr>
          </w:p>
        </w:tc>
        <w:tc>
          <w:tcPr>
            <w:tcW w:w="1474" w:type="dxa"/>
            <w:vAlign w:val="center"/>
          </w:tcPr>
          <w:p w14:paraId="45103506">
            <w:pPr>
              <w:pStyle w:val="14"/>
            </w:pPr>
          </w:p>
        </w:tc>
        <w:tc>
          <w:tcPr>
            <w:tcW w:w="1474" w:type="dxa"/>
            <w:vAlign w:val="center"/>
          </w:tcPr>
          <w:p w14:paraId="2ED0A665">
            <w:pPr>
              <w:pStyle w:val="14"/>
            </w:pPr>
          </w:p>
        </w:tc>
      </w:tr>
      <w:tr w14:paraId="7B3A4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24F8F">
            <w:pPr>
              <w:pStyle w:val="12"/>
            </w:pPr>
            <w:r>
              <w:t>14</w:t>
            </w:r>
          </w:p>
        </w:tc>
        <w:tc>
          <w:tcPr>
            <w:tcW w:w="3402" w:type="dxa"/>
            <w:vAlign w:val="center"/>
          </w:tcPr>
          <w:p w14:paraId="6F1614EB">
            <w:pPr>
              <w:pStyle w:val="13"/>
            </w:pPr>
          </w:p>
        </w:tc>
        <w:tc>
          <w:tcPr>
            <w:tcW w:w="1474" w:type="dxa"/>
            <w:vAlign w:val="center"/>
          </w:tcPr>
          <w:p w14:paraId="51523192">
            <w:pPr>
              <w:pStyle w:val="14"/>
            </w:pPr>
          </w:p>
        </w:tc>
        <w:tc>
          <w:tcPr>
            <w:tcW w:w="3402" w:type="dxa"/>
            <w:vAlign w:val="center"/>
          </w:tcPr>
          <w:p w14:paraId="301B36D9">
            <w:pPr>
              <w:pStyle w:val="13"/>
            </w:pPr>
            <w:r>
              <w:t>十四、交通运输支出</w:t>
            </w:r>
          </w:p>
        </w:tc>
        <w:tc>
          <w:tcPr>
            <w:tcW w:w="1474" w:type="dxa"/>
            <w:vAlign w:val="center"/>
          </w:tcPr>
          <w:p w14:paraId="17196980">
            <w:pPr>
              <w:pStyle w:val="14"/>
            </w:pPr>
          </w:p>
        </w:tc>
        <w:tc>
          <w:tcPr>
            <w:tcW w:w="1474" w:type="dxa"/>
            <w:vAlign w:val="center"/>
          </w:tcPr>
          <w:p w14:paraId="027D5396">
            <w:pPr>
              <w:pStyle w:val="14"/>
            </w:pPr>
          </w:p>
        </w:tc>
        <w:tc>
          <w:tcPr>
            <w:tcW w:w="1474" w:type="dxa"/>
            <w:vAlign w:val="center"/>
          </w:tcPr>
          <w:p w14:paraId="26306818">
            <w:pPr>
              <w:pStyle w:val="14"/>
            </w:pPr>
          </w:p>
        </w:tc>
        <w:tc>
          <w:tcPr>
            <w:tcW w:w="1474" w:type="dxa"/>
            <w:vAlign w:val="center"/>
          </w:tcPr>
          <w:p w14:paraId="0F256886">
            <w:pPr>
              <w:pStyle w:val="14"/>
            </w:pPr>
          </w:p>
        </w:tc>
      </w:tr>
      <w:tr w14:paraId="632AC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553E4">
            <w:pPr>
              <w:pStyle w:val="12"/>
            </w:pPr>
            <w:r>
              <w:t>15</w:t>
            </w:r>
          </w:p>
        </w:tc>
        <w:tc>
          <w:tcPr>
            <w:tcW w:w="3402" w:type="dxa"/>
            <w:vAlign w:val="center"/>
          </w:tcPr>
          <w:p w14:paraId="699002F1">
            <w:pPr>
              <w:pStyle w:val="13"/>
            </w:pPr>
          </w:p>
        </w:tc>
        <w:tc>
          <w:tcPr>
            <w:tcW w:w="1474" w:type="dxa"/>
            <w:vAlign w:val="center"/>
          </w:tcPr>
          <w:p w14:paraId="7C56533E">
            <w:pPr>
              <w:pStyle w:val="14"/>
            </w:pPr>
          </w:p>
        </w:tc>
        <w:tc>
          <w:tcPr>
            <w:tcW w:w="3402" w:type="dxa"/>
            <w:vAlign w:val="center"/>
          </w:tcPr>
          <w:p w14:paraId="6DEB60DF">
            <w:pPr>
              <w:pStyle w:val="13"/>
            </w:pPr>
            <w:r>
              <w:t>十五、资源勘探工业信息等支出</w:t>
            </w:r>
          </w:p>
        </w:tc>
        <w:tc>
          <w:tcPr>
            <w:tcW w:w="1474" w:type="dxa"/>
            <w:vAlign w:val="center"/>
          </w:tcPr>
          <w:p w14:paraId="09C53D81">
            <w:pPr>
              <w:pStyle w:val="14"/>
            </w:pPr>
          </w:p>
        </w:tc>
        <w:tc>
          <w:tcPr>
            <w:tcW w:w="1474" w:type="dxa"/>
            <w:vAlign w:val="center"/>
          </w:tcPr>
          <w:p w14:paraId="548B6FEC">
            <w:pPr>
              <w:pStyle w:val="14"/>
            </w:pPr>
          </w:p>
        </w:tc>
        <w:tc>
          <w:tcPr>
            <w:tcW w:w="1474" w:type="dxa"/>
            <w:vAlign w:val="center"/>
          </w:tcPr>
          <w:p w14:paraId="44832175">
            <w:pPr>
              <w:pStyle w:val="14"/>
            </w:pPr>
          </w:p>
        </w:tc>
        <w:tc>
          <w:tcPr>
            <w:tcW w:w="1474" w:type="dxa"/>
            <w:vAlign w:val="center"/>
          </w:tcPr>
          <w:p w14:paraId="0E423503">
            <w:pPr>
              <w:pStyle w:val="14"/>
            </w:pPr>
          </w:p>
        </w:tc>
      </w:tr>
      <w:tr w14:paraId="16CBC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DDE5F">
            <w:pPr>
              <w:pStyle w:val="12"/>
            </w:pPr>
            <w:r>
              <w:t>16</w:t>
            </w:r>
          </w:p>
        </w:tc>
        <w:tc>
          <w:tcPr>
            <w:tcW w:w="3402" w:type="dxa"/>
            <w:vAlign w:val="center"/>
          </w:tcPr>
          <w:p w14:paraId="39FDFAA6">
            <w:pPr>
              <w:pStyle w:val="13"/>
            </w:pPr>
          </w:p>
        </w:tc>
        <w:tc>
          <w:tcPr>
            <w:tcW w:w="1474" w:type="dxa"/>
            <w:vAlign w:val="center"/>
          </w:tcPr>
          <w:p w14:paraId="4AB0A65C">
            <w:pPr>
              <w:pStyle w:val="14"/>
            </w:pPr>
          </w:p>
        </w:tc>
        <w:tc>
          <w:tcPr>
            <w:tcW w:w="3402" w:type="dxa"/>
            <w:vAlign w:val="center"/>
          </w:tcPr>
          <w:p w14:paraId="3B8D7A2A">
            <w:pPr>
              <w:pStyle w:val="13"/>
            </w:pPr>
            <w:r>
              <w:t>十六、商业服务业等支出</w:t>
            </w:r>
          </w:p>
        </w:tc>
        <w:tc>
          <w:tcPr>
            <w:tcW w:w="1474" w:type="dxa"/>
            <w:vAlign w:val="center"/>
          </w:tcPr>
          <w:p w14:paraId="6A6346FC">
            <w:pPr>
              <w:pStyle w:val="14"/>
            </w:pPr>
          </w:p>
        </w:tc>
        <w:tc>
          <w:tcPr>
            <w:tcW w:w="1474" w:type="dxa"/>
            <w:vAlign w:val="center"/>
          </w:tcPr>
          <w:p w14:paraId="3838E381">
            <w:pPr>
              <w:pStyle w:val="14"/>
            </w:pPr>
          </w:p>
        </w:tc>
        <w:tc>
          <w:tcPr>
            <w:tcW w:w="1474" w:type="dxa"/>
            <w:vAlign w:val="center"/>
          </w:tcPr>
          <w:p w14:paraId="7674C98B">
            <w:pPr>
              <w:pStyle w:val="14"/>
            </w:pPr>
          </w:p>
        </w:tc>
        <w:tc>
          <w:tcPr>
            <w:tcW w:w="1474" w:type="dxa"/>
            <w:vAlign w:val="center"/>
          </w:tcPr>
          <w:p w14:paraId="757BEE19">
            <w:pPr>
              <w:pStyle w:val="14"/>
            </w:pPr>
          </w:p>
        </w:tc>
      </w:tr>
      <w:tr w14:paraId="2BE9B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8EB54EA">
            <w:pPr>
              <w:pStyle w:val="12"/>
            </w:pPr>
            <w:r>
              <w:t>17</w:t>
            </w:r>
          </w:p>
        </w:tc>
        <w:tc>
          <w:tcPr>
            <w:tcW w:w="3402" w:type="dxa"/>
            <w:vAlign w:val="center"/>
          </w:tcPr>
          <w:p w14:paraId="735F759D">
            <w:pPr>
              <w:pStyle w:val="13"/>
            </w:pPr>
          </w:p>
        </w:tc>
        <w:tc>
          <w:tcPr>
            <w:tcW w:w="1474" w:type="dxa"/>
            <w:vAlign w:val="center"/>
          </w:tcPr>
          <w:p w14:paraId="5EC0875F">
            <w:pPr>
              <w:pStyle w:val="14"/>
            </w:pPr>
          </w:p>
        </w:tc>
        <w:tc>
          <w:tcPr>
            <w:tcW w:w="3402" w:type="dxa"/>
            <w:vAlign w:val="center"/>
          </w:tcPr>
          <w:p w14:paraId="7A847526">
            <w:pPr>
              <w:pStyle w:val="13"/>
            </w:pPr>
            <w:r>
              <w:t>十七、金融支出</w:t>
            </w:r>
          </w:p>
        </w:tc>
        <w:tc>
          <w:tcPr>
            <w:tcW w:w="1474" w:type="dxa"/>
            <w:vAlign w:val="center"/>
          </w:tcPr>
          <w:p w14:paraId="1EFEC2E6">
            <w:pPr>
              <w:pStyle w:val="14"/>
            </w:pPr>
          </w:p>
        </w:tc>
        <w:tc>
          <w:tcPr>
            <w:tcW w:w="1474" w:type="dxa"/>
            <w:vAlign w:val="center"/>
          </w:tcPr>
          <w:p w14:paraId="4FF0F7BD">
            <w:pPr>
              <w:pStyle w:val="14"/>
            </w:pPr>
          </w:p>
        </w:tc>
        <w:tc>
          <w:tcPr>
            <w:tcW w:w="1474" w:type="dxa"/>
            <w:vAlign w:val="center"/>
          </w:tcPr>
          <w:p w14:paraId="78F02D6B">
            <w:pPr>
              <w:pStyle w:val="14"/>
            </w:pPr>
          </w:p>
        </w:tc>
        <w:tc>
          <w:tcPr>
            <w:tcW w:w="1474" w:type="dxa"/>
            <w:vAlign w:val="center"/>
          </w:tcPr>
          <w:p w14:paraId="4F33C38F">
            <w:pPr>
              <w:pStyle w:val="14"/>
            </w:pPr>
          </w:p>
        </w:tc>
      </w:tr>
      <w:tr w14:paraId="172C3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E62A0">
            <w:pPr>
              <w:pStyle w:val="12"/>
            </w:pPr>
            <w:r>
              <w:t>18</w:t>
            </w:r>
          </w:p>
        </w:tc>
        <w:tc>
          <w:tcPr>
            <w:tcW w:w="3402" w:type="dxa"/>
            <w:vAlign w:val="center"/>
          </w:tcPr>
          <w:p w14:paraId="49D708F0">
            <w:pPr>
              <w:pStyle w:val="13"/>
            </w:pPr>
          </w:p>
        </w:tc>
        <w:tc>
          <w:tcPr>
            <w:tcW w:w="1474" w:type="dxa"/>
            <w:vAlign w:val="center"/>
          </w:tcPr>
          <w:p w14:paraId="4301BE1F">
            <w:pPr>
              <w:pStyle w:val="14"/>
            </w:pPr>
          </w:p>
        </w:tc>
        <w:tc>
          <w:tcPr>
            <w:tcW w:w="3402" w:type="dxa"/>
            <w:vAlign w:val="center"/>
          </w:tcPr>
          <w:p w14:paraId="6684485C">
            <w:pPr>
              <w:pStyle w:val="13"/>
            </w:pPr>
            <w:r>
              <w:t>十八、援助其他地区支出</w:t>
            </w:r>
          </w:p>
        </w:tc>
        <w:tc>
          <w:tcPr>
            <w:tcW w:w="1474" w:type="dxa"/>
            <w:vAlign w:val="center"/>
          </w:tcPr>
          <w:p w14:paraId="1F2DE480">
            <w:pPr>
              <w:pStyle w:val="14"/>
            </w:pPr>
          </w:p>
        </w:tc>
        <w:tc>
          <w:tcPr>
            <w:tcW w:w="1474" w:type="dxa"/>
            <w:vAlign w:val="center"/>
          </w:tcPr>
          <w:p w14:paraId="4A3B8AA0">
            <w:pPr>
              <w:pStyle w:val="14"/>
            </w:pPr>
          </w:p>
        </w:tc>
        <w:tc>
          <w:tcPr>
            <w:tcW w:w="1474" w:type="dxa"/>
            <w:vAlign w:val="center"/>
          </w:tcPr>
          <w:p w14:paraId="5580A6D9">
            <w:pPr>
              <w:pStyle w:val="14"/>
            </w:pPr>
          </w:p>
        </w:tc>
        <w:tc>
          <w:tcPr>
            <w:tcW w:w="1474" w:type="dxa"/>
            <w:vAlign w:val="center"/>
          </w:tcPr>
          <w:p w14:paraId="4E7FE004">
            <w:pPr>
              <w:pStyle w:val="14"/>
            </w:pPr>
          </w:p>
        </w:tc>
      </w:tr>
      <w:tr w14:paraId="55E14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BD2AF">
            <w:pPr>
              <w:pStyle w:val="12"/>
            </w:pPr>
            <w:r>
              <w:t>19</w:t>
            </w:r>
          </w:p>
        </w:tc>
        <w:tc>
          <w:tcPr>
            <w:tcW w:w="3402" w:type="dxa"/>
            <w:vAlign w:val="center"/>
          </w:tcPr>
          <w:p w14:paraId="67E7F5BA">
            <w:pPr>
              <w:pStyle w:val="13"/>
            </w:pPr>
          </w:p>
        </w:tc>
        <w:tc>
          <w:tcPr>
            <w:tcW w:w="1474" w:type="dxa"/>
            <w:vAlign w:val="center"/>
          </w:tcPr>
          <w:p w14:paraId="137EDCC6">
            <w:pPr>
              <w:pStyle w:val="14"/>
            </w:pPr>
          </w:p>
        </w:tc>
        <w:tc>
          <w:tcPr>
            <w:tcW w:w="3402" w:type="dxa"/>
            <w:vAlign w:val="center"/>
          </w:tcPr>
          <w:p w14:paraId="19C2A8BF">
            <w:pPr>
              <w:pStyle w:val="13"/>
            </w:pPr>
            <w:r>
              <w:t>十九、自然资源海洋气象等支出</w:t>
            </w:r>
          </w:p>
        </w:tc>
        <w:tc>
          <w:tcPr>
            <w:tcW w:w="1474" w:type="dxa"/>
            <w:vAlign w:val="center"/>
          </w:tcPr>
          <w:p w14:paraId="4640C174">
            <w:pPr>
              <w:pStyle w:val="14"/>
            </w:pPr>
          </w:p>
        </w:tc>
        <w:tc>
          <w:tcPr>
            <w:tcW w:w="1474" w:type="dxa"/>
            <w:vAlign w:val="center"/>
          </w:tcPr>
          <w:p w14:paraId="6A911E90">
            <w:pPr>
              <w:pStyle w:val="14"/>
            </w:pPr>
          </w:p>
        </w:tc>
        <w:tc>
          <w:tcPr>
            <w:tcW w:w="1474" w:type="dxa"/>
            <w:vAlign w:val="center"/>
          </w:tcPr>
          <w:p w14:paraId="7B26CA6A">
            <w:pPr>
              <w:pStyle w:val="14"/>
            </w:pPr>
          </w:p>
        </w:tc>
        <w:tc>
          <w:tcPr>
            <w:tcW w:w="1474" w:type="dxa"/>
            <w:vAlign w:val="center"/>
          </w:tcPr>
          <w:p w14:paraId="71C68106">
            <w:pPr>
              <w:pStyle w:val="14"/>
            </w:pPr>
          </w:p>
        </w:tc>
      </w:tr>
      <w:tr w14:paraId="76BA6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0FCD2">
            <w:pPr>
              <w:pStyle w:val="12"/>
            </w:pPr>
            <w:r>
              <w:t>20</w:t>
            </w:r>
          </w:p>
        </w:tc>
        <w:tc>
          <w:tcPr>
            <w:tcW w:w="3402" w:type="dxa"/>
            <w:vAlign w:val="center"/>
          </w:tcPr>
          <w:p w14:paraId="54ED73CC">
            <w:pPr>
              <w:pStyle w:val="13"/>
            </w:pPr>
          </w:p>
        </w:tc>
        <w:tc>
          <w:tcPr>
            <w:tcW w:w="1474" w:type="dxa"/>
            <w:vAlign w:val="center"/>
          </w:tcPr>
          <w:p w14:paraId="538AE12E">
            <w:pPr>
              <w:pStyle w:val="14"/>
            </w:pPr>
          </w:p>
        </w:tc>
        <w:tc>
          <w:tcPr>
            <w:tcW w:w="3402" w:type="dxa"/>
            <w:vAlign w:val="center"/>
          </w:tcPr>
          <w:p w14:paraId="27377608">
            <w:pPr>
              <w:pStyle w:val="13"/>
            </w:pPr>
            <w:r>
              <w:t>二十、住房保障支出</w:t>
            </w:r>
          </w:p>
        </w:tc>
        <w:tc>
          <w:tcPr>
            <w:tcW w:w="1474" w:type="dxa"/>
            <w:vAlign w:val="center"/>
          </w:tcPr>
          <w:p w14:paraId="78AB9E73">
            <w:pPr>
              <w:pStyle w:val="14"/>
            </w:pPr>
          </w:p>
        </w:tc>
        <w:tc>
          <w:tcPr>
            <w:tcW w:w="1474" w:type="dxa"/>
            <w:vAlign w:val="center"/>
          </w:tcPr>
          <w:p w14:paraId="02CF08C4">
            <w:pPr>
              <w:pStyle w:val="14"/>
            </w:pPr>
          </w:p>
        </w:tc>
        <w:tc>
          <w:tcPr>
            <w:tcW w:w="1474" w:type="dxa"/>
            <w:vAlign w:val="center"/>
          </w:tcPr>
          <w:p w14:paraId="6E869A61">
            <w:pPr>
              <w:pStyle w:val="14"/>
            </w:pPr>
          </w:p>
        </w:tc>
        <w:tc>
          <w:tcPr>
            <w:tcW w:w="1474" w:type="dxa"/>
            <w:vAlign w:val="center"/>
          </w:tcPr>
          <w:p w14:paraId="5490DEDB">
            <w:pPr>
              <w:pStyle w:val="14"/>
            </w:pPr>
          </w:p>
        </w:tc>
      </w:tr>
      <w:tr w14:paraId="0CD30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CC65B">
            <w:pPr>
              <w:pStyle w:val="12"/>
            </w:pPr>
            <w:r>
              <w:t>21</w:t>
            </w:r>
          </w:p>
        </w:tc>
        <w:tc>
          <w:tcPr>
            <w:tcW w:w="3402" w:type="dxa"/>
            <w:vAlign w:val="center"/>
          </w:tcPr>
          <w:p w14:paraId="75F8055A">
            <w:pPr>
              <w:pStyle w:val="13"/>
            </w:pPr>
          </w:p>
        </w:tc>
        <w:tc>
          <w:tcPr>
            <w:tcW w:w="1474" w:type="dxa"/>
            <w:vAlign w:val="center"/>
          </w:tcPr>
          <w:p w14:paraId="4AC0ABEB">
            <w:pPr>
              <w:pStyle w:val="14"/>
            </w:pPr>
          </w:p>
        </w:tc>
        <w:tc>
          <w:tcPr>
            <w:tcW w:w="3402" w:type="dxa"/>
            <w:vAlign w:val="center"/>
          </w:tcPr>
          <w:p w14:paraId="14C59DC1">
            <w:pPr>
              <w:pStyle w:val="13"/>
            </w:pPr>
            <w:r>
              <w:t>二十一、粮油物资储备支出</w:t>
            </w:r>
          </w:p>
        </w:tc>
        <w:tc>
          <w:tcPr>
            <w:tcW w:w="1474" w:type="dxa"/>
            <w:vAlign w:val="center"/>
          </w:tcPr>
          <w:p w14:paraId="2356DB5C">
            <w:pPr>
              <w:pStyle w:val="14"/>
            </w:pPr>
          </w:p>
        </w:tc>
        <w:tc>
          <w:tcPr>
            <w:tcW w:w="1474" w:type="dxa"/>
            <w:vAlign w:val="center"/>
          </w:tcPr>
          <w:p w14:paraId="7E853C90">
            <w:pPr>
              <w:pStyle w:val="14"/>
            </w:pPr>
          </w:p>
        </w:tc>
        <w:tc>
          <w:tcPr>
            <w:tcW w:w="1474" w:type="dxa"/>
            <w:vAlign w:val="center"/>
          </w:tcPr>
          <w:p w14:paraId="076DDFB9">
            <w:pPr>
              <w:pStyle w:val="14"/>
            </w:pPr>
          </w:p>
        </w:tc>
        <w:tc>
          <w:tcPr>
            <w:tcW w:w="1474" w:type="dxa"/>
            <w:vAlign w:val="center"/>
          </w:tcPr>
          <w:p w14:paraId="685B1599">
            <w:pPr>
              <w:pStyle w:val="14"/>
            </w:pPr>
          </w:p>
        </w:tc>
      </w:tr>
      <w:tr w14:paraId="0F2C2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FAFDD">
            <w:pPr>
              <w:pStyle w:val="12"/>
            </w:pPr>
            <w:r>
              <w:t>22</w:t>
            </w:r>
          </w:p>
        </w:tc>
        <w:tc>
          <w:tcPr>
            <w:tcW w:w="3402" w:type="dxa"/>
            <w:vAlign w:val="center"/>
          </w:tcPr>
          <w:p w14:paraId="0D34C34D">
            <w:pPr>
              <w:pStyle w:val="13"/>
            </w:pPr>
          </w:p>
        </w:tc>
        <w:tc>
          <w:tcPr>
            <w:tcW w:w="1474" w:type="dxa"/>
            <w:vAlign w:val="center"/>
          </w:tcPr>
          <w:p w14:paraId="42A199EA">
            <w:pPr>
              <w:pStyle w:val="14"/>
            </w:pPr>
          </w:p>
        </w:tc>
        <w:tc>
          <w:tcPr>
            <w:tcW w:w="3402" w:type="dxa"/>
            <w:vAlign w:val="center"/>
          </w:tcPr>
          <w:p w14:paraId="6A34A07A">
            <w:pPr>
              <w:pStyle w:val="13"/>
            </w:pPr>
            <w:r>
              <w:t>二十二、国有资本经营预算支出</w:t>
            </w:r>
          </w:p>
        </w:tc>
        <w:tc>
          <w:tcPr>
            <w:tcW w:w="1474" w:type="dxa"/>
            <w:vAlign w:val="center"/>
          </w:tcPr>
          <w:p w14:paraId="6BB9674E">
            <w:pPr>
              <w:pStyle w:val="14"/>
            </w:pPr>
          </w:p>
        </w:tc>
        <w:tc>
          <w:tcPr>
            <w:tcW w:w="1474" w:type="dxa"/>
            <w:vAlign w:val="center"/>
          </w:tcPr>
          <w:p w14:paraId="43319089">
            <w:pPr>
              <w:pStyle w:val="14"/>
            </w:pPr>
          </w:p>
        </w:tc>
        <w:tc>
          <w:tcPr>
            <w:tcW w:w="1474" w:type="dxa"/>
            <w:vAlign w:val="center"/>
          </w:tcPr>
          <w:p w14:paraId="24106001">
            <w:pPr>
              <w:pStyle w:val="14"/>
            </w:pPr>
          </w:p>
        </w:tc>
        <w:tc>
          <w:tcPr>
            <w:tcW w:w="1474" w:type="dxa"/>
            <w:vAlign w:val="center"/>
          </w:tcPr>
          <w:p w14:paraId="05BC2AA3">
            <w:pPr>
              <w:pStyle w:val="14"/>
            </w:pPr>
          </w:p>
        </w:tc>
      </w:tr>
      <w:tr w14:paraId="76DAF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3E8A9">
            <w:pPr>
              <w:pStyle w:val="12"/>
            </w:pPr>
            <w:r>
              <w:t>23</w:t>
            </w:r>
          </w:p>
        </w:tc>
        <w:tc>
          <w:tcPr>
            <w:tcW w:w="3402" w:type="dxa"/>
            <w:vAlign w:val="center"/>
          </w:tcPr>
          <w:p w14:paraId="04A0404D">
            <w:pPr>
              <w:pStyle w:val="13"/>
            </w:pPr>
          </w:p>
        </w:tc>
        <w:tc>
          <w:tcPr>
            <w:tcW w:w="1474" w:type="dxa"/>
            <w:vAlign w:val="center"/>
          </w:tcPr>
          <w:p w14:paraId="6A53DF1C">
            <w:pPr>
              <w:pStyle w:val="14"/>
            </w:pPr>
          </w:p>
        </w:tc>
        <w:tc>
          <w:tcPr>
            <w:tcW w:w="3402" w:type="dxa"/>
            <w:vAlign w:val="center"/>
          </w:tcPr>
          <w:p w14:paraId="46CEF3B1">
            <w:pPr>
              <w:pStyle w:val="13"/>
            </w:pPr>
            <w:r>
              <w:t>二十三、灾害防治及应急管理支出</w:t>
            </w:r>
          </w:p>
        </w:tc>
        <w:tc>
          <w:tcPr>
            <w:tcW w:w="1474" w:type="dxa"/>
            <w:vAlign w:val="center"/>
          </w:tcPr>
          <w:p w14:paraId="38D548FF">
            <w:pPr>
              <w:pStyle w:val="14"/>
            </w:pPr>
          </w:p>
        </w:tc>
        <w:tc>
          <w:tcPr>
            <w:tcW w:w="1474" w:type="dxa"/>
            <w:vAlign w:val="center"/>
          </w:tcPr>
          <w:p w14:paraId="279ED052">
            <w:pPr>
              <w:pStyle w:val="14"/>
            </w:pPr>
          </w:p>
        </w:tc>
        <w:tc>
          <w:tcPr>
            <w:tcW w:w="1474" w:type="dxa"/>
            <w:vAlign w:val="center"/>
          </w:tcPr>
          <w:p w14:paraId="678848F2">
            <w:pPr>
              <w:pStyle w:val="14"/>
            </w:pPr>
          </w:p>
        </w:tc>
        <w:tc>
          <w:tcPr>
            <w:tcW w:w="1474" w:type="dxa"/>
            <w:vAlign w:val="center"/>
          </w:tcPr>
          <w:p w14:paraId="593E2202">
            <w:pPr>
              <w:pStyle w:val="14"/>
            </w:pPr>
          </w:p>
        </w:tc>
      </w:tr>
      <w:tr w14:paraId="2DDAB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4E18D">
            <w:pPr>
              <w:pStyle w:val="12"/>
            </w:pPr>
            <w:r>
              <w:t>24</w:t>
            </w:r>
          </w:p>
        </w:tc>
        <w:tc>
          <w:tcPr>
            <w:tcW w:w="3402" w:type="dxa"/>
            <w:vAlign w:val="center"/>
          </w:tcPr>
          <w:p w14:paraId="5B06BA0D">
            <w:pPr>
              <w:pStyle w:val="13"/>
            </w:pPr>
          </w:p>
        </w:tc>
        <w:tc>
          <w:tcPr>
            <w:tcW w:w="1474" w:type="dxa"/>
            <w:vAlign w:val="center"/>
          </w:tcPr>
          <w:p w14:paraId="19308FE9">
            <w:pPr>
              <w:pStyle w:val="14"/>
            </w:pPr>
          </w:p>
        </w:tc>
        <w:tc>
          <w:tcPr>
            <w:tcW w:w="3402" w:type="dxa"/>
            <w:vAlign w:val="center"/>
          </w:tcPr>
          <w:p w14:paraId="131E245F">
            <w:pPr>
              <w:pStyle w:val="13"/>
            </w:pPr>
            <w:r>
              <w:t>二十四、预备费</w:t>
            </w:r>
          </w:p>
        </w:tc>
        <w:tc>
          <w:tcPr>
            <w:tcW w:w="1474" w:type="dxa"/>
            <w:vAlign w:val="center"/>
          </w:tcPr>
          <w:p w14:paraId="18E596D5">
            <w:pPr>
              <w:pStyle w:val="14"/>
            </w:pPr>
          </w:p>
        </w:tc>
        <w:tc>
          <w:tcPr>
            <w:tcW w:w="1474" w:type="dxa"/>
            <w:vAlign w:val="center"/>
          </w:tcPr>
          <w:p w14:paraId="75E3B0A1">
            <w:pPr>
              <w:pStyle w:val="14"/>
            </w:pPr>
          </w:p>
        </w:tc>
        <w:tc>
          <w:tcPr>
            <w:tcW w:w="1474" w:type="dxa"/>
            <w:vAlign w:val="center"/>
          </w:tcPr>
          <w:p w14:paraId="00C324DB">
            <w:pPr>
              <w:pStyle w:val="14"/>
            </w:pPr>
          </w:p>
        </w:tc>
        <w:tc>
          <w:tcPr>
            <w:tcW w:w="1474" w:type="dxa"/>
            <w:vAlign w:val="center"/>
          </w:tcPr>
          <w:p w14:paraId="2EDDCB62">
            <w:pPr>
              <w:pStyle w:val="14"/>
            </w:pPr>
          </w:p>
        </w:tc>
      </w:tr>
      <w:tr w14:paraId="0DF2B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D5358">
            <w:pPr>
              <w:pStyle w:val="12"/>
            </w:pPr>
            <w:r>
              <w:t>25</w:t>
            </w:r>
          </w:p>
        </w:tc>
        <w:tc>
          <w:tcPr>
            <w:tcW w:w="3402" w:type="dxa"/>
            <w:vAlign w:val="center"/>
          </w:tcPr>
          <w:p w14:paraId="64D1EE29">
            <w:pPr>
              <w:pStyle w:val="13"/>
            </w:pPr>
          </w:p>
        </w:tc>
        <w:tc>
          <w:tcPr>
            <w:tcW w:w="1474" w:type="dxa"/>
            <w:vAlign w:val="center"/>
          </w:tcPr>
          <w:p w14:paraId="5CB03591">
            <w:pPr>
              <w:pStyle w:val="14"/>
            </w:pPr>
          </w:p>
        </w:tc>
        <w:tc>
          <w:tcPr>
            <w:tcW w:w="3402" w:type="dxa"/>
            <w:vAlign w:val="center"/>
          </w:tcPr>
          <w:p w14:paraId="24DA01C2">
            <w:pPr>
              <w:pStyle w:val="13"/>
            </w:pPr>
            <w:r>
              <w:t>二十五、其他支出</w:t>
            </w:r>
          </w:p>
        </w:tc>
        <w:tc>
          <w:tcPr>
            <w:tcW w:w="1474" w:type="dxa"/>
            <w:vAlign w:val="center"/>
          </w:tcPr>
          <w:p w14:paraId="63A2720F">
            <w:pPr>
              <w:pStyle w:val="14"/>
            </w:pPr>
          </w:p>
        </w:tc>
        <w:tc>
          <w:tcPr>
            <w:tcW w:w="1474" w:type="dxa"/>
            <w:vAlign w:val="center"/>
          </w:tcPr>
          <w:p w14:paraId="65230BD7">
            <w:pPr>
              <w:pStyle w:val="14"/>
            </w:pPr>
          </w:p>
        </w:tc>
        <w:tc>
          <w:tcPr>
            <w:tcW w:w="1474" w:type="dxa"/>
            <w:vAlign w:val="center"/>
          </w:tcPr>
          <w:p w14:paraId="4F6F1501">
            <w:pPr>
              <w:pStyle w:val="14"/>
            </w:pPr>
          </w:p>
        </w:tc>
        <w:tc>
          <w:tcPr>
            <w:tcW w:w="1474" w:type="dxa"/>
            <w:vAlign w:val="center"/>
          </w:tcPr>
          <w:p w14:paraId="1872833E">
            <w:pPr>
              <w:pStyle w:val="14"/>
            </w:pPr>
          </w:p>
        </w:tc>
      </w:tr>
      <w:tr w14:paraId="4D999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7A689">
            <w:pPr>
              <w:pStyle w:val="12"/>
            </w:pPr>
            <w:r>
              <w:t>26</w:t>
            </w:r>
          </w:p>
        </w:tc>
        <w:tc>
          <w:tcPr>
            <w:tcW w:w="3402" w:type="dxa"/>
            <w:vAlign w:val="center"/>
          </w:tcPr>
          <w:p w14:paraId="0429F680">
            <w:pPr>
              <w:pStyle w:val="13"/>
            </w:pPr>
          </w:p>
        </w:tc>
        <w:tc>
          <w:tcPr>
            <w:tcW w:w="1474" w:type="dxa"/>
            <w:vAlign w:val="center"/>
          </w:tcPr>
          <w:p w14:paraId="3111F7B1">
            <w:pPr>
              <w:pStyle w:val="14"/>
            </w:pPr>
          </w:p>
        </w:tc>
        <w:tc>
          <w:tcPr>
            <w:tcW w:w="3402" w:type="dxa"/>
            <w:vAlign w:val="center"/>
          </w:tcPr>
          <w:p w14:paraId="022DC974">
            <w:pPr>
              <w:pStyle w:val="13"/>
            </w:pPr>
            <w:r>
              <w:t>二十六、转移性支出</w:t>
            </w:r>
          </w:p>
        </w:tc>
        <w:tc>
          <w:tcPr>
            <w:tcW w:w="1474" w:type="dxa"/>
            <w:vAlign w:val="center"/>
          </w:tcPr>
          <w:p w14:paraId="3D3C38A3">
            <w:pPr>
              <w:pStyle w:val="14"/>
            </w:pPr>
          </w:p>
        </w:tc>
        <w:tc>
          <w:tcPr>
            <w:tcW w:w="1474" w:type="dxa"/>
            <w:vAlign w:val="center"/>
          </w:tcPr>
          <w:p w14:paraId="1DE28A93">
            <w:pPr>
              <w:pStyle w:val="14"/>
            </w:pPr>
          </w:p>
        </w:tc>
        <w:tc>
          <w:tcPr>
            <w:tcW w:w="1474" w:type="dxa"/>
            <w:vAlign w:val="center"/>
          </w:tcPr>
          <w:p w14:paraId="6B81783E">
            <w:pPr>
              <w:pStyle w:val="14"/>
            </w:pPr>
          </w:p>
        </w:tc>
        <w:tc>
          <w:tcPr>
            <w:tcW w:w="1474" w:type="dxa"/>
            <w:vAlign w:val="center"/>
          </w:tcPr>
          <w:p w14:paraId="05C72BB1">
            <w:pPr>
              <w:pStyle w:val="14"/>
            </w:pPr>
          </w:p>
        </w:tc>
      </w:tr>
      <w:tr w14:paraId="28921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2FCF0">
            <w:pPr>
              <w:pStyle w:val="12"/>
            </w:pPr>
            <w:r>
              <w:t>27</w:t>
            </w:r>
          </w:p>
        </w:tc>
        <w:tc>
          <w:tcPr>
            <w:tcW w:w="3402" w:type="dxa"/>
            <w:vAlign w:val="center"/>
          </w:tcPr>
          <w:p w14:paraId="283FD991">
            <w:pPr>
              <w:pStyle w:val="13"/>
            </w:pPr>
          </w:p>
        </w:tc>
        <w:tc>
          <w:tcPr>
            <w:tcW w:w="1474" w:type="dxa"/>
            <w:vAlign w:val="center"/>
          </w:tcPr>
          <w:p w14:paraId="3C9C0BA3">
            <w:pPr>
              <w:pStyle w:val="14"/>
            </w:pPr>
          </w:p>
        </w:tc>
        <w:tc>
          <w:tcPr>
            <w:tcW w:w="3402" w:type="dxa"/>
            <w:vAlign w:val="center"/>
          </w:tcPr>
          <w:p w14:paraId="33087FFB">
            <w:pPr>
              <w:pStyle w:val="13"/>
            </w:pPr>
            <w:r>
              <w:t>二十七、债务还本支出</w:t>
            </w:r>
          </w:p>
        </w:tc>
        <w:tc>
          <w:tcPr>
            <w:tcW w:w="1474" w:type="dxa"/>
            <w:vAlign w:val="center"/>
          </w:tcPr>
          <w:p w14:paraId="510285CA">
            <w:pPr>
              <w:pStyle w:val="14"/>
            </w:pPr>
          </w:p>
        </w:tc>
        <w:tc>
          <w:tcPr>
            <w:tcW w:w="1474" w:type="dxa"/>
            <w:vAlign w:val="center"/>
          </w:tcPr>
          <w:p w14:paraId="5537B305">
            <w:pPr>
              <w:pStyle w:val="14"/>
            </w:pPr>
          </w:p>
        </w:tc>
        <w:tc>
          <w:tcPr>
            <w:tcW w:w="1474" w:type="dxa"/>
            <w:vAlign w:val="center"/>
          </w:tcPr>
          <w:p w14:paraId="5216E958">
            <w:pPr>
              <w:pStyle w:val="14"/>
            </w:pPr>
          </w:p>
        </w:tc>
        <w:tc>
          <w:tcPr>
            <w:tcW w:w="1474" w:type="dxa"/>
            <w:vAlign w:val="center"/>
          </w:tcPr>
          <w:p w14:paraId="0A8A938E">
            <w:pPr>
              <w:pStyle w:val="14"/>
            </w:pPr>
          </w:p>
        </w:tc>
      </w:tr>
      <w:tr w14:paraId="7AED4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98933">
            <w:pPr>
              <w:pStyle w:val="12"/>
            </w:pPr>
            <w:r>
              <w:t>28</w:t>
            </w:r>
          </w:p>
        </w:tc>
        <w:tc>
          <w:tcPr>
            <w:tcW w:w="3402" w:type="dxa"/>
            <w:vAlign w:val="center"/>
          </w:tcPr>
          <w:p w14:paraId="4EE02586">
            <w:pPr>
              <w:pStyle w:val="13"/>
            </w:pPr>
          </w:p>
        </w:tc>
        <w:tc>
          <w:tcPr>
            <w:tcW w:w="1474" w:type="dxa"/>
            <w:vAlign w:val="center"/>
          </w:tcPr>
          <w:p w14:paraId="2ABB4834">
            <w:pPr>
              <w:pStyle w:val="14"/>
            </w:pPr>
          </w:p>
        </w:tc>
        <w:tc>
          <w:tcPr>
            <w:tcW w:w="3402" w:type="dxa"/>
            <w:vAlign w:val="center"/>
          </w:tcPr>
          <w:p w14:paraId="341E19B8">
            <w:pPr>
              <w:pStyle w:val="13"/>
            </w:pPr>
            <w:r>
              <w:t>二十八、债务付息支出</w:t>
            </w:r>
          </w:p>
        </w:tc>
        <w:tc>
          <w:tcPr>
            <w:tcW w:w="1474" w:type="dxa"/>
            <w:vAlign w:val="center"/>
          </w:tcPr>
          <w:p w14:paraId="33118C58">
            <w:pPr>
              <w:pStyle w:val="14"/>
            </w:pPr>
          </w:p>
        </w:tc>
        <w:tc>
          <w:tcPr>
            <w:tcW w:w="1474" w:type="dxa"/>
            <w:vAlign w:val="center"/>
          </w:tcPr>
          <w:p w14:paraId="340AC4D6">
            <w:pPr>
              <w:pStyle w:val="14"/>
            </w:pPr>
          </w:p>
        </w:tc>
        <w:tc>
          <w:tcPr>
            <w:tcW w:w="1474" w:type="dxa"/>
            <w:vAlign w:val="center"/>
          </w:tcPr>
          <w:p w14:paraId="26D4AB1C">
            <w:pPr>
              <w:pStyle w:val="14"/>
            </w:pPr>
          </w:p>
        </w:tc>
        <w:tc>
          <w:tcPr>
            <w:tcW w:w="1474" w:type="dxa"/>
            <w:vAlign w:val="center"/>
          </w:tcPr>
          <w:p w14:paraId="31C21323">
            <w:pPr>
              <w:pStyle w:val="14"/>
            </w:pPr>
          </w:p>
        </w:tc>
      </w:tr>
      <w:tr w14:paraId="2CAF5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6D696">
            <w:pPr>
              <w:pStyle w:val="12"/>
            </w:pPr>
            <w:r>
              <w:t>29</w:t>
            </w:r>
          </w:p>
        </w:tc>
        <w:tc>
          <w:tcPr>
            <w:tcW w:w="3402" w:type="dxa"/>
            <w:vAlign w:val="center"/>
          </w:tcPr>
          <w:p w14:paraId="0C8BDDA0">
            <w:pPr>
              <w:pStyle w:val="13"/>
            </w:pPr>
          </w:p>
        </w:tc>
        <w:tc>
          <w:tcPr>
            <w:tcW w:w="1474" w:type="dxa"/>
            <w:vAlign w:val="center"/>
          </w:tcPr>
          <w:p w14:paraId="286F3C37">
            <w:pPr>
              <w:pStyle w:val="14"/>
            </w:pPr>
          </w:p>
        </w:tc>
        <w:tc>
          <w:tcPr>
            <w:tcW w:w="3402" w:type="dxa"/>
            <w:vAlign w:val="center"/>
          </w:tcPr>
          <w:p w14:paraId="5E4AB49C">
            <w:pPr>
              <w:pStyle w:val="13"/>
            </w:pPr>
            <w:r>
              <w:t>二十九、债务发行费用支出</w:t>
            </w:r>
          </w:p>
        </w:tc>
        <w:tc>
          <w:tcPr>
            <w:tcW w:w="1474" w:type="dxa"/>
            <w:vAlign w:val="center"/>
          </w:tcPr>
          <w:p w14:paraId="0843640A">
            <w:pPr>
              <w:pStyle w:val="14"/>
            </w:pPr>
          </w:p>
        </w:tc>
        <w:tc>
          <w:tcPr>
            <w:tcW w:w="1474" w:type="dxa"/>
            <w:vAlign w:val="center"/>
          </w:tcPr>
          <w:p w14:paraId="328DF6B3">
            <w:pPr>
              <w:pStyle w:val="14"/>
            </w:pPr>
          </w:p>
        </w:tc>
        <w:tc>
          <w:tcPr>
            <w:tcW w:w="1474" w:type="dxa"/>
            <w:vAlign w:val="center"/>
          </w:tcPr>
          <w:p w14:paraId="30CFE907">
            <w:pPr>
              <w:pStyle w:val="14"/>
            </w:pPr>
          </w:p>
        </w:tc>
        <w:tc>
          <w:tcPr>
            <w:tcW w:w="1474" w:type="dxa"/>
            <w:vAlign w:val="center"/>
          </w:tcPr>
          <w:p w14:paraId="67EC18CE">
            <w:pPr>
              <w:pStyle w:val="14"/>
            </w:pPr>
          </w:p>
        </w:tc>
      </w:tr>
      <w:tr w14:paraId="4FDB4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44D8C">
            <w:pPr>
              <w:pStyle w:val="12"/>
            </w:pPr>
            <w:r>
              <w:t>30</w:t>
            </w:r>
          </w:p>
        </w:tc>
        <w:tc>
          <w:tcPr>
            <w:tcW w:w="3402" w:type="dxa"/>
            <w:vAlign w:val="center"/>
          </w:tcPr>
          <w:p w14:paraId="2FFB425B">
            <w:pPr>
              <w:pStyle w:val="13"/>
            </w:pPr>
          </w:p>
        </w:tc>
        <w:tc>
          <w:tcPr>
            <w:tcW w:w="1474" w:type="dxa"/>
            <w:vAlign w:val="center"/>
          </w:tcPr>
          <w:p w14:paraId="4F255B87">
            <w:pPr>
              <w:pStyle w:val="14"/>
            </w:pPr>
          </w:p>
        </w:tc>
        <w:tc>
          <w:tcPr>
            <w:tcW w:w="3402" w:type="dxa"/>
            <w:vAlign w:val="center"/>
          </w:tcPr>
          <w:p w14:paraId="0012018F">
            <w:pPr>
              <w:pStyle w:val="13"/>
            </w:pPr>
            <w:r>
              <w:t>三十、抗疫特别国债安排的支出</w:t>
            </w:r>
          </w:p>
        </w:tc>
        <w:tc>
          <w:tcPr>
            <w:tcW w:w="1474" w:type="dxa"/>
            <w:vAlign w:val="center"/>
          </w:tcPr>
          <w:p w14:paraId="54A8EFBD">
            <w:pPr>
              <w:pStyle w:val="14"/>
            </w:pPr>
          </w:p>
        </w:tc>
        <w:tc>
          <w:tcPr>
            <w:tcW w:w="1474" w:type="dxa"/>
            <w:vAlign w:val="center"/>
          </w:tcPr>
          <w:p w14:paraId="72A2933A">
            <w:pPr>
              <w:pStyle w:val="14"/>
            </w:pPr>
          </w:p>
        </w:tc>
        <w:tc>
          <w:tcPr>
            <w:tcW w:w="1474" w:type="dxa"/>
            <w:vAlign w:val="center"/>
          </w:tcPr>
          <w:p w14:paraId="33A1F7FA">
            <w:pPr>
              <w:pStyle w:val="14"/>
            </w:pPr>
          </w:p>
        </w:tc>
        <w:tc>
          <w:tcPr>
            <w:tcW w:w="1474" w:type="dxa"/>
            <w:vAlign w:val="center"/>
          </w:tcPr>
          <w:p w14:paraId="50F09AD3">
            <w:pPr>
              <w:pStyle w:val="14"/>
            </w:pPr>
          </w:p>
        </w:tc>
      </w:tr>
      <w:tr w14:paraId="117EE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5C9BF">
            <w:pPr>
              <w:pStyle w:val="12"/>
            </w:pPr>
            <w:r>
              <w:t>31</w:t>
            </w:r>
          </w:p>
        </w:tc>
        <w:tc>
          <w:tcPr>
            <w:tcW w:w="3402" w:type="dxa"/>
            <w:vAlign w:val="center"/>
          </w:tcPr>
          <w:p w14:paraId="3A00ABD7">
            <w:pPr>
              <w:pStyle w:val="13"/>
            </w:pPr>
          </w:p>
        </w:tc>
        <w:tc>
          <w:tcPr>
            <w:tcW w:w="1474" w:type="dxa"/>
            <w:vAlign w:val="center"/>
          </w:tcPr>
          <w:p w14:paraId="65D2330C">
            <w:pPr>
              <w:pStyle w:val="14"/>
            </w:pPr>
          </w:p>
        </w:tc>
        <w:tc>
          <w:tcPr>
            <w:tcW w:w="3402" w:type="dxa"/>
            <w:vAlign w:val="center"/>
          </w:tcPr>
          <w:p w14:paraId="233B5C99">
            <w:pPr>
              <w:pStyle w:val="13"/>
            </w:pPr>
            <w:r>
              <w:t>三十一、人行科目</w:t>
            </w:r>
          </w:p>
        </w:tc>
        <w:tc>
          <w:tcPr>
            <w:tcW w:w="1474" w:type="dxa"/>
            <w:vAlign w:val="center"/>
          </w:tcPr>
          <w:p w14:paraId="42816949">
            <w:pPr>
              <w:pStyle w:val="14"/>
            </w:pPr>
          </w:p>
        </w:tc>
        <w:tc>
          <w:tcPr>
            <w:tcW w:w="1474" w:type="dxa"/>
            <w:vAlign w:val="center"/>
          </w:tcPr>
          <w:p w14:paraId="4A9F8A66">
            <w:pPr>
              <w:pStyle w:val="14"/>
            </w:pPr>
          </w:p>
        </w:tc>
        <w:tc>
          <w:tcPr>
            <w:tcW w:w="1474" w:type="dxa"/>
            <w:vAlign w:val="center"/>
          </w:tcPr>
          <w:p w14:paraId="33BD65AE">
            <w:pPr>
              <w:pStyle w:val="14"/>
            </w:pPr>
          </w:p>
        </w:tc>
        <w:tc>
          <w:tcPr>
            <w:tcW w:w="1474" w:type="dxa"/>
            <w:vAlign w:val="center"/>
          </w:tcPr>
          <w:p w14:paraId="049630F6">
            <w:pPr>
              <w:pStyle w:val="14"/>
            </w:pPr>
          </w:p>
        </w:tc>
      </w:tr>
      <w:tr w14:paraId="1B76D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8C66D">
            <w:pPr>
              <w:pStyle w:val="12"/>
            </w:pPr>
            <w:r>
              <w:t>32</w:t>
            </w:r>
          </w:p>
        </w:tc>
        <w:tc>
          <w:tcPr>
            <w:tcW w:w="3402" w:type="dxa"/>
            <w:vAlign w:val="center"/>
          </w:tcPr>
          <w:p w14:paraId="4E827C0B">
            <w:pPr>
              <w:pStyle w:val="15"/>
            </w:pPr>
            <w:r>
              <w:t>本年收入合计</w:t>
            </w:r>
          </w:p>
        </w:tc>
        <w:tc>
          <w:tcPr>
            <w:tcW w:w="1474" w:type="dxa"/>
            <w:vAlign w:val="center"/>
          </w:tcPr>
          <w:p w14:paraId="4A1A1B34">
            <w:pPr>
              <w:pStyle w:val="16"/>
            </w:pPr>
            <w:r>
              <w:t>4338.96</w:t>
            </w:r>
          </w:p>
        </w:tc>
        <w:tc>
          <w:tcPr>
            <w:tcW w:w="3402" w:type="dxa"/>
            <w:vAlign w:val="center"/>
          </w:tcPr>
          <w:p w14:paraId="029FF09A">
            <w:pPr>
              <w:pStyle w:val="15"/>
            </w:pPr>
            <w:r>
              <w:t>本年支出合计</w:t>
            </w:r>
          </w:p>
        </w:tc>
        <w:tc>
          <w:tcPr>
            <w:tcW w:w="1474" w:type="dxa"/>
            <w:vAlign w:val="center"/>
          </w:tcPr>
          <w:p w14:paraId="1B7774D8">
            <w:pPr>
              <w:pStyle w:val="16"/>
            </w:pPr>
            <w:r>
              <w:t>4453.71</w:t>
            </w:r>
          </w:p>
        </w:tc>
        <w:tc>
          <w:tcPr>
            <w:tcW w:w="1474" w:type="dxa"/>
            <w:vAlign w:val="center"/>
          </w:tcPr>
          <w:p w14:paraId="7C44F87F">
            <w:pPr>
              <w:pStyle w:val="16"/>
            </w:pPr>
            <w:r>
              <w:t>4453.71</w:t>
            </w:r>
          </w:p>
        </w:tc>
        <w:tc>
          <w:tcPr>
            <w:tcW w:w="1474" w:type="dxa"/>
            <w:vAlign w:val="center"/>
          </w:tcPr>
          <w:p w14:paraId="1B6D7027">
            <w:pPr>
              <w:pStyle w:val="16"/>
            </w:pPr>
          </w:p>
        </w:tc>
        <w:tc>
          <w:tcPr>
            <w:tcW w:w="1474" w:type="dxa"/>
            <w:vAlign w:val="center"/>
          </w:tcPr>
          <w:p w14:paraId="0988A174">
            <w:pPr>
              <w:pStyle w:val="16"/>
            </w:pPr>
          </w:p>
        </w:tc>
      </w:tr>
      <w:tr w14:paraId="0D920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056A2">
            <w:pPr>
              <w:pStyle w:val="12"/>
            </w:pPr>
            <w:r>
              <w:t>33</w:t>
            </w:r>
          </w:p>
        </w:tc>
        <w:tc>
          <w:tcPr>
            <w:tcW w:w="3402" w:type="dxa"/>
            <w:vAlign w:val="center"/>
          </w:tcPr>
          <w:p w14:paraId="0DBE231A">
            <w:pPr>
              <w:pStyle w:val="13"/>
            </w:pPr>
            <w:r>
              <w:t>年初财政拨款结转和结余</w:t>
            </w:r>
          </w:p>
        </w:tc>
        <w:tc>
          <w:tcPr>
            <w:tcW w:w="1474" w:type="dxa"/>
            <w:vAlign w:val="center"/>
          </w:tcPr>
          <w:p w14:paraId="6CF4D38C">
            <w:pPr>
              <w:pStyle w:val="14"/>
            </w:pPr>
            <w:r>
              <w:t>114.75</w:t>
            </w:r>
          </w:p>
        </w:tc>
        <w:tc>
          <w:tcPr>
            <w:tcW w:w="3402" w:type="dxa"/>
            <w:vAlign w:val="center"/>
          </w:tcPr>
          <w:p w14:paraId="1C496BBC">
            <w:pPr>
              <w:pStyle w:val="13"/>
            </w:pPr>
            <w:r>
              <w:t>年末财政拨款结转和结余</w:t>
            </w:r>
          </w:p>
        </w:tc>
        <w:tc>
          <w:tcPr>
            <w:tcW w:w="1474" w:type="dxa"/>
            <w:vAlign w:val="center"/>
          </w:tcPr>
          <w:p w14:paraId="0FEAD698">
            <w:pPr>
              <w:pStyle w:val="14"/>
            </w:pPr>
          </w:p>
        </w:tc>
        <w:tc>
          <w:tcPr>
            <w:tcW w:w="1474" w:type="dxa"/>
            <w:vAlign w:val="center"/>
          </w:tcPr>
          <w:p w14:paraId="2E700D3B">
            <w:pPr>
              <w:pStyle w:val="14"/>
            </w:pPr>
          </w:p>
        </w:tc>
        <w:tc>
          <w:tcPr>
            <w:tcW w:w="1474" w:type="dxa"/>
            <w:vAlign w:val="center"/>
          </w:tcPr>
          <w:p w14:paraId="2007B80B">
            <w:pPr>
              <w:pStyle w:val="14"/>
            </w:pPr>
          </w:p>
        </w:tc>
        <w:tc>
          <w:tcPr>
            <w:tcW w:w="1474" w:type="dxa"/>
            <w:vAlign w:val="center"/>
          </w:tcPr>
          <w:p w14:paraId="2F80E85E">
            <w:pPr>
              <w:pStyle w:val="14"/>
            </w:pPr>
          </w:p>
        </w:tc>
      </w:tr>
      <w:tr w14:paraId="3F9B7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E84B8">
            <w:pPr>
              <w:pStyle w:val="12"/>
            </w:pPr>
            <w:r>
              <w:t>34</w:t>
            </w:r>
          </w:p>
        </w:tc>
        <w:tc>
          <w:tcPr>
            <w:tcW w:w="3402" w:type="dxa"/>
            <w:vAlign w:val="center"/>
          </w:tcPr>
          <w:p w14:paraId="24C3D461">
            <w:pPr>
              <w:pStyle w:val="13"/>
            </w:pPr>
            <w:r>
              <w:t>一、一般公共预算拨款</w:t>
            </w:r>
          </w:p>
        </w:tc>
        <w:tc>
          <w:tcPr>
            <w:tcW w:w="1474" w:type="dxa"/>
            <w:vAlign w:val="center"/>
          </w:tcPr>
          <w:p w14:paraId="7EDD8A0E">
            <w:pPr>
              <w:pStyle w:val="14"/>
            </w:pPr>
            <w:r>
              <w:t>114.75</w:t>
            </w:r>
          </w:p>
        </w:tc>
        <w:tc>
          <w:tcPr>
            <w:tcW w:w="3402" w:type="dxa"/>
            <w:vAlign w:val="center"/>
          </w:tcPr>
          <w:p w14:paraId="3992A30C">
            <w:pPr>
              <w:pStyle w:val="13"/>
            </w:pPr>
          </w:p>
        </w:tc>
        <w:tc>
          <w:tcPr>
            <w:tcW w:w="1474" w:type="dxa"/>
            <w:vAlign w:val="center"/>
          </w:tcPr>
          <w:p w14:paraId="728F9F27">
            <w:pPr>
              <w:pStyle w:val="14"/>
            </w:pPr>
          </w:p>
        </w:tc>
        <w:tc>
          <w:tcPr>
            <w:tcW w:w="1474" w:type="dxa"/>
            <w:vAlign w:val="center"/>
          </w:tcPr>
          <w:p w14:paraId="11D89DFF">
            <w:pPr>
              <w:pStyle w:val="14"/>
            </w:pPr>
          </w:p>
        </w:tc>
        <w:tc>
          <w:tcPr>
            <w:tcW w:w="1474" w:type="dxa"/>
            <w:vAlign w:val="center"/>
          </w:tcPr>
          <w:p w14:paraId="515CFD22">
            <w:pPr>
              <w:pStyle w:val="14"/>
            </w:pPr>
          </w:p>
        </w:tc>
        <w:tc>
          <w:tcPr>
            <w:tcW w:w="1474" w:type="dxa"/>
            <w:vAlign w:val="center"/>
          </w:tcPr>
          <w:p w14:paraId="6E8F0562">
            <w:pPr>
              <w:pStyle w:val="14"/>
            </w:pPr>
          </w:p>
        </w:tc>
      </w:tr>
      <w:tr w14:paraId="0DF90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EFE6C">
            <w:pPr>
              <w:pStyle w:val="12"/>
            </w:pPr>
            <w:r>
              <w:t>35</w:t>
            </w:r>
          </w:p>
        </w:tc>
        <w:tc>
          <w:tcPr>
            <w:tcW w:w="3402" w:type="dxa"/>
            <w:vAlign w:val="center"/>
          </w:tcPr>
          <w:p w14:paraId="0ED21F5F">
            <w:pPr>
              <w:pStyle w:val="13"/>
            </w:pPr>
            <w:r>
              <w:t>二、政府性基金预算拨款</w:t>
            </w:r>
          </w:p>
        </w:tc>
        <w:tc>
          <w:tcPr>
            <w:tcW w:w="1474" w:type="dxa"/>
            <w:vAlign w:val="center"/>
          </w:tcPr>
          <w:p w14:paraId="2EBED4B1">
            <w:pPr>
              <w:pStyle w:val="14"/>
            </w:pPr>
          </w:p>
        </w:tc>
        <w:tc>
          <w:tcPr>
            <w:tcW w:w="3402" w:type="dxa"/>
            <w:vAlign w:val="center"/>
          </w:tcPr>
          <w:p w14:paraId="3F1C7CB7">
            <w:pPr>
              <w:pStyle w:val="13"/>
            </w:pPr>
          </w:p>
        </w:tc>
        <w:tc>
          <w:tcPr>
            <w:tcW w:w="1474" w:type="dxa"/>
            <w:vAlign w:val="center"/>
          </w:tcPr>
          <w:p w14:paraId="3C6C73D5">
            <w:pPr>
              <w:pStyle w:val="14"/>
            </w:pPr>
          </w:p>
        </w:tc>
        <w:tc>
          <w:tcPr>
            <w:tcW w:w="1474" w:type="dxa"/>
            <w:vAlign w:val="center"/>
          </w:tcPr>
          <w:p w14:paraId="38EB979A">
            <w:pPr>
              <w:pStyle w:val="14"/>
            </w:pPr>
          </w:p>
        </w:tc>
        <w:tc>
          <w:tcPr>
            <w:tcW w:w="1474" w:type="dxa"/>
            <w:vAlign w:val="center"/>
          </w:tcPr>
          <w:p w14:paraId="0AA9B237">
            <w:pPr>
              <w:pStyle w:val="14"/>
            </w:pPr>
          </w:p>
        </w:tc>
        <w:tc>
          <w:tcPr>
            <w:tcW w:w="1474" w:type="dxa"/>
            <w:vAlign w:val="center"/>
          </w:tcPr>
          <w:p w14:paraId="74A13FCA">
            <w:pPr>
              <w:pStyle w:val="14"/>
            </w:pPr>
          </w:p>
        </w:tc>
      </w:tr>
      <w:tr w14:paraId="34AD0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B2285">
            <w:pPr>
              <w:pStyle w:val="12"/>
            </w:pPr>
            <w:r>
              <w:t>36</w:t>
            </w:r>
          </w:p>
        </w:tc>
        <w:tc>
          <w:tcPr>
            <w:tcW w:w="3402" w:type="dxa"/>
            <w:vAlign w:val="center"/>
          </w:tcPr>
          <w:p w14:paraId="5D2B36BE">
            <w:pPr>
              <w:pStyle w:val="13"/>
            </w:pPr>
            <w:r>
              <w:t>三、国有资本经营预算拨款</w:t>
            </w:r>
          </w:p>
        </w:tc>
        <w:tc>
          <w:tcPr>
            <w:tcW w:w="1474" w:type="dxa"/>
            <w:vAlign w:val="center"/>
          </w:tcPr>
          <w:p w14:paraId="15682E3A">
            <w:pPr>
              <w:pStyle w:val="14"/>
            </w:pPr>
          </w:p>
        </w:tc>
        <w:tc>
          <w:tcPr>
            <w:tcW w:w="3402" w:type="dxa"/>
            <w:vAlign w:val="center"/>
          </w:tcPr>
          <w:p w14:paraId="0FD5A360">
            <w:pPr>
              <w:pStyle w:val="13"/>
            </w:pPr>
          </w:p>
        </w:tc>
        <w:tc>
          <w:tcPr>
            <w:tcW w:w="1474" w:type="dxa"/>
            <w:vAlign w:val="center"/>
          </w:tcPr>
          <w:p w14:paraId="36B1926E">
            <w:pPr>
              <w:pStyle w:val="14"/>
            </w:pPr>
          </w:p>
        </w:tc>
        <w:tc>
          <w:tcPr>
            <w:tcW w:w="1474" w:type="dxa"/>
            <w:vAlign w:val="center"/>
          </w:tcPr>
          <w:p w14:paraId="3549B967">
            <w:pPr>
              <w:pStyle w:val="14"/>
            </w:pPr>
          </w:p>
        </w:tc>
        <w:tc>
          <w:tcPr>
            <w:tcW w:w="1474" w:type="dxa"/>
            <w:vAlign w:val="center"/>
          </w:tcPr>
          <w:p w14:paraId="2EAC99C1">
            <w:pPr>
              <w:pStyle w:val="14"/>
            </w:pPr>
          </w:p>
        </w:tc>
        <w:tc>
          <w:tcPr>
            <w:tcW w:w="1474" w:type="dxa"/>
            <w:vAlign w:val="center"/>
          </w:tcPr>
          <w:p w14:paraId="4DDB634D">
            <w:pPr>
              <w:pStyle w:val="14"/>
            </w:pPr>
          </w:p>
        </w:tc>
      </w:tr>
      <w:tr w14:paraId="67C93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E63FA">
            <w:pPr>
              <w:pStyle w:val="12"/>
            </w:pPr>
            <w:r>
              <w:t>37</w:t>
            </w:r>
          </w:p>
        </w:tc>
        <w:tc>
          <w:tcPr>
            <w:tcW w:w="3402" w:type="dxa"/>
            <w:vAlign w:val="center"/>
          </w:tcPr>
          <w:p w14:paraId="6131ADC0">
            <w:pPr>
              <w:pStyle w:val="15"/>
            </w:pPr>
            <w:r>
              <w:t>收入总计</w:t>
            </w:r>
          </w:p>
        </w:tc>
        <w:tc>
          <w:tcPr>
            <w:tcW w:w="1474" w:type="dxa"/>
            <w:vAlign w:val="center"/>
          </w:tcPr>
          <w:p w14:paraId="6CF7F226">
            <w:pPr>
              <w:pStyle w:val="16"/>
            </w:pPr>
            <w:r>
              <w:t>4453.71</w:t>
            </w:r>
          </w:p>
        </w:tc>
        <w:tc>
          <w:tcPr>
            <w:tcW w:w="3402" w:type="dxa"/>
            <w:vAlign w:val="center"/>
          </w:tcPr>
          <w:p w14:paraId="5184D384">
            <w:pPr>
              <w:pStyle w:val="15"/>
            </w:pPr>
            <w:r>
              <w:t>支出总计</w:t>
            </w:r>
          </w:p>
        </w:tc>
        <w:tc>
          <w:tcPr>
            <w:tcW w:w="1474" w:type="dxa"/>
            <w:vAlign w:val="center"/>
          </w:tcPr>
          <w:p w14:paraId="6465856F">
            <w:pPr>
              <w:pStyle w:val="16"/>
            </w:pPr>
            <w:r>
              <w:t>4453.71</w:t>
            </w:r>
          </w:p>
        </w:tc>
        <w:tc>
          <w:tcPr>
            <w:tcW w:w="1474" w:type="dxa"/>
            <w:vAlign w:val="center"/>
          </w:tcPr>
          <w:p w14:paraId="6E5EE734">
            <w:pPr>
              <w:pStyle w:val="16"/>
            </w:pPr>
            <w:r>
              <w:t>4453.71</w:t>
            </w:r>
          </w:p>
        </w:tc>
        <w:tc>
          <w:tcPr>
            <w:tcW w:w="1474" w:type="dxa"/>
            <w:vAlign w:val="center"/>
          </w:tcPr>
          <w:p w14:paraId="292CF647">
            <w:pPr>
              <w:pStyle w:val="16"/>
            </w:pPr>
          </w:p>
        </w:tc>
        <w:tc>
          <w:tcPr>
            <w:tcW w:w="1474" w:type="dxa"/>
            <w:vAlign w:val="center"/>
          </w:tcPr>
          <w:p w14:paraId="0BCCA283">
            <w:pPr>
              <w:pStyle w:val="16"/>
            </w:pPr>
          </w:p>
        </w:tc>
      </w:tr>
    </w:tbl>
    <w:p w14:paraId="2896F000">
      <w:pPr>
        <w:sectPr>
          <w:pgSz w:w="16840" w:h="11900" w:orient="landscape"/>
          <w:pgMar w:top="1361" w:right="1020" w:bottom="1134" w:left="1020" w:header="720" w:footer="720" w:gutter="0"/>
          <w:cols w:space="720" w:num="1"/>
        </w:sectPr>
      </w:pPr>
    </w:p>
    <w:p w14:paraId="58D19E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788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6E350E">
            <w:pPr>
              <w:pStyle w:val="8"/>
            </w:pPr>
            <w:r>
              <w:t>360022隆尧县尹村校区</w:t>
            </w:r>
          </w:p>
        </w:tc>
        <w:tc>
          <w:tcPr>
            <w:tcW w:w="2551" w:type="dxa"/>
            <w:tcBorders>
              <w:top w:val="single" w:color="FFFFFF" w:sz="6" w:space="0"/>
              <w:left w:val="single" w:color="FFFFFF" w:sz="6" w:space="0"/>
              <w:right w:val="single" w:color="FFFFFF" w:sz="6" w:space="0"/>
            </w:tcBorders>
            <w:vAlign w:val="center"/>
          </w:tcPr>
          <w:p w14:paraId="486D937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CB11C4C">
            <w:pPr>
              <w:pStyle w:val="10"/>
            </w:pPr>
            <w:r>
              <w:t>单位：万元</w:t>
            </w:r>
          </w:p>
        </w:tc>
      </w:tr>
      <w:tr w14:paraId="6D968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455D8">
            <w:pPr>
              <w:pStyle w:val="11"/>
            </w:pPr>
            <w:r>
              <w:t>序号</w:t>
            </w:r>
          </w:p>
        </w:tc>
        <w:tc>
          <w:tcPr>
            <w:tcW w:w="5726" w:type="dxa"/>
            <w:gridSpan w:val="2"/>
            <w:vAlign w:val="center"/>
          </w:tcPr>
          <w:p w14:paraId="47195C76">
            <w:pPr>
              <w:pStyle w:val="11"/>
            </w:pPr>
            <w:r>
              <w:t>功能分类科目</w:t>
            </w:r>
          </w:p>
        </w:tc>
        <w:tc>
          <w:tcPr>
            <w:tcW w:w="2551" w:type="dxa"/>
            <w:vMerge w:val="restart"/>
            <w:vAlign w:val="center"/>
          </w:tcPr>
          <w:p w14:paraId="2C978B55">
            <w:pPr>
              <w:pStyle w:val="11"/>
            </w:pPr>
            <w:r>
              <w:t>合计</w:t>
            </w:r>
          </w:p>
        </w:tc>
        <w:tc>
          <w:tcPr>
            <w:tcW w:w="2551" w:type="dxa"/>
            <w:vMerge w:val="restart"/>
            <w:vAlign w:val="center"/>
          </w:tcPr>
          <w:p w14:paraId="3ED7929A">
            <w:pPr>
              <w:pStyle w:val="11"/>
            </w:pPr>
            <w:r>
              <w:t>基本支出</w:t>
            </w:r>
          </w:p>
        </w:tc>
        <w:tc>
          <w:tcPr>
            <w:tcW w:w="2551" w:type="dxa"/>
            <w:vMerge w:val="restart"/>
            <w:vAlign w:val="center"/>
          </w:tcPr>
          <w:p w14:paraId="13CAD82F">
            <w:pPr>
              <w:pStyle w:val="11"/>
            </w:pPr>
            <w:r>
              <w:t>项目支出</w:t>
            </w:r>
          </w:p>
        </w:tc>
      </w:tr>
      <w:tr w14:paraId="14726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C0F861"/>
        </w:tc>
        <w:tc>
          <w:tcPr>
            <w:tcW w:w="1191" w:type="dxa"/>
            <w:vAlign w:val="center"/>
          </w:tcPr>
          <w:p w14:paraId="1121C087">
            <w:pPr>
              <w:pStyle w:val="11"/>
            </w:pPr>
            <w:r>
              <w:t>科目编码</w:t>
            </w:r>
          </w:p>
        </w:tc>
        <w:tc>
          <w:tcPr>
            <w:tcW w:w="4535" w:type="dxa"/>
            <w:vAlign w:val="center"/>
          </w:tcPr>
          <w:p w14:paraId="0B48A972">
            <w:pPr>
              <w:pStyle w:val="11"/>
            </w:pPr>
            <w:r>
              <w:t>科目名称</w:t>
            </w:r>
          </w:p>
        </w:tc>
        <w:tc>
          <w:tcPr>
            <w:tcW w:w="2551" w:type="dxa"/>
            <w:vMerge w:val="continue"/>
          </w:tcPr>
          <w:p w14:paraId="24FB8E79"/>
        </w:tc>
        <w:tc>
          <w:tcPr>
            <w:tcW w:w="2551" w:type="dxa"/>
            <w:vMerge w:val="continue"/>
          </w:tcPr>
          <w:p w14:paraId="3DD6D406"/>
        </w:tc>
        <w:tc>
          <w:tcPr>
            <w:tcW w:w="2551" w:type="dxa"/>
            <w:vMerge w:val="continue"/>
          </w:tcPr>
          <w:p w14:paraId="1BDCF401"/>
        </w:tc>
      </w:tr>
      <w:tr w14:paraId="668A8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7FDDB">
            <w:pPr>
              <w:pStyle w:val="11"/>
            </w:pPr>
            <w:r>
              <w:t>栏次</w:t>
            </w:r>
          </w:p>
        </w:tc>
        <w:tc>
          <w:tcPr>
            <w:tcW w:w="1191" w:type="dxa"/>
            <w:vAlign w:val="center"/>
          </w:tcPr>
          <w:p w14:paraId="4FB98C36">
            <w:pPr>
              <w:pStyle w:val="11"/>
            </w:pPr>
            <w:r>
              <w:t>1</w:t>
            </w:r>
          </w:p>
        </w:tc>
        <w:tc>
          <w:tcPr>
            <w:tcW w:w="4535" w:type="dxa"/>
            <w:vAlign w:val="center"/>
          </w:tcPr>
          <w:p w14:paraId="05F0F283">
            <w:pPr>
              <w:pStyle w:val="11"/>
            </w:pPr>
            <w:r>
              <w:t>2</w:t>
            </w:r>
          </w:p>
        </w:tc>
        <w:tc>
          <w:tcPr>
            <w:tcW w:w="2551" w:type="dxa"/>
            <w:vAlign w:val="center"/>
          </w:tcPr>
          <w:p w14:paraId="145E64DE">
            <w:pPr>
              <w:pStyle w:val="11"/>
            </w:pPr>
            <w:r>
              <w:t>3</w:t>
            </w:r>
          </w:p>
        </w:tc>
        <w:tc>
          <w:tcPr>
            <w:tcW w:w="2551" w:type="dxa"/>
            <w:vAlign w:val="center"/>
          </w:tcPr>
          <w:p w14:paraId="281A8539">
            <w:pPr>
              <w:pStyle w:val="11"/>
            </w:pPr>
            <w:r>
              <w:t>4</w:t>
            </w:r>
          </w:p>
        </w:tc>
        <w:tc>
          <w:tcPr>
            <w:tcW w:w="2551" w:type="dxa"/>
            <w:vAlign w:val="center"/>
          </w:tcPr>
          <w:p w14:paraId="3432E2DB">
            <w:pPr>
              <w:pStyle w:val="11"/>
            </w:pPr>
            <w:r>
              <w:t>5</w:t>
            </w:r>
          </w:p>
        </w:tc>
      </w:tr>
      <w:tr w14:paraId="4CB1F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9BEFD">
            <w:pPr>
              <w:pStyle w:val="12"/>
            </w:pPr>
            <w:r>
              <w:t>1</w:t>
            </w:r>
          </w:p>
        </w:tc>
        <w:tc>
          <w:tcPr>
            <w:tcW w:w="1191" w:type="dxa"/>
            <w:vAlign w:val="center"/>
          </w:tcPr>
          <w:p w14:paraId="001F7825">
            <w:pPr>
              <w:pStyle w:val="17"/>
            </w:pPr>
          </w:p>
        </w:tc>
        <w:tc>
          <w:tcPr>
            <w:tcW w:w="4535" w:type="dxa"/>
            <w:vAlign w:val="center"/>
          </w:tcPr>
          <w:p w14:paraId="2839696E">
            <w:pPr>
              <w:pStyle w:val="15"/>
            </w:pPr>
            <w:r>
              <w:t>合计</w:t>
            </w:r>
          </w:p>
        </w:tc>
        <w:tc>
          <w:tcPr>
            <w:tcW w:w="2551" w:type="dxa"/>
            <w:vAlign w:val="center"/>
          </w:tcPr>
          <w:p w14:paraId="5B5D3C0D">
            <w:pPr>
              <w:pStyle w:val="16"/>
            </w:pPr>
            <w:r>
              <w:t>4453.71</w:t>
            </w:r>
          </w:p>
        </w:tc>
        <w:tc>
          <w:tcPr>
            <w:tcW w:w="2551" w:type="dxa"/>
            <w:vAlign w:val="center"/>
          </w:tcPr>
          <w:p w14:paraId="48D734E7">
            <w:pPr>
              <w:pStyle w:val="16"/>
            </w:pPr>
            <w:r>
              <w:t>3367.96</w:t>
            </w:r>
          </w:p>
        </w:tc>
        <w:tc>
          <w:tcPr>
            <w:tcW w:w="2551" w:type="dxa"/>
            <w:vAlign w:val="center"/>
          </w:tcPr>
          <w:p w14:paraId="2F3B1240">
            <w:pPr>
              <w:pStyle w:val="16"/>
            </w:pPr>
            <w:r>
              <w:t>1085.74</w:t>
            </w:r>
          </w:p>
        </w:tc>
      </w:tr>
      <w:tr w14:paraId="33D02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17815">
            <w:pPr>
              <w:pStyle w:val="12"/>
            </w:pPr>
            <w:r>
              <w:t>2</w:t>
            </w:r>
          </w:p>
        </w:tc>
        <w:tc>
          <w:tcPr>
            <w:tcW w:w="1191" w:type="dxa"/>
            <w:vAlign w:val="center"/>
          </w:tcPr>
          <w:p w14:paraId="2465A41A">
            <w:pPr>
              <w:pStyle w:val="13"/>
            </w:pPr>
            <w:r>
              <w:t>205</w:t>
            </w:r>
          </w:p>
        </w:tc>
        <w:tc>
          <w:tcPr>
            <w:tcW w:w="4535" w:type="dxa"/>
            <w:vAlign w:val="center"/>
          </w:tcPr>
          <w:p w14:paraId="6725BCCC">
            <w:pPr>
              <w:pStyle w:val="13"/>
            </w:pPr>
            <w:r>
              <w:t>教育支出</w:t>
            </w:r>
          </w:p>
        </w:tc>
        <w:tc>
          <w:tcPr>
            <w:tcW w:w="2551" w:type="dxa"/>
            <w:vAlign w:val="center"/>
          </w:tcPr>
          <w:p w14:paraId="22913A1E">
            <w:pPr>
              <w:pStyle w:val="14"/>
            </w:pPr>
            <w:r>
              <w:t>4453.71</w:t>
            </w:r>
          </w:p>
        </w:tc>
        <w:tc>
          <w:tcPr>
            <w:tcW w:w="2551" w:type="dxa"/>
            <w:vAlign w:val="center"/>
          </w:tcPr>
          <w:p w14:paraId="18077521">
            <w:pPr>
              <w:pStyle w:val="14"/>
            </w:pPr>
            <w:r>
              <w:t>3367.96</w:t>
            </w:r>
          </w:p>
        </w:tc>
        <w:tc>
          <w:tcPr>
            <w:tcW w:w="2551" w:type="dxa"/>
            <w:vAlign w:val="center"/>
          </w:tcPr>
          <w:p w14:paraId="60700A4E">
            <w:pPr>
              <w:pStyle w:val="14"/>
            </w:pPr>
            <w:r>
              <w:t>1085.74</w:t>
            </w:r>
          </w:p>
        </w:tc>
      </w:tr>
      <w:tr w14:paraId="38CFE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2D1E8">
            <w:pPr>
              <w:pStyle w:val="12"/>
            </w:pPr>
            <w:r>
              <w:t>3</w:t>
            </w:r>
          </w:p>
        </w:tc>
        <w:tc>
          <w:tcPr>
            <w:tcW w:w="1191" w:type="dxa"/>
            <w:vAlign w:val="center"/>
          </w:tcPr>
          <w:p w14:paraId="03C79FBF">
            <w:pPr>
              <w:pStyle w:val="13"/>
            </w:pPr>
            <w:r>
              <w:t>20502</w:t>
            </w:r>
          </w:p>
        </w:tc>
        <w:tc>
          <w:tcPr>
            <w:tcW w:w="4535" w:type="dxa"/>
            <w:vAlign w:val="center"/>
          </w:tcPr>
          <w:p w14:paraId="203208CE">
            <w:pPr>
              <w:pStyle w:val="13"/>
            </w:pPr>
            <w:r>
              <w:t>普通教育</w:t>
            </w:r>
          </w:p>
        </w:tc>
        <w:tc>
          <w:tcPr>
            <w:tcW w:w="2551" w:type="dxa"/>
            <w:vAlign w:val="center"/>
          </w:tcPr>
          <w:p w14:paraId="2A22469F">
            <w:pPr>
              <w:pStyle w:val="14"/>
            </w:pPr>
            <w:r>
              <w:t>4453.71</w:t>
            </w:r>
          </w:p>
        </w:tc>
        <w:tc>
          <w:tcPr>
            <w:tcW w:w="2551" w:type="dxa"/>
            <w:vAlign w:val="center"/>
          </w:tcPr>
          <w:p w14:paraId="6FA1B42A">
            <w:pPr>
              <w:pStyle w:val="14"/>
            </w:pPr>
            <w:r>
              <w:t>3367.96</w:t>
            </w:r>
          </w:p>
        </w:tc>
        <w:tc>
          <w:tcPr>
            <w:tcW w:w="2551" w:type="dxa"/>
            <w:vAlign w:val="center"/>
          </w:tcPr>
          <w:p w14:paraId="5D3418C5">
            <w:pPr>
              <w:pStyle w:val="14"/>
            </w:pPr>
            <w:r>
              <w:t>1085.74</w:t>
            </w:r>
          </w:p>
        </w:tc>
      </w:tr>
      <w:tr w14:paraId="1E8D5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C036A">
            <w:pPr>
              <w:pStyle w:val="12"/>
            </w:pPr>
            <w:r>
              <w:t>4</w:t>
            </w:r>
          </w:p>
        </w:tc>
        <w:tc>
          <w:tcPr>
            <w:tcW w:w="1191" w:type="dxa"/>
            <w:vAlign w:val="center"/>
          </w:tcPr>
          <w:p w14:paraId="7CDF6C27">
            <w:pPr>
              <w:pStyle w:val="13"/>
            </w:pPr>
            <w:r>
              <w:t>2050201</w:t>
            </w:r>
          </w:p>
        </w:tc>
        <w:tc>
          <w:tcPr>
            <w:tcW w:w="4535" w:type="dxa"/>
            <w:vAlign w:val="center"/>
          </w:tcPr>
          <w:p w14:paraId="037680FA">
            <w:pPr>
              <w:pStyle w:val="13"/>
            </w:pPr>
            <w:r>
              <w:t>学前教育</w:t>
            </w:r>
          </w:p>
        </w:tc>
        <w:tc>
          <w:tcPr>
            <w:tcW w:w="2551" w:type="dxa"/>
            <w:vAlign w:val="center"/>
          </w:tcPr>
          <w:p w14:paraId="5280FA47">
            <w:pPr>
              <w:pStyle w:val="14"/>
            </w:pPr>
            <w:r>
              <w:t>509.16</w:t>
            </w:r>
          </w:p>
        </w:tc>
        <w:tc>
          <w:tcPr>
            <w:tcW w:w="2551" w:type="dxa"/>
            <w:vAlign w:val="center"/>
          </w:tcPr>
          <w:p w14:paraId="3E4BC245">
            <w:pPr>
              <w:pStyle w:val="14"/>
            </w:pPr>
          </w:p>
        </w:tc>
        <w:tc>
          <w:tcPr>
            <w:tcW w:w="2551" w:type="dxa"/>
            <w:vAlign w:val="center"/>
          </w:tcPr>
          <w:p w14:paraId="0931F88A">
            <w:pPr>
              <w:pStyle w:val="14"/>
            </w:pPr>
            <w:r>
              <w:t>509.16</w:t>
            </w:r>
          </w:p>
        </w:tc>
      </w:tr>
      <w:tr w14:paraId="3D0E4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EA40D">
            <w:pPr>
              <w:pStyle w:val="12"/>
            </w:pPr>
            <w:r>
              <w:t>5</w:t>
            </w:r>
          </w:p>
        </w:tc>
        <w:tc>
          <w:tcPr>
            <w:tcW w:w="1191" w:type="dxa"/>
            <w:vAlign w:val="center"/>
          </w:tcPr>
          <w:p w14:paraId="37B8AFD3">
            <w:pPr>
              <w:pStyle w:val="13"/>
            </w:pPr>
            <w:r>
              <w:t>2050202</w:t>
            </w:r>
          </w:p>
        </w:tc>
        <w:tc>
          <w:tcPr>
            <w:tcW w:w="4535" w:type="dxa"/>
            <w:vAlign w:val="center"/>
          </w:tcPr>
          <w:p w14:paraId="1B4FF6E0">
            <w:pPr>
              <w:pStyle w:val="13"/>
            </w:pPr>
            <w:r>
              <w:t>小学教育</w:t>
            </w:r>
          </w:p>
        </w:tc>
        <w:tc>
          <w:tcPr>
            <w:tcW w:w="2551" w:type="dxa"/>
            <w:vAlign w:val="center"/>
          </w:tcPr>
          <w:p w14:paraId="2B6BF0E1">
            <w:pPr>
              <w:pStyle w:val="14"/>
            </w:pPr>
            <w:r>
              <w:t>3944.55</w:t>
            </w:r>
          </w:p>
        </w:tc>
        <w:tc>
          <w:tcPr>
            <w:tcW w:w="2551" w:type="dxa"/>
            <w:vAlign w:val="center"/>
          </w:tcPr>
          <w:p w14:paraId="3EFF2451">
            <w:pPr>
              <w:pStyle w:val="14"/>
            </w:pPr>
            <w:r>
              <w:t>3367.96</w:t>
            </w:r>
          </w:p>
        </w:tc>
        <w:tc>
          <w:tcPr>
            <w:tcW w:w="2551" w:type="dxa"/>
            <w:vAlign w:val="center"/>
          </w:tcPr>
          <w:p w14:paraId="1DCF0424">
            <w:pPr>
              <w:pStyle w:val="14"/>
            </w:pPr>
            <w:r>
              <w:t>576.58</w:t>
            </w:r>
          </w:p>
        </w:tc>
      </w:tr>
    </w:tbl>
    <w:p w14:paraId="57B0F94E">
      <w:pPr>
        <w:sectPr>
          <w:pgSz w:w="16840" w:h="11900" w:orient="landscape"/>
          <w:pgMar w:top="1361" w:right="1020" w:bottom="1134" w:left="1020" w:header="720" w:footer="720" w:gutter="0"/>
          <w:cols w:space="720" w:num="1"/>
        </w:sectPr>
      </w:pPr>
    </w:p>
    <w:p w14:paraId="52BAAE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6D7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420DE4">
            <w:pPr>
              <w:pStyle w:val="8"/>
            </w:pPr>
            <w:r>
              <w:t>360022隆尧县尹村校区</w:t>
            </w:r>
          </w:p>
        </w:tc>
        <w:tc>
          <w:tcPr>
            <w:tcW w:w="2551" w:type="dxa"/>
            <w:tcBorders>
              <w:top w:val="single" w:color="FFFFFF" w:sz="6" w:space="0"/>
              <w:left w:val="single" w:color="FFFFFF" w:sz="6" w:space="0"/>
              <w:right w:val="single" w:color="FFFFFF" w:sz="6" w:space="0"/>
            </w:tcBorders>
            <w:vAlign w:val="center"/>
          </w:tcPr>
          <w:p w14:paraId="07741DC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1BFF588">
            <w:pPr>
              <w:pStyle w:val="10"/>
            </w:pPr>
            <w:r>
              <w:t>单位：万元</w:t>
            </w:r>
          </w:p>
        </w:tc>
      </w:tr>
      <w:tr w14:paraId="16A1E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C27B5">
            <w:pPr>
              <w:pStyle w:val="11"/>
            </w:pPr>
            <w:r>
              <w:t>序号</w:t>
            </w:r>
          </w:p>
        </w:tc>
        <w:tc>
          <w:tcPr>
            <w:tcW w:w="5726" w:type="dxa"/>
            <w:gridSpan w:val="2"/>
            <w:vAlign w:val="center"/>
          </w:tcPr>
          <w:p w14:paraId="7EE47D94">
            <w:pPr>
              <w:pStyle w:val="11"/>
            </w:pPr>
            <w:r>
              <w:t>支出部门经济分类科目</w:t>
            </w:r>
          </w:p>
        </w:tc>
        <w:tc>
          <w:tcPr>
            <w:tcW w:w="7653" w:type="dxa"/>
            <w:gridSpan w:val="3"/>
            <w:vAlign w:val="center"/>
          </w:tcPr>
          <w:p w14:paraId="22CD1436">
            <w:pPr>
              <w:pStyle w:val="11"/>
            </w:pPr>
            <w:r>
              <w:t>一般公共预算基本支出</w:t>
            </w:r>
          </w:p>
        </w:tc>
      </w:tr>
      <w:tr w14:paraId="01CD9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9EA16E"/>
        </w:tc>
        <w:tc>
          <w:tcPr>
            <w:tcW w:w="1191" w:type="dxa"/>
            <w:vAlign w:val="center"/>
          </w:tcPr>
          <w:p w14:paraId="0D6D58D1">
            <w:pPr>
              <w:pStyle w:val="11"/>
            </w:pPr>
            <w:r>
              <w:t>科目编码</w:t>
            </w:r>
          </w:p>
        </w:tc>
        <w:tc>
          <w:tcPr>
            <w:tcW w:w="4535" w:type="dxa"/>
            <w:vAlign w:val="center"/>
          </w:tcPr>
          <w:p w14:paraId="772A605B">
            <w:pPr>
              <w:pStyle w:val="11"/>
            </w:pPr>
            <w:r>
              <w:t>科目名称</w:t>
            </w:r>
          </w:p>
        </w:tc>
        <w:tc>
          <w:tcPr>
            <w:tcW w:w="2551" w:type="dxa"/>
            <w:vAlign w:val="center"/>
          </w:tcPr>
          <w:p w14:paraId="1C09B35E">
            <w:pPr>
              <w:pStyle w:val="11"/>
            </w:pPr>
            <w:r>
              <w:t>合计</w:t>
            </w:r>
          </w:p>
        </w:tc>
        <w:tc>
          <w:tcPr>
            <w:tcW w:w="2551" w:type="dxa"/>
            <w:vAlign w:val="center"/>
          </w:tcPr>
          <w:p w14:paraId="21A92C09">
            <w:pPr>
              <w:pStyle w:val="11"/>
            </w:pPr>
            <w:r>
              <w:t>人员经费</w:t>
            </w:r>
          </w:p>
        </w:tc>
        <w:tc>
          <w:tcPr>
            <w:tcW w:w="2551" w:type="dxa"/>
            <w:vAlign w:val="center"/>
          </w:tcPr>
          <w:p w14:paraId="51CD4C0D">
            <w:pPr>
              <w:pStyle w:val="11"/>
            </w:pPr>
            <w:r>
              <w:t>公用经费</w:t>
            </w:r>
          </w:p>
        </w:tc>
      </w:tr>
      <w:tr w14:paraId="72AF0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7EF5AA">
            <w:pPr>
              <w:pStyle w:val="11"/>
            </w:pPr>
            <w:r>
              <w:t>栏次</w:t>
            </w:r>
          </w:p>
        </w:tc>
        <w:tc>
          <w:tcPr>
            <w:tcW w:w="1191" w:type="dxa"/>
            <w:vAlign w:val="center"/>
          </w:tcPr>
          <w:p w14:paraId="1A51984A">
            <w:pPr>
              <w:pStyle w:val="11"/>
            </w:pPr>
            <w:r>
              <w:t>1</w:t>
            </w:r>
          </w:p>
        </w:tc>
        <w:tc>
          <w:tcPr>
            <w:tcW w:w="4535" w:type="dxa"/>
            <w:vAlign w:val="center"/>
          </w:tcPr>
          <w:p w14:paraId="3403BF2C">
            <w:pPr>
              <w:pStyle w:val="11"/>
            </w:pPr>
            <w:r>
              <w:t>2</w:t>
            </w:r>
          </w:p>
        </w:tc>
        <w:tc>
          <w:tcPr>
            <w:tcW w:w="2551" w:type="dxa"/>
            <w:vAlign w:val="center"/>
          </w:tcPr>
          <w:p w14:paraId="0AB48D59">
            <w:pPr>
              <w:pStyle w:val="11"/>
            </w:pPr>
            <w:r>
              <w:t>3</w:t>
            </w:r>
          </w:p>
        </w:tc>
        <w:tc>
          <w:tcPr>
            <w:tcW w:w="2551" w:type="dxa"/>
            <w:vAlign w:val="center"/>
          </w:tcPr>
          <w:p w14:paraId="318DAF4D">
            <w:pPr>
              <w:pStyle w:val="11"/>
            </w:pPr>
            <w:r>
              <w:t>4</w:t>
            </w:r>
          </w:p>
        </w:tc>
        <w:tc>
          <w:tcPr>
            <w:tcW w:w="2551" w:type="dxa"/>
            <w:vAlign w:val="center"/>
          </w:tcPr>
          <w:p w14:paraId="6A188BF1">
            <w:pPr>
              <w:pStyle w:val="11"/>
            </w:pPr>
            <w:r>
              <w:t>5</w:t>
            </w:r>
          </w:p>
        </w:tc>
      </w:tr>
      <w:tr w14:paraId="73051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DA2F9">
            <w:pPr>
              <w:pStyle w:val="12"/>
            </w:pPr>
            <w:r>
              <w:t>1</w:t>
            </w:r>
          </w:p>
        </w:tc>
        <w:tc>
          <w:tcPr>
            <w:tcW w:w="1191" w:type="dxa"/>
            <w:vAlign w:val="center"/>
          </w:tcPr>
          <w:p w14:paraId="5246B151">
            <w:pPr>
              <w:pStyle w:val="17"/>
            </w:pPr>
          </w:p>
        </w:tc>
        <w:tc>
          <w:tcPr>
            <w:tcW w:w="4535" w:type="dxa"/>
            <w:vAlign w:val="center"/>
          </w:tcPr>
          <w:p w14:paraId="3464CD7E">
            <w:pPr>
              <w:pStyle w:val="15"/>
            </w:pPr>
            <w:r>
              <w:t>合计</w:t>
            </w:r>
          </w:p>
        </w:tc>
        <w:tc>
          <w:tcPr>
            <w:tcW w:w="2551" w:type="dxa"/>
            <w:vAlign w:val="center"/>
          </w:tcPr>
          <w:p w14:paraId="2836B37B">
            <w:pPr>
              <w:pStyle w:val="16"/>
            </w:pPr>
            <w:r>
              <w:t>3367.96</w:t>
            </w:r>
          </w:p>
        </w:tc>
        <w:tc>
          <w:tcPr>
            <w:tcW w:w="2551" w:type="dxa"/>
            <w:vAlign w:val="center"/>
          </w:tcPr>
          <w:p w14:paraId="53EEF348">
            <w:pPr>
              <w:pStyle w:val="16"/>
            </w:pPr>
            <w:r>
              <w:t>3367.96</w:t>
            </w:r>
          </w:p>
        </w:tc>
        <w:tc>
          <w:tcPr>
            <w:tcW w:w="2551" w:type="dxa"/>
            <w:vAlign w:val="center"/>
          </w:tcPr>
          <w:p w14:paraId="038CC3F1">
            <w:pPr>
              <w:pStyle w:val="16"/>
            </w:pPr>
          </w:p>
        </w:tc>
      </w:tr>
      <w:tr w14:paraId="3BDE8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E9F76">
            <w:pPr>
              <w:pStyle w:val="12"/>
            </w:pPr>
            <w:r>
              <w:t>2</w:t>
            </w:r>
          </w:p>
        </w:tc>
        <w:tc>
          <w:tcPr>
            <w:tcW w:w="1191" w:type="dxa"/>
            <w:vAlign w:val="center"/>
          </w:tcPr>
          <w:p w14:paraId="637A6411">
            <w:pPr>
              <w:pStyle w:val="13"/>
            </w:pPr>
            <w:r>
              <w:t>301</w:t>
            </w:r>
          </w:p>
        </w:tc>
        <w:tc>
          <w:tcPr>
            <w:tcW w:w="4535" w:type="dxa"/>
            <w:vAlign w:val="center"/>
          </w:tcPr>
          <w:p w14:paraId="4E4371FD">
            <w:pPr>
              <w:pStyle w:val="13"/>
            </w:pPr>
            <w:r>
              <w:t>工资福利支出</w:t>
            </w:r>
          </w:p>
        </w:tc>
        <w:tc>
          <w:tcPr>
            <w:tcW w:w="2551" w:type="dxa"/>
            <w:vAlign w:val="center"/>
          </w:tcPr>
          <w:p w14:paraId="077B1882">
            <w:pPr>
              <w:pStyle w:val="14"/>
            </w:pPr>
            <w:r>
              <w:t>3147.65</w:t>
            </w:r>
          </w:p>
        </w:tc>
        <w:tc>
          <w:tcPr>
            <w:tcW w:w="2551" w:type="dxa"/>
            <w:vAlign w:val="center"/>
          </w:tcPr>
          <w:p w14:paraId="3427BCB6">
            <w:pPr>
              <w:pStyle w:val="14"/>
            </w:pPr>
            <w:r>
              <w:t>3147.65</w:t>
            </w:r>
          </w:p>
        </w:tc>
        <w:tc>
          <w:tcPr>
            <w:tcW w:w="2551" w:type="dxa"/>
            <w:vAlign w:val="center"/>
          </w:tcPr>
          <w:p w14:paraId="3F354E5D">
            <w:pPr>
              <w:pStyle w:val="14"/>
            </w:pPr>
          </w:p>
        </w:tc>
      </w:tr>
      <w:tr w14:paraId="71485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74633">
            <w:pPr>
              <w:pStyle w:val="12"/>
            </w:pPr>
            <w:r>
              <w:t>3</w:t>
            </w:r>
          </w:p>
        </w:tc>
        <w:tc>
          <w:tcPr>
            <w:tcW w:w="1191" w:type="dxa"/>
            <w:vAlign w:val="center"/>
          </w:tcPr>
          <w:p w14:paraId="18DA2F4E">
            <w:pPr>
              <w:pStyle w:val="13"/>
            </w:pPr>
            <w:r>
              <w:t>30101</w:t>
            </w:r>
          </w:p>
        </w:tc>
        <w:tc>
          <w:tcPr>
            <w:tcW w:w="4535" w:type="dxa"/>
            <w:vAlign w:val="center"/>
          </w:tcPr>
          <w:p w14:paraId="303CA5D9">
            <w:pPr>
              <w:pStyle w:val="13"/>
            </w:pPr>
            <w:r>
              <w:t>基本工资</w:t>
            </w:r>
          </w:p>
        </w:tc>
        <w:tc>
          <w:tcPr>
            <w:tcW w:w="2551" w:type="dxa"/>
            <w:vAlign w:val="center"/>
          </w:tcPr>
          <w:p w14:paraId="041B05A4">
            <w:pPr>
              <w:pStyle w:val="14"/>
            </w:pPr>
            <w:r>
              <w:t>1345.81</w:t>
            </w:r>
          </w:p>
        </w:tc>
        <w:tc>
          <w:tcPr>
            <w:tcW w:w="2551" w:type="dxa"/>
            <w:vAlign w:val="center"/>
          </w:tcPr>
          <w:p w14:paraId="3CAB3122">
            <w:pPr>
              <w:pStyle w:val="14"/>
            </w:pPr>
            <w:r>
              <w:t>1345.81</w:t>
            </w:r>
          </w:p>
        </w:tc>
        <w:tc>
          <w:tcPr>
            <w:tcW w:w="2551" w:type="dxa"/>
            <w:vAlign w:val="center"/>
          </w:tcPr>
          <w:p w14:paraId="07459324">
            <w:pPr>
              <w:pStyle w:val="14"/>
            </w:pPr>
          </w:p>
        </w:tc>
      </w:tr>
      <w:tr w14:paraId="2DFB5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5017E">
            <w:pPr>
              <w:pStyle w:val="12"/>
            </w:pPr>
            <w:r>
              <w:t>4</w:t>
            </w:r>
          </w:p>
        </w:tc>
        <w:tc>
          <w:tcPr>
            <w:tcW w:w="1191" w:type="dxa"/>
            <w:vAlign w:val="center"/>
          </w:tcPr>
          <w:p w14:paraId="6DA600C4">
            <w:pPr>
              <w:pStyle w:val="13"/>
            </w:pPr>
            <w:r>
              <w:t>30102</w:t>
            </w:r>
          </w:p>
        </w:tc>
        <w:tc>
          <w:tcPr>
            <w:tcW w:w="4535" w:type="dxa"/>
            <w:vAlign w:val="center"/>
          </w:tcPr>
          <w:p w14:paraId="74AB36D3">
            <w:pPr>
              <w:pStyle w:val="13"/>
            </w:pPr>
            <w:r>
              <w:t>津贴补贴</w:t>
            </w:r>
          </w:p>
        </w:tc>
        <w:tc>
          <w:tcPr>
            <w:tcW w:w="2551" w:type="dxa"/>
            <w:vAlign w:val="center"/>
          </w:tcPr>
          <w:p w14:paraId="591473F3">
            <w:pPr>
              <w:pStyle w:val="14"/>
            </w:pPr>
            <w:r>
              <w:t>127.94</w:t>
            </w:r>
          </w:p>
        </w:tc>
        <w:tc>
          <w:tcPr>
            <w:tcW w:w="2551" w:type="dxa"/>
            <w:vAlign w:val="center"/>
          </w:tcPr>
          <w:p w14:paraId="4C8E8460">
            <w:pPr>
              <w:pStyle w:val="14"/>
            </w:pPr>
            <w:r>
              <w:t>127.94</w:t>
            </w:r>
          </w:p>
        </w:tc>
        <w:tc>
          <w:tcPr>
            <w:tcW w:w="2551" w:type="dxa"/>
            <w:vAlign w:val="center"/>
          </w:tcPr>
          <w:p w14:paraId="22F97432">
            <w:pPr>
              <w:pStyle w:val="14"/>
            </w:pPr>
          </w:p>
        </w:tc>
      </w:tr>
      <w:tr w14:paraId="11102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64FF8">
            <w:pPr>
              <w:pStyle w:val="12"/>
            </w:pPr>
            <w:r>
              <w:t>5</w:t>
            </w:r>
          </w:p>
        </w:tc>
        <w:tc>
          <w:tcPr>
            <w:tcW w:w="1191" w:type="dxa"/>
            <w:vAlign w:val="center"/>
          </w:tcPr>
          <w:p w14:paraId="63A94150">
            <w:pPr>
              <w:pStyle w:val="13"/>
            </w:pPr>
            <w:r>
              <w:t>30107</w:t>
            </w:r>
          </w:p>
        </w:tc>
        <w:tc>
          <w:tcPr>
            <w:tcW w:w="4535" w:type="dxa"/>
            <w:vAlign w:val="center"/>
          </w:tcPr>
          <w:p w14:paraId="1E54F7E0">
            <w:pPr>
              <w:pStyle w:val="13"/>
            </w:pPr>
            <w:r>
              <w:t>绩效工资</w:t>
            </w:r>
          </w:p>
        </w:tc>
        <w:tc>
          <w:tcPr>
            <w:tcW w:w="2551" w:type="dxa"/>
            <w:vAlign w:val="center"/>
          </w:tcPr>
          <w:p w14:paraId="13F711E0">
            <w:pPr>
              <w:pStyle w:val="14"/>
            </w:pPr>
            <w:r>
              <w:t>744.74</w:t>
            </w:r>
          </w:p>
        </w:tc>
        <w:tc>
          <w:tcPr>
            <w:tcW w:w="2551" w:type="dxa"/>
            <w:vAlign w:val="center"/>
          </w:tcPr>
          <w:p w14:paraId="6D797689">
            <w:pPr>
              <w:pStyle w:val="14"/>
            </w:pPr>
            <w:r>
              <w:t>744.74</w:t>
            </w:r>
          </w:p>
        </w:tc>
        <w:tc>
          <w:tcPr>
            <w:tcW w:w="2551" w:type="dxa"/>
            <w:vAlign w:val="center"/>
          </w:tcPr>
          <w:p w14:paraId="5B486377">
            <w:pPr>
              <w:pStyle w:val="14"/>
            </w:pPr>
          </w:p>
        </w:tc>
      </w:tr>
      <w:tr w14:paraId="50BE1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4EC66">
            <w:pPr>
              <w:pStyle w:val="12"/>
            </w:pPr>
            <w:r>
              <w:t>6</w:t>
            </w:r>
          </w:p>
        </w:tc>
        <w:tc>
          <w:tcPr>
            <w:tcW w:w="1191" w:type="dxa"/>
            <w:vAlign w:val="center"/>
          </w:tcPr>
          <w:p w14:paraId="4E076773">
            <w:pPr>
              <w:pStyle w:val="13"/>
            </w:pPr>
            <w:r>
              <w:t>30108</w:t>
            </w:r>
          </w:p>
        </w:tc>
        <w:tc>
          <w:tcPr>
            <w:tcW w:w="4535" w:type="dxa"/>
            <w:vAlign w:val="center"/>
          </w:tcPr>
          <w:p w14:paraId="2EFF4F9E">
            <w:pPr>
              <w:pStyle w:val="13"/>
            </w:pPr>
            <w:r>
              <w:t>机关事业单位基本养老保险缴费</w:t>
            </w:r>
          </w:p>
        </w:tc>
        <w:tc>
          <w:tcPr>
            <w:tcW w:w="2551" w:type="dxa"/>
            <w:vAlign w:val="center"/>
          </w:tcPr>
          <w:p w14:paraId="74821ECE">
            <w:pPr>
              <w:pStyle w:val="14"/>
            </w:pPr>
            <w:r>
              <w:t>478.37</w:t>
            </w:r>
          </w:p>
        </w:tc>
        <w:tc>
          <w:tcPr>
            <w:tcW w:w="2551" w:type="dxa"/>
            <w:vAlign w:val="center"/>
          </w:tcPr>
          <w:p w14:paraId="78E3C922">
            <w:pPr>
              <w:pStyle w:val="14"/>
            </w:pPr>
            <w:r>
              <w:t>478.37</w:t>
            </w:r>
          </w:p>
        </w:tc>
        <w:tc>
          <w:tcPr>
            <w:tcW w:w="2551" w:type="dxa"/>
            <w:vAlign w:val="center"/>
          </w:tcPr>
          <w:p w14:paraId="35DE6981">
            <w:pPr>
              <w:pStyle w:val="14"/>
            </w:pPr>
          </w:p>
        </w:tc>
      </w:tr>
      <w:tr w14:paraId="0A004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F2975">
            <w:pPr>
              <w:pStyle w:val="12"/>
            </w:pPr>
            <w:r>
              <w:t>7</w:t>
            </w:r>
          </w:p>
        </w:tc>
        <w:tc>
          <w:tcPr>
            <w:tcW w:w="1191" w:type="dxa"/>
            <w:vAlign w:val="center"/>
          </w:tcPr>
          <w:p w14:paraId="61291524">
            <w:pPr>
              <w:pStyle w:val="13"/>
            </w:pPr>
            <w:r>
              <w:t>30110</w:t>
            </w:r>
          </w:p>
        </w:tc>
        <w:tc>
          <w:tcPr>
            <w:tcW w:w="4535" w:type="dxa"/>
            <w:vAlign w:val="center"/>
          </w:tcPr>
          <w:p w14:paraId="7D29B79D">
            <w:pPr>
              <w:pStyle w:val="13"/>
            </w:pPr>
            <w:r>
              <w:t>职工基本医疗保险缴费</w:t>
            </w:r>
          </w:p>
        </w:tc>
        <w:tc>
          <w:tcPr>
            <w:tcW w:w="2551" w:type="dxa"/>
            <w:vAlign w:val="center"/>
          </w:tcPr>
          <w:p w14:paraId="06666391">
            <w:pPr>
              <w:pStyle w:val="14"/>
            </w:pPr>
            <w:r>
              <w:t>127.16</w:t>
            </w:r>
          </w:p>
        </w:tc>
        <w:tc>
          <w:tcPr>
            <w:tcW w:w="2551" w:type="dxa"/>
            <w:vAlign w:val="center"/>
          </w:tcPr>
          <w:p w14:paraId="5F22988D">
            <w:pPr>
              <w:pStyle w:val="14"/>
            </w:pPr>
            <w:r>
              <w:t>127.16</w:t>
            </w:r>
          </w:p>
        </w:tc>
        <w:tc>
          <w:tcPr>
            <w:tcW w:w="2551" w:type="dxa"/>
            <w:vAlign w:val="center"/>
          </w:tcPr>
          <w:p w14:paraId="32378038">
            <w:pPr>
              <w:pStyle w:val="14"/>
            </w:pPr>
          </w:p>
        </w:tc>
      </w:tr>
      <w:tr w14:paraId="0568E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31528">
            <w:pPr>
              <w:pStyle w:val="12"/>
            </w:pPr>
            <w:r>
              <w:t>8</w:t>
            </w:r>
          </w:p>
        </w:tc>
        <w:tc>
          <w:tcPr>
            <w:tcW w:w="1191" w:type="dxa"/>
            <w:vAlign w:val="center"/>
          </w:tcPr>
          <w:p w14:paraId="5E17FD80">
            <w:pPr>
              <w:pStyle w:val="13"/>
            </w:pPr>
            <w:r>
              <w:t>30112</w:t>
            </w:r>
          </w:p>
        </w:tc>
        <w:tc>
          <w:tcPr>
            <w:tcW w:w="4535" w:type="dxa"/>
            <w:vAlign w:val="center"/>
          </w:tcPr>
          <w:p w14:paraId="4A65CC21">
            <w:pPr>
              <w:pStyle w:val="13"/>
            </w:pPr>
            <w:r>
              <w:t>其他社会保障缴费</w:t>
            </w:r>
          </w:p>
        </w:tc>
        <w:tc>
          <w:tcPr>
            <w:tcW w:w="2551" w:type="dxa"/>
            <w:vAlign w:val="center"/>
          </w:tcPr>
          <w:p w14:paraId="7D0A5356">
            <w:pPr>
              <w:pStyle w:val="14"/>
            </w:pPr>
            <w:r>
              <w:t>7.65</w:t>
            </w:r>
          </w:p>
        </w:tc>
        <w:tc>
          <w:tcPr>
            <w:tcW w:w="2551" w:type="dxa"/>
            <w:vAlign w:val="center"/>
          </w:tcPr>
          <w:p w14:paraId="30F14DF0">
            <w:pPr>
              <w:pStyle w:val="14"/>
            </w:pPr>
            <w:r>
              <w:t>7.65</w:t>
            </w:r>
          </w:p>
        </w:tc>
        <w:tc>
          <w:tcPr>
            <w:tcW w:w="2551" w:type="dxa"/>
            <w:vAlign w:val="center"/>
          </w:tcPr>
          <w:p w14:paraId="558E52E4">
            <w:pPr>
              <w:pStyle w:val="14"/>
            </w:pPr>
          </w:p>
        </w:tc>
      </w:tr>
      <w:tr w14:paraId="5E8EF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C7456">
            <w:pPr>
              <w:pStyle w:val="12"/>
            </w:pPr>
            <w:r>
              <w:t>9</w:t>
            </w:r>
          </w:p>
        </w:tc>
        <w:tc>
          <w:tcPr>
            <w:tcW w:w="1191" w:type="dxa"/>
            <w:vAlign w:val="center"/>
          </w:tcPr>
          <w:p w14:paraId="364EDCCD">
            <w:pPr>
              <w:pStyle w:val="13"/>
            </w:pPr>
            <w:r>
              <w:t>30113</w:t>
            </w:r>
          </w:p>
        </w:tc>
        <w:tc>
          <w:tcPr>
            <w:tcW w:w="4535" w:type="dxa"/>
            <w:vAlign w:val="center"/>
          </w:tcPr>
          <w:p w14:paraId="7D16CFE0">
            <w:pPr>
              <w:pStyle w:val="13"/>
            </w:pPr>
            <w:r>
              <w:t>住房公积金</w:t>
            </w:r>
          </w:p>
        </w:tc>
        <w:tc>
          <w:tcPr>
            <w:tcW w:w="2551" w:type="dxa"/>
            <w:vAlign w:val="center"/>
          </w:tcPr>
          <w:p w14:paraId="121862F8">
            <w:pPr>
              <w:pStyle w:val="14"/>
            </w:pPr>
            <w:r>
              <w:t>315.99</w:t>
            </w:r>
          </w:p>
        </w:tc>
        <w:tc>
          <w:tcPr>
            <w:tcW w:w="2551" w:type="dxa"/>
            <w:vAlign w:val="center"/>
          </w:tcPr>
          <w:p w14:paraId="5708F1CD">
            <w:pPr>
              <w:pStyle w:val="14"/>
            </w:pPr>
            <w:r>
              <w:t>315.99</w:t>
            </w:r>
          </w:p>
        </w:tc>
        <w:tc>
          <w:tcPr>
            <w:tcW w:w="2551" w:type="dxa"/>
            <w:vAlign w:val="center"/>
          </w:tcPr>
          <w:p w14:paraId="187671F3">
            <w:pPr>
              <w:pStyle w:val="14"/>
            </w:pPr>
          </w:p>
        </w:tc>
      </w:tr>
      <w:tr w14:paraId="266A4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1D5AC">
            <w:pPr>
              <w:pStyle w:val="12"/>
            </w:pPr>
            <w:r>
              <w:t>10</w:t>
            </w:r>
          </w:p>
        </w:tc>
        <w:tc>
          <w:tcPr>
            <w:tcW w:w="1191" w:type="dxa"/>
            <w:vAlign w:val="center"/>
          </w:tcPr>
          <w:p w14:paraId="234358E7">
            <w:pPr>
              <w:pStyle w:val="13"/>
            </w:pPr>
            <w:r>
              <w:t>303</w:t>
            </w:r>
          </w:p>
        </w:tc>
        <w:tc>
          <w:tcPr>
            <w:tcW w:w="4535" w:type="dxa"/>
            <w:vAlign w:val="center"/>
          </w:tcPr>
          <w:p w14:paraId="5A659306">
            <w:pPr>
              <w:pStyle w:val="13"/>
            </w:pPr>
            <w:r>
              <w:t>对个人和家庭的补助</w:t>
            </w:r>
          </w:p>
        </w:tc>
        <w:tc>
          <w:tcPr>
            <w:tcW w:w="2551" w:type="dxa"/>
            <w:vAlign w:val="center"/>
          </w:tcPr>
          <w:p w14:paraId="26C6BADD">
            <w:pPr>
              <w:pStyle w:val="14"/>
            </w:pPr>
            <w:r>
              <w:t>220.31</w:t>
            </w:r>
          </w:p>
        </w:tc>
        <w:tc>
          <w:tcPr>
            <w:tcW w:w="2551" w:type="dxa"/>
            <w:vAlign w:val="center"/>
          </w:tcPr>
          <w:p w14:paraId="4255A493">
            <w:pPr>
              <w:pStyle w:val="14"/>
            </w:pPr>
            <w:r>
              <w:t>220.31</w:t>
            </w:r>
          </w:p>
        </w:tc>
        <w:tc>
          <w:tcPr>
            <w:tcW w:w="2551" w:type="dxa"/>
            <w:vAlign w:val="center"/>
          </w:tcPr>
          <w:p w14:paraId="37B6EFD8">
            <w:pPr>
              <w:pStyle w:val="14"/>
            </w:pPr>
          </w:p>
        </w:tc>
      </w:tr>
      <w:tr w14:paraId="7CE3E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2F1EA">
            <w:pPr>
              <w:pStyle w:val="12"/>
            </w:pPr>
            <w:r>
              <w:t>11</w:t>
            </w:r>
          </w:p>
        </w:tc>
        <w:tc>
          <w:tcPr>
            <w:tcW w:w="1191" w:type="dxa"/>
            <w:vAlign w:val="center"/>
          </w:tcPr>
          <w:p w14:paraId="0B63108D">
            <w:pPr>
              <w:pStyle w:val="13"/>
            </w:pPr>
            <w:r>
              <w:t>30302</w:t>
            </w:r>
          </w:p>
        </w:tc>
        <w:tc>
          <w:tcPr>
            <w:tcW w:w="4535" w:type="dxa"/>
            <w:vAlign w:val="center"/>
          </w:tcPr>
          <w:p w14:paraId="081DDEB3">
            <w:pPr>
              <w:pStyle w:val="13"/>
            </w:pPr>
            <w:r>
              <w:t>退休费</w:t>
            </w:r>
          </w:p>
        </w:tc>
        <w:tc>
          <w:tcPr>
            <w:tcW w:w="2551" w:type="dxa"/>
            <w:vAlign w:val="center"/>
          </w:tcPr>
          <w:p w14:paraId="7FF64E5B">
            <w:pPr>
              <w:pStyle w:val="14"/>
            </w:pPr>
            <w:r>
              <w:t>210.41</w:t>
            </w:r>
          </w:p>
        </w:tc>
        <w:tc>
          <w:tcPr>
            <w:tcW w:w="2551" w:type="dxa"/>
            <w:vAlign w:val="center"/>
          </w:tcPr>
          <w:p w14:paraId="0D0CF191">
            <w:pPr>
              <w:pStyle w:val="14"/>
            </w:pPr>
            <w:r>
              <w:t>210.41</w:t>
            </w:r>
          </w:p>
        </w:tc>
        <w:tc>
          <w:tcPr>
            <w:tcW w:w="2551" w:type="dxa"/>
            <w:vAlign w:val="center"/>
          </w:tcPr>
          <w:p w14:paraId="76F8833F">
            <w:pPr>
              <w:pStyle w:val="14"/>
            </w:pPr>
          </w:p>
        </w:tc>
      </w:tr>
      <w:tr w14:paraId="74693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9F0CB">
            <w:pPr>
              <w:pStyle w:val="12"/>
            </w:pPr>
            <w:r>
              <w:t>12</w:t>
            </w:r>
          </w:p>
        </w:tc>
        <w:tc>
          <w:tcPr>
            <w:tcW w:w="1191" w:type="dxa"/>
            <w:vAlign w:val="center"/>
          </w:tcPr>
          <w:p w14:paraId="73D733BE">
            <w:pPr>
              <w:pStyle w:val="13"/>
            </w:pPr>
            <w:r>
              <w:t>30305</w:t>
            </w:r>
          </w:p>
        </w:tc>
        <w:tc>
          <w:tcPr>
            <w:tcW w:w="4535" w:type="dxa"/>
            <w:vAlign w:val="center"/>
          </w:tcPr>
          <w:p w14:paraId="0CDBB56C">
            <w:pPr>
              <w:pStyle w:val="13"/>
            </w:pPr>
            <w:r>
              <w:t>生活补助</w:t>
            </w:r>
          </w:p>
        </w:tc>
        <w:tc>
          <w:tcPr>
            <w:tcW w:w="2551" w:type="dxa"/>
            <w:vAlign w:val="center"/>
          </w:tcPr>
          <w:p w14:paraId="2CA4A516">
            <w:pPr>
              <w:pStyle w:val="14"/>
            </w:pPr>
            <w:r>
              <w:t>9.90</w:t>
            </w:r>
          </w:p>
        </w:tc>
        <w:tc>
          <w:tcPr>
            <w:tcW w:w="2551" w:type="dxa"/>
            <w:vAlign w:val="center"/>
          </w:tcPr>
          <w:p w14:paraId="6E4D98E1">
            <w:pPr>
              <w:pStyle w:val="14"/>
            </w:pPr>
            <w:r>
              <w:t>9.90</w:t>
            </w:r>
          </w:p>
        </w:tc>
        <w:tc>
          <w:tcPr>
            <w:tcW w:w="2551" w:type="dxa"/>
            <w:vAlign w:val="center"/>
          </w:tcPr>
          <w:p w14:paraId="49DA677F">
            <w:pPr>
              <w:pStyle w:val="14"/>
            </w:pPr>
          </w:p>
        </w:tc>
      </w:tr>
    </w:tbl>
    <w:p w14:paraId="4BC4256A">
      <w:pPr>
        <w:sectPr>
          <w:pgSz w:w="16840" w:h="11900" w:orient="landscape"/>
          <w:pgMar w:top="1361" w:right="1020" w:bottom="1134" w:left="1020" w:header="720" w:footer="720" w:gutter="0"/>
          <w:cols w:space="720" w:num="1"/>
        </w:sectPr>
      </w:pPr>
    </w:p>
    <w:p w14:paraId="252D0F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182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1292E2">
            <w:pPr>
              <w:pStyle w:val="8"/>
            </w:pPr>
            <w:r>
              <w:t>360022隆尧县尹村校区</w:t>
            </w:r>
          </w:p>
        </w:tc>
        <w:tc>
          <w:tcPr>
            <w:tcW w:w="2551" w:type="dxa"/>
            <w:tcBorders>
              <w:top w:val="single" w:color="FFFFFF" w:sz="6" w:space="0"/>
              <w:left w:val="single" w:color="FFFFFF" w:sz="6" w:space="0"/>
              <w:right w:val="single" w:color="FFFFFF" w:sz="6" w:space="0"/>
            </w:tcBorders>
            <w:vAlign w:val="center"/>
          </w:tcPr>
          <w:p w14:paraId="2FC3330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928A0DE">
            <w:pPr>
              <w:pStyle w:val="10"/>
            </w:pPr>
            <w:r>
              <w:t>单位：万元</w:t>
            </w:r>
          </w:p>
        </w:tc>
      </w:tr>
      <w:tr w14:paraId="2BF0D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7C9134">
            <w:pPr>
              <w:pStyle w:val="11"/>
            </w:pPr>
            <w:r>
              <w:t>序号</w:t>
            </w:r>
          </w:p>
        </w:tc>
        <w:tc>
          <w:tcPr>
            <w:tcW w:w="5726" w:type="dxa"/>
            <w:gridSpan w:val="2"/>
            <w:vAlign w:val="center"/>
          </w:tcPr>
          <w:p w14:paraId="1414986C">
            <w:pPr>
              <w:pStyle w:val="11"/>
            </w:pPr>
            <w:r>
              <w:t>功能分类科目</w:t>
            </w:r>
          </w:p>
        </w:tc>
        <w:tc>
          <w:tcPr>
            <w:tcW w:w="2551" w:type="dxa"/>
            <w:vMerge w:val="restart"/>
            <w:vAlign w:val="center"/>
          </w:tcPr>
          <w:p w14:paraId="57359FEF">
            <w:pPr>
              <w:pStyle w:val="11"/>
            </w:pPr>
            <w:r>
              <w:t>合计</w:t>
            </w:r>
          </w:p>
        </w:tc>
        <w:tc>
          <w:tcPr>
            <w:tcW w:w="2551" w:type="dxa"/>
            <w:vMerge w:val="restart"/>
            <w:vAlign w:val="center"/>
          </w:tcPr>
          <w:p w14:paraId="31FE929E">
            <w:pPr>
              <w:pStyle w:val="11"/>
            </w:pPr>
            <w:r>
              <w:t>基本支出</w:t>
            </w:r>
          </w:p>
        </w:tc>
        <w:tc>
          <w:tcPr>
            <w:tcW w:w="2551" w:type="dxa"/>
            <w:vMerge w:val="restart"/>
            <w:vAlign w:val="center"/>
          </w:tcPr>
          <w:p w14:paraId="5DB60E52">
            <w:pPr>
              <w:pStyle w:val="11"/>
            </w:pPr>
            <w:r>
              <w:t>项目支出</w:t>
            </w:r>
          </w:p>
        </w:tc>
      </w:tr>
      <w:tr w14:paraId="3E5D4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2CC503"/>
        </w:tc>
        <w:tc>
          <w:tcPr>
            <w:tcW w:w="1191" w:type="dxa"/>
            <w:vAlign w:val="center"/>
          </w:tcPr>
          <w:p w14:paraId="6F03F234">
            <w:pPr>
              <w:pStyle w:val="11"/>
            </w:pPr>
            <w:r>
              <w:t>科目编码</w:t>
            </w:r>
          </w:p>
        </w:tc>
        <w:tc>
          <w:tcPr>
            <w:tcW w:w="4535" w:type="dxa"/>
            <w:vAlign w:val="center"/>
          </w:tcPr>
          <w:p w14:paraId="52EF9000">
            <w:pPr>
              <w:pStyle w:val="11"/>
            </w:pPr>
            <w:r>
              <w:t>科目名称</w:t>
            </w:r>
          </w:p>
        </w:tc>
        <w:tc>
          <w:tcPr>
            <w:tcW w:w="2551" w:type="dxa"/>
            <w:vMerge w:val="continue"/>
          </w:tcPr>
          <w:p w14:paraId="762CF0A4"/>
        </w:tc>
        <w:tc>
          <w:tcPr>
            <w:tcW w:w="2551" w:type="dxa"/>
            <w:vMerge w:val="continue"/>
          </w:tcPr>
          <w:p w14:paraId="0C9799A3"/>
        </w:tc>
        <w:tc>
          <w:tcPr>
            <w:tcW w:w="2551" w:type="dxa"/>
            <w:vMerge w:val="continue"/>
          </w:tcPr>
          <w:p w14:paraId="782763BF"/>
        </w:tc>
      </w:tr>
      <w:tr w14:paraId="06854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F707A">
            <w:pPr>
              <w:pStyle w:val="11"/>
            </w:pPr>
            <w:r>
              <w:t>栏次</w:t>
            </w:r>
          </w:p>
        </w:tc>
        <w:tc>
          <w:tcPr>
            <w:tcW w:w="1191" w:type="dxa"/>
            <w:vAlign w:val="center"/>
          </w:tcPr>
          <w:p w14:paraId="20B866AD">
            <w:pPr>
              <w:pStyle w:val="11"/>
            </w:pPr>
            <w:r>
              <w:t>1</w:t>
            </w:r>
          </w:p>
        </w:tc>
        <w:tc>
          <w:tcPr>
            <w:tcW w:w="4535" w:type="dxa"/>
            <w:vAlign w:val="center"/>
          </w:tcPr>
          <w:p w14:paraId="4D4ED28A">
            <w:pPr>
              <w:pStyle w:val="11"/>
            </w:pPr>
            <w:r>
              <w:t>2</w:t>
            </w:r>
          </w:p>
        </w:tc>
        <w:tc>
          <w:tcPr>
            <w:tcW w:w="2551" w:type="dxa"/>
            <w:vAlign w:val="center"/>
          </w:tcPr>
          <w:p w14:paraId="400C9344">
            <w:pPr>
              <w:pStyle w:val="11"/>
            </w:pPr>
            <w:r>
              <w:t>3</w:t>
            </w:r>
          </w:p>
        </w:tc>
        <w:tc>
          <w:tcPr>
            <w:tcW w:w="2551" w:type="dxa"/>
            <w:vAlign w:val="center"/>
          </w:tcPr>
          <w:p w14:paraId="07287A5C">
            <w:pPr>
              <w:pStyle w:val="11"/>
            </w:pPr>
            <w:r>
              <w:t>4</w:t>
            </w:r>
          </w:p>
        </w:tc>
        <w:tc>
          <w:tcPr>
            <w:tcW w:w="2551" w:type="dxa"/>
            <w:vAlign w:val="center"/>
          </w:tcPr>
          <w:p w14:paraId="575CB694">
            <w:pPr>
              <w:pStyle w:val="11"/>
            </w:pPr>
            <w:r>
              <w:t>5</w:t>
            </w:r>
          </w:p>
        </w:tc>
      </w:tr>
      <w:tr w14:paraId="5D2E4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0BC57">
            <w:pPr>
              <w:pStyle w:val="12"/>
            </w:pPr>
          </w:p>
        </w:tc>
        <w:tc>
          <w:tcPr>
            <w:tcW w:w="1191" w:type="dxa"/>
            <w:vAlign w:val="center"/>
          </w:tcPr>
          <w:p w14:paraId="5974AFA9">
            <w:pPr>
              <w:pStyle w:val="13"/>
            </w:pPr>
          </w:p>
        </w:tc>
        <w:tc>
          <w:tcPr>
            <w:tcW w:w="4535" w:type="dxa"/>
            <w:vAlign w:val="center"/>
          </w:tcPr>
          <w:p w14:paraId="287A33DE">
            <w:pPr>
              <w:pStyle w:val="13"/>
            </w:pPr>
          </w:p>
        </w:tc>
        <w:tc>
          <w:tcPr>
            <w:tcW w:w="2551" w:type="dxa"/>
            <w:vAlign w:val="center"/>
          </w:tcPr>
          <w:p w14:paraId="3DFE9C8E">
            <w:pPr>
              <w:pStyle w:val="14"/>
            </w:pPr>
          </w:p>
        </w:tc>
        <w:tc>
          <w:tcPr>
            <w:tcW w:w="2551" w:type="dxa"/>
            <w:vAlign w:val="center"/>
          </w:tcPr>
          <w:p w14:paraId="34FAF38A">
            <w:pPr>
              <w:pStyle w:val="14"/>
            </w:pPr>
          </w:p>
        </w:tc>
        <w:tc>
          <w:tcPr>
            <w:tcW w:w="2551" w:type="dxa"/>
            <w:vAlign w:val="center"/>
          </w:tcPr>
          <w:p w14:paraId="3D7D234B">
            <w:pPr>
              <w:pStyle w:val="14"/>
            </w:pPr>
          </w:p>
        </w:tc>
      </w:tr>
    </w:tbl>
    <w:p w14:paraId="6D5A99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FD9AF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130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80FC15">
            <w:pPr>
              <w:pStyle w:val="8"/>
            </w:pPr>
            <w:r>
              <w:t>360022隆尧县尹村校区</w:t>
            </w:r>
          </w:p>
        </w:tc>
        <w:tc>
          <w:tcPr>
            <w:tcW w:w="2551" w:type="dxa"/>
            <w:tcBorders>
              <w:top w:val="single" w:color="FFFFFF" w:sz="6" w:space="0"/>
              <w:left w:val="single" w:color="FFFFFF" w:sz="6" w:space="0"/>
              <w:right w:val="single" w:color="FFFFFF" w:sz="6" w:space="0"/>
            </w:tcBorders>
            <w:vAlign w:val="center"/>
          </w:tcPr>
          <w:p w14:paraId="400C765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0F5CAF2">
            <w:pPr>
              <w:pStyle w:val="10"/>
            </w:pPr>
            <w:r>
              <w:t>单位：万元</w:t>
            </w:r>
          </w:p>
        </w:tc>
      </w:tr>
      <w:tr w14:paraId="6A2BD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CAF60">
            <w:pPr>
              <w:pStyle w:val="11"/>
            </w:pPr>
            <w:r>
              <w:t>序号</w:t>
            </w:r>
          </w:p>
        </w:tc>
        <w:tc>
          <w:tcPr>
            <w:tcW w:w="5726" w:type="dxa"/>
            <w:gridSpan w:val="2"/>
            <w:vAlign w:val="center"/>
          </w:tcPr>
          <w:p w14:paraId="7DC563E6">
            <w:pPr>
              <w:pStyle w:val="11"/>
            </w:pPr>
            <w:r>
              <w:t>功能分类科目</w:t>
            </w:r>
          </w:p>
        </w:tc>
        <w:tc>
          <w:tcPr>
            <w:tcW w:w="2551" w:type="dxa"/>
            <w:vMerge w:val="restart"/>
            <w:vAlign w:val="center"/>
          </w:tcPr>
          <w:p w14:paraId="2FD93EF4">
            <w:pPr>
              <w:pStyle w:val="11"/>
            </w:pPr>
            <w:r>
              <w:t>合计</w:t>
            </w:r>
          </w:p>
        </w:tc>
        <w:tc>
          <w:tcPr>
            <w:tcW w:w="2551" w:type="dxa"/>
            <w:vMerge w:val="restart"/>
            <w:vAlign w:val="center"/>
          </w:tcPr>
          <w:p w14:paraId="5958FFF3">
            <w:pPr>
              <w:pStyle w:val="11"/>
            </w:pPr>
            <w:r>
              <w:t>基本支出</w:t>
            </w:r>
          </w:p>
        </w:tc>
        <w:tc>
          <w:tcPr>
            <w:tcW w:w="2551" w:type="dxa"/>
            <w:vMerge w:val="restart"/>
            <w:vAlign w:val="center"/>
          </w:tcPr>
          <w:p w14:paraId="6ACB3E81">
            <w:pPr>
              <w:pStyle w:val="11"/>
            </w:pPr>
            <w:r>
              <w:t>项目支出</w:t>
            </w:r>
          </w:p>
        </w:tc>
      </w:tr>
      <w:tr w14:paraId="72ED9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03DFE5"/>
        </w:tc>
        <w:tc>
          <w:tcPr>
            <w:tcW w:w="1191" w:type="dxa"/>
            <w:vAlign w:val="center"/>
          </w:tcPr>
          <w:p w14:paraId="40948027">
            <w:pPr>
              <w:pStyle w:val="11"/>
            </w:pPr>
            <w:r>
              <w:t>科目编码</w:t>
            </w:r>
          </w:p>
        </w:tc>
        <w:tc>
          <w:tcPr>
            <w:tcW w:w="4535" w:type="dxa"/>
            <w:vAlign w:val="center"/>
          </w:tcPr>
          <w:p w14:paraId="63905678">
            <w:pPr>
              <w:pStyle w:val="11"/>
            </w:pPr>
            <w:r>
              <w:t>科目名称</w:t>
            </w:r>
          </w:p>
        </w:tc>
        <w:tc>
          <w:tcPr>
            <w:tcW w:w="2551" w:type="dxa"/>
            <w:vMerge w:val="continue"/>
          </w:tcPr>
          <w:p w14:paraId="1101C5C9"/>
        </w:tc>
        <w:tc>
          <w:tcPr>
            <w:tcW w:w="2551" w:type="dxa"/>
            <w:vMerge w:val="continue"/>
          </w:tcPr>
          <w:p w14:paraId="4E08096A"/>
        </w:tc>
        <w:tc>
          <w:tcPr>
            <w:tcW w:w="2551" w:type="dxa"/>
            <w:vMerge w:val="continue"/>
          </w:tcPr>
          <w:p w14:paraId="5195141F"/>
        </w:tc>
      </w:tr>
      <w:tr w14:paraId="482E6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A251AF">
            <w:pPr>
              <w:pStyle w:val="11"/>
            </w:pPr>
            <w:r>
              <w:t>栏次</w:t>
            </w:r>
          </w:p>
        </w:tc>
        <w:tc>
          <w:tcPr>
            <w:tcW w:w="1191" w:type="dxa"/>
            <w:vAlign w:val="center"/>
          </w:tcPr>
          <w:p w14:paraId="51C68EA0">
            <w:pPr>
              <w:pStyle w:val="11"/>
            </w:pPr>
            <w:r>
              <w:t>1</w:t>
            </w:r>
          </w:p>
        </w:tc>
        <w:tc>
          <w:tcPr>
            <w:tcW w:w="4535" w:type="dxa"/>
            <w:vAlign w:val="center"/>
          </w:tcPr>
          <w:p w14:paraId="1C6C017C">
            <w:pPr>
              <w:pStyle w:val="11"/>
            </w:pPr>
            <w:r>
              <w:t>2</w:t>
            </w:r>
          </w:p>
        </w:tc>
        <w:tc>
          <w:tcPr>
            <w:tcW w:w="2551" w:type="dxa"/>
            <w:vAlign w:val="center"/>
          </w:tcPr>
          <w:p w14:paraId="190ABD10">
            <w:pPr>
              <w:pStyle w:val="11"/>
            </w:pPr>
            <w:r>
              <w:t>3</w:t>
            </w:r>
          </w:p>
        </w:tc>
        <w:tc>
          <w:tcPr>
            <w:tcW w:w="2551" w:type="dxa"/>
            <w:vAlign w:val="center"/>
          </w:tcPr>
          <w:p w14:paraId="06E6C679">
            <w:pPr>
              <w:pStyle w:val="11"/>
            </w:pPr>
            <w:r>
              <w:t>4</w:t>
            </w:r>
          </w:p>
        </w:tc>
        <w:tc>
          <w:tcPr>
            <w:tcW w:w="2551" w:type="dxa"/>
            <w:vAlign w:val="center"/>
          </w:tcPr>
          <w:p w14:paraId="4A02B0B6">
            <w:pPr>
              <w:pStyle w:val="11"/>
            </w:pPr>
            <w:r>
              <w:t>5</w:t>
            </w:r>
          </w:p>
        </w:tc>
      </w:tr>
      <w:tr w14:paraId="53DC9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9CF7B">
            <w:pPr>
              <w:pStyle w:val="12"/>
            </w:pPr>
          </w:p>
        </w:tc>
        <w:tc>
          <w:tcPr>
            <w:tcW w:w="1191" w:type="dxa"/>
            <w:vAlign w:val="center"/>
          </w:tcPr>
          <w:p w14:paraId="4A6904F1">
            <w:pPr>
              <w:pStyle w:val="13"/>
            </w:pPr>
          </w:p>
        </w:tc>
        <w:tc>
          <w:tcPr>
            <w:tcW w:w="4535" w:type="dxa"/>
            <w:vAlign w:val="center"/>
          </w:tcPr>
          <w:p w14:paraId="7CD4743E">
            <w:pPr>
              <w:pStyle w:val="13"/>
            </w:pPr>
          </w:p>
        </w:tc>
        <w:tc>
          <w:tcPr>
            <w:tcW w:w="2551" w:type="dxa"/>
            <w:vAlign w:val="center"/>
          </w:tcPr>
          <w:p w14:paraId="39AD4396">
            <w:pPr>
              <w:pStyle w:val="14"/>
            </w:pPr>
          </w:p>
        </w:tc>
        <w:tc>
          <w:tcPr>
            <w:tcW w:w="2551" w:type="dxa"/>
            <w:vAlign w:val="center"/>
          </w:tcPr>
          <w:p w14:paraId="7C196AF6">
            <w:pPr>
              <w:pStyle w:val="14"/>
            </w:pPr>
          </w:p>
        </w:tc>
        <w:tc>
          <w:tcPr>
            <w:tcW w:w="2551" w:type="dxa"/>
            <w:vAlign w:val="center"/>
          </w:tcPr>
          <w:p w14:paraId="26BD8A79">
            <w:pPr>
              <w:pStyle w:val="14"/>
            </w:pPr>
          </w:p>
        </w:tc>
      </w:tr>
    </w:tbl>
    <w:p w14:paraId="3D585F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BF5A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DB5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AB5C8C">
            <w:pPr>
              <w:pStyle w:val="8"/>
            </w:pPr>
            <w:r>
              <w:t>360022隆尧县尹村校区</w:t>
            </w:r>
          </w:p>
        </w:tc>
        <w:tc>
          <w:tcPr>
            <w:tcW w:w="2381" w:type="dxa"/>
            <w:tcBorders>
              <w:top w:val="single" w:color="FFFFFF" w:sz="6" w:space="0"/>
              <w:left w:val="single" w:color="FFFFFF" w:sz="6" w:space="0"/>
              <w:right w:val="single" w:color="FFFFFF" w:sz="6" w:space="0"/>
            </w:tcBorders>
            <w:vAlign w:val="center"/>
          </w:tcPr>
          <w:p w14:paraId="2F9C2990">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4D2805F">
            <w:pPr>
              <w:pStyle w:val="10"/>
            </w:pPr>
            <w:r>
              <w:t>单位：万元</w:t>
            </w:r>
          </w:p>
        </w:tc>
      </w:tr>
      <w:tr w14:paraId="34DFC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5AB2D">
            <w:pPr>
              <w:pStyle w:val="11"/>
            </w:pPr>
            <w:r>
              <w:t>序号</w:t>
            </w:r>
          </w:p>
        </w:tc>
        <w:tc>
          <w:tcPr>
            <w:tcW w:w="3798" w:type="dxa"/>
            <w:vMerge w:val="restart"/>
            <w:vAlign w:val="center"/>
          </w:tcPr>
          <w:p w14:paraId="5F558F4E">
            <w:pPr>
              <w:pStyle w:val="11"/>
            </w:pPr>
            <w:r>
              <w:t>项  目</w:t>
            </w:r>
          </w:p>
        </w:tc>
        <w:tc>
          <w:tcPr>
            <w:tcW w:w="9524" w:type="dxa"/>
            <w:gridSpan w:val="4"/>
            <w:vAlign w:val="center"/>
          </w:tcPr>
          <w:p w14:paraId="6DB53229">
            <w:pPr>
              <w:pStyle w:val="11"/>
            </w:pPr>
            <w:r>
              <w:t>资 金 性 质</w:t>
            </w:r>
          </w:p>
        </w:tc>
      </w:tr>
      <w:tr w14:paraId="001BF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531C92"/>
        </w:tc>
        <w:tc>
          <w:tcPr>
            <w:tcW w:w="3798" w:type="dxa"/>
            <w:vMerge w:val="continue"/>
          </w:tcPr>
          <w:p w14:paraId="61E2977F"/>
        </w:tc>
        <w:tc>
          <w:tcPr>
            <w:tcW w:w="2381" w:type="dxa"/>
            <w:vAlign w:val="center"/>
          </w:tcPr>
          <w:p w14:paraId="2B802F84">
            <w:pPr>
              <w:pStyle w:val="11"/>
            </w:pPr>
            <w:r>
              <w:t>合计</w:t>
            </w:r>
          </w:p>
        </w:tc>
        <w:tc>
          <w:tcPr>
            <w:tcW w:w="2381" w:type="dxa"/>
            <w:vAlign w:val="center"/>
          </w:tcPr>
          <w:p w14:paraId="3CFDF7EA">
            <w:pPr>
              <w:pStyle w:val="11"/>
            </w:pPr>
            <w:r>
              <w:t>一般公共预算              财政拨款</w:t>
            </w:r>
          </w:p>
        </w:tc>
        <w:tc>
          <w:tcPr>
            <w:tcW w:w="2381" w:type="dxa"/>
            <w:vAlign w:val="center"/>
          </w:tcPr>
          <w:p w14:paraId="4B14AE61">
            <w:pPr>
              <w:pStyle w:val="11"/>
            </w:pPr>
            <w:r>
              <w:t>政府性基金                  预算拨款</w:t>
            </w:r>
          </w:p>
        </w:tc>
        <w:tc>
          <w:tcPr>
            <w:tcW w:w="2381" w:type="dxa"/>
            <w:vAlign w:val="center"/>
          </w:tcPr>
          <w:p w14:paraId="539C792E">
            <w:pPr>
              <w:pStyle w:val="11"/>
            </w:pPr>
            <w:r>
              <w:t>国有资本经营              预算财政拨款</w:t>
            </w:r>
          </w:p>
        </w:tc>
      </w:tr>
      <w:tr w14:paraId="709EA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2D59C4">
            <w:pPr>
              <w:pStyle w:val="11"/>
            </w:pPr>
            <w:r>
              <w:t>栏次</w:t>
            </w:r>
          </w:p>
        </w:tc>
        <w:tc>
          <w:tcPr>
            <w:tcW w:w="3798" w:type="dxa"/>
            <w:vAlign w:val="center"/>
          </w:tcPr>
          <w:p w14:paraId="2C2E713C">
            <w:pPr>
              <w:pStyle w:val="11"/>
            </w:pPr>
            <w:r>
              <w:t>1</w:t>
            </w:r>
          </w:p>
        </w:tc>
        <w:tc>
          <w:tcPr>
            <w:tcW w:w="2381" w:type="dxa"/>
            <w:vAlign w:val="center"/>
          </w:tcPr>
          <w:p w14:paraId="30AF0EAB">
            <w:pPr>
              <w:pStyle w:val="11"/>
            </w:pPr>
            <w:r>
              <w:t>2</w:t>
            </w:r>
          </w:p>
        </w:tc>
        <w:tc>
          <w:tcPr>
            <w:tcW w:w="2381" w:type="dxa"/>
            <w:vAlign w:val="center"/>
          </w:tcPr>
          <w:p w14:paraId="72D68508">
            <w:pPr>
              <w:pStyle w:val="11"/>
            </w:pPr>
            <w:r>
              <w:t>3</w:t>
            </w:r>
          </w:p>
        </w:tc>
        <w:tc>
          <w:tcPr>
            <w:tcW w:w="2381" w:type="dxa"/>
            <w:vAlign w:val="center"/>
          </w:tcPr>
          <w:p w14:paraId="2E061142">
            <w:pPr>
              <w:pStyle w:val="11"/>
            </w:pPr>
            <w:r>
              <w:t>4</w:t>
            </w:r>
          </w:p>
        </w:tc>
        <w:tc>
          <w:tcPr>
            <w:tcW w:w="2381" w:type="dxa"/>
            <w:vAlign w:val="center"/>
          </w:tcPr>
          <w:p w14:paraId="4B1EBB24">
            <w:pPr>
              <w:pStyle w:val="11"/>
            </w:pPr>
            <w:r>
              <w:t>5</w:t>
            </w:r>
          </w:p>
        </w:tc>
      </w:tr>
      <w:tr w14:paraId="36AB0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344CB3">
            <w:pPr>
              <w:pStyle w:val="12"/>
            </w:pPr>
          </w:p>
        </w:tc>
        <w:tc>
          <w:tcPr>
            <w:tcW w:w="3798" w:type="dxa"/>
            <w:vAlign w:val="center"/>
          </w:tcPr>
          <w:p w14:paraId="7D55A44B">
            <w:pPr>
              <w:pStyle w:val="13"/>
            </w:pPr>
          </w:p>
        </w:tc>
        <w:tc>
          <w:tcPr>
            <w:tcW w:w="2381" w:type="dxa"/>
            <w:vAlign w:val="center"/>
          </w:tcPr>
          <w:p w14:paraId="1801721D">
            <w:pPr>
              <w:pStyle w:val="14"/>
            </w:pPr>
          </w:p>
        </w:tc>
        <w:tc>
          <w:tcPr>
            <w:tcW w:w="2381" w:type="dxa"/>
            <w:vAlign w:val="center"/>
          </w:tcPr>
          <w:p w14:paraId="298B703F">
            <w:pPr>
              <w:pStyle w:val="14"/>
            </w:pPr>
          </w:p>
        </w:tc>
        <w:tc>
          <w:tcPr>
            <w:tcW w:w="2381" w:type="dxa"/>
            <w:vAlign w:val="center"/>
          </w:tcPr>
          <w:p w14:paraId="62846B0A">
            <w:pPr>
              <w:pStyle w:val="14"/>
            </w:pPr>
          </w:p>
        </w:tc>
        <w:tc>
          <w:tcPr>
            <w:tcW w:w="2381" w:type="dxa"/>
            <w:vAlign w:val="center"/>
          </w:tcPr>
          <w:p w14:paraId="331F59F9">
            <w:pPr>
              <w:pStyle w:val="14"/>
            </w:pPr>
          </w:p>
        </w:tc>
      </w:tr>
    </w:tbl>
    <w:p w14:paraId="75D6C87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9D9E961">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隆尧县尹村校区2025年单位预算信息公开情况说明</w:t>
      </w:r>
    </w:p>
    <w:p w14:paraId="32F810C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按照《中华人民共和国预算法》、《地方预决算公开操作规程》和《关于进一步推进预算公开工作的实施意见》规定，现将隆尧县尹村校区2025年单位预算公开如下：</w:t>
      </w:r>
    </w:p>
    <w:p w14:paraId="15BE0F7E">
      <w:pPr>
        <w:spacing w:before="10" w:after="10" w:line="240" w:lineRule="auto"/>
        <w:ind w:firstLine="640"/>
        <w:jc w:val="left"/>
        <w:outlineLvl w:val="5"/>
      </w:pPr>
      <w:r>
        <w:rPr>
          <w:rFonts w:ascii="黑体" w:hAnsi="黑体" w:eastAsia="黑体" w:cs="黑体"/>
          <w:color w:val="000000"/>
          <w:sz w:val="32"/>
        </w:rPr>
        <w:t>一、单位职责及机构设置情况</w:t>
      </w:r>
    </w:p>
    <w:p w14:paraId="48DCE07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447384">
      <w:pPr>
        <w:pStyle w:val="18"/>
      </w:pPr>
      <w:r>
        <w:t>贯彻落实基础教育的方针、政策，开展义教阶段教育教学工作，促进学生德、智、体、美、劳全面发展；负责学生安全教育和管理，确保学生身心健康；加强教师队伍建设和管理，为教育教学工作提供保障。</w:t>
      </w:r>
    </w:p>
    <w:p w14:paraId="494CD199">
      <w:pPr>
        <w:pStyle w:val="18"/>
      </w:pPr>
      <w:r>
        <w:t>隆尧县尹村校区事业编制263名．其中，校长1名（正股级），副校长3名（副股级）；经费形式为财政性资金基本保证。</w:t>
      </w:r>
    </w:p>
    <w:p w14:paraId="17AE82D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AB8CB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55DB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373BE3">
            <w:pPr>
              <w:pStyle w:val="11"/>
            </w:pPr>
            <w:r>
              <w:t>单位名称</w:t>
            </w:r>
          </w:p>
        </w:tc>
        <w:tc>
          <w:tcPr>
            <w:tcW w:w="1843" w:type="dxa"/>
            <w:vAlign w:val="center"/>
          </w:tcPr>
          <w:p w14:paraId="10093C39">
            <w:pPr>
              <w:pStyle w:val="11"/>
            </w:pPr>
            <w:r>
              <w:t>单位性质</w:t>
            </w:r>
          </w:p>
        </w:tc>
        <w:tc>
          <w:tcPr>
            <w:tcW w:w="2126" w:type="dxa"/>
            <w:vAlign w:val="center"/>
          </w:tcPr>
          <w:p w14:paraId="77FCB6FC">
            <w:pPr>
              <w:pStyle w:val="11"/>
            </w:pPr>
            <w:r>
              <w:t>单位规格</w:t>
            </w:r>
          </w:p>
        </w:tc>
        <w:tc>
          <w:tcPr>
            <w:tcW w:w="3827" w:type="dxa"/>
            <w:vAlign w:val="center"/>
          </w:tcPr>
          <w:p w14:paraId="2F15FE26">
            <w:pPr>
              <w:pStyle w:val="11"/>
            </w:pPr>
            <w:r>
              <w:t>经费保障形式</w:t>
            </w:r>
          </w:p>
        </w:tc>
      </w:tr>
      <w:tr w14:paraId="32BC4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BCF5BEB">
            <w:pPr>
              <w:pStyle w:val="13"/>
            </w:pPr>
            <w:r>
              <w:t>隆尧县尹村校区</w:t>
            </w:r>
          </w:p>
        </w:tc>
        <w:tc>
          <w:tcPr>
            <w:tcW w:w="1843" w:type="dxa"/>
            <w:vAlign w:val="center"/>
          </w:tcPr>
          <w:p w14:paraId="6CE6AA82">
            <w:pPr>
              <w:pStyle w:val="12"/>
            </w:pPr>
            <w:r>
              <w:t>事业</w:t>
            </w:r>
          </w:p>
        </w:tc>
        <w:tc>
          <w:tcPr>
            <w:tcW w:w="2126" w:type="dxa"/>
            <w:vAlign w:val="center"/>
          </w:tcPr>
          <w:p w14:paraId="4DC3C7AC">
            <w:pPr>
              <w:pStyle w:val="12"/>
            </w:pPr>
            <w:r>
              <w:t>股级</w:t>
            </w:r>
          </w:p>
        </w:tc>
        <w:tc>
          <w:tcPr>
            <w:tcW w:w="3827" w:type="dxa"/>
            <w:vAlign w:val="center"/>
          </w:tcPr>
          <w:p w14:paraId="41E937BC">
            <w:pPr>
              <w:pStyle w:val="12"/>
            </w:pPr>
            <w:r>
              <w:t>财政性资金基本保证</w:t>
            </w:r>
          </w:p>
        </w:tc>
      </w:tr>
    </w:tbl>
    <w:p w14:paraId="1C60B50D">
      <w:pPr>
        <w:spacing w:before="10" w:after="10" w:line="240" w:lineRule="auto"/>
        <w:ind w:firstLine="640"/>
        <w:jc w:val="left"/>
        <w:outlineLvl w:val="5"/>
      </w:pPr>
      <w:r>
        <w:rPr>
          <w:rFonts w:ascii="黑体" w:hAnsi="黑体" w:eastAsia="黑体" w:cs="黑体"/>
          <w:color w:val="000000"/>
          <w:sz w:val="32"/>
        </w:rPr>
        <w:t>二、单位预算安排的总体情况</w:t>
      </w:r>
    </w:p>
    <w:p w14:paraId="39A1FA7A">
      <w:pPr>
        <w:pStyle w:val="19"/>
      </w:pPr>
      <w:r>
        <w:t>二、单位预算安排的总体情况</w:t>
      </w:r>
    </w:p>
    <w:p w14:paraId="5BECA974">
      <w:pPr>
        <w:pStyle w:val="19"/>
      </w:pPr>
      <w:r>
        <w:t>按照预算管理有关规定，目前我校区单位预算的编制实行综合预算管理，即全部收入和支出都反映的预算中。隆尧县尹村校区的收支包含在单位预算中。</w:t>
      </w:r>
    </w:p>
    <w:p w14:paraId="1A82F333">
      <w:pPr>
        <w:pStyle w:val="19"/>
      </w:pPr>
      <w:r>
        <w:t>1、收入说明</w:t>
      </w:r>
    </w:p>
    <w:p w14:paraId="41255C14">
      <w:pPr>
        <w:pStyle w:val="19"/>
      </w:pPr>
      <w:r>
        <w:t>反映本单位当年全部收入。2025年预算收入4453.71万元，其中：一般公共预算收入4338.96万元，基金预算收入0万元，上年结转收入114.75万元，财政专户收入0万元，其他来源收入0万元。</w:t>
      </w:r>
    </w:p>
    <w:p w14:paraId="64028F50">
      <w:pPr>
        <w:pStyle w:val="19"/>
      </w:pPr>
      <w:r>
        <w:t>2、支出说明</w:t>
      </w:r>
    </w:p>
    <w:p w14:paraId="629ACE30">
      <w:pPr>
        <w:pStyle w:val="19"/>
      </w:pPr>
      <w:r>
        <w:t>收支预算总表支出栏、基本支出表、项目支出表按经济分类和支出功能分类科目编制，反映我单位预算中支出预算的总体情况。2025年单位支出预算为4453.71万元元，其中基本支出43367.96万元；项目支出1085.74万元。</w:t>
      </w:r>
    </w:p>
    <w:p w14:paraId="720390A3">
      <w:pPr>
        <w:pStyle w:val="19"/>
      </w:pPr>
      <w:r>
        <w:t>3、比上年增减情况</w:t>
      </w:r>
    </w:p>
    <w:p w14:paraId="4E240801">
      <w:pPr>
        <w:pStyle w:val="19"/>
      </w:pPr>
      <w:r>
        <w:t>2025年部门预算收支安排4453.71万元，较2024年预算增加56.84万元，其中基本支出增加372.47万元，项目支出减少315.63万元.。</w:t>
      </w:r>
    </w:p>
    <w:p w14:paraId="01DC0A60">
      <w:pPr>
        <w:spacing w:before="10" w:after="10" w:line="240" w:lineRule="auto"/>
        <w:ind w:firstLine="640"/>
        <w:jc w:val="left"/>
        <w:outlineLvl w:val="5"/>
      </w:pPr>
      <w:r>
        <w:rPr>
          <w:rFonts w:ascii="黑体" w:hAnsi="黑体" w:eastAsia="黑体" w:cs="黑体"/>
          <w:color w:val="000000"/>
          <w:sz w:val="32"/>
        </w:rPr>
        <w:t>三、机关运行经费安排情况</w:t>
      </w:r>
    </w:p>
    <w:p w14:paraId="05E217EF">
      <w:pPr>
        <w:pStyle w:val="20"/>
      </w:pPr>
      <w:r>
        <w:t>三、机关运行经费安排情况</w:t>
      </w:r>
    </w:p>
    <w:p w14:paraId="1156B993">
      <w:pPr>
        <w:pStyle w:val="20"/>
      </w:pPr>
      <w:r>
        <w:t>机关运行经费安排情况</w:t>
      </w:r>
    </w:p>
    <w:p w14:paraId="39A6A136">
      <w:pPr>
        <w:pStyle w:val="20"/>
      </w:pPr>
      <w:r>
        <w:t>2025年我单位机关运行经费安排0万元</w:t>
      </w:r>
    </w:p>
    <w:p w14:paraId="2652E29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84F0A0">
      <w:pPr>
        <w:pStyle w:val="21"/>
      </w:pPr>
      <w:r>
        <w:t>四、财政拨款“三公”经费预算情况及增减变化原因</w:t>
      </w:r>
    </w:p>
    <w:p w14:paraId="723CE2B0">
      <w:pPr>
        <w:pStyle w:val="21"/>
      </w:pPr>
      <w:r>
        <w:t>2025年我单位未安排三公经费。</w:t>
      </w:r>
    </w:p>
    <w:p w14:paraId="3B3D631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9F1B38">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1、冀财教[2023]154号/中央/义教经费/校舍安全保障/尹村校区良村小学新建学生食堂（平房）绩效目标表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97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2A34C">
            <w:pPr>
              <w:pStyle w:val="14"/>
            </w:pPr>
            <w:r>
              <w:t>单位：万元</w:t>
            </w:r>
          </w:p>
        </w:tc>
      </w:tr>
      <w:tr w14:paraId="401F2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B966D">
            <w:pPr>
              <w:pStyle w:val="11"/>
            </w:pPr>
            <w:r>
              <w:t>项目编码</w:t>
            </w:r>
          </w:p>
        </w:tc>
        <w:tc>
          <w:tcPr>
            <w:tcW w:w="5103" w:type="dxa"/>
            <w:gridSpan w:val="2"/>
            <w:vAlign w:val="center"/>
          </w:tcPr>
          <w:p w14:paraId="146DA9EF">
            <w:pPr>
              <w:pStyle w:val="13"/>
            </w:pPr>
            <w:r>
              <w:t>13052524P00000611247B</w:t>
            </w:r>
          </w:p>
        </w:tc>
        <w:tc>
          <w:tcPr>
            <w:tcW w:w="2835" w:type="dxa"/>
            <w:vAlign w:val="center"/>
          </w:tcPr>
          <w:p w14:paraId="32259121">
            <w:pPr>
              <w:pStyle w:val="11"/>
            </w:pPr>
            <w:r>
              <w:t>项目名称</w:t>
            </w:r>
          </w:p>
        </w:tc>
        <w:tc>
          <w:tcPr>
            <w:tcW w:w="6095" w:type="dxa"/>
            <w:gridSpan w:val="3"/>
            <w:vAlign w:val="center"/>
          </w:tcPr>
          <w:p w14:paraId="738E8D6D">
            <w:pPr>
              <w:pStyle w:val="13"/>
            </w:pPr>
            <w:r>
              <w:t>冀财教[2023]154号/中央/义教经费/校舍安全保障/尹村校区良村小学新建学生食堂（平房）</w:t>
            </w:r>
          </w:p>
        </w:tc>
      </w:tr>
      <w:tr w14:paraId="15DE8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4B4E1">
            <w:pPr>
              <w:pStyle w:val="11"/>
            </w:pPr>
            <w:r>
              <w:t>预算规模及资金用途</w:t>
            </w:r>
          </w:p>
        </w:tc>
        <w:tc>
          <w:tcPr>
            <w:tcW w:w="2268" w:type="dxa"/>
            <w:vAlign w:val="center"/>
          </w:tcPr>
          <w:p w14:paraId="1458AB59">
            <w:pPr>
              <w:pStyle w:val="11"/>
            </w:pPr>
            <w:r>
              <w:t>预算数</w:t>
            </w:r>
          </w:p>
        </w:tc>
        <w:tc>
          <w:tcPr>
            <w:tcW w:w="2835" w:type="dxa"/>
            <w:vAlign w:val="center"/>
          </w:tcPr>
          <w:p w14:paraId="396729AE">
            <w:pPr>
              <w:pStyle w:val="13"/>
            </w:pPr>
            <w:r>
              <w:t>27.37</w:t>
            </w:r>
          </w:p>
        </w:tc>
        <w:tc>
          <w:tcPr>
            <w:tcW w:w="2835" w:type="dxa"/>
            <w:vAlign w:val="center"/>
          </w:tcPr>
          <w:p w14:paraId="599EF9B2">
            <w:pPr>
              <w:pStyle w:val="11"/>
            </w:pPr>
            <w:r>
              <w:t>其中：财政    资金</w:t>
            </w:r>
          </w:p>
        </w:tc>
        <w:tc>
          <w:tcPr>
            <w:tcW w:w="2551" w:type="dxa"/>
            <w:vAlign w:val="center"/>
          </w:tcPr>
          <w:p w14:paraId="5B944CC2">
            <w:pPr>
              <w:pStyle w:val="13"/>
            </w:pPr>
            <w:r>
              <w:t>27.37</w:t>
            </w:r>
          </w:p>
        </w:tc>
        <w:tc>
          <w:tcPr>
            <w:tcW w:w="2268" w:type="dxa"/>
            <w:vAlign w:val="center"/>
          </w:tcPr>
          <w:p w14:paraId="76927A0A">
            <w:pPr>
              <w:pStyle w:val="11"/>
            </w:pPr>
            <w:r>
              <w:t>其他资金</w:t>
            </w:r>
          </w:p>
        </w:tc>
        <w:tc>
          <w:tcPr>
            <w:tcW w:w="1276" w:type="dxa"/>
            <w:vAlign w:val="center"/>
          </w:tcPr>
          <w:p w14:paraId="38782B69">
            <w:pPr>
              <w:pStyle w:val="13"/>
            </w:pPr>
            <w:r>
              <w:t xml:space="preserve"> </w:t>
            </w:r>
          </w:p>
        </w:tc>
      </w:tr>
      <w:tr w14:paraId="6EA0B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49CE21"/>
        </w:tc>
        <w:tc>
          <w:tcPr>
            <w:tcW w:w="14033" w:type="dxa"/>
            <w:gridSpan w:val="6"/>
            <w:vAlign w:val="center"/>
          </w:tcPr>
          <w:p w14:paraId="003446B7">
            <w:pPr>
              <w:pStyle w:val="13"/>
            </w:pPr>
            <w:r>
              <w:t>"新建地上一层餐厅，满足小学正常食宿需要。</w:t>
            </w:r>
            <w:r>
              <w:tab/>
            </w:r>
            <w:r>
              <w:tab/>
            </w:r>
            <w:r>
              <w:tab/>
            </w:r>
            <w:r>
              <w:tab/>
            </w:r>
            <w:r>
              <w:tab/>
            </w:r>
            <w:r>
              <w:tab/>
            </w:r>
          </w:p>
          <w:p w14:paraId="35408C96">
            <w:pPr>
              <w:pStyle w:val="13"/>
            </w:pPr>
            <w:r>
              <w:tab/>
            </w:r>
            <w:r>
              <w:tab/>
            </w:r>
            <w:r>
              <w:tab/>
            </w:r>
            <w:r>
              <w:tab/>
            </w:r>
            <w:r>
              <w:tab/>
            </w:r>
            <w:r>
              <w:tab/>
            </w:r>
          </w:p>
          <w:p w14:paraId="302F2C0D">
            <w:pPr>
              <w:pStyle w:val="13"/>
            </w:pPr>
          </w:p>
        </w:tc>
      </w:tr>
      <w:tr w14:paraId="3BD65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4D3F8">
            <w:pPr>
              <w:pStyle w:val="11"/>
            </w:pPr>
            <w:r>
              <w:t>资金支出计划（%）</w:t>
            </w:r>
          </w:p>
        </w:tc>
        <w:tc>
          <w:tcPr>
            <w:tcW w:w="5103" w:type="dxa"/>
            <w:gridSpan w:val="2"/>
            <w:vAlign w:val="center"/>
          </w:tcPr>
          <w:p w14:paraId="13E33A8F">
            <w:pPr>
              <w:pStyle w:val="11"/>
            </w:pPr>
            <w:r>
              <w:t>3月底</w:t>
            </w:r>
          </w:p>
        </w:tc>
        <w:tc>
          <w:tcPr>
            <w:tcW w:w="2835" w:type="dxa"/>
            <w:vAlign w:val="center"/>
          </w:tcPr>
          <w:p w14:paraId="47E9C528">
            <w:pPr>
              <w:pStyle w:val="11"/>
            </w:pPr>
            <w:r>
              <w:t>6月底</w:t>
            </w:r>
          </w:p>
        </w:tc>
        <w:tc>
          <w:tcPr>
            <w:tcW w:w="2551" w:type="dxa"/>
            <w:vAlign w:val="center"/>
          </w:tcPr>
          <w:p w14:paraId="29E99FE8">
            <w:pPr>
              <w:pStyle w:val="11"/>
            </w:pPr>
            <w:r>
              <w:t>10月底</w:t>
            </w:r>
          </w:p>
        </w:tc>
        <w:tc>
          <w:tcPr>
            <w:tcW w:w="3544" w:type="dxa"/>
            <w:gridSpan w:val="2"/>
            <w:vAlign w:val="center"/>
          </w:tcPr>
          <w:p w14:paraId="1A3E0021">
            <w:pPr>
              <w:pStyle w:val="11"/>
            </w:pPr>
            <w:r>
              <w:t>12月底</w:t>
            </w:r>
          </w:p>
        </w:tc>
      </w:tr>
      <w:tr w14:paraId="30695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CFC76"/>
        </w:tc>
        <w:tc>
          <w:tcPr>
            <w:tcW w:w="5103" w:type="dxa"/>
            <w:gridSpan w:val="2"/>
            <w:vAlign w:val="center"/>
          </w:tcPr>
          <w:p w14:paraId="2DD60966">
            <w:pPr>
              <w:pStyle w:val="12"/>
            </w:pPr>
            <w:r>
              <w:t>25%</w:t>
            </w:r>
          </w:p>
        </w:tc>
        <w:tc>
          <w:tcPr>
            <w:tcW w:w="2835" w:type="dxa"/>
            <w:vAlign w:val="center"/>
          </w:tcPr>
          <w:p w14:paraId="7C8B32D8">
            <w:pPr>
              <w:pStyle w:val="12"/>
            </w:pPr>
            <w:r>
              <w:t>50%</w:t>
            </w:r>
          </w:p>
        </w:tc>
        <w:tc>
          <w:tcPr>
            <w:tcW w:w="2551" w:type="dxa"/>
            <w:vAlign w:val="center"/>
          </w:tcPr>
          <w:p w14:paraId="426F677F">
            <w:pPr>
              <w:pStyle w:val="12"/>
            </w:pPr>
            <w:r>
              <w:t>75%</w:t>
            </w:r>
          </w:p>
        </w:tc>
        <w:tc>
          <w:tcPr>
            <w:tcW w:w="3544" w:type="dxa"/>
            <w:gridSpan w:val="2"/>
            <w:vAlign w:val="center"/>
          </w:tcPr>
          <w:p w14:paraId="474929E8">
            <w:pPr>
              <w:pStyle w:val="12"/>
            </w:pPr>
            <w:r>
              <w:t>100%</w:t>
            </w:r>
          </w:p>
        </w:tc>
      </w:tr>
      <w:tr w14:paraId="64EA4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54C79C">
            <w:pPr>
              <w:pStyle w:val="11"/>
            </w:pPr>
            <w:r>
              <w:t>绩效目标</w:t>
            </w:r>
          </w:p>
        </w:tc>
        <w:tc>
          <w:tcPr>
            <w:tcW w:w="14033" w:type="dxa"/>
            <w:gridSpan w:val="6"/>
            <w:vAlign w:val="center"/>
          </w:tcPr>
          <w:p w14:paraId="597FFE33">
            <w:pPr>
              <w:pStyle w:val="13"/>
            </w:pPr>
            <w:r>
              <w:t>1.新建地上一层餐厅，满足小学正常食宿需要。</w:t>
            </w:r>
            <w:r>
              <w:tab/>
            </w:r>
            <w:r>
              <w:tab/>
            </w:r>
            <w:r>
              <w:tab/>
            </w:r>
            <w:r>
              <w:tab/>
            </w:r>
            <w:r>
              <w:tab/>
            </w:r>
            <w:r>
              <w:tab/>
            </w:r>
          </w:p>
          <w:p w14:paraId="29923663">
            <w:pPr>
              <w:pStyle w:val="13"/>
            </w:pPr>
            <w:r>
              <w:t>2.按规定拨付专项资金273676元，资金拨付率达到100%。</w:t>
            </w:r>
            <w:r>
              <w:tab/>
            </w:r>
            <w:r>
              <w:tab/>
            </w:r>
            <w:r>
              <w:tab/>
            </w:r>
            <w:r>
              <w:tab/>
            </w:r>
            <w:r>
              <w:tab/>
            </w:r>
            <w:r>
              <w:tab/>
            </w:r>
          </w:p>
        </w:tc>
      </w:tr>
    </w:tbl>
    <w:p w14:paraId="5C2223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68"/>
        <w:gridCol w:w="1976"/>
      </w:tblGrid>
      <w:tr w14:paraId="1B156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C44BB">
            <w:pPr>
              <w:pStyle w:val="11"/>
            </w:pPr>
            <w:r>
              <w:t>一级指标</w:t>
            </w:r>
          </w:p>
        </w:tc>
        <w:tc>
          <w:tcPr>
            <w:tcW w:w="2268" w:type="dxa"/>
            <w:vAlign w:val="center"/>
          </w:tcPr>
          <w:p w14:paraId="196AA97E">
            <w:pPr>
              <w:pStyle w:val="11"/>
            </w:pPr>
            <w:r>
              <w:t>二级指标</w:t>
            </w:r>
          </w:p>
        </w:tc>
        <w:tc>
          <w:tcPr>
            <w:tcW w:w="2835" w:type="dxa"/>
            <w:vAlign w:val="center"/>
          </w:tcPr>
          <w:p w14:paraId="4B1F0A53">
            <w:pPr>
              <w:pStyle w:val="11"/>
            </w:pPr>
            <w:r>
              <w:t>三级指标</w:t>
            </w:r>
          </w:p>
        </w:tc>
        <w:tc>
          <w:tcPr>
            <w:tcW w:w="5386" w:type="dxa"/>
            <w:vAlign w:val="center"/>
          </w:tcPr>
          <w:p w14:paraId="0AB6C190">
            <w:pPr>
              <w:pStyle w:val="11"/>
            </w:pPr>
            <w:r>
              <w:t>绩效指标描述</w:t>
            </w:r>
          </w:p>
        </w:tc>
        <w:tc>
          <w:tcPr>
            <w:tcW w:w="1568" w:type="dxa"/>
            <w:vAlign w:val="center"/>
          </w:tcPr>
          <w:p w14:paraId="41BE965E">
            <w:pPr>
              <w:pStyle w:val="11"/>
            </w:pPr>
            <w:r>
              <w:t>指标值</w:t>
            </w:r>
          </w:p>
        </w:tc>
        <w:tc>
          <w:tcPr>
            <w:tcW w:w="1976" w:type="dxa"/>
            <w:vAlign w:val="center"/>
          </w:tcPr>
          <w:p w14:paraId="0A3439F3">
            <w:pPr>
              <w:pStyle w:val="11"/>
            </w:pPr>
            <w:r>
              <w:t>指标值确定依据</w:t>
            </w:r>
          </w:p>
        </w:tc>
      </w:tr>
      <w:tr w14:paraId="08E73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5B31A">
            <w:pPr>
              <w:pStyle w:val="12"/>
            </w:pPr>
            <w:r>
              <w:t>产出指标</w:t>
            </w:r>
          </w:p>
        </w:tc>
        <w:tc>
          <w:tcPr>
            <w:tcW w:w="2268" w:type="dxa"/>
            <w:vAlign w:val="center"/>
          </w:tcPr>
          <w:p w14:paraId="3E79054D">
            <w:pPr>
              <w:pStyle w:val="13"/>
            </w:pPr>
            <w:r>
              <w:t>数量指标</w:t>
            </w:r>
          </w:p>
        </w:tc>
        <w:tc>
          <w:tcPr>
            <w:tcW w:w="2835" w:type="dxa"/>
            <w:vAlign w:val="center"/>
          </w:tcPr>
          <w:p w14:paraId="1A7372A9">
            <w:pPr>
              <w:pStyle w:val="13"/>
            </w:pPr>
            <w:r>
              <w:t>新建建筑面积</w:t>
            </w:r>
          </w:p>
        </w:tc>
        <w:tc>
          <w:tcPr>
            <w:tcW w:w="5386" w:type="dxa"/>
            <w:vAlign w:val="center"/>
          </w:tcPr>
          <w:p w14:paraId="1FA42652">
            <w:pPr>
              <w:pStyle w:val="13"/>
            </w:pPr>
            <w:r>
              <w:t>新建建筑面积</w:t>
            </w:r>
          </w:p>
        </w:tc>
        <w:tc>
          <w:tcPr>
            <w:tcW w:w="1568" w:type="dxa"/>
            <w:vAlign w:val="center"/>
          </w:tcPr>
          <w:p w14:paraId="3007158D">
            <w:pPr>
              <w:pStyle w:val="13"/>
            </w:pPr>
            <w:r>
              <w:t>580平米</w:t>
            </w:r>
          </w:p>
        </w:tc>
        <w:tc>
          <w:tcPr>
            <w:tcW w:w="1976" w:type="dxa"/>
            <w:vAlign w:val="center"/>
          </w:tcPr>
          <w:p w14:paraId="6E99351A">
            <w:pPr>
              <w:pStyle w:val="13"/>
            </w:pPr>
            <w:r>
              <w:t>城乡义务教育公用经费管理办法</w:t>
            </w:r>
          </w:p>
        </w:tc>
      </w:tr>
      <w:tr w14:paraId="024D3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F8733"/>
        </w:tc>
        <w:tc>
          <w:tcPr>
            <w:tcW w:w="2268" w:type="dxa"/>
            <w:vAlign w:val="center"/>
          </w:tcPr>
          <w:p w14:paraId="1585535A">
            <w:pPr>
              <w:pStyle w:val="13"/>
            </w:pPr>
            <w:r>
              <w:t>质量指标</w:t>
            </w:r>
          </w:p>
        </w:tc>
        <w:tc>
          <w:tcPr>
            <w:tcW w:w="2835" w:type="dxa"/>
            <w:vAlign w:val="center"/>
          </w:tcPr>
          <w:p w14:paraId="33AE56A4">
            <w:pPr>
              <w:pStyle w:val="13"/>
            </w:pPr>
            <w:r>
              <w:t>项目竣工验收合格率</w:t>
            </w:r>
          </w:p>
        </w:tc>
        <w:tc>
          <w:tcPr>
            <w:tcW w:w="5386" w:type="dxa"/>
            <w:vAlign w:val="center"/>
          </w:tcPr>
          <w:p w14:paraId="73B72582">
            <w:pPr>
              <w:pStyle w:val="13"/>
            </w:pPr>
            <w:r>
              <w:t>项目改造质量达标率</w:t>
            </w:r>
          </w:p>
        </w:tc>
        <w:tc>
          <w:tcPr>
            <w:tcW w:w="1568" w:type="dxa"/>
            <w:vAlign w:val="center"/>
          </w:tcPr>
          <w:p w14:paraId="2EACE7E2">
            <w:pPr>
              <w:pStyle w:val="13"/>
            </w:pPr>
            <w:r>
              <w:t>≥100%</w:t>
            </w:r>
          </w:p>
        </w:tc>
        <w:tc>
          <w:tcPr>
            <w:tcW w:w="1976" w:type="dxa"/>
            <w:vAlign w:val="center"/>
          </w:tcPr>
          <w:p w14:paraId="3374C624">
            <w:pPr>
              <w:pStyle w:val="13"/>
            </w:pPr>
            <w:r>
              <w:t>城乡义务教育公用经费管理办法</w:t>
            </w:r>
          </w:p>
        </w:tc>
      </w:tr>
      <w:tr w14:paraId="08D5C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C89A5"/>
        </w:tc>
        <w:tc>
          <w:tcPr>
            <w:tcW w:w="2268" w:type="dxa"/>
            <w:vAlign w:val="center"/>
          </w:tcPr>
          <w:p w14:paraId="2612BB89">
            <w:pPr>
              <w:pStyle w:val="13"/>
            </w:pPr>
            <w:r>
              <w:t>时效指标</w:t>
            </w:r>
          </w:p>
        </w:tc>
        <w:tc>
          <w:tcPr>
            <w:tcW w:w="2835" w:type="dxa"/>
            <w:vAlign w:val="center"/>
          </w:tcPr>
          <w:p w14:paraId="3AD0B2CC">
            <w:pPr>
              <w:pStyle w:val="13"/>
            </w:pPr>
            <w:r>
              <w:t>项目实际成本</w:t>
            </w:r>
          </w:p>
        </w:tc>
        <w:tc>
          <w:tcPr>
            <w:tcW w:w="5386" w:type="dxa"/>
            <w:vAlign w:val="center"/>
          </w:tcPr>
          <w:p w14:paraId="791829A0">
            <w:pPr>
              <w:pStyle w:val="13"/>
            </w:pPr>
            <w:r>
              <w:t>新建地上一层餐厅</w:t>
            </w:r>
          </w:p>
        </w:tc>
        <w:tc>
          <w:tcPr>
            <w:tcW w:w="1568" w:type="dxa"/>
            <w:vAlign w:val="center"/>
          </w:tcPr>
          <w:p w14:paraId="439C1919">
            <w:pPr>
              <w:pStyle w:val="13"/>
            </w:pPr>
            <w:r>
              <w:t>273676元</w:t>
            </w:r>
          </w:p>
        </w:tc>
        <w:tc>
          <w:tcPr>
            <w:tcW w:w="1976" w:type="dxa"/>
            <w:vAlign w:val="center"/>
          </w:tcPr>
          <w:p w14:paraId="1527D0C1">
            <w:pPr>
              <w:pStyle w:val="13"/>
            </w:pPr>
            <w:r>
              <w:t>城乡义务教育公用经费管理办法</w:t>
            </w:r>
          </w:p>
        </w:tc>
      </w:tr>
      <w:tr w14:paraId="77029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10679"/>
        </w:tc>
        <w:tc>
          <w:tcPr>
            <w:tcW w:w="2268" w:type="dxa"/>
            <w:vAlign w:val="center"/>
          </w:tcPr>
          <w:p w14:paraId="2BE66CDC">
            <w:pPr>
              <w:pStyle w:val="13"/>
            </w:pPr>
            <w:r>
              <w:t>成本指标</w:t>
            </w:r>
          </w:p>
        </w:tc>
        <w:tc>
          <w:tcPr>
            <w:tcW w:w="2835" w:type="dxa"/>
            <w:vAlign w:val="center"/>
          </w:tcPr>
          <w:p w14:paraId="51EA8E8B">
            <w:pPr>
              <w:pStyle w:val="13"/>
            </w:pPr>
            <w:r>
              <w:t>按期完成率</w:t>
            </w:r>
          </w:p>
        </w:tc>
        <w:tc>
          <w:tcPr>
            <w:tcW w:w="5386" w:type="dxa"/>
            <w:vAlign w:val="center"/>
          </w:tcPr>
          <w:p w14:paraId="560D6E74">
            <w:pPr>
              <w:pStyle w:val="13"/>
            </w:pPr>
            <w:r>
              <w:t>按期完成率</w:t>
            </w:r>
          </w:p>
        </w:tc>
        <w:tc>
          <w:tcPr>
            <w:tcW w:w="1568" w:type="dxa"/>
            <w:vAlign w:val="center"/>
          </w:tcPr>
          <w:p w14:paraId="0EAB2A69">
            <w:pPr>
              <w:pStyle w:val="13"/>
            </w:pPr>
            <w:r>
              <w:t>≥100%</w:t>
            </w:r>
          </w:p>
        </w:tc>
        <w:tc>
          <w:tcPr>
            <w:tcW w:w="1976" w:type="dxa"/>
            <w:vAlign w:val="center"/>
          </w:tcPr>
          <w:p w14:paraId="2A474663">
            <w:pPr>
              <w:pStyle w:val="13"/>
            </w:pPr>
            <w:r>
              <w:t>城乡义务教育公用经费管理办法</w:t>
            </w:r>
          </w:p>
        </w:tc>
      </w:tr>
      <w:tr w14:paraId="7101C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2C52FE">
            <w:pPr>
              <w:pStyle w:val="12"/>
            </w:pPr>
            <w:r>
              <w:t>效益指标</w:t>
            </w:r>
          </w:p>
        </w:tc>
        <w:tc>
          <w:tcPr>
            <w:tcW w:w="2268" w:type="dxa"/>
            <w:vAlign w:val="center"/>
          </w:tcPr>
          <w:p w14:paraId="6E8DBC81">
            <w:pPr>
              <w:pStyle w:val="13"/>
            </w:pPr>
            <w:r>
              <w:t>社会效益指标</w:t>
            </w:r>
          </w:p>
        </w:tc>
        <w:tc>
          <w:tcPr>
            <w:tcW w:w="2835" w:type="dxa"/>
            <w:vAlign w:val="center"/>
          </w:tcPr>
          <w:p w14:paraId="1AC6FD19">
            <w:pPr>
              <w:pStyle w:val="13"/>
            </w:pPr>
            <w:r>
              <w:t>小学标准</w:t>
            </w:r>
          </w:p>
        </w:tc>
        <w:tc>
          <w:tcPr>
            <w:tcW w:w="5386" w:type="dxa"/>
            <w:vAlign w:val="center"/>
          </w:tcPr>
          <w:p w14:paraId="7D07C5A8">
            <w:pPr>
              <w:pStyle w:val="13"/>
            </w:pPr>
            <w:r>
              <w:t>小学办学条件和环境得到改善</w:t>
            </w:r>
          </w:p>
        </w:tc>
        <w:tc>
          <w:tcPr>
            <w:tcW w:w="1568" w:type="dxa"/>
            <w:vAlign w:val="center"/>
          </w:tcPr>
          <w:p w14:paraId="78F7984B">
            <w:pPr>
              <w:pStyle w:val="13"/>
            </w:pPr>
            <w:r>
              <w:t>≥96%</w:t>
            </w:r>
          </w:p>
        </w:tc>
        <w:tc>
          <w:tcPr>
            <w:tcW w:w="1976" w:type="dxa"/>
            <w:vAlign w:val="center"/>
          </w:tcPr>
          <w:p w14:paraId="5F922E52">
            <w:pPr>
              <w:pStyle w:val="13"/>
            </w:pPr>
            <w:r>
              <w:t>城乡义务教育公用经费管理办法</w:t>
            </w:r>
          </w:p>
        </w:tc>
      </w:tr>
      <w:tr w14:paraId="77951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BA052">
            <w:pPr>
              <w:pStyle w:val="12"/>
            </w:pPr>
            <w:r>
              <w:t>满意度指标</w:t>
            </w:r>
          </w:p>
        </w:tc>
        <w:tc>
          <w:tcPr>
            <w:tcW w:w="2268" w:type="dxa"/>
            <w:vAlign w:val="center"/>
          </w:tcPr>
          <w:p w14:paraId="3071011D">
            <w:pPr>
              <w:pStyle w:val="13"/>
            </w:pPr>
            <w:r>
              <w:t>服务对象满意度指标</w:t>
            </w:r>
          </w:p>
        </w:tc>
        <w:tc>
          <w:tcPr>
            <w:tcW w:w="2835" w:type="dxa"/>
            <w:vAlign w:val="center"/>
          </w:tcPr>
          <w:p w14:paraId="704AC3C1">
            <w:pPr>
              <w:pStyle w:val="13"/>
            </w:pPr>
            <w:r>
              <w:t>受益学生家长及调查满意度</w:t>
            </w:r>
          </w:p>
        </w:tc>
        <w:tc>
          <w:tcPr>
            <w:tcW w:w="5386" w:type="dxa"/>
            <w:vAlign w:val="center"/>
          </w:tcPr>
          <w:p w14:paraId="6162DF3D">
            <w:pPr>
              <w:pStyle w:val="13"/>
            </w:pPr>
            <w:r>
              <w:t>学生、教师及家长对学校保教保育工作满意度情况</w:t>
            </w:r>
          </w:p>
        </w:tc>
        <w:tc>
          <w:tcPr>
            <w:tcW w:w="1568" w:type="dxa"/>
            <w:vAlign w:val="center"/>
          </w:tcPr>
          <w:p w14:paraId="396D95E9">
            <w:pPr>
              <w:pStyle w:val="13"/>
            </w:pPr>
            <w:r>
              <w:t>≥95%</w:t>
            </w:r>
          </w:p>
        </w:tc>
        <w:tc>
          <w:tcPr>
            <w:tcW w:w="1976" w:type="dxa"/>
            <w:vAlign w:val="center"/>
          </w:tcPr>
          <w:p w14:paraId="79DC92EB">
            <w:pPr>
              <w:pStyle w:val="13"/>
            </w:pPr>
            <w:r>
              <w:t>城乡义务教育公用经费管理办法</w:t>
            </w:r>
          </w:p>
        </w:tc>
      </w:tr>
    </w:tbl>
    <w:p w14:paraId="19A7D59B">
      <w:pPr>
        <w:sectPr>
          <w:pgSz w:w="16840" w:h="11900" w:orient="landscape"/>
          <w:pgMar w:top="1361" w:right="1020" w:bottom="1134" w:left="1020" w:header="720" w:footer="720" w:gutter="0"/>
          <w:cols w:space="720" w:num="1"/>
        </w:sectPr>
      </w:pPr>
    </w:p>
    <w:p w14:paraId="5375E606">
      <w:pPr>
        <w:spacing w:before="0" w:after="0"/>
        <w:ind w:firstLine="560"/>
        <w:jc w:val="left"/>
        <w:outlineLvl w:val="9"/>
      </w:pPr>
      <w:r>
        <w:rPr>
          <w:rFonts w:ascii="方正仿宋_GBK" w:hAnsi="方正仿宋_GBK" w:eastAsia="方正仿宋_GBK" w:cs="方正仿宋_GBK"/>
          <w:b/>
          <w:color w:val="000000"/>
          <w:sz w:val="28"/>
        </w:rPr>
        <w:t>2、冀财教[2023]154号/中央/义教经费/校舍安全保障/尹村校区杨村小学维修改造绩效目标表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5F5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DFADD">
            <w:pPr>
              <w:pStyle w:val="14"/>
            </w:pPr>
            <w:r>
              <w:t>单位：万元</w:t>
            </w:r>
          </w:p>
        </w:tc>
      </w:tr>
      <w:tr w14:paraId="3FE09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9E6A1">
            <w:pPr>
              <w:pStyle w:val="11"/>
            </w:pPr>
            <w:r>
              <w:t>项目编码</w:t>
            </w:r>
          </w:p>
        </w:tc>
        <w:tc>
          <w:tcPr>
            <w:tcW w:w="5103" w:type="dxa"/>
            <w:gridSpan w:val="2"/>
            <w:vAlign w:val="center"/>
          </w:tcPr>
          <w:p w14:paraId="735EAFA9">
            <w:pPr>
              <w:pStyle w:val="13"/>
            </w:pPr>
            <w:r>
              <w:t>13052524P00000611246P</w:t>
            </w:r>
          </w:p>
        </w:tc>
        <w:tc>
          <w:tcPr>
            <w:tcW w:w="2835" w:type="dxa"/>
            <w:vAlign w:val="center"/>
          </w:tcPr>
          <w:p w14:paraId="1D355E34">
            <w:pPr>
              <w:pStyle w:val="11"/>
            </w:pPr>
            <w:r>
              <w:t>项目名称</w:t>
            </w:r>
          </w:p>
        </w:tc>
        <w:tc>
          <w:tcPr>
            <w:tcW w:w="6095" w:type="dxa"/>
            <w:gridSpan w:val="3"/>
            <w:vAlign w:val="center"/>
          </w:tcPr>
          <w:p w14:paraId="2E685B3B">
            <w:pPr>
              <w:pStyle w:val="13"/>
            </w:pPr>
            <w:r>
              <w:t>冀财教[2023]154号/中央/义教经费/校舍安全保障/尹村校区杨村小学维修改造</w:t>
            </w:r>
          </w:p>
        </w:tc>
      </w:tr>
      <w:tr w14:paraId="2C83D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BB2D7">
            <w:pPr>
              <w:pStyle w:val="11"/>
            </w:pPr>
            <w:r>
              <w:t>预算规模及资金用途</w:t>
            </w:r>
          </w:p>
        </w:tc>
        <w:tc>
          <w:tcPr>
            <w:tcW w:w="2268" w:type="dxa"/>
            <w:vAlign w:val="center"/>
          </w:tcPr>
          <w:p w14:paraId="0124E346">
            <w:pPr>
              <w:pStyle w:val="11"/>
            </w:pPr>
            <w:r>
              <w:t>预算数</w:t>
            </w:r>
          </w:p>
        </w:tc>
        <w:tc>
          <w:tcPr>
            <w:tcW w:w="2835" w:type="dxa"/>
            <w:vAlign w:val="center"/>
          </w:tcPr>
          <w:p w14:paraId="2E5F99AA">
            <w:pPr>
              <w:pStyle w:val="13"/>
            </w:pPr>
            <w:r>
              <w:t>10.88</w:t>
            </w:r>
          </w:p>
        </w:tc>
        <w:tc>
          <w:tcPr>
            <w:tcW w:w="2835" w:type="dxa"/>
            <w:vAlign w:val="center"/>
          </w:tcPr>
          <w:p w14:paraId="58EB8EFC">
            <w:pPr>
              <w:pStyle w:val="11"/>
            </w:pPr>
            <w:r>
              <w:t>其中：财政    资金</w:t>
            </w:r>
          </w:p>
        </w:tc>
        <w:tc>
          <w:tcPr>
            <w:tcW w:w="2551" w:type="dxa"/>
            <w:vAlign w:val="center"/>
          </w:tcPr>
          <w:p w14:paraId="01ADECEF">
            <w:pPr>
              <w:pStyle w:val="13"/>
            </w:pPr>
            <w:r>
              <w:t>10.88</w:t>
            </w:r>
          </w:p>
        </w:tc>
        <w:tc>
          <w:tcPr>
            <w:tcW w:w="2268" w:type="dxa"/>
            <w:vAlign w:val="center"/>
          </w:tcPr>
          <w:p w14:paraId="2C4F9BEA">
            <w:pPr>
              <w:pStyle w:val="11"/>
            </w:pPr>
            <w:r>
              <w:t>其他资金</w:t>
            </w:r>
          </w:p>
        </w:tc>
        <w:tc>
          <w:tcPr>
            <w:tcW w:w="1276" w:type="dxa"/>
            <w:vAlign w:val="center"/>
          </w:tcPr>
          <w:p w14:paraId="35522142">
            <w:pPr>
              <w:pStyle w:val="13"/>
            </w:pPr>
            <w:r>
              <w:t xml:space="preserve"> </w:t>
            </w:r>
          </w:p>
        </w:tc>
      </w:tr>
      <w:tr w14:paraId="787B8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43B84D"/>
        </w:tc>
        <w:tc>
          <w:tcPr>
            <w:tcW w:w="14033" w:type="dxa"/>
            <w:gridSpan w:val="6"/>
            <w:vAlign w:val="center"/>
          </w:tcPr>
          <w:p w14:paraId="64645AB5">
            <w:pPr>
              <w:pStyle w:val="13"/>
            </w:pPr>
            <w:r>
              <w:t>完成杨村小学维护栏杆、门口改建等维修，满足学校正常教学需要。</w:t>
            </w:r>
            <w:r>
              <w:tab/>
            </w:r>
          </w:p>
        </w:tc>
      </w:tr>
      <w:tr w14:paraId="1435B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A8CC5">
            <w:pPr>
              <w:pStyle w:val="11"/>
            </w:pPr>
            <w:r>
              <w:t>资金支出计划（%）</w:t>
            </w:r>
          </w:p>
        </w:tc>
        <w:tc>
          <w:tcPr>
            <w:tcW w:w="5103" w:type="dxa"/>
            <w:gridSpan w:val="2"/>
            <w:vAlign w:val="center"/>
          </w:tcPr>
          <w:p w14:paraId="7206D2CC">
            <w:pPr>
              <w:pStyle w:val="11"/>
            </w:pPr>
            <w:r>
              <w:t>3月底</w:t>
            </w:r>
          </w:p>
        </w:tc>
        <w:tc>
          <w:tcPr>
            <w:tcW w:w="2835" w:type="dxa"/>
            <w:vAlign w:val="center"/>
          </w:tcPr>
          <w:p w14:paraId="5BA16492">
            <w:pPr>
              <w:pStyle w:val="11"/>
            </w:pPr>
            <w:r>
              <w:t>6月底</w:t>
            </w:r>
          </w:p>
        </w:tc>
        <w:tc>
          <w:tcPr>
            <w:tcW w:w="2551" w:type="dxa"/>
            <w:vAlign w:val="center"/>
          </w:tcPr>
          <w:p w14:paraId="3D5CA5EE">
            <w:pPr>
              <w:pStyle w:val="11"/>
            </w:pPr>
            <w:r>
              <w:t>10月底</w:t>
            </w:r>
          </w:p>
        </w:tc>
        <w:tc>
          <w:tcPr>
            <w:tcW w:w="3544" w:type="dxa"/>
            <w:gridSpan w:val="2"/>
            <w:vAlign w:val="center"/>
          </w:tcPr>
          <w:p w14:paraId="69481DC4">
            <w:pPr>
              <w:pStyle w:val="11"/>
            </w:pPr>
            <w:r>
              <w:t>12月底</w:t>
            </w:r>
          </w:p>
        </w:tc>
      </w:tr>
      <w:tr w14:paraId="03A10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2740B1"/>
        </w:tc>
        <w:tc>
          <w:tcPr>
            <w:tcW w:w="5103" w:type="dxa"/>
            <w:gridSpan w:val="2"/>
            <w:vAlign w:val="center"/>
          </w:tcPr>
          <w:p w14:paraId="519E6B82">
            <w:pPr>
              <w:pStyle w:val="12"/>
            </w:pPr>
            <w:r>
              <w:t>25%</w:t>
            </w:r>
          </w:p>
        </w:tc>
        <w:tc>
          <w:tcPr>
            <w:tcW w:w="2835" w:type="dxa"/>
            <w:vAlign w:val="center"/>
          </w:tcPr>
          <w:p w14:paraId="52507F33">
            <w:pPr>
              <w:pStyle w:val="12"/>
            </w:pPr>
            <w:r>
              <w:t>50%</w:t>
            </w:r>
          </w:p>
        </w:tc>
        <w:tc>
          <w:tcPr>
            <w:tcW w:w="2551" w:type="dxa"/>
            <w:vAlign w:val="center"/>
          </w:tcPr>
          <w:p w14:paraId="48EFC38D">
            <w:pPr>
              <w:pStyle w:val="12"/>
            </w:pPr>
            <w:r>
              <w:t>75%</w:t>
            </w:r>
          </w:p>
        </w:tc>
        <w:tc>
          <w:tcPr>
            <w:tcW w:w="3544" w:type="dxa"/>
            <w:gridSpan w:val="2"/>
            <w:vAlign w:val="center"/>
          </w:tcPr>
          <w:p w14:paraId="32699F8D">
            <w:pPr>
              <w:pStyle w:val="12"/>
            </w:pPr>
            <w:r>
              <w:t>100%</w:t>
            </w:r>
          </w:p>
        </w:tc>
      </w:tr>
      <w:tr w14:paraId="36E52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6C91F1">
            <w:pPr>
              <w:pStyle w:val="11"/>
            </w:pPr>
            <w:r>
              <w:t>绩效目标</w:t>
            </w:r>
          </w:p>
        </w:tc>
        <w:tc>
          <w:tcPr>
            <w:tcW w:w="14033" w:type="dxa"/>
            <w:gridSpan w:val="6"/>
            <w:vAlign w:val="center"/>
          </w:tcPr>
          <w:p w14:paraId="75A5D918">
            <w:pPr>
              <w:pStyle w:val="13"/>
            </w:pPr>
            <w:r>
              <w:t>1.完成杨村小学维护栏杆、门口改建等维修，满足学校正常教学需要。</w:t>
            </w:r>
            <w:r>
              <w:tab/>
            </w:r>
            <w:r>
              <w:tab/>
            </w:r>
            <w:r>
              <w:tab/>
            </w:r>
            <w:r>
              <w:tab/>
            </w:r>
            <w:r>
              <w:tab/>
            </w:r>
            <w:r>
              <w:tab/>
            </w:r>
          </w:p>
          <w:p w14:paraId="2999C36C">
            <w:pPr>
              <w:pStyle w:val="13"/>
            </w:pPr>
          </w:p>
          <w:p w14:paraId="0BF2F229">
            <w:pPr>
              <w:pStyle w:val="13"/>
            </w:pPr>
            <w:r>
              <w:t>2.按规定拨付专项资金 108822元，资金拨付率达到100%。</w:t>
            </w:r>
            <w:r>
              <w:tab/>
            </w:r>
            <w:r>
              <w:tab/>
            </w:r>
            <w:r>
              <w:tab/>
            </w:r>
            <w:r>
              <w:tab/>
            </w:r>
            <w:r>
              <w:tab/>
            </w:r>
            <w:r>
              <w:tab/>
            </w:r>
          </w:p>
        </w:tc>
      </w:tr>
    </w:tbl>
    <w:p w14:paraId="676C6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53"/>
        <w:gridCol w:w="1991"/>
      </w:tblGrid>
      <w:tr w14:paraId="4D56C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864BA">
            <w:pPr>
              <w:pStyle w:val="11"/>
            </w:pPr>
            <w:r>
              <w:t>一级指标</w:t>
            </w:r>
          </w:p>
        </w:tc>
        <w:tc>
          <w:tcPr>
            <w:tcW w:w="2268" w:type="dxa"/>
            <w:vAlign w:val="center"/>
          </w:tcPr>
          <w:p w14:paraId="7AA84206">
            <w:pPr>
              <w:pStyle w:val="11"/>
            </w:pPr>
            <w:r>
              <w:t>二级指标</w:t>
            </w:r>
          </w:p>
        </w:tc>
        <w:tc>
          <w:tcPr>
            <w:tcW w:w="2835" w:type="dxa"/>
            <w:vAlign w:val="center"/>
          </w:tcPr>
          <w:p w14:paraId="6DA8AFB4">
            <w:pPr>
              <w:pStyle w:val="11"/>
            </w:pPr>
            <w:r>
              <w:t>三级指标</w:t>
            </w:r>
          </w:p>
        </w:tc>
        <w:tc>
          <w:tcPr>
            <w:tcW w:w="5386" w:type="dxa"/>
            <w:vAlign w:val="center"/>
          </w:tcPr>
          <w:p w14:paraId="37F7DBBB">
            <w:pPr>
              <w:pStyle w:val="11"/>
            </w:pPr>
            <w:r>
              <w:t>绩效指标描述</w:t>
            </w:r>
          </w:p>
        </w:tc>
        <w:tc>
          <w:tcPr>
            <w:tcW w:w="1553" w:type="dxa"/>
            <w:vAlign w:val="center"/>
          </w:tcPr>
          <w:p w14:paraId="3BD2E456">
            <w:pPr>
              <w:pStyle w:val="11"/>
            </w:pPr>
            <w:r>
              <w:t>指标值</w:t>
            </w:r>
          </w:p>
        </w:tc>
        <w:tc>
          <w:tcPr>
            <w:tcW w:w="1991" w:type="dxa"/>
            <w:vAlign w:val="center"/>
          </w:tcPr>
          <w:p w14:paraId="68358625">
            <w:pPr>
              <w:pStyle w:val="11"/>
            </w:pPr>
            <w:r>
              <w:t>指标值确定依据</w:t>
            </w:r>
          </w:p>
        </w:tc>
      </w:tr>
      <w:tr w14:paraId="0DEC8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13429">
            <w:pPr>
              <w:pStyle w:val="12"/>
            </w:pPr>
            <w:r>
              <w:t>产出指标</w:t>
            </w:r>
          </w:p>
        </w:tc>
        <w:tc>
          <w:tcPr>
            <w:tcW w:w="2268" w:type="dxa"/>
            <w:vAlign w:val="center"/>
          </w:tcPr>
          <w:p w14:paraId="44064543">
            <w:pPr>
              <w:pStyle w:val="13"/>
            </w:pPr>
            <w:r>
              <w:t>数量指标</w:t>
            </w:r>
          </w:p>
        </w:tc>
        <w:tc>
          <w:tcPr>
            <w:tcW w:w="2835" w:type="dxa"/>
            <w:vAlign w:val="center"/>
          </w:tcPr>
          <w:p w14:paraId="2B656E95">
            <w:pPr>
              <w:pStyle w:val="13"/>
            </w:pPr>
            <w:r>
              <w:t>栏杆维修及门口改建</w:t>
            </w:r>
          </w:p>
        </w:tc>
        <w:tc>
          <w:tcPr>
            <w:tcW w:w="5386" w:type="dxa"/>
            <w:vAlign w:val="center"/>
          </w:tcPr>
          <w:p w14:paraId="29B51DBD">
            <w:pPr>
              <w:pStyle w:val="13"/>
            </w:pPr>
            <w:r>
              <w:t>加固栏杆及更换，门口改建等维修</w:t>
            </w:r>
          </w:p>
        </w:tc>
        <w:tc>
          <w:tcPr>
            <w:tcW w:w="1553" w:type="dxa"/>
            <w:vAlign w:val="center"/>
          </w:tcPr>
          <w:p w14:paraId="50C029E2">
            <w:pPr>
              <w:pStyle w:val="13"/>
            </w:pPr>
            <w:r>
              <w:t>≥210平米</w:t>
            </w:r>
          </w:p>
        </w:tc>
        <w:tc>
          <w:tcPr>
            <w:tcW w:w="1991" w:type="dxa"/>
            <w:vAlign w:val="center"/>
          </w:tcPr>
          <w:p w14:paraId="0502AEBF">
            <w:pPr>
              <w:pStyle w:val="13"/>
            </w:pPr>
            <w:r>
              <w:t>城乡义务教育公用经费管理办法</w:t>
            </w:r>
          </w:p>
        </w:tc>
      </w:tr>
      <w:tr w14:paraId="4C0E7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71DE0"/>
        </w:tc>
        <w:tc>
          <w:tcPr>
            <w:tcW w:w="2268" w:type="dxa"/>
            <w:vAlign w:val="center"/>
          </w:tcPr>
          <w:p w14:paraId="64E353BE">
            <w:pPr>
              <w:pStyle w:val="13"/>
            </w:pPr>
            <w:r>
              <w:t>质量指标</w:t>
            </w:r>
          </w:p>
        </w:tc>
        <w:tc>
          <w:tcPr>
            <w:tcW w:w="2835" w:type="dxa"/>
            <w:vAlign w:val="center"/>
          </w:tcPr>
          <w:p w14:paraId="7F24D2B2">
            <w:pPr>
              <w:pStyle w:val="13"/>
            </w:pPr>
            <w:r>
              <w:t>资金支付率</w:t>
            </w:r>
          </w:p>
        </w:tc>
        <w:tc>
          <w:tcPr>
            <w:tcW w:w="5386" w:type="dxa"/>
            <w:vAlign w:val="center"/>
          </w:tcPr>
          <w:p w14:paraId="24F47C8C">
            <w:pPr>
              <w:pStyle w:val="13"/>
            </w:pPr>
            <w:r>
              <w:t>按照序时进度完成资金支付</w:t>
            </w:r>
          </w:p>
        </w:tc>
        <w:tc>
          <w:tcPr>
            <w:tcW w:w="1553" w:type="dxa"/>
            <w:vAlign w:val="center"/>
          </w:tcPr>
          <w:p w14:paraId="48EE51F8">
            <w:pPr>
              <w:pStyle w:val="13"/>
            </w:pPr>
            <w:r>
              <w:t>100%</w:t>
            </w:r>
          </w:p>
        </w:tc>
        <w:tc>
          <w:tcPr>
            <w:tcW w:w="1991" w:type="dxa"/>
            <w:vAlign w:val="center"/>
          </w:tcPr>
          <w:p w14:paraId="5AA5ED9F">
            <w:pPr>
              <w:pStyle w:val="13"/>
            </w:pPr>
            <w:r>
              <w:t>城乡义务教育公用经费管理办法</w:t>
            </w:r>
          </w:p>
        </w:tc>
      </w:tr>
      <w:tr w14:paraId="5C748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08E9F"/>
        </w:tc>
        <w:tc>
          <w:tcPr>
            <w:tcW w:w="2268" w:type="dxa"/>
            <w:vAlign w:val="center"/>
          </w:tcPr>
          <w:p w14:paraId="1AD4CC41">
            <w:pPr>
              <w:pStyle w:val="13"/>
            </w:pPr>
            <w:r>
              <w:t>时效指标</w:t>
            </w:r>
          </w:p>
        </w:tc>
        <w:tc>
          <w:tcPr>
            <w:tcW w:w="2835" w:type="dxa"/>
            <w:vAlign w:val="center"/>
          </w:tcPr>
          <w:p w14:paraId="1FE48FC9">
            <w:pPr>
              <w:pStyle w:val="13"/>
            </w:pPr>
            <w:r>
              <w:t>项目竣工验收合格率</w:t>
            </w:r>
          </w:p>
        </w:tc>
        <w:tc>
          <w:tcPr>
            <w:tcW w:w="5386" w:type="dxa"/>
            <w:vAlign w:val="center"/>
          </w:tcPr>
          <w:p w14:paraId="09881A28">
            <w:pPr>
              <w:pStyle w:val="13"/>
            </w:pPr>
            <w:r>
              <w:t>项目改造质量达标率</w:t>
            </w:r>
          </w:p>
        </w:tc>
        <w:tc>
          <w:tcPr>
            <w:tcW w:w="1553" w:type="dxa"/>
            <w:vAlign w:val="center"/>
          </w:tcPr>
          <w:p w14:paraId="317A2BE8">
            <w:pPr>
              <w:pStyle w:val="13"/>
            </w:pPr>
            <w:r>
              <w:t>≥100%</w:t>
            </w:r>
          </w:p>
        </w:tc>
        <w:tc>
          <w:tcPr>
            <w:tcW w:w="1991" w:type="dxa"/>
            <w:vAlign w:val="center"/>
          </w:tcPr>
          <w:p w14:paraId="70D0B5CD">
            <w:pPr>
              <w:pStyle w:val="13"/>
            </w:pPr>
            <w:r>
              <w:t>城乡义务教育公用经费管理办法</w:t>
            </w:r>
          </w:p>
        </w:tc>
      </w:tr>
      <w:tr w14:paraId="262CF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8D0B4"/>
        </w:tc>
        <w:tc>
          <w:tcPr>
            <w:tcW w:w="2268" w:type="dxa"/>
            <w:vAlign w:val="center"/>
          </w:tcPr>
          <w:p w14:paraId="69717545">
            <w:pPr>
              <w:pStyle w:val="13"/>
            </w:pPr>
            <w:r>
              <w:t>成本指标</w:t>
            </w:r>
          </w:p>
        </w:tc>
        <w:tc>
          <w:tcPr>
            <w:tcW w:w="2835" w:type="dxa"/>
            <w:vAlign w:val="center"/>
          </w:tcPr>
          <w:p w14:paraId="39EB8EE4">
            <w:pPr>
              <w:pStyle w:val="13"/>
            </w:pPr>
            <w:r>
              <w:t>项目实际成本</w:t>
            </w:r>
          </w:p>
        </w:tc>
        <w:tc>
          <w:tcPr>
            <w:tcW w:w="5386" w:type="dxa"/>
            <w:vAlign w:val="center"/>
          </w:tcPr>
          <w:p w14:paraId="46C25C47">
            <w:pPr>
              <w:pStyle w:val="13"/>
            </w:pPr>
            <w:r>
              <w:t>维修栏杆7195元，门口改建102805元等</w:t>
            </w:r>
          </w:p>
        </w:tc>
        <w:tc>
          <w:tcPr>
            <w:tcW w:w="1553" w:type="dxa"/>
            <w:vAlign w:val="center"/>
          </w:tcPr>
          <w:p w14:paraId="1CD59EE1">
            <w:pPr>
              <w:pStyle w:val="13"/>
            </w:pPr>
            <w:r>
              <w:t>108822元</w:t>
            </w:r>
          </w:p>
        </w:tc>
        <w:tc>
          <w:tcPr>
            <w:tcW w:w="1991" w:type="dxa"/>
            <w:vAlign w:val="center"/>
          </w:tcPr>
          <w:p w14:paraId="3E8A1A5E">
            <w:pPr>
              <w:pStyle w:val="13"/>
            </w:pPr>
            <w:r>
              <w:t>城乡义务教育公用经费管理办法</w:t>
            </w:r>
          </w:p>
        </w:tc>
      </w:tr>
      <w:tr w14:paraId="0782C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C7BF47">
            <w:pPr>
              <w:pStyle w:val="12"/>
            </w:pPr>
            <w:r>
              <w:t>效益指标</w:t>
            </w:r>
          </w:p>
        </w:tc>
        <w:tc>
          <w:tcPr>
            <w:tcW w:w="2268" w:type="dxa"/>
            <w:vAlign w:val="center"/>
          </w:tcPr>
          <w:p w14:paraId="5D70D205">
            <w:pPr>
              <w:pStyle w:val="13"/>
            </w:pPr>
            <w:r>
              <w:t>社会效益指标</w:t>
            </w:r>
          </w:p>
        </w:tc>
        <w:tc>
          <w:tcPr>
            <w:tcW w:w="2835" w:type="dxa"/>
            <w:vAlign w:val="center"/>
          </w:tcPr>
          <w:p w14:paraId="7D8A6B7A">
            <w:pPr>
              <w:pStyle w:val="13"/>
            </w:pPr>
            <w:r>
              <w:t>教育发展水平</w:t>
            </w:r>
          </w:p>
        </w:tc>
        <w:tc>
          <w:tcPr>
            <w:tcW w:w="5386" w:type="dxa"/>
            <w:vAlign w:val="center"/>
          </w:tcPr>
          <w:p w14:paraId="4F761F78">
            <w:pPr>
              <w:pStyle w:val="13"/>
            </w:pPr>
            <w:r>
              <w:t>辖区内教育环境明显好转</w:t>
            </w:r>
          </w:p>
        </w:tc>
        <w:tc>
          <w:tcPr>
            <w:tcW w:w="1553" w:type="dxa"/>
            <w:vAlign w:val="center"/>
          </w:tcPr>
          <w:p w14:paraId="15738E8E">
            <w:pPr>
              <w:pStyle w:val="13"/>
            </w:pPr>
            <w:r>
              <w:t>≥96%</w:t>
            </w:r>
          </w:p>
        </w:tc>
        <w:tc>
          <w:tcPr>
            <w:tcW w:w="1991" w:type="dxa"/>
            <w:vAlign w:val="center"/>
          </w:tcPr>
          <w:p w14:paraId="72472106">
            <w:pPr>
              <w:pStyle w:val="13"/>
            </w:pPr>
            <w:r>
              <w:t>城乡义务教育公用经费管理办法</w:t>
            </w:r>
          </w:p>
        </w:tc>
      </w:tr>
      <w:tr w14:paraId="33EA2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14021A">
            <w:pPr>
              <w:pStyle w:val="12"/>
            </w:pPr>
            <w:r>
              <w:t>满意度指标</w:t>
            </w:r>
          </w:p>
        </w:tc>
        <w:tc>
          <w:tcPr>
            <w:tcW w:w="2268" w:type="dxa"/>
            <w:vAlign w:val="center"/>
          </w:tcPr>
          <w:p w14:paraId="7F7ED272">
            <w:pPr>
              <w:pStyle w:val="13"/>
            </w:pPr>
            <w:r>
              <w:t>服务对象满意度指标</w:t>
            </w:r>
          </w:p>
        </w:tc>
        <w:tc>
          <w:tcPr>
            <w:tcW w:w="2835" w:type="dxa"/>
            <w:vAlign w:val="center"/>
          </w:tcPr>
          <w:p w14:paraId="3FDEA4DA">
            <w:pPr>
              <w:pStyle w:val="13"/>
            </w:pPr>
            <w:r>
              <w:t>受益学生家长及调查满意度</w:t>
            </w:r>
          </w:p>
        </w:tc>
        <w:tc>
          <w:tcPr>
            <w:tcW w:w="5386" w:type="dxa"/>
            <w:vAlign w:val="center"/>
          </w:tcPr>
          <w:p w14:paraId="3204AF72">
            <w:pPr>
              <w:pStyle w:val="13"/>
            </w:pPr>
            <w:r>
              <w:t>学生、教师及家长对学校保教保育工作满意度情况</w:t>
            </w:r>
          </w:p>
        </w:tc>
        <w:tc>
          <w:tcPr>
            <w:tcW w:w="1553" w:type="dxa"/>
            <w:vAlign w:val="center"/>
          </w:tcPr>
          <w:p w14:paraId="2C4EAEF5">
            <w:pPr>
              <w:pStyle w:val="13"/>
            </w:pPr>
            <w:r>
              <w:t>≥95%</w:t>
            </w:r>
          </w:p>
        </w:tc>
        <w:tc>
          <w:tcPr>
            <w:tcW w:w="1991" w:type="dxa"/>
            <w:vAlign w:val="center"/>
          </w:tcPr>
          <w:p w14:paraId="62015C58">
            <w:pPr>
              <w:pStyle w:val="13"/>
            </w:pPr>
            <w:r>
              <w:t>城乡义务教育公用经费管理办法</w:t>
            </w:r>
          </w:p>
        </w:tc>
      </w:tr>
    </w:tbl>
    <w:p w14:paraId="1E54E409">
      <w:pPr>
        <w:sectPr>
          <w:pgSz w:w="16840" w:h="11900" w:orient="landscape"/>
          <w:pgMar w:top="1361" w:right="1020" w:bottom="1134" w:left="1020" w:header="720" w:footer="720" w:gutter="0"/>
          <w:cols w:space="720" w:num="1"/>
        </w:sectPr>
      </w:pPr>
    </w:p>
    <w:p w14:paraId="4412C1B9">
      <w:pPr>
        <w:spacing w:before="0" w:after="0"/>
        <w:ind w:firstLine="560"/>
        <w:jc w:val="left"/>
        <w:outlineLvl w:val="9"/>
      </w:pPr>
      <w:r>
        <w:rPr>
          <w:rFonts w:ascii="方正仿宋_GBK" w:hAnsi="方正仿宋_GBK" w:eastAsia="方正仿宋_GBK" w:cs="方正仿宋_GBK"/>
          <w:b/>
          <w:color w:val="000000"/>
          <w:sz w:val="28"/>
        </w:rPr>
        <w:t>3、冀财教[2023]165号/中央/学前发展金/隆尧县大霍幼儿园保育楼项目绩效目标表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2C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BF5DA">
            <w:pPr>
              <w:pStyle w:val="14"/>
            </w:pPr>
            <w:r>
              <w:t>单位：万元</w:t>
            </w:r>
          </w:p>
        </w:tc>
      </w:tr>
      <w:tr w14:paraId="1208D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6D30E6">
            <w:pPr>
              <w:pStyle w:val="11"/>
            </w:pPr>
            <w:r>
              <w:t>项目编码</w:t>
            </w:r>
          </w:p>
        </w:tc>
        <w:tc>
          <w:tcPr>
            <w:tcW w:w="5103" w:type="dxa"/>
            <w:gridSpan w:val="2"/>
            <w:vAlign w:val="center"/>
          </w:tcPr>
          <w:p w14:paraId="61CB4AD0">
            <w:pPr>
              <w:pStyle w:val="13"/>
            </w:pPr>
            <w:r>
              <w:t>13052524P00000611234L</w:t>
            </w:r>
          </w:p>
        </w:tc>
        <w:tc>
          <w:tcPr>
            <w:tcW w:w="2835" w:type="dxa"/>
            <w:vAlign w:val="center"/>
          </w:tcPr>
          <w:p w14:paraId="284B1A38">
            <w:pPr>
              <w:pStyle w:val="11"/>
            </w:pPr>
            <w:r>
              <w:t>项目名称</w:t>
            </w:r>
          </w:p>
        </w:tc>
        <w:tc>
          <w:tcPr>
            <w:tcW w:w="6095" w:type="dxa"/>
            <w:gridSpan w:val="3"/>
            <w:vAlign w:val="center"/>
          </w:tcPr>
          <w:p w14:paraId="14C002FC">
            <w:pPr>
              <w:pStyle w:val="13"/>
            </w:pPr>
            <w:r>
              <w:t>冀财教[2023]165号/中央/学前发展金/隆尧县大霍幼儿园保育楼项目</w:t>
            </w:r>
          </w:p>
        </w:tc>
      </w:tr>
      <w:tr w14:paraId="764BD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CD014">
            <w:pPr>
              <w:pStyle w:val="11"/>
            </w:pPr>
            <w:r>
              <w:t>预算规模及资金用途</w:t>
            </w:r>
          </w:p>
        </w:tc>
        <w:tc>
          <w:tcPr>
            <w:tcW w:w="2268" w:type="dxa"/>
            <w:vAlign w:val="center"/>
          </w:tcPr>
          <w:p w14:paraId="6F6B27F7">
            <w:pPr>
              <w:pStyle w:val="11"/>
            </w:pPr>
            <w:r>
              <w:t>预算数</w:t>
            </w:r>
          </w:p>
        </w:tc>
        <w:tc>
          <w:tcPr>
            <w:tcW w:w="2835" w:type="dxa"/>
            <w:vAlign w:val="center"/>
          </w:tcPr>
          <w:p w14:paraId="0D7111DD">
            <w:pPr>
              <w:pStyle w:val="13"/>
            </w:pPr>
            <w:r>
              <w:t>76.50</w:t>
            </w:r>
          </w:p>
        </w:tc>
        <w:tc>
          <w:tcPr>
            <w:tcW w:w="2835" w:type="dxa"/>
            <w:vAlign w:val="center"/>
          </w:tcPr>
          <w:p w14:paraId="2D74F8F0">
            <w:pPr>
              <w:pStyle w:val="11"/>
            </w:pPr>
            <w:r>
              <w:t>其中：财政    资金</w:t>
            </w:r>
          </w:p>
        </w:tc>
        <w:tc>
          <w:tcPr>
            <w:tcW w:w="2551" w:type="dxa"/>
            <w:vAlign w:val="center"/>
          </w:tcPr>
          <w:p w14:paraId="61B1AC61">
            <w:pPr>
              <w:pStyle w:val="13"/>
            </w:pPr>
            <w:r>
              <w:t>76.50</w:t>
            </w:r>
          </w:p>
        </w:tc>
        <w:tc>
          <w:tcPr>
            <w:tcW w:w="2268" w:type="dxa"/>
            <w:vAlign w:val="center"/>
          </w:tcPr>
          <w:p w14:paraId="0F19F4DA">
            <w:pPr>
              <w:pStyle w:val="11"/>
            </w:pPr>
            <w:r>
              <w:t>其他资金</w:t>
            </w:r>
          </w:p>
        </w:tc>
        <w:tc>
          <w:tcPr>
            <w:tcW w:w="1276" w:type="dxa"/>
            <w:vAlign w:val="center"/>
          </w:tcPr>
          <w:p w14:paraId="1B083BE0">
            <w:pPr>
              <w:pStyle w:val="13"/>
            </w:pPr>
            <w:r>
              <w:t xml:space="preserve"> </w:t>
            </w:r>
          </w:p>
        </w:tc>
      </w:tr>
      <w:tr w14:paraId="44A29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C45F49"/>
        </w:tc>
        <w:tc>
          <w:tcPr>
            <w:tcW w:w="14033" w:type="dxa"/>
            <w:gridSpan w:val="6"/>
            <w:vAlign w:val="center"/>
          </w:tcPr>
          <w:p w14:paraId="7083FB81">
            <w:pPr>
              <w:pStyle w:val="13"/>
            </w:pPr>
            <w:r>
              <w:t>新建保育楼，满足幼儿正常学习需要。</w:t>
            </w:r>
          </w:p>
        </w:tc>
      </w:tr>
      <w:tr w14:paraId="5AC63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DFBF1">
            <w:pPr>
              <w:pStyle w:val="11"/>
            </w:pPr>
            <w:r>
              <w:t>资金支出计划（%）</w:t>
            </w:r>
          </w:p>
        </w:tc>
        <w:tc>
          <w:tcPr>
            <w:tcW w:w="5103" w:type="dxa"/>
            <w:gridSpan w:val="2"/>
            <w:vAlign w:val="center"/>
          </w:tcPr>
          <w:p w14:paraId="5032646E">
            <w:pPr>
              <w:pStyle w:val="11"/>
            </w:pPr>
            <w:r>
              <w:t>3月底</w:t>
            </w:r>
          </w:p>
        </w:tc>
        <w:tc>
          <w:tcPr>
            <w:tcW w:w="2835" w:type="dxa"/>
            <w:vAlign w:val="center"/>
          </w:tcPr>
          <w:p w14:paraId="217A981A">
            <w:pPr>
              <w:pStyle w:val="11"/>
            </w:pPr>
            <w:r>
              <w:t>6月底</w:t>
            </w:r>
          </w:p>
        </w:tc>
        <w:tc>
          <w:tcPr>
            <w:tcW w:w="2551" w:type="dxa"/>
            <w:vAlign w:val="center"/>
          </w:tcPr>
          <w:p w14:paraId="25FE2697">
            <w:pPr>
              <w:pStyle w:val="11"/>
            </w:pPr>
            <w:r>
              <w:t>10月底</w:t>
            </w:r>
          </w:p>
        </w:tc>
        <w:tc>
          <w:tcPr>
            <w:tcW w:w="3544" w:type="dxa"/>
            <w:gridSpan w:val="2"/>
            <w:vAlign w:val="center"/>
          </w:tcPr>
          <w:p w14:paraId="2FED112E">
            <w:pPr>
              <w:pStyle w:val="11"/>
            </w:pPr>
            <w:r>
              <w:t>12月底</w:t>
            </w:r>
          </w:p>
        </w:tc>
      </w:tr>
      <w:tr w14:paraId="36941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48F40D"/>
        </w:tc>
        <w:tc>
          <w:tcPr>
            <w:tcW w:w="5103" w:type="dxa"/>
            <w:gridSpan w:val="2"/>
            <w:vAlign w:val="center"/>
          </w:tcPr>
          <w:p w14:paraId="5255BF22">
            <w:pPr>
              <w:pStyle w:val="12"/>
            </w:pPr>
            <w:r>
              <w:t>25%</w:t>
            </w:r>
          </w:p>
        </w:tc>
        <w:tc>
          <w:tcPr>
            <w:tcW w:w="2835" w:type="dxa"/>
            <w:vAlign w:val="center"/>
          </w:tcPr>
          <w:p w14:paraId="79253CCB">
            <w:pPr>
              <w:pStyle w:val="12"/>
            </w:pPr>
            <w:r>
              <w:t>50%</w:t>
            </w:r>
          </w:p>
        </w:tc>
        <w:tc>
          <w:tcPr>
            <w:tcW w:w="2551" w:type="dxa"/>
            <w:vAlign w:val="center"/>
          </w:tcPr>
          <w:p w14:paraId="3ECA01BC">
            <w:pPr>
              <w:pStyle w:val="12"/>
            </w:pPr>
            <w:r>
              <w:t>75%</w:t>
            </w:r>
          </w:p>
        </w:tc>
        <w:tc>
          <w:tcPr>
            <w:tcW w:w="3544" w:type="dxa"/>
            <w:gridSpan w:val="2"/>
            <w:vAlign w:val="center"/>
          </w:tcPr>
          <w:p w14:paraId="68D47147">
            <w:pPr>
              <w:pStyle w:val="12"/>
            </w:pPr>
            <w:r>
              <w:t>100%</w:t>
            </w:r>
          </w:p>
        </w:tc>
      </w:tr>
      <w:tr w14:paraId="3B94F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46187">
            <w:pPr>
              <w:pStyle w:val="11"/>
            </w:pPr>
            <w:r>
              <w:t>绩效目标</w:t>
            </w:r>
          </w:p>
        </w:tc>
        <w:tc>
          <w:tcPr>
            <w:tcW w:w="14033" w:type="dxa"/>
            <w:gridSpan w:val="6"/>
            <w:vAlign w:val="center"/>
          </w:tcPr>
          <w:p w14:paraId="1B295378">
            <w:pPr>
              <w:pStyle w:val="13"/>
            </w:pPr>
            <w:r>
              <w:t>1.新建保育楼，满足幼儿正常学习需要。</w:t>
            </w:r>
            <w:r>
              <w:tab/>
            </w:r>
            <w:r>
              <w:tab/>
            </w:r>
            <w:r>
              <w:tab/>
            </w:r>
            <w:r>
              <w:tab/>
            </w:r>
            <w:r>
              <w:tab/>
            </w:r>
            <w:r>
              <w:tab/>
            </w:r>
          </w:p>
          <w:p w14:paraId="7769FAF6">
            <w:pPr>
              <w:pStyle w:val="13"/>
            </w:pPr>
            <w:r>
              <w:t>2.按规定拨付专项资金765000元，资金拨付率达到100%</w:t>
            </w:r>
          </w:p>
        </w:tc>
      </w:tr>
    </w:tbl>
    <w:p w14:paraId="7853A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4932E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F2BE9">
            <w:pPr>
              <w:pStyle w:val="11"/>
            </w:pPr>
            <w:r>
              <w:t>一级指标</w:t>
            </w:r>
          </w:p>
        </w:tc>
        <w:tc>
          <w:tcPr>
            <w:tcW w:w="2268" w:type="dxa"/>
            <w:vAlign w:val="center"/>
          </w:tcPr>
          <w:p w14:paraId="3B77DA50">
            <w:pPr>
              <w:pStyle w:val="11"/>
            </w:pPr>
            <w:r>
              <w:t>二级指标</w:t>
            </w:r>
          </w:p>
        </w:tc>
        <w:tc>
          <w:tcPr>
            <w:tcW w:w="2835" w:type="dxa"/>
            <w:vAlign w:val="center"/>
          </w:tcPr>
          <w:p w14:paraId="549EAB52">
            <w:pPr>
              <w:pStyle w:val="11"/>
            </w:pPr>
            <w:r>
              <w:t>三级指标</w:t>
            </w:r>
          </w:p>
        </w:tc>
        <w:tc>
          <w:tcPr>
            <w:tcW w:w="5386" w:type="dxa"/>
            <w:vAlign w:val="center"/>
          </w:tcPr>
          <w:p w14:paraId="2EB69AE6">
            <w:pPr>
              <w:pStyle w:val="11"/>
            </w:pPr>
            <w:r>
              <w:t>绩效指标描述</w:t>
            </w:r>
          </w:p>
        </w:tc>
        <w:tc>
          <w:tcPr>
            <w:tcW w:w="1583" w:type="dxa"/>
            <w:vAlign w:val="center"/>
          </w:tcPr>
          <w:p w14:paraId="1EEC08EB">
            <w:pPr>
              <w:pStyle w:val="11"/>
            </w:pPr>
            <w:r>
              <w:t>指标值</w:t>
            </w:r>
          </w:p>
        </w:tc>
        <w:tc>
          <w:tcPr>
            <w:tcW w:w="1961" w:type="dxa"/>
            <w:vAlign w:val="center"/>
          </w:tcPr>
          <w:p w14:paraId="74E46AE4">
            <w:pPr>
              <w:pStyle w:val="11"/>
            </w:pPr>
            <w:r>
              <w:t>指标值确定依据</w:t>
            </w:r>
          </w:p>
        </w:tc>
      </w:tr>
      <w:tr w14:paraId="312C2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603B8">
            <w:pPr>
              <w:pStyle w:val="12"/>
            </w:pPr>
            <w:r>
              <w:t>产出指标</w:t>
            </w:r>
          </w:p>
        </w:tc>
        <w:tc>
          <w:tcPr>
            <w:tcW w:w="2268" w:type="dxa"/>
            <w:vAlign w:val="center"/>
          </w:tcPr>
          <w:p w14:paraId="768D0495">
            <w:pPr>
              <w:pStyle w:val="13"/>
            </w:pPr>
            <w:r>
              <w:t>数量指标</w:t>
            </w:r>
          </w:p>
        </w:tc>
        <w:tc>
          <w:tcPr>
            <w:tcW w:w="2835" w:type="dxa"/>
            <w:vAlign w:val="center"/>
          </w:tcPr>
          <w:p w14:paraId="558702C3">
            <w:pPr>
              <w:pStyle w:val="13"/>
            </w:pPr>
            <w:r>
              <w:t>新建建筑面积</w:t>
            </w:r>
          </w:p>
        </w:tc>
        <w:tc>
          <w:tcPr>
            <w:tcW w:w="5386" w:type="dxa"/>
            <w:vAlign w:val="center"/>
          </w:tcPr>
          <w:p w14:paraId="726D046A">
            <w:pPr>
              <w:pStyle w:val="13"/>
            </w:pPr>
            <w:r>
              <w:t>新建建筑面积</w:t>
            </w:r>
          </w:p>
        </w:tc>
        <w:tc>
          <w:tcPr>
            <w:tcW w:w="1583" w:type="dxa"/>
            <w:vAlign w:val="center"/>
          </w:tcPr>
          <w:p w14:paraId="19B6338E">
            <w:pPr>
              <w:pStyle w:val="13"/>
            </w:pPr>
            <w:r>
              <w:t>2821.39平米</w:t>
            </w:r>
          </w:p>
        </w:tc>
        <w:tc>
          <w:tcPr>
            <w:tcW w:w="1961" w:type="dxa"/>
            <w:vAlign w:val="center"/>
          </w:tcPr>
          <w:p w14:paraId="4209ADF1">
            <w:pPr>
              <w:pStyle w:val="13"/>
            </w:pPr>
            <w:r>
              <w:t>城乡义务教育公用经费管理办法</w:t>
            </w:r>
          </w:p>
        </w:tc>
      </w:tr>
      <w:tr w14:paraId="1E6AF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8FC0C"/>
        </w:tc>
        <w:tc>
          <w:tcPr>
            <w:tcW w:w="2268" w:type="dxa"/>
            <w:vAlign w:val="center"/>
          </w:tcPr>
          <w:p w14:paraId="08A123C3">
            <w:pPr>
              <w:pStyle w:val="13"/>
            </w:pPr>
            <w:r>
              <w:t>质量指标</w:t>
            </w:r>
          </w:p>
        </w:tc>
        <w:tc>
          <w:tcPr>
            <w:tcW w:w="2835" w:type="dxa"/>
            <w:vAlign w:val="center"/>
          </w:tcPr>
          <w:p w14:paraId="0910DAD8">
            <w:pPr>
              <w:pStyle w:val="13"/>
            </w:pPr>
            <w:r>
              <w:t>项目竣工验收合格率</w:t>
            </w:r>
          </w:p>
        </w:tc>
        <w:tc>
          <w:tcPr>
            <w:tcW w:w="5386" w:type="dxa"/>
            <w:vAlign w:val="center"/>
          </w:tcPr>
          <w:p w14:paraId="75288A89">
            <w:pPr>
              <w:pStyle w:val="13"/>
            </w:pPr>
            <w:r>
              <w:t>项目改造质量达标率</w:t>
            </w:r>
          </w:p>
        </w:tc>
        <w:tc>
          <w:tcPr>
            <w:tcW w:w="1583" w:type="dxa"/>
            <w:vAlign w:val="center"/>
          </w:tcPr>
          <w:p w14:paraId="0402557C">
            <w:pPr>
              <w:pStyle w:val="13"/>
            </w:pPr>
            <w:r>
              <w:t>≥100%</w:t>
            </w:r>
          </w:p>
        </w:tc>
        <w:tc>
          <w:tcPr>
            <w:tcW w:w="1961" w:type="dxa"/>
            <w:vAlign w:val="center"/>
          </w:tcPr>
          <w:p w14:paraId="1CEA12E9">
            <w:pPr>
              <w:pStyle w:val="13"/>
            </w:pPr>
            <w:r>
              <w:t>城乡义务教育公用经费管理办法</w:t>
            </w:r>
          </w:p>
        </w:tc>
      </w:tr>
      <w:tr w14:paraId="32A0C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6F0A7"/>
        </w:tc>
        <w:tc>
          <w:tcPr>
            <w:tcW w:w="2268" w:type="dxa"/>
            <w:vAlign w:val="center"/>
          </w:tcPr>
          <w:p w14:paraId="69932AEF">
            <w:pPr>
              <w:pStyle w:val="13"/>
            </w:pPr>
            <w:r>
              <w:t>时效指标</w:t>
            </w:r>
          </w:p>
        </w:tc>
        <w:tc>
          <w:tcPr>
            <w:tcW w:w="2835" w:type="dxa"/>
            <w:vAlign w:val="center"/>
          </w:tcPr>
          <w:p w14:paraId="36AC2BF6">
            <w:pPr>
              <w:pStyle w:val="13"/>
            </w:pPr>
            <w:r>
              <w:t>按期完成率</w:t>
            </w:r>
          </w:p>
        </w:tc>
        <w:tc>
          <w:tcPr>
            <w:tcW w:w="5386" w:type="dxa"/>
            <w:vAlign w:val="center"/>
          </w:tcPr>
          <w:p w14:paraId="256E557F">
            <w:pPr>
              <w:pStyle w:val="13"/>
            </w:pPr>
            <w:r>
              <w:t>按期完成率</w:t>
            </w:r>
          </w:p>
        </w:tc>
        <w:tc>
          <w:tcPr>
            <w:tcW w:w="1583" w:type="dxa"/>
            <w:vAlign w:val="center"/>
          </w:tcPr>
          <w:p w14:paraId="5A05B23A">
            <w:pPr>
              <w:pStyle w:val="13"/>
            </w:pPr>
            <w:r>
              <w:t>100%</w:t>
            </w:r>
          </w:p>
        </w:tc>
        <w:tc>
          <w:tcPr>
            <w:tcW w:w="1961" w:type="dxa"/>
            <w:vAlign w:val="center"/>
          </w:tcPr>
          <w:p w14:paraId="42EE2F76">
            <w:pPr>
              <w:pStyle w:val="13"/>
            </w:pPr>
            <w:r>
              <w:t>城乡义务教育公用经费管理办法</w:t>
            </w:r>
          </w:p>
        </w:tc>
      </w:tr>
      <w:tr w14:paraId="6BA59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D7B8F"/>
        </w:tc>
        <w:tc>
          <w:tcPr>
            <w:tcW w:w="2268" w:type="dxa"/>
            <w:vAlign w:val="center"/>
          </w:tcPr>
          <w:p w14:paraId="2C6A63DA">
            <w:pPr>
              <w:pStyle w:val="13"/>
            </w:pPr>
            <w:r>
              <w:t>成本指标</w:t>
            </w:r>
          </w:p>
        </w:tc>
        <w:tc>
          <w:tcPr>
            <w:tcW w:w="2835" w:type="dxa"/>
            <w:vAlign w:val="center"/>
          </w:tcPr>
          <w:p w14:paraId="5FFD3FF4">
            <w:pPr>
              <w:pStyle w:val="13"/>
            </w:pPr>
            <w:r>
              <w:t>项目实际成本</w:t>
            </w:r>
          </w:p>
        </w:tc>
        <w:tc>
          <w:tcPr>
            <w:tcW w:w="5386" w:type="dxa"/>
            <w:vAlign w:val="center"/>
          </w:tcPr>
          <w:p w14:paraId="5919C838">
            <w:pPr>
              <w:pStyle w:val="13"/>
            </w:pPr>
            <w:r>
              <w:t>1.幼儿园用房年久破损，具体如下：改建附属用房2821.39平米，2413.8元/㎡；</w:t>
            </w:r>
          </w:p>
        </w:tc>
        <w:tc>
          <w:tcPr>
            <w:tcW w:w="1583" w:type="dxa"/>
            <w:vAlign w:val="center"/>
          </w:tcPr>
          <w:p w14:paraId="127BBE3C">
            <w:pPr>
              <w:pStyle w:val="13"/>
            </w:pPr>
            <w:r>
              <w:t>665000元</w:t>
            </w:r>
          </w:p>
        </w:tc>
        <w:tc>
          <w:tcPr>
            <w:tcW w:w="1961" w:type="dxa"/>
            <w:vAlign w:val="center"/>
          </w:tcPr>
          <w:p w14:paraId="377BCE66">
            <w:pPr>
              <w:pStyle w:val="13"/>
            </w:pPr>
            <w:r>
              <w:t>城乡义务教育公用经费管理办法</w:t>
            </w:r>
          </w:p>
        </w:tc>
      </w:tr>
      <w:tr w14:paraId="526CE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EAF747">
            <w:pPr>
              <w:pStyle w:val="12"/>
            </w:pPr>
            <w:r>
              <w:t>效益指标</w:t>
            </w:r>
          </w:p>
        </w:tc>
        <w:tc>
          <w:tcPr>
            <w:tcW w:w="2268" w:type="dxa"/>
            <w:vAlign w:val="center"/>
          </w:tcPr>
          <w:p w14:paraId="53F7BF8B">
            <w:pPr>
              <w:pStyle w:val="13"/>
            </w:pPr>
            <w:r>
              <w:t>社会效益指标</w:t>
            </w:r>
          </w:p>
        </w:tc>
        <w:tc>
          <w:tcPr>
            <w:tcW w:w="2835" w:type="dxa"/>
            <w:vAlign w:val="center"/>
          </w:tcPr>
          <w:p w14:paraId="0174EBFD">
            <w:pPr>
              <w:pStyle w:val="13"/>
            </w:pPr>
            <w:r>
              <w:t>办学条件提升程度</w:t>
            </w:r>
          </w:p>
        </w:tc>
        <w:tc>
          <w:tcPr>
            <w:tcW w:w="5386" w:type="dxa"/>
            <w:vAlign w:val="center"/>
          </w:tcPr>
          <w:p w14:paraId="4457BDE4">
            <w:pPr>
              <w:pStyle w:val="13"/>
            </w:pPr>
            <w:r>
              <w:t>办学条件和环境得到改善</w:t>
            </w:r>
          </w:p>
        </w:tc>
        <w:tc>
          <w:tcPr>
            <w:tcW w:w="1583" w:type="dxa"/>
            <w:vAlign w:val="center"/>
          </w:tcPr>
          <w:p w14:paraId="43B6C189">
            <w:pPr>
              <w:pStyle w:val="13"/>
            </w:pPr>
            <w:r>
              <w:t>≥90%</w:t>
            </w:r>
          </w:p>
        </w:tc>
        <w:tc>
          <w:tcPr>
            <w:tcW w:w="1961" w:type="dxa"/>
            <w:vAlign w:val="center"/>
          </w:tcPr>
          <w:p w14:paraId="67946422">
            <w:pPr>
              <w:pStyle w:val="13"/>
            </w:pPr>
            <w:r>
              <w:t>城乡义务教育公用经费管理办法</w:t>
            </w:r>
          </w:p>
        </w:tc>
      </w:tr>
      <w:tr w14:paraId="7E06E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A363EE">
            <w:pPr>
              <w:pStyle w:val="12"/>
            </w:pPr>
            <w:r>
              <w:t>满意度指标</w:t>
            </w:r>
          </w:p>
        </w:tc>
        <w:tc>
          <w:tcPr>
            <w:tcW w:w="2268" w:type="dxa"/>
            <w:vAlign w:val="center"/>
          </w:tcPr>
          <w:p w14:paraId="11BC431A">
            <w:pPr>
              <w:pStyle w:val="13"/>
            </w:pPr>
            <w:r>
              <w:t>服务对象满意度指标</w:t>
            </w:r>
          </w:p>
        </w:tc>
        <w:tc>
          <w:tcPr>
            <w:tcW w:w="2835" w:type="dxa"/>
            <w:vAlign w:val="center"/>
          </w:tcPr>
          <w:p w14:paraId="00BC5683">
            <w:pPr>
              <w:pStyle w:val="13"/>
            </w:pPr>
            <w:r>
              <w:t>受益学生家长及调查满意度</w:t>
            </w:r>
          </w:p>
        </w:tc>
        <w:tc>
          <w:tcPr>
            <w:tcW w:w="5386" w:type="dxa"/>
            <w:vAlign w:val="center"/>
          </w:tcPr>
          <w:p w14:paraId="283D4C14">
            <w:pPr>
              <w:pStyle w:val="13"/>
            </w:pPr>
            <w:r>
              <w:t>学生、教师及家长对学校保教保育工作满意度情况</w:t>
            </w:r>
          </w:p>
        </w:tc>
        <w:tc>
          <w:tcPr>
            <w:tcW w:w="1583" w:type="dxa"/>
            <w:vAlign w:val="center"/>
          </w:tcPr>
          <w:p w14:paraId="5FA2C694">
            <w:pPr>
              <w:pStyle w:val="13"/>
            </w:pPr>
            <w:r>
              <w:t>≥95%</w:t>
            </w:r>
          </w:p>
        </w:tc>
        <w:tc>
          <w:tcPr>
            <w:tcW w:w="1961" w:type="dxa"/>
            <w:vAlign w:val="center"/>
          </w:tcPr>
          <w:p w14:paraId="7008E46C">
            <w:pPr>
              <w:pStyle w:val="13"/>
            </w:pPr>
            <w:r>
              <w:t>城乡义务教育公用经费管理办法</w:t>
            </w:r>
          </w:p>
        </w:tc>
      </w:tr>
    </w:tbl>
    <w:p w14:paraId="612CB16C">
      <w:pPr>
        <w:sectPr>
          <w:pgSz w:w="16840" w:h="11900" w:orient="landscape"/>
          <w:pgMar w:top="1361" w:right="1020" w:bottom="1134" w:left="1020" w:header="720" w:footer="720" w:gutter="0"/>
          <w:cols w:space="720" w:num="1"/>
        </w:sectPr>
      </w:pPr>
    </w:p>
    <w:p w14:paraId="42894395">
      <w:pPr>
        <w:spacing w:before="0" w:after="0"/>
        <w:ind w:firstLine="560"/>
        <w:jc w:val="left"/>
        <w:outlineLvl w:val="9"/>
      </w:pPr>
      <w:r>
        <w:rPr>
          <w:rFonts w:ascii="方正仿宋_GBK" w:hAnsi="方正仿宋_GBK" w:eastAsia="方正仿宋_GBK" w:cs="方正仿宋_GBK"/>
          <w:b/>
          <w:color w:val="000000"/>
          <w:sz w:val="28"/>
        </w:rPr>
        <w:t>4、冀财教[2024]121号/中央/2025年学前发展资金/尹村校区学前教育幼儿资助绩效目标表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65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DF54D">
            <w:pPr>
              <w:pStyle w:val="14"/>
            </w:pPr>
            <w:r>
              <w:t>单位：万元</w:t>
            </w:r>
          </w:p>
        </w:tc>
      </w:tr>
      <w:tr w14:paraId="6D23C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DBD0F5">
            <w:pPr>
              <w:pStyle w:val="11"/>
            </w:pPr>
            <w:r>
              <w:t>项目编码</w:t>
            </w:r>
          </w:p>
        </w:tc>
        <w:tc>
          <w:tcPr>
            <w:tcW w:w="5103" w:type="dxa"/>
            <w:gridSpan w:val="2"/>
            <w:vAlign w:val="center"/>
          </w:tcPr>
          <w:p w14:paraId="723D4A9A">
            <w:pPr>
              <w:pStyle w:val="13"/>
            </w:pPr>
            <w:r>
              <w:t>13052525P00000210056M</w:t>
            </w:r>
          </w:p>
        </w:tc>
        <w:tc>
          <w:tcPr>
            <w:tcW w:w="2835" w:type="dxa"/>
            <w:vAlign w:val="center"/>
          </w:tcPr>
          <w:p w14:paraId="5A759B16">
            <w:pPr>
              <w:pStyle w:val="11"/>
            </w:pPr>
            <w:r>
              <w:t>项目名称</w:t>
            </w:r>
          </w:p>
        </w:tc>
        <w:tc>
          <w:tcPr>
            <w:tcW w:w="6095" w:type="dxa"/>
            <w:gridSpan w:val="3"/>
            <w:vAlign w:val="center"/>
          </w:tcPr>
          <w:p w14:paraId="17938DFE">
            <w:pPr>
              <w:pStyle w:val="13"/>
            </w:pPr>
            <w:r>
              <w:t>冀财教[2024]121号/中央/2025年学前发展资金/尹村校区学前教育幼儿资助</w:t>
            </w:r>
          </w:p>
        </w:tc>
      </w:tr>
      <w:tr w14:paraId="39747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94F93">
            <w:pPr>
              <w:pStyle w:val="11"/>
            </w:pPr>
            <w:r>
              <w:t>预算规模及资金用途</w:t>
            </w:r>
          </w:p>
        </w:tc>
        <w:tc>
          <w:tcPr>
            <w:tcW w:w="2268" w:type="dxa"/>
            <w:vAlign w:val="center"/>
          </w:tcPr>
          <w:p w14:paraId="54D38AF5">
            <w:pPr>
              <w:pStyle w:val="11"/>
            </w:pPr>
            <w:r>
              <w:t>预算数</w:t>
            </w:r>
          </w:p>
        </w:tc>
        <w:tc>
          <w:tcPr>
            <w:tcW w:w="2835" w:type="dxa"/>
            <w:vAlign w:val="center"/>
          </w:tcPr>
          <w:p w14:paraId="66C1A9E6">
            <w:pPr>
              <w:pStyle w:val="13"/>
            </w:pPr>
            <w:r>
              <w:t>2.52</w:t>
            </w:r>
          </w:p>
        </w:tc>
        <w:tc>
          <w:tcPr>
            <w:tcW w:w="2835" w:type="dxa"/>
            <w:vAlign w:val="center"/>
          </w:tcPr>
          <w:p w14:paraId="03B4AA35">
            <w:pPr>
              <w:pStyle w:val="11"/>
            </w:pPr>
            <w:r>
              <w:t>其中：财政    资金</w:t>
            </w:r>
          </w:p>
        </w:tc>
        <w:tc>
          <w:tcPr>
            <w:tcW w:w="2551" w:type="dxa"/>
            <w:vAlign w:val="center"/>
          </w:tcPr>
          <w:p w14:paraId="5F8E2E87">
            <w:pPr>
              <w:pStyle w:val="13"/>
            </w:pPr>
            <w:r>
              <w:t>2.52</w:t>
            </w:r>
          </w:p>
        </w:tc>
        <w:tc>
          <w:tcPr>
            <w:tcW w:w="2268" w:type="dxa"/>
            <w:vAlign w:val="center"/>
          </w:tcPr>
          <w:p w14:paraId="16F17CAA">
            <w:pPr>
              <w:pStyle w:val="11"/>
            </w:pPr>
            <w:r>
              <w:t>其他资金</w:t>
            </w:r>
          </w:p>
        </w:tc>
        <w:tc>
          <w:tcPr>
            <w:tcW w:w="1276" w:type="dxa"/>
            <w:vAlign w:val="center"/>
          </w:tcPr>
          <w:p w14:paraId="5E45EFA5">
            <w:pPr>
              <w:pStyle w:val="13"/>
            </w:pPr>
            <w:r>
              <w:t xml:space="preserve"> </w:t>
            </w:r>
          </w:p>
        </w:tc>
      </w:tr>
      <w:tr w14:paraId="5CE91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214BB"/>
        </w:tc>
        <w:tc>
          <w:tcPr>
            <w:tcW w:w="14033" w:type="dxa"/>
            <w:gridSpan w:val="6"/>
            <w:vAlign w:val="center"/>
          </w:tcPr>
          <w:p w14:paraId="6BA23C42">
            <w:pPr>
              <w:pStyle w:val="13"/>
            </w:pPr>
            <w:r>
              <w:t>保证本年度资助经费足额落实到位，符合享受资助条件的学生应助尽助。</w:t>
            </w:r>
          </w:p>
        </w:tc>
      </w:tr>
      <w:tr w14:paraId="0EDD2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BE569">
            <w:pPr>
              <w:pStyle w:val="11"/>
            </w:pPr>
            <w:r>
              <w:t>资金支出计划（%）</w:t>
            </w:r>
          </w:p>
        </w:tc>
        <w:tc>
          <w:tcPr>
            <w:tcW w:w="5103" w:type="dxa"/>
            <w:gridSpan w:val="2"/>
            <w:vAlign w:val="center"/>
          </w:tcPr>
          <w:p w14:paraId="130B801B">
            <w:pPr>
              <w:pStyle w:val="11"/>
            </w:pPr>
            <w:r>
              <w:t>3月底</w:t>
            </w:r>
          </w:p>
        </w:tc>
        <w:tc>
          <w:tcPr>
            <w:tcW w:w="2835" w:type="dxa"/>
            <w:vAlign w:val="center"/>
          </w:tcPr>
          <w:p w14:paraId="73DDD320">
            <w:pPr>
              <w:pStyle w:val="11"/>
            </w:pPr>
            <w:r>
              <w:t>6月底</w:t>
            </w:r>
          </w:p>
        </w:tc>
        <w:tc>
          <w:tcPr>
            <w:tcW w:w="2551" w:type="dxa"/>
            <w:vAlign w:val="center"/>
          </w:tcPr>
          <w:p w14:paraId="5DAFA3CE">
            <w:pPr>
              <w:pStyle w:val="11"/>
            </w:pPr>
            <w:r>
              <w:t>10月底</w:t>
            </w:r>
          </w:p>
        </w:tc>
        <w:tc>
          <w:tcPr>
            <w:tcW w:w="3544" w:type="dxa"/>
            <w:gridSpan w:val="2"/>
            <w:vAlign w:val="center"/>
          </w:tcPr>
          <w:p w14:paraId="3B24E95B">
            <w:pPr>
              <w:pStyle w:val="11"/>
            </w:pPr>
            <w:r>
              <w:t>12月底</w:t>
            </w:r>
          </w:p>
        </w:tc>
      </w:tr>
      <w:tr w14:paraId="1D479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E4D7ED"/>
        </w:tc>
        <w:tc>
          <w:tcPr>
            <w:tcW w:w="5103" w:type="dxa"/>
            <w:gridSpan w:val="2"/>
            <w:vAlign w:val="center"/>
          </w:tcPr>
          <w:p w14:paraId="326476E2">
            <w:pPr>
              <w:pStyle w:val="12"/>
            </w:pPr>
            <w:r>
              <w:t>25%</w:t>
            </w:r>
          </w:p>
        </w:tc>
        <w:tc>
          <w:tcPr>
            <w:tcW w:w="2835" w:type="dxa"/>
            <w:vAlign w:val="center"/>
          </w:tcPr>
          <w:p w14:paraId="147E3607">
            <w:pPr>
              <w:pStyle w:val="12"/>
            </w:pPr>
            <w:r>
              <w:t>50%</w:t>
            </w:r>
          </w:p>
        </w:tc>
        <w:tc>
          <w:tcPr>
            <w:tcW w:w="2551" w:type="dxa"/>
            <w:vAlign w:val="center"/>
          </w:tcPr>
          <w:p w14:paraId="754661A7">
            <w:pPr>
              <w:pStyle w:val="12"/>
            </w:pPr>
            <w:r>
              <w:t>75%</w:t>
            </w:r>
          </w:p>
        </w:tc>
        <w:tc>
          <w:tcPr>
            <w:tcW w:w="3544" w:type="dxa"/>
            <w:gridSpan w:val="2"/>
            <w:vAlign w:val="center"/>
          </w:tcPr>
          <w:p w14:paraId="07628F6F">
            <w:pPr>
              <w:pStyle w:val="12"/>
            </w:pPr>
            <w:r>
              <w:t>100%</w:t>
            </w:r>
          </w:p>
        </w:tc>
      </w:tr>
      <w:tr w14:paraId="54408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88E280">
            <w:pPr>
              <w:pStyle w:val="11"/>
            </w:pPr>
            <w:r>
              <w:t>绩效目标</w:t>
            </w:r>
          </w:p>
        </w:tc>
        <w:tc>
          <w:tcPr>
            <w:tcW w:w="14033" w:type="dxa"/>
            <w:gridSpan w:val="6"/>
            <w:vAlign w:val="center"/>
          </w:tcPr>
          <w:p w14:paraId="79DA6A92">
            <w:pPr>
              <w:pStyle w:val="13"/>
            </w:pPr>
            <w:r>
              <w:t>1.保证本年度资助经费足额落实到位，符合享受资助条件的学生应助尽助。</w:t>
            </w:r>
          </w:p>
          <w:p w14:paraId="5C5EA7E8">
            <w:pPr>
              <w:pStyle w:val="13"/>
            </w:pPr>
            <w:r>
              <w:t>2.保障落实建档立卡及家庭经济困难儿童资助所需资金，确保建档立卡等家庭经济困难幼儿优先获得资助</w:t>
            </w:r>
          </w:p>
        </w:tc>
      </w:tr>
    </w:tbl>
    <w:p w14:paraId="658B3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D6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53C1F">
            <w:pPr>
              <w:pStyle w:val="11"/>
            </w:pPr>
            <w:r>
              <w:t>一级指标</w:t>
            </w:r>
          </w:p>
        </w:tc>
        <w:tc>
          <w:tcPr>
            <w:tcW w:w="2268" w:type="dxa"/>
            <w:vAlign w:val="center"/>
          </w:tcPr>
          <w:p w14:paraId="211999A1">
            <w:pPr>
              <w:pStyle w:val="11"/>
            </w:pPr>
            <w:r>
              <w:t>二级指标</w:t>
            </w:r>
          </w:p>
        </w:tc>
        <w:tc>
          <w:tcPr>
            <w:tcW w:w="2835" w:type="dxa"/>
            <w:vAlign w:val="center"/>
          </w:tcPr>
          <w:p w14:paraId="25EF32C4">
            <w:pPr>
              <w:pStyle w:val="11"/>
            </w:pPr>
            <w:r>
              <w:t>三级指标</w:t>
            </w:r>
          </w:p>
        </w:tc>
        <w:tc>
          <w:tcPr>
            <w:tcW w:w="5386" w:type="dxa"/>
            <w:vAlign w:val="center"/>
          </w:tcPr>
          <w:p w14:paraId="6D82B413">
            <w:pPr>
              <w:pStyle w:val="11"/>
            </w:pPr>
            <w:r>
              <w:t>绩效指标描述</w:t>
            </w:r>
          </w:p>
        </w:tc>
        <w:tc>
          <w:tcPr>
            <w:tcW w:w="2268" w:type="dxa"/>
            <w:vAlign w:val="center"/>
          </w:tcPr>
          <w:p w14:paraId="0E9FF1B1">
            <w:pPr>
              <w:pStyle w:val="11"/>
            </w:pPr>
            <w:r>
              <w:t>指标值</w:t>
            </w:r>
          </w:p>
        </w:tc>
        <w:tc>
          <w:tcPr>
            <w:tcW w:w="1276" w:type="dxa"/>
            <w:vAlign w:val="center"/>
          </w:tcPr>
          <w:p w14:paraId="074CFF88">
            <w:pPr>
              <w:pStyle w:val="11"/>
            </w:pPr>
            <w:r>
              <w:t>指标值确定依据</w:t>
            </w:r>
          </w:p>
        </w:tc>
      </w:tr>
      <w:tr w14:paraId="124FC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8A6AE">
            <w:pPr>
              <w:pStyle w:val="12"/>
            </w:pPr>
            <w:r>
              <w:t>产出指标</w:t>
            </w:r>
          </w:p>
        </w:tc>
        <w:tc>
          <w:tcPr>
            <w:tcW w:w="2268" w:type="dxa"/>
            <w:vAlign w:val="center"/>
          </w:tcPr>
          <w:p w14:paraId="62712372">
            <w:pPr>
              <w:pStyle w:val="13"/>
            </w:pPr>
            <w:r>
              <w:t>数量指标</w:t>
            </w:r>
          </w:p>
        </w:tc>
        <w:tc>
          <w:tcPr>
            <w:tcW w:w="2835" w:type="dxa"/>
            <w:vAlign w:val="center"/>
          </w:tcPr>
          <w:p w14:paraId="07A58DD2">
            <w:pPr>
              <w:pStyle w:val="13"/>
            </w:pPr>
            <w:r>
              <w:t>幼儿资助比例</w:t>
            </w:r>
          </w:p>
        </w:tc>
        <w:tc>
          <w:tcPr>
            <w:tcW w:w="5386" w:type="dxa"/>
            <w:vAlign w:val="center"/>
          </w:tcPr>
          <w:p w14:paraId="7DF82267">
            <w:pPr>
              <w:pStyle w:val="13"/>
            </w:pPr>
            <w:r>
              <w:t>按学前适龄在园儿童10%测算</w:t>
            </w:r>
          </w:p>
        </w:tc>
        <w:tc>
          <w:tcPr>
            <w:tcW w:w="2268" w:type="dxa"/>
            <w:vAlign w:val="center"/>
          </w:tcPr>
          <w:p w14:paraId="1233A473">
            <w:pPr>
              <w:pStyle w:val="13"/>
            </w:pPr>
            <w:r>
              <w:t>≥10%</w:t>
            </w:r>
          </w:p>
        </w:tc>
        <w:tc>
          <w:tcPr>
            <w:tcW w:w="1276" w:type="dxa"/>
            <w:vAlign w:val="center"/>
          </w:tcPr>
          <w:p w14:paraId="4BA18FA2">
            <w:pPr>
              <w:pStyle w:val="13"/>
            </w:pPr>
            <w:r>
              <w:t>幼儿资助经费管理办法</w:t>
            </w:r>
          </w:p>
        </w:tc>
      </w:tr>
      <w:tr w14:paraId="104AC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405E9"/>
        </w:tc>
        <w:tc>
          <w:tcPr>
            <w:tcW w:w="2268" w:type="dxa"/>
            <w:vAlign w:val="center"/>
          </w:tcPr>
          <w:p w14:paraId="5D34F8A5">
            <w:pPr>
              <w:pStyle w:val="13"/>
            </w:pPr>
            <w:r>
              <w:t>质量指标</w:t>
            </w:r>
          </w:p>
        </w:tc>
        <w:tc>
          <w:tcPr>
            <w:tcW w:w="2835" w:type="dxa"/>
            <w:vAlign w:val="center"/>
          </w:tcPr>
          <w:p w14:paraId="5E9C4BD6">
            <w:pPr>
              <w:pStyle w:val="13"/>
            </w:pPr>
            <w:r>
              <w:t>学前教育资助制度落实情况</w:t>
            </w:r>
          </w:p>
        </w:tc>
        <w:tc>
          <w:tcPr>
            <w:tcW w:w="5386" w:type="dxa"/>
            <w:vAlign w:val="center"/>
          </w:tcPr>
          <w:p w14:paraId="64A49D6D">
            <w:pPr>
              <w:pStyle w:val="13"/>
            </w:pPr>
            <w:r>
              <w:t>符合享受资助条件的学生应助尽助</w:t>
            </w:r>
          </w:p>
        </w:tc>
        <w:tc>
          <w:tcPr>
            <w:tcW w:w="2268" w:type="dxa"/>
            <w:vAlign w:val="center"/>
          </w:tcPr>
          <w:p w14:paraId="7CEB0522">
            <w:pPr>
              <w:pStyle w:val="13"/>
            </w:pPr>
            <w:r>
              <w:t>≥100%</w:t>
            </w:r>
          </w:p>
        </w:tc>
        <w:tc>
          <w:tcPr>
            <w:tcW w:w="1276" w:type="dxa"/>
            <w:vAlign w:val="center"/>
          </w:tcPr>
          <w:p w14:paraId="72B415F1">
            <w:pPr>
              <w:pStyle w:val="13"/>
            </w:pPr>
            <w:r>
              <w:t>幼儿资助经费管理办法</w:t>
            </w:r>
          </w:p>
        </w:tc>
      </w:tr>
      <w:tr w14:paraId="0F8C2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3BBD7"/>
        </w:tc>
        <w:tc>
          <w:tcPr>
            <w:tcW w:w="2268" w:type="dxa"/>
            <w:vAlign w:val="center"/>
          </w:tcPr>
          <w:p w14:paraId="22C8D39F">
            <w:pPr>
              <w:pStyle w:val="13"/>
            </w:pPr>
            <w:r>
              <w:t>时效指标</w:t>
            </w:r>
          </w:p>
        </w:tc>
        <w:tc>
          <w:tcPr>
            <w:tcW w:w="2835" w:type="dxa"/>
            <w:vAlign w:val="center"/>
          </w:tcPr>
          <w:p w14:paraId="4FD2AB5A">
            <w:pPr>
              <w:pStyle w:val="13"/>
            </w:pPr>
            <w:r>
              <w:t>资金拨付率</w:t>
            </w:r>
          </w:p>
        </w:tc>
        <w:tc>
          <w:tcPr>
            <w:tcW w:w="5386" w:type="dxa"/>
            <w:vAlign w:val="center"/>
          </w:tcPr>
          <w:p w14:paraId="51A01EF5">
            <w:pPr>
              <w:pStyle w:val="13"/>
            </w:pPr>
            <w:r>
              <w:t>所有项目资金支付进度</w:t>
            </w:r>
          </w:p>
        </w:tc>
        <w:tc>
          <w:tcPr>
            <w:tcW w:w="2268" w:type="dxa"/>
            <w:vAlign w:val="center"/>
          </w:tcPr>
          <w:p w14:paraId="50675F7F">
            <w:pPr>
              <w:pStyle w:val="13"/>
            </w:pPr>
            <w:r>
              <w:t>≥100%</w:t>
            </w:r>
          </w:p>
        </w:tc>
        <w:tc>
          <w:tcPr>
            <w:tcW w:w="1276" w:type="dxa"/>
            <w:vAlign w:val="center"/>
          </w:tcPr>
          <w:p w14:paraId="259BB58B">
            <w:pPr>
              <w:pStyle w:val="13"/>
            </w:pPr>
            <w:r>
              <w:t>幼儿资助经费管理办法</w:t>
            </w:r>
          </w:p>
        </w:tc>
      </w:tr>
      <w:tr w14:paraId="128CB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CB375"/>
        </w:tc>
        <w:tc>
          <w:tcPr>
            <w:tcW w:w="2268" w:type="dxa"/>
            <w:vAlign w:val="center"/>
          </w:tcPr>
          <w:p w14:paraId="0C1A15B9">
            <w:pPr>
              <w:pStyle w:val="13"/>
            </w:pPr>
            <w:r>
              <w:t>成本指标</w:t>
            </w:r>
          </w:p>
        </w:tc>
        <w:tc>
          <w:tcPr>
            <w:tcW w:w="2835" w:type="dxa"/>
            <w:vAlign w:val="center"/>
          </w:tcPr>
          <w:p w14:paraId="625EB9DF">
            <w:pPr>
              <w:pStyle w:val="13"/>
            </w:pPr>
            <w:r>
              <w:t>幼儿园资助标准</w:t>
            </w:r>
          </w:p>
        </w:tc>
        <w:tc>
          <w:tcPr>
            <w:tcW w:w="5386" w:type="dxa"/>
            <w:vAlign w:val="center"/>
          </w:tcPr>
          <w:p w14:paraId="07A33CD5">
            <w:pPr>
              <w:pStyle w:val="13"/>
            </w:pPr>
            <w:r>
              <w:t>按照幼儿园资助标准1000元/生/年</w:t>
            </w:r>
          </w:p>
        </w:tc>
        <w:tc>
          <w:tcPr>
            <w:tcW w:w="2268" w:type="dxa"/>
            <w:vAlign w:val="center"/>
          </w:tcPr>
          <w:p w14:paraId="07F180C1">
            <w:pPr>
              <w:pStyle w:val="13"/>
            </w:pPr>
            <w:r>
              <w:t>1000元</w:t>
            </w:r>
          </w:p>
        </w:tc>
        <w:tc>
          <w:tcPr>
            <w:tcW w:w="1276" w:type="dxa"/>
            <w:vAlign w:val="center"/>
          </w:tcPr>
          <w:p w14:paraId="22897CA8">
            <w:pPr>
              <w:pStyle w:val="13"/>
            </w:pPr>
            <w:r>
              <w:t>幼儿资助经费管理办法</w:t>
            </w:r>
          </w:p>
        </w:tc>
      </w:tr>
      <w:tr w14:paraId="2B399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10BC07">
            <w:pPr>
              <w:pStyle w:val="12"/>
            </w:pPr>
            <w:r>
              <w:t>效益指标</w:t>
            </w:r>
          </w:p>
        </w:tc>
        <w:tc>
          <w:tcPr>
            <w:tcW w:w="2268" w:type="dxa"/>
            <w:vAlign w:val="center"/>
          </w:tcPr>
          <w:p w14:paraId="7C7DBC7D">
            <w:pPr>
              <w:pStyle w:val="13"/>
            </w:pPr>
            <w:r>
              <w:t>可持续影响指标</w:t>
            </w:r>
          </w:p>
        </w:tc>
        <w:tc>
          <w:tcPr>
            <w:tcW w:w="2835" w:type="dxa"/>
            <w:vAlign w:val="center"/>
          </w:tcPr>
          <w:p w14:paraId="25243D2F">
            <w:pPr>
              <w:pStyle w:val="13"/>
            </w:pPr>
            <w:r>
              <w:t>幼儿园运转</w:t>
            </w:r>
          </w:p>
        </w:tc>
        <w:tc>
          <w:tcPr>
            <w:tcW w:w="5386" w:type="dxa"/>
            <w:vAlign w:val="center"/>
          </w:tcPr>
          <w:p w14:paraId="2AE2A456">
            <w:pPr>
              <w:pStyle w:val="13"/>
            </w:pPr>
            <w:r>
              <w:t>幼儿受教育年限</w:t>
            </w:r>
          </w:p>
        </w:tc>
        <w:tc>
          <w:tcPr>
            <w:tcW w:w="2268" w:type="dxa"/>
            <w:vAlign w:val="center"/>
          </w:tcPr>
          <w:p w14:paraId="0E385DAF">
            <w:pPr>
              <w:pStyle w:val="13"/>
            </w:pPr>
            <w:r>
              <w:t>3年</w:t>
            </w:r>
          </w:p>
        </w:tc>
        <w:tc>
          <w:tcPr>
            <w:tcW w:w="1276" w:type="dxa"/>
            <w:vAlign w:val="center"/>
          </w:tcPr>
          <w:p w14:paraId="1CB8981D">
            <w:pPr>
              <w:pStyle w:val="13"/>
            </w:pPr>
            <w:r>
              <w:t>幼儿资助经费管理办法</w:t>
            </w:r>
          </w:p>
        </w:tc>
      </w:tr>
      <w:tr w14:paraId="4AD0A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7AA7FB">
            <w:pPr>
              <w:pStyle w:val="12"/>
            </w:pPr>
            <w:r>
              <w:t>满意度指标</w:t>
            </w:r>
          </w:p>
        </w:tc>
        <w:tc>
          <w:tcPr>
            <w:tcW w:w="2268" w:type="dxa"/>
            <w:vAlign w:val="center"/>
          </w:tcPr>
          <w:p w14:paraId="649DB855">
            <w:pPr>
              <w:pStyle w:val="13"/>
            </w:pPr>
            <w:r>
              <w:t>服务对象满意度指标</w:t>
            </w:r>
          </w:p>
        </w:tc>
        <w:tc>
          <w:tcPr>
            <w:tcW w:w="2835" w:type="dxa"/>
            <w:vAlign w:val="center"/>
          </w:tcPr>
          <w:p w14:paraId="3747F0A3">
            <w:pPr>
              <w:pStyle w:val="13"/>
            </w:pPr>
            <w:r>
              <w:t>受益幼儿家长及调查满意度</w:t>
            </w:r>
          </w:p>
        </w:tc>
        <w:tc>
          <w:tcPr>
            <w:tcW w:w="5386" w:type="dxa"/>
            <w:vAlign w:val="center"/>
          </w:tcPr>
          <w:p w14:paraId="6ACDC899">
            <w:pPr>
              <w:pStyle w:val="13"/>
            </w:pPr>
            <w:r>
              <w:t>学生、教师及家长对学校保教保育工作满意度情况</w:t>
            </w:r>
          </w:p>
        </w:tc>
        <w:tc>
          <w:tcPr>
            <w:tcW w:w="2268" w:type="dxa"/>
            <w:vAlign w:val="center"/>
          </w:tcPr>
          <w:p w14:paraId="1840A396">
            <w:pPr>
              <w:pStyle w:val="13"/>
            </w:pPr>
            <w:r>
              <w:t>≥95%</w:t>
            </w:r>
          </w:p>
        </w:tc>
        <w:tc>
          <w:tcPr>
            <w:tcW w:w="1276" w:type="dxa"/>
            <w:vAlign w:val="center"/>
          </w:tcPr>
          <w:p w14:paraId="0AFD50B0">
            <w:pPr>
              <w:pStyle w:val="13"/>
            </w:pPr>
            <w:r>
              <w:t>幼儿资助经费管理办法</w:t>
            </w:r>
          </w:p>
        </w:tc>
      </w:tr>
    </w:tbl>
    <w:p w14:paraId="340D8D33">
      <w:pPr>
        <w:sectPr>
          <w:pgSz w:w="16840" w:h="11900" w:orient="landscape"/>
          <w:pgMar w:top="1361" w:right="1020" w:bottom="1134" w:left="1020" w:header="720" w:footer="720" w:gutter="0"/>
          <w:cols w:space="720" w:num="1"/>
        </w:sectPr>
      </w:pPr>
    </w:p>
    <w:p w14:paraId="4D4F5F49">
      <w:pPr>
        <w:spacing w:before="0" w:after="0"/>
        <w:ind w:firstLine="560"/>
        <w:jc w:val="left"/>
        <w:outlineLvl w:val="9"/>
      </w:pPr>
      <w:r>
        <w:rPr>
          <w:rFonts w:ascii="方正仿宋_GBK" w:hAnsi="方正仿宋_GBK" w:eastAsia="方正仿宋_GBK" w:cs="方正仿宋_GBK"/>
          <w:b/>
          <w:color w:val="000000"/>
          <w:sz w:val="28"/>
        </w:rPr>
        <w:t>5、冀财教[2024]121号/中央/2025年学前教育发展/大霍幼儿园变压器购置绩效目标表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61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EA58C">
            <w:pPr>
              <w:pStyle w:val="14"/>
            </w:pPr>
            <w:r>
              <w:t>单位：万元</w:t>
            </w:r>
          </w:p>
        </w:tc>
      </w:tr>
      <w:tr w14:paraId="3B3B9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B42B4">
            <w:pPr>
              <w:pStyle w:val="11"/>
            </w:pPr>
            <w:r>
              <w:t>项目编码</w:t>
            </w:r>
          </w:p>
        </w:tc>
        <w:tc>
          <w:tcPr>
            <w:tcW w:w="5103" w:type="dxa"/>
            <w:gridSpan w:val="2"/>
            <w:vAlign w:val="center"/>
          </w:tcPr>
          <w:p w14:paraId="4CDB534F">
            <w:pPr>
              <w:pStyle w:val="13"/>
            </w:pPr>
            <w:r>
              <w:t>13052525P00876910017P</w:t>
            </w:r>
          </w:p>
        </w:tc>
        <w:tc>
          <w:tcPr>
            <w:tcW w:w="2835" w:type="dxa"/>
            <w:vAlign w:val="center"/>
          </w:tcPr>
          <w:p w14:paraId="1A4AD0D1">
            <w:pPr>
              <w:pStyle w:val="11"/>
            </w:pPr>
            <w:r>
              <w:t>项目名称</w:t>
            </w:r>
          </w:p>
        </w:tc>
        <w:tc>
          <w:tcPr>
            <w:tcW w:w="6095" w:type="dxa"/>
            <w:gridSpan w:val="3"/>
            <w:vAlign w:val="center"/>
          </w:tcPr>
          <w:p w14:paraId="469BE1E6">
            <w:pPr>
              <w:pStyle w:val="13"/>
            </w:pPr>
            <w:r>
              <w:t>冀财教[2024]121号/中央/2025年学前教育发展/大霍幼儿园变压器购置</w:t>
            </w:r>
          </w:p>
        </w:tc>
      </w:tr>
      <w:tr w14:paraId="52955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A3CA1">
            <w:pPr>
              <w:pStyle w:val="11"/>
            </w:pPr>
            <w:r>
              <w:t>预算规模及资金用途</w:t>
            </w:r>
          </w:p>
        </w:tc>
        <w:tc>
          <w:tcPr>
            <w:tcW w:w="2268" w:type="dxa"/>
            <w:vAlign w:val="center"/>
          </w:tcPr>
          <w:p w14:paraId="39ECBFAE">
            <w:pPr>
              <w:pStyle w:val="11"/>
            </w:pPr>
            <w:r>
              <w:t>预算数</w:t>
            </w:r>
          </w:p>
        </w:tc>
        <w:tc>
          <w:tcPr>
            <w:tcW w:w="2835" w:type="dxa"/>
            <w:vAlign w:val="center"/>
          </w:tcPr>
          <w:p w14:paraId="2A489537">
            <w:pPr>
              <w:pStyle w:val="13"/>
            </w:pPr>
            <w:r>
              <w:t>13.00</w:t>
            </w:r>
          </w:p>
        </w:tc>
        <w:tc>
          <w:tcPr>
            <w:tcW w:w="2835" w:type="dxa"/>
            <w:vAlign w:val="center"/>
          </w:tcPr>
          <w:p w14:paraId="397AF59A">
            <w:pPr>
              <w:pStyle w:val="11"/>
            </w:pPr>
            <w:r>
              <w:t>其中：财政    资金</w:t>
            </w:r>
          </w:p>
        </w:tc>
        <w:tc>
          <w:tcPr>
            <w:tcW w:w="2551" w:type="dxa"/>
            <w:vAlign w:val="center"/>
          </w:tcPr>
          <w:p w14:paraId="4F4E33E8">
            <w:pPr>
              <w:pStyle w:val="13"/>
            </w:pPr>
            <w:r>
              <w:t>13.00</w:t>
            </w:r>
          </w:p>
        </w:tc>
        <w:tc>
          <w:tcPr>
            <w:tcW w:w="2268" w:type="dxa"/>
            <w:vAlign w:val="center"/>
          </w:tcPr>
          <w:p w14:paraId="23671590">
            <w:pPr>
              <w:pStyle w:val="11"/>
            </w:pPr>
            <w:r>
              <w:t>其他资金</w:t>
            </w:r>
          </w:p>
        </w:tc>
        <w:tc>
          <w:tcPr>
            <w:tcW w:w="1276" w:type="dxa"/>
            <w:vAlign w:val="center"/>
          </w:tcPr>
          <w:p w14:paraId="710E3808">
            <w:pPr>
              <w:pStyle w:val="13"/>
            </w:pPr>
            <w:r>
              <w:t xml:space="preserve"> </w:t>
            </w:r>
          </w:p>
        </w:tc>
      </w:tr>
      <w:tr w14:paraId="6B97C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94B834"/>
        </w:tc>
        <w:tc>
          <w:tcPr>
            <w:tcW w:w="14033" w:type="dxa"/>
            <w:gridSpan w:val="6"/>
            <w:vAlign w:val="center"/>
          </w:tcPr>
          <w:p w14:paraId="666117AE">
            <w:pPr>
              <w:pStyle w:val="13"/>
            </w:pPr>
            <w:r>
              <w:t>完成大霍幼儿园变压器购置</w:t>
            </w:r>
          </w:p>
          <w:p w14:paraId="17BE7644">
            <w:pPr>
              <w:pStyle w:val="13"/>
            </w:pPr>
            <w:r>
              <w:t>，满足学校正常教学需要。</w:t>
            </w:r>
          </w:p>
        </w:tc>
      </w:tr>
      <w:tr w14:paraId="2C6E9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BFFAC">
            <w:pPr>
              <w:pStyle w:val="11"/>
            </w:pPr>
            <w:r>
              <w:t>资金支出计划（%）</w:t>
            </w:r>
          </w:p>
        </w:tc>
        <w:tc>
          <w:tcPr>
            <w:tcW w:w="5103" w:type="dxa"/>
            <w:gridSpan w:val="2"/>
            <w:vAlign w:val="center"/>
          </w:tcPr>
          <w:p w14:paraId="31993EF1">
            <w:pPr>
              <w:pStyle w:val="11"/>
            </w:pPr>
            <w:r>
              <w:t>3月底</w:t>
            </w:r>
          </w:p>
        </w:tc>
        <w:tc>
          <w:tcPr>
            <w:tcW w:w="2835" w:type="dxa"/>
            <w:vAlign w:val="center"/>
          </w:tcPr>
          <w:p w14:paraId="1A22103F">
            <w:pPr>
              <w:pStyle w:val="11"/>
            </w:pPr>
            <w:r>
              <w:t>6月底</w:t>
            </w:r>
          </w:p>
        </w:tc>
        <w:tc>
          <w:tcPr>
            <w:tcW w:w="2551" w:type="dxa"/>
            <w:vAlign w:val="center"/>
          </w:tcPr>
          <w:p w14:paraId="6F55C0FD">
            <w:pPr>
              <w:pStyle w:val="11"/>
            </w:pPr>
            <w:r>
              <w:t>10月底</w:t>
            </w:r>
          </w:p>
        </w:tc>
        <w:tc>
          <w:tcPr>
            <w:tcW w:w="3544" w:type="dxa"/>
            <w:gridSpan w:val="2"/>
            <w:vAlign w:val="center"/>
          </w:tcPr>
          <w:p w14:paraId="502A4C9F">
            <w:pPr>
              <w:pStyle w:val="11"/>
            </w:pPr>
            <w:r>
              <w:t>12月底</w:t>
            </w:r>
          </w:p>
        </w:tc>
      </w:tr>
      <w:tr w14:paraId="5CB0E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1A92ED"/>
        </w:tc>
        <w:tc>
          <w:tcPr>
            <w:tcW w:w="5103" w:type="dxa"/>
            <w:gridSpan w:val="2"/>
            <w:vAlign w:val="center"/>
          </w:tcPr>
          <w:p w14:paraId="4F97D006">
            <w:pPr>
              <w:pStyle w:val="12"/>
            </w:pPr>
            <w:r>
              <w:t xml:space="preserve"> </w:t>
            </w:r>
          </w:p>
        </w:tc>
        <w:tc>
          <w:tcPr>
            <w:tcW w:w="2835" w:type="dxa"/>
            <w:vAlign w:val="center"/>
          </w:tcPr>
          <w:p w14:paraId="6B6B1C27">
            <w:pPr>
              <w:pStyle w:val="12"/>
            </w:pPr>
            <w:r>
              <w:t>30%</w:t>
            </w:r>
          </w:p>
        </w:tc>
        <w:tc>
          <w:tcPr>
            <w:tcW w:w="2551" w:type="dxa"/>
            <w:vAlign w:val="center"/>
          </w:tcPr>
          <w:p w14:paraId="3D1F3EE5">
            <w:pPr>
              <w:pStyle w:val="12"/>
            </w:pPr>
            <w:r>
              <w:t>80%</w:t>
            </w:r>
          </w:p>
        </w:tc>
        <w:tc>
          <w:tcPr>
            <w:tcW w:w="3544" w:type="dxa"/>
            <w:gridSpan w:val="2"/>
            <w:vAlign w:val="center"/>
          </w:tcPr>
          <w:p w14:paraId="1BB5498F">
            <w:pPr>
              <w:pStyle w:val="12"/>
            </w:pPr>
            <w:r>
              <w:t>100%</w:t>
            </w:r>
          </w:p>
        </w:tc>
      </w:tr>
      <w:tr w14:paraId="38D35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BDED0">
            <w:pPr>
              <w:pStyle w:val="11"/>
            </w:pPr>
            <w:r>
              <w:t>绩效目标</w:t>
            </w:r>
          </w:p>
        </w:tc>
        <w:tc>
          <w:tcPr>
            <w:tcW w:w="14033" w:type="dxa"/>
            <w:gridSpan w:val="6"/>
            <w:vAlign w:val="center"/>
          </w:tcPr>
          <w:p w14:paraId="2F1924AF">
            <w:pPr>
              <w:pStyle w:val="13"/>
            </w:pPr>
            <w:r>
              <w:t>1.完成大霍幼儿园变压器购置，满足学校正常教学需要。</w:t>
            </w:r>
          </w:p>
          <w:p w14:paraId="3AD2E485">
            <w:pPr>
              <w:pStyle w:val="13"/>
            </w:pPr>
            <w:r>
              <w:t>2.按规定拨付专项资金，资金支付率达到100%。</w:t>
            </w:r>
          </w:p>
        </w:tc>
      </w:tr>
    </w:tbl>
    <w:p w14:paraId="7F1576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3D0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C3291">
            <w:pPr>
              <w:pStyle w:val="11"/>
            </w:pPr>
            <w:r>
              <w:t>一级指标</w:t>
            </w:r>
          </w:p>
        </w:tc>
        <w:tc>
          <w:tcPr>
            <w:tcW w:w="2268" w:type="dxa"/>
            <w:vAlign w:val="center"/>
          </w:tcPr>
          <w:p w14:paraId="1D5577AE">
            <w:pPr>
              <w:pStyle w:val="11"/>
            </w:pPr>
            <w:r>
              <w:t>二级指标</w:t>
            </w:r>
          </w:p>
        </w:tc>
        <w:tc>
          <w:tcPr>
            <w:tcW w:w="2835" w:type="dxa"/>
            <w:vAlign w:val="center"/>
          </w:tcPr>
          <w:p w14:paraId="7B7339D0">
            <w:pPr>
              <w:pStyle w:val="11"/>
            </w:pPr>
            <w:r>
              <w:t>三级指标</w:t>
            </w:r>
          </w:p>
        </w:tc>
        <w:tc>
          <w:tcPr>
            <w:tcW w:w="5386" w:type="dxa"/>
            <w:vAlign w:val="center"/>
          </w:tcPr>
          <w:p w14:paraId="6BDBB49C">
            <w:pPr>
              <w:pStyle w:val="11"/>
            </w:pPr>
            <w:r>
              <w:t>绩效指标描述</w:t>
            </w:r>
          </w:p>
        </w:tc>
        <w:tc>
          <w:tcPr>
            <w:tcW w:w="2268" w:type="dxa"/>
            <w:vAlign w:val="center"/>
          </w:tcPr>
          <w:p w14:paraId="4C3207D3">
            <w:pPr>
              <w:pStyle w:val="11"/>
            </w:pPr>
            <w:r>
              <w:t>指标值</w:t>
            </w:r>
          </w:p>
        </w:tc>
        <w:tc>
          <w:tcPr>
            <w:tcW w:w="1276" w:type="dxa"/>
            <w:vAlign w:val="center"/>
          </w:tcPr>
          <w:p w14:paraId="0B6619F0">
            <w:pPr>
              <w:pStyle w:val="11"/>
            </w:pPr>
            <w:r>
              <w:t>指标值确定依据</w:t>
            </w:r>
          </w:p>
        </w:tc>
      </w:tr>
      <w:tr w14:paraId="21CC1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2F48F">
            <w:pPr>
              <w:pStyle w:val="12"/>
            </w:pPr>
            <w:r>
              <w:t>产出指标</w:t>
            </w:r>
          </w:p>
        </w:tc>
        <w:tc>
          <w:tcPr>
            <w:tcW w:w="2268" w:type="dxa"/>
            <w:vAlign w:val="center"/>
          </w:tcPr>
          <w:p w14:paraId="2AA61C9D">
            <w:pPr>
              <w:pStyle w:val="13"/>
            </w:pPr>
            <w:r>
              <w:t>数量指标</w:t>
            </w:r>
          </w:p>
        </w:tc>
        <w:tc>
          <w:tcPr>
            <w:tcW w:w="2835" w:type="dxa"/>
            <w:vAlign w:val="center"/>
          </w:tcPr>
          <w:p w14:paraId="7959A299">
            <w:pPr>
              <w:pStyle w:val="13"/>
            </w:pPr>
            <w:r>
              <w:t>变压器</w:t>
            </w:r>
          </w:p>
        </w:tc>
        <w:tc>
          <w:tcPr>
            <w:tcW w:w="5386" w:type="dxa"/>
            <w:vAlign w:val="center"/>
          </w:tcPr>
          <w:p w14:paraId="0046762F">
            <w:pPr>
              <w:pStyle w:val="13"/>
            </w:pPr>
            <w:r>
              <w:t>变压器</w:t>
            </w:r>
          </w:p>
        </w:tc>
        <w:tc>
          <w:tcPr>
            <w:tcW w:w="2268" w:type="dxa"/>
            <w:vAlign w:val="center"/>
          </w:tcPr>
          <w:p w14:paraId="17A631B0">
            <w:pPr>
              <w:pStyle w:val="13"/>
            </w:pPr>
            <w:r>
              <w:t>13万元</w:t>
            </w:r>
          </w:p>
        </w:tc>
        <w:tc>
          <w:tcPr>
            <w:tcW w:w="1276" w:type="dxa"/>
            <w:vAlign w:val="center"/>
          </w:tcPr>
          <w:p w14:paraId="4EF70869">
            <w:pPr>
              <w:pStyle w:val="13"/>
            </w:pPr>
            <w:r>
              <w:t>城乡义务教育公用经费管理办法</w:t>
            </w:r>
          </w:p>
        </w:tc>
      </w:tr>
      <w:tr w14:paraId="72DC8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3645B"/>
        </w:tc>
        <w:tc>
          <w:tcPr>
            <w:tcW w:w="2268" w:type="dxa"/>
            <w:vAlign w:val="center"/>
          </w:tcPr>
          <w:p w14:paraId="355828DE">
            <w:pPr>
              <w:pStyle w:val="13"/>
            </w:pPr>
            <w:r>
              <w:t>质量指标</w:t>
            </w:r>
          </w:p>
        </w:tc>
        <w:tc>
          <w:tcPr>
            <w:tcW w:w="2835" w:type="dxa"/>
            <w:vAlign w:val="center"/>
          </w:tcPr>
          <w:p w14:paraId="4FE81ECA">
            <w:pPr>
              <w:pStyle w:val="13"/>
            </w:pPr>
            <w:r>
              <w:t>资金支付率</w:t>
            </w:r>
          </w:p>
        </w:tc>
        <w:tc>
          <w:tcPr>
            <w:tcW w:w="5386" w:type="dxa"/>
            <w:vAlign w:val="center"/>
          </w:tcPr>
          <w:p w14:paraId="25A58D0C">
            <w:pPr>
              <w:pStyle w:val="13"/>
            </w:pPr>
            <w:r>
              <w:t>按照序时进度完成资金支付</w:t>
            </w:r>
          </w:p>
        </w:tc>
        <w:tc>
          <w:tcPr>
            <w:tcW w:w="2268" w:type="dxa"/>
            <w:vAlign w:val="center"/>
          </w:tcPr>
          <w:p w14:paraId="7E3773DF">
            <w:pPr>
              <w:pStyle w:val="13"/>
            </w:pPr>
            <w:r>
              <w:t>≥100%</w:t>
            </w:r>
          </w:p>
        </w:tc>
        <w:tc>
          <w:tcPr>
            <w:tcW w:w="1276" w:type="dxa"/>
            <w:vAlign w:val="center"/>
          </w:tcPr>
          <w:p w14:paraId="487F83B5">
            <w:pPr>
              <w:pStyle w:val="13"/>
            </w:pPr>
            <w:r>
              <w:t>城乡义务教育公用经费管理办法</w:t>
            </w:r>
          </w:p>
        </w:tc>
      </w:tr>
      <w:tr w14:paraId="6864D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70412"/>
        </w:tc>
        <w:tc>
          <w:tcPr>
            <w:tcW w:w="2268" w:type="dxa"/>
            <w:vAlign w:val="center"/>
          </w:tcPr>
          <w:p w14:paraId="06F0CC36">
            <w:pPr>
              <w:pStyle w:val="13"/>
            </w:pPr>
            <w:r>
              <w:t>时效指标</w:t>
            </w:r>
          </w:p>
        </w:tc>
        <w:tc>
          <w:tcPr>
            <w:tcW w:w="2835" w:type="dxa"/>
            <w:vAlign w:val="center"/>
          </w:tcPr>
          <w:p w14:paraId="23135286">
            <w:pPr>
              <w:pStyle w:val="13"/>
            </w:pPr>
            <w:r>
              <w:t>项目竣工验收合格率</w:t>
            </w:r>
          </w:p>
        </w:tc>
        <w:tc>
          <w:tcPr>
            <w:tcW w:w="5386" w:type="dxa"/>
            <w:vAlign w:val="center"/>
          </w:tcPr>
          <w:p w14:paraId="463F38B8">
            <w:pPr>
              <w:pStyle w:val="13"/>
            </w:pPr>
            <w:r>
              <w:t>项目改造质量达标率</w:t>
            </w:r>
          </w:p>
        </w:tc>
        <w:tc>
          <w:tcPr>
            <w:tcW w:w="2268" w:type="dxa"/>
            <w:vAlign w:val="center"/>
          </w:tcPr>
          <w:p w14:paraId="15E9C88B">
            <w:pPr>
              <w:pStyle w:val="13"/>
            </w:pPr>
            <w:r>
              <w:t>≥100%</w:t>
            </w:r>
          </w:p>
        </w:tc>
        <w:tc>
          <w:tcPr>
            <w:tcW w:w="1276" w:type="dxa"/>
            <w:vAlign w:val="center"/>
          </w:tcPr>
          <w:p w14:paraId="217C9211">
            <w:pPr>
              <w:pStyle w:val="13"/>
            </w:pPr>
            <w:r>
              <w:t>城乡义务教育公用经费管理办法</w:t>
            </w:r>
          </w:p>
        </w:tc>
      </w:tr>
      <w:tr w14:paraId="671EB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CBCE5"/>
        </w:tc>
        <w:tc>
          <w:tcPr>
            <w:tcW w:w="2268" w:type="dxa"/>
            <w:vAlign w:val="center"/>
          </w:tcPr>
          <w:p w14:paraId="05EE8F35">
            <w:pPr>
              <w:pStyle w:val="13"/>
            </w:pPr>
            <w:r>
              <w:t>成本指标</w:t>
            </w:r>
          </w:p>
        </w:tc>
        <w:tc>
          <w:tcPr>
            <w:tcW w:w="2835" w:type="dxa"/>
            <w:vAlign w:val="center"/>
          </w:tcPr>
          <w:p w14:paraId="49264EE6">
            <w:pPr>
              <w:pStyle w:val="13"/>
            </w:pPr>
            <w:r>
              <w:t>项目实际成本</w:t>
            </w:r>
          </w:p>
        </w:tc>
        <w:tc>
          <w:tcPr>
            <w:tcW w:w="5386" w:type="dxa"/>
            <w:vAlign w:val="center"/>
          </w:tcPr>
          <w:p w14:paraId="553E7F4B">
            <w:pPr>
              <w:pStyle w:val="13"/>
            </w:pPr>
            <w:r>
              <w:t>变压器</w:t>
            </w:r>
          </w:p>
        </w:tc>
        <w:tc>
          <w:tcPr>
            <w:tcW w:w="2268" w:type="dxa"/>
            <w:vAlign w:val="center"/>
          </w:tcPr>
          <w:p w14:paraId="51C1768C">
            <w:pPr>
              <w:pStyle w:val="13"/>
            </w:pPr>
            <w:r>
              <w:t>13万元</w:t>
            </w:r>
          </w:p>
        </w:tc>
        <w:tc>
          <w:tcPr>
            <w:tcW w:w="1276" w:type="dxa"/>
            <w:vAlign w:val="center"/>
          </w:tcPr>
          <w:p w14:paraId="4264085E">
            <w:pPr>
              <w:pStyle w:val="13"/>
            </w:pPr>
            <w:r>
              <w:t>城乡义务教育公用经费管理办法</w:t>
            </w:r>
          </w:p>
        </w:tc>
      </w:tr>
      <w:tr w14:paraId="43FB6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71E5F">
            <w:pPr>
              <w:pStyle w:val="12"/>
            </w:pPr>
            <w:r>
              <w:t>效益指标</w:t>
            </w:r>
          </w:p>
        </w:tc>
        <w:tc>
          <w:tcPr>
            <w:tcW w:w="2268" w:type="dxa"/>
            <w:vAlign w:val="center"/>
          </w:tcPr>
          <w:p w14:paraId="1816C4ED">
            <w:pPr>
              <w:pStyle w:val="13"/>
            </w:pPr>
            <w:r>
              <w:t>经济效益指标</w:t>
            </w:r>
          </w:p>
        </w:tc>
        <w:tc>
          <w:tcPr>
            <w:tcW w:w="2835" w:type="dxa"/>
            <w:vAlign w:val="center"/>
          </w:tcPr>
          <w:p w14:paraId="1ABE6DD6">
            <w:pPr>
              <w:pStyle w:val="13"/>
            </w:pPr>
            <w:r>
              <w:t>教育发展水平</w:t>
            </w:r>
          </w:p>
        </w:tc>
        <w:tc>
          <w:tcPr>
            <w:tcW w:w="5386" w:type="dxa"/>
            <w:vAlign w:val="center"/>
          </w:tcPr>
          <w:p w14:paraId="6F9C1669">
            <w:pPr>
              <w:pStyle w:val="13"/>
            </w:pPr>
            <w:r>
              <w:t>辖区内教育环境明显好转</w:t>
            </w:r>
          </w:p>
        </w:tc>
        <w:tc>
          <w:tcPr>
            <w:tcW w:w="2268" w:type="dxa"/>
            <w:vAlign w:val="center"/>
          </w:tcPr>
          <w:p w14:paraId="6F1B6CD7">
            <w:pPr>
              <w:pStyle w:val="13"/>
            </w:pPr>
            <w:r>
              <w:t>≥95%</w:t>
            </w:r>
          </w:p>
        </w:tc>
        <w:tc>
          <w:tcPr>
            <w:tcW w:w="1276" w:type="dxa"/>
            <w:vAlign w:val="center"/>
          </w:tcPr>
          <w:p w14:paraId="0EA3EF5A">
            <w:pPr>
              <w:pStyle w:val="13"/>
            </w:pPr>
            <w:r>
              <w:t>城乡义务教育公用经费管理办法</w:t>
            </w:r>
          </w:p>
        </w:tc>
      </w:tr>
      <w:tr w14:paraId="162A5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8C8DF"/>
        </w:tc>
        <w:tc>
          <w:tcPr>
            <w:tcW w:w="2268" w:type="dxa"/>
            <w:vAlign w:val="center"/>
          </w:tcPr>
          <w:p w14:paraId="46E8ECA3">
            <w:pPr>
              <w:pStyle w:val="13"/>
            </w:pPr>
            <w:r>
              <w:t>社会效益指标</w:t>
            </w:r>
          </w:p>
        </w:tc>
        <w:tc>
          <w:tcPr>
            <w:tcW w:w="2835" w:type="dxa"/>
            <w:vAlign w:val="center"/>
          </w:tcPr>
          <w:p w14:paraId="0A4F7B61">
            <w:pPr>
              <w:pStyle w:val="13"/>
            </w:pPr>
            <w:r>
              <w:t>校园环境</w:t>
            </w:r>
          </w:p>
        </w:tc>
        <w:tc>
          <w:tcPr>
            <w:tcW w:w="5386" w:type="dxa"/>
            <w:vAlign w:val="center"/>
          </w:tcPr>
          <w:p w14:paraId="2DD90E57">
            <w:pPr>
              <w:pStyle w:val="13"/>
            </w:pPr>
            <w:r>
              <w:t>办学条件和环境得到改善</w:t>
            </w:r>
          </w:p>
        </w:tc>
        <w:tc>
          <w:tcPr>
            <w:tcW w:w="2268" w:type="dxa"/>
            <w:vAlign w:val="center"/>
          </w:tcPr>
          <w:p w14:paraId="53265E5E">
            <w:pPr>
              <w:pStyle w:val="13"/>
            </w:pPr>
            <w:r>
              <w:t>≥95%</w:t>
            </w:r>
          </w:p>
        </w:tc>
        <w:tc>
          <w:tcPr>
            <w:tcW w:w="1276" w:type="dxa"/>
            <w:vAlign w:val="center"/>
          </w:tcPr>
          <w:p w14:paraId="197CC1AE">
            <w:pPr>
              <w:pStyle w:val="13"/>
            </w:pPr>
            <w:r>
              <w:t>城乡义务教育公用经费管理办法</w:t>
            </w:r>
          </w:p>
        </w:tc>
      </w:tr>
      <w:tr w14:paraId="6D332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746906">
            <w:pPr>
              <w:pStyle w:val="12"/>
            </w:pPr>
            <w:r>
              <w:t>满意度指标</w:t>
            </w:r>
          </w:p>
        </w:tc>
        <w:tc>
          <w:tcPr>
            <w:tcW w:w="2268" w:type="dxa"/>
            <w:vAlign w:val="center"/>
          </w:tcPr>
          <w:p w14:paraId="18B709AE">
            <w:pPr>
              <w:pStyle w:val="13"/>
            </w:pPr>
            <w:r>
              <w:t>服务对象满意度指标</w:t>
            </w:r>
          </w:p>
        </w:tc>
        <w:tc>
          <w:tcPr>
            <w:tcW w:w="2835" w:type="dxa"/>
            <w:vAlign w:val="center"/>
          </w:tcPr>
          <w:p w14:paraId="2DD364F4">
            <w:pPr>
              <w:pStyle w:val="13"/>
            </w:pPr>
            <w:r>
              <w:t>受益学生家长及调查满意度</w:t>
            </w:r>
          </w:p>
        </w:tc>
        <w:tc>
          <w:tcPr>
            <w:tcW w:w="5386" w:type="dxa"/>
            <w:vAlign w:val="center"/>
          </w:tcPr>
          <w:p w14:paraId="18F529E1">
            <w:pPr>
              <w:pStyle w:val="13"/>
            </w:pPr>
            <w:r>
              <w:t>学生、教师及家长对学校工作满意度情况</w:t>
            </w:r>
          </w:p>
        </w:tc>
        <w:tc>
          <w:tcPr>
            <w:tcW w:w="2268" w:type="dxa"/>
            <w:vAlign w:val="center"/>
          </w:tcPr>
          <w:p w14:paraId="620F8969">
            <w:pPr>
              <w:pStyle w:val="13"/>
            </w:pPr>
            <w:r>
              <w:t>≥95%</w:t>
            </w:r>
          </w:p>
        </w:tc>
        <w:tc>
          <w:tcPr>
            <w:tcW w:w="1276" w:type="dxa"/>
            <w:vAlign w:val="center"/>
          </w:tcPr>
          <w:p w14:paraId="72673E7E">
            <w:pPr>
              <w:pStyle w:val="13"/>
            </w:pPr>
            <w:r>
              <w:t>城乡义务教育公用经费管理办法</w:t>
            </w:r>
          </w:p>
        </w:tc>
      </w:tr>
    </w:tbl>
    <w:p w14:paraId="1C22D621">
      <w:pPr>
        <w:sectPr>
          <w:pgSz w:w="16840" w:h="11900" w:orient="landscape"/>
          <w:pgMar w:top="1361" w:right="1020" w:bottom="1134" w:left="1020" w:header="720" w:footer="720" w:gutter="0"/>
          <w:cols w:space="720" w:num="1"/>
        </w:sectPr>
      </w:pPr>
    </w:p>
    <w:p w14:paraId="684C6E9A">
      <w:pPr>
        <w:spacing w:before="0" w:after="0"/>
        <w:ind w:firstLine="560"/>
        <w:jc w:val="left"/>
        <w:outlineLvl w:val="9"/>
      </w:pPr>
      <w:r>
        <w:rPr>
          <w:rFonts w:ascii="方正仿宋_GBK" w:hAnsi="方正仿宋_GBK" w:eastAsia="方正仿宋_GBK" w:cs="方正仿宋_GBK"/>
          <w:b/>
          <w:color w:val="000000"/>
          <w:sz w:val="28"/>
        </w:rPr>
        <w:t>6、冀财教[2024]121号/中央/2025年学前教育发展/大霍幼儿园餐厅设备购置绩效目标表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01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863DB">
            <w:pPr>
              <w:pStyle w:val="14"/>
            </w:pPr>
            <w:r>
              <w:t>单位：万元</w:t>
            </w:r>
          </w:p>
        </w:tc>
      </w:tr>
      <w:tr w14:paraId="745FC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CEC6C">
            <w:pPr>
              <w:pStyle w:val="11"/>
            </w:pPr>
            <w:r>
              <w:t>项目编码</w:t>
            </w:r>
          </w:p>
        </w:tc>
        <w:tc>
          <w:tcPr>
            <w:tcW w:w="5103" w:type="dxa"/>
            <w:gridSpan w:val="2"/>
            <w:vAlign w:val="center"/>
          </w:tcPr>
          <w:p w14:paraId="0151B9F2">
            <w:pPr>
              <w:pStyle w:val="13"/>
            </w:pPr>
            <w:r>
              <w:t>13052525P00876910018B</w:t>
            </w:r>
          </w:p>
        </w:tc>
        <w:tc>
          <w:tcPr>
            <w:tcW w:w="2835" w:type="dxa"/>
            <w:vAlign w:val="center"/>
          </w:tcPr>
          <w:p w14:paraId="0AED6B56">
            <w:pPr>
              <w:pStyle w:val="11"/>
            </w:pPr>
            <w:r>
              <w:t>项目名称</w:t>
            </w:r>
          </w:p>
        </w:tc>
        <w:tc>
          <w:tcPr>
            <w:tcW w:w="6095" w:type="dxa"/>
            <w:gridSpan w:val="3"/>
            <w:vAlign w:val="center"/>
          </w:tcPr>
          <w:p w14:paraId="3D7A565C">
            <w:pPr>
              <w:pStyle w:val="13"/>
            </w:pPr>
            <w:r>
              <w:t>冀财教[2024]121号/中央/2025年学前教育发展/大霍幼儿园餐厅设备购置</w:t>
            </w:r>
          </w:p>
        </w:tc>
      </w:tr>
      <w:tr w14:paraId="343ED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90340">
            <w:pPr>
              <w:pStyle w:val="11"/>
            </w:pPr>
            <w:r>
              <w:t>预算规模及资金用途</w:t>
            </w:r>
          </w:p>
        </w:tc>
        <w:tc>
          <w:tcPr>
            <w:tcW w:w="2268" w:type="dxa"/>
            <w:vAlign w:val="center"/>
          </w:tcPr>
          <w:p w14:paraId="085B0C8C">
            <w:pPr>
              <w:pStyle w:val="11"/>
            </w:pPr>
            <w:r>
              <w:t>预算数</w:t>
            </w:r>
          </w:p>
        </w:tc>
        <w:tc>
          <w:tcPr>
            <w:tcW w:w="2835" w:type="dxa"/>
            <w:vAlign w:val="center"/>
          </w:tcPr>
          <w:p w14:paraId="11B3CD27">
            <w:pPr>
              <w:pStyle w:val="13"/>
            </w:pPr>
            <w:r>
              <w:t>9.20</w:t>
            </w:r>
          </w:p>
        </w:tc>
        <w:tc>
          <w:tcPr>
            <w:tcW w:w="2835" w:type="dxa"/>
            <w:vAlign w:val="center"/>
          </w:tcPr>
          <w:p w14:paraId="1EFD08E5">
            <w:pPr>
              <w:pStyle w:val="11"/>
            </w:pPr>
            <w:r>
              <w:t>其中：财政    资金</w:t>
            </w:r>
          </w:p>
        </w:tc>
        <w:tc>
          <w:tcPr>
            <w:tcW w:w="2551" w:type="dxa"/>
            <w:vAlign w:val="center"/>
          </w:tcPr>
          <w:p w14:paraId="3AE2CA57">
            <w:pPr>
              <w:pStyle w:val="13"/>
            </w:pPr>
            <w:r>
              <w:t>9.20</w:t>
            </w:r>
          </w:p>
        </w:tc>
        <w:tc>
          <w:tcPr>
            <w:tcW w:w="2268" w:type="dxa"/>
            <w:vAlign w:val="center"/>
          </w:tcPr>
          <w:p w14:paraId="67E0CCDD">
            <w:pPr>
              <w:pStyle w:val="11"/>
            </w:pPr>
            <w:r>
              <w:t>其他资金</w:t>
            </w:r>
          </w:p>
        </w:tc>
        <w:tc>
          <w:tcPr>
            <w:tcW w:w="1276" w:type="dxa"/>
            <w:vAlign w:val="center"/>
          </w:tcPr>
          <w:p w14:paraId="07F317E2">
            <w:pPr>
              <w:pStyle w:val="13"/>
            </w:pPr>
            <w:r>
              <w:t xml:space="preserve"> </w:t>
            </w:r>
          </w:p>
        </w:tc>
      </w:tr>
      <w:tr w14:paraId="79D10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E243F"/>
        </w:tc>
        <w:tc>
          <w:tcPr>
            <w:tcW w:w="14033" w:type="dxa"/>
            <w:gridSpan w:val="6"/>
            <w:vAlign w:val="center"/>
          </w:tcPr>
          <w:p w14:paraId="2C59F6D2">
            <w:pPr>
              <w:pStyle w:val="13"/>
            </w:pPr>
            <w:r>
              <w:t>完成大霍幼儿园餐厅设备购置</w:t>
            </w:r>
          </w:p>
          <w:p w14:paraId="7404A817">
            <w:pPr>
              <w:pStyle w:val="13"/>
            </w:pPr>
            <w:r>
              <w:t>，满足学校正常教学需要</w:t>
            </w:r>
          </w:p>
        </w:tc>
      </w:tr>
      <w:tr w14:paraId="4066F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BB0A1">
            <w:pPr>
              <w:pStyle w:val="11"/>
            </w:pPr>
            <w:r>
              <w:t>资金支出计划（%）</w:t>
            </w:r>
          </w:p>
        </w:tc>
        <w:tc>
          <w:tcPr>
            <w:tcW w:w="5103" w:type="dxa"/>
            <w:gridSpan w:val="2"/>
            <w:vAlign w:val="center"/>
          </w:tcPr>
          <w:p w14:paraId="2C634A0E">
            <w:pPr>
              <w:pStyle w:val="11"/>
            </w:pPr>
            <w:r>
              <w:t>3月底</w:t>
            </w:r>
          </w:p>
        </w:tc>
        <w:tc>
          <w:tcPr>
            <w:tcW w:w="2835" w:type="dxa"/>
            <w:vAlign w:val="center"/>
          </w:tcPr>
          <w:p w14:paraId="44E06C29">
            <w:pPr>
              <w:pStyle w:val="11"/>
            </w:pPr>
            <w:r>
              <w:t>6月底</w:t>
            </w:r>
          </w:p>
        </w:tc>
        <w:tc>
          <w:tcPr>
            <w:tcW w:w="2551" w:type="dxa"/>
            <w:vAlign w:val="center"/>
          </w:tcPr>
          <w:p w14:paraId="348582BB">
            <w:pPr>
              <w:pStyle w:val="11"/>
            </w:pPr>
            <w:r>
              <w:t>10月底</w:t>
            </w:r>
          </w:p>
        </w:tc>
        <w:tc>
          <w:tcPr>
            <w:tcW w:w="3544" w:type="dxa"/>
            <w:gridSpan w:val="2"/>
            <w:vAlign w:val="center"/>
          </w:tcPr>
          <w:p w14:paraId="1B02D566">
            <w:pPr>
              <w:pStyle w:val="11"/>
            </w:pPr>
            <w:r>
              <w:t>12月底</w:t>
            </w:r>
          </w:p>
        </w:tc>
      </w:tr>
      <w:tr w14:paraId="48C45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671B4"/>
        </w:tc>
        <w:tc>
          <w:tcPr>
            <w:tcW w:w="5103" w:type="dxa"/>
            <w:gridSpan w:val="2"/>
            <w:vAlign w:val="center"/>
          </w:tcPr>
          <w:p w14:paraId="7DF06B74">
            <w:pPr>
              <w:pStyle w:val="12"/>
            </w:pPr>
            <w:r>
              <w:t xml:space="preserve"> </w:t>
            </w:r>
          </w:p>
        </w:tc>
        <w:tc>
          <w:tcPr>
            <w:tcW w:w="2835" w:type="dxa"/>
            <w:vAlign w:val="center"/>
          </w:tcPr>
          <w:p w14:paraId="1311F3F2">
            <w:pPr>
              <w:pStyle w:val="12"/>
            </w:pPr>
            <w:r>
              <w:t>30%</w:t>
            </w:r>
          </w:p>
        </w:tc>
        <w:tc>
          <w:tcPr>
            <w:tcW w:w="2551" w:type="dxa"/>
            <w:vAlign w:val="center"/>
          </w:tcPr>
          <w:p w14:paraId="31AFA031">
            <w:pPr>
              <w:pStyle w:val="12"/>
            </w:pPr>
            <w:r>
              <w:t>80%</w:t>
            </w:r>
          </w:p>
        </w:tc>
        <w:tc>
          <w:tcPr>
            <w:tcW w:w="3544" w:type="dxa"/>
            <w:gridSpan w:val="2"/>
            <w:vAlign w:val="center"/>
          </w:tcPr>
          <w:p w14:paraId="486ADBED">
            <w:pPr>
              <w:pStyle w:val="12"/>
            </w:pPr>
            <w:r>
              <w:t>100%</w:t>
            </w:r>
          </w:p>
        </w:tc>
      </w:tr>
      <w:tr w14:paraId="315F0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F8611C">
            <w:pPr>
              <w:pStyle w:val="11"/>
            </w:pPr>
            <w:r>
              <w:t>绩效目标</w:t>
            </w:r>
          </w:p>
        </w:tc>
        <w:tc>
          <w:tcPr>
            <w:tcW w:w="14033" w:type="dxa"/>
            <w:gridSpan w:val="6"/>
            <w:vAlign w:val="center"/>
          </w:tcPr>
          <w:p w14:paraId="16EB730A">
            <w:pPr>
              <w:pStyle w:val="13"/>
            </w:pPr>
            <w:r>
              <w:t>1.完成大霍幼儿园餐厅设备购置，满足学校正常教学需要。</w:t>
            </w:r>
          </w:p>
          <w:p w14:paraId="1A0CD1CB">
            <w:pPr>
              <w:pStyle w:val="13"/>
            </w:pPr>
            <w:r>
              <w:t>2.按规定拨付专项资金，资金支付率达到100%。</w:t>
            </w:r>
          </w:p>
        </w:tc>
      </w:tr>
    </w:tbl>
    <w:p w14:paraId="12D424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14:paraId="074D5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C32B6">
            <w:pPr>
              <w:pStyle w:val="11"/>
            </w:pPr>
            <w:r>
              <w:t>一级指标</w:t>
            </w:r>
          </w:p>
        </w:tc>
        <w:tc>
          <w:tcPr>
            <w:tcW w:w="2268" w:type="dxa"/>
            <w:vAlign w:val="center"/>
          </w:tcPr>
          <w:p w14:paraId="077BD1E6">
            <w:pPr>
              <w:pStyle w:val="11"/>
            </w:pPr>
            <w:r>
              <w:t>二级指标</w:t>
            </w:r>
          </w:p>
        </w:tc>
        <w:tc>
          <w:tcPr>
            <w:tcW w:w="2835" w:type="dxa"/>
            <w:vAlign w:val="center"/>
          </w:tcPr>
          <w:p w14:paraId="0F19C0A3">
            <w:pPr>
              <w:pStyle w:val="11"/>
            </w:pPr>
            <w:r>
              <w:t>三级指标</w:t>
            </w:r>
          </w:p>
        </w:tc>
        <w:tc>
          <w:tcPr>
            <w:tcW w:w="5386" w:type="dxa"/>
            <w:vAlign w:val="center"/>
          </w:tcPr>
          <w:p w14:paraId="32D28479">
            <w:pPr>
              <w:pStyle w:val="11"/>
            </w:pPr>
            <w:r>
              <w:t>绩效指标描述</w:t>
            </w:r>
          </w:p>
        </w:tc>
        <w:tc>
          <w:tcPr>
            <w:tcW w:w="1928" w:type="dxa"/>
            <w:vAlign w:val="center"/>
          </w:tcPr>
          <w:p w14:paraId="4B3B1BC1">
            <w:pPr>
              <w:pStyle w:val="11"/>
            </w:pPr>
            <w:r>
              <w:t>指标值</w:t>
            </w:r>
          </w:p>
        </w:tc>
        <w:tc>
          <w:tcPr>
            <w:tcW w:w="1616" w:type="dxa"/>
            <w:vAlign w:val="center"/>
          </w:tcPr>
          <w:p w14:paraId="23C818E3">
            <w:pPr>
              <w:pStyle w:val="11"/>
            </w:pPr>
            <w:r>
              <w:t>指标值确定依据</w:t>
            </w:r>
          </w:p>
        </w:tc>
      </w:tr>
      <w:tr w14:paraId="5A115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A49BA">
            <w:pPr>
              <w:pStyle w:val="12"/>
            </w:pPr>
            <w:r>
              <w:t>产出指标</w:t>
            </w:r>
          </w:p>
        </w:tc>
        <w:tc>
          <w:tcPr>
            <w:tcW w:w="2268" w:type="dxa"/>
            <w:vAlign w:val="center"/>
          </w:tcPr>
          <w:p w14:paraId="5113A892">
            <w:pPr>
              <w:pStyle w:val="13"/>
            </w:pPr>
            <w:r>
              <w:t>数量指标</w:t>
            </w:r>
          </w:p>
        </w:tc>
        <w:tc>
          <w:tcPr>
            <w:tcW w:w="2835" w:type="dxa"/>
            <w:vAlign w:val="center"/>
          </w:tcPr>
          <w:p w14:paraId="1A1C6FAF">
            <w:pPr>
              <w:pStyle w:val="13"/>
            </w:pPr>
            <w:r>
              <w:t>餐厅设备电大锅等</w:t>
            </w:r>
          </w:p>
        </w:tc>
        <w:tc>
          <w:tcPr>
            <w:tcW w:w="5386" w:type="dxa"/>
            <w:vAlign w:val="center"/>
          </w:tcPr>
          <w:p w14:paraId="76C7E8B9">
            <w:pPr>
              <w:pStyle w:val="13"/>
            </w:pPr>
            <w:r>
              <w:t>餐厅设备电大锅等</w:t>
            </w:r>
          </w:p>
        </w:tc>
        <w:tc>
          <w:tcPr>
            <w:tcW w:w="1928" w:type="dxa"/>
            <w:vAlign w:val="center"/>
          </w:tcPr>
          <w:p w14:paraId="617B7B7A">
            <w:pPr>
              <w:pStyle w:val="13"/>
            </w:pPr>
            <w:r>
              <w:t>9.2万元</w:t>
            </w:r>
          </w:p>
        </w:tc>
        <w:tc>
          <w:tcPr>
            <w:tcW w:w="1616" w:type="dxa"/>
            <w:vAlign w:val="center"/>
          </w:tcPr>
          <w:p w14:paraId="33032FF6">
            <w:pPr>
              <w:pStyle w:val="13"/>
            </w:pPr>
            <w:r>
              <w:t>城乡义务教育公用经费管理办法</w:t>
            </w:r>
          </w:p>
        </w:tc>
      </w:tr>
      <w:tr w14:paraId="61589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30A08"/>
        </w:tc>
        <w:tc>
          <w:tcPr>
            <w:tcW w:w="2268" w:type="dxa"/>
            <w:vAlign w:val="center"/>
          </w:tcPr>
          <w:p w14:paraId="3CF5D6C6">
            <w:pPr>
              <w:pStyle w:val="13"/>
            </w:pPr>
            <w:r>
              <w:t>质量指标</w:t>
            </w:r>
          </w:p>
        </w:tc>
        <w:tc>
          <w:tcPr>
            <w:tcW w:w="2835" w:type="dxa"/>
            <w:vAlign w:val="center"/>
          </w:tcPr>
          <w:p w14:paraId="5E3571DF">
            <w:pPr>
              <w:pStyle w:val="13"/>
            </w:pPr>
            <w:r>
              <w:t>资金支付率</w:t>
            </w:r>
          </w:p>
        </w:tc>
        <w:tc>
          <w:tcPr>
            <w:tcW w:w="5386" w:type="dxa"/>
            <w:vAlign w:val="center"/>
          </w:tcPr>
          <w:p w14:paraId="0F730078">
            <w:pPr>
              <w:pStyle w:val="13"/>
            </w:pPr>
            <w:r>
              <w:t>按照序时进度完成资金支付</w:t>
            </w:r>
          </w:p>
        </w:tc>
        <w:tc>
          <w:tcPr>
            <w:tcW w:w="1928" w:type="dxa"/>
            <w:vAlign w:val="center"/>
          </w:tcPr>
          <w:p w14:paraId="5C020076">
            <w:pPr>
              <w:pStyle w:val="13"/>
            </w:pPr>
            <w:r>
              <w:t>≥100%</w:t>
            </w:r>
          </w:p>
        </w:tc>
        <w:tc>
          <w:tcPr>
            <w:tcW w:w="1616" w:type="dxa"/>
            <w:vAlign w:val="center"/>
          </w:tcPr>
          <w:p w14:paraId="491904A3">
            <w:pPr>
              <w:pStyle w:val="13"/>
            </w:pPr>
            <w:r>
              <w:t>城乡义务教育公用经费管理办法</w:t>
            </w:r>
          </w:p>
        </w:tc>
      </w:tr>
      <w:tr w14:paraId="6BEA8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96089"/>
        </w:tc>
        <w:tc>
          <w:tcPr>
            <w:tcW w:w="2268" w:type="dxa"/>
            <w:vAlign w:val="center"/>
          </w:tcPr>
          <w:p w14:paraId="36471648">
            <w:pPr>
              <w:pStyle w:val="13"/>
            </w:pPr>
            <w:r>
              <w:t>时效指标</w:t>
            </w:r>
          </w:p>
        </w:tc>
        <w:tc>
          <w:tcPr>
            <w:tcW w:w="2835" w:type="dxa"/>
            <w:vAlign w:val="center"/>
          </w:tcPr>
          <w:p w14:paraId="0827AD55">
            <w:pPr>
              <w:pStyle w:val="13"/>
            </w:pPr>
            <w:r>
              <w:t>项目竣工验收合格率</w:t>
            </w:r>
          </w:p>
        </w:tc>
        <w:tc>
          <w:tcPr>
            <w:tcW w:w="5386" w:type="dxa"/>
            <w:vAlign w:val="center"/>
          </w:tcPr>
          <w:p w14:paraId="0D4C537C">
            <w:pPr>
              <w:pStyle w:val="13"/>
            </w:pPr>
            <w:r>
              <w:t>项目改造质量达标率</w:t>
            </w:r>
          </w:p>
        </w:tc>
        <w:tc>
          <w:tcPr>
            <w:tcW w:w="1928" w:type="dxa"/>
            <w:vAlign w:val="center"/>
          </w:tcPr>
          <w:p w14:paraId="3A14ED34">
            <w:pPr>
              <w:pStyle w:val="13"/>
            </w:pPr>
            <w:r>
              <w:t>≥100%</w:t>
            </w:r>
          </w:p>
        </w:tc>
        <w:tc>
          <w:tcPr>
            <w:tcW w:w="1616" w:type="dxa"/>
            <w:vAlign w:val="center"/>
          </w:tcPr>
          <w:p w14:paraId="7297DFAA">
            <w:pPr>
              <w:pStyle w:val="13"/>
            </w:pPr>
            <w:r>
              <w:t>城乡义务教育公用经费管理办法</w:t>
            </w:r>
          </w:p>
        </w:tc>
      </w:tr>
      <w:tr w14:paraId="1E36F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E17D2"/>
        </w:tc>
        <w:tc>
          <w:tcPr>
            <w:tcW w:w="2268" w:type="dxa"/>
            <w:vAlign w:val="center"/>
          </w:tcPr>
          <w:p w14:paraId="5FB0ED5F">
            <w:pPr>
              <w:pStyle w:val="13"/>
            </w:pPr>
            <w:r>
              <w:t>成本指标</w:t>
            </w:r>
          </w:p>
        </w:tc>
        <w:tc>
          <w:tcPr>
            <w:tcW w:w="2835" w:type="dxa"/>
            <w:vAlign w:val="center"/>
          </w:tcPr>
          <w:p w14:paraId="7B9A172D">
            <w:pPr>
              <w:pStyle w:val="13"/>
            </w:pPr>
            <w:r>
              <w:t>项目实际成本</w:t>
            </w:r>
          </w:p>
        </w:tc>
        <w:tc>
          <w:tcPr>
            <w:tcW w:w="5386" w:type="dxa"/>
            <w:vAlign w:val="center"/>
          </w:tcPr>
          <w:p w14:paraId="2E702764">
            <w:pPr>
              <w:pStyle w:val="13"/>
            </w:pPr>
            <w:r>
              <w:t>餐厅设备电大锅等</w:t>
            </w:r>
          </w:p>
        </w:tc>
        <w:tc>
          <w:tcPr>
            <w:tcW w:w="1928" w:type="dxa"/>
            <w:vAlign w:val="center"/>
          </w:tcPr>
          <w:p w14:paraId="4C040CB0">
            <w:pPr>
              <w:pStyle w:val="13"/>
            </w:pPr>
            <w:r>
              <w:t>9.2万元</w:t>
            </w:r>
          </w:p>
        </w:tc>
        <w:tc>
          <w:tcPr>
            <w:tcW w:w="1616" w:type="dxa"/>
            <w:vAlign w:val="center"/>
          </w:tcPr>
          <w:p w14:paraId="74943468">
            <w:pPr>
              <w:pStyle w:val="13"/>
            </w:pPr>
            <w:r>
              <w:t>城乡义务教育公用经费管理办法</w:t>
            </w:r>
          </w:p>
        </w:tc>
      </w:tr>
      <w:tr w14:paraId="1202A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C1A19">
            <w:pPr>
              <w:pStyle w:val="12"/>
            </w:pPr>
            <w:r>
              <w:t>效益指标</w:t>
            </w:r>
          </w:p>
        </w:tc>
        <w:tc>
          <w:tcPr>
            <w:tcW w:w="2268" w:type="dxa"/>
            <w:vAlign w:val="center"/>
          </w:tcPr>
          <w:p w14:paraId="19ECA186">
            <w:pPr>
              <w:pStyle w:val="13"/>
            </w:pPr>
            <w:r>
              <w:t>经济效益指标</w:t>
            </w:r>
          </w:p>
        </w:tc>
        <w:tc>
          <w:tcPr>
            <w:tcW w:w="2835" w:type="dxa"/>
            <w:vAlign w:val="center"/>
          </w:tcPr>
          <w:p w14:paraId="39ED40D8">
            <w:pPr>
              <w:pStyle w:val="13"/>
            </w:pPr>
            <w:r>
              <w:t>教育发展水平</w:t>
            </w:r>
          </w:p>
        </w:tc>
        <w:tc>
          <w:tcPr>
            <w:tcW w:w="5386" w:type="dxa"/>
            <w:vAlign w:val="center"/>
          </w:tcPr>
          <w:p w14:paraId="6FBA458D">
            <w:pPr>
              <w:pStyle w:val="13"/>
            </w:pPr>
            <w:r>
              <w:t>辖区内教育环境明显好转</w:t>
            </w:r>
          </w:p>
        </w:tc>
        <w:tc>
          <w:tcPr>
            <w:tcW w:w="1928" w:type="dxa"/>
            <w:vAlign w:val="center"/>
          </w:tcPr>
          <w:p w14:paraId="5434E85C">
            <w:pPr>
              <w:pStyle w:val="13"/>
            </w:pPr>
            <w:r>
              <w:t>≥95%</w:t>
            </w:r>
          </w:p>
        </w:tc>
        <w:tc>
          <w:tcPr>
            <w:tcW w:w="1616" w:type="dxa"/>
            <w:vAlign w:val="center"/>
          </w:tcPr>
          <w:p w14:paraId="237A9ED9">
            <w:pPr>
              <w:pStyle w:val="13"/>
            </w:pPr>
            <w:r>
              <w:t>城乡义务教育公用经费管理办法</w:t>
            </w:r>
          </w:p>
        </w:tc>
      </w:tr>
      <w:tr w14:paraId="3FD8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C4625"/>
        </w:tc>
        <w:tc>
          <w:tcPr>
            <w:tcW w:w="2268" w:type="dxa"/>
            <w:vAlign w:val="center"/>
          </w:tcPr>
          <w:p w14:paraId="26642016">
            <w:pPr>
              <w:pStyle w:val="13"/>
            </w:pPr>
            <w:r>
              <w:t>社会效益指标</w:t>
            </w:r>
          </w:p>
        </w:tc>
        <w:tc>
          <w:tcPr>
            <w:tcW w:w="2835" w:type="dxa"/>
            <w:vAlign w:val="center"/>
          </w:tcPr>
          <w:p w14:paraId="20FB835A">
            <w:pPr>
              <w:pStyle w:val="13"/>
            </w:pPr>
            <w:r>
              <w:t>校园环境</w:t>
            </w:r>
          </w:p>
        </w:tc>
        <w:tc>
          <w:tcPr>
            <w:tcW w:w="5386" w:type="dxa"/>
            <w:vAlign w:val="center"/>
          </w:tcPr>
          <w:p w14:paraId="5174CA11">
            <w:pPr>
              <w:pStyle w:val="13"/>
            </w:pPr>
            <w:r>
              <w:t>办学条件和环境得到改善</w:t>
            </w:r>
          </w:p>
        </w:tc>
        <w:tc>
          <w:tcPr>
            <w:tcW w:w="1928" w:type="dxa"/>
            <w:vAlign w:val="center"/>
          </w:tcPr>
          <w:p w14:paraId="0FCD4912">
            <w:pPr>
              <w:pStyle w:val="13"/>
            </w:pPr>
            <w:r>
              <w:t>≥95%</w:t>
            </w:r>
          </w:p>
        </w:tc>
        <w:tc>
          <w:tcPr>
            <w:tcW w:w="1616" w:type="dxa"/>
            <w:vAlign w:val="center"/>
          </w:tcPr>
          <w:p w14:paraId="157404BC">
            <w:pPr>
              <w:pStyle w:val="13"/>
            </w:pPr>
            <w:r>
              <w:t>城乡义务教育公用经费管理办法</w:t>
            </w:r>
          </w:p>
        </w:tc>
      </w:tr>
      <w:tr w14:paraId="1CB56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90EEEF">
            <w:pPr>
              <w:pStyle w:val="12"/>
            </w:pPr>
            <w:r>
              <w:t>满意度指标</w:t>
            </w:r>
          </w:p>
        </w:tc>
        <w:tc>
          <w:tcPr>
            <w:tcW w:w="2268" w:type="dxa"/>
            <w:vAlign w:val="center"/>
          </w:tcPr>
          <w:p w14:paraId="38013DBC">
            <w:pPr>
              <w:pStyle w:val="13"/>
            </w:pPr>
            <w:r>
              <w:t>服务对象满意度指标</w:t>
            </w:r>
          </w:p>
        </w:tc>
        <w:tc>
          <w:tcPr>
            <w:tcW w:w="2835" w:type="dxa"/>
            <w:vAlign w:val="center"/>
          </w:tcPr>
          <w:p w14:paraId="74751581">
            <w:pPr>
              <w:pStyle w:val="13"/>
            </w:pPr>
            <w:r>
              <w:t>受益学生家长及调查满意度</w:t>
            </w:r>
          </w:p>
        </w:tc>
        <w:tc>
          <w:tcPr>
            <w:tcW w:w="5386" w:type="dxa"/>
            <w:vAlign w:val="center"/>
          </w:tcPr>
          <w:p w14:paraId="6E992F24">
            <w:pPr>
              <w:pStyle w:val="13"/>
            </w:pPr>
            <w:r>
              <w:t>学生、教师及家长对学校工作满意度情况</w:t>
            </w:r>
          </w:p>
        </w:tc>
        <w:tc>
          <w:tcPr>
            <w:tcW w:w="1928" w:type="dxa"/>
            <w:vAlign w:val="center"/>
          </w:tcPr>
          <w:p w14:paraId="3F06ACE8">
            <w:pPr>
              <w:pStyle w:val="13"/>
            </w:pPr>
            <w:r>
              <w:t>≥95%</w:t>
            </w:r>
          </w:p>
        </w:tc>
        <w:tc>
          <w:tcPr>
            <w:tcW w:w="1616" w:type="dxa"/>
            <w:vAlign w:val="center"/>
          </w:tcPr>
          <w:p w14:paraId="716D3423">
            <w:pPr>
              <w:pStyle w:val="13"/>
            </w:pPr>
            <w:r>
              <w:t>城乡义务教育公用经费管理办法</w:t>
            </w:r>
          </w:p>
        </w:tc>
      </w:tr>
    </w:tbl>
    <w:p w14:paraId="293A5AE6">
      <w:pPr>
        <w:sectPr>
          <w:pgSz w:w="16840" w:h="11900" w:orient="landscape"/>
          <w:pgMar w:top="1361" w:right="1020" w:bottom="1134" w:left="1020" w:header="720" w:footer="720" w:gutter="0"/>
          <w:cols w:space="720" w:num="1"/>
        </w:sectPr>
      </w:pPr>
    </w:p>
    <w:p w14:paraId="2D9AB8C5">
      <w:pPr>
        <w:spacing w:before="0" w:after="0"/>
        <w:ind w:firstLine="560"/>
        <w:jc w:val="left"/>
        <w:outlineLvl w:val="9"/>
      </w:pPr>
      <w:r>
        <w:rPr>
          <w:rFonts w:ascii="方正仿宋_GBK" w:hAnsi="方正仿宋_GBK" w:eastAsia="方正仿宋_GBK" w:cs="方正仿宋_GBK"/>
          <w:b/>
          <w:color w:val="000000"/>
          <w:sz w:val="28"/>
        </w:rPr>
        <w:t>7、冀财教[2024]121号/中央/2025年学前教育发展/大霍幼儿园消防泵房及配套设施绩效目标表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74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BDD78">
            <w:pPr>
              <w:pStyle w:val="14"/>
            </w:pPr>
            <w:r>
              <w:t>单位：万元</w:t>
            </w:r>
          </w:p>
        </w:tc>
      </w:tr>
      <w:tr w14:paraId="65A34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ACCD3">
            <w:pPr>
              <w:pStyle w:val="11"/>
            </w:pPr>
            <w:r>
              <w:t>项目编码</w:t>
            </w:r>
          </w:p>
        </w:tc>
        <w:tc>
          <w:tcPr>
            <w:tcW w:w="5103" w:type="dxa"/>
            <w:gridSpan w:val="2"/>
            <w:vAlign w:val="center"/>
          </w:tcPr>
          <w:p w14:paraId="44C58486">
            <w:pPr>
              <w:pStyle w:val="13"/>
            </w:pPr>
            <w:r>
              <w:t>13052525P00876910005L</w:t>
            </w:r>
          </w:p>
        </w:tc>
        <w:tc>
          <w:tcPr>
            <w:tcW w:w="2835" w:type="dxa"/>
            <w:vAlign w:val="center"/>
          </w:tcPr>
          <w:p w14:paraId="2240E863">
            <w:pPr>
              <w:pStyle w:val="11"/>
            </w:pPr>
            <w:r>
              <w:t>项目名称</w:t>
            </w:r>
          </w:p>
        </w:tc>
        <w:tc>
          <w:tcPr>
            <w:tcW w:w="6095" w:type="dxa"/>
            <w:gridSpan w:val="3"/>
            <w:vAlign w:val="center"/>
          </w:tcPr>
          <w:p w14:paraId="0B027BDA">
            <w:pPr>
              <w:pStyle w:val="13"/>
            </w:pPr>
            <w:r>
              <w:t>冀财教[2024]121号/中央/2025年学前教育发展/大霍幼儿园消防泵房及配套设施</w:t>
            </w:r>
          </w:p>
        </w:tc>
      </w:tr>
      <w:tr w14:paraId="2BA48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46083">
            <w:pPr>
              <w:pStyle w:val="11"/>
            </w:pPr>
            <w:r>
              <w:t>预算规模及资金用途</w:t>
            </w:r>
          </w:p>
        </w:tc>
        <w:tc>
          <w:tcPr>
            <w:tcW w:w="2268" w:type="dxa"/>
            <w:vAlign w:val="center"/>
          </w:tcPr>
          <w:p w14:paraId="0591500E">
            <w:pPr>
              <w:pStyle w:val="11"/>
            </w:pPr>
            <w:r>
              <w:t>预算数</w:t>
            </w:r>
          </w:p>
        </w:tc>
        <w:tc>
          <w:tcPr>
            <w:tcW w:w="2835" w:type="dxa"/>
            <w:vAlign w:val="center"/>
          </w:tcPr>
          <w:p w14:paraId="05207B1F">
            <w:pPr>
              <w:pStyle w:val="13"/>
            </w:pPr>
            <w:r>
              <w:t>100.00</w:t>
            </w:r>
          </w:p>
        </w:tc>
        <w:tc>
          <w:tcPr>
            <w:tcW w:w="2835" w:type="dxa"/>
            <w:vAlign w:val="center"/>
          </w:tcPr>
          <w:p w14:paraId="268D69F1">
            <w:pPr>
              <w:pStyle w:val="11"/>
            </w:pPr>
            <w:r>
              <w:t>其中：财政    资金</w:t>
            </w:r>
          </w:p>
        </w:tc>
        <w:tc>
          <w:tcPr>
            <w:tcW w:w="2551" w:type="dxa"/>
            <w:vAlign w:val="center"/>
          </w:tcPr>
          <w:p w14:paraId="24C2F078">
            <w:pPr>
              <w:pStyle w:val="13"/>
            </w:pPr>
            <w:r>
              <w:t>100.00</w:t>
            </w:r>
          </w:p>
        </w:tc>
        <w:tc>
          <w:tcPr>
            <w:tcW w:w="2268" w:type="dxa"/>
            <w:vAlign w:val="center"/>
          </w:tcPr>
          <w:p w14:paraId="1C98B794">
            <w:pPr>
              <w:pStyle w:val="11"/>
            </w:pPr>
            <w:r>
              <w:t>其他资金</w:t>
            </w:r>
          </w:p>
        </w:tc>
        <w:tc>
          <w:tcPr>
            <w:tcW w:w="1276" w:type="dxa"/>
            <w:vAlign w:val="center"/>
          </w:tcPr>
          <w:p w14:paraId="48D1A9F1">
            <w:pPr>
              <w:pStyle w:val="13"/>
            </w:pPr>
            <w:r>
              <w:t xml:space="preserve"> </w:t>
            </w:r>
          </w:p>
        </w:tc>
      </w:tr>
      <w:tr w14:paraId="2FC1A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35035"/>
        </w:tc>
        <w:tc>
          <w:tcPr>
            <w:tcW w:w="14033" w:type="dxa"/>
            <w:gridSpan w:val="6"/>
            <w:vAlign w:val="center"/>
          </w:tcPr>
          <w:p w14:paraId="3B37ED73">
            <w:pPr>
              <w:pStyle w:val="13"/>
            </w:pPr>
            <w:r>
              <w:t>完成大霍幼儿园消防泵房及配套设施</w:t>
            </w:r>
          </w:p>
          <w:p w14:paraId="7BD4AE69">
            <w:pPr>
              <w:pStyle w:val="13"/>
            </w:pPr>
            <w:r>
              <w:t>，满足学校正常教学需要。</w:t>
            </w:r>
          </w:p>
        </w:tc>
      </w:tr>
      <w:tr w14:paraId="4453F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B0F1DE8">
            <w:pPr>
              <w:pStyle w:val="11"/>
            </w:pPr>
            <w:r>
              <w:t>资金支出计划（%）</w:t>
            </w:r>
          </w:p>
        </w:tc>
        <w:tc>
          <w:tcPr>
            <w:tcW w:w="5103" w:type="dxa"/>
            <w:gridSpan w:val="2"/>
            <w:vAlign w:val="center"/>
          </w:tcPr>
          <w:p w14:paraId="10E0E118">
            <w:pPr>
              <w:pStyle w:val="11"/>
            </w:pPr>
            <w:r>
              <w:t>3月底</w:t>
            </w:r>
          </w:p>
        </w:tc>
        <w:tc>
          <w:tcPr>
            <w:tcW w:w="2835" w:type="dxa"/>
            <w:vAlign w:val="center"/>
          </w:tcPr>
          <w:p w14:paraId="1C929005">
            <w:pPr>
              <w:pStyle w:val="11"/>
            </w:pPr>
            <w:r>
              <w:t>6月底</w:t>
            </w:r>
          </w:p>
        </w:tc>
        <w:tc>
          <w:tcPr>
            <w:tcW w:w="2551" w:type="dxa"/>
            <w:vAlign w:val="center"/>
          </w:tcPr>
          <w:p w14:paraId="789F98E1">
            <w:pPr>
              <w:pStyle w:val="11"/>
            </w:pPr>
            <w:r>
              <w:t>10月底</w:t>
            </w:r>
          </w:p>
        </w:tc>
        <w:tc>
          <w:tcPr>
            <w:tcW w:w="3544" w:type="dxa"/>
            <w:gridSpan w:val="2"/>
            <w:vAlign w:val="center"/>
          </w:tcPr>
          <w:p w14:paraId="6F30F459">
            <w:pPr>
              <w:pStyle w:val="11"/>
            </w:pPr>
            <w:r>
              <w:t>12月底</w:t>
            </w:r>
          </w:p>
        </w:tc>
      </w:tr>
      <w:tr w14:paraId="73A69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6F6E7"/>
        </w:tc>
        <w:tc>
          <w:tcPr>
            <w:tcW w:w="5103" w:type="dxa"/>
            <w:gridSpan w:val="2"/>
            <w:vAlign w:val="center"/>
          </w:tcPr>
          <w:p w14:paraId="60D615F3">
            <w:pPr>
              <w:pStyle w:val="12"/>
            </w:pPr>
            <w:r>
              <w:t xml:space="preserve"> </w:t>
            </w:r>
          </w:p>
        </w:tc>
        <w:tc>
          <w:tcPr>
            <w:tcW w:w="2835" w:type="dxa"/>
            <w:vAlign w:val="center"/>
          </w:tcPr>
          <w:p w14:paraId="4B31767D">
            <w:pPr>
              <w:pStyle w:val="12"/>
            </w:pPr>
            <w:r>
              <w:t>30%</w:t>
            </w:r>
          </w:p>
        </w:tc>
        <w:tc>
          <w:tcPr>
            <w:tcW w:w="2551" w:type="dxa"/>
            <w:vAlign w:val="center"/>
          </w:tcPr>
          <w:p w14:paraId="6F1EF790">
            <w:pPr>
              <w:pStyle w:val="12"/>
            </w:pPr>
            <w:r>
              <w:t>80%</w:t>
            </w:r>
          </w:p>
        </w:tc>
        <w:tc>
          <w:tcPr>
            <w:tcW w:w="3544" w:type="dxa"/>
            <w:gridSpan w:val="2"/>
            <w:vAlign w:val="center"/>
          </w:tcPr>
          <w:p w14:paraId="6B2C3A8E">
            <w:pPr>
              <w:pStyle w:val="12"/>
            </w:pPr>
            <w:r>
              <w:t>100%</w:t>
            </w:r>
          </w:p>
        </w:tc>
      </w:tr>
      <w:tr w14:paraId="626AA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A0D76">
            <w:pPr>
              <w:pStyle w:val="11"/>
            </w:pPr>
            <w:r>
              <w:t>绩效目标</w:t>
            </w:r>
          </w:p>
        </w:tc>
        <w:tc>
          <w:tcPr>
            <w:tcW w:w="14033" w:type="dxa"/>
            <w:gridSpan w:val="6"/>
            <w:vAlign w:val="center"/>
          </w:tcPr>
          <w:p w14:paraId="40F403DC">
            <w:pPr>
              <w:pStyle w:val="13"/>
            </w:pPr>
            <w:r>
              <w:t>1.完成大霍幼儿园消防泵房及配套设施</w:t>
            </w:r>
          </w:p>
          <w:p w14:paraId="2E97BDFB">
            <w:pPr>
              <w:pStyle w:val="13"/>
            </w:pPr>
            <w:r>
              <w:t>，满足学校正常教学需要。</w:t>
            </w:r>
          </w:p>
          <w:p w14:paraId="768D3FCD">
            <w:pPr>
              <w:pStyle w:val="13"/>
            </w:pPr>
            <w:r>
              <w:t>2.按规定拨付专项资金，资金支付率达到100%。</w:t>
            </w:r>
          </w:p>
        </w:tc>
      </w:tr>
    </w:tbl>
    <w:p w14:paraId="061198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27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836CB">
            <w:pPr>
              <w:pStyle w:val="11"/>
            </w:pPr>
            <w:r>
              <w:t>一级指标</w:t>
            </w:r>
          </w:p>
        </w:tc>
        <w:tc>
          <w:tcPr>
            <w:tcW w:w="2268" w:type="dxa"/>
            <w:vAlign w:val="center"/>
          </w:tcPr>
          <w:p w14:paraId="00A8760E">
            <w:pPr>
              <w:pStyle w:val="11"/>
            </w:pPr>
            <w:r>
              <w:t>二级指标</w:t>
            </w:r>
          </w:p>
        </w:tc>
        <w:tc>
          <w:tcPr>
            <w:tcW w:w="2835" w:type="dxa"/>
            <w:vAlign w:val="center"/>
          </w:tcPr>
          <w:p w14:paraId="2A37CA58">
            <w:pPr>
              <w:pStyle w:val="11"/>
            </w:pPr>
            <w:r>
              <w:t>三级指标</w:t>
            </w:r>
          </w:p>
        </w:tc>
        <w:tc>
          <w:tcPr>
            <w:tcW w:w="5386" w:type="dxa"/>
            <w:vAlign w:val="center"/>
          </w:tcPr>
          <w:p w14:paraId="78BD6FF3">
            <w:pPr>
              <w:pStyle w:val="11"/>
            </w:pPr>
            <w:r>
              <w:t>绩效指标描述</w:t>
            </w:r>
          </w:p>
        </w:tc>
        <w:tc>
          <w:tcPr>
            <w:tcW w:w="2268" w:type="dxa"/>
            <w:vAlign w:val="center"/>
          </w:tcPr>
          <w:p w14:paraId="3B9D39A5">
            <w:pPr>
              <w:pStyle w:val="11"/>
            </w:pPr>
            <w:r>
              <w:t>指标值</w:t>
            </w:r>
          </w:p>
        </w:tc>
        <w:tc>
          <w:tcPr>
            <w:tcW w:w="1276" w:type="dxa"/>
            <w:vAlign w:val="center"/>
          </w:tcPr>
          <w:p w14:paraId="4B3B8E5E">
            <w:pPr>
              <w:pStyle w:val="11"/>
            </w:pPr>
            <w:r>
              <w:t>指标值确定依据</w:t>
            </w:r>
          </w:p>
        </w:tc>
      </w:tr>
      <w:tr w14:paraId="03910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ED411">
            <w:pPr>
              <w:pStyle w:val="12"/>
            </w:pPr>
            <w:r>
              <w:t>产出指标</w:t>
            </w:r>
          </w:p>
        </w:tc>
        <w:tc>
          <w:tcPr>
            <w:tcW w:w="2268" w:type="dxa"/>
            <w:vAlign w:val="center"/>
          </w:tcPr>
          <w:p w14:paraId="044FB00F">
            <w:pPr>
              <w:pStyle w:val="13"/>
            </w:pPr>
            <w:r>
              <w:t>数量指标</w:t>
            </w:r>
          </w:p>
        </w:tc>
        <w:tc>
          <w:tcPr>
            <w:tcW w:w="2835" w:type="dxa"/>
            <w:vAlign w:val="center"/>
          </w:tcPr>
          <w:p w14:paraId="3908F0F6">
            <w:pPr>
              <w:pStyle w:val="13"/>
            </w:pPr>
            <w:r>
              <w:t xml:space="preserve"> 完成大霍幼儿园消防泵房及配套设施，满足学校正常教学需要。</w:t>
            </w:r>
          </w:p>
        </w:tc>
        <w:tc>
          <w:tcPr>
            <w:tcW w:w="5386" w:type="dxa"/>
            <w:vAlign w:val="center"/>
          </w:tcPr>
          <w:p w14:paraId="30D8EFD4">
            <w:pPr>
              <w:pStyle w:val="13"/>
            </w:pPr>
            <w:r>
              <w:t>完成大霍幼儿园消防泵房及配套设施，满足学校正常教学需要。</w:t>
            </w:r>
          </w:p>
        </w:tc>
        <w:tc>
          <w:tcPr>
            <w:tcW w:w="2268" w:type="dxa"/>
            <w:vAlign w:val="center"/>
          </w:tcPr>
          <w:p w14:paraId="2787ACFE">
            <w:pPr>
              <w:pStyle w:val="13"/>
            </w:pPr>
            <w:r>
              <w:t>100万元</w:t>
            </w:r>
          </w:p>
        </w:tc>
        <w:tc>
          <w:tcPr>
            <w:tcW w:w="1276" w:type="dxa"/>
            <w:vAlign w:val="center"/>
          </w:tcPr>
          <w:p w14:paraId="27DA55B1">
            <w:pPr>
              <w:pStyle w:val="13"/>
            </w:pPr>
            <w:r>
              <w:t>城乡义务教育公用经费管理办法</w:t>
            </w:r>
          </w:p>
        </w:tc>
      </w:tr>
      <w:tr w14:paraId="57488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EEE41"/>
        </w:tc>
        <w:tc>
          <w:tcPr>
            <w:tcW w:w="2268" w:type="dxa"/>
            <w:vAlign w:val="center"/>
          </w:tcPr>
          <w:p w14:paraId="78285B60">
            <w:pPr>
              <w:pStyle w:val="13"/>
            </w:pPr>
            <w:r>
              <w:t>质量指标</w:t>
            </w:r>
          </w:p>
        </w:tc>
        <w:tc>
          <w:tcPr>
            <w:tcW w:w="2835" w:type="dxa"/>
            <w:vAlign w:val="center"/>
          </w:tcPr>
          <w:p w14:paraId="09BEB29A">
            <w:pPr>
              <w:pStyle w:val="13"/>
            </w:pPr>
            <w:r>
              <w:t>资金支付率</w:t>
            </w:r>
          </w:p>
        </w:tc>
        <w:tc>
          <w:tcPr>
            <w:tcW w:w="5386" w:type="dxa"/>
            <w:vAlign w:val="center"/>
          </w:tcPr>
          <w:p w14:paraId="74BC14BA">
            <w:pPr>
              <w:pStyle w:val="13"/>
            </w:pPr>
            <w:r>
              <w:t>按照序时进度完成资金支付</w:t>
            </w:r>
          </w:p>
        </w:tc>
        <w:tc>
          <w:tcPr>
            <w:tcW w:w="2268" w:type="dxa"/>
            <w:vAlign w:val="center"/>
          </w:tcPr>
          <w:p w14:paraId="3E3E8E6C">
            <w:pPr>
              <w:pStyle w:val="13"/>
            </w:pPr>
            <w:r>
              <w:t>≥100%</w:t>
            </w:r>
          </w:p>
        </w:tc>
        <w:tc>
          <w:tcPr>
            <w:tcW w:w="1276" w:type="dxa"/>
            <w:vAlign w:val="center"/>
          </w:tcPr>
          <w:p w14:paraId="7DD2AC90">
            <w:pPr>
              <w:pStyle w:val="13"/>
            </w:pPr>
            <w:r>
              <w:t>城乡义务教育公用经费管理办法</w:t>
            </w:r>
          </w:p>
        </w:tc>
      </w:tr>
      <w:tr w14:paraId="14360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55563"/>
        </w:tc>
        <w:tc>
          <w:tcPr>
            <w:tcW w:w="2268" w:type="dxa"/>
            <w:vAlign w:val="center"/>
          </w:tcPr>
          <w:p w14:paraId="26B554E2">
            <w:pPr>
              <w:pStyle w:val="13"/>
            </w:pPr>
            <w:r>
              <w:t>时效指标</w:t>
            </w:r>
          </w:p>
        </w:tc>
        <w:tc>
          <w:tcPr>
            <w:tcW w:w="2835" w:type="dxa"/>
            <w:vAlign w:val="center"/>
          </w:tcPr>
          <w:p w14:paraId="50C861D4">
            <w:pPr>
              <w:pStyle w:val="13"/>
            </w:pPr>
            <w:r>
              <w:t>项目竣工验收合格率</w:t>
            </w:r>
          </w:p>
        </w:tc>
        <w:tc>
          <w:tcPr>
            <w:tcW w:w="5386" w:type="dxa"/>
            <w:vAlign w:val="center"/>
          </w:tcPr>
          <w:p w14:paraId="05B0D15E">
            <w:pPr>
              <w:pStyle w:val="13"/>
            </w:pPr>
            <w:r>
              <w:t>项目改造质量达标率</w:t>
            </w:r>
          </w:p>
        </w:tc>
        <w:tc>
          <w:tcPr>
            <w:tcW w:w="2268" w:type="dxa"/>
            <w:vAlign w:val="center"/>
          </w:tcPr>
          <w:p w14:paraId="62FA5325">
            <w:pPr>
              <w:pStyle w:val="13"/>
            </w:pPr>
            <w:r>
              <w:t>≥100%</w:t>
            </w:r>
          </w:p>
        </w:tc>
        <w:tc>
          <w:tcPr>
            <w:tcW w:w="1276" w:type="dxa"/>
            <w:vAlign w:val="center"/>
          </w:tcPr>
          <w:p w14:paraId="71C88CFC">
            <w:pPr>
              <w:pStyle w:val="13"/>
            </w:pPr>
            <w:r>
              <w:t>城乡义务教育公用经费管理办法</w:t>
            </w:r>
          </w:p>
        </w:tc>
      </w:tr>
      <w:tr w14:paraId="38FE1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FB907"/>
        </w:tc>
        <w:tc>
          <w:tcPr>
            <w:tcW w:w="2268" w:type="dxa"/>
            <w:vAlign w:val="center"/>
          </w:tcPr>
          <w:p w14:paraId="5F35EFF3">
            <w:pPr>
              <w:pStyle w:val="13"/>
            </w:pPr>
            <w:r>
              <w:t>成本指标</w:t>
            </w:r>
          </w:p>
        </w:tc>
        <w:tc>
          <w:tcPr>
            <w:tcW w:w="2835" w:type="dxa"/>
            <w:vAlign w:val="center"/>
          </w:tcPr>
          <w:p w14:paraId="69E93A98">
            <w:pPr>
              <w:pStyle w:val="13"/>
            </w:pPr>
            <w:r>
              <w:t>项目实际成本</w:t>
            </w:r>
          </w:p>
        </w:tc>
        <w:tc>
          <w:tcPr>
            <w:tcW w:w="5386" w:type="dxa"/>
            <w:vAlign w:val="center"/>
          </w:tcPr>
          <w:p w14:paraId="1A2C50E5">
            <w:pPr>
              <w:pStyle w:val="13"/>
            </w:pPr>
            <w:r>
              <w:t>完成大霍幼儿园消防泵房及配套设施，满足学校正常教学需要。</w:t>
            </w:r>
          </w:p>
        </w:tc>
        <w:tc>
          <w:tcPr>
            <w:tcW w:w="2268" w:type="dxa"/>
            <w:vAlign w:val="center"/>
          </w:tcPr>
          <w:p w14:paraId="1E987AA6">
            <w:pPr>
              <w:pStyle w:val="13"/>
            </w:pPr>
            <w:r>
              <w:t>100万元</w:t>
            </w:r>
          </w:p>
        </w:tc>
        <w:tc>
          <w:tcPr>
            <w:tcW w:w="1276" w:type="dxa"/>
            <w:vAlign w:val="center"/>
          </w:tcPr>
          <w:p w14:paraId="1A77C46F">
            <w:pPr>
              <w:pStyle w:val="13"/>
            </w:pPr>
            <w:r>
              <w:t>城乡义务教育公用经费管理办法</w:t>
            </w:r>
          </w:p>
        </w:tc>
      </w:tr>
      <w:tr w14:paraId="57DC6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A3283">
            <w:pPr>
              <w:pStyle w:val="12"/>
            </w:pPr>
            <w:r>
              <w:t>效益指标</w:t>
            </w:r>
          </w:p>
        </w:tc>
        <w:tc>
          <w:tcPr>
            <w:tcW w:w="2268" w:type="dxa"/>
            <w:vAlign w:val="center"/>
          </w:tcPr>
          <w:p w14:paraId="3F3C5791">
            <w:pPr>
              <w:pStyle w:val="13"/>
            </w:pPr>
            <w:r>
              <w:t>经济效益指标</w:t>
            </w:r>
          </w:p>
        </w:tc>
        <w:tc>
          <w:tcPr>
            <w:tcW w:w="2835" w:type="dxa"/>
            <w:vAlign w:val="center"/>
          </w:tcPr>
          <w:p w14:paraId="13E6EF63">
            <w:pPr>
              <w:pStyle w:val="13"/>
            </w:pPr>
            <w:r>
              <w:t>教育发展水平</w:t>
            </w:r>
          </w:p>
        </w:tc>
        <w:tc>
          <w:tcPr>
            <w:tcW w:w="5386" w:type="dxa"/>
            <w:vAlign w:val="center"/>
          </w:tcPr>
          <w:p w14:paraId="0347D28C">
            <w:pPr>
              <w:pStyle w:val="13"/>
            </w:pPr>
            <w:r>
              <w:t>辖区内教育环境明显好转</w:t>
            </w:r>
          </w:p>
        </w:tc>
        <w:tc>
          <w:tcPr>
            <w:tcW w:w="2268" w:type="dxa"/>
            <w:vAlign w:val="center"/>
          </w:tcPr>
          <w:p w14:paraId="5E00A369">
            <w:pPr>
              <w:pStyle w:val="13"/>
            </w:pPr>
            <w:r>
              <w:t>≥95%</w:t>
            </w:r>
          </w:p>
        </w:tc>
        <w:tc>
          <w:tcPr>
            <w:tcW w:w="1276" w:type="dxa"/>
            <w:vAlign w:val="center"/>
          </w:tcPr>
          <w:p w14:paraId="71C3D694">
            <w:pPr>
              <w:pStyle w:val="13"/>
            </w:pPr>
            <w:r>
              <w:t>城乡义务教育公用经费管理办法</w:t>
            </w:r>
          </w:p>
        </w:tc>
      </w:tr>
      <w:tr w14:paraId="4E9AD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5574A"/>
        </w:tc>
        <w:tc>
          <w:tcPr>
            <w:tcW w:w="2268" w:type="dxa"/>
            <w:vAlign w:val="center"/>
          </w:tcPr>
          <w:p w14:paraId="0CA8FAF2">
            <w:pPr>
              <w:pStyle w:val="13"/>
            </w:pPr>
            <w:r>
              <w:t>社会效益指标</w:t>
            </w:r>
          </w:p>
        </w:tc>
        <w:tc>
          <w:tcPr>
            <w:tcW w:w="2835" w:type="dxa"/>
            <w:vAlign w:val="center"/>
          </w:tcPr>
          <w:p w14:paraId="36628933">
            <w:pPr>
              <w:pStyle w:val="13"/>
            </w:pPr>
            <w:r>
              <w:t>校园环境</w:t>
            </w:r>
          </w:p>
        </w:tc>
        <w:tc>
          <w:tcPr>
            <w:tcW w:w="5386" w:type="dxa"/>
            <w:vAlign w:val="center"/>
          </w:tcPr>
          <w:p w14:paraId="17EFF6E9">
            <w:pPr>
              <w:pStyle w:val="13"/>
            </w:pPr>
            <w:r>
              <w:t>办学条件和环境得到改善</w:t>
            </w:r>
          </w:p>
        </w:tc>
        <w:tc>
          <w:tcPr>
            <w:tcW w:w="2268" w:type="dxa"/>
            <w:vAlign w:val="center"/>
          </w:tcPr>
          <w:p w14:paraId="3AF96EB9">
            <w:pPr>
              <w:pStyle w:val="13"/>
            </w:pPr>
            <w:r>
              <w:t>≥95%</w:t>
            </w:r>
          </w:p>
        </w:tc>
        <w:tc>
          <w:tcPr>
            <w:tcW w:w="1276" w:type="dxa"/>
            <w:vAlign w:val="center"/>
          </w:tcPr>
          <w:p w14:paraId="5B34E597">
            <w:pPr>
              <w:pStyle w:val="13"/>
            </w:pPr>
            <w:r>
              <w:t>城乡义务教育公用经费管理办法</w:t>
            </w:r>
          </w:p>
        </w:tc>
      </w:tr>
      <w:tr w14:paraId="40438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20753">
            <w:pPr>
              <w:pStyle w:val="12"/>
            </w:pPr>
            <w:r>
              <w:t>满意度指标</w:t>
            </w:r>
          </w:p>
        </w:tc>
        <w:tc>
          <w:tcPr>
            <w:tcW w:w="2268" w:type="dxa"/>
            <w:vAlign w:val="center"/>
          </w:tcPr>
          <w:p w14:paraId="45EB53BE">
            <w:pPr>
              <w:pStyle w:val="13"/>
            </w:pPr>
            <w:r>
              <w:t>服务对象满意度指标</w:t>
            </w:r>
          </w:p>
        </w:tc>
        <w:tc>
          <w:tcPr>
            <w:tcW w:w="2835" w:type="dxa"/>
            <w:vAlign w:val="center"/>
          </w:tcPr>
          <w:p w14:paraId="004DC577">
            <w:pPr>
              <w:pStyle w:val="13"/>
            </w:pPr>
            <w:r>
              <w:t>受益学生家长及调查满意度</w:t>
            </w:r>
          </w:p>
        </w:tc>
        <w:tc>
          <w:tcPr>
            <w:tcW w:w="5386" w:type="dxa"/>
            <w:vAlign w:val="center"/>
          </w:tcPr>
          <w:p w14:paraId="186FB3F7">
            <w:pPr>
              <w:pStyle w:val="13"/>
            </w:pPr>
            <w:r>
              <w:t>学生、教师及家长对学校工作满意度情况</w:t>
            </w:r>
          </w:p>
        </w:tc>
        <w:tc>
          <w:tcPr>
            <w:tcW w:w="2268" w:type="dxa"/>
            <w:vAlign w:val="center"/>
          </w:tcPr>
          <w:p w14:paraId="24167658">
            <w:pPr>
              <w:pStyle w:val="13"/>
            </w:pPr>
            <w:r>
              <w:t>≥95%</w:t>
            </w:r>
          </w:p>
        </w:tc>
        <w:tc>
          <w:tcPr>
            <w:tcW w:w="1276" w:type="dxa"/>
            <w:vAlign w:val="center"/>
          </w:tcPr>
          <w:p w14:paraId="5EA41720">
            <w:pPr>
              <w:pStyle w:val="13"/>
            </w:pPr>
            <w:r>
              <w:t>城乡义务教育公用经费管理办法</w:t>
            </w:r>
          </w:p>
        </w:tc>
      </w:tr>
    </w:tbl>
    <w:p w14:paraId="231ABB40">
      <w:pPr>
        <w:sectPr>
          <w:pgSz w:w="16840" w:h="11900" w:orient="landscape"/>
          <w:pgMar w:top="1361" w:right="1020" w:bottom="1134" w:left="1020" w:header="720" w:footer="720" w:gutter="0"/>
          <w:cols w:space="720" w:num="1"/>
        </w:sectPr>
      </w:pPr>
    </w:p>
    <w:p w14:paraId="466ADE86">
      <w:pPr>
        <w:spacing w:before="0" w:after="0"/>
        <w:ind w:firstLine="560"/>
        <w:jc w:val="left"/>
        <w:outlineLvl w:val="9"/>
      </w:pPr>
      <w:r>
        <w:rPr>
          <w:rFonts w:ascii="方正仿宋_GBK" w:hAnsi="方正仿宋_GBK" w:eastAsia="方正仿宋_GBK" w:cs="方正仿宋_GBK"/>
          <w:b/>
          <w:color w:val="000000"/>
          <w:sz w:val="28"/>
        </w:rPr>
        <w:t>8、冀财教[2024]121号/中央/2025年学前教育发展/杨村幼儿园变压器购置绩效目标表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3F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F88EE">
            <w:pPr>
              <w:pStyle w:val="14"/>
            </w:pPr>
            <w:r>
              <w:t>单位：万元</w:t>
            </w:r>
          </w:p>
        </w:tc>
      </w:tr>
      <w:tr w14:paraId="72E0F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F08A7">
            <w:pPr>
              <w:pStyle w:val="11"/>
            </w:pPr>
            <w:r>
              <w:t>项目编码</w:t>
            </w:r>
          </w:p>
        </w:tc>
        <w:tc>
          <w:tcPr>
            <w:tcW w:w="5103" w:type="dxa"/>
            <w:gridSpan w:val="2"/>
            <w:vAlign w:val="center"/>
          </w:tcPr>
          <w:p w14:paraId="177CB7D4">
            <w:pPr>
              <w:pStyle w:val="13"/>
            </w:pPr>
            <w:r>
              <w:t>13052525P00876910019Y</w:t>
            </w:r>
          </w:p>
        </w:tc>
        <w:tc>
          <w:tcPr>
            <w:tcW w:w="2835" w:type="dxa"/>
            <w:vAlign w:val="center"/>
          </w:tcPr>
          <w:p w14:paraId="449CC1EF">
            <w:pPr>
              <w:pStyle w:val="11"/>
            </w:pPr>
            <w:r>
              <w:t>项目名称</w:t>
            </w:r>
          </w:p>
        </w:tc>
        <w:tc>
          <w:tcPr>
            <w:tcW w:w="6095" w:type="dxa"/>
            <w:gridSpan w:val="3"/>
            <w:vAlign w:val="center"/>
          </w:tcPr>
          <w:p w14:paraId="41CCACF3">
            <w:pPr>
              <w:pStyle w:val="13"/>
            </w:pPr>
            <w:r>
              <w:t>冀财教[2024]121号/中央/2025年学前教育发展/杨村幼儿园变压器购置</w:t>
            </w:r>
          </w:p>
        </w:tc>
      </w:tr>
      <w:tr w14:paraId="7252D0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B34D2">
            <w:pPr>
              <w:pStyle w:val="11"/>
            </w:pPr>
            <w:r>
              <w:t>预算规模及资金用途</w:t>
            </w:r>
          </w:p>
        </w:tc>
        <w:tc>
          <w:tcPr>
            <w:tcW w:w="2268" w:type="dxa"/>
            <w:vAlign w:val="center"/>
          </w:tcPr>
          <w:p w14:paraId="791A002B">
            <w:pPr>
              <w:pStyle w:val="11"/>
            </w:pPr>
            <w:r>
              <w:t>预算数</w:t>
            </w:r>
          </w:p>
        </w:tc>
        <w:tc>
          <w:tcPr>
            <w:tcW w:w="2835" w:type="dxa"/>
            <w:vAlign w:val="center"/>
          </w:tcPr>
          <w:p w14:paraId="3EA58DB4">
            <w:pPr>
              <w:pStyle w:val="13"/>
            </w:pPr>
            <w:r>
              <w:t>13.00</w:t>
            </w:r>
          </w:p>
        </w:tc>
        <w:tc>
          <w:tcPr>
            <w:tcW w:w="2835" w:type="dxa"/>
            <w:vAlign w:val="center"/>
          </w:tcPr>
          <w:p w14:paraId="40FD7B67">
            <w:pPr>
              <w:pStyle w:val="11"/>
            </w:pPr>
            <w:r>
              <w:t>其中：财政    资金</w:t>
            </w:r>
          </w:p>
        </w:tc>
        <w:tc>
          <w:tcPr>
            <w:tcW w:w="2551" w:type="dxa"/>
            <w:vAlign w:val="center"/>
          </w:tcPr>
          <w:p w14:paraId="6D9AB0C6">
            <w:pPr>
              <w:pStyle w:val="13"/>
            </w:pPr>
            <w:r>
              <w:t>13.00</w:t>
            </w:r>
          </w:p>
        </w:tc>
        <w:tc>
          <w:tcPr>
            <w:tcW w:w="2268" w:type="dxa"/>
            <w:vAlign w:val="center"/>
          </w:tcPr>
          <w:p w14:paraId="63E03FD3">
            <w:pPr>
              <w:pStyle w:val="11"/>
            </w:pPr>
            <w:r>
              <w:t>其他资金</w:t>
            </w:r>
          </w:p>
        </w:tc>
        <w:tc>
          <w:tcPr>
            <w:tcW w:w="1276" w:type="dxa"/>
            <w:vAlign w:val="center"/>
          </w:tcPr>
          <w:p w14:paraId="4EB668E0">
            <w:pPr>
              <w:pStyle w:val="13"/>
            </w:pPr>
            <w:r>
              <w:t xml:space="preserve"> </w:t>
            </w:r>
          </w:p>
        </w:tc>
      </w:tr>
      <w:tr w14:paraId="62612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D404D"/>
        </w:tc>
        <w:tc>
          <w:tcPr>
            <w:tcW w:w="14033" w:type="dxa"/>
            <w:gridSpan w:val="6"/>
            <w:vAlign w:val="center"/>
          </w:tcPr>
          <w:p w14:paraId="3DD0D2E1">
            <w:pPr>
              <w:pStyle w:val="13"/>
            </w:pPr>
            <w:r>
              <w:t>完成杨村幼儿园变压器购置</w:t>
            </w:r>
          </w:p>
          <w:p w14:paraId="02AC1239">
            <w:pPr>
              <w:pStyle w:val="13"/>
            </w:pPr>
            <w:r>
              <w:t>，满足学校正常教学需要。</w:t>
            </w:r>
          </w:p>
        </w:tc>
      </w:tr>
      <w:tr w14:paraId="138016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EF230">
            <w:pPr>
              <w:pStyle w:val="11"/>
            </w:pPr>
            <w:r>
              <w:t>资金支出计划（%）</w:t>
            </w:r>
          </w:p>
        </w:tc>
        <w:tc>
          <w:tcPr>
            <w:tcW w:w="5103" w:type="dxa"/>
            <w:gridSpan w:val="2"/>
            <w:vAlign w:val="center"/>
          </w:tcPr>
          <w:p w14:paraId="27CC4C26">
            <w:pPr>
              <w:pStyle w:val="11"/>
            </w:pPr>
            <w:r>
              <w:t>3月底</w:t>
            </w:r>
          </w:p>
        </w:tc>
        <w:tc>
          <w:tcPr>
            <w:tcW w:w="2835" w:type="dxa"/>
            <w:vAlign w:val="center"/>
          </w:tcPr>
          <w:p w14:paraId="49072058">
            <w:pPr>
              <w:pStyle w:val="11"/>
            </w:pPr>
            <w:r>
              <w:t>6月底</w:t>
            </w:r>
          </w:p>
        </w:tc>
        <w:tc>
          <w:tcPr>
            <w:tcW w:w="2551" w:type="dxa"/>
            <w:vAlign w:val="center"/>
          </w:tcPr>
          <w:p w14:paraId="73EC9E1F">
            <w:pPr>
              <w:pStyle w:val="11"/>
            </w:pPr>
            <w:r>
              <w:t>10月底</w:t>
            </w:r>
          </w:p>
        </w:tc>
        <w:tc>
          <w:tcPr>
            <w:tcW w:w="3544" w:type="dxa"/>
            <w:gridSpan w:val="2"/>
            <w:vAlign w:val="center"/>
          </w:tcPr>
          <w:p w14:paraId="2806947F">
            <w:pPr>
              <w:pStyle w:val="11"/>
            </w:pPr>
            <w:r>
              <w:t>12月底</w:t>
            </w:r>
          </w:p>
        </w:tc>
      </w:tr>
      <w:tr w14:paraId="769D4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82FD9"/>
        </w:tc>
        <w:tc>
          <w:tcPr>
            <w:tcW w:w="5103" w:type="dxa"/>
            <w:gridSpan w:val="2"/>
            <w:vAlign w:val="center"/>
          </w:tcPr>
          <w:p w14:paraId="44278BC6">
            <w:pPr>
              <w:pStyle w:val="12"/>
            </w:pPr>
            <w:r>
              <w:t xml:space="preserve"> </w:t>
            </w:r>
          </w:p>
        </w:tc>
        <w:tc>
          <w:tcPr>
            <w:tcW w:w="2835" w:type="dxa"/>
            <w:vAlign w:val="center"/>
          </w:tcPr>
          <w:p w14:paraId="767C207B">
            <w:pPr>
              <w:pStyle w:val="12"/>
            </w:pPr>
            <w:r>
              <w:t>50%</w:t>
            </w:r>
          </w:p>
        </w:tc>
        <w:tc>
          <w:tcPr>
            <w:tcW w:w="2551" w:type="dxa"/>
            <w:vAlign w:val="center"/>
          </w:tcPr>
          <w:p w14:paraId="6F32A629">
            <w:pPr>
              <w:pStyle w:val="12"/>
            </w:pPr>
            <w:r>
              <w:t>75%</w:t>
            </w:r>
          </w:p>
        </w:tc>
        <w:tc>
          <w:tcPr>
            <w:tcW w:w="3544" w:type="dxa"/>
            <w:gridSpan w:val="2"/>
            <w:vAlign w:val="center"/>
          </w:tcPr>
          <w:p w14:paraId="071CA3BC">
            <w:pPr>
              <w:pStyle w:val="12"/>
            </w:pPr>
            <w:r>
              <w:t>100%</w:t>
            </w:r>
          </w:p>
        </w:tc>
      </w:tr>
      <w:tr w14:paraId="2CCE8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79416">
            <w:pPr>
              <w:pStyle w:val="11"/>
            </w:pPr>
            <w:r>
              <w:t>绩效目标</w:t>
            </w:r>
          </w:p>
        </w:tc>
        <w:tc>
          <w:tcPr>
            <w:tcW w:w="14033" w:type="dxa"/>
            <w:gridSpan w:val="6"/>
            <w:vAlign w:val="center"/>
          </w:tcPr>
          <w:p w14:paraId="0FAFB6A2">
            <w:pPr>
              <w:pStyle w:val="13"/>
            </w:pPr>
            <w:r>
              <w:t>1.完成杨村幼儿园变压器购置</w:t>
            </w:r>
          </w:p>
          <w:p w14:paraId="25084B49">
            <w:pPr>
              <w:pStyle w:val="13"/>
            </w:pPr>
            <w:r>
              <w:t>，满足学校正常教学需要。</w:t>
            </w:r>
          </w:p>
          <w:p w14:paraId="7EC17154">
            <w:pPr>
              <w:pStyle w:val="13"/>
            </w:pPr>
            <w:r>
              <w:t>2.按规定拨付专项资金，资金支付率达到100%。</w:t>
            </w:r>
          </w:p>
        </w:tc>
      </w:tr>
    </w:tbl>
    <w:p w14:paraId="166915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17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FC57F">
            <w:pPr>
              <w:pStyle w:val="11"/>
            </w:pPr>
            <w:r>
              <w:t>一级指标</w:t>
            </w:r>
          </w:p>
        </w:tc>
        <w:tc>
          <w:tcPr>
            <w:tcW w:w="2268" w:type="dxa"/>
            <w:vAlign w:val="center"/>
          </w:tcPr>
          <w:p w14:paraId="7AE189EA">
            <w:pPr>
              <w:pStyle w:val="11"/>
            </w:pPr>
            <w:r>
              <w:t>二级指标</w:t>
            </w:r>
          </w:p>
        </w:tc>
        <w:tc>
          <w:tcPr>
            <w:tcW w:w="2835" w:type="dxa"/>
            <w:vAlign w:val="center"/>
          </w:tcPr>
          <w:p w14:paraId="580E885E">
            <w:pPr>
              <w:pStyle w:val="11"/>
            </w:pPr>
            <w:r>
              <w:t>三级指标</w:t>
            </w:r>
          </w:p>
        </w:tc>
        <w:tc>
          <w:tcPr>
            <w:tcW w:w="5386" w:type="dxa"/>
            <w:vAlign w:val="center"/>
          </w:tcPr>
          <w:p w14:paraId="1004BE23">
            <w:pPr>
              <w:pStyle w:val="11"/>
            </w:pPr>
            <w:r>
              <w:t>绩效指标描述</w:t>
            </w:r>
          </w:p>
        </w:tc>
        <w:tc>
          <w:tcPr>
            <w:tcW w:w="2268" w:type="dxa"/>
            <w:vAlign w:val="center"/>
          </w:tcPr>
          <w:p w14:paraId="2C481B19">
            <w:pPr>
              <w:pStyle w:val="11"/>
            </w:pPr>
            <w:r>
              <w:t>指标值</w:t>
            </w:r>
          </w:p>
        </w:tc>
        <w:tc>
          <w:tcPr>
            <w:tcW w:w="1276" w:type="dxa"/>
            <w:vAlign w:val="center"/>
          </w:tcPr>
          <w:p w14:paraId="1C638A90">
            <w:pPr>
              <w:pStyle w:val="11"/>
            </w:pPr>
            <w:r>
              <w:t>指标值确定依据</w:t>
            </w:r>
          </w:p>
        </w:tc>
      </w:tr>
      <w:tr w14:paraId="79E8B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04001">
            <w:pPr>
              <w:pStyle w:val="12"/>
            </w:pPr>
            <w:r>
              <w:t>产出指标</w:t>
            </w:r>
          </w:p>
        </w:tc>
        <w:tc>
          <w:tcPr>
            <w:tcW w:w="2268" w:type="dxa"/>
            <w:vAlign w:val="center"/>
          </w:tcPr>
          <w:p w14:paraId="1C76B291">
            <w:pPr>
              <w:pStyle w:val="13"/>
            </w:pPr>
            <w:r>
              <w:t>数量指标</w:t>
            </w:r>
          </w:p>
        </w:tc>
        <w:tc>
          <w:tcPr>
            <w:tcW w:w="2835" w:type="dxa"/>
            <w:vAlign w:val="center"/>
          </w:tcPr>
          <w:p w14:paraId="159398AA">
            <w:pPr>
              <w:pStyle w:val="13"/>
            </w:pPr>
            <w:r>
              <w:t>变压器</w:t>
            </w:r>
          </w:p>
        </w:tc>
        <w:tc>
          <w:tcPr>
            <w:tcW w:w="5386" w:type="dxa"/>
            <w:vAlign w:val="center"/>
          </w:tcPr>
          <w:p w14:paraId="0483CE4C">
            <w:pPr>
              <w:pStyle w:val="13"/>
            </w:pPr>
            <w:r>
              <w:t>变压器</w:t>
            </w:r>
          </w:p>
        </w:tc>
        <w:tc>
          <w:tcPr>
            <w:tcW w:w="2268" w:type="dxa"/>
            <w:vAlign w:val="center"/>
          </w:tcPr>
          <w:p w14:paraId="7C33FDDB">
            <w:pPr>
              <w:pStyle w:val="13"/>
            </w:pPr>
            <w:r>
              <w:t>13万元</w:t>
            </w:r>
          </w:p>
        </w:tc>
        <w:tc>
          <w:tcPr>
            <w:tcW w:w="1276" w:type="dxa"/>
            <w:vAlign w:val="center"/>
          </w:tcPr>
          <w:p w14:paraId="475762FF">
            <w:pPr>
              <w:pStyle w:val="13"/>
            </w:pPr>
            <w:r>
              <w:t>城乡义务教育公用经费管理办法</w:t>
            </w:r>
          </w:p>
        </w:tc>
      </w:tr>
      <w:tr w14:paraId="78310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8F17"/>
        </w:tc>
        <w:tc>
          <w:tcPr>
            <w:tcW w:w="2268" w:type="dxa"/>
            <w:vAlign w:val="center"/>
          </w:tcPr>
          <w:p w14:paraId="6B391D63">
            <w:pPr>
              <w:pStyle w:val="13"/>
            </w:pPr>
            <w:r>
              <w:t>质量指标</w:t>
            </w:r>
          </w:p>
        </w:tc>
        <w:tc>
          <w:tcPr>
            <w:tcW w:w="2835" w:type="dxa"/>
            <w:vAlign w:val="center"/>
          </w:tcPr>
          <w:p w14:paraId="0DBC23BD">
            <w:pPr>
              <w:pStyle w:val="13"/>
            </w:pPr>
            <w:r>
              <w:t>资金支付率</w:t>
            </w:r>
          </w:p>
        </w:tc>
        <w:tc>
          <w:tcPr>
            <w:tcW w:w="5386" w:type="dxa"/>
            <w:vAlign w:val="center"/>
          </w:tcPr>
          <w:p w14:paraId="7C4E10B0">
            <w:pPr>
              <w:pStyle w:val="13"/>
            </w:pPr>
            <w:r>
              <w:t>按照序时进度完成资金支付</w:t>
            </w:r>
          </w:p>
        </w:tc>
        <w:tc>
          <w:tcPr>
            <w:tcW w:w="2268" w:type="dxa"/>
            <w:vAlign w:val="center"/>
          </w:tcPr>
          <w:p w14:paraId="48098C1A">
            <w:pPr>
              <w:pStyle w:val="13"/>
            </w:pPr>
            <w:r>
              <w:t>≥100%</w:t>
            </w:r>
          </w:p>
        </w:tc>
        <w:tc>
          <w:tcPr>
            <w:tcW w:w="1276" w:type="dxa"/>
            <w:vAlign w:val="center"/>
          </w:tcPr>
          <w:p w14:paraId="6DD9B8E0">
            <w:pPr>
              <w:pStyle w:val="13"/>
            </w:pPr>
            <w:r>
              <w:t>城乡义务教育公用经费管理办法</w:t>
            </w:r>
          </w:p>
        </w:tc>
      </w:tr>
      <w:tr w14:paraId="4731A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77432"/>
        </w:tc>
        <w:tc>
          <w:tcPr>
            <w:tcW w:w="2268" w:type="dxa"/>
            <w:vAlign w:val="center"/>
          </w:tcPr>
          <w:p w14:paraId="5E6BE0C3">
            <w:pPr>
              <w:pStyle w:val="13"/>
            </w:pPr>
            <w:r>
              <w:t>时效指标</w:t>
            </w:r>
          </w:p>
        </w:tc>
        <w:tc>
          <w:tcPr>
            <w:tcW w:w="2835" w:type="dxa"/>
            <w:vAlign w:val="center"/>
          </w:tcPr>
          <w:p w14:paraId="022CD1BA">
            <w:pPr>
              <w:pStyle w:val="13"/>
            </w:pPr>
            <w:r>
              <w:t>项目竣工验收合格率</w:t>
            </w:r>
          </w:p>
        </w:tc>
        <w:tc>
          <w:tcPr>
            <w:tcW w:w="5386" w:type="dxa"/>
            <w:vAlign w:val="center"/>
          </w:tcPr>
          <w:p w14:paraId="5DBBCC11">
            <w:pPr>
              <w:pStyle w:val="13"/>
            </w:pPr>
            <w:r>
              <w:t>项目改造质量达标率</w:t>
            </w:r>
          </w:p>
        </w:tc>
        <w:tc>
          <w:tcPr>
            <w:tcW w:w="2268" w:type="dxa"/>
            <w:vAlign w:val="center"/>
          </w:tcPr>
          <w:p w14:paraId="6E9FBDB8">
            <w:pPr>
              <w:pStyle w:val="13"/>
            </w:pPr>
            <w:r>
              <w:t>≥100%</w:t>
            </w:r>
          </w:p>
        </w:tc>
        <w:tc>
          <w:tcPr>
            <w:tcW w:w="1276" w:type="dxa"/>
            <w:vAlign w:val="center"/>
          </w:tcPr>
          <w:p w14:paraId="5C76FD8D">
            <w:pPr>
              <w:pStyle w:val="13"/>
            </w:pPr>
            <w:r>
              <w:t>城乡义务教育公用经费管理办法</w:t>
            </w:r>
          </w:p>
        </w:tc>
      </w:tr>
      <w:tr w14:paraId="7026C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A420D"/>
        </w:tc>
        <w:tc>
          <w:tcPr>
            <w:tcW w:w="2268" w:type="dxa"/>
            <w:vAlign w:val="center"/>
          </w:tcPr>
          <w:p w14:paraId="0AAC1946">
            <w:pPr>
              <w:pStyle w:val="13"/>
            </w:pPr>
            <w:r>
              <w:t>成本指标</w:t>
            </w:r>
          </w:p>
        </w:tc>
        <w:tc>
          <w:tcPr>
            <w:tcW w:w="2835" w:type="dxa"/>
            <w:vAlign w:val="center"/>
          </w:tcPr>
          <w:p w14:paraId="4E6117D2">
            <w:pPr>
              <w:pStyle w:val="13"/>
            </w:pPr>
            <w:r>
              <w:t>项目实际成本</w:t>
            </w:r>
          </w:p>
        </w:tc>
        <w:tc>
          <w:tcPr>
            <w:tcW w:w="5386" w:type="dxa"/>
            <w:vAlign w:val="center"/>
          </w:tcPr>
          <w:p w14:paraId="1695F1F2">
            <w:pPr>
              <w:pStyle w:val="13"/>
            </w:pPr>
            <w:r>
              <w:t>变压器</w:t>
            </w:r>
          </w:p>
        </w:tc>
        <w:tc>
          <w:tcPr>
            <w:tcW w:w="2268" w:type="dxa"/>
            <w:vAlign w:val="center"/>
          </w:tcPr>
          <w:p w14:paraId="3C10F16E">
            <w:pPr>
              <w:pStyle w:val="13"/>
            </w:pPr>
            <w:r>
              <w:t>13万元</w:t>
            </w:r>
          </w:p>
        </w:tc>
        <w:tc>
          <w:tcPr>
            <w:tcW w:w="1276" w:type="dxa"/>
            <w:vAlign w:val="center"/>
          </w:tcPr>
          <w:p w14:paraId="74F40833">
            <w:pPr>
              <w:pStyle w:val="13"/>
            </w:pPr>
            <w:r>
              <w:t>城乡义务教育公用经费管理办法</w:t>
            </w:r>
          </w:p>
        </w:tc>
      </w:tr>
      <w:tr w14:paraId="3A87D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E8ABB">
            <w:pPr>
              <w:pStyle w:val="12"/>
            </w:pPr>
            <w:r>
              <w:t>效益指标</w:t>
            </w:r>
          </w:p>
        </w:tc>
        <w:tc>
          <w:tcPr>
            <w:tcW w:w="2268" w:type="dxa"/>
            <w:vAlign w:val="center"/>
          </w:tcPr>
          <w:p w14:paraId="4FDF6D11">
            <w:pPr>
              <w:pStyle w:val="13"/>
            </w:pPr>
            <w:r>
              <w:t>经济效益指标</w:t>
            </w:r>
          </w:p>
        </w:tc>
        <w:tc>
          <w:tcPr>
            <w:tcW w:w="2835" w:type="dxa"/>
            <w:vAlign w:val="center"/>
          </w:tcPr>
          <w:p w14:paraId="3AB2144F">
            <w:pPr>
              <w:pStyle w:val="13"/>
            </w:pPr>
            <w:r>
              <w:t>教育发展水平</w:t>
            </w:r>
          </w:p>
        </w:tc>
        <w:tc>
          <w:tcPr>
            <w:tcW w:w="5386" w:type="dxa"/>
            <w:vAlign w:val="center"/>
          </w:tcPr>
          <w:p w14:paraId="41B58319">
            <w:pPr>
              <w:pStyle w:val="13"/>
            </w:pPr>
            <w:r>
              <w:t>辖区内教育环境明显好转</w:t>
            </w:r>
          </w:p>
        </w:tc>
        <w:tc>
          <w:tcPr>
            <w:tcW w:w="2268" w:type="dxa"/>
            <w:vAlign w:val="center"/>
          </w:tcPr>
          <w:p w14:paraId="5D305395">
            <w:pPr>
              <w:pStyle w:val="13"/>
            </w:pPr>
            <w:r>
              <w:t>≥95%</w:t>
            </w:r>
          </w:p>
        </w:tc>
        <w:tc>
          <w:tcPr>
            <w:tcW w:w="1276" w:type="dxa"/>
            <w:vAlign w:val="center"/>
          </w:tcPr>
          <w:p w14:paraId="492482F9">
            <w:pPr>
              <w:pStyle w:val="13"/>
            </w:pPr>
            <w:r>
              <w:t>城乡义务教育公用经费管理办法</w:t>
            </w:r>
          </w:p>
        </w:tc>
      </w:tr>
      <w:tr w14:paraId="1F80D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C43B0"/>
        </w:tc>
        <w:tc>
          <w:tcPr>
            <w:tcW w:w="2268" w:type="dxa"/>
            <w:vAlign w:val="center"/>
          </w:tcPr>
          <w:p w14:paraId="291D12EC">
            <w:pPr>
              <w:pStyle w:val="13"/>
            </w:pPr>
            <w:r>
              <w:t>社会效益指标</w:t>
            </w:r>
          </w:p>
        </w:tc>
        <w:tc>
          <w:tcPr>
            <w:tcW w:w="2835" w:type="dxa"/>
            <w:vAlign w:val="center"/>
          </w:tcPr>
          <w:p w14:paraId="7759A659">
            <w:pPr>
              <w:pStyle w:val="13"/>
            </w:pPr>
            <w:r>
              <w:t>校园环境</w:t>
            </w:r>
          </w:p>
        </w:tc>
        <w:tc>
          <w:tcPr>
            <w:tcW w:w="5386" w:type="dxa"/>
            <w:vAlign w:val="center"/>
          </w:tcPr>
          <w:p w14:paraId="3ED670BA">
            <w:pPr>
              <w:pStyle w:val="13"/>
            </w:pPr>
            <w:r>
              <w:t>办学条件和环境得到改善</w:t>
            </w:r>
          </w:p>
        </w:tc>
        <w:tc>
          <w:tcPr>
            <w:tcW w:w="2268" w:type="dxa"/>
            <w:vAlign w:val="center"/>
          </w:tcPr>
          <w:p w14:paraId="6BA6BED6">
            <w:pPr>
              <w:pStyle w:val="13"/>
            </w:pPr>
            <w:r>
              <w:t>≥95%</w:t>
            </w:r>
          </w:p>
        </w:tc>
        <w:tc>
          <w:tcPr>
            <w:tcW w:w="1276" w:type="dxa"/>
            <w:vAlign w:val="center"/>
          </w:tcPr>
          <w:p w14:paraId="5095DCAC">
            <w:pPr>
              <w:pStyle w:val="13"/>
            </w:pPr>
            <w:r>
              <w:t>城乡义务教育公用经费管理办法</w:t>
            </w:r>
          </w:p>
        </w:tc>
      </w:tr>
      <w:tr w14:paraId="5E919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B68A27">
            <w:pPr>
              <w:pStyle w:val="12"/>
            </w:pPr>
            <w:r>
              <w:t>满意度指标</w:t>
            </w:r>
          </w:p>
        </w:tc>
        <w:tc>
          <w:tcPr>
            <w:tcW w:w="2268" w:type="dxa"/>
            <w:vAlign w:val="center"/>
          </w:tcPr>
          <w:p w14:paraId="34698E94">
            <w:pPr>
              <w:pStyle w:val="13"/>
            </w:pPr>
            <w:r>
              <w:t>服务对象满意度指标</w:t>
            </w:r>
          </w:p>
        </w:tc>
        <w:tc>
          <w:tcPr>
            <w:tcW w:w="2835" w:type="dxa"/>
            <w:vAlign w:val="center"/>
          </w:tcPr>
          <w:p w14:paraId="033A8563">
            <w:pPr>
              <w:pStyle w:val="13"/>
            </w:pPr>
            <w:r>
              <w:t>受益学生家长及调查满意度</w:t>
            </w:r>
          </w:p>
        </w:tc>
        <w:tc>
          <w:tcPr>
            <w:tcW w:w="5386" w:type="dxa"/>
            <w:vAlign w:val="center"/>
          </w:tcPr>
          <w:p w14:paraId="1ED9B5CE">
            <w:pPr>
              <w:pStyle w:val="13"/>
            </w:pPr>
            <w:r>
              <w:t>学生、教师及家长对学校工作满意度情况</w:t>
            </w:r>
          </w:p>
        </w:tc>
        <w:tc>
          <w:tcPr>
            <w:tcW w:w="2268" w:type="dxa"/>
            <w:vAlign w:val="center"/>
          </w:tcPr>
          <w:p w14:paraId="11F55215">
            <w:pPr>
              <w:pStyle w:val="13"/>
            </w:pPr>
            <w:r>
              <w:t>≥95%</w:t>
            </w:r>
          </w:p>
        </w:tc>
        <w:tc>
          <w:tcPr>
            <w:tcW w:w="1276" w:type="dxa"/>
            <w:vAlign w:val="center"/>
          </w:tcPr>
          <w:p w14:paraId="1064BF20">
            <w:pPr>
              <w:pStyle w:val="13"/>
            </w:pPr>
            <w:r>
              <w:t>城乡义务教育公用经费管理办法</w:t>
            </w:r>
          </w:p>
        </w:tc>
      </w:tr>
    </w:tbl>
    <w:p w14:paraId="452B3545">
      <w:pPr>
        <w:sectPr>
          <w:pgSz w:w="16840" w:h="11900" w:orient="landscape"/>
          <w:pgMar w:top="1361" w:right="1020" w:bottom="1134" w:left="1020" w:header="720" w:footer="720" w:gutter="0"/>
          <w:cols w:space="720" w:num="1"/>
        </w:sectPr>
      </w:pPr>
    </w:p>
    <w:p w14:paraId="32E965BB">
      <w:pPr>
        <w:spacing w:before="0" w:after="0"/>
        <w:ind w:firstLine="560"/>
        <w:jc w:val="left"/>
        <w:outlineLvl w:val="9"/>
      </w:pPr>
      <w:r>
        <w:rPr>
          <w:rFonts w:ascii="方正仿宋_GBK" w:hAnsi="方正仿宋_GBK" w:eastAsia="方正仿宋_GBK" w:cs="方正仿宋_GBK"/>
          <w:b/>
          <w:color w:val="000000"/>
          <w:sz w:val="28"/>
        </w:rPr>
        <w:t>9、冀财教[2024]123号/中央/2025年义教补助经费/大霍小学公用经费绩效目标表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1A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00F98A">
            <w:pPr>
              <w:pStyle w:val="14"/>
            </w:pPr>
            <w:r>
              <w:t>单位：万元</w:t>
            </w:r>
          </w:p>
        </w:tc>
      </w:tr>
      <w:tr w14:paraId="5D96C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07F7D">
            <w:pPr>
              <w:pStyle w:val="11"/>
            </w:pPr>
            <w:r>
              <w:t>项目编码</w:t>
            </w:r>
          </w:p>
        </w:tc>
        <w:tc>
          <w:tcPr>
            <w:tcW w:w="5103" w:type="dxa"/>
            <w:gridSpan w:val="2"/>
            <w:vAlign w:val="center"/>
          </w:tcPr>
          <w:p w14:paraId="5AB21294">
            <w:pPr>
              <w:pStyle w:val="13"/>
            </w:pPr>
            <w:r>
              <w:t>13052525P00000410095W</w:t>
            </w:r>
          </w:p>
        </w:tc>
        <w:tc>
          <w:tcPr>
            <w:tcW w:w="2835" w:type="dxa"/>
            <w:vAlign w:val="center"/>
          </w:tcPr>
          <w:p w14:paraId="2EF41058">
            <w:pPr>
              <w:pStyle w:val="11"/>
            </w:pPr>
            <w:r>
              <w:t>项目名称</w:t>
            </w:r>
          </w:p>
        </w:tc>
        <w:tc>
          <w:tcPr>
            <w:tcW w:w="6095" w:type="dxa"/>
            <w:gridSpan w:val="3"/>
            <w:vAlign w:val="center"/>
          </w:tcPr>
          <w:p w14:paraId="3BDD8D91">
            <w:pPr>
              <w:pStyle w:val="13"/>
            </w:pPr>
            <w:r>
              <w:t>冀财教[2024]123号/中央/2025年义教补助经费/大霍小学公用经费</w:t>
            </w:r>
          </w:p>
        </w:tc>
      </w:tr>
      <w:tr w14:paraId="53957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6141E">
            <w:pPr>
              <w:pStyle w:val="11"/>
            </w:pPr>
            <w:r>
              <w:t>预算规模及资金用途</w:t>
            </w:r>
          </w:p>
        </w:tc>
        <w:tc>
          <w:tcPr>
            <w:tcW w:w="2268" w:type="dxa"/>
            <w:vAlign w:val="center"/>
          </w:tcPr>
          <w:p w14:paraId="075ABE18">
            <w:pPr>
              <w:pStyle w:val="11"/>
            </w:pPr>
            <w:r>
              <w:t>预算数</w:t>
            </w:r>
          </w:p>
        </w:tc>
        <w:tc>
          <w:tcPr>
            <w:tcW w:w="2835" w:type="dxa"/>
            <w:vAlign w:val="center"/>
          </w:tcPr>
          <w:p w14:paraId="5F8D26B9">
            <w:pPr>
              <w:pStyle w:val="13"/>
            </w:pPr>
            <w:r>
              <w:t>84.86</w:t>
            </w:r>
          </w:p>
        </w:tc>
        <w:tc>
          <w:tcPr>
            <w:tcW w:w="2835" w:type="dxa"/>
            <w:vAlign w:val="center"/>
          </w:tcPr>
          <w:p w14:paraId="3D812A51">
            <w:pPr>
              <w:pStyle w:val="11"/>
            </w:pPr>
            <w:r>
              <w:t>其中：财政    资金</w:t>
            </w:r>
          </w:p>
        </w:tc>
        <w:tc>
          <w:tcPr>
            <w:tcW w:w="2551" w:type="dxa"/>
            <w:vAlign w:val="center"/>
          </w:tcPr>
          <w:p w14:paraId="29B18C76">
            <w:pPr>
              <w:pStyle w:val="13"/>
            </w:pPr>
            <w:r>
              <w:t>84.86</w:t>
            </w:r>
          </w:p>
        </w:tc>
        <w:tc>
          <w:tcPr>
            <w:tcW w:w="2268" w:type="dxa"/>
            <w:vAlign w:val="center"/>
          </w:tcPr>
          <w:p w14:paraId="5724AE1F">
            <w:pPr>
              <w:pStyle w:val="11"/>
            </w:pPr>
            <w:r>
              <w:t>其他资金</w:t>
            </w:r>
          </w:p>
        </w:tc>
        <w:tc>
          <w:tcPr>
            <w:tcW w:w="1276" w:type="dxa"/>
            <w:vAlign w:val="center"/>
          </w:tcPr>
          <w:p w14:paraId="0C5EAEFA">
            <w:pPr>
              <w:pStyle w:val="13"/>
            </w:pPr>
            <w:r>
              <w:t xml:space="preserve"> </w:t>
            </w:r>
          </w:p>
        </w:tc>
      </w:tr>
      <w:tr w14:paraId="6B8A2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4021D"/>
        </w:tc>
        <w:tc>
          <w:tcPr>
            <w:tcW w:w="14033" w:type="dxa"/>
            <w:gridSpan w:val="6"/>
            <w:vAlign w:val="center"/>
          </w:tcPr>
          <w:p w14:paraId="610B9143">
            <w:pPr>
              <w:pStyle w:val="13"/>
            </w:pPr>
            <w:r>
              <w:t>有效完成学校教学安全秩序，保障学校教学任务有效开展，满足学校正常教学需要。</w:t>
            </w:r>
          </w:p>
        </w:tc>
      </w:tr>
      <w:tr w14:paraId="68E8E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FD5C5">
            <w:pPr>
              <w:pStyle w:val="11"/>
            </w:pPr>
            <w:r>
              <w:t>资金支出计划（%）</w:t>
            </w:r>
          </w:p>
        </w:tc>
        <w:tc>
          <w:tcPr>
            <w:tcW w:w="5103" w:type="dxa"/>
            <w:gridSpan w:val="2"/>
            <w:vAlign w:val="center"/>
          </w:tcPr>
          <w:p w14:paraId="2D64A562">
            <w:pPr>
              <w:pStyle w:val="11"/>
            </w:pPr>
            <w:r>
              <w:t>3月底</w:t>
            </w:r>
          </w:p>
        </w:tc>
        <w:tc>
          <w:tcPr>
            <w:tcW w:w="2835" w:type="dxa"/>
            <w:vAlign w:val="center"/>
          </w:tcPr>
          <w:p w14:paraId="135F0499">
            <w:pPr>
              <w:pStyle w:val="11"/>
            </w:pPr>
            <w:r>
              <w:t>6月底</w:t>
            </w:r>
          </w:p>
        </w:tc>
        <w:tc>
          <w:tcPr>
            <w:tcW w:w="2551" w:type="dxa"/>
            <w:vAlign w:val="center"/>
          </w:tcPr>
          <w:p w14:paraId="63882E55">
            <w:pPr>
              <w:pStyle w:val="11"/>
            </w:pPr>
            <w:r>
              <w:t>10月底</w:t>
            </w:r>
          </w:p>
        </w:tc>
        <w:tc>
          <w:tcPr>
            <w:tcW w:w="3544" w:type="dxa"/>
            <w:gridSpan w:val="2"/>
            <w:vAlign w:val="center"/>
          </w:tcPr>
          <w:p w14:paraId="4DE220C2">
            <w:pPr>
              <w:pStyle w:val="11"/>
            </w:pPr>
            <w:r>
              <w:t>12月底</w:t>
            </w:r>
          </w:p>
        </w:tc>
      </w:tr>
      <w:tr w14:paraId="4ADC6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9DF63"/>
        </w:tc>
        <w:tc>
          <w:tcPr>
            <w:tcW w:w="5103" w:type="dxa"/>
            <w:gridSpan w:val="2"/>
            <w:vAlign w:val="center"/>
          </w:tcPr>
          <w:p w14:paraId="5F57EEE5">
            <w:pPr>
              <w:pStyle w:val="12"/>
            </w:pPr>
            <w:r>
              <w:t>25%</w:t>
            </w:r>
          </w:p>
        </w:tc>
        <w:tc>
          <w:tcPr>
            <w:tcW w:w="2835" w:type="dxa"/>
            <w:vAlign w:val="center"/>
          </w:tcPr>
          <w:p w14:paraId="7B4D9C08">
            <w:pPr>
              <w:pStyle w:val="12"/>
            </w:pPr>
            <w:r>
              <w:t>50%</w:t>
            </w:r>
          </w:p>
        </w:tc>
        <w:tc>
          <w:tcPr>
            <w:tcW w:w="2551" w:type="dxa"/>
            <w:vAlign w:val="center"/>
          </w:tcPr>
          <w:p w14:paraId="3C8A37C9">
            <w:pPr>
              <w:pStyle w:val="12"/>
            </w:pPr>
            <w:r>
              <w:t>75%</w:t>
            </w:r>
          </w:p>
        </w:tc>
        <w:tc>
          <w:tcPr>
            <w:tcW w:w="3544" w:type="dxa"/>
            <w:gridSpan w:val="2"/>
            <w:vAlign w:val="center"/>
          </w:tcPr>
          <w:p w14:paraId="451739D4">
            <w:pPr>
              <w:pStyle w:val="12"/>
            </w:pPr>
            <w:r>
              <w:t>100%</w:t>
            </w:r>
          </w:p>
        </w:tc>
      </w:tr>
      <w:tr w14:paraId="7062A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17E02">
            <w:pPr>
              <w:pStyle w:val="11"/>
            </w:pPr>
            <w:r>
              <w:t>绩效目标</w:t>
            </w:r>
          </w:p>
        </w:tc>
        <w:tc>
          <w:tcPr>
            <w:tcW w:w="14033" w:type="dxa"/>
            <w:gridSpan w:val="6"/>
            <w:vAlign w:val="center"/>
          </w:tcPr>
          <w:p w14:paraId="73B58AE4">
            <w:pPr>
              <w:pStyle w:val="13"/>
            </w:pPr>
            <w:r>
              <w:t>1.按规定拨付公用经费资金，预算执行率≥98%。</w:t>
            </w:r>
          </w:p>
          <w:p w14:paraId="0A252BB4">
            <w:pPr>
              <w:pStyle w:val="13"/>
            </w:pPr>
            <w:r>
              <w:t>2.有效完成学校教学安全秩序，保障学校教学任务有效开展，满足学校正常教学需要。</w:t>
            </w:r>
          </w:p>
        </w:tc>
      </w:tr>
    </w:tbl>
    <w:p w14:paraId="4380B4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19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BC02C">
            <w:pPr>
              <w:pStyle w:val="11"/>
            </w:pPr>
            <w:r>
              <w:t>一级指标</w:t>
            </w:r>
          </w:p>
        </w:tc>
        <w:tc>
          <w:tcPr>
            <w:tcW w:w="2268" w:type="dxa"/>
            <w:vAlign w:val="center"/>
          </w:tcPr>
          <w:p w14:paraId="3FD9B6FD">
            <w:pPr>
              <w:pStyle w:val="11"/>
            </w:pPr>
            <w:r>
              <w:t>二级指标</w:t>
            </w:r>
          </w:p>
        </w:tc>
        <w:tc>
          <w:tcPr>
            <w:tcW w:w="2835" w:type="dxa"/>
            <w:vAlign w:val="center"/>
          </w:tcPr>
          <w:p w14:paraId="46072A49">
            <w:pPr>
              <w:pStyle w:val="11"/>
            </w:pPr>
            <w:r>
              <w:t>三级指标</w:t>
            </w:r>
          </w:p>
        </w:tc>
        <w:tc>
          <w:tcPr>
            <w:tcW w:w="5386" w:type="dxa"/>
            <w:vAlign w:val="center"/>
          </w:tcPr>
          <w:p w14:paraId="6ACE9105">
            <w:pPr>
              <w:pStyle w:val="11"/>
            </w:pPr>
            <w:r>
              <w:t>绩效指标描述</w:t>
            </w:r>
          </w:p>
        </w:tc>
        <w:tc>
          <w:tcPr>
            <w:tcW w:w="2268" w:type="dxa"/>
            <w:vAlign w:val="center"/>
          </w:tcPr>
          <w:p w14:paraId="4A56EA2B">
            <w:pPr>
              <w:pStyle w:val="11"/>
            </w:pPr>
            <w:r>
              <w:t>指标值</w:t>
            </w:r>
          </w:p>
        </w:tc>
        <w:tc>
          <w:tcPr>
            <w:tcW w:w="1276" w:type="dxa"/>
            <w:vAlign w:val="center"/>
          </w:tcPr>
          <w:p w14:paraId="0EFFA560">
            <w:pPr>
              <w:pStyle w:val="11"/>
            </w:pPr>
            <w:r>
              <w:t>指标值确定依据</w:t>
            </w:r>
          </w:p>
        </w:tc>
      </w:tr>
      <w:tr w14:paraId="60676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2AF9B">
            <w:pPr>
              <w:pStyle w:val="12"/>
            </w:pPr>
            <w:r>
              <w:t>产出指标</w:t>
            </w:r>
          </w:p>
        </w:tc>
        <w:tc>
          <w:tcPr>
            <w:tcW w:w="2268" w:type="dxa"/>
            <w:vAlign w:val="center"/>
          </w:tcPr>
          <w:p w14:paraId="0092A46F">
            <w:pPr>
              <w:pStyle w:val="13"/>
            </w:pPr>
            <w:r>
              <w:t>数量指标</w:t>
            </w:r>
          </w:p>
        </w:tc>
        <w:tc>
          <w:tcPr>
            <w:tcW w:w="2835" w:type="dxa"/>
            <w:vAlign w:val="center"/>
          </w:tcPr>
          <w:p w14:paraId="24E8FB36">
            <w:pPr>
              <w:pStyle w:val="13"/>
            </w:pPr>
            <w:r>
              <w:t>就读学生数</w:t>
            </w:r>
          </w:p>
        </w:tc>
        <w:tc>
          <w:tcPr>
            <w:tcW w:w="5386" w:type="dxa"/>
            <w:vAlign w:val="center"/>
          </w:tcPr>
          <w:p w14:paraId="65D87C2A">
            <w:pPr>
              <w:pStyle w:val="13"/>
            </w:pPr>
            <w:r>
              <w:t>辐射区域内适龄学生人数</w:t>
            </w:r>
          </w:p>
        </w:tc>
        <w:tc>
          <w:tcPr>
            <w:tcW w:w="2268" w:type="dxa"/>
            <w:vAlign w:val="center"/>
          </w:tcPr>
          <w:p w14:paraId="0CCF188C">
            <w:pPr>
              <w:pStyle w:val="13"/>
            </w:pPr>
            <w:r>
              <w:t>1212人</w:t>
            </w:r>
          </w:p>
        </w:tc>
        <w:tc>
          <w:tcPr>
            <w:tcW w:w="1276" w:type="dxa"/>
            <w:vAlign w:val="center"/>
          </w:tcPr>
          <w:p w14:paraId="60F61FC7">
            <w:pPr>
              <w:pStyle w:val="13"/>
            </w:pPr>
            <w:r>
              <w:t>城乡义务教育公用经费管理办法</w:t>
            </w:r>
          </w:p>
        </w:tc>
      </w:tr>
      <w:tr w14:paraId="55DE3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2D0B2"/>
        </w:tc>
        <w:tc>
          <w:tcPr>
            <w:tcW w:w="2268" w:type="dxa"/>
            <w:vAlign w:val="center"/>
          </w:tcPr>
          <w:p w14:paraId="75A4822A">
            <w:pPr>
              <w:pStyle w:val="13"/>
            </w:pPr>
            <w:r>
              <w:t>质量指标</w:t>
            </w:r>
          </w:p>
        </w:tc>
        <w:tc>
          <w:tcPr>
            <w:tcW w:w="2835" w:type="dxa"/>
            <w:vAlign w:val="center"/>
          </w:tcPr>
          <w:p w14:paraId="22CE24E9">
            <w:pPr>
              <w:pStyle w:val="13"/>
            </w:pPr>
            <w:r>
              <w:t>预算执行率</w:t>
            </w:r>
          </w:p>
        </w:tc>
        <w:tc>
          <w:tcPr>
            <w:tcW w:w="5386" w:type="dxa"/>
            <w:vAlign w:val="center"/>
          </w:tcPr>
          <w:p w14:paraId="6B7894E9">
            <w:pPr>
              <w:pStyle w:val="13"/>
            </w:pPr>
            <w:r>
              <w:t>预算执行率</w:t>
            </w:r>
          </w:p>
        </w:tc>
        <w:tc>
          <w:tcPr>
            <w:tcW w:w="2268" w:type="dxa"/>
            <w:vAlign w:val="center"/>
          </w:tcPr>
          <w:p w14:paraId="219760EF">
            <w:pPr>
              <w:pStyle w:val="13"/>
            </w:pPr>
            <w:r>
              <w:t>≥98%</w:t>
            </w:r>
          </w:p>
        </w:tc>
        <w:tc>
          <w:tcPr>
            <w:tcW w:w="1276" w:type="dxa"/>
            <w:vAlign w:val="center"/>
          </w:tcPr>
          <w:p w14:paraId="560631CE">
            <w:pPr>
              <w:pStyle w:val="13"/>
            </w:pPr>
            <w:r>
              <w:t>城乡义务教育公用经费管理办法</w:t>
            </w:r>
          </w:p>
        </w:tc>
      </w:tr>
      <w:tr w14:paraId="65901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9A632"/>
        </w:tc>
        <w:tc>
          <w:tcPr>
            <w:tcW w:w="2268" w:type="dxa"/>
            <w:vAlign w:val="center"/>
          </w:tcPr>
          <w:p w14:paraId="50286526">
            <w:pPr>
              <w:pStyle w:val="13"/>
            </w:pPr>
            <w:r>
              <w:t>时效指标</w:t>
            </w:r>
          </w:p>
        </w:tc>
        <w:tc>
          <w:tcPr>
            <w:tcW w:w="2835" w:type="dxa"/>
            <w:vAlign w:val="center"/>
          </w:tcPr>
          <w:p w14:paraId="28BFE8B9">
            <w:pPr>
              <w:pStyle w:val="13"/>
            </w:pPr>
            <w:r>
              <w:t>义教经费支付完成率</w:t>
            </w:r>
          </w:p>
        </w:tc>
        <w:tc>
          <w:tcPr>
            <w:tcW w:w="5386" w:type="dxa"/>
            <w:vAlign w:val="center"/>
          </w:tcPr>
          <w:p w14:paraId="6A5464B8">
            <w:pPr>
              <w:pStyle w:val="13"/>
            </w:pPr>
            <w:r>
              <w:t>按照序时进度完成资金支付</w:t>
            </w:r>
          </w:p>
        </w:tc>
        <w:tc>
          <w:tcPr>
            <w:tcW w:w="2268" w:type="dxa"/>
            <w:vAlign w:val="center"/>
          </w:tcPr>
          <w:p w14:paraId="60880ABA">
            <w:pPr>
              <w:pStyle w:val="13"/>
            </w:pPr>
            <w:r>
              <w:t>≥100%</w:t>
            </w:r>
          </w:p>
        </w:tc>
        <w:tc>
          <w:tcPr>
            <w:tcW w:w="1276" w:type="dxa"/>
            <w:vAlign w:val="center"/>
          </w:tcPr>
          <w:p w14:paraId="2074CBBC">
            <w:pPr>
              <w:pStyle w:val="13"/>
            </w:pPr>
            <w:r>
              <w:t>城乡义务教育公用经费管理办法</w:t>
            </w:r>
          </w:p>
        </w:tc>
      </w:tr>
      <w:tr w14:paraId="42EDD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D98D6"/>
        </w:tc>
        <w:tc>
          <w:tcPr>
            <w:tcW w:w="2268" w:type="dxa"/>
            <w:vAlign w:val="center"/>
          </w:tcPr>
          <w:p w14:paraId="67A2109F">
            <w:pPr>
              <w:pStyle w:val="13"/>
            </w:pPr>
            <w:r>
              <w:t>成本指标</w:t>
            </w:r>
          </w:p>
        </w:tc>
        <w:tc>
          <w:tcPr>
            <w:tcW w:w="2835" w:type="dxa"/>
            <w:vAlign w:val="center"/>
          </w:tcPr>
          <w:p w14:paraId="654DBF8D">
            <w:pPr>
              <w:pStyle w:val="13"/>
            </w:pPr>
            <w:r>
              <w:t>生均拨款标准</w:t>
            </w:r>
          </w:p>
        </w:tc>
        <w:tc>
          <w:tcPr>
            <w:tcW w:w="5386" w:type="dxa"/>
            <w:vAlign w:val="center"/>
          </w:tcPr>
          <w:p w14:paraId="0BED4252">
            <w:pPr>
              <w:pStyle w:val="13"/>
            </w:pPr>
            <w:r>
              <w:t>小学：（基本标准720元、寄宿生300元、生活补助120元）/生/学年；特教、随班就读学生：标准6000元/生/学年</w:t>
            </w:r>
          </w:p>
        </w:tc>
        <w:tc>
          <w:tcPr>
            <w:tcW w:w="2268" w:type="dxa"/>
            <w:vAlign w:val="center"/>
          </w:tcPr>
          <w:p w14:paraId="3FFB7ED1">
            <w:pPr>
              <w:pStyle w:val="13"/>
            </w:pPr>
            <w:r>
              <w:t>840元</w:t>
            </w:r>
          </w:p>
        </w:tc>
        <w:tc>
          <w:tcPr>
            <w:tcW w:w="1276" w:type="dxa"/>
            <w:vAlign w:val="center"/>
          </w:tcPr>
          <w:p w14:paraId="11D02C42">
            <w:pPr>
              <w:pStyle w:val="13"/>
            </w:pPr>
            <w:r>
              <w:t>城乡义务教育公用经费管理办法</w:t>
            </w:r>
          </w:p>
        </w:tc>
      </w:tr>
      <w:tr w14:paraId="22B67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313FED">
            <w:pPr>
              <w:pStyle w:val="12"/>
            </w:pPr>
            <w:r>
              <w:t>效益指标</w:t>
            </w:r>
          </w:p>
        </w:tc>
        <w:tc>
          <w:tcPr>
            <w:tcW w:w="2268" w:type="dxa"/>
            <w:vAlign w:val="center"/>
          </w:tcPr>
          <w:p w14:paraId="3FD55D28">
            <w:pPr>
              <w:pStyle w:val="13"/>
            </w:pPr>
            <w:r>
              <w:t>可持续影响指标</w:t>
            </w:r>
          </w:p>
        </w:tc>
        <w:tc>
          <w:tcPr>
            <w:tcW w:w="2835" w:type="dxa"/>
            <w:vAlign w:val="center"/>
          </w:tcPr>
          <w:p w14:paraId="1F52ED77">
            <w:pPr>
              <w:pStyle w:val="13"/>
            </w:pPr>
            <w:r>
              <w:t>学校稳定率</w:t>
            </w:r>
          </w:p>
        </w:tc>
        <w:tc>
          <w:tcPr>
            <w:tcW w:w="5386" w:type="dxa"/>
            <w:vAlign w:val="center"/>
          </w:tcPr>
          <w:p w14:paraId="211D7D86">
            <w:pPr>
              <w:pStyle w:val="13"/>
            </w:pPr>
            <w:r>
              <w:t>维护学校稳定，保障学校正常教学秩序有效开展</w:t>
            </w:r>
          </w:p>
        </w:tc>
        <w:tc>
          <w:tcPr>
            <w:tcW w:w="2268" w:type="dxa"/>
            <w:vAlign w:val="center"/>
          </w:tcPr>
          <w:p w14:paraId="10D4860B">
            <w:pPr>
              <w:pStyle w:val="13"/>
            </w:pPr>
            <w:r>
              <w:t>100%</w:t>
            </w:r>
          </w:p>
        </w:tc>
        <w:tc>
          <w:tcPr>
            <w:tcW w:w="1276" w:type="dxa"/>
            <w:vAlign w:val="center"/>
          </w:tcPr>
          <w:p w14:paraId="565B3091">
            <w:pPr>
              <w:pStyle w:val="13"/>
            </w:pPr>
            <w:r>
              <w:t>城乡义务教育公用经费管理办法</w:t>
            </w:r>
          </w:p>
        </w:tc>
      </w:tr>
      <w:tr w14:paraId="070F7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BB9965">
            <w:pPr>
              <w:pStyle w:val="12"/>
            </w:pPr>
            <w:r>
              <w:t>满意度指标</w:t>
            </w:r>
          </w:p>
        </w:tc>
        <w:tc>
          <w:tcPr>
            <w:tcW w:w="2268" w:type="dxa"/>
            <w:vAlign w:val="center"/>
          </w:tcPr>
          <w:p w14:paraId="2DFA020B">
            <w:pPr>
              <w:pStyle w:val="13"/>
            </w:pPr>
            <w:r>
              <w:t>服务对象满意度指标</w:t>
            </w:r>
          </w:p>
        </w:tc>
        <w:tc>
          <w:tcPr>
            <w:tcW w:w="2835" w:type="dxa"/>
            <w:vAlign w:val="center"/>
          </w:tcPr>
          <w:p w14:paraId="2A2D3B95">
            <w:pPr>
              <w:pStyle w:val="13"/>
            </w:pPr>
            <w:r>
              <w:t>家长和学生满意度</w:t>
            </w:r>
          </w:p>
        </w:tc>
        <w:tc>
          <w:tcPr>
            <w:tcW w:w="5386" w:type="dxa"/>
            <w:vAlign w:val="center"/>
          </w:tcPr>
          <w:p w14:paraId="35198778">
            <w:pPr>
              <w:pStyle w:val="13"/>
            </w:pPr>
            <w:r>
              <w:t>家长和学生满意度</w:t>
            </w:r>
          </w:p>
        </w:tc>
        <w:tc>
          <w:tcPr>
            <w:tcW w:w="2268" w:type="dxa"/>
            <w:vAlign w:val="center"/>
          </w:tcPr>
          <w:p w14:paraId="2FE7124D">
            <w:pPr>
              <w:pStyle w:val="13"/>
            </w:pPr>
            <w:r>
              <w:t>≥95%</w:t>
            </w:r>
          </w:p>
        </w:tc>
        <w:tc>
          <w:tcPr>
            <w:tcW w:w="1276" w:type="dxa"/>
            <w:vAlign w:val="center"/>
          </w:tcPr>
          <w:p w14:paraId="7D1EC226">
            <w:pPr>
              <w:pStyle w:val="13"/>
            </w:pPr>
            <w:r>
              <w:t>问卷调查</w:t>
            </w:r>
          </w:p>
        </w:tc>
      </w:tr>
    </w:tbl>
    <w:p w14:paraId="7C727738">
      <w:pPr>
        <w:sectPr>
          <w:pgSz w:w="16840" w:h="11900" w:orient="landscape"/>
          <w:pgMar w:top="1361" w:right="1020" w:bottom="1134" w:left="1020" w:header="720" w:footer="720" w:gutter="0"/>
          <w:cols w:space="720" w:num="1"/>
        </w:sectPr>
      </w:pPr>
    </w:p>
    <w:p w14:paraId="27494B6B">
      <w:pPr>
        <w:spacing w:before="0" w:after="0"/>
        <w:ind w:firstLine="560"/>
        <w:jc w:val="left"/>
        <w:outlineLvl w:val="9"/>
      </w:pPr>
      <w:r>
        <w:rPr>
          <w:rFonts w:ascii="方正仿宋_GBK" w:hAnsi="方正仿宋_GBK" w:eastAsia="方正仿宋_GBK" w:cs="方正仿宋_GBK"/>
          <w:b/>
          <w:color w:val="000000"/>
          <w:sz w:val="28"/>
        </w:rPr>
        <w:t>10、冀财教[2024]123号/中央/2025年义教补助经费/大宁甫小学公用经费绩效目标表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36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9FD92">
            <w:pPr>
              <w:pStyle w:val="14"/>
            </w:pPr>
            <w:r>
              <w:t>单位：万元</w:t>
            </w:r>
          </w:p>
        </w:tc>
      </w:tr>
      <w:tr w14:paraId="078C3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11C77D">
            <w:pPr>
              <w:pStyle w:val="11"/>
            </w:pPr>
            <w:r>
              <w:t>项目编码</w:t>
            </w:r>
          </w:p>
        </w:tc>
        <w:tc>
          <w:tcPr>
            <w:tcW w:w="5103" w:type="dxa"/>
            <w:gridSpan w:val="2"/>
            <w:vAlign w:val="center"/>
          </w:tcPr>
          <w:p w14:paraId="14A41A13">
            <w:pPr>
              <w:pStyle w:val="13"/>
            </w:pPr>
            <w:r>
              <w:t>13052525P000004100949</w:t>
            </w:r>
          </w:p>
        </w:tc>
        <w:tc>
          <w:tcPr>
            <w:tcW w:w="2835" w:type="dxa"/>
            <w:vAlign w:val="center"/>
          </w:tcPr>
          <w:p w14:paraId="6DBE9915">
            <w:pPr>
              <w:pStyle w:val="11"/>
            </w:pPr>
            <w:r>
              <w:t>项目名称</w:t>
            </w:r>
          </w:p>
        </w:tc>
        <w:tc>
          <w:tcPr>
            <w:tcW w:w="6095" w:type="dxa"/>
            <w:gridSpan w:val="3"/>
            <w:vAlign w:val="center"/>
          </w:tcPr>
          <w:p w14:paraId="0C5DA417">
            <w:pPr>
              <w:pStyle w:val="13"/>
            </w:pPr>
            <w:r>
              <w:t>冀财教[2024]123号/中央/2025年义教补助经费/大宁甫小学公用经费</w:t>
            </w:r>
          </w:p>
        </w:tc>
      </w:tr>
      <w:tr w14:paraId="53438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894E2">
            <w:pPr>
              <w:pStyle w:val="11"/>
            </w:pPr>
            <w:r>
              <w:t>预算规模及资金用途</w:t>
            </w:r>
          </w:p>
        </w:tc>
        <w:tc>
          <w:tcPr>
            <w:tcW w:w="2268" w:type="dxa"/>
            <w:vAlign w:val="center"/>
          </w:tcPr>
          <w:p w14:paraId="62DB0D95">
            <w:pPr>
              <w:pStyle w:val="11"/>
            </w:pPr>
            <w:r>
              <w:t>预算数</w:t>
            </w:r>
          </w:p>
        </w:tc>
        <w:tc>
          <w:tcPr>
            <w:tcW w:w="2835" w:type="dxa"/>
            <w:vAlign w:val="center"/>
          </w:tcPr>
          <w:p w14:paraId="7915EBA4">
            <w:pPr>
              <w:pStyle w:val="13"/>
            </w:pPr>
            <w:r>
              <w:t>42.82</w:t>
            </w:r>
          </w:p>
        </w:tc>
        <w:tc>
          <w:tcPr>
            <w:tcW w:w="2835" w:type="dxa"/>
            <w:vAlign w:val="center"/>
          </w:tcPr>
          <w:p w14:paraId="54943049">
            <w:pPr>
              <w:pStyle w:val="11"/>
            </w:pPr>
            <w:r>
              <w:t>其中：财政    资金</w:t>
            </w:r>
          </w:p>
        </w:tc>
        <w:tc>
          <w:tcPr>
            <w:tcW w:w="2551" w:type="dxa"/>
            <w:vAlign w:val="center"/>
          </w:tcPr>
          <w:p w14:paraId="20C1118B">
            <w:pPr>
              <w:pStyle w:val="13"/>
            </w:pPr>
            <w:r>
              <w:t>42.82</w:t>
            </w:r>
          </w:p>
        </w:tc>
        <w:tc>
          <w:tcPr>
            <w:tcW w:w="2268" w:type="dxa"/>
            <w:vAlign w:val="center"/>
          </w:tcPr>
          <w:p w14:paraId="1A75BD31">
            <w:pPr>
              <w:pStyle w:val="11"/>
            </w:pPr>
            <w:r>
              <w:t>其他资金</w:t>
            </w:r>
          </w:p>
        </w:tc>
        <w:tc>
          <w:tcPr>
            <w:tcW w:w="1276" w:type="dxa"/>
            <w:vAlign w:val="center"/>
          </w:tcPr>
          <w:p w14:paraId="7E8CC3CF">
            <w:pPr>
              <w:pStyle w:val="13"/>
            </w:pPr>
            <w:r>
              <w:t xml:space="preserve"> </w:t>
            </w:r>
          </w:p>
        </w:tc>
      </w:tr>
      <w:tr w14:paraId="3B4AA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E48C6A"/>
        </w:tc>
        <w:tc>
          <w:tcPr>
            <w:tcW w:w="14033" w:type="dxa"/>
            <w:gridSpan w:val="6"/>
            <w:vAlign w:val="center"/>
          </w:tcPr>
          <w:p w14:paraId="5DB11B39">
            <w:pPr>
              <w:pStyle w:val="13"/>
            </w:pPr>
            <w:r>
              <w:t>有效完成学校教学安全秩序，保障学校教学任务有效开展，满足学校正常教学需要。</w:t>
            </w:r>
          </w:p>
        </w:tc>
      </w:tr>
      <w:tr w14:paraId="4358A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7C4CD">
            <w:pPr>
              <w:pStyle w:val="11"/>
            </w:pPr>
            <w:r>
              <w:t>资金支出计划（%）</w:t>
            </w:r>
          </w:p>
        </w:tc>
        <w:tc>
          <w:tcPr>
            <w:tcW w:w="5103" w:type="dxa"/>
            <w:gridSpan w:val="2"/>
            <w:vAlign w:val="center"/>
          </w:tcPr>
          <w:p w14:paraId="64DB8EC7">
            <w:pPr>
              <w:pStyle w:val="11"/>
            </w:pPr>
            <w:r>
              <w:t>3月底</w:t>
            </w:r>
          </w:p>
        </w:tc>
        <w:tc>
          <w:tcPr>
            <w:tcW w:w="2835" w:type="dxa"/>
            <w:vAlign w:val="center"/>
          </w:tcPr>
          <w:p w14:paraId="3DAB885E">
            <w:pPr>
              <w:pStyle w:val="11"/>
            </w:pPr>
            <w:r>
              <w:t>6月底</w:t>
            </w:r>
          </w:p>
        </w:tc>
        <w:tc>
          <w:tcPr>
            <w:tcW w:w="2551" w:type="dxa"/>
            <w:vAlign w:val="center"/>
          </w:tcPr>
          <w:p w14:paraId="4868B35C">
            <w:pPr>
              <w:pStyle w:val="11"/>
            </w:pPr>
            <w:r>
              <w:t>10月底</w:t>
            </w:r>
          </w:p>
        </w:tc>
        <w:tc>
          <w:tcPr>
            <w:tcW w:w="3544" w:type="dxa"/>
            <w:gridSpan w:val="2"/>
            <w:vAlign w:val="center"/>
          </w:tcPr>
          <w:p w14:paraId="4DDE2ED6">
            <w:pPr>
              <w:pStyle w:val="11"/>
            </w:pPr>
            <w:r>
              <w:t>12月底</w:t>
            </w:r>
          </w:p>
        </w:tc>
      </w:tr>
      <w:tr w14:paraId="5C1E2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C05C08"/>
        </w:tc>
        <w:tc>
          <w:tcPr>
            <w:tcW w:w="5103" w:type="dxa"/>
            <w:gridSpan w:val="2"/>
            <w:vAlign w:val="center"/>
          </w:tcPr>
          <w:p w14:paraId="758B2DB3">
            <w:pPr>
              <w:pStyle w:val="12"/>
            </w:pPr>
            <w:r>
              <w:t>25%</w:t>
            </w:r>
          </w:p>
        </w:tc>
        <w:tc>
          <w:tcPr>
            <w:tcW w:w="2835" w:type="dxa"/>
            <w:vAlign w:val="center"/>
          </w:tcPr>
          <w:p w14:paraId="4BECD23B">
            <w:pPr>
              <w:pStyle w:val="12"/>
            </w:pPr>
            <w:r>
              <w:t>50%</w:t>
            </w:r>
          </w:p>
        </w:tc>
        <w:tc>
          <w:tcPr>
            <w:tcW w:w="2551" w:type="dxa"/>
            <w:vAlign w:val="center"/>
          </w:tcPr>
          <w:p w14:paraId="01BF83BA">
            <w:pPr>
              <w:pStyle w:val="12"/>
            </w:pPr>
            <w:r>
              <w:t>75%</w:t>
            </w:r>
          </w:p>
        </w:tc>
        <w:tc>
          <w:tcPr>
            <w:tcW w:w="3544" w:type="dxa"/>
            <w:gridSpan w:val="2"/>
            <w:vAlign w:val="center"/>
          </w:tcPr>
          <w:p w14:paraId="00215EDD">
            <w:pPr>
              <w:pStyle w:val="12"/>
            </w:pPr>
            <w:r>
              <w:t>100%</w:t>
            </w:r>
          </w:p>
        </w:tc>
      </w:tr>
      <w:tr w14:paraId="70528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8908B9">
            <w:pPr>
              <w:pStyle w:val="11"/>
            </w:pPr>
            <w:r>
              <w:t>绩效目标</w:t>
            </w:r>
          </w:p>
        </w:tc>
        <w:tc>
          <w:tcPr>
            <w:tcW w:w="14033" w:type="dxa"/>
            <w:gridSpan w:val="6"/>
            <w:vAlign w:val="center"/>
          </w:tcPr>
          <w:p w14:paraId="7A045E0A">
            <w:pPr>
              <w:pStyle w:val="13"/>
            </w:pPr>
            <w:r>
              <w:t>1.有效完成学校教学安全秩序，保障学校教学任务有效开展，满足学校正常教学需要。</w:t>
            </w:r>
          </w:p>
          <w:p w14:paraId="64B9A15A">
            <w:pPr>
              <w:pStyle w:val="13"/>
            </w:pPr>
            <w:r>
              <w:t>2.按规定拨付公用经费资金，预算执行率≥98%。</w:t>
            </w:r>
          </w:p>
        </w:tc>
      </w:tr>
    </w:tbl>
    <w:p w14:paraId="6F8D0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F6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9B5EA">
            <w:pPr>
              <w:pStyle w:val="11"/>
            </w:pPr>
            <w:r>
              <w:t>一级指标</w:t>
            </w:r>
          </w:p>
        </w:tc>
        <w:tc>
          <w:tcPr>
            <w:tcW w:w="2268" w:type="dxa"/>
            <w:vAlign w:val="center"/>
          </w:tcPr>
          <w:p w14:paraId="093F280C">
            <w:pPr>
              <w:pStyle w:val="11"/>
            </w:pPr>
            <w:r>
              <w:t>二级指标</w:t>
            </w:r>
          </w:p>
        </w:tc>
        <w:tc>
          <w:tcPr>
            <w:tcW w:w="2835" w:type="dxa"/>
            <w:vAlign w:val="center"/>
          </w:tcPr>
          <w:p w14:paraId="39E4B0BC">
            <w:pPr>
              <w:pStyle w:val="11"/>
            </w:pPr>
            <w:r>
              <w:t>三级指标</w:t>
            </w:r>
          </w:p>
        </w:tc>
        <w:tc>
          <w:tcPr>
            <w:tcW w:w="5386" w:type="dxa"/>
            <w:vAlign w:val="center"/>
          </w:tcPr>
          <w:p w14:paraId="33D04D9B">
            <w:pPr>
              <w:pStyle w:val="11"/>
            </w:pPr>
            <w:r>
              <w:t>绩效指标描述</w:t>
            </w:r>
          </w:p>
        </w:tc>
        <w:tc>
          <w:tcPr>
            <w:tcW w:w="2268" w:type="dxa"/>
            <w:vAlign w:val="center"/>
          </w:tcPr>
          <w:p w14:paraId="291578EE">
            <w:pPr>
              <w:pStyle w:val="11"/>
            </w:pPr>
            <w:r>
              <w:t>指标值</w:t>
            </w:r>
          </w:p>
        </w:tc>
        <w:tc>
          <w:tcPr>
            <w:tcW w:w="1276" w:type="dxa"/>
            <w:vAlign w:val="center"/>
          </w:tcPr>
          <w:p w14:paraId="5920D971">
            <w:pPr>
              <w:pStyle w:val="11"/>
            </w:pPr>
            <w:r>
              <w:t>指标值确定依据</w:t>
            </w:r>
          </w:p>
        </w:tc>
      </w:tr>
      <w:tr w14:paraId="45C23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5FEFC">
            <w:pPr>
              <w:pStyle w:val="12"/>
            </w:pPr>
            <w:r>
              <w:t>产出指标</w:t>
            </w:r>
          </w:p>
        </w:tc>
        <w:tc>
          <w:tcPr>
            <w:tcW w:w="2268" w:type="dxa"/>
            <w:vAlign w:val="center"/>
          </w:tcPr>
          <w:p w14:paraId="4363B247">
            <w:pPr>
              <w:pStyle w:val="13"/>
            </w:pPr>
            <w:r>
              <w:t>数量指标</w:t>
            </w:r>
          </w:p>
        </w:tc>
        <w:tc>
          <w:tcPr>
            <w:tcW w:w="2835" w:type="dxa"/>
            <w:vAlign w:val="center"/>
          </w:tcPr>
          <w:p w14:paraId="3A5E7E8D">
            <w:pPr>
              <w:pStyle w:val="13"/>
            </w:pPr>
            <w:r>
              <w:t>就读学生数</w:t>
            </w:r>
          </w:p>
        </w:tc>
        <w:tc>
          <w:tcPr>
            <w:tcW w:w="5386" w:type="dxa"/>
            <w:vAlign w:val="center"/>
          </w:tcPr>
          <w:p w14:paraId="53A87E46">
            <w:pPr>
              <w:pStyle w:val="13"/>
            </w:pPr>
            <w:r>
              <w:t>辐射区域内适龄学生人数</w:t>
            </w:r>
          </w:p>
        </w:tc>
        <w:tc>
          <w:tcPr>
            <w:tcW w:w="2268" w:type="dxa"/>
            <w:vAlign w:val="center"/>
          </w:tcPr>
          <w:p w14:paraId="280DA491">
            <w:pPr>
              <w:pStyle w:val="13"/>
            </w:pPr>
            <w:r>
              <w:t>655人</w:t>
            </w:r>
          </w:p>
        </w:tc>
        <w:tc>
          <w:tcPr>
            <w:tcW w:w="1276" w:type="dxa"/>
            <w:vAlign w:val="center"/>
          </w:tcPr>
          <w:p w14:paraId="160B63FC">
            <w:pPr>
              <w:pStyle w:val="13"/>
            </w:pPr>
            <w:r>
              <w:t>城乡义务教育公用经费管理办法</w:t>
            </w:r>
          </w:p>
        </w:tc>
      </w:tr>
      <w:tr w14:paraId="43714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AFB26"/>
        </w:tc>
        <w:tc>
          <w:tcPr>
            <w:tcW w:w="2268" w:type="dxa"/>
            <w:vAlign w:val="center"/>
          </w:tcPr>
          <w:p w14:paraId="39147BA4">
            <w:pPr>
              <w:pStyle w:val="13"/>
            </w:pPr>
            <w:r>
              <w:t>质量指标</w:t>
            </w:r>
          </w:p>
        </w:tc>
        <w:tc>
          <w:tcPr>
            <w:tcW w:w="2835" w:type="dxa"/>
            <w:vAlign w:val="center"/>
          </w:tcPr>
          <w:p w14:paraId="39463A6F">
            <w:pPr>
              <w:pStyle w:val="13"/>
            </w:pPr>
            <w:r>
              <w:t>预算执行率</w:t>
            </w:r>
          </w:p>
        </w:tc>
        <w:tc>
          <w:tcPr>
            <w:tcW w:w="5386" w:type="dxa"/>
            <w:vAlign w:val="center"/>
          </w:tcPr>
          <w:p w14:paraId="22020B52">
            <w:pPr>
              <w:pStyle w:val="13"/>
            </w:pPr>
            <w:r>
              <w:t>预算执行率</w:t>
            </w:r>
          </w:p>
        </w:tc>
        <w:tc>
          <w:tcPr>
            <w:tcW w:w="2268" w:type="dxa"/>
            <w:vAlign w:val="center"/>
          </w:tcPr>
          <w:p w14:paraId="1246E61C">
            <w:pPr>
              <w:pStyle w:val="13"/>
            </w:pPr>
            <w:r>
              <w:t>≥98%</w:t>
            </w:r>
          </w:p>
        </w:tc>
        <w:tc>
          <w:tcPr>
            <w:tcW w:w="1276" w:type="dxa"/>
            <w:vAlign w:val="center"/>
          </w:tcPr>
          <w:p w14:paraId="1972DDFB">
            <w:pPr>
              <w:pStyle w:val="13"/>
            </w:pPr>
            <w:r>
              <w:t>城乡义务教育公用经费管理办法</w:t>
            </w:r>
          </w:p>
        </w:tc>
      </w:tr>
      <w:tr w14:paraId="2110A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5B64D"/>
        </w:tc>
        <w:tc>
          <w:tcPr>
            <w:tcW w:w="2268" w:type="dxa"/>
            <w:vAlign w:val="center"/>
          </w:tcPr>
          <w:p w14:paraId="068C9BAF">
            <w:pPr>
              <w:pStyle w:val="13"/>
            </w:pPr>
            <w:r>
              <w:t>时效指标</w:t>
            </w:r>
          </w:p>
        </w:tc>
        <w:tc>
          <w:tcPr>
            <w:tcW w:w="2835" w:type="dxa"/>
            <w:vAlign w:val="center"/>
          </w:tcPr>
          <w:p w14:paraId="354FDB8D">
            <w:pPr>
              <w:pStyle w:val="13"/>
            </w:pPr>
            <w:r>
              <w:t>义教经费支付完成率</w:t>
            </w:r>
          </w:p>
        </w:tc>
        <w:tc>
          <w:tcPr>
            <w:tcW w:w="5386" w:type="dxa"/>
            <w:vAlign w:val="center"/>
          </w:tcPr>
          <w:p w14:paraId="429A89E6">
            <w:pPr>
              <w:pStyle w:val="13"/>
            </w:pPr>
            <w:r>
              <w:t>按照序时进度完成资金支付</w:t>
            </w:r>
          </w:p>
        </w:tc>
        <w:tc>
          <w:tcPr>
            <w:tcW w:w="2268" w:type="dxa"/>
            <w:vAlign w:val="center"/>
          </w:tcPr>
          <w:p w14:paraId="7D646B32">
            <w:pPr>
              <w:pStyle w:val="13"/>
            </w:pPr>
            <w:r>
              <w:t>≥100%</w:t>
            </w:r>
          </w:p>
        </w:tc>
        <w:tc>
          <w:tcPr>
            <w:tcW w:w="1276" w:type="dxa"/>
            <w:vAlign w:val="center"/>
          </w:tcPr>
          <w:p w14:paraId="4FF77842">
            <w:pPr>
              <w:pStyle w:val="13"/>
            </w:pPr>
            <w:r>
              <w:t>城乡义务教育公用经费管理办法</w:t>
            </w:r>
          </w:p>
        </w:tc>
      </w:tr>
      <w:tr w14:paraId="5825E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C60D4"/>
        </w:tc>
        <w:tc>
          <w:tcPr>
            <w:tcW w:w="2268" w:type="dxa"/>
            <w:vAlign w:val="center"/>
          </w:tcPr>
          <w:p w14:paraId="53281DEB">
            <w:pPr>
              <w:pStyle w:val="13"/>
            </w:pPr>
            <w:r>
              <w:t>成本指标</w:t>
            </w:r>
          </w:p>
        </w:tc>
        <w:tc>
          <w:tcPr>
            <w:tcW w:w="2835" w:type="dxa"/>
            <w:vAlign w:val="center"/>
          </w:tcPr>
          <w:p w14:paraId="0E623621">
            <w:pPr>
              <w:pStyle w:val="13"/>
            </w:pPr>
            <w:r>
              <w:t>生均拨款标准</w:t>
            </w:r>
          </w:p>
        </w:tc>
        <w:tc>
          <w:tcPr>
            <w:tcW w:w="5386" w:type="dxa"/>
            <w:vAlign w:val="center"/>
          </w:tcPr>
          <w:p w14:paraId="69E7A78B">
            <w:pPr>
              <w:pStyle w:val="13"/>
            </w:pPr>
            <w:r>
              <w:t>小学：（基本标准720元、寄宿生300元、生活补助120元）/生/学年；特教、随班就读学生：标准6000元/生/学年</w:t>
            </w:r>
          </w:p>
        </w:tc>
        <w:tc>
          <w:tcPr>
            <w:tcW w:w="2268" w:type="dxa"/>
            <w:vAlign w:val="center"/>
          </w:tcPr>
          <w:p w14:paraId="32644DDB">
            <w:pPr>
              <w:pStyle w:val="13"/>
            </w:pPr>
            <w:r>
              <w:t>840元</w:t>
            </w:r>
          </w:p>
        </w:tc>
        <w:tc>
          <w:tcPr>
            <w:tcW w:w="1276" w:type="dxa"/>
            <w:vAlign w:val="center"/>
          </w:tcPr>
          <w:p w14:paraId="27146C8D">
            <w:pPr>
              <w:pStyle w:val="13"/>
            </w:pPr>
            <w:r>
              <w:t>城乡义务教育公用经费管理办法</w:t>
            </w:r>
          </w:p>
        </w:tc>
      </w:tr>
      <w:tr w14:paraId="4096A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B85D8E">
            <w:pPr>
              <w:pStyle w:val="12"/>
            </w:pPr>
            <w:r>
              <w:t>效益指标</w:t>
            </w:r>
          </w:p>
        </w:tc>
        <w:tc>
          <w:tcPr>
            <w:tcW w:w="2268" w:type="dxa"/>
            <w:vAlign w:val="center"/>
          </w:tcPr>
          <w:p w14:paraId="5F8D0684">
            <w:pPr>
              <w:pStyle w:val="13"/>
            </w:pPr>
            <w:r>
              <w:t>可持续影响指标</w:t>
            </w:r>
          </w:p>
        </w:tc>
        <w:tc>
          <w:tcPr>
            <w:tcW w:w="2835" w:type="dxa"/>
            <w:vAlign w:val="center"/>
          </w:tcPr>
          <w:p w14:paraId="30B13631">
            <w:pPr>
              <w:pStyle w:val="13"/>
            </w:pPr>
            <w:r>
              <w:t>学校稳定率</w:t>
            </w:r>
          </w:p>
        </w:tc>
        <w:tc>
          <w:tcPr>
            <w:tcW w:w="5386" w:type="dxa"/>
            <w:vAlign w:val="center"/>
          </w:tcPr>
          <w:p w14:paraId="7C4F07DD">
            <w:pPr>
              <w:pStyle w:val="13"/>
            </w:pPr>
            <w:r>
              <w:t>维护学校稳定，保障学校正常教学秩序有效开展</w:t>
            </w:r>
          </w:p>
        </w:tc>
        <w:tc>
          <w:tcPr>
            <w:tcW w:w="2268" w:type="dxa"/>
            <w:vAlign w:val="center"/>
          </w:tcPr>
          <w:p w14:paraId="37E6C8F2">
            <w:pPr>
              <w:pStyle w:val="13"/>
            </w:pPr>
            <w:r>
              <w:t>≥100%</w:t>
            </w:r>
          </w:p>
        </w:tc>
        <w:tc>
          <w:tcPr>
            <w:tcW w:w="1276" w:type="dxa"/>
            <w:vAlign w:val="center"/>
          </w:tcPr>
          <w:p w14:paraId="17C48721">
            <w:pPr>
              <w:pStyle w:val="13"/>
            </w:pPr>
            <w:r>
              <w:t>城乡义务教育公用经费管理办法</w:t>
            </w:r>
          </w:p>
        </w:tc>
      </w:tr>
      <w:tr w14:paraId="1002E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407FFD">
            <w:pPr>
              <w:pStyle w:val="12"/>
            </w:pPr>
            <w:r>
              <w:t>满意度指标</w:t>
            </w:r>
          </w:p>
        </w:tc>
        <w:tc>
          <w:tcPr>
            <w:tcW w:w="2268" w:type="dxa"/>
            <w:vAlign w:val="center"/>
          </w:tcPr>
          <w:p w14:paraId="282452B2">
            <w:pPr>
              <w:pStyle w:val="13"/>
            </w:pPr>
            <w:r>
              <w:t>服务对象满意度指标</w:t>
            </w:r>
          </w:p>
        </w:tc>
        <w:tc>
          <w:tcPr>
            <w:tcW w:w="2835" w:type="dxa"/>
            <w:vAlign w:val="center"/>
          </w:tcPr>
          <w:p w14:paraId="064AD090">
            <w:pPr>
              <w:pStyle w:val="13"/>
            </w:pPr>
            <w:r>
              <w:t>家长和学生满意度</w:t>
            </w:r>
          </w:p>
        </w:tc>
        <w:tc>
          <w:tcPr>
            <w:tcW w:w="5386" w:type="dxa"/>
            <w:vAlign w:val="center"/>
          </w:tcPr>
          <w:p w14:paraId="717B111F">
            <w:pPr>
              <w:pStyle w:val="13"/>
            </w:pPr>
            <w:r>
              <w:t>家长和学生满意度</w:t>
            </w:r>
          </w:p>
        </w:tc>
        <w:tc>
          <w:tcPr>
            <w:tcW w:w="2268" w:type="dxa"/>
            <w:vAlign w:val="center"/>
          </w:tcPr>
          <w:p w14:paraId="246FC53C">
            <w:pPr>
              <w:pStyle w:val="13"/>
            </w:pPr>
            <w:r>
              <w:t>≥95%</w:t>
            </w:r>
          </w:p>
        </w:tc>
        <w:tc>
          <w:tcPr>
            <w:tcW w:w="1276" w:type="dxa"/>
            <w:vAlign w:val="center"/>
          </w:tcPr>
          <w:p w14:paraId="19879529">
            <w:pPr>
              <w:pStyle w:val="13"/>
            </w:pPr>
            <w:r>
              <w:t>问卷调查</w:t>
            </w:r>
          </w:p>
        </w:tc>
      </w:tr>
    </w:tbl>
    <w:p w14:paraId="3AA1BF8E">
      <w:pPr>
        <w:sectPr>
          <w:pgSz w:w="16840" w:h="11900" w:orient="landscape"/>
          <w:pgMar w:top="1361" w:right="1020" w:bottom="1134" w:left="1020" w:header="720" w:footer="720" w:gutter="0"/>
          <w:cols w:space="720" w:num="1"/>
        </w:sectPr>
      </w:pPr>
    </w:p>
    <w:p w14:paraId="4AB71B7E">
      <w:pPr>
        <w:spacing w:before="0" w:after="0"/>
        <w:ind w:firstLine="560"/>
        <w:jc w:val="left"/>
        <w:outlineLvl w:val="9"/>
      </w:pPr>
      <w:r>
        <w:rPr>
          <w:rFonts w:ascii="方正仿宋_GBK" w:hAnsi="方正仿宋_GBK" w:eastAsia="方正仿宋_GBK" w:cs="方正仿宋_GBK"/>
          <w:b/>
          <w:color w:val="000000"/>
          <w:sz w:val="28"/>
        </w:rPr>
        <w:t>11、冀财教[2024]123号/中央/2025年义教补助经费/东尹小学公用经费绩效目标表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9D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A5858">
            <w:pPr>
              <w:pStyle w:val="14"/>
            </w:pPr>
            <w:r>
              <w:t>单位：万元</w:t>
            </w:r>
          </w:p>
        </w:tc>
      </w:tr>
      <w:tr w14:paraId="739AB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1F4C2">
            <w:pPr>
              <w:pStyle w:val="11"/>
            </w:pPr>
            <w:r>
              <w:t>项目编码</w:t>
            </w:r>
          </w:p>
        </w:tc>
        <w:tc>
          <w:tcPr>
            <w:tcW w:w="5103" w:type="dxa"/>
            <w:gridSpan w:val="2"/>
            <w:vAlign w:val="center"/>
          </w:tcPr>
          <w:p w14:paraId="67057442">
            <w:pPr>
              <w:pStyle w:val="13"/>
            </w:pPr>
            <w:r>
              <w:t>13052525P00000410093M</w:t>
            </w:r>
          </w:p>
        </w:tc>
        <w:tc>
          <w:tcPr>
            <w:tcW w:w="2835" w:type="dxa"/>
            <w:vAlign w:val="center"/>
          </w:tcPr>
          <w:p w14:paraId="42C73990">
            <w:pPr>
              <w:pStyle w:val="11"/>
            </w:pPr>
            <w:r>
              <w:t>项目名称</w:t>
            </w:r>
          </w:p>
        </w:tc>
        <w:tc>
          <w:tcPr>
            <w:tcW w:w="6095" w:type="dxa"/>
            <w:gridSpan w:val="3"/>
            <w:vAlign w:val="center"/>
          </w:tcPr>
          <w:p w14:paraId="5F13DA31">
            <w:pPr>
              <w:pStyle w:val="13"/>
            </w:pPr>
            <w:r>
              <w:t>冀财教[2024]123号/中央/2025年义教补助经费/东尹小学公用经费</w:t>
            </w:r>
          </w:p>
        </w:tc>
      </w:tr>
      <w:tr w14:paraId="361FC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57CAD">
            <w:pPr>
              <w:pStyle w:val="11"/>
            </w:pPr>
            <w:r>
              <w:t>预算规模及资金用途</w:t>
            </w:r>
          </w:p>
        </w:tc>
        <w:tc>
          <w:tcPr>
            <w:tcW w:w="2268" w:type="dxa"/>
            <w:vAlign w:val="center"/>
          </w:tcPr>
          <w:p w14:paraId="58560A85">
            <w:pPr>
              <w:pStyle w:val="11"/>
            </w:pPr>
            <w:r>
              <w:t>预算数</w:t>
            </w:r>
          </w:p>
        </w:tc>
        <w:tc>
          <w:tcPr>
            <w:tcW w:w="2835" w:type="dxa"/>
            <w:vAlign w:val="center"/>
          </w:tcPr>
          <w:p w14:paraId="40EABA77">
            <w:pPr>
              <w:pStyle w:val="13"/>
            </w:pPr>
            <w:r>
              <w:t>13.43</w:t>
            </w:r>
          </w:p>
        </w:tc>
        <w:tc>
          <w:tcPr>
            <w:tcW w:w="2835" w:type="dxa"/>
            <w:vAlign w:val="center"/>
          </w:tcPr>
          <w:p w14:paraId="2C2F96CC">
            <w:pPr>
              <w:pStyle w:val="11"/>
            </w:pPr>
            <w:r>
              <w:t>其中：财政    资金</w:t>
            </w:r>
          </w:p>
        </w:tc>
        <w:tc>
          <w:tcPr>
            <w:tcW w:w="2551" w:type="dxa"/>
            <w:vAlign w:val="center"/>
          </w:tcPr>
          <w:p w14:paraId="1B9DCD00">
            <w:pPr>
              <w:pStyle w:val="13"/>
            </w:pPr>
            <w:r>
              <w:t>13.43</w:t>
            </w:r>
          </w:p>
        </w:tc>
        <w:tc>
          <w:tcPr>
            <w:tcW w:w="2268" w:type="dxa"/>
            <w:vAlign w:val="center"/>
          </w:tcPr>
          <w:p w14:paraId="120A1C0C">
            <w:pPr>
              <w:pStyle w:val="11"/>
            </w:pPr>
            <w:r>
              <w:t>其他资金</w:t>
            </w:r>
          </w:p>
        </w:tc>
        <w:tc>
          <w:tcPr>
            <w:tcW w:w="1276" w:type="dxa"/>
            <w:vAlign w:val="center"/>
          </w:tcPr>
          <w:p w14:paraId="36FC2E7A">
            <w:pPr>
              <w:pStyle w:val="13"/>
            </w:pPr>
            <w:r>
              <w:t xml:space="preserve"> </w:t>
            </w:r>
          </w:p>
        </w:tc>
      </w:tr>
      <w:tr w14:paraId="3A7F2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091CF7"/>
        </w:tc>
        <w:tc>
          <w:tcPr>
            <w:tcW w:w="14033" w:type="dxa"/>
            <w:gridSpan w:val="6"/>
            <w:vAlign w:val="center"/>
          </w:tcPr>
          <w:p w14:paraId="7A360D54">
            <w:pPr>
              <w:pStyle w:val="13"/>
            </w:pPr>
            <w:r>
              <w:t>有效完成学校教学安全秩序，保障学校教学任务有效开展，满足学校正常教学需要。</w:t>
            </w:r>
          </w:p>
        </w:tc>
      </w:tr>
      <w:tr w14:paraId="0729A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4F3C3">
            <w:pPr>
              <w:pStyle w:val="11"/>
            </w:pPr>
            <w:r>
              <w:t>资金支出计划（%）</w:t>
            </w:r>
          </w:p>
        </w:tc>
        <w:tc>
          <w:tcPr>
            <w:tcW w:w="5103" w:type="dxa"/>
            <w:gridSpan w:val="2"/>
            <w:vAlign w:val="center"/>
          </w:tcPr>
          <w:p w14:paraId="3676238A">
            <w:pPr>
              <w:pStyle w:val="11"/>
            </w:pPr>
            <w:r>
              <w:t>3月底</w:t>
            </w:r>
          </w:p>
        </w:tc>
        <w:tc>
          <w:tcPr>
            <w:tcW w:w="2835" w:type="dxa"/>
            <w:vAlign w:val="center"/>
          </w:tcPr>
          <w:p w14:paraId="44CE8458">
            <w:pPr>
              <w:pStyle w:val="11"/>
            </w:pPr>
            <w:r>
              <w:t>6月底</w:t>
            </w:r>
          </w:p>
        </w:tc>
        <w:tc>
          <w:tcPr>
            <w:tcW w:w="2551" w:type="dxa"/>
            <w:vAlign w:val="center"/>
          </w:tcPr>
          <w:p w14:paraId="4F08C0AF">
            <w:pPr>
              <w:pStyle w:val="11"/>
            </w:pPr>
            <w:r>
              <w:t>10月底</w:t>
            </w:r>
          </w:p>
        </w:tc>
        <w:tc>
          <w:tcPr>
            <w:tcW w:w="3544" w:type="dxa"/>
            <w:gridSpan w:val="2"/>
            <w:vAlign w:val="center"/>
          </w:tcPr>
          <w:p w14:paraId="21FF58CD">
            <w:pPr>
              <w:pStyle w:val="11"/>
            </w:pPr>
            <w:r>
              <w:t>12月底</w:t>
            </w:r>
          </w:p>
        </w:tc>
      </w:tr>
      <w:tr w14:paraId="67CBE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AE247B"/>
        </w:tc>
        <w:tc>
          <w:tcPr>
            <w:tcW w:w="5103" w:type="dxa"/>
            <w:gridSpan w:val="2"/>
            <w:vAlign w:val="center"/>
          </w:tcPr>
          <w:p w14:paraId="11766081">
            <w:pPr>
              <w:pStyle w:val="12"/>
            </w:pPr>
            <w:r>
              <w:t>25%</w:t>
            </w:r>
          </w:p>
        </w:tc>
        <w:tc>
          <w:tcPr>
            <w:tcW w:w="2835" w:type="dxa"/>
            <w:vAlign w:val="center"/>
          </w:tcPr>
          <w:p w14:paraId="487A65A6">
            <w:pPr>
              <w:pStyle w:val="12"/>
            </w:pPr>
            <w:r>
              <w:t>50%</w:t>
            </w:r>
          </w:p>
        </w:tc>
        <w:tc>
          <w:tcPr>
            <w:tcW w:w="2551" w:type="dxa"/>
            <w:vAlign w:val="center"/>
          </w:tcPr>
          <w:p w14:paraId="70AE793E">
            <w:pPr>
              <w:pStyle w:val="12"/>
            </w:pPr>
            <w:r>
              <w:t>75%</w:t>
            </w:r>
          </w:p>
        </w:tc>
        <w:tc>
          <w:tcPr>
            <w:tcW w:w="3544" w:type="dxa"/>
            <w:gridSpan w:val="2"/>
            <w:vAlign w:val="center"/>
          </w:tcPr>
          <w:p w14:paraId="531E8DB0">
            <w:pPr>
              <w:pStyle w:val="12"/>
            </w:pPr>
            <w:r>
              <w:t>100%</w:t>
            </w:r>
          </w:p>
        </w:tc>
      </w:tr>
      <w:tr w14:paraId="2C5670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265AF">
            <w:pPr>
              <w:pStyle w:val="11"/>
            </w:pPr>
            <w:r>
              <w:t>绩效目标</w:t>
            </w:r>
          </w:p>
        </w:tc>
        <w:tc>
          <w:tcPr>
            <w:tcW w:w="14033" w:type="dxa"/>
            <w:gridSpan w:val="6"/>
            <w:vAlign w:val="center"/>
          </w:tcPr>
          <w:p w14:paraId="27CCBFA5">
            <w:pPr>
              <w:pStyle w:val="13"/>
            </w:pPr>
            <w:r>
              <w:t>1.有效完成学校教学安全秩序，保障学校教学任务有效开展，满足学校正常教学需要。</w:t>
            </w:r>
          </w:p>
          <w:p w14:paraId="41577AC5">
            <w:pPr>
              <w:pStyle w:val="13"/>
            </w:pPr>
            <w:r>
              <w:t>2.按规定拨付公用经费资金，预算执行率≥98%。</w:t>
            </w:r>
          </w:p>
        </w:tc>
      </w:tr>
    </w:tbl>
    <w:p w14:paraId="1EA5D3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C5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B2615">
            <w:pPr>
              <w:pStyle w:val="11"/>
            </w:pPr>
            <w:r>
              <w:t>一级指标</w:t>
            </w:r>
          </w:p>
        </w:tc>
        <w:tc>
          <w:tcPr>
            <w:tcW w:w="2268" w:type="dxa"/>
            <w:vAlign w:val="center"/>
          </w:tcPr>
          <w:p w14:paraId="73722F33">
            <w:pPr>
              <w:pStyle w:val="11"/>
            </w:pPr>
            <w:r>
              <w:t>二级指标</w:t>
            </w:r>
          </w:p>
        </w:tc>
        <w:tc>
          <w:tcPr>
            <w:tcW w:w="2835" w:type="dxa"/>
            <w:vAlign w:val="center"/>
          </w:tcPr>
          <w:p w14:paraId="2AE39AC7">
            <w:pPr>
              <w:pStyle w:val="11"/>
            </w:pPr>
            <w:r>
              <w:t>三级指标</w:t>
            </w:r>
          </w:p>
        </w:tc>
        <w:tc>
          <w:tcPr>
            <w:tcW w:w="5386" w:type="dxa"/>
            <w:vAlign w:val="center"/>
          </w:tcPr>
          <w:p w14:paraId="52391439">
            <w:pPr>
              <w:pStyle w:val="11"/>
            </w:pPr>
            <w:r>
              <w:t>绩效指标描述</w:t>
            </w:r>
          </w:p>
        </w:tc>
        <w:tc>
          <w:tcPr>
            <w:tcW w:w="2268" w:type="dxa"/>
            <w:vAlign w:val="center"/>
          </w:tcPr>
          <w:p w14:paraId="3B3D372D">
            <w:pPr>
              <w:pStyle w:val="11"/>
            </w:pPr>
            <w:r>
              <w:t>指标值</w:t>
            </w:r>
          </w:p>
        </w:tc>
        <w:tc>
          <w:tcPr>
            <w:tcW w:w="1276" w:type="dxa"/>
            <w:vAlign w:val="center"/>
          </w:tcPr>
          <w:p w14:paraId="3D62D69D">
            <w:pPr>
              <w:pStyle w:val="11"/>
            </w:pPr>
            <w:r>
              <w:t>指标值确定依据</w:t>
            </w:r>
          </w:p>
        </w:tc>
      </w:tr>
      <w:tr w14:paraId="1BEB2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4B5E2">
            <w:pPr>
              <w:pStyle w:val="12"/>
            </w:pPr>
            <w:r>
              <w:t>产出指标</w:t>
            </w:r>
          </w:p>
        </w:tc>
        <w:tc>
          <w:tcPr>
            <w:tcW w:w="2268" w:type="dxa"/>
            <w:vAlign w:val="center"/>
          </w:tcPr>
          <w:p w14:paraId="20DB5E54">
            <w:pPr>
              <w:pStyle w:val="13"/>
            </w:pPr>
            <w:r>
              <w:t>数量指标</w:t>
            </w:r>
          </w:p>
        </w:tc>
        <w:tc>
          <w:tcPr>
            <w:tcW w:w="2835" w:type="dxa"/>
            <w:vAlign w:val="center"/>
          </w:tcPr>
          <w:p w14:paraId="2CA8C381">
            <w:pPr>
              <w:pStyle w:val="13"/>
            </w:pPr>
            <w:r>
              <w:t>就读学生数</w:t>
            </w:r>
          </w:p>
        </w:tc>
        <w:tc>
          <w:tcPr>
            <w:tcW w:w="5386" w:type="dxa"/>
            <w:vAlign w:val="center"/>
          </w:tcPr>
          <w:p w14:paraId="40606373">
            <w:pPr>
              <w:pStyle w:val="13"/>
            </w:pPr>
            <w:r>
              <w:t>辐射区域内适龄学生人数</w:t>
            </w:r>
          </w:p>
        </w:tc>
        <w:tc>
          <w:tcPr>
            <w:tcW w:w="2268" w:type="dxa"/>
            <w:vAlign w:val="center"/>
          </w:tcPr>
          <w:p w14:paraId="7E860C99">
            <w:pPr>
              <w:pStyle w:val="13"/>
            </w:pPr>
            <w:r>
              <w:t>228人</w:t>
            </w:r>
          </w:p>
        </w:tc>
        <w:tc>
          <w:tcPr>
            <w:tcW w:w="1276" w:type="dxa"/>
            <w:vAlign w:val="center"/>
          </w:tcPr>
          <w:p w14:paraId="7A5F1EDE">
            <w:pPr>
              <w:pStyle w:val="13"/>
            </w:pPr>
            <w:r>
              <w:t>城乡义务教育公用经费管理办法</w:t>
            </w:r>
          </w:p>
        </w:tc>
      </w:tr>
      <w:tr w14:paraId="7111A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01678"/>
        </w:tc>
        <w:tc>
          <w:tcPr>
            <w:tcW w:w="2268" w:type="dxa"/>
            <w:vAlign w:val="center"/>
          </w:tcPr>
          <w:p w14:paraId="3B05B18E">
            <w:pPr>
              <w:pStyle w:val="13"/>
            </w:pPr>
            <w:r>
              <w:t>质量指标</w:t>
            </w:r>
          </w:p>
        </w:tc>
        <w:tc>
          <w:tcPr>
            <w:tcW w:w="2835" w:type="dxa"/>
            <w:vAlign w:val="center"/>
          </w:tcPr>
          <w:p w14:paraId="22A9B2EC">
            <w:pPr>
              <w:pStyle w:val="13"/>
            </w:pPr>
            <w:r>
              <w:t>预算执行率</w:t>
            </w:r>
          </w:p>
        </w:tc>
        <w:tc>
          <w:tcPr>
            <w:tcW w:w="5386" w:type="dxa"/>
            <w:vAlign w:val="center"/>
          </w:tcPr>
          <w:p w14:paraId="3AB4428A">
            <w:pPr>
              <w:pStyle w:val="13"/>
            </w:pPr>
            <w:r>
              <w:t>预算执行率</w:t>
            </w:r>
          </w:p>
        </w:tc>
        <w:tc>
          <w:tcPr>
            <w:tcW w:w="2268" w:type="dxa"/>
            <w:vAlign w:val="center"/>
          </w:tcPr>
          <w:p w14:paraId="2083BBE4">
            <w:pPr>
              <w:pStyle w:val="13"/>
            </w:pPr>
            <w:r>
              <w:t>≥98%</w:t>
            </w:r>
          </w:p>
        </w:tc>
        <w:tc>
          <w:tcPr>
            <w:tcW w:w="1276" w:type="dxa"/>
            <w:vAlign w:val="center"/>
          </w:tcPr>
          <w:p w14:paraId="2CC8C066">
            <w:pPr>
              <w:pStyle w:val="13"/>
            </w:pPr>
            <w:r>
              <w:t>城乡义务教育公用经费管理办法</w:t>
            </w:r>
          </w:p>
        </w:tc>
      </w:tr>
      <w:tr w14:paraId="1A873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06572"/>
        </w:tc>
        <w:tc>
          <w:tcPr>
            <w:tcW w:w="2268" w:type="dxa"/>
            <w:vAlign w:val="center"/>
          </w:tcPr>
          <w:p w14:paraId="16E18065">
            <w:pPr>
              <w:pStyle w:val="13"/>
            </w:pPr>
            <w:r>
              <w:t>时效指标</w:t>
            </w:r>
          </w:p>
        </w:tc>
        <w:tc>
          <w:tcPr>
            <w:tcW w:w="2835" w:type="dxa"/>
            <w:vAlign w:val="center"/>
          </w:tcPr>
          <w:p w14:paraId="62B30D5A">
            <w:pPr>
              <w:pStyle w:val="13"/>
            </w:pPr>
            <w:r>
              <w:t>义教经费支付完成率</w:t>
            </w:r>
          </w:p>
        </w:tc>
        <w:tc>
          <w:tcPr>
            <w:tcW w:w="5386" w:type="dxa"/>
            <w:vAlign w:val="center"/>
          </w:tcPr>
          <w:p w14:paraId="62165A6E">
            <w:pPr>
              <w:pStyle w:val="13"/>
            </w:pPr>
            <w:r>
              <w:t>按照序时进度完成资金支付</w:t>
            </w:r>
          </w:p>
        </w:tc>
        <w:tc>
          <w:tcPr>
            <w:tcW w:w="2268" w:type="dxa"/>
            <w:vAlign w:val="center"/>
          </w:tcPr>
          <w:p w14:paraId="12AE22D0">
            <w:pPr>
              <w:pStyle w:val="13"/>
            </w:pPr>
            <w:r>
              <w:t>≥100%</w:t>
            </w:r>
          </w:p>
        </w:tc>
        <w:tc>
          <w:tcPr>
            <w:tcW w:w="1276" w:type="dxa"/>
            <w:vAlign w:val="center"/>
          </w:tcPr>
          <w:p w14:paraId="6C6C6EDA">
            <w:pPr>
              <w:pStyle w:val="13"/>
            </w:pPr>
            <w:r>
              <w:t>城乡义务教育公用经费管理办法</w:t>
            </w:r>
          </w:p>
        </w:tc>
      </w:tr>
      <w:tr w14:paraId="720E2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18DBD"/>
        </w:tc>
        <w:tc>
          <w:tcPr>
            <w:tcW w:w="2268" w:type="dxa"/>
            <w:vAlign w:val="center"/>
          </w:tcPr>
          <w:p w14:paraId="1478911D">
            <w:pPr>
              <w:pStyle w:val="13"/>
            </w:pPr>
            <w:r>
              <w:t>成本指标</w:t>
            </w:r>
          </w:p>
        </w:tc>
        <w:tc>
          <w:tcPr>
            <w:tcW w:w="2835" w:type="dxa"/>
            <w:vAlign w:val="center"/>
          </w:tcPr>
          <w:p w14:paraId="36889817">
            <w:pPr>
              <w:pStyle w:val="13"/>
            </w:pPr>
            <w:r>
              <w:t>生均拨款标准</w:t>
            </w:r>
          </w:p>
        </w:tc>
        <w:tc>
          <w:tcPr>
            <w:tcW w:w="5386" w:type="dxa"/>
            <w:vAlign w:val="center"/>
          </w:tcPr>
          <w:p w14:paraId="35E97949">
            <w:pPr>
              <w:pStyle w:val="13"/>
            </w:pPr>
            <w:r>
              <w:t>小学：（基本标准720元、寄宿生300元、生活补助120元）/生/学年；特教、随班就读学生：标准7000元/生/学年</w:t>
            </w:r>
          </w:p>
        </w:tc>
        <w:tc>
          <w:tcPr>
            <w:tcW w:w="2268" w:type="dxa"/>
            <w:vAlign w:val="center"/>
          </w:tcPr>
          <w:p w14:paraId="619D1FF0">
            <w:pPr>
              <w:pStyle w:val="13"/>
            </w:pPr>
            <w:r>
              <w:t>840元</w:t>
            </w:r>
          </w:p>
        </w:tc>
        <w:tc>
          <w:tcPr>
            <w:tcW w:w="1276" w:type="dxa"/>
            <w:vAlign w:val="center"/>
          </w:tcPr>
          <w:p w14:paraId="7CB02F02">
            <w:pPr>
              <w:pStyle w:val="13"/>
            </w:pPr>
            <w:r>
              <w:t>城乡义务教育公用经费管理办法</w:t>
            </w:r>
          </w:p>
        </w:tc>
      </w:tr>
      <w:tr w14:paraId="1069B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CDB5A">
            <w:pPr>
              <w:pStyle w:val="12"/>
            </w:pPr>
            <w:r>
              <w:t>效益指标</w:t>
            </w:r>
          </w:p>
        </w:tc>
        <w:tc>
          <w:tcPr>
            <w:tcW w:w="2268" w:type="dxa"/>
            <w:vAlign w:val="center"/>
          </w:tcPr>
          <w:p w14:paraId="06553437">
            <w:pPr>
              <w:pStyle w:val="13"/>
            </w:pPr>
            <w:r>
              <w:t>可持续影响指标</w:t>
            </w:r>
          </w:p>
        </w:tc>
        <w:tc>
          <w:tcPr>
            <w:tcW w:w="2835" w:type="dxa"/>
            <w:vAlign w:val="center"/>
          </w:tcPr>
          <w:p w14:paraId="66305FFD">
            <w:pPr>
              <w:pStyle w:val="13"/>
            </w:pPr>
            <w:r>
              <w:t>学校稳定率</w:t>
            </w:r>
          </w:p>
        </w:tc>
        <w:tc>
          <w:tcPr>
            <w:tcW w:w="5386" w:type="dxa"/>
            <w:vAlign w:val="center"/>
          </w:tcPr>
          <w:p w14:paraId="28F8B686">
            <w:pPr>
              <w:pStyle w:val="13"/>
            </w:pPr>
            <w:r>
              <w:t>维护学校稳定，保障学校正常教学秩序有效开展</w:t>
            </w:r>
          </w:p>
        </w:tc>
        <w:tc>
          <w:tcPr>
            <w:tcW w:w="2268" w:type="dxa"/>
            <w:vAlign w:val="center"/>
          </w:tcPr>
          <w:p w14:paraId="24DF1B6C">
            <w:pPr>
              <w:pStyle w:val="13"/>
            </w:pPr>
            <w:r>
              <w:t>≥100%</w:t>
            </w:r>
          </w:p>
        </w:tc>
        <w:tc>
          <w:tcPr>
            <w:tcW w:w="1276" w:type="dxa"/>
            <w:vAlign w:val="center"/>
          </w:tcPr>
          <w:p w14:paraId="576C000F">
            <w:pPr>
              <w:pStyle w:val="13"/>
            </w:pPr>
            <w:r>
              <w:t>城乡义务教育公用经费管理办法</w:t>
            </w:r>
          </w:p>
        </w:tc>
      </w:tr>
      <w:tr w14:paraId="2AF3D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51111">
            <w:pPr>
              <w:pStyle w:val="12"/>
            </w:pPr>
            <w:r>
              <w:t>满意度指标</w:t>
            </w:r>
          </w:p>
        </w:tc>
        <w:tc>
          <w:tcPr>
            <w:tcW w:w="2268" w:type="dxa"/>
            <w:vAlign w:val="center"/>
          </w:tcPr>
          <w:p w14:paraId="04A9F502">
            <w:pPr>
              <w:pStyle w:val="13"/>
            </w:pPr>
            <w:r>
              <w:t>服务对象满意度指标</w:t>
            </w:r>
          </w:p>
        </w:tc>
        <w:tc>
          <w:tcPr>
            <w:tcW w:w="2835" w:type="dxa"/>
            <w:vAlign w:val="center"/>
          </w:tcPr>
          <w:p w14:paraId="6C1A1B39">
            <w:pPr>
              <w:pStyle w:val="13"/>
            </w:pPr>
            <w:r>
              <w:t>家长和学生满意度</w:t>
            </w:r>
          </w:p>
        </w:tc>
        <w:tc>
          <w:tcPr>
            <w:tcW w:w="5386" w:type="dxa"/>
            <w:vAlign w:val="center"/>
          </w:tcPr>
          <w:p w14:paraId="76A02B4C">
            <w:pPr>
              <w:pStyle w:val="13"/>
            </w:pPr>
            <w:r>
              <w:t>家长和学生满意度</w:t>
            </w:r>
          </w:p>
        </w:tc>
        <w:tc>
          <w:tcPr>
            <w:tcW w:w="2268" w:type="dxa"/>
            <w:vAlign w:val="center"/>
          </w:tcPr>
          <w:p w14:paraId="63BC6D5B">
            <w:pPr>
              <w:pStyle w:val="13"/>
            </w:pPr>
            <w:r>
              <w:t>≥95%</w:t>
            </w:r>
          </w:p>
        </w:tc>
        <w:tc>
          <w:tcPr>
            <w:tcW w:w="1276" w:type="dxa"/>
            <w:vAlign w:val="center"/>
          </w:tcPr>
          <w:p w14:paraId="75FB0831">
            <w:pPr>
              <w:pStyle w:val="13"/>
            </w:pPr>
            <w:r>
              <w:t>问卷调查</w:t>
            </w:r>
          </w:p>
        </w:tc>
      </w:tr>
    </w:tbl>
    <w:p w14:paraId="6954762F">
      <w:pPr>
        <w:sectPr>
          <w:pgSz w:w="16840" w:h="11900" w:orient="landscape"/>
          <w:pgMar w:top="1361" w:right="1020" w:bottom="1134" w:left="1020" w:header="720" w:footer="720" w:gutter="0"/>
          <w:cols w:space="720" w:num="1"/>
        </w:sectPr>
      </w:pPr>
    </w:p>
    <w:p w14:paraId="24E1EF76">
      <w:pPr>
        <w:spacing w:before="0" w:after="0"/>
        <w:ind w:firstLine="560"/>
        <w:jc w:val="left"/>
        <w:outlineLvl w:val="9"/>
      </w:pPr>
      <w:r>
        <w:rPr>
          <w:rFonts w:ascii="方正仿宋_GBK" w:hAnsi="方正仿宋_GBK" w:eastAsia="方正仿宋_GBK" w:cs="方正仿宋_GBK"/>
          <w:b/>
          <w:color w:val="000000"/>
          <w:sz w:val="28"/>
        </w:rPr>
        <w:t>12、冀财教[2024]123号/中央/2025年义教补助经费/良村小学公用经费绩效目标表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19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82532">
            <w:pPr>
              <w:pStyle w:val="14"/>
            </w:pPr>
            <w:r>
              <w:t>单位：万元</w:t>
            </w:r>
          </w:p>
        </w:tc>
      </w:tr>
      <w:tr w14:paraId="5C64C1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D930B">
            <w:pPr>
              <w:pStyle w:val="11"/>
            </w:pPr>
            <w:r>
              <w:t>项目编码</w:t>
            </w:r>
          </w:p>
        </w:tc>
        <w:tc>
          <w:tcPr>
            <w:tcW w:w="5103" w:type="dxa"/>
            <w:gridSpan w:val="2"/>
            <w:vAlign w:val="center"/>
          </w:tcPr>
          <w:p w14:paraId="66EB1556">
            <w:pPr>
              <w:pStyle w:val="13"/>
            </w:pPr>
            <w:r>
              <w:t>13052525P000004100974</w:t>
            </w:r>
          </w:p>
        </w:tc>
        <w:tc>
          <w:tcPr>
            <w:tcW w:w="2835" w:type="dxa"/>
            <w:vAlign w:val="center"/>
          </w:tcPr>
          <w:p w14:paraId="12AEF4C4">
            <w:pPr>
              <w:pStyle w:val="11"/>
            </w:pPr>
            <w:r>
              <w:t>项目名称</w:t>
            </w:r>
          </w:p>
        </w:tc>
        <w:tc>
          <w:tcPr>
            <w:tcW w:w="6095" w:type="dxa"/>
            <w:gridSpan w:val="3"/>
            <w:vAlign w:val="center"/>
          </w:tcPr>
          <w:p w14:paraId="2770A082">
            <w:pPr>
              <w:pStyle w:val="13"/>
            </w:pPr>
            <w:r>
              <w:t>冀财教[2024]123号/中央/2025年义教补助经费/良村小学公用经费</w:t>
            </w:r>
          </w:p>
        </w:tc>
      </w:tr>
      <w:tr w14:paraId="615DC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77499">
            <w:pPr>
              <w:pStyle w:val="11"/>
            </w:pPr>
            <w:r>
              <w:t>预算规模及资金用途</w:t>
            </w:r>
          </w:p>
        </w:tc>
        <w:tc>
          <w:tcPr>
            <w:tcW w:w="2268" w:type="dxa"/>
            <w:vAlign w:val="center"/>
          </w:tcPr>
          <w:p w14:paraId="3834B2E8">
            <w:pPr>
              <w:pStyle w:val="11"/>
            </w:pPr>
            <w:r>
              <w:t>预算数</w:t>
            </w:r>
          </w:p>
        </w:tc>
        <w:tc>
          <w:tcPr>
            <w:tcW w:w="2835" w:type="dxa"/>
            <w:vAlign w:val="center"/>
          </w:tcPr>
          <w:p w14:paraId="72F6D2F9">
            <w:pPr>
              <w:pStyle w:val="13"/>
            </w:pPr>
            <w:r>
              <w:t>9.50</w:t>
            </w:r>
          </w:p>
        </w:tc>
        <w:tc>
          <w:tcPr>
            <w:tcW w:w="2835" w:type="dxa"/>
            <w:vAlign w:val="center"/>
          </w:tcPr>
          <w:p w14:paraId="603A7755">
            <w:pPr>
              <w:pStyle w:val="11"/>
            </w:pPr>
            <w:r>
              <w:t>其中：财政    资金</w:t>
            </w:r>
          </w:p>
        </w:tc>
        <w:tc>
          <w:tcPr>
            <w:tcW w:w="2551" w:type="dxa"/>
            <w:vAlign w:val="center"/>
          </w:tcPr>
          <w:p w14:paraId="417C4DB2">
            <w:pPr>
              <w:pStyle w:val="13"/>
            </w:pPr>
            <w:r>
              <w:t>9.50</w:t>
            </w:r>
          </w:p>
        </w:tc>
        <w:tc>
          <w:tcPr>
            <w:tcW w:w="2268" w:type="dxa"/>
            <w:vAlign w:val="center"/>
          </w:tcPr>
          <w:p w14:paraId="17BA05A5">
            <w:pPr>
              <w:pStyle w:val="11"/>
            </w:pPr>
            <w:r>
              <w:t>其他资金</w:t>
            </w:r>
          </w:p>
        </w:tc>
        <w:tc>
          <w:tcPr>
            <w:tcW w:w="1276" w:type="dxa"/>
            <w:vAlign w:val="center"/>
          </w:tcPr>
          <w:p w14:paraId="05CB3904">
            <w:pPr>
              <w:pStyle w:val="13"/>
            </w:pPr>
            <w:r>
              <w:t xml:space="preserve"> </w:t>
            </w:r>
          </w:p>
        </w:tc>
      </w:tr>
      <w:tr w14:paraId="77B50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48E2D"/>
        </w:tc>
        <w:tc>
          <w:tcPr>
            <w:tcW w:w="14033" w:type="dxa"/>
            <w:gridSpan w:val="6"/>
            <w:vAlign w:val="center"/>
          </w:tcPr>
          <w:p w14:paraId="4D9C44FC">
            <w:pPr>
              <w:pStyle w:val="13"/>
            </w:pPr>
            <w:r>
              <w:t>有效完成学校教学安全秩序，保障学校教学任务有效开展，满足学校正常教学需要。</w:t>
            </w:r>
          </w:p>
        </w:tc>
      </w:tr>
      <w:tr w14:paraId="0E922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8C4B7">
            <w:pPr>
              <w:pStyle w:val="11"/>
            </w:pPr>
            <w:r>
              <w:t>资金支出计划（%）</w:t>
            </w:r>
          </w:p>
        </w:tc>
        <w:tc>
          <w:tcPr>
            <w:tcW w:w="5103" w:type="dxa"/>
            <w:gridSpan w:val="2"/>
            <w:vAlign w:val="center"/>
          </w:tcPr>
          <w:p w14:paraId="6CCAF85B">
            <w:pPr>
              <w:pStyle w:val="11"/>
            </w:pPr>
            <w:r>
              <w:t>3月底</w:t>
            </w:r>
          </w:p>
        </w:tc>
        <w:tc>
          <w:tcPr>
            <w:tcW w:w="2835" w:type="dxa"/>
            <w:vAlign w:val="center"/>
          </w:tcPr>
          <w:p w14:paraId="3FCF7943">
            <w:pPr>
              <w:pStyle w:val="11"/>
            </w:pPr>
            <w:r>
              <w:t>6月底</w:t>
            </w:r>
          </w:p>
        </w:tc>
        <w:tc>
          <w:tcPr>
            <w:tcW w:w="2551" w:type="dxa"/>
            <w:vAlign w:val="center"/>
          </w:tcPr>
          <w:p w14:paraId="04F14D36">
            <w:pPr>
              <w:pStyle w:val="11"/>
            </w:pPr>
            <w:r>
              <w:t>10月底</w:t>
            </w:r>
          </w:p>
        </w:tc>
        <w:tc>
          <w:tcPr>
            <w:tcW w:w="3544" w:type="dxa"/>
            <w:gridSpan w:val="2"/>
            <w:vAlign w:val="center"/>
          </w:tcPr>
          <w:p w14:paraId="1F15CD4F">
            <w:pPr>
              <w:pStyle w:val="11"/>
            </w:pPr>
            <w:r>
              <w:t>12月底</w:t>
            </w:r>
          </w:p>
        </w:tc>
      </w:tr>
      <w:tr w14:paraId="2904D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123AFF"/>
        </w:tc>
        <w:tc>
          <w:tcPr>
            <w:tcW w:w="5103" w:type="dxa"/>
            <w:gridSpan w:val="2"/>
            <w:vAlign w:val="center"/>
          </w:tcPr>
          <w:p w14:paraId="72B2F4A5">
            <w:pPr>
              <w:pStyle w:val="12"/>
            </w:pPr>
            <w:r>
              <w:t>25%</w:t>
            </w:r>
          </w:p>
        </w:tc>
        <w:tc>
          <w:tcPr>
            <w:tcW w:w="2835" w:type="dxa"/>
            <w:vAlign w:val="center"/>
          </w:tcPr>
          <w:p w14:paraId="5FB13845">
            <w:pPr>
              <w:pStyle w:val="12"/>
            </w:pPr>
            <w:r>
              <w:t>50%</w:t>
            </w:r>
          </w:p>
        </w:tc>
        <w:tc>
          <w:tcPr>
            <w:tcW w:w="2551" w:type="dxa"/>
            <w:vAlign w:val="center"/>
          </w:tcPr>
          <w:p w14:paraId="28EF6127">
            <w:pPr>
              <w:pStyle w:val="12"/>
            </w:pPr>
            <w:r>
              <w:t>75%</w:t>
            </w:r>
          </w:p>
        </w:tc>
        <w:tc>
          <w:tcPr>
            <w:tcW w:w="3544" w:type="dxa"/>
            <w:gridSpan w:val="2"/>
            <w:vAlign w:val="center"/>
          </w:tcPr>
          <w:p w14:paraId="175D47BB">
            <w:pPr>
              <w:pStyle w:val="12"/>
            </w:pPr>
            <w:r>
              <w:t>100%</w:t>
            </w:r>
          </w:p>
        </w:tc>
      </w:tr>
      <w:tr w14:paraId="575C8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335EA">
            <w:pPr>
              <w:pStyle w:val="11"/>
            </w:pPr>
            <w:r>
              <w:t>绩效目标</w:t>
            </w:r>
          </w:p>
        </w:tc>
        <w:tc>
          <w:tcPr>
            <w:tcW w:w="14033" w:type="dxa"/>
            <w:gridSpan w:val="6"/>
            <w:vAlign w:val="center"/>
          </w:tcPr>
          <w:p w14:paraId="6EBCE215">
            <w:pPr>
              <w:pStyle w:val="13"/>
            </w:pPr>
            <w:r>
              <w:t>1.有效完成学校教学安全秩序，保障学校教学任务有效开展，满足学校正常教学需要。</w:t>
            </w:r>
          </w:p>
          <w:p w14:paraId="2D69D374">
            <w:pPr>
              <w:pStyle w:val="13"/>
            </w:pPr>
            <w:r>
              <w:t>2.按规定拨付公用经费资金，预算执行率≥98%。</w:t>
            </w:r>
          </w:p>
        </w:tc>
      </w:tr>
    </w:tbl>
    <w:p w14:paraId="5FAAE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4F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B3DC5">
            <w:pPr>
              <w:pStyle w:val="11"/>
            </w:pPr>
            <w:r>
              <w:t>一级指标</w:t>
            </w:r>
          </w:p>
        </w:tc>
        <w:tc>
          <w:tcPr>
            <w:tcW w:w="2268" w:type="dxa"/>
            <w:vAlign w:val="center"/>
          </w:tcPr>
          <w:p w14:paraId="5FDEC72E">
            <w:pPr>
              <w:pStyle w:val="11"/>
            </w:pPr>
            <w:r>
              <w:t>二级指标</w:t>
            </w:r>
          </w:p>
        </w:tc>
        <w:tc>
          <w:tcPr>
            <w:tcW w:w="2835" w:type="dxa"/>
            <w:vAlign w:val="center"/>
          </w:tcPr>
          <w:p w14:paraId="1DF65DDA">
            <w:pPr>
              <w:pStyle w:val="11"/>
            </w:pPr>
            <w:r>
              <w:t>三级指标</w:t>
            </w:r>
          </w:p>
        </w:tc>
        <w:tc>
          <w:tcPr>
            <w:tcW w:w="5386" w:type="dxa"/>
            <w:vAlign w:val="center"/>
          </w:tcPr>
          <w:p w14:paraId="32F62481">
            <w:pPr>
              <w:pStyle w:val="11"/>
            </w:pPr>
            <w:r>
              <w:t>绩效指标描述</w:t>
            </w:r>
          </w:p>
        </w:tc>
        <w:tc>
          <w:tcPr>
            <w:tcW w:w="2268" w:type="dxa"/>
            <w:vAlign w:val="center"/>
          </w:tcPr>
          <w:p w14:paraId="1D851A3E">
            <w:pPr>
              <w:pStyle w:val="11"/>
            </w:pPr>
            <w:r>
              <w:t>指标值</w:t>
            </w:r>
          </w:p>
        </w:tc>
        <w:tc>
          <w:tcPr>
            <w:tcW w:w="1276" w:type="dxa"/>
            <w:vAlign w:val="center"/>
          </w:tcPr>
          <w:p w14:paraId="542358EC">
            <w:pPr>
              <w:pStyle w:val="11"/>
            </w:pPr>
            <w:r>
              <w:t>指标值确定依据</w:t>
            </w:r>
          </w:p>
        </w:tc>
      </w:tr>
      <w:tr w14:paraId="2B658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BCFFA">
            <w:pPr>
              <w:pStyle w:val="12"/>
            </w:pPr>
            <w:r>
              <w:t>产出指标</w:t>
            </w:r>
          </w:p>
        </w:tc>
        <w:tc>
          <w:tcPr>
            <w:tcW w:w="2268" w:type="dxa"/>
            <w:vAlign w:val="center"/>
          </w:tcPr>
          <w:p w14:paraId="58557E11">
            <w:pPr>
              <w:pStyle w:val="13"/>
            </w:pPr>
            <w:r>
              <w:t>数量指标</w:t>
            </w:r>
          </w:p>
        </w:tc>
        <w:tc>
          <w:tcPr>
            <w:tcW w:w="2835" w:type="dxa"/>
            <w:vAlign w:val="center"/>
          </w:tcPr>
          <w:p w14:paraId="281B7316">
            <w:pPr>
              <w:pStyle w:val="13"/>
            </w:pPr>
            <w:r>
              <w:t>就读学生数</w:t>
            </w:r>
          </w:p>
        </w:tc>
        <w:tc>
          <w:tcPr>
            <w:tcW w:w="5386" w:type="dxa"/>
            <w:vAlign w:val="center"/>
          </w:tcPr>
          <w:p w14:paraId="25336925">
            <w:pPr>
              <w:pStyle w:val="13"/>
            </w:pPr>
            <w:r>
              <w:t>辐射区域内适龄学生人数</w:t>
            </w:r>
          </w:p>
        </w:tc>
        <w:tc>
          <w:tcPr>
            <w:tcW w:w="2268" w:type="dxa"/>
            <w:vAlign w:val="center"/>
          </w:tcPr>
          <w:p w14:paraId="2E2A3A3F">
            <w:pPr>
              <w:pStyle w:val="13"/>
            </w:pPr>
            <w:r>
              <w:t>152人</w:t>
            </w:r>
          </w:p>
        </w:tc>
        <w:tc>
          <w:tcPr>
            <w:tcW w:w="1276" w:type="dxa"/>
            <w:vAlign w:val="center"/>
          </w:tcPr>
          <w:p w14:paraId="1E0A4DE8">
            <w:pPr>
              <w:pStyle w:val="13"/>
            </w:pPr>
            <w:r>
              <w:t>城乡义务教育公用经费管理办法</w:t>
            </w:r>
          </w:p>
        </w:tc>
      </w:tr>
      <w:tr w14:paraId="236A2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B0362"/>
        </w:tc>
        <w:tc>
          <w:tcPr>
            <w:tcW w:w="2268" w:type="dxa"/>
            <w:vAlign w:val="center"/>
          </w:tcPr>
          <w:p w14:paraId="190F2C21">
            <w:pPr>
              <w:pStyle w:val="13"/>
            </w:pPr>
            <w:r>
              <w:t>质量指标</w:t>
            </w:r>
          </w:p>
        </w:tc>
        <w:tc>
          <w:tcPr>
            <w:tcW w:w="2835" w:type="dxa"/>
            <w:vAlign w:val="center"/>
          </w:tcPr>
          <w:p w14:paraId="773FCE03">
            <w:pPr>
              <w:pStyle w:val="13"/>
            </w:pPr>
            <w:r>
              <w:t>预算执行率</w:t>
            </w:r>
          </w:p>
        </w:tc>
        <w:tc>
          <w:tcPr>
            <w:tcW w:w="5386" w:type="dxa"/>
            <w:vAlign w:val="center"/>
          </w:tcPr>
          <w:p w14:paraId="051014A2">
            <w:pPr>
              <w:pStyle w:val="13"/>
            </w:pPr>
            <w:r>
              <w:t>预算执行率</w:t>
            </w:r>
          </w:p>
        </w:tc>
        <w:tc>
          <w:tcPr>
            <w:tcW w:w="2268" w:type="dxa"/>
            <w:vAlign w:val="center"/>
          </w:tcPr>
          <w:p w14:paraId="225D0D70">
            <w:pPr>
              <w:pStyle w:val="13"/>
            </w:pPr>
            <w:r>
              <w:t>≥98%</w:t>
            </w:r>
          </w:p>
        </w:tc>
        <w:tc>
          <w:tcPr>
            <w:tcW w:w="1276" w:type="dxa"/>
            <w:vAlign w:val="center"/>
          </w:tcPr>
          <w:p w14:paraId="5A6EFC4D">
            <w:pPr>
              <w:pStyle w:val="13"/>
            </w:pPr>
            <w:r>
              <w:t>城乡义务教育公用经费管理办法</w:t>
            </w:r>
          </w:p>
        </w:tc>
      </w:tr>
      <w:tr w14:paraId="60790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177AC"/>
        </w:tc>
        <w:tc>
          <w:tcPr>
            <w:tcW w:w="2268" w:type="dxa"/>
            <w:vAlign w:val="center"/>
          </w:tcPr>
          <w:p w14:paraId="6D210863">
            <w:pPr>
              <w:pStyle w:val="13"/>
            </w:pPr>
            <w:r>
              <w:t>时效指标</w:t>
            </w:r>
          </w:p>
        </w:tc>
        <w:tc>
          <w:tcPr>
            <w:tcW w:w="2835" w:type="dxa"/>
            <w:vAlign w:val="center"/>
          </w:tcPr>
          <w:p w14:paraId="32402BC5">
            <w:pPr>
              <w:pStyle w:val="13"/>
            </w:pPr>
            <w:r>
              <w:t>义教经费支付完成率</w:t>
            </w:r>
          </w:p>
        </w:tc>
        <w:tc>
          <w:tcPr>
            <w:tcW w:w="5386" w:type="dxa"/>
            <w:vAlign w:val="center"/>
          </w:tcPr>
          <w:p w14:paraId="7B3D8A15">
            <w:pPr>
              <w:pStyle w:val="13"/>
            </w:pPr>
            <w:r>
              <w:t>按照序时进度完成资金支付</w:t>
            </w:r>
          </w:p>
        </w:tc>
        <w:tc>
          <w:tcPr>
            <w:tcW w:w="2268" w:type="dxa"/>
            <w:vAlign w:val="center"/>
          </w:tcPr>
          <w:p w14:paraId="33345322">
            <w:pPr>
              <w:pStyle w:val="13"/>
            </w:pPr>
            <w:r>
              <w:t>≥100%</w:t>
            </w:r>
          </w:p>
        </w:tc>
        <w:tc>
          <w:tcPr>
            <w:tcW w:w="1276" w:type="dxa"/>
            <w:vAlign w:val="center"/>
          </w:tcPr>
          <w:p w14:paraId="62B0C262">
            <w:pPr>
              <w:pStyle w:val="13"/>
            </w:pPr>
            <w:r>
              <w:t>城乡义务教育公用经费管理办法</w:t>
            </w:r>
          </w:p>
        </w:tc>
      </w:tr>
      <w:tr w14:paraId="1519B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2CEA3"/>
        </w:tc>
        <w:tc>
          <w:tcPr>
            <w:tcW w:w="2268" w:type="dxa"/>
            <w:vAlign w:val="center"/>
          </w:tcPr>
          <w:p w14:paraId="6556C488">
            <w:pPr>
              <w:pStyle w:val="13"/>
            </w:pPr>
            <w:r>
              <w:t>成本指标</w:t>
            </w:r>
          </w:p>
        </w:tc>
        <w:tc>
          <w:tcPr>
            <w:tcW w:w="2835" w:type="dxa"/>
            <w:vAlign w:val="center"/>
          </w:tcPr>
          <w:p w14:paraId="42F941CC">
            <w:pPr>
              <w:pStyle w:val="13"/>
            </w:pPr>
            <w:r>
              <w:t>生均拨款标准</w:t>
            </w:r>
          </w:p>
        </w:tc>
        <w:tc>
          <w:tcPr>
            <w:tcW w:w="5386" w:type="dxa"/>
            <w:vAlign w:val="center"/>
          </w:tcPr>
          <w:p w14:paraId="7AC156A4">
            <w:pPr>
              <w:pStyle w:val="13"/>
            </w:pPr>
            <w:r>
              <w:t>小学：（基本标准720元、寄宿生300元、生活补助120元）/生/学年；特教、随班就读学生：标准6000元/生/学年</w:t>
            </w:r>
          </w:p>
        </w:tc>
        <w:tc>
          <w:tcPr>
            <w:tcW w:w="2268" w:type="dxa"/>
            <w:vAlign w:val="center"/>
          </w:tcPr>
          <w:p w14:paraId="44497EDD">
            <w:pPr>
              <w:pStyle w:val="13"/>
            </w:pPr>
            <w:r>
              <w:t>840元</w:t>
            </w:r>
          </w:p>
        </w:tc>
        <w:tc>
          <w:tcPr>
            <w:tcW w:w="1276" w:type="dxa"/>
            <w:vAlign w:val="center"/>
          </w:tcPr>
          <w:p w14:paraId="1EFECB51">
            <w:pPr>
              <w:pStyle w:val="13"/>
            </w:pPr>
            <w:r>
              <w:t>城乡义务教育公用经费管理办法</w:t>
            </w:r>
          </w:p>
        </w:tc>
      </w:tr>
      <w:tr w14:paraId="78811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DBA75">
            <w:pPr>
              <w:pStyle w:val="12"/>
            </w:pPr>
            <w:r>
              <w:t>效益指标</w:t>
            </w:r>
          </w:p>
        </w:tc>
        <w:tc>
          <w:tcPr>
            <w:tcW w:w="2268" w:type="dxa"/>
            <w:vAlign w:val="center"/>
          </w:tcPr>
          <w:p w14:paraId="4A20B3BA">
            <w:pPr>
              <w:pStyle w:val="13"/>
            </w:pPr>
            <w:r>
              <w:t>可持续影响指标</w:t>
            </w:r>
          </w:p>
        </w:tc>
        <w:tc>
          <w:tcPr>
            <w:tcW w:w="2835" w:type="dxa"/>
            <w:vAlign w:val="center"/>
          </w:tcPr>
          <w:p w14:paraId="0F2BB020">
            <w:pPr>
              <w:pStyle w:val="13"/>
            </w:pPr>
            <w:r>
              <w:t>学校稳定率</w:t>
            </w:r>
          </w:p>
        </w:tc>
        <w:tc>
          <w:tcPr>
            <w:tcW w:w="5386" w:type="dxa"/>
            <w:vAlign w:val="center"/>
          </w:tcPr>
          <w:p w14:paraId="2FD9FB83">
            <w:pPr>
              <w:pStyle w:val="13"/>
            </w:pPr>
            <w:r>
              <w:t>维护学校稳定，保障学校正常教学秩序有效开展</w:t>
            </w:r>
          </w:p>
        </w:tc>
        <w:tc>
          <w:tcPr>
            <w:tcW w:w="2268" w:type="dxa"/>
            <w:vAlign w:val="center"/>
          </w:tcPr>
          <w:p w14:paraId="54CACE37">
            <w:pPr>
              <w:pStyle w:val="13"/>
            </w:pPr>
            <w:r>
              <w:t>≥100%</w:t>
            </w:r>
          </w:p>
        </w:tc>
        <w:tc>
          <w:tcPr>
            <w:tcW w:w="1276" w:type="dxa"/>
            <w:vAlign w:val="center"/>
          </w:tcPr>
          <w:p w14:paraId="021C95EB">
            <w:pPr>
              <w:pStyle w:val="13"/>
            </w:pPr>
            <w:r>
              <w:t>城乡义务教育公用经费管理办法</w:t>
            </w:r>
          </w:p>
        </w:tc>
      </w:tr>
      <w:tr w14:paraId="18AE8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1B1F11">
            <w:pPr>
              <w:pStyle w:val="12"/>
            </w:pPr>
            <w:r>
              <w:t>满意度指标</w:t>
            </w:r>
          </w:p>
        </w:tc>
        <w:tc>
          <w:tcPr>
            <w:tcW w:w="2268" w:type="dxa"/>
            <w:vAlign w:val="center"/>
          </w:tcPr>
          <w:p w14:paraId="52133C17">
            <w:pPr>
              <w:pStyle w:val="13"/>
            </w:pPr>
            <w:r>
              <w:t>服务对象满意度指标</w:t>
            </w:r>
          </w:p>
        </w:tc>
        <w:tc>
          <w:tcPr>
            <w:tcW w:w="2835" w:type="dxa"/>
            <w:vAlign w:val="center"/>
          </w:tcPr>
          <w:p w14:paraId="4563CEF7">
            <w:pPr>
              <w:pStyle w:val="13"/>
            </w:pPr>
            <w:r>
              <w:t>家长和学生满意度</w:t>
            </w:r>
          </w:p>
        </w:tc>
        <w:tc>
          <w:tcPr>
            <w:tcW w:w="5386" w:type="dxa"/>
            <w:vAlign w:val="center"/>
          </w:tcPr>
          <w:p w14:paraId="79C4D8AE">
            <w:pPr>
              <w:pStyle w:val="13"/>
            </w:pPr>
            <w:r>
              <w:t>家长和学生满意度</w:t>
            </w:r>
          </w:p>
        </w:tc>
        <w:tc>
          <w:tcPr>
            <w:tcW w:w="2268" w:type="dxa"/>
            <w:vAlign w:val="center"/>
          </w:tcPr>
          <w:p w14:paraId="7FDCC799">
            <w:pPr>
              <w:pStyle w:val="13"/>
            </w:pPr>
            <w:r>
              <w:t>≥95%</w:t>
            </w:r>
          </w:p>
        </w:tc>
        <w:tc>
          <w:tcPr>
            <w:tcW w:w="1276" w:type="dxa"/>
            <w:vAlign w:val="center"/>
          </w:tcPr>
          <w:p w14:paraId="710000F4">
            <w:pPr>
              <w:pStyle w:val="13"/>
            </w:pPr>
            <w:r>
              <w:t>问卷调查</w:t>
            </w:r>
          </w:p>
        </w:tc>
      </w:tr>
    </w:tbl>
    <w:p w14:paraId="088B32B7">
      <w:pPr>
        <w:sectPr>
          <w:pgSz w:w="16840" w:h="11900" w:orient="landscape"/>
          <w:pgMar w:top="1361" w:right="1020" w:bottom="1134" w:left="1020" w:header="720" w:footer="720" w:gutter="0"/>
          <w:cols w:space="720" w:num="1"/>
        </w:sectPr>
      </w:pPr>
    </w:p>
    <w:p w14:paraId="1E7F640F">
      <w:pPr>
        <w:spacing w:before="0" w:after="0"/>
        <w:ind w:firstLine="560"/>
        <w:jc w:val="left"/>
        <w:outlineLvl w:val="9"/>
      </w:pPr>
      <w:r>
        <w:rPr>
          <w:rFonts w:ascii="方正仿宋_GBK" w:hAnsi="方正仿宋_GBK" w:eastAsia="方正仿宋_GBK" w:cs="方正仿宋_GBK"/>
          <w:b/>
          <w:color w:val="000000"/>
          <w:sz w:val="28"/>
        </w:rPr>
        <w:t>13、冀财教[2024]123号/中央/2025年义教补助经费/西尹小学公用经费绩效目标表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A4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C2CD7">
            <w:pPr>
              <w:pStyle w:val="14"/>
            </w:pPr>
            <w:r>
              <w:t>单位：万元</w:t>
            </w:r>
          </w:p>
        </w:tc>
      </w:tr>
      <w:tr w14:paraId="082F8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C40742">
            <w:pPr>
              <w:pStyle w:val="11"/>
            </w:pPr>
            <w:r>
              <w:t>项目编码</w:t>
            </w:r>
          </w:p>
        </w:tc>
        <w:tc>
          <w:tcPr>
            <w:tcW w:w="5103" w:type="dxa"/>
            <w:gridSpan w:val="2"/>
            <w:vAlign w:val="center"/>
          </w:tcPr>
          <w:p w14:paraId="1123066F">
            <w:pPr>
              <w:pStyle w:val="13"/>
            </w:pPr>
            <w:r>
              <w:t>13052525P000004100922</w:t>
            </w:r>
          </w:p>
        </w:tc>
        <w:tc>
          <w:tcPr>
            <w:tcW w:w="2835" w:type="dxa"/>
            <w:vAlign w:val="center"/>
          </w:tcPr>
          <w:p w14:paraId="771608AC">
            <w:pPr>
              <w:pStyle w:val="11"/>
            </w:pPr>
            <w:r>
              <w:t>项目名称</w:t>
            </w:r>
          </w:p>
        </w:tc>
        <w:tc>
          <w:tcPr>
            <w:tcW w:w="6095" w:type="dxa"/>
            <w:gridSpan w:val="3"/>
            <w:vAlign w:val="center"/>
          </w:tcPr>
          <w:p w14:paraId="46332481">
            <w:pPr>
              <w:pStyle w:val="13"/>
            </w:pPr>
            <w:r>
              <w:t>冀财教[2024]123号/中央/2025年义教补助经费/西尹小学公用经费</w:t>
            </w:r>
          </w:p>
        </w:tc>
      </w:tr>
      <w:tr w14:paraId="3EDB9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58E23">
            <w:pPr>
              <w:pStyle w:val="11"/>
            </w:pPr>
            <w:r>
              <w:t>预算规模及资金用途</w:t>
            </w:r>
          </w:p>
        </w:tc>
        <w:tc>
          <w:tcPr>
            <w:tcW w:w="2268" w:type="dxa"/>
            <w:vAlign w:val="center"/>
          </w:tcPr>
          <w:p w14:paraId="534CBD8C">
            <w:pPr>
              <w:pStyle w:val="11"/>
            </w:pPr>
            <w:r>
              <w:t>预算数</w:t>
            </w:r>
          </w:p>
        </w:tc>
        <w:tc>
          <w:tcPr>
            <w:tcW w:w="2835" w:type="dxa"/>
            <w:vAlign w:val="center"/>
          </w:tcPr>
          <w:p w14:paraId="176F4C5E">
            <w:pPr>
              <w:pStyle w:val="13"/>
            </w:pPr>
            <w:r>
              <w:t>9.20</w:t>
            </w:r>
          </w:p>
        </w:tc>
        <w:tc>
          <w:tcPr>
            <w:tcW w:w="2835" w:type="dxa"/>
            <w:vAlign w:val="center"/>
          </w:tcPr>
          <w:p w14:paraId="3DC639C8">
            <w:pPr>
              <w:pStyle w:val="11"/>
            </w:pPr>
            <w:r>
              <w:t>其中：财政    资金</w:t>
            </w:r>
          </w:p>
        </w:tc>
        <w:tc>
          <w:tcPr>
            <w:tcW w:w="2551" w:type="dxa"/>
            <w:vAlign w:val="center"/>
          </w:tcPr>
          <w:p w14:paraId="33499D97">
            <w:pPr>
              <w:pStyle w:val="13"/>
            </w:pPr>
            <w:r>
              <w:t>9.20</w:t>
            </w:r>
          </w:p>
        </w:tc>
        <w:tc>
          <w:tcPr>
            <w:tcW w:w="2268" w:type="dxa"/>
            <w:vAlign w:val="center"/>
          </w:tcPr>
          <w:p w14:paraId="351951C6">
            <w:pPr>
              <w:pStyle w:val="11"/>
            </w:pPr>
            <w:r>
              <w:t>其他资金</w:t>
            </w:r>
          </w:p>
        </w:tc>
        <w:tc>
          <w:tcPr>
            <w:tcW w:w="1276" w:type="dxa"/>
            <w:vAlign w:val="center"/>
          </w:tcPr>
          <w:p w14:paraId="31285A9A">
            <w:pPr>
              <w:pStyle w:val="13"/>
            </w:pPr>
            <w:r>
              <w:t xml:space="preserve"> </w:t>
            </w:r>
          </w:p>
        </w:tc>
      </w:tr>
      <w:tr w14:paraId="3B99E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679E2"/>
        </w:tc>
        <w:tc>
          <w:tcPr>
            <w:tcW w:w="14033" w:type="dxa"/>
            <w:gridSpan w:val="6"/>
            <w:vAlign w:val="center"/>
          </w:tcPr>
          <w:p w14:paraId="465E024F">
            <w:pPr>
              <w:pStyle w:val="13"/>
            </w:pPr>
            <w:r>
              <w:t>有效完成学校教学安全秩序，保障学校教学任务有效开展，满足学校正常教学需要。</w:t>
            </w:r>
          </w:p>
        </w:tc>
      </w:tr>
      <w:tr w14:paraId="3BAF6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8D471">
            <w:pPr>
              <w:pStyle w:val="11"/>
            </w:pPr>
            <w:r>
              <w:t>资金支出计划（%）</w:t>
            </w:r>
          </w:p>
        </w:tc>
        <w:tc>
          <w:tcPr>
            <w:tcW w:w="5103" w:type="dxa"/>
            <w:gridSpan w:val="2"/>
            <w:vAlign w:val="center"/>
          </w:tcPr>
          <w:p w14:paraId="3705CCAD">
            <w:pPr>
              <w:pStyle w:val="11"/>
            </w:pPr>
            <w:r>
              <w:t>3月底</w:t>
            </w:r>
          </w:p>
        </w:tc>
        <w:tc>
          <w:tcPr>
            <w:tcW w:w="2835" w:type="dxa"/>
            <w:vAlign w:val="center"/>
          </w:tcPr>
          <w:p w14:paraId="5FA99C55">
            <w:pPr>
              <w:pStyle w:val="11"/>
            </w:pPr>
            <w:r>
              <w:t>6月底</w:t>
            </w:r>
          </w:p>
        </w:tc>
        <w:tc>
          <w:tcPr>
            <w:tcW w:w="2551" w:type="dxa"/>
            <w:vAlign w:val="center"/>
          </w:tcPr>
          <w:p w14:paraId="4CA101CB">
            <w:pPr>
              <w:pStyle w:val="11"/>
            </w:pPr>
            <w:r>
              <w:t>10月底</w:t>
            </w:r>
          </w:p>
        </w:tc>
        <w:tc>
          <w:tcPr>
            <w:tcW w:w="3544" w:type="dxa"/>
            <w:gridSpan w:val="2"/>
            <w:vAlign w:val="center"/>
          </w:tcPr>
          <w:p w14:paraId="3E916719">
            <w:pPr>
              <w:pStyle w:val="11"/>
            </w:pPr>
            <w:r>
              <w:t>12月底</w:t>
            </w:r>
          </w:p>
        </w:tc>
      </w:tr>
      <w:tr w14:paraId="68597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942F9"/>
        </w:tc>
        <w:tc>
          <w:tcPr>
            <w:tcW w:w="5103" w:type="dxa"/>
            <w:gridSpan w:val="2"/>
            <w:vAlign w:val="center"/>
          </w:tcPr>
          <w:p w14:paraId="25703693">
            <w:pPr>
              <w:pStyle w:val="12"/>
            </w:pPr>
            <w:r>
              <w:t>25%</w:t>
            </w:r>
          </w:p>
        </w:tc>
        <w:tc>
          <w:tcPr>
            <w:tcW w:w="2835" w:type="dxa"/>
            <w:vAlign w:val="center"/>
          </w:tcPr>
          <w:p w14:paraId="298471A6">
            <w:pPr>
              <w:pStyle w:val="12"/>
            </w:pPr>
            <w:r>
              <w:t>50%</w:t>
            </w:r>
          </w:p>
        </w:tc>
        <w:tc>
          <w:tcPr>
            <w:tcW w:w="2551" w:type="dxa"/>
            <w:vAlign w:val="center"/>
          </w:tcPr>
          <w:p w14:paraId="4B863895">
            <w:pPr>
              <w:pStyle w:val="12"/>
            </w:pPr>
            <w:r>
              <w:t>75%</w:t>
            </w:r>
          </w:p>
        </w:tc>
        <w:tc>
          <w:tcPr>
            <w:tcW w:w="3544" w:type="dxa"/>
            <w:gridSpan w:val="2"/>
            <w:vAlign w:val="center"/>
          </w:tcPr>
          <w:p w14:paraId="63B6523E">
            <w:pPr>
              <w:pStyle w:val="12"/>
            </w:pPr>
            <w:r>
              <w:t>100%</w:t>
            </w:r>
          </w:p>
        </w:tc>
      </w:tr>
      <w:tr w14:paraId="4C339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4D04C">
            <w:pPr>
              <w:pStyle w:val="11"/>
            </w:pPr>
            <w:r>
              <w:t>绩效目标</w:t>
            </w:r>
          </w:p>
        </w:tc>
        <w:tc>
          <w:tcPr>
            <w:tcW w:w="14033" w:type="dxa"/>
            <w:gridSpan w:val="6"/>
            <w:vAlign w:val="center"/>
          </w:tcPr>
          <w:p w14:paraId="2F1A34E3">
            <w:pPr>
              <w:pStyle w:val="13"/>
            </w:pPr>
            <w:r>
              <w:t>1.有效完成学校教学安全秩序，保障学校教学任务有效开展，满足学校正常教学需要。</w:t>
            </w:r>
          </w:p>
          <w:p w14:paraId="34C68FFE">
            <w:pPr>
              <w:pStyle w:val="13"/>
            </w:pPr>
            <w:r>
              <w:t>2.按规定拨付公用经费资金，预算执行率≥98%。</w:t>
            </w:r>
          </w:p>
        </w:tc>
      </w:tr>
    </w:tbl>
    <w:p w14:paraId="25AB0C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00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E3F8F">
            <w:pPr>
              <w:pStyle w:val="11"/>
            </w:pPr>
            <w:r>
              <w:t>一级指标</w:t>
            </w:r>
          </w:p>
        </w:tc>
        <w:tc>
          <w:tcPr>
            <w:tcW w:w="2268" w:type="dxa"/>
            <w:vAlign w:val="center"/>
          </w:tcPr>
          <w:p w14:paraId="23B98DDF">
            <w:pPr>
              <w:pStyle w:val="11"/>
            </w:pPr>
            <w:r>
              <w:t>二级指标</w:t>
            </w:r>
          </w:p>
        </w:tc>
        <w:tc>
          <w:tcPr>
            <w:tcW w:w="2835" w:type="dxa"/>
            <w:vAlign w:val="center"/>
          </w:tcPr>
          <w:p w14:paraId="132E14B7">
            <w:pPr>
              <w:pStyle w:val="11"/>
            </w:pPr>
            <w:r>
              <w:t>三级指标</w:t>
            </w:r>
          </w:p>
        </w:tc>
        <w:tc>
          <w:tcPr>
            <w:tcW w:w="5386" w:type="dxa"/>
            <w:vAlign w:val="center"/>
          </w:tcPr>
          <w:p w14:paraId="3DD08CFC">
            <w:pPr>
              <w:pStyle w:val="11"/>
            </w:pPr>
            <w:r>
              <w:t>绩效指标描述</w:t>
            </w:r>
          </w:p>
        </w:tc>
        <w:tc>
          <w:tcPr>
            <w:tcW w:w="2268" w:type="dxa"/>
            <w:vAlign w:val="center"/>
          </w:tcPr>
          <w:p w14:paraId="05F49EA5">
            <w:pPr>
              <w:pStyle w:val="11"/>
            </w:pPr>
            <w:r>
              <w:t>指标值</w:t>
            </w:r>
          </w:p>
        </w:tc>
        <w:tc>
          <w:tcPr>
            <w:tcW w:w="1276" w:type="dxa"/>
            <w:vAlign w:val="center"/>
          </w:tcPr>
          <w:p w14:paraId="488D38A2">
            <w:pPr>
              <w:pStyle w:val="11"/>
            </w:pPr>
            <w:r>
              <w:t>指标值确定依据</w:t>
            </w:r>
          </w:p>
        </w:tc>
      </w:tr>
      <w:tr w14:paraId="300E6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ABCC7">
            <w:pPr>
              <w:pStyle w:val="12"/>
            </w:pPr>
            <w:r>
              <w:t>产出指标</w:t>
            </w:r>
          </w:p>
        </w:tc>
        <w:tc>
          <w:tcPr>
            <w:tcW w:w="2268" w:type="dxa"/>
            <w:vAlign w:val="center"/>
          </w:tcPr>
          <w:p w14:paraId="5BF7007E">
            <w:pPr>
              <w:pStyle w:val="13"/>
            </w:pPr>
            <w:r>
              <w:t>数量指标</w:t>
            </w:r>
          </w:p>
        </w:tc>
        <w:tc>
          <w:tcPr>
            <w:tcW w:w="2835" w:type="dxa"/>
            <w:vAlign w:val="center"/>
          </w:tcPr>
          <w:p w14:paraId="71C91F62">
            <w:pPr>
              <w:pStyle w:val="13"/>
            </w:pPr>
            <w:r>
              <w:t>就读学生数</w:t>
            </w:r>
          </w:p>
        </w:tc>
        <w:tc>
          <w:tcPr>
            <w:tcW w:w="5386" w:type="dxa"/>
            <w:vAlign w:val="center"/>
          </w:tcPr>
          <w:p w14:paraId="579F9457">
            <w:pPr>
              <w:pStyle w:val="13"/>
            </w:pPr>
            <w:r>
              <w:t>辐射区域内适龄学生人数</w:t>
            </w:r>
          </w:p>
        </w:tc>
        <w:tc>
          <w:tcPr>
            <w:tcW w:w="2268" w:type="dxa"/>
            <w:vAlign w:val="center"/>
          </w:tcPr>
          <w:p w14:paraId="378ABF64">
            <w:pPr>
              <w:pStyle w:val="13"/>
            </w:pPr>
            <w:r>
              <w:t>161人</w:t>
            </w:r>
          </w:p>
        </w:tc>
        <w:tc>
          <w:tcPr>
            <w:tcW w:w="1276" w:type="dxa"/>
            <w:vAlign w:val="center"/>
          </w:tcPr>
          <w:p w14:paraId="7187B553">
            <w:pPr>
              <w:pStyle w:val="13"/>
            </w:pPr>
            <w:r>
              <w:t>城乡义务教育公用经费管理办法</w:t>
            </w:r>
          </w:p>
        </w:tc>
      </w:tr>
      <w:tr w14:paraId="7BBA3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3A0A28BF"/>
        </w:tc>
        <w:tc>
          <w:tcPr>
            <w:tcW w:w="2268" w:type="dxa"/>
            <w:vAlign w:val="center"/>
          </w:tcPr>
          <w:p w14:paraId="3A671373">
            <w:pPr>
              <w:pStyle w:val="13"/>
            </w:pPr>
            <w:r>
              <w:t>质量指标</w:t>
            </w:r>
          </w:p>
        </w:tc>
        <w:tc>
          <w:tcPr>
            <w:tcW w:w="2835" w:type="dxa"/>
            <w:vAlign w:val="center"/>
          </w:tcPr>
          <w:p w14:paraId="75056C65">
            <w:pPr>
              <w:pStyle w:val="13"/>
            </w:pPr>
            <w:r>
              <w:t>预算执行率</w:t>
            </w:r>
          </w:p>
        </w:tc>
        <w:tc>
          <w:tcPr>
            <w:tcW w:w="5386" w:type="dxa"/>
            <w:vAlign w:val="center"/>
          </w:tcPr>
          <w:p w14:paraId="04CA2FFE">
            <w:pPr>
              <w:pStyle w:val="13"/>
            </w:pPr>
            <w:r>
              <w:t>预算执行率</w:t>
            </w:r>
          </w:p>
        </w:tc>
        <w:tc>
          <w:tcPr>
            <w:tcW w:w="2268" w:type="dxa"/>
            <w:vAlign w:val="center"/>
          </w:tcPr>
          <w:p w14:paraId="434ED7BA">
            <w:pPr>
              <w:pStyle w:val="13"/>
            </w:pPr>
            <w:r>
              <w:t>≥98%</w:t>
            </w:r>
          </w:p>
        </w:tc>
        <w:tc>
          <w:tcPr>
            <w:tcW w:w="1276" w:type="dxa"/>
            <w:vAlign w:val="center"/>
          </w:tcPr>
          <w:p w14:paraId="4E23AC9F">
            <w:pPr>
              <w:pStyle w:val="13"/>
            </w:pPr>
            <w:r>
              <w:t>城乡义务教育公用经费管理办法</w:t>
            </w:r>
          </w:p>
        </w:tc>
      </w:tr>
      <w:tr w14:paraId="0BD28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A8EFC"/>
        </w:tc>
        <w:tc>
          <w:tcPr>
            <w:tcW w:w="2268" w:type="dxa"/>
            <w:vAlign w:val="center"/>
          </w:tcPr>
          <w:p w14:paraId="7EE76AD7">
            <w:pPr>
              <w:pStyle w:val="13"/>
            </w:pPr>
            <w:r>
              <w:t>时效指标</w:t>
            </w:r>
          </w:p>
        </w:tc>
        <w:tc>
          <w:tcPr>
            <w:tcW w:w="2835" w:type="dxa"/>
            <w:vAlign w:val="center"/>
          </w:tcPr>
          <w:p w14:paraId="5066010F">
            <w:pPr>
              <w:pStyle w:val="13"/>
            </w:pPr>
            <w:r>
              <w:t>义教经费支付完成率</w:t>
            </w:r>
          </w:p>
        </w:tc>
        <w:tc>
          <w:tcPr>
            <w:tcW w:w="5386" w:type="dxa"/>
            <w:vAlign w:val="center"/>
          </w:tcPr>
          <w:p w14:paraId="1C331AA1">
            <w:pPr>
              <w:pStyle w:val="13"/>
            </w:pPr>
            <w:r>
              <w:t>按照序时进度完成资金支付</w:t>
            </w:r>
          </w:p>
        </w:tc>
        <w:tc>
          <w:tcPr>
            <w:tcW w:w="2268" w:type="dxa"/>
            <w:vAlign w:val="center"/>
          </w:tcPr>
          <w:p w14:paraId="01B7CA30">
            <w:pPr>
              <w:pStyle w:val="13"/>
            </w:pPr>
            <w:r>
              <w:t>≥100%</w:t>
            </w:r>
          </w:p>
        </w:tc>
        <w:tc>
          <w:tcPr>
            <w:tcW w:w="1276" w:type="dxa"/>
            <w:vAlign w:val="center"/>
          </w:tcPr>
          <w:p w14:paraId="3AC22945">
            <w:pPr>
              <w:pStyle w:val="13"/>
            </w:pPr>
            <w:r>
              <w:t>城乡义务教育公用经费管理办法</w:t>
            </w:r>
          </w:p>
        </w:tc>
      </w:tr>
      <w:tr w14:paraId="2C5D1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C1C3E"/>
        </w:tc>
        <w:tc>
          <w:tcPr>
            <w:tcW w:w="2268" w:type="dxa"/>
            <w:vAlign w:val="center"/>
          </w:tcPr>
          <w:p w14:paraId="03EF8AAE">
            <w:pPr>
              <w:pStyle w:val="13"/>
            </w:pPr>
            <w:r>
              <w:t>成本指标</w:t>
            </w:r>
          </w:p>
        </w:tc>
        <w:tc>
          <w:tcPr>
            <w:tcW w:w="2835" w:type="dxa"/>
            <w:vAlign w:val="center"/>
          </w:tcPr>
          <w:p w14:paraId="0C1A1ADD">
            <w:pPr>
              <w:pStyle w:val="13"/>
            </w:pPr>
            <w:r>
              <w:t>生均拨款标准</w:t>
            </w:r>
          </w:p>
        </w:tc>
        <w:tc>
          <w:tcPr>
            <w:tcW w:w="5386" w:type="dxa"/>
            <w:vAlign w:val="center"/>
          </w:tcPr>
          <w:p w14:paraId="1B9840A6">
            <w:pPr>
              <w:pStyle w:val="13"/>
            </w:pPr>
            <w:r>
              <w:t>小学：（基本标准720元、寄宿生300元、生活补助120元）/生/学年；特教、随班就读学生：标准6000元/生/学年</w:t>
            </w:r>
          </w:p>
        </w:tc>
        <w:tc>
          <w:tcPr>
            <w:tcW w:w="2268" w:type="dxa"/>
            <w:vAlign w:val="center"/>
          </w:tcPr>
          <w:p w14:paraId="76CE01FB">
            <w:pPr>
              <w:pStyle w:val="13"/>
            </w:pPr>
            <w:r>
              <w:t>840元</w:t>
            </w:r>
          </w:p>
        </w:tc>
        <w:tc>
          <w:tcPr>
            <w:tcW w:w="1276" w:type="dxa"/>
            <w:vAlign w:val="center"/>
          </w:tcPr>
          <w:p w14:paraId="6B461BCF">
            <w:pPr>
              <w:pStyle w:val="13"/>
            </w:pPr>
            <w:r>
              <w:t>城乡义务教育公用经费管理办法</w:t>
            </w:r>
          </w:p>
        </w:tc>
      </w:tr>
      <w:tr w14:paraId="45126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11CD63">
            <w:pPr>
              <w:pStyle w:val="12"/>
            </w:pPr>
            <w:r>
              <w:t>效益指标</w:t>
            </w:r>
          </w:p>
        </w:tc>
        <w:tc>
          <w:tcPr>
            <w:tcW w:w="2268" w:type="dxa"/>
            <w:vAlign w:val="center"/>
          </w:tcPr>
          <w:p w14:paraId="4F514A11">
            <w:pPr>
              <w:pStyle w:val="13"/>
            </w:pPr>
            <w:r>
              <w:t>可持续影响指标</w:t>
            </w:r>
          </w:p>
        </w:tc>
        <w:tc>
          <w:tcPr>
            <w:tcW w:w="2835" w:type="dxa"/>
            <w:vAlign w:val="center"/>
          </w:tcPr>
          <w:p w14:paraId="264FD467">
            <w:pPr>
              <w:pStyle w:val="13"/>
            </w:pPr>
            <w:r>
              <w:t>学校稳定率</w:t>
            </w:r>
          </w:p>
        </w:tc>
        <w:tc>
          <w:tcPr>
            <w:tcW w:w="5386" w:type="dxa"/>
            <w:vAlign w:val="center"/>
          </w:tcPr>
          <w:p w14:paraId="4D3D4F75">
            <w:pPr>
              <w:pStyle w:val="13"/>
            </w:pPr>
            <w:r>
              <w:t>维护学校稳定，保障学校正常教学秩序有效开展</w:t>
            </w:r>
          </w:p>
        </w:tc>
        <w:tc>
          <w:tcPr>
            <w:tcW w:w="2268" w:type="dxa"/>
            <w:vAlign w:val="center"/>
          </w:tcPr>
          <w:p w14:paraId="0C3EFCE2">
            <w:pPr>
              <w:pStyle w:val="13"/>
            </w:pPr>
            <w:r>
              <w:t>≥100%</w:t>
            </w:r>
          </w:p>
        </w:tc>
        <w:tc>
          <w:tcPr>
            <w:tcW w:w="1276" w:type="dxa"/>
            <w:vAlign w:val="center"/>
          </w:tcPr>
          <w:p w14:paraId="2BDCCBF6">
            <w:pPr>
              <w:pStyle w:val="13"/>
            </w:pPr>
            <w:r>
              <w:t>城乡义务教育公用经费管理办法</w:t>
            </w:r>
          </w:p>
        </w:tc>
      </w:tr>
      <w:tr w14:paraId="3C2D0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9428C">
            <w:pPr>
              <w:pStyle w:val="12"/>
            </w:pPr>
            <w:r>
              <w:t>满意度指标</w:t>
            </w:r>
          </w:p>
        </w:tc>
        <w:tc>
          <w:tcPr>
            <w:tcW w:w="2268" w:type="dxa"/>
            <w:vAlign w:val="center"/>
          </w:tcPr>
          <w:p w14:paraId="083B4D17">
            <w:pPr>
              <w:pStyle w:val="13"/>
            </w:pPr>
            <w:r>
              <w:t>服务对象满意度指标</w:t>
            </w:r>
          </w:p>
        </w:tc>
        <w:tc>
          <w:tcPr>
            <w:tcW w:w="2835" w:type="dxa"/>
            <w:vAlign w:val="center"/>
          </w:tcPr>
          <w:p w14:paraId="03094FD1">
            <w:pPr>
              <w:pStyle w:val="13"/>
            </w:pPr>
            <w:r>
              <w:t>家长和学生满意度</w:t>
            </w:r>
          </w:p>
        </w:tc>
        <w:tc>
          <w:tcPr>
            <w:tcW w:w="5386" w:type="dxa"/>
            <w:vAlign w:val="center"/>
          </w:tcPr>
          <w:p w14:paraId="6AFCED4A">
            <w:pPr>
              <w:pStyle w:val="13"/>
            </w:pPr>
            <w:r>
              <w:t>家长和学生满意度</w:t>
            </w:r>
          </w:p>
        </w:tc>
        <w:tc>
          <w:tcPr>
            <w:tcW w:w="2268" w:type="dxa"/>
            <w:vAlign w:val="center"/>
          </w:tcPr>
          <w:p w14:paraId="5CC4C0C0">
            <w:pPr>
              <w:pStyle w:val="13"/>
            </w:pPr>
            <w:r>
              <w:t>≥95%</w:t>
            </w:r>
          </w:p>
        </w:tc>
        <w:tc>
          <w:tcPr>
            <w:tcW w:w="1276" w:type="dxa"/>
            <w:vAlign w:val="center"/>
          </w:tcPr>
          <w:p w14:paraId="53E37DD8">
            <w:pPr>
              <w:pStyle w:val="13"/>
            </w:pPr>
            <w:r>
              <w:t>问卷调查</w:t>
            </w:r>
          </w:p>
        </w:tc>
      </w:tr>
    </w:tbl>
    <w:p w14:paraId="24310673">
      <w:pPr>
        <w:sectPr>
          <w:pgSz w:w="16840" w:h="11900" w:orient="landscape"/>
          <w:pgMar w:top="1361" w:right="1020" w:bottom="1134" w:left="1020" w:header="720" w:footer="720" w:gutter="0"/>
          <w:cols w:space="720" w:num="1"/>
        </w:sectPr>
      </w:pPr>
    </w:p>
    <w:p w14:paraId="40376D35">
      <w:pPr>
        <w:spacing w:before="0" w:after="0"/>
        <w:ind w:firstLine="560"/>
        <w:jc w:val="left"/>
        <w:outlineLvl w:val="9"/>
      </w:pPr>
      <w:r>
        <w:rPr>
          <w:rFonts w:ascii="方正仿宋_GBK" w:hAnsi="方正仿宋_GBK" w:eastAsia="方正仿宋_GBK" w:cs="方正仿宋_GBK"/>
          <w:b/>
          <w:color w:val="000000"/>
          <w:sz w:val="28"/>
        </w:rPr>
        <w:t>14、冀财教[2024]123号/中央/2025年义教补助经费/校舍安全保障/大宁小学大门口及院落维修改造绩效目标表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75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666CC">
            <w:pPr>
              <w:pStyle w:val="14"/>
            </w:pPr>
            <w:r>
              <w:t>单位：万元</w:t>
            </w:r>
          </w:p>
        </w:tc>
      </w:tr>
      <w:tr w14:paraId="15D85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254D9">
            <w:pPr>
              <w:pStyle w:val="11"/>
            </w:pPr>
            <w:r>
              <w:t>项目编码</w:t>
            </w:r>
          </w:p>
        </w:tc>
        <w:tc>
          <w:tcPr>
            <w:tcW w:w="5103" w:type="dxa"/>
            <w:gridSpan w:val="2"/>
            <w:vAlign w:val="center"/>
          </w:tcPr>
          <w:p w14:paraId="3B432E97">
            <w:pPr>
              <w:pStyle w:val="13"/>
            </w:pPr>
            <w:r>
              <w:t>13052525P00876210022R</w:t>
            </w:r>
          </w:p>
        </w:tc>
        <w:tc>
          <w:tcPr>
            <w:tcW w:w="2835" w:type="dxa"/>
            <w:vAlign w:val="center"/>
          </w:tcPr>
          <w:p w14:paraId="3FA50828">
            <w:pPr>
              <w:pStyle w:val="11"/>
            </w:pPr>
            <w:r>
              <w:t>项目名称</w:t>
            </w:r>
          </w:p>
        </w:tc>
        <w:tc>
          <w:tcPr>
            <w:tcW w:w="6095" w:type="dxa"/>
            <w:gridSpan w:val="3"/>
            <w:vAlign w:val="center"/>
          </w:tcPr>
          <w:p w14:paraId="2DE0E493">
            <w:pPr>
              <w:pStyle w:val="13"/>
            </w:pPr>
            <w:r>
              <w:t>冀财教[2024]123号/中央/2025年义教补助经费/校舍安全保障/大宁小学大门口及院落维修改造</w:t>
            </w:r>
          </w:p>
        </w:tc>
      </w:tr>
      <w:tr w14:paraId="7E8C1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59742">
            <w:pPr>
              <w:pStyle w:val="11"/>
            </w:pPr>
            <w:r>
              <w:t>预算规模及资金用途</w:t>
            </w:r>
          </w:p>
        </w:tc>
        <w:tc>
          <w:tcPr>
            <w:tcW w:w="2268" w:type="dxa"/>
            <w:vAlign w:val="center"/>
          </w:tcPr>
          <w:p w14:paraId="2E1FBC85">
            <w:pPr>
              <w:pStyle w:val="11"/>
            </w:pPr>
            <w:r>
              <w:t>预算数</w:t>
            </w:r>
          </w:p>
        </w:tc>
        <w:tc>
          <w:tcPr>
            <w:tcW w:w="2835" w:type="dxa"/>
            <w:vAlign w:val="center"/>
          </w:tcPr>
          <w:p w14:paraId="51C4B9A7">
            <w:pPr>
              <w:pStyle w:val="13"/>
            </w:pPr>
            <w:r>
              <w:t>47.11</w:t>
            </w:r>
          </w:p>
        </w:tc>
        <w:tc>
          <w:tcPr>
            <w:tcW w:w="2835" w:type="dxa"/>
            <w:vAlign w:val="center"/>
          </w:tcPr>
          <w:p w14:paraId="5D67BCBF">
            <w:pPr>
              <w:pStyle w:val="11"/>
            </w:pPr>
            <w:r>
              <w:t>其中：财政    资金</w:t>
            </w:r>
          </w:p>
        </w:tc>
        <w:tc>
          <w:tcPr>
            <w:tcW w:w="2551" w:type="dxa"/>
            <w:vAlign w:val="center"/>
          </w:tcPr>
          <w:p w14:paraId="758FB027">
            <w:pPr>
              <w:pStyle w:val="13"/>
            </w:pPr>
            <w:r>
              <w:t>47.11</w:t>
            </w:r>
          </w:p>
        </w:tc>
        <w:tc>
          <w:tcPr>
            <w:tcW w:w="2268" w:type="dxa"/>
            <w:vAlign w:val="center"/>
          </w:tcPr>
          <w:p w14:paraId="22A5EB3A">
            <w:pPr>
              <w:pStyle w:val="11"/>
            </w:pPr>
            <w:r>
              <w:t>其他资金</w:t>
            </w:r>
          </w:p>
        </w:tc>
        <w:tc>
          <w:tcPr>
            <w:tcW w:w="1276" w:type="dxa"/>
            <w:vAlign w:val="center"/>
          </w:tcPr>
          <w:p w14:paraId="2A9FC93F">
            <w:pPr>
              <w:pStyle w:val="13"/>
            </w:pPr>
            <w:r>
              <w:t xml:space="preserve"> </w:t>
            </w:r>
          </w:p>
        </w:tc>
      </w:tr>
      <w:tr w14:paraId="76B69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9C4212"/>
        </w:tc>
        <w:tc>
          <w:tcPr>
            <w:tcW w:w="14033" w:type="dxa"/>
            <w:gridSpan w:val="6"/>
            <w:vAlign w:val="center"/>
          </w:tcPr>
          <w:p w14:paraId="2814D039">
            <w:pPr>
              <w:pStyle w:val="13"/>
            </w:pPr>
            <w:r>
              <w:t>完成大宁小学大门口改造及院落维修改造</w:t>
            </w:r>
          </w:p>
          <w:p w14:paraId="72F50EB8">
            <w:pPr>
              <w:pStyle w:val="13"/>
            </w:pPr>
            <w:r>
              <w:t>，满足学校正常教学需要。</w:t>
            </w:r>
          </w:p>
        </w:tc>
      </w:tr>
      <w:tr w14:paraId="38076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DFD4B">
            <w:pPr>
              <w:pStyle w:val="11"/>
            </w:pPr>
            <w:r>
              <w:t>资金支出计划（%）</w:t>
            </w:r>
          </w:p>
        </w:tc>
        <w:tc>
          <w:tcPr>
            <w:tcW w:w="5103" w:type="dxa"/>
            <w:gridSpan w:val="2"/>
            <w:vAlign w:val="center"/>
          </w:tcPr>
          <w:p w14:paraId="606F3874">
            <w:pPr>
              <w:pStyle w:val="11"/>
            </w:pPr>
            <w:r>
              <w:t>3月底</w:t>
            </w:r>
          </w:p>
        </w:tc>
        <w:tc>
          <w:tcPr>
            <w:tcW w:w="2835" w:type="dxa"/>
            <w:vAlign w:val="center"/>
          </w:tcPr>
          <w:p w14:paraId="303EE566">
            <w:pPr>
              <w:pStyle w:val="11"/>
            </w:pPr>
            <w:r>
              <w:t>6月底</w:t>
            </w:r>
          </w:p>
        </w:tc>
        <w:tc>
          <w:tcPr>
            <w:tcW w:w="2551" w:type="dxa"/>
            <w:vAlign w:val="center"/>
          </w:tcPr>
          <w:p w14:paraId="10F96460">
            <w:pPr>
              <w:pStyle w:val="11"/>
            </w:pPr>
            <w:r>
              <w:t>10月底</w:t>
            </w:r>
          </w:p>
        </w:tc>
        <w:tc>
          <w:tcPr>
            <w:tcW w:w="3544" w:type="dxa"/>
            <w:gridSpan w:val="2"/>
            <w:vAlign w:val="center"/>
          </w:tcPr>
          <w:p w14:paraId="4DAAC96E">
            <w:pPr>
              <w:pStyle w:val="11"/>
            </w:pPr>
            <w:r>
              <w:t>12月底</w:t>
            </w:r>
          </w:p>
        </w:tc>
      </w:tr>
      <w:tr w14:paraId="194A4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7B2C2D"/>
        </w:tc>
        <w:tc>
          <w:tcPr>
            <w:tcW w:w="5103" w:type="dxa"/>
            <w:gridSpan w:val="2"/>
            <w:vAlign w:val="center"/>
          </w:tcPr>
          <w:p w14:paraId="7925D907">
            <w:pPr>
              <w:pStyle w:val="12"/>
            </w:pPr>
            <w:r>
              <w:t xml:space="preserve"> </w:t>
            </w:r>
          </w:p>
        </w:tc>
        <w:tc>
          <w:tcPr>
            <w:tcW w:w="2835" w:type="dxa"/>
            <w:vAlign w:val="center"/>
          </w:tcPr>
          <w:p w14:paraId="2E7422FF">
            <w:pPr>
              <w:pStyle w:val="12"/>
            </w:pPr>
            <w:r>
              <w:t>30%</w:t>
            </w:r>
          </w:p>
        </w:tc>
        <w:tc>
          <w:tcPr>
            <w:tcW w:w="2551" w:type="dxa"/>
            <w:vAlign w:val="center"/>
          </w:tcPr>
          <w:p w14:paraId="7D4E09CF">
            <w:pPr>
              <w:pStyle w:val="12"/>
            </w:pPr>
            <w:r>
              <w:t>80%</w:t>
            </w:r>
          </w:p>
        </w:tc>
        <w:tc>
          <w:tcPr>
            <w:tcW w:w="3544" w:type="dxa"/>
            <w:gridSpan w:val="2"/>
            <w:vAlign w:val="center"/>
          </w:tcPr>
          <w:p w14:paraId="7B98D4D8">
            <w:pPr>
              <w:pStyle w:val="12"/>
            </w:pPr>
            <w:r>
              <w:t>100%</w:t>
            </w:r>
          </w:p>
        </w:tc>
      </w:tr>
      <w:tr w14:paraId="668AE8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167AF">
            <w:pPr>
              <w:pStyle w:val="11"/>
            </w:pPr>
            <w:r>
              <w:t>绩效目标</w:t>
            </w:r>
          </w:p>
        </w:tc>
        <w:tc>
          <w:tcPr>
            <w:tcW w:w="14033" w:type="dxa"/>
            <w:gridSpan w:val="6"/>
            <w:vAlign w:val="center"/>
          </w:tcPr>
          <w:p w14:paraId="1198FCDE">
            <w:pPr>
              <w:pStyle w:val="13"/>
            </w:pPr>
            <w:r>
              <w:t>1.完成大宁小学大门口改造及院落维修改造</w:t>
            </w:r>
          </w:p>
          <w:p w14:paraId="1B2EBC0B">
            <w:pPr>
              <w:pStyle w:val="13"/>
            </w:pPr>
            <w:r>
              <w:t>，满足学校正常教学需要。</w:t>
            </w:r>
          </w:p>
          <w:p w14:paraId="4F153F91">
            <w:pPr>
              <w:pStyle w:val="13"/>
            </w:pPr>
            <w:r>
              <w:t>2.按规定拨付专项资金，资金支付率达到100%。</w:t>
            </w:r>
          </w:p>
        </w:tc>
      </w:tr>
    </w:tbl>
    <w:p w14:paraId="2DB561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90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A26E5">
            <w:pPr>
              <w:pStyle w:val="11"/>
            </w:pPr>
            <w:r>
              <w:t>一级指标</w:t>
            </w:r>
          </w:p>
        </w:tc>
        <w:tc>
          <w:tcPr>
            <w:tcW w:w="2268" w:type="dxa"/>
            <w:vAlign w:val="center"/>
          </w:tcPr>
          <w:p w14:paraId="242E5DD5">
            <w:pPr>
              <w:pStyle w:val="11"/>
            </w:pPr>
            <w:r>
              <w:t>二级指标</w:t>
            </w:r>
          </w:p>
        </w:tc>
        <w:tc>
          <w:tcPr>
            <w:tcW w:w="2835" w:type="dxa"/>
            <w:vAlign w:val="center"/>
          </w:tcPr>
          <w:p w14:paraId="0A01CEF1">
            <w:pPr>
              <w:pStyle w:val="11"/>
            </w:pPr>
            <w:r>
              <w:t>三级指标</w:t>
            </w:r>
          </w:p>
        </w:tc>
        <w:tc>
          <w:tcPr>
            <w:tcW w:w="5386" w:type="dxa"/>
            <w:vAlign w:val="center"/>
          </w:tcPr>
          <w:p w14:paraId="39FFEEDB">
            <w:pPr>
              <w:pStyle w:val="11"/>
            </w:pPr>
            <w:r>
              <w:t>绩效指标描述</w:t>
            </w:r>
          </w:p>
        </w:tc>
        <w:tc>
          <w:tcPr>
            <w:tcW w:w="2268" w:type="dxa"/>
            <w:vAlign w:val="center"/>
          </w:tcPr>
          <w:p w14:paraId="5A868211">
            <w:pPr>
              <w:pStyle w:val="11"/>
            </w:pPr>
            <w:r>
              <w:t>指标值</w:t>
            </w:r>
          </w:p>
        </w:tc>
        <w:tc>
          <w:tcPr>
            <w:tcW w:w="1276" w:type="dxa"/>
            <w:vAlign w:val="center"/>
          </w:tcPr>
          <w:p w14:paraId="7831B059">
            <w:pPr>
              <w:pStyle w:val="11"/>
            </w:pPr>
            <w:r>
              <w:t>指标值确定依据</w:t>
            </w:r>
          </w:p>
        </w:tc>
      </w:tr>
      <w:tr w14:paraId="40B94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58F02">
            <w:pPr>
              <w:pStyle w:val="12"/>
            </w:pPr>
            <w:r>
              <w:t>产出指标</w:t>
            </w:r>
          </w:p>
        </w:tc>
        <w:tc>
          <w:tcPr>
            <w:tcW w:w="2268" w:type="dxa"/>
            <w:vAlign w:val="center"/>
          </w:tcPr>
          <w:p w14:paraId="63CB8DCD">
            <w:pPr>
              <w:pStyle w:val="13"/>
            </w:pPr>
            <w:r>
              <w:t>数量指标</w:t>
            </w:r>
          </w:p>
        </w:tc>
        <w:tc>
          <w:tcPr>
            <w:tcW w:w="2835" w:type="dxa"/>
            <w:vAlign w:val="center"/>
          </w:tcPr>
          <w:p w14:paraId="1D9204B3">
            <w:pPr>
              <w:pStyle w:val="13"/>
            </w:pPr>
            <w:r>
              <w:t>大门口围墙改造90米、院落维修1396.5平米</w:t>
            </w:r>
          </w:p>
        </w:tc>
        <w:tc>
          <w:tcPr>
            <w:tcW w:w="5386" w:type="dxa"/>
            <w:vAlign w:val="center"/>
          </w:tcPr>
          <w:p w14:paraId="637ACAD5">
            <w:pPr>
              <w:pStyle w:val="13"/>
            </w:pPr>
            <w:r>
              <w:t>大门口围墙改造90米、院落维修1396.5平米</w:t>
            </w:r>
          </w:p>
        </w:tc>
        <w:tc>
          <w:tcPr>
            <w:tcW w:w="2268" w:type="dxa"/>
            <w:vAlign w:val="center"/>
          </w:tcPr>
          <w:p w14:paraId="31248B8B">
            <w:pPr>
              <w:pStyle w:val="13"/>
            </w:pPr>
            <w:r>
              <w:t>47.11万元</w:t>
            </w:r>
          </w:p>
        </w:tc>
        <w:tc>
          <w:tcPr>
            <w:tcW w:w="1276" w:type="dxa"/>
            <w:vAlign w:val="center"/>
          </w:tcPr>
          <w:p w14:paraId="2406F982">
            <w:pPr>
              <w:pStyle w:val="13"/>
            </w:pPr>
            <w:r>
              <w:t>城乡义务教育公用经费管理办法</w:t>
            </w:r>
          </w:p>
        </w:tc>
      </w:tr>
      <w:tr w14:paraId="720C0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61C5B"/>
        </w:tc>
        <w:tc>
          <w:tcPr>
            <w:tcW w:w="2268" w:type="dxa"/>
            <w:vAlign w:val="center"/>
          </w:tcPr>
          <w:p w14:paraId="2649CEF3">
            <w:pPr>
              <w:pStyle w:val="13"/>
            </w:pPr>
            <w:r>
              <w:t>质量指标</w:t>
            </w:r>
          </w:p>
        </w:tc>
        <w:tc>
          <w:tcPr>
            <w:tcW w:w="2835" w:type="dxa"/>
            <w:vAlign w:val="center"/>
          </w:tcPr>
          <w:p w14:paraId="157FF933">
            <w:pPr>
              <w:pStyle w:val="13"/>
            </w:pPr>
            <w:r>
              <w:t>资金支付率</w:t>
            </w:r>
          </w:p>
        </w:tc>
        <w:tc>
          <w:tcPr>
            <w:tcW w:w="5386" w:type="dxa"/>
            <w:vAlign w:val="center"/>
          </w:tcPr>
          <w:p w14:paraId="610D99A3">
            <w:pPr>
              <w:pStyle w:val="13"/>
            </w:pPr>
            <w:r>
              <w:t>按照序时进度完成资金支付</w:t>
            </w:r>
          </w:p>
        </w:tc>
        <w:tc>
          <w:tcPr>
            <w:tcW w:w="2268" w:type="dxa"/>
            <w:vAlign w:val="center"/>
          </w:tcPr>
          <w:p w14:paraId="0A5371C0">
            <w:pPr>
              <w:pStyle w:val="13"/>
            </w:pPr>
            <w:r>
              <w:t>≥100%</w:t>
            </w:r>
          </w:p>
        </w:tc>
        <w:tc>
          <w:tcPr>
            <w:tcW w:w="1276" w:type="dxa"/>
            <w:vAlign w:val="center"/>
          </w:tcPr>
          <w:p w14:paraId="597ED26D">
            <w:pPr>
              <w:pStyle w:val="13"/>
            </w:pPr>
            <w:r>
              <w:t>城乡义务教育公用经费管理办法</w:t>
            </w:r>
          </w:p>
        </w:tc>
      </w:tr>
      <w:tr w14:paraId="0265B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32ADB"/>
        </w:tc>
        <w:tc>
          <w:tcPr>
            <w:tcW w:w="2268" w:type="dxa"/>
            <w:vAlign w:val="center"/>
          </w:tcPr>
          <w:p w14:paraId="002EC2B2">
            <w:pPr>
              <w:pStyle w:val="13"/>
            </w:pPr>
            <w:r>
              <w:t>时效指标</w:t>
            </w:r>
          </w:p>
        </w:tc>
        <w:tc>
          <w:tcPr>
            <w:tcW w:w="2835" w:type="dxa"/>
            <w:vAlign w:val="center"/>
          </w:tcPr>
          <w:p w14:paraId="53E0FFFE">
            <w:pPr>
              <w:pStyle w:val="13"/>
            </w:pPr>
            <w:r>
              <w:t>项目竣工验收合格率</w:t>
            </w:r>
          </w:p>
        </w:tc>
        <w:tc>
          <w:tcPr>
            <w:tcW w:w="5386" w:type="dxa"/>
            <w:vAlign w:val="center"/>
          </w:tcPr>
          <w:p w14:paraId="553D1C29">
            <w:pPr>
              <w:pStyle w:val="13"/>
            </w:pPr>
            <w:r>
              <w:t>项目改造质量达标率</w:t>
            </w:r>
          </w:p>
        </w:tc>
        <w:tc>
          <w:tcPr>
            <w:tcW w:w="2268" w:type="dxa"/>
            <w:vAlign w:val="center"/>
          </w:tcPr>
          <w:p w14:paraId="24FC1FD5">
            <w:pPr>
              <w:pStyle w:val="13"/>
            </w:pPr>
            <w:r>
              <w:t>≥100%</w:t>
            </w:r>
          </w:p>
        </w:tc>
        <w:tc>
          <w:tcPr>
            <w:tcW w:w="1276" w:type="dxa"/>
            <w:vAlign w:val="center"/>
          </w:tcPr>
          <w:p w14:paraId="26CA3549">
            <w:pPr>
              <w:pStyle w:val="13"/>
            </w:pPr>
            <w:r>
              <w:t>城乡义务教育公用经费管理办法</w:t>
            </w:r>
          </w:p>
        </w:tc>
      </w:tr>
      <w:tr w14:paraId="44795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5355F"/>
        </w:tc>
        <w:tc>
          <w:tcPr>
            <w:tcW w:w="2268" w:type="dxa"/>
            <w:vAlign w:val="center"/>
          </w:tcPr>
          <w:p w14:paraId="6B192B9B">
            <w:pPr>
              <w:pStyle w:val="13"/>
            </w:pPr>
            <w:r>
              <w:t>成本指标</w:t>
            </w:r>
          </w:p>
        </w:tc>
        <w:tc>
          <w:tcPr>
            <w:tcW w:w="2835" w:type="dxa"/>
            <w:vAlign w:val="center"/>
          </w:tcPr>
          <w:p w14:paraId="594ED3AD">
            <w:pPr>
              <w:pStyle w:val="13"/>
            </w:pPr>
            <w:r>
              <w:t>项目实际成本</w:t>
            </w:r>
          </w:p>
        </w:tc>
        <w:tc>
          <w:tcPr>
            <w:tcW w:w="5386" w:type="dxa"/>
            <w:vAlign w:val="center"/>
          </w:tcPr>
          <w:p w14:paraId="19D7776B">
            <w:pPr>
              <w:pStyle w:val="13"/>
            </w:pPr>
            <w:r>
              <w:t>大门口围墙改造90米、院落维修1396.5平米</w:t>
            </w:r>
          </w:p>
        </w:tc>
        <w:tc>
          <w:tcPr>
            <w:tcW w:w="2268" w:type="dxa"/>
            <w:vAlign w:val="center"/>
          </w:tcPr>
          <w:p w14:paraId="6510E188">
            <w:pPr>
              <w:pStyle w:val="13"/>
            </w:pPr>
            <w:r>
              <w:t>47.11万元</w:t>
            </w:r>
          </w:p>
        </w:tc>
        <w:tc>
          <w:tcPr>
            <w:tcW w:w="1276" w:type="dxa"/>
            <w:vAlign w:val="center"/>
          </w:tcPr>
          <w:p w14:paraId="3686D145">
            <w:pPr>
              <w:pStyle w:val="13"/>
            </w:pPr>
            <w:r>
              <w:t>城乡义务教育公用经费管理办法</w:t>
            </w:r>
          </w:p>
        </w:tc>
      </w:tr>
      <w:tr w14:paraId="70889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39C523">
            <w:pPr>
              <w:pStyle w:val="12"/>
            </w:pPr>
            <w:r>
              <w:t>效益指标</w:t>
            </w:r>
          </w:p>
        </w:tc>
        <w:tc>
          <w:tcPr>
            <w:tcW w:w="2268" w:type="dxa"/>
            <w:vAlign w:val="center"/>
          </w:tcPr>
          <w:p w14:paraId="6F12B756">
            <w:pPr>
              <w:pStyle w:val="13"/>
            </w:pPr>
            <w:r>
              <w:t>社会效益指标</w:t>
            </w:r>
          </w:p>
        </w:tc>
        <w:tc>
          <w:tcPr>
            <w:tcW w:w="2835" w:type="dxa"/>
            <w:vAlign w:val="center"/>
          </w:tcPr>
          <w:p w14:paraId="6D22B5CB">
            <w:pPr>
              <w:pStyle w:val="13"/>
            </w:pPr>
            <w:r>
              <w:t>教育发展水平</w:t>
            </w:r>
          </w:p>
        </w:tc>
        <w:tc>
          <w:tcPr>
            <w:tcW w:w="5386" w:type="dxa"/>
            <w:vAlign w:val="center"/>
          </w:tcPr>
          <w:p w14:paraId="179162B2">
            <w:pPr>
              <w:pStyle w:val="13"/>
            </w:pPr>
            <w:r>
              <w:t>辖区内教育环境明显好转</w:t>
            </w:r>
          </w:p>
        </w:tc>
        <w:tc>
          <w:tcPr>
            <w:tcW w:w="2268" w:type="dxa"/>
            <w:vAlign w:val="center"/>
          </w:tcPr>
          <w:p w14:paraId="0B26CBAD">
            <w:pPr>
              <w:pStyle w:val="13"/>
            </w:pPr>
            <w:r>
              <w:t>≥95%</w:t>
            </w:r>
          </w:p>
        </w:tc>
        <w:tc>
          <w:tcPr>
            <w:tcW w:w="1276" w:type="dxa"/>
            <w:vAlign w:val="center"/>
          </w:tcPr>
          <w:p w14:paraId="18CA4A57">
            <w:pPr>
              <w:pStyle w:val="13"/>
            </w:pPr>
            <w:r>
              <w:t>城乡义务教育公用经费管理办法</w:t>
            </w:r>
          </w:p>
        </w:tc>
      </w:tr>
      <w:tr w14:paraId="4CAC3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EE27E">
            <w:pPr>
              <w:pStyle w:val="12"/>
            </w:pPr>
            <w:r>
              <w:t>满意度指标</w:t>
            </w:r>
          </w:p>
        </w:tc>
        <w:tc>
          <w:tcPr>
            <w:tcW w:w="2268" w:type="dxa"/>
            <w:vAlign w:val="center"/>
          </w:tcPr>
          <w:p w14:paraId="57486596">
            <w:pPr>
              <w:pStyle w:val="13"/>
            </w:pPr>
            <w:r>
              <w:t>服务对象满意度指标</w:t>
            </w:r>
          </w:p>
        </w:tc>
        <w:tc>
          <w:tcPr>
            <w:tcW w:w="2835" w:type="dxa"/>
            <w:vAlign w:val="center"/>
          </w:tcPr>
          <w:p w14:paraId="154858A3">
            <w:pPr>
              <w:pStyle w:val="13"/>
            </w:pPr>
            <w:r>
              <w:t>受益学生家长及调查满意度</w:t>
            </w:r>
          </w:p>
        </w:tc>
        <w:tc>
          <w:tcPr>
            <w:tcW w:w="5386" w:type="dxa"/>
            <w:vAlign w:val="center"/>
          </w:tcPr>
          <w:p w14:paraId="6712BAC6">
            <w:pPr>
              <w:pStyle w:val="13"/>
            </w:pPr>
            <w:r>
              <w:t>学生、教师及家长对学校工作满意度情况</w:t>
            </w:r>
          </w:p>
        </w:tc>
        <w:tc>
          <w:tcPr>
            <w:tcW w:w="2268" w:type="dxa"/>
            <w:vAlign w:val="center"/>
          </w:tcPr>
          <w:p w14:paraId="748FBA6E">
            <w:pPr>
              <w:pStyle w:val="13"/>
            </w:pPr>
            <w:r>
              <w:t>≥95%</w:t>
            </w:r>
          </w:p>
        </w:tc>
        <w:tc>
          <w:tcPr>
            <w:tcW w:w="1276" w:type="dxa"/>
            <w:vAlign w:val="center"/>
          </w:tcPr>
          <w:p w14:paraId="0D49A520">
            <w:pPr>
              <w:pStyle w:val="13"/>
            </w:pPr>
            <w:r>
              <w:t>城乡义务教育公用经费管理办法</w:t>
            </w:r>
          </w:p>
        </w:tc>
      </w:tr>
    </w:tbl>
    <w:p w14:paraId="4ABBDFB9">
      <w:pPr>
        <w:sectPr>
          <w:pgSz w:w="16840" w:h="11900" w:orient="landscape"/>
          <w:pgMar w:top="1361" w:right="1020" w:bottom="1134" w:left="1020" w:header="720" w:footer="720" w:gutter="0"/>
          <w:cols w:space="720" w:num="1"/>
        </w:sectPr>
      </w:pPr>
    </w:p>
    <w:p w14:paraId="578A2BD5">
      <w:pPr>
        <w:spacing w:before="0" w:after="0"/>
        <w:ind w:firstLine="560"/>
        <w:jc w:val="left"/>
        <w:outlineLvl w:val="9"/>
      </w:pPr>
      <w:r>
        <w:rPr>
          <w:rFonts w:ascii="方正仿宋_GBK" w:hAnsi="方正仿宋_GBK" w:eastAsia="方正仿宋_GBK" w:cs="方正仿宋_GBK"/>
          <w:b/>
          <w:color w:val="000000"/>
          <w:sz w:val="28"/>
        </w:rPr>
        <w:t>15、冀财教[2024]123号/中央/2025年义教补助经费/校舍安全保障/杨村小学学生宿舍楼改造绩效目标表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6B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BAC9E">
            <w:pPr>
              <w:pStyle w:val="14"/>
            </w:pPr>
            <w:r>
              <w:t>单位：万元</w:t>
            </w:r>
          </w:p>
        </w:tc>
      </w:tr>
      <w:tr w14:paraId="40DB0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6117B3">
            <w:pPr>
              <w:pStyle w:val="11"/>
            </w:pPr>
            <w:r>
              <w:t>项目编码</w:t>
            </w:r>
          </w:p>
        </w:tc>
        <w:tc>
          <w:tcPr>
            <w:tcW w:w="5103" w:type="dxa"/>
            <w:gridSpan w:val="2"/>
            <w:vAlign w:val="center"/>
          </w:tcPr>
          <w:p w14:paraId="185A14E0">
            <w:pPr>
              <w:pStyle w:val="13"/>
            </w:pPr>
            <w:r>
              <w:t>13052525P008762100216</w:t>
            </w:r>
          </w:p>
        </w:tc>
        <w:tc>
          <w:tcPr>
            <w:tcW w:w="2835" w:type="dxa"/>
            <w:vAlign w:val="center"/>
          </w:tcPr>
          <w:p w14:paraId="35E4CEA5">
            <w:pPr>
              <w:pStyle w:val="11"/>
            </w:pPr>
            <w:r>
              <w:t>项目名称</w:t>
            </w:r>
          </w:p>
        </w:tc>
        <w:tc>
          <w:tcPr>
            <w:tcW w:w="6095" w:type="dxa"/>
            <w:gridSpan w:val="3"/>
            <w:vAlign w:val="center"/>
          </w:tcPr>
          <w:p w14:paraId="7D741B20">
            <w:pPr>
              <w:pStyle w:val="13"/>
            </w:pPr>
            <w:r>
              <w:t>冀财教[2024]123号/中央/2025年义教补助经费/校舍安全保障/杨村小学学生宿舍楼改造</w:t>
            </w:r>
          </w:p>
        </w:tc>
      </w:tr>
      <w:tr w14:paraId="31564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C3FFD">
            <w:pPr>
              <w:pStyle w:val="11"/>
            </w:pPr>
            <w:r>
              <w:t>预算规模及资金用途</w:t>
            </w:r>
          </w:p>
        </w:tc>
        <w:tc>
          <w:tcPr>
            <w:tcW w:w="2268" w:type="dxa"/>
            <w:vAlign w:val="center"/>
          </w:tcPr>
          <w:p w14:paraId="596B9AB4">
            <w:pPr>
              <w:pStyle w:val="11"/>
            </w:pPr>
            <w:r>
              <w:t>预算数</w:t>
            </w:r>
          </w:p>
        </w:tc>
        <w:tc>
          <w:tcPr>
            <w:tcW w:w="2835" w:type="dxa"/>
            <w:vAlign w:val="center"/>
          </w:tcPr>
          <w:p w14:paraId="18876D44">
            <w:pPr>
              <w:pStyle w:val="13"/>
            </w:pPr>
            <w:r>
              <w:t>42.00</w:t>
            </w:r>
          </w:p>
        </w:tc>
        <w:tc>
          <w:tcPr>
            <w:tcW w:w="2835" w:type="dxa"/>
            <w:vAlign w:val="center"/>
          </w:tcPr>
          <w:p w14:paraId="6C4C005D">
            <w:pPr>
              <w:pStyle w:val="11"/>
            </w:pPr>
            <w:r>
              <w:t>其中：财政    资金</w:t>
            </w:r>
          </w:p>
        </w:tc>
        <w:tc>
          <w:tcPr>
            <w:tcW w:w="2551" w:type="dxa"/>
            <w:vAlign w:val="center"/>
          </w:tcPr>
          <w:p w14:paraId="39F1BAC0">
            <w:pPr>
              <w:pStyle w:val="13"/>
            </w:pPr>
            <w:r>
              <w:t>42.00</w:t>
            </w:r>
          </w:p>
        </w:tc>
        <w:tc>
          <w:tcPr>
            <w:tcW w:w="2268" w:type="dxa"/>
            <w:vAlign w:val="center"/>
          </w:tcPr>
          <w:p w14:paraId="698DE0DB">
            <w:pPr>
              <w:pStyle w:val="11"/>
            </w:pPr>
            <w:r>
              <w:t>其他资金</w:t>
            </w:r>
          </w:p>
        </w:tc>
        <w:tc>
          <w:tcPr>
            <w:tcW w:w="1276" w:type="dxa"/>
            <w:vAlign w:val="center"/>
          </w:tcPr>
          <w:p w14:paraId="31ECC904">
            <w:pPr>
              <w:pStyle w:val="13"/>
            </w:pPr>
            <w:r>
              <w:t xml:space="preserve"> </w:t>
            </w:r>
          </w:p>
        </w:tc>
      </w:tr>
      <w:tr w14:paraId="78C40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7ECBDFF8"/>
        </w:tc>
        <w:tc>
          <w:tcPr>
            <w:tcW w:w="14033" w:type="dxa"/>
            <w:gridSpan w:val="6"/>
            <w:vAlign w:val="center"/>
          </w:tcPr>
          <w:p w14:paraId="4E580300">
            <w:pPr>
              <w:pStyle w:val="13"/>
            </w:pPr>
            <w:r>
              <w:t>完成杨村小学宿舍楼维修改造</w:t>
            </w:r>
          </w:p>
          <w:p w14:paraId="00A52B3E">
            <w:pPr>
              <w:pStyle w:val="13"/>
            </w:pPr>
            <w:r>
              <w:t>，满足学校正常教学需要。</w:t>
            </w:r>
          </w:p>
        </w:tc>
      </w:tr>
      <w:tr w14:paraId="6EDC7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8D584">
            <w:pPr>
              <w:pStyle w:val="11"/>
            </w:pPr>
            <w:r>
              <w:t>资金支出计划（%）</w:t>
            </w:r>
          </w:p>
        </w:tc>
        <w:tc>
          <w:tcPr>
            <w:tcW w:w="5103" w:type="dxa"/>
            <w:gridSpan w:val="2"/>
            <w:vAlign w:val="center"/>
          </w:tcPr>
          <w:p w14:paraId="423D81ED">
            <w:pPr>
              <w:pStyle w:val="11"/>
            </w:pPr>
            <w:r>
              <w:t>3月底</w:t>
            </w:r>
          </w:p>
        </w:tc>
        <w:tc>
          <w:tcPr>
            <w:tcW w:w="2835" w:type="dxa"/>
            <w:vAlign w:val="center"/>
          </w:tcPr>
          <w:p w14:paraId="2BB5C85D">
            <w:pPr>
              <w:pStyle w:val="11"/>
            </w:pPr>
            <w:r>
              <w:t>6月底</w:t>
            </w:r>
          </w:p>
        </w:tc>
        <w:tc>
          <w:tcPr>
            <w:tcW w:w="2551" w:type="dxa"/>
            <w:vAlign w:val="center"/>
          </w:tcPr>
          <w:p w14:paraId="2F83FCB2">
            <w:pPr>
              <w:pStyle w:val="11"/>
            </w:pPr>
            <w:r>
              <w:t>10月底</w:t>
            </w:r>
          </w:p>
        </w:tc>
        <w:tc>
          <w:tcPr>
            <w:tcW w:w="3544" w:type="dxa"/>
            <w:gridSpan w:val="2"/>
            <w:vAlign w:val="center"/>
          </w:tcPr>
          <w:p w14:paraId="5B31212B">
            <w:pPr>
              <w:pStyle w:val="11"/>
            </w:pPr>
            <w:r>
              <w:t>12月底</w:t>
            </w:r>
          </w:p>
        </w:tc>
      </w:tr>
      <w:tr w14:paraId="09B68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0F46B"/>
        </w:tc>
        <w:tc>
          <w:tcPr>
            <w:tcW w:w="5103" w:type="dxa"/>
            <w:gridSpan w:val="2"/>
            <w:vAlign w:val="center"/>
          </w:tcPr>
          <w:p w14:paraId="341B4E6F">
            <w:pPr>
              <w:pStyle w:val="12"/>
            </w:pPr>
            <w:r>
              <w:t>25%</w:t>
            </w:r>
          </w:p>
        </w:tc>
        <w:tc>
          <w:tcPr>
            <w:tcW w:w="2835" w:type="dxa"/>
            <w:vAlign w:val="center"/>
          </w:tcPr>
          <w:p w14:paraId="6C68CFCF">
            <w:pPr>
              <w:pStyle w:val="12"/>
            </w:pPr>
            <w:r>
              <w:t>50%</w:t>
            </w:r>
          </w:p>
        </w:tc>
        <w:tc>
          <w:tcPr>
            <w:tcW w:w="2551" w:type="dxa"/>
            <w:vAlign w:val="center"/>
          </w:tcPr>
          <w:p w14:paraId="4B5015F5">
            <w:pPr>
              <w:pStyle w:val="12"/>
            </w:pPr>
            <w:r>
              <w:t>75%</w:t>
            </w:r>
          </w:p>
        </w:tc>
        <w:tc>
          <w:tcPr>
            <w:tcW w:w="3544" w:type="dxa"/>
            <w:gridSpan w:val="2"/>
            <w:vAlign w:val="center"/>
          </w:tcPr>
          <w:p w14:paraId="61C64C07">
            <w:pPr>
              <w:pStyle w:val="12"/>
            </w:pPr>
            <w:r>
              <w:t>100%</w:t>
            </w:r>
          </w:p>
        </w:tc>
      </w:tr>
      <w:tr w14:paraId="743EF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2882F">
            <w:pPr>
              <w:pStyle w:val="11"/>
            </w:pPr>
            <w:r>
              <w:t>绩效目标</w:t>
            </w:r>
          </w:p>
        </w:tc>
        <w:tc>
          <w:tcPr>
            <w:tcW w:w="14033" w:type="dxa"/>
            <w:gridSpan w:val="6"/>
            <w:vAlign w:val="center"/>
          </w:tcPr>
          <w:p w14:paraId="68F02568">
            <w:pPr>
              <w:pStyle w:val="13"/>
            </w:pPr>
            <w:r>
              <w:t>1.完成杨村小学宿舍楼维修改造</w:t>
            </w:r>
          </w:p>
          <w:p w14:paraId="5D4E6B82">
            <w:pPr>
              <w:pStyle w:val="13"/>
            </w:pPr>
            <w:r>
              <w:t>，满足学校正常教学需要。</w:t>
            </w:r>
          </w:p>
          <w:p w14:paraId="2762D6A6">
            <w:pPr>
              <w:pStyle w:val="13"/>
            </w:pPr>
            <w:r>
              <w:t>2.按规定拨付专项资金，资金支付率达到100%。</w:t>
            </w:r>
          </w:p>
        </w:tc>
      </w:tr>
    </w:tbl>
    <w:p w14:paraId="762966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14:paraId="09AF1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ABA54">
            <w:pPr>
              <w:pStyle w:val="11"/>
            </w:pPr>
            <w:r>
              <w:t>一级指标</w:t>
            </w:r>
          </w:p>
        </w:tc>
        <w:tc>
          <w:tcPr>
            <w:tcW w:w="2268" w:type="dxa"/>
            <w:vAlign w:val="center"/>
          </w:tcPr>
          <w:p w14:paraId="5D3CE5C2">
            <w:pPr>
              <w:pStyle w:val="11"/>
            </w:pPr>
            <w:r>
              <w:t>二级指标</w:t>
            </w:r>
          </w:p>
        </w:tc>
        <w:tc>
          <w:tcPr>
            <w:tcW w:w="2835" w:type="dxa"/>
            <w:vAlign w:val="center"/>
          </w:tcPr>
          <w:p w14:paraId="134B0B2E">
            <w:pPr>
              <w:pStyle w:val="11"/>
            </w:pPr>
            <w:r>
              <w:t>三级指标</w:t>
            </w:r>
          </w:p>
        </w:tc>
        <w:tc>
          <w:tcPr>
            <w:tcW w:w="5386" w:type="dxa"/>
            <w:vAlign w:val="center"/>
          </w:tcPr>
          <w:p w14:paraId="4D66E3E3">
            <w:pPr>
              <w:pStyle w:val="11"/>
            </w:pPr>
            <w:r>
              <w:t>绩效指标描述</w:t>
            </w:r>
          </w:p>
        </w:tc>
        <w:tc>
          <w:tcPr>
            <w:tcW w:w="1598" w:type="dxa"/>
            <w:vAlign w:val="center"/>
          </w:tcPr>
          <w:p w14:paraId="1C45C7E2">
            <w:pPr>
              <w:pStyle w:val="11"/>
            </w:pPr>
            <w:r>
              <w:t>指标值</w:t>
            </w:r>
          </w:p>
        </w:tc>
        <w:tc>
          <w:tcPr>
            <w:tcW w:w="1946" w:type="dxa"/>
            <w:vAlign w:val="center"/>
          </w:tcPr>
          <w:p w14:paraId="1E46A4BE">
            <w:pPr>
              <w:pStyle w:val="11"/>
            </w:pPr>
            <w:r>
              <w:t>指标值确定依据</w:t>
            </w:r>
          </w:p>
        </w:tc>
      </w:tr>
      <w:tr w14:paraId="5C14B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8112B">
            <w:pPr>
              <w:pStyle w:val="12"/>
            </w:pPr>
            <w:r>
              <w:t>产出指标</w:t>
            </w:r>
          </w:p>
        </w:tc>
        <w:tc>
          <w:tcPr>
            <w:tcW w:w="2268" w:type="dxa"/>
            <w:vAlign w:val="center"/>
          </w:tcPr>
          <w:p w14:paraId="5CB8CC53">
            <w:pPr>
              <w:pStyle w:val="13"/>
            </w:pPr>
            <w:r>
              <w:t>数量指标</w:t>
            </w:r>
          </w:p>
        </w:tc>
        <w:tc>
          <w:tcPr>
            <w:tcW w:w="2835" w:type="dxa"/>
            <w:vAlign w:val="center"/>
          </w:tcPr>
          <w:p w14:paraId="246C6231">
            <w:pPr>
              <w:pStyle w:val="13"/>
            </w:pPr>
            <w:r>
              <w:t>宿舍楼刷地坪漆、封阳台、改造卫生间、隔断等维修</w:t>
            </w:r>
          </w:p>
        </w:tc>
        <w:tc>
          <w:tcPr>
            <w:tcW w:w="5386" w:type="dxa"/>
            <w:vAlign w:val="center"/>
          </w:tcPr>
          <w:p w14:paraId="4A2E8087">
            <w:pPr>
              <w:pStyle w:val="13"/>
            </w:pPr>
            <w:r>
              <w:t>宿舍楼刷地坪漆、封阳台、改造卫生间、隔断等维修</w:t>
            </w:r>
          </w:p>
        </w:tc>
        <w:tc>
          <w:tcPr>
            <w:tcW w:w="1598" w:type="dxa"/>
            <w:vAlign w:val="center"/>
          </w:tcPr>
          <w:p w14:paraId="07D24F80">
            <w:pPr>
              <w:pStyle w:val="13"/>
            </w:pPr>
            <w:r>
              <w:t>42万元</w:t>
            </w:r>
          </w:p>
        </w:tc>
        <w:tc>
          <w:tcPr>
            <w:tcW w:w="1946" w:type="dxa"/>
            <w:vAlign w:val="center"/>
          </w:tcPr>
          <w:p w14:paraId="746A9169">
            <w:pPr>
              <w:pStyle w:val="13"/>
            </w:pPr>
            <w:r>
              <w:t>城乡义务教育公用经费管理办法</w:t>
            </w:r>
          </w:p>
        </w:tc>
      </w:tr>
      <w:tr w14:paraId="03BD8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A73BD"/>
        </w:tc>
        <w:tc>
          <w:tcPr>
            <w:tcW w:w="2268" w:type="dxa"/>
            <w:vAlign w:val="center"/>
          </w:tcPr>
          <w:p w14:paraId="49A18BEF">
            <w:pPr>
              <w:pStyle w:val="13"/>
            </w:pPr>
            <w:r>
              <w:t>质量指标</w:t>
            </w:r>
          </w:p>
        </w:tc>
        <w:tc>
          <w:tcPr>
            <w:tcW w:w="2835" w:type="dxa"/>
            <w:vAlign w:val="center"/>
          </w:tcPr>
          <w:p w14:paraId="3A2E0500">
            <w:pPr>
              <w:pStyle w:val="13"/>
            </w:pPr>
            <w:r>
              <w:t>资金支付率</w:t>
            </w:r>
          </w:p>
        </w:tc>
        <w:tc>
          <w:tcPr>
            <w:tcW w:w="5386" w:type="dxa"/>
            <w:vAlign w:val="center"/>
          </w:tcPr>
          <w:p w14:paraId="0DFCF414">
            <w:pPr>
              <w:pStyle w:val="13"/>
            </w:pPr>
            <w:r>
              <w:t>按照序时进度完成资金支付</w:t>
            </w:r>
          </w:p>
        </w:tc>
        <w:tc>
          <w:tcPr>
            <w:tcW w:w="1598" w:type="dxa"/>
            <w:vAlign w:val="center"/>
          </w:tcPr>
          <w:p w14:paraId="71CBB7EB">
            <w:pPr>
              <w:pStyle w:val="13"/>
            </w:pPr>
            <w:r>
              <w:t>≥100%</w:t>
            </w:r>
          </w:p>
        </w:tc>
        <w:tc>
          <w:tcPr>
            <w:tcW w:w="1946" w:type="dxa"/>
            <w:vAlign w:val="center"/>
          </w:tcPr>
          <w:p w14:paraId="45AC9B68">
            <w:pPr>
              <w:pStyle w:val="13"/>
            </w:pPr>
            <w:r>
              <w:t>城乡义务教育公用经费管理办法</w:t>
            </w:r>
          </w:p>
        </w:tc>
      </w:tr>
      <w:tr w14:paraId="2C76C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64B4B"/>
        </w:tc>
        <w:tc>
          <w:tcPr>
            <w:tcW w:w="2268" w:type="dxa"/>
            <w:vAlign w:val="center"/>
          </w:tcPr>
          <w:p w14:paraId="0222F8F0">
            <w:pPr>
              <w:pStyle w:val="13"/>
            </w:pPr>
            <w:r>
              <w:t>时效指标</w:t>
            </w:r>
          </w:p>
        </w:tc>
        <w:tc>
          <w:tcPr>
            <w:tcW w:w="2835" w:type="dxa"/>
            <w:vAlign w:val="center"/>
          </w:tcPr>
          <w:p w14:paraId="4CC60379">
            <w:pPr>
              <w:pStyle w:val="13"/>
            </w:pPr>
            <w:r>
              <w:t>项目竣工验收合格率</w:t>
            </w:r>
          </w:p>
        </w:tc>
        <w:tc>
          <w:tcPr>
            <w:tcW w:w="5386" w:type="dxa"/>
            <w:vAlign w:val="center"/>
          </w:tcPr>
          <w:p w14:paraId="109263F2">
            <w:pPr>
              <w:pStyle w:val="13"/>
            </w:pPr>
            <w:r>
              <w:t>项目改造质量达标率</w:t>
            </w:r>
          </w:p>
        </w:tc>
        <w:tc>
          <w:tcPr>
            <w:tcW w:w="1598" w:type="dxa"/>
            <w:vAlign w:val="center"/>
          </w:tcPr>
          <w:p w14:paraId="4C9FD908">
            <w:pPr>
              <w:pStyle w:val="13"/>
            </w:pPr>
            <w:r>
              <w:t>≥100%</w:t>
            </w:r>
          </w:p>
        </w:tc>
        <w:tc>
          <w:tcPr>
            <w:tcW w:w="1946" w:type="dxa"/>
            <w:vAlign w:val="center"/>
          </w:tcPr>
          <w:p w14:paraId="70F37BB6">
            <w:pPr>
              <w:pStyle w:val="13"/>
            </w:pPr>
            <w:r>
              <w:t>城乡义务教育公用经费管理办法</w:t>
            </w:r>
          </w:p>
        </w:tc>
      </w:tr>
      <w:tr w14:paraId="76A99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9F9C2"/>
        </w:tc>
        <w:tc>
          <w:tcPr>
            <w:tcW w:w="2268" w:type="dxa"/>
            <w:vAlign w:val="center"/>
          </w:tcPr>
          <w:p w14:paraId="19235B4A">
            <w:pPr>
              <w:pStyle w:val="13"/>
            </w:pPr>
            <w:r>
              <w:t>成本指标</w:t>
            </w:r>
          </w:p>
        </w:tc>
        <w:tc>
          <w:tcPr>
            <w:tcW w:w="2835" w:type="dxa"/>
            <w:vAlign w:val="center"/>
          </w:tcPr>
          <w:p w14:paraId="3E59CB96">
            <w:pPr>
              <w:pStyle w:val="13"/>
            </w:pPr>
            <w:r>
              <w:t>项目实际成本</w:t>
            </w:r>
          </w:p>
        </w:tc>
        <w:tc>
          <w:tcPr>
            <w:tcW w:w="5386" w:type="dxa"/>
            <w:vAlign w:val="center"/>
          </w:tcPr>
          <w:p w14:paraId="6765E68E">
            <w:pPr>
              <w:pStyle w:val="13"/>
            </w:pPr>
            <w:r>
              <w:t>宿舍楼刷地坪漆、封阳台、改造卫生间、隔断等维修</w:t>
            </w:r>
          </w:p>
        </w:tc>
        <w:tc>
          <w:tcPr>
            <w:tcW w:w="1598" w:type="dxa"/>
            <w:vAlign w:val="center"/>
          </w:tcPr>
          <w:p w14:paraId="11EE8D45">
            <w:pPr>
              <w:pStyle w:val="13"/>
            </w:pPr>
            <w:r>
              <w:t>42万元</w:t>
            </w:r>
          </w:p>
        </w:tc>
        <w:tc>
          <w:tcPr>
            <w:tcW w:w="1946" w:type="dxa"/>
            <w:vAlign w:val="center"/>
          </w:tcPr>
          <w:p w14:paraId="6C85F0A5">
            <w:pPr>
              <w:pStyle w:val="13"/>
            </w:pPr>
            <w:r>
              <w:t>城乡义务教育公用经费管理办法</w:t>
            </w:r>
          </w:p>
        </w:tc>
      </w:tr>
      <w:tr w14:paraId="3842E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8DF5A4">
            <w:pPr>
              <w:pStyle w:val="12"/>
            </w:pPr>
            <w:r>
              <w:t>效益指标</w:t>
            </w:r>
          </w:p>
        </w:tc>
        <w:tc>
          <w:tcPr>
            <w:tcW w:w="2268" w:type="dxa"/>
            <w:vAlign w:val="center"/>
          </w:tcPr>
          <w:p w14:paraId="5C676203">
            <w:pPr>
              <w:pStyle w:val="13"/>
            </w:pPr>
            <w:r>
              <w:t>社会效益指标</w:t>
            </w:r>
          </w:p>
        </w:tc>
        <w:tc>
          <w:tcPr>
            <w:tcW w:w="2835" w:type="dxa"/>
            <w:vAlign w:val="center"/>
          </w:tcPr>
          <w:p w14:paraId="6F52D019">
            <w:pPr>
              <w:pStyle w:val="13"/>
            </w:pPr>
            <w:r>
              <w:t>教育发展水平</w:t>
            </w:r>
          </w:p>
        </w:tc>
        <w:tc>
          <w:tcPr>
            <w:tcW w:w="5386" w:type="dxa"/>
            <w:vAlign w:val="center"/>
          </w:tcPr>
          <w:p w14:paraId="61D3C0C1">
            <w:pPr>
              <w:pStyle w:val="13"/>
            </w:pPr>
            <w:r>
              <w:t>辖区内教育环境明显好转</w:t>
            </w:r>
          </w:p>
        </w:tc>
        <w:tc>
          <w:tcPr>
            <w:tcW w:w="1598" w:type="dxa"/>
            <w:vAlign w:val="center"/>
          </w:tcPr>
          <w:p w14:paraId="4E6E2C16">
            <w:pPr>
              <w:pStyle w:val="13"/>
            </w:pPr>
            <w:r>
              <w:t>≥95%</w:t>
            </w:r>
          </w:p>
        </w:tc>
        <w:tc>
          <w:tcPr>
            <w:tcW w:w="1946" w:type="dxa"/>
            <w:vAlign w:val="center"/>
          </w:tcPr>
          <w:p w14:paraId="6B8E1CD3">
            <w:pPr>
              <w:pStyle w:val="13"/>
            </w:pPr>
            <w:r>
              <w:t>城乡义务教育公用经费管理办法</w:t>
            </w:r>
          </w:p>
        </w:tc>
      </w:tr>
      <w:tr w14:paraId="17345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992188">
            <w:pPr>
              <w:pStyle w:val="12"/>
            </w:pPr>
            <w:r>
              <w:t>满意度指标</w:t>
            </w:r>
          </w:p>
        </w:tc>
        <w:tc>
          <w:tcPr>
            <w:tcW w:w="2268" w:type="dxa"/>
            <w:vAlign w:val="center"/>
          </w:tcPr>
          <w:p w14:paraId="3C1D5B59">
            <w:pPr>
              <w:pStyle w:val="13"/>
            </w:pPr>
            <w:r>
              <w:t>服务对象满意度指标</w:t>
            </w:r>
          </w:p>
        </w:tc>
        <w:tc>
          <w:tcPr>
            <w:tcW w:w="2835" w:type="dxa"/>
            <w:vAlign w:val="center"/>
          </w:tcPr>
          <w:p w14:paraId="719C596E">
            <w:pPr>
              <w:pStyle w:val="13"/>
            </w:pPr>
            <w:r>
              <w:t>受益学生家长及调查满意度</w:t>
            </w:r>
          </w:p>
        </w:tc>
        <w:tc>
          <w:tcPr>
            <w:tcW w:w="5386" w:type="dxa"/>
            <w:vAlign w:val="center"/>
          </w:tcPr>
          <w:p w14:paraId="785827C0">
            <w:pPr>
              <w:pStyle w:val="13"/>
            </w:pPr>
            <w:r>
              <w:t>学生、教师及家长对学校工作满意度情况</w:t>
            </w:r>
          </w:p>
        </w:tc>
        <w:tc>
          <w:tcPr>
            <w:tcW w:w="1598" w:type="dxa"/>
            <w:vAlign w:val="center"/>
          </w:tcPr>
          <w:p w14:paraId="534A2B1C">
            <w:pPr>
              <w:pStyle w:val="13"/>
            </w:pPr>
            <w:r>
              <w:t>≥95%</w:t>
            </w:r>
          </w:p>
        </w:tc>
        <w:tc>
          <w:tcPr>
            <w:tcW w:w="1946" w:type="dxa"/>
            <w:vAlign w:val="center"/>
          </w:tcPr>
          <w:p w14:paraId="6610B928">
            <w:pPr>
              <w:pStyle w:val="13"/>
            </w:pPr>
            <w:r>
              <w:t>城乡义务教育公用经费管理办法</w:t>
            </w:r>
          </w:p>
        </w:tc>
      </w:tr>
    </w:tbl>
    <w:p w14:paraId="5851C377">
      <w:pPr>
        <w:sectPr>
          <w:pgSz w:w="16840" w:h="11900" w:orient="landscape"/>
          <w:pgMar w:top="1361" w:right="1020" w:bottom="1134" w:left="1020" w:header="720" w:footer="720" w:gutter="0"/>
          <w:cols w:space="720" w:num="1"/>
        </w:sectPr>
      </w:pPr>
    </w:p>
    <w:p w14:paraId="378740E3">
      <w:pPr>
        <w:spacing w:before="0" w:after="0"/>
        <w:ind w:firstLine="560"/>
        <w:jc w:val="left"/>
        <w:outlineLvl w:val="9"/>
      </w:pPr>
      <w:r>
        <w:rPr>
          <w:rFonts w:ascii="方正仿宋_GBK" w:hAnsi="方正仿宋_GBK" w:eastAsia="方正仿宋_GBK" w:cs="方正仿宋_GBK"/>
          <w:b/>
          <w:color w:val="000000"/>
          <w:sz w:val="28"/>
        </w:rPr>
        <w:t>16、冀财教[2024]123号/中央/2025年义教补助经费/杨村小学公用经费绩效目标表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1F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88343">
            <w:pPr>
              <w:pStyle w:val="14"/>
            </w:pPr>
            <w:r>
              <w:t>单位：万元</w:t>
            </w:r>
          </w:p>
        </w:tc>
      </w:tr>
      <w:tr w14:paraId="3B183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0041FE">
            <w:pPr>
              <w:pStyle w:val="11"/>
            </w:pPr>
            <w:r>
              <w:t>项目编码</w:t>
            </w:r>
          </w:p>
        </w:tc>
        <w:tc>
          <w:tcPr>
            <w:tcW w:w="5103" w:type="dxa"/>
            <w:gridSpan w:val="2"/>
            <w:vAlign w:val="center"/>
          </w:tcPr>
          <w:p w14:paraId="504B4106">
            <w:pPr>
              <w:pStyle w:val="13"/>
            </w:pPr>
            <w:r>
              <w:t>13052525P00000410096G</w:t>
            </w:r>
          </w:p>
        </w:tc>
        <w:tc>
          <w:tcPr>
            <w:tcW w:w="2835" w:type="dxa"/>
            <w:vAlign w:val="center"/>
          </w:tcPr>
          <w:p w14:paraId="5135B494">
            <w:pPr>
              <w:pStyle w:val="11"/>
            </w:pPr>
            <w:r>
              <w:t>项目名称</w:t>
            </w:r>
          </w:p>
        </w:tc>
        <w:tc>
          <w:tcPr>
            <w:tcW w:w="6095" w:type="dxa"/>
            <w:gridSpan w:val="3"/>
            <w:vAlign w:val="center"/>
          </w:tcPr>
          <w:p w14:paraId="37833AB7">
            <w:pPr>
              <w:pStyle w:val="13"/>
            </w:pPr>
            <w:r>
              <w:t>冀财教[2024]123号/中央/2025年义教补助经费/杨村小学公用经费</w:t>
            </w:r>
          </w:p>
        </w:tc>
      </w:tr>
      <w:tr w14:paraId="327B6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4C8A1">
            <w:pPr>
              <w:pStyle w:val="11"/>
            </w:pPr>
            <w:r>
              <w:t>预算规模及资金用途</w:t>
            </w:r>
          </w:p>
        </w:tc>
        <w:tc>
          <w:tcPr>
            <w:tcW w:w="2268" w:type="dxa"/>
            <w:vAlign w:val="center"/>
          </w:tcPr>
          <w:p w14:paraId="2CD6C202">
            <w:pPr>
              <w:pStyle w:val="11"/>
            </w:pPr>
            <w:r>
              <w:t>预算数</w:t>
            </w:r>
          </w:p>
        </w:tc>
        <w:tc>
          <w:tcPr>
            <w:tcW w:w="2835" w:type="dxa"/>
            <w:vAlign w:val="center"/>
          </w:tcPr>
          <w:p w14:paraId="347D473D">
            <w:pPr>
              <w:pStyle w:val="13"/>
            </w:pPr>
            <w:r>
              <w:t>45.89</w:t>
            </w:r>
          </w:p>
        </w:tc>
        <w:tc>
          <w:tcPr>
            <w:tcW w:w="2835" w:type="dxa"/>
            <w:vAlign w:val="center"/>
          </w:tcPr>
          <w:p w14:paraId="466CE027">
            <w:pPr>
              <w:pStyle w:val="11"/>
            </w:pPr>
            <w:r>
              <w:t>其中：财政    资金</w:t>
            </w:r>
          </w:p>
        </w:tc>
        <w:tc>
          <w:tcPr>
            <w:tcW w:w="2551" w:type="dxa"/>
            <w:vAlign w:val="center"/>
          </w:tcPr>
          <w:p w14:paraId="1FDBABD7">
            <w:pPr>
              <w:pStyle w:val="13"/>
            </w:pPr>
            <w:r>
              <w:t>45.89</w:t>
            </w:r>
          </w:p>
        </w:tc>
        <w:tc>
          <w:tcPr>
            <w:tcW w:w="2268" w:type="dxa"/>
            <w:vAlign w:val="center"/>
          </w:tcPr>
          <w:p w14:paraId="275ED3EE">
            <w:pPr>
              <w:pStyle w:val="11"/>
            </w:pPr>
            <w:r>
              <w:t>其他资金</w:t>
            </w:r>
          </w:p>
        </w:tc>
        <w:tc>
          <w:tcPr>
            <w:tcW w:w="1276" w:type="dxa"/>
            <w:vAlign w:val="center"/>
          </w:tcPr>
          <w:p w14:paraId="54CE5497">
            <w:pPr>
              <w:pStyle w:val="13"/>
            </w:pPr>
            <w:r>
              <w:t xml:space="preserve"> </w:t>
            </w:r>
          </w:p>
        </w:tc>
      </w:tr>
      <w:tr w14:paraId="27F3B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796AFA"/>
        </w:tc>
        <w:tc>
          <w:tcPr>
            <w:tcW w:w="14033" w:type="dxa"/>
            <w:gridSpan w:val="6"/>
            <w:vAlign w:val="center"/>
          </w:tcPr>
          <w:p w14:paraId="69BE0B8E">
            <w:pPr>
              <w:pStyle w:val="13"/>
            </w:pPr>
            <w:r>
              <w:t>有效完成学校教学安全秩序，保障学校教学任务有效开展，满足学校正常教学需要。</w:t>
            </w:r>
          </w:p>
        </w:tc>
      </w:tr>
      <w:tr w14:paraId="4D70B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BCA15">
            <w:pPr>
              <w:pStyle w:val="11"/>
            </w:pPr>
            <w:r>
              <w:t>资金支出计划（%）</w:t>
            </w:r>
          </w:p>
        </w:tc>
        <w:tc>
          <w:tcPr>
            <w:tcW w:w="5103" w:type="dxa"/>
            <w:gridSpan w:val="2"/>
            <w:vAlign w:val="center"/>
          </w:tcPr>
          <w:p w14:paraId="59D85330">
            <w:pPr>
              <w:pStyle w:val="11"/>
            </w:pPr>
            <w:r>
              <w:t>3月底</w:t>
            </w:r>
          </w:p>
        </w:tc>
        <w:tc>
          <w:tcPr>
            <w:tcW w:w="2835" w:type="dxa"/>
            <w:vAlign w:val="center"/>
          </w:tcPr>
          <w:p w14:paraId="04AB4603">
            <w:pPr>
              <w:pStyle w:val="11"/>
            </w:pPr>
            <w:r>
              <w:t>6月底</w:t>
            </w:r>
          </w:p>
        </w:tc>
        <w:tc>
          <w:tcPr>
            <w:tcW w:w="2551" w:type="dxa"/>
            <w:vAlign w:val="center"/>
          </w:tcPr>
          <w:p w14:paraId="71DCE1A3">
            <w:pPr>
              <w:pStyle w:val="11"/>
            </w:pPr>
            <w:r>
              <w:t>10月底</w:t>
            </w:r>
          </w:p>
        </w:tc>
        <w:tc>
          <w:tcPr>
            <w:tcW w:w="3544" w:type="dxa"/>
            <w:gridSpan w:val="2"/>
            <w:vAlign w:val="center"/>
          </w:tcPr>
          <w:p w14:paraId="64B15936">
            <w:pPr>
              <w:pStyle w:val="11"/>
            </w:pPr>
            <w:r>
              <w:t>12月底</w:t>
            </w:r>
          </w:p>
        </w:tc>
      </w:tr>
      <w:tr w14:paraId="5388A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2AD32"/>
        </w:tc>
        <w:tc>
          <w:tcPr>
            <w:tcW w:w="5103" w:type="dxa"/>
            <w:gridSpan w:val="2"/>
            <w:vAlign w:val="center"/>
          </w:tcPr>
          <w:p w14:paraId="3BEACD96">
            <w:pPr>
              <w:pStyle w:val="12"/>
            </w:pPr>
            <w:r>
              <w:t>25%</w:t>
            </w:r>
          </w:p>
        </w:tc>
        <w:tc>
          <w:tcPr>
            <w:tcW w:w="2835" w:type="dxa"/>
            <w:vAlign w:val="center"/>
          </w:tcPr>
          <w:p w14:paraId="7DC80D91">
            <w:pPr>
              <w:pStyle w:val="12"/>
            </w:pPr>
            <w:r>
              <w:t>50%</w:t>
            </w:r>
          </w:p>
        </w:tc>
        <w:tc>
          <w:tcPr>
            <w:tcW w:w="2551" w:type="dxa"/>
            <w:vAlign w:val="center"/>
          </w:tcPr>
          <w:p w14:paraId="7D82876B">
            <w:pPr>
              <w:pStyle w:val="12"/>
            </w:pPr>
            <w:r>
              <w:t>75%</w:t>
            </w:r>
          </w:p>
        </w:tc>
        <w:tc>
          <w:tcPr>
            <w:tcW w:w="3544" w:type="dxa"/>
            <w:gridSpan w:val="2"/>
            <w:vAlign w:val="center"/>
          </w:tcPr>
          <w:p w14:paraId="3B8BA45C">
            <w:pPr>
              <w:pStyle w:val="12"/>
            </w:pPr>
            <w:r>
              <w:t>100%</w:t>
            </w:r>
          </w:p>
        </w:tc>
      </w:tr>
      <w:tr w14:paraId="64754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E28E6">
            <w:pPr>
              <w:pStyle w:val="11"/>
            </w:pPr>
            <w:r>
              <w:t>绩效目标</w:t>
            </w:r>
          </w:p>
        </w:tc>
        <w:tc>
          <w:tcPr>
            <w:tcW w:w="14033" w:type="dxa"/>
            <w:gridSpan w:val="6"/>
            <w:vAlign w:val="center"/>
          </w:tcPr>
          <w:p w14:paraId="0E1B1C0B">
            <w:pPr>
              <w:pStyle w:val="13"/>
            </w:pPr>
            <w:r>
              <w:t>1.按规定拨付公用经费资金，预算执行率≥98%。</w:t>
            </w:r>
          </w:p>
          <w:p w14:paraId="4E655F1E">
            <w:pPr>
              <w:pStyle w:val="13"/>
            </w:pPr>
            <w:r>
              <w:t>2.有效完成学校教学安全秩序，保障学校教学任务有效开展，满足学校正常教学需要。</w:t>
            </w:r>
          </w:p>
        </w:tc>
      </w:tr>
    </w:tbl>
    <w:p w14:paraId="06BC1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40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D9BCC">
            <w:pPr>
              <w:pStyle w:val="11"/>
            </w:pPr>
            <w:r>
              <w:t>一级指标</w:t>
            </w:r>
          </w:p>
        </w:tc>
        <w:tc>
          <w:tcPr>
            <w:tcW w:w="2268" w:type="dxa"/>
            <w:vAlign w:val="center"/>
          </w:tcPr>
          <w:p w14:paraId="65878F9C">
            <w:pPr>
              <w:pStyle w:val="11"/>
            </w:pPr>
            <w:r>
              <w:t>二级指标</w:t>
            </w:r>
          </w:p>
        </w:tc>
        <w:tc>
          <w:tcPr>
            <w:tcW w:w="2835" w:type="dxa"/>
            <w:vAlign w:val="center"/>
          </w:tcPr>
          <w:p w14:paraId="756DA6E8">
            <w:pPr>
              <w:pStyle w:val="11"/>
            </w:pPr>
            <w:r>
              <w:t>三级指标</w:t>
            </w:r>
          </w:p>
        </w:tc>
        <w:tc>
          <w:tcPr>
            <w:tcW w:w="5386" w:type="dxa"/>
            <w:vAlign w:val="center"/>
          </w:tcPr>
          <w:p w14:paraId="609D6A5A">
            <w:pPr>
              <w:pStyle w:val="11"/>
            </w:pPr>
            <w:r>
              <w:t>绩效指标描述</w:t>
            </w:r>
          </w:p>
        </w:tc>
        <w:tc>
          <w:tcPr>
            <w:tcW w:w="2268" w:type="dxa"/>
            <w:vAlign w:val="center"/>
          </w:tcPr>
          <w:p w14:paraId="6973FB14">
            <w:pPr>
              <w:pStyle w:val="11"/>
            </w:pPr>
            <w:r>
              <w:t>指标值</w:t>
            </w:r>
          </w:p>
        </w:tc>
        <w:tc>
          <w:tcPr>
            <w:tcW w:w="1276" w:type="dxa"/>
            <w:vAlign w:val="center"/>
          </w:tcPr>
          <w:p w14:paraId="0BBFE332">
            <w:pPr>
              <w:pStyle w:val="11"/>
            </w:pPr>
            <w:r>
              <w:t>指标值确定依据</w:t>
            </w:r>
          </w:p>
        </w:tc>
      </w:tr>
      <w:tr w14:paraId="04152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8DFAE">
            <w:pPr>
              <w:pStyle w:val="12"/>
            </w:pPr>
            <w:r>
              <w:t>产出指标</w:t>
            </w:r>
          </w:p>
        </w:tc>
        <w:tc>
          <w:tcPr>
            <w:tcW w:w="2268" w:type="dxa"/>
            <w:vAlign w:val="center"/>
          </w:tcPr>
          <w:p w14:paraId="36DB0B61">
            <w:pPr>
              <w:pStyle w:val="13"/>
            </w:pPr>
            <w:r>
              <w:t>数量指标</w:t>
            </w:r>
          </w:p>
        </w:tc>
        <w:tc>
          <w:tcPr>
            <w:tcW w:w="2835" w:type="dxa"/>
            <w:vAlign w:val="center"/>
          </w:tcPr>
          <w:p w14:paraId="59D4AAE3">
            <w:pPr>
              <w:pStyle w:val="13"/>
            </w:pPr>
            <w:r>
              <w:t>就读学生数</w:t>
            </w:r>
          </w:p>
        </w:tc>
        <w:tc>
          <w:tcPr>
            <w:tcW w:w="5386" w:type="dxa"/>
            <w:vAlign w:val="center"/>
          </w:tcPr>
          <w:p w14:paraId="06131A18">
            <w:pPr>
              <w:pStyle w:val="13"/>
            </w:pPr>
            <w:r>
              <w:t>辐射区域内适龄学生人数</w:t>
            </w:r>
          </w:p>
        </w:tc>
        <w:tc>
          <w:tcPr>
            <w:tcW w:w="2268" w:type="dxa"/>
            <w:vAlign w:val="center"/>
          </w:tcPr>
          <w:p w14:paraId="63110ACB">
            <w:pPr>
              <w:pStyle w:val="13"/>
            </w:pPr>
            <w:r>
              <w:t>637人</w:t>
            </w:r>
          </w:p>
        </w:tc>
        <w:tc>
          <w:tcPr>
            <w:tcW w:w="1276" w:type="dxa"/>
            <w:vAlign w:val="center"/>
          </w:tcPr>
          <w:p w14:paraId="481B00BA">
            <w:pPr>
              <w:pStyle w:val="13"/>
            </w:pPr>
            <w:r>
              <w:t>城乡义务教育公用经费管理办法</w:t>
            </w:r>
          </w:p>
        </w:tc>
      </w:tr>
      <w:tr w14:paraId="17B52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A7E45"/>
        </w:tc>
        <w:tc>
          <w:tcPr>
            <w:tcW w:w="2268" w:type="dxa"/>
            <w:vAlign w:val="center"/>
          </w:tcPr>
          <w:p w14:paraId="09EF01B9">
            <w:pPr>
              <w:pStyle w:val="13"/>
            </w:pPr>
            <w:r>
              <w:t>质量指标</w:t>
            </w:r>
          </w:p>
        </w:tc>
        <w:tc>
          <w:tcPr>
            <w:tcW w:w="2835" w:type="dxa"/>
            <w:vAlign w:val="center"/>
          </w:tcPr>
          <w:p w14:paraId="1B2CD17D">
            <w:pPr>
              <w:pStyle w:val="13"/>
            </w:pPr>
            <w:r>
              <w:t>预算执行率</w:t>
            </w:r>
          </w:p>
        </w:tc>
        <w:tc>
          <w:tcPr>
            <w:tcW w:w="5386" w:type="dxa"/>
            <w:vAlign w:val="center"/>
          </w:tcPr>
          <w:p w14:paraId="7F9AC318">
            <w:pPr>
              <w:pStyle w:val="13"/>
            </w:pPr>
            <w:r>
              <w:t>预算执行率</w:t>
            </w:r>
          </w:p>
        </w:tc>
        <w:tc>
          <w:tcPr>
            <w:tcW w:w="2268" w:type="dxa"/>
            <w:vAlign w:val="center"/>
          </w:tcPr>
          <w:p w14:paraId="5E68652C">
            <w:pPr>
              <w:pStyle w:val="13"/>
            </w:pPr>
            <w:r>
              <w:t>≥98%</w:t>
            </w:r>
          </w:p>
        </w:tc>
        <w:tc>
          <w:tcPr>
            <w:tcW w:w="1276" w:type="dxa"/>
            <w:vAlign w:val="center"/>
          </w:tcPr>
          <w:p w14:paraId="11849FC6">
            <w:pPr>
              <w:pStyle w:val="13"/>
            </w:pPr>
            <w:r>
              <w:t>城乡义务教育公用经费管理办法</w:t>
            </w:r>
          </w:p>
        </w:tc>
      </w:tr>
      <w:tr w14:paraId="56392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7B256"/>
        </w:tc>
        <w:tc>
          <w:tcPr>
            <w:tcW w:w="2268" w:type="dxa"/>
            <w:vAlign w:val="center"/>
          </w:tcPr>
          <w:p w14:paraId="28D6F58C">
            <w:pPr>
              <w:pStyle w:val="13"/>
            </w:pPr>
            <w:r>
              <w:t>时效指标</w:t>
            </w:r>
          </w:p>
        </w:tc>
        <w:tc>
          <w:tcPr>
            <w:tcW w:w="2835" w:type="dxa"/>
            <w:vAlign w:val="center"/>
          </w:tcPr>
          <w:p w14:paraId="1821AD3A">
            <w:pPr>
              <w:pStyle w:val="13"/>
            </w:pPr>
            <w:r>
              <w:t>义教经费支付完成率</w:t>
            </w:r>
          </w:p>
        </w:tc>
        <w:tc>
          <w:tcPr>
            <w:tcW w:w="5386" w:type="dxa"/>
            <w:vAlign w:val="center"/>
          </w:tcPr>
          <w:p w14:paraId="57957F5E">
            <w:pPr>
              <w:pStyle w:val="13"/>
            </w:pPr>
            <w:r>
              <w:t>按照序时进度完成资金支付</w:t>
            </w:r>
          </w:p>
        </w:tc>
        <w:tc>
          <w:tcPr>
            <w:tcW w:w="2268" w:type="dxa"/>
            <w:vAlign w:val="center"/>
          </w:tcPr>
          <w:p w14:paraId="3B240645">
            <w:pPr>
              <w:pStyle w:val="13"/>
            </w:pPr>
            <w:r>
              <w:t>≥100%</w:t>
            </w:r>
          </w:p>
        </w:tc>
        <w:tc>
          <w:tcPr>
            <w:tcW w:w="1276" w:type="dxa"/>
            <w:vAlign w:val="center"/>
          </w:tcPr>
          <w:p w14:paraId="5AF3C8F7">
            <w:pPr>
              <w:pStyle w:val="13"/>
            </w:pPr>
            <w:r>
              <w:t>城乡义务教育公用经费管理办法</w:t>
            </w:r>
          </w:p>
        </w:tc>
      </w:tr>
      <w:tr w14:paraId="6D25C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F5F46"/>
        </w:tc>
        <w:tc>
          <w:tcPr>
            <w:tcW w:w="2268" w:type="dxa"/>
            <w:vAlign w:val="center"/>
          </w:tcPr>
          <w:p w14:paraId="5F1E5193">
            <w:pPr>
              <w:pStyle w:val="13"/>
            </w:pPr>
            <w:r>
              <w:t>成本指标</w:t>
            </w:r>
          </w:p>
        </w:tc>
        <w:tc>
          <w:tcPr>
            <w:tcW w:w="2835" w:type="dxa"/>
            <w:vAlign w:val="center"/>
          </w:tcPr>
          <w:p w14:paraId="4DBC33D2">
            <w:pPr>
              <w:pStyle w:val="13"/>
            </w:pPr>
            <w:r>
              <w:t>生均拨款标准</w:t>
            </w:r>
          </w:p>
        </w:tc>
        <w:tc>
          <w:tcPr>
            <w:tcW w:w="5386" w:type="dxa"/>
            <w:vAlign w:val="center"/>
          </w:tcPr>
          <w:p w14:paraId="751A3760">
            <w:pPr>
              <w:pStyle w:val="13"/>
            </w:pPr>
            <w:r>
              <w:t>小学：（基本标准720元、寄宿生300元、生活补助120元）/生/学年；特教、随班就读学生：标准6000元/生/学年</w:t>
            </w:r>
          </w:p>
        </w:tc>
        <w:tc>
          <w:tcPr>
            <w:tcW w:w="2268" w:type="dxa"/>
            <w:vAlign w:val="center"/>
          </w:tcPr>
          <w:p w14:paraId="24D7714B">
            <w:pPr>
              <w:pStyle w:val="13"/>
            </w:pPr>
            <w:r>
              <w:t>840元</w:t>
            </w:r>
          </w:p>
        </w:tc>
        <w:tc>
          <w:tcPr>
            <w:tcW w:w="1276" w:type="dxa"/>
            <w:vAlign w:val="center"/>
          </w:tcPr>
          <w:p w14:paraId="17C86031">
            <w:pPr>
              <w:pStyle w:val="13"/>
            </w:pPr>
            <w:r>
              <w:t>城乡义务教育公用经费管理办法</w:t>
            </w:r>
          </w:p>
        </w:tc>
      </w:tr>
      <w:tr w14:paraId="1B93C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38CA6C">
            <w:pPr>
              <w:pStyle w:val="12"/>
            </w:pPr>
            <w:r>
              <w:t>效益指标</w:t>
            </w:r>
          </w:p>
        </w:tc>
        <w:tc>
          <w:tcPr>
            <w:tcW w:w="2268" w:type="dxa"/>
            <w:vAlign w:val="center"/>
          </w:tcPr>
          <w:p w14:paraId="50FCC161">
            <w:pPr>
              <w:pStyle w:val="13"/>
            </w:pPr>
            <w:r>
              <w:t>可持续影响指标</w:t>
            </w:r>
          </w:p>
        </w:tc>
        <w:tc>
          <w:tcPr>
            <w:tcW w:w="2835" w:type="dxa"/>
            <w:vAlign w:val="center"/>
          </w:tcPr>
          <w:p w14:paraId="4530BA37">
            <w:pPr>
              <w:pStyle w:val="13"/>
            </w:pPr>
            <w:r>
              <w:t>学校稳定率</w:t>
            </w:r>
          </w:p>
        </w:tc>
        <w:tc>
          <w:tcPr>
            <w:tcW w:w="5386" w:type="dxa"/>
            <w:vAlign w:val="center"/>
          </w:tcPr>
          <w:p w14:paraId="5C7DBBFE">
            <w:pPr>
              <w:pStyle w:val="13"/>
            </w:pPr>
            <w:r>
              <w:t>维护学校稳定，保障学校正常教学秩序有效开展</w:t>
            </w:r>
          </w:p>
        </w:tc>
        <w:tc>
          <w:tcPr>
            <w:tcW w:w="2268" w:type="dxa"/>
            <w:vAlign w:val="center"/>
          </w:tcPr>
          <w:p w14:paraId="7677829F">
            <w:pPr>
              <w:pStyle w:val="13"/>
            </w:pPr>
            <w:r>
              <w:t>100%</w:t>
            </w:r>
          </w:p>
        </w:tc>
        <w:tc>
          <w:tcPr>
            <w:tcW w:w="1276" w:type="dxa"/>
            <w:vAlign w:val="center"/>
          </w:tcPr>
          <w:p w14:paraId="3B1F4787">
            <w:pPr>
              <w:pStyle w:val="13"/>
            </w:pPr>
            <w:r>
              <w:t>城乡义务教育公用经费管理办法</w:t>
            </w:r>
          </w:p>
        </w:tc>
      </w:tr>
      <w:tr w14:paraId="6573F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3D4D95">
            <w:pPr>
              <w:pStyle w:val="12"/>
            </w:pPr>
            <w:r>
              <w:t>满意度指标</w:t>
            </w:r>
          </w:p>
        </w:tc>
        <w:tc>
          <w:tcPr>
            <w:tcW w:w="2268" w:type="dxa"/>
            <w:vAlign w:val="center"/>
          </w:tcPr>
          <w:p w14:paraId="2193FF00">
            <w:pPr>
              <w:pStyle w:val="13"/>
            </w:pPr>
            <w:r>
              <w:t>服务对象满意度指标</w:t>
            </w:r>
          </w:p>
        </w:tc>
        <w:tc>
          <w:tcPr>
            <w:tcW w:w="2835" w:type="dxa"/>
            <w:vAlign w:val="center"/>
          </w:tcPr>
          <w:p w14:paraId="76DB9A1F">
            <w:pPr>
              <w:pStyle w:val="13"/>
            </w:pPr>
            <w:r>
              <w:t>家长和学生满意度</w:t>
            </w:r>
          </w:p>
        </w:tc>
        <w:tc>
          <w:tcPr>
            <w:tcW w:w="5386" w:type="dxa"/>
            <w:vAlign w:val="center"/>
          </w:tcPr>
          <w:p w14:paraId="0321AD11">
            <w:pPr>
              <w:pStyle w:val="13"/>
            </w:pPr>
            <w:r>
              <w:t>家长和学生满意度</w:t>
            </w:r>
          </w:p>
        </w:tc>
        <w:tc>
          <w:tcPr>
            <w:tcW w:w="2268" w:type="dxa"/>
            <w:vAlign w:val="center"/>
          </w:tcPr>
          <w:p w14:paraId="21C2D5AC">
            <w:pPr>
              <w:pStyle w:val="13"/>
            </w:pPr>
            <w:r>
              <w:t>≥95%</w:t>
            </w:r>
          </w:p>
        </w:tc>
        <w:tc>
          <w:tcPr>
            <w:tcW w:w="1276" w:type="dxa"/>
            <w:vAlign w:val="center"/>
          </w:tcPr>
          <w:p w14:paraId="7D1F4675">
            <w:pPr>
              <w:pStyle w:val="13"/>
            </w:pPr>
            <w:r>
              <w:t>问卷调查</w:t>
            </w:r>
          </w:p>
        </w:tc>
      </w:tr>
    </w:tbl>
    <w:p w14:paraId="23D5BCCD">
      <w:pPr>
        <w:sectPr>
          <w:pgSz w:w="16840" w:h="11900" w:orient="landscape"/>
          <w:pgMar w:top="1361" w:right="1020" w:bottom="1134" w:left="1020" w:header="720" w:footer="720" w:gutter="0"/>
          <w:cols w:space="720" w:num="1"/>
        </w:sectPr>
      </w:pPr>
    </w:p>
    <w:p w14:paraId="02DF494E">
      <w:pPr>
        <w:spacing w:before="0" w:after="0"/>
        <w:ind w:firstLine="560"/>
        <w:jc w:val="left"/>
        <w:outlineLvl w:val="9"/>
      </w:pPr>
      <w:r>
        <w:rPr>
          <w:rFonts w:ascii="方正仿宋_GBK" w:hAnsi="方正仿宋_GBK" w:eastAsia="方正仿宋_GBK" w:cs="方正仿宋_GBK"/>
          <w:b/>
          <w:color w:val="000000"/>
          <w:sz w:val="28"/>
        </w:rPr>
        <w:t>17、冀财教[2024]123号/中央/2025年义教补助经费/综合奖补/大霍小学空调购置绩效目标表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E8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C428D">
            <w:pPr>
              <w:pStyle w:val="14"/>
            </w:pPr>
            <w:r>
              <w:t>单位：万元</w:t>
            </w:r>
          </w:p>
        </w:tc>
      </w:tr>
      <w:tr w14:paraId="643FF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15D30">
            <w:pPr>
              <w:pStyle w:val="11"/>
            </w:pPr>
            <w:r>
              <w:t>项目编码</w:t>
            </w:r>
          </w:p>
        </w:tc>
        <w:tc>
          <w:tcPr>
            <w:tcW w:w="5103" w:type="dxa"/>
            <w:gridSpan w:val="2"/>
            <w:vAlign w:val="center"/>
          </w:tcPr>
          <w:p w14:paraId="555EBA26">
            <w:pPr>
              <w:pStyle w:val="13"/>
            </w:pPr>
            <w:r>
              <w:t>13052525P00875610244T</w:t>
            </w:r>
          </w:p>
        </w:tc>
        <w:tc>
          <w:tcPr>
            <w:tcW w:w="2835" w:type="dxa"/>
            <w:vAlign w:val="center"/>
          </w:tcPr>
          <w:p w14:paraId="3BC7CC0F">
            <w:pPr>
              <w:pStyle w:val="11"/>
            </w:pPr>
            <w:r>
              <w:t>项目名称</w:t>
            </w:r>
          </w:p>
        </w:tc>
        <w:tc>
          <w:tcPr>
            <w:tcW w:w="6095" w:type="dxa"/>
            <w:gridSpan w:val="3"/>
            <w:vAlign w:val="center"/>
          </w:tcPr>
          <w:p w14:paraId="5CDD8C13">
            <w:pPr>
              <w:pStyle w:val="13"/>
            </w:pPr>
            <w:r>
              <w:t>冀财教[2024]123号/中央/2025年义教补助经费/综合奖补/大霍小学空调购置</w:t>
            </w:r>
          </w:p>
        </w:tc>
      </w:tr>
      <w:tr w14:paraId="28F7F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19A8A">
            <w:pPr>
              <w:pStyle w:val="11"/>
            </w:pPr>
            <w:r>
              <w:t>预算规模及资金用途</w:t>
            </w:r>
          </w:p>
        </w:tc>
        <w:tc>
          <w:tcPr>
            <w:tcW w:w="2268" w:type="dxa"/>
            <w:vAlign w:val="center"/>
          </w:tcPr>
          <w:p w14:paraId="52C91975">
            <w:pPr>
              <w:pStyle w:val="11"/>
            </w:pPr>
            <w:r>
              <w:t>预算数</w:t>
            </w:r>
          </w:p>
        </w:tc>
        <w:tc>
          <w:tcPr>
            <w:tcW w:w="2835" w:type="dxa"/>
            <w:vAlign w:val="center"/>
          </w:tcPr>
          <w:p w14:paraId="0ED24DEC">
            <w:pPr>
              <w:pStyle w:val="13"/>
            </w:pPr>
            <w:r>
              <w:t>9.78</w:t>
            </w:r>
          </w:p>
        </w:tc>
        <w:tc>
          <w:tcPr>
            <w:tcW w:w="2835" w:type="dxa"/>
            <w:vAlign w:val="center"/>
          </w:tcPr>
          <w:p w14:paraId="2A821947">
            <w:pPr>
              <w:pStyle w:val="11"/>
            </w:pPr>
            <w:r>
              <w:t>其中：财政    资金</w:t>
            </w:r>
          </w:p>
        </w:tc>
        <w:tc>
          <w:tcPr>
            <w:tcW w:w="2551" w:type="dxa"/>
            <w:vAlign w:val="center"/>
          </w:tcPr>
          <w:p w14:paraId="2C89EA0F">
            <w:pPr>
              <w:pStyle w:val="13"/>
            </w:pPr>
            <w:r>
              <w:t>9.78</w:t>
            </w:r>
          </w:p>
        </w:tc>
        <w:tc>
          <w:tcPr>
            <w:tcW w:w="2268" w:type="dxa"/>
            <w:vAlign w:val="center"/>
          </w:tcPr>
          <w:p w14:paraId="12B23A03">
            <w:pPr>
              <w:pStyle w:val="11"/>
            </w:pPr>
            <w:r>
              <w:t>其他资金</w:t>
            </w:r>
          </w:p>
        </w:tc>
        <w:tc>
          <w:tcPr>
            <w:tcW w:w="1276" w:type="dxa"/>
            <w:vAlign w:val="center"/>
          </w:tcPr>
          <w:p w14:paraId="5DAB0008">
            <w:pPr>
              <w:pStyle w:val="13"/>
            </w:pPr>
            <w:r>
              <w:t xml:space="preserve"> </w:t>
            </w:r>
          </w:p>
        </w:tc>
      </w:tr>
      <w:tr w14:paraId="3DA05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E12966"/>
        </w:tc>
        <w:tc>
          <w:tcPr>
            <w:tcW w:w="14033" w:type="dxa"/>
            <w:gridSpan w:val="6"/>
            <w:vAlign w:val="center"/>
          </w:tcPr>
          <w:p w14:paraId="0F2CB0CF">
            <w:pPr>
              <w:pStyle w:val="13"/>
            </w:pPr>
            <w:r>
              <w:t>完成大霍小学空调购置</w:t>
            </w:r>
          </w:p>
          <w:p w14:paraId="176EBD8F">
            <w:pPr>
              <w:pStyle w:val="13"/>
            </w:pPr>
            <w:r>
              <w:t>，满足学校正常教学需要。</w:t>
            </w:r>
          </w:p>
        </w:tc>
      </w:tr>
      <w:tr w14:paraId="5B7A7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90225">
            <w:pPr>
              <w:pStyle w:val="11"/>
            </w:pPr>
            <w:r>
              <w:t>资金支出计划（%）</w:t>
            </w:r>
          </w:p>
        </w:tc>
        <w:tc>
          <w:tcPr>
            <w:tcW w:w="5103" w:type="dxa"/>
            <w:gridSpan w:val="2"/>
            <w:vAlign w:val="center"/>
          </w:tcPr>
          <w:p w14:paraId="2C256769">
            <w:pPr>
              <w:pStyle w:val="11"/>
            </w:pPr>
            <w:r>
              <w:t>3月底</w:t>
            </w:r>
          </w:p>
        </w:tc>
        <w:tc>
          <w:tcPr>
            <w:tcW w:w="2835" w:type="dxa"/>
            <w:vAlign w:val="center"/>
          </w:tcPr>
          <w:p w14:paraId="724A4DF7">
            <w:pPr>
              <w:pStyle w:val="11"/>
            </w:pPr>
            <w:r>
              <w:t>6月底</w:t>
            </w:r>
          </w:p>
        </w:tc>
        <w:tc>
          <w:tcPr>
            <w:tcW w:w="2551" w:type="dxa"/>
            <w:vAlign w:val="center"/>
          </w:tcPr>
          <w:p w14:paraId="75FAFF7C">
            <w:pPr>
              <w:pStyle w:val="11"/>
            </w:pPr>
            <w:r>
              <w:t>10月底</w:t>
            </w:r>
          </w:p>
        </w:tc>
        <w:tc>
          <w:tcPr>
            <w:tcW w:w="3544" w:type="dxa"/>
            <w:gridSpan w:val="2"/>
            <w:vAlign w:val="center"/>
          </w:tcPr>
          <w:p w14:paraId="512F6168">
            <w:pPr>
              <w:pStyle w:val="11"/>
            </w:pPr>
            <w:r>
              <w:t>12月底</w:t>
            </w:r>
          </w:p>
        </w:tc>
      </w:tr>
      <w:tr w14:paraId="2C711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BF90A"/>
        </w:tc>
        <w:tc>
          <w:tcPr>
            <w:tcW w:w="5103" w:type="dxa"/>
            <w:gridSpan w:val="2"/>
            <w:vAlign w:val="center"/>
          </w:tcPr>
          <w:p w14:paraId="551E4E28">
            <w:pPr>
              <w:pStyle w:val="12"/>
            </w:pPr>
            <w:r>
              <w:t>25%</w:t>
            </w:r>
          </w:p>
        </w:tc>
        <w:tc>
          <w:tcPr>
            <w:tcW w:w="2835" w:type="dxa"/>
            <w:vAlign w:val="center"/>
          </w:tcPr>
          <w:p w14:paraId="14E29BAA">
            <w:pPr>
              <w:pStyle w:val="12"/>
            </w:pPr>
            <w:r>
              <w:t>50%</w:t>
            </w:r>
          </w:p>
        </w:tc>
        <w:tc>
          <w:tcPr>
            <w:tcW w:w="2551" w:type="dxa"/>
            <w:vAlign w:val="center"/>
          </w:tcPr>
          <w:p w14:paraId="7A2AE380">
            <w:pPr>
              <w:pStyle w:val="12"/>
            </w:pPr>
            <w:r>
              <w:t>75%</w:t>
            </w:r>
          </w:p>
        </w:tc>
        <w:tc>
          <w:tcPr>
            <w:tcW w:w="3544" w:type="dxa"/>
            <w:gridSpan w:val="2"/>
            <w:vAlign w:val="center"/>
          </w:tcPr>
          <w:p w14:paraId="21D16E1A">
            <w:pPr>
              <w:pStyle w:val="12"/>
            </w:pPr>
            <w:r>
              <w:t>100%</w:t>
            </w:r>
          </w:p>
        </w:tc>
      </w:tr>
      <w:tr w14:paraId="3D47D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49BC19">
            <w:pPr>
              <w:pStyle w:val="11"/>
            </w:pPr>
            <w:r>
              <w:t>绩效目标</w:t>
            </w:r>
          </w:p>
        </w:tc>
        <w:tc>
          <w:tcPr>
            <w:tcW w:w="14033" w:type="dxa"/>
            <w:gridSpan w:val="6"/>
            <w:vAlign w:val="center"/>
          </w:tcPr>
          <w:p w14:paraId="7AA34F0B">
            <w:pPr>
              <w:pStyle w:val="13"/>
            </w:pPr>
            <w:r>
              <w:t>1.完成大霍小学空调购置，满足学校正常教学需要。</w:t>
            </w:r>
          </w:p>
          <w:p w14:paraId="62179763">
            <w:pPr>
              <w:pStyle w:val="13"/>
            </w:pPr>
            <w:r>
              <w:t>2.按规定拨付专项资金，资金支付率达到100%。</w:t>
            </w:r>
          </w:p>
        </w:tc>
      </w:tr>
    </w:tbl>
    <w:p w14:paraId="7E42E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63"/>
        <w:gridCol w:w="2081"/>
      </w:tblGrid>
      <w:tr w14:paraId="78DDB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C1075">
            <w:pPr>
              <w:pStyle w:val="11"/>
            </w:pPr>
            <w:r>
              <w:t>一级指标</w:t>
            </w:r>
          </w:p>
        </w:tc>
        <w:tc>
          <w:tcPr>
            <w:tcW w:w="2268" w:type="dxa"/>
            <w:vAlign w:val="center"/>
          </w:tcPr>
          <w:p w14:paraId="4538A3EF">
            <w:pPr>
              <w:pStyle w:val="11"/>
            </w:pPr>
            <w:r>
              <w:t>二级指标</w:t>
            </w:r>
          </w:p>
        </w:tc>
        <w:tc>
          <w:tcPr>
            <w:tcW w:w="2835" w:type="dxa"/>
            <w:vAlign w:val="center"/>
          </w:tcPr>
          <w:p w14:paraId="5F5F93D2">
            <w:pPr>
              <w:pStyle w:val="11"/>
            </w:pPr>
            <w:r>
              <w:t>三级指标</w:t>
            </w:r>
          </w:p>
        </w:tc>
        <w:tc>
          <w:tcPr>
            <w:tcW w:w="5386" w:type="dxa"/>
            <w:vAlign w:val="center"/>
          </w:tcPr>
          <w:p w14:paraId="1CD5B096">
            <w:pPr>
              <w:pStyle w:val="11"/>
            </w:pPr>
            <w:r>
              <w:t>绩效指标描述</w:t>
            </w:r>
          </w:p>
        </w:tc>
        <w:tc>
          <w:tcPr>
            <w:tcW w:w="1463" w:type="dxa"/>
            <w:vAlign w:val="center"/>
          </w:tcPr>
          <w:p w14:paraId="1A6A75A9">
            <w:pPr>
              <w:pStyle w:val="11"/>
            </w:pPr>
            <w:r>
              <w:t>指标值</w:t>
            </w:r>
          </w:p>
        </w:tc>
        <w:tc>
          <w:tcPr>
            <w:tcW w:w="2081" w:type="dxa"/>
            <w:vAlign w:val="center"/>
          </w:tcPr>
          <w:p w14:paraId="1399C367">
            <w:pPr>
              <w:pStyle w:val="11"/>
            </w:pPr>
            <w:r>
              <w:t>指标值确定依据</w:t>
            </w:r>
          </w:p>
        </w:tc>
      </w:tr>
      <w:tr w14:paraId="5F190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14CBC">
            <w:pPr>
              <w:pStyle w:val="12"/>
            </w:pPr>
            <w:r>
              <w:t>产出指标</w:t>
            </w:r>
          </w:p>
        </w:tc>
        <w:tc>
          <w:tcPr>
            <w:tcW w:w="2268" w:type="dxa"/>
            <w:vAlign w:val="center"/>
          </w:tcPr>
          <w:p w14:paraId="5599AFBF">
            <w:pPr>
              <w:pStyle w:val="13"/>
            </w:pPr>
            <w:r>
              <w:t>数量指标</w:t>
            </w:r>
          </w:p>
        </w:tc>
        <w:tc>
          <w:tcPr>
            <w:tcW w:w="2835" w:type="dxa"/>
            <w:vAlign w:val="center"/>
          </w:tcPr>
          <w:p w14:paraId="461570CB">
            <w:pPr>
              <w:pStyle w:val="13"/>
            </w:pPr>
            <w:r>
              <w:t>空调</w:t>
            </w:r>
          </w:p>
        </w:tc>
        <w:tc>
          <w:tcPr>
            <w:tcW w:w="5386" w:type="dxa"/>
            <w:vAlign w:val="center"/>
          </w:tcPr>
          <w:p w14:paraId="7F216FD0">
            <w:pPr>
              <w:pStyle w:val="13"/>
            </w:pPr>
            <w:r>
              <w:t>空调</w:t>
            </w:r>
          </w:p>
        </w:tc>
        <w:tc>
          <w:tcPr>
            <w:tcW w:w="1463" w:type="dxa"/>
            <w:vAlign w:val="center"/>
          </w:tcPr>
          <w:p w14:paraId="4AA72006">
            <w:pPr>
              <w:pStyle w:val="13"/>
            </w:pPr>
            <w:r>
              <w:t>9.78万元</w:t>
            </w:r>
          </w:p>
        </w:tc>
        <w:tc>
          <w:tcPr>
            <w:tcW w:w="2081" w:type="dxa"/>
            <w:vAlign w:val="center"/>
          </w:tcPr>
          <w:p w14:paraId="4008B223">
            <w:pPr>
              <w:pStyle w:val="13"/>
            </w:pPr>
            <w:r>
              <w:t>城乡义务教育公用经费管理办法</w:t>
            </w:r>
          </w:p>
        </w:tc>
      </w:tr>
      <w:tr w14:paraId="10579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A5487"/>
        </w:tc>
        <w:tc>
          <w:tcPr>
            <w:tcW w:w="2268" w:type="dxa"/>
            <w:vAlign w:val="center"/>
          </w:tcPr>
          <w:p w14:paraId="582A78CD">
            <w:pPr>
              <w:pStyle w:val="13"/>
            </w:pPr>
            <w:r>
              <w:t>质量指标</w:t>
            </w:r>
          </w:p>
        </w:tc>
        <w:tc>
          <w:tcPr>
            <w:tcW w:w="2835" w:type="dxa"/>
            <w:vAlign w:val="center"/>
          </w:tcPr>
          <w:p w14:paraId="23521D3C">
            <w:pPr>
              <w:pStyle w:val="13"/>
            </w:pPr>
            <w:r>
              <w:t>资金支付率</w:t>
            </w:r>
          </w:p>
        </w:tc>
        <w:tc>
          <w:tcPr>
            <w:tcW w:w="5386" w:type="dxa"/>
            <w:vAlign w:val="center"/>
          </w:tcPr>
          <w:p w14:paraId="1B56960B">
            <w:pPr>
              <w:pStyle w:val="13"/>
            </w:pPr>
            <w:r>
              <w:t>按照序时进度完成资金支付</w:t>
            </w:r>
          </w:p>
        </w:tc>
        <w:tc>
          <w:tcPr>
            <w:tcW w:w="1463" w:type="dxa"/>
            <w:vAlign w:val="center"/>
          </w:tcPr>
          <w:p w14:paraId="0B02018D">
            <w:pPr>
              <w:pStyle w:val="13"/>
            </w:pPr>
            <w:r>
              <w:t>≥100%</w:t>
            </w:r>
          </w:p>
        </w:tc>
        <w:tc>
          <w:tcPr>
            <w:tcW w:w="2081" w:type="dxa"/>
            <w:vAlign w:val="center"/>
          </w:tcPr>
          <w:p w14:paraId="145B4E28">
            <w:pPr>
              <w:pStyle w:val="13"/>
            </w:pPr>
            <w:r>
              <w:t>城乡义务教育公用经费管理办法</w:t>
            </w:r>
          </w:p>
        </w:tc>
      </w:tr>
      <w:tr w14:paraId="378E7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CAF2F"/>
        </w:tc>
        <w:tc>
          <w:tcPr>
            <w:tcW w:w="2268" w:type="dxa"/>
            <w:vAlign w:val="center"/>
          </w:tcPr>
          <w:p w14:paraId="280B3690">
            <w:pPr>
              <w:pStyle w:val="13"/>
            </w:pPr>
            <w:r>
              <w:t>时效指标</w:t>
            </w:r>
          </w:p>
        </w:tc>
        <w:tc>
          <w:tcPr>
            <w:tcW w:w="2835" w:type="dxa"/>
            <w:vAlign w:val="center"/>
          </w:tcPr>
          <w:p w14:paraId="74FC95F0">
            <w:pPr>
              <w:pStyle w:val="13"/>
            </w:pPr>
            <w:r>
              <w:t>项目竣工验收合格率</w:t>
            </w:r>
          </w:p>
        </w:tc>
        <w:tc>
          <w:tcPr>
            <w:tcW w:w="5386" w:type="dxa"/>
            <w:vAlign w:val="center"/>
          </w:tcPr>
          <w:p w14:paraId="72E7BED9">
            <w:pPr>
              <w:pStyle w:val="13"/>
            </w:pPr>
            <w:r>
              <w:t>项目改造质量达标率</w:t>
            </w:r>
          </w:p>
        </w:tc>
        <w:tc>
          <w:tcPr>
            <w:tcW w:w="1463" w:type="dxa"/>
            <w:vAlign w:val="center"/>
          </w:tcPr>
          <w:p w14:paraId="521E6102">
            <w:pPr>
              <w:pStyle w:val="13"/>
            </w:pPr>
            <w:r>
              <w:t>≥100%</w:t>
            </w:r>
          </w:p>
        </w:tc>
        <w:tc>
          <w:tcPr>
            <w:tcW w:w="2081" w:type="dxa"/>
            <w:vAlign w:val="center"/>
          </w:tcPr>
          <w:p w14:paraId="6FD8DD4F">
            <w:pPr>
              <w:pStyle w:val="13"/>
            </w:pPr>
            <w:r>
              <w:t>城乡义务教育公用经费管理办法</w:t>
            </w:r>
          </w:p>
        </w:tc>
      </w:tr>
      <w:tr w14:paraId="597EB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8FAD8"/>
        </w:tc>
        <w:tc>
          <w:tcPr>
            <w:tcW w:w="2268" w:type="dxa"/>
            <w:vAlign w:val="center"/>
          </w:tcPr>
          <w:p w14:paraId="051272DF">
            <w:pPr>
              <w:pStyle w:val="13"/>
            </w:pPr>
            <w:r>
              <w:t>成本指标</w:t>
            </w:r>
          </w:p>
        </w:tc>
        <w:tc>
          <w:tcPr>
            <w:tcW w:w="2835" w:type="dxa"/>
            <w:vAlign w:val="center"/>
          </w:tcPr>
          <w:p w14:paraId="30700DDE">
            <w:pPr>
              <w:pStyle w:val="13"/>
            </w:pPr>
            <w:r>
              <w:t>项目实际成本</w:t>
            </w:r>
          </w:p>
        </w:tc>
        <w:tc>
          <w:tcPr>
            <w:tcW w:w="5386" w:type="dxa"/>
            <w:vAlign w:val="center"/>
          </w:tcPr>
          <w:p w14:paraId="5F7AAF52">
            <w:pPr>
              <w:pStyle w:val="13"/>
            </w:pPr>
            <w:r>
              <w:t>空调</w:t>
            </w:r>
          </w:p>
        </w:tc>
        <w:tc>
          <w:tcPr>
            <w:tcW w:w="1463" w:type="dxa"/>
            <w:vAlign w:val="center"/>
          </w:tcPr>
          <w:p w14:paraId="7C5D1414">
            <w:pPr>
              <w:pStyle w:val="13"/>
            </w:pPr>
            <w:r>
              <w:t>9.78万元</w:t>
            </w:r>
          </w:p>
        </w:tc>
        <w:tc>
          <w:tcPr>
            <w:tcW w:w="2081" w:type="dxa"/>
            <w:vAlign w:val="center"/>
          </w:tcPr>
          <w:p w14:paraId="50E4908D">
            <w:pPr>
              <w:pStyle w:val="13"/>
            </w:pPr>
            <w:r>
              <w:t>城乡义务教育公用经费管理办法</w:t>
            </w:r>
          </w:p>
        </w:tc>
      </w:tr>
      <w:tr w14:paraId="70E2B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6B8C15">
            <w:pPr>
              <w:pStyle w:val="12"/>
            </w:pPr>
            <w:r>
              <w:t>效益指标</w:t>
            </w:r>
          </w:p>
        </w:tc>
        <w:tc>
          <w:tcPr>
            <w:tcW w:w="2268" w:type="dxa"/>
            <w:vAlign w:val="center"/>
          </w:tcPr>
          <w:p w14:paraId="7E37D6E5">
            <w:pPr>
              <w:pStyle w:val="13"/>
            </w:pPr>
            <w:r>
              <w:t>社会效益指标</w:t>
            </w:r>
          </w:p>
        </w:tc>
        <w:tc>
          <w:tcPr>
            <w:tcW w:w="2835" w:type="dxa"/>
            <w:vAlign w:val="center"/>
          </w:tcPr>
          <w:p w14:paraId="37F55F74">
            <w:pPr>
              <w:pStyle w:val="13"/>
            </w:pPr>
            <w:r>
              <w:t>教育发展水平</w:t>
            </w:r>
          </w:p>
        </w:tc>
        <w:tc>
          <w:tcPr>
            <w:tcW w:w="5386" w:type="dxa"/>
            <w:vAlign w:val="center"/>
          </w:tcPr>
          <w:p w14:paraId="074BE14D">
            <w:pPr>
              <w:pStyle w:val="13"/>
            </w:pPr>
            <w:r>
              <w:t>辖区内教育环境明显好转</w:t>
            </w:r>
          </w:p>
        </w:tc>
        <w:tc>
          <w:tcPr>
            <w:tcW w:w="1463" w:type="dxa"/>
            <w:vAlign w:val="center"/>
          </w:tcPr>
          <w:p w14:paraId="200C0200">
            <w:pPr>
              <w:pStyle w:val="13"/>
            </w:pPr>
            <w:r>
              <w:t>≥95%</w:t>
            </w:r>
          </w:p>
        </w:tc>
        <w:tc>
          <w:tcPr>
            <w:tcW w:w="2081" w:type="dxa"/>
            <w:vAlign w:val="center"/>
          </w:tcPr>
          <w:p w14:paraId="21DC0537">
            <w:pPr>
              <w:pStyle w:val="13"/>
            </w:pPr>
            <w:r>
              <w:t>城乡义务教育公用经费管理办法</w:t>
            </w:r>
          </w:p>
        </w:tc>
      </w:tr>
      <w:tr w14:paraId="314F8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8A7228">
            <w:pPr>
              <w:pStyle w:val="12"/>
            </w:pPr>
            <w:r>
              <w:t>满意度指标</w:t>
            </w:r>
          </w:p>
        </w:tc>
        <w:tc>
          <w:tcPr>
            <w:tcW w:w="2268" w:type="dxa"/>
            <w:vAlign w:val="center"/>
          </w:tcPr>
          <w:p w14:paraId="4758D6B7">
            <w:pPr>
              <w:pStyle w:val="13"/>
            </w:pPr>
            <w:r>
              <w:t>服务对象满意度指标</w:t>
            </w:r>
          </w:p>
        </w:tc>
        <w:tc>
          <w:tcPr>
            <w:tcW w:w="2835" w:type="dxa"/>
            <w:vAlign w:val="center"/>
          </w:tcPr>
          <w:p w14:paraId="18E35782">
            <w:pPr>
              <w:pStyle w:val="13"/>
            </w:pPr>
            <w:r>
              <w:t>受益学生家长及调查满意度</w:t>
            </w:r>
          </w:p>
        </w:tc>
        <w:tc>
          <w:tcPr>
            <w:tcW w:w="5386" w:type="dxa"/>
            <w:vAlign w:val="center"/>
          </w:tcPr>
          <w:p w14:paraId="2D8CCBB3">
            <w:pPr>
              <w:pStyle w:val="13"/>
            </w:pPr>
            <w:r>
              <w:t>学生、教师及家长对学校工作满意度情况</w:t>
            </w:r>
          </w:p>
        </w:tc>
        <w:tc>
          <w:tcPr>
            <w:tcW w:w="1463" w:type="dxa"/>
            <w:vAlign w:val="center"/>
          </w:tcPr>
          <w:p w14:paraId="608EB96C">
            <w:pPr>
              <w:pStyle w:val="13"/>
            </w:pPr>
            <w:r>
              <w:t>≥95%</w:t>
            </w:r>
          </w:p>
        </w:tc>
        <w:tc>
          <w:tcPr>
            <w:tcW w:w="2081" w:type="dxa"/>
            <w:vAlign w:val="center"/>
          </w:tcPr>
          <w:p w14:paraId="10EDAD3C">
            <w:pPr>
              <w:pStyle w:val="13"/>
            </w:pPr>
            <w:r>
              <w:t>城乡义务教育公用经费管理办法</w:t>
            </w:r>
          </w:p>
        </w:tc>
      </w:tr>
    </w:tbl>
    <w:p w14:paraId="2B609E17">
      <w:pPr>
        <w:sectPr>
          <w:pgSz w:w="16840" w:h="11900" w:orient="landscape"/>
          <w:pgMar w:top="1361" w:right="1020" w:bottom="1134" w:left="1020" w:header="720" w:footer="720" w:gutter="0"/>
          <w:cols w:space="720" w:num="1"/>
        </w:sectPr>
      </w:pPr>
    </w:p>
    <w:p w14:paraId="52B5BE13">
      <w:pPr>
        <w:spacing w:before="0" w:after="0"/>
        <w:ind w:firstLine="560"/>
        <w:jc w:val="left"/>
        <w:outlineLvl w:val="9"/>
      </w:pPr>
      <w:r>
        <w:rPr>
          <w:rFonts w:ascii="方正仿宋_GBK" w:hAnsi="方正仿宋_GBK" w:eastAsia="方正仿宋_GBK" w:cs="方正仿宋_GBK"/>
          <w:b/>
          <w:color w:val="000000"/>
          <w:sz w:val="28"/>
        </w:rPr>
        <w:t>18、冀财教[2024]123号/中央/2025年义教补助经费/综合奖补/杨村小学空调购置绩效目标表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B7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6402D">
            <w:pPr>
              <w:pStyle w:val="14"/>
            </w:pPr>
            <w:r>
              <w:t>单位：万元</w:t>
            </w:r>
          </w:p>
        </w:tc>
      </w:tr>
      <w:tr w14:paraId="53270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53FF1D9D">
            <w:pPr>
              <w:pStyle w:val="11"/>
            </w:pPr>
            <w:r>
              <w:t>项目编码</w:t>
            </w:r>
          </w:p>
        </w:tc>
        <w:tc>
          <w:tcPr>
            <w:tcW w:w="5103" w:type="dxa"/>
            <w:gridSpan w:val="2"/>
            <w:vAlign w:val="center"/>
          </w:tcPr>
          <w:p w14:paraId="038A74B4">
            <w:pPr>
              <w:pStyle w:val="13"/>
            </w:pPr>
            <w:r>
              <w:t>13052525P008756102437</w:t>
            </w:r>
          </w:p>
        </w:tc>
        <w:tc>
          <w:tcPr>
            <w:tcW w:w="2835" w:type="dxa"/>
            <w:vAlign w:val="center"/>
          </w:tcPr>
          <w:p w14:paraId="1FB4F8E0">
            <w:pPr>
              <w:pStyle w:val="11"/>
            </w:pPr>
            <w:r>
              <w:t>项目名称</w:t>
            </w:r>
          </w:p>
        </w:tc>
        <w:tc>
          <w:tcPr>
            <w:tcW w:w="6095" w:type="dxa"/>
            <w:gridSpan w:val="3"/>
            <w:vAlign w:val="center"/>
          </w:tcPr>
          <w:p w14:paraId="703ECFEF">
            <w:pPr>
              <w:pStyle w:val="13"/>
            </w:pPr>
            <w:r>
              <w:t>冀财教[2024]123号/中央/2025年义教补助经费/综合奖补/杨村小学空调购置</w:t>
            </w:r>
          </w:p>
        </w:tc>
      </w:tr>
      <w:tr w14:paraId="7D29B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0A91B">
            <w:pPr>
              <w:pStyle w:val="11"/>
            </w:pPr>
            <w:r>
              <w:t>预算规模及资金用途</w:t>
            </w:r>
          </w:p>
        </w:tc>
        <w:tc>
          <w:tcPr>
            <w:tcW w:w="2268" w:type="dxa"/>
            <w:vAlign w:val="center"/>
          </w:tcPr>
          <w:p w14:paraId="274E1F9D">
            <w:pPr>
              <w:pStyle w:val="11"/>
            </w:pPr>
            <w:r>
              <w:t>预算数</w:t>
            </w:r>
          </w:p>
        </w:tc>
        <w:tc>
          <w:tcPr>
            <w:tcW w:w="2835" w:type="dxa"/>
            <w:vAlign w:val="center"/>
          </w:tcPr>
          <w:p w14:paraId="694596CC">
            <w:pPr>
              <w:pStyle w:val="13"/>
            </w:pPr>
            <w:r>
              <w:t>9.96</w:t>
            </w:r>
          </w:p>
        </w:tc>
        <w:tc>
          <w:tcPr>
            <w:tcW w:w="2835" w:type="dxa"/>
            <w:vAlign w:val="center"/>
          </w:tcPr>
          <w:p w14:paraId="41FD9396">
            <w:pPr>
              <w:pStyle w:val="11"/>
            </w:pPr>
            <w:r>
              <w:t>其中：财政    资金</w:t>
            </w:r>
          </w:p>
        </w:tc>
        <w:tc>
          <w:tcPr>
            <w:tcW w:w="2551" w:type="dxa"/>
            <w:vAlign w:val="center"/>
          </w:tcPr>
          <w:p w14:paraId="0460ED28">
            <w:pPr>
              <w:pStyle w:val="13"/>
            </w:pPr>
            <w:r>
              <w:t>9.96</w:t>
            </w:r>
          </w:p>
        </w:tc>
        <w:tc>
          <w:tcPr>
            <w:tcW w:w="2268" w:type="dxa"/>
            <w:vAlign w:val="center"/>
          </w:tcPr>
          <w:p w14:paraId="7FCB59A7">
            <w:pPr>
              <w:pStyle w:val="11"/>
            </w:pPr>
            <w:r>
              <w:t>其他资金</w:t>
            </w:r>
          </w:p>
        </w:tc>
        <w:tc>
          <w:tcPr>
            <w:tcW w:w="1276" w:type="dxa"/>
            <w:vAlign w:val="center"/>
          </w:tcPr>
          <w:p w14:paraId="5B343F0C">
            <w:pPr>
              <w:pStyle w:val="13"/>
            </w:pPr>
            <w:r>
              <w:t xml:space="preserve"> </w:t>
            </w:r>
          </w:p>
        </w:tc>
      </w:tr>
      <w:tr w14:paraId="42D9B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D4BBB"/>
        </w:tc>
        <w:tc>
          <w:tcPr>
            <w:tcW w:w="14033" w:type="dxa"/>
            <w:gridSpan w:val="6"/>
            <w:vAlign w:val="center"/>
          </w:tcPr>
          <w:p w14:paraId="480496AE">
            <w:pPr>
              <w:pStyle w:val="13"/>
            </w:pPr>
            <w:r>
              <w:t>完成杨村小学空调购置</w:t>
            </w:r>
          </w:p>
          <w:p w14:paraId="505FF567">
            <w:pPr>
              <w:pStyle w:val="13"/>
            </w:pPr>
            <w:r>
              <w:t>，满足学校正常教学需要</w:t>
            </w:r>
          </w:p>
        </w:tc>
      </w:tr>
      <w:tr w14:paraId="334EB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E742F">
            <w:pPr>
              <w:pStyle w:val="11"/>
            </w:pPr>
            <w:r>
              <w:t>资金支出计划（%）</w:t>
            </w:r>
          </w:p>
        </w:tc>
        <w:tc>
          <w:tcPr>
            <w:tcW w:w="5103" w:type="dxa"/>
            <w:gridSpan w:val="2"/>
            <w:vAlign w:val="center"/>
          </w:tcPr>
          <w:p w14:paraId="7C660E25">
            <w:pPr>
              <w:pStyle w:val="11"/>
            </w:pPr>
            <w:r>
              <w:t>3月底</w:t>
            </w:r>
          </w:p>
        </w:tc>
        <w:tc>
          <w:tcPr>
            <w:tcW w:w="2835" w:type="dxa"/>
            <w:vAlign w:val="center"/>
          </w:tcPr>
          <w:p w14:paraId="747DF161">
            <w:pPr>
              <w:pStyle w:val="11"/>
            </w:pPr>
            <w:r>
              <w:t>6月底</w:t>
            </w:r>
          </w:p>
        </w:tc>
        <w:tc>
          <w:tcPr>
            <w:tcW w:w="2551" w:type="dxa"/>
            <w:vAlign w:val="center"/>
          </w:tcPr>
          <w:p w14:paraId="1BC66A73">
            <w:pPr>
              <w:pStyle w:val="11"/>
            </w:pPr>
            <w:r>
              <w:t>10月底</w:t>
            </w:r>
          </w:p>
        </w:tc>
        <w:tc>
          <w:tcPr>
            <w:tcW w:w="3544" w:type="dxa"/>
            <w:gridSpan w:val="2"/>
            <w:vAlign w:val="center"/>
          </w:tcPr>
          <w:p w14:paraId="1D434583">
            <w:pPr>
              <w:pStyle w:val="11"/>
            </w:pPr>
            <w:r>
              <w:t>12月底</w:t>
            </w:r>
          </w:p>
        </w:tc>
      </w:tr>
      <w:tr w14:paraId="128EC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C9289"/>
        </w:tc>
        <w:tc>
          <w:tcPr>
            <w:tcW w:w="5103" w:type="dxa"/>
            <w:gridSpan w:val="2"/>
            <w:vAlign w:val="center"/>
          </w:tcPr>
          <w:p w14:paraId="5E879877">
            <w:pPr>
              <w:pStyle w:val="12"/>
            </w:pPr>
            <w:r>
              <w:t>25%</w:t>
            </w:r>
          </w:p>
        </w:tc>
        <w:tc>
          <w:tcPr>
            <w:tcW w:w="2835" w:type="dxa"/>
            <w:vAlign w:val="center"/>
          </w:tcPr>
          <w:p w14:paraId="456B40BD">
            <w:pPr>
              <w:pStyle w:val="12"/>
            </w:pPr>
            <w:r>
              <w:t>50%</w:t>
            </w:r>
          </w:p>
        </w:tc>
        <w:tc>
          <w:tcPr>
            <w:tcW w:w="2551" w:type="dxa"/>
            <w:vAlign w:val="center"/>
          </w:tcPr>
          <w:p w14:paraId="5FC9D059">
            <w:pPr>
              <w:pStyle w:val="12"/>
            </w:pPr>
            <w:r>
              <w:t>75%</w:t>
            </w:r>
          </w:p>
        </w:tc>
        <w:tc>
          <w:tcPr>
            <w:tcW w:w="3544" w:type="dxa"/>
            <w:gridSpan w:val="2"/>
            <w:vAlign w:val="center"/>
          </w:tcPr>
          <w:p w14:paraId="65613E25">
            <w:pPr>
              <w:pStyle w:val="12"/>
            </w:pPr>
            <w:r>
              <w:t>100%</w:t>
            </w:r>
          </w:p>
        </w:tc>
      </w:tr>
      <w:tr w14:paraId="7B568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2015A">
            <w:pPr>
              <w:pStyle w:val="11"/>
            </w:pPr>
            <w:r>
              <w:t>绩效目标</w:t>
            </w:r>
          </w:p>
        </w:tc>
        <w:tc>
          <w:tcPr>
            <w:tcW w:w="14033" w:type="dxa"/>
            <w:gridSpan w:val="6"/>
            <w:vAlign w:val="center"/>
          </w:tcPr>
          <w:p w14:paraId="256F6E53">
            <w:pPr>
              <w:pStyle w:val="13"/>
            </w:pPr>
            <w:r>
              <w:t>1.完成杨村小学空调购置，满足学校正常教学需要。</w:t>
            </w:r>
          </w:p>
          <w:p w14:paraId="5C34740D">
            <w:pPr>
              <w:pStyle w:val="13"/>
            </w:pPr>
            <w:r>
              <w:t>2.按规定拨付专项资金，资金支付率达到100%。</w:t>
            </w:r>
          </w:p>
        </w:tc>
      </w:tr>
    </w:tbl>
    <w:p w14:paraId="26220C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14:paraId="7C852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272A7">
            <w:pPr>
              <w:pStyle w:val="11"/>
            </w:pPr>
            <w:r>
              <w:t>一级指标</w:t>
            </w:r>
          </w:p>
        </w:tc>
        <w:tc>
          <w:tcPr>
            <w:tcW w:w="2268" w:type="dxa"/>
            <w:vAlign w:val="center"/>
          </w:tcPr>
          <w:p w14:paraId="4C583B14">
            <w:pPr>
              <w:pStyle w:val="11"/>
            </w:pPr>
            <w:r>
              <w:t>二级指标</w:t>
            </w:r>
          </w:p>
        </w:tc>
        <w:tc>
          <w:tcPr>
            <w:tcW w:w="2835" w:type="dxa"/>
            <w:vAlign w:val="center"/>
          </w:tcPr>
          <w:p w14:paraId="214F0F94">
            <w:pPr>
              <w:pStyle w:val="11"/>
            </w:pPr>
            <w:r>
              <w:t>三级指标</w:t>
            </w:r>
          </w:p>
        </w:tc>
        <w:tc>
          <w:tcPr>
            <w:tcW w:w="5386" w:type="dxa"/>
            <w:vAlign w:val="center"/>
          </w:tcPr>
          <w:p w14:paraId="5BD9F671">
            <w:pPr>
              <w:pStyle w:val="11"/>
            </w:pPr>
            <w:r>
              <w:t>绩效指标描述</w:t>
            </w:r>
          </w:p>
        </w:tc>
        <w:tc>
          <w:tcPr>
            <w:tcW w:w="1688" w:type="dxa"/>
            <w:vAlign w:val="center"/>
          </w:tcPr>
          <w:p w14:paraId="7C12FC5D">
            <w:pPr>
              <w:pStyle w:val="11"/>
            </w:pPr>
            <w:r>
              <w:t>指标值</w:t>
            </w:r>
          </w:p>
        </w:tc>
        <w:tc>
          <w:tcPr>
            <w:tcW w:w="1856" w:type="dxa"/>
            <w:vAlign w:val="center"/>
          </w:tcPr>
          <w:p w14:paraId="04A6E377">
            <w:pPr>
              <w:pStyle w:val="11"/>
            </w:pPr>
            <w:r>
              <w:t>指标值确定依据</w:t>
            </w:r>
          </w:p>
        </w:tc>
      </w:tr>
      <w:tr w14:paraId="09F31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529F2">
            <w:pPr>
              <w:pStyle w:val="12"/>
            </w:pPr>
            <w:r>
              <w:t>产出指标</w:t>
            </w:r>
          </w:p>
        </w:tc>
        <w:tc>
          <w:tcPr>
            <w:tcW w:w="2268" w:type="dxa"/>
            <w:vAlign w:val="center"/>
          </w:tcPr>
          <w:p w14:paraId="41DCC6BE">
            <w:pPr>
              <w:pStyle w:val="13"/>
            </w:pPr>
            <w:r>
              <w:t>数量指标</w:t>
            </w:r>
          </w:p>
        </w:tc>
        <w:tc>
          <w:tcPr>
            <w:tcW w:w="2835" w:type="dxa"/>
            <w:vAlign w:val="center"/>
          </w:tcPr>
          <w:p w14:paraId="7522A874">
            <w:pPr>
              <w:pStyle w:val="13"/>
            </w:pPr>
            <w:r>
              <w:t>空调72型、5500元/台12台，2400元/台14台。</w:t>
            </w:r>
          </w:p>
        </w:tc>
        <w:tc>
          <w:tcPr>
            <w:tcW w:w="5386" w:type="dxa"/>
            <w:vAlign w:val="center"/>
          </w:tcPr>
          <w:p w14:paraId="167635C2">
            <w:pPr>
              <w:pStyle w:val="13"/>
            </w:pPr>
            <w:r>
              <w:t>空调72型、5500元/台12台，2400元/台14台。</w:t>
            </w:r>
          </w:p>
        </w:tc>
        <w:tc>
          <w:tcPr>
            <w:tcW w:w="1688" w:type="dxa"/>
            <w:vAlign w:val="center"/>
          </w:tcPr>
          <w:p w14:paraId="0FBE8585">
            <w:pPr>
              <w:pStyle w:val="13"/>
            </w:pPr>
            <w:r>
              <w:t>9.96万元</w:t>
            </w:r>
          </w:p>
        </w:tc>
        <w:tc>
          <w:tcPr>
            <w:tcW w:w="1856" w:type="dxa"/>
            <w:vAlign w:val="center"/>
          </w:tcPr>
          <w:p w14:paraId="55F05954">
            <w:pPr>
              <w:pStyle w:val="13"/>
            </w:pPr>
            <w:r>
              <w:t>城乡义务教育公用经费管理办法</w:t>
            </w:r>
          </w:p>
        </w:tc>
      </w:tr>
      <w:tr w14:paraId="7D777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D1531"/>
        </w:tc>
        <w:tc>
          <w:tcPr>
            <w:tcW w:w="2268" w:type="dxa"/>
            <w:vAlign w:val="center"/>
          </w:tcPr>
          <w:p w14:paraId="763E983D">
            <w:pPr>
              <w:pStyle w:val="13"/>
            </w:pPr>
            <w:r>
              <w:t>质量指标</w:t>
            </w:r>
          </w:p>
        </w:tc>
        <w:tc>
          <w:tcPr>
            <w:tcW w:w="2835" w:type="dxa"/>
            <w:vAlign w:val="center"/>
          </w:tcPr>
          <w:p w14:paraId="0CCF34C5">
            <w:pPr>
              <w:pStyle w:val="13"/>
            </w:pPr>
            <w:r>
              <w:t>资金支付率</w:t>
            </w:r>
          </w:p>
        </w:tc>
        <w:tc>
          <w:tcPr>
            <w:tcW w:w="5386" w:type="dxa"/>
            <w:vAlign w:val="center"/>
          </w:tcPr>
          <w:p w14:paraId="542DC418">
            <w:pPr>
              <w:pStyle w:val="13"/>
            </w:pPr>
            <w:r>
              <w:t>按照序时进度完成资金支付</w:t>
            </w:r>
          </w:p>
        </w:tc>
        <w:tc>
          <w:tcPr>
            <w:tcW w:w="1688" w:type="dxa"/>
            <w:vAlign w:val="center"/>
          </w:tcPr>
          <w:p w14:paraId="326724ED">
            <w:pPr>
              <w:pStyle w:val="13"/>
            </w:pPr>
            <w:r>
              <w:t>≥100%</w:t>
            </w:r>
          </w:p>
        </w:tc>
        <w:tc>
          <w:tcPr>
            <w:tcW w:w="1856" w:type="dxa"/>
            <w:vAlign w:val="center"/>
          </w:tcPr>
          <w:p w14:paraId="26B4A550">
            <w:pPr>
              <w:pStyle w:val="13"/>
            </w:pPr>
            <w:r>
              <w:t>城乡义务教育公用经费管理办法</w:t>
            </w:r>
          </w:p>
        </w:tc>
      </w:tr>
      <w:tr w14:paraId="3E0EC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C9A56"/>
        </w:tc>
        <w:tc>
          <w:tcPr>
            <w:tcW w:w="2268" w:type="dxa"/>
            <w:vAlign w:val="center"/>
          </w:tcPr>
          <w:p w14:paraId="2C6D6374">
            <w:pPr>
              <w:pStyle w:val="13"/>
            </w:pPr>
            <w:r>
              <w:t>时效指标</w:t>
            </w:r>
          </w:p>
        </w:tc>
        <w:tc>
          <w:tcPr>
            <w:tcW w:w="2835" w:type="dxa"/>
            <w:vAlign w:val="center"/>
          </w:tcPr>
          <w:p w14:paraId="2D31F6F0">
            <w:pPr>
              <w:pStyle w:val="13"/>
            </w:pPr>
            <w:r>
              <w:t>项目竣工验收合格率</w:t>
            </w:r>
          </w:p>
        </w:tc>
        <w:tc>
          <w:tcPr>
            <w:tcW w:w="5386" w:type="dxa"/>
            <w:vAlign w:val="center"/>
          </w:tcPr>
          <w:p w14:paraId="2EB380B2">
            <w:pPr>
              <w:pStyle w:val="13"/>
            </w:pPr>
            <w:r>
              <w:t>项目改造质量达标率</w:t>
            </w:r>
          </w:p>
        </w:tc>
        <w:tc>
          <w:tcPr>
            <w:tcW w:w="1688" w:type="dxa"/>
            <w:vAlign w:val="center"/>
          </w:tcPr>
          <w:p w14:paraId="20CAA080">
            <w:pPr>
              <w:pStyle w:val="13"/>
            </w:pPr>
            <w:r>
              <w:t>≥100%</w:t>
            </w:r>
          </w:p>
        </w:tc>
        <w:tc>
          <w:tcPr>
            <w:tcW w:w="1856" w:type="dxa"/>
            <w:vAlign w:val="center"/>
          </w:tcPr>
          <w:p w14:paraId="0276EE48">
            <w:pPr>
              <w:pStyle w:val="13"/>
            </w:pPr>
            <w:r>
              <w:t>城乡义务教育公用经费管理办法</w:t>
            </w:r>
          </w:p>
        </w:tc>
      </w:tr>
      <w:tr w14:paraId="15174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139C4"/>
        </w:tc>
        <w:tc>
          <w:tcPr>
            <w:tcW w:w="2268" w:type="dxa"/>
            <w:vAlign w:val="center"/>
          </w:tcPr>
          <w:p w14:paraId="48E6BDD0">
            <w:pPr>
              <w:pStyle w:val="13"/>
            </w:pPr>
            <w:r>
              <w:t>成本指标</w:t>
            </w:r>
          </w:p>
        </w:tc>
        <w:tc>
          <w:tcPr>
            <w:tcW w:w="2835" w:type="dxa"/>
            <w:vAlign w:val="center"/>
          </w:tcPr>
          <w:p w14:paraId="4B940244">
            <w:pPr>
              <w:pStyle w:val="13"/>
            </w:pPr>
            <w:r>
              <w:t>项目实际成本</w:t>
            </w:r>
          </w:p>
        </w:tc>
        <w:tc>
          <w:tcPr>
            <w:tcW w:w="5386" w:type="dxa"/>
            <w:vAlign w:val="center"/>
          </w:tcPr>
          <w:p w14:paraId="16CF5D98">
            <w:pPr>
              <w:pStyle w:val="13"/>
            </w:pPr>
            <w:r>
              <w:t>空调72型、5500元/台12台，2400元/台14台。</w:t>
            </w:r>
          </w:p>
        </w:tc>
        <w:tc>
          <w:tcPr>
            <w:tcW w:w="1688" w:type="dxa"/>
            <w:vAlign w:val="center"/>
          </w:tcPr>
          <w:p w14:paraId="37343CF0">
            <w:pPr>
              <w:pStyle w:val="13"/>
            </w:pPr>
            <w:r>
              <w:t>9.96万元</w:t>
            </w:r>
          </w:p>
        </w:tc>
        <w:tc>
          <w:tcPr>
            <w:tcW w:w="1856" w:type="dxa"/>
            <w:vAlign w:val="center"/>
          </w:tcPr>
          <w:p w14:paraId="6B0227AA">
            <w:pPr>
              <w:pStyle w:val="13"/>
            </w:pPr>
            <w:r>
              <w:t>城乡义务教育公用经费管理办法</w:t>
            </w:r>
          </w:p>
        </w:tc>
      </w:tr>
      <w:tr w14:paraId="04190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B9F952">
            <w:pPr>
              <w:pStyle w:val="12"/>
            </w:pPr>
            <w:r>
              <w:t>效益指标</w:t>
            </w:r>
          </w:p>
        </w:tc>
        <w:tc>
          <w:tcPr>
            <w:tcW w:w="2268" w:type="dxa"/>
            <w:vAlign w:val="center"/>
          </w:tcPr>
          <w:p w14:paraId="17745C23">
            <w:pPr>
              <w:pStyle w:val="13"/>
            </w:pPr>
            <w:r>
              <w:t>社会效益指标</w:t>
            </w:r>
          </w:p>
        </w:tc>
        <w:tc>
          <w:tcPr>
            <w:tcW w:w="2835" w:type="dxa"/>
            <w:vAlign w:val="center"/>
          </w:tcPr>
          <w:p w14:paraId="303F31DB">
            <w:pPr>
              <w:pStyle w:val="13"/>
            </w:pPr>
            <w:r>
              <w:t>教育发展水平</w:t>
            </w:r>
          </w:p>
        </w:tc>
        <w:tc>
          <w:tcPr>
            <w:tcW w:w="5386" w:type="dxa"/>
            <w:vAlign w:val="center"/>
          </w:tcPr>
          <w:p w14:paraId="6102A65D">
            <w:pPr>
              <w:pStyle w:val="13"/>
            </w:pPr>
            <w:r>
              <w:t>辖区内教育环境明显好转</w:t>
            </w:r>
          </w:p>
        </w:tc>
        <w:tc>
          <w:tcPr>
            <w:tcW w:w="1688" w:type="dxa"/>
            <w:vAlign w:val="center"/>
          </w:tcPr>
          <w:p w14:paraId="2731C977">
            <w:pPr>
              <w:pStyle w:val="13"/>
            </w:pPr>
            <w:r>
              <w:t>≥95%</w:t>
            </w:r>
          </w:p>
        </w:tc>
        <w:tc>
          <w:tcPr>
            <w:tcW w:w="1856" w:type="dxa"/>
            <w:vAlign w:val="center"/>
          </w:tcPr>
          <w:p w14:paraId="2B6D33ED">
            <w:pPr>
              <w:pStyle w:val="13"/>
            </w:pPr>
            <w:r>
              <w:t>城乡义务教育公用经费管理办法</w:t>
            </w:r>
          </w:p>
        </w:tc>
      </w:tr>
      <w:tr w14:paraId="785F6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B872A3">
            <w:pPr>
              <w:pStyle w:val="12"/>
            </w:pPr>
            <w:r>
              <w:t>满意度指标</w:t>
            </w:r>
          </w:p>
        </w:tc>
        <w:tc>
          <w:tcPr>
            <w:tcW w:w="2268" w:type="dxa"/>
            <w:vAlign w:val="center"/>
          </w:tcPr>
          <w:p w14:paraId="1C7AA91F">
            <w:pPr>
              <w:pStyle w:val="13"/>
            </w:pPr>
            <w:r>
              <w:t>服务对象满意度指标</w:t>
            </w:r>
          </w:p>
        </w:tc>
        <w:tc>
          <w:tcPr>
            <w:tcW w:w="2835" w:type="dxa"/>
            <w:vAlign w:val="center"/>
          </w:tcPr>
          <w:p w14:paraId="0B49AD15">
            <w:pPr>
              <w:pStyle w:val="13"/>
            </w:pPr>
            <w:r>
              <w:t>受益学生家长及调查满意度</w:t>
            </w:r>
          </w:p>
        </w:tc>
        <w:tc>
          <w:tcPr>
            <w:tcW w:w="5386" w:type="dxa"/>
            <w:vAlign w:val="center"/>
          </w:tcPr>
          <w:p w14:paraId="3EDD8016">
            <w:pPr>
              <w:pStyle w:val="13"/>
            </w:pPr>
            <w:r>
              <w:t>学生、教师及家长对学校工作满意度情况</w:t>
            </w:r>
          </w:p>
        </w:tc>
        <w:tc>
          <w:tcPr>
            <w:tcW w:w="1688" w:type="dxa"/>
            <w:vAlign w:val="center"/>
          </w:tcPr>
          <w:p w14:paraId="5DA14671">
            <w:pPr>
              <w:pStyle w:val="13"/>
            </w:pPr>
            <w:r>
              <w:t>≥95%</w:t>
            </w:r>
          </w:p>
        </w:tc>
        <w:tc>
          <w:tcPr>
            <w:tcW w:w="1856" w:type="dxa"/>
            <w:vAlign w:val="center"/>
          </w:tcPr>
          <w:p w14:paraId="70C19F7C">
            <w:pPr>
              <w:pStyle w:val="13"/>
            </w:pPr>
            <w:r>
              <w:t>城乡义务教育公用经费管理办法</w:t>
            </w:r>
          </w:p>
        </w:tc>
      </w:tr>
    </w:tbl>
    <w:p w14:paraId="4F1358C8">
      <w:pPr>
        <w:sectPr>
          <w:pgSz w:w="16840" w:h="11900" w:orient="landscape"/>
          <w:pgMar w:top="1361" w:right="1020" w:bottom="1134" w:left="1020" w:header="720" w:footer="720" w:gutter="0"/>
          <w:cols w:space="720" w:num="1"/>
        </w:sectPr>
      </w:pPr>
    </w:p>
    <w:p w14:paraId="393A0C8D">
      <w:pPr>
        <w:spacing w:before="0" w:after="0"/>
        <w:ind w:firstLine="560"/>
        <w:jc w:val="left"/>
        <w:outlineLvl w:val="9"/>
      </w:pPr>
      <w:r>
        <w:rPr>
          <w:rFonts w:ascii="方正仿宋_GBK" w:hAnsi="方正仿宋_GBK" w:eastAsia="方正仿宋_GBK" w:cs="方正仿宋_GBK"/>
          <w:b/>
          <w:color w:val="000000"/>
          <w:sz w:val="28"/>
        </w:rPr>
        <w:t>19、冀财教[2024]123号/中央/2025年义教补助经费/综合奖补/尹村校区西尹小学公用经费绩效目标表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50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47453">
            <w:pPr>
              <w:pStyle w:val="14"/>
            </w:pPr>
            <w:r>
              <w:t>单位：万元</w:t>
            </w:r>
          </w:p>
        </w:tc>
      </w:tr>
      <w:tr w14:paraId="21D12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19096">
            <w:pPr>
              <w:pStyle w:val="11"/>
            </w:pPr>
            <w:r>
              <w:t>项目编码</w:t>
            </w:r>
          </w:p>
        </w:tc>
        <w:tc>
          <w:tcPr>
            <w:tcW w:w="5103" w:type="dxa"/>
            <w:gridSpan w:val="2"/>
            <w:vAlign w:val="center"/>
          </w:tcPr>
          <w:p w14:paraId="5EEECFC6">
            <w:pPr>
              <w:pStyle w:val="13"/>
            </w:pPr>
            <w:r>
              <w:t>13052525P00875610283N</w:t>
            </w:r>
          </w:p>
        </w:tc>
        <w:tc>
          <w:tcPr>
            <w:tcW w:w="2835" w:type="dxa"/>
            <w:vAlign w:val="center"/>
          </w:tcPr>
          <w:p w14:paraId="0D6F98C4">
            <w:pPr>
              <w:pStyle w:val="11"/>
            </w:pPr>
            <w:r>
              <w:t>项目名称</w:t>
            </w:r>
          </w:p>
        </w:tc>
        <w:tc>
          <w:tcPr>
            <w:tcW w:w="6095" w:type="dxa"/>
            <w:gridSpan w:val="3"/>
            <w:vAlign w:val="center"/>
          </w:tcPr>
          <w:p w14:paraId="417652D8">
            <w:pPr>
              <w:pStyle w:val="13"/>
            </w:pPr>
            <w:r>
              <w:t>冀财教[2024]123号/中央/2025年义教补助经费/综合奖补/尹村校区西尹小学公用经费</w:t>
            </w:r>
          </w:p>
        </w:tc>
      </w:tr>
      <w:tr w14:paraId="7EA9B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6F53D">
            <w:pPr>
              <w:pStyle w:val="11"/>
            </w:pPr>
            <w:r>
              <w:t>预算规模及资金用途</w:t>
            </w:r>
          </w:p>
        </w:tc>
        <w:tc>
          <w:tcPr>
            <w:tcW w:w="2268" w:type="dxa"/>
            <w:vAlign w:val="center"/>
          </w:tcPr>
          <w:p w14:paraId="381ACE16">
            <w:pPr>
              <w:pStyle w:val="11"/>
            </w:pPr>
            <w:r>
              <w:t>预算数</w:t>
            </w:r>
          </w:p>
        </w:tc>
        <w:tc>
          <w:tcPr>
            <w:tcW w:w="2835" w:type="dxa"/>
            <w:vAlign w:val="center"/>
          </w:tcPr>
          <w:p w14:paraId="0B4CF5F7">
            <w:pPr>
              <w:pStyle w:val="13"/>
            </w:pPr>
            <w:r>
              <w:t>1.98</w:t>
            </w:r>
          </w:p>
        </w:tc>
        <w:tc>
          <w:tcPr>
            <w:tcW w:w="2835" w:type="dxa"/>
            <w:vAlign w:val="center"/>
          </w:tcPr>
          <w:p w14:paraId="32A9C6EB">
            <w:pPr>
              <w:pStyle w:val="11"/>
            </w:pPr>
            <w:r>
              <w:t>其中：财政    资金</w:t>
            </w:r>
          </w:p>
        </w:tc>
        <w:tc>
          <w:tcPr>
            <w:tcW w:w="2551" w:type="dxa"/>
            <w:vAlign w:val="center"/>
          </w:tcPr>
          <w:p w14:paraId="10AED7E8">
            <w:pPr>
              <w:pStyle w:val="13"/>
            </w:pPr>
            <w:r>
              <w:t>1.98</w:t>
            </w:r>
          </w:p>
        </w:tc>
        <w:tc>
          <w:tcPr>
            <w:tcW w:w="2268" w:type="dxa"/>
            <w:vAlign w:val="center"/>
          </w:tcPr>
          <w:p w14:paraId="1AD841F8">
            <w:pPr>
              <w:pStyle w:val="11"/>
            </w:pPr>
            <w:r>
              <w:t>其他资金</w:t>
            </w:r>
          </w:p>
        </w:tc>
        <w:tc>
          <w:tcPr>
            <w:tcW w:w="1276" w:type="dxa"/>
            <w:vAlign w:val="center"/>
          </w:tcPr>
          <w:p w14:paraId="6DE4D499">
            <w:pPr>
              <w:pStyle w:val="13"/>
            </w:pPr>
            <w:r>
              <w:t xml:space="preserve"> </w:t>
            </w:r>
          </w:p>
        </w:tc>
      </w:tr>
      <w:tr w14:paraId="3B8C9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F38BF"/>
        </w:tc>
        <w:tc>
          <w:tcPr>
            <w:tcW w:w="14033" w:type="dxa"/>
            <w:gridSpan w:val="6"/>
            <w:vAlign w:val="center"/>
          </w:tcPr>
          <w:p w14:paraId="6BDCE121">
            <w:pPr>
              <w:pStyle w:val="13"/>
            </w:pPr>
            <w:r>
              <w:t>有效完成学校教学安全秩序，保障学校教学任务有效开展，满足学校正常教学需要。</w:t>
            </w:r>
          </w:p>
        </w:tc>
      </w:tr>
      <w:tr w14:paraId="27026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F5D5C">
            <w:pPr>
              <w:pStyle w:val="11"/>
            </w:pPr>
            <w:r>
              <w:t>资金支出计划（%）</w:t>
            </w:r>
          </w:p>
        </w:tc>
        <w:tc>
          <w:tcPr>
            <w:tcW w:w="5103" w:type="dxa"/>
            <w:gridSpan w:val="2"/>
            <w:vAlign w:val="center"/>
          </w:tcPr>
          <w:p w14:paraId="5DCD0E60">
            <w:pPr>
              <w:pStyle w:val="11"/>
            </w:pPr>
            <w:r>
              <w:t>3月底</w:t>
            </w:r>
          </w:p>
        </w:tc>
        <w:tc>
          <w:tcPr>
            <w:tcW w:w="2835" w:type="dxa"/>
            <w:vAlign w:val="center"/>
          </w:tcPr>
          <w:p w14:paraId="6D267E87">
            <w:pPr>
              <w:pStyle w:val="11"/>
            </w:pPr>
            <w:r>
              <w:t>6月底</w:t>
            </w:r>
          </w:p>
        </w:tc>
        <w:tc>
          <w:tcPr>
            <w:tcW w:w="2551" w:type="dxa"/>
            <w:vAlign w:val="center"/>
          </w:tcPr>
          <w:p w14:paraId="5D75E87A">
            <w:pPr>
              <w:pStyle w:val="11"/>
            </w:pPr>
            <w:r>
              <w:t>10月底</w:t>
            </w:r>
          </w:p>
        </w:tc>
        <w:tc>
          <w:tcPr>
            <w:tcW w:w="3544" w:type="dxa"/>
            <w:gridSpan w:val="2"/>
            <w:vAlign w:val="center"/>
          </w:tcPr>
          <w:p w14:paraId="2EA590DA">
            <w:pPr>
              <w:pStyle w:val="11"/>
            </w:pPr>
            <w:r>
              <w:t>12月底</w:t>
            </w:r>
          </w:p>
        </w:tc>
      </w:tr>
      <w:tr w14:paraId="26F08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77D4B2"/>
        </w:tc>
        <w:tc>
          <w:tcPr>
            <w:tcW w:w="5103" w:type="dxa"/>
            <w:gridSpan w:val="2"/>
            <w:vAlign w:val="center"/>
          </w:tcPr>
          <w:p w14:paraId="352C72AF">
            <w:pPr>
              <w:pStyle w:val="12"/>
            </w:pPr>
            <w:r>
              <w:t xml:space="preserve"> </w:t>
            </w:r>
          </w:p>
        </w:tc>
        <w:tc>
          <w:tcPr>
            <w:tcW w:w="2835" w:type="dxa"/>
            <w:vAlign w:val="center"/>
          </w:tcPr>
          <w:p w14:paraId="410EC4F2">
            <w:pPr>
              <w:pStyle w:val="12"/>
            </w:pPr>
            <w:r>
              <w:t xml:space="preserve"> </w:t>
            </w:r>
          </w:p>
        </w:tc>
        <w:tc>
          <w:tcPr>
            <w:tcW w:w="2551" w:type="dxa"/>
            <w:vAlign w:val="center"/>
          </w:tcPr>
          <w:p w14:paraId="30112C82">
            <w:pPr>
              <w:pStyle w:val="12"/>
            </w:pPr>
            <w:r>
              <w:t>80%</w:t>
            </w:r>
          </w:p>
        </w:tc>
        <w:tc>
          <w:tcPr>
            <w:tcW w:w="3544" w:type="dxa"/>
            <w:gridSpan w:val="2"/>
            <w:vAlign w:val="center"/>
          </w:tcPr>
          <w:p w14:paraId="1613422D">
            <w:pPr>
              <w:pStyle w:val="12"/>
            </w:pPr>
            <w:r>
              <w:t>100%</w:t>
            </w:r>
          </w:p>
        </w:tc>
      </w:tr>
      <w:tr w14:paraId="0CFCB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7377AB">
            <w:pPr>
              <w:pStyle w:val="11"/>
            </w:pPr>
            <w:r>
              <w:t>绩效目标</w:t>
            </w:r>
          </w:p>
        </w:tc>
        <w:tc>
          <w:tcPr>
            <w:tcW w:w="14033" w:type="dxa"/>
            <w:gridSpan w:val="6"/>
            <w:vAlign w:val="center"/>
          </w:tcPr>
          <w:p w14:paraId="41746B71">
            <w:pPr>
              <w:pStyle w:val="13"/>
            </w:pPr>
            <w:r>
              <w:t>1.按规定拨付公用经费资金，预算执行率≥98%。</w:t>
            </w:r>
          </w:p>
          <w:p w14:paraId="710527F1">
            <w:pPr>
              <w:pStyle w:val="13"/>
            </w:pPr>
            <w:r>
              <w:t>2.有效完成学校教学安全秩序，保障学校教学任务有效开展，满足学校正常教学需要。</w:t>
            </w:r>
          </w:p>
        </w:tc>
      </w:tr>
    </w:tbl>
    <w:p w14:paraId="3D060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BE4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63552">
            <w:pPr>
              <w:pStyle w:val="11"/>
            </w:pPr>
            <w:r>
              <w:t>一级指标</w:t>
            </w:r>
          </w:p>
        </w:tc>
        <w:tc>
          <w:tcPr>
            <w:tcW w:w="2268" w:type="dxa"/>
            <w:vAlign w:val="center"/>
          </w:tcPr>
          <w:p w14:paraId="001A3B5E">
            <w:pPr>
              <w:pStyle w:val="11"/>
            </w:pPr>
            <w:r>
              <w:t>二级指标</w:t>
            </w:r>
          </w:p>
        </w:tc>
        <w:tc>
          <w:tcPr>
            <w:tcW w:w="2835" w:type="dxa"/>
            <w:vAlign w:val="center"/>
          </w:tcPr>
          <w:p w14:paraId="2D5D441B">
            <w:pPr>
              <w:pStyle w:val="11"/>
            </w:pPr>
            <w:r>
              <w:t>三级指标</w:t>
            </w:r>
          </w:p>
        </w:tc>
        <w:tc>
          <w:tcPr>
            <w:tcW w:w="5386" w:type="dxa"/>
            <w:vAlign w:val="center"/>
          </w:tcPr>
          <w:p w14:paraId="3F02BA59">
            <w:pPr>
              <w:pStyle w:val="11"/>
            </w:pPr>
            <w:r>
              <w:t>绩效指标描述</w:t>
            </w:r>
          </w:p>
        </w:tc>
        <w:tc>
          <w:tcPr>
            <w:tcW w:w="2268" w:type="dxa"/>
            <w:vAlign w:val="center"/>
          </w:tcPr>
          <w:p w14:paraId="6BCC8157">
            <w:pPr>
              <w:pStyle w:val="11"/>
            </w:pPr>
            <w:r>
              <w:t>指标值</w:t>
            </w:r>
          </w:p>
        </w:tc>
        <w:tc>
          <w:tcPr>
            <w:tcW w:w="1276" w:type="dxa"/>
            <w:vAlign w:val="center"/>
          </w:tcPr>
          <w:p w14:paraId="75948F31">
            <w:pPr>
              <w:pStyle w:val="11"/>
            </w:pPr>
            <w:r>
              <w:t>指标值确定依据</w:t>
            </w:r>
          </w:p>
        </w:tc>
      </w:tr>
      <w:tr w14:paraId="6B8A1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62C39A3F">
            <w:pPr>
              <w:pStyle w:val="12"/>
            </w:pPr>
            <w:r>
              <w:t>产出指标</w:t>
            </w:r>
          </w:p>
        </w:tc>
        <w:tc>
          <w:tcPr>
            <w:tcW w:w="2268" w:type="dxa"/>
            <w:vAlign w:val="center"/>
          </w:tcPr>
          <w:p w14:paraId="6C72A873">
            <w:pPr>
              <w:pStyle w:val="13"/>
            </w:pPr>
            <w:r>
              <w:t>数量指标</w:t>
            </w:r>
          </w:p>
        </w:tc>
        <w:tc>
          <w:tcPr>
            <w:tcW w:w="2835" w:type="dxa"/>
            <w:vAlign w:val="center"/>
          </w:tcPr>
          <w:p w14:paraId="0CFF24F9">
            <w:pPr>
              <w:pStyle w:val="13"/>
            </w:pPr>
            <w:r>
              <w:t>生均拨款标准</w:t>
            </w:r>
          </w:p>
        </w:tc>
        <w:tc>
          <w:tcPr>
            <w:tcW w:w="5386" w:type="dxa"/>
            <w:vAlign w:val="center"/>
          </w:tcPr>
          <w:p w14:paraId="6A548DAF">
            <w:pPr>
              <w:pStyle w:val="13"/>
            </w:pPr>
            <w:r>
              <w:t>小学生公用经费生均小学720元。取暖费140元/生/年，随班就读学生补助6000元/生</w:t>
            </w:r>
          </w:p>
        </w:tc>
        <w:tc>
          <w:tcPr>
            <w:tcW w:w="2268" w:type="dxa"/>
            <w:vAlign w:val="center"/>
          </w:tcPr>
          <w:p w14:paraId="35BB8BB9">
            <w:pPr>
              <w:pStyle w:val="13"/>
            </w:pPr>
            <w:r>
              <w:t>1.98万元</w:t>
            </w:r>
          </w:p>
        </w:tc>
        <w:tc>
          <w:tcPr>
            <w:tcW w:w="1276" w:type="dxa"/>
            <w:vAlign w:val="center"/>
          </w:tcPr>
          <w:p w14:paraId="16EB5631">
            <w:pPr>
              <w:pStyle w:val="13"/>
            </w:pPr>
            <w:r>
              <w:t>城乡义务教育公用经费管理办法</w:t>
            </w:r>
          </w:p>
        </w:tc>
      </w:tr>
      <w:tr w14:paraId="55CAE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71C78"/>
        </w:tc>
        <w:tc>
          <w:tcPr>
            <w:tcW w:w="2268" w:type="dxa"/>
            <w:vAlign w:val="center"/>
          </w:tcPr>
          <w:p w14:paraId="7420777F">
            <w:pPr>
              <w:pStyle w:val="13"/>
            </w:pPr>
            <w:r>
              <w:t>质量指标</w:t>
            </w:r>
          </w:p>
        </w:tc>
        <w:tc>
          <w:tcPr>
            <w:tcW w:w="2835" w:type="dxa"/>
            <w:vAlign w:val="center"/>
          </w:tcPr>
          <w:p w14:paraId="70A3646E">
            <w:pPr>
              <w:pStyle w:val="13"/>
            </w:pPr>
            <w:r>
              <w:t>就读学生数</w:t>
            </w:r>
          </w:p>
        </w:tc>
        <w:tc>
          <w:tcPr>
            <w:tcW w:w="5386" w:type="dxa"/>
            <w:vAlign w:val="center"/>
          </w:tcPr>
          <w:p w14:paraId="48C98FE5">
            <w:pPr>
              <w:pStyle w:val="13"/>
            </w:pPr>
            <w:r>
              <w:t>辐射区域内适龄学生人数</w:t>
            </w:r>
          </w:p>
        </w:tc>
        <w:tc>
          <w:tcPr>
            <w:tcW w:w="2268" w:type="dxa"/>
            <w:vAlign w:val="center"/>
          </w:tcPr>
          <w:p w14:paraId="061C1E7B">
            <w:pPr>
              <w:pStyle w:val="13"/>
            </w:pPr>
            <w:r>
              <w:t>≥218人</w:t>
            </w:r>
          </w:p>
        </w:tc>
        <w:tc>
          <w:tcPr>
            <w:tcW w:w="1276" w:type="dxa"/>
            <w:vAlign w:val="center"/>
          </w:tcPr>
          <w:p w14:paraId="75B3C460">
            <w:pPr>
              <w:pStyle w:val="13"/>
            </w:pPr>
            <w:r>
              <w:t>城乡义务教育公用经费管理办法</w:t>
            </w:r>
          </w:p>
        </w:tc>
      </w:tr>
      <w:tr w14:paraId="0366C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3CE17"/>
        </w:tc>
        <w:tc>
          <w:tcPr>
            <w:tcW w:w="2268" w:type="dxa"/>
            <w:vAlign w:val="center"/>
          </w:tcPr>
          <w:p w14:paraId="102223D5">
            <w:pPr>
              <w:pStyle w:val="13"/>
            </w:pPr>
            <w:r>
              <w:t>时效指标</w:t>
            </w:r>
          </w:p>
        </w:tc>
        <w:tc>
          <w:tcPr>
            <w:tcW w:w="2835" w:type="dxa"/>
            <w:vAlign w:val="center"/>
          </w:tcPr>
          <w:p w14:paraId="3700DE68">
            <w:pPr>
              <w:pStyle w:val="13"/>
            </w:pPr>
            <w:r>
              <w:t>预算执行率</w:t>
            </w:r>
          </w:p>
        </w:tc>
        <w:tc>
          <w:tcPr>
            <w:tcW w:w="5386" w:type="dxa"/>
            <w:vAlign w:val="center"/>
          </w:tcPr>
          <w:p w14:paraId="26062E05">
            <w:pPr>
              <w:pStyle w:val="13"/>
            </w:pPr>
            <w:r>
              <w:t>预算执行率≥98%</w:t>
            </w:r>
          </w:p>
        </w:tc>
        <w:tc>
          <w:tcPr>
            <w:tcW w:w="2268" w:type="dxa"/>
            <w:vAlign w:val="center"/>
          </w:tcPr>
          <w:p w14:paraId="45DBC7FA">
            <w:pPr>
              <w:pStyle w:val="13"/>
            </w:pPr>
            <w:r>
              <w:t>≥98%</w:t>
            </w:r>
          </w:p>
        </w:tc>
        <w:tc>
          <w:tcPr>
            <w:tcW w:w="1276" w:type="dxa"/>
            <w:vAlign w:val="center"/>
          </w:tcPr>
          <w:p w14:paraId="2D91D2D6">
            <w:pPr>
              <w:pStyle w:val="13"/>
            </w:pPr>
            <w:r>
              <w:t>城乡义务教育公用经费管理办法</w:t>
            </w:r>
          </w:p>
        </w:tc>
      </w:tr>
      <w:tr w14:paraId="1CAEB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8C360"/>
        </w:tc>
        <w:tc>
          <w:tcPr>
            <w:tcW w:w="2268" w:type="dxa"/>
            <w:vAlign w:val="center"/>
          </w:tcPr>
          <w:p w14:paraId="5B270410">
            <w:pPr>
              <w:pStyle w:val="13"/>
            </w:pPr>
            <w:r>
              <w:t>成本指标</w:t>
            </w:r>
          </w:p>
        </w:tc>
        <w:tc>
          <w:tcPr>
            <w:tcW w:w="2835" w:type="dxa"/>
            <w:vAlign w:val="center"/>
          </w:tcPr>
          <w:p w14:paraId="01399858">
            <w:pPr>
              <w:pStyle w:val="13"/>
            </w:pPr>
            <w:r>
              <w:t>义教经费支付完成率</w:t>
            </w:r>
          </w:p>
        </w:tc>
        <w:tc>
          <w:tcPr>
            <w:tcW w:w="5386" w:type="dxa"/>
            <w:vAlign w:val="center"/>
          </w:tcPr>
          <w:p w14:paraId="130FE7F7">
            <w:pPr>
              <w:pStyle w:val="13"/>
            </w:pPr>
            <w:r>
              <w:t>按照序时进度完成资金支付</w:t>
            </w:r>
          </w:p>
        </w:tc>
        <w:tc>
          <w:tcPr>
            <w:tcW w:w="2268" w:type="dxa"/>
            <w:vAlign w:val="center"/>
          </w:tcPr>
          <w:p w14:paraId="5D3E2974">
            <w:pPr>
              <w:pStyle w:val="13"/>
            </w:pPr>
            <w:r>
              <w:t>≥100%</w:t>
            </w:r>
          </w:p>
        </w:tc>
        <w:tc>
          <w:tcPr>
            <w:tcW w:w="1276" w:type="dxa"/>
            <w:vAlign w:val="center"/>
          </w:tcPr>
          <w:p w14:paraId="761560C1">
            <w:pPr>
              <w:pStyle w:val="13"/>
            </w:pPr>
            <w:r>
              <w:t>城乡义务教育公用经费管理办法</w:t>
            </w:r>
          </w:p>
        </w:tc>
      </w:tr>
      <w:tr w14:paraId="47CFA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45FCCC">
            <w:pPr>
              <w:pStyle w:val="12"/>
            </w:pPr>
            <w:r>
              <w:t>效益指标</w:t>
            </w:r>
          </w:p>
        </w:tc>
        <w:tc>
          <w:tcPr>
            <w:tcW w:w="2268" w:type="dxa"/>
            <w:vAlign w:val="center"/>
          </w:tcPr>
          <w:p w14:paraId="730E6951">
            <w:pPr>
              <w:pStyle w:val="13"/>
            </w:pPr>
            <w:r>
              <w:t>社会效益指标</w:t>
            </w:r>
          </w:p>
        </w:tc>
        <w:tc>
          <w:tcPr>
            <w:tcW w:w="2835" w:type="dxa"/>
            <w:vAlign w:val="center"/>
          </w:tcPr>
          <w:p w14:paraId="4F691EC6">
            <w:pPr>
              <w:pStyle w:val="13"/>
            </w:pPr>
            <w:r>
              <w:t>学校运转得到提高</w:t>
            </w:r>
          </w:p>
        </w:tc>
        <w:tc>
          <w:tcPr>
            <w:tcW w:w="5386" w:type="dxa"/>
            <w:vAlign w:val="center"/>
          </w:tcPr>
          <w:p w14:paraId="6F8A3CE1">
            <w:pPr>
              <w:pStyle w:val="13"/>
            </w:pPr>
            <w:r>
              <w:t>学生受教育年限</w:t>
            </w:r>
          </w:p>
        </w:tc>
        <w:tc>
          <w:tcPr>
            <w:tcW w:w="2268" w:type="dxa"/>
            <w:vAlign w:val="center"/>
          </w:tcPr>
          <w:p w14:paraId="2EED16CD">
            <w:pPr>
              <w:pStyle w:val="13"/>
            </w:pPr>
            <w:r>
              <w:t>6年</w:t>
            </w:r>
          </w:p>
        </w:tc>
        <w:tc>
          <w:tcPr>
            <w:tcW w:w="1276" w:type="dxa"/>
            <w:vAlign w:val="center"/>
          </w:tcPr>
          <w:p w14:paraId="1E36A8D1">
            <w:pPr>
              <w:pStyle w:val="13"/>
            </w:pPr>
            <w:r>
              <w:t>城乡义务教育公用经费管理办法</w:t>
            </w:r>
          </w:p>
        </w:tc>
      </w:tr>
      <w:tr w14:paraId="0B446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A6279">
            <w:pPr>
              <w:pStyle w:val="12"/>
            </w:pPr>
            <w:r>
              <w:t>满意度指标</w:t>
            </w:r>
          </w:p>
        </w:tc>
        <w:tc>
          <w:tcPr>
            <w:tcW w:w="2268" w:type="dxa"/>
            <w:vAlign w:val="center"/>
          </w:tcPr>
          <w:p w14:paraId="0DBCDF20">
            <w:pPr>
              <w:pStyle w:val="13"/>
            </w:pPr>
            <w:r>
              <w:t>服务对象满意度指标</w:t>
            </w:r>
          </w:p>
        </w:tc>
        <w:tc>
          <w:tcPr>
            <w:tcW w:w="2835" w:type="dxa"/>
            <w:vAlign w:val="center"/>
          </w:tcPr>
          <w:p w14:paraId="0A815CDB">
            <w:pPr>
              <w:pStyle w:val="13"/>
            </w:pPr>
            <w:r>
              <w:t>服务对象满意度</w:t>
            </w:r>
          </w:p>
        </w:tc>
        <w:tc>
          <w:tcPr>
            <w:tcW w:w="5386" w:type="dxa"/>
            <w:vAlign w:val="center"/>
          </w:tcPr>
          <w:p w14:paraId="30753FA1">
            <w:pPr>
              <w:pStyle w:val="13"/>
            </w:pPr>
            <w:r>
              <w:t>学校老师和学生满意度</w:t>
            </w:r>
          </w:p>
        </w:tc>
        <w:tc>
          <w:tcPr>
            <w:tcW w:w="2268" w:type="dxa"/>
            <w:vAlign w:val="center"/>
          </w:tcPr>
          <w:p w14:paraId="6D0BA0C7">
            <w:pPr>
              <w:pStyle w:val="13"/>
            </w:pPr>
            <w:r>
              <w:t>≥95%</w:t>
            </w:r>
          </w:p>
        </w:tc>
        <w:tc>
          <w:tcPr>
            <w:tcW w:w="1276" w:type="dxa"/>
            <w:vAlign w:val="center"/>
          </w:tcPr>
          <w:p w14:paraId="45AC3D1E">
            <w:pPr>
              <w:pStyle w:val="13"/>
            </w:pPr>
            <w:r>
              <w:t>问卷调查</w:t>
            </w:r>
          </w:p>
        </w:tc>
      </w:tr>
    </w:tbl>
    <w:p w14:paraId="518EA3A2">
      <w:pPr>
        <w:sectPr>
          <w:pgSz w:w="16840" w:h="11900" w:orient="landscape"/>
          <w:pgMar w:top="1361" w:right="1020" w:bottom="1134" w:left="1020" w:header="720" w:footer="720" w:gutter="0"/>
          <w:cols w:space="720" w:num="1"/>
        </w:sectPr>
      </w:pPr>
    </w:p>
    <w:p w14:paraId="21DEE892">
      <w:pPr>
        <w:spacing w:before="0" w:after="0"/>
        <w:ind w:firstLine="560"/>
        <w:jc w:val="left"/>
        <w:outlineLvl w:val="9"/>
      </w:pPr>
      <w:r>
        <w:rPr>
          <w:rFonts w:ascii="方正仿宋_GBK" w:hAnsi="方正仿宋_GBK" w:eastAsia="方正仿宋_GBK" w:cs="方正仿宋_GBK"/>
          <w:b/>
          <w:color w:val="000000"/>
          <w:sz w:val="28"/>
        </w:rPr>
        <w:t>20、冀财教[2024]138号/省级/2025年薄改与提升/大宁小学塑胶操场改造绩效目标表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BD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376A9">
            <w:pPr>
              <w:pStyle w:val="14"/>
            </w:pPr>
            <w:r>
              <w:t>单位：万元</w:t>
            </w:r>
          </w:p>
        </w:tc>
      </w:tr>
      <w:tr w14:paraId="086D7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C6E13">
            <w:pPr>
              <w:pStyle w:val="11"/>
            </w:pPr>
            <w:r>
              <w:t>项目编码</w:t>
            </w:r>
          </w:p>
        </w:tc>
        <w:tc>
          <w:tcPr>
            <w:tcW w:w="5103" w:type="dxa"/>
            <w:gridSpan w:val="2"/>
            <w:vAlign w:val="center"/>
          </w:tcPr>
          <w:p w14:paraId="223760D0">
            <w:pPr>
              <w:pStyle w:val="13"/>
            </w:pPr>
            <w:r>
              <w:t>13052525P00877010006C</w:t>
            </w:r>
          </w:p>
        </w:tc>
        <w:tc>
          <w:tcPr>
            <w:tcW w:w="2835" w:type="dxa"/>
            <w:vAlign w:val="center"/>
          </w:tcPr>
          <w:p w14:paraId="471A5477">
            <w:pPr>
              <w:pStyle w:val="11"/>
            </w:pPr>
            <w:r>
              <w:t>项目名称</w:t>
            </w:r>
          </w:p>
        </w:tc>
        <w:tc>
          <w:tcPr>
            <w:tcW w:w="6095" w:type="dxa"/>
            <w:gridSpan w:val="3"/>
            <w:vAlign w:val="center"/>
          </w:tcPr>
          <w:p w14:paraId="4809224C">
            <w:pPr>
              <w:pStyle w:val="13"/>
            </w:pPr>
            <w:r>
              <w:t>冀财教[2024]138号/省级/2025年薄改与提升/大宁小学塑胶操场改造</w:t>
            </w:r>
          </w:p>
        </w:tc>
      </w:tr>
      <w:tr w14:paraId="61707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5467A">
            <w:pPr>
              <w:pStyle w:val="11"/>
            </w:pPr>
            <w:r>
              <w:t>预算规模及资金用途</w:t>
            </w:r>
          </w:p>
        </w:tc>
        <w:tc>
          <w:tcPr>
            <w:tcW w:w="2268" w:type="dxa"/>
            <w:vAlign w:val="center"/>
          </w:tcPr>
          <w:p w14:paraId="7CCF87C9">
            <w:pPr>
              <w:pStyle w:val="11"/>
            </w:pPr>
            <w:r>
              <w:t>预算数</w:t>
            </w:r>
          </w:p>
        </w:tc>
        <w:tc>
          <w:tcPr>
            <w:tcW w:w="2835" w:type="dxa"/>
            <w:vAlign w:val="center"/>
          </w:tcPr>
          <w:p w14:paraId="6C273DCE">
            <w:pPr>
              <w:pStyle w:val="13"/>
            </w:pPr>
            <w:r>
              <w:t>91.00</w:t>
            </w:r>
          </w:p>
        </w:tc>
        <w:tc>
          <w:tcPr>
            <w:tcW w:w="2835" w:type="dxa"/>
            <w:vAlign w:val="center"/>
          </w:tcPr>
          <w:p w14:paraId="5B77DD24">
            <w:pPr>
              <w:pStyle w:val="11"/>
            </w:pPr>
            <w:r>
              <w:t>其中：财政    资金</w:t>
            </w:r>
          </w:p>
        </w:tc>
        <w:tc>
          <w:tcPr>
            <w:tcW w:w="2551" w:type="dxa"/>
            <w:vAlign w:val="center"/>
          </w:tcPr>
          <w:p w14:paraId="5CA65DCC">
            <w:pPr>
              <w:pStyle w:val="13"/>
            </w:pPr>
            <w:r>
              <w:t>91.00</w:t>
            </w:r>
          </w:p>
        </w:tc>
        <w:tc>
          <w:tcPr>
            <w:tcW w:w="2268" w:type="dxa"/>
            <w:vAlign w:val="center"/>
          </w:tcPr>
          <w:p w14:paraId="4078DFFD">
            <w:pPr>
              <w:pStyle w:val="11"/>
            </w:pPr>
            <w:r>
              <w:t>其他资金</w:t>
            </w:r>
          </w:p>
        </w:tc>
        <w:tc>
          <w:tcPr>
            <w:tcW w:w="1276" w:type="dxa"/>
            <w:vAlign w:val="center"/>
          </w:tcPr>
          <w:p w14:paraId="23F0318B">
            <w:pPr>
              <w:pStyle w:val="13"/>
            </w:pPr>
            <w:r>
              <w:t xml:space="preserve"> </w:t>
            </w:r>
          </w:p>
        </w:tc>
      </w:tr>
      <w:tr w14:paraId="299AA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5DF93"/>
        </w:tc>
        <w:tc>
          <w:tcPr>
            <w:tcW w:w="14033" w:type="dxa"/>
            <w:gridSpan w:val="6"/>
            <w:vAlign w:val="center"/>
          </w:tcPr>
          <w:p w14:paraId="7D3B3806">
            <w:pPr>
              <w:pStyle w:val="13"/>
            </w:pPr>
            <w:r>
              <w:t>完成大宁小学塑胶操场改造</w:t>
            </w:r>
          </w:p>
          <w:p w14:paraId="699C9C91">
            <w:pPr>
              <w:pStyle w:val="13"/>
            </w:pPr>
            <w:r>
              <w:t>，满足学校正常教学需要。</w:t>
            </w:r>
          </w:p>
        </w:tc>
      </w:tr>
      <w:tr w14:paraId="437F6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5B061">
            <w:pPr>
              <w:pStyle w:val="11"/>
            </w:pPr>
            <w:r>
              <w:t>资金支出计划（%）</w:t>
            </w:r>
          </w:p>
        </w:tc>
        <w:tc>
          <w:tcPr>
            <w:tcW w:w="5103" w:type="dxa"/>
            <w:gridSpan w:val="2"/>
            <w:vAlign w:val="center"/>
          </w:tcPr>
          <w:p w14:paraId="0D131817">
            <w:pPr>
              <w:pStyle w:val="11"/>
            </w:pPr>
            <w:r>
              <w:t>3月底</w:t>
            </w:r>
          </w:p>
        </w:tc>
        <w:tc>
          <w:tcPr>
            <w:tcW w:w="2835" w:type="dxa"/>
            <w:vAlign w:val="center"/>
          </w:tcPr>
          <w:p w14:paraId="23DCAA15">
            <w:pPr>
              <w:pStyle w:val="11"/>
            </w:pPr>
            <w:r>
              <w:t>6月底</w:t>
            </w:r>
          </w:p>
        </w:tc>
        <w:tc>
          <w:tcPr>
            <w:tcW w:w="2551" w:type="dxa"/>
            <w:vAlign w:val="center"/>
          </w:tcPr>
          <w:p w14:paraId="0B0EE49F">
            <w:pPr>
              <w:pStyle w:val="11"/>
            </w:pPr>
            <w:r>
              <w:t>10月底</w:t>
            </w:r>
          </w:p>
        </w:tc>
        <w:tc>
          <w:tcPr>
            <w:tcW w:w="3544" w:type="dxa"/>
            <w:gridSpan w:val="2"/>
            <w:vAlign w:val="center"/>
          </w:tcPr>
          <w:p w14:paraId="4AE396B7">
            <w:pPr>
              <w:pStyle w:val="11"/>
            </w:pPr>
            <w:r>
              <w:t>12月底</w:t>
            </w:r>
          </w:p>
        </w:tc>
      </w:tr>
      <w:tr w14:paraId="27495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4E933"/>
        </w:tc>
        <w:tc>
          <w:tcPr>
            <w:tcW w:w="5103" w:type="dxa"/>
            <w:gridSpan w:val="2"/>
            <w:vAlign w:val="center"/>
          </w:tcPr>
          <w:p w14:paraId="1B265ECC">
            <w:pPr>
              <w:pStyle w:val="12"/>
            </w:pPr>
            <w:r>
              <w:t xml:space="preserve"> </w:t>
            </w:r>
          </w:p>
        </w:tc>
        <w:tc>
          <w:tcPr>
            <w:tcW w:w="2835" w:type="dxa"/>
            <w:vAlign w:val="center"/>
          </w:tcPr>
          <w:p w14:paraId="13712BEB">
            <w:pPr>
              <w:pStyle w:val="12"/>
            </w:pPr>
            <w:r>
              <w:t>30%</w:t>
            </w:r>
          </w:p>
        </w:tc>
        <w:tc>
          <w:tcPr>
            <w:tcW w:w="2551" w:type="dxa"/>
            <w:vAlign w:val="center"/>
          </w:tcPr>
          <w:p w14:paraId="7938B5C5">
            <w:pPr>
              <w:pStyle w:val="12"/>
            </w:pPr>
            <w:r>
              <w:t>80%</w:t>
            </w:r>
          </w:p>
        </w:tc>
        <w:tc>
          <w:tcPr>
            <w:tcW w:w="3544" w:type="dxa"/>
            <w:gridSpan w:val="2"/>
            <w:vAlign w:val="center"/>
          </w:tcPr>
          <w:p w14:paraId="578C609B">
            <w:pPr>
              <w:pStyle w:val="12"/>
            </w:pPr>
            <w:r>
              <w:t>100%</w:t>
            </w:r>
          </w:p>
        </w:tc>
      </w:tr>
      <w:tr w14:paraId="53BD8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36D58">
            <w:pPr>
              <w:pStyle w:val="11"/>
            </w:pPr>
            <w:r>
              <w:t>绩效目标</w:t>
            </w:r>
          </w:p>
        </w:tc>
        <w:tc>
          <w:tcPr>
            <w:tcW w:w="14033" w:type="dxa"/>
            <w:gridSpan w:val="6"/>
            <w:vAlign w:val="center"/>
          </w:tcPr>
          <w:p w14:paraId="433FA8A6">
            <w:pPr>
              <w:pStyle w:val="13"/>
            </w:pPr>
            <w:r>
              <w:t>1.完成大宁小学塑胶操场改造</w:t>
            </w:r>
          </w:p>
          <w:p w14:paraId="00CE438C">
            <w:pPr>
              <w:pStyle w:val="13"/>
            </w:pPr>
            <w:r>
              <w:t>，满足学校正常教学需要。</w:t>
            </w:r>
          </w:p>
          <w:p w14:paraId="274D96D6">
            <w:pPr>
              <w:pStyle w:val="13"/>
            </w:pPr>
            <w:r>
              <w:t>2.按规定拨付专项资金，资金支付率达到100%。</w:t>
            </w:r>
          </w:p>
        </w:tc>
      </w:tr>
    </w:tbl>
    <w:p w14:paraId="5DF1F0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36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B494EA5">
            <w:pPr>
              <w:pStyle w:val="11"/>
            </w:pPr>
            <w:r>
              <w:t>一级指标</w:t>
            </w:r>
          </w:p>
        </w:tc>
        <w:tc>
          <w:tcPr>
            <w:tcW w:w="2268" w:type="dxa"/>
            <w:vAlign w:val="center"/>
          </w:tcPr>
          <w:p w14:paraId="15D4DEFB">
            <w:pPr>
              <w:pStyle w:val="11"/>
            </w:pPr>
            <w:r>
              <w:t>二级指标</w:t>
            </w:r>
          </w:p>
        </w:tc>
        <w:tc>
          <w:tcPr>
            <w:tcW w:w="2835" w:type="dxa"/>
            <w:vAlign w:val="center"/>
          </w:tcPr>
          <w:p w14:paraId="6A090D96">
            <w:pPr>
              <w:pStyle w:val="11"/>
            </w:pPr>
            <w:r>
              <w:t>三级指标</w:t>
            </w:r>
          </w:p>
        </w:tc>
        <w:tc>
          <w:tcPr>
            <w:tcW w:w="5386" w:type="dxa"/>
            <w:vAlign w:val="center"/>
          </w:tcPr>
          <w:p w14:paraId="55D273E1">
            <w:pPr>
              <w:pStyle w:val="11"/>
            </w:pPr>
            <w:r>
              <w:t>绩效指标描述</w:t>
            </w:r>
          </w:p>
        </w:tc>
        <w:tc>
          <w:tcPr>
            <w:tcW w:w="2268" w:type="dxa"/>
            <w:vAlign w:val="center"/>
          </w:tcPr>
          <w:p w14:paraId="25C44D37">
            <w:pPr>
              <w:pStyle w:val="11"/>
            </w:pPr>
            <w:r>
              <w:t>指标值</w:t>
            </w:r>
          </w:p>
        </w:tc>
        <w:tc>
          <w:tcPr>
            <w:tcW w:w="1276" w:type="dxa"/>
            <w:vAlign w:val="center"/>
          </w:tcPr>
          <w:p w14:paraId="41AC94F7">
            <w:pPr>
              <w:pStyle w:val="11"/>
            </w:pPr>
            <w:r>
              <w:t>指标值确定依据</w:t>
            </w:r>
          </w:p>
        </w:tc>
      </w:tr>
      <w:tr w14:paraId="17A62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C69F8">
            <w:pPr>
              <w:pStyle w:val="12"/>
            </w:pPr>
            <w:r>
              <w:t>产出指标</w:t>
            </w:r>
          </w:p>
        </w:tc>
        <w:tc>
          <w:tcPr>
            <w:tcW w:w="2268" w:type="dxa"/>
            <w:vAlign w:val="center"/>
          </w:tcPr>
          <w:p w14:paraId="1323EF00">
            <w:pPr>
              <w:pStyle w:val="13"/>
            </w:pPr>
            <w:r>
              <w:t>数量指标</w:t>
            </w:r>
          </w:p>
        </w:tc>
        <w:tc>
          <w:tcPr>
            <w:tcW w:w="2835" w:type="dxa"/>
            <w:vAlign w:val="center"/>
          </w:tcPr>
          <w:p w14:paraId="35FCF13B">
            <w:pPr>
              <w:pStyle w:val="13"/>
            </w:pPr>
            <w:r>
              <w:t>塑胶跑道1747平米、足球场草坪3863平米、篮球场地坪漆420平米、路面硬化100平米、新建主席台54平米，排水69米、深水井2座、水井篦子58个，共需资金91万元</w:t>
            </w:r>
          </w:p>
        </w:tc>
        <w:tc>
          <w:tcPr>
            <w:tcW w:w="5386" w:type="dxa"/>
            <w:vAlign w:val="center"/>
          </w:tcPr>
          <w:p w14:paraId="0D0D2710">
            <w:pPr>
              <w:pStyle w:val="13"/>
            </w:pPr>
            <w:r>
              <w:t>塑胶跑道1747平米、足球场草坪3863平米、篮球场地坪漆420平米、路面硬化100平米、新建主席台54平米，排水69米、深水井2座、水井篦子58个，共需资金91万元</w:t>
            </w:r>
          </w:p>
        </w:tc>
        <w:tc>
          <w:tcPr>
            <w:tcW w:w="2268" w:type="dxa"/>
            <w:vAlign w:val="center"/>
          </w:tcPr>
          <w:p w14:paraId="0B292F81">
            <w:pPr>
              <w:pStyle w:val="13"/>
            </w:pPr>
            <w:r>
              <w:t>91万元</w:t>
            </w:r>
          </w:p>
        </w:tc>
        <w:tc>
          <w:tcPr>
            <w:tcW w:w="1276" w:type="dxa"/>
            <w:vAlign w:val="center"/>
          </w:tcPr>
          <w:p w14:paraId="5BBF3BD5">
            <w:pPr>
              <w:pStyle w:val="13"/>
            </w:pPr>
            <w:r>
              <w:t>城乡义务教育公用经费管理办法</w:t>
            </w:r>
          </w:p>
        </w:tc>
      </w:tr>
      <w:tr w14:paraId="594F7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30D6D"/>
        </w:tc>
        <w:tc>
          <w:tcPr>
            <w:tcW w:w="2268" w:type="dxa"/>
            <w:vAlign w:val="center"/>
          </w:tcPr>
          <w:p w14:paraId="5D02F020">
            <w:pPr>
              <w:pStyle w:val="13"/>
            </w:pPr>
            <w:r>
              <w:t>质量指标</w:t>
            </w:r>
          </w:p>
        </w:tc>
        <w:tc>
          <w:tcPr>
            <w:tcW w:w="2835" w:type="dxa"/>
            <w:vAlign w:val="center"/>
          </w:tcPr>
          <w:p w14:paraId="4E6F14A6">
            <w:pPr>
              <w:pStyle w:val="13"/>
            </w:pPr>
            <w:r>
              <w:t>资金支付率</w:t>
            </w:r>
          </w:p>
        </w:tc>
        <w:tc>
          <w:tcPr>
            <w:tcW w:w="5386" w:type="dxa"/>
            <w:vAlign w:val="center"/>
          </w:tcPr>
          <w:p w14:paraId="13CBCA27">
            <w:pPr>
              <w:pStyle w:val="13"/>
            </w:pPr>
            <w:r>
              <w:t>按照序时进度完成资金支付</w:t>
            </w:r>
          </w:p>
        </w:tc>
        <w:tc>
          <w:tcPr>
            <w:tcW w:w="2268" w:type="dxa"/>
            <w:vAlign w:val="center"/>
          </w:tcPr>
          <w:p w14:paraId="54D65926">
            <w:pPr>
              <w:pStyle w:val="13"/>
            </w:pPr>
            <w:r>
              <w:t>≥100%</w:t>
            </w:r>
          </w:p>
        </w:tc>
        <w:tc>
          <w:tcPr>
            <w:tcW w:w="1276" w:type="dxa"/>
            <w:vAlign w:val="center"/>
          </w:tcPr>
          <w:p w14:paraId="7887DE0B">
            <w:pPr>
              <w:pStyle w:val="13"/>
            </w:pPr>
            <w:r>
              <w:t>城乡义务教育公用经费管理办法</w:t>
            </w:r>
          </w:p>
        </w:tc>
      </w:tr>
      <w:tr w14:paraId="1F0F2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3653D"/>
        </w:tc>
        <w:tc>
          <w:tcPr>
            <w:tcW w:w="2268" w:type="dxa"/>
            <w:vAlign w:val="center"/>
          </w:tcPr>
          <w:p w14:paraId="5542028E">
            <w:pPr>
              <w:pStyle w:val="13"/>
            </w:pPr>
            <w:r>
              <w:t>时效指标</w:t>
            </w:r>
          </w:p>
        </w:tc>
        <w:tc>
          <w:tcPr>
            <w:tcW w:w="2835" w:type="dxa"/>
            <w:vAlign w:val="center"/>
          </w:tcPr>
          <w:p w14:paraId="1E7C7BD8">
            <w:pPr>
              <w:pStyle w:val="13"/>
            </w:pPr>
            <w:r>
              <w:t>项目竣工验收合格率</w:t>
            </w:r>
          </w:p>
        </w:tc>
        <w:tc>
          <w:tcPr>
            <w:tcW w:w="5386" w:type="dxa"/>
            <w:vAlign w:val="center"/>
          </w:tcPr>
          <w:p w14:paraId="32813E2E">
            <w:pPr>
              <w:pStyle w:val="13"/>
            </w:pPr>
            <w:r>
              <w:t>项目改造质量达标率</w:t>
            </w:r>
          </w:p>
        </w:tc>
        <w:tc>
          <w:tcPr>
            <w:tcW w:w="2268" w:type="dxa"/>
            <w:vAlign w:val="center"/>
          </w:tcPr>
          <w:p w14:paraId="29F10881">
            <w:pPr>
              <w:pStyle w:val="13"/>
            </w:pPr>
            <w:r>
              <w:t>≥100%</w:t>
            </w:r>
          </w:p>
        </w:tc>
        <w:tc>
          <w:tcPr>
            <w:tcW w:w="1276" w:type="dxa"/>
            <w:vAlign w:val="center"/>
          </w:tcPr>
          <w:p w14:paraId="11FB3751">
            <w:pPr>
              <w:pStyle w:val="13"/>
            </w:pPr>
            <w:r>
              <w:t>城乡义务教育公用经费管理办法</w:t>
            </w:r>
          </w:p>
        </w:tc>
      </w:tr>
      <w:tr w14:paraId="4C04C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D9EB6"/>
        </w:tc>
        <w:tc>
          <w:tcPr>
            <w:tcW w:w="2268" w:type="dxa"/>
            <w:vAlign w:val="center"/>
          </w:tcPr>
          <w:p w14:paraId="6019AF0D">
            <w:pPr>
              <w:pStyle w:val="13"/>
            </w:pPr>
            <w:r>
              <w:t>成本指标</w:t>
            </w:r>
          </w:p>
        </w:tc>
        <w:tc>
          <w:tcPr>
            <w:tcW w:w="2835" w:type="dxa"/>
            <w:vAlign w:val="center"/>
          </w:tcPr>
          <w:p w14:paraId="4E75BDD6">
            <w:pPr>
              <w:pStyle w:val="13"/>
            </w:pPr>
            <w:r>
              <w:t>项目实际成本</w:t>
            </w:r>
          </w:p>
        </w:tc>
        <w:tc>
          <w:tcPr>
            <w:tcW w:w="5386" w:type="dxa"/>
            <w:vAlign w:val="center"/>
          </w:tcPr>
          <w:p w14:paraId="7E2D020B">
            <w:pPr>
              <w:pStyle w:val="13"/>
            </w:pPr>
            <w:r>
              <w:t>塑胶跑道1747平米、足球场草坪3863平米、篮球场地坪漆420平米、路面硬化100平米、新建主席台54平米，排水69米、深水井2座、水井篦子58个，共需资金91万元</w:t>
            </w:r>
          </w:p>
        </w:tc>
        <w:tc>
          <w:tcPr>
            <w:tcW w:w="2268" w:type="dxa"/>
            <w:vAlign w:val="center"/>
          </w:tcPr>
          <w:p w14:paraId="2284B77B">
            <w:pPr>
              <w:pStyle w:val="13"/>
            </w:pPr>
            <w:r>
              <w:t>91万元</w:t>
            </w:r>
          </w:p>
        </w:tc>
        <w:tc>
          <w:tcPr>
            <w:tcW w:w="1276" w:type="dxa"/>
            <w:vAlign w:val="center"/>
          </w:tcPr>
          <w:p w14:paraId="5A9763A5">
            <w:pPr>
              <w:pStyle w:val="13"/>
            </w:pPr>
            <w:r>
              <w:t>城乡义务教育公用经费管理办法</w:t>
            </w:r>
          </w:p>
        </w:tc>
      </w:tr>
      <w:tr w14:paraId="45DD3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45055E">
            <w:pPr>
              <w:pStyle w:val="12"/>
            </w:pPr>
            <w:r>
              <w:t>效益指标</w:t>
            </w:r>
          </w:p>
        </w:tc>
        <w:tc>
          <w:tcPr>
            <w:tcW w:w="2268" w:type="dxa"/>
            <w:vAlign w:val="center"/>
          </w:tcPr>
          <w:p w14:paraId="729643CA">
            <w:pPr>
              <w:pStyle w:val="13"/>
            </w:pPr>
            <w:r>
              <w:t>社会效益指标</w:t>
            </w:r>
          </w:p>
        </w:tc>
        <w:tc>
          <w:tcPr>
            <w:tcW w:w="2835" w:type="dxa"/>
            <w:vAlign w:val="center"/>
          </w:tcPr>
          <w:p w14:paraId="497D49AD">
            <w:pPr>
              <w:pStyle w:val="13"/>
            </w:pPr>
            <w:r>
              <w:t>教育发展水平</w:t>
            </w:r>
          </w:p>
        </w:tc>
        <w:tc>
          <w:tcPr>
            <w:tcW w:w="5386" w:type="dxa"/>
            <w:vAlign w:val="center"/>
          </w:tcPr>
          <w:p w14:paraId="47EAA74B">
            <w:pPr>
              <w:pStyle w:val="13"/>
            </w:pPr>
            <w:r>
              <w:t>辖区内教育环境明显好转</w:t>
            </w:r>
          </w:p>
        </w:tc>
        <w:tc>
          <w:tcPr>
            <w:tcW w:w="2268" w:type="dxa"/>
            <w:vAlign w:val="center"/>
          </w:tcPr>
          <w:p w14:paraId="09C969DE">
            <w:pPr>
              <w:pStyle w:val="13"/>
            </w:pPr>
            <w:r>
              <w:t>≥95%</w:t>
            </w:r>
          </w:p>
        </w:tc>
        <w:tc>
          <w:tcPr>
            <w:tcW w:w="1276" w:type="dxa"/>
            <w:vAlign w:val="center"/>
          </w:tcPr>
          <w:p w14:paraId="179C0575">
            <w:pPr>
              <w:pStyle w:val="13"/>
            </w:pPr>
            <w:r>
              <w:t>城乡义务教育公用经费管理办法</w:t>
            </w:r>
          </w:p>
        </w:tc>
      </w:tr>
      <w:tr w14:paraId="3268F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02EF2761">
            <w:pPr>
              <w:pStyle w:val="12"/>
            </w:pPr>
            <w:r>
              <w:t>满意度指标</w:t>
            </w:r>
          </w:p>
        </w:tc>
        <w:tc>
          <w:tcPr>
            <w:tcW w:w="2268" w:type="dxa"/>
            <w:vAlign w:val="center"/>
          </w:tcPr>
          <w:p w14:paraId="4C99A78D">
            <w:pPr>
              <w:pStyle w:val="13"/>
            </w:pPr>
            <w:r>
              <w:t>服务对象满意度指标</w:t>
            </w:r>
          </w:p>
        </w:tc>
        <w:tc>
          <w:tcPr>
            <w:tcW w:w="2835" w:type="dxa"/>
            <w:vAlign w:val="center"/>
          </w:tcPr>
          <w:p w14:paraId="6A8A53CD">
            <w:pPr>
              <w:pStyle w:val="13"/>
            </w:pPr>
            <w:r>
              <w:t>受益学生家长及调查满意度</w:t>
            </w:r>
          </w:p>
        </w:tc>
        <w:tc>
          <w:tcPr>
            <w:tcW w:w="5386" w:type="dxa"/>
            <w:vAlign w:val="center"/>
          </w:tcPr>
          <w:p w14:paraId="700FDDC9">
            <w:pPr>
              <w:pStyle w:val="13"/>
            </w:pPr>
            <w:r>
              <w:t>学生、教师及家长对学校工作满意度情况</w:t>
            </w:r>
          </w:p>
        </w:tc>
        <w:tc>
          <w:tcPr>
            <w:tcW w:w="2268" w:type="dxa"/>
            <w:vAlign w:val="center"/>
          </w:tcPr>
          <w:p w14:paraId="6E5E42FF">
            <w:pPr>
              <w:pStyle w:val="13"/>
            </w:pPr>
            <w:r>
              <w:t>≥95%</w:t>
            </w:r>
          </w:p>
        </w:tc>
        <w:tc>
          <w:tcPr>
            <w:tcW w:w="1276" w:type="dxa"/>
            <w:vAlign w:val="center"/>
          </w:tcPr>
          <w:p w14:paraId="5BBB0450">
            <w:pPr>
              <w:pStyle w:val="13"/>
            </w:pPr>
            <w:r>
              <w:t>城乡义务教育公用经费管理办法</w:t>
            </w:r>
          </w:p>
        </w:tc>
      </w:tr>
    </w:tbl>
    <w:p w14:paraId="526EBE74">
      <w:pPr>
        <w:sectPr>
          <w:pgSz w:w="16840" w:h="11900" w:orient="landscape"/>
          <w:pgMar w:top="1361" w:right="1020" w:bottom="1134" w:left="1020" w:header="720" w:footer="720" w:gutter="0"/>
          <w:cols w:space="720" w:num="1"/>
        </w:sectPr>
      </w:pPr>
    </w:p>
    <w:p w14:paraId="00E899A7">
      <w:pPr>
        <w:spacing w:before="0" w:after="0"/>
        <w:ind w:firstLine="560"/>
        <w:jc w:val="left"/>
        <w:outlineLvl w:val="9"/>
      </w:pPr>
      <w:r>
        <w:rPr>
          <w:rFonts w:ascii="方正仿宋_GBK" w:hAnsi="方正仿宋_GBK" w:eastAsia="方正仿宋_GBK" w:cs="方正仿宋_GBK"/>
          <w:b/>
          <w:color w:val="000000"/>
          <w:sz w:val="28"/>
        </w:rPr>
        <w:t>21、冀财教[2024]141号/省级/2025年义教补助经费/大霍小学公用经费绩效目标表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BD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CA05D">
            <w:pPr>
              <w:pStyle w:val="14"/>
            </w:pPr>
            <w:r>
              <w:t>单位：万元</w:t>
            </w:r>
          </w:p>
        </w:tc>
      </w:tr>
      <w:tr w14:paraId="0888F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3DEFE">
            <w:pPr>
              <w:pStyle w:val="11"/>
            </w:pPr>
            <w:r>
              <w:t>项目编码</w:t>
            </w:r>
          </w:p>
        </w:tc>
        <w:tc>
          <w:tcPr>
            <w:tcW w:w="5103" w:type="dxa"/>
            <w:gridSpan w:val="2"/>
            <w:vAlign w:val="center"/>
          </w:tcPr>
          <w:p w14:paraId="657A3C7D">
            <w:pPr>
              <w:pStyle w:val="13"/>
            </w:pPr>
            <w:r>
              <w:t>13052525P000004101710</w:t>
            </w:r>
          </w:p>
        </w:tc>
        <w:tc>
          <w:tcPr>
            <w:tcW w:w="2835" w:type="dxa"/>
            <w:vAlign w:val="center"/>
          </w:tcPr>
          <w:p w14:paraId="044407F7">
            <w:pPr>
              <w:pStyle w:val="11"/>
            </w:pPr>
            <w:r>
              <w:t>项目名称</w:t>
            </w:r>
          </w:p>
        </w:tc>
        <w:tc>
          <w:tcPr>
            <w:tcW w:w="6095" w:type="dxa"/>
            <w:gridSpan w:val="3"/>
            <w:vAlign w:val="center"/>
          </w:tcPr>
          <w:p w14:paraId="7D9E7370">
            <w:pPr>
              <w:pStyle w:val="13"/>
            </w:pPr>
            <w:r>
              <w:t>冀财教[2024]141号/省级/2025年义教补助经费/大霍小学公用经费</w:t>
            </w:r>
          </w:p>
        </w:tc>
      </w:tr>
      <w:tr w14:paraId="661C0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DCFD5">
            <w:pPr>
              <w:pStyle w:val="11"/>
            </w:pPr>
            <w:r>
              <w:t>预算规模及资金用途</w:t>
            </w:r>
          </w:p>
        </w:tc>
        <w:tc>
          <w:tcPr>
            <w:tcW w:w="2268" w:type="dxa"/>
            <w:vAlign w:val="center"/>
          </w:tcPr>
          <w:p w14:paraId="573A18B4">
            <w:pPr>
              <w:pStyle w:val="11"/>
            </w:pPr>
            <w:r>
              <w:t>预算数</w:t>
            </w:r>
          </w:p>
        </w:tc>
        <w:tc>
          <w:tcPr>
            <w:tcW w:w="2835" w:type="dxa"/>
            <w:vAlign w:val="center"/>
          </w:tcPr>
          <w:p w14:paraId="77E4FE84">
            <w:pPr>
              <w:pStyle w:val="13"/>
            </w:pPr>
            <w:r>
              <w:t>39.94</w:t>
            </w:r>
          </w:p>
        </w:tc>
        <w:tc>
          <w:tcPr>
            <w:tcW w:w="2835" w:type="dxa"/>
            <w:vAlign w:val="center"/>
          </w:tcPr>
          <w:p w14:paraId="13E67EAF">
            <w:pPr>
              <w:pStyle w:val="11"/>
            </w:pPr>
            <w:r>
              <w:t>其中：财政    资金</w:t>
            </w:r>
          </w:p>
        </w:tc>
        <w:tc>
          <w:tcPr>
            <w:tcW w:w="2551" w:type="dxa"/>
            <w:vAlign w:val="center"/>
          </w:tcPr>
          <w:p w14:paraId="4C54A08F">
            <w:pPr>
              <w:pStyle w:val="13"/>
            </w:pPr>
            <w:r>
              <w:t>39.94</w:t>
            </w:r>
          </w:p>
        </w:tc>
        <w:tc>
          <w:tcPr>
            <w:tcW w:w="2268" w:type="dxa"/>
            <w:vAlign w:val="center"/>
          </w:tcPr>
          <w:p w14:paraId="64EFCA7F">
            <w:pPr>
              <w:pStyle w:val="11"/>
            </w:pPr>
            <w:r>
              <w:t>其他资金</w:t>
            </w:r>
          </w:p>
        </w:tc>
        <w:tc>
          <w:tcPr>
            <w:tcW w:w="1276" w:type="dxa"/>
            <w:vAlign w:val="center"/>
          </w:tcPr>
          <w:p w14:paraId="47936A55">
            <w:pPr>
              <w:pStyle w:val="13"/>
            </w:pPr>
            <w:r>
              <w:t xml:space="preserve"> </w:t>
            </w:r>
          </w:p>
        </w:tc>
      </w:tr>
      <w:tr w14:paraId="78213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7D2606"/>
        </w:tc>
        <w:tc>
          <w:tcPr>
            <w:tcW w:w="14033" w:type="dxa"/>
            <w:gridSpan w:val="6"/>
            <w:vAlign w:val="center"/>
          </w:tcPr>
          <w:p w14:paraId="29F24A1A">
            <w:pPr>
              <w:pStyle w:val="13"/>
            </w:pPr>
            <w:r>
              <w:t>有效完成学校教学安全秩序，保障学校教学任务有效开展，满足学校正常教学需要。</w:t>
            </w:r>
          </w:p>
        </w:tc>
      </w:tr>
      <w:tr w14:paraId="33550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BEF17">
            <w:pPr>
              <w:pStyle w:val="11"/>
            </w:pPr>
            <w:r>
              <w:t>资金支出计划（%）</w:t>
            </w:r>
          </w:p>
        </w:tc>
        <w:tc>
          <w:tcPr>
            <w:tcW w:w="5103" w:type="dxa"/>
            <w:gridSpan w:val="2"/>
            <w:vAlign w:val="center"/>
          </w:tcPr>
          <w:p w14:paraId="041AB185">
            <w:pPr>
              <w:pStyle w:val="11"/>
            </w:pPr>
            <w:r>
              <w:t>3月底</w:t>
            </w:r>
          </w:p>
        </w:tc>
        <w:tc>
          <w:tcPr>
            <w:tcW w:w="2835" w:type="dxa"/>
            <w:vAlign w:val="center"/>
          </w:tcPr>
          <w:p w14:paraId="4D8B968D">
            <w:pPr>
              <w:pStyle w:val="11"/>
            </w:pPr>
            <w:r>
              <w:t>6月底</w:t>
            </w:r>
          </w:p>
        </w:tc>
        <w:tc>
          <w:tcPr>
            <w:tcW w:w="2551" w:type="dxa"/>
            <w:vAlign w:val="center"/>
          </w:tcPr>
          <w:p w14:paraId="001A331E">
            <w:pPr>
              <w:pStyle w:val="11"/>
            </w:pPr>
            <w:r>
              <w:t>10月底</w:t>
            </w:r>
          </w:p>
        </w:tc>
        <w:tc>
          <w:tcPr>
            <w:tcW w:w="3544" w:type="dxa"/>
            <w:gridSpan w:val="2"/>
            <w:vAlign w:val="center"/>
          </w:tcPr>
          <w:p w14:paraId="292DD23C">
            <w:pPr>
              <w:pStyle w:val="11"/>
            </w:pPr>
            <w:r>
              <w:t>12月底</w:t>
            </w:r>
          </w:p>
        </w:tc>
      </w:tr>
      <w:tr w14:paraId="5B9ACE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2946A0"/>
        </w:tc>
        <w:tc>
          <w:tcPr>
            <w:tcW w:w="5103" w:type="dxa"/>
            <w:gridSpan w:val="2"/>
            <w:vAlign w:val="center"/>
          </w:tcPr>
          <w:p w14:paraId="63B3EEC2">
            <w:pPr>
              <w:pStyle w:val="12"/>
            </w:pPr>
            <w:r>
              <w:t>25%</w:t>
            </w:r>
          </w:p>
        </w:tc>
        <w:tc>
          <w:tcPr>
            <w:tcW w:w="2835" w:type="dxa"/>
            <w:vAlign w:val="center"/>
          </w:tcPr>
          <w:p w14:paraId="191E5789">
            <w:pPr>
              <w:pStyle w:val="12"/>
            </w:pPr>
            <w:r>
              <w:t>50%</w:t>
            </w:r>
          </w:p>
        </w:tc>
        <w:tc>
          <w:tcPr>
            <w:tcW w:w="2551" w:type="dxa"/>
            <w:vAlign w:val="center"/>
          </w:tcPr>
          <w:p w14:paraId="4F1AF4EE">
            <w:pPr>
              <w:pStyle w:val="12"/>
            </w:pPr>
            <w:r>
              <w:t>75%</w:t>
            </w:r>
          </w:p>
        </w:tc>
        <w:tc>
          <w:tcPr>
            <w:tcW w:w="3544" w:type="dxa"/>
            <w:gridSpan w:val="2"/>
            <w:vAlign w:val="center"/>
          </w:tcPr>
          <w:p w14:paraId="24367035">
            <w:pPr>
              <w:pStyle w:val="12"/>
            </w:pPr>
            <w:r>
              <w:t>100%</w:t>
            </w:r>
          </w:p>
        </w:tc>
      </w:tr>
      <w:tr w14:paraId="01701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4B4BFE">
            <w:pPr>
              <w:pStyle w:val="11"/>
            </w:pPr>
            <w:r>
              <w:t>绩效目标</w:t>
            </w:r>
          </w:p>
        </w:tc>
        <w:tc>
          <w:tcPr>
            <w:tcW w:w="14033" w:type="dxa"/>
            <w:gridSpan w:val="6"/>
            <w:vAlign w:val="center"/>
          </w:tcPr>
          <w:p w14:paraId="2FEC524D">
            <w:pPr>
              <w:pStyle w:val="13"/>
            </w:pPr>
            <w:r>
              <w:t>1.有效完成学校教学安全秩序，保障学校教学任务有效开展，满足学校正常教学需要。</w:t>
            </w:r>
          </w:p>
          <w:p w14:paraId="5993618A">
            <w:pPr>
              <w:pStyle w:val="13"/>
            </w:pPr>
            <w:r>
              <w:t>2.按规定拨付公用经费资金，预算执行率≥98%。</w:t>
            </w:r>
          </w:p>
        </w:tc>
      </w:tr>
    </w:tbl>
    <w:p w14:paraId="39007D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7B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687CE">
            <w:pPr>
              <w:pStyle w:val="11"/>
            </w:pPr>
            <w:r>
              <w:t>一级指标</w:t>
            </w:r>
          </w:p>
        </w:tc>
        <w:tc>
          <w:tcPr>
            <w:tcW w:w="2268" w:type="dxa"/>
            <w:vAlign w:val="center"/>
          </w:tcPr>
          <w:p w14:paraId="7067A97B">
            <w:pPr>
              <w:pStyle w:val="11"/>
            </w:pPr>
            <w:r>
              <w:t>二级指标</w:t>
            </w:r>
          </w:p>
        </w:tc>
        <w:tc>
          <w:tcPr>
            <w:tcW w:w="2835" w:type="dxa"/>
            <w:vAlign w:val="center"/>
          </w:tcPr>
          <w:p w14:paraId="5E60ABA1">
            <w:pPr>
              <w:pStyle w:val="11"/>
            </w:pPr>
            <w:r>
              <w:t>三级指标</w:t>
            </w:r>
          </w:p>
        </w:tc>
        <w:tc>
          <w:tcPr>
            <w:tcW w:w="5386" w:type="dxa"/>
            <w:vAlign w:val="center"/>
          </w:tcPr>
          <w:p w14:paraId="5258F381">
            <w:pPr>
              <w:pStyle w:val="11"/>
            </w:pPr>
            <w:r>
              <w:t>绩效指标描述</w:t>
            </w:r>
          </w:p>
        </w:tc>
        <w:tc>
          <w:tcPr>
            <w:tcW w:w="2268" w:type="dxa"/>
            <w:vAlign w:val="center"/>
          </w:tcPr>
          <w:p w14:paraId="3AF404E5">
            <w:pPr>
              <w:pStyle w:val="11"/>
            </w:pPr>
            <w:r>
              <w:t>指标值</w:t>
            </w:r>
          </w:p>
        </w:tc>
        <w:tc>
          <w:tcPr>
            <w:tcW w:w="1276" w:type="dxa"/>
            <w:vAlign w:val="center"/>
          </w:tcPr>
          <w:p w14:paraId="6F71F4DA">
            <w:pPr>
              <w:pStyle w:val="11"/>
            </w:pPr>
            <w:r>
              <w:t>指标值确定依据</w:t>
            </w:r>
          </w:p>
        </w:tc>
      </w:tr>
      <w:tr w14:paraId="2E90A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874E8">
            <w:pPr>
              <w:pStyle w:val="12"/>
            </w:pPr>
            <w:r>
              <w:t>产出指标</w:t>
            </w:r>
          </w:p>
        </w:tc>
        <w:tc>
          <w:tcPr>
            <w:tcW w:w="2268" w:type="dxa"/>
            <w:vAlign w:val="center"/>
          </w:tcPr>
          <w:p w14:paraId="01B67484">
            <w:pPr>
              <w:pStyle w:val="13"/>
            </w:pPr>
            <w:r>
              <w:t>数量指标</w:t>
            </w:r>
          </w:p>
        </w:tc>
        <w:tc>
          <w:tcPr>
            <w:tcW w:w="2835" w:type="dxa"/>
            <w:vAlign w:val="center"/>
          </w:tcPr>
          <w:p w14:paraId="7AB29B97">
            <w:pPr>
              <w:pStyle w:val="13"/>
            </w:pPr>
            <w:r>
              <w:t>就读学生数</w:t>
            </w:r>
          </w:p>
        </w:tc>
        <w:tc>
          <w:tcPr>
            <w:tcW w:w="5386" w:type="dxa"/>
            <w:vAlign w:val="center"/>
          </w:tcPr>
          <w:p w14:paraId="04CF47BF">
            <w:pPr>
              <w:pStyle w:val="13"/>
            </w:pPr>
            <w:r>
              <w:t>辐射区域内适龄学生人数</w:t>
            </w:r>
          </w:p>
        </w:tc>
        <w:tc>
          <w:tcPr>
            <w:tcW w:w="2268" w:type="dxa"/>
            <w:vAlign w:val="center"/>
          </w:tcPr>
          <w:p w14:paraId="683226A4">
            <w:pPr>
              <w:pStyle w:val="13"/>
            </w:pPr>
            <w:r>
              <w:t>1218人</w:t>
            </w:r>
          </w:p>
        </w:tc>
        <w:tc>
          <w:tcPr>
            <w:tcW w:w="1276" w:type="dxa"/>
            <w:vAlign w:val="center"/>
          </w:tcPr>
          <w:p w14:paraId="2C7A7E41">
            <w:pPr>
              <w:pStyle w:val="13"/>
            </w:pPr>
            <w:r>
              <w:t>城乡义务教育公用经费管理办法</w:t>
            </w:r>
          </w:p>
        </w:tc>
      </w:tr>
      <w:tr w14:paraId="4B913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911DD"/>
        </w:tc>
        <w:tc>
          <w:tcPr>
            <w:tcW w:w="2268" w:type="dxa"/>
            <w:vAlign w:val="center"/>
          </w:tcPr>
          <w:p w14:paraId="05E26ED2">
            <w:pPr>
              <w:pStyle w:val="13"/>
            </w:pPr>
            <w:r>
              <w:t>质量指标</w:t>
            </w:r>
          </w:p>
        </w:tc>
        <w:tc>
          <w:tcPr>
            <w:tcW w:w="2835" w:type="dxa"/>
            <w:vAlign w:val="center"/>
          </w:tcPr>
          <w:p w14:paraId="781394AA">
            <w:pPr>
              <w:pStyle w:val="13"/>
            </w:pPr>
            <w:r>
              <w:t>预算执行率</w:t>
            </w:r>
          </w:p>
        </w:tc>
        <w:tc>
          <w:tcPr>
            <w:tcW w:w="5386" w:type="dxa"/>
            <w:vAlign w:val="center"/>
          </w:tcPr>
          <w:p w14:paraId="62CD34FD">
            <w:pPr>
              <w:pStyle w:val="13"/>
            </w:pPr>
            <w:r>
              <w:t>预算执行率</w:t>
            </w:r>
          </w:p>
        </w:tc>
        <w:tc>
          <w:tcPr>
            <w:tcW w:w="2268" w:type="dxa"/>
            <w:vAlign w:val="center"/>
          </w:tcPr>
          <w:p w14:paraId="6584B1E8">
            <w:pPr>
              <w:pStyle w:val="13"/>
            </w:pPr>
            <w:r>
              <w:t>≥98%</w:t>
            </w:r>
          </w:p>
        </w:tc>
        <w:tc>
          <w:tcPr>
            <w:tcW w:w="1276" w:type="dxa"/>
            <w:vAlign w:val="center"/>
          </w:tcPr>
          <w:p w14:paraId="06F32EF2">
            <w:pPr>
              <w:pStyle w:val="13"/>
            </w:pPr>
            <w:r>
              <w:t>城乡义务教育公用经费管理办法</w:t>
            </w:r>
          </w:p>
        </w:tc>
      </w:tr>
      <w:tr w14:paraId="6ED4F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C2D01"/>
        </w:tc>
        <w:tc>
          <w:tcPr>
            <w:tcW w:w="2268" w:type="dxa"/>
            <w:vAlign w:val="center"/>
          </w:tcPr>
          <w:p w14:paraId="617F1D9B">
            <w:pPr>
              <w:pStyle w:val="13"/>
            </w:pPr>
            <w:r>
              <w:t>时效指标</w:t>
            </w:r>
          </w:p>
        </w:tc>
        <w:tc>
          <w:tcPr>
            <w:tcW w:w="2835" w:type="dxa"/>
            <w:vAlign w:val="center"/>
          </w:tcPr>
          <w:p w14:paraId="6EBE3BE7">
            <w:pPr>
              <w:pStyle w:val="13"/>
            </w:pPr>
            <w:r>
              <w:t>义教经费支付完成率</w:t>
            </w:r>
          </w:p>
        </w:tc>
        <w:tc>
          <w:tcPr>
            <w:tcW w:w="5386" w:type="dxa"/>
            <w:vAlign w:val="center"/>
          </w:tcPr>
          <w:p w14:paraId="4A9E0F59">
            <w:pPr>
              <w:pStyle w:val="13"/>
            </w:pPr>
            <w:r>
              <w:t>按照序时进度完成资金支付</w:t>
            </w:r>
          </w:p>
        </w:tc>
        <w:tc>
          <w:tcPr>
            <w:tcW w:w="2268" w:type="dxa"/>
            <w:vAlign w:val="center"/>
          </w:tcPr>
          <w:p w14:paraId="78E0C8BD">
            <w:pPr>
              <w:pStyle w:val="13"/>
            </w:pPr>
            <w:r>
              <w:t>≥100%</w:t>
            </w:r>
          </w:p>
        </w:tc>
        <w:tc>
          <w:tcPr>
            <w:tcW w:w="1276" w:type="dxa"/>
            <w:vAlign w:val="center"/>
          </w:tcPr>
          <w:p w14:paraId="4E522D97">
            <w:pPr>
              <w:pStyle w:val="13"/>
            </w:pPr>
            <w:r>
              <w:t>城乡义务教育公用经费管理办法</w:t>
            </w:r>
          </w:p>
        </w:tc>
      </w:tr>
      <w:tr w14:paraId="277BA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7E449"/>
        </w:tc>
        <w:tc>
          <w:tcPr>
            <w:tcW w:w="2268" w:type="dxa"/>
            <w:vAlign w:val="center"/>
          </w:tcPr>
          <w:p w14:paraId="46E0135F">
            <w:pPr>
              <w:pStyle w:val="13"/>
            </w:pPr>
            <w:r>
              <w:t>成本指标</w:t>
            </w:r>
          </w:p>
        </w:tc>
        <w:tc>
          <w:tcPr>
            <w:tcW w:w="2835" w:type="dxa"/>
            <w:vAlign w:val="center"/>
          </w:tcPr>
          <w:p w14:paraId="506ED239">
            <w:pPr>
              <w:pStyle w:val="13"/>
            </w:pPr>
            <w:r>
              <w:t>生均拨款标准</w:t>
            </w:r>
          </w:p>
        </w:tc>
        <w:tc>
          <w:tcPr>
            <w:tcW w:w="5386" w:type="dxa"/>
            <w:vAlign w:val="center"/>
          </w:tcPr>
          <w:p w14:paraId="4CD0B735">
            <w:pPr>
              <w:pStyle w:val="13"/>
            </w:pPr>
            <w:r>
              <w:t>小学：（基本标准720元、寄宿生300元、生活补助120元）/生/学年；特教、随班就读学生：标准6000元/生/学年</w:t>
            </w:r>
          </w:p>
        </w:tc>
        <w:tc>
          <w:tcPr>
            <w:tcW w:w="2268" w:type="dxa"/>
            <w:vAlign w:val="center"/>
          </w:tcPr>
          <w:p w14:paraId="6A2F666E">
            <w:pPr>
              <w:pStyle w:val="13"/>
            </w:pPr>
            <w:r>
              <w:t>840元</w:t>
            </w:r>
          </w:p>
        </w:tc>
        <w:tc>
          <w:tcPr>
            <w:tcW w:w="1276" w:type="dxa"/>
            <w:vAlign w:val="center"/>
          </w:tcPr>
          <w:p w14:paraId="2BC6088F">
            <w:pPr>
              <w:pStyle w:val="13"/>
            </w:pPr>
            <w:r>
              <w:t>城乡义务教育公用经费管理办法</w:t>
            </w:r>
          </w:p>
        </w:tc>
      </w:tr>
      <w:tr w14:paraId="11B80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A311B8">
            <w:pPr>
              <w:pStyle w:val="12"/>
            </w:pPr>
            <w:r>
              <w:t>效益指标</w:t>
            </w:r>
          </w:p>
        </w:tc>
        <w:tc>
          <w:tcPr>
            <w:tcW w:w="2268" w:type="dxa"/>
            <w:vAlign w:val="center"/>
          </w:tcPr>
          <w:p w14:paraId="410965EC">
            <w:pPr>
              <w:pStyle w:val="13"/>
            </w:pPr>
            <w:r>
              <w:t>可持续影响指标</w:t>
            </w:r>
          </w:p>
        </w:tc>
        <w:tc>
          <w:tcPr>
            <w:tcW w:w="2835" w:type="dxa"/>
            <w:vAlign w:val="center"/>
          </w:tcPr>
          <w:p w14:paraId="302D605B">
            <w:pPr>
              <w:pStyle w:val="13"/>
            </w:pPr>
            <w:r>
              <w:t>学校稳定率</w:t>
            </w:r>
          </w:p>
        </w:tc>
        <w:tc>
          <w:tcPr>
            <w:tcW w:w="5386" w:type="dxa"/>
            <w:vAlign w:val="center"/>
          </w:tcPr>
          <w:p w14:paraId="6BD919C7">
            <w:pPr>
              <w:pStyle w:val="13"/>
            </w:pPr>
            <w:r>
              <w:t>维护学校稳定，保障学校正常教学秩序有效开展</w:t>
            </w:r>
          </w:p>
        </w:tc>
        <w:tc>
          <w:tcPr>
            <w:tcW w:w="2268" w:type="dxa"/>
            <w:vAlign w:val="center"/>
          </w:tcPr>
          <w:p w14:paraId="143BC5C6">
            <w:pPr>
              <w:pStyle w:val="13"/>
            </w:pPr>
            <w:r>
              <w:t>≥100%</w:t>
            </w:r>
          </w:p>
        </w:tc>
        <w:tc>
          <w:tcPr>
            <w:tcW w:w="1276" w:type="dxa"/>
            <w:vAlign w:val="center"/>
          </w:tcPr>
          <w:p w14:paraId="69BF1BB3">
            <w:pPr>
              <w:pStyle w:val="13"/>
            </w:pPr>
            <w:r>
              <w:t>城乡义务教育公用经费管理办法</w:t>
            </w:r>
          </w:p>
        </w:tc>
      </w:tr>
      <w:tr w14:paraId="6D6B5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28D68B91">
            <w:pPr>
              <w:pStyle w:val="12"/>
            </w:pPr>
            <w:r>
              <w:t>满意度指标</w:t>
            </w:r>
          </w:p>
        </w:tc>
        <w:tc>
          <w:tcPr>
            <w:tcW w:w="2268" w:type="dxa"/>
            <w:vAlign w:val="center"/>
          </w:tcPr>
          <w:p w14:paraId="30CDE037">
            <w:pPr>
              <w:pStyle w:val="13"/>
            </w:pPr>
            <w:r>
              <w:t>服务对象满意度指标</w:t>
            </w:r>
          </w:p>
        </w:tc>
        <w:tc>
          <w:tcPr>
            <w:tcW w:w="2835" w:type="dxa"/>
            <w:vAlign w:val="center"/>
          </w:tcPr>
          <w:p w14:paraId="548FE789">
            <w:pPr>
              <w:pStyle w:val="13"/>
            </w:pPr>
            <w:r>
              <w:t>家长和学生满意度</w:t>
            </w:r>
          </w:p>
        </w:tc>
        <w:tc>
          <w:tcPr>
            <w:tcW w:w="5386" w:type="dxa"/>
            <w:vAlign w:val="center"/>
          </w:tcPr>
          <w:p w14:paraId="5E4E1247">
            <w:pPr>
              <w:pStyle w:val="13"/>
            </w:pPr>
            <w:r>
              <w:t>家长和学生满意度</w:t>
            </w:r>
          </w:p>
        </w:tc>
        <w:tc>
          <w:tcPr>
            <w:tcW w:w="2268" w:type="dxa"/>
            <w:vAlign w:val="center"/>
          </w:tcPr>
          <w:p w14:paraId="7D0C7504">
            <w:pPr>
              <w:pStyle w:val="13"/>
            </w:pPr>
            <w:r>
              <w:t>≥95%</w:t>
            </w:r>
          </w:p>
        </w:tc>
        <w:tc>
          <w:tcPr>
            <w:tcW w:w="1276" w:type="dxa"/>
            <w:vAlign w:val="center"/>
          </w:tcPr>
          <w:p w14:paraId="3F2D9363">
            <w:pPr>
              <w:pStyle w:val="13"/>
            </w:pPr>
            <w:r>
              <w:t>问卷调查</w:t>
            </w:r>
          </w:p>
        </w:tc>
      </w:tr>
    </w:tbl>
    <w:p w14:paraId="56C01C31">
      <w:pPr>
        <w:sectPr>
          <w:pgSz w:w="16840" w:h="11900" w:orient="landscape"/>
          <w:pgMar w:top="1361" w:right="1020" w:bottom="1134" w:left="1020" w:header="720" w:footer="720" w:gutter="0"/>
          <w:cols w:space="720" w:num="1"/>
        </w:sectPr>
      </w:pPr>
    </w:p>
    <w:p w14:paraId="70C5F86A">
      <w:pPr>
        <w:spacing w:before="0" w:after="0"/>
        <w:ind w:firstLine="560"/>
        <w:jc w:val="left"/>
        <w:outlineLvl w:val="9"/>
      </w:pPr>
      <w:r>
        <w:rPr>
          <w:rFonts w:ascii="方正仿宋_GBK" w:hAnsi="方正仿宋_GBK" w:eastAsia="方正仿宋_GBK" w:cs="方正仿宋_GBK"/>
          <w:b/>
          <w:color w:val="000000"/>
          <w:sz w:val="28"/>
        </w:rPr>
        <w:t>22、冀财教[2024]141号/省级/2025年义教补助经费/大宁甫小学公用经费绩效目标表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F78B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79557">
            <w:pPr>
              <w:pStyle w:val="14"/>
            </w:pPr>
            <w:r>
              <w:t>单位：万元</w:t>
            </w:r>
          </w:p>
        </w:tc>
      </w:tr>
      <w:tr w14:paraId="25C27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2BB21">
            <w:pPr>
              <w:pStyle w:val="11"/>
            </w:pPr>
            <w:r>
              <w:t>项目编码</w:t>
            </w:r>
          </w:p>
        </w:tc>
        <w:tc>
          <w:tcPr>
            <w:tcW w:w="5103" w:type="dxa"/>
            <w:gridSpan w:val="2"/>
            <w:vAlign w:val="center"/>
          </w:tcPr>
          <w:p w14:paraId="13BE244F">
            <w:pPr>
              <w:pStyle w:val="13"/>
            </w:pPr>
            <w:r>
              <w:t>13052525P00000410170C</w:t>
            </w:r>
          </w:p>
        </w:tc>
        <w:tc>
          <w:tcPr>
            <w:tcW w:w="2835" w:type="dxa"/>
            <w:vAlign w:val="center"/>
          </w:tcPr>
          <w:p w14:paraId="506D565F">
            <w:pPr>
              <w:pStyle w:val="11"/>
            </w:pPr>
            <w:r>
              <w:t>项目名称</w:t>
            </w:r>
          </w:p>
        </w:tc>
        <w:tc>
          <w:tcPr>
            <w:tcW w:w="6095" w:type="dxa"/>
            <w:gridSpan w:val="3"/>
            <w:vAlign w:val="center"/>
          </w:tcPr>
          <w:p w14:paraId="5AF4D979">
            <w:pPr>
              <w:pStyle w:val="13"/>
            </w:pPr>
            <w:r>
              <w:t>冀财教[2024]141号/省级/2025年义教补助经费/大宁甫小学公用经费</w:t>
            </w:r>
          </w:p>
        </w:tc>
      </w:tr>
      <w:tr w14:paraId="7559F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302EF">
            <w:pPr>
              <w:pStyle w:val="11"/>
            </w:pPr>
            <w:r>
              <w:t>预算规模及资金用途</w:t>
            </w:r>
          </w:p>
        </w:tc>
        <w:tc>
          <w:tcPr>
            <w:tcW w:w="2268" w:type="dxa"/>
            <w:vAlign w:val="center"/>
          </w:tcPr>
          <w:p w14:paraId="6DEB8F1C">
            <w:pPr>
              <w:pStyle w:val="11"/>
            </w:pPr>
            <w:r>
              <w:t>预算数</w:t>
            </w:r>
          </w:p>
        </w:tc>
        <w:tc>
          <w:tcPr>
            <w:tcW w:w="2835" w:type="dxa"/>
            <w:vAlign w:val="center"/>
          </w:tcPr>
          <w:p w14:paraId="11E3B59E">
            <w:pPr>
              <w:pStyle w:val="13"/>
            </w:pPr>
            <w:r>
              <w:t>20.15</w:t>
            </w:r>
          </w:p>
        </w:tc>
        <w:tc>
          <w:tcPr>
            <w:tcW w:w="2835" w:type="dxa"/>
            <w:vAlign w:val="center"/>
          </w:tcPr>
          <w:p w14:paraId="4F4B0734">
            <w:pPr>
              <w:pStyle w:val="11"/>
            </w:pPr>
            <w:r>
              <w:t>其中：财政    资金</w:t>
            </w:r>
          </w:p>
        </w:tc>
        <w:tc>
          <w:tcPr>
            <w:tcW w:w="2551" w:type="dxa"/>
            <w:vAlign w:val="center"/>
          </w:tcPr>
          <w:p w14:paraId="3950B159">
            <w:pPr>
              <w:pStyle w:val="13"/>
            </w:pPr>
            <w:r>
              <w:t>20.15</w:t>
            </w:r>
          </w:p>
        </w:tc>
        <w:tc>
          <w:tcPr>
            <w:tcW w:w="2268" w:type="dxa"/>
            <w:vAlign w:val="center"/>
          </w:tcPr>
          <w:p w14:paraId="7E4A9AA9">
            <w:pPr>
              <w:pStyle w:val="11"/>
            </w:pPr>
            <w:r>
              <w:t>其他资金</w:t>
            </w:r>
          </w:p>
        </w:tc>
        <w:tc>
          <w:tcPr>
            <w:tcW w:w="1276" w:type="dxa"/>
            <w:vAlign w:val="center"/>
          </w:tcPr>
          <w:p w14:paraId="4B7C767A">
            <w:pPr>
              <w:pStyle w:val="13"/>
            </w:pPr>
            <w:r>
              <w:t xml:space="preserve"> </w:t>
            </w:r>
          </w:p>
        </w:tc>
      </w:tr>
      <w:tr w14:paraId="42CEE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A35CDC"/>
        </w:tc>
        <w:tc>
          <w:tcPr>
            <w:tcW w:w="14033" w:type="dxa"/>
            <w:gridSpan w:val="6"/>
            <w:vAlign w:val="center"/>
          </w:tcPr>
          <w:p w14:paraId="445B76F3">
            <w:pPr>
              <w:pStyle w:val="13"/>
            </w:pPr>
            <w:r>
              <w:t>有效完成学校教学安全秩序，保障学校教学任务有效开展，满足学校正常教学需要。</w:t>
            </w:r>
          </w:p>
        </w:tc>
      </w:tr>
      <w:tr w14:paraId="7516A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234FE576">
            <w:pPr>
              <w:pStyle w:val="11"/>
            </w:pPr>
            <w:r>
              <w:t>资金支出计划（%）</w:t>
            </w:r>
          </w:p>
        </w:tc>
        <w:tc>
          <w:tcPr>
            <w:tcW w:w="5103" w:type="dxa"/>
            <w:gridSpan w:val="2"/>
            <w:vAlign w:val="center"/>
          </w:tcPr>
          <w:p w14:paraId="08B8F811">
            <w:pPr>
              <w:pStyle w:val="11"/>
            </w:pPr>
            <w:r>
              <w:t>3月底</w:t>
            </w:r>
          </w:p>
        </w:tc>
        <w:tc>
          <w:tcPr>
            <w:tcW w:w="2835" w:type="dxa"/>
            <w:vAlign w:val="center"/>
          </w:tcPr>
          <w:p w14:paraId="5B65FB1A">
            <w:pPr>
              <w:pStyle w:val="11"/>
            </w:pPr>
            <w:r>
              <w:t>6月底</w:t>
            </w:r>
          </w:p>
        </w:tc>
        <w:tc>
          <w:tcPr>
            <w:tcW w:w="2551" w:type="dxa"/>
            <w:vAlign w:val="center"/>
          </w:tcPr>
          <w:p w14:paraId="3AA8698B">
            <w:pPr>
              <w:pStyle w:val="11"/>
            </w:pPr>
            <w:r>
              <w:t>10月底</w:t>
            </w:r>
          </w:p>
        </w:tc>
        <w:tc>
          <w:tcPr>
            <w:tcW w:w="3544" w:type="dxa"/>
            <w:gridSpan w:val="2"/>
            <w:vAlign w:val="center"/>
          </w:tcPr>
          <w:p w14:paraId="527F15DF">
            <w:pPr>
              <w:pStyle w:val="11"/>
            </w:pPr>
            <w:r>
              <w:t>12月底</w:t>
            </w:r>
          </w:p>
        </w:tc>
      </w:tr>
      <w:tr w14:paraId="6DC7B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DE6117"/>
        </w:tc>
        <w:tc>
          <w:tcPr>
            <w:tcW w:w="5103" w:type="dxa"/>
            <w:gridSpan w:val="2"/>
            <w:vAlign w:val="center"/>
          </w:tcPr>
          <w:p w14:paraId="7CE70DAE">
            <w:pPr>
              <w:pStyle w:val="12"/>
            </w:pPr>
            <w:r>
              <w:t>25%</w:t>
            </w:r>
          </w:p>
        </w:tc>
        <w:tc>
          <w:tcPr>
            <w:tcW w:w="2835" w:type="dxa"/>
            <w:vAlign w:val="center"/>
          </w:tcPr>
          <w:p w14:paraId="718A09BA">
            <w:pPr>
              <w:pStyle w:val="12"/>
            </w:pPr>
            <w:r>
              <w:t>50%</w:t>
            </w:r>
          </w:p>
        </w:tc>
        <w:tc>
          <w:tcPr>
            <w:tcW w:w="2551" w:type="dxa"/>
            <w:vAlign w:val="center"/>
          </w:tcPr>
          <w:p w14:paraId="54E60C89">
            <w:pPr>
              <w:pStyle w:val="12"/>
            </w:pPr>
            <w:r>
              <w:t>75%</w:t>
            </w:r>
          </w:p>
        </w:tc>
        <w:tc>
          <w:tcPr>
            <w:tcW w:w="3544" w:type="dxa"/>
            <w:gridSpan w:val="2"/>
            <w:vAlign w:val="center"/>
          </w:tcPr>
          <w:p w14:paraId="71ED5063">
            <w:pPr>
              <w:pStyle w:val="12"/>
            </w:pPr>
            <w:r>
              <w:t>100%</w:t>
            </w:r>
          </w:p>
        </w:tc>
      </w:tr>
      <w:tr w14:paraId="303CF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50A2D5">
            <w:pPr>
              <w:pStyle w:val="11"/>
            </w:pPr>
            <w:r>
              <w:t>绩效目标</w:t>
            </w:r>
          </w:p>
        </w:tc>
        <w:tc>
          <w:tcPr>
            <w:tcW w:w="14033" w:type="dxa"/>
            <w:gridSpan w:val="6"/>
            <w:vAlign w:val="center"/>
          </w:tcPr>
          <w:p w14:paraId="14C28575">
            <w:pPr>
              <w:pStyle w:val="13"/>
            </w:pPr>
            <w:r>
              <w:t>1.按规定拨付公用经费资金，预算执行率≥98%。</w:t>
            </w:r>
          </w:p>
          <w:p w14:paraId="5A264F09">
            <w:pPr>
              <w:pStyle w:val="13"/>
            </w:pPr>
            <w:r>
              <w:t>2.有效完成学校教学安全秩序，保障学校教学任务有效开展，满足学校正常教学需要。</w:t>
            </w:r>
          </w:p>
        </w:tc>
      </w:tr>
    </w:tbl>
    <w:p w14:paraId="566A6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B8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B2B55">
            <w:pPr>
              <w:pStyle w:val="11"/>
            </w:pPr>
            <w:r>
              <w:t>一级指标</w:t>
            </w:r>
          </w:p>
        </w:tc>
        <w:tc>
          <w:tcPr>
            <w:tcW w:w="2268" w:type="dxa"/>
            <w:vAlign w:val="center"/>
          </w:tcPr>
          <w:p w14:paraId="226C5BAF">
            <w:pPr>
              <w:pStyle w:val="11"/>
            </w:pPr>
            <w:r>
              <w:t>二级指标</w:t>
            </w:r>
          </w:p>
        </w:tc>
        <w:tc>
          <w:tcPr>
            <w:tcW w:w="2835" w:type="dxa"/>
            <w:vAlign w:val="center"/>
          </w:tcPr>
          <w:p w14:paraId="6BAB94CF">
            <w:pPr>
              <w:pStyle w:val="11"/>
            </w:pPr>
            <w:r>
              <w:t>三级指标</w:t>
            </w:r>
          </w:p>
        </w:tc>
        <w:tc>
          <w:tcPr>
            <w:tcW w:w="5386" w:type="dxa"/>
            <w:vAlign w:val="center"/>
          </w:tcPr>
          <w:p w14:paraId="09570E45">
            <w:pPr>
              <w:pStyle w:val="11"/>
            </w:pPr>
            <w:r>
              <w:t>绩效指标描述</w:t>
            </w:r>
          </w:p>
        </w:tc>
        <w:tc>
          <w:tcPr>
            <w:tcW w:w="2268" w:type="dxa"/>
            <w:vAlign w:val="center"/>
          </w:tcPr>
          <w:p w14:paraId="548AB696">
            <w:pPr>
              <w:pStyle w:val="11"/>
            </w:pPr>
            <w:r>
              <w:t>指标值</w:t>
            </w:r>
          </w:p>
        </w:tc>
        <w:tc>
          <w:tcPr>
            <w:tcW w:w="1276" w:type="dxa"/>
            <w:vAlign w:val="center"/>
          </w:tcPr>
          <w:p w14:paraId="0C52235A">
            <w:pPr>
              <w:pStyle w:val="11"/>
            </w:pPr>
            <w:r>
              <w:t>指标值确定依据</w:t>
            </w:r>
          </w:p>
        </w:tc>
      </w:tr>
      <w:tr w14:paraId="3312A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D0C5B">
            <w:pPr>
              <w:pStyle w:val="12"/>
            </w:pPr>
            <w:r>
              <w:t>产出指标</w:t>
            </w:r>
          </w:p>
        </w:tc>
        <w:tc>
          <w:tcPr>
            <w:tcW w:w="2268" w:type="dxa"/>
            <w:vAlign w:val="center"/>
          </w:tcPr>
          <w:p w14:paraId="6861A21C">
            <w:pPr>
              <w:pStyle w:val="13"/>
            </w:pPr>
            <w:r>
              <w:t>数量指标</w:t>
            </w:r>
          </w:p>
        </w:tc>
        <w:tc>
          <w:tcPr>
            <w:tcW w:w="2835" w:type="dxa"/>
            <w:vAlign w:val="center"/>
          </w:tcPr>
          <w:p w14:paraId="15104473">
            <w:pPr>
              <w:pStyle w:val="13"/>
            </w:pPr>
            <w:r>
              <w:t>就读学生数</w:t>
            </w:r>
          </w:p>
        </w:tc>
        <w:tc>
          <w:tcPr>
            <w:tcW w:w="5386" w:type="dxa"/>
            <w:vAlign w:val="center"/>
          </w:tcPr>
          <w:p w14:paraId="6AFC5929">
            <w:pPr>
              <w:pStyle w:val="13"/>
            </w:pPr>
            <w:r>
              <w:t>辐射区域内适龄学生人数</w:t>
            </w:r>
          </w:p>
        </w:tc>
        <w:tc>
          <w:tcPr>
            <w:tcW w:w="2268" w:type="dxa"/>
            <w:vAlign w:val="center"/>
          </w:tcPr>
          <w:p w14:paraId="480641ED">
            <w:pPr>
              <w:pStyle w:val="13"/>
            </w:pPr>
            <w:r>
              <w:t>≥659人</w:t>
            </w:r>
          </w:p>
        </w:tc>
        <w:tc>
          <w:tcPr>
            <w:tcW w:w="1276" w:type="dxa"/>
            <w:vAlign w:val="center"/>
          </w:tcPr>
          <w:p w14:paraId="41A11D52">
            <w:pPr>
              <w:pStyle w:val="13"/>
            </w:pPr>
            <w:r>
              <w:t>城乡义务教育公用经费管理办法</w:t>
            </w:r>
          </w:p>
        </w:tc>
      </w:tr>
      <w:tr w14:paraId="655CB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67108"/>
        </w:tc>
        <w:tc>
          <w:tcPr>
            <w:tcW w:w="2268" w:type="dxa"/>
            <w:vAlign w:val="center"/>
          </w:tcPr>
          <w:p w14:paraId="2C468E03">
            <w:pPr>
              <w:pStyle w:val="13"/>
            </w:pPr>
            <w:r>
              <w:t>质量指标</w:t>
            </w:r>
          </w:p>
        </w:tc>
        <w:tc>
          <w:tcPr>
            <w:tcW w:w="2835" w:type="dxa"/>
            <w:vAlign w:val="center"/>
          </w:tcPr>
          <w:p w14:paraId="30A2F8AF">
            <w:pPr>
              <w:pStyle w:val="13"/>
            </w:pPr>
            <w:r>
              <w:t>预算执行率</w:t>
            </w:r>
          </w:p>
        </w:tc>
        <w:tc>
          <w:tcPr>
            <w:tcW w:w="5386" w:type="dxa"/>
            <w:vAlign w:val="center"/>
          </w:tcPr>
          <w:p w14:paraId="5734DE1A">
            <w:pPr>
              <w:pStyle w:val="13"/>
            </w:pPr>
            <w:r>
              <w:t>预算执行率</w:t>
            </w:r>
          </w:p>
        </w:tc>
        <w:tc>
          <w:tcPr>
            <w:tcW w:w="2268" w:type="dxa"/>
            <w:vAlign w:val="center"/>
          </w:tcPr>
          <w:p w14:paraId="53182D5D">
            <w:pPr>
              <w:pStyle w:val="13"/>
            </w:pPr>
            <w:r>
              <w:t>≥98%</w:t>
            </w:r>
          </w:p>
        </w:tc>
        <w:tc>
          <w:tcPr>
            <w:tcW w:w="1276" w:type="dxa"/>
            <w:vAlign w:val="center"/>
          </w:tcPr>
          <w:p w14:paraId="39733774">
            <w:pPr>
              <w:pStyle w:val="13"/>
            </w:pPr>
            <w:r>
              <w:t>城乡义务教育公用经费管理办法</w:t>
            </w:r>
          </w:p>
        </w:tc>
      </w:tr>
      <w:tr w14:paraId="66C95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F0DF8"/>
        </w:tc>
        <w:tc>
          <w:tcPr>
            <w:tcW w:w="2268" w:type="dxa"/>
            <w:vAlign w:val="center"/>
          </w:tcPr>
          <w:p w14:paraId="3CB941D2">
            <w:pPr>
              <w:pStyle w:val="13"/>
            </w:pPr>
            <w:r>
              <w:t>时效指标</w:t>
            </w:r>
          </w:p>
        </w:tc>
        <w:tc>
          <w:tcPr>
            <w:tcW w:w="2835" w:type="dxa"/>
            <w:vAlign w:val="center"/>
          </w:tcPr>
          <w:p w14:paraId="2A07F632">
            <w:pPr>
              <w:pStyle w:val="13"/>
            </w:pPr>
            <w:r>
              <w:t>义教经费支付完成率</w:t>
            </w:r>
          </w:p>
        </w:tc>
        <w:tc>
          <w:tcPr>
            <w:tcW w:w="5386" w:type="dxa"/>
            <w:vAlign w:val="center"/>
          </w:tcPr>
          <w:p w14:paraId="3F8968D6">
            <w:pPr>
              <w:pStyle w:val="13"/>
            </w:pPr>
            <w:r>
              <w:t>按照序时进度完成资金支付</w:t>
            </w:r>
          </w:p>
        </w:tc>
        <w:tc>
          <w:tcPr>
            <w:tcW w:w="2268" w:type="dxa"/>
            <w:vAlign w:val="center"/>
          </w:tcPr>
          <w:p w14:paraId="7BAFBA9B">
            <w:pPr>
              <w:pStyle w:val="13"/>
            </w:pPr>
            <w:r>
              <w:t>≥100%</w:t>
            </w:r>
          </w:p>
        </w:tc>
        <w:tc>
          <w:tcPr>
            <w:tcW w:w="1276" w:type="dxa"/>
            <w:vAlign w:val="center"/>
          </w:tcPr>
          <w:p w14:paraId="09B00196">
            <w:pPr>
              <w:pStyle w:val="13"/>
            </w:pPr>
            <w:r>
              <w:t>城乡义务教育公用经费管理办法</w:t>
            </w:r>
          </w:p>
        </w:tc>
      </w:tr>
      <w:tr w14:paraId="250C9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5C74A"/>
        </w:tc>
        <w:tc>
          <w:tcPr>
            <w:tcW w:w="2268" w:type="dxa"/>
            <w:vAlign w:val="center"/>
          </w:tcPr>
          <w:p w14:paraId="0C1E7B40">
            <w:pPr>
              <w:pStyle w:val="13"/>
            </w:pPr>
            <w:r>
              <w:t>成本指标</w:t>
            </w:r>
          </w:p>
        </w:tc>
        <w:tc>
          <w:tcPr>
            <w:tcW w:w="2835" w:type="dxa"/>
            <w:vAlign w:val="center"/>
          </w:tcPr>
          <w:p w14:paraId="002D1ED8">
            <w:pPr>
              <w:pStyle w:val="13"/>
            </w:pPr>
            <w:r>
              <w:t>生均拨款标准</w:t>
            </w:r>
          </w:p>
        </w:tc>
        <w:tc>
          <w:tcPr>
            <w:tcW w:w="5386" w:type="dxa"/>
            <w:vAlign w:val="center"/>
          </w:tcPr>
          <w:p w14:paraId="3FBEF60C">
            <w:pPr>
              <w:pStyle w:val="13"/>
            </w:pPr>
            <w:r>
              <w:t>小学：（基本标准720元、寄宿生300元、生活补助120元）/生/学年；特教、随班就读学生：标准6000元/生/学年</w:t>
            </w:r>
          </w:p>
        </w:tc>
        <w:tc>
          <w:tcPr>
            <w:tcW w:w="2268" w:type="dxa"/>
            <w:vAlign w:val="center"/>
          </w:tcPr>
          <w:p w14:paraId="690661C1">
            <w:pPr>
              <w:pStyle w:val="13"/>
            </w:pPr>
            <w:r>
              <w:t>840元</w:t>
            </w:r>
          </w:p>
        </w:tc>
        <w:tc>
          <w:tcPr>
            <w:tcW w:w="1276" w:type="dxa"/>
            <w:vAlign w:val="center"/>
          </w:tcPr>
          <w:p w14:paraId="27E11028">
            <w:pPr>
              <w:pStyle w:val="13"/>
            </w:pPr>
            <w:r>
              <w:t>城乡义务教育公用经费管理办法</w:t>
            </w:r>
          </w:p>
        </w:tc>
      </w:tr>
      <w:tr w14:paraId="08E0C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05EECD">
            <w:pPr>
              <w:pStyle w:val="12"/>
            </w:pPr>
            <w:r>
              <w:t>效益指标</w:t>
            </w:r>
          </w:p>
        </w:tc>
        <w:tc>
          <w:tcPr>
            <w:tcW w:w="2268" w:type="dxa"/>
            <w:vAlign w:val="center"/>
          </w:tcPr>
          <w:p w14:paraId="12F21F5A">
            <w:pPr>
              <w:pStyle w:val="13"/>
            </w:pPr>
            <w:r>
              <w:t>可持续影响指标</w:t>
            </w:r>
          </w:p>
        </w:tc>
        <w:tc>
          <w:tcPr>
            <w:tcW w:w="2835" w:type="dxa"/>
            <w:vAlign w:val="center"/>
          </w:tcPr>
          <w:p w14:paraId="2C87A954">
            <w:pPr>
              <w:pStyle w:val="13"/>
            </w:pPr>
            <w:r>
              <w:t>学校稳定率</w:t>
            </w:r>
          </w:p>
        </w:tc>
        <w:tc>
          <w:tcPr>
            <w:tcW w:w="5386" w:type="dxa"/>
            <w:vAlign w:val="center"/>
          </w:tcPr>
          <w:p w14:paraId="4BB5C764">
            <w:pPr>
              <w:pStyle w:val="13"/>
            </w:pPr>
            <w:r>
              <w:t>维护学校稳定，保障学校正常教学秩序有效开展</w:t>
            </w:r>
          </w:p>
        </w:tc>
        <w:tc>
          <w:tcPr>
            <w:tcW w:w="2268" w:type="dxa"/>
            <w:vAlign w:val="center"/>
          </w:tcPr>
          <w:p w14:paraId="172D53CA">
            <w:pPr>
              <w:pStyle w:val="13"/>
            </w:pPr>
            <w:r>
              <w:t>≥100%</w:t>
            </w:r>
          </w:p>
        </w:tc>
        <w:tc>
          <w:tcPr>
            <w:tcW w:w="1276" w:type="dxa"/>
            <w:vAlign w:val="center"/>
          </w:tcPr>
          <w:p w14:paraId="786EBADB">
            <w:pPr>
              <w:pStyle w:val="13"/>
            </w:pPr>
            <w:r>
              <w:t>城乡义务教育公用经费管理办法</w:t>
            </w:r>
          </w:p>
        </w:tc>
      </w:tr>
      <w:tr w14:paraId="74EF8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387B40">
            <w:pPr>
              <w:pStyle w:val="12"/>
            </w:pPr>
            <w:r>
              <w:t>满意度指标</w:t>
            </w:r>
          </w:p>
        </w:tc>
        <w:tc>
          <w:tcPr>
            <w:tcW w:w="2268" w:type="dxa"/>
            <w:vAlign w:val="center"/>
          </w:tcPr>
          <w:p w14:paraId="5162C862">
            <w:pPr>
              <w:pStyle w:val="13"/>
            </w:pPr>
            <w:r>
              <w:t>服务对象满意度指标</w:t>
            </w:r>
          </w:p>
        </w:tc>
        <w:tc>
          <w:tcPr>
            <w:tcW w:w="2835" w:type="dxa"/>
            <w:vAlign w:val="center"/>
          </w:tcPr>
          <w:p w14:paraId="5875EC58">
            <w:pPr>
              <w:pStyle w:val="13"/>
            </w:pPr>
            <w:r>
              <w:t>家长和学生满意度</w:t>
            </w:r>
          </w:p>
        </w:tc>
        <w:tc>
          <w:tcPr>
            <w:tcW w:w="5386" w:type="dxa"/>
            <w:vAlign w:val="center"/>
          </w:tcPr>
          <w:p w14:paraId="5278098E">
            <w:pPr>
              <w:pStyle w:val="13"/>
            </w:pPr>
            <w:r>
              <w:t>家长和学生满意度</w:t>
            </w:r>
          </w:p>
        </w:tc>
        <w:tc>
          <w:tcPr>
            <w:tcW w:w="2268" w:type="dxa"/>
            <w:vAlign w:val="center"/>
          </w:tcPr>
          <w:p w14:paraId="36B83EC9">
            <w:pPr>
              <w:pStyle w:val="13"/>
            </w:pPr>
            <w:r>
              <w:t>≥95%</w:t>
            </w:r>
          </w:p>
        </w:tc>
        <w:tc>
          <w:tcPr>
            <w:tcW w:w="1276" w:type="dxa"/>
            <w:vAlign w:val="center"/>
          </w:tcPr>
          <w:p w14:paraId="6EA65704">
            <w:pPr>
              <w:pStyle w:val="13"/>
            </w:pPr>
            <w:r>
              <w:t>问卷调查</w:t>
            </w:r>
          </w:p>
        </w:tc>
      </w:tr>
    </w:tbl>
    <w:p w14:paraId="029A9B47">
      <w:pPr>
        <w:sectPr>
          <w:pgSz w:w="16840" w:h="11900" w:orient="landscape"/>
          <w:pgMar w:top="1361" w:right="1020" w:bottom="1134" w:left="1020" w:header="720" w:footer="720" w:gutter="0"/>
          <w:cols w:space="720" w:num="1"/>
        </w:sectPr>
      </w:pPr>
    </w:p>
    <w:p w14:paraId="219991DA">
      <w:pPr>
        <w:spacing w:before="0" w:after="0"/>
        <w:ind w:firstLine="560"/>
        <w:jc w:val="left"/>
        <w:outlineLvl w:val="9"/>
      </w:pPr>
      <w:r>
        <w:rPr>
          <w:rFonts w:ascii="方正仿宋_GBK" w:hAnsi="方正仿宋_GBK" w:eastAsia="方正仿宋_GBK" w:cs="方正仿宋_GBK"/>
          <w:b/>
          <w:color w:val="000000"/>
          <w:sz w:val="28"/>
        </w:rPr>
        <w:t>23、冀财教[2024]141号/省级/2025年义教补助经费/东尹小学公用经费绩效目标表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38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22AE5">
            <w:pPr>
              <w:pStyle w:val="14"/>
            </w:pPr>
            <w:r>
              <w:t>单位：万元</w:t>
            </w:r>
          </w:p>
        </w:tc>
      </w:tr>
      <w:tr w14:paraId="4D4D6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A86727">
            <w:pPr>
              <w:pStyle w:val="11"/>
            </w:pPr>
            <w:r>
              <w:t>项目编码</w:t>
            </w:r>
          </w:p>
        </w:tc>
        <w:tc>
          <w:tcPr>
            <w:tcW w:w="5103" w:type="dxa"/>
            <w:gridSpan w:val="2"/>
            <w:vAlign w:val="center"/>
          </w:tcPr>
          <w:p w14:paraId="44570186">
            <w:pPr>
              <w:pStyle w:val="13"/>
            </w:pPr>
            <w:r>
              <w:t>13052525P00000410167R</w:t>
            </w:r>
          </w:p>
        </w:tc>
        <w:tc>
          <w:tcPr>
            <w:tcW w:w="2835" w:type="dxa"/>
            <w:vAlign w:val="center"/>
          </w:tcPr>
          <w:p w14:paraId="435AFB8C">
            <w:pPr>
              <w:pStyle w:val="11"/>
            </w:pPr>
            <w:r>
              <w:t>项目名称</w:t>
            </w:r>
          </w:p>
        </w:tc>
        <w:tc>
          <w:tcPr>
            <w:tcW w:w="6095" w:type="dxa"/>
            <w:gridSpan w:val="3"/>
            <w:vAlign w:val="center"/>
          </w:tcPr>
          <w:p w14:paraId="57D1E3D1">
            <w:pPr>
              <w:pStyle w:val="13"/>
            </w:pPr>
            <w:r>
              <w:t>冀财教[2024]141号/省级/2025年义教补助经费/东尹小学公用经费</w:t>
            </w:r>
          </w:p>
        </w:tc>
      </w:tr>
      <w:tr w14:paraId="12C2C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F955B">
            <w:pPr>
              <w:pStyle w:val="11"/>
            </w:pPr>
            <w:r>
              <w:t>预算规模及资金用途</w:t>
            </w:r>
          </w:p>
        </w:tc>
        <w:tc>
          <w:tcPr>
            <w:tcW w:w="2268" w:type="dxa"/>
            <w:vAlign w:val="center"/>
          </w:tcPr>
          <w:p w14:paraId="381812A0">
            <w:pPr>
              <w:pStyle w:val="11"/>
            </w:pPr>
            <w:r>
              <w:t>预算数</w:t>
            </w:r>
          </w:p>
        </w:tc>
        <w:tc>
          <w:tcPr>
            <w:tcW w:w="2835" w:type="dxa"/>
            <w:vAlign w:val="center"/>
          </w:tcPr>
          <w:p w14:paraId="7DD5F735">
            <w:pPr>
              <w:pStyle w:val="13"/>
            </w:pPr>
            <w:r>
              <w:t>6.32</w:t>
            </w:r>
          </w:p>
        </w:tc>
        <w:tc>
          <w:tcPr>
            <w:tcW w:w="2835" w:type="dxa"/>
            <w:vAlign w:val="center"/>
          </w:tcPr>
          <w:p w14:paraId="7EC5C872">
            <w:pPr>
              <w:pStyle w:val="11"/>
            </w:pPr>
            <w:r>
              <w:t>其中：财政    资金</w:t>
            </w:r>
          </w:p>
        </w:tc>
        <w:tc>
          <w:tcPr>
            <w:tcW w:w="2551" w:type="dxa"/>
            <w:vAlign w:val="center"/>
          </w:tcPr>
          <w:p w14:paraId="44AE9F98">
            <w:pPr>
              <w:pStyle w:val="13"/>
            </w:pPr>
            <w:r>
              <w:t>6.32</w:t>
            </w:r>
          </w:p>
        </w:tc>
        <w:tc>
          <w:tcPr>
            <w:tcW w:w="2268" w:type="dxa"/>
            <w:vAlign w:val="center"/>
          </w:tcPr>
          <w:p w14:paraId="6ED0C679">
            <w:pPr>
              <w:pStyle w:val="11"/>
            </w:pPr>
            <w:r>
              <w:t>其他资金</w:t>
            </w:r>
          </w:p>
        </w:tc>
        <w:tc>
          <w:tcPr>
            <w:tcW w:w="1276" w:type="dxa"/>
            <w:vAlign w:val="center"/>
          </w:tcPr>
          <w:p w14:paraId="5302CC77">
            <w:pPr>
              <w:pStyle w:val="13"/>
            </w:pPr>
            <w:r>
              <w:t xml:space="preserve"> </w:t>
            </w:r>
          </w:p>
        </w:tc>
      </w:tr>
      <w:tr w14:paraId="6F35A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49E384"/>
        </w:tc>
        <w:tc>
          <w:tcPr>
            <w:tcW w:w="14033" w:type="dxa"/>
            <w:gridSpan w:val="6"/>
            <w:vAlign w:val="center"/>
          </w:tcPr>
          <w:p w14:paraId="483673A2">
            <w:pPr>
              <w:pStyle w:val="13"/>
            </w:pPr>
            <w:r>
              <w:t>有效完成学校教学安全秩序，保障学校教学任务有效开展，满足学校正常教学需要。</w:t>
            </w:r>
          </w:p>
        </w:tc>
      </w:tr>
      <w:tr w14:paraId="2696E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A4CBC">
            <w:pPr>
              <w:pStyle w:val="11"/>
            </w:pPr>
            <w:r>
              <w:t>资金支出计划（%）</w:t>
            </w:r>
          </w:p>
        </w:tc>
        <w:tc>
          <w:tcPr>
            <w:tcW w:w="5103" w:type="dxa"/>
            <w:gridSpan w:val="2"/>
            <w:vAlign w:val="center"/>
          </w:tcPr>
          <w:p w14:paraId="48675AB7">
            <w:pPr>
              <w:pStyle w:val="11"/>
            </w:pPr>
            <w:r>
              <w:t>3月底</w:t>
            </w:r>
          </w:p>
        </w:tc>
        <w:tc>
          <w:tcPr>
            <w:tcW w:w="2835" w:type="dxa"/>
            <w:vAlign w:val="center"/>
          </w:tcPr>
          <w:p w14:paraId="78690CD9">
            <w:pPr>
              <w:pStyle w:val="11"/>
            </w:pPr>
            <w:r>
              <w:t>6月底</w:t>
            </w:r>
          </w:p>
        </w:tc>
        <w:tc>
          <w:tcPr>
            <w:tcW w:w="2551" w:type="dxa"/>
            <w:vAlign w:val="center"/>
          </w:tcPr>
          <w:p w14:paraId="2A03B864">
            <w:pPr>
              <w:pStyle w:val="11"/>
            </w:pPr>
            <w:r>
              <w:t>10月底</w:t>
            </w:r>
          </w:p>
        </w:tc>
        <w:tc>
          <w:tcPr>
            <w:tcW w:w="3544" w:type="dxa"/>
            <w:gridSpan w:val="2"/>
            <w:vAlign w:val="center"/>
          </w:tcPr>
          <w:p w14:paraId="3E2CEA2D">
            <w:pPr>
              <w:pStyle w:val="11"/>
            </w:pPr>
            <w:r>
              <w:t>12月底</w:t>
            </w:r>
          </w:p>
        </w:tc>
      </w:tr>
      <w:tr w14:paraId="62787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A87A8"/>
        </w:tc>
        <w:tc>
          <w:tcPr>
            <w:tcW w:w="5103" w:type="dxa"/>
            <w:gridSpan w:val="2"/>
            <w:vAlign w:val="center"/>
          </w:tcPr>
          <w:p w14:paraId="0D699691">
            <w:pPr>
              <w:pStyle w:val="12"/>
            </w:pPr>
            <w:r>
              <w:t>25%</w:t>
            </w:r>
          </w:p>
        </w:tc>
        <w:tc>
          <w:tcPr>
            <w:tcW w:w="2835" w:type="dxa"/>
            <w:vAlign w:val="center"/>
          </w:tcPr>
          <w:p w14:paraId="030DA651">
            <w:pPr>
              <w:pStyle w:val="12"/>
            </w:pPr>
            <w:r>
              <w:t>50%</w:t>
            </w:r>
          </w:p>
        </w:tc>
        <w:tc>
          <w:tcPr>
            <w:tcW w:w="2551" w:type="dxa"/>
            <w:vAlign w:val="center"/>
          </w:tcPr>
          <w:p w14:paraId="78DA472A">
            <w:pPr>
              <w:pStyle w:val="12"/>
            </w:pPr>
            <w:r>
              <w:t>75%</w:t>
            </w:r>
          </w:p>
        </w:tc>
        <w:tc>
          <w:tcPr>
            <w:tcW w:w="3544" w:type="dxa"/>
            <w:gridSpan w:val="2"/>
            <w:vAlign w:val="center"/>
          </w:tcPr>
          <w:p w14:paraId="4CED30F2">
            <w:pPr>
              <w:pStyle w:val="12"/>
            </w:pPr>
            <w:r>
              <w:t>100%</w:t>
            </w:r>
          </w:p>
        </w:tc>
      </w:tr>
      <w:tr w14:paraId="232FA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ACFBE">
            <w:pPr>
              <w:pStyle w:val="11"/>
            </w:pPr>
            <w:r>
              <w:t>绩效目标</w:t>
            </w:r>
          </w:p>
        </w:tc>
        <w:tc>
          <w:tcPr>
            <w:tcW w:w="14033" w:type="dxa"/>
            <w:gridSpan w:val="6"/>
            <w:vAlign w:val="center"/>
          </w:tcPr>
          <w:p w14:paraId="5D8D7813">
            <w:pPr>
              <w:pStyle w:val="13"/>
            </w:pPr>
            <w:r>
              <w:t>1.按规定拨付公用经费资金，预算执行率≥98%。</w:t>
            </w:r>
          </w:p>
          <w:p w14:paraId="2BE50A29">
            <w:pPr>
              <w:pStyle w:val="13"/>
            </w:pPr>
            <w:r>
              <w:t>2.有效完成学校教学安全秩序，保障学校教学任务有效开展，满足学校正常教学需要。</w:t>
            </w:r>
          </w:p>
        </w:tc>
      </w:tr>
    </w:tbl>
    <w:p w14:paraId="7FEAF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345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BD281">
            <w:pPr>
              <w:pStyle w:val="11"/>
            </w:pPr>
            <w:r>
              <w:t>一级指标</w:t>
            </w:r>
          </w:p>
        </w:tc>
        <w:tc>
          <w:tcPr>
            <w:tcW w:w="2268" w:type="dxa"/>
            <w:vAlign w:val="center"/>
          </w:tcPr>
          <w:p w14:paraId="78F00207">
            <w:pPr>
              <w:pStyle w:val="11"/>
            </w:pPr>
            <w:r>
              <w:t>二级指标</w:t>
            </w:r>
          </w:p>
        </w:tc>
        <w:tc>
          <w:tcPr>
            <w:tcW w:w="2835" w:type="dxa"/>
            <w:vAlign w:val="center"/>
          </w:tcPr>
          <w:p w14:paraId="2A97A408">
            <w:pPr>
              <w:pStyle w:val="11"/>
            </w:pPr>
            <w:r>
              <w:t>三级指标</w:t>
            </w:r>
          </w:p>
        </w:tc>
        <w:tc>
          <w:tcPr>
            <w:tcW w:w="5386" w:type="dxa"/>
            <w:vAlign w:val="center"/>
          </w:tcPr>
          <w:p w14:paraId="0BCB1D89">
            <w:pPr>
              <w:pStyle w:val="11"/>
            </w:pPr>
            <w:r>
              <w:t>绩效指标描述</w:t>
            </w:r>
          </w:p>
        </w:tc>
        <w:tc>
          <w:tcPr>
            <w:tcW w:w="2268" w:type="dxa"/>
            <w:vAlign w:val="center"/>
          </w:tcPr>
          <w:p w14:paraId="2A654C7C">
            <w:pPr>
              <w:pStyle w:val="11"/>
            </w:pPr>
            <w:r>
              <w:t>指标值</w:t>
            </w:r>
          </w:p>
        </w:tc>
        <w:tc>
          <w:tcPr>
            <w:tcW w:w="1276" w:type="dxa"/>
            <w:vAlign w:val="center"/>
          </w:tcPr>
          <w:p w14:paraId="6DF680FC">
            <w:pPr>
              <w:pStyle w:val="11"/>
            </w:pPr>
            <w:r>
              <w:t>指标值确定依据</w:t>
            </w:r>
          </w:p>
        </w:tc>
      </w:tr>
      <w:tr w14:paraId="6F350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C2B64">
            <w:pPr>
              <w:pStyle w:val="12"/>
            </w:pPr>
            <w:r>
              <w:t>产出指标</w:t>
            </w:r>
          </w:p>
        </w:tc>
        <w:tc>
          <w:tcPr>
            <w:tcW w:w="2268" w:type="dxa"/>
            <w:vAlign w:val="center"/>
          </w:tcPr>
          <w:p w14:paraId="0EA4D70E">
            <w:pPr>
              <w:pStyle w:val="13"/>
            </w:pPr>
            <w:r>
              <w:t>数量指标</w:t>
            </w:r>
          </w:p>
        </w:tc>
        <w:tc>
          <w:tcPr>
            <w:tcW w:w="2835" w:type="dxa"/>
            <w:vAlign w:val="center"/>
          </w:tcPr>
          <w:p w14:paraId="2550C147">
            <w:pPr>
              <w:pStyle w:val="13"/>
            </w:pPr>
            <w:r>
              <w:t>就读学生数</w:t>
            </w:r>
          </w:p>
        </w:tc>
        <w:tc>
          <w:tcPr>
            <w:tcW w:w="5386" w:type="dxa"/>
            <w:vAlign w:val="center"/>
          </w:tcPr>
          <w:p w14:paraId="41E4609F">
            <w:pPr>
              <w:pStyle w:val="13"/>
            </w:pPr>
            <w:r>
              <w:t>辐射区域内适龄学生人数</w:t>
            </w:r>
          </w:p>
        </w:tc>
        <w:tc>
          <w:tcPr>
            <w:tcW w:w="2268" w:type="dxa"/>
            <w:vAlign w:val="center"/>
          </w:tcPr>
          <w:p w14:paraId="54788038">
            <w:pPr>
              <w:pStyle w:val="13"/>
            </w:pPr>
            <w:r>
              <w:t>≥229人</w:t>
            </w:r>
          </w:p>
        </w:tc>
        <w:tc>
          <w:tcPr>
            <w:tcW w:w="1276" w:type="dxa"/>
            <w:vAlign w:val="center"/>
          </w:tcPr>
          <w:p w14:paraId="1004E686">
            <w:pPr>
              <w:pStyle w:val="13"/>
            </w:pPr>
            <w:r>
              <w:t>城乡义务教育公用经费管理办法</w:t>
            </w:r>
          </w:p>
        </w:tc>
      </w:tr>
      <w:tr w14:paraId="2C468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15E6D"/>
        </w:tc>
        <w:tc>
          <w:tcPr>
            <w:tcW w:w="2268" w:type="dxa"/>
            <w:vAlign w:val="center"/>
          </w:tcPr>
          <w:p w14:paraId="4D73A404">
            <w:pPr>
              <w:pStyle w:val="13"/>
            </w:pPr>
            <w:r>
              <w:t>质量指标</w:t>
            </w:r>
          </w:p>
        </w:tc>
        <w:tc>
          <w:tcPr>
            <w:tcW w:w="2835" w:type="dxa"/>
            <w:vAlign w:val="center"/>
          </w:tcPr>
          <w:p w14:paraId="10E551D0">
            <w:pPr>
              <w:pStyle w:val="13"/>
            </w:pPr>
            <w:r>
              <w:t>预算执行率</w:t>
            </w:r>
          </w:p>
        </w:tc>
        <w:tc>
          <w:tcPr>
            <w:tcW w:w="5386" w:type="dxa"/>
            <w:vAlign w:val="center"/>
          </w:tcPr>
          <w:p w14:paraId="56D3722D">
            <w:pPr>
              <w:pStyle w:val="13"/>
            </w:pPr>
            <w:r>
              <w:t>预算执行率</w:t>
            </w:r>
          </w:p>
        </w:tc>
        <w:tc>
          <w:tcPr>
            <w:tcW w:w="2268" w:type="dxa"/>
            <w:vAlign w:val="center"/>
          </w:tcPr>
          <w:p w14:paraId="2FBF0DFF">
            <w:pPr>
              <w:pStyle w:val="13"/>
            </w:pPr>
            <w:r>
              <w:t>≥98%</w:t>
            </w:r>
          </w:p>
        </w:tc>
        <w:tc>
          <w:tcPr>
            <w:tcW w:w="1276" w:type="dxa"/>
            <w:vAlign w:val="center"/>
          </w:tcPr>
          <w:p w14:paraId="3E8511AE">
            <w:pPr>
              <w:pStyle w:val="13"/>
            </w:pPr>
            <w:r>
              <w:t>城乡义务教育公用经费管理办法</w:t>
            </w:r>
          </w:p>
        </w:tc>
      </w:tr>
      <w:tr w14:paraId="62562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DEEEE"/>
        </w:tc>
        <w:tc>
          <w:tcPr>
            <w:tcW w:w="2268" w:type="dxa"/>
            <w:vAlign w:val="center"/>
          </w:tcPr>
          <w:p w14:paraId="6C881E49">
            <w:pPr>
              <w:pStyle w:val="13"/>
            </w:pPr>
            <w:r>
              <w:t>时效指标</w:t>
            </w:r>
          </w:p>
        </w:tc>
        <w:tc>
          <w:tcPr>
            <w:tcW w:w="2835" w:type="dxa"/>
            <w:vAlign w:val="center"/>
          </w:tcPr>
          <w:p w14:paraId="19EC1798">
            <w:pPr>
              <w:pStyle w:val="13"/>
            </w:pPr>
            <w:r>
              <w:t>义教经费支付完成率</w:t>
            </w:r>
          </w:p>
        </w:tc>
        <w:tc>
          <w:tcPr>
            <w:tcW w:w="5386" w:type="dxa"/>
            <w:vAlign w:val="center"/>
          </w:tcPr>
          <w:p w14:paraId="56A9FBE8">
            <w:pPr>
              <w:pStyle w:val="13"/>
            </w:pPr>
            <w:r>
              <w:t>按照序时进度完成资金支付</w:t>
            </w:r>
          </w:p>
        </w:tc>
        <w:tc>
          <w:tcPr>
            <w:tcW w:w="2268" w:type="dxa"/>
            <w:vAlign w:val="center"/>
          </w:tcPr>
          <w:p w14:paraId="7A487685">
            <w:pPr>
              <w:pStyle w:val="13"/>
            </w:pPr>
            <w:r>
              <w:t>≥100%</w:t>
            </w:r>
          </w:p>
        </w:tc>
        <w:tc>
          <w:tcPr>
            <w:tcW w:w="1276" w:type="dxa"/>
            <w:vAlign w:val="center"/>
          </w:tcPr>
          <w:p w14:paraId="63C36C0F">
            <w:pPr>
              <w:pStyle w:val="13"/>
            </w:pPr>
            <w:r>
              <w:t>城乡义务教育公用经费管理办法</w:t>
            </w:r>
          </w:p>
        </w:tc>
      </w:tr>
      <w:tr w14:paraId="60D18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EE14C"/>
        </w:tc>
        <w:tc>
          <w:tcPr>
            <w:tcW w:w="2268" w:type="dxa"/>
            <w:vAlign w:val="center"/>
          </w:tcPr>
          <w:p w14:paraId="54B00E8F">
            <w:pPr>
              <w:pStyle w:val="13"/>
            </w:pPr>
            <w:r>
              <w:t>成本指标</w:t>
            </w:r>
          </w:p>
        </w:tc>
        <w:tc>
          <w:tcPr>
            <w:tcW w:w="2835" w:type="dxa"/>
            <w:vAlign w:val="center"/>
          </w:tcPr>
          <w:p w14:paraId="1EA5D89C">
            <w:pPr>
              <w:pStyle w:val="13"/>
            </w:pPr>
            <w:r>
              <w:t>生均拨款标准</w:t>
            </w:r>
          </w:p>
        </w:tc>
        <w:tc>
          <w:tcPr>
            <w:tcW w:w="5386" w:type="dxa"/>
            <w:vAlign w:val="center"/>
          </w:tcPr>
          <w:p w14:paraId="5A5092D6">
            <w:pPr>
              <w:pStyle w:val="13"/>
            </w:pPr>
            <w:r>
              <w:t>小学：（基本标准720元、寄宿生300元、生活补助120元）/生/学年；特教、随班就读学生：标准6000元/生/学年</w:t>
            </w:r>
          </w:p>
        </w:tc>
        <w:tc>
          <w:tcPr>
            <w:tcW w:w="2268" w:type="dxa"/>
            <w:vAlign w:val="center"/>
          </w:tcPr>
          <w:p w14:paraId="660F4531">
            <w:pPr>
              <w:pStyle w:val="13"/>
            </w:pPr>
            <w:r>
              <w:t>840元</w:t>
            </w:r>
          </w:p>
        </w:tc>
        <w:tc>
          <w:tcPr>
            <w:tcW w:w="1276" w:type="dxa"/>
            <w:vAlign w:val="center"/>
          </w:tcPr>
          <w:p w14:paraId="1D81F4EF">
            <w:pPr>
              <w:pStyle w:val="13"/>
            </w:pPr>
            <w:r>
              <w:t>城乡义务教育公用经费管理办法</w:t>
            </w:r>
          </w:p>
        </w:tc>
      </w:tr>
      <w:tr w14:paraId="0D87F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D7EDDA">
            <w:pPr>
              <w:pStyle w:val="12"/>
            </w:pPr>
            <w:r>
              <w:t>效益指标</w:t>
            </w:r>
          </w:p>
        </w:tc>
        <w:tc>
          <w:tcPr>
            <w:tcW w:w="2268" w:type="dxa"/>
            <w:vAlign w:val="center"/>
          </w:tcPr>
          <w:p w14:paraId="6E0A32C7">
            <w:pPr>
              <w:pStyle w:val="13"/>
            </w:pPr>
            <w:r>
              <w:t>可持续影响指标</w:t>
            </w:r>
          </w:p>
        </w:tc>
        <w:tc>
          <w:tcPr>
            <w:tcW w:w="2835" w:type="dxa"/>
            <w:vAlign w:val="center"/>
          </w:tcPr>
          <w:p w14:paraId="12BDC624">
            <w:pPr>
              <w:pStyle w:val="13"/>
            </w:pPr>
            <w:r>
              <w:t>学校稳定率</w:t>
            </w:r>
          </w:p>
        </w:tc>
        <w:tc>
          <w:tcPr>
            <w:tcW w:w="5386" w:type="dxa"/>
            <w:vAlign w:val="center"/>
          </w:tcPr>
          <w:p w14:paraId="5A909638">
            <w:pPr>
              <w:pStyle w:val="13"/>
            </w:pPr>
            <w:r>
              <w:t>维护学校稳定，保障学校正常教学秩序有效开展</w:t>
            </w:r>
          </w:p>
        </w:tc>
        <w:tc>
          <w:tcPr>
            <w:tcW w:w="2268" w:type="dxa"/>
            <w:vAlign w:val="center"/>
          </w:tcPr>
          <w:p w14:paraId="1196C21B">
            <w:pPr>
              <w:pStyle w:val="13"/>
            </w:pPr>
            <w:r>
              <w:t>≥100%</w:t>
            </w:r>
          </w:p>
        </w:tc>
        <w:tc>
          <w:tcPr>
            <w:tcW w:w="1276" w:type="dxa"/>
            <w:vAlign w:val="center"/>
          </w:tcPr>
          <w:p w14:paraId="66E48F99">
            <w:pPr>
              <w:pStyle w:val="13"/>
            </w:pPr>
            <w:r>
              <w:t>城乡义务教育公用经费管理办法</w:t>
            </w:r>
          </w:p>
        </w:tc>
      </w:tr>
      <w:tr w14:paraId="0B5DF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D13B8">
            <w:pPr>
              <w:pStyle w:val="12"/>
            </w:pPr>
            <w:r>
              <w:t>满意度指标</w:t>
            </w:r>
          </w:p>
        </w:tc>
        <w:tc>
          <w:tcPr>
            <w:tcW w:w="2268" w:type="dxa"/>
            <w:vAlign w:val="center"/>
          </w:tcPr>
          <w:p w14:paraId="47EEB63C">
            <w:pPr>
              <w:pStyle w:val="13"/>
            </w:pPr>
            <w:r>
              <w:t>服务对象满意度指标</w:t>
            </w:r>
          </w:p>
        </w:tc>
        <w:tc>
          <w:tcPr>
            <w:tcW w:w="2835" w:type="dxa"/>
            <w:vAlign w:val="center"/>
          </w:tcPr>
          <w:p w14:paraId="392B5AC0">
            <w:pPr>
              <w:pStyle w:val="13"/>
            </w:pPr>
            <w:r>
              <w:t>家长和学生满意度</w:t>
            </w:r>
          </w:p>
        </w:tc>
        <w:tc>
          <w:tcPr>
            <w:tcW w:w="5386" w:type="dxa"/>
            <w:vAlign w:val="center"/>
          </w:tcPr>
          <w:p w14:paraId="2FF81A98">
            <w:pPr>
              <w:pStyle w:val="13"/>
            </w:pPr>
            <w:r>
              <w:t>家长和学生满意度</w:t>
            </w:r>
          </w:p>
        </w:tc>
        <w:tc>
          <w:tcPr>
            <w:tcW w:w="2268" w:type="dxa"/>
            <w:vAlign w:val="center"/>
          </w:tcPr>
          <w:p w14:paraId="125F5470">
            <w:pPr>
              <w:pStyle w:val="13"/>
            </w:pPr>
            <w:r>
              <w:t>≥95%</w:t>
            </w:r>
          </w:p>
        </w:tc>
        <w:tc>
          <w:tcPr>
            <w:tcW w:w="1276" w:type="dxa"/>
            <w:vAlign w:val="center"/>
          </w:tcPr>
          <w:p w14:paraId="7B593156">
            <w:pPr>
              <w:pStyle w:val="13"/>
            </w:pPr>
            <w:r>
              <w:t>问卷调查</w:t>
            </w:r>
          </w:p>
        </w:tc>
      </w:tr>
    </w:tbl>
    <w:p w14:paraId="2615CF5C">
      <w:pPr>
        <w:sectPr>
          <w:pgSz w:w="16840" w:h="11900" w:orient="landscape"/>
          <w:pgMar w:top="1361" w:right="1020" w:bottom="1134" w:left="1020" w:header="720" w:footer="720" w:gutter="0"/>
          <w:cols w:space="720" w:num="1"/>
        </w:sectPr>
      </w:pPr>
    </w:p>
    <w:p w14:paraId="6AA28421">
      <w:pPr>
        <w:spacing w:before="0" w:after="0"/>
        <w:ind w:firstLine="560"/>
        <w:jc w:val="left"/>
        <w:outlineLvl w:val="9"/>
      </w:pPr>
      <w:r>
        <w:rPr>
          <w:rFonts w:ascii="方正仿宋_GBK" w:hAnsi="方正仿宋_GBK" w:eastAsia="方正仿宋_GBK" w:cs="方正仿宋_GBK"/>
          <w:b/>
          <w:color w:val="000000"/>
          <w:sz w:val="28"/>
        </w:rPr>
        <w:t>24、冀财教[2024]141号/省级/2025年义教补助经费/良村小学公用经费绩效目标表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10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FC462">
            <w:pPr>
              <w:pStyle w:val="14"/>
            </w:pPr>
            <w:r>
              <w:t>单位：万元</w:t>
            </w:r>
          </w:p>
        </w:tc>
      </w:tr>
      <w:tr w14:paraId="15557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15580">
            <w:pPr>
              <w:pStyle w:val="11"/>
            </w:pPr>
            <w:r>
              <w:t>项目编码</w:t>
            </w:r>
          </w:p>
        </w:tc>
        <w:tc>
          <w:tcPr>
            <w:tcW w:w="5103" w:type="dxa"/>
            <w:gridSpan w:val="2"/>
            <w:vAlign w:val="center"/>
          </w:tcPr>
          <w:p w14:paraId="6999D694">
            <w:pPr>
              <w:pStyle w:val="13"/>
            </w:pPr>
            <w:r>
              <w:t>13052525P00000410175E</w:t>
            </w:r>
          </w:p>
        </w:tc>
        <w:tc>
          <w:tcPr>
            <w:tcW w:w="2835" w:type="dxa"/>
            <w:vAlign w:val="center"/>
          </w:tcPr>
          <w:p w14:paraId="7C48D595">
            <w:pPr>
              <w:pStyle w:val="11"/>
            </w:pPr>
            <w:r>
              <w:t>项目名称</w:t>
            </w:r>
          </w:p>
        </w:tc>
        <w:tc>
          <w:tcPr>
            <w:tcW w:w="6095" w:type="dxa"/>
            <w:gridSpan w:val="3"/>
            <w:vAlign w:val="center"/>
          </w:tcPr>
          <w:p w14:paraId="2C775F82">
            <w:pPr>
              <w:pStyle w:val="13"/>
            </w:pPr>
            <w:r>
              <w:t>冀财教[2024]141号/省级/2025年义教补助经费/良村小学公用经费</w:t>
            </w:r>
          </w:p>
        </w:tc>
      </w:tr>
      <w:tr w14:paraId="62D3B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E78FA">
            <w:pPr>
              <w:pStyle w:val="11"/>
            </w:pPr>
            <w:r>
              <w:t>预算规模及资金用途</w:t>
            </w:r>
          </w:p>
        </w:tc>
        <w:tc>
          <w:tcPr>
            <w:tcW w:w="2268" w:type="dxa"/>
            <w:vAlign w:val="center"/>
          </w:tcPr>
          <w:p w14:paraId="410D1745">
            <w:pPr>
              <w:pStyle w:val="11"/>
            </w:pPr>
            <w:r>
              <w:t>预算数</w:t>
            </w:r>
          </w:p>
        </w:tc>
        <w:tc>
          <w:tcPr>
            <w:tcW w:w="2835" w:type="dxa"/>
            <w:vAlign w:val="center"/>
          </w:tcPr>
          <w:p w14:paraId="28B53ED6">
            <w:pPr>
              <w:pStyle w:val="13"/>
            </w:pPr>
            <w:r>
              <w:t>4.47</w:t>
            </w:r>
          </w:p>
        </w:tc>
        <w:tc>
          <w:tcPr>
            <w:tcW w:w="2835" w:type="dxa"/>
            <w:vAlign w:val="center"/>
          </w:tcPr>
          <w:p w14:paraId="159536A3">
            <w:pPr>
              <w:pStyle w:val="11"/>
            </w:pPr>
            <w:r>
              <w:t>其中：财政    资金</w:t>
            </w:r>
          </w:p>
        </w:tc>
        <w:tc>
          <w:tcPr>
            <w:tcW w:w="2551" w:type="dxa"/>
            <w:vAlign w:val="center"/>
          </w:tcPr>
          <w:p w14:paraId="26CEAAD5">
            <w:pPr>
              <w:pStyle w:val="13"/>
            </w:pPr>
            <w:r>
              <w:t>4.47</w:t>
            </w:r>
          </w:p>
        </w:tc>
        <w:tc>
          <w:tcPr>
            <w:tcW w:w="2268" w:type="dxa"/>
            <w:vAlign w:val="center"/>
          </w:tcPr>
          <w:p w14:paraId="0706386C">
            <w:pPr>
              <w:pStyle w:val="11"/>
            </w:pPr>
            <w:r>
              <w:t>其他资金</w:t>
            </w:r>
          </w:p>
        </w:tc>
        <w:tc>
          <w:tcPr>
            <w:tcW w:w="1276" w:type="dxa"/>
            <w:vAlign w:val="center"/>
          </w:tcPr>
          <w:p w14:paraId="3199CAAC">
            <w:pPr>
              <w:pStyle w:val="13"/>
            </w:pPr>
            <w:r>
              <w:t xml:space="preserve"> </w:t>
            </w:r>
          </w:p>
        </w:tc>
      </w:tr>
      <w:tr w14:paraId="33335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A4997D"/>
        </w:tc>
        <w:tc>
          <w:tcPr>
            <w:tcW w:w="14033" w:type="dxa"/>
            <w:gridSpan w:val="6"/>
            <w:vAlign w:val="center"/>
          </w:tcPr>
          <w:p w14:paraId="476EF128">
            <w:pPr>
              <w:pStyle w:val="13"/>
            </w:pPr>
            <w:r>
              <w:t>有效完成学校教学安全秩序，保障学校教学任务有效开展，满足学校正常教学需要。</w:t>
            </w:r>
          </w:p>
        </w:tc>
      </w:tr>
      <w:tr w14:paraId="330CE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81AD0">
            <w:pPr>
              <w:pStyle w:val="11"/>
            </w:pPr>
            <w:r>
              <w:t>资金支出计划（%）</w:t>
            </w:r>
          </w:p>
        </w:tc>
        <w:tc>
          <w:tcPr>
            <w:tcW w:w="5103" w:type="dxa"/>
            <w:gridSpan w:val="2"/>
            <w:vAlign w:val="center"/>
          </w:tcPr>
          <w:p w14:paraId="0B9EA9D7">
            <w:pPr>
              <w:pStyle w:val="11"/>
            </w:pPr>
            <w:r>
              <w:t>3月底</w:t>
            </w:r>
          </w:p>
        </w:tc>
        <w:tc>
          <w:tcPr>
            <w:tcW w:w="2835" w:type="dxa"/>
            <w:vAlign w:val="center"/>
          </w:tcPr>
          <w:p w14:paraId="6B34E296">
            <w:pPr>
              <w:pStyle w:val="11"/>
            </w:pPr>
            <w:r>
              <w:t>6月底</w:t>
            </w:r>
          </w:p>
        </w:tc>
        <w:tc>
          <w:tcPr>
            <w:tcW w:w="2551" w:type="dxa"/>
            <w:vAlign w:val="center"/>
          </w:tcPr>
          <w:p w14:paraId="1345C904">
            <w:pPr>
              <w:pStyle w:val="11"/>
            </w:pPr>
            <w:r>
              <w:t>10月底</w:t>
            </w:r>
          </w:p>
        </w:tc>
        <w:tc>
          <w:tcPr>
            <w:tcW w:w="3544" w:type="dxa"/>
            <w:gridSpan w:val="2"/>
            <w:vAlign w:val="center"/>
          </w:tcPr>
          <w:p w14:paraId="12C3D351">
            <w:pPr>
              <w:pStyle w:val="11"/>
            </w:pPr>
            <w:r>
              <w:t>12月底</w:t>
            </w:r>
          </w:p>
        </w:tc>
      </w:tr>
      <w:tr w14:paraId="658D8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ECA37"/>
        </w:tc>
        <w:tc>
          <w:tcPr>
            <w:tcW w:w="5103" w:type="dxa"/>
            <w:gridSpan w:val="2"/>
            <w:vAlign w:val="center"/>
          </w:tcPr>
          <w:p w14:paraId="2AB716C9">
            <w:pPr>
              <w:pStyle w:val="12"/>
            </w:pPr>
            <w:r>
              <w:t>25%</w:t>
            </w:r>
          </w:p>
        </w:tc>
        <w:tc>
          <w:tcPr>
            <w:tcW w:w="2835" w:type="dxa"/>
            <w:vAlign w:val="center"/>
          </w:tcPr>
          <w:p w14:paraId="0AC8E7AC">
            <w:pPr>
              <w:pStyle w:val="12"/>
            </w:pPr>
            <w:r>
              <w:t>50%</w:t>
            </w:r>
          </w:p>
        </w:tc>
        <w:tc>
          <w:tcPr>
            <w:tcW w:w="2551" w:type="dxa"/>
            <w:vAlign w:val="center"/>
          </w:tcPr>
          <w:p w14:paraId="32DD27F4">
            <w:pPr>
              <w:pStyle w:val="12"/>
            </w:pPr>
            <w:r>
              <w:t>75%</w:t>
            </w:r>
          </w:p>
        </w:tc>
        <w:tc>
          <w:tcPr>
            <w:tcW w:w="3544" w:type="dxa"/>
            <w:gridSpan w:val="2"/>
            <w:vAlign w:val="center"/>
          </w:tcPr>
          <w:p w14:paraId="2A583AFE">
            <w:pPr>
              <w:pStyle w:val="12"/>
            </w:pPr>
            <w:r>
              <w:t>100%</w:t>
            </w:r>
          </w:p>
        </w:tc>
      </w:tr>
      <w:tr w14:paraId="669DB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55816">
            <w:pPr>
              <w:pStyle w:val="11"/>
            </w:pPr>
            <w:r>
              <w:t>绩效目标</w:t>
            </w:r>
          </w:p>
        </w:tc>
        <w:tc>
          <w:tcPr>
            <w:tcW w:w="14033" w:type="dxa"/>
            <w:gridSpan w:val="6"/>
            <w:vAlign w:val="center"/>
          </w:tcPr>
          <w:p w14:paraId="62D34219">
            <w:pPr>
              <w:pStyle w:val="13"/>
            </w:pPr>
            <w:r>
              <w:t>1.有效完成学校教学安全秩序，保障学校教学任务有效开展，满足学校正常教学需要。</w:t>
            </w:r>
          </w:p>
          <w:p w14:paraId="592FE163">
            <w:pPr>
              <w:pStyle w:val="13"/>
            </w:pPr>
            <w:r>
              <w:t>2.按规定拨付公用经费资金，预算执行率≥98%。</w:t>
            </w:r>
          </w:p>
        </w:tc>
      </w:tr>
    </w:tbl>
    <w:p w14:paraId="0AFEE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B0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2AFB4">
            <w:pPr>
              <w:pStyle w:val="11"/>
            </w:pPr>
            <w:r>
              <w:t>一级指标</w:t>
            </w:r>
          </w:p>
        </w:tc>
        <w:tc>
          <w:tcPr>
            <w:tcW w:w="2268" w:type="dxa"/>
            <w:vAlign w:val="center"/>
          </w:tcPr>
          <w:p w14:paraId="52DD32DD">
            <w:pPr>
              <w:pStyle w:val="11"/>
            </w:pPr>
            <w:r>
              <w:t>二级指标</w:t>
            </w:r>
          </w:p>
        </w:tc>
        <w:tc>
          <w:tcPr>
            <w:tcW w:w="2835" w:type="dxa"/>
            <w:vAlign w:val="center"/>
          </w:tcPr>
          <w:p w14:paraId="0224EE99">
            <w:pPr>
              <w:pStyle w:val="11"/>
            </w:pPr>
            <w:r>
              <w:t>三级指标</w:t>
            </w:r>
          </w:p>
        </w:tc>
        <w:tc>
          <w:tcPr>
            <w:tcW w:w="5386" w:type="dxa"/>
            <w:vAlign w:val="center"/>
          </w:tcPr>
          <w:p w14:paraId="7FD92D8E">
            <w:pPr>
              <w:pStyle w:val="11"/>
            </w:pPr>
            <w:r>
              <w:t>绩效指标描述</w:t>
            </w:r>
          </w:p>
        </w:tc>
        <w:tc>
          <w:tcPr>
            <w:tcW w:w="2268" w:type="dxa"/>
            <w:vAlign w:val="center"/>
          </w:tcPr>
          <w:p w14:paraId="054D7AF5">
            <w:pPr>
              <w:pStyle w:val="11"/>
            </w:pPr>
            <w:r>
              <w:t>指标值</w:t>
            </w:r>
          </w:p>
        </w:tc>
        <w:tc>
          <w:tcPr>
            <w:tcW w:w="1276" w:type="dxa"/>
            <w:vAlign w:val="center"/>
          </w:tcPr>
          <w:p w14:paraId="763F0487">
            <w:pPr>
              <w:pStyle w:val="11"/>
            </w:pPr>
            <w:r>
              <w:t>指标值确定依据</w:t>
            </w:r>
          </w:p>
        </w:tc>
      </w:tr>
      <w:tr w14:paraId="414A6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12617">
            <w:pPr>
              <w:pStyle w:val="12"/>
            </w:pPr>
            <w:r>
              <w:t>产出指标</w:t>
            </w:r>
          </w:p>
        </w:tc>
        <w:tc>
          <w:tcPr>
            <w:tcW w:w="2268" w:type="dxa"/>
            <w:vAlign w:val="center"/>
          </w:tcPr>
          <w:p w14:paraId="067FF854">
            <w:pPr>
              <w:pStyle w:val="13"/>
            </w:pPr>
            <w:r>
              <w:t>数量指标</w:t>
            </w:r>
          </w:p>
        </w:tc>
        <w:tc>
          <w:tcPr>
            <w:tcW w:w="2835" w:type="dxa"/>
            <w:vAlign w:val="center"/>
          </w:tcPr>
          <w:p w14:paraId="6092D459">
            <w:pPr>
              <w:pStyle w:val="13"/>
            </w:pPr>
            <w:r>
              <w:t>就读学生数</w:t>
            </w:r>
          </w:p>
        </w:tc>
        <w:tc>
          <w:tcPr>
            <w:tcW w:w="5386" w:type="dxa"/>
            <w:vAlign w:val="center"/>
          </w:tcPr>
          <w:p w14:paraId="270CD706">
            <w:pPr>
              <w:pStyle w:val="13"/>
            </w:pPr>
            <w:r>
              <w:t>辐射区域内适龄学生人数</w:t>
            </w:r>
          </w:p>
        </w:tc>
        <w:tc>
          <w:tcPr>
            <w:tcW w:w="2268" w:type="dxa"/>
            <w:vAlign w:val="center"/>
          </w:tcPr>
          <w:p w14:paraId="3EEF382E">
            <w:pPr>
              <w:pStyle w:val="13"/>
            </w:pPr>
            <w:r>
              <w:t>152人</w:t>
            </w:r>
          </w:p>
        </w:tc>
        <w:tc>
          <w:tcPr>
            <w:tcW w:w="1276" w:type="dxa"/>
            <w:vAlign w:val="center"/>
          </w:tcPr>
          <w:p w14:paraId="1E300E85">
            <w:pPr>
              <w:pStyle w:val="13"/>
            </w:pPr>
            <w:r>
              <w:t>城乡义务教育公用经费管理办法</w:t>
            </w:r>
          </w:p>
        </w:tc>
      </w:tr>
      <w:tr w14:paraId="51711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39FA8"/>
        </w:tc>
        <w:tc>
          <w:tcPr>
            <w:tcW w:w="2268" w:type="dxa"/>
            <w:vAlign w:val="center"/>
          </w:tcPr>
          <w:p w14:paraId="28E1FD10">
            <w:pPr>
              <w:pStyle w:val="13"/>
            </w:pPr>
            <w:r>
              <w:t>质量指标</w:t>
            </w:r>
          </w:p>
        </w:tc>
        <w:tc>
          <w:tcPr>
            <w:tcW w:w="2835" w:type="dxa"/>
            <w:vAlign w:val="center"/>
          </w:tcPr>
          <w:p w14:paraId="42F2ED17">
            <w:pPr>
              <w:pStyle w:val="13"/>
            </w:pPr>
            <w:r>
              <w:t>预算执行率</w:t>
            </w:r>
          </w:p>
        </w:tc>
        <w:tc>
          <w:tcPr>
            <w:tcW w:w="5386" w:type="dxa"/>
            <w:vAlign w:val="center"/>
          </w:tcPr>
          <w:p w14:paraId="1A97EA0E">
            <w:pPr>
              <w:pStyle w:val="13"/>
            </w:pPr>
            <w:r>
              <w:t>预算执行率</w:t>
            </w:r>
          </w:p>
        </w:tc>
        <w:tc>
          <w:tcPr>
            <w:tcW w:w="2268" w:type="dxa"/>
            <w:vAlign w:val="center"/>
          </w:tcPr>
          <w:p w14:paraId="14B26965">
            <w:pPr>
              <w:pStyle w:val="13"/>
            </w:pPr>
            <w:r>
              <w:t>≥98%</w:t>
            </w:r>
          </w:p>
        </w:tc>
        <w:tc>
          <w:tcPr>
            <w:tcW w:w="1276" w:type="dxa"/>
            <w:vAlign w:val="center"/>
          </w:tcPr>
          <w:p w14:paraId="330148C4">
            <w:pPr>
              <w:pStyle w:val="13"/>
            </w:pPr>
            <w:r>
              <w:t>城乡义务教育公用经费管理办法</w:t>
            </w:r>
          </w:p>
        </w:tc>
      </w:tr>
      <w:tr w14:paraId="508BF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7001B"/>
        </w:tc>
        <w:tc>
          <w:tcPr>
            <w:tcW w:w="2268" w:type="dxa"/>
            <w:vAlign w:val="center"/>
          </w:tcPr>
          <w:p w14:paraId="2ECD194E">
            <w:pPr>
              <w:pStyle w:val="13"/>
            </w:pPr>
            <w:r>
              <w:t>时效指标</w:t>
            </w:r>
          </w:p>
        </w:tc>
        <w:tc>
          <w:tcPr>
            <w:tcW w:w="2835" w:type="dxa"/>
            <w:vAlign w:val="center"/>
          </w:tcPr>
          <w:p w14:paraId="080ADE09">
            <w:pPr>
              <w:pStyle w:val="13"/>
            </w:pPr>
            <w:r>
              <w:t>义教经费支付完成率</w:t>
            </w:r>
          </w:p>
        </w:tc>
        <w:tc>
          <w:tcPr>
            <w:tcW w:w="5386" w:type="dxa"/>
            <w:vAlign w:val="center"/>
          </w:tcPr>
          <w:p w14:paraId="209EEEE3">
            <w:pPr>
              <w:pStyle w:val="13"/>
            </w:pPr>
            <w:r>
              <w:t>按照序时进度完成资金支付</w:t>
            </w:r>
          </w:p>
        </w:tc>
        <w:tc>
          <w:tcPr>
            <w:tcW w:w="2268" w:type="dxa"/>
            <w:vAlign w:val="center"/>
          </w:tcPr>
          <w:p w14:paraId="545331EF">
            <w:pPr>
              <w:pStyle w:val="13"/>
            </w:pPr>
            <w:r>
              <w:t>≥100%</w:t>
            </w:r>
          </w:p>
        </w:tc>
        <w:tc>
          <w:tcPr>
            <w:tcW w:w="1276" w:type="dxa"/>
            <w:vAlign w:val="center"/>
          </w:tcPr>
          <w:p w14:paraId="15F194C8">
            <w:pPr>
              <w:pStyle w:val="13"/>
            </w:pPr>
            <w:r>
              <w:t>城乡义务教育公用经费管理办法</w:t>
            </w:r>
          </w:p>
        </w:tc>
      </w:tr>
      <w:tr w14:paraId="53953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6E88D"/>
        </w:tc>
        <w:tc>
          <w:tcPr>
            <w:tcW w:w="2268" w:type="dxa"/>
            <w:vAlign w:val="center"/>
          </w:tcPr>
          <w:p w14:paraId="00D9EAD0">
            <w:pPr>
              <w:pStyle w:val="13"/>
            </w:pPr>
            <w:r>
              <w:t>成本指标</w:t>
            </w:r>
          </w:p>
        </w:tc>
        <w:tc>
          <w:tcPr>
            <w:tcW w:w="2835" w:type="dxa"/>
            <w:vAlign w:val="center"/>
          </w:tcPr>
          <w:p w14:paraId="143CBE5F">
            <w:pPr>
              <w:pStyle w:val="13"/>
            </w:pPr>
            <w:r>
              <w:t>生均拨款标准</w:t>
            </w:r>
          </w:p>
        </w:tc>
        <w:tc>
          <w:tcPr>
            <w:tcW w:w="5386" w:type="dxa"/>
            <w:vAlign w:val="center"/>
          </w:tcPr>
          <w:p w14:paraId="04538311">
            <w:pPr>
              <w:pStyle w:val="13"/>
            </w:pPr>
            <w:r>
              <w:t>小学：（基本标准720元、寄宿生300元、生活补助120元）/生/学年；特教、随班就读学生：标准6000元/生/学年</w:t>
            </w:r>
          </w:p>
        </w:tc>
        <w:tc>
          <w:tcPr>
            <w:tcW w:w="2268" w:type="dxa"/>
            <w:vAlign w:val="center"/>
          </w:tcPr>
          <w:p w14:paraId="0F1A872C">
            <w:pPr>
              <w:pStyle w:val="13"/>
            </w:pPr>
            <w:r>
              <w:t>840元</w:t>
            </w:r>
          </w:p>
        </w:tc>
        <w:tc>
          <w:tcPr>
            <w:tcW w:w="1276" w:type="dxa"/>
            <w:vAlign w:val="center"/>
          </w:tcPr>
          <w:p w14:paraId="3EEAF430">
            <w:pPr>
              <w:pStyle w:val="13"/>
            </w:pPr>
            <w:r>
              <w:t>城乡义务教育公用经费管理办法</w:t>
            </w:r>
          </w:p>
        </w:tc>
      </w:tr>
      <w:tr w14:paraId="32EDC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E71D8B">
            <w:pPr>
              <w:pStyle w:val="12"/>
            </w:pPr>
            <w:r>
              <w:t>效益指标</w:t>
            </w:r>
          </w:p>
        </w:tc>
        <w:tc>
          <w:tcPr>
            <w:tcW w:w="2268" w:type="dxa"/>
            <w:vAlign w:val="center"/>
          </w:tcPr>
          <w:p w14:paraId="0A004492">
            <w:pPr>
              <w:pStyle w:val="13"/>
            </w:pPr>
            <w:r>
              <w:t>可持续影响指标</w:t>
            </w:r>
          </w:p>
        </w:tc>
        <w:tc>
          <w:tcPr>
            <w:tcW w:w="2835" w:type="dxa"/>
            <w:vAlign w:val="center"/>
          </w:tcPr>
          <w:p w14:paraId="37103E52">
            <w:pPr>
              <w:pStyle w:val="13"/>
            </w:pPr>
            <w:r>
              <w:t>学校稳定率</w:t>
            </w:r>
          </w:p>
        </w:tc>
        <w:tc>
          <w:tcPr>
            <w:tcW w:w="5386" w:type="dxa"/>
            <w:vAlign w:val="center"/>
          </w:tcPr>
          <w:p w14:paraId="1EBA8570">
            <w:pPr>
              <w:pStyle w:val="13"/>
            </w:pPr>
            <w:r>
              <w:t>维护学校稳定，保障学校正常教学秩序有效开展</w:t>
            </w:r>
          </w:p>
        </w:tc>
        <w:tc>
          <w:tcPr>
            <w:tcW w:w="2268" w:type="dxa"/>
            <w:vAlign w:val="center"/>
          </w:tcPr>
          <w:p w14:paraId="6EB178BA">
            <w:pPr>
              <w:pStyle w:val="13"/>
            </w:pPr>
            <w:r>
              <w:t>≥100%</w:t>
            </w:r>
          </w:p>
        </w:tc>
        <w:tc>
          <w:tcPr>
            <w:tcW w:w="1276" w:type="dxa"/>
            <w:vAlign w:val="center"/>
          </w:tcPr>
          <w:p w14:paraId="22035C40">
            <w:pPr>
              <w:pStyle w:val="13"/>
            </w:pPr>
            <w:r>
              <w:t>城乡义务教育公用经费管理办法</w:t>
            </w:r>
          </w:p>
        </w:tc>
      </w:tr>
      <w:tr w14:paraId="0CB57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3468AD">
            <w:pPr>
              <w:pStyle w:val="12"/>
            </w:pPr>
            <w:r>
              <w:t>满意度指标</w:t>
            </w:r>
          </w:p>
        </w:tc>
        <w:tc>
          <w:tcPr>
            <w:tcW w:w="2268" w:type="dxa"/>
            <w:vAlign w:val="center"/>
          </w:tcPr>
          <w:p w14:paraId="65CD0E1B">
            <w:pPr>
              <w:pStyle w:val="13"/>
            </w:pPr>
            <w:r>
              <w:t>服务对象满意度指标</w:t>
            </w:r>
          </w:p>
        </w:tc>
        <w:tc>
          <w:tcPr>
            <w:tcW w:w="2835" w:type="dxa"/>
            <w:vAlign w:val="center"/>
          </w:tcPr>
          <w:p w14:paraId="230C2AFA">
            <w:pPr>
              <w:pStyle w:val="13"/>
            </w:pPr>
            <w:r>
              <w:t>家长和学生满意度</w:t>
            </w:r>
          </w:p>
        </w:tc>
        <w:tc>
          <w:tcPr>
            <w:tcW w:w="5386" w:type="dxa"/>
            <w:vAlign w:val="center"/>
          </w:tcPr>
          <w:p w14:paraId="03F68237">
            <w:pPr>
              <w:pStyle w:val="13"/>
            </w:pPr>
            <w:r>
              <w:t>家长和学生满意度</w:t>
            </w:r>
          </w:p>
        </w:tc>
        <w:tc>
          <w:tcPr>
            <w:tcW w:w="2268" w:type="dxa"/>
            <w:vAlign w:val="center"/>
          </w:tcPr>
          <w:p w14:paraId="1900E1A1">
            <w:pPr>
              <w:pStyle w:val="13"/>
            </w:pPr>
            <w:r>
              <w:t>≥95%</w:t>
            </w:r>
          </w:p>
        </w:tc>
        <w:tc>
          <w:tcPr>
            <w:tcW w:w="1276" w:type="dxa"/>
            <w:vAlign w:val="center"/>
          </w:tcPr>
          <w:p w14:paraId="6D56A766">
            <w:pPr>
              <w:pStyle w:val="13"/>
            </w:pPr>
            <w:r>
              <w:t>问卷调查</w:t>
            </w:r>
          </w:p>
        </w:tc>
      </w:tr>
    </w:tbl>
    <w:p w14:paraId="314E08B6">
      <w:pPr>
        <w:sectPr>
          <w:pgSz w:w="16840" w:h="11900" w:orient="landscape"/>
          <w:pgMar w:top="1361" w:right="1020" w:bottom="1134" w:left="1020" w:header="720" w:footer="720" w:gutter="0"/>
          <w:cols w:space="720" w:num="1"/>
        </w:sectPr>
      </w:pPr>
    </w:p>
    <w:p w14:paraId="56F36D15">
      <w:pPr>
        <w:spacing w:before="0" w:after="0"/>
        <w:ind w:firstLine="560"/>
        <w:jc w:val="left"/>
        <w:outlineLvl w:val="9"/>
      </w:pPr>
      <w:r>
        <w:rPr>
          <w:rFonts w:ascii="方正仿宋_GBK" w:hAnsi="方正仿宋_GBK" w:eastAsia="方正仿宋_GBK" w:cs="方正仿宋_GBK"/>
          <w:b/>
          <w:color w:val="000000"/>
          <w:sz w:val="28"/>
        </w:rPr>
        <w:t>25、冀财教[2024]141号/省级/2025年义教补助经费/西尹小学公用经费绩效目标表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35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62FBC">
            <w:pPr>
              <w:pStyle w:val="14"/>
            </w:pPr>
            <w:r>
              <w:t>单位：万元</w:t>
            </w:r>
          </w:p>
        </w:tc>
      </w:tr>
      <w:tr w14:paraId="528376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05166">
            <w:pPr>
              <w:pStyle w:val="11"/>
            </w:pPr>
            <w:r>
              <w:t>项目编码</w:t>
            </w:r>
          </w:p>
        </w:tc>
        <w:tc>
          <w:tcPr>
            <w:tcW w:w="5103" w:type="dxa"/>
            <w:gridSpan w:val="2"/>
            <w:vAlign w:val="center"/>
          </w:tcPr>
          <w:p w14:paraId="3172A715">
            <w:pPr>
              <w:pStyle w:val="13"/>
            </w:pPr>
            <w:r>
              <w:t>13052525P00000410165J</w:t>
            </w:r>
          </w:p>
        </w:tc>
        <w:tc>
          <w:tcPr>
            <w:tcW w:w="2835" w:type="dxa"/>
            <w:vAlign w:val="center"/>
          </w:tcPr>
          <w:p w14:paraId="2B5E56AE">
            <w:pPr>
              <w:pStyle w:val="11"/>
            </w:pPr>
            <w:r>
              <w:t>项目名称</w:t>
            </w:r>
          </w:p>
        </w:tc>
        <w:tc>
          <w:tcPr>
            <w:tcW w:w="6095" w:type="dxa"/>
            <w:gridSpan w:val="3"/>
            <w:vAlign w:val="center"/>
          </w:tcPr>
          <w:p w14:paraId="2C201568">
            <w:pPr>
              <w:pStyle w:val="13"/>
            </w:pPr>
            <w:r>
              <w:t>冀财教[2024]141号/省级/2025年义教补助经费/西尹小学公用经费</w:t>
            </w:r>
          </w:p>
        </w:tc>
      </w:tr>
      <w:tr w14:paraId="2538C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0B64D">
            <w:pPr>
              <w:pStyle w:val="11"/>
            </w:pPr>
            <w:r>
              <w:t>预算规模及资金用途</w:t>
            </w:r>
          </w:p>
        </w:tc>
        <w:tc>
          <w:tcPr>
            <w:tcW w:w="2268" w:type="dxa"/>
            <w:vAlign w:val="center"/>
          </w:tcPr>
          <w:p w14:paraId="531D8A5E">
            <w:pPr>
              <w:pStyle w:val="11"/>
            </w:pPr>
            <w:r>
              <w:t>预算数</w:t>
            </w:r>
          </w:p>
        </w:tc>
        <w:tc>
          <w:tcPr>
            <w:tcW w:w="2835" w:type="dxa"/>
            <w:vAlign w:val="center"/>
          </w:tcPr>
          <w:p w14:paraId="70E02058">
            <w:pPr>
              <w:pStyle w:val="13"/>
            </w:pPr>
            <w:r>
              <w:t>4.33</w:t>
            </w:r>
          </w:p>
        </w:tc>
        <w:tc>
          <w:tcPr>
            <w:tcW w:w="2835" w:type="dxa"/>
            <w:vAlign w:val="center"/>
          </w:tcPr>
          <w:p w14:paraId="35F1E6E9">
            <w:pPr>
              <w:pStyle w:val="11"/>
            </w:pPr>
            <w:r>
              <w:t>其中：财政    资金</w:t>
            </w:r>
          </w:p>
        </w:tc>
        <w:tc>
          <w:tcPr>
            <w:tcW w:w="2551" w:type="dxa"/>
            <w:vAlign w:val="center"/>
          </w:tcPr>
          <w:p w14:paraId="02652BF5">
            <w:pPr>
              <w:pStyle w:val="13"/>
            </w:pPr>
            <w:r>
              <w:t>4.33</w:t>
            </w:r>
          </w:p>
        </w:tc>
        <w:tc>
          <w:tcPr>
            <w:tcW w:w="2268" w:type="dxa"/>
            <w:vAlign w:val="center"/>
          </w:tcPr>
          <w:p w14:paraId="380913FB">
            <w:pPr>
              <w:pStyle w:val="11"/>
            </w:pPr>
            <w:r>
              <w:t>其他资金</w:t>
            </w:r>
          </w:p>
        </w:tc>
        <w:tc>
          <w:tcPr>
            <w:tcW w:w="1276" w:type="dxa"/>
            <w:vAlign w:val="center"/>
          </w:tcPr>
          <w:p w14:paraId="7AAB5DB8">
            <w:pPr>
              <w:pStyle w:val="13"/>
            </w:pPr>
            <w:r>
              <w:t xml:space="preserve"> </w:t>
            </w:r>
          </w:p>
        </w:tc>
      </w:tr>
      <w:tr w14:paraId="4832D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A04FF1"/>
        </w:tc>
        <w:tc>
          <w:tcPr>
            <w:tcW w:w="14033" w:type="dxa"/>
            <w:gridSpan w:val="6"/>
            <w:vAlign w:val="center"/>
          </w:tcPr>
          <w:p w14:paraId="20E5A26A">
            <w:pPr>
              <w:pStyle w:val="13"/>
            </w:pPr>
            <w:r>
              <w:t>有效完成学校教学安全秩序，保障学校教学任务有效开展，满足学校正常教学需要。</w:t>
            </w:r>
          </w:p>
        </w:tc>
      </w:tr>
      <w:tr w14:paraId="05DA7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54F80">
            <w:pPr>
              <w:pStyle w:val="11"/>
            </w:pPr>
            <w:r>
              <w:t>资金支出计划（%）</w:t>
            </w:r>
          </w:p>
        </w:tc>
        <w:tc>
          <w:tcPr>
            <w:tcW w:w="5103" w:type="dxa"/>
            <w:gridSpan w:val="2"/>
            <w:vAlign w:val="center"/>
          </w:tcPr>
          <w:p w14:paraId="7714856D">
            <w:pPr>
              <w:pStyle w:val="11"/>
            </w:pPr>
            <w:r>
              <w:t>3月底</w:t>
            </w:r>
          </w:p>
        </w:tc>
        <w:tc>
          <w:tcPr>
            <w:tcW w:w="2835" w:type="dxa"/>
            <w:vAlign w:val="center"/>
          </w:tcPr>
          <w:p w14:paraId="6BCB6347">
            <w:pPr>
              <w:pStyle w:val="11"/>
            </w:pPr>
            <w:r>
              <w:t>6月底</w:t>
            </w:r>
          </w:p>
        </w:tc>
        <w:tc>
          <w:tcPr>
            <w:tcW w:w="2551" w:type="dxa"/>
            <w:vAlign w:val="center"/>
          </w:tcPr>
          <w:p w14:paraId="591B5D4B">
            <w:pPr>
              <w:pStyle w:val="11"/>
            </w:pPr>
            <w:r>
              <w:t>10月底</w:t>
            </w:r>
          </w:p>
        </w:tc>
        <w:tc>
          <w:tcPr>
            <w:tcW w:w="3544" w:type="dxa"/>
            <w:gridSpan w:val="2"/>
            <w:vAlign w:val="center"/>
          </w:tcPr>
          <w:p w14:paraId="3EA1EA19">
            <w:pPr>
              <w:pStyle w:val="11"/>
            </w:pPr>
            <w:r>
              <w:t>12月底</w:t>
            </w:r>
          </w:p>
        </w:tc>
      </w:tr>
      <w:tr w14:paraId="5AF3C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B2E1C2"/>
        </w:tc>
        <w:tc>
          <w:tcPr>
            <w:tcW w:w="5103" w:type="dxa"/>
            <w:gridSpan w:val="2"/>
            <w:vAlign w:val="center"/>
          </w:tcPr>
          <w:p w14:paraId="401F87AB">
            <w:pPr>
              <w:pStyle w:val="12"/>
            </w:pPr>
            <w:r>
              <w:t>25%</w:t>
            </w:r>
          </w:p>
        </w:tc>
        <w:tc>
          <w:tcPr>
            <w:tcW w:w="2835" w:type="dxa"/>
            <w:vAlign w:val="center"/>
          </w:tcPr>
          <w:p w14:paraId="324BEC0E">
            <w:pPr>
              <w:pStyle w:val="12"/>
            </w:pPr>
            <w:r>
              <w:t>50%</w:t>
            </w:r>
          </w:p>
        </w:tc>
        <w:tc>
          <w:tcPr>
            <w:tcW w:w="2551" w:type="dxa"/>
            <w:vAlign w:val="center"/>
          </w:tcPr>
          <w:p w14:paraId="3E4FEBFD">
            <w:pPr>
              <w:pStyle w:val="12"/>
            </w:pPr>
            <w:r>
              <w:t>75%</w:t>
            </w:r>
          </w:p>
        </w:tc>
        <w:tc>
          <w:tcPr>
            <w:tcW w:w="3544" w:type="dxa"/>
            <w:gridSpan w:val="2"/>
            <w:vAlign w:val="center"/>
          </w:tcPr>
          <w:p w14:paraId="7630485B">
            <w:pPr>
              <w:pStyle w:val="12"/>
            </w:pPr>
            <w:r>
              <w:t>100%</w:t>
            </w:r>
          </w:p>
        </w:tc>
      </w:tr>
      <w:tr w14:paraId="6F692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F0434">
            <w:pPr>
              <w:pStyle w:val="11"/>
            </w:pPr>
            <w:r>
              <w:t>绩效目标</w:t>
            </w:r>
          </w:p>
        </w:tc>
        <w:tc>
          <w:tcPr>
            <w:tcW w:w="14033" w:type="dxa"/>
            <w:gridSpan w:val="6"/>
            <w:vAlign w:val="center"/>
          </w:tcPr>
          <w:p w14:paraId="5986A7CE">
            <w:pPr>
              <w:pStyle w:val="13"/>
            </w:pPr>
            <w:r>
              <w:t>1.按规定拨付公用经费资金，预算执行率≥98%。</w:t>
            </w:r>
          </w:p>
          <w:p w14:paraId="26F7F4B8">
            <w:pPr>
              <w:pStyle w:val="13"/>
            </w:pPr>
            <w:r>
              <w:t>2.有效完成学校教学安全秩序，保障学校教学任务有效开展，满足学校正常教学需要。</w:t>
            </w:r>
          </w:p>
        </w:tc>
      </w:tr>
    </w:tbl>
    <w:p w14:paraId="67A81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78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23FFF">
            <w:pPr>
              <w:pStyle w:val="11"/>
            </w:pPr>
            <w:r>
              <w:t>一级指标</w:t>
            </w:r>
          </w:p>
        </w:tc>
        <w:tc>
          <w:tcPr>
            <w:tcW w:w="2268" w:type="dxa"/>
            <w:vAlign w:val="center"/>
          </w:tcPr>
          <w:p w14:paraId="03583F65">
            <w:pPr>
              <w:pStyle w:val="11"/>
            </w:pPr>
            <w:r>
              <w:t>二级指标</w:t>
            </w:r>
          </w:p>
        </w:tc>
        <w:tc>
          <w:tcPr>
            <w:tcW w:w="2835" w:type="dxa"/>
            <w:vAlign w:val="center"/>
          </w:tcPr>
          <w:p w14:paraId="4FFCB8A0">
            <w:pPr>
              <w:pStyle w:val="11"/>
            </w:pPr>
            <w:r>
              <w:t>三级指标</w:t>
            </w:r>
          </w:p>
        </w:tc>
        <w:tc>
          <w:tcPr>
            <w:tcW w:w="5386" w:type="dxa"/>
            <w:vAlign w:val="center"/>
          </w:tcPr>
          <w:p w14:paraId="6711E3EA">
            <w:pPr>
              <w:pStyle w:val="11"/>
            </w:pPr>
            <w:r>
              <w:t>绩效指标描述</w:t>
            </w:r>
          </w:p>
        </w:tc>
        <w:tc>
          <w:tcPr>
            <w:tcW w:w="2268" w:type="dxa"/>
            <w:vAlign w:val="center"/>
          </w:tcPr>
          <w:p w14:paraId="0194D49B">
            <w:pPr>
              <w:pStyle w:val="11"/>
            </w:pPr>
            <w:r>
              <w:t>指标值</w:t>
            </w:r>
          </w:p>
        </w:tc>
        <w:tc>
          <w:tcPr>
            <w:tcW w:w="1276" w:type="dxa"/>
            <w:vAlign w:val="center"/>
          </w:tcPr>
          <w:p w14:paraId="5223A312">
            <w:pPr>
              <w:pStyle w:val="11"/>
            </w:pPr>
            <w:r>
              <w:t>指标值确定依据</w:t>
            </w:r>
          </w:p>
        </w:tc>
      </w:tr>
      <w:tr w14:paraId="75A14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86C8E">
            <w:pPr>
              <w:pStyle w:val="12"/>
            </w:pPr>
            <w:r>
              <w:t>产出指标</w:t>
            </w:r>
          </w:p>
        </w:tc>
        <w:tc>
          <w:tcPr>
            <w:tcW w:w="2268" w:type="dxa"/>
            <w:vAlign w:val="center"/>
          </w:tcPr>
          <w:p w14:paraId="417890B0">
            <w:pPr>
              <w:pStyle w:val="13"/>
            </w:pPr>
            <w:r>
              <w:t>数量指标</w:t>
            </w:r>
          </w:p>
        </w:tc>
        <w:tc>
          <w:tcPr>
            <w:tcW w:w="2835" w:type="dxa"/>
            <w:vAlign w:val="center"/>
          </w:tcPr>
          <w:p w14:paraId="7FFCD964">
            <w:pPr>
              <w:pStyle w:val="13"/>
            </w:pPr>
            <w:r>
              <w:t>就读学生数</w:t>
            </w:r>
          </w:p>
        </w:tc>
        <w:tc>
          <w:tcPr>
            <w:tcW w:w="5386" w:type="dxa"/>
            <w:vAlign w:val="center"/>
          </w:tcPr>
          <w:p w14:paraId="53510AE7">
            <w:pPr>
              <w:pStyle w:val="13"/>
            </w:pPr>
            <w:r>
              <w:t>辐射区域内适龄学生人数</w:t>
            </w:r>
          </w:p>
        </w:tc>
        <w:tc>
          <w:tcPr>
            <w:tcW w:w="2268" w:type="dxa"/>
            <w:vAlign w:val="center"/>
          </w:tcPr>
          <w:p w14:paraId="5A8C856D">
            <w:pPr>
              <w:pStyle w:val="13"/>
            </w:pPr>
            <w:r>
              <w:t>≥161人</w:t>
            </w:r>
          </w:p>
        </w:tc>
        <w:tc>
          <w:tcPr>
            <w:tcW w:w="1276" w:type="dxa"/>
            <w:vAlign w:val="center"/>
          </w:tcPr>
          <w:p w14:paraId="6FB574C7">
            <w:pPr>
              <w:pStyle w:val="13"/>
            </w:pPr>
            <w:r>
              <w:t>城乡义务教育公用经费管理办法</w:t>
            </w:r>
          </w:p>
        </w:tc>
      </w:tr>
      <w:tr w14:paraId="2CE6C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61049"/>
        </w:tc>
        <w:tc>
          <w:tcPr>
            <w:tcW w:w="2268" w:type="dxa"/>
            <w:vAlign w:val="center"/>
          </w:tcPr>
          <w:p w14:paraId="2D6591C5">
            <w:pPr>
              <w:pStyle w:val="13"/>
            </w:pPr>
            <w:r>
              <w:t>质量指标</w:t>
            </w:r>
          </w:p>
        </w:tc>
        <w:tc>
          <w:tcPr>
            <w:tcW w:w="2835" w:type="dxa"/>
            <w:vAlign w:val="center"/>
          </w:tcPr>
          <w:p w14:paraId="5725F2EA">
            <w:pPr>
              <w:pStyle w:val="13"/>
            </w:pPr>
            <w:r>
              <w:t>预算执行率</w:t>
            </w:r>
          </w:p>
        </w:tc>
        <w:tc>
          <w:tcPr>
            <w:tcW w:w="5386" w:type="dxa"/>
            <w:vAlign w:val="center"/>
          </w:tcPr>
          <w:p w14:paraId="79DE102E">
            <w:pPr>
              <w:pStyle w:val="13"/>
            </w:pPr>
            <w:r>
              <w:t>预算执行率</w:t>
            </w:r>
          </w:p>
        </w:tc>
        <w:tc>
          <w:tcPr>
            <w:tcW w:w="2268" w:type="dxa"/>
            <w:vAlign w:val="center"/>
          </w:tcPr>
          <w:p w14:paraId="7D721913">
            <w:pPr>
              <w:pStyle w:val="13"/>
            </w:pPr>
            <w:r>
              <w:t>≥98%</w:t>
            </w:r>
          </w:p>
        </w:tc>
        <w:tc>
          <w:tcPr>
            <w:tcW w:w="1276" w:type="dxa"/>
            <w:vAlign w:val="center"/>
          </w:tcPr>
          <w:p w14:paraId="35545BC5">
            <w:pPr>
              <w:pStyle w:val="13"/>
            </w:pPr>
            <w:r>
              <w:t>城乡义务教育公用经费管理办法</w:t>
            </w:r>
          </w:p>
        </w:tc>
      </w:tr>
      <w:tr w14:paraId="35E9E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9F654"/>
        </w:tc>
        <w:tc>
          <w:tcPr>
            <w:tcW w:w="2268" w:type="dxa"/>
            <w:vAlign w:val="center"/>
          </w:tcPr>
          <w:p w14:paraId="76DC08CB">
            <w:pPr>
              <w:pStyle w:val="13"/>
            </w:pPr>
            <w:r>
              <w:t>时效指标</w:t>
            </w:r>
          </w:p>
        </w:tc>
        <w:tc>
          <w:tcPr>
            <w:tcW w:w="2835" w:type="dxa"/>
            <w:vAlign w:val="center"/>
          </w:tcPr>
          <w:p w14:paraId="2ABC12F5">
            <w:pPr>
              <w:pStyle w:val="13"/>
            </w:pPr>
            <w:r>
              <w:t>义教经费支付完成率</w:t>
            </w:r>
          </w:p>
        </w:tc>
        <w:tc>
          <w:tcPr>
            <w:tcW w:w="5386" w:type="dxa"/>
            <w:vAlign w:val="center"/>
          </w:tcPr>
          <w:p w14:paraId="25B5A41F">
            <w:pPr>
              <w:pStyle w:val="13"/>
            </w:pPr>
            <w:r>
              <w:t>按照序时进度完成资金支付</w:t>
            </w:r>
          </w:p>
        </w:tc>
        <w:tc>
          <w:tcPr>
            <w:tcW w:w="2268" w:type="dxa"/>
            <w:vAlign w:val="center"/>
          </w:tcPr>
          <w:p w14:paraId="443459B1">
            <w:pPr>
              <w:pStyle w:val="13"/>
            </w:pPr>
            <w:r>
              <w:t>≥100%</w:t>
            </w:r>
          </w:p>
        </w:tc>
        <w:tc>
          <w:tcPr>
            <w:tcW w:w="1276" w:type="dxa"/>
            <w:vAlign w:val="center"/>
          </w:tcPr>
          <w:p w14:paraId="4D968408">
            <w:pPr>
              <w:pStyle w:val="13"/>
            </w:pPr>
            <w:r>
              <w:t>城乡义务教育公用经费管理办法</w:t>
            </w:r>
          </w:p>
        </w:tc>
      </w:tr>
      <w:tr w14:paraId="00DE9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5EC23"/>
        </w:tc>
        <w:tc>
          <w:tcPr>
            <w:tcW w:w="2268" w:type="dxa"/>
            <w:vAlign w:val="center"/>
          </w:tcPr>
          <w:p w14:paraId="7BECB54E">
            <w:pPr>
              <w:pStyle w:val="13"/>
            </w:pPr>
            <w:r>
              <w:t>成本指标</w:t>
            </w:r>
          </w:p>
        </w:tc>
        <w:tc>
          <w:tcPr>
            <w:tcW w:w="2835" w:type="dxa"/>
            <w:vAlign w:val="center"/>
          </w:tcPr>
          <w:p w14:paraId="3F8169DE">
            <w:pPr>
              <w:pStyle w:val="13"/>
            </w:pPr>
            <w:r>
              <w:t>生均拨款标准</w:t>
            </w:r>
          </w:p>
        </w:tc>
        <w:tc>
          <w:tcPr>
            <w:tcW w:w="5386" w:type="dxa"/>
            <w:vAlign w:val="center"/>
          </w:tcPr>
          <w:p w14:paraId="46828472">
            <w:pPr>
              <w:pStyle w:val="13"/>
            </w:pPr>
            <w:r>
              <w:t>小学：（基本标准720元、寄宿生300元、生活补助120元）/生/学年；特教、随班就读学生：标准6000元/生/学年</w:t>
            </w:r>
          </w:p>
        </w:tc>
        <w:tc>
          <w:tcPr>
            <w:tcW w:w="2268" w:type="dxa"/>
            <w:vAlign w:val="center"/>
          </w:tcPr>
          <w:p w14:paraId="4D595413">
            <w:pPr>
              <w:pStyle w:val="13"/>
            </w:pPr>
            <w:r>
              <w:t>840元</w:t>
            </w:r>
          </w:p>
        </w:tc>
        <w:tc>
          <w:tcPr>
            <w:tcW w:w="1276" w:type="dxa"/>
            <w:vAlign w:val="center"/>
          </w:tcPr>
          <w:p w14:paraId="16F0BE90">
            <w:pPr>
              <w:pStyle w:val="13"/>
            </w:pPr>
            <w:r>
              <w:t>城乡义务教育公用经费管理办法</w:t>
            </w:r>
          </w:p>
        </w:tc>
      </w:tr>
      <w:tr w14:paraId="2E8D9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D29373">
            <w:pPr>
              <w:pStyle w:val="12"/>
            </w:pPr>
            <w:r>
              <w:t>效益指标</w:t>
            </w:r>
          </w:p>
        </w:tc>
        <w:tc>
          <w:tcPr>
            <w:tcW w:w="2268" w:type="dxa"/>
            <w:vAlign w:val="center"/>
          </w:tcPr>
          <w:p w14:paraId="2495175F">
            <w:pPr>
              <w:pStyle w:val="13"/>
            </w:pPr>
            <w:r>
              <w:t>可持续影响指标</w:t>
            </w:r>
          </w:p>
        </w:tc>
        <w:tc>
          <w:tcPr>
            <w:tcW w:w="2835" w:type="dxa"/>
            <w:vAlign w:val="center"/>
          </w:tcPr>
          <w:p w14:paraId="2ACBFE00">
            <w:pPr>
              <w:pStyle w:val="13"/>
            </w:pPr>
            <w:r>
              <w:t>学校稳定率</w:t>
            </w:r>
          </w:p>
        </w:tc>
        <w:tc>
          <w:tcPr>
            <w:tcW w:w="5386" w:type="dxa"/>
            <w:vAlign w:val="center"/>
          </w:tcPr>
          <w:p w14:paraId="152BF71A">
            <w:pPr>
              <w:pStyle w:val="13"/>
            </w:pPr>
            <w:r>
              <w:t>维护学校稳定，保障学校正常教学秩序有效开展</w:t>
            </w:r>
          </w:p>
        </w:tc>
        <w:tc>
          <w:tcPr>
            <w:tcW w:w="2268" w:type="dxa"/>
            <w:vAlign w:val="center"/>
          </w:tcPr>
          <w:p w14:paraId="0D10BF2F">
            <w:pPr>
              <w:pStyle w:val="13"/>
            </w:pPr>
            <w:r>
              <w:t>≥100%</w:t>
            </w:r>
          </w:p>
        </w:tc>
        <w:tc>
          <w:tcPr>
            <w:tcW w:w="1276" w:type="dxa"/>
            <w:vAlign w:val="center"/>
          </w:tcPr>
          <w:p w14:paraId="70C41B64">
            <w:pPr>
              <w:pStyle w:val="13"/>
            </w:pPr>
            <w:r>
              <w:t>城乡义务教育公用经费管理办法</w:t>
            </w:r>
          </w:p>
        </w:tc>
      </w:tr>
      <w:tr w14:paraId="22796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E8E22E">
            <w:pPr>
              <w:pStyle w:val="12"/>
            </w:pPr>
            <w:r>
              <w:t>满意度指标</w:t>
            </w:r>
          </w:p>
        </w:tc>
        <w:tc>
          <w:tcPr>
            <w:tcW w:w="2268" w:type="dxa"/>
            <w:vAlign w:val="center"/>
          </w:tcPr>
          <w:p w14:paraId="68769CB9">
            <w:pPr>
              <w:pStyle w:val="13"/>
            </w:pPr>
            <w:r>
              <w:t>服务对象满意度指标</w:t>
            </w:r>
          </w:p>
        </w:tc>
        <w:tc>
          <w:tcPr>
            <w:tcW w:w="2835" w:type="dxa"/>
            <w:vAlign w:val="center"/>
          </w:tcPr>
          <w:p w14:paraId="006DBCD7">
            <w:pPr>
              <w:pStyle w:val="13"/>
            </w:pPr>
            <w:r>
              <w:t>家长和学生满意度</w:t>
            </w:r>
          </w:p>
        </w:tc>
        <w:tc>
          <w:tcPr>
            <w:tcW w:w="5386" w:type="dxa"/>
            <w:vAlign w:val="center"/>
          </w:tcPr>
          <w:p w14:paraId="39A5B1FA">
            <w:pPr>
              <w:pStyle w:val="13"/>
            </w:pPr>
            <w:r>
              <w:t>家长和学生满意度</w:t>
            </w:r>
          </w:p>
        </w:tc>
        <w:tc>
          <w:tcPr>
            <w:tcW w:w="2268" w:type="dxa"/>
            <w:vAlign w:val="center"/>
          </w:tcPr>
          <w:p w14:paraId="44950BF7">
            <w:pPr>
              <w:pStyle w:val="13"/>
            </w:pPr>
            <w:r>
              <w:t>≥95%</w:t>
            </w:r>
          </w:p>
        </w:tc>
        <w:tc>
          <w:tcPr>
            <w:tcW w:w="1276" w:type="dxa"/>
            <w:vAlign w:val="center"/>
          </w:tcPr>
          <w:p w14:paraId="2BCA624D">
            <w:pPr>
              <w:pStyle w:val="13"/>
            </w:pPr>
            <w:r>
              <w:t>问卷调查</w:t>
            </w:r>
          </w:p>
        </w:tc>
      </w:tr>
    </w:tbl>
    <w:p w14:paraId="47E12838">
      <w:pPr>
        <w:sectPr>
          <w:pgSz w:w="16840" w:h="11900" w:orient="landscape"/>
          <w:pgMar w:top="1361" w:right="1020" w:bottom="1134" w:left="1020" w:header="720" w:footer="720" w:gutter="0"/>
          <w:cols w:space="720" w:num="1"/>
        </w:sectPr>
      </w:pPr>
    </w:p>
    <w:p w14:paraId="170DCB66">
      <w:pPr>
        <w:spacing w:before="0" w:after="0"/>
        <w:ind w:firstLine="560"/>
        <w:jc w:val="left"/>
        <w:outlineLvl w:val="9"/>
      </w:pPr>
      <w:r>
        <w:rPr>
          <w:rFonts w:ascii="方正仿宋_GBK" w:hAnsi="方正仿宋_GBK" w:eastAsia="方正仿宋_GBK" w:cs="方正仿宋_GBK"/>
          <w:b/>
          <w:color w:val="000000"/>
          <w:sz w:val="28"/>
        </w:rPr>
        <w:t>26、冀财教[2024]141号/省级/2025年义教补助经费/校舍安全保障/良村地面硬化等维修改造绩效目标表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9F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5B216">
            <w:pPr>
              <w:pStyle w:val="14"/>
            </w:pPr>
            <w:r>
              <w:t>单位：万元</w:t>
            </w:r>
          </w:p>
        </w:tc>
      </w:tr>
      <w:tr w14:paraId="26AD3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DD00EE">
            <w:pPr>
              <w:pStyle w:val="11"/>
            </w:pPr>
            <w:r>
              <w:t>项目编码</w:t>
            </w:r>
          </w:p>
        </w:tc>
        <w:tc>
          <w:tcPr>
            <w:tcW w:w="5103" w:type="dxa"/>
            <w:gridSpan w:val="2"/>
            <w:vAlign w:val="center"/>
          </w:tcPr>
          <w:p w14:paraId="7D48729C">
            <w:pPr>
              <w:pStyle w:val="13"/>
            </w:pPr>
            <w:r>
              <w:t>13052525P00876210037P</w:t>
            </w:r>
          </w:p>
        </w:tc>
        <w:tc>
          <w:tcPr>
            <w:tcW w:w="2835" w:type="dxa"/>
            <w:vAlign w:val="center"/>
          </w:tcPr>
          <w:p w14:paraId="6D4F27C2">
            <w:pPr>
              <w:pStyle w:val="11"/>
            </w:pPr>
            <w:r>
              <w:t>项目名称</w:t>
            </w:r>
          </w:p>
        </w:tc>
        <w:tc>
          <w:tcPr>
            <w:tcW w:w="6095" w:type="dxa"/>
            <w:gridSpan w:val="3"/>
            <w:vAlign w:val="center"/>
          </w:tcPr>
          <w:p w14:paraId="4997D13C">
            <w:pPr>
              <w:pStyle w:val="13"/>
            </w:pPr>
            <w:r>
              <w:t>冀财教[2024]141号/省级/2025年义教补助经费/校舍安全保障/良村地面硬化等维修改造</w:t>
            </w:r>
          </w:p>
        </w:tc>
      </w:tr>
      <w:tr w14:paraId="447F4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E288B">
            <w:pPr>
              <w:pStyle w:val="11"/>
            </w:pPr>
            <w:r>
              <w:t>预算规模及资金用途</w:t>
            </w:r>
          </w:p>
        </w:tc>
        <w:tc>
          <w:tcPr>
            <w:tcW w:w="2268" w:type="dxa"/>
            <w:vAlign w:val="center"/>
          </w:tcPr>
          <w:p w14:paraId="66617676">
            <w:pPr>
              <w:pStyle w:val="11"/>
            </w:pPr>
            <w:r>
              <w:t>预算数</w:t>
            </w:r>
          </w:p>
        </w:tc>
        <w:tc>
          <w:tcPr>
            <w:tcW w:w="2835" w:type="dxa"/>
            <w:vAlign w:val="center"/>
          </w:tcPr>
          <w:p w14:paraId="110AABED">
            <w:pPr>
              <w:pStyle w:val="13"/>
            </w:pPr>
            <w:r>
              <w:t>31.00</w:t>
            </w:r>
          </w:p>
        </w:tc>
        <w:tc>
          <w:tcPr>
            <w:tcW w:w="2835" w:type="dxa"/>
            <w:vAlign w:val="center"/>
          </w:tcPr>
          <w:p w14:paraId="7FC8894A">
            <w:pPr>
              <w:pStyle w:val="11"/>
            </w:pPr>
            <w:r>
              <w:t>其中：财政    资金</w:t>
            </w:r>
          </w:p>
        </w:tc>
        <w:tc>
          <w:tcPr>
            <w:tcW w:w="2551" w:type="dxa"/>
            <w:vAlign w:val="center"/>
          </w:tcPr>
          <w:p w14:paraId="2E945F1B">
            <w:pPr>
              <w:pStyle w:val="13"/>
            </w:pPr>
            <w:r>
              <w:t>31.00</w:t>
            </w:r>
          </w:p>
        </w:tc>
        <w:tc>
          <w:tcPr>
            <w:tcW w:w="2268" w:type="dxa"/>
            <w:vAlign w:val="center"/>
          </w:tcPr>
          <w:p w14:paraId="23F5E736">
            <w:pPr>
              <w:pStyle w:val="11"/>
            </w:pPr>
            <w:r>
              <w:t>其他资金</w:t>
            </w:r>
          </w:p>
        </w:tc>
        <w:tc>
          <w:tcPr>
            <w:tcW w:w="1276" w:type="dxa"/>
            <w:vAlign w:val="center"/>
          </w:tcPr>
          <w:p w14:paraId="08A96F47">
            <w:pPr>
              <w:pStyle w:val="13"/>
            </w:pPr>
            <w:r>
              <w:t xml:space="preserve"> </w:t>
            </w:r>
          </w:p>
        </w:tc>
      </w:tr>
      <w:tr w14:paraId="7BF01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924256"/>
        </w:tc>
        <w:tc>
          <w:tcPr>
            <w:tcW w:w="14033" w:type="dxa"/>
            <w:gridSpan w:val="6"/>
            <w:vAlign w:val="center"/>
          </w:tcPr>
          <w:p w14:paraId="008B584E">
            <w:pPr>
              <w:pStyle w:val="13"/>
            </w:pPr>
            <w:r>
              <w:t>完成良村地面维修改造</w:t>
            </w:r>
          </w:p>
          <w:p w14:paraId="70E048FE">
            <w:pPr>
              <w:pStyle w:val="13"/>
            </w:pPr>
            <w:r>
              <w:t>，满足学校正常教学需要。</w:t>
            </w:r>
          </w:p>
        </w:tc>
      </w:tr>
      <w:tr w14:paraId="23931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2D338">
            <w:pPr>
              <w:pStyle w:val="11"/>
            </w:pPr>
            <w:r>
              <w:t>资金支出计划（%）</w:t>
            </w:r>
          </w:p>
        </w:tc>
        <w:tc>
          <w:tcPr>
            <w:tcW w:w="5103" w:type="dxa"/>
            <w:gridSpan w:val="2"/>
            <w:vAlign w:val="center"/>
          </w:tcPr>
          <w:p w14:paraId="19CFF47A">
            <w:pPr>
              <w:pStyle w:val="11"/>
            </w:pPr>
            <w:r>
              <w:t>3月底</w:t>
            </w:r>
          </w:p>
        </w:tc>
        <w:tc>
          <w:tcPr>
            <w:tcW w:w="2835" w:type="dxa"/>
            <w:vAlign w:val="center"/>
          </w:tcPr>
          <w:p w14:paraId="5179DCD1">
            <w:pPr>
              <w:pStyle w:val="11"/>
            </w:pPr>
            <w:r>
              <w:t>6月底</w:t>
            </w:r>
          </w:p>
        </w:tc>
        <w:tc>
          <w:tcPr>
            <w:tcW w:w="2551" w:type="dxa"/>
            <w:vAlign w:val="center"/>
          </w:tcPr>
          <w:p w14:paraId="0C17572E">
            <w:pPr>
              <w:pStyle w:val="11"/>
            </w:pPr>
            <w:r>
              <w:t>10月底</w:t>
            </w:r>
          </w:p>
        </w:tc>
        <w:tc>
          <w:tcPr>
            <w:tcW w:w="3544" w:type="dxa"/>
            <w:gridSpan w:val="2"/>
            <w:vAlign w:val="center"/>
          </w:tcPr>
          <w:p w14:paraId="4A394DED">
            <w:pPr>
              <w:pStyle w:val="11"/>
            </w:pPr>
            <w:r>
              <w:t>12月底</w:t>
            </w:r>
          </w:p>
        </w:tc>
      </w:tr>
      <w:tr w14:paraId="556B7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6EC39"/>
        </w:tc>
        <w:tc>
          <w:tcPr>
            <w:tcW w:w="5103" w:type="dxa"/>
            <w:gridSpan w:val="2"/>
            <w:vAlign w:val="center"/>
          </w:tcPr>
          <w:p w14:paraId="1D351B16">
            <w:pPr>
              <w:pStyle w:val="12"/>
            </w:pPr>
            <w:r>
              <w:t xml:space="preserve"> </w:t>
            </w:r>
          </w:p>
        </w:tc>
        <w:tc>
          <w:tcPr>
            <w:tcW w:w="2835" w:type="dxa"/>
            <w:vAlign w:val="center"/>
          </w:tcPr>
          <w:p w14:paraId="6A897C50">
            <w:pPr>
              <w:pStyle w:val="12"/>
            </w:pPr>
            <w:r>
              <w:t>30%</w:t>
            </w:r>
          </w:p>
        </w:tc>
        <w:tc>
          <w:tcPr>
            <w:tcW w:w="2551" w:type="dxa"/>
            <w:vAlign w:val="center"/>
          </w:tcPr>
          <w:p w14:paraId="2343E1BD">
            <w:pPr>
              <w:pStyle w:val="12"/>
            </w:pPr>
            <w:r>
              <w:t>80%</w:t>
            </w:r>
          </w:p>
        </w:tc>
        <w:tc>
          <w:tcPr>
            <w:tcW w:w="3544" w:type="dxa"/>
            <w:gridSpan w:val="2"/>
            <w:vAlign w:val="center"/>
          </w:tcPr>
          <w:p w14:paraId="281BB753">
            <w:pPr>
              <w:pStyle w:val="12"/>
            </w:pPr>
            <w:r>
              <w:t>100%</w:t>
            </w:r>
          </w:p>
        </w:tc>
      </w:tr>
      <w:tr w14:paraId="692C9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C3718">
            <w:pPr>
              <w:pStyle w:val="11"/>
            </w:pPr>
            <w:r>
              <w:t>绩效目标</w:t>
            </w:r>
          </w:p>
        </w:tc>
        <w:tc>
          <w:tcPr>
            <w:tcW w:w="14033" w:type="dxa"/>
            <w:gridSpan w:val="6"/>
            <w:vAlign w:val="center"/>
          </w:tcPr>
          <w:p w14:paraId="44A21AA8">
            <w:pPr>
              <w:pStyle w:val="13"/>
            </w:pPr>
            <w:r>
              <w:t>1.完成良村地面维修改造，满足学校正常教学需要。</w:t>
            </w:r>
          </w:p>
          <w:p w14:paraId="27BFF522">
            <w:pPr>
              <w:pStyle w:val="13"/>
            </w:pPr>
            <w:r>
              <w:t>2.按规定拨付专项资金，资金支付率达到100%。</w:t>
            </w:r>
          </w:p>
        </w:tc>
      </w:tr>
    </w:tbl>
    <w:p w14:paraId="57BEAC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14:paraId="012C2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1B2E8">
            <w:pPr>
              <w:pStyle w:val="11"/>
            </w:pPr>
            <w:r>
              <w:t>一级指标</w:t>
            </w:r>
          </w:p>
        </w:tc>
        <w:tc>
          <w:tcPr>
            <w:tcW w:w="2268" w:type="dxa"/>
            <w:vAlign w:val="center"/>
          </w:tcPr>
          <w:p w14:paraId="216FB75A">
            <w:pPr>
              <w:pStyle w:val="11"/>
            </w:pPr>
            <w:r>
              <w:t>二级指标</w:t>
            </w:r>
          </w:p>
        </w:tc>
        <w:tc>
          <w:tcPr>
            <w:tcW w:w="2835" w:type="dxa"/>
            <w:vAlign w:val="center"/>
          </w:tcPr>
          <w:p w14:paraId="4386DAF7">
            <w:pPr>
              <w:pStyle w:val="11"/>
            </w:pPr>
            <w:r>
              <w:t>三级指标</w:t>
            </w:r>
          </w:p>
        </w:tc>
        <w:tc>
          <w:tcPr>
            <w:tcW w:w="5386" w:type="dxa"/>
            <w:vAlign w:val="center"/>
          </w:tcPr>
          <w:p w14:paraId="49B069F4">
            <w:pPr>
              <w:pStyle w:val="11"/>
            </w:pPr>
            <w:r>
              <w:t>绩效指标描述</w:t>
            </w:r>
          </w:p>
        </w:tc>
        <w:tc>
          <w:tcPr>
            <w:tcW w:w="1658" w:type="dxa"/>
            <w:vAlign w:val="center"/>
          </w:tcPr>
          <w:p w14:paraId="16771408">
            <w:pPr>
              <w:pStyle w:val="11"/>
            </w:pPr>
            <w:r>
              <w:t>指标值</w:t>
            </w:r>
          </w:p>
        </w:tc>
        <w:tc>
          <w:tcPr>
            <w:tcW w:w="1886" w:type="dxa"/>
            <w:vAlign w:val="center"/>
          </w:tcPr>
          <w:p w14:paraId="6593EFFC">
            <w:pPr>
              <w:pStyle w:val="11"/>
            </w:pPr>
            <w:r>
              <w:t>指标值确定依据</w:t>
            </w:r>
          </w:p>
        </w:tc>
      </w:tr>
      <w:tr w14:paraId="5F515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850B7">
            <w:pPr>
              <w:pStyle w:val="12"/>
            </w:pPr>
            <w:r>
              <w:t>产出指标</w:t>
            </w:r>
          </w:p>
        </w:tc>
        <w:tc>
          <w:tcPr>
            <w:tcW w:w="2268" w:type="dxa"/>
            <w:vAlign w:val="center"/>
          </w:tcPr>
          <w:p w14:paraId="641E921C">
            <w:pPr>
              <w:pStyle w:val="13"/>
            </w:pPr>
            <w:r>
              <w:t>数量指标</w:t>
            </w:r>
          </w:p>
        </w:tc>
        <w:tc>
          <w:tcPr>
            <w:tcW w:w="2835" w:type="dxa"/>
            <w:vAlign w:val="center"/>
          </w:tcPr>
          <w:p w14:paraId="1E1B9B34">
            <w:pPr>
              <w:pStyle w:val="13"/>
            </w:pPr>
            <w:r>
              <w:t>拆除平房280平米、地面硬化1698.6平米、新建深水池、垫土1355.3立方</w:t>
            </w:r>
          </w:p>
        </w:tc>
        <w:tc>
          <w:tcPr>
            <w:tcW w:w="5386" w:type="dxa"/>
            <w:vAlign w:val="center"/>
          </w:tcPr>
          <w:p w14:paraId="491A2218">
            <w:pPr>
              <w:pStyle w:val="13"/>
            </w:pPr>
            <w:r>
              <w:t>拆除平房280平米、地面硬化1698.6平米、新建深水池、垫土1355.3立方</w:t>
            </w:r>
          </w:p>
        </w:tc>
        <w:tc>
          <w:tcPr>
            <w:tcW w:w="1658" w:type="dxa"/>
            <w:vAlign w:val="center"/>
          </w:tcPr>
          <w:p w14:paraId="5119BF23">
            <w:pPr>
              <w:pStyle w:val="13"/>
            </w:pPr>
            <w:r>
              <w:t>31万元</w:t>
            </w:r>
          </w:p>
        </w:tc>
        <w:tc>
          <w:tcPr>
            <w:tcW w:w="1886" w:type="dxa"/>
            <w:vAlign w:val="center"/>
          </w:tcPr>
          <w:p w14:paraId="3FD15718">
            <w:pPr>
              <w:pStyle w:val="13"/>
            </w:pPr>
            <w:r>
              <w:t>城乡义务教育公用经费管理办法</w:t>
            </w:r>
          </w:p>
        </w:tc>
      </w:tr>
      <w:tr w14:paraId="27FCA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C5B99"/>
        </w:tc>
        <w:tc>
          <w:tcPr>
            <w:tcW w:w="2268" w:type="dxa"/>
            <w:vAlign w:val="center"/>
          </w:tcPr>
          <w:p w14:paraId="48203412">
            <w:pPr>
              <w:pStyle w:val="13"/>
            </w:pPr>
            <w:r>
              <w:t>质量指标</w:t>
            </w:r>
          </w:p>
        </w:tc>
        <w:tc>
          <w:tcPr>
            <w:tcW w:w="2835" w:type="dxa"/>
            <w:vAlign w:val="center"/>
          </w:tcPr>
          <w:p w14:paraId="1ABA0067">
            <w:pPr>
              <w:pStyle w:val="13"/>
            </w:pPr>
            <w:r>
              <w:t>资金支付率</w:t>
            </w:r>
          </w:p>
        </w:tc>
        <w:tc>
          <w:tcPr>
            <w:tcW w:w="5386" w:type="dxa"/>
            <w:vAlign w:val="center"/>
          </w:tcPr>
          <w:p w14:paraId="1316CF85">
            <w:pPr>
              <w:pStyle w:val="13"/>
            </w:pPr>
            <w:r>
              <w:t>按照序时进度完成资金支付</w:t>
            </w:r>
          </w:p>
        </w:tc>
        <w:tc>
          <w:tcPr>
            <w:tcW w:w="1658" w:type="dxa"/>
            <w:vAlign w:val="center"/>
          </w:tcPr>
          <w:p w14:paraId="2EC66C8C">
            <w:pPr>
              <w:pStyle w:val="13"/>
            </w:pPr>
            <w:r>
              <w:t>≥100%</w:t>
            </w:r>
          </w:p>
        </w:tc>
        <w:tc>
          <w:tcPr>
            <w:tcW w:w="1886" w:type="dxa"/>
            <w:vAlign w:val="center"/>
          </w:tcPr>
          <w:p w14:paraId="5908EE71">
            <w:pPr>
              <w:pStyle w:val="13"/>
            </w:pPr>
            <w:r>
              <w:t>城乡义务教育公用经费管理办法</w:t>
            </w:r>
          </w:p>
        </w:tc>
      </w:tr>
      <w:tr w14:paraId="720E2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47E06"/>
        </w:tc>
        <w:tc>
          <w:tcPr>
            <w:tcW w:w="2268" w:type="dxa"/>
            <w:vAlign w:val="center"/>
          </w:tcPr>
          <w:p w14:paraId="18A9CA64">
            <w:pPr>
              <w:pStyle w:val="13"/>
            </w:pPr>
            <w:r>
              <w:t>时效指标</w:t>
            </w:r>
          </w:p>
        </w:tc>
        <w:tc>
          <w:tcPr>
            <w:tcW w:w="2835" w:type="dxa"/>
            <w:vAlign w:val="center"/>
          </w:tcPr>
          <w:p w14:paraId="27C81D78">
            <w:pPr>
              <w:pStyle w:val="13"/>
            </w:pPr>
            <w:r>
              <w:t>项目竣工验收合格率</w:t>
            </w:r>
          </w:p>
        </w:tc>
        <w:tc>
          <w:tcPr>
            <w:tcW w:w="5386" w:type="dxa"/>
            <w:vAlign w:val="center"/>
          </w:tcPr>
          <w:p w14:paraId="313652BA">
            <w:pPr>
              <w:pStyle w:val="13"/>
            </w:pPr>
            <w:r>
              <w:t>项目改造质量达标率</w:t>
            </w:r>
          </w:p>
        </w:tc>
        <w:tc>
          <w:tcPr>
            <w:tcW w:w="1658" w:type="dxa"/>
            <w:vAlign w:val="center"/>
          </w:tcPr>
          <w:p w14:paraId="19B74F55">
            <w:pPr>
              <w:pStyle w:val="13"/>
            </w:pPr>
            <w:r>
              <w:t>≥100%</w:t>
            </w:r>
          </w:p>
        </w:tc>
        <w:tc>
          <w:tcPr>
            <w:tcW w:w="1886" w:type="dxa"/>
            <w:vAlign w:val="center"/>
          </w:tcPr>
          <w:p w14:paraId="41C057EF">
            <w:pPr>
              <w:pStyle w:val="13"/>
            </w:pPr>
            <w:r>
              <w:t>城乡义务教育公用经费管理办法</w:t>
            </w:r>
          </w:p>
        </w:tc>
      </w:tr>
      <w:tr w14:paraId="3970F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B9225"/>
        </w:tc>
        <w:tc>
          <w:tcPr>
            <w:tcW w:w="2268" w:type="dxa"/>
            <w:vAlign w:val="center"/>
          </w:tcPr>
          <w:p w14:paraId="01475568">
            <w:pPr>
              <w:pStyle w:val="13"/>
            </w:pPr>
            <w:r>
              <w:t>成本指标</w:t>
            </w:r>
          </w:p>
        </w:tc>
        <w:tc>
          <w:tcPr>
            <w:tcW w:w="2835" w:type="dxa"/>
            <w:vAlign w:val="center"/>
          </w:tcPr>
          <w:p w14:paraId="72430624">
            <w:pPr>
              <w:pStyle w:val="13"/>
            </w:pPr>
            <w:r>
              <w:t>项目实际成本</w:t>
            </w:r>
          </w:p>
        </w:tc>
        <w:tc>
          <w:tcPr>
            <w:tcW w:w="5386" w:type="dxa"/>
            <w:vAlign w:val="center"/>
          </w:tcPr>
          <w:p w14:paraId="11863691">
            <w:pPr>
              <w:pStyle w:val="13"/>
            </w:pPr>
            <w:r>
              <w:t>拆除平房280平米、地面硬化1698.6平米、新建深水池、垫土1355.3立方</w:t>
            </w:r>
          </w:p>
        </w:tc>
        <w:tc>
          <w:tcPr>
            <w:tcW w:w="1658" w:type="dxa"/>
            <w:vAlign w:val="center"/>
          </w:tcPr>
          <w:p w14:paraId="47C22E23">
            <w:pPr>
              <w:pStyle w:val="13"/>
            </w:pPr>
            <w:r>
              <w:t>31万元</w:t>
            </w:r>
          </w:p>
        </w:tc>
        <w:tc>
          <w:tcPr>
            <w:tcW w:w="1886" w:type="dxa"/>
            <w:vAlign w:val="center"/>
          </w:tcPr>
          <w:p w14:paraId="5CF2DCC8">
            <w:pPr>
              <w:pStyle w:val="13"/>
            </w:pPr>
            <w:r>
              <w:t>城乡义务教育公用经费管理办法</w:t>
            </w:r>
          </w:p>
        </w:tc>
      </w:tr>
      <w:tr w14:paraId="5AD10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284C94">
            <w:pPr>
              <w:pStyle w:val="12"/>
            </w:pPr>
            <w:r>
              <w:t>效益指标</w:t>
            </w:r>
          </w:p>
        </w:tc>
        <w:tc>
          <w:tcPr>
            <w:tcW w:w="2268" w:type="dxa"/>
            <w:vAlign w:val="center"/>
          </w:tcPr>
          <w:p w14:paraId="104D773A">
            <w:pPr>
              <w:pStyle w:val="13"/>
            </w:pPr>
            <w:r>
              <w:t>社会效益指标</w:t>
            </w:r>
          </w:p>
        </w:tc>
        <w:tc>
          <w:tcPr>
            <w:tcW w:w="2835" w:type="dxa"/>
            <w:vAlign w:val="center"/>
          </w:tcPr>
          <w:p w14:paraId="4AAF0D7C">
            <w:pPr>
              <w:pStyle w:val="13"/>
            </w:pPr>
            <w:r>
              <w:t>教育发展水平</w:t>
            </w:r>
          </w:p>
        </w:tc>
        <w:tc>
          <w:tcPr>
            <w:tcW w:w="5386" w:type="dxa"/>
            <w:vAlign w:val="center"/>
          </w:tcPr>
          <w:p w14:paraId="4BC46C1F">
            <w:pPr>
              <w:pStyle w:val="13"/>
            </w:pPr>
            <w:r>
              <w:t>辖区内教育环境明显好转</w:t>
            </w:r>
          </w:p>
        </w:tc>
        <w:tc>
          <w:tcPr>
            <w:tcW w:w="1658" w:type="dxa"/>
            <w:vAlign w:val="center"/>
          </w:tcPr>
          <w:p w14:paraId="18849EEF">
            <w:pPr>
              <w:pStyle w:val="13"/>
            </w:pPr>
            <w:r>
              <w:t>≥95%</w:t>
            </w:r>
          </w:p>
        </w:tc>
        <w:tc>
          <w:tcPr>
            <w:tcW w:w="1886" w:type="dxa"/>
            <w:vAlign w:val="center"/>
          </w:tcPr>
          <w:p w14:paraId="31DC76EA">
            <w:pPr>
              <w:pStyle w:val="13"/>
            </w:pPr>
            <w:r>
              <w:t>城乡义务教育公用经费管理办法</w:t>
            </w:r>
          </w:p>
        </w:tc>
      </w:tr>
      <w:tr w14:paraId="06545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71CD54">
            <w:pPr>
              <w:pStyle w:val="12"/>
            </w:pPr>
            <w:r>
              <w:t>满意度指标</w:t>
            </w:r>
          </w:p>
        </w:tc>
        <w:tc>
          <w:tcPr>
            <w:tcW w:w="2268" w:type="dxa"/>
            <w:vAlign w:val="center"/>
          </w:tcPr>
          <w:p w14:paraId="3A7F3AD0">
            <w:pPr>
              <w:pStyle w:val="13"/>
            </w:pPr>
            <w:r>
              <w:t>服务对象满意度指标</w:t>
            </w:r>
          </w:p>
        </w:tc>
        <w:tc>
          <w:tcPr>
            <w:tcW w:w="2835" w:type="dxa"/>
            <w:vAlign w:val="center"/>
          </w:tcPr>
          <w:p w14:paraId="3276B6AE">
            <w:pPr>
              <w:pStyle w:val="13"/>
            </w:pPr>
            <w:r>
              <w:t>受益学生家长及调查满意度</w:t>
            </w:r>
          </w:p>
        </w:tc>
        <w:tc>
          <w:tcPr>
            <w:tcW w:w="5386" w:type="dxa"/>
            <w:vAlign w:val="center"/>
          </w:tcPr>
          <w:p w14:paraId="781C7B45">
            <w:pPr>
              <w:pStyle w:val="13"/>
            </w:pPr>
            <w:r>
              <w:t>学生、教师及家长对学校工作满意度情况</w:t>
            </w:r>
          </w:p>
        </w:tc>
        <w:tc>
          <w:tcPr>
            <w:tcW w:w="1658" w:type="dxa"/>
            <w:vAlign w:val="center"/>
          </w:tcPr>
          <w:p w14:paraId="0ACCEA19">
            <w:pPr>
              <w:pStyle w:val="13"/>
            </w:pPr>
            <w:r>
              <w:t>≥95%</w:t>
            </w:r>
          </w:p>
        </w:tc>
        <w:tc>
          <w:tcPr>
            <w:tcW w:w="1886" w:type="dxa"/>
            <w:vAlign w:val="center"/>
          </w:tcPr>
          <w:p w14:paraId="3D7C5445">
            <w:pPr>
              <w:pStyle w:val="13"/>
            </w:pPr>
            <w:r>
              <w:t>城乡义务教育公用经费管理办法</w:t>
            </w:r>
          </w:p>
        </w:tc>
      </w:tr>
    </w:tbl>
    <w:p w14:paraId="5408AB7B">
      <w:pPr>
        <w:sectPr>
          <w:pgSz w:w="16840" w:h="11900" w:orient="landscape"/>
          <w:pgMar w:top="1361" w:right="1020" w:bottom="1134" w:left="1020" w:header="720" w:footer="720" w:gutter="0"/>
          <w:cols w:space="720" w:num="1"/>
        </w:sectPr>
      </w:pPr>
    </w:p>
    <w:p w14:paraId="612F42BE">
      <w:pPr>
        <w:spacing w:before="0" w:after="0"/>
        <w:ind w:firstLine="560"/>
        <w:jc w:val="left"/>
        <w:outlineLvl w:val="9"/>
      </w:pPr>
      <w:r>
        <w:rPr>
          <w:rFonts w:ascii="方正仿宋_GBK" w:hAnsi="方正仿宋_GBK" w:eastAsia="方正仿宋_GBK" w:cs="方正仿宋_GBK"/>
          <w:b/>
          <w:color w:val="000000"/>
          <w:sz w:val="28"/>
        </w:rPr>
        <w:t>27、冀财教[2024]141号/省级/2025年义教补助经费/杨村小学公用经费绩效目标表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A8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19312">
            <w:pPr>
              <w:pStyle w:val="14"/>
            </w:pPr>
            <w:r>
              <w:t>单位：万元</w:t>
            </w:r>
          </w:p>
        </w:tc>
      </w:tr>
      <w:tr w14:paraId="44B27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9E6C1B">
            <w:pPr>
              <w:pStyle w:val="11"/>
            </w:pPr>
            <w:r>
              <w:t>项目编码</w:t>
            </w:r>
          </w:p>
        </w:tc>
        <w:tc>
          <w:tcPr>
            <w:tcW w:w="5103" w:type="dxa"/>
            <w:gridSpan w:val="2"/>
            <w:vAlign w:val="center"/>
          </w:tcPr>
          <w:p w14:paraId="4CAD81A9">
            <w:pPr>
              <w:pStyle w:val="13"/>
            </w:pPr>
            <w:r>
              <w:t>13052525P000004101737</w:t>
            </w:r>
          </w:p>
        </w:tc>
        <w:tc>
          <w:tcPr>
            <w:tcW w:w="2835" w:type="dxa"/>
            <w:vAlign w:val="center"/>
          </w:tcPr>
          <w:p w14:paraId="63EF4678">
            <w:pPr>
              <w:pStyle w:val="11"/>
            </w:pPr>
            <w:r>
              <w:t>项目名称</w:t>
            </w:r>
          </w:p>
        </w:tc>
        <w:tc>
          <w:tcPr>
            <w:tcW w:w="6095" w:type="dxa"/>
            <w:gridSpan w:val="3"/>
            <w:vAlign w:val="center"/>
          </w:tcPr>
          <w:p w14:paraId="0DA088FC">
            <w:pPr>
              <w:pStyle w:val="13"/>
            </w:pPr>
            <w:r>
              <w:t>冀财教[2024]141号/省级/2025年义教补助经费/杨村小学公用经费</w:t>
            </w:r>
          </w:p>
        </w:tc>
      </w:tr>
      <w:tr w14:paraId="63AA8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5E9E3">
            <w:pPr>
              <w:pStyle w:val="11"/>
            </w:pPr>
            <w:r>
              <w:t>预算规模及资金用途</w:t>
            </w:r>
          </w:p>
        </w:tc>
        <w:tc>
          <w:tcPr>
            <w:tcW w:w="2268" w:type="dxa"/>
            <w:vAlign w:val="center"/>
          </w:tcPr>
          <w:p w14:paraId="01D62687">
            <w:pPr>
              <w:pStyle w:val="11"/>
            </w:pPr>
            <w:r>
              <w:t>预算数</w:t>
            </w:r>
          </w:p>
        </w:tc>
        <w:tc>
          <w:tcPr>
            <w:tcW w:w="2835" w:type="dxa"/>
            <w:vAlign w:val="center"/>
          </w:tcPr>
          <w:p w14:paraId="4B1D3A3E">
            <w:pPr>
              <w:pStyle w:val="13"/>
            </w:pPr>
            <w:r>
              <w:t>24.60</w:t>
            </w:r>
          </w:p>
        </w:tc>
        <w:tc>
          <w:tcPr>
            <w:tcW w:w="2835" w:type="dxa"/>
            <w:vAlign w:val="center"/>
          </w:tcPr>
          <w:p w14:paraId="3941F94B">
            <w:pPr>
              <w:pStyle w:val="11"/>
            </w:pPr>
            <w:r>
              <w:t>其中：财政    资金</w:t>
            </w:r>
          </w:p>
        </w:tc>
        <w:tc>
          <w:tcPr>
            <w:tcW w:w="2551" w:type="dxa"/>
            <w:vAlign w:val="center"/>
          </w:tcPr>
          <w:p w14:paraId="140ADF47">
            <w:pPr>
              <w:pStyle w:val="13"/>
            </w:pPr>
            <w:r>
              <w:t>24.60</w:t>
            </w:r>
          </w:p>
        </w:tc>
        <w:tc>
          <w:tcPr>
            <w:tcW w:w="2268" w:type="dxa"/>
            <w:vAlign w:val="center"/>
          </w:tcPr>
          <w:p w14:paraId="52EF5B32">
            <w:pPr>
              <w:pStyle w:val="11"/>
            </w:pPr>
            <w:r>
              <w:t>其他资金</w:t>
            </w:r>
          </w:p>
        </w:tc>
        <w:tc>
          <w:tcPr>
            <w:tcW w:w="1276" w:type="dxa"/>
            <w:vAlign w:val="center"/>
          </w:tcPr>
          <w:p w14:paraId="6D78918C">
            <w:pPr>
              <w:pStyle w:val="13"/>
            </w:pPr>
            <w:r>
              <w:t xml:space="preserve"> </w:t>
            </w:r>
          </w:p>
        </w:tc>
      </w:tr>
      <w:tr w14:paraId="7AE8C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D2198"/>
        </w:tc>
        <w:tc>
          <w:tcPr>
            <w:tcW w:w="14033" w:type="dxa"/>
            <w:gridSpan w:val="6"/>
            <w:vAlign w:val="center"/>
          </w:tcPr>
          <w:p w14:paraId="50391C18">
            <w:pPr>
              <w:pStyle w:val="13"/>
            </w:pPr>
            <w:r>
              <w:t>用于保障学校教学任务有效开展，满足学校正常教学需要。</w:t>
            </w:r>
          </w:p>
        </w:tc>
      </w:tr>
      <w:tr w14:paraId="49165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7EACF">
            <w:pPr>
              <w:pStyle w:val="11"/>
            </w:pPr>
            <w:r>
              <w:t>资金支出计划（%）</w:t>
            </w:r>
          </w:p>
        </w:tc>
        <w:tc>
          <w:tcPr>
            <w:tcW w:w="5103" w:type="dxa"/>
            <w:gridSpan w:val="2"/>
            <w:vAlign w:val="center"/>
          </w:tcPr>
          <w:p w14:paraId="47C70460">
            <w:pPr>
              <w:pStyle w:val="11"/>
            </w:pPr>
            <w:r>
              <w:t>3月底</w:t>
            </w:r>
          </w:p>
        </w:tc>
        <w:tc>
          <w:tcPr>
            <w:tcW w:w="2835" w:type="dxa"/>
            <w:vAlign w:val="center"/>
          </w:tcPr>
          <w:p w14:paraId="74195CD1">
            <w:pPr>
              <w:pStyle w:val="11"/>
            </w:pPr>
            <w:r>
              <w:t>6月底</w:t>
            </w:r>
          </w:p>
        </w:tc>
        <w:tc>
          <w:tcPr>
            <w:tcW w:w="2551" w:type="dxa"/>
            <w:vAlign w:val="center"/>
          </w:tcPr>
          <w:p w14:paraId="2A69E925">
            <w:pPr>
              <w:pStyle w:val="11"/>
            </w:pPr>
            <w:r>
              <w:t>10月底</w:t>
            </w:r>
          </w:p>
        </w:tc>
        <w:tc>
          <w:tcPr>
            <w:tcW w:w="3544" w:type="dxa"/>
            <w:gridSpan w:val="2"/>
            <w:vAlign w:val="center"/>
          </w:tcPr>
          <w:p w14:paraId="7E0567FA">
            <w:pPr>
              <w:pStyle w:val="11"/>
            </w:pPr>
            <w:r>
              <w:t>12月底</w:t>
            </w:r>
          </w:p>
        </w:tc>
      </w:tr>
      <w:tr w14:paraId="4521D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C1761"/>
        </w:tc>
        <w:tc>
          <w:tcPr>
            <w:tcW w:w="5103" w:type="dxa"/>
            <w:gridSpan w:val="2"/>
            <w:vAlign w:val="center"/>
          </w:tcPr>
          <w:p w14:paraId="7493ACDE">
            <w:pPr>
              <w:pStyle w:val="12"/>
            </w:pPr>
            <w:r>
              <w:t>25%</w:t>
            </w:r>
          </w:p>
        </w:tc>
        <w:tc>
          <w:tcPr>
            <w:tcW w:w="2835" w:type="dxa"/>
            <w:vAlign w:val="center"/>
          </w:tcPr>
          <w:p w14:paraId="3BE417AE">
            <w:pPr>
              <w:pStyle w:val="12"/>
            </w:pPr>
            <w:r>
              <w:t>50%</w:t>
            </w:r>
          </w:p>
        </w:tc>
        <w:tc>
          <w:tcPr>
            <w:tcW w:w="2551" w:type="dxa"/>
            <w:vAlign w:val="center"/>
          </w:tcPr>
          <w:p w14:paraId="4B1FB799">
            <w:pPr>
              <w:pStyle w:val="12"/>
            </w:pPr>
            <w:r>
              <w:t>75%</w:t>
            </w:r>
          </w:p>
        </w:tc>
        <w:tc>
          <w:tcPr>
            <w:tcW w:w="3544" w:type="dxa"/>
            <w:gridSpan w:val="2"/>
            <w:vAlign w:val="center"/>
          </w:tcPr>
          <w:p w14:paraId="744BA1B9">
            <w:pPr>
              <w:pStyle w:val="12"/>
            </w:pPr>
            <w:r>
              <w:t>100%</w:t>
            </w:r>
          </w:p>
        </w:tc>
      </w:tr>
      <w:tr w14:paraId="120C8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176F6">
            <w:pPr>
              <w:pStyle w:val="11"/>
            </w:pPr>
            <w:r>
              <w:t>绩效目标</w:t>
            </w:r>
          </w:p>
        </w:tc>
        <w:tc>
          <w:tcPr>
            <w:tcW w:w="14033" w:type="dxa"/>
            <w:gridSpan w:val="6"/>
            <w:vAlign w:val="center"/>
          </w:tcPr>
          <w:p w14:paraId="2ED53EAC">
            <w:pPr>
              <w:pStyle w:val="13"/>
            </w:pPr>
            <w:r>
              <w:t>1.按规定拨付公用经费资金，预算执行率≥98%。</w:t>
            </w:r>
          </w:p>
          <w:p w14:paraId="5249F780">
            <w:pPr>
              <w:pStyle w:val="13"/>
            </w:pPr>
            <w:r>
              <w:t>2.有效完成学校教学安全秩序，保障学校教学任务有效开展，满足学校正常教学需要。</w:t>
            </w:r>
          </w:p>
        </w:tc>
      </w:tr>
    </w:tbl>
    <w:p w14:paraId="440673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78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30BA1">
            <w:pPr>
              <w:pStyle w:val="11"/>
            </w:pPr>
            <w:r>
              <w:t>一级指标</w:t>
            </w:r>
          </w:p>
        </w:tc>
        <w:tc>
          <w:tcPr>
            <w:tcW w:w="2268" w:type="dxa"/>
            <w:vAlign w:val="center"/>
          </w:tcPr>
          <w:p w14:paraId="2695E781">
            <w:pPr>
              <w:pStyle w:val="11"/>
            </w:pPr>
            <w:r>
              <w:t>二级指标</w:t>
            </w:r>
          </w:p>
        </w:tc>
        <w:tc>
          <w:tcPr>
            <w:tcW w:w="2835" w:type="dxa"/>
            <w:vAlign w:val="center"/>
          </w:tcPr>
          <w:p w14:paraId="64F2E8F9">
            <w:pPr>
              <w:pStyle w:val="11"/>
            </w:pPr>
            <w:r>
              <w:t>三级指标</w:t>
            </w:r>
          </w:p>
        </w:tc>
        <w:tc>
          <w:tcPr>
            <w:tcW w:w="5386" w:type="dxa"/>
            <w:vAlign w:val="center"/>
          </w:tcPr>
          <w:p w14:paraId="48643653">
            <w:pPr>
              <w:pStyle w:val="11"/>
            </w:pPr>
            <w:r>
              <w:t>绩效指标描述</w:t>
            </w:r>
          </w:p>
        </w:tc>
        <w:tc>
          <w:tcPr>
            <w:tcW w:w="2268" w:type="dxa"/>
            <w:vAlign w:val="center"/>
          </w:tcPr>
          <w:p w14:paraId="765DC544">
            <w:pPr>
              <w:pStyle w:val="11"/>
            </w:pPr>
            <w:r>
              <w:t>指标值</w:t>
            </w:r>
          </w:p>
        </w:tc>
        <w:tc>
          <w:tcPr>
            <w:tcW w:w="1276" w:type="dxa"/>
            <w:vAlign w:val="center"/>
          </w:tcPr>
          <w:p w14:paraId="686E8A32">
            <w:pPr>
              <w:pStyle w:val="11"/>
            </w:pPr>
            <w:r>
              <w:t>指标值确定依据</w:t>
            </w:r>
          </w:p>
        </w:tc>
      </w:tr>
      <w:tr w14:paraId="2294B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AABAA">
            <w:pPr>
              <w:pStyle w:val="12"/>
            </w:pPr>
            <w:r>
              <w:t>产出指标</w:t>
            </w:r>
          </w:p>
        </w:tc>
        <w:tc>
          <w:tcPr>
            <w:tcW w:w="2268" w:type="dxa"/>
            <w:vAlign w:val="center"/>
          </w:tcPr>
          <w:p w14:paraId="3709FF14">
            <w:pPr>
              <w:pStyle w:val="13"/>
            </w:pPr>
            <w:r>
              <w:t>数量指标</w:t>
            </w:r>
          </w:p>
        </w:tc>
        <w:tc>
          <w:tcPr>
            <w:tcW w:w="2835" w:type="dxa"/>
            <w:vAlign w:val="center"/>
          </w:tcPr>
          <w:p w14:paraId="061E3F41">
            <w:pPr>
              <w:pStyle w:val="13"/>
            </w:pPr>
            <w:r>
              <w:t>就读学生数</w:t>
            </w:r>
          </w:p>
        </w:tc>
        <w:tc>
          <w:tcPr>
            <w:tcW w:w="5386" w:type="dxa"/>
            <w:vAlign w:val="center"/>
          </w:tcPr>
          <w:p w14:paraId="497F5E65">
            <w:pPr>
              <w:pStyle w:val="13"/>
            </w:pPr>
            <w:r>
              <w:t>辐射区域内适龄学生人数</w:t>
            </w:r>
          </w:p>
        </w:tc>
        <w:tc>
          <w:tcPr>
            <w:tcW w:w="2268" w:type="dxa"/>
            <w:vAlign w:val="center"/>
          </w:tcPr>
          <w:p w14:paraId="58B18446">
            <w:pPr>
              <w:pStyle w:val="13"/>
            </w:pPr>
            <w:r>
              <w:t>≥637人</w:t>
            </w:r>
          </w:p>
        </w:tc>
        <w:tc>
          <w:tcPr>
            <w:tcW w:w="1276" w:type="dxa"/>
            <w:vAlign w:val="center"/>
          </w:tcPr>
          <w:p w14:paraId="4A80B042">
            <w:pPr>
              <w:pStyle w:val="13"/>
            </w:pPr>
            <w:r>
              <w:t>城乡义务教育公用经费管理办法</w:t>
            </w:r>
          </w:p>
        </w:tc>
      </w:tr>
      <w:tr w14:paraId="05132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FBCAF"/>
        </w:tc>
        <w:tc>
          <w:tcPr>
            <w:tcW w:w="2268" w:type="dxa"/>
            <w:vAlign w:val="center"/>
          </w:tcPr>
          <w:p w14:paraId="27079CA9">
            <w:pPr>
              <w:pStyle w:val="13"/>
            </w:pPr>
            <w:r>
              <w:t>质量指标</w:t>
            </w:r>
          </w:p>
        </w:tc>
        <w:tc>
          <w:tcPr>
            <w:tcW w:w="2835" w:type="dxa"/>
            <w:vAlign w:val="center"/>
          </w:tcPr>
          <w:p w14:paraId="47130DFE">
            <w:pPr>
              <w:pStyle w:val="13"/>
            </w:pPr>
            <w:r>
              <w:t>预算执行率</w:t>
            </w:r>
          </w:p>
        </w:tc>
        <w:tc>
          <w:tcPr>
            <w:tcW w:w="5386" w:type="dxa"/>
            <w:vAlign w:val="center"/>
          </w:tcPr>
          <w:p w14:paraId="45102F9F">
            <w:pPr>
              <w:pStyle w:val="13"/>
            </w:pPr>
            <w:r>
              <w:t>预算执行率</w:t>
            </w:r>
          </w:p>
        </w:tc>
        <w:tc>
          <w:tcPr>
            <w:tcW w:w="2268" w:type="dxa"/>
            <w:vAlign w:val="center"/>
          </w:tcPr>
          <w:p w14:paraId="3B3830DF">
            <w:pPr>
              <w:pStyle w:val="13"/>
            </w:pPr>
            <w:r>
              <w:t>≥98%</w:t>
            </w:r>
          </w:p>
        </w:tc>
        <w:tc>
          <w:tcPr>
            <w:tcW w:w="1276" w:type="dxa"/>
            <w:vAlign w:val="center"/>
          </w:tcPr>
          <w:p w14:paraId="0A801F46">
            <w:pPr>
              <w:pStyle w:val="13"/>
            </w:pPr>
            <w:r>
              <w:t>城乡义务教育公用经费管理办法</w:t>
            </w:r>
          </w:p>
        </w:tc>
      </w:tr>
      <w:tr w14:paraId="7E7D8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4C3C6"/>
        </w:tc>
        <w:tc>
          <w:tcPr>
            <w:tcW w:w="2268" w:type="dxa"/>
            <w:vAlign w:val="center"/>
          </w:tcPr>
          <w:p w14:paraId="2A504CB2">
            <w:pPr>
              <w:pStyle w:val="13"/>
            </w:pPr>
            <w:r>
              <w:t>时效指标</w:t>
            </w:r>
          </w:p>
        </w:tc>
        <w:tc>
          <w:tcPr>
            <w:tcW w:w="2835" w:type="dxa"/>
            <w:vAlign w:val="center"/>
          </w:tcPr>
          <w:p w14:paraId="77E9B3F7">
            <w:pPr>
              <w:pStyle w:val="13"/>
            </w:pPr>
            <w:r>
              <w:t>义教经费支付完成率</w:t>
            </w:r>
          </w:p>
        </w:tc>
        <w:tc>
          <w:tcPr>
            <w:tcW w:w="5386" w:type="dxa"/>
            <w:vAlign w:val="center"/>
          </w:tcPr>
          <w:p w14:paraId="4D149661">
            <w:pPr>
              <w:pStyle w:val="13"/>
            </w:pPr>
            <w:r>
              <w:t>按照序时进度完成资金支付</w:t>
            </w:r>
          </w:p>
        </w:tc>
        <w:tc>
          <w:tcPr>
            <w:tcW w:w="2268" w:type="dxa"/>
            <w:vAlign w:val="center"/>
          </w:tcPr>
          <w:p w14:paraId="44A5E862">
            <w:pPr>
              <w:pStyle w:val="13"/>
            </w:pPr>
            <w:r>
              <w:t>≥100%</w:t>
            </w:r>
          </w:p>
        </w:tc>
        <w:tc>
          <w:tcPr>
            <w:tcW w:w="1276" w:type="dxa"/>
            <w:vAlign w:val="center"/>
          </w:tcPr>
          <w:p w14:paraId="4F63C6C3">
            <w:pPr>
              <w:pStyle w:val="13"/>
            </w:pPr>
            <w:r>
              <w:t>城乡义务教育公用经费管理办法</w:t>
            </w:r>
          </w:p>
        </w:tc>
      </w:tr>
      <w:tr w14:paraId="1B274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E9E94"/>
        </w:tc>
        <w:tc>
          <w:tcPr>
            <w:tcW w:w="2268" w:type="dxa"/>
            <w:vAlign w:val="center"/>
          </w:tcPr>
          <w:p w14:paraId="78B8B7D0">
            <w:pPr>
              <w:pStyle w:val="13"/>
            </w:pPr>
            <w:r>
              <w:t>成本指标</w:t>
            </w:r>
          </w:p>
        </w:tc>
        <w:tc>
          <w:tcPr>
            <w:tcW w:w="2835" w:type="dxa"/>
            <w:vAlign w:val="center"/>
          </w:tcPr>
          <w:p w14:paraId="65EE456A">
            <w:pPr>
              <w:pStyle w:val="13"/>
            </w:pPr>
            <w:r>
              <w:t>生均拨款标准</w:t>
            </w:r>
          </w:p>
        </w:tc>
        <w:tc>
          <w:tcPr>
            <w:tcW w:w="5386" w:type="dxa"/>
            <w:vAlign w:val="center"/>
          </w:tcPr>
          <w:p w14:paraId="3DE878D5">
            <w:pPr>
              <w:pStyle w:val="13"/>
            </w:pPr>
            <w:r>
              <w:t>小学：（基本标准720元、寄宿生300元、生活补助120元）/生/学年；特教、随班就读学生：标准6000元/生/学年</w:t>
            </w:r>
          </w:p>
        </w:tc>
        <w:tc>
          <w:tcPr>
            <w:tcW w:w="2268" w:type="dxa"/>
            <w:vAlign w:val="center"/>
          </w:tcPr>
          <w:p w14:paraId="34F9BB77">
            <w:pPr>
              <w:pStyle w:val="13"/>
            </w:pPr>
            <w:r>
              <w:t>840元</w:t>
            </w:r>
          </w:p>
        </w:tc>
        <w:tc>
          <w:tcPr>
            <w:tcW w:w="1276" w:type="dxa"/>
            <w:vAlign w:val="center"/>
          </w:tcPr>
          <w:p w14:paraId="205C032F">
            <w:pPr>
              <w:pStyle w:val="13"/>
            </w:pPr>
            <w:r>
              <w:t>城乡义务教育公用经费管理办法</w:t>
            </w:r>
          </w:p>
        </w:tc>
      </w:tr>
      <w:tr w14:paraId="28DF6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B4E84">
            <w:pPr>
              <w:pStyle w:val="12"/>
            </w:pPr>
            <w:r>
              <w:t>效益指标</w:t>
            </w:r>
          </w:p>
        </w:tc>
        <w:tc>
          <w:tcPr>
            <w:tcW w:w="2268" w:type="dxa"/>
            <w:vAlign w:val="center"/>
          </w:tcPr>
          <w:p w14:paraId="5D8CE458">
            <w:pPr>
              <w:pStyle w:val="13"/>
            </w:pPr>
            <w:r>
              <w:t>可持续影响指标</w:t>
            </w:r>
          </w:p>
        </w:tc>
        <w:tc>
          <w:tcPr>
            <w:tcW w:w="2835" w:type="dxa"/>
            <w:vAlign w:val="center"/>
          </w:tcPr>
          <w:p w14:paraId="7906E48D">
            <w:pPr>
              <w:pStyle w:val="13"/>
            </w:pPr>
            <w:r>
              <w:t>学校稳定率</w:t>
            </w:r>
          </w:p>
        </w:tc>
        <w:tc>
          <w:tcPr>
            <w:tcW w:w="5386" w:type="dxa"/>
            <w:vAlign w:val="center"/>
          </w:tcPr>
          <w:p w14:paraId="26F7CED8">
            <w:pPr>
              <w:pStyle w:val="13"/>
            </w:pPr>
            <w:r>
              <w:t>维护学校稳定，保障学校正常教学秩序有效开展</w:t>
            </w:r>
          </w:p>
        </w:tc>
        <w:tc>
          <w:tcPr>
            <w:tcW w:w="2268" w:type="dxa"/>
            <w:vAlign w:val="center"/>
          </w:tcPr>
          <w:p w14:paraId="33D6AD6F">
            <w:pPr>
              <w:pStyle w:val="13"/>
            </w:pPr>
            <w:r>
              <w:t>≥100%</w:t>
            </w:r>
          </w:p>
        </w:tc>
        <w:tc>
          <w:tcPr>
            <w:tcW w:w="1276" w:type="dxa"/>
            <w:vAlign w:val="center"/>
          </w:tcPr>
          <w:p w14:paraId="14AAC5D8">
            <w:pPr>
              <w:pStyle w:val="13"/>
            </w:pPr>
            <w:r>
              <w:t>城乡义务教育公用经费管理办法</w:t>
            </w:r>
          </w:p>
        </w:tc>
      </w:tr>
      <w:tr w14:paraId="2C4E2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2395AE">
            <w:pPr>
              <w:pStyle w:val="12"/>
            </w:pPr>
            <w:r>
              <w:t>满意度指标</w:t>
            </w:r>
          </w:p>
        </w:tc>
        <w:tc>
          <w:tcPr>
            <w:tcW w:w="2268" w:type="dxa"/>
            <w:vAlign w:val="center"/>
          </w:tcPr>
          <w:p w14:paraId="1D658516">
            <w:pPr>
              <w:pStyle w:val="13"/>
            </w:pPr>
            <w:r>
              <w:t>服务对象满意度指标</w:t>
            </w:r>
          </w:p>
        </w:tc>
        <w:tc>
          <w:tcPr>
            <w:tcW w:w="2835" w:type="dxa"/>
            <w:vAlign w:val="center"/>
          </w:tcPr>
          <w:p w14:paraId="4EEED12F">
            <w:pPr>
              <w:pStyle w:val="13"/>
            </w:pPr>
            <w:r>
              <w:t>家长和学生满意度</w:t>
            </w:r>
          </w:p>
        </w:tc>
        <w:tc>
          <w:tcPr>
            <w:tcW w:w="5386" w:type="dxa"/>
            <w:vAlign w:val="center"/>
          </w:tcPr>
          <w:p w14:paraId="76534CBD">
            <w:pPr>
              <w:pStyle w:val="13"/>
            </w:pPr>
            <w:r>
              <w:t>家长和学生满意度</w:t>
            </w:r>
          </w:p>
        </w:tc>
        <w:tc>
          <w:tcPr>
            <w:tcW w:w="2268" w:type="dxa"/>
            <w:vAlign w:val="center"/>
          </w:tcPr>
          <w:p w14:paraId="203C93E6">
            <w:pPr>
              <w:pStyle w:val="13"/>
            </w:pPr>
            <w:r>
              <w:t>≥95%</w:t>
            </w:r>
          </w:p>
        </w:tc>
        <w:tc>
          <w:tcPr>
            <w:tcW w:w="1276" w:type="dxa"/>
            <w:vAlign w:val="center"/>
          </w:tcPr>
          <w:p w14:paraId="49CABF82">
            <w:pPr>
              <w:pStyle w:val="13"/>
            </w:pPr>
            <w:r>
              <w:t>问卷调查</w:t>
            </w:r>
          </w:p>
        </w:tc>
      </w:tr>
    </w:tbl>
    <w:p w14:paraId="70300074">
      <w:pPr>
        <w:sectPr>
          <w:pgSz w:w="16840" w:h="11900" w:orient="landscape"/>
          <w:pgMar w:top="1361" w:right="1020" w:bottom="1134" w:left="1020" w:header="720" w:footer="720" w:gutter="0"/>
          <w:cols w:space="720" w:num="1"/>
        </w:sectPr>
      </w:pPr>
    </w:p>
    <w:p w14:paraId="1A008972">
      <w:pPr>
        <w:spacing w:before="0" w:after="0"/>
        <w:ind w:firstLine="560"/>
        <w:jc w:val="left"/>
        <w:outlineLvl w:val="9"/>
      </w:pPr>
      <w:r>
        <w:rPr>
          <w:rFonts w:ascii="方正仿宋_GBK" w:hAnsi="方正仿宋_GBK" w:eastAsia="方正仿宋_GBK" w:cs="方正仿宋_GBK"/>
          <w:b/>
          <w:color w:val="000000"/>
          <w:sz w:val="28"/>
        </w:rPr>
        <w:t>28、冀财教[2024]142号/省级/2025年学前发展资金/尹村校区学前教育公用经费绩效目标表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FB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D30E1">
            <w:pPr>
              <w:pStyle w:val="14"/>
            </w:pPr>
            <w:r>
              <w:t>单位：万元</w:t>
            </w:r>
          </w:p>
        </w:tc>
      </w:tr>
      <w:tr w14:paraId="2A739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FDE8A">
            <w:pPr>
              <w:pStyle w:val="11"/>
            </w:pPr>
            <w:r>
              <w:t>项目编码</w:t>
            </w:r>
          </w:p>
        </w:tc>
        <w:tc>
          <w:tcPr>
            <w:tcW w:w="5103" w:type="dxa"/>
            <w:gridSpan w:val="2"/>
            <w:vAlign w:val="center"/>
          </w:tcPr>
          <w:p w14:paraId="5A444B32">
            <w:pPr>
              <w:pStyle w:val="13"/>
            </w:pPr>
            <w:r>
              <w:t>13052525P008757100079</w:t>
            </w:r>
          </w:p>
        </w:tc>
        <w:tc>
          <w:tcPr>
            <w:tcW w:w="2835" w:type="dxa"/>
            <w:vAlign w:val="center"/>
          </w:tcPr>
          <w:p w14:paraId="4B98C051">
            <w:pPr>
              <w:pStyle w:val="11"/>
            </w:pPr>
            <w:r>
              <w:t>项目名称</w:t>
            </w:r>
          </w:p>
        </w:tc>
        <w:tc>
          <w:tcPr>
            <w:tcW w:w="6095" w:type="dxa"/>
            <w:gridSpan w:val="3"/>
            <w:vAlign w:val="center"/>
          </w:tcPr>
          <w:p w14:paraId="1741BF39">
            <w:pPr>
              <w:pStyle w:val="13"/>
            </w:pPr>
            <w:r>
              <w:t>冀财教[2024]142号/省级/2025年学前发展资金/尹村校区学前教育公用经费</w:t>
            </w:r>
          </w:p>
        </w:tc>
      </w:tr>
      <w:tr w14:paraId="45EB9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7ADD5">
            <w:pPr>
              <w:pStyle w:val="11"/>
            </w:pPr>
            <w:r>
              <w:t>预算规模及资金用途</w:t>
            </w:r>
          </w:p>
        </w:tc>
        <w:tc>
          <w:tcPr>
            <w:tcW w:w="2268" w:type="dxa"/>
            <w:vAlign w:val="center"/>
          </w:tcPr>
          <w:p w14:paraId="752D9002">
            <w:pPr>
              <w:pStyle w:val="11"/>
            </w:pPr>
            <w:r>
              <w:t>预算数</w:t>
            </w:r>
          </w:p>
        </w:tc>
        <w:tc>
          <w:tcPr>
            <w:tcW w:w="2835" w:type="dxa"/>
            <w:vAlign w:val="center"/>
          </w:tcPr>
          <w:p w14:paraId="0359A2FE">
            <w:pPr>
              <w:pStyle w:val="13"/>
            </w:pPr>
            <w:r>
              <w:t>19.00</w:t>
            </w:r>
          </w:p>
        </w:tc>
        <w:tc>
          <w:tcPr>
            <w:tcW w:w="2835" w:type="dxa"/>
            <w:vAlign w:val="center"/>
          </w:tcPr>
          <w:p w14:paraId="0E7932AF">
            <w:pPr>
              <w:pStyle w:val="11"/>
            </w:pPr>
            <w:r>
              <w:t>其中：财政    资金</w:t>
            </w:r>
          </w:p>
        </w:tc>
        <w:tc>
          <w:tcPr>
            <w:tcW w:w="2551" w:type="dxa"/>
            <w:vAlign w:val="center"/>
          </w:tcPr>
          <w:p w14:paraId="42BFB66E">
            <w:pPr>
              <w:pStyle w:val="13"/>
            </w:pPr>
            <w:r>
              <w:t>19.00</w:t>
            </w:r>
          </w:p>
        </w:tc>
        <w:tc>
          <w:tcPr>
            <w:tcW w:w="2268" w:type="dxa"/>
            <w:vAlign w:val="center"/>
          </w:tcPr>
          <w:p w14:paraId="7D98E486">
            <w:pPr>
              <w:pStyle w:val="11"/>
            </w:pPr>
            <w:r>
              <w:t>其他资金</w:t>
            </w:r>
          </w:p>
        </w:tc>
        <w:tc>
          <w:tcPr>
            <w:tcW w:w="1276" w:type="dxa"/>
            <w:vAlign w:val="center"/>
          </w:tcPr>
          <w:p w14:paraId="6D0976EC">
            <w:pPr>
              <w:pStyle w:val="13"/>
            </w:pPr>
            <w:r>
              <w:t xml:space="preserve"> </w:t>
            </w:r>
          </w:p>
        </w:tc>
      </w:tr>
      <w:tr w14:paraId="39006E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E62CD7"/>
        </w:tc>
        <w:tc>
          <w:tcPr>
            <w:tcW w:w="14033" w:type="dxa"/>
            <w:gridSpan w:val="6"/>
            <w:vAlign w:val="center"/>
          </w:tcPr>
          <w:p w14:paraId="3A658A36">
            <w:pPr>
              <w:pStyle w:val="13"/>
            </w:pPr>
            <w:r>
              <w:t xml:space="preserve"> 保障幼儿园正常运转，完成教育教学活动和其他日常工作任务等方面的费用支出。</w:t>
            </w:r>
          </w:p>
        </w:tc>
      </w:tr>
      <w:tr w14:paraId="0B644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0A1E2">
            <w:pPr>
              <w:pStyle w:val="11"/>
            </w:pPr>
            <w:r>
              <w:t>资金支出计划（%）</w:t>
            </w:r>
          </w:p>
        </w:tc>
        <w:tc>
          <w:tcPr>
            <w:tcW w:w="5103" w:type="dxa"/>
            <w:gridSpan w:val="2"/>
            <w:vAlign w:val="center"/>
          </w:tcPr>
          <w:p w14:paraId="6834CD13">
            <w:pPr>
              <w:pStyle w:val="11"/>
            </w:pPr>
            <w:r>
              <w:t>3月底</w:t>
            </w:r>
          </w:p>
        </w:tc>
        <w:tc>
          <w:tcPr>
            <w:tcW w:w="2835" w:type="dxa"/>
            <w:vAlign w:val="center"/>
          </w:tcPr>
          <w:p w14:paraId="12E452B9">
            <w:pPr>
              <w:pStyle w:val="11"/>
            </w:pPr>
            <w:r>
              <w:t>6月底</w:t>
            </w:r>
          </w:p>
        </w:tc>
        <w:tc>
          <w:tcPr>
            <w:tcW w:w="2551" w:type="dxa"/>
            <w:vAlign w:val="center"/>
          </w:tcPr>
          <w:p w14:paraId="24791718">
            <w:pPr>
              <w:pStyle w:val="11"/>
            </w:pPr>
            <w:r>
              <w:t>10月底</w:t>
            </w:r>
          </w:p>
        </w:tc>
        <w:tc>
          <w:tcPr>
            <w:tcW w:w="3544" w:type="dxa"/>
            <w:gridSpan w:val="2"/>
            <w:vAlign w:val="center"/>
          </w:tcPr>
          <w:p w14:paraId="1FC8A312">
            <w:pPr>
              <w:pStyle w:val="11"/>
            </w:pPr>
            <w:r>
              <w:t>12月底</w:t>
            </w:r>
          </w:p>
        </w:tc>
      </w:tr>
      <w:tr w14:paraId="02C02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60ACF"/>
        </w:tc>
        <w:tc>
          <w:tcPr>
            <w:tcW w:w="5103" w:type="dxa"/>
            <w:gridSpan w:val="2"/>
            <w:vAlign w:val="center"/>
          </w:tcPr>
          <w:p w14:paraId="1CC5BD54">
            <w:pPr>
              <w:pStyle w:val="12"/>
            </w:pPr>
            <w:r>
              <w:t>25%</w:t>
            </w:r>
          </w:p>
        </w:tc>
        <w:tc>
          <w:tcPr>
            <w:tcW w:w="2835" w:type="dxa"/>
            <w:vAlign w:val="center"/>
          </w:tcPr>
          <w:p w14:paraId="05B7F397">
            <w:pPr>
              <w:pStyle w:val="12"/>
            </w:pPr>
            <w:r>
              <w:t>50%</w:t>
            </w:r>
          </w:p>
        </w:tc>
        <w:tc>
          <w:tcPr>
            <w:tcW w:w="2551" w:type="dxa"/>
            <w:vAlign w:val="center"/>
          </w:tcPr>
          <w:p w14:paraId="4FCCF963">
            <w:pPr>
              <w:pStyle w:val="12"/>
            </w:pPr>
            <w:r>
              <w:t>75%</w:t>
            </w:r>
          </w:p>
        </w:tc>
        <w:tc>
          <w:tcPr>
            <w:tcW w:w="3544" w:type="dxa"/>
            <w:gridSpan w:val="2"/>
            <w:vAlign w:val="center"/>
          </w:tcPr>
          <w:p w14:paraId="579A8215">
            <w:pPr>
              <w:pStyle w:val="12"/>
            </w:pPr>
            <w:r>
              <w:t>100%</w:t>
            </w:r>
          </w:p>
        </w:tc>
      </w:tr>
      <w:tr w14:paraId="0EDFF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B84B5">
            <w:pPr>
              <w:pStyle w:val="11"/>
            </w:pPr>
            <w:r>
              <w:t>绩效目标</w:t>
            </w:r>
          </w:p>
        </w:tc>
        <w:tc>
          <w:tcPr>
            <w:tcW w:w="14033" w:type="dxa"/>
            <w:gridSpan w:val="6"/>
            <w:vAlign w:val="center"/>
          </w:tcPr>
          <w:p w14:paraId="240362A7">
            <w:pPr>
              <w:pStyle w:val="13"/>
            </w:pPr>
            <w:r>
              <w:t>1.按季度分批次拨付公用经费资金，资金拨付率达到100%。</w:t>
            </w:r>
          </w:p>
          <w:p w14:paraId="08B9CCB0">
            <w:pPr>
              <w:pStyle w:val="13"/>
            </w:pPr>
            <w:r>
              <w:t>2. 保障幼儿园正常运转，完成教育教学活动和其他日常工作任务等方面的费用支出。</w:t>
            </w:r>
          </w:p>
        </w:tc>
      </w:tr>
    </w:tbl>
    <w:p w14:paraId="617D7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42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5E135">
            <w:pPr>
              <w:pStyle w:val="11"/>
            </w:pPr>
            <w:r>
              <w:t>一级指标</w:t>
            </w:r>
          </w:p>
        </w:tc>
        <w:tc>
          <w:tcPr>
            <w:tcW w:w="2268" w:type="dxa"/>
            <w:vAlign w:val="center"/>
          </w:tcPr>
          <w:p w14:paraId="4B1E2610">
            <w:pPr>
              <w:pStyle w:val="11"/>
            </w:pPr>
            <w:r>
              <w:t>二级指标</w:t>
            </w:r>
          </w:p>
        </w:tc>
        <w:tc>
          <w:tcPr>
            <w:tcW w:w="2835" w:type="dxa"/>
            <w:vAlign w:val="center"/>
          </w:tcPr>
          <w:p w14:paraId="0AA0A360">
            <w:pPr>
              <w:pStyle w:val="11"/>
            </w:pPr>
            <w:r>
              <w:t>三级指标</w:t>
            </w:r>
          </w:p>
        </w:tc>
        <w:tc>
          <w:tcPr>
            <w:tcW w:w="5386" w:type="dxa"/>
            <w:vAlign w:val="center"/>
          </w:tcPr>
          <w:p w14:paraId="68D78986">
            <w:pPr>
              <w:pStyle w:val="11"/>
            </w:pPr>
            <w:r>
              <w:t>绩效指标描述</w:t>
            </w:r>
          </w:p>
        </w:tc>
        <w:tc>
          <w:tcPr>
            <w:tcW w:w="2268" w:type="dxa"/>
            <w:vAlign w:val="center"/>
          </w:tcPr>
          <w:p w14:paraId="77C76126">
            <w:pPr>
              <w:pStyle w:val="11"/>
            </w:pPr>
            <w:r>
              <w:t>指标值</w:t>
            </w:r>
          </w:p>
        </w:tc>
        <w:tc>
          <w:tcPr>
            <w:tcW w:w="1276" w:type="dxa"/>
            <w:vAlign w:val="center"/>
          </w:tcPr>
          <w:p w14:paraId="5220E20B">
            <w:pPr>
              <w:pStyle w:val="11"/>
            </w:pPr>
            <w:r>
              <w:t>指标值确定依据</w:t>
            </w:r>
          </w:p>
        </w:tc>
      </w:tr>
      <w:tr w14:paraId="2BD2B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865D1">
            <w:pPr>
              <w:pStyle w:val="12"/>
            </w:pPr>
            <w:r>
              <w:t>产出指标</w:t>
            </w:r>
          </w:p>
        </w:tc>
        <w:tc>
          <w:tcPr>
            <w:tcW w:w="2268" w:type="dxa"/>
            <w:vAlign w:val="center"/>
          </w:tcPr>
          <w:p w14:paraId="3DB2DD89">
            <w:pPr>
              <w:pStyle w:val="13"/>
            </w:pPr>
            <w:r>
              <w:t>数量指标</w:t>
            </w:r>
          </w:p>
        </w:tc>
        <w:tc>
          <w:tcPr>
            <w:tcW w:w="2835" w:type="dxa"/>
            <w:vAlign w:val="center"/>
          </w:tcPr>
          <w:p w14:paraId="5D2BB294">
            <w:pPr>
              <w:pStyle w:val="13"/>
            </w:pPr>
            <w:r>
              <w:t>适龄在园生</w:t>
            </w:r>
          </w:p>
        </w:tc>
        <w:tc>
          <w:tcPr>
            <w:tcW w:w="5386" w:type="dxa"/>
            <w:vAlign w:val="center"/>
          </w:tcPr>
          <w:p w14:paraId="112B32E9">
            <w:pPr>
              <w:pStyle w:val="13"/>
            </w:pPr>
            <w:r>
              <w:t>适龄在园学生人数</w:t>
            </w:r>
          </w:p>
        </w:tc>
        <w:tc>
          <w:tcPr>
            <w:tcW w:w="2268" w:type="dxa"/>
            <w:vAlign w:val="center"/>
          </w:tcPr>
          <w:p w14:paraId="4C79D18A">
            <w:pPr>
              <w:pStyle w:val="13"/>
            </w:pPr>
            <w:r>
              <w:t>600人</w:t>
            </w:r>
          </w:p>
        </w:tc>
        <w:tc>
          <w:tcPr>
            <w:tcW w:w="1276" w:type="dxa"/>
            <w:vAlign w:val="center"/>
          </w:tcPr>
          <w:p w14:paraId="537358CF">
            <w:pPr>
              <w:pStyle w:val="13"/>
            </w:pPr>
            <w:r>
              <w:t>支持学前教育发展资金管理方法</w:t>
            </w:r>
          </w:p>
        </w:tc>
      </w:tr>
      <w:tr w14:paraId="58538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34AFD"/>
        </w:tc>
        <w:tc>
          <w:tcPr>
            <w:tcW w:w="2268" w:type="dxa"/>
            <w:vAlign w:val="center"/>
          </w:tcPr>
          <w:p w14:paraId="5F73611C">
            <w:pPr>
              <w:pStyle w:val="13"/>
            </w:pPr>
            <w:r>
              <w:t>质量指标</w:t>
            </w:r>
          </w:p>
        </w:tc>
        <w:tc>
          <w:tcPr>
            <w:tcW w:w="2835" w:type="dxa"/>
            <w:vAlign w:val="center"/>
          </w:tcPr>
          <w:p w14:paraId="61511A30">
            <w:pPr>
              <w:pStyle w:val="13"/>
            </w:pPr>
            <w:r>
              <w:t>预算控制率</w:t>
            </w:r>
          </w:p>
        </w:tc>
        <w:tc>
          <w:tcPr>
            <w:tcW w:w="5386" w:type="dxa"/>
            <w:vAlign w:val="center"/>
          </w:tcPr>
          <w:p w14:paraId="0BE7F240">
            <w:pPr>
              <w:pStyle w:val="13"/>
            </w:pPr>
            <w:r>
              <w:t>预算执行</w:t>
            </w:r>
          </w:p>
        </w:tc>
        <w:tc>
          <w:tcPr>
            <w:tcW w:w="2268" w:type="dxa"/>
            <w:vAlign w:val="center"/>
          </w:tcPr>
          <w:p w14:paraId="5812C7A9">
            <w:pPr>
              <w:pStyle w:val="13"/>
            </w:pPr>
            <w:r>
              <w:t>≥95%</w:t>
            </w:r>
          </w:p>
        </w:tc>
        <w:tc>
          <w:tcPr>
            <w:tcW w:w="1276" w:type="dxa"/>
            <w:vAlign w:val="center"/>
          </w:tcPr>
          <w:p w14:paraId="00829093">
            <w:pPr>
              <w:pStyle w:val="13"/>
            </w:pPr>
            <w:r>
              <w:t>支持学前教育发展资金管理方法</w:t>
            </w:r>
          </w:p>
        </w:tc>
      </w:tr>
      <w:tr w14:paraId="718A2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CA57F"/>
        </w:tc>
        <w:tc>
          <w:tcPr>
            <w:tcW w:w="2268" w:type="dxa"/>
            <w:vAlign w:val="center"/>
          </w:tcPr>
          <w:p w14:paraId="69E7262A">
            <w:pPr>
              <w:pStyle w:val="13"/>
            </w:pPr>
            <w:r>
              <w:t>时效指标</w:t>
            </w:r>
          </w:p>
        </w:tc>
        <w:tc>
          <w:tcPr>
            <w:tcW w:w="2835" w:type="dxa"/>
            <w:vAlign w:val="center"/>
          </w:tcPr>
          <w:p w14:paraId="1EBB243A">
            <w:pPr>
              <w:pStyle w:val="13"/>
            </w:pPr>
            <w:r>
              <w:t>资金支付率</w:t>
            </w:r>
          </w:p>
        </w:tc>
        <w:tc>
          <w:tcPr>
            <w:tcW w:w="5386" w:type="dxa"/>
            <w:vAlign w:val="center"/>
          </w:tcPr>
          <w:p w14:paraId="1CE655FE">
            <w:pPr>
              <w:pStyle w:val="13"/>
            </w:pPr>
            <w:r>
              <w:t>按照序时进度完成资金支付</w:t>
            </w:r>
          </w:p>
        </w:tc>
        <w:tc>
          <w:tcPr>
            <w:tcW w:w="2268" w:type="dxa"/>
            <w:vAlign w:val="center"/>
          </w:tcPr>
          <w:p w14:paraId="70F7E215">
            <w:pPr>
              <w:pStyle w:val="13"/>
            </w:pPr>
            <w:r>
              <w:t>≥100%</w:t>
            </w:r>
          </w:p>
        </w:tc>
        <w:tc>
          <w:tcPr>
            <w:tcW w:w="1276" w:type="dxa"/>
            <w:vAlign w:val="center"/>
          </w:tcPr>
          <w:p w14:paraId="6E1B77E5">
            <w:pPr>
              <w:pStyle w:val="13"/>
            </w:pPr>
            <w:r>
              <w:t>支持学前教育发展资金管理方法</w:t>
            </w:r>
          </w:p>
        </w:tc>
      </w:tr>
      <w:tr w14:paraId="27196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E56D8"/>
        </w:tc>
        <w:tc>
          <w:tcPr>
            <w:tcW w:w="2268" w:type="dxa"/>
            <w:vAlign w:val="center"/>
          </w:tcPr>
          <w:p w14:paraId="0C1C4D2B">
            <w:pPr>
              <w:pStyle w:val="13"/>
            </w:pPr>
            <w:r>
              <w:t>成本指标</w:t>
            </w:r>
          </w:p>
        </w:tc>
        <w:tc>
          <w:tcPr>
            <w:tcW w:w="2835" w:type="dxa"/>
            <w:vAlign w:val="center"/>
          </w:tcPr>
          <w:p w14:paraId="5DA582D8">
            <w:pPr>
              <w:pStyle w:val="13"/>
            </w:pPr>
            <w:r>
              <w:t>生均拨款标准</w:t>
            </w:r>
          </w:p>
        </w:tc>
        <w:tc>
          <w:tcPr>
            <w:tcW w:w="5386" w:type="dxa"/>
            <w:vAlign w:val="center"/>
          </w:tcPr>
          <w:p w14:paraId="6F67BD26">
            <w:pPr>
              <w:pStyle w:val="13"/>
            </w:pPr>
            <w:r>
              <w:t>学前：（基本标准600元/生/学年）</w:t>
            </w:r>
          </w:p>
        </w:tc>
        <w:tc>
          <w:tcPr>
            <w:tcW w:w="2268" w:type="dxa"/>
            <w:vAlign w:val="center"/>
          </w:tcPr>
          <w:p w14:paraId="3F5088BB">
            <w:pPr>
              <w:pStyle w:val="13"/>
            </w:pPr>
            <w:r>
              <w:t>600元</w:t>
            </w:r>
          </w:p>
        </w:tc>
        <w:tc>
          <w:tcPr>
            <w:tcW w:w="1276" w:type="dxa"/>
            <w:vAlign w:val="center"/>
          </w:tcPr>
          <w:p w14:paraId="225C21FE">
            <w:pPr>
              <w:pStyle w:val="13"/>
            </w:pPr>
            <w:r>
              <w:t>支持学前教育发展资金管理方法</w:t>
            </w:r>
          </w:p>
        </w:tc>
      </w:tr>
      <w:tr w14:paraId="7D324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AF542A">
            <w:pPr>
              <w:pStyle w:val="12"/>
            </w:pPr>
            <w:r>
              <w:t>效益指标</w:t>
            </w:r>
          </w:p>
        </w:tc>
        <w:tc>
          <w:tcPr>
            <w:tcW w:w="2268" w:type="dxa"/>
            <w:vAlign w:val="center"/>
          </w:tcPr>
          <w:p w14:paraId="061B6957">
            <w:pPr>
              <w:pStyle w:val="13"/>
            </w:pPr>
            <w:r>
              <w:t>可持续影响指标</w:t>
            </w:r>
          </w:p>
        </w:tc>
        <w:tc>
          <w:tcPr>
            <w:tcW w:w="2835" w:type="dxa"/>
            <w:vAlign w:val="center"/>
          </w:tcPr>
          <w:p w14:paraId="41334823">
            <w:pPr>
              <w:pStyle w:val="13"/>
            </w:pPr>
            <w:r>
              <w:t>学校运转得到提升</w:t>
            </w:r>
          </w:p>
        </w:tc>
        <w:tc>
          <w:tcPr>
            <w:tcW w:w="5386" w:type="dxa"/>
            <w:vAlign w:val="center"/>
          </w:tcPr>
          <w:p w14:paraId="4AF040CE">
            <w:pPr>
              <w:pStyle w:val="13"/>
            </w:pPr>
            <w:r>
              <w:t>幼儿受教育年限</w:t>
            </w:r>
          </w:p>
        </w:tc>
        <w:tc>
          <w:tcPr>
            <w:tcW w:w="2268" w:type="dxa"/>
            <w:vAlign w:val="center"/>
          </w:tcPr>
          <w:p w14:paraId="47D1174F">
            <w:pPr>
              <w:pStyle w:val="13"/>
            </w:pPr>
            <w:r>
              <w:t>3年</w:t>
            </w:r>
          </w:p>
        </w:tc>
        <w:tc>
          <w:tcPr>
            <w:tcW w:w="1276" w:type="dxa"/>
            <w:vAlign w:val="center"/>
          </w:tcPr>
          <w:p w14:paraId="1E0589CE">
            <w:pPr>
              <w:pStyle w:val="13"/>
            </w:pPr>
            <w:r>
              <w:t>支持学前教育发展资金管理方法</w:t>
            </w:r>
          </w:p>
        </w:tc>
      </w:tr>
      <w:tr w14:paraId="02EEB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689445">
            <w:pPr>
              <w:pStyle w:val="12"/>
            </w:pPr>
            <w:r>
              <w:t>满意度指标</w:t>
            </w:r>
          </w:p>
        </w:tc>
        <w:tc>
          <w:tcPr>
            <w:tcW w:w="2268" w:type="dxa"/>
            <w:vAlign w:val="center"/>
          </w:tcPr>
          <w:p w14:paraId="4D23897F">
            <w:pPr>
              <w:pStyle w:val="13"/>
            </w:pPr>
            <w:r>
              <w:t>服务对象满意度指标</w:t>
            </w:r>
          </w:p>
        </w:tc>
        <w:tc>
          <w:tcPr>
            <w:tcW w:w="2835" w:type="dxa"/>
            <w:vAlign w:val="center"/>
          </w:tcPr>
          <w:p w14:paraId="2C1430C8">
            <w:pPr>
              <w:pStyle w:val="13"/>
            </w:pPr>
            <w:r>
              <w:t>受益学生家长及调查满意度</w:t>
            </w:r>
          </w:p>
        </w:tc>
        <w:tc>
          <w:tcPr>
            <w:tcW w:w="5386" w:type="dxa"/>
            <w:vAlign w:val="center"/>
          </w:tcPr>
          <w:p w14:paraId="33362E7F">
            <w:pPr>
              <w:pStyle w:val="13"/>
            </w:pPr>
            <w:r>
              <w:t>学生、教师及家长对学校保教保育工作满意度情况</w:t>
            </w:r>
          </w:p>
        </w:tc>
        <w:tc>
          <w:tcPr>
            <w:tcW w:w="2268" w:type="dxa"/>
            <w:vAlign w:val="center"/>
          </w:tcPr>
          <w:p w14:paraId="4139E0C6">
            <w:pPr>
              <w:pStyle w:val="13"/>
            </w:pPr>
            <w:r>
              <w:t>≥95%</w:t>
            </w:r>
          </w:p>
        </w:tc>
        <w:tc>
          <w:tcPr>
            <w:tcW w:w="1276" w:type="dxa"/>
            <w:vAlign w:val="center"/>
          </w:tcPr>
          <w:p w14:paraId="2C3D9E63">
            <w:pPr>
              <w:pStyle w:val="13"/>
            </w:pPr>
            <w:r>
              <w:t>支持学前教育发展资金管理方法</w:t>
            </w:r>
          </w:p>
        </w:tc>
      </w:tr>
    </w:tbl>
    <w:p w14:paraId="5CDD76CD">
      <w:pPr>
        <w:sectPr>
          <w:pgSz w:w="16840" w:h="11900" w:orient="landscape"/>
          <w:pgMar w:top="1361" w:right="1020" w:bottom="1134" w:left="1020" w:header="720" w:footer="720" w:gutter="0"/>
          <w:cols w:space="720" w:num="1"/>
        </w:sectPr>
      </w:pPr>
    </w:p>
    <w:p w14:paraId="448362B4">
      <w:pPr>
        <w:spacing w:before="0" w:after="0"/>
        <w:ind w:firstLine="560"/>
        <w:jc w:val="left"/>
        <w:outlineLvl w:val="9"/>
      </w:pPr>
      <w:r>
        <w:rPr>
          <w:rFonts w:ascii="方正仿宋_GBK" w:hAnsi="方正仿宋_GBK" w:eastAsia="方正仿宋_GBK" w:cs="方正仿宋_GBK"/>
          <w:b/>
          <w:color w:val="000000"/>
          <w:sz w:val="28"/>
        </w:rPr>
        <w:t>29、冀财教[2024]142号/省级/2025年学前发展资金/尹村校区学前教育幼儿资助绩效目标表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85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82864">
            <w:pPr>
              <w:pStyle w:val="14"/>
            </w:pPr>
            <w:r>
              <w:t>单位：万元</w:t>
            </w:r>
          </w:p>
        </w:tc>
      </w:tr>
      <w:tr w14:paraId="15D7C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8EEECB">
            <w:pPr>
              <w:pStyle w:val="11"/>
            </w:pPr>
            <w:r>
              <w:t>项目编码</w:t>
            </w:r>
          </w:p>
        </w:tc>
        <w:tc>
          <w:tcPr>
            <w:tcW w:w="5103" w:type="dxa"/>
            <w:gridSpan w:val="2"/>
            <w:vAlign w:val="center"/>
          </w:tcPr>
          <w:p w14:paraId="52A09FBF">
            <w:pPr>
              <w:pStyle w:val="13"/>
            </w:pPr>
            <w:r>
              <w:t>13052525P00000210071B</w:t>
            </w:r>
          </w:p>
        </w:tc>
        <w:tc>
          <w:tcPr>
            <w:tcW w:w="2835" w:type="dxa"/>
            <w:vAlign w:val="center"/>
          </w:tcPr>
          <w:p w14:paraId="26110B4F">
            <w:pPr>
              <w:pStyle w:val="11"/>
            </w:pPr>
            <w:r>
              <w:t>项目名称</w:t>
            </w:r>
          </w:p>
        </w:tc>
        <w:tc>
          <w:tcPr>
            <w:tcW w:w="6095" w:type="dxa"/>
            <w:gridSpan w:val="3"/>
            <w:vAlign w:val="center"/>
          </w:tcPr>
          <w:p w14:paraId="5FFCA3D1">
            <w:pPr>
              <w:pStyle w:val="13"/>
            </w:pPr>
            <w:r>
              <w:t>冀财教[2024]142号/省级/2025年学前发展资金/尹村校区学前教育幼儿资助</w:t>
            </w:r>
          </w:p>
        </w:tc>
      </w:tr>
      <w:tr w14:paraId="2A5145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60841">
            <w:pPr>
              <w:pStyle w:val="11"/>
            </w:pPr>
            <w:r>
              <w:t>预算规模及资金用途</w:t>
            </w:r>
          </w:p>
        </w:tc>
        <w:tc>
          <w:tcPr>
            <w:tcW w:w="2268" w:type="dxa"/>
            <w:vAlign w:val="center"/>
          </w:tcPr>
          <w:p w14:paraId="17F4A642">
            <w:pPr>
              <w:pStyle w:val="11"/>
            </w:pPr>
            <w:r>
              <w:t>预算数</w:t>
            </w:r>
          </w:p>
        </w:tc>
        <w:tc>
          <w:tcPr>
            <w:tcW w:w="2835" w:type="dxa"/>
            <w:vAlign w:val="center"/>
          </w:tcPr>
          <w:p w14:paraId="149A962E">
            <w:pPr>
              <w:pStyle w:val="13"/>
            </w:pPr>
            <w:r>
              <w:t>0.84</w:t>
            </w:r>
          </w:p>
        </w:tc>
        <w:tc>
          <w:tcPr>
            <w:tcW w:w="2835" w:type="dxa"/>
            <w:vAlign w:val="center"/>
          </w:tcPr>
          <w:p w14:paraId="6C1B8242">
            <w:pPr>
              <w:pStyle w:val="11"/>
            </w:pPr>
            <w:r>
              <w:t>其中：财政    资金</w:t>
            </w:r>
          </w:p>
        </w:tc>
        <w:tc>
          <w:tcPr>
            <w:tcW w:w="2551" w:type="dxa"/>
            <w:vAlign w:val="center"/>
          </w:tcPr>
          <w:p w14:paraId="18784B35">
            <w:pPr>
              <w:pStyle w:val="13"/>
            </w:pPr>
            <w:r>
              <w:t>0.84</w:t>
            </w:r>
          </w:p>
        </w:tc>
        <w:tc>
          <w:tcPr>
            <w:tcW w:w="2268" w:type="dxa"/>
            <w:vAlign w:val="center"/>
          </w:tcPr>
          <w:p w14:paraId="65EF5481">
            <w:pPr>
              <w:pStyle w:val="11"/>
            </w:pPr>
            <w:r>
              <w:t>其他资金</w:t>
            </w:r>
          </w:p>
        </w:tc>
        <w:tc>
          <w:tcPr>
            <w:tcW w:w="1276" w:type="dxa"/>
            <w:vAlign w:val="center"/>
          </w:tcPr>
          <w:p w14:paraId="2B05915B">
            <w:pPr>
              <w:pStyle w:val="13"/>
            </w:pPr>
            <w:r>
              <w:t xml:space="preserve"> </w:t>
            </w:r>
          </w:p>
        </w:tc>
      </w:tr>
      <w:tr w14:paraId="6604AF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41E87E"/>
        </w:tc>
        <w:tc>
          <w:tcPr>
            <w:tcW w:w="14033" w:type="dxa"/>
            <w:gridSpan w:val="6"/>
            <w:vAlign w:val="center"/>
          </w:tcPr>
          <w:p w14:paraId="2DEDB03B">
            <w:pPr>
              <w:pStyle w:val="13"/>
            </w:pPr>
            <w:r>
              <w:t>保障落实建档立卡及家庭经济困难儿童资助所需资金，确保建档立卡等家庭经济困难幼儿优先获得资助</w:t>
            </w:r>
          </w:p>
        </w:tc>
      </w:tr>
      <w:tr w14:paraId="66763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0F763">
            <w:pPr>
              <w:pStyle w:val="11"/>
            </w:pPr>
            <w:r>
              <w:t>资金支出计划（%）</w:t>
            </w:r>
          </w:p>
        </w:tc>
        <w:tc>
          <w:tcPr>
            <w:tcW w:w="5103" w:type="dxa"/>
            <w:gridSpan w:val="2"/>
            <w:vAlign w:val="center"/>
          </w:tcPr>
          <w:p w14:paraId="307DD734">
            <w:pPr>
              <w:pStyle w:val="11"/>
            </w:pPr>
            <w:r>
              <w:t>3月底</w:t>
            </w:r>
          </w:p>
        </w:tc>
        <w:tc>
          <w:tcPr>
            <w:tcW w:w="2835" w:type="dxa"/>
            <w:vAlign w:val="center"/>
          </w:tcPr>
          <w:p w14:paraId="3B660433">
            <w:pPr>
              <w:pStyle w:val="11"/>
            </w:pPr>
            <w:r>
              <w:t>6月底</w:t>
            </w:r>
          </w:p>
        </w:tc>
        <w:tc>
          <w:tcPr>
            <w:tcW w:w="2551" w:type="dxa"/>
            <w:vAlign w:val="center"/>
          </w:tcPr>
          <w:p w14:paraId="109E62EA">
            <w:pPr>
              <w:pStyle w:val="11"/>
            </w:pPr>
            <w:r>
              <w:t>10月底</w:t>
            </w:r>
          </w:p>
        </w:tc>
        <w:tc>
          <w:tcPr>
            <w:tcW w:w="3544" w:type="dxa"/>
            <w:gridSpan w:val="2"/>
            <w:vAlign w:val="center"/>
          </w:tcPr>
          <w:p w14:paraId="454A9363">
            <w:pPr>
              <w:pStyle w:val="11"/>
            </w:pPr>
            <w:r>
              <w:t>12月底</w:t>
            </w:r>
          </w:p>
        </w:tc>
      </w:tr>
      <w:tr w14:paraId="1FD1C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2C6B31"/>
        </w:tc>
        <w:tc>
          <w:tcPr>
            <w:tcW w:w="5103" w:type="dxa"/>
            <w:gridSpan w:val="2"/>
            <w:vAlign w:val="center"/>
          </w:tcPr>
          <w:p w14:paraId="3BD35C53">
            <w:pPr>
              <w:pStyle w:val="12"/>
            </w:pPr>
            <w:r>
              <w:t>25%</w:t>
            </w:r>
          </w:p>
        </w:tc>
        <w:tc>
          <w:tcPr>
            <w:tcW w:w="2835" w:type="dxa"/>
            <w:vAlign w:val="center"/>
          </w:tcPr>
          <w:p w14:paraId="33B9C075">
            <w:pPr>
              <w:pStyle w:val="12"/>
            </w:pPr>
            <w:r>
              <w:t>50%</w:t>
            </w:r>
          </w:p>
        </w:tc>
        <w:tc>
          <w:tcPr>
            <w:tcW w:w="2551" w:type="dxa"/>
            <w:vAlign w:val="center"/>
          </w:tcPr>
          <w:p w14:paraId="3CBCECB8">
            <w:pPr>
              <w:pStyle w:val="12"/>
            </w:pPr>
            <w:r>
              <w:t>75%</w:t>
            </w:r>
          </w:p>
        </w:tc>
        <w:tc>
          <w:tcPr>
            <w:tcW w:w="3544" w:type="dxa"/>
            <w:gridSpan w:val="2"/>
            <w:vAlign w:val="center"/>
          </w:tcPr>
          <w:p w14:paraId="5AA9CBE0">
            <w:pPr>
              <w:pStyle w:val="12"/>
            </w:pPr>
            <w:r>
              <w:t>100%</w:t>
            </w:r>
          </w:p>
        </w:tc>
      </w:tr>
      <w:tr w14:paraId="2B443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29630">
            <w:pPr>
              <w:pStyle w:val="11"/>
            </w:pPr>
            <w:r>
              <w:t>绩效目标</w:t>
            </w:r>
          </w:p>
        </w:tc>
        <w:tc>
          <w:tcPr>
            <w:tcW w:w="14033" w:type="dxa"/>
            <w:gridSpan w:val="6"/>
            <w:vAlign w:val="center"/>
          </w:tcPr>
          <w:p w14:paraId="7A156BA7">
            <w:pPr>
              <w:pStyle w:val="13"/>
            </w:pPr>
            <w:r>
              <w:t>1.保障落实建档立卡及家庭经济困难儿童资助所需资金，确保建档立卡等家庭经济困难幼儿优先获得资助</w:t>
            </w:r>
          </w:p>
          <w:p w14:paraId="301010F3">
            <w:pPr>
              <w:pStyle w:val="13"/>
            </w:pPr>
            <w:r>
              <w:t>2.保证本年度资助经费足额落实到位，符合享受资助条件的学生应助尽助。</w:t>
            </w:r>
          </w:p>
        </w:tc>
      </w:tr>
    </w:tbl>
    <w:p w14:paraId="4690A2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1E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D9EF4">
            <w:pPr>
              <w:pStyle w:val="11"/>
            </w:pPr>
            <w:r>
              <w:t>一级指标</w:t>
            </w:r>
          </w:p>
        </w:tc>
        <w:tc>
          <w:tcPr>
            <w:tcW w:w="2268" w:type="dxa"/>
            <w:vAlign w:val="center"/>
          </w:tcPr>
          <w:p w14:paraId="5375EFB5">
            <w:pPr>
              <w:pStyle w:val="11"/>
            </w:pPr>
            <w:r>
              <w:t>二级指标</w:t>
            </w:r>
          </w:p>
        </w:tc>
        <w:tc>
          <w:tcPr>
            <w:tcW w:w="2835" w:type="dxa"/>
            <w:vAlign w:val="center"/>
          </w:tcPr>
          <w:p w14:paraId="3B9C9A2E">
            <w:pPr>
              <w:pStyle w:val="11"/>
            </w:pPr>
            <w:r>
              <w:t>三级指标</w:t>
            </w:r>
          </w:p>
        </w:tc>
        <w:tc>
          <w:tcPr>
            <w:tcW w:w="5386" w:type="dxa"/>
            <w:vAlign w:val="center"/>
          </w:tcPr>
          <w:p w14:paraId="4E93FB75">
            <w:pPr>
              <w:pStyle w:val="11"/>
            </w:pPr>
            <w:r>
              <w:t>绩效指标描述</w:t>
            </w:r>
          </w:p>
        </w:tc>
        <w:tc>
          <w:tcPr>
            <w:tcW w:w="2268" w:type="dxa"/>
            <w:vAlign w:val="center"/>
          </w:tcPr>
          <w:p w14:paraId="7405F783">
            <w:pPr>
              <w:pStyle w:val="11"/>
            </w:pPr>
            <w:r>
              <w:t>指标值</w:t>
            </w:r>
          </w:p>
        </w:tc>
        <w:tc>
          <w:tcPr>
            <w:tcW w:w="1276" w:type="dxa"/>
            <w:vAlign w:val="center"/>
          </w:tcPr>
          <w:p w14:paraId="539DE221">
            <w:pPr>
              <w:pStyle w:val="11"/>
            </w:pPr>
            <w:r>
              <w:t>指标值确定依据</w:t>
            </w:r>
          </w:p>
        </w:tc>
      </w:tr>
      <w:tr w14:paraId="6EFC5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2633A">
            <w:pPr>
              <w:pStyle w:val="12"/>
            </w:pPr>
            <w:r>
              <w:t>产出指标</w:t>
            </w:r>
          </w:p>
        </w:tc>
        <w:tc>
          <w:tcPr>
            <w:tcW w:w="2268" w:type="dxa"/>
            <w:vAlign w:val="center"/>
          </w:tcPr>
          <w:p w14:paraId="273F64A4">
            <w:pPr>
              <w:pStyle w:val="13"/>
            </w:pPr>
            <w:r>
              <w:t>数量指标</w:t>
            </w:r>
          </w:p>
        </w:tc>
        <w:tc>
          <w:tcPr>
            <w:tcW w:w="2835" w:type="dxa"/>
            <w:vAlign w:val="center"/>
          </w:tcPr>
          <w:p w14:paraId="165C1D8C">
            <w:pPr>
              <w:pStyle w:val="13"/>
            </w:pPr>
            <w:r>
              <w:t>幼儿资助比例</w:t>
            </w:r>
          </w:p>
        </w:tc>
        <w:tc>
          <w:tcPr>
            <w:tcW w:w="5386" w:type="dxa"/>
            <w:vAlign w:val="center"/>
          </w:tcPr>
          <w:p w14:paraId="2DC368F1">
            <w:pPr>
              <w:pStyle w:val="13"/>
            </w:pPr>
            <w:r>
              <w:t>按学前适龄在园儿童10%测算</w:t>
            </w:r>
          </w:p>
        </w:tc>
        <w:tc>
          <w:tcPr>
            <w:tcW w:w="2268" w:type="dxa"/>
            <w:vAlign w:val="center"/>
          </w:tcPr>
          <w:p w14:paraId="371293EE">
            <w:pPr>
              <w:pStyle w:val="13"/>
            </w:pPr>
            <w:r>
              <w:t>≥10%</w:t>
            </w:r>
          </w:p>
        </w:tc>
        <w:tc>
          <w:tcPr>
            <w:tcW w:w="1276" w:type="dxa"/>
            <w:vAlign w:val="center"/>
          </w:tcPr>
          <w:p w14:paraId="340269A3">
            <w:pPr>
              <w:pStyle w:val="13"/>
            </w:pPr>
            <w:r>
              <w:t>幼儿资助经费管理办法</w:t>
            </w:r>
          </w:p>
        </w:tc>
      </w:tr>
      <w:tr w14:paraId="53365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983A8"/>
        </w:tc>
        <w:tc>
          <w:tcPr>
            <w:tcW w:w="2268" w:type="dxa"/>
            <w:vAlign w:val="center"/>
          </w:tcPr>
          <w:p w14:paraId="08AA179A">
            <w:pPr>
              <w:pStyle w:val="13"/>
            </w:pPr>
            <w:r>
              <w:t>质量指标</w:t>
            </w:r>
          </w:p>
        </w:tc>
        <w:tc>
          <w:tcPr>
            <w:tcW w:w="2835" w:type="dxa"/>
            <w:vAlign w:val="center"/>
          </w:tcPr>
          <w:p w14:paraId="44319F47">
            <w:pPr>
              <w:pStyle w:val="13"/>
            </w:pPr>
            <w:r>
              <w:t>学前教育资助制度落实情况</w:t>
            </w:r>
          </w:p>
        </w:tc>
        <w:tc>
          <w:tcPr>
            <w:tcW w:w="5386" w:type="dxa"/>
            <w:vAlign w:val="center"/>
          </w:tcPr>
          <w:p w14:paraId="19234EDB">
            <w:pPr>
              <w:pStyle w:val="13"/>
            </w:pPr>
            <w:r>
              <w:t>符合享受资助条件的学生应助尽助</w:t>
            </w:r>
          </w:p>
        </w:tc>
        <w:tc>
          <w:tcPr>
            <w:tcW w:w="2268" w:type="dxa"/>
            <w:vAlign w:val="center"/>
          </w:tcPr>
          <w:p w14:paraId="70F8D219">
            <w:pPr>
              <w:pStyle w:val="13"/>
            </w:pPr>
            <w:r>
              <w:t>≥100%</w:t>
            </w:r>
          </w:p>
        </w:tc>
        <w:tc>
          <w:tcPr>
            <w:tcW w:w="1276" w:type="dxa"/>
            <w:vAlign w:val="center"/>
          </w:tcPr>
          <w:p w14:paraId="080ADCAC">
            <w:pPr>
              <w:pStyle w:val="13"/>
            </w:pPr>
            <w:r>
              <w:t>幼儿资助经费管理办法</w:t>
            </w:r>
          </w:p>
        </w:tc>
      </w:tr>
      <w:tr w14:paraId="0ABD6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0D3BBB1F"/>
        </w:tc>
        <w:tc>
          <w:tcPr>
            <w:tcW w:w="2268" w:type="dxa"/>
            <w:vAlign w:val="center"/>
          </w:tcPr>
          <w:p w14:paraId="21B285D5">
            <w:pPr>
              <w:pStyle w:val="13"/>
            </w:pPr>
            <w:r>
              <w:t>时效指标</w:t>
            </w:r>
          </w:p>
        </w:tc>
        <w:tc>
          <w:tcPr>
            <w:tcW w:w="2835" w:type="dxa"/>
            <w:vAlign w:val="center"/>
          </w:tcPr>
          <w:p w14:paraId="67DBD982">
            <w:pPr>
              <w:pStyle w:val="13"/>
            </w:pPr>
            <w:r>
              <w:t>资金拨付率</w:t>
            </w:r>
          </w:p>
        </w:tc>
        <w:tc>
          <w:tcPr>
            <w:tcW w:w="5386" w:type="dxa"/>
            <w:vAlign w:val="center"/>
          </w:tcPr>
          <w:p w14:paraId="41CB6DD5">
            <w:pPr>
              <w:pStyle w:val="13"/>
            </w:pPr>
            <w:r>
              <w:t>所有项目资金支付进度</w:t>
            </w:r>
          </w:p>
        </w:tc>
        <w:tc>
          <w:tcPr>
            <w:tcW w:w="2268" w:type="dxa"/>
            <w:vAlign w:val="center"/>
          </w:tcPr>
          <w:p w14:paraId="1E824605">
            <w:pPr>
              <w:pStyle w:val="13"/>
            </w:pPr>
            <w:r>
              <w:t>≥100%</w:t>
            </w:r>
          </w:p>
        </w:tc>
        <w:tc>
          <w:tcPr>
            <w:tcW w:w="1276" w:type="dxa"/>
            <w:vAlign w:val="center"/>
          </w:tcPr>
          <w:p w14:paraId="337E1DF9">
            <w:pPr>
              <w:pStyle w:val="13"/>
            </w:pPr>
            <w:r>
              <w:t>幼儿资助经费管理办法</w:t>
            </w:r>
          </w:p>
        </w:tc>
      </w:tr>
      <w:tr w14:paraId="6CECB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F90E3"/>
        </w:tc>
        <w:tc>
          <w:tcPr>
            <w:tcW w:w="2268" w:type="dxa"/>
            <w:vAlign w:val="center"/>
          </w:tcPr>
          <w:p w14:paraId="7091734D">
            <w:pPr>
              <w:pStyle w:val="13"/>
            </w:pPr>
            <w:r>
              <w:t>成本指标</w:t>
            </w:r>
          </w:p>
        </w:tc>
        <w:tc>
          <w:tcPr>
            <w:tcW w:w="2835" w:type="dxa"/>
            <w:vAlign w:val="center"/>
          </w:tcPr>
          <w:p w14:paraId="7488F384">
            <w:pPr>
              <w:pStyle w:val="13"/>
            </w:pPr>
            <w:r>
              <w:t>幼儿园资助标准</w:t>
            </w:r>
          </w:p>
        </w:tc>
        <w:tc>
          <w:tcPr>
            <w:tcW w:w="5386" w:type="dxa"/>
            <w:vAlign w:val="center"/>
          </w:tcPr>
          <w:p w14:paraId="1123442A">
            <w:pPr>
              <w:pStyle w:val="13"/>
            </w:pPr>
            <w:r>
              <w:t>按照幼儿园资助标准1000元/生/年</w:t>
            </w:r>
          </w:p>
        </w:tc>
        <w:tc>
          <w:tcPr>
            <w:tcW w:w="2268" w:type="dxa"/>
            <w:vAlign w:val="center"/>
          </w:tcPr>
          <w:p w14:paraId="30843189">
            <w:pPr>
              <w:pStyle w:val="13"/>
            </w:pPr>
            <w:r>
              <w:t>1000元</w:t>
            </w:r>
          </w:p>
        </w:tc>
        <w:tc>
          <w:tcPr>
            <w:tcW w:w="1276" w:type="dxa"/>
            <w:vAlign w:val="center"/>
          </w:tcPr>
          <w:p w14:paraId="7C017402">
            <w:pPr>
              <w:pStyle w:val="13"/>
            </w:pPr>
            <w:r>
              <w:t>幼儿资助经费管理办法</w:t>
            </w:r>
          </w:p>
        </w:tc>
      </w:tr>
      <w:tr w14:paraId="25601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BD31C">
            <w:pPr>
              <w:pStyle w:val="12"/>
            </w:pPr>
            <w:r>
              <w:t>效益指标</w:t>
            </w:r>
          </w:p>
        </w:tc>
        <w:tc>
          <w:tcPr>
            <w:tcW w:w="2268" w:type="dxa"/>
            <w:vAlign w:val="center"/>
          </w:tcPr>
          <w:p w14:paraId="07C71694">
            <w:pPr>
              <w:pStyle w:val="13"/>
            </w:pPr>
            <w:r>
              <w:t>可持续影响指标</w:t>
            </w:r>
          </w:p>
        </w:tc>
        <w:tc>
          <w:tcPr>
            <w:tcW w:w="2835" w:type="dxa"/>
            <w:vAlign w:val="center"/>
          </w:tcPr>
          <w:p w14:paraId="0A50F164">
            <w:pPr>
              <w:pStyle w:val="13"/>
            </w:pPr>
            <w:r>
              <w:t>幼儿园运转</w:t>
            </w:r>
          </w:p>
        </w:tc>
        <w:tc>
          <w:tcPr>
            <w:tcW w:w="5386" w:type="dxa"/>
            <w:vAlign w:val="center"/>
          </w:tcPr>
          <w:p w14:paraId="6B769943">
            <w:pPr>
              <w:pStyle w:val="13"/>
            </w:pPr>
            <w:r>
              <w:t>幼儿受教育年限</w:t>
            </w:r>
          </w:p>
        </w:tc>
        <w:tc>
          <w:tcPr>
            <w:tcW w:w="2268" w:type="dxa"/>
            <w:vAlign w:val="center"/>
          </w:tcPr>
          <w:p w14:paraId="4857A2BA">
            <w:pPr>
              <w:pStyle w:val="13"/>
            </w:pPr>
            <w:r>
              <w:t>3年</w:t>
            </w:r>
          </w:p>
        </w:tc>
        <w:tc>
          <w:tcPr>
            <w:tcW w:w="1276" w:type="dxa"/>
            <w:vAlign w:val="center"/>
          </w:tcPr>
          <w:p w14:paraId="4DD7257B">
            <w:pPr>
              <w:pStyle w:val="13"/>
            </w:pPr>
            <w:r>
              <w:t>幼儿资助经费管理办法</w:t>
            </w:r>
          </w:p>
        </w:tc>
      </w:tr>
      <w:tr w14:paraId="741B6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291994">
            <w:pPr>
              <w:pStyle w:val="12"/>
            </w:pPr>
            <w:r>
              <w:t>满意度指标</w:t>
            </w:r>
          </w:p>
        </w:tc>
        <w:tc>
          <w:tcPr>
            <w:tcW w:w="2268" w:type="dxa"/>
            <w:vAlign w:val="center"/>
          </w:tcPr>
          <w:p w14:paraId="33FDBAFD">
            <w:pPr>
              <w:pStyle w:val="13"/>
            </w:pPr>
            <w:r>
              <w:t>服务对象满意度指标</w:t>
            </w:r>
          </w:p>
        </w:tc>
        <w:tc>
          <w:tcPr>
            <w:tcW w:w="2835" w:type="dxa"/>
            <w:vAlign w:val="center"/>
          </w:tcPr>
          <w:p w14:paraId="3E2E8D26">
            <w:pPr>
              <w:pStyle w:val="13"/>
            </w:pPr>
            <w:r>
              <w:t>受益幼儿家长及调查满意度</w:t>
            </w:r>
          </w:p>
        </w:tc>
        <w:tc>
          <w:tcPr>
            <w:tcW w:w="5386" w:type="dxa"/>
            <w:vAlign w:val="center"/>
          </w:tcPr>
          <w:p w14:paraId="77E732B7">
            <w:pPr>
              <w:pStyle w:val="13"/>
            </w:pPr>
            <w:r>
              <w:t>学生、教师及家长对学校保教保育工作满意度情况</w:t>
            </w:r>
          </w:p>
        </w:tc>
        <w:tc>
          <w:tcPr>
            <w:tcW w:w="2268" w:type="dxa"/>
            <w:vAlign w:val="center"/>
          </w:tcPr>
          <w:p w14:paraId="1CEBD4FD">
            <w:pPr>
              <w:pStyle w:val="13"/>
            </w:pPr>
            <w:r>
              <w:t>≥95%</w:t>
            </w:r>
          </w:p>
        </w:tc>
        <w:tc>
          <w:tcPr>
            <w:tcW w:w="1276" w:type="dxa"/>
            <w:vAlign w:val="center"/>
          </w:tcPr>
          <w:p w14:paraId="389A471F">
            <w:pPr>
              <w:pStyle w:val="13"/>
            </w:pPr>
            <w:r>
              <w:t>幼儿资助经费管理办法</w:t>
            </w:r>
          </w:p>
        </w:tc>
      </w:tr>
    </w:tbl>
    <w:p w14:paraId="550E35BA">
      <w:pPr>
        <w:sectPr>
          <w:pgSz w:w="16840" w:h="11900" w:orient="landscape"/>
          <w:pgMar w:top="1361" w:right="1020" w:bottom="1134" w:left="1020" w:header="720" w:footer="720" w:gutter="0"/>
          <w:cols w:space="720" w:num="1"/>
        </w:sectPr>
      </w:pPr>
    </w:p>
    <w:p w14:paraId="53B5CB13">
      <w:pPr>
        <w:spacing w:before="0" w:after="0"/>
        <w:ind w:firstLine="560"/>
        <w:jc w:val="left"/>
        <w:outlineLvl w:val="9"/>
      </w:pPr>
      <w:r>
        <w:rPr>
          <w:rFonts w:ascii="方正仿宋_GBK" w:hAnsi="方正仿宋_GBK" w:eastAsia="方正仿宋_GBK" w:cs="方正仿宋_GBK"/>
          <w:b/>
          <w:color w:val="000000"/>
          <w:sz w:val="28"/>
        </w:rPr>
        <w:t>30、上年盘活/冀财教[2023]165号/中央/学前发展金/隆尧县大霍幼儿园保育楼项目绩效目标表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39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80E24">
            <w:pPr>
              <w:pStyle w:val="14"/>
            </w:pPr>
            <w:r>
              <w:t>单位：万元</w:t>
            </w:r>
          </w:p>
        </w:tc>
      </w:tr>
      <w:tr w14:paraId="4BC569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684E2">
            <w:pPr>
              <w:pStyle w:val="11"/>
            </w:pPr>
            <w:r>
              <w:t>项目编码</w:t>
            </w:r>
          </w:p>
        </w:tc>
        <w:tc>
          <w:tcPr>
            <w:tcW w:w="5103" w:type="dxa"/>
            <w:gridSpan w:val="2"/>
            <w:vAlign w:val="center"/>
          </w:tcPr>
          <w:p w14:paraId="2468B7B4">
            <w:pPr>
              <w:pStyle w:val="13"/>
            </w:pPr>
            <w:r>
              <w:t>13052525P00875610175Q</w:t>
            </w:r>
          </w:p>
        </w:tc>
        <w:tc>
          <w:tcPr>
            <w:tcW w:w="2835" w:type="dxa"/>
            <w:vAlign w:val="center"/>
          </w:tcPr>
          <w:p w14:paraId="2E51BC1D">
            <w:pPr>
              <w:pStyle w:val="11"/>
            </w:pPr>
            <w:r>
              <w:t>项目名称</w:t>
            </w:r>
          </w:p>
        </w:tc>
        <w:tc>
          <w:tcPr>
            <w:tcW w:w="6095" w:type="dxa"/>
            <w:gridSpan w:val="3"/>
            <w:vAlign w:val="center"/>
          </w:tcPr>
          <w:p w14:paraId="4BA978A9">
            <w:pPr>
              <w:pStyle w:val="13"/>
            </w:pPr>
            <w:r>
              <w:t>上年盘活/冀财教[2023]165号/中央/学前发展金/隆尧县大霍幼儿园保育楼项目</w:t>
            </w:r>
          </w:p>
        </w:tc>
      </w:tr>
      <w:tr w14:paraId="3365D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853C8">
            <w:pPr>
              <w:pStyle w:val="11"/>
            </w:pPr>
            <w:r>
              <w:t>预算规模及资金用途</w:t>
            </w:r>
          </w:p>
        </w:tc>
        <w:tc>
          <w:tcPr>
            <w:tcW w:w="2268" w:type="dxa"/>
            <w:vAlign w:val="center"/>
          </w:tcPr>
          <w:p w14:paraId="715B4B72">
            <w:pPr>
              <w:pStyle w:val="11"/>
            </w:pPr>
            <w:r>
              <w:t>预算数</w:t>
            </w:r>
          </w:p>
        </w:tc>
        <w:tc>
          <w:tcPr>
            <w:tcW w:w="2835" w:type="dxa"/>
            <w:vAlign w:val="center"/>
          </w:tcPr>
          <w:p w14:paraId="210F4AB5">
            <w:pPr>
              <w:pStyle w:val="13"/>
            </w:pPr>
            <w:r>
              <w:t>136.00</w:t>
            </w:r>
          </w:p>
        </w:tc>
        <w:tc>
          <w:tcPr>
            <w:tcW w:w="2835" w:type="dxa"/>
            <w:vAlign w:val="center"/>
          </w:tcPr>
          <w:p w14:paraId="4B8091E2">
            <w:pPr>
              <w:pStyle w:val="11"/>
            </w:pPr>
            <w:r>
              <w:t>其中：财政    资金</w:t>
            </w:r>
          </w:p>
        </w:tc>
        <w:tc>
          <w:tcPr>
            <w:tcW w:w="2551" w:type="dxa"/>
            <w:vAlign w:val="center"/>
          </w:tcPr>
          <w:p w14:paraId="286BE1EC">
            <w:pPr>
              <w:pStyle w:val="13"/>
            </w:pPr>
            <w:r>
              <w:t>136.00</w:t>
            </w:r>
          </w:p>
        </w:tc>
        <w:tc>
          <w:tcPr>
            <w:tcW w:w="2268" w:type="dxa"/>
            <w:vAlign w:val="center"/>
          </w:tcPr>
          <w:p w14:paraId="6C31B276">
            <w:pPr>
              <w:pStyle w:val="11"/>
            </w:pPr>
            <w:r>
              <w:t>其他资金</w:t>
            </w:r>
          </w:p>
        </w:tc>
        <w:tc>
          <w:tcPr>
            <w:tcW w:w="1276" w:type="dxa"/>
            <w:vAlign w:val="center"/>
          </w:tcPr>
          <w:p w14:paraId="012AB2B5">
            <w:pPr>
              <w:pStyle w:val="13"/>
            </w:pPr>
            <w:r>
              <w:t xml:space="preserve"> </w:t>
            </w:r>
          </w:p>
        </w:tc>
      </w:tr>
      <w:tr w14:paraId="0F440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5A657"/>
        </w:tc>
        <w:tc>
          <w:tcPr>
            <w:tcW w:w="14033" w:type="dxa"/>
            <w:gridSpan w:val="6"/>
            <w:vAlign w:val="center"/>
          </w:tcPr>
          <w:p w14:paraId="2C0A73F4">
            <w:pPr>
              <w:pStyle w:val="13"/>
            </w:pPr>
            <w:r>
              <w:t>新建保育楼，满足幼儿正常学习需要。</w:t>
            </w:r>
          </w:p>
        </w:tc>
      </w:tr>
      <w:tr w14:paraId="40A13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DAB67">
            <w:pPr>
              <w:pStyle w:val="11"/>
            </w:pPr>
            <w:r>
              <w:t>资金支出计划（%）</w:t>
            </w:r>
          </w:p>
        </w:tc>
        <w:tc>
          <w:tcPr>
            <w:tcW w:w="5103" w:type="dxa"/>
            <w:gridSpan w:val="2"/>
            <w:vAlign w:val="center"/>
          </w:tcPr>
          <w:p w14:paraId="170445F9">
            <w:pPr>
              <w:pStyle w:val="11"/>
            </w:pPr>
            <w:r>
              <w:t>3月底</w:t>
            </w:r>
          </w:p>
        </w:tc>
        <w:tc>
          <w:tcPr>
            <w:tcW w:w="2835" w:type="dxa"/>
            <w:vAlign w:val="center"/>
          </w:tcPr>
          <w:p w14:paraId="4CA7F02A">
            <w:pPr>
              <w:pStyle w:val="11"/>
            </w:pPr>
            <w:r>
              <w:t>6月底</w:t>
            </w:r>
          </w:p>
        </w:tc>
        <w:tc>
          <w:tcPr>
            <w:tcW w:w="2551" w:type="dxa"/>
            <w:vAlign w:val="center"/>
          </w:tcPr>
          <w:p w14:paraId="681D6460">
            <w:pPr>
              <w:pStyle w:val="11"/>
            </w:pPr>
            <w:r>
              <w:t>10月底</w:t>
            </w:r>
          </w:p>
        </w:tc>
        <w:tc>
          <w:tcPr>
            <w:tcW w:w="3544" w:type="dxa"/>
            <w:gridSpan w:val="2"/>
            <w:vAlign w:val="center"/>
          </w:tcPr>
          <w:p w14:paraId="3B0D3306">
            <w:pPr>
              <w:pStyle w:val="11"/>
            </w:pPr>
            <w:r>
              <w:t>12月底</w:t>
            </w:r>
          </w:p>
        </w:tc>
      </w:tr>
      <w:tr w14:paraId="6C9E5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6B1DA6"/>
        </w:tc>
        <w:tc>
          <w:tcPr>
            <w:tcW w:w="5103" w:type="dxa"/>
            <w:gridSpan w:val="2"/>
            <w:vAlign w:val="center"/>
          </w:tcPr>
          <w:p w14:paraId="1D442FE3">
            <w:pPr>
              <w:pStyle w:val="12"/>
            </w:pPr>
            <w:r>
              <w:t>25%</w:t>
            </w:r>
          </w:p>
        </w:tc>
        <w:tc>
          <w:tcPr>
            <w:tcW w:w="2835" w:type="dxa"/>
            <w:vAlign w:val="center"/>
          </w:tcPr>
          <w:p w14:paraId="4303A614">
            <w:pPr>
              <w:pStyle w:val="12"/>
            </w:pPr>
            <w:r>
              <w:t>50%</w:t>
            </w:r>
          </w:p>
        </w:tc>
        <w:tc>
          <w:tcPr>
            <w:tcW w:w="2551" w:type="dxa"/>
            <w:vAlign w:val="center"/>
          </w:tcPr>
          <w:p w14:paraId="79FE9C5B">
            <w:pPr>
              <w:pStyle w:val="12"/>
            </w:pPr>
            <w:r>
              <w:t>75%</w:t>
            </w:r>
          </w:p>
        </w:tc>
        <w:tc>
          <w:tcPr>
            <w:tcW w:w="3544" w:type="dxa"/>
            <w:gridSpan w:val="2"/>
            <w:vAlign w:val="center"/>
          </w:tcPr>
          <w:p w14:paraId="02FA3A8C">
            <w:pPr>
              <w:pStyle w:val="12"/>
            </w:pPr>
            <w:r>
              <w:t>100%</w:t>
            </w:r>
          </w:p>
        </w:tc>
      </w:tr>
      <w:tr w14:paraId="7958A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04A65">
            <w:pPr>
              <w:pStyle w:val="11"/>
            </w:pPr>
            <w:r>
              <w:t>绩效目标</w:t>
            </w:r>
          </w:p>
        </w:tc>
        <w:tc>
          <w:tcPr>
            <w:tcW w:w="14033" w:type="dxa"/>
            <w:gridSpan w:val="6"/>
            <w:vAlign w:val="center"/>
          </w:tcPr>
          <w:p w14:paraId="1F8C4E6C">
            <w:pPr>
              <w:pStyle w:val="13"/>
            </w:pPr>
            <w:r>
              <w:t>1.按规定拨付专项资金1360000元，资金拨付率达到100%。</w:t>
            </w:r>
            <w:r>
              <w:tab/>
            </w:r>
            <w:r>
              <w:tab/>
            </w:r>
            <w:r>
              <w:tab/>
            </w:r>
          </w:p>
          <w:p w14:paraId="691EF01A">
            <w:pPr>
              <w:pStyle w:val="13"/>
            </w:pPr>
          </w:p>
          <w:p w14:paraId="414147C8">
            <w:pPr>
              <w:pStyle w:val="13"/>
            </w:pPr>
            <w:r>
              <w:t>2.新建保育楼，满足幼儿正常学习需要。</w:t>
            </w:r>
            <w:r>
              <w:tab/>
            </w:r>
            <w:r>
              <w:tab/>
            </w:r>
            <w:r>
              <w:tab/>
            </w:r>
          </w:p>
          <w:p w14:paraId="794479E7">
            <w:pPr>
              <w:pStyle w:val="13"/>
            </w:pPr>
          </w:p>
        </w:tc>
      </w:tr>
    </w:tbl>
    <w:p w14:paraId="70B8B6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48"/>
        <w:gridCol w:w="1796"/>
      </w:tblGrid>
      <w:tr w14:paraId="7BB98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C6093">
            <w:pPr>
              <w:pStyle w:val="11"/>
            </w:pPr>
            <w:r>
              <w:t>一级指标</w:t>
            </w:r>
          </w:p>
        </w:tc>
        <w:tc>
          <w:tcPr>
            <w:tcW w:w="2268" w:type="dxa"/>
            <w:vAlign w:val="center"/>
          </w:tcPr>
          <w:p w14:paraId="7173B261">
            <w:pPr>
              <w:pStyle w:val="11"/>
            </w:pPr>
            <w:r>
              <w:t>二级指标</w:t>
            </w:r>
          </w:p>
        </w:tc>
        <w:tc>
          <w:tcPr>
            <w:tcW w:w="2835" w:type="dxa"/>
            <w:vAlign w:val="center"/>
          </w:tcPr>
          <w:p w14:paraId="0275F2F4">
            <w:pPr>
              <w:pStyle w:val="11"/>
            </w:pPr>
            <w:r>
              <w:t>三级指标</w:t>
            </w:r>
          </w:p>
        </w:tc>
        <w:tc>
          <w:tcPr>
            <w:tcW w:w="5386" w:type="dxa"/>
            <w:vAlign w:val="center"/>
          </w:tcPr>
          <w:p w14:paraId="5C830014">
            <w:pPr>
              <w:pStyle w:val="11"/>
            </w:pPr>
            <w:r>
              <w:t>绩效指标描述</w:t>
            </w:r>
          </w:p>
        </w:tc>
        <w:tc>
          <w:tcPr>
            <w:tcW w:w="1748" w:type="dxa"/>
            <w:vAlign w:val="center"/>
          </w:tcPr>
          <w:p w14:paraId="08E38EB9">
            <w:pPr>
              <w:pStyle w:val="11"/>
            </w:pPr>
            <w:r>
              <w:t>指标值</w:t>
            </w:r>
          </w:p>
        </w:tc>
        <w:tc>
          <w:tcPr>
            <w:tcW w:w="1796" w:type="dxa"/>
            <w:vAlign w:val="center"/>
          </w:tcPr>
          <w:p w14:paraId="74B4A2B0">
            <w:pPr>
              <w:pStyle w:val="11"/>
            </w:pPr>
            <w:r>
              <w:t>指标值确定依据</w:t>
            </w:r>
          </w:p>
        </w:tc>
      </w:tr>
      <w:tr w14:paraId="589AB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CCF02">
            <w:pPr>
              <w:pStyle w:val="12"/>
            </w:pPr>
            <w:r>
              <w:t>产出指标</w:t>
            </w:r>
          </w:p>
        </w:tc>
        <w:tc>
          <w:tcPr>
            <w:tcW w:w="2268" w:type="dxa"/>
            <w:vAlign w:val="center"/>
          </w:tcPr>
          <w:p w14:paraId="03CBF63C">
            <w:pPr>
              <w:pStyle w:val="13"/>
            </w:pPr>
            <w:r>
              <w:t>数量指标</w:t>
            </w:r>
          </w:p>
        </w:tc>
        <w:tc>
          <w:tcPr>
            <w:tcW w:w="2835" w:type="dxa"/>
            <w:vAlign w:val="center"/>
          </w:tcPr>
          <w:p w14:paraId="10BFB433">
            <w:pPr>
              <w:pStyle w:val="13"/>
            </w:pPr>
            <w:r>
              <w:t>新建建筑面积</w:t>
            </w:r>
          </w:p>
        </w:tc>
        <w:tc>
          <w:tcPr>
            <w:tcW w:w="5386" w:type="dxa"/>
            <w:vAlign w:val="center"/>
          </w:tcPr>
          <w:p w14:paraId="4E910EE1">
            <w:pPr>
              <w:pStyle w:val="13"/>
            </w:pPr>
            <w:r>
              <w:t>新建建筑面积</w:t>
            </w:r>
          </w:p>
        </w:tc>
        <w:tc>
          <w:tcPr>
            <w:tcW w:w="1748" w:type="dxa"/>
            <w:vAlign w:val="center"/>
          </w:tcPr>
          <w:p w14:paraId="355789F7">
            <w:pPr>
              <w:pStyle w:val="13"/>
            </w:pPr>
            <w:r>
              <w:t>2821.39平米</w:t>
            </w:r>
          </w:p>
        </w:tc>
        <w:tc>
          <w:tcPr>
            <w:tcW w:w="1796" w:type="dxa"/>
            <w:vAlign w:val="center"/>
          </w:tcPr>
          <w:p w14:paraId="2752A38B">
            <w:pPr>
              <w:pStyle w:val="13"/>
            </w:pPr>
            <w:r>
              <w:t>城乡义务教育公用经费管理办法</w:t>
            </w:r>
          </w:p>
        </w:tc>
      </w:tr>
      <w:tr w14:paraId="4802B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4E107"/>
        </w:tc>
        <w:tc>
          <w:tcPr>
            <w:tcW w:w="2268" w:type="dxa"/>
            <w:vAlign w:val="center"/>
          </w:tcPr>
          <w:p w14:paraId="144F4DFD">
            <w:pPr>
              <w:pStyle w:val="13"/>
            </w:pPr>
            <w:r>
              <w:t>质量指标</w:t>
            </w:r>
          </w:p>
        </w:tc>
        <w:tc>
          <w:tcPr>
            <w:tcW w:w="2835" w:type="dxa"/>
            <w:vAlign w:val="center"/>
          </w:tcPr>
          <w:p w14:paraId="52FFBA86">
            <w:pPr>
              <w:pStyle w:val="13"/>
            </w:pPr>
            <w:r>
              <w:t>项目竣工验收合格率</w:t>
            </w:r>
          </w:p>
        </w:tc>
        <w:tc>
          <w:tcPr>
            <w:tcW w:w="5386" w:type="dxa"/>
            <w:vAlign w:val="center"/>
          </w:tcPr>
          <w:p w14:paraId="257B469D">
            <w:pPr>
              <w:pStyle w:val="13"/>
            </w:pPr>
            <w:r>
              <w:t>项目改造质量达标率</w:t>
            </w:r>
          </w:p>
        </w:tc>
        <w:tc>
          <w:tcPr>
            <w:tcW w:w="1748" w:type="dxa"/>
            <w:vAlign w:val="center"/>
          </w:tcPr>
          <w:p w14:paraId="33E6D110">
            <w:pPr>
              <w:pStyle w:val="13"/>
            </w:pPr>
            <w:r>
              <w:t>≥100%</w:t>
            </w:r>
          </w:p>
        </w:tc>
        <w:tc>
          <w:tcPr>
            <w:tcW w:w="1796" w:type="dxa"/>
            <w:vAlign w:val="center"/>
          </w:tcPr>
          <w:p w14:paraId="3279C817">
            <w:pPr>
              <w:pStyle w:val="13"/>
            </w:pPr>
            <w:r>
              <w:t>城乡义务教育公用经费管理办法</w:t>
            </w:r>
          </w:p>
        </w:tc>
      </w:tr>
      <w:tr w14:paraId="1C8D7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D8FB7"/>
        </w:tc>
        <w:tc>
          <w:tcPr>
            <w:tcW w:w="2268" w:type="dxa"/>
            <w:vAlign w:val="center"/>
          </w:tcPr>
          <w:p w14:paraId="01610BA6">
            <w:pPr>
              <w:pStyle w:val="13"/>
            </w:pPr>
            <w:r>
              <w:t>时效指标</w:t>
            </w:r>
          </w:p>
        </w:tc>
        <w:tc>
          <w:tcPr>
            <w:tcW w:w="2835" w:type="dxa"/>
            <w:vAlign w:val="center"/>
          </w:tcPr>
          <w:p w14:paraId="7E9D1ADB">
            <w:pPr>
              <w:pStyle w:val="13"/>
            </w:pPr>
            <w:r>
              <w:t>按期完成率</w:t>
            </w:r>
          </w:p>
        </w:tc>
        <w:tc>
          <w:tcPr>
            <w:tcW w:w="5386" w:type="dxa"/>
            <w:vAlign w:val="center"/>
          </w:tcPr>
          <w:p w14:paraId="34E25E00">
            <w:pPr>
              <w:pStyle w:val="13"/>
            </w:pPr>
            <w:r>
              <w:t>按期完成率</w:t>
            </w:r>
          </w:p>
        </w:tc>
        <w:tc>
          <w:tcPr>
            <w:tcW w:w="1748" w:type="dxa"/>
            <w:vAlign w:val="center"/>
          </w:tcPr>
          <w:p w14:paraId="5E7EE17F">
            <w:pPr>
              <w:pStyle w:val="13"/>
            </w:pPr>
            <w:r>
              <w:t>100%</w:t>
            </w:r>
          </w:p>
        </w:tc>
        <w:tc>
          <w:tcPr>
            <w:tcW w:w="1796" w:type="dxa"/>
            <w:vAlign w:val="center"/>
          </w:tcPr>
          <w:p w14:paraId="3313B4E6">
            <w:pPr>
              <w:pStyle w:val="13"/>
            </w:pPr>
            <w:r>
              <w:t>城乡义务教育公用经费管理办法</w:t>
            </w:r>
          </w:p>
        </w:tc>
      </w:tr>
      <w:tr w14:paraId="10CCB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C6179"/>
        </w:tc>
        <w:tc>
          <w:tcPr>
            <w:tcW w:w="2268" w:type="dxa"/>
            <w:vAlign w:val="center"/>
          </w:tcPr>
          <w:p w14:paraId="6E79ADC3">
            <w:pPr>
              <w:pStyle w:val="13"/>
            </w:pPr>
            <w:r>
              <w:t>成本指标</w:t>
            </w:r>
          </w:p>
        </w:tc>
        <w:tc>
          <w:tcPr>
            <w:tcW w:w="2835" w:type="dxa"/>
            <w:vAlign w:val="center"/>
          </w:tcPr>
          <w:p w14:paraId="5F9F043F">
            <w:pPr>
              <w:pStyle w:val="13"/>
            </w:pPr>
            <w:r>
              <w:t>项目实际成本</w:t>
            </w:r>
          </w:p>
        </w:tc>
        <w:tc>
          <w:tcPr>
            <w:tcW w:w="5386" w:type="dxa"/>
            <w:vAlign w:val="center"/>
          </w:tcPr>
          <w:p w14:paraId="36BCF023">
            <w:pPr>
              <w:pStyle w:val="13"/>
            </w:pPr>
            <w:r>
              <w:t>1.幼儿园用房年久破损，具体如下：改建附属用房2821.39平米，2413.8元/㎡；</w:t>
            </w:r>
          </w:p>
        </w:tc>
        <w:tc>
          <w:tcPr>
            <w:tcW w:w="1748" w:type="dxa"/>
            <w:vAlign w:val="center"/>
          </w:tcPr>
          <w:p w14:paraId="05508482">
            <w:pPr>
              <w:pStyle w:val="13"/>
            </w:pPr>
            <w:r>
              <w:t>1360000元</w:t>
            </w:r>
          </w:p>
        </w:tc>
        <w:tc>
          <w:tcPr>
            <w:tcW w:w="1796" w:type="dxa"/>
            <w:vAlign w:val="center"/>
          </w:tcPr>
          <w:p w14:paraId="08B3A129">
            <w:pPr>
              <w:pStyle w:val="13"/>
            </w:pPr>
            <w:r>
              <w:t>城乡义务教育公用经费管理办法</w:t>
            </w:r>
          </w:p>
        </w:tc>
      </w:tr>
      <w:tr w14:paraId="01856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3F8B28">
            <w:pPr>
              <w:pStyle w:val="12"/>
            </w:pPr>
            <w:r>
              <w:t>效益指标</w:t>
            </w:r>
          </w:p>
        </w:tc>
        <w:tc>
          <w:tcPr>
            <w:tcW w:w="2268" w:type="dxa"/>
            <w:vAlign w:val="center"/>
          </w:tcPr>
          <w:p w14:paraId="1E8D3030">
            <w:pPr>
              <w:pStyle w:val="13"/>
            </w:pPr>
            <w:r>
              <w:t>可持续影响指标</w:t>
            </w:r>
          </w:p>
        </w:tc>
        <w:tc>
          <w:tcPr>
            <w:tcW w:w="2835" w:type="dxa"/>
            <w:vAlign w:val="center"/>
          </w:tcPr>
          <w:p w14:paraId="0B4AD83E">
            <w:pPr>
              <w:pStyle w:val="13"/>
            </w:pPr>
            <w:r>
              <w:t>办学条件提升程度</w:t>
            </w:r>
          </w:p>
        </w:tc>
        <w:tc>
          <w:tcPr>
            <w:tcW w:w="5386" w:type="dxa"/>
            <w:vAlign w:val="center"/>
          </w:tcPr>
          <w:p w14:paraId="5E5D7460">
            <w:pPr>
              <w:pStyle w:val="13"/>
            </w:pPr>
            <w:r>
              <w:t>办学条件和环境得到改善</w:t>
            </w:r>
          </w:p>
        </w:tc>
        <w:tc>
          <w:tcPr>
            <w:tcW w:w="1748" w:type="dxa"/>
            <w:vAlign w:val="center"/>
          </w:tcPr>
          <w:p w14:paraId="4F97FC33">
            <w:pPr>
              <w:pStyle w:val="13"/>
            </w:pPr>
            <w:r>
              <w:t>≥90%</w:t>
            </w:r>
          </w:p>
        </w:tc>
        <w:tc>
          <w:tcPr>
            <w:tcW w:w="1796" w:type="dxa"/>
            <w:vAlign w:val="center"/>
          </w:tcPr>
          <w:p w14:paraId="3D7ED754">
            <w:pPr>
              <w:pStyle w:val="13"/>
            </w:pPr>
            <w:r>
              <w:t>城乡义务教育公用经费管理办法</w:t>
            </w:r>
          </w:p>
        </w:tc>
      </w:tr>
      <w:tr w14:paraId="477A0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C7958">
            <w:pPr>
              <w:pStyle w:val="12"/>
            </w:pPr>
            <w:r>
              <w:t>满意度指标</w:t>
            </w:r>
          </w:p>
        </w:tc>
        <w:tc>
          <w:tcPr>
            <w:tcW w:w="2268" w:type="dxa"/>
            <w:vAlign w:val="center"/>
          </w:tcPr>
          <w:p w14:paraId="0D0BBAF5">
            <w:pPr>
              <w:pStyle w:val="13"/>
            </w:pPr>
            <w:r>
              <w:t>服务对象满意度指标</w:t>
            </w:r>
          </w:p>
        </w:tc>
        <w:tc>
          <w:tcPr>
            <w:tcW w:w="2835" w:type="dxa"/>
            <w:vAlign w:val="center"/>
          </w:tcPr>
          <w:p w14:paraId="444B5093">
            <w:pPr>
              <w:pStyle w:val="13"/>
            </w:pPr>
            <w:r>
              <w:t>受益学生家长及调查满意度</w:t>
            </w:r>
          </w:p>
        </w:tc>
        <w:tc>
          <w:tcPr>
            <w:tcW w:w="5386" w:type="dxa"/>
            <w:vAlign w:val="center"/>
          </w:tcPr>
          <w:p w14:paraId="2BD15C72">
            <w:pPr>
              <w:pStyle w:val="13"/>
            </w:pPr>
            <w:r>
              <w:t>学生、教师及家长对学校保教保育工作满意度情况</w:t>
            </w:r>
          </w:p>
        </w:tc>
        <w:tc>
          <w:tcPr>
            <w:tcW w:w="1748" w:type="dxa"/>
            <w:vAlign w:val="center"/>
          </w:tcPr>
          <w:p w14:paraId="740A5FF0">
            <w:pPr>
              <w:pStyle w:val="13"/>
            </w:pPr>
            <w:r>
              <w:t>≥95%</w:t>
            </w:r>
          </w:p>
        </w:tc>
        <w:tc>
          <w:tcPr>
            <w:tcW w:w="1796" w:type="dxa"/>
            <w:vAlign w:val="center"/>
          </w:tcPr>
          <w:p w14:paraId="11B4E78E">
            <w:pPr>
              <w:pStyle w:val="13"/>
            </w:pPr>
            <w:r>
              <w:t>城乡义务教育公用经费管理办法</w:t>
            </w:r>
          </w:p>
        </w:tc>
      </w:tr>
    </w:tbl>
    <w:p w14:paraId="68B1FC0C">
      <w:pPr>
        <w:sectPr>
          <w:pgSz w:w="16840" w:h="11900" w:orient="landscape"/>
          <w:pgMar w:top="1361" w:right="1020" w:bottom="1134" w:left="1020" w:header="720" w:footer="720" w:gutter="0"/>
          <w:cols w:space="720" w:num="1"/>
        </w:sectPr>
      </w:pPr>
    </w:p>
    <w:p w14:paraId="0EC48B84">
      <w:pPr>
        <w:spacing w:before="0" w:after="0"/>
        <w:ind w:firstLine="560"/>
        <w:jc w:val="left"/>
        <w:outlineLvl w:val="9"/>
      </w:pPr>
      <w:r>
        <w:rPr>
          <w:rFonts w:ascii="方正仿宋_GBK" w:hAnsi="方正仿宋_GBK" w:eastAsia="方正仿宋_GBK" w:cs="方正仿宋_GBK"/>
          <w:b/>
          <w:color w:val="000000"/>
          <w:sz w:val="28"/>
        </w:rPr>
        <w:t>31、上年盘活/隆尧县大霍幼儿园保育楼项目费用（冀财教[2023]165号）</w:t>
      </w:r>
      <w:r>
        <w:rPr>
          <w:rFonts w:ascii="方正仿宋_GBK" w:hAnsi="方正仿宋_GBK" w:eastAsia="方正仿宋_GBK" w:cs="方正仿宋_GBK"/>
          <w:b/>
          <w:color w:val="000000"/>
          <w:sz w:val="28"/>
        </w:rPr>
        <w:tab/>
      </w:r>
    </w:p>
    <w:p w14:paraId="19A8A4BD">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63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5D5C3">
            <w:pPr>
              <w:pStyle w:val="14"/>
            </w:pPr>
            <w:r>
              <w:t>单位：万元</w:t>
            </w:r>
          </w:p>
        </w:tc>
      </w:tr>
      <w:tr w14:paraId="448CD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16B17">
            <w:pPr>
              <w:pStyle w:val="11"/>
            </w:pPr>
            <w:r>
              <w:t>项目编码</w:t>
            </w:r>
          </w:p>
        </w:tc>
        <w:tc>
          <w:tcPr>
            <w:tcW w:w="5103" w:type="dxa"/>
            <w:gridSpan w:val="2"/>
            <w:vAlign w:val="center"/>
          </w:tcPr>
          <w:p w14:paraId="384924A0">
            <w:pPr>
              <w:pStyle w:val="13"/>
            </w:pPr>
            <w:r>
              <w:t>13052525P00875610178K</w:t>
            </w:r>
          </w:p>
        </w:tc>
        <w:tc>
          <w:tcPr>
            <w:tcW w:w="2835" w:type="dxa"/>
            <w:vAlign w:val="center"/>
          </w:tcPr>
          <w:p w14:paraId="267CDCDD">
            <w:pPr>
              <w:pStyle w:val="11"/>
            </w:pPr>
            <w:r>
              <w:t>项目名称</w:t>
            </w:r>
          </w:p>
        </w:tc>
        <w:tc>
          <w:tcPr>
            <w:tcW w:w="6095" w:type="dxa"/>
            <w:gridSpan w:val="3"/>
            <w:vAlign w:val="center"/>
          </w:tcPr>
          <w:p w14:paraId="57742687">
            <w:pPr>
              <w:pStyle w:val="13"/>
            </w:pPr>
            <w:r>
              <w:t>上年盘活/隆尧县大霍幼儿园保育楼项目费用（冀财教[2023]165号）</w:t>
            </w:r>
            <w:r>
              <w:tab/>
            </w:r>
          </w:p>
          <w:p w14:paraId="21D0F880">
            <w:pPr>
              <w:pStyle w:val="13"/>
            </w:pPr>
          </w:p>
        </w:tc>
      </w:tr>
      <w:tr w14:paraId="0256C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C40CD">
            <w:pPr>
              <w:pStyle w:val="11"/>
            </w:pPr>
            <w:r>
              <w:t>预算规模及资金用途</w:t>
            </w:r>
          </w:p>
        </w:tc>
        <w:tc>
          <w:tcPr>
            <w:tcW w:w="2268" w:type="dxa"/>
            <w:vAlign w:val="center"/>
          </w:tcPr>
          <w:p w14:paraId="377BEF96">
            <w:pPr>
              <w:pStyle w:val="11"/>
            </w:pPr>
            <w:r>
              <w:t>预算数</w:t>
            </w:r>
          </w:p>
        </w:tc>
        <w:tc>
          <w:tcPr>
            <w:tcW w:w="2835" w:type="dxa"/>
            <w:vAlign w:val="center"/>
          </w:tcPr>
          <w:p w14:paraId="2AA1919A">
            <w:pPr>
              <w:pStyle w:val="13"/>
            </w:pPr>
            <w:r>
              <w:t>26.60</w:t>
            </w:r>
          </w:p>
        </w:tc>
        <w:tc>
          <w:tcPr>
            <w:tcW w:w="2835" w:type="dxa"/>
            <w:vAlign w:val="center"/>
          </w:tcPr>
          <w:p w14:paraId="67A12F17">
            <w:pPr>
              <w:pStyle w:val="11"/>
            </w:pPr>
            <w:r>
              <w:t>其中：财政    资金</w:t>
            </w:r>
          </w:p>
        </w:tc>
        <w:tc>
          <w:tcPr>
            <w:tcW w:w="2551" w:type="dxa"/>
            <w:vAlign w:val="center"/>
          </w:tcPr>
          <w:p w14:paraId="5627760B">
            <w:pPr>
              <w:pStyle w:val="13"/>
            </w:pPr>
            <w:r>
              <w:t>26.60</w:t>
            </w:r>
          </w:p>
        </w:tc>
        <w:tc>
          <w:tcPr>
            <w:tcW w:w="2268" w:type="dxa"/>
            <w:vAlign w:val="center"/>
          </w:tcPr>
          <w:p w14:paraId="0FE38888">
            <w:pPr>
              <w:pStyle w:val="11"/>
            </w:pPr>
            <w:r>
              <w:t>其他资金</w:t>
            </w:r>
          </w:p>
        </w:tc>
        <w:tc>
          <w:tcPr>
            <w:tcW w:w="1276" w:type="dxa"/>
            <w:vAlign w:val="center"/>
          </w:tcPr>
          <w:p w14:paraId="35711723">
            <w:pPr>
              <w:pStyle w:val="13"/>
            </w:pPr>
            <w:r>
              <w:t xml:space="preserve"> </w:t>
            </w:r>
          </w:p>
        </w:tc>
      </w:tr>
      <w:tr w14:paraId="3ACAB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8F28B"/>
        </w:tc>
        <w:tc>
          <w:tcPr>
            <w:tcW w:w="14033" w:type="dxa"/>
            <w:gridSpan w:val="6"/>
            <w:vAlign w:val="center"/>
          </w:tcPr>
          <w:p w14:paraId="081CE100">
            <w:pPr>
              <w:pStyle w:val="13"/>
            </w:pPr>
            <w:r>
              <w:t>新建保育楼，满足幼儿正常学习需要。</w:t>
            </w:r>
            <w:r>
              <w:tab/>
            </w:r>
          </w:p>
        </w:tc>
      </w:tr>
      <w:tr w14:paraId="56741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38377">
            <w:pPr>
              <w:pStyle w:val="11"/>
            </w:pPr>
            <w:r>
              <w:t>资金支出计划（%）</w:t>
            </w:r>
          </w:p>
        </w:tc>
        <w:tc>
          <w:tcPr>
            <w:tcW w:w="5103" w:type="dxa"/>
            <w:gridSpan w:val="2"/>
            <w:vAlign w:val="center"/>
          </w:tcPr>
          <w:p w14:paraId="4F66EFFC">
            <w:pPr>
              <w:pStyle w:val="11"/>
            </w:pPr>
            <w:r>
              <w:t>3月底</w:t>
            </w:r>
          </w:p>
        </w:tc>
        <w:tc>
          <w:tcPr>
            <w:tcW w:w="2835" w:type="dxa"/>
            <w:vAlign w:val="center"/>
          </w:tcPr>
          <w:p w14:paraId="0BD2AA04">
            <w:pPr>
              <w:pStyle w:val="11"/>
            </w:pPr>
            <w:r>
              <w:t>6月底</w:t>
            </w:r>
          </w:p>
        </w:tc>
        <w:tc>
          <w:tcPr>
            <w:tcW w:w="2551" w:type="dxa"/>
            <w:vAlign w:val="center"/>
          </w:tcPr>
          <w:p w14:paraId="2B5E5CC6">
            <w:pPr>
              <w:pStyle w:val="11"/>
            </w:pPr>
            <w:r>
              <w:t>10月底</w:t>
            </w:r>
          </w:p>
        </w:tc>
        <w:tc>
          <w:tcPr>
            <w:tcW w:w="3544" w:type="dxa"/>
            <w:gridSpan w:val="2"/>
            <w:vAlign w:val="center"/>
          </w:tcPr>
          <w:p w14:paraId="1E70B62E">
            <w:pPr>
              <w:pStyle w:val="11"/>
            </w:pPr>
            <w:r>
              <w:t>12月底</w:t>
            </w:r>
          </w:p>
        </w:tc>
      </w:tr>
      <w:tr w14:paraId="2B493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9C10B8"/>
        </w:tc>
        <w:tc>
          <w:tcPr>
            <w:tcW w:w="5103" w:type="dxa"/>
            <w:gridSpan w:val="2"/>
            <w:vAlign w:val="center"/>
          </w:tcPr>
          <w:p w14:paraId="71C198BE">
            <w:pPr>
              <w:pStyle w:val="12"/>
            </w:pPr>
            <w:r>
              <w:t>25%</w:t>
            </w:r>
          </w:p>
        </w:tc>
        <w:tc>
          <w:tcPr>
            <w:tcW w:w="2835" w:type="dxa"/>
            <w:vAlign w:val="center"/>
          </w:tcPr>
          <w:p w14:paraId="051C3BE9">
            <w:pPr>
              <w:pStyle w:val="12"/>
            </w:pPr>
            <w:r>
              <w:t>50%</w:t>
            </w:r>
          </w:p>
        </w:tc>
        <w:tc>
          <w:tcPr>
            <w:tcW w:w="2551" w:type="dxa"/>
            <w:vAlign w:val="center"/>
          </w:tcPr>
          <w:p w14:paraId="7D17756C">
            <w:pPr>
              <w:pStyle w:val="12"/>
            </w:pPr>
            <w:r>
              <w:t>75%</w:t>
            </w:r>
          </w:p>
        </w:tc>
        <w:tc>
          <w:tcPr>
            <w:tcW w:w="3544" w:type="dxa"/>
            <w:gridSpan w:val="2"/>
            <w:vAlign w:val="center"/>
          </w:tcPr>
          <w:p w14:paraId="51CB6CA6">
            <w:pPr>
              <w:pStyle w:val="12"/>
            </w:pPr>
            <w:r>
              <w:t>100%</w:t>
            </w:r>
          </w:p>
        </w:tc>
      </w:tr>
      <w:tr w14:paraId="0848F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8F9E12">
            <w:pPr>
              <w:pStyle w:val="11"/>
            </w:pPr>
            <w:r>
              <w:t>绩效目标</w:t>
            </w:r>
          </w:p>
        </w:tc>
        <w:tc>
          <w:tcPr>
            <w:tcW w:w="14033" w:type="dxa"/>
            <w:gridSpan w:val="6"/>
            <w:vAlign w:val="center"/>
          </w:tcPr>
          <w:p w14:paraId="4F8183BC">
            <w:pPr>
              <w:pStyle w:val="13"/>
            </w:pPr>
            <w:r>
              <w:t>1.按规定拨付专项资金266000元，资金拨付率达到100%。</w:t>
            </w:r>
            <w:r>
              <w:tab/>
            </w:r>
            <w:r>
              <w:tab/>
            </w:r>
            <w:r>
              <w:tab/>
            </w:r>
          </w:p>
          <w:p w14:paraId="4380135D">
            <w:pPr>
              <w:pStyle w:val="13"/>
            </w:pPr>
            <w:r>
              <w:t>2.新建保育楼，满足幼儿正常学习需要。</w:t>
            </w:r>
            <w:r>
              <w:tab/>
            </w:r>
            <w:r>
              <w:tab/>
            </w:r>
            <w:r>
              <w:tab/>
            </w:r>
          </w:p>
        </w:tc>
      </w:tr>
    </w:tbl>
    <w:p w14:paraId="6BE63F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28"/>
        <w:gridCol w:w="1916"/>
      </w:tblGrid>
      <w:tr w14:paraId="04279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C1291">
            <w:pPr>
              <w:pStyle w:val="11"/>
            </w:pPr>
            <w:r>
              <w:t>一级指标</w:t>
            </w:r>
          </w:p>
        </w:tc>
        <w:tc>
          <w:tcPr>
            <w:tcW w:w="2268" w:type="dxa"/>
            <w:vAlign w:val="center"/>
          </w:tcPr>
          <w:p w14:paraId="1600A7F1">
            <w:pPr>
              <w:pStyle w:val="11"/>
            </w:pPr>
            <w:r>
              <w:t>二级指标</w:t>
            </w:r>
          </w:p>
        </w:tc>
        <w:tc>
          <w:tcPr>
            <w:tcW w:w="2835" w:type="dxa"/>
            <w:vAlign w:val="center"/>
          </w:tcPr>
          <w:p w14:paraId="02627854">
            <w:pPr>
              <w:pStyle w:val="11"/>
            </w:pPr>
            <w:r>
              <w:t>三级指标</w:t>
            </w:r>
          </w:p>
        </w:tc>
        <w:tc>
          <w:tcPr>
            <w:tcW w:w="5386" w:type="dxa"/>
            <w:vAlign w:val="center"/>
          </w:tcPr>
          <w:p w14:paraId="37A5D320">
            <w:pPr>
              <w:pStyle w:val="11"/>
            </w:pPr>
            <w:r>
              <w:t>绩效指标描述</w:t>
            </w:r>
          </w:p>
        </w:tc>
        <w:tc>
          <w:tcPr>
            <w:tcW w:w="1628" w:type="dxa"/>
            <w:vAlign w:val="center"/>
          </w:tcPr>
          <w:p w14:paraId="695C9274">
            <w:pPr>
              <w:pStyle w:val="11"/>
            </w:pPr>
            <w:r>
              <w:t>指标值</w:t>
            </w:r>
          </w:p>
        </w:tc>
        <w:tc>
          <w:tcPr>
            <w:tcW w:w="1916" w:type="dxa"/>
            <w:vAlign w:val="center"/>
          </w:tcPr>
          <w:p w14:paraId="07ED8B0E">
            <w:pPr>
              <w:pStyle w:val="11"/>
            </w:pPr>
            <w:r>
              <w:t>指标值确定依据</w:t>
            </w:r>
          </w:p>
        </w:tc>
      </w:tr>
      <w:tr w14:paraId="6164D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004B7">
            <w:pPr>
              <w:pStyle w:val="12"/>
            </w:pPr>
            <w:r>
              <w:t>产出指标</w:t>
            </w:r>
          </w:p>
        </w:tc>
        <w:tc>
          <w:tcPr>
            <w:tcW w:w="2268" w:type="dxa"/>
            <w:vAlign w:val="center"/>
          </w:tcPr>
          <w:p w14:paraId="3BA9554D">
            <w:pPr>
              <w:pStyle w:val="13"/>
            </w:pPr>
            <w:r>
              <w:t>数量指标</w:t>
            </w:r>
          </w:p>
        </w:tc>
        <w:tc>
          <w:tcPr>
            <w:tcW w:w="2835" w:type="dxa"/>
            <w:vAlign w:val="center"/>
          </w:tcPr>
          <w:p w14:paraId="64DA2755">
            <w:pPr>
              <w:pStyle w:val="13"/>
            </w:pPr>
            <w:r>
              <w:t>新建建筑面积</w:t>
            </w:r>
          </w:p>
        </w:tc>
        <w:tc>
          <w:tcPr>
            <w:tcW w:w="5386" w:type="dxa"/>
            <w:vAlign w:val="center"/>
          </w:tcPr>
          <w:p w14:paraId="04673BDC">
            <w:pPr>
              <w:pStyle w:val="13"/>
            </w:pPr>
            <w:r>
              <w:t>新建建筑面积</w:t>
            </w:r>
          </w:p>
        </w:tc>
        <w:tc>
          <w:tcPr>
            <w:tcW w:w="1628" w:type="dxa"/>
            <w:vAlign w:val="center"/>
          </w:tcPr>
          <w:p w14:paraId="7414CA64">
            <w:pPr>
              <w:pStyle w:val="13"/>
            </w:pPr>
            <w:r>
              <w:t>2821.39平米</w:t>
            </w:r>
          </w:p>
        </w:tc>
        <w:tc>
          <w:tcPr>
            <w:tcW w:w="1916" w:type="dxa"/>
            <w:vAlign w:val="center"/>
          </w:tcPr>
          <w:p w14:paraId="7EC26699">
            <w:pPr>
              <w:pStyle w:val="13"/>
            </w:pPr>
            <w:r>
              <w:t>城乡义务教育公用经费管理办法</w:t>
            </w:r>
          </w:p>
        </w:tc>
      </w:tr>
      <w:tr w14:paraId="7BF24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24283"/>
        </w:tc>
        <w:tc>
          <w:tcPr>
            <w:tcW w:w="2268" w:type="dxa"/>
            <w:vAlign w:val="center"/>
          </w:tcPr>
          <w:p w14:paraId="7163EE88">
            <w:pPr>
              <w:pStyle w:val="13"/>
            </w:pPr>
            <w:r>
              <w:t>质量指标</w:t>
            </w:r>
          </w:p>
        </w:tc>
        <w:tc>
          <w:tcPr>
            <w:tcW w:w="2835" w:type="dxa"/>
            <w:vAlign w:val="center"/>
          </w:tcPr>
          <w:p w14:paraId="4D0DD15A">
            <w:pPr>
              <w:pStyle w:val="13"/>
            </w:pPr>
            <w:r>
              <w:t>项目竣工验收合格率</w:t>
            </w:r>
          </w:p>
        </w:tc>
        <w:tc>
          <w:tcPr>
            <w:tcW w:w="5386" w:type="dxa"/>
            <w:vAlign w:val="center"/>
          </w:tcPr>
          <w:p w14:paraId="7CF60102">
            <w:pPr>
              <w:pStyle w:val="13"/>
            </w:pPr>
            <w:r>
              <w:t>项目改造质量达标率</w:t>
            </w:r>
          </w:p>
        </w:tc>
        <w:tc>
          <w:tcPr>
            <w:tcW w:w="1628" w:type="dxa"/>
            <w:vAlign w:val="center"/>
          </w:tcPr>
          <w:p w14:paraId="311E961B">
            <w:pPr>
              <w:pStyle w:val="13"/>
            </w:pPr>
            <w:r>
              <w:t>≥100%</w:t>
            </w:r>
          </w:p>
        </w:tc>
        <w:tc>
          <w:tcPr>
            <w:tcW w:w="1916" w:type="dxa"/>
            <w:vAlign w:val="center"/>
          </w:tcPr>
          <w:p w14:paraId="49369772">
            <w:pPr>
              <w:pStyle w:val="13"/>
            </w:pPr>
            <w:r>
              <w:t>城乡义务教育公用经费管理办法</w:t>
            </w:r>
          </w:p>
        </w:tc>
      </w:tr>
      <w:tr w14:paraId="386B9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78A17"/>
        </w:tc>
        <w:tc>
          <w:tcPr>
            <w:tcW w:w="2268" w:type="dxa"/>
            <w:vAlign w:val="center"/>
          </w:tcPr>
          <w:p w14:paraId="71CF61DA">
            <w:pPr>
              <w:pStyle w:val="13"/>
            </w:pPr>
            <w:r>
              <w:t>时效指标</w:t>
            </w:r>
          </w:p>
        </w:tc>
        <w:tc>
          <w:tcPr>
            <w:tcW w:w="2835" w:type="dxa"/>
            <w:vAlign w:val="center"/>
          </w:tcPr>
          <w:p w14:paraId="2FE13462">
            <w:pPr>
              <w:pStyle w:val="13"/>
            </w:pPr>
            <w:r>
              <w:t>按期完成率</w:t>
            </w:r>
          </w:p>
        </w:tc>
        <w:tc>
          <w:tcPr>
            <w:tcW w:w="5386" w:type="dxa"/>
            <w:vAlign w:val="center"/>
          </w:tcPr>
          <w:p w14:paraId="628CF101">
            <w:pPr>
              <w:pStyle w:val="13"/>
            </w:pPr>
            <w:r>
              <w:t>按期完成率</w:t>
            </w:r>
          </w:p>
        </w:tc>
        <w:tc>
          <w:tcPr>
            <w:tcW w:w="1628" w:type="dxa"/>
            <w:vAlign w:val="center"/>
          </w:tcPr>
          <w:p w14:paraId="11494548">
            <w:pPr>
              <w:pStyle w:val="13"/>
            </w:pPr>
            <w:r>
              <w:t>100%</w:t>
            </w:r>
          </w:p>
        </w:tc>
        <w:tc>
          <w:tcPr>
            <w:tcW w:w="1916" w:type="dxa"/>
            <w:vAlign w:val="center"/>
          </w:tcPr>
          <w:p w14:paraId="292D8B66">
            <w:pPr>
              <w:pStyle w:val="13"/>
            </w:pPr>
            <w:r>
              <w:t>城乡义务教育公用经费管理办法</w:t>
            </w:r>
          </w:p>
        </w:tc>
      </w:tr>
      <w:tr w14:paraId="25F96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028A0"/>
        </w:tc>
        <w:tc>
          <w:tcPr>
            <w:tcW w:w="2268" w:type="dxa"/>
            <w:vAlign w:val="center"/>
          </w:tcPr>
          <w:p w14:paraId="014DED1F">
            <w:pPr>
              <w:pStyle w:val="13"/>
            </w:pPr>
            <w:r>
              <w:t>成本指标</w:t>
            </w:r>
          </w:p>
        </w:tc>
        <w:tc>
          <w:tcPr>
            <w:tcW w:w="2835" w:type="dxa"/>
            <w:vAlign w:val="center"/>
          </w:tcPr>
          <w:p w14:paraId="18267739">
            <w:pPr>
              <w:pStyle w:val="13"/>
            </w:pPr>
            <w:r>
              <w:t>项目实际成本</w:t>
            </w:r>
          </w:p>
        </w:tc>
        <w:tc>
          <w:tcPr>
            <w:tcW w:w="5386" w:type="dxa"/>
            <w:vAlign w:val="center"/>
          </w:tcPr>
          <w:p w14:paraId="3A8805ED">
            <w:pPr>
              <w:pStyle w:val="13"/>
            </w:pPr>
            <w:r>
              <w:t>1.幼儿园用房年久破损，具体如下：改建附属用房2821.39平米，2413.8元/㎡；</w:t>
            </w:r>
          </w:p>
        </w:tc>
        <w:tc>
          <w:tcPr>
            <w:tcW w:w="1628" w:type="dxa"/>
            <w:vAlign w:val="center"/>
          </w:tcPr>
          <w:p w14:paraId="2D65C723">
            <w:pPr>
              <w:pStyle w:val="13"/>
            </w:pPr>
            <w:r>
              <w:t>266000元</w:t>
            </w:r>
          </w:p>
        </w:tc>
        <w:tc>
          <w:tcPr>
            <w:tcW w:w="1916" w:type="dxa"/>
            <w:vAlign w:val="center"/>
          </w:tcPr>
          <w:p w14:paraId="0E57A506">
            <w:pPr>
              <w:pStyle w:val="13"/>
            </w:pPr>
            <w:r>
              <w:t>城乡义务教育公用经费管理办法</w:t>
            </w:r>
          </w:p>
        </w:tc>
      </w:tr>
      <w:tr w14:paraId="04CB4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DFF86">
            <w:pPr>
              <w:pStyle w:val="12"/>
            </w:pPr>
            <w:r>
              <w:t>效益指标</w:t>
            </w:r>
          </w:p>
        </w:tc>
        <w:tc>
          <w:tcPr>
            <w:tcW w:w="2268" w:type="dxa"/>
            <w:vAlign w:val="center"/>
          </w:tcPr>
          <w:p w14:paraId="6D4807CD">
            <w:pPr>
              <w:pStyle w:val="13"/>
            </w:pPr>
            <w:r>
              <w:t>可持续影响指标</w:t>
            </w:r>
          </w:p>
        </w:tc>
        <w:tc>
          <w:tcPr>
            <w:tcW w:w="2835" w:type="dxa"/>
            <w:vAlign w:val="center"/>
          </w:tcPr>
          <w:p w14:paraId="395D9FF7">
            <w:pPr>
              <w:pStyle w:val="13"/>
            </w:pPr>
            <w:r>
              <w:t>办学条件提升程度</w:t>
            </w:r>
          </w:p>
        </w:tc>
        <w:tc>
          <w:tcPr>
            <w:tcW w:w="5386" w:type="dxa"/>
            <w:vAlign w:val="center"/>
          </w:tcPr>
          <w:p w14:paraId="0A517AC9">
            <w:pPr>
              <w:pStyle w:val="13"/>
            </w:pPr>
            <w:r>
              <w:t>办学条件和环境得到改善</w:t>
            </w:r>
          </w:p>
        </w:tc>
        <w:tc>
          <w:tcPr>
            <w:tcW w:w="1628" w:type="dxa"/>
            <w:vAlign w:val="center"/>
          </w:tcPr>
          <w:p w14:paraId="5871250E">
            <w:pPr>
              <w:pStyle w:val="13"/>
            </w:pPr>
            <w:r>
              <w:t>≥90%</w:t>
            </w:r>
          </w:p>
        </w:tc>
        <w:tc>
          <w:tcPr>
            <w:tcW w:w="1916" w:type="dxa"/>
            <w:vAlign w:val="center"/>
          </w:tcPr>
          <w:p w14:paraId="27A4C85D">
            <w:pPr>
              <w:pStyle w:val="13"/>
            </w:pPr>
            <w:r>
              <w:t>城乡义务教育公用经费管理办法</w:t>
            </w:r>
          </w:p>
        </w:tc>
      </w:tr>
      <w:tr w14:paraId="5DB5A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3B5E1">
            <w:pPr>
              <w:pStyle w:val="12"/>
            </w:pPr>
            <w:r>
              <w:t>满意度指标</w:t>
            </w:r>
          </w:p>
        </w:tc>
        <w:tc>
          <w:tcPr>
            <w:tcW w:w="2268" w:type="dxa"/>
            <w:vAlign w:val="center"/>
          </w:tcPr>
          <w:p w14:paraId="6F70F335">
            <w:pPr>
              <w:pStyle w:val="13"/>
            </w:pPr>
            <w:r>
              <w:t>服务对象满意度指标</w:t>
            </w:r>
          </w:p>
        </w:tc>
        <w:tc>
          <w:tcPr>
            <w:tcW w:w="2835" w:type="dxa"/>
            <w:vAlign w:val="center"/>
          </w:tcPr>
          <w:p w14:paraId="6D67167F">
            <w:pPr>
              <w:pStyle w:val="13"/>
            </w:pPr>
            <w:r>
              <w:t>受益学生家长及调查满意度</w:t>
            </w:r>
          </w:p>
        </w:tc>
        <w:tc>
          <w:tcPr>
            <w:tcW w:w="5386" w:type="dxa"/>
            <w:vAlign w:val="center"/>
          </w:tcPr>
          <w:p w14:paraId="2A6E0027">
            <w:pPr>
              <w:pStyle w:val="13"/>
            </w:pPr>
            <w:r>
              <w:t>学生、教师及家长对学校保教保育工作满意度情况</w:t>
            </w:r>
          </w:p>
        </w:tc>
        <w:tc>
          <w:tcPr>
            <w:tcW w:w="1628" w:type="dxa"/>
            <w:vAlign w:val="center"/>
          </w:tcPr>
          <w:p w14:paraId="0AA8DC2E">
            <w:pPr>
              <w:pStyle w:val="13"/>
            </w:pPr>
            <w:r>
              <w:t>≥95%</w:t>
            </w:r>
          </w:p>
        </w:tc>
        <w:tc>
          <w:tcPr>
            <w:tcW w:w="1916" w:type="dxa"/>
            <w:vAlign w:val="center"/>
          </w:tcPr>
          <w:p w14:paraId="25DC6B53">
            <w:pPr>
              <w:pStyle w:val="13"/>
            </w:pPr>
            <w:r>
              <w:t>城乡义务教育公用经费管理办法</w:t>
            </w:r>
          </w:p>
        </w:tc>
      </w:tr>
    </w:tbl>
    <w:p w14:paraId="6DE814A6">
      <w:pPr>
        <w:sectPr>
          <w:pgSz w:w="16840" w:h="11900" w:orient="landscape"/>
          <w:pgMar w:top="1361" w:right="1020" w:bottom="1134" w:left="1020" w:header="720" w:footer="720" w:gutter="0"/>
          <w:cols w:space="720" w:num="1"/>
        </w:sectPr>
      </w:pPr>
    </w:p>
    <w:p w14:paraId="5D815AA8">
      <w:pPr>
        <w:spacing w:before="0" w:after="0"/>
        <w:ind w:firstLine="560"/>
        <w:jc w:val="left"/>
        <w:outlineLvl w:val="9"/>
      </w:pPr>
      <w:r>
        <w:rPr>
          <w:rFonts w:ascii="方正仿宋_GBK" w:hAnsi="方正仿宋_GBK" w:eastAsia="方正仿宋_GBK" w:cs="方正仿宋_GBK"/>
          <w:b/>
          <w:color w:val="000000"/>
          <w:sz w:val="28"/>
        </w:rPr>
        <w:t>32、县级配套/尹村校区学前教育幼儿资助绩效目标表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31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C50C6">
            <w:pPr>
              <w:pStyle w:val="14"/>
            </w:pPr>
            <w:r>
              <w:t>单位：万元</w:t>
            </w:r>
          </w:p>
        </w:tc>
      </w:tr>
      <w:tr w14:paraId="543C5D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6A61EE">
            <w:pPr>
              <w:pStyle w:val="11"/>
            </w:pPr>
            <w:r>
              <w:t>项目编码</w:t>
            </w:r>
          </w:p>
        </w:tc>
        <w:tc>
          <w:tcPr>
            <w:tcW w:w="5103" w:type="dxa"/>
            <w:gridSpan w:val="2"/>
            <w:vAlign w:val="center"/>
          </w:tcPr>
          <w:p w14:paraId="6F86E8CB">
            <w:pPr>
              <w:pStyle w:val="13"/>
            </w:pPr>
            <w:r>
              <w:t>13052525P000002100210</w:t>
            </w:r>
          </w:p>
        </w:tc>
        <w:tc>
          <w:tcPr>
            <w:tcW w:w="2835" w:type="dxa"/>
            <w:vAlign w:val="center"/>
          </w:tcPr>
          <w:p w14:paraId="7DFC0DCF">
            <w:pPr>
              <w:pStyle w:val="11"/>
            </w:pPr>
            <w:r>
              <w:t>项目名称</w:t>
            </w:r>
          </w:p>
        </w:tc>
        <w:tc>
          <w:tcPr>
            <w:tcW w:w="6095" w:type="dxa"/>
            <w:gridSpan w:val="3"/>
            <w:vAlign w:val="center"/>
          </w:tcPr>
          <w:p w14:paraId="23955FD9">
            <w:pPr>
              <w:pStyle w:val="13"/>
            </w:pPr>
            <w:r>
              <w:t>县级配套/尹村校区学前教育幼儿资助</w:t>
            </w:r>
          </w:p>
        </w:tc>
      </w:tr>
      <w:tr w14:paraId="4ACF4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D6D23">
            <w:pPr>
              <w:pStyle w:val="11"/>
            </w:pPr>
            <w:r>
              <w:t>预算规模及资金用途</w:t>
            </w:r>
          </w:p>
        </w:tc>
        <w:tc>
          <w:tcPr>
            <w:tcW w:w="2268" w:type="dxa"/>
            <w:vAlign w:val="center"/>
          </w:tcPr>
          <w:p w14:paraId="553969D5">
            <w:pPr>
              <w:pStyle w:val="11"/>
            </w:pPr>
            <w:r>
              <w:t>预算数</w:t>
            </w:r>
          </w:p>
        </w:tc>
        <w:tc>
          <w:tcPr>
            <w:tcW w:w="2835" w:type="dxa"/>
            <w:vAlign w:val="center"/>
          </w:tcPr>
          <w:p w14:paraId="74C14E44">
            <w:pPr>
              <w:pStyle w:val="13"/>
            </w:pPr>
            <w:r>
              <w:t>0.84</w:t>
            </w:r>
          </w:p>
        </w:tc>
        <w:tc>
          <w:tcPr>
            <w:tcW w:w="2835" w:type="dxa"/>
            <w:vAlign w:val="center"/>
          </w:tcPr>
          <w:p w14:paraId="4D5A1371">
            <w:pPr>
              <w:pStyle w:val="11"/>
            </w:pPr>
            <w:r>
              <w:t>其中：财政    资金</w:t>
            </w:r>
          </w:p>
        </w:tc>
        <w:tc>
          <w:tcPr>
            <w:tcW w:w="2551" w:type="dxa"/>
            <w:vAlign w:val="center"/>
          </w:tcPr>
          <w:p w14:paraId="62907812">
            <w:pPr>
              <w:pStyle w:val="13"/>
            </w:pPr>
            <w:r>
              <w:t>0.84</w:t>
            </w:r>
          </w:p>
        </w:tc>
        <w:tc>
          <w:tcPr>
            <w:tcW w:w="2268" w:type="dxa"/>
            <w:vAlign w:val="center"/>
          </w:tcPr>
          <w:p w14:paraId="0AF08CD6">
            <w:pPr>
              <w:pStyle w:val="11"/>
            </w:pPr>
            <w:r>
              <w:t>其他资金</w:t>
            </w:r>
          </w:p>
        </w:tc>
        <w:tc>
          <w:tcPr>
            <w:tcW w:w="1276" w:type="dxa"/>
            <w:vAlign w:val="center"/>
          </w:tcPr>
          <w:p w14:paraId="777A3ADD">
            <w:pPr>
              <w:pStyle w:val="13"/>
            </w:pPr>
            <w:r>
              <w:t xml:space="preserve"> </w:t>
            </w:r>
          </w:p>
        </w:tc>
      </w:tr>
      <w:tr w14:paraId="73060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50DED"/>
        </w:tc>
        <w:tc>
          <w:tcPr>
            <w:tcW w:w="14033" w:type="dxa"/>
            <w:gridSpan w:val="6"/>
            <w:vAlign w:val="center"/>
          </w:tcPr>
          <w:p w14:paraId="6A508C83">
            <w:pPr>
              <w:pStyle w:val="13"/>
            </w:pPr>
            <w:r>
              <w:t>保障落实建档立卡及家庭经济困难儿童资助所需资金，确保建档立卡等家庭经济困难幼儿优先获得资助</w:t>
            </w:r>
          </w:p>
        </w:tc>
      </w:tr>
      <w:tr w14:paraId="6CE2E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F67E2">
            <w:pPr>
              <w:pStyle w:val="11"/>
            </w:pPr>
            <w:r>
              <w:t>资金支出计划（%）</w:t>
            </w:r>
          </w:p>
        </w:tc>
        <w:tc>
          <w:tcPr>
            <w:tcW w:w="5103" w:type="dxa"/>
            <w:gridSpan w:val="2"/>
            <w:vAlign w:val="center"/>
          </w:tcPr>
          <w:p w14:paraId="3A7E8F18">
            <w:pPr>
              <w:pStyle w:val="11"/>
            </w:pPr>
            <w:r>
              <w:t>3月底</w:t>
            </w:r>
          </w:p>
        </w:tc>
        <w:tc>
          <w:tcPr>
            <w:tcW w:w="2835" w:type="dxa"/>
            <w:vAlign w:val="center"/>
          </w:tcPr>
          <w:p w14:paraId="296347CB">
            <w:pPr>
              <w:pStyle w:val="11"/>
            </w:pPr>
            <w:r>
              <w:t>6月底</w:t>
            </w:r>
          </w:p>
        </w:tc>
        <w:tc>
          <w:tcPr>
            <w:tcW w:w="2551" w:type="dxa"/>
            <w:vAlign w:val="center"/>
          </w:tcPr>
          <w:p w14:paraId="2378283B">
            <w:pPr>
              <w:pStyle w:val="11"/>
            </w:pPr>
            <w:r>
              <w:t>10月底</w:t>
            </w:r>
          </w:p>
        </w:tc>
        <w:tc>
          <w:tcPr>
            <w:tcW w:w="3544" w:type="dxa"/>
            <w:gridSpan w:val="2"/>
            <w:vAlign w:val="center"/>
          </w:tcPr>
          <w:p w14:paraId="5A8C9902">
            <w:pPr>
              <w:pStyle w:val="11"/>
            </w:pPr>
            <w:r>
              <w:t>12月底</w:t>
            </w:r>
          </w:p>
        </w:tc>
      </w:tr>
      <w:tr w14:paraId="4D7CE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E132CE"/>
        </w:tc>
        <w:tc>
          <w:tcPr>
            <w:tcW w:w="5103" w:type="dxa"/>
            <w:gridSpan w:val="2"/>
            <w:vAlign w:val="center"/>
          </w:tcPr>
          <w:p w14:paraId="2E864DF4">
            <w:pPr>
              <w:pStyle w:val="12"/>
            </w:pPr>
            <w:r>
              <w:t>25%</w:t>
            </w:r>
          </w:p>
        </w:tc>
        <w:tc>
          <w:tcPr>
            <w:tcW w:w="2835" w:type="dxa"/>
            <w:vAlign w:val="center"/>
          </w:tcPr>
          <w:p w14:paraId="64A0DFAD">
            <w:pPr>
              <w:pStyle w:val="12"/>
            </w:pPr>
            <w:r>
              <w:t>50%</w:t>
            </w:r>
          </w:p>
        </w:tc>
        <w:tc>
          <w:tcPr>
            <w:tcW w:w="2551" w:type="dxa"/>
            <w:vAlign w:val="center"/>
          </w:tcPr>
          <w:p w14:paraId="707196E9">
            <w:pPr>
              <w:pStyle w:val="12"/>
            </w:pPr>
            <w:r>
              <w:t>75%</w:t>
            </w:r>
          </w:p>
        </w:tc>
        <w:tc>
          <w:tcPr>
            <w:tcW w:w="3544" w:type="dxa"/>
            <w:gridSpan w:val="2"/>
            <w:vAlign w:val="center"/>
          </w:tcPr>
          <w:p w14:paraId="211C3596">
            <w:pPr>
              <w:pStyle w:val="12"/>
            </w:pPr>
            <w:r>
              <w:t>100%</w:t>
            </w:r>
          </w:p>
        </w:tc>
      </w:tr>
      <w:tr w14:paraId="45D98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55FDF">
            <w:pPr>
              <w:pStyle w:val="11"/>
            </w:pPr>
            <w:r>
              <w:t>绩效目标</w:t>
            </w:r>
          </w:p>
        </w:tc>
        <w:tc>
          <w:tcPr>
            <w:tcW w:w="14033" w:type="dxa"/>
            <w:gridSpan w:val="6"/>
            <w:vAlign w:val="center"/>
          </w:tcPr>
          <w:p w14:paraId="3C95065C">
            <w:pPr>
              <w:pStyle w:val="13"/>
            </w:pPr>
            <w:r>
              <w:t>1.保障落实建档立卡及家庭经济困难儿童资助所需资金，确保建档立卡等家庭经济困难幼儿优先获得资助</w:t>
            </w:r>
          </w:p>
          <w:p w14:paraId="7D10A0F6">
            <w:pPr>
              <w:pStyle w:val="13"/>
            </w:pPr>
            <w:r>
              <w:t>2.保证本年度资助经费足额落实到位，符合享受资助条件的学生应助尽助。</w:t>
            </w:r>
          </w:p>
        </w:tc>
      </w:tr>
    </w:tbl>
    <w:p w14:paraId="3B21BF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30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3F1B5">
            <w:pPr>
              <w:pStyle w:val="11"/>
            </w:pPr>
            <w:r>
              <w:t>一级指标</w:t>
            </w:r>
          </w:p>
        </w:tc>
        <w:tc>
          <w:tcPr>
            <w:tcW w:w="2268" w:type="dxa"/>
            <w:vAlign w:val="center"/>
          </w:tcPr>
          <w:p w14:paraId="0F1E3EA8">
            <w:pPr>
              <w:pStyle w:val="11"/>
            </w:pPr>
            <w:r>
              <w:t>二级指标</w:t>
            </w:r>
          </w:p>
        </w:tc>
        <w:tc>
          <w:tcPr>
            <w:tcW w:w="2835" w:type="dxa"/>
            <w:vAlign w:val="center"/>
          </w:tcPr>
          <w:p w14:paraId="26128106">
            <w:pPr>
              <w:pStyle w:val="11"/>
            </w:pPr>
            <w:r>
              <w:t>三级指标</w:t>
            </w:r>
          </w:p>
        </w:tc>
        <w:tc>
          <w:tcPr>
            <w:tcW w:w="5386" w:type="dxa"/>
            <w:vAlign w:val="center"/>
          </w:tcPr>
          <w:p w14:paraId="543FBB77">
            <w:pPr>
              <w:pStyle w:val="11"/>
            </w:pPr>
            <w:r>
              <w:t>绩效指标描述</w:t>
            </w:r>
          </w:p>
        </w:tc>
        <w:tc>
          <w:tcPr>
            <w:tcW w:w="2268" w:type="dxa"/>
            <w:vAlign w:val="center"/>
          </w:tcPr>
          <w:p w14:paraId="7FA76293">
            <w:pPr>
              <w:pStyle w:val="11"/>
            </w:pPr>
            <w:r>
              <w:t>指标值</w:t>
            </w:r>
          </w:p>
        </w:tc>
        <w:tc>
          <w:tcPr>
            <w:tcW w:w="1276" w:type="dxa"/>
            <w:vAlign w:val="center"/>
          </w:tcPr>
          <w:p w14:paraId="0DCFFEE8">
            <w:pPr>
              <w:pStyle w:val="11"/>
            </w:pPr>
            <w:r>
              <w:t>指标值确定依据</w:t>
            </w:r>
          </w:p>
        </w:tc>
      </w:tr>
      <w:tr w14:paraId="5E6FA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E7CDD">
            <w:pPr>
              <w:pStyle w:val="12"/>
            </w:pPr>
            <w:r>
              <w:t>产出指标</w:t>
            </w:r>
          </w:p>
        </w:tc>
        <w:tc>
          <w:tcPr>
            <w:tcW w:w="2268" w:type="dxa"/>
            <w:vAlign w:val="center"/>
          </w:tcPr>
          <w:p w14:paraId="60C6AFEE">
            <w:pPr>
              <w:pStyle w:val="13"/>
            </w:pPr>
            <w:r>
              <w:t>数量指标</w:t>
            </w:r>
          </w:p>
        </w:tc>
        <w:tc>
          <w:tcPr>
            <w:tcW w:w="2835" w:type="dxa"/>
            <w:vAlign w:val="center"/>
          </w:tcPr>
          <w:p w14:paraId="491D9694">
            <w:pPr>
              <w:pStyle w:val="13"/>
            </w:pPr>
            <w:r>
              <w:t>幼儿园资助标准</w:t>
            </w:r>
          </w:p>
        </w:tc>
        <w:tc>
          <w:tcPr>
            <w:tcW w:w="5386" w:type="dxa"/>
            <w:vAlign w:val="center"/>
          </w:tcPr>
          <w:p w14:paraId="5DBDEAA7">
            <w:pPr>
              <w:pStyle w:val="13"/>
            </w:pPr>
            <w:r>
              <w:t>按照幼儿园资助标准1000元/生/年</w:t>
            </w:r>
          </w:p>
        </w:tc>
        <w:tc>
          <w:tcPr>
            <w:tcW w:w="2268" w:type="dxa"/>
            <w:vAlign w:val="center"/>
          </w:tcPr>
          <w:p w14:paraId="00D4440D">
            <w:pPr>
              <w:pStyle w:val="13"/>
            </w:pPr>
            <w:r>
              <w:t>1000元/生/年</w:t>
            </w:r>
          </w:p>
        </w:tc>
        <w:tc>
          <w:tcPr>
            <w:tcW w:w="1276" w:type="dxa"/>
            <w:vAlign w:val="center"/>
          </w:tcPr>
          <w:p w14:paraId="51198B14">
            <w:pPr>
              <w:pStyle w:val="13"/>
            </w:pPr>
            <w:r>
              <w:t>幼儿资助经费管理办法</w:t>
            </w:r>
          </w:p>
        </w:tc>
      </w:tr>
      <w:tr w14:paraId="4AD98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C04C5"/>
        </w:tc>
        <w:tc>
          <w:tcPr>
            <w:tcW w:w="2268" w:type="dxa"/>
            <w:vAlign w:val="center"/>
          </w:tcPr>
          <w:p w14:paraId="7DC053DA">
            <w:pPr>
              <w:pStyle w:val="13"/>
            </w:pPr>
            <w:r>
              <w:t>质量指标</w:t>
            </w:r>
          </w:p>
        </w:tc>
        <w:tc>
          <w:tcPr>
            <w:tcW w:w="2835" w:type="dxa"/>
            <w:vAlign w:val="center"/>
          </w:tcPr>
          <w:p w14:paraId="30556F43">
            <w:pPr>
              <w:pStyle w:val="13"/>
            </w:pPr>
            <w:r>
              <w:t>幼儿资助比例</w:t>
            </w:r>
          </w:p>
        </w:tc>
        <w:tc>
          <w:tcPr>
            <w:tcW w:w="5386" w:type="dxa"/>
            <w:vAlign w:val="center"/>
          </w:tcPr>
          <w:p w14:paraId="6AEE95D8">
            <w:pPr>
              <w:pStyle w:val="13"/>
            </w:pPr>
            <w:r>
              <w:t>按学前适龄在园儿童10%测算</w:t>
            </w:r>
          </w:p>
        </w:tc>
        <w:tc>
          <w:tcPr>
            <w:tcW w:w="2268" w:type="dxa"/>
            <w:vAlign w:val="center"/>
          </w:tcPr>
          <w:p w14:paraId="0BA4BDBB">
            <w:pPr>
              <w:pStyle w:val="13"/>
            </w:pPr>
            <w:r>
              <w:t>≥10%</w:t>
            </w:r>
          </w:p>
        </w:tc>
        <w:tc>
          <w:tcPr>
            <w:tcW w:w="1276" w:type="dxa"/>
            <w:vAlign w:val="center"/>
          </w:tcPr>
          <w:p w14:paraId="25D2A22A">
            <w:pPr>
              <w:pStyle w:val="13"/>
            </w:pPr>
            <w:r>
              <w:t>幼儿资助经费管理办法</w:t>
            </w:r>
          </w:p>
        </w:tc>
      </w:tr>
      <w:tr w14:paraId="6B45B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66D58"/>
        </w:tc>
        <w:tc>
          <w:tcPr>
            <w:tcW w:w="2268" w:type="dxa"/>
            <w:vAlign w:val="center"/>
          </w:tcPr>
          <w:p w14:paraId="7231DD04">
            <w:pPr>
              <w:pStyle w:val="13"/>
            </w:pPr>
            <w:r>
              <w:t>时效指标</w:t>
            </w:r>
          </w:p>
        </w:tc>
        <w:tc>
          <w:tcPr>
            <w:tcW w:w="2835" w:type="dxa"/>
            <w:vAlign w:val="center"/>
          </w:tcPr>
          <w:p w14:paraId="6A12B862">
            <w:pPr>
              <w:pStyle w:val="13"/>
            </w:pPr>
            <w:r>
              <w:t>学前教育资助制度落实情况</w:t>
            </w:r>
          </w:p>
        </w:tc>
        <w:tc>
          <w:tcPr>
            <w:tcW w:w="5386" w:type="dxa"/>
            <w:vAlign w:val="center"/>
          </w:tcPr>
          <w:p w14:paraId="7FF6F2F8">
            <w:pPr>
              <w:pStyle w:val="13"/>
            </w:pPr>
            <w:r>
              <w:t>符合享受资助条件的学生应助尽助</w:t>
            </w:r>
          </w:p>
        </w:tc>
        <w:tc>
          <w:tcPr>
            <w:tcW w:w="2268" w:type="dxa"/>
            <w:vAlign w:val="center"/>
          </w:tcPr>
          <w:p w14:paraId="5ADA58F6">
            <w:pPr>
              <w:pStyle w:val="13"/>
            </w:pPr>
            <w:r>
              <w:t>≥100%</w:t>
            </w:r>
          </w:p>
        </w:tc>
        <w:tc>
          <w:tcPr>
            <w:tcW w:w="1276" w:type="dxa"/>
            <w:vAlign w:val="center"/>
          </w:tcPr>
          <w:p w14:paraId="71E226FD">
            <w:pPr>
              <w:pStyle w:val="13"/>
            </w:pPr>
            <w:r>
              <w:t>幼儿资助经费管理办法</w:t>
            </w:r>
          </w:p>
        </w:tc>
      </w:tr>
      <w:tr w14:paraId="509BB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F9A79"/>
        </w:tc>
        <w:tc>
          <w:tcPr>
            <w:tcW w:w="2268" w:type="dxa"/>
            <w:vAlign w:val="center"/>
          </w:tcPr>
          <w:p w14:paraId="3ACA02C1">
            <w:pPr>
              <w:pStyle w:val="13"/>
            </w:pPr>
            <w:r>
              <w:t>成本指标</w:t>
            </w:r>
          </w:p>
        </w:tc>
        <w:tc>
          <w:tcPr>
            <w:tcW w:w="2835" w:type="dxa"/>
            <w:vAlign w:val="center"/>
          </w:tcPr>
          <w:p w14:paraId="1E0D2BA0">
            <w:pPr>
              <w:pStyle w:val="13"/>
            </w:pPr>
            <w:r>
              <w:t>资金拨付率</w:t>
            </w:r>
          </w:p>
        </w:tc>
        <w:tc>
          <w:tcPr>
            <w:tcW w:w="5386" w:type="dxa"/>
            <w:vAlign w:val="center"/>
          </w:tcPr>
          <w:p w14:paraId="13F9BE9C">
            <w:pPr>
              <w:pStyle w:val="13"/>
            </w:pPr>
            <w:r>
              <w:t>所有项目资金支付进度</w:t>
            </w:r>
          </w:p>
        </w:tc>
        <w:tc>
          <w:tcPr>
            <w:tcW w:w="2268" w:type="dxa"/>
            <w:vAlign w:val="center"/>
          </w:tcPr>
          <w:p w14:paraId="27641BCB">
            <w:pPr>
              <w:pStyle w:val="13"/>
            </w:pPr>
            <w:r>
              <w:t>≥100%</w:t>
            </w:r>
          </w:p>
        </w:tc>
        <w:tc>
          <w:tcPr>
            <w:tcW w:w="1276" w:type="dxa"/>
            <w:vAlign w:val="center"/>
          </w:tcPr>
          <w:p w14:paraId="79B55BB1">
            <w:pPr>
              <w:pStyle w:val="13"/>
            </w:pPr>
            <w:r>
              <w:t>幼儿资助经费管理办法</w:t>
            </w:r>
          </w:p>
        </w:tc>
      </w:tr>
      <w:tr w14:paraId="59FD1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CA29E2">
            <w:pPr>
              <w:pStyle w:val="12"/>
            </w:pPr>
            <w:r>
              <w:t>效益指标</w:t>
            </w:r>
          </w:p>
        </w:tc>
        <w:tc>
          <w:tcPr>
            <w:tcW w:w="2268" w:type="dxa"/>
            <w:vAlign w:val="center"/>
          </w:tcPr>
          <w:p w14:paraId="2A81B7AB">
            <w:pPr>
              <w:pStyle w:val="13"/>
            </w:pPr>
            <w:r>
              <w:t>可持续影响指标</w:t>
            </w:r>
          </w:p>
        </w:tc>
        <w:tc>
          <w:tcPr>
            <w:tcW w:w="2835" w:type="dxa"/>
            <w:vAlign w:val="center"/>
          </w:tcPr>
          <w:p w14:paraId="03696CC6">
            <w:pPr>
              <w:pStyle w:val="13"/>
            </w:pPr>
            <w:r>
              <w:t>幼儿园运转</w:t>
            </w:r>
          </w:p>
        </w:tc>
        <w:tc>
          <w:tcPr>
            <w:tcW w:w="5386" w:type="dxa"/>
            <w:vAlign w:val="center"/>
          </w:tcPr>
          <w:p w14:paraId="11840308">
            <w:pPr>
              <w:pStyle w:val="13"/>
            </w:pPr>
            <w:r>
              <w:t>幼儿受教育年限</w:t>
            </w:r>
          </w:p>
        </w:tc>
        <w:tc>
          <w:tcPr>
            <w:tcW w:w="2268" w:type="dxa"/>
            <w:vAlign w:val="center"/>
          </w:tcPr>
          <w:p w14:paraId="184B4A0F">
            <w:pPr>
              <w:pStyle w:val="13"/>
            </w:pPr>
            <w:r>
              <w:t>3年</w:t>
            </w:r>
          </w:p>
        </w:tc>
        <w:tc>
          <w:tcPr>
            <w:tcW w:w="1276" w:type="dxa"/>
            <w:vAlign w:val="center"/>
          </w:tcPr>
          <w:p w14:paraId="37652385">
            <w:pPr>
              <w:pStyle w:val="13"/>
            </w:pPr>
            <w:r>
              <w:t>幼儿资助经费管理办法</w:t>
            </w:r>
          </w:p>
        </w:tc>
      </w:tr>
      <w:tr w14:paraId="03B44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5D1662">
            <w:pPr>
              <w:pStyle w:val="12"/>
            </w:pPr>
            <w:r>
              <w:t>满意度指标</w:t>
            </w:r>
          </w:p>
        </w:tc>
        <w:tc>
          <w:tcPr>
            <w:tcW w:w="2268" w:type="dxa"/>
            <w:vAlign w:val="center"/>
          </w:tcPr>
          <w:p w14:paraId="0C2BE77A">
            <w:pPr>
              <w:pStyle w:val="13"/>
            </w:pPr>
            <w:r>
              <w:t>服务对象满意度指标</w:t>
            </w:r>
          </w:p>
        </w:tc>
        <w:tc>
          <w:tcPr>
            <w:tcW w:w="2835" w:type="dxa"/>
            <w:vAlign w:val="center"/>
          </w:tcPr>
          <w:p w14:paraId="777D2882">
            <w:pPr>
              <w:pStyle w:val="13"/>
            </w:pPr>
            <w:r>
              <w:t>受益幼儿家长及调查满意度</w:t>
            </w:r>
          </w:p>
        </w:tc>
        <w:tc>
          <w:tcPr>
            <w:tcW w:w="5386" w:type="dxa"/>
            <w:vAlign w:val="center"/>
          </w:tcPr>
          <w:p w14:paraId="6FC93846">
            <w:pPr>
              <w:pStyle w:val="13"/>
            </w:pPr>
            <w:r>
              <w:t>学生、教师及家长对学校保教保育工作满意度情况</w:t>
            </w:r>
          </w:p>
        </w:tc>
        <w:tc>
          <w:tcPr>
            <w:tcW w:w="2268" w:type="dxa"/>
            <w:vAlign w:val="center"/>
          </w:tcPr>
          <w:p w14:paraId="097BA14F">
            <w:pPr>
              <w:pStyle w:val="13"/>
            </w:pPr>
            <w:r>
              <w:t>≥95%</w:t>
            </w:r>
          </w:p>
        </w:tc>
        <w:tc>
          <w:tcPr>
            <w:tcW w:w="1276" w:type="dxa"/>
            <w:vAlign w:val="center"/>
          </w:tcPr>
          <w:p w14:paraId="405A5C0E">
            <w:pPr>
              <w:pStyle w:val="13"/>
            </w:pPr>
            <w:r>
              <w:t>幼儿资助经费管理办法</w:t>
            </w:r>
          </w:p>
        </w:tc>
      </w:tr>
    </w:tbl>
    <w:p w14:paraId="447F2F94">
      <w:pPr>
        <w:sectPr>
          <w:pgSz w:w="16840" w:h="11900" w:orient="landscape"/>
          <w:pgMar w:top="1361" w:right="1020" w:bottom="1134" w:left="1020" w:header="720" w:footer="720" w:gutter="0"/>
          <w:cols w:space="720" w:num="1"/>
        </w:sectPr>
      </w:pPr>
    </w:p>
    <w:p w14:paraId="40761898">
      <w:pPr>
        <w:spacing w:before="0" w:after="0"/>
        <w:ind w:firstLine="560"/>
        <w:jc w:val="left"/>
        <w:outlineLvl w:val="9"/>
      </w:pPr>
      <w:r>
        <w:rPr>
          <w:rFonts w:ascii="方正仿宋_GBK" w:hAnsi="方正仿宋_GBK" w:eastAsia="方正仿宋_GBK" w:cs="方正仿宋_GBK"/>
          <w:b/>
          <w:color w:val="000000"/>
          <w:sz w:val="28"/>
        </w:rPr>
        <w:t>33、县级资金/尹村校区幼儿园公用经费绩效目标表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46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21D52">
            <w:pPr>
              <w:pStyle w:val="14"/>
            </w:pPr>
            <w:r>
              <w:t>单位：万元</w:t>
            </w:r>
          </w:p>
        </w:tc>
      </w:tr>
      <w:tr w14:paraId="49281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40040D">
            <w:pPr>
              <w:pStyle w:val="11"/>
            </w:pPr>
            <w:r>
              <w:t>项目编码</w:t>
            </w:r>
          </w:p>
        </w:tc>
        <w:tc>
          <w:tcPr>
            <w:tcW w:w="5103" w:type="dxa"/>
            <w:gridSpan w:val="2"/>
            <w:vAlign w:val="center"/>
          </w:tcPr>
          <w:p w14:paraId="1EF54D5F">
            <w:pPr>
              <w:pStyle w:val="13"/>
            </w:pPr>
            <w:r>
              <w:t>13052525P00875610085B</w:t>
            </w:r>
          </w:p>
        </w:tc>
        <w:tc>
          <w:tcPr>
            <w:tcW w:w="2835" w:type="dxa"/>
            <w:vAlign w:val="center"/>
          </w:tcPr>
          <w:p w14:paraId="6C924C3D">
            <w:pPr>
              <w:pStyle w:val="11"/>
            </w:pPr>
            <w:r>
              <w:t>项目名称</w:t>
            </w:r>
          </w:p>
        </w:tc>
        <w:tc>
          <w:tcPr>
            <w:tcW w:w="6095" w:type="dxa"/>
            <w:gridSpan w:val="3"/>
            <w:vAlign w:val="center"/>
          </w:tcPr>
          <w:p w14:paraId="2011D27E">
            <w:pPr>
              <w:pStyle w:val="13"/>
            </w:pPr>
            <w:r>
              <w:t>县级资金/尹村校区幼儿园公用经费</w:t>
            </w:r>
          </w:p>
        </w:tc>
      </w:tr>
      <w:tr w14:paraId="17D68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0C244">
            <w:pPr>
              <w:pStyle w:val="11"/>
            </w:pPr>
            <w:r>
              <w:t>预算规模及资金用途</w:t>
            </w:r>
          </w:p>
        </w:tc>
        <w:tc>
          <w:tcPr>
            <w:tcW w:w="2268" w:type="dxa"/>
            <w:vAlign w:val="center"/>
          </w:tcPr>
          <w:p w14:paraId="4E85A45B">
            <w:pPr>
              <w:pStyle w:val="11"/>
            </w:pPr>
            <w:r>
              <w:t>预算数</w:t>
            </w:r>
          </w:p>
        </w:tc>
        <w:tc>
          <w:tcPr>
            <w:tcW w:w="2835" w:type="dxa"/>
            <w:vAlign w:val="center"/>
          </w:tcPr>
          <w:p w14:paraId="523554DD">
            <w:pPr>
              <w:pStyle w:val="13"/>
            </w:pPr>
            <w:r>
              <w:t>27.00</w:t>
            </w:r>
          </w:p>
        </w:tc>
        <w:tc>
          <w:tcPr>
            <w:tcW w:w="2835" w:type="dxa"/>
            <w:vAlign w:val="center"/>
          </w:tcPr>
          <w:p w14:paraId="66507CA5">
            <w:pPr>
              <w:pStyle w:val="11"/>
            </w:pPr>
            <w:r>
              <w:t>其中：财政    资金</w:t>
            </w:r>
          </w:p>
        </w:tc>
        <w:tc>
          <w:tcPr>
            <w:tcW w:w="2551" w:type="dxa"/>
            <w:vAlign w:val="center"/>
          </w:tcPr>
          <w:p w14:paraId="0194746B">
            <w:pPr>
              <w:pStyle w:val="13"/>
            </w:pPr>
            <w:r>
              <w:t>27.00</w:t>
            </w:r>
          </w:p>
        </w:tc>
        <w:tc>
          <w:tcPr>
            <w:tcW w:w="2268" w:type="dxa"/>
            <w:vAlign w:val="center"/>
          </w:tcPr>
          <w:p w14:paraId="062AD2CE">
            <w:pPr>
              <w:pStyle w:val="11"/>
            </w:pPr>
            <w:r>
              <w:t>其他资金</w:t>
            </w:r>
          </w:p>
        </w:tc>
        <w:tc>
          <w:tcPr>
            <w:tcW w:w="1276" w:type="dxa"/>
            <w:vAlign w:val="center"/>
          </w:tcPr>
          <w:p w14:paraId="122F6D7F">
            <w:pPr>
              <w:pStyle w:val="13"/>
            </w:pPr>
            <w:r>
              <w:t xml:space="preserve"> </w:t>
            </w:r>
          </w:p>
        </w:tc>
      </w:tr>
      <w:tr w14:paraId="1F9B4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D8C3A4"/>
        </w:tc>
        <w:tc>
          <w:tcPr>
            <w:tcW w:w="14033" w:type="dxa"/>
            <w:gridSpan w:val="6"/>
            <w:vAlign w:val="center"/>
          </w:tcPr>
          <w:p w14:paraId="27DB3E67">
            <w:pPr>
              <w:pStyle w:val="13"/>
            </w:pPr>
            <w:r>
              <w:t>保障幼儿园正常运转，完成教育教学活动和其他日常工作任务等方面的费用支出。</w:t>
            </w:r>
          </w:p>
        </w:tc>
      </w:tr>
      <w:tr w14:paraId="3B600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31BC1">
            <w:pPr>
              <w:pStyle w:val="11"/>
            </w:pPr>
            <w:r>
              <w:t>资金支出计划（%）</w:t>
            </w:r>
          </w:p>
        </w:tc>
        <w:tc>
          <w:tcPr>
            <w:tcW w:w="5103" w:type="dxa"/>
            <w:gridSpan w:val="2"/>
            <w:vAlign w:val="center"/>
          </w:tcPr>
          <w:p w14:paraId="7CCBA8BE">
            <w:pPr>
              <w:pStyle w:val="11"/>
            </w:pPr>
            <w:r>
              <w:t>3月底</w:t>
            </w:r>
          </w:p>
        </w:tc>
        <w:tc>
          <w:tcPr>
            <w:tcW w:w="2835" w:type="dxa"/>
            <w:vAlign w:val="center"/>
          </w:tcPr>
          <w:p w14:paraId="421AE0AD">
            <w:pPr>
              <w:pStyle w:val="11"/>
            </w:pPr>
            <w:r>
              <w:t>6月底</w:t>
            </w:r>
          </w:p>
        </w:tc>
        <w:tc>
          <w:tcPr>
            <w:tcW w:w="2551" w:type="dxa"/>
            <w:vAlign w:val="center"/>
          </w:tcPr>
          <w:p w14:paraId="3C0B90B7">
            <w:pPr>
              <w:pStyle w:val="11"/>
            </w:pPr>
            <w:r>
              <w:t>10月底</w:t>
            </w:r>
          </w:p>
        </w:tc>
        <w:tc>
          <w:tcPr>
            <w:tcW w:w="3544" w:type="dxa"/>
            <w:gridSpan w:val="2"/>
            <w:vAlign w:val="center"/>
          </w:tcPr>
          <w:p w14:paraId="4215019F">
            <w:pPr>
              <w:pStyle w:val="11"/>
            </w:pPr>
            <w:r>
              <w:t>12月底</w:t>
            </w:r>
          </w:p>
        </w:tc>
      </w:tr>
      <w:tr w14:paraId="7813F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2D8560"/>
        </w:tc>
        <w:tc>
          <w:tcPr>
            <w:tcW w:w="5103" w:type="dxa"/>
            <w:gridSpan w:val="2"/>
            <w:vAlign w:val="center"/>
          </w:tcPr>
          <w:p w14:paraId="2FFBABD5">
            <w:pPr>
              <w:pStyle w:val="12"/>
            </w:pPr>
            <w:r>
              <w:t>25%</w:t>
            </w:r>
          </w:p>
        </w:tc>
        <w:tc>
          <w:tcPr>
            <w:tcW w:w="2835" w:type="dxa"/>
            <w:vAlign w:val="center"/>
          </w:tcPr>
          <w:p w14:paraId="755E2837">
            <w:pPr>
              <w:pStyle w:val="12"/>
            </w:pPr>
            <w:r>
              <w:t>50%</w:t>
            </w:r>
          </w:p>
        </w:tc>
        <w:tc>
          <w:tcPr>
            <w:tcW w:w="2551" w:type="dxa"/>
            <w:vAlign w:val="center"/>
          </w:tcPr>
          <w:p w14:paraId="219188D1">
            <w:pPr>
              <w:pStyle w:val="12"/>
            </w:pPr>
            <w:r>
              <w:t>75%</w:t>
            </w:r>
          </w:p>
        </w:tc>
        <w:tc>
          <w:tcPr>
            <w:tcW w:w="3544" w:type="dxa"/>
            <w:gridSpan w:val="2"/>
            <w:vAlign w:val="center"/>
          </w:tcPr>
          <w:p w14:paraId="091974F1">
            <w:pPr>
              <w:pStyle w:val="12"/>
            </w:pPr>
            <w:r>
              <w:t>100%</w:t>
            </w:r>
          </w:p>
        </w:tc>
      </w:tr>
      <w:tr w14:paraId="74E39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0EFDA">
            <w:pPr>
              <w:pStyle w:val="11"/>
            </w:pPr>
            <w:r>
              <w:t>绩效目标</w:t>
            </w:r>
          </w:p>
        </w:tc>
        <w:tc>
          <w:tcPr>
            <w:tcW w:w="14033" w:type="dxa"/>
            <w:gridSpan w:val="6"/>
            <w:vAlign w:val="center"/>
          </w:tcPr>
          <w:p w14:paraId="2335F84E">
            <w:pPr>
              <w:pStyle w:val="13"/>
            </w:pPr>
            <w:r>
              <w:t>1.保障幼儿园正常运转，完成教育教学活动和其他日常工作任务等方面的费用支出。</w:t>
            </w:r>
          </w:p>
        </w:tc>
      </w:tr>
    </w:tbl>
    <w:p w14:paraId="1A880F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14:paraId="7F9F5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A628D">
            <w:pPr>
              <w:pStyle w:val="11"/>
            </w:pPr>
            <w:r>
              <w:t>一级指标</w:t>
            </w:r>
          </w:p>
        </w:tc>
        <w:tc>
          <w:tcPr>
            <w:tcW w:w="2268" w:type="dxa"/>
            <w:vAlign w:val="center"/>
          </w:tcPr>
          <w:p w14:paraId="14E1B586">
            <w:pPr>
              <w:pStyle w:val="11"/>
            </w:pPr>
            <w:r>
              <w:t>二级指标</w:t>
            </w:r>
          </w:p>
        </w:tc>
        <w:tc>
          <w:tcPr>
            <w:tcW w:w="2835" w:type="dxa"/>
            <w:vAlign w:val="center"/>
          </w:tcPr>
          <w:p w14:paraId="568AB49A">
            <w:pPr>
              <w:pStyle w:val="11"/>
            </w:pPr>
            <w:r>
              <w:t>三级指标</w:t>
            </w:r>
          </w:p>
        </w:tc>
        <w:tc>
          <w:tcPr>
            <w:tcW w:w="5386" w:type="dxa"/>
            <w:vAlign w:val="center"/>
          </w:tcPr>
          <w:p w14:paraId="59D3AEBB">
            <w:pPr>
              <w:pStyle w:val="11"/>
            </w:pPr>
            <w:r>
              <w:t>绩效指标描述</w:t>
            </w:r>
          </w:p>
        </w:tc>
        <w:tc>
          <w:tcPr>
            <w:tcW w:w="1793" w:type="dxa"/>
            <w:vAlign w:val="center"/>
          </w:tcPr>
          <w:p w14:paraId="3829027A">
            <w:pPr>
              <w:pStyle w:val="11"/>
            </w:pPr>
            <w:r>
              <w:t>指标值</w:t>
            </w:r>
          </w:p>
        </w:tc>
        <w:tc>
          <w:tcPr>
            <w:tcW w:w="1751" w:type="dxa"/>
            <w:vAlign w:val="center"/>
          </w:tcPr>
          <w:p w14:paraId="44D677B3">
            <w:pPr>
              <w:pStyle w:val="11"/>
            </w:pPr>
            <w:r>
              <w:t>指标值确定依据</w:t>
            </w:r>
          </w:p>
        </w:tc>
      </w:tr>
      <w:tr w14:paraId="78EDB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62C3B">
            <w:pPr>
              <w:pStyle w:val="12"/>
            </w:pPr>
            <w:r>
              <w:t>产出指标</w:t>
            </w:r>
          </w:p>
        </w:tc>
        <w:tc>
          <w:tcPr>
            <w:tcW w:w="2268" w:type="dxa"/>
            <w:vAlign w:val="center"/>
          </w:tcPr>
          <w:p w14:paraId="6814DEF8">
            <w:pPr>
              <w:pStyle w:val="13"/>
            </w:pPr>
            <w:r>
              <w:t>数量指标</w:t>
            </w:r>
          </w:p>
        </w:tc>
        <w:tc>
          <w:tcPr>
            <w:tcW w:w="2835" w:type="dxa"/>
            <w:vAlign w:val="center"/>
          </w:tcPr>
          <w:p w14:paraId="5F7A0C6A">
            <w:pPr>
              <w:pStyle w:val="13"/>
            </w:pPr>
            <w:r>
              <w:t>适龄在园生</w:t>
            </w:r>
          </w:p>
        </w:tc>
        <w:tc>
          <w:tcPr>
            <w:tcW w:w="5386" w:type="dxa"/>
            <w:vAlign w:val="center"/>
          </w:tcPr>
          <w:p w14:paraId="602262E1">
            <w:pPr>
              <w:pStyle w:val="13"/>
            </w:pPr>
            <w:r>
              <w:t>适龄在园学生人数</w:t>
            </w:r>
          </w:p>
        </w:tc>
        <w:tc>
          <w:tcPr>
            <w:tcW w:w="1793" w:type="dxa"/>
            <w:vAlign w:val="center"/>
          </w:tcPr>
          <w:p w14:paraId="297F1526">
            <w:pPr>
              <w:pStyle w:val="13"/>
            </w:pPr>
            <w:r>
              <w:t>266人</w:t>
            </w:r>
          </w:p>
        </w:tc>
        <w:tc>
          <w:tcPr>
            <w:tcW w:w="1751" w:type="dxa"/>
            <w:vAlign w:val="center"/>
          </w:tcPr>
          <w:p w14:paraId="1BDE3445">
            <w:pPr>
              <w:pStyle w:val="13"/>
            </w:pPr>
            <w:r>
              <w:t>公办幼儿园生均公用经费管理办法</w:t>
            </w:r>
          </w:p>
        </w:tc>
      </w:tr>
      <w:tr w14:paraId="19499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11996"/>
        </w:tc>
        <w:tc>
          <w:tcPr>
            <w:tcW w:w="2268" w:type="dxa"/>
            <w:vAlign w:val="center"/>
          </w:tcPr>
          <w:p w14:paraId="4EBAAFB4">
            <w:pPr>
              <w:pStyle w:val="13"/>
            </w:pPr>
            <w:r>
              <w:t>质量指标</w:t>
            </w:r>
          </w:p>
        </w:tc>
        <w:tc>
          <w:tcPr>
            <w:tcW w:w="2835" w:type="dxa"/>
            <w:vAlign w:val="center"/>
          </w:tcPr>
          <w:p w14:paraId="39F0995E">
            <w:pPr>
              <w:pStyle w:val="13"/>
            </w:pPr>
            <w:r>
              <w:t>预算控制率</w:t>
            </w:r>
          </w:p>
        </w:tc>
        <w:tc>
          <w:tcPr>
            <w:tcW w:w="5386" w:type="dxa"/>
            <w:vAlign w:val="center"/>
          </w:tcPr>
          <w:p w14:paraId="5B4CAC5A">
            <w:pPr>
              <w:pStyle w:val="13"/>
            </w:pPr>
            <w:r>
              <w:t>预算执行</w:t>
            </w:r>
          </w:p>
        </w:tc>
        <w:tc>
          <w:tcPr>
            <w:tcW w:w="1793" w:type="dxa"/>
            <w:vAlign w:val="center"/>
          </w:tcPr>
          <w:p w14:paraId="6B223612">
            <w:pPr>
              <w:pStyle w:val="13"/>
            </w:pPr>
            <w:r>
              <w:t>≥95%</w:t>
            </w:r>
          </w:p>
        </w:tc>
        <w:tc>
          <w:tcPr>
            <w:tcW w:w="1751" w:type="dxa"/>
            <w:vAlign w:val="center"/>
          </w:tcPr>
          <w:p w14:paraId="276BA7B2">
            <w:pPr>
              <w:pStyle w:val="13"/>
            </w:pPr>
            <w:r>
              <w:t>公办幼儿园生均公用经费管理办法</w:t>
            </w:r>
          </w:p>
        </w:tc>
      </w:tr>
      <w:tr w14:paraId="2BB2E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1C03C"/>
        </w:tc>
        <w:tc>
          <w:tcPr>
            <w:tcW w:w="2268" w:type="dxa"/>
            <w:vAlign w:val="center"/>
          </w:tcPr>
          <w:p w14:paraId="049BC28A">
            <w:pPr>
              <w:pStyle w:val="13"/>
            </w:pPr>
            <w:r>
              <w:t>时效指标</w:t>
            </w:r>
          </w:p>
        </w:tc>
        <w:tc>
          <w:tcPr>
            <w:tcW w:w="2835" w:type="dxa"/>
            <w:vAlign w:val="center"/>
          </w:tcPr>
          <w:p w14:paraId="1BA469A8">
            <w:pPr>
              <w:pStyle w:val="13"/>
            </w:pPr>
            <w:r>
              <w:t>资金支付率</w:t>
            </w:r>
          </w:p>
        </w:tc>
        <w:tc>
          <w:tcPr>
            <w:tcW w:w="5386" w:type="dxa"/>
            <w:vAlign w:val="center"/>
          </w:tcPr>
          <w:p w14:paraId="2645E5A6">
            <w:pPr>
              <w:pStyle w:val="13"/>
            </w:pPr>
            <w:r>
              <w:t>按照序时进度完成资金支付</w:t>
            </w:r>
          </w:p>
        </w:tc>
        <w:tc>
          <w:tcPr>
            <w:tcW w:w="1793" w:type="dxa"/>
            <w:vAlign w:val="center"/>
          </w:tcPr>
          <w:p w14:paraId="16E9F67F">
            <w:pPr>
              <w:pStyle w:val="13"/>
            </w:pPr>
            <w:r>
              <w:t>≥100%</w:t>
            </w:r>
          </w:p>
        </w:tc>
        <w:tc>
          <w:tcPr>
            <w:tcW w:w="1751" w:type="dxa"/>
            <w:vAlign w:val="center"/>
          </w:tcPr>
          <w:p w14:paraId="16175E1C">
            <w:pPr>
              <w:pStyle w:val="13"/>
            </w:pPr>
            <w:r>
              <w:t>公办幼儿园生均公用经费管理办法</w:t>
            </w:r>
          </w:p>
        </w:tc>
      </w:tr>
      <w:tr w14:paraId="54DE5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8151C"/>
        </w:tc>
        <w:tc>
          <w:tcPr>
            <w:tcW w:w="2268" w:type="dxa"/>
            <w:vAlign w:val="center"/>
          </w:tcPr>
          <w:p w14:paraId="53402AA0">
            <w:pPr>
              <w:pStyle w:val="13"/>
            </w:pPr>
            <w:r>
              <w:t>成本指标</w:t>
            </w:r>
          </w:p>
        </w:tc>
        <w:tc>
          <w:tcPr>
            <w:tcW w:w="2835" w:type="dxa"/>
            <w:vAlign w:val="center"/>
          </w:tcPr>
          <w:p w14:paraId="75AB8C95">
            <w:pPr>
              <w:pStyle w:val="13"/>
            </w:pPr>
            <w:r>
              <w:t>生均拨款标准</w:t>
            </w:r>
          </w:p>
        </w:tc>
        <w:tc>
          <w:tcPr>
            <w:tcW w:w="5386" w:type="dxa"/>
            <w:vAlign w:val="center"/>
          </w:tcPr>
          <w:p w14:paraId="6AF1CDDF">
            <w:pPr>
              <w:pStyle w:val="13"/>
            </w:pPr>
            <w:r>
              <w:t>学前：（基本标准600元/生/学年）</w:t>
            </w:r>
          </w:p>
        </w:tc>
        <w:tc>
          <w:tcPr>
            <w:tcW w:w="1793" w:type="dxa"/>
            <w:vAlign w:val="center"/>
          </w:tcPr>
          <w:p w14:paraId="683961F1">
            <w:pPr>
              <w:pStyle w:val="13"/>
            </w:pPr>
            <w:r>
              <w:t>119700元</w:t>
            </w:r>
          </w:p>
        </w:tc>
        <w:tc>
          <w:tcPr>
            <w:tcW w:w="1751" w:type="dxa"/>
            <w:vAlign w:val="center"/>
          </w:tcPr>
          <w:p w14:paraId="7751FE71">
            <w:pPr>
              <w:pStyle w:val="13"/>
            </w:pPr>
            <w:r>
              <w:t>公办幼儿园生均公用经费管理办法</w:t>
            </w:r>
          </w:p>
        </w:tc>
      </w:tr>
      <w:tr w14:paraId="04E3B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1B21B0">
            <w:pPr>
              <w:pStyle w:val="12"/>
            </w:pPr>
            <w:r>
              <w:t>效益指标</w:t>
            </w:r>
          </w:p>
        </w:tc>
        <w:tc>
          <w:tcPr>
            <w:tcW w:w="2268" w:type="dxa"/>
            <w:vAlign w:val="center"/>
          </w:tcPr>
          <w:p w14:paraId="2A35CD2E">
            <w:pPr>
              <w:pStyle w:val="13"/>
            </w:pPr>
            <w:r>
              <w:t>可持续影响指标</w:t>
            </w:r>
          </w:p>
        </w:tc>
        <w:tc>
          <w:tcPr>
            <w:tcW w:w="2835" w:type="dxa"/>
            <w:vAlign w:val="center"/>
          </w:tcPr>
          <w:p w14:paraId="050D85F6">
            <w:pPr>
              <w:pStyle w:val="13"/>
            </w:pPr>
            <w:r>
              <w:t>学校运转得到提升</w:t>
            </w:r>
          </w:p>
        </w:tc>
        <w:tc>
          <w:tcPr>
            <w:tcW w:w="5386" w:type="dxa"/>
            <w:vAlign w:val="center"/>
          </w:tcPr>
          <w:p w14:paraId="1627869F">
            <w:pPr>
              <w:pStyle w:val="13"/>
            </w:pPr>
            <w:r>
              <w:t>幼儿受教育年限</w:t>
            </w:r>
          </w:p>
        </w:tc>
        <w:tc>
          <w:tcPr>
            <w:tcW w:w="1793" w:type="dxa"/>
            <w:vAlign w:val="center"/>
          </w:tcPr>
          <w:p w14:paraId="0C4C8CD9">
            <w:pPr>
              <w:pStyle w:val="13"/>
            </w:pPr>
            <w:r>
              <w:t>3年</w:t>
            </w:r>
          </w:p>
        </w:tc>
        <w:tc>
          <w:tcPr>
            <w:tcW w:w="1751" w:type="dxa"/>
            <w:vAlign w:val="center"/>
          </w:tcPr>
          <w:p w14:paraId="4208B75E">
            <w:pPr>
              <w:pStyle w:val="13"/>
            </w:pPr>
            <w:r>
              <w:t>公办幼儿园生均公用经费管理办法</w:t>
            </w:r>
          </w:p>
        </w:tc>
      </w:tr>
      <w:tr w14:paraId="274C4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56F1FA">
            <w:pPr>
              <w:pStyle w:val="12"/>
            </w:pPr>
            <w:r>
              <w:t>满意度指标</w:t>
            </w:r>
          </w:p>
        </w:tc>
        <w:tc>
          <w:tcPr>
            <w:tcW w:w="2268" w:type="dxa"/>
            <w:vAlign w:val="center"/>
          </w:tcPr>
          <w:p w14:paraId="50EDAA6A">
            <w:pPr>
              <w:pStyle w:val="13"/>
            </w:pPr>
            <w:r>
              <w:t>服务对象满意度指标</w:t>
            </w:r>
          </w:p>
        </w:tc>
        <w:tc>
          <w:tcPr>
            <w:tcW w:w="2835" w:type="dxa"/>
            <w:vAlign w:val="center"/>
          </w:tcPr>
          <w:p w14:paraId="67F88456">
            <w:pPr>
              <w:pStyle w:val="13"/>
            </w:pPr>
            <w:r>
              <w:t>受益学生家长及调查满意度</w:t>
            </w:r>
          </w:p>
        </w:tc>
        <w:tc>
          <w:tcPr>
            <w:tcW w:w="5386" w:type="dxa"/>
            <w:vAlign w:val="center"/>
          </w:tcPr>
          <w:p w14:paraId="16F9DAEB">
            <w:pPr>
              <w:pStyle w:val="13"/>
            </w:pPr>
            <w:r>
              <w:t>学生、教师及家长对学校保教保育工作满意度情况</w:t>
            </w:r>
          </w:p>
        </w:tc>
        <w:tc>
          <w:tcPr>
            <w:tcW w:w="1793" w:type="dxa"/>
            <w:vAlign w:val="center"/>
          </w:tcPr>
          <w:p w14:paraId="4D878271">
            <w:pPr>
              <w:pStyle w:val="13"/>
            </w:pPr>
            <w:r>
              <w:t>≥95%</w:t>
            </w:r>
          </w:p>
        </w:tc>
        <w:tc>
          <w:tcPr>
            <w:tcW w:w="1751" w:type="dxa"/>
            <w:vAlign w:val="center"/>
          </w:tcPr>
          <w:p w14:paraId="0E36D187">
            <w:pPr>
              <w:pStyle w:val="13"/>
            </w:pPr>
            <w:r>
              <w:t>公办幼儿园生均公用经费管理办法</w:t>
            </w:r>
          </w:p>
        </w:tc>
      </w:tr>
    </w:tbl>
    <w:p w14:paraId="49E773B0">
      <w:pPr>
        <w:sectPr>
          <w:pgSz w:w="16840" w:h="11900" w:orient="landscape"/>
          <w:pgMar w:top="1361" w:right="1020" w:bottom="1134" w:left="1020" w:header="720" w:footer="720" w:gutter="0"/>
          <w:cols w:space="720" w:num="1"/>
        </w:sectPr>
      </w:pPr>
    </w:p>
    <w:p w14:paraId="2A418BA1">
      <w:pPr>
        <w:spacing w:before="0" w:after="0"/>
        <w:ind w:firstLine="560"/>
        <w:jc w:val="left"/>
        <w:outlineLvl w:val="9"/>
      </w:pPr>
      <w:r>
        <w:rPr>
          <w:rFonts w:ascii="方正仿宋_GBK" w:hAnsi="方正仿宋_GBK" w:eastAsia="方正仿宋_GBK" w:cs="方正仿宋_GBK"/>
          <w:b/>
          <w:color w:val="000000"/>
          <w:sz w:val="28"/>
        </w:rPr>
        <w:t>34、学前专项经费/尹村校区绩效目标表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2F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C2A42">
            <w:pPr>
              <w:pStyle w:val="14"/>
            </w:pPr>
            <w:r>
              <w:t>单位：万元</w:t>
            </w:r>
          </w:p>
        </w:tc>
      </w:tr>
      <w:tr w14:paraId="726AE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42DB6">
            <w:pPr>
              <w:pStyle w:val="11"/>
            </w:pPr>
            <w:r>
              <w:t>项目编码</w:t>
            </w:r>
          </w:p>
        </w:tc>
        <w:tc>
          <w:tcPr>
            <w:tcW w:w="5103" w:type="dxa"/>
            <w:gridSpan w:val="2"/>
            <w:vAlign w:val="center"/>
          </w:tcPr>
          <w:p w14:paraId="65EF81A0">
            <w:pPr>
              <w:pStyle w:val="13"/>
            </w:pPr>
            <w:r>
              <w:t>13052525P00875610040R</w:t>
            </w:r>
          </w:p>
        </w:tc>
        <w:tc>
          <w:tcPr>
            <w:tcW w:w="2835" w:type="dxa"/>
            <w:vAlign w:val="center"/>
          </w:tcPr>
          <w:p w14:paraId="38FE5D84">
            <w:pPr>
              <w:pStyle w:val="11"/>
            </w:pPr>
            <w:r>
              <w:t>项目名称</w:t>
            </w:r>
          </w:p>
        </w:tc>
        <w:tc>
          <w:tcPr>
            <w:tcW w:w="6095" w:type="dxa"/>
            <w:gridSpan w:val="3"/>
            <w:vAlign w:val="center"/>
          </w:tcPr>
          <w:p w14:paraId="436DD86B">
            <w:pPr>
              <w:pStyle w:val="13"/>
            </w:pPr>
            <w:r>
              <w:t>学前专项经费/尹村校区</w:t>
            </w:r>
          </w:p>
        </w:tc>
      </w:tr>
      <w:tr w14:paraId="3B51F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B00A5">
            <w:pPr>
              <w:pStyle w:val="11"/>
            </w:pPr>
            <w:r>
              <w:t>预算规模及资金用途</w:t>
            </w:r>
          </w:p>
        </w:tc>
        <w:tc>
          <w:tcPr>
            <w:tcW w:w="2268" w:type="dxa"/>
            <w:vAlign w:val="center"/>
          </w:tcPr>
          <w:p w14:paraId="65DBEE84">
            <w:pPr>
              <w:pStyle w:val="11"/>
            </w:pPr>
            <w:r>
              <w:t>预算数</w:t>
            </w:r>
          </w:p>
        </w:tc>
        <w:tc>
          <w:tcPr>
            <w:tcW w:w="2835" w:type="dxa"/>
            <w:vAlign w:val="center"/>
          </w:tcPr>
          <w:p w14:paraId="077533E4">
            <w:pPr>
              <w:pStyle w:val="13"/>
            </w:pPr>
            <w:r>
              <w:t>84.66</w:t>
            </w:r>
          </w:p>
        </w:tc>
        <w:tc>
          <w:tcPr>
            <w:tcW w:w="2835" w:type="dxa"/>
            <w:vAlign w:val="center"/>
          </w:tcPr>
          <w:p w14:paraId="26CB242A">
            <w:pPr>
              <w:pStyle w:val="11"/>
            </w:pPr>
            <w:r>
              <w:t>其中：财政    资金</w:t>
            </w:r>
          </w:p>
        </w:tc>
        <w:tc>
          <w:tcPr>
            <w:tcW w:w="2551" w:type="dxa"/>
            <w:vAlign w:val="center"/>
          </w:tcPr>
          <w:p w14:paraId="4CF19150">
            <w:pPr>
              <w:pStyle w:val="13"/>
            </w:pPr>
            <w:r>
              <w:t>84.66</w:t>
            </w:r>
          </w:p>
        </w:tc>
        <w:tc>
          <w:tcPr>
            <w:tcW w:w="2268" w:type="dxa"/>
            <w:vAlign w:val="center"/>
          </w:tcPr>
          <w:p w14:paraId="3160B65C">
            <w:pPr>
              <w:pStyle w:val="11"/>
            </w:pPr>
            <w:r>
              <w:t>其他资金</w:t>
            </w:r>
          </w:p>
        </w:tc>
        <w:tc>
          <w:tcPr>
            <w:tcW w:w="1276" w:type="dxa"/>
            <w:vAlign w:val="center"/>
          </w:tcPr>
          <w:p w14:paraId="33526F76">
            <w:pPr>
              <w:pStyle w:val="13"/>
            </w:pPr>
            <w:r>
              <w:t xml:space="preserve"> </w:t>
            </w:r>
          </w:p>
        </w:tc>
      </w:tr>
      <w:tr w14:paraId="70C98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FE3880"/>
        </w:tc>
        <w:tc>
          <w:tcPr>
            <w:tcW w:w="14033" w:type="dxa"/>
            <w:gridSpan w:val="6"/>
            <w:vAlign w:val="center"/>
          </w:tcPr>
          <w:p w14:paraId="4C1CBBFB">
            <w:pPr>
              <w:pStyle w:val="13"/>
            </w:pPr>
            <w:r>
              <w:t>按上缴财政序时进度完成公立幼儿园保育费支出。</w:t>
            </w:r>
          </w:p>
        </w:tc>
      </w:tr>
      <w:tr w14:paraId="1E580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5D434DC1">
            <w:pPr>
              <w:pStyle w:val="11"/>
            </w:pPr>
            <w:r>
              <w:t>资金支出计划（%）</w:t>
            </w:r>
          </w:p>
        </w:tc>
        <w:tc>
          <w:tcPr>
            <w:tcW w:w="5103" w:type="dxa"/>
            <w:gridSpan w:val="2"/>
            <w:vAlign w:val="center"/>
          </w:tcPr>
          <w:p w14:paraId="51980358">
            <w:pPr>
              <w:pStyle w:val="11"/>
            </w:pPr>
            <w:r>
              <w:t>3月底</w:t>
            </w:r>
          </w:p>
        </w:tc>
        <w:tc>
          <w:tcPr>
            <w:tcW w:w="2835" w:type="dxa"/>
            <w:vAlign w:val="center"/>
          </w:tcPr>
          <w:p w14:paraId="730C2A87">
            <w:pPr>
              <w:pStyle w:val="11"/>
            </w:pPr>
            <w:r>
              <w:t>6月底</w:t>
            </w:r>
          </w:p>
        </w:tc>
        <w:tc>
          <w:tcPr>
            <w:tcW w:w="2551" w:type="dxa"/>
            <w:vAlign w:val="center"/>
          </w:tcPr>
          <w:p w14:paraId="769E56E2">
            <w:pPr>
              <w:pStyle w:val="11"/>
            </w:pPr>
            <w:r>
              <w:t>10月底</w:t>
            </w:r>
          </w:p>
        </w:tc>
        <w:tc>
          <w:tcPr>
            <w:tcW w:w="3544" w:type="dxa"/>
            <w:gridSpan w:val="2"/>
            <w:vAlign w:val="center"/>
          </w:tcPr>
          <w:p w14:paraId="11E8D04B">
            <w:pPr>
              <w:pStyle w:val="11"/>
            </w:pPr>
            <w:r>
              <w:t>12月底</w:t>
            </w:r>
          </w:p>
        </w:tc>
      </w:tr>
      <w:tr w14:paraId="4BAFB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4CD2B"/>
        </w:tc>
        <w:tc>
          <w:tcPr>
            <w:tcW w:w="5103" w:type="dxa"/>
            <w:gridSpan w:val="2"/>
            <w:vAlign w:val="center"/>
          </w:tcPr>
          <w:p w14:paraId="4658A804">
            <w:pPr>
              <w:pStyle w:val="12"/>
            </w:pPr>
            <w:r>
              <w:t>25%</w:t>
            </w:r>
          </w:p>
        </w:tc>
        <w:tc>
          <w:tcPr>
            <w:tcW w:w="2835" w:type="dxa"/>
            <w:vAlign w:val="center"/>
          </w:tcPr>
          <w:p w14:paraId="59F2A42C">
            <w:pPr>
              <w:pStyle w:val="12"/>
            </w:pPr>
            <w:r>
              <w:t>50%</w:t>
            </w:r>
          </w:p>
        </w:tc>
        <w:tc>
          <w:tcPr>
            <w:tcW w:w="2551" w:type="dxa"/>
            <w:vAlign w:val="center"/>
          </w:tcPr>
          <w:p w14:paraId="14F0F5BF">
            <w:pPr>
              <w:pStyle w:val="12"/>
            </w:pPr>
            <w:r>
              <w:t>75%</w:t>
            </w:r>
          </w:p>
        </w:tc>
        <w:tc>
          <w:tcPr>
            <w:tcW w:w="3544" w:type="dxa"/>
            <w:gridSpan w:val="2"/>
            <w:vAlign w:val="center"/>
          </w:tcPr>
          <w:p w14:paraId="600BD760">
            <w:pPr>
              <w:pStyle w:val="12"/>
            </w:pPr>
            <w:r>
              <w:t>100%</w:t>
            </w:r>
          </w:p>
        </w:tc>
      </w:tr>
      <w:tr w14:paraId="5414C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1411E">
            <w:pPr>
              <w:pStyle w:val="11"/>
            </w:pPr>
            <w:r>
              <w:t>绩效目标</w:t>
            </w:r>
          </w:p>
        </w:tc>
        <w:tc>
          <w:tcPr>
            <w:tcW w:w="14033" w:type="dxa"/>
            <w:gridSpan w:val="6"/>
            <w:vAlign w:val="center"/>
          </w:tcPr>
          <w:p w14:paraId="58CA0852">
            <w:pPr>
              <w:pStyle w:val="13"/>
            </w:pPr>
            <w:r>
              <w:t>1.按上缴财政序时进度完成公立幼儿园保育费支出。</w:t>
            </w:r>
          </w:p>
          <w:p w14:paraId="2BA233BE">
            <w:pPr>
              <w:pStyle w:val="13"/>
            </w:pPr>
            <w:r>
              <w:t>2.按预算要求完成2025年度学前教学任务提升及教学质量提高。</w:t>
            </w:r>
          </w:p>
          <w:p w14:paraId="2D2EC8A0">
            <w:pPr>
              <w:pStyle w:val="13"/>
            </w:pPr>
            <w:r>
              <w:t>3.按要求完成公立幼儿园保育费按月/季度上缴财政。</w:t>
            </w:r>
            <w:r>
              <w:tab/>
            </w:r>
            <w:r>
              <w:tab/>
            </w:r>
            <w:r>
              <w:tab/>
            </w:r>
            <w:r>
              <w:tab/>
            </w:r>
            <w:r>
              <w:tab/>
            </w:r>
            <w:r>
              <w:tab/>
            </w:r>
            <w:r>
              <w:tab/>
            </w:r>
            <w:r>
              <w:tab/>
            </w:r>
            <w:r>
              <w:tab/>
            </w:r>
            <w:r>
              <w:tab/>
            </w:r>
            <w:r>
              <w:tab/>
            </w:r>
            <w:r>
              <w:tab/>
            </w:r>
            <w:r>
              <w:tab/>
            </w:r>
          </w:p>
        </w:tc>
      </w:tr>
    </w:tbl>
    <w:p w14:paraId="656037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14:paraId="6E526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1DE13">
            <w:pPr>
              <w:pStyle w:val="11"/>
            </w:pPr>
            <w:r>
              <w:t>一级指标</w:t>
            </w:r>
          </w:p>
        </w:tc>
        <w:tc>
          <w:tcPr>
            <w:tcW w:w="2268" w:type="dxa"/>
            <w:vAlign w:val="center"/>
          </w:tcPr>
          <w:p w14:paraId="509DA07B">
            <w:pPr>
              <w:pStyle w:val="11"/>
            </w:pPr>
            <w:r>
              <w:t>二级指标</w:t>
            </w:r>
          </w:p>
        </w:tc>
        <w:tc>
          <w:tcPr>
            <w:tcW w:w="2835" w:type="dxa"/>
            <w:vAlign w:val="center"/>
          </w:tcPr>
          <w:p w14:paraId="28CD8A6A">
            <w:pPr>
              <w:pStyle w:val="11"/>
            </w:pPr>
            <w:r>
              <w:t>三级指标</w:t>
            </w:r>
          </w:p>
        </w:tc>
        <w:tc>
          <w:tcPr>
            <w:tcW w:w="5386" w:type="dxa"/>
            <w:vAlign w:val="center"/>
          </w:tcPr>
          <w:p w14:paraId="019648A9">
            <w:pPr>
              <w:pStyle w:val="11"/>
            </w:pPr>
            <w:r>
              <w:t>绩效指标描述</w:t>
            </w:r>
          </w:p>
        </w:tc>
        <w:tc>
          <w:tcPr>
            <w:tcW w:w="1808" w:type="dxa"/>
            <w:vAlign w:val="center"/>
          </w:tcPr>
          <w:p w14:paraId="682676B9">
            <w:pPr>
              <w:pStyle w:val="11"/>
            </w:pPr>
            <w:r>
              <w:t>指标值</w:t>
            </w:r>
          </w:p>
        </w:tc>
        <w:tc>
          <w:tcPr>
            <w:tcW w:w="1736" w:type="dxa"/>
            <w:vAlign w:val="center"/>
          </w:tcPr>
          <w:p w14:paraId="6344E63F">
            <w:pPr>
              <w:pStyle w:val="11"/>
            </w:pPr>
            <w:r>
              <w:t>指标值确定依据</w:t>
            </w:r>
          </w:p>
        </w:tc>
      </w:tr>
      <w:tr w14:paraId="6C1A5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61A3C">
            <w:pPr>
              <w:pStyle w:val="12"/>
            </w:pPr>
            <w:r>
              <w:t>产出指标</w:t>
            </w:r>
          </w:p>
        </w:tc>
        <w:tc>
          <w:tcPr>
            <w:tcW w:w="2268" w:type="dxa"/>
            <w:vAlign w:val="center"/>
          </w:tcPr>
          <w:p w14:paraId="4E9AB4DF">
            <w:pPr>
              <w:pStyle w:val="13"/>
            </w:pPr>
            <w:r>
              <w:t>数量指标</w:t>
            </w:r>
          </w:p>
        </w:tc>
        <w:tc>
          <w:tcPr>
            <w:tcW w:w="2835" w:type="dxa"/>
            <w:vAlign w:val="center"/>
          </w:tcPr>
          <w:p w14:paraId="5DD94A1D">
            <w:pPr>
              <w:pStyle w:val="13"/>
            </w:pPr>
            <w:r>
              <w:t>适龄在园生</w:t>
            </w:r>
          </w:p>
        </w:tc>
        <w:tc>
          <w:tcPr>
            <w:tcW w:w="5386" w:type="dxa"/>
            <w:vAlign w:val="center"/>
          </w:tcPr>
          <w:p w14:paraId="7149786D">
            <w:pPr>
              <w:pStyle w:val="13"/>
            </w:pPr>
            <w:r>
              <w:t>适龄在园学生人数</w:t>
            </w:r>
          </w:p>
        </w:tc>
        <w:tc>
          <w:tcPr>
            <w:tcW w:w="1808" w:type="dxa"/>
            <w:vAlign w:val="center"/>
          </w:tcPr>
          <w:p w14:paraId="71441F25">
            <w:pPr>
              <w:pStyle w:val="13"/>
            </w:pPr>
            <w:r>
              <w:t>600 人</w:t>
            </w:r>
          </w:p>
        </w:tc>
        <w:tc>
          <w:tcPr>
            <w:tcW w:w="1736" w:type="dxa"/>
            <w:vAlign w:val="center"/>
          </w:tcPr>
          <w:p w14:paraId="36302A81">
            <w:pPr>
              <w:pStyle w:val="13"/>
            </w:pPr>
            <w:r>
              <w:t>年度工作计划</w:t>
            </w:r>
          </w:p>
        </w:tc>
      </w:tr>
      <w:tr w14:paraId="29D6E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63594"/>
        </w:tc>
        <w:tc>
          <w:tcPr>
            <w:tcW w:w="2268" w:type="dxa"/>
            <w:vAlign w:val="center"/>
          </w:tcPr>
          <w:p w14:paraId="0D34E92D">
            <w:pPr>
              <w:pStyle w:val="13"/>
            </w:pPr>
            <w:r>
              <w:t>质量指标</w:t>
            </w:r>
          </w:p>
        </w:tc>
        <w:tc>
          <w:tcPr>
            <w:tcW w:w="2835" w:type="dxa"/>
            <w:vAlign w:val="center"/>
          </w:tcPr>
          <w:p w14:paraId="62C85EF1">
            <w:pPr>
              <w:pStyle w:val="13"/>
            </w:pPr>
            <w:r>
              <w:t>按月上缴财政完成率</w:t>
            </w:r>
          </w:p>
        </w:tc>
        <w:tc>
          <w:tcPr>
            <w:tcW w:w="5386" w:type="dxa"/>
            <w:vAlign w:val="center"/>
          </w:tcPr>
          <w:p w14:paraId="3103D978">
            <w:pPr>
              <w:pStyle w:val="13"/>
            </w:pPr>
            <w:r>
              <w:t>按月完成公立幼儿园保育费上缴财政</w:t>
            </w:r>
          </w:p>
        </w:tc>
        <w:tc>
          <w:tcPr>
            <w:tcW w:w="1808" w:type="dxa"/>
            <w:vAlign w:val="center"/>
          </w:tcPr>
          <w:p w14:paraId="740E6647">
            <w:pPr>
              <w:pStyle w:val="13"/>
            </w:pPr>
            <w:r>
              <w:t>≥100%</w:t>
            </w:r>
          </w:p>
        </w:tc>
        <w:tc>
          <w:tcPr>
            <w:tcW w:w="1736" w:type="dxa"/>
            <w:vAlign w:val="center"/>
          </w:tcPr>
          <w:p w14:paraId="18BAEF06">
            <w:pPr>
              <w:pStyle w:val="13"/>
            </w:pPr>
            <w:r>
              <w:t>年度工作计划</w:t>
            </w:r>
          </w:p>
        </w:tc>
      </w:tr>
      <w:tr w14:paraId="5C191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F298"/>
        </w:tc>
        <w:tc>
          <w:tcPr>
            <w:tcW w:w="2268" w:type="dxa"/>
            <w:vAlign w:val="center"/>
          </w:tcPr>
          <w:p w14:paraId="6F0D7AE2">
            <w:pPr>
              <w:pStyle w:val="13"/>
            </w:pPr>
            <w:r>
              <w:t>时效指标</w:t>
            </w:r>
          </w:p>
        </w:tc>
        <w:tc>
          <w:tcPr>
            <w:tcW w:w="2835" w:type="dxa"/>
            <w:vAlign w:val="center"/>
          </w:tcPr>
          <w:p w14:paraId="316DDBF4">
            <w:pPr>
              <w:pStyle w:val="13"/>
            </w:pPr>
            <w:r>
              <w:t>资金支付率</w:t>
            </w:r>
          </w:p>
        </w:tc>
        <w:tc>
          <w:tcPr>
            <w:tcW w:w="5386" w:type="dxa"/>
            <w:vAlign w:val="center"/>
          </w:tcPr>
          <w:p w14:paraId="500E4EAF">
            <w:pPr>
              <w:pStyle w:val="13"/>
            </w:pPr>
            <w:r>
              <w:t>按照上缴财政进度完成公立幼儿园保育费支付</w:t>
            </w:r>
          </w:p>
        </w:tc>
        <w:tc>
          <w:tcPr>
            <w:tcW w:w="1808" w:type="dxa"/>
            <w:vAlign w:val="center"/>
          </w:tcPr>
          <w:p w14:paraId="78DB5FD7">
            <w:pPr>
              <w:pStyle w:val="13"/>
            </w:pPr>
            <w:r>
              <w:t>≥100%</w:t>
            </w:r>
          </w:p>
        </w:tc>
        <w:tc>
          <w:tcPr>
            <w:tcW w:w="1736" w:type="dxa"/>
            <w:vAlign w:val="center"/>
          </w:tcPr>
          <w:p w14:paraId="49518B60">
            <w:pPr>
              <w:pStyle w:val="13"/>
            </w:pPr>
            <w:r>
              <w:t>年度工作计划</w:t>
            </w:r>
          </w:p>
        </w:tc>
      </w:tr>
      <w:tr w14:paraId="24D5D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C28B7"/>
        </w:tc>
        <w:tc>
          <w:tcPr>
            <w:tcW w:w="2268" w:type="dxa"/>
            <w:vAlign w:val="center"/>
          </w:tcPr>
          <w:p w14:paraId="39F0CAA9">
            <w:pPr>
              <w:pStyle w:val="13"/>
            </w:pPr>
            <w:r>
              <w:t>成本指标</w:t>
            </w:r>
          </w:p>
        </w:tc>
        <w:tc>
          <w:tcPr>
            <w:tcW w:w="2835" w:type="dxa"/>
            <w:vAlign w:val="center"/>
          </w:tcPr>
          <w:p w14:paraId="51EB87BC">
            <w:pPr>
              <w:pStyle w:val="13"/>
            </w:pPr>
            <w:r>
              <w:t>公办幼儿园保育费收费标准</w:t>
            </w:r>
          </w:p>
        </w:tc>
        <w:tc>
          <w:tcPr>
            <w:tcW w:w="5386" w:type="dxa"/>
            <w:vAlign w:val="center"/>
          </w:tcPr>
          <w:p w14:paraId="28C7A68A">
            <w:pPr>
              <w:pStyle w:val="13"/>
            </w:pPr>
            <w:r>
              <w:t>农村二类园130元/月/生</w:t>
            </w:r>
          </w:p>
        </w:tc>
        <w:tc>
          <w:tcPr>
            <w:tcW w:w="1808" w:type="dxa"/>
            <w:vAlign w:val="center"/>
          </w:tcPr>
          <w:p w14:paraId="7380C510">
            <w:pPr>
              <w:pStyle w:val="13"/>
            </w:pPr>
            <w:r>
              <w:t>130元</w:t>
            </w:r>
          </w:p>
        </w:tc>
        <w:tc>
          <w:tcPr>
            <w:tcW w:w="1736" w:type="dxa"/>
            <w:vAlign w:val="center"/>
          </w:tcPr>
          <w:p w14:paraId="77E6BEA8">
            <w:pPr>
              <w:pStyle w:val="13"/>
            </w:pPr>
            <w:r>
              <w:t>年度工作计划</w:t>
            </w:r>
          </w:p>
        </w:tc>
      </w:tr>
      <w:tr w14:paraId="1FFC1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617C2"/>
        </w:tc>
        <w:tc>
          <w:tcPr>
            <w:tcW w:w="2268" w:type="dxa"/>
            <w:vAlign w:val="center"/>
          </w:tcPr>
          <w:p w14:paraId="7A094F89">
            <w:pPr>
              <w:pStyle w:val="13"/>
            </w:pPr>
            <w:r>
              <w:t>成本指标</w:t>
            </w:r>
          </w:p>
        </w:tc>
        <w:tc>
          <w:tcPr>
            <w:tcW w:w="2835" w:type="dxa"/>
            <w:vAlign w:val="center"/>
          </w:tcPr>
          <w:p w14:paraId="43B6C76A">
            <w:pPr>
              <w:pStyle w:val="13"/>
            </w:pPr>
            <w:r>
              <w:t>公办幼儿园保育费收费标准</w:t>
            </w:r>
          </w:p>
        </w:tc>
        <w:tc>
          <w:tcPr>
            <w:tcW w:w="5386" w:type="dxa"/>
            <w:vAlign w:val="center"/>
          </w:tcPr>
          <w:p w14:paraId="1389004F">
            <w:pPr>
              <w:pStyle w:val="13"/>
            </w:pPr>
            <w:r>
              <w:t>农村一类园150元/月/生</w:t>
            </w:r>
          </w:p>
        </w:tc>
        <w:tc>
          <w:tcPr>
            <w:tcW w:w="1808" w:type="dxa"/>
            <w:vAlign w:val="center"/>
          </w:tcPr>
          <w:p w14:paraId="11485E90">
            <w:pPr>
              <w:pStyle w:val="13"/>
            </w:pPr>
            <w:r>
              <w:t>150元</w:t>
            </w:r>
          </w:p>
        </w:tc>
        <w:tc>
          <w:tcPr>
            <w:tcW w:w="1736" w:type="dxa"/>
            <w:vAlign w:val="center"/>
          </w:tcPr>
          <w:p w14:paraId="49ECB1D0">
            <w:pPr>
              <w:pStyle w:val="13"/>
            </w:pPr>
            <w:r>
              <w:t>年度工作计划</w:t>
            </w:r>
          </w:p>
        </w:tc>
      </w:tr>
      <w:tr w14:paraId="5C003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A0A81"/>
        </w:tc>
        <w:tc>
          <w:tcPr>
            <w:tcW w:w="2268" w:type="dxa"/>
            <w:vAlign w:val="center"/>
          </w:tcPr>
          <w:p w14:paraId="1246383D">
            <w:pPr>
              <w:pStyle w:val="13"/>
            </w:pPr>
            <w:r>
              <w:t>成本指标</w:t>
            </w:r>
          </w:p>
        </w:tc>
        <w:tc>
          <w:tcPr>
            <w:tcW w:w="2835" w:type="dxa"/>
            <w:vAlign w:val="center"/>
          </w:tcPr>
          <w:p w14:paraId="48635694">
            <w:pPr>
              <w:pStyle w:val="13"/>
            </w:pPr>
            <w:r>
              <w:t>公办幼儿园保育费收费标准</w:t>
            </w:r>
          </w:p>
        </w:tc>
        <w:tc>
          <w:tcPr>
            <w:tcW w:w="5386" w:type="dxa"/>
            <w:vAlign w:val="center"/>
          </w:tcPr>
          <w:p w14:paraId="02A6B660">
            <w:pPr>
              <w:pStyle w:val="13"/>
            </w:pPr>
            <w:r>
              <w:t>农村示范园170元/月/生</w:t>
            </w:r>
          </w:p>
        </w:tc>
        <w:tc>
          <w:tcPr>
            <w:tcW w:w="1808" w:type="dxa"/>
            <w:vAlign w:val="center"/>
          </w:tcPr>
          <w:p w14:paraId="685D897B">
            <w:pPr>
              <w:pStyle w:val="13"/>
            </w:pPr>
            <w:r>
              <w:t>170元</w:t>
            </w:r>
          </w:p>
        </w:tc>
        <w:tc>
          <w:tcPr>
            <w:tcW w:w="1736" w:type="dxa"/>
            <w:vAlign w:val="center"/>
          </w:tcPr>
          <w:p w14:paraId="3A34B162">
            <w:pPr>
              <w:pStyle w:val="13"/>
            </w:pPr>
            <w:r>
              <w:t>年度工作计划</w:t>
            </w:r>
          </w:p>
        </w:tc>
      </w:tr>
      <w:tr w14:paraId="0F190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131CAF">
            <w:pPr>
              <w:pStyle w:val="12"/>
            </w:pPr>
            <w:r>
              <w:t>效益指标</w:t>
            </w:r>
          </w:p>
        </w:tc>
        <w:tc>
          <w:tcPr>
            <w:tcW w:w="2268" w:type="dxa"/>
            <w:vAlign w:val="center"/>
          </w:tcPr>
          <w:p w14:paraId="065FB08E">
            <w:pPr>
              <w:pStyle w:val="13"/>
            </w:pPr>
            <w:r>
              <w:t>可持续影响指标</w:t>
            </w:r>
          </w:p>
        </w:tc>
        <w:tc>
          <w:tcPr>
            <w:tcW w:w="2835" w:type="dxa"/>
            <w:vAlign w:val="center"/>
          </w:tcPr>
          <w:p w14:paraId="6E0EFE1E">
            <w:pPr>
              <w:pStyle w:val="13"/>
            </w:pPr>
            <w:r>
              <w:t>学校运转得到提高</w:t>
            </w:r>
          </w:p>
        </w:tc>
        <w:tc>
          <w:tcPr>
            <w:tcW w:w="5386" w:type="dxa"/>
            <w:vAlign w:val="center"/>
          </w:tcPr>
          <w:p w14:paraId="3A056269">
            <w:pPr>
              <w:pStyle w:val="13"/>
            </w:pPr>
            <w:r>
              <w:t>幼儿受教育年限</w:t>
            </w:r>
          </w:p>
        </w:tc>
        <w:tc>
          <w:tcPr>
            <w:tcW w:w="1808" w:type="dxa"/>
            <w:vAlign w:val="center"/>
          </w:tcPr>
          <w:p w14:paraId="53C66534">
            <w:pPr>
              <w:pStyle w:val="13"/>
            </w:pPr>
            <w:r>
              <w:t>3年</w:t>
            </w:r>
          </w:p>
        </w:tc>
        <w:tc>
          <w:tcPr>
            <w:tcW w:w="1736" w:type="dxa"/>
            <w:vAlign w:val="center"/>
          </w:tcPr>
          <w:p w14:paraId="74C125F4">
            <w:pPr>
              <w:pStyle w:val="13"/>
            </w:pPr>
            <w:r>
              <w:t>年度工作计划</w:t>
            </w:r>
          </w:p>
        </w:tc>
      </w:tr>
      <w:tr w14:paraId="01B7B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18191B">
            <w:pPr>
              <w:pStyle w:val="12"/>
            </w:pPr>
            <w:r>
              <w:t>满意度指标</w:t>
            </w:r>
          </w:p>
        </w:tc>
        <w:tc>
          <w:tcPr>
            <w:tcW w:w="2268" w:type="dxa"/>
            <w:vAlign w:val="center"/>
          </w:tcPr>
          <w:p w14:paraId="1DEFC794">
            <w:pPr>
              <w:pStyle w:val="13"/>
            </w:pPr>
            <w:r>
              <w:t>服务对象满意度指标</w:t>
            </w:r>
          </w:p>
        </w:tc>
        <w:tc>
          <w:tcPr>
            <w:tcW w:w="2835" w:type="dxa"/>
            <w:vAlign w:val="center"/>
          </w:tcPr>
          <w:p w14:paraId="605A0097">
            <w:pPr>
              <w:pStyle w:val="13"/>
            </w:pPr>
            <w:r>
              <w:t>受益学生家长及调查满意度</w:t>
            </w:r>
          </w:p>
        </w:tc>
        <w:tc>
          <w:tcPr>
            <w:tcW w:w="5386" w:type="dxa"/>
            <w:vAlign w:val="center"/>
          </w:tcPr>
          <w:p w14:paraId="73DA645B">
            <w:pPr>
              <w:pStyle w:val="13"/>
            </w:pPr>
            <w:r>
              <w:t>学生、教师及家长对学校保教保育工作满意度情况</w:t>
            </w:r>
          </w:p>
        </w:tc>
        <w:tc>
          <w:tcPr>
            <w:tcW w:w="1808" w:type="dxa"/>
            <w:vAlign w:val="center"/>
          </w:tcPr>
          <w:p w14:paraId="5682AEB9">
            <w:pPr>
              <w:pStyle w:val="13"/>
            </w:pPr>
            <w:r>
              <w:t>≥95%</w:t>
            </w:r>
          </w:p>
        </w:tc>
        <w:tc>
          <w:tcPr>
            <w:tcW w:w="1736" w:type="dxa"/>
            <w:vAlign w:val="center"/>
          </w:tcPr>
          <w:p w14:paraId="3EC3CA61">
            <w:pPr>
              <w:pStyle w:val="13"/>
            </w:pPr>
            <w:r>
              <w:t>公办幼儿园生均公用经费管理办法</w:t>
            </w:r>
          </w:p>
        </w:tc>
      </w:tr>
    </w:tbl>
    <w:p w14:paraId="1F05143D">
      <w:pPr>
        <w:sectPr>
          <w:pgSz w:w="16840" w:h="11900" w:orient="landscape"/>
          <w:pgMar w:top="1361" w:right="1020" w:bottom="1134" w:left="1020" w:header="720" w:footer="720" w:gutter="0"/>
          <w:cols w:space="720" w:num="1"/>
        </w:sectPr>
      </w:pPr>
    </w:p>
    <w:p w14:paraId="22922A42">
      <w:pPr>
        <w:spacing w:before="10" w:after="10" w:line="240" w:lineRule="auto"/>
        <w:ind w:firstLine="640"/>
        <w:jc w:val="left"/>
        <w:outlineLvl w:val="5"/>
      </w:pPr>
      <w:r>
        <w:rPr>
          <w:rFonts w:ascii="黑体" w:hAnsi="黑体" w:eastAsia="黑体" w:cs="黑体"/>
          <w:color w:val="000000"/>
          <w:sz w:val="32"/>
        </w:rPr>
        <w:t>六、政府采购预算情况</w:t>
      </w:r>
    </w:p>
    <w:p w14:paraId="3D84C39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FE39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228B363">
            <w:pPr>
              <w:pStyle w:val="8"/>
            </w:pPr>
            <w:r>
              <w:t>360022隆尧县尹村校区</w:t>
            </w:r>
          </w:p>
        </w:tc>
        <w:tc>
          <w:tcPr>
            <w:tcW w:w="7712" w:type="dxa"/>
            <w:gridSpan w:val="8"/>
            <w:tcBorders>
              <w:top w:val="single" w:color="FFFFFF" w:sz="6" w:space="0"/>
              <w:left w:val="single" w:color="FFFFFF" w:sz="6" w:space="0"/>
              <w:right w:val="single" w:color="FFFFFF" w:sz="6" w:space="0"/>
            </w:tcBorders>
            <w:vAlign w:val="center"/>
          </w:tcPr>
          <w:p w14:paraId="24558BC5">
            <w:pPr>
              <w:pStyle w:val="22"/>
            </w:pPr>
            <w:r>
              <w:t>单位：万元</w:t>
            </w:r>
          </w:p>
        </w:tc>
      </w:tr>
      <w:tr w14:paraId="69532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2788559">
            <w:pPr>
              <w:pStyle w:val="11"/>
            </w:pPr>
            <w:r>
              <w:t>政府采购项目来源</w:t>
            </w:r>
          </w:p>
        </w:tc>
        <w:tc>
          <w:tcPr>
            <w:tcW w:w="1134" w:type="dxa"/>
            <w:vMerge w:val="restart"/>
            <w:vAlign w:val="center"/>
          </w:tcPr>
          <w:p w14:paraId="783BEA5E">
            <w:pPr>
              <w:pStyle w:val="11"/>
            </w:pPr>
            <w:r>
              <w:t>采购物品名称</w:t>
            </w:r>
          </w:p>
        </w:tc>
        <w:tc>
          <w:tcPr>
            <w:tcW w:w="1134" w:type="dxa"/>
            <w:vMerge w:val="restart"/>
            <w:vAlign w:val="center"/>
          </w:tcPr>
          <w:p w14:paraId="769EAAE2">
            <w:pPr>
              <w:pStyle w:val="11"/>
            </w:pPr>
            <w:r>
              <w:t>政府采购目录序号</w:t>
            </w:r>
          </w:p>
        </w:tc>
        <w:tc>
          <w:tcPr>
            <w:tcW w:w="709" w:type="dxa"/>
            <w:vMerge w:val="restart"/>
            <w:vAlign w:val="center"/>
          </w:tcPr>
          <w:p w14:paraId="62EA9046">
            <w:pPr>
              <w:pStyle w:val="11"/>
            </w:pPr>
            <w:r>
              <w:t>计量  单位</w:t>
            </w:r>
          </w:p>
        </w:tc>
        <w:tc>
          <w:tcPr>
            <w:tcW w:w="850" w:type="dxa"/>
            <w:vMerge w:val="restart"/>
            <w:vAlign w:val="center"/>
          </w:tcPr>
          <w:p w14:paraId="36E00D6B">
            <w:pPr>
              <w:pStyle w:val="11"/>
            </w:pPr>
            <w:r>
              <w:t>数量</w:t>
            </w:r>
          </w:p>
        </w:tc>
        <w:tc>
          <w:tcPr>
            <w:tcW w:w="850" w:type="dxa"/>
            <w:vMerge w:val="restart"/>
            <w:vAlign w:val="center"/>
          </w:tcPr>
          <w:p w14:paraId="4B1947FB">
            <w:pPr>
              <w:pStyle w:val="11"/>
            </w:pPr>
            <w:r>
              <w:t>单价</w:t>
            </w:r>
          </w:p>
        </w:tc>
        <w:tc>
          <w:tcPr>
            <w:tcW w:w="6748" w:type="dxa"/>
            <w:gridSpan w:val="7"/>
            <w:vAlign w:val="center"/>
          </w:tcPr>
          <w:p w14:paraId="14710895">
            <w:pPr>
              <w:pStyle w:val="11"/>
            </w:pPr>
            <w:r>
              <w:t>政府采购金额（当年部门预算安排资金）</w:t>
            </w:r>
          </w:p>
        </w:tc>
        <w:tc>
          <w:tcPr>
            <w:tcW w:w="964" w:type="dxa"/>
            <w:vMerge w:val="restart"/>
            <w:vAlign w:val="center"/>
          </w:tcPr>
          <w:p w14:paraId="688B98A2">
            <w:pPr>
              <w:pStyle w:val="11"/>
            </w:pPr>
            <w:r>
              <w:t>2025年  预留中  小微企  业份额</w:t>
            </w:r>
          </w:p>
        </w:tc>
      </w:tr>
      <w:tr w14:paraId="0A57C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C863E4F">
            <w:pPr>
              <w:pStyle w:val="11"/>
            </w:pPr>
            <w:r>
              <w:t>项目名称</w:t>
            </w:r>
          </w:p>
        </w:tc>
        <w:tc>
          <w:tcPr>
            <w:tcW w:w="964" w:type="dxa"/>
            <w:vAlign w:val="center"/>
          </w:tcPr>
          <w:p w14:paraId="50358BD5">
            <w:pPr>
              <w:pStyle w:val="11"/>
            </w:pPr>
            <w:r>
              <w:t>预算    资金</w:t>
            </w:r>
          </w:p>
        </w:tc>
        <w:tc>
          <w:tcPr>
            <w:tcW w:w="1134" w:type="dxa"/>
            <w:vMerge w:val="continue"/>
          </w:tcPr>
          <w:p w14:paraId="59ADDAED"/>
        </w:tc>
        <w:tc>
          <w:tcPr>
            <w:tcW w:w="1134" w:type="dxa"/>
            <w:vMerge w:val="continue"/>
          </w:tcPr>
          <w:p w14:paraId="6742D922"/>
        </w:tc>
        <w:tc>
          <w:tcPr>
            <w:tcW w:w="709" w:type="dxa"/>
            <w:vMerge w:val="continue"/>
          </w:tcPr>
          <w:p w14:paraId="33B6DCAE"/>
        </w:tc>
        <w:tc>
          <w:tcPr>
            <w:tcW w:w="850" w:type="dxa"/>
            <w:vMerge w:val="continue"/>
          </w:tcPr>
          <w:p w14:paraId="78DFF0B1"/>
        </w:tc>
        <w:tc>
          <w:tcPr>
            <w:tcW w:w="850" w:type="dxa"/>
            <w:vMerge w:val="continue"/>
          </w:tcPr>
          <w:p w14:paraId="5079763C"/>
        </w:tc>
        <w:tc>
          <w:tcPr>
            <w:tcW w:w="964" w:type="dxa"/>
            <w:vAlign w:val="center"/>
          </w:tcPr>
          <w:p w14:paraId="0BBF2ABD">
            <w:pPr>
              <w:pStyle w:val="11"/>
            </w:pPr>
            <w:r>
              <w:t>合计</w:t>
            </w:r>
          </w:p>
        </w:tc>
        <w:tc>
          <w:tcPr>
            <w:tcW w:w="964" w:type="dxa"/>
            <w:vAlign w:val="center"/>
          </w:tcPr>
          <w:p w14:paraId="55C1BDC1">
            <w:pPr>
              <w:pStyle w:val="11"/>
            </w:pPr>
            <w:r>
              <w:t>一般公共预算拨款</w:t>
            </w:r>
          </w:p>
        </w:tc>
        <w:tc>
          <w:tcPr>
            <w:tcW w:w="964" w:type="dxa"/>
            <w:vAlign w:val="center"/>
          </w:tcPr>
          <w:p w14:paraId="7D04E505">
            <w:pPr>
              <w:pStyle w:val="11"/>
            </w:pPr>
            <w:r>
              <w:t>基金预算拨款</w:t>
            </w:r>
          </w:p>
        </w:tc>
        <w:tc>
          <w:tcPr>
            <w:tcW w:w="964" w:type="dxa"/>
            <w:vAlign w:val="center"/>
          </w:tcPr>
          <w:p w14:paraId="32A38DFA">
            <w:pPr>
              <w:pStyle w:val="11"/>
            </w:pPr>
            <w:r>
              <w:t>国有资本经营预算拨款</w:t>
            </w:r>
          </w:p>
        </w:tc>
        <w:tc>
          <w:tcPr>
            <w:tcW w:w="964" w:type="dxa"/>
            <w:vAlign w:val="center"/>
          </w:tcPr>
          <w:p w14:paraId="020E1987">
            <w:pPr>
              <w:pStyle w:val="11"/>
            </w:pPr>
            <w:r>
              <w:t>财政专户核拨</w:t>
            </w:r>
          </w:p>
        </w:tc>
        <w:tc>
          <w:tcPr>
            <w:tcW w:w="964" w:type="dxa"/>
            <w:vAlign w:val="center"/>
          </w:tcPr>
          <w:p w14:paraId="42771772">
            <w:pPr>
              <w:pStyle w:val="11"/>
            </w:pPr>
            <w:r>
              <w:t>单位    资金</w:t>
            </w:r>
          </w:p>
        </w:tc>
        <w:tc>
          <w:tcPr>
            <w:tcW w:w="964" w:type="dxa"/>
            <w:vAlign w:val="center"/>
          </w:tcPr>
          <w:p w14:paraId="348816D0">
            <w:pPr>
              <w:pStyle w:val="11"/>
            </w:pPr>
            <w:r>
              <w:t>上年结转结余</w:t>
            </w:r>
          </w:p>
        </w:tc>
        <w:tc>
          <w:tcPr>
            <w:tcW w:w="964" w:type="dxa"/>
            <w:vMerge w:val="continue"/>
          </w:tcPr>
          <w:p w14:paraId="35C8D90B"/>
        </w:tc>
      </w:tr>
      <w:tr w14:paraId="2F074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5889C4">
            <w:pPr>
              <w:pStyle w:val="15"/>
            </w:pPr>
            <w:r>
              <w:t>合  计</w:t>
            </w:r>
          </w:p>
        </w:tc>
        <w:tc>
          <w:tcPr>
            <w:tcW w:w="964" w:type="dxa"/>
            <w:vAlign w:val="center"/>
          </w:tcPr>
          <w:p w14:paraId="3A1AE173">
            <w:pPr>
              <w:pStyle w:val="16"/>
            </w:pPr>
          </w:p>
        </w:tc>
        <w:tc>
          <w:tcPr>
            <w:tcW w:w="1134" w:type="dxa"/>
            <w:vAlign w:val="center"/>
          </w:tcPr>
          <w:p w14:paraId="711784C4">
            <w:pPr>
              <w:pStyle w:val="17"/>
            </w:pPr>
          </w:p>
        </w:tc>
        <w:tc>
          <w:tcPr>
            <w:tcW w:w="1134" w:type="dxa"/>
            <w:vAlign w:val="center"/>
          </w:tcPr>
          <w:p w14:paraId="22B4B0B5">
            <w:pPr>
              <w:pStyle w:val="17"/>
            </w:pPr>
          </w:p>
        </w:tc>
        <w:tc>
          <w:tcPr>
            <w:tcW w:w="709" w:type="dxa"/>
            <w:vAlign w:val="center"/>
          </w:tcPr>
          <w:p w14:paraId="05BE5CFB">
            <w:pPr>
              <w:pStyle w:val="15"/>
            </w:pPr>
          </w:p>
        </w:tc>
        <w:tc>
          <w:tcPr>
            <w:tcW w:w="850" w:type="dxa"/>
            <w:vAlign w:val="center"/>
          </w:tcPr>
          <w:p w14:paraId="6178F671">
            <w:pPr>
              <w:pStyle w:val="16"/>
            </w:pPr>
          </w:p>
        </w:tc>
        <w:tc>
          <w:tcPr>
            <w:tcW w:w="850" w:type="dxa"/>
            <w:vAlign w:val="center"/>
          </w:tcPr>
          <w:p w14:paraId="64BD931F">
            <w:pPr>
              <w:pStyle w:val="16"/>
            </w:pPr>
          </w:p>
        </w:tc>
        <w:tc>
          <w:tcPr>
            <w:tcW w:w="964" w:type="dxa"/>
            <w:vAlign w:val="center"/>
          </w:tcPr>
          <w:p w14:paraId="5CA3B52B">
            <w:pPr>
              <w:pStyle w:val="16"/>
            </w:pPr>
            <w:r>
              <w:t>23.20</w:t>
            </w:r>
          </w:p>
        </w:tc>
        <w:tc>
          <w:tcPr>
            <w:tcW w:w="964" w:type="dxa"/>
            <w:vAlign w:val="center"/>
          </w:tcPr>
          <w:p w14:paraId="2D2B1982">
            <w:pPr>
              <w:pStyle w:val="16"/>
            </w:pPr>
            <w:r>
              <w:t>23.20</w:t>
            </w:r>
          </w:p>
        </w:tc>
        <w:tc>
          <w:tcPr>
            <w:tcW w:w="964" w:type="dxa"/>
            <w:vAlign w:val="center"/>
          </w:tcPr>
          <w:p w14:paraId="05423DA0">
            <w:pPr>
              <w:pStyle w:val="16"/>
            </w:pPr>
          </w:p>
        </w:tc>
        <w:tc>
          <w:tcPr>
            <w:tcW w:w="964" w:type="dxa"/>
            <w:vAlign w:val="center"/>
          </w:tcPr>
          <w:p w14:paraId="606FE03B">
            <w:pPr>
              <w:pStyle w:val="16"/>
            </w:pPr>
          </w:p>
        </w:tc>
        <w:tc>
          <w:tcPr>
            <w:tcW w:w="964" w:type="dxa"/>
            <w:vAlign w:val="center"/>
          </w:tcPr>
          <w:p w14:paraId="4DF31C47">
            <w:pPr>
              <w:pStyle w:val="16"/>
            </w:pPr>
          </w:p>
        </w:tc>
        <w:tc>
          <w:tcPr>
            <w:tcW w:w="964" w:type="dxa"/>
            <w:vAlign w:val="center"/>
          </w:tcPr>
          <w:p w14:paraId="1A9D0AC6">
            <w:pPr>
              <w:pStyle w:val="16"/>
            </w:pPr>
          </w:p>
        </w:tc>
        <w:tc>
          <w:tcPr>
            <w:tcW w:w="964" w:type="dxa"/>
            <w:vAlign w:val="center"/>
          </w:tcPr>
          <w:p w14:paraId="42465B38">
            <w:pPr>
              <w:pStyle w:val="16"/>
            </w:pPr>
          </w:p>
        </w:tc>
        <w:tc>
          <w:tcPr>
            <w:tcW w:w="964" w:type="dxa"/>
            <w:vAlign w:val="center"/>
          </w:tcPr>
          <w:p w14:paraId="233DFF16">
            <w:pPr>
              <w:pStyle w:val="16"/>
            </w:pPr>
            <w:r>
              <w:t>23.20</w:t>
            </w:r>
          </w:p>
        </w:tc>
      </w:tr>
      <w:tr w14:paraId="7D542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1A671B">
            <w:pPr>
              <w:pStyle w:val="15"/>
            </w:pPr>
            <w:r>
              <w:t>隆尧县尹村校区小计</w:t>
            </w:r>
          </w:p>
        </w:tc>
        <w:tc>
          <w:tcPr>
            <w:tcW w:w="964" w:type="dxa"/>
            <w:vAlign w:val="center"/>
          </w:tcPr>
          <w:p w14:paraId="3D08FE4D">
            <w:pPr>
              <w:pStyle w:val="16"/>
            </w:pPr>
          </w:p>
        </w:tc>
        <w:tc>
          <w:tcPr>
            <w:tcW w:w="1134" w:type="dxa"/>
            <w:vAlign w:val="center"/>
          </w:tcPr>
          <w:p w14:paraId="074964DE">
            <w:pPr>
              <w:pStyle w:val="17"/>
            </w:pPr>
          </w:p>
        </w:tc>
        <w:tc>
          <w:tcPr>
            <w:tcW w:w="1134" w:type="dxa"/>
            <w:vAlign w:val="center"/>
          </w:tcPr>
          <w:p w14:paraId="6AF8A273">
            <w:pPr>
              <w:pStyle w:val="17"/>
            </w:pPr>
          </w:p>
        </w:tc>
        <w:tc>
          <w:tcPr>
            <w:tcW w:w="709" w:type="dxa"/>
            <w:vAlign w:val="center"/>
          </w:tcPr>
          <w:p w14:paraId="30829DF0">
            <w:pPr>
              <w:pStyle w:val="15"/>
            </w:pPr>
          </w:p>
        </w:tc>
        <w:tc>
          <w:tcPr>
            <w:tcW w:w="850" w:type="dxa"/>
            <w:vAlign w:val="center"/>
          </w:tcPr>
          <w:p w14:paraId="40DE89E5">
            <w:pPr>
              <w:pStyle w:val="16"/>
            </w:pPr>
          </w:p>
        </w:tc>
        <w:tc>
          <w:tcPr>
            <w:tcW w:w="850" w:type="dxa"/>
            <w:vAlign w:val="center"/>
          </w:tcPr>
          <w:p w14:paraId="675E9D93">
            <w:pPr>
              <w:pStyle w:val="16"/>
            </w:pPr>
          </w:p>
        </w:tc>
        <w:tc>
          <w:tcPr>
            <w:tcW w:w="964" w:type="dxa"/>
            <w:vAlign w:val="center"/>
          </w:tcPr>
          <w:p w14:paraId="40ACF7BA">
            <w:pPr>
              <w:pStyle w:val="16"/>
            </w:pPr>
            <w:r>
              <w:t>23.20</w:t>
            </w:r>
          </w:p>
        </w:tc>
        <w:tc>
          <w:tcPr>
            <w:tcW w:w="964" w:type="dxa"/>
            <w:vAlign w:val="center"/>
          </w:tcPr>
          <w:p w14:paraId="172083CE">
            <w:pPr>
              <w:pStyle w:val="16"/>
            </w:pPr>
            <w:r>
              <w:t>23.20</w:t>
            </w:r>
          </w:p>
        </w:tc>
        <w:tc>
          <w:tcPr>
            <w:tcW w:w="964" w:type="dxa"/>
            <w:vAlign w:val="center"/>
          </w:tcPr>
          <w:p w14:paraId="02A6D945">
            <w:pPr>
              <w:pStyle w:val="16"/>
            </w:pPr>
          </w:p>
        </w:tc>
        <w:tc>
          <w:tcPr>
            <w:tcW w:w="964" w:type="dxa"/>
            <w:vAlign w:val="center"/>
          </w:tcPr>
          <w:p w14:paraId="29F18175">
            <w:pPr>
              <w:pStyle w:val="16"/>
            </w:pPr>
          </w:p>
        </w:tc>
        <w:tc>
          <w:tcPr>
            <w:tcW w:w="964" w:type="dxa"/>
            <w:vAlign w:val="center"/>
          </w:tcPr>
          <w:p w14:paraId="1B19CBFF">
            <w:pPr>
              <w:pStyle w:val="16"/>
            </w:pPr>
          </w:p>
        </w:tc>
        <w:tc>
          <w:tcPr>
            <w:tcW w:w="964" w:type="dxa"/>
            <w:vAlign w:val="center"/>
          </w:tcPr>
          <w:p w14:paraId="5B3E8DF2">
            <w:pPr>
              <w:pStyle w:val="16"/>
            </w:pPr>
          </w:p>
        </w:tc>
        <w:tc>
          <w:tcPr>
            <w:tcW w:w="964" w:type="dxa"/>
            <w:vAlign w:val="center"/>
          </w:tcPr>
          <w:p w14:paraId="193F201F">
            <w:pPr>
              <w:pStyle w:val="16"/>
            </w:pPr>
          </w:p>
        </w:tc>
        <w:tc>
          <w:tcPr>
            <w:tcW w:w="964" w:type="dxa"/>
            <w:vAlign w:val="center"/>
          </w:tcPr>
          <w:p w14:paraId="62A60A45">
            <w:pPr>
              <w:pStyle w:val="16"/>
            </w:pPr>
            <w:r>
              <w:t>23.20</w:t>
            </w:r>
          </w:p>
        </w:tc>
      </w:tr>
      <w:tr w14:paraId="2C8BA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DA0883">
            <w:pPr>
              <w:pStyle w:val="13"/>
            </w:pPr>
            <w:r>
              <w:t>冀财教[2024]123号/中央/2025年义教补助经费/大霍小学公用经费</w:t>
            </w:r>
          </w:p>
        </w:tc>
        <w:tc>
          <w:tcPr>
            <w:tcW w:w="964" w:type="dxa"/>
            <w:vAlign w:val="center"/>
          </w:tcPr>
          <w:p w14:paraId="4736C8FA">
            <w:pPr>
              <w:pStyle w:val="14"/>
            </w:pPr>
            <w:r>
              <w:t>84.86</w:t>
            </w:r>
          </w:p>
        </w:tc>
        <w:tc>
          <w:tcPr>
            <w:tcW w:w="1134" w:type="dxa"/>
            <w:vAlign w:val="center"/>
          </w:tcPr>
          <w:p w14:paraId="3231E85D">
            <w:pPr>
              <w:pStyle w:val="13"/>
            </w:pPr>
            <w:r>
              <w:t>台式计算机</w:t>
            </w:r>
          </w:p>
        </w:tc>
        <w:tc>
          <w:tcPr>
            <w:tcW w:w="1134" w:type="dxa"/>
            <w:vAlign w:val="center"/>
          </w:tcPr>
          <w:p w14:paraId="305160B5">
            <w:pPr>
              <w:pStyle w:val="13"/>
            </w:pPr>
            <w:r>
              <w:t>A02010105</w:t>
            </w:r>
          </w:p>
        </w:tc>
        <w:tc>
          <w:tcPr>
            <w:tcW w:w="709" w:type="dxa"/>
            <w:vAlign w:val="center"/>
          </w:tcPr>
          <w:p w14:paraId="1B6C4F29">
            <w:pPr>
              <w:pStyle w:val="12"/>
            </w:pPr>
            <w:r>
              <w:t>台</w:t>
            </w:r>
          </w:p>
        </w:tc>
        <w:tc>
          <w:tcPr>
            <w:tcW w:w="850" w:type="dxa"/>
            <w:vAlign w:val="center"/>
          </w:tcPr>
          <w:p w14:paraId="25611999">
            <w:pPr>
              <w:pStyle w:val="14"/>
            </w:pPr>
            <w:r>
              <w:t>15</w:t>
            </w:r>
          </w:p>
        </w:tc>
        <w:tc>
          <w:tcPr>
            <w:tcW w:w="850" w:type="dxa"/>
            <w:vAlign w:val="center"/>
          </w:tcPr>
          <w:p w14:paraId="70D140D8">
            <w:pPr>
              <w:pStyle w:val="14"/>
            </w:pPr>
            <w:r>
              <w:t>0.45</w:t>
            </w:r>
          </w:p>
        </w:tc>
        <w:tc>
          <w:tcPr>
            <w:tcW w:w="964" w:type="dxa"/>
            <w:vAlign w:val="center"/>
          </w:tcPr>
          <w:p w14:paraId="1B618E48">
            <w:pPr>
              <w:pStyle w:val="14"/>
            </w:pPr>
            <w:r>
              <w:t>6.75</w:t>
            </w:r>
          </w:p>
        </w:tc>
        <w:tc>
          <w:tcPr>
            <w:tcW w:w="964" w:type="dxa"/>
            <w:vAlign w:val="center"/>
          </w:tcPr>
          <w:p w14:paraId="06FBD3B5">
            <w:pPr>
              <w:pStyle w:val="14"/>
            </w:pPr>
            <w:r>
              <w:t>6.75</w:t>
            </w:r>
          </w:p>
        </w:tc>
        <w:tc>
          <w:tcPr>
            <w:tcW w:w="964" w:type="dxa"/>
            <w:vAlign w:val="center"/>
          </w:tcPr>
          <w:p w14:paraId="5D03D3D4">
            <w:pPr>
              <w:pStyle w:val="14"/>
            </w:pPr>
          </w:p>
        </w:tc>
        <w:tc>
          <w:tcPr>
            <w:tcW w:w="964" w:type="dxa"/>
            <w:vAlign w:val="center"/>
          </w:tcPr>
          <w:p w14:paraId="1F29AFBA">
            <w:pPr>
              <w:pStyle w:val="14"/>
            </w:pPr>
          </w:p>
        </w:tc>
        <w:tc>
          <w:tcPr>
            <w:tcW w:w="964" w:type="dxa"/>
            <w:vAlign w:val="center"/>
          </w:tcPr>
          <w:p w14:paraId="794711AF">
            <w:pPr>
              <w:pStyle w:val="14"/>
            </w:pPr>
          </w:p>
        </w:tc>
        <w:tc>
          <w:tcPr>
            <w:tcW w:w="964" w:type="dxa"/>
            <w:vAlign w:val="center"/>
          </w:tcPr>
          <w:p w14:paraId="1EB2132F">
            <w:pPr>
              <w:pStyle w:val="14"/>
            </w:pPr>
          </w:p>
        </w:tc>
        <w:tc>
          <w:tcPr>
            <w:tcW w:w="964" w:type="dxa"/>
            <w:vAlign w:val="center"/>
          </w:tcPr>
          <w:p w14:paraId="77008DEA">
            <w:pPr>
              <w:pStyle w:val="14"/>
            </w:pPr>
          </w:p>
        </w:tc>
        <w:tc>
          <w:tcPr>
            <w:tcW w:w="964" w:type="dxa"/>
            <w:vAlign w:val="center"/>
          </w:tcPr>
          <w:p w14:paraId="2A76B6CF">
            <w:pPr>
              <w:pStyle w:val="14"/>
            </w:pPr>
            <w:r>
              <w:t>6.75</w:t>
            </w:r>
          </w:p>
        </w:tc>
      </w:tr>
      <w:tr w14:paraId="5F521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D405C40">
            <w:pPr>
              <w:pStyle w:val="13"/>
            </w:pPr>
            <w:r>
              <w:t>冀财教[2024]123号/中央/2025年义教补助经费/大霍小学公用经费</w:t>
            </w:r>
          </w:p>
        </w:tc>
        <w:tc>
          <w:tcPr>
            <w:tcW w:w="964" w:type="dxa"/>
            <w:vAlign w:val="center"/>
          </w:tcPr>
          <w:p w14:paraId="65087FD0">
            <w:pPr>
              <w:pStyle w:val="14"/>
            </w:pPr>
            <w:r>
              <w:t>84.86</w:t>
            </w:r>
          </w:p>
        </w:tc>
        <w:tc>
          <w:tcPr>
            <w:tcW w:w="1134" w:type="dxa"/>
            <w:vAlign w:val="center"/>
          </w:tcPr>
          <w:p w14:paraId="1BBFCB29">
            <w:pPr>
              <w:pStyle w:val="13"/>
            </w:pPr>
            <w:r>
              <w:t>台式计算机</w:t>
            </w:r>
          </w:p>
        </w:tc>
        <w:tc>
          <w:tcPr>
            <w:tcW w:w="1134" w:type="dxa"/>
            <w:vAlign w:val="center"/>
          </w:tcPr>
          <w:p w14:paraId="401689CE">
            <w:pPr>
              <w:pStyle w:val="13"/>
            </w:pPr>
            <w:r>
              <w:t>A02010105</w:t>
            </w:r>
          </w:p>
        </w:tc>
        <w:tc>
          <w:tcPr>
            <w:tcW w:w="709" w:type="dxa"/>
            <w:vAlign w:val="center"/>
          </w:tcPr>
          <w:p w14:paraId="6E2D22E7">
            <w:pPr>
              <w:pStyle w:val="12"/>
            </w:pPr>
            <w:r>
              <w:t xml:space="preserve">台 </w:t>
            </w:r>
          </w:p>
        </w:tc>
        <w:tc>
          <w:tcPr>
            <w:tcW w:w="850" w:type="dxa"/>
            <w:vAlign w:val="center"/>
          </w:tcPr>
          <w:p w14:paraId="7C2361E8">
            <w:pPr>
              <w:pStyle w:val="14"/>
            </w:pPr>
            <w:r>
              <w:t>7</w:t>
            </w:r>
          </w:p>
        </w:tc>
        <w:tc>
          <w:tcPr>
            <w:tcW w:w="850" w:type="dxa"/>
            <w:vAlign w:val="center"/>
          </w:tcPr>
          <w:p w14:paraId="2EFFFECE">
            <w:pPr>
              <w:pStyle w:val="14"/>
            </w:pPr>
            <w:r>
              <w:t>0.35</w:t>
            </w:r>
          </w:p>
        </w:tc>
        <w:tc>
          <w:tcPr>
            <w:tcW w:w="964" w:type="dxa"/>
            <w:vAlign w:val="center"/>
          </w:tcPr>
          <w:p w14:paraId="1FD91011">
            <w:pPr>
              <w:pStyle w:val="14"/>
            </w:pPr>
            <w:r>
              <w:t>2.45</w:t>
            </w:r>
          </w:p>
        </w:tc>
        <w:tc>
          <w:tcPr>
            <w:tcW w:w="964" w:type="dxa"/>
            <w:vAlign w:val="center"/>
          </w:tcPr>
          <w:p w14:paraId="128B90CB">
            <w:pPr>
              <w:pStyle w:val="14"/>
            </w:pPr>
            <w:r>
              <w:t>2.45</w:t>
            </w:r>
          </w:p>
        </w:tc>
        <w:tc>
          <w:tcPr>
            <w:tcW w:w="964" w:type="dxa"/>
            <w:vAlign w:val="center"/>
          </w:tcPr>
          <w:p w14:paraId="2F096CAE">
            <w:pPr>
              <w:pStyle w:val="14"/>
            </w:pPr>
          </w:p>
        </w:tc>
        <w:tc>
          <w:tcPr>
            <w:tcW w:w="964" w:type="dxa"/>
            <w:vAlign w:val="center"/>
          </w:tcPr>
          <w:p w14:paraId="4EB07F03">
            <w:pPr>
              <w:pStyle w:val="14"/>
            </w:pPr>
          </w:p>
        </w:tc>
        <w:tc>
          <w:tcPr>
            <w:tcW w:w="964" w:type="dxa"/>
            <w:vAlign w:val="center"/>
          </w:tcPr>
          <w:p w14:paraId="6E793635">
            <w:pPr>
              <w:pStyle w:val="14"/>
            </w:pPr>
          </w:p>
        </w:tc>
        <w:tc>
          <w:tcPr>
            <w:tcW w:w="964" w:type="dxa"/>
            <w:vAlign w:val="center"/>
          </w:tcPr>
          <w:p w14:paraId="6DAC64A1">
            <w:pPr>
              <w:pStyle w:val="14"/>
            </w:pPr>
          </w:p>
        </w:tc>
        <w:tc>
          <w:tcPr>
            <w:tcW w:w="964" w:type="dxa"/>
            <w:vAlign w:val="center"/>
          </w:tcPr>
          <w:p w14:paraId="4C016B84">
            <w:pPr>
              <w:pStyle w:val="14"/>
            </w:pPr>
          </w:p>
        </w:tc>
        <w:tc>
          <w:tcPr>
            <w:tcW w:w="964" w:type="dxa"/>
            <w:vAlign w:val="center"/>
          </w:tcPr>
          <w:p w14:paraId="52EA8F36">
            <w:pPr>
              <w:pStyle w:val="14"/>
            </w:pPr>
            <w:r>
              <w:t>2.45</w:t>
            </w:r>
          </w:p>
        </w:tc>
      </w:tr>
      <w:tr w14:paraId="177C5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09A3C4">
            <w:pPr>
              <w:pStyle w:val="13"/>
            </w:pPr>
            <w:r>
              <w:t>冀财教[2024]123号/中央/2025年义教补助经费/大宁甫小学公用经费</w:t>
            </w:r>
          </w:p>
        </w:tc>
        <w:tc>
          <w:tcPr>
            <w:tcW w:w="964" w:type="dxa"/>
            <w:vAlign w:val="center"/>
          </w:tcPr>
          <w:p w14:paraId="23B55254">
            <w:pPr>
              <w:pStyle w:val="14"/>
            </w:pPr>
            <w:r>
              <w:t>42.82</w:t>
            </w:r>
          </w:p>
        </w:tc>
        <w:tc>
          <w:tcPr>
            <w:tcW w:w="1134" w:type="dxa"/>
            <w:vAlign w:val="center"/>
          </w:tcPr>
          <w:p w14:paraId="315BA3D8">
            <w:pPr>
              <w:pStyle w:val="13"/>
            </w:pPr>
            <w:r>
              <w:t>台式计算机</w:t>
            </w:r>
          </w:p>
        </w:tc>
        <w:tc>
          <w:tcPr>
            <w:tcW w:w="1134" w:type="dxa"/>
            <w:vAlign w:val="center"/>
          </w:tcPr>
          <w:p w14:paraId="12C3D9E3">
            <w:pPr>
              <w:pStyle w:val="13"/>
            </w:pPr>
            <w:r>
              <w:t>A02010105</w:t>
            </w:r>
          </w:p>
        </w:tc>
        <w:tc>
          <w:tcPr>
            <w:tcW w:w="709" w:type="dxa"/>
            <w:vAlign w:val="center"/>
          </w:tcPr>
          <w:p w14:paraId="3507D69E">
            <w:pPr>
              <w:pStyle w:val="12"/>
            </w:pPr>
            <w:r>
              <w:t>台</w:t>
            </w:r>
          </w:p>
        </w:tc>
        <w:tc>
          <w:tcPr>
            <w:tcW w:w="850" w:type="dxa"/>
            <w:vAlign w:val="center"/>
          </w:tcPr>
          <w:p w14:paraId="51D518C0">
            <w:pPr>
              <w:pStyle w:val="14"/>
            </w:pPr>
            <w:r>
              <w:t>10</w:t>
            </w:r>
          </w:p>
        </w:tc>
        <w:tc>
          <w:tcPr>
            <w:tcW w:w="850" w:type="dxa"/>
            <w:vAlign w:val="center"/>
          </w:tcPr>
          <w:p w14:paraId="0A78FC0C">
            <w:pPr>
              <w:pStyle w:val="14"/>
            </w:pPr>
            <w:r>
              <w:t>0.30</w:t>
            </w:r>
          </w:p>
        </w:tc>
        <w:tc>
          <w:tcPr>
            <w:tcW w:w="964" w:type="dxa"/>
            <w:vAlign w:val="center"/>
          </w:tcPr>
          <w:p w14:paraId="7D03EFE1">
            <w:pPr>
              <w:pStyle w:val="14"/>
            </w:pPr>
            <w:r>
              <w:t>3.00</w:t>
            </w:r>
          </w:p>
        </w:tc>
        <w:tc>
          <w:tcPr>
            <w:tcW w:w="964" w:type="dxa"/>
            <w:vAlign w:val="center"/>
          </w:tcPr>
          <w:p w14:paraId="11694290">
            <w:pPr>
              <w:pStyle w:val="14"/>
            </w:pPr>
            <w:r>
              <w:t>3.00</w:t>
            </w:r>
          </w:p>
        </w:tc>
        <w:tc>
          <w:tcPr>
            <w:tcW w:w="964" w:type="dxa"/>
            <w:vAlign w:val="center"/>
          </w:tcPr>
          <w:p w14:paraId="5D8867B0">
            <w:pPr>
              <w:pStyle w:val="14"/>
            </w:pPr>
          </w:p>
        </w:tc>
        <w:tc>
          <w:tcPr>
            <w:tcW w:w="964" w:type="dxa"/>
            <w:vAlign w:val="center"/>
          </w:tcPr>
          <w:p w14:paraId="6E1226F8">
            <w:pPr>
              <w:pStyle w:val="14"/>
            </w:pPr>
          </w:p>
        </w:tc>
        <w:tc>
          <w:tcPr>
            <w:tcW w:w="964" w:type="dxa"/>
            <w:vAlign w:val="center"/>
          </w:tcPr>
          <w:p w14:paraId="536186CC">
            <w:pPr>
              <w:pStyle w:val="14"/>
            </w:pPr>
          </w:p>
        </w:tc>
        <w:tc>
          <w:tcPr>
            <w:tcW w:w="964" w:type="dxa"/>
            <w:vAlign w:val="center"/>
          </w:tcPr>
          <w:p w14:paraId="0A3EEF80">
            <w:pPr>
              <w:pStyle w:val="14"/>
            </w:pPr>
          </w:p>
        </w:tc>
        <w:tc>
          <w:tcPr>
            <w:tcW w:w="964" w:type="dxa"/>
            <w:vAlign w:val="center"/>
          </w:tcPr>
          <w:p w14:paraId="72C12125">
            <w:pPr>
              <w:pStyle w:val="14"/>
            </w:pPr>
          </w:p>
        </w:tc>
        <w:tc>
          <w:tcPr>
            <w:tcW w:w="964" w:type="dxa"/>
            <w:vAlign w:val="center"/>
          </w:tcPr>
          <w:p w14:paraId="2FAAB62E">
            <w:pPr>
              <w:pStyle w:val="14"/>
            </w:pPr>
            <w:r>
              <w:t>3.00</w:t>
            </w:r>
          </w:p>
        </w:tc>
      </w:tr>
      <w:tr w14:paraId="0C99C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A02264">
            <w:pPr>
              <w:pStyle w:val="13"/>
            </w:pPr>
            <w:r>
              <w:t>冀财教[2024]123号/中央/2025年义教补助经费/大宁甫小学公用经费</w:t>
            </w:r>
          </w:p>
        </w:tc>
        <w:tc>
          <w:tcPr>
            <w:tcW w:w="964" w:type="dxa"/>
            <w:vAlign w:val="center"/>
          </w:tcPr>
          <w:p w14:paraId="2F96D0CE">
            <w:pPr>
              <w:pStyle w:val="14"/>
            </w:pPr>
            <w:r>
              <w:t>42.82</w:t>
            </w:r>
          </w:p>
        </w:tc>
        <w:tc>
          <w:tcPr>
            <w:tcW w:w="1134" w:type="dxa"/>
            <w:vAlign w:val="center"/>
          </w:tcPr>
          <w:p w14:paraId="195BE3E1">
            <w:pPr>
              <w:pStyle w:val="13"/>
            </w:pPr>
            <w:r>
              <w:t>空调机</w:t>
            </w:r>
          </w:p>
        </w:tc>
        <w:tc>
          <w:tcPr>
            <w:tcW w:w="1134" w:type="dxa"/>
            <w:vAlign w:val="center"/>
          </w:tcPr>
          <w:p w14:paraId="39B4B3F0">
            <w:pPr>
              <w:pStyle w:val="13"/>
            </w:pPr>
            <w:r>
              <w:t>A02061804</w:t>
            </w:r>
          </w:p>
        </w:tc>
        <w:tc>
          <w:tcPr>
            <w:tcW w:w="709" w:type="dxa"/>
            <w:vAlign w:val="center"/>
          </w:tcPr>
          <w:p w14:paraId="5907284F">
            <w:pPr>
              <w:pStyle w:val="12"/>
            </w:pPr>
            <w:r>
              <w:t>台</w:t>
            </w:r>
          </w:p>
        </w:tc>
        <w:tc>
          <w:tcPr>
            <w:tcW w:w="850" w:type="dxa"/>
            <w:vAlign w:val="center"/>
          </w:tcPr>
          <w:p w14:paraId="5EC859A5">
            <w:pPr>
              <w:pStyle w:val="14"/>
            </w:pPr>
            <w:r>
              <w:t>3</w:t>
            </w:r>
          </w:p>
        </w:tc>
        <w:tc>
          <w:tcPr>
            <w:tcW w:w="850" w:type="dxa"/>
            <w:vAlign w:val="center"/>
          </w:tcPr>
          <w:p w14:paraId="3BF183CF">
            <w:pPr>
              <w:pStyle w:val="14"/>
            </w:pPr>
            <w:r>
              <w:t>0.40</w:t>
            </w:r>
          </w:p>
        </w:tc>
        <w:tc>
          <w:tcPr>
            <w:tcW w:w="964" w:type="dxa"/>
            <w:vAlign w:val="center"/>
          </w:tcPr>
          <w:p w14:paraId="2FE4364A">
            <w:pPr>
              <w:pStyle w:val="14"/>
            </w:pPr>
            <w:r>
              <w:t>1.20</w:t>
            </w:r>
          </w:p>
        </w:tc>
        <w:tc>
          <w:tcPr>
            <w:tcW w:w="964" w:type="dxa"/>
            <w:vAlign w:val="center"/>
          </w:tcPr>
          <w:p w14:paraId="3BF5EA8A">
            <w:pPr>
              <w:pStyle w:val="14"/>
            </w:pPr>
            <w:r>
              <w:t>1.20</w:t>
            </w:r>
          </w:p>
        </w:tc>
        <w:tc>
          <w:tcPr>
            <w:tcW w:w="964" w:type="dxa"/>
            <w:vAlign w:val="center"/>
          </w:tcPr>
          <w:p w14:paraId="6016D3B9">
            <w:pPr>
              <w:pStyle w:val="14"/>
            </w:pPr>
          </w:p>
        </w:tc>
        <w:tc>
          <w:tcPr>
            <w:tcW w:w="964" w:type="dxa"/>
            <w:vAlign w:val="center"/>
          </w:tcPr>
          <w:p w14:paraId="6F22B013">
            <w:pPr>
              <w:pStyle w:val="14"/>
            </w:pPr>
          </w:p>
        </w:tc>
        <w:tc>
          <w:tcPr>
            <w:tcW w:w="964" w:type="dxa"/>
            <w:vAlign w:val="center"/>
          </w:tcPr>
          <w:p w14:paraId="78A0D721">
            <w:pPr>
              <w:pStyle w:val="14"/>
            </w:pPr>
          </w:p>
        </w:tc>
        <w:tc>
          <w:tcPr>
            <w:tcW w:w="964" w:type="dxa"/>
            <w:vAlign w:val="center"/>
          </w:tcPr>
          <w:p w14:paraId="483497AC">
            <w:pPr>
              <w:pStyle w:val="14"/>
            </w:pPr>
          </w:p>
        </w:tc>
        <w:tc>
          <w:tcPr>
            <w:tcW w:w="964" w:type="dxa"/>
            <w:vAlign w:val="center"/>
          </w:tcPr>
          <w:p w14:paraId="7A7C6470">
            <w:pPr>
              <w:pStyle w:val="14"/>
            </w:pPr>
          </w:p>
        </w:tc>
        <w:tc>
          <w:tcPr>
            <w:tcW w:w="964" w:type="dxa"/>
            <w:vAlign w:val="center"/>
          </w:tcPr>
          <w:p w14:paraId="2CE24764">
            <w:pPr>
              <w:pStyle w:val="14"/>
            </w:pPr>
            <w:r>
              <w:t>1.20</w:t>
            </w:r>
          </w:p>
        </w:tc>
      </w:tr>
      <w:tr w14:paraId="7B7B0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1E3E7A">
            <w:pPr>
              <w:pStyle w:val="13"/>
            </w:pPr>
            <w:r>
              <w:t>冀财教[2024]123号/中央/2025年义教补助经费/东尹小学公用经费</w:t>
            </w:r>
          </w:p>
        </w:tc>
        <w:tc>
          <w:tcPr>
            <w:tcW w:w="964" w:type="dxa"/>
            <w:vAlign w:val="center"/>
          </w:tcPr>
          <w:p w14:paraId="24517E2E">
            <w:pPr>
              <w:pStyle w:val="14"/>
            </w:pPr>
            <w:r>
              <w:t>13.43</w:t>
            </w:r>
          </w:p>
        </w:tc>
        <w:tc>
          <w:tcPr>
            <w:tcW w:w="1134" w:type="dxa"/>
            <w:vAlign w:val="center"/>
          </w:tcPr>
          <w:p w14:paraId="67708891">
            <w:pPr>
              <w:pStyle w:val="13"/>
            </w:pPr>
            <w:r>
              <w:t>台式计算机</w:t>
            </w:r>
          </w:p>
        </w:tc>
        <w:tc>
          <w:tcPr>
            <w:tcW w:w="1134" w:type="dxa"/>
            <w:vAlign w:val="center"/>
          </w:tcPr>
          <w:p w14:paraId="64390ED3">
            <w:pPr>
              <w:pStyle w:val="13"/>
            </w:pPr>
            <w:r>
              <w:t>A02010105</w:t>
            </w:r>
          </w:p>
        </w:tc>
        <w:tc>
          <w:tcPr>
            <w:tcW w:w="709" w:type="dxa"/>
            <w:vAlign w:val="center"/>
          </w:tcPr>
          <w:p w14:paraId="66E24569">
            <w:pPr>
              <w:pStyle w:val="12"/>
            </w:pPr>
            <w:r>
              <w:t>台</w:t>
            </w:r>
          </w:p>
        </w:tc>
        <w:tc>
          <w:tcPr>
            <w:tcW w:w="850" w:type="dxa"/>
            <w:vAlign w:val="center"/>
          </w:tcPr>
          <w:p w14:paraId="0F0F73A8">
            <w:pPr>
              <w:pStyle w:val="14"/>
            </w:pPr>
            <w:r>
              <w:t>4</w:t>
            </w:r>
          </w:p>
        </w:tc>
        <w:tc>
          <w:tcPr>
            <w:tcW w:w="850" w:type="dxa"/>
            <w:vAlign w:val="center"/>
          </w:tcPr>
          <w:p w14:paraId="247AF837">
            <w:pPr>
              <w:pStyle w:val="14"/>
            </w:pPr>
            <w:r>
              <w:t>0.35</w:t>
            </w:r>
          </w:p>
        </w:tc>
        <w:tc>
          <w:tcPr>
            <w:tcW w:w="964" w:type="dxa"/>
            <w:vAlign w:val="center"/>
          </w:tcPr>
          <w:p w14:paraId="1FD6272D">
            <w:pPr>
              <w:pStyle w:val="14"/>
            </w:pPr>
            <w:r>
              <w:t>1.40</w:t>
            </w:r>
          </w:p>
        </w:tc>
        <w:tc>
          <w:tcPr>
            <w:tcW w:w="964" w:type="dxa"/>
            <w:vAlign w:val="center"/>
          </w:tcPr>
          <w:p w14:paraId="77A07610">
            <w:pPr>
              <w:pStyle w:val="14"/>
            </w:pPr>
            <w:r>
              <w:t>1.40</w:t>
            </w:r>
          </w:p>
        </w:tc>
        <w:tc>
          <w:tcPr>
            <w:tcW w:w="964" w:type="dxa"/>
            <w:vAlign w:val="center"/>
          </w:tcPr>
          <w:p w14:paraId="185DBD41">
            <w:pPr>
              <w:pStyle w:val="14"/>
            </w:pPr>
          </w:p>
        </w:tc>
        <w:tc>
          <w:tcPr>
            <w:tcW w:w="964" w:type="dxa"/>
            <w:vAlign w:val="center"/>
          </w:tcPr>
          <w:p w14:paraId="4CF5776D">
            <w:pPr>
              <w:pStyle w:val="14"/>
            </w:pPr>
          </w:p>
        </w:tc>
        <w:tc>
          <w:tcPr>
            <w:tcW w:w="964" w:type="dxa"/>
            <w:vAlign w:val="center"/>
          </w:tcPr>
          <w:p w14:paraId="0FB25FB6">
            <w:pPr>
              <w:pStyle w:val="14"/>
            </w:pPr>
          </w:p>
        </w:tc>
        <w:tc>
          <w:tcPr>
            <w:tcW w:w="964" w:type="dxa"/>
            <w:vAlign w:val="center"/>
          </w:tcPr>
          <w:p w14:paraId="72A405F5">
            <w:pPr>
              <w:pStyle w:val="14"/>
            </w:pPr>
          </w:p>
        </w:tc>
        <w:tc>
          <w:tcPr>
            <w:tcW w:w="964" w:type="dxa"/>
            <w:vAlign w:val="center"/>
          </w:tcPr>
          <w:p w14:paraId="3784E3F6">
            <w:pPr>
              <w:pStyle w:val="14"/>
            </w:pPr>
          </w:p>
        </w:tc>
        <w:tc>
          <w:tcPr>
            <w:tcW w:w="964" w:type="dxa"/>
            <w:vAlign w:val="center"/>
          </w:tcPr>
          <w:p w14:paraId="5AC9AADC">
            <w:pPr>
              <w:pStyle w:val="14"/>
            </w:pPr>
            <w:r>
              <w:t>1.40</w:t>
            </w:r>
          </w:p>
        </w:tc>
      </w:tr>
      <w:tr w14:paraId="1D656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C49ED2">
            <w:pPr>
              <w:pStyle w:val="13"/>
            </w:pPr>
            <w:r>
              <w:t>冀财教[2024]123号/中央/2025年义教补助经费/良村小学公用经费</w:t>
            </w:r>
          </w:p>
        </w:tc>
        <w:tc>
          <w:tcPr>
            <w:tcW w:w="964" w:type="dxa"/>
            <w:vAlign w:val="center"/>
          </w:tcPr>
          <w:p w14:paraId="33ABDC72">
            <w:pPr>
              <w:pStyle w:val="14"/>
            </w:pPr>
            <w:r>
              <w:t>9.50</w:t>
            </w:r>
          </w:p>
        </w:tc>
        <w:tc>
          <w:tcPr>
            <w:tcW w:w="1134" w:type="dxa"/>
            <w:vAlign w:val="center"/>
          </w:tcPr>
          <w:p w14:paraId="69DC805F">
            <w:pPr>
              <w:pStyle w:val="13"/>
            </w:pPr>
            <w:r>
              <w:t>台式计算机</w:t>
            </w:r>
          </w:p>
        </w:tc>
        <w:tc>
          <w:tcPr>
            <w:tcW w:w="1134" w:type="dxa"/>
            <w:vAlign w:val="center"/>
          </w:tcPr>
          <w:p w14:paraId="0B280298">
            <w:pPr>
              <w:pStyle w:val="13"/>
            </w:pPr>
            <w:r>
              <w:t>A02010105</w:t>
            </w:r>
          </w:p>
        </w:tc>
        <w:tc>
          <w:tcPr>
            <w:tcW w:w="709" w:type="dxa"/>
            <w:vAlign w:val="center"/>
          </w:tcPr>
          <w:p w14:paraId="6C0C35EC">
            <w:pPr>
              <w:pStyle w:val="12"/>
            </w:pPr>
            <w:r>
              <w:t>台</w:t>
            </w:r>
          </w:p>
        </w:tc>
        <w:tc>
          <w:tcPr>
            <w:tcW w:w="850" w:type="dxa"/>
            <w:vAlign w:val="center"/>
          </w:tcPr>
          <w:p w14:paraId="2926D090">
            <w:pPr>
              <w:pStyle w:val="14"/>
            </w:pPr>
            <w:r>
              <w:t>8</w:t>
            </w:r>
          </w:p>
        </w:tc>
        <w:tc>
          <w:tcPr>
            <w:tcW w:w="850" w:type="dxa"/>
            <w:vAlign w:val="center"/>
          </w:tcPr>
          <w:p w14:paraId="39F673E2">
            <w:pPr>
              <w:pStyle w:val="14"/>
            </w:pPr>
            <w:r>
              <w:t>0.30</w:t>
            </w:r>
          </w:p>
        </w:tc>
        <w:tc>
          <w:tcPr>
            <w:tcW w:w="964" w:type="dxa"/>
            <w:vAlign w:val="center"/>
          </w:tcPr>
          <w:p w14:paraId="18BBEDCB">
            <w:pPr>
              <w:pStyle w:val="14"/>
            </w:pPr>
            <w:r>
              <w:t>2.40</w:t>
            </w:r>
          </w:p>
        </w:tc>
        <w:tc>
          <w:tcPr>
            <w:tcW w:w="964" w:type="dxa"/>
            <w:vAlign w:val="center"/>
          </w:tcPr>
          <w:p w14:paraId="61453464">
            <w:pPr>
              <w:pStyle w:val="14"/>
            </w:pPr>
            <w:r>
              <w:t>2.40</w:t>
            </w:r>
          </w:p>
        </w:tc>
        <w:tc>
          <w:tcPr>
            <w:tcW w:w="964" w:type="dxa"/>
            <w:vAlign w:val="center"/>
          </w:tcPr>
          <w:p w14:paraId="27806330">
            <w:pPr>
              <w:pStyle w:val="14"/>
            </w:pPr>
          </w:p>
        </w:tc>
        <w:tc>
          <w:tcPr>
            <w:tcW w:w="964" w:type="dxa"/>
            <w:vAlign w:val="center"/>
          </w:tcPr>
          <w:p w14:paraId="75E7E4C3">
            <w:pPr>
              <w:pStyle w:val="14"/>
            </w:pPr>
          </w:p>
        </w:tc>
        <w:tc>
          <w:tcPr>
            <w:tcW w:w="964" w:type="dxa"/>
            <w:vAlign w:val="center"/>
          </w:tcPr>
          <w:p w14:paraId="692253D3">
            <w:pPr>
              <w:pStyle w:val="14"/>
            </w:pPr>
          </w:p>
        </w:tc>
        <w:tc>
          <w:tcPr>
            <w:tcW w:w="964" w:type="dxa"/>
            <w:vAlign w:val="center"/>
          </w:tcPr>
          <w:p w14:paraId="0755A675">
            <w:pPr>
              <w:pStyle w:val="14"/>
            </w:pPr>
          </w:p>
        </w:tc>
        <w:tc>
          <w:tcPr>
            <w:tcW w:w="964" w:type="dxa"/>
            <w:vAlign w:val="center"/>
          </w:tcPr>
          <w:p w14:paraId="49BF8EA8">
            <w:pPr>
              <w:pStyle w:val="14"/>
            </w:pPr>
          </w:p>
        </w:tc>
        <w:tc>
          <w:tcPr>
            <w:tcW w:w="964" w:type="dxa"/>
            <w:vAlign w:val="center"/>
          </w:tcPr>
          <w:p w14:paraId="5A3C8FB0">
            <w:pPr>
              <w:pStyle w:val="14"/>
            </w:pPr>
            <w:r>
              <w:t>2.40</w:t>
            </w:r>
          </w:p>
        </w:tc>
      </w:tr>
      <w:tr w14:paraId="73EF9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F2E1EF">
            <w:pPr>
              <w:pStyle w:val="13"/>
            </w:pPr>
            <w:r>
              <w:t>冀财教[2024]123号/中央/2025年义教补助经费/西尹小学公用经费</w:t>
            </w:r>
          </w:p>
        </w:tc>
        <w:tc>
          <w:tcPr>
            <w:tcW w:w="964" w:type="dxa"/>
            <w:vAlign w:val="center"/>
          </w:tcPr>
          <w:p w14:paraId="294017F0">
            <w:pPr>
              <w:pStyle w:val="14"/>
            </w:pPr>
            <w:r>
              <w:t>9.20</w:t>
            </w:r>
          </w:p>
        </w:tc>
        <w:tc>
          <w:tcPr>
            <w:tcW w:w="1134" w:type="dxa"/>
            <w:vAlign w:val="center"/>
          </w:tcPr>
          <w:p w14:paraId="21325A18">
            <w:pPr>
              <w:pStyle w:val="13"/>
            </w:pPr>
            <w:r>
              <w:t>台式计算机</w:t>
            </w:r>
          </w:p>
        </w:tc>
        <w:tc>
          <w:tcPr>
            <w:tcW w:w="1134" w:type="dxa"/>
            <w:vAlign w:val="center"/>
          </w:tcPr>
          <w:p w14:paraId="596C63B7">
            <w:pPr>
              <w:pStyle w:val="13"/>
            </w:pPr>
            <w:r>
              <w:t>A02010105</w:t>
            </w:r>
          </w:p>
        </w:tc>
        <w:tc>
          <w:tcPr>
            <w:tcW w:w="709" w:type="dxa"/>
            <w:vAlign w:val="center"/>
          </w:tcPr>
          <w:p w14:paraId="39B34F5C">
            <w:pPr>
              <w:pStyle w:val="12"/>
            </w:pPr>
            <w:r>
              <w:t>台</w:t>
            </w:r>
          </w:p>
        </w:tc>
        <w:tc>
          <w:tcPr>
            <w:tcW w:w="850" w:type="dxa"/>
            <w:vAlign w:val="center"/>
          </w:tcPr>
          <w:p w14:paraId="7B5E0197">
            <w:pPr>
              <w:pStyle w:val="14"/>
            </w:pPr>
            <w:r>
              <w:t>1</w:t>
            </w:r>
          </w:p>
        </w:tc>
        <w:tc>
          <w:tcPr>
            <w:tcW w:w="850" w:type="dxa"/>
            <w:vAlign w:val="center"/>
          </w:tcPr>
          <w:p w14:paraId="08E93587">
            <w:pPr>
              <w:pStyle w:val="14"/>
            </w:pPr>
            <w:r>
              <w:t>0.45</w:t>
            </w:r>
          </w:p>
        </w:tc>
        <w:tc>
          <w:tcPr>
            <w:tcW w:w="964" w:type="dxa"/>
            <w:vAlign w:val="center"/>
          </w:tcPr>
          <w:p w14:paraId="0B5ED14C">
            <w:pPr>
              <w:pStyle w:val="14"/>
            </w:pPr>
            <w:r>
              <w:t>0.45</w:t>
            </w:r>
          </w:p>
        </w:tc>
        <w:tc>
          <w:tcPr>
            <w:tcW w:w="964" w:type="dxa"/>
            <w:vAlign w:val="center"/>
          </w:tcPr>
          <w:p w14:paraId="5E647138">
            <w:pPr>
              <w:pStyle w:val="14"/>
            </w:pPr>
            <w:r>
              <w:t>0.45</w:t>
            </w:r>
          </w:p>
        </w:tc>
        <w:tc>
          <w:tcPr>
            <w:tcW w:w="964" w:type="dxa"/>
            <w:vAlign w:val="center"/>
          </w:tcPr>
          <w:p w14:paraId="4D629175">
            <w:pPr>
              <w:pStyle w:val="14"/>
            </w:pPr>
          </w:p>
        </w:tc>
        <w:tc>
          <w:tcPr>
            <w:tcW w:w="964" w:type="dxa"/>
            <w:vAlign w:val="center"/>
          </w:tcPr>
          <w:p w14:paraId="769AB5E3">
            <w:pPr>
              <w:pStyle w:val="14"/>
            </w:pPr>
          </w:p>
        </w:tc>
        <w:tc>
          <w:tcPr>
            <w:tcW w:w="964" w:type="dxa"/>
            <w:vAlign w:val="center"/>
          </w:tcPr>
          <w:p w14:paraId="60273646">
            <w:pPr>
              <w:pStyle w:val="14"/>
            </w:pPr>
          </w:p>
        </w:tc>
        <w:tc>
          <w:tcPr>
            <w:tcW w:w="964" w:type="dxa"/>
            <w:vAlign w:val="center"/>
          </w:tcPr>
          <w:p w14:paraId="18CA9203">
            <w:pPr>
              <w:pStyle w:val="14"/>
            </w:pPr>
          </w:p>
        </w:tc>
        <w:tc>
          <w:tcPr>
            <w:tcW w:w="964" w:type="dxa"/>
            <w:vAlign w:val="center"/>
          </w:tcPr>
          <w:p w14:paraId="4E167DB9">
            <w:pPr>
              <w:pStyle w:val="14"/>
            </w:pPr>
          </w:p>
        </w:tc>
        <w:tc>
          <w:tcPr>
            <w:tcW w:w="964" w:type="dxa"/>
            <w:vAlign w:val="center"/>
          </w:tcPr>
          <w:p w14:paraId="7D9806DD">
            <w:pPr>
              <w:pStyle w:val="14"/>
            </w:pPr>
            <w:r>
              <w:t>0.45</w:t>
            </w:r>
          </w:p>
        </w:tc>
      </w:tr>
      <w:tr w14:paraId="37153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E29243">
            <w:pPr>
              <w:pStyle w:val="13"/>
            </w:pPr>
            <w:r>
              <w:t>冀财教[2024]123号/中央/2025年义教补助经费/杨村小学公用经费</w:t>
            </w:r>
          </w:p>
        </w:tc>
        <w:tc>
          <w:tcPr>
            <w:tcW w:w="964" w:type="dxa"/>
            <w:vAlign w:val="center"/>
          </w:tcPr>
          <w:p w14:paraId="26C01F87">
            <w:pPr>
              <w:pStyle w:val="14"/>
            </w:pPr>
            <w:r>
              <w:t>45.89</w:t>
            </w:r>
          </w:p>
        </w:tc>
        <w:tc>
          <w:tcPr>
            <w:tcW w:w="1134" w:type="dxa"/>
            <w:vAlign w:val="center"/>
          </w:tcPr>
          <w:p w14:paraId="11D3D569">
            <w:pPr>
              <w:pStyle w:val="13"/>
            </w:pPr>
            <w:r>
              <w:t>台式计算机</w:t>
            </w:r>
          </w:p>
        </w:tc>
        <w:tc>
          <w:tcPr>
            <w:tcW w:w="1134" w:type="dxa"/>
            <w:vAlign w:val="center"/>
          </w:tcPr>
          <w:p w14:paraId="57134BA2">
            <w:pPr>
              <w:pStyle w:val="13"/>
            </w:pPr>
            <w:r>
              <w:t>A02010105</w:t>
            </w:r>
          </w:p>
        </w:tc>
        <w:tc>
          <w:tcPr>
            <w:tcW w:w="709" w:type="dxa"/>
            <w:vAlign w:val="center"/>
          </w:tcPr>
          <w:p w14:paraId="6204BF87">
            <w:pPr>
              <w:pStyle w:val="12"/>
            </w:pPr>
            <w:r>
              <w:t>台</w:t>
            </w:r>
          </w:p>
        </w:tc>
        <w:tc>
          <w:tcPr>
            <w:tcW w:w="850" w:type="dxa"/>
            <w:vAlign w:val="center"/>
          </w:tcPr>
          <w:p w14:paraId="40D64D92">
            <w:pPr>
              <w:pStyle w:val="14"/>
            </w:pPr>
            <w:r>
              <w:t>10</w:t>
            </w:r>
          </w:p>
        </w:tc>
        <w:tc>
          <w:tcPr>
            <w:tcW w:w="850" w:type="dxa"/>
            <w:vAlign w:val="center"/>
          </w:tcPr>
          <w:p w14:paraId="4B0F32C6">
            <w:pPr>
              <w:pStyle w:val="14"/>
            </w:pPr>
            <w:r>
              <w:t>0.45</w:t>
            </w:r>
          </w:p>
        </w:tc>
        <w:tc>
          <w:tcPr>
            <w:tcW w:w="964" w:type="dxa"/>
            <w:vAlign w:val="center"/>
          </w:tcPr>
          <w:p w14:paraId="3F60EC50">
            <w:pPr>
              <w:pStyle w:val="14"/>
            </w:pPr>
            <w:r>
              <w:t>4.50</w:t>
            </w:r>
          </w:p>
        </w:tc>
        <w:tc>
          <w:tcPr>
            <w:tcW w:w="964" w:type="dxa"/>
            <w:vAlign w:val="center"/>
          </w:tcPr>
          <w:p w14:paraId="16C6CF9F">
            <w:pPr>
              <w:pStyle w:val="14"/>
            </w:pPr>
            <w:r>
              <w:t>4.50</w:t>
            </w:r>
          </w:p>
        </w:tc>
        <w:tc>
          <w:tcPr>
            <w:tcW w:w="964" w:type="dxa"/>
            <w:vAlign w:val="center"/>
          </w:tcPr>
          <w:p w14:paraId="57E73707">
            <w:pPr>
              <w:pStyle w:val="14"/>
            </w:pPr>
          </w:p>
        </w:tc>
        <w:tc>
          <w:tcPr>
            <w:tcW w:w="964" w:type="dxa"/>
            <w:vAlign w:val="center"/>
          </w:tcPr>
          <w:p w14:paraId="6B5FB69D">
            <w:pPr>
              <w:pStyle w:val="14"/>
            </w:pPr>
          </w:p>
        </w:tc>
        <w:tc>
          <w:tcPr>
            <w:tcW w:w="964" w:type="dxa"/>
            <w:vAlign w:val="center"/>
          </w:tcPr>
          <w:p w14:paraId="62CEFE86">
            <w:pPr>
              <w:pStyle w:val="14"/>
            </w:pPr>
          </w:p>
        </w:tc>
        <w:tc>
          <w:tcPr>
            <w:tcW w:w="964" w:type="dxa"/>
            <w:vAlign w:val="center"/>
          </w:tcPr>
          <w:p w14:paraId="2F4BC562">
            <w:pPr>
              <w:pStyle w:val="14"/>
            </w:pPr>
          </w:p>
        </w:tc>
        <w:tc>
          <w:tcPr>
            <w:tcW w:w="964" w:type="dxa"/>
            <w:vAlign w:val="center"/>
          </w:tcPr>
          <w:p w14:paraId="28672349">
            <w:pPr>
              <w:pStyle w:val="14"/>
            </w:pPr>
          </w:p>
        </w:tc>
        <w:tc>
          <w:tcPr>
            <w:tcW w:w="964" w:type="dxa"/>
            <w:vAlign w:val="center"/>
          </w:tcPr>
          <w:p w14:paraId="56CDAB60">
            <w:pPr>
              <w:pStyle w:val="14"/>
            </w:pPr>
            <w:r>
              <w:t>4.50</w:t>
            </w:r>
          </w:p>
        </w:tc>
      </w:tr>
      <w:tr w14:paraId="5BA65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44B790">
            <w:pPr>
              <w:pStyle w:val="13"/>
            </w:pPr>
            <w:r>
              <w:t>冀财教[2024]123号/中央/2025年义教补助经费/杨村小学公用经费</w:t>
            </w:r>
          </w:p>
        </w:tc>
        <w:tc>
          <w:tcPr>
            <w:tcW w:w="964" w:type="dxa"/>
            <w:vAlign w:val="center"/>
          </w:tcPr>
          <w:p w14:paraId="02101451">
            <w:pPr>
              <w:pStyle w:val="14"/>
            </w:pPr>
            <w:r>
              <w:t>45.89</w:t>
            </w:r>
          </w:p>
        </w:tc>
        <w:tc>
          <w:tcPr>
            <w:tcW w:w="1134" w:type="dxa"/>
            <w:vAlign w:val="center"/>
          </w:tcPr>
          <w:p w14:paraId="7DB62E3E">
            <w:pPr>
              <w:pStyle w:val="13"/>
            </w:pPr>
            <w:r>
              <w:t>台式计算机</w:t>
            </w:r>
          </w:p>
        </w:tc>
        <w:tc>
          <w:tcPr>
            <w:tcW w:w="1134" w:type="dxa"/>
            <w:vAlign w:val="center"/>
          </w:tcPr>
          <w:p w14:paraId="40D2C1A0">
            <w:pPr>
              <w:pStyle w:val="13"/>
            </w:pPr>
            <w:r>
              <w:t>A02010105</w:t>
            </w:r>
          </w:p>
        </w:tc>
        <w:tc>
          <w:tcPr>
            <w:tcW w:w="709" w:type="dxa"/>
            <w:vAlign w:val="center"/>
          </w:tcPr>
          <w:p w14:paraId="0AE814CA">
            <w:pPr>
              <w:pStyle w:val="12"/>
            </w:pPr>
            <w:r>
              <w:t>台</w:t>
            </w:r>
          </w:p>
        </w:tc>
        <w:tc>
          <w:tcPr>
            <w:tcW w:w="850" w:type="dxa"/>
            <w:vAlign w:val="center"/>
          </w:tcPr>
          <w:p w14:paraId="53370192">
            <w:pPr>
              <w:pStyle w:val="14"/>
            </w:pPr>
            <w:r>
              <w:t>3</w:t>
            </w:r>
          </w:p>
        </w:tc>
        <w:tc>
          <w:tcPr>
            <w:tcW w:w="850" w:type="dxa"/>
            <w:vAlign w:val="center"/>
          </w:tcPr>
          <w:p w14:paraId="1E9C7C2F">
            <w:pPr>
              <w:pStyle w:val="14"/>
            </w:pPr>
            <w:r>
              <w:t>0.35</w:t>
            </w:r>
          </w:p>
        </w:tc>
        <w:tc>
          <w:tcPr>
            <w:tcW w:w="964" w:type="dxa"/>
            <w:vAlign w:val="center"/>
          </w:tcPr>
          <w:p w14:paraId="3664D622">
            <w:pPr>
              <w:pStyle w:val="14"/>
            </w:pPr>
            <w:r>
              <w:t>1.05</w:t>
            </w:r>
          </w:p>
        </w:tc>
        <w:tc>
          <w:tcPr>
            <w:tcW w:w="964" w:type="dxa"/>
            <w:vAlign w:val="center"/>
          </w:tcPr>
          <w:p w14:paraId="4E84951C">
            <w:pPr>
              <w:pStyle w:val="14"/>
            </w:pPr>
            <w:r>
              <w:t>1.05</w:t>
            </w:r>
          </w:p>
        </w:tc>
        <w:tc>
          <w:tcPr>
            <w:tcW w:w="964" w:type="dxa"/>
            <w:vAlign w:val="center"/>
          </w:tcPr>
          <w:p w14:paraId="4618111D">
            <w:pPr>
              <w:pStyle w:val="14"/>
            </w:pPr>
          </w:p>
        </w:tc>
        <w:tc>
          <w:tcPr>
            <w:tcW w:w="964" w:type="dxa"/>
            <w:vAlign w:val="center"/>
          </w:tcPr>
          <w:p w14:paraId="7559C34B">
            <w:pPr>
              <w:pStyle w:val="14"/>
            </w:pPr>
          </w:p>
        </w:tc>
        <w:tc>
          <w:tcPr>
            <w:tcW w:w="964" w:type="dxa"/>
            <w:vAlign w:val="center"/>
          </w:tcPr>
          <w:p w14:paraId="0D5C47F0">
            <w:pPr>
              <w:pStyle w:val="14"/>
            </w:pPr>
          </w:p>
        </w:tc>
        <w:tc>
          <w:tcPr>
            <w:tcW w:w="964" w:type="dxa"/>
            <w:vAlign w:val="center"/>
          </w:tcPr>
          <w:p w14:paraId="62BB9FD5">
            <w:pPr>
              <w:pStyle w:val="14"/>
            </w:pPr>
          </w:p>
        </w:tc>
        <w:tc>
          <w:tcPr>
            <w:tcW w:w="964" w:type="dxa"/>
            <w:vAlign w:val="center"/>
          </w:tcPr>
          <w:p w14:paraId="586A31F7">
            <w:pPr>
              <w:pStyle w:val="14"/>
            </w:pPr>
          </w:p>
        </w:tc>
        <w:tc>
          <w:tcPr>
            <w:tcW w:w="964" w:type="dxa"/>
            <w:vAlign w:val="center"/>
          </w:tcPr>
          <w:p w14:paraId="3503289B">
            <w:pPr>
              <w:pStyle w:val="14"/>
            </w:pPr>
            <w:r>
              <w:t>1.05</w:t>
            </w:r>
          </w:p>
        </w:tc>
      </w:tr>
    </w:tbl>
    <w:p w14:paraId="17D19E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6B7867">
      <w:pPr>
        <w:spacing w:before="0" w:after="0"/>
        <w:ind w:firstLine="640"/>
        <w:jc w:val="left"/>
        <w:outlineLvl w:val="9"/>
      </w:pPr>
      <w:r>
        <w:rPr>
          <w:rFonts w:ascii="Times New Roman" w:hAnsi="Times New Roman" w:eastAsia="方正仿宋_GBK" w:cs="Times New Roman"/>
          <w:color w:val="000000"/>
          <w:sz w:val="32"/>
        </w:rPr>
        <w:t xml:space="preserve"> </w:t>
      </w:r>
    </w:p>
    <w:p w14:paraId="616D0A86">
      <w:pPr>
        <w:spacing w:before="10" w:after="10" w:line="240" w:lineRule="auto"/>
        <w:ind w:firstLine="640"/>
        <w:jc w:val="left"/>
        <w:outlineLvl w:val="5"/>
      </w:pPr>
      <w:r>
        <w:rPr>
          <w:rFonts w:ascii="黑体" w:hAnsi="黑体" w:eastAsia="黑体" w:cs="黑体"/>
          <w:color w:val="000000"/>
          <w:sz w:val="32"/>
        </w:rPr>
        <w:t>七、国有资产信息</w:t>
      </w:r>
    </w:p>
    <w:p w14:paraId="4A2B9568">
      <w:pPr>
        <w:spacing w:before="0" w:after="0" w:line="500" w:lineRule="exact"/>
        <w:ind w:firstLine="560"/>
        <w:jc w:val="left"/>
        <w:outlineLvl w:val="9"/>
      </w:pPr>
      <w:r>
        <w:rPr>
          <w:rFonts w:ascii="Times New Roman" w:hAnsi="Times New Roman" w:eastAsia="方正仿宋_GBK" w:cs="Times New Roman"/>
          <w:b w:val="0"/>
          <w:color w:val="000000"/>
          <w:sz w:val="28"/>
        </w:rPr>
        <w:t>隆尧县尹村校区上年末固定资产金额为2257.96万元（详见下表）。本年度拟购置固定资产总额</w:t>
      </w:r>
      <w:r>
        <w:rPr>
          <w:rFonts w:ascii="Times New Roman" w:hAnsi="Times New Roman" w:eastAsia="方正仿宋_GBK" w:cs="Times New Roman"/>
          <w:b w:val="0"/>
          <w:color w:val="auto"/>
          <w:sz w:val="28"/>
        </w:rPr>
        <w:t>为58</w:t>
      </w:r>
      <w:r>
        <w:rPr>
          <w:rFonts w:hint="eastAsia" w:eastAsia="方正仿宋_GBK" w:cs="Times New Roman"/>
          <w:b w:val="0"/>
          <w:color w:val="auto"/>
          <w:sz w:val="28"/>
          <w:lang w:val="en-US" w:eastAsia="zh-CN"/>
        </w:rPr>
        <w:t>.</w:t>
      </w:r>
      <w:r>
        <w:rPr>
          <w:rFonts w:ascii="Times New Roman" w:hAnsi="Times New Roman" w:eastAsia="方正仿宋_GBK" w:cs="Times New Roman"/>
          <w:b w:val="0"/>
          <w:color w:val="auto"/>
          <w:sz w:val="28"/>
        </w:rPr>
        <w:t>0527.00</w:t>
      </w:r>
      <w:r>
        <w:rPr>
          <w:rFonts w:ascii="Times New Roman" w:hAnsi="Times New Roman" w:eastAsia="方正仿宋_GBK" w:cs="Times New Roman"/>
          <w:b w:val="0"/>
          <w:color w:val="000000"/>
          <w:sz w:val="28"/>
        </w:rPr>
        <w:t>万元，已按要求列入政府采购预算，详见政府采购预算表。</w:t>
      </w:r>
    </w:p>
    <w:p w14:paraId="49401E8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106F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4BCBC7E">
            <w:pPr>
              <w:pStyle w:val="8"/>
            </w:pPr>
            <w:r>
              <w:t>360022隆尧县尹村校区</w:t>
            </w:r>
          </w:p>
        </w:tc>
        <w:tc>
          <w:tcPr>
            <w:tcW w:w="5670" w:type="dxa"/>
            <w:gridSpan w:val="2"/>
            <w:tcBorders>
              <w:top w:val="single" w:color="FFFFFF" w:sz="6" w:space="0"/>
              <w:left w:val="single" w:color="FFFFFF" w:sz="6" w:space="0"/>
              <w:right w:val="single" w:color="FFFFFF" w:sz="6" w:space="0"/>
            </w:tcBorders>
            <w:vAlign w:val="center"/>
          </w:tcPr>
          <w:p w14:paraId="07C0CE68">
            <w:pPr>
              <w:pStyle w:val="10"/>
            </w:pPr>
            <w:r>
              <w:t>截止时间：2024-12-31</w:t>
            </w:r>
          </w:p>
        </w:tc>
      </w:tr>
      <w:tr w14:paraId="01F2B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3F17C70">
            <w:pPr>
              <w:pStyle w:val="11"/>
            </w:pPr>
            <w:r>
              <w:t>项   目</w:t>
            </w:r>
          </w:p>
        </w:tc>
        <w:tc>
          <w:tcPr>
            <w:tcW w:w="2835" w:type="dxa"/>
            <w:vAlign w:val="center"/>
          </w:tcPr>
          <w:p w14:paraId="5D7717D6">
            <w:pPr>
              <w:pStyle w:val="11"/>
            </w:pPr>
            <w:r>
              <w:t>数量</w:t>
            </w:r>
          </w:p>
        </w:tc>
        <w:tc>
          <w:tcPr>
            <w:tcW w:w="2835" w:type="dxa"/>
            <w:vAlign w:val="center"/>
          </w:tcPr>
          <w:p w14:paraId="20EA030B">
            <w:pPr>
              <w:pStyle w:val="11"/>
            </w:pPr>
            <w:r>
              <w:t>价值（金额单位：万元）</w:t>
            </w:r>
          </w:p>
        </w:tc>
      </w:tr>
      <w:tr w14:paraId="16C0F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777F52">
            <w:pPr>
              <w:pStyle w:val="13"/>
            </w:pPr>
            <w:r>
              <w:t>资产总额</w:t>
            </w:r>
          </w:p>
        </w:tc>
        <w:tc>
          <w:tcPr>
            <w:tcW w:w="2835" w:type="dxa"/>
            <w:vAlign w:val="center"/>
          </w:tcPr>
          <w:p w14:paraId="32F9DE4C">
            <w:pPr>
              <w:pStyle w:val="12"/>
            </w:pPr>
          </w:p>
        </w:tc>
        <w:tc>
          <w:tcPr>
            <w:tcW w:w="2835" w:type="dxa"/>
            <w:vAlign w:val="center"/>
          </w:tcPr>
          <w:p w14:paraId="29801D96">
            <w:pPr>
              <w:pStyle w:val="14"/>
            </w:pPr>
            <w:r>
              <w:t>2257.96</w:t>
            </w:r>
          </w:p>
        </w:tc>
      </w:tr>
      <w:tr w14:paraId="70F6B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876D9F">
            <w:pPr>
              <w:pStyle w:val="13"/>
            </w:pPr>
            <w:r>
              <w:t>1、房屋（平方米）</w:t>
            </w:r>
          </w:p>
        </w:tc>
        <w:tc>
          <w:tcPr>
            <w:tcW w:w="2835" w:type="dxa"/>
            <w:vAlign w:val="center"/>
          </w:tcPr>
          <w:p w14:paraId="726981DE">
            <w:pPr>
              <w:pStyle w:val="12"/>
            </w:pPr>
            <w:r>
              <w:t>13455.39</w:t>
            </w:r>
          </w:p>
        </w:tc>
        <w:tc>
          <w:tcPr>
            <w:tcW w:w="2835" w:type="dxa"/>
            <w:vAlign w:val="center"/>
          </w:tcPr>
          <w:p w14:paraId="227CC639">
            <w:pPr>
              <w:pStyle w:val="14"/>
            </w:pPr>
            <w:r>
              <w:t>1305.72</w:t>
            </w:r>
          </w:p>
        </w:tc>
      </w:tr>
      <w:tr w14:paraId="6CC53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0EE04A">
            <w:pPr>
              <w:pStyle w:val="13"/>
            </w:pPr>
            <w:r>
              <w:t>　　其中：办公用房（平方米）</w:t>
            </w:r>
          </w:p>
        </w:tc>
        <w:tc>
          <w:tcPr>
            <w:tcW w:w="2835" w:type="dxa"/>
            <w:vAlign w:val="center"/>
          </w:tcPr>
          <w:p w14:paraId="0D2C8680">
            <w:pPr>
              <w:pStyle w:val="12"/>
            </w:pPr>
            <w:r>
              <w:t>3537</w:t>
            </w:r>
          </w:p>
        </w:tc>
        <w:tc>
          <w:tcPr>
            <w:tcW w:w="2835" w:type="dxa"/>
            <w:vAlign w:val="center"/>
          </w:tcPr>
          <w:p w14:paraId="1D451BE1">
            <w:pPr>
              <w:pStyle w:val="14"/>
            </w:pPr>
            <w:r>
              <w:t>322.64</w:t>
            </w:r>
          </w:p>
        </w:tc>
      </w:tr>
      <w:tr w14:paraId="127B3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1B6E2D">
            <w:pPr>
              <w:pStyle w:val="13"/>
            </w:pPr>
            <w:r>
              <w:t>2、车辆（台、辆）</w:t>
            </w:r>
          </w:p>
        </w:tc>
        <w:tc>
          <w:tcPr>
            <w:tcW w:w="2835" w:type="dxa"/>
            <w:vAlign w:val="center"/>
          </w:tcPr>
          <w:p w14:paraId="39D2B6B5">
            <w:pPr>
              <w:pStyle w:val="12"/>
            </w:pPr>
          </w:p>
        </w:tc>
        <w:tc>
          <w:tcPr>
            <w:tcW w:w="2835" w:type="dxa"/>
            <w:vAlign w:val="center"/>
          </w:tcPr>
          <w:p w14:paraId="6F3EB768">
            <w:pPr>
              <w:pStyle w:val="14"/>
            </w:pPr>
          </w:p>
        </w:tc>
      </w:tr>
      <w:tr w14:paraId="603D8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A6A39E">
            <w:pPr>
              <w:pStyle w:val="13"/>
            </w:pPr>
            <w:r>
              <w:t>3、单价在20万元以上的设备</w:t>
            </w:r>
          </w:p>
        </w:tc>
        <w:tc>
          <w:tcPr>
            <w:tcW w:w="2835" w:type="dxa"/>
            <w:vAlign w:val="center"/>
          </w:tcPr>
          <w:p w14:paraId="669C4B90">
            <w:pPr>
              <w:pStyle w:val="12"/>
            </w:pPr>
          </w:p>
        </w:tc>
        <w:tc>
          <w:tcPr>
            <w:tcW w:w="2835" w:type="dxa"/>
            <w:vAlign w:val="center"/>
          </w:tcPr>
          <w:p w14:paraId="1898D7D0">
            <w:pPr>
              <w:pStyle w:val="14"/>
            </w:pPr>
          </w:p>
        </w:tc>
      </w:tr>
      <w:tr w14:paraId="18033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208F14">
            <w:pPr>
              <w:pStyle w:val="13"/>
            </w:pPr>
            <w:r>
              <w:t>4、其他固定资产</w:t>
            </w:r>
          </w:p>
        </w:tc>
        <w:tc>
          <w:tcPr>
            <w:tcW w:w="2835" w:type="dxa"/>
            <w:vAlign w:val="center"/>
          </w:tcPr>
          <w:p w14:paraId="17F595F2">
            <w:pPr>
              <w:pStyle w:val="12"/>
            </w:pPr>
            <w:r>
              <w:t>24525</w:t>
            </w:r>
          </w:p>
        </w:tc>
        <w:tc>
          <w:tcPr>
            <w:tcW w:w="2835" w:type="dxa"/>
            <w:vAlign w:val="center"/>
          </w:tcPr>
          <w:p w14:paraId="1130EB8E">
            <w:pPr>
              <w:pStyle w:val="14"/>
            </w:pPr>
            <w:r>
              <w:t>952.24</w:t>
            </w:r>
          </w:p>
        </w:tc>
      </w:tr>
    </w:tbl>
    <w:p w14:paraId="7411B4FA">
      <w:pPr>
        <w:spacing w:before="0" w:after="0"/>
        <w:ind w:firstLine="640"/>
        <w:jc w:val="left"/>
        <w:outlineLvl w:val="9"/>
      </w:pPr>
      <w:r>
        <w:rPr>
          <w:rFonts w:ascii="Times New Roman" w:hAnsi="Times New Roman" w:eastAsia="方正仿宋_GBK" w:cs="Times New Roman"/>
          <w:color w:val="000000"/>
          <w:sz w:val="32"/>
        </w:rPr>
        <w:t xml:space="preserve"> </w:t>
      </w:r>
    </w:p>
    <w:p w14:paraId="6312BA81">
      <w:pPr>
        <w:spacing w:before="10" w:after="10" w:line="240" w:lineRule="auto"/>
        <w:ind w:firstLine="640"/>
        <w:jc w:val="left"/>
        <w:outlineLvl w:val="5"/>
      </w:pPr>
      <w:r>
        <w:rPr>
          <w:rFonts w:ascii="黑体" w:hAnsi="黑体" w:eastAsia="黑体" w:cs="黑体"/>
          <w:color w:val="000000"/>
          <w:sz w:val="32"/>
        </w:rPr>
        <w:t>八、名词解释</w:t>
      </w:r>
    </w:p>
    <w:p w14:paraId="28809F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BB7A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51E44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B279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CEFA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CD13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38DCD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31678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CBDBD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019CC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E894AA">
      <w:pPr>
        <w:spacing w:before="10" w:after="10" w:line="240" w:lineRule="auto"/>
        <w:ind w:firstLine="640"/>
        <w:jc w:val="left"/>
        <w:outlineLvl w:val="5"/>
      </w:pPr>
      <w:r>
        <w:rPr>
          <w:rFonts w:ascii="黑体" w:hAnsi="黑体" w:eastAsia="黑体" w:cs="黑体"/>
          <w:color w:val="000000"/>
          <w:sz w:val="32"/>
        </w:rPr>
        <w:t>九、其他需要说明的事项</w:t>
      </w:r>
    </w:p>
    <w:p w14:paraId="6824F43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54293FC">
      <w:pPr>
        <w:spacing w:before="0" w:after="0"/>
        <w:ind w:firstLine="0"/>
        <w:jc w:val="center"/>
        <w:outlineLvl w:val="3"/>
      </w:pPr>
      <w:bookmarkStart w:id="22" w:name="_Toc_4_4_0000000042"/>
      <w:r>
        <w:rPr>
          <w:rFonts w:ascii="方正小标宋_GBK" w:hAnsi="方正小标宋_GBK" w:eastAsia="方正小标宋_GBK" w:cs="方正小标宋_GBK"/>
          <w:b w:val="0"/>
          <w:color w:val="000000"/>
          <w:sz w:val="44"/>
        </w:rPr>
        <w:t>二十二、隆尧县固城校区收支预算</w:t>
      </w:r>
      <w:bookmarkEnd w:id="22"/>
    </w:p>
    <w:p w14:paraId="2CA1F3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4A5D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C0B9B8">
            <w:pPr>
              <w:pStyle w:val="8"/>
            </w:pPr>
            <w:r>
              <w:t>360023隆尧县固城校区</w:t>
            </w:r>
          </w:p>
        </w:tc>
        <w:tc>
          <w:tcPr>
            <w:tcW w:w="2126" w:type="dxa"/>
            <w:tcBorders>
              <w:top w:val="single" w:color="FFFFFF" w:sz="6" w:space="0"/>
              <w:left w:val="single" w:color="FFFFFF" w:sz="6" w:space="0"/>
              <w:right w:val="single" w:color="FFFFFF" w:sz="6" w:space="0"/>
            </w:tcBorders>
            <w:vAlign w:val="center"/>
          </w:tcPr>
          <w:p w14:paraId="62DC5196">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8EC6CA2">
            <w:pPr>
              <w:pStyle w:val="10"/>
            </w:pPr>
            <w:r>
              <w:t>单位：万元</w:t>
            </w:r>
          </w:p>
        </w:tc>
      </w:tr>
      <w:tr w14:paraId="5CE04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C6F93">
            <w:pPr>
              <w:pStyle w:val="11"/>
            </w:pPr>
            <w:r>
              <w:t>序号</w:t>
            </w:r>
          </w:p>
        </w:tc>
        <w:tc>
          <w:tcPr>
            <w:tcW w:w="6661" w:type="dxa"/>
            <w:gridSpan w:val="2"/>
            <w:vAlign w:val="center"/>
          </w:tcPr>
          <w:p w14:paraId="06C687D5">
            <w:pPr>
              <w:pStyle w:val="11"/>
            </w:pPr>
            <w:r>
              <w:t>收入</w:t>
            </w:r>
          </w:p>
        </w:tc>
        <w:tc>
          <w:tcPr>
            <w:tcW w:w="6661" w:type="dxa"/>
            <w:gridSpan w:val="2"/>
            <w:vAlign w:val="center"/>
          </w:tcPr>
          <w:p w14:paraId="7EE82CF0">
            <w:pPr>
              <w:pStyle w:val="11"/>
            </w:pPr>
            <w:r>
              <w:t>支出</w:t>
            </w:r>
          </w:p>
        </w:tc>
      </w:tr>
      <w:tr w14:paraId="4236C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4095D"/>
        </w:tc>
        <w:tc>
          <w:tcPr>
            <w:tcW w:w="4535" w:type="dxa"/>
            <w:vAlign w:val="center"/>
          </w:tcPr>
          <w:p w14:paraId="47B19E28">
            <w:pPr>
              <w:pStyle w:val="11"/>
            </w:pPr>
            <w:r>
              <w:t>项  目</w:t>
            </w:r>
          </w:p>
        </w:tc>
        <w:tc>
          <w:tcPr>
            <w:tcW w:w="2126" w:type="dxa"/>
            <w:vAlign w:val="center"/>
          </w:tcPr>
          <w:p w14:paraId="54126541">
            <w:pPr>
              <w:pStyle w:val="11"/>
            </w:pPr>
            <w:r>
              <w:t>预算数</w:t>
            </w:r>
          </w:p>
        </w:tc>
        <w:tc>
          <w:tcPr>
            <w:tcW w:w="4535" w:type="dxa"/>
            <w:vAlign w:val="center"/>
          </w:tcPr>
          <w:p w14:paraId="4432F2FA">
            <w:pPr>
              <w:pStyle w:val="11"/>
            </w:pPr>
            <w:r>
              <w:t>项  目</w:t>
            </w:r>
          </w:p>
        </w:tc>
        <w:tc>
          <w:tcPr>
            <w:tcW w:w="2126" w:type="dxa"/>
            <w:vAlign w:val="center"/>
          </w:tcPr>
          <w:p w14:paraId="6B6B5D6C">
            <w:pPr>
              <w:pStyle w:val="11"/>
            </w:pPr>
            <w:r>
              <w:t>预算数</w:t>
            </w:r>
          </w:p>
        </w:tc>
      </w:tr>
      <w:tr w14:paraId="3B5BF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8938FD">
            <w:pPr>
              <w:pStyle w:val="11"/>
            </w:pPr>
            <w:r>
              <w:t>栏次</w:t>
            </w:r>
          </w:p>
        </w:tc>
        <w:tc>
          <w:tcPr>
            <w:tcW w:w="4535" w:type="dxa"/>
            <w:vAlign w:val="center"/>
          </w:tcPr>
          <w:p w14:paraId="7ABB266E">
            <w:pPr>
              <w:pStyle w:val="11"/>
            </w:pPr>
            <w:r>
              <w:t>1</w:t>
            </w:r>
          </w:p>
        </w:tc>
        <w:tc>
          <w:tcPr>
            <w:tcW w:w="2126" w:type="dxa"/>
            <w:vAlign w:val="center"/>
          </w:tcPr>
          <w:p w14:paraId="0EC32096">
            <w:pPr>
              <w:pStyle w:val="11"/>
            </w:pPr>
            <w:r>
              <w:t>2</w:t>
            </w:r>
          </w:p>
        </w:tc>
        <w:tc>
          <w:tcPr>
            <w:tcW w:w="4535" w:type="dxa"/>
            <w:vAlign w:val="center"/>
          </w:tcPr>
          <w:p w14:paraId="4F7913FD">
            <w:pPr>
              <w:pStyle w:val="11"/>
            </w:pPr>
            <w:r>
              <w:t>3</w:t>
            </w:r>
          </w:p>
        </w:tc>
        <w:tc>
          <w:tcPr>
            <w:tcW w:w="2126" w:type="dxa"/>
            <w:vAlign w:val="center"/>
          </w:tcPr>
          <w:p w14:paraId="137217B6">
            <w:pPr>
              <w:pStyle w:val="11"/>
            </w:pPr>
            <w:r>
              <w:t>4</w:t>
            </w:r>
          </w:p>
        </w:tc>
      </w:tr>
      <w:tr w14:paraId="23AC0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7CAC2">
            <w:pPr>
              <w:pStyle w:val="12"/>
            </w:pPr>
            <w:r>
              <w:t>1</w:t>
            </w:r>
          </w:p>
        </w:tc>
        <w:tc>
          <w:tcPr>
            <w:tcW w:w="4535" w:type="dxa"/>
            <w:vAlign w:val="center"/>
          </w:tcPr>
          <w:p w14:paraId="209D33DC">
            <w:pPr>
              <w:pStyle w:val="13"/>
            </w:pPr>
            <w:r>
              <w:t>一、一般公共预算拨款收入</w:t>
            </w:r>
          </w:p>
        </w:tc>
        <w:tc>
          <w:tcPr>
            <w:tcW w:w="2126" w:type="dxa"/>
            <w:vAlign w:val="center"/>
          </w:tcPr>
          <w:p w14:paraId="75989A9F">
            <w:pPr>
              <w:pStyle w:val="14"/>
            </w:pPr>
            <w:r>
              <w:t>3029.02</w:t>
            </w:r>
          </w:p>
        </w:tc>
        <w:tc>
          <w:tcPr>
            <w:tcW w:w="4535" w:type="dxa"/>
            <w:vAlign w:val="center"/>
          </w:tcPr>
          <w:p w14:paraId="1C6AEA1D">
            <w:pPr>
              <w:pStyle w:val="13"/>
            </w:pPr>
            <w:r>
              <w:t>一、一般公共服务支出</w:t>
            </w:r>
          </w:p>
        </w:tc>
        <w:tc>
          <w:tcPr>
            <w:tcW w:w="2126" w:type="dxa"/>
            <w:vAlign w:val="center"/>
          </w:tcPr>
          <w:p w14:paraId="44511DD9">
            <w:pPr>
              <w:pStyle w:val="14"/>
            </w:pPr>
          </w:p>
        </w:tc>
      </w:tr>
      <w:tr w14:paraId="71840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77C59">
            <w:pPr>
              <w:pStyle w:val="12"/>
            </w:pPr>
            <w:r>
              <w:t>2</w:t>
            </w:r>
          </w:p>
        </w:tc>
        <w:tc>
          <w:tcPr>
            <w:tcW w:w="4535" w:type="dxa"/>
            <w:vAlign w:val="center"/>
          </w:tcPr>
          <w:p w14:paraId="72629AF1">
            <w:pPr>
              <w:pStyle w:val="13"/>
            </w:pPr>
            <w:r>
              <w:t>二、政府性基金预算拨款收入</w:t>
            </w:r>
          </w:p>
        </w:tc>
        <w:tc>
          <w:tcPr>
            <w:tcW w:w="2126" w:type="dxa"/>
            <w:vAlign w:val="center"/>
          </w:tcPr>
          <w:p w14:paraId="4E61A33B">
            <w:pPr>
              <w:pStyle w:val="14"/>
            </w:pPr>
          </w:p>
        </w:tc>
        <w:tc>
          <w:tcPr>
            <w:tcW w:w="4535" w:type="dxa"/>
            <w:vAlign w:val="center"/>
          </w:tcPr>
          <w:p w14:paraId="4ED8831A">
            <w:pPr>
              <w:pStyle w:val="13"/>
            </w:pPr>
            <w:r>
              <w:t>二、外交支出</w:t>
            </w:r>
          </w:p>
        </w:tc>
        <w:tc>
          <w:tcPr>
            <w:tcW w:w="2126" w:type="dxa"/>
            <w:vAlign w:val="center"/>
          </w:tcPr>
          <w:p w14:paraId="699096C7">
            <w:pPr>
              <w:pStyle w:val="14"/>
            </w:pPr>
          </w:p>
        </w:tc>
      </w:tr>
      <w:tr w14:paraId="4002D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E7E48">
            <w:pPr>
              <w:pStyle w:val="12"/>
            </w:pPr>
            <w:r>
              <w:t>3</w:t>
            </w:r>
          </w:p>
        </w:tc>
        <w:tc>
          <w:tcPr>
            <w:tcW w:w="4535" w:type="dxa"/>
            <w:vAlign w:val="center"/>
          </w:tcPr>
          <w:p w14:paraId="0512528A">
            <w:pPr>
              <w:pStyle w:val="13"/>
            </w:pPr>
            <w:r>
              <w:t>三、国有资本经营预算拨款收入</w:t>
            </w:r>
          </w:p>
        </w:tc>
        <w:tc>
          <w:tcPr>
            <w:tcW w:w="2126" w:type="dxa"/>
            <w:vAlign w:val="center"/>
          </w:tcPr>
          <w:p w14:paraId="3EAFD905">
            <w:pPr>
              <w:pStyle w:val="14"/>
            </w:pPr>
          </w:p>
        </w:tc>
        <w:tc>
          <w:tcPr>
            <w:tcW w:w="4535" w:type="dxa"/>
            <w:vAlign w:val="center"/>
          </w:tcPr>
          <w:p w14:paraId="073F504F">
            <w:pPr>
              <w:pStyle w:val="13"/>
            </w:pPr>
            <w:r>
              <w:t>三、国防支出</w:t>
            </w:r>
          </w:p>
        </w:tc>
        <w:tc>
          <w:tcPr>
            <w:tcW w:w="2126" w:type="dxa"/>
            <w:vAlign w:val="center"/>
          </w:tcPr>
          <w:p w14:paraId="23520019">
            <w:pPr>
              <w:pStyle w:val="14"/>
            </w:pPr>
          </w:p>
        </w:tc>
      </w:tr>
      <w:tr w14:paraId="7CB94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D7A02">
            <w:pPr>
              <w:pStyle w:val="12"/>
            </w:pPr>
            <w:r>
              <w:t>4</w:t>
            </w:r>
          </w:p>
        </w:tc>
        <w:tc>
          <w:tcPr>
            <w:tcW w:w="4535" w:type="dxa"/>
            <w:vAlign w:val="center"/>
          </w:tcPr>
          <w:p w14:paraId="2B4F068A">
            <w:pPr>
              <w:pStyle w:val="13"/>
            </w:pPr>
            <w:r>
              <w:t>四、财政专户管理资金收入</w:t>
            </w:r>
          </w:p>
        </w:tc>
        <w:tc>
          <w:tcPr>
            <w:tcW w:w="2126" w:type="dxa"/>
            <w:vAlign w:val="center"/>
          </w:tcPr>
          <w:p w14:paraId="2064DB0C">
            <w:pPr>
              <w:pStyle w:val="14"/>
            </w:pPr>
          </w:p>
        </w:tc>
        <w:tc>
          <w:tcPr>
            <w:tcW w:w="4535" w:type="dxa"/>
            <w:vAlign w:val="center"/>
          </w:tcPr>
          <w:p w14:paraId="0C56FB49">
            <w:pPr>
              <w:pStyle w:val="13"/>
            </w:pPr>
            <w:r>
              <w:t>四、公共安全支出</w:t>
            </w:r>
          </w:p>
        </w:tc>
        <w:tc>
          <w:tcPr>
            <w:tcW w:w="2126" w:type="dxa"/>
            <w:vAlign w:val="center"/>
          </w:tcPr>
          <w:p w14:paraId="76A4DCD3">
            <w:pPr>
              <w:pStyle w:val="14"/>
            </w:pPr>
          </w:p>
        </w:tc>
      </w:tr>
      <w:tr w14:paraId="3A3AB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88D2A">
            <w:pPr>
              <w:pStyle w:val="12"/>
            </w:pPr>
            <w:r>
              <w:t>5</w:t>
            </w:r>
          </w:p>
        </w:tc>
        <w:tc>
          <w:tcPr>
            <w:tcW w:w="4535" w:type="dxa"/>
            <w:vAlign w:val="center"/>
          </w:tcPr>
          <w:p w14:paraId="634E0355">
            <w:pPr>
              <w:pStyle w:val="13"/>
            </w:pPr>
            <w:r>
              <w:t>五、单位资金</w:t>
            </w:r>
          </w:p>
        </w:tc>
        <w:tc>
          <w:tcPr>
            <w:tcW w:w="2126" w:type="dxa"/>
            <w:vAlign w:val="center"/>
          </w:tcPr>
          <w:p w14:paraId="26704EBA">
            <w:pPr>
              <w:pStyle w:val="14"/>
            </w:pPr>
          </w:p>
        </w:tc>
        <w:tc>
          <w:tcPr>
            <w:tcW w:w="4535" w:type="dxa"/>
            <w:vAlign w:val="center"/>
          </w:tcPr>
          <w:p w14:paraId="0EF70BEA">
            <w:pPr>
              <w:pStyle w:val="13"/>
            </w:pPr>
            <w:r>
              <w:t>五、教育支出</w:t>
            </w:r>
          </w:p>
        </w:tc>
        <w:tc>
          <w:tcPr>
            <w:tcW w:w="2126" w:type="dxa"/>
            <w:vAlign w:val="center"/>
          </w:tcPr>
          <w:p w14:paraId="0C7EC0D8">
            <w:pPr>
              <w:pStyle w:val="14"/>
            </w:pPr>
            <w:r>
              <w:t>3029.02</w:t>
            </w:r>
          </w:p>
        </w:tc>
      </w:tr>
      <w:tr w14:paraId="0B194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4C954">
            <w:pPr>
              <w:pStyle w:val="12"/>
            </w:pPr>
            <w:r>
              <w:t>6</w:t>
            </w:r>
          </w:p>
        </w:tc>
        <w:tc>
          <w:tcPr>
            <w:tcW w:w="4535" w:type="dxa"/>
            <w:vAlign w:val="center"/>
          </w:tcPr>
          <w:p w14:paraId="6124450E">
            <w:pPr>
              <w:pStyle w:val="13"/>
            </w:pPr>
          </w:p>
        </w:tc>
        <w:tc>
          <w:tcPr>
            <w:tcW w:w="2126" w:type="dxa"/>
            <w:vAlign w:val="center"/>
          </w:tcPr>
          <w:p w14:paraId="1483370B">
            <w:pPr>
              <w:pStyle w:val="14"/>
            </w:pPr>
          </w:p>
        </w:tc>
        <w:tc>
          <w:tcPr>
            <w:tcW w:w="4535" w:type="dxa"/>
            <w:vAlign w:val="center"/>
          </w:tcPr>
          <w:p w14:paraId="24BD79E6">
            <w:pPr>
              <w:pStyle w:val="13"/>
            </w:pPr>
            <w:r>
              <w:t>六、科学技术支出</w:t>
            </w:r>
          </w:p>
        </w:tc>
        <w:tc>
          <w:tcPr>
            <w:tcW w:w="2126" w:type="dxa"/>
            <w:vAlign w:val="center"/>
          </w:tcPr>
          <w:p w14:paraId="2C486EB4">
            <w:pPr>
              <w:pStyle w:val="14"/>
            </w:pPr>
          </w:p>
        </w:tc>
      </w:tr>
      <w:tr w14:paraId="08947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5EEC3">
            <w:pPr>
              <w:pStyle w:val="12"/>
            </w:pPr>
            <w:r>
              <w:t>7</w:t>
            </w:r>
          </w:p>
        </w:tc>
        <w:tc>
          <w:tcPr>
            <w:tcW w:w="4535" w:type="dxa"/>
            <w:vAlign w:val="center"/>
          </w:tcPr>
          <w:p w14:paraId="2F82C64F">
            <w:pPr>
              <w:pStyle w:val="13"/>
            </w:pPr>
          </w:p>
        </w:tc>
        <w:tc>
          <w:tcPr>
            <w:tcW w:w="2126" w:type="dxa"/>
            <w:vAlign w:val="center"/>
          </w:tcPr>
          <w:p w14:paraId="5CB6F405">
            <w:pPr>
              <w:pStyle w:val="14"/>
            </w:pPr>
          </w:p>
        </w:tc>
        <w:tc>
          <w:tcPr>
            <w:tcW w:w="4535" w:type="dxa"/>
            <w:vAlign w:val="center"/>
          </w:tcPr>
          <w:p w14:paraId="219FAD70">
            <w:pPr>
              <w:pStyle w:val="13"/>
            </w:pPr>
            <w:r>
              <w:t>七、文化旅游体育与传媒支出</w:t>
            </w:r>
          </w:p>
        </w:tc>
        <w:tc>
          <w:tcPr>
            <w:tcW w:w="2126" w:type="dxa"/>
            <w:vAlign w:val="center"/>
          </w:tcPr>
          <w:p w14:paraId="1B06F024">
            <w:pPr>
              <w:pStyle w:val="14"/>
            </w:pPr>
          </w:p>
        </w:tc>
      </w:tr>
      <w:tr w14:paraId="54F76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FB3C6">
            <w:pPr>
              <w:pStyle w:val="12"/>
            </w:pPr>
            <w:r>
              <w:t>8</w:t>
            </w:r>
          </w:p>
        </w:tc>
        <w:tc>
          <w:tcPr>
            <w:tcW w:w="4535" w:type="dxa"/>
            <w:vAlign w:val="center"/>
          </w:tcPr>
          <w:p w14:paraId="1110CCAD">
            <w:pPr>
              <w:pStyle w:val="13"/>
            </w:pPr>
          </w:p>
        </w:tc>
        <w:tc>
          <w:tcPr>
            <w:tcW w:w="2126" w:type="dxa"/>
            <w:vAlign w:val="center"/>
          </w:tcPr>
          <w:p w14:paraId="6DA90313">
            <w:pPr>
              <w:pStyle w:val="14"/>
            </w:pPr>
          </w:p>
        </w:tc>
        <w:tc>
          <w:tcPr>
            <w:tcW w:w="4535" w:type="dxa"/>
            <w:vAlign w:val="center"/>
          </w:tcPr>
          <w:p w14:paraId="35F63E4D">
            <w:pPr>
              <w:pStyle w:val="13"/>
            </w:pPr>
            <w:r>
              <w:t>八、社会保障和就业支出</w:t>
            </w:r>
          </w:p>
        </w:tc>
        <w:tc>
          <w:tcPr>
            <w:tcW w:w="2126" w:type="dxa"/>
            <w:vAlign w:val="center"/>
          </w:tcPr>
          <w:p w14:paraId="5759A8B7">
            <w:pPr>
              <w:pStyle w:val="14"/>
            </w:pPr>
          </w:p>
        </w:tc>
      </w:tr>
      <w:tr w14:paraId="49B67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C6E3C">
            <w:pPr>
              <w:pStyle w:val="12"/>
            </w:pPr>
            <w:r>
              <w:t>9</w:t>
            </w:r>
          </w:p>
        </w:tc>
        <w:tc>
          <w:tcPr>
            <w:tcW w:w="4535" w:type="dxa"/>
            <w:vAlign w:val="center"/>
          </w:tcPr>
          <w:p w14:paraId="2764020D">
            <w:pPr>
              <w:pStyle w:val="13"/>
            </w:pPr>
          </w:p>
        </w:tc>
        <w:tc>
          <w:tcPr>
            <w:tcW w:w="2126" w:type="dxa"/>
            <w:vAlign w:val="center"/>
          </w:tcPr>
          <w:p w14:paraId="194BEA12">
            <w:pPr>
              <w:pStyle w:val="14"/>
            </w:pPr>
          </w:p>
        </w:tc>
        <w:tc>
          <w:tcPr>
            <w:tcW w:w="4535" w:type="dxa"/>
            <w:vAlign w:val="center"/>
          </w:tcPr>
          <w:p w14:paraId="31462A82">
            <w:pPr>
              <w:pStyle w:val="13"/>
            </w:pPr>
            <w:r>
              <w:t>九、社会保险基金支出</w:t>
            </w:r>
          </w:p>
        </w:tc>
        <w:tc>
          <w:tcPr>
            <w:tcW w:w="2126" w:type="dxa"/>
            <w:vAlign w:val="center"/>
          </w:tcPr>
          <w:p w14:paraId="0837E899">
            <w:pPr>
              <w:pStyle w:val="14"/>
            </w:pPr>
          </w:p>
        </w:tc>
      </w:tr>
      <w:tr w14:paraId="47B68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D52CA">
            <w:pPr>
              <w:pStyle w:val="12"/>
            </w:pPr>
            <w:r>
              <w:t>10</w:t>
            </w:r>
          </w:p>
        </w:tc>
        <w:tc>
          <w:tcPr>
            <w:tcW w:w="4535" w:type="dxa"/>
            <w:vAlign w:val="center"/>
          </w:tcPr>
          <w:p w14:paraId="5A4766FA">
            <w:pPr>
              <w:pStyle w:val="13"/>
            </w:pPr>
          </w:p>
        </w:tc>
        <w:tc>
          <w:tcPr>
            <w:tcW w:w="2126" w:type="dxa"/>
            <w:vAlign w:val="center"/>
          </w:tcPr>
          <w:p w14:paraId="3E0BF528">
            <w:pPr>
              <w:pStyle w:val="14"/>
            </w:pPr>
          </w:p>
        </w:tc>
        <w:tc>
          <w:tcPr>
            <w:tcW w:w="4535" w:type="dxa"/>
            <w:vAlign w:val="center"/>
          </w:tcPr>
          <w:p w14:paraId="2817C4B9">
            <w:pPr>
              <w:pStyle w:val="13"/>
            </w:pPr>
            <w:r>
              <w:t>十、卫生健康支出</w:t>
            </w:r>
          </w:p>
        </w:tc>
        <w:tc>
          <w:tcPr>
            <w:tcW w:w="2126" w:type="dxa"/>
            <w:vAlign w:val="center"/>
          </w:tcPr>
          <w:p w14:paraId="79D25623">
            <w:pPr>
              <w:pStyle w:val="14"/>
            </w:pPr>
          </w:p>
        </w:tc>
      </w:tr>
      <w:tr w14:paraId="31FE1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85A52">
            <w:pPr>
              <w:pStyle w:val="12"/>
            </w:pPr>
            <w:r>
              <w:t>11</w:t>
            </w:r>
          </w:p>
        </w:tc>
        <w:tc>
          <w:tcPr>
            <w:tcW w:w="4535" w:type="dxa"/>
            <w:vAlign w:val="center"/>
          </w:tcPr>
          <w:p w14:paraId="04922E66">
            <w:pPr>
              <w:pStyle w:val="13"/>
            </w:pPr>
          </w:p>
        </w:tc>
        <w:tc>
          <w:tcPr>
            <w:tcW w:w="2126" w:type="dxa"/>
            <w:vAlign w:val="center"/>
          </w:tcPr>
          <w:p w14:paraId="72BD6D8C">
            <w:pPr>
              <w:pStyle w:val="14"/>
            </w:pPr>
          </w:p>
        </w:tc>
        <w:tc>
          <w:tcPr>
            <w:tcW w:w="4535" w:type="dxa"/>
            <w:vAlign w:val="center"/>
          </w:tcPr>
          <w:p w14:paraId="550068B8">
            <w:pPr>
              <w:pStyle w:val="13"/>
            </w:pPr>
            <w:r>
              <w:t>十一、节能环保支出</w:t>
            </w:r>
          </w:p>
        </w:tc>
        <w:tc>
          <w:tcPr>
            <w:tcW w:w="2126" w:type="dxa"/>
            <w:vAlign w:val="center"/>
          </w:tcPr>
          <w:p w14:paraId="2A4CD066">
            <w:pPr>
              <w:pStyle w:val="14"/>
            </w:pPr>
          </w:p>
        </w:tc>
      </w:tr>
      <w:tr w14:paraId="5E161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28FF6">
            <w:pPr>
              <w:pStyle w:val="12"/>
            </w:pPr>
            <w:r>
              <w:t>12</w:t>
            </w:r>
          </w:p>
        </w:tc>
        <w:tc>
          <w:tcPr>
            <w:tcW w:w="4535" w:type="dxa"/>
            <w:vAlign w:val="center"/>
          </w:tcPr>
          <w:p w14:paraId="062C9F51">
            <w:pPr>
              <w:pStyle w:val="13"/>
            </w:pPr>
          </w:p>
        </w:tc>
        <w:tc>
          <w:tcPr>
            <w:tcW w:w="2126" w:type="dxa"/>
            <w:vAlign w:val="center"/>
          </w:tcPr>
          <w:p w14:paraId="14173E19">
            <w:pPr>
              <w:pStyle w:val="14"/>
            </w:pPr>
          </w:p>
        </w:tc>
        <w:tc>
          <w:tcPr>
            <w:tcW w:w="4535" w:type="dxa"/>
            <w:vAlign w:val="center"/>
          </w:tcPr>
          <w:p w14:paraId="7ED23CF8">
            <w:pPr>
              <w:pStyle w:val="13"/>
            </w:pPr>
            <w:r>
              <w:t>十二、城乡社区支出</w:t>
            </w:r>
          </w:p>
        </w:tc>
        <w:tc>
          <w:tcPr>
            <w:tcW w:w="2126" w:type="dxa"/>
            <w:vAlign w:val="center"/>
          </w:tcPr>
          <w:p w14:paraId="2BC69F7C">
            <w:pPr>
              <w:pStyle w:val="14"/>
            </w:pPr>
          </w:p>
        </w:tc>
      </w:tr>
      <w:tr w14:paraId="2F5E4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E3C3E">
            <w:pPr>
              <w:pStyle w:val="12"/>
            </w:pPr>
            <w:r>
              <w:t>13</w:t>
            </w:r>
          </w:p>
        </w:tc>
        <w:tc>
          <w:tcPr>
            <w:tcW w:w="4535" w:type="dxa"/>
            <w:vAlign w:val="center"/>
          </w:tcPr>
          <w:p w14:paraId="74951294">
            <w:pPr>
              <w:pStyle w:val="13"/>
            </w:pPr>
          </w:p>
        </w:tc>
        <w:tc>
          <w:tcPr>
            <w:tcW w:w="2126" w:type="dxa"/>
            <w:vAlign w:val="center"/>
          </w:tcPr>
          <w:p w14:paraId="037FD420">
            <w:pPr>
              <w:pStyle w:val="14"/>
            </w:pPr>
          </w:p>
        </w:tc>
        <w:tc>
          <w:tcPr>
            <w:tcW w:w="4535" w:type="dxa"/>
            <w:vAlign w:val="center"/>
          </w:tcPr>
          <w:p w14:paraId="08E18B6B">
            <w:pPr>
              <w:pStyle w:val="13"/>
            </w:pPr>
            <w:r>
              <w:t>十三、农林水支出</w:t>
            </w:r>
          </w:p>
        </w:tc>
        <w:tc>
          <w:tcPr>
            <w:tcW w:w="2126" w:type="dxa"/>
            <w:vAlign w:val="center"/>
          </w:tcPr>
          <w:p w14:paraId="3261ABFE">
            <w:pPr>
              <w:pStyle w:val="14"/>
            </w:pPr>
          </w:p>
        </w:tc>
      </w:tr>
      <w:tr w14:paraId="06E29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67FCE">
            <w:pPr>
              <w:pStyle w:val="12"/>
            </w:pPr>
            <w:r>
              <w:t>14</w:t>
            </w:r>
          </w:p>
        </w:tc>
        <w:tc>
          <w:tcPr>
            <w:tcW w:w="4535" w:type="dxa"/>
            <w:vAlign w:val="center"/>
          </w:tcPr>
          <w:p w14:paraId="76E881AF">
            <w:pPr>
              <w:pStyle w:val="13"/>
            </w:pPr>
          </w:p>
        </w:tc>
        <w:tc>
          <w:tcPr>
            <w:tcW w:w="2126" w:type="dxa"/>
            <w:vAlign w:val="center"/>
          </w:tcPr>
          <w:p w14:paraId="3D8AEB1E">
            <w:pPr>
              <w:pStyle w:val="14"/>
            </w:pPr>
          </w:p>
        </w:tc>
        <w:tc>
          <w:tcPr>
            <w:tcW w:w="4535" w:type="dxa"/>
            <w:vAlign w:val="center"/>
          </w:tcPr>
          <w:p w14:paraId="3A82840B">
            <w:pPr>
              <w:pStyle w:val="13"/>
            </w:pPr>
            <w:r>
              <w:t>十四、交通运输支出</w:t>
            </w:r>
          </w:p>
        </w:tc>
        <w:tc>
          <w:tcPr>
            <w:tcW w:w="2126" w:type="dxa"/>
            <w:vAlign w:val="center"/>
          </w:tcPr>
          <w:p w14:paraId="30809DFC">
            <w:pPr>
              <w:pStyle w:val="14"/>
            </w:pPr>
          </w:p>
        </w:tc>
      </w:tr>
      <w:tr w14:paraId="11972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DF5B4">
            <w:pPr>
              <w:pStyle w:val="12"/>
            </w:pPr>
            <w:r>
              <w:t>15</w:t>
            </w:r>
          </w:p>
        </w:tc>
        <w:tc>
          <w:tcPr>
            <w:tcW w:w="4535" w:type="dxa"/>
            <w:vAlign w:val="center"/>
          </w:tcPr>
          <w:p w14:paraId="185ECEEF">
            <w:pPr>
              <w:pStyle w:val="13"/>
            </w:pPr>
          </w:p>
        </w:tc>
        <w:tc>
          <w:tcPr>
            <w:tcW w:w="2126" w:type="dxa"/>
            <w:vAlign w:val="center"/>
          </w:tcPr>
          <w:p w14:paraId="428CD98D">
            <w:pPr>
              <w:pStyle w:val="14"/>
            </w:pPr>
          </w:p>
        </w:tc>
        <w:tc>
          <w:tcPr>
            <w:tcW w:w="4535" w:type="dxa"/>
            <w:vAlign w:val="center"/>
          </w:tcPr>
          <w:p w14:paraId="14BAB8A2">
            <w:pPr>
              <w:pStyle w:val="13"/>
            </w:pPr>
            <w:r>
              <w:t>十五、资源勘探工业信息等支出</w:t>
            </w:r>
          </w:p>
        </w:tc>
        <w:tc>
          <w:tcPr>
            <w:tcW w:w="2126" w:type="dxa"/>
            <w:vAlign w:val="center"/>
          </w:tcPr>
          <w:p w14:paraId="4396019F">
            <w:pPr>
              <w:pStyle w:val="14"/>
            </w:pPr>
          </w:p>
        </w:tc>
      </w:tr>
      <w:tr w14:paraId="52DBF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38A7A">
            <w:pPr>
              <w:pStyle w:val="12"/>
            </w:pPr>
            <w:r>
              <w:t>16</w:t>
            </w:r>
          </w:p>
        </w:tc>
        <w:tc>
          <w:tcPr>
            <w:tcW w:w="4535" w:type="dxa"/>
            <w:vAlign w:val="center"/>
          </w:tcPr>
          <w:p w14:paraId="726CB3BA">
            <w:pPr>
              <w:pStyle w:val="13"/>
            </w:pPr>
          </w:p>
        </w:tc>
        <w:tc>
          <w:tcPr>
            <w:tcW w:w="2126" w:type="dxa"/>
            <w:vAlign w:val="center"/>
          </w:tcPr>
          <w:p w14:paraId="02E88AA4">
            <w:pPr>
              <w:pStyle w:val="14"/>
            </w:pPr>
          </w:p>
        </w:tc>
        <w:tc>
          <w:tcPr>
            <w:tcW w:w="4535" w:type="dxa"/>
            <w:vAlign w:val="center"/>
          </w:tcPr>
          <w:p w14:paraId="227CC97A">
            <w:pPr>
              <w:pStyle w:val="13"/>
            </w:pPr>
            <w:r>
              <w:t>十六、商业服务业等支出</w:t>
            </w:r>
          </w:p>
        </w:tc>
        <w:tc>
          <w:tcPr>
            <w:tcW w:w="2126" w:type="dxa"/>
            <w:vAlign w:val="center"/>
          </w:tcPr>
          <w:p w14:paraId="073A45ED">
            <w:pPr>
              <w:pStyle w:val="14"/>
            </w:pPr>
          </w:p>
        </w:tc>
      </w:tr>
      <w:tr w14:paraId="76654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DB09D">
            <w:pPr>
              <w:pStyle w:val="12"/>
            </w:pPr>
            <w:r>
              <w:t>17</w:t>
            </w:r>
          </w:p>
        </w:tc>
        <w:tc>
          <w:tcPr>
            <w:tcW w:w="4535" w:type="dxa"/>
            <w:vAlign w:val="center"/>
          </w:tcPr>
          <w:p w14:paraId="06A3BAC1">
            <w:pPr>
              <w:pStyle w:val="13"/>
            </w:pPr>
          </w:p>
        </w:tc>
        <w:tc>
          <w:tcPr>
            <w:tcW w:w="2126" w:type="dxa"/>
            <w:vAlign w:val="center"/>
          </w:tcPr>
          <w:p w14:paraId="1F646E70">
            <w:pPr>
              <w:pStyle w:val="14"/>
            </w:pPr>
          </w:p>
        </w:tc>
        <w:tc>
          <w:tcPr>
            <w:tcW w:w="4535" w:type="dxa"/>
            <w:vAlign w:val="center"/>
          </w:tcPr>
          <w:p w14:paraId="4276731F">
            <w:pPr>
              <w:pStyle w:val="13"/>
            </w:pPr>
            <w:r>
              <w:t>十七、金融支出</w:t>
            </w:r>
          </w:p>
        </w:tc>
        <w:tc>
          <w:tcPr>
            <w:tcW w:w="2126" w:type="dxa"/>
            <w:vAlign w:val="center"/>
          </w:tcPr>
          <w:p w14:paraId="7CA69F9F">
            <w:pPr>
              <w:pStyle w:val="14"/>
            </w:pPr>
          </w:p>
        </w:tc>
      </w:tr>
      <w:tr w14:paraId="0EFC4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0BDEA">
            <w:pPr>
              <w:pStyle w:val="12"/>
            </w:pPr>
            <w:r>
              <w:t>18</w:t>
            </w:r>
          </w:p>
        </w:tc>
        <w:tc>
          <w:tcPr>
            <w:tcW w:w="4535" w:type="dxa"/>
            <w:vAlign w:val="center"/>
          </w:tcPr>
          <w:p w14:paraId="33444978">
            <w:pPr>
              <w:pStyle w:val="13"/>
            </w:pPr>
          </w:p>
        </w:tc>
        <w:tc>
          <w:tcPr>
            <w:tcW w:w="2126" w:type="dxa"/>
            <w:vAlign w:val="center"/>
          </w:tcPr>
          <w:p w14:paraId="0AE0166F">
            <w:pPr>
              <w:pStyle w:val="14"/>
            </w:pPr>
          </w:p>
        </w:tc>
        <w:tc>
          <w:tcPr>
            <w:tcW w:w="4535" w:type="dxa"/>
            <w:vAlign w:val="center"/>
          </w:tcPr>
          <w:p w14:paraId="7558C1AF">
            <w:pPr>
              <w:pStyle w:val="13"/>
            </w:pPr>
            <w:r>
              <w:t>十八、援助其他地区支出</w:t>
            </w:r>
          </w:p>
        </w:tc>
        <w:tc>
          <w:tcPr>
            <w:tcW w:w="2126" w:type="dxa"/>
            <w:vAlign w:val="center"/>
          </w:tcPr>
          <w:p w14:paraId="34A42F5D">
            <w:pPr>
              <w:pStyle w:val="14"/>
            </w:pPr>
          </w:p>
        </w:tc>
      </w:tr>
      <w:tr w14:paraId="6B19C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E5F4E">
            <w:pPr>
              <w:pStyle w:val="12"/>
            </w:pPr>
            <w:r>
              <w:t>19</w:t>
            </w:r>
          </w:p>
        </w:tc>
        <w:tc>
          <w:tcPr>
            <w:tcW w:w="4535" w:type="dxa"/>
            <w:vAlign w:val="center"/>
          </w:tcPr>
          <w:p w14:paraId="5C3A6624">
            <w:pPr>
              <w:pStyle w:val="13"/>
            </w:pPr>
          </w:p>
        </w:tc>
        <w:tc>
          <w:tcPr>
            <w:tcW w:w="2126" w:type="dxa"/>
            <w:vAlign w:val="center"/>
          </w:tcPr>
          <w:p w14:paraId="0FD3E68D">
            <w:pPr>
              <w:pStyle w:val="14"/>
            </w:pPr>
          </w:p>
        </w:tc>
        <w:tc>
          <w:tcPr>
            <w:tcW w:w="4535" w:type="dxa"/>
            <w:vAlign w:val="center"/>
          </w:tcPr>
          <w:p w14:paraId="304377D7">
            <w:pPr>
              <w:pStyle w:val="13"/>
            </w:pPr>
            <w:r>
              <w:t>十九、自然资源海洋气象等支出</w:t>
            </w:r>
          </w:p>
        </w:tc>
        <w:tc>
          <w:tcPr>
            <w:tcW w:w="2126" w:type="dxa"/>
            <w:vAlign w:val="center"/>
          </w:tcPr>
          <w:p w14:paraId="3778DDDD">
            <w:pPr>
              <w:pStyle w:val="14"/>
            </w:pPr>
          </w:p>
        </w:tc>
      </w:tr>
      <w:tr w14:paraId="02DBE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77623">
            <w:pPr>
              <w:pStyle w:val="12"/>
            </w:pPr>
            <w:r>
              <w:t>20</w:t>
            </w:r>
          </w:p>
        </w:tc>
        <w:tc>
          <w:tcPr>
            <w:tcW w:w="4535" w:type="dxa"/>
            <w:vAlign w:val="center"/>
          </w:tcPr>
          <w:p w14:paraId="07B8FCC8">
            <w:pPr>
              <w:pStyle w:val="13"/>
            </w:pPr>
          </w:p>
        </w:tc>
        <w:tc>
          <w:tcPr>
            <w:tcW w:w="2126" w:type="dxa"/>
            <w:vAlign w:val="center"/>
          </w:tcPr>
          <w:p w14:paraId="33FB6511">
            <w:pPr>
              <w:pStyle w:val="14"/>
            </w:pPr>
          </w:p>
        </w:tc>
        <w:tc>
          <w:tcPr>
            <w:tcW w:w="4535" w:type="dxa"/>
            <w:vAlign w:val="center"/>
          </w:tcPr>
          <w:p w14:paraId="7F1894FB">
            <w:pPr>
              <w:pStyle w:val="13"/>
            </w:pPr>
            <w:r>
              <w:t>二十、住房保障支出</w:t>
            </w:r>
          </w:p>
        </w:tc>
        <w:tc>
          <w:tcPr>
            <w:tcW w:w="2126" w:type="dxa"/>
            <w:vAlign w:val="center"/>
          </w:tcPr>
          <w:p w14:paraId="349567FA">
            <w:pPr>
              <w:pStyle w:val="14"/>
            </w:pPr>
          </w:p>
        </w:tc>
      </w:tr>
      <w:tr w14:paraId="36AD0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0F0DB">
            <w:pPr>
              <w:pStyle w:val="12"/>
            </w:pPr>
            <w:r>
              <w:t>21</w:t>
            </w:r>
          </w:p>
        </w:tc>
        <w:tc>
          <w:tcPr>
            <w:tcW w:w="4535" w:type="dxa"/>
            <w:vAlign w:val="center"/>
          </w:tcPr>
          <w:p w14:paraId="5A9F9A7B">
            <w:pPr>
              <w:pStyle w:val="13"/>
            </w:pPr>
          </w:p>
        </w:tc>
        <w:tc>
          <w:tcPr>
            <w:tcW w:w="2126" w:type="dxa"/>
            <w:vAlign w:val="center"/>
          </w:tcPr>
          <w:p w14:paraId="54CDD09E">
            <w:pPr>
              <w:pStyle w:val="14"/>
            </w:pPr>
          </w:p>
        </w:tc>
        <w:tc>
          <w:tcPr>
            <w:tcW w:w="4535" w:type="dxa"/>
            <w:vAlign w:val="center"/>
          </w:tcPr>
          <w:p w14:paraId="19E72322">
            <w:pPr>
              <w:pStyle w:val="13"/>
            </w:pPr>
            <w:r>
              <w:t>二十一、粮油物资储备支出</w:t>
            </w:r>
          </w:p>
        </w:tc>
        <w:tc>
          <w:tcPr>
            <w:tcW w:w="2126" w:type="dxa"/>
            <w:vAlign w:val="center"/>
          </w:tcPr>
          <w:p w14:paraId="262ED725">
            <w:pPr>
              <w:pStyle w:val="14"/>
            </w:pPr>
          </w:p>
        </w:tc>
      </w:tr>
      <w:tr w14:paraId="60B1A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8CD78">
            <w:pPr>
              <w:pStyle w:val="12"/>
            </w:pPr>
            <w:r>
              <w:t>22</w:t>
            </w:r>
          </w:p>
        </w:tc>
        <w:tc>
          <w:tcPr>
            <w:tcW w:w="4535" w:type="dxa"/>
            <w:vAlign w:val="center"/>
          </w:tcPr>
          <w:p w14:paraId="026047F2">
            <w:pPr>
              <w:pStyle w:val="13"/>
            </w:pPr>
          </w:p>
        </w:tc>
        <w:tc>
          <w:tcPr>
            <w:tcW w:w="2126" w:type="dxa"/>
            <w:vAlign w:val="center"/>
          </w:tcPr>
          <w:p w14:paraId="4DF8AA92">
            <w:pPr>
              <w:pStyle w:val="14"/>
            </w:pPr>
          </w:p>
        </w:tc>
        <w:tc>
          <w:tcPr>
            <w:tcW w:w="4535" w:type="dxa"/>
            <w:vAlign w:val="center"/>
          </w:tcPr>
          <w:p w14:paraId="1509E883">
            <w:pPr>
              <w:pStyle w:val="13"/>
            </w:pPr>
            <w:r>
              <w:t>二十二、国有资本经营预算支出</w:t>
            </w:r>
          </w:p>
        </w:tc>
        <w:tc>
          <w:tcPr>
            <w:tcW w:w="2126" w:type="dxa"/>
            <w:vAlign w:val="center"/>
          </w:tcPr>
          <w:p w14:paraId="30A55C43">
            <w:pPr>
              <w:pStyle w:val="14"/>
            </w:pPr>
          </w:p>
        </w:tc>
      </w:tr>
      <w:tr w14:paraId="0EC45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66447">
            <w:pPr>
              <w:pStyle w:val="12"/>
            </w:pPr>
            <w:r>
              <w:t>23</w:t>
            </w:r>
          </w:p>
        </w:tc>
        <w:tc>
          <w:tcPr>
            <w:tcW w:w="4535" w:type="dxa"/>
            <w:vAlign w:val="center"/>
          </w:tcPr>
          <w:p w14:paraId="7CE610DF">
            <w:pPr>
              <w:pStyle w:val="13"/>
            </w:pPr>
          </w:p>
        </w:tc>
        <w:tc>
          <w:tcPr>
            <w:tcW w:w="2126" w:type="dxa"/>
            <w:vAlign w:val="center"/>
          </w:tcPr>
          <w:p w14:paraId="7106F74A">
            <w:pPr>
              <w:pStyle w:val="14"/>
            </w:pPr>
          </w:p>
        </w:tc>
        <w:tc>
          <w:tcPr>
            <w:tcW w:w="4535" w:type="dxa"/>
            <w:vAlign w:val="center"/>
          </w:tcPr>
          <w:p w14:paraId="19492750">
            <w:pPr>
              <w:pStyle w:val="13"/>
            </w:pPr>
            <w:r>
              <w:t>二十三、灾害防治及应急管理支出</w:t>
            </w:r>
          </w:p>
        </w:tc>
        <w:tc>
          <w:tcPr>
            <w:tcW w:w="2126" w:type="dxa"/>
            <w:vAlign w:val="center"/>
          </w:tcPr>
          <w:p w14:paraId="11EA1DB6">
            <w:pPr>
              <w:pStyle w:val="14"/>
            </w:pPr>
          </w:p>
        </w:tc>
      </w:tr>
      <w:tr w14:paraId="738E6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D40DD">
            <w:pPr>
              <w:pStyle w:val="12"/>
            </w:pPr>
            <w:r>
              <w:t>24</w:t>
            </w:r>
          </w:p>
        </w:tc>
        <w:tc>
          <w:tcPr>
            <w:tcW w:w="4535" w:type="dxa"/>
            <w:vAlign w:val="center"/>
          </w:tcPr>
          <w:p w14:paraId="4E62EAE7">
            <w:pPr>
              <w:pStyle w:val="13"/>
            </w:pPr>
          </w:p>
        </w:tc>
        <w:tc>
          <w:tcPr>
            <w:tcW w:w="2126" w:type="dxa"/>
            <w:vAlign w:val="center"/>
          </w:tcPr>
          <w:p w14:paraId="5A5384E5">
            <w:pPr>
              <w:pStyle w:val="14"/>
            </w:pPr>
          </w:p>
        </w:tc>
        <w:tc>
          <w:tcPr>
            <w:tcW w:w="4535" w:type="dxa"/>
            <w:vAlign w:val="center"/>
          </w:tcPr>
          <w:p w14:paraId="60BD55DC">
            <w:pPr>
              <w:pStyle w:val="13"/>
            </w:pPr>
            <w:r>
              <w:t>二十四、预备费</w:t>
            </w:r>
          </w:p>
        </w:tc>
        <w:tc>
          <w:tcPr>
            <w:tcW w:w="2126" w:type="dxa"/>
            <w:vAlign w:val="center"/>
          </w:tcPr>
          <w:p w14:paraId="3B74F0FB">
            <w:pPr>
              <w:pStyle w:val="14"/>
            </w:pPr>
          </w:p>
        </w:tc>
      </w:tr>
      <w:tr w14:paraId="49865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A8D2C">
            <w:pPr>
              <w:pStyle w:val="12"/>
            </w:pPr>
            <w:r>
              <w:t>25</w:t>
            </w:r>
          </w:p>
        </w:tc>
        <w:tc>
          <w:tcPr>
            <w:tcW w:w="4535" w:type="dxa"/>
            <w:vAlign w:val="center"/>
          </w:tcPr>
          <w:p w14:paraId="322AB783">
            <w:pPr>
              <w:pStyle w:val="13"/>
            </w:pPr>
          </w:p>
        </w:tc>
        <w:tc>
          <w:tcPr>
            <w:tcW w:w="2126" w:type="dxa"/>
            <w:vAlign w:val="center"/>
          </w:tcPr>
          <w:p w14:paraId="07655212">
            <w:pPr>
              <w:pStyle w:val="14"/>
            </w:pPr>
          </w:p>
        </w:tc>
        <w:tc>
          <w:tcPr>
            <w:tcW w:w="4535" w:type="dxa"/>
            <w:vAlign w:val="center"/>
          </w:tcPr>
          <w:p w14:paraId="46288E6F">
            <w:pPr>
              <w:pStyle w:val="13"/>
            </w:pPr>
            <w:r>
              <w:t>二十五、其他支出</w:t>
            </w:r>
          </w:p>
        </w:tc>
        <w:tc>
          <w:tcPr>
            <w:tcW w:w="2126" w:type="dxa"/>
            <w:vAlign w:val="center"/>
          </w:tcPr>
          <w:p w14:paraId="4C08E03E">
            <w:pPr>
              <w:pStyle w:val="14"/>
            </w:pPr>
          </w:p>
        </w:tc>
      </w:tr>
      <w:tr w14:paraId="1812C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D2199">
            <w:pPr>
              <w:pStyle w:val="12"/>
            </w:pPr>
            <w:r>
              <w:t>26</w:t>
            </w:r>
          </w:p>
        </w:tc>
        <w:tc>
          <w:tcPr>
            <w:tcW w:w="4535" w:type="dxa"/>
            <w:vAlign w:val="center"/>
          </w:tcPr>
          <w:p w14:paraId="7AD1397D">
            <w:pPr>
              <w:pStyle w:val="13"/>
            </w:pPr>
          </w:p>
        </w:tc>
        <w:tc>
          <w:tcPr>
            <w:tcW w:w="2126" w:type="dxa"/>
            <w:vAlign w:val="center"/>
          </w:tcPr>
          <w:p w14:paraId="07841DD9">
            <w:pPr>
              <w:pStyle w:val="14"/>
            </w:pPr>
          </w:p>
        </w:tc>
        <w:tc>
          <w:tcPr>
            <w:tcW w:w="4535" w:type="dxa"/>
            <w:vAlign w:val="center"/>
          </w:tcPr>
          <w:p w14:paraId="2AB1D584">
            <w:pPr>
              <w:pStyle w:val="13"/>
            </w:pPr>
            <w:r>
              <w:t>二十六、转移性支出</w:t>
            </w:r>
          </w:p>
        </w:tc>
        <w:tc>
          <w:tcPr>
            <w:tcW w:w="2126" w:type="dxa"/>
            <w:vAlign w:val="center"/>
          </w:tcPr>
          <w:p w14:paraId="374F34F2">
            <w:pPr>
              <w:pStyle w:val="14"/>
            </w:pPr>
          </w:p>
        </w:tc>
      </w:tr>
      <w:tr w14:paraId="745D2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ACCC7">
            <w:pPr>
              <w:pStyle w:val="12"/>
            </w:pPr>
            <w:r>
              <w:t>27</w:t>
            </w:r>
          </w:p>
        </w:tc>
        <w:tc>
          <w:tcPr>
            <w:tcW w:w="4535" w:type="dxa"/>
            <w:vAlign w:val="center"/>
          </w:tcPr>
          <w:p w14:paraId="273800B2">
            <w:pPr>
              <w:pStyle w:val="13"/>
            </w:pPr>
          </w:p>
        </w:tc>
        <w:tc>
          <w:tcPr>
            <w:tcW w:w="2126" w:type="dxa"/>
            <w:vAlign w:val="center"/>
          </w:tcPr>
          <w:p w14:paraId="64F66486">
            <w:pPr>
              <w:pStyle w:val="14"/>
            </w:pPr>
          </w:p>
        </w:tc>
        <w:tc>
          <w:tcPr>
            <w:tcW w:w="4535" w:type="dxa"/>
            <w:vAlign w:val="center"/>
          </w:tcPr>
          <w:p w14:paraId="74AD581C">
            <w:pPr>
              <w:pStyle w:val="13"/>
            </w:pPr>
            <w:r>
              <w:t>二十七、债务还本支出</w:t>
            </w:r>
          </w:p>
        </w:tc>
        <w:tc>
          <w:tcPr>
            <w:tcW w:w="2126" w:type="dxa"/>
            <w:vAlign w:val="center"/>
          </w:tcPr>
          <w:p w14:paraId="43E4DEA5">
            <w:pPr>
              <w:pStyle w:val="14"/>
            </w:pPr>
          </w:p>
        </w:tc>
      </w:tr>
      <w:tr w14:paraId="20F78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977DC">
            <w:pPr>
              <w:pStyle w:val="12"/>
            </w:pPr>
            <w:r>
              <w:t>28</w:t>
            </w:r>
          </w:p>
        </w:tc>
        <w:tc>
          <w:tcPr>
            <w:tcW w:w="4535" w:type="dxa"/>
            <w:vAlign w:val="center"/>
          </w:tcPr>
          <w:p w14:paraId="282CF1DB">
            <w:pPr>
              <w:pStyle w:val="13"/>
            </w:pPr>
          </w:p>
        </w:tc>
        <w:tc>
          <w:tcPr>
            <w:tcW w:w="2126" w:type="dxa"/>
            <w:vAlign w:val="center"/>
          </w:tcPr>
          <w:p w14:paraId="1FD023C2">
            <w:pPr>
              <w:pStyle w:val="14"/>
            </w:pPr>
          </w:p>
        </w:tc>
        <w:tc>
          <w:tcPr>
            <w:tcW w:w="4535" w:type="dxa"/>
            <w:vAlign w:val="center"/>
          </w:tcPr>
          <w:p w14:paraId="183BCDB0">
            <w:pPr>
              <w:pStyle w:val="13"/>
            </w:pPr>
            <w:r>
              <w:t>二十八、债务付息支出</w:t>
            </w:r>
          </w:p>
        </w:tc>
        <w:tc>
          <w:tcPr>
            <w:tcW w:w="2126" w:type="dxa"/>
            <w:vAlign w:val="center"/>
          </w:tcPr>
          <w:p w14:paraId="3E7431B8">
            <w:pPr>
              <w:pStyle w:val="14"/>
            </w:pPr>
          </w:p>
        </w:tc>
      </w:tr>
      <w:tr w14:paraId="15032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51A36">
            <w:pPr>
              <w:pStyle w:val="12"/>
            </w:pPr>
            <w:r>
              <w:t>29</w:t>
            </w:r>
          </w:p>
        </w:tc>
        <w:tc>
          <w:tcPr>
            <w:tcW w:w="4535" w:type="dxa"/>
            <w:vAlign w:val="center"/>
          </w:tcPr>
          <w:p w14:paraId="0419155D">
            <w:pPr>
              <w:pStyle w:val="13"/>
            </w:pPr>
          </w:p>
        </w:tc>
        <w:tc>
          <w:tcPr>
            <w:tcW w:w="2126" w:type="dxa"/>
            <w:vAlign w:val="center"/>
          </w:tcPr>
          <w:p w14:paraId="05D347AF">
            <w:pPr>
              <w:pStyle w:val="14"/>
            </w:pPr>
          </w:p>
        </w:tc>
        <w:tc>
          <w:tcPr>
            <w:tcW w:w="4535" w:type="dxa"/>
            <w:vAlign w:val="center"/>
          </w:tcPr>
          <w:p w14:paraId="4FFA132F">
            <w:pPr>
              <w:pStyle w:val="13"/>
            </w:pPr>
            <w:r>
              <w:t>二十九、债务发行费用支出</w:t>
            </w:r>
          </w:p>
        </w:tc>
        <w:tc>
          <w:tcPr>
            <w:tcW w:w="2126" w:type="dxa"/>
            <w:vAlign w:val="center"/>
          </w:tcPr>
          <w:p w14:paraId="1095AD54">
            <w:pPr>
              <w:pStyle w:val="14"/>
            </w:pPr>
          </w:p>
        </w:tc>
      </w:tr>
      <w:tr w14:paraId="2A88B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67B65">
            <w:pPr>
              <w:pStyle w:val="12"/>
            </w:pPr>
            <w:r>
              <w:t>30</w:t>
            </w:r>
          </w:p>
        </w:tc>
        <w:tc>
          <w:tcPr>
            <w:tcW w:w="4535" w:type="dxa"/>
            <w:vAlign w:val="center"/>
          </w:tcPr>
          <w:p w14:paraId="4855F1FF">
            <w:pPr>
              <w:pStyle w:val="13"/>
            </w:pPr>
          </w:p>
        </w:tc>
        <w:tc>
          <w:tcPr>
            <w:tcW w:w="2126" w:type="dxa"/>
            <w:vAlign w:val="center"/>
          </w:tcPr>
          <w:p w14:paraId="26B2D66B">
            <w:pPr>
              <w:pStyle w:val="14"/>
            </w:pPr>
          </w:p>
        </w:tc>
        <w:tc>
          <w:tcPr>
            <w:tcW w:w="4535" w:type="dxa"/>
            <w:vAlign w:val="center"/>
          </w:tcPr>
          <w:p w14:paraId="251E356C">
            <w:pPr>
              <w:pStyle w:val="13"/>
            </w:pPr>
            <w:r>
              <w:t>三十、抗疫特别国债安排的支出</w:t>
            </w:r>
          </w:p>
        </w:tc>
        <w:tc>
          <w:tcPr>
            <w:tcW w:w="2126" w:type="dxa"/>
            <w:vAlign w:val="center"/>
          </w:tcPr>
          <w:p w14:paraId="6B07C7FD">
            <w:pPr>
              <w:pStyle w:val="14"/>
            </w:pPr>
          </w:p>
        </w:tc>
      </w:tr>
      <w:tr w14:paraId="6AB5C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CDDD3">
            <w:pPr>
              <w:pStyle w:val="12"/>
            </w:pPr>
            <w:r>
              <w:t>31</w:t>
            </w:r>
          </w:p>
        </w:tc>
        <w:tc>
          <w:tcPr>
            <w:tcW w:w="4535" w:type="dxa"/>
            <w:vAlign w:val="center"/>
          </w:tcPr>
          <w:p w14:paraId="71D31CD6">
            <w:pPr>
              <w:pStyle w:val="13"/>
            </w:pPr>
          </w:p>
        </w:tc>
        <w:tc>
          <w:tcPr>
            <w:tcW w:w="2126" w:type="dxa"/>
            <w:vAlign w:val="center"/>
          </w:tcPr>
          <w:p w14:paraId="70197480">
            <w:pPr>
              <w:pStyle w:val="14"/>
            </w:pPr>
          </w:p>
        </w:tc>
        <w:tc>
          <w:tcPr>
            <w:tcW w:w="4535" w:type="dxa"/>
            <w:vAlign w:val="center"/>
          </w:tcPr>
          <w:p w14:paraId="5C210089">
            <w:pPr>
              <w:pStyle w:val="13"/>
            </w:pPr>
            <w:r>
              <w:t>三十一、人行科目</w:t>
            </w:r>
          </w:p>
        </w:tc>
        <w:tc>
          <w:tcPr>
            <w:tcW w:w="2126" w:type="dxa"/>
            <w:vAlign w:val="center"/>
          </w:tcPr>
          <w:p w14:paraId="218506DB">
            <w:pPr>
              <w:pStyle w:val="14"/>
            </w:pPr>
          </w:p>
        </w:tc>
      </w:tr>
      <w:tr w14:paraId="5C801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1D173">
            <w:pPr>
              <w:pStyle w:val="12"/>
            </w:pPr>
            <w:r>
              <w:t>32</w:t>
            </w:r>
          </w:p>
        </w:tc>
        <w:tc>
          <w:tcPr>
            <w:tcW w:w="4535" w:type="dxa"/>
            <w:vAlign w:val="center"/>
          </w:tcPr>
          <w:p w14:paraId="6D729F8E">
            <w:pPr>
              <w:pStyle w:val="15"/>
            </w:pPr>
            <w:r>
              <w:t>本年收入合计</w:t>
            </w:r>
          </w:p>
        </w:tc>
        <w:tc>
          <w:tcPr>
            <w:tcW w:w="2126" w:type="dxa"/>
            <w:vAlign w:val="center"/>
          </w:tcPr>
          <w:p w14:paraId="2D4820D6">
            <w:pPr>
              <w:pStyle w:val="16"/>
            </w:pPr>
            <w:r>
              <w:t>3029.02</w:t>
            </w:r>
          </w:p>
        </w:tc>
        <w:tc>
          <w:tcPr>
            <w:tcW w:w="4535" w:type="dxa"/>
            <w:vAlign w:val="center"/>
          </w:tcPr>
          <w:p w14:paraId="44D25FF2">
            <w:pPr>
              <w:pStyle w:val="15"/>
            </w:pPr>
            <w:r>
              <w:t>本年支出合计</w:t>
            </w:r>
          </w:p>
        </w:tc>
        <w:tc>
          <w:tcPr>
            <w:tcW w:w="2126" w:type="dxa"/>
            <w:vAlign w:val="center"/>
          </w:tcPr>
          <w:p w14:paraId="1BBC02E8">
            <w:pPr>
              <w:pStyle w:val="16"/>
            </w:pPr>
            <w:r>
              <w:t>3029.02</w:t>
            </w:r>
          </w:p>
        </w:tc>
      </w:tr>
      <w:tr w14:paraId="39C01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E12F1">
            <w:pPr>
              <w:pStyle w:val="12"/>
            </w:pPr>
            <w:r>
              <w:t>33</w:t>
            </w:r>
          </w:p>
        </w:tc>
        <w:tc>
          <w:tcPr>
            <w:tcW w:w="4535" w:type="dxa"/>
            <w:vAlign w:val="center"/>
          </w:tcPr>
          <w:p w14:paraId="3DAE5540">
            <w:pPr>
              <w:pStyle w:val="13"/>
            </w:pPr>
            <w:r>
              <w:t>上年结转结余</w:t>
            </w:r>
          </w:p>
        </w:tc>
        <w:tc>
          <w:tcPr>
            <w:tcW w:w="2126" w:type="dxa"/>
            <w:vAlign w:val="center"/>
          </w:tcPr>
          <w:p w14:paraId="4D8E2B81">
            <w:pPr>
              <w:pStyle w:val="14"/>
            </w:pPr>
          </w:p>
        </w:tc>
        <w:tc>
          <w:tcPr>
            <w:tcW w:w="4535" w:type="dxa"/>
            <w:vAlign w:val="center"/>
          </w:tcPr>
          <w:p w14:paraId="7495751C">
            <w:pPr>
              <w:pStyle w:val="13"/>
            </w:pPr>
            <w:r>
              <w:t>年终结转结余</w:t>
            </w:r>
          </w:p>
        </w:tc>
        <w:tc>
          <w:tcPr>
            <w:tcW w:w="2126" w:type="dxa"/>
            <w:vAlign w:val="center"/>
          </w:tcPr>
          <w:p w14:paraId="37327E9B">
            <w:pPr>
              <w:pStyle w:val="14"/>
            </w:pPr>
          </w:p>
        </w:tc>
      </w:tr>
      <w:tr w14:paraId="2EEB6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A5AAA">
            <w:pPr>
              <w:pStyle w:val="12"/>
            </w:pPr>
            <w:r>
              <w:t>34</w:t>
            </w:r>
          </w:p>
        </w:tc>
        <w:tc>
          <w:tcPr>
            <w:tcW w:w="4535" w:type="dxa"/>
            <w:vAlign w:val="center"/>
          </w:tcPr>
          <w:p w14:paraId="796D6715">
            <w:pPr>
              <w:pStyle w:val="15"/>
            </w:pPr>
            <w:r>
              <w:t>收入总计</w:t>
            </w:r>
          </w:p>
        </w:tc>
        <w:tc>
          <w:tcPr>
            <w:tcW w:w="2126" w:type="dxa"/>
            <w:vAlign w:val="center"/>
          </w:tcPr>
          <w:p w14:paraId="525D0345">
            <w:pPr>
              <w:pStyle w:val="16"/>
            </w:pPr>
            <w:r>
              <w:t>3029.02</w:t>
            </w:r>
          </w:p>
        </w:tc>
        <w:tc>
          <w:tcPr>
            <w:tcW w:w="4535" w:type="dxa"/>
            <w:vAlign w:val="center"/>
          </w:tcPr>
          <w:p w14:paraId="4E545246">
            <w:pPr>
              <w:pStyle w:val="15"/>
            </w:pPr>
            <w:r>
              <w:t>支出总计</w:t>
            </w:r>
          </w:p>
        </w:tc>
        <w:tc>
          <w:tcPr>
            <w:tcW w:w="2126" w:type="dxa"/>
            <w:vAlign w:val="center"/>
          </w:tcPr>
          <w:p w14:paraId="77F287F2">
            <w:pPr>
              <w:pStyle w:val="16"/>
            </w:pPr>
            <w:r>
              <w:t>3029.02</w:t>
            </w:r>
          </w:p>
        </w:tc>
      </w:tr>
    </w:tbl>
    <w:p w14:paraId="5070BB3E">
      <w:pPr>
        <w:sectPr>
          <w:pgSz w:w="16840" w:h="11900" w:orient="landscape"/>
          <w:pgMar w:top="1361" w:right="1020" w:bottom="1134" w:left="1020" w:header="720" w:footer="720" w:gutter="0"/>
          <w:cols w:space="720" w:num="1"/>
        </w:sectPr>
      </w:pPr>
    </w:p>
    <w:p w14:paraId="23DF27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3EE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483D13">
            <w:pPr>
              <w:pStyle w:val="8"/>
            </w:pPr>
            <w:r>
              <w:t>360023隆尧县固城校区</w:t>
            </w:r>
          </w:p>
        </w:tc>
        <w:tc>
          <w:tcPr>
            <w:tcW w:w="3402" w:type="dxa"/>
            <w:gridSpan w:val="3"/>
            <w:tcBorders>
              <w:top w:val="single" w:color="FFFFFF" w:sz="6" w:space="0"/>
              <w:left w:val="single" w:color="FFFFFF" w:sz="6" w:space="0"/>
              <w:right w:val="single" w:color="FFFFFF" w:sz="6" w:space="0"/>
            </w:tcBorders>
            <w:vAlign w:val="center"/>
          </w:tcPr>
          <w:p w14:paraId="1DBD0A0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FB30AF8">
            <w:pPr>
              <w:pStyle w:val="10"/>
            </w:pPr>
            <w:r>
              <w:t>单位：万元</w:t>
            </w:r>
          </w:p>
        </w:tc>
      </w:tr>
      <w:tr w14:paraId="528B4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D9FE06">
            <w:pPr>
              <w:pStyle w:val="11"/>
            </w:pPr>
            <w:r>
              <w:t>序号</w:t>
            </w:r>
          </w:p>
        </w:tc>
        <w:tc>
          <w:tcPr>
            <w:tcW w:w="2551" w:type="dxa"/>
            <w:gridSpan w:val="2"/>
            <w:vAlign w:val="center"/>
          </w:tcPr>
          <w:p w14:paraId="7279DE89">
            <w:pPr>
              <w:pStyle w:val="11"/>
            </w:pPr>
            <w:r>
              <w:t>功能分类科目</w:t>
            </w:r>
          </w:p>
        </w:tc>
        <w:tc>
          <w:tcPr>
            <w:tcW w:w="1134" w:type="dxa"/>
            <w:vMerge w:val="restart"/>
            <w:vAlign w:val="center"/>
          </w:tcPr>
          <w:p w14:paraId="274F1E07">
            <w:pPr>
              <w:pStyle w:val="11"/>
            </w:pPr>
            <w:r>
              <w:t>合计</w:t>
            </w:r>
          </w:p>
        </w:tc>
        <w:tc>
          <w:tcPr>
            <w:tcW w:w="9072" w:type="dxa"/>
            <w:gridSpan w:val="8"/>
            <w:vAlign w:val="center"/>
          </w:tcPr>
          <w:p w14:paraId="05E1B372">
            <w:pPr>
              <w:pStyle w:val="11"/>
            </w:pPr>
            <w:r>
              <w:t>本年收入</w:t>
            </w:r>
          </w:p>
        </w:tc>
        <w:tc>
          <w:tcPr>
            <w:tcW w:w="1134" w:type="dxa"/>
            <w:vMerge w:val="restart"/>
            <w:vAlign w:val="center"/>
          </w:tcPr>
          <w:p w14:paraId="4E59DF2A">
            <w:pPr>
              <w:pStyle w:val="11"/>
            </w:pPr>
            <w:r>
              <w:t>上年结转</w:t>
            </w:r>
          </w:p>
        </w:tc>
      </w:tr>
      <w:tr w14:paraId="4D11B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78A24A"/>
        </w:tc>
        <w:tc>
          <w:tcPr>
            <w:tcW w:w="992" w:type="dxa"/>
            <w:vAlign w:val="center"/>
          </w:tcPr>
          <w:p w14:paraId="44A3C587">
            <w:pPr>
              <w:pStyle w:val="11"/>
            </w:pPr>
            <w:r>
              <w:t>科目    编码</w:t>
            </w:r>
          </w:p>
        </w:tc>
        <w:tc>
          <w:tcPr>
            <w:tcW w:w="1559" w:type="dxa"/>
            <w:vAlign w:val="center"/>
          </w:tcPr>
          <w:p w14:paraId="47FD98F4">
            <w:pPr>
              <w:pStyle w:val="11"/>
            </w:pPr>
            <w:r>
              <w:t>科目名称</w:t>
            </w:r>
          </w:p>
        </w:tc>
        <w:tc>
          <w:tcPr>
            <w:tcW w:w="1134" w:type="dxa"/>
            <w:vMerge w:val="continue"/>
          </w:tcPr>
          <w:p w14:paraId="0F841C1E"/>
        </w:tc>
        <w:tc>
          <w:tcPr>
            <w:tcW w:w="1134" w:type="dxa"/>
            <w:vAlign w:val="center"/>
          </w:tcPr>
          <w:p w14:paraId="7A9062D9">
            <w:pPr>
              <w:pStyle w:val="11"/>
            </w:pPr>
            <w:r>
              <w:t>小计</w:t>
            </w:r>
          </w:p>
        </w:tc>
        <w:tc>
          <w:tcPr>
            <w:tcW w:w="1134" w:type="dxa"/>
            <w:vAlign w:val="center"/>
          </w:tcPr>
          <w:p w14:paraId="3F18EDBD">
            <w:pPr>
              <w:pStyle w:val="11"/>
            </w:pPr>
            <w:r>
              <w:t>财政拨款 收入</w:t>
            </w:r>
          </w:p>
        </w:tc>
        <w:tc>
          <w:tcPr>
            <w:tcW w:w="1134" w:type="dxa"/>
            <w:vAlign w:val="center"/>
          </w:tcPr>
          <w:p w14:paraId="3D951353">
            <w:pPr>
              <w:pStyle w:val="11"/>
            </w:pPr>
            <w:r>
              <w:t>财政专户 收入</w:t>
            </w:r>
          </w:p>
        </w:tc>
        <w:tc>
          <w:tcPr>
            <w:tcW w:w="1134" w:type="dxa"/>
            <w:vAlign w:val="center"/>
          </w:tcPr>
          <w:p w14:paraId="633AA417">
            <w:pPr>
              <w:pStyle w:val="11"/>
            </w:pPr>
            <w:r>
              <w:t>事业收入</w:t>
            </w:r>
          </w:p>
        </w:tc>
        <w:tc>
          <w:tcPr>
            <w:tcW w:w="1134" w:type="dxa"/>
            <w:vAlign w:val="center"/>
          </w:tcPr>
          <w:p w14:paraId="77C98498">
            <w:pPr>
              <w:pStyle w:val="11"/>
            </w:pPr>
            <w:r>
              <w:t>经营收入</w:t>
            </w:r>
          </w:p>
        </w:tc>
        <w:tc>
          <w:tcPr>
            <w:tcW w:w="1134" w:type="dxa"/>
            <w:vAlign w:val="center"/>
          </w:tcPr>
          <w:p w14:paraId="1E40C799">
            <w:pPr>
              <w:pStyle w:val="11"/>
            </w:pPr>
            <w:r>
              <w:t>上级补助收入</w:t>
            </w:r>
          </w:p>
        </w:tc>
        <w:tc>
          <w:tcPr>
            <w:tcW w:w="1134" w:type="dxa"/>
            <w:vAlign w:val="center"/>
          </w:tcPr>
          <w:p w14:paraId="38F9B5FA">
            <w:pPr>
              <w:pStyle w:val="11"/>
            </w:pPr>
            <w:r>
              <w:t>附属单位上缴收入</w:t>
            </w:r>
          </w:p>
        </w:tc>
        <w:tc>
          <w:tcPr>
            <w:tcW w:w="1134" w:type="dxa"/>
            <w:vAlign w:val="center"/>
          </w:tcPr>
          <w:p w14:paraId="6D40D9D5">
            <w:pPr>
              <w:pStyle w:val="11"/>
            </w:pPr>
            <w:r>
              <w:t>其他收入</w:t>
            </w:r>
          </w:p>
        </w:tc>
        <w:tc>
          <w:tcPr>
            <w:tcW w:w="1134" w:type="dxa"/>
            <w:vMerge w:val="continue"/>
          </w:tcPr>
          <w:p w14:paraId="0A95B301"/>
        </w:tc>
      </w:tr>
      <w:tr w14:paraId="73C4C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2F573D">
            <w:pPr>
              <w:pStyle w:val="11"/>
            </w:pPr>
            <w:r>
              <w:t>栏次</w:t>
            </w:r>
          </w:p>
        </w:tc>
        <w:tc>
          <w:tcPr>
            <w:tcW w:w="992" w:type="dxa"/>
            <w:vAlign w:val="center"/>
          </w:tcPr>
          <w:p w14:paraId="23EAEF45">
            <w:pPr>
              <w:pStyle w:val="11"/>
            </w:pPr>
            <w:r>
              <w:t>1</w:t>
            </w:r>
          </w:p>
        </w:tc>
        <w:tc>
          <w:tcPr>
            <w:tcW w:w="1559" w:type="dxa"/>
            <w:vAlign w:val="center"/>
          </w:tcPr>
          <w:p w14:paraId="59D447CA">
            <w:pPr>
              <w:pStyle w:val="11"/>
            </w:pPr>
            <w:r>
              <w:t>2</w:t>
            </w:r>
          </w:p>
        </w:tc>
        <w:tc>
          <w:tcPr>
            <w:tcW w:w="1134" w:type="dxa"/>
            <w:vAlign w:val="center"/>
          </w:tcPr>
          <w:p w14:paraId="6B8827A6">
            <w:pPr>
              <w:pStyle w:val="11"/>
            </w:pPr>
            <w:r>
              <w:t>3</w:t>
            </w:r>
          </w:p>
        </w:tc>
        <w:tc>
          <w:tcPr>
            <w:tcW w:w="1134" w:type="dxa"/>
            <w:vAlign w:val="center"/>
          </w:tcPr>
          <w:p w14:paraId="121398A5">
            <w:pPr>
              <w:pStyle w:val="11"/>
            </w:pPr>
            <w:r>
              <w:t>4</w:t>
            </w:r>
          </w:p>
        </w:tc>
        <w:tc>
          <w:tcPr>
            <w:tcW w:w="1134" w:type="dxa"/>
            <w:vAlign w:val="center"/>
          </w:tcPr>
          <w:p w14:paraId="6A5A848F">
            <w:pPr>
              <w:pStyle w:val="11"/>
            </w:pPr>
            <w:r>
              <w:t>5</w:t>
            </w:r>
          </w:p>
        </w:tc>
        <w:tc>
          <w:tcPr>
            <w:tcW w:w="1134" w:type="dxa"/>
            <w:vAlign w:val="center"/>
          </w:tcPr>
          <w:p w14:paraId="418B6651">
            <w:pPr>
              <w:pStyle w:val="11"/>
            </w:pPr>
            <w:r>
              <w:t>6</w:t>
            </w:r>
          </w:p>
        </w:tc>
        <w:tc>
          <w:tcPr>
            <w:tcW w:w="1134" w:type="dxa"/>
            <w:vAlign w:val="center"/>
          </w:tcPr>
          <w:p w14:paraId="7C46483C">
            <w:pPr>
              <w:pStyle w:val="11"/>
            </w:pPr>
            <w:r>
              <w:t>7</w:t>
            </w:r>
          </w:p>
        </w:tc>
        <w:tc>
          <w:tcPr>
            <w:tcW w:w="1134" w:type="dxa"/>
            <w:vAlign w:val="center"/>
          </w:tcPr>
          <w:p w14:paraId="0027F4DE">
            <w:pPr>
              <w:pStyle w:val="11"/>
            </w:pPr>
            <w:r>
              <w:t>8</w:t>
            </w:r>
          </w:p>
        </w:tc>
        <w:tc>
          <w:tcPr>
            <w:tcW w:w="1134" w:type="dxa"/>
            <w:vAlign w:val="center"/>
          </w:tcPr>
          <w:p w14:paraId="53AB4924">
            <w:pPr>
              <w:pStyle w:val="11"/>
            </w:pPr>
            <w:r>
              <w:t>9</w:t>
            </w:r>
          </w:p>
        </w:tc>
        <w:tc>
          <w:tcPr>
            <w:tcW w:w="1134" w:type="dxa"/>
            <w:vAlign w:val="center"/>
          </w:tcPr>
          <w:p w14:paraId="62E4532B">
            <w:pPr>
              <w:pStyle w:val="11"/>
            </w:pPr>
            <w:r>
              <w:t>10</w:t>
            </w:r>
          </w:p>
        </w:tc>
        <w:tc>
          <w:tcPr>
            <w:tcW w:w="1134" w:type="dxa"/>
            <w:vAlign w:val="center"/>
          </w:tcPr>
          <w:p w14:paraId="077628C6">
            <w:pPr>
              <w:pStyle w:val="11"/>
            </w:pPr>
            <w:r>
              <w:t>11</w:t>
            </w:r>
          </w:p>
        </w:tc>
        <w:tc>
          <w:tcPr>
            <w:tcW w:w="1134" w:type="dxa"/>
            <w:vAlign w:val="center"/>
          </w:tcPr>
          <w:p w14:paraId="7CBA1EE6">
            <w:pPr>
              <w:pStyle w:val="11"/>
            </w:pPr>
            <w:r>
              <w:t>12</w:t>
            </w:r>
          </w:p>
        </w:tc>
      </w:tr>
      <w:tr w14:paraId="19A53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8B2FFE">
            <w:pPr>
              <w:pStyle w:val="12"/>
            </w:pPr>
            <w:r>
              <w:t>1</w:t>
            </w:r>
          </w:p>
        </w:tc>
        <w:tc>
          <w:tcPr>
            <w:tcW w:w="992" w:type="dxa"/>
            <w:vAlign w:val="center"/>
          </w:tcPr>
          <w:p w14:paraId="5496A313">
            <w:pPr>
              <w:pStyle w:val="17"/>
            </w:pPr>
          </w:p>
        </w:tc>
        <w:tc>
          <w:tcPr>
            <w:tcW w:w="1559" w:type="dxa"/>
            <w:vAlign w:val="center"/>
          </w:tcPr>
          <w:p w14:paraId="6132ECDB">
            <w:pPr>
              <w:pStyle w:val="15"/>
            </w:pPr>
            <w:r>
              <w:t>合计</w:t>
            </w:r>
          </w:p>
        </w:tc>
        <w:tc>
          <w:tcPr>
            <w:tcW w:w="1134" w:type="dxa"/>
            <w:vAlign w:val="center"/>
          </w:tcPr>
          <w:p w14:paraId="2D7ACCFE">
            <w:pPr>
              <w:pStyle w:val="16"/>
            </w:pPr>
            <w:r>
              <w:t>3029.02</w:t>
            </w:r>
          </w:p>
        </w:tc>
        <w:tc>
          <w:tcPr>
            <w:tcW w:w="1134" w:type="dxa"/>
            <w:vAlign w:val="center"/>
          </w:tcPr>
          <w:p w14:paraId="191752FD">
            <w:pPr>
              <w:pStyle w:val="16"/>
            </w:pPr>
            <w:r>
              <w:t>3029.02</w:t>
            </w:r>
          </w:p>
        </w:tc>
        <w:tc>
          <w:tcPr>
            <w:tcW w:w="1134" w:type="dxa"/>
            <w:vAlign w:val="center"/>
          </w:tcPr>
          <w:p w14:paraId="1AF4B673">
            <w:pPr>
              <w:pStyle w:val="16"/>
            </w:pPr>
            <w:r>
              <w:t>3029.02</w:t>
            </w:r>
          </w:p>
        </w:tc>
        <w:tc>
          <w:tcPr>
            <w:tcW w:w="1134" w:type="dxa"/>
            <w:vAlign w:val="center"/>
          </w:tcPr>
          <w:p w14:paraId="4115BFD2">
            <w:pPr>
              <w:pStyle w:val="16"/>
            </w:pPr>
          </w:p>
        </w:tc>
        <w:tc>
          <w:tcPr>
            <w:tcW w:w="1134" w:type="dxa"/>
            <w:vAlign w:val="center"/>
          </w:tcPr>
          <w:p w14:paraId="0BD893E0">
            <w:pPr>
              <w:pStyle w:val="16"/>
            </w:pPr>
          </w:p>
        </w:tc>
        <w:tc>
          <w:tcPr>
            <w:tcW w:w="1134" w:type="dxa"/>
            <w:vAlign w:val="center"/>
          </w:tcPr>
          <w:p w14:paraId="638466A9">
            <w:pPr>
              <w:pStyle w:val="16"/>
            </w:pPr>
          </w:p>
        </w:tc>
        <w:tc>
          <w:tcPr>
            <w:tcW w:w="1134" w:type="dxa"/>
            <w:vAlign w:val="center"/>
          </w:tcPr>
          <w:p w14:paraId="00CC2B2C">
            <w:pPr>
              <w:pStyle w:val="16"/>
            </w:pPr>
          </w:p>
        </w:tc>
        <w:tc>
          <w:tcPr>
            <w:tcW w:w="1134" w:type="dxa"/>
            <w:vAlign w:val="center"/>
          </w:tcPr>
          <w:p w14:paraId="13DFC614">
            <w:pPr>
              <w:pStyle w:val="16"/>
            </w:pPr>
          </w:p>
        </w:tc>
        <w:tc>
          <w:tcPr>
            <w:tcW w:w="1134" w:type="dxa"/>
            <w:vAlign w:val="center"/>
          </w:tcPr>
          <w:p w14:paraId="227D290D">
            <w:pPr>
              <w:pStyle w:val="16"/>
            </w:pPr>
          </w:p>
        </w:tc>
        <w:tc>
          <w:tcPr>
            <w:tcW w:w="1134" w:type="dxa"/>
            <w:vAlign w:val="center"/>
          </w:tcPr>
          <w:p w14:paraId="495A04AA">
            <w:pPr>
              <w:pStyle w:val="16"/>
            </w:pPr>
          </w:p>
        </w:tc>
      </w:tr>
      <w:tr w14:paraId="108A4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8D1D4C">
            <w:pPr>
              <w:pStyle w:val="12"/>
            </w:pPr>
            <w:r>
              <w:t>2</w:t>
            </w:r>
          </w:p>
        </w:tc>
        <w:tc>
          <w:tcPr>
            <w:tcW w:w="992" w:type="dxa"/>
            <w:vAlign w:val="center"/>
          </w:tcPr>
          <w:p w14:paraId="066F9A66">
            <w:pPr>
              <w:pStyle w:val="13"/>
            </w:pPr>
            <w:r>
              <w:t>205</w:t>
            </w:r>
          </w:p>
        </w:tc>
        <w:tc>
          <w:tcPr>
            <w:tcW w:w="1559" w:type="dxa"/>
            <w:vAlign w:val="center"/>
          </w:tcPr>
          <w:p w14:paraId="13350D95">
            <w:pPr>
              <w:pStyle w:val="13"/>
            </w:pPr>
            <w:r>
              <w:t>教育支出</w:t>
            </w:r>
          </w:p>
        </w:tc>
        <w:tc>
          <w:tcPr>
            <w:tcW w:w="1134" w:type="dxa"/>
            <w:vAlign w:val="center"/>
          </w:tcPr>
          <w:p w14:paraId="5CBC30F7">
            <w:pPr>
              <w:pStyle w:val="14"/>
            </w:pPr>
            <w:r>
              <w:t>3029.02</w:t>
            </w:r>
          </w:p>
        </w:tc>
        <w:tc>
          <w:tcPr>
            <w:tcW w:w="1134" w:type="dxa"/>
            <w:vAlign w:val="center"/>
          </w:tcPr>
          <w:p w14:paraId="4E712115">
            <w:pPr>
              <w:pStyle w:val="14"/>
            </w:pPr>
            <w:r>
              <w:t>3029.02</w:t>
            </w:r>
          </w:p>
        </w:tc>
        <w:tc>
          <w:tcPr>
            <w:tcW w:w="1134" w:type="dxa"/>
            <w:vAlign w:val="center"/>
          </w:tcPr>
          <w:p w14:paraId="72913A81">
            <w:pPr>
              <w:pStyle w:val="14"/>
            </w:pPr>
            <w:r>
              <w:t>3029.02</w:t>
            </w:r>
          </w:p>
        </w:tc>
        <w:tc>
          <w:tcPr>
            <w:tcW w:w="1134" w:type="dxa"/>
            <w:vAlign w:val="center"/>
          </w:tcPr>
          <w:p w14:paraId="177EFD50">
            <w:pPr>
              <w:pStyle w:val="14"/>
            </w:pPr>
          </w:p>
        </w:tc>
        <w:tc>
          <w:tcPr>
            <w:tcW w:w="1134" w:type="dxa"/>
            <w:vAlign w:val="center"/>
          </w:tcPr>
          <w:p w14:paraId="60B32C30">
            <w:pPr>
              <w:pStyle w:val="14"/>
            </w:pPr>
          </w:p>
        </w:tc>
        <w:tc>
          <w:tcPr>
            <w:tcW w:w="1134" w:type="dxa"/>
            <w:vAlign w:val="center"/>
          </w:tcPr>
          <w:p w14:paraId="6B82CEC7">
            <w:pPr>
              <w:pStyle w:val="14"/>
            </w:pPr>
          </w:p>
        </w:tc>
        <w:tc>
          <w:tcPr>
            <w:tcW w:w="1134" w:type="dxa"/>
            <w:vAlign w:val="center"/>
          </w:tcPr>
          <w:p w14:paraId="2C03801E">
            <w:pPr>
              <w:pStyle w:val="14"/>
            </w:pPr>
          </w:p>
        </w:tc>
        <w:tc>
          <w:tcPr>
            <w:tcW w:w="1134" w:type="dxa"/>
            <w:vAlign w:val="center"/>
          </w:tcPr>
          <w:p w14:paraId="42D91D38">
            <w:pPr>
              <w:pStyle w:val="14"/>
            </w:pPr>
          </w:p>
        </w:tc>
        <w:tc>
          <w:tcPr>
            <w:tcW w:w="1134" w:type="dxa"/>
            <w:vAlign w:val="center"/>
          </w:tcPr>
          <w:p w14:paraId="108C81C4">
            <w:pPr>
              <w:pStyle w:val="14"/>
            </w:pPr>
          </w:p>
        </w:tc>
        <w:tc>
          <w:tcPr>
            <w:tcW w:w="1134" w:type="dxa"/>
            <w:vAlign w:val="center"/>
          </w:tcPr>
          <w:p w14:paraId="518A2109">
            <w:pPr>
              <w:pStyle w:val="14"/>
            </w:pPr>
          </w:p>
        </w:tc>
      </w:tr>
      <w:tr w14:paraId="715C2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1EC5D5">
            <w:pPr>
              <w:pStyle w:val="12"/>
            </w:pPr>
            <w:r>
              <w:t>3</w:t>
            </w:r>
          </w:p>
        </w:tc>
        <w:tc>
          <w:tcPr>
            <w:tcW w:w="992" w:type="dxa"/>
            <w:vAlign w:val="center"/>
          </w:tcPr>
          <w:p w14:paraId="19CC21DC">
            <w:pPr>
              <w:pStyle w:val="13"/>
            </w:pPr>
            <w:r>
              <w:t>20502</w:t>
            </w:r>
          </w:p>
        </w:tc>
        <w:tc>
          <w:tcPr>
            <w:tcW w:w="1559" w:type="dxa"/>
            <w:vAlign w:val="center"/>
          </w:tcPr>
          <w:p w14:paraId="54A6CC38">
            <w:pPr>
              <w:pStyle w:val="13"/>
            </w:pPr>
            <w:r>
              <w:t>普通教育</w:t>
            </w:r>
          </w:p>
        </w:tc>
        <w:tc>
          <w:tcPr>
            <w:tcW w:w="1134" w:type="dxa"/>
            <w:vAlign w:val="center"/>
          </w:tcPr>
          <w:p w14:paraId="54E5E212">
            <w:pPr>
              <w:pStyle w:val="14"/>
            </w:pPr>
            <w:r>
              <w:t>3029.02</w:t>
            </w:r>
          </w:p>
        </w:tc>
        <w:tc>
          <w:tcPr>
            <w:tcW w:w="1134" w:type="dxa"/>
            <w:vAlign w:val="center"/>
          </w:tcPr>
          <w:p w14:paraId="3B2195A4">
            <w:pPr>
              <w:pStyle w:val="14"/>
            </w:pPr>
            <w:r>
              <w:t>3029.02</w:t>
            </w:r>
          </w:p>
        </w:tc>
        <w:tc>
          <w:tcPr>
            <w:tcW w:w="1134" w:type="dxa"/>
            <w:vAlign w:val="center"/>
          </w:tcPr>
          <w:p w14:paraId="14854246">
            <w:pPr>
              <w:pStyle w:val="14"/>
            </w:pPr>
            <w:r>
              <w:t>3029.02</w:t>
            </w:r>
          </w:p>
        </w:tc>
        <w:tc>
          <w:tcPr>
            <w:tcW w:w="1134" w:type="dxa"/>
            <w:vAlign w:val="center"/>
          </w:tcPr>
          <w:p w14:paraId="3A7D52E0">
            <w:pPr>
              <w:pStyle w:val="14"/>
            </w:pPr>
          </w:p>
        </w:tc>
        <w:tc>
          <w:tcPr>
            <w:tcW w:w="1134" w:type="dxa"/>
            <w:vAlign w:val="center"/>
          </w:tcPr>
          <w:p w14:paraId="01D57DEF">
            <w:pPr>
              <w:pStyle w:val="14"/>
            </w:pPr>
          </w:p>
        </w:tc>
        <w:tc>
          <w:tcPr>
            <w:tcW w:w="1134" w:type="dxa"/>
            <w:vAlign w:val="center"/>
          </w:tcPr>
          <w:p w14:paraId="09C3757B">
            <w:pPr>
              <w:pStyle w:val="14"/>
            </w:pPr>
          </w:p>
        </w:tc>
        <w:tc>
          <w:tcPr>
            <w:tcW w:w="1134" w:type="dxa"/>
            <w:vAlign w:val="center"/>
          </w:tcPr>
          <w:p w14:paraId="12D305A7">
            <w:pPr>
              <w:pStyle w:val="14"/>
            </w:pPr>
          </w:p>
        </w:tc>
        <w:tc>
          <w:tcPr>
            <w:tcW w:w="1134" w:type="dxa"/>
            <w:vAlign w:val="center"/>
          </w:tcPr>
          <w:p w14:paraId="604D1392">
            <w:pPr>
              <w:pStyle w:val="14"/>
            </w:pPr>
          </w:p>
        </w:tc>
        <w:tc>
          <w:tcPr>
            <w:tcW w:w="1134" w:type="dxa"/>
            <w:vAlign w:val="center"/>
          </w:tcPr>
          <w:p w14:paraId="60B5E83A">
            <w:pPr>
              <w:pStyle w:val="14"/>
            </w:pPr>
          </w:p>
        </w:tc>
        <w:tc>
          <w:tcPr>
            <w:tcW w:w="1134" w:type="dxa"/>
            <w:vAlign w:val="center"/>
          </w:tcPr>
          <w:p w14:paraId="6FEBC228">
            <w:pPr>
              <w:pStyle w:val="14"/>
            </w:pPr>
          </w:p>
        </w:tc>
      </w:tr>
      <w:tr w14:paraId="17B8C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B5FDA4">
            <w:pPr>
              <w:pStyle w:val="12"/>
            </w:pPr>
            <w:r>
              <w:t>4</w:t>
            </w:r>
          </w:p>
        </w:tc>
        <w:tc>
          <w:tcPr>
            <w:tcW w:w="992" w:type="dxa"/>
            <w:vAlign w:val="center"/>
          </w:tcPr>
          <w:p w14:paraId="5884303D">
            <w:pPr>
              <w:pStyle w:val="13"/>
            </w:pPr>
            <w:r>
              <w:t>2050201</w:t>
            </w:r>
          </w:p>
        </w:tc>
        <w:tc>
          <w:tcPr>
            <w:tcW w:w="1559" w:type="dxa"/>
            <w:vAlign w:val="center"/>
          </w:tcPr>
          <w:p w14:paraId="47BA5B90">
            <w:pPr>
              <w:pStyle w:val="13"/>
            </w:pPr>
            <w:r>
              <w:t>学前教育</w:t>
            </w:r>
          </w:p>
        </w:tc>
        <w:tc>
          <w:tcPr>
            <w:tcW w:w="1134" w:type="dxa"/>
            <w:vAlign w:val="center"/>
          </w:tcPr>
          <w:p w14:paraId="1E1866FF">
            <w:pPr>
              <w:pStyle w:val="14"/>
            </w:pPr>
            <w:r>
              <w:t>118.23</w:t>
            </w:r>
          </w:p>
        </w:tc>
        <w:tc>
          <w:tcPr>
            <w:tcW w:w="1134" w:type="dxa"/>
            <w:vAlign w:val="center"/>
          </w:tcPr>
          <w:p w14:paraId="188A2C68">
            <w:pPr>
              <w:pStyle w:val="14"/>
            </w:pPr>
            <w:r>
              <w:t>118.23</w:t>
            </w:r>
          </w:p>
        </w:tc>
        <w:tc>
          <w:tcPr>
            <w:tcW w:w="1134" w:type="dxa"/>
            <w:vAlign w:val="center"/>
          </w:tcPr>
          <w:p w14:paraId="46655B64">
            <w:pPr>
              <w:pStyle w:val="14"/>
            </w:pPr>
            <w:r>
              <w:t>118.23</w:t>
            </w:r>
          </w:p>
        </w:tc>
        <w:tc>
          <w:tcPr>
            <w:tcW w:w="1134" w:type="dxa"/>
            <w:vAlign w:val="center"/>
          </w:tcPr>
          <w:p w14:paraId="4CB2D3CB">
            <w:pPr>
              <w:pStyle w:val="14"/>
            </w:pPr>
          </w:p>
        </w:tc>
        <w:tc>
          <w:tcPr>
            <w:tcW w:w="1134" w:type="dxa"/>
            <w:vAlign w:val="center"/>
          </w:tcPr>
          <w:p w14:paraId="5E790C7A">
            <w:pPr>
              <w:pStyle w:val="14"/>
            </w:pPr>
          </w:p>
        </w:tc>
        <w:tc>
          <w:tcPr>
            <w:tcW w:w="1134" w:type="dxa"/>
            <w:vAlign w:val="center"/>
          </w:tcPr>
          <w:p w14:paraId="325DE1CE">
            <w:pPr>
              <w:pStyle w:val="14"/>
            </w:pPr>
          </w:p>
        </w:tc>
        <w:tc>
          <w:tcPr>
            <w:tcW w:w="1134" w:type="dxa"/>
            <w:vAlign w:val="center"/>
          </w:tcPr>
          <w:p w14:paraId="0941DEE4">
            <w:pPr>
              <w:pStyle w:val="14"/>
            </w:pPr>
          </w:p>
        </w:tc>
        <w:tc>
          <w:tcPr>
            <w:tcW w:w="1134" w:type="dxa"/>
            <w:vAlign w:val="center"/>
          </w:tcPr>
          <w:p w14:paraId="01F3A9BC">
            <w:pPr>
              <w:pStyle w:val="14"/>
            </w:pPr>
          </w:p>
        </w:tc>
        <w:tc>
          <w:tcPr>
            <w:tcW w:w="1134" w:type="dxa"/>
            <w:vAlign w:val="center"/>
          </w:tcPr>
          <w:p w14:paraId="0BCB8CA3">
            <w:pPr>
              <w:pStyle w:val="14"/>
            </w:pPr>
          </w:p>
        </w:tc>
        <w:tc>
          <w:tcPr>
            <w:tcW w:w="1134" w:type="dxa"/>
            <w:vAlign w:val="center"/>
          </w:tcPr>
          <w:p w14:paraId="1FDB58FD">
            <w:pPr>
              <w:pStyle w:val="14"/>
            </w:pPr>
          </w:p>
        </w:tc>
      </w:tr>
      <w:tr w14:paraId="0419C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1D6D41">
            <w:pPr>
              <w:pStyle w:val="12"/>
            </w:pPr>
            <w:r>
              <w:t>5</w:t>
            </w:r>
          </w:p>
        </w:tc>
        <w:tc>
          <w:tcPr>
            <w:tcW w:w="992" w:type="dxa"/>
            <w:vAlign w:val="center"/>
          </w:tcPr>
          <w:p w14:paraId="67A4B4AA">
            <w:pPr>
              <w:pStyle w:val="13"/>
            </w:pPr>
            <w:r>
              <w:t>2050202</w:t>
            </w:r>
          </w:p>
        </w:tc>
        <w:tc>
          <w:tcPr>
            <w:tcW w:w="1559" w:type="dxa"/>
            <w:vAlign w:val="center"/>
          </w:tcPr>
          <w:p w14:paraId="4A604A3E">
            <w:pPr>
              <w:pStyle w:val="13"/>
            </w:pPr>
            <w:r>
              <w:t>小学教育</w:t>
            </w:r>
          </w:p>
        </w:tc>
        <w:tc>
          <w:tcPr>
            <w:tcW w:w="1134" w:type="dxa"/>
            <w:vAlign w:val="center"/>
          </w:tcPr>
          <w:p w14:paraId="72A138FC">
            <w:pPr>
              <w:pStyle w:val="14"/>
            </w:pPr>
            <w:r>
              <w:t>2910.79</w:t>
            </w:r>
          </w:p>
        </w:tc>
        <w:tc>
          <w:tcPr>
            <w:tcW w:w="1134" w:type="dxa"/>
            <w:vAlign w:val="center"/>
          </w:tcPr>
          <w:p w14:paraId="1768A8E6">
            <w:pPr>
              <w:pStyle w:val="14"/>
            </w:pPr>
            <w:r>
              <w:t>2910.79</w:t>
            </w:r>
          </w:p>
        </w:tc>
        <w:tc>
          <w:tcPr>
            <w:tcW w:w="1134" w:type="dxa"/>
            <w:vAlign w:val="center"/>
          </w:tcPr>
          <w:p w14:paraId="46DF3C7E">
            <w:pPr>
              <w:pStyle w:val="14"/>
            </w:pPr>
            <w:r>
              <w:t>2910.79</w:t>
            </w:r>
          </w:p>
        </w:tc>
        <w:tc>
          <w:tcPr>
            <w:tcW w:w="1134" w:type="dxa"/>
            <w:vAlign w:val="center"/>
          </w:tcPr>
          <w:p w14:paraId="4ABA684E">
            <w:pPr>
              <w:pStyle w:val="14"/>
            </w:pPr>
          </w:p>
        </w:tc>
        <w:tc>
          <w:tcPr>
            <w:tcW w:w="1134" w:type="dxa"/>
            <w:vAlign w:val="center"/>
          </w:tcPr>
          <w:p w14:paraId="3DAB47B9">
            <w:pPr>
              <w:pStyle w:val="14"/>
            </w:pPr>
          </w:p>
        </w:tc>
        <w:tc>
          <w:tcPr>
            <w:tcW w:w="1134" w:type="dxa"/>
            <w:vAlign w:val="center"/>
          </w:tcPr>
          <w:p w14:paraId="7F3735AA">
            <w:pPr>
              <w:pStyle w:val="14"/>
            </w:pPr>
          </w:p>
        </w:tc>
        <w:tc>
          <w:tcPr>
            <w:tcW w:w="1134" w:type="dxa"/>
            <w:vAlign w:val="center"/>
          </w:tcPr>
          <w:p w14:paraId="337CBAAB">
            <w:pPr>
              <w:pStyle w:val="14"/>
            </w:pPr>
          </w:p>
        </w:tc>
        <w:tc>
          <w:tcPr>
            <w:tcW w:w="1134" w:type="dxa"/>
            <w:vAlign w:val="center"/>
          </w:tcPr>
          <w:p w14:paraId="0AD63FE3">
            <w:pPr>
              <w:pStyle w:val="14"/>
            </w:pPr>
          </w:p>
        </w:tc>
        <w:tc>
          <w:tcPr>
            <w:tcW w:w="1134" w:type="dxa"/>
            <w:vAlign w:val="center"/>
          </w:tcPr>
          <w:p w14:paraId="03781E35">
            <w:pPr>
              <w:pStyle w:val="14"/>
            </w:pPr>
          </w:p>
        </w:tc>
        <w:tc>
          <w:tcPr>
            <w:tcW w:w="1134" w:type="dxa"/>
            <w:vAlign w:val="center"/>
          </w:tcPr>
          <w:p w14:paraId="16ED6005">
            <w:pPr>
              <w:pStyle w:val="14"/>
            </w:pPr>
          </w:p>
        </w:tc>
      </w:tr>
    </w:tbl>
    <w:p w14:paraId="144CB4FE">
      <w:pPr>
        <w:sectPr>
          <w:pgSz w:w="16840" w:h="11900" w:orient="landscape"/>
          <w:pgMar w:top="1361" w:right="1020" w:bottom="1134" w:left="1020" w:header="720" w:footer="720" w:gutter="0"/>
          <w:cols w:space="720" w:num="1"/>
        </w:sectPr>
      </w:pPr>
    </w:p>
    <w:p w14:paraId="2CF914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B656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436735">
            <w:pPr>
              <w:pStyle w:val="8"/>
            </w:pPr>
            <w:r>
              <w:t>360023隆尧县固城校区</w:t>
            </w:r>
          </w:p>
        </w:tc>
        <w:tc>
          <w:tcPr>
            <w:tcW w:w="2722" w:type="dxa"/>
            <w:gridSpan w:val="2"/>
            <w:tcBorders>
              <w:top w:val="single" w:color="FFFFFF" w:sz="6" w:space="0"/>
              <w:left w:val="single" w:color="FFFFFF" w:sz="6" w:space="0"/>
              <w:right w:val="single" w:color="FFFFFF" w:sz="6" w:space="0"/>
            </w:tcBorders>
            <w:vAlign w:val="center"/>
          </w:tcPr>
          <w:p w14:paraId="66C1812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5964369">
            <w:pPr>
              <w:pStyle w:val="10"/>
            </w:pPr>
            <w:r>
              <w:t>单位：万元</w:t>
            </w:r>
          </w:p>
        </w:tc>
      </w:tr>
      <w:tr w14:paraId="4A244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AD17D">
            <w:pPr>
              <w:pStyle w:val="11"/>
            </w:pPr>
            <w:r>
              <w:t>序号</w:t>
            </w:r>
          </w:p>
        </w:tc>
        <w:tc>
          <w:tcPr>
            <w:tcW w:w="5527" w:type="dxa"/>
            <w:gridSpan w:val="2"/>
            <w:vAlign w:val="center"/>
          </w:tcPr>
          <w:p w14:paraId="5EDDBDC1">
            <w:pPr>
              <w:pStyle w:val="11"/>
            </w:pPr>
            <w:r>
              <w:t>功能分类科目</w:t>
            </w:r>
          </w:p>
        </w:tc>
        <w:tc>
          <w:tcPr>
            <w:tcW w:w="1361" w:type="dxa"/>
            <w:vMerge w:val="restart"/>
            <w:vAlign w:val="center"/>
          </w:tcPr>
          <w:p w14:paraId="0A799266">
            <w:pPr>
              <w:pStyle w:val="11"/>
            </w:pPr>
            <w:r>
              <w:t>合计</w:t>
            </w:r>
          </w:p>
        </w:tc>
        <w:tc>
          <w:tcPr>
            <w:tcW w:w="1361" w:type="dxa"/>
            <w:vMerge w:val="restart"/>
            <w:vAlign w:val="center"/>
          </w:tcPr>
          <w:p w14:paraId="41D9A4D0">
            <w:pPr>
              <w:pStyle w:val="11"/>
            </w:pPr>
            <w:r>
              <w:t>基本支出</w:t>
            </w:r>
          </w:p>
        </w:tc>
        <w:tc>
          <w:tcPr>
            <w:tcW w:w="1361" w:type="dxa"/>
            <w:vMerge w:val="restart"/>
            <w:vAlign w:val="center"/>
          </w:tcPr>
          <w:p w14:paraId="2EB03015">
            <w:pPr>
              <w:pStyle w:val="11"/>
            </w:pPr>
            <w:r>
              <w:t>项目支出</w:t>
            </w:r>
          </w:p>
        </w:tc>
        <w:tc>
          <w:tcPr>
            <w:tcW w:w="1361" w:type="dxa"/>
            <w:vMerge w:val="restart"/>
            <w:vAlign w:val="center"/>
          </w:tcPr>
          <w:p w14:paraId="7F62BBA3">
            <w:pPr>
              <w:pStyle w:val="11"/>
            </w:pPr>
            <w:r>
              <w:t>经营支出</w:t>
            </w:r>
          </w:p>
        </w:tc>
        <w:tc>
          <w:tcPr>
            <w:tcW w:w="1361" w:type="dxa"/>
            <w:vMerge w:val="restart"/>
            <w:vAlign w:val="center"/>
          </w:tcPr>
          <w:p w14:paraId="019CC0D8">
            <w:pPr>
              <w:pStyle w:val="11"/>
            </w:pPr>
            <w:r>
              <w:t>上解上级     支出</w:t>
            </w:r>
          </w:p>
        </w:tc>
        <w:tc>
          <w:tcPr>
            <w:tcW w:w="1361" w:type="dxa"/>
            <w:vMerge w:val="restart"/>
            <w:vAlign w:val="center"/>
          </w:tcPr>
          <w:p w14:paraId="2A2A523C">
            <w:pPr>
              <w:pStyle w:val="11"/>
            </w:pPr>
            <w:r>
              <w:t>对附属单位补助支出</w:t>
            </w:r>
          </w:p>
        </w:tc>
      </w:tr>
      <w:tr w14:paraId="31A1F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48A470"/>
        </w:tc>
        <w:tc>
          <w:tcPr>
            <w:tcW w:w="992" w:type="dxa"/>
            <w:vAlign w:val="center"/>
          </w:tcPr>
          <w:p w14:paraId="11BDC302">
            <w:pPr>
              <w:pStyle w:val="11"/>
            </w:pPr>
            <w:r>
              <w:t>科目    编码</w:t>
            </w:r>
          </w:p>
        </w:tc>
        <w:tc>
          <w:tcPr>
            <w:tcW w:w="4535" w:type="dxa"/>
            <w:vAlign w:val="center"/>
          </w:tcPr>
          <w:p w14:paraId="51BC5478">
            <w:pPr>
              <w:pStyle w:val="11"/>
            </w:pPr>
            <w:r>
              <w:t>科目名称</w:t>
            </w:r>
          </w:p>
        </w:tc>
        <w:tc>
          <w:tcPr>
            <w:tcW w:w="1361" w:type="dxa"/>
            <w:vMerge w:val="continue"/>
          </w:tcPr>
          <w:p w14:paraId="75B0F49C"/>
        </w:tc>
        <w:tc>
          <w:tcPr>
            <w:tcW w:w="1361" w:type="dxa"/>
            <w:vMerge w:val="continue"/>
          </w:tcPr>
          <w:p w14:paraId="1B0A54E8"/>
        </w:tc>
        <w:tc>
          <w:tcPr>
            <w:tcW w:w="1361" w:type="dxa"/>
            <w:vMerge w:val="continue"/>
          </w:tcPr>
          <w:p w14:paraId="205B0614"/>
        </w:tc>
        <w:tc>
          <w:tcPr>
            <w:tcW w:w="1361" w:type="dxa"/>
            <w:vMerge w:val="continue"/>
          </w:tcPr>
          <w:p w14:paraId="705169AF"/>
        </w:tc>
        <w:tc>
          <w:tcPr>
            <w:tcW w:w="1361" w:type="dxa"/>
            <w:vMerge w:val="continue"/>
          </w:tcPr>
          <w:p w14:paraId="52638934"/>
        </w:tc>
        <w:tc>
          <w:tcPr>
            <w:tcW w:w="1361" w:type="dxa"/>
            <w:vMerge w:val="continue"/>
          </w:tcPr>
          <w:p w14:paraId="0E81169D"/>
        </w:tc>
      </w:tr>
      <w:tr w14:paraId="25561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E39929">
            <w:pPr>
              <w:pStyle w:val="11"/>
            </w:pPr>
            <w:r>
              <w:t>栏次</w:t>
            </w:r>
          </w:p>
        </w:tc>
        <w:tc>
          <w:tcPr>
            <w:tcW w:w="992" w:type="dxa"/>
            <w:vAlign w:val="center"/>
          </w:tcPr>
          <w:p w14:paraId="018A1D13">
            <w:pPr>
              <w:pStyle w:val="11"/>
            </w:pPr>
            <w:r>
              <w:t>1</w:t>
            </w:r>
          </w:p>
        </w:tc>
        <w:tc>
          <w:tcPr>
            <w:tcW w:w="4535" w:type="dxa"/>
            <w:vAlign w:val="center"/>
          </w:tcPr>
          <w:p w14:paraId="42A01220">
            <w:pPr>
              <w:pStyle w:val="11"/>
            </w:pPr>
            <w:r>
              <w:t>2</w:t>
            </w:r>
          </w:p>
        </w:tc>
        <w:tc>
          <w:tcPr>
            <w:tcW w:w="1361" w:type="dxa"/>
            <w:vAlign w:val="center"/>
          </w:tcPr>
          <w:p w14:paraId="52805B77">
            <w:pPr>
              <w:pStyle w:val="11"/>
            </w:pPr>
            <w:r>
              <w:t>3</w:t>
            </w:r>
          </w:p>
        </w:tc>
        <w:tc>
          <w:tcPr>
            <w:tcW w:w="1361" w:type="dxa"/>
            <w:vAlign w:val="center"/>
          </w:tcPr>
          <w:p w14:paraId="3DBCE765">
            <w:pPr>
              <w:pStyle w:val="11"/>
            </w:pPr>
            <w:r>
              <w:t>4</w:t>
            </w:r>
          </w:p>
        </w:tc>
        <w:tc>
          <w:tcPr>
            <w:tcW w:w="1361" w:type="dxa"/>
            <w:vAlign w:val="center"/>
          </w:tcPr>
          <w:p w14:paraId="5001BDAB">
            <w:pPr>
              <w:pStyle w:val="11"/>
            </w:pPr>
            <w:r>
              <w:t>5</w:t>
            </w:r>
          </w:p>
        </w:tc>
        <w:tc>
          <w:tcPr>
            <w:tcW w:w="1361" w:type="dxa"/>
            <w:vAlign w:val="center"/>
          </w:tcPr>
          <w:p w14:paraId="25E77DE8">
            <w:pPr>
              <w:pStyle w:val="11"/>
            </w:pPr>
            <w:r>
              <w:t>6</w:t>
            </w:r>
          </w:p>
        </w:tc>
        <w:tc>
          <w:tcPr>
            <w:tcW w:w="1361" w:type="dxa"/>
            <w:vAlign w:val="center"/>
          </w:tcPr>
          <w:p w14:paraId="5E2F5A8F">
            <w:pPr>
              <w:pStyle w:val="11"/>
            </w:pPr>
            <w:r>
              <w:t>7</w:t>
            </w:r>
          </w:p>
        </w:tc>
        <w:tc>
          <w:tcPr>
            <w:tcW w:w="1361" w:type="dxa"/>
            <w:vAlign w:val="center"/>
          </w:tcPr>
          <w:p w14:paraId="1A08F3BD">
            <w:pPr>
              <w:pStyle w:val="11"/>
            </w:pPr>
            <w:r>
              <w:t>8</w:t>
            </w:r>
          </w:p>
        </w:tc>
      </w:tr>
      <w:tr w14:paraId="1F4EA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FD7B3">
            <w:pPr>
              <w:pStyle w:val="12"/>
            </w:pPr>
            <w:r>
              <w:t>1</w:t>
            </w:r>
          </w:p>
        </w:tc>
        <w:tc>
          <w:tcPr>
            <w:tcW w:w="992" w:type="dxa"/>
            <w:vAlign w:val="center"/>
          </w:tcPr>
          <w:p w14:paraId="35B0375A">
            <w:pPr>
              <w:pStyle w:val="17"/>
            </w:pPr>
          </w:p>
        </w:tc>
        <w:tc>
          <w:tcPr>
            <w:tcW w:w="4535" w:type="dxa"/>
            <w:vAlign w:val="center"/>
          </w:tcPr>
          <w:p w14:paraId="75FD1698">
            <w:pPr>
              <w:pStyle w:val="15"/>
            </w:pPr>
            <w:r>
              <w:t>合计</w:t>
            </w:r>
          </w:p>
        </w:tc>
        <w:tc>
          <w:tcPr>
            <w:tcW w:w="1361" w:type="dxa"/>
            <w:vAlign w:val="center"/>
          </w:tcPr>
          <w:p w14:paraId="23DD29FC">
            <w:pPr>
              <w:pStyle w:val="16"/>
            </w:pPr>
            <w:r>
              <w:t>3029.02</w:t>
            </w:r>
          </w:p>
        </w:tc>
        <w:tc>
          <w:tcPr>
            <w:tcW w:w="1361" w:type="dxa"/>
            <w:vAlign w:val="center"/>
          </w:tcPr>
          <w:p w14:paraId="0A187B51">
            <w:pPr>
              <w:pStyle w:val="16"/>
            </w:pPr>
            <w:r>
              <w:t>2267.33</w:t>
            </w:r>
          </w:p>
        </w:tc>
        <w:tc>
          <w:tcPr>
            <w:tcW w:w="1361" w:type="dxa"/>
            <w:vAlign w:val="center"/>
          </w:tcPr>
          <w:p w14:paraId="00D7403F">
            <w:pPr>
              <w:pStyle w:val="16"/>
            </w:pPr>
            <w:r>
              <w:t>761.69</w:t>
            </w:r>
          </w:p>
        </w:tc>
        <w:tc>
          <w:tcPr>
            <w:tcW w:w="1361" w:type="dxa"/>
            <w:vAlign w:val="center"/>
          </w:tcPr>
          <w:p w14:paraId="68EDE7D7">
            <w:pPr>
              <w:pStyle w:val="16"/>
            </w:pPr>
          </w:p>
        </w:tc>
        <w:tc>
          <w:tcPr>
            <w:tcW w:w="1361" w:type="dxa"/>
            <w:vAlign w:val="center"/>
          </w:tcPr>
          <w:p w14:paraId="6DC32182">
            <w:pPr>
              <w:pStyle w:val="16"/>
            </w:pPr>
          </w:p>
        </w:tc>
        <w:tc>
          <w:tcPr>
            <w:tcW w:w="1361" w:type="dxa"/>
            <w:vAlign w:val="center"/>
          </w:tcPr>
          <w:p w14:paraId="66E74E42">
            <w:pPr>
              <w:pStyle w:val="16"/>
            </w:pPr>
          </w:p>
        </w:tc>
      </w:tr>
      <w:tr w14:paraId="209FC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FC6D1">
            <w:pPr>
              <w:pStyle w:val="12"/>
            </w:pPr>
            <w:r>
              <w:t>2</w:t>
            </w:r>
          </w:p>
        </w:tc>
        <w:tc>
          <w:tcPr>
            <w:tcW w:w="992" w:type="dxa"/>
            <w:vAlign w:val="center"/>
          </w:tcPr>
          <w:p w14:paraId="01CD7362">
            <w:pPr>
              <w:pStyle w:val="13"/>
            </w:pPr>
            <w:r>
              <w:t>205</w:t>
            </w:r>
          </w:p>
        </w:tc>
        <w:tc>
          <w:tcPr>
            <w:tcW w:w="4535" w:type="dxa"/>
            <w:vAlign w:val="center"/>
          </w:tcPr>
          <w:p w14:paraId="725858D1">
            <w:pPr>
              <w:pStyle w:val="13"/>
            </w:pPr>
            <w:r>
              <w:t>教育支出</w:t>
            </w:r>
          </w:p>
        </w:tc>
        <w:tc>
          <w:tcPr>
            <w:tcW w:w="1361" w:type="dxa"/>
            <w:vAlign w:val="center"/>
          </w:tcPr>
          <w:p w14:paraId="0E007521">
            <w:pPr>
              <w:pStyle w:val="14"/>
            </w:pPr>
            <w:r>
              <w:t>3029.02</w:t>
            </w:r>
          </w:p>
        </w:tc>
        <w:tc>
          <w:tcPr>
            <w:tcW w:w="1361" w:type="dxa"/>
            <w:vAlign w:val="center"/>
          </w:tcPr>
          <w:p w14:paraId="3B9EF223">
            <w:pPr>
              <w:pStyle w:val="14"/>
            </w:pPr>
            <w:r>
              <w:t>2267.33</w:t>
            </w:r>
          </w:p>
        </w:tc>
        <w:tc>
          <w:tcPr>
            <w:tcW w:w="1361" w:type="dxa"/>
            <w:vAlign w:val="center"/>
          </w:tcPr>
          <w:p w14:paraId="6EEA1764">
            <w:pPr>
              <w:pStyle w:val="14"/>
            </w:pPr>
            <w:r>
              <w:t>761.69</w:t>
            </w:r>
          </w:p>
        </w:tc>
        <w:tc>
          <w:tcPr>
            <w:tcW w:w="1361" w:type="dxa"/>
            <w:vAlign w:val="center"/>
          </w:tcPr>
          <w:p w14:paraId="1808650E">
            <w:pPr>
              <w:pStyle w:val="14"/>
            </w:pPr>
          </w:p>
        </w:tc>
        <w:tc>
          <w:tcPr>
            <w:tcW w:w="1361" w:type="dxa"/>
            <w:vAlign w:val="center"/>
          </w:tcPr>
          <w:p w14:paraId="6CDE97F4">
            <w:pPr>
              <w:pStyle w:val="14"/>
            </w:pPr>
          </w:p>
        </w:tc>
        <w:tc>
          <w:tcPr>
            <w:tcW w:w="1361" w:type="dxa"/>
            <w:vAlign w:val="center"/>
          </w:tcPr>
          <w:p w14:paraId="7573F039">
            <w:pPr>
              <w:pStyle w:val="14"/>
            </w:pPr>
          </w:p>
        </w:tc>
      </w:tr>
      <w:tr w14:paraId="352DA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AAEE0">
            <w:pPr>
              <w:pStyle w:val="12"/>
            </w:pPr>
            <w:r>
              <w:t>3</w:t>
            </w:r>
          </w:p>
        </w:tc>
        <w:tc>
          <w:tcPr>
            <w:tcW w:w="992" w:type="dxa"/>
            <w:vAlign w:val="center"/>
          </w:tcPr>
          <w:p w14:paraId="76A00B2D">
            <w:pPr>
              <w:pStyle w:val="13"/>
            </w:pPr>
            <w:r>
              <w:t>20502</w:t>
            </w:r>
          </w:p>
        </w:tc>
        <w:tc>
          <w:tcPr>
            <w:tcW w:w="4535" w:type="dxa"/>
            <w:vAlign w:val="center"/>
          </w:tcPr>
          <w:p w14:paraId="35E04D92">
            <w:pPr>
              <w:pStyle w:val="13"/>
            </w:pPr>
            <w:r>
              <w:t>普通教育</w:t>
            </w:r>
          </w:p>
        </w:tc>
        <w:tc>
          <w:tcPr>
            <w:tcW w:w="1361" w:type="dxa"/>
            <w:vAlign w:val="center"/>
          </w:tcPr>
          <w:p w14:paraId="63974B8C">
            <w:pPr>
              <w:pStyle w:val="14"/>
            </w:pPr>
            <w:r>
              <w:t>3029.02</w:t>
            </w:r>
          </w:p>
        </w:tc>
        <w:tc>
          <w:tcPr>
            <w:tcW w:w="1361" w:type="dxa"/>
            <w:vAlign w:val="center"/>
          </w:tcPr>
          <w:p w14:paraId="4870F287">
            <w:pPr>
              <w:pStyle w:val="14"/>
            </w:pPr>
            <w:r>
              <w:t>2267.33</w:t>
            </w:r>
          </w:p>
        </w:tc>
        <w:tc>
          <w:tcPr>
            <w:tcW w:w="1361" w:type="dxa"/>
            <w:vAlign w:val="center"/>
          </w:tcPr>
          <w:p w14:paraId="394FD3B0">
            <w:pPr>
              <w:pStyle w:val="14"/>
            </w:pPr>
            <w:r>
              <w:t>761.69</w:t>
            </w:r>
          </w:p>
        </w:tc>
        <w:tc>
          <w:tcPr>
            <w:tcW w:w="1361" w:type="dxa"/>
            <w:vAlign w:val="center"/>
          </w:tcPr>
          <w:p w14:paraId="2642296D">
            <w:pPr>
              <w:pStyle w:val="14"/>
            </w:pPr>
          </w:p>
        </w:tc>
        <w:tc>
          <w:tcPr>
            <w:tcW w:w="1361" w:type="dxa"/>
            <w:vAlign w:val="center"/>
          </w:tcPr>
          <w:p w14:paraId="6CADBF7C">
            <w:pPr>
              <w:pStyle w:val="14"/>
            </w:pPr>
          </w:p>
        </w:tc>
        <w:tc>
          <w:tcPr>
            <w:tcW w:w="1361" w:type="dxa"/>
            <w:vAlign w:val="center"/>
          </w:tcPr>
          <w:p w14:paraId="1F46B40D">
            <w:pPr>
              <w:pStyle w:val="14"/>
            </w:pPr>
          </w:p>
        </w:tc>
      </w:tr>
      <w:tr w14:paraId="64D85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88AAC">
            <w:pPr>
              <w:pStyle w:val="12"/>
            </w:pPr>
            <w:r>
              <w:t>4</w:t>
            </w:r>
          </w:p>
        </w:tc>
        <w:tc>
          <w:tcPr>
            <w:tcW w:w="992" w:type="dxa"/>
            <w:vAlign w:val="center"/>
          </w:tcPr>
          <w:p w14:paraId="7ACBF4F8">
            <w:pPr>
              <w:pStyle w:val="13"/>
            </w:pPr>
            <w:r>
              <w:t>2050201</w:t>
            </w:r>
          </w:p>
        </w:tc>
        <w:tc>
          <w:tcPr>
            <w:tcW w:w="4535" w:type="dxa"/>
            <w:vAlign w:val="center"/>
          </w:tcPr>
          <w:p w14:paraId="0980A9B0">
            <w:pPr>
              <w:pStyle w:val="13"/>
            </w:pPr>
            <w:r>
              <w:t>学前教育</w:t>
            </w:r>
          </w:p>
        </w:tc>
        <w:tc>
          <w:tcPr>
            <w:tcW w:w="1361" w:type="dxa"/>
            <w:vAlign w:val="center"/>
          </w:tcPr>
          <w:p w14:paraId="46E7100A">
            <w:pPr>
              <w:pStyle w:val="14"/>
            </w:pPr>
            <w:r>
              <w:t>118.23</w:t>
            </w:r>
          </w:p>
        </w:tc>
        <w:tc>
          <w:tcPr>
            <w:tcW w:w="1361" w:type="dxa"/>
            <w:vAlign w:val="center"/>
          </w:tcPr>
          <w:p w14:paraId="442D35D7">
            <w:pPr>
              <w:pStyle w:val="14"/>
            </w:pPr>
          </w:p>
        </w:tc>
        <w:tc>
          <w:tcPr>
            <w:tcW w:w="1361" w:type="dxa"/>
            <w:vAlign w:val="center"/>
          </w:tcPr>
          <w:p w14:paraId="26E983BC">
            <w:pPr>
              <w:pStyle w:val="14"/>
            </w:pPr>
            <w:r>
              <w:t>118.23</w:t>
            </w:r>
          </w:p>
        </w:tc>
        <w:tc>
          <w:tcPr>
            <w:tcW w:w="1361" w:type="dxa"/>
            <w:vAlign w:val="center"/>
          </w:tcPr>
          <w:p w14:paraId="4B35E034">
            <w:pPr>
              <w:pStyle w:val="14"/>
            </w:pPr>
          </w:p>
        </w:tc>
        <w:tc>
          <w:tcPr>
            <w:tcW w:w="1361" w:type="dxa"/>
            <w:vAlign w:val="center"/>
          </w:tcPr>
          <w:p w14:paraId="437E16FC">
            <w:pPr>
              <w:pStyle w:val="14"/>
            </w:pPr>
          </w:p>
        </w:tc>
        <w:tc>
          <w:tcPr>
            <w:tcW w:w="1361" w:type="dxa"/>
            <w:vAlign w:val="center"/>
          </w:tcPr>
          <w:p w14:paraId="5ADF3AC0">
            <w:pPr>
              <w:pStyle w:val="14"/>
            </w:pPr>
          </w:p>
        </w:tc>
      </w:tr>
      <w:tr w14:paraId="064F1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EE066">
            <w:pPr>
              <w:pStyle w:val="12"/>
            </w:pPr>
            <w:r>
              <w:t>5</w:t>
            </w:r>
          </w:p>
        </w:tc>
        <w:tc>
          <w:tcPr>
            <w:tcW w:w="992" w:type="dxa"/>
            <w:vAlign w:val="center"/>
          </w:tcPr>
          <w:p w14:paraId="0A3D980C">
            <w:pPr>
              <w:pStyle w:val="13"/>
            </w:pPr>
            <w:r>
              <w:t>2050202</w:t>
            </w:r>
          </w:p>
        </w:tc>
        <w:tc>
          <w:tcPr>
            <w:tcW w:w="4535" w:type="dxa"/>
            <w:vAlign w:val="center"/>
          </w:tcPr>
          <w:p w14:paraId="1A62966A">
            <w:pPr>
              <w:pStyle w:val="13"/>
            </w:pPr>
            <w:r>
              <w:t>小学教育</w:t>
            </w:r>
          </w:p>
        </w:tc>
        <w:tc>
          <w:tcPr>
            <w:tcW w:w="1361" w:type="dxa"/>
            <w:vAlign w:val="center"/>
          </w:tcPr>
          <w:p w14:paraId="5B47C131">
            <w:pPr>
              <w:pStyle w:val="14"/>
            </w:pPr>
            <w:r>
              <w:t>2910.79</w:t>
            </w:r>
          </w:p>
        </w:tc>
        <w:tc>
          <w:tcPr>
            <w:tcW w:w="1361" w:type="dxa"/>
            <w:vAlign w:val="center"/>
          </w:tcPr>
          <w:p w14:paraId="453919E4">
            <w:pPr>
              <w:pStyle w:val="14"/>
            </w:pPr>
            <w:r>
              <w:t>2267.33</w:t>
            </w:r>
          </w:p>
        </w:tc>
        <w:tc>
          <w:tcPr>
            <w:tcW w:w="1361" w:type="dxa"/>
            <w:vAlign w:val="center"/>
          </w:tcPr>
          <w:p w14:paraId="13B18D0C">
            <w:pPr>
              <w:pStyle w:val="14"/>
            </w:pPr>
            <w:r>
              <w:t>643.46</w:t>
            </w:r>
          </w:p>
        </w:tc>
        <w:tc>
          <w:tcPr>
            <w:tcW w:w="1361" w:type="dxa"/>
            <w:vAlign w:val="center"/>
          </w:tcPr>
          <w:p w14:paraId="3EC49FAC">
            <w:pPr>
              <w:pStyle w:val="14"/>
            </w:pPr>
          </w:p>
        </w:tc>
        <w:tc>
          <w:tcPr>
            <w:tcW w:w="1361" w:type="dxa"/>
            <w:vAlign w:val="center"/>
          </w:tcPr>
          <w:p w14:paraId="2DC04924">
            <w:pPr>
              <w:pStyle w:val="14"/>
            </w:pPr>
          </w:p>
        </w:tc>
        <w:tc>
          <w:tcPr>
            <w:tcW w:w="1361" w:type="dxa"/>
            <w:vAlign w:val="center"/>
          </w:tcPr>
          <w:p w14:paraId="1778A915">
            <w:pPr>
              <w:pStyle w:val="14"/>
            </w:pPr>
          </w:p>
        </w:tc>
      </w:tr>
    </w:tbl>
    <w:p w14:paraId="789BC9D4">
      <w:pPr>
        <w:sectPr>
          <w:pgSz w:w="16840" w:h="11900" w:orient="landscape"/>
          <w:pgMar w:top="1361" w:right="1020" w:bottom="1134" w:left="1020" w:header="720" w:footer="720" w:gutter="0"/>
          <w:cols w:space="720" w:num="1"/>
        </w:sectPr>
      </w:pPr>
    </w:p>
    <w:p w14:paraId="5364CB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EE3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F2768A">
            <w:pPr>
              <w:pStyle w:val="8"/>
            </w:pPr>
            <w:r>
              <w:t>360023隆尧县固城校区</w:t>
            </w:r>
          </w:p>
        </w:tc>
        <w:tc>
          <w:tcPr>
            <w:tcW w:w="3402" w:type="dxa"/>
            <w:tcBorders>
              <w:top w:val="single" w:color="FFFFFF" w:sz="6" w:space="0"/>
              <w:left w:val="single" w:color="FFFFFF" w:sz="6" w:space="0"/>
              <w:right w:val="single" w:color="FFFFFF" w:sz="6" w:space="0"/>
            </w:tcBorders>
            <w:vAlign w:val="center"/>
          </w:tcPr>
          <w:p w14:paraId="195E19DC">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EB654EA">
            <w:pPr>
              <w:pStyle w:val="10"/>
            </w:pPr>
            <w:r>
              <w:t>单位：万元</w:t>
            </w:r>
          </w:p>
        </w:tc>
      </w:tr>
      <w:tr w14:paraId="0DF8C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A28665">
            <w:pPr>
              <w:pStyle w:val="11"/>
            </w:pPr>
            <w:r>
              <w:t>序号</w:t>
            </w:r>
          </w:p>
        </w:tc>
        <w:tc>
          <w:tcPr>
            <w:tcW w:w="4876" w:type="dxa"/>
            <w:gridSpan w:val="2"/>
            <w:vAlign w:val="center"/>
          </w:tcPr>
          <w:p w14:paraId="4E1A1C46">
            <w:pPr>
              <w:pStyle w:val="11"/>
            </w:pPr>
            <w:r>
              <w:t>收入</w:t>
            </w:r>
          </w:p>
        </w:tc>
        <w:tc>
          <w:tcPr>
            <w:tcW w:w="9298" w:type="dxa"/>
            <w:gridSpan w:val="5"/>
            <w:vAlign w:val="center"/>
          </w:tcPr>
          <w:p w14:paraId="24F52F5B">
            <w:pPr>
              <w:pStyle w:val="11"/>
            </w:pPr>
            <w:r>
              <w:t>支出</w:t>
            </w:r>
          </w:p>
        </w:tc>
      </w:tr>
      <w:tr w14:paraId="2A8B7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B79EE"/>
        </w:tc>
        <w:tc>
          <w:tcPr>
            <w:tcW w:w="3402" w:type="dxa"/>
            <w:vAlign w:val="center"/>
          </w:tcPr>
          <w:p w14:paraId="4E7C31BB">
            <w:pPr>
              <w:pStyle w:val="11"/>
            </w:pPr>
            <w:r>
              <w:t>项  目</w:t>
            </w:r>
          </w:p>
        </w:tc>
        <w:tc>
          <w:tcPr>
            <w:tcW w:w="1474" w:type="dxa"/>
            <w:vAlign w:val="center"/>
          </w:tcPr>
          <w:p w14:paraId="4F36412F">
            <w:pPr>
              <w:pStyle w:val="11"/>
            </w:pPr>
            <w:r>
              <w:t>金额</w:t>
            </w:r>
          </w:p>
        </w:tc>
        <w:tc>
          <w:tcPr>
            <w:tcW w:w="3402" w:type="dxa"/>
            <w:vAlign w:val="center"/>
          </w:tcPr>
          <w:p w14:paraId="12F0CF15">
            <w:pPr>
              <w:pStyle w:val="11"/>
            </w:pPr>
            <w:r>
              <w:t>项  目</w:t>
            </w:r>
          </w:p>
        </w:tc>
        <w:tc>
          <w:tcPr>
            <w:tcW w:w="1474" w:type="dxa"/>
            <w:vAlign w:val="center"/>
          </w:tcPr>
          <w:p w14:paraId="79389BCE">
            <w:pPr>
              <w:pStyle w:val="11"/>
            </w:pPr>
            <w:r>
              <w:t>合计</w:t>
            </w:r>
          </w:p>
        </w:tc>
        <w:tc>
          <w:tcPr>
            <w:tcW w:w="1474" w:type="dxa"/>
            <w:vAlign w:val="center"/>
          </w:tcPr>
          <w:p w14:paraId="47F0938E">
            <w:pPr>
              <w:pStyle w:val="11"/>
            </w:pPr>
            <w:r>
              <w:t>一般公共预算财政拨款</w:t>
            </w:r>
          </w:p>
        </w:tc>
        <w:tc>
          <w:tcPr>
            <w:tcW w:w="1474" w:type="dxa"/>
            <w:vAlign w:val="center"/>
          </w:tcPr>
          <w:p w14:paraId="1ABE085E">
            <w:pPr>
              <w:pStyle w:val="11"/>
            </w:pPr>
            <w:r>
              <w:t>政府性基金预算财政    拨款</w:t>
            </w:r>
          </w:p>
        </w:tc>
        <w:tc>
          <w:tcPr>
            <w:tcW w:w="1474" w:type="dxa"/>
            <w:vAlign w:val="center"/>
          </w:tcPr>
          <w:p w14:paraId="59E67C52">
            <w:pPr>
              <w:pStyle w:val="11"/>
            </w:pPr>
            <w:r>
              <w:t>国有资本经营预算财政拨款</w:t>
            </w:r>
          </w:p>
        </w:tc>
      </w:tr>
      <w:tr w14:paraId="3CA3E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1B5D8">
            <w:pPr>
              <w:pStyle w:val="11"/>
            </w:pPr>
            <w:r>
              <w:t>栏次</w:t>
            </w:r>
          </w:p>
        </w:tc>
        <w:tc>
          <w:tcPr>
            <w:tcW w:w="3402" w:type="dxa"/>
            <w:vAlign w:val="center"/>
          </w:tcPr>
          <w:p w14:paraId="189C9F4F">
            <w:pPr>
              <w:pStyle w:val="11"/>
            </w:pPr>
            <w:r>
              <w:t>1</w:t>
            </w:r>
          </w:p>
        </w:tc>
        <w:tc>
          <w:tcPr>
            <w:tcW w:w="1474" w:type="dxa"/>
            <w:vAlign w:val="center"/>
          </w:tcPr>
          <w:p w14:paraId="10B8815D">
            <w:pPr>
              <w:pStyle w:val="11"/>
            </w:pPr>
            <w:r>
              <w:t>2</w:t>
            </w:r>
          </w:p>
        </w:tc>
        <w:tc>
          <w:tcPr>
            <w:tcW w:w="3402" w:type="dxa"/>
            <w:vAlign w:val="center"/>
          </w:tcPr>
          <w:p w14:paraId="33D3481D">
            <w:pPr>
              <w:pStyle w:val="11"/>
            </w:pPr>
            <w:r>
              <w:t>3</w:t>
            </w:r>
          </w:p>
        </w:tc>
        <w:tc>
          <w:tcPr>
            <w:tcW w:w="1474" w:type="dxa"/>
            <w:vAlign w:val="center"/>
          </w:tcPr>
          <w:p w14:paraId="212063E2">
            <w:pPr>
              <w:pStyle w:val="11"/>
            </w:pPr>
            <w:r>
              <w:t>4</w:t>
            </w:r>
          </w:p>
        </w:tc>
        <w:tc>
          <w:tcPr>
            <w:tcW w:w="1474" w:type="dxa"/>
            <w:vAlign w:val="center"/>
          </w:tcPr>
          <w:p w14:paraId="2395A32B">
            <w:pPr>
              <w:pStyle w:val="11"/>
            </w:pPr>
            <w:r>
              <w:t>5</w:t>
            </w:r>
          </w:p>
        </w:tc>
        <w:tc>
          <w:tcPr>
            <w:tcW w:w="1474" w:type="dxa"/>
            <w:vAlign w:val="center"/>
          </w:tcPr>
          <w:p w14:paraId="37A2C03E">
            <w:pPr>
              <w:pStyle w:val="11"/>
            </w:pPr>
            <w:r>
              <w:t>6</w:t>
            </w:r>
          </w:p>
        </w:tc>
        <w:tc>
          <w:tcPr>
            <w:tcW w:w="1474" w:type="dxa"/>
            <w:vAlign w:val="center"/>
          </w:tcPr>
          <w:p w14:paraId="5851B18C">
            <w:pPr>
              <w:pStyle w:val="11"/>
            </w:pPr>
            <w:r>
              <w:t>7</w:t>
            </w:r>
          </w:p>
        </w:tc>
      </w:tr>
      <w:tr w14:paraId="55492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023B1">
            <w:pPr>
              <w:pStyle w:val="12"/>
            </w:pPr>
            <w:r>
              <w:t>1</w:t>
            </w:r>
          </w:p>
        </w:tc>
        <w:tc>
          <w:tcPr>
            <w:tcW w:w="3402" w:type="dxa"/>
            <w:vAlign w:val="center"/>
          </w:tcPr>
          <w:p w14:paraId="6320A7D1">
            <w:pPr>
              <w:pStyle w:val="13"/>
            </w:pPr>
            <w:r>
              <w:t>一、一般公共预算拨款</w:t>
            </w:r>
          </w:p>
        </w:tc>
        <w:tc>
          <w:tcPr>
            <w:tcW w:w="1474" w:type="dxa"/>
            <w:vAlign w:val="center"/>
          </w:tcPr>
          <w:p w14:paraId="6F6A6EA9">
            <w:pPr>
              <w:pStyle w:val="14"/>
            </w:pPr>
            <w:r>
              <w:t>3029.02</w:t>
            </w:r>
          </w:p>
        </w:tc>
        <w:tc>
          <w:tcPr>
            <w:tcW w:w="3402" w:type="dxa"/>
            <w:vAlign w:val="center"/>
          </w:tcPr>
          <w:p w14:paraId="3290524D">
            <w:pPr>
              <w:pStyle w:val="13"/>
            </w:pPr>
            <w:r>
              <w:t>一、一般公共服务支出</w:t>
            </w:r>
          </w:p>
        </w:tc>
        <w:tc>
          <w:tcPr>
            <w:tcW w:w="1474" w:type="dxa"/>
            <w:vAlign w:val="center"/>
          </w:tcPr>
          <w:p w14:paraId="3C84A12B">
            <w:pPr>
              <w:pStyle w:val="14"/>
            </w:pPr>
          </w:p>
        </w:tc>
        <w:tc>
          <w:tcPr>
            <w:tcW w:w="1474" w:type="dxa"/>
            <w:vAlign w:val="center"/>
          </w:tcPr>
          <w:p w14:paraId="4A0B3EFB">
            <w:pPr>
              <w:pStyle w:val="14"/>
            </w:pPr>
          </w:p>
        </w:tc>
        <w:tc>
          <w:tcPr>
            <w:tcW w:w="1474" w:type="dxa"/>
            <w:vAlign w:val="center"/>
          </w:tcPr>
          <w:p w14:paraId="4C0A7048">
            <w:pPr>
              <w:pStyle w:val="14"/>
            </w:pPr>
          </w:p>
        </w:tc>
        <w:tc>
          <w:tcPr>
            <w:tcW w:w="1474" w:type="dxa"/>
            <w:vAlign w:val="center"/>
          </w:tcPr>
          <w:p w14:paraId="0E856ECF">
            <w:pPr>
              <w:pStyle w:val="14"/>
            </w:pPr>
          </w:p>
        </w:tc>
      </w:tr>
      <w:tr w14:paraId="3495B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93957">
            <w:pPr>
              <w:pStyle w:val="12"/>
            </w:pPr>
            <w:r>
              <w:t>2</w:t>
            </w:r>
          </w:p>
        </w:tc>
        <w:tc>
          <w:tcPr>
            <w:tcW w:w="3402" w:type="dxa"/>
            <w:vAlign w:val="center"/>
          </w:tcPr>
          <w:p w14:paraId="595659FC">
            <w:pPr>
              <w:pStyle w:val="13"/>
            </w:pPr>
            <w:r>
              <w:t>二、政府性基金预算拨款</w:t>
            </w:r>
          </w:p>
        </w:tc>
        <w:tc>
          <w:tcPr>
            <w:tcW w:w="1474" w:type="dxa"/>
            <w:vAlign w:val="center"/>
          </w:tcPr>
          <w:p w14:paraId="08C13792">
            <w:pPr>
              <w:pStyle w:val="14"/>
            </w:pPr>
          </w:p>
        </w:tc>
        <w:tc>
          <w:tcPr>
            <w:tcW w:w="3402" w:type="dxa"/>
            <w:vAlign w:val="center"/>
          </w:tcPr>
          <w:p w14:paraId="473337B2">
            <w:pPr>
              <w:pStyle w:val="13"/>
            </w:pPr>
            <w:r>
              <w:t>二、外交支出</w:t>
            </w:r>
          </w:p>
        </w:tc>
        <w:tc>
          <w:tcPr>
            <w:tcW w:w="1474" w:type="dxa"/>
            <w:vAlign w:val="center"/>
          </w:tcPr>
          <w:p w14:paraId="1C1529B7">
            <w:pPr>
              <w:pStyle w:val="14"/>
            </w:pPr>
          </w:p>
        </w:tc>
        <w:tc>
          <w:tcPr>
            <w:tcW w:w="1474" w:type="dxa"/>
            <w:vAlign w:val="center"/>
          </w:tcPr>
          <w:p w14:paraId="0A6C60F4">
            <w:pPr>
              <w:pStyle w:val="14"/>
            </w:pPr>
          </w:p>
        </w:tc>
        <w:tc>
          <w:tcPr>
            <w:tcW w:w="1474" w:type="dxa"/>
            <w:vAlign w:val="center"/>
          </w:tcPr>
          <w:p w14:paraId="63221BBE">
            <w:pPr>
              <w:pStyle w:val="14"/>
            </w:pPr>
          </w:p>
        </w:tc>
        <w:tc>
          <w:tcPr>
            <w:tcW w:w="1474" w:type="dxa"/>
            <w:vAlign w:val="center"/>
          </w:tcPr>
          <w:p w14:paraId="0F86EB21">
            <w:pPr>
              <w:pStyle w:val="14"/>
            </w:pPr>
          </w:p>
        </w:tc>
      </w:tr>
      <w:tr w14:paraId="6336F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3FBB6">
            <w:pPr>
              <w:pStyle w:val="12"/>
            </w:pPr>
            <w:r>
              <w:t>3</w:t>
            </w:r>
          </w:p>
        </w:tc>
        <w:tc>
          <w:tcPr>
            <w:tcW w:w="3402" w:type="dxa"/>
            <w:vAlign w:val="center"/>
          </w:tcPr>
          <w:p w14:paraId="38820818">
            <w:pPr>
              <w:pStyle w:val="13"/>
            </w:pPr>
            <w:r>
              <w:t>三、国有资本经营预算拨款</w:t>
            </w:r>
          </w:p>
        </w:tc>
        <w:tc>
          <w:tcPr>
            <w:tcW w:w="1474" w:type="dxa"/>
            <w:vAlign w:val="center"/>
          </w:tcPr>
          <w:p w14:paraId="6F4F4DEB">
            <w:pPr>
              <w:pStyle w:val="14"/>
            </w:pPr>
          </w:p>
        </w:tc>
        <w:tc>
          <w:tcPr>
            <w:tcW w:w="3402" w:type="dxa"/>
            <w:vAlign w:val="center"/>
          </w:tcPr>
          <w:p w14:paraId="7EEEFA16">
            <w:pPr>
              <w:pStyle w:val="13"/>
            </w:pPr>
            <w:r>
              <w:t>三、国防支出</w:t>
            </w:r>
          </w:p>
        </w:tc>
        <w:tc>
          <w:tcPr>
            <w:tcW w:w="1474" w:type="dxa"/>
            <w:vAlign w:val="center"/>
          </w:tcPr>
          <w:p w14:paraId="3D40DD6A">
            <w:pPr>
              <w:pStyle w:val="14"/>
            </w:pPr>
          </w:p>
        </w:tc>
        <w:tc>
          <w:tcPr>
            <w:tcW w:w="1474" w:type="dxa"/>
            <w:vAlign w:val="center"/>
          </w:tcPr>
          <w:p w14:paraId="39AB82BC">
            <w:pPr>
              <w:pStyle w:val="14"/>
            </w:pPr>
          </w:p>
        </w:tc>
        <w:tc>
          <w:tcPr>
            <w:tcW w:w="1474" w:type="dxa"/>
            <w:vAlign w:val="center"/>
          </w:tcPr>
          <w:p w14:paraId="062EC34B">
            <w:pPr>
              <w:pStyle w:val="14"/>
            </w:pPr>
          </w:p>
        </w:tc>
        <w:tc>
          <w:tcPr>
            <w:tcW w:w="1474" w:type="dxa"/>
            <w:vAlign w:val="center"/>
          </w:tcPr>
          <w:p w14:paraId="7D82A413">
            <w:pPr>
              <w:pStyle w:val="14"/>
            </w:pPr>
          </w:p>
        </w:tc>
      </w:tr>
      <w:tr w14:paraId="1A0A7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3EC11">
            <w:pPr>
              <w:pStyle w:val="12"/>
            </w:pPr>
            <w:r>
              <w:t>4</w:t>
            </w:r>
          </w:p>
        </w:tc>
        <w:tc>
          <w:tcPr>
            <w:tcW w:w="3402" w:type="dxa"/>
            <w:vAlign w:val="center"/>
          </w:tcPr>
          <w:p w14:paraId="367A1D47">
            <w:pPr>
              <w:pStyle w:val="13"/>
            </w:pPr>
          </w:p>
        </w:tc>
        <w:tc>
          <w:tcPr>
            <w:tcW w:w="1474" w:type="dxa"/>
            <w:vAlign w:val="center"/>
          </w:tcPr>
          <w:p w14:paraId="5BAA9773">
            <w:pPr>
              <w:pStyle w:val="14"/>
            </w:pPr>
          </w:p>
        </w:tc>
        <w:tc>
          <w:tcPr>
            <w:tcW w:w="3402" w:type="dxa"/>
            <w:vAlign w:val="center"/>
          </w:tcPr>
          <w:p w14:paraId="3942414D">
            <w:pPr>
              <w:pStyle w:val="13"/>
            </w:pPr>
            <w:r>
              <w:t>四、公共安全支出</w:t>
            </w:r>
          </w:p>
        </w:tc>
        <w:tc>
          <w:tcPr>
            <w:tcW w:w="1474" w:type="dxa"/>
            <w:vAlign w:val="center"/>
          </w:tcPr>
          <w:p w14:paraId="7B09A331">
            <w:pPr>
              <w:pStyle w:val="14"/>
            </w:pPr>
          </w:p>
        </w:tc>
        <w:tc>
          <w:tcPr>
            <w:tcW w:w="1474" w:type="dxa"/>
            <w:vAlign w:val="center"/>
          </w:tcPr>
          <w:p w14:paraId="66E4AA9C">
            <w:pPr>
              <w:pStyle w:val="14"/>
            </w:pPr>
          </w:p>
        </w:tc>
        <w:tc>
          <w:tcPr>
            <w:tcW w:w="1474" w:type="dxa"/>
            <w:vAlign w:val="center"/>
          </w:tcPr>
          <w:p w14:paraId="14EEC4A5">
            <w:pPr>
              <w:pStyle w:val="14"/>
            </w:pPr>
          </w:p>
        </w:tc>
        <w:tc>
          <w:tcPr>
            <w:tcW w:w="1474" w:type="dxa"/>
            <w:vAlign w:val="center"/>
          </w:tcPr>
          <w:p w14:paraId="071B02B7">
            <w:pPr>
              <w:pStyle w:val="14"/>
            </w:pPr>
          </w:p>
        </w:tc>
      </w:tr>
      <w:tr w14:paraId="52542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3653B">
            <w:pPr>
              <w:pStyle w:val="12"/>
            </w:pPr>
            <w:r>
              <w:t>5</w:t>
            </w:r>
          </w:p>
        </w:tc>
        <w:tc>
          <w:tcPr>
            <w:tcW w:w="3402" w:type="dxa"/>
            <w:vAlign w:val="center"/>
          </w:tcPr>
          <w:p w14:paraId="38BD4807">
            <w:pPr>
              <w:pStyle w:val="13"/>
            </w:pPr>
          </w:p>
        </w:tc>
        <w:tc>
          <w:tcPr>
            <w:tcW w:w="1474" w:type="dxa"/>
            <w:vAlign w:val="center"/>
          </w:tcPr>
          <w:p w14:paraId="34D70B69">
            <w:pPr>
              <w:pStyle w:val="14"/>
            </w:pPr>
          </w:p>
        </w:tc>
        <w:tc>
          <w:tcPr>
            <w:tcW w:w="3402" w:type="dxa"/>
            <w:vAlign w:val="center"/>
          </w:tcPr>
          <w:p w14:paraId="31F6756C">
            <w:pPr>
              <w:pStyle w:val="13"/>
            </w:pPr>
            <w:r>
              <w:t>五、教育支出</w:t>
            </w:r>
          </w:p>
        </w:tc>
        <w:tc>
          <w:tcPr>
            <w:tcW w:w="1474" w:type="dxa"/>
            <w:vAlign w:val="center"/>
          </w:tcPr>
          <w:p w14:paraId="3E44E52B">
            <w:pPr>
              <w:pStyle w:val="14"/>
            </w:pPr>
            <w:r>
              <w:t>3029.02</w:t>
            </w:r>
          </w:p>
        </w:tc>
        <w:tc>
          <w:tcPr>
            <w:tcW w:w="1474" w:type="dxa"/>
            <w:vAlign w:val="center"/>
          </w:tcPr>
          <w:p w14:paraId="136A7D6B">
            <w:pPr>
              <w:pStyle w:val="14"/>
            </w:pPr>
            <w:r>
              <w:t>3029.02</w:t>
            </w:r>
          </w:p>
        </w:tc>
        <w:tc>
          <w:tcPr>
            <w:tcW w:w="1474" w:type="dxa"/>
            <w:vAlign w:val="center"/>
          </w:tcPr>
          <w:p w14:paraId="515DD6EF">
            <w:pPr>
              <w:pStyle w:val="14"/>
            </w:pPr>
          </w:p>
        </w:tc>
        <w:tc>
          <w:tcPr>
            <w:tcW w:w="1474" w:type="dxa"/>
            <w:vAlign w:val="center"/>
          </w:tcPr>
          <w:p w14:paraId="59576D48">
            <w:pPr>
              <w:pStyle w:val="14"/>
            </w:pPr>
          </w:p>
        </w:tc>
      </w:tr>
      <w:tr w14:paraId="30552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4E3A7">
            <w:pPr>
              <w:pStyle w:val="12"/>
            </w:pPr>
            <w:r>
              <w:t>6</w:t>
            </w:r>
          </w:p>
        </w:tc>
        <w:tc>
          <w:tcPr>
            <w:tcW w:w="3402" w:type="dxa"/>
            <w:vAlign w:val="center"/>
          </w:tcPr>
          <w:p w14:paraId="7BB02A93">
            <w:pPr>
              <w:pStyle w:val="13"/>
            </w:pPr>
          </w:p>
        </w:tc>
        <w:tc>
          <w:tcPr>
            <w:tcW w:w="1474" w:type="dxa"/>
            <w:vAlign w:val="center"/>
          </w:tcPr>
          <w:p w14:paraId="175B4F27">
            <w:pPr>
              <w:pStyle w:val="14"/>
            </w:pPr>
          </w:p>
        </w:tc>
        <w:tc>
          <w:tcPr>
            <w:tcW w:w="3402" w:type="dxa"/>
            <w:vAlign w:val="center"/>
          </w:tcPr>
          <w:p w14:paraId="6354353C">
            <w:pPr>
              <w:pStyle w:val="13"/>
            </w:pPr>
            <w:r>
              <w:t>六、科学技术支出</w:t>
            </w:r>
          </w:p>
        </w:tc>
        <w:tc>
          <w:tcPr>
            <w:tcW w:w="1474" w:type="dxa"/>
            <w:vAlign w:val="center"/>
          </w:tcPr>
          <w:p w14:paraId="3AFD1B33">
            <w:pPr>
              <w:pStyle w:val="14"/>
            </w:pPr>
          </w:p>
        </w:tc>
        <w:tc>
          <w:tcPr>
            <w:tcW w:w="1474" w:type="dxa"/>
            <w:vAlign w:val="center"/>
          </w:tcPr>
          <w:p w14:paraId="15061C60">
            <w:pPr>
              <w:pStyle w:val="14"/>
            </w:pPr>
          </w:p>
        </w:tc>
        <w:tc>
          <w:tcPr>
            <w:tcW w:w="1474" w:type="dxa"/>
            <w:vAlign w:val="center"/>
          </w:tcPr>
          <w:p w14:paraId="0877FD72">
            <w:pPr>
              <w:pStyle w:val="14"/>
            </w:pPr>
          </w:p>
        </w:tc>
        <w:tc>
          <w:tcPr>
            <w:tcW w:w="1474" w:type="dxa"/>
            <w:vAlign w:val="center"/>
          </w:tcPr>
          <w:p w14:paraId="7AC1C123">
            <w:pPr>
              <w:pStyle w:val="14"/>
            </w:pPr>
          </w:p>
        </w:tc>
      </w:tr>
      <w:tr w14:paraId="3F3B0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CDA8F">
            <w:pPr>
              <w:pStyle w:val="12"/>
            </w:pPr>
            <w:r>
              <w:t>7</w:t>
            </w:r>
          </w:p>
        </w:tc>
        <w:tc>
          <w:tcPr>
            <w:tcW w:w="3402" w:type="dxa"/>
            <w:vAlign w:val="center"/>
          </w:tcPr>
          <w:p w14:paraId="1CCD443B">
            <w:pPr>
              <w:pStyle w:val="13"/>
            </w:pPr>
          </w:p>
        </w:tc>
        <w:tc>
          <w:tcPr>
            <w:tcW w:w="1474" w:type="dxa"/>
            <w:vAlign w:val="center"/>
          </w:tcPr>
          <w:p w14:paraId="2848827E">
            <w:pPr>
              <w:pStyle w:val="14"/>
            </w:pPr>
          </w:p>
        </w:tc>
        <w:tc>
          <w:tcPr>
            <w:tcW w:w="3402" w:type="dxa"/>
            <w:vAlign w:val="center"/>
          </w:tcPr>
          <w:p w14:paraId="34E102B2">
            <w:pPr>
              <w:pStyle w:val="13"/>
            </w:pPr>
            <w:r>
              <w:t>七、文化旅游体育与传媒支出</w:t>
            </w:r>
          </w:p>
        </w:tc>
        <w:tc>
          <w:tcPr>
            <w:tcW w:w="1474" w:type="dxa"/>
            <w:vAlign w:val="center"/>
          </w:tcPr>
          <w:p w14:paraId="60695E4B">
            <w:pPr>
              <w:pStyle w:val="14"/>
            </w:pPr>
          </w:p>
        </w:tc>
        <w:tc>
          <w:tcPr>
            <w:tcW w:w="1474" w:type="dxa"/>
            <w:vAlign w:val="center"/>
          </w:tcPr>
          <w:p w14:paraId="19D79D0E">
            <w:pPr>
              <w:pStyle w:val="14"/>
            </w:pPr>
          </w:p>
        </w:tc>
        <w:tc>
          <w:tcPr>
            <w:tcW w:w="1474" w:type="dxa"/>
            <w:vAlign w:val="center"/>
          </w:tcPr>
          <w:p w14:paraId="3F8F8072">
            <w:pPr>
              <w:pStyle w:val="14"/>
            </w:pPr>
          </w:p>
        </w:tc>
        <w:tc>
          <w:tcPr>
            <w:tcW w:w="1474" w:type="dxa"/>
            <w:vAlign w:val="center"/>
          </w:tcPr>
          <w:p w14:paraId="18BF2BD6">
            <w:pPr>
              <w:pStyle w:val="14"/>
            </w:pPr>
          </w:p>
        </w:tc>
      </w:tr>
      <w:tr w14:paraId="61113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A2C6F">
            <w:pPr>
              <w:pStyle w:val="12"/>
            </w:pPr>
            <w:r>
              <w:t>8</w:t>
            </w:r>
          </w:p>
        </w:tc>
        <w:tc>
          <w:tcPr>
            <w:tcW w:w="3402" w:type="dxa"/>
            <w:vAlign w:val="center"/>
          </w:tcPr>
          <w:p w14:paraId="2F853620">
            <w:pPr>
              <w:pStyle w:val="13"/>
            </w:pPr>
          </w:p>
        </w:tc>
        <w:tc>
          <w:tcPr>
            <w:tcW w:w="1474" w:type="dxa"/>
            <w:vAlign w:val="center"/>
          </w:tcPr>
          <w:p w14:paraId="30C38981">
            <w:pPr>
              <w:pStyle w:val="14"/>
            </w:pPr>
          </w:p>
        </w:tc>
        <w:tc>
          <w:tcPr>
            <w:tcW w:w="3402" w:type="dxa"/>
            <w:vAlign w:val="center"/>
          </w:tcPr>
          <w:p w14:paraId="54A41CDF">
            <w:pPr>
              <w:pStyle w:val="13"/>
            </w:pPr>
            <w:r>
              <w:t>八、社会保障和就业支出</w:t>
            </w:r>
          </w:p>
        </w:tc>
        <w:tc>
          <w:tcPr>
            <w:tcW w:w="1474" w:type="dxa"/>
            <w:vAlign w:val="center"/>
          </w:tcPr>
          <w:p w14:paraId="36727392">
            <w:pPr>
              <w:pStyle w:val="14"/>
            </w:pPr>
          </w:p>
        </w:tc>
        <w:tc>
          <w:tcPr>
            <w:tcW w:w="1474" w:type="dxa"/>
            <w:vAlign w:val="center"/>
          </w:tcPr>
          <w:p w14:paraId="22E59720">
            <w:pPr>
              <w:pStyle w:val="14"/>
            </w:pPr>
          </w:p>
        </w:tc>
        <w:tc>
          <w:tcPr>
            <w:tcW w:w="1474" w:type="dxa"/>
            <w:vAlign w:val="center"/>
          </w:tcPr>
          <w:p w14:paraId="7F913E9D">
            <w:pPr>
              <w:pStyle w:val="14"/>
            </w:pPr>
          </w:p>
        </w:tc>
        <w:tc>
          <w:tcPr>
            <w:tcW w:w="1474" w:type="dxa"/>
            <w:vAlign w:val="center"/>
          </w:tcPr>
          <w:p w14:paraId="3A62098C">
            <w:pPr>
              <w:pStyle w:val="14"/>
            </w:pPr>
          </w:p>
        </w:tc>
      </w:tr>
      <w:tr w14:paraId="67AE6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8BB57">
            <w:pPr>
              <w:pStyle w:val="12"/>
            </w:pPr>
            <w:r>
              <w:t>9</w:t>
            </w:r>
          </w:p>
        </w:tc>
        <w:tc>
          <w:tcPr>
            <w:tcW w:w="3402" w:type="dxa"/>
            <w:vAlign w:val="center"/>
          </w:tcPr>
          <w:p w14:paraId="3B869776">
            <w:pPr>
              <w:pStyle w:val="13"/>
            </w:pPr>
          </w:p>
        </w:tc>
        <w:tc>
          <w:tcPr>
            <w:tcW w:w="1474" w:type="dxa"/>
            <w:vAlign w:val="center"/>
          </w:tcPr>
          <w:p w14:paraId="6B4BB7F6">
            <w:pPr>
              <w:pStyle w:val="14"/>
            </w:pPr>
          </w:p>
        </w:tc>
        <w:tc>
          <w:tcPr>
            <w:tcW w:w="3402" w:type="dxa"/>
            <w:vAlign w:val="center"/>
          </w:tcPr>
          <w:p w14:paraId="644A0ABE">
            <w:pPr>
              <w:pStyle w:val="13"/>
            </w:pPr>
            <w:r>
              <w:t>九、社会保险基金支出</w:t>
            </w:r>
          </w:p>
        </w:tc>
        <w:tc>
          <w:tcPr>
            <w:tcW w:w="1474" w:type="dxa"/>
            <w:vAlign w:val="center"/>
          </w:tcPr>
          <w:p w14:paraId="01852EAE">
            <w:pPr>
              <w:pStyle w:val="14"/>
            </w:pPr>
          </w:p>
        </w:tc>
        <w:tc>
          <w:tcPr>
            <w:tcW w:w="1474" w:type="dxa"/>
            <w:vAlign w:val="center"/>
          </w:tcPr>
          <w:p w14:paraId="34E7D8CD">
            <w:pPr>
              <w:pStyle w:val="14"/>
            </w:pPr>
          </w:p>
        </w:tc>
        <w:tc>
          <w:tcPr>
            <w:tcW w:w="1474" w:type="dxa"/>
            <w:vAlign w:val="center"/>
          </w:tcPr>
          <w:p w14:paraId="2EACD224">
            <w:pPr>
              <w:pStyle w:val="14"/>
            </w:pPr>
          </w:p>
        </w:tc>
        <w:tc>
          <w:tcPr>
            <w:tcW w:w="1474" w:type="dxa"/>
            <w:vAlign w:val="center"/>
          </w:tcPr>
          <w:p w14:paraId="51490DE2">
            <w:pPr>
              <w:pStyle w:val="14"/>
            </w:pPr>
          </w:p>
        </w:tc>
      </w:tr>
      <w:tr w14:paraId="2FA95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9ABD8">
            <w:pPr>
              <w:pStyle w:val="12"/>
            </w:pPr>
            <w:r>
              <w:t>10</w:t>
            </w:r>
          </w:p>
        </w:tc>
        <w:tc>
          <w:tcPr>
            <w:tcW w:w="3402" w:type="dxa"/>
            <w:vAlign w:val="center"/>
          </w:tcPr>
          <w:p w14:paraId="135C1FBC">
            <w:pPr>
              <w:pStyle w:val="13"/>
            </w:pPr>
          </w:p>
        </w:tc>
        <w:tc>
          <w:tcPr>
            <w:tcW w:w="1474" w:type="dxa"/>
            <w:vAlign w:val="center"/>
          </w:tcPr>
          <w:p w14:paraId="47A51C60">
            <w:pPr>
              <w:pStyle w:val="14"/>
            </w:pPr>
          </w:p>
        </w:tc>
        <w:tc>
          <w:tcPr>
            <w:tcW w:w="3402" w:type="dxa"/>
            <w:vAlign w:val="center"/>
          </w:tcPr>
          <w:p w14:paraId="6F331BE8">
            <w:pPr>
              <w:pStyle w:val="13"/>
            </w:pPr>
            <w:r>
              <w:t>十、卫生健康支出</w:t>
            </w:r>
          </w:p>
        </w:tc>
        <w:tc>
          <w:tcPr>
            <w:tcW w:w="1474" w:type="dxa"/>
            <w:vAlign w:val="center"/>
          </w:tcPr>
          <w:p w14:paraId="306A5244">
            <w:pPr>
              <w:pStyle w:val="14"/>
            </w:pPr>
          </w:p>
        </w:tc>
        <w:tc>
          <w:tcPr>
            <w:tcW w:w="1474" w:type="dxa"/>
            <w:vAlign w:val="center"/>
          </w:tcPr>
          <w:p w14:paraId="517C4862">
            <w:pPr>
              <w:pStyle w:val="14"/>
            </w:pPr>
          </w:p>
        </w:tc>
        <w:tc>
          <w:tcPr>
            <w:tcW w:w="1474" w:type="dxa"/>
            <w:vAlign w:val="center"/>
          </w:tcPr>
          <w:p w14:paraId="3616A8A3">
            <w:pPr>
              <w:pStyle w:val="14"/>
            </w:pPr>
          </w:p>
        </w:tc>
        <w:tc>
          <w:tcPr>
            <w:tcW w:w="1474" w:type="dxa"/>
            <w:vAlign w:val="center"/>
          </w:tcPr>
          <w:p w14:paraId="11B38317">
            <w:pPr>
              <w:pStyle w:val="14"/>
            </w:pPr>
          </w:p>
        </w:tc>
      </w:tr>
      <w:tr w14:paraId="78123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11274">
            <w:pPr>
              <w:pStyle w:val="12"/>
            </w:pPr>
            <w:r>
              <w:t>11</w:t>
            </w:r>
          </w:p>
        </w:tc>
        <w:tc>
          <w:tcPr>
            <w:tcW w:w="3402" w:type="dxa"/>
            <w:vAlign w:val="center"/>
          </w:tcPr>
          <w:p w14:paraId="531CDE37">
            <w:pPr>
              <w:pStyle w:val="13"/>
            </w:pPr>
          </w:p>
        </w:tc>
        <w:tc>
          <w:tcPr>
            <w:tcW w:w="1474" w:type="dxa"/>
            <w:vAlign w:val="center"/>
          </w:tcPr>
          <w:p w14:paraId="2D5AF909">
            <w:pPr>
              <w:pStyle w:val="14"/>
            </w:pPr>
          </w:p>
        </w:tc>
        <w:tc>
          <w:tcPr>
            <w:tcW w:w="3402" w:type="dxa"/>
            <w:vAlign w:val="center"/>
          </w:tcPr>
          <w:p w14:paraId="17D911C0">
            <w:pPr>
              <w:pStyle w:val="13"/>
            </w:pPr>
            <w:r>
              <w:t>十一、节能环保支出</w:t>
            </w:r>
          </w:p>
        </w:tc>
        <w:tc>
          <w:tcPr>
            <w:tcW w:w="1474" w:type="dxa"/>
            <w:vAlign w:val="center"/>
          </w:tcPr>
          <w:p w14:paraId="098CABF1">
            <w:pPr>
              <w:pStyle w:val="14"/>
            </w:pPr>
          </w:p>
        </w:tc>
        <w:tc>
          <w:tcPr>
            <w:tcW w:w="1474" w:type="dxa"/>
            <w:vAlign w:val="center"/>
          </w:tcPr>
          <w:p w14:paraId="5AA473A3">
            <w:pPr>
              <w:pStyle w:val="14"/>
            </w:pPr>
          </w:p>
        </w:tc>
        <w:tc>
          <w:tcPr>
            <w:tcW w:w="1474" w:type="dxa"/>
            <w:vAlign w:val="center"/>
          </w:tcPr>
          <w:p w14:paraId="7CDBD606">
            <w:pPr>
              <w:pStyle w:val="14"/>
            </w:pPr>
          </w:p>
        </w:tc>
        <w:tc>
          <w:tcPr>
            <w:tcW w:w="1474" w:type="dxa"/>
            <w:vAlign w:val="center"/>
          </w:tcPr>
          <w:p w14:paraId="734D7F85">
            <w:pPr>
              <w:pStyle w:val="14"/>
            </w:pPr>
          </w:p>
        </w:tc>
      </w:tr>
      <w:tr w14:paraId="65431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CE399">
            <w:pPr>
              <w:pStyle w:val="12"/>
            </w:pPr>
            <w:r>
              <w:t>12</w:t>
            </w:r>
          </w:p>
        </w:tc>
        <w:tc>
          <w:tcPr>
            <w:tcW w:w="3402" w:type="dxa"/>
            <w:vAlign w:val="center"/>
          </w:tcPr>
          <w:p w14:paraId="533490AF">
            <w:pPr>
              <w:pStyle w:val="13"/>
            </w:pPr>
          </w:p>
        </w:tc>
        <w:tc>
          <w:tcPr>
            <w:tcW w:w="1474" w:type="dxa"/>
            <w:vAlign w:val="center"/>
          </w:tcPr>
          <w:p w14:paraId="57A8C3D6">
            <w:pPr>
              <w:pStyle w:val="14"/>
            </w:pPr>
          </w:p>
        </w:tc>
        <w:tc>
          <w:tcPr>
            <w:tcW w:w="3402" w:type="dxa"/>
            <w:vAlign w:val="center"/>
          </w:tcPr>
          <w:p w14:paraId="1B703DA0">
            <w:pPr>
              <w:pStyle w:val="13"/>
            </w:pPr>
            <w:r>
              <w:t>十二、城乡社区支出</w:t>
            </w:r>
          </w:p>
        </w:tc>
        <w:tc>
          <w:tcPr>
            <w:tcW w:w="1474" w:type="dxa"/>
            <w:vAlign w:val="center"/>
          </w:tcPr>
          <w:p w14:paraId="054E0426">
            <w:pPr>
              <w:pStyle w:val="14"/>
            </w:pPr>
          </w:p>
        </w:tc>
        <w:tc>
          <w:tcPr>
            <w:tcW w:w="1474" w:type="dxa"/>
            <w:vAlign w:val="center"/>
          </w:tcPr>
          <w:p w14:paraId="3FBF7E8E">
            <w:pPr>
              <w:pStyle w:val="14"/>
            </w:pPr>
          </w:p>
        </w:tc>
        <w:tc>
          <w:tcPr>
            <w:tcW w:w="1474" w:type="dxa"/>
            <w:vAlign w:val="center"/>
          </w:tcPr>
          <w:p w14:paraId="0C020D04">
            <w:pPr>
              <w:pStyle w:val="14"/>
            </w:pPr>
          </w:p>
        </w:tc>
        <w:tc>
          <w:tcPr>
            <w:tcW w:w="1474" w:type="dxa"/>
            <w:vAlign w:val="center"/>
          </w:tcPr>
          <w:p w14:paraId="6675C5E2">
            <w:pPr>
              <w:pStyle w:val="14"/>
            </w:pPr>
          </w:p>
        </w:tc>
      </w:tr>
      <w:tr w14:paraId="077FB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CB2A8">
            <w:pPr>
              <w:pStyle w:val="12"/>
            </w:pPr>
            <w:r>
              <w:t>13</w:t>
            </w:r>
          </w:p>
        </w:tc>
        <w:tc>
          <w:tcPr>
            <w:tcW w:w="3402" w:type="dxa"/>
            <w:vAlign w:val="center"/>
          </w:tcPr>
          <w:p w14:paraId="339E14FE">
            <w:pPr>
              <w:pStyle w:val="13"/>
            </w:pPr>
          </w:p>
        </w:tc>
        <w:tc>
          <w:tcPr>
            <w:tcW w:w="1474" w:type="dxa"/>
            <w:vAlign w:val="center"/>
          </w:tcPr>
          <w:p w14:paraId="5FFD0124">
            <w:pPr>
              <w:pStyle w:val="14"/>
            </w:pPr>
          </w:p>
        </w:tc>
        <w:tc>
          <w:tcPr>
            <w:tcW w:w="3402" w:type="dxa"/>
            <w:vAlign w:val="center"/>
          </w:tcPr>
          <w:p w14:paraId="3142A80F">
            <w:pPr>
              <w:pStyle w:val="13"/>
            </w:pPr>
            <w:r>
              <w:t>十三、农林水支出</w:t>
            </w:r>
          </w:p>
        </w:tc>
        <w:tc>
          <w:tcPr>
            <w:tcW w:w="1474" w:type="dxa"/>
            <w:vAlign w:val="center"/>
          </w:tcPr>
          <w:p w14:paraId="6282B283">
            <w:pPr>
              <w:pStyle w:val="14"/>
            </w:pPr>
          </w:p>
        </w:tc>
        <w:tc>
          <w:tcPr>
            <w:tcW w:w="1474" w:type="dxa"/>
            <w:vAlign w:val="center"/>
          </w:tcPr>
          <w:p w14:paraId="1C9EB400">
            <w:pPr>
              <w:pStyle w:val="14"/>
            </w:pPr>
          </w:p>
        </w:tc>
        <w:tc>
          <w:tcPr>
            <w:tcW w:w="1474" w:type="dxa"/>
            <w:vAlign w:val="center"/>
          </w:tcPr>
          <w:p w14:paraId="485EBA84">
            <w:pPr>
              <w:pStyle w:val="14"/>
            </w:pPr>
          </w:p>
        </w:tc>
        <w:tc>
          <w:tcPr>
            <w:tcW w:w="1474" w:type="dxa"/>
            <w:vAlign w:val="center"/>
          </w:tcPr>
          <w:p w14:paraId="537BB70E">
            <w:pPr>
              <w:pStyle w:val="14"/>
            </w:pPr>
          </w:p>
        </w:tc>
      </w:tr>
      <w:tr w14:paraId="0BB71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FF779">
            <w:pPr>
              <w:pStyle w:val="12"/>
            </w:pPr>
            <w:r>
              <w:t>14</w:t>
            </w:r>
          </w:p>
        </w:tc>
        <w:tc>
          <w:tcPr>
            <w:tcW w:w="3402" w:type="dxa"/>
            <w:vAlign w:val="center"/>
          </w:tcPr>
          <w:p w14:paraId="62037FBB">
            <w:pPr>
              <w:pStyle w:val="13"/>
            </w:pPr>
          </w:p>
        </w:tc>
        <w:tc>
          <w:tcPr>
            <w:tcW w:w="1474" w:type="dxa"/>
            <w:vAlign w:val="center"/>
          </w:tcPr>
          <w:p w14:paraId="6CCF69A5">
            <w:pPr>
              <w:pStyle w:val="14"/>
            </w:pPr>
          </w:p>
        </w:tc>
        <w:tc>
          <w:tcPr>
            <w:tcW w:w="3402" w:type="dxa"/>
            <w:vAlign w:val="center"/>
          </w:tcPr>
          <w:p w14:paraId="6B5D14F1">
            <w:pPr>
              <w:pStyle w:val="13"/>
            </w:pPr>
            <w:r>
              <w:t>十四、交通运输支出</w:t>
            </w:r>
          </w:p>
        </w:tc>
        <w:tc>
          <w:tcPr>
            <w:tcW w:w="1474" w:type="dxa"/>
            <w:vAlign w:val="center"/>
          </w:tcPr>
          <w:p w14:paraId="0E914CFE">
            <w:pPr>
              <w:pStyle w:val="14"/>
            </w:pPr>
          </w:p>
        </w:tc>
        <w:tc>
          <w:tcPr>
            <w:tcW w:w="1474" w:type="dxa"/>
            <w:vAlign w:val="center"/>
          </w:tcPr>
          <w:p w14:paraId="72AA3EF5">
            <w:pPr>
              <w:pStyle w:val="14"/>
            </w:pPr>
          </w:p>
        </w:tc>
        <w:tc>
          <w:tcPr>
            <w:tcW w:w="1474" w:type="dxa"/>
            <w:vAlign w:val="center"/>
          </w:tcPr>
          <w:p w14:paraId="72ADC163">
            <w:pPr>
              <w:pStyle w:val="14"/>
            </w:pPr>
          </w:p>
        </w:tc>
        <w:tc>
          <w:tcPr>
            <w:tcW w:w="1474" w:type="dxa"/>
            <w:vAlign w:val="center"/>
          </w:tcPr>
          <w:p w14:paraId="6679FF01">
            <w:pPr>
              <w:pStyle w:val="14"/>
            </w:pPr>
          </w:p>
        </w:tc>
      </w:tr>
      <w:tr w14:paraId="218CC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59FC9">
            <w:pPr>
              <w:pStyle w:val="12"/>
            </w:pPr>
            <w:r>
              <w:t>15</w:t>
            </w:r>
          </w:p>
        </w:tc>
        <w:tc>
          <w:tcPr>
            <w:tcW w:w="3402" w:type="dxa"/>
            <w:vAlign w:val="center"/>
          </w:tcPr>
          <w:p w14:paraId="356062F5">
            <w:pPr>
              <w:pStyle w:val="13"/>
            </w:pPr>
          </w:p>
        </w:tc>
        <w:tc>
          <w:tcPr>
            <w:tcW w:w="1474" w:type="dxa"/>
            <w:vAlign w:val="center"/>
          </w:tcPr>
          <w:p w14:paraId="2E58F370">
            <w:pPr>
              <w:pStyle w:val="14"/>
            </w:pPr>
          </w:p>
        </w:tc>
        <w:tc>
          <w:tcPr>
            <w:tcW w:w="3402" w:type="dxa"/>
            <w:vAlign w:val="center"/>
          </w:tcPr>
          <w:p w14:paraId="1F8763F3">
            <w:pPr>
              <w:pStyle w:val="13"/>
            </w:pPr>
            <w:r>
              <w:t>十五、资源勘探工业信息等支出</w:t>
            </w:r>
          </w:p>
        </w:tc>
        <w:tc>
          <w:tcPr>
            <w:tcW w:w="1474" w:type="dxa"/>
            <w:vAlign w:val="center"/>
          </w:tcPr>
          <w:p w14:paraId="1F2C3F5A">
            <w:pPr>
              <w:pStyle w:val="14"/>
            </w:pPr>
          </w:p>
        </w:tc>
        <w:tc>
          <w:tcPr>
            <w:tcW w:w="1474" w:type="dxa"/>
            <w:vAlign w:val="center"/>
          </w:tcPr>
          <w:p w14:paraId="5AEB0B31">
            <w:pPr>
              <w:pStyle w:val="14"/>
            </w:pPr>
          </w:p>
        </w:tc>
        <w:tc>
          <w:tcPr>
            <w:tcW w:w="1474" w:type="dxa"/>
            <w:vAlign w:val="center"/>
          </w:tcPr>
          <w:p w14:paraId="40FCE0A8">
            <w:pPr>
              <w:pStyle w:val="14"/>
            </w:pPr>
          </w:p>
        </w:tc>
        <w:tc>
          <w:tcPr>
            <w:tcW w:w="1474" w:type="dxa"/>
            <w:vAlign w:val="center"/>
          </w:tcPr>
          <w:p w14:paraId="46224FCA">
            <w:pPr>
              <w:pStyle w:val="14"/>
            </w:pPr>
          </w:p>
        </w:tc>
      </w:tr>
      <w:tr w14:paraId="144FB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7F93C">
            <w:pPr>
              <w:pStyle w:val="12"/>
            </w:pPr>
            <w:r>
              <w:t>16</w:t>
            </w:r>
          </w:p>
        </w:tc>
        <w:tc>
          <w:tcPr>
            <w:tcW w:w="3402" w:type="dxa"/>
            <w:vAlign w:val="center"/>
          </w:tcPr>
          <w:p w14:paraId="56FD1CC2">
            <w:pPr>
              <w:pStyle w:val="13"/>
            </w:pPr>
          </w:p>
        </w:tc>
        <w:tc>
          <w:tcPr>
            <w:tcW w:w="1474" w:type="dxa"/>
            <w:vAlign w:val="center"/>
          </w:tcPr>
          <w:p w14:paraId="023B03DA">
            <w:pPr>
              <w:pStyle w:val="14"/>
            </w:pPr>
          </w:p>
        </w:tc>
        <w:tc>
          <w:tcPr>
            <w:tcW w:w="3402" w:type="dxa"/>
            <w:vAlign w:val="center"/>
          </w:tcPr>
          <w:p w14:paraId="72E93AE3">
            <w:pPr>
              <w:pStyle w:val="13"/>
            </w:pPr>
            <w:r>
              <w:t>十六、商业服务业等支出</w:t>
            </w:r>
          </w:p>
        </w:tc>
        <w:tc>
          <w:tcPr>
            <w:tcW w:w="1474" w:type="dxa"/>
            <w:vAlign w:val="center"/>
          </w:tcPr>
          <w:p w14:paraId="014EAE4D">
            <w:pPr>
              <w:pStyle w:val="14"/>
            </w:pPr>
          </w:p>
        </w:tc>
        <w:tc>
          <w:tcPr>
            <w:tcW w:w="1474" w:type="dxa"/>
            <w:vAlign w:val="center"/>
          </w:tcPr>
          <w:p w14:paraId="72ACB84D">
            <w:pPr>
              <w:pStyle w:val="14"/>
            </w:pPr>
          </w:p>
        </w:tc>
        <w:tc>
          <w:tcPr>
            <w:tcW w:w="1474" w:type="dxa"/>
            <w:vAlign w:val="center"/>
          </w:tcPr>
          <w:p w14:paraId="182C2435">
            <w:pPr>
              <w:pStyle w:val="14"/>
            </w:pPr>
          </w:p>
        </w:tc>
        <w:tc>
          <w:tcPr>
            <w:tcW w:w="1474" w:type="dxa"/>
            <w:vAlign w:val="center"/>
          </w:tcPr>
          <w:p w14:paraId="4B679AD8">
            <w:pPr>
              <w:pStyle w:val="14"/>
            </w:pPr>
          </w:p>
        </w:tc>
      </w:tr>
      <w:tr w14:paraId="67296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F7CE7">
            <w:pPr>
              <w:pStyle w:val="12"/>
            </w:pPr>
            <w:r>
              <w:t>17</w:t>
            </w:r>
          </w:p>
        </w:tc>
        <w:tc>
          <w:tcPr>
            <w:tcW w:w="3402" w:type="dxa"/>
            <w:vAlign w:val="center"/>
          </w:tcPr>
          <w:p w14:paraId="3C0AA740">
            <w:pPr>
              <w:pStyle w:val="13"/>
            </w:pPr>
          </w:p>
        </w:tc>
        <w:tc>
          <w:tcPr>
            <w:tcW w:w="1474" w:type="dxa"/>
            <w:vAlign w:val="center"/>
          </w:tcPr>
          <w:p w14:paraId="74B3DB09">
            <w:pPr>
              <w:pStyle w:val="14"/>
            </w:pPr>
          </w:p>
        </w:tc>
        <w:tc>
          <w:tcPr>
            <w:tcW w:w="3402" w:type="dxa"/>
            <w:vAlign w:val="center"/>
          </w:tcPr>
          <w:p w14:paraId="077255CD">
            <w:pPr>
              <w:pStyle w:val="13"/>
            </w:pPr>
            <w:r>
              <w:t>十七、金融支出</w:t>
            </w:r>
          </w:p>
        </w:tc>
        <w:tc>
          <w:tcPr>
            <w:tcW w:w="1474" w:type="dxa"/>
            <w:vAlign w:val="center"/>
          </w:tcPr>
          <w:p w14:paraId="4C579D7A">
            <w:pPr>
              <w:pStyle w:val="14"/>
            </w:pPr>
          </w:p>
        </w:tc>
        <w:tc>
          <w:tcPr>
            <w:tcW w:w="1474" w:type="dxa"/>
            <w:vAlign w:val="center"/>
          </w:tcPr>
          <w:p w14:paraId="462749D7">
            <w:pPr>
              <w:pStyle w:val="14"/>
            </w:pPr>
          </w:p>
        </w:tc>
        <w:tc>
          <w:tcPr>
            <w:tcW w:w="1474" w:type="dxa"/>
            <w:vAlign w:val="center"/>
          </w:tcPr>
          <w:p w14:paraId="58CB22CB">
            <w:pPr>
              <w:pStyle w:val="14"/>
            </w:pPr>
          </w:p>
        </w:tc>
        <w:tc>
          <w:tcPr>
            <w:tcW w:w="1474" w:type="dxa"/>
            <w:vAlign w:val="center"/>
          </w:tcPr>
          <w:p w14:paraId="63BA083B">
            <w:pPr>
              <w:pStyle w:val="14"/>
            </w:pPr>
          </w:p>
        </w:tc>
      </w:tr>
      <w:tr w14:paraId="534F7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A7461">
            <w:pPr>
              <w:pStyle w:val="12"/>
            </w:pPr>
            <w:r>
              <w:t>18</w:t>
            </w:r>
          </w:p>
        </w:tc>
        <w:tc>
          <w:tcPr>
            <w:tcW w:w="3402" w:type="dxa"/>
            <w:vAlign w:val="center"/>
          </w:tcPr>
          <w:p w14:paraId="09D5E59D">
            <w:pPr>
              <w:pStyle w:val="13"/>
            </w:pPr>
          </w:p>
        </w:tc>
        <w:tc>
          <w:tcPr>
            <w:tcW w:w="1474" w:type="dxa"/>
            <w:vAlign w:val="center"/>
          </w:tcPr>
          <w:p w14:paraId="0729A64F">
            <w:pPr>
              <w:pStyle w:val="14"/>
            </w:pPr>
          </w:p>
        </w:tc>
        <w:tc>
          <w:tcPr>
            <w:tcW w:w="3402" w:type="dxa"/>
            <w:vAlign w:val="center"/>
          </w:tcPr>
          <w:p w14:paraId="72F32414">
            <w:pPr>
              <w:pStyle w:val="13"/>
            </w:pPr>
            <w:r>
              <w:t>十八、援助其他地区支出</w:t>
            </w:r>
          </w:p>
        </w:tc>
        <w:tc>
          <w:tcPr>
            <w:tcW w:w="1474" w:type="dxa"/>
            <w:vAlign w:val="center"/>
          </w:tcPr>
          <w:p w14:paraId="59278CA4">
            <w:pPr>
              <w:pStyle w:val="14"/>
            </w:pPr>
          </w:p>
        </w:tc>
        <w:tc>
          <w:tcPr>
            <w:tcW w:w="1474" w:type="dxa"/>
            <w:vAlign w:val="center"/>
          </w:tcPr>
          <w:p w14:paraId="35A18046">
            <w:pPr>
              <w:pStyle w:val="14"/>
            </w:pPr>
          </w:p>
        </w:tc>
        <w:tc>
          <w:tcPr>
            <w:tcW w:w="1474" w:type="dxa"/>
            <w:vAlign w:val="center"/>
          </w:tcPr>
          <w:p w14:paraId="3BE2D773">
            <w:pPr>
              <w:pStyle w:val="14"/>
            </w:pPr>
          </w:p>
        </w:tc>
        <w:tc>
          <w:tcPr>
            <w:tcW w:w="1474" w:type="dxa"/>
            <w:vAlign w:val="center"/>
          </w:tcPr>
          <w:p w14:paraId="0444BCAA">
            <w:pPr>
              <w:pStyle w:val="14"/>
            </w:pPr>
          </w:p>
        </w:tc>
      </w:tr>
      <w:tr w14:paraId="37783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0BC20">
            <w:pPr>
              <w:pStyle w:val="12"/>
            </w:pPr>
            <w:r>
              <w:t>19</w:t>
            </w:r>
          </w:p>
        </w:tc>
        <w:tc>
          <w:tcPr>
            <w:tcW w:w="3402" w:type="dxa"/>
            <w:vAlign w:val="center"/>
          </w:tcPr>
          <w:p w14:paraId="5A04F027">
            <w:pPr>
              <w:pStyle w:val="13"/>
            </w:pPr>
          </w:p>
        </w:tc>
        <w:tc>
          <w:tcPr>
            <w:tcW w:w="1474" w:type="dxa"/>
            <w:vAlign w:val="center"/>
          </w:tcPr>
          <w:p w14:paraId="4F7ABF5C">
            <w:pPr>
              <w:pStyle w:val="14"/>
            </w:pPr>
          </w:p>
        </w:tc>
        <w:tc>
          <w:tcPr>
            <w:tcW w:w="3402" w:type="dxa"/>
            <w:vAlign w:val="center"/>
          </w:tcPr>
          <w:p w14:paraId="41D70D25">
            <w:pPr>
              <w:pStyle w:val="13"/>
            </w:pPr>
            <w:r>
              <w:t>十九、自然资源海洋气象等支出</w:t>
            </w:r>
          </w:p>
        </w:tc>
        <w:tc>
          <w:tcPr>
            <w:tcW w:w="1474" w:type="dxa"/>
            <w:vAlign w:val="center"/>
          </w:tcPr>
          <w:p w14:paraId="163262D1">
            <w:pPr>
              <w:pStyle w:val="14"/>
            </w:pPr>
          </w:p>
        </w:tc>
        <w:tc>
          <w:tcPr>
            <w:tcW w:w="1474" w:type="dxa"/>
            <w:vAlign w:val="center"/>
          </w:tcPr>
          <w:p w14:paraId="62CCFD76">
            <w:pPr>
              <w:pStyle w:val="14"/>
            </w:pPr>
          </w:p>
        </w:tc>
        <w:tc>
          <w:tcPr>
            <w:tcW w:w="1474" w:type="dxa"/>
            <w:vAlign w:val="center"/>
          </w:tcPr>
          <w:p w14:paraId="7FDB5299">
            <w:pPr>
              <w:pStyle w:val="14"/>
            </w:pPr>
          </w:p>
        </w:tc>
        <w:tc>
          <w:tcPr>
            <w:tcW w:w="1474" w:type="dxa"/>
            <w:vAlign w:val="center"/>
          </w:tcPr>
          <w:p w14:paraId="1E4379A1">
            <w:pPr>
              <w:pStyle w:val="14"/>
            </w:pPr>
          </w:p>
        </w:tc>
      </w:tr>
      <w:tr w14:paraId="7153B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16A06">
            <w:pPr>
              <w:pStyle w:val="12"/>
            </w:pPr>
            <w:r>
              <w:t>20</w:t>
            </w:r>
          </w:p>
        </w:tc>
        <w:tc>
          <w:tcPr>
            <w:tcW w:w="3402" w:type="dxa"/>
            <w:vAlign w:val="center"/>
          </w:tcPr>
          <w:p w14:paraId="78C04042">
            <w:pPr>
              <w:pStyle w:val="13"/>
            </w:pPr>
          </w:p>
        </w:tc>
        <w:tc>
          <w:tcPr>
            <w:tcW w:w="1474" w:type="dxa"/>
            <w:vAlign w:val="center"/>
          </w:tcPr>
          <w:p w14:paraId="574F2943">
            <w:pPr>
              <w:pStyle w:val="14"/>
            </w:pPr>
          </w:p>
        </w:tc>
        <w:tc>
          <w:tcPr>
            <w:tcW w:w="3402" w:type="dxa"/>
            <w:vAlign w:val="center"/>
          </w:tcPr>
          <w:p w14:paraId="43A74ED7">
            <w:pPr>
              <w:pStyle w:val="13"/>
            </w:pPr>
            <w:r>
              <w:t>二十、住房保障支出</w:t>
            </w:r>
          </w:p>
        </w:tc>
        <w:tc>
          <w:tcPr>
            <w:tcW w:w="1474" w:type="dxa"/>
            <w:vAlign w:val="center"/>
          </w:tcPr>
          <w:p w14:paraId="20798C6C">
            <w:pPr>
              <w:pStyle w:val="14"/>
            </w:pPr>
          </w:p>
        </w:tc>
        <w:tc>
          <w:tcPr>
            <w:tcW w:w="1474" w:type="dxa"/>
            <w:vAlign w:val="center"/>
          </w:tcPr>
          <w:p w14:paraId="5350DC61">
            <w:pPr>
              <w:pStyle w:val="14"/>
            </w:pPr>
          </w:p>
        </w:tc>
        <w:tc>
          <w:tcPr>
            <w:tcW w:w="1474" w:type="dxa"/>
            <w:vAlign w:val="center"/>
          </w:tcPr>
          <w:p w14:paraId="5CE395EA">
            <w:pPr>
              <w:pStyle w:val="14"/>
            </w:pPr>
          </w:p>
        </w:tc>
        <w:tc>
          <w:tcPr>
            <w:tcW w:w="1474" w:type="dxa"/>
            <w:vAlign w:val="center"/>
          </w:tcPr>
          <w:p w14:paraId="2AC2F8D8">
            <w:pPr>
              <w:pStyle w:val="14"/>
            </w:pPr>
          </w:p>
        </w:tc>
      </w:tr>
      <w:tr w14:paraId="53E89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D3D0E">
            <w:pPr>
              <w:pStyle w:val="12"/>
            </w:pPr>
            <w:r>
              <w:t>21</w:t>
            </w:r>
          </w:p>
        </w:tc>
        <w:tc>
          <w:tcPr>
            <w:tcW w:w="3402" w:type="dxa"/>
            <w:vAlign w:val="center"/>
          </w:tcPr>
          <w:p w14:paraId="0D0506EC">
            <w:pPr>
              <w:pStyle w:val="13"/>
            </w:pPr>
          </w:p>
        </w:tc>
        <w:tc>
          <w:tcPr>
            <w:tcW w:w="1474" w:type="dxa"/>
            <w:vAlign w:val="center"/>
          </w:tcPr>
          <w:p w14:paraId="6BA54A51">
            <w:pPr>
              <w:pStyle w:val="14"/>
            </w:pPr>
          </w:p>
        </w:tc>
        <w:tc>
          <w:tcPr>
            <w:tcW w:w="3402" w:type="dxa"/>
            <w:vAlign w:val="center"/>
          </w:tcPr>
          <w:p w14:paraId="3AE49CC0">
            <w:pPr>
              <w:pStyle w:val="13"/>
            </w:pPr>
            <w:r>
              <w:t>二十一、粮油物资储备支出</w:t>
            </w:r>
          </w:p>
        </w:tc>
        <w:tc>
          <w:tcPr>
            <w:tcW w:w="1474" w:type="dxa"/>
            <w:vAlign w:val="center"/>
          </w:tcPr>
          <w:p w14:paraId="137B9E83">
            <w:pPr>
              <w:pStyle w:val="14"/>
            </w:pPr>
          </w:p>
        </w:tc>
        <w:tc>
          <w:tcPr>
            <w:tcW w:w="1474" w:type="dxa"/>
            <w:vAlign w:val="center"/>
          </w:tcPr>
          <w:p w14:paraId="4626C776">
            <w:pPr>
              <w:pStyle w:val="14"/>
            </w:pPr>
          </w:p>
        </w:tc>
        <w:tc>
          <w:tcPr>
            <w:tcW w:w="1474" w:type="dxa"/>
            <w:vAlign w:val="center"/>
          </w:tcPr>
          <w:p w14:paraId="06FB1DEB">
            <w:pPr>
              <w:pStyle w:val="14"/>
            </w:pPr>
          </w:p>
        </w:tc>
        <w:tc>
          <w:tcPr>
            <w:tcW w:w="1474" w:type="dxa"/>
            <w:vAlign w:val="center"/>
          </w:tcPr>
          <w:p w14:paraId="396A0FF3">
            <w:pPr>
              <w:pStyle w:val="14"/>
            </w:pPr>
          </w:p>
        </w:tc>
      </w:tr>
      <w:tr w14:paraId="3CB18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CB092">
            <w:pPr>
              <w:pStyle w:val="12"/>
            </w:pPr>
            <w:r>
              <w:t>22</w:t>
            </w:r>
          </w:p>
        </w:tc>
        <w:tc>
          <w:tcPr>
            <w:tcW w:w="3402" w:type="dxa"/>
            <w:vAlign w:val="center"/>
          </w:tcPr>
          <w:p w14:paraId="6E44342A">
            <w:pPr>
              <w:pStyle w:val="13"/>
            </w:pPr>
          </w:p>
        </w:tc>
        <w:tc>
          <w:tcPr>
            <w:tcW w:w="1474" w:type="dxa"/>
            <w:vAlign w:val="center"/>
          </w:tcPr>
          <w:p w14:paraId="16CBC407">
            <w:pPr>
              <w:pStyle w:val="14"/>
            </w:pPr>
          </w:p>
        </w:tc>
        <w:tc>
          <w:tcPr>
            <w:tcW w:w="3402" w:type="dxa"/>
            <w:vAlign w:val="center"/>
          </w:tcPr>
          <w:p w14:paraId="5064EB96">
            <w:pPr>
              <w:pStyle w:val="13"/>
            </w:pPr>
            <w:r>
              <w:t>二十二、国有资本经营预算支出</w:t>
            </w:r>
          </w:p>
        </w:tc>
        <w:tc>
          <w:tcPr>
            <w:tcW w:w="1474" w:type="dxa"/>
            <w:vAlign w:val="center"/>
          </w:tcPr>
          <w:p w14:paraId="64D6A742">
            <w:pPr>
              <w:pStyle w:val="14"/>
            </w:pPr>
          </w:p>
        </w:tc>
        <w:tc>
          <w:tcPr>
            <w:tcW w:w="1474" w:type="dxa"/>
            <w:vAlign w:val="center"/>
          </w:tcPr>
          <w:p w14:paraId="579097C4">
            <w:pPr>
              <w:pStyle w:val="14"/>
            </w:pPr>
          </w:p>
        </w:tc>
        <w:tc>
          <w:tcPr>
            <w:tcW w:w="1474" w:type="dxa"/>
            <w:vAlign w:val="center"/>
          </w:tcPr>
          <w:p w14:paraId="1EBC14E1">
            <w:pPr>
              <w:pStyle w:val="14"/>
            </w:pPr>
          </w:p>
        </w:tc>
        <w:tc>
          <w:tcPr>
            <w:tcW w:w="1474" w:type="dxa"/>
            <w:vAlign w:val="center"/>
          </w:tcPr>
          <w:p w14:paraId="07FECC55">
            <w:pPr>
              <w:pStyle w:val="14"/>
            </w:pPr>
          </w:p>
        </w:tc>
      </w:tr>
      <w:tr w14:paraId="4D3A7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A4C60">
            <w:pPr>
              <w:pStyle w:val="12"/>
            </w:pPr>
            <w:r>
              <w:t>23</w:t>
            </w:r>
          </w:p>
        </w:tc>
        <w:tc>
          <w:tcPr>
            <w:tcW w:w="3402" w:type="dxa"/>
            <w:vAlign w:val="center"/>
          </w:tcPr>
          <w:p w14:paraId="560E9EF0">
            <w:pPr>
              <w:pStyle w:val="13"/>
            </w:pPr>
          </w:p>
        </w:tc>
        <w:tc>
          <w:tcPr>
            <w:tcW w:w="1474" w:type="dxa"/>
            <w:vAlign w:val="center"/>
          </w:tcPr>
          <w:p w14:paraId="0A4A04DF">
            <w:pPr>
              <w:pStyle w:val="14"/>
            </w:pPr>
          </w:p>
        </w:tc>
        <w:tc>
          <w:tcPr>
            <w:tcW w:w="3402" w:type="dxa"/>
            <w:vAlign w:val="center"/>
          </w:tcPr>
          <w:p w14:paraId="2011DAF0">
            <w:pPr>
              <w:pStyle w:val="13"/>
            </w:pPr>
            <w:r>
              <w:t>二十三、灾害防治及应急管理支出</w:t>
            </w:r>
          </w:p>
        </w:tc>
        <w:tc>
          <w:tcPr>
            <w:tcW w:w="1474" w:type="dxa"/>
            <w:vAlign w:val="center"/>
          </w:tcPr>
          <w:p w14:paraId="3937C472">
            <w:pPr>
              <w:pStyle w:val="14"/>
            </w:pPr>
          </w:p>
        </w:tc>
        <w:tc>
          <w:tcPr>
            <w:tcW w:w="1474" w:type="dxa"/>
            <w:vAlign w:val="center"/>
          </w:tcPr>
          <w:p w14:paraId="7F0B3B11">
            <w:pPr>
              <w:pStyle w:val="14"/>
            </w:pPr>
          </w:p>
        </w:tc>
        <w:tc>
          <w:tcPr>
            <w:tcW w:w="1474" w:type="dxa"/>
            <w:vAlign w:val="center"/>
          </w:tcPr>
          <w:p w14:paraId="27439C43">
            <w:pPr>
              <w:pStyle w:val="14"/>
            </w:pPr>
          </w:p>
        </w:tc>
        <w:tc>
          <w:tcPr>
            <w:tcW w:w="1474" w:type="dxa"/>
            <w:vAlign w:val="center"/>
          </w:tcPr>
          <w:p w14:paraId="1FB64F4B">
            <w:pPr>
              <w:pStyle w:val="14"/>
            </w:pPr>
          </w:p>
        </w:tc>
      </w:tr>
      <w:tr w14:paraId="0DE97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1EF94">
            <w:pPr>
              <w:pStyle w:val="12"/>
            </w:pPr>
            <w:r>
              <w:t>24</w:t>
            </w:r>
          </w:p>
        </w:tc>
        <w:tc>
          <w:tcPr>
            <w:tcW w:w="3402" w:type="dxa"/>
            <w:vAlign w:val="center"/>
          </w:tcPr>
          <w:p w14:paraId="33684271">
            <w:pPr>
              <w:pStyle w:val="13"/>
            </w:pPr>
          </w:p>
        </w:tc>
        <w:tc>
          <w:tcPr>
            <w:tcW w:w="1474" w:type="dxa"/>
            <w:vAlign w:val="center"/>
          </w:tcPr>
          <w:p w14:paraId="76C40523">
            <w:pPr>
              <w:pStyle w:val="14"/>
            </w:pPr>
          </w:p>
        </w:tc>
        <w:tc>
          <w:tcPr>
            <w:tcW w:w="3402" w:type="dxa"/>
            <w:vAlign w:val="center"/>
          </w:tcPr>
          <w:p w14:paraId="2F084C6E">
            <w:pPr>
              <w:pStyle w:val="13"/>
            </w:pPr>
            <w:r>
              <w:t>二十四、预备费</w:t>
            </w:r>
          </w:p>
        </w:tc>
        <w:tc>
          <w:tcPr>
            <w:tcW w:w="1474" w:type="dxa"/>
            <w:vAlign w:val="center"/>
          </w:tcPr>
          <w:p w14:paraId="63CFD60A">
            <w:pPr>
              <w:pStyle w:val="14"/>
            </w:pPr>
          </w:p>
        </w:tc>
        <w:tc>
          <w:tcPr>
            <w:tcW w:w="1474" w:type="dxa"/>
            <w:vAlign w:val="center"/>
          </w:tcPr>
          <w:p w14:paraId="1AA3B94D">
            <w:pPr>
              <w:pStyle w:val="14"/>
            </w:pPr>
          </w:p>
        </w:tc>
        <w:tc>
          <w:tcPr>
            <w:tcW w:w="1474" w:type="dxa"/>
            <w:vAlign w:val="center"/>
          </w:tcPr>
          <w:p w14:paraId="5C364326">
            <w:pPr>
              <w:pStyle w:val="14"/>
            </w:pPr>
          </w:p>
        </w:tc>
        <w:tc>
          <w:tcPr>
            <w:tcW w:w="1474" w:type="dxa"/>
            <w:vAlign w:val="center"/>
          </w:tcPr>
          <w:p w14:paraId="1288E24E">
            <w:pPr>
              <w:pStyle w:val="14"/>
            </w:pPr>
          </w:p>
        </w:tc>
      </w:tr>
      <w:tr w14:paraId="5378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560D7">
            <w:pPr>
              <w:pStyle w:val="12"/>
            </w:pPr>
            <w:r>
              <w:t>25</w:t>
            </w:r>
          </w:p>
        </w:tc>
        <w:tc>
          <w:tcPr>
            <w:tcW w:w="3402" w:type="dxa"/>
            <w:vAlign w:val="center"/>
          </w:tcPr>
          <w:p w14:paraId="7EFB20B6">
            <w:pPr>
              <w:pStyle w:val="13"/>
            </w:pPr>
          </w:p>
        </w:tc>
        <w:tc>
          <w:tcPr>
            <w:tcW w:w="1474" w:type="dxa"/>
            <w:vAlign w:val="center"/>
          </w:tcPr>
          <w:p w14:paraId="06235235">
            <w:pPr>
              <w:pStyle w:val="14"/>
            </w:pPr>
          </w:p>
        </w:tc>
        <w:tc>
          <w:tcPr>
            <w:tcW w:w="3402" w:type="dxa"/>
            <w:vAlign w:val="center"/>
          </w:tcPr>
          <w:p w14:paraId="053DB405">
            <w:pPr>
              <w:pStyle w:val="13"/>
            </w:pPr>
            <w:r>
              <w:t>二十五、其他支出</w:t>
            </w:r>
          </w:p>
        </w:tc>
        <w:tc>
          <w:tcPr>
            <w:tcW w:w="1474" w:type="dxa"/>
            <w:vAlign w:val="center"/>
          </w:tcPr>
          <w:p w14:paraId="2288E393">
            <w:pPr>
              <w:pStyle w:val="14"/>
            </w:pPr>
          </w:p>
        </w:tc>
        <w:tc>
          <w:tcPr>
            <w:tcW w:w="1474" w:type="dxa"/>
            <w:vAlign w:val="center"/>
          </w:tcPr>
          <w:p w14:paraId="538DB587">
            <w:pPr>
              <w:pStyle w:val="14"/>
            </w:pPr>
          </w:p>
        </w:tc>
        <w:tc>
          <w:tcPr>
            <w:tcW w:w="1474" w:type="dxa"/>
            <w:vAlign w:val="center"/>
          </w:tcPr>
          <w:p w14:paraId="26825813">
            <w:pPr>
              <w:pStyle w:val="14"/>
            </w:pPr>
          </w:p>
        </w:tc>
        <w:tc>
          <w:tcPr>
            <w:tcW w:w="1474" w:type="dxa"/>
            <w:vAlign w:val="center"/>
          </w:tcPr>
          <w:p w14:paraId="554CC29C">
            <w:pPr>
              <w:pStyle w:val="14"/>
            </w:pPr>
          </w:p>
        </w:tc>
      </w:tr>
      <w:tr w14:paraId="5AA32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4045E">
            <w:pPr>
              <w:pStyle w:val="12"/>
            </w:pPr>
            <w:r>
              <w:t>26</w:t>
            </w:r>
          </w:p>
        </w:tc>
        <w:tc>
          <w:tcPr>
            <w:tcW w:w="3402" w:type="dxa"/>
            <w:vAlign w:val="center"/>
          </w:tcPr>
          <w:p w14:paraId="679ED207">
            <w:pPr>
              <w:pStyle w:val="13"/>
            </w:pPr>
          </w:p>
        </w:tc>
        <w:tc>
          <w:tcPr>
            <w:tcW w:w="1474" w:type="dxa"/>
            <w:vAlign w:val="center"/>
          </w:tcPr>
          <w:p w14:paraId="0B974D9D">
            <w:pPr>
              <w:pStyle w:val="14"/>
            </w:pPr>
          </w:p>
        </w:tc>
        <w:tc>
          <w:tcPr>
            <w:tcW w:w="3402" w:type="dxa"/>
            <w:vAlign w:val="center"/>
          </w:tcPr>
          <w:p w14:paraId="52F93F77">
            <w:pPr>
              <w:pStyle w:val="13"/>
            </w:pPr>
            <w:r>
              <w:t>二十六、转移性支出</w:t>
            </w:r>
          </w:p>
        </w:tc>
        <w:tc>
          <w:tcPr>
            <w:tcW w:w="1474" w:type="dxa"/>
            <w:vAlign w:val="center"/>
          </w:tcPr>
          <w:p w14:paraId="1B754584">
            <w:pPr>
              <w:pStyle w:val="14"/>
            </w:pPr>
          </w:p>
        </w:tc>
        <w:tc>
          <w:tcPr>
            <w:tcW w:w="1474" w:type="dxa"/>
            <w:vAlign w:val="center"/>
          </w:tcPr>
          <w:p w14:paraId="6A665746">
            <w:pPr>
              <w:pStyle w:val="14"/>
            </w:pPr>
          </w:p>
        </w:tc>
        <w:tc>
          <w:tcPr>
            <w:tcW w:w="1474" w:type="dxa"/>
            <w:vAlign w:val="center"/>
          </w:tcPr>
          <w:p w14:paraId="2B309E28">
            <w:pPr>
              <w:pStyle w:val="14"/>
            </w:pPr>
          </w:p>
        </w:tc>
        <w:tc>
          <w:tcPr>
            <w:tcW w:w="1474" w:type="dxa"/>
            <w:vAlign w:val="center"/>
          </w:tcPr>
          <w:p w14:paraId="342B1B42">
            <w:pPr>
              <w:pStyle w:val="14"/>
            </w:pPr>
          </w:p>
        </w:tc>
      </w:tr>
      <w:tr w14:paraId="203A4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258D0">
            <w:pPr>
              <w:pStyle w:val="12"/>
            </w:pPr>
            <w:r>
              <w:t>27</w:t>
            </w:r>
          </w:p>
        </w:tc>
        <w:tc>
          <w:tcPr>
            <w:tcW w:w="3402" w:type="dxa"/>
            <w:vAlign w:val="center"/>
          </w:tcPr>
          <w:p w14:paraId="1F4D3247">
            <w:pPr>
              <w:pStyle w:val="13"/>
            </w:pPr>
          </w:p>
        </w:tc>
        <w:tc>
          <w:tcPr>
            <w:tcW w:w="1474" w:type="dxa"/>
            <w:vAlign w:val="center"/>
          </w:tcPr>
          <w:p w14:paraId="4124D605">
            <w:pPr>
              <w:pStyle w:val="14"/>
            </w:pPr>
          </w:p>
        </w:tc>
        <w:tc>
          <w:tcPr>
            <w:tcW w:w="3402" w:type="dxa"/>
            <w:vAlign w:val="center"/>
          </w:tcPr>
          <w:p w14:paraId="61B0CD8C">
            <w:pPr>
              <w:pStyle w:val="13"/>
            </w:pPr>
            <w:r>
              <w:t>二十七、债务还本支出</w:t>
            </w:r>
          </w:p>
        </w:tc>
        <w:tc>
          <w:tcPr>
            <w:tcW w:w="1474" w:type="dxa"/>
            <w:vAlign w:val="center"/>
          </w:tcPr>
          <w:p w14:paraId="0E5AAF97">
            <w:pPr>
              <w:pStyle w:val="14"/>
            </w:pPr>
          </w:p>
        </w:tc>
        <w:tc>
          <w:tcPr>
            <w:tcW w:w="1474" w:type="dxa"/>
            <w:vAlign w:val="center"/>
          </w:tcPr>
          <w:p w14:paraId="4AC4EA4F">
            <w:pPr>
              <w:pStyle w:val="14"/>
            </w:pPr>
          </w:p>
        </w:tc>
        <w:tc>
          <w:tcPr>
            <w:tcW w:w="1474" w:type="dxa"/>
            <w:vAlign w:val="center"/>
          </w:tcPr>
          <w:p w14:paraId="7B3DCC12">
            <w:pPr>
              <w:pStyle w:val="14"/>
            </w:pPr>
          </w:p>
        </w:tc>
        <w:tc>
          <w:tcPr>
            <w:tcW w:w="1474" w:type="dxa"/>
            <w:vAlign w:val="center"/>
          </w:tcPr>
          <w:p w14:paraId="4E505ED3">
            <w:pPr>
              <w:pStyle w:val="14"/>
            </w:pPr>
          </w:p>
        </w:tc>
      </w:tr>
      <w:tr w14:paraId="7F992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2B355">
            <w:pPr>
              <w:pStyle w:val="12"/>
            </w:pPr>
            <w:r>
              <w:t>28</w:t>
            </w:r>
          </w:p>
        </w:tc>
        <w:tc>
          <w:tcPr>
            <w:tcW w:w="3402" w:type="dxa"/>
            <w:vAlign w:val="center"/>
          </w:tcPr>
          <w:p w14:paraId="60A755FB">
            <w:pPr>
              <w:pStyle w:val="13"/>
            </w:pPr>
          </w:p>
        </w:tc>
        <w:tc>
          <w:tcPr>
            <w:tcW w:w="1474" w:type="dxa"/>
            <w:vAlign w:val="center"/>
          </w:tcPr>
          <w:p w14:paraId="4ABEB335">
            <w:pPr>
              <w:pStyle w:val="14"/>
            </w:pPr>
          </w:p>
        </w:tc>
        <w:tc>
          <w:tcPr>
            <w:tcW w:w="3402" w:type="dxa"/>
            <w:vAlign w:val="center"/>
          </w:tcPr>
          <w:p w14:paraId="6F0BA23A">
            <w:pPr>
              <w:pStyle w:val="13"/>
            </w:pPr>
            <w:r>
              <w:t>二十八、债务付息支出</w:t>
            </w:r>
          </w:p>
        </w:tc>
        <w:tc>
          <w:tcPr>
            <w:tcW w:w="1474" w:type="dxa"/>
            <w:vAlign w:val="center"/>
          </w:tcPr>
          <w:p w14:paraId="50AA163B">
            <w:pPr>
              <w:pStyle w:val="14"/>
            </w:pPr>
          </w:p>
        </w:tc>
        <w:tc>
          <w:tcPr>
            <w:tcW w:w="1474" w:type="dxa"/>
            <w:vAlign w:val="center"/>
          </w:tcPr>
          <w:p w14:paraId="1F41FF97">
            <w:pPr>
              <w:pStyle w:val="14"/>
            </w:pPr>
          </w:p>
        </w:tc>
        <w:tc>
          <w:tcPr>
            <w:tcW w:w="1474" w:type="dxa"/>
            <w:vAlign w:val="center"/>
          </w:tcPr>
          <w:p w14:paraId="403DED34">
            <w:pPr>
              <w:pStyle w:val="14"/>
            </w:pPr>
          </w:p>
        </w:tc>
        <w:tc>
          <w:tcPr>
            <w:tcW w:w="1474" w:type="dxa"/>
            <w:vAlign w:val="center"/>
          </w:tcPr>
          <w:p w14:paraId="05017D49">
            <w:pPr>
              <w:pStyle w:val="14"/>
            </w:pPr>
          </w:p>
        </w:tc>
      </w:tr>
      <w:tr w14:paraId="0D22F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BACD5">
            <w:pPr>
              <w:pStyle w:val="12"/>
            </w:pPr>
            <w:r>
              <w:t>29</w:t>
            </w:r>
          </w:p>
        </w:tc>
        <w:tc>
          <w:tcPr>
            <w:tcW w:w="3402" w:type="dxa"/>
            <w:vAlign w:val="center"/>
          </w:tcPr>
          <w:p w14:paraId="19B83072">
            <w:pPr>
              <w:pStyle w:val="13"/>
            </w:pPr>
          </w:p>
        </w:tc>
        <w:tc>
          <w:tcPr>
            <w:tcW w:w="1474" w:type="dxa"/>
            <w:vAlign w:val="center"/>
          </w:tcPr>
          <w:p w14:paraId="6B893F4A">
            <w:pPr>
              <w:pStyle w:val="14"/>
            </w:pPr>
          </w:p>
        </w:tc>
        <w:tc>
          <w:tcPr>
            <w:tcW w:w="3402" w:type="dxa"/>
            <w:vAlign w:val="center"/>
          </w:tcPr>
          <w:p w14:paraId="0E58A42E">
            <w:pPr>
              <w:pStyle w:val="13"/>
            </w:pPr>
            <w:r>
              <w:t>二十九、债务发行费用支出</w:t>
            </w:r>
          </w:p>
        </w:tc>
        <w:tc>
          <w:tcPr>
            <w:tcW w:w="1474" w:type="dxa"/>
            <w:vAlign w:val="center"/>
          </w:tcPr>
          <w:p w14:paraId="5BC549FB">
            <w:pPr>
              <w:pStyle w:val="14"/>
            </w:pPr>
          </w:p>
        </w:tc>
        <w:tc>
          <w:tcPr>
            <w:tcW w:w="1474" w:type="dxa"/>
            <w:vAlign w:val="center"/>
          </w:tcPr>
          <w:p w14:paraId="29E84E69">
            <w:pPr>
              <w:pStyle w:val="14"/>
            </w:pPr>
          </w:p>
        </w:tc>
        <w:tc>
          <w:tcPr>
            <w:tcW w:w="1474" w:type="dxa"/>
            <w:vAlign w:val="center"/>
          </w:tcPr>
          <w:p w14:paraId="7F250F50">
            <w:pPr>
              <w:pStyle w:val="14"/>
            </w:pPr>
          </w:p>
        </w:tc>
        <w:tc>
          <w:tcPr>
            <w:tcW w:w="1474" w:type="dxa"/>
            <w:vAlign w:val="center"/>
          </w:tcPr>
          <w:p w14:paraId="22BD36CB">
            <w:pPr>
              <w:pStyle w:val="14"/>
            </w:pPr>
          </w:p>
        </w:tc>
      </w:tr>
      <w:tr w14:paraId="5F018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3A6D4">
            <w:pPr>
              <w:pStyle w:val="12"/>
            </w:pPr>
            <w:r>
              <w:t>30</w:t>
            </w:r>
          </w:p>
        </w:tc>
        <w:tc>
          <w:tcPr>
            <w:tcW w:w="3402" w:type="dxa"/>
            <w:vAlign w:val="center"/>
          </w:tcPr>
          <w:p w14:paraId="0FD90375">
            <w:pPr>
              <w:pStyle w:val="13"/>
            </w:pPr>
          </w:p>
        </w:tc>
        <w:tc>
          <w:tcPr>
            <w:tcW w:w="1474" w:type="dxa"/>
            <w:vAlign w:val="center"/>
          </w:tcPr>
          <w:p w14:paraId="76BB40EE">
            <w:pPr>
              <w:pStyle w:val="14"/>
            </w:pPr>
          </w:p>
        </w:tc>
        <w:tc>
          <w:tcPr>
            <w:tcW w:w="3402" w:type="dxa"/>
            <w:vAlign w:val="center"/>
          </w:tcPr>
          <w:p w14:paraId="110EF5E7">
            <w:pPr>
              <w:pStyle w:val="13"/>
            </w:pPr>
            <w:r>
              <w:t>三十、抗疫特别国债安排的支出</w:t>
            </w:r>
          </w:p>
        </w:tc>
        <w:tc>
          <w:tcPr>
            <w:tcW w:w="1474" w:type="dxa"/>
            <w:vAlign w:val="center"/>
          </w:tcPr>
          <w:p w14:paraId="79548525">
            <w:pPr>
              <w:pStyle w:val="14"/>
            </w:pPr>
          </w:p>
        </w:tc>
        <w:tc>
          <w:tcPr>
            <w:tcW w:w="1474" w:type="dxa"/>
            <w:vAlign w:val="center"/>
          </w:tcPr>
          <w:p w14:paraId="00E855F7">
            <w:pPr>
              <w:pStyle w:val="14"/>
            </w:pPr>
          </w:p>
        </w:tc>
        <w:tc>
          <w:tcPr>
            <w:tcW w:w="1474" w:type="dxa"/>
            <w:vAlign w:val="center"/>
          </w:tcPr>
          <w:p w14:paraId="7E8DD9E4">
            <w:pPr>
              <w:pStyle w:val="14"/>
            </w:pPr>
          </w:p>
        </w:tc>
        <w:tc>
          <w:tcPr>
            <w:tcW w:w="1474" w:type="dxa"/>
            <w:vAlign w:val="center"/>
          </w:tcPr>
          <w:p w14:paraId="0439B985">
            <w:pPr>
              <w:pStyle w:val="14"/>
            </w:pPr>
          </w:p>
        </w:tc>
      </w:tr>
      <w:tr w14:paraId="7804D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BB463">
            <w:pPr>
              <w:pStyle w:val="12"/>
            </w:pPr>
            <w:r>
              <w:t>31</w:t>
            </w:r>
          </w:p>
        </w:tc>
        <w:tc>
          <w:tcPr>
            <w:tcW w:w="3402" w:type="dxa"/>
            <w:vAlign w:val="center"/>
          </w:tcPr>
          <w:p w14:paraId="0B937477">
            <w:pPr>
              <w:pStyle w:val="13"/>
            </w:pPr>
          </w:p>
        </w:tc>
        <w:tc>
          <w:tcPr>
            <w:tcW w:w="1474" w:type="dxa"/>
            <w:vAlign w:val="center"/>
          </w:tcPr>
          <w:p w14:paraId="706BC231">
            <w:pPr>
              <w:pStyle w:val="14"/>
            </w:pPr>
          </w:p>
        </w:tc>
        <w:tc>
          <w:tcPr>
            <w:tcW w:w="3402" w:type="dxa"/>
            <w:vAlign w:val="center"/>
          </w:tcPr>
          <w:p w14:paraId="0E3B3427">
            <w:pPr>
              <w:pStyle w:val="13"/>
            </w:pPr>
            <w:r>
              <w:t>三十一、人行科目</w:t>
            </w:r>
          </w:p>
        </w:tc>
        <w:tc>
          <w:tcPr>
            <w:tcW w:w="1474" w:type="dxa"/>
            <w:vAlign w:val="center"/>
          </w:tcPr>
          <w:p w14:paraId="5E99FFC6">
            <w:pPr>
              <w:pStyle w:val="14"/>
            </w:pPr>
          </w:p>
        </w:tc>
        <w:tc>
          <w:tcPr>
            <w:tcW w:w="1474" w:type="dxa"/>
            <w:vAlign w:val="center"/>
          </w:tcPr>
          <w:p w14:paraId="65E1F65E">
            <w:pPr>
              <w:pStyle w:val="14"/>
            </w:pPr>
          </w:p>
        </w:tc>
        <w:tc>
          <w:tcPr>
            <w:tcW w:w="1474" w:type="dxa"/>
            <w:vAlign w:val="center"/>
          </w:tcPr>
          <w:p w14:paraId="4B02BCC4">
            <w:pPr>
              <w:pStyle w:val="14"/>
            </w:pPr>
          </w:p>
        </w:tc>
        <w:tc>
          <w:tcPr>
            <w:tcW w:w="1474" w:type="dxa"/>
            <w:vAlign w:val="center"/>
          </w:tcPr>
          <w:p w14:paraId="75DA812F">
            <w:pPr>
              <w:pStyle w:val="14"/>
            </w:pPr>
          </w:p>
        </w:tc>
      </w:tr>
      <w:tr w14:paraId="1C7E7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967BE">
            <w:pPr>
              <w:pStyle w:val="12"/>
            </w:pPr>
            <w:r>
              <w:t>32</w:t>
            </w:r>
          </w:p>
        </w:tc>
        <w:tc>
          <w:tcPr>
            <w:tcW w:w="3402" w:type="dxa"/>
            <w:vAlign w:val="center"/>
          </w:tcPr>
          <w:p w14:paraId="7593CDAB">
            <w:pPr>
              <w:pStyle w:val="15"/>
            </w:pPr>
            <w:r>
              <w:t>本年收入合计</w:t>
            </w:r>
          </w:p>
        </w:tc>
        <w:tc>
          <w:tcPr>
            <w:tcW w:w="1474" w:type="dxa"/>
            <w:vAlign w:val="center"/>
          </w:tcPr>
          <w:p w14:paraId="4A17A153">
            <w:pPr>
              <w:pStyle w:val="16"/>
            </w:pPr>
            <w:r>
              <w:t>3029.02</w:t>
            </w:r>
          </w:p>
        </w:tc>
        <w:tc>
          <w:tcPr>
            <w:tcW w:w="3402" w:type="dxa"/>
            <w:vAlign w:val="center"/>
          </w:tcPr>
          <w:p w14:paraId="5E8B1E10">
            <w:pPr>
              <w:pStyle w:val="15"/>
            </w:pPr>
            <w:r>
              <w:t>本年支出合计</w:t>
            </w:r>
          </w:p>
        </w:tc>
        <w:tc>
          <w:tcPr>
            <w:tcW w:w="1474" w:type="dxa"/>
            <w:vAlign w:val="center"/>
          </w:tcPr>
          <w:p w14:paraId="132C1B6E">
            <w:pPr>
              <w:pStyle w:val="16"/>
            </w:pPr>
            <w:r>
              <w:t>3029.02</w:t>
            </w:r>
          </w:p>
        </w:tc>
        <w:tc>
          <w:tcPr>
            <w:tcW w:w="1474" w:type="dxa"/>
            <w:vAlign w:val="center"/>
          </w:tcPr>
          <w:p w14:paraId="674A30A8">
            <w:pPr>
              <w:pStyle w:val="16"/>
            </w:pPr>
            <w:r>
              <w:t>3029.02</w:t>
            </w:r>
          </w:p>
        </w:tc>
        <w:tc>
          <w:tcPr>
            <w:tcW w:w="1474" w:type="dxa"/>
            <w:vAlign w:val="center"/>
          </w:tcPr>
          <w:p w14:paraId="6B2C2CD7">
            <w:pPr>
              <w:pStyle w:val="16"/>
            </w:pPr>
          </w:p>
        </w:tc>
        <w:tc>
          <w:tcPr>
            <w:tcW w:w="1474" w:type="dxa"/>
            <w:vAlign w:val="center"/>
          </w:tcPr>
          <w:p w14:paraId="0E202A72">
            <w:pPr>
              <w:pStyle w:val="16"/>
            </w:pPr>
          </w:p>
        </w:tc>
      </w:tr>
      <w:tr w14:paraId="27438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ACA8F">
            <w:pPr>
              <w:pStyle w:val="12"/>
            </w:pPr>
            <w:r>
              <w:t>33</w:t>
            </w:r>
          </w:p>
        </w:tc>
        <w:tc>
          <w:tcPr>
            <w:tcW w:w="3402" w:type="dxa"/>
            <w:vAlign w:val="center"/>
          </w:tcPr>
          <w:p w14:paraId="7C159AD3">
            <w:pPr>
              <w:pStyle w:val="13"/>
            </w:pPr>
            <w:r>
              <w:t>年初财政拨款结转和结余</w:t>
            </w:r>
          </w:p>
        </w:tc>
        <w:tc>
          <w:tcPr>
            <w:tcW w:w="1474" w:type="dxa"/>
            <w:vAlign w:val="center"/>
          </w:tcPr>
          <w:p w14:paraId="006211EB">
            <w:pPr>
              <w:pStyle w:val="14"/>
            </w:pPr>
          </w:p>
        </w:tc>
        <w:tc>
          <w:tcPr>
            <w:tcW w:w="3402" w:type="dxa"/>
            <w:vAlign w:val="center"/>
          </w:tcPr>
          <w:p w14:paraId="5B458B78">
            <w:pPr>
              <w:pStyle w:val="13"/>
            </w:pPr>
            <w:r>
              <w:t>年末财政拨款结转和结余</w:t>
            </w:r>
          </w:p>
        </w:tc>
        <w:tc>
          <w:tcPr>
            <w:tcW w:w="1474" w:type="dxa"/>
            <w:vAlign w:val="center"/>
          </w:tcPr>
          <w:p w14:paraId="4DC00ACD">
            <w:pPr>
              <w:pStyle w:val="14"/>
            </w:pPr>
          </w:p>
        </w:tc>
        <w:tc>
          <w:tcPr>
            <w:tcW w:w="1474" w:type="dxa"/>
            <w:vAlign w:val="center"/>
          </w:tcPr>
          <w:p w14:paraId="0C59F2E4">
            <w:pPr>
              <w:pStyle w:val="14"/>
            </w:pPr>
          </w:p>
        </w:tc>
        <w:tc>
          <w:tcPr>
            <w:tcW w:w="1474" w:type="dxa"/>
            <w:vAlign w:val="center"/>
          </w:tcPr>
          <w:p w14:paraId="721306A5">
            <w:pPr>
              <w:pStyle w:val="14"/>
            </w:pPr>
          </w:p>
        </w:tc>
        <w:tc>
          <w:tcPr>
            <w:tcW w:w="1474" w:type="dxa"/>
            <w:vAlign w:val="center"/>
          </w:tcPr>
          <w:p w14:paraId="0CF4FE72">
            <w:pPr>
              <w:pStyle w:val="14"/>
            </w:pPr>
          </w:p>
        </w:tc>
      </w:tr>
      <w:tr w14:paraId="0139F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CA8C9">
            <w:pPr>
              <w:pStyle w:val="12"/>
            </w:pPr>
            <w:r>
              <w:t>34</w:t>
            </w:r>
          </w:p>
        </w:tc>
        <w:tc>
          <w:tcPr>
            <w:tcW w:w="3402" w:type="dxa"/>
            <w:vAlign w:val="center"/>
          </w:tcPr>
          <w:p w14:paraId="37226AB3">
            <w:pPr>
              <w:pStyle w:val="13"/>
            </w:pPr>
            <w:r>
              <w:t>一、一般公共预算拨款</w:t>
            </w:r>
          </w:p>
        </w:tc>
        <w:tc>
          <w:tcPr>
            <w:tcW w:w="1474" w:type="dxa"/>
            <w:vAlign w:val="center"/>
          </w:tcPr>
          <w:p w14:paraId="3A819FE3">
            <w:pPr>
              <w:pStyle w:val="14"/>
            </w:pPr>
          </w:p>
        </w:tc>
        <w:tc>
          <w:tcPr>
            <w:tcW w:w="3402" w:type="dxa"/>
            <w:vAlign w:val="center"/>
          </w:tcPr>
          <w:p w14:paraId="493637A1">
            <w:pPr>
              <w:pStyle w:val="13"/>
            </w:pPr>
          </w:p>
        </w:tc>
        <w:tc>
          <w:tcPr>
            <w:tcW w:w="1474" w:type="dxa"/>
            <w:vAlign w:val="center"/>
          </w:tcPr>
          <w:p w14:paraId="22D2A00A">
            <w:pPr>
              <w:pStyle w:val="14"/>
            </w:pPr>
          </w:p>
        </w:tc>
        <w:tc>
          <w:tcPr>
            <w:tcW w:w="1474" w:type="dxa"/>
            <w:vAlign w:val="center"/>
          </w:tcPr>
          <w:p w14:paraId="2148C16F">
            <w:pPr>
              <w:pStyle w:val="14"/>
            </w:pPr>
          </w:p>
        </w:tc>
        <w:tc>
          <w:tcPr>
            <w:tcW w:w="1474" w:type="dxa"/>
            <w:vAlign w:val="center"/>
          </w:tcPr>
          <w:p w14:paraId="5C61A4A2">
            <w:pPr>
              <w:pStyle w:val="14"/>
            </w:pPr>
          </w:p>
        </w:tc>
        <w:tc>
          <w:tcPr>
            <w:tcW w:w="1474" w:type="dxa"/>
            <w:vAlign w:val="center"/>
          </w:tcPr>
          <w:p w14:paraId="19346CAD">
            <w:pPr>
              <w:pStyle w:val="14"/>
            </w:pPr>
          </w:p>
        </w:tc>
      </w:tr>
      <w:tr w14:paraId="60672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413B6">
            <w:pPr>
              <w:pStyle w:val="12"/>
            </w:pPr>
            <w:r>
              <w:t>35</w:t>
            </w:r>
          </w:p>
        </w:tc>
        <w:tc>
          <w:tcPr>
            <w:tcW w:w="3402" w:type="dxa"/>
            <w:vAlign w:val="center"/>
          </w:tcPr>
          <w:p w14:paraId="372E7B6C">
            <w:pPr>
              <w:pStyle w:val="13"/>
            </w:pPr>
            <w:r>
              <w:t>二、政府性基金预算拨款</w:t>
            </w:r>
          </w:p>
        </w:tc>
        <w:tc>
          <w:tcPr>
            <w:tcW w:w="1474" w:type="dxa"/>
            <w:vAlign w:val="center"/>
          </w:tcPr>
          <w:p w14:paraId="6ACBD3B7">
            <w:pPr>
              <w:pStyle w:val="14"/>
            </w:pPr>
          </w:p>
        </w:tc>
        <w:tc>
          <w:tcPr>
            <w:tcW w:w="3402" w:type="dxa"/>
            <w:vAlign w:val="center"/>
          </w:tcPr>
          <w:p w14:paraId="7C355FAC">
            <w:pPr>
              <w:pStyle w:val="13"/>
            </w:pPr>
          </w:p>
        </w:tc>
        <w:tc>
          <w:tcPr>
            <w:tcW w:w="1474" w:type="dxa"/>
            <w:vAlign w:val="center"/>
          </w:tcPr>
          <w:p w14:paraId="6B944CDC">
            <w:pPr>
              <w:pStyle w:val="14"/>
            </w:pPr>
          </w:p>
        </w:tc>
        <w:tc>
          <w:tcPr>
            <w:tcW w:w="1474" w:type="dxa"/>
            <w:vAlign w:val="center"/>
          </w:tcPr>
          <w:p w14:paraId="13114590">
            <w:pPr>
              <w:pStyle w:val="14"/>
            </w:pPr>
          </w:p>
        </w:tc>
        <w:tc>
          <w:tcPr>
            <w:tcW w:w="1474" w:type="dxa"/>
            <w:vAlign w:val="center"/>
          </w:tcPr>
          <w:p w14:paraId="4288A4E6">
            <w:pPr>
              <w:pStyle w:val="14"/>
            </w:pPr>
          </w:p>
        </w:tc>
        <w:tc>
          <w:tcPr>
            <w:tcW w:w="1474" w:type="dxa"/>
            <w:vAlign w:val="center"/>
          </w:tcPr>
          <w:p w14:paraId="36955201">
            <w:pPr>
              <w:pStyle w:val="14"/>
            </w:pPr>
          </w:p>
        </w:tc>
      </w:tr>
      <w:tr w14:paraId="254CA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E64D5">
            <w:pPr>
              <w:pStyle w:val="12"/>
            </w:pPr>
            <w:r>
              <w:t>36</w:t>
            </w:r>
          </w:p>
        </w:tc>
        <w:tc>
          <w:tcPr>
            <w:tcW w:w="3402" w:type="dxa"/>
            <w:vAlign w:val="center"/>
          </w:tcPr>
          <w:p w14:paraId="50DFAF68">
            <w:pPr>
              <w:pStyle w:val="13"/>
            </w:pPr>
            <w:r>
              <w:t>三、国有资本经营预算拨款</w:t>
            </w:r>
          </w:p>
        </w:tc>
        <w:tc>
          <w:tcPr>
            <w:tcW w:w="1474" w:type="dxa"/>
            <w:vAlign w:val="center"/>
          </w:tcPr>
          <w:p w14:paraId="79716777">
            <w:pPr>
              <w:pStyle w:val="14"/>
            </w:pPr>
          </w:p>
        </w:tc>
        <w:tc>
          <w:tcPr>
            <w:tcW w:w="3402" w:type="dxa"/>
            <w:vAlign w:val="center"/>
          </w:tcPr>
          <w:p w14:paraId="2620921D">
            <w:pPr>
              <w:pStyle w:val="13"/>
            </w:pPr>
          </w:p>
        </w:tc>
        <w:tc>
          <w:tcPr>
            <w:tcW w:w="1474" w:type="dxa"/>
            <w:vAlign w:val="center"/>
          </w:tcPr>
          <w:p w14:paraId="3A786391">
            <w:pPr>
              <w:pStyle w:val="14"/>
            </w:pPr>
          </w:p>
        </w:tc>
        <w:tc>
          <w:tcPr>
            <w:tcW w:w="1474" w:type="dxa"/>
            <w:vAlign w:val="center"/>
          </w:tcPr>
          <w:p w14:paraId="682A7C51">
            <w:pPr>
              <w:pStyle w:val="14"/>
            </w:pPr>
          </w:p>
        </w:tc>
        <w:tc>
          <w:tcPr>
            <w:tcW w:w="1474" w:type="dxa"/>
            <w:vAlign w:val="center"/>
          </w:tcPr>
          <w:p w14:paraId="1F9D8B8F">
            <w:pPr>
              <w:pStyle w:val="14"/>
            </w:pPr>
          </w:p>
        </w:tc>
        <w:tc>
          <w:tcPr>
            <w:tcW w:w="1474" w:type="dxa"/>
            <w:vAlign w:val="center"/>
          </w:tcPr>
          <w:p w14:paraId="51222222">
            <w:pPr>
              <w:pStyle w:val="14"/>
            </w:pPr>
          </w:p>
        </w:tc>
      </w:tr>
      <w:tr w14:paraId="0AF7A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2F937">
            <w:pPr>
              <w:pStyle w:val="12"/>
            </w:pPr>
            <w:r>
              <w:t>37</w:t>
            </w:r>
          </w:p>
        </w:tc>
        <w:tc>
          <w:tcPr>
            <w:tcW w:w="3402" w:type="dxa"/>
            <w:vAlign w:val="center"/>
          </w:tcPr>
          <w:p w14:paraId="4C8FEB42">
            <w:pPr>
              <w:pStyle w:val="15"/>
            </w:pPr>
            <w:r>
              <w:t>收入总计</w:t>
            </w:r>
          </w:p>
        </w:tc>
        <w:tc>
          <w:tcPr>
            <w:tcW w:w="1474" w:type="dxa"/>
            <w:vAlign w:val="center"/>
          </w:tcPr>
          <w:p w14:paraId="2CB8A068">
            <w:pPr>
              <w:pStyle w:val="16"/>
            </w:pPr>
            <w:r>
              <w:t>3029.02</w:t>
            </w:r>
          </w:p>
        </w:tc>
        <w:tc>
          <w:tcPr>
            <w:tcW w:w="3402" w:type="dxa"/>
            <w:vAlign w:val="center"/>
          </w:tcPr>
          <w:p w14:paraId="378B7092">
            <w:pPr>
              <w:pStyle w:val="15"/>
            </w:pPr>
            <w:r>
              <w:t>支出总计</w:t>
            </w:r>
          </w:p>
        </w:tc>
        <w:tc>
          <w:tcPr>
            <w:tcW w:w="1474" w:type="dxa"/>
            <w:vAlign w:val="center"/>
          </w:tcPr>
          <w:p w14:paraId="2AF5BE39">
            <w:pPr>
              <w:pStyle w:val="16"/>
            </w:pPr>
            <w:r>
              <w:t>3029.02</w:t>
            </w:r>
          </w:p>
        </w:tc>
        <w:tc>
          <w:tcPr>
            <w:tcW w:w="1474" w:type="dxa"/>
            <w:vAlign w:val="center"/>
          </w:tcPr>
          <w:p w14:paraId="37319FA7">
            <w:pPr>
              <w:pStyle w:val="16"/>
            </w:pPr>
            <w:r>
              <w:t>3029.02</w:t>
            </w:r>
          </w:p>
        </w:tc>
        <w:tc>
          <w:tcPr>
            <w:tcW w:w="1474" w:type="dxa"/>
            <w:vAlign w:val="center"/>
          </w:tcPr>
          <w:p w14:paraId="361BC67F">
            <w:pPr>
              <w:pStyle w:val="16"/>
            </w:pPr>
          </w:p>
        </w:tc>
        <w:tc>
          <w:tcPr>
            <w:tcW w:w="1474" w:type="dxa"/>
            <w:vAlign w:val="center"/>
          </w:tcPr>
          <w:p w14:paraId="595C9C2D">
            <w:pPr>
              <w:pStyle w:val="16"/>
            </w:pPr>
          </w:p>
        </w:tc>
      </w:tr>
    </w:tbl>
    <w:p w14:paraId="0ECF9F73">
      <w:pPr>
        <w:sectPr>
          <w:pgSz w:w="16840" w:h="11900" w:orient="landscape"/>
          <w:pgMar w:top="1361" w:right="1020" w:bottom="1134" w:left="1020" w:header="720" w:footer="720" w:gutter="0"/>
          <w:cols w:space="720" w:num="1"/>
        </w:sectPr>
      </w:pPr>
    </w:p>
    <w:p w14:paraId="055C71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7F7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F8A604">
            <w:pPr>
              <w:pStyle w:val="8"/>
            </w:pPr>
            <w:r>
              <w:t>360023隆尧县固城校区</w:t>
            </w:r>
          </w:p>
        </w:tc>
        <w:tc>
          <w:tcPr>
            <w:tcW w:w="2551" w:type="dxa"/>
            <w:tcBorders>
              <w:top w:val="single" w:color="FFFFFF" w:sz="6" w:space="0"/>
              <w:left w:val="single" w:color="FFFFFF" w:sz="6" w:space="0"/>
              <w:right w:val="single" w:color="FFFFFF" w:sz="6" w:space="0"/>
            </w:tcBorders>
            <w:vAlign w:val="center"/>
          </w:tcPr>
          <w:p w14:paraId="165E32B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016D73C">
            <w:pPr>
              <w:pStyle w:val="10"/>
            </w:pPr>
            <w:r>
              <w:t>单位：万元</w:t>
            </w:r>
          </w:p>
        </w:tc>
      </w:tr>
      <w:tr w14:paraId="541C1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6323B3">
            <w:pPr>
              <w:pStyle w:val="11"/>
            </w:pPr>
            <w:r>
              <w:t>序号</w:t>
            </w:r>
          </w:p>
        </w:tc>
        <w:tc>
          <w:tcPr>
            <w:tcW w:w="5726" w:type="dxa"/>
            <w:gridSpan w:val="2"/>
            <w:vAlign w:val="center"/>
          </w:tcPr>
          <w:p w14:paraId="4ADB32AA">
            <w:pPr>
              <w:pStyle w:val="11"/>
            </w:pPr>
            <w:r>
              <w:t>功能分类科目</w:t>
            </w:r>
          </w:p>
        </w:tc>
        <w:tc>
          <w:tcPr>
            <w:tcW w:w="2551" w:type="dxa"/>
            <w:vMerge w:val="restart"/>
            <w:vAlign w:val="center"/>
          </w:tcPr>
          <w:p w14:paraId="3C5F46B6">
            <w:pPr>
              <w:pStyle w:val="11"/>
            </w:pPr>
            <w:r>
              <w:t>合计</w:t>
            </w:r>
          </w:p>
        </w:tc>
        <w:tc>
          <w:tcPr>
            <w:tcW w:w="2551" w:type="dxa"/>
            <w:vMerge w:val="restart"/>
            <w:vAlign w:val="center"/>
          </w:tcPr>
          <w:p w14:paraId="1389EE36">
            <w:pPr>
              <w:pStyle w:val="11"/>
            </w:pPr>
            <w:r>
              <w:t>基本支出</w:t>
            </w:r>
          </w:p>
        </w:tc>
        <w:tc>
          <w:tcPr>
            <w:tcW w:w="2551" w:type="dxa"/>
            <w:vMerge w:val="restart"/>
            <w:vAlign w:val="center"/>
          </w:tcPr>
          <w:p w14:paraId="5ED53682">
            <w:pPr>
              <w:pStyle w:val="11"/>
            </w:pPr>
            <w:r>
              <w:t>项目支出</w:t>
            </w:r>
          </w:p>
        </w:tc>
      </w:tr>
      <w:tr w14:paraId="2BC4B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6BA32"/>
        </w:tc>
        <w:tc>
          <w:tcPr>
            <w:tcW w:w="1191" w:type="dxa"/>
            <w:vAlign w:val="center"/>
          </w:tcPr>
          <w:p w14:paraId="6D5C808F">
            <w:pPr>
              <w:pStyle w:val="11"/>
            </w:pPr>
            <w:r>
              <w:t>科目编码</w:t>
            </w:r>
          </w:p>
        </w:tc>
        <w:tc>
          <w:tcPr>
            <w:tcW w:w="4535" w:type="dxa"/>
            <w:vAlign w:val="center"/>
          </w:tcPr>
          <w:p w14:paraId="08D5286A">
            <w:pPr>
              <w:pStyle w:val="11"/>
            </w:pPr>
            <w:r>
              <w:t>科目名称</w:t>
            </w:r>
          </w:p>
        </w:tc>
        <w:tc>
          <w:tcPr>
            <w:tcW w:w="2551" w:type="dxa"/>
            <w:vMerge w:val="continue"/>
          </w:tcPr>
          <w:p w14:paraId="666568E7"/>
        </w:tc>
        <w:tc>
          <w:tcPr>
            <w:tcW w:w="2551" w:type="dxa"/>
            <w:vMerge w:val="continue"/>
          </w:tcPr>
          <w:p w14:paraId="676747F8"/>
        </w:tc>
        <w:tc>
          <w:tcPr>
            <w:tcW w:w="2551" w:type="dxa"/>
            <w:vMerge w:val="continue"/>
          </w:tcPr>
          <w:p w14:paraId="3B3FF128"/>
        </w:tc>
      </w:tr>
      <w:tr w14:paraId="62713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553D0">
            <w:pPr>
              <w:pStyle w:val="11"/>
            </w:pPr>
            <w:r>
              <w:t>栏次</w:t>
            </w:r>
          </w:p>
        </w:tc>
        <w:tc>
          <w:tcPr>
            <w:tcW w:w="1191" w:type="dxa"/>
            <w:vAlign w:val="center"/>
          </w:tcPr>
          <w:p w14:paraId="16DC0A2E">
            <w:pPr>
              <w:pStyle w:val="11"/>
            </w:pPr>
            <w:r>
              <w:t>1</w:t>
            </w:r>
          </w:p>
        </w:tc>
        <w:tc>
          <w:tcPr>
            <w:tcW w:w="4535" w:type="dxa"/>
            <w:vAlign w:val="center"/>
          </w:tcPr>
          <w:p w14:paraId="62D64D42">
            <w:pPr>
              <w:pStyle w:val="11"/>
            </w:pPr>
            <w:r>
              <w:t>2</w:t>
            </w:r>
          </w:p>
        </w:tc>
        <w:tc>
          <w:tcPr>
            <w:tcW w:w="2551" w:type="dxa"/>
            <w:vAlign w:val="center"/>
          </w:tcPr>
          <w:p w14:paraId="2E140738">
            <w:pPr>
              <w:pStyle w:val="11"/>
            </w:pPr>
            <w:r>
              <w:t>3</w:t>
            </w:r>
          </w:p>
        </w:tc>
        <w:tc>
          <w:tcPr>
            <w:tcW w:w="2551" w:type="dxa"/>
            <w:vAlign w:val="center"/>
          </w:tcPr>
          <w:p w14:paraId="0762D65F">
            <w:pPr>
              <w:pStyle w:val="11"/>
            </w:pPr>
            <w:r>
              <w:t>4</w:t>
            </w:r>
          </w:p>
        </w:tc>
        <w:tc>
          <w:tcPr>
            <w:tcW w:w="2551" w:type="dxa"/>
            <w:vAlign w:val="center"/>
          </w:tcPr>
          <w:p w14:paraId="018C9FB9">
            <w:pPr>
              <w:pStyle w:val="11"/>
            </w:pPr>
            <w:r>
              <w:t>5</w:t>
            </w:r>
          </w:p>
        </w:tc>
      </w:tr>
      <w:tr w14:paraId="55C56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8004A">
            <w:pPr>
              <w:pStyle w:val="12"/>
            </w:pPr>
            <w:r>
              <w:t>1</w:t>
            </w:r>
          </w:p>
        </w:tc>
        <w:tc>
          <w:tcPr>
            <w:tcW w:w="1191" w:type="dxa"/>
            <w:vAlign w:val="center"/>
          </w:tcPr>
          <w:p w14:paraId="28093B31">
            <w:pPr>
              <w:pStyle w:val="17"/>
            </w:pPr>
          </w:p>
        </w:tc>
        <w:tc>
          <w:tcPr>
            <w:tcW w:w="4535" w:type="dxa"/>
            <w:vAlign w:val="center"/>
          </w:tcPr>
          <w:p w14:paraId="19F9145D">
            <w:pPr>
              <w:pStyle w:val="15"/>
            </w:pPr>
            <w:r>
              <w:t>合计</w:t>
            </w:r>
          </w:p>
        </w:tc>
        <w:tc>
          <w:tcPr>
            <w:tcW w:w="2551" w:type="dxa"/>
            <w:vAlign w:val="center"/>
          </w:tcPr>
          <w:p w14:paraId="3612669B">
            <w:pPr>
              <w:pStyle w:val="16"/>
            </w:pPr>
            <w:r>
              <w:t>3029.02</w:t>
            </w:r>
          </w:p>
        </w:tc>
        <w:tc>
          <w:tcPr>
            <w:tcW w:w="2551" w:type="dxa"/>
            <w:vAlign w:val="center"/>
          </w:tcPr>
          <w:p w14:paraId="34D09BA7">
            <w:pPr>
              <w:pStyle w:val="16"/>
            </w:pPr>
            <w:r>
              <w:t>2267.33</w:t>
            </w:r>
          </w:p>
        </w:tc>
        <w:tc>
          <w:tcPr>
            <w:tcW w:w="2551" w:type="dxa"/>
            <w:vAlign w:val="center"/>
          </w:tcPr>
          <w:p w14:paraId="145A9128">
            <w:pPr>
              <w:pStyle w:val="16"/>
            </w:pPr>
            <w:r>
              <w:t>761.69</w:t>
            </w:r>
          </w:p>
        </w:tc>
      </w:tr>
      <w:tr w14:paraId="52D17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3BEED">
            <w:pPr>
              <w:pStyle w:val="12"/>
            </w:pPr>
            <w:r>
              <w:t>2</w:t>
            </w:r>
          </w:p>
        </w:tc>
        <w:tc>
          <w:tcPr>
            <w:tcW w:w="1191" w:type="dxa"/>
            <w:vAlign w:val="center"/>
          </w:tcPr>
          <w:p w14:paraId="2D7C453B">
            <w:pPr>
              <w:pStyle w:val="13"/>
            </w:pPr>
            <w:r>
              <w:t>205</w:t>
            </w:r>
          </w:p>
        </w:tc>
        <w:tc>
          <w:tcPr>
            <w:tcW w:w="4535" w:type="dxa"/>
            <w:vAlign w:val="center"/>
          </w:tcPr>
          <w:p w14:paraId="6C2CBE9D">
            <w:pPr>
              <w:pStyle w:val="13"/>
            </w:pPr>
            <w:r>
              <w:t>教育支出</w:t>
            </w:r>
          </w:p>
        </w:tc>
        <w:tc>
          <w:tcPr>
            <w:tcW w:w="2551" w:type="dxa"/>
            <w:vAlign w:val="center"/>
          </w:tcPr>
          <w:p w14:paraId="4F14EDFD">
            <w:pPr>
              <w:pStyle w:val="14"/>
            </w:pPr>
            <w:r>
              <w:t>3029.02</w:t>
            </w:r>
          </w:p>
        </w:tc>
        <w:tc>
          <w:tcPr>
            <w:tcW w:w="2551" w:type="dxa"/>
            <w:vAlign w:val="center"/>
          </w:tcPr>
          <w:p w14:paraId="55CFA026">
            <w:pPr>
              <w:pStyle w:val="14"/>
            </w:pPr>
            <w:r>
              <w:t>2267.33</w:t>
            </w:r>
          </w:p>
        </w:tc>
        <w:tc>
          <w:tcPr>
            <w:tcW w:w="2551" w:type="dxa"/>
            <w:vAlign w:val="center"/>
          </w:tcPr>
          <w:p w14:paraId="41CCB34E">
            <w:pPr>
              <w:pStyle w:val="14"/>
            </w:pPr>
            <w:r>
              <w:t>761.69</w:t>
            </w:r>
          </w:p>
        </w:tc>
      </w:tr>
      <w:tr w14:paraId="092DC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D0A9E">
            <w:pPr>
              <w:pStyle w:val="12"/>
            </w:pPr>
            <w:r>
              <w:t>3</w:t>
            </w:r>
          </w:p>
        </w:tc>
        <w:tc>
          <w:tcPr>
            <w:tcW w:w="1191" w:type="dxa"/>
            <w:vAlign w:val="center"/>
          </w:tcPr>
          <w:p w14:paraId="1709BCD4">
            <w:pPr>
              <w:pStyle w:val="13"/>
            </w:pPr>
            <w:r>
              <w:t>20502</w:t>
            </w:r>
          </w:p>
        </w:tc>
        <w:tc>
          <w:tcPr>
            <w:tcW w:w="4535" w:type="dxa"/>
            <w:vAlign w:val="center"/>
          </w:tcPr>
          <w:p w14:paraId="6B1182B1">
            <w:pPr>
              <w:pStyle w:val="13"/>
            </w:pPr>
            <w:r>
              <w:t>普通教育</w:t>
            </w:r>
          </w:p>
        </w:tc>
        <w:tc>
          <w:tcPr>
            <w:tcW w:w="2551" w:type="dxa"/>
            <w:vAlign w:val="center"/>
          </w:tcPr>
          <w:p w14:paraId="2638B8C8">
            <w:pPr>
              <w:pStyle w:val="14"/>
            </w:pPr>
            <w:r>
              <w:t>3029.02</w:t>
            </w:r>
          </w:p>
        </w:tc>
        <w:tc>
          <w:tcPr>
            <w:tcW w:w="2551" w:type="dxa"/>
            <w:vAlign w:val="center"/>
          </w:tcPr>
          <w:p w14:paraId="50B2AC73">
            <w:pPr>
              <w:pStyle w:val="14"/>
            </w:pPr>
            <w:r>
              <w:t>2267.33</w:t>
            </w:r>
          </w:p>
        </w:tc>
        <w:tc>
          <w:tcPr>
            <w:tcW w:w="2551" w:type="dxa"/>
            <w:vAlign w:val="center"/>
          </w:tcPr>
          <w:p w14:paraId="4338623A">
            <w:pPr>
              <w:pStyle w:val="14"/>
            </w:pPr>
            <w:r>
              <w:t>761.69</w:t>
            </w:r>
          </w:p>
        </w:tc>
      </w:tr>
      <w:tr w14:paraId="09C23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C44CD">
            <w:pPr>
              <w:pStyle w:val="12"/>
            </w:pPr>
            <w:r>
              <w:t>4</w:t>
            </w:r>
          </w:p>
        </w:tc>
        <w:tc>
          <w:tcPr>
            <w:tcW w:w="1191" w:type="dxa"/>
            <w:vAlign w:val="center"/>
          </w:tcPr>
          <w:p w14:paraId="6CDB6BA0">
            <w:pPr>
              <w:pStyle w:val="13"/>
            </w:pPr>
            <w:r>
              <w:t>2050201</w:t>
            </w:r>
          </w:p>
        </w:tc>
        <w:tc>
          <w:tcPr>
            <w:tcW w:w="4535" w:type="dxa"/>
            <w:vAlign w:val="center"/>
          </w:tcPr>
          <w:p w14:paraId="7DB6F9AC">
            <w:pPr>
              <w:pStyle w:val="13"/>
            </w:pPr>
            <w:r>
              <w:t>学前教育</w:t>
            </w:r>
          </w:p>
        </w:tc>
        <w:tc>
          <w:tcPr>
            <w:tcW w:w="2551" w:type="dxa"/>
            <w:vAlign w:val="center"/>
          </w:tcPr>
          <w:p w14:paraId="3A2A2CB7">
            <w:pPr>
              <w:pStyle w:val="14"/>
            </w:pPr>
            <w:r>
              <w:t>118.23</w:t>
            </w:r>
          </w:p>
        </w:tc>
        <w:tc>
          <w:tcPr>
            <w:tcW w:w="2551" w:type="dxa"/>
            <w:vAlign w:val="center"/>
          </w:tcPr>
          <w:p w14:paraId="6B9A9F63">
            <w:pPr>
              <w:pStyle w:val="14"/>
            </w:pPr>
          </w:p>
        </w:tc>
        <w:tc>
          <w:tcPr>
            <w:tcW w:w="2551" w:type="dxa"/>
            <w:vAlign w:val="center"/>
          </w:tcPr>
          <w:p w14:paraId="0D07DCFC">
            <w:pPr>
              <w:pStyle w:val="14"/>
            </w:pPr>
            <w:r>
              <w:t>118.23</w:t>
            </w:r>
          </w:p>
        </w:tc>
      </w:tr>
      <w:tr w14:paraId="1FF89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EEC2D">
            <w:pPr>
              <w:pStyle w:val="12"/>
            </w:pPr>
            <w:r>
              <w:t>5</w:t>
            </w:r>
          </w:p>
        </w:tc>
        <w:tc>
          <w:tcPr>
            <w:tcW w:w="1191" w:type="dxa"/>
            <w:vAlign w:val="center"/>
          </w:tcPr>
          <w:p w14:paraId="183193AE">
            <w:pPr>
              <w:pStyle w:val="13"/>
            </w:pPr>
            <w:r>
              <w:t>2050202</w:t>
            </w:r>
          </w:p>
        </w:tc>
        <w:tc>
          <w:tcPr>
            <w:tcW w:w="4535" w:type="dxa"/>
            <w:vAlign w:val="center"/>
          </w:tcPr>
          <w:p w14:paraId="2292F694">
            <w:pPr>
              <w:pStyle w:val="13"/>
            </w:pPr>
            <w:r>
              <w:t>小学教育</w:t>
            </w:r>
          </w:p>
        </w:tc>
        <w:tc>
          <w:tcPr>
            <w:tcW w:w="2551" w:type="dxa"/>
            <w:vAlign w:val="center"/>
          </w:tcPr>
          <w:p w14:paraId="7B14D872">
            <w:pPr>
              <w:pStyle w:val="14"/>
            </w:pPr>
            <w:r>
              <w:t>2910.79</w:t>
            </w:r>
          </w:p>
        </w:tc>
        <w:tc>
          <w:tcPr>
            <w:tcW w:w="2551" w:type="dxa"/>
            <w:vAlign w:val="center"/>
          </w:tcPr>
          <w:p w14:paraId="2C83FD0B">
            <w:pPr>
              <w:pStyle w:val="14"/>
            </w:pPr>
            <w:r>
              <w:t>2267.33</w:t>
            </w:r>
          </w:p>
        </w:tc>
        <w:tc>
          <w:tcPr>
            <w:tcW w:w="2551" w:type="dxa"/>
            <w:vAlign w:val="center"/>
          </w:tcPr>
          <w:p w14:paraId="6997B711">
            <w:pPr>
              <w:pStyle w:val="14"/>
            </w:pPr>
            <w:r>
              <w:t>643.46</w:t>
            </w:r>
          </w:p>
        </w:tc>
      </w:tr>
    </w:tbl>
    <w:p w14:paraId="163A2F7F">
      <w:pPr>
        <w:sectPr>
          <w:pgSz w:w="16840" w:h="11900" w:orient="landscape"/>
          <w:pgMar w:top="1361" w:right="1020" w:bottom="1134" w:left="1020" w:header="720" w:footer="720" w:gutter="0"/>
          <w:cols w:space="720" w:num="1"/>
        </w:sectPr>
      </w:pPr>
    </w:p>
    <w:p w14:paraId="6E7713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1A3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B209B4">
            <w:pPr>
              <w:pStyle w:val="8"/>
            </w:pPr>
            <w:r>
              <w:t>360023隆尧县固城校区</w:t>
            </w:r>
          </w:p>
        </w:tc>
        <w:tc>
          <w:tcPr>
            <w:tcW w:w="2551" w:type="dxa"/>
            <w:tcBorders>
              <w:top w:val="single" w:color="FFFFFF" w:sz="6" w:space="0"/>
              <w:left w:val="single" w:color="FFFFFF" w:sz="6" w:space="0"/>
              <w:right w:val="single" w:color="FFFFFF" w:sz="6" w:space="0"/>
            </w:tcBorders>
            <w:vAlign w:val="center"/>
          </w:tcPr>
          <w:p w14:paraId="7DC21C6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D53FEE">
            <w:pPr>
              <w:pStyle w:val="10"/>
            </w:pPr>
            <w:r>
              <w:t>单位：万元</w:t>
            </w:r>
          </w:p>
        </w:tc>
      </w:tr>
      <w:tr w14:paraId="6B6D8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BF3497">
            <w:pPr>
              <w:pStyle w:val="11"/>
            </w:pPr>
            <w:r>
              <w:t>序号</w:t>
            </w:r>
          </w:p>
        </w:tc>
        <w:tc>
          <w:tcPr>
            <w:tcW w:w="5726" w:type="dxa"/>
            <w:gridSpan w:val="2"/>
            <w:vAlign w:val="center"/>
          </w:tcPr>
          <w:p w14:paraId="233C9723">
            <w:pPr>
              <w:pStyle w:val="11"/>
            </w:pPr>
            <w:r>
              <w:t>支出部门经济分类科目</w:t>
            </w:r>
          </w:p>
        </w:tc>
        <w:tc>
          <w:tcPr>
            <w:tcW w:w="7653" w:type="dxa"/>
            <w:gridSpan w:val="3"/>
            <w:vAlign w:val="center"/>
          </w:tcPr>
          <w:p w14:paraId="07F8BF2B">
            <w:pPr>
              <w:pStyle w:val="11"/>
            </w:pPr>
            <w:r>
              <w:t>一般公共预算基本支出</w:t>
            </w:r>
          </w:p>
        </w:tc>
      </w:tr>
      <w:tr w14:paraId="5F1BD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B4F669"/>
        </w:tc>
        <w:tc>
          <w:tcPr>
            <w:tcW w:w="1191" w:type="dxa"/>
            <w:vAlign w:val="center"/>
          </w:tcPr>
          <w:p w14:paraId="15A9C817">
            <w:pPr>
              <w:pStyle w:val="11"/>
            </w:pPr>
            <w:r>
              <w:t>科目编码</w:t>
            </w:r>
          </w:p>
        </w:tc>
        <w:tc>
          <w:tcPr>
            <w:tcW w:w="4535" w:type="dxa"/>
            <w:vAlign w:val="center"/>
          </w:tcPr>
          <w:p w14:paraId="594446B0">
            <w:pPr>
              <w:pStyle w:val="11"/>
            </w:pPr>
            <w:r>
              <w:t>科目名称</w:t>
            </w:r>
          </w:p>
        </w:tc>
        <w:tc>
          <w:tcPr>
            <w:tcW w:w="2551" w:type="dxa"/>
            <w:vAlign w:val="center"/>
          </w:tcPr>
          <w:p w14:paraId="7151C53D">
            <w:pPr>
              <w:pStyle w:val="11"/>
            </w:pPr>
            <w:r>
              <w:t>合计</w:t>
            </w:r>
          </w:p>
        </w:tc>
        <w:tc>
          <w:tcPr>
            <w:tcW w:w="2551" w:type="dxa"/>
            <w:vAlign w:val="center"/>
          </w:tcPr>
          <w:p w14:paraId="626AF76B">
            <w:pPr>
              <w:pStyle w:val="11"/>
            </w:pPr>
            <w:r>
              <w:t>人员经费</w:t>
            </w:r>
          </w:p>
        </w:tc>
        <w:tc>
          <w:tcPr>
            <w:tcW w:w="2551" w:type="dxa"/>
            <w:vAlign w:val="center"/>
          </w:tcPr>
          <w:p w14:paraId="3B131C49">
            <w:pPr>
              <w:pStyle w:val="11"/>
            </w:pPr>
            <w:r>
              <w:t>公用经费</w:t>
            </w:r>
          </w:p>
        </w:tc>
      </w:tr>
      <w:tr w14:paraId="10777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3F3C18">
            <w:pPr>
              <w:pStyle w:val="11"/>
            </w:pPr>
            <w:r>
              <w:t>栏次</w:t>
            </w:r>
          </w:p>
        </w:tc>
        <w:tc>
          <w:tcPr>
            <w:tcW w:w="1191" w:type="dxa"/>
            <w:vAlign w:val="center"/>
          </w:tcPr>
          <w:p w14:paraId="1830D600">
            <w:pPr>
              <w:pStyle w:val="11"/>
            </w:pPr>
            <w:r>
              <w:t>1</w:t>
            </w:r>
          </w:p>
        </w:tc>
        <w:tc>
          <w:tcPr>
            <w:tcW w:w="4535" w:type="dxa"/>
            <w:vAlign w:val="center"/>
          </w:tcPr>
          <w:p w14:paraId="59BF82DB">
            <w:pPr>
              <w:pStyle w:val="11"/>
            </w:pPr>
            <w:r>
              <w:t>2</w:t>
            </w:r>
          </w:p>
        </w:tc>
        <w:tc>
          <w:tcPr>
            <w:tcW w:w="2551" w:type="dxa"/>
            <w:vAlign w:val="center"/>
          </w:tcPr>
          <w:p w14:paraId="262D956C">
            <w:pPr>
              <w:pStyle w:val="11"/>
            </w:pPr>
            <w:r>
              <w:t>3</w:t>
            </w:r>
          </w:p>
        </w:tc>
        <w:tc>
          <w:tcPr>
            <w:tcW w:w="2551" w:type="dxa"/>
            <w:vAlign w:val="center"/>
          </w:tcPr>
          <w:p w14:paraId="05732DA3">
            <w:pPr>
              <w:pStyle w:val="11"/>
            </w:pPr>
            <w:r>
              <w:t>4</w:t>
            </w:r>
          </w:p>
        </w:tc>
        <w:tc>
          <w:tcPr>
            <w:tcW w:w="2551" w:type="dxa"/>
            <w:vAlign w:val="center"/>
          </w:tcPr>
          <w:p w14:paraId="4564C6F4">
            <w:pPr>
              <w:pStyle w:val="11"/>
            </w:pPr>
            <w:r>
              <w:t>5</w:t>
            </w:r>
          </w:p>
        </w:tc>
      </w:tr>
      <w:tr w14:paraId="4A5BA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ABDE9">
            <w:pPr>
              <w:pStyle w:val="12"/>
            </w:pPr>
            <w:r>
              <w:t>1</w:t>
            </w:r>
          </w:p>
        </w:tc>
        <w:tc>
          <w:tcPr>
            <w:tcW w:w="1191" w:type="dxa"/>
            <w:vAlign w:val="center"/>
          </w:tcPr>
          <w:p w14:paraId="50A4AE75">
            <w:pPr>
              <w:pStyle w:val="17"/>
            </w:pPr>
          </w:p>
        </w:tc>
        <w:tc>
          <w:tcPr>
            <w:tcW w:w="4535" w:type="dxa"/>
            <w:vAlign w:val="center"/>
          </w:tcPr>
          <w:p w14:paraId="0DE8C1D6">
            <w:pPr>
              <w:pStyle w:val="15"/>
            </w:pPr>
            <w:r>
              <w:t>合计</w:t>
            </w:r>
          </w:p>
        </w:tc>
        <w:tc>
          <w:tcPr>
            <w:tcW w:w="2551" w:type="dxa"/>
            <w:vAlign w:val="center"/>
          </w:tcPr>
          <w:p w14:paraId="75F246B3">
            <w:pPr>
              <w:pStyle w:val="16"/>
            </w:pPr>
            <w:r>
              <w:t>2267.33</w:t>
            </w:r>
          </w:p>
        </w:tc>
        <w:tc>
          <w:tcPr>
            <w:tcW w:w="2551" w:type="dxa"/>
            <w:vAlign w:val="center"/>
          </w:tcPr>
          <w:p w14:paraId="4043E246">
            <w:pPr>
              <w:pStyle w:val="16"/>
            </w:pPr>
            <w:r>
              <w:t>2267.33</w:t>
            </w:r>
          </w:p>
        </w:tc>
        <w:tc>
          <w:tcPr>
            <w:tcW w:w="2551" w:type="dxa"/>
            <w:vAlign w:val="center"/>
          </w:tcPr>
          <w:p w14:paraId="78CA5EAF">
            <w:pPr>
              <w:pStyle w:val="16"/>
            </w:pPr>
          </w:p>
        </w:tc>
      </w:tr>
      <w:tr w14:paraId="609AB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753F9">
            <w:pPr>
              <w:pStyle w:val="12"/>
            </w:pPr>
            <w:r>
              <w:t>2</w:t>
            </w:r>
          </w:p>
        </w:tc>
        <w:tc>
          <w:tcPr>
            <w:tcW w:w="1191" w:type="dxa"/>
            <w:vAlign w:val="center"/>
          </w:tcPr>
          <w:p w14:paraId="525B60F3">
            <w:pPr>
              <w:pStyle w:val="13"/>
            </w:pPr>
            <w:r>
              <w:t>301</w:t>
            </w:r>
          </w:p>
        </w:tc>
        <w:tc>
          <w:tcPr>
            <w:tcW w:w="4535" w:type="dxa"/>
            <w:vAlign w:val="center"/>
          </w:tcPr>
          <w:p w14:paraId="79AB8AF6">
            <w:pPr>
              <w:pStyle w:val="13"/>
            </w:pPr>
            <w:r>
              <w:t>工资福利支出</w:t>
            </w:r>
          </w:p>
        </w:tc>
        <w:tc>
          <w:tcPr>
            <w:tcW w:w="2551" w:type="dxa"/>
            <w:vAlign w:val="center"/>
          </w:tcPr>
          <w:p w14:paraId="35169D3C">
            <w:pPr>
              <w:pStyle w:val="14"/>
            </w:pPr>
            <w:r>
              <w:t>2075.87</w:t>
            </w:r>
          </w:p>
        </w:tc>
        <w:tc>
          <w:tcPr>
            <w:tcW w:w="2551" w:type="dxa"/>
            <w:vAlign w:val="center"/>
          </w:tcPr>
          <w:p w14:paraId="10AB4249">
            <w:pPr>
              <w:pStyle w:val="14"/>
            </w:pPr>
            <w:r>
              <w:t>2075.87</w:t>
            </w:r>
          </w:p>
        </w:tc>
        <w:tc>
          <w:tcPr>
            <w:tcW w:w="2551" w:type="dxa"/>
            <w:vAlign w:val="center"/>
          </w:tcPr>
          <w:p w14:paraId="21CB8D8F">
            <w:pPr>
              <w:pStyle w:val="14"/>
            </w:pPr>
          </w:p>
        </w:tc>
      </w:tr>
      <w:tr w14:paraId="52838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FBEC2">
            <w:pPr>
              <w:pStyle w:val="12"/>
            </w:pPr>
            <w:r>
              <w:t>3</w:t>
            </w:r>
          </w:p>
        </w:tc>
        <w:tc>
          <w:tcPr>
            <w:tcW w:w="1191" w:type="dxa"/>
            <w:vAlign w:val="center"/>
          </w:tcPr>
          <w:p w14:paraId="0C9177F9">
            <w:pPr>
              <w:pStyle w:val="13"/>
            </w:pPr>
            <w:r>
              <w:t>30101</w:t>
            </w:r>
          </w:p>
        </w:tc>
        <w:tc>
          <w:tcPr>
            <w:tcW w:w="4535" w:type="dxa"/>
            <w:vAlign w:val="center"/>
          </w:tcPr>
          <w:p w14:paraId="03C77231">
            <w:pPr>
              <w:pStyle w:val="13"/>
            </w:pPr>
            <w:r>
              <w:t>基本工资</w:t>
            </w:r>
          </w:p>
        </w:tc>
        <w:tc>
          <w:tcPr>
            <w:tcW w:w="2551" w:type="dxa"/>
            <w:vAlign w:val="center"/>
          </w:tcPr>
          <w:p w14:paraId="3F89FBA7">
            <w:pPr>
              <w:pStyle w:val="14"/>
            </w:pPr>
            <w:r>
              <w:t>956.08</w:t>
            </w:r>
          </w:p>
        </w:tc>
        <w:tc>
          <w:tcPr>
            <w:tcW w:w="2551" w:type="dxa"/>
            <w:vAlign w:val="center"/>
          </w:tcPr>
          <w:p w14:paraId="53937079">
            <w:pPr>
              <w:pStyle w:val="14"/>
            </w:pPr>
            <w:r>
              <w:t>956.08</w:t>
            </w:r>
          </w:p>
        </w:tc>
        <w:tc>
          <w:tcPr>
            <w:tcW w:w="2551" w:type="dxa"/>
            <w:vAlign w:val="center"/>
          </w:tcPr>
          <w:p w14:paraId="14F1F3D8">
            <w:pPr>
              <w:pStyle w:val="14"/>
            </w:pPr>
          </w:p>
        </w:tc>
      </w:tr>
      <w:tr w14:paraId="208AA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5F6CB">
            <w:pPr>
              <w:pStyle w:val="12"/>
            </w:pPr>
            <w:r>
              <w:t>4</w:t>
            </w:r>
          </w:p>
        </w:tc>
        <w:tc>
          <w:tcPr>
            <w:tcW w:w="1191" w:type="dxa"/>
            <w:vAlign w:val="center"/>
          </w:tcPr>
          <w:p w14:paraId="1B37906F">
            <w:pPr>
              <w:pStyle w:val="13"/>
            </w:pPr>
            <w:r>
              <w:t>30102</w:t>
            </w:r>
          </w:p>
        </w:tc>
        <w:tc>
          <w:tcPr>
            <w:tcW w:w="4535" w:type="dxa"/>
            <w:vAlign w:val="center"/>
          </w:tcPr>
          <w:p w14:paraId="59F7D2B0">
            <w:pPr>
              <w:pStyle w:val="13"/>
            </w:pPr>
            <w:r>
              <w:t>津贴补贴</w:t>
            </w:r>
          </w:p>
        </w:tc>
        <w:tc>
          <w:tcPr>
            <w:tcW w:w="2551" w:type="dxa"/>
            <w:vAlign w:val="center"/>
          </w:tcPr>
          <w:p w14:paraId="3E2DC314">
            <w:pPr>
              <w:pStyle w:val="14"/>
            </w:pPr>
            <w:r>
              <w:t>90.87</w:t>
            </w:r>
          </w:p>
        </w:tc>
        <w:tc>
          <w:tcPr>
            <w:tcW w:w="2551" w:type="dxa"/>
            <w:vAlign w:val="center"/>
          </w:tcPr>
          <w:p w14:paraId="0541C905">
            <w:pPr>
              <w:pStyle w:val="14"/>
            </w:pPr>
            <w:r>
              <w:t>90.87</w:t>
            </w:r>
          </w:p>
        </w:tc>
        <w:tc>
          <w:tcPr>
            <w:tcW w:w="2551" w:type="dxa"/>
            <w:vAlign w:val="center"/>
          </w:tcPr>
          <w:p w14:paraId="7A2034FF">
            <w:pPr>
              <w:pStyle w:val="14"/>
            </w:pPr>
          </w:p>
        </w:tc>
      </w:tr>
      <w:tr w14:paraId="0122B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B6A7D">
            <w:pPr>
              <w:pStyle w:val="12"/>
            </w:pPr>
            <w:r>
              <w:t>5</w:t>
            </w:r>
          </w:p>
        </w:tc>
        <w:tc>
          <w:tcPr>
            <w:tcW w:w="1191" w:type="dxa"/>
            <w:vAlign w:val="center"/>
          </w:tcPr>
          <w:p w14:paraId="17BF8F33">
            <w:pPr>
              <w:pStyle w:val="13"/>
            </w:pPr>
            <w:r>
              <w:t>30107</w:t>
            </w:r>
          </w:p>
        </w:tc>
        <w:tc>
          <w:tcPr>
            <w:tcW w:w="4535" w:type="dxa"/>
            <w:vAlign w:val="center"/>
          </w:tcPr>
          <w:p w14:paraId="466F070C">
            <w:pPr>
              <w:pStyle w:val="13"/>
            </w:pPr>
            <w:r>
              <w:t>绩效工资</w:t>
            </w:r>
          </w:p>
        </w:tc>
        <w:tc>
          <w:tcPr>
            <w:tcW w:w="2551" w:type="dxa"/>
            <w:vAlign w:val="center"/>
          </w:tcPr>
          <w:p w14:paraId="04ADBEFD">
            <w:pPr>
              <w:pStyle w:val="14"/>
            </w:pPr>
            <w:r>
              <w:t>577.75</w:t>
            </w:r>
          </w:p>
        </w:tc>
        <w:tc>
          <w:tcPr>
            <w:tcW w:w="2551" w:type="dxa"/>
            <w:vAlign w:val="center"/>
          </w:tcPr>
          <w:p w14:paraId="646E41A5">
            <w:pPr>
              <w:pStyle w:val="14"/>
            </w:pPr>
            <w:r>
              <w:t>577.75</w:t>
            </w:r>
          </w:p>
        </w:tc>
        <w:tc>
          <w:tcPr>
            <w:tcW w:w="2551" w:type="dxa"/>
            <w:vAlign w:val="center"/>
          </w:tcPr>
          <w:p w14:paraId="1B297322">
            <w:pPr>
              <w:pStyle w:val="14"/>
            </w:pPr>
          </w:p>
        </w:tc>
      </w:tr>
      <w:tr w14:paraId="44BFB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42BD7">
            <w:pPr>
              <w:pStyle w:val="12"/>
            </w:pPr>
            <w:r>
              <w:t>6</w:t>
            </w:r>
          </w:p>
        </w:tc>
        <w:tc>
          <w:tcPr>
            <w:tcW w:w="1191" w:type="dxa"/>
            <w:vAlign w:val="center"/>
          </w:tcPr>
          <w:p w14:paraId="56A55DDD">
            <w:pPr>
              <w:pStyle w:val="13"/>
            </w:pPr>
            <w:r>
              <w:t>30108</w:t>
            </w:r>
          </w:p>
        </w:tc>
        <w:tc>
          <w:tcPr>
            <w:tcW w:w="4535" w:type="dxa"/>
            <w:vAlign w:val="center"/>
          </w:tcPr>
          <w:p w14:paraId="43460B8C">
            <w:pPr>
              <w:pStyle w:val="13"/>
            </w:pPr>
            <w:r>
              <w:t>机关事业单位基本养老保险缴费</w:t>
            </w:r>
          </w:p>
        </w:tc>
        <w:tc>
          <w:tcPr>
            <w:tcW w:w="2551" w:type="dxa"/>
            <w:vAlign w:val="center"/>
          </w:tcPr>
          <w:p w14:paraId="15BB181A">
            <w:pPr>
              <w:pStyle w:val="14"/>
            </w:pPr>
            <w:r>
              <w:t>195.55</w:t>
            </w:r>
          </w:p>
        </w:tc>
        <w:tc>
          <w:tcPr>
            <w:tcW w:w="2551" w:type="dxa"/>
            <w:vAlign w:val="center"/>
          </w:tcPr>
          <w:p w14:paraId="077ACB47">
            <w:pPr>
              <w:pStyle w:val="14"/>
            </w:pPr>
            <w:r>
              <w:t>195.55</w:t>
            </w:r>
          </w:p>
        </w:tc>
        <w:tc>
          <w:tcPr>
            <w:tcW w:w="2551" w:type="dxa"/>
            <w:vAlign w:val="center"/>
          </w:tcPr>
          <w:p w14:paraId="63268939">
            <w:pPr>
              <w:pStyle w:val="14"/>
            </w:pPr>
          </w:p>
        </w:tc>
      </w:tr>
      <w:tr w14:paraId="6590B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6A245">
            <w:pPr>
              <w:pStyle w:val="12"/>
            </w:pPr>
            <w:r>
              <w:t>7</w:t>
            </w:r>
          </w:p>
        </w:tc>
        <w:tc>
          <w:tcPr>
            <w:tcW w:w="1191" w:type="dxa"/>
            <w:vAlign w:val="center"/>
          </w:tcPr>
          <w:p w14:paraId="605A4A4B">
            <w:pPr>
              <w:pStyle w:val="13"/>
            </w:pPr>
            <w:r>
              <w:t>30110</w:t>
            </w:r>
          </w:p>
        </w:tc>
        <w:tc>
          <w:tcPr>
            <w:tcW w:w="4535" w:type="dxa"/>
            <w:vAlign w:val="center"/>
          </w:tcPr>
          <w:p w14:paraId="08858FD8">
            <w:pPr>
              <w:pStyle w:val="13"/>
            </w:pPr>
            <w:r>
              <w:t>职工基本医疗保险缴费</w:t>
            </w:r>
          </w:p>
        </w:tc>
        <w:tc>
          <w:tcPr>
            <w:tcW w:w="2551" w:type="dxa"/>
            <w:vAlign w:val="center"/>
          </w:tcPr>
          <w:p w14:paraId="5498E6F6">
            <w:pPr>
              <w:pStyle w:val="14"/>
            </w:pPr>
            <w:r>
              <w:t>93.75</w:t>
            </w:r>
          </w:p>
        </w:tc>
        <w:tc>
          <w:tcPr>
            <w:tcW w:w="2551" w:type="dxa"/>
            <w:vAlign w:val="center"/>
          </w:tcPr>
          <w:p w14:paraId="4377944F">
            <w:pPr>
              <w:pStyle w:val="14"/>
            </w:pPr>
            <w:r>
              <w:t>93.75</w:t>
            </w:r>
          </w:p>
        </w:tc>
        <w:tc>
          <w:tcPr>
            <w:tcW w:w="2551" w:type="dxa"/>
            <w:vAlign w:val="center"/>
          </w:tcPr>
          <w:p w14:paraId="7BFA0109">
            <w:pPr>
              <w:pStyle w:val="14"/>
            </w:pPr>
          </w:p>
        </w:tc>
      </w:tr>
      <w:tr w14:paraId="05AB3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C76CD">
            <w:pPr>
              <w:pStyle w:val="12"/>
            </w:pPr>
            <w:r>
              <w:t>8</w:t>
            </w:r>
          </w:p>
        </w:tc>
        <w:tc>
          <w:tcPr>
            <w:tcW w:w="1191" w:type="dxa"/>
            <w:vAlign w:val="center"/>
          </w:tcPr>
          <w:p w14:paraId="0259DD7E">
            <w:pPr>
              <w:pStyle w:val="13"/>
            </w:pPr>
            <w:r>
              <w:t>30112</w:t>
            </w:r>
          </w:p>
        </w:tc>
        <w:tc>
          <w:tcPr>
            <w:tcW w:w="4535" w:type="dxa"/>
            <w:vAlign w:val="center"/>
          </w:tcPr>
          <w:p w14:paraId="3BD3D8BC">
            <w:pPr>
              <w:pStyle w:val="13"/>
            </w:pPr>
            <w:r>
              <w:t>其他社会保障缴费</w:t>
            </w:r>
          </w:p>
        </w:tc>
        <w:tc>
          <w:tcPr>
            <w:tcW w:w="2551" w:type="dxa"/>
            <w:vAlign w:val="center"/>
          </w:tcPr>
          <w:p w14:paraId="21A7CAB4">
            <w:pPr>
              <w:pStyle w:val="14"/>
            </w:pPr>
            <w:r>
              <w:t>11.47</w:t>
            </w:r>
          </w:p>
        </w:tc>
        <w:tc>
          <w:tcPr>
            <w:tcW w:w="2551" w:type="dxa"/>
            <w:vAlign w:val="center"/>
          </w:tcPr>
          <w:p w14:paraId="6292DDCD">
            <w:pPr>
              <w:pStyle w:val="14"/>
            </w:pPr>
            <w:r>
              <w:t>11.47</w:t>
            </w:r>
          </w:p>
        </w:tc>
        <w:tc>
          <w:tcPr>
            <w:tcW w:w="2551" w:type="dxa"/>
            <w:vAlign w:val="center"/>
          </w:tcPr>
          <w:p w14:paraId="0A3760E1">
            <w:pPr>
              <w:pStyle w:val="14"/>
            </w:pPr>
          </w:p>
        </w:tc>
      </w:tr>
      <w:tr w14:paraId="036F1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2F50D">
            <w:pPr>
              <w:pStyle w:val="12"/>
            </w:pPr>
            <w:r>
              <w:t>9</w:t>
            </w:r>
          </w:p>
        </w:tc>
        <w:tc>
          <w:tcPr>
            <w:tcW w:w="1191" w:type="dxa"/>
            <w:vAlign w:val="center"/>
          </w:tcPr>
          <w:p w14:paraId="2DF05D9D">
            <w:pPr>
              <w:pStyle w:val="13"/>
            </w:pPr>
            <w:r>
              <w:t>30113</w:t>
            </w:r>
          </w:p>
        </w:tc>
        <w:tc>
          <w:tcPr>
            <w:tcW w:w="4535" w:type="dxa"/>
            <w:vAlign w:val="center"/>
          </w:tcPr>
          <w:p w14:paraId="333BFE80">
            <w:pPr>
              <w:pStyle w:val="13"/>
            </w:pPr>
            <w:r>
              <w:t>住房公积金</w:t>
            </w:r>
          </w:p>
        </w:tc>
        <w:tc>
          <w:tcPr>
            <w:tcW w:w="2551" w:type="dxa"/>
            <w:vAlign w:val="center"/>
          </w:tcPr>
          <w:p w14:paraId="7957C113">
            <w:pPr>
              <w:pStyle w:val="14"/>
            </w:pPr>
            <w:r>
              <w:t>150.40</w:t>
            </w:r>
          </w:p>
        </w:tc>
        <w:tc>
          <w:tcPr>
            <w:tcW w:w="2551" w:type="dxa"/>
            <w:vAlign w:val="center"/>
          </w:tcPr>
          <w:p w14:paraId="10F6A6A5">
            <w:pPr>
              <w:pStyle w:val="14"/>
            </w:pPr>
            <w:r>
              <w:t>150.40</w:t>
            </w:r>
          </w:p>
        </w:tc>
        <w:tc>
          <w:tcPr>
            <w:tcW w:w="2551" w:type="dxa"/>
            <w:vAlign w:val="center"/>
          </w:tcPr>
          <w:p w14:paraId="7BE4FC79">
            <w:pPr>
              <w:pStyle w:val="14"/>
            </w:pPr>
          </w:p>
        </w:tc>
      </w:tr>
      <w:tr w14:paraId="551C3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96BC1">
            <w:pPr>
              <w:pStyle w:val="12"/>
            </w:pPr>
            <w:r>
              <w:t>10</w:t>
            </w:r>
          </w:p>
        </w:tc>
        <w:tc>
          <w:tcPr>
            <w:tcW w:w="1191" w:type="dxa"/>
            <w:vAlign w:val="center"/>
          </w:tcPr>
          <w:p w14:paraId="7BBAFEC3">
            <w:pPr>
              <w:pStyle w:val="13"/>
            </w:pPr>
            <w:r>
              <w:t>303</w:t>
            </w:r>
          </w:p>
        </w:tc>
        <w:tc>
          <w:tcPr>
            <w:tcW w:w="4535" w:type="dxa"/>
            <w:vAlign w:val="center"/>
          </w:tcPr>
          <w:p w14:paraId="200B6347">
            <w:pPr>
              <w:pStyle w:val="13"/>
            </w:pPr>
            <w:r>
              <w:t>对个人和家庭的补助</w:t>
            </w:r>
          </w:p>
        </w:tc>
        <w:tc>
          <w:tcPr>
            <w:tcW w:w="2551" w:type="dxa"/>
            <w:vAlign w:val="center"/>
          </w:tcPr>
          <w:p w14:paraId="31A01813">
            <w:pPr>
              <w:pStyle w:val="14"/>
            </w:pPr>
            <w:r>
              <w:t>191.46</w:t>
            </w:r>
          </w:p>
        </w:tc>
        <w:tc>
          <w:tcPr>
            <w:tcW w:w="2551" w:type="dxa"/>
            <w:vAlign w:val="center"/>
          </w:tcPr>
          <w:p w14:paraId="691111F4">
            <w:pPr>
              <w:pStyle w:val="14"/>
            </w:pPr>
            <w:r>
              <w:t>191.46</w:t>
            </w:r>
          </w:p>
        </w:tc>
        <w:tc>
          <w:tcPr>
            <w:tcW w:w="2551" w:type="dxa"/>
            <w:vAlign w:val="center"/>
          </w:tcPr>
          <w:p w14:paraId="370DEFF7">
            <w:pPr>
              <w:pStyle w:val="14"/>
            </w:pPr>
          </w:p>
        </w:tc>
      </w:tr>
      <w:tr w14:paraId="23152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93612">
            <w:pPr>
              <w:pStyle w:val="12"/>
            </w:pPr>
            <w:r>
              <w:t>11</w:t>
            </w:r>
          </w:p>
        </w:tc>
        <w:tc>
          <w:tcPr>
            <w:tcW w:w="1191" w:type="dxa"/>
            <w:vAlign w:val="center"/>
          </w:tcPr>
          <w:p w14:paraId="3A64B1E6">
            <w:pPr>
              <w:pStyle w:val="13"/>
            </w:pPr>
            <w:r>
              <w:t>30302</w:t>
            </w:r>
          </w:p>
        </w:tc>
        <w:tc>
          <w:tcPr>
            <w:tcW w:w="4535" w:type="dxa"/>
            <w:vAlign w:val="center"/>
          </w:tcPr>
          <w:p w14:paraId="6AC32413">
            <w:pPr>
              <w:pStyle w:val="13"/>
            </w:pPr>
            <w:r>
              <w:t>退休费</w:t>
            </w:r>
          </w:p>
        </w:tc>
        <w:tc>
          <w:tcPr>
            <w:tcW w:w="2551" w:type="dxa"/>
            <w:vAlign w:val="center"/>
          </w:tcPr>
          <w:p w14:paraId="2C3EDBD8">
            <w:pPr>
              <w:pStyle w:val="14"/>
            </w:pPr>
            <w:r>
              <w:t>179.32</w:t>
            </w:r>
          </w:p>
        </w:tc>
        <w:tc>
          <w:tcPr>
            <w:tcW w:w="2551" w:type="dxa"/>
            <w:vAlign w:val="center"/>
          </w:tcPr>
          <w:p w14:paraId="07E91D67">
            <w:pPr>
              <w:pStyle w:val="14"/>
            </w:pPr>
            <w:r>
              <w:t>179.32</w:t>
            </w:r>
          </w:p>
        </w:tc>
        <w:tc>
          <w:tcPr>
            <w:tcW w:w="2551" w:type="dxa"/>
            <w:vAlign w:val="center"/>
          </w:tcPr>
          <w:p w14:paraId="310E8FCB">
            <w:pPr>
              <w:pStyle w:val="14"/>
            </w:pPr>
          </w:p>
        </w:tc>
      </w:tr>
      <w:tr w14:paraId="6C365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44F1A">
            <w:pPr>
              <w:pStyle w:val="12"/>
            </w:pPr>
            <w:r>
              <w:t>12</w:t>
            </w:r>
          </w:p>
        </w:tc>
        <w:tc>
          <w:tcPr>
            <w:tcW w:w="1191" w:type="dxa"/>
            <w:vAlign w:val="center"/>
          </w:tcPr>
          <w:p w14:paraId="6790D30A">
            <w:pPr>
              <w:pStyle w:val="13"/>
            </w:pPr>
            <w:r>
              <w:t>30305</w:t>
            </w:r>
          </w:p>
        </w:tc>
        <w:tc>
          <w:tcPr>
            <w:tcW w:w="4535" w:type="dxa"/>
            <w:vAlign w:val="center"/>
          </w:tcPr>
          <w:p w14:paraId="24F792B8">
            <w:pPr>
              <w:pStyle w:val="13"/>
            </w:pPr>
            <w:r>
              <w:t>生活补助</w:t>
            </w:r>
          </w:p>
        </w:tc>
        <w:tc>
          <w:tcPr>
            <w:tcW w:w="2551" w:type="dxa"/>
            <w:vAlign w:val="center"/>
          </w:tcPr>
          <w:p w14:paraId="5119D847">
            <w:pPr>
              <w:pStyle w:val="14"/>
            </w:pPr>
            <w:r>
              <w:t>12.14</w:t>
            </w:r>
          </w:p>
        </w:tc>
        <w:tc>
          <w:tcPr>
            <w:tcW w:w="2551" w:type="dxa"/>
            <w:vAlign w:val="center"/>
          </w:tcPr>
          <w:p w14:paraId="3A9223B1">
            <w:pPr>
              <w:pStyle w:val="14"/>
            </w:pPr>
            <w:r>
              <w:t>12.14</w:t>
            </w:r>
          </w:p>
        </w:tc>
        <w:tc>
          <w:tcPr>
            <w:tcW w:w="2551" w:type="dxa"/>
            <w:vAlign w:val="center"/>
          </w:tcPr>
          <w:p w14:paraId="6135239D">
            <w:pPr>
              <w:pStyle w:val="14"/>
            </w:pPr>
          </w:p>
        </w:tc>
      </w:tr>
    </w:tbl>
    <w:p w14:paraId="0896743F">
      <w:pPr>
        <w:sectPr>
          <w:pgSz w:w="16840" w:h="11900" w:orient="landscape"/>
          <w:pgMar w:top="1361" w:right="1020" w:bottom="1134" w:left="1020" w:header="720" w:footer="720" w:gutter="0"/>
          <w:cols w:space="720" w:num="1"/>
        </w:sectPr>
      </w:pPr>
    </w:p>
    <w:p w14:paraId="1361DE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76C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4E3FA0">
            <w:pPr>
              <w:pStyle w:val="8"/>
            </w:pPr>
            <w:r>
              <w:t>360023隆尧县固城校区</w:t>
            </w:r>
          </w:p>
        </w:tc>
        <w:tc>
          <w:tcPr>
            <w:tcW w:w="2551" w:type="dxa"/>
            <w:tcBorders>
              <w:top w:val="single" w:color="FFFFFF" w:sz="6" w:space="0"/>
              <w:left w:val="single" w:color="FFFFFF" w:sz="6" w:space="0"/>
              <w:right w:val="single" w:color="FFFFFF" w:sz="6" w:space="0"/>
            </w:tcBorders>
            <w:vAlign w:val="center"/>
          </w:tcPr>
          <w:p w14:paraId="3ADB68B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C3D5977">
            <w:pPr>
              <w:pStyle w:val="10"/>
            </w:pPr>
            <w:r>
              <w:t>单位：万元</w:t>
            </w:r>
          </w:p>
        </w:tc>
      </w:tr>
      <w:tr w14:paraId="304FA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68CE3">
            <w:pPr>
              <w:pStyle w:val="11"/>
            </w:pPr>
            <w:r>
              <w:t>序号</w:t>
            </w:r>
          </w:p>
        </w:tc>
        <w:tc>
          <w:tcPr>
            <w:tcW w:w="5726" w:type="dxa"/>
            <w:gridSpan w:val="2"/>
            <w:vAlign w:val="center"/>
          </w:tcPr>
          <w:p w14:paraId="1B1737B5">
            <w:pPr>
              <w:pStyle w:val="11"/>
            </w:pPr>
            <w:r>
              <w:t>功能分类科目</w:t>
            </w:r>
          </w:p>
        </w:tc>
        <w:tc>
          <w:tcPr>
            <w:tcW w:w="2551" w:type="dxa"/>
            <w:vMerge w:val="restart"/>
            <w:vAlign w:val="center"/>
          </w:tcPr>
          <w:p w14:paraId="1D4CE01F">
            <w:pPr>
              <w:pStyle w:val="11"/>
            </w:pPr>
            <w:r>
              <w:t>合计</w:t>
            </w:r>
          </w:p>
        </w:tc>
        <w:tc>
          <w:tcPr>
            <w:tcW w:w="2551" w:type="dxa"/>
            <w:vMerge w:val="restart"/>
            <w:vAlign w:val="center"/>
          </w:tcPr>
          <w:p w14:paraId="68AB7A7E">
            <w:pPr>
              <w:pStyle w:val="11"/>
            </w:pPr>
            <w:r>
              <w:t>基本支出</w:t>
            </w:r>
          </w:p>
        </w:tc>
        <w:tc>
          <w:tcPr>
            <w:tcW w:w="2551" w:type="dxa"/>
            <w:vMerge w:val="restart"/>
            <w:vAlign w:val="center"/>
          </w:tcPr>
          <w:p w14:paraId="7B5F59E4">
            <w:pPr>
              <w:pStyle w:val="11"/>
            </w:pPr>
            <w:r>
              <w:t>项目支出</w:t>
            </w:r>
          </w:p>
        </w:tc>
      </w:tr>
      <w:tr w14:paraId="3E827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0BAA0"/>
        </w:tc>
        <w:tc>
          <w:tcPr>
            <w:tcW w:w="1191" w:type="dxa"/>
            <w:vAlign w:val="center"/>
          </w:tcPr>
          <w:p w14:paraId="08C50794">
            <w:pPr>
              <w:pStyle w:val="11"/>
            </w:pPr>
            <w:r>
              <w:t>科目编码</w:t>
            </w:r>
          </w:p>
        </w:tc>
        <w:tc>
          <w:tcPr>
            <w:tcW w:w="4535" w:type="dxa"/>
            <w:vAlign w:val="center"/>
          </w:tcPr>
          <w:p w14:paraId="10CEA038">
            <w:pPr>
              <w:pStyle w:val="11"/>
            </w:pPr>
            <w:r>
              <w:t>科目名称</w:t>
            </w:r>
          </w:p>
        </w:tc>
        <w:tc>
          <w:tcPr>
            <w:tcW w:w="2551" w:type="dxa"/>
            <w:vMerge w:val="continue"/>
          </w:tcPr>
          <w:p w14:paraId="5B923866"/>
        </w:tc>
        <w:tc>
          <w:tcPr>
            <w:tcW w:w="2551" w:type="dxa"/>
            <w:vMerge w:val="continue"/>
          </w:tcPr>
          <w:p w14:paraId="35C20A0A"/>
        </w:tc>
        <w:tc>
          <w:tcPr>
            <w:tcW w:w="2551" w:type="dxa"/>
            <w:vMerge w:val="continue"/>
          </w:tcPr>
          <w:p w14:paraId="167A35D1"/>
        </w:tc>
      </w:tr>
      <w:tr w14:paraId="79211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8E9E6E">
            <w:pPr>
              <w:pStyle w:val="11"/>
            </w:pPr>
            <w:r>
              <w:t>栏次</w:t>
            </w:r>
          </w:p>
        </w:tc>
        <w:tc>
          <w:tcPr>
            <w:tcW w:w="1191" w:type="dxa"/>
            <w:vAlign w:val="center"/>
          </w:tcPr>
          <w:p w14:paraId="34794B32">
            <w:pPr>
              <w:pStyle w:val="11"/>
            </w:pPr>
            <w:r>
              <w:t>1</w:t>
            </w:r>
          </w:p>
        </w:tc>
        <w:tc>
          <w:tcPr>
            <w:tcW w:w="4535" w:type="dxa"/>
            <w:vAlign w:val="center"/>
          </w:tcPr>
          <w:p w14:paraId="388D6986">
            <w:pPr>
              <w:pStyle w:val="11"/>
            </w:pPr>
            <w:r>
              <w:t>2</w:t>
            </w:r>
          </w:p>
        </w:tc>
        <w:tc>
          <w:tcPr>
            <w:tcW w:w="2551" w:type="dxa"/>
            <w:vAlign w:val="center"/>
          </w:tcPr>
          <w:p w14:paraId="6370D9B2">
            <w:pPr>
              <w:pStyle w:val="11"/>
            </w:pPr>
            <w:r>
              <w:t>3</w:t>
            </w:r>
          </w:p>
        </w:tc>
        <w:tc>
          <w:tcPr>
            <w:tcW w:w="2551" w:type="dxa"/>
            <w:vAlign w:val="center"/>
          </w:tcPr>
          <w:p w14:paraId="14A97E97">
            <w:pPr>
              <w:pStyle w:val="11"/>
            </w:pPr>
            <w:r>
              <w:t>4</w:t>
            </w:r>
          </w:p>
        </w:tc>
        <w:tc>
          <w:tcPr>
            <w:tcW w:w="2551" w:type="dxa"/>
            <w:vAlign w:val="center"/>
          </w:tcPr>
          <w:p w14:paraId="1508E585">
            <w:pPr>
              <w:pStyle w:val="11"/>
            </w:pPr>
            <w:r>
              <w:t>5</w:t>
            </w:r>
          </w:p>
        </w:tc>
      </w:tr>
      <w:tr w14:paraId="13B96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DABD1">
            <w:pPr>
              <w:pStyle w:val="12"/>
            </w:pPr>
          </w:p>
        </w:tc>
        <w:tc>
          <w:tcPr>
            <w:tcW w:w="1191" w:type="dxa"/>
            <w:vAlign w:val="center"/>
          </w:tcPr>
          <w:p w14:paraId="42BF3178">
            <w:pPr>
              <w:pStyle w:val="13"/>
            </w:pPr>
          </w:p>
        </w:tc>
        <w:tc>
          <w:tcPr>
            <w:tcW w:w="4535" w:type="dxa"/>
            <w:vAlign w:val="center"/>
          </w:tcPr>
          <w:p w14:paraId="379F3D4B">
            <w:pPr>
              <w:pStyle w:val="13"/>
            </w:pPr>
          </w:p>
        </w:tc>
        <w:tc>
          <w:tcPr>
            <w:tcW w:w="2551" w:type="dxa"/>
            <w:vAlign w:val="center"/>
          </w:tcPr>
          <w:p w14:paraId="7A54F600">
            <w:pPr>
              <w:pStyle w:val="14"/>
            </w:pPr>
          </w:p>
        </w:tc>
        <w:tc>
          <w:tcPr>
            <w:tcW w:w="2551" w:type="dxa"/>
            <w:vAlign w:val="center"/>
          </w:tcPr>
          <w:p w14:paraId="5B60F797">
            <w:pPr>
              <w:pStyle w:val="14"/>
            </w:pPr>
          </w:p>
        </w:tc>
        <w:tc>
          <w:tcPr>
            <w:tcW w:w="2551" w:type="dxa"/>
            <w:vAlign w:val="center"/>
          </w:tcPr>
          <w:p w14:paraId="4AE04431">
            <w:pPr>
              <w:pStyle w:val="14"/>
            </w:pPr>
          </w:p>
        </w:tc>
      </w:tr>
    </w:tbl>
    <w:p w14:paraId="3B7638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83CBF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A57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E5DE7">
            <w:pPr>
              <w:pStyle w:val="8"/>
            </w:pPr>
            <w:r>
              <w:t>360023隆尧县固城校区</w:t>
            </w:r>
          </w:p>
        </w:tc>
        <w:tc>
          <w:tcPr>
            <w:tcW w:w="2551" w:type="dxa"/>
            <w:tcBorders>
              <w:top w:val="single" w:color="FFFFFF" w:sz="6" w:space="0"/>
              <w:left w:val="single" w:color="FFFFFF" w:sz="6" w:space="0"/>
              <w:right w:val="single" w:color="FFFFFF" w:sz="6" w:space="0"/>
            </w:tcBorders>
            <w:vAlign w:val="center"/>
          </w:tcPr>
          <w:p w14:paraId="55FC97B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78EA39D">
            <w:pPr>
              <w:pStyle w:val="10"/>
            </w:pPr>
            <w:r>
              <w:t>单位：万元</w:t>
            </w:r>
          </w:p>
        </w:tc>
      </w:tr>
      <w:tr w14:paraId="4BE67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15C27C">
            <w:pPr>
              <w:pStyle w:val="11"/>
            </w:pPr>
            <w:r>
              <w:t>序号</w:t>
            </w:r>
          </w:p>
        </w:tc>
        <w:tc>
          <w:tcPr>
            <w:tcW w:w="5726" w:type="dxa"/>
            <w:gridSpan w:val="2"/>
            <w:vAlign w:val="center"/>
          </w:tcPr>
          <w:p w14:paraId="6E9EFB56">
            <w:pPr>
              <w:pStyle w:val="11"/>
            </w:pPr>
            <w:r>
              <w:t>功能分类科目</w:t>
            </w:r>
          </w:p>
        </w:tc>
        <w:tc>
          <w:tcPr>
            <w:tcW w:w="2551" w:type="dxa"/>
            <w:vMerge w:val="restart"/>
            <w:vAlign w:val="center"/>
          </w:tcPr>
          <w:p w14:paraId="7B6A39F3">
            <w:pPr>
              <w:pStyle w:val="11"/>
            </w:pPr>
            <w:r>
              <w:t>合计</w:t>
            </w:r>
          </w:p>
        </w:tc>
        <w:tc>
          <w:tcPr>
            <w:tcW w:w="2551" w:type="dxa"/>
            <w:vMerge w:val="restart"/>
            <w:vAlign w:val="center"/>
          </w:tcPr>
          <w:p w14:paraId="5AE058AA">
            <w:pPr>
              <w:pStyle w:val="11"/>
            </w:pPr>
            <w:r>
              <w:t>基本支出</w:t>
            </w:r>
          </w:p>
        </w:tc>
        <w:tc>
          <w:tcPr>
            <w:tcW w:w="2551" w:type="dxa"/>
            <w:vMerge w:val="restart"/>
            <w:vAlign w:val="center"/>
          </w:tcPr>
          <w:p w14:paraId="6EE8B242">
            <w:pPr>
              <w:pStyle w:val="11"/>
            </w:pPr>
            <w:r>
              <w:t>项目支出</w:t>
            </w:r>
          </w:p>
        </w:tc>
      </w:tr>
      <w:tr w14:paraId="5AD1B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533EB"/>
        </w:tc>
        <w:tc>
          <w:tcPr>
            <w:tcW w:w="1191" w:type="dxa"/>
            <w:vAlign w:val="center"/>
          </w:tcPr>
          <w:p w14:paraId="56A09BB3">
            <w:pPr>
              <w:pStyle w:val="11"/>
            </w:pPr>
            <w:r>
              <w:t>科目编码</w:t>
            </w:r>
          </w:p>
        </w:tc>
        <w:tc>
          <w:tcPr>
            <w:tcW w:w="4535" w:type="dxa"/>
            <w:vAlign w:val="center"/>
          </w:tcPr>
          <w:p w14:paraId="76CED229">
            <w:pPr>
              <w:pStyle w:val="11"/>
            </w:pPr>
            <w:r>
              <w:t>科目名称</w:t>
            </w:r>
          </w:p>
        </w:tc>
        <w:tc>
          <w:tcPr>
            <w:tcW w:w="2551" w:type="dxa"/>
            <w:vMerge w:val="continue"/>
          </w:tcPr>
          <w:p w14:paraId="00425366"/>
        </w:tc>
        <w:tc>
          <w:tcPr>
            <w:tcW w:w="2551" w:type="dxa"/>
            <w:vMerge w:val="continue"/>
          </w:tcPr>
          <w:p w14:paraId="345F0468"/>
        </w:tc>
        <w:tc>
          <w:tcPr>
            <w:tcW w:w="2551" w:type="dxa"/>
            <w:vMerge w:val="continue"/>
          </w:tcPr>
          <w:p w14:paraId="60F832C4"/>
        </w:tc>
      </w:tr>
      <w:tr w14:paraId="7B122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72D846">
            <w:pPr>
              <w:pStyle w:val="11"/>
            </w:pPr>
            <w:r>
              <w:t>栏次</w:t>
            </w:r>
          </w:p>
        </w:tc>
        <w:tc>
          <w:tcPr>
            <w:tcW w:w="1191" w:type="dxa"/>
            <w:vAlign w:val="center"/>
          </w:tcPr>
          <w:p w14:paraId="7F3501D0">
            <w:pPr>
              <w:pStyle w:val="11"/>
            </w:pPr>
            <w:r>
              <w:t>1</w:t>
            </w:r>
          </w:p>
        </w:tc>
        <w:tc>
          <w:tcPr>
            <w:tcW w:w="4535" w:type="dxa"/>
            <w:vAlign w:val="center"/>
          </w:tcPr>
          <w:p w14:paraId="26E6B452">
            <w:pPr>
              <w:pStyle w:val="11"/>
            </w:pPr>
            <w:r>
              <w:t>2</w:t>
            </w:r>
          </w:p>
        </w:tc>
        <w:tc>
          <w:tcPr>
            <w:tcW w:w="2551" w:type="dxa"/>
            <w:vAlign w:val="center"/>
          </w:tcPr>
          <w:p w14:paraId="7C82F796">
            <w:pPr>
              <w:pStyle w:val="11"/>
            </w:pPr>
            <w:r>
              <w:t>3</w:t>
            </w:r>
          </w:p>
        </w:tc>
        <w:tc>
          <w:tcPr>
            <w:tcW w:w="2551" w:type="dxa"/>
            <w:vAlign w:val="center"/>
          </w:tcPr>
          <w:p w14:paraId="2026468C">
            <w:pPr>
              <w:pStyle w:val="11"/>
            </w:pPr>
            <w:r>
              <w:t>4</w:t>
            </w:r>
          </w:p>
        </w:tc>
        <w:tc>
          <w:tcPr>
            <w:tcW w:w="2551" w:type="dxa"/>
            <w:vAlign w:val="center"/>
          </w:tcPr>
          <w:p w14:paraId="6B178E51">
            <w:pPr>
              <w:pStyle w:val="11"/>
            </w:pPr>
            <w:r>
              <w:t>5</w:t>
            </w:r>
          </w:p>
        </w:tc>
      </w:tr>
      <w:tr w14:paraId="17871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7DF77">
            <w:pPr>
              <w:pStyle w:val="12"/>
            </w:pPr>
          </w:p>
        </w:tc>
        <w:tc>
          <w:tcPr>
            <w:tcW w:w="1191" w:type="dxa"/>
            <w:vAlign w:val="center"/>
          </w:tcPr>
          <w:p w14:paraId="744F68CC">
            <w:pPr>
              <w:pStyle w:val="13"/>
            </w:pPr>
          </w:p>
        </w:tc>
        <w:tc>
          <w:tcPr>
            <w:tcW w:w="4535" w:type="dxa"/>
            <w:vAlign w:val="center"/>
          </w:tcPr>
          <w:p w14:paraId="2165928F">
            <w:pPr>
              <w:pStyle w:val="13"/>
            </w:pPr>
          </w:p>
        </w:tc>
        <w:tc>
          <w:tcPr>
            <w:tcW w:w="2551" w:type="dxa"/>
            <w:vAlign w:val="center"/>
          </w:tcPr>
          <w:p w14:paraId="6017DBA1">
            <w:pPr>
              <w:pStyle w:val="14"/>
            </w:pPr>
          </w:p>
        </w:tc>
        <w:tc>
          <w:tcPr>
            <w:tcW w:w="2551" w:type="dxa"/>
            <w:vAlign w:val="center"/>
          </w:tcPr>
          <w:p w14:paraId="23654ACC">
            <w:pPr>
              <w:pStyle w:val="14"/>
            </w:pPr>
          </w:p>
        </w:tc>
        <w:tc>
          <w:tcPr>
            <w:tcW w:w="2551" w:type="dxa"/>
            <w:vAlign w:val="center"/>
          </w:tcPr>
          <w:p w14:paraId="018FF7FB">
            <w:pPr>
              <w:pStyle w:val="14"/>
            </w:pPr>
          </w:p>
        </w:tc>
      </w:tr>
    </w:tbl>
    <w:p w14:paraId="4C7618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F28A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EB62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DCB3BD">
            <w:pPr>
              <w:pStyle w:val="8"/>
            </w:pPr>
            <w:r>
              <w:t>360023隆尧县固城校区</w:t>
            </w:r>
          </w:p>
        </w:tc>
        <w:tc>
          <w:tcPr>
            <w:tcW w:w="2381" w:type="dxa"/>
            <w:tcBorders>
              <w:top w:val="single" w:color="FFFFFF" w:sz="6" w:space="0"/>
              <w:left w:val="single" w:color="FFFFFF" w:sz="6" w:space="0"/>
              <w:right w:val="single" w:color="FFFFFF" w:sz="6" w:space="0"/>
            </w:tcBorders>
            <w:vAlign w:val="center"/>
          </w:tcPr>
          <w:p w14:paraId="2FFE957A">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FD61101">
            <w:pPr>
              <w:pStyle w:val="10"/>
            </w:pPr>
            <w:r>
              <w:t>单位：万元</w:t>
            </w:r>
          </w:p>
        </w:tc>
      </w:tr>
      <w:tr w14:paraId="27D36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422EB1C5">
            <w:pPr>
              <w:pStyle w:val="11"/>
            </w:pPr>
            <w:r>
              <w:t>序号</w:t>
            </w:r>
          </w:p>
        </w:tc>
        <w:tc>
          <w:tcPr>
            <w:tcW w:w="3798" w:type="dxa"/>
            <w:vMerge w:val="restart"/>
            <w:vAlign w:val="center"/>
          </w:tcPr>
          <w:p w14:paraId="25FCD36A">
            <w:pPr>
              <w:pStyle w:val="11"/>
            </w:pPr>
            <w:r>
              <w:t>项  目</w:t>
            </w:r>
          </w:p>
        </w:tc>
        <w:tc>
          <w:tcPr>
            <w:tcW w:w="9524" w:type="dxa"/>
            <w:gridSpan w:val="4"/>
            <w:vAlign w:val="center"/>
          </w:tcPr>
          <w:p w14:paraId="6D304CE4">
            <w:pPr>
              <w:pStyle w:val="11"/>
            </w:pPr>
            <w:r>
              <w:t>资 金 性 质</w:t>
            </w:r>
          </w:p>
        </w:tc>
      </w:tr>
      <w:tr w14:paraId="154EC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4CD3FD"/>
        </w:tc>
        <w:tc>
          <w:tcPr>
            <w:tcW w:w="3798" w:type="dxa"/>
            <w:vMerge w:val="continue"/>
          </w:tcPr>
          <w:p w14:paraId="7F9A6C62"/>
        </w:tc>
        <w:tc>
          <w:tcPr>
            <w:tcW w:w="2381" w:type="dxa"/>
            <w:vAlign w:val="center"/>
          </w:tcPr>
          <w:p w14:paraId="1EC6A800">
            <w:pPr>
              <w:pStyle w:val="11"/>
            </w:pPr>
            <w:r>
              <w:t>合计</w:t>
            </w:r>
          </w:p>
        </w:tc>
        <w:tc>
          <w:tcPr>
            <w:tcW w:w="2381" w:type="dxa"/>
            <w:vAlign w:val="center"/>
          </w:tcPr>
          <w:p w14:paraId="635F1B30">
            <w:pPr>
              <w:pStyle w:val="11"/>
            </w:pPr>
            <w:r>
              <w:t>一般公共预算              财政拨款</w:t>
            </w:r>
          </w:p>
        </w:tc>
        <w:tc>
          <w:tcPr>
            <w:tcW w:w="2381" w:type="dxa"/>
            <w:vAlign w:val="center"/>
          </w:tcPr>
          <w:p w14:paraId="6504E907">
            <w:pPr>
              <w:pStyle w:val="11"/>
            </w:pPr>
            <w:r>
              <w:t>政府性基金                  预算拨款</w:t>
            </w:r>
          </w:p>
        </w:tc>
        <w:tc>
          <w:tcPr>
            <w:tcW w:w="2381" w:type="dxa"/>
            <w:vAlign w:val="center"/>
          </w:tcPr>
          <w:p w14:paraId="5350CF3C">
            <w:pPr>
              <w:pStyle w:val="11"/>
            </w:pPr>
            <w:r>
              <w:t>国有资本经营              预算财政拨款</w:t>
            </w:r>
          </w:p>
        </w:tc>
      </w:tr>
      <w:tr w14:paraId="6D73B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9AF3D3">
            <w:pPr>
              <w:pStyle w:val="11"/>
            </w:pPr>
            <w:r>
              <w:t>栏次</w:t>
            </w:r>
          </w:p>
        </w:tc>
        <w:tc>
          <w:tcPr>
            <w:tcW w:w="3798" w:type="dxa"/>
            <w:vAlign w:val="center"/>
          </w:tcPr>
          <w:p w14:paraId="4BDE9939">
            <w:pPr>
              <w:pStyle w:val="11"/>
            </w:pPr>
            <w:r>
              <w:t>1</w:t>
            </w:r>
          </w:p>
        </w:tc>
        <w:tc>
          <w:tcPr>
            <w:tcW w:w="2381" w:type="dxa"/>
            <w:vAlign w:val="center"/>
          </w:tcPr>
          <w:p w14:paraId="49F8B310">
            <w:pPr>
              <w:pStyle w:val="11"/>
            </w:pPr>
            <w:r>
              <w:t>2</w:t>
            </w:r>
          </w:p>
        </w:tc>
        <w:tc>
          <w:tcPr>
            <w:tcW w:w="2381" w:type="dxa"/>
            <w:vAlign w:val="center"/>
          </w:tcPr>
          <w:p w14:paraId="626B4F24">
            <w:pPr>
              <w:pStyle w:val="11"/>
            </w:pPr>
            <w:r>
              <w:t>3</w:t>
            </w:r>
          </w:p>
        </w:tc>
        <w:tc>
          <w:tcPr>
            <w:tcW w:w="2381" w:type="dxa"/>
            <w:vAlign w:val="center"/>
          </w:tcPr>
          <w:p w14:paraId="026EE818">
            <w:pPr>
              <w:pStyle w:val="11"/>
            </w:pPr>
            <w:r>
              <w:t>4</w:t>
            </w:r>
          </w:p>
        </w:tc>
        <w:tc>
          <w:tcPr>
            <w:tcW w:w="2381" w:type="dxa"/>
            <w:vAlign w:val="center"/>
          </w:tcPr>
          <w:p w14:paraId="67CACCF2">
            <w:pPr>
              <w:pStyle w:val="11"/>
            </w:pPr>
            <w:r>
              <w:t>5</w:t>
            </w:r>
          </w:p>
        </w:tc>
      </w:tr>
      <w:tr w14:paraId="27924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1D29F7">
            <w:pPr>
              <w:pStyle w:val="12"/>
            </w:pPr>
          </w:p>
        </w:tc>
        <w:tc>
          <w:tcPr>
            <w:tcW w:w="3798" w:type="dxa"/>
            <w:vAlign w:val="center"/>
          </w:tcPr>
          <w:p w14:paraId="16D0A33A">
            <w:pPr>
              <w:pStyle w:val="13"/>
            </w:pPr>
          </w:p>
        </w:tc>
        <w:tc>
          <w:tcPr>
            <w:tcW w:w="2381" w:type="dxa"/>
            <w:vAlign w:val="center"/>
          </w:tcPr>
          <w:p w14:paraId="0AB7328D">
            <w:pPr>
              <w:pStyle w:val="14"/>
            </w:pPr>
          </w:p>
        </w:tc>
        <w:tc>
          <w:tcPr>
            <w:tcW w:w="2381" w:type="dxa"/>
            <w:vAlign w:val="center"/>
          </w:tcPr>
          <w:p w14:paraId="46181ECB">
            <w:pPr>
              <w:pStyle w:val="14"/>
            </w:pPr>
          </w:p>
        </w:tc>
        <w:tc>
          <w:tcPr>
            <w:tcW w:w="2381" w:type="dxa"/>
            <w:vAlign w:val="center"/>
          </w:tcPr>
          <w:p w14:paraId="3920CCC1">
            <w:pPr>
              <w:pStyle w:val="14"/>
            </w:pPr>
          </w:p>
        </w:tc>
        <w:tc>
          <w:tcPr>
            <w:tcW w:w="2381" w:type="dxa"/>
            <w:vAlign w:val="center"/>
          </w:tcPr>
          <w:p w14:paraId="6EFA6E2A">
            <w:pPr>
              <w:pStyle w:val="14"/>
            </w:pPr>
          </w:p>
        </w:tc>
      </w:tr>
    </w:tbl>
    <w:p w14:paraId="6110C92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8600EE7">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隆尧县固城校区2025年单位预算信息公开情况说明</w:t>
      </w:r>
    </w:p>
    <w:p w14:paraId="4466B65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按照《中华人民共和国预算法》、《地方预决算公开操作规程》和《关于进一步推进预算公开工作的实施意见》规定，现将隆尧县固城校区2025年单位预算公开如下：</w:t>
      </w:r>
    </w:p>
    <w:p w14:paraId="66A98AA9">
      <w:pPr>
        <w:spacing w:before="10" w:after="10" w:line="240" w:lineRule="auto"/>
        <w:ind w:firstLine="640"/>
        <w:jc w:val="left"/>
        <w:outlineLvl w:val="5"/>
      </w:pPr>
      <w:r>
        <w:rPr>
          <w:rFonts w:ascii="黑体" w:hAnsi="黑体" w:eastAsia="黑体" w:cs="黑体"/>
          <w:color w:val="000000"/>
          <w:sz w:val="32"/>
        </w:rPr>
        <w:t>一、单位职责及机构设置情况</w:t>
      </w:r>
    </w:p>
    <w:p w14:paraId="0588A2D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33D96AC">
      <w:pPr>
        <w:pStyle w:val="18"/>
      </w:pPr>
      <w:r>
        <w:t>贯彻落实基础教育的方针、政策，开展义教阶段教育教学工作，促进学生德、智、体、美、劳全面发展；负责学生安全教育和管理，确保学生身心健康；加强教师队伍建设和管理，为教育教学工作提供保障。</w:t>
      </w:r>
    </w:p>
    <w:p w14:paraId="3677555A">
      <w:pPr>
        <w:pStyle w:val="18"/>
      </w:pPr>
      <w:r>
        <w:t>隆尧县固城校区事业编制193名．其中，校长1名（正股级），副校长3名（副股级）；经费形式为财政性资金基本保证。</w:t>
      </w:r>
    </w:p>
    <w:p w14:paraId="3DD873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61805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5FC8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34BF72">
            <w:pPr>
              <w:pStyle w:val="11"/>
            </w:pPr>
            <w:r>
              <w:t>单位名称</w:t>
            </w:r>
          </w:p>
        </w:tc>
        <w:tc>
          <w:tcPr>
            <w:tcW w:w="1843" w:type="dxa"/>
            <w:vAlign w:val="center"/>
          </w:tcPr>
          <w:p w14:paraId="6AE59D8A">
            <w:pPr>
              <w:pStyle w:val="11"/>
            </w:pPr>
            <w:r>
              <w:t>单位性质</w:t>
            </w:r>
          </w:p>
        </w:tc>
        <w:tc>
          <w:tcPr>
            <w:tcW w:w="2126" w:type="dxa"/>
            <w:vAlign w:val="center"/>
          </w:tcPr>
          <w:p w14:paraId="4A4AEC5D">
            <w:pPr>
              <w:pStyle w:val="11"/>
            </w:pPr>
            <w:r>
              <w:t>单位规格</w:t>
            </w:r>
          </w:p>
        </w:tc>
        <w:tc>
          <w:tcPr>
            <w:tcW w:w="3827" w:type="dxa"/>
            <w:vAlign w:val="center"/>
          </w:tcPr>
          <w:p w14:paraId="402472CC">
            <w:pPr>
              <w:pStyle w:val="11"/>
            </w:pPr>
            <w:r>
              <w:t>经费保障形式</w:t>
            </w:r>
          </w:p>
        </w:tc>
      </w:tr>
      <w:tr w14:paraId="44837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CBF6416">
            <w:pPr>
              <w:pStyle w:val="13"/>
            </w:pPr>
            <w:r>
              <w:t>隆尧县固城校区</w:t>
            </w:r>
          </w:p>
        </w:tc>
        <w:tc>
          <w:tcPr>
            <w:tcW w:w="1843" w:type="dxa"/>
            <w:vAlign w:val="center"/>
          </w:tcPr>
          <w:p w14:paraId="0CAAB3E2">
            <w:pPr>
              <w:pStyle w:val="12"/>
            </w:pPr>
            <w:r>
              <w:t>事业</w:t>
            </w:r>
          </w:p>
        </w:tc>
        <w:tc>
          <w:tcPr>
            <w:tcW w:w="2126" w:type="dxa"/>
            <w:vAlign w:val="center"/>
          </w:tcPr>
          <w:p w14:paraId="558BCE83">
            <w:pPr>
              <w:pStyle w:val="12"/>
            </w:pPr>
            <w:r>
              <w:t>股级</w:t>
            </w:r>
          </w:p>
        </w:tc>
        <w:tc>
          <w:tcPr>
            <w:tcW w:w="3827" w:type="dxa"/>
            <w:vAlign w:val="center"/>
          </w:tcPr>
          <w:p w14:paraId="51B858A7">
            <w:pPr>
              <w:pStyle w:val="12"/>
            </w:pPr>
            <w:r>
              <w:t>财政性资金基本保证</w:t>
            </w:r>
          </w:p>
        </w:tc>
      </w:tr>
    </w:tbl>
    <w:p w14:paraId="27096CD7">
      <w:pPr>
        <w:spacing w:before="10" w:after="10" w:line="240" w:lineRule="auto"/>
        <w:ind w:firstLine="640"/>
        <w:jc w:val="left"/>
        <w:outlineLvl w:val="5"/>
      </w:pPr>
      <w:r>
        <w:rPr>
          <w:rFonts w:ascii="黑体" w:hAnsi="黑体" w:eastAsia="黑体" w:cs="黑体"/>
          <w:color w:val="000000"/>
          <w:sz w:val="32"/>
        </w:rPr>
        <w:t>二、单位预算安排的总体情况</w:t>
      </w:r>
    </w:p>
    <w:p w14:paraId="06B86C20">
      <w:pPr>
        <w:pStyle w:val="19"/>
      </w:pPr>
      <w:r>
        <w:t>二、单位预算安排的总体情况</w:t>
      </w:r>
    </w:p>
    <w:p w14:paraId="5B1677BB">
      <w:pPr>
        <w:pStyle w:val="19"/>
      </w:pPr>
      <w:r>
        <w:t>按照预算管理有关规定，目前我校区单位预算的编制实行综合预算管理，即全部收入和支出都反映的预算中。隆尧县固城校区的收支包含在单位预算中。</w:t>
      </w:r>
    </w:p>
    <w:p w14:paraId="6B617ACF">
      <w:pPr>
        <w:pStyle w:val="19"/>
      </w:pPr>
      <w:r>
        <w:t>1、收入说明</w:t>
      </w:r>
    </w:p>
    <w:p w14:paraId="791A38B9">
      <w:pPr>
        <w:pStyle w:val="19"/>
      </w:pPr>
      <w:r>
        <w:t>反映本单位当年全部收入。2025年预算收入3029.02万元，其中：一般公共预算收入3029.02万元，基金预算收入0万元，上年结转收入0万元，财政专户收入0万元，其他来源收入0万元。</w:t>
      </w:r>
    </w:p>
    <w:p w14:paraId="406568A3">
      <w:pPr>
        <w:pStyle w:val="19"/>
      </w:pPr>
      <w:r>
        <w:t>2、支出说明</w:t>
      </w:r>
    </w:p>
    <w:p w14:paraId="08069232">
      <w:pPr>
        <w:pStyle w:val="19"/>
      </w:pPr>
      <w:r>
        <w:t>收支预算总表支出栏、基本支出表、项目支出表按经济分类和支出功能分类科目编制，反映我单位预算中支出预算的总体情况。2025年单位支出预算为3029.02万元元，其中基本支出2267.33万元；项目支出761.69万元。</w:t>
      </w:r>
    </w:p>
    <w:p w14:paraId="1CA3024B">
      <w:pPr>
        <w:pStyle w:val="19"/>
      </w:pPr>
      <w:r>
        <w:t>3、比上年增减情况</w:t>
      </w:r>
    </w:p>
    <w:p w14:paraId="517CE824">
      <w:pPr>
        <w:pStyle w:val="19"/>
      </w:pPr>
      <w:r>
        <w:t>2025年部门预算收支安排3029.02万元，较2024年预算减少205.18万元，其中基本支出增加138.72万元，项目支出减少343.9万元.</w:t>
      </w:r>
    </w:p>
    <w:p w14:paraId="40B4E37F">
      <w:pPr>
        <w:spacing w:before="10" w:after="10" w:line="240" w:lineRule="auto"/>
        <w:ind w:firstLine="640"/>
        <w:jc w:val="left"/>
        <w:outlineLvl w:val="5"/>
      </w:pPr>
      <w:r>
        <w:rPr>
          <w:rFonts w:ascii="黑体" w:hAnsi="黑体" w:eastAsia="黑体" w:cs="黑体"/>
          <w:color w:val="000000"/>
          <w:sz w:val="32"/>
        </w:rPr>
        <w:t>三、机关运行经费安排情况</w:t>
      </w:r>
    </w:p>
    <w:p w14:paraId="57CAF035">
      <w:pPr>
        <w:pStyle w:val="20"/>
      </w:pPr>
      <w:r>
        <w:t>三、机关运行经费安排情况</w:t>
      </w:r>
    </w:p>
    <w:p w14:paraId="453D6FFE">
      <w:pPr>
        <w:pStyle w:val="20"/>
      </w:pPr>
      <w:r>
        <w:t>机关运行经费安排情况</w:t>
      </w:r>
    </w:p>
    <w:p w14:paraId="302B8802">
      <w:pPr>
        <w:pStyle w:val="20"/>
      </w:pPr>
      <w:r>
        <w:t>2024年我单位机关运行经费安排0万元</w:t>
      </w:r>
    </w:p>
    <w:p w14:paraId="1AAC262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CF587CD">
      <w:pPr>
        <w:pStyle w:val="21"/>
      </w:pPr>
      <w:r>
        <w:t>四、财政拨款“三公”经费预算情况及增减变化原因</w:t>
      </w:r>
    </w:p>
    <w:p w14:paraId="20D4E391">
      <w:pPr>
        <w:pStyle w:val="21"/>
      </w:pPr>
      <w:r>
        <w:t>2024年我单位未安排三公经费。</w:t>
      </w:r>
    </w:p>
    <w:p w14:paraId="7346AA9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09B12AA">
      <w:pPr>
        <w:spacing w:before="0" w:after="0"/>
        <w:ind w:firstLine="560"/>
        <w:jc w:val="left"/>
        <w:outlineLvl w:val="9"/>
      </w:pPr>
      <w:r>
        <w:rPr>
          <w:rFonts w:ascii="方正仿宋_GBK" w:hAnsi="方正仿宋_GBK" w:eastAsia="方正仿宋_GBK" w:cs="方正仿宋_GBK"/>
          <w:b/>
          <w:color w:val="000000"/>
          <w:sz w:val="28"/>
        </w:rPr>
        <w:t>1、冀财教[2024]121号/中央/2025年学前发展资金/固城校区学前教育幼儿资助绩效目标表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64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F601A">
            <w:pPr>
              <w:pStyle w:val="14"/>
            </w:pPr>
            <w:r>
              <w:t>单位：万元</w:t>
            </w:r>
          </w:p>
        </w:tc>
      </w:tr>
      <w:tr w14:paraId="621BA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ACB0BC">
            <w:pPr>
              <w:pStyle w:val="11"/>
            </w:pPr>
            <w:r>
              <w:t>项目编码</w:t>
            </w:r>
          </w:p>
        </w:tc>
        <w:tc>
          <w:tcPr>
            <w:tcW w:w="5103" w:type="dxa"/>
            <w:gridSpan w:val="2"/>
            <w:vAlign w:val="center"/>
          </w:tcPr>
          <w:p w14:paraId="35A58F6E">
            <w:pPr>
              <w:pStyle w:val="13"/>
            </w:pPr>
            <w:r>
              <w:t>13052525P000002100579</w:t>
            </w:r>
          </w:p>
        </w:tc>
        <w:tc>
          <w:tcPr>
            <w:tcW w:w="2835" w:type="dxa"/>
            <w:vAlign w:val="center"/>
          </w:tcPr>
          <w:p w14:paraId="3BAD8482">
            <w:pPr>
              <w:pStyle w:val="11"/>
            </w:pPr>
            <w:r>
              <w:t>项目名称</w:t>
            </w:r>
          </w:p>
        </w:tc>
        <w:tc>
          <w:tcPr>
            <w:tcW w:w="6095" w:type="dxa"/>
            <w:gridSpan w:val="3"/>
            <w:vAlign w:val="center"/>
          </w:tcPr>
          <w:p w14:paraId="14280C14">
            <w:pPr>
              <w:pStyle w:val="13"/>
            </w:pPr>
            <w:r>
              <w:t>冀财教[2024]121号/中央/2025年学前发展资金/固城校区学前教育幼儿资助</w:t>
            </w:r>
          </w:p>
        </w:tc>
      </w:tr>
      <w:tr w14:paraId="48245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E6687">
            <w:pPr>
              <w:pStyle w:val="11"/>
            </w:pPr>
            <w:r>
              <w:t>预算规模及资金用途</w:t>
            </w:r>
          </w:p>
        </w:tc>
        <w:tc>
          <w:tcPr>
            <w:tcW w:w="2268" w:type="dxa"/>
            <w:vAlign w:val="center"/>
          </w:tcPr>
          <w:p w14:paraId="32281C99">
            <w:pPr>
              <w:pStyle w:val="11"/>
            </w:pPr>
            <w:r>
              <w:t>预算数</w:t>
            </w:r>
          </w:p>
        </w:tc>
        <w:tc>
          <w:tcPr>
            <w:tcW w:w="2835" w:type="dxa"/>
            <w:vAlign w:val="center"/>
          </w:tcPr>
          <w:p w14:paraId="39CEE9B7">
            <w:pPr>
              <w:pStyle w:val="13"/>
            </w:pPr>
            <w:r>
              <w:t>2.04</w:t>
            </w:r>
          </w:p>
        </w:tc>
        <w:tc>
          <w:tcPr>
            <w:tcW w:w="2835" w:type="dxa"/>
            <w:vAlign w:val="center"/>
          </w:tcPr>
          <w:p w14:paraId="53DAFE79">
            <w:pPr>
              <w:pStyle w:val="11"/>
            </w:pPr>
            <w:r>
              <w:t>其中：财政    资金</w:t>
            </w:r>
          </w:p>
        </w:tc>
        <w:tc>
          <w:tcPr>
            <w:tcW w:w="2551" w:type="dxa"/>
            <w:vAlign w:val="center"/>
          </w:tcPr>
          <w:p w14:paraId="3B189CFC">
            <w:pPr>
              <w:pStyle w:val="13"/>
            </w:pPr>
            <w:r>
              <w:t>2.04</w:t>
            </w:r>
          </w:p>
        </w:tc>
        <w:tc>
          <w:tcPr>
            <w:tcW w:w="2268" w:type="dxa"/>
            <w:vAlign w:val="center"/>
          </w:tcPr>
          <w:p w14:paraId="7F896F93">
            <w:pPr>
              <w:pStyle w:val="11"/>
            </w:pPr>
            <w:r>
              <w:t>其他资金</w:t>
            </w:r>
          </w:p>
        </w:tc>
        <w:tc>
          <w:tcPr>
            <w:tcW w:w="1276" w:type="dxa"/>
            <w:vAlign w:val="center"/>
          </w:tcPr>
          <w:p w14:paraId="2591B11D">
            <w:pPr>
              <w:pStyle w:val="13"/>
            </w:pPr>
            <w:r>
              <w:t xml:space="preserve"> </w:t>
            </w:r>
          </w:p>
        </w:tc>
      </w:tr>
      <w:tr w14:paraId="58E9E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4A0B0B"/>
        </w:tc>
        <w:tc>
          <w:tcPr>
            <w:tcW w:w="14033" w:type="dxa"/>
            <w:gridSpan w:val="6"/>
            <w:vAlign w:val="center"/>
          </w:tcPr>
          <w:p w14:paraId="33EF7B9D">
            <w:pPr>
              <w:pStyle w:val="13"/>
            </w:pPr>
            <w:r>
              <w:t>用于保障落实建档立卡及家庭经济困难儿童资助所需资金，确保建档立卡等家庭经济困难幼儿优先获得资助</w:t>
            </w:r>
          </w:p>
        </w:tc>
      </w:tr>
      <w:tr w14:paraId="78818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9B04C">
            <w:pPr>
              <w:pStyle w:val="11"/>
            </w:pPr>
            <w:r>
              <w:t>资金支出计划（%）</w:t>
            </w:r>
          </w:p>
        </w:tc>
        <w:tc>
          <w:tcPr>
            <w:tcW w:w="5103" w:type="dxa"/>
            <w:gridSpan w:val="2"/>
            <w:vAlign w:val="center"/>
          </w:tcPr>
          <w:p w14:paraId="3CC60600">
            <w:pPr>
              <w:pStyle w:val="11"/>
            </w:pPr>
            <w:r>
              <w:t>3月底</w:t>
            </w:r>
          </w:p>
        </w:tc>
        <w:tc>
          <w:tcPr>
            <w:tcW w:w="2835" w:type="dxa"/>
            <w:vAlign w:val="center"/>
          </w:tcPr>
          <w:p w14:paraId="04A84F4D">
            <w:pPr>
              <w:pStyle w:val="11"/>
            </w:pPr>
            <w:r>
              <w:t>6月底</w:t>
            </w:r>
          </w:p>
        </w:tc>
        <w:tc>
          <w:tcPr>
            <w:tcW w:w="2551" w:type="dxa"/>
            <w:vAlign w:val="center"/>
          </w:tcPr>
          <w:p w14:paraId="7E090FC9">
            <w:pPr>
              <w:pStyle w:val="11"/>
            </w:pPr>
            <w:r>
              <w:t>10月底</w:t>
            </w:r>
          </w:p>
        </w:tc>
        <w:tc>
          <w:tcPr>
            <w:tcW w:w="3544" w:type="dxa"/>
            <w:gridSpan w:val="2"/>
            <w:vAlign w:val="center"/>
          </w:tcPr>
          <w:p w14:paraId="13EAC83E">
            <w:pPr>
              <w:pStyle w:val="11"/>
            </w:pPr>
            <w:r>
              <w:t>12月底</w:t>
            </w:r>
          </w:p>
        </w:tc>
      </w:tr>
      <w:tr w14:paraId="6A343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51939"/>
        </w:tc>
        <w:tc>
          <w:tcPr>
            <w:tcW w:w="5103" w:type="dxa"/>
            <w:gridSpan w:val="2"/>
            <w:vAlign w:val="center"/>
          </w:tcPr>
          <w:p w14:paraId="209BE445">
            <w:pPr>
              <w:pStyle w:val="12"/>
            </w:pPr>
            <w:r>
              <w:t xml:space="preserve"> </w:t>
            </w:r>
          </w:p>
        </w:tc>
        <w:tc>
          <w:tcPr>
            <w:tcW w:w="2835" w:type="dxa"/>
            <w:vAlign w:val="center"/>
          </w:tcPr>
          <w:p w14:paraId="0FEE1EE1">
            <w:pPr>
              <w:pStyle w:val="12"/>
            </w:pPr>
            <w:r>
              <w:t>50%</w:t>
            </w:r>
          </w:p>
        </w:tc>
        <w:tc>
          <w:tcPr>
            <w:tcW w:w="2551" w:type="dxa"/>
            <w:vAlign w:val="center"/>
          </w:tcPr>
          <w:p w14:paraId="3A8D9DC9">
            <w:pPr>
              <w:pStyle w:val="12"/>
            </w:pPr>
            <w:r>
              <w:t>100%</w:t>
            </w:r>
          </w:p>
        </w:tc>
        <w:tc>
          <w:tcPr>
            <w:tcW w:w="3544" w:type="dxa"/>
            <w:gridSpan w:val="2"/>
            <w:vAlign w:val="center"/>
          </w:tcPr>
          <w:p w14:paraId="0D3C64D8">
            <w:pPr>
              <w:pStyle w:val="12"/>
            </w:pPr>
            <w:r>
              <w:t>100%</w:t>
            </w:r>
          </w:p>
        </w:tc>
      </w:tr>
      <w:tr w14:paraId="7ECCC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56DF6">
            <w:pPr>
              <w:pStyle w:val="11"/>
            </w:pPr>
            <w:r>
              <w:t>绩效目标</w:t>
            </w:r>
          </w:p>
        </w:tc>
        <w:tc>
          <w:tcPr>
            <w:tcW w:w="14033" w:type="dxa"/>
            <w:gridSpan w:val="6"/>
            <w:vAlign w:val="center"/>
          </w:tcPr>
          <w:p w14:paraId="67444562">
            <w:pPr>
              <w:pStyle w:val="13"/>
            </w:pPr>
            <w:r>
              <w:t>1.保证本年度资助经费足额落实到位，符合享受资助条件的学生应助尽助。</w:t>
            </w:r>
          </w:p>
          <w:p w14:paraId="6CAAE272">
            <w:pPr>
              <w:pStyle w:val="13"/>
            </w:pPr>
            <w:r>
              <w:t>2.保障落实建档立卡及家庭经济困难儿童资助所需资金，确保建档立卡等家庭经济困难幼儿优先获得资助</w:t>
            </w:r>
          </w:p>
        </w:tc>
      </w:tr>
    </w:tbl>
    <w:p w14:paraId="519AD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90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E1A8D">
            <w:pPr>
              <w:pStyle w:val="11"/>
            </w:pPr>
            <w:r>
              <w:t>一级指标</w:t>
            </w:r>
          </w:p>
        </w:tc>
        <w:tc>
          <w:tcPr>
            <w:tcW w:w="2268" w:type="dxa"/>
            <w:vAlign w:val="center"/>
          </w:tcPr>
          <w:p w14:paraId="1DA4160C">
            <w:pPr>
              <w:pStyle w:val="11"/>
            </w:pPr>
            <w:r>
              <w:t>二级指标</w:t>
            </w:r>
          </w:p>
        </w:tc>
        <w:tc>
          <w:tcPr>
            <w:tcW w:w="2835" w:type="dxa"/>
            <w:vAlign w:val="center"/>
          </w:tcPr>
          <w:p w14:paraId="05017185">
            <w:pPr>
              <w:pStyle w:val="11"/>
            </w:pPr>
            <w:r>
              <w:t>三级指标</w:t>
            </w:r>
          </w:p>
        </w:tc>
        <w:tc>
          <w:tcPr>
            <w:tcW w:w="5386" w:type="dxa"/>
            <w:vAlign w:val="center"/>
          </w:tcPr>
          <w:p w14:paraId="3F2E3D5A">
            <w:pPr>
              <w:pStyle w:val="11"/>
            </w:pPr>
            <w:r>
              <w:t>绩效指标描述</w:t>
            </w:r>
          </w:p>
        </w:tc>
        <w:tc>
          <w:tcPr>
            <w:tcW w:w="2268" w:type="dxa"/>
            <w:vAlign w:val="center"/>
          </w:tcPr>
          <w:p w14:paraId="40723FE1">
            <w:pPr>
              <w:pStyle w:val="11"/>
            </w:pPr>
            <w:r>
              <w:t>指标值</w:t>
            </w:r>
          </w:p>
        </w:tc>
        <w:tc>
          <w:tcPr>
            <w:tcW w:w="1276" w:type="dxa"/>
            <w:vAlign w:val="center"/>
          </w:tcPr>
          <w:p w14:paraId="2B748624">
            <w:pPr>
              <w:pStyle w:val="11"/>
            </w:pPr>
            <w:r>
              <w:t>指标值确定依据</w:t>
            </w:r>
          </w:p>
        </w:tc>
      </w:tr>
      <w:tr w14:paraId="0BE2B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D8290">
            <w:pPr>
              <w:pStyle w:val="12"/>
            </w:pPr>
            <w:r>
              <w:t>产出指标</w:t>
            </w:r>
          </w:p>
        </w:tc>
        <w:tc>
          <w:tcPr>
            <w:tcW w:w="2268" w:type="dxa"/>
            <w:vAlign w:val="center"/>
          </w:tcPr>
          <w:p w14:paraId="39FD17CE">
            <w:pPr>
              <w:pStyle w:val="13"/>
            </w:pPr>
            <w:r>
              <w:t>数量指标</w:t>
            </w:r>
          </w:p>
        </w:tc>
        <w:tc>
          <w:tcPr>
            <w:tcW w:w="2835" w:type="dxa"/>
            <w:vAlign w:val="center"/>
          </w:tcPr>
          <w:p w14:paraId="689E570C">
            <w:pPr>
              <w:pStyle w:val="13"/>
            </w:pPr>
            <w:r>
              <w:t>幼儿资助比例</w:t>
            </w:r>
          </w:p>
        </w:tc>
        <w:tc>
          <w:tcPr>
            <w:tcW w:w="5386" w:type="dxa"/>
            <w:vAlign w:val="center"/>
          </w:tcPr>
          <w:p w14:paraId="62B1DD44">
            <w:pPr>
              <w:pStyle w:val="13"/>
            </w:pPr>
            <w:r>
              <w:t>按学前适龄在园儿童10%测算</w:t>
            </w:r>
          </w:p>
        </w:tc>
        <w:tc>
          <w:tcPr>
            <w:tcW w:w="2268" w:type="dxa"/>
            <w:vAlign w:val="center"/>
          </w:tcPr>
          <w:p w14:paraId="024A8FA8">
            <w:pPr>
              <w:pStyle w:val="13"/>
            </w:pPr>
            <w:r>
              <w:t>≥10%</w:t>
            </w:r>
          </w:p>
        </w:tc>
        <w:tc>
          <w:tcPr>
            <w:tcW w:w="1276" w:type="dxa"/>
            <w:vAlign w:val="center"/>
          </w:tcPr>
          <w:p w14:paraId="1E868FB8">
            <w:pPr>
              <w:pStyle w:val="13"/>
            </w:pPr>
            <w:r>
              <w:t>幼儿资助经费管理办法</w:t>
            </w:r>
          </w:p>
        </w:tc>
      </w:tr>
      <w:tr w14:paraId="6353A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11E4E"/>
        </w:tc>
        <w:tc>
          <w:tcPr>
            <w:tcW w:w="2268" w:type="dxa"/>
            <w:vAlign w:val="center"/>
          </w:tcPr>
          <w:p w14:paraId="3D51F336">
            <w:pPr>
              <w:pStyle w:val="13"/>
            </w:pPr>
            <w:r>
              <w:t>质量指标</w:t>
            </w:r>
          </w:p>
        </w:tc>
        <w:tc>
          <w:tcPr>
            <w:tcW w:w="2835" w:type="dxa"/>
            <w:vAlign w:val="center"/>
          </w:tcPr>
          <w:p w14:paraId="4CCC27DF">
            <w:pPr>
              <w:pStyle w:val="13"/>
            </w:pPr>
            <w:r>
              <w:t>学前教育资助制度落实情况</w:t>
            </w:r>
          </w:p>
        </w:tc>
        <w:tc>
          <w:tcPr>
            <w:tcW w:w="5386" w:type="dxa"/>
            <w:vAlign w:val="center"/>
          </w:tcPr>
          <w:p w14:paraId="32C9C471">
            <w:pPr>
              <w:pStyle w:val="13"/>
            </w:pPr>
            <w:r>
              <w:t>符合享受资助条件的学生应助尽助</w:t>
            </w:r>
          </w:p>
        </w:tc>
        <w:tc>
          <w:tcPr>
            <w:tcW w:w="2268" w:type="dxa"/>
            <w:vAlign w:val="center"/>
          </w:tcPr>
          <w:p w14:paraId="536098B2">
            <w:pPr>
              <w:pStyle w:val="13"/>
            </w:pPr>
            <w:r>
              <w:t>≥100%</w:t>
            </w:r>
          </w:p>
        </w:tc>
        <w:tc>
          <w:tcPr>
            <w:tcW w:w="1276" w:type="dxa"/>
            <w:vAlign w:val="center"/>
          </w:tcPr>
          <w:p w14:paraId="1F303AA8">
            <w:pPr>
              <w:pStyle w:val="13"/>
            </w:pPr>
            <w:r>
              <w:t>幼儿资助经费管理办法</w:t>
            </w:r>
          </w:p>
        </w:tc>
      </w:tr>
      <w:tr w14:paraId="6AAF7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16EEF"/>
        </w:tc>
        <w:tc>
          <w:tcPr>
            <w:tcW w:w="2268" w:type="dxa"/>
            <w:vAlign w:val="center"/>
          </w:tcPr>
          <w:p w14:paraId="77654B5F">
            <w:pPr>
              <w:pStyle w:val="13"/>
            </w:pPr>
            <w:r>
              <w:t>时效指标</w:t>
            </w:r>
          </w:p>
        </w:tc>
        <w:tc>
          <w:tcPr>
            <w:tcW w:w="2835" w:type="dxa"/>
            <w:vAlign w:val="center"/>
          </w:tcPr>
          <w:p w14:paraId="0DF9D9D3">
            <w:pPr>
              <w:pStyle w:val="13"/>
            </w:pPr>
            <w:r>
              <w:t>资金拨付率</w:t>
            </w:r>
          </w:p>
        </w:tc>
        <w:tc>
          <w:tcPr>
            <w:tcW w:w="5386" w:type="dxa"/>
            <w:vAlign w:val="center"/>
          </w:tcPr>
          <w:p w14:paraId="5F569868">
            <w:pPr>
              <w:pStyle w:val="13"/>
            </w:pPr>
            <w:r>
              <w:t>所有项目资金支付进度</w:t>
            </w:r>
          </w:p>
        </w:tc>
        <w:tc>
          <w:tcPr>
            <w:tcW w:w="2268" w:type="dxa"/>
            <w:vAlign w:val="center"/>
          </w:tcPr>
          <w:p w14:paraId="443F4AFB">
            <w:pPr>
              <w:pStyle w:val="13"/>
            </w:pPr>
            <w:r>
              <w:t>100%</w:t>
            </w:r>
          </w:p>
        </w:tc>
        <w:tc>
          <w:tcPr>
            <w:tcW w:w="1276" w:type="dxa"/>
            <w:vAlign w:val="center"/>
          </w:tcPr>
          <w:p w14:paraId="3B563158">
            <w:pPr>
              <w:pStyle w:val="13"/>
            </w:pPr>
            <w:r>
              <w:t>幼儿资助经费管理办法</w:t>
            </w:r>
          </w:p>
        </w:tc>
      </w:tr>
      <w:tr w14:paraId="6F804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B2430"/>
        </w:tc>
        <w:tc>
          <w:tcPr>
            <w:tcW w:w="2268" w:type="dxa"/>
            <w:vAlign w:val="center"/>
          </w:tcPr>
          <w:p w14:paraId="12BEB5A9">
            <w:pPr>
              <w:pStyle w:val="13"/>
            </w:pPr>
            <w:r>
              <w:t>成本指标</w:t>
            </w:r>
          </w:p>
        </w:tc>
        <w:tc>
          <w:tcPr>
            <w:tcW w:w="2835" w:type="dxa"/>
            <w:vAlign w:val="center"/>
          </w:tcPr>
          <w:p w14:paraId="3B8AC254">
            <w:pPr>
              <w:pStyle w:val="13"/>
            </w:pPr>
            <w:r>
              <w:t>幼儿园资助标准</w:t>
            </w:r>
          </w:p>
        </w:tc>
        <w:tc>
          <w:tcPr>
            <w:tcW w:w="5386" w:type="dxa"/>
            <w:vAlign w:val="center"/>
          </w:tcPr>
          <w:p w14:paraId="51114ABC">
            <w:pPr>
              <w:pStyle w:val="13"/>
            </w:pPr>
            <w:r>
              <w:t>按照幼儿园资助标准1000元/生/年</w:t>
            </w:r>
          </w:p>
        </w:tc>
        <w:tc>
          <w:tcPr>
            <w:tcW w:w="2268" w:type="dxa"/>
            <w:vAlign w:val="center"/>
          </w:tcPr>
          <w:p w14:paraId="5478C9FD">
            <w:pPr>
              <w:pStyle w:val="13"/>
            </w:pPr>
            <w:r>
              <w:t>20400元</w:t>
            </w:r>
          </w:p>
        </w:tc>
        <w:tc>
          <w:tcPr>
            <w:tcW w:w="1276" w:type="dxa"/>
            <w:vAlign w:val="center"/>
          </w:tcPr>
          <w:p w14:paraId="4590B937">
            <w:pPr>
              <w:pStyle w:val="13"/>
            </w:pPr>
            <w:r>
              <w:t>幼儿资助经费管理办法</w:t>
            </w:r>
          </w:p>
        </w:tc>
      </w:tr>
      <w:tr w14:paraId="4A2A4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587236">
            <w:pPr>
              <w:pStyle w:val="12"/>
            </w:pPr>
            <w:r>
              <w:t>效益指标</w:t>
            </w:r>
          </w:p>
        </w:tc>
        <w:tc>
          <w:tcPr>
            <w:tcW w:w="2268" w:type="dxa"/>
            <w:vAlign w:val="center"/>
          </w:tcPr>
          <w:p w14:paraId="6387BCE2">
            <w:pPr>
              <w:pStyle w:val="13"/>
            </w:pPr>
            <w:r>
              <w:t>社会效益指标</w:t>
            </w:r>
          </w:p>
        </w:tc>
        <w:tc>
          <w:tcPr>
            <w:tcW w:w="2835" w:type="dxa"/>
            <w:vAlign w:val="center"/>
          </w:tcPr>
          <w:p w14:paraId="39D847A4">
            <w:pPr>
              <w:pStyle w:val="13"/>
            </w:pPr>
            <w:r>
              <w:t>幼儿园运转</w:t>
            </w:r>
          </w:p>
        </w:tc>
        <w:tc>
          <w:tcPr>
            <w:tcW w:w="5386" w:type="dxa"/>
            <w:vAlign w:val="center"/>
          </w:tcPr>
          <w:p w14:paraId="57CE1ABB">
            <w:pPr>
              <w:pStyle w:val="13"/>
            </w:pPr>
            <w:r>
              <w:t>幼儿受教育年限</w:t>
            </w:r>
          </w:p>
        </w:tc>
        <w:tc>
          <w:tcPr>
            <w:tcW w:w="2268" w:type="dxa"/>
            <w:vAlign w:val="center"/>
          </w:tcPr>
          <w:p w14:paraId="416DDEAF">
            <w:pPr>
              <w:pStyle w:val="13"/>
            </w:pPr>
            <w:r>
              <w:t>3年</w:t>
            </w:r>
          </w:p>
        </w:tc>
        <w:tc>
          <w:tcPr>
            <w:tcW w:w="1276" w:type="dxa"/>
            <w:vAlign w:val="center"/>
          </w:tcPr>
          <w:p w14:paraId="11155014">
            <w:pPr>
              <w:pStyle w:val="13"/>
            </w:pPr>
            <w:r>
              <w:t>幼儿资助经费管理办法</w:t>
            </w:r>
          </w:p>
        </w:tc>
      </w:tr>
      <w:tr w14:paraId="7D0A2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1A5BEC">
            <w:pPr>
              <w:pStyle w:val="12"/>
            </w:pPr>
            <w:r>
              <w:t>满意度指标</w:t>
            </w:r>
          </w:p>
        </w:tc>
        <w:tc>
          <w:tcPr>
            <w:tcW w:w="2268" w:type="dxa"/>
            <w:vAlign w:val="center"/>
          </w:tcPr>
          <w:p w14:paraId="1B2589BC">
            <w:pPr>
              <w:pStyle w:val="13"/>
            </w:pPr>
            <w:r>
              <w:t>服务对象满意度指标</w:t>
            </w:r>
          </w:p>
        </w:tc>
        <w:tc>
          <w:tcPr>
            <w:tcW w:w="2835" w:type="dxa"/>
            <w:vAlign w:val="center"/>
          </w:tcPr>
          <w:p w14:paraId="4F37A24B">
            <w:pPr>
              <w:pStyle w:val="13"/>
            </w:pPr>
            <w:r>
              <w:t>受益幼儿家长及调查满意度</w:t>
            </w:r>
          </w:p>
        </w:tc>
        <w:tc>
          <w:tcPr>
            <w:tcW w:w="5386" w:type="dxa"/>
            <w:vAlign w:val="center"/>
          </w:tcPr>
          <w:p w14:paraId="27E90000">
            <w:pPr>
              <w:pStyle w:val="13"/>
            </w:pPr>
            <w:r>
              <w:t>学生、教师及家长对学校保教保育工作满意度情况</w:t>
            </w:r>
          </w:p>
        </w:tc>
        <w:tc>
          <w:tcPr>
            <w:tcW w:w="2268" w:type="dxa"/>
            <w:vAlign w:val="center"/>
          </w:tcPr>
          <w:p w14:paraId="0D6DE8DA">
            <w:pPr>
              <w:pStyle w:val="13"/>
            </w:pPr>
            <w:r>
              <w:t>≥95%</w:t>
            </w:r>
          </w:p>
        </w:tc>
        <w:tc>
          <w:tcPr>
            <w:tcW w:w="1276" w:type="dxa"/>
            <w:vAlign w:val="center"/>
          </w:tcPr>
          <w:p w14:paraId="38272ACA">
            <w:pPr>
              <w:pStyle w:val="13"/>
            </w:pPr>
            <w:r>
              <w:t>幼儿资助经费管理办法</w:t>
            </w:r>
          </w:p>
        </w:tc>
      </w:tr>
    </w:tbl>
    <w:p w14:paraId="6B876E4D">
      <w:pPr>
        <w:sectPr>
          <w:pgSz w:w="16840" w:h="11900" w:orient="landscape"/>
          <w:pgMar w:top="1361" w:right="1020" w:bottom="1134" w:left="1020" w:header="720" w:footer="720" w:gutter="0"/>
          <w:cols w:space="720" w:num="1"/>
        </w:sectPr>
      </w:pPr>
    </w:p>
    <w:p w14:paraId="0C343A84">
      <w:pPr>
        <w:spacing w:before="0" w:after="0"/>
        <w:ind w:firstLine="560"/>
        <w:jc w:val="left"/>
        <w:outlineLvl w:val="9"/>
      </w:pPr>
      <w:r>
        <w:rPr>
          <w:rFonts w:ascii="方正仿宋_GBK" w:hAnsi="方正仿宋_GBK" w:eastAsia="方正仿宋_GBK" w:cs="方正仿宋_GBK"/>
          <w:b/>
          <w:color w:val="000000"/>
          <w:sz w:val="28"/>
        </w:rPr>
        <w:t>2、冀财教[2024]121号/中央/2025年学前教育发展/前岳幼儿园院落彩钢封顶等维修改造绩效目标表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9C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09869">
            <w:pPr>
              <w:pStyle w:val="14"/>
            </w:pPr>
            <w:r>
              <w:t>单位：万元</w:t>
            </w:r>
          </w:p>
        </w:tc>
      </w:tr>
      <w:tr w14:paraId="329F7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811F0F">
            <w:pPr>
              <w:pStyle w:val="11"/>
            </w:pPr>
            <w:r>
              <w:t>项目编码</w:t>
            </w:r>
          </w:p>
        </w:tc>
        <w:tc>
          <w:tcPr>
            <w:tcW w:w="5103" w:type="dxa"/>
            <w:gridSpan w:val="2"/>
            <w:vAlign w:val="center"/>
          </w:tcPr>
          <w:p w14:paraId="40AB93AC">
            <w:pPr>
              <w:pStyle w:val="13"/>
            </w:pPr>
            <w:r>
              <w:t>13052525P00876910008F</w:t>
            </w:r>
          </w:p>
        </w:tc>
        <w:tc>
          <w:tcPr>
            <w:tcW w:w="2835" w:type="dxa"/>
            <w:vAlign w:val="center"/>
          </w:tcPr>
          <w:p w14:paraId="069E6864">
            <w:pPr>
              <w:pStyle w:val="11"/>
            </w:pPr>
            <w:r>
              <w:t>项目名称</w:t>
            </w:r>
          </w:p>
        </w:tc>
        <w:tc>
          <w:tcPr>
            <w:tcW w:w="6095" w:type="dxa"/>
            <w:gridSpan w:val="3"/>
            <w:vAlign w:val="center"/>
          </w:tcPr>
          <w:p w14:paraId="683749C9">
            <w:pPr>
              <w:pStyle w:val="13"/>
            </w:pPr>
            <w:r>
              <w:t>冀财教[2024]121号/中央/2025年学前教育发展/前岳幼儿园院落彩钢封顶等维修改造</w:t>
            </w:r>
          </w:p>
        </w:tc>
      </w:tr>
      <w:tr w14:paraId="50FA0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0B1FE">
            <w:pPr>
              <w:pStyle w:val="11"/>
            </w:pPr>
            <w:r>
              <w:t>预算规模及资金用途</w:t>
            </w:r>
          </w:p>
        </w:tc>
        <w:tc>
          <w:tcPr>
            <w:tcW w:w="2268" w:type="dxa"/>
            <w:vAlign w:val="center"/>
          </w:tcPr>
          <w:p w14:paraId="30838726">
            <w:pPr>
              <w:pStyle w:val="11"/>
            </w:pPr>
            <w:r>
              <w:t>预算数</w:t>
            </w:r>
          </w:p>
        </w:tc>
        <w:tc>
          <w:tcPr>
            <w:tcW w:w="2835" w:type="dxa"/>
            <w:vAlign w:val="center"/>
          </w:tcPr>
          <w:p w14:paraId="7C0F8D96">
            <w:pPr>
              <w:pStyle w:val="13"/>
            </w:pPr>
            <w:r>
              <w:t>14.70</w:t>
            </w:r>
          </w:p>
        </w:tc>
        <w:tc>
          <w:tcPr>
            <w:tcW w:w="2835" w:type="dxa"/>
            <w:vAlign w:val="center"/>
          </w:tcPr>
          <w:p w14:paraId="3795462B">
            <w:pPr>
              <w:pStyle w:val="11"/>
            </w:pPr>
            <w:r>
              <w:t>其中：财政    资金</w:t>
            </w:r>
          </w:p>
        </w:tc>
        <w:tc>
          <w:tcPr>
            <w:tcW w:w="2551" w:type="dxa"/>
            <w:vAlign w:val="center"/>
          </w:tcPr>
          <w:p w14:paraId="76242D0A">
            <w:pPr>
              <w:pStyle w:val="13"/>
            </w:pPr>
            <w:r>
              <w:t>14.70</w:t>
            </w:r>
          </w:p>
        </w:tc>
        <w:tc>
          <w:tcPr>
            <w:tcW w:w="2268" w:type="dxa"/>
            <w:vAlign w:val="center"/>
          </w:tcPr>
          <w:p w14:paraId="0CEA6359">
            <w:pPr>
              <w:pStyle w:val="11"/>
            </w:pPr>
            <w:r>
              <w:t>其他资金</w:t>
            </w:r>
          </w:p>
        </w:tc>
        <w:tc>
          <w:tcPr>
            <w:tcW w:w="1276" w:type="dxa"/>
            <w:vAlign w:val="center"/>
          </w:tcPr>
          <w:p w14:paraId="4F6E1496">
            <w:pPr>
              <w:pStyle w:val="13"/>
            </w:pPr>
            <w:r>
              <w:t xml:space="preserve"> </w:t>
            </w:r>
          </w:p>
        </w:tc>
      </w:tr>
      <w:tr w14:paraId="65CA7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DF970"/>
        </w:tc>
        <w:tc>
          <w:tcPr>
            <w:tcW w:w="14033" w:type="dxa"/>
            <w:gridSpan w:val="6"/>
            <w:vAlign w:val="center"/>
          </w:tcPr>
          <w:p w14:paraId="15C83702">
            <w:pPr>
              <w:pStyle w:val="13"/>
            </w:pPr>
            <w:r>
              <w:t>用于改善就学条件，提升学校形象，保障义务教育阶段教学安全，创造良好的校园环境。</w:t>
            </w:r>
          </w:p>
        </w:tc>
      </w:tr>
      <w:tr w14:paraId="122EF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1A854">
            <w:pPr>
              <w:pStyle w:val="11"/>
            </w:pPr>
            <w:r>
              <w:t>资金支出计划（%）</w:t>
            </w:r>
          </w:p>
        </w:tc>
        <w:tc>
          <w:tcPr>
            <w:tcW w:w="5103" w:type="dxa"/>
            <w:gridSpan w:val="2"/>
            <w:vAlign w:val="center"/>
          </w:tcPr>
          <w:p w14:paraId="0D1CD890">
            <w:pPr>
              <w:pStyle w:val="11"/>
            </w:pPr>
            <w:r>
              <w:t>3月底</w:t>
            </w:r>
          </w:p>
        </w:tc>
        <w:tc>
          <w:tcPr>
            <w:tcW w:w="2835" w:type="dxa"/>
            <w:vAlign w:val="center"/>
          </w:tcPr>
          <w:p w14:paraId="3F74A6C7">
            <w:pPr>
              <w:pStyle w:val="11"/>
            </w:pPr>
            <w:r>
              <w:t>6月底</w:t>
            </w:r>
          </w:p>
        </w:tc>
        <w:tc>
          <w:tcPr>
            <w:tcW w:w="2551" w:type="dxa"/>
            <w:vAlign w:val="center"/>
          </w:tcPr>
          <w:p w14:paraId="220DFEC7">
            <w:pPr>
              <w:pStyle w:val="11"/>
            </w:pPr>
            <w:r>
              <w:t>10月底</w:t>
            </w:r>
          </w:p>
        </w:tc>
        <w:tc>
          <w:tcPr>
            <w:tcW w:w="3544" w:type="dxa"/>
            <w:gridSpan w:val="2"/>
            <w:vAlign w:val="center"/>
          </w:tcPr>
          <w:p w14:paraId="47AB08A7">
            <w:pPr>
              <w:pStyle w:val="11"/>
            </w:pPr>
            <w:r>
              <w:t>12月底</w:t>
            </w:r>
          </w:p>
        </w:tc>
      </w:tr>
      <w:tr w14:paraId="540A3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665513"/>
        </w:tc>
        <w:tc>
          <w:tcPr>
            <w:tcW w:w="5103" w:type="dxa"/>
            <w:gridSpan w:val="2"/>
            <w:vAlign w:val="center"/>
          </w:tcPr>
          <w:p w14:paraId="2451C68D">
            <w:pPr>
              <w:pStyle w:val="12"/>
            </w:pPr>
            <w:r>
              <w:t xml:space="preserve"> </w:t>
            </w:r>
          </w:p>
        </w:tc>
        <w:tc>
          <w:tcPr>
            <w:tcW w:w="2835" w:type="dxa"/>
            <w:vAlign w:val="center"/>
          </w:tcPr>
          <w:p w14:paraId="5AD1DE66">
            <w:pPr>
              <w:pStyle w:val="12"/>
            </w:pPr>
            <w:r>
              <w:t xml:space="preserve"> </w:t>
            </w:r>
          </w:p>
        </w:tc>
        <w:tc>
          <w:tcPr>
            <w:tcW w:w="2551" w:type="dxa"/>
            <w:vAlign w:val="center"/>
          </w:tcPr>
          <w:p w14:paraId="0E74EF64">
            <w:pPr>
              <w:pStyle w:val="12"/>
            </w:pPr>
            <w:r>
              <w:t>100%</w:t>
            </w:r>
          </w:p>
        </w:tc>
        <w:tc>
          <w:tcPr>
            <w:tcW w:w="3544" w:type="dxa"/>
            <w:gridSpan w:val="2"/>
            <w:vAlign w:val="center"/>
          </w:tcPr>
          <w:p w14:paraId="43DD90B4">
            <w:pPr>
              <w:pStyle w:val="12"/>
            </w:pPr>
            <w:r>
              <w:t>100%</w:t>
            </w:r>
          </w:p>
        </w:tc>
      </w:tr>
      <w:tr w14:paraId="451F7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BFD89C">
            <w:pPr>
              <w:pStyle w:val="11"/>
            </w:pPr>
            <w:r>
              <w:t>绩效目标</w:t>
            </w:r>
          </w:p>
        </w:tc>
        <w:tc>
          <w:tcPr>
            <w:tcW w:w="14033" w:type="dxa"/>
            <w:gridSpan w:val="6"/>
            <w:vAlign w:val="center"/>
          </w:tcPr>
          <w:p w14:paraId="299F331C">
            <w:pPr>
              <w:pStyle w:val="13"/>
            </w:pPr>
            <w:r>
              <w:t>1.项目需资金14.7万元，资金拨付率达到100%。</w:t>
            </w:r>
          </w:p>
          <w:p w14:paraId="2407B6E5">
            <w:pPr>
              <w:pStyle w:val="13"/>
            </w:pPr>
            <w:r>
              <w:t>2.改善就学条件，提升学校形象，保障义务教育阶段教学安全，创造良好的校园环境。</w:t>
            </w:r>
          </w:p>
        </w:tc>
      </w:tr>
    </w:tbl>
    <w:p w14:paraId="618DA5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96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15746">
            <w:pPr>
              <w:pStyle w:val="11"/>
            </w:pPr>
            <w:r>
              <w:t>一级指标</w:t>
            </w:r>
          </w:p>
        </w:tc>
        <w:tc>
          <w:tcPr>
            <w:tcW w:w="2268" w:type="dxa"/>
            <w:vAlign w:val="center"/>
          </w:tcPr>
          <w:p w14:paraId="1BCA7935">
            <w:pPr>
              <w:pStyle w:val="11"/>
            </w:pPr>
            <w:r>
              <w:t>二级指标</w:t>
            </w:r>
          </w:p>
        </w:tc>
        <w:tc>
          <w:tcPr>
            <w:tcW w:w="2835" w:type="dxa"/>
            <w:vAlign w:val="center"/>
          </w:tcPr>
          <w:p w14:paraId="5A38CC99">
            <w:pPr>
              <w:pStyle w:val="11"/>
            </w:pPr>
            <w:r>
              <w:t>三级指标</w:t>
            </w:r>
          </w:p>
        </w:tc>
        <w:tc>
          <w:tcPr>
            <w:tcW w:w="5386" w:type="dxa"/>
            <w:vAlign w:val="center"/>
          </w:tcPr>
          <w:p w14:paraId="436BAB5A">
            <w:pPr>
              <w:pStyle w:val="11"/>
            </w:pPr>
            <w:r>
              <w:t>绩效指标描述</w:t>
            </w:r>
          </w:p>
        </w:tc>
        <w:tc>
          <w:tcPr>
            <w:tcW w:w="2268" w:type="dxa"/>
            <w:vAlign w:val="center"/>
          </w:tcPr>
          <w:p w14:paraId="0629785E">
            <w:pPr>
              <w:pStyle w:val="11"/>
            </w:pPr>
            <w:r>
              <w:t>指标值</w:t>
            </w:r>
          </w:p>
        </w:tc>
        <w:tc>
          <w:tcPr>
            <w:tcW w:w="1276" w:type="dxa"/>
            <w:vAlign w:val="center"/>
          </w:tcPr>
          <w:p w14:paraId="2FB39A59">
            <w:pPr>
              <w:pStyle w:val="11"/>
            </w:pPr>
            <w:r>
              <w:t>指标值确定依据</w:t>
            </w:r>
          </w:p>
        </w:tc>
      </w:tr>
      <w:tr w14:paraId="02DBB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2C10A">
            <w:pPr>
              <w:pStyle w:val="12"/>
            </w:pPr>
            <w:r>
              <w:t>产出指标</w:t>
            </w:r>
          </w:p>
        </w:tc>
        <w:tc>
          <w:tcPr>
            <w:tcW w:w="2268" w:type="dxa"/>
            <w:vAlign w:val="center"/>
          </w:tcPr>
          <w:p w14:paraId="555F8537">
            <w:pPr>
              <w:pStyle w:val="13"/>
            </w:pPr>
            <w:r>
              <w:t>数量指标</w:t>
            </w:r>
          </w:p>
        </w:tc>
        <w:tc>
          <w:tcPr>
            <w:tcW w:w="2835" w:type="dxa"/>
            <w:vAlign w:val="center"/>
          </w:tcPr>
          <w:p w14:paraId="2A619624">
            <w:pPr>
              <w:pStyle w:val="13"/>
            </w:pPr>
            <w:r>
              <w:t>前岳幼儿园维修改造</w:t>
            </w:r>
          </w:p>
        </w:tc>
        <w:tc>
          <w:tcPr>
            <w:tcW w:w="5386" w:type="dxa"/>
            <w:vAlign w:val="center"/>
          </w:tcPr>
          <w:p w14:paraId="44C73569">
            <w:pPr>
              <w:pStyle w:val="13"/>
            </w:pPr>
            <w:r>
              <w:t>平整场地、内墙刮白、安装内墙板、线路改造、院落彩钢封顶等</w:t>
            </w:r>
          </w:p>
        </w:tc>
        <w:tc>
          <w:tcPr>
            <w:tcW w:w="2268" w:type="dxa"/>
            <w:vAlign w:val="center"/>
          </w:tcPr>
          <w:p w14:paraId="76D58507">
            <w:pPr>
              <w:pStyle w:val="13"/>
            </w:pPr>
            <w:r>
              <w:t>1项</w:t>
            </w:r>
          </w:p>
        </w:tc>
        <w:tc>
          <w:tcPr>
            <w:tcW w:w="1276" w:type="dxa"/>
            <w:vAlign w:val="center"/>
          </w:tcPr>
          <w:p w14:paraId="35EE6E9C">
            <w:pPr>
              <w:pStyle w:val="13"/>
            </w:pPr>
            <w:r>
              <w:t>项目规划</w:t>
            </w:r>
          </w:p>
        </w:tc>
      </w:tr>
      <w:tr w14:paraId="08509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B29CF"/>
        </w:tc>
        <w:tc>
          <w:tcPr>
            <w:tcW w:w="2268" w:type="dxa"/>
            <w:vAlign w:val="center"/>
          </w:tcPr>
          <w:p w14:paraId="697745B4">
            <w:pPr>
              <w:pStyle w:val="13"/>
            </w:pPr>
            <w:r>
              <w:t>质量指标</w:t>
            </w:r>
          </w:p>
        </w:tc>
        <w:tc>
          <w:tcPr>
            <w:tcW w:w="2835" w:type="dxa"/>
            <w:vAlign w:val="center"/>
          </w:tcPr>
          <w:p w14:paraId="3B5D1644">
            <w:pPr>
              <w:pStyle w:val="13"/>
            </w:pPr>
            <w:r>
              <w:t>工程实施验收合格率</w:t>
            </w:r>
          </w:p>
        </w:tc>
        <w:tc>
          <w:tcPr>
            <w:tcW w:w="5386" w:type="dxa"/>
            <w:vAlign w:val="center"/>
          </w:tcPr>
          <w:p w14:paraId="7DE10F13">
            <w:pPr>
              <w:pStyle w:val="13"/>
            </w:pPr>
            <w:r>
              <w:t>申报程序的合规，项目实施及资金使用符合项目规划</w:t>
            </w:r>
          </w:p>
        </w:tc>
        <w:tc>
          <w:tcPr>
            <w:tcW w:w="2268" w:type="dxa"/>
            <w:vAlign w:val="center"/>
          </w:tcPr>
          <w:p w14:paraId="0BDC847F">
            <w:pPr>
              <w:pStyle w:val="13"/>
            </w:pPr>
            <w:r>
              <w:t>100%</w:t>
            </w:r>
          </w:p>
        </w:tc>
        <w:tc>
          <w:tcPr>
            <w:tcW w:w="1276" w:type="dxa"/>
            <w:vAlign w:val="center"/>
          </w:tcPr>
          <w:p w14:paraId="4BDD6DB0">
            <w:pPr>
              <w:pStyle w:val="13"/>
            </w:pPr>
            <w:r>
              <w:t>项目规划</w:t>
            </w:r>
          </w:p>
        </w:tc>
      </w:tr>
      <w:tr w14:paraId="4300B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2D35F"/>
        </w:tc>
        <w:tc>
          <w:tcPr>
            <w:tcW w:w="2268" w:type="dxa"/>
            <w:vAlign w:val="center"/>
          </w:tcPr>
          <w:p w14:paraId="25B81903">
            <w:pPr>
              <w:pStyle w:val="13"/>
            </w:pPr>
            <w:r>
              <w:t>时效指标</w:t>
            </w:r>
          </w:p>
        </w:tc>
        <w:tc>
          <w:tcPr>
            <w:tcW w:w="2835" w:type="dxa"/>
            <w:vAlign w:val="center"/>
          </w:tcPr>
          <w:p w14:paraId="62AC05CA">
            <w:pPr>
              <w:pStyle w:val="13"/>
            </w:pPr>
            <w:r>
              <w:t>资金支付率</w:t>
            </w:r>
          </w:p>
        </w:tc>
        <w:tc>
          <w:tcPr>
            <w:tcW w:w="5386" w:type="dxa"/>
            <w:vAlign w:val="center"/>
          </w:tcPr>
          <w:p w14:paraId="66CEBBEB">
            <w:pPr>
              <w:pStyle w:val="13"/>
            </w:pPr>
            <w:r>
              <w:t>按照序时进度完成资金支付</w:t>
            </w:r>
          </w:p>
        </w:tc>
        <w:tc>
          <w:tcPr>
            <w:tcW w:w="2268" w:type="dxa"/>
            <w:vAlign w:val="center"/>
          </w:tcPr>
          <w:p w14:paraId="195C0322">
            <w:pPr>
              <w:pStyle w:val="13"/>
            </w:pPr>
            <w:r>
              <w:t>100%</w:t>
            </w:r>
          </w:p>
        </w:tc>
        <w:tc>
          <w:tcPr>
            <w:tcW w:w="1276" w:type="dxa"/>
            <w:vAlign w:val="center"/>
          </w:tcPr>
          <w:p w14:paraId="6A9C3228">
            <w:pPr>
              <w:pStyle w:val="13"/>
            </w:pPr>
            <w:r>
              <w:t>项目规划</w:t>
            </w:r>
          </w:p>
        </w:tc>
      </w:tr>
      <w:tr w14:paraId="7EE72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B60B1"/>
        </w:tc>
        <w:tc>
          <w:tcPr>
            <w:tcW w:w="2268" w:type="dxa"/>
            <w:vAlign w:val="center"/>
          </w:tcPr>
          <w:p w14:paraId="1D7A8CCC">
            <w:pPr>
              <w:pStyle w:val="13"/>
            </w:pPr>
            <w:r>
              <w:t>成本指标</w:t>
            </w:r>
          </w:p>
        </w:tc>
        <w:tc>
          <w:tcPr>
            <w:tcW w:w="2835" w:type="dxa"/>
            <w:vAlign w:val="center"/>
          </w:tcPr>
          <w:p w14:paraId="1361CA04">
            <w:pPr>
              <w:pStyle w:val="13"/>
            </w:pPr>
            <w:r>
              <w:t>项目成本控制情况</w:t>
            </w:r>
          </w:p>
        </w:tc>
        <w:tc>
          <w:tcPr>
            <w:tcW w:w="5386" w:type="dxa"/>
            <w:vAlign w:val="center"/>
          </w:tcPr>
          <w:p w14:paraId="3333DF98">
            <w:pPr>
              <w:pStyle w:val="13"/>
            </w:pPr>
            <w:r>
              <w:t>严格按照招标价格及审计额进行</w:t>
            </w:r>
          </w:p>
        </w:tc>
        <w:tc>
          <w:tcPr>
            <w:tcW w:w="2268" w:type="dxa"/>
            <w:vAlign w:val="center"/>
          </w:tcPr>
          <w:p w14:paraId="35129C66">
            <w:pPr>
              <w:pStyle w:val="13"/>
            </w:pPr>
            <w:r>
              <w:t>14.7万元</w:t>
            </w:r>
          </w:p>
        </w:tc>
        <w:tc>
          <w:tcPr>
            <w:tcW w:w="1276" w:type="dxa"/>
            <w:vAlign w:val="center"/>
          </w:tcPr>
          <w:p w14:paraId="6B87C489">
            <w:pPr>
              <w:pStyle w:val="13"/>
            </w:pPr>
            <w:r>
              <w:t>项目规划</w:t>
            </w:r>
          </w:p>
        </w:tc>
      </w:tr>
      <w:tr w14:paraId="33348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E48341">
            <w:pPr>
              <w:pStyle w:val="12"/>
            </w:pPr>
            <w:r>
              <w:t>效益指标</w:t>
            </w:r>
          </w:p>
        </w:tc>
        <w:tc>
          <w:tcPr>
            <w:tcW w:w="2268" w:type="dxa"/>
            <w:vAlign w:val="center"/>
          </w:tcPr>
          <w:p w14:paraId="2741EFB7">
            <w:pPr>
              <w:pStyle w:val="13"/>
            </w:pPr>
            <w:r>
              <w:t>社会效益指标</w:t>
            </w:r>
          </w:p>
        </w:tc>
        <w:tc>
          <w:tcPr>
            <w:tcW w:w="2835" w:type="dxa"/>
            <w:vAlign w:val="center"/>
          </w:tcPr>
          <w:p w14:paraId="3C9CEBC6">
            <w:pPr>
              <w:pStyle w:val="13"/>
            </w:pPr>
            <w:r>
              <w:t>学校办学环境提升</w:t>
            </w:r>
          </w:p>
        </w:tc>
        <w:tc>
          <w:tcPr>
            <w:tcW w:w="5386" w:type="dxa"/>
            <w:vAlign w:val="center"/>
          </w:tcPr>
          <w:p w14:paraId="27E383FE">
            <w:pPr>
              <w:pStyle w:val="13"/>
            </w:pPr>
            <w:r>
              <w:t>学校教学环境提升优化率</w:t>
            </w:r>
          </w:p>
        </w:tc>
        <w:tc>
          <w:tcPr>
            <w:tcW w:w="2268" w:type="dxa"/>
            <w:vAlign w:val="center"/>
          </w:tcPr>
          <w:p w14:paraId="57D54822">
            <w:pPr>
              <w:pStyle w:val="13"/>
            </w:pPr>
            <w:r>
              <w:t>100%</w:t>
            </w:r>
          </w:p>
        </w:tc>
        <w:tc>
          <w:tcPr>
            <w:tcW w:w="1276" w:type="dxa"/>
            <w:vAlign w:val="center"/>
          </w:tcPr>
          <w:p w14:paraId="5E3E89FD">
            <w:pPr>
              <w:pStyle w:val="13"/>
            </w:pPr>
            <w:r>
              <w:t>项目规划</w:t>
            </w:r>
          </w:p>
        </w:tc>
      </w:tr>
      <w:tr w14:paraId="2C71C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481AF9">
            <w:pPr>
              <w:pStyle w:val="12"/>
            </w:pPr>
            <w:r>
              <w:t>满意度指标</w:t>
            </w:r>
          </w:p>
        </w:tc>
        <w:tc>
          <w:tcPr>
            <w:tcW w:w="2268" w:type="dxa"/>
            <w:vAlign w:val="center"/>
          </w:tcPr>
          <w:p w14:paraId="00056FF8">
            <w:pPr>
              <w:pStyle w:val="13"/>
            </w:pPr>
            <w:r>
              <w:t>服务对象满意度指标</w:t>
            </w:r>
          </w:p>
        </w:tc>
        <w:tc>
          <w:tcPr>
            <w:tcW w:w="2835" w:type="dxa"/>
            <w:vAlign w:val="center"/>
          </w:tcPr>
          <w:p w14:paraId="5A73EBD6">
            <w:pPr>
              <w:pStyle w:val="13"/>
            </w:pPr>
            <w:r>
              <w:t>受益学生家长及调查满意度</w:t>
            </w:r>
          </w:p>
        </w:tc>
        <w:tc>
          <w:tcPr>
            <w:tcW w:w="5386" w:type="dxa"/>
            <w:vAlign w:val="center"/>
          </w:tcPr>
          <w:p w14:paraId="5C180C7C">
            <w:pPr>
              <w:pStyle w:val="13"/>
            </w:pPr>
            <w:r>
              <w:t>学生、教师及家长对学校教学环境满意度情况</w:t>
            </w:r>
          </w:p>
        </w:tc>
        <w:tc>
          <w:tcPr>
            <w:tcW w:w="2268" w:type="dxa"/>
            <w:vAlign w:val="center"/>
          </w:tcPr>
          <w:p w14:paraId="146B7306">
            <w:pPr>
              <w:pStyle w:val="13"/>
            </w:pPr>
            <w:r>
              <w:t>≥95%</w:t>
            </w:r>
          </w:p>
        </w:tc>
        <w:tc>
          <w:tcPr>
            <w:tcW w:w="1276" w:type="dxa"/>
            <w:vAlign w:val="center"/>
          </w:tcPr>
          <w:p w14:paraId="7A1F386E">
            <w:pPr>
              <w:pStyle w:val="13"/>
            </w:pPr>
            <w:r>
              <w:t>项目规划</w:t>
            </w:r>
          </w:p>
        </w:tc>
      </w:tr>
    </w:tbl>
    <w:p w14:paraId="2BD4E3DC">
      <w:pPr>
        <w:sectPr>
          <w:pgSz w:w="16840" w:h="11900" w:orient="landscape"/>
          <w:pgMar w:top="1361" w:right="1020" w:bottom="1134" w:left="1020" w:header="720" w:footer="720" w:gutter="0"/>
          <w:cols w:space="720" w:num="1"/>
        </w:sectPr>
      </w:pPr>
    </w:p>
    <w:p w14:paraId="01B8075F">
      <w:pPr>
        <w:spacing w:before="0" w:after="0"/>
        <w:ind w:firstLine="560"/>
        <w:jc w:val="left"/>
        <w:outlineLvl w:val="9"/>
      </w:pPr>
      <w:r>
        <w:rPr>
          <w:rFonts w:ascii="方正仿宋_GBK" w:hAnsi="方正仿宋_GBK" w:eastAsia="方正仿宋_GBK" w:cs="方正仿宋_GBK"/>
          <w:b/>
          <w:color w:val="000000"/>
          <w:sz w:val="28"/>
        </w:rPr>
        <w:t>3、冀财教[2024]123号/中央/2024年义教补助经费/固城小学公用经费绩效目标表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1F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DF5BB">
            <w:pPr>
              <w:pStyle w:val="14"/>
            </w:pPr>
            <w:r>
              <w:t>单位：万元</w:t>
            </w:r>
          </w:p>
        </w:tc>
      </w:tr>
      <w:tr w14:paraId="6B9A6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04F81">
            <w:pPr>
              <w:pStyle w:val="11"/>
            </w:pPr>
            <w:r>
              <w:t>项目编码</w:t>
            </w:r>
          </w:p>
        </w:tc>
        <w:tc>
          <w:tcPr>
            <w:tcW w:w="5103" w:type="dxa"/>
            <w:gridSpan w:val="2"/>
            <w:vAlign w:val="center"/>
          </w:tcPr>
          <w:p w14:paraId="1EBC79BC">
            <w:pPr>
              <w:pStyle w:val="13"/>
            </w:pPr>
            <w:r>
              <w:t>13052525P00000410098P</w:t>
            </w:r>
          </w:p>
        </w:tc>
        <w:tc>
          <w:tcPr>
            <w:tcW w:w="2835" w:type="dxa"/>
            <w:vAlign w:val="center"/>
          </w:tcPr>
          <w:p w14:paraId="2F738BE8">
            <w:pPr>
              <w:pStyle w:val="11"/>
            </w:pPr>
            <w:r>
              <w:t>项目名称</w:t>
            </w:r>
          </w:p>
        </w:tc>
        <w:tc>
          <w:tcPr>
            <w:tcW w:w="6095" w:type="dxa"/>
            <w:gridSpan w:val="3"/>
            <w:vAlign w:val="center"/>
          </w:tcPr>
          <w:p w14:paraId="17568B81">
            <w:pPr>
              <w:pStyle w:val="13"/>
            </w:pPr>
            <w:r>
              <w:t>冀财教[2024]123号/中央/2024年义教补助经费/固城小学公用经费</w:t>
            </w:r>
          </w:p>
        </w:tc>
      </w:tr>
      <w:tr w14:paraId="6BCF6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C3DE1">
            <w:pPr>
              <w:pStyle w:val="11"/>
            </w:pPr>
            <w:r>
              <w:t>预算规模及资金用途</w:t>
            </w:r>
          </w:p>
        </w:tc>
        <w:tc>
          <w:tcPr>
            <w:tcW w:w="2268" w:type="dxa"/>
            <w:vAlign w:val="center"/>
          </w:tcPr>
          <w:p w14:paraId="32D24871">
            <w:pPr>
              <w:pStyle w:val="11"/>
            </w:pPr>
            <w:r>
              <w:t>预算数</w:t>
            </w:r>
          </w:p>
        </w:tc>
        <w:tc>
          <w:tcPr>
            <w:tcW w:w="2835" w:type="dxa"/>
            <w:vAlign w:val="center"/>
          </w:tcPr>
          <w:p w14:paraId="081508C1">
            <w:pPr>
              <w:pStyle w:val="13"/>
            </w:pPr>
            <w:r>
              <w:t>27.08</w:t>
            </w:r>
          </w:p>
        </w:tc>
        <w:tc>
          <w:tcPr>
            <w:tcW w:w="2835" w:type="dxa"/>
            <w:vAlign w:val="center"/>
          </w:tcPr>
          <w:p w14:paraId="5AACC569">
            <w:pPr>
              <w:pStyle w:val="11"/>
            </w:pPr>
            <w:r>
              <w:t>其中：财政    资金</w:t>
            </w:r>
          </w:p>
        </w:tc>
        <w:tc>
          <w:tcPr>
            <w:tcW w:w="2551" w:type="dxa"/>
            <w:vAlign w:val="center"/>
          </w:tcPr>
          <w:p w14:paraId="43A17F74">
            <w:pPr>
              <w:pStyle w:val="13"/>
            </w:pPr>
            <w:r>
              <w:t>27.08</w:t>
            </w:r>
          </w:p>
        </w:tc>
        <w:tc>
          <w:tcPr>
            <w:tcW w:w="2268" w:type="dxa"/>
            <w:vAlign w:val="center"/>
          </w:tcPr>
          <w:p w14:paraId="39B19444">
            <w:pPr>
              <w:pStyle w:val="11"/>
            </w:pPr>
            <w:r>
              <w:t>其他资金</w:t>
            </w:r>
          </w:p>
        </w:tc>
        <w:tc>
          <w:tcPr>
            <w:tcW w:w="1276" w:type="dxa"/>
            <w:vAlign w:val="center"/>
          </w:tcPr>
          <w:p w14:paraId="363DAA79">
            <w:pPr>
              <w:pStyle w:val="13"/>
            </w:pPr>
            <w:r>
              <w:t xml:space="preserve"> </w:t>
            </w:r>
          </w:p>
        </w:tc>
      </w:tr>
      <w:tr w14:paraId="7A4D4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BC8F6"/>
        </w:tc>
        <w:tc>
          <w:tcPr>
            <w:tcW w:w="14033" w:type="dxa"/>
            <w:gridSpan w:val="6"/>
            <w:vAlign w:val="center"/>
          </w:tcPr>
          <w:p w14:paraId="5ECB9141">
            <w:pPr>
              <w:pStyle w:val="13"/>
            </w:pPr>
            <w:r>
              <w:t>用于有效完成学校教学安全秩序，保障学校教学任务有效开展，满足学校正常教学需要。</w:t>
            </w:r>
          </w:p>
        </w:tc>
      </w:tr>
      <w:tr w14:paraId="36FBC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216E6">
            <w:pPr>
              <w:pStyle w:val="11"/>
            </w:pPr>
            <w:r>
              <w:t>资金支出计划（%）</w:t>
            </w:r>
          </w:p>
        </w:tc>
        <w:tc>
          <w:tcPr>
            <w:tcW w:w="5103" w:type="dxa"/>
            <w:gridSpan w:val="2"/>
            <w:vAlign w:val="center"/>
          </w:tcPr>
          <w:p w14:paraId="18432F0B">
            <w:pPr>
              <w:pStyle w:val="11"/>
            </w:pPr>
            <w:r>
              <w:t>3月底</w:t>
            </w:r>
          </w:p>
        </w:tc>
        <w:tc>
          <w:tcPr>
            <w:tcW w:w="2835" w:type="dxa"/>
            <w:vAlign w:val="center"/>
          </w:tcPr>
          <w:p w14:paraId="68484244">
            <w:pPr>
              <w:pStyle w:val="11"/>
            </w:pPr>
            <w:r>
              <w:t>6月底</w:t>
            </w:r>
          </w:p>
        </w:tc>
        <w:tc>
          <w:tcPr>
            <w:tcW w:w="2551" w:type="dxa"/>
            <w:vAlign w:val="center"/>
          </w:tcPr>
          <w:p w14:paraId="460A1150">
            <w:pPr>
              <w:pStyle w:val="11"/>
            </w:pPr>
            <w:r>
              <w:t>10月底</w:t>
            </w:r>
          </w:p>
        </w:tc>
        <w:tc>
          <w:tcPr>
            <w:tcW w:w="3544" w:type="dxa"/>
            <w:gridSpan w:val="2"/>
            <w:vAlign w:val="center"/>
          </w:tcPr>
          <w:p w14:paraId="5FD22A21">
            <w:pPr>
              <w:pStyle w:val="11"/>
            </w:pPr>
            <w:r>
              <w:t>12月底</w:t>
            </w:r>
          </w:p>
        </w:tc>
      </w:tr>
      <w:tr w14:paraId="43D58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E856B7"/>
        </w:tc>
        <w:tc>
          <w:tcPr>
            <w:tcW w:w="5103" w:type="dxa"/>
            <w:gridSpan w:val="2"/>
            <w:vAlign w:val="center"/>
          </w:tcPr>
          <w:p w14:paraId="50FF07CE">
            <w:pPr>
              <w:pStyle w:val="12"/>
            </w:pPr>
            <w:r>
              <w:t>25%</w:t>
            </w:r>
          </w:p>
        </w:tc>
        <w:tc>
          <w:tcPr>
            <w:tcW w:w="2835" w:type="dxa"/>
            <w:vAlign w:val="center"/>
          </w:tcPr>
          <w:p w14:paraId="51BAA2D0">
            <w:pPr>
              <w:pStyle w:val="12"/>
            </w:pPr>
            <w:r>
              <w:t>50%</w:t>
            </w:r>
          </w:p>
        </w:tc>
        <w:tc>
          <w:tcPr>
            <w:tcW w:w="2551" w:type="dxa"/>
            <w:vAlign w:val="center"/>
          </w:tcPr>
          <w:p w14:paraId="4F64049A">
            <w:pPr>
              <w:pStyle w:val="12"/>
            </w:pPr>
            <w:r>
              <w:t>75%</w:t>
            </w:r>
          </w:p>
        </w:tc>
        <w:tc>
          <w:tcPr>
            <w:tcW w:w="3544" w:type="dxa"/>
            <w:gridSpan w:val="2"/>
            <w:vAlign w:val="center"/>
          </w:tcPr>
          <w:p w14:paraId="0C454846">
            <w:pPr>
              <w:pStyle w:val="12"/>
            </w:pPr>
            <w:r>
              <w:t>100%</w:t>
            </w:r>
          </w:p>
        </w:tc>
      </w:tr>
      <w:tr w14:paraId="15396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438DDC">
            <w:pPr>
              <w:pStyle w:val="11"/>
            </w:pPr>
            <w:r>
              <w:t>绩效目标</w:t>
            </w:r>
          </w:p>
        </w:tc>
        <w:tc>
          <w:tcPr>
            <w:tcW w:w="14033" w:type="dxa"/>
            <w:gridSpan w:val="6"/>
            <w:vAlign w:val="center"/>
          </w:tcPr>
          <w:p w14:paraId="036B5FB6">
            <w:pPr>
              <w:pStyle w:val="13"/>
            </w:pPr>
            <w:r>
              <w:t>1.有效完成学校教学安全秩序，保障学校教学任务有效开展，满足学校正常教学需要。</w:t>
            </w:r>
          </w:p>
          <w:p w14:paraId="06F6588C">
            <w:pPr>
              <w:pStyle w:val="13"/>
            </w:pPr>
            <w:r>
              <w:t>2.按规定拨付公用经费资金，预算执行率≥98%。</w:t>
            </w:r>
          </w:p>
        </w:tc>
      </w:tr>
    </w:tbl>
    <w:p w14:paraId="0C60F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67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306CB">
            <w:pPr>
              <w:pStyle w:val="11"/>
            </w:pPr>
            <w:r>
              <w:t>一级指标</w:t>
            </w:r>
          </w:p>
        </w:tc>
        <w:tc>
          <w:tcPr>
            <w:tcW w:w="2268" w:type="dxa"/>
            <w:vAlign w:val="center"/>
          </w:tcPr>
          <w:p w14:paraId="7913E8E5">
            <w:pPr>
              <w:pStyle w:val="11"/>
            </w:pPr>
            <w:r>
              <w:t>二级指标</w:t>
            </w:r>
          </w:p>
        </w:tc>
        <w:tc>
          <w:tcPr>
            <w:tcW w:w="2835" w:type="dxa"/>
            <w:vAlign w:val="center"/>
          </w:tcPr>
          <w:p w14:paraId="1874C603">
            <w:pPr>
              <w:pStyle w:val="11"/>
            </w:pPr>
            <w:r>
              <w:t>三级指标</w:t>
            </w:r>
          </w:p>
        </w:tc>
        <w:tc>
          <w:tcPr>
            <w:tcW w:w="5386" w:type="dxa"/>
            <w:vAlign w:val="center"/>
          </w:tcPr>
          <w:p w14:paraId="00702F14">
            <w:pPr>
              <w:pStyle w:val="11"/>
            </w:pPr>
            <w:r>
              <w:t>绩效指标描述</w:t>
            </w:r>
          </w:p>
        </w:tc>
        <w:tc>
          <w:tcPr>
            <w:tcW w:w="2268" w:type="dxa"/>
            <w:vAlign w:val="center"/>
          </w:tcPr>
          <w:p w14:paraId="004A78A5">
            <w:pPr>
              <w:pStyle w:val="11"/>
            </w:pPr>
            <w:r>
              <w:t>指标值</w:t>
            </w:r>
          </w:p>
        </w:tc>
        <w:tc>
          <w:tcPr>
            <w:tcW w:w="1276" w:type="dxa"/>
            <w:vAlign w:val="center"/>
          </w:tcPr>
          <w:p w14:paraId="5D45ADB8">
            <w:pPr>
              <w:pStyle w:val="11"/>
            </w:pPr>
            <w:r>
              <w:t>指标值确定依据</w:t>
            </w:r>
          </w:p>
        </w:tc>
      </w:tr>
      <w:tr w14:paraId="748C8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E9A36">
            <w:pPr>
              <w:pStyle w:val="12"/>
            </w:pPr>
            <w:r>
              <w:t>产出指标</w:t>
            </w:r>
          </w:p>
        </w:tc>
        <w:tc>
          <w:tcPr>
            <w:tcW w:w="2268" w:type="dxa"/>
            <w:vAlign w:val="center"/>
          </w:tcPr>
          <w:p w14:paraId="32250B88">
            <w:pPr>
              <w:pStyle w:val="13"/>
            </w:pPr>
            <w:r>
              <w:t>数量指标</w:t>
            </w:r>
          </w:p>
        </w:tc>
        <w:tc>
          <w:tcPr>
            <w:tcW w:w="2835" w:type="dxa"/>
            <w:vAlign w:val="center"/>
          </w:tcPr>
          <w:p w14:paraId="63D7182A">
            <w:pPr>
              <w:pStyle w:val="13"/>
            </w:pPr>
            <w:r>
              <w:t>就读学生数</w:t>
            </w:r>
          </w:p>
        </w:tc>
        <w:tc>
          <w:tcPr>
            <w:tcW w:w="5386" w:type="dxa"/>
            <w:vAlign w:val="center"/>
          </w:tcPr>
          <w:p w14:paraId="61CAA286">
            <w:pPr>
              <w:pStyle w:val="13"/>
            </w:pPr>
            <w:r>
              <w:t>辐射区域内适龄学生人数</w:t>
            </w:r>
          </w:p>
        </w:tc>
        <w:tc>
          <w:tcPr>
            <w:tcW w:w="2268" w:type="dxa"/>
            <w:vAlign w:val="center"/>
          </w:tcPr>
          <w:p w14:paraId="01C83E92">
            <w:pPr>
              <w:pStyle w:val="13"/>
            </w:pPr>
            <w:r>
              <w:t>468人</w:t>
            </w:r>
          </w:p>
        </w:tc>
        <w:tc>
          <w:tcPr>
            <w:tcW w:w="1276" w:type="dxa"/>
            <w:vAlign w:val="center"/>
          </w:tcPr>
          <w:p w14:paraId="795FEC46">
            <w:pPr>
              <w:pStyle w:val="13"/>
            </w:pPr>
            <w:r>
              <w:t>城乡义务教育公用经费管理办法</w:t>
            </w:r>
          </w:p>
        </w:tc>
      </w:tr>
      <w:tr w14:paraId="04C93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A4B28"/>
        </w:tc>
        <w:tc>
          <w:tcPr>
            <w:tcW w:w="2268" w:type="dxa"/>
            <w:vAlign w:val="center"/>
          </w:tcPr>
          <w:p w14:paraId="6284819A">
            <w:pPr>
              <w:pStyle w:val="13"/>
            </w:pPr>
            <w:r>
              <w:t>质量指标</w:t>
            </w:r>
          </w:p>
        </w:tc>
        <w:tc>
          <w:tcPr>
            <w:tcW w:w="2835" w:type="dxa"/>
            <w:vAlign w:val="center"/>
          </w:tcPr>
          <w:p w14:paraId="12B6C1B5">
            <w:pPr>
              <w:pStyle w:val="13"/>
            </w:pPr>
            <w:r>
              <w:t>预算执行率</w:t>
            </w:r>
          </w:p>
        </w:tc>
        <w:tc>
          <w:tcPr>
            <w:tcW w:w="5386" w:type="dxa"/>
            <w:vAlign w:val="center"/>
          </w:tcPr>
          <w:p w14:paraId="40BB31A9">
            <w:pPr>
              <w:pStyle w:val="13"/>
            </w:pPr>
            <w:r>
              <w:t>预算执行率</w:t>
            </w:r>
          </w:p>
        </w:tc>
        <w:tc>
          <w:tcPr>
            <w:tcW w:w="2268" w:type="dxa"/>
            <w:vAlign w:val="center"/>
          </w:tcPr>
          <w:p w14:paraId="4B29E6F9">
            <w:pPr>
              <w:pStyle w:val="13"/>
            </w:pPr>
            <w:r>
              <w:t>≥98%</w:t>
            </w:r>
          </w:p>
        </w:tc>
        <w:tc>
          <w:tcPr>
            <w:tcW w:w="1276" w:type="dxa"/>
            <w:vAlign w:val="center"/>
          </w:tcPr>
          <w:p w14:paraId="5682049C">
            <w:pPr>
              <w:pStyle w:val="13"/>
            </w:pPr>
            <w:r>
              <w:t>城乡义务教育公用经费管理办法</w:t>
            </w:r>
          </w:p>
        </w:tc>
      </w:tr>
      <w:tr w14:paraId="09D1E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58727"/>
        </w:tc>
        <w:tc>
          <w:tcPr>
            <w:tcW w:w="2268" w:type="dxa"/>
            <w:vAlign w:val="center"/>
          </w:tcPr>
          <w:p w14:paraId="208E788A">
            <w:pPr>
              <w:pStyle w:val="13"/>
            </w:pPr>
            <w:r>
              <w:t>时效指标</w:t>
            </w:r>
          </w:p>
        </w:tc>
        <w:tc>
          <w:tcPr>
            <w:tcW w:w="2835" w:type="dxa"/>
            <w:vAlign w:val="center"/>
          </w:tcPr>
          <w:p w14:paraId="0AA017BF">
            <w:pPr>
              <w:pStyle w:val="13"/>
            </w:pPr>
            <w:r>
              <w:t>义教经费支付完成率</w:t>
            </w:r>
          </w:p>
        </w:tc>
        <w:tc>
          <w:tcPr>
            <w:tcW w:w="5386" w:type="dxa"/>
            <w:vAlign w:val="center"/>
          </w:tcPr>
          <w:p w14:paraId="0D7F7644">
            <w:pPr>
              <w:pStyle w:val="13"/>
            </w:pPr>
            <w:r>
              <w:t>按照序时进度完成资金支付</w:t>
            </w:r>
          </w:p>
        </w:tc>
        <w:tc>
          <w:tcPr>
            <w:tcW w:w="2268" w:type="dxa"/>
            <w:vAlign w:val="center"/>
          </w:tcPr>
          <w:p w14:paraId="778EF902">
            <w:pPr>
              <w:pStyle w:val="13"/>
            </w:pPr>
            <w:r>
              <w:t>≥100%</w:t>
            </w:r>
          </w:p>
        </w:tc>
        <w:tc>
          <w:tcPr>
            <w:tcW w:w="1276" w:type="dxa"/>
            <w:vAlign w:val="center"/>
          </w:tcPr>
          <w:p w14:paraId="6142435F">
            <w:pPr>
              <w:pStyle w:val="13"/>
            </w:pPr>
            <w:r>
              <w:t>城乡义务教育公用经费管理办法</w:t>
            </w:r>
          </w:p>
        </w:tc>
      </w:tr>
      <w:tr w14:paraId="51C5D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737E9"/>
        </w:tc>
        <w:tc>
          <w:tcPr>
            <w:tcW w:w="2268" w:type="dxa"/>
            <w:vAlign w:val="center"/>
          </w:tcPr>
          <w:p w14:paraId="6D39AA9A">
            <w:pPr>
              <w:pStyle w:val="13"/>
            </w:pPr>
            <w:r>
              <w:t>成本指标</w:t>
            </w:r>
          </w:p>
        </w:tc>
        <w:tc>
          <w:tcPr>
            <w:tcW w:w="2835" w:type="dxa"/>
            <w:vAlign w:val="center"/>
          </w:tcPr>
          <w:p w14:paraId="55565C4C">
            <w:pPr>
              <w:pStyle w:val="13"/>
            </w:pPr>
            <w:r>
              <w:t>生均拨款标准</w:t>
            </w:r>
          </w:p>
        </w:tc>
        <w:tc>
          <w:tcPr>
            <w:tcW w:w="5386" w:type="dxa"/>
            <w:vAlign w:val="center"/>
          </w:tcPr>
          <w:p w14:paraId="3D852C78">
            <w:pPr>
              <w:pStyle w:val="13"/>
            </w:pPr>
            <w:r>
              <w:t>小学：（基本标准720元、寄宿生300元、生活补助120元）/生/学年；特教、随班就读学生：标准7000元/生/学年</w:t>
            </w:r>
          </w:p>
        </w:tc>
        <w:tc>
          <w:tcPr>
            <w:tcW w:w="2268" w:type="dxa"/>
            <w:vAlign w:val="center"/>
          </w:tcPr>
          <w:p w14:paraId="2271435A">
            <w:pPr>
              <w:pStyle w:val="13"/>
            </w:pPr>
            <w:r>
              <w:t>840元</w:t>
            </w:r>
          </w:p>
        </w:tc>
        <w:tc>
          <w:tcPr>
            <w:tcW w:w="1276" w:type="dxa"/>
            <w:vAlign w:val="center"/>
          </w:tcPr>
          <w:p w14:paraId="27D98B20">
            <w:pPr>
              <w:pStyle w:val="13"/>
            </w:pPr>
            <w:r>
              <w:t>城乡义务教育公用经费管理办法</w:t>
            </w:r>
          </w:p>
        </w:tc>
      </w:tr>
      <w:tr w14:paraId="2C9E8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0BAAE4">
            <w:pPr>
              <w:pStyle w:val="12"/>
            </w:pPr>
            <w:r>
              <w:t>效益指标</w:t>
            </w:r>
          </w:p>
        </w:tc>
        <w:tc>
          <w:tcPr>
            <w:tcW w:w="2268" w:type="dxa"/>
            <w:vAlign w:val="center"/>
          </w:tcPr>
          <w:p w14:paraId="179D1458">
            <w:pPr>
              <w:pStyle w:val="13"/>
            </w:pPr>
            <w:r>
              <w:t>可持续影响指标</w:t>
            </w:r>
          </w:p>
        </w:tc>
        <w:tc>
          <w:tcPr>
            <w:tcW w:w="2835" w:type="dxa"/>
            <w:vAlign w:val="center"/>
          </w:tcPr>
          <w:p w14:paraId="591051E7">
            <w:pPr>
              <w:pStyle w:val="13"/>
            </w:pPr>
            <w:r>
              <w:t>学校稳定率</w:t>
            </w:r>
          </w:p>
        </w:tc>
        <w:tc>
          <w:tcPr>
            <w:tcW w:w="5386" w:type="dxa"/>
            <w:vAlign w:val="center"/>
          </w:tcPr>
          <w:p w14:paraId="52F3D8BE">
            <w:pPr>
              <w:pStyle w:val="13"/>
            </w:pPr>
            <w:r>
              <w:t>维护学校稳定，保障学校正常教学秩序有效开展</w:t>
            </w:r>
          </w:p>
        </w:tc>
        <w:tc>
          <w:tcPr>
            <w:tcW w:w="2268" w:type="dxa"/>
            <w:vAlign w:val="center"/>
          </w:tcPr>
          <w:p w14:paraId="02CE40D2">
            <w:pPr>
              <w:pStyle w:val="13"/>
            </w:pPr>
            <w:r>
              <w:t>≥100%</w:t>
            </w:r>
          </w:p>
        </w:tc>
        <w:tc>
          <w:tcPr>
            <w:tcW w:w="1276" w:type="dxa"/>
            <w:vAlign w:val="center"/>
          </w:tcPr>
          <w:p w14:paraId="28C28542">
            <w:pPr>
              <w:pStyle w:val="13"/>
            </w:pPr>
            <w:r>
              <w:t>城乡义务教育公用经费管理办法</w:t>
            </w:r>
          </w:p>
        </w:tc>
      </w:tr>
      <w:tr w14:paraId="7BE63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020ADB">
            <w:pPr>
              <w:pStyle w:val="12"/>
            </w:pPr>
            <w:r>
              <w:t>满意度指标</w:t>
            </w:r>
          </w:p>
        </w:tc>
        <w:tc>
          <w:tcPr>
            <w:tcW w:w="2268" w:type="dxa"/>
            <w:vAlign w:val="center"/>
          </w:tcPr>
          <w:p w14:paraId="0D419CB5">
            <w:pPr>
              <w:pStyle w:val="13"/>
            </w:pPr>
            <w:r>
              <w:t>服务对象满意度指标</w:t>
            </w:r>
          </w:p>
        </w:tc>
        <w:tc>
          <w:tcPr>
            <w:tcW w:w="2835" w:type="dxa"/>
            <w:vAlign w:val="center"/>
          </w:tcPr>
          <w:p w14:paraId="0442748E">
            <w:pPr>
              <w:pStyle w:val="13"/>
            </w:pPr>
            <w:r>
              <w:t>家长和学生满意度</w:t>
            </w:r>
          </w:p>
        </w:tc>
        <w:tc>
          <w:tcPr>
            <w:tcW w:w="5386" w:type="dxa"/>
            <w:vAlign w:val="center"/>
          </w:tcPr>
          <w:p w14:paraId="0CCDB7AC">
            <w:pPr>
              <w:pStyle w:val="13"/>
            </w:pPr>
            <w:r>
              <w:t>家长和学生满意度</w:t>
            </w:r>
          </w:p>
        </w:tc>
        <w:tc>
          <w:tcPr>
            <w:tcW w:w="2268" w:type="dxa"/>
            <w:vAlign w:val="center"/>
          </w:tcPr>
          <w:p w14:paraId="63560E87">
            <w:pPr>
              <w:pStyle w:val="13"/>
            </w:pPr>
            <w:r>
              <w:t>≥95%</w:t>
            </w:r>
          </w:p>
        </w:tc>
        <w:tc>
          <w:tcPr>
            <w:tcW w:w="1276" w:type="dxa"/>
            <w:vAlign w:val="center"/>
          </w:tcPr>
          <w:p w14:paraId="6427AACB">
            <w:pPr>
              <w:pStyle w:val="13"/>
            </w:pPr>
            <w:r>
              <w:t>问卷调查</w:t>
            </w:r>
          </w:p>
        </w:tc>
      </w:tr>
    </w:tbl>
    <w:p w14:paraId="07553557">
      <w:pPr>
        <w:sectPr>
          <w:pgSz w:w="16840" w:h="11900" w:orient="landscape"/>
          <w:pgMar w:top="1361" w:right="1020" w:bottom="1134" w:left="1020" w:header="720" w:footer="720" w:gutter="0"/>
          <w:cols w:space="720" w:num="1"/>
        </w:sectPr>
      </w:pPr>
    </w:p>
    <w:p w14:paraId="6A01C3CD">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4、冀财教[2024]123号/中央/2025年义教补助经费/东王村小学公用经费绩效目标表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D9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E331B">
            <w:pPr>
              <w:pStyle w:val="14"/>
            </w:pPr>
            <w:r>
              <w:t>单位：万元</w:t>
            </w:r>
          </w:p>
        </w:tc>
      </w:tr>
      <w:tr w14:paraId="36FB7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EA37DB">
            <w:pPr>
              <w:pStyle w:val="11"/>
            </w:pPr>
            <w:r>
              <w:t>项目编码</w:t>
            </w:r>
          </w:p>
        </w:tc>
        <w:tc>
          <w:tcPr>
            <w:tcW w:w="5103" w:type="dxa"/>
            <w:gridSpan w:val="2"/>
            <w:vAlign w:val="center"/>
          </w:tcPr>
          <w:p w14:paraId="5F993A87">
            <w:pPr>
              <w:pStyle w:val="13"/>
            </w:pPr>
            <w:r>
              <w:t>13052525P00000410099B</w:t>
            </w:r>
          </w:p>
        </w:tc>
        <w:tc>
          <w:tcPr>
            <w:tcW w:w="2835" w:type="dxa"/>
            <w:vAlign w:val="center"/>
          </w:tcPr>
          <w:p w14:paraId="683A77F7">
            <w:pPr>
              <w:pStyle w:val="11"/>
            </w:pPr>
            <w:r>
              <w:t>项目名称</w:t>
            </w:r>
          </w:p>
        </w:tc>
        <w:tc>
          <w:tcPr>
            <w:tcW w:w="6095" w:type="dxa"/>
            <w:gridSpan w:val="3"/>
            <w:vAlign w:val="center"/>
          </w:tcPr>
          <w:p w14:paraId="2926E184">
            <w:pPr>
              <w:pStyle w:val="13"/>
            </w:pPr>
            <w:r>
              <w:t>冀财教[2024]123号/中央/2025年义教补助经费/东王村小学公用经费</w:t>
            </w:r>
          </w:p>
        </w:tc>
      </w:tr>
      <w:tr w14:paraId="4DED4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281FC">
            <w:pPr>
              <w:pStyle w:val="11"/>
            </w:pPr>
            <w:r>
              <w:t>预算规模及资金用途</w:t>
            </w:r>
          </w:p>
        </w:tc>
        <w:tc>
          <w:tcPr>
            <w:tcW w:w="2268" w:type="dxa"/>
            <w:vAlign w:val="center"/>
          </w:tcPr>
          <w:p w14:paraId="2906AC12">
            <w:pPr>
              <w:pStyle w:val="11"/>
            </w:pPr>
            <w:r>
              <w:t>预算数</w:t>
            </w:r>
          </w:p>
        </w:tc>
        <w:tc>
          <w:tcPr>
            <w:tcW w:w="2835" w:type="dxa"/>
            <w:vAlign w:val="center"/>
          </w:tcPr>
          <w:p w14:paraId="5AD3B092">
            <w:pPr>
              <w:pStyle w:val="13"/>
            </w:pPr>
            <w:r>
              <w:t>77.53</w:t>
            </w:r>
          </w:p>
        </w:tc>
        <w:tc>
          <w:tcPr>
            <w:tcW w:w="2835" w:type="dxa"/>
            <w:vAlign w:val="center"/>
          </w:tcPr>
          <w:p w14:paraId="416DD86A">
            <w:pPr>
              <w:pStyle w:val="11"/>
            </w:pPr>
            <w:r>
              <w:t>其中：财政    资金</w:t>
            </w:r>
          </w:p>
        </w:tc>
        <w:tc>
          <w:tcPr>
            <w:tcW w:w="2551" w:type="dxa"/>
            <w:vAlign w:val="center"/>
          </w:tcPr>
          <w:p w14:paraId="0B193B38">
            <w:pPr>
              <w:pStyle w:val="13"/>
            </w:pPr>
            <w:r>
              <w:t>77.53</w:t>
            </w:r>
          </w:p>
        </w:tc>
        <w:tc>
          <w:tcPr>
            <w:tcW w:w="2268" w:type="dxa"/>
            <w:vAlign w:val="center"/>
          </w:tcPr>
          <w:p w14:paraId="047AFB99">
            <w:pPr>
              <w:pStyle w:val="11"/>
            </w:pPr>
            <w:r>
              <w:t>其他资金</w:t>
            </w:r>
          </w:p>
        </w:tc>
        <w:tc>
          <w:tcPr>
            <w:tcW w:w="1276" w:type="dxa"/>
            <w:vAlign w:val="center"/>
          </w:tcPr>
          <w:p w14:paraId="7D13DA0D">
            <w:pPr>
              <w:pStyle w:val="13"/>
            </w:pPr>
            <w:r>
              <w:t xml:space="preserve"> </w:t>
            </w:r>
          </w:p>
        </w:tc>
      </w:tr>
      <w:tr w14:paraId="3A5A1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C1E72"/>
        </w:tc>
        <w:tc>
          <w:tcPr>
            <w:tcW w:w="14033" w:type="dxa"/>
            <w:gridSpan w:val="6"/>
            <w:vAlign w:val="center"/>
          </w:tcPr>
          <w:p w14:paraId="27348053">
            <w:pPr>
              <w:pStyle w:val="13"/>
            </w:pPr>
            <w:r>
              <w:t>用于有效完成学校教学安全秩序，保障学校教学任务有效开展，满足学校正常教学需要。</w:t>
            </w:r>
          </w:p>
        </w:tc>
      </w:tr>
      <w:tr w14:paraId="72D5E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AAB31">
            <w:pPr>
              <w:pStyle w:val="11"/>
            </w:pPr>
            <w:r>
              <w:t>资金支出计划（%）</w:t>
            </w:r>
          </w:p>
        </w:tc>
        <w:tc>
          <w:tcPr>
            <w:tcW w:w="5103" w:type="dxa"/>
            <w:gridSpan w:val="2"/>
            <w:vAlign w:val="center"/>
          </w:tcPr>
          <w:p w14:paraId="512DD6D1">
            <w:pPr>
              <w:pStyle w:val="11"/>
            </w:pPr>
            <w:r>
              <w:t>3月底</w:t>
            </w:r>
          </w:p>
        </w:tc>
        <w:tc>
          <w:tcPr>
            <w:tcW w:w="2835" w:type="dxa"/>
            <w:vAlign w:val="center"/>
          </w:tcPr>
          <w:p w14:paraId="32779A06">
            <w:pPr>
              <w:pStyle w:val="11"/>
            </w:pPr>
            <w:r>
              <w:t>6月底</w:t>
            </w:r>
          </w:p>
        </w:tc>
        <w:tc>
          <w:tcPr>
            <w:tcW w:w="2551" w:type="dxa"/>
            <w:vAlign w:val="center"/>
          </w:tcPr>
          <w:p w14:paraId="3E1F70D6">
            <w:pPr>
              <w:pStyle w:val="11"/>
            </w:pPr>
            <w:r>
              <w:t>10月底</w:t>
            </w:r>
          </w:p>
        </w:tc>
        <w:tc>
          <w:tcPr>
            <w:tcW w:w="3544" w:type="dxa"/>
            <w:gridSpan w:val="2"/>
            <w:vAlign w:val="center"/>
          </w:tcPr>
          <w:p w14:paraId="198812EB">
            <w:pPr>
              <w:pStyle w:val="11"/>
            </w:pPr>
            <w:r>
              <w:t>12月底</w:t>
            </w:r>
          </w:p>
        </w:tc>
      </w:tr>
      <w:tr w14:paraId="40F81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812174"/>
        </w:tc>
        <w:tc>
          <w:tcPr>
            <w:tcW w:w="5103" w:type="dxa"/>
            <w:gridSpan w:val="2"/>
            <w:vAlign w:val="center"/>
          </w:tcPr>
          <w:p w14:paraId="061D0D8A">
            <w:pPr>
              <w:pStyle w:val="12"/>
            </w:pPr>
            <w:r>
              <w:t>25%</w:t>
            </w:r>
          </w:p>
        </w:tc>
        <w:tc>
          <w:tcPr>
            <w:tcW w:w="2835" w:type="dxa"/>
            <w:vAlign w:val="center"/>
          </w:tcPr>
          <w:p w14:paraId="10BE7E5C">
            <w:pPr>
              <w:pStyle w:val="12"/>
            </w:pPr>
            <w:r>
              <w:t>50%</w:t>
            </w:r>
          </w:p>
        </w:tc>
        <w:tc>
          <w:tcPr>
            <w:tcW w:w="2551" w:type="dxa"/>
            <w:vAlign w:val="center"/>
          </w:tcPr>
          <w:p w14:paraId="1E593E75">
            <w:pPr>
              <w:pStyle w:val="12"/>
            </w:pPr>
            <w:r>
              <w:t>75%</w:t>
            </w:r>
          </w:p>
        </w:tc>
        <w:tc>
          <w:tcPr>
            <w:tcW w:w="3544" w:type="dxa"/>
            <w:gridSpan w:val="2"/>
            <w:vAlign w:val="center"/>
          </w:tcPr>
          <w:p w14:paraId="3E7E7E00">
            <w:pPr>
              <w:pStyle w:val="12"/>
            </w:pPr>
            <w:r>
              <w:t>100%</w:t>
            </w:r>
          </w:p>
        </w:tc>
      </w:tr>
      <w:tr w14:paraId="3049B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DE1B18">
            <w:pPr>
              <w:pStyle w:val="11"/>
            </w:pPr>
            <w:r>
              <w:t>绩效目标</w:t>
            </w:r>
          </w:p>
        </w:tc>
        <w:tc>
          <w:tcPr>
            <w:tcW w:w="14033" w:type="dxa"/>
            <w:gridSpan w:val="6"/>
            <w:vAlign w:val="center"/>
          </w:tcPr>
          <w:p w14:paraId="5053B498">
            <w:pPr>
              <w:pStyle w:val="13"/>
            </w:pPr>
            <w:r>
              <w:t>1.有效完成学校教学安全秩序，保障学校教学任务有效开展，满足学校正常教学需要。</w:t>
            </w:r>
          </w:p>
          <w:p w14:paraId="6FD921B6">
            <w:pPr>
              <w:pStyle w:val="13"/>
            </w:pPr>
            <w:r>
              <w:t>2.按规定拨付公用经费资金，预算执行率≥98%。</w:t>
            </w:r>
          </w:p>
        </w:tc>
      </w:tr>
    </w:tbl>
    <w:p w14:paraId="197DD2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DB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08EB9">
            <w:pPr>
              <w:pStyle w:val="11"/>
            </w:pPr>
            <w:r>
              <w:t>一级指标</w:t>
            </w:r>
          </w:p>
        </w:tc>
        <w:tc>
          <w:tcPr>
            <w:tcW w:w="2268" w:type="dxa"/>
            <w:vAlign w:val="center"/>
          </w:tcPr>
          <w:p w14:paraId="0F4EA655">
            <w:pPr>
              <w:pStyle w:val="11"/>
            </w:pPr>
            <w:r>
              <w:t>二级指标</w:t>
            </w:r>
          </w:p>
        </w:tc>
        <w:tc>
          <w:tcPr>
            <w:tcW w:w="2835" w:type="dxa"/>
            <w:vAlign w:val="center"/>
          </w:tcPr>
          <w:p w14:paraId="535536A5">
            <w:pPr>
              <w:pStyle w:val="11"/>
            </w:pPr>
            <w:r>
              <w:t>三级指标</w:t>
            </w:r>
          </w:p>
        </w:tc>
        <w:tc>
          <w:tcPr>
            <w:tcW w:w="5386" w:type="dxa"/>
            <w:vAlign w:val="center"/>
          </w:tcPr>
          <w:p w14:paraId="4EDF4A77">
            <w:pPr>
              <w:pStyle w:val="11"/>
            </w:pPr>
            <w:r>
              <w:t>绩效指标描述</w:t>
            </w:r>
          </w:p>
        </w:tc>
        <w:tc>
          <w:tcPr>
            <w:tcW w:w="2268" w:type="dxa"/>
            <w:vAlign w:val="center"/>
          </w:tcPr>
          <w:p w14:paraId="6C70D874">
            <w:pPr>
              <w:pStyle w:val="11"/>
            </w:pPr>
            <w:r>
              <w:t>指标值</w:t>
            </w:r>
          </w:p>
        </w:tc>
        <w:tc>
          <w:tcPr>
            <w:tcW w:w="1276" w:type="dxa"/>
            <w:vAlign w:val="center"/>
          </w:tcPr>
          <w:p w14:paraId="32CE7494">
            <w:pPr>
              <w:pStyle w:val="11"/>
            </w:pPr>
            <w:r>
              <w:t>指标值确定依据</w:t>
            </w:r>
          </w:p>
        </w:tc>
      </w:tr>
      <w:tr w14:paraId="5D4EB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0CFDF">
            <w:pPr>
              <w:pStyle w:val="12"/>
            </w:pPr>
            <w:r>
              <w:t>产出指标</w:t>
            </w:r>
          </w:p>
        </w:tc>
        <w:tc>
          <w:tcPr>
            <w:tcW w:w="2268" w:type="dxa"/>
            <w:vAlign w:val="center"/>
          </w:tcPr>
          <w:p w14:paraId="01187D30">
            <w:pPr>
              <w:pStyle w:val="13"/>
            </w:pPr>
            <w:r>
              <w:t>数量指标</w:t>
            </w:r>
          </w:p>
        </w:tc>
        <w:tc>
          <w:tcPr>
            <w:tcW w:w="2835" w:type="dxa"/>
            <w:vAlign w:val="center"/>
          </w:tcPr>
          <w:p w14:paraId="06DC86DD">
            <w:pPr>
              <w:pStyle w:val="13"/>
            </w:pPr>
            <w:r>
              <w:t>就读学生数</w:t>
            </w:r>
          </w:p>
        </w:tc>
        <w:tc>
          <w:tcPr>
            <w:tcW w:w="5386" w:type="dxa"/>
            <w:vAlign w:val="center"/>
          </w:tcPr>
          <w:p w14:paraId="5BC9901E">
            <w:pPr>
              <w:pStyle w:val="13"/>
            </w:pPr>
            <w:r>
              <w:t>辐射区域内适龄学生人数</w:t>
            </w:r>
          </w:p>
        </w:tc>
        <w:tc>
          <w:tcPr>
            <w:tcW w:w="2268" w:type="dxa"/>
            <w:vAlign w:val="center"/>
          </w:tcPr>
          <w:p w14:paraId="2537B59C">
            <w:pPr>
              <w:pStyle w:val="13"/>
            </w:pPr>
            <w:r>
              <w:t>1115人</w:t>
            </w:r>
          </w:p>
        </w:tc>
        <w:tc>
          <w:tcPr>
            <w:tcW w:w="1276" w:type="dxa"/>
            <w:vAlign w:val="center"/>
          </w:tcPr>
          <w:p w14:paraId="2738BB0C">
            <w:pPr>
              <w:pStyle w:val="13"/>
            </w:pPr>
            <w:r>
              <w:t>城乡义务教育公用经费管理办法</w:t>
            </w:r>
          </w:p>
        </w:tc>
      </w:tr>
      <w:tr w14:paraId="39D28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F4EA6"/>
        </w:tc>
        <w:tc>
          <w:tcPr>
            <w:tcW w:w="2268" w:type="dxa"/>
            <w:vAlign w:val="center"/>
          </w:tcPr>
          <w:p w14:paraId="72DD39FD">
            <w:pPr>
              <w:pStyle w:val="13"/>
            </w:pPr>
            <w:r>
              <w:t>质量指标</w:t>
            </w:r>
          </w:p>
        </w:tc>
        <w:tc>
          <w:tcPr>
            <w:tcW w:w="2835" w:type="dxa"/>
            <w:vAlign w:val="center"/>
          </w:tcPr>
          <w:p w14:paraId="5165BF09">
            <w:pPr>
              <w:pStyle w:val="13"/>
            </w:pPr>
            <w:r>
              <w:t>预算执行率</w:t>
            </w:r>
          </w:p>
        </w:tc>
        <w:tc>
          <w:tcPr>
            <w:tcW w:w="5386" w:type="dxa"/>
            <w:vAlign w:val="center"/>
          </w:tcPr>
          <w:p w14:paraId="6319821B">
            <w:pPr>
              <w:pStyle w:val="13"/>
            </w:pPr>
            <w:r>
              <w:t>预算执行率</w:t>
            </w:r>
          </w:p>
        </w:tc>
        <w:tc>
          <w:tcPr>
            <w:tcW w:w="2268" w:type="dxa"/>
            <w:vAlign w:val="center"/>
          </w:tcPr>
          <w:p w14:paraId="2BB89A33">
            <w:pPr>
              <w:pStyle w:val="13"/>
            </w:pPr>
            <w:r>
              <w:t>≥98%</w:t>
            </w:r>
          </w:p>
        </w:tc>
        <w:tc>
          <w:tcPr>
            <w:tcW w:w="1276" w:type="dxa"/>
            <w:vAlign w:val="center"/>
          </w:tcPr>
          <w:p w14:paraId="2FA9093D">
            <w:pPr>
              <w:pStyle w:val="13"/>
            </w:pPr>
            <w:r>
              <w:t>城乡义务教育公用经费管理办法</w:t>
            </w:r>
          </w:p>
        </w:tc>
      </w:tr>
      <w:tr w14:paraId="03189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46F2E"/>
        </w:tc>
        <w:tc>
          <w:tcPr>
            <w:tcW w:w="2268" w:type="dxa"/>
            <w:vAlign w:val="center"/>
          </w:tcPr>
          <w:p w14:paraId="4D8E2917">
            <w:pPr>
              <w:pStyle w:val="13"/>
            </w:pPr>
            <w:r>
              <w:t>时效指标</w:t>
            </w:r>
          </w:p>
        </w:tc>
        <w:tc>
          <w:tcPr>
            <w:tcW w:w="2835" w:type="dxa"/>
            <w:vAlign w:val="center"/>
          </w:tcPr>
          <w:p w14:paraId="314F9971">
            <w:pPr>
              <w:pStyle w:val="13"/>
            </w:pPr>
            <w:r>
              <w:t>义教经费支付完成率</w:t>
            </w:r>
          </w:p>
        </w:tc>
        <w:tc>
          <w:tcPr>
            <w:tcW w:w="5386" w:type="dxa"/>
            <w:vAlign w:val="center"/>
          </w:tcPr>
          <w:p w14:paraId="610D8EE0">
            <w:pPr>
              <w:pStyle w:val="13"/>
            </w:pPr>
            <w:r>
              <w:t>按照序时进度完成资金支付</w:t>
            </w:r>
          </w:p>
        </w:tc>
        <w:tc>
          <w:tcPr>
            <w:tcW w:w="2268" w:type="dxa"/>
            <w:vAlign w:val="center"/>
          </w:tcPr>
          <w:p w14:paraId="41B07147">
            <w:pPr>
              <w:pStyle w:val="13"/>
            </w:pPr>
            <w:r>
              <w:t>≥100%</w:t>
            </w:r>
          </w:p>
        </w:tc>
        <w:tc>
          <w:tcPr>
            <w:tcW w:w="1276" w:type="dxa"/>
            <w:vAlign w:val="center"/>
          </w:tcPr>
          <w:p w14:paraId="430D0F50">
            <w:pPr>
              <w:pStyle w:val="13"/>
            </w:pPr>
            <w:r>
              <w:t>城乡义务教育公用经费管理办法</w:t>
            </w:r>
          </w:p>
        </w:tc>
      </w:tr>
      <w:tr w14:paraId="57A07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ECEC0"/>
        </w:tc>
        <w:tc>
          <w:tcPr>
            <w:tcW w:w="2268" w:type="dxa"/>
            <w:vAlign w:val="center"/>
          </w:tcPr>
          <w:p w14:paraId="097D22BC">
            <w:pPr>
              <w:pStyle w:val="13"/>
            </w:pPr>
            <w:r>
              <w:t>成本指标</w:t>
            </w:r>
          </w:p>
        </w:tc>
        <w:tc>
          <w:tcPr>
            <w:tcW w:w="2835" w:type="dxa"/>
            <w:vAlign w:val="center"/>
          </w:tcPr>
          <w:p w14:paraId="66182AFA">
            <w:pPr>
              <w:pStyle w:val="13"/>
            </w:pPr>
            <w:r>
              <w:t>生均拨款标准</w:t>
            </w:r>
          </w:p>
        </w:tc>
        <w:tc>
          <w:tcPr>
            <w:tcW w:w="5386" w:type="dxa"/>
            <w:vAlign w:val="center"/>
          </w:tcPr>
          <w:p w14:paraId="7F34C2BD">
            <w:pPr>
              <w:pStyle w:val="13"/>
            </w:pPr>
            <w:r>
              <w:t>小学：（基本标准720元、寄宿生300元、生活补助120元）/生/学年；特教、随班就读学生：标准7000元/生/学年</w:t>
            </w:r>
          </w:p>
        </w:tc>
        <w:tc>
          <w:tcPr>
            <w:tcW w:w="2268" w:type="dxa"/>
            <w:vAlign w:val="center"/>
          </w:tcPr>
          <w:p w14:paraId="5927AEDB">
            <w:pPr>
              <w:pStyle w:val="13"/>
            </w:pPr>
            <w:r>
              <w:t>840元</w:t>
            </w:r>
          </w:p>
        </w:tc>
        <w:tc>
          <w:tcPr>
            <w:tcW w:w="1276" w:type="dxa"/>
            <w:vAlign w:val="center"/>
          </w:tcPr>
          <w:p w14:paraId="04D0FEEE">
            <w:pPr>
              <w:pStyle w:val="13"/>
            </w:pPr>
            <w:r>
              <w:t>城乡义务教育公用经费管理办法</w:t>
            </w:r>
          </w:p>
        </w:tc>
      </w:tr>
      <w:tr w14:paraId="47828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A40CD0">
            <w:pPr>
              <w:pStyle w:val="12"/>
            </w:pPr>
            <w:r>
              <w:t>效益指标</w:t>
            </w:r>
          </w:p>
        </w:tc>
        <w:tc>
          <w:tcPr>
            <w:tcW w:w="2268" w:type="dxa"/>
            <w:vAlign w:val="center"/>
          </w:tcPr>
          <w:p w14:paraId="11EA3C68">
            <w:pPr>
              <w:pStyle w:val="13"/>
            </w:pPr>
            <w:r>
              <w:t>社会效益指标</w:t>
            </w:r>
          </w:p>
        </w:tc>
        <w:tc>
          <w:tcPr>
            <w:tcW w:w="2835" w:type="dxa"/>
            <w:vAlign w:val="center"/>
          </w:tcPr>
          <w:p w14:paraId="241C6240">
            <w:pPr>
              <w:pStyle w:val="13"/>
            </w:pPr>
            <w:r>
              <w:t>学校稳定率</w:t>
            </w:r>
          </w:p>
        </w:tc>
        <w:tc>
          <w:tcPr>
            <w:tcW w:w="5386" w:type="dxa"/>
            <w:vAlign w:val="center"/>
          </w:tcPr>
          <w:p w14:paraId="2D763899">
            <w:pPr>
              <w:pStyle w:val="13"/>
            </w:pPr>
            <w:r>
              <w:t>维护学校稳定，保障学校正常教学秩序有效开展</w:t>
            </w:r>
          </w:p>
        </w:tc>
        <w:tc>
          <w:tcPr>
            <w:tcW w:w="2268" w:type="dxa"/>
            <w:vAlign w:val="center"/>
          </w:tcPr>
          <w:p w14:paraId="462A7F20">
            <w:pPr>
              <w:pStyle w:val="13"/>
            </w:pPr>
            <w:r>
              <w:t>≥100%</w:t>
            </w:r>
          </w:p>
        </w:tc>
        <w:tc>
          <w:tcPr>
            <w:tcW w:w="1276" w:type="dxa"/>
            <w:vAlign w:val="center"/>
          </w:tcPr>
          <w:p w14:paraId="1ADA9E5D">
            <w:pPr>
              <w:pStyle w:val="13"/>
            </w:pPr>
            <w:r>
              <w:t>城乡义务教育公用经费管理办法</w:t>
            </w:r>
          </w:p>
        </w:tc>
      </w:tr>
      <w:tr w14:paraId="756B9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7204F5">
            <w:pPr>
              <w:pStyle w:val="12"/>
            </w:pPr>
            <w:r>
              <w:t>满意度指标</w:t>
            </w:r>
          </w:p>
        </w:tc>
        <w:tc>
          <w:tcPr>
            <w:tcW w:w="2268" w:type="dxa"/>
            <w:vAlign w:val="center"/>
          </w:tcPr>
          <w:p w14:paraId="64959602">
            <w:pPr>
              <w:pStyle w:val="13"/>
            </w:pPr>
            <w:r>
              <w:t>服务对象满意度指标</w:t>
            </w:r>
          </w:p>
        </w:tc>
        <w:tc>
          <w:tcPr>
            <w:tcW w:w="2835" w:type="dxa"/>
            <w:vAlign w:val="center"/>
          </w:tcPr>
          <w:p w14:paraId="18099293">
            <w:pPr>
              <w:pStyle w:val="13"/>
            </w:pPr>
            <w:r>
              <w:t>家长和学生满意度</w:t>
            </w:r>
          </w:p>
        </w:tc>
        <w:tc>
          <w:tcPr>
            <w:tcW w:w="5386" w:type="dxa"/>
            <w:vAlign w:val="center"/>
          </w:tcPr>
          <w:p w14:paraId="50B1F186">
            <w:pPr>
              <w:pStyle w:val="13"/>
            </w:pPr>
            <w:r>
              <w:t>家长和学生满意度</w:t>
            </w:r>
          </w:p>
        </w:tc>
        <w:tc>
          <w:tcPr>
            <w:tcW w:w="2268" w:type="dxa"/>
            <w:vAlign w:val="center"/>
          </w:tcPr>
          <w:p w14:paraId="1C9F331D">
            <w:pPr>
              <w:pStyle w:val="13"/>
            </w:pPr>
            <w:r>
              <w:t>≥95%</w:t>
            </w:r>
          </w:p>
        </w:tc>
        <w:tc>
          <w:tcPr>
            <w:tcW w:w="1276" w:type="dxa"/>
            <w:vAlign w:val="center"/>
          </w:tcPr>
          <w:p w14:paraId="5D11D85E">
            <w:pPr>
              <w:pStyle w:val="13"/>
            </w:pPr>
            <w:r>
              <w:t>问卷调查</w:t>
            </w:r>
          </w:p>
        </w:tc>
      </w:tr>
    </w:tbl>
    <w:p w14:paraId="47579BA8">
      <w:pPr>
        <w:sectPr>
          <w:pgSz w:w="16840" w:h="11900" w:orient="landscape"/>
          <w:pgMar w:top="1361" w:right="1020" w:bottom="1134" w:left="1020" w:header="720" w:footer="720" w:gutter="0"/>
          <w:cols w:space="720" w:num="1"/>
        </w:sectPr>
      </w:pPr>
    </w:p>
    <w:p w14:paraId="52590B77">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5、冀财教[2024]123号/中央/2025年义教补助经费/火连庄小学公用经费绩效目标表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7AB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6DEC4">
            <w:pPr>
              <w:pStyle w:val="14"/>
            </w:pPr>
            <w:r>
              <w:t>单位：万元</w:t>
            </w:r>
          </w:p>
        </w:tc>
      </w:tr>
      <w:tr w14:paraId="4E63A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87CDEE">
            <w:pPr>
              <w:pStyle w:val="11"/>
            </w:pPr>
            <w:r>
              <w:t>项目编码</w:t>
            </w:r>
          </w:p>
        </w:tc>
        <w:tc>
          <w:tcPr>
            <w:tcW w:w="5103" w:type="dxa"/>
            <w:gridSpan w:val="2"/>
            <w:vAlign w:val="center"/>
          </w:tcPr>
          <w:p w14:paraId="3408C413">
            <w:pPr>
              <w:pStyle w:val="13"/>
            </w:pPr>
            <w:r>
              <w:t>13052525P00000410101W</w:t>
            </w:r>
          </w:p>
        </w:tc>
        <w:tc>
          <w:tcPr>
            <w:tcW w:w="2835" w:type="dxa"/>
            <w:vAlign w:val="center"/>
          </w:tcPr>
          <w:p w14:paraId="795EAF04">
            <w:pPr>
              <w:pStyle w:val="11"/>
            </w:pPr>
            <w:r>
              <w:t>项目名称</w:t>
            </w:r>
          </w:p>
        </w:tc>
        <w:tc>
          <w:tcPr>
            <w:tcW w:w="6095" w:type="dxa"/>
            <w:gridSpan w:val="3"/>
            <w:vAlign w:val="center"/>
          </w:tcPr>
          <w:p w14:paraId="241AFD50">
            <w:pPr>
              <w:pStyle w:val="13"/>
            </w:pPr>
            <w:r>
              <w:t>冀财教[2024]123号/中央/2025年义教补助经费/火连庄小学公用经费</w:t>
            </w:r>
          </w:p>
        </w:tc>
      </w:tr>
      <w:tr w14:paraId="026C2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CAC30">
            <w:pPr>
              <w:pStyle w:val="11"/>
            </w:pPr>
            <w:r>
              <w:t>预算规模及资金用途</w:t>
            </w:r>
          </w:p>
        </w:tc>
        <w:tc>
          <w:tcPr>
            <w:tcW w:w="2268" w:type="dxa"/>
            <w:vAlign w:val="center"/>
          </w:tcPr>
          <w:p w14:paraId="50B59F91">
            <w:pPr>
              <w:pStyle w:val="11"/>
            </w:pPr>
            <w:r>
              <w:t>预算数</w:t>
            </w:r>
          </w:p>
        </w:tc>
        <w:tc>
          <w:tcPr>
            <w:tcW w:w="2835" w:type="dxa"/>
            <w:vAlign w:val="center"/>
          </w:tcPr>
          <w:p w14:paraId="25713C45">
            <w:pPr>
              <w:pStyle w:val="13"/>
            </w:pPr>
            <w:r>
              <w:t>29.80</w:t>
            </w:r>
          </w:p>
        </w:tc>
        <w:tc>
          <w:tcPr>
            <w:tcW w:w="2835" w:type="dxa"/>
            <w:vAlign w:val="center"/>
          </w:tcPr>
          <w:p w14:paraId="66F3AA48">
            <w:pPr>
              <w:pStyle w:val="11"/>
            </w:pPr>
            <w:r>
              <w:t>其中：财政    资金</w:t>
            </w:r>
          </w:p>
        </w:tc>
        <w:tc>
          <w:tcPr>
            <w:tcW w:w="2551" w:type="dxa"/>
            <w:vAlign w:val="center"/>
          </w:tcPr>
          <w:p w14:paraId="34B0911D">
            <w:pPr>
              <w:pStyle w:val="13"/>
            </w:pPr>
            <w:r>
              <w:t>29.80</w:t>
            </w:r>
          </w:p>
        </w:tc>
        <w:tc>
          <w:tcPr>
            <w:tcW w:w="2268" w:type="dxa"/>
            <w:vAlign w:val="center"/>
          </w:tcPr>
          <w:p w14:paraId="51F1455A">
            <w:pPr>
              <w:pStyle w:val="11"/>
            </w:pPr>
            <w:r>
              <w:t>其他资金</w:t>
            </w:r>
          </w:p>
        </w:tc>
        <w:tc>
          <w:tcPr>
            <w:tcW w:w="1276" w:type="dxa"/>
            <w:vAlign w:val="center"/>
          </w:tcPr>
          <w:p w14:paraId="5FD1B4FD">
            <w:pPr>
              <w:pStyle w:val="13"/>
            </w:pPr>
            <w:r>
              <w:t xml:space="preserve"> </w:t>
            </w:r>
          </w:p>
        </w:tc>
      </w:tr>
      <w:tr w14:paraId="13B87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9019D9"/>
        </w:tc>
        <w:tc>
          <w:tcPr>
            <w:tcW w:w="14033" w:type="dxa"/>
            <w:gridSpan w:val="6"/>
            <w:vAlign w:val="center"/>
          </w:tcPr>
          <w:p w14:paraId="07F926E1">
            <w:pPr>
              <w:pStyle w:val="13"/>
            </w:pPr>
            <w:r>
              <w:t>用于有效完成学校教学安全秩序，保障学校教学任务有效开展，满足学校正常教学需要。</w:t>
            </w:r>
          </w:p>
        </w:tc>
      </w:tr>
      <w:tr w14:paraId="67409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951A9">
            <w:pPr>
              <w:pStyle w:val="11"/>
            </w:pPr>
            <w:r>
              <w:t>资金支出计划（%）</w:t>
            </w:r>
          </w:p>
        </w:tc>
        <w:tc>
          <w:tcPr>
            <w:tcW w:w="5103" w:type="dxa"/>
            <w:gridSpan w:val="2"/>
            <w:vAlign w:val="center"/>
          </w:tcPr>
          <w:p w14:paraId="43FD22FB">
            <w:pPr>
              <w:pStyle w:val="11"/>
            </w:pPr>
            <w:r>
              <w:t>3月底</w:t>
            </w:r>
          </w:p>
        </w:tc>
        <w:tc>
          <w:tcPr>
            <w:tcW w:w="2835" w:type="dxa"/>
            <w:vAlign w:val="center"/>
          </w:tcPr>
          <w:p w14:paraId="1F59B64E">
            <w:pPr>
              <w:pStyle w:val="11"/>
            </w:pPr>
            <w:r>
              <w:t>6月底</w:t>
            </w:r>
          </w:p>
        </w:tc>
        <w:tc>
          <w:tcPr>
            <w:tcW w:w="2551" w:type="dxa"/>
            <w:vAlign w:val="center"/>
          </w:tcPr>
          <w:p w14:paraId="29DC11ED">
            <w:pPr>
              <w:pStyle w:val="11"/>
            </w:pPr>
            <w:r>
              <w:t>10月底</w:t>
            </w:r>
          </w:p>
        </w:tc>
        <w:tc>
          <w:tcPr>
            <w:tcW w:w="3544" w:type="dxa"/>
            <w:gridSpan w:val="2"/>
            <w:vAlign w:val="center"/>
          </w:tcPr>
          <w:p w14:paraId="620910C3">
            <w:pPr>
              <w:pStyle w:val="11"/>
            </w:pPr>
            <w:r>
              <w:t>12月底</w:t>
            </w:r>
          </w:p>
        </w:tc>
      </w:tr>
      <w:tr w14:paraId="0112F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4AF0F0"/>
        </w:tc>
        <w:tc>
          <w:tcPr>
            <w:tcW w:w="5103" w:type="dxa"/>
            <w:gridSpan w:val="2"/>
            <w:vAlign w:val="center"/>
          </w:tcPr>
          <w:p w14:paraId="24F3FCCE">
            <w:pPr>
              <w:pStyle w:val="12"/>
            </w:pPr>
            <w:r>
              <w:t>25%</w:t>
            </w:r>
          </w:p>
        </w:tc>
        <w:tc>
          <w:tcPr>
            <w:tcW w:w="2835" w:type="dxa"/>
            <w:vAlign w:val="center"/>
          </w:tcPr>
          <w:p w14:paraId="66986EF2">
            <w:pPr>
              <w:pStyle w:val="12"/>
            </w:pPr>
            <w:r>
              <w:t>50%</w:t>
            </w:r>
          </w:p>
        </w:tc>
        <w:tc>
          <w:tcPr>
            <w:tcW w:w="2551" w:type="dxa"/>
            <w:vAlign w:val="center"/>
          </w:tcPr>
          <w:p w14:paraId="182FF0F2">
            <w:pPr>
              <w:pStyle w:val="12"/>
            </w:pPr>
            <w:r>
              <w:t>75%</w:t>
            </w:r>
          </w:p>
        </w:tc>
        <w:tc>
          <w:tcPr>
            <w:tcW w:w="3544" w:type="dxa"/>
            <w:gridSpan w:val="2"/>
            <w:vAlign w:val="center"/>
          </w:tcPr>
          <w:p w14:paraId="77E3C3C6">
            <w:pPr>
              <w:pStyle w:val="12"/>
            </w:pPr>
            <w:r>
              <w:t>100%</w:t>
            </w:r>
          </w:p>
        </w:tc>
      </w:tr>
      <w:tr w14:paraId="4D4C3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352D11">
            <w:pPr>
              <w:pStyle w:val="11"/>
            </w:pPr>
            <w:r>
              <w:t>绩效目标</w:t>
            </w:r>
          </w:p>
        </w:tc>
        <w:tc>
          <w:tcPr>
            <w:tcW w:w="14033" w:type="dxa"/>
            <w:gridSpan w:val="6"/>
            <w:vAlign w:val="center"/>
          </w:tcPr>
          <w:p w14:paraId="57FE1B62">
            <w:pPr>
              <w:pStyle w:val="13"/>
            </w:pPr>
            <w:r>
              <w:t>1.有效完成学校教学安全秩序，保障学校教学任务有效开展，满足学校正常教学需要。</w:t>
            </w:r>
          </w:p>
          <w:p w14:paraId="671DB8B0">
            <w:pPr>
              <w:pStyle w:val="13"/>
            </w:pPr>
            <w:r>
              <w:t>2.按规定拨付公用经费资金，预算执行率≥98%。</w:t>
            </w:r>
          </w:p>
        </w:tc>
      </w:tr>
    </w:tbl>
    <w:p w14:paraId="209E22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B9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E836C">
            <w:pPr>
              <w:pStyle w:val="11"/>
            </w:pPr>
            <w:r>
              <w:t>一级指标</w:t>
            </w:r>
          </w:p>
        </w:tc>
        <w:tc>
          <w:tcPr>
            <w:tcW w:w="2268" w:type="dxa"/>
            <w:vAlign w:val="center"/>
          </w:tcPr>
          <w:p w14:paraId="09F99DBA">
            <w:pPr>
              <w:pStyle w:val="11"/>
            </w:pPr>
            <w:r>
              <w:t>二级指标</w:t>
            </w:r>
          </w:p>
        </w:tc>
        <w:tc>
          <w:tcPr>
            <w:tcW w:w="2835" w:type="dxa"/>
            <w:vAlign w:val="center"/>
          </w:tcPr>
          <w:p w14:paraId="6DD05E7B">
            <w:pPr>
              <w:pStyle w:val="11"/>
            </w:pPr>
            <w:r>
              <w:t>三级指标</w:t>
            </w:r>
          </w:p>
        </w:tc>
        <w:tc>
          <w:tcPr>
            <w:tcW w:w="5386" w:type="dxa"/>
            <w:vAlign w:val="center"/>
          </w:tcPr>
          <w:p w14:paraId="5D1935AA">
            <w:pPr>
              <w:pStyle w:val="11"/>
            </w:pPr>
            <w:r>
              <w:t>绩效指标描述</w:t>
            </w:r>
          </w:p>
        </w:tc>
        <w:tc>
          <w:tcPr>
            <w:tcW w:w="2268" w:type="dxa"/>
            <w:vAlign w:val="center"/>
          </w:tcPr>
          <w:p w14:paraId="04B1E12B">
            <w:pPr>
              <w:pStyle w:val="11"/>
            </w:pPr>
            <w:r>
              <w:t>指标值</w:t>
            </w:r>
          </w:p>
        </w:tc>
        <w:tc>
          <w:tcPr>
            <w:tcW w:w="1276" w:type="dxa"/>
            <w:vAlign w:val="center"/>
          </w:tcPr>
          <w:p w14:paraId="3D9FF012">
            <w:pPr>
              <w:pStyle w:val="11"/>
            </w:pPr>
            <w:r>
              <w:t>指标值确定依据</w:t>
            </w:r>
          </w:p>
        </w:tc>
      </w:tr>
      <w:tr w14:paraId="001C4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6D7F1">
            <w:pPr>
              <w:pStyle w:val="12"/>
            </w:pPr>
            <w:r>
              <w:t>产出指标</w:t>
            </w:r>
          </w:p>
        </w:tc>
        <w:tc>
          <w:tcPr>
            <w:tcW w:w="2268" w:type="dxa"/>
            <w:vAlign w:val="center"/>
          </w:tcPr>
          <w:p w14:paraId="51B5D435">
            <w:pPr>
              <w:pStyle w:val="13"/>
            </w:pPr>
            <w:r>
              <w:t>数量指标</w:t>
            </w:r>
          </w:p>
        </w:tc>
        <w:tc>
          <w:tcPr>
            <w:tcW w:w="2835" w:type="dxa"/>
            <w:vAlign w:val="center"/>
          </w:tcPr>
          <w:p w14:paraId="53280693">
            <w:pPr>
              <w:pStyle w:val="13"/>
            </w:pPr>
            <w:r>
              <w:t>就读学生数</w:t>
            </w:r>
          </w:p>
        </w:tc>
        <w:tc>
          <w:tcPr>
            <w:tcW w:w="5386" w:type="dxa"/>
            <w:vAlign w:val="center"/>
          </w:tcPr>
          <w:p w14:paraId="43AC56E9">
            <w:pPr>
              <w:pStyle w:val="13"/>
            </w:pPr>
            <w:r>
              <w:t>辐射区域内适龄学生人数</w:t>
            </w:r>
          </w:p>
        </w:tc>
        <w:tc>
          <w:tcPr>
            <w:tcW w:w="2268" w:type="dxa"/>
            <w:vAlign w:val="center"/>
          </w:tcPr>
          <w:p w14:paraId="2284C564">
            <w:pPr>
              <w:pStyle w:val="13"/>
            </w:pPr>
            <w:r>
              <w:t>426人</w:t>
            </w:r>
          </w:p>
        </w:tc>
        <w:tc>
          <w:tcPr>
            <w:tcW w:w="1276" w:type="dxa"/>
            <w:vAlign w:val="center"/>
          </w:tcPr>
          <w:p w14:paraId="2F258B53">
            <w:pPr>
              <w:pStyle w:val="13"/>
            </w:pPr>
            <w:r>
              <w:t>城乡义务教育公用经费管理办法</w:t>
            </w:r>
          </w:p>
        </w:tc>
      </w:tr>
      <w:tr w14:paraId="48F2E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21E1A98E"/>
        </w:tc>
        <w:tc>
          <w:tcPr>
            <w:tcW w:w="2268" w:type="dxa"/>
            <w:vAlign w:val="center"/>
          </w:tcPr>
          <w:p w14:paraId="1F7D8A81">
            <w:pPr>
              <w:pStyle w:val="13"/>
            </w:pPr>
            <w:r>
              <w:t>质量指标</w:t>
            </w:r>
          </w:p>
        </w:tc>
        <w:tc>
          <w:tcPr>
            <w:tcW w:w="2835" w:type="dxa"/>
            <w:vAlign w:val="center"/>
          </w:tcPr>
          <w:p w14:paraId="1385B61A">
            <w:pPr>
              <w:pStyle w:val="13"/>
            </w:pPr>
            <w:r>
              <w:t>预算执行率</w:t>
            </w:r>
          </w:p>
        </w:tc>
        <w:tc>
          <w:tcPr>
            <w:tcW w:w="5386" w:type="dxa"/>
            <w:vAlign w:val="center"/>
          </w:tcPr>
          <w:p w14:paraId="04389AD0">
            <w:pPr>
              <w:pStyle w:val="13"/>
            </w:pPr>
            <w:r>
              <w:t>预算执行率</w:t>
            </w:r>
          </w:p>
        </w:tc>
        <w:tc>
          <w:tcPr>
            <w:tcW w:w="2268" w:type="dxa"/>
            <w:vAlign w:val="center"/>
          </w:tcPr>
          <w:p w14:paraId="3C425E9E">
            <w:pPr>
              <w:pStyle w:val="13"/>
            </w:pPr>
            <w:r>
              <w:t>≥98%</w:t>
            </w:r>
          </w:p>
        </w:tc>
        <w:tc>
          <w:tcPr>
            <w:tcW w:w="1276" w:type="dxa"/>
            <w:vAlign w:val="center"/>
          </w:tcPr>
          <w:p w14:paraId="546A1EDF">
            <w:pPr>
              <w:pStyle w:val="13"/>
            </w:pPr>
            <w:r>
              <w:t>城乡义务教育公用经费管理办法</w:t>
            </w:r>
          </w:p>
        </w:tc>
      </w:tr>
      <w:tr w14:paraId="7A9B7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B8A1C"/>
        </w:tc>
        <w:tc>
          <w:tcPr>
            <w:tcW w:w="2268" w:type="dxa"/>
            <w:vAlign w:val="center"/>
          </w:tcPr>
          <w:p w14:paraId="4B432D91">
            <w:pPr>
              <w:pStyle w:val="13"/>
            </w:pPr>
            <w:r>
              <w:t>时效指标</w:t>
            </w:r>
          </w:p>
        </w:tc>
        <w:tc>
          <w:tcPr>
            <w:tcW w:w="2835" w:type="dxa"/>
            <w:vAlign w:val="center"/>
          </w:tcPr>
          <w:p w14:paraId="0F62CD5A">
            <w:pPr>
              <w:pStyle w:val="13"/>
            </w:pPr>
            <w:r>
              <w:t>义教经费支付完成率</w:t>
            </w:r>
          </w:p>
        </w:tc>
        <w:tc>
          <w:tcPr>
            <w:tcW w:w="5386" w:type="dxa"/>
            <w:vAlign w:val="center"/>
          </w:tcPr>
          <w:p w14:paraId="72C58113">
            <w:pPr>
              <w:pStyle w:val="13"/>
            </w:pPr>
            <w:r>
              <w:t>按照序时进度完成资金支付</w:t>
            </w:r>
          </w:p>
        </w:tc>
        <w:tc>
          <w:tcPr>
            <w:tcW w:w="2268" w:type="dxa"/>
            <w:vAlign w:val="center"/>
          </w:tcPr>
          <w:p w14:paraId="7A6EC074">
            <w:pPr>
              <w:pStyle w:val="13"/>
            </w:pPr>
            <w:r>
              <w:t>≥100%</w:t>
            </w:r>
          </w:p>
        </w:tc>
        <w:tc>
          <w:tcPr>
            <w:tcW w:w="1276" w:type="dxa"/>
            <w:vAlign w:val="center"/>
          </w:tcPr>
          <w:p w14:paraId="6F13D7A4">
            <w:pPr>
              <w:pStyle w:val="13"/>
            </w:pPr>
            <w:r>
              <w:t>城乡义务教育公用经费管理办法</w:t>
            </w:r>
          </w:p>
        </w:tc>
      </w:tr>
      <w:tr w14:paraId="4F2E8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00C51"/>
        </w:tc>
        <w:tc>
          <w:tcPr>
            <w:tcW w:w="2268" w:type="dxa"/>
            <w:vAlign w:val="center"/>
          </w:tcPr>
          <w:p w14:paraId="35364425">
            <w:pPr>
              <w:pStyle w:val="13"/>
            </w:pPr>
            <w:r>
              <w:t>成本指标</w:t>
            </w:r>
          </w:p>
        </w:tc>
        <w:tc>
          <w:tcPr>
            <w:tcW w:w="2835" w:type="dxa"/>
            <w:vAlign w:val="center"/>
          </w:tcPr>
          <w:p w14:paraId="62D13739">
            <w:pPr>
              <w:pStyle w:val="13"/>
            </w:pPr>
            <w:r>
              <w:t>生均拨款标准</w:t>
            </w:r>
          </w:p>
        </w:tc>
        <w:tc>
          <w:tcPr>
            <w:tcW w:w="5386" w:type="dxa"/>
            <w:vAlign w:val="center"/>
          </w:tcPr>
          <w:p w14:paraId="6CA644BC">
            <w:pPr>
              <w:pStyle w:val="13"/>
            </w:pPr>
            <w:r>
              <w:t>小学：（基本标准720元、寄宿生300元、生活补助120元）/生/学年；特教、随班就读学生：标准7000元/生/学年</w:t>
            </w:r>
          </w:p>
        </w:tc>
        <w:tc>
          <w:tcPr>
            <w:tcW w:w="2268" w:type="dxa"/>
            <w:vAlign w:val="center"/>
          </w:tcPr>
          <w:p w14:paraId="320D8CC0">
            <w:pPr>
              <w:pStyle w:val="13"/>
            </w:pPr>
            <w:r>
              <w:t>840元</w:t>
            </w:r>
          </w:p>
        </w:tc>
        <w:tc>
          <w:tcPr>
            <w:tcW w:w="1276" w:type="dxa"/>
            <w:vAlign w:val="center"/>
          </w:tcPr>
          <w:p w14:paraId="6FD3B3DA">
            <w:pPr>
              <w:pStyle w:val="13"/>
            </w:pPr>
            <w:r>
              <w:t>城乡义务教育公用经费管理办法</w:t>
            </w:r>
          </w:p>
        </w:tc>
      </w:tr>
      <w:tr w14:paraId="0AE0B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DCA75">
            <w:pPr>
              <w:pStyle w:val="12"/>
            </w:pPr>
            <w:r>
              <w:t>效益指标</w:t>
            </w:r>
          </w:p>
        </w:tc>
        <w:tc>
          <w:tcPr>
            <w:tcW w:w="2268" w:type="dxa"/>
            <w:vAlign w:val="center"/>
          </w:tcPr>
          <w:p w14:paraId="33CEE40F">
            <w:pPr>
              <w:pStyle w:val="13"/>
            </w:pPr>
            <w:r>
              <w:t>社会效益指标</w:t>
            </w:r>
          </w:p>
        </w:tc>
        <w:tc>
          <w:tcPr>
            <w:tcW w:w="2835" w:type="dxa"/>
            <w:vAlign w:val="center"/>
          </w:tcPr>
          <w:p w14:paraId="31F74BFC">
            <w:pPr>
              <w:pStyle w:val="13"/>
            </w:pPr>
            <w:r>
              <w:t>学校稳定率</w:t>
            </w:r>
          </w:p>
        </w:tc>
        <w:tc>
          <w:tcPr>
            <w:tcW w:w="5386" w:type="dxa"/>
            <w:vAlign w:val="center"/>
          </w:tcPr>
          <w:p w14:paraId="56B761DD">
            <w:pPr>
              <w:pStyle w:val="13"/>
            </w:pPr>
            <w:r>
              <w:t>维护学校稳定，保障学校正常教学秩序有效开展</w:t>
            </w:r>
          </w:p>
        </w:tc>
        <w:tc>
          <w:tcPr>
            <w:tcW w:w="2268" w:type="dxa"/>
            <w:vAlign w:val="center"/>
          </w:tcPr>
          <w:p w14:paraId="3781DDC6">
            <w:pPr>
              <w:pStyle w:val="13"/>
            </w:pPr>
            <w:r>
              <w:t>≥100%</w:t>
            </w:r>
          </w:p>
        </w:tc>
        <w:tc>
          <w:tcPr>
            <w:tcW w:w="1276" w:type="dxa"/>
            <w:vAlign w:val="center"/>
          </w:tcPr>
          <w:p w14:paraId="04CAC47A">
            <w:pPr>
              <w:pStyle w:val="13"/>
            </w:pPr>
            <w:r>
              <w:t>城乡义务教育公用经费管理办法</w:t>
            </w:r>
          </w:p>
        </w:tc>
      </w:tr>
      <w:tr w14:paraId="4FFE4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EB4607">
            <w:pPr>
              <w:pStyle w:val="12"/>
            </w:pPr>
            <w:r>
              <w:t>满意度指标</w:t>
            </w:r>
          </w:p>
        </w:tc>
        <w:tc>
          <w:tcPr>
            <w:tcW w:w="2268" w:type="dxa"/>
            <w:vAlign w:val="center"/>
          </w:tcPr>
          <w:p w14:paraId="0CD7CA61">
            <w:pPr>
              <w:pStyle w:val="13"/>
            </w:pPr>
            <w:r>
              <w:t>服务对象满意度指标</w:t>
            </w:r>
          </w:p>
        </w:tc>
        <w:tc>
          <w:tcPr>
            <w:tcW w:w="2835" w:type="dxa"/>
            <w:vAlign w:val="center"/>
          </w:tcPr>
          <w:p w14:paraId="63D99F3E">
            <w:pPr>
              <w:pStyle w:val="13"/>
            </w:pPr>
            <w:r>
              <w:t>家长和学生满意度</w:t>
            </w:r>
          </w:p>
        </w:tc>
        <w:tc>
          <w:tcPr>
            <w:tcW w:w="5386" w:type="dxa"/>
            <w:vAlign w:val="center"/>
          </w:tcPr>
          <w:p w14:paraId="52C5F530">
            <w:pPr>
              <w:pStyle w:val="13"/>
            </w:pPr>
            <w:r>
              <w:t>家长和学生满意度</w:t>
            </w:r>
          </w:p>
        </w:tc>
        <w:tc>
          <w:tcPr>
            <w:tcW w:w="2268" w:type="dxa"/>
            <w:vAlign w:val="center"/>
          </w:tcPr>
          <w:p w14:paraId="6CA13948">
            <w:pPr>
              <w:pStyle w:val="13"/>
            </w:pPr>
            <w:r>
              <w:t>≥95%</w:t>
            </w:r>
          </w:p>
        </w:tc>
        <w:tc>
          <w:tcPr>
            <w:tcW w:w="1276" w:type="dxa"/>
            <w:vAlign w:val="center"/>
          </w:tcPr>
          <w:p w14:paraId="77F9D01E">
            <w:pPr>
              <w:pStyle w:val="13"/>
            </w:pPr>
            <w:r>
              <w:t>问卷调查</w:t>
            </w:r>
          </w:p>
        </w:tc>
      </w:tr>
    </w:tbl>
    <w:p w14:paraId="036CDEB6">
      <w:pPr>
        <w:sectPr>
          <w:pgSz w:w="16840" w:h="11900" w:orient="landscape"/>
          <w:pgMar w:top="1361" w:right="1020" w:bottom="1134" w:left="1020" w:header="720" w:footer="720" w:gutter="0"/>
          <w:cols w:space="720" w:num="1"/>
        </w:sectPr>
      </w:pPr>
    </w:p>
    <w:p w14:paraId="72FDE9FA">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6、冀财教[2024]123号/中央/2025年义教补助经费/乡观小学公用经费绩效目标表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B3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6E7B3">
            <w:pPr>
              <w:pStyle w:val="14"/>
            </w:pPr>
            <w:r>
              <w:t>单位：万元</w:t>
            </w:r>
          </w:p>
        </w:tc>
      </w:tr>
      <w:tr w14:paraId="1C664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A52FF">
            <w:pPr>
              <w:pStyle w:val="11"/>
            </w:pPr>
            <w:r>
              <w:t>项目编码</w:t>
            </w:r>
          </w:p>
        </w:tc>
        <w:tc>
          <w:tcPr>
            <w:tcW w:w="5103" w:type="dxa"/>
            <w:gridSpan w:val="2"/>
            <w:vAlign w:val="center"/>
          </w:tcPr>
          <w:p w14:paraId="620F546E">
            <w:pPr>
              <w:pStyle w:val="13"/>
            </w:pPr>
            <w:r>
              <w:t>13052525P000004101009</w:t>
            </w:r>
          </w:p>
        </w:tc>
        <w:tc>
          <w:tcPr>
            <w:tcW w:w="2835" w:type="dxa"/>
            <w:vAlign w:val="center"/>
          </w:tcPr>
          <w:p w14:paraId="48A5E7B1">
            <w:pPr>
              <w:pStyle w:val="11"/>
            </w:pPr>
            <w:r>
              <w:t>项目名称</w:t>
            </w:r>
          </w:p>
        </w:tc>
        <w:tc>
          <w:tcPr>
            <w:tcW w:w="6095" w:type="dxa"/>
            <w:gridSpan w:val="3"/>
            <w:vAlign w:val="center"/>
          </w:tcPr>
          <w:p w14:paraId="1E1612B8">
            <w:pPr>
              <w:pStyle w:val="13"/>
            </w:pPr>
            <w:r>
              <w:t>冀财教[2024]123号/中央/2025年义教补助经费/乡观小学公用经费</w:t>
            </w:r>
          </w:p>
        </w:tc>
      </w:tr>
      <w:tr w14:paraId="41299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9058F">
            <w:pPr>
              <w:pStyle w:val="11"/>
            </w:pPr>
            <w:r>
              <w:t>预算规模及资金用途</w:t>
            </w:r>
          </w:p>
        </w:tc>
        <w:tc>
          <w:tcPr>
            <w:tcW w:w="2268" w:type="dxa"/>
            <w:vAlign w:val="center"/>
          </w:tcPr>
          <w:p w14:paraId="5E080134">
            <w:pPr>
              <w:pStyle w:val="11"/>
            </w:pPr>
            <w:r>
              <w:t>预算数</w:t>
            </w:r>
          </w:p>
        </w:tc>
        <w:tc>
          <w:tcPr>
            <w:tcW w:w="2835" w:type="dxa"/>
            <w:vAlign w:val="center"/>
          </w:tcPr>
          <w:p w14:paraId="6E674C69">
            <w:pPr>
              <w:pStyle w:val="13"/>
            </w:pPr>
            <w:r>
              <w:t>5.71</w:t>
            </w:r>
          </w:p>
        </w:tc>
        <w:tc>
          <w:tcPr>
            <w:tcW w:w="2835" w:type="dxa"/>
            <w:vAlign w:val="center"/>
          </w:tcPr>
          <w:p w14:paraId="3A05CA1D">
            <w:pPr>
              <w:pStyle w:val="11"/>
            </w:pPr>
            <w:r>
              <w:t>其中：财政    资金</w:t>
            </w:r>
          </w:p>
        </w:tc>
        <w:tc>
          <w:tcPr>
            <w:tcW w:w="2551" w:type="dxa"/>
            <w:vAlign w:val="center"/>
          </w:tcPr>
          <w:p w14:paraId="19025A10">
            <w:pPr>
              <w:pStyle w:val="13"/>
            </w:pPr>
            <w:r>
              <w:t>5.71</w:t>
            </w:r>
          </w:p>
        </w:tc>
        <w:tc>
          <w:tcPr>
            <w:tcW w:w="2268" w:type="dxa"/>
            <w:vAlign w:val="center"/>
          </w:tcPr>
          <w:p w14:paraId="2AFB7A74">
            <w:pPr>
              <w:pStyle w:val="11"/>
            </w:pPr>
            <w:r>
              <w:t>其他资金</w:t>
            </w:r>
          </w:p>
        </w:tc>
        <w:tc>
          <w:tcPr>
            <w:tcW w:w="1276" w:type="dxa"/>
            <w:vAlign w:val="center"/>
          </w:tcPr>
          <w:p w14:paraId="04BD8862">
            <w:pPr>
              <w:pStyle w:val="13"/>
            </w:pPr>
            <w:r>
              <w:t xml:space="preserve"> </w:t>
            </w:r>
          </w:p>
        </w:tc>
      </w:tr>
      <w:tr w14:paraId="7EA67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B2A40"/>
        </w:tc>
        <w:tc>
          <w:tcPr>
            <w:tcW w:w="14033" w:type="dxa"/>
            <w:gridSpan w:val="6"/>
            <w:vAlign w:val="center"/>
          </w:tcPr>
          <w:p w14:paraId="47449DEB">
            <w:pPr>
              <w:pStyle w:val="13"/>
            </w:pPr>
            <w:r>
              <w:t>用于有效完成学校教学安全秩序，保障学校教学任务有效开展，满足学校正常教学需要。</w:t>
            </w:r>
          </w:p>
        </w:tc>
      </w:tr>
      <w:tr w14:paraId="43A3E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DA391">
            <w:pPr>
              <w:pStyle w:val="11"/>
            </w:pPr>
            <w:r>
              <w:t>资金支出计划（%）</w:t>
            </w:r>
          </w:p>
        </w:tc>
        <w:tc>
          <w:tcPr>
            <w:tcW w:w="5103" w:type="dxa"/>
            <w:gridSpan w:val="2"/>
            <w:vAlign w:val="center"/>
          </w:tcPr>
          <w:p w14:paraId="7E495EBD">
            <w:pPr>
              <w:pStyle w:val="11"/>
            </w:pPr>
            <w:r>
              <w:t>3月底</w:t>
            </w:r>
          </w:p>
        </w:tc>
        <w:tc>
          <w:tcPr>
            <w:tcW w:w="2835" w:type="dxa"/>
            <w:vAlign w:val="center"/>
          </w:tcPr>
          <w:p w14:paraId="6A05AC0C">
            <w:pPr>
              <w:pStyle w:val="11"/>
            </w:pPr>
            <w:r>
              <w:t>6月底</w:t>
            </w:r>
          </w:p>
        </w:tc>
        <w:tc>
          <w:tcPr>
            <w:tcW w:w="2551" w:type="dxa"/>
            <w:vAlign w:val="center"/>
          </w:tcPr>
          <w:p w14:paraId="2B6A4681">
            <w:pPr>
              <w:pStyle w:val="11"/>
            </w:pPr>
            <w:r>
              <w:t>10月底</w:t>
            </w:r>
          </w:p>
        </w:tc>
        <w:tc>
          <w:tcPr>
            <w:tcW w:w="3544" w:type="dxa"/>
            <w:gridSpan w:val="2"/>
            <w:vAlign w:val="center"/>
          </w:tcPr>
          <w:p w14:paraId="09C477C3">
            <w:pPr>
              <w:pStyle w:val="11"/>
            </w:pPr>
            <w:r>
              <w:t>12月底</w:t>
            </w:r>
          </w:p>
        </w:tc>
      </w:tr>
      <w:tr w14:paraId="4E233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8D2B7"/>
        </w:tc>
        <w:tc>
          <w:tcPr>
            <w:tcW w:w="5103" w:type="dxa"/>
            <w:gridSpan w:val="2"/>
            <w:vAlign w:val="center"/>
          </w:tcPr>
          <w:p w14:paraId="6DA4B1AC">
            <w:pPr>
              <w:pStyle w:val="12"/>
            </w:pPr>
            <w:r>
              <w:t>25%</w:t>
            </w:r>
          </w:p>
        </w:tc>
        <w:tc>
          <w:tcPr>
            <w:tcW w:w="2835" w:type="dxa"/>
            <w:vAlign w:val="center"/>
          </w:tcPr>
          <w:p w14:paraId="52F329B3">
            <w:pPr>
              <w:pStyle w:val="12"/>
            </w:pPr>
            <w:r>
              <w:t>50%</w:t>
            </w:r>
          </w:p>
        </w:tc>
        <w:tc>
          <w:tcPr>
            <w:tcW w:w="2551" w:type="dxa"/>
            <w:vAlign w:val="center"/>
          </w:tcPr>
          <w:p w14:paraId="120DB434">
            <w:pPr>
              <w:pStyle w:val="12"/>
            </w:pPr>
            <w:r>
              <w:t>75%</w:t>
            </w:r>
          </w:p>
        </w:tc>
        <w:tc>
          <w:tcPr>
            <w:tcW w:w="3544" w:type="dxa"/>
            <w:gridSpan w:val="2"/>
            <w:vAlign w:val="center"/>
          </w:tcPr>
          <w:p w14:paraId="2A9387BE">
            <w:pPr>
              <w:pStyle w:val="12"/>
            </w:pPr>
            <w:r>
              <w:t>100%</w:t>
            </w:r>
          </w:p>
        </w:tc>
      </w:tr>
      <w:tr w14:paraId="3D059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D405F">
            <w:pPr>
              <w:pStyle w:val="11"/>
            </w:pPr>
            <w:r>
              <w:t>绩效目标</w:t>
            </w:r>
          </w:p>
        </w:tc>
        <w:tc>
          <w:tcPr>
            <w:tcW w:w="14033" w:type="dxa"/>
            <w:gridSpan w:val="6"/>
            <w:vAlign w:val="center"/>
          </w:tcPr>
          <w:p w14:paraId="2F59D53A">
            <w:pPr>
              <w:pStyle w:val="13"/>
            </w:pPr>
            <w:r>
              <w:t>1.有效完成学校教学安全秩序，保障学校教学任务有效开展，满足学校正常教学需要。</w:t>
            </w:r>
          </w:p>
          <w:p w14:paraId="5DA22828">
            <w:pPr>
              <w:pStyle w:val="13"/>
            </w:pPr>
            <w:r>
              <w:t>2.按规定拨付公用经费资金，预算执行率≥98%。</w:t>
            </w:r>
          </w:p>
        </w:tc>
      </w:tr>
    </w:tbl>
    <w:p w14:paraId="1056D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69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046AD">
            <w:pPr>
              <w:pStyle w:val="11"/>
            </w:pPr>
            <w:r>
              <w:t>一级指标</w:t>
            </w:r>
          </w:p>
        </w:tc>
        <w:tc>
          <w:tcPr>
            <w:tcW w:w="2268" w:type="dxa"/>
            <w:vAlign w:val="center"/>
          </w:tcPr>
          <w:p w14:paraId="3B3FD5CB">
            <w:pPr>
              <w:pStyle w:val="11"/>
            </w:pPr>
            <w:r>
              <w:t>二级指标</w:t>
            </w:r>
          </w:p>
        </w:tc>
        <w:tc>
          <w:tcPr>
            <w:tcW w:w="2835" w:type="dxa"/>
            <w:vAlign w:val="center"/>
          </w:tcPr>
          <w:p w14:paraId="402AB383">
            <w:pPr>
              <w:pStyle w:val="11"/>
            </w:pPr>
            <w:r>
              <w:t>三级指标</w:t>
            </w:r>
          </w:p>
        </w:tc>
        <w:tc>
          <w:tcPr>
            <w:tcW w:w="5386" w:type="dxa"/>
            <w:vAlign w:val="center"/>
          </w:tcPr>
          <w:p w14:paraId="5D32AEC0">
            <w:pPr>
              <w:pStyle w:val="11"/>
            </w:pPr>
            <w:r>
              <w:t>绩效指标描述</w:t>
            </w:r>
          </w:p>
        </w:tc>
        <w:tc>
          <w:tcPr>
            <w:tcW w:w="2268" w:type="dxa"/>
            <w:vAlign w:val="center"/>
          </w:tcPr>
          <w:p w14:paraId="45DFCCEB">
            <w:pPr>
              <w:pStyle w:val="11"/>
            </w:pPr>
            <w:r>
              <w:t>指标值</w:t>
            </w:r>
          </w:p>
        </w:tc>
        <w:tc>
          <w:tcPr>
            <w:tcW w:w="1276" w:type="dxa"/>
            <w:vAlign w:val="center"/>
          </w:tcPr>
          <w:p w14:paraId="17343505">
            <w:pPr>
              <w:pStyle w:val="11"/>
            </w:pPr>
            <w:r>
              <w:t>指标值确定依据</w:t>
            </w:r>
          </w:p>
        </w:tc>
      </w:tr>
      <w:tr w14:paraId="10281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C08B2">
            <w:pPr>
              <w:pStyle w:val="12"/>
            </w:pPr>
            <w:r>
              <w:t>产出指标</w:t>
            </w:r>
          </w:p>
        </w:tc>
        <w:tc>
          <w:tcPr>
            <w:tcW w:w="2268" w:type="dxa"/>
            <w:vAlign w:val="center"/>
          </w:tcPr>
          <w:p w14:paraId="7D4880C8">
            <w:pPr>
              <w:pStyle w:val="13"/>
            </w:pPr>
            <w:r>
              <w:t>数量指标</w:t>
            </w:r>
          </w:p>
        </w:tc>
        <w:tc>
          <w:tcPr>
            <w:tcW w:w="2835" w:type="dxa"/>
            <w:vAlign w:val="center"/>
          </w:tcPr>
          <w:p w14:paraId="2B9C6D6B">
            <w:pPr>
              <w:pStyle w:val="13"/>
            </w:pPr>
            <w:r>
              <w:t>就读学生数</w:t>
            </w:r>
          </w:p>
        </w:tc>
        <w:tc>
          <w:tcPr>
            <w:tcW w:w="5386" w:type="dxa"/>
            <w:vAlign w:val="center"/>
          </w:tcPr>
          <w:p w14:paraId="3941C5DE">
            <w:pPr>
              <w:pStyle w:val="13"/>
            </w:pPr>
            <w:r>
              <w:t>辐射区域内适龄学生人数</w:t>
            </w:r>
          </w:p>
        </w:tc>
        <w:tc>
          <w:tcPr>
            <w:tcW w:w="2268" w:type="dxa"/>
            <w:vAlign w:val="center"/>
          </w:tcPr>
          <w:p w14:paraId="7FFB4D4F">
            <w:pPr>
              <w:pStyle w:val="13"/>
            </w:pPr>
            <w:r>
              <w:t>50人</w:t>
            </w:r>
          </w:p>
        </w:tc>
        <w:tc>
          <w:tcPr>
            <w:tcW w:w="1276" w:type="dxa"/>
            <w:vAlign w:val="center"/>
          </w:tcPr>
          <w:p w14:paraId="79E0CA9A">
            <w:pPr>
              <w:pStyle w:val="13"/>
            </w:pPr>
            <w:r>
              <w:t>城乡义务教育公用经费管理办法</w:t>
            </w:r>
          </w:p>
        </w:tc>
      </w:tr>
      <w:tr w14:paraId="5880A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6E353"/>
        </w:tc>
        <w:tc>
          <w:tcPr>
            <w:tcW w:w="2268" w:type="dxa"/>
            <w:vAlign w:val="center"/>
          </w:tcPr>
          <w:p w14:paraId="11533B10">
            <w:pPr>
              <w:pStyle w:val="13"/>
            </w:pPr>
            <w:r>
              <w:t>质量指标</w:t>
            </w:r>
          </w:p>
        </w:tc>
        <w:tc>
          <w:tcPr>
            <w:tcW w:w="2835" w:type="dxa"/>
            <w:vAlign w:val="center"/>
          </w:tcPr>
          <w:p w14:paraId="62488FEB">
            <w:pPr>
              <w:pStyle w:val="13"/>
            </w:pPr>
            <w:r>
              <w:t>预算执行率</w:t>
            </w:r>
          </w:p>
        </w:tc>
        <w:tc>
          <w:tcPr>
            <w:tcW w:w="5386" w:type="dxa"/>
            <w:vAlign w:val="center"/>
          </w:tcPr>
          <w:p w14:paraId="45659B9B">
            <w:pPr>
              <w:pStyle w:val="13"/>
            </w:pPr>
            <w:r>
              <w:t>预算执行率</w:t>
            </w:r>
          </w:p>
        </w:tc>
        <w:tc>
          <w:tcPr>
            <w:tcW w:w="2268" w:type="dxa"/>
            <w:vAlign w:val="center"/>
          </w:tcPr>
          <w:p w14:paraId="34535CC4">
            <w:pPr>
              <w:pStyle w:val="13"/>
            </w:pPr>
            <w:r>
              <w:t>≥98%</w:t>
            </w:r>
          </w:p>
        </w:tc>
        <w:tc>
          <w:tcPr>
            <w:tcW w:w="1276" w:type="dxa"/>
            <w:vAlign w:val="center"/>
          </w:tcPr>
          <w:p w14:paraId="4C56A840">
            <w:pPr>
              <w:pStyle w:val="13"/>
            </w:pPr>
            <w:r>
              <w:t>城乡义务教育公用经费管理办法</w:t>
            </w:r>
          </w:p>
        </w:tc>
      </w:tr>
      <w:tr w14:paraId="4F8F3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90D81"/>
        </w:tc>
        <w:tc>
          <w:tcPr>
            <w:tcW w:w="2268" w:type="dxa"/>
            <w:vAlign w:val="center"/>
          </w:tcPr>
          <w:p w14:paraId="606EE481">
            <w:pPr>
              <w:pStyle w:val="13"/>
            </w:pPr>
            <w:r>
              <w:t>时效指标</w:t>
            </w:r>
          </w:p>
        </w:tc>
        <w:tc>
          <w:tcPr>
            <w:tcW w:w="2835" w:type="dxa"/>
            <w:vAlign w:val="center"/>
          </w:tcPr>
          <w:p w14:paraId="075C77EF">
            <w:pPr>
              <w:pStyle w:val="13"/>
            </w:pPr>
            <w:r>
              <w:t>义教经费支付完成率</w:t>
            </w:r>
          </w:p>
        </w:tc>
        <w:tc>
          <w:tcPr>
            <w:tcW w:w="5386" w:type="dxa"/>
            <w:vAlign w:val="center"/>
          </w:tcPr>
          <w:p w14:paraId="2B418C0D">
            <w:pPr>
              <w:pStyle w:val="13"/>
            </w:pPr>
            <w:r>
              <w:t>按照序时进度完成资金支付</w:t>
            </w:r>
          </w:p>
        </w:tc>
        <w:tc>
          <w:tcPr>
            <w:tcW w:w="2268" w:type="dxa"/>
            <w:vAlign w:val="center"/>
          </w:tcPr>
          <w:p w14:paraId="33AEC3E8">
            <w:pPr>
              <w:pStyle w:val="13"/>
            </w:pPr>
            <w:r>
              <w:t>≥100%</w:t>
            </w:r>
          </w:p>
        </w:tc>
        <w:tc>
          <w:tcPr>
            <w:tcW w:w="1276" w:type="dxa"/>
            <w:vAlign w:val="center"/>
          </w:tcPr>
          <w:p w14:paraId="114671DD">
            <w:pPr>
              <w:pStyle w:val="13"/>
            </w:pPr>
            <w:r>
              <w:t>城乡义务教育公用经费管理办法</w:t>
            </w:r>
          </w:p>
        </w:tc>
      </w:tr>
      <w:tr w14:paraId="6B481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DBA05"/>
        </w:tc>
        <w:tc>
          <w:tcPr>
            <w:tcW w:w="2268" w:type="dxa"/>
            <w:vAlign w:val="center"/>
          </w:tcPr>
          <w:p w14:paraId="60FC4CD3">
            <w:pPr>
              <w:pStyle w:val="13"/>
            </w:pPr>
            <w:r>
              <w:t>成本指标</w:t>
            </w:r>
          </w:p>
        </w:tc>
        <w:tc>
          <w:tcPr>
            <w:tcW w:w="2835" w:type="dxa"/>
            <w:vAlign w:val="center"/>
          </w:tcPr>
          <w:p w14:paraId="75B7770D">
            <w:pPr>
              <w:pStyle w:val="13"/>
            </w:pPr>
            <w:r>
              <w:t>生均拨款标准</w:t>
            </w:r>
          </w:p>
        </w:tc>
        <w:tc>
          <w:tcPr>
            <w:tcW w:w="5386" w:type="dxa"/>
            <w:vAlign w:val="center"/>
          </w:tcPr>
          <w:p w14:paraId="784369A3">
            <w:pPr>
              <w:pStyle w:val="13"/>
            </w:pPr>
            <w:r>
              <w:t>小学：（基本标准720元、寄宿生300元、生活补助120元）/生/学年；特教、随班就读学生：标准7000元/生/学年</w:t>
            </w:r>
          </w:p>
        </w:tc>
        <w:tc>
          <w:tcPr>
            <w:tcW w:w="2268" w:type="dxa"/>
            <w:vAlign w:val="center"/>
          </w:tcPr>
          <w:p w14:paraId="55218909">
            <w:pPr>
              <w:pStyle w:val="13"/>
            </w:pPr>
            <w:r>
              <w:t>840元</w:t>
            </w:r>
          </w:p>
        </w:tc>
        <w:tc>
          <w:tcPr>
            <w:tcW w:w="1276" w:type="dxa"/>
            <w:vAlign w:val="center"/>
          </w:tcPr>
          <w:p w14:paraId="55031E7B">
            <w:pPr>
              <w:pStyle w:val="13"/>
            </w:pPr>
            <w:r>
              <w:t>城乡义务教育公用经费管理办法</w:t>
            </w:r>
          </w:p>
        </w:tc>
      </w:tr>
      <w:tr w14:paraId="6764E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ED9EBD">
            <w:pPr>
              <w:pStyle w:val="12"/>
            </w:pPr>
            <w:r>
              <w:t>效益指标</w:t>
            </w:r>
          </w:p>
        </w:tc>
        <w:tc>
          <w:tcPr>
            <w:tcW w:w="2268" w:type="dxa"/>
            <w:vAlign w:val="center"/>
          </w:tcPr>
          <w:p w14:paraId="2E975C96">
            <w:pPr>
              <w:pStyle w:val="13"/>
            </w:pPr>
            <w:r>
              <w:t>社会效益指标</w:t>
            </w:r>
          </w:p>
        </w:tc>
        <w:tc>
          <w:tcPr>
            <w:tcW w:w="2835" w:type="dxa"/>
            <w:vAlign w:val="center"/>
          </w:tcPr>
          <w:p w14:paraId="4F76A198">
            <w:pPr>
              <w:pStyle w:val="13"/>
            </w:pPr>
            <w:r>
              <w:t>学校稳定率</w:t>
            </w:r>
          </w:p>
        </w:tc>
        <w:tc>
          <w:tcPr>
            <w:tcW w:w="5386" w:type="dxa"/>
            <w:vAlign w:val="center"/>
          </w:tcPr>
          <w:p w14:paraId="63432EBE">
            <w:pPr>
              <w:pStyle w:val="13"/>
            </w:pPr>
            <w:r>
              <w:t>维护学校稳定，保障学校正常教学秩序有效开展</w:t>
            </w:r>
          </w:p>
        </w:tc>
        <w:tc>
          <w:tcPr>
            <w:tcW w:w="2268" w:type="dxa"/>
            <w:vAlign w:val="center"/>
          </w:tcPr>
          <w:p w14:paraId="0CC8ADA7">
            <w:pPr>
              <w:pStyle w:val="13"/>
            </w:pPr>
            <w:r>
              <w:t>≥100%</w:t>
            </w:r>
          </w:p>
        </w:tc>
        <w:tc>
          <w:tcPr>
            <w:tcW w:w="1276" w:type="dxa"/>
            <w:vAlign w:val="center"/>
          </w:tcPr>
          <w:p w14:paraId="3FFAE72E">
            <w:pPr>
              <w:pStyle w:val="13"/>
            </w:pPr>
            <w:r>
              <w:t>城乡义务教育公用经费管理办法</w:t>
            </w:r>
          </w:p>
        </w:tc>
      </w:tr>
      <w:tr w14:paraId="6B121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514163">
            <w:pPr>
              <w:pStyle w:val="12"/>
            </w:pPr>
            <w:r>
              <w:t>满意度指标</w:t>
            </w:r>
          </w:p>
        </w:tc>
        <w:tc>
          <w:tcPr>
            <w:tcW w:w="2268" w:type="dxa"/>
            <w:vAlign w:val="center"/>
          </w:tcPr>
          <w:p w14:paraId="00BF4EED">
            <w:pPr>
              <w:pStyle w:val="13"/>
            </w:pPr>
            <w:r>
              <w:t>服务对象满意度指标</w:t>
            </w:r>
          </w:p>
        </w:tc>
        <w:tc>
          <w:tcPr>
            <w:tcW w:w="2835" w:type="dxa"/>
            <w:vAlign w:val="center"/>
          </w:tcPr>
          <w:p w14:paraId="73E9C4D4">
            <w:pPr>
              <w:pStyle w:val="13"/>
            </w:pPr>
            <w:r>
              <w:t>家长和学生满意度</w:t>
            </w:r>
          </w:p>
        </w:tc>
        <w:tc>
          <w:tcPr>
            <w:tcW w:w="5386" w:type="dxa"/>
            <w:vAlign w:val="center"/>
          </w:tcPr>
          <w:p w14:paraId="3EB6EAC0">
            <w:pPr>
              <w:pStyle w:val="13"/>
            </w:pPr>
            <w:r>
              <w:t>家长和学生满意度</w:t>
            </w:r>
          </w:p>
        </w:tc>
        <w:tc>
          <w:tcPr>
            <w:tcW w:w="2268" w:type="dxa"/>
            <w:vAlign w:val="center"/>
          </w:tcPr>
          <w:p w14:paraId="323BABA5">
            <w:pPr>
              <w:pStyle w:val="13"/>
            </w:pPr>
            <w:r>
              <w:t>≥95%</w:t>
            </w:r>
          </w:p>
        </w:tc>
        <w:tc>
          <w:tcPr>
            <w:tcW w:w="1276" w:type="dxa"/>
            <w:vAlign w:val="center"/>
          </w:tcPr>
          <w:p w14:paraId="5EC70CC8">
            <w:pPr>
              <w:pStyle w:val="13"/>
            </w:pPr>
            <w:r>
              <w:t>问卷调查</w:t>
            </w:r>
          </w:p>
        </w:tc>
      </w:tr>
    </w:tbl>
    <w:p w14:paraId="48D56283">
      <w:pPr>
        <w:sectPr>
          <w:pgSz w:w="16840" w:h="11900" w:orient="landscape"/>
          <w:pgMar w:top="1361" w:right="1020" w:bottom="1134" w:left="1020" w:header="720" w:footer="720" w:gutter="0"/>
          <w:cols w:space="720" w:num="1"/>
        </w:sectPr>
      </w:pPr>
    </w:p>
    <w:p w14:paraId="3A94DB30">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7、冀财教[2024]123号/中央/2025年义教补助经费/小孟小学公用经费绩效目标表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81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4942A">
            <w:pPr>
              <w:pStyle w:val="14"/>
            </w:pPr>
            <w:r>
              <w:t>单位：万元</w:t>
            </w:r>
          </w:p>
        </w:tc>
      </w:tr>
      <w:tr w14:paraId="7599A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26D82">
            <w:pPr>
              <w:pStyle w:val="11"/>
            </w:pPr>
            <w:r>
              <w:t>项目编码</w:t>
            </w:r>
          </w:p>
        </w:tc>
        <w:tc>
          <w:tcPr>
            <w:tcW w:w="5103" w:type="dxa"/>
            <w:gridSpan w:val="2"/>
            <w:vAlign w:val="center"/>
          </w:tcPr>
          <w:p w14:paraId="3ECED5F9">
            <w:pPr>
              <w:pStyle w:val="13"/>
            </w:pPr>
            <w:r>
              <w:t>13052525P00000410102G</w:t>
            </w:r>
          </w:p>
        </w:tc>
        <w:tc>
          <w:tcPr>
            <w:tcW w:w="2835" w:type="dxa"/>
            <w:vAlign w:val="center"/>
          </w:tcPr>
          <w:p w14:paraId="0E99ABE7">
            <w:pPr>
              <w:pStyle w:val="11"/>
            </w:pPr>
            <w:r>
              <w:t>项目名称</w:t>
            </w:r>
          </w:p>
        </w:tc>
        <w:tc>
          <w:tcPr>
            <w:tcW w:w="6095" w:type="dxa"/>
            <w:gridSpan w:val="3"/>
            <w:vAlign w:val="center"/>
          </w:tcPr>
          <w:p w14:paraId="15300991">
            <w:pPr>
              <w:pStyle w:val="13"/>
            </w:pPr>
            <w:r>
              <w:t>冀财教[2024]123号/中央/2025年义教补助经费/小孟小学公用经费</w:t>
            </w:r>
          </w:p>
        </w:tc>
      </w:tr>
      <w:tr w14:paraId="0403E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D95A0">
            <w:pPr>
              <w:pStyle w:val="11"/>
            </w:pPr>
            <w:r>
              <w:t>预算规模及资金用途</w:t>
            </w:r>
          </w:p>
        </w:tc>
        <w:tc>
          <w:tcPr>
            <w:tcW w:w="2268" w:type="dxa"/>
            <w:vAlign w:val="center"/>
          </w:tcPr>
          <w:p w14:paraId="4141E395">
            <w:pPr>
              <w:pStyle w:val="11"/>
            </w:pPr>
            <w:r>
              <w:t>预算数</w:t>
            </w:r>
          </w:p>
        </w:tc>
        <w:tc>
          <w:tcPr>
            <w:tcW w:w="2835" w:type="dxa"/>
            <w:vAlign w:val="center"/>
          </w:tcPr>
          <w:p w14:paraId="210B07FF">
            <w:pPr>
              <w:pStyle w:val="13"/>
            </w:pPr>
            <w:r>
              <w:t>32.09</w:t>
            </w:r>
          </w:p>
        </w:tc>
        <w:tc>
          <w:tcPr>
            <w:tcW w:w="2835" w:type="dxa"/>
            <w:vAlign w:val="center"/>
          </w:tcPr>
          <w:p w14:paraId="768A9B97">
            <w:pPr>
              <w:pStyle w:val="11"/>
            </w:pPr>
            <w:r>
              <w:t>其中：财政    资金</w:t>
            </w:r>
          </w:p>
        </w:tc>
        <w:tc>
          <w:tcPr>
            <w:tcW w:w="2551" w:type="dxa"/>
            <w:vAlign w:val="center"/>
          </w:tcPr>
          <w:p w14:paraId="51D63712">
            <w:pPr>
              <w:pStyle w:val="13"/>
            </w:pPr>
            <w:r>
              <w:t>32.09</w:t>
            </w:r>
          </w:p>
        </w:tc>
        <w:tc>
          <w:tcPr>
            <w:tcW w:w="2268" w:type="dxa"/>
            <w:vAlign w:val="center"/>
          </w:tcPr>
          <w:p w14:paraId="48112337">
            <w:pPr>
              <w:pStyle w:val="11"/>
            </w:pPr>
            <w:r>
              <w:t>其他资金</w:t>
            </w:r>
          </w:p>
        </w:tc>
        <w:tc>
          <w:tcPr>
            <w:tcW w:w="1276" w:type="dxa"/>
            <w:vAlign w:val="center"/>
          </w:tcPr>
          <w:p w14:paraId="2B5B6C06">
            <w:pPr>
              <w:pStyle w:val="13"/>
            </w:pPr>
            <w:r>
              <w:t xml:space="preserve"> </w:t>
            </w:r>
          </w:p>
        </w:tc>
      </w:tr>
      <w:tr w14:paraId="03B90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C06397"/>
        </w:tc>
        <w:tc>
          <w:tcPr>
            <w:tcW w:w="14033" w:type="dxa"/>
            <w:gridSpan w:val="6"/>
            <w:vAlign w:val="center"/>
          </w:tcPr>
          <w:p w14:paraId="188D4B1B">
            <w:pPr>
              <w:pStyle w:val="13"/>
            </w:pPr>
            <w:r>
              <w:t>用于有效完成学校教学安全秩序，保障学校教学任务有效开展，满足学校正常教学需要。</w:t>
            </w:r>
          </w:p>
        </w:tc>
      </w:tr>
      <w:tr w14:paraId="366BB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7AF49">
            <w:pPr>
              <w:pStyle w:val="11"/>
            </w:pPr>
            <w:r>
              <w:t>资金支出计划（%）</w:t>
            </w:r>
          </w:p>
        </w:tc>
        <w:tc>
          <w:tcPr>
            <w:tcW w:w="5103" w:type="dxa"/>
            <w:gridSpan w:val="2"/>
            <w:vAlign w:val="center"/>
          </w:tcPr>
          <w:p w14:paraId="78C42B3F">
            <w:pPr>
              <w:pStyle w:val="11"/>
            </w:pPr>
            <w:r>
              <w:t>3月底</w:t>
            </w:r>
          </w:p>
        </w:tc>
        <w:tc>
          <w:tcPr>
            <w:tcW w:w="2835" w:type="dxa"/>
            <w:vAlign w:val="center"/>
          </w:tcPr>
          <w:p w14:paraId="1BBDB903">
            <w:pPr>
              <w:pStyle w:val="11"/>
            </w:pPr>
            <w:r>
              <w:t>6月底</w:t>
            </w:r>
          </w:p>
        </w:tc>
        <w:tc>
          <w:tcPr>
            <w:tcW w:w="2551" w:type="dxa"/>
            <w:vAlign w:val="center"/>
          </w:tcPr>
          <w:p w14:paraId="77AFD41F">
            <w:pPr>
              <w:pStyle w:val="11"/>
            </w:pPr>
            <w:r>
              <w:t>10月底</w:t>
            </w:r>
          </w:p>
        </w:tc>
        <w:tc>
          <w:tcPr>
            <w:tcW w:w="3544" w:type="dxa"/>
            <w:gridSpan w:val="2"/>
            <w:vAlign w:val="center"/>
          </w:tcPr>
          <w:p w14:paraId="54A799FC">
            <w:pPr>
              <w:pStyle w:val="11"/>
            </w:pPr>
            <w:r>
              <w:t>12月底</w:t>
            </w:r>
          </w:p>
        </w:tc>
      </w:tr>
      <w:tr w14:paraId="61D73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8F937"/>
        </w:tc>
        <w:tc>
          <w:tcPr>
            <w:tcW w:w="5103" w:type="dxa"/>
            <w:gridSpan w:val="2"/>
            <w:vAlign w:val="center"/>
          </w:tcPr>
          <w:p w14:paraId="388BDD9E">
            <w:pPr>
              <w:pStyle w:val="12"/>
            </w:pPr>
            <w:r>
              <w:t>25%</w:t>
            </w:r>
          </w:p>
        </w:tc>
        <w:tc>
          <w:tcPr>
            <w:tcW w:w="2835" w:type="dxa"/>
            <w:vAlign w:val="center"/>
          </w:tcPr>
          <w:p w14:paraId="41DC4FED">
            <w:pPr>
              <w:pStyle w:val="12"/>
            </w:pPr>
            <w:r>
              <w:t>50%</w:t>
            </w:r>
          </w:p>
        </w:tc>
        <w:tc>
          <w:tcPr>
            <w:tcW w:w="2551" w:type="dxa"/>
            <w:vAlign w:val="center"/>
          </w:tcPr>
          <w:p w14:paraId="79608CEA">
            <w:pPr>
              <w:pStyle w:val="12"/>
            </w:pPr>
            <w:r>
              <w:t>75%</w:t>
            </w:r>
          </w:p>
        </w:tc>
        <w:tc>
          <w:tcPr>
            <w:tcW w:w="3544" w:type="dxa"/>
            <w:gridSpan w:val="2"/>
            <w:vAlign w:val="center"/>
          </w:tcPr>
          <w:p w14:paraId="3F433606">
            <w:pPr>
              <w:pStyle w:val="12"/>
            </w:pPr>
            <w:r>
              <w:t>100%</w:t>
            </w:r>
          </w:p>
        </w:tc>
      </w:tr>
      <w:tr w14:paraId="2D4E5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CDDDF">
            <w:pPr>
              <w:pStyle w:val="11"/>
            </w:pPr>
            <w:r>
              <w:t>绩效目标</w:t>
            </w:r>
          </w:p>
        </w:tc>
        <w:tc>
          <w:tcPr>
            <w:tcW w:w="14033" w:type="dxa"/>
            <w:gridSpan w:val="6"/>
            <w:vAlign w:val="center"/>
          </w:tcPr>
          <w:p w14:paraId="078B93CD">
            <w:pPr>
              <w:pStyle w:val="13"/>
            </w:pPr>
            <w:r>
              <w:t>1.有效完成学校教学安全秩序，保障学校教学任务有效开展，满足学校正常教学需要。</w:t>
            </w:r>
          </w:p>
          <w:p w14:paraId="525D7176">
            <w:pPr>
              <w:pStyle w:val="13"/>
            </w:pPr>
            <w:r>
              <w:t>2.按规定拨付公用经费资金，预算执行率≥98%。</w:t>
            </w:r>
          </w:p>
        </w:tc>
      </w:tr>
    </w:tbl>
    <w:p w14:paraId="4D72AF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0E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0D147">
            <w:pPr>
              <w:pStyle w:val="11"/>
            </w:pPr>
            <w:r>
              <w:t>一级指标</w:t>
            </w:r>
          </w:p>
        </w:tc>
        <w:tc>
          <w:tcPr>
            <w:tcW w:w="2268" w:type="dxa"/>
            <w:vAlign w:val="center"/>
          </w:tcPr>
          <w:p w14:paraId="27F331CD">
            <w:pPr>
              <w:pStyle w:val="11"/>
            </w:pPr>
            <w:r>
              <w:t>二级指标</w:t>
            </w:r>
          </w:p>
        </w:tc>
        <w:tc>
          <w:tcPr>
            <w:tcW w:w="2835" w:type="dxa"/>
            <w:vAlign w:val="center"/>
          </w:tcPr>
          <w:p w14:paraId="32E9577A">
            <w:pPr>
              <w:pStyle w:val="11"/>
            </w:pPr>
            <w:r>
              <w:t>三级指标</w:t>
            </w:r>
          </w:p>
        </w:tc>
        <w:tc>
          <w:tcPr>
            <w:tcW w:w="5386" w:type="dxa"/>
            <w:vAlign w:val="center"/>
          </w:tcPr>
          <w:p w14:paraId="5D583A56">
            <w:pPr>
              <w:pStyle w:val="11"/>
            </w:pPr>
            <w:r>
              <w:t>绩效指标描述</w:t>
            </w:r>
          </w:p>
        </w:tc>
        <w:tc>
          <w:tcPr>
            <w:tcW w:w="2268" w:type="dxa"/>
            <w:vAlign w:val="center"/>
          </w:tcPr>
          <w:p w14:paraId="3A01C2FD">
            <w:pPr>
              <w:pStyle w:val="11"/>
            </w:pPr>
            <w:r>
              <w:t>指标值</w:t>
            </w:r>
          </w:p>
        </w:tc>
        <w:tc>
          <w:tcPr>
            <w:tcW w:w="1276" w:type="dxa"/>
            <w:vAlign w:val="center"/>
          </w:tcPr>
          <w:p w14:paraId="596A3EA8">
            <w:pPr>
              <w:pStyle w:val="11"/>
            </w:pPr>
            <w:r>
              <w:t>指标值确定依据</w:t>
            </w:r>
          </w:p>
        </w:tc>
      </w:tr>
      <w:tr w14:paraId="4BB33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BC21A">
            <w:pPr>
              <w:pStyle w:val="12"/>
            </w:pPr>
            <w:r>
              <w:t>产出指标</w:t>
            </w:r>
          </w:p>
        </w:tc>
        <w:tc>
          <w:tcPr>
            <w:tcW w:w="2268" w:type="dxa"/>
            <w:vAlign w:val="center"/>
          </w:tcPr>
          <w:p w14:paraId="5AFFA30C">
            <w:pPr>
              <w:pStyle w:val="13"/>
            </w:pPr>
            <w:r>
              <w:t>数量指标</w:t>
            </w:r>
          </w:p>
        </w:tc>
        <w:tc>
          <w:tcPr>
            <w:tcW w:w="2835" w:type="dxa"/>
            <w:vAlign w:val="center"/>
          </w:tcPr>
          <w:p w14:paraId="296BBE4E">
            <w:pPr>
              <w:pStyle w:val="13"/>
            </w:pPr>
            <w:r>
              <w:t>就读学生数</w:t>
            </w:r>
          </w:p>
        </w:tc>
        <w:tc>
          <w:tcPr>
            <w:tcW w:w="5386" w:type="dxa"/>
            <w:vAlign w:val="center"/>
          </w:tcPr>
          <w:p w14:paraId="43B13E9C">
            <w:pPr>
              <w:pStyle w:val="13"/>
            </w:pPr>
            <w:r>
              <w:t>辐射区域内适龄学生人数</w:t>
            </w:r>
          </w:p>
        </w:tc>
        <w:tc>
          <w:tcPr>
            <w:tcW w:w="2268" w:type="dxa"/>
            <w:vAlign w:val="center"/>
          </w:tcPr>
          <w:p w14:paraId="67A2054F">
            <w:pPr>
              <w:pStyle w:val="13"/>
            </w:pPr>
            <w:r>
              <w:t>509人</w:t>
            </w:r>
          </w:p>
        </w:tc>
        <w:tc>
          <w:tcPr>
            <w:tcW w:w="1276" w:type="dxa"/>
            <w:vAlign w:val="center"/>
          </w:tcPr>
          <w:p w14:paraId="0E382DF9">
            <w:pPr>
              <w:pStyle w:val="13"/>
            </w:pPr>
            <w:r>
              <w:t>城乡义务教育公用经费管理办法</w:t>
            </w:r>
          </w:p>
        </w:tc>
      </w:tr>
      <w:tr w14:paraId="655CC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920A102"/>
        </w:tc>
        <w:tc>
          <w:tcPr>
            <w:tcW w:w="2268" w:type="dxa"/>
            <w:vAlign w:val="center"/>
          </w:tcPr>
          <w:p w14:paraId="59E07F23">
            <w:pPr>
              <w:pStyle w:val="13"/>
            </w:pPr>
            <w:r>
              <w:t>质量指标</w:t>
            </w:r>
          </w:p>
        </w:tc>
        <w:tc>
          <w:tcPr>
            <w:tcW w:w="2835" w:type="dxa"/>
            <w:vAlign w:val="center"/>
          </w:tcPr>
          <w:p w14:paraId="3621F5AC">
            <w:pPr>
              <w:pStyle w:val="13"/>
            </w:pPr>
            <w:r>
              <w:t>预算执行率</w:t>
            </w:r>
          </w:p>
        </w:tc>
        <w:tc>
          <w:tcPr>
            <w:tcW w:w="5386" w:type="dxa"/>
            <w:vAlign w:val="center"/>
          </w:tcPr>
          <w:p w14:paraId="3833F86B">
            <w:pPr>
              <w:pStyle w:val="13"/>
            </w:pPr>
            <w:r>
              <w:t>预算执行率</w:t>
            </w:r>
          </w:p>
        </w:tc>
        <w:tc>
          <w:tcPr>
            <w:tcW w:w="2268" w:type="dxa"/>
            <w:vAlign w:val="center"/>
          </w:tcPr>
          <w:p w14:paraId="1C0F35A0">
            <w:pPr>
              <w:pStyle w:val="13"/>
            </w:pPr>
            <w:r>
              <w:t>≥98%</w:t>
            </w:r>
          </w:p>
        </w:tc>
        <w:tc>
          <w:tcPr>
            <w:tcW w:w="1276" w:type="dxa"/>
            <w:vAlign w:val="center"/>
          </w:tcPr>
          <w:p w14:paraId="1768AE8C">
            <w:pPr>
              <w:pStyle w:val="13"/>
            </w:pPr>
            <w:r>
              <w:t>城乡义务教育公用经费管理办法</w:t>
            </w:r>
          </w:p>
        </w:tc>
      </w:tr>
      <w:tr w14:paraId="6E9BC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E3D3F"/>
        </w:tc>
        <w:tc>
          <w:tcPr>
            <w:tcW w:w="2268" w:type="dxa"/>
            <w:vAlign w:val="center"/>
          </w:tcPr>
          <w:p w14:paraId="6E689097">
            <w:pPr>
              <w:pStyle w:val="13"/>
            </w:pPr>
            <w:r>
              <w:t>时效指标</w:t>
            </w:r>
          </w:p>
        </w:tc>
        <w:tc>
          <w:tcPr>
            <w:tcW w:w="2835" w:type="dxa"/>
            <w:vAlign w:val="center"/>
          </w:tcPr>
          <w:p w14:paraId="0D81426D">
            <w:pPr>
              <w:pStyle w:val="13"/>
            </w:pPr>
            <w:r>
              <w:t>义教经费支付完成率</w:t>
            </w:r>
          </w:p>
        </w:tc>
        <w:tc>
          <w:tcPr>
            <w:tcW w:w="5386" w:type="dxa"/>
            <w:vAlign w:val="center"/>
          </w:tcPr>
          <w:p w14:paraId="481A74EA">
            <w:pPr>
              <w:pStyle w:val="13"/>
            </w:pPr>
            <w:r>
              <w:t>按照序时进度完成资金支付</w:t>
            </w:r>
          </w:p>
        </w:tc>
        <w:tc>
          <w:tcPr>
            <w:tcW w:w="2268" w:type="dxa"/>
            <w:vAlign w:val="center"/>
          </w:tcPr>
          <w:p w14:paraId="19B1DBFE">
            <w:pPr>
              <w:pStyle w:val="13"/>
            </w:pPr>
            <w:r>
              <w:t>≥100%</w:t>
            </w:r>
          </w:p>
        </w:tc>
        <w:tc>
          <w:tcPr>
            <w:tcW w:w="1276" w:type="dxa"/>
            <w:vAlign w:val="center"/>
          </w:tcPr>
          <w:p w14:paraId="3A99DD50">
            <w:pPr>
              <w:pStyle w:val="13"/>
            </w:pPr>
            <w:r>
              <w:t>城乡义务教育公用经费管理办法</w:t>
            </w:r>
          </w:p>
        </w:tc>
      </w:tr>
      <w:tr w14:paraId="2F5BC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5FC63"/>
        </w:tc>
        <w:tc>
          <w:tcPr>
            <w:tcW w:w="2268" w:type="dxa"/>
            <w:vAlign w:val="center"/>
          </w:tcPr>
          <w:p w14:paraId="742FD1F7">
            <w:pPr>
              <w:pStyle w:val="13"/>
            </w:pPr>
            <w:r>
              <w:t>成本指标</w:t>
            </w:r>
          </w:p>
        </w:tc>
        <w:tc>
          <w:tcPr>
            <w:tcW w:w="2835" w:type="dxa"/>
            <w:vAlign w:val="center"/>
          </w:tcPr>
          <w:p w14:paraId="1D3C2469">
            <w:pPr>
              <w:pStyle w:val="13"/>
            </w:pPr>
            <w:r>
              <w:t>生均拨款标准</w:t>
            </w:r>
          </w:p>
        </w:tc>
        <w:tc>
          <w:tcPr>
            <w:tcW w:w="5386" w:type="dxa"/>
            <w:vAlign w:val="center"/>
          </w:tcPr>
          <w:p w14:paraId="2D94E882">
            <w:pPr>
              <w:pStyle w:val="13"/>
            </w:pPr>
            <w:r>
              <w:t>小学：（基本标准720元、寄宿生300元、生活补助120元）/生/学年；特教、随班就读学生：标准7000元/生/学年</w:t>
            </w:r>
          </w:p>
        </w:tc>
        <w:tc>
          <w:tcPr>
            <w:tcW w:w="2268" w:type="dxa"/>
            <w:vAlign w:val="center"/>
          </w:tcPr>
          <w:p w14:paraId="7D6ABEF8">
            <w:pPr>
              <w:pStyle w:val="13"/>
            </w:pPr>
            <w:r>
              <w:t>840元</w:t>
            </w:r>
          </w:p>
        </w:tc>
        <w:tc>
          <w:tcPr>
            <w:tcW w:w="1276" w:type="dxa"/>
            <w:vAlign w:val="center"/>
          </w:tcPr>
          <w:p w14:paraId="63D771FE">
            <w:pPr>
              <w:pStyle w:val="13"/>
            </w:pPr>
            <w:r>
              <w:t>城乡义务教育公用经费管理办法</w:t>
            </w:r>
          </w:p>
        </w:tc>
      </w:tr>
      <w:tr w14:paraId="77990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2091529A">
            <w:pPr>
              <w:pStyle w:val="12"/>
            </w:pPr>
            <w:r>
              <w:t>效益指标</w:t>
            </w:r>
          </w:p>
        </w:tc>
        <w:tc>
          <w:tcPr>
            <w:tcW w:w="2268" w:type="dxa"/>
            <w:vAlign w:val="center"/>
          </w:tcPr>
          <w:p w14:paraId="531733D5">
            <w:pPr>
              <w:pStyle w:val="13"/>
            </w:pPr>
            <w:r>
              <w:t>社会效益指标</w:t>
            </w:r>
          </w:p>
        </w:tc>
        <w:tc>
          <w:tcPr>
            <w:tcW w:w="2835" w:type="dxa"/>
            <w:vAlign w:val="center"/>
          </w:tcPr>
          <w:p w14:paraId="3A11BBF8">
            <w:pPr>
              <w:pStyle w:val="13"/>
            </w:pPr>
            <w:r>
              <w:t>学校稳定率</w:t>
            </w:r>
          </w:p>
        </w:tc>
        <w:tc>
          <w:tcPr>
            <w:tcW w:w="5386" w:type="dxa"/>
            <w:vAlign w:val="center"/>
          </w:tcPr>
          <w:p w14:paraId="16485033">
            <w:pPr>
              <w:pStyle w:val="13"/>
            </w:pPr>
            <w:r>
              <w:t>维护学校稳定，保障学校正常教学秩序有效开展</w:t>
            </w:r>
          </w:p>
        </w:tc>
        <w:tc>
          <w:tcPr>
            <w:tcW w:w="2268" w:type="dxa"/>
            <w:vAlign w:val="center"/>
          </w:tcPr>
          <w:p w14:paraId="52ED5398">
            <w:pPr>
              <w:pStyle w:val="13"/>
            </w:pPr>
            <w:r>
              <w:t>≥100%</w:t>
            </w:r>
          </w:p>
        </w:tc>
        <w:tc>
          <w:tcPr>
            <w:tcW w:w="1276" w:type="dxa"/>
            <w:vAlign w:val="center"/>
          </w:tcPr>
          <w:p w14:paraId="28F3F7ED">
            <w:pPr>
              <w:pStyle w:val="13"/>
            </w:pPr>
            <w:r>
              <w:t>城乡义务教育公用经费管理办法</w:t>
            </w:r>
          </w:p>
        </w:tc>
      </w:tr>
      <w:tr w14:paraId="0DAE3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4A7F92">
            <w:pPr>
              <w:pStyle w:val="12"/>
            </w:pPr>
            <w:r>
              <w:t>满意度指标</w:t>
            </w:r>
          </w:p>
        </w:tc>
        <w:tc>
          <w:tcPr>
            <w:tcW w:w="2268" w:type="dxa"/>
            <w:vAlign w:val="center"/>
          </w:tcPr>
          <w:p w14:paraId="508B0080">
            <w:pPr>
              <w:pStyle w:val="13"/>
            </w:pPr>
            <w:r>
              <w:t>服务对象满意度指标</w:t>
            </w:r>
          </w:p>
        </w:tc>
        <w:tc>
          <w:tcPr>
            <w:tcW w:w="2835" w:type="dxa"/>
            <w:vAlign w:val="center"/>
          </w:tcPr>
          <w:p w14:paraId="77DD14F3">
            <w:pPr>
              <w:pStyle w:val="13"/>
            </w:pPr>
            <w:r>
              <w:t>家长和学生满意度</w:t>
            </w:r>
          </w:p>
        </w:tc>
        <w:tc>
          <w:tcPr>
            <w:tcW w:w="5386" w:type="dxa"/>
            <w:vAlign w:val="center"/>
          </w:tcPr>
          <w:p w14:paraId="3D88A059">
            <w:pPr>
              <w:pStyle w:val="13"/>
            </w:pPr>
            <w:r>
              <w:t>家长和学生满意度</w:t>
            </w:r>
          </w:p>
        </w:tc>
        <w:tc>
          <w:tcPr>
            <w:tcW w:w="2268" w:type="dxa"/>
            <w:vAlign w:val="center"/>
          </w:tcPr>
          <w:p w14:paraId="46C59EED">
            <w:pPr>
              <w:pStyle w:val="13"/>
            </w:pPr>
            <w:r>
              <w:t>≥95%</w:t>
            </w:r>
          </w:p>
        </w:tc>
        <w:tc>
          <w:tcPr>
            <w:tcW w:w="1276" w:type="dxa"/>
            <w:vAlign w:val="center"/>
          </w:tcPr>
          <w:p w14:paraId="2F1E40D3">
            <w:pPr>
              <w:pStyle w:val="13"/>
            </w:pPr>
            <w:r>
              <w:t>问卷调查</w:t>
            </w:r>
          </w:p>
        </w:tc>
      </w:tr>
    </w:tbl>
    <w:p w14:paraId="5551B29F">
      <w:pPr>
        <w:sectPr>
          <w:pgSz w:w="16840" w:h="11900" w:orient="landscape"/>
          <w:pgMar w:top="1361" w:right="1020" w:bottom="1134" w:left="1020" w:header="720" w:footer="720" w:gutter="0"/>
          <w:cols w:space="720" w:num="1"/>
        </w:sectPr>
      </w:pPr>
    </w:p>
    <w:p w14:paraId="55946B1D">
      <w:pPr>
        <w:spacing w:before="0" w:after="0"/>
        <w:ind w:firstLine="560"/>
        <w:jc w:val="left"/>
        <w:outlineLvl w:val="9"/>
      </w:pPr>
      <w:r>
        <w:rPr>
          <w:rFonts w:ascii="方正仿宋_GBK" w:hAnsi="方正仿宋_GBK" w:eastAsia="方正仿宋_GBK" w:cs="方正仿宋_GBK"/>
          <w:b/>
          <w:color w:val="000000"/>
          <w:sz w:val="28"/>
        </w:rPr>
        <w:t>8、冀财教[2024]123号/中央/2025年义教补助经费/校舍安全保障/固城小学院落硬化绩效目标表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708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830E3">
            <w:pPr>
              <w:pStyle w:val="14"/>
            </w:pPr>
            <w:r>
              <w:t>单位：万元</w:t>
            </w:r>
          </w:p>
        </w:tc>
      </w:tr>
      <w:tr w14:paraId="45BCB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732A6">
            <w:pPr>
              <w:pStyle w:val="11"/>
            </w:pPr>
            <w:r>
              <w:t>项目编码</w:t>
            </w:r>
          </w:p>
        </w:tc>
        <w:tc>
          <w:tcPr>
            <w:tcW w:w="5103" w:type="dxa"/>
            <w:gridSpan w:val="2"/>
            <w:vAlign w:val="center"/>
          </w:tcPr>
          <w:p w14:paraId="4BC83509">
            <w:pPr>
              <w:pStyle w:val="13"/>
            </w:pPr>
            <w:r>
              <w:t>13052525P008762100170</w:t>
            </w:r>
          </w:p>
        </w:tc>
        <w:tc>
          <w:tcPr>
            <w:tcW w:w="2835" w:type="dxa"/>
            <w:vAlign w:val="center"/>
          </w:tcPr>
          <w:p w14:paraId="7841DD9D">
            <w:pPr>
              <w:pStyle w:val="11"/>
            </w:pPr>
            <w:r>
              <w:t>项目名称</w:t>
            </w:r>
          </w:p>
        </w:tc>
        <w:tc>
          <w:tcPr>
            <w:tcW w:w="6095" w:type="dxa"/>
            <w:gridSpan w:val="3"/>
            <w:vAlign w:val="center"/>
          </w:tcPr>
          <w:p w14:paraId="524B8C70">
            <w:pPr>
              <w:pStyle w:val="13"/>
            </w:pPr>
            <w:r>
              <w:t>冀财教[2024]123号/中央/2025年义教补助经费/校舍安全保障/固城小学院落硬化</w:t>
            </w:r>
          </w:p>
        </w:tc>
      </w:tr>
      <w:tr w14:paraId="5D0C9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886BF">
            <w:pPr>
              <w:pStyle w:val="11"/>
            </w:pPr>
            <w:r>
              <w:t>预算规模及资金用途</w:t>
            </w:r>
          </w:p>
        </w:tc>
        <w:tc>
          <w:tcPr>
            <w:tcW w:w="2268" w:type="dxa"/>
            <w:vAlign w:val="center"/>
          </w:tcPr>
          <w:p w14:paraId="7CF7F115">
            <w:pPr>
              <w:pStyle w:val="11"/>
            </w:pPr>
            <w:r>
              <w:t>预算数</w:t>
            </w:r>
          </w:p>
        </w:tc>
        <w:tc>
          <w:tcPr>
            <w:tcW w:w="2835" w:type="dxa"/>
            <w:vAlign w:val="center"/>
          </w:tcPr>
          <w:p w14:paraId="4AC2B476">
            <w:pPr>
              <w:pStyle w:val="13"/>
            </w:pPr>
            <w:r>
              <w:t>47.60</w:t>
            </w:r>
          </w:p>
        </w:tc>
        <w:tc>
          <w:tcPr>
            <w:tcW w:w="2835" w:type="dxa"/>
            <w:vAlign w:val="center"/>
          </w:tcPr>
          <w:p w14:paraId="7A3DC250">
            <w:pPr>
              <w:pStyle w:val="11"/>
            </w:pPr>
            <w:r>
              <w:t>其中：财政    资金</w:t>
            </w:r>
          </w:p>
        </w:tc>
        <w:tc>
          <w:tcPr>
            <w:tcW w:w="2551" w:type="dxa"/>
            <w:vAlign w:val="center"/>
          </w:tcPr>
          <w:p w14:paraId="7453610A">
            <w:pPr>
              <w:pStyle w:val="13"/>
            </w:pPr>
            <w:r>
              <w:t>47.60</w:t>
            </w:r>
          </w:p>
        </w:tc>
        <w:tc>
          <w:tcPr>
            <w:tcW w:w="2268" w:type="dxa"/>
            <w:vAlign w:val="center"/>
          </w:tcPr>
          <w:p w14:paraId="0C41A547">
            <w:pPr>
              <w:pStyle w:val="11"/>
            </w:pPr>
            <w:r>
              <w:t>其他资金</w:t>
            </w:r>
          </w:p>
        </w:tc>
        <w:tc>
          <w:tcPr>
            <w:tcW w:w="1276" w:type="dxa"/>
            <w:vAlign w:val="center"/>
          </w:tcPr>
          <w:p w14:paraId="13508C78">
            <w:pPr>
              <w:pStyle w:val="13"/>
            </w:pPr>
            <w:r>
              <w:t xml:space="preserve"> </w:t>
            </w:r>
          </w:p>
        </w:tc>
      </w:tr>
      <w:tr w14:paraId="13FE5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D7C53C"/>
        </w:tc>
        <w:tc>
          <w:tcPr>
            <w:tcW w:w="14033" w:type="dxa"/>
            <w:gridSpan w:val="6"/>
            <w:vAlign w:val="center"/>
          </w:tcPr>
          <w:p w14:paraId="54393787">
            <w:pPr>
              <w:pStyle w:val="13"/>
            </w:pPr>
            <w:r>
              <w:t>用于改善就学条件，提升学校形象，保障义务教育阶段教学安全，创造良好的校园环境。</w:t>
            </w:r>
          </w:p>
        </w:tc>
      </w:tr>
      <w:tr w14:paraId="6DA78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AD327">
            <w:pPr>
              <w:pStyle w:val="11"/>
            </w:pPr>
            <w:r>
              <w:t>资金支出计划（%）</w:t>
            </w:r>
          </w:p>
        </w:tc>
        <w:tc>
          <w:tcPr>
            <w:tcW w:w="5103" w:type="dxa"/>
            <w:gridSpan w:val="2"/>
            <w:vAlign w:val="center"/>
          </w:tcPr>
          <w:p w14:paraId="75C630BB">
            <w:pPr>
              <w:pStyle w:val="11"/>
            </w:pPr>
            <w:r>
              <w:t>3月底</w:t>
            </w:r>
          </w:p>
        </w:tc>
        <w:tc>
          <w:tcPr>
            <w:tcW w:w="2835" w:type="dxa"/>
            <w:vAlign w:val="center"/>
          </w:tcPr>
          <w:p w14:paraId="72DEE50F">
            <w:pPr>
              <w:pStyle w:val="11"/>
            </w:pPr>
            <w:r>
              <w:t>6月底</w:t>
            </w:r>
          </w:p>
        </w:tc>
        <w:tc>
          <w:tcPr>
            <w:tcW w:w="2551" w:type="dxa"/>
            <w:vAlign w:val="center"/>
          </w:tcPr>
          <w:p w14:paraId="58A7FA88">
            <w:pPr>
              <w:pStyle w:val="11"/>
            </w:pPr>
            <w:r>
              <w:t>10月底</w:t>
            </w:r>
          </w:p>
        </w:tc>
        <w:tc>
          <w:tcPr>
            <w:tcW w:w="3544" w:type="dxa"/>
            <w:gridSpan w:val="2"/>
            <w:vAlign w:val="center"/>
          </w:tcPr>
          <w:p w14:paraId="411DD1B7">
            <w:pPr>
              <w:pStyle w:val="11"/>
            </w:pPr>
            <w:r>
              <w:t>12月底</w:t>
            </w:r>
          </w:p>
        </w:tc>
      </w:tr>
      <w:tr w14:paraId="57DBC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EBA6EC"/>
        </w:tc>
        <w:tc>
          <w:tcPr>
            <w:tcW w:w="5103" w:type="dxa"/>
            <w:gridSpan w:val="2"/>
            <w:vAlign w:val="center"/>
          </w:tcPr>
          <w:p w14:paraId="2C482FE1">
            <w:pPr>
              <w:pStyle w:val="12"/>
            </w:pPr>
            <w:r>
              <w:t xml:space="preserve"> </w:t>
            </w:r>
          </w:p>
        </w:tc>
        <w:tc>
          <w:tcPr>
            <w:tcW w:w="2835" w:type="dxa"/>
            <w:vAlign w:val="center"/>
          </w:tcPr>
          <w:p w14:paraId="7C92FF27">
            <w:pPr>
              <w:pStyle w:val="12"/>
            </w:pPr>
            <w:r>
              <w:t xml:space="preserve"> </w:t>
            </w:r>
          </w:p>
        </w:tc>
        <w:tc>
          <w:tcPr>
            <w:tcW w:w="2551" w:type="dxa"/>
            <w:vAlign w:val="center"/>
          </w:tcPr>
          <w:p w14:paraId="55303E64">
            <w:pPr>
              <w:pStyle w:val="12"/>
            </w:pPr>
            <w:r>
              <w:t>100%</w:t>
            </w:r>
          </w:p>
        </w:tc>
        <w:tc>
          <w:tcPr>
            <w:tcW w:w="3544" w:type="dxa"/>
            <w:gridSpan w:val="2"/>
            <w:vAlign w:val="center"/>
          </w:tcPr>
          <w:p w14:paraId="31E46569">
            <w:pPr>
              <w:pStyle w:val="12"/>
            </w:pPr>
            <w:r>
              <w:t>100%</w:t>
            </w:r>
          </w:p>
        </w:tc>
      </w:tr>
      <w:tr w14:paraId="50A7B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B81B80">
            <w:pPr>
              <w:pStyle w:val="11"/>
            </w:pPr>
            <w:r>
              <w:t>绩效目标</w:t>
            </w:r>
          </w:p>
        </w:tc>
        <w:tc>
          <w:tcPr>
            <w:tcW w:w="14033" w:type="dxa"/>
            <w:gridSpan w:val="6"/>
            <w:vAlign w:val="center"/>
          </w:tcPr>
          <w:p w14:paraId="4F2F40F2">
            <w:pPr>
              <w:pStyle w:val="13"/>
            </w:pPr>
            <w:r>
              <w:t>1.项目需资金47.6万元，资金拨付率达到100%。</w:t>
            </w:r>
          </w:p>
          <w:p w14:paraId="03AD4B5C">
            <w:pPr>
              <w:pStyle w:val="13"/>
            </w:pPr>
            <w:r>
              <w:t>2.改善就学条件，提升学校形象，保障义务教育阶段教学安全，创造良好的校园环境。</w:t>
            </w:r>
          </w:p>
        </w:tc>
      </w:tr>
    </w:tbl>
    <w:p w14:paraId="3E9D55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C3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E18DB8">
            <w:pPr>
              <w:pStyle w:val="11"/>
            </w:pPr>
            <w:r>
              <w:t>一级指标</w:t>
            </w:r>
          </w:p>
        </w:tc>
        <w:tc>
          <w:tcPr>
            <w:tcW w:w="2268" w:type="dxa"/>
            <w:vAlign w:val="center"/>
          </w:tcPr>
          <w:p w14:paraId="79F2CA2A">
            <w:pPr>
              <w:pStyle w:val="11"/>
            </w:pPr>
            <w:r>
              <w:t>二级指标</w:t>
            </w:r>
          </w:p>
        </w:tc>
        <w:tc>
          <w:tcPr>
            <w:tcW w:w="2835" w:type="dxa"/>
            <w:vAlign w:val="center"/>
          </w:tcPr>
          <w:p w14:paraId="31FB4B5B">
            <w:pPr>
              <w:pStyle w:val="11"/>
            </w:pPr>
            <w:r>
              <w:t>三级指标</w:t>
            </w:r>
          </w:p>
        </w:tc>
        <w:tc>
          <w:tcPr>
            <w:tcW w:w="5386" w:type="dxa"/>
            <w:vAlign w:val="center"/>
          </w:tcPr>
          <w:p w14:paraId="289B4A3E">
            <w:pPr>
              <w:pStyle w:val="11"/>
            </w:pPr>
            <w:r>
              <w:t>绩效指标描述</w:t>
            </w:r>
          </w:p>
        </w:tc>
        <w:tc>
          <w:tcPr>
            <w:tcW w:w="2268" w:type="dxa"/>
            <w:vAlign w:val="center"/>
          </w:tcPr>
          <w:p w14:paraId="48FB2991">
            <w:pPr>
              <w:pStyle w:val="11"/>
            </w:pPr>
            <w:r>
              <w:t>指标值</w:t>
            </w:r>
          </w:p>
        </w:tc>
        <w:tc>
          <w:tcPr>
            <w:tcW w:w="1276" w:type="dxa"/>
            <w:vAlign w:val="center"/>
          </w:tcPr>
          <w:p w14:paraId="6B371D50">
            <w:pPr>
              <w:pStyle w:val="11"/>
            </w:pPr>
            <w:r>
              <w:t>指标值确定依据</w:t>
            </w:r>
          </w:p>
        </w:tc>
      </w:tr>
      <w:tr w14:paraId="0392F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85218">
            <w:pPr>
              <w:pStyle w:val="12"/>
            </w:pPr>
            <w:r>
              <w:t>产出指标</w:t>
            </w:r>
          </w:p>
        </w:tc>
        <w:tc>
          <w:tcPr>
            <w:tcW w:w="2268" w:type="dxa"/>
            <w:vAlign w:val="center"/>
          </w:tcPr>
          <w:p w14:paraId="311C09BC">
            <w:pPr>
              <w:pStyle w:val="13"/>
            </w:pPr>
            <w:r>
              <w:t>数量指标</w:t>
            </w:r>
          </w:p>
        </w:tc>
        <w:tc>
          <w:tcPr>
            <w:tcW w:w="2835" w:type="dxa"/>
            <w:vAlign w:val="center"/>
          </w:tcPr>
          <w:p w14:paraId="36A0DA2F">
            <w:pPr>
              <w:pStyle w:val="13"/>
            </w:pPr>
            <w:r>
              <w:t>火连庄小学维修改造</w:t>
            </w:r>
          </w:p>
        </w:tc>
        <w:tc>
          <w:tcPr>
            <w:tcW w:w="5386" w:type="dxa"/>
            <w:vAlign w:val="center"/>
          </w:tcPr>
          <w:p w14:paraId="19994ADA">
            <w:pPr>
              <w:pStyle w:val="13"/>
            </w:pPr>
            <w:r>
              <w:t>校园及甬路沥青硬化（含花岗岩路边）等</w:t>
            </w:r>
          </w:p>
        </w:tc>
        <w:tc>
          <w:tcPr>
            <w:tcW w:w="2268" w:type="dxa"/>
            <w:vAlign w:val="center"/>
          </w:tcPr>
          <w:p w14:paraId="354F046F">
            <w:pPr>
              <w:pStyle w:val="13"/>
            </w:pPr>
            <w:r>
              <w:t>1项</w:t>
            </w:r>
          </w:p>
        </w:tc>
        <w:tc>
          <w:tcPr>
            <w:tcW w:w="1276" w:type="dxa"/>
            <w:vAlign w:val="center"/>
          </w:tcPr>
          <w:p w14:paraId="0DD8AC5E">
            <w:pPr>
              <w:pStyle w:val="13"/>
            </w:pPr>
            <w:r>
              <w:t>项目规划</w:t>
            </w:r>
          </w:p>
        </w:tc>
      </w:tr>
      <w:tr w14:paraId="595E8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6011"/>
        </w:tc>
        <w:tc>
          <w:tcPr>
            <w:tcW w:w="2268" w:type="dxa"/>
            <w:vAlign w:val="center"/>
          </w:tcPr>
          <w:p w14:paraId="3F392933">
            <w:pPr>
              <w:pStyle w:val="13"/>
            </w:pPr>
            <w:r>
              <w:t>质量指标</w:t>
            </w:r>
          </w:p>
        </w:tc>
        <w:tc>
          <w:tcPr>
            <w:tcW w:w="2835" w:type="dxa"/>
            <w:vAlign w:val="center"/>
          </w:tcPr>
          <w:p w14:paraId="0FFD6CB0">
            <w:pPr>
              <w:pStyle w:val="13"/>
            </w:pPr>
            <w:r>
              <w:t>工程实施验收合格率</w:t>
            </w:r>
          </w:p>
        </w:tc>
        <w:tc>
          <w:tcPr>
            <w:tcW w:w="5386" w:type="dxa"/>
            <w:vAlign w:val="center"/>
          </w:tcPr>
          <w:p w14:paraId="6A1B1079">
            <w:pPr>
              <w:pStyle w:val="13"/>
            </w:pPr>
            <w:r>
              <w:t>申报程序的合规，项目实施及资金使用符合项目规划</w:t>
            </w:r>
          </w:p>
        </w:tc>
        <w:tc>
          <w:tcPr>
            <w:tcW w:w="2268" w:type="dxa"/>
            <w:vAlign w:val="center"/>
          </w:tcPr>
          <w:p w14:paraId="57E65B19">
            <w:pPr>
              <w:pStyle w:val="13"/>
            </w:pPr>
            <w:r>
              <w:t>≥100%</w:t>
            </w:r>
          </w:p>
        </w:tc>
        <w:tc>
          <w:tcPr>
            <w:tcW w:w="1276" w:type="dxa"/>
            <w:vAlign w:val="center"/>
          </w:tcPr>
          <w:p w14:paraId="3F9B46AD">
            <w:pPr>
              <w:pStyle w:val="13"/>
            </w:pPr>
            <w:r>
              <w:t>项目规划</w:t>
            </w:r>
          </w:p>
        </w:tc>
      </w:tr>
      <w:tr w14:paraId="58B35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30B5D"/>
        </w:tc>
        <w:tc>
          <w:tcPr>
            <w:tcW w:w="2268" w:type="dxa"/>
            <w:vAlign w:val="center"/>
          </w:tcPr>
          <w:p w14:paraId="0E1E19A3">
            <w:pPr>
              <w:pStyle w:val="13"/>
            </w:pPr>
            <w:r>
              <w:t>时效指标</w:t>
            </w:r>
          </w:p>
        </w:tc>
        <w:tc>
          <w:tcPr>
            <w:tcW w:w="2835" w:type="dxa"/>
            <w:vAlign w:val="center"/>
          </w:tcPr>
          <w:p w14:paraId="1E912ADE">
            <w:pPr>
              <w:pStyle w:val="13"/>
            </w:pPr>
            <w:r>
              <w:t>资金支付率</w:t>
            </w:r>
          </w:p>
        </w:tc>
        <w:tc>
          <w:tcPr>
            <w:tcW w:w="5386" w:type="dxa"/>
            <w:vAlign w:val="center"/>
          </w:tcPr>
          <w:p w14:paraId="27C3373E">
            <w:pPr>
              <w:pStyle w:val="13"/>
            </w:pPr>
            <w:r>
              <w:t>按照序时进度完成资金支付</w:t>
            </w:r>
          </w:p>
        </w:tc>
        <w:tc>
          <w:tcPr>
            <w:tcW w:w="2268" w:type="dxa"/>
            <w:vAlign w:val="center"/>
          </w:tcPr>
          <w:p w14:paraId="568708EC">
            <w:pPr>
              <w:pStyle w:val="13"/>
            </w:pPr>
            <w:r>
              <w:t>≥100%</w:t>
            </w:r>
          </w:p>
        </w:tc>
        <w:tc>
          <w:tcPr>
            <w:tcW w:w="1276" w:type="dxa"/>
            <w:vAlign w:val="center"/>
          </w:tcPr>
          <w:p w14:paraId="414EB2CF">
            <w:pPr>
              <w:pStyle w:val="13"/>
            </w:pPr>
            <w:r>
              <w:t>项目规划</w:t>
            </w:r>
          </w:p>
        </w:tc>
      </w:tr>
      <w:tr w14:paraId="19807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5CF58"/>
        </w:tc>
        <w:tc>
          <w:tcPr>
            <w:tcW w:w="2268" w:type="dxa"/>
            <w:vAlign w:val="center"/>
          </w:tcPr>
          <w:p w14:paraId="44421539">
            <w:pPr>
              <w:pStyle w:val="13"/>
            </w:pPr>
            <w:r>
              <w:t>成本指标</w:t>
            </w:r>
          </w:p>
        </w:tc>
        <w:tc>
          <w:tcPr>
            <w:tcW w:w="2835" w:type="dxa"/>
            <w:vAlign w:val="center"/>
          </w:tcPr>
          <w:p w14:paraId="22A6A6DB">
            <w:pPr>
              <w:pStyle w:val="13"/>
            </w:pPr>
            <w:r>
              <w:t>项目成本控制情况</w:t>
            </w:r>
          </w:p>
        </w:tc>
        <w:tc>
          <w:tcPr>
            <w:tcW w:w="5386" w:type="dxa"/>
            <w:vAlign w:val="center"/>
          </w:tcPr>
          <w:p w14:paraId="344F9EC5">
            <w:pPr>
              <w:pStyle w:val="13"/>
            </w:pPr>
            <w:r>
              <w:t>严格按照招标价格及审计额进行</w:t>
            </w:r>
          </w:p>
        </w:tc>
        <w:tc>
          <w:tcPr>
            <w:tcW w:w="2268" w:type="dxa"/>
            <w:vAlign w:val="center"/>
          </w:tcPr>
          <w:p w14:paraId="668EBAA9">
            <w:pPr>
              <w:pStyle w:val="13"/>
            </w:pPr>
            <w:r>
              <w:t>47.6万元</w:t>
            </w:r>
          </w:p>
        </w:tc>
        <w:tc>
          <w:tcPr>
            <w:tcW w:w="1276" w:type="dxa"/>
            <w:vAlign w:val="center"/>
          </w:tcPr>
          <w:p w14:paraId="0E36946D">
            <w:pPr>
              <w:pStyle w:val="13"/>
            </w:pPr>
            <w:r>
              <w:t>项目规划</w:t>
            </w:r>
          </w:p>
        </w:tc>
      </w:tr>
      <w:tr w14:paraId="07710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C73B45">
            <w:pPr>
              <w:pStyle w:val="12"/>
            </w:pPr>
            <w:r>
              <w:t>效益指标</w:t>
            </w:r>
          </w:p>
        </w:tc>
        <w:tc>
          <w:tcPr>
            <w:tcW w:w="2268" w:type="dxa"/>
            <w:vAlign w:val="center"/>
          </w:tcPr>
          <w:p w14:paraId="6A23269A">
            <w:pPr>
              <w:pStyle w:val="13"/>
            </w:pPr>
            <w:r>
              <w:t>社会效益指标</w:t>
            </w:r>
          </w:p>
        </w:tc>
        <w:tc>
          <w:tcPr>
            <w:tcW w:w="2835" w:type="dxa"/>
            <w:vAlign w:val="center"/>
          </w:tcPr>
          <w:p w14:paraId="769E4BEB">
            <w:pPr>
              <w:pStyle w:val="13"/>
            </w:pPr>
            <w:r>
              <w:t>学校办学环境提升</w:t>
            </w:r>
          </w:p>
        </w:tc>
        <w:tc>
          <w:tcPr>
            <w:tcW w:w="5386" w:type="dxa"/>
            <w:vAlign w:val="center"/>
          </w:tcPr>
          <w:p w14:paraId="3542947B">
            <w:pPr>
              <w:pStyle w:val="13"/>
            </w:pPr>
            <w:r>
              <w:t>学校教学环境提升优化率</w:t>
            </w:r>
          </w:p>
        </w:tc>
        <w:tc>
          <w:tcPr>
            <w:tcW w:w="2268" w:type="dxa"/>
            <w:vAlign w:val="center"/>
          </w:tcPr>
          <w:p w14:paraId="61FA9DD1">
            <w:pPr>
              <w:pStyle w:val="13"/>
            </w:pPr>
            <w:r>
              <w:t>≥98%</w:t>
            </w:r>
          </w:p>
        </w:tc>
        <w:tc>
          <w:tcPr>
            <w:tcW w:w="1276" w:type="dxa"/>
            <w:vAlign w:val="center"/>
          </w:tcPr>
          <w:p w14:paraId="4269FCA0">
            <w:pPr>
              <w:pStyle w:val="13"/>
            </w:pPr>
            <w:r>
              <w:t>项目规划</w:t>
            </w:r>
          </w:p>
        </w:tc>
      </w:tr>
      <w:tr w14:paraId="4A642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EC51EB">
            <w:pPr>
              <w:pStyle w:val="12"/>
            </w:pPr>
            <w:r>
              <w:t>满意度指标</w:t>
            </w:r>
          </w:p>
        </w:tc>
        <w:tc>
          <w:tcPr>
            <w:tcW w:w="2268" w:type="dxa"/>
            <w:vAlign w:val="center"/>
          </w:tcPr>
          <w:p w14:paraId="01FBD977">
            <w:pPr>
              <w:pStyle w:val="13"/>
            </w:pPr>
            <w:r>
              <w:t>服务对象满意度指标</w:t>
            </w:r>
          </w:p>
        </w:tc>
        <w:tc>
          <w:tcPr>
            <w:tcW w:w="2835" w:type="dxa"/>
            <w:vAlign w:val="center"/>
          </w:tcPr>
          <w:p w14:paraId="447B069A">
            <w:pPr>
              <w:pStyle w:val="13"/>
            </w:pPr>
            <w:r>
              <w:t>受益学生家长及调查满意度</w:t>
            </w:r>
          </w:p>
        </w:tc>
        <w:tc>
          <w:tcPr>
            <w:tcW w:w="5386" w:type="dxa"/>
            <w:vAlign w:val="center"/>
          </w:tcPr>
          <w:p w14:paraId="70E0F131">
            <w:pPr>
              <w:pStyle w:val="13"/>
            </w:pPr>
            <w:r>
              <w:t>学生、教师及家长对学校教学环境满意度情况</w:t>
            </w:r>
          </w:p>
        </w:tc>
        <w:tc>
          <w:tcPr>
            <w:tcW w:w="2268" w:type="dxa"/>
            <w:vAlign w:val="center"/>
          </w:tcPr>
          <w:p w14:paraId="25750D0A">
            <w:pPr>
              <w:pStyle w:val="13"/>
            </w:pPr>
            <w:r>
              <w:t>≥95%</w:t>
            </w:r>
          </w:p>
        </w:tc>
        <w:tc>
          <w:tcPr>
            <w:tcW w:w="1276" w:type="dxa"/>
            <w:vAlign w:val="center"/>
          </w:tcPr>
          <w:p w14:paraId="2FD3C5A0">
            <w:pPr>
              <w:pStyle w:val="13"/>
            </w:pPr>
            <w:r>
              <w:t>项目规划</w:t>
            </w:r>
          </w:p>
        </w:tc>
      </w:tr>
    </w:tbl>
    <w:p w14:paraId="6F588A96">
      <w:pPr>
        <w:sectPr>
          <w:pgSz w:w="16840" w:h="11900" w:orient="landscape"/>
          <w:pgMar w:top="1361" w:right="1020" w:bottom="1134" w:left="1020" w:header="720" w:footer="720" w:gutter="0"/>
          <w:cols w:space="720" w:num="1"/>
        </w:sectPr>
      </w:pPr>
    </w:p>
    <w:p w14:paraId="5C32E9AF">
      <w:pPr>
        <w:spacing w:before="0" w:after="0"/>
        <w:ind w:firstLine="560"/>
        <w:jc w:val="left"/>
        <w:outlineLvl w:val="9"/>
      </w:pPr>
      <w:r>
        <w:rPr>
          <w:rFonts w:ascii="方正仿宋_GBK" w:hAnsi="方正仿宋_GBK" w:eastAsia="方正仿宋_GBK" w:cs="方正仿宋_GBK"/>
          <w:b/>
          <w:color w:val="000000"/>
          <w:sz w:val="28"/>
        </w:rPr>
        <w:t>9、冀财教[2024]123号/中央/2025年义教补助经费/校舍安全保障/小孟小学厕所改建及阳台封闭绩效目标表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F6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5ECD7">
            <w:pPr>
              <w:pStyle w:val="14"/>
            </w:pPr>
            <w:r>
              <w:t>单位：万元</w:t>
            </w:r>
          </w:p>
        </w:tc>
      </w:tr>
      <w:tr w14:paraId="06783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AD8FC9">
            <w:pPr>
              <w:pStyle w:val="11"/>
            </w:pPr>
            <w:r>
              <w:t>项目编码</w:t>
            </w:r>
          </w:p>
        </w:tc>
        <w:tc>
          <w:tcPr>
            <w:tcW w:w="5103" w:type="dxa"/>
            <w:gridSpan w:val="2"/>
            <w:vAlign w:val="center"/>
          </w:tcPr>
          <w:p w14:paraId="0B4C05EF">
            <w:pPr>
              <w:pStyle w:val="13"/>
            </w:pPr>
            <w:r>
              <w:t>13052525P00876210020J</w:t>
            </w:r>
          </w:p>
        </w:tc>
        <w:tc>
          <w:tcPr>
            <w:tcW w:w="2835" w:type="dxa"/>
            <w:vAlign w:val="center"/>
          </w:tcPr>
          <w:p w14:paraId="099488F4">
            <w:pPr>
              <w:pStyle w:val="11"/>
            </w:pPr>
            <w:r>
              <w:t>项目名称</w:t>
            </w:r>
          </w:p>
        </w:tc>
        <w:tc>
          <w:tcPr>
            <w:tcW w:w="6095" w:type="dxa"/>
            <w:gridSpan w:val="3"/>
            <w:vAlign w:val="center"/>
          </w:tcPr>
          <w:p w14:paraId="6E8C7DFB">
            <w:pPr>
              <w:pStyle w:val="13"/>
            </w:pPr>
            <w:r>
              <w:t>冀财教[2024]123号/中央/2025年义教补助经费/校舍安全保障/小孟小学厕所改建及阳台封闭</w:t>
            </w:r>
          </w:p>
        </w:tc>
      </w:tr>
      <w:tr w14:paraId="658CC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CF19E">
            <w:pPr>
              <w:pStyle w:val="11"/>
            </w:pPr>
            <w:r>
              <w:t>预算规模及资金用途</w:t>
            </w:r>
          </w:p>
        </w:tc>
        <w:tc>
          <w:tcPr>
            <w:tcW w:w="2268" w:type="dxa"/>
            <w:vAlign w:val="center"/>
          </w:tcPr>
          <w:p w14:paraId="5F1C1E51">
            <w:pPr>
              <w:pStyle w:val="11"/>
            </w:pPr>
            <w:r>
              <w:t>预算数</w:t>
            </w:r>
          </w:p>
        </w:tc>
        <w:tc>
          <w:tcPr>
            <w:tcW w:w="2835" w:type="dxa"/>
            <w:vAlign w:val="center"/>
          </w:tcPr>
          <w:p w14:paraId="3282F340">
            <w:pPr>
              <w:pStyle w:val="13"/>
            </w:pPr>
            <w:r>
              <w:t>25.90</w:t>
            </w:r>
          </w:p>
        </w:tc>
        <w:tc>
          <w:tcPr>
            <w:tcW w:w="2835" w:type="dxa"/>
            <w:vAlign w:val="center"/>
          </w:tcPr>
          <w:p w14:paraId="48FD7F4F">
            <w:pPr>
              <w:pStyle w:val="11"/>
            </w:pPr>
            <w:r>
              <w:t>其中：财政    资金</w:t>
            </w:r>
          </w:p>
        </w:tc>
        <w:tc>
          <w:tcPr>
            <w:tcW w:w="2551" w:type="dxa"/>
            <w:vAlign w:val="center"/>
          </w:tcPr>
          <w:p w14:paraId="76A12AD6">
            <w:pPr>
              <w:pStyle w:val="13"/>
            </w:pPr>
            <w:r>
              <w:t>25.90</w:t>
            </w:r>
          </w:p>
        </w:tc>
        <w:tc>
          <w:tcPr>
            <w:tcW w:w="2268" w:type="dxa"/>
            <w:vAlign w:val="center"/>
          </w:tcPr>
          <w:p w14:paraId="5A41018E">
            <w:pPr>
              <w:pStyle w:val="11"/>
            </w:pPr>
            <w:r>
              <w:t>其他资金</w:t>
            </w:r>
          </w:p>
        </w:tc>
        <w:tc>
          <w:tcPr>
            <w:tcW w:w="1276" w:type="dxa"/>
            <w:vAlign w:val="center"/>
          </w:tcPr>
          <w:p w14:paraId="1A184DC8">
            <w:pPr>
              <w:pStyle w:val="13"/>
            </w:pPr>
            <w:r>
              <w:t xml:space="preserve"> </w:t>
            </w:r>
          </w:p>
        </w:tc>
      </w:tr>
      <w:tr w14:paraId="6B3C1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01FB8C"/>
        </w:tc>
        <w:tc>
          <w:tcPr>
            <w:tcW w:w="14033" w:type="dxa"/>
            <w:gridSpan w:val="6"/>
            <w:vAlign w:val="center"/>
          </w:tcPr>
          <w:p w14:paraId="29FDAE1A">
            <w:pPr>
              <w:pStyle w:val="13"/>
            </w:pPr>
            <w:r>
              <w:t>用于改善就学条件，提升学校形象，保障义务教育阶段教学安全，创造良好的校园环境。</w:t>
            </w:r>
          </w:p>
        </w:tc>
      </w:tr>
      <w:tr w14:paraId="22315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6E4B4">
            <w:pPr>
              <w:pStyle w:val="11"/>
            </w:pPr>
            <w:r>
              <w:t>资金支出计划（%）</w:t>
            </w:r>
          </w:p>
        </w:tc>
        <w:tc>
          <w:tcPr>
            <w:tcW w:w="5103" w:type="dxa"/>
            <w:gridSpan w:val="2"/>
            <w:vAlign w:val="center"/>
          </w:tcPr>
          <w:p w14:paraId="25D8DE2A">
            <w:pPr>
              <w:pStyle w:val="11"/>
            </w:pPr>
            <w:r>
              <w:t>3月底</w:t>
            </w:r>
          </w:p>
        </w:tc>
        <w:tc>
          <w:tcPr>
            <w:tcW w:w="2835" w:type="dxa"/>
            <w:vAlign w:val="center"/>
          </w:tcPr>
          <w:p w14:paraId="14CFCD76">
            <w:pPr>
              <w:pStyle w:val="11"/>
            </w:pPr>
            <w:r>
              <w:t>6月底</w:t>
            </w:r>
          </w:p>
        </w:tc>
        <w:tc>
          <w:tcPr>
            <w:tcW w:w="2551" w:type="dxa"/>
            <w:vAlign w:val="center"/>
          </w:tcPr>
          <w:p w14:paraId="0D3B909E">
            <w:pPr>
              <w:pStyle w:val="11"/>
            </w:pPr>
            <w:r>
              <w:t>10月底</w:t>
            </w:r>
          </w:p>
        </w:tc>
        <w:tc>
          <w:tcPr>
            <w:tcW w:w="3544" w:type="dxa"/>
            <w:gridSpan w:val="2"/>
            <w:vAlign w:val="center"/>
          </w:tcPr>
          <w:p w14:paraId="416B3F11">
            <w:pPr>
              <w:pStyle w:val="11"/>
            </w:pPr>
            <w:r>
              <w:t>12月底</w:t>
            </w:r>
          </w:p>
        </w:tc>
      </w:tr>
      <w:tr w14:paraId="5B804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AC29E6"/>
        </w:tc>
        <w:tc>
          <w:tcPr>
            <w:tcW w:w="5103" w:type="dxa"/>
            <w:gridSpan w:val="2"/>
            <w:vAlign w:val="center"/>
          </w:tcPr>
          <w:p w14:paraId="235677D4">
            <w:pPr>
              <w:pStyle w:val="12"/>
            </w:pPr>
            <w:r>
              <w:t xml:space="preserve"> </w:t>
            </w:r>
          </w:p>
        </w:tc>
        <w:tc>
          <w:tcPr>
            <w:tcW w:w="2835" w:type="dxa"/>
            <w:vAlign w:val="center"/>
          </w:tcPr>
          <w:p w14:paraId="7B6ECA35">
            <w:pPr>
              <w:pStyle w:val="12"/>
            </w:pPr>
            <w:r>
              <w:t xml:space="preserve"> </w:t>
            </w:r>
          </w:p>
        </w:tc>
        <w:tc>
          <w:tcPr>
            <w:tcW w:w="2551" w:type="dxa"/>
            <w:vAlign w:val="center"/>
          </w:tcPr>
          <w:p w14:paraId="2648F028">
            <w:pPr>
              <w:pStyle w:val="12"/>
            </w:pPr>
            <w:r>
              <w:t>100%</w:t>
            </w:r>
          </w:p>
        </w:tc>
        <w:tc>
          <w:tcPr>
            <w:tcW w:w="3544" w:type="dxa"/>
            <w:gridSpan w:val="2"/>
            <w:vAlign w:val="center"/>
          </w:tcPr>
          <w:p w14:paraId="59ED915C">
            <w:pPr>
              <w:pStyle w:val="12"/>
            </w:pPr>
            <w:r>
              <w:t>100%</w:t>
            </w:r>
          </w:p>
        </w:tc>
      </w:tr>
      <w:tr w14:paraId="53FB1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BB5B30">
            <w:pPr>
              <w:pStyle w:val="11"/>
            </w:pPr>
            <w:r>
              <w:t>绩效目标</w:t>
            </w:r>
          </w:p>
        </w:tc>
        <w:tc>
          <w:tcPr>
            <w:tcW w:w="14033" w:type="dxa"/>
            <w:gridSpan w:val="6"/>
            <w:vAlign w:val="center"/>
          </w:tcPr>
          <w:p w14:paraId="0B1EDCE9">
            <w:pPr>
              <w:pStyle w:val="13"/>
            </w:pPr>
            <w:r>
              <w:t>1.项目需资金25.9万元，资金拨付率达到100%。</w:t>
            </w:r>
          </w:p>
          <w:p w14:paraId="5A10F9EC">
            <w:pPr>
              <w:pStyle w:val="13"/>
            </w:pPr>
            <w:r>
              <w:t>2.改善就学条件，提升学校形象，保障义务教育阶段教学安全，创造良好的校园环境。</w:t>
            </w:r>
          </w:p>
        </w:tc>
      </w:tr>
    </w:tbl>
    <w:p w14:paraId="70CE19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AE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BA46F">
            <w:pPr>
              <w:pStyle w:val="11"/>
            </w:pPr>
            <w:r>
              <w:t>一级指标</w:t>
            </w:r>
          </w:p>
        </w:tc>
        <w:tc>
          <w:tcPr>
            <w:tcW w:w="2268" w:type="dxa"/>
            <w:vAlign w:val="center"/>
          </w:tcPr>
          <w:p w14:paraId="1E9B988B">
            <w:pPr>
              <w:pStyle w:val="11"/>
            </w:pPr>
            <w:r>
              <w:t>二级指标</w:t>
            </w:r>
          </w:p>
        </w:tc>
        <w:tc>
          <w:tcPr>
            <w:tcW w:w="2835" w:type="dxa"/>
            <w:vAlign w:val="center"/>
          </w:tcPr>
          <w:p w14:paraId="6FF130A7">
            <w:pPr>
              <w:pStyle w:val="11"/>
            </w:pPr>
            <w:r>
              <w:t>三级指标</w:t>
            </w:r>
          </w:p>
        </w:tc>
        <w:tc>
          <w:tcPr>
            <w:tcW w:w="5386" w:type="dxa"/>
            <w:vAlign w:val="center"/>
          </w:tcPr>
          <w:p w14:paraId="37E0EB40">
            <w:pPr>
              <w:pStyle w:val="11"/>
            </w:pPr>
            <w:r>
              <w:t>绩效指标描述</w:t>
            </w:r>
          </w:p>
        </w:tc>
        <w:tc>
          <w:tcPr>
            <w:tcW w:w="2268" w:type="dxa"/>
            <w:vAlign w:val="center"/>
          </w:tcPr>
          <w:p w14:paraId="0766CB4E">
            <w:pPr>
              <w:pStyle w:val="11"/>
            </w:pPr>
            <w:r>
              <w:t>指标值</w:t>
            </w:r>
          </w:p>
        </w:tc>
        <w:tc>
          <w:tcPr>
            <w:tcW w:w="1276" w:type="dxa"/>
            <w:vAlign w:val="center"/>
          </w:tcPr>
          <w:p w14:paraId="0E6ACAD6">
            <w:pPr>
              <w:pStyle w:val="11"/>
            </w:pPr>
            <w:r>
              <w:t>指标值确定依据</w:t>
            </w:r>
          </w:p>
        </w:tc>
      </w:tr>
      <w:tr w14:paraId="21B2F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27D98">
            <w:pPr>
              <w:pStyle w:val="12"/>
            </w:pPr>
            <w:r>
              <w:t>产出指标</w:t>
            </w:r>
          </w:p>
        </w:tc>
        <w:tc>
          <w:tcPr>
            <w:tcW w:w="2268" w:type="dxa"/>
            <w:vAlign w:val="center"/>
          </w:tcPr>
          <w:p w14:paraId="795FB7E4">
            <w:pPr>
              <w:pStyle w:val="13"/>
            </w:pPr>
            <w:r>
              <w:t>数量指标</w:t>
            </w:r>
          </w:p>
        </w:tc>
        <w:tc>
          <w:tcPr>
            <w:tcW w:w="2835" w:type="dxa"/>
            <w:vAlign w:val="center"/>
          </w:tcPr>
          <w:p w14:paraId="48EDEEB5">
            <w:pPr>
              <w:pStyle w:val="13"/>
            </w:pPr>
            <w:r>
              <w:t>小孟小学厕所改建及阳台封闭</w:t>
            </w:r>
          </w:p>
          <w:p w14:paraId="2F1AF4D2">
            <w:pPr>
              <w:pStyle w:val="13"/>
            </w:pPr>
          </w:p>
        </w:tc>
        <w:tc>
          <w:tcPr>
            <w:tcW w:w="5386" w:type="dxa"/>
            <w:vAlign w:val="center"/>
          </w:tcPr>
          <w:p w14:paraId="03639D7F">
            <w:pPr>
              <w:pStyle w:val="13"/>
            </w:pPr>
            <w:r>
              <w:t>宿舍楼厕所改建、教学楼、宿舍楼封阳台等</w:t>
            </w:r>
          </w:p>
        </w:tc>
        <w:tc>
          <w:tcPr>
            <w:tcW w:w="2268" w:type="dxa"/>
            <w:vAlign w:val="center"/>
          </w:tcPr>
          <w:p w14:paraId="29C7E835">
            <w:pPr>
              <w:pStyle w:val="13"/>
            </w:pPr>
            <w:r>
              <w:t>1项</w:t>
            </w:r>
          </w:p>
        </w:tc>
        <w:tc>
          <w:tcPr>
            <w:tcW w:w="1276" w:type="dxa"/>
            <w:vAlign w:val="center"/>
          </w:tcPr>
          <w:p w14:paraId="000262A5">
            <w:pPr>
              <w:pStyle w:val="13"/>
            </w:pPr>
            <w:r>
              <w:t>项目规划</w:t>
            </w:r>
          </w:p>
        </w:tc>
      </w:tr>
      <w:tr w14:paraId="654E3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F3FB8"/>
        </w:tc>
        <w:tc>
          <w:tcPr>
            <w:tcW w:w="2268" w:type="dxa"/>
            <w:vAlign w:val="center"/>
          </w:tcPr>
          <w:p w14:paraId="2FBCAC7B">
            <w:pPr>
              <w:pStyle w:val="13"/>
            </w:pPr>
            <w:r>
              <w:t>质量指标</w:t>
            </w:r>
          </w:p>
        </w:tc>
        <w:tc>
          <w:tcPr>
            <w:tcW w:w="2835" w:type="dxa"/>
            <w:vAlign w:val="center"/>
          </w:tcPr>
          <w:p w14:paraId="2C074AEA">
            <w:pPr>
              <w:pStyle w:val="13"/>
            </w:pPr>
            <w:r>
              <w:t>工程实施验收合格率</w:t>
            </w:r>
          </w:p>
        </w:tc>
        <w:tc>
          <w:tcPr>
            <w:tcW w:w="5386" w:type="dxa"/>
            <w:vAlign w:val="center"/>
          </w:tcPr>
          <w:p w14:paraId="237A5A03">
            <w:pPr>
              <w:pStyle w:val="13"/>
            </w:pPr>
            <w:r>
              <w:t>申报程序的合规，项目实施及资金使用符合项目规划</w:t>
            </w:r>
          </w:p>
        </w:tc>
        <w:tc>
          <w:tcPr>
            <w:tcW w:w="2268" w:type="dxa"/>
            <w:vAlign w:val="center"/>
          </w:tcPr>
          <w:p w14:paraId="37EC04D6">
            <w:pPr>
              <w:pStyle w:val="13"/>
            </w:pPr>
            <w:r>
              <w:t>≥100%</w:t>
            </w:r>
          </w:p>
        </w:tc>
        <w:tc>
          <w:tcPr>
            <w:tcW w:w="1276" w:type="dxa"/>
            <w:vAlign w:val="center"/>
          </w:tcPr>
          <w:p w14:paraId="54626568">
            <w:pPr>
              <w:pStyle w:val="13"/>
            </w:pPr>
            <w:r>
              <w:t>项目规划</w:t>
            </w:r>
          </w:p>
        </w:tc>
      </w:tr>
      <w:tr w14:paraId="482EE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770EE"/>
        </w:tc>
        <w:tc>
          <w:tcPr>
            <w:tcW w:w="2268" w:type="dxa"/>
            <w:vAlign w:val="center"/>
          </w:tcPr>
          <w:p w14:paraId="0DFDB62E">
            <w:pPr>
              <w:pStyle w:val="13"/>
            </w:pPr>
            <w:r>
              <w:t>时效指标</w:t>
            </w:r>
          </w:p>
        </w:tc>
        <w:tc>
          <w:tcPr>
            <w:tcW w:w="2835" w:type="dxa"/>
            <w:vAlign w:val="center"/>
          </w:tcPr>
          <w:p w14:paraId="4972004B">
            <w:pPr>
              <w:pStyle w:val="13"/>
            </w:pPr>
            <w:r>
              <w:t>资金支付率</w:t>
            </w:r>
          </w:p>
        </w:tc>
        <w:tc>
          <w:tcPr>
            <w:tcW w:w="5386" w:type="dxa"/>
            <w:vAlign w:val="center"/>
          </w:tcPr>
          <w:p w14:paraId="2DF07A45">
            <w:pPr>
              <w:pStyle w:val="13"/>
            </w:pPr>
            <w:r>
              <w:t>按照序时进度完成资金支付</w:t>
            </w:r>
          </w:p>
        </w:tc>
        <w:tc>
          <w:tcPr>
            <w:tcW w:w="2268" w:type="dxa"/>
            <w:vAlign w:val="center"/>
          </w:tcPr>
          <w:p w14:paraId="1E376E6B">
            <w:pPr>
              <w:pStyle w:val="13"/>
            </w:pPr>
            <w:r>
              <w:t>≥100%</w:t>
            </w:r>
          </w:p>
        </w:tc>
        <w:tc>
          <w:tcPr>
            <w:tcW w:w="1276" w:type="dxa"/>
            <w:vAlign w:val="center"/>
          </w:tcPr>
          <w:p w14:paraId="593B18AD">
            <w:pPr>
              <w:pStyle w:val="13"/>
            </w:pPr>
            <w:r>
              <w:t>项目规划</w:t>
            </w:r>
          </w:p>
        </w:tc>
      </w:tr>
      <w:tr w14:paraId="7B6F6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1343C"/>
        </w:tc>
        <w:tc>
          <w:tcPr>
            <w:tcW w:w="2268" w:type="dxa"/>
            <w:vAlign w:val="center"/>
          </w:tcPr>
          <w:p w14:paraId="410A7292">
            <w:pPr>
              <w:pStyle w:val="13"/>
            </w:pPr>
            <w:r>
              <w:t>成本指标</w:t>
            </w:r>
          </w:p>
        </w:tc>
        <w:tc>
          <w:tcPr>
            <w:tcW w:w="2835" w:type="dxa"/>
            <w:vAlign w:val="center"/>
          </w:tcPr>
          <w:p w14:paraId="07E6C123">
            <w:pPr>
              <w:pStyle w:val="13"/>
            </w:pPr>
            <w:r>
              <w:t>项目成本控制情况</w:t>
            </w:r>
          </w:p>
        </w:tc>
        <w:tc>
          <w:tcPr>
            <w:tcW w:w="5386" w:type="dxa"/>
            <w:vAlign w:val="center"/>
          </w:tcPr>
          <w:p w14:paraId="7F6207EB">
            <w:pPr>
              <w:pStyle w:val="13"/>
            </w:pPr>
            <w:r>
              <w:t>严格按照招标价格及审计额进行</w:t>
            </w:r>
          </w:p>
        </w:tc>
        <w:tc>
          <w:tcPr>
            <w:tcW w:w="2268" w:type="dxa"/>
            <w:vAlign w:val="center"/>
          </w:tcPr>
          <w:p w14:paraId="61CF83F7">
            <w:pPr>
              <w:pStyle w:val="13"/>
            </w:pPr>
            <w:r>
              <w:t>25.9万元</w:t>
            </w:r>
          </w:p>
        </w:tc>
        <w:tc>
          <w:tcPr>
            <w:tcW w:w="1276" w:type="dxa"/>
            <w:vAlign w:val="center"/>
          </w:tcPr>
          <w:p w14:paraId="21100B02">
            <w:pPr>
              <w:pStyle w:val="13"/>
            </w:pPr>
            <w:r>
              <w:t>项目规划</w:t>
            </w:r>
          </w:p>
        </w:tc>
      </w:tr>
      <w:tr w14:paraId="3115C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EE13B">
            <w:pPr>
              <w:pStyle w:val="12"/>
            </w:pPr>
            <w:r>
              <w:t>效益指标</w:t>
            </w:r>
          </w:p>
        </w:tc>
        <w:tc>
          <w:tcPr>
            <w:tcW w:w="2268" w:type="dxa"/>
            <w:vAlign w:val="center"/>
          </w:tcPr>
          <w:p w14:paraId="3A11619B">
            <w:pPr>
              <w:pStyle w:val="13"/>
            </w:pPr>
            <w:r>
              <w:t>社会效益指标</w:t>
            </w:r>
          </w:p>
        </w:tc>
        <w:tc>
          <w:tcPr>
            <w:tcW w:w="2835" w:type="dxa"/>
            <w:vAlign w:val="center"/>
          </w:tcPr>
          <w:p w14:paraId="08A1DA6D">
            <w:pPr>
              <w:pStyle w:val="13"/>
            </w:pPr>
            <w:r>
              <w:t>学校办学环境提升</w:t>
            </w:r>
          </w:p>
        </w:tc>
        <w:tc>
          <w:tcPr>
            <w:tcW w:w="5386" w:type="dxa"/>
            <w:vAlign w:val="center"/>
          </w:tcPr>
          <w:p w14:paraId="41AB39AA">
            <w:pPr>
              <w:pStyle w:val="13"/>
            </w:pPr>
            <w:r>
              <w:t>学校教学环境提升优化率</w:t>
            </w:r>
          </w:p>
        </w:tc>
        <w:tc>
          <w:tcPr>
            <w:tcW w:w="2268" w:type="dxa"/>
            <w:vAlign w:val="center"/>
          </w:tcPr>
          <w:p w14:paraId="27115569">
            <w:pPr>
              <w:pStyle w:val="13"/>
            </w:pPr>
            <w:r>
              <w:t>≥98%</w:t>
            </w:r>
          </w:p>
        </w:tc>
        <w:tc>
          <w:tcPr>
            <w:tcW w:w="1276" w:type="dxa"/>
            <w:vAlign w:val="center"/>
          </w:tcPr>
          <w:p w14:paraId="11CCF8EB">
            <w:pPr>
              <w:pStyle w:val="13"/>
            </w:pPr>
            <w:r>
              <w:t>项目规划</w:t>
            </w:r>
          </w:p>
        </w:tc>
      </w:tr>
      <w:tr w14:paraId="49E9C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5A1CA3">
            <w:pPr>
              <w:pStyle w:val="12"/>
            </w:pPr>
            <w:r>
              <w:t>满意度指标</w:t>
            </w:r>
          </w:p>
        </w:tc>
        <w:tc>
          <w:tcPr>
            <w:tcW w:w="2268" w:type="dxa"/>
            <w:vAlign w:val="center"/>
          </w:tcPr>
          <w:p w14:paraId="616D2AA7">
            <w:pPr>
              <w:pStyle w:val="13"/>
            </w:pPr>
            <w:r>
              <w:t>服务对象满意度指标</w:t>
            </w:r>
          </w:p>
        </w:tc>
        <w:tc>
          <w:tcPr>
            <w:tcW w:w="2835" w:type="dxa"/>
            <w:vAlign w:val="center"/>
          </w:tcPr>
          <w:p w14:paraId="568346AE">
            <w:pPr>
              <w:pStyle w:val="13"/>
            </w:pPr>
            <w:r>
              <w:t>受益学生家长及调查满意度</w:t>
            </w:r>
          </w:p>
        </w:tc>
        <w:tc>
          <w:tcPr>
            <w:tcW w:w="5386" w:type="dxa"/>
            <w:vAlign w:val="center"/>
          </w:tcPr>
          <w:p w14:paraId="292FC31D">
            <w:pPr>
              <w:pStyle w:val="13"/>
            </w:pPr>
            <w:r>
              <w:t>学生、教师及家长对学校教学环境满意度情况</w:t>
            </w:r>
          </w:p>
        </w:tc>
        <w:tc>
          <w:tcPr>
            <w:tcW w:w="2268" w:type="dxa"/>
            <w:vAlign w:val="center"/>
          </w:tcPr>
          <w:p w14:paraId="6EE3B266">
            <w:pPr>
              <w:pStyle w:val="13"/>
            </w:pPr>
            <w:r>
              <w:t>≥95%</w:t>
            </w:r>
          </w:p>
        </w:tc>
        <w:tc>
          <w:tcPr>
            <w:tcW w:w="1276" w:type="dxa"/>
            <w:vAlign w:val="center"/>
          </w:tcPr>
          <w:p w14:paraId="20BA5C70">
            <w:pPr>
              <w:pStyle w:val="13"/>
            </w:pPr>
            <w:r>
              <w:t>项目规划</w:t>
            </w:r>
          </w:p>
        </w:tc>
      </w:tr>
    </w:tbl>
    <w:p w14:paraId="55821374">
      <w:pPr>
        <w:sectPr>
          <w:pgSz w:w="16840" w:h="11900" w:orient="landscape"/>
          <w:pgMar w:top="1361" w:right="1020" w:bottom="1134" w:left="1020" w:header="720" w:footer="720" w:gutter="0"/>
          <w:cols w:space="720" w:num="1"/>
        </w:sectPr>
      </w:pPr>
    </w:p>
    <w:p w14:paraId="620F1E29">
      <w:pPr>
        <w:spacing w:before="0" w:after="0"/>
        <w:ind w:firstLine="560"/>
        <w:jc w:val="left"/>
        <w:outlineLvl w:val="9"/>
      </w:pPr>
      <w:r>
        <w:rPr>
          <w:rFonts w:ascii="方正仿宋_GBK" w:hAnsi="方正仿宋_GBK" w:eastAsia="方正仿宋_GBK" w:cs="方正仿宋_GBK"/>
          <w:b/>
          <w:color w:val="000000"/>
          <w:sz w:val="28"/>
        </w:rPr>
        <w:t>10、冀财教[2024]123号/中央/2025年义教补助经费/综合奖补/固城小学专用设备购置绩效目标表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82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7D4DF">
            <w:pPr>
              <w:pStyle w:val="14"/>
            </w:pPr>
            <w:r>
              <w:t>单位：万元</w:t>
            </w:r>
          </w:p>
        </w:tc>
      </w:tr>
      <w:tr w14:paraId="1197D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296DF">
            <w:pPr>
              <w:pStyle w:val="11"/>
            </w:pPr>
            <w:r>
              <w:t>项目编码</w:t>
            </w:r>
          </w:p>
        </w:tc>
        <w:tc>
          <w:tcPr>
            <w:tcW w:w="5103" w:type="dxa"/>
            <w:gridSpan w:val="2"/>
            <w:vAlign w:val="center"/>
          </w:tcPr>
          <w:p w14:paraId="779C2E1C">
            <w:pPr>
              <w:pStyle w:val="13"/>
            </w:pPr>
            <w:r>
              <w:t>13052525P00875610245E</w:t>
            </w:r>
          </w:p>
        </w:tc>
        <w:tc>
          <w:tcPr>
            <w:tcW w:w="2835" w:type="dxa"/>
            <w:vAlign w:val="center"/>
          </w:tcPr>
          <w:p w14:paraId="35261DE1">
            <w:pPr>
              <w:pStyle w:val="11"/>
            </w:pPr>
            <w:r>
              <w:t>项目名称</w:t>
            </w:r>
          </w:p>
        </w:tc>
        <w:tc>
          <w:tcPr>
            <w:tcW w:w="6095" w:type="dxa"/>
            <w:gridSpan w:val="3"/>
            <w:vAlign w:val="center"/>
          </w:tcPr>
          <w:p w14:paraId="02A53E25">
            <w:pPr>
              <w:pStyle w:val="13"/>
            </w:pPr>
            <w:r>
              <w:t>冀财教[2024]123号/中央/2025年义教补助经费/综合奖补/固城小学专用设备购置</w:t>
            </w:r>
          </w:p>
        </w:tc>
      </w:tr>
      <w:tr w14:paraId="5D268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4D857">
            <w:pPr>
              <w:pStyle w:val="11"/>
            </w:pPr>
            <w:r>
              <w:t>预算规模及资金用途</w:t>
            </w:r>
          </w:p>
        </w:tc>
        <w:tc>
          <w:tcPr>
            <w:tcW w:w="2268" w:type="dxa"/>
            <w:vAlign w:val="center"/>
          </w:tcPr>
          <w:p w14:paraId="29C4F47A">
            <w:pPr>
              <w:pStyle w:val="11"/>
            </w:pPr>
            <w:r>
              <w:t>预算数</w:t>
            </w:r>
          </w:p>
        </w:tc>
        <w:tc>
          <w:tcPr>
            <w:tcW w:w="2835" w:type="dxa"/>
            <w:vAlign w:val="center"/>
          </w:tcPr>
          <w:p w14:paraId="433350D3">
            <w:pPr>
              <w:pStyle w:val="13"/>
            </w:pPr>
            <w:r>
              <w:t>98.16</w:t>
            </w:r>
          </w:p>
        </w:tc>
        <w:tc>
          <w:tcPr>
            <w:tcW w:w="2835" w:type="dxa"/>
            <w:vAlign w:val="center"/>
          </w:tcPr>
          <w:p w14:paraId="71DEE208">
            <w:pPr>
              <w:pStyle w:val="11"/>
            </w:pPr>
            <w:r>
              <w:t>其中：财政    资金</w:t>
            </w:r>
          </w:p>
        </w:tc>
        <w:tc>
          <w:tcPr>
            <w:tcW w:w="2551" w:type="dxa"/>
            <w:vAlign w:val="center"/>
          </w:tcPr>
          <w:p w14:paraId="1B525788">
            <w:pPr>
              <w:pStyle w:val="13"/>
            </w:pPr>
            <w:r>
              <w:t>98.16</w:t>
            </w:r>
          </w:p>
        </w:tc>
        <w:tc>
          <w:tcPr>
            <w:tcW w:w="2268" w:type="dxa"/>
            <w:vAlign w:val="center"/>
          </w:tcPr>
          <w:p w14:paraId="7C6A5D99">
            <w:pPr>
              <w:pStyle w:val="11"/>
            </w:pPr>
            <w:r>
              <w:t>其他资金</w:t>
            </w:r>
          </w:p>
        </w:tc>
        <w:tc>
          <w:tcPr>
            <w:tcW w:w="1276" w:type="dxa"/>
            <w:vAlign w:val="center"/>
          </w:tcPr>
          <w:p w14:paraId="29B4DB03">
            <w:pPr>
              <w:pStyle w:val="13"/>
            </w:pPr>
            <w:r>
              <w:t xml:space="preserve"> </w:t>
            </w:r>
          </w:p>
        </w:tc>
      </w:tr>
      <w:tr w14:paraId="50E26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C4371D"/>
        </w:tc>
        <w:tc>
          <w:tcPr>
            <w:tcW w:w="14033" w:type="dxa"/>
            <w:gridSpan w:val="6"/>
            <w:vAlign w:val="center"/>
          </w:tcPr>
          <w:p w14:paraId="05FF3D4F">
            <w:pPr>
              <w:pStyle w:val="13"/>
            </w:pPr>
            <w:r>
              <w:t>用于提升教学环境，提高教学质量，满足学校正常教学需要。</w:t>
            </w:r>
          </w:p>
        </w:tc>
      </w:tr>
      <w:tr w14:paraId="53508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5A401">
            <w:pPr>
              <w:pStyle w:val="11"/>
            </w:pPr>
            <w:r>
              <w:t>资金支出计划（%）</w:t>
            </w:r>
          </w:p>
        </w:tc>
        <w:tc>
          <w:tcPr>
            <w:tcW w:w="5103" w:type="dxa"/>
            <w:gridSpan w:val="2"/>
            <w:vAlign w:val="center"/>
          </w:tcPr>
          <w:p w14:paraId="2BB6379B">
            <w:pPr>
              <w:pStyle w:val="11"/>
            </w:pPr>
            <w:r>
              <w:t>3月底</w:t>
            </w:r>
          </w:p>
        </w:tc>
        <w:tc>
          <w:tcPr>
            <w:tcW w:w="2835" w:type="dxa"/>
            <w:vAlign w:val="center"/>
          </w:tcPr>
          <w:p w14:paraId="5FEA8498">
            <w:pPr>
              <w:pStyle w:val="11"/>
            </w:pPr>
            <w:r>
              <w:t>6月底</w:t>
            </w:r>
          </w:p>
        </w:tc>
        <w:tc>
          <w:tcPr>
            <w:tcW w:w="2551" w:type="dxa"/>
            <w:vAlign w:val="center"/>
          </w:tcPr>
          <w:p w14:paraId="5EF4D4C0">
            <w:pPr>
              <w:pStyle w:val="11"/>
            </w:pPr>
            <w:r>
              <w:t>10月底</w:t>
            </w:r>
          </w:p>
        </w:tc>
        <w:tc>
          <w:tcPr>
            <w:tcW w:w="3544" w:type="dxa"/>
            <w:gridSpan w:val="2"/>
            <w:vAlign w:val="center"/>
          </w:tcPr>
          <w:p w14:paraId="73912F1D">
            <w:pPr>
              <w:pStyle w:val="11"/>
            </w:pPr>
            <w:r>
              <w:t>12月底</w:t>
            </w:r>
          </w:p>
        </w:tc>
      </w:tr>
      <w:tr w14:paraId="259BE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E30A6"/>
        </w:tc>
        <w:tc>
          <w:tcPr>
            <w:tcW w:w="5103" w:type="dxa"/>
            <w:gridSpan w:val="2"/>
            <w:vAlign w:val="center"/>
          </w:tcPr>
          <w:p w14:paraId="155E8727">
            <w:pPr>
              <w:pStyle w:val="12"/>
            </w:pPr>
            <w:r>
              <w:t xml:space="preserve"> </w:t>
            </w:r>
          </w:p>
        </w:tc>
        <w:tc>
          <w:tcPr>
            <w:tcW w:w="2835" w:type="dxa"/>
            <w:vAlign w:val="center"/>
          </w:tcPr>
          <w:p w14:paraId="6AD78F91">
            <w:pPr>
              <w:pStyle w:val="12"/>
            </w:pPr>
            <w:r>
              <w:t xml:space="preserve"> </w:t>
            </w:r>
          </w:p>
        </w:tc>
        <w:tc>
          <w:tcPr>
            <w:tcW w:w="2551" w:type="dxa"/>
            <w:vAlign w:val="center"/>
          </w:tcPr>
          <w:p w14:paraId="4E97C78D">
            <w:pPr>
              <w:pStyle w:val="12"/>
            </w:pPr>
            <w:r>
              <w:t>100%</w:t>
            </w:r>
          </w:p>
        </w:tc>
        <w:tc>
          <w:tcPr>
            <w:tcW w:w="3544" w:type="dxa"/>
            <w:gridSpan w:val="2"/>
            <w:vAlign w:val="center"/>
          </w:tcPr>
          <w:p w14:paraId="588E8C79">
            <w:pPr>
              <w:pStyle w:val="12"/>
            </w:pPr>
            <w:r>
              <w:t>100%</w:t>
            </w:r>
          </w:p>
        </w:tc>
      </w:tr>
      <w:tr w14:paraId="5AA79E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B68BD4">
            <w:pPr>
              <w:pStyle w:val="11"/>
            </w:pPr>
            <w:r>
              <w:t>绩效目标</w:t>
            </w:r>
          </w:p>
        </w:tc>
        <w:tc>
          <w:tcPr>
            <w:tcW w:w="14033" w:type="dxa"/>
            <w:gridSpan w:val="6"/>
            <w:vAlign w:val="center"/>
          </w:tcPr>
          <w:p w14:paraId="064D9364">
            <w:pPr>
              <w:pStyle w:val="13"/>
            </w:pPr>
            <w:r>
              <w:t>1.提升教学环境，提高教学质量，智慧校园安排购置资金98.1597万元</w:t>
            </w:r>
          </w:p>
        </w:tc>
      </w:tr>
    </w:tbl>
    <w:p w14:paraId="5186E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1F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E850F">
            <w:pPr>
              <w:pStyle w:val="11"/>
            </w:pPr>
            <w:r>
              <w:t>一级指标</w:t>
            </w:r>
          </w:p>
        </w:tc>
        <w:tc>
          <w:tcPr>
            <w:tcW w:w="2268" w:type="dxa"/>
            <w:vAlign w:val="center"/>
          </w:tcPr>
          <w:p w14:paraId="53EF6E7B">
            <w:pPr>
              <w:pStyle w:val="11"/>
            </w:pPr>
            <w:r>
              <w:t>二级指标</w:t>
            </w:r>
          </w:p>
        </w:tc>
        <w:tc>
          <w:tcPr>
            <w:tcW w:w="2835" w:type="dxa"/>
            <w:vAlign w:val="center"/>
          </w:tcPr>
          <w:p w14:paraId="4DD9702E">
            <w:pPr>
              <w:pStyle w:val="11"/>
            </w:pPr>
            <w:r>
              <w:t>三级指标</w:t>
            </w:r>
          </w:p>
        </w:tc>
        <w:tc>
          <w:tcPr>
            <w:tcW w:w="5386" w:type="dxa"/>
            <w:vAlign w:val="center"/>
          </w:tcPr>
          <w:p w14:paraId="6967CBB1">
            <w:pPr>
              <w:pStyle w:val="11"/>
            </w:pPr>
            <w:r>
              <w:t>绩效指标描述</w:t>
            </w:r>
          </w:p>
        </w:tc>
        <w:tc>
          <w:tcPr>
            <w:tcW w:w="2268" w:type="dxa"/>
            <w:vAlign w:val="center"/>
          </w:tcPr>
          <w:p w14:paraId="39F2B076">
            <w:pPr>
              <w:pStyle w:val="11"/>
            </w:pPr>
            <w:r>
              <w:t>指标值</w:t>
            </w:r>
          </w:p>
        </w:tc>
        <w:tc>
          <w:tcPr>
            <w:tcW w:w="1276" w:type="dxa"/>
            <w:vAlign w:val="center"/>
          </w:tcPr>
          <w:p w14:paraId="49B312F6">
            <w:pPr>
              <w:pStyle w:val="11"/>
            </w:pPr>
            <w:r>
              <w:t>指标值确定依据</w:t>
            </w:r>
          </w:p>
        </w:tc>
      </w:tr>
      <w:tr w14:paraId="30BB5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5DFA5">
            <w:pPr>
              <w:pStyle w:val="12"/>
            </w:pPr>
            <w:r>
              <w:t>产出指标</w:t>
            </w:r>
          </w:p>
        </w:tc>
        <w:tc>
          <w:tcPr>
            <w:tcW w:w="2268" w:type="dxa"/>
            <w:vAlign w:val="center"/>
          </w:tcPr>
          <w:p w14:paraId="6672C7A5">
            <w:pPr>
              <w:pStyle w:val="13"/>
            </w:pPr>
            <w:r>
              <w:t>数量指标</w:t>
            </w:r>
          </w:p>
        </w:tc>
        <w:tc>
          <w:tcPr>
            <w:tcW w:w="2835" w:type="dxa"/>
            <w:vAlign w:val="center"/>
          </w:tcPr>
          <w:p w14:paraId="6842C3AD">
            <w:pPr>
              <w:pStyle w:val="13"/>
            </w:pPr>
            <w:r>
              <w:t>购置专用设备</w:t>
            </w:r>
          </w:p>
        </w:tc>
        <w:tc>
          <w:tcPr>
            <w:tcW w:w="5386" w:type="dxa"/>
            <w:vAlign w:val="center"/>
          </w:tcPr>
          <w:p w14:paraId="2EDE6F24">
            <w:pPr>
              <w:pStyle w:val="13"/>
            </w:pPr>
            <w:r>
              <w:t>智慧黑板、食堂用具、专用教室等专用设备购置</w:t>
            </w:r>
          </w:p>
        </w:tc>
        <w:tc>
          <w:tcPr>
            <w:tcW w:w="2268" w:type="dxa"/>
            <w:vAlign w:val="center"/>
          </w:tcPr>
          <w:p w14:paraId="0F11DDBD">
            <w:pPr>
              <w:pStyle w:val="13"/>
            </w:pPr>
            <w:r>
              <w:t>1项</w:t>
            </w:r>
          </w:p>
        </w:tc>
        <w:tc>
          <w:tcPr>
            <w:tcW w:w="1276" w:type="dxa"/>
            <w:vAlign w:val="center"/>
          </w:tcPr>
          <w:p w14:paraId="76481546">
            <w:pPr>
              <w:pStyle w:val="13"/>
            </w:pPr>
            <w:r>
              <w:t>项目规划</w:t>
            </w:r>
          </w:p>
        </w:tc>
      </w:tr>
      <w:tr w14:paraId="16885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FA7BE"/>
        </w:tc>
        <w:tc>
          <w:tcPr>
            <w:tcW w:w="2268" w:type="dxa"/>
            <w:vAlign w:val="center"/>
          </w:tcPr>
          <w:p w14:paraId="5BA77234">
            <w:pPr>
              <w:pStyle w:val="13"/>
            </w:pPr>
            <w:r>
              <w:t>质量指标</w:t>
            </w:r>
          </w:p>
        </w:tc>
        <w:tc>
          <w:tcPr>
            <w:tcW w:w="2835" w:type="dxa"/>
            <w:vAlign w:val="center"/>
          </w:tcPr>
          <w:p w14:paraId="0EBAA8D0">
            <w:pPr>
              <w:pStyle w:val="13"/>
            </w:pPr>
            <w:r>
              <w:t>购置项目质量合格率</w:t>
            </w:r>
          </w:p>
        </w:tc>
        <w:tc>
          <w:tcPr>
            <w:tcW w:w="5386" w:type="dxa"/>
            <w:vAlign w:val="center"/>
          </w:tcPr>
          <w:p w14:paraId="719440A0">
            <w:pPr>
              <w:pStyle w:val="13"/>
            </w:pPr>
            <w:r>
              <w:t>专用设备购置质量合格率</w:t>
            </w:r>
          </w:p>
        </w:tc>
        <w:tc>
          <w:tcPr>
            <w:tcW w:w="2268" w:type="dxa"/>
            <w:vAlign w:val="center"/>
          </w:tcPr>
          <w:p w14:paraId="2E636770">
            <w:pPr>
              <w:pStyle w:val="13"/>
            </w:pPr>
            <w:r>
              <w:t>≥100%</w:t>
            </w:r>
          </w:p>
        </w:tc>
        <w:tc>
          <w:tcPr>
            <w:tcW w:w="1276" w:type="dxa"/>
            <w:vAlign w:val="center"/>
          </w:tcPr>
          <w:p w14:paraId="246E789C">
            <w:pPr>
              <w:pStyle w:val="13"/>
            </w:pPr>
            <w:r>
              <w:t>项目规划</w:t>
            </w:r>
          </w:p>
        </w:tc>
      </w:tr>
      <w:tr w14:paraId="63454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066BC"/>
        </w:tc>
        <w:tc>
          <w:tcPr>
            <w:tcW w:w="2268" w:type="dxa"/>
            <w:vAlign w:val="center"/>
          </w:tcPr>
          <w:p w14:paraId="5E5BC291">
            <w:pPr>
              <w:pStyle w:val="13"/>
            </w:pPr>
            <w:r>
              <w:t>时效指标</w:t>
            </w:r>
          </w:p>
        </w:tc>
        <w:tc>
          <w:tcPr>
            <w:tcW w:w="2835" w:type="dxa"/>
            <w:vAlign w:val="center"/>
          </w:tcPr>
          <w:p w14:paraId="06DDC3BF">
            <w:pPr>
              <w:pStyle w:val="13"/>
            </w:pPr>
            <w:r>
              <w:t>按时完成率</w:t>
            </w:r>
          </w:p>
        </w:tc>
        <w:tc>
          <w:tcPr>
            <w:tcW w:w="5386" w:type="dxa"/>
            <w:vAlign w:val="center"/>
          </w:tcPr>
          <w:p w14:paraId="1F16EFEB">
            <w:pPr>
              <w:pStyle w:val="13"/>
            </w:pPr>
            <w:r>
              <w:t>购置项目按时序进度完成比例</w:t>
            </w:r>
          </w:p>
        </w:tc>
        <w:tc>
          <w:tcPr>
            <w:tcW w:w="2268" w:type="dxa"/>
            <w:vAlign w:val="center"/>
          </w:tcPr>
          <w:p w14:paraId="21526A48">
            <w:pPr>
              <w:pStyle w:val="13"/>
            </w:pPr>
            <w:r>
              <w:t>≥100%</w:t>
            </w:r>
          </w:p>
        </w:tc>
        <w:tc>
          <w:tcPr>
            <w:tcW w:w="1276" w:type="dxa"/>
            <w:vAlign w:val="center"/>
          </w:tcPr>
          <w:p w14:paraId="044EE539">
            <w:pPr>
              <w:pStyle w:val="13"/>
            </w:pPr>
            <w:r>
              <w:t>项目规划</w:t>
            </w:r>
          </w:p>
        </w:tc>
      </w:tr>
      <w:tr w14:paraId="7024A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7B50A"/>
        </w:tc>
        <w:tc>
          <w:tcPr>
            <w:tcW w:w="2268" w:type="dxa"/>
            <w:vAlign w:val="center"/>
          </w:tcPr>
          <w:p w14:paraId="15389627">
            <w:pPr>
              <w:pStyle w:val="13"/>
            </w:pPr>
            <w:r>
              <w:t>成本指标</w:t>
            </w:r>
          </w:p>
        </w:tc>
        <w:tc>
          <w:tcPr>
            <w:tcW w:w="2835" w:type="dxa"/>
            <w:vAlign w:val="center"/>
          </w:tcPr>
          <w:p w14:paraId="7BA80A41">
            <w:pPr>
              <w:pStyle w:val="13"/>
            </w:pPr>
            <w:r>
              <w:t>系统安装成本</w:t>
            </w:r>
          </w:p>
        </w:tc>
        <w:tc>
          <w:tcPr>
            <w:tcW w:w="5386" w:type="dxa"/>
            <w:vAlign w:val="center"/>
          </w:tcPr>
          <w:p w14:paraId="34D6797D">
            <w:pPr>
              <w:pStyle w:val="13"/>
            </w:pPr>
            <w:r>
              <w:t>专用设备购置安装成本</w:t>
            </w:r>
          </w:p>
        </w:tc>
        <w:tc>
          <w:tcPr>
            <w:tcW w:w="2268" w:type="dxa"/>
            <w:vAlign w:val="center"/>
          </w:tcPr>
          <w:p w14:paraId="4F6A03C4">
            <w:pPr>
              <w:pStyle w:val="13"/>
            </w:pPr>
            <w:r>
              <w:t>981597元</w:t>
            </w:r>
          </w:p>
        </w:tc>
        <w:tc>
          <w:tcPr>
            <w:tcW w:w="1276" w:type="dxa"/>
            <w:vAlign w:val="center"/>
          </w:tcPr>
          <w:p w14:paraId="0A4FECC9">
            <w:pPr>
              <w:pStyle w:val="13"/>
            </w:pPr>
            <w:r>
              <w:t>项目规划</w:t>
            </w:r>
          </w:p>
        </w:tc>
      </w:tr>
      <w:tr w14:paraId="27550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B83AB9">
            <w:pPr>
              <w:pStyle w:val="12"/>
            </w:pPr>
            <w:r>
              <w:t>效益指标</w:t>
            </w:r>
          </w:p>
        </w:tc>
        <w:tc>
          <w:tcPr>
            <w:tcW w:w="2268" w:type="dxa"/>
            <w:vAlign w:val="center"/>
          </w:tcPr>
          <w:p w14:paraId="592FB8F1">
            <w:pPr>
              <w:pStyle w:val="13"/>
            </w:pPr>
            <w:r>
              <w:t>可持续影响指标</w:t>
            </w:r>
          </w:p>
        </w:tc>
        <w:tc>
          <w:tcPr>
            <w:tcW w:w="2835" w:type="dxa"/>
            <w:vAlign w:val="center"/>
          </w:tcPr>
          <w:p w14:paraId="6CD04FC1">
            <w:pPr>
              <w:pStyle w:val="13"/>
            </w:pPr>
            <w:r>
              <w:t>学校运转得到提高</w:t>
            </w:r>
          </w:p>
        </w:tc>
        <w:tc>
          <w:tcPr>
            <w:tcW w:w="5386" w:type="dxa"/>
            <w:vAlign w:val="center"/>
          </w:tcPr>
          <w:p w14:paraId="77B7BD9C">
            <w:pPr>
              <w:pStyle w:val="13"/>
            </w:pPr>
            <w:r>
              <w:t>学生受教育年限</w:t>
            </w:r>
          </w:p>
        </w:tc>
        <w:tc>
          <w:tcPr>
            <w:tcW w:w="2268" w:type="dxa"/>
            <w:vAlign w:val="center"/>
          </w:tcPr>
          <w:p w14:paraId="3A234B27">
            <w:pPr>
              <w:pStyle w:val="13"/>
            </w:pPr>
            <w:r>
              <w:t>≥6年</w:t>
            </w:r>
          </w:p>
        </w:tc>
        <w:tc>
          <w:tcPr>
            <w:tcW w:w="1276" w:type="dxa"/>
            <w:vAlign w:val="center"/>
          </w:tcPr>
          <w:p w14:paraId="5F4AED33">
            <w:pPr>
              <w:pStyle w:val="13"/>
            </w:pPr>
            <w:r>
              <w:t>项目规划</w:t>
            </w:r>
          </w:p>
        </w:tc>
      </w:tr>
      <w:tr w14:paraId="6C66E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B6D37A">
            <w:pPr>
              <w:pStyle w:val="12"/>
            </w:pPr>
            <w:r>
              <w:t>满意度指标</w:t>
            </w:r>
          </w:p>
        </w:tc>
        <w:tc>
          <w:tcPr>
            <w:tcW w:w="2268" w:type="dxa"/>
            <w:vAlign w:val="center"/>
          </w:tcPr>
          <w:p w14:paraId="60C3E625">
            <w:pPr>
              <w:pStyle w:val="13"/>
            </w:pPr>
            <w:r>
              <w:t>服务对象满意度指标</w:t>
            </w:r>
          </w:p>
        </w:tc>
        <w:tc>
          <w:tcPr>
            <w:tcW w:w="2835" w:type="dxa"/>
            <w:vAlign w:val="center"/>
          </w:tcPr>
          <w:p w14:paraId="4F56141A">
            <w:pPr>
              <w:pStyle w:val="13"/>
            </w:pPr>
            <w:r>
              <w:t>学生和学生家长满意度</w:t>
            </w:r>
          </w:p>
        </w:tc>
        <w:tc>
          <w:tcPr>
            <w:tcW w:w="5386" w:type="dxa"/>
            <w:vAlign w:val="center"/>
          </w:tcPr>
          <w:p w14:paraId="57AD1082">
            <w:pPr>
              <w:pStyle w:val="13"/>
            </w:pPr>
            <w:r>
              <w:t>大幅提高学生和学生家长满意度</w:t>
            </w:r>
          </w:p>
        </w:tc>
        <w:tc>
          <w:tcPr>
            <w:tcW w:w="2268" w:type="dxa"/>
            <w:vAlign w:val="center"/>
          </w:tcPr>
          <w:p w14:paraId="6A715AED">
            <w:pPr>
              <w:pStyle w:val="13"/>
            </w:pPr>
            <w:r>
              <w:t>≥98%</w:t>
            </w:r>
          </w:p>
        </w:tc>
        <w:tc>
          <w:tcPr>
            <w:tcW w:w="1276" w:type="dxa"/>
            <w:vAlign w:val="center"/>
          </w:tcPr>
          <w:p w14:paraId="1F3BB81B">
            <w:pPr>
              <w:pStyle w:val="13"/>
            </w:pPr>
            <w:r>
              <w:t>项目规划</w:t>
            </w:r>
          </w:p>
        </w:tc>
      </w:tr>
    </w:tbl>
    <w:p w14:paraId="3C8DA4A1">
      <w:pPr>
        <w:sectPr>
          <w:pgSz w:w="16840" w:h="11900" w:orient="landscape"/>
          <w:pgMar w:top="1361" w:right="1020" w:bottom="1134" w:left="1020" w:header="720" w:footer="720" w:gutter="0"/>
          <w:cols w:space="720" w:num="1"/>
        </w:sectPr>
      </w:pPr>
    </w:p>
    <w:p w14:paraId="6947AB38">
      <w:pPr>
        <w:spacing w:before="0" w:after="0"/>
        <w:ind w:firstLine="560"/>
        <w:jc w:val="left"/>
        <w:outlineLvl w:val="9"/>
      </w:pPr>
      <w:r>
        <w:rPr>
          <w:rFonts w:ascii="方正仿宋_GBK" w:hAnsi="方正仿宋_GBK" w:eastAsia="方正仿宋_GBK" w:cs="方正仿宋_GBK"/>
          <w:b/>
          <w:color w:val="000000"/>
          <w:sz w:val="28"/>
        </w:rPr>
        <w:t>11、冀财教[2024]123号/中央/2025年义教补助经费/综合奖补/固城校区固城小学公用经费绩效目标表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E2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378C1">
            <w:pPr>
              <w:pStyle w:val="14"/>
            </w:pPr>
            <w:r>
              <w:t>单位：万元</w:t>
            </w:r>
          </w:p>
        </w:tc>
      </w:tr>
      <w:tr w14:paraId="51B18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F3D56A">
            <w:pPr>
              <w:pStyle w:val="11"/>
            </w:pPr>
            <w:r>
              <w:t>项目编码</w:t>
            </w:r>
          </w:p>
        </w:tc>
        <w:tc>
          <w:tcPr>
            <w:tcW w:w="5103" w:type="dxa"/>
            <w:gridSpan w:val="2"/>
            <w:vAlign w:val="center"/>
          </w:tcPr>
          <w:p w14:paraId="57A98DFB">
            <w:pPr>
              <w:pStyle w:val="13"/>
            </w:pPr>
            <w:r>
              <w:t>13052525P00875610281F</w:t>
            </w:r>
          </w:p>
        </w:tc>
        <w:tc>
          <w:tcPr>
            <w:tcW w:w="2835" w:type="dxa"/>
            <w:vAlign w:val="center"/>
          </w:tcPr>
          <w:p w14:paraId="39984317">
            <w:pPr>
              <w:pStyle w:val="11"/>
            </w:pPr>
            <w:r>
              <w:t>项目名称</w:t>
            </w:r>
          </w:p>
        </w:tc>
        <w:tc>
          <w:tcPr>
            <w:tcW w:w="6095" w:type="dxa"/>
            <w:gridSpan w:val="3"/>
            <w:vAlign w:val="center"/>
          </w:tcPr>
          <w:p w14:paraId="219AE08A">
            <w:pPr>
              <w:pStyle w:val="13"/>
            </w:pPr>
            <w:r>
              <w:t>冀财教[2024]123号/中央/2025年义教补助经费/综合奖补/固城校区固城小学公用经费</w:t>
            </w:r>
          </w:p>
        </w:tc>
      </w:tr>
      <w:tr w14:paraId="5072E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55CCF">
            <w:pPr>
              <w:pStyle w:val="11"/>
            </w:pPr>
            <w:r>
              <w:t>预算规模及资金用途</w:t>
            </w:r>
          </w:p>
        </w:tc>
        <w:tc>
          <w:tcPr>
            <w:tcW w:w="2268" w:type="dxa"/>
            <w:vAlign w:val="center"/>
          </w:tcPr>
          <w:p w14:paraId="0ED5F54C">
            <w:pPr>
              <w:pStyle w:val="11"/>
            </w:pPr>
            <w:r>
              <w:t>预算数</w:t>
            </w:r>
          </w:p>
        </w:tc>
        <w:tc>
          <w:tcPr>
            <w:tcW w:w="2835" w:type="dxa"/>
            <w:vAlign w:val="center"/>
          </w:tcPr>
          <w:p w14:paraId="3107B05A">
            <w:pPr>
              <w:pStyle w:val="13"/>
            </w:pPr>
            <w:r>
              <w:t>2.21</w:t>
            </w:r>
          </w:p>
        </w:tc>
        <w:tc>
          <w:tcPr>
            <w:tcW w:w="2835" w:type="dxa"/>
            <w:vAlign w:val="center"/>
          </w:tcPr>
          <w:p w14:paraId="3A4C6C5F">
            <w:pPr>
              <w:pStyle w:val="11"/>
            </w:pPr>
            <w:r>
              <w:t>其中：财政    资金</w:t>
            </w:r>
          </w:p>
        </w:tc>
        <w:tc>
          <w:tcPr>
            <w:tcW w:w="2551" w:type="dxa"/>
            <w:vAlign w:val="center"/>
          </w:tcPr>
          <w:p w14:paraId="42DC4D59">
            <w:pPr>
              <w:pStyle w:val="13"/>
            </w:pPr>
            <w:r>
              <w:t>2.21</w:t>
            </w:r>
          </w:p>
        </w:tc>
        <w:tc>
          <w:tcPr>
            <w:tcW w:w="2268" w:type="dxa"/>
            <w:vAlign w:val="center"/>
          </w:tcPr>
          <w:p w14:paraId="43CF8707">
            <w:pPr>
              <w:pStyle w:val="11"/>
            </w:pPr>
            <w:r>
              <w:t>其他资金</w:t>
            </w:r>
          </w:p>
        </w:tc>
        <w:tc>
          <w:tcPr>
            <w:tcW w:w="1276" w:type="dxa"/>
            <w:vAlign w:val="center"/>
          </w:tcPr>
          <w:p w14:paraId="7CB3C914">
            <w:pPr>
              <w:pStyle w:val="13"/>
            </w:pPr>
            <w:r>
              <w:t xml:space="preserve"> </w:t>
            </w:r>
          </w:p>
        </w:tc>
      </w:tr>
      <w:tr w14:paraId="607AB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F1114B"/>
        </w:tc>
        <w:tc>
          <w:tcPr>
            <w:tcW w:w="14033" w:type="dxa"/>
            <w:gridSpan w:val="6"/>
            <w:vAlign w:val="center"/>
          </w:tcPr>
          <w:p w14:paraId="4D2B1209">
            <w:pPr>
              <w:pStyle w:val="13"/>
            </w:pPr>
            <w:r>
              <w:t>用于有效完成学校教学安全秩序，保障学校教学任务有效开展，满足学校正常教学需要。</w:t>
            </w:r>
          </w:p>
        </w:tc>
      </w:tr>
      <w:tr w14:paraId="4EC9F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466FC">
            <w:pPr>
              <w:pStyle w:val="11"/>
            </w:pPr>
            <w:r>
              <w:t>资金支出计划（%）</w:t>
            </w:r>
          </w:p>
        </w:tc>
        <w:tc>
          <w:tcPr>
            <w:tcW w:w="5103" w:type="dxa"/>
            <w:gridSpan w:val="2"/>
            <w:vAlign w:val="center"/>
          </w:tcPr>
          <w:p w14:paraId="529036C8">
            <w:pPr>
              <w:pStyle w:val="11"/>
            </w:pPr>
            <w:r>
              <w:t>3月底</w:t>
            </w:r>
          </w:p>
        </w:tc>
        <w:tc>
          <w:tcPr>
            <w:tcW w:w="2835" w:type="dxa"/>
            <w:vAlign w:val="center"/>
          </w:tcPr>
          <w:p w14:paraId="3801B79E">
            <w:pPr>
              <w:pStyle w:val="11"/>
            </w:pPr>
            <w:r>
              <w:t>6月底</w:t>
            </w:r>
          </w:p>
        </w:tc>
        <w:tc>
          <w:tcPr>
            <w:tcW w:w="2551" w:type="dxa"/>
            <w:vAlign w:val="center"/>
          </w:tcPr>
          <w:p w14:paraId="093778E6">
            <w:pPr>
              <w:pStyle w:val="11"/>
            </w:pPr>
            <w:r>
              <w:t>10月底</w:t>
            </w:r>
          </w:p>
        </w:tc>
        <w:tc>
          <w:tcPr>
            <w:tcW w:w="3544" w:type="dxa"/>
            <w:gridSpan w:val="2"/>
            <w:vAlign w:val="center"/>
          </w:tcPr>
          <w:p w14:paraId="1B017DDF">
            <w:pPr>
              <w:pStyle w:val="11"/>
            </w:pPr>
            <w:r>
              <w:t>12月底</w:t>
            </w:r>
          </w:p>
        </w:tc>
      </w:tr>
      <w:tr w14:paraId="1720F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9A186"/>
        </w:tc>
        <w:tc>
          <w:tcPr>
            <w:tcW w:w="5103" w:type="dxa"/>
            <w:gridSpan w:val="2"/>
            <w:vAlign w:val="center"/>
          </w:tcPr>
          <w:p w14:paraId="5DB27B98">
            <w:pPr>
              <w:pStyle w:val="12"/>
            </w:pPr>
            <w:r>
              <w:t xml:space="preserve"> </w:t>
            </w:r>
          </w:p>
        </w:tc>
        <w:tc>
          <w:tcPr>
            <w:tcW w:w="2835" w:type="dxa"/>
            <w:vAlign w:val="center"/>
          </w:tcPr>
          <w:p w14:paraId="507877EF">
            <w:pPr>
              <w:pStyle w:val="12"/>
            </w:pPr>
            <w:r>
              <w:t xml:space="preserve"> </w:t>
            </w:r>
          </w:p>
        </w:tc>
        <w:tc>
          <w:tcPr>
            <w:tcW w:w="2551" w:type="dxa"/>
            <w:vAlign w:val="center"/>
          </w:tcPr>
          <w:p w14:paraId="2354A21F">
            <w:pPr>
              <w:pStyle w:val="12"/>
            </w:pPr>
            <w:r>
              <w:t>100%</w:t>
            </w:r>
          </w:p>
        </w:tc>
        <w:tc>
          <w:tcPr>
            <w:tcW w:w="3544" w:type="dxa"/>
            <w:gridSpan w:val="2"/>
            <w:vAlign w:val="center"/>
          </w:tcPr>
          <w:p w14:paraId="632090A7">
            <w:pPr>
              <w:pStyle w:val="12"/>
            </w:pPr>
            <w:r>
              <w:t>100%</w:t>
            </w:r>
          </w:p>
        </w:tc>
      </w:tr>
      <w:tr w14:paraId="0DE97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961B7">
            <w:pPr>
              <w:pStyle w:val="11"/>
            </w:pPr>
            <w:r>
              <w:t>绩效目标</w:t>
            </w:r>
          </w:p>
        </w:tc>
        <w:tc>
          <w:tcPr>
            <w:tcW w:w="14033" w:type="dxa"/>
            <w:gridSpan w:val="6"/>
            <w:vAlign w:val="center"/>
          </w:tcPr>
          <w:p w14:paraId="126BE8FD">
            <w:pPr>
              <w:pStyle w:val="13"/>
            </w:pPr>
            <w:r>
              <w:t>1.有效完成学校教学安全秩序，保障学校教学任务有效开展，满足学校正常教学需要。</w:t>
            </w:r>
          </w:p>
          <w:p w14:paraId="093D983A">
            <w:pPr>
              <w:pStyle w:val="13"/>
            </w:pPr>
            <w:r>
              <w:t>2.按规定拨付公用经费资金，预算执行率≥98%。</w:t>
            </w:r>
          </w:p>
        </w:tc>
      </w:tr>
    </w:tbl>
    <w:p w14:paraId="291B2E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4A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03612">
            <w:pPr>
              <w:pStyle w:val="11"/>
            </w:pPr>
            <w:r>
              <w:t>一级指标</w:t>
            </w:r>
          </w:p>
        </w:tc>
        <w:tc>
          <w:tcPr>
            <w:tcW w:w="2268" w:type="dxa"/>
            <w:vAlign w:val="center"/>
          </w:tcPr>
          <w:p w14:paraId="4135DA06">
            <w:pPr>
              <w:pStyle w:val="11"/>
            </w:pPr>
            <w:r>
              <w:t>二级指标</w:t>
            </w:r>
          </w:p>
        </w:tc>
        <w:tc>
          <w:tcPr>
            <w:tcW w:w="2835" w:type="dxa"/>
            <w:vAlign w:val="center"/>
          </w:tcPr>
          <w:p w14:paraId="0F1B9F57">
            <w:pPr>
              <w:pStyle w:val="11"/>
            </w:pPr>
            <w:r>
              <w:t>三级指标</w:t>
            </w:r>
          </w:p>
        </w:tc>
        <w:tc>
          <w:tcPr>
            <w:tcW w:w="5386" w:type="dxa"/>
            <w:vAlign w:val="center"/>
          </w:tcPr>
          <w:p w14:paraId="6AE64DDD">
            <w:pPr>
              <w:pStyle w:val="11"/>
            </w:pPr>
            <w:r>
              <w:t>绩效指标描述</w:t>
            </w:r>
          </w:p>
        </w:tc>
        <w:tc>
          <w:tcPr>
            <w:tcW w:w="2268" w:type="dxa"/>
            <w:vAlign w:val="center"/>
          </w:tcPr>
          <w:p w14:paraId="5CF6E426">
            <w:pPr>
              <w:pStyle w:val="11"/>
            </w:pPr>
            <w:r>
              <w:t>指标值</w:t>
            </w:r>
          </w:p>
        </w:tc>
        <w:tc>
          <w:tcPr>
            <w:tcW w:w="1276" w:type="dxa"/>
            <w:vAlign w:val="center"/>
          </w:tcPr>
          <w:p w14:paraId="7BB290B9">
            <w:pPr>
              <w:pStyle w:val="11"/>
            </w:pPr>
            <w:r>
              <w:t>指标值确定依据</w:t>
            </w:r>
          </w:p>
        </w:tc>
      </w:tr>
      <w:tr w14:paraId="55C40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F5030">
            <w:pPr>
              <w:pStyle w:val="12"/>
            </w:pPr>
            <w:r>
              <w:t>产出指标</w:t>
            </w:r>
          </w:p>
        </w:tc>
        <w:tc>
          <w:tcPr>
            <w:tcW w:w="2268" w:type="dxa"/>
            <w:vAlign w:val="center"/>
          </w:tcPr>
          <w:p w14:paraId="08450DAA">
            <w:pPr>
              <w:pStyle w:val="13"/>
            </w:pPr>
            <w:r>
              <w:t>数量指标</w:t>
            </w:r>
          </w:p>
        </w:tc>
        <w:tc>
          <w:tcPr>
            <w:tcW w:w="2835" w:type="dxa"/>
            <w:vAlign w:val="center"/>
          </w:tcPr>
          <w:p w14:paraId="199E398F">
            <w:pPr>
              <w:pStyle w:val="13"/>
            </w:pPr>
            <w:r>
              <w:t>就读学生数</w:t>
            </w:r>
          </w:p>
        </w:tc>
        <w:tc>
          <w:tcPr>
            <w:tcW w:w="5386" w:type="dxa"/>
            <w:vAlign w:val="center"/>
          </w:tcPr>
          <w:p w14:paraId="5543F3A0">
            <w:pPr>
              <w:pStyle w:val="13"/>
            </w:pPr>
            <w:r>
              <w:t>辐射区域内适龄学生人数</w:t>
            </w:r>
          </w:p>
        </w:tc>
        <w:tc>
          <w:tcPr>
            <w:tcW w:w="2268" w:type="dxa"/>
            <w:vAlign w:val="center"/>
          </w:tcPr>
          <w:p w14:paraId="3BB0DAA9">
            <w:pPr>
              <w:pStyle w:val="13"/>
            </w:pPr>
            <w:r>
              <w:t>468人</w:t>
            </w:r>
          </w:p>
        </w:tc>
        <w:tc>
          <w:tcPr>
            <w:tcW w:w="1276" w:type="dxa"/>
            <w:vAlign w:val="center"/>
          </w:tcPr>
          <w:p w14:paraId="4638ED45">
            <w:pPr>
              <w:pStyle w:val="13"/>
            </w:pPr>
            <w:r>
              <w:t>城乡义务教育公用经费管理办法</w:t>
            </w:r>
          </w:p>
        </w:tc>
      </w:tr>
      <w:tr w14:paraId="0DEDF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7E2B2"/>
        </w:tc>
        <w:tc>
          <w:tcPr>
            <w:tcW w:w="2268" w:type="dxa"/>
            <w:vAlign w:val="center"/>
          </w:tcPr>
          <w:p w14:paraId="21184E97">
            <w:pPr>
              <w:pStyle w:val="13"/>
            </w:pPr>
            <w:r>
              <w:t>质量指标</w:t>
            </w:r>
          </w:p>
        </w:tc>
        <w:tc>
          <w:tcPr>
            <w:tcW w:w="2835" w:type="dxa"/>
            <w:vAlign w:val="center"/>
          </w:tcPr>
          <w:p w14:paraId="4F86D6C1">
            <w:pPr>
              <w:pStyle w:val="13"/>
            </w:pPr>
            <w:r>
              <w:t>预算执行率</w:t>
            </w:r>
          </w:p>
        </w:tc>
        <w:tc>
          <w:tcPr>
            <w:tcW w:w="5386" w:type="dxa"/>
            <w:vAlign w:val="center"/>
          </w:tcPr>
          <w:p w14:paraId="26C1A28C">
            <w:pPr>
              <w:pStyle w:val="13"/>
            </w:pPr>
            <w:r>
              <w:t>预算执行率</w:t>
            </w:r>
          </w:p>
        </w:tc>
        <w:tc>
          <w:tcPr>
            <w:tcW w:w="2268" w:type="dxa"/>
            <w:vAlign w:val="center"/>
          </w:tcPr>
          <w:p w14:paraId="2FB85F40">
            <w:pPr>
              <w:pStyle w:val="13"/>
            </w:pPr>
            <w:r>
              <w:t>≥98%</w:t>
            </w:r>
          </w:p>
        </w:tc>
        <w:tc>
          <w:tcPr>
            <w:tcW w:w="1276" w:type="dxa"/>
            <w:vAlign w:val="center"/>
          </w:tcPr>
          <w:p w14:paraId="07F75C96">
            <w:pPr>
              <w:pStyle w:val="13"/>
            </w:pPr>
            <w:r>
              <w:t>城乡义务教育公用经费管理办法</w:t>
            </w:r>
          </w:p>
        </w:tc>
      </w:tr>
      <w:tr w14:paraId="32CEE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1D2B54DB"/>
        </w:tc>
        <w:tc>
          <w:tcPr>
            <w:tcW w:w="2268" w:type="dxa"/>
            <w:vAlign w:val="center"/>
          </w:tcPr>
          <w:p w14:paraId="7E2B2EE6">
            <w:pPr>
              <w:pStyle w:val="13"/>
            </w:pPr>
            <w:r>
              <w:t>时效指标</w:t>
            </w:r>
          </w:p>
        </w:tc>
        <w:tc>
          <w:tcPr>
            <w:tcW w:w="2835" w:type="dxa"/>
            <w:vAlign w:val="center"/>
          </w:tcPr>
          <w:p w14:paraId="1CE15C58">
            <w:pPr>
              <w:pStyle w:val="13"/>
            </w:pPr>
            <w:r>
              <w:t>义教经费支付完成率</w:t>
            </w:r>
          </w:p>
        </w:tc>
        <w:tc>
          <w:tcPr>
            <w:tcW w:w="5386" w:type="dxa"/>
            <w:vAlign w:val="center"/>
          </w:tcPr>
          <w:p w14:paraId="2308A8CA">
            <w:pPr>
              <w:pStyle w:val="13"/>
            </w:pPr>
            <w:r>
              <w:t>按照序时进度完成资金支付</w:t>
            </w:r>
          </w:p>
        </w:tc>
        <w:tc>
          <w:tcPr>
            <w:tcW w:w="2268" w:type="dxa"/>
            <w:vAlign w:val="center"/>
          </w:tcPr>
          <w:p w14:paraId="450ED074">
            <w:pPr>
              <w:pStyle w:val="13"/>
            </w:pPr>
            <w:r>
              <w:t>≥100%</w:t>
            </w:r>
          </w:p>
        </w:tc>
        <w:tc>
          <w:tcPr>
            <w:tcW w:w="1276" w:type="dxa"/>
            <w:vAlign w:val="center"/>
          </w:tcPr>
          <w:p w14:paraId="0CCA9126">
            <w:pPr>
              <w:pStyle w:val="13"/>
            </w:pPr>
            <w:r>
              <w:t>城乡义务教育公用经费管理办法</w:t>
            </w:r>
          </w:p>
        </w:tc>
      </w:tr>
      <w:tr w14:paraId="3693B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C9ED7"/>
        </w:tc>
        <w:tc>
          <w:tcPr>
            <w:tcW w:w="2268" w:type="dxa"/>
            <w:vAlign w:val="center"/>
          </w:tcPr>
          <w:p w14:paraId="02228FBB">
            <w:pPr>
              <w:pStyle w:val="13"/>
            </w:pPr>
            <w:r>
              <w:t>成本指标</w:t>
            </w:r>
          </w:p>
        </w:tc>
        <w:tc>
          <w:tcPr>
            <w:tcW w:w="2835" w:type="dxa"/>
            <w:vAlign w:val="center"/>
          </w:tcPr>
          <w:p w14:paraId="3E5A4EE8">
            <w:pPr>
              <w:pStyle w:val="13"/>
            </w:pPr>
            <w:r>
              <w:t>生均拨款标准</w:t>
            </w:r>
          </w:p>
        </w:tc>
        <w:tc>
          <w:tcPr>
            <w:tcW w:w="5386" w:type="dxa"/>
            <w:vAlign w:val="center"/>
          </w:tcPr>
          <w:p w14:paraId="4C99F555">
            <w:pPr>
              <w:pStyle w:val="13"/>
            </w:pPr>
            <w:r>
              <w:t>小学：（基本标准720元、寄宿生300元、生活补助120元）/生/学年；特教、随班就读学生：标准7000元/生/学年</w:t>
            </w:r>
          </w:p>
        </w:tc>
        <w:tc>
          <w:tcPr>
            <w:tcW w:w="2268" w:type="dxa"/>
            <w:vAlign w:val="center"/>
          </w:tcPr>
          <w:p w14:paraId="189CFF92">
            <w:pPr>
              <w:pStyle w:val="13"/>
            </w:pPr>
            <w:r>
              <w:t>≥840元</w:t>
            </w:r>
          </w:p>
        </w:tc>
        <w:tc>
          <w:tcPr>
            <w:tcW w:w="1276" w:type="dxa"/>
            <w:vAlign w:val="center"/>
          </w:tcPr>
          <w:p w14:paraId="1ECF1EC9">
            <w:pPr>
              <w:pStyle w:val="13"/>
            </w:pPr>
            <w:r>
              <w:t>城乡义务教育公用经费管理办法</w:t>
            </w:r>
          </w:p>
        </w:tc>
      </w:tr>
      <w:tr w14:paraId="1EBE4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102DDBFB">
            <w:pPr>
              <w:pStyle w:val="12"/>
            </w:pPr>
            <w:r>
              <w:t>效益指标</w:t>
            </w:r>
          </w:p>
        </w:tc>
        <w:tc>
          <w:tcPr>
            <w:tcW w:w="2268" w:type="dxa"/>
            <w:vAlign w:val="center"/>
          </w:tcPr>
          <w:p w14:paraId="280695A7">
            <w:pPr>
              <w:pStyle w:val="13"/>
            </w:pPr>
            <w:r>
              <w:t>社会效益指标</w:t>
            </w:r>
          </w:p>
        </w:tc>
        <w:tc>
          <w:tcPr>
            <w:tcW w:w="2835" w:type="dxa"/>
            <w:vAlign w:val="center"/>
          </w:tcPr>
          <w:p w14:paraId="79136E23">
            <w:pPr>
              <w:pStyle w:val="13"/>
            </w:pPr>
            <w:r>
              <w:t>学校稳定率</w:t>
            </w:r>
          </w:p>
        </w:tc>
        <w:tc>
          <w:tcPr>
            <w:tcW w:w="5386" w:type="dxa"/>
            <w:vAlign w:val="center"/>
          </w:tcPr>
          <w:p w14:paraId="5FA4D59B">
            <w:pPr>
              <w:pStyle w:val="13"/>
            </w:pPr>
            <w:r>
              <w:t>维护学校稳定，保障学校正常教学秩序有效开展</w:t>
            </w:r>
          </w:p>
        </w:tc>
        <w:tc>
          <w:tcPr>
            <w:tcW w:w="2268" w:type="dxa"/>
            <w:vAlign w:val="center"/>
          </w:tcPr>
          <w:p w14:paraId="01F6EF74">
            <w:pPr>
              <w:pStyle w:val="13"/>
            </w:pPr>
            <w:r>
              <w:t>100%</w:t>
            </w:r>
          </w:p>
        </w:tc>
        <w:tc>
          <w:tcPr>
            <w:tcW w:w="1276" w:type="dxa"/>
            <w:vAlign w:val="center"/>
          </w:tcPr>
          <w:p w14:paraId="608CD68E">
            <w:pPr>
              <w:pStyle w:val="13"/>
            </w:pPr>
            <w:r>
              <w:t>城乡义务教育公用经费管理办法</w:t>
            </w:r>
          </w:p>
        </w:tc>
      </w:tr>
      <w:tr w14:paraId="2DF3A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81CC9E">
            <w:pPr>
              <w:pStyle w:val="12"/>
            </w:pPr>
            <w:r>
              <w:t>满意度指标</w:t>
            </w:r>
          </w:p>
        </w:tc>
        <w:tc>
          <w:tcPr>
            <w:tcW w:w="2268" w:type="dxa"/>
            <w:vAlign w:val="center"/>
          </w:tcPr>
          <w:p w14:paraId="2928D596">
            <w:pPr>
              <w:pStyle w:val="13"/>
            </w:pPr>
            <w:r>
              <w:t>服务对象满意度指标</w:t>
            </w:r>
          </w:p>
        </w:tc>
        <w:tc>
          <w:tcPr>
            <w:tcW w:w="2835" w:type="dxa"/>
            <w:vAlign w:val="center"/>
          </w:tcPr>
          <w:p w14:paraId="175F928F">
            <w:pPr>
              <w:pStyle w:val="13"/>
            </w:pPr>
            <w:r>
              <w:t>家长和学生满意度</w:t>
            </w:r>
          </w:p>
        </w:tc>
        <w:tc>
          <w:tcPr>
            <w:tcW w:w="5386" w:type="dxa"/>
            <w:vAlign w:val="center"/>
          </w:tcPr>
          <w:p w14:paraId="7BC0D421">
            <w:pPr>
              <w:pStyle w:val="13"/>
            </w:pPr>
            <w:r>
              <w:t>家长和学生满意度</w:t>
            </w:r>
          </w:p>
        </w:tc>
        <w:tc>
          <w:tcPr>
            <w:tcW w:w="2268" w:type="dxa"/>
            <w:vAlign w:val="center"/>
          </w:tcPr>
          <w:p w14:paraId="56D0033F">
            <w:pPr>
              <w:pStyle w:val="13"/>
            </w:pPr>
            <w:r>
              <w:t>≥95%</w:t>
            </w:r>
          </w:p>
        </w:tc>
        <w:tc>
          <w:tcPr>
            <w:tcW w:w="1276" w:type="dxa"/>
            <w:vAlign w:val="center"/>
          </w:tcPr>
          <w:p w14:paraId="233CF113">
            <w:pPr>
              <w:pStyle w:val="13"/>
            </w:pPr>
            <w:r>
              <w:t>问卷调查</w:t>
            </w:r>
          </w:p>
        </w:tc>
      </w:tr>
    </w:tbl>
    <w:p w14:paraId="649E063E">
      <w:pPr>
        <w:sectPr>
          <w:pgSz w:w="16840" w:h="11900" w:orient="landscape"/>
          <w:pgMar w:top="1361" w:right="1020" w:bottom="1134" w:left="1020" w:header="720" w:footer="720" w:gutter="0"/>
          <w:cols w:space="720" w:num="1"/>
        </w:sectPr>
      </w:pPr>
    </w:p>
    <w:p w14:paraId="20E6594C">
      <w:pPr>
        <w:spacing w:before="0" w:after="0"/>
        <w:ind w:firstLine="560"/>
        <w:jc w:val="left"/>
        <w:outlineLvl w:val="9"/>
      </w:pPr>
      <w:r>
        <w:rPr>
          <w:rFonts w:ascii="方正仿宋_GBK" w:hAnsi="方正仿宋_GBK" w:eastAsia="方正仿宋_GBK" w:cs="方正仿宋_GBK"/>
          <w:b/>
          <w:color w:val="000000"/>
          <w:sz w:val="28"/>
        </w:rPr>
        <w:t>12、冀财教[2024]123号/中央/2025年义教补助经费/综合奖补/小孟小学变压器购置绩效目标表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7B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02674">
            <w:pPr>
              <w:pStyle w:val="14"/>
            </w:pPr>
            <w:r>
              <w:t>单位：万元</w:t>
            </w:r>
          </w:p>
        </w:tc>
      </w:tr>
      <w:tr w14:paraId="09A19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5AC54">
            <w:pPr>
              <w:pStyle w:val="11"/>
            </w:pPr>
            <w:r>
              <w:t>项目编码</w:t>
            </w:r>
          </w:p>
        </w:tc>
        <w:tc>
          <w:tcPr>
            <w:tcW w:w="5103" w:type="dxa"/>
            <w:gridSpan w:val="2"/>
            <w:vAlign w:val="center"/>
          </w:tcPr>
          <w:p w14:paraId="63507D32">
            <w:pPr>
              <w:pStyle w:val="13"/>
            </w:pPr>
            <w:r>
              <w:t>13052525P008756102462</w:t>
            </w:r>
          </w:p>
        </w:tc>
        <w:tc>
          <w:tcPr>
            <w:tcW w:w="2835" w:type="dxa"/>
            <w:vAlign w:val="center"/>
          </w:tcPr>
          <w:p w14:paraId="017979F7">
            <w:pPr>
              <w:pStyle w:val="11"/>
            </w:pPr>
            <w:r>
              <w:t>项目名称</w:t>
            </w:r>
          </w:p>
        </w:tc>
        <w:tc>
          <w:tcPr>
            <w:tcW w:w="6095" w:type="dxa"/>
            <w:gridSpan w:val="3"/>
            <w:vAlign w:val="center"/>
          </w:tcPr>
          <w:p w14:paraId="2E597018">
            <w:pPr>
              <w:pStyle w:val="13"/>
            </w:pPr>
            <w:r>
              <w:t>冀财教[2024]123号/中央/2025年义教补助经费/综合奖补/小孟小学变压器购置</w:t>
            </w:r>
          </w:p>
        </w:tc>
      </w:tr>
      <w:tr w14:paraId="57130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A8C92">
            <w:pPr>
              <w:pStyle w:val="11"/>
            </w:pPr>
            <w:r>
              <w:t>预算规模及资金用途</w:t>
            </w:r>
          </w:p>
        </w:tc>
        <w:tc>
          <w:tcPr>
            <w:tcW w:w="2268" w:type="dxa"/>
            <w:vAlign w:val="center"/>
          </w:tcPr>
          <w:p w14:paraId="5023FED4">
            <w:pPr>
              <w:pStyle w:val="11"/>
            </w:pPr>
            <w:r>
              <w:t>预算数</w:t>
            </w:r>
          </w:p>
        </w:tc>
        <w:tc>
          <w:tcPr>
            <w:tcW w:w="2835" w:type="dxa"/>
            <w:vAlign w:val="center"/>
          </w:tcPr>
          <w:p w14:paraId="104550A9">
            <w:pPr>
              <w:pStyle w:val="13"/>
            </w:pPr>
            <w:r>
              <w:t>13.00</w:t>
            </w:r>
          </w:p>
        </w:tc>
        <w:tc>
          <w:tcPr>
            <w:tcW w:w="2835" w:type="dxa"/>
            <w:vAlign w:val="center"/>
          </w:tcPr>
          <w:p w14:paraId="2F1BC63F">
            <w:pPr>
              <w:pStyle w:val="11"/>
            </w:pPr>
            <w:r>
              <w:t>其中：财政    资金</w:t>
            </w:r>
          </w:p>
        </w:tc>
        <w:tc>
          <w:tcPr>
            <w:tcW w:w="2551" w:type="dxa"/>
            <w:vAlign w:val="center"/>
          </w:tcPr>
          <w:p w14:paraId="35627622">
            <w:pPr>
              <w:pStyle w:val="13"/>
            </w:pPr>
            <w:r>
              <w:t>13.00</w:t>
            </w:r>
          </w:p>
        </w:tc>
        <w:tc>
          <w:tcPr>
            <w:tcW w:w="2268" w:type="dxa"/>
            <w:vAlign w:val="center"/>
          </w:tcPr>
          <w:p w14:paraId="05142BF7">
            <w:pPr>
              <w:pStyle w:val="11"/>
            </w:pPr>
            <w:r>
              <w:t>其他资金</w:t>
            </w:r>
          </w:p>
        </w:tc>
        <w:tc>
          <w:tcPr>
            <w:tcW w:w="1276" w:type="dxa"/>
            <w:vAlign w:val="center"/>
          </w:tcPr>
          <w:p w14:paraId="6449BB35">
            <w:pPr>
              <w:pStyle w:val="13"/>
            </w:pPr>
            <w:r>
              <w:t xml:space="preserve"> </w:t>
            </w:r>
          </w:p>
        </w:tc>
      </w:tr>
      <w:tr w14:paraId="34C6C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80F18A"/>
        </w:tc>
        <w:tc>
          <w:tcPr>
            <w:tcW w:w="14033" w:type="dxa"/>
            <w:gridSpan w:val="6"/>
            <w:vAlign w:val="center"/>
          </w:tcPr>
          <w:p w14:paraId="53C81883">
            <w:pPr>
              <w:pStyle w:val="13"/>
            </w:pPr>
            <w:r>
              <w:t>用于保障学校用电，提升教学整体质量，从而进一步提高教学水平</w:t>
            </w:r>
            <w:r>
              <w:tab/>
            </w:r>
          </w:p>
        </w:tc>
      </w:tr>
      <w:tr w14:paraId="13E76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BD88F">
            <w:pPr>
              <w:pStyle w:val="11"/>
            </w:pPr>
            <w:r>
              <w:t>资金支出计划（%）</w:t>
            </w:r>
          </w:p>
        </w:tc>
        <w:tc>
          <w:tcPr>
            <w:tcW w:w="5103" w:type="dxa"/>
            <w:gridSpan w:val="2"/>
            <w:vAlign w:val="center"/>
          </w:tcPr>
          <w:p w14:paraId="3F565D3C">
            <w:pPr>
              <w:pStyle w:val="11"/>
            </w:pPr>
            <w:r>
              <w:t>3月底</w:t>
            </w:r>
          </w:p>
        </w:tc>
        <w:tc>
          <w:tcPr>
            <w:tcW w:w="2835" w:type="dxa"/>
            <w:vAlign w:val="center"/>
          </w:tcPr>
          <w:p w14:paraId="7EB6AAD2">
            <w:pPr>
              <w:pStyle w:val="11"/>
            </w:pPr>
            <w:r>
              <w:t>6月底</w:t>
            </w:r>
          </w:p>
        </w:tc>
        <w:tc>
          <w:tcPr>
            <w:tcW w:w="2551" w:type="dxa"/>
            <w:vAlign w:val="center"/>
          </w:tcPr>
          <w:p w14:paraId="769B4CF0">
            <w:pPr>
              <w:pStyle w:val="11"/>
            </w:pPr>
            <w:r>
              <w:t>10月底</w:t>
            </w:r>
          </w:p>
        </w:tc>
        <w:tc>
          <w:tcPr>
            <w:tcW w:w="3544" w:type="dxa"/>
            <w:gridSpan w:val="2"/>
            <w:vAlign w:val="center"/>
          </w:tcPr>
          <w:p w14:paraId="49D053C5">
            <w:pPr>
              <w:pStyle w:val="11"/>
            </w:pPr>
            <w:r>
              <w:t>12月底</w:t>
            </w:r>
          </w:p>
        </w:tc>
      </w:tr>
      <w:tr w14:paraId="2FC71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2DB08"/>
        </w:tc>
        <w:tc>
          <w:tcPr>
            <w:tcW w:w="5103" w:type="dxa"/>
            <w:gridSpan w:val="2"/>
            <w:vAlign w:val="center"/>
          </w:tcPr>
          <w:p w14:paraId="0E25C087">
            <w:pPr>
              <w:pStyle w:val="12"/>
            </w:pPr>
            <w:r>
              <w:t xml:space="preserve"> </w:t>
            </w:r>
          </w:p>
        </w:tc>
        <w:tc>
          <w:tcPr>
            <w:tcW w:w="2835" w:type="dxa"/>
            <w:vAlign w:val="center"/>
          </w:tcPr>
          <w:p w14:paraId="23B69957">
            <w:pPr>
              <w:pStyle w:val="12"/>
            </w:pPr>
            <w:r>
              <w:t xml:space="preserve"> </w:t>
            </w:r>
          </w:p>
        </w:tc>
        <w:tc>
          <w:tcPr>
            <w:tcW w:w="2551" w:type="dxa"/>
            <w:vAlign w:val="center"/>
          </w:tcPr>
          <w:p w14:paraId="415AB402">
            <w:pPr>
              <w:pStyle w:val="12"/>
            </w:pPr>
            <w:r>
              <w:t>100%</w:t>
            </w:r>
          </w:p>
        </w:tc>
        <w:tc>
          <w:tcPr>
            <w:tcW w:w="3544" w:type="dxa"/>
            <w:gridSpan w:val="2"/>
            <w:vAlign w:val="center"/>
          </w:tcPr>
          <w:p w14:paraId="5F183983">
            <w:pPr>
              <w:pStyle w:val="12"/>
            </w:pPr>
            <w:r>
              <w:t>100%</w:t>
            </w:r>
          </w:p>
        </w:tc>
      </w:tr>
      <w:tr w14:paraId="60BC4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B337D">
            <w:pPr>
              <w:pStyle w:val="11"/>
            </w:pPr>
            <w:r>
              <w:t>绩效目标</w:t>
            </w:r>
          </w:p>
        </w:tc>
        <w:tc>
          <w:tcPr>
            <w:tcW w:w="14033" w:type="dxa"/>
            <w:gridSpan w:val="6"/>
            <w:vAlign w:val="center"/>
          </w:tcPr>
          <w:p w14:paraId="1167E506">
            <w:pPr>
              <w:pStyle w:val="13"/>
            </w:pPr>
            <w:r>
              <w:t>1.保障学校用电，提升教学整体质量，从而进一步提高教学水平</w:t>
            </w:r>
            <w:r>
              <w:tab/>
            </w:r>
          </w:p>
          <w:p w14:paraId="36285F01">
            <w:pPr>
              <w:pStyle w:val="13"/>
            </w:pPr>
          </w:p>
        </w:tc>
      </w:tr>
    </w:tbl>
    <w:p w14:paraId="7A5CBB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6B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131EA">
            <w:pPr>
              <w:pStyle w:val="11"/>
            </w:pPr>
            <w:r>
              <w:t>一级指标</w:t>
            </w:r>
          </w:p>
        </w:tc>
        <w:tc>
          <w:tcPr>
            <w:tcW w:w="2268" w:type="dxa"/>
            <w:vAlign w:val="center"/>
          </w:tcPr>
          <w:p w14:paraId="48A48820">
            <w:pPr>
              <w:pStyle w:val="11"/>
            </w:pPr>
            <w:r>
              <w:t>二级指标</w:t>
            </w:r>
          </w:p>
        </w:tc>
        <w:tc>
          <w:tcPr>
            <w:tcW w:w="2835" w:type="dxa"/>
            <w:vAlign w:val="center"/>
          </w:tcPr>
          <w:p w14:paraId="33C0C81A">
            <w:pPr>
              <w:pStyle w:val="11"/>
            </w:pPr>
            <w:r>
              <w:t>三级指标</w:t>
            </w:r>
          </w:p>
        </w:tc>
        <w:tc>
          <w:tcPr>
            <w:tcW w:w="5386" w:type="dxa"/>
            <w:vAlign w:val="center"/>
          </w:tcPr>
          <w:p w14:paraId="4FBF2101">
            <w:pPr>
              <w:pStyle w:val="11"/>
            </w:pPr>
            <w:r>
              <w:t>绩效指标描述</w:t>
            </w:r>
          </w:p>
        </w:tc>
        <w:tc>
          <w:tcPr>
            <w:tcW w:w="2268" w:type="dxa"/>
            <w:vAlign w:val="center"/>
          </w:tcPr>
          <w:p w14:paraId="0146EE1A">
            <w:pPr>
              <w:pStyle w:val="11"/>
            </w:pPr>
            <w:r>
              <w:t>指标值</w:t>
            </w:r>
          </w:p>
        </w:tc>
        <w:tc>
          <w:tcPr>
            <w:tcW w:w="1276" w:type="dxa"/>
            <w:vAlign w:val="center"/>
          </w:tcPr>
          <w:p w14:paraId="4000E180">
            <w:pPr>
              <w:pStyle w:val="11"/>
            </w:pPr>
            <w:r>
              <w:t>指标值确定依据</w:t>
            </w:r>
          </w:p>
        </w:tc>
      </w:tr>
      <w:tr w14:paraId="73500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AC4DE">
            <w:pPr>
              <w:pStyle w:val="12"/>
            </w:pPr>
            <w:r>
              <w:t>产出指标</w:t>
            </w:r>
          </w:p>
        </w:tc>
        <w:tc>
          <w:tcPr>
            <w:tcW w:w="2268" w:type="dxa"/>
            <w:vAlign w:val="center"/>
          </w:tcPr>
          <w:p w14:paraId="5ED1EB64">
            <w:pPr>
              <w:pStyle w:val="13"/>
            </w:pPr>
            <w:r>
              <w:t>数量指标</w:t>
            </w:r>
          </w:p>
        </w:tc>
        <w:tc>
          <w:tcPr>
            <w:tcW w:w="2835" w:type="dxa"/>
            <w:vAlign w:val="center"/>
          </w:tcPr>
          <w:p w14:paraId="67BE35C0">
            <w:pPr>
              <w:pStyle w:val="13"/>
            </w:pPr>
            <w:r>
              <w:t>购置变压器</w:t>
            </w:r>
          </w:p>
        </w:tc>
        <w:tc>
          <w:tcPr>
            <w:tcW w:w="5386" w:type="dxa"/>
            <w:vAlign w:val="center"/>
          </w:tcPr>
          <w:p w14:paraId="2F3B2D2C">
            <w:pPr>
              <w:pStyle w:val="13"/>
            </w:pPr>
            <w:r>
              <w:t>购置变压器一台</w:t>
            </w:r>
          </w:p>
        </w:tc>
        <w:tc>
          <w:tcPr>
            <w:tcW w:w="2268" w:type="dxa"/>
            <w:vAlign w:val="center"/>
          </w:tcPr>
          <w:p w14:paraId="7D2B327A">
            <w:pPr>
              <w:pStyle w:val="13"/>
            </w:pPr>
            <w:r>
              <w:t>1台</w:t>
            </w:r>
          </w:p>
        </w:tc>
        <w:tc>
          <w:tcPr>
            <w:tcW w:w="1276" w:type="dxa"/>
            <w:vAlign w:val="center"/>
          </w:tcPr>
          <w:p w14:paraId="2130006F">
            <w:pPr>
              <w:pStyle w:val="13"/>
            </w:pPr>
            <w:r>
              <w:t>项目规划</w:t>
            </w:r>
          </w:p>
        </w:tc>
      </w:tr>
      <w:tr w14:paraId="1C66D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4F80C"/>
        </w:tc>
        <w:tc>
          <w:tcPr>
            <w:tcW w:w="2268" w:type="dxa"/>
            <w:vAlign w:val="center"/>
          </w:tcPr>
          <w:p w14:paraId="16AA4E83">
            <w:pPr>
              <w:pStyle w:val="13"/>
            </w:pPr>
            <w:r>
              <w:t>质量指标</w:t>
            </w:r>
          </w:p>
        </w:tc>
        <w:tc>
          <w:tcPr>
            <w:tcW w:w="2835" w:type="dxa"/>
            <w:vAlign w:val="center"/>
          </w:tcPr>
          <w:p w14:paraId="1482318A">
            <w:pPr>
              <w:pStyle w:val="13"/>
            </w:pPr>
            <w:r>
              <w:t>购置设备收合格完成率</w:t>
            </w:r>
          </w:p>
        </w:tc>
        <w:tc>
          <w:tcPr>
            <w:tcW w:w="5386" w:type="dxa"/>
            <w:vAlign w:val="center"/>
          </w:tcPr>
          <w:p w14:paraId="664FB852">
            <w:pPr>
              <w:pStyle w:val="13"/>
            </w:pPr>
            <w:r>
              <w:t>学校购置设备数量与计划购置数量之比</w:t>
            </w:r>
          </w:p>
        </w:tc>
        <w:tc>
          <w:tcPr>
            <w:tcW w:w="2268" w:type="dxa"/>
            <w:vAlign w:val="center"/>
          </w:tcPr>
          <w:p w14:paraId="1496B0A9">
            <w:pPr>
              <w:pStyle w:val="13"/>
            </w:pPr>
            <w:r>
              <w:t>≥100%</w:t>
            </w:r>
          </w:p>
        </w:tc>
        <w:tc>
          <w:tcPr>
            <w:tcW w:w="1276" w:type="dxa"/>
            <w:vAlign w:val="center"/>
          </w:tcPr>
          <w:p w14:paraId="5AE16B24">
            <w:pPr>
              <w:pStyle w:val="13"/>
            </w:pPr>
            <w:r>
              <w:t>项目规划</w:t>
            </w:r>
          </w:p>
        </w:tc>
      </w:tr>
      <w:tr w14:paraId="57B3C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9FCE7"/>
        </w:tc>
        <w:tc>
          <w:tcPr>
            <w:tcW w:w="2268" w:type="dxa"/>
            <w:vAlign w:val="center"/>
          </w:tcPr>
          <w:p w14:paraId="41FA46B5">
            <w:pPr>
              <w:pStyle w:val="13"/>
            </w:pPr>
            <w:r>
              <w:t>时效指标</w:t>
            </w:r>
          </w:p>
        </w:tc>
        <w:tc>
          <w:tcPr>
            <w:tcW w:w="2835" w:type="dxa"/>
            <w:vAlign w:val="center"/>
          </w:tcPr>
          <w:p w14:paraId="4F069998">
            <w:pPr>
              <w:pStyle w:val="13"/>
            </w:pPr>
            <w:r>
              <w:t>购置设备完成率</w:t>
            </w:r>
          </w:p>
        </w:tc>
        <w:tc>
          <w:tcPr>
            <w:tcW w:w="5386" w:type="dxa"/>
            <w:vAlign w:val="center"/>
          </w:tcPr>
          <w:p w14:paraId="499F35C6">
            <w:pPr>
              <w:pStyle w:val="13"/>
            </w:pPr>
            <w:r>
              <w:t>学校购置设备完成情况</w:t>
            </w:r>
          </w:p>
        </w:tc>
        <w:tc>
          <w:tcPr>
            <w:tcW w:w="2268" w:type="dxa"/>
            <w:vAlign w:val="center"/>
          </w:tcPr>
          <w:p w14:paraId="2A625E05">
            <w:pPr>
              <w:pStyle w:val="13"/>
            </w:pPr>
            <w:r>
              <w:t>≥100%</w:t>
            </w:r>
          </w:p>
        </w:tc>
        <w:tc>
          <w:tcPr>
            <w:tcW w:w="1276" w:type="dxa"/>
            <w:vAlign w:val="center"/>
          </w:tcPr>
          <w:p w14:paraId="27E9AE13">
            <w:pPr>
              <w:pStyle w:val="13"/>
            </w:pPr>
            <w:r>
              <w:t>项目规划</w:t>
            </w:r>
          </w:p>
        </w:tc>
      </w:tr>
      <w:tr w14:paraId="23F52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38106"/>
        </w:tc>
        <w:tc>
          <w:tcPr>
            <w:tcW w:w="2268" w:type="dxa"/>
            <w:vAlign w:val="center"/>
          </w:tcPr>
          <w:p w14:paraId="49A54BC3">
            <w:pPr>
              <w:pStyle w:val="13"/>
            </w:pPr>
            <w:r>
              <w:t>成本指标</w:t>
            </w:r>
          </w:p>
        </w:tc>
        <w:tc>
          <w:tcPr>
            <w:tcW w:w="2835" w:type="dxa"/>
            <w:vAlign w:val="center"/>
          </w:tcPr>
          <w:p w14:paraId="3DE7F3B9">
            <w:pPr>
              <w:pStyle w:val="13"/>
            </w:pPr>
            <w:r>
              <w:t>购置设备成本</w:t>
            </w:r>
          </w:p>
        </w:tc>
        <w:tc>
          <w:tcPr>
            <w:tcW w:w="5386" w:type="dxa"/>
            <w:vAlign w:val="center"/>
          </w:tcPr>
          <w:p w14:paraId="7B891D22">
            <w:pPr>
              <w:pStyle w:val="13"/>
            </w:pPr>
            <w:r>
              <w:t>用于学校购置设备的资金投入</w:t>
            </w:r>
          </w:p>
        </w:tc>
        <w:tc>
          <w:tcPr>
            <w:tcW w:w="2268" w:type="dxa"/>
            <w:vAlign w:val="center"/>
          </w:tcPr>
          <w:p w14:paraId="3A26F1DD">
            <w:pPr>
              <w:pStyle w:val="13"/>
            </w:pPr>
            <w:r>
              <w:t>13万元</w:t>
            </w:r>
          </w:p>
        </w:tc>
        <w:tc>
          <w:tcPr>
            <w:tcW w:w="1276" w:type="dxa"/>
            <w:vAlign w:val="center"/>
          </w:tcPr>
          <w:p w14:paraId="7F0CB74B">
            <w:pPr>
              <w:pStyle w:val="13"/>
            </w:pPr>
            <w:r>
              <w:t>项目规划</w:t>
            </w:r>
          </w:p>
        </w:tc>
      </w:tr>
      <w:tr w14:paraId="1F94F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BB1680">
            <w:pPr>
              <w:pStyle w:val="12"/>
            </w:pPr>
            <w:r>
              <w:t>效益指标</w:t>
            </w:r>
          </w:p>
        </w:tc>
        <w:tc>
          <w:tcPr>
            <w:tcW w:w="2268" w:type="dxa"/>
            <w:vAlign w:val="center"/>
          </w:tcPr>
          <w:p w14:paraId="1A1EFA51">
            <w:pPr>
              <w:pStyle w:val="13"/>
            </w:pPr>
            <w:r>
              <w:t>可持续影响指标</w:t>
            </w:r>
          </w:p>
        </w:tc>
        <w:tc>
          <w:tcPr>
            <w:tcW w:w="2835" w:type="dxa"/>
            <w:vAlign w:val="center"/>
          </w:tcPr>
          <w:p w14:paraId="0C7FD813">
            <w:pPr>
              <w:pStyle w:val="13"/>
            </w:pPr>
            <w:r>
              <w:t>提高用电</w:t>
            </w:r>
          </w:p>
        </w:tc>
        <w:tc>
          <w:tcPr>
            <w:tcW w:w="5386" w:type="dxa"/>
            <w:vAlign w:val="center"/>
          </w:tcPr>
          <w:p w14:paraId="24EE8ED7">
            <w:pPr>
              <w:pStyle w:val="13"/>
            </w:pPr>
            <w:r>
              <w:t>保障学校用电年限</w:t>
            </w:r>
          </w:p>
        </w:tc>
        <w:tc>
          <w:tcPr>
            <w:tcW w:w="2268" w:type="dxa"/>
            <w:vAlign w:val="center"/>
          </w:tcPr>
          <w:p w14:paraId="1AA84C18">
            <w:pPr>
              <w:pStyle w:val="13"/>
            </w:pPr>
            <w:r>
              <w:t>≥15年</w:t>
            </w:r>
          </w:p>
        </w:tc>
        <w:tc>
          <w:tcPr>
            <w:tcW w:w="1276" w:type="dxa"/>
            <w:vAlign w:val="center"/>
          </w:tcPr>
          <w:p w14:paraId="361B24A6">
            <w:pPr>
              <w:pStyle w:val="13"/>
            </w:pPr>
            <w:r>
              <w:t>项目规划</w:t>
            </w:r>
          </w:p>
        </w:tc>
      </w:tr>
      <w:tr w14:paraId="5F0F4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FCA766">
            <w:pPr>
              <w:pStyle w:val="12"/>
            </w:pPr>
            <w:r>
              <w:t>满意度指标</w:t>
            </w:r>
          </w:p>
        </w:tc>
        <w:tc>
          <w:tcPr>
            <w:tcW w:w="2268" w:type="dxa"/>
            <w:vAlign w:val="center"/>
          </w:tcPr>
          <w:p w14:paraId="5E08B902">
            <w:pPr>
              <w:pStyle w:val="13"/>
            </w:pPr>
            <w:r>
              <w:t>服务对象满意度指标</w:t>
            </w:r>
          </w:p>
        </w:tc>
        <w:tc>
          <w:tcPr>
            <w:tcW w:w="2835" w:type="dxa"/>
            <w:vAlign w:val="center"/>
          </w:tcPr>
          <w:p w14:paraId="1BA484FC">
            <w:pPr>
              <w:pStyle w:val="13"/>
            </w:pPr>
            <w:r>
              <w:t>学生满意度</w:t>
            </w:r>
          </w:p>
        </w:tc>
        <w:tc>
          <w:tcPr>
            <w:tcW w:w="5386" w:type="dxa"/>
            <w:vAlign w:val="center"/>
          </w:tcPr>
          <w:p w14:paraId="3E9AC137">
            <w:pPr>
              <w:pStyle w:val="13"/>
            </w:pPr>
            <w:r>
              <w:t>学生对实施项目的满意度</w:t>
            </w:r>
          </w:p>
        </w:tc>
        <w:tc>
          <w:tcPr>
            <w:tcW w:w="2268" w:type="dxa"/>
            <w:vAlign w:val="center"/>
          </w:tcPr>
          <w:p w14:paraId="14A28486">
            <w:pPr>
              <w:pStyle w:val="13"/>
            </w:pPr>
            <w:r>
              <w:t>≥95%</w:t>
            </w:r>
          </w:p>
        </w:tc>
        <w:tc>
          <w:tcPr>
            <w:tcW w:w="1276" w:type="dxa"/>
            <w:vAlign w:val="center"/>
          </w:tcPr>
          <w:p w14:paraId="3A353087">
            <w:pPr>
              <w:pStyle w:val="13"/>
            </w:pPr>
            <w:r>
              <w:t>项目规划</w:t>
            </w:r>
          </w:p>
        </w:tc>
      </w:tr>
    </w:tbl>
    <w:p w14:paraId="16B2B39D">
      <w:pPr>
        <w:sectPr>
          <w:pgSz w:w="16840" w:h="11900" w:orient="landscape"/>
          <w:pgMar w:top="1361" w:right="1020" w:bottom="1134" w:left="1020" w:header="720" w:footer="720" w:gutter="0"/>
          <w:cols w:space="720" w:num="1"/>
        </w:sectPr>
      </w:pPr>
    </w:p>
    <w:p w14:paraId="6271B6BD">
      <w:pPr>
        <w:spacing w:before="0" w:after="0"/>
        <w:ind w:firstLine="560"/>
        <w:jc w:val="left"/>
        <w:outlineLvl w:val="9"/>
      </w:pPr>
      <w:r>
        <w:rPr>
          <w:rFonts w:ascii="方正仿宋_GBK" w:hAnsi="方正仿宋_GBK" w:eastAsia="方正仿宋_GBK" w:cs="方正仿宋_GBK"/>
          <w:b/>
          <w:color w:val="000000"/>
          <w:sz w:val="28"/>
        </w:rPr>
        <w:t>13、冀财教[2024]138号/省级/2025年薄改与提升/小孟小学塑胶操场改造绩效目标表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5B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2ECC6D">
            <w:pPr>
              <w:pStyle w:val="14"/>
            </w:pPr>
            <w:r>
              <w:t>单位：万元</w:t>
            </w:r>
          </w:p>
        </w:tc>
      </w:tr>
      <w:tr w14:paraId="310BF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9B699">
            <w:pPr>
              <w:pStyle w:val="11"/>
            </w:pPr>
            <w:r>
              <w:t>项目编码</w:t>
            </w:r>
          </w:p>
        </w:tc>
        <w:tc>
          <w:tcPr>
            <w:tcW w:w="5103" w:type="dxa"/>
            <w:gridSpan w:val="2"/>
            <w:vAlign w:val="center"/>
          </w:tcPr>
          <w:p w14:paraId="5498FDED">
            <w:pPr>
              <w:pStyle w:val="13"/>
            </w:pPr>
            <w:r>
              <w:t>13052525P00877010005Q</w:t>
            </w:r>
          </w:p>
        </w:tc>
        <w:tc>
          <w:tcPr>
            <w:tcW w:w="2835" w:type="dxa"/>
            <w:vAlign w:val="center"/>
          </w:tcPr>
          <w:p w14:paraId="78B5DED1">
            <w:pPr>
              <w:pStyle w:val="11"/>
            </w:pPr>
            <w:r>
              <w:t>项目名称</w:t>
            </w:r>
          </w:p>
        </w:tc>
        <w:tc>
          <w:tcPr>
            <w:tcW w:w="6095" w:type="dxa"/>
            <w:gridSpan w:val="3"/>
            <w:vAlign w:val="center"/>
          </w:tcPr>
          <w:p w14:paraId="694C5E8F">
            <w:pPr>
              <w:pStyle w:val="13"/>
            </w:pPr>
            <w:r>
              <w:t>冀财教[2024]138号/省级/2025年薄改与提升/小孟小学塑胶操场改造</w:t>
            </w:r>
          </w:p>
        </w:tc>
      </w:tr>
      <w:tr w14:paraId="34E66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353D7">
            <w:pPr>
              <w:pStyle w:val="11"/>
            </w:pPr>
            <w:r>
              <w:t>预算规模及资金用途</w:t>
            </w:r>
          </w:p>
        </w:tc>
        <w:tc>
          <w:tcPr>
            <w:tcW w:w="2268" w:type="dxa"/>
            <w:vAlign w:val="center"/>
          </w:tcPr>
          <w:p w14:paraId="282D2D10">
            <w:pPr>
              <w:pStyle w:val="11"/>
            </w:pPr>
            <w:r>
              <w:t>预算数</w:t>
            </w:r>
          </w:p>
        </w:tc>
        <w:tc>
          <w:tcPr>
            <w:tcW w:w="2835" w:type="dxa"/>
            <w:vAlign w:val="center"/>
          </w:tcPr>
          <w:p w14:paraId="7C628454">
            <w:pPr>
              <w:pStyle w:val="13"/>
            </w:pPr>
            <w:r>
              <w:t>62.00</w:t>
            </w:r>
          </w:p>
        </w:tc>
        <w:tc>
          <w:tcPr>
            <w:tcW w:w="2835" w:type="dxa"/>
            <w:vAlign w:val="center"/>
          </w:tcPr>
          <w:p w14:paraId="055E731D">
            <w:pPr>
              <w:pStyle w:val="11"/>
            </w:pPr>
            <w:r>
              <w:t>其中：财政    资金</w:t>
            </w:r>
          </w:p>
        </w:tc>
        <w:tc>
          <w:tcPr>
            <w:tcW w:w="2551" w:type="dxa"/>
            <w:vAlign w:val="center"/>
          </w:tcPr>
          <w:p w14:paraId="03369E86">
            <w:pPr>
              <w:pStyle w:val="13"/>
            </w:pPr>
            <w:r>
              <w:t>62.00</w:t>
            </w:r>
          </w:p>
        </w:tc>
        <w:tc>
          <w:tcPr>
            <w:tcW w:w="2268" w:type="dxa"/>
            <w:vAlign w:val="center"/>
          </w:tcPr>
          <w:p w14:paraId="4D78FC0E">
            <w:pPr>
              <w:pStyle w:val="11"/>
            </w:pPr>
            <w:r>
              <w:t>其他资金</w:t>
            </w:r>
          </w:p>
        </w:tc>
        <w:tc>
          <w:tcPr>
            <w:tcW w:w="1276" w:type="dxa"/>
            <w:vAlign w:val="center"/>
          </w:tcPr>
          <w:p w14:paraId="6FB97F7A">
            <w:pPr>
              <w:pStyle w:val="13"/>
            </w:pPr>
            <w:r>
              <w:t xml:space="preserve"> </w:t>
            </w:r>
          </w:p>
        </w:tc>
      </w:tr>
      <w:tr w14:paraId="6758F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6AB1F"/>
        </w:tc>
        <w:tc>
          <w:tcPr>
            <w:tcW w:w="14033" w:type="dxa"/>
            <w:gridSpan w:val="6"/>
            <w:vAlign w:val="center"/>
          </w:tcPr>
          <w:p w14:paraId="5576BF12">
            <w:pPr>
              <w:pStyle w:val="13"/>
            </w:pPr>
            <w:r>
              <w:t>用于改善义务教育办学条件，进一步提升教育教学办学质量</w:t>
            </w:r>
          </w:p>
        </w:tc>
      </w:tr>
      <w:tr w14:paraId="148D4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C9449">
            <w:pPr>
              <w:pStyle w:val="11"/>
            </w:pPr>
            <w:r>
              <w:t>资金支出计划（%）</w:t>
            </w:r>
          </w:p>
        </w:tc>
        <w:tc>
          <w:tcPr>
            <w:tcW w:w="5103" w:type="dxa"/>
            <w:gridSpan w:val="2"/>
            <w:vAlign w:val="center"/>
          </w:tcPr>
          <w:p w14:paraId="6E755B55">
            <w:pPr>
              <w:pStyle w:val="11"/>
            </w:pPr>
            <w:r>
              <w:t>3月底</w:t>
            </w:r>
          </w:p>
        </w:tc>
        <w:tc>
          <w:tcPr>
            <w:tcW w:w="2835" w:type="dxa"/>
            <w:vAlign w:val="center"/>
          </w:tcPr>
          <w:p w14:paraId="60FD2813">
            <w:pPr>
              <w:pStyle w:val="11"/>
            </w:pPr>
            <w:r>
              <w:t>6月底</w:t>
            </w:r>
          </w:p>
        </w:tc>
        <w:tc>
          <w:tcPr>
            <w:tcW w:w="2551" w:type="dxa"/>
            <w:vAlign w:val="center"/>
          </w:tcPr>
          <w:p w14:paraId="0FDFAB80">
            <w:pPr>
              <w:pStyle w:val="11"/>
            </w:pPr>
            <w:r>
              <w:t>10月底</w:t>
            </w:r>
          </w:p>
        </w:tc>
        <w:tc>
          <w:tcPr>
            <w:tcW w:w="3544" w:type="dxa"/>
            <w:gridSpan w:val="2"/>
            <w:vAlign w:val="center"/>
          </w:tcPr>
          <w:p w14:paraId="11A23A47">
            <w:pPr>
              <w:pStyle w:val="11"/>
            </w:pPr>
            <w:r>
              <w:t>12月底</w:t>
            </w:r>
          </w:p>
        </w:tc>
      </w:tr>
      <w:tr w14:paraId="3CFA0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6737A"/>
        </w:tc>
        <w:tc>
          <w:tcPr>
            <w:tcW w:w="5103" w:type="dxa"/>
            <w:gridSpan w:val="2"/>
            <w:vAlign w:val="center"/>
          </w:tcPr>
          <w:p w14:paraId="74CA7828">
            <w:pPr>
              <w:pStyle w:val="12"/>
            </w:pPr>
            <w:r>
              <w:t xml:space="preserve"> </w:t>
            </w:r>
          </w:p>
        </w:tc>
        <w:tc>
          <w:tcPr>
            <w:tcW w:w="2835" w:type="dxa"/>
            <w:vAlign w:val="center"/>
          </w:tcPr>
          <w:p w14:paraId="2DB4252E">
            <w:pPr>
              <w:pStyle w:val="12"/>
            </w:pPr>
            <w:r>
              <w:t xml:space="preserve"> </w:t>
            </w:r>
          </w:p>
        </w:tc>
        <w:tc>
          <w:tcPr>
            <w:tcW w:w="2551" w:type="dxa"/>
            <w:vAlign w:val="center"/>
          </w:tcPr>
          <w:p w14:paraId="12FEC936">
            <w:pPr>
              <w:pStyle w:val="12"/>
            </w:pPr>
            <w:r>
              <w:t>100%</w:t>
            </w:r>
          </w:p>
        </w:tc>
        <w:tc>
          <w:tcPr>
            <w:tcW w:w="3544" w:type="dxa"/>
            <w:gridSpan w:val="2"/>
            <w:vAlign w:val="center"/>
          </w:tcPr>
          <w:p w14:paraId="7678B1F6">
            <w:pPr>
              <w:pStyle w:val="12"/>
            </w:pPr>
            <w:r>
              <w:t>100%</w:t>
            </w:r>
          </w:p>
        </w:tc>
      </w:tr>
      <w:tr w14:paraId="54775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F9887">
            <w:pPr>
              <w:pStyle w:val="11"/>
            </w:pPr>
            <w:r>
              <w:t>绩效目标</w:t>
            </w:r>
          </w:p>
        </w:tc>
        <w:tc>
          <w:tcPr>
            <w:tcW w:w="14033" w:type="dxa"/>
            <w:gridSpan w:val="6"/>
            <w:vAlign w:val="center"/>
          </w:tcPr>
          <w:p w14:paraId="582DBDB9">
            <w:pPr>
              <w:pStyle w:val="13"/>
            </w:pPr>
            <w:r>
              <w:t>1.小孟小学塑胶操场项目资金620000元，资金拨付率达100%</w:t>
            </w:r>
          </w:p>
          <w:p w14:paraId="108CF6F4">
            <w:pPr>
              <w:pStyle w:val="13"/>
            </w:pPr>
            <w:r>
              <w:t>2.改善义务教育办学条件，进一步提升教育教学办学质量</w:t>
            </w:r>
          </w:p>
        </w:tc>
      </w:tr>
    </w:tbl>
    <w:p w14:paraId="13D048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A5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9E01E">
            <w:pPr>
              <w:pStyle w:val="11"/>
            </w:pPr>
            <w:r>
              <w:t>一级指标</w:t>
            </w:r>
          </w:p>
        </w:tc>
        <w:tc>
          <w:tcPr>
            <w:tcW w:w="2268" w:type="dxa"/>
            <w:vAlign w:val="center"/>
          </w:tcPr>
          <w:p w14:paraId="7AA3D33C">
            <w:pPr>
              <w:pStyle w:val="11"/>
            </w:pPr>
            <w:r>
              <w:t>二级指标</w:t>
            </w:r>
          </w:p>
        </w:tc>
        <w:tc>
          <w:tcPr>
            <w:tcW w:w="2835" w:type="dxa"/>
            <w:vAlign w:val="center"/>
          </w:tcPr>
          <w:p w14:paraId="20986DA7">
            <w:pPr>
              <w:pStyle w:val="11"/>
            </w:pPr>
            <w:r>
              <w:t>三级指标</w:t>
            </w:r>
          </w:p>
        </w:tc>
        <w:tc>
          <w:tcPr>
            <w:tcW w:w="5386" w:type="dxa"/>
            <w:vAlign w:val="center"/>
          </w:tcPr>
          <w:p w14:paraId="16E9E2DB">
            <w:pPr>
              <w:pStyle w:val="11"/>
            </w:pPr>
            <w:r>
              <w:t>绩效指标描述</w:t>
            </w:r>
          </w:p>
        </w:tc>
        <w:tc>
          <w:tcPr>
            <w:tcW w:w="2268" w:type="dxa"/>
            <w:vAlign w:val="center"/>
          </w:tcPr>
          <w:p w14:paraId="31CEAF6B">
            <w:pPr>
              <w:pStyle w:val="11"/>
            </w:pPr>
            <w:r>
              <w:t>指标值</w:t>
            </w:r>
          </w:p>
        </w:tc>
        <w:tc>
          <w:tcPr>
            <w:tcW w:w="1276" w:type="dxa"/>
            <w:vAlign w:val="center"/>
          </w:tcPr>
          <w:p w14:paraId="4A4D8A49">
            <w:pPr>
              <w:pStyle w:val="11"/>
            </w:pPr>
            <w:r>
              <w:t>指标值确定依据</w:t>
            </w:r>
          </w:p>
        </w:tc>
      </w:tr>
      <w:tr w14:paraId="0313C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B2363">
            <w:pPr>
              <w:pStyle w:val="12"/>
            </w:pPr>
            <w:r>
              <w:t>产出指标</w:t>
            </w:r>
          </w:p>
        </w:tc>
        <w:tc>
          <w:tcPr>
            <w:tcW w:w="2268" w:type="dxa"/>
            <w:vAlign w:val="center"/>
          </w:tcPr>
          <w:p w14:paraId="0819EFD9">
            <w:pPr>
              <w:pStyle w:val="13"/>
            </w:pPr>
            <w:r>
              <w:t>数量指标</w:t>
            </w:r>
          </w:p>
        </w:tc>
        <w:tc>
          <w:tcPr>
            <w:tcW w:w="2835" w:type="dxa"/>
            <w:vAlign w:val="center"/>
          </w:tcPr>
          <w:p w14:paraId="58B97DEC">
            <w:pPr>
              <w:pStyle w:val="13"/>
            </w:pPr>
            <w:r>
              <w:t>塑胶操场改造</w:t>
            </w:r>
          </w:p>
        </w:tc>
        <w:tc>
          <w:tcPr>
            <w:tcW w:w="5386" w:type="dxa"/>
            <w:vAlign w:val="center"/>
          </w:tcPr>
          <w:p w14:paraId="6AA1D8B5">
            <w:pPr>
              <w:pStyle w:val="13"/>
            </w:pPr>
            <w:r>
              <w:t>对学校操场进行铺设塑胶跑道面积</w:t>
            </w:r>
          </w:p>
        </w:tc>
        <w:tc>
          <w:tcPr>
            <w:tcW w:w="2268" w:type="dxa"/>
            <w:vAlign w:val="center"/>
          </w:tcPr>
          <w:p w14:paraId="0B3F6B2A">
            <w:pPr>
              <w:pStyle w:val="13"/>
            </w:pPr>
            <w:r>
              <w:t>1项</w:t>
            </w:r>
          </w:p>
        </w:tc>
        <w:tc>
          <w:tcPr>
            <w:tcW w:w="1276" w:type="dxa"/>
            <w:vAlign w:val="center"/>
          </w:tcPr>
          <w:p w14:paraId="453186B4">
            <w:pPr>
              <w:pStyle w:val="13"/>
            </w:pPr>
            <w:r>
              <w:t>项目规划</w:t>
            </w:r>
          </w:p>
        </w:tc>
      </w:tr>
      <w:tr w14:paraId="336A3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792A5"/>
        </w:tc>
        <w:tc>
          <w:tcPr>
            <w:tcW w:w="2268" w:type="dxa"/>
            <w:vAlign w:val="center"/>
          </w:tcPr>
          <w:p w14:paraId="4F6D8329">
            <w:pPr>
              <w:pStyle w:val="13"/>
            </w:pPr>
            <w:r>
              <w:t>质量指标</w:t>
            </w:r>
          </w:p>
        </w:tc>
        <w:tc>
          <w:tcPr>
            <w:tcW w:w="2835" w:type="dxa"/>
            <w:vAlign w:val="center"/>
          </w:tcPr>
          <w:p w14:paraId="49C5F9A7">
            <w:pPr>
              <w:pStyle w:val="13"/>
            </w:pPr>
            <w:r>
              <w:t>工程实施验收合格率</w:t>
            </w:r>
          </w:p>
        </w:tc>
        <w:tc>
          <w:tcPr>
            <w:tcW w:w="5386" w:type="dxa"/>
            <w:vAlign w:val="center"/>
          </w:tcPr>
          <w:p w14:paraId="578C1B8D">
            <w:pPr>
              <w:pStyle w:val="13"/>
            </w:pPr>
            <w:r>
              <w:t>申报程序的合规，项目实施及资金使用符合项目规划</w:t>
            </w:r>
          </w:p>
        </w:tc>
        <w:tc>
          <w:tcPr>
            <w:tcW w:w="2268" w:type="dxa"/>
            <w:vAlign w:val="center"/>
          </w:tcPr>
          <w:p w14:paraId="2137C88D">
            <w:pPr>
              <w:pStyle w:val="13"/>
            </w:pPr>
            <w:r>
              <w:t>≥100%</w:t>
            </w:r>
          </w:p>
        </w:tc>
        <w:tc>
          <w:tcPr>
            <w:tcW w:w="1276" w:type="dxa"/>
            <w:vAlign w:val="center"/>
          </w:tcPr>
          <w:p w14:paraId="3C5E7CC3">
            <w:pPr>
              <w:pStyle w:val="13"/>
            </w:pPr>
            <w:r>
              <w:t>项目规划</w:t>
            </w:r>
          </w:p>
        </w:tc>
      </w:tr>
      <w:tr w14:paraId="4AE78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81B9C"/>
        </w:tc>
        <w:tc>
          <w:tcPr>
            <w:tcW w:w="2268" w:type="dxa"/>
            <w:vAlign w:val="center"/>
          </w:tcPr>
          <w:p w14:paraId="34DA7C4F">
            <w:pPr>
              <w:pStyle w:val="13"/>
            </w:pPr>
            <w:r>
              <w:t>时效指标</w:t>
            </w:r>
          </w:p>
        </w:tc>
        <w:tc>
          <w:tcPr>
            <w:tcW w:w="2835" w:type="dxa"/>
            <w:vAlign w:val="center"/>
          </w:tcPr>
          <w:p w14:paraId="276861C1">
            <w:pPr>
              <w:pStyle w:val="13"/>
            </w:pPr>
            <w:r>
              <w:t>资金支付率</w:t>
            </w:r>
          </w:p>
        </w:tc>
        <w:tc>
          <w:tcPr>
            <w:tcW w:w="5386" w:type="dxa"/>
            <w:vAlign w:val="center"/>
          </w:tcPr>
          <w:p w14:paraId="200864FE">
            <w:pPr>
              <w:pStyle w:val="13"/>
            </w:pPr>
            <w:r>
              <w:t>按照序时进度完成资金支付</w:t>
            </w:r>
          </w:p>
        </w:tc>
        <w:tc>
          <w:tcPr>
            <w:tcW w:w="2268" w:type="dxa"/>
            <w:vAlign w:val="center"/>
          </w:tcPr>
          <w:p w14:paraId="4DCED4A7">
            <w:pPr>
              <w:pStyle w:val="13"/>
            </w:pPr>
            <w:r>
              <w:t>≥100%</w:t>
            </w:r>
          </w:p>
        </w:tc>
        <w:tc>
          <w:tcPr>
            <w:tcW w:w="1276" w:type="dxa"/>
            <w:vAlign w:val="center"/>
          </w:tcPr>
          <w:p w14:paraId="08FA627B">
            <w:pPr>
              <w:pStyle w:val="13"/>
            </w:pPr>
            <w:r>
              <w:t>项目规划</w:t>
            </w:r>
          </w:p>
        </w:tc>
      </w:tr>
      <w:tr w14:paraId="6244C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F311D"/>
        </w:tc>
        <w:tc>
          <w:tcPr>
            <w:tcW w:w="2268" w:type="dxa"/>
            <w:vAlign w:val="center"/>
          </w:tcPr>
          <w:p w14:paraId="389C3E36">
            <w:pPr>
              <w:pStyle w:val="13"/>
            </w:pPr>
            <w:r>
              <w:t>成本指标</w:t>
            </w:r>
          </w:p>
        </w:tc>
        <w:tc>
          <w:tcPr>
            <w:tcW w:w="2835" w:type="dxa"/>
            <w:vAlign w:val="center"/>
          </w:tcPr>
          <w:p w14:paraId="0F42F80E">
            <w:pPr>
              <w:pStyle w:val="13"/>
            </w:pPr>
            <w:r>
              <w:t>项目成本控制情况</w:t>
            </w:r>
          </w:p>
        </w:tc>
        <w:tc>
          <w:tcPr>
            <w:tcW w:w="5386" w:type="dxa"/>
            <w:vAlign w:val="center"/>
          </w:tcPr>
          <w:p w14:paraId="4D27ECB8">
            <w:pPr>
              <w:pStyle w:val="13"/>
            </w:pPr>
            <w:r>
              <w:t>严格按照招标价格及审计额进行</w:t>
            </w:r>
          </w:p>
        </w:tc>
        <w:tc>
          <w:tcPr>
            <w:tcW w:w="2268" w:type="dxa"/>
            <w:vAlign w:val="center"/>
          </w:tcPr>
          <w:p w14:paraId="64FE7A95">
            <w:pPr>
              <w:pStyle w:val="13"/>
            </w:pPr>
            <w:r>
              <w:t>62万元</w:t>
            </w:r>
          </w:p>
        </w:tc>
        <w:tc>
          <w:tcPr>
            <w:tcW w:w="1276" w:type="dxa"/>
            <w:vAlign w:val="center"/>
          </w:tcPr>
          <w:p w14:paraId="5625EE62">
            <w:pPr>
              <w:pStyle w:val="13"/>
            </w:pPr>
            <w:r>
              <w:t>项目规划</w:t>
            </w:r>
          </w:p>
        </w:tc>
      </w:tr>
      <w:tr w14:paraId="6858D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19241A">
            <w:pPr>
              <w:pStyle w:val="12"/>
            </w:pPr>
            <w:r>
              <w:t>效益指标</w:t>
            </w:r>
          </w:p>
        </w:tc>
        <w:tc>
          <w:tcPr>
            <w:tcW w:w="2268" w:type="dxa"/>
            <w:vAlign w:val="center"/>
          </w:tcPr>
          <w:p w14:paraId="16ADB58B">
            <w:pPr>
              <w:pStyle w:val="13"/>
            </w:pPr>
            <w:r>
              <w:t>社会效益指标</w:t>
            </w:r>
          </w:p>
        </w:tc>
        <w:tc>
          <w:tcPr>
            <w:tcW w:w="2835" w:type="dxa"/>
            <w:vAlign w:val="center"/>
          </w:tcPr>
          <w:p w14:paraId="6A993BBF">
            <w:pPr>
              <w:pStyle w:val="13"/>
            </w:pPr>
            <w:r>
              <w:t>学校办学能力提升</w:t>
            </w:r>
          </w:p>
        </w:tc>
        <w:tc>
          <w:tcPr>
            <w:tcW w:w="5386" w:type="dxa"/>
            <w:vAlign w:val="center"/>
          </w:tcPr>
          <w:p w14:paraId="3F577C84">
            <w:pPr>
              <w:pStyle w:val="13"/>
            </w:pPr>
            <w:r>
              <w:t>学校办学能力升情况及教育教学工作等开展的情况</w:t>
            </w:r>
          </w:p>
        </w:tc>
        <w:tc>
          <w:tcPr>
            <w:tcW w:w="2268" w:type="dxa"/>
            <w:vAlign w:val="center"/>
          </w:tcPr>
          <w:p w14:paraId="106CE323">
            <w:pPr>
              <w:pStyle w:val="13"/>
            </w:pPr>
            <w:r>
              <w:t>≥98%</w:t>
            </w:r>
          </w:p>
        </w:tc>
        <w:tc>
          <w:tcPr>
            <w:tcW w:w="1276" w:type="dxa"/>
            <w:vAlign w:val="center"/>
          </w:tcPr>
          <w:p w14:paraId="45DAE805">
            <w:pPr>
              <w:pStyle w:val="13"/>
            </w:pPr>
            <w:r>
              <w:t>项目规划</w:t>
            </w:r>
          </w:p>
        </w:tc>
      </w:tr>
      <w:tr w14:paraId="17D62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4AF20">
            <w:pPr>
              <w:pStyle w:val="12"/>
            </w:pPr>
            <w:r>
              <w:t>满意度指标</w:t>
            </w:r>
          </w:p>
        </w:tc>
        <w:tc>
          <w:tcPr>
            <w:tcW w:w="2268" w:type="dxa"/>
            <w:vAlign w:val="center"/>
          </w:tcPr>
          <w:p w14:paraId="6E7A04C8">
            <w:pPr>
              <w:pStyle w:val="13"/>
            </w:pPr>
            <w:r>
              <w:t>服务对象满意度指标</w:t>
            </w:r>
          </w:p>
        </w:tc>
        <w:tc>
          <w:tcPr>
            <w:tcW w:w="2835" w:type="dxa"/>
            <w:vAlign w:val="center"/>
          </w:tcPr>
          <w:p w14:paraId="1F880603">
            <w:pPr>
              <w:pStyle w:val="13"/>
            </w:pPr>
            <w:r>
              <w:t>学生、教师及家长对学校教学环境满意度情况</w:t>
            </w:r>
          </w:p>
        </w:tc>
        <w:tc>
          <w:tcPr>
            <w:tcW w:w="5386" w:type="dxa"/>
            <w:vAlign w:val="center"/>
          </w:tcPr>
          <w:p w14:paraId="7CA9826E">
            <w:pPr>
              <w:pStyle w:val="13"/>
            </w:pPr>
            <w:r>
              <w:t>学生、教师及家长对学校教学环境满意度情况</w:t>
            </w:r>
          </w:p>
        </w:tc>
        <w:tc>
          <w:tcPr>
            <w:tcW w:w="2268" w:type="dxa"/>
            <w:vAlign w:val="center"/>
          </w:tcPr>
          <w:p w14:paraId="6BF667E7">
            <w:pPr>
              <w:pStyle w:val="13"/>
            </w:pPr>
            <w:r>
              <w:t>≥95%</w:t>
            </w:r>
          </w:p>
        </w:tc>
        <w:tc>
          <w:tcPr>
            <w:tcW w:w="1276" w:type="dxa"/>
            <w:vAlign w:val="center"/>
          </w:tcPr>
          <w:p w14:paraId="273E754E">
            <w:pPr>
              <w:pStyle w:val="13"/>
            </w:pPr>
            <w:r>
              <w:t>项目规划</w:t>
            </w:r>
          </w:p>
        </w:tc>
      </w:tr>
    </w:tbl>
    <w:p w14:paraId="23B7592C">
      <w:pPr>
        <w:sectPr>
          <w:pgSz w:w="16840" w:h="11900" w:orient="landscape"/>
          <w:pgMar w:top="1361" w:right="1020" w:bottom="1134" w:left="1020" w:header="720" w:footer="720" w:gutter="0"/>
          <w:cols w:space="720" w:num="1"/>
        </w:sectPr>
      </w:pPr>
    </w:p>
    <w:p w14:paraId="7B9A6941">
      <w:pPr>
        <w:spacing w:before="0" w:after="0"/>
        <w:ind w:firstLine="560"/>
        <w:jc w:val="left"/>
        <w:outlineLvl w:val="9"/>
      </w:pPr>
      <w:r>
        <w:rPr>
          <w:rFonts w:ascii="方正仿宋_GBK" w:hAnsi="方正仿宋_GBK" w:eastAsia="方正仿宋_GBK" w:cs="方正仿宋_GBK"/>
          <w:b/>
          <w:color w:val="000000"/>
          <w:sz w:val="28"/>
        </w:rPr>
        <w:t>14、冀财教[2024]141号/省级/2025年义教补助经费/东王村小学公用经费</w:t>
      </w:r>
      <w:r>
        <w:rPr>
          <w:rFonts w:ascii="方正仿宋_GBK" w:hAnsi="方正仿宋_GBK" w:eastAsia="方正仿宋_GBK" w:cs="方正仿宋_GBK"/>
          <w:b/>
          <w:color w:val="000000"/>
          <w:sz w:val="28"/>
        </w:rPr>
        <w:tab/>
      </w:r>
    </w:p>
    <w:p w14:paraId="119EE720">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B5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22A59">
            <w:pPr>
              <w:pStyle w:val="14"/>
            </w:pPr>
            <w:r>
              <w:t>单位：万元</w:t>
            </w:r>
          </w:p>
        </w:tc>
      </w:tr>
      <w:tr w14:paraId="6C4D9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5C76E">
            <w:pPr>
              <w:pStyle w:val="11"/>
            </w:pPr>
            <w:r>
              <w:t>项目编码</w:t>
            </w:r>
          </w:p>
        </w:tc>
        <w:tc>
          <w:tcPr>
            <w:tcW w:w="5103" w:type="dxa"/>
            <w:gridSpan w:val="2"/>
            <w:vAlign w:val="center"/>
          </w:tcPr>
          <w:p w14:paraId="3CFA5817">
            <w:pPr>
              <w:pStyle w:val="13"/>
            </w:pPr>
            <w:r>
              <w:t>13052525P00000410179W</w:t>
            </w:r>
          </w:p>
        </w:tc>
        <w:tc>
          <w:tcPr>
            <w:tcW w:w="2835" w:type="dxa"/>
            <w:vAlign w:val="center"/>
          </w:tcPr>
          <w:p w14:paraId="1C4DC065">
            <w:pPr>
              <w:pStyle w:val="11"/>
            </w:pPr>
            <w:r>
              <w:t>项目名称</w:t>
            </w:r>
          </w:p>
        </w:tc>
        <w:tc>
          <w:tcPr>
            <w:tcW w:w="6095" w:type="dxa"/>
            <w:gridSpan w:val="3"/>
            <w:vAlign w:val="center"/>
          </w:tcPr>
          <w:p w14:paraId="4248A500">
            <w:pPr>
              <w:pStyle w:val="13"/>
            </w:pPr>
            <w:r>
              <w:t>冀财教[2024]141号/省级/2025年义教补助经费/东王村小学公用经费</w:t>
            </w:r>
            <w:r>
              <w:tab/>
            </w:r>
          </w:p>
          <w:p w14:paraId="7F7AB48B">
            <w:pPr>
              <w:pStyle w:val="13"/>
            </w:pPr>
          </w:p>
        </w:tc>
      </w:tr>
      <w:tr w14:paraId="42DE2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D111C">
            <w:pPr>
              <w:pStyle w:val="11"/>
            </w:pPr>
            <w:r>
              <w:t>预算规模及资金用途</w:t>
            </w:r>
          </w:p>
        </w:tc>
        <w:tc>
          <w:tcPr>
            <w:tcW w:w="2268" w:type="dxa"/>
            <w:vAlign w:val="center"/>
          </w:tcPr>
          <w:p w14:paraId="03FC71F1">
            <w:pPr>
              <w:pStyle w:val="11"/>
            </w:pPr>
            <w:r>
              <w:t>预算数</w:t>
            </w:r>
          </w:p>
        </w:tc>
        <w:tc>
          <w:tcPr>
            <w:tcW w:w="2835" w:type="dxa"/>
            <w:vAlign w:val="center"/>
          </w:tcPr>
          <w:p w14:paraId="1002D65C">
            <w:pPr>
              <w:pStyle w:val="13"/>
            </w:pPr>
            <w:r>
              <w:t>36.48</w:t>
            </w:r>
          </w:p>
        </w:tc>
        <w:tc>
          <w:tcPr>
            <w:tcW w:w="2835" w:type="dxa"/>
            <w:vAlign w:val="center"/>
          </w:tcPr>
          <w:p w14:paraId="02A35B61">
            <w:pPr>
              <w:pStyle w:val="11"/>
            </w:pPr>
            <w:r>
              <w:t>其中：财政    资金</w:t>
            </w:r>
          </w:p>
        </w:tc>
        <w:tc>
          <w:tcPr>
            <w:tcW w:w="2551" w:type="dxa"/>
            <w:vAlign w:val="center"/>
          </w:tcPr>
          <w:p w14:paraId="3D4DD829">
            <w:pPr>
              <w:pStyle w:val="13"/>
            </w:pPr>
            <w:r>
              <w:t>36.48</w:t>
            </w:r>
          </w:p>
        </w:tc>
        <w:tc>
          <w:tcPr>
            <w:tcW w:w="2268" w:type="dxa"/>
            <w:vAlign w:val="center"/>
          </w:tcPr>
          <w:p w14:paraId="370C3BE3">
            <w:pPr>
              <w:pStyle w:val="11"/>
            </w:pPr>
            <w:r>
              <w:t>其他资金</w:t>
            </w:r>
          </w:p>
        </w:tc>
        <w:tc>
          <w:tcPr>
            <w:tcW w:w="1276" w:type="dxa"/>
            <w:vAlign w:val="center"/>
          </w:tcPr>
          <w:p w14:paraId="44DFF133">
            <w:pPr>
              <w:pStyle w:val="13"/>
            </w:pPr>
            <w:r>
              <w:t xml:space="preserve"> </w:t>
            </w:r>
          </w:p>
        </w:tc>
      </w:tr>
      <w:tr w14:paraId="0A960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BD8C3"/>
        </w:tc>
        <w:tc>
          <w:tcPr>
            <w:tcW w:w="14033" w:type="dxa"/>
            <w:gridSpan w:val="6"/>
            <w:vAlign w:val="center"/>
          </w:tcPr>
          <w:p w14:paraId="0B24B53D">
            <w:pPr>
              <w:pStyle w:val="13"/>
            </w:pPr>
            <w:r>
              <w:t>用于有效完成学校教学安全秩序，保障学校教学任务有效开展，满足学校正常教学需要。</w:t>
            </w:r>
          </w:p>
        </w:tc>
      </w:tr>
      <w:tr w14:paraId="5CE74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A6B4C">
            <w:pPr>
              <w:pStyle w:val="11"/>
            </w:pPr>
            <w:r>
              <w:t>资金支出计划（%）</w:t>
            </w:r>
          </w:p>
        </w:tc>
        <w:tc>
          <w:tcPr>
            <w:tcW w:w="5103" w:type="dxa"/>
            <w:gridSpan w:val="2"/>
            <w:vAlign w:val="center"/>
          </w:tcPr>
          <w:p w14:paraId="4C51B3EC">
            <w:pPr>
              <w:pStyle w:val="11"/>
            </w:pPr>
            <w:r>
              <w:t>3月底</w:t>
            </w:r>
          </w:p>
        </w:tc>
        <w:tc>
          <w:tcPr>
            <w:tcW w:w="2835" w:type="dxa"/>
            <w:vAlign w:val="center"/>
          </w:tcPr>
          <w:p w14:paraId="2559AD40">
            <w:pPr>
              <w:pStyle w:val="11"/>
            </w:pPr>
            <w:r>
              <w:t>6月底</w:t>
            </w:r>
          </w:p>
        </w:tc>
        <w:tc>
          <w:tcPr>
            <w:tcW w:w="2551" w:type="dxa"/>
            <w:vAlign w:val="center"/>
          </w:tcPr>
          <w:p w14:paraId="36B6DBE7">
            <w:pPr>
              <w:pStyle w:val="11"/>
            </w:pPr>
            <w:r>
              <w:t>10月底</w:t>
            </w:r>
          </w:p>
        </w:tc>
        <w:tc>
          <w:tcPr>
            <w:tcW w:w="3544" w:type="dxa"/>
            <w:gridSpan w:val="2"/>
            <w:vAlign w:val="center"/>
          </w:tcPr>
          <w:p w14:paraId="0EC5D156">
            <w:pPr>
              <w:pStyle w:val="11"/>
            </w:pPr>
            <w:r>
              <w:t>12月底</w:t>
            </w:r>
          </w:p>
        </w:tc>
      </w:tr>
      <w:tr w14:paraId="5CF18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8B0D30"/>
        </w:tc>
        <w:tc>
          <w:tcPr>
            <w:tcW w:w="5103" w:type="dxa"/>
            <w:gridSpan w:val="2"/>
            <w:vAlign w:val="center"/>
          </w:tcPr>
          <w:p w14:paraId="501C1EB5">
            <w:pPr>
              <w:pStyle w:val="12"/>
            </w:pPr>
            <w:r>
              <w:t>25%</w:t>
            </w:r>
          </w:p>
        </w:tc>
        <w:tc>
          <w:tcPr>
            <w:tcW w:w="2835" w:type="dxa"/>
            <w:vAlign w:val="center"/>
          </w:tcPr>
          <w:p w14:paraId="03D9AD8D">
            <w:pPr>
              <w:pStyle w:val="12"/>
            </w:pPr>
            <w:r>
              <w:t>50%</w:t>
            </w:r>
          </w:p>
        </w:tc>
        <w:tc>
          <w:tcPr>
            <w:tcW w:w="2551" w:type="dxa"/>
            <w:vAlign w:val="center"/>
          </w:tcPr>
          <w:p w14:paraId="41E81170">
            <w:pPr>
              <w:pStyle w:val="12"/>
            </w:pPr>
            <w:r>
              <w:t>75%</w:t>
            </w:r>
          </w:p>
        </w:tc>
        <w:tc>
          <w:tcPr>
            <w:tcW w:w="3544" w:type="dxa"/>
            <w:gridSpan w:val="2"/>
            <w:vAlign w:val="center"/>
          </w:tcPr>
          <w:p w14:paraId="05395145">
            <w:pPr>
              <w:pStyle w:val="12"/>
            </w:pPr>
            <w:r>
              <w:t>100%</w:t>
            </w:r>
          </w:p>
        </w:tc>
      </w:tr>
      <w:tr w14:paraId="64970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46954">
            <w:pPr>
              <w:pStyle w:val="11"/>
            </w:pPr>
            <w:r>
              <w:t>绩效目标</w:t>
            </w:r>
          </w:p>
        </w:tc>
        <w:tc>
          <w:tcPr>
            <w:tcW w:w="14033" w:type="dxa"/>
            <w:gridSpan w:val="6"/>
            <w:vAlign w:val="center"/>
          </w:tcPr>
          <w:p w14:paraId="3DDCB85A">
            <w:pPr>
              <w:pStyle w:val="13"/>
            </w:pPr>
            <w:r>
              <w:t>1.有效完成学校教学安全秩序，保障学校教学任务有效开展，满足学校正常教学需要。</w:t>
            </w:r>
          </w:p>
          <w:p w14:paraId="35A66AE8">
            <w:pPr>
              <w:pStyle w:val="13"/>
            </w:pPr>
            <w:r>
              <w:t>2.按规定拨付公用经费资金，预算执行率≥98%。</w:t>
            </w:r>
          </w:p>
        </w:tc>
      </w:tr>
    </w:tbl>
    <w:p w14:paraId="2E22B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14:paraId="2BFF0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05D26">
            <w:pPr>
              <w:pStyle w:val="11"/>
            </w:pPr>
            <w:r>
              <w:t>一级指标</w:t>
            </w:r>
          </w:p>
        </w:tc>
        <w:tc>
          <w:tcPr>
            <w:tcW w:w="2268" w:type="dxa"/>
            <w:vAlign w:val="center"/>
          </w:tcPr>
          <w:p w14:paraId="6AD35782">
            <w:pPr>
              <w:pStyle w:val="11"/>
            </w:pPr>
            <w:r>
              <w:t>二级指标</w:t>
            </w:r>
          </w:p>
        </w:tc>
        <w:tc>
          <w:tcPr>
            <w:tcW w:w="2835" w:type="dxa"/>
            <w:vAlign w:val="center"/>
          </w:tcPr>
          <w:p w14:paraId="2F54FF45">
            <w:pPr>
              <w:pStyle w:val="11"/>
            </w:pPr>
            <w:r>
              <w:t>三级指标</w:t>
            </w:r>
          </w:p>
        </w:tc>
        <w:tc>
          <w:tcPr>
            <w:tcW w:w="5386" w:type="dxa"/>
            <w:vAlign w:val="center"/>
          </w:tcPr>
          <w:p w14:paraId="2A2818BB">
            <w:pPr>
              <w:pStyle w:val="11"/>
            </w:pPr>
            <w:r>
              <w:t>绩效指标描述</w:t>
            </w:r>
          </w:p>
        </w:tc>
        <w:tc>
          <w:tcPr>
            <w:tcW w:w="1718" w:type="dxa"/>
            <w:vAlign w:val="center"/>
          </w:tcPr>
          <w:p w14:paraId="5DF24154">
            <w:pPr>
              <w:pStyle w:val="11"/>
            </w:pPr>
            <w:r>
              <w:t>指标值</w:t>
            </w:r>
          </w:p>
        </w:tc>
        <w:tc>
          <w:tcPr>
            <w:tcW w:w="1826" w:type="dxa"/>
            <w:vAlign w:val="center"/>
          </w:tcPr>
          <w:p w14:paraId="6711B728">
            <w:pPr>
              <w:pStyle w:val="11"/>
            </w:pPr>
            <w:r>
              <w:t>指标值确定依据</w:t>
            </w:r>
          </w:p>
        </w:tc>
      </w:tr>
      <w:tr w14:paraId="23FDA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CCA1B">
            <w:pPr>
              <w:pStyle w:val="12"/>
            </w:pPr>
            <w:r>
              <w:t>产出指标</w:t>
            </w:r>
          </w:p>
        </w:tc>
        <w:tc>
          <w:tcPr>
            <w:tcW w:w="2268" w:type="dxa"/>
            <w:vAlign w:val="center"/>
          </w:tcPr>
          <w:p w14:paraId="3EC39A5C">
            <w:pPr>
              <w:pStyle w:val="13"/>
            </w:pPr>
            <w:r>
              <w:t>数量指标</w:t>
            </w:r>
          </w:p>
        </w:tc>
        <w:tc>
          <w:tcPr>
            <w:tcW w:w="2835" w:type="dxa"/>
            <w:vAlign w:val="center"/>
          </w:tcPr>
          <w:p w14:paraId="478952BA">
            <w:pPr>
              <w:pStyle w:val="13"/>
            </w:pPr>
            <w:r>
              <w:t>就读学生数</w:t>
            </w:r>
          </w:p>
        </w:tc>
        <w:tc>
          <w:tcPr>
            <w:tcW w:w="5386" w:type="dxa"/>
            <w:vAlign w:val="center"/>
          </w:tcPr>
          <w:p w14:paraId="4A3297FD">
            <w:pPr>
              <w:pStyle w:val="13"/>
            </w:pPr>
            <w:r>
              <w:t>辐射区域内适龄学生人数</w:t>
            </w:r>
          </w:p>
        </w:tc>
        <w:tc>
          <w:tcPr>
            <w:tcW w:w="1718" w:type="dxa"/>
            <w:vAlign w:val="center"/>
          </w:tcPr>
          <w:p w14:paraId="0B29A670">
            <w:pPr>
              <w:pStyle w:val="13"/>
            </w:pPr>
            <w:r>
              <w:t>1115人</w:t>
            </w:r>
          </w:p>
        </w:tc>
        <w:tc>
          <w:tcPr>
            <w:tcW w:w="1826" w:type="dxa"/>
            <w:vAlign w:val="center"/>
          </w:tcPr>
          <w:p w14:paraId="1F1E9289">
            <w:pPr>
              <w:pStyle w:val="13"/>
            </w:pPr>
            <w:r>
              <w:t>城乡义务教育公用经费管理办法</w:t>
            </w:r>
          </w:p>
        </w:tc>
      </w:tr>
      <w:tr w14:paraId="23AEC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96720"/>
        </w:tc>
        <w:tc>
          <w:tcPr>
            <w:tcW w:w="2268" w:type="dxa"/>
            <w:vAlign w:val="center"/>
          </w:tcPr>
          <w:p w14:paraId="6C16ABE3">
            <w:pPr>
              <w:pStyle w:val="13"/>
            </w:pPr>
            <w:r>
              <w:t>质量指标</w:t>
            </w:r>
          </w:p>
        </w:tc>
        <w:tc>
          <w:tcPr>
            <w:tcW w:w="2835" w:type="dxa"/>
            <w:vAlign w:val="center"/>
          </w:tcPr>
          <w:p w14:paraId="4156F36A">
            <w:pPr>
              <w:pStyle w:val="13"/>
            </w:pPr>
            <w:r>
              <w:t>预算执行率</w:t>
            </w:r>
          </w:p>
        </w:tc>
        <w:tc>
          <w:tcPr>
            <w:tcW w:w="5386" w:type="dxa"/>
            <w:vAlign w:val="center"/>
          </w:tcPr>
          <w:p w14:paraId="6F0D3F63">
            <w:pPr>
              <w:pStyle w:val="13"/>
            </w:pPr>
            <w:r>
              <w:t>预算执行率</w:t>
            </w:r>
          </w:p>
        </w:tc>
        <w:tc>
          <w:tcPr>
            <w:tcW w:w="1718" w:type="dxa"/>
            <w:vAlign w:val="center"/>
          </w:tcPr>
          <w:p w14:paraId="69030520">
            <w:pPr>
              <w:pStyle w:val="13"/>
            </w:pPr>
            <w:r>
              <w:t>≥98%</w:t>
            </w:r>
          </w:p>
        </w:tc>
        <w:tc>
          <w:tcPr>
            <w:tcW w:w="1826" w:type="dxa"/>
            <w:vAlign w:val="center"/>
          </w:tcPr>
          <w:p w14:paraId="3DA6A0C1">
            <w:pPr>
              <w:pStyle w:val="13"/>
            </w:pPr>
            <w:r>
              <w:t>城乡义务教育公用经费管理办法</w:t>
            </w:r>
          </w:p>
        </w:tc>
      </w:tr>
      <w:tr w14:paraId="2BFD5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011E9"/>
        </w:tc>
        <w:tc>
          <w:tcPr>
            <w:tcW w:w="2268" w:type="dxa"/>
            <w:vAlign w:val="center"/>
          </w:tcPr>
          <w:p w14:paraId="39952C11">
            <w:pPr>
              <w:pStyle w:val="13"/>
            </w:pPr>
            <w:r>
              <w:t>时效指标</w:t>
            </w:r>
          </w:p>
        </w:tc>
        <w:tc>
          <w:tcPr>
            <w:tcW w:w="2835" w:type="dxa"/>
            <w:vAlign w:val="center"/>
          </w:tcPr>
          <w:p w14:paraId="261EF903">
            <w:pPr>
              <w:pStyle w:val="13"/>
            </w:pPr>
            <w:r>
              <w:t>义教经费支付完成率</w:t>
            </w:r>
          </w:p>
        </w:tc>
        <w:tc>
          <w:tcPr>
            <w:tcW w:w="5386" w:type="dxa"/>
            <w:vAlign w:val="center"/>
          </w:tcPr>
          <w:p w14:paraId="50266DC3">
            <w:pPr>
              <w:pStyle w:val="13"/>
            </w:pPr>
            <w:r>
              <w:t>按照序时进度完成资金支付</w:t>
            </w:r>
          </w:p>
        </w:tc>
        <w:tc>
          <w:tcPr>
            <w:tcW w:w="1718" w:type="dxa"/>
            <w:vAlign w:val="center"/>
          </w:tcPr>
          <w:p w14:paraId="3E98E340">
            <w:pPr>
              <w:pStyle w:val="13"/>
            </w:pPr>
            <w:r>
              <w:t>≥100%</w:t>
            </w:r>
          </w:p>
        </w:tc>
        <w:tc>
          <w:tcPr>
            <w:tcW w:w="1826" w:type="dxa"/>
            <w:vAlign w:val="center"/>
          </w:tcPr>
          <w:p w14:paraId="105C4FF3">
            <w:pPr>
              <w:pStyle w:val="13"/>
            </w:pPr>
            <w:r>
              <w:t>城乡义务教育公用经费管理办法</w:t>
            </w:r>
          </w:p>
        </w:tc>
      </w:tr>
      <w:tr w14:paraId="7415A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A4311"/>
        </w:tc>
        <w:tc>
          <w:tcPr>
            <w:tcW w:w="2268" w:type="dxa"/>
            <w:vAlign w:val="center"/>
          </w:tcPr>
          <w:p w14:paraId="6B86D3B3">
            <w:pPr>
              <w:pStyle w:val="13"/>
            </w:pPr>
            <w:r>
              <w:t>成本指标</w:t>
            </w:r>
          </w:p>
        </w:tc>
        <w:tc>
          <w:tcPr>
            <w:tcW w:w="2835" w:type="dxa"/>
            <w:vAlign w:val="center"/>
          </w:tcPr>
          <w:p w14:paraId="07A7D17E">
            <w:pPr>
              <w:pStyle w:val="13"/>
            </w:pPr>
            <w:r>
              <w:t>生均拨款标准</w:t>
            </w:r>
          </w:p>
        </w:tc>
        <w:tc>
          <w:tcPr>
            <w:tcW w:w="5386" w:type="dxa"/>
            <w:vAlign w:val="center"/>
          </w:tcPr>
          <w:p w14:paraId="28CD8DEF">
            <w:pPr>
              <w:pStyle w:val="13"/>
            </w:pPr>
            <w:r>
              <w:t>小学：（基本标准720元、寄宿生300元、生活补助120元）/生/学年；特教、随班就读学生：标准7000元/生/学年</w:t>
            </w:r>
          </w:p>
        </w:tc>
        <w:tc>
          <w:tcPr>
            <w:tcW w:w="1718" w:type="dxa"/>
            <w:vAlign w:val="center"/>
          </w:tcPr>
          <w:p w14:paraId="0DD0E2D2">
            <w:pPr>
              <w:pStyle w:val="13"/>
            </w:pPr>
            <w:r>
              <w:t>840元</w:t>
            </w:r>
          </w:p>
        </w:tc>
        <w:tc>
          <w:tcPr>
            <w:tcW w:w="1826" w:type="dxa"/>
            <w:vAlign w:val="center"/>
          </w:tcPr>
          <w:p w14:paraId="769A843C">
            <w:pPr>
              <w:pStyle w:val="13"/>
            </w:pPr>
            <w:r>
              <w:t>城乡义务教育公用经费管理办法</w:t>
            </w:r>
          </w:p>
        </w:tc>
      </w:tr>
      <w:tr w14:paraId="4E6E3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C97660">
            <w:pPr>
              <w:pStyle w:val="12"/>
            </w:pPr>
            <w:r>
              <w:t>效益指标</w:t>
            </w:r>
          </w:p>
        </w:tc>
        <w:tc>
          <w:tcPr>
            <w:tcW w:w="2268" w:type="dxa"/>
            <w:vAlign w:val="center"/>
          </w:tcPr>
          <w:p w14:paraId="4C8EEE9B">
            <w:pPr>
              <w:pStyle w:val="13"/>
            </w:pPr>
            <w:r>
              <w:t>社会效益指标</w:t>
            </w:r>
          </w:p>
        </w:tc>
        <w:tc>
          <w:tcPr>
            <w:tcW w:w="2835" w:type="dxa"/>
            <w:vAlign w:val="center"/>
          </w:tcPr>
          <w:p w14:paraId="555AE571">
            <w:pPr>
              <w:pStyle w:val="13"/>
            </w:pPr>
            <w:r>
              <w:t>学校稳定率</w:t>
            </w:r>
          </w:p>
        </w:tc>
        <w:tc>
          <w:tcPr>
            <w:tcW w:w="5386" w:type="dxa"/>
            <w:vAlign w:val="center"/>
          </w:tcPr>
          <w:p w14:paraId="0AA2A2CD">
            <w:pPr>
              <w:pStyle w:val="13"/>
            </w:pPr>
            <w:r>
              <w:t>维护学校稳定，保障学校正常教学秩序有效开展</w:t>
            </w:r>
          </w:p>
        </w:tc>
        <w:tc>
          <w:tcPr>
            <w:tcW w:w="1718" w:type="dxa"/>
            <w:vAlign w:val="center"/>
          </w:tcPr>
          <w:p w14:paraId="0FC77965">
            <w:pPr>
              <w:pStyle w:val="13"/>
            </w:pPr>
            <w:r>
              <w:t>≥100%</w:t>
            </w:r>
          </w:p>
        </w:tc>
        <w:tc>
          <w:tcPr>
            <w:tcW w:w="1826" w:type="dxa"/>
            <w:vAlign w:val="center"/>
          </w:tcPr>
          <w:p w14:paraId="21A3656C">
            <w:pPr>
              <w:pStyle w:val="13"/>
            </w:pPr>
            <w:r>
              <w:t>城乡义务教育公用经费管理办法</w:t>
            </w:r>
          </w:p>
        </w:tc>
      </w:tr>
      <w:tr w14:paraId="520DE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EE1B30">
            <w:pPr>
              <w:pStyle w:val="12"/>
            </w:pPr>
            <w:r>
              <w:t>满意度指标</w:t>
            </w:r>
          </w:p>
        </w:tc>
        <w:tc>
          <w:tcPr>
            <w:tcW w:w="2268" w:type="dxa"/>
            <w:vAlign w:val="center"/>
          </w:tcPr>
          <w:p w14:paraId="10A2E36E">
            <w:pPr>
              <w:pStyle w:val="13"/>
            </w:pPr>
            <w:r>
              <w:t>服务对象满意度指标</w:t>
            </w:r>
          </w:p>
        </w:tc>
        <w:tc>
          <w:tcPr>
            <w:tcW w:w="2835" w:type="dxa"/>
            <w:vAlign w:val="center"/>
          </w:tcPr>
          <w:p w14:paraId="10B37EA1">
            <w:pPr>
              <w:pStyle w:val="13"/>
            </w:pPr>
            <w:r>
              <w:t>家长和学生满意度</w:t>
            </w:r>
          </w:p>
        </w:tc>
        <w:tc>
          <w:tcPr>
            <w:tcW w:w="5386" w:type="dxa"/>
            <w:vAlign w:val="center"/>
          </w:tcPr>
          <w:p w14:paraId="5055996F">
            <w:pPr>
              <w:pStyle w:val="13"/>
            </w:pPr>
            <w:r>
              <w:t>家长和学生满意度</w:t>
            </w:r>
          </w:p>
        </w:tc>
        <w:tc>
          <w:tcPr>
            <w:tcW w:w="1718" w:type="dxa"/>
            <w:vAlign w:val="center"/>
          </w:tcPr>
          <w:p w14:paraId="2F9DBBCB">
            <w:pPr>
              <w:pStyle w:val="13"/>
            </w:pPr>
            <w:r>
              <w:t>≥95%</w:t>
            </w:r>
          </w:p>
        </w:tc>
        <w:tc>
          <w:tcPr>
            <w:tcW w:w="1826" w:type="dxa"/>
            <w:vAlign w:val="center"/>
          </w:tcPr>
          <w:p w14:paraId="53570531">
            <w:pPr>
              <w:pStyle w:val="13"/>
            </w:pPr>
            <w:r>
              <w:t>问卷调查</w:t>
            </w:r>
          </w:p>
        </w:tc>
      </w:tr>
    </w:tbl>
    <w:p w14:paraId="5B031868">
      <w:pPr>
        <w:sectPr>
          <w:pgSz w:w="16840" w:h="11900" w:orient="landscape"/>
          <w:pgMar w:top="1361" w:right="1020" w:bottom="1134" w:left="1020" w:header="720" w:footer="720" w:gutter="0"/>
          <w:cols w:space="720" w:num="1"/>
        </w:sectPr>
      </w:pPr>
    </w:p>
    <w:p w14:paraId="488AFC5A">
      <w:pPr>
        <w:spacing w:before="0" w:after="0"/>
        <w:ind w:firstLine="560"/>
        <w:jc w:val="left"/>
        <w:outlineLvl w:val="9"/>
      </w:pPr>
      <w:r>
        <w:rPr>
          <w:rFonts w:ascii="方正仿宋_GBK" w:hAnsi="方正仿宋_GBK" w:eastAsia="方正仿宋_GBK" w:cs="方正仿宋_GBK"/>
          <w:b/>
          <w:color w:val="000000"/>
          <w:sz w:val="28"/>
        </w:rPr>
        <w:t>15、冀财教[2024]141号/省级/2025年义教补助经费/固城小学公用经费绩效目标表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E6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AC166">
            <w:pPr>
              <w:pStyle w:val="14"/>
            </w:pPr>
            <w:r>
              <w:t>单位：万元</w:t>
            </w:r>
          </w:p>
        </w:tc>
      </w:tr>
      <w:tr w14:paraId="6C0D2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B8357E8">
            <w:pPr>
              <w:pStyle w:val="11"/>
            </w:pPr>
            <w:r>
              <w:t>项目编码</w:t>
            </w:r>
          </w:p>
        </w:tc>
        <w:tc>
          <w:tcPr>
            <w:tcW w:w="5103" w:type="dxa"/>
            <w:gridSpan w:val="2"/>
            <w:vAlign w:val="center"/>
          </w:tcPr>
          <w:p w14:paraId="391020E8">
            <w:pPr>
              <w:pStyle w:val="13"/>
            </w:pPr>
            <w:r>
              <w:t>13052525P00000410177M</w:t>
            </w:r>
          </w:p>
        </w:tc>
        <w:tc>
          <w:tcPr>
            <w:tcW w:w="2835" w:type="dxa"/>
            <w:vAlign w:val="center"/>
          </w:tcPr>
          <w:p w14:paraId="18E3443E">
            <w:pPr>
              <w:pStyle w:val="11"/>
            </w:pPr>
            <w:r>
              <w:t>项目名称</w:t>
            </w:r>
          </w:p>
        </w:tc>
        <w:tc>
          <w:tcPr>
            <w:tcW w:w="6095" w:type="dxa"/>
            <w:gridSpan w:val="3"/>
            <w:vAlign w:val="center"/>
          </w:tcPr>
          <w:p w14:paraId="6A589F22">
            <w:pPr>
              <w:pStyle w:val="13"/>
            </w:pPr>
            <w:r>
              <w:t>冀财教[2024]141号/省级/2025年义教补助经费/固城小学公用经费</w:t>
            </w:r>
          </w:p>
        </w:tc>
      </w:tr>
      <w:tr w14:paraId="55232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D8D82">
            <w:pPr>
              <w:pStyle w:val="11"/>
            </w:pPr>
            <w:r>
              <w:t>预算规模及资金用途</w:t>
            </w:r>
          </w:p>
        </w:tc>
        <w:tc>
          <w:tcPr>
            <w:tcW w:w="2268" w:type="dxa"/>
            <w:vAlign w:val="center"/>
          </w:tcPr>
          <w:p w14:paraId="289244E4">
            <w:pPr>
              <w:pStyle w:val="11"/>
            </w:pPr>
            <w:r>
              <w:t>预算数</w:t>
            </w:r>
          </w:p>
        </w:tc>
        <w:tc>
          <w:tcPr>
            <w:tcW w:w="2835" w:type="dxa"/>
            <w:vAlign w:val="center"/>
          </w:tcPr>
          <w:p w14:paraId="4DA22194">
            <w:pPr>
              <w:pStyle w:val="13"/>
            </w:pPr>
            <w:r>
              <w:t>12.75</w:t>
            </w:r>
          </w:p>
        </w:tc>
        <w:tc>
          <w:tcPr>
            <w:tcW w:w="2835" w:type="dxa"/>
            <w:vAlign w:val="center"/>
          </w:tcPr>
          <w:p w14:paraId="58BF472C">
            <w:pPr>
              <w:pStyle w:val="11"/>
            </w:pPr>
            <w:r>
              <w:t>其中：财政    资金</w:t>
            </w:r>
          </w:p>
        </w:tc>
        <w:tc>
          <w:tcPr>
            <w:tcW w:w="2551" w:type="dxa"/>
            <w:vAlign w:val="center"/>
          </w:tcPr>
          <w:p w14:paraId="0B3CABEE">
            <w:pPr>
              <w:pStyle w:val="13"/>
            </w:pPr>
            <w:r>
              <w:t>12.75</w:t>
            </w:r>
          </w:p>
        </w:tc>
        <w:tc>
          <w:tcPr>
            <w:tcW w:w="2268" w:type="dxa"/>
            <w:vAlign w:val="center"/>
          </w:tcPr>
          <w:p w14:paraId="3E72BCE3">
            <w:pPr>
              <w:pStyle w:val="11"/>
            </w:pPr>
            <w:r>
              <w:t>其他资金</w:t>
            </w:r>
          </w:p>
        </w:tc>
        <w:tc>
          <w:tcPr>
            <w:tcW w:w="1276" w:type="dxa"/>
            <w:vAlign w:val="center"/>
          </w:tcPr>
          <w:p w14:paraId="289CBA2F">
            <w:pPr>
              <w:pStyle w:val="13"/>
            </w:pPr>
            <w:r>
              <w:t xml:space="preserve"> </w:t>
            </w:r>
          </w:p>
        </w:tc>
      </w:tr>
      <w:tr w14:paraId="11F10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CC472C"/>
        </w:tc>
        <w:tc>
          <w:tcPr>
            <w:tcW w:w="14033" w:type="dxa"/>
            <w:gridSpan w:val="6"/>
            <w:vAlign w:val="center"/>
          </w:tcPr>
          <w:p w14:paraId="620A8846">
            <w:pPr>
              <w:pStyle w:val="13"/>
            </w:pPr>
            <w:r>
              <w:t>用于有效完成学校教学安全秩序，保障学校教学任务有效开展，满足学校正常教学需要。</w:t>
            </w:r>
            <w:r>
              <w:tab/>
            </w:r>
          </w:p>
        </w:tc>
      </w:tr>
      <w:tr w14:paraId="1634F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DB72B">
            <w:pPr>
              <w:pStyle w:val="11"/>
            </w:pPr>
            <w:r>
              <w:t>资金支出计划（%）</w:t>
            </w:r>
          </w:p>
        </w:tc>
        <w:tc>
          <w:tcPr>
            <w:tcW w:w="5103" w:type="dxa"/>
            <w:gridSpan w:val="2"/>
            <w:vAlign w:val="center"/>
          </w:tcPr>
          <w:p w14:paraId="6A87E092">
            <w:pPr>
              <w:pStyle w:val="11"/>
            </w:pPr>
            <w:r>
              <w:t>3月底</w:t>
            </w:r>
          </w:p>
        </w:tc>
        <w:tc>
          <w:tcPr>
            <w:tcW w:w="2835" w:type="dxa"/>
            <w:vAlign w:val="center"/>
          </w:tcPr>
          <w:p w14:paraId="2A256A2D">
            <w:pPr>
              <w:pStyle w:val="11"/>
            </w:pPr>
            <w:r>
              <w:t>6月底</w:t>
            </w:r>
          </w:p>
        </w:tc>
        <w:tc>
          <w:tcPr>
            <w:tcW w:w="2551" w:type="dxa"/>
            <w:vAlign w:val="center"/>
          </w:tcPr>
          <w:p w14:paraId="12545A0D">
            <w:pPr>
              <w:pStyle w:val="11"/>
            </w:pPr>
            <w:r>
              <w:t>10月底</w:t>
            </w:r>
          </w:p>
        </w:tc>
        <w:tc>
          <w:tcPr>
            <w:tcW w:w="3544" w:type="dxa"/>
            <w:gridSpan w:val="2"/>
            <w:vAlign w:val="center"/>
          </w:tcPr>
          <w:p w14:paraId="7C7062BA">
            <w:pPr>
              <w:pStyle w:val="11"/>
            </w:pPr>
            <w:r>
              <w:t>12月底</w:t>
            </w:r>
          </w:p>
        </w:tc>
      </w:tr>
      <w:tr w14:paraId="6BBA2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2C894B"/>
        </w:tc>
        <w:tc>
          <w:tcPr>
            <w:tcW w:w="5103" w:type="dxa"/>
            <w:gridSpan w:val="2"/>
            <w:vAlign w:val="center"/>
          </w:tcPr>
          <w:p w14:paraId="43C02545">
            <w:pPr>
              <w:pStyle w:val="12"/>
            </w:pPr>
            <w:r>
              <w:t>25%</w:t>
            </w:r>
          </w:p>
        </w:tc>
        <w:tc>
          <w:tcPr>
            <w:tcW w:w="2835" w:type="dxa"/>
            <w:vAlign w:val="center"/>
          </w:tcPr>
          <w:p w14:paraId="46951B4F">
            <w:pPr>
              <w:pStyle w:val="12"/>
            </w:pPr>
            <w:r>
              <w:t>50%</w:t>
            </w:r>
          </w:p>
        </w:tc>
        <w:tc>
          <w:tcPr>
            <w:tcW w:w="2551" w:type="dxa"/>
            <w:vAlign w:val="center"/>
          </w:tcPr>
          <w:p w14:paraId="0DDD592D">
            <w:pPr>
              <w:pStyle w:val="12"/>
            </w:pPr>
            <w:r>
              <w:t>75%</w:t>
            </w:r>
          </w:p>
        </w:tc>
        <w:tc>
          <w:tcPr>
            <w:tcW w:w="3544" w:type="dxa"/>
            <w:gridSpan w:val="2"/>
            <w:vAlign w:val="center"/>
          </w:tcPr>
          <w:p w14:paraId="6D19BD5B">
            <w:pPr>
              <w:pStyle w:val="12"/>
            </w:pPr>
            <w:r>
              <w:t>100%</w:t>
            </w:r>
          </w:p>
        </w:tc>
      </w:tr>
      <w:tr w14:paraId="72DB1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5279F">
            <w:pPr>
              <w:pStyle w:val="11"/>
            </w:pPr>
            <w:r>
              <w:t>绩效目标</w:t>
            </w:r>
          </w:p>
        </w:tc>
        <w:tc>
          <w:tcPr>
            <w:tcW w:w="14033" w:type="dxa"/>
            <w:gridSpan w:val="6"/>
            <w:vAlign w:val="center"/>
          </w:tcPr>
          <w:p w14:paraId="165C927B">
            <w:pPr>
              <w:pStyle w:val="13"/>
            </w:pPr>
            <w:r>
              <w:t>1.有效完成学校教学安全秩序，保障学校教学任务有效开展，满足学校正常教学需要。</w:t>
            </w:r>
            <w:r>
              <w:tab/>
            </w:r>
          </w:p>
          <w:p w14:paraId="7CDCE371">
            <w:pPr>
              <w:pStyle w:val="13"/>
            </w:pPr>
            <w:r>
              <w:t>2.按规定拨付公用经费资金，预算执行率≥98%。</w:t>
            </w:r>
            <w:r>
              <w:tab/>
            </w:r>
            <w:r>
              <w:tab/>
            </w:r>
            <w:r>
              <w:tab/>
            </w:r>
            <w:r>
              <w:tab/>
            </w:r>
            <w:r>
              <w:tab/>
            </w:r>
            <w:r>
              <w:tab/>
            </w:r>
          </w:p>
        </w:tc>
      </w:tr>
    </w:tbl>
    <w:p w14:paraId="09D1E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ED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181B6">
            <w:pPr>
              <w:pStyle w:val="11"/>
            </w:pPr>
            <w:r>
              <w:t>一级指标</w:t>
            </w:r>
          </w:p>
        </w:tc>
        <w:tc>
          <w:tcPr>
            <w:tcW w:w="2268" w:type="dxa"/>
            <w:vAlign w:val="center"/>
          </w:tcPr>
          <w:p w14:paraId="061F533C">
            <w:pPr>
              <w:pStyle w:val="11"/>
            </w:pPr>
            <w:r>
              <w:t>二级指标</w:t>
            </w:r>
          </w:p>
        </w:tc>
        <w:tc>
          <w:tcPr>
            <w:tcW w:w="2835" w:type="dxa"/>
            <w:vAlign w:val="center"/>
          </w:tcPr>
          <w:p w14:paraId="690F79CA">
            <w:pPr>
              <w:pStyle w:val="11"/>
            </w:pPr>
            <w:r>
              <w:t>三级指标</w:t>
            </w:r>
          </w:p>
        </w:tc>
        <w:tc>
          <w:tcPr>
            <w:tcW w:w="5386" w:type="dxa"/>
            <w:vAlign w:val="center"/>
          </w:tcPr>
          <w:p w14:paraId="1B58F125">
            <w:pPr>
              <w:pStyle w:val="11"/>
            </w:pPr>
            <w:r>
              <w:t>绩效指标描述</w:t>
            </w:r>
          </w:p>
        </w:tc>
        <w:tc>
          <w:tcPr>
            <w:tcW w:w="2268" w:type="dxa"/>
            <w:vAlign w:val="center"/>
          </w:tcPr>
          <w:p w14:paraId="2968DEE0">
            <w:pPr>
              <w:pStyle w:val="11"/>
            </w:pPr>
            <w:r>
              <w:t>指标值</w:t>
            </w:r>
          </w:p>
        </w:tc>
        <w:tc>
          <w:tcPr>
            <w:tcW w:w="1276" w:type="dxa"/>
            <w:vAlign w:val="center"/>
          </w:tcPr>
          <w:p w14:paraId="75853CF6">
            <w:pPr>
              <w:pStyle w:val="11"/>
            </w:pPr>
            <w:r>
              <w:t>指标值确定依据</w:t>
            </w:r>
          </w:p>
        </w:tc>
      </w:tr>
      <w:tr w14:paraId="4AC14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59CC2">
            <w:pPr>
              <w:pStyle w:val="12"/>
            </w:pPr>
            <w:r>
              <w:t>产出指标</w:t>
            </w:r>
          </w:p>
        </w:tc>
        <w:tc>
          <w:tcPr>
            <w:tcW w:w="2268" w:type="dxa"/>
            <w:vAlign w:val="center"/>
          </w:tcPr>
          <w:p w14:paraId="0933E2AB">
            <w:pPr>
              <w:pStyle w:val="13"/>
            </w:pPr>
            <w:r>
              <w:t>数量指标</w:t>
            </w:r>
          </w:p>
        </w:tc>
        <w:tc>
          <w:tcPr>
            <w:tcW w:w="2835" w:type="dxa"/>
            <w:vAlign w:val="center"/>
          </w:tcPr>
          <w:p w14:paraId="7BFD77A7">
            <w:pPr>
              <w:pStyle w:val="13"/>
            </w:pPr>
            <w:r>
              <w:t>就读学生数</w:t>
            </w:r>
          </w:p>
        </w:tc>
        <w:tc>
          <w:tcPr>
            <w:tcW w:w="5386" w:type="dxa"/>
            <w:vAlign w:val="center"/>
          </w:tcPr>
          <w:p w14:paraId="0915CC64">
            <w:pPr>
              <w:pStyle w:val="13"/>
            </w:pPr>
            <w:r>
              <w:t>辐射区域内适龄学生人数</w:t>
            </w:r>
          </w:p>
        </w:tc>
        <w:tc>
          <w:tcPr>
            <w:tcW w:w="2268" w:type="dxa"/>
            <w:vAlign w:val="center"/>
          </w:tcPr>
          <w:p w14:paraId="3E8783CC">
            <w:pPr>
              <w:pStyle w:val="13"/>
            </w:pPr>
            <w:r>
              <w:t>468人</w:t>
            </w:r>
          </w:p>
        </w:tc>
        <w:tc>
          <w:tcPr>
            <w:tcW w:w="1276" w:type="dxa"/>
            <w:vAlign w:val="center"/>
          </w:tcPr>
          <w:p w14:paraId="61BBD50F">
            <w:pPr>
              <w:pStyle w:val="13"/>
            </w:pPr>
            <w:r>
              <w:t>城乡义务教育公用经费管理办法</w:t>
            </w:r>
          </w:p>
        </w:tc>
      </w:tr>
      <w:tr w14:paraId="335E6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403B7"/>
        </w:tc>
        <w:tc>
          <w:tcPr>
            <w:tcW w:w="2268" w:type="dxa"/>
            <w:vAlign w:val="center"/>
          </w:tcPr>
          <w:p w14:paraId="110A486A">
            <w:pPr>
              <w:pStyle w:val="13"/>
            </w:pPr>
            <w:r>
              <w:t>质量指标</w:t>
            </w:r>
          </w:p>
        </w:tc>
        <w:tc>
          <w:tcPr>
            <w:tcW w:w="2835" w:type="dxa"/>
            <w:vAlign w:val="center"/>
          </w:tcPr>
          <w:p w14:paraId="408865EB">
            <w:pPr>
              <w:pStyle w:val="13"/>
            </w:pPr>
            <w:r>
              <w:t>预算执行率</w:t>
            </w:r>
          </w:p>
        </w:tc>
        <w:tc>
          <w:tcPr>
            <w:tcW w:w="5386" w:type="dxa"/>
            <w:vAlign w:val="center"/>
          </w:tcPr>
          <w:p w14:paraId="3290DCFD">
            <w:pPr>
              <w:pStyle w:val="13"/>
            </w:pPr>
            <w:r>
              <w:t>预算执行率</w:t>
            </w:r>
          </w:p>
        </w:tc>
        <w:tc>
          <w:tcPr>
            <w:tcW w:w="2268" w:type="dxa"/>
            <w:vAlign w:val="center"/>
          </w:tcPr>
          <w:p w14:paraId="16B208B4">
            <w:pPr>
              <w:pStyle w:val="13"/>
            </w:pPr>
            <w:r>
              <w:t>≥98%</w:t>
            </w:r>
          </w:p>
        </w:tc>
        <w:tc>
          <w:tcPr>
            <w:tcW w:w="1276" w:type="dxa"/>
            <w:vAlign w:val="center"/>
          </w:tcPr>
          <w:p w14:paraId="6120FF3E">
            <w:pPr>
              <w:pStyle w:val="13"/>
            </w:pPr>
            <w:r>
              <w:t>城乡义务教育公用经费管理办法</w:t>
            </w:r>
          </w:p>
        </w:tc>
      </w:tr>
      <w:tr w14:paraId="1F91F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A84C6"/>
        </w:tc>
        <w:tc>
          <w:tcPr>
            <w:tcW w:w="2268" w:type="dxa"/>
            <w:vAlign w:val="center"/>
          </w:tcPr>
          <w:p w14:paraId="5426D139">
            <w:pPr>
              <w:pStyle w:val="13"/>
            </w:pPr>
            <w:r>
              <w:t>时效指标</w:t>
            </w:r>
          </w:p>
        </w:tc>
        <w:tc>
          <w:tcPr>
            <w:tcW w:w="2835" w:type="dxa"/>
            <w:vAlign w:val="center"/>
          </w:tcPr>
          <w:p w14:paraId="47CA9249">
            <w:pPr>
              <w:pStyle w:val="13"/>
            </w:pPr>
            <w:r>
              <w:t>义教经费支付完成率</w:t>
            </w:r>
          </w:p>
        </w:tc>
        <w:tc>
          <w:tcPr>
            <w:tcW w:w="5386" w:type="dxa"/>
            <w:vAlign w:val="center"/>
          </w:tcPr>
          <w:p w14:paraId="3844E888">
            <w:pPr>
              <w:pStyle w:val="13"/>
            </w:pPr>
            <w:r>
              <w:t>按照序时进度完成资金支付</w:t>
            </w:r>
          </w:p>
        </w:tc>
        <w:tc>
          <w:tcPr>
            <w:tcW w:w="2268" w:type="dxa"/>
            <w:vAlign w:val="center"/>
          </w:tcPr>
          <w:p w14:paraId="500A90FE">
            <w:pPr>
              <w:pStyle w:val="13"/>
            </w:pPr>
            <w:r>
              <w:t>≥100%</w:t>
            </w:r>
          </w:p>
        </w:tc>
        <w:tc>
          <w:tcPr>
            <w:tcW w:w="1276" w:type="dxa"/>
            <w:vAlign w:val="center"/>
          </w:tcPr>
          <w:p w14:paraId="6325888D">
            <w:pPr>
              <w:pStyle w:val="13"/>
            </w:pPr>
            <w:r>
              <w:t>城乡义务教育公用经费管理办法</w:t>
            </w:r>
          </w:p>
        </w:tc>
      </w:tr>
      <w:tr w14:paraId="46269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9E161"/>
        </w:tc>
        <w:tc>
          <w:tcPr>
            <w:tcW w:w="2268" w:type="dxa"/>
            <w:vAlign w:val="center"/>
          </w:tcPr>
          <w:p w14:paraId="3321504F">
            <w:pPr>
              <w:pStyle w:val="13"/>
            </w:pPr>
            <w:r>
              <w:t>成本指标</w:t>
            </w:r>
          </w:p>
        </w:tc>
        <w:tc>
          <w:tcPr>
            <w:tcW w:w="2835" w:type="dxa"/>
            <w:vAlign w:val="center"/>
          </w:tcPr>
          <w:p w14:paraId="3DE53407">
            <w:pPr>
              <w:pStyle w:val="13"/>
            </w:pPr>
            <w:r>
              <w:t>生均拨款标准</w:t>
            </w:r>
          </w:p>
        </w:tc>
        <w:tc>
          <w:tcPr>
            <w:tcW w:w="5386" w:type="dxa"/>
            <w:vAlign w:val="center"/>
          </w:tcPr>
          <w:p w14:paraId="508CC68C">
            <w:pPr>
              <w:pStyle w:val="13"/>
            </w:pPr>
            <w:r>
              <w:t>小学：（基本标准720元、寄宿生300元、生活补助120元）/生/学年；特教、随班就读学生：标准7000元/生/学年</w:t>
            </w:r>
          </w:p>
        </w:tc>
        <w:tc>
          <w:tcPr>
            <w:tcW w:w="2268" w:type="dxa"/>
            <w:vAlign w:val="center"/>
          </w:tcPr>
          <w:p w14:paraId="154A6091">
            <w:pPr>
              <w:pStyle w:val="13"/>
            </w:pPr>
            <w:r>
              <w:t>840元</w:t>
            </w:r>
          </w:p>
        </w:tc>
        <w:tc>
          <w:tcPr>
            <w:tcW w:w="1276" w:type="dxa"/>
            <w:vAlign w:val="center"/>
          </w:tcPr>
          <w:p w14:paraId="07F4E285">
            <w:pPr>
              <w:pStyle w:val="13"/>
            </w:pPr>
            <w:r>
              <w:t>城乡义务教育公用经费管理办法</w:t>
            </w:r>
          </w:p>
        </w:tc>
      </w:tr>
      <w:tr w14:paraId="20434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3D5E80">
            <w:pPr>
              <w:pStyle w:val="12"/>
            </w:pPr>
            <w:r>
              <w:t>效益指标</w:t>
            </w:r>
          </w:p>
        </w:tc>
        <w:tc>
          <w:tcPr>
            <w:tcW w:w="2268" w:type="dxa"/>
            <w:vAlign w:val="center"/>
          </w:tcPr>
          <w:p w14:paraId="753707C4">
            <w:pPr>
              <w:pStyle w:val="13"/>
            </w:pPr>
            <w:r>
              <w:t>社会效益指标</w:t>
            </w:r>
          </w:p>
        </w:tc>
        <w:tc>
          <w:tcPr>
            <w:tcW w:w="2835" w:type="dxa"/>
            <w:vAlign w:val="center"/>
          </w:tcPr>
          <w:p w14:paraId="3C8D38F0">
            <w:pPr>
              <w:pStyle w:val="13"/>
            </w:pPr>
            <w:r>
              <w:t>学校稳定率</w:t>
            </w:r>
          </w:p>
        </w:tc>
        <w:tc>
          <w:tcPr>
            <w:tcW w:w="5386" w:type="dxa"/>
            <w:vAlign w:val="center"/>
          </w:tcPr>
          <w:p w14:paraId="41D57C44">
            <w:pPr>
              <w:pStyle w:val="13"/>
            </w:pPr>
            <w:r>
              <w:t>维护学校稳定，保障学校正常教学秩序有效开展</w:t>
            </w:r>
          </w:p>
        </w:tc>
        <w:tc>
          <w:tcPr>
            <w:tcW w:w="2268" w:type="dxa"/>
            <w:vAlign w:val="center"/>
          </w:tcPr>
          <w:p w14:paraId="1E9C2EC0">
            <w:pPr>
              <w:pStyle w:val="13"/>
            </w:pPr>
            <w:r>
              <w:t>≥100%</w:t>
            </w:r>
          </w:p>
        </w:tc>
        <w:tc>
          <w:tcPr>
            <w:tcW w:w="1276" w:type="dxa"/>
            <w:vAlign w:val="center"/>
          </w:tcPr>
          <w:p w14:paraId="6A5DD69C">
            <w:pPr>
              <w:pStyle w:val="13"/>
            </w:pPr>
            <w:r>
              <w:t>城乡义务教育公用经费管理办法</w:t>
            </w:r>
          </w:p>
        </w:tc>
      </w:tr>
      <w:tr w14:paraId="01456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03DD27">
            <w:pPr>
              <w:pStyle w:val="12"/>
            </w:pPr>
            <w:r>
              <w:t>满意度指标</w:t>
            </w:r>
          </w:p>
        </w:tc>
        <w:tc>
          <w:tcPr>
            <w:tcW w:w="2268" w:type="dxa"/>
            <w:vAlign w:val="center"/>
          </w:tcPr>
          <w:p w14:paraId="7F462894">
            <w:pPr>
              <w:pStyle w:val="13"/>
            </w:pPr>
            <w:r>
              <w:t>服务对象满意度指标</w:t>
            </w:r>
          </w:p>
        </w:tc>
        <w:tc>
          <w:tcPr>
            <w:tcW w:w="2835" w:type="dxa"/>
            <w:vAlign w:val="center"/>
          </w:tcPr>
          <w:p w14:paraId="5F1F7D1A">
            <w:pPr>
              <w:pStyle w:val="13"/>
            </w:pPr>
            <w:r>
              <w:t>家长和学生满意度</w:t>
            </w:r>
          </w:p>
        </w:tc>
        <w:tc>
          <w:tcPr>
            <w:tcW w:w="5386" w:type="dxa"/>
            <w:vAlign w:val="center"/>
          </w:tcPr>
          <w:p w14:paraId="7DA689A0">
            <w:pPr>
              <w:pStyle w:val="13"/>
            </w:pPr>
            <w:r>
              <w:t>家长和学生满意度</w:t>
            </w:r>
          </w:p>
        </w:tc>
        <w:tc>
          <w:tcPr>
            <w:tcW w:w="2268" w:type="dxa"/>
            <w:vAlign w:val="center"/>
          </w:tcPr>
          <w:p w14:paraId="44B46518">
            <w:pPr>
              <w:pStyle w:val="13"/>
            </w:pPr>
            <w:r>
              <w:t>≥95%</w:t>
            </w:r>
          </w:p>
        </w:tc>
        <w:tc>
          <w:tcPr>
            <w:tcW w:w="1276" w:type="dxa"/>
            <w:vAlign w:val="center"/>
          </w:tcPr>
          <w:p w14:paraId="562C7D16">
            <w:pPr>
              <w:pStyle w:val="13"/>
            </w:pPr>
            <w:r>
              <w:t>问卷调查</w:t>
            </w:r>
          </w:p>
        </w:tc>
      </w:tr>
    </w:tbl>
    <w:p w14:paraId="40F89914">
      <w:pPr>
        <w:sectPr>
          <w:pgSz w:w="16840" w:h="11900" w:orient="landscape"/>
          <w:pgMar w:top="1361" w:right="1020" w:bottom="1134" w:left="1020" w:header="720" w:footer="720" w:gutter="0"/>
          <w:cols w:space="720" w:num="1"/>
        </w:sectPr>
      </w:pPr>
    </w:p>
    <w:p w14:paraId="0C112C58">
      <w:pPr>
        <w:spacing w:before="0" w:after="0"/>
        <w:ind w:firstLine="560"/>
        <w:jc w:val="left"/>
        <w:outlineLvl w:val="9"/>
      </w:pPr>
      <w:r>
        <w:rPr>
          <w:rFonts w:ascii="方正仿宋_GBK" w:hAnsi="方正仿宋_GBK" w:eastAsia="方正仿宋_GBK" w:cs="方正仿宋_GBK"/>
          <w:b/>
          <w:color w:val="000000"/>
          <w:sz w:val="28"/>
        </w:rPr>
        <w:t>16、冀财教[2024]141号/省级/2025年义教补助经费/火连庄小学公用经费绩效目标表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10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1A2F2">
            <w:pPr>
              <w:pStyle w:val="14"/>
            </w:pPr>
            <w:r>
              <w:t>单位：万元</w:t>
            </w:r>
          </w:p>
        </w:tc>
      </w:tr>
      <w:tr w14:paraId="143FB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CBEBC">
            <w:pPr>
              <w:pStyle w:val="11"/>
            </w:pPr>
            <w:r>
              <w:t>项目编码</w:t>
            </w:r>
          </w:p>
        </w:tc>
        <w:tc>
          <w:tcPr>
            <w:tcW w:w="5103" w:type="dxa"/>
            <w:gridSpan w:val="2"/>
            <w:vAlign w:val="center"/>
          </w:tcPr>
          <w:p w14:paraId="4D578FE7">
            <w:pPr>
              <w:pStyle w:val="13"/>
            </w:pPr>
            <w:r>
              <w:t>13052525P00000410181U</w:t>
            </w:r>
          </w:p>
        </w:tc>
        <w:tc>
          <w:tcPr>
            <w:tcW w:w="2835" w:type="dxa"/>
            <w:vAlign w:val="center"/>
          </w:tcPr>
          <w:p w14:paraId="0E474CA9">
            <w:pPr>
              <w:pStyle w:val="11"/>
            </w:pPr>
            <w:r>
              <w:t>项目名称</w:t>
            </w:r>
          </w:p>
        </w:tc>
        <w:tc>
          <w:tcPr>
            <w:tcW w:w="6095" w:type="dxa"/>
            <w:gridSpan w:val="3"/>
            <w:vAlign w:val="center"/>
          </w:tcPr>
          <w:p w14:paraId="3D1DC491">
            <w:pPr>
              <w:pStyle w:val="13"/>
            </w:pPr>
            <w:r>
              <w:t>冀财教[2024]141号/省级/2025年义教补助经费/火连庄小学公用经费</w:t>
            </w:r>
          </w:p>
        </w:tc>
      </w:tr>
      <w:tr w14:paraId="5FD95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087FE">
            <w:pPr>
              <w:pStyle w:val="11"/>
            </w:pPr>
            <w:r>
              <w:t>预算规模及资金用途</w:t>
            </w:r>
          </w:p>
        </w:tc>
        <w:tc>
          <w:tcPr>
            <w:tcW w:w="2268" w:type="dxa"/>
            <w:vAlign w:val="center"/>
          </w:tcPr>
          <w:p w14:paraId="3B4EA7D8">
            <w:pPr>
              <w:pStyle w:val="11"/>
            </w:pPr>
            <w:r>
              <w:t>预算数</w:t>
            </w:r>
          </w:p>
        </w:tc>
        <w:tc>
          <w:tcPr>
            <w:tcW w:w="2835" w:type="dxa"/>
            <w:vAlign w:val="center"/>
          </w:tcPr>
          <w:p w14:paraId="09E60462">
            <w:pPr>
              <w:pStyle w:val="13"/>
            </w:pPr>
            <w:r>
              <w:t>14.03</w:t>
            </w:r>
          </w:p>
        </w:tc>
        <w:tc>
          <w:tcPr>
            <w:tcW w:w="2835" w:type="dxa"/>
            <w:vAlign w:val="center"/>
          </w:tcPr>
          <w:p w14:paraId="5487679B">
            <w:pPr>
              <w:pStyle w:val="11"/>
            </w:pPr>
            <w:r>
              <w:t>其中：财政    资金</w:t>
            </w:r>
          </w:p>
        </w:tc>
        <w:tc>
          <w:tcPr>
            <w:tcW w:w="2551" w:type="dxa"/>
            <w:vAlign w:val="center"/>
          </w:tcPr>
          <w:p w14:paraId="07F010B7">
            <w:pPr>
              <w:pStyle w:val="13"/>
            </w:pPr>
            <w:r>
              <w:t>14.03</w:t>
            </w:r>
          </w:p>
        </w:tc>
        <w:tc>
          <w:tcPr>
            <w:tcW w:w="2268" w:type="dxa"/>
            <w:vAlign w:val="center"/>
          </w:tcPr>
          <w:p w14:paraId="757C83F2">
            <w:pPr>
              <w:pStyle w:val="11"/>
            </w:pPr>
            <w:r>
              <w:t>其他资金</w:t>
            </w:r>
          </w:p>
        </w:tc>
        <w:tc>
          <w:tcPr>
            <w:tcW w:w="1276" w:type="dxa"/>
            <w:vAlign w:val="center"/>
          </w:tcPr>
          <w:p w14:paraId="47EF8650">
            <w:pPr>
              <w:pStyle w:val="13"/>
            </w:pPr>
            <w:r>
              <w:t xml:space="preserve"> </w:t>
            </w:r>
          </w:p>
        </w:tc>
      </w:tr>
      <w:tr w14:paraId="3C1C0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A587D1"/>
        </w:tc>
        <w:tc>
          <w:tcPr>
            <w:tcW w:w="14033" w:type="dxa"/>
            <w:gridSpan w:val="6"/>
            <w:vAlign w:val="center"/>
          </w:tcPr>
          <w:p w14:paraId="4A63FCB4">
            <w:pPr>
              <w:pStyle w:val="13"/>
            </w:pPr>
            <w:r>
              <w:t>用于有效完成学校教学安全秩序，保障学校教学任务有效开展，满足学校正常教学需要。</w:t>
            </w:r>
          </w:p>
        </w:tc>
      </w:tr>
      <w:tr w14:paraId="247E8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2C4AE">
            <w:pPr>
              <w:pStyle w:val="11"/>
            </w:pPr>
            <w:r>
              <w:t>资金支出计划（%）</w:t>
            </w:r>
          </w:p>
        </w:tc>
        <w:tc>
          <w:tcPr>
            <w:tcW w:w="5103" w:type="dxa"/>
            <w:gridSpan w:val="2"/>
            <w:vAlign w:val="center"/>
          </w:tcPr>
          <w:p w14:paraId="1D86AE73">
            <w:pPr>
              <w:pStyle w:val="11"/>
            </w:pPr>
            <w:r>
              <w:t>3月底</w:t>
            </w:r>
          </w:p>
        </w:tc>
        <w:tc>
          <w:tcPr>
            <w:tcW w:w="2835" w:type="dxa"/>
            <w:vAlign w:val="center"/>
          </w:tcPr>
          <w:p w14:paraId="79BBD3F4">
            <w:pPr>
              <w:pStyle w:val="11"/>
            </w:pPr>
            <w:r>
              <w:t>6月底</w:t>
            </w:r>
          </w:p>
        </w:tc>
        <w:tc>
          <w:tcPr>
            <w:tcW w:w="2551" w:type="dxa"/>
            <w:vAlign w:val="center"/>
          </w:tcPr>
          <w:p w14:paraId="258D4815">
            <w:pPr>
              <w:pStyle w:val="11"/>
            </w:pPr>
            <w:r>
              <w:t>10月底</w:t>
            </w:r>
          </w:p>
        </w:tc>
        <w:tc>
          <w:tcPr>
            <w:tcW w:w="3544" w:type="dxa"/>
            <w:gridSpan w:val="2"/>
            <w:vAlign w:val="center"/>
          </w:tcPr>
          <w:p w14:paraId="15C5D531">
            <w:pPr>
              <w:pStyle w:val="11"/>
            </w:pPr>
            <w:r>
              <w:t>12月底</w:t>
            </w:r>
          </w:p>
        </w:tc>
      </w:tr>
      <w:tr w14:paraId="2C2BC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6207C"/>
        </w:tc>
        <w:tc>
          <w:tcPr>
            <w:tcW w:w="5103" w:type="dxa"/>
            <w:gridSpan w:val="2"/>
            <w:vAlign w:val="center"/>
          </w:tcPr>
          <w:p w14:paraId="7ED5F909">
            <w:pPr>
              <w:pStyle w:val="12"/>
            </w:pPr>
            <w:r>
              <w:t>25%</w:t>
            </w:r>
          </w:p>
        </w:tc>
        <w:tc>
          <w:tcPr>
            <w:tcW w:w="2835" w:type="dxa"/>
            <w:vAlign w:val="center"/>
          </w:tcPr>
          <w:p w14:paraId="7E575E45">
            <w:pPr>
              <w:pStyle w:val="12"/>
            </w:pPr>
            <w:r>
              <w:t>50%</w:t>
            </w:r>
          </w:p>
        </w:tc>
        <w:tc>
          <w:tcPr>
            <w:tcW w:w="2551" w:type="dxa"/>
            <w:vAlign w:val="center"/>
          </w:tcPr>
          <w:p w14:paraId="33937C06">
            <w:pPr>
              <w:pStyle w:val="12"/>
            </w:pPr>
            <w:r>
              <w:t>75%</w:t>
            </w:r>
          </w:p>
        </w:tc>
        <w:tc>
          <w:tcPr>
            <w:tcW w:w="3544" w:type="dxa"/>
            <w:gridSpan w:val="2"/>
            <w:vAlign w:val="center"/>
          </w:tcPr>
          <w:p w14:paraId="35E75941">
            <w:pPr>
              <w:pStyle w:val="12"/>
            </w:pPr>
            <w:r>
              <w:t>100%</w:t>
            </w:r>
          </w:p>
        </w:tc>
      </w:tr>
      <w:tr w14:paraId="5FB15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CB401C">
            <w:pPr>
              <w:pStyle w:val="11"/>
            </w:pPr>
            <w:r>
              <w:t>绩效目标</w:t>
            </w:r>
          </w:p>
        </w:tc>
        <w:tc>
          <w:tcPr>
            <w:tcW w:w="14033" w:type="dxa"/>
            <w:gridSpan w:val="6"/>
            <w:vAlign w:val="center"/>
          </w:tcPr>
          <w:p w14:paraId="5CE8C009">
            <w:pPr>
              <w:pStyle w:val="13"/>
            </w:pPr>
            <w:r>
              <w:t>1.有效完成学校教学安全秩序，保障学校教学任务有效开展，满足学校正常教学需要。</w:t>
            </w:r>
          </w:p>
          <w:p w14:paraId="05D120BC">
            <w:pPr>
              <w:pStyle w:val="13"/>
            </w:pPr>
            <w:r>
              <w:t>2.按规定拨付公用经费资金，预算执行率≥98%。</w:t>
            </w:r>
          </w:p>
        </w:tc>
      </w:tr>
    </w:tbl>
    <w:p w14:paraId="2EA174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04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63385">
            <w:pPr>
              <w:pStyle w:val="11"/>
            </w:pPr>
            <w:r>
              <w:t>一级指标</w:t>
            </w:r>
          </w:p>
        </w:tc>
        <w:tc>
          <w:tcPr>
            <w:tcW w:w="2268" w:type="dxa"/>
            <w:vAlign w:val="center"/>
          </w:tcPr>
          <w:p w14:paraId="616E1AC9">
            <w:pPr>
              <w:pStyle w:val="11"/>
            </w:pPr>
            <w:r>
              <w:t>二级指标</w:t>
            </w:r>
          </w:p>
        </w:tc>
        <w:tc>
          <w:tcPr>
            <w:tcW w:w="2835" w:type="dxa"/>
            <w:vAlign w:val="center"/>
          </w:tcPr>
          <w:p w14:paraId="0F448998">
            <w:pPr>
              <w:pStyle w:val="11"/>
            </w:pPr>
            <w:r>
              <w:t>三级指标</w:t>
            </w:r>
          </w:p>
        </w:tc>
        <w:tc>
          <w:tcPr>
            <w:tcW w:w="5386" w:type="dxa"/>
            <w:vAlign w:val="center"/>
          </w:tcPr>
          <w:p w14:paraId="4574C67C">
            <w:pPr>
              <w:pStyle w:val="11"/>
            </w:pPr>
            <w:r>
              <w:t>绩效指标描述</w:t>
            </w:r>
          </w:p>
        </w:tc>
        <w:tc>
          <w:tcPr>
            <w:tcW w:w="2268" w:type="dxa"/>
            <w:vAlign w:val="center"/>
          </w:tcPr>
          <w:p w14:paraId="2DAAC8FD">
            <w:pPr>
              <w:pStyle w:val="11"/>
            </w:pPr>
            <w:r>
              <w:t>指标值</w:t>
            </w:r>
          </w:p>
        </w:tc>
        <w:tc>
          <w:tcPr>
            <w:tcW w:w="1276" w:type="dxa"/>
            <w:vAlign w:val="center"/>
          </w:tcPr>
          <w:p w14:paraId="4C4BF510">
            <w:pPr>
              <w:pStyle w:val="11"/>
            </w:pPr>
            <w:r>
              <w:t>指标值确定依据</w:t>
            </w:r>
          </w:p>
        </w:tc>
      </w:tr>
      <w:tr w14:paraId="61DAF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235AE">
            <w:pPr>
              <w:pStyle w:val="12"/>
            </w:pPr>
            <w:r>
              <w:t>产出指标</w:t>
            </w:r>
          </w:p>
        </w:tc>
        <w:tc>
          <w:tcPr>
            <w:tcW w:w="2268" w:type="dxa"/>
            <w:vAlign w:val="center"/>
          </w:tcPr>
          <w:p w14:paraId="01190952">
            <w:pPr>
              <w:pStyle w:val="13"/>
            </w:pPr>
            <w:r>
              <w:t>数量指标</w:t>
            </w:r>
          </w:p>
        </w:tc>
        <w:tc>
          <w:tcPr>
            <w:tcW w:w="2835" w:type="dxa"/>
            <w:vAlign w:val="center"/>
          </w:tcPr>
          <w:p w14:paraId="1F4B86BA">
            <w:pPr>
              <w:pStyle w:val="13"/>
            </w:pPr>
            <w:r>
              <w:t>就读学生数</w:t>
            </w:r>
          </w:p>
        </w:tc>
        <w:tc>
          <w:tcPr>
            <w:tcW w:w="5386" w:type="dxa"/>
            <w:vAlign w:val="center"/>
          </w:tcPr>
          <w:p w14:paraId="0B6B59CE">
            <w:pPr>
              <w:pStyle w:val="13"/>
            </w:pPr>
            <w:r>
              <w:t>辐射区域内适龄学生人数</w:t>
            </w:r>
          </w:p>
        </w:tc>
        <w:tc>
          <w:tcPr>
            <w:tcW w:w="2268" w:type="dxa"/>
            <w:vAlign w:val="center"/>
          </w:tcPr>
          <w:p w14:paraId="1962C77E">
            <w:pPr>
              <w:pStyle w:val="13"/>
            </w:pPr>
            <w:r>
              <w:t>426人</w:t>
            </w:r>
          </w:p>
        </w:tc>
        <w:tc>
          <w:tcPr>
            <w:tcW w:w="1276" w:type="dxa"/>
            <w:vAlign w:val="center"/>
          </w:tcPr>
          <w:p w14:paraId="19AA04BA">
            <w:pPr>
              <w:pStyle w:val="13"/>
            </w:pPr>
            <w:r>
              <w:t>城乡义务教育公用经费管理办法</w:t>
            </w:r>
          </w:p>
        </w:tc>
      </w:tr>
      <w:tr w14:paraId="1D78D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7C41F"/>
        </w:tc>
        <w:tc>
          <w:tcPr>
            <w:tcW w:w="2268" w:type="dxa"/>
            <w:vAlign w:val="center"/>
          </w:tcPr>
          <w:p w14:paraId="06F17951">
            <w:pPr>
              <w:pStyle w:val="13"/>
            </w:pPr>
            <w:r>
              <w:t>质量指标</w:t>
            </w:r>
          </w:p>
        </w:tc>
        <w:tc>
          <w:tcPr>
            <w:tcW w:w="2835" w:type="dxa"/>
            <w:vAlign w:val="center"/>
          </w:tcPr>
          <w:p w14:paraId="62C19FE3">
            <w:pPr>
              <w:pStyle w:val="13"/>
            </w:pPr>
            <w:r>
              <w:t>预算执行率</w:t>
            </w:r>
          </w:p>
        </w:tc>
        <w:tc>
          <w:tcPr>
            <w:tcW w:w="5386" w:type="dxa"/>
            <w:vAlign w:val="center"/>
          </w:tcPr>
          <w:p w14:paraId="47D29495">
            <w:pPr>
              <w:pStyle w:val="13"/>
            </w:pPr>
            <w:r>
              <w:t>预算执行率</w:t>
            </w:r>
          </w:p>
        </w:tc>
        <w:tc>
          <w:tcPr>
            <w:tcW w:w="2268" w:type="dxa"/>
            <w:vAlign w:val="center"/>
          </w:tcPr>
          <w:p w14:paraId="4D534200">
            <w:pPr>
              <w:pStyle w:val="13"/>
            </w:pPr>
            <w:r>
              <w:t>≥98%</w:t>
            </w:r>
          </w:p>
        </w:tc>
        <w:tc>
          <w:tcPr>
            <w:tcW w:w="1276" w:type="dxa"/>
            <w:vAlign w:val="center"/>
          </w:tcPr>
          <w:p w14:paraId="642DB736">
            <w:pPr>
              <w:pStyle w:val="13"/>
            </w:pPr>
            <w:r>
              <w:t>城乡义务教育公用经费管理办法</w:t>
            </w:r>
          </w:p>
        </w:tc>
      </w:tr>
      <w:tr w14:paraId="6243B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A95F0"/>
        </w:tc>
        <w:tc>
          <w:tcPr>
            <w:tcW w:w="2268" w:type="dxa"/>
            <w:vAlign w:val="center"/>
          </w:tcPr>
          <w:p w14:paraId="1F8C3A29">
            <w:pPr>
              <w:pStyle w:val="13"/>
            </w:pPr>
            <w:r>
              <w:t>时效指标</w:t>
            </w:r>
          </w:p>
        </w:tc>
        <w:tc>
          <w:tcPr>
            <w:tcW w:w="2835" w:type="dxa"/>
            <w:vAlign w:val="center"/>
          </w:tcPr>
          <w:p w14:paraId="4A7C1FE2">
            <w:pPr>
              <w:pStyle w:val="13"/>
            </w:pPr>
            <w:r>
              <w:t>义教经费支付完成率</w:t>
            </w:r>
          </w:p>
        </w:tc>
        <w:tc>
          <w:tcPr>
            <w:tcW w:w="5386" w:type="dxa"/>
            <w:vAlign w:val="center"/>
          </w:tcPr>
          <w:p w14:paraId="4CACE48D">
            <w:pPr>
              <w:pStyle w:val="13"/>
            </w:pPr>
            <w:r>
              <w:t>按照序时进度完成资金支付</w:t>
            </w:r>
          </w:p>
        </w:tc>
        <w:tc>
          <w:tcPr>
            <w:tcW w:w="2268" w:type="dxa"/>
            <w:vAlign w:val="center"/>
          </w:tcPr>
          <w:p w14:paraId="592C5105">
            <w:pPr>
              <w:pStyle w:val="13"/>
            </w:pPr>
            <w:r>
              <w:t>≥100%</w:t>
            </w:r>
          </w:p>
        </w:tc>
        <w:tc>
          <w:tcPr>
            <w:tcW w:w="1276" w:type="dxa"/>
            <w:vAlign w:val="center"/>
          </w:tcPr>
          <w:p w14:paraId="1A0BEDCE">
            <w:pPr>
              <w:pStyle w:val="13"/>
            </w:pPr>
            <w:r>
              <w:t>城乡义务教育公用经费管理办法</w:t>
            </w:r>
          </w:p>
        </w:tc>
      </w:tr>
      <w:tr w14:paraId="28394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57720"/>
        </w:tc>
        <w:tc>
          <w:tcPr>
            <w:tcW w:w="2268" w:type="dxa"/>
            <w:vAlign w:val="center"/>
          </w:tcPr>
          <w:p w14:paraId="0D348BF8">
            <w:pPr>
              <w:pStyle w:val="13"/>
            </w:pPr>
            <w:r>
              <w:t>成本指标</w:t>
            </w:r>
          </w:p>
        </w:tc>
        <w:tc>
          <w:tcPr>
            <w:tcW w:w="2835" w:type="dxa"/>
            <w:vAlign w:val="center"/>
          </w:tcPr>
          <w:p w14:paraId="6F1C452B">
            <w:pPr>
              <w:pStyle w:val="13"/>
            </w:pPr>
            <w:r>
              <w:t>生均拨款标准</w:t>
            </w:r>
          </w:p>
        </w:tc>
        <w:tc>
          <w:tcPr>
            <w:tcW w:w="5386" w:type="dxa"/>
            <w:vAlign w:val="center"/>
          </w:tcPr>
          <w:p w14:paraId="1D575F6C">
            <w:pPr>
              <w:pStyle w:val="13"/>
            </w:pPr>
            <w:r>
              <w:t>小学：（基本标准720元、寄宿生300元、生活补助120元）/生/学年；特教、随班就读学生：标准7000元/生/学年</w:t>
            </w:r>
          </w:p>
        </w:tc>
        <w:tc>
          <w:tcPr>
            <w:tcW w:w="2268" w:type="dxa"/>
            <w:vAlign w:val="center"/>
          </w:tcPr>
          <w:p w14:paraId="6663ABC1">
            <w:pPr>
              <w:pStyle w:val="13"/>
            </w:pPr>
            <w:r>
              <w:t>840元</w:t>
            </w:r>
          </w:p>
        </w:tc>
        <w:tc>
          <w:tcPr>
            <w:tcW w:w="1276" w:type="dxa"/>
            <w:vAlign w:val="center"/>
          </w:tcPr>
          <w:p w14:paraId="0DA470AA">
            <w:pPr>
              <w:pStyle w:val="13"/>
            </w:pPr>
            <w:r>
              <w:t>城乡义务教育公用经费管理办法</w:t>
            </w:r>
          </w:p>
        </w:tc>
      </w:tr>
      <w:tr w14:paraId="06C02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D7688B">
            <w:pPr>
              <w:pStyle w:val="12"/>
            </w:pPr>
            <w:r>
              <w:t>效益指标</w:t>
            </w:r>
          </w:p>
        </w:tc>
        <w:tc>
          <w:tcPr>
            <w:tcW w:w="2268" w:type="dxa"/>
            <w:vAlign w:val="center"/>
          </w:tcPr>
          <w:p w14:paraId="7553A817">
            <w:pPr>
              <w:pStyle w:val="13"/>
            </w:pPr>
            <w:r>
              <w:t>社会效益指标</w:t>
            </w:r>
          </w:p>
        </w:tc>
        <w:tc>
          <w:tcPr>
            <w:tcW w:w="2835" w:type="dxa"/>
            <w:vAlign w:val="center"/>
          </w:tcPr>
          <w:p w14:paraId="3F152B32">
            <w:pPr>
              <w:pStyle w:val="13"/>
            </w:pPr>
            <w:r>
              <w:t>学校稳定率</w:t>
            </w:r>
          </w:p>
        </w:tc>
        <w:tc>
          <w:tcPr>
            <w:tcW w:w="5386" w:type="dxa"/>
            <w:vAlign w:val="center"/>
          </w:tcPr>
          <w:p w14:paraId="1FA005A1">
            <w:pPr>
              <w:pStyle w:val="13"/>
            </w:pPr>
            <w:r>
              <w:t>维护学校稳定，保障学校正常教学秩序有效开展</w:t>
            </w:r>
          </w:p>
        </w:tc>
        <w:tc>
          <w:tcPr>
            <w:tcW w:w="2268" w:type="dxa"/>
            <w:vAlign w:val="center"/>
          </w:tcPr>
          <w:p w14:paraId="631CE047">
            <w:pPr>
              <w:pStyle w:val="13"/>
            </w:pPr>
            <w:r>
              <w:t>≥100%</w:t>
            </w:r>
          </w:p>
        </w:tc>
        <w:tc>
          <w:tcPr>
            <w:tcW w:w="1276" w:type="dxa"/>
            <w:vAlign w:val="center"/>
          </w:tcPr>
          <w:p w14:paraId="232B3E3F">
            <w:pPr>
              <w:pStyle w:val="13"/>
            </w:pPr>
            <w:r>
              <w:t>城乡义务教育公用经费管理办法</w:t>
            </w:r>
          </w:p>
        </w:tc>
      </w:tr>
      <w:tr w14:paraId="75B00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DC354B">
            <w:pPr>
              <w:pStyle w:val="12"/>
            </w:pPr>
            <w:r>
              <w:t>满意度指标</w:t>
            </w:r>
          </w:p>
        </w:tc>
        <w:tc>
          <w:tcPr>
            <w:tcW w:w="2268" w:type="dxa"/>
            <w:vAlign w:val="center"/>
          </w:tcPr>
          <w:p w14:paraId="465FEDA2">
            <w:pPr>
              <w:pStyle w:val="13"/>
            </w:pPr>
            <w:r>
              <w:t>服务对象满意度指标</w:t>
            </w:r>
          </w:p>
        </w:tc>
        <w:tc>
          <w:tcPr>
            <w:tcW w:w="2835" w:type="dxa"/>
            <w:vAlign w:val="center"/>
          </w:tcPr>
          <w:p w14:paraId="4FC3E8C4">
            <w:pPr>
              <w:pStyle w:val="13"/>
            </w:pPr>
            <w:r>
              <w:t>家长和学生满意度</w:t>
            </w:r>
          </w:p>
        </w:tc>
        <w:tc>
          <w:tcPr>
            <w:tcW w:w="5386" w:type="dxa"/>
            <w:vAlign w:val="center"/>
          </w:tcPr>
          <w:p w14:paraId="1DDD2206">
            <w:pPr>
              <w:pStyle w:val="13"/>
            </w:pPr>
            <w:r>
              <w:t>家长和学生满意度</w:t>
            </w:r>
          </w:p>
        </w:tc>
        <w:tc>
          <w:tcPr>
            <w:tcW w:w="2268" w:type="dxa"/>
            <w:vAlign w:val="center"/>
          </w:tcPr>
          <w:p w14:paraId="4BE80F99">
            <w:pPr>
              <w:pStyle w:val="13"/>
            </w:pPr>
            <w:r>
              <w:t>≥95%</w:t>
            </w:r>
          </w:p>
        </w:tc>
        <w:tc>
          <w:tcPr>
            <w:tcW w:w="1276" w:type="dxa"/>
            <w:vAlign w:val="center"/>
          </w:tcPr>
          <w:p w14:paraId="40BDC6E6">
            <w:pPr>
              <w:pStyle w:val="13"/>
            </w:pPr>
            <w:r>
              <w:t>问卷调查</w:t>
            </w:r>
          </w:p>
        </w:tc>
      </w:tr>
    </w:tbl>
    <w:p w14:paraId="106F808E">
      <w:pPr>
        <w:sectPr>
          <w:pgSz w:w="16840" w:h="11900" w:orient="landscape"/>
          <w:pgMar w:top="1361" w:right="1020" w:bottom="1134" w:left="1020" w:header="720" w:footer="720" w:gutter="0"/>
          <w:cols w:space="720" w:num="1"/>
        </w:sectPr>
      </w:pPr>
    </w:p>
    <w:p w14:paraId="508688BD">
      <w:pPr>
        <w:spacing w:before="0" w:after="0"/>
        <w:ind w:firstLine="560"/>
        <w:jc w:val="left"/>
        <w:outlineLvl w:val="9"/>
      </w:pPr>
      <w:r>
        <w:rPr>
          <w:rFonts w:ascii="方正仿宋_GBK" w:hAnsi="方正仿宋_GBK" w:eastAsia="方正仿宋_GBK" w:cs="方正仿宋_GBK"/>
          <w:b/>
          <w:color w:val="000000"/>
          <w:sz w:val="28"/>
        </w:rPr>
        <w:t>17、冀财教[2024]141号/省级/2025年义教补助经费/乡观小学公用经费绩效目标表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6E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7D136">
            <w:pPr>
              <w:pStyle w:val="14"/>
            </w:pPr>
            <w:r>
              <w:t>单位：万元</w:t>
            </w:r>
          </w:p>
        </w:tc>
      </w:tr>
      <w:tr w14:paraId="1473A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6A7FD">
            <w:pPr>
              <w:pStyle w:val="11"/>
            </w:pPr>
            <w:r>
              <w:t>项目编码</w:t>
            </w:r>
          </w:p>
        </w:tc>
        <w:tc>
          <w:tcPr>
            <w:tcW w:w="5103" w:type="dxa"/>
            <w:gridSpan w:val="2"/>
            <w:vAlign w:val="center"/>
          </w:tcPr>
          <w:p w14:paraId="32AE3712">
            <w:pPr>
              <w:pStyle w:val="13"/>
            </w:pPr>
            <w:r>
              <w:t>13052525P00000410186X</w:t>
            </w:r>
          </w:p>
        </w:tc>
        <w:tc>
          <w:tcPr>
            <w:tcW w:w="2835" w:type="dxa"/>
            <w:vAlign w:val="center"/>
          </w:tcPr>
          <w:p w14:paraId="199DC62B">
            <w:pPr>
              <w:pStyle w:val="11"/>
            </w:pPr>
            <w:r>
              <w:t>项目名称</w:t>
            </w:r>
          </w:p>
        </w:tc>
        <w:tc>
          <w:tcPr>
            <w:tcW w:w="6095" w:type="dxa"/>
            <w:gridSpan w:val="3"/>
            <w:vAlign w:val="center"/>
          </w:tcPr>
          <w:p w14:paraId="684A42CB">
            <w:pPr>
              <w:pStyle w:val="13"/>
            </w:pPr>
            <w:r>
              <w:t>冀财教[2024]141号/省级/2025年义教补助经费/乡观小学公用经费</w:t>
            </w:r>
          </w:p>
        </w:tc>
      </w:tr>
      <w:tr w14:paraId="2F631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78C5B671">
            <w:pPr>
              <w:pStyle w:val="11"/>
            </w:pPr>
            <w:r>
              <w:t>预算规模及资金用途</w:t>
            </w:r>
          </w:p>
        </w:tc>
        <w:tc>
          <w:tcPr>
            <w:tcW w:w="2268" w:type="dxa"/>
            <w:vAlign w:val="center"/>
          </w:tcPr>
          <w:p w14:paraId="679D1778">
            <w:pPr>
              <w:pStyle w:val="11"/>
            </w:pPr>
            <w:r>
              <w:t>预算数</w:t>
            </w:r>
          </w:p>
        </w:tc>
        <w:tc>
          <w:tcPr>
            <w:tcW w:w="2835" w:type="dxa"/>
            <w:vAlign w:val="center"/>
          </w:tcPr>
          <w:p w14:paraId="2359E60C">
            <w:pPr>
              <w:pStyle w:val="13"/>
            </w:pPr>
            <w:r>
              <w:t>2.69</w:t>
            </w:r>
          </w:p>
        </w:tc>
        <w:tc>
          <w:tcPr>
            <w:tcW w:w="2835" w:type="dxa"/>
            <w:vAlign w:val="center"/>
          </w:tcPr>
          <w:p w14:paraId="4561788F">
            <w:pPr>
              <w:pStyle w:val="11"/>
            </w:pPr>
            <w:r>
              <w:t>其中：财政    资金</w:t>
            </w:r>
          </w:p>
        </w:tc>
        <w:tc>
          <w:tcPr>
            <w:tcW w:w="2551" w:type="dxa"/>
            <w:vAlign w:val="center"/>
          </w:tcPr>
          <w:p w14:paraId="0FAD5B51">
            <w:pPr>
              <w:pStyle w:val="13"/>
            </w:pPr>
            <w:r>
              <w:t>2.69</w:t>
            </w:r>
          </w:p>
        </w:tc>
        <w:tc>
          <w:tcPr>
            <w:tcW w:w="2268" w:type="dxa"/>
            <w:vAlign w:val="center"/>
          </w:tcPr>
          <w:p w14:paraId="4BA49233">
            <w:pPr>
              <w:pStyle w:val="11"/>
            </w:pPr>
            <w:r>
              <w:t>其他资金</w:t>
            </w:r>
          </w:p>
        </w:tc>
        <w:tc>
          <w:tcPr>
            <w:tcW w:w="1276" w:type="dxa"/>
            <w:vAlign w:val="center"/>
          </w:tcPr>
          <w:p w14:paraId="7A014D50">
            <w:pPr>
              <w:pStyle w:val="13"/>
            </w:pPr>
            <w:r>
              <w:t xml:space="preserve"> </w:t>
            </w:r>
          </w:p>
        </w:tc>
      </w:tr>
      <w:tr w14:paraId="31CBA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2D88E9"/>
        </w:tc>
        <w:tc>
          <w:tcPr>
            <w:tcW w:w="14033" w:type="dxa"/>
            <w:gridSpan w:val="6"/>
            <w:vAlign w:val="center"/>
          </w:tcPr>
          <w:p w14:paraId="5DED3260">
            <w:pPr>
              <w:pStyle w:val="13"/>
            </w:pPr>
            <w:r>
              <w:t>用于有效完成学校教学安全秩序，保障学校教学任务有效开展，满足学校正常教学需要。</w:t>
            </w:r>
          </w:p>
        </w:tc>
      </w:tr>
      <w:tr w14:paraId="32E65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1B26B">
            <w:pPr>
              <w:pStyle w:val="11"/>
            </w:pPr>
            <w:r>
              <w:t>资金支出计划（%）</w:t>
            </w:r>
          </w:p>
        </w:tc>
        <w:tc>
          <w:tcPr>
            <w:tcW w:w="5103" w:type="dxa"/>
            <w:gridSpan w:val="2"/>
            <w:vAlign w:val="center"/>
          </w:tcPr>
          <w:p w14:paraId="72A9A8BA">
            <w:pPr>
              <w:pStyle w:val="11"/>
            </w:pPr>
            <w:r>
              <w:t>3月底</w:t>
            </w:r>
          </w:p>
        </w:tc>
        <w:tc>
          <w:tcPr>
            <w:tcW w:w="2835" w:type="dxa"/>
            <w:vAlign w:val="center"/>
          </w:tcPr>
          <w:p w14:paraId="1A98819E">
            <w:pPr>
              <w:pStyle w:val="11"/>
            </w:pPr>
            <w:r>
              <w:t>6月底</w:t>
            </w:r>
          </w:p>
        </w:tc>
        <w:tc>
          <w:tcPr>
            <w:tcW w:w="2551" w:type="dxa"/>
            <w:vAlign w:val="center"/>
          </w:tcPr>
          <w:p w14:paraId="4CB5C89D">
            <w:pPr>
              <w:pStyle w:val="11"/>
            </w:pPr>
            <w:r>
              <w:t>10月底</w:t>
            </w:r>
          </w:p>
        </w:tc>
        <w:tc>
          <w:tcPr>
            <w:tcW w:w="3544" w:type="dxa"/>
            <w:gridSpan w:val="2"/>
            <w:vAlign w:val="center"/>
          </w:tcPr>
          <w:p w14:paraId="0EC53EF5">
            <w:pPr>
              <w:pStyle w:val="11"/>
            </w:pPr>
            <w:r>
              <w:t>12月底</w:t>
            </w:r>
          </w:p>
        </w:tc>
      </w:tr>
      <w:tr w14:paraId="7F9D8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2AA53"/>
        </w:tc>
        <w:tc>
          <w:tcPr>
            <w:tcW w:w="5103" w:type="dxa"/>
            <w:gridSpan w:val="2"/>
            <w:vAlign w:val="center"/>
          </w:tcPr>
          <w:p w14:paraId="51151614">
            <w:pPr>
              <w:pStyle w:val="12"/>
            </w:pPr>
            <w:r>
              <w:t>25%</w:t>
            </w:r>
          </w:p>
        </w:tc>
        <w:tc>
          <w:tcPr>
            <w:tcW w:w="2835" w:type="dxa"/>
            <w:vAlign w:val="center"/>
          </w:tcPr>
          <w:p w14:paraId="037E431B">
            <w:pPr>
              <w:pStyle w:val="12"/>
            </w:pPr>
            <w:r>
              <w:t>50%</w:t>
            </w:r>
          </w:p>
        </w:tc>
        <w:tc>
          <w:tcPr>
            <w:tcW w:w="2551" w:type="dxa"/>
            <w:vAlign w:val="center"/>
          </w:tcPr>
          <w:p w14:paraId="1E67EF96">
            <w:pPr>
              <w:pStyle w:val="12"/>
            </w:pPr>
            <w:r>
              <w:t>75%</w:t>
            </w:r>
          </w:p>
        </w:tc>
        <w:tc>
          <w:tcPr>
            <w:tcW w:w="3544" w:type="dxa"/>
            <w:gridSpan w:val="2"/>
            <w:vAlign w:val="center"/>
          </w:tcPr>
          <w:p w14:paraId="0C345FF7">
            <w:pPr>
              <w:pStyle w:val="12"/>
            </w:pPr>
            <w:r>
              <w:t>100%</w:t>
            </w:r>
          </w:p>
        </w:tc>
      </w:tr>
      <w:tr w14:paraId="269C9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5FEBED">
            <w:pPr>
              <w:pStyle w:val="11"/>
            </w:pPr>
            <w:r>
              <w:t>绩效目标</w:t>
            </w:r>
          </w:p>
        </w:tc>
        <w:tc>
          <w:tcPr>
            <w:tcW w:w="14033" w:type="dxa"/>
            <w:gridSpan w:val="6"/>
            <w:vAlign w:val="center"/>
          </w:tcPr>
          <w:p w14:paraId="1CF18594">
            <w:pPr>
              <w:pStyle w:val="13"/>
            </w:pPr>
            <w:r>
              <w:t>1.有效完成学校教学安全秩序，保障学校教学任务有效开展，满足学校正常教学需要。</w:t>
            </w:r>
          </w:p>
          <w:p w14:paraId="669AE208">
            <w:pPr>
              <w:pStyle w:val="13"/>
            </w:pPr>
            <w:r>
              <w:t>2.按规定拨付公用经费资金，预算执行率≥98%。</w:t>
            </w:r>
          </w:p>
        </w:tc>
      </w:tr>
    </w:tbl>
    <w:p w14:paraId="6B1ED9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07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357FB">
            <w:pPr>
              <w:pStyle w:val="11"/>
            </w:pPr>
            <w:r>
              <w:t>一级指标</w:t>
            </w:r>
          </w:p>
        </w:tc>
        <w:tc>
          <w:tcPr>
            <w:tcW w:w="2268" w:type="dxa"/>
            <w:vAlign w:val="center"/>
          </w:tcPr>
          <w:p w14:paraId="57AE3432">
            <w:pPr>
              <w:pStyle w:val="11"/>
            </w:pPr>
            <w:r>
              <w:t>二级指标</w:t>
            </w:r>
          </w:p>
        </w:tc>
        <w:tc>
          <w:tcPr>
            <w:tcW w:w="2835" w:type="dxa"/>
            <w:vAlign w:val="center"/>
          </w:tcPr>
          <w:p w14:paraId="4DF06F88">
            <w:pPr>
              <w:pStyle w:val="11"/>
            </w:pPr>
            <w:r>
              <w:t>三级指标</w:t>
            </w:r>
          </w:p>
        </w:tc>
        <w:tc>
          <w:tcPr>
            <w:tcW w:w="5386" w:type="dxa"/>
            <w:vAlign w:val="center"/>
          </w:tcPr>
          <w:p w14:paraId="7F6B75BF">
            <w:pPr>
              <w:pStyle w:val="11"/>
            </w:pPr>
            <w:r>
              <w:t>绩效指标描述</w:t>
            </w:r>
          </w:p>
        </w:tc>
        <w:tc>
          <w:tcPr>
            <w:tcW w:w="2268" w:type="dxa"/>
            <w:vAlign w:val="center"/>
          </w:tcPr>
          <w:p w14:paraId="3B162F89">
            <w:pPr>
              <w:pStyle w:val="11"/>
            </w:pPr>
            <w:r>
              <w:t>指标值</w:t>
            </w:r>
          </w:p>
        </w:tc>
        <w:tc>
          <w:tcPr>
            <w:tcW w:w="1276" w:type="dxa"/>
            <w:vAlign w:val="center"/>
          </w:tcPr>
          <w:p w14:paraId="7DD25F92">
            <w:pPr>
              <w:pStyle w:val="11"/>
            </w:pPr>
            <w:r>
              <w:t>指标值确定依据</w:t>
            </w:r>
          </w:p>
        </w:tc>
      </w:tr>
      <w:tr w14:paraId="0D52A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76B91">
            <w:pPr>
              <w:pStyle w:val="12"/>
            </w:pPr>
            <w:r>
              <w:t>产出指标</w:t>
            </w:r>
          </w:p>
        </w:tc>
        <w:tc>
          <w:tcPr>
            <w:tcW w:w="2268" w:type="dxa"/>
            <w:vAlign w:val="center"/>
          </w:tcPr>
          <w:p w14:paraId="51605507">
            <w:pPr>
              <w:pStyle w:val="13"/>
            </w:pPr>
            <w:r>
              <w:t>数量指标</w:t>
            </w:r>
          </w:p>
        </w:tc>
        <w:tc>
          <w:tcPr>
            <w:tcW w:w="2835" w:type="dxa"/>
            <w:vAlign w:val="center"/>
          </w:tcPr>
          <w:p w14:paraId="178A9AC9">
            <w:pPr>
              <w:pStyle w:val="13"/>
            </w:pPr>
            <w:r>
              <w:t>就读学生数</w:t>
            </w:r>
          </w:p>
        </w:tc>
        <w:tc>
          <w:tcPr>
            <w:tcW w:w="5386" w:type="dxa"/>
            <w:vAlign w:val="center"/>
          </w:tcPr>
          <w:p w14:paraId="14014652">
            <w:pPr>
              <w:pStyle w:val="13"/>
            </w:pPr>
            <w:r>
              <w:t>辐射区域内适龄学生人数</w:t>
            </w:r>
          </w:p>
        </w:tc>
        <w:tc>
          <w:tcPr>
            <w:tcW w:w="2268" w:type="dxa"/>
            <w:vAlign w:val="center"/>
          </w:tcPr>
          <w:p w14:paraId="22D56ECA">
            <w:pPr>
              <w:pStyle w:val="13"/>
            </w:pPr>
            <w:r>
              <w:t>50人</w:t>
            </w:r>
          </w:p>
        </w:tc>
        <w:tc>
          <w:tcPr>
            <w:tcW w:w="1276" w:type="dxa"/>
            <w:vAlign w:val="center"/>
          </w:tcPr>
          <w:p w14:paraId="6C4523C0">
            <w:pPr>
              <w:pStyle w:val="13"/>
            </w:pPr>
            <w:r>
              <w:t>城乡义务教育公用经费管理办法</w:t>
            </w:r>
          </w:p>
        </w:tc>
      </w:tr>
      <w:tr w14:paraId="43354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E6F53"/>
        </w:tc>
        <w:tc>
          <w:tcPr>
            <w:tcW w:w="2268" w:type="dxa"/>
            <w:vAlign w:val="center"/>
          </w:tcPr>
          <w:p w14:paraId="065D5108">
            <w:pPr>
              <w:pStyle w:val="13"/>
            </w:pPr>
            <w:r>
              <w:t>质量指标</w:t>
            </w:r>
          </w:p>
        </w:tc>
        <w:tc>
          <w:tcPr>
            <w:tcW w:w="2835" w:type="dxa"/>
            <w:vAlign w:val="center"/>
          </w:tcPr>
          <w:p w14:paraId="7EAA23B9">
            <w:pPr>
              <w:pStyle w:val="13"/>
            </w:pPr>
            <w:r>
              <w:t>预算执行率</w:t>
            </w:r>
          </w:p>
        </w:tc>
        <w:tc>
          <w:tcPr>
            <w:tcW w:w="5386" w:type="dxa"/>
            <w:vAlign w:val="center"/>
          </w:tcPr>
          <w:p w14:paraId="26BDC347">
            <w:pPr>
              <w:pStyle w:val="13"/>
            </w:pPr>
            <w:r>
              <w:t>预算执行率</w:t>
            </w:r>
          </w:p>
        </w:tc>
        <w:tc>
          <w:tcPr>
            <w:tcW w:w="2268" w:type="dxa"/>
            <w:vAlign w:val="center"/>
          </w:tcPr>
          <w:p w14:paraId="34348609">
            <w:pPr>
              <w:pStyle w:val="13"/>
            </w:pPr>
            <w:r>
              <w:t>≥98%</w:t>
            </w:r>
          </w:p>
        </w:tc>
        <w:tc>
          <w:tcPr>
            <w:tcW w:w="1276" w:type="dxa"/>
            <w:vAlign w:val="center"/>
          </w:tcPr>
          <w:p w14:paraId="161D5AED">
            <w:pPr>
              <w:pStyle w:val="13"/>
            </w:pPr>
            <w:r>
              <w:t>城乡义务教育公用经费管理办法</w:t>
            </w:r>
          </w:p>
        </w:tc>
      </w:tr>
      <w:tr w14:paraId="53EB2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5B762"/>
        </w:tc>
        <w:tc>
          <w:tcPr>
            <w:tcW w:w="2268" w:type="dxa"/>
            <w:vAlign w:val="center"/>
          </w:tcPr>
          <w:p w14:paraId="7E7F7DEA">
            <w:pPr>
              <w:pStyle w:val="13"/>
            </w:pPr>
            <w:r>
              <w:t>时效指标</w:t>
            </w:r>
          </w:p>
        </w:tc>
        <w:tc>
          <w:tcPr>
            <w:tcW w:w="2835" w:type="dxa"/>
            <w:vAlign w:val="center"/>
          </w:tcPr>
          <w:p w14:paraId="64D105EE">
            <w:pPr>
              <w:pStyle w:val="13"/>
            </w:pPr>
            <w:r>
              <w:t>义教经费支付完成率</w:t>
            </w:r>
          </w:p>
        </w:tc>
        <w:tc>
          <w:tcPr>
            <w:tcW w:w="5386" w:type="dxa"/>
            <w:vAlign w:val="center"/>
          </w:tcPr>
          <w:p w14:paraId="056356B3">
            <w:pPr>
              <w:pStyle w:val="13"/>
            </w:pPr>
            <w:r>
              <w:t>按照序时进度完成资金支付</w:t>
            </w:r>
          </w:p>
        </w:tc>
        <w:tc>
          <w:tcPr>
            <w:tcW w:w="2268" w:type="dxa"/>
            <w:vAlign w:val="center"/>
          </w:tcPr>
          <w:p w14:paraId="7A2FE89D">
            <w:pPr>
              <w:pStyle w:val="13"/>
            </w:pPr>
            <w:r>
              <w:t>≥100%</w:t>
            </w:r>
          </w:p>
        </w:tc>
        <w:tc>
          <w:tcPr>
            <w:tcW w:w="1276" w:type="dxa"/>
            <w:vAlign w:val="center"/>
          </w:tcPr>
          <w:p w14:paraId="2EBED090">
            <w:pPr>
              <w:pStyle w:val="13"/>
            </w:pPr>
            <w:r>
              <w:t>城乡义务教育公用经费管理办法</w:t>
            </w:r>
          </w:p>
        </w:tc>
      </w:tr>
      <w:tr w14:paraId="3557D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FABFB"/>
        </w:tc>
        <w:tc>
          <w:tcPr>
            <w:tcW w:w="2268" w:type="dxa"/>
            <w:vAlign w:val="center"/>
          </w:tcPr>
          <w:p w14:paraId="03B679D7">
            <w:pPr>
              <w:pStyle w:val="13"/>
            </w:pPr>
            <w:r>
              <w:t>成本指标</w:t>
            </w:r>
          </w:p>
        </w:tc>
        <w:tc>
          <w:tcPr>
            <w:tcW w:w="2835" w:type="dxa"/>
            <w:vAlign w:val="center"/>
          </w:tcPr>
          <w:p w14:paraId="56B5A7FD">
            <w:pPr>
              <w:pStyle w:val="13"/>
            </w:pPr>
            <w:r>
              <w:t>生均拨款标准</w:t>
            </w:r>
          </w:p>
        </w:tc>
        <w:tc>
          <w:tcPr>
            <w:tcW w:w="5386" w:type="dxa"/>
            <w:vAlign w:val="center"/>
          </w:tcPr>
          <w:p w14:paraId="028D5D0A">
            <w:pPr>
              <w:pStyle w:val="13"/>
            </w:pPr>
            <w:r>
              <w:t>小学：（基本标准720元、寄宿生300元、生活补助120元）/生/学年；特教、随班就读学生：标准7000元/生/学年</w:t>
            </w:r>
          </w:p>
        </w:tc>
        <w:tc>
          <w:tcPr>
            <w:tcW w:w="2268" w:type="dxa"/>
            <w:vAlign w:val="center"/>
          </w:tcPr>
          <w:p w14:paraId="1AC82B8F">
            <w:pPr>
              <w:pStyle w:val="13"/>
            </w:pPr>
            <w:r>
              <w:t>840元</w:t>
            </w:r>
          </w:p>
        </w:tc>
        <w:tc>
          <w:tcPr>
            <w:tcW w:w="1276" w:type="dxa"/>
            <w:vAlign w:val="center"/>
          </w:tcPr>
          <w:p w14:paraId="7FC3148E">
            <w:pPr>
              <w:pStyle w:val="13"/>
            </w:pPr>
            <w:r>
              <w:t>城乡义务教育公用经费管理办法</w:t>
            </w:r>
          </w:p>
        </w:tc>
      </w:tr>
      <w:tr w14:paraId="69656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1690AA">
            <w:pPr>
              <w:pStyle w:val="12"/>
            </w:pPr>
            <w:r>
              <w:t>效益指标</w:t>
            </w:r>
          </w:p>
        </w:tc>
        <w:tc>
          <w:tcPr>
            <w:tcW w:w="2268" w:type="dxa"/>
            <w:vAlign w:val="center"/>
          </w:tcPr>
          <w:p w14:paraId="2DE00274">
            <w:pPr>
              <w:pStyle w:val="13"/>
            </w:pPr>
            <w:r>
              <w:t>社会效益指标</w:t>
            </w:r>
          </w:p>
        </w:tc>
        <w:tc>
          <w:tcPr>
            <w:tcW w:w="2835" w:type="dxa"/>
            <w:vAlign w:val="center"/>
          </w:tcPr>
          <w:p w14:paraId="0F50F03F">
            <w:pPr>
              <w:pStyle w:val="13"/>
            </w:pPr>
            <w:r>
              <w:t>学校稳定率</w:t>
            </w:r>
          </w:p>
        </w:tc>
        <w:tc>
          <w:tcPr>
            <w:tcW w:w="5386" w:type="dxa"/>
            <w:vAlign w:val="center"/>
          </w:tcPr>
          <w:p w14:paraId="11495987">
            <w:pPr>
              <w:pStyle w:val="13"/>
            </w:pPr>
            <w:r>
              <w:t>维护学校稳定，保障学校正常教学秩序有效开展</w:t>
            </w:r>
          </w:p>
        </w:tc>
        <w:tc>
          <w:tcPr>
            <w:tcW w:w="2268" w:type="dxa"/>
            <w:vAlign w:val="center"/>
          </w:tcPr>
          <w:p w14:paraId="293E7604">
            <w:pPr>
              <w:pStyle w:val="13"/>
            </w:pPr>
            <w:r>
              <w:t>≥100%</w:t>
            </w:r>
          </w:p>
        </w:tc>
        <w:tc>
          <w:tcPr>
            <w:tcW w:w="1276" w:type="dxa"/>
            <w:vAlign w:val="center"/>
          </w:tcPr>
          <w:p w14:paraId="24973230">
            <w:pPr>
              <w:pStyle w:val="13"/>
            </w:pPr>
            <w:r>
              <w:t>城乡义务教育公用经费管理办法</w:t>
            </w:r>
          </w:p>
        </w:tc>
      </w:tr>
      <w:tr w14:paraId="29A43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D4603B">
            <w:pPr>
              <w:pStyle w:val="12"/>
            </w:pPr>
            <w:r>
              <w:t>满意度指标</w:t>
            </w:r>
          </w:p>
        </w:tc>
        <w:tc>
          <w:tcPr>
            <w:tcW w:w="2268" w:type="dxa"/>
            <w:vAlign w:val="center"/>
          </w:tcPr>
          <w:p w14:paraId="1DE744D9">
            <w:pPr>
              <w:pStyle w:val="13"/>
            </w:pPr>
            <w:r>
              <w:t>服务对象满意度指标</w:t>
            </w:r>
          </w:p>
        </w:tc>
        <w:tc>
          <w:tcPr>
            <w:tcW w:w="2835" w:type="dxa"/>
            <w:vAlign w:val="center"/>
          </w:tcPr>
          <w:p w14:paraId="2778FE5B">
            <w:pPr>
              <w:pStyle w:val="13"/>
            </w:pPr>
            <w:r>
              <w:t>家长和学生满意度</w:t>
            </w:r>
          </w:p>
        </w:tc>
        <w:tc>
          <w:tcPr>
            <w:tcW w:w="5386" w:type="dxa"/>
            <w:vAlign w:val="center"/>
          </w:tcPr>
          <w:p w14:paraId="54986C9B">
            <w:pPr>
              <w:pStyle w:val="13"/>
            </w:pPr>
            <w:r>
              <w:t>家长和学生满意度</w:t>
            </w:r>
          </w:p>
        </w:tc>
        <w:tc>
          <w:tcPr>
            <w:tcW w:w="2268" w:type="dxa"/>
            <w:vAlign w:val="center"/>
          </w:tcPr>
          <w:p w14:paraId="2B3DCE99">
            <w:pPr>
              <w:pStyle w:val="13"/>
            </w:pPr>
            <w:r>
              <w:t>≥95%</w:t>
            </w:r>
          </w:p>
        </w:tc>
        <w:tc>
          <w:tcPr>
            <w:tcW w:w="1276" w:type="dxa"/>
            <w:vAlign w:val="center"/>
          </w:tcPr>
          <w:p w14:paraId="168FAB0D">
            <w:pPr>
              <w:pStyle w:val="13"/>
            </w:pPr>
            <w:r>
              <w:t>问卷调查</w:t>
            </w:r>
          </w:p>
        </w:tc>
      </w:tr>
    </w:tbl>
    <w:p w14:paraId="50BBF21D">
      <w:pPr>
        <w:sectPr>
          <w:pgSz w:w="16840" w:h="11900" w:orient="landscape"/>
          <w:pgMar w:top="1361" w:right="1020" w:bottom="1134" w:left="1020" w:header="720" w:footer="720" w:gutter="0"/>
          <w:cols w:space="720" w:num="1"/>
        </w:sectPr>
      </w:pPr>
    </w:p>
    <w:p w14:paraId="49B3D47F">
      <w:pPr>
        <w:spacing w:before="0" w:after="0"/>
        <w:ind w:firstLine="560"/>
        <w:jc w:val="left"/>
        <w:outlineLvl w:val="9"/>
      </w:pPr>
      <w:r>
        <w:rPr>
          <w:rFonts w:ascii="方正仿宋_GBK" w:hAnsi="方正仿宋_GBK" w:eastAsia="方正仿宋_GBK" w:cs="方正仿宋_GBK"/>
          <w:b/>
          <w:color w:val="000000"/>
          <w:sz w:val="28"/>
        </w:rPr>
        <w:t>18、冀财教[2024]141号/省级/2025年义教补助经费/小孟小学公用经费绩效目标表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48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23376">
            <w:pPr>
              <w:pStyle w:val="14"/>
            </w:pPr>
            <w:r>
              <w:t>单位：万元</w:t>
            </w:r>
          </w:p>
        </w:tc>
      </w:tr>
      <w:tr w14:paraId="1316D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1D4FD9">
            <w:pPr>
              <w:pStyle w:val="11"/>
            </w:pPr>
            <w:r>
              <w:t>项目编码</w:t>
            </w:r>
          </w:p>
        </w:tc>
        <w:tc>
          <w:tcPr>
            <w:tcW w:w="5103" w:type="dxa"/>
            <w:gridSpan w:val="2"/>
            <w:vAlign w:val="center"/>
          </w:tcPr>
          <w:p w14:paraId="7839D358">
            <w:pPr>
              <w:pStyle w:val="13"/>
            </w:pPr>
            <w:r>
              <w:t>13052525P000004101833</w:t>
            </w:r>
          </w:p>
        </w:tc>
        <w:tc>
          <w:tcPr>
            <w:tcW w:w="2835" w:type="dxa"/>
            <w:vAlign w:val="center"/>
          </w:tcPr>
          <w:p w14:paraId="6D6BF5C1">
            <w:pPr>
              <w:pStyle w:val="11"/>
            </w:pPr>
            <w:r>
              <w:t>项目名称</w:t>
            </w:r>
          </w:p>
        </w:tc>
        <w:tc>
          <w:tcPr>
            <w:tcW w:w="6095" w:type="dxa"/>
            <w:gridSpan w:val="3"/>
            <w:vAlign w:val="center"/>
          </w:tcPr>
          <w:p w14:paraId="0A851A58">
            <w:pPr>
              <w:pStyle w:val="13"/>
            </w:pPr>
            <w:r>
              <w:t>冀财教[2024]141号/省级/2025年义教补助经费/小孟小学公用经费</w:t>
            </w:r>
          </w:p>
        </w:tc>
      </w:tr>
      <w:tr w14:paraId="5B520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2443B">
            <w:pPr>
              <w:pStyle w:val="11"/>
            </w:pPr>
            <w:r>
              <w:t>预算规模及资金用途</w:t>
            </w:r>
          </w:p>
        </w:tc>
        <w:tc>
          <w:tcPr>
            <w:tcW w:w="2268" w:type="dxa"/>
            <w:vAlign w:val="center"/>
          </w:tcPr>
          <w:p w14:paraId="5628E62A">
            <w:pPr>
              <w:pStyle w:val="11"/>
            </w:pPr>
            <w:r>
              <w:t>预算数</w:t>
            </w:r>
          </w:p>
        </w:tc>
        <w:tc>
          <w:tcPr>
            <w:tcW w:w="2835" w:type="dxa"/>
            <w:vAlign w:val="center"/>
          </w:tcPr>
          <w:p w14:paraId="3D1F71D7">
            <w:pPr>
              <w:pStyle w:val="13"/>
            </w:pPr>
            <w:r>
              <w:t>15.10</w:t>
            </w:r>
          </w:p>
        </w:tc>
        <w:tc>
          <w:tcPr>
            <w:tcW w:w="2835" w:type="dxa"/>
            <w:vAlign w:val="center"/>
          </w:tcPr>
          <w:p w14:paraId="3E110F46">
            <w:pPr>
              <w:pStyle w:val="11"/>
            </w:pPr>
            <w:r>
              <w:t>其中：财政    资金</w:t>
            </w:r>
          </w:p>
        </w:tc>
        <w:tc>
          <w:tcPr>
            <w:tcW w:w="2551" w:type="dxa"/>
            <w:vAlign w:val="center"/>
          </w:tcPr>
          <w:p w14:paraId="40A71FDD">
            <w:pPr>
              <w:pStyle w:val="13"/>
            </w:pPr>
            <w:r>
              <w:t>15.10</w:t>
            </w:r>
          </w:p>
        </w:tc>
        <w:tc>
          <w:tcPr>
            <w:tcW w:w="2268" w:type="dxa"/>
            <w:vAlign w:val="center"/>
          </w:tcPr>
          <w:p w14:paraId="58E47E7C">
            <w:pPr>
              <w:pStyle w:val="11"/>
            </w:pPr>
            <w:r>
              <w:t>其他资金</w:t>
            </w:r>
          </w:p>
        </w:tc>
        <w:tc>
          <w:tcPr>
            <w:tcW w:w="1276" w:type="dxa"/>
            <w:vAlign w:val="center"/>
          </w:tcPr>
          <w:p w14:paraId="1AA77D7C">
            <w:pPr>
              <w:pStyle w:val="13"/>
            </w:pPr>
            <w:r>
              <w:t xml:space="preserve"> </w:t>
            </w:r>
          </w:p>
        </w:tc>
      </w:tr>
      <w:tr w14:paraId="77B47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0ECF21"/>
        </w:tc>
        <w:tc>
          <w:tcPr>
            <w:tcW w:w="14033" w:type="dxa"/>
            <w:gridSpan w:val="6"/>
            <w:vAlign w:val="center"/>
          </w:tcPr>
          <w:p w14:paraId="5B9109EF">
            <w:pPr>
              <w:pStyle w:val="13"/>
            </w:pPr>
            <w:r>
              <w:t>用于有效完成学校教学安全秩序，保障学校教学任务有效开展，满足学校正常教学需要。</w:t>
            </w:r>
          </w:p>
        </w:tc>
      </w:tr>
      <w:tr w14:paraId="0748F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9BEB0">
            <w:pPr>
              <w:pStyle w:val="11"/>
            </w:pPr>
            <w:r>
              <w:t>资金支出计划（%）</w:t>
            </w:r>
          </w:p>
        </w:tc>
        <w:tc>
          <w:tcPr>
            <w:tcW w:w="5103" w:type="dxa"/>
            <w:gridSpan w:val="2"/>
            <w:vAlign w:val="center"/>
          </w:tcPr>
          <w:p w14:paraId="4FF9C6FD">
            <w:pPr>
              <w:pStyle w:val="11"/>
            </w:pPr>
            <w:r>
              <w:t>3月底</w:t>
            </w:r>
          </w:p>
        </w:tc>
        <w:tc>
          <w:tcPr>
            <w:tcW w:w="2835" w:type="dxa"/>
            <w:vAlign w:val="center"/>
          </w:tcPr>
          <w:p w14:paraId="4F322C3C">
            <w:pPr>
              <w:pStyle w:val="11"/>
            </w:pPr>
            <w:r>
              <w:t>6月底</w:t>
            </w:r>
          </w:p>
        </w:tc>
        <w:tc>
          <w:tcPr>
            <w:tcW w:w="2551" w:type="dxa"/>
            <w:vAlign w:val="center"/>
          </w:tcPr>
          <w:p w14:paraId="0D952E19">
            <w:pPr>
              <w:pStyle w:val="11"/>
            </w:pPr>
            <w:r>
              <w:t>10月底</w:t>
            </w:r>
          </w:p>
        </w:tc>
        <w:tc>
          <w:tcPr>
            <w:tcW w:w="3544" w:type="dxa"/>
            <w:gridSpan w:val="2"/>
            <w:vAlign w:val="center"/>
          </w:tcPr>
          <w:p w14:paraId="098A0856">
            <w:pPr>
              <w:pStyle w:val="11"/>
            </w:pPr>
            <w:r>
              <w:t>12月底</w:t>
            </w:r>
          </w:p>
        </w:tc>
      </w:tr>
      <w:tr w14:paraId="49D81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16741"/>
        </w:tc>
        <w:tc>
          <w:tcPr>
            <w:tcW w:w="5103" w:type="dxa"/>
            <w:gridSpan w:val="2"/>
            <w:vAlign w:val="center"/>
          </w:tcPr>
          <w:p w14:paraId="63D2C5E6">
            <w:pPr>
              <w:pStyle w:val="12"/>
            </w:pPr>
            <w:r>
              <w:t>25%</w:t>
            </w:r>
          </w:p>
        </w:tc>
        <w:tc>
          <w:tcPr>
            <w:tcW w:w="2835" w:type="dxa"/>
            <w:vAlign w:val="center"/>
          </w:tcPr>
          <w:p w14:paraId="172F064E">
            <w:pPr>
              <w:pStyle w:val="12"/>
            </w:pPr>
            <w:r>
              <w:t>50%</w:t>
            </w:r>
          </w:p>
        </w:tc>
        <w:tc>
          <w:tcPr>
            <w:tcW w:w="2551" w:type="dxa"/>
            <w:vAlign w:val="center"/>
          </w:tcPr>
          <w:p w14:paraId="1AEEB9C7">
            <w:pPr>
              <w:pStyle w:val="12"/>
            </w:pPr>
            <w:r>
              <w:t>75%</w:t>
            </w:r>
          </w:p>
        </w:tc>
        <w:tc>
          <w:tcPr>
            <w:tcW w:w="3544" w:type="dxa"/>
            <w:gridSpan w:val="2"/>
            <w:vAlign w:val="center"/>
          </w:tcPr>
          <w:p w14:paraId="5B5D419D">
            <w:pPr>
              <w:pStyle w:val="12"/>
            </w:pPr>
            <w:r>
              <w:t>100%</w:t>
            </w:r>
          </w:p>
        </w:tc>
      </w:tr>
      <w:tr w14:paraId="0C078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6A58B">
            <w:pPr>
              <w:pStyle w:val="11"/>
            </w:pPr>
            <w:r>
              <w:t>绩效目标</w:t>
            </w:r>
          </w:p>
        </w:tc>
        <w:tc>
          <w:tcPr>
            <w:tcW w:w="14033" w:type="dxa"/>
            <w:gridSpan w:val="6"/>
            <w:vAlign w:val="center"/>
          </w:tcPr>
          <w:p w14:paraId="49EF788F">
            <w:pPr>
              <w:pStyle w:val="13"/>
            </w:pPr>
            <w:r>
              <w:t>1.有效完成学校教学安全秩序，保障学校教学任务有效开展，满足学校正常教学需要。</w:t>
            </w:r>
          </w:p>
          <w:p w14:paraId="75011EA3">
            <w:pPr>
              <w:pStyle w:val="13"/>
            </w:pPr>
            <w:r>
              <w:t>2.按规定拨付公用经费资金，预算执行率≥98%。</w:t>
            </w:r>
          </w:p>
        </w:tc>
      </w:tr>
    </w:tbl>
    <w:p w14:paraId="34699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D7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E7783">
            <w:pPr>
              <w:pStyle w:val="11"/>
            </w:pPr>
            <w:r>
              <w:t>一级指标</w:t>
            </w:r>
          </w:p>
        </w:tc>
        <w:tc>
          <w:tcPr>
            <w:tcW w:w="2268" w:type="dxa"/>
            <w:vAlign w:val="center"/>
          </w:tcPr>
          <w:p w14:paraId="5B14A7B3">
            <w:pPr>
              <w:pStyle w:val="11"/>
            </w:pPr>
            <w:r>
              <w:t>二级指标</w:t>
            </w:r>
          </w:p>
        </w:tc>
        <w:tc>
          <w:tcPr>
            <w:tcW w:w="2835" w:type="dxa"/>
            <w:vAlign w:val="center"/>
          </w:tcPr>
          <w:p w14:paraId="5608EE3D">
            <w:pPr>
              <w:pStyle w:val="11"/>
            </w:pPr>
            <w:r>
              <w:t>三级指标</w:t>
            </w:r>
          </w:p>
        </w:tc>
        <w:tc>
          <w:tcPr>
            <w:tcW w:w="5386" w:type="dxa"/>
            <w:vAlign w:val="center"/>
          </w:tcPr>
          <w:p w14:paraId="401BEA5E">
            <w:pPr>
              <w:pStyle w:val="11"/>
            </w:pPr>
            <w:r>
              <w:t>绩效指标描述</w:t>
            </w:r>
          </w:p>
        </w:tc>
        <w:tc>
          <w:tcPr>
            <w:tcW w:w="2268" w:type="dxa"/>
            <w:vAlign w:val="center"/>
          </w:tcPr>
          <w:p w14:paraId="672D19A2">
            <w:pPr>
              <w:pStyle w:val="11"/>
            </w:pPr>
            <w:r>
              <w:t>指标值</w:t>
            </w:r>
          </w:p>
        </w:tc>
        <w:tc>
          <w:tcPr>
            <w:tcW w:w="1276" w:type="dxa"/>
            <w:vAlign w:val="center"/>
          </w:tcPr>
          <w:p w14:paraId="4C3AD46E">
            <w:pPr>
              <w:pStyle w:val="11"/>
            </w:pPr>
            <w:r>
              <w:t>指标值确定依据</w:t>
            </w:r>
          </w:p>
        </w:tc>
      </w:tr>
      <w:tr w14:paraId="39AC5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5C22C">
            <w:pPr>
              <w:pStyle w:val="12"/>
            </w:pPr>
            <w:r>
              <w:t>产出指标</w:t>
            </w:r>
          </w:p>
        </w:tc>
        <w:tc>
          <w:tcPr>
            <w:tcW w:w="2268" w:type="dxa"/>
            <w:vAlign w:val="center"/>
          </w:tcPr>
          <w:p w14:paraId="03A1BCA8">
            <w:pPr>
              <w:pStyle w:val="13"/>
            </w:pPr>
            <w:r>
              <w:t>数量指标</w:t>
            </w:r>
          </w:p>
        </w:tc>
        <w:tc>
          <w:tcPr>
            <w:tcW w:w="2835" w:type="dxa"/>
            <w:vAlign w:val="center"/>
          </w:tcPr>
          <w:p w14:paraId="02C2D19B">
            <w:pPr>
              <w:pStyle w:val="13"/>
            </w:pPr>
            <w:r>
              <w:t>就读学生数</w:t>
            </w:r>
          </w:p>
        </w:tc>
        <w:tc>
          <w:tcPr>
            <w:tcW w:w="5386" w:type="dxa"/>
            <w:vAlign w:val="center"/>
          </w:tcPr>
          <w:p w14:paraId="414E9068">
            <w:pPr>
              <w:pStyle w:val="13"/>
            </w:pPr>
            <w:r>
              <w:t>辐射区域内适龄学生人数</w:t>
            </w:r>
          </w:p>
        </w:tc>
        <w:tc>
          <w:tcPr>
            <w:tcW w:w="2268" w:type="dxa"/>
            <w:vAlign w:val="center"/>
          </w:tcPr>
          <w:p w14:paraId="48357440">
            <w:pPr>
              <w:pStyle w:val="13"/>
            </w:pPr>
            <w:r>
              <w:t>509人</w:t>
            </w:r>
          </w:p>
        </w:tc>
        <w:tc>
          <w:tcPr>
            <w:tcW w:w="1276" w:type="dxa"/>
            <w:vAlign w:val="center"/>
          </w:tcPr>
          <w:p w14:paraId="098252F7">
            <w:pPr>
              <w:pStyle w:val="13"/>
            </w:pPr>
            <w:r>
              <w:t>城乡义务教育公用经费管理办法</w:t>
            </w:r>
          </w:p>
        </w:tc>
      </w:tr>
      <w:tr w14:paraId="357CD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E17E9"/>
        </w:tc>
        <w:tc>
          <w:tcPr>
            <w:tcW w:w="2268" w:type="dxa"/>
            <w:vAlign w:val="center"/>
          </w:tcPr>
          <w:p w14:paraId="300443F2">
            <w:pPr>
              <w:pStyle w:val="13"/>
            </w:pPr>
            <w:r>
              <w:t>质量指标</w:t>
            </w:r>
          </w:p>
        </w:tc>
        <w:tc>
          <w:tcPr>
            <w:tcW w:w="2835" w:type="dxa"/>
            <w:vAlign w:val="center"/>
          </w:tcPr>
          <w:p w14:paraId="3E5EC7B3">
            <w:pPr>
              <w:pStyle w:val="13"/>
            </w:pPr>
            <w:r>
              <w:t>预算执行率</w:t>
            </w:r>
          </w:p>
        </w:tc>
        <w:tc>
          <w:tcPr>
            <w:tcW w:w="5386" w:type="dxa"/>
            <w:vAlign w:val="center"/>
          </w:tcPr>
          <w:p w14:paraId="35D1BF1A">
            <w:pPr>
              <w:pStyle w:val="13"/>
            </w:pPr>
            <w:r>
              <w:t>预算执行率</w:t>
            </w:r>
          </w:p>
        </w:tc>
        <w:tc>
          <w:tcPr>
            <w:tcW w:w="2268" w:type="dxa"/>
            <w:vAlign w:val="center"/>
          </w:tcPr>
          <w:p w14:paraId="0138100C">
            <w:pPr>
              <w:pStyle w:val="13"/>
            </w:pPr>
            <w:r>
              <w:t>≥98%</w:t>
            </w:r>
          </w:p>
        </w:tc>
        <w:tc>
          <w:tcPr>
            <w:tcW w:w="1276" w:type="dxa"/>
            <w:vAlign w:val="center"/>
          </w:tcPr>
          <w:p w14:paraId="70592433">
            <w:pPr>
              <w:pStyle w:val="13"/>
            </w:pPr>
            <w:r>
              <w:t>城乡义务教育公用经费管理办法</w:t>
            </w:r>
          </w:p>
        </w:tc>
      </w:tr>
      <w:tr w14:paraId="31692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E9A7C"/>
        </w:tc>
        <w:tc>
          <w:tcPr>
            <w:tcW w:w="2268" w:type="dxa"/>
            <w:vAlign w:val="center"/>
          </w:tcPr>
          <w:p w14:paraId="3F3C1145">
            <w:pPr>
              <w:pStyle w:val="13"/>
            </w:pPr>
            <w:r>
              <w:t>时效指标</w:t>
            </w:r>
          </w:p>
        </w:tc>
        <w:tc>
          <w:tcPr>
            <w:tcW w:w="2835" w:type="dxa"/>
            <w:vAlign w:val="center"/>
          </w:tcPr>
          <w:p w14:paraId="15300F76">
            <w:pPr>
              <w:pStyle w:val="13"/>
            </w:pPr>
            <w:r>
              <w:t>义教经费支付完成率</w:t>
            </w:r>
          </w:p>
        </w:tc>
        <w:tc>
          <w:tcPr>
            <w:tcW w:w="5386" w:type="dxa"/>
            <w:vAlign w:val="center"/>
          </w:tcPr>
          <w:p w14:paraId="404B2893">
            <w:pPr>
              <w:pStyle w:val="13"/>
            </w:pPr>
            <w:r>
              <w:t>按照序时进度完成资金支付</w:t>
            </w:r>
          </w:p>
        </w:tc>
        <w:tc>
          <w:tcPr>
            <w:tcW w:w="2268" w:type="dxa"/>
            <w:vAlign w:val="center"/>
          </w:tcPr>
          <w:p w14:paraId="1ECD30EA">
            <w:pPr>
              <w:pStyle w:val="13"/>
            </w:pPr>
            <w:r>
              <w:t>≥100%</w:t>
            </w:r>
          </w:p>
        </w:tc>
        <w:tc>
          <w:tcPr>
            <w:tcW w:w="1276" w:type="dxa"/>
            <w:vAlign w:val="center"/>
          </w:tcPr>
          <w:p w14:paraId="6CCBD048">
            <w:pPr>
              <w:pStyle w:val="13"/>
            </w:pPr>
            <w:r>
              <w:t>城乡义务教育公用经费管理办法</w:t>
            </w:r>
          </w:p>
        </w:tc>
      </w:tr>
      <w:tr w14:paraId="72A62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759B6"/>
        </w:tc>
        <w:tc>
          <w:tcPr>
            <w:tcW w:w="2268" w:type="dxa"/>
            <w:vAlign w:val="center"/>
          </w:tcPr>
          <w:p w14:paraId="1A750FC2">
            <w:pPr>
              <w:pStyle w:val="13"/>
            </w:pPr>
            <w:r>
              <w:t>成本指标</w:t>
            </w:r>
          </w:p>
        </w:tc>
        <w:tc>
          <w:tcPr>
            <w:tcW w:w="2835" w:type="dxa"/>
            <w:vAlign w:val="center"/>
          </w:tcPr>
          <w:p w14:paraId="7BB7D2B8">
            <w:pPr>
              <w:pStyle w:val="13"/>
            </w:pPr>
            <w:r>
              <w:t>生均拨款标准</w:t>
            </w:r>
          </w:p>
        </w:tc>
        <w:tc>
          <w:tcPr>
            <w:tcW w:w="5386" w:type="dxa"/>
            <w:vAlign w:val="center"/>
          </w:tcPr>
          <w:p w14:paraId="21640EB9">
            <w:pPr>
              <w:pStyle w:val="13"/>
            </w:pPr>
            <w:r>
              <w:t>小学：（基本标准720元、寄宿生300元、生活补助120元）/生/学年；特教、随班就读学生：标准7000元/生/学年</w:t>
            </w:r>
          </w:p>
        </w:tc>
        <w:tc>
          <w:tcPr>
            <w:tcW w:w="2268" w:type="dxa"/>
            <w:vAlign w:val="center"/>
          </w:tcPr>
          <w:p w14:paraId="0C443842">
            <w:pPr>
              <w:pStyle w:val="13"/>
            </w:pPr>
            <w:r>
              <w:t>840元</w:t>
            </w:r>
          </w:p>
        </w:tc>
        <w:tc>
          <w:tcPr>
            <w:tcW w:w="1276" w:type="dxa"/>
            <w:vAlign w:val="center"/>
          </w:tcPr>
          <w:p w14:paraId="17794466">
            <w:pPr>
              <w:pStyle w:val="13"/>
            </w:pPr>
            <w:r>
              <w:t>城乡义务教育公用经费管理办法</w:t>
            </w:r>
          </w:p>
        </w:tc>
      </w:tr>
      <w:tr w14:paraId="55538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15EA87">
            <w:pPr>
              <w:pStyle w:val="12"/>
            </w:pPr>
            <w:r>
              <w:t>效益指标</w:t>
            </w:r>
          </w:p>
        </w:tc>
        <w:tc>
          <w:tcPr>
            <w:tcW w:w="2268" w:type="dxa"/>
            <w:vAlign w:val="center"/>
          </w:tcPr>
          <w:p w14:paraId="2B5E332D">
            <w:pPr>
              <w:pStyle w:val="13"/>
            </w:pPr>
            <w:r>
              <w:t>社会效益指标</w:t>
            </w:r>
          </w:p>
        </w:tc>
        <w:tc>
          <w:tcPr>
            <w:tcW w:w="2835" w:type="dxa"/>
            <w:vAlign w:val="center"/>
          </w:tcPr>
          <w:p w14:paraId="69973C79">
            <w:pPr>
              <w:pStyle w:val="13"/>
            </w:pPr>
            <w:r>
              <w:t>学校稳定率</w:t>
            </w:r>
          </w:p>
        </w:tc>
        <w:tc>
          <w:tcPr>
            <w:tcW w:w="5386" w:type="dxa"/>
            <w:vAlign w:val="center"/>
          </w:tcPr>
          <w:p w14:paraId="2BCA362F">
            <w:pPr>
              <w:pStyle w:val="13"/>
            </w:pPr>
            <w:r>
              <w:t>维护学校稳定，保障学校正常教学秩序有效开展</w:t>
            </w:r>
          </w:p>
        </w:tc>
        <w:tc>
          <w:tcPr>
            <w:tcW w:w="2268" w:type="dxa"/>
            <w:vAlign w:val="center"/>
          </w:tcPr>
          <w:p w14:paraId="0DC5A876">
            <w:pPr>
              <w:pStyle w:val="13"/>
            </w:pPr>
            <w:r>
              <w:t>≥100%</w:t>
            </w:r>
          </w:p>
        </w:tc>
        <w:tc>
          <w:tcPr>
            <w:tcW w:w="1276" w:type="dxa"/>
            <w:vAlign w:val="center"/>
          </w:tcPr>
          <w:p w14:paraId="4D457E7F">
            <w:pPr>
              <w:pStyle w:val="13"/>
            </w:pPr>
            <w:r>
              <w:t>城乡义务教育公用经费管理办法</w:t>
            </w:r>
          </w:p>
        </w:tc>
      </w:tr>
      <w:tr w14:paraId="19D27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2B4512">
            <w:pPr>
              <w:pStyle w:val="12"/>
            </w:pPr>
            <w:r>
              <w:t>满意度指标</w:t>
            </w:r>
          </w:p>
        </w:tc>
        <w:tc>
          <w:tcPr>
            <w:tcW w:w="2268" w:type="dxa"/>
            <w:vAlign w:val="center"/>
          </w:tcPr>
          <w:p w14:paraId="5DF0C4DE">
            <w:pPr>
              <w:pStyle w:val="13"/>
            </w:pPr>
            <w:r>
              <w:t>服务对象满意度指标</w:t>
            </w:r>
          </w:p>
        </w:tc>
        <w:tc>
          <w:tcPr>
            <w:tcW w:w="2835" w:type="dxa"/>
            <w:vAlign w:val="center"/>
          </w:tcPr>
          <w:p w14:paraId="5582700A">
            <w:pPr>
              <w:pStyle w:val="13"/>
            </w:pPr>
            <w:r>
              <w:t>家长和学生满意度</w:t>
            </w:r>
          </w:p>
        </w:tc>
        <w:tc>
          <w:tcPr>
            <w:tcW w:w="5386" w:type="dxa"/>
            <w:vAlign w:val="center"/>
          </w:tcPr>
          <w:p w14:paraId="11E465D3">
            <w:pPr>
              <w:pStyle w:val="13"/>
            </w:pPr>
            <w:r>
              <w:t>家长和学生满意度</w:t>
            </w:r>
          </w:p>
        </w:tc>
        <w:tc>
          <w:tcPr>
            <w:tcW w:w="2268" w:type="dxa"/>
            <w:vAlign w:val="center"/>
          </w:tcPr>
          <w:p w14:paraId="6BE7D9A0">
            <w:pPr>
              <w:pStyle w:val="13"/>
            </w:pPr>
            <w:r>
              <w:t>≥95%</w:t>
            </w:r>
          </w:p>
        </w:tc>
        <w:tc>
          <w:tcPr>
            <w:tcW w:w="1276" w:type="dxa"/>
            <w:vAlign w:val="center"/>
          </w:tcPr>
          <w:p w14:paraId="28ED7D88">
            <w:pPr>
              <w:pStyle w:val="13"/>
            </w:pPr>
            <w:r>
              <w:t>问卷调查</w:t>
            </w:r>
          </w:p>
        </w:tc>
      </w:tr>
    </w:tbl>
    <w:p w14:paraId="0DE3B975">
      <w:pPr>
        <w:sectPr>
          <w:pgSz w:w="16840" w:h="11900" w:orient="landscape"/>
          <w:pgMar w:top="1361" w:right="1020" w:bottom="1134" w:left="1020" w:header="720" w:footer="720" w:gutter="0"/>
          <w:cols w:space="720" w:num="1"/>
        </w:sectPr>
      </w:pPr>
    </w:p>
    <w:p w14:paraId="7DD1660C">
      <w:pPr>
        <w:spacing w:before="0" w:after="0"/>
        <w:ind w:firstLine="560"/>
        <w:jc w:val="left"/>
        <w:outlineLvl w:val="9"/>
      </w:pPr>
      <w:r>
        <w:rPr>
          <w:rFonts w:ascii="方正仿宋_GBK" w:hAnsi="方正仿宋_GBK" w:eastAsia="方正仿宋_GBK" w:cs="方正仿宋_GBK"/>
          <w:b/>
          <w:color w:val="000000"/>
          <w:sz w:val="28"/>
        </w:rPr>
        <w:t>19、冀财教[2024]142号/省级/2025年学前发展资金/固城校区学前教育公用经费绩效目标表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FA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A4ADB2">
            <w:pPr>
              <w:pStyle w:val="14"/>
            </w:pPr>
            <w:r>
              <w:t>单位：万元</w:t>
            </w:r>
          </w:p>
        </w:tc>
      </w:tr>
      <w:tr w14:paraId="44F20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63F9E7">
            <w:pPr>
              <w:pStyle w:val="11"/>
            </w:pPr>
            <w:r>
              <w:t>项目编码</w:t>
            </w:r>
          </w:p>
        </w:tc>
        <w:tc>
          <w:tcPr>
            <w:tcW w:w="5103" w:type="dxa"/>
            <w:gridSpan w:val="2"/>
            <w:vAlign w:val="center"/>
          </w:tcPr>
          <w:p w14:paraId="2F4C4E72">
            <w:pPr>
              <w:pStyle w:val="13"/>
            </w:pPr>
            <w:r>
              <w:t>13052525P00875710008W</w:t>
            </w:r>
          </w:p>
        </w:tc>
        <w:tc>
          <w:tcPr>
            <w:tcW w:w="2835" w:type="dxa"/>
            <w:vAlign w:val="center"/>
          </w:tcPr>
          <w:p w14:paraId="6DA6CBC3">
            <w:pPr>
              <w:pStyle w:val="11"/>
            </w:pPr>
            <w:r>
              <w:t>项目名称</w:t>
            </w:r>
          </w:p>
        </w:tc>
        <w:tc>
          <w:tcPr>
            <w:tcW w:w="6095" w:type="dxa"/>
            <w:gridSpan w:val="3"/>
            <w:vAlign w:val="center"/>
          </w:tcPr>
          <w:p w14:paraId="78C21827">
            <w:pPr>
              <w:pStyle w:val="13"/>
            </w:pPr>
            <w:r>
              <w:t>冀财教[2024]142号/省级/2025年学前发展资金/固城校区学前教育公用经费</w:t>
            </w:r>
          </w:p>
        </w:tc>
      </w:tr>
      <w:tr w14:paraId="4E39E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65AA8">
            <w:pPr>
              <w:pStyle w:val="11"/>
            </w:pPr>
            <w:r>
              <w:t>预算规模及资金用途</w:t>
            </w:r>
          </w:p>
        </w:tc>
        <w:tc>
          <w:tcPr>
            <w:tcW w:w="2268" w:type="dxa"/>
            <w:vAlign w:val="center"/>
          </w:tcPr>
          <w:p w14:paraId="34FB1197">
            <w:pPr>
              <w:pStyle w:val="11"/>
            </w:pPr>
            <w:r>
              <w:t>预算数</w:t>
            </w:r>
          </w:p>
        </w:tc>
        <w:tc>
          <w:tcPr>
            <w:tcW w:w="2835" w:type="dxa"/>
            <w:vAlign w:val="center"/>
          </w:tcPr>
          <w:p w14:paraId="3B11F438">
            <w:pPr>
              <w:pStyle w:val="13"/>
            </w:pPr>
            <w:r>
              <w:t>6.39</w:t>
            </w:r>
          </w:p>
        </w:tc>
        <w:tc>
          <w:tcPr>
            <w:tcW w:w="2835" w:type="dxa"/>
            <w:vAlign w:val="center"/>
          </w:tcPr>
          <w:p w14:paraId="5BDC9176">
            <w:pPr>
              <w:pStyle w:val="11"/>
            </w:pPr>
            <w:r>
              <w:t>其中：财政    资金</w:t>
            </w:r>
          </w:p>
        </w:tc>
        <w:tc>
          <w:tcPr>
            <w:tcW w:w="2551" w:type="dxa"/>
            <w:vAlign w:val="center"/>
          </w:tcPr>
          <w:p w14:paraId="0B060656">
            <w:pPr>
              <w:pStyle w:val="13"/>
            </w:pPr>
            <w:r>
              <w:t>6.39</w:t>
            </w:r>
          </w:p>
        </w:tc>
        <w:tc>
          <w:tcPr>
            <w:tcW w:w="2268" w:type="dxa"/>
            <w:vAlign w:val="center"/>
          </w:tcPr>
          <w:p w14:paraId="43CBC37E">
            <w:pPr>
              <w:pStyle w:val="11"/>
            </w:pPr>
            <w:r>
              <w:t>其他资金</w:t>
            </w:r>
          </w:p>
        </w:tc>
        <w:tc>
          <w:tcPr>
            <w:tcW w:w="1276" w:type="dxa"/>
            <w:vAlign w:val="center"/>
          </w:tcPr>
          <w:p w14:paraId="6B88433C">
            <w:pPr>
              <w:pStyle w:val="13"/>
            </w:pPr>
            <w:r>
              <w:t xml:space="preserve"> </w:t>
            </w:r>
          </w:p>
        </w:tc>
      </w:tr>
      <w:tr w14:paraId="1D12C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969CF2"/>
        </w:tc>
        <w:tc>
          <w:tcPr>
            <w:tcW w:w="14033" w:type="dxa"/>
            <w:gridSpan w:val="6"/>
            <w:vAlign w:val="center"/>
          </w:tcPr>
          <w:p w14:paraId="550633FF">
            <w:pPr>
              <w:pStyle w:val="13"/>
            </w:pPr>
            <w:r>
              <w:t>用于保障幼儿园正常运转，完成教育教学活动和其他日常工作任务等方面的费用支出。</w:t>
            </w:r>
          </w:p>
        </w:tc>
      </w:tr>
      <w:tr w14:paraId="1FCF0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A2A6D">
            <w:pPr>
              <w:pStyle w:val="11"/>
            </w:pPr>
            <w:r>
              <w:t>资金支出计划（%）</w:t>
            </w:r>
          </w:p>
        </w:tc>
        <w:tc>
          <w:tcPr>
            <w:tcW w:w="5103" w:type="dxa"/>
            <w:gridSpan w:val="2"/>
            <w:vAlign w:val="center"/>
          </w:tcPr>
          <w:p w14:paraId="62DE7ADE">
            <w:pPr>
              <w:pStyle w:val="11"/>
            </w:pPr>
            <w:r>
              <w:t>3月底</w:t>
            </w:r>
          </w:p>
        </w:tc>
        <w:tc>
          <w:tcPr>
            <w:tcW w:w="2835" w:type="dxa"/>
            <w:vAlign w:val="center"/>
          </w:tcPr>
          <w:p w14:paraId="6AA05DCB">
            <w:pPr>
              <w:pStyle w:val="11"/>
            </w:pPr>
            <w:r>
              <w:t>6月底</w:t>
            </w:r>
          </w:p>
        </w:tc>
        <w:tc>
          <w:tcPr>
            <w:tcW w:w="2551" w:type="dxa"/>
            <w:vAlign w:val="center"/>
          </w:tcPr>
          <w:p w14:paraId="2CC12232">
            <w:pPr>
              <w:pStyle w:val="11"/>
            </w:pPr>
            <w:r>
              <w:t>10月底</w:t>
            </w:r>
          </w:p>
        </w:tc>
        <w:tc>
          <w:tcPr>
            <w:tcW w:w="3544" w:type="dxa"/>
            <w:gridSpan w:val="2"/>
            <w:vAlign w:val="center"/>
          </w:tcPr>
          <w:p w14:paraId="66A399FE">
            <w:pPr>
              <w:pStyle w:val="11"/>
            </w:pPr>
            <w:r>
              <w:t>12月底</w:t>
            </w:r>
          </w:p>
        </w:tc>
      </w:tr>
      <w:tr w14:paraId="0B6D7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BA0BCD"/>
        </w:tc>
        <w:tc>
          <w:tcPr>
            <w:tcW w:w="5103" w:type="dxa"/>
            <w:gridSpan w:val="2"/>
            <w:vAlign w:val="center"/>
          </w:tcPr>
          <w:p w14:paraId="79B51390">
            <w:pPr>
              <w:pStyle w:val="12"/>
            </w:pPr>
            <w:r>
              <w:t>25%</w:t>
            </w:r>
          </w:p>
        </w:tc>
        <w:tc>
          <w:tcPr>
            <w:tcW w:w="2835" w:type="dxa"/>
            <w:vAlign w:val="center"/>
          </w:tcPr>
          <w:p w14:paraId="6616998D">
            <w:pPr>
              <w:pStyle w:val="12"/>
            </w:pPr>
            <w:r>
              <w:t>50%</w:t>
            </w:r>
          </w:p>
        </w:tc>
        <w:tc>
          <w:tcPr>
            <w:tcW w:w="2551" w:type="dxa"/>
            <w:vAlign w:val="center"/>
          </w:tcPr>
          <w:p w14:paraId="59F25672">
            <w:pPr>
              <w:pStyle w:val="12"/>
            </w:pPr>
            <w:r>
              <w:t>75%</w:t>
            </w:r>
          </w:p>
        </w:tc>
        <w:tc>
          <w:tcPr>
            <w:tcW w:w="3544" w:type="dxa"/>
            <w:gridSpan w:val="2"/>
            <w:vAlign w:val="center"/>
          </w:tcPr>
          <w:p w14:paraId="5D74BFB6">
            <w:pPr>
              <w:pStyle w:val="12"/>
            </w:pPr>
            <w:r>
              <w:t>100%</w:t>
            </w:r>
          </w:p>
        </w:tc>
      </w:tr>
      <w:tr w14:paraId="71EA8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C5451">
            <w:pPr>
              <w:pStyle w:val="11"/>
            </w:pPr>
            <w:r>
              <w:t>绩效目标</w:t>
            </w:r>
          </w:p>
        </w:tc>
        <w:tc>
          <w:tcPr>
            <w:tcW w:w="14033" w:type="dxa"/>
            <w:gridSpan w:val="6"/>
            <w:vAlign w:val="center"/>
          </w:tcPr>
          <w:p w14:paraId="34671AB5">
            <w:pPr>
              <w:pStyle w:val="13"/>
            </w:pPr>
            <w:r>
              <w:t>1.按季度分批次拨付公用经费资金，资金拨付率达到100%。</w:t>
            </w:r>
          </w:p>
          <w:p w14:paraId="56193982">
            <w:pPr>
              <w:pStyle w:val="13"/>
            </w:pPr>
            <w:r>
              <w:t>2.保障幼儿园正常运转，完成教育教学活动和其他日常工作任务等方面的费用支出。</w:t>
            </w:r>
          </w:p>
        </w:tc>
      </w:tr>
    </w:tbl>
    <w:p w14:paraId="412393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14:paraId="0B96E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A6F2E">
            <w:pPr>
              <w:pStyle w:val="11"/>
            </w:pPr>
            <w:r>
              <w:t>一级指标</w:t>
            </w:r>
          </w:p>
        </w:tc>
        <w:tc>
          <w:tcPr>
            <w:tcW w:w="2268" w:type="dxa"/>
            <w:vAlign w:val="center"/>
          </w:tcPr>
          <w:p w14:paraId="56BFFE2D">
            <w:pPr>
              <w:pStyle w:val="11"/>
            </w:pPr>
            <w:r>
              <w:t>二级指标</w:t>
            </w:r>
          </w:p>
        </w:tc>
        <w:tc>
          <w:tcPr>
            <w:tcW w:w="2835" w:type="dxa"/>
            <w:vAlign w:val="center"/>
          </w:tcPr>
          <w:p w14:paraId="55AB6DA3">
            <w:pPr>
              <w:pStyle w:val="11"/>
            </w:pPr>
            <w:r>
              <w:t>三级指标</w:t>
            </w:r>
          </w:p>
        </w:tc>
        <w:tc>
          <w:tcPr>
            <w:tcW w:w="5386" w:type="dxa"/>
            <w:vAlign w:val="center"/>
          </w:tcPr>
          <w:p w14:paraId="470679AA">
            <w:pPr>
              <w:pStyle w:val="11"/>
            </w:pPr>
            <w:r>
              <w:t>绩效指标描述</w:t>
            </w:r>
          </w:p>
        </w:tc>
        <w:tc>
          <w:tcPr>
            <w:tcW w:w="1718" w:type="dxa"/>
            <w:vAlign w:val="center"/>
          </w:tcPr>
          <w:p w14:paraId="08459109">
            <w:pPr>
              <w:pStyle w:val="11"/>
            </w:pPr>
            <w:r>
              <w:t>指标值</w:t>
            </w:r>
          </w:p>
        </w:tc>
        <w:tc>
          <w:tcPr>
            <w:tcW w:w="1826" w:type="dxa"/>
            <w:vAlign w:val="center"/>
          </w:tcPr>
          <w:p w14:paraId="33F9BAF3">
            <w:pPr>
              <w:pStyle w:val="11"/>
            </w:pPr>
            <w:r>
              <w:t>指标值确定依据</w:t>
            </w:r>
          </w:p>
        </w:tc>
      </w:tr>
      <w:tr w14:paraId="5AF49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FA5D8">
            <w:pPr>
              <w:pStyle w:val="12"/>
            </w:pPr>
            <w:r>
              <w:t>产出指标</w:t>
            </w:r>
          </w:p>
        </w:tc>
        <w:tc>
          <w:tcPr>
            <w:tcW w:w="2268" w:type="dxa"/>
            <w:vAlign w:val="center"/>
          </w:tcPr>
          <w:p w14:paraId="2CD4B439">
            <w:pPr>
              <w:pStyle w:val="13"/>
            </w:pPr>
            <w:r>
              <w:t>数量指标</w:t>
            </w:r>
          </w:p>
        </w:tc>
        <w:tc>
          <w:tcPr>
            <w:tcW w:w="2835" w:type="dxa"/>
            <w:vAlign w:val="center"/>
          </w:tcPr>
          <w:p w14:paraId="4C50D9A2">
            <w:pPr>
              <w:pStyle w:val="13"/>
            </w:pPr>
            <w:r>
              <w:t>就读学生数</w:t>
            </w:r>
          </w:p>
        </w:tc>
        <w:tc>
          <w:tcPr>
            <w:tcW w:w="5386" w:type="dxa"/>
            <w:vAlign w:val="center"/>
          </w:tcPr>
          <w:p w14:paraId="097294FF">
            <w:pPr>
              <w:pStyle w:val="13"/>
            </w:pPr>
            <w:r>
              <w:t>辐射区域内适龄学生人数</w:t>
            </w:r>
          </w:p>
        </w:tc>
        <w:tc>
          <w:tcPr>
            <w:tcW w:w="1718" w:type="dxa"/>
            <w:vAlign w:val="center"/>
          </w:tcPr>
          <w:p w14:paraId="576489FC">
            <w:pPr>
              <w:pStyle w:val="13"/>
            </w:pPr>
            <w:r>
              <w:t>≥426人</w:t>
            </w:r>
          </w:p>
        </w:tc>
        <w:tc>
          <w:tcPr>
            <w:tcW w:w="1826" w:type="dxa"/>
            <w:vAlign w:val="center"/>
          </w:tcPr>
          <w:p w14:paraId="3A265F32">
            <w:pPr>
              <w:pStyle w:val="13"/>
            </w:pPr>
            <w:r>
              <w:t>城乡义务教育公用经费管理办法</w:t>
            </w:r>
          </w:p>
        </w:tc>
      </w:tr>
      <w:tr w14:paraId="0905C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716A9"/>
        </w:tc>
        <w:tc>
          <w:tcPr>
            <w:tcW w:w="2268" w:type="dxa"/>
            <w:vAlign w:val="center"/>
          </w:tcPr>
          <w:p w14:paraId="5F03419A">
            <w:pPr>
              <w:pStyle w:val="13"/>
            </w:pPr>
            <w:r>
              <w:t>质量指标</w:t>
            </w:r>
          </w:p>
        </w:tc>
        <w:tc>
          <w:tcPr>
            <w:tcW w:w="2835" w:type="dxa"/>
            <w:vAlign w:val="center"/>
          </w:tcPr>
          <w:p w14:paraId="687ED237">
            <w:pPr>
              <w:pStyle w:val="13"/>
            </w:pPr>
            <w:r>
              <w:t>预算控制率</w:t>
            </w:r>
          </w:p>
        </w:tc>
        <w:tc>
          <w:tcPr>
            <w:tcW w:w="5386" w:type="dxa"/>
            <w:vAlign w:val="center"/>
          </w:tcPr>
          <w:p w14:paraId="4A79EE40">
            <w:pPr>
              <w:pStyle w:val="13"/>
            </w:pPr>
            <w:r>
              <w:t>预算执行</w:t>
            </w:r>
          </w:p>
        </w:tc>
        <w:tc>
          <w:tcPr>
            <w:tcW w:w="1718" w:type="dxa"/>
            <w:vAlign w:val="center"/>
          </w:tcPr>
          <w:p w14:paraId="4F395236">
            <w:pPr>
              <w:pStyle w:val="13"/>
            </w:pPr>
            <w:r>
              <w:t>≥95%</w:t>
            </w:r>
          </w:p>
        </w:tc>
        <w:tc>
          <w:tcPr>
            <w:tcW w:w="1826" w:type="dxa"/>
            <w:vAlign w:val="center"/>
          </w:tcPr>
          <w:p w14:paraId="6BAE3B90">
            <w:pPr>
              <w:pStyle w:val="13"/>
            </w:pPr>
            <w:r>
              <w:t>支持学前教育发展县级资金管理方法</w:t>
            </w:r>
          </w:p>
        </w:tc>
      </w:tr>
      <w:tr w14:paraId="1B751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D70AC"/>
        </w:tc>
        <w:tc>
          <w:tcPr>
            <w:tcW w:w="2268" w:type="dxa"/>
            <w:vAlign w:val="center"/>
          </w:tcPr>
          <w:p w14:paraId="5EF6EFB4">
            <w:pPr>
              <w:pStyle w:val="13"/>
            </w:pPr>
            <w:r>
              <w:t>时效指标</w:t>
            </w:r>
          </w:p>
        </w:tc>
        <w:tc>
          <w:tcPr>
            <w:tcW w:w="2835" w:type="dxa"/>
            <w:vAlign w:val="center"/>
          </w:tcPr>
          <w:p w14:paraId="2EFD611C">
            <w:pPr>
              <w:pStyle w:val="13"/>
            </w:pPr>
            <w:r>
              <w:t>义教经费支付完成率</w:t>
            </w:r>
          </w:p>
        </w:tc>
        <w:tc>
          <w:tcPr>
            <w:tcW w:w="5386" w:type="dxa"/>
            <w:vAlign w:val="center"/>
          </w:tcPr>
          <w:p w14:paraId="508CC32E">
            <w:pPr>
              <w:pStyle w:val="13"/>
            </w:pPr>
            <w:r>
              <w:t>按照序时进度完成资金支付</w:t>
            </w:r>
          </w:p>
        </w:tc>
        <w:tc>
          <w:tcPr>
            <w:tcW w:w="1718" w:type="dxa"/>
            <w:vAlign w:val="center"/>
          </w:tcPr>
          <w:p w14:paraId="4EFE6705">
            <w:pPr>
              <w:pStyle w:val="13"/>
            </w:pPr>
            <w:r>
              <w:t>100%</w:t>
            </w:r>
          </w:p>
        </w:tc>
        <w:tc>
          <w:tcPr>
            <w:tcW w:w="1826" w:type="dxa"/>
            <w:vAlign w:val="center"/>
          </w:tcPr>
          <w:p w14:paraId="0CA2E9CD">
            <w:pPr>
              <w:pStyle w:val="13"/>
            </w:pPr>
            <w:r>
              <w:t>城乡义务教育公用经费管理办法</w:t>
            </w:r>
          </w:p>
        </w:tc>
      </w:tr>
      <w:tr w14:paraId="39FAA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78CA8"/>
        </w:tc>
        <w:tc>
          <w:tcPr>
            <w:tcW w:w="2268" w:type="dxa"/>
            <w:vAlign w:val="center"/>
          </w:tcPr>
          <w:p w14:paraId="63919E3D">
            <w:pPr>
              <w:pStyle w:val="13"/>
            </w:pPr>
            <w:r>
              <w:t>成本指标</w:t>
            </w:r>
          </w:p>
        </w:tc>
        <w:tc>
          <w:tcPr>
            <w:tcW w:w="2835" w:type="dxa"/>
            <w:vAlign w:val="center"/>
          </w:tcPr>
          <w:p w14:paraId="7BCE5E9D">
            <w:pPr>
              <w:pStyle w:val="13"/>
            </w:pPr>
            <w:r>
              <w:t>生均拨款标准</w:t>
            </w:r>
          </w:p>
        </w:tc>
        <w:tc>
          <w:tcPr>
            <w:tcW w:w="5386" w:type="dxa"/>
            <w:vAlign w:val="center"/>
          </w:tcPr>
          <w:p w14:paraId="570CBC65">
            <w:pPr>
              <w:pStyle w:val="13"/>
            </w:pPr>
            <w:r>
              <w:t>学前：（基本标准600元/生/学年）</w:t>
            </w:r>
          </w:p>
        </w:tc>
        <w:tc>
          <w:tcPr>
            <w:tcW w:w="1718" w:type="dxa"/>
            <w:vAlign w:val="center"/>
          </w:tcPr>
          <w:p w14:paraId="124DB9F8">
            <w:pPr>
              <w:pStyle w:val="13"/>
            </w:pPr>
            <w:r>
              <w:t>600元</w:t>
            </w:r>
          </w:p>
        </w:tc>
        <w:tc>
          <w:tcPr>
            <w:tcW w:w="1826" w:type="dxa"/>
            <w:vAlign w:val="center"/>
          </w:tcPr>
          <w:p w14:paraId="76A86CE5">
            <w:pPr>
              <w:pStyle w:val="13"/>
            </w:pPr>
            <w:r>
              <w:t>城乡义务教育公用经费管理办法</w:t>
            </w:r>
          </w:p>
        </w:tc>
      </w:tr>
      <w:tr w14:paraId="57B10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52DC36">
            <w:pPr>
              <w:pStyle w:val="12"/>
            </w:pPr>
            <w:r>
              <w:t>效益指标</w:t>
            </w:r>
          </w:p>
        </w:tc>
        <w:tc>
          <w:tcPr>
            <w:tcW w:w="2268" w:type="dxa"/>
            <w:vAlign w:val="center"/>
          </w:tcPr>
          <w:p w14:paraId="76FF248D">
            <w:pPr>
              <w:pStyle w:val="13"/>
            </w:pPr>
            <w:r>
              <w:t>社会效益指标</w:t>
            </w:r>
          </w:p>
        </w:tc>
        <w:tc>
          <w:tcPr>
            <w:tcW w:w="2835" w:type="dxa"/>
            <w:vAlign w:val="center"/>
          </w:tcPr>
          <w:p w14:paraId="17F6FD4B">
            <w:pPr>
              <w:pStyle w:val="13"/>
            </w:pPr>
            <w:r>
              <w:t>学校稳定率</w:t>
            </w:r>
          </w:p>
        </w:tc>
        <w:tc>
          <w:tcPr>
            <w:tcW w:w="5386" w:type="dxa"/>
            <w:vAlign w:val="center"/>
          </w:tcPr>
          <w:p w14:paraId="6FCB29C6">
            <w:pPr>
              <w:pStyle w:val="13"/>
            </w:pPr>
            <w:r>
              <w:t>维护学校稳定，保障学校正常教学秩序有效开展</w:t>
            </w:r>
          </w:p>
        </w:tc>
        <w:tc>
          <w:tcPr>
            <w:tcW w:w="1718" w:type="dxa"/>
            <w:vAlign w:val="center"/>
          </w:tcPr>
          <w:p w14:paraId="0CEA0C37">
            <w:pPr>
              <w:pStyle w:val="13"/>
            </w:pPr>
            <w:r>
              <w:t>≥100%</w:t>
            </w:r>
          </w:p>
        </w:tc>
        <w:tc>
          <w:tcPr>
            <w:tcW w:w="1826" w:type="dxa"/>
            <w:vAlign w:val="center"/>
          </w:tcPr>
          <w:p w14:paraId="292E431E">
            <w:pPr>
              <w:pStyle w:val="13"/>
            </w:pPr>
            <w:r>
              <w:t>城乡义务教育公用经费管理办法</w:t>
            </w:r>
          </w:p>
        </w:tc>
      </w:tr>
      <w:tr w14:paraId="7CFA9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4056AF">
            <w:pPr>
              <w:pStyle w:val="12"/>
            </w:pPr>
            <w:r>
              <w:t>满意度指标</w:t>
            </w:r>
          </w:p>
        </w:tc>
        <w:tc>
          <w:tcPr>
            <w:tcW w:w="2268" w:type="dxa"/>
            <w:vAlign w:val="center"/>
          </w:tcPr>
          <w:p w14:paraId="1879D4C6">
            <w:pPr>
              <w:pStyle w:val="13"/>
            </w:pPr>
            <w:r>
              <w:t>服务对象满意度指标</w:t>
            </w:r>
          </w:p>
        </w:tc>
        <w:tc>
          <w:tcPr>
            <w:tcW w:w="2835" w:type="dxa"/>
            <w:vAlign w:val="center"/>
          </w:tcPr>
          <w:p w14:paraId="31582C57">
            <w:pPr>
              <w:pStyle w:val="13"/>
            </w:pPr>
            <w:r>
              <w:t>家长和学生满意度</w:t>
            </w:r>
          </w:p>
        </w:tc>
        <w:tc>
          <w:tcPr>
            <w:tcW w:w="5386" w:type="dxa"/>
            <w:vAlign w:val="center"/>
          </w:tcPr>
          <w:p w14:paraId="5DB11770">
            <w:pPr>
              <w:pStyle w:val="13"/>
            </w:pPr>
            <w:r>
              <w:t>家长和学生满意度</w:t>
            </w:r>
          </w:p>
        </w:tc>
        <w:tc>
          <w:tcPr>
            <w:tcW w:w="1718" w:type="dxa"/>
            <w:vAlign w:val="center"/>
          </w:tcPr>
          <w:p w14:paraId="23E9D140">
            <w:pPr>
              <w:pStyle w:val="13"/>
            </w:pPr>
            <w:r>
              <w:t>≥95%</w:t>
            </w:r>
          </w:p>
        </w:tc>
        <w:tc>
          <w:tcPr>
            <w:tcW w:w="1826" w:type="dxa"/>
            <w:vAlign w:val="center"/>
          </w:tcPr>
          <w:p w14:paraId="79AD803D">
            <w:pPr>
              <w:pStyle w:val="13"/>
            </w:pPr>
            <w:r>
              <w:t>问卷调查</w:t>
            </w:r>
          </w:p>
        </w:tc>
      </w:tr>
    </w:tbl>
    <w:p w14:paraId="04892818">
      <w:pPr>
        <w:sectPr>
          <w:pgSz w:w="16840" w:h="11900" w:orient="landscape"/>
          <w:pgMar w:top="1361" w:right="1020" w:bottom="1134" w:left="1020" w:header="720" w:footer="720" w:gutter="0"/>
          <w:cols w:space="720" w:num="1"/>
        </w:sectPr>
      </w:pPr>
    </w:p>
    <w:p w14:paraId="44FBF3A3">
      <w:pPr>
        <w:spacing w:before="0" w:after="0"/>
        <w:ind w:firstLine="560"/>
        <w:jc w:val="left"/>
        <w:outlineLvl w:val="9"/>
      </w:pPr>
      <w:r>
        <w:rPr>
          <w:rFonts w:ascii="方正仿宋_GBK" w:hAnsi="方正仿宋_GBK" w:eastAsia="方正仿宋_GBK" w:cs="方正仿宋_GBK"/>
          <w:b/>
          <w:color w:val="000000"/>
          <w:sz w:val="28"/>
        </w:rPr>
        <w:t>20、冀财教[2024]142号/省级/2025年学前发展资金/固城校区学前教育幼儿资助绩效目标表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CB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FA2D6">
            <w:pPr>
              <w:pStyle w:val="14"/>
            </w:pPr>
            <w:r>
              <w:t>单位：万元</w:t>
            </w:r>
          </w:p>
        </w:tc>
      </w:tr>
      <w:tr w14:paraId="3422A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53FD22">
            <w:pPr>
              <w:pStyle w:val="11"/>
            </w:pPr>
            <w:r>
              <w:t>项目编码</w:t>
            </w:r>
          </w:p>
        </w:tc>
        <w:tc>
          <w:tcPr>
            <w:tcW w:w="5103" w:type="dxa"/>
            <w:gridSpan w:val="2"/>
            <w:vAlign w:val="center"/>
          </w:tcPr>
          <w:p w14:paraId="0A33502E">
            <w:pPr>
              <w:pStyle w:val="13"/>
            </w:pPr>
            <w:r>
              <w:t>13052525P00000210072Y</w:t>
            </w:r>
          </w:p>
        </w:tc>
        <w:tc>
          <w:tcPr>
            <w:tcW w:w="2835" w:type="dxa"/>
            <w:vAlign w:val="center"/>
          </w:tcPr>
          <w:p w14:paraId="6327FB2D">
            <w:pPr>
              <w:pStyle w:val="11"/>
            </w:pPr>
            <w:r>
              <w:t>项目名称</w:t>
            </w:r>
          </w:p>
        </w:tc>
        <w:tc>
          <w:tcPr>
            <w:tcW w:w="6095" w:type="dxa"/>
            <w:gridSpan w:val="3"/>
            <w:vAlign w:val="center"/>
          </w:tcPr>
          <w:p w14:paraId="388141D0">
            <w:pPr>
              <w:pStyle w:val="13"/>
            </w:pPr>
            <w:r>
              <w:t>冀财教[2024]142号/省级/2025年学前发展资金/固城校区学前教育幼儿资助</w:t>
            </w:r>
          </w:p>
        </w:tc>
      </w:tr>
      <w:tr w14:paraId="58994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66669">
            <w:pPr>
              <w:pStyle w:val="11"/>
            </w:pPr>
            <w:r>
              <w:t>预算规模及资金用途</w:t>
            </w:r>
          </w:p>
        </w:tc>
        <w:tc>
          <w:tcPr>
            <w:tcW w:w="2268" w:type="dxa"/>
            <w:vAlign w:val="center"/>
          </w:tcPr>
          <w:p w14:paraId="0784CC2B">
            <w:pPr>
              <w:pStyle w:val="11"/>
            </w:pPr>
            <w:r>
              <w:t>预算数</w:t>
            </w:r>
          </w:p>
        </w:tc>
        <w:tc>
          <w:tcPr>
            <w:tcW w:w="2835" w:type="dxa"/>
            <w:vAlign w:val="center"/>
          </w:tcPr>
          <w:p w14:paraId="0C8BFAE2">
            <w:pPr>
              <w:pStyle w:val="13"/>
            </w:pPr>
            <w:r>
              <w:t>0.68</w:t>
            </w:r>
          </w:p>
        </w:tc>
        <w:tc>
          <w:tcPr>
            <w:tcW w:w="2835" w:type="dxa"/>
            <w:vAlign w:val="center"/>
          </w:tcPr>
          <w:p w14:paraId="3CAC8D56">
            <w:pPr>
              <w:pStyle w:val="11"/>
            </w:pPr>
            <w:r>
              <w:t>其中：财政    资金</w:t>
            </w:r>
          </w:p>
        </w:tc>
        <w:tc>
          <w:tcPr>
            <w:tcW w:w="2551" w:type="dxa"/>
            <w:vAlign w:val="center"/>
          </w:tcPr>
          <w:p w14:paraId="372417BF">
            <w:pPr>
              <w:pStyle w:val="13"/>
            </w:pPr>
            <w:r>
              <w:t>0.68</w:t>
            </w:r>
          </w:p>
        </w:tc>
        <w:tc>
          <w:tcPr>
            <w:tcW w:w="2268" w:type="dxa"/>
            <w:vAlign w:val="center"/>
          </w:tcPr>
          <w:p w14:paraId="61A334F8">
            <w:pPr>
              <w:pStyle w:val="11"/>
            </w:pPr>
            <w:r>
              <w:t>其他资金</w:t>
            </w:r>
          </w:p>
        </w:tc>
        <w:tc>
          <w:tcPr>
            <w:tcW w:w="1276" w:type="dxa"/>
            <w:vAlign w:val="center"/>
          </w:tcPr>
          <w:p w14:paraId="7F5320A1">
            <w:pPr>
              <w:pStyle w:val="13"/>
            </w:pPr>
            <w:r>
              <w:t xml:space="preserve"> </w:t>
            </w:r>
          </w:p>
        </w:tc>
      </w:tr>
      <w:tr w14:paraId="48BF5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C0AB93"/>
        </w:tc>
        <w:tc>
          <w:tcPr>
            <w:tcW w:w="14033" w:type="dxa"/>
            <w:gridSpan w:val="6"/>
            <w:vAlign w:val="center"/>
          </w:tcPr>
          <w:p w14:paraId="617419AD">
            <w:pPr>
              <w:pStyle w:val="13"/>
            </w:pPr>
            <w:r>
              <w:t>用于保障落实建档立卡及家庭经济困难儿童资助所需资金，确保建档立卡等家庭经济困难幼儿优先获得资助</w:t>
            </w:r>
          </w:p>
        </w:tc>
      </w:tr>
      <w:tr w14:paraId="5748D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359A5">
            <w:pPr>
              <w:pStyle w:val="11"/>
            </w:pPr>
            <w:r>
              <w:t>资金支出计划（%）</w:t>
            </w:r>
          </w:p>
        </w:tc>
        <w:tc>
          <w:tcPr>
            <w:tcW w:w="5103" w:type="dxa"/>
            <w:gridSpan w:val="2"/>
            <w:vAlign w:val="center"/>
          </w:tcPr>
          <w:p w14:paraId="77C3C123">
            <w:pPr>
              <w:pStyle w:val="11"/>
            </w:pPr>
            <w:r>
              <w:t>3月底</w:t>
            </w:r>
          </w:p>
        </w:tc>
        <w:tc>
          <w:tcPr>
            <w:tcW w:w="2835" w:type="dxa"/>
            <w:vAlign w:val="center"/>
          </w:tcPr>
          <w:p w14:paraId="270E7ADE">
            <w:pPr>
              <w:pStyle w:val="11"/>
            </w:pPr>
            <w:r>
              <w:t>6月底</w:t>
            </w:r>
          </w:p>
        </w:tc>
        <w:tc>
          <w:tcPr>
            <w:tcW w:w="2551" w:type="dxa"/>
            <w:vAlign w:val="center"/>
          </w:tcPr>
          <w:p w14:paraId="2C96C65A">
            <w:pPr>
              <w:pStyle w:val="11"/>
            </w:pPr>
            <w:r>
              <w:t>10月底</w:t>
            </w:r>
          </w:p>
        </w:tc>
        <w:tc>
          <w:tcPr>
            <w:tcW w:w="3544" w:type="dxa"/>
            <w:gridSpan w:val="2"/>
            <w:vAlign w:val="center"/>
          </w:tcPr>
          <w:p w14:paraId="4162DEB0">
            <w:pPr>
              <w:pStyle w:val="11"/>
            </w:pPr>
            <w:r>
              <w:t>12月底</w:t>
            </w:r>
          </w:p>
        </w:tc>
      </w:tr>
      <w:tr w14:paraId="7C66D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22A770"/>
        </w:tc>
        <w:tc>
          <w:tcPr>
            <w:tcW w:w="5103" w:type="dxa"/>
            <w:gridSpan w:val="2"/>
            <w:vAlign w:val="center"/>
          </w:tcPr>
          <w:p w14:paraId="34FE90DD">
            <w:pPr>
              <w:pStyle w:val="12"/>
            </w:pPr>
            <w:r>
              <w:t xml:space="preserve"> </w:t>
            </w:r>
          </w:p>
        </w:tc>
        <w:tc>
          <w:tcPr>
            <w:tcW w:w="2835" w:type="dxa"/>
            <w:vAlign w:val="center"/>
          </w:tcPr>
          <w:p w14:paraId="3374283B">
            <w:pPr>
              <w:pStyle w:val="12"/>
            </w:pPr>
            <w:r>
              <w:t>50%</w:t>
            </w:r>
          </w:p>
        </w:tc>
        <w:tc>
          <w:tcPr>
            <w:tcW w:w="2551" w:type="dxa"/>
            <w:vAlign w:val="center"/>
          </w:tcPr>
          <w:p w14:paraId="03021F25">
            <w:pPr>
              <w:pStyle w:val="12"/>
            </w:pPr>
            <w:r>
              <w:t>100%</w:t>
            </w:r>
          </w:p>
        </w:tc>
        <w:tc>
          <w:tcPr>
            <w:tcW w:w="3544" w:type="dxa"/>
            <w:gridSpan w:val="2"/>
            <w:vAlign w:val="center"/>
          </w:tcPr>
          <w:p w14:paraId="4D47A276">
            <w:pPr>
              <w:pStyle w:val="12"/>
            </w:pPr>
            <w:r>
              <w:t>100%</w:t>
            </w:r>
          </w:p>
        </w:tc>
      </w:tr>
      <w:tr w14:paraId="3ECBB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2ACF88">
            <w:pPr>
              <w:pStyle w:val="11"/>
            </w:pPr>
            <w:r>
              <w:t>绩效目标</w:t>
            </w:r>
          </w:p>
        </w:tc>
        <w:tc>
          <w:tcPr>
            <w:tcW w:w="14033" w:type="dxa"/>
            <w:gridSpan w:val="6"/>
            <w:vAlign w:val="center"/>
          </w:tcPr>
          <w:p w14:paraId="5DFDEC71">
            <w:pPr>
              <w:pStyle w:val="13"/>
            </w:pPr>
            <w:r>
              <w:t>1.保障落实建档立卡及家庭经济困难儿童资助所需资金，确保建档立卡等家庭经济困难幼儿优先获得资助</w:t>
            </w:r>
          </w:p>
          <w:p w14:paraId="39FFF0E3">
            <w:pPr>
              <w:pStyle w:val="13"/>
            </w:pPr>
            <w:r>
              <w:t>2.保证本年度资助经费足额落实到位，符合享受资助条件的学生应助尽助。</w:t>
            </w:r>
          </w:p>
        </w:tc>
      </w:tr>
    </w:tbl>
    <w:p w14:paraId="61BFC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72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C49E2">
            <w:pPr>
              <w:pStyle w:val="11"/>
            </w:pPr>
            <w:r>
              <w:t>一级指标</w:t>
            </w:r>
          </w:p>
        </w:tc>
        <w:tc>
          <w:tcPr>
            <w:tcW w:w="2268" w:type="dxa"/>
            <w:vAlign w:val="center"/>
          </w:tcPr>
          <w:p w14:paraId="3E42A2A8">
            <w:pPr>
              <w:pStyle w:val="11"/>
            </w:pPr>
            <w:r>
              <w:t>二级指标</w:t>
            </w:r>
          </w:p>
        </w:tc>
        <w:tc>
          <w:tcPr>
            <w:tcW w:w="2835" w:type="dxa"/>
            <w:vAlign w:val="center"/>
          </w:tcPr>
          <w:p w14:paraId="12E38A34">
            <w:pPr>
              <w:pStyle w:val="11"/>
            </w:pPr>
            <w:r>
              <w:t>三级指标</w:t>
            </w:r>
          </w:p>
        </w:tc>
        <w:tc>
          <w:tcPr>
            <w:tcW w:w="5386" w:type="dxa"/>
            <w:vAlign w:val="center"/>
          </w:tcPr>
          <w:p w14:paraId="42C83529">
            <w:pPr>
              <w:pStyle w:val="11"/>
            </w:pPr>
            <w:r>
              <w:t>绩效指标描述</w:t>
            </w:r>
          </w:p>
        </w:tc>
        <w:tc>
          <w:tcPr>
            <w:tcW w:w="2268" w:type="dxa"/>
            <w:vAlign w:val="center"/>
          </w:tcPr>
          <w:p w14:paraId="57F6A6B4">
            <w:pPr>
              <w:pStyle w:val="11"/>
            </w:pPr>
            <w:r>
              <w:t>指标值</w:t>
            </w:r>
          </w:p>
        </w:tc>
        <w:tc>
          <w:tcPr>
            <w:tcW w:w="1276" w:type="dxa"/>
            <w:vAlign w:val="center"/>
          </w:tcPr>
          <w:p w14:paraId="72E76186">
            <w:pPr>
              <w:pStyle w:val="11"/>
            </w:pPr>
            <w:r>
              <w:t>指标值确定依据</w:t>
            </w:r>
          </w:p>
        </w:tc>
      </w:tr>
      <w:tr w14:paraId="2D92C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6F395">
            <w:pPr>
              <w:pStyle w:val="12"/>
            </w:pPr>
            <w:r>
              <w:t>产出指标</w:t>
            </w:r>
          </w:p>
        </w:tc>
        <w:tc>
          <w:tcPr>
            <w:tcW w:w="2268" w:type="dxa"/>
            <w:vAlign w:val="center"/>
          </w:tcPr>
          <w:p w14:paraId="0B67BE39">
            <w:pPr>
              <w:pStyle w:val="13"/>
            </w:pPr>
            <w:r>
              <w:t>数量指标</w:t>
            </w:r>
          </w:p>
        </w:tc>
        <w:tc>
          <w:tcPr>
            <w:tcW w:w="2835" w:type="dxa"/>
            <w:vAlign w:val="center"/>
          </w:tcPr>
          <w:p w14:paraId="7C846F88">
            <w:pPr>
              <w:pStyle w:val="13"/>
            </w:pPr>
            <w:r>
              <w:t>幼儿资助比例</w:t>
            </w:r>
          </w:p>
        </w:tc>
        <w:tc>
          <w:tcPr>
            <w:tcW w:w="5386" w:type="dxa"/>
            <w:vAlign w:val="center"/>
          </w:tcPr>
          <w:p w14:paraId="2AE9B861">
            <w:pPr>
              <w:pStyle w:val="13"/>
            </w:pPr>
            <w:r>
              <w:t>按学前适龄在园儿童10%测算</w:t>
            </w:r>
          </w:p>
        </w:tc>
        <w:tc>
          <w:tcPr>
            <w:tcW w:w="2268" w:type="dxa"/>
            <w:vAlign w:val="center"/>
          </w:tcPr>
          <w:p w14:paraId="79DD5B16">
            <w:pPr>
              <w:pStyle w:val="13"/>
            </w:pPr>
            <w:r>
              <w:t>≥10%</w:t>
            </w:r>
          </w:p>
        </w:tc>
        <w:tc>
          <w:tcPr>
            <w:tcW w:w="1276" w:type="dxa"/>
            <w:vAlign w:val="center"/>
          </w:tcPr>
          <w:p w14:paraId="6902FB2F">
            <w:pPr>
              <w:pStyle w:val="13"/>
            </w:pPr>
            <w:r>
              <w:t>幼儿资助经费管理办法</w:t>
            </w:r>
          </w:p>
        </w:tc>
      </w:tr>
      <w:tr w14:paraId="164CC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37683"/>
        </w:tc>
        <w:tc>
          <w:tcPr>
            <w:tcW w:w="2268" w:type="dxa"/>
            <w:vAlign w:val="center"/>
          </w:tcPr>
          <w:p w14:paraId="20B299D3">
            <w:pPr>
              <w:pStyle w:val="13"/>
            </w:pPr>
            <w:r>
              <w:t>质量指标</w:t>
            </w:r>
          </w:p>
        </w:tc>
        <w:tc>
          <w:tcPr>
            <w:tcW w:w="2835" w:type="dxa"/>
            <w:vAlign w:val="center"/>
          </w:tcPr>
          <w:p w14:paraId="6BDF106B">
            <w:pPr>
              <w:pStyle w:val="13"/>
            </w:pPr>
            <w:r>
              <w:t>学前教育资助制度落实情况</w:t>
            </w:r>
          </w:p>
        </w:tc>
        <w:tc>
          <w:tcPr>
            <w:tcW w:w="5386" w:type="dxa"/>
            <w:vAlign w:val="center"/>
          </w:tcPr>
          <w:p w14:paraId="0DB530CE">
            <w:pPr>
              <w:pStyle w:val="13"/>
            </w:pPr>
            <w:r>
              <w:t>符合享受资助条件的学生应助尽助</w:t>
            </w:r>
          </w:p>
        </w:tc>
        <w:tc>
          <w:tcPr>
            <w:tcW w:w="2268" w:type="dxa"/>
            <w:vAlign w:val="center"/>
          </w:tcPr>
          <w:p w14:paraId="7D04E15E">
            <w:pPr>
              <w:pStyle w:val="13"/>
            </w:pPr>
            <w:r>
              <w:t>≥100%</w:t>
            </w:r>
          </w:p>
        </w:tc>
        <w:tc>
          <w:tcPr>
            <w:tcW w:w="1276" w:type="dxa"/>
            <w:vAlign w:val="center"/>
          </w:tcPr>
          <w:p w14:paraId="62B83832">
            <w:pPr>
              <w:pStyle w:val="13"/>
            </w:pPr>
            <w:r>
              <w:t>幼儿资助经费管理办法</w:t>
            </w:r>
          </w:p>
        </w:tc>
      </w:tr>
      <w:tr w14:paraId="50B96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85747"/>
        </w:tc>
        <w:tc>
          <w:tcPr>
            <w:tcW w:w="2268" w:type="dxa"/>
            <w:vAlign w:val="center"/>
          </w:tcPr>
          <w:p w14:paraId="4E6020C5">
            <w:pPr>
              <w:pStyle w:val="13"/>
            </w:pPr>
            <w:r>
              <w:t>时效指标</w:t>
            </w:r>
          </w:p>
        </w:tc>
        <w:tc>
          <w:tcPr>
            <w:tcW w:w="2835" w:type="dxa"/>
            <w:vAlign w:val="center"/>
          </w:tcPr>
          <w:p w14:paraId="39710551">
            <w:pPr>
              <w:pStyle w:val="13"/>
            </w:pPr>
            <w:r>
              <w:t>资金拨付率</w:t>
            </w:r>
          </w:p>
        </w:tc>
        <w:tc>
          <w:tcPr>
            <w:tcW w:w="5386" w:type="dxa"/>
            <w:vAlign w:val="center"/>
          </w:tcPr>
          <w:p w14:paraId="2472918B">
            <w:pPr>
              <w:pStyle w:val="13"/>
            </w:pPr>
            <w:r>
              <w:t>所有项目资金支付进度</w:t>
            </w:r>
          </w:p>
        </w:tc>
        <w:tc>
          <w:tcPr>
            <w:tcW w:w="2268" w:type="dxa"/>
            <w:vAlign w:val="center"/>
          </w:tcPr>
          <w:p w14:paraId="43C63D18">
            <w:pPr>
              <w:pStyle w:val="13"/>
            </w:pPr>
            <w:r>
              <w:t>≥100%</w:t>
            </w:r>
          </w:p>
        </w:tc>
        <w:tc>
          <w:tcPr>
            <w:tcW w:w="1276" w:type="dxa"/>
            <w:vAlign w:val="center"/>
          </w:tcPr>
          <w:p w14:paraId="2A88BB64">
            <w:pPr>
              <w:pStyle w:val="13"/>
            </w:pPr>
            <w:r>
              <w:t>幼儿资助经费管理办法</w:t>
            </w:r>
          </w:p>
        </w:tc>
      </w:tr>
      <w:tr w14:paraId="59DF4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6C706"/>
        </w:tc>
        <w:tc>
          <w:tcPr>
            <w:tcW w:w="2268" w:type="dxa"/>
            <w:vAlign w:val="center"/>
          </w:tcPr>
          <w:p w14:paraId="52CEED28">
            <w:pPr>
              <w:pStyle w:val="13"/>
            </w:pPr>
            <w:r>
              <w:t>成本指标</w:t>
            </w:r>
          </w:p>
        </w:tc>
        <w:tc>
          <w:tcPr>
            <w:tcW w:w="2835" w:type="dxa"/>
            <w:vAlign w:val="center"/>
          </w:tcPr>
          <w:p w14:paraId="021CF16F">
            <w:pPr>
              <w:pStyle w:val="13"/>
            </w:pPr>
            <w:r>
              <w:t>幼儿园资助标准</w:t>
            </w:r>
          </w:p>
        </w:tc>
        <w:tc>
          <w:tcPr>
            <w:tcW w:w="5386" w:type="dxa"/>
            <w:vAlign w:val="center"/>
          </w:tcPr>
          <w:p w14:paraId="4CEDD5E2">
            <w:pPr>
              <w:pStyle w:val="13"/>
            </w:pPr>
            <w:r>
              <w:t>按照幼儿园资助标准1000元/生/年</w:t>
            </w:r>
          </w:p>
        </w:tc>
        <w:tc>
          <w:tcPr>
            <w:tcW w:w="2268" w:type="dxa"/>
            <w:vAlign w:val="center"/>
          </w:tcPr>
          <w:p w14:paraId="0BF8A26A">
            <w:pPr>
              <w:pStyle w:val="13"/>
            </w:pPr>
            <w:r>
              <w:t>6800元</w:t>
            </w:r>
          </w:p>
        </w:tc>
        <w:tc>
          <w:tcPr>
            <w:tcW w:w="1276" w:type="dxa"/>
            <w:vAlign w:val="center"/>
          </w:tcPr>
          <w:p w14:paraId="4A4D0E9E">
            <w:pPr>
              <w:pStyle w:val="13"/>
            </w:pPr>
            <w:r>
              <w:t>幼儿资助经费管理办法</w:t>
            </w:r>
          </w:p>
        </w:tc>
      </w:tr>
      <w:tr w14:paraId="07BDA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74A378CE">
            <w:pPr>
              <w:pStyle w:val="12"/>
            </w:pPr>
            <w:r>
              <w:t>效益指标</w:t>
            </w:r>
          </w:p>
        </w:tc>
        <w:tc>
          <w:tcPr>
            <w:tcW w:w="2268" w:type="dxa"/>
            <w:vAlign w:val="center"/>
          </w:tcPr>
          <w:p w14:paraId="734339C8">
            <w:pPr>
              <w:pStyle w:val="13"/>
            </w:pPr>
            <w:r>
              <w:t>社会效益指标</w:t>
            </w:r>
          </w:p>
        </w:tc>
        <w:tc>
          <w:tcPr>
            <w:tcW w:w="2835" w:type="dxa"/>
            <w:vAlign w:val="center"/>
          </w:tcPr>
          <w:p w14:paraId="6F47CD95">
            <w:pPr>
              <w:pStyle w:val="13"/>
            </w:pPr>
            <w:r>
              <w:t>幼儿园运转</w:t>
            </w:r>
          </w:p>
        </w:tc>
        <w:tc>
          <w:tcPr>
            <w:tcW w:w="5386" w:type="dxa"/>
            <w:vAlign w:val="center"/>
          </w:tcPr>
          <w:p w14:paraId="5E196817">
            <w:pPr>
              <w:pStyle w:val="13"/>
            </w:pPr>
            <w:r>
              <w:t>幼儿受教育年限</w:t>
            </w:r>
          </w:p>
        </w:tc>
        <w:tc>
          <w:tcPr>
            <w:tcW w:w="2268" w:type="dxa"/>
            <w:vAlign w:val="center"/>
          </w:tcPr>
          <w:p w14:paraId="38C17408">
            <w:pPr>
              <w:pStyle w:val="13"/>
            </w:pPr>
            <w:r>
              <w:t>3年</w:t>
            </w:r>
          </w:p>
        </w:tc>
        <w:tc>
          <w:tcPr>
            <w:tcW w:w="1276" w:type="dxa"/>
            <w:vAlign w:val="center"/>
          </w:tcPr>
          <w:p w14:paraId="13E8FBCC">
            <w:pPr>
              <w:pStyle w:val="13"/>
            </w:pPr>
            <w:r>
              <w:t>幼儿资助经费管理办法</w:t>
            </w:r>
          </w:p>
        </w:tc>
      </w:tr>
      <w:tr w14:paraId="5FED9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F1D5A0">
            <w:pPr>
              <w:pStyle w:val="12"/>
            </w:pPr>
            <w:r>
              <w:t>满意度指标</w:t>
            </w:r>
          </w:p>
        </w:tc>
        <w:tc>
          <w:tcPr>
            <w:tcW w:w="2268" w:type="dxa"/>
            <w:vAlign w:val="center"/>
          </w:tcPr>
          <w:p w14:paraId="031AE1E1">
            <w:pPr>
              <w:pStyle w:val="13"/>
            </w:pPr>
            <w:r>
              <w:t>服务对象满意度指标</w:t>
            </w:r>
          </w:p>
        </w:tc>
        <w:tc>
          <w:tcPr>
            <w:tcW w:w="2835" w:type="dxa"/>
            <w:vAlign w:val="center"/>
          </w:tcPr>
          <w:p w14:paraId="1DE24A8F">
            <w:pPr>
              <w:pStyle w:val="13"/>
            </w:pPr>
            <w:r>
              <w:t>受益幼儿家长及调查满意度</w:t>
            </w:r>
          </w:p>
        </w:tc>
        <w:tc>
          <w:tcPr>
            <w:tcW w:w="5386" w:type="dxa"/>
            <w:vAlign w:val="center"/>
          </w:tcPr>
          <w:p w14:paraId="6685B1F7">
            <w:pPr>
              <w:pStyle w:val="13"/>
            </w:pPr>
            <w:r>
              <w:t>学生、教师及家长对学校保教保育工作满意度情况</w:t>
            </w:r>
          </w:p>
        </w:tc>
        <w:tc>
          <w:tcPr>
            <w:tcW w:w="2268" w:type="dxa"/>
            <w:vAlign w:val="center"/>
          </w:tcPr>
          <w:p w14:paraId="41FA744A">
            <w:pPr>
              <w:pStyle w:val="13"/>
            </w:pPr>
            <w:r>
              <w:t>≥95%</w:t>
            </w:r>
          </w:p>
        </w:tc>
        <w:tc>
          <w:tcPr>
            <w:tcW w:w="1276" w:type="dxa"/>
            <w:vAlign w:val="center"/>
          </w:tcPr>
          <w:p w14:paraId="6F8800B2">
            <w:pPr>
              <w:pStyle w:val="13"/>
            </w:pPr>
            <w:r>
              <w:t>幼儿资助经费管理办法</w:t>
            </w:r>
          </w:p>
        </w:tc>
      </w:tr>
    </w:tbl>
    <w:p w14:paraId="3EC34122">
      <w:pPr>
        <w:sectPr>
          <w:pgSz w:w="16840" w:h="11900" w:orient="landscape"/>
          <w:pgMar w:top="1361" w:right="1020" w:bottom="1134" w:left="1020" w:header="720" w:footer="720" w:gutter="0"/>
          <w:cols w:space="720" w:num="1"/>
        </w:sectPr>
      </w:pPr>
    </w:p>
    <w:p w14:paraId="32669A92">
      <w:pPr>
        <w:spacing w:before="0" w:after="0"/>
        <w:ind w:firstLine="560"/>
        <w:jc w:val="left"/>
        <w:outlineLvl w:val="9"/>
      </w:pPr>
      <w:r>
        <w:rPr>
          <w:rFonts w:ascii="方正仿宋_GBK" w:hAnsi="方正仿宋_GBK" w:eastAsia="方正仿宋_GBK" w:cs="方正仿宋_GBK"/>
          <w:b/>
          <w:color w:val="000000"/>
          <w:sz w:val="28"/>
        </w:rPr>
        <w:t>21、冀财教[2024]142号/省级/2025年学前教育发展/固城幼儿园维修改造绩效目标表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22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4F0C5">
            <w:pPr>
              <w:pStyle w:val="14"/>
            </w:pPr>
            <w:r>
              <w:t>单位：万元</w:t>
            </w:r>
          </w:p>
        </w:tc>
      </w:tr>
      <w:tr w14:paraId="75888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95F8B">
            <w:pPr>
              <w:pStyle w:val="11"/>
            </w:pPr>
            <w:r>
              <w:t>项目编码</w:t>
            </w:r>
          </w:p>
        </w:tc>
        <w:tc>
          <w:tcPr>
            <w:tcW w:w="5103" w:type="dxa"/>
            <w:gridSpan w:val="2"/>
            <w:vAlign w:val="center"/>
          </w:tcPr>
          <w:p w14:paraId="6CA0073C">
            <w:pPr>
              <w:pStyle w:val="13"/>
            </w:pPr>
            <w:r>
              <w:t>13052525P008769100016</w:t>
            </w:r>
          </w:p>
        </w:tc>
        <w:tc>
          <w:tcPr>
            <w:tcW w:w="2835" w:type="dxa"/>
            <w:vAlign w:val="center"/>
          </w:tcPr>
          <w:p w14:paraId="4186E388">
            <w:pPr>
              <w:pStyle w:val="11"/>
            </w:pPr>
            <w:r>
              <w:t>项目名称</w:t>
            </w:r>
          </w:p>
        </w:tc>
        <w:tc>
          <w:tcPr>
            <w:tcW w:w="6095" w:type="dxa"/>
            <w:gridSpan w:val="3"/>
            <w:vAlign w:val="center"/>
          </w:tcPr>
          <w:p w14:paraId="7E2D6012">
            <w:pPr>
              <w:pStyle w:val="13"/>
            </w:pPr>
            <w:r>
              <w:t>冀财教[2024]142号/省级/2025年学前教育发展/固城幼儿园维修改造</w:t>
            </w:r>
          </w:p>
        </w:tc>
      </w:tr>
      <w:tr w14:paraId="74B20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7FDA0">
            <w:pPr>
              <w:pStyle w:val="11"/>
            </w:pPr>
            <w:r>
              <w:t>预算规模及资金用途</w:t>
            </w:r>
          </w:p>
        </w:tc>
        <w:tc>
          <w:tcPr>
            <w:tcW w:w="2268" w:type="dxa"/>
            <w:vAlign w:val="center"/>
          </w:tcPr>
          <w:p w14:paraId="7CFD1F00">
            <w:pPr>
              <w:pStyle w:val="11"/>
            </w:pPr>
            <w:r>
              <w:t>预算数</w:t>
            </w:r>
          </w:p>
        </w:tc>
        <w:tc>
          <w:tcPr>
            <w:tcW w:w="2835" w:type="dxa"/>
            <w:vAlign w:val="center"/>
          </w:tcPr>
          <w:p w14:paraId="02EF662A">
            <w:pPr>
              <w:pStyle w:val="13"/>
            </w:pPr>
            <w:r>
              <w:t>9.00</w:t>
            </w:r>
          </w:p>
        </w:tc>
        <w:tc>
          <w:tcPr>
            <w:tcW w:w="2835" w:type="dxa"/>
            <w:vAlign w:val="center"/>
          </w:tcPr>
          <w:p w14:paraId="6742F363">
            <w:pPr>
              <w:pStyle w:val="11"/>
            </w:pPr>
            <w:r>
              <w:t>其中：财政    资金</w:t>
            </w:r>
          </w:p>
        </w:tc>
        <w:tc>
          <w:tcPr>
            <w:tcW w:w="2551" w:type="dxa"/>
            <w:vAlign w:val="center"/>
          </w:tcPr>
          <w:p w14:paraId="4014B4D7">
            <w:pPr>
              <w:pStyle w:val="13"/>
            </w:pPr>
            <w:r>
              <w:t>9.00</w:t>
            </w:r>
          </w:p>
        </w:tc>
        <w:tc>
          <w:tcPr>
            <w:tcW w:w="2268" w:type="dxa"/>
            <w:vAlign w:val="center"/>
          </w:tcPr>
          <w:p w14:paraId="76D659EB">
            <w:pPr>
              <w:pStyle w:val="11"/>
            </w:pPr>
            <w:r>
              <w:t>其他资金</w:t>
            </w:r>
          </w:p>
        </w:tc>
        <w:tc>
          <w:tcPr>
            <w:tcW w:w="1276" w:type="dxa"/>
            <w:vAlign w:val="center"/>
          </w:tcPr>
          <w:p w14:paraId="0F329AB3">
            <w:pPr>
              <w:pStyle w:val="13"/>
            </w:pPr>
            <w:r>
              <w:t xml:space="preserve"> </w:t>
            </w:r>
          </w:p>
        </w:tc>
      </w:tr>
      <w:tr w14:paraId="2F740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E0E763"/>
        </w:tc>
        <w:tc>
          <w:tcPr>
            <w:tcW w:w="14033" w:type="dxa"/>
            <w:gridSpan w:val="6"/>
            <w:vAlign w:val="center"/>
          </w:tcPr>
          <w:p w14:paraId="5A9CA41A">
            <w:pPr>
              <w:pStyle w:val="13"/>
            </w:pPr>
            <w:r>
              <w:t>用于改善就学条件，提升学校形象，保障义务教育阶段教学安全，创造良好的校园环境。</w:t>
            </w:r>
          </w:p>
        </w:tc>
      </w:tr>
      <w:tr w14:paraId="795E47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45019">
            <w:pPr>
              <w:pStyle w:val="11"/>
            </w:pPr>
            <w:r>
              <w:t>资金支出计划（%）</w:t>
            </w:r>
          </w:p>
        </w:tc>
        <w:tc>
          <w:tcPr>
            <w:tcW w:w="5103" w:type="dxa"/>
            <w:gridSpan w:val="2"/>
            <w:vAlign w:val="center"/>
          </w:tcPr>
          <w:p w14:paraId="69C8A8E5">
            <w:pPr>
              <w:pStyle w:val="11"/>
            </w:pPr>
            <w:r>
              <w:t>3月底</w:t>
            </w:r>
          </w:p>
        </w:tc>
        <w:tc>
          <w:tcPr>
            <w:tcW w:w="2835" w:type="dxa"/>
            <w:vAlign w:val="center"/>
          </w:tcPr>
          <w:p w14:paraId="604C3002">
            <w:pPr>
              <w:pStyle w:val="11"/>
            </w:pPr>
            <w:r>
              <w:t>6月底</w:t>
            </w:r>
          </w:p>
        </w:tc>
        <w:tc>
          <w:tcPr>
            <w:tcW w:w="2551" w:type="dxa"/>
            <w:vAlign w:val="center"/>
          </w:tcPr>
          <w:p w14:paraId="033542F7">
            <w:pPr>
              <w:pStyle w:val="11"/>
            </w:pPr>
            <w:r>
              <w:t>10月底</w:t>
            </w:r>
          </w:p>
        </w:tc>
        <w:tc>
          <w:tcPr>
            <w:tcW w:w="3544" w:type="dxa"/>
            <w:gridSpan w:val="2"/>
            <w:vAlign w:val="center"/>
          </w:tcPr>
          <w:p w14:paraId="6327C5FC">
            <w:pPr>
              <w:pStyle w:val="11"/>
            </w:pPr>
            <w:r>
              <w:t>12月底</w:t>
            </w:r>
          </w:p>
        </w:tc>
      </w:tr>
      <w:tr w14:paraId="2BA91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FEB345"/>
        </w:tc>
        <w:tc>
          <w:tcPr>
            <w:tcW w:w="5103" w:type="dxa"/>
            <w:gridSpan w:val="2"/>
            <w:vAlign w:val="center"/>
          </w:tcPr>
          <w:p w14:paraId="3F6174C4">
            <w:pPr>
              <w:pStyle w:val="12"/>
            </w:pPr>
            <w:r>
              <w:t xml:space="preserve"> </w:t>
            </w:r>
          </w:p>
        </w:tc>
        <w:tc>
          <w:tcPr>
            <w:tcW w:w="2835" w:type="dxa"/>
            <w:vAlign w:val="center"/>
          </w:tcPr>
          <w:p w14:paraId="3E76DEDF">
            <w:pPr>
              <w:pStyle w:val="12"/>
            </w:pPr>
            <w:r>
              <w:t xml:space="preserve"> </w:t>
            </w:r>
          </w:p>
        </w:tc>
        <w:tc>
          <w:tcPr>
            <w:tcW w:w="2551" w:type="dxa"/>
            <w:vAlign w:val="center"/>
          </w:tcPr>
          <w:p w14:paraId="40E50C4F">
            <w:pPr>
              <w:pStyle w:val="12"/>
            </w:pPr>
            <w:r>
              <w:t>100%</w:t>
            </w:r>
          </w:p>
        </w:tc>
        <w:tc>
          <w:tcPr>
            <w:tcW w:w="3544" w:type="dxa"/>
            <w:gridSpan w:val="2"/>
            <w:vAlign w:val="center"/>
          </w:tcPr>
          <w:p w14:paraId="7415D3B8">
            <w:pPr>
              <w:pStyle w:val="12"/>
            </w:pPr>
            <w:r>
              <w:t>100%</w:t>
            </w:r>
          </w:p>
        </w:tc>
      </w:tr>
      <w:tr w14:paraId="47DB5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44DDD">
            <w:pPr>
              <w:pStyle w:val="11"/>
            </w:pPr>
            <w:r>
              <w:t>绩效目标</w:t>
            </w:r>
          </w:p>
        </w:tc>
        <w:tc>
          <w:tcPr>
            <w:tcW w:w="14033" w:type="dxa"/>
            <w:gridSpan w:val="6"/>
            <w:vAlign w:val="center"/>
          </w:tcPr>
          <w:p w14:paraId="307CB2F6">
            <w:pPr>
              <w:pStyle w:val="13"/>
            </w:pPr>
            <w:r>
              <w:t>1.项目需资金9万元，资金拨付率达到100%。</w:t>
            </w:r>
          </w:p>
          <w:p w14:paraId="6B25B00D">
            <w:pPr>
              <w:pStyle w:val="13"/>
            </w:pPr>
            <w:r>
              <w:t>2.改善就学条件，提升学校形象，保障义务教育阶段教学安全，创造良好的校园环境。</w:t>
            </w:r>
          </w:p>
        </w:tc>
      </w:tr>
    </w:tbl>
    <w:p w14:paraId="79BDD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E8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C8C2B">
            <w:pPr>
              <w:pStyle w:val="11"/>
            </w:pPr>
            <w:r>
              <w:t>一级指标</w:t>
            </w:r>
          </w:p>
        </w:tc>
        <w:tc>
          <w:tcPr>
            <w:tcW w:w="2268" w:type="dxa"/>
            <w:vAlign w:val="center"/>
          </w:tcPr>
          <w:p w14:paraId="3571BD9A">
            <w:pPr>
              <w:pStyle w:val="11"/>
            </w:pPr>
            <w:r>
              <w:t>二级指标</w:t>
            </w:r>
          </w:p>
        </w:tc>
        <w:tc>
          <w:tcPr>
            <w:tcW w:w="2835" w:type="dxa"/>
            <w:vAlign w:val="center"/>
          </w:tcPr>
          <w:p w14:paraId="5108A5BC">
            <w:pPr>
              <w:pStyle w:val="11"/>
            </w:pPr>
            <w:r>
              <w:t>三级指标</w:t>
            </w:r>
          </w:p>
        </w:tc>
        <w:tc>
          <w:tcPr>
            <w:tcW w:w="5386" w:type="dxa"/>
            <w:vAlign w:val="center"/>
          </w:tcPr>
          <w:p w14:paraId="482B0F20">
            <w:pPr>
              <w:pStyle w:val="11"/>
            </w:pPr>
            <w:r>
              <w:t>绩效指标描述</w:t>
            </w:r>
          </w:p>
        </w:tc>
        <w:tc>
          <w:tcPr>
            <w:tcW w:w="2268" w:type="dxa"/>
            <w:vAlign w:val="center"/>
          </w:tcPr>
          <w:p w14:paraId="42949419">
            <w:pPr>
              <w:pStyle w:val="11"/>
            </w:pPr>
            <w:r>
              <w:t>指标值</w:t>
            </w:r>
          </w:p>
        </w:tc>
        <w:tc>
          <w:tcPr>
            <w:tcW w:w="1276" w:type="dxa"/>
            <w:vAlign w:val="center"/>
          </w:tcPr>
          <w:p w14:paraId="7DA039D8">
            <w:pPr>
              <w:pStyle w:val="11"/>
            </w:pPr>
            <w:r>
              <w:t>指标值确定依据</w:t>
            </w:r>
          </w:p>
        </w:tc>
      </w:tr>
      <w:tr w14:paraId="7148E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2877A">
            <w:pPr>
              <w:pStyle w:val="12"/>
            </w:pPr>
            <w:r>
              <w:t>产出指标</w:t>
            </w:r>
          </w:p>
        </w:tc>
        <w:tc>
          <w:tcPr>
            <w:tcW w:w="2268" w:type="dxa"/>
            <w:vAlign w:val="center"/>
          </w:tcPr>
          <w:p w14:paraId="1D5863C4">
            <w:pPr>
              <w:pStyle w:val="13"/>
            </w:pPr>
            <w:r>
              <w:t>数量指标</w:t>
            </w:r>
          </w:p>
        </w:tc>
        <w:tc>
          <w:tcPr>
            <w:tcW w:w="2835" w:type="dxa"/>
            <w:vAlign w:val="center"/>
          </w:tcPr>
          <w:p w14:paraId="5EF1ACAD">
            <w:pPr>
              <w:pStyle w:val="13"/>
            </w:pPr>
            <w:r>
              <w:t>固城幼儿园维修改造</w:t>
            </w:r>
          </w:p>
        </w:tc>
        <w:tc>
          <w:tcPr>
            <w:tcW w:w="5386" w:type="dxa"/>
            <w:vAlign w:val="center"/>
          </w:tcPr>
          <w:p w14:paraId="3432A277">
            <w:pPr>
              <w:pStyle w:val="13"/>
            </w:pPr>
            <w:r>
              <w:t>1.铺设墙板、地板砖、地板革；2.厨房通水及上下水管；3.室外走廊及台阶草坪；4.内墙刮白、外墙彩绘等</w:t>
            </w:r>
          </w:p>
        </w:tc>
        <w:tc>
          <w:tcPr>
            <w:tcW w:w="2268" w:type="dxa"/>
            <w:vAlign w:val="center"/>
          </w:tcPr>
          <w:p w14:paraId="1704BD8E">
            <w:pPr>
              <w:pStyle w:val="13"/>
            </w:pPr>
            <w:r>
              <w:t>1项</w:t>
            </w:r>
          </w:p>
        </w:tc>
        <w:tc>
          <w:tcPr>
            <w:tcW w:w="1276" w:type="dxa"/>
            <w:vAlign w:val="center"/>
          </w:tcPr>
          <w:p w14:paraId="17DFC45C">
            <w:pPr>
              <w:pStyle w:val="13"/>
            </w:pPr>
            <w:r>
              <w:t>项目规划</w:t>
            </w:r>
          </w:p>
        </w:tc>
      </w:tr>
      <w:tr w14:paraId="4914E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4AE6A"/>
        </w:tc>
        <w:tc>
          <w:tcPr>
            <w:tcW w:w="2268" w:type="dxa"/>
            <w:vAlign w:val="center"/>
          </w:tcPr>
          <w:p w14:paraId="010AB0A4">
            <w:pPr>
              <w:pStyle w:val="13"/>
            </w:pPr>
            <w:r>
              <w:t>质量指标</w:t>
            </w:r>
          </w:p>
        </w:tc>
        <w:tc>
          <w:tcPr>
            <w:tcW w:w="2835" w:type="dxa"/>
            <w:vAlign w:val="center"/>
          </w:tcPr>
          <w:p w14:paraId="5150610C">
            <w:pPr>
              <w:pStyle w:val="13"/>
            </w:pPr>
            <w:r>
              <w:t>工程实施验收合格率</w:t>
            </w:r>
          </w:p>
        </w:tc>
        <w:tc>
          <w:tcPr>
            <w:tcW w:w="5386" w:type="dxa"/>
            <w:vAlign w:val="center"/>
          </w:tcPr>
          <w:p w14:paraId="5B5129B9">
            <w:pPr>
              <w:pStyle w:val="13"/>
            </w:pPr>
            <w:r>
              <w:t>申报程序的合规，项目实施及资金使用符合项目规划</w:t>
            </w:r>
          </w:p>
        </w:tc>
        <w:tc>
          <w:tcPr>
            <w:tcW w:w="2268" w:type="dxa"/>
            <w:vAlign w:val="center"/>
          </w:tcPr>
          <w:p w14:paraId="453F328C">
            <w:pPr>
              <w:pStyle w:val="13"/>
            </w:pPr>
            <w:r>
              <w:t>100%</w:t>
            </w:r>
          </w:p>
        </w:tc>
        <w:tc>
          <w:tcPr>
            <w:tcW w:w="1276" w:type="dxa"/>
            <w:vAlign w:val="center"/>
          </w:tcPr>
          <w:p w14:paraId="1479B2D1">
            <w:pPr>
              <w:pStyle w:val="13"/>
            </w:pPr>
            <w:r>
              <w:t>项目规划</w:t>
            </w:r>
          </w:p>
        </w:tc>
      </w:tr>
      <w:tr w14:paraId="08F96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581A5"/>
        </w:tc>
        <w:tc>
          <w:tcPr>
            <w:tcW w:w="2268" w:type="dxa"/>
            <w:vAlign w:val="center"/>
          </w:tcPr>
          <w:p w14:paraId="76D317F3">
            <w:pPr>
              <w:pStyle w:val="13"/>
            </w:pPr>
            <w:r>
              <w:t>时效指标</w:t>
            </w:r>
          </w:p>
        </w:tc>
        <w:tc>
          <w:tcPr>
            <w:tcW w:w="2835" w:type="dxa"/>
            <w:vAlign w:val="center"/>
          </w:tcPr>
          <w:p w14:paraId="0D6C393C">
            <w:pPr>
              <w:pStyle w:val="13"/>
            </w:pPr>
            <w:r>
              <w:t>资金支付率</w:t>
            </w:r>
          </w:p>
        </w:tc>
        <w:tc>
          <w:tcPr>
            <w:tcW w:w="5386" w:type="dxa"/>
            <w:vAlign w:val="center"/>
          </w:tcPr>
          <w:p w14:paraId="48167775">
            <w:pPr>
              <w:pStyle w:val="13"/>
            </w:pPr>
            <w:r>
              <w:t>按照序时进度完成资金支付</w:t>
            </w:r>
          </w:p>
        </w:tc>
        <w:tc>
          <w:tcPr>
            <w:tcW w:w="2268" w:type="dxa"/>
            <w:vAlign w:val="center"/>
          </w:tcPr>
          <w:p w14:paraId="322A47D4">
            <w:pPr>
              <w:pStyle w:val="13"/>
            </w:pPr>
            <w:r>
              <w:t>100%</w:t>
            </w:r>
          </w:p>
        </w:tc>
        <w:tc>
          <w:tcPr>
            <w:tcW w:w="1276" w:type="dxa"/>
            <w:vAlign w:val="center"/>
          </w:tcPr>
          <w:p w14:paraId="75975A99">
            <w:pPr>
              <w:pStyle w:val="13"/>
            </w:pPr>
            <w:r>
              <w:t>项目规划</w:t>
            </w:r>
          </w:p>
        </w:tc>
      </w:tr>
      <w:tr w14:paraId="735FA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4C22"/>
        </w:tc>
        <w:tc>
          <w:tcPr>
            <w:tcW w:w="2268" w:type="dxa"/>
            <w:vAlign w:val="center"/>
          </w:tcPr>
          <w:p w14:paraId="1FA89223">
            <w:pPr>
              <w:pStyle w:val="13"/>
            </w:pPr>
            <w:r>
              <w:t>成本指标</w:t>
            </w:r>
          </w:p>
        </w:tc>
        <w:tc>
          <w:tcPr>
            <w:tcW w:w="2835" w:type="dxa"/>
            <w:vAlign w:val="center"/>
          </w:tcPr>
          <w:p w14:paraId="5B8C2B07">
            <w:pPr>
              <w:pStyle w:val="13"/>
            </w:pPr>
            <w:r>
              <w:t>项目成本控制情况</w:t>
            </w:r>
          </w:p>
        </w:tc>
        <w:tc>
          <w:tcPr>
            <w:tcW w:w="5386" w:type="dxa"/>
            <w:vAlign w:val="center"/>
          </w:tcPr>
          <w:p w14:paraId="38326569">
            <w:pPr>
              <w:pStyle w:val="13"/>
            </w:pPr>
            <w:r>
              <w:t>严格按照招标价格及审计额进行</w:t>
            </w:r>
          </w:p>
        </w:tc>
        <w:tc>
          <w:tcPr>
            <w:tcW w:w="2268" w:type="dxa"/>
            <w:vAlign w:val="center"/>
          </w:tcPr>
          <w:p w14:paraId="17D838FC">
            <w:pPr>
              <w:pStyle w:val="13"/>
            </w:pPr>
            <w:r>
              <w:t>9万元</w:t>
            </w:r>
          </w:p>
        </w:tc>
        <w:tc>
          <w:tcPr>
            <w:tcW w:w="1276" w:type="dxa"/>
            <w:vAlign w:val="center"/>
          </w:tcPr>
          <w:p w14:paraId="093DD58B">
            <w:pPr>
              <w:pStyle w:val="13"/>
            </w:pPr>
            <w:r>
              <w:t>项目规划</w:t>
            </w:r>
          </w:p>
        </w:tc>
      </w:tr>
      <w:tr w14:paraId="225EB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369953">
            <w:pPr>
              <w:pStyle w:val="12"/>
            </w:pPr>
            <w:r>
              <w:t>效益指标</w:t>
            </w:r>
          </w:p>
        </w:tc>
        <w:tc>
          <w:tcPr>
            <w:tcW w:w="2268" w:type="dxa"/>
            <w:vAlign w:val="center"/>
          </w:tcPr>
          <w:p w14:paraId="3FB5FADE">
            <w:pPr>
              <w:pStyle w:val="13"/>
            </w:pPr>
            <w:r>
              <w:t>社会效益指标</w:t>
            </w:r>
          </w:p>
        </w:tc>
        <w:tc>
          <w:tcPr>
            <w:tcW w:w="2835" w:type="dxa"/>
            <w:vAlign w:val="center"/>
          </w:tcPr>
          <w:p w14:paraId="5599918B">
            <w:pPr>
              <w:pStyle w:val="13"/>
            </w:pPr>
            <w:r>
              <w:t>学校办学环境提升</w:t>
            </w:r>
          </w:p>
        </w:tc>
        <w:tc>
          <w:tcPr>
            <w:tcW w:w="5386" w:type="dxa"/>
            <w:vAlign w:val="center"/>
          </w:tcPr>
          <w:p w14:paraId="2D49B9E0">
            <w:pPr>
              <w:pStyle w:val="13"/>
            </w:pPr>
            <w:r>
              <w:t>学校教学环境提升优化率</w:t>
            </w:r>
          </w:p>
        </w:tc>
        <w:tc>
          <w:tcPr>
            <w:tcW w:w="2268" w:type="dxa"/>
            <w:vAlign w:val="center"/>
          </w:tcPr>
          <w:p w14:paraId="6ACA0556">
            <w:pPr>
              <w:pStyle w:val="13"/>
            </w:pPr>
            <w:r>
              <w:t>100%</w:t>
            </w:r>
          </w:p>
        </w:tc>
        <w:tc>
          <w:tcPr>
            <w:tcW w:w="1276" w:type="dxa"/>
            <w:vAlign w:val="center"/>
          </w:tcPr>
          <w:p w14:paraId="3D3C341A">
            <w:pPr>
              <w:pStyle w:val="13"/>
            </w:pPr>
            <w:r>
              <w:t>项目规划</w:t>
            </w:r>
          </w:p>
        </w:tc>
      </w:tr>
      <w:tr w14:paraId="439E1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2272B8">
            <w:pPr>
              <w:pStyle w:val="12"/>
            </w:pPr>
            <w:r>
              <w:t>满意度指标</w:t>
            </w:r>
          </w:p>
        </w:tc>
        <w:tc>
          <w:tcPr>
            <w:tcW w:w="2268" w:type="dxa"/>
            <w:vAlign w:val="center"/>
          </w:tcPr>
          <w:p w14:paraId="28989356">
            <w:pPr>
              <w:pStyle w:val="13"/>
            </w:pPr>
            <w:r>
              <w:t>服务对象满意度指标</w:t>
            </w:r>
          </w:p>
        </w:tc>
        <w:tc>
          <w:tcPr>
            <w:tcW w:w="2835" w:type="dxa"/>
            <w:vAlign w:val="center"/>
          </w:tcPr>
          <w:p w14:paraId="087D5845">
            <w:pPr>
              <w:pStyle w:val="13"/>
            </w:pPr>
            <w:r>
              <w:t>受益学生家长及调查满意度</w:t>
            </w:r>
          </w:p>
        </w:tc>
        <w:tc>
          <w:tcPr>
            <w:tcW w:w="5386" w:type="dxa"/>
            <w:vAlign w:val="center"/>
          </w:tcPr>
          <w:p w14:paraId="5D6E5952">
            <w:pPr>
              <w:pStyle w:val="13"/>
            </w:pPr>
            <w:r>
              <w:t>学生、教师及家长对学校教学环境满意度情况</w:t>
            </w:r>
          </w:p>
        </w:tc>
        <w:tc>
          <w:tcPr>
            <w:tcW w:w="2268" w:type="dxa"/>
            <w:vAlign w:val="center"/>
          </w:tcPr>
          <w:p w14:paraId="444070B0">
            <w:pPr>
              <w:pStyle w:val="13"/>
            </w:pPr>
            <w:r>
              <w:t>≥95%</w:t>
            </w:r>
          </w:p>
        </w:tc>
        <w:tc>
          <w:tcPr>
            <w:tcW w:w="1276" w:type="dxa"/>
            <w:vAlign w:val="center"/>
          </w:tcPr>
          <w:p w14:paraId="6A995FBF">
            <w:pPr>
              <w:pStyle w:val="13"/>
            </w:pPr>
            <w:r>
              <w:t>项目规划</w:t>
            </w:r>
          </w:p>
        </w:tc>
      </w:tr>
    </w:tbl>
    <w:p w14:paraId="6CA2D996">
      <w:pPr>
        <w:sectPr>
          <w:pgSz w:w="16840" w:h="11900" w:orient="landscape"/>
          <w:pgMar w:top="1361" w:right="1020" w:bottom="1134" w:left="1020" w:header="720" w:footer="720" w:gutter="0"/>
          <w:cols w:space="720" w:num="1"/>
        </w:sectPr>
      </w:pPr>
    </w:p>
    <w:p w14:paraId="00DA0996">
      <w:pPr>
        <w:spacing w:before="0" w:after="0"/>
        <w:ind w:firstLine="560"/>
        <w:jc w:val="left"/>
        <w:outlineLvl w:val="9"/>
      </w:pPr>
      <w:r>
        <w:rPr>
          <w:rFonts w:ascii="方正仿宋_GBK" w:hAnsi="方正仿宋_GBK" w:eastAsia="方正仿宋_GBK" w:cs="方正仿宋_GBK"/>
          <w:b/>
          <w:color w:val="000000"/>
          <w:sz w:val="28"/>
        </w:rPr>
        <w:t>22、上年盘活/冀财教[2022]156号/中央/薄改与提升/固城小学新建综合楼绩效目标表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2A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76A37">
            <w:pPr>
              <w:pStyle w:val="14"/>
            </w:pPr>
            <w:r>
              <w:t>单位：万元</w:t>
            </w:r>
          </w:p>
        </w:tc>
      </w:tr>
      <w:tr w14:paraId="0BD9B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8AA3C">
            <w:pPr>
              <w:pStyle w:val="11"/>
            </w:pPr>
            <w:r>
              <w:t>项目编码</w:t>
            </w:r>
          </w:p>
        </w:tc>
        <w:tc>
          <w:tcPr>
            <w:tcW w:w="5103" w:type="dxa"/>
            <w:gridSpan w:val="2"/>
            <w:vAlign w:val="center"/>
          </w:tcPr>
          <w:p w14:paraId="6BCEFD4C">
            <w:pPr>
              <w:pStyle w:val="13"/>
            </w:pPr>
            <w:r>
              <w:t>13052525P00875610163M</w:t>
            </w:r>
          </w:p>
        </w:tc>
        <w:tc>
          <w:tcPr>
            <w:tcW w:w="2835" w:type="dxa"/>
            <w:vAlign w:val="center"/>
          </w:tcPr>
          <w:p w14:paraId="7CFA773D">
            <w:pPr>
              <w:pStyle w:val="11"/>
            </w:pPr>
            <w:r>
              <w:t>项目名称</w:t>
            </w:r>
          </w:p>
        </w:tc>
        <w:tc>
          <w:tcPr>
            <w:tcW w:w="6095" w:type="dxa"/>
            <w:gridSpan w:val="3"/>
            <w:vAlign w:val="center"/>
          </w:tcPr>
          <w:p w14:paraId="2D6E31EB">
            <w:pPr>
              <w:pStyle w:val="13"/>
            </w:pPr>
            <w:r>
              <w:t>上年盘活/冀财教[2022]156号/中央/薄改与提升/固城小学新建综合楼</w:t>
            </w:r>
          </w:p>
        </w:tc>
      </w:tr>
      <w:tr w14:paraId="27458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65ED6">
            <w:pPr>
              <w:pStyle w:val="11"/>
            </w:pPr>
            <w:r>
              <w:t>预算规模及资金用途</w:t>
            </w:r>
          </w:p>
        </w:tc>
        <w:tc>
          <w:tcPr>
            <w:tcW w:w="2268" w:type="dxa"/>
            <w:vAlign w:val="center"/>
          </w:tcPr>
          <w:p w14:paraId="2F440408">
            <w:pPr>
              <w:pStyle w:val="11"/>
            </w:pPr>
            <w:r>
              <w:t>预算数</w:t>
            </w:r>
          </w:p>
        </w:tc>
        <w:tc>
          <w:tcPr>
            <w:tcW w:w="2835" w:type="dxa"/>
            <w:vAlign w:val="center"/>
          </w:tcPr>
          <w:p w14:paraId="746C9487">
            <w:pPr>
              <w:pStyle w:val="13"/>
            </w:pPr>
            <w:r>
              <w:t>129.01</w:t>
            </w:r>
          </w:p>
        </w:tc>
        <w:tc>
          <w:tcPr>
            <w:tcW w:w="2835" w:type="dxa"/>
            <w:vAlign w:val="center"/>
          </w:tcPr>
          <w:p w14:paraId="5FAA5AF2">
            <w:pPr>
              <w:pStyle w:val="11"/>
            </w:pPr>
            <w:r>
              <w:t>其中：财政    资金</w:t>
            </w:r>
          </w:p>
        </w:tc>
        <w:tc>
          <w:tcPr>
            <w:tcW w:w="2551" w:type="dxa"/>
            <w:vAlign w:val="center"/>
          </w:tcPr>
          <w:p w14:paraId="169AA593">
            <w:pPr>
              <w:pStyle w:val="13"/>
            </w:pPr>
            <w:r>
              <w:t>129.01</w:t>
            </w:r>
          </w:p>
        </w:tc>
        <w:tc>
          <w:tcPr>
            <w:tcW w:w="2268" w:type="dxa"/>
            <w:vAlign w:val="center"/>
          </w:tcPr>
          <w:p w14:paraId="3A3D2D36">
            <w:pPr>
              <w:pStyle w:val="11"/>
            </w:pPr>
            <w:r>
              <w:t>其他资金</w:t>
            </w:r>
          </w:p>
        </w:tc>
        <w:tc>
          <w:tcPr>
            <w:tcW w:w="1276" w:type="dxa"/>
            <w:vAlign w:val="center"/>
          </w:tcPr>
          <w:p w14:paraId="372B530E">
            <w:pPr>
              <w:pStyle w:val="13"/>
            </w:pPr>
            <w:r>
              <w:t xml:space="preserve"> </w:t>
            </w:r>
          </w:p>
        </w:tc>
      </w:tr>
      <w:tr w14:paraId="3EC69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C32DAA"/>
        </w:tc>
        <w:tc>
          <w:tcPr>
            <w:tcW w:w="14033" w:type="dxa"/>
            <w:gridSpan w:val="6"/>
            <w:vAlign w:val="center"/>
          </w:tcPr>
          <w:p w14:paraId="7150D41F">
            <w:pPr>
              <w:pStyle w:val="13"/>
            </w:pPr>
            <w:r>
              <w:t>用于新建固城小学综合楼，满足师生正常教学需要。</w:t>
            </w:r>
          </w:p>
        </w:tc>
      </w:tr>
      <w:tr w14:paraId="55EA1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0AA02">
            <w:pPr>
              <w:pStyle w:val="11"/>
            </w:pPr>
            <w:r>
              <w:t>资金支出计划（%）</w:t>
            </w:r>
          </w:p>
        </w:tc>
        <w:tc>
          <w:tcPr>
            <w:tcW w:w="5103" w:type="dxa"/>
            <w:gridSpan w:val="2"/>
            <w:vAlign w:val="center"/>
          </w:tcPr>
          <w:p w14:paraId="7C6668C6">
            <w:pPr>
              <w:pStyle w:val="11"/>
            </w:pPr>
            <w:r>
              <w:t>3月底</w:t>
            </w:r>
          </w:p>
        </w:tc>
        <w:tc>
          <w:tcPr>
            <w:tcW w:w="2835" w:type="dxa"/>
            <w:vAlign w:val="center"/>
          </w:tcPr>
          <w:p w14:paraId="6E9DC6FE">
            <w:pPr>
              <w:pStyle w:val="11"/>
            </w:pPr>
            <w:r>
              <w:t>6月底</w:t>
            </w:r>
          </w:p>
        </w:tc>
        <w:tc>
          <w:tcPr>
            <w:tcW w:w="2551" w:type="dxa"/>
            <w:vAlign w:val="center"/>
          </w:tcPr>
          <w:p w14:paraId="08954844">
            <w:pPr>
              <w:pStyle w:val="11"/>
            </w:pPr>
            <w:r>
              <w:t>10月底</w:t>
            </w:r>
          </w:p>
        </w:tc>
        <w:tc>
          <w:tcPr>
            <w:tcW w:w="3544" w:type="dxa"/>
            <w:gridSpan w:val="2"/>
            <w:vAlign w:val="center"/>
          </w:tcPr>
          <w:p w14:paraId="4C193178">
            <w:pPr>
              <w:pStyle w:val="11"/>
            </w:pPr>
            <w:r>
              <w:t>12月底</w:t>
            </w:r>
          </w:p>
        </w:tc>
      </w:tr>
      <w:tr w14:paraId="4DE2E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44356"/>
        </w:tc>
        <w:tc>
          <w:tcPr>
            <w:tcW w:w="5103" w:type="dxa"/>
            <w:gridSpan w:val="2"/>
            <w:vAlign w:val="center"/>
          </w:tcPr>
          <w:p w14:paraId="4D7F852E">
            <w:pPr>
              <w:pStyle w:val="12"/>
            </w:pPr>
            <w:r>
              <w:t xml:space="preserve"> </w:t>
            </w:r>
          </w:p>
        </w:tc>
        <w:tc>
          <w:tcPr>
            <w:tcW w:w="2835" w:type="dxa"/>
            <w:vAlign w:val="center"/>
          </w:tcPr>
          <w:p w14:paraId="4747BAAE">
            <w:pPr>
              <w:pStyle w:val="12"/>
            </w:pPr>
            <w:r>
              <w:t xml:space="preserve"> </w:t>
            </w:r>
          </w:p>
        </w:tc>
        <w:tc>
          <w:tcPr>
            <w:tcW w:w="2551" w:type="dxa"/>
            <w:vAlign w:val="center"/>
          </w:tcPr>
          <w:p w14:paraId="51E77A6E">
            <w:pPr>
              <w:pStyle w:val="12"/>
            </w:pPr>
            <w:r>
              <w:t xml:space="preserve"> </w:t>
            </w:r>
          </w:p>
        </w:tc>
        <w:tc>
          <w:tcPr>
            <w:tcW w:w="3544" w:type="dxa"/>
            <w:gridSpan w:val="2"/>
            <w:vAlign w:val="center"/>
          </w:tcPr>
          <w:p w14:paraId="0153DD3C">
            <w:pPr>
              <w:pStyle w:val="12"/>
            </w:pPr>
            <w:r>
              <w:t>100%</w:t>
            </w:r>
          </w:p>
        </w:tc>
      </w:tr>
      <w:tr w14:paraId="4E95C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112C30">
            <w:pPr>
              <w:pStyle w:val="11"/>
            </w:pPr>
            <w:r>
              <w:t>绩效目标</w:t>
            </w:r>
          </w:p>
        </w:tc>
        <w:tc>
          <w:tcPr>
            <w:tcW w:w="14033" w:type="dxa"/>
            <w:gridSpan w:val="6"/>
            <w:vAlign w:val="center"/>
          </w:tcPr>
          <w:p w14:paraId="3708961A">
            <w:pPr>
              <w:pStyle w:val="13"/>
            </w:pPr>
            <w:r>
              <w:t>1.按规定拨付中央资金 129.010438万元，资金拨付率达到100%。</w:t>
            </w:r>
          </w:p>
          <w:p w14:paraId="2CE0BE13">
            <w:pPr>
              <w:pStyle w:val="13"/>
            </w:pPr>
            <w:r>
              <w:t>2.新建固城小学综合楼，满足师生正常教学需要。</w:t>
            </w:r>
          </w:p>
        </w:tc>
      </w:tr>
    </w:tbl>
    <w:p w14:paraId="378590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5AA4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C744F">
            <w:pPr>
              <w:pStyle w:val="11"/>
            </w:pPr>
            <w:r>
              <w:t>一级指标</w:t>
            </w:r>
          </w:p>
        </w:tc>
        <w:tc>
          <w:tcPr>
            <w:tcW w:w="2268" w:type="dxa"/>
            <w:vAlign w:val="center"/>
          </w:tcPr>
          <w:p w14:paraId="78B991BC">
            <w:pPr>
              <w:pStyle w:val="11"/>
            </w:pPr>
            <w:r>
              <w:t>二级指标</w:t>
            </w:r>
          </w:p>
        </w:tc>
        <w:tc>
          <w:tcPr>
            <w:tcW w:w="2835" w:type="dxa"/>
            <w:vAlign w:val="center"/>
          </w:tcPr>
          <w:p w14:paraId="13F48E58">
            <w:pPr>
              <w:pStyle w:val="11"/>
            </w:pPr>
            <w:r>
              <w:t>三级指标</w:t>
            </w:r>
          </w:p>
        </w:tc>
        <w:tc>
          <w:tcPr>
            <w:tcW w:w="5386" w:type="dxa"/>
            <w:vAlign w:val="center"/>
          </w:tcPr>
          <w:p w14:paraId="6F9963BD">
            <w:pPr>
              <w:pStyle w:val="11"/>
            </w:pPr>
            <w:r>
              <w:t>绩效指标描述</w:t>
            </w:r>
          </w:p>
        </w:tc>
        <w:tc>
          <w:tcPr>
            <w:tcW w:w="1823" w:type="dxa"/>
            <w:vAlign w:val="center"/>
          </w:tcPr>
          <w:p w14:paraId="5D29E7C5">
            <w:pPr>
              <w:pStyle w:val="11"/>
            </w:pPr>
            <w:r>
              <w:t>指标值</w:t>
            </w:r>
          </w:p>
        </w:tc>
        <w:tc>
          <w:tcPr>
            <w:tcW w:w="1721" w:type="dxa"/>
            <w:vAlign w:val="center"/>
          </w:tcPr>
          <w:p w14:paraId="115C2098">
            <w:pPr>
              <w:pStyle w:val="11"/>
            </w:pPr>
            <w:r>
              <w:t>指标值确定依据</w:t>
            </w:r>
          </w:p>
        </w:tc>
      </w:tr>
      <w:tr w14:paraId="460FE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BC450">
            <w:pPr>
              <w:pStyle w:val="12"/>
            </w:pPr>
            <w:r>
              <w:t>产出指标</w:t>
            </w:r>
          </w:p>
        </w:tc>
        <w:tc>
          <w:tcPr>
            <w:tcW w:w="2268" w:type="dxa"/>
            <w:vAlign w:val="center"/>
          </w:tcPr>
          <w:p w14:paraId="09820A79">
            <w:pPr>
              <w:pStyle w:val="13"/>
            </w:pPr>
            <w:r>
              <w:t>数量指标</w:t>
            </w:r>
          </w:p>
        </w:tc>
        <w:tc>
          <w:tcPr>
            <w:tcW w:w="2835" w:type="dxa"/>
            <w:vAlign w:val="center"/>
          </w:tcPr>
          <w:p w14:paraId="79B8D8DB">
            <w:pPr>
              <w:pStyle w:val="13"/>
            </w:pPr>
            <w:r>
              <w:t>新建建筑面积</w:t>
            </w:r>
          </w:p>
        </w:tc>
        <w:tc>
          <w:tcPr>
            <w:tcW w:w="5386" w:type="dxa"/>
            <w:vAlign w:val="center"/>
          </w:tcPr>
          <w:p w14:paraId="229D5E86">
            <w:pPr>
              <w:pStyle w:val="13"/>
            </w:pPr>
            <w:r>
              <w:t>对固城小学新建双面四层框架结构综合楼面积</w:t>
            </w:r>
          </w:p>
        </w:tc>
        <w:tc>
          <w:tcPr>
            <w:tcW w:w="1823" w:type="dxa"/>
            <w:vAlign w:val="center"/>
          </w:tcPr>
          <w:p w14:paraId="553A1A6D">
            <w:pPr>
              <w:pStyle w:val="13"/>
            </w:pPr>
            <w:r>
              <w:t>≥3732平方米</w:t>
            </w:r>
          </w:p>
        </w:tc>
        <w:tc>
          <w:tcPr>
            <w:tcW w:w="1721" w:type="dxa"/>
            <w:vAlign w:val="center"/>
          </w:tcPr>
          <w:p w14:paraId="4D09317A">
            <w:pPr>
              <w:pStyle w:val="13"/>
            </w:pPr>
            <w:r>
              <w:t>城乡义务教育补助经费管理办法</w:t>
            </w:r>
          </w:p>
        </w:tc>
      </w:tr>
      <w:tr w14:paraId="013E1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C1DDF"/>
        </w:tc>
        <w:tc>
          <w:tcPr>
            <w:tcW w:w="2268" w:type="dxa"/>
            <w:vAlign w:val="center"/>
          </w:tcPr>
          <w:p w14:paraId="6573E69D">
            <w:pPr>
              <w:pStyle w:val="13"/>
            </w:pPr>
            <w:r>
              <w:t>质量指标</w:t>
            </w:r>
          </w:p>
        </w:tc>
        <w:tc>
          <w:tcPr>
            <w:tcW w:w="2835" w:type="dxa"/>
            <w:vAlign w:val="center"/>
          </w:tcPr>
          <w:p w14:paraId="00336D36">
            <w:pPr>
              <w:pStyle w:val="13"/>
            </w:pPr>
            <w:r>
              <w:t>工程实施验收合格率</w:t>
            </w:r>
          </w:p>
        </w:tc>
        <w:tc>
          <w:tcPr>
            <w:tcW w:w="5386" w:type="dxa"/>
            <w:vAlign w:val="center"/>
          </w:tcPr>
          <w:p w14:paraId="65B5E72D">
            <w:pPr>
              <w:pStyle w:val="13"/>
            </w:pPr>
            <w:r>
              <w:t>申报程序的合规，项目实施及资金使用符合项目规划</w:t>
            </w:r>
          </w:p>
        </w:tc>
        <w:tc>
          <w:tcPr>
            <w:tcW w:w="1823" w:type="dxa"/>
            <w:vAlign w:val="center"/>
          </w:tcPr>
          <w:p w14:paraId="27C9C74C">
            <w:pPr>
              <w:pStyle w:val="13"/>
            </w:pPr>
            <w:r>
              <w:t>≥100%</w:t>
            </w:r>
          </w:p>
        </w:tc>
        <w:tc>
          <w:tcPr>
            <w:tcW w:w="1721" w:type="dxa"/>
            <w:vAlign w:val="center"/>
          </w:tcPr>
          <w:p w14:paraId="065F8FE6">
            <w:pPr>
              <w:pStyle w:val="13"/>
            </w:pPr>
            <w:r>
              <w:t>城乡义务教育补助经费管理办法</w:t>
            </w:r>
          </w:p>
        </w:tc>
      </w:tr>
      <w:tr w14:paraId="34ED3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EC609"/>
        </w:tc>
        <w:tc>
          <w:tcPr>
            <w:tcW w:w="2268" w:type="dxa"/>
            <w:vAlign w:val="center"/>
          </w:tcPr>
          <w:p w14:paraId="6F4E2FA2">
            <w:pPr>
              <w:pStyle w:val="13"/>
            </w:pPr>
            <w:r>
              <w:t>时效指标</w:t>
            </w:r>
          </w:p>
        </w:tc>
        <w:tc>
          <w:tcPr>
            <w:tcW w:w="2835" w:type="dxa"/>
            <w:vAlign w:val="center"/>
          </w:tcPr>
          <w:p w14:paraId="3534F019">
            <w:pPr>
              <w:pStyle w:val="13"/>
            </w:pPr>
            <w:r>
              <w:t>工程完成率</w:t>
            </w:r>
          </w:p>
        </w:tc>
        <w:tc>
          <w:tcPr>
            <w:tcW w:w="5386" w:type="dxa"/>
            <w:vAlign w:val="center"/>
          </w:tcPr>
          <w:p w14:paraId="28466D16">
            <w:pPr>
              <w:pStyle w:val="13"/>
            </w:pPr>
            <w:r>
              <w:t>按照工程进度完成情况进行资金支付</w:t>
            </w:r>
          </w:p>
        </w:tc>
        <w:tc>
          <w:tcPr>
            <w:tcW w:w="1823" w:type="dxa"/>
            <w:vAlign w:val="center"/>
          </w:tcPr>
          <w:p w14:paraId="0879646A">
            <w:pPr>
              <w:pStyle w:val="13"/>
            </w:pPr>
            <w:r>
              <w:t>≥90%</w:t>
            </w:r>
          </w:p>
        </w:tc>
        <w:tc>
          <w:tcPr>
            <w:tcW w:w="1721" w:type="dxa"/>
            <w:vAlign w:val="center"/>
          </w:tcPr>
          <w:p w14:paraId="410BF50D">
            <w:pPr>
              <w:pStyle w:val="13"/>
            </w:pPr>
            <w:r>
              <w:t>城乡义务教育补助经费管理办法</w:t>
            </w:r>
          </w:p>
        </w:tc>
      </w:tr>
      <w:tr w14:paraId="4C14D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43F35"/>
        </w:tc>
        <w:tc>
          <w:tcPr>
            <w:tcW w:w="2268" w:type="dxa"/>
            <w:vAlign w:val="center"/>
          </w:tcPr>
          <w:p w14:paraId="274E69CB">
            <w:pPr>
              <w:pStyle w:val="13"/>
            </w:pPr>
            <w:r>
              <w:t>成本指标</w:t>
            </w:r>
          </w:p>
        </w:tc>
        <w:tc>
          <w:tcPr>
            <w:tcW w:w="2835" w:type="dxa"/>
            <w:vAlign w:val="center"/>
          </w:tcPr>
          <w:p w14:paraId="3B78DD85">
            <w:pPr>
              <w:pStyle w:val="13"/>
            </w:pPr>
            <w:r>
              <w:t>新建校舍成本</w:t>
            </w:r>
          </w:p>
        </w:tc>
        <w:tc>
          <w:tcPr>
            <w:tcW w:w="5386" w:type="dxa"/>
            <w:vAlign w:val="center"/>
          </w:tcPr>
          <w:p w14:paraId="0D0B118E">
            <w:pPr>
              <w:pStyle w:val="13"/>
            </w:pPr>
            <w:r>
              <w:t>新建学生宿舍楼成本</w:t>
            </w:r>
          </w:p>
        </w:tc>
        <w:tc>
          <w:tcPr>
            <w:tcW w:w="1823" w:type="dxa"/>
            <w:vAlign w:val="center"/>
          </w:tcPr>
          <w:p w14:paraId="42916952">
            <w:pPr>
              <w:pStyle w:val="13"/>
            </w:pPr>
            <w:r>
              <w:t>≥1290104.38元</w:t>
            </w:r>
          </w:p>
        </w:tc>
        <w:tc>
          <w:tcPr>
            <w:tcW w:w="1721" w:type="dxa"/>
            <w:vAlign w:val="center"/>
          </w:tcPr>
          <w:p w14:paraId="3D429456">
            <w:pPr>
              <w:pStyle w:val="13"/>
            </w:pPr>
            <w:r>
              <w:t>城乡义务教育补助经费管理办法</w:t>
            </w:r>
          </w:p>
        </w:tc>
      </w:tr>
      <w:tr w14:paraId="5B7AD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CC71D1">
            <w:pPr>
              <w:pStyle w:val="12"/>
            </w:pPr>
            <w:r>
              <w:t>效益指标</w:t>
            </w:r>
          </w:p>
        </w:tc>
        <w:tc>
          <w:tcPr>
            <w:tcW w:w="2268" w:type="dxa"/>
            <w:vAlign w:val="center"/>
          </w:tcPr>
          <w:p w14:paraId="0E794B37">
            <w:pPr>
              <w:pStyle w:val="13"/>
            </w:pPr>
            <w:r>
              <w:t>社会效益指标</w:t>
            </w:r>
          </w:p>
        </w:tc>
        <w:tc>
          <w:tcPr>
            <w:tcW w:w="2835" w:type="dxa"/>
            <w:vAlign w:val="center"/>
          </w:tcPr>
          <w:p w14:paraId="5E4682B4">
            <w:pPr>
              <w:pStyle w:val="13"/>
            </w:pPr>
            <w:r>
              <w:t>工程使用年限</w:t>
            </w:r>
          </w:p>
        </w:tc>
        <w:tc>
          <w:tcPr>
            <w:tcW w:w="5386" w:type="dxa"/>
            <w:vAlign w:val="center"/>
          </w:tcPr>
          <w:p w14:paraId="0B65764D">
            <w:pPr>
              <w:pStyle w:val="13"/>
            </w:pPr>
            <w:r>
              <w:t>工程使用年限</w:t>
            </w:r>
          </w:p>
        </w:tc>
        <w:tc>
          <w:tcPr>
            <w:tcW w:w="1823" w:type="dxa"/>
            <w:vAlign w:val="center"/>
          </w:tcPr>
          <w:p w14:paraId="17FD66BB">
            <w:pPr>
              <w:pStyle w:val="13"/>
            </w:pPr>
            <w:r>
              <w:t>≥15年</w:t>
            </w:r>
          </w:p>
        </w:tc>
        <w:tc>
          <w:tcPr>
            <w:tcW w:w="1721" w:type="dxa"/>
            <w:vAlign w:val="center"/>
          </w:tcPr>
          <w:p w14:paraId="2CFF5B4B">
            <w:pPr>
              <w:pStyle w:val="13"/>
            </w:pPr>
            <w:r>
              <w:t>城乡义务教育补助经费管理办法</w:t>
            </w:r>
          </w:p>
        </w:tc>
      </w:tr>
      <w:tr w14:paraId="241B9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87135E">
            <w:pPr>
              <w:pStyle w:val="12"/>
            </w:pPr>
            <w:r>
              <w:t>满意度指标</w:t>
            </w:r>
          </w:p>
        </w:tc>
        <w:tc>
          <w:tcPr>
            <w:tcW w:w="2268" w:type="dxa"/>
            <w:vAlign w:val="center"/>
          </w:tcPr>
          <w:p w14:paraId="73811425">
            <w:pPr>
              <w:pStyle w:val="13"/>
            </w:pPr>
            <w:r>
              <w:t>服务对象满意度指标</w:t>
            </w:r>
          </w:p>
        </w:tc>
        <w:tc>
          <w:tcPr>
            <w:tcW w:w="2835" w:type="dxa"/>
            <w:vAlign w:val="center"/>
          </w:tcPr>
          <w:p w14:paraId="05FB614A">
            <w:pPr>
              <w:pStyle w:val="13"/>
            </w:pPr>
            <w:r>
              <w:t>受益学生家长及调查满意度</w:t>
            </w:r>
          </w:p>
        </w:tc>
        <w:tc>
          <w:tcPr>
            <w:tcW w:w="5386" w:type="dxa"/>
            <w:vAlign w:val="center"/>
          </w:tcPr>
          <w:p w14:paraId="43C699DA">
            <w:pPr>
              <w:pStyle w:val="13"/>
            </w:pPr>
            <w:r>
              <w:t>学生、教师及家长对学前保教保育工作满意度情况</w:t>
            </w:r>
          </w:p>
        </w:tc>
        <w:tc>
          <w:tcPr>
            <w:tcW w:w="1823" w:type="dxa"/>
            <w:vAlign w:val="center"/>
          </w:tcPr>
          <w:p w14:paraId="09402963">
            <w:pPr>
              <w:pStyle w:val="13"/>
            </w:pPr>
            <w:r>
              <w:t>≥95%</w:t>
            </w:r>
          </w:p>
        </w:tc>
        <w:tc>
          <w:tcPr>
            <w:tcW w:w="1721" w:type="dxa"/>
            <w:vAlign w:val="center"/>
          </w:tcPr>
          <w:p w14:paraId="4FC1F586">
            <w:pPr>
              <w:pStyle w:val="13"/>
            </w:pPr>
            <w:r>
              <w:t>城乡义务教育补助经费管理办法</w:t>
            </w:r>
          </w:p>
        </w:tc>
      </w:tr>
    </w:tbl>
    <w:p w14:paraId="15556561">
      <w:pPr>
        <w:sectPr>
          <w:pgSz w:w="16840" w:h="11900" w:orient="landscape"/>
          <w:pgMar w:top="1361" w:right="1020" w:bottom="1134" w:left="1020" w:header="720" w:footer="720" w:gutter="0"/>
          <w:cols w:space="720" w:num="1"/>
        </w:sectPr>
      </w:pPr>
    </w:p>
    <w:p w14:paraId="53AD31B5">
      <w:pPr>
        <w:spacing w:before="0" w:after="0"/>
        <w:ind w:firstLine="560"/>
        <w:jc w:val="left"/>
        <w:outlineLvl w:val="9"/>
      </w:pPr>
      <w:r>
        <w:rPr>
          <w:rFonts w:ascii="方正仿宋_GBK" w:hAnsi="方正仿宋_GBK" w:eastAsia="方正仿宋_GBK" w:cs="方正仿宋_GBK"/>
          <w:b/>
          <w:color w:val="000000"/>
          <w:sz w:val="28"/>
        </w:rPr>
        <w:t>23、上年盘活/冀财教[2022]162号/省级/义教经费/校舍安全/固城小学综合楼室外消防工程绩效目标表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BC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38A75">
            <w:pPr>
              <w:pStyle w:val="14"/>
            </w:pPr>
            <w:r>
              <w:t>单位：万元</w:t>
            </w:r>
          </w:p>
        </w:tc>
      </w:tr>
      <w:tr w14:paraId="0764B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A4ADC">
            <w:pPr>
              <w:pStyle w:val="11"/>
            </w:pPr>
            <w:r>
              <w:t>项目编码</w:t>
            </w:r>
          </w:p>
        </w:tc>
        <w:tc>
          <w:tcPr>
            <w:tcW w:w="5103" w:type="dxa"/>
            <w:gridSpan w:val="2"/>
            <w:vAlign w:val="center"/>
          </w:tcPr>
          <w:p w14:paraId="028E719A">
            <w:pPr>
              <w:pStyle w:val="13"/>
            </w:pPr>
            <w:r>
              <w:t>13052525P00875610165W</w:t>
            </w:r>
          </w:p>
        </w:tc>
        <w:tc>
          <w:tcPr>
            <w:tcW w:w="2835" w:type="dxa"/>
            <w:vAlign w:val="center"/>
          </w:tcPr>
          <w:p w14:paraId="57090516">
            <w:pPr>
              <w:pStyle w:val="11"/>
            </w:pPr>
            <w:r>
              <w:t>项目名称</w:t>
            </w:r>
          </w:p>
        </w:tc>
        <w:tc>
          <w:tcPr>
            <w:tcW w:w="6095" w:type="dxa"/>
            <w:gridSpan w:val="3"/>
            <w:vAlign w:val="center"/>
          </w:tcPr>
          <w:p w14:paraId="55C874E0">
            <w:pPr>
              <w:pStyle w:val="13"/>
            </w:pPr>
            <w:r>
              <w:t>上年盘活/冀财教[2022]162号/省级/义教经费/校舍安全/固城小学综合楼室外消防工程</w:t>
            </w:r>
          </w:p>
        </w:tc>
      </w:tr>
      <w:tr w14:paraId="54F8A5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6A977">
            <w:pPr>
              <w:pStyle w:val="11"/>
            </w:pPr>
            <w:r>
              <w:t>预算规模及资金用途</w:t>
            </w:r>
          </w:p>
        </w:tc>
        <w:tc>
          <w:tcPr>
            <w:tcW w:w="2268" w:type="dxa"/>
            <w:vAlign w:val="center"/>
          </w:tcPr>
          <w:p w14:paraId="73F1AE19">
            <w:pPr>
              <w:pStyle w:val="11"/>
            </w:pPr>
            <w:r>
              <w:t>预算数</w:t>
            </w:r>
          </w:p>
        </w:tc>
        <w:tc>
          <w:tcPr>
            <w:tcW w:w="2835" w:type="dxa"/>
            <w:vAlign w:val="center"/>
          </w:tcPr>
          <w:p w14:paraId="6295197B">
            <w:pPr>
              <w:pStyle w:val="13"/>
            </w:pPr>
            <w:r>
              <w:t>12.32</w:t>
            </w:r>
          </w:p>
        </w:tc>
        <w:tc>
          <w:tcPr>
            <w:tcW w:w="2835" w:type="dxa"/>
            <w:vAlign w:val="center"/>
          </w:tcPr>
          <w:p w14:paraId="1DD7414C">
            <w:pPr>
              <w:pStyle w:val="11"/>
            </w:pPr>
            <w:r>
              <w:t>其中：财政    资金</w:t>
            </w:r>
          </w:p>
        </w:tc>
        <w:tc>
          <w:tcPr>
            <w:tcW w:w="2551" w:type="dxa"/>
            <w:vAlign w:val="center"/>
          </w:tcPr>
          <w:p w14:paraId="1E655010">
            <w:pPr>
              <w:pStyle w:val="13"/>
            </w:pPr>
            <w:r>
              <w:t>12.32</w:t>
            </w:r>
          </w:p>
        </w:tc>
        <w:tc>
          <w:tcPr>
            <w:tcW w:w="2268" w:type="dxa"/>
            <w:vAlign w:val="center"/>
          </w:tcPr>
          <w:p w14:paraId="6B224A20">
            <w:pPr>
              <w:pStyle w:val="11"/>
            </w:pPr>
            <w:r>
              <w:t>其他资金</w:t>
            </w:r>
          </w:p>
        </w:tc>
        <w:tc>
          <w:tcPr>
            <w:tcW w:w="1276" w:type="dxa"/>
            <w:vAlign w:val="center"/>
          </w:tcPr>
          <w:p w14:paraId="0AC2C149">
            <w:pPr>
              <w:pStyle w:val="13"/>
            </w:pPr>
            <w:r>
              <w:t xml:space="preserve"> </w:t>
            </w:r>
          </w:p>
        </w:tc>
      </w:tr>
      <w:tr w14:paraId="61F1D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EE3813"/>
        </w:tc>
        <w:tc>
          <w:tcPr>
            <w:tcW w:w="14033" w:type="dxa"/>
            <w:gridSpan w:val="6"/>
            <w:vAlign w:val="center"/>
          </w:tcPr>
          <w:p w14:paraId="664958F3">
            <w:pPr>
              <w:pStyle w:val="13"/>
            </w:pPr>
            <w:r>
              <w:t>用于改善就学条件，提升学校形象，保障义务教育阶段教学安全，创造良好的校园环境。</w:t>
            </w:r>
          </w:p>
        </w:tc>
      </w:tr>
      <w:tr w14:paraId="27E92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D2A7D">
            <w:pPr>
              <w:pStyle w:val="11"/>
            </w:pPr>
            <w:r>
              <w:t>资金支出计划（%）</w:t>
            </w:r>
          </w:p>
        </w:tc>
        <w:tc>
          <w:tcPr>
            <w:tcW w:w="5103" w:type="dxa"/>
            <w:gridSpan w:val="2"/>
            <w:vAlign w:val="center"/>
          </w:tcPr>
          <w:p w14:paraId="47F986A2">
            <w:pPr>
              <w:pStyle w:val="11"/>
            </w:pPr>
            <w:r>
              <w:t>3月底</w:t>
            </w:r>
          </w:p>
        </w:tc>
        <w:tc>
          <w:tcPr>
            <w:tcW w:w="2835" w:type="dxa"/>
            <w:vAlign w:val="center"/>
          </w:tcPr>
          <w:p w14:paraId="25C70AB2">
            <w:pPr>
              <w:pStyle w:val="11"/>
            </w:pPr>
            <w:r>
              <w:t>6月底</w:t>
            </w:r>
          </w:p>
        </w:tc>
        <w:tc>
          <w:tcPr>
            <w:tcW w:w="2551" w:type="dxa"/>
            <w:vAlign w:val="center"/>
          </w:tcPr>
          <w:p w14:paraId="20D4BFC1">
            <w:pPr>
              <w:pStyle w:val="11"/>
            </w:pPr>
            <w:r>
              <w:t>10月底</w:t>
            </w:r>
          </w:p>
        </w:tc>
        <w:tc>
          <w:tcPr>
            <w:tcW w:w="3544" w:type="dxa"/>
            <w:gridSpan w:val="2"/>
            <w:vAlign w:val="center"/>
          </w:tcPr>
          <w:p w14:paraId="2E6803E4">
            <w:pPr>
              <w:pStyle w:val="11"/>
            </w:pPr>
            <w:r>
              <w:t>12月底</w:t>
            </w:r>
          </w:p>
        </w:tc>
      </w:tr>
      <w:tr w14:paraId="0D87AC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DA339"/>
        </w:tc>
        <w:tc>
          <w:tcPr>
            <w:tcW w:w="5103" w:type="dxa"/>
            <w:gridSpan w:val="2"/>
            <w:vAlign w:val="center"/>
          </w:tcPr>
          <w:p w14:paraId="2702D588">
            <w:pPr>
              <w:pStyle w:val="12"/>
            </w:pPr>
            <w:r>
              <w:t xml:space="preserve"> </w:t>
            </w:r>
          </w:p>
        </w:tc>
        <w:tc>
          <w:tcPr>
            <w:tcW w:w="2835" w:type="dxa"/>
            <w:vAlign w:val="center"/>
          </w:tcPr>
          <w:p w14:paraId="1A8029DD">
            <w:pPr>
              <w:pStyle w:val="12"/>
            </w:pPr>
            <w:r>
              <w:t xml:space="preserve"> </w:t>
            </w:r>
          </w:p>
        </w:tc>
        <w:tc>
          <w:tcPr>
            <w:tcW w:w="2551" w:type="dxa"/>
            <w:vAlign w:val="center"/>
          </w:tcPr>
          <w:p w14:paraId="1E132147">
            <w:pPr>
              <w:pStyle w:val="12"/>
            </w:pPr>
            <w:r>
              <w:t xml:space="preserve"> </w:t>
            </w:r>
          </w:p>
        </w:tc>
        <w:tc>
          <w:tcPr>
            <w:tcW w:w="3544" w:type="dxa"/>
            <w:gridSpan w:val="2"/>
            <w:vAlign w:val="center"/>
          </w:tcPr>
          <w:p w14:paraId="61A8732D">
            <w:pPr>
              <w:pStyle w:val="12"/>
            </w:pPr>
            <w:r>
              <w:t>100%</w:t>
            </w:r>
          </w:p>
        </w:tc>
      </w:tr>
      <w:tr w14:paraId="49F6C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52671">
            <w:pPr>
              <w:pStyle w:val="11"/>
            </w:pPr>
            <w:r>
              <w:t>绩效目标</w:t>
            </w:r>
          </w:p>
        </w:tc>
        <w:tc>
          <w:tcPr>
            <w:tcW w:w="14033" w:type="dxa"/>
            <w:gridSpan w:val="6"/>
            <w:vAlign w:val="center"/>
          </w:tcPr>
          <w:p w14:paraId="758422CE">
            <w:pPr>
              <w:pStyle w:val="13"/>
            </w:pPr>
            <w:r>
              <w:t>1.项目需资金12.32万元，资金拨付率达到100%。</w:t>
            </w:r>
          </w:p>
          <w:p w14:paraId="09BAB4F8">
            <w:pPr>
              <w:pStyle w:val="13"/>
            </w:pPr>
            <w:r>
              <w:t>2.改善就学条件，提升学校形象，保障义务教育阶段教学安全，创造良好的校园环境。</w:t>
            </w:r>
          </w:p>
        </w:tc>
      </w:tr>
    </w:tbl>
    <w:p w14:paraId="3EFD9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ED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F3FA3">
            <w:pPr>
              <w:pStyle w:val="11"/>
            </w:pPr>
            <w:r>
              <w:t>一级指标</w:t>
            </w:r>
          </w:p>
        </w:tc>
        <w:tc>
          <w:tcPr>
            <w:tcW w:w="2268" w:type="dxa"/>
            <w:vAlign w:val="center"/>
          </w:tcPr>
          <w:p w14:paraId="4AC873BD">
            <w:pPr>
              <w:pStyle w:val="11"/>
            </w:pPr>
            <w:r>
              <w:t>二级指标</w:t>
            </w:r>
          </w:p>
        </w:tc>
        <w:tc>
          <w:tcPr>
            <w:tcW w:w="2835" w:type="dxa"/>
            <w:vAlign w:val="center"/>
          </w:tcPr>
          <w:p w14:paraId="3C6F12CB">
            <w:pPr>
              <w:pStyle w:val="11"/>
            </w:pPr>
            <w:r>
              <w:t>三级指标</w:t>
            </w:r>
          </w:p>
        </w:tc>
        <w:tc>
          <w:tcPr>
            <w:tcW w:w="5386" w:type="dxa"/>
            <w:vAlign w:val="center"/>
          </w:tcPr>
          <w:p w14:paraId="31D68FF0">
            <w:pPr>
              <w:pStyle w:val="11"/>
            </w:pPr>
            <w:r>
              <w:t>绩效指标描述</w:t>
            </w:r>
          </w:p>
        </w:tc>
        <w:tc>
          <w:tcPr>
            <w:tcW w:w="2268" w:type="dxa"/>
            <w:vAlign w:val="center"/>
          </w:tcPr>
          <w:p w14:paraId="06B75E05">
            <w:pPr>
              <w:pStyle w:val="11"/>
            </w:pPr>
            <w:r>
              <w:t>指标值</w:t>
            </w:r>
          </w:p>
        </w:tc>
        <w:tc>
          <w:tcPr>
            <w:tcW w:w="1276" w:type="dxa"/>
            <w:vAlign w:val="center"/>
          </w:tcPr>
          <w:p w14:paraId="0A53C1F9">
            <w:pPr>
              <w:pStyle w:val="11"/>
            </w:pPr>
            <w:r>
              <w:t>指标值确定依据</w:t>
            </w:r>
          </w:p>
        </w:tc>
      </w:tr>
      <w:tr w14:paraId="6F019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E2827">
            <w:pPr>
              <w:pStyle w:val="12"/>
            </w:pPr>
            <w:r>
              <w:t>产出指标</w:t>
            </w:r>
          </w:p>
        </w:tc>
        <w:tc>
          <w:tcPr>
            <w:tcW w:w="2268" w:type="dxa"/>
            <w:vAlign w:val="center"/>
          </w:tcPr>
          <w:p w14:paraId="16B5E7D1">
            <w:pPr>
              <w:pStyle w:val="13"/>
            </w:pPr>
            <w:r>
              <w:t>数量指标</w:t>
            </w:r>
          </w:p>
        </w:tc>
        <w:tc>
          <w:tcPr>
            <w:tcW w:w="2835" w:type="dxa"/>
            <w:vAlign w:val="center"/>
          </w:tcPr>
          <w:p w14:paraId="663840BD">
            <w:pPr>
              <w:pStyle w:val="13"/>
            </w:pPr>
            <w:r>
              <w:t>综合楼室外消防工程</w:t>
            </w:r>
          </w:p>
        </w:tc>
        <w:tc>
          <w:tcPr>
            <w:tcW w:w="5386" w:type="dxa"/>
            <w:vAlign w:val="center"/>
          </w:tcPr>
          <w:p w14:paraId="3B82C020">
            <w:pPr>
              <w:pStyle w:val="13"/>
            </w:pPr>
            <w:r>
              <w:t>安装消防泵房、蓄水池、室外网管、消防设备设施等</w:t>
            </w:r>
          </w:p>
        </w:tc>
        <w:tc>
          <w:tcPr>
            <w:tcW w:w="2268" w:type="dxa"/>
            <w:vAlign w:val="center"/>
          </w:tcPr>
          <w:p w14:paraId="7075C482">
            <w:pPr>
              <w:pStyle w:val="13"/>
            </w:pPr>
            <w:r>
              <w:t>≥1项</w:t>
            </w:r>
          </w:p>
        </w:tc>
        <w:tc>
          <w:tcPr>
            <w:tcW w:w="1276" w:type="dxa"/>
            <w:vAlign w:val="center"/>
          </w:tcPr>
          <w:p w14:paraId="26883137">
            <w:pPr>
              <w:pStyle w:val="13"/>
            </w:pPr>
            <w:r>
              <w:t>项目规划</w:t>
            </w:r>
          </w:p>
        </w:tc>
      </w:tr>
      <w:tr w14:paraId="6E666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A53AC"/>
        </w:tc>
        <w:tc>
          <w:tcPr>
            <w:tcW w:w="2268" w:type="dxa"/>
            <w:vAlign w:val="center"/>
          </w:tcPr>
          <w:p w14:paraId="26858518">
            <w:pPr>
              <w:pStyle w:val="13"/>
            </w:pPr>
            <w:r>
              <w:t>质量指标</w:t>
            </w:r>
          </w:p>
        </w:tc>
        <w:tc>
          <w:tcPr>
            <w:tcW w:w="2835" w:type="dxa"/>
            <w:vAlign w:val="center"/>
          </w:tcPr>
          <w:p w14:paraId="46B8FE59">
            <w:pPr>
              <w:pStyle w:val="13"/>
            </w:pPr>
            <w:r>
              <w:t>工程实施验收合格率</w:t>
            </w:r>
          </w:p>
        </w:tc>
        <w:tc>
          <w:tcPr>
            <w:tcW w:w="5386" w:type="dxa"/>
            <w:vAlign w:val="center"/>
          </w:tcPr>
          <w:p w14:paraId="54F55A7B">
            <w:pPr>
              <w:pStyle w:val="13"/>
            </w:pPr>
            <w:r>
              <w:t>申报程序的合规，项目实施及资金使用符合项目规划</w:t>
            </w:r>
          </w:p>
        </w:tc>
        <w:tc>
          <w:tcPr>
            <w:tcW w:w="2268" w:type="dxa"/>
            <w:vAlign w:val="center"/>
          </w:tcPr>
          <w:p w14:paraId="07F1C275">
            <w:pPr>
              <w:pStyle w:val="13"/>
            </w:pPr>
            <w:r>
              <w:t>≥100%</w:t>
            </w:r>
          </w:p>
        </w:tc>
        <w:tc>
          <w:tcPr>
            <w:tcW w:w="1276" w:type="dxa"/>
            <w:vAlign w:val="center"/>
          </w:tcPr>
          <w:p w14:paraId="72AEEE79">
            <w:pPr>
              <w:pStyle w:val="13"/>
            </w:pPr>
            <w:r>
              <w:t>项目规划</w:t>
            </w:r>
          </w:p>
        </w:tc>
      </w:tr>
      <w:tr w14:paraId="54155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03933"/>
        </w:tc>
        <w:tc>
          <w:tcPr>
            <w:tcW w:w="2268" w:type="dxa"/>
            <w:vAlign w:val="center"/>
          </w:tcPr>
          <w:p w14:paraId="1658AAC8">
            <w:pPr>
              <w:pStyle w:val="13"/>
            </w:pPr>
            <w:r>
              <w:t>时效指标</w:t>
            </w:r>
          </w:p>
        </w:tc>
        <w:tc>
          <w:tcPr>
            <w:tcW w:w="2835" w:type="dxa"/>
            <w:vAlign w:val="center"/>
          </w:tcPr>
          <w:p w14:paraId="2A8AA04F">
            <w:pPr>
              <w:pStyle w:val="13"/>
            </w:pPr>
            <w:r>
              <w:t>资金支付率</w:t>
            </w:r>
          </w:p>
        </w:tc>
        <w:tc>
          <w:tcPr>
            <w:tcW w:w="5386" w:type="dxa"/>
            <w:vAlign w:val="center"/>
          </w:tcPr>
          <w:p w14:paraId="29C95AF9">
            <w:pPr>
              <w:pStyle w:val="13"/>
            </w:pPr>
            <w:r>
              <w:t>按照序时进度完成资金支付</w:t>
            </w:r>
          </w:p>
        </w:tc>
        <w:tc>
          <w:tcPr>
            <w:tcW w:w="2268" w:type="dxa"/>
            <w:vAlign w:val="center"/>
          </w:tcPr>
          <w:p w14:paraId="5F1956D7">
            <w:pPr>
              <w:pStyle w:val="13"/>
            </w:pPr>
            <w:r>
              <w:t>≥90%</w:t>
            </w:r>
          </w:p>
        </w:tc>
        <w:tc>
          <w:tcPr>
            <w:tcW w:w="1276" w:type="dxa"/>
            <w:vAlign w:val="center"/>
          </w:tcPr>
          <w:p w14:paraId="667875F5">
            <w:pPr>
              <w:pStyle w:val="13"/>
            </w:pPr>
            <w:r>
              <w:t>项目规划</w:t>
            </w:r>
          </w:p>
        </w:tc>
      </w:tr>
      <w:tr w14:paraId="10C91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12857"/>
        </w:tc>
        <w:tc>
          <w:tcPr>
            <w:tcW w:w="2268" w:type="dxa"/>
            <w:vAlign w:val="center"/>
          </w:tcPr>
          <w:p w14:paraId="69C580CF">
            <w:pPr>
              <w:pStyle w:val="13"/>
            </w:pPr>
            <w:r>
              <w:t>成本指标</w:t>
            </w:r>
          </w:p>
        </w:tc>
        <w:tc>
          <w:tcPr>
            <w:tcW w:w="2835" w:type="dxa"/>
            <w:vAlign w:val="center"/>
          </w:tcPr>
          <w:p w14:paraId="73F8F2E5">
            <w:pPr>
              <w:pStyle w:val="13"/>
            </w:pPr>
            <w:r>
              <w:t>项目成本控制情况</w:t>
            </w:r>
          </w:p>
        </w:tc>
        <w:tc>
          <w:tcPr>
            <w:tcW w:w="5386" w:type="dxa"/>
            <w:vAlign w:val="center"/>
          </w:tcPr>
          <w:p w14:paraId="6986AA5D">
            <w:pPr>
              <w:pStyle w:val="13"/>
            </w:pPr>
            <w:r>
              <w:t>严格按照招标价格及审计额进行</w:t>
            </w:r>
          </w:p>
        </w:tc>
        <w:tc>
          <w:tcPr>
            <w:tcW w:w="2268" w:type="dxa"/>
            <w:vAlign w:val="center"/>
          </w:tcPr>
          <w:p w14:paraId="58AA920F">
            <w:pPr>
              <w:pStyle w:val="13"/>
            </w:pPr>
            <w:r>
              <w:t>≥12.32万元</w:t>
            </w:r>
          </w:p>
        </w:tc>
        <w:tc>
          <w:tcPr>
            <w:tcW w:w="1276" w:type="dxa"/>
            <w:vAlign w:val="center"/>
          </w:tcPr>
          <w:p w14:paraId="173DE344">
            <w:pPr>
              <w:pStyle w:val="13"/>
            </w:pPr>
            <w:r>
              <w:t>项目规划</w:t>
            </w:r>
          </w:p>
        </w:tc>
      </w:tr>
      <w:tr w14:paraId="28B59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08CFC4">
            <w:pPr>
              <w:pStyle w:val="12"/>
            </w:pPr>
            <w:r>
              <w:t>效益指标</w:t>
            </w:r>
          </w:p>
        </w:tc>
        <w:tc>
          <w:tcPr>
            <w:tcW w:w="2268" w:type="dxa"/>
            <w:vAlign w:val="center"/>
          </w:tcPr>
          <w:p w14:paraId="5B1FD640">
            <w:pPr>
              <w:pStyle w:val="13"/>
            </w:pPr>
            <w:r>
              <w:t>社会效益指标</w:t>
            </w:r>
          </w:p>
        </w:tc>
        <w:tc>
          <w:tcPr>
            <w:tcW w:w="2835" w:type="dxa"/>
            <w:vAlign w:val="center"/>
          </w:tcPr>
          <w:p w14:paraId="194A786B">
            <w:pPr>
              <w:pStyle w:val="13"/>
            </w:pPr>
            <w:r>
              <w:t>工程使用年限</w:t>
            </w:r>
          </w:p>
        </w:tc>
        <w:tc>
          <w:tcPr>
            <w:tcW w:w="5386" w:type="dxa"/>
            <w:vAlign w:val="center"/>
          </w:tcPr>
          <w:p w14:paraId="23F74FA5">
            <w:pPr>
              <w:pStyle w:val="13"/>
            </w:pPr>
            <w:r>
              <w:t>工程使用年限</w:t>
            </w:r>
          </w:p>
        </w:tc>
        <w:tc>
          <w:tcPr>
            <w:tcW w:w="2268" w:type="dxa"/>
            <w:vAlign w:val="center"/>
          </w:tcPr>
          <w:p w14:paraId="5D7D1E54">
            <w:pPr>
              <w:pStyle w:val="13"/>
            </w:pPr>
            <w:r>
              <w:t>≥15年</w:t>
            </w:r>
          </w:p>
        </w:tc>
        <w:tc>
          <w:tcPr>
            <w:tcW w:w="1276" w:type="dxa"/>
            <w:vAlign w:val="center"/>
          </w:tcPr>
          <w:p w14:paraId="56AC8351">
            <w:pPr>
              <w:pStyle w:val="13"/>
            </w:pPr>
            <w:r>
              <w:t>项目规划</w:t>
            </w:r>
          </w:p>
        </w:tc>
      </w:tr>
      <w:tr w14:paraId="5ADAD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DC66B">
            <w:pPr>
              <w:pStyle w:val="12"/>
            </w:pPr>
            <w:r>
              <w:t>满意度指标</w:t>
            </w:r>
          </w:p>
        </w:tc>
        <w:tc>
          <w:tcPr>
            <w:tcW w:w="2268" w:type="dxa"/>
            <w:vAlign w:val="center"/>
          </w:tcPr>
          <w:p w14:paraId="03512B2F">
            <w:pPr>
              <w:pStyle w:val="13"/>
            </w:pPr>
            <w:r>
              <w:t>服务对象满意度指标</w:t>
            </w:r>
          </w:p>
        </w:tc>
        <w:tc>
          <w:tcPr>
            <w:tcW w:w="2835" w:type="dxa"/>
            <w:vAlign w:val="center"/>
          </w:tcPr>
          <w:p w14:paraId="16450D43">
            <w:pPr>
              <w:pStyle w:val="13"/>
            </w:pPr>
            <w:r>
              <w:t>受益学生家长及调查满意度</w:t>
            </w:r>
          </w:p>
        </w:tc>
        <w:tc>
          <w:tcPr>
            <w:tcW w:w="5386" w:type="dxa"/>
            <w:vAlign w:val="center"/>
          </w:tcPr>
          <w:p w14:paraId="271141CC">
            <w:pPr>
              <w:pStyle w:val="13"/>
            </w:pPr>
            <w:r>
              <w:t>学生、教师及家长对学校教学环境满意度情况</w:t>
            </w:r>
          </w:p>
        </w:tc>
        <w:tc>
          <w:tcPr>
            <w:tcW w:w="2268" w:type="dxa"/>
            <w:vAlign w:val="center"/>
          </w:tcPr>
          <w:p w14:paraId="23ADF1FF">
            <w:pPr>
              <w:pStyle w:val="13"/>
            </w:pPr>
            <w:r>
              <w:t>≥95%</w:t>
            </w:r>
          </w:p>
        </w:tc>
        <w:tc>
          <w:tcPr>
            <w:tcW w:w="1276" w:type="dxa"/>
            <w:vAlign w:val="center"/>
          </w:tcPr>
          <w:p w14:paraId="10B6F28F">
            <w:pPr>
              <w:pStyle w:val="13"/>
            </w:pPr>
            <w:r>
              <w:t>项目规划</w:t>
            </w:r>
          </w:p>
        </w:tc>
      </w:tr>
    </w:tbl>
    <w:p w14:paraId="7CADA53C">
      <w:pPr>
        <w:sectPr>
          <w:pgSz w:w="16840" w:h="11900" w:orient="landscape"/>
          <w:pgMar w:top="1361" w:right="1020" w:bottom="1134" w:left="1020" w:header="720" w:footer="720" w:gutter="0"/>
          <w:cols w:space="720" w:num="1"/>
        </w:sectPr>
      </w:pPr>
    </w:p>
    <w:p w14:paraId="26DAF8E2">
      <w:pPr>
        <w:spacing w:before="0" w:after="0"/>
        <w:ind w:firstLine="560"/>
        <w:jc w:val="left"/>
        <w:outlineLvl w:val="9"/>
      </w:pPr>
      <w:r>
        <w:rPr>
          <w:rFonts w:ascii="方正仿宋_GBK" w:hAnsi="方正仿宋_GBK" w:eastAsia="方正仿宋_GBK" w:cs="方正仿宋_GBK"/>
          <w:b/>
          <w:color w:val="000000"/>
          <w:sz w:val="28"/>
        </w:rPr>
        <w:t>24、县级配套/固城校区学前教育幼儿资助绩效目标表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B7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F8C00">
            <w:pPr>
              <w:pStyle w:val="14"/>
            </w:pPr>
            <w:r>
              <w:t>单位：万元</w:t>
            </w:r>
          </w:p>
        </w:tc>
      </w:tr>
      <w:tr w14:paraId="67B76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ADA429">
            <w:pPr>
              <w:pStyle w:val="11"/>
            </w:pPr>
            <w:r>
              <w:t>项目编码</w:t>
            </w:r>
          </w:p>
        </w:tc>
        <w:tc>
          <w:tcPr>
            <w:tcW w:w="5103" w:type="dxa"/>
            <w:gridSpan w:val="2"/>
            <w:vAlign w:val="center"/>
          </w:tcPr>
          <w:p w14:paraId="6B5FCD42">
            <w:pPr>
              <w:pStyle w:val="13"/>
            </w:pPr>
            <w:r>
              <w:t>13052525P00000210022K</w:t>
            </w:r>
          </w:p>
        </w:tc>
        <w:tc>
          <w:tcPr>
            <w:tcW w:w="2835" w:type="dxa"/>
            <w:vAlign w:val="center"/>
          </w:tcPr>
          <w:p w14:paraId="200E2820">
            <w:pPr>
              <w:pStyle w:val="11"/>
            </w:pPr>
            <w:r>
              <w:t>项目名称</w:t>
            </w:r>
          </w:p>
        </w:tc>
        <w:tc>
          <w:tcPr>
            <w:tcW w:w="6095" w:type="dxa"/>
            <w:gridSpan w:val="3"/>
            <w:vAlign w:val="center"/>
          </w:tcPr>
          <w:p w14:paraId="459FF431">
            <w:pPr>
              <w:pStyle w:val="13"/>
            </w:pPr>
            <w:r>
              <w:t>县级配套/固城校区学前教育幼儿资助</w:t>
            </w:r>
          </w:p>
        </w:tc>
      </w:tr>
      <w:tr w14:paraId="55C88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840D4">
            <w:pPr>
              <w:pStyle w:val="11"/>
            </w:pPr>
            <w:r>
              <w:t>预算规模及资金用途</w:t>
            </w:r>
          </w:p>
        </w:tc>
        <w:tc>
          <w:tcPr>
            <w:tcW w:w="2268" w:type="dxa"/>
            <w:vAlign w:val="center"/>
          </w:tcPr>
          <w:p w14:paraId="32361DEE">
            <w:pPr>
              <w:pStyle w:val="11"/>
            </w:pPr>
            <w:r>
              <w:t>预算数</w:t>
            </w:r>
          </w:p>
        </w:tc>
        <w:tc>
          <w:tcPr>
            <w:tcW w:w="2835" w:type="dxa"/>
            <w:vAlign w:val="center"/>
          </w:tcPr>
          <w:p w14:paraId="5845F386">
            <w:pPr>
              <w:pStyle w:val="13"/>
            </w:pPr>
            <w:r>
              <w:t>0.68</w:t>
            </w:r>
          </w:p>
        </w:tc>
        <w:tc>
          <w:tcPr>
            <w:tcW w:w="2835" w:type="dxa"/>
            <w:vAlign w:val="center"/>
          </w:tcPr>
          <w:p w14:paraId="573F9EB6">
            <w:pPr>
              <w:pStyle w:val="11"/>
            </w:pPr>
            <w:r>
              <w:t>其中：财政    资金</w:t>
            </w:r>
          </w:p>
        </w:tc>
        <w:tc>
          <w:tcPr>
            <w:tcW w:w="2551" w:type="dxa"/>
            <w:vAlign w:val="center"/>
          </w:tcPr>
          <w:p w14:paraId="7D3CDF02">
            <w:pPr>
              <w:pStyle w:val="13"/>
            </w:pPr>
            <w:r>
              <w:t>0.68</w:t>
            </w:r>
          </w:p>
        </w:tc>
        <w:tc>
          <w:tcPr>
            <w:tcW w:w="2268" w:type="dxa"/>
            <w:vAlign w:val="center"/>
          </w:tcPr>
          <w:p w14:paraId="7CDD3A52">
            <w:pPr>
              <w:pStyle w:val="11"/>
            </w:pPr>
            <w:r>
              <w:t>其他资金</w:t>
            </w:r>
          </w:p>
        </w:tc>
        <w:tc>
          <w:tcPr>
            <w:tcW w:w="1276" w:type="dxa"/>
            <w:vAlign w:val="center"/>
          </w:tcPr>
          <w:p w14:paraId="1CC52448">
            <w:pPr>
              <w:pStyle w:val="13"/>
            </w:pPr>
            <w:r>
              <w:t xml:space="preserve"> </w:t>
            </w:r>
          </w:p>
        </w:tc>
      </w:tr>
      <w:tr w14:paraId="43359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1C462"/>
        </w:tc>
        <w:tc>
          <w:tcPr>
            <w:tcW w:w="14033" w:type="dxa"/>
            <w:gridSpan w:val="6"/>
            <w:vAlign w:val="center"/>
          </w:tcPr>
          <w:p w14:paraId="64E0CAB0">
            <w:pPr>
              <w:pStyle w:val="13"/>
            </w:pPr>
            <w:r>
              <w:t>用于保障落实建档立卡及家庭经济困难儿童资助所需资金，确保建档立卡等家庭经济困难幼儿优先获得资助</w:t>
            </w:r>
          </w:p>
        </w:tc>
      </w:tr>
      <w:tr w14:paraId="3015B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C1D2E">
            <w:pPr>
              <w:pStyle w:val="11"/>
            </w:pPr>
            <w:r>
              <w:t>资金支出计划（%）</w:t>
            </w:r>
          </w:p>
        </w:tc>
        <w:tc>
          <w:tcPr>
            <w:tcW w:w="5103" w:type="dxa"/>
            <w:gridSpan w:val="2"/>
            <w:vAlign w:val="center"/>
          </w:tcPr>
          <w:p w14:paraId="7BD1EA42">
            <w:pPr>
              <w:pStyle w:val="11"/>
            </w:pPr>
            <w:r>
              <w:t>3月底</w:t>
            </w:r>
          </w:p>
        </w:tc>
        <w:tc>
          <w:tcPr>
            <w:tcW w:w="2835" w:type="dxa"/>
            <w:vAlign w:val="center"/>
          </w:tcPr>
          <w:p w14:paraId="287EA922">
            <w:pPr>
              <w:pStyle w:val="11"/>
            </w:pPr>
            <w:r>
              <w:t>6月底</w:t>
            </w:r>
          </w:p>
        </w:tc>
        <w:tc>
          <w:tcPr>
            <w:tcW w:w="2551" w:type="dxa"/>
            <w:vAlign w:val="center"/>
          </w:tcPr>
          <w:p w14:paraId="26F034B8">
            <w:pPr>
              <w:pStyle w:val="11"/>
            </w:pPr>
            <w:r>
              <w:t>10月底</w:t>
            </w:r>
          </w:p>
        </w:tc>
        <w:tc>
          <w:tcPr>
            <w:tcW w:w="3544" w:type="dxa"/>
            <w:gridSpan w:val="2"/>
            <w:vAlign w:val="center"/>
          </w:tcPr>
          <w:p w14:paraId="2DAFB9A4">
            <w:pPr>
              <w:pStyle w:val="11"/>
            </w:pPr>
            <w:r>
              <w:t>12月底</w:t>
            </w:r>
          </w:p>
        </w:tc>
      </w:tr>
      <w:tr w14:paraId="68937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18EEF2"/>
        </w:tc>
        <w:tc>
          <w:tcPr>
            <w:tcW w:w="5103" w:type="dxa"/>
            <w:gridSpan w:val="2"/>
            <w:vAlign w:val="center"/>
          </w:tcPr>
          <w:p w14:paraId="72995CEA">
            <w:pPr>
              <w:pStyle w:val="12"/>
            </w:pPr>
            <w:r>
              <w:t xml:space="preserve"> </w:t>
            </w:r>
          </w:p>
        </w:tc>
        <w:tc>
          <w:tcPr>
            <w:tcW w:w="2835" w:type="dxa"/>
            <w:vAlign w:val="center"/>
          </w:tcPr>
          <w:p w14:paraId="675A6699">
            <w:pPr>
              <w:pStyle w:val="12"/>
            </w:pPr>
            <w:r>
              <w:t>50%</w:t>
            </w:r>
          </w:p>
        </w:tc>
        <w:tc>
          <w:tcPr>
            <w:tcW w:w="2551" w:type="dxa"/>
            <w:vAlign w:val="center"/>
          </w:tcPr>
          <w:p w14:paraId="31656DCB">
            <w:pPr>
              <w:pStyle w:val="12"/>
            </w:pPr>
            <w:r>
              <w:t>100%</w:t>
            </w:r>
          </w:p>
        </w:tc>
        <w:tc>
          <w:tcPr>
            <w:tcW w:w="3544" w:type="dxa"/>
            <w:gridSpan w:val="2"/>
            <w:vAlign w:val="center"/>
          </w:tcPr>
          <w:p w14:paraId="7D4FC323">
            <w:pPr>
              <w:pStyle w:val="12"/>
            </w:pPr>
            <w:r>
              <w:t>100%</w:t>
            </w:r>
          </w:p>
        </w:tc>
      </w:tr>
      <w:tr w14:paraId="7D644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F0213B">
            <w:pPr>
              <w:pStyle w:val="11"/>
            </w:pPr>
            <w:r>
              <w:t>绩效目标</w:t>
            </w:r>
          </w:p>
        </w:tc>
        <w:tc>
          <w:tcPr>
            <w:tcW w:w="14033" w:type="dxa"/>
            <w:gridSpan w:val="6"/>
            <w:vAlign w:val="center"/>
          </w:tcPr>
          <w:p w14:paraId="0DDB973A">
            <w:pPr>
              <w:pStyle w:val="13"/>
            </w:pPr>
            <w:r>
              <w:t>1.保障落实建档立卡及家庭经济困难儿童资助所需资金，确保建档立卡等家庭经济困难幼儿优先获得资助</w:t>
            </w:r>
          </w:p>
          <w:p w14:paraId="06AD43BA">
            <w:pPr>
              <w:pStyle w:val="13"/>
            </w:pPr>
            <w:r>
              <w:t>2.保证本年度资助经费足额落实到位，符合享受资助条件的学生应助尽助。</w:t>
            </w:r>
          </w:p>
        </w:tc>
      </w:tr>
    </w:tbl>
    <w:p w14:paraId="049FD1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76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72B5F">
            <w:pPr>
              <w:pStyle w:val="11"/>
            </w:pPr>
            <w:r>
              <w:t>一级指标</w:t>
            </w:r>
          </w:p>
        </w:tc>
        <w:tc>
          <w:tcPr>
            <w:tcW w:w="2268" w:type="dxa"/>
            <w:vAlign w:val="center"/>
          </w:tcPr>
          <w:p w14:paraId="588EA994">
            <w:pPr>
              <w:pStyle w:val="11"/>
            </w:pPr>
            <w:r>
              <w:t>二级指标</w:t>
            </w:r>
          </w:p>
        </w:tc>
        <w:tc>
          <w:tcPr>
            <w:tcW w:w="2835" w:type="dxa"/>
            <w:vAlign w:val="center"/>
          </w:tcPr>
          <w:p w14:paraId="4EC61920">
            <w:pPr>
              <w:pStyle w:val="11"/>
            </w:pPr>
            <w:r>
              <w:t>三级指标</w:t>
            </w:r>
          </w:p>
        </w:tc>
        <w:tc>
          <w:tcPr>
            <w:tcW w:w="5386" w:type="dxa"/>
            <w:vAlign w:val="center"/>
          </w:tcPr>
          <w:p w14:paraId="39CAE389">
            <w:pPr>
              <w:pStyle w:val="11"/>
            </w:pPr>
            <w:r>
              <w:t>绩效指标描述</w:t>
            </w:r>
          </w:p>
        </w:tc>
        <w:tc>
          <w:tcPr>
            <w:tcW w:w="2268" w:type="dxa"/>
            <w:vAlign w:val="center"/>
          </w:tcPr>
          <w:p w14:paraId="54808AED">
            <w:pPr>
              <w:pStyle w:val="11"/>
            </w:pPr>
            <w:r>
              <w:t>指标值</w:t>
            </w:r>
          </w:p>
        </w:tc>
        <w:tc>
          <w:tcPr>
            <w:tcW w:w="1276" w:type="dxa"/>
            <w:vAlign w:val="center"/>
          </w:tcPr>
          <w:p w14:paraId="0B4282D6">
            <w:pPr>
              <w:pStyle w:val="11"/>
            </w:pPr>
            <w:r>
              <w:t>指标值确定依据</w:t>
            </w:r>
          </w:p>
        </w:tc>
      </w:tr>
      <w:tr w14:paraId="7780D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0EB01">
            <w:pPr>
              <w:pStyle w:val="12"/>
            </w:pPr>
            <w:r>
              <w:t>产出指标</w:t>
            </w:r>
          </w:p>
        </w:tc>
        <w:tc>
          <w:tcPr>
            <w:tcW w:w="2268" w:type="dxa"/>
            <w:vAlign w:val="center"/>
          </w:tcPr>
          <w:p w14:paraId="0F02E458">
            <w:pPr>
              <w:pStyle w:val="13"/>
            </w:pPr>
            <w:r>
              <w:t>数量指标</w:t>
            </w:r>
          </w:p>
        </w:tc>
        <w:tc>
          <w:tcPr>
            <w:tcW w:w="2835" w:type="dxa"/>
            <w:vAlign w:val="center"/>
          </w:tcPr>
          <w:p w14:paraId="4C47FDB2">
            <w:pPr>
              <w:pStyle w:val="13"/>
            </w:pPr>
            <w:r>
              <w:t>幼儿资助比例</w:t>
            </w:r>
          </w:p>
        </w:tc>
        <w:tc>
          <w:tcPr>
            <w:tcW w:w="5386" w:type="dxa"/>
            <w:vAlign w:val="center"/>
          </w:tcPr>
          <w:p w14:paraId="2D61783D">
            <w:pPr>
              <w:pStyle w:val="13"/>
            </w:pPr>
            <w:r>
              <w:t>按学前适龄在园儿童10%测算</w:t>
            </w:r>
          </w:p>
        </w:tc>
        <w:tc>
          <w:tcPr>
            <w:tcW w:w="2268" w:type="dxa"/>
            <w:vAlign w:val="center"/>
          </w:tcPr>
          <w:p w14:paraId="54AC1AE0">
            <w:pPr>
              <w:pStyle w:val="13"/>
            </w:pPr>
            <w:r>
              <w:t>≥10%</w:t>
            </w:r>
          </w:p>
        </w:tc>
        <w:tc>
          <w:tcPr>
            <w:tcW w:w="1276" w:type="dxa"/>
            <w:vAlign w:val="center"/>
          </w:tcPr>
          <w:p w14:paraId="0BD66853">
            <w:pPr>
              <w:pStyle w:val="13"/>
            </w:pPr>
            <w:r>
              <w:t>幼儿资助经费管理办法</w:t>
            </w:r>
          </w:p>
        </w:tc>
      </w:tr>
      <w:tr w14:paraId="1D285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2D9FB"/>
        </w:tc>
        <w:tc>
          <w:tcPr>
            <w:tcW w:w="2268" w:type="dxa"/>
            <w:vAlign w:val="center"/>
          </w:tcPr>
          <w:p w14:paraId="57614389">
            <w:pPr>
              <w:pStyle w:val="13"/>
            </w:pPr>
            <w:r>
              <w:t>质量指标</w:t>
            </w:r>
          </w:p>
        </w:tc>
        <w:tc>
          <w:tcPr>
            <w:tcW w:w="2835" w:type="dxa"/>
            <w:vAlign w:val="center"/>
          </w:tcPr>
          <w:p w14:paraId="4F2BC45A">
            <w:pPr>
              <w:pStyle w:val="13"/>
            </w:pPr>
            <w:r>
              <w:t>幼儿园资助标准</w:t>
            </w:r>
          </w:p>
        </w:tc>
        <w:tc>
          <w:tcPr>
            <w:tcW w:w="5386" w:type="dxa"/>
            <w:vAlign w:val="center"/>
          </w:tcPr>
          <w:p w14:paraId="5F9C5937">
            <w:pPr>
              <w:pStyle w:val="13"/>
            </w:pPr>
            <w:r>
              <w:t>按照幼儿园资助标准1000元/生/年</w:t>
            </w:r>
          </w:p>
        </w:tc>
        <w:tc>
          <w:tcPr>
            <w:tcW w:w="2268" w:type="dxa"/>
            <w:vAlign w:val="center"/>
          </w:tcPr>
          <w:p w14:paraId="2CD78D8C">
            <w:pPr>
              <w:pStyle w:val="13"/>
            </w:pPr>
            <w:r>
              <w:t>1000元/生/年</w:t>
            </w:r>
          </w:p>
        </w:tc>
        <w:tc>
          <w:tcPr>
            <w:tcW w:w="1276" w:type="dxa"/>
            <w:vAlign w:val="center"/>
          </w:tcPr>
          <w:p w14:paraId="63567AAA">
            <w:pPr>
              <w:pStyle w:val="13"/>
            </w:pPr>
            <w:r>
              <w:t>幼儿资助经费管理办法</w:t>
            </w:r>
          </w:p>
        </w:tc>
      </w:tr>
      <w:tr w14:paraId="17833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E4E65"/>
        </w:tc>
        <w:tc>
          <w:tcPr>
            <w:tcW w:w="2268" w:type="dxa"/>
            <w:vAlign w:val="center"/>
          </w:tcPr>
          <w:p w14:paraId="255DEC50">
            <w:pPr>
              <w:pStyle w:val="13"/>
            </w:pPr>
            <w:r>
              <w:t>时效指标</w:t>
            </w:r>
          </w:p>
        </w:tc>
        <w:tc>
          <w:tcPr>
            <w:tcW w:w="2835" w:type="dxa"/>
            <w:vAlign w:val="center"/>
          </w:tcPr>
          <w:p w14:paraId="08BF88DC">
            <w:pPr>
              <w:pStyle w:val="13"/>
            </w:pPr>
            <w:r>
              <w:t>学前教育资助制度落实情况</w:t>
            </w:r>
          </w:p>
        </w:tc>
        <w:tc>
          <w:tcPr>
            <w:tcW w:w="5386" w:type="dxa"/>
            <w:vAlign w:val="center"/>
          </w:tcPr>
          <w:p w14:paraId="08FFE947">
            <w:pPr>
              <w:pStyle w:val="13"/>
            </w:pPr>
            <w:r>
              <w:t>符合享受资助条件的学生应助尽助</w:t>
            </w:r>
          </w:p>
        </w:tc>
        <w:tc>
          <w:tcPr>
            <w:tcW w:w="2268" w:type="dxa"/>
            <w:vAlign w:val="center"/>
          </w:tcPr>
          <w:p w14:paraId="393A8067">
            <w:pPr>
              <w:pStyle w:val="13"/>
            </w:pPr>
            <w:r>
              <w:t>≥100%</w:t>
            </w:r>
          </w:p>
        </w:tc>
        <w:tc>
          <w:tcPr>
            <w:tcW w:w="1276" w:type="dxa"/>
            <w:vAlign w:val="center"/>
          </w:tcPr>
          <w:p w14:paraId="3F6C1E0B">
            <w:pPr>
              <w:pStyle w:val="13"/>
            </w:pPr>
            <w:r>
              <w:t>幼儿资助经费管理办法</w:t>
            </w:r>
          </w:p>
        </w:tc>
      </w:tr>
      <w:tr w14:paraId="29EB8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421CFE45"/>
        </w:tc>
        <w:tc>
          <w:tcPr>
            <w:tcW w:w="2268" w:type="dxa"/>
            <w:vAlign w:val="center"/>
          </w:tcPr>
          <w:p w14:paraId="2D132F08">
            <w:pPr>
              <w:pStyle w:val="13"/>
            </w:pPr>
            <w:r>
              <w:t>成本指标</w:t>
            </w:r>
          </w:p>
        </w:tc>
        <w:tc>
          <w:tcPr>
            <w:tcW w:w="2835" w:type="dxa"/>
            <w:vAlign w:val="center"/>
          </w:tcPr>
          <w:p w14:paraId="503B8AE9">
            <w:pPr>
              <w:pStyle w:val="13"/>
            </w:pPr>
            <w:r>
              <w:t>资金拨付率</w:t>
            </w:r>
          </w:p>
        </w:tc>
        <w:tc>
          <w:tcPr>
            <w:tcW w:w="5386" w:type="dxa"/>
            <w:vAlign w:val="center"/>
          </w:tcPr>
          <w:p w14:paraId="6CC63177">
            <w:pPr>
              <w:pStyle w:val="13"/>
            </w:pPr>
            <w:r>
              <w:t>所有项目资金支付进度</w:t>
            </w:r>
          </w:p>
        </w:tc>
        <w:tc>
          <w:tcPr>
            <w:tcW w:w="2268" w:type="dxa"/>
            <w:vAlign w:val="center"/>
          </w:tcPr>
          <w:p w14:paraId="6F7ADD45">
            <w:pPr>
              <w:pStyle w:val="13"/>
            </w:pPr>
            <w:r>
              <w:t>≥100%</w:t>
            </w:r>
          </w:p>
        </w:tc>
        <w:tc>
          <w:tcPr>
            <w:tcW w:w="1276" w:type="dxa"/>
            <w:vAlign w:val="center"/>
          </w:tcPr>
          <w:p w14:paraId="3AF0B8B2">
            <w:pPr>
              <w:pStyle w:val="13"/>
            </w:pPr>
            <w:r>
              <w:t>幼儿资助经费管理办法</w:t>
            </w:r>
          </w:p>
        </w:tc>
      </w:tr>
      <w:tr w14:paraId="5E45E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1AF842">
            <w:pPr>
              <w:pStyle w:val="12"/>
            </w:pPr>
            <w:r>
              <w:t>效益指标</w:t>
            </w:r>
          </w:p>
        </w:tc>
        <w:tc>
          <w:tcPr>
            <w:tcW w:w="2268" w:type="dxa"/>
            <w:vAlign w:val="center"/>
          </w:tcPr>
          <w:p w14:paraId="4909F728">
            <w:pPr>
              <w:pStyle w:val="13"/>
            </w:pPr>
            <w:r>
              <w:t>社会效益指标</w:t>
            </w:r>
          </w:p>
        </w:tc>
        <w:tc>
          <w:tcPr>
            <w:tcW w:w="2835" w:type="dxa"/>
            <w:vAlign w:val="center"/>
          </w:tcPr>
          <w:p w14:paraId="373CF5CA">
            <w:pPr>
              <w:pStyle w:val="13"/>
            </w:pPr>
            <w:r>
              <w:t>幼儿园运转</w:t>
            </w:r>
          </w:p>
        </w:tc>
        <w:tc>
          <w:tcPr>
            <w:tcW w:w="5386" w:type="dxa"/>
            <w:vAlign w:val="center"/>
          </w:tcPr>
          <w:p w14:paraId="4FDB88BA">
            <w:pPr>
              <w:pStyle w:val="13"/>
            </w:pPr>
            <w:r>
              <w:t>幼儿受教育年限</w:t>
            </w:r>
          </w:p>
        </w:tc>
        <w:tc>
          <w:tcPr>
            <w:tcW w:w="2268" w:type="dxa"/>
            <w:vAlign w:val="center"/>
          </w:tcPr>
          <w:p w14:paraId="6DD82392">
            <w:pPr>
              <w:pStyle w:val="13"/>
            </w:pPr>
            <w:r>
              <w:t>3年</w:t>
            </w:r>
          </w:p>
        </w:tc>
        <w:tc>
          <w:tcPr>
            <w:tcW w:w="1276" w:type="dxa"/>
            <w:vAlign w:val="center"/>
          </w:tcPr>
          <w:p w14:paraId="642E52AF">
            <w:pPr>
              <w:pStyle w:val="13"/>
            </w:pPr>
            <w:r>
              <w:t>幼儿资助经费管理办法</w:t>
            </w:r>
          </w:p>
        </w:tc>
      </w:tr>
      <w:tr w14:paraId="233F1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8321DA">
            <w:pPr>
              <w:pStyle w:val="12"/>
            </w:pPr>
            <w:r>
              <w:t>满意度指标</w:t>
            </w:r>
          </w:p>
        </w:tc>
        <w:tc>
          <w:tcPr>
            <w:tcW w:w="2268" w:type="dxa"/>
            <w:vAlign w:val="center"/>
          </w:tcPr>
          <w:p w14:paraId="11F03E9D">
            <w:pPr>
              <w:pStyle w:val="13"/>
            </w:pPr>
            <w:r>
              <w:t>服务对象满意度指标</w:t>
            </w:r>
          </w:p>
        </w:tc>
        <w:tc>
          <w:tcPr>
            <w:tcW w:w="2835" w:type="dxa"/>
            <w:vAlign w:val="center"/>
          </w:tcPr>
          <w:p w14:paraId="13B74565">
            <w:pPr>
              <w:pStyle w:val="13"/>
            </w:pPr>
            <w:r>
              <w:t>受益幼儿家长及调查满意度</w:t>
            </w:r>
          </w:p>
        </w:tc>
        <w:tc>
          <w:tcPr>
            <w:tcW w:w="5386" w:type="dxa"/>
            <w:vAlign w:val="center"/>
          </w:tcPr>
          <w:p w14:paraId="42E18FF0">
            <w:pPr>
              <w:pStyle w:val="13"/>
            </w:pPr>
            <w:r>
              <w:t>学生、教师及家长对学校保教保育工作满意度情况</w:t>
            </w:r>
          </w:p>
        </w:tc>
        <w:tc>
          <w:tcPr>
            <w:tcW w:w="2268" w:type="dxa"/>
            <w:vAlign w:val="center"/>
          </w:tcPr>
          <w:p w14:paraId="55BF5647">
            <w:pPr>
              <w:pStyle w:val="13"/>
            </w:pPr>
            <w:r>
              <w:t>≥95%</w:t>
            </w:r>
          </w:p>
        </w:tc>
        <w:tc>
          <w:tcPr>
            <w:tcW w:w="1276" w:type="dxa"/>
            <w:vAlign w:val="center"/>
          </w:tcPr>
          <w:p w14:paraId="785EF769">
            <w:pPr>
              <w:pStyle w:val="13"/>
            </w:pPr>
            <w:r>
              <w:t>幼儿资助经费管理办法</w:t>
            </w:r>
          </w:p>
        </w:tc>
      </w:tr>
    </w:tbl>
    <w:p w14:paraId="3550A41E">
      <w:pPr>
        <w:sectPr>
          <w:pgSz w:w="16840" w:h="11900" w:orient="landscape"/>
          <w:pgMar w:top="1361" w:right="1020" w:bottom="1134" w:left="1020" w:header="720" w:footer="720" w:gutter="0"/>
          <w:cols w:space="720" w:num="1"/>
        </w:sectPr>
      </w:pPr>
    </w:p>
    <w:p w14:paraId="0DA26F09">
      <w:pPr>
        <w:spacing w:before="0" w:after="0"/>
        <w:ind w:firstLine="560"/>
        <w:jc w:val="left"/>
        <w:outlineLvl w:val="9"/>
      </w:pPr>
      <w:r>
        <w:rPr>
          <w:rFonts w:ascii="方正仿宋_GBK" w:hAnsi="方正仿宋_GBK" w:eastAsia="方正仿宋_GBK" w:cs="方正仿宋_GBK"/>
          <w:b/>
          <w:color w:val="000000"/>
          <w:sz w:val="28"/>
        </w:rPr>
        <w:t>25、县级资金/固城校区幼儿园公用经费绩效目标表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A5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4FDCA">
            <w:pPr>
              <w:pStyle w:val="14"/>
            </w:pPr>
            <w:r>
              <w:t>单位：万元</w:t>
            </w:r>
          </w:p>
        </w:tc>
      </w:tr>
      <w:tr w14:paraId="24FDA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53D67">
            <w:pPr>
              <w:pStyle w:val="11"/>
            </w:pPr>
            <w:r>
              <w:t>项目编码</w:t>
            </w:r>
          </w:p>
        </w:tc>
        <w:tc>
          <w:tcPr>
            <w:tcW w:w="5103" w:type="dxa"/>
            <w:gridSpan w:val="2"/>
            <w:vAlign w:val="center"/>
          </w:tcPr>
          <w:p w14:paraId="4E747BA4">
            <w:pPr>
              <w:pStyle w:val="13"/>
            </w:pPr>
            <w:r>
              <w:t>13052524P00875610081E</w:t>
            </w:r>
          </w:p>
        </w:tc>
        <w:tc>
          <w:tcPr>
            <w:tcW w:w="2835" w:type="dxa"/>
            <w:vAlign w:val="center"/>
          </w:tcPr>
          <w:p w14:paraId="221F3559">
            <w:pPr>
              <w:pStyle w:val="11"/>
            </w:pPr>
            <w:r>
              <w:t>项目名称</w:t>
            </w:r>
          </w:p>
        </w:tc>
        <w:tc>
          <w:tcPr>
            <w:tcW w:w="6095" w:type="dxa"/>
            <w:gridSpan w:val="3"/>
            <w:vAlign w:val="center"/>
          </w:tcPr>
          <w:p w14:paraId="1448BB44">
            <w:pPr>
              <w:pStyle w:val="13"/>
            </w:pPr>
            <w:r>
              <w:t>县级资金/固城校区幼儿园公用经费</w:t>
            </w:r>
          </w:p>
        </w:tc>
      </w:tr>
      <w:tr w14:paraId="43814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F3B99">
            <w:pPr>
              <w:pStyle w:val="11"/>
            </w:pPr>
            <w:r>
              <w:t>预算规模及资金用途</w:t>
            </w:r>
          </w:p>
        </w:tc>
        <w:tc>
          <w:tcPr>
            <w:tcW w:w="2268" w:type="dxa"/>
            <w:vAlign w:val="center"/>
          </w:tcPr>
          <w:p w14:paraId="31E5DF25">
            <w:pPr>
              <w:pStyle w:val="11"/>
            </w:pPr>
            <w:r>
              <w:t>预算数</w:t>
            </w:r>
          </w:p>
        </w:tc>
        <w:tc>
          <w:tcPr>
            <w:tcW w:w="2835" w:type="dxa"/>
            <w:vAlign w:val="center"/>
          </w:tcPr>
          <w:p w14:paraId="4275FE93">
            <w:pPr>
              <w:pStyle w:val="13"/>
            </w:pPr>
            <w:r>
              <w:t>19.17</w:t>
            </w:r>
          </w:p>
        </w:tc>
        <w:tc>
          <w:tcPr>
            <w:tcW w:w="2835" w:type="dxa"/>
            <w:vAlign w:val="center"/>
          </w:tcPr>
          <w:p w14:paraId="160360DB">
            <w:pPr>
              <w:pStyle w:val="11"/>
            </w:pPr>
            <w:r>
              <w:t>其中：财政    资金</w:t>
            </w:r>
          </w:p>
        </w:tc>
        <w:tc>
          <w:tcPr>
            <w:tcW w:w="2551" w:type="dxa"/>
            <w:vAlign w:val="center"/>
          </w:tcPr>
          <w:p w14:paraId="59F4D8B2">
            <w:pPr>
              <w:pStyle w:val="13"/>
            </w:pPr>
            <w:r>
              <w:t>19.17</w:t>
            </w:r>
          </w:p>
        </w:tc>
        <w:tc>
          <w:tcPr>
            <w:tcW w:w="2268" w:type="dxa"/>
            <w:vAlign w:val="center"/>
          </w:tcPr>
          <w:p w14:paraId="7C063252">
            <w:pPr>
              <w:pStyle w:val="11"/>
            </w:pPr>
            <w:r>
              <w:t>其他资金</w:t>
            </w:r>
          </w:p>
        </w:tc>
        <w:tc>
          <w:tcPr>
            <w:tcW w:w="1276" w:type="dxa"/>
            <w:vAlign w:val="center"/>
          </w:tcPr>
          <w:p w14:paraId="6C77FDE1">
            <w:pPr>
              <w:pStyle w:val="13"/>
            </w:pPr>
            <w:r>
              <w:t xml:space="preserve"> </w:t>
            </w:r>
          </w:p>
        </w:tc>
      </w:tr>
      <w:tr w14:paraId="63125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CBB8E2"/>
        </w:tc>
        <w:tc>
          <w:tcPr>
            <w:tcW w:w="14033" w:type="dxa"/>
            <w:gridSpan w:val="6"/>
            <w:vAlign w:val="center"/>
          </w:tcPr>
          <w:p w14:paraId="23E86605">
            <w:pPr>
              <w:pStyle w:val="13"/>
            </w:pPr>
            <w:r>
              <w:t>用于保障幼儿园正常运转，完成教育教学活动和其他日常工作任务等方面的费用支出。</w:t>
            </w:r>
          </w:p>
        </w:tc>
      </w:tr>
      <w:tr w14:paraId="2163F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47691">
            <w:pPr>
              <w:pStyle w:val="11"/>
            </w:pPr>
            <w:r>
              <w:t>资金支出计划（%）</w:t>
            </w:r>
          </w:p>
        </w:tc>
        <w:tc>
          <w:tcPr>
            <w:tcW w:w="5103" w:type="dxa"/>
            <w:gridSpan w:val="2"/>
            <w:vAlign w:val="center"/>
          </w:tcPr>
          <w:p w14:paraId="4B372BAE">
            <w:pPr>
              <w:pStyle w:val="11"/>
            </w:pPr>
            <w:r>
              <w:t>3月底</w:t>
            </w:r>
          </w:p>
        </w:tc>
        <w:tc>
          <w:tcPr>
            <w:tcW w:w="2835" w:type="dxa"/>
            <w:vAlign w:val="center"/>
          </w:tcPr>
          <w:p w14:paraId="3E660F7D">
            <w:pPr>
              <w:pStyle w:val="11"/>
            </w:pPr>
            <w:r>
              <w:t>6月底</w:t>
            </w:r>
          </w:p>
        </w:tc>
        <w:tc>
          <w:tcPr>
            <w:tcW w:w="2551" w:type="dxa"/>
            <w:vAlign w:val="center"/>
          </w:tcPr>
          <w:p w14:paraId="7E3CC209">
            <w:pPr>
              <w:pStyle w:val="11"/>
            </w:pPr>
            <w:r>
              <w:t>10月底</w:t>
            </w:r>
          </w:p>
        </w:tc>
        <w:tc>
          <w:tcPr>
            <w:tcW w:w="3544" w:type="dxa"/>
            <w:gridSpan w:val="2"/>
            <w:vAlign w:val="center"/>
          </w:tcPr>
          <w:p w14:paraId="1B7AEB0C">
            <w:pPr>
              <w:pStyle w:val="11"/>
            </w:pPr>
            <w:r>
              <w:t>12月底</w:t>
            </w:r>
          </w:p>
        </w:tc>
      </w:tr>
      <w:tr w14:paraId="75D5C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7D7A4F"/>
        </w:tc>
        <w:tc>
          <w:tcPr>
            <w:tcW w:w="5103" w:type="dxa"/>
            <w:gridSpan w:val="2"/>
            <w:vAlign w:val="center"/>
          </w:tcPr>
          <w:p w14:paraId="024766F6">
            <w:pPr>
              <w:pStyle w:val="12"/>
            </w:pPr>
            <w:r>
              <w:t>25%</w:t>
            </w:r>
          </w:p>
        </w:tc>
        <w:tc>
          <w:tcPr>
            <w:tcW w:w="2835" w:type="dxa"/>
            <w:vAlign w:val="center"/>
          </w:tcPr>
          <w:p w14:paraId="2D6EBFF9">
            <w:pPr>
              <w:pStyle w:val="12"/>
            </w:pPr>
            <w:r>
              <w:t>50%</w:t>
            </w:r>
          </w:p>
        </w:tc>
        <w:tc>
          <w:tcPr>
            <w:tcW w:w="2551" w:type="dxa"/>
            <w:vAlign w:val="center"/>
          </w:tcPr>
          <w:p w14:paraId="6E4358E1">
            <w:pPr>
              <w:pStyle w:val="12"/>
            </w:pPr>
            <w:r>
              <w:t>75%</w:t>
            </w:r>
          </w:p>
        </w:tc>
        <w:tc>
          <w:tcPr>
            <w:tcW w:w="3544" w:type="dxa"/>
            <w:gridSpan w:val="2"/>
            <w:vAlign w:val="center"/>
          </w:tcPr>
          <w:p w14:paraId="3BCB5F5D">
            <w:pPr>
              <w:pStyle w:val="12"/>
            </w:pPr>
            <w:r>
              <w:t>100%</w:t>
            </w:r>
          </w:p>
        </w:tc>
      </w:tr>
      <w:tr w14:paraId="5742E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70142">
            <w:pPr>
              <w:pStyle w:val="11"/>
            </w:pPr>
            <w:r>
              <w:t>绩效目标</w:t>
            </w:r>
          </w:p>
        </w:tc>
        <w:tc>
          <w:tcPr>
            <w:tcW w:w="14033" w:type="dxa"/>
            <w:gridSpan w:val="6"/>
            <w:vAlign w:val="center"/>
          </w:tcPr>
          <w:p w14:paraId="7F493B3C">
            <w:pPr>
              <w:pStyle w:val="13"/>
            </w:pPr>
            <w:r>
              <w:t>1.保障幼儿园正常运转，完成教育教学活动和其他日常工作任务等方面的费用支出。</w:t>
            </w:r>
          </w:p>
          <w:p w14:paraId="265AFD44">
            <w:pPr>
              <w:pStyle w:val="13"/>
            </w:pPr>
            <w:r>
              <w:t>2.按季度分批次拨付公用经费资金，资金拨付率达到100%。</w:t>
            </w:r>
          </w:p>
        </w:tc>
      </w:tr>
    </w:tbl>
    <w:p w14:paraId="16F25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30B1E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31727">
            <w:pPr>
              <w:pStyle w:val="11"/>
            </w:pPr>
            <w:r>
              <w:t>一级指标</w:t>
            </w:r>
          </w:p>
        </w:tc>
        <w:tc>
          <w:tcPr>
            <w:tcW w:w="2268" w:type="dxa"/>
            <w:vAlign w:val="center"/>
          </w:tcPr>
          <w:p w14:paraId="40A7F1EE">
            <w:pPr>
              <w:pStyle w:val="11"/>
            </w:pPr>
            <w:r>
              <w:t>二级指标</w:t>
            </w:r>
          </w:p>
        </w:tc>
        <w:tc>
          <w:tcPr>
            <w:tcW w:w="2835" w:type="dxa"/>
            <w:vAlign w:val="center"/>
          </w:tcPr>
          <w:p w14:paraId="191BE855">
            <w:pPr>
              <w:pStyle w:val="11"/>
            </w:pPr>
            <w:r>
              <w:t>三级指标</w:t>
            </w:r>
          </w:p>
        </w:tc>
        <w:tc>
          <w:tcPr>
            <w:tcW w:w="5386" w:type="dxa"/>
            <w:vAlign w:val="center"/>
          </w:tcPr>
          <w:p w14:paraId="600636E5">
            <w:pPr>
              <w:pStyle w:val="11"/>
            </w:pPr>
            <w:r>
              <w:t>绩效指标描述</w:t>
            </w:r>
          </w:p>
        </w:tc>
        <w:tc>
          <w:tcPr>
            <w:tcW w:w="1823" w:type="dxa"/>
            <w:vAlign w:val="center"/>
          </w:tcPr>
          <w:p w14:paraId="2AFBE6AC">
            <w:pPr>
              <w:pStyle w:val="11"/>
            </w:pPr>
            <w:r>
              <w:t>指标值</w:t>
            </w:r>
          </w:p>
        </w:tc>
        <w:tc>
          <w:tcPr>
            <w:tcW w:w="1721" w:type="dxa"/>
            <w:vAlign w:val="center"/>
          </w:tcPr>
          <w:p w14:paraId="469CA243">
            <w:pPr>
              <w:pStyle w:val="11"/>
            </w:pPr>
            <w:r>
              <w:t>指标值确定依据</w:t>
            </w:r>
          </w:p>
        </w:tc>
      </w:tr>
      <w:tr w14:paraId="01BE1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E3C58">
            <w:pPr>
              <w:pStyle w:val="12"/>
            </w:pPr>
            <w:r>
              <w:t>产出指标</w:t>
            </w:r>
          </w:p>
        </w:tc>
        <w:tc>
          <w:tcPr>
            <w:tcW w:w="2268" w:type="dxa"/>
            <w:vAlign w:val="center"/>
          </w:tcPr>
          <w:p w14:paraId="71644FFE">
            <w:pPr>
              <w:pStyle w:val="13"/>
            </w:pPr>
            <w:r>
              <w:t>数量指标</w:t>
            </w:r>
          </w:p>
        </w:tc>
        <w:tc>
          <w:tcPr>
            <w:tcW w:w="2835" w:type="dxa"/>
            <w:vAlign w:val="center"/>
          </w:tcPr>
          <w:p w14:paraId="71976302">
            <w:pPr>
              <w:pStyle w:val="13"/>
            </w:pPr>
            <w:r>
              <w:t>就读学生数</w:t>
            </w:r>
          </w:p>
        </w:tc>
        <w:tc>
          <w:tcPr>
            <w:tcW w:w="5386" w:type="dxa"/>
            <w:vAlign w:val="center"/>
          </w:tcPr>
          <w:p w14:paraId="584D3AA4">
            <w:pPr>
              <w:pStyle w:val="13"/>
            </w:pPr>
            <w:r>
              <w:t>辐射区域内适龄学生人数</w:t>
            </w:r>
          </w:p>
        </w:tc>
        <w:tc>
          <w:tcPr>
            <w:tcW w:w="1823" w:type="dxa"/>
            <w:vAlign w:val="center"/>
          </w:tcPr>
          <w:p w14:paraId="5781242B">
            <w:pPr>
              <w:pStyle w:val="13"/>
            </w:pPr>
            <w:r>
              <w:t>≥426人</w:t>
            </w:r>
          </w:p>
        </w:tc>
        <w:tc>
          <w:tcPr>
            <w:tcW w:w="1721" w:type="dxa"/>
            <w:vAlign w:val="center"/>
          </w:tcPr>
          <w:p w14:paraId="08A1A3F5">
            <w:pPr>
              <w:pStyle w:val="13"/>
            </w:pPr>
            <w:r>
              <w:t>城乡义务教育公用经费管理办法</w:t>
            </w:r>
          </w:p>
        </w:tc>
      </w:tr>
      <w:tr w14:paraId="68064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9D5C9"/>
        </w:tc>
        <w:tc>
          <w:tcPr>
            <w:tcW w:w="2268" w:type="dxa"/>
            <w:vAlign w:val="center"/>
          </w:tcPr>
          <w:p w14:paraId="5CFC4088">
            <w:pPr>
              <w:pStyle w:val="13"/>
            </w:pPr>
            <w:r>
              <w:t>质量指标</w:t>
            </w:r>
          </w:p>
        </w:tc>
        <w:tc>
          <w:tcPr>
            <w:tcW w:w="2835" w:type="dxa"/>
            <w:vAlign w:val="center"/>
          </w:tcPr>
          <w:p w14:paraId="7FE7B392">
            <w:pPr>
              <w:pStyle w:val="13"/>
            </w:pPr>
            <w:r>
              <w:t>预算控制率</w:t>
            </w:r>
          </w:p>
        </w:tc>
        <w:tc>
          <w:tcPr>
            <w:tcW w:w="5386" w:type="dxa"/>
            <w:vAlign w:val="center"/>
          </w:tcPr>
          <w:p w14:paraId="19C79A26">
            <w:pPr>
              <w:pStyle w:val="13"/>
            </w:pPr>
            <w:r>
              <w:t>预算执行</w:t>
            </w:r>
          </w:p>
        </w:tc>
        <w:tc>
          <w:tcPr>
            <w:tcW w:w="1823" w:type="dxa"/>
            <w:vAlign w:val="center"/>
          </w:tcPr>
          <w:p w14:paraId="016617C3">
            <w:pPr>
              <w:pStyle w:val="13"/>
            </w:pPr>
            <w:r>
              <w:t>≥95%</w:t>
            </w:r>
          </w:p>
        </w:tc>
        <w:tc>
          <w:tcPr>
            <w:tcW w:w="1721" w:type="dxa"/>
            <w:vAlign w:val="center"/>
          </w:tcPr>
          <w:p w14:paraId="27E698ED">
            <w:pPr>
              <w:pStyle w:val="13"/>
            </w:pPr>
            <w:r>
              <w:t>支持学前教育发展县级资金管理方法</w:t>
            </w:r>
          </w:p>
        </w:tc>
      </w:tr>
      <w:tr w14:paraId="4AC92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42C28"/>
        </w:tc>
        <w:tc>
          <w:tcPr>
            <w:tcW w:w="2268" w:type="dxa"/>
            <w:vAlign w:val="center"/>
          </w:tcPr>
          <w:p w14:paraId="47F6DF66">
            <w:pPr>
              <w:pStyle w:val="13"/>
            </w:pPr>
            <w:r>
              <w:t>时效指标</w:t>
            </w:r>
          </w:p>
        </w:tc>
        <w:tc>
          <w:tcPr>
            <w:tcW w:w="2835" w:type="dxa"/>
            <w:vAlign w:val="center"/>
          </w:tcPr>
          <w:p w14:paraId="07C6A8DB">
            <w:pPr>
              <w:pStyle w:val="13"/>
            </w:pPr>
            <w:r>
              <w:t>义教经费支付完成率</w:t>
            </w:r>
          </w:p>
        </w:tc>
        <w:tc>
          <w:tcPr>
            <w:tcW w:w="5386" w:type="dxa"/>
            <w:vAlign w:val="center"/>
          </w:tcPr>
          <w:p w14:paraId="33ACCC88">
            <w:pPr>
              <w:pStyle w:val="13"/>
            </w:pPr>
            <w:r>
              <w:t>按照序时进度完成资金支付</w:t>
            </w:r>
          </w:p>
        </w:tc>
        <w:tc>
          <w:tcPr>
            <w:tcW w:w="1823" w:type="dxa"/>
            <w:vAlign w:val="center"/>
          </w:tcPr>
          <w:p w14:paraId="3B494FB2">
            <w:pPr>
              <w:pStyle w:val="13"/>
            </w:pPr>
            <w:r>
              <w:t>100%</w:t>
            </w:r>
          </w:p>
        </w:tc>
        <w:tc>
          <w:tcPr>
            <w:tcW w:w="1721" w:type="dxa"/>
            <w:vAlign w:val="center"/>
          </w:tcPr>
          <w:p w14:paraId="066C5706">
            <w:pPr>
              <w:pStyle w:val="13"/>
            </w:pPr>
            <w:r>
              <w:t>城乡义务教育公用经费管理办法</w:t>
            </w:r>
          </w:p>
        </w:tc>
      </w:tr>
      <w:tr w14:paraId="24782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11F6D"/>
        </w:tc>
        <w:tc>
          <w:tcPr>
            <w:tcW w:w="2268" w:type="dxa"/>
            <w:vAlign w:val="center"/>
          </w:tcPr>
          <w:p w14:paraId="27ED1DBC">
            <w:pPr>
              <w:pStyle w:val="13"/>
            </w:pPr>
            <w:r>
              <w:t>成本指标</w:t>
            </w:r>
          </w:p>
        </w:tc>
        <w:tc>
          <w:tcPr>
            <w:tcW w:w="2835" w:type="dxa"/>
            <w:vAlign w:val="center"/>
          </w:tcPr>
          <w:p w14:paraId="39E7E622">
            <w:pPr>
              <w:pStyle w:val="13"/>
            </w:pPr>
            <w:r>
              <w:t>生均拨款标准</w:t>
            </w:r>
          </w:p>
        </w:tc>
        <w:tc>
          <w:tcPr>
            <w:tcW w:w="5386" w:type="dxa"/>
            <w:vAlign w:val="center"/>
          </w:tcPr>
          <w:p w14:paraId="79C8231B">
            <w:pPr>
              <w:pStyle w:val="13"/>
            </w:pPr>
            <w:r>
              <w:t>学前：（基本标准600元/生/学年）</w:t>
            </w:r>
          </w:p>
        </w:tc>
        <w:tc>
          <w:tcPr>
            <w:tcW w:w="1823" w:type="dxa"/>
            <w:vAlign w:val="center"/>
          </w:tcPr>
          <w:p w14:paraId="0F4F3E7C">
            <w:pPr>
              <w:pStyle w:val="13"/>
            </w:pPr>
            <w:r>
              <w:t>600元</w:t>
            </w:r>
          </w:p>
        </w:tc>
        <w:tc>
          <w:tcPr>
            <w:tcW w:w="1721" w:type="dxa"/>
            <w:vAlign w:val="center"/>
          </w:tcPr>
          <w:p w14:paraId="39F9A162">
            <w:pPr>
              <w:pStyle w:val="13"/>
            </w:pPr>
            <w:r>
              <w:t>城乡义务教育公用经费管理办法</w:t>
            </w:r>
          </w:p>
        </w:tc>
      </w:tr>
      <w:tr w14:paraId="21FB1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86047">
            <w:pPr>
              <w:pStyle w:val="12"/>
            </w:pPr>
            <w:r>
              <w:t>效益指标</w:t>
            </w:r>
          </w:p>
        </w:tc>
        <w:tc>
          <w:tcPr>
            <w:tcW w:w="2268" w:type="dxa"/>
            <w:vAlign w:val="center"/>
          </w:tcPr>
          <w:p w14:paraId="3166BF0D">
            <w:pPr>
              <w:pStyle w:val="13"/>
            </w:pPr>
            <w:r>
              <w:t>社会效益指标</w:t>
            </w:r>
          </w:p>
        </w:tc>
        <w:tc>
          <w:tcPr>
            <w:tcW w:w="2835" w:type="dxa"/>
            <w:vAlign w:val="center"/>
          </w:tcPr>
          <w:p w14:paraId="3EB96D5B">
            <w:pPr>
              <w:pStyle w:val="13"/>
            </w:pPr>
            <w:r>
              <w:t>学校稳定率</w:t>
            </w:r>
          </w:p>
        </w:tc>
        <w:tc>
          <w:tcPr>
            <w:tcW w:w="5386" w:type="dxa"/>
            <w:vAlign w:val="center"/>
          </w:tcPr>
          <w:p w14:paraId="75712C1E">
            <w:pPr>
              <w:pStyle w:val="13"/>
            </w:pPr>
            <w:r>
              <w:t>维护学校稳定，保障学校正常教学秩序有效开展</w:t>
            </w:r>
          </w:p>
        </w:tc>
        <w:tc>
          <w:tcPr>
            <w:tcW w:w="1823" w:type="dxa"/>
            <w:vAlign w:val="center"/>
          </w:tcPr>
          <w:p w14:paraId="6737AF19">
            <w:pPr>
              <w:pStyle w:val="13"/>
            </w:pPr>
            <w:r>
              <w:t>≥100%</w:t>
            </w:r>
          </w:p>
        </w:tc>
        <w:tc>
          <w:tcPr>
            <w:tcW w:w="1721" w:type="dxa"/>
            <w:vAlign w:val="center"/>
          </w:tcPr>
          <w:p w14:paraId="55F80865">
            <w:pPr>
              <w:pStyle w:val="13"/>
            </w:pPr>
            <w:r>
              <w:t>城乡义务教育公用经费管理办法</w:t>
            </w:r>
          </w:p>
        </w:tc>
      </w:tr>
      <w:tr w14:paraId="36815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DF719B">
            <w:pPr>
              <w:pStyle w:val="12"/>
            </w:pPr>
            <w:r>
              <w:t>满意度指标</w:t>
            </w:r>
          </w:p>
        </w:tc>
        <w:tc>
          <w:tcPr>
            <w:tcW w:w="2268" w:type="dxa"/>
            <w:vAlign w:val="center"/>
          </w:tcPr>
          <w:p w14:paraId="1DE6EAD6">
            <w:pPr>
              <w:pStyle w:val="13"/>
            </w:pPr>
            <w:r>
              <w:t>服务对象满意度指标</w:t>
            </w:r>
          </w:p>
        </w:tc>
        <w:tc>
          <w:tcPr>
            <w:tcW w:w="2835" w:type="dxa"/>
            <w:vAlign w:val="center"/>
          </w:tcPr>
          <w:p w14:paraId="1D1787A5">
            <w:pPr>
              <w:pStyle w:val="13"/>
            </w:pPr>
            <w:r>
              <w:t>家长和学生满意度</w:t>
            </w:r>
          </w:p>
        </w:tc>
        <w:tc>
          <w:tcPr>
            <w:tcW w:w="5386" w:type="dxa"/>
            <w:vAlign w:val="center"/>
          </w:tcPr>
          <w:p w14:paraId="24420648">
            <w:pPr>
              <w:pStyle w:val="13"/>
            </w:pPr>
            <w:r>
              <w:t>家长和学生满意度</w:t>
            </w:r>
          </w:p>
        </w:tc>
        <w:tc>
          <w:tcPr>
            <w:tcW w:w="1823" w:type="dxa"/>
            <w:vAlign w:val="center"/>
          </w:tcPr>
          <w:p w14:paraId="28541737">
            <w:pPr>
              <w:pStyle w:val="13"/>
            </w:pPr>
            <w:r>
              <w:t>≥95%</w:t>
            </w:r>
          </w:p>
        </w:tc>
        <w:tc>
          <w:tcPr>
            <w:tcW w:w="1721" w:type="dxa"/>
            <w:vAlign w:val="center"/>
          </w:tcPr>
          <w:p w14:paraId="03D3B53F">
            <w:pPr>
              <w:pStyle w:val="13"/>
            </w:pPr>
            <w:r>
              <w:t>问卷调查</w:t>
            </w:r>
          </w:p>
        </w:tc>
      </w:tr>
    </w:tbl>
    <w:p w14:paraId="33849CF5">
      <w:pPr>
        <w:sectPr>
          <w:pgSz w:w="16840" w:h="11900" w:orient="landscape"/>
          <w:pgMar w:top="1361" w:right="1020" w:bottom="1134" w:left="1020" w:header="720" w:footer="720" w:gutter="0"/>
          <w:cols w:space="720" w:num="1"/>
        </w:sectPr>
      </w:pPr>
    </w:p>
    <w:p w14:paraId="73918555">
      <w:pPr>
        <w:spacing w:before="0" w:after="0"/>
        <w:ind w:firstLine="560"/>
        <w:jc w:val="left"/>
        <w:outlineLvl w:val="9"/>
      </w:pPr>
      <w:r>
        <w:rPr>
          <w:rFonts w:ascii="方正仿宋_GBK" w:hAnsi="方正仿宋_GBK" w:eastAsia="方正仿宋_GBK" w:cs="方正仿宋_GBK"/>
          <w:b/>
          <w:color w:val="000000"/>
          <w:sz w:val="28"/>
        </w:rPr>
        <w:t>26、学前专项经费/固城校区绩效目标表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68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5AB3F">
            <w:pPr>
              <w:pStyle w:val="14"/>
            </w:pPr>
            <w:r>
              <w:t>单位：万元</w:t>
            </w:r>
          </w:p>
        </w:tc>
      </w:tr>
      <w:tr w14:paraId="49C7F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2801B">
            <w:pPr>
              <w:pStyle w:val="11"/>
            </w:pPr>
            <w:r>
              <w:t>项目编码</w:t>
            </w:r>
          </w:p>
        </w:tc>
        <w:tc>
          <w:tcPr>
            <w:tcW w:w="5103" w:type="dxa"/>
            <w:gridSpan w:val="2"/>
            <w:vAlign w:val="center"/>
          </w:tcPr>
          <w:p w14:paraId="6B9EA573">
            <w:pPr>
              <w:pStyle w:val="13"/>
            </w:pPr>
            <w:r>
              <w:t>13052525P00875610041D</w:t>
            </w:r>
          </w:p>
        </w:tc>
        <w:tc>
          <w:tcPr>
            <w:tcW w:w="2835" w:type="dxa"/>
            <w:vAlign w:val="center"/>
          </w:tcPr>
          <w:p w14:paraId="6DE2C038">
            <w:pPr>
              <w:pStyle w:val="11"/>
            </w:pPr>
            <w:r>
              <w:t>项目名称</w:t>
            </w:r>
          </w:p>
        </w:tc>
        <w:tc>
          <w:tcPr>
            <w:tcW w:w="6095" w:type="dxa"/>
            <w:gridSpan w:val="3"/>
            <w:vAlign w:val="center"/>
          </w:tcPr>
          <w:p w14:paraId="38A48CF5">
            <w:pPr>
              <w:pStyle w:val="13"/>
            </w:pPr>
            <w:r>
              <w:t>学前专项经费/固城校区</w:t>
            </w:r>
          </w:p>
        </w:tc>
      </w:tr>
      <w:tr w14:paraId="2DE56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9C9E5">
            <w:pPr>
              <w:pStyle w:val="11"/>
            </w:pPr>
            <w:r>
              <w:t>预算规模及资金用途</w:t>
            </w:r>
          </w:p>
        </w:tc>
        <w:tc>
          <w:tcPr>
            <w:tcW w:w="2268" w:type="dxa"/>
            <w:vAlign w:val="center"/>
          </w:tcPr>
          <w:p w14:paraId="54436867">
            <w:pPr>
              <w:pStyle w:val="11"/>
            </w:pPr>
            <w:r>
              <w:t>预算数</w:t>
            </w:r>
          </w:p>
        </w:tc>
        <w:tc>
          <w:tcPr>
            <w:tcW w:w="2835" w:type="dxa"/>
            <w:vAlign w:val="center"/>
          </w:tcPr>
          <w:p w14:paraId="23007ED3">
            <w:pPr>
              <w:pStyle w:val="13"/>
            </w:pPr>
            <w:r>
              <w:t>65.57</w:t>
            </w:r>
          </w:p>
        </w:tc>
        <w:tc>
          <w:tcPr>
            <w:tcW w:w="2835" w:type="dxa"/>
            <w:vAlign w:val="center"/>
          </w:tcPr>
          <w:p w14:paraId="0131DF06">
            <w:pPr>
              <w:pStyle w:val="11"/>
            </w:pPr>
            <w:r>
              <w:t>其中：财政    资金</w:t>
            </w:r>
          </w:p>
        </w:tc>
        <w:tc>
          <w:tcPr>
            <w:tcW w:w="2551" w:type="dxa"/>
            <w:vAlign w:val="center"/>
          </w:tcPr>
          <w:p w14:paraId="5999F5FF">
            <w:pPr>
              <w:pStyle w:val="13"/>
            </w:pPr>
            <w:r>
              <w:t>65.57</w:t>
            </w:r>
          </w:p>
        </w:tc>
        <w:tc>
          <w:tcPr>
            <w:tcW w:w="2268" w:type="dxa"/>
            <w:vAlign w:val="center"/>
          </w:tcPr>
          <w:p w14:paraId="79161905">
            <w:pPr>
              <w:pStyle w:val="11"/>
            </w:pPr>
            <w:r>
              <w:t>其他资金</w:t>
            </w:r>
          </w:p>
        </w:tc>
        <w:tc>
          <w:tcPr>
            <w:tcW w:w="1276" w:type="dxa"/>
            <w:vAlign w:val="center"/>
          </w:tcPr>
          <w:p w14:paraId="1D38BA76">
            <w:pPr>
              <w:pStyle w:val="13"/>
            </w:pPr>
            <w:r>
              <w:t xml:space="preserve"> </w:t>
            </w:r>
          </w:p>
        </w:tc>
      </w:tr>
      <w:tr w14:paraId="618B15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A227B7"/>
        </w:tc>
        <w:tc>
          <w:tcPr>
            <w:tcW w:w="14033" w:type="dxa"/>
            <w:gridSpan w:val="6"/>
            <w:vAlign w:val="center"/>
          </w:tcPr>
          <w:p w14:paraId="1E5635A7">
            <w:pPr>
              <w:pStyle w:val="13"/>
            </w:pPr>
            <w:r>
              <w:t>用于保障幼儿园正常运转，完成教育教学活动和其他日常工作任务等方面的费用支出。</w:t>
            </w:r>
          </w:p>
        </w:tc>
      </w:tr>
      <w:tr w14:paraId="2B45A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4E79D">
            <w:pPr>
              <w:pStyle w:val="11"/>
            </w:pPr>
            <w:r>
              <w:t>资金支出计划（%）</w:t>
            </w:r>
          </w:p>
        </w:tc>
        <w:tc>
          <w:tcPr>
            <w:tcW w:w="5103" w:type="dxa"/>
            <w:gridSpan w:val="2"/>
            <w:vAlign w:val="center"/>
          </w:tcPr>
          <w:p w14:paraId="53D8C47E">
            <w:pPr>
              <w:pStyle w:val="11"/>
            </w:pPr>
            <w:r>
              <w:t>3月底</w:t>
            </w:r>
          </w:p>
        </w:tc>
        <w:tc>
          <w:tcPr>
            <w:tcW w:w="2835" w:type="dxa"/>
            <w:vAlign w:val="center"/>
          </w:tcPr>
          <w:p w14:paraId="4F56FFD8">
            <w:pPr>
              <w:pStyle w:val="11"/>
            </w:pPr>
            <w:r>
              <w:t>6月底</w:t>
            </w:r>
          </w:p>
        </w:tc>
        <w:tc>
          <w:tcPr>
            <w:tcW w:w="2551" w:type="dxa"/>
            <w:vAlign w:val="center"/>
          </w:tcPr>
          <w:p w14:paraId="64E3AC90">
            <w:pPr>
              <w:pStyle w:val="11"/>
            </w:pPr>
            <w:r>
              <w:t>10月底</w:t>
            </w:r>
          </w:p>
        </w:tc>
        <w:tc>
          <w:tcPr>
            <w:tcW w:w="3544" w:type="dxa"/>
            <w:gridSpan w:val="2"/>
            <w:vAlign w:val="center"/>
          </w:tcPr>
          <w:p w14:paraId="7AD84E30">
            <w:pPr>
              <w:pStyle w:val="11"/>
            </w:pPr>
            <w:r>
              <w:t>12月底</w:t>
            </w:r>
          </w:p>
        </w:tc>
      </w:tr>
      <w:tr w14:paraId="5B6A4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C3C2AC"/>
        </w:tc>
        <w:tc>
          <w:tcPr>
            <w:tcW w:w="5103" w:type="dxa"/>
            <w:gridSpan w:val="2"/>
            <w:vAlign w:val="center"/>
          </w:tcPr>
          <w:p w14:paraId="411BB97C">
            <w:pPr>
              <w:pStyle w:val="12"/>
            </w:pPr>
            <w:r>
              <w:t>25%</w:t>
            </w:r>
          </w:p>
        </w:tc>
        <w:tc>
          <w:tcPr>
            <w:tcW w:w="2835" w:type="dxa"/>
            <w:vAlign w:val="center"/>
          </w:tcPr>
          <w:p w14:paraId="1942587C">
            <w:pPr>
              <w:pStyle w:val="12"/>
            </w:pPr>
            <w:r>
              <w:t>50%</w:t>
            </w:r>
          </w:p>
        </w:tc>
        <w:tc>
          <w:tcPr>
            <w:tcW w:w="2551" w:type="dxa"/>
            <w:vAlign w:val="center"/>
          </w:tcPr>
          <w:p w14:paraId="5F1EE87A">
            <w:pPr>
              <w:pStyle w:val="12"/>
            </w:pPr>
            <w:r>
              <w:t>75%</w:t>
            </w:r>
          </w:p>
        </w:tc>
        <w:tc>
          <w:tcPr>
            <w:tcW w:w="3544" w:type="dxa"/>
            <w:gridSpan w:val="2"/>
            <w:vAlign w:val="center"/>
          </w:tcPr>
          <w:p w14:paraId="3884318B">
            <w:pPr>
              <w:pStyle w:val="12"/>
            </w:pPr>
            <w:r>
              <w:t>100%</w:t>
            </w:r>
          </w:p>
        </w:tc>
      </w:tr>
      <w:tr w14:paraId="7106F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12EE5">
            <w:pPr>
              <w:pStyle w:val="11"/>
            </w:pPr>
            <w:r>
              <w:t>绩效目标</w:t>
            </w:r>
          </w:p>
        </w:tc>
        <w:tc>
          <w:tcPr>
            <w:tcW w:w="14033" w:type="dxa"/>
            <w:gridSpan w:val="6"/>
            <w:vAlign w:val="center"/>
          </w:tcPr>
          <w:p w14:paraId="490F7281">
            <w:pPr>
              <w:pStyle w:val="13"/>
            </w:pPr>
            <w:r>
              <w:t>1.按上缴财政序时进度完成公立幼儿园保育费支出。</w:t>
            </w:r>
          </w:p>
          <w:p w14:paraId="46A96A65">
            <w:pPr>
              <w:pStyle w:val="13"/>
            </w:pPr>
            <w:r>
              <w:t>2.按预算要求完成2024年度学前教学任务提升及教学质量提高。</w:t>
            </w:r>
          </w:p>
          <w:p w14:paraId="2274CC6D">
            <w:pPr>
              <w:pStyle w:val="13"/>
            </w:pPr>
            <w:r>
              <w:t>3.按要求完成公立幼儿园保育费按月/季度上缴财政。</w:t>
            </w:r>
          </w:p>
        </w:tc>
      </w:tr>
    </w:tbl>
    <w:p w14:paraId="562CB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0A0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3C52B">
            <w:pPr>
              <w:pStyle w:val="11"/>
            </w:pPr>
            <w:r>
              <w:t>一级指标</w:t>
            </w:r>
          </w:p>
        </w:tc>
        <w:tc>
          <w:tcPr>
            <w:tcW w:w="2268" w:type="dxa"/>
            <w:vAlign w:val="center"/>
          </w:tcPr>
          <w:p w14:paraId="4A797352">
            <w:pPr>
              <w:pStyle w:val="11"/>
            </w:pPr>
            <w:r>
              <w:t>二级指标</w:t>
            </w:r>
          </w:p>
        </w:tc>
        <w:tc>
          <w:tcPr>
            <w:tcW w:w="2835" w:type="dxa"/>
            <w:vAlign w:val="center"/>
          </w:tcPr>
          <w:p w14:paraId="53FE79DF">
            <w:pPr>
              <w:pStyle w:val="11"/>
            </w:pPr>
            <w:r>
              <w:t>三级指标</w:t>
            </w:r>
          </w:p>
        </w:tc>
        <w:tc>
          <w:tcPr>
            <w:tcW w:w="5386" w:type="dxa"/>
            <w:vAlign w:val="center"/>
          </w:tcPr>
          <w:p w14:paraId="4547BF72">
            <w:pPr>
              <w:pStyle w:val="11"/>
            </w:pPr>
            <w:r>
              <w:t>绩效指标描述</w:t>
            </w:r>
          </w:p>
        </w:tc>
        <w:tc>
          <w:tcPr>
            <w:tcW w:w="2268" w:type="dxa"/>
            <w:vAlign w:val="center"/>
          </w:tcPr>
          <w:p w14:paraId="461818EC">
            <w:pPr>
              <w:pStyle w:val="11"/>
            </w:pPr>
            <w:r>
              <w:t>指标值</w:t>
            </w:r>
          </w:p>
        </w:tc>
        <w:tc>
          <w:tcPr>
            <w:tcW w:w="1276" w:type="dxa"/>
            <w:vAlign w:val="center"/>
          </w:tcPr>
          <w:p w14:paraId="1364E840">
            <w:pPr>
              <w:pStyle w:val="11"/>
            </w:pPr>
            <w:r>
              <w:t>指标值确定依据</w:t>
            </w:r>
          </w:p>
        </w:tc>
      </w:tr>
      <w:tr w14:paraId="0F348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E6EEE">
            <w:pPr>
              <w:pStyle w:val="12"/>
            </w:pPr>
            <w:r>
              <w:t>产出指标</w:t>
            </w:r>
          </w:p>
        </w:tc>
        <w:tc>
          <w:tcPr>
            <w:tcW w:w="2268" w:type="dxa"/>
            <w:vAlign w:val="center"/>
          </w:tcPr>
          <w:p w14:paraId="3508A540">
            <w:pPr>
              <w:pStyle w:val="13"/>
            </w:pPr>
            <w:r>
              <w:t>数量指标</w:t>
            </w:r>
          </w:p>
        </w:tc>
        <w:tc>
          <w:tcPr>
            <w:tcW w:w="2835" w:type="dxa"/>
            <w:vAlign w:val="center"/>
          </w:tcPr>
          <w:p w14:paraId="314911A9">
            <w:pPr>
              <w:pStyle w:val="13"/>
            </w:pPr>
            <w:r>
              <w:t>适龄在校生</w:t>
            </w:r>
          </w:p>
        </w:tc>
        <w:tc>
          <w:tcPr>
            <w:tcW w:w="5386" w:type="dxa"/>
            <w:vAlign w:val="center"/>
          </w:tcPr>
          <w:p w14:paraId="4C34B6AC">
            <w:pPr>
              <w:pStyle w:val="13"/>
            </w:pPr>
            <w:r>
              <w:t>适龄在校就读学生人数</w:t>
            </w:r>
          </w:p>
        </w:tc>
        <w:tc>
          <w:tcPr>
            <w:tcW w:w="2268" w:type="dxa"/>
            <w:vAlign w:val="center"/>
          </w:tcPr>
          <w:p w14:paraId="69CB5422">
            <w:pPr>
              <w:pStyle w:val="13"/>
            </w:pPr>
            <w:r>
              <w:t>426人</w:t>
            </w:r>
          </w:p>
        </w:tc>
        <w:tc>
          <w:tcPr>
            <w:tcW w:w="1276" w:type="dxa"/>
            <w:vAlign w:val="center"/>
          </w:tcPr>
          <w:p w14:paraId="4B6A7AFA">
            <w:pPr>
              <w:pStyle w:val="13"/>
            </w:pPr>
            <w:r>
              <w:t>年度工作计划</w:t>
            </w:r>
          </w:p>
        </w:tc>
      </w:tr>
      <w:tr w14:paraId="107DB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3AA39"/>
        </w:tc>
        <w:tc>
          <w:tcPr>
            <w:tcW w:w="2268" w:type="dxa"/>
            <w:vAlign w:val="center"/>
          </w:tcPr>
          <w:p w14:paraId="29E6DDE4">
            <w:pPr>
              <w:pStyle w:val="13"/>
            </w:pPr>
            <w:r>
              <w:t>质量指标</w:t>
            </w:r>
          </w:p>
        </w:tc>
        <w:tc>
          <w:tcPr>
            <w:tcW w:w="2835" w:type="dxa"/>
            <w:vAlign w:val="center"/>
          </w:tcPr>
          <w:p w14:paraId="51E5B764">
            <w:pPr>
              <w:pStyle w:val="13"/>
            </w:pPr>
            <w:r>
              <w:t>按月上缴财政完成率</w:t>
            </w:r>
          </w:p>
        </w:tc>
        <w:tc>
          <w:tcPr>
            <w:tcW w:w="5386" w:type="dxa"/>
            <w:vAlign w:val="center"/>
          </w:tcPr>
          <w:p w14:paraId="10CB7236">
            <w:pPr>
              <w:pStyle w:val="13"/>
            </w:pPr>
            <w:r>
              <w:t>按月完成公立幼儿园保育费上缴财政</w:t>
            </w:r>
          </w:p>
        </w:tc>
        <w:tc>
          <w:tcPr>
            <w:tcW w:w="2268" w:type="dxa"/>
            <w:vAlign w:val="center"/>
          </w:tcPr>
          <w:p w14:paraId="4371C124">
            <w:pPr>
              <w:pStyle w:val="13"/>
            </w:pPr>
            <w:r>
              <w:t>100%</w:t>
            </w:r>
          </w:p>
        </w:tc>
        <w:tc>
          <w:tcPr>
            <w:tcW w:w="1276" w:type="dxa"/>
            <w:vAlign w:val="center"/>
          </w:tcPr>
          <w:p w14:paraId="2C159F20">
            <w:pPr>
              <w:pStyle w:val="13"/>
            </w:pPr>
            <w:r>
              <w:t>年度工作计划</w:t>
            </w:r>
          </w:p>
        </w:tc>
      </w:tr>
      <w:tr w14:paraId="216CF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59CA6"/>
        </w:tc>
        <w:tc>
          <w:tcPr>
            <w:tcW w:w="2268" w:type="dxa"/>
            <w:vAlign w:val="center"/>
          </w:tcPr>
          <w:p w14:paraId="0B90EE70">
            <w:pPr>
              <w:pStyle w:val="13"/>
            </w:pPr>
            <w:r>
              <w:t>时效指标</w:t>
            </w:r>
          </w:p>
        </w:tc>
        <w:tc>
          <w:tcPr>
            <w:tcW w:w="2835" w:type="dxa"/>
            <w:vAlign w:val="center"/>
          </w:tcPr>
          <w:p w14:paraId="689D1268">
            <w:pPr>
              <w:pStyle w:val="13"/>
            </w:pPr>
            <w:r>
              <w:t>资金支付率</w:t>
            </w:r>
          </w:p>
        </w:tc>
        <w:tc>
          <w:tcPr>
            <w:tcW w:w="5386" w:type="dxa"/>
            <w:vAlign w:val="center"/>
          </w:tcPr>
          <w:p w14:paraId="6A70B986">
            <w:pPr>
              <w:pStyle w:val="13"/>
            </w:pPr>
            <w:r>
              <w:t>按照上缴财政进度完成公立幼儿园保育费支付</w:t>
            </w:r>
          </w:p>
        </w:tc>
        <w:tc>
          <w:tcPr>
            <w:tcW w:w="2268" w:type="dxa"/>
            <w:vAlign w:val="center"/>
          </w:tcPr>
          <w:p w14:paraId="1AFFB323">
            <w:pPr>
              <w:pStyle w:val="13"/>
            </w:pPr>
            <w:r>
              <w:t>100%</w:t>
            </w:r>
          </w:p>
        </w:tc>
        <w:tc>
          <w:tcPr>
            <w:tcW w:w="1276" w:type="dxa"/>
            <w:vAlign w:val="center"/>
          </w:tcPr>
          <w:p w14:paraId="0DCEE12E">
            <w:pPr>
              <w:pStyle w:val="13"/>
            </w:pPr>
            <w:r>
              <w:t>年度工作计划</w:t>
            </w:r>
          </w:p>
        </w:tc>
      </w:tr>
      <w:tr w14:paraId="2CE56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24008"/>
        </w:tc>
        <w:tc>
          <w:tcPr>
            <w:tcW w:w="2268" w:type="dxa"/>
            <w:vAlign w:val="center"/>
          </w:tcPr>
          <w:p w14:paraId="51AE8277">
            <w:pPr>
              <w:pStyle w:val="13"/>
            </w:pPr>
            <w:r>
              <w:t>成本指标</w:t>
            </w:r>
          </w:p>
        </w:tc>
        <w:tc>
          <w:tcPr>
            <w:tcW w:w="2835" w:type="dxa"/>
            <w:vAlign w:val="center"/>
          </w:tcPr>
          <w:p w14:paraId="7D4B6E13">
            <w:pPr>
              <w:pStyle w:val="13"/>
            </w:pPr>
            <w:r>
              <w:t>生均拨款标准拨付率</w:t>
            </w:r>
          </w:p>
        </w:tc>
        <w:tc>
          <w:tcPr>
            <w:tcW w:w="5386" w:type="dxa"/>
            <w:vAlign w:val="center"/>
          </w:tcPr>
          <w:p w14:paraId="41EA1F6E">
            <w:pPr>
              <w:pStyle w:val="13"/>
            </w:pPr>
            <w:r>
              <w:t>城市一类园280元/月/生，城市二类园230元/月/生。城市三类200元/月/生，农村示范园170元/月/生农村一类园150元/月/生，农村二类园130元/月/生，农村三类园100元/月/生</w:t>
            </w:r>
          </w:p>
        </w:tc>
        <w:tc>
          <w:tcPr>
            <w:tcW w:w="2268" w:type="dxa"/>
            <w:vAlign w:val="center"/>
          </w:tcPr>
          <w:p w14:paraId="5D878A3E">
            <w:pPr>
              <w:pStyle w:val="13"/>
            </w:pPr>
            <w:r>
              <w:t>100%</w:t>
            </w:r>
          </w:p>
        </w:tc>
        <w:tc>
          <w:tcPr>
            <w:tcW w:w="1276" w:type="dxa"/>
            <w:vAlign w:val="center"/>
          </w:tcPr>
          <w:p w14:paraId="6EAA8830">
            <w:pPr>
              <w:pStyle w:val="13"/>
            </w:pPr>
            <w:r>
              <w:t>年度工作计划</w:t>
            </w:r>
          </w:p>
        </w:tc>
      </w:tr>
      <w:tr w14:paraId="1A479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BDF8B9">
            <w:pPr>
              <w:pStyle w:val="12"/>
            </w:pPr>
            <w:r>
              <w:t>效益指标</w:t>
            </w:r>
          </w:p>
        </w:tc>
        <w:tc>
          <w:tcPr>
            <w:tcW w:w="2268" w:type="dxa"/>
            <w:vAlign w:val="center"/>
          </w:tcPr>
          <w:p w14:paraId="289C1A60">
            <w:pPr>
              <w:pStyle w:val="13"/>
            </w:pPr>
            <w:r>
              <w:t>社会效益指标</w:t>
            </w:r>
          </w:p>
        </w:tc>
        <w:tc>
          <w:tcPr>
            <w:tcW w:w="2835" w:type="dxa"/>
            <w:vAlign w:val="center"/>
          </w:tcPr>
          <w:p w14:paraId="4CA2A57D">
            <w:pPr>
              <w:pStyle w:val="13"/>
            </w:pPr>
            <w:r>
              <w:t>幼儿园办园能力提升</w:t>
            </w:r>
          </w:p>
        </w:tc>
        <w:tc>
          <w:tcPr>
            <w:tcW w:w="5386" w:type="dxa"/>
            <w:vAlign w:val="center"/>
          </w:tcPr>
          <w:p w14:paraId="7376F251">
            <w:pPr>
              <w:pStyle w:val="13"/>
            </w:pPr>
            <w:r>
              <w:t>幼儿园办园能力提升情况及教育教学工作等开展的情况</w:t>
            </w:r>
          </w:p>
        </w:tc>
        <w:tc>
          <w:tcPr>
            <w:tcW w:w="2268" w:type="dxa"/>
            <w:vAlign w:val="center"/>
          </w:tcPr>
          <w:p w14:paraId="5E41C205">
            <w:pPr>
              <w:pStyle w:val="13"/>
            </w:pPr>
            <w:r>
              <w:t>100%</w:t>
            </w:r>
          </w:p>
        </w:tc>
        <w:tc>
          <w:tcPr>
            <w:tcW w:w="1276" w:type="dxa"/>
            <w:vAlign w:val="center"/>
          </w:tcPr>
          <w:p w14:paraId="77F93473">
            <w:pPr>
              <w:pStyle w:val="13"/>
            </w:pPr>
            <w:r>
              <w:t>年度工作计划</w:t>
            </w:r>
          </w:p>
        </w:tc>
      </w:tr>
      <w:tr w14:paraId="339DC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0FDBEB">
            <w:pPr>
              <w:pStyle w:val="12"/>
            </w:pPr>
            <w:r>
              <w:t>满意度指标</w:t>
            </w:r>
          </w:p>
        </w:tc>
        <w:tc>
          <w:tcPr>
            <w:tcW w:w="2268" w:type="dxa"/>
            <w:vAlign w:val="center"/>
          </w:tcPr>
          <w:p w14:paraId="5397BB99">
            <w:pPr>
              <w:pStyle w:val="13"/>
            </w:pPr>
            <w:r>
              <w:t>服务对象满意度指标</w:t>
            </w:r>
          </w:p>
        </w:tc>
        <w:tc>
          <w:tcPr>
            <w:tcW w:w="2835" w:type="dxa"/>
            <w:vAlign w:val="center"/>
          </w:tcPr>
          <w:p w14:paraId="536AFE79">
            <w:pPr>
              <w:pStyle w:val="13"/>
            </w:pPr>
            <w:r>
              <w:t>受益学生家长及调查满意度</w:t>
            </w:r>
          </w:p>
        </w:tc>
        <w:tc>
          <w:tcPr>
            <w:tcW w:w="5386" w:type="dxa"/>
            <w:vAlign w:val="center"/>
          </w:tcPr>
          <w:p w14:paraId="233556FF">
            <w:pPr>
              <w:pStyle w:val="13"/>
            </w:pPr>
            <w:r>
              <w:t>幼儿、教师及家长对学校保教保育工作满意度情况</w:t>
            </w:r>
          </w:p>
        </w:tc>
        <w:tc>
          <w:tcPr>
            <w:tcW w:w="2268" w:type="dxa"/>
            <w:vAlign w:val="center"/>
          </w:tcPr>
          <w:p w14:paraId="1FD2FE41">
            <w:pPr>
              <w:pStyle w:val="13"/>
            </w:pPr>
            <w:r>
              <w:t>≥95%</w:t>
            </w:r>
          </w:p>
        </w:tc>
        <w:tc>
          <w:tcPr>
            <w:tcW w:w="1276" w:type="dxa"/>
            <w:vAlign w:val="center"/>
          </w:tcPr>
          <w:p w14:paraId="0D982A9E">
            <w:pPr>
              <w:pStyle w:val="13"/>
            </w:pPr>
            <w:r>
              <w:t>年度工作计划</w:t>
            </w:r>
          </w:p>
        </w:tc>
      </w:tr>
    </w:tbl>
    <w:p w14:paraId="5737003E">
      <w:pPr>
        <w:sectPr>
          <w:pgSz w:w="16840" w:h="11900" w:orient="landscape"/>
          <w:pgMar w:top="1361" w:right="1020" w:bottom="1134" w:left="1020" w:header="720" w:footer="720" w:gutter="0"/>
          <w:cols w:space="720" w:num="1"/>
        </w:sectPr>
      </w:pPr>
    </w:p>
    <w:p w14:paraId="094F80CE">
      <w:pPr>
        <w:spacing w:before="10" w:after="10" w:line="240" w:lineRule="auto"/>
        <w:ind w:firstLine="640"/>
        <w:jc w:val="left"/>
        <w:outlineLvl w:val="5"/>
      </w:pPr>
      <w:r>
        <w:rPr>
          <w:rFonts w:ascii="黑体" w:hAnsi="黑体" w:eastAsia="黑体" w:cs="黑体"/>
          <w:color w:val="000000"/>
          <w:sz w:val="32"/>
        </w:rPr>
        <w:t>六、政府采购预算情况</w:t>
      </w:r>
    </w:p>
    <w:p w14:paraId="03E8F20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2004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3B5431B">
            <w:pPr>
              <w:pStyle w:val="8"/>
            </w:pPr>
            <w:r>
              <w:t>360023隆尧县固城校区</w:t>
            </w:r>
          </w:p>
        </w:tc>
        <w:tc>
          <w:tcPr>
            <w:tcW w:w="7712" w:type="dxa"/>
            <w:gridSpan w:val="8"/>
            <w:tcBorders>
              <w:top w:val="single" w:color="FFFFFF" w:sz="6" w:space="0"/>
              <w:left w:val="single" w:color="FFFFFF" w:sz="6" w:space="0"/>
              <w:right w:val="single" w:color="FFFFFF" w:sz="6" w:space="0"/>
            </w:tcBorders>
            <w:vAlign w:val="center"/>
          </w:tcPr>
          <w:p w14:paraId="5A642C68">
            <w:pPr>
              <w:pStyle w:val="22"/>
            </w:pPr>
            <w:r>
              <w:t>单位：万元</w:t>
            </w:r>
          </w:p>
        </w:tc>
      </w:tr>
      <w:tr w14:paraId="22024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60B7519">
            <w:pPr>
              <w:pStyle w:val="11"/>
            </w:pPr>
            <w:r>
              <w:t>政府采购项目来源</w:t>
            </w:r>
          </w:p>
        </w:tc>
        <w:tc>
          <w:tcPr>
            <w:tcW w:w="1134" w:type="dxa"/>
            <w:vMerge w:val="restart"/>
            <w:vAlign w:val="center"/>
          </w:tcPr>
          <w:p w14:paraId="65A5B015">
            <w:pPr>
              <w:pStyle w:val="11"/>
            </w:pPr>
            <w:r>
              <w:t>采购物品名称</w:t>
            </w:r>
          </w:p>
        </w:tc>
        <w:tc>
          <w:tcPr>
            <w:tcW w:w="1134" w:type="dxa"/>
            <w:vMerge w:val="restart"/>
            <w:vAlign w:val="center"/>
          </w:tcPr>
          <w:p w14:paraId="4FAA6C6F">
            <w:pPr>
              <w:pStyle w:val="11"/>
            </w:pPr>
            <w:r>
              <w:t>政府采购目录序号</w:t>
            </w:r>
          </w:p>
        </w:tc>
        <w:tc>
          <w:tcPr>
            <w:tcW w:w="709" w:type="dxa"/>
            <w:vMerge w:val="restart"/>
            <w:vAlign w:val="center"/>
          </w:tcPr>
          <w:p w14:paraId="1C3C3A8B">
            <w:pPr>
              <w:pStyle w:val="11"/>
            </w:pPr>
            <w:r>
              <w:t>计量  单位</w:t>
            </w:r>
          </w:p>
        </w:tc>
        <w:tc>
          <w:tcPr>
            <w:tcW w:w="850" w:type="dxa"/>
            <w:vMerge w:val="restart"/>
            <w:vAlign w:val="center"/>
          </w:tcPr>
          <w:p w14:paraId="30155FC8">
            <w:pPr>
              <w:pStyle w:val="11"/>
            </w:pPr>
            <w:r>
              <w:t>数量</w:t>
            </w:r>
          </w:p>
        </w:tc>
        <w:tc>
          <w:tcPr>
            <w:tcW w:w="850" w:type="dxa"/>
            <w:vMerge w:val="restart"/>
            <w:vAlign w:val="center"/>
          </w:tcPr>
          <w:p w14:paraId="77C33A1F">
            <w:pPr>
              <w:pStyle w:val="11"/>
            </w:pPr>
            <w:r>
              <w:t>单价</w:t>
            </w:r>
          </w:p>
        </w:tc>
        <w:tc>
          <w:tcPr>
            <w:tcW w:w="6748" w:type="dxa"/>
            <w:gridSpan w:val="7"/>
            <w:vAlign w:val="center"/>
          </w:tcPr>
          <w:p w14:paraId="51CAFD6B">
            <w:pPr>
              <w:pStyle w:val="11"/>
            </w:pPr>
            <w:r>
              <w:t>政府采购金额（当年部门预算安排资金）</w:t>
            </w:r>
          </w:p>
        </w:tc>
        <w:tc>
          <w:tcPr>
            <w:tcW w:w="964" w:type="dxa"/>
            <w:vMerge w:val="restart"/>
            <w:vAlign w:val="center"/>
          </w:tcPr>
          <w:p w14:paraId="73939873">
            <w:pPr>
              <w:pStyle w:val="11"/>
            </w:pPr>
            <w:r>
              <w:t>2025年  预留中  小微企  业份额</w:t>
            </w:r>
          </w:p>
        </w:tc>
      </w:tr>
      <w:tr w14:paraId="7D70E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DD5D9B1">
            <w:pPr>
              <w:pStyle w:val="11"/>
            </w:pPr>
            <w:r>
              <w:t>项目名称</w:t>
            </w:r>
          </w:p>
        </w:tc>
        <w:tc>
          <w:tcPr>
            <w:tcW w:w="964" w:type="dxa"/>
            <w:vAlign w:val="center"/>
          </w:tcPr>
          <w:p w14:paraId="234E66E5">
            <w:pPr>
              <w:pStyle w:val="11"/>
            </w:pPr>
            <w:r>
              <w:t>预算    资金</w:t>
            </w:r>
          </w:p>
        </w:tc>
        <w:tc>
          <w:tcPr>
            <w:tcW w:w="1134" w:type="dxa"/>
            <w:vMerge w:val="continue"/>
          </w:tcPr>
          <w:p w14:paraId="306250B5"/>
        </w:tc>
        <w:tc>
          <w:tcPr>
            <w:tcW w:w="1134" w:type="dxa"/>
            <w:vMerge w:val="continue"/>
          </w:tcPr>
          <w:p w14:paraId="6695C0FF"/>
        </w:tc>
        <w:tc>
          <w:tcPr>
            <w:tcW w:w="709" w:type="dxa"/>
            <w:vMerge w:val="continue"/>
          </w:tcPr>
          <w:p w14:paraId="3465F27B"/>
        </w:tc>
        <w:tc>
          <w:tcPr>
            <w:tcW w:w="850" w:type="dxa"/>
            <w:vMerge w:val="continue"/>
          </w:tcPr>
          <w:p w14:paraId="3F849DC2"/>
        </w:tc>
        <w:tc>
          <w:tcPr>
            <w:tcW w:w="850" w:type="dxa"/>
            <w:vMerge w:val="continue"/>
          </w:tcPr>
          <w:p w14:paraId="5A3AB87A"/>
        </w:tc>
        <w:tc>
          <w:tcPr>
            <w:tcW w:w="964" w:type="dxa"/>
            <w:vAlign w:val="center"/>
          </w:tcPr>
          <w:p w14:paraId="11EA6C57">
            <w:pPr>
              <w:pStyle w:val="11"/>
            </w:pPr>
            <w:r>
              <w:t>合计</w:t>
            </w:r>
          </w:p>
        </w:tc>
        <w:tc>
          <w:tcPr>
            <w:tcW w:w="964" w:type="dxa"/>
            <w:vAlign w:val="center"/>
          </w:tcPr>
          <w:p w14:paraId="3ECEBA40">
            <w:pPr>
              <w:pStyle w:val="11"/>
            </w:pPr>
            <w:r>
              <w:t>一般公共预算拨款</w:t>
            </w:r>
          </w:p>
        </w:tc>
        <w:tc>
          <w:tcPr>
            <w:tcW w:w="964" w:type="dxa"/>
            <w:vAlign w:val="center"/>
          </w:tcPr>
          <w:p w14:paraId="6457AF1D">
            <w:pPr>
              <w:pStyle w:val="11"/>
            </w:pPr>
            <w:r>
              <w:t>基金预算拨款</w:t>
            </w:r>
          </w:p>
        </w:tc>
        <w:tc>
          <w:tcPr>
            <w:tcW w:w="964" w:type="dxa"/>
            <w:vAlign w:val="center"/>
          </w:tcPr>
          <w:p w14:paraId="7EBADE8D">
            <w:pPr>
              <w:pStyle w:val="11"/>
            </w:pPr>
            <w:r>
              <w:t>国有资本经营预算拨款</w:t>
            </w:r>
          </w:p>
        </w:tc>
        <w:tc>
          <w:tcPr>
            <w:tcW w:w="964" w:type="dxa"/>
            <w:vAlign w:val="center"/>
          </w:tcPr>
          <w:p w14:paraId="0D4C5E6F">
            <w:pPr>
              <w:pStyle w:val="11"/>
            </w:pPr>
            <w:r>
              <w:t>财政专户核拨</w:t>
            </w:r>
          </w:p>
        </w:tc>
        <w:tc>
          <w:tcPr>
            <w:tcW w:w="964" w:type="dxa"/>
            <w:vAlign w:val="center"/>
          </w:tcPr>
          <w:p w14:paraId="173326B6">
            <w:pPr>
              <w:pStyle w:val="11"/>
            </w:pPr>
            <w:r>
              <w:t>单位    资金</w:t>
            </w:r>
          </w:p>
        </w:tc>
        <w:tc>
          <w:tcPr>
            <w:tcW w:w="964" w:type="dxa"/>
            <w:vAlign w:val="center"/>
          </w:tcPr>
          <w:p w14:paraId="12049E39">
            <w:pPr>
              <w:pStyle w:val="11"/>
            </w:pPr>
            <w:r>
              <w:t>上年结转结余</w:t>
            </w:r>
          </w:p>
        </w:tc>
        <w:tc>
          <w:tcPr>
            <w:tcW w:w="964" w:type="dxa"/>
            <w:vMerge w:val="continue"/>
          </w:tcPr>
          <w:p w14:paraId="61C6A240"/>
        </w:tc>
      </w:tr>
      <w:tr w14:paraId="3C697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95DF00">
            <w:pPr>
              <w:pStyle w:val="15"/>
            </w:pPr>
            <w:r>
              <w:t>合  计</w:t>
            </w:r>
          </w:p>
        </w:tc>
        <w:tc>
          <w:tcPr>
            <w:tcW w:w="964" w:type="dxa"/>
            <w:vAlign w:val="center"/>
          </w:tcPr>
          <w:p w14:paraId="02F1F05A">
            <w:pPr>
              <w:pStyle w:val="16"/>
            </w:pPr>
          </w:p>
        </w:tc>
        <w:tc>
          <w:tcPr>
            <w:tcW w:w="1134" w:type="dxa"/>
            <w:vAlign w:val="center"/>
          </w:tcPr>
          <w:p w14:paraId="10D3D987">
            <w:pPr>
              <w:pStyle w:val="17"/>
            </w:pPr>
          </w:p>
        </w:tc>
        <w:tc>
          <w:tcPr>
            <w:tcW w:w="1134" w:type="dxa"/>
            <w:vAlign w:val="center"/>
          </w:tcPr>
          <w:p w14:paraId="595165EA">
            <w:pPr>
              <w:pStyle w:val="17"/>
            </w:pPr>
          </w:p>
        </w:tc>
        <w:tc>
          <w:tcPr>
            <w:tcW w:w="709" w:type="dxa"/>
            <w:vAlign w:val="center"/>
          </w:tcPr>
          <w:p w14:paraId="5CAE7AAE">
            <w:pPr>
              <w:pStyle w:val="15"/>
            </w:pPr>
          </w:p>
        </w:tc>
        <w:tc>
          <w:tcPr>
            <w:tcW w:w="850" w:type="dxa"/>
            <w:vAlign w:val="center"/>
          </w:tcPr>
          <w:p w14:paraId="2F35469C">
            <w:pPr>
              <w:pStyle w:val="16"/>
            </w:pPr>
          </w:p>
        </w:tc>
        <w:tc>
          <w:tcPr>
            <w:tcW w:w="850" w:type="dxa"/>
            <w:vAlign w:val="center"/>
          </w:tcPr>
          <w:p w14:paraId="374D8927">
            <w:pPr>
              <w:pStyle w:val="16"/>
            </w:pPr>
          </w:p>
        </w:tc>
        <w:tc>
          <w:tcPr>
            <w:tcW w:w="964" w:type="dxa"/>
            <w:vAlign w:val="center"/>
          </w:tcPr>
          <w:p w14:paraId="3C430FF7">
            <w:pPr>
              <w:pStyle w:val="16"/>
            </w:pPr>
            <w:r>
              <w:t>18.49</w:t>
            </w:r>
          </w:p>
        </w:tc>
        <w:tc>
          <w:tcPr>
            <w:tcW w:w="964" w:type="dxa"/>
            <w:vAlign w:val="center"/>
          </w:tcPr>
          <w:p w14:paraId="25617094">
            <w:pPr>
              <w:pStyle w:val="16"/>
            </w:pPr>
            <w:r>
              <w:t>18.49</w:t>
            </w:r>
          </w:p>
        </w:tc>
        <w:tc>
          <w:tcPr>
            <w:tcW w:w="964" w:type="dxa"/>
            <w:vAlign w:val="center"/>
          </w:tcPr>
          <w:p w14:paraId="1A0D70A9">
            <w:pPr>
              <w:pStyle w:val="16"/>
            </w:pPr>
          </w:p>
        </w:tc>
        <w:tc>
          <w:tcPr>
            <w:tcW w:w="964" w:type="dxa"/>
            <w:vAlign w:val="center"/>
          </w:tcPr>
          <w:p w14:paraId="31154EDC">
            <w:pPr>
              <w:pStyle w:val="16"/>
            </w:pPr>
          </w:p>
        </w:tc>
        <w:tc>
          <w:tcPr>
            <w:tcW w:w="964" w:type="dxa"/>
            <w:vAlign w:val="center"/>
          </w:tcPr>
          <w:p w14:paraId="1C9B0809">
            <w:pPr>
              <w:pStyle w:val="16"/>
            </w:pPr>
          </w:p>
        </w:tc>
        <w:tc>
          <w:tcPr>
            <w:tcW w:w="964" w:type="dxa"/>
            <w:vAlign w:val="center"/>
          </w:tcPr>
          <w:p w14:paraId="6749DBE1">
            <w:pPr>
              <w:pStyle w:val="16"/>
            </w:pPr>
          </w:p>
        </w:tc>
        <w:tc>
          <w:tcPr>
            <w:tcW w:w="964" w:type="dxa"/>
            <w:vAlign w:val="center"/>
          </w:tcPr>
          <w:p w14:paraId="5070CF1B">
            <w:pPr>
              <w:pStyle w:val="16"/>
            </w:pPr>
          </w:p>
        </w:tc>
        <w:tc>
          <w:tcPr>
            <w:tcW w:w="964" w:type="dxa"/>
            <w:vAlign w:val="center"/>
          </w:tcPr>
          <w:p w14:paraId="5300184A">
            <w:pPr>
              <w:pStyle w:val="16"/>
            </w:pPr>
            <w:r>
              <w:t>18.49</w:t>
            </w:r>
          </w:p>
        </w:tc>
      </w:tr>
      <w:tr w14:paraId="07BD5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E0457D">
            <w:pPr>
              <w:pStyle w:val="15"/>
            </w:pPr>
            <w:r>
              <w:t>隆尧县固城校区小计</w:t>
            </w:r>
          </w:p>
        </w:tc>
        <w:tc>
          <w:tcPr>
            <w:tcW w:w="964" w:type="dxa"/>
            <w:vAlign w:val="center"/>
          </w:tcPr>
          <w:p w14:paraId="1C1E4AAE">
            <w:pPr>
              <w:pStyle w:val="16"/>
            </w:pPr>
          </w:p>
        </w:tc>
        <w:tc>
          <w:tcPr>
            <w:tcW w:w="1134" w:type="dxa"/>
            <w:vAlign w:val="center"/>
          </w:tcPr>
          <w:p w14:paraId="018A117F">
            <w:pPr>
              <w:pStyle w:val="17"/>
            </w:pPr>
          </w:p>
        </w:tc>
        <w:tc>
          <w:tcPr>
            <w:tcW w:w="1134" w:type="dxa"/>
            <w:vAlign w:val="center"/>
          </w:tcPr>
          <w:p w14:paraId="0B46BEB7">
            <w:pPr>
              <w:pStyle w:val="17"/>
            </w:pPr>
          </w:p>
        </w:tc>
        <w:tc>
          <w:tcPr>
            <w:tcW w:w="709" w:type="dxa"/>
            <w:vAlign w:val="center"/>
          </w:tcPr>
          <w:p w14:paraId="4B27D07E">
            <w:pPr>
              <w:pStyle w:val="15"/>
            </w:pPr>
          </w:p>
        </w:tc>
        <w:tc>
          <w:tcPr>
            <w:tcW w:w="850" w:type="dxa"/>
            <w:vAlign w:val="center"/>
          </w:tcPr>
          <w:p w14:paraId="4BFF30C5">
            <w:pPr>
              <w:pStyle w:val="16"/>
            </w:pPr>
          </w:p>
        </w:tc>
        <w:tc>
          <w:tcPr>
            <w:tcW w:w="850" w:type="dxa"/>
            <w:vAlign w:val="center"/>
          </w:tcPr>
          <w:p w14:paraId="52826CC3">
            <w:pPr>
              <w:pStyle w:val="16"/>
            </w:pPr>
          </w:p>
        </w:tc>
        <w:tc>
          <w:tcPr>
            <w:tcW w:w="964" w:type="dxa"/>
            <w:vAlign w:val="center"/>
          </w:tcPr>
          <w:p w14:paraId="763F8E99">
            <w:pPr>
              <w:pStyle w:val="16"/>
            </w:pPr>
            <w:r>
              <w:t>18.49</w:t>
            </w:r>
          </w:p>
        </w:tc>
        <w:tc>
          <w:tcPr>
            <w:tcW w:w="964" w:type="dxa"/>
            <w:vAlign w:val="center"/>
          </w:tcPr>
          <w:p w14:paraId="6A1D6662">
            <w:pPr>
              <w:pStyle w:val="16"/>
            </w:pPr>
            <w:r>
              <w:t>18.49</w:t>
            </w:r>
          </w:p>
        </w:tc>
        <w:tc>
          <w:tcPr>
            <w:tcW w:w="964" w:type="dxa"/>
            <w:vAlign w:val="center"/>
          </w:tcPr>
          <w:p w14:paraId="18479E26">
            <w:pPr>
              <w:pStyle w:val="16"/>
            </w:pPr>
          </w:p>
        </w:tc>
        <w:tc>
          <w:tcPr>
            <w:tcW w:w="964" w:type="dxa"/>
            <w:vAlign w:val="center"/>
          </w:tcPr>
          <w:p w14:paraId="0223BE83">
            <w:pPr>
              <w:pStyle w:val="16"/>
            </w:pPr>
          </w:p>
        </w:tc>
        <w:tc>
          <w:tcPr>
            <w:tcW w:w="964" w:type="dxa"/>
            <w:vAlign w:val="center"/>
          </w:tcPr>
          <w:p w14:paraId="0D9288A7">
            <w:pPr>
              <w:pStyle w:val="16"/>
            </w:pPr>
          </w:p>
        </w:tc>
        <w:tc>
          <w:tcPr>
            <w:tcW w:w="964" w:type="dxa"/>
            <w:vAlign w:val="center"/>
          </w:tcPr>
          <w:p w14:paraId="2A85C19A">
            <w:pPr>
              <w:pStyle w:val="16"/>
            </w:pPr>
          </w:p>
        </w:tc>
        <w:tc>
          <w:tcPr>
            <w:tcW w:w="964" w:type="dxa"/>
            <w:vAlign w:val="center"/>
          </w:tcPr>
          <w:p w14:paraId="47BB5224">
            <w:pPr>
              <w:pStyle w:val="16"/>
            </w:pPr>
          </w:p>
        </w:tc>
        <w:tc>
          <w:tcPr>
            <w:tcW w:w="964" w:type="dxa"/>
            <w:vAlign w:val="center"/>
          </w:tcPr>
          <w:p w14:paraId="13BC4E30">
            <w:pPr>
              <w:pStyle w:val="16"/>
            </w:pPr>
            <w:r>
              <w:t>18.49</w:t>
            </w:r>
          </w:p>
        </w:tc>
      </w:tr>
      <w:tr w14:paraId="0D241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1AC9D16">
            <w:pPr>
              <w:pStyle w:val="13"/>
            </w:pPr>
            <w:r>
              <w:t>冀财教[2024]141号/省级/2025年义教补助经费/东王村小学公用经费</w:t>
            </w:r>
            <w:r>
              <w:tab/>
            </w:r>
          </w:p>
          <w:p w14:paraId="261BF626">
            <w:pPr>
              <w:pStyle w:val="13"/>
            </w:pPr>
          </w:p>
        </w:tc>
        <w:tc>
          <w:tcPr>
            <w:tcW w:w="964" w:type="dxa"/>
            <w:vAlign w:val="center"/>
          </w:tcPr>
          <w:p w14:paraId="580C939D">
            <w:pPr>
              <w:pStyle w:val="14"/>
            </w:pPr>
            <w:r>
              <w:t>36.48</w:t>
            </w:r>
          </w:p>
        </w:tc>
        <w:tc>
          <w:tcPr>
            <w:tcW w:w="1134" w:type="dxa"/>
            <w:vAlign w:val="center"/>
          </w:tcPr>
          <w:p w14:paraId="1E2FEFBC">
            <w:pPr>
              <w:pStyle w:val="13"/>
            </w:pPr>
            <w:r>
              <w:t>台式计算机</w:t>
            </w:r>
          </w:p>
        </w:tc>
        <w:tc>
          <w:tcPr>
            <w:tcW w:w="1134" w:type="dxa"/>
            <w:vAlign w:val="center"/>
          </w:tcPr>
          <w:p w14:paraId="45F6CC50">
            <w:pPr>
              <w:pStyle w:val="13"/>
            </w:pPr>
            <w:r>
              <w:t>A02010105</w:t>
            </w:r>
          </w:p>
        </w:tc>
        <w:tc>
          <w:tcPr>
            <w:tcW w:w="709" w:type="dxa"/>
            <w:vAlign w:val="center"/>
          </w:tcPr>
          <w:p w14:paraId="3D581109">
            <w:pPr>
              <w:pStyle w:val="12"/>
            </w:pPr>
            <w:r>
              <w:t>台</w:t>
            </w:r>
          </w:p>
        </w:tc>
        <w:tc>
          <w:tcPr>
            <w:tcW w:w="850" w:type="dxa"/>
            <w:vAlign w:val="center"/>
          </w:tcPr>
          <w:p w14:paraId="5487C570">
            <w:pPr>
              <w:pStyle w:val="14"/>
            </w:pPr>
            <w:r>
              <w:t>1</w:t>
            </w:r>
          </w:p>
        </w:tc>
        <w:tc>
          <w:tcPr>
            <w:tcW w:w="850" w:type="dxa"/>
            <w:vAlign w:val="center"/>
          </w:tcPr>
          <w:p w14:paraId="08B7C1DD">
            <w:pPr>
              <w:pStyle w:val="14"/>
            </w:pPr>
            <w:r>
              <w:t>0.25</w:t>
            </w:r>
          </w:p>
        </w:tc>
        <w:tc>
          <w:tcPr>
            <w:tcW w:w="964" w:type="dxa"/>
            <w:vAlign w:val="center"/>
          </w:tcPr>
          <w:p w14:paraId="43090581">
            <w:pPr>
              <w:pStyle w:val="14"/>
            </w:pPr>
            <w:r>
              <w:t>0.25</w:t>
            </w:r>
          </w:p>
        </w:tc>
        <w:tc>
          <w:tcPr>
            <w:tcW w:w="964" w:type="dxa"/>
            <w:vAlign w:val="center"/>
          </w:tcPr>
          <w:p w14:paraId="704E61E6">
            <w:pPr>
              <w:pStyle w:val="14"/>
            </w:pPr>
            <w:r>
              <w:t>0.25</w:t>
            </w:r>
          </w:p>
        </w:tc>
        <w:tc>
          <w:tcPr>
            <w:tcW w:w="964" w:type="dxa"/>
            <w:vAlign w:val="center"/>
          </w:tcPr>
          <w:p w14:paraId="6C2115C8">
            <w:pPr>
              <w:pStyle w:val="14"/>
            </w:pPr>
          </w:p>
        </w:tc>
        <w:tc>
          <w:tcPr>
            <w:tcW w:w="964" w:type="dxa"/>
            <w:vAlign w:val="center"/>
          </w:tcPr>
          <w:p w14:paraId="45EA33BE">
            <w:pPr>
              <w:pStyle w:val="14"/>
            </w:pPr>
          </w:p>
        </w:tc>
        <w:tc>
          <w:tcPr>
            <w:tcW w:w="964" w:type="dxa"/>
            <w:vAlign w:val="center"/>
          </w:tcPr>
          <w:p w14:paraId="4AD88B84">
            <w:pPr>
              <w:pStyle w:val="14"/>
            </w:pPr>
          </w:p>
        </w:tc>
        <w:tc>
          <w:tcPr>
            <w:tcW w:w="964" w:type="dxa"/>
            <w:vAlign w:val="center"/>
          </w:tcPr>
          <w:p w14:paraId="52352CF5">
            <w:pPr>
              <w:pStyle w:val="14"/>
            </w:pPr>
          </w:p>
        </w:tc>
        <w:tc>
          <w:tcPr>
            <w:tcW w:w="964" w:type="dxa"/>
            <w:vAlign w:val="center"/>
          </w:tcPr>
          <w:p w14:paraId="6B7F8173">
            <w:pPr>
              <w:pStyle w:val="14"/>
            </w:pPr>
          </w:p>
        </w:tc>
        <w:tc>
          <w:tcPr>
            <w:tcW w:w="964" w:type="dxa"/>
            <w:vAlign w:val="center"/>
          </w:tcPr>
          <w:p w14:paraId="71E3EF38">
            <w:pPr>
              <w:pStyle w:val="14"/>
            </w:pPr>
            <w:r>
              <w:t>0.25</w:t>
            </w:r>
          </w:p>
        </w:tc>
      </w:tr>
      <w:tr w14:paraId="1D72E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3E6FFA">
            <w:pPr>
              <w:pStyle w:val="13"/>
            </w:pPr>
            <w:r>
              <w:t>冀财教[2024]141号/省级/2025年义教补助经费/东王村小学公用经费</w:t>
            </w:r>
            <w:r>
              <w:tab/>
            </w:r>
          </w:p>
          <w:p w14:paraId="32DB1D3F">
            <w:pPr>
              <w:pStyle w:val="13"/>
            </w:pPr>
          </w:p>
        </w:tc>
        <w:tc>
          <w:tcPr>
            <w:tcW w:w="964" w:type="dxa"/>
            <w:vAlign w:val="center"/>
          </w:tcPr>
          <w:p w14:paraId="33201660">
            <w:pPr>
              <w:pStyle w:val="14"/>
            </w:pPr>
            <w:r>
              <w:t>36.48</w:t>
            </w:r>
          </w:p>
        </w:tc>
        <w:tc>
          <w:tcPr>
            <w:tcW w:w="1134" w:type="dxa"/>
            <w:vAlign w:val="center"/>
          </w:tcPr>
          <w:p w14:paraId="2992267F">
            <w:pPr>
              <w:pStyle w:val="13"/>
            </w:pPr>
            <w:r>
              <w:t>A3 黑白打印机</w:t>
            </w:r>
          </w:p>
        </w:tc>
        <w:tc>
          <w:tcPr>
            <w:tcW w:w="1134" w:type="dxa"/>
            <w:vAlign w:val="center"/>
          </w:tcPr>
          <w:p w14:paraId="5853BAE6">
            <w:pPr>
              <w:pStyle w:val="13"/>
            </w:pPr>
            <w:r>
              <w:t>A02021001</w:t>
            </w:r>
          </w:p>
        </w:tc>
        <w:tc>
          <w:tcPr>
            <w:tcW w:w="709" w:type="dxa"/>
            <w:vAlign w:val="center"/>
          </w:tcPr>
          <w:p w14:paraId="699659F3">
            <w:pPr>
              <w:pStyle w:val="12"/>
            </w:pPr>
            <w:r>
              <w:t>台</w:t>
            </w:r>
          </w:p>
        </w:tc>
        <w:tc>
          <w:tcPr>
            <w:tcW w:w="850" w:type="dxa"/>
            <w:vAlign w:val="center"/>
          </w:tcPr>
          <w:p w14:paraId="4833E557">
            <w:pPr>
              <w:pStyle w:val="14"/>
            </w:pPr>
            <w:r>
              <w:t>2</w:t>
            </w:r>
          </w:p>
        </w:tc>
        <w:tc>
          <w:tcPr>
            <w:tcW w:w="850" w:type="dxa"/>
            <w:vAlign w:val="center"/>
          </w:tcPr>
          <w:p w14:paraId="76452199">
            <w:pPr>
              <w:pStyle w:val="14"/>
            </w:pPr>
            <w:r>
              <w:t>0.50</w:t>
            </w:r>
          </w:p>
        </w:tc>
        <w:tc>
          <w:tcPr>
            <w:tcW w:w="964" w:type="dxa"/>
            <w:vAlign w:val="center"/>
          </w:tcPr>
          <w:p w14:paraId="653A9251">
            <w:pPr>
              <w:pStyle w:val="14"/>
            </w:pPr>
            <w:r>
              <w:t>1.00</w:t>
            </w:r>
          </w:p>
        </w:tc>
        <w:tc>
          <w:tcPr>
            <w:tcW w:w="964" w:type="dxa"/>
            <w:vAlign w:val="center"/>
          </w:tcPr>
          <w:p w14:paraId="17C1CEEE">
            <w:pPr>
              <w:pStyle w:val="14"/>
            </w:pPr>
            <w:r>
              <w:t>1.00</w:t>
            </w:r>
          </w:p>
        </w:tc>
        <w:tc>
          <w:tcPr>
            <w:tcW w:w="964" w:type="dxa"/>
            <w:vAlign w:val="center"/>
          </w:tcPr>
          <w:p w14:paraId="5EBB4130">
            <w:pPr>
              <w:pStyle w:val="14"/>
            </w:pPr>
          </w:p>
        </w:tc>
        <w:tc>
          <w:tcPr>
            <w:tcW w:w="964" w:type="dxa"/>
            <w:vAlign w:val="center"/>
          </w:tcPr>
          <w:p w14:paraId="199F8B2C">
            <w:pPr>
              <w:pStyle w:val="14"/>
            </w:pPr>
          </w:p>
        </w:tc>
        <w:tc>
          <w:tcPr>
            <w:tcW w:w="964" w:type="dxa"/>
            <w:vAlign w:val="center"/>
          </w:tcPr>
          <w:p w14:paraId="4BEB6DE6">
            <w:pPr>
              <w:pStyle w:val="14"/>
            </w:pPr>
          </w:p>
        </w:tc>
        <w:tc>
          <w:tcPr>
            <w:tcW w:w="964" w:type="dxa"/>
            <w:vAlign w:val="center"/>
          </w:tcPr>
          <w:p w14:paraId="2760EB82">
            <w:pPr>
              <w:pStyle w:val="14"/>
            </w:pPr>
          </w:p>
        </w:tc>
        <w:tc>
          <w:tcPr>
            <w:tcW w:w="964" w:type="dxa"/>
            <w:vAlign w:val="center"/>
          </w:tcPr>
          <w:p w14:paraId="7BE2663B">
            <w:pPr>
              <w:pStyle w:val="14"/>
            </w:pPr>
          </w:p>
        </w:tc>
        <w:tc>
          <w:tcPr>
            <w:tcW w:w="964" w:type="dxa"/>
            <w:vAlign w:val="center"/>
          </w:tcPr>
          <w:p w14:paraId="3D039259">
            <w:pPr>
              <w:pStyle w:val="14"/>
            </w:pPr>
            <w:r>
              <w:t>1.00</w:t>
            </w:r>
          </w:p>
        </w:tc>
      </w:tr>
      <w:tr w14:paraId="07E8F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83623D">
            <w:pPr>
              <w:pStyle w:val="13"/>
            </w:pPr>
            <w:r>
              <w:t>冀财教[2024]141号/省级/2025年义教补助经费/东王村小学公用经费</w:t>
            </w:r>
            <w:r>
              <w:tab/>
            </w:r>
          </w:p>
          <w:p w14:paraId="60899224">
            <w:pPr>
              <w:pStyle w:val="13"/>
            </w:pPr>
          </w:p>
        </w:tc>
        <w:tc>
          <w:tcPr>
            <w:tcW w:w="964" w:type="dxa"/>
            <w:vAlign w:val="center"/>
          </w:tcPr>
          <w:p w14:paraId="7EBADB5F">
            <w:pPr>
              <w:pStyle w:val="14"/>
            </w:pPr>
            <w:r>
              <w:t>36.48</w:t>
            </w:r>
          </w:p>
        </w:tc>
        <w:tc>
          <w:tcPr>
            <w:tcW w:w="1134" w:type="dxa"/>
            <w:vAlign w:val="center"/>
          </w:tcPr>
          <w:p w14:paraId="25E60F49">
            <w:pPr>
              <w:pStyle w:val="13"/>
            </w:pPr>
            <w:r>
              <w:t>A4 黑白打印机</w:t>
            </w:r>
          </w:p>
        </w:tc>
        <w:tc>
          <w:tcPr>
            <w:tcW w:w="1134" w:type="dxa"/>
            <w:vAlign w:val="center"/>
          </w:tcPr>
          <w:p w14:paraId="16BD9F0F">
            <w:pPr>
              <w:pStyle w:val="13"/>
            </w:pPr>
            <w:r>
              <w:t>A02021003</w:t>
            </w:r>
          </w:p>
        </w:tc>
        <w:tc>
          <w:tcPr>
            <w:tcW w:w="709" w:type="dxa"/>
            <w:vAlign w:val="center"/>
          </w:tcPr>
          <w:p w14:paraId="5A505B5F">
            <w:pPr>
              <w:pStyle w:val="12"/>
            </w:pPr>
            <w:r>
              <w:t>台</w:t>
            </w:r>
          </w:p>
        </w:tc>
        <w:tc>
          <w:tcPr>
            <w:tcW w:w="850" w:type="dxa"/>
            <w:vAlign w:val="center"/>
          </w:tcPr>
          <w:p w14:paraId="25484459">
            <w:pPr>
              <w:pStyle w:val="14"/>
            </w:pPr>
            <w:r>
              <w:t>2</w:t>
            </w:r>
          </w:p>
        </w:tc>
        <w:tc>
          <w:tcPr>
            <w:tcW w:w="850" w:type="dxa"/>
            <w:vAlign w:val="center"/>
          </w:tcPr>
          <w:p w14:paraId="56D90E2B">
            <w:pPr>
              <w:pStyle w:val="14"/>
            </w:pPr>
            <w:r>
              <w:t>0.25</w:t>
            </w:r>
          </w:p>
        </w:tc>
        <w:tc>
          <w:tcPr>
            <w:tcW w:w="964" w:type="dxa"/>
            <w:vAlign w:val="center"/>
          </w:tcPr>
          <w:p w14:paraId="73A49EDB">
            <w:pPr>
              <w:pStyle w:val="14"/>
            </w:pPr>
            <w:r>
              <w:t>0.50</w:t>
            </w:r>
          </w:p>
        </w:tc>
        <w:tc>
          <w:tcPr>
            <w:tcW w:w="964" w:type="dxa"/>
            <w:vAlign w:val="center"/>
          </w:tcPr>
          <w:p w14:paraId="6FE1751C">
            <w:pPr>
              <w:pStyle w:val="14"/>
            </w:pPr>
            <w:r>
              <w:t>0.50</w:t>
            </w:r>
          </w:p>
        </w:tc>
        <w:tc>
          <w:tcPr>
            <w:tcW w:w="964" w:type="dxa"/>
            <w:vAlign w:val="center"/>
          </w:tcPr>
          <w:p w14:paraId="4F3E0F98">
            <w:pPr>
              <w:pStyle w:val="14"/>
            </w:pPr>
          </w:p>
        </w:tc>
        <w:tc>
          <w:tcPr>
            <w:tcW w:w="964" w:type="dxa"/>
            <w:vAlign w:val="center"/>
          </w:tcPr>
          <w:p w14:paraId="065AFAD0">
            <w:pPr>
              <w:pStyle w:val="14"/>
            </w:pPr>
          </w:p>
        </w:tc>
        <w:tc>
          <w:tcPr>
            <w:tcW w:w="964" w:type="dxa"/>
            <w:vAlign w:val="center"/>
          </w:tcPr>
          <w:p w14:paraId="1D7E61E3">
            <w:pPr>
              <w:pStyle w:val="14"/>
            </w:pPr>
          </w:p>
        </w:tc>
        <w:tc>
          <w:tcPr>
            <w:tcW w:w="964" w:type="dxa"/>
            <w:vAlign w:val="center"/>
          </w:tcPr>
          <w:p w14:paraId="11DF7031">
            <w:pPr>
              <w:pStyle w:val="14"/>
            </w:pPr>
          </w:p>
        </w:tc>
        <w:tc>
          <w:tcPr>
            <w:tcW w:w="964" w:type="dxa"/>
            <w:vAlign w:val="center"/>
          </w:tcPr>
          <w:p w14:paraId="342810C3">
            <w:pPr>
              <w:pStyle w:val="14"/>
            </w:pPr>
          </w:p>
        </w:tc>
        <w:tc>
          <w:tcPr>
            <w:tcW w:w="964" w:type="dxa"/>
            <w:vAlign w:val="center"/>
          </w:tcPr>
          <w:p w14:paraId="63F9DFB7">
            <w:pPr>
              <w:pStyle w:val="14"/>
            </w:pPr>
            <w:r>
              <w:t>0.50</w:t>
            </w:r>
          </w:p>
        </w:tc>
      </w:tr>
      <w:tr w14:paraId="51E6F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E6FE31">
            <w:pPr>
              <w:pStyle w:val="13"/>
            </w:pPr>
            <w:r>
              <w:t>冀财教[2024]141号/省级/2025年义教补助经费/东王村小学公用经费</w:t>
            </w:r>
            <w:r>
              <w:tab/>
            </w:r>
          </w:p>
          <w:p w14:paraId="3F8CB4E5">
            <w:pPr>
              <w:pStyle w:val="13"/>
            </w:pPr>
          </w:p>
        </w:tc>
        <w:tc>
          <w:tcPr>
            <w:tcW w:w="964" w:type="dxa"/>
            <w:vAlign w:val="center"/>
          </w:tcPr>
          <w:p w14:paraId="3414E1BC">
            <w:pPr>
              <w:pStyle w:val="14"/>
            </w:pPr>
            <w:r>
              <w:t>36.48</w:t>
            </w:r>
          </w:p>
        </w:tc>
        <w:tc>
          <w:tcPr>
            <w:tcW w:w="1134" w:type="dxa"/>
            <w:vAlign w:val="center"/>
          </w:tcPr>
          <w:p w14:paraId="09C6F410">
            <w:pPr>
              <w:pStyle w:val="13"/>
            </w:pPr>
            <w:r>
              <w:t>空调机</w:t>
            </w:r>
          </w:p>
        </w:tc>
        <w:tc>
          <w:tcPr>
            <w:tcW w:w="1134" w:type="dxa"/>
            <w:vAlign w:val="center"/>
          </w:tcPr>
          <w:p w14:paraId="4F0514A0">
            <w:pPr>
              <w:pStyle w:val="13"/>
            </w:pPr>
            <w:r>
              <w:t>A02061804</w:t>
            </w:r>
          </w:p>
        </w:tc>
        <w:tc>
          <w:tcPr>
            <w:tcW w:w="709" w:type="dxa"/>
            <w:vAlign w:val="center"/>
          </w:tcPr>
          <w:p w14:paraId="0F429B19">
            <w:pPr>
              <w:pStyle w:val="12"/>
            </w:pPr>
            <w:r>
              <w:t>台</w:t>
            </w:r>
          </w:p>
        </w:tc>
        <w:tc>
          <w:tcPr>
            <w:tcW w:w="850" w:type="dxa"/>
            <w:vAlign w:val="center"/>
          </w:tcPr>
          <w:p w14:paraId="1C8E5154">
            <w:pPr>
              <w:pStyle w:val="14"/>
            </w:pPr>
            <w:r>
              <w:t>4</w:t>
            </w:r>
          </w:p>
        </w:tc>
        <w:tc>
          <w:tcPr>
            <w:tcW w:w="850" w:type="dxa"/>
            <w:vAlign w:val="center"/>
          </w:tcPr>
          <w:p w14:paraId="267C23C3">
            <w:pPr>
              <w:pStyle w:val="14"/>
            </w:pPr>
            <w:r>
              <w:t>0.56</w:t>
            </w:r>
          </w:p>
        </w:tc>
        <w:tc>
          <w:tcPr>
            <w:tcW w:w="964" w:type="dxa"/>
            <w:vAlign w:val="center"/>
          </w:tcPr>
          <w:p w14:paraId="26529BD3">
            <w:pPr>
              <w:pStyle w:val="14"/>
            </w:pPr>
            <w:r>
              <w:t>2.24</w:t>
            </w:r>
          </w:p>
        </w:tc>
        <w:tc>
          <w:tcPr>
            <w:tcW w:w="964" w:type="dxa"/>
            <w:vAlign w:val="center"/>
          </w:tcPr>
          <w:p w14:paraId="08BFC05F">
            <w:pPr>
              <w:pStyle w:val="14"/>
            </w:pPr>
            <w:r>
              <w:t>2.24</w:t>
            </w:r>
          </w:p>
        </w:tc>
        <w:tc>
          <w:tcPr>
            <w:tcW w:w="964" w:type="dxa"/>
            <w:vAlign w:val="center"/>
          </w:tcPr>
          <w:p w14:paraId="20A67091">
            <w:pPr>
              <w:pStyle w:val="14"/>
            </w:pPr>
          </w:p>
        </w:tc>
        <w:tc>
          <w:tcPr>
            <w:tcW w:w="964" w:type="dxa"/>
            <w:vAlign w:val="center"/>
          </w:tcPr>
          <w:p w14:paraId="1BE92E7A">
            <w:pPr>
              <w:pStyle w:val="14"/>
            </w:pPr>
          </w:p>
        </w:tc>
        <w:tc>
          <w:tcPr>
            <w:tcW w:w="964" w:type="dxa"/>
            <w:vAlign w:val="center"/>
          </w:tcPr>
          <w:p w14:paraId="028536CC">
            <w:pPr>
              <w:pStyle w:val="14"/>
            </w:pPr>
          </w:p>
        </w:tc>
        <w:tc>
          <w:tcPr>
            <w:tcW w:w="964" w:type="dxa"/>
            <w:vAlign w:val="center"/>
          </w:tcPr>
          <w:p w14:paraId="5994ADDC">
            <w:pPr>
              <w:pStyle w:val="14"/>
            </w:pPr>
          </w:p>
        </w:tc>
        <w:tc>
          <w:tcPr>
            <w:tcW w:w="964" w:type="dxa"/>
            <w:vAlign w:val="center"/>
          </w:tcPr>
          <w:p w14:paraId="154AF7D5">
            <w:pPr>
              <w:pStyle w:val="14"/>
            </w:pPr>
          </w:p>
        </w:tc>
        <w:tc>
          <w:tcPr>
            <w:tcW w:w="964" w:type="dxa"/>
            <w:vAlign w:val="center"/>
          </w:tcPr>
          <w:p w14:paraId="35C3FE52">
            <w:pPr>
              <w:pStyle w:val="14"/>
            </w:pPr>
            <w:r>
              <w:t>2.24</w:t>
            </w:r>
          </w:p>
        </w:tc>
      </w:tr>
      <w:tr w14:paraId="6699A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3A43F9">
            <w:pPr>
              <w:pStyle w:val="13"/>
            </w:pPr>
            <w:r>
              <w:t>冀财教[2024]141号/省级/2025年义教补助经费/东王村小学公用经费</w:t>
            </w:r>
            <w:r>
              <w:tab/>
            </w:r>
          </w:p>
          <w:p w14:paraId="7E918A37">
            <w:pPr>
              <w:pStyle w:val="13"/>
            </w:pPr>
          </w:p>
        </w:tc>
        <w:tc>
          <w:tcPr>
            <w:tcW w:w="964" w:type="dxa"/>
            <w:vAlign w:val="center"/>
          </w:tcPr>
          <w:p w14:paraId="360C9C6A">
            <w:pPr>
              <w:pStyle w:val="14"/>
            </w:pPr>
            <w:r>
              <w:t>36.48</w:t>
            </w:r>
          </w:p>
        </w:tc>
        <w:tc>
          <w:tcPr>
            <w:tcW w:w="1134" w:type="dxa"/>
            <w:vAlign w:val="center"/>
          </w:tcPr>
          <w:p w14:paraId="6904353C">
            <w:pPr>
              <w:pStyle w:val="13"/>
            </w:pPr>
            <w:r>
              <w:t>空调机</w:t>
            </w:r>
          </w:p>
        </w:tc>
        <w:tc>
          <w:tcPr>
            <w:tcW w:w="1134" w:type="dxa"/>
            <w:vAlign w:val="center"/>
          </w:tcPr>
          <w:p w14:paraId="387C95B5">
            <w:pPr>
              <w:pStyle w:val="13"/>
            </w:pPr>
            <w:r>
              <w:t>A02061804</w:t>
            </w:r>
          </w:p>
        </w:tc>
        <w:tc>
          <w:tcPr>
            <w:tcW w:w="709" w:type="dxa"/>
            <w:vAlign w:val="center"/>
          </w:tcPr>
          <w:p w14:paraId="6DCFF327">
            <w:pPr>
              <w:pStyle w:val="12"/>
            </w:pPr>
            <w:r>
              <w:t>台</w:t>
            </w:r>
          </w:p>
        </w:tc>
        <w:tc>
          <w:tcPr>
            <w:tcW w:w="850" w:type="dxa"/>
            <w:vAlign w:val="center"/>
          </w:tcPr>
          <w:p w14:paraId="14A52F8B">
            <w:pPr>
              <w:pStyle w:val="14"/>
            </w:pPr>
            <w:r>
              <w:t>5</w:t>
            </w:r>
          </w:p>
        </w:tc>
        <w:tc>
          <w:tcPr>
            <w:tcW w:w="850" w:type="dxa"/>
            <w:vAlign w:val="center"/>
          </w:tcPr>
          <w:p w14:paraId="5F206EA3">
            <w:pPr>
              <w:pStyle w:val="14"/>
            </w:pPr>
            <w:r>
              <w:t>0.24</w:t>
            </w:r>
          </w:p>
        </w:tc>
        <w:tc>
          <w:tcPr>
            <w:tcW w:w="964" w:type="dxa"/>
            <w:vAlign w:val="center"/>
          </w:tcPr>
          <w:p w14:paraId="49D8058F">
            <w:pPr>
              <w:pStyle w:val="14"/>
            </w:pPr>
            <w:r>
              <w:t>1.19</w:t>
            </w:r>
          </w:p>
        </w:tc>
        <w:tc>
          <w:tcPr>
            <w:tcW w:w="964" w:type="dxa"/>
            <w:vAlign w:val="center"/>
          </w:tcPr>
          <w:p w14:paraId="10E3D70C">
            <w:pPr>
              <w:pStyle w:val="14"/>
            </w:pPr>
            <w:r>
              <w:t>1.19</w:t>
            </w:r>
          </w:p>
        </w:tc>
        <w:tc>
          <w:tcPr>
            <w:tcW w:w="964" w:type="dxa"/>
            <w:vAlign w:val="center"/>
          </w:tcPr>
          <w:p w14:paraId="11EA3BA2">
            <w:pPr>
              <w:pStyle w:val="14"/>
            </w:pPr>
          </w:p>
        </w:tc>
        <w:tc>
          <w:tcPr>
            <w:tcW w:w="964" w:type="dxa"/>
            <w:vAlign w:val="center"/>
          </w:tcPr>
          <w:p w14:paraId="0AA25FC5">
            <w:pPr>
              <w:pStyle w:val="14"/>
            </w:pPr>
          </w:p>
        </w:tc>
        <w:tc>
          <w:tcPr>
            <w:tcW w:w="964" w:type="dxa"/>
            <w:vAlign w:val="center"/>
          </w:tcPr>
          <w:p w14:paraId="205C4CE8">
            <w:pPr>
              <w:pStyle w:val="14"/>
            </w:pPr>
          </w:p>
        </w:tc>
        <w:tc>
          <w:tcPr>
            <w:tcW w:w="964" w:type="dxa"/>
            <w:vAlign w:val="center"/>
          </w:tcPr>
          <w:p w14:paraId="121FD5C9">
            <w:pPr>
              <w:pStyle w:val="14"/>
            </w:pPr>
          </w:p>
        </w:tc>
        <w:tc>
          <w:tcPr>
            <w:tcW w:w="964" w:type="dxa"/>
            <w:vAlign w:val="center"/>
          </w:tcPr>
          <w:p w14:paraId="178B5B6D">
            <w:pPr>
              <w:pStyle w:val="14"/>
            </w:pPr>
          </w:p>
        </w:tc>
        <w:tc>
          <w:tcPr>
            <w:tcW w:w="964" w:type="dxa"/>
            <w:vAlign w:val="center"/>
          </w:tcPr>
          <w:p w14:paraId="0732F8DA">
            <w:pPr>
              <w:pStyle w:val="14"/>
            </w:pPr>
            <w:r>
              <w:t>1.19</w:t>
            </w:r>
          </w:p>
        </w:tc>
      </w:tr>
      <w:tr w14:paraId="3BF33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C0FB89">
            <w:pPr>
              <w:pStyle w:val="13"/>
            </w:pPr>
            <w:r>
              <w:t>冀财教[2024]141号/省级/2025年义教补助经费/固城小学公用经费</w:t>
            </w:r>
          </w:p>
        </w:tc>
        <w:tc>
          <w:tcPr>
            <w:tcW w:w="964" w:type="dxa"/>
            <w:vAlign w:val="center"/>
          </w:tcPr>
          <w:p w14:paraId="4731DA24">
            <w:pPr>
              <w:pStyle w:val="14"/>
            </w:pPr>
            <w:r>
              <w:t>12.75</w:t>
            </w:r>
          </w:p>
        </w:tc>
        <w:tc>
          <w:tcPr>
            <w:tcW w:w="1134" w:type="dxa"/>
            <w:vAlign w:val="center"/>
          </w:tcPr>
          <w:p w14:paraId="0BE0AFC6">
            <w:pPr>
              <w:pStyle w:val="13"/>
            </w:pPr>
            <w:r>
              <w:t>空调机</w:t>
            </w:r>
          </w:p>
        </w:tc>
        <w:tc>
          <w:tcPr>
            <w:tcW w:w="1134" w:type="dxa"/>
            <w:vAlign w:val="center"/>
          </w:tcPr>
          <w:p w14:paraId="6EF4BE20">
            <w:pPr>
              <w:pStyle w:val="13"/>
            </w:pPr>
            <w:r>
              <w:t>A02061804</w:t>
            </w:r>
          </w:p>
        </w:tc>
        <w:tc>
          <w:tcPr>
            <w:tcW w:w="709" w:type="dxa"/>
            <w:vAlign w:val="center"/>
          </w:tcPr>
          <w:p w14:paraId="329454A1">
            <w:pPr>
              <w:pStyle w:val="12"/>
            </w:pPr>
            <w:r>
              <w:t>台</w:t>
            </w:r>
          </w:p>
        </w:tc>
        <w:tc>
          <w:tcPr>
            <w:tcW w:w="850" w:type="dxa"/>
            <w:vAlign w:val="center"/>
          </w:tcPr>
          <w:p w14:paraId="546D2445">
            <w:pPr>
              <w:pStyle w:val="14"/>
            </w:pPr>
            <w:r>
              <w:t>4</w:t>
            </w:r>
          </w:p>
        </w:tc>
        <w:tc>
          <w:tcPr>
            <w:tcW w:w="850" w:type="dxa"/>
            <w:vAlign w:val="center"/>
          </w:tcPr>
          <w:p w14:paraId="5E46E499">
            <w:pPr>
              <w:pStyle w:val="14"/>
            </w:pPr>
            <w:r>
              <w:t>0.56</w:t>
            </w:r>
          </w:p>
        </w:tc>
        <w:tc>
          <w:tcPr>
            <w:tcW w:w="964" w:type="dxa"/>
            <w:vAlign w:val="center"/>
          </w:tcPr>
          <w:p w14:paraId="29AFA1B6">
            <w:pPr>
              <w:pStyle w:val="14"/>
            </w:pPr>
            <w:r>
              <w:t>2.24</w:t>
            </w:r>
          </w:p>
        </w:tc>
        <w:tc>
          <w:tcPr>
            <w:tcW w:w="964" w:type="dxa"/>
            <w:vAlign w:val="center"/>
          </w:tcPr>
          <w:p w14:paraId="79A712FE">
            <w:pPr>
              <w:pStyle w:val="14"/>
            </w:pPr>
            <w:r>
              <w:t>2.24</w:t>
            </w:r>
          </w:p>
        </w:tc>
        <w:tc>
          <w:tcPr>
            <w:tcW w:w="964" w:type="dxa"/>
            <w:vAlign w:val="center"/>
          </w:tcPr>
          <w:p w14:paraId="0A9DDB81">
            <w:pPr>
              <w:pStyle w:val="14"/>
            </w:pPr>
          </w:p>
        </w:tc>
        <w:tc>
          <w:tcPr>
            <w:tcW w:w="964" w:type="dxa"/>
            <w:vAlign w:val="center"/>
          </w:tcPr>
          <w:p w14:paraId="2804306C">
            <w:pPr>
              <w:pStyle w:val="14"/>
            </w:pPr>
          </w:p>
        </w:tc>
        <w:tc>
          <w:tcPr>
            <w:tcW w:w="964" w:type="dxa"/>
            <w:vAlign w:val="center"/>
          </w:tcPr>
          <w:p w14:paraId="56322186">
            <w:pPr>
              <w:pStyle w:val="14"/>
            </w:pPr>
          </w:p>
        </w:tc>
        <w:tc>
          <w:tcPr>
            <w:tcW w:w="964" w:type="dxa"/>
            <w:vAlign w:val="center"/>
          </w:tcPr>
          <w:p w14:paraId="348072E8">
            <w:pPr>
              <w:pStyle w:val="14"/>
            </w:pPr>
          </w:p>
        </w:tc>
        <w:tc>
          <w:tcPr>
            <w:tcW w:w="964" w:type="dxa"/>
            <w:vAlign w:val="center"/>
          </w:tcPr>
          <w:p w14:paraId="794FB2AF">
            <w:pPr>
              <w:pStyle w:val="14"/>
            </w:pPr>
          </w:p>
        </w:tc>
        <w:tc>
          <w:tcPr>
            <w:tcW w:w="964" w:type="dxa"/>
            <w:vAlign w:val="center"/>
          </w:tcPr>
          <w:p w14:paraId="689986E9">
            <w:pPr>
              <w:pStyle w:val="14"/>
            </w:pPr>
            <w:r>
              <w:t>2.24</w:t>
            </w:r>
          </w:p>
        </w:tc>
      </w:tr>
      <w:tr w14:paraId="5D06E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053F8E">
            <w:pPr>
              <w:pStyle w:val="13"/>
            </w:pPr>
            <w:r>
              <w:t>冀财教[2024]141号/省级/2025年义教补助经费/固城小学公用经费</w:t>
            </w:r>
          </w:p>
        </w:tc>
        <w:tc>
          <w:tcPr>
            <w:tcW w:w="964" w:type="dxa"/>
            <w:vAlign w:val="center"/>
          </w:tcPr>
          <w:p w14:paraId="7B7C34EA">
            <w:pPr>
              <w:pStyle w:val="14"/>
            </w:pPr>
            <w:r>
              <w:t>12.75</w:t>
            </w:r>
          </w:p>
        </w:tc>
        <w:tc>
          <w:tcPr>
            <w:tcW w:w="1134" w:type="dxa"/>
            <w:vAlign w:val="center"/>
          </w:tcPr>
          <w:p w14:paraId="00F2F70E">
            <w:pPr>
              <w:pStyle w:val="13"/>
            </w:pPr>
            <w:r>
              <w:t>空调机</w:t>
            </w:r>
          </w:p>
        </w:tc>
        <w:tc>
          <w:tcPr>
            <w:tcW w:w="1134" w:type="dxa"/>
            <w:vAlign w:val="center"/>
          </w:tcPr>
          <w:p w14:paraId="4A41AA4D">
            <w:pPr>
              <w:pStyle w:val="13"/>
            </w:pPr>
            <w:r>
              <w:t>A02061804</w:t>
            </w:r>
          </w:p>
        </w:tc>
        <w:tc>
          <w:tcPr>
            <w:tcW w:w="709" w:type="dxa"/>
            <w:vAlign w:val="center"/>
          </w:tcPr>
          <w:p w14:paraId="010E6E30">
            <w:pPr>
              <w:pStyle w:val="12"/>
            </w:pPr>
            <w:r>
              <w:t>台</w:t>
            </w:r>
          </w:p>
        </w:tc>
        <w:tc>
          <w:tcPr>
            <w:tcW w:w="850" w:type="dxa"/>
            <w:vAlign w:val="center"/>
          </w:tcPr>
          <w:p w14:paraId="158E8CD2">
            <w:pPr>
              <w:pStyle w:val="14"/>
            </w:pPr>
            <w:r>
              <w:t>6</w:t>
            </w:r>
          </w:p>
        </w:tc>
        <w:tc>
          <w:tcPr>
            <w:tcW w:w="850" w:type="dxa"/>
            <w:vAlign w:val="center"/>
          </w:tcPr>
          <w:p w14:paraId="2CFC62B7">
            <w:pPr>
              <w:pStyle w:val="14"/>
            </w:pPr>
            <w:r>
              <w:t>0.25</w:t>
            </w:r>
          </w:p>
        </w:tc>
        <w:tc>
          <w:tcPr>
            <w:tcW w:w="964" w:type="dxa"/>
            <w:vAlign w:val="center"/>
          </w:tcPr>
          <w:p w14:paraId="1218E7C5">
            <w:pPr>
              <w:pStyle w:val="14"/>
            </w:pPr>
            <w:r>
              <w:t>1.50</w:t>
            </w:r>
          </w:p>
        </w:tc>
        <w:tc>
          <w:tcPr>
            <w:tcW w:w="964" w:type="dxa"/>
            <w:vAlign w:val="center"/>
          </w:tcPr>
          <w:p w14:paraId="79D081FB">
            <w:pPr>
              <w:pStyle w:val="14"/>
            </w:pPr>
            <w:r>
              <w:t>1.50</w:t>
            </w:r>
          </w:p>
        </w:tc>
        <w:tc>
          <w:tcPr>
            <w:tcW w:w="964" w:type="dxa"/>
            <w:vAlign w:val="center"/>
          </w:tcPr>
          <w:p w14:paraId="4DA63A2E">
            <w:pPr>
              <w:pStyle w:val="14"/>
            </w:pPr>
          </w:p>
        </w:tc>
        <w:tc>
          <w:tcPr>
            <w:tcW w:w="964" w:type="dxa"/>
            <w:vAlign w:val="center"/>
          </w:tcPr>
          <w:p w14:paraId="584F9E35">
            <w:pPr>
              <w:pStyle w:val="14"/>
            </w:pPr>
          </w:p>
        </w:tc>
        <w:tc>
          <w:tcPr>
            <w:tcW w:w="964" w:type="dxa"/>
            <w:vAlign w:val="center"/>
          </w:tcPr>
          <w:p w14:paraId="141BBFAC">
            <w:pPr>
              <w:pStyle w:val="14"/>
            </w:pPr>
          </w:p>
        </w:tc>
        <w:tc>
          <w:tcPr>
            <w:tcW w:w="964" w:type="dxa"/>
            <w:vAlign w:val="center"/>
          </w:tcPr>
          <w:p w14:paraId="5243BBAC">
            <w:pPr>
              <w:pStyle w:val="14"/>
            </w:pPr>
          </w:p>
        </w:tc>
        <w:tc>
          <w:tcPr>
            <w:tcW w:w="964" w:type="dxa"/>
            <w:vAlign w:val="center"/>
          </w:tcPr>
          <w:p w14:paraId="65AE79EE">
            <w:pPr>
              <w:pStyle w:val="14"/>
            </w:pPr>
          </w:p>
        </w:tc>
        <w:tc>
          <w:tcPr>
            <w:tcW w:w="964" w:type="dxa"/>
            <w:vAlign w:val="center"/>
          </w:tcPr>
          <w:p w14:paraId="65BF340A">
            <w:pPr>
              <w:pStyle w:val="14"/>
            </w:pPr>
            <w:r>
              <w:t>1.50</w:t>
            </w:r>
          </w:p>
        </w:tc>
      </w:tr>
      <w:tr w14:paraId="5DCB2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6C7635">
            <w:pPr>
              <w:pStyle w:val="13"/>
            </w:pPr>
            <w:r>
              <w:t>冀财教[2024]141号/省级/2025年义教补助经费/固城小学公用经费</w:t>
            </w:r>
          </w:p>
        </w:tc>
        <w:tc>
          <w:tcPr>
            <w:tcW w:w="964" w:type="dxa"/>
            <w:vAlign w:val="center"/>
          </w:tcPr>
          <w:p w14:paraId="13D93B07">
            <w:pPr>
              <w:pStyle w:val="14"/>
            </w:pPr>
            <w:r>
              <w:t>12.75</w:t>
            </w:r>
          </w:p>
        </w:tc>
        <w:tc>
          <w:tcPr>
            <w:tcW w:w="1134" w:type="dxa"/>
            <w:vAlign w:val="center"/>
          </w:tcPr>
          <w:p w14:paraId="455974C5">
            <w:pPr>
              <w:pStyle w:val="13"/>
            </w:pPr>
            <w:r>
              <w:t>会议桌</w:t>
            </w:r>
          </w:p>
        </w:tc>
        <w:tc>
          <w:tcPr>
            <w:tcW w:w="1134" w:type="dxa"/>
            <w:vAlign w:val="center"/>
          </w:tcPr>
          <w:p w14:paraId="61759B24">
            <w:pPr>
              <w:pStyle w:val="13"/>
            </w:pPr>
            <w:r>
              <w:t>A05010202</w:t>
            </w:r>
          </w:p>
        </w:tc>
        <w:tc>
          <w:tcPr>
            <w:tcW w:w="709" w:type="dxa"/>
            <w:vAlign w:val="center"/>
          </w:tcPr>
          <w:p w14:paraId="61990D74">
            <w:pPr>
              <w:pStyle w:val="12"/>
            </w:pPr>
            <w:r>
              <w:t>套</w:t>
            </w:r>
          </w:p>
        </w:tc>
        <w:tc>
          <w:tcPr>
            <w:tcW w:w="850" w:type="dxa"/>
            <w:vAlign w:val="center"/>
          </w:tcPr>
          <w:p w14:paraId="445511D7">
            <w:pPr>
              <w:pStyle w:val="14"/>
            </w:pPr>
            <w:r>
              <w:t>1</w:t>
            </w:r>
          </w:p>
        </w:tc>
        <w:tc>
          <w:tcPr>
            <w:tcW w:w="850" w:type="dxa"/>
            <w:vAlign w:val="center"/>
          </w:tcPr>
          <w:p w14:paraId="19061ED4">
            <w:pPr>
              <w:pStyle w:val="14"/>
            </w:pPr>
            <w:r>
              <w:t>0.50</w:t>
            </w:r>
          </w:p>
        </w:tc>
        <w:tc>
          <w:tcPr>
            <w:tcW w:w="964" w:type="dxa"/>
            <w:vAlign w:val="center"/>
          </w:tcPr>
          <w:p w14:paraId="6A160E08">
            <w:pPr>
              <w:pStyle w:val="14"/>
            </w:pPr>
            <w:r>
              <w:t>0.50</w:t>
            </w:r>
          </w:p>
        </w:tc>
        <w:tc>
          <w:tcPr>
            <w:tcW w:w="964" w:type="dxa"/>
            <w:vAlign w:val="center"/>
          </w:tcPr>
          <w:p w14:paraId="063DE6EB">
            <w:pPr>
              <w:pStyle w:val="14"/>
            </w:pPr>
            <w:r>
              <w:t>0.50</w:t>
            </w:r>
          </w:p>
        </w:tc>
        <w:tc>
          <w:tcPr>
            <w:tcW w:w="964" w:type="dxa"/>
            <w:vAlign w:val="center"/>
          </w:tcPr>
          <w:p w14:paraId="19E9D82F">
            <w:pPr>
              <w:pStyle w:val="14"/>
            </w:pPr>
          </w:p>
        </w:tc>
        <w:tc>
          <w:tcPr>
            <w:tcW w:w="964" w:type="dxa"/>
            <w:vAlign w:val="center"/>
          </w:tcPr>
          <w:p w14:paraId="209F9BA2">
            <w:pPr>
              <w:pStyle w:val="14"/>
            </w:pPr>
          </w:p>
        </w:tc>
        <w:tc>
          <w:tcPr>
            <w:tcW w:w="964" w:type="dxa"/>
            <w:vAlign w:val="center"/>
          </w:tcPr>
          <w:p w14:paraId="7E74D28F">
            <w:pPr>
              <w:pStyle w:val="14"/>
            </w:pPr>
          </w:p>
        </w:tc>
        <w:tc>
          <w:tcPr>
            <w:tcW w:w="964" w:type="dxa"/>
            <w:vAlign w:val="center"/>
          </w:tcPr>
          <w:p w14:paraId="49D260A6">
            <w:pPr>
              <w:pStyle w:val="14"/>
            </w:pPr>
          </w:p>
        </w:tc>
        <w:tc>
          <w:tcPr>
            <w:tcW w:w="964" w:type="dxa"/>
            <w:vAlign w:val="center"/>
          </w:tcPr>
          <w:p w14:paraId="34468651">
            <w:pPr>
              <w:pStyle w:val="14"/>
            </w:pPr>
          </w:p>
        </w:tc>
        <w:tc>
          <w:tcPr>
            <w:tcW w:w="964" w:type="dxa"/>
            <w:vAlign w:val="center"/>
          </w:tcPr>
          <w:p w14:paraId="237FFD93">
            <w:pPr>
              <w:pStyle w:val="14"/>
            </w:pPr>
            <w:r>
              <w:t>0.50</w:t>
            </w:r>
          </w:p>
        </w:tc>
      </w:tr>
      <w:tr w14:paraId="78769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C7EC70">
            <w:pPr>
              <w:pStyle w:val="13"/>
            </w:pPr>
            <w:r>
              <w:t>冀财教[2024]141号/省级/2025年义教补助经费/火连庄小学公用经费</w:t>
            </w:r>
          </w:p>
        </w:tc>
        <w:tc>
          <w:tcPr>
            <w:tcW w:w="964" w:type="dxa"/>
            <w:vAlign w:val="center"/>
          </w:tcPr>
          <w:p w14:paraId="39159D1B">
            <w:pPr>
              <w:pStyle w:val="14"/>
            </w:pPr>
            <w:r>
              <w:t>14.03</w:t>
            </w:r>
          </w:p>
        </w:tc>
        <w:tc>
          <w:tcPr>
            <w:tcW w:w="1134" w:type="dxa"/>
            <w:vAlign w:val="center"/>
          </w:tcPr>
          <w:p w14:paraId="7EB6E345">
            <w:pPr>
              <w:pStyle w:val="13"/>
            </w:pPr>
            <w:r>
              <w:t>A3 黑白打印机</w:t>
            </w:r>
          </w:p>
        </w:tc>
        <w:tc>
          <w:tcPr>
            <w:tcW w:w="1134" w:type="dxa"/>
            <w:vAlign w:val="center"/>
          </w:tcPr>
          <w:p w14:paraId="38628134">
            <w:pPr>
              <w:pStyle w:val="13"/>
            </w:pPr>
            <w:r>
              <w:t>A02021001</w:t>
            </w:r>
          </w:p>
        </w:tc>
        <w:tc>
          <w:tcPr>
            <w:tcW w:w="709" w:type="dxa"/>
            <w:vAlign w:val="center"/>
          </w:tcPr>
          <w:p w14:paraId="2558E200">
            <w:pPr>
              <w:pStyle w:val="12"/>
            </w:pPr>
            <w:r>
              <w:t>台</w:t>
            </w:r>
          </w:p>
        </w:tc>
        <w:tc>
          <w:tcPr>
            <w:tcW w:w="850" w:type="dxa"/>
            <w:vAlign w:val="center"/>
          </w:tcPr>
          <w:p w14:paraId="11C344D4">
            <w:pPr>
              <w:pStyle w:val="14"/>
            </w:pPr>
            <w:r>
              <w:t>1</w:t>
            </w:r>
          </w:p>
        </w:tc>
        <w:tc>
          <w:tcPr>
            <w:tcW w:w="850" w:type="dxa"/>
            <w:vAlign w:val="center"/>
          </w:tcPr>
          <w:p w14:paraId="06790DDF">
            <w:pPr>
              <w:pStyle w:val="14"/>
            </w:pPr>
            <w:r>
              <w:t>0.50</w:t>
            </w:r>
          </w:p>
        </w:tc>
        <w:tc>
          <w:tcPr>
            <w:tcW w:w="964" w:type="dxa"/>
            <w:vAlign w:val="center"/>
          </w:tcPr>
          <w:p w14:paraId="69A777AC">
            <w:pPr>
              <w:pStyle w:val="14"/>
            </w:pPr>
            <w:r>
              <w:t>0.50</w:t>
            </w:r>
          </w:p>
        </w:tc>
        <w:tc>
          <w:tcPr>
            <w:tcW w:w="964" w:type="dxa"/>
            <w:vAlign w:val="center"/>
          </w:tcPr>
          <w:p w14:paraId="4E7E0211">
            <w:pPr>
              <w:pStyle w:val="14"/>
            </w:pPr>
            <w:r>
              <w:t>0.50</w:t>
            </w:r>
          </w:p>
        </w:tc>
        <w:tc>
          <w:tcPr>
            <w:tcW w:w="964" w:type="dxa"/>
            <w:vAlign w:val="center"/>
          </w:tcPr>
          <w:p w14:paraId="4FF81857">
            <w:pPr>
              <w:pStyle w:val="14"/>
            </w:pPr>
          </w:p>
        </w:tc>
        <w:tc>
          <w:tcPr>
            <w:tcW w:w="964" w:type="dxa"/>
            <w:vAlign w:val="center"/>
          </w:tcPr>
          <w:p w14:paraId="06855144">
            <w:pPr>
              <w:pStyle w:val="14"/>
            </w:pPr>
          </w:p>
        </w:tc>
        <w:tc>
          <w:tcPr>
            <w:tcW w:w="964" w:type="dxa"/>
            <w:vAlign w:val="center"/>
          </w:tcPr>
          <w:p w14:paraId="3AD30CAE">
            <w:pPr>
              <w:pStyle w:val="14"/>
            </w:pPr>
          </w:p>
        </w:tc>
        <w:tc>
          <w:tcPr>
            <w:tcW w:w="964" w:type="dxa"/>
            <w:vAlign w:val="center"/>
          </w:tcPr>
          <w:p w14:paraId="5F8838EC">
            <w:pPr>
              <w:pStyle w:val="14"/>
            </w:pPr>
          </w:p>
        </w:tc>
        <w:tc>
          <w:tcPr>
            <w:tcW w:w="964" w:type="dxa"/>
            <w:vAlign w:val="center"/>
          </w:tcPr>
          <w:p w14:paraId="757FC030">
            <w:pPr>
              <w:pStyle w:val="14"/>
            </w:pPr>
          </w:p>
        </w:tc>
        <w:tc>
          <w:tcPr>
            <w:tcW w:w="964" w:type="dxa"/>
            <w:vAlign w:val="center"/>
          </w:tcPr>
          <w:p w14:paraId="767BAA33">
            <w:pPr>
              <w:pStyle w:val="14"/>
            </w:pPr>
            <w:r>
              <w:t>0.50</w:t>
            </w:r>
          </w:p>
        </w:tc>
      </w:tr>
      <w:tr w14:paraId="47F95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41D490">
            <w:pPr>
              <w:pStyle w:val="13"/>
            </w:pPr>
            <w:r>
              <w:t>冀财教[2024]141号/省级/2025年义教补助经费/火连庄小学公用经费</w:t>
            </w:r>
          </w:p>
        </w:tc>
        <w:tc>
          <w:tcPr>
            <w:tcW w:w="964" w:type="dxa"/>
            <w:vAlign w:val="center"/>
          </w:tcPr>
          <w:p w14:paraId="530D6629">
            <w:pPr>
              <w:pStyle w:val="14"/>
            </w:pPr>
            <w:r>
              <w:t>14.03</w:t>
            </w:r>
          </w:p>
        </w:tc>
        <w:tc>
          <w:tcPr>
            <w:tcW w:w="1134" w:type="dxa"/>
            <w:vAlign w:val="center"/>
          </w:tcPr>
          <w:p w14:paraId="17C0DB15">
            <w:pPr>
              <w:pStyle w:val="13"/>
            </w:pPr>
            <w:r>
              <w:t>空调机</w:t>
            </w:r>
          </w:p>
        </w:tc>
        <w:tc>
          <w:tcPr>
            <w:tcW w:w="1134" w:type="dxa"/>
            <w:vAlign w:val="center"/>
          </w:tcPr>
          <w:p w14:paraId="47A7B205">
            <w:pPr>
              <w:pStyle w:val="13"/>
            </w:pPr>
            <w:r>
              <w:t>A02061804</w:t>
            </w:r>
          </w:p>
        </w:tc>
        <w:tc>
          <w:tcPr>
            <w:tcW w:w="709" w:type="dxa"/>
            <w:vAlign w:val="center"/>
          </w:tcPr>
          <w:p w14:paraId="05ECA8B9">
            <w:pPr>
              <w:pStyle w:val="12"/>
            </w:pPr>
            <w:r>
              <w:t>台</w:t>
            </w:r>
          </w:p>
        </w:tc>
        <w:tc>
          <w:tcPr>
            <w:tcW w:w="850" w:type="dxa"/>
            <w:vAlign w:val="center"/>
          </w:tcPr>
          <w:p w14:paraId="7506CC96">
            <w:pPr>
              <w:pStyle w:val="14"/>
            </w:pPr>
            <w:r>
              <w:t>2</w:t>
            </w:r>
          </w:p>
        </w:tc>
        <w:tc>
          <w:tcPr>
            <w:tcW w:w="850" w:type="dxa"/>
            <w:vAlign w:val="center"/>
          </w:tcPr>
          <w:p w14:paraId="26F47B6B">
            <w:pPr>
              <w:pStyle w:val="14"/>
            </w:pPr>
            <w:r>
              <w:t>0.56</w:t>
            </w:r>
          </w:p>
        </w:tc>
        <w:tc>
          <w:tcPr>
            <w:tcW w:w="964" w:type="dxa"/>
            <w:vAlign w:val="center"/>
          </w:tcPr>
          <w:p w14:paraId="43E4612D">
            <w:pPr>
              <w:pStyle w:val="14"/>
            </w:pPr>
            <w:r>
              <w:t>1.12</w:t>
            </w:r>
          </w:p>
        </w:tc>
        <w:tc>
          <w:tcPr>
            <w:tcW w:w="964" w:type="dxa"/>
            <w:vAlign w:val="center"/>
          </w:tcPr>
          <w:p w14:paraId="46FCA969">
            <w:pPr>
              <w:pStyle w:val="14"/>
            </w:pPr>
            <w:r>
              <w:t>1.12</w:t>
            </w:r>
          </w:p>
        </w:tc>
        <w:tc>
          <w:tcPr>
            <w:tcW w:w="964" w:type="dxa"/>
            <w:vAlign w:val="center"/>
          </w:tcPr>
          <w:p w14:paraId="4DB04801">
            <w:pPr>
              <w:pStyle w:val="14"/>
            </w:pPr>
          </w:p>
        </w:tc>
        <w:tc>
          <w:tcPr>
            <w:tcW w:w="964" w:type="dxa"/>
            <w:vAlign w:val="center"/>
          </w:tcPr>
          <w:p w14:paraId="420F9CEA">
            <w:pPr>
              <w:pStyle w:val="14"/>
            </w:pPr>
          </w:p>
        </w:tc>
        <w:tc>
          <w:tcPr>
            <w:tcW w:w="964" w:type="dxa"/>
            <w:vAlign w:val="center"/>
          </w:tcPr>
          <w:p w14:paraId="54B2FB90">
            <w:pPr>
              <w:pStyle w:val="14"/>
            </w:pPr>
          </w:p>
        </w:tc>
        <w:tc>
          <w:tcPr>
            <w:tcW w:w="964" w:type="dxa"/>
            <w:vAlign w:val="center"/>
          </w:tcPr>
          <w:p w14:paraId="63B111A4">
            <w:pPr>
              <w:pStyle w:val="14"/>
            </w:pPr>
          </w:p>
        </w:tc>
        <w:tc>
          <w:tcPr>
            <w:tcW w:w="964" w:type="dxa"/>
            <w:vAlign w:val="center"/>
          </w:tcPr>
          <w:p w14:paraId="1AB18350">
            <w:pPr>
              <w:pStyle w:val="14"/>
            </w:pPr>
          </w:p>
        </w:tc>
        <w:tc>
          <w:tcPr>
            <w:tcW w:w="964" w:type="dxa"/>
            <w:vAlign w:val="center"/>
          </w:tcPr>
          <w:p w14:paraId="0407F0F4">
            <w:pPr>
              <w:pStyle w:val="14"/>
            </w:pPr>
            <w:r>
              <w:t>1.12</w:t>
            </w:r>
          </w:p>
        </w:tc>
      </w:tr>
      <w:tr w14:paraId="4155B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57F4B4">
            <w:pPr>
              <w:pStyle w:val="13"/>
            </w:pPr>
            <w:r>
              <w:t>冀财教[2024]141号/省级/2025年义教补助经费/火连庄小学公用经费</w:t>
            </w:r>
          </w:p>
        </w:tc>
        <w:tc>
          <w:tcPr>
            <w:tcW w:w="964" w:type="dxa"/>
            <w:vAlign w:val="center"/>
          </w:tcPr>
          <w:p w14:paraId="2DC6D0A5">
            <w:pPr>
              <w:pStyle w:val="14"/>
            </w:pPr>
            <w:r>
              <w:t>14.03</w:t>
            </w:r>
          </w:p>
        </w:tc>
        <w:tc>
          <w:tcPr>
            <w:tcW w:w="1134" w:type="dxa"/>
            <w:vAlign w:val="center"/>
          </w:tcPr>
          <w:p w14:paraId="05E67FCC">
            <w:pPr>
              <w:pStyle w:val="13"/>
            </w:pPr>
            <w:r>
              <w:t>空调机</w:t>
            </w:r>
          </w:p>
        </w:tc>
        <w:tc>
          <w:tcPr>
            <w:tcW w:w="1134" w:type="dxa"/>
            <w:vAlign w:val="center"/>
          </w:tcPr>
          <w:p w14:paraId="39180EC2">
            <w:pPr>
              <w:pStyle w:val="13"/>
            </w:pPr>
            <w:r>
              <w:t>A02061804</w:t>
            </w:r>
          </w:p>
        </w:tc>
        <w:tc>
          <w:tcPr>
            <w:tcW w:w="709" w:type="dxa"/>
            <w:vAlign w:val="center"/>
          </w:tcPr>
          <w:p w14:paraId="2EBF86E6">
            <w:pPr>
              <w:pStyle w:val="12"/>
            </w:pPr>
            <w:r>
              <w:t>台</w:t>
            </w:r>
          </w:p>
        </w:tc>
        <w:tc>
          <w:tcPr>
            <w:tcW w:w="850" w:type="dxa"/>
            <w:vAlign w:val="center"/>
          </w:tcPr>
          <w:p w14:paraId="087FFCA4">
            <w:pPr>
              <w:pStyle w:val="14"/>
            </w:pPr>
            <w:r>
              <w:t>12</w:t>
            </w:r>
          </w:p>
        </w:tc>
        <w:tc>
          <w:tcPr>
            <w:tcW w:w="850" w:type="dxa"/>
            <w:vAlign w:val="center"/>
          </w:tcPr>
          <w:p w14:paraId="202CB44B">
            <w:pPr>
              <w:pStyle w:val="14"/>
            </w:pPr>
            <w:r>
              <w:t>0.24</w:t>
            </w:r>
          </w:p>
        </w:tc>
        <w:tc>
          <w:tcPr>
            <w:tcW w:w="964" w:type="dxa"/>
            <w:vAlign w:val="center"/>
          </w:tcPr>
          <w:p w14:paraId="10A8DB45">
            <w:pPr>
              <w:pStyle w:val="14"/>
            </w:pPr>
            <w:r>
              <w:t>2.84</w:t>
            </w:r>
          </w:p>
        </w:tc>
        <w:tc>
          <w:tcPr>
            <w:tcW w:w="964" w:type="dxa"/>
            <w:vAlign w:val="center"/>
          </w:tcPr>
          <w:p w14:paraId="0FDF56D9">
            <w:pPr>
              <w:pStyle w:val="14"/>
            </w:pPr>
            <w:r>
              <w:t>2.84</w:t>
            </w:r>
          </w:p>
        </w:tc>
        <w:tc>
          <w:tcPr>
            <w:tcW w:w="964" w:type="dxa"/>
            <w:vAlign w:val="center"/>
          </w:tcPr>
          <w:p w14:paraId="0C5FEFD7">
            <w:pPr>
              <w:pStyle w:val="14"/>
            </w:pPr>
          </w:p>
        </w:tc>
        <w:tc>
          <w:tcPr>
            <w:tcW w:w="964" w:type="dxa"/>
            <w:vAlign w:val="center"/>
          </w:tcPr>
          <w:p w14:paraId="33E8CE41">
            <w:pPr>
              <w:pStyle w:val="14"/>
            </w:pPr>
          </w:p>
        </w:tc>
        <w:tc>
          <w:tcPr>
            <w:tcW w:w="964" w:type="dxa"/>
            <w:vAlign w:val="center"/>
          </w:tcPr>
          <w:p w14:paraId="5064D03D">
            <w:pPr>
              <w:pStyle w:val="14"/>
            </w:pPr>
          </w:p>
        </w:tc>
        <w:tc>
          <w:tcPr>
            <w:tcW w:w="964" w:type="dxa"/>
            <w:vAlign w:val="center"/>
          </w:tcPr>
          <w:p w14:paraId="7ACD8D0A">
            <w:pPr>
              <w:pStyle w:val="14"/>
            </w:pPr>
          </w:p>
        </w:tc>
        <w:tc>
          <w:tcPr>
            <w:tcW w:w="964" w:type="dxa"/>
            <w:vAlign w:val="center"/>
          </w:tcPr>
          <w:p w14:paraId="1A5C538E">
            <w:pPr>
              <w:pStyle w:val="14"/>
            </w:pPr>
          </w:p>
        </w:tc>
        <w:tc>
          <w:tcPr>
            <w:tcW w:w="964" w:type="dxa"/>
            <w:vAlign w:val="center"/>
          </w:tcPr>
          <w:p w14:paraId="5CD9B668">
            <w:pPr>
              <w:pStyle w:val="14"/>
            </w:pPr>
            <w:r>
              <w:t>2.84</w:t>
            </w:r>
          </w:p>
        </w:tc>
      </w:tr>
      <w:tr w14:paraId="163F3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900589C">
            <w:pPr>
              <w:pStyle w:val="13"/>
            </w:pPr>
            <w:r>
              <w:t>冀财教[2024]141号/省级/2025年义教补助经费/乡观小学公用经费</w:t>
            </w:r>
          </w:p>
        </w:tc>
        <w:tc>
          <w:tcPr>
            <w:tcW w:w="964" w:type="dxa"/>
            <w:vAlign w:val="center"/>
          </w:tcPr>
          <w:p w14:paraId="5A8B1495">
            <w:pPr>
              <w:pStyle w:val="14"/>
            </w:pPr>
            <w:r>
              <w:t>2.69</w:t>
            </w:r>
          </w:p>
        </w:tc>
        <w:tc>
          <w:tcPr>
            <w:tcW w:w="1134" w:type="dxa"/>
            <w:vAlign w:val="center"/>
          </w:tcPr>
          <w:p w14:paraId="159C594B">
            <w:pPr>
              <w:pStyle w:val="13"/>
            </w:pPr>
            <w:r>
              <w:t>A4 黑白打印机</w:t>
            </w:r>
          </w:p>
        </w:tc>
        <w:tc>
          <w:tcPr>
            <w:tcW w:w="1134" w:type="dxa"/>
            <w:vAlign w:val="center"/>
          </w:tcPr>
          <w:p w14:paraId="2254568F">
            <w:pPr>
              <w:pStyle w:val="13"/>
            </w:pPr>
            <w:r>
              <w:t>A02021003</w:t>
            </w:r>
          </w:p>
        </w:tc>
        <w:tc>
          <w:tcPr>
            <w:tcW w:w="709" w:type="dxa"/>
            <w:vAlign w:val="center"/>
          </w:tcPr>
          <w:p w14:paraId="62F7115B">
            <w:pPr>
              <w:pStyle w:val="12"/>
            </w:pPr>
            <w:r>
              <w:t>台</w:t>
            </w:r>
          </w:p>
        </w:tc>
        <w:tc>
          <w:tcPr>
            <w:tcW w:w="850" w:type="dxa"/>
            <w:vAlign w:val="center"/>
          </w:tcPr>
          <w:p w14:paraId="28C0C26C">
            <w:pPr>
              <w:pStyle w:val="14"/>
            </w:pPr>
            <w:r>
              <w:t>1</w:t>
            </w:r>
          </w:p>
        </w:tc>
        <w:tc>
          <w:tcPr>
            <w:tcW w:w="850" w:type="dxa"/>
            <w:vAlign w:val="center"/>
          </w:tcPr>
          <w:p w14:paraId="512D2AF3">
            <w:pPr>
              <w:pStyle w:val="14"/>
            </w:pPr>
            <w:r>
              <w:t>0.25</w:t>
            </w:r>
          </w:p>
        </w:tc>
        <w:tc>
          <w:tcPr>
            <w:tcW w:w="964" w:type="dxa"/>
            <w:vAlign w:val="center"/>
          </w:tcPr>
          <w:p w14:paraId="53C31139">
            <w:pPr>
              <w:pStyle w:val="14"/>
            </w:pPr>
            <w:r>
              <w:t>0.25</w:t>
            </w:r>
          </w:p>
        </w:tc>
        <w:tc>
          <w:tcPr>
            <w:tcW w:w="964" w:type="dxa"/>
            <w:vAlign w:val="center"/>
          </w:tcPr>
          <w:p w14:paraId="796E39DF">
            <w:pPr>
              <w:pStyle w:val="14"/>
            </w:pPr>
            <w:r>
              <w:t>0.25</w:t>
            </w:r>
          </w:p>
        </w:tc>
        <w:tc>
          <w:tcPr>
            <w:tcW w:w="964" w:type="dxa"/>
            <w:vAlign w:val="center"/>
          </w:tcPr>
          <w:p w14:paraId="7781D76C">
            <w:pPr>
              <w:pStyle w:val="14"/>
            </w:pPr>
          </w:p>
        </w:tc>
        <w:tc>
          <w:tcPr>
            <w:tcW w:w="964" w:type="dxa"/>
            <w:vAlign w:val="center"/>
          </w:tcPr>
          <w:p w14:paraId="48CF7219">
            <w:pPr>
              <w:pStyle w:val="14"/>
            </w:pPr>
          </w:p>
        </w:tc>
        <w:tc>
          <w:tcPr>
            <w:tcW w:w="964" w:type="dxa"/>
            <w:vAlign w:val="center"/>
          </w:tcPr>
          <w:p w14:paraId="62A7C9AD">
            <w:pPr>
              <w:pStyle w:val="14"/>
            </w:pPr>
          </w:p>
        </w:tc>
        <w:tc>
          <w:tcPr>
            <w:tcW w:w="964" w:type="dxa"/>
            <w:vAlign w:val="center"/>
          </w:tcPr>
          <w:p w14:paraId="10DDD964">
            <w:pPr>
              <w:pStyle w:val="14"/>
            </w:pPr>
          </w:p>
        </w:tc>
        <w:tc>
          <w:tcPr>
            <w:tcW w:w="964" w:type="dxa"/>
            <w:vAlign w:val="center"/>
          </w:tcPr>
          <w:p w14:paraId="7D2829F1">
            <w:pPr>
              <w:pStyle w:val="14"/>
            </w:pPr>
          </w:p>
        </w:tc>
        <w:tc>
          <w:tcPr>
            <w:tcW w:w="964" w:type="dxa"/>
            <w:vAlign w:val="center"/>
          </w:tcPr>
          <w:p w14:paraId="2D4D8BEC">
            <w:pPr>
              <w:pStyle w:val="14"/>
            </w:pPr>
            <w:r>
              <w:t>0.25</w:t>
            </w:r>
          </w:p>
        </w:tc>
      </w:tr>
      <w:tr w14:paraId="15585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9A550D">
            <w:pPr>
              <w:pStyle w:val="13"/>
            </w:pPr>
            <w:r>
              <w:t>冀财教[2024]141号/省级/2025年义教补助经费/乡观小学公用经费</w:t>
            </w:r>
          </w:p>
        </w:tc>
        <w:tc>
          <w:tcPr>
            <w:tcW w:w="964" w:type="dxa"/>
            <w:vAlign w:val="center"/>
          </w:tcPr>
          <w:p w14:paraId="56DB428F">
            <w:pPr>
              <w:pStyle w:val="14"/>
            </w:pPr>
            <w:r>
              <w:t>2.69</w:t>
            </w:r>
          </w:p>
        </w:tc>
        <w:tc>
          <w:tcPr>
            <w:tcW w:w="1134" w:type="dxa"/>
            <w:vAlign w:val="center"/>
          </w:tcPr>
          <w:p w14:paraId="7B373727">
            <w:pPr>
              <w:pStyle w:val="13"/>
            </w:pPr>
            <w:r>
              <w:t>空调机</w:t>
            </w:r>
          </w:p>
        </w:tc>
        <w:tc>
          <w:tcPr>
            <w:tcW w:w="1134" w:type="dxa"/>
            <w:vAlign w:val="center"/>
          </w:tcPr>
          <w:p w14:paraId="5FE5BC84">
            <w:pPr>
              <w:pStyle w:val="13"/>
            </w:pPr>
            <w:r>
              <w:t>A02061804</w:t>
            </w:r>
          </w:p>
        </w:tc>
        <w:tc>
          <w:tcPr>
            <w:tcW w:w="709" w:type="dxa"/>
            <w:vAlign w:val="center"/>
          </w:tcPr>
          <w:p w14:paraId="519E61A1">
            <w:pPr>
              <w:pStyle w:val="12"/>
            </w:pPr>
            <w:r>
              <w:t>台</w:t>
            </w:r>
          </w:p>
        </w:tc>
        <w:tc>
          <w:tcPr>
            <w:tcW w:w="850" w:type="dxa"/>
            <w:vAlign w:val="center"/>
          </w:tcPr>
          <w:p w14:paraId="24F834B3">
            <w:pPr>
              <w:pStyle w:val="14"/>
            </w:pPr>
            <w:r>
              <w:t>1</w:t>
            </w:r>
          </w:p>
        </w:tc>
        <w:tc>
          <w:tcPr>
            <w:tcW w:w="850" w:type="dxa"/>
            <w:vAlign w:val="center"/>
          </w:tcPr>
          <w:p w14:paraId="3FF5A64A">
            <w:pPr>
              <w:pStyle w:val="14"/>
            </w:pPr>
            <w:r>
              <w:t>0.56</w:t>
            </w:r>
          </w:p>
        </w:tc>
        <w:tc>
          <w:tcPr>
            <w:tcW w:w="964" w:type="dxa"/>
            <w:vAlign w:val="center"/>
          </w:tcPr>
          <w:p w14:paraId="7B743355">
            <w:pPr>
              <w:pStyle w:val="14"/>
            </w:pPr>
            <w:r>
              <w:t>0.56</w:t>
            </w:r>
          </w:p>
        </w:tc>
        <w:tc>
          <w:tcPr>
            <w:tcW w:w="964" w:type="dxa"/>
            <w:vAlign w:val="center"/>
          </w:tcPr>
          <w:p w14:paraId="05B425DF">
            <w:pPr>
              <w:pStyle w:val="14"/>
            </w:pPr>
            <w:r>
              <w:t>0.56</w:t>
            </w:r>
          </w:p>
        </w:tc>
        <w:tc>
          <w:tcPr>
            <w:tcW w:w="964" w:type="dxa"/>
            <w:vAlign w:val="center"/>
          </w:tcPr>
          <w:p w14:paraId="6DFF95D2">
            <w:pPr>
              <w:pStyle w:val="14"/>
            </w:pPr>
          </w:p>
        </w:tc>
        <w:tc>
          <w:tcPr>
            <w:tcW w:w="964" w:type="dxa"/>
            <w:vAlign w:val="center"/>
          </w:tcPr>
          <w:p w14:paraId="41222802">
            <w:pPr>
              <w:pStyle w:val="14"/>
            </w:pPr>
          </w:p>
        </w:tc>
        <w:tc>
          <w:tcPr>
            <w:tcW w:w="964" w:type="dxa"/>
            <w:vAlign w:val="center"/>
          </w:tcPr>
          <w:p w14:paraId="44DE9232">
            <w:pPr>
              <w:pStyle w:val="14"/>
            </w:pPr>
          </w:p>
        </w:tc>
        <w:tc>
          <w:tcPr>
            <w:tcW w:w="964" w:type="dxa"/>
            <w:vAlign w:val="center"/>
          </w:tcPr>
          <w:p w14:paraId="16DA8A09">
            <w:pPr>
              <w:pStyle w:val="14"/>
            </w:pPr>
          </w:p>
        </w:tc>
        <w:tc>
          <w:tcPr>
            <w:tcW w:w="964" w:type="dxa"/>
            <w:vAlign w:val="center"/>
          </w:tcPr>
          <w:p w14:paraId="5CA0BA8C">
            <w:pPr>
              <w:pStyle w:val="14"/>
            </w:pPr>
          </w:p>
        </w:tc>
        <w:tc>
          <w:tcPr>
            <w:tcW w:w="964" w:type="dxa"/>
            <w:vAlign w:val="center"/>
          </w:tcPr>
          <w:p w14:paraId="6667716B">
            <w:pPr>
              <w:pStyle w:val="14"/>
            </w:pPr>
            <w:r>
              <w:t>0.56</w:t>
            </w:r>
          </w:p>
        </w:tc>
      </w:tr>
      <w:tr w14:paraId="1A8F2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C4B253">
            <w:pPr>
              <w:pStyle w:val="13"/>
            </w:pPr>
            <w:r>
              <w:t>冀财教[2024]141号/省级/2025年义教补助经费/小孟小学公用经费</w:t>
            </w:r>
          </w:p>
        </w:tc>
        <w:tc>
          <w:tcPr>
            <w:tcW w:w="964" w:type="dxa"/>
            <w:vAlign w:val="center"/>
          </w:tcPr>
          <w:p w14:paraId="6D68126C">
            <w:pPr>
              <w:pStyle w:val="14"/>
            </w:pPr>
            <w:r>
              <w:t>15.10</w:t>
            </w:r>
          </w:p>
        </w:tc>
        <w:tc>
          <w:tcPr>
            <w:tcW w:w="1134" w:type="dxa"/>
            <w:vAlign w:val="center"/>
          </w:tcPr>
          <w:p w14:paraId="2940319B">
            <w:pPr>
              <w:pStyle w:val="13"/>
            </w:pPr>
            <w:r>
              <w:t>空调机</w:t>
            </w:r>
          </w:p>
        </w:tc>
        <w:tc>
          <w:tcPr>
            <w:tcW w:w="1134" w:type="dxa"/>
            <w:vAlign w:val="center"/>
          </w:tcPr>
          <w:p w14:paraId="4A2BAEB8">
            <w:pPr>
              <w:pStyle w:val="13"/>
            </w:pPr>
            <w:r>
              <w:t>A02061804</w:t>
            </w:r>
          </w:p>
        </w:tc>
        <w:tc>
          <w:tcPr>
            <w:tcW w:w="709" w:type="dxa"/>
            <w:vAlign w:val="center"/>
          </w:tcPr>
          <w:p w14:paraId="24461349">
            <w:pPr>
              <w:pStyle w:val="12"/>
            </w:pPr>
            <w:r>
              <w:t>台</w:t>
            </w:r>
          </w:p>
        </w:tc>
        <w:tc>
          <w:tcPr>
            <w:tcW w:w="850" w:type="dxa"/>
            <w:vAlign w:val="center"/>
          </w:tcPr>
          <w:p w14:paraId="20973ECD">
            <w:pPr>
              <w:pStyle w:val="14"/>
            </w:pPr>
            <w:r>
              <w:t>1</w:t>
            </w:r>
          </w:p>
        </w:tc>
        <w:tc>
          <w:tcPr>
            <w:tcW w:w="850" w:type="dxa"/>
            <w:vAlign w:val="center"/>
          </w:tcPr>
          <w:p w14:paraId="0BC802BC">
            <w:pPr>
              <w:pStyle w:val="14"/>
            </w:pPr>
            <w:r>
              <w:t>0.56</w:t>
            </w:r>
          </w:p>
        </w:tc>
        <w:tc>
          <w:tcPr>
            <w:tcW w:w="964" w:type="dxa"/>
            <w:vAlign w:val="center"/>
          </w:tcPr>
          <w:p w14:paraId="1CE0FF6D">
            <w:pPr>
              <w:pStyle w:val="14"/>
            </w:pPr>
            <w:r>
              <w:t>0.56</w:t>
            </w:r>
          </w:p>
        </w:tc>
        <w:tc>
          <w:tcPr>
            <w:tcW w:w="964" w:type="dxa"/>
            <w:vAlign w:val="center"/>
          </w:tcPr>
          <w:p w14:paraId="0FC1B809">
            <w:pPr>
              <w:pStyle w:val="14"/>
            </w:pPr>
            <w:r>
              <w:t>0.56</w:t>
            </w:r>
          </w:p>
        </w:tc>
        <w:tc>
          <w:tcPr>
            <w:tcW w:w="964" w:type="dxa"/>
            <w:vAlign w:val="center"/>
          </w:tcPr>
          <w:p w14:paraId="01F46E8B">
            <w:pPr>
              <w:pStyle w:val="14"/>
            </w:pPr>
          </w:p>
        </w:tc>
        <w:tc>
          <w:tcPr>
            <w:tcW w:w="964" w:type="dxa"/>
            <w:vAlign w:val="center"/>
          </w:tcPr>
          <w:p w14:paraId="24661421">
            <w:pPr>
              <w:pStyle w:val="14"/>
            </w:pPr>
          </w:p>
        </w:tc>
        <w:tc>
          <w:tcPr>
            <w:tcW w:w="964" w:type="dxa"/>
            <w:vAlign w:val="center"/>
          </w:tcPr>
          <w:p w14:paraId="2F695764">
            <w:pPr>
              <w:pStyle w:val="14"/>
            </w:pPr>
          </w:p>
        </w:tc>
        <w:tc>
          <w:tcPr>
            <w:tcW w:w="964" w:type="dxa"/>
            <w:vAlign w:val="center"/>
          </w:tcPr>
          <w:p w14:paraId="594694D9">
            <w:pPr>
              <w:pStyle w:val="14"/>
            </w:pPr>
          </w:p>
        </w:tc>
        <w:tc>
          <w:tcPr>
            <w:tcW w:w="964" w:type="dxa"/>
            <w:vAlign w:val="center"/>
          </w:tcPr>
          <w:p w14:paraId="779098BA">
            <w:pPr>
              <w:pStyle w:val="14"/>
            </w:pPr>
          </w:p>
        </w:tc>
        <w:tc>
          <w:tcPr>
            <w:tcW w:w="964" w:type="dxa"/>
            <w:vAlign w:val="center"/>
          </w:tcPr>
          <w:p w14:paraId="1458C9A2">
            <w:pPr>
              <w:pStyle w:val="14"/>
            </w:pPr>
            <w:r>
              <w:t>0.56</w:t>
            </w:r>
          </w:p>
        </w:tc>
      </w:tr>
      <w:tr w14:paraId="7DA90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283E92">
            <w:pPr>
              <w:pStyle w:val="13"/>
            </w:pPr>
            <w:r>
              <w:t>冀财教[2024]141号/省级/2025年义教补助经费/小孟小学公用经费</w:t>
            </w:r>
          </w:p>
        </w:tc>
        <w:tc>
          <w:tcPr>
            <w:tcW w:w="964" w:type="dxa"/>
            <w:vAlign w:val="center"/>
          </w:tcPr>
          <w:p w14:paraId="719A9052">
            <w:pPr>
              <w:pStyle w:val="14"/>
            </w:pPr>
            <w:r>
              <w:t>15.10</w:t>
            </w:r>
          </w:p>
        </w:tc>
        <w:tc>
          <w:tcPr>
            <w:tcW w:w="1134" w:type="dxa"/>
            <w:vAlign w:val="center"/>
          </w:tcPr>
          <w:p w14:paraId="4F1656DB">
            <w:pPr>
              <w:pStyle w:val="13"/>
            </w:pPr>
            <w:r>
              <w:t>空调机</w:t>
            </w:r>
          </w:p>
        </w:tc>
        <w:tc>
          <w:tcPr>
            <w:tcW w:w="1134" w:type="dxa"/>
            <w:vAlign w:val="center"/>
          </w:tcPr>
          <w:p w14:paraId="2C0D26DB">
            <w:pPr>
              <w:pStyle w:val="13"/>
            </w:pPr>
            <w:r>
              <w:t>A02061804</w:t>
            </w:r>
          </w:p>
        </w:tc>
        <w:tc>
          <w:tcPr>
            <w:tcW w:w="709" w:type="dxa"/>
            <w:vAlign w:val="center"/>
          </w:tcPr>
          <w:p w14:paraId="6303F0B4">
            <w:pPr>
              <w:pStyle w:val="12"/>
            </w:pPr>
            <w:r>
              <w:t>台</w:t>
            </w:r>
          </w:p>
        </w:tc>
        <w:tc>
          <w:tcPr>
            <w:tcW w:w="850" w:type="dxa"/>
            <w:vAlign w:val="center"/>
          </w:tcPr>
          <w:p w14:paraId="3BB2275C">
            <w:pPr>
              <w:pStyle w:val="14"/>
            </w:pPr>
            <w:r>
              <w:t>12</w:t>
            </w:r>
          </w:p>
        </w:tc>
        <w:tc>
          <w:tcPr>
            <w:tcW w:w="850" w:type="dxa"/>
            <w:vAlign w:val="center"/>
          </w:tcPr>
          <w:p w14:paraId="06E2825D">
            <w:pPr>
              <w:pStyle w:val="14"/>
            </w:pPr>
            <w:r>
              <w:t>0.24</w:t>
            </w:r>
          </w:p>
        </w:tc>
        <w:tc>
          <w:tcPr>
            <w:tcW w:w="964" w:type="dxa"/>
            <w:vAlign w:val="center"/>
          </w:tcPr>
          <w:p w14:paraId="406EEB26">
            <w:pPr>
              <w:pStyle w:val="14"/>
            </w:pPr>
            <w:r>
              <w:t>2.84</w:t>
            </w:r>
          </w:p>
        </w:tc>
        <w:tc>
          <w:tcPr>
            <w:tcW w:w="964" w:type="dxa"/>
            <w:vAlign w:val="center"/>
          </w:tcPr>
          <w:p w14:paraId="1FB2BCFE">
            <w:pPr>
              <w:pStyle w:val="14"/>
            </w:pPr>
            <w:r>
              <w:t>2.84</w:t>
            </w:r>
          </w:p>
        </w:tc>
        <w:tc>
          <w:tcPr>
            <w:tcW w:w="964" w:type="dxa"/>
            <w:vAlign w:val="center"/>
          </w:tcPr>
          <w:p w14:paraId="32C1CB99">
            <w:pPr>
              <w:pStyle w:val="14"/>
            </w:pPr>
          </w:p>
        </w:tc>
        <w:tc>
          <w:tcPr>
            <w:tcW w:w="964" w:type="dxa"/>
            <w:vAlign w:val="center"/>
          </w:tcPr>
          <w:p w14:paraId="6ACD6BA9">
            <w:pPr>
              <w:pStyle w:val="14"/>
            </w:pPr>
          </w:p>
        </w:tc>
        <w:tc>
          <w:tcPr>
            <w:tcW w:w="964" w:type="dxa"/>
            <w:vAlign w:val="center"/>
          </w:tcPr>
          <w:p w14:paraId="4366CCAD">
            <w:pPr>
              <w:pStyle w:val="14"/>
            </w:pPr>
          </w:p>
        </w:tc>
        <w:tc>
          <w:tcPr>
            <w:tcW w:w="964" w:type="dxa"/>
            <w:vAlign w:val="center"/>
          </w:tcPr>
          <w:p w14:paraId="2536B749">
            <w:pPr>
              <w:pStyle w:val="14"/>
            </w:pPr>
          </w:p>
        </w:tc>
        <w:tc>
          <w:tcPr>
            <w:tcW w:w="964" w:type="dxa"/>
            <w:vAlign w:val="center"/>
          </w:tcPr>
          <w:p w14:paraId="0AF736D9">
            <w:pPr>
              <w:pStyle w:val="14"/>
            </w:pPr>
          </w:p>
        </w:tc>
        <w:tc>
          <w:tcPr>
            <w:tcW w:w="964" w:type="dxa"/>
            <w:vAlign w:val="center"/>
          </w:tcPr>
          <w:p w14:paraId="19F76297">
            <w:pPr>
              <w:pStyle w:val="14"/>
            </w:pPr>
            <w:r>
              <w:t>2.84</w:t>
            </w:r>
          </w:p>
        </w:tc>
      </w:tr>
      <w:tr w14:paraId="08E75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2EE3DB">
            <w:pPr>
              <w:pStyle w:val="13"/>
            </w:pPr>
            <w:r>
              <w:t>县级资金/固城校区幼儿园公用经费</w:t>
            </w:r>
          </w:p>
        </w:tc>
        <w:tc>
          <w:tcPr>
            <w:tcW w:w="964" w:type="dxa"/>
            <w:vAlign w:val="center"/>
          </w:tcPr>
          <w:p w14:paraId="04C59069">
            <w:pPr>
              <w:pStyle w:val="14"/>
            </w:pPr>
            <w:r>
              <w:t>19.17</w:t>
            </w:r>
          </w:p>
        </w:tc>
        <w:tc>
          <w:tcPr>
            <w:tcW w:w="1134" w:type="dxa"/>
            <w:vAlign w:val="center"/>
          </w:tcPr>
          <w:p w14:paraId="6745B6C6">
            <w:pPr>
              <w:pStyle w:val="13"/>
            </w:pPr>
            <w:r>
              <w:t>空调机</w:t>
            </w:r>
          </w:p>
        </w:tc>
        <w:tc>
          <w:tcPr>
            <w:tcW w:w="1134" w:type="dxa"/>
            <w:vAlign w:val="center"/>
          </w:tcPr>
          <w:p w14:paraId="3D2561C1">
            <w:pPr>
              <w:pStyle w:val="13"/>
            </w:pPr>
            <w:r>
              <w:t>A02061804</w:t>
            </w:r>
          </w:p>
        </w:tc>
        <w:tc>
          <w:tcPr>
            <w:tcW w:w="709" w:type="dxa"/>
            <w:vAlign w:val="center"/>
          </w:tcPr>
          <w:p w14:paraId="2EB8C66E">
            <w:pPr>
              <w:pStyle w:val="12"/>
            </w:pPr>
            <w:r>
              <w:t>台</w:t>
            </w:r>
          </w:p>
        </w:tc>
        <w:tc>
          <w:tcPr>
            <w:tcW w:w="850" w:type="dxa"/>
            <w:vAlign w:val="center"/>
          </w:tcPr>
          <w:p w14:paraId="2178A908">
            <w:pPr>
              <w:pStyle w:val="14"/>
            </w:pPr>
            <w:r>
              <w:t>1</w:t>
            </w:r>
          </w:p>
        </w:tc>
        <w:tc>
          <w:tcPr>
            <w:tcW w:w="850" w:type="dxa"/>
            <w:vAlign w:val="center"/>
          </w:tcPr>
          <w:p w14:paraId="327F8738">
            <w:pPr>
              <w:pStyle w:val="14"/>
            </w:pPr>
            <w:r>
              <w:t>0.40</w:t>
            </w:r>
          </w:p>
        </w:tc>
        <w:tc>
          <w:tcPr>
            <w:tcW w:w="964" w:type="dxa"/>
            <w:vAlign w:val="center"/>
          </w:tcPr>
          <w:p w14:paraId="4DC9D607">
            <w:pPr>
              <w:pStyle w:val="14"/>
            </w:pPr>
            <w:r>
              <w:t>0.40</w:t>
            </w:r>
          </w:p>
        </w:tc>
        <w:tc>
          <w:tcPr>
            <w:tcW w:w="964" w:type="dxa"/>
            <w:vAlign w:val="center"/>
          </w:tcPr>
          <w:p w14:paraId="002D8D9A">
            <w:pPr>
              <w:pStyle w:val="14"/>
            </w:pPr>
            <w:r>
              <w:t>0.40</w:t>
            </w:r>
          </w:p>
        </w:tc>
        <w:tc>
          <w:tcPr>
            <w:tcW w:w="964" w:type="dxa"/>
            <w:vAlign w:val="center"/>
          </w:tcPr>
          <w:p w14:paraId="030F7772">
            <w:pPr>
              <w:pStyle w:val="14"/>
            </w:pPr>
          </w:p>
        </w:tc>
        <w:tc>
          <w:tcPr>
            <w:tcW w:w="964" w:type="dxa"/>
            <w:vAlign w:val="center"/>
          </w:tcPr>
          <w:p w14:paraId="46DCC6F5">
            <w:pPr>
              <w:pStyle w:val="14"/>
            </w:pPr>
          </w:p>
        </w:tc>
        <w:tc>
          <w:tcPr>
            <w:tcW w:w="964" w:type="dxa"/>
            <w:vAlign w:val="center"/>
          </w:tcPr>
          <w:p w14:paraId="150D7ABD">
            <w:pPr>
              <w:pStyle w:val="14"/>
            </w:pPr>
          </w:p>
        </w:tc>
        <w:tc>
          <w:tcPr>
            <w:tcW w:w="964" w:type="dxa"/>
            <w:vAlign w:val="center"/>
          </w:tcPr>
          <w:p w14:paraId="132371FC">
            <w:pPr>
              <w:pStyle w:val="14"/>
            </w:pPr>
          </w:p>
        </w:tc>
        <w:tc>
          <w:tcPr>
            <w:tcW w:w="964" w:type="dxa"/>
            <w:vAlign w:val="center"/>
          </w:tcPr>
          <w:p w14:paraId="053B4146">
            <w:pPr>
              <w:pStyle w:val="14"/>
            </w:pPr>
          </w:p>
        </w:tc>
        <w:tc>
          <w:tcPr>
            <w:tcW w:w="964" w:type="dxa"/>
            <w:vAlign w:val="center"/>
          </w:tcPr>
          <w:p w14:paraId="67DA323C">
            <w:pPr>
              <w:pStyle w:val="14"/>
            </w:pPr>
            <w:r>
              <w:t>0.40</w:t>
            </w:r>
          </w:p>
        </w:tc>
      </w:tr>
    </w:tbl>
    <w:p w14:paraId="13BEFE3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45EAB8">
      <w:pPr>
        <w:spacing w:before="0" w:after="0"/>
        <w:ind w:firstLine="640"/>
        <w:jc w:val="left"/>
        <w:outlineLvl w:val="9"/>
      </w:pPr>
      <w:r>
        <w:rPr>
          <w:rFonts w:ascii="Times New Roman" w:hAnsi="Times New Roman" w:eastAsia="方正仿宋_GBK" w:cs="Times New Roman"/>
          <w:color w:val="000000"/>
          <w:sz w:val="32"/>
        </w:rPr>
        <w:t xml:space="preserve"> </w:t>
      </w:r>
    </w:p>
    <w:p w14:paraId="45709237">
      <w:pPr>
        <w:spacing w:before="10" w:after="10" w:line="240" w:lineRule="auto"/>
        <w:ind w:firstLine="640"/>
        <w:jc w:val="left"/>
        <w:outlineLvl w:val="5"/>
        <w:rPr>
          <w:rFonts w:ascii="黑体" w:hAnsi="黑体" w:eastAsia="黑体" w:cs="黑体"/>
          <w:color w:val="000000"/>
          <w:sz w:val="32"/>
        </w:rPr>
      </w:pPr>
    </w:p>
    <w:p w14:paraId="6D41112C">
      <w:pPr>
        <w:spacing w:before="10" w:after="10" w:line="240" w:lineRule="auto"/>
        <w:ind w:firstLine="640"/>
        <w:jc w:val="left"/>
        <w:outlineLvl w:val="5"/>
        <w:rPr>
          <w:rFonts w:ascii="黑体" w:hAnsi="黑体" w:eastAsia="黑体" w:cs="黑体"/>
          <w:color w:val="000000"/>
          <w:sz w:val="32"/>
        </w:rPr>
      </w:pPr>
    </w:p>
    <w:p w14:paraId="22ED5D5E">
      <w:pPr>
        <w:spacing w:before="10" w:after="10" w:line="240" w:lineRule="auto"/>
        <w:ind w:firstLine="640"/>
        <w:jc w:val="left"/>
        <w:outlineLvl w:val="5"/>
        <w:rPr>
          <w:rFonts w:ascii="黑体" w:hAnsi="黑体" w:eastAsia="黑体" w:cs="黑体"/>
          <w:color w:val="000000"/>
          <w:sz w:val="32"/>
        </w:rPr>
      </w:pPr>
    </w:p>
    <w:p w14:paraId="28E6D4DB">
      <w:pPr>
        <w:spacing w:before="10" w:after="10" w:line="240" w:lineRule="auto"/>
        <w:ind w:firstLine="640"/>
        <w:jc w:val="left"/>
        <w:outlineLvl w:val="5"/>
        <w:rPr>
          <w:rFonts w:ascii="黑体" w:hAnsi="黑体" w:eastAsia="黑体" w:cs="黑体"/>
          <w:color w:val="000000"/>
          <w:sz w:val="32"/>
        </w:rPr>
      </w:pPr>
    </w:p>
    <w:p w14:paraId="76876A9C">
      <w:pPr>
        <w:spacing w:before="10" w:after="10" w:line="240" w:lineRule="auto"/>
        <w:ind w:firstLine="640"/>
        <w:jc w:val="left"/>
        <w:outlineLvl w:val="5"/>
        <w:rPr>
          <w:rFonts w:ascii="黑体" w:hAnsi="黑体" w:eastAsia="黑体" w:cs="黑体"/>
          <w:color w:val="000000"/>
          <w:sz w:val="32"/>
        </w:rPr>
      </w:pPr>
    </w:p>
    <w:p w14:paraId="42D87833">
      <w:pPr>
        <w:spacing w:before="10" w:after="10" w:line="240" w:lineRule="auto"/>
        <w:ind w:firstLine="640"/>
        <w:jc w:val="left"/>
        <w:outlineLvl w:val="5"/>
        <w:rPr>
          <w:rFonts w:ascii="黑体" w:hAnsi="黑体" w:eastAsia="黑体" w:cs="黑体"/>
          <w:color w:val="000000"/>
          <w:sz w:val="32"/>
        </w:rPr>
      </w:pPr>
    </w:p>
    <w:p w14:paraId="12BCA668">
      <w:pPr>
        <w:spacing w:before="10" w:after="10" w:line="240" w:lineRule="auto"/>
        <w:ind w:firstLine="640"/>
        <w:jc w:val="left"/>
        <w:outlineLvl w:val="5"/>
      </w:pPr>
      <w:r>
        <w:rPr>
          <w:rFonts w:ascii="黑体" w:hAnsi="黑体" w:eastAsia="黑体" w:cs="黑体"/>
          <w:color w:val="000000"/>
          <w:sz w:val="32"/>
        </w:rPr>
        <w:t>七、国有资产信息</w:t>
      </w:r>
    </w:p>
    <w:p w14:paraId="0478E814">
      <w:pPr>
        <w:spacing w:before="0" w:after="0" w:line="500" w:lineRule="exact"/>
        <w:ind w:firstLine="560"/>
        <w:jc w:val="left"/>
        <w:outlineLvl w:val="9"/>
      </w:pPr>
      <w:r>
        <w:rPr>
          <w:rFonts w:ascii="Times New Roman" w:hAnsi="Times New Roman" w:eastAsia="方正仿宋_GBK" w:cs="Times New Roman"/>
          <w:b w:val="0"/>
          <w:color w:val="000000"/>
          <w:sz w:val="28"/>
        </w:rPr>
        <w:t>隆尧县固城校区上年末固定资产金额为2152.79万元（详见下表）。本年度拟购置固定资产总额为29.47万元，已按要求列入政府采购预算，详见政府采购预算表。</w:t>
      </w:r>
    </w:p>
    <w:p w14:paraId="01E3FC1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3C85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5DF9E9A">
            <w:pPr>
              <w:pStyle w:val="8"/>
            </w:pPr>
            <w:r>
              <w:t>360023隆尧县固城校区</w:t>
            </w:r>
          </w:p>
        </w:tc>
        <w:tc>
          <w:tcPr>
            <w:tcW w:w="5670" w:type="dxa"/>
            <w:gridSpan w:val="2"/>
            <w:tcBorders>
              <w:top w:val="single" w:color="FFFFFF" w:sz="6" w:space="0"/>
              <w:left w:val="single" w:color="FFFFFF" w:sz="6" w:space="0"/>
              <w:right w:val="single" w:color="FFFFFF" w:sz="6" w:space="0"/>
            </w:tcBorders>
            <w:vAlign w:val="center"/>
          </w:tcPr>
          <w:p w14:paraId="24E7C156">
            <w:pPr>
              <w:pStyle w:val="10"/>
            </w:pPr>
            <w:r>
              <w:t>截止时间：2024-12-31</w:t>
            </w:r>
          </w:p>
        </w:tc>
      </w:tr>
      <w:tr w14:paraId="334AF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E7E8BBD">
            <w:pPr>
              <w:pStyle w:val="11"/>
            </w:pPr>
            <w:r>
              <w:t>项   目</w:t>
            </w:r>
          </w:p>
        </w:tc>
        <w:tc>
          <w:tcPr>
            <w:tcW w:w="2835" w:type="dxa"/>
            <w:vAlign w:val="center"/>
          </w:tcPr>
          <w:p w14:paraId="11DA6A3F">
            <w:pPr>
              <w:pStyle w:val="11"/>
            </w:pPr>
            <w:r>
              <w:t>数量</w:t>
            </w:r>
          </w:p>
        </w:tc>
        <w:tc>
          <w:tcPr>
            <w:tcW w:w="2835" w:type="dxa"/>
            <w:vAlign w:val="center"/>
          </w:tcPr>
          <w:p w14:paraId="7AA8622E">
            <w:pPr>
              <w:pStyle w:val="11"/>
            </w:pPr>
            <w:r>
              <w:t>价值（金额单位：万元）</w:t>
            </w:r>
          </w:p>
        </w:tc>
      </w:tr>
      <w:tr w14:paraId="64A32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1E7A19">
            <w:pPr>
              <w:pStyle w:val="13"/>
            </w:pPr>
            <w:r>
              <w:t>资产总额</w:t>
            </w:r>
          </w:p>
        </w:tc>
        <w:tc>
          <w:tcPr>
            <w:tcW w:w="2835" w:type="dxa"/>
            <w:vAlign w:val="center"/>
          </w:tcPr>
          <w:p w14:paraId="56281815">
            <w:pPr>
              <w:pStyle w:val="12"/>
            </w:pPr>
          </w:p>
        </w:tc>
        <w:tc>
          <w:tcPr>
            <w:tcW w:w="2835" w:type="dxa"/>
            <w:vAlign w:val="center"/>
          </w:tcPr>
          <w:p w14:paraId="0ECE9A7E">
            <w:pPr>
              <w:pStyle w:val="14"/>
            </w:pPr>
            <w:r>
              <w:t>2152.79</w:t>
            </w:r>
          </w:p>
        </w:tc>
      </w:tr>
      <w:tr w14:paraId="7F7CF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125D1F">
            <w:pPr>
              <w:pStyle w:val="13"/>
            </w:pPr>
            <w:r>
              <w:t>1、房屋（平方米）</w:t>
            </w:r>
          </w:p>
        </w:tc>
        <w:tc>
          <w:tcPr>
            <w:tcW w:w="2835" w:type="dxa"/>
            <w:vAlign w:val="center"/>
          </w:tcPr>
          <w:p w14:paraId="0E778917">
            <w:pPr>
              <w:pStyle w:val="12"/>
            </w:pPr>
            <w:r>
              <w:t>16904</w:t>
            </w:r>
          </w:p>
        </w:tc>
        <w:tc>
          <w:tcPr>
            <w:tcW w:w="2835" w:type="dxa"/>
            <w:vAlign w:val="center"/>
          </w:tcPr>
          <w:p w14:paraId="6A7D42C6">
            <w:pPr>
              <w:pStyle w:val="14"/>
            </w:pPr>
            <w:r>
              <w:t>1302.52</w:t>
            </w:r>
          </w:p>
        </w:tc>
      </w:tr>
      <w:tr w14:paraId="473A0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4F4F1E">
            <w:pPr>
              <w:pStyle w:val="13"/>
            </w:pPr>
            <w:r>
              <w:t>　　其中：办公用房（平方米）</w:t>
            </w:r>
          </w:p>
        </w:tc>
        <w:tc>
          <w:tcPr>
            <w:tcW w:w="2835" w:type="dxa"/>
            <w:vAlign w:val="center"/>
          </w:tcPr>
          <w:p w14:paraId="02BD6A77">
            <w:pPr>
              <w:pStyle w:val="12"/>
            </w:pPr>
            <w:r>
              <w:t>2896</w:t>
            </w:r>
          </w:p>
        </w:tc>
        <w:tc>
          <w:tcPr>
            <w:tcW w:w="2835" w:type="dxa"/>
            <w:vAlign w:val="center"/>
          </w:tcPr>
          <w:p w14:paraId="788E8B71">
            <w:pPr>
              <w:pStyle w:val="14"/>
            </w:pPr>
            <w:r>
              <w:t>223.06</w:t>
            </w:r>
          </w:p>
        </w:tc>
      </w:tr>
      <w:tr w14:paraId="06928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7CFA81">
            <w:pPr>
              <w:pStyle w:val="13"/>
            </w:pPr>
            <w:r>
              <w:t>2、车辆（台、辆）</w:t>
            </w:r>
          </w:p>
        </w:tc>
        <w:tc>
          <w:tcPr>
            <w:tcW w:w="2835" w:type="dxa"/>
            <w:vAlign w:val="center"/>
          </w:tcPr>
          <w:p w14:paraId="09D57BB3">
            <w:pPr>
              <w:pStyle w:val="12"/>
            </w:pPr>
          </w:p>
        </w:tc>
        <w:tc>
          <w:tcPr>
            <w:tcW w:w="2835" w:type="dxa"/>
            <w:vAlign w:val="center"/>
          </w:tcPr>
          <w:p w14:paraId="51E85167">
            <w:pPr>
              <w:pStyle w:val="14"/>
            </w:pPr>
          </w:p>
        </w:tc>
      </w:tr>
      <w:tr w14:paraId="00ED9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1C543F">
            <w:pPr>
              <w:pStyle w:val="13"/>
            </w:pPr>
            <w:r>
              <w:t>3、单价在20万元以上的设备</w:t>
            </w:r>
          </w:p>
        </w:tc>
        <w:tc>
          <w:tcPr>
            <w:tcW w:w="2835" w:type="dxa"/>
            <w:vAlign w:val="center"/>
          </w:tcPr>
          <w:p w14:paraId="151AB20F">
            <w:pPr>
              <w:pStyle w:val="12"/>
            </w:pPr>
          </w:p>
        </w:tc>
        <w:tc>
          <w:tcPr>
            <w:tcW w:w="2835" w:type="dxa"/>
            <w:vAlign w:val="center"/>
          </w:tcPr>
          <w:p w14:paraId="4F2E8420">
            <w:pPr>
              <w:pStyle w:val="14"/>
            </w:pPr>
          </w:p>
        </w:tc>
      </w:tr>
      <w:tr w14:paraId="48D58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32990C">
            <w:pPr>
              <w:pStyle w:val="13"/>
            </w:pPr>
            <w:r>
              <w:t>4、其他固定资产</w:t>
            </w:r>
          </w:p>
        </w:tc>
        <w:tc>
          <w:tcPr>
            <w:tcW w:w="2835" w:type="dxa"/>
            <w:vAlign w:val="center"/>
          </w:tcPr>
          <w:p w14:paraId="4821DB51">
            <w:pPr>
              <w:pStyle w:val="12"/>
            </w:pPr>
            <w:r>
              <w:t>21648</w:t>
            </w:r>
          </w:p>
        </w:tc>
        <w:tc>
          <w:tcPr>
            <w:tcW w:w="2835" w:type="dxa"/>
            <w:vAlign w:val="center"/>
          </w:tcPr>
          <w:p w14:paraId="4FFAF540">
            <w:pPr>
              <w:pStyle w:val="14"/>
            </w:pPr>
            <w:r>
              <w:t>850.27</w:t>
            </w:r>
          </w:p>
        </w:tc>
      </w:tr>
    </w:tbl>
    <w:p w14:paraId="6CD78C1D">
      <w:pPr>
        <w:spacing w:before="0" w:after="0"/>
        <w:ind w:firstLine="640"/>
        <w:jc w:val="left"/>
        <w:outlineLvl w:val="9"/>
      </w:pPr>
      <w:r>
        <w:rPr>
          <w:rFonts w:ascii="Times New Roman" w:hAnsi="Times New Roman" w:eastAsia="方正仿宋_GBK" w:cs="Times New Roman"/>
          <w:color w:val="000000"/>
          <w:sz w:val="32"/>
        </w:rPr>
        <w:t xml:space="preserve"> </w:t>
      </w:r>
    </w:p>
    <w:p w14:paraId="665ED153">
      <w:pPr>
        <w:spacing w:before="10" w:after="10" w:line="240" w:lineRule="auto"/>
        <w:ind w:firstLine="640"/>
        <w:jc w:val="left"/>
        <w:outlineLvl w:val="5"/>
      </w:pPr>
      <w:r>
        <w:rPr>
          <w:rFonts w:ascii="黑体" w:hAnsi="黑体" w:eastAsia="黑体" w:cs="黑体"/>
          <w:color w:val="000000"/>
          <w:sz w:val="32"/>
        </w:rPr>
        <w:t>八、名词解释</w:t>
      </w:r>
    </w:p>
    <w:p w14:paraId="4CFD499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D5125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88F19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AB84A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067A3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4D24E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11AF8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B951B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D3B0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02C0D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F77D2B">
      <w:pPr>
        <w:spacing w:before="10" w:after="10" w:line="240" w:lineRule="auto"/>
        <w:ind w:firstLine="640"/>
        <w:jc w:val="left"/>
        <w:outlineLvl w:val="5"/>
      </w:pPr>
      <w:r>
        <w:rPr>
          <w:rFonts w:ascii="黑体" w:hAnsi="黑体" w:eastAsia="黑体" w:cs="黑体"/>
          <w:color w:val="000000"/>
          <w:sz w:val="32"/>
        </w:rPr>
        <w:t>九、其他需要说明的事项</w:t>
      </w:r>
    </w:p>
    <w:p w14:paraId="1E9B6F2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A2D768E">
      <w:pPr>
        <w:spacing w:before="0" w:after="0"/>
        <w:ind w:firstLine="0"/>
        <w:jc w:val="center"/>
        <w:outlineLvl w:val="3"/>
      </w:pPr>
      <w:bookmarkStart w:id="23" w:name="_Toc_4_4_0000000043"/>
      <w:r>
        <w:rPr>
          <w:rFonts w:ascii="方正小标宋_GBK" w:hAnsi="方正小标宋_GBK" w:eastAsia="方正小标宋_GBK" w:cs="方正小标宋_GBK"/>
          <w:b w:val="0"/>
          <w:color w:val="000000"/>
          <w:sz w:val="44"/>
        </w:rPr>
        <w:t>二十三、隆尧县大张家庄校区收支预算</w:t>
      </w:r>
      <w:bookmarkEnd w:id="23"/>
    </w:p>
    <w:p w14:paraId="50F176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E3BE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7D75B1">
            <w:pPr>
              <w:pStyle w:val="8"/>
            </w:pPr>
            <w:r>
              <w:t>360024隆尧县大张家庄校区</w:t>
            </w:r>
          </w:p>
        </w:tc>
        <w:tc>
          <w:tcPr>
            <w:tcW w:w="2126" w:type="dxa"/>
            <w:tcBorders>
              <w:top w:val="single" w:color="FFFFFF" w:sz="6" w:space="0"/>
              <w:left w:val="single" w:color="FFFFFF" w:sz="6" w:space="0"/>
              <w:right w:val="single" w:color="FFFFFF" w:sz="6" w:space="0"/>
            </w:tcBorders>
            <w:vAlign w:val="center"/>
          </w:tcPr>
          <w:p w14:paraId="67C1CC5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D60E349">
            <w:pPr>
              <w:pStyle w:val="10"/>
            </w:pPr>
            <w:r>
              <w:t>单位：万元</w:t>
            </w:r>
          </w:p>
        </w:tc>
      </w:tr>
      <w:tr w14:paraId="513F1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09238">
            <w:pPr>
              <w:pStyle w:val="11"/>
            </w:pPr>
            <w:r>
              <w:t>序号</w:t>
            </w:r>
          </w:p>
        </w:tc>
        <w:tc>
          <w:tcPr>
            <w:tcW w:w="6661" w:type="dxa"/>
            <w:gridSpan w:val="2"/>
            <w:vAlign w:val="center"/>
          </w:tcPr>
          <w:p w14:paraId="3F32F545">
            <w:pPr>
              <w:pStyle w:val="11"/>
            </w:pPr>
            <w:r>
              <w:t>收入</w:t>
            </w:r>
          </w:p>
        </w:tc>
        <w:tc>
          <w:tcPr>
            <w:tcW w:w="6661" w:type="dxa"/>
            <w:gridSpan w:val="2"/>
            <w:vAlign w:val="center"/>
          </w:tcPr>
          <w:p w14:paraId="40B8C7EA">
            <w:pPr>
              <w:pStyle w:val="11"/>
            </w:pPr>
            <w:r>
              <w:t>支出</w:t>
            </w:r>
          </w:p>
        </w:tc>
      </w:tr>
      <w:tr w14:paraId="54F4F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481C1"/>
        </w:tc>
        <w:tc>
          <w:tcPr>
            <w:tcW w:w="4535" w:type="dxa"/>
            <w:vAlign w:val="center"/>
          </w:tcPr>
          <w:p w14:paraId="43764EE6">
            <w:pPr>
              <w:pStyle w:val="11"/>
            </w:pPr>
            <w:r>
              <w:t>项  目</w:t>
            </w:r>
          </w:p>
        </w:tc>
        <w:tc>
          <w:tcPr>
            <w:tcW w:w="2126" w:type="dxa"/>
            <w:vAlign w:val="center"/>
          </w:tcPr>
          <w:p w14:paraId="139567BA">
            <w:pPr>
              <w:pStyle w:val="11"/>
            </w:pPr>
            <w:r>
              <w:t>预算数</w:t>
            </w:r>
          </w:p>
        </w:tc>
        <w:tc>
          <w:tcPr>
            <w:tcW w:w="4535" w:type="dxa"/>
            <w:vAlign w:val="center"/>
          </w:tcPr>
          <w:p w14:paraId="75B3963F">
            <w:pPr>
              <w:pStyle w:val="11"/>
            </w:pPr>
            <w:r>
              <w:t>项  目</w:t>
            </w:r>
          </w:p>
        </w:tc>
        <w:tc>
          <w:tcPr>
            <w:tcW w:w="2126" w:type="dxa"/>
            <w:vAlign w:val="center"/>
          </w:tcPr>
          <w:p w14:paraId="274F4264">
            <w:pPr>
              <w:pStyle w:val="11"/>
            </w:pPr>
            <w:r>
              <w:t>预算数</w:t>
            </w:r>
          </w:p>
        </w:tc>
      </w:tr>
      <w:tr w14:paraId="36FB7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AACC90">
            <w:pPr>
              <w:pStyle w:val="11"/>
            </w:pPr>
            <w:r>
              <w:t>栏次</w:t>
            </w:r>
          </w:p>
        </w:tc>
        <w:tc>
          <w:tcPr>
            <w:tcW w:w="4535" w:type="dxa"/>
            <w:vAlign w:val="center"/>
          </w:tcPr>
          <w:p w14:paraId="7AD37D4C">
            <w:pPr>
              <w:pStyle w:val="11"/>
            </w:pPr>
            <w:r>
              <w:t>1</w:t>
            </w:r>
          </w:p>
        </w:tc>
        <w:tc>
          <w:tcPr>
            <w:tcW w:w="2126" w:type="dxa"/>
            <w:vAlign w:val="center"/>
          </w:tcPr>
          <w:p w14:paraId="5CF39D05">
            <w:pPr>
              <w:pStyle w:val="11"/>
            </w:pPr>
            <w:r>
              <w:t>2</w:t>
            </w:r>
          </w:p>
        </w:tc>
        <w:tc>
          <w:tcPr>
            <w:tcW w:w="4535" w:type="dxa"/>
            <w:vAlign w:val="center"/>
          </w:tcPr>
          <w:p w14:paraId="2C1287A0">
            <w:pPr>
              <w:pStyle w:val="11"/>
            </w:pPr>
            <w:r>
              <w:t>3</w:t>
            </w:r>
          </w:p>
        </w:tc>
        <w:tc>
          <w:tcPr>
            <w:tcW w:w="2126" w:type="dxa"/>
            <w:vAlign w:val="center"/>
          </w:tcPr>
          <w:p w14:paraId="0C3C97F2">
            <w:pPr>
              <w:pStyle w:val="11"/>
            </w:pPr>
            <w:r>
              <w:t>4</w:t>
            </w:r>
          </w:p>
        </w:tc>
      </w:tr>
      <w:tr w14:paraId="337B2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8C39F">
            <w:pPr>
              <w:pStyle w:val="12"/>
            </w:pPr>
            <w:r>
              <w:t>1</w:t>
            </w:r>
          </w:p>
        </w:tc>
        <w:tc>
          <w:tcPr>
            <w:tcW w:w="4535" w:type="dxa"/>
            <w:vAlign w:val="center"/>
          </w:tcPr>
          <w:p w14:paraId="5DDB4C79">
            <w:pPr>
              <w:pStyle w:val="13"/>
            </w:pPr>
            <w:r>
              <w:t>一、一般公共预算拨款收入</w:t>
            </w:r>
          </w:p>
        </w:tc>
        <w:tc>
          <w:tcPr>
            <w:tcW w:w="2126" w:type="dxa"/>
            <w:vAlign w:val="center"/>
          </w:tcPr>
          <w:p w14:paraId="79C59CDC">
            <w:pPr>
              <w:pStyle w:val="14"/>
            </w:pPr>
            <w:r>
              <w:t>2032.12</w:t>
            </w:r>
          </w:p>
        </w:tc>
        <w:tc>
          <w:tcPr>
            <w:tcW w:w="4535" w:type="dxa"/>
            <w:vAlign w:val="center"/>
          </w:tcPr>
          <w:p w14:paraId="57DF3A98">
            <w:pPr>
              <w:pStyle w:val="13"/>
            </w:pPr>
            <w:r>
              <w:t>一、一般公共服务支出</w:t>
            </w:r>
          </w:p>
        </w:tc>
        <w:tc>
          <w:tcPr>
            <w:tcW w:w="2126" w:type="dxa"/>
            <w:vAlign w:val="center"/>
          </w:tcPr>
          <w:p w14:paraId="18BFC8E1">
            <w:pPr>
              <w:pStyle w:val="14"/>
            </w:pPr>
          </w:p>
        </w:tc>
      </w:tr>
      <w:tr w14:paraId="31DFD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215C4">
            <w:pPr>
              <w:pStyle w:val="12"/>
            </w:pPr>
            <w:r>
              <w:t>2</w:t>
            </w:r>
          </w:p>
        </w:tc>
        <w:tc>
          <w:tcPr>
            <w:tcW w:w="4535" w:type="dxa"/>
            <w:vAlign w:val="center"/>
          </w:tcPr>
          <w:p w14:paraId="22ED7A96">
            <w:pPr>
              <w:pStyle w:val="13"/>
            </w:pPr>
            <w:r>
              <w:t>二、政府性基金预算拨款收入</w:t>
            </w:r>
          </w:p>
        </w:tc>
        <w:tc>
          <w:tcPr>
            <w:tcW w:w="2126" w:type="dxa"/>
            <w:vAlign w:val="center"/>
          </w:tcPr>
          <w:p w14:paraId="64909BBD">
            <w:pPr>
              <w:pStyle w:val="14"/>
            </w:pPr>
          </w:p>
        </w:tc>
        <w:tc>
          <w:tcPr>
            <w:tcW w:w="4535" w:type="dxa"/>
            <w:vAlign w:val="center"/>
          </w:tcPr>
          <w:p w14:paraId="4BFCD4DA">
            <w:pPr>
              <w:pStyle w:val="13"/>
            </w:pPr>
            <w:r>
              <w:t>二、外交支出</w:t>
            </w:r>
          </w:p>
        </w:tc>
        <w:tc>
          <w:tcPr>
            <w:tcW w:w="2126" w:type="dxa"/>
            <w:vAlign w:val="center"/>
          </w:tcPr>
          <w:p w14:paraId="2C71CB7B">
            <w:pPr>
              <w:pStyle w:val="14"/>
            </w:pPr>
          </w:p>
        </w:tc>
      </w:tr>
      <w:tr w14:paraId="05531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183AD">
            <w:pPr>
              <w:pStyle w:val="12"/>
            </w:pPr>
            <w:r>
              <w:t>3</w:t>
            </w:r>
          </w:p>
        </w:tc>
        <w:tc>
          <w:tcPr>
            <w:tcW w:w="4535" w:type="dxa"/>
            <w:vAlign w:val="center"/>
          </w:tcPr>
          <w:p w14:paraId="249C2E08">
            <w:pPr>
              <w:pStyle w:val="13"/>
            </w:pPr>
            <w:r>
              <w:t>三、国有资本经营预算拨款收入</w:t>
            </w:r>
          </w:p>
        </w:tc>
        <w:tc>
          <w:tcPr>
            <w:tcW w:w="2126" w:type="dxa"/>
            <w:vAlign w:val="center"/>
          </w:tcPr>
          <w:p w14:paraId="3D06D2B6">
            <w:pPr>
              <w:pStyle w:val="14"/>
            </w:pPr>
          </w:p>
        </w:tc>
        <w:tc>
          <w:tcPr>
            <w:tcW w:w="4535" w:type="dxa"/>
            <w:vAlign w:val="center"/>
          </w:tcPr>
          <w:p w14:paraId="396CE0B7">
            <w:pPr>
              <w:pStyle w:val="13"/>
            </w:pPr>
            <w:r>
              <w:t>三、国防支出</w:t>
            </w:r>
          </w:p>
        </w:tc>
        <w:tc>
          <w:tcPr>
            <w:tcW w:w="2126" w:type="dxa"/>
            <w:vAlign w:val="center"/>
          </w:tcPr>
          <w:p w14:paraId="3593A7BE">
            <w:pPr>
              <w:pStyle w:val="14"/>
            </w:pPr>
          </w:p>
        </w:tc>
      </w:tr>
      <w:tr w14:paraId="76D40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449CD">
            <w:pPr>
              <w:pStyle w:val="12"/>
            </w:pPr>
            <w:r>
              <w:t>4</w:t>
            </w:r>
          </w:p>
        </w:tc>
        <w:tc>
          <w:tcPr>
            <w:tcW w:w="4535" w:type="dxa"/>
            <w:vAlign w:val="center"/>
          </w:tcPr>
          <w:p w14:paraId="6501E966">
            <w:pPr>
              <w:pStyle w:val="13"/>
            </w:pPr>
            <w:r>
              <w:t>四、财政专户管理资金收入</w:t>
            </w:r>
          </w:p>
        </w:tc>
        <w:tc>
          <w:tcPr>
            <w:tcW w:w="2126" w:type="dxa"/>
            <w:vAlign w:val="center"/>
          </w:tcPr>
          <w:p w14:paraId="678F10D8">
            <w:pPr>
              <w:pStyle w:val="14"/>
            </w:pPr>
          </w:p>
        </w:tc>
        <w:tc>
          <w:tcPr>
            <w:tcW w:w="4535" w:type="dxa"/>
            <w:vAlign w:val="center"/>
          </w:tcPr>
          <w:p w14:paraId="0665BBB4">
            <w:pPr>
              <w:pStyle w:val="13"/>
            </w:pPr>
            <w:r>
              <w:t>四、公共安全支出</w:t>
            </w:r>
          </w:p>
        </w:tc>
        <w:tc>
          <w:tcPr>
            <w:tcW w:w="2126" w:type="dxa"/>
            <w:vAlign w:val="center"/>
          </w:tcPr>
          <w:p w14:paraId="642E531C">
            <w:pPr>
              <w:pStyle w:val="14"/>
            </w:pPr>
          </w:p>
        </w:tc>
      </w:tr>
      <w:tr w14:paraId="7B957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A2115">
            <w:pPr>
              <w:pStyle w:val="12"/>
            </w:pPr>
            <w:r>
              <w:t>5</w:t>
            </w:r>
          </w:p>
        </w:tc>
        <w:tc>
          <w:tcPr>
            <w:tcW w:w="4535" w:type="dxa"/>
            <w:vAlign w:val="center"/>
          </w:tcPr>
          <w:p w14:paraId="265F3977">
            <w:pPr>
              <w:pStyle w:val="13"/>
            </w:pPr>
            <w:r>
              <w:t>五、单位资金</w:t>
            </w:r>
          </w:p>
        </w:tc>
        <w:tc>
          <w:tcPr>
            <w:tcW w:w="2126" w:type="dxa"/>
            <w:vAlign w:val="center"/>
          </w:tcPr>
          <w:p w14:paraId="1D01DA4C">
            <w:pPr>
              <w:pStyle w:val="14"/>
            </w:pPr>
          </w:p>
        </w:tc>
        <w:tc>
          <w:tcPr>
            <w:tcW w:w="4535" w:type="dxa"/>
            <w:vAlign w:val="center"/>
          </w:tcPr>
          <w:p w14:paraId="68AEB231">
            <w:pPr>
              <w:pStyle w:val="13"/>
            </w:pPr>
            <w:r>
              <w:t>五、教育支出</w:t>
            </w:r>
          </w:p>
        </w:tc>
        <w:tc>
          <w:tcPr>
            <w:tcW w:w="2126" w:type="dxa"/>
            <w:vAlign w:val="center"/>
          </w:tcPr>
          <w:p w14:paraId="614B2F06">
            <w:pPr>
              <w:pStyle w:val="14"/>
            </w:pPr>
            <w:r>
              <w:t>2189.41</w:t>
            </w:r>
          </w:p>
        </w:tc>
      </w:tr>
      <w:tr w14:paraId="3FB99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1074B">
            <w:pPr>
              <w:pStyle w:val="12"/>
            </w:pPr>
            <w:r>
              <w:t>6</w:t>
            </w:r>
          </w:p>
        </w:tc>
        <w:tc>
          <w:tcPr>
            <w:tcW w:w="4535" w:type="dxa"/>
            <w:vAlign w:val="center"/>
          </w:tcPr>
          <w:p w14:paraId="305FD8BD">
            <w:pPr>
              <w:pStyle w:val="13"/>
            </w:pPr>
          </w:p>
        </w:tc>
        <w:tc>
          <w:tcPr>
            <w:tcW w:w="2126" w:type="dxa"/>
            <w:vAlign w:val="center"/>
          </w:tcPr>
          <w:p w14:paraId="080C4159">
            <w:pPr>
              <w:pStyle w:val="14"/>
            </w:pPr>
          </w:p>
        </w:tc>
        <w:tc>
          <w:tcPr>
            <w:tcW w:w="4535" w:type="dxa"/>
            <w:vAlign w:val="center"/>
          </w:tcPr>
          <w:p w14:paraId="738327A8">
            <w:pPr>
              <w:pStyle w:val="13"/>
            </w:pPr>
            <w:r>
              <w:t>六、科学技术支出</w:t>
            </w:r>
          </w:p>
        </w:tc>
        <w:tc>
          <w:tcPr>
            <w:tcW w:w="2126" w:type="dxa"/>
            <w:vAlign w:val="center"/>
          </w:tcPr>
          <w:p w14:paraId="67640471">
            <w:pPr>
              <w:pStyle w:val="14"/>
            </w:pPr>
          </w:p>
        </w:tc>
      </w:tr>
      <w:tr w14:paraId="3A430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A5F3B">
            <w:pPr>
              <w:pStyle w:val="12"/>
            </w:pPr>
            <w:r>
              <w:t>7</w:t>
            </w:r>
          </w:p>
        </w:tc>
        <w:tc>
          <w:tcPr>
            <w:tcW w:w="4535" w:type="dxa"/>
            <w:vAlign w:val="center"/>
          </w:tcPr>
          <w:p w14:paraId="2CFAFB75">
            <w:pPr>
              <w:pStyle w:val="13"/>
            </w:pPr>
          </w:p>
        </w:tc>
        <w:tc>
          <w:tcPr>
            <w:tcW w:w="2126" w:type="dxa"/>
            <w:vAlign w:val="center"/>
          </w:tcPr>
          <w:p w14:paraId="668E4EEA">
            <w:pPr>
              <w:pStyle w:val="14"/>
            </w:pPr>
          </w:p>
        </w:tc>
        <w:tc>
          <w:tcPr>
            <w:tcW w:w="4535" w:type="dxa"/>
            <w:vAlign w:val="center"/>
          </w:tcPr>
          <w:p w14:paraId="6C25562B">
            <w:pPr>
              <w:pStyle w:val="13"/>
            </w:pPr>
            <w:r>
              <w:t>七、文化旅游体育与传媒支出</w:t>
            </w:r>
          </w:p>
        </w:tc>
        <w:tc>
          <w:tcPr>
            <w:tcW w:w="2126" w:type="dxa"/>
            <w:vAlign w:val="center"/>
          </w:tcPr>
          <w:p w14:paraId="5B8AB190">
            <w:pPr>
              <w:pStyle w:val="14"/>
            </w:pPr>
          </w:p>
        </w:tc>
      </w:tr>
      <w:tr w14:paraId="32FBB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D666D">
            <w:pPr>
              <w:pStyle w:val="12"/>
            </w:pPr>
            <w:r>
              <w:t>8</w:t>
            </w:r>
          </w:p>
        </w:tc>
        <w:tc>
          <w:tcPr>
            <w:tcW w:w="4535" w:type="dxa"/>
            <w:vAlign w:val="center"/>
          </w:tcPr>
          <w:p w14:paraId="113159A5">
            <w:pPr>
              <w:pStyle w:val="13"/>
            </w:pPr>
          </w:p>
        </w:tc>
        <w:tc>
          <w:tcPr>
            <w:tcW w:w="2126" w:type="dxa"/>
            <w:vAlign w:val="center"/>
          </w:tcPr>
          <w:p w14:paraId="3C57F50F">
            <w:pPr>
              <w:pStyle w:val="14"/>
            </w:pPr>
          </w:p>
        </w:tc>
        <w:tc>
          <w:tcPr>
            <w:tcW w:w="4535" w:type="dxa"/>
            <w:vAlign w:val="center"/>
          </w:tcPr>
          <w:p w14:paraId="6975ACDC">
            <w:pPr>
              <w:pStyle w:val="13"/>
            </w:pPr>
            <w:r>
              <w:t>八、社会保障和就业支出</w:t>
            </w:r>
          </w:p>
        </w:tc>
        <w:tc>
          <w:tcPr>
            <w:tcW w:w="2126" w:type="dxa"/>
            <w:vAlign w:val="center"/>
          </w:tcPr>
          <w:p w14:paraId="778FD4F6">
            <w:pPr>
              <w:pStyle w:val="14"/>
            </w:pPr>
          </w:p>
        </w:tc>
      </w:tr>
      <w:tr w14:paraId="74855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BC9DE">
            <w:pPr>
              <w:pStyle w:val="12"/>
            </w:pPr>
            <w:r>
              <w:t>9</w:t>
            </w:r>
          </w:p>
        </w:tc>
        <w:tc>
          <w:tcPr>
            <w:tcW w:w="4535" w:type="dxa"/>
            <w:vAlign w:val="center"/>
          </w:tcPr>
          <w:p w14:paraId="4780E87E">
            <w:pPr>
              <w:pStyle w:val="13"/>
            </w:pPr>
          </w:p>
        </w:tc>
        <w:tc>
          <w:tcPr>
            <w:tcW w:w="2126" w:type="dxa"/>
            <w:vAlign w:val="center"/>
          </w:tcPr>
          <w:p w14:paraId="024527A6">
            <w:pPr>
              <w:pStyle w:val="14"/>
            </w:pPr>
          </w:p>
        </w:tc>
        <w:tc>
          <w:tcPr>
            <w:tcW w:w="4535" w:type="dxa"/>
            <w:vAlign w:val="center"/>
          </w:tcPr>
          <w:p w14:paraId="2C71C651">
            <w:pPr>
              <w:pStyle w:val="13"/>
            </w:pPr>
            <w:r>
              <w:t>九、社会保险基金支出</w:t>
            </w:r>
          </w:p>
        </w:tc>
        <w:tc>
          <w:tcPr>
            <w:tcW w:w="2126" w:type="dxa"/>
            <w:vAlign w:val="center"/>
          </w:tcPr>
          <w:p w14:paraId="6803E107">
            <w:pPr>
              <w:pStyle w:val="14"/>
            </w:pPr>
          </w:p>
        </w:tc>
      </w:tr>
      <w:tr w14:paraId="6F394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FE2D9">
            <w:pPr>
              <w:pStyle w:val="12"/>
            </w:pPr>
            <w:r>
              <w:t>10</w:t>
            </w:r>
          </w:p>
        </w:tc>
        <w:tc>
          <w:tcPr>
            <w:tcW w:w="4535" w:type="dxa"/>
            <w:vAlign w:val="center"/>
          </w:tcPr>
          <w:p w14:paraId="4D55F1FD">
            <w:pPr>
              <w:pStyle w:val="13"/>
            </w:pPr>
          </w:p>
        </w:tc>
        <w:tc>
          <w:tcPr>
            <w:tcW w:w="2126" w:type="dxa"/>
            <w:vAlign w:val="center"/>
          </w:tcPr>
          <w:p w14:paraId="4AD7A43F">
            <w:pPr>
              <w:pStyle w:val="14"/>
            </w:pPr>
          </w:p>
        </w:tc>
        <w:tc>
          <w:tcPr>
            <w:tcW w:w="4535" w:type="dxa"/>
            <w:vAlign w:val="center"/>
          </w:tcPr>
          <w:p w14:paraId="776EA7EB">
            <w:pPr>
              <w:pStyle w:val="13"/>
            </w:pPr>
            <w:r>
              <w:t>十、卫生健康支出</w:t>
            </w:r>
          </w:p>
        </w:tc>
        <w:tc>
          <w:tcPr>
            <w:tcW w:w="2126" w:type="dxa"/>
            <w:vAlign w:val="center"/>
          </w:tcPr>
          <w:p w14:paraId="745DB79B">
            <w:pPr>
              <w:pStyle w:val="14"/>
            </w:pPr>
          </w:p>
        </w:tc>
      </w:tr>
      <w:tr w14:paraId="1443B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5CDDD">
            <w:pPr>
              <w:pStyle w:val="12"/>
            </w:pPr>
            <w:r>
              <w:t>11</w:t>
            </w:r>
          </w:p>
        </w:tc>
        <w:tc>
          <w:tcPr>
            <w:tcW w:w="4535" w:type="dxa"/>
            <w:vAlign w:val="center"/>
          </w:tcPr>
          <w:p w14:paraId="21EA1281">
            <w:pPr>
              <w:pStyle w:val="13"/>
            </w:pPr>
          </w:p>
        </w:tc>
        <w:tc>
          <w:tcPr>
            <w:tcW w:w="2126" w:type="dxa"/>
            <w:vAlign w:val="center"/>
          </w:tcPr>
          <w:p w14:paraId="3E0DB97A">
            <w:pPr>
              <w:pStyle w:val="14"/>
            </w:pPr>
          </w:p>
        </w:tc>
        <w:tc>
          <w:tcPr>
            <w:tcW w:w="4535" w:type="dxa"/>
            <w:vAlign w:val="center"/>
          </w:tcPr>
          <w:p w14:paraId="625063A1">
            <w:pPr>
              <w:pStyle w:val="13"/>
            </w:pPr>
            <w:r>
              <w:t>十一、节能环保支出</w:t>
            </w:r>
          </w:p>
        </w:tc>
        <w:tc>
          <w:tcPr>
            <w:tcW w:w="2126" w:type="dxa"/>
            <w:vAlign w:val="center"/>
          </w:tcPr>
          <w:p w14:paraId="45BD8521">
            <w:pPr>
              <w:pStyle w:val="14"/>
            </w:pPr>
          </w:p>
        </w:tc>
      </w:tr>
      <w:tr w14:paraId="36367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F8584">
            <w:pPr>
              <w:pStyle w:val="12"/>
            </w:pPr>
            <w:r>
              <w:t>12</w:t>
            </w:r>
          </w:p>
        </w:tc>
        <w:tc>
          <w:tcPr>
            <w:tcW w:w="4535" w:type="dxa"/>
            <w:vAlign w:val="center"/>
          </w:tcPr>
          <w:p w14:paraId="5B9DABA4">
            <w:pPr>
              <w:pStyle w:val="13"/>
            </w:pPr>
          </w:p>
        </w:tc>
        <w:tc>
          <w:tcPr>
            <w:tcW w:w="2126" w:type="dxa"/>
            <w:vAlign w:val="center"/>
          </w:tcPr>
          <w:p w14:paraId="131C35C9">
            <w:pPr>
              <w:pStyle w:val="14"/>
            </w:pPr>
          </w:p>
        </w:tc>
        <w:tc>
          <w:tcPr>
            <w:tcW w:w="4535" w:type="dxa"/>
            <w:vAlign w:val="center"/>
          </w:tcPr>
          <w:p w14:paraId="05A7B2FB">
            <w:pPr>
              <w:pStyle w:val="13"/>
            </w:pPr>
            <w:r>
              <w:t>十二、城乡社区支出</w:t>
            </w:r>
          </w:p>
        </w:tc>
        <w:tc>
          <w:tcPr>
            <w:tcW w:w="2126" w:type="dxa"/>
            <w:vAlign w:val="center"/>
          </w:tcPr>
          <w:p w14:paraId="545C9A7E">
            <w:pPr>
              <w:pStyle w:val="14"/>
            </w:pPr>
          </w:p>
        </w:tc>
      </w:tr>
      <w:tr w14:paraId="133DC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53E90">
            <w:pPr>
              <w:pStyle w:val="12"/>
            </w:pPr>
            <w:r>
              <w:t>13</w:t>
            </w:r>
          </w:p>
        </w:tc>
        <w:tc>
          <w:tcPr>
            <w:tcW w:w="4535" w:type="dxa"/>
            <w:vAlign w:val="center"/>
          </w:tcPr>
          <w:p w14:paraId="42F9C099">
            <w:pPr>
              <w:pStyle w:val="13"/>
            </w:pPr>
          </w:p>
        </w:tc>
        <w:tc>
          <w:tcPr>
            <w:tcW w:w="2126" w:type="dxa"/>
            <w:vAlign w:val="center"/>
          </w:tcPr>
          <w:p w14:paraId="4E70DFB8">
            <w:pPr>
              <w:pStyle w:val="14"/>
            </w:pPr>
          </w:p>
        </w:tc>
        <w:tc>
          <w:tcPr>
            <w:tcW w:w="4535" w:type="dxa"/>
            <w:vAlign w:val="center"/>
          </w:tcPr>
          <w:p w14:paraId="538CDFFF">
            <w:pPr>
              <w:pStyle w:val="13"/>
            </w:pPr>
            <w:r>
              <w:t>十三、农林水支出</w:t>
            </w:r>
          </w:p>
        </w:tc>
        <w:tc>
          <w:tcPr>
            <w:tcW w:w="2126" w:type="dxa"/>
            <w:vAlign w:val="center"/>
          </w:tcPr>
          <w:p w14:paraId="12CFEB1A">
            <w:pPr>
              <w:pStyle w:val="14"/>
            </w:pPr>
          </w:p>
        </w:tc>
      </w:tr>
      <w:tr w14:paraId="5659D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F02DD">
            <w:pPr>
              <w:pStyle w:val="12"/>
            </w:pPr>
            <w:r>
              <w:t>14</w:t>
            </w:r>
          </w:p>
        </w:tc>
        <w:tc>
          <w:tcPr>
            <w:tcW w:w="4535" w:type="dxa"/>
            <w:vAlign w:val="center"/>
          </w:tcPr>
          <w:p w14:paraId="272BC936">
            <w:pPr>
              <w:pStyle w:val="13"/>
            </w:pPr>
          </w:p>
        </w:tc>
        <w:tc>
          <w:tcPr>
            <w:tcW w:w="2126" w:type="dxa"/>
            <w:vAlign w:val="center"/>
          </w:tcPr>
          <w:p w14:paraId="2ACEA25D">
            <w:pPr>
              <w:pStyle w:val="14"/>
            </w:pPr>
          </w:p>
        </w:tc>
        <w:tc>
          <w:tcPr>
            <w:tcW w:w="4535" w:type="dxa"/>
            <w:vAlign w:val="center"/>
          </w:tcPr>
          <w:p w14:paraId="6EA44330">
            <w:pPr>
              <w:pStyle w:val="13"/>
            </w:pPr>
            <w:r>
              <w:t>十四、交通运输支出</w:t>
            </w:r>
          </w:p>
        </w:tc>
        <w:tc>
          <w:tcPr>
            <w:tcW w:w="2126" w:type="dxa"/>
            <w:vAlign w:val="center"/>
          </w:tcPr>
          <w:p w14:paraId="3165D8BA">
            <w:pPr>
              <w:pStyle w:val="14"/>
            </w:pPr>
          </w:p>
        </w:tc>
      </w:tr>
      <w:tr w14:paraId="28200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2CC06">
            <w:pPr>
              <w:pStyle w:val="12"/>
            </w:pPr>
            <w:r>
              <w:t>15</w:t>
            </w:r>
          </w:p>
        </w:tc>
        <w:tc>
          <w:tcPr>
            <w:tcW w:w="4535" w:type="dxa"/>
            <w:vAlign w:val="center"/>
          </w:tcPr>
          <w:p w14:paraId="51F43279">
            <w:pPr>
              <w:pStyle w:val="13"/>
            </w:pPr>
          </w:p>
        </w:tc>
        <w:tc>
          <w:tcPr>
            <w:tcW w:w="2126" w:type="dxa"/>
            <w:vAlign w:val="center"/>
          </w:tcPr>
          <w:p w14:paraId="27535EED">
            <w:pPr>
              <w:pStyle w:val="14"/>
            </w:pPr>
          </w:p>
        </w:tc>
        <w:tc>
          <w:tcPr>
            <w:tcW w:w="4535" w:type="dxa"/>
            <w:vAlign w:val="center"/>
          </w:tcPr>
          <w:p w14:paraId="3C9DC107">
            <w:pPr>
              <w:pStyle w:val="13"/>
            </w:pPr>
            <w:r>
              <w:t>十五、资源勘探工业信息等支出</w:t>
            </w:r>
          </w:p>
        </w:tc>
        <w:tc>
          <w:tcPr>
            <w:tcW w:w="2126" w:type="dxa"/>
            <w:vAlign w:val="center"/>
          </w:tcPr>
          <w:p w14:paraId="22EB2E26">
            <w:pPr>
              <w:pStyle w:val="14"/>
            </w:pPr>
          </w:p>
        </w:tc>
      </w:tr>
      <w:tr w14:paraId="1DD03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C0DD4">
            <w:pPr>
              <w:pStyle w:val="12"/>
            </w:pPr>
            <w:r>
              <w:t>16</w:t>
            </w:r>
          </w:p>
        </w:tc>
        <w:tc>
          <w:tcPr>
            <w:tcW w:w="4535" w:type="dxa"/>
            <w:vAlign w:val="center"/>
          </w:tcPr>
          <w:p w14:paraId="7B775F69">
            <w:pPr>
              <w:pStyle w:val="13"/>
            </w:pPr>
          </w:p>
        </w:tc>
        <w:tc>
          <w:tcPr>
            <w:tcW w:w="2126" w:type="dxa"/>
            <w:vAlign w:val="center"/>
          </w:tcPr>
          <w:p w14:paraId="4176A331">
            <w:pPr>
              <w:pStyle w:val="14"/>
            </w:pPr>
          </w:p>
        </w:tc>
        <w:tc>
          <w:tcPr>
            <w:tcW w:w="4535" w:type="dxa"/>
            <w:vAlign w:val="center"/>
          </w:tcPr>
          <w:p w14:paraId="118F109A">
            <w:pPr>
              <w:pStyle w:val="13"/>
            </w:pPr>
            <w:r>
              <w:t>十六、商业服务业等支出</w:t>
            </w:r>
          </w:p>
        </w:tc>
        <w:tc>
          <w:tcPr>
            <w:tcW w:w="2126" w:type="dxa"/>
            <w:vAlign w:val="center"/>
          </w:tcPr>
          <w:p w14:paraId="697EFD0E">
            <w:pPr>
              <w:pStyle w:val="14"/>
            </w:pPr>
          </w:p>
        </w:tc>
      </w:tr>
      <w:tr w14:paraId="6A6E2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58E52">
            <w:pPr>
              <w:pStyle w:val="12"/>
            </w:pPr>
            <w:r>
              <w:t>17</w:t>
            </w:r>
          </w:p>
        </w:tc>
        <w:tc>
          <w:tcPr>
            <w:tcW w:w="4535" w:type="dxa"/>
            <w:vAlign w:val="center"/>
          </w:tcPr>
          <w:p w14:paraId="25F97138">
            <w:pPr>
              <w:pStyle w:val="13"/>
            </w:pPr>
          </w:p>
        </w:tc>
        <w:tc>
          <w:tcPr>
            <w:tcW w:w="2126" w:type="dxa"/>
            <w:vAlign w:val="center"/>
          </w:tcPr>
          <w:p w14:paraId="0640E8A2">
            <w:pPr>
              <w:pStyle w:val="14"/>
            </w:pPr>
          </w:p>
        </w:tc>
        <w:tc>
          <w:tcPr>
            <w:tcW w:w="4535" w:type="dxa"/>
            <w:vAlign w:val="center"/>
          </w:tcPr>
          <w:p w14:paraId="2DA7ED25">
            <w:pPr>
              <w:pStyle w:val="13"/>
            </w:pPr>
            <w:r>
              <w:t>十七、金融支出</w:t>
            </w:r>
          </w:p>
        </w:tc>
        <w:tc>
          <w:tcPr>
            <w:tcW w:w="2126" w:type="dxa"/>
            <w:vAlign w:val="center"/>
          </w:tcPr>
          <w:p w14:paraId="7E1C7CF0">
            <w:pPr>
              <w:pStyle w:val="14"/>
            </w:pPr>
          </w:p>
        </w:tc>
      </w:tr>
      <w:tr w14:paraId="23CC2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90570">
            <w:pPr>
              <w:pStyle w:val="12"/>
            </w:pPr>
            <w:r>
              <w:t>18</w:t>
            </w:r>
          </w:p>
        </w:tc>
        <w:tc>
          <w:tcPr>
            <w:tcW w:w="4535" w:type="dxa"/>
            <w:vAlign w:val="center"/>
          </w:tcPr>
          <w:p w14:paraId="6EAC0F87">
            <w:pPr>
              <w:pStyle w:val="13"/>
            </w:pPr>
          </w:p>
        </w:tc>
        <w:tc>
          <w:tcPr>
            <w:tcW w:w="2126" w:type="dxa"/>
            <w:vAlign w:val="center"/>
          </w:tcPr>
          <w:p w14:paraId="170A6399">
            <w:pPr>
              <w:pStyle w:val="14"/>
            </w:pPr>
          </w:p>
        </w:tc>
        <w:tc>
          <w:tcPr>
            <w:tcW w:w="4535" w:type="dxa"/>
            <w:vAlign w:val="center"/>
          </w:tcPr>
          <w:p w14:paraId="3B3EBB93">
            <w:pPr>
              <w:pStyle w:val="13"/>
            </w:pPr>
            <w:r>
              <w:t>十八、援助其他地区支出</w:t>
            </w:r>
          </w:p>
        </w:tc>
        <w:tc>
          <w:tcPr>
            <w:tcW w:w="2126" w:type="dxa"/>
            <w:vAlign w:val="center"/>
          </w:tcPr>
          <w:p w14:paraId="25B7B052">
            <w:pPr>
              <w:pStyle w:val="14"/>
            </w:pPr>
          </w:p>
        </w:tc>
      </w:tr>
      <w:tr w14:paraId="24FA6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358DF">
            <w:pPr>
              <w:pStyle w:val="12"/>
            </w:pPr>
            <w:r>
              <w:t>19</w:t>
            </w:r>
          </w:p>
        </w:tc>
        <w:tc>
          <w:tcPr>
            <w:tcW w:w="4535" w:type="dxa"/>
            <w:vAlign w:val="center"/>
          </w:tcPr>
          <w:p w14:paraId="67EFD980">
            <w:pPr>
              <w:pStyle w:val="13"/>
            </w:pPr>
          </w:p>
        </w:tc>
        <w:tc>
          <w:tcPr>
            <w:tcW w:w="2126" w:type="dxa"/>
            <w:vAlign w:val="center"/>
          </w:tcPr>
          <w:p w14:paraId="62D79896">
            <w:pPr>
              <w:pStyle w:val="14"/>
            </w:pPr>
          </w:p>
        </w:tc>
        <w:tc>
          <w:tcPr>
            <w:tcW w:w="4535" w:type="dxa"/>
            <w:vAlign w:val="center"/>
          </w:tcPr>
          <w:p w14:paraId="0822CEC2">
            <w:pPr>
              <w:pStyle w:val="13"/>
            </w:pPr>
            <w:r>
              <w:t>十九、自然资源海洋气象等支出</w:t>
            </w:r>
          </w:p>
        </w:tc>
        <w:tc>
          <w:tcPr>
            <w:tcW w:w="2126" w:type="dxa"/>
            <w:vAlign w:val="center"/>
          </w:tcPr>
          <w:p w14:paraId="322BFA41">
            <w:pPr>
              <w:pStyle w:val="14"/>
            </w:pPr>
          </w:p>
        </w:tc>
      </w:tr>
      <w:tr w14:paraId="2B5C8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64DE6">
            <w:pPr>
              <w:pStyle w:val="12"/>
            </w:pPr>
            <w:r>
              <w:t>20</w:t>
            </w:r>
          </w:p>
        </w:tc>
        <w:tc>
          <w:tcPr>
            <w:tcW w:w="4535" w:type="dxa"/>
            <w:vAlign w:val="center"/>
          </w:tcPr>
          <w:p w14:paraId="792D0B95">
            <w:pPr>
              <w:pStyle w:val="13"/>
            </w:pPr>
          </w:p>
        </w:tc>
        <w:tc>
          <w:tcPr>
            <w:tcW w:w="2126" w:type="dxa"/>
            <w:vAlign w:val="center"/>
          </w:tcPr>
          <w:p w14:paraId="21414231">
            <w:pPr>
              <w:pStyle w:val="14"/>
            </w:pPr>
          </w:p>
        </w:tc>
        <w:tc>
          <w:tcPr>
            <w:tcW w:w="4535" w:type="dxa"/>
            <w:vAlign w:val="center"/>
          </w:tcPr>
          <w:p w14:paraId="20711D5A">
            <w:pPr>
              <w:pStyle w:val="13"/>
            </w:pPr>
            <w:r>
              <w:t>二十、住房保障支出</w:t>
            </w:r>
          </w:p>
        </w:tc>
        <w:tc>
          <w:tcPr>
            <w:tcW w:w="2126" w:type="dxa"/>
            <w:vAlign w:val="center"/>
          </w:tcPr>
          <w:p w14:paraId="386D815E">
            <w:pPr>
              <w:pStyle w:val="14"/>
            </w:pPr>
          </w:p>
        </w:tc>
      </w:tr>
      <w:tr w14:paraId="2FD98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99ECA">
            <w:pPr>
              <w:pStyle w:val="12"/>
            </w:pPr>
            <w:r>
              <w:t>21</w:t>
            </w:r>
          </w:p>
        </w:tc>
        <w:tc>
          <w:tcPr>
            <w:tcW w:w="4535" w:type="dxa"/>
            <w:vAlign w:val="center"/>
          </w:tcPr>
          <w:p w14:paraId="0CD78F80">
            <w:pPr>
              <w:pStyle w:val="13"/>
            </w:pPr>
          </w:p>
        </w:tc>
        <w:tc>
          <w:tcPr>
            <w:tcW w:w="2126" w:type="dxa"/>
            <w:vAlign w:val="center"/>
          </w:tcPr>
          <w:p w14:paraId="329EA068">
            <w:pPr>
              <w:pStyle w:val="14"/>
            </w:pPr>
          </w:p>
        </w:tc>
        <w:tc>
          <w:tcPr>
            <w:tcW w:w="4535" w:type="dxa"/>
            <w:vAlign w:val="center"/>
          </w:tcPr>
          <w:p w14:paraId="63F2F7B7">
            <w:pPr>
              <w:pStyle w:val="13"/>
            </w:pPr>
            <w:r>
              <w:t>二十一、粮油物资储备支出</w:t>
            </w:r>
          </w:p>
        </w:tc>
        <w:tc>
          <w:tcPr>
            <w:tcW w:w="2126" w:type="dxa"/>
            <w:vAlign w:val="center"/>
          </w:tcPr>
          <w:p w14:paraId="02F1539B">
            <w:pPr>
              <w:pStyle w:val="14"/>
            </w:pPr>
          </w:p>
        </w:tc>
      </w:tr>
      <w:tr w14:paraId="5DF40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40DEE">
            <w:pPr>
              <w:pStyle w:val="12"/>
            </w:pPr>
            <w:r>
              <w:t>22</w:t>
            </w:r>
          </w:p>
        </w:tc>
        <w:tc>
          <w:tcPr>
            <w:tcW w:w="4535" w:type="dxa"/>
            <w:vAlign w:val="center"/>
          </w:tcPr>
          <w:p w14:paraId="16A0B411">
            <w:pPr>
              <w:pStyle w:val="13"/>
            </w:pPr>
          </w:p>
        </w:tc>
        <w:tc>
          <w:tcPr>
            <w:tcW w:w="2126" w:type="dxa"/>
            <w:vAlign w:val="center"/>
          </w:tcPr>
          <w:p w14:paraId="1B9DD2C4">
            <w:pPr>
              <w:pStyle w:val="14"/>
            </w:pPr>
          </w:p>
        </w:tc>
        <w:tc>
          <w:tcPr>
            <w:tcW w:w="4535" w:type="dxa"/>
            <w:vAlign w:val="center"/>
          </w:tcPr>
          <w:p w14:paraId="77EA982B">
            <w:pPr>
              <w:pStyle w:val="13"/>
            </w:pPr>
            <w:r>
              <w:t>二十二、国有资本经营预算支出</w:t>
            </w:r>
          </w:p>
        </w:tc>
        <w:tc>
          <w:tcPr>
            <w:tcW w:w="2126" w:type="dxa"/>
            <w:vAlign w:val="center"/>
          </w:tcPr>
          <w:p w14:paraId="1BF38B15">
            <w:pPr>
              <w:pStyle w:val="14"/>
            </w:pPr>
          </w:p>
        </w:tc>
      </w:tr>
      <w:tr w14:paraId="26906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09CDC">
            <w:pPr>
              <w:pStyle w:val="12"/>
            </w:pPr>
            <w:r>
              <w:t>23</w:t>
            </w:r>
          </w:p>
        </w:tc>
        <w:tc>
          <w:tcPr>
            <w:tcW w:w="4535" w:type="dxa"/>
            <w:vAlign w:val="center"/>
          </w:tcPr>
          <w:p w14:paraId="38E87618">
            <w:pPr>
              <w:pStyle w:val="13"/>
            </w:pPr>
          </w:p>
        </w:tc>
        <w:tc>
          <w:tcPr>
            <w:tcW w:w="2126" w:type="dxa"/>
            <w:vAlign w:val="center"/>
          </w:tcPr>
          <w:p w14:paraId="4E99355F">
            <w:pPr>
              <w:pStyle w:val="14"/>
            </w:pPr>
          </w:p>
        </w:tc>
        <w:tc>
          <w:tcPr>
            <w:tcW w:w="4535" w:type="dxa"/>
            <w:vAlign w:val="center"/>
          </w:tcPr>
          <w:p w14:paraId="5F25C144">
            <w:pPr>
              <w:pStyle w:val="13"/>
            </w:pPr>
            <w:r>
              <w:t>二十三、灾害防治及应急管理支出</w:t>
            </w:r>
          </w:p>
        </w:tc>
        <w:tc>
          <w:tcPr>
            <w:tcW w:w="2126" w:type="dxa"/>
            <w:vAlign w:val="center"/>
          </w:tcPr>
          <w:p w14:paraId="11BF0EDB">
            <w:pPr>
              <w:pStyle w:val="14"/>
            </w:pPr>
          </w:p>
        </w:tc>
      </w:tr>
      <w:tr w14:paraId="1AC11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FB90B">
            <w:pPr>
              <w:pStyle w:val="12"/>
            </w:pPr>
            <w:r>
              <w:t>24</w:t>
            </w:r>
          </w:p>
        </w:tc>
        <w:tc>
          <w:tcPr>
            <w:tcW w:w="4535" w:type="dxa"/>
            <w:vAlign w:val="center"/>
          </w:tcPr>
          <w:p w14:paraId="59D4E02E">
            <w:pPr>
              <w:pStyle w:val="13"/>
            </w:pPr>
          </w:p>
        </w:tc>
        <w:tc>
          <w:tcPr>
            <w:tcW w:w="2126" w:type="dxa"/>
            <w:vAlign w:val="center"/>
          </w:tcPr>
          <w:p w14:paraId="59E0747B">
            <w:pPr>
              <w:pStyle w:val="14"/>
            </w:pPr>
          </w:p>
        </w:tc>
        <w:tc>
          <w:tcPr>
            <w:tcW w:w="4535" w:type="dxa"/>
            <w:vAlign w:val="center"/>
          </w:tcPr>
          <w:p w14:paraId="1C863F34">
            <w:pPr>
              <w:pStyle w:val="13"/>
            </w:pPr>
            <w:r>
              <w:t>二十四、预备费</w:t>
            </w:r>
          </w:p>
        </w:tc>
        <w:tc>
          <w:tcPr>
            <w:tcW w:w="2126" w:type="dxa"/>
            <w:vAlign w:val="center"/>
          </w:tcPr>
          <w:p w14:paraId="4F7B1467">
            <w:pPr>
              <w:pStyle w:val="14"/>
            </w:pPr>
          </w:p>
        </w:tc>
      </w:tr>
      <w:tr w14:paraId="2EB10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D7C41">
            <w:pPr>
              <w:pStyle w:val="12"/>
            </w:pPr>
            <w:r>
              <w:t>25</w:t>
            </w:r>
          </w:p>
        </w:tc>
        <w:tc>
          <w:tcPr>
            <w:tcW w:w="4535" w:type="dxa"/>
            <w:vAlign w:val="center"/>
          </w:tcPr>
          <w:p w14:paraId="6C72557D">
            <w:pPr>
              <w:pStyle w:val="13"/>
            </w:pPr>
          </w:p>
        </w:tc>
        <w:tc>
          <w:tcPr>
            <w:tcW w:w="2126" w:type="dxa"/>
            <w:vAlign w:val="center"/>
          </w:tcPr>
          <w:p w14:paraId="504DD55C">
            <w:pPr>
              <w:pStyle w:val="14"/>
            </w:pPr>
          </w:p>
        </w:tc>
        <w:tc>
          <w:tcPr>
            <w:tcW w:w="4535" w:type="dxa"/>
            <w:vAlign w:val="center"/>
          </w:tcPr>
          <w:p w14:paraId="326AD19F">
            <w:pPr>
              <w:pStyle w:val="13"/>
            </w:pPr>
            <w:r>
              <w:t>二十五、其他支出</w:t>
            </w:r>
          </w:p>
        </w:tc>
        <w:tc>
          <w:tcPr>
            <w:tcW w:w="2126" w:type="dxa"/>
            <w:vAlign w:val="center"/>
          </w:tcPr>
          <w:p w14:paraId="4AA99947">
            <w:pPr>
              <w:pStyle w:val="14"/>
            </w:pPr>
          </w:p>
        </w:tc>
      </w:tr>
      <w:tr w14:paraId="26A26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C234F">
            <w:pPr>
              <w:pStyle w:val="12"/>
            </w:pPr>
            <w:r>
              <w:t>26</w:t>
            </w:r>
          </w:p>
        </w:tc>
        <w:tc>
          <w:tcPr>
            <w:tcW w:w="4535" w:type="dxa"/>
            <w:vAlign w:val="center"/>
          </w:tcPr>
          <w:p w14:paraId="130E198B">
            <w:pPr>
              <w:pStyle w:val="13"/>
            </w:pPr>
          </w:p>
        </w:tc>
        <w:tc>
          <w:tcPr>
            <w:tcW w:w="2126" w:type="dxa"/>
            <w:vAlign w:val="center"/>
          </w:tcPr>
          <w:p w14:paraId="0DECD28C">
            <w:pPr>
              <w:pStyle w:val="14"/>
            </w:pPr>
          </w:p>
        </w:tc>
        <w:tc>
          <w:tcPr>
            <w:tcW w:w="4535" w:type="dxa"/>
            <w:vAlign w:val="center"/>
          </w:tcPr>
          <w:p w14:paraId="34BA73F2">
            <w:pPr>
              <w:pStyle w:val="13"/>
            </w:pPr>
            <w:r>
              <w:t>二十六、转移性支出</w:t>
            </w:r>
          </w:p>
        </w:tc>
        <w:tc>
          <w:tcPr>
            <w:tcW w:w="2126" w:type="dxa"/>
            <w:vAlign w:val="center"/>
          </w:tcPr>
          <w:p w14:paraId="6905D0D0">
            <w:pPr>
              <w:pStyle w:val="14"/>
            </w:pPr>
          </w:p>
        </w:tc>
      </w:tr>
      <w:tr w14:paraId="69D3F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67251">
            <w:pPr>
              <w:pStyle w:val="12"/>
            </w:pPr>
            <w:r>
              <w:t>27</w:t>
            </w:r>
          </w:p>
        </w:tc>
        <w:tc>
          <w:tcPr>
            <w:tcW w:w="4535" w:type="dxa"/>
            <w:vAlign w:val="center"/>
          </w:tcPr>
          <w:p w14:paraId="44A00904">
            <w:pPr>
              <w:pStyle w:val="13"/>
            </w:pPr>
          </w:p>
        </w:tc>
        <w:tc>
          <w:tcPr>
            <w:tcW w:w="2126" w:type="dxa"/>
            <w:vAlign w:val="center"/>
          </w:tcPr>
          <w:p w14:paraId="3F4EC7D2">
            <w:pPr>
              <w:pStyle w:val="14"/>
            </w:pPr>
          </w:p>
        </w:tc>
        <w:tc>
          <w:tcPr>
            <w:tcW w:w="4535" w:type="dxa"/>
            <w:vAlign w:val="center"/>
          </w:tcPr>
          <w:p w14:paraId="33AAE666">
            <w:pPr>
              <w:pStyle w:val="13"/>
            </w:pPr>
            <w:r>
              <w:t>二十七、债务还本支出</w:t>
            </w:r>
          </w:p>
        </w:tc>
        <w:tc>
          <w:tcPr>
            <w:tcW w:w="2126" w:type="dxa"/>
            <w:vAlign w:val="center"/>
          </w:tcPr>
          <w:p w14:paraId="1E508AE8">
            <w:pPr>
              <w:pStyle w:val="14"/>
            </w:pPr>
          </w:p>
        </w:tc>
      </w:tr>
      <w:tr w14:paraId="2B7D2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25CF8">
            <w:pPr>
              <w:pStyle w:val="12"/>
            </w:pPr>
            <w:r>
              <w:t>28</w:t>
            </w:r>
          </w:p>
        </w:tc>
        <w:tc>
          <w:tcPr>
            <w:tcW w:w="4535" w:type="dxa"/>
            <w:vAlign w:val="center"/>
          </w:tcPr>
          <w:p w14:paraId="5239C4B3">
            <w:pPr>
              <w:pStyle w:val="13"/>
            </w:pPr>
          </w:p>
        </w:tc>
        <w:tc>
          <w:tcPr>
            <w:tcW w:w="2126" w:type="dxa"/>
            <w:vAlign w:val="center"/>
          </w:tcPr>
          <w:p w14:paraId="05320CAA">
            <w:pPr>
              <w:pStyle w:val="14"/>
            </w:pPr>
          </w:p>
        </w:tc>
        <w:tc>
          <w:tcPr>
            <w:tcW w:w="4535" w:type="dxa"/>
            <w:vAlign w:val="center"/>
          </w:tcPr>
          <w:p w14:paraId="696F35B0">
            <w:pPr>
              <w:pStyle w:val="13"/>
            </w:pPr>
            <w:r>
              <w:t>二十八、债务付息支出</w:t>
            </w:r>
          </w:p>
        </w:tc>
        <w:tc>
          <w:tcPr>
            <w:tcW w:w="2126" w:type="dxa"/>
            <w:vAlign w:val="center"/>
          </w:tcPr>
          <w:p w14:paraId="0DC519FE">
            <w:pPr>
              <w:pStyle w:val="14"/>
            </w:pPr>
          </w:p>
        </w:tc>
      </w:tr>
      <w:tr w14:paraId="33B0C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38CAF">
            <w:pPr>
              <w:pStyle w:val="12"/>
            </w:pPr>
            <w:r>
              <w:t>29</w:t>
            </w:r>
          </w:p>
        </w:tc>
        <w:tc>
          <w:tcPr>
            <w:tcW w:w="4535" w:type="dxa"/>
            <w:vAlign w:val="center"/>
          </w:tcPr>
          <w:p w14:paraId="5F1D0E95">
            <w:pPr>
              <w:pStyle w:val="13"/>
            </w:pPr>
          </w:p>
        </w:tc>
        <w:tc>
          <w:tcPr>
            <w:tcW w:w="2126" w:type="dxa"/>
            <w:vAlign w:val="center"/>
          </w:tcPr>
          <w:p w14:paraId="2B2AFFD1">
            <w:pPr>
              <w:pStyle w:val="14"/>
            </w:pPr>
          </w:p>
        </w:tc>
        <w:tc>
          <w:tcPr>
            <w:tcW w:w="4535" w:type="dxa"/>
            <w:vAlign w:val="center"/>
          </w:tcPr>
          <w:p w14:paraId="3A253384">
            <w:pPr>
              <w:pStyle w:val="13"/>
            </w:pPr>
            <w:r>
              <w:t>二十九、债务发行费用支出</w:t>
            </w:r>
          </w:p>
        </w:tc>
        <w:tc>
          <w:tcPr>
            <w:tcW w:w="2126" w:type="dxa"/>
            <w:vAlign w:val="center"/>
          </w:tcPr>
          <w:p w14:paraId="33902113">
            <w:pPr>
              <w:pStyle w:val="14"/>
            </w:pPr>
          </w:p>
        </w:tc>
      </w:tr>
      <w:tr w14:paraId="49E48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70821">
            <w:pPr>
              <w:pStyle w:val="12"/>
            </w:pPr>
            <w:r>
              <w:t>30</w:t>
            </w:r>
          </w:p>
        </w:tc>
        <w:tc>
          <w:tcPr>
            <w:tcW w:w="4535" w:type="dxa"/>
            <w:vAlign w:val="center"/>
          </w:tcPr>
          <w:p w14:paraId="66C54036">
            <w:pPr>
              <w:pStyle w:val="13"/>
            </w:pPr>
          </w:p>
        </w:tc>
        <w:tc>
          <w:tcPr>
            <w:tcW w:w="2126" w:type="dxa"/>
            <w:vAlign w:val="center"/>
          </w:tcPr>
          <w:p w14:paraId="21D4FDE5">
            <w:pPr>
              <w:pStyle w:val="14"/>
            </w:pPr>
          </w:p>
        </w:tc>
        <w:tc>
          <w:tcPr>
            <w:tcW w:w="4535" w:type="dxa"/>
            <w:vAlign w:val="center"/>
          </w:tcPr>
          <w:p w14:paraId="2729AA32">
            <w:pPr>
              <w:pStyle w:val="13"/>
            </w:pPr>
            <w:r>
              <w:t>三十、抗疫特别国债安排的支出</w:t>
            </w:r>
          </w:p>
        </w:tc>
        <w:tc>
          <w:tcPr>
            <w:tcW w:w="2126" w:type="dxa"/>
            <w:vAlign w:val="center"/>
          </w:tcPr>
          <w:p w14:paraId="7FCB6D1B">
            <w:pPr>
              <w:pStyle w:val="14"/>
            </w:pPr>
          </w:p>
        </w:tc>
      </w:tr>
      <w:tr w14:paraId="4B3BC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81E4C">
            <w:pPr>
              <w:pStyle w:val="12"/>
            </w:pPr>
            <w:r>
              <w:t>31</w:t>
            </w:r>
          </w:p>
        </w:tc>
        <w:tc>
          <w:tcPr>
            <w:tcW w:w="4535" w:type="dxa"/>
            <w:vAlign w:val="center"/>
          </w:tcPr>
          <w:p w14:paraId="25D2D726">
            <w:pPr>
              <w:pStyle w:val="13"/>
            </w:pPr>
          </w:p>
        </w:tc>
        <w:tc>
          <w:tcPr>
            <w:tcW w:w="2126" w:type="dxa"/>
            <w:vAlign w:val="center"/>
          </w:tcPr>
          <w:p w14:paraId="0A3E1CC7">
            <w:pPr>
              <w:pStyle w:val="14"/>
            </w:pPr>
          </w:p>
        </w:tc>
        <w:tc>
          <w:tcPr>
            <w:tcW w:w="4535" w:type="dxa"/>
            <w:vAlign w:val="center"/>
          </w:tcPr>
          <w:p w14:paraId="72E01F11">
            <w:pPr>
              <w:pStyle w:val="13"/>
            </w:pPr>
            <w:r>
              <w:t>三十一、人行科目</w:t>
            </w:r>
          </w:p>
        </w:tc>
        <w:tc>
          <w:tcPr>
            <w:tcW w:w="2126" w:type="dxa"/>
            <w:vAlign w:val="center"/>
          </w:tcPr>
          <w:p w14:paraId="6DA383D4">
            <w:pPr>
              <w:pStyle w:val="14"/>
            </w:pPr>
          </w:p>
        </w:tc>
      </w:tr>
      <w:tr w14:paraId="1B22F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1051C">
            <w:pPr>
              <w:pStyle w:val="12"/>
            </w:pPr>
            <w:r>
              <w:t>32</w:t>
            </w:r>
          </w:p>
        </w:tc>
        <w:tc>
          <w:tcPr>
            <w:tcW w:w="4535" w:type="dxa"/>
            <w:vAlign w:val="center"/>
          </w:tcPr>
          <w:p w14:paraId="38DD1557">
            <w:pPr>
              <w:pStyle w:val="15"/>
            </w:pPr>
            <w:r>
              <w:t>本年收入合计</w:t>
            </w:r>
          </w:p>
        </w:tc>
        <w:tc>
          <w:tcPr>
            <w:tcW w:w="2126" w:type="dxa"/>
            <w:vAlign w:val="center"/>
          </w:tcPr>
          <w:p w14:paraId="513AD654">
            <w:pPr>
              <w:pStyle w:val="16"/>
            </w:pPr>
            <w:r>
              <w:t>2032.12</w:t>
            </w:r>
          </w:p>
        </w:tc>
        <w:tc>
          <w:tcPr>
            <w:tcW w:w="4535" w:type="dxa"/>
            <w:vAlign w:val="center"/>
          </w:tcPr>
          <w:p w14:paraId="68ADB0F4">
            <w:pPr>
              <w:pStyle w:val="15"/>
            </w:pPr>
            <w:r>
              <w:t>本年支出合计</w:t>
            </w:r>
          </w:p>
        </w:tc>
        <w:tc>
          <w:tcPr>
            <w:tcW w:w="2126" w:type="dxa"/>
            <w:vAlign w:val="center"/>
          </w:tcPr>
          <w:p w14:paraId="553A1104">
            <w:pPr>
              <w:pStyle w:val="16"/>
            </w:pPr>
            <w:r>
              <w:t>2189.41</w:t>
            </w:r>
          </w:p>
        </w:tc>
      </w:tr>
      <w:tr w14:paraId="7FA46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30753">
            <w:pPr>
              <w:pStyle w:val="12"/>
            </w:pPr>
            <w:r>
              <w:t>33</w:t>
            </w:r>
          </w:p>
        </w:tc>
        <w:tc>
          <w:tcPr>
            <w:tcW w:w="4535" w:type="dxa"/>
            <w:vAlign w:val="center"/>
          </w:tcPr>
          <w:p w14:paraId="1C36DA4D">
            <w:pPr>
              <w:pStyle w:val="13"/>
            </w:pPr>
            <w:r>
              <w:t>上年结转结余</w:t>
            </w:r>
          </w:p>
        </w:tc>
        <w:tc>
          <w:tcPr>
            <w:tcW w:w="2126" w:type="dxa"/>
            <w:vAlign w:val="center"/>
          </w:tcPr>
          <w:p w14:paraId="35F6FF60">
            <w:pPr>
              <w:pStyle w:val="14"/>
            </w:pPr>
            <w:r>
              <w:t>157.29</w:t>
            </w:r>
          </w:p>
        </w:tc>
        <w:tc>
          <w:tcPr>
            <w:tcW w:w="4535" w:type="dxa"/>
            <w:vAlign w:val="center"/>
          </w:tcPr>
          <w:p w14:paraId="3886100A">
            <w:pPr>
              <w:pStyle w:val="13"/>
            </w:pPr>
            <w:r>
              <w:t>年终结转结余</w:t>
            </w:r>
          </w:p>
        </w:tc>
        <w:tc>
          <w:tcPr>
            <w:tcW w:w="2126" w:type="dxa"/>
            <w:vAlign w:val="center"/>
          </w:tcPr>
          <w:p w14:paraId="21A2CCE3">
            <w:pPr>
              <w:pStyle w:val="14"/>
            </w:pPr>
          </w:p>
        </w:tc>
      </w:tr>
      <w:tr w14:paraId="05B94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03C72">
            <w:pPr>
              <w:pStyle w:val="12"/>
            </w:pPr>
            <w:r>
              <w:t>34</w:t>
            </w:r>
          </w:p>
        </w:tc>
        <w:tc>
          <w:tcPr>
            <w:tcW w:w="4535" w:type="dxa"/>
            <w:vAlign w:val="center"/>
          </w:tcPr>
          <w:p w14:paraId="2824B7EF">
            <w:pPr>
              <w:pStyle w:val="15"/>
            </w:pPr>
            <w:r>
              <w:t>收入总计</w:t>
            </w:r>
          </w:p>
        </w:tc>
        <w:tc>
          <w:tcPr>
            <w:tcW w:w="2126" w:type="dxa"/>
            <w:vAlign w:val="center"/>
          </w:tcPr>
          <w:p w14:paraId="60F7C5C6">
            <w:pPr>
              <w:pStyle w:val="16"/>
            </w:pPr>
            <w:r>
              <w:t>2189.41</w:t>
            </w:r>
          </w:p>
        </w:tc>
        <w:tc>
          <w:tcPr>
            <w:tcW w:w="4535" w:type="dxa"/>
            <w:vAlign w:val="center"/>
          </w:tcPr>
          <w:p w14:paraId="3CE052D8">
            <w:pPr>
              <w:pStyle w:val="15"/>
            </w:pPr>
            <w:r>
              <w:t>支出总计</w:t>
            </w:r>
          </w:p>
        </w:tc>
        <w:tc>
          <w:tcPr>
            <w:tcW w:w="2126" w:type="dxa"/>
            <w:vAlign w:val="center"/>
          </w:tcPr>
          <w:p w14:paraId="3D942CAD">
            <w:pPr>
              <w:pStyle w:val="16"/>
            </w:pPr>
            <w:r>
              <w:t>2189.41</w:t>
            </w:r>
          </w:p>
        </w:tc>
      </w:tr>
    </w:tbl>
    <w:p w14:paraId="0E622B19">
      <w:pPr>
        <w:sectPr>
          <w:pgSz w:w="16840" w:h="11900" w:orient="landscape"/>
          <w:pgMar w:top="1361" w:right="1020" w:bottom="1134" w:left="1020" w:header="720" w:footer="720" w:gutter="0"/>
          <w:cols w:space="720" w:num="1"/>
        </w:sectPr>
      </w:pPr>
    </w:p>
    <w:p w14:paraId="4E72EF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036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A5467A">
            <w:pPr>
              <w:pStyle w:val="8"/>
            </w:pPr>
            <w:r>
              <w:t>360024隆尧县大张家庄校区</w:t>
            </w:r>
          </w:p>
        </w:tc>
        <w:tc>
          <w:tcPr>
            <w:tcW w:w="3402" w:type="dxa"/>
            <w:gridSpan w:val="3"/>
            <w:tcBorders>
              <w:top w:val="single" w:color="FFFFFF" w:sz="6" w:space="0"/>
              <w:left w:val="single" w:color="FFFFFF" w:sz="6" w:space="0"/>
              <w:right w:val="single" w:color="FFFFFF" w:sz="6" w:space="0"/>
            </w:tcBorders>
            <w:vAlign w:val="center"/>
          </w:tcPr>
          <w:p w14:paraId="0C65FC16">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C0281CC">
            <w:pPr>
              <w:pStyle w:val="10"/>
            </w:pPr>
            <w:r>
              <w:t>单位：万元</w:t>
            </w:r>
          </w:p>
        </w:tc>
      </w:tr>
      <w:tr w14:paraId="1D418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02899E">
            <w:pPr>
              <w:pStyle w:val="11"/>
            </w:pPr>
            <w:r>
              <w:t>序号</w:t>
            </w:r>
          </w:p>
        </w:tc>
        <w:tc>
          <w:tcPr>
            <w:tcW w:w="2551" w:type="dxa"/>
            <w:gridSpan w:val="2"/>
            <w:vAlign w:val="center"/>
          </w:tcPr>
          <w:p w14:paraId="7568C056">
            <w:pPr>
              <w:pStyle w:val="11"/>
            </w:pPr>
            <w:r>
              <w:t>功能分类科目</w:t>
            </w:r>
          </w:p>
        </w:tc>
        <w:tc>
          <w:tcPr>
            <w:tcW w:w="1134" w:type="dxa"/>
            <w:vMerge w:val="restart"/>
            <w:vAlign w:val="center"/>
          </w:tcPr>
          <w:p w14:paraId="45016C32">
            <w:pPr>
              <w:pStyle w:val="11"/>
            </w:pPr>
            <w:r>
              <w:t>合计</w:t>
            </w:r>
          </w:p>
        </w:tc>
        <w:tc>
          <w:tcPr>
            <w:tcW w:w="9072" w:type="dxa"/>
            <w:gridSpan w:val="8"/>
            <w:vAlign w:val="center"/>
          </w:tcPr>
          <w:p w14:paraId="73FD81B9">
            <w:pPr>
              <w:pStyle w:val="11"/>
            </w:pPr>
            <w:r>
              <w:t>本年收入</w:t>
            </w:r>
          </w:p>
        </w:tc>
        <w:tc>
          <w:tcPr>
            <w:tcW w:w="1134" w:type="dxa"/>
            <w:vMerge w:val="restart"/>
            <w:vAlign w:val="center"/>
          </w:tcPr>
          <w:p w14:paraId="56A0E2AF">
            <w:pPr>
              <w:pStyle w:val="11"/>
            </w:pPr>
            <w:r>
              <w:t>上年结转</w:t>
            </w:r>
          </w:p>
        </w:tc>
      </w:tr>
      <w:tr w14:paraId="69D53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6B9AD9"/>
        </w:tc>
        <w:tc>
          <w:tcPr>
            <w:tcW w:w="992" w:type="dxa"/>
            <w:vAlign w:val="center"/>
          </w:tcPr>
          <w:p w14:paraId="7496B1C6">
            <w:pPr>
              <w:pStyle w:val="11"/>
            </w:pPr>
            <w:r>
              <w:t>科目    编码</w:t>
            </w:r>
          </w:p>
        </w:tc>
        <w:tc>
          <w:tcPr>
            <w:tcW w:w="1559" w:type="dxa"/>
            <w:vAlign w:val="center"/>
          </w:tcPr>
          <w:p w14:paraId="6B61B1C1">
            <w:pPr>
              <w:pStyle w:val="11"/>
            </w:pPr>
            <w:r>
              <w:t>科目名称</w:t>
            </w:r>
          </w:p>
        </w:tc>
        <w:tc>
          <w:tcPr>
            <w:tcW w:w="1134" w:type="dxa"/>
            <w:vMerge w:val="continue"/>
          </w:tcPr>
          <w:p w14:paraId="67F5B29D"/>
        </w:tc>
        <w:tc>
          <w:tcPr>
            <w:tcW w:w="1134" w:type="dxa"/>
            <w:vAlign w:val="center"/>
          </w:tcPr>
          <w:p w14:paraId="5B92C9FD">
            <w:pPr>
              <w:pStyle w:val="11"/>
            </w:pPr>
            <w:r>
              <w:t>小计</w:t>
            </w:r>
          </w:p>
        </w:tc>
        <w:tc>
          <w:tcPr>
            <w:tcW w:w="1134" w:type="dxa"/>
            <w:vAlign w:val="center"/>
          </w:tcPr>
          <w:p w14:paraId="262AF04C">
            <w:pPr>
              <w:pStyle w:val="11"/>
            </w:pPr>
            <w:r>
              <w:t>财政拨款 收入</w:t>
            </w:r>
          </w:p>
        </w:tc>
        <w:tc>
          <w:tcPr>
            <w:tcW w:w="1134" w:type="dxa"/>
            <w:vAlign w:val="center"/>
          </w:tcPr>
          <w:p w14:paraId="64F1B4CD">
            <w:pPr>
              <w:pStyle w:val="11"/>
            </w:pPr>
            <w:r>
              <w:t>财政专户 收入</w:t>
            </w:r>
          </w:p>
        </w:tc>
        <w:tc>
          <w:tcPr>
            <w:tcW w:w="1134" w:type="dxa"/>
            <w:vAlign w:val="center"/>
          </w:tcPr>
          <w:p w14:paraId="6A374CBE">
            <w:pPr>
              <w:pStyle w:val="11"/>
            </w:pPr>
            <w:r>
              <w:t>事业收入</w:t>
            </w:r>
          </w:p>
        </w:tc>
        <w:tc>
          <w:tcPr>
            <w:tcW w:w="1134" w:type="dxa"/>
            <w:vAlign w:val="center"/>
          </w:tcPr>
          <w:p w14:paraId="02AAD3A2">
            <w:pPr>
              <w:pStyle w:val="11"/>
            </w:pPr>
            <w:r>
              <w:t>经营收入</w:t>
            </w:r>
          </w:p>
        </w:tc>
        <w:tc>
          <w:tcPr>
            <w:tcW w:w="1134" w:type="dxa"/>
            <w:vAlign w:val="center"/>
          </w:tcPr>
          <w:p w14:paraId="4B444DE8">
            <w:pPr>
              <w:pStyle w:val="11"/>
            </w:pPr>
            <w:r>
              <w:t>上级补助收入</w:t>
            </w:r>
          </w:p>
        </w:tc>
        <w:tc>
          <w:tcPr>
            <w:tcW w:w="1134" w:type="dxa"/>
            <w:vAlign w:val="center"/>
          </w:tcPr>
          <w:p w14:paraId="4268B9F2">
            <w:pPr>
              <w:pStyle w:val="11"/>
            </w:pPr>
            <w:r>
              <w:t>附属单位上缴收入</w:t>
            </w:r>
          </w:p>
        </w:tc>
        <w:tc>
          <w:tcPr>
            <w:tcW w:w="1134" w:type="dxa"/>
            <w:vAlign w:val="center"/>
          </w:tcPr>
          <w:p w14:paraId="13ED65F3">
            <w:pPr>
              <w:pStyle w:val="11"/>
            </w:pPr>
            <w:r>
              <w:t>其他收入</w:t>
            </w:r>
          </w:p>
        </w:tc>
        <w:tc>
          <w:tcPr>
            <w:tcW w:w="1134" w:type="dxa"/>
            <w:vMerge w:val="continue"/>
          </w:tcPr>
          <w:p w14:paraId="246127BC"/>
        </w:tc>
      </w:tr>
      <w:tr w14:paraId="051DC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2F23BF">
            <w:pPr>
              <w:pStyle w:val="11"/>
            </w:pPr>
            <w:r>
              <w:t>栏次</w:t>
            </w:r>
          </w:p>
        </w:tc>
        <w:tc>
          <w:tcPr>
            <w:tcW w:w="992" w:type="dxa"/>
            <w:vAlign w:val="center"/>
          </w:tcPr>
          <w:p w14:paraId="39C26FA1">
            <w:pPr>
              <w:pStyle w:val="11"/>
            </w:pPr>
            <w:r>
              <w:t>1</w:t>
            </w:r>
          </w:p>
        </w:tc>
        <w:tc>
          <w:tcPr>
            <w:tcW w:w="1559" w:type="dxa"/>
            <w:vAlign w:val="center"/>
          </w:tcPr>
          <w:p w14:paraId="6E36B316">
            <w:pPr>
              <w:pStyle w:val="11"/>
            </w:pPr>
            <w:r>
              <w:t>2</w:t>
            </w:r>
          </w:p>
        </w:tc>
        <w:tc>
          <w:tcPr>
            <w:tcW w:w="1134" w:type="dxa"/>
            <w:vAlign w:val="center"/>
          </w:tcPr>
          <w:p w14:paraId="552CCF29">
            <w:pPr>
              <w:pStyle w:val="11"/>
            </w:pPr>
            <w:r>
              <w:t>3</w:t>
            </w:r>
          </w:p>
        </w:tc>
        <w:tc>
          <w:tcPr>
            <w:tcW w:w="1134" w:type="dxa"/>
            <w:vAlign w:val="center"/>
          </w:tcPr>
          <w:p w14:paraId="7E5F357F">
            <w:pPr>
              <w:pStyle w:val="11"/>
            </w:pPr>
            <w:r>
              <w:t>4</w:t>
            </w:r>
          </w:p>
        </w:tc>
        <w:tc>
          <w:tcPr>
            <w:tcW w:w="1134" w:type="dxa"/>
            <w:vAlign w:val="center"/>
          </w:tcPr>
          <w:p w14:paraId="1388F8A9">
            <w:pPr>
              <w:pStyle w:val="11"/>
            </w:pPr>
            <w:r>
              <w:t>5</w:t>
            </w:r>
          </w:p>
        </w:tc>
        <w:tc>
          <w:tcPr>
            <w:tcW w:w="1134" w:type="dxa"/>
            <w:vAlign w:val="center"/>
          </w:tcPr>
          <w:p w14:paraId="39D8E2BC">
            <w:pPr>
              <w:pStyle w:val="11"/>
            </w:pPr>
            <w:r>
              <w:t>6</w:t>
            </w:r>
          </w:p>
        </w:tc>
        <w:tc>
          <w:tcPr>
            <w:tcW w:w="1134" w:type="dxa"/>
            <w:vAlign w:val="center"/>
          </w:tcPr>
          <w:p w14:paraId="4007328F">
            <w:pPr>
              <w:pStyle w:val="11"/>
            </w:pPr>
            <w:r>
              <w:t>7</w:t>
            </w:r>
          </w:p>
        </w:tc>
        <w:tc>
          <w:tcPr>
            <w:tcW w:w="1134" w:type="dxa"/>
            <w:vAlign w:val="center"/>
          </w:tcPr>
          <w:p w14:paraId="159690B8">
            <w:pPr>
              <w:pStyle w:val="11"/>
            </w:pPr>
            <w:r>
              <w:t>8</w:t>
            </w:r>
          </w:p>
        </w:tc>
        <w:tc>
          <w:tcPr>
            <w:tcW w:w="1134" w:type="dxa"/>
            <w:vAlign w:val="center"/>
          </w:tcPr>
          <w:p w14:paraId="206DF5A4">
            <w:pPr>
              <w:pStyle w:val="11"/>
            </w:pPr>
            <w:r>
              <w:t>9</w:t>
            </w:r>
          </w:p>
        </w:tc>
        <w:tc>
          <w:tcPr>
            <w:tcW w:w="1134" w:type="dxa"/>
            <w:vAlign w:val="center"/>
          </w:tcPr>
          <w:p w14:paraId="72FEBA45">
            <w:pPr>
              <w:pStyle w:val="11"/>
            </w:pPr>
            <w:r>
              <w:t>10</w:t>
            </w:r>
          </w:p>
        </w:tc>
        <w:tc>
          <w:tcPr>
            <w:tcW w:w="1134" w:type="dxa"/>
            <w:vAlign w:val="center"/>
          </w:tcPr>
          <w:p w14:paraId="2F6886BD">
            <w:pPr>
              <w:pStyle w:val="11"/>
            </w:pPr>
            <w:r>
              <w:t>11</w:t>
            </w:r>
          </w:p>
        </w:tc>
        <w:tc>
          <w:tcPr>
            <w:tcW w:w="1134" w:type="dxa"/>
            <w:vAlign w:val="center"/>
          </w:tcPr>
          <w:p w14:paraId="1B8187D1">
            <w:pPr>
              <w:pStyle w:val="11"/>
            </w:pPr>
            <w:r>
              <w:t>12</w:t>
            </w:r>
          </w:p>
        </w:tc>
      </w:tr>
      <w:tr w14:paraId="0F875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FB0BF2">
            <w:pPr>
              <w:pStyle w:val="12"/>
            </w:pPr>
            <w:r>
              <w:t>1</w:t>
            </w:r>
          </w:p>
        </w:tc>
        <w:tc>
          <w:tcPr>
            <w:tcW w:w="992" w:type="dxa"/>
            <w:vAlign w:val="center"/>
          </w:tcPr>
          <w:p w14:paraId="66B8F3C2">
            <w:pPr>
              <w:pStyle w:val="17"/>
            </w:pPr>
          </w:p>
        </w:tc>
        <w:tc>
          <w:tcPr>
            <w:tcW w:w="1559" w:type="dxa"/>
            <w:vAlign w:val="center"/>
          </w:tcPr>
          <w:p w14:paraId="617E5C50">
            <w:pPr>
              <w:pStyle w:val="15"/>
            </w:pPr>
            <w:r>
              <w:t>合计</w:t>
            </w:r>
          </w:p>
        </w:tc>
        <w:tc>
          <w:tcPr>
            <w:tcW w:w="1134" w:type="dxa"/>
            <w:vAlign w:val="center"/>
          </w:tcPr>
          <w:p w14:paraId="19780849">
            <w:pPr>
              <w:pStyle w:val="16"/>
            </w:pPr>
            <w:r>
              <w:t>2189.41</w:t>
            </w:r>
          </w:p>
        </w:tc>
        <w:tc>
          <w:tcPr>
            <w:tcW w:w="1134" w:type="dxa"/>
            <w:vAlign w:val="center"/>
          </w:tcPr>
          <w:p w14:paraId="4501A561">
            <w:pPr>
              <w:pStyle w:val="16"/>
            </w:pPr>
            <w:r>
              <w:t>2032.12</w:t>
            </w:r>
          </w:p>
        </w:tc>
        <w:tc>
          <w:tcPr>
            <w:tcW w:w="1134" w:type="dxa"/>
            <w:vAlign w:val="center"/>
          </w:tcPr>
          <w:p w14:paraId="4D57D4C4">
            <w:pPr>
              <w:pStyle w:val="16"/>
            </w:pPr>
            <w:r>
              <w:t>2032.12</w:t>
            </w:r>
          </w:p>
        </w:tc>
        <w:tc>
          <w:tcPr>
            <w:tcW w:w="1134" w:type="dxa"/>
            <w:vAlign w:val="center"/>
          </w:tcPr>
          <w:p w14:paraId="4D7D11BC">
            <w:pPr>
              <w:pStyle w:val="16"/>
            </w:pPr>
          </w:p>
        </w:tc>
        <w:tc>
          <w:tcPr>
            <w:tcW w:w="1134" w:type="dxa"/>
            <w:vAlign w:val="center"/>
          </w:tcPr>
          <w:p w14:paraId="57E36A9E">
            <w:pPr>
              <w:pStyle w:val="16"/>
            </w:pPr>
          </w:p>
        </w:tc>
        <w:tc>
          <w:tcPr>
            <w:tcW w:w="1134" w:type="dxa"/>
            <w:vAlign w:val="center"/>
          </w:tcPr>
          <w:p w14:paraId="5DD2B9C9">
            <w:pPr>
              <w:pStyle w:val="16"/>
            </w:pPr>
          </w:p>
        </w:tc>
        <w:tc>
          <w:tcPr>
            <w:tcW w:w="1134" w:type="dxa"/>
            <w:vAlign w:val="center"/>
          </w:tcPr>
          <w:p w14:paraId="72D3CB45">
            <w:pPr>
              <w:pStyle w:val="16"/>
            </w:pPr>
          </w:p>
        </w:tc>
        <w:tc>
          <w:tcPr>
            <w:tcW w:w="1134" w:type="dxa"/>
            <w:vAlign w:val="center"/>
          </w:tcPr>
          <w:p w14:paraId="21077AE9">
            <w:pPr>
              <w:pStyle w:val="16"/>
            </w:pPr>
          </w:p>
        </w:tc>
        <w:tc>
          <w:tcPr>
            <w:tcW w:w="1134" w:type="dxa"/>
            <w:vAlign w:val="center"/>
          </w:tcPr>
          <w:p w14:paraId="1333DE2B">
            <w:pPr>
              <w:pStyle w:val="16"/>
            </w:pPr>
          </w:p>
        </w:tc>
        <w:tc>
          <w:tcPr>
            <w:tcW w:w="1134" w:type="dxa"/>
            <w:vAlign w:val="center"/>
          </w:tcPr>
          <w:p w14:paraId="42CB1FCA">
            <w:pPr>
              <w:pStyle w:val="16"/>
            </w:pPr>
            <w:r>
              <w:t>157.29</w:t>
            </w:r>
          </w:p>
        </w:tc>
      </w:tr>
      <w:tr w14:paraId="33BAF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DA7B7D">
            <w:pPr>
              <w:pStyle w:val="12"/>
            </w:pPr>
            <w:r>
              <w:t>2</w:t>
            </w:r>
          </w:p>
        </w:tc>
        <w:tc>
          <w:tcPr>
            <w:tcW w:w="992" w:type="dxa"/>
            <w:vAlign w:val="center"/>
          </w:tcPr>
          <w:p w14:paraId="4C14F75B">
            <w:pPr>
              <w:pStyle w:val="13"/>
            </w:pPr>
            <w:r>
              <w:t>205</w:t>
            </w:r>
          </w:p>
        </w:tc>
        <w:tc>
          <w:tcPr>
            <w:tcW w:w="1559" w:type="dxa"/>
            <w:vAlign w:val="center"/>
          </w:tcPr>
          <w:p w14:paraId="5285FA2D">
            <w:pPr>
              <w:pStyle w:val="13"/>
            </w:pPr>
            <w:r>
              <w:t>教育支出</w:t>
            </w:r>
          </w:p>
        </w:tc>
        <w:tc>
          <w:tcPr>
            <w:tcW w:w="1134" w:type="dxa"/>
            <w:vAlign w:val="center"/>
          </w:tcPr>
          <w:p w14:paraId="75AB227D">
            <w:pPr>
              <w:pStyle w:val="14"/>
            </w:pPr>
            <w:r>
              <w:t>2189.41</w:t>
            </w:r>
          </w:p>
        </w:tc>
        <w:tc>
          <w:tcPr>
            <w:tcW w:w="1134" w:type="dxa"/>
            <w:vAlign w:val="center"/>
          </w:tcPr>
          <w:p w14:paraId="0DBB5207">
            <w:pPr>
              <w:pStyle w:val="14"/>
            </w:pPr>
            <w:r>
              <w:t>2032.12</w:t>
            </w:r>
          </w:p>
        </w:tc>
        <w:tc>
          <w:tcPr>
            <w:tcW w:w="1134" w:type="dxa"/>
            <w:vAlign w:val="center"/>
          </w:tcPr>
          <w:p w14:paraId="31851D9E">
            <w:pPr>
              <w:pStyle w:val="14"/>
            </w:pPr>
            <w:r>
              <w:t>2032.12</w:t>
            </w:r>
          </w:p>
        </w:tc>
        <w:tc>
          <w:tcPr>
            <w:tcW w:w="1134" w:type="dxa"/>
            <w:vAlign w:val="center"/>
          </w:tcPr>
          <w:p w14:paraId="6C8F9377">
            <w:pPr>
              <w:pStyle w:val="14"/>
            </w:pPr>
          </w:p>
        </w:tc>
        <w:tc>
          <w:tcPr>
            <w:tcW w:w="1134" w:type="dxa"/>
            <w:vAlign w:val="center"/>
          </w:tcPr>
          <w:p w14:paraId="1D681ACA">
            <w:pPr>
              <w:pStyle w:val="14"/>
            </w:pPr>
          </w:p>
        </w:tc>
        <w:tc>
          <w:tcPr>
            <w:tcW w:w="1134" w:type="dxa"/>
            <w:vAlign w:val="center"/>
          </w:tcPr>
          <w:p w14:paraId="0A2CEFEB">
            <w:pPr>
              <w:pStyle w:val="14"/>
            </w:pPr>
          </w:p>
        </w:tc>
        <w:tc>
          <w:tcPr>
            <w:tcW w:w="1134" w:type="dxa"/>
            <w:vAlign w:val="center"/>
          </w:tcPr>
          <w:p w14:paraId="70AC2135">
            <w:pPr>
              <w:pStyle w:val="14"/>
            </w:pPr>
          </w:p>
        </w:tc>
        <w:tc>
          <w:tcPr>
            <w:tcW w:w="1134" w:type="dxa"/>
            <w:vAlign w:val="center"/>
          </w:tcPr>
          <w:p w14:paraId="474F421E">
            <w:pPr>
              <w:pStyle w:val="14"/>
            </w:pPr>
          </w:p>
        </w:tc>
        <w:tc>
          <w:tcPr>
            <w:tcW w:w="1134" w:type="dxa"/>
            <w:vAlign w:val="center"/>
          </w:tcPr>
          <w:p w14:paraId="0FBE541F">
            <w:pPr>
              <w:pStyle w:val="14"/>
            </w:pPr>
          </w:p>
        </w:tc>
        <w:tc>
          <w:tcPr>
            <w:tcW w:w="1134" w:type="dxa"/>
            <w:vAlign w:val="center"/>
          </w:tcPr>
          <w:p w14:paraId="5E1AB13A">
            <w:pPr>
              <w:pStyle w:val="14"/>
            </w:pPr>
            <w:r>
              <w:t>157.29</w:t>
            </w:r>
          </w:p>
        </w:tc>
      </w:tr>
      <w:tr w14:paraId="16FAA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305D35">
            <w:pPr>
              <w:pStyle w:val="12"/>
            </w:pPr>
            <w:r>
              <w:t>3</w:t>
            </w:r>
          </w:p>
        </w:tc>
        <w:tc>
          <w:tcPr>
            <w:tcW w:w="992" w:type="dxa"/>
            <w:vAlign w:val="center"/>
          </w:tcPr>
          <w:p w14:paraId="4D35DA4B">
            <w:pPr>
              <w:pStyle w:val="13"/>
            </w:pPr>
            <w:r>
              <w:t>20502</w:t>
            </w:r>
          </w:p>
        </w:tc>
        <w:tc>
          <w:tcPr>
            <w:tcW w:w="1559" w:type="dxa"/>
            <w:vAlign w:val="center"/>
          </w:tcPr>
          <w:p w14:paraId="445A61CE">
            <w:pPr>
              <w:pStyle w:val="13"/>
            </w:pPr>
            <w:r>
              <w:t>普通教育</w:t>
            </w:r>
          </w:p>
        </w:tc>
        <w:tc>
          <w:tcPr>
            <w:tcW w:w="1134" w:type="dxa"/>
            <w:vAlign w:val="center"/>
          </w:tcPr>
          <w:p w14:paraId="4FC6A92C">
            <w:pPr>
              <w:pStyle w:val="14"/>
            </w:pPr>
            <w:r>
              <w:t>2189.41</w:t>
            </w:r>
          </w:p>
        </w:tc>
        <w:tc>
          <w:tcPr>
            <w:tcW w:w="1134" w:type="dxa"/>
            <w:vAlign w:val="center"/>
          </w:tcPr>
          <w:p w14:paraId="7D46B711">
            <w:pPr>
              <w:pStyle w:val="14"/>
            </w:pPr>
            <w:r>
              <w:t>2032.12</w:t>
            </w:r>
          </w:p>
        </w:tc>
        <w:tc>
          <w:tcPr>
            <w:tcW w:w="1134" w:type="dxa"/>
            <w:vAlign w:val="center"/>
          </w:tcPr>
          <w:p w14:paraId="67A81646">
            <w:pPr>
              <w:pStyle w:val="14"/>
            </w:pPr>
            <w:r>
              <w:t>2032.12</w:t>
            </w:r>
          </w:p>
        </w:tc>
        <w:tc>
          <w:tcPr>
            <w:tcW w:w="1134" w:type="dxa"/>
            <w:vAlign w:val="center"/>
          </w:tcPr>
          <w:p w14:paraId="243ABD49">
            <w:pPr>
              <w:pStyle w:val="14"/>
            </w:pPr>
          </w:p>
        </w:tc>
        <w:tc>
          <w:tcPr>
            <w:tcW w:w="1134" w:type="dxa"/>
            <w:vAlign w:val="center"/>
          </w:tcPr>
          <w:p w14:paraId="6C04AAF2">
            <w:pPr>
              <w:pStyle w:val="14"/>
            </w:pPr>
          </w:p>
        </w:tc>
        <w:tc>
          <w:tcPr>
            <w:tcW w:w="1134" w:type="dxa"/>
            <w:vAlign w:val="center"/>
          </w:tcPr>
          <w:p w14:paraId="7E476400">
            <w:pPr>
              <w:pStyle w:val="14"/>
            </w:pPr>
          </w:p>
        </w:tc>
        <w:tc>
          <w:tcPr>
            <w:tcW w:w="1134" w:type="dxa"/>
            <w:vAlign w:val="center"/>
          </w:tcPr>
          <w:p w14:paraId="77072290">
            <w:pPr>
              <w:pStyle w:val="14"/>
            </w:pPr>
          </w:p>
        </w:tc>
        <w:tc>
          <w:tcPr>
            <w:tcW w:w="1134" w:type="dxa"/>
            <w:vAlign w:val="center"/>
          </w:tcPr>
          <w:p w14:paraId="5A6A5DF0">
            <w:pPr>
              <w:pStyle w:val="14"/>
            </w:pPr>
          </w:p>
        </w:tc>
        <w:tc>
          <w:tcPr>
            <w:tcW w:w="1134" w:type="dxa"/>
            <w:vAlign w:val="center"/>
          </w:tcPr>
          <w:p w14:paraId="1B848A31">
            <w:pPr>
              <w:pStyle w:val="14"/>
            </w:pPr>
          </w:p>
        </w:tc>
        <w:tc>
          <w:tcPr>
            <w:tcW w:w="1134" w:type="dxa"/>
            <w:vAlign w:val="center"/>
          </w:tcPr>
          <w:p w14:paraId="5537649E">
            <w:pPr>
              <w:pStyle w:val="14"/>
            </w:pPr>
            <w:r>
              <w:t>157.29</w:t>
            </w:r>
          </w:p>
        </w:tc>
      </w:tr>
      <w:tr w14:paraId="316CB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6734A5">
            <w:pPr>
              <w:pStyle w:val="12"/>
            </w:pPr>
            <w:r>
              <w:t>4</w:t>
            </w:r>
          </w:p>
        </w:tc>
        <w:tc>
          <w:tcPr>
            <w:tcW w:w="992" w:type="dxa"/>
            <w:vAlign w:val="center"/>
          </w:tcPr>
          <w:p w14:paraId="3FEA0DFF">
            <w:pPr>
              <w:pStyle w:val="13"/>
            </w:pPr>
            <w:r>
              <w:t>2050201</w:t>
            </w:r>
          </w:p>
        </w:tc>
        <w:tc>
          <w:tcPr>
            <w:tcW w:w="1559" w:type="dxa"/>
            <w:vAlign w:val="center"/>
          </w:tcPr>
          <w:p w14:paraId="070B3978">
            <w:pPr>
              <w:pStyle w:val="13"/>
            </w:pPr>
            <w:r>
              <w:t>学前教育</w:t>
            </w:r>
          </w:p>
        </w:tc>
        <w:tc>
          <w:tcPr>
            <w:tcW w:w="1134" w:type="dxa"/>
            <w:vAlign w:val="center"/>
          </w:tcPr>
          <w:p w14:paraId="1C80D208">
            <w:pPr>
              <w:pStyle w:val="14"/>
            </w:pPr>
            <w:r>
              <w:t>65.09</w:t>
            </w:r>
          </w:p>
        </w:tc>
        <w:tc>
          <w:tcPr>
            <w:tcW w:w="1134" w:type="dxa"/>
            <w:vAlign w:val="center"/>
          </w:tcPr>
          <w:p w14:paraId="137EB461">
            <w:pPr>
              <w:pStyle w:val="14"/>
            </w:pPr>
            <w:r>
              <w:t>65.09</w:t>
            </w:r>
          </w:p>
        </w:tc>
        <w:tc>
          <w:tcPr>
            <w:tcW w:w="1134" w:type="dxa"/>
            <w:vAlign w:val="center"/>
          </w:tcPr>
          <w:p w14:paraId="43EEE9FC">
            <w:pPr>
              <w:pStyle w:val="14"/>
            </w:pPr>
            <w:r>
              <w:t>65.09</w:t>
            </w:r>
          </w:p>
        </w:tc>
        <w:tc>
          <w:tcPr>
            <w:tcW w:w="1134" w:type="dxa"/>
            <w:vAlign w:val="center"/>
          </w:tcPr>
          <w:p w14:paraId="4C92712F">
            <w:pPr>
              <w:pStyle w:val="14"/>
            </w:pPr>
          </w:p>
        </w:tc>
        <w:tc>
          <w:tcPr>
            <w:tcW w:w="1134" w:type="dxa"/>
            <w:vAlign w:val="center"/>
          </w:tcPr>
          <w:p w14:paraId="57D26B83">
            <w:pPr>
              <w:pStyle w:val="14"/>
            </w:pPr>
          </w:p>
        </w:tc>
        <w:tc>
          <w:tcPr>
            <w:tcW w:w="1134" w:type="dxa"/>
            <w:vAlign w:val="center"/>
          </w:tcPr>
          <w:p w14:paraId="3EC90214">
            <w:pPr>
              <w:pStyle w:val="14"/>
            </w:pPr>
          </w:p>
        </w:tc>
        <w:tc>
          <w:tcPr>
            <w:tcW w:w="1134" w:type="dxa"/>
            <w:vAlign w:val="center"/>
          </w:tcPr>
          <w:p w14:paraId="07397E39">
            <w:pPr>
              <w:pStyle w:val="14"/>
            </w:pPr>
          </w:p>
        </w:tc>
        <w:tc>
          <w:tcPr>
            <w:tcW w:w="1134" w:type="dxa"/>
            <w:vAlign w:val="center"/>
          </w:tcPr>
          <w:p w14:paraId="2EE97E97">
            <w:pPr>
              <w:pStyle w:val="14"/>
            </w:pPr>
          </w:p>
        </w:tc>
        <w:tc>
          <w:tcPr>
            <w:tcW w:w="1134" w:type="dxa"/>
            <w:vAlign w:val="center"/>
          </w:tcPr>
          <w:p w14:paraId="3FBB8350">
            <w:pPr>
              <w:pStyle w:val="14"/>
            </w:pPr>
          </w:p>
        </w:tc>
        <w:tc>
          <w:tcPr>
            <w:tcW w:w="1134" w:type="dxa"/>
            <w:vAlign w:val="center"/>
          </w:tcPr>
          <w:p w14:paraId="0E40BB5C">
            <w:pPr>
              <w:pStyle w:val="14"/>
            </w:pPr>
          </w:p>
        </w:tc>
      </w:tr>
      <w:tr w14:paraId="3469D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CE6F01">
            <w:pPr>
              <w:pStyle w:val="12"/>
            </w:pPr>
            <w:r>
              <w:t>5</w:t>
            </w:r>
          </w:p>
        </w:tc>
        <w:tc>
          <w:tcPr>
            <w:tcW w:w="992" w:type="dxa"/>
            <w:vAlign w:val="center"/>
          </w:tcPr>
          <w:p w14:paraId="14027310">
            <w:pPr>
              <w:pStyle w:val="13"/>
            </w:pPr>
            <w:r>
              <w:t>2050202</w:t>
            </w:r>
          </w:p>
        </w:tc>
        <w:tc>
          <w:tcPr>
            <w:tcW w:w="1559" w:type="dxa"/>
            <w:vAlign w:val="center"/>
          </w:tcPr>
          <w:p w14:paraId="7ABFC7B2">
            <w:pPr>
              <w:pStyle w:val="13"/>
            </w:pPr>
            <w:r>
              <w:t>小学教育</w:t>
            </w:r>
          </w:p>
        </w:tc>
        <w:tc>
          <w:tcPr>
            <w:tcW w:w="1134" w:type="dxa"/>
            <w:vAlign w:val="center"/>
          </w:tcPr>
          <w:p w14:paraId="44CFE886">
            <w:pPr>
              <w:pStyle w:val="14"/>
            </w:pPr>
            <w:r>
              <w:t>2124.32</w:t>
            </w:r>
          </w:p>
        </w:tc>
        <w:tc>
          <w:tcPr>
            <w:tcW w:w="1134" w:type="dxa"/>
            <w:vAlign w:val="center"/>
          </w:tcPr>
          <w:p w14:paraId="618F68DE">
            <w:pPr>
              <w:pStyle w:val="14"/>
            </w:pPr>
            <w:r>
              <w:t>1967.03</w:t>
            </w:r>
          </w:p>
        </w:tc>
        <w:tc>
          <w:tcPr>
            <w:tcW w:w="1134" w:type="dxa"/>
            <w:vAlign w:val="center"/>
          </w:tcPr>
          <w:p w14:paraId="1EAAE39A">
            <w:pPr>
              <w:pStyle w:val="14"/>
            </w:pPr>
            <w:r>
              <w:t>1967.03</w:t>
            </w:r>
          </w:p>
        </w:tc>
        <w:tc>
          <w:tcPr>
            <w:tcW w:w="1134" w:type="dxa"/>
            <w:vAlign w:val="center"/>
          </w:tcPr>
          <w:p w14:paraId="6E0CCD27">
            <w:pPr>
              <w:pStyle w:val="14"/>
            </w:pPr>
          </w:p>
        </w:tc>
        <w:tc>
          <w:tcPr>
            <w:tcW w:w="1134" w:type="dxa"/>
            <w:vAlign w:val="center"/>
          </w:tcPr>
          <w:p w14:paraId="725AFA5F">
            <w:pPr>
              <w:pStyle w:val="14"/>
            </w:pPr>
          </w:p>
        </w:tc>
        <w:tc>
          <w:tcPr>
            <w:tcW w:w="1134" w:type="dxa"/>
            <w:vAlign w:val="center"/>
          </w:tcPr>
          <w:p w14:paraId="1C76C8D1">
            <w:pPr>
              <w:pStyle w:val="14"/>
            </w:pPr>
          </w:p>
        </w:tc>
        <w:tc>
          <w:tcPr>
            <w:tcW w:w="1134" w:type="dxa"/>
            <w:vAlign w:val="center"/>
          </w:tcPr>
          <w:p w14:paraId="2BA4F433">
            <w:pPr>
              <w:pStyle w:val="14"/>
            </w:pPr>
          </w:p>
        </w:tc>
        <w:tc>
          <w:tcPr>
            <w:tcW w:w="1134" w:type="dxa"/>
            <w:vAlign w:val="center"/>
          </w:tcPr>
          <w:p w14:paraId="3CAAA3A6">
            <w:pPr>
              <w:pStyle w:val="14"/>
            </w:pPr>
          </w:p>
        </w:tc>
        <w:tc>
          <w:tcPr>
            <w:tcW w:w="1134" w:type="dxa"/>
            <w:vAlign w:val="center"/>
          </w:tcPr>
          <w:p w14:paraId="47DE4AE2">
            <w:pPr>
              <w:pStyle w:val="14"/>
            </w:pPr>
          </w:p>
        </w:tc>
        <w:tc>
          <w:tcPr>
            <w:tcW w:w="1134" w:type="dxa"/>
            <w:vAlign w:val="center"/>
          </w:tcPr>
          <w:p w14:paraId="6004B61E">
            <w:pPr>
              <w:pStyle w:val="14"/>
            </w:pPr>
            <w:r>
              <w:t>157.29</w:t>
            </w:r>
          </w:p>
        </w:tc>
      </w:tr>
    </w:tbl>
    <w:p w14:paraId="35F4DC79">
      <w:pPr>
        <w:sectPr>
          <w:pgSz w:w="16840" w:h="11900" w:orient="landscape"/>
          <w:pgMar w:top="1361" w:right="1020" w:bottom="1134" w:left="1020" w:header="720" w:footer="720" w:gutter="0"/>
          <w:cols w:space="720" w:num="1"/>
        </w:sectPr>
      </w:pPr>
    </w:p>
    <w:p w14:paraId="41631E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A38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369EE7">
            <w:pPr>
              <w:pStyle w:val="8"/>
            </w:pPr>
            <w:r>
              <w:t>360024隆尧县大张家庄校区</w:t>
            </w:r>
          </w:p>
        </w:tc>
        <w:tc>
          <w:tcPr>
            <w:tcW w:w="2722" w:type="dxa"/>
            <w:gridSpan w:val="2"/>
            <w:tcBorders>
              <w:top w:val="single" w:color="FFFFFF" w:sz="6" w:space="0"/>
              <w:left w:val="single" w:color="FFFFFF" w:sz="6" w:space="0"/>
              <w:right w:val="single" w:color="FFFFFF" w:sz="6" w:space="0"/>
            </w:tcBorders>
            <w:vAlign w:val="center"/>
          </w:tcPr>
          <w:p w14:paraId="70672E1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3CD0C8D">
            <w:pPr>
              <w:pStyle w:val="10"/>
            </w:pPr>
            <w:r>
              <w:t>单位：万元</w:t>
            </w:r>
          </w:p>
        </w:tc>
      </w:tr>
      <w:tr w14:paraId="1FBF0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C5255">
            <w:pPr>
              <w:pStyle w:val="11"/>
            </w:pPr>
            <w:r>
              <w:t>序号</w:t>
            </w:r>
          </w:p>
        </w:tc>
        <w:tc>
          <w:tcPr>
            <w:tcW w:w="5527" w:type="dxa"/>
            <w:gridSpan w:val="2"/>
            <w:vAlign w:val="center"/>
          </w:tcPr>
          <w:p w14:paraId="12A0BEC4">
            <w:pPr>
              <w:pStyle w:val="11"/>
            </w:pPr>
            <w:r>
              <w:t>功能分类科目</w:t>
            </w:r>
          </w:p>
        </w:tc>
        <w:tc>
          <w:tcPr>
            <w:tcW w:w="1361" w:type="dxa"/>
            <w:vMerge w:val="restart"/>
            <w:vAlign w:val="center"/>
          </w:tcPr>
          <w:p w14:paraId="69976CB3">
            <w:pPr>
              <w:pStyle w:val="11"/>
            </w:pPr>
            <w:r>
              <w:t>合计</w:t>
            </w:r>
          </w:p>
        </w:tc>
        <w:tc>
          <w:tcPr>
            <w:tcW w:w="1361" w:type="dxa"/>
            <w:vMerge w:val="restart"/>
            <w:vAlign w:val="center"/>
          </w:tcPr>
          <w:p w14:paraId="13AB6D8C">
            <w:pPr>
              <w:pStyle w:val="11"/>
            </w:pPr>
            <w:r>
              <w:t>基本支出</w:t>
            </w:r>
          </w:p>
        </w:tc>
        <w:tc>
          <w:tcPr>
            <w:tcW w:w="1361" w:type="dxa"/>
            <w:vMerge w:val="restart"/>
            <w:vAlign w:val="center"/>
          </w:tcPr>
          <w:p w14:paraId="5C18A186">
            <w:pPr>
              <w:pStyle w:val="11"/>
            </w:pPr>
            <w:r>
              <w:t>项目支出</w:t>
            </w:r>
          </w:p>
        </w:tc>
        <w:tc>
          <w:tcPr>
            <w:tcW w:w="1361" w:type="dxa"/>
            <w:vMerge w:val="restart"/>
            <w:vAlign w:val="center"/>
          </w:tcPr>
          <w:p w14:paraId="225281D0">
            <w:pPr>
              <w:pStyle w:val="11"/>
            </w:pPr>
            <w:r>
              <w:t>经营支出</w:t>
            </w:r>
          </w:p>
        </w:tc>
        <w:tc>
          <w:tcPr>
            <w:tcW w:w="1361" w:type="dxa"/>
            <w:vMerge w:val="restart"/>
            <w:vAlign w:val="center"/>
          </w:tcPr>
          <w:p w14:paraId="0C64BF75">
            <w:pPr>
              <w:pStyle w:val="11"/>
            </w:pPr>
            <w:r>
              <w:t>上解上级     支出</w:t>
            </w:r>
          </w:p>
        </w:tc>
        <w:tc>
          <w:tcPr>
            <w:tcW w:w="1361" w:type="dxa"/>
            <w:vMerge w:val="restart"/>
            <w:vAlign w:val="center"/>
          </w:tcPr>
          <w:p w14:paraId="646C1493">
            <w:pPr>
              <w:pStyle w:val="11"/>
            </w:pPr>
            <w:r>
              <w:t>对附属单位补助支出</w:t>
            </w:r>
          </w:p>
        </w:tc>
      </w:tr>
      <w:tr w14:paraId="3506F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B8838"/>
        </w:tc>
        <w:tc>
          <w:tcPr>
            <w:tcW w:w="992" w:type="dxa"/>
            <w:vAlign w:val="center"/>
          </w:tcPr>
          <w:p w14:paraId="6FA953A2">
            <w:pPr>
              <w:pStyle w:val="11"/>
            </w:pPr>
            <w:r>
              <w:t>科目    编码</w:t>
            </w:r>
          </w:p>
        </w:tc>
        <w:tc>
          <w:tcPr>
            <w:tcW w:w="4535" w:type="dxa"/>
            <w:vAlign w:val="center"/>
          </w:tcPr>
          <w:p w14:paraId="172C08AB">
            <w:pPr>
              <w:pStyle w:val="11"/>
            </w:pPr>
            <w:r>
              <w:t>科目名称</w:t>
            </w:r>
          </w:p>
        </w:tc>
        <w:tc>
          <w:tcPr>
            <w:tcW w:w="1361" w:type="dxa"/>
            <w:vMerge w:val="continue"/>
          </w:tcPr>
          <w:p w14:paraId="3562A557"/>
        </w:tc>
        <w:tc>
          <w:tcPr>
            <w:tcW w:w="1361" w:type="dxa"/>
            <w:vMerge w:val="continue"/>
          </w:tcPr>
          <w:p w14:paraId="2270CA38"/>
        </w:tc>
        <w:tc>
          <w:tcPr>
            <w:tcW w:w="1361" w:type="dxa"/>
            <w:vMerge w:val="continue"/>
          </w:tcPr>
          <w:p w14:paraId="01A890F7"/>
        </w:tc>
        <w:tc>
          <w:tcPr>
            <w:tcW w:w="1361" w:type="dxa"/>
            <w:vMerge w:val="continue"/>
          </w:tcPr>
          <w:p w14:paraId="2C2791F4"/>
        </w:tc>
        <w:tc>
          <w:tcPr>
            <w:tcW w:w="1361" w:type="dxa"/>
            <w:vMerge w:val="continue"/>
          </w:tcPr>
          <w:p w14:paraId="52DD6841"/>
        </w:tc>
        <w:tc>
          <w:tcPr>
            <w:tcW w:w="1361" w:type="dxa"/>
            <w:vMerge w:val="continue"/>
          </w:tcPr>
          <w:p w14:paraId="6BEE3DBA"/>
        </w:tc>
      </w:tr>
      <w:tr w14:paraId="4C99A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F0207F">
            <w:pPr>
              <w:pStyle w:val="11"/>
            </w:pPr>
            <w:r>
              <w:t>栏次</w:t>
            </w:r>
          </w:p>
        </w:tc>
        <w:tc>
          <w:tcPr>
            <w:tcW w:w="992" w:type="dxa"/>
            <w:vAlign w:val="center"/>
          </w:tcPr>
          <w:p w14:paraId="44C63033">
            <w:pPr>
              <w:pStyle w:val="11"/>
            </w:pPr>
            <w:r>
              <w:t>1</w:t>
            </w:r>
          </w:p>
        </w:tc>
        <w:tc>
          <w:tcPr>
            <w:tcW w:w="4535" w:type="dxa"/>
            <w:vAlign w:val="center"/>
          </w:tcPr>
          <w:p w14:paraId="387BE026">
            <w:pPr>
              <w:pStyle w:val="11"/>
            </w:pPr>
            <w:r>
              <w:t>2</w:t>
            </w:r>
          </w:p>
        </w:tc>
        <w:tc>
          <w:tcPr>
            <w:tcW w:w="1361" w:type="dxa"/>
            <w:vAlign w:val="center"/>
          </w:tcPr>
          <w:p w14:paraId="5883C3B7">
            <w:pPr>
              <w:pStyle w:val="11"/>
            </w:pPr>
            <w:r>
              <w:t>3</w:t>
            </w:r>
          </w:p>
        </w:tc>
        <w:tc>
          <w:tcPr>
            <w:tcW w:w="1361" w:type="dxa"/>
            <w:vAlign w:val="center"/>
          </w:tcPr>
          <w:p w14:paraId="1BD7DC50">
            <w:pPr>
              <w:pStyle w:val="11"/>
            </w:pPr>
            <w:r>
              <w:t>4</w:t>
            </w:r>
          </w:p>
        </w:tc>
        <w:tc>
          <w:tcPr>
            <w:tcW w:w="1361" w:type="dxa"/>
            <w:vAlign w:val="center"/>
          </w:tcPr>
          <w:p w14:paraId="6B1383FF">
            <w:pPr>
              <w:pStyle w:val="11"/>
            </w:pPr>
            <w:r>
              <w:t>5</w:t>
            </w:r>
          </w:p>
        </w:tc>
        <w:tc>
          <w:tcPr>
            <w:tcW w:w="1361" w:type="dxa"/>
            <w:vAlign w:val="center"/>
          </w:tcPr>
          <w:p w14:paraId="0DCB584C">
            <w:pPr>
              <w:pStyle w:val="11"/>
            </w:pPr>
            <w:r>
              <w:t>6</w:t>
            </w:r>
          </w:p>
        </w:tc>
        <w:tc>
          <w:tcPr>
            <w:tcW w:w="1361" w:type="dxa"/>
            <w:vAlign w:val="center"/>
          </w:tcPr>
          <w:p w14:paraId="474DEF05">
            <w:pPr>
              <w:pStyle w:val="11"/>
            </w:pPr>
            <w:r>
              <w:t>7</w:t>
            </w:r>
          </w:p>
        </w:tc>
        <w:tc>
          <w:tcPr>
            <w:tcW w:w="1361" w:type="dxa"/>
            <w:vAlign w:val="center"/>
          </w:tcPr>
          <w:p w14:paraId="72A73B11">
            <w:pPr>
              <w:pStyle w:val="11"/>
            </w:pPr>
            <w:r>
              <w:t>8</w:t>
            </w:r>
          </w:p>
        </w:tc>
      </w:tr>
      <w:tr w14:paraId="0C382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69929">
            <w:pPr>
              <w:pStyle w:val="12"/>
            </w:pPr>
            <w:r>
              <w:t>1</w:t>
            </w:r>
          </w:p>
        </w:tc>
        <w:tc>
          <w:tcPr>
            <w:tcW w:w="992" w:type="dxa"/>
            <w:vAlign w:val="center"/>
          </w:tcPr>
          <w:p w14:paraId="2B96641A">
            <w:pPr>
              <w:pStyle w:val="17"/>
            </w:pPr>
          </w:p>
        </w:tc>
        <w:tc>
          <w:tcPr>
            <w:tcW w:w="4535" w:type="dxa"/>
            <w:vAlign w:val="center"/>
          </w:tcPr>
          <w:p w14:paraId="46F44F26">
            <w:pPr>
              <w:pStyle w:val="15"/>
            </w:pPr>
            <w:r>
              <w:t>合计</w:t>
            </w:r>
          </w:p>
        </w:tc>
        <w:tc>
          <w:tcPr>
            <w:tcW w:w="1361" w:type="dxa"/>
            <w:vAlign w:val="center"/>
          </w:tcPr>
          <w:p w14:paraId="275B43F5">
            <w:pPr>
              <w:pStyle w:val="16"/>
            </w:pPr>
            <w:r>
              <w:t>2189.41</w:t>
            </w:r>
          </w:p>
        </w:tc>
        <w:tc>
          <w:tcPr>
            <w:tcW w:w="1361" w:type="dxa"/>
            <w:vAlign w:val="center"/>
          </w:tcPr>
          <w:p w14:paraId="66E8E60D">
            <w:pPr>
              <w:pStyle w:val="16"/>
            </w:pPr>
            <w:r>
              <w:t>1687.70</w:t>
            </w:r>
          </w:p>
        </w:tc>
        <w:tc>
          <w:tcPr>
            <w:tcW w:w="1361" w:type="dxa"/>
            <w:vAlign w:val="center"/>
          </w:tcPr>
          <w:p w14:paraId="0A5DAFF4">
            <w:pPr>
              <w:pStyle w:val="16"/>
            </w:pPr>
            <w:r>
              <w:t>501.71</w:t>
            </w:r>
          </w:p>
        </w:tc>
        <w:tc>
          <w:tcPr>
            <w:tcW w:w="1361" w:type="dxa"/>
            <w:vAlign w:val="center"/>
          </w:tcPr>
          <w:p w14:paraId="4D692C12">
            <w:pPr>
              <w:pStyle w:val="16"/>
            </w:pPr>
          </w:p>
        </w:tc>
        <w:tc>
          <w:tcPr>
            <w:tcW w:w="1361" w:type="dxa"/>
            <w:vAlign w:val="center"/>
          </w:tcPr>
          <w:p w14:paraId="21C91589">
            <w:pPr>
              <w:pStyle w:val="16"/>
            </w:pPr>
          </w:p>
        </w:tc>
        <w:tc>
          <w:tcPr>
            <w:tcW w:w="1361" w:type="dxa"/>
            <w:vAlign w:val="center"/>
          </w:tcPr>
          <w:p w14:paraId="20677520">
            <w:pPr>
              <w:pStyle w:val="16"/>
            </w:pPr>
          </w:p>
        </w:tc>
      </w:tr>
      <w:tr w14:paraId="45C54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04ED6">
            <w:pPr>
              <w:pStyle w:val="12"/>
            </w:pPr>
            <w:r>
              <w:t>2</w:t>
            </w:r>
          </w:p>
        </w:tc>
        <w:tc>
          <w:tcPr>
            <w:tcW w:w="992" w:type="dxa"/>
            <w:vAlign w:val="center"/>
          </w:tcPr>
          <w:p w14:paraId="43F667CF">
            <w:pPr>
              <w:pStyle w:val="13"/>
            </w:pPr>
            <w:r>
              <w:t>205</w:t>
            </w:r>
          </w:p>
        </w:tc>
        <w:tc>
          <w:tcPr>
            <w:tcW w:w="4535" w:type="dxa"/>
            <w:vAlign w:val="center"/>
          </w:tcPr>
          <w:p w14:paraId="31627370">
            <w:pPr>
              <w:pStyle w:val="13"/>
            </w:pPr>
            <w:r>
              <w:t>教育支出</w:t>
            </w:r>
          </w:p>
        </w:tc>
        <w:tc>
          <w:tcPr>
            <w:tcW w:w="1361" w:type="dxa"/>
            <w:vAlign w:val="center"/>
          </w:tcPr>
          <w:p w14:paraId="46EB5D16">
            <w:pPr>
              <w:pStyle w:val="14"/>
            </w:pPr>
            <w:r>
              <w:t>2189.41</w:t>
            </w:r>
          </w:p>
        </w:tc>
        <w:tc>
          <w:tcPr>
            <w:tcW w:w="1361" w:type="dxa"/>
            <w:vAlign w:val="center"/>
          </w:tcPr>
          <w:p w14:paraId="6D7D9151">
            <w:pPr>
              <w:pStyle w:val="14"/>
            </w:pPr>
            <w:r>
              <w:t>1687.70</w:t>
            </w:r>
          </w:p>
        </w:tc>
        <w:tc>
          <w:tcPr>
            <w:tcW w:w="1361" w:type="dxa"/>
            <w:vAlign w:val="center"/>
          </w:tcPr>
          <w:p w14:paraId="5CC70432">
            <w:pPr>
              <w:pStyle w:val="14"/>
            </w:pPr>
            <w:r>
              <w:t>501.71</w:t>
            </w:r>
          </w:p>
        </w:tc>
        <w:tc>
          <w:tcPr>
            <w:tcW w:w="1361" w:type="dxa"/>
            <w:vAlign w:val="center"/>
          </w:tcPr>
          <w:p w14:paraId="089FC359">
            <w:pPr>
              <w:pStyle w:val="14"/>
            </w:pPr>
          </w:p>
        </w:tc>
        <w:tc>
          <w:tcPr>
            <w:tcW w:w="1361" w:type="dxa"/>
            <w:vAlign w:val="center"/>
          </w:tcPr>
          <w:p w14:paraId="12E60F3F">
            <w:pPr>
              <w:pStyle w:val="14"/>
            </w:pPr>
          </w:p>
        </w:tc>
        <w:tc>
          <w:tcPr>
            <w:tcW w:w="1361" w:type="dxa"/>
            <w:vAlign w:val="center"/>
          </w:tcPr>
          <w:p w14:paraId="23FF694F">
            <w:pPr>
              <w:pStyle w:val="14"/>
            </w:pPr>
          </w:p>
        </w:tc>
      </w:tr>
      <w:tr w14:paraId="1D77D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6B7D4">
            <w:pPr>
              <w:pStyle w:val="12"/>
            </w:pPr>
            <w:r>
              <w:t>3</w:t>
            </w:r>
          </w:p>
        </w:tc>
        <w:tc>
          <w:tcPr>
            <w:tcW w:w="992" w:type="dxa"/>
            <w:vAlign w:val="center"/>
          </w:tcPr>
          <w:p w14:paraId="081A216B">
            <w:pPr>
              <w:pStyle w:val="13"/>
            </w:pPr>
            <w:r>
              <w:t>20502</w:t>
            </w:r>
          </w:p>
        </w:tc>
        <w:tc>
          <w:tcPr>
            <w:tcW w:w="4535" w:type="dxa"/>
            <w:vAlign w:val="center"/>
          </w:tcPr>
          <w:p w14:paraId="04B2EC7A">
            <w:pPr>
              <w:pStyle w:val="13"/>
            </w:pPr>
            <w:r>
              <w:t>普通教育</w:t>
            </w:r>
          </w:p>
        </w:tc>
        <w:tc>
          <w:tcPr>
            <w:tcW w:w="1361" w:type="dxa"/>
            <w:vAlign w:val="center"/>
          </w:tcPr>
          <w:p w14:paraId="205CF0A0">
            <w:pPr>
              <w:pStyle w:val="14"/>
            </w:pPr>
            <w:r>
              <w:t>2189.41</w:t>
            </w:r>
          </w:p>
        </w:tc>
        <w:tc>
          <w:tcPr>
            <w:tcW w:w="1361" w:type="dxa"/>
            <w:vAlign w:val="center"/>
          </w:tcPr>
          <w:p w14:paraId="02753108">
            <w:pPr>
              <w:pStyle w:val="14"/>
            </w:pPr>
            <w:r>
              <w:t>1687.70</w:t>
            </w:r>
          </w:p>
        </w:tc>
        <w:tc>
          <w:tcPr>
            <w:tcW w:w="1361" w:type="dxa"/>
            <w:vAlign w:val="center"/>
          </w:tcPr>
          <w:p w14:paraId="5275F725">
            <w:pPr>
              <w:pStyle w:val="14"/>
            </w:pPr>
            <w:r>
              <w:t>501.71</w:t>
            </w:r>
          </w:p>
        </w:tc>
        <w:tc>
          <w:tcPr>
            <w:tcW w:w="1361" w:type="dxa"/>
            <w:vAlign w:val="center"/>
          </w:tcPr>
          <w:p w14:paraId="43AD4575">
            <w:pPr>
              <w:pStyle w:val="14"/>
            </w:pPr>
          </w:p>
        </w:tc>
        <w:tc>
          <w:tcPr>
            <w:tcW w:w="1361" w:type="dxa"/>
            <w:vAlign w:val="center"/>
          </w:tcPr>
          <w:p w14:paraId="69D6F9EB">
            <w:pPr>
              <w:pStyle w:val="14"/>
            </w:pPr>
          </w:p>
        </w:tc>
        <w:tc>
          <w:tcPr>
            <w:tcW w:w="1361" w:type="dxa"/>
            <w:vAlign w:val="center"/>
          </w:tcPr>
          <w:p w14:paraId="52A3583B">
            <w:pPr>
              <w:pStyle w:val="14"/>
            </w:pPr>
          </w:p>
        </w:tc>
      </w:tr>
      <w:tr w14:paraId="38BC5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509EA">
            <w:pPr>
              <w:pStyle w:val="12"/>
            </w:pPr>
            <w:r>
              <w:t>4</w:t>
            </w:r>
          </w:p>
        </w:tc>
        <w:tc>
          <w:tcPr>
            <w:tcW w:w="992" w:type="dxa"/>
            <w:vAlign w:val="center"/>
          </w:tcPr>
          <w:p w14:paraId="35FF9E19">
            <w:pPr>
              <w:pStyle w:val="13"/>
            </w:pPr>
            <w:r>
              <w:t>2050201</w:t>
            </w:r>
          </w:p>
        </w:tc>
        <w:tc>
          <w:tcPr>
            <w:tcW w:w="4535" w:type="dxa"/>
            <w:vAlign w:val="center"/>
          </w:tcPr>
          <w:p w14:paraId="371C5120">
            <w:pPr>
              <w:pStyle w:val="13"/>
            </w:pPr>
            <w:r>
              <w:t>学前教育</w:t>
            </w:r>
          </w:p>
        </w:tc>
        <w:tc>
          <w:tcPr>
            <w:tcW w:w="1361" w:type="dxa"/>
            <w:vAlign w:val="center"/>
          </w:tcPr>
          <w:p w14:paraId="01818D8D">
            <w:pPr>
              <w:pStyle w:val="14"/>
            </w:pPr>
            <w:r>
              <w:t>65.09</w:t>
            </w:r>
          </w:p>
        </w:tc>
        <w:tc>
          <w:tcPr>
            <w:tcW w:w="1361" w:type="dxa"/>
            <w:vAlign w:val="center"/>
          </w:tcPr>
          <w:p w14:paraId="62FE8828">
            <w:pPr>
              <w:pStyle w:val="14"/>
            </w:pPr>
          </w:p>
        </w:tc>
        <w:tc>
          <w:tcPr>
            <w:tcW w:w="1361" w:type="dxa"/>
            <w:vAlign w:val="center"/>
          </w:tcPr>
          <w:p w14:paraId="372E1CFC">
            <w:pPr>
              <w:pStyle w:val="14"/>
            </w:pPr>
            <w:r>
              <w:t>65.09</w:t>
            </w:r>
          </w:p>
        </w:tc>
        <w:tc>
          <w:tcPr>
            <w:tcW w:w="1361" w:type="dxa"/>
            <w:vAlign w:val="center"/>
          </w:tcPr>
          <w:p w14:paraId="4D68DF13">
            <w:pPr>
              <w:pStyle w:val="14"/>
            </w:pPr>
          </w:p>
        </w:tc>
        <w:tc>
          <w:tcPr>
            <w:tcW w:w="1361" w:type="dxa"/>
            <w:vAlign w:val="center"/>
          </w:tcPr>
          <w:p w14:paraId="5F1EB8B5">
            <w:pPr>
              <w:pStyle w:val="14"/>
            </w:pPr>
          </w:p>
        </w:tc>
        <w:tc>
          <w:tcPr>
            <w:tcW w:w="1361" w:type="dxa"/>
            <w:vAlign w:val="center"/>
          </w:tcPr>
          <w:p w14:paraId="628DEA61">
            <w:pPr>
              <w:pStyle w:val="14"/>
            </w:pPr>
          </w:p>
        </w:tc>
      </w:tr>
      <w:tr w14:paraId="527D0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CD006">
            <w:pPr>
              <w:pStyle w:val="12"/>
            </w:pPr>
            <w:r>
              <w:t>5</w:t>
            </w:r>
          </w:p>
        </w:tc>
        <w:tc>
          <w:tcPr>
            <w:tcW w:w="992" w:type="dxa"/>
            <w:vAlign w:val="center"/>
          </w:tcPr>
          <w:p w14:paraId="29C40B83">
            <w:pPr>
              <w:pStyle w:val="13"/>
            </w:pPr>
            <w:r>
              <w:t>2050202</w:t>
            </w:r>
          </w:p>
        </w:tc>
        <w:tc>
          <w:tcPr>
            <w:tcW w:w="4535" w:type="dxa"/>
            <w:vAlign w:val="center"/>
          </w:tcPr>
          <w:p w14:paraId="59F3663C">
            <w:pPr>
              <w:pStyle w:val="13"/>
            </w:pPr>
            <w:r>
              <w:t>小学教育</w:t>
            </w:r>
          </w:p>
        </w:tc>
        <w:tc>
          <w:tcPr>
            <w:tcW w:w="1361" w:type="dxa"/>
            <w:vAlign w:val="center"/>
          </w:tcPr>
          <w:p w14:paraId="1E11E9B5">
            <w:pPr>
              <w:pStyle w:val="14"/>
            </w:pPr>
            <w:r>
              <w:t>2124.32</w:t>
            </w:r>
          </w:p>
        </w:tc>
        <w:tc>
          <w:tcPr>
            <w:tcW w:w="1361" w:type="dxa"/>
            <w:vAlign w:val="center"/>
          </w:tcPr>
          <w:p w14:paraId="28B0C569">
            <w:pPr>
              <w:pStyle w:val="14"/>
            </w:pPr>
            <w:r>
              <w:t>1687.70</w:t>
            </w:r>
          </w:p>
        </w:tc>
        <w:tc>
          <w:tcPr>
            <w:tcW w:w="1361" w:type="dxa"/>
            <w:vAlign w:val="center"/>
          </w:tcPr>
          <w:p w14:paraId="55A01780">
            <w:pPr>
              <w:pStyle w:val="14"/>
            </w:pPr>
            <w:r>
              <w:t>436.62</w:t>
            </w:r>
          </w:p>
        </w:tc>
        <w:tc>
          <w:tcPr>
            <w:tcW w:w="1361" w:type="dxa"/>
            <w:vAlign w:val="center"/>
          </w:tcPr>
          <w:p w14:paraId="4CE8D08F">
            <w:pPr>
              <w:pStyle w:val="14"/>
            </w:pPr>
          </w:p>
        </w:tc>
        <w:tc>
          <w:tcPr>
            <w:tcW w:w="1361" w:type="dxa"/>
            <w:vAlign w:val="center"/>
          </w:tcPr>
          <w:p w14:paraId="114D6E30">
            <w:pPr>
              <w:pStyle w:val="14"/>
            </w:pPr>
          </w:p>
        </w:tc>
        <w:tc>
          <w:tcPr>
            <w:tcW w:w="1361" w:type="dxa"/>
            <w:vAlign w:val="center"/>
          </w:tcPr>
          <w:p w14:paraId="426CC04F">
            <w:pPr>
              <w:pStyle w:val="14"/>
            </w:pPr>
          </w:p>
        </w:tc>
      </w:tr>
    </w:tbl>
    <w:p w14:paraId="490DCC6B">
      <w:pPr>
        <w:sectPr>
          <w:pgSz w:w="16840" w:h="11900" w:orient="landscape"/>
          <w:pgMar w:top="1361" w:right="1020" w:bottom="1134" w:left="1020" w:header="720" w:footer="720" w:gutter="0"/>
          <w:cols w:space="720" w:num="1"/>
        </w:sectPr>
      </w:pPr>
    </w:p>
    <w:p w14:paraId="6C94A8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07F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3D6099">
            <w:pPr>
              <w:pStyle w:val="8"/>
            </w:pPr>
            <w:r>
              <w:t>360024隆尧县大张家庄校区</w:t>
            </w:r>
          </w:p>
        </w:tc>
        <w:tc>
          <w:tcPr>
            <w:tcW w:w="3402" w:type="dxa"/>
            <w:tcBorders>
              <w:top w:val="single" w:color="FFFFFF" w:sz="6" w:space="0"/>
              <w:left w:val="single" w:color="FFFFFF" w:sz="6" w:space="0"/>
              <w:right w:val="single" w:color="FFFFFF" w:sz="6" w:space="0"/>
            </w:tcBorders>
            <w:vAlign w:val="center"/>
          </w:tcPr>
          <w:p w14:paraId="0E82084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19EE8DE">
            <w:pPr>
              <w:pStyle w:val="10"/>
            </w:pPr>
            <w:r>
              <w:t>单位：万元</w:t>
            </w:r>
          </w:p>
        </w:tc>
      </w:tr>
      <w:tr w14:paraId="4AC01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91726">
            <w:pPr>
              <w:pStyle w:val="11"/>
            </w:pPr>
            <w:r>
              <w:t>序号</w:t>
            </w:r>
          </w:p>
        </w:tc>
        <w:tc>
          <w:tcPr>
            <w:tcW w:w="4876" w:type="dxa"/>
            <w:gridSpan w:val="2"/>
            <w:vAlign w:val="center"/>
          </w:tcPr>
          <w:p w14:paraId="6A132773">
            <w:pPr>
              <w:pStyle w:val="11"/>
            </w:pPr>
            <w:r>
              <w:t>收入</w:t>
            </w:r>
          </w:p>
        </w:tc>
        <w:tc>
          <w:tcPr>
            <w:tcW w:w="9298" w:type="dxa"/>
            <w:gridSpan w:val="5"/>
            <w:vAlign w:val="center"/>
          </w:tcPr>
          <w:p w14:paraId="7952295C">
            <w:pPr>
              <w:pStyle w:val="11"/>
            </w:pPr>
            <w:r>
              <w:t>支出</w:t>
            </w:r>
          </w:p>
        </w:tc>
      </w:tr>
      <w:tr w14:paraId="7B90B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F2B5D1"/>
        </w:tc>
        <w:tc>
          <w:tcPr>
            <w:tcW w:w="3402" w:type="dxa"/>
            <w:vAlign w:val="center"/>
          </w:tcPr>
          <w:p w14:paraId="27802842">
            <w:pPr>
              <w:pStyle w:val="11"/>
            </w:pPr>
            <w:r>
              <w:t>项  目</w:t>
            </w:r>
          </w:p>
        </w:tc>
        <w:tc>
          <w:tcPr>
            <w:tcW w:w="1474" w:type="dxa"/>
            <w:vAlign w:val="center"/>
          </w:tcPr>
          <w:p w14:paraId="75EBF4ED">
            <w:pPr>
              <w:pStyle w:val="11"/>
            </w:pPr>
            <w:r>
              <w:t>金额</w:t>
            </w:r>
          </w:p>
        </w:tc>
        <w:tc>
          <w:tcPr>
            <w:tcW w:w="3402" w:type="dxa"/>
            <w:vAlign w:val="center"/>
          </w:tcPr>
          <w:p w14:paraId="74477D3B">
            <w:pPr>
              <w:pStyle w:val="11"/>
            </w:pPr>
            <w:r>
              <w:t>项  目</w:t>
            </w:r>
          </w:p>
        </w:tc>
        <w:tc>
          <w:tcPr>
            <w:tcW w:w="1474" w:type="dxa"/>
            <w:vAlign w:val="center"/>
          </w:tcPr>
          <w:p w14:paraId="319B9732">
            <w:pPr>
              <w:pStyle w:val="11"/>
            </w:pPr>
            <w:r>
              <w:t>合计</w:t>
            </w:r>
          </w:p>
        </w:tc>
        <w:tc>
          <w:tcPr>
            <w:tcW w:w="1474" w:type="dxa"/>
            <w:vAlign w:val="center"/>
          </w:tcPr>
          <w:p w14:paraId="21130391">
            <w:pPr>
              <w:pStyle w:val="11"/>
            </w:pPr>
            <w:r>
              <w:t>一般公共预算财政拨款</w:t>
            </w:r>
          </w:p>
        </w:tc>
        <w:tc>
          <w:tcPr>
            <w:tcW w:w="1474" w:type="dxa"/>
            <w:vAlign w:val="center"/>
          </w:tcPr>
          <w:p w14:paraId="55020074">
            <w:pPr>
              <w:pStyle w:val="11"/>
            </w:pPr>
            <w:r>
              <w:t>政府性基金预算财政    拨款</w:t>
            </w:r>
          </w:p>
        </w:tc>
        <w:tc>
          <w:tcPr>
            <w:tcW w:w="1474" w:type="dxa"/>
            <w:vAlign w:val="center"/>
          </w:tcPr>
          <w:p w14:paraId="02CFF72D">
            <w:pPr>
              <w:pStyle w:val="11"/>
            </w:pPr>
            <w:r>
              <w:t>国有资本经营预算财政拨款</w:t>
            </w:r>
          </w:p>
        </w:tc>
      </w:tr>
      <w:tr w14:paraId="39298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168A29">
            <w:pPr>
              <w:pStyle w:val="11"/>
            </w:pPr>
            <w:r>
              <w:t>栏次</w:t>
            </w:r>
          </w:p>
        </w:tc>
        <w:tc>
          <w:tcPr>
            <w:tcW w:w="3402" w:type="dxa"/>
            <w:vAlign w:val="center"/>
          </w:tcPr>
          <w:p w14:paraId="18B12FC0">
            <w:pPr>
              <w:pStyle w:val="11"/>
            </w:pPr>
            <w:r>
              <w:t>1</w:t>
            </w:r>
          </w:p>
        </w:tc>
        <w:tc>
          <w:tcPr>
            <w:tcW w:w="1474" w:type="dxa"/>
            <w:vAlign w:val="center"/>
          </w:tcPr>
          <w:p w14:paraId="3D0E238B">
            <w:pPr>
              <w:pStyle w:val="11"/>
            </w:pPr>
            <w:r>
              <w:t>2</w:t>
            </w:r>
          </w:p>
        </w:tc>
        <w:tc>
          <w:tcPr>
            <w:tcW w:w="3402" w:type="dxa"/>
            <w:vAlign w:val="center"/>
          </w:tcPr>
          <w:p w14:paraId="778364A4">
            <w:pPr>
              <w:pStyle w:val="11"/>
            </w:pPr>
            <w:r>
              <w:t>3</w:t>
            </w:r>
          </w:p>
        </w:tc>
        <w:tc>
          <w:tcPr>
            <w:tcW w:w="1474" w:type="dxa"/>
            <w:vAlign w:val="center"/>
          </w:tcPr>
          <w:p w14:paraId="3354DB09">
            <w:pPr>
              <w:pStyle w:val="11"/>
            </w:pPr>
            <w:r>
              <w:t>4</w:t>
            </w:r>
          </w:p>
        </w:tc>
        <w:tc>
          <w:tcPr>
            <w:tcW w:w="1474" w:type="dxa"/>
            <w:vAlign w:val="center"/>
          </w:tcPr>
          <w:p w14:paraId="7CCDD17E">
            <w:pPr>
              <w:pStyle w:val="11"/>
            </w:pPr>
            <w:r>
              <w:t>5</w:t>
            </w:r>
          </w:p>
        </w:tc>
        <w:tc>
          <w:tcPr>
            <w:tcW w:w="1474" w:type="dxa"/>
            <w:vAlign w:val="center"/>
          </w:tcPr>
          <w:p w14:paraId="42387ABA">
            <w:pPr>
              <w:pStyle w:val="11"/>
            </w:pPr>
            <w:r>
              <w:t>6</w:t>
            </w:r>
          </w:p>
        </w:tc>
        <w:tc>
          <w:tcPr>
            <w:tcW w:w="1474" w:type="dxa"/>
            <w:vAlign w:val="center"/>
          </w:tcPr>
          <w:p w14:paraId="2F83522A">
            <w:pPr>
              <w:pStyle w:val="11"/>
            </w:pPr>
            <w:r>
              <w:t>7</w:t>
            </w:r>
          </w:p>
        </w:tc>
      </w:tr>
      <w:tr w14:paraId="70553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33253">
            <w:pPr>
              <w:pStyle w:val="12"/>
            </w:pPr>
            <w:r>
              <w:t>1</w:t>
            </w:r>
          </w:p>
        </w:tc>
        <w:tc>
          <w:tcPr>
            <w:tcW w:w="3402" w:type="dxa"/>
            <w:vAlign w:val="center"/>
          </w:tcPr>
          <w:p w14:paraId="068A4063">
            <w:pPr>
              <w:pStyle w:val="13"/>
            </w:pPr>
            <w:r>
              <w:t>一、一般公共预算拨款</w:t>
            </w:r>
          </w:p>
        </w:tc>
        <w:tc>
          <w:tcPr>
            <w:tcW w:w="1474" w:type="dxa"/>
            <w:vAlign w:val="center"/>
          </w:tcPr>
          <w:p w14:paraId="65489FCD">
            <w:pPr>
              <w:pStyle w:val="14"/>
            </w:pPr>
            <w:r>
              <w:t>2032.12</w:t>
            </w:r>
          </w:p>
        </w:tc>
        <w:tc>
          <w:tcPr>
            <w:tcW w:w="3402" w:type="dxa"/>
            <w:vAlign w:val="center"/>
          </w:tcPr>
          <w:p w14:paraId="49A4CDFE">
            <w:pPr>
              <w:pStyle w:val="13"/>
            </w:pPr>
            <w:r>
              <w:t>一、一般公共服务支出</w:t>
            </w:r>
          </w:p>
        </w:tc>
        <w:tc>
          <w:tcPr>
            <w:tcW w:w="1474" w:type="dxa"/>
            <w:vAlign w:val="center"/>
          </w:tcPr>
          <w:p w14:paraId="09B788C9">
            <w:pPr>
              <w:pStyle w:val="14"/>
            </w:pPr>
          </w:p>
        </w:tc>
        <w:tc>
          <w:tcPr>
            <w:tcW w:w="1474" w:type="dxa"/>
            <w:vAlign w:val="center"/>
          </w:tcPr>
          <w:p w14:paraId="77006D4D">
            <w:pPr>
              <w:pStyle w:val="14"/>
            </w:pPr>
          </w:p>
        </w:tc>
        <w:tc>
          <w:tcPr>
            <w:tcW w:w="1474" w:type="dxa"/>
            <w:vAlign w:val="center"/>
          </w:tcPr>
          <w:p w14:paraId="7054AE93">
            <w:pPr>
              <w:pStyle w:val="14"/>
            </w:pPr>
          </w:p>
        </w:tc>
        <w:tc>
          <w:tcPr>
            <w:tcW w:w="1474" w:type="dxa"/>
            <w:vAlign w:val="center"/>
          </w:tcPr>
          <w:p w14:paraId="6F20A9BB">
            <w:pPr>
              <w:pStyle w:val="14"/>
            </w:pPr>
          </w:p>
        </w:tc>
      </w:tr>
      <w:tr w14:paraId="4FB17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AC6F0">
            <w:pPr>
              <w:pStyle w:val="12"/>
            </w:pPr>
            <w:r>
              <w:t>2</w:t>
            </w:r>
          </w:p>
        </w:tc>
        <w:tc>
          <w:tcPr>
            <w:tcW w:w="3402" w:type="dxa"/>
            <w:vAlign w:val="center"/>
          </w:tcPr>
          <w:p w14:paraId="2D3DF8D9">
            <w:pPr>
              <w:pStyle w:val="13"/>
            </w:pPr>
            <w:r>
              <w:t>二、政府性基金预算拨款</w:t>
            </w:r>
          </w:p>
        </w:tc>
        <w:tc>
          <w:tcPr>
            <w:tcW w:w="1474" w:type="dxa"/>
            <w:vAlign w:val="center"/>
          </w:tcPr>
          <w:p w14:paraId="4C21AC48">
            <w:pPr>
              <w:pStyle w:val="14"/>
            </w:pPr>
          </w:p>
        </w:tc>
        <w:tc>
          <w:tcPr>
            <w:tcW w:w="3402" w:type="dxa"/>
            <w:vAlign w:val="center"/>
          </w:tcPr>
          <w:p w14:paraId="55C1F322">
            <w:pPr>
              <w:pStyle w:val="13"/>
            </w:pPr>
            <w:r>
              <w:t>二、外交支出</w:t>
            </w:r>
          </w:p>
        </w:tc>
        <w:tc>
          <w:tcPr>
            <w:tcW w:w="1474" w:type="dxa"/>
            <w:vAlign w:val="center"/>
          </w:tcPr>
          <w:p w14:paraId="3C17AE82">
            <w:pPr>
              <w:pStyle w:val="14"/>
            </w:pPr>
          </w:p>
        </w:tc>
        <w:tc>
          <w:tcPr>
            <w:tcW w:w="1474" w:type="dxa"/>
            <w:vAlign w:val="center"/>
          </w:tcPr>
          <w:p w14:paraId="4A1B66ED">
            <w:pPr>
              <w:pStyle w:val="14"/>
            </w:pPr>
          </w:p>
        </w:tc>
        <w:tc>
          <w:tcPr>
            <w:tcW w:w="1474" w:type="dxa"/>
            <w:vAlign w:val="center"/>
          </w:tcPr>
          <w:p w14:paraId="205F7BBF">
            <w:pPr>
              <w:pStyle w:val="14"/>
            </w:pPr>
          </w:p>
        </w:tc>
        <w:tc>
          <w:tcPr>
            <w:tcW w:w="1474" w:type="dxa"/>
            <w:vAlign w:val="center"/>
          </w:tcPr>
          <w:p w14:paraId="540F7890">
            <w:pPr>
              <w:pStyle w:val="14"/>
            </w:pPr>
          </w:p>
        </w:tc>
      </w:tr>
      <w:tr w14:paraId="5400B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B54DC">
            <w:pPr>
              <w:pStyle w:val="12"/>
            </w:pPr>
            <w:r>
              <w:t>3</w:t>
            </w:r>
          </w:p>
        </w:tc>
        <w:tc>
          <w:tcPr>
            <w:tcW w:w="3402" w:type="dxa"/>
            <w:vAlign w:val="center"/>
          </w:tcPr>
          <w:p w14:paraId="783658E4">
            <w:pPr>
              <w:pStyle w:val="13"/>
            </w:pPr>
            <w:r>
              <w:t>三、国有资本经营预算拨款</w:t>
            </w:r>
          </w:p>
        </w:tc>
        <w:tc>
          <w:tcPr>
            <w:tcW w:w="1474" w:type="dxa"/>
            <w:vAlign w:val="center"/>
          </w:tcPr>
          <w:p w14:paraId="46ECBC88">
            <w:pPr>
              <w:pStyle w:val="14"/>
            </w:pPr>
          </w:p>
        </w:tc>
        <w:tc>
          <w:tcPr>
            <w:tcW w:w="3402" w:type="dxa"/>
            <w:vAlign w:val="center"/>
          </w:tcPr>
          <w:p w14:paraId="3E547A30">
            <w:pPr>
              <w:pStyle w:val="13"/>
            </w:pPr>
            <w:r>
              <w:t>三、国防支出</w:t>
            </w:r>
          </w:p>
        </w:tc>
        <w:tc>
          <w:tcPr>
            <w:tcW w:w="1474" w:type="dxa"/>
            <w:vAlign w:val="center"/>
          </w:tcPr>
          <w:p w14:paraId="4C85EB3F">
            <w:pPr>
              <w:pStyle w:val="14"/>
            </w:pPr>
          </w:p>
        </w:tc>
        <w:tc>
          <w:tcPr>
            <w:tcW w:w="1474" w:type="dxa"/>
            <w:vAlign w:val="center"/>
          </w:tcPr>
          <w:p w14:paraId="0E697321">
            <w:pPr>
              <w:pStyle w:val="14"/>
            </w:pPr>
          </w:p>
        </w:tc>
        <w:tc>
          <w:tcPr>
            <w:tcW w:w="1474" w:type="dxa"/>
            <w:vAlign w:val="center"/>
          </w:tcPr>
          <w:p w14:paraId="4FAEA758">
            <w:pPr>
              <w:pStyle w:val="14"/>
            </w:pPr>
          </w:p>
        </w:tc>
        <w:tc>
          <w:tcPr>
            <w:tcW w:w="1474" w:type="dxa"/>
            <w:vAlign w:val="center"/>
          </w:tcPr>
          <w:p w14:paraId="4288D2AC">
            <w:pPr>
              <w:pStyle w:val="14"/>
            </w:pPr>
          </w:p>
        </w:tc>
      </w:tr>
      <w:tr w14:paraId="7822F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1CDAF">
            <w:pPr>
              <w:pStyle w:val="12"/>
            </w:pPr>
            <w:r>
              <w:t>4</w:t>
            </w:r>
          </w:p>
        </w:tc>
        <w:tc>
          <w:tcPr>
            <w:tcW w:w="3402" w:type="dxa"/>
            <w:vAlign w:val="center"/>
          </w:tcPr>
          <w:p w14:paraId="53353A0F">
            <w:pPr>
              <w:pStyle w:val="13"/>
            </w:pPr>
          </w:p>
        </w:tc>
        <w:tc>
          <w:tcPr>
            <w:tcW w:w="1474" w:type="dxa"/>
            <w:vAlign w:val="center"/>
          </w:tcPr>
          <w:p w14:paraId="71B3582D">
            <w:pPr>
              <w:pStyle w:val="14"/>
            </w:pPr>
          </w:p>
        </w:tc>
        <w:tc>
          <w:tcPr>
            <w:tcW w:w="3402" w:type="dxa"/>
            <w:vAlign w:val="center"/>
          </w:tcPr>
          <w:p w14:paraId="36E77828">
            <w:pPr>
              <w:pStyle w:val="13"/>
            </w:pPr>
            <w:r>
              <w:t>四、公共安全支出</w:t>
            </w:r>
          </w:p>
        </w:tc>
        <w:tc>
          <w:tcPr>
            <w:tcW w:w="1474" w:type="dxa"/>
            <w:vAlign w:val="center"/>
          </w:tcPr>
          <w:p w14:paraId="65604EC0">
            <w:pPr>
              <w:pStyle w:val="14"/>
            </w:pPr>
          </w:p>
        </w:tc>
        <w:tc>
          <w:tcPr>
            <w:tcW w:w="1474" w:type="dxa"/>
            <w:vAlign w:val="center"/>
          </w:tcPr>
          <w:p w14:paraId="583D0930">
            <w:pPr>
              <w:pStyle w:val="14"/>
            </w:pPr>
          </w:p>
        </w:tc>
        <w:tc>
          <w:tcPr>
            <w:tcW w:w="1474" w:type="dxa"/>
            <w:vAlign w:val="center"/>
          </w:tcPr>
          <w:p w14:paraId="392AF44D">
            <w:pPr>
              <w:pStyle w:val="14"/>
            </w:pPr>
          </w:p>
        </w:tc>
        <w:tc>
          <w:tcPr>
            <w:tcW w:w="1474" w:type="dxa"/>
            <w:vAlign w:val="center"/>
          </w:tcPr>
          <w:p w14:paraId="2BF71693">
            <w:pPr>
              <w:pStyle w:val="14"/>
            </w:pPr>
          </w:p>
        </w:tc>
      </w:tr>
      <w:tr w14:paraId="2541F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9E82F">
            <w:pPr>
              <w:pStyle w:val="12"/>
            </w:pPr>
            <w:r>
              <w:t>5</w:t>
            </w:r>
          </w:p>
        </w:tc>
        <w:tc>
          <w:tcPr>
            <w:tcW w:w="3402" w:type="dxa"/>
            <w:vAlign w:val="center"/>
          </w:tcPr>
          <w:p w14:paraId="74772A90">
            <w:pPr>
              <w:pStyle w:val="13"/>
            </w:pPr>
          </w:p>
        </w:tc>
        <w:tc>
          <w:tcPr>
            <w:tcW w:w="1474" w:type="dxa"/>
            <w:vAlign w:val="center"/>
          </w:tcPr>
          <w:p w14:paraId="6C830E9C">
            <w:pPr>
              <w:pStyle w:val="14"/>
            </w:pPr>
          </w:p>
        </w:tc>
        <w:tc>
          <w:tcPr>
            <w:tcW w:w="3402" w:type="dxa"/>
            <w:vAlign w:val="center"/>
          </w:tcPr>
          <w:p w14:paraId="0E29C9F0">
            <w:pPr>
              <w:pStyle w:val="13"/>
            </w:pPr>
            <w:r>
              <w:t>五、教育支出</w:t>
            </w:r>
          </w:p>
        </w:tc>
        <w:tc>
          <w:tcPr>
            <w:tcW w:w="1474" w:type="dxa"/>
            <w:vAlign w:val="center"/>
          </w:tcPr>
          <w:p w14:paraId="4E2F8FD4">
            <w:pPr>
              <w:pStyle w:val="14"/>
            </w:pPr>
            <w:r>
              <w:t>2189.41</w:t>
            </w:r>
          </w:p>
        </w:tc>
        <w:tc>
          <w:tcPr>
            <w:tcW w:w="1474" w:type="dxa"/>
            <w:vAlign w:val="center"/>
          </w:tcPr>
          <w:p w14:paraId="26A734B9">
            <w:pPr>
              <w:pStyle w:val="14"/>
            </w:pPr>
            <w:r>
              <w:t>2189.41</w:t>
            </w:r>
          </w:p>
        </w:tc>
        <w:tc>
          <w:tcPr>
            <w:tcW w:w="1474" w:type="dxa"/>
            <w:vAlign w:val="center"/>
          </w:tcPr>
          <w:p w14:paraId="451A2450">
            <w:pPr>
              <w:pStyle w:val="14"/>
            </w:pPr>
          </w:p>
        </w:tc>
        <w:tc>
          <w:tcPr>
            <w:tcW w:w="1474" w:type="dxa"/>
            <w:vAlign w:val="center"/>
          </w:tcPr>
          <w:p w14:paraId="715DB019">
            <w:pPr>
              <w:pStyle w:val="14"/>
            </w:pPr>
          </w:p>
        </w:tc>
      </w:tr>
      <w:tr w14:paraId="2CB45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B6CC7">
            <w:pPr>
              <w:pStyle w:val="12"/>
            </w:pPr>
            <w:r>
              <w:t>6</w:t>
            </w:r>
          </w:p>
        </w:tc>
        <w:tc>
          <w:tcPr>
            <w:tcW w:w="3402" w:type="dxa"/>
            <w:vAlign w:val="center"/>
          </w:tcPr>
          <w:p w14:paraId="5FE7D5C3">
            <w:pPr>
              <w:pStyle w:val="13"/>
            </w:pPr>
          </w:p>
        </w:tc>
        <w:tc>
          <w:tcPr>
            <w:tcW w:w="1474" w:type="dxa"/>
            <w:vAlign w:val="center"/>
          </w:tcPr>
          <w:p w14:paraId="67A63ECE">
            <w:pPr>
              <w:pStyle w:val="14"/>
            </w:pPr>
          </w:p>
        </w:tc>
        <w:tc>
          <w:tcPr>
            <w:tcW w:w="3402" w:type="dxa"/>
            <w:vAlign w:val="center"/>
          </w:tcPr>
          <w:p w14:paraId="2EFFACD2">
            <w:pPr>
              <w:pStyle w:val="13"/>
            </w:pPr>
            <w:r>
              <w:t>六、科学技术支出</w:t>
            </w:r>
          </w:p>
        </w:tc>
        <w:tc>
          <w:tcPr>
            <w:tcW w:w="1474" w:type="dxa"/>
            <w:vAlign w:val="center"/>
          </w:tcPr>
          <w:p w14:paraId="6E8D16CF">
            <w:pPr>
              <w:pStyle w:val="14"/>
            </w:pPr>
          </w:p>
        </w:tc>
        <w:tc>
          <w:tcPr>
            <w:tcW w:w="1474" w:type="dxa"/>
            <w:vAlign w:val="center"/>
          </w:tcPr>
          <w:p w14:paraId="4E3F3ECC">
            <w:pPr>
              <w:pStyle w:val="14"/>
            </w:pPr>
          </w:p>
        </w:tc>
        <w:tc>
          <w:tcPr>
            <w:tcW w:w="1474" w:type="dxa"/>
            <w:vAlign w:val="center"/>
          </w:tcPr>
          <w:p w14:paraId="6F7154CB">
            <w:pPr>
              <w:pStyle w:val="14"/>
            </w:pPr>
          </w:p>
        </w:tc>
        <w:tc>
          <w:tcPr>
            <w:tcW w:w="1474" w:type="dxa"/>
            <w:vAlign w:val="center"/>
          </w:tcPr>
          <w:p w14:paraId="2FD78C2D">
            <w:pPr>
              <w:pStyle w:val="14"/>
            </w:pPr>
          </w:p>
        </w:tc>
      </w:tr>
      <w:tr w14:paraId="06001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A04D8">
            <w:pPr>
              <w:pStyle w:val="12"/>
            </w:pPr>
            <w:r>
              <w:t>7</w:t>
            </w:r>
          </w:p>
        </w:tc>
        <w:tc>
          <w:tcPr>
            <w:tcW w:w="3402" w:type="dxa"/>
            <w:vAlign w:val="center"/>
          </w:tcPr>
          <w:p w14:paraId="778C8F32">
            <w:pPr>
              <w:pStyle w:val="13"/>
            </w:pPr>
          </w:p>
        </w:tc>
        <w:tc>
          <w:tcPr>
            <w:tcW w:w="1474" w:type="dxa"/>
            <w:vAlign w:val="center"/>
          </w:tcPr>
          <w:p w14:paraId="63E82709">
            <w:pPr>
              <w:pStyle w:val="14"/>
            </w:pPr>
          </w:p>
        </w:tc>
        <w:tc>
          <w:tcPr>
            <w:tcW w:w="3402" w:type="dxa"/>
            <w:vAlign w:val="center"/>
          </w:tcPr>
          <w:p w14:paraId="2079C781">
            <w:pPr>
              <w:pStyle w:val="13"/>
            </w:pPr>
            <w:r>
              <w:t>七、文化旅游体育与传媒支出</w:t>
            </w:r>
          </w:p>
        </w:tc>
        <w:tc>
          <w:tcPr>
            <w:tcW w:w="1474" w:type="dxa"/>
            <w:vAlign w:val="center"/>
          </w:tcPr>
          <w:p w14:paraId="20D82E3D">
            <w:pPr>
              <w:pStyle w:val="14"/>
            </w:pPr>
          </w:p>
        </w:tc>
        <w:tc>
          <w:tcPr>
            <w:tcW w:w="1474" w:type="dxa"/>
            <w:vAlign w:val="center"/>
          </w:tcPr>
          <w:p w14:paraId="0990417C">
            <w:pPr>
              <w:pStyle w:val="14"/>
            </w:pPr>
          </w:p>
        </w:tc>
        <w:tc>
          <w:tcPr>
            <w:tcW w:w="1474" w:type="dxa"/>
            <w:vAlign w:val="center"/>
          </w:tcPr>
          <w:p w14:paraId="2AF82F31">
            <w:pPr>
              <w:pStyle w:val="14"/>
            </w:pPr>
          </w:p>
        </w:tc>
        <w:tc>
          <w:tcPr>
            <w:tcW w:w="1474" w:type="dxa"/>
            <w:vAlign w:val="center"/>
          </w:tcPr>
          <w:p w14:paraId="5BE25E7F">
            <w:pPr>
              <w:pStyle w:val="14"/>
            </w:pPr>
          </w:p>
        </w:tc>
      </w:tr>
      <w:tr w14:paraId="3242C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5F29B">
            <w:pPr>
              <w:pStyle w:val="12"/>
            </w:pPr>
            <w:r>
              <w:t>8</w:t>
            </w:r>
          </w:p>
        </w:tc>
        <w:tc>
          <w:tcPr>
            <w:tcW w:w="3402" w:type="dxa"/>
            <w:vAlign w:val="center"/>
          </w:tcPr>
          <w:p w14:paraId="29BE90AB">
            <w:pPr>
              <w:pStyle w:val="13"/>
            </w:pPr>
          </w:p>
        </w:tc>
        <w:tc>
          <w:tcPr>
            <w:tcW w:w="1474" w:type="dxa"/>
            <w:vAlign w:val="center"/>
          </w:tcPr>
          <w:p w14:paraId="5F8702CC">
            <w:pPr>
              <w:pStyle w:val="14"/>
            </w:pPr>
          </w:p>
        </w:tc>
        <w:tc>
          <w:tcPr>
            <w:tcW w:w="3402" w:type="dxa"/>
            <w:vAlign w:val="center"/>
          </w:tcPr>
          <w:p w14:paraId="7A89C05B">
            <w:pPr>
              <w:pStyle w:val="13"/>
            </w:pPr>
            <w:r>
              <w:t>八、社会保障和就业支出</w:t>
            </w:r>
          </w:p>
        </w:tc>
        <w:tc>
          <w:tcPr>
            <w:tcW w:w="1474" w:type="dxa"/>
            <w:vAlign w:val="center"/>
          </w:tcPr>
          <w:p w14:paraId="19E8230B">
            <w:pPr>
              <w:pStyle w:val="14"/>
            </w:pPr>
          </w:p>
        </w:tc>
        <w:tc>
          <w:tcPr>
            <w:tcW w:w="1474" w:type="dxa"/>
            <w:vAlign w:val="center"/>
          </w:tcPr>
          <w:p w14:paraId="3C4E785C">
            <w:pPr>
              <w:pStyle w:val="14"/>
            </w:pPr>
          </w:p>
        </w:tc>
        <w:tc>
          <w:tcPr>
            <w:tcW w:w="1474" w:type="dxa"/>
            <w:vAlign w:val="center"/>
          </w:tcPr>
          <w:p w14:paraId="7FDD21CE">
            <w:pPr>
              <w:pStyle w:val="14"/>
            </w:pPr>
          </w:p>
        </w:tc>
        <w:tc>
          <w:tcPr>
            <w:tcW w:w="1474" w:type="dxa"/>
            <w:vAlign w:val="center"/>
          </w:tcPr>
          <w:p w14:paraId="6BEAF818">
            <w:pPr>
              <w:pStyle w:val="14"/>
            </w:pPr>
          </w:p>
        </w:tc>
      </w:tr>
      <w:tr w14:paraId="317DC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79E8B">
            <w:pPr>
              <w:pStyle w:val="12"/>
            </w:pPr>
            <w:r>
              <w:t>9</w:t>
            </w:r>
          </w:p>
        </w:tc>
        <w:tc>
          <w:tcPr>
            <w:tcW w:w="3402" w:type="dxa"/>
            <w:vAlign w:val="center"/>
          </w:tcPr>
          <w:p w14:paraId="4DDFED31">
            <w:pPr>
              <w:pStyle w:val="13"/>
            </w:pPr>
          </w:p>
        </w:tc>
        <w:tc>
          <w:tcPr>
            <w:tcW w:w="1474" w:type="dxa"/>
            <w:vAlign w:val="center"/>
          </w:tcPr>
          <w:p w14:paraId="64E241FD">
            <w:pPr>
              <w:pStyle w:val="14"/>
            </w:pPr>
          </w:p>
        </w:tc>
        <w:tc>
          <w:tcPr>
            <w:tcW w:w="3402" w:type="dxa"/>
            <w:vAlign w:val="center"/>
          </w:tcPr>
          <w:p w14:paraId="6AD8DC1F">
            <w:pPr>
              <w:pStyle w:val="13"/>
            </w:pPr>
            <w:r>
              <w:t>九、社会保险基金支出</w:t>
            </w:r>
          </w:p>
        </w:tc>
        <w:tc>
          <w:tcPr>
            <w:tcW w:w="1474" w:type="dxa"/>
            <w:vAlign w:val="center"/>
          </w:tcPr>
          <w:p w14:paraId="4F7CEE2F">
            <w:pPr>
              <w:pStyle w:val="14"/>
            </w:pPr>
          </w:p>
        </w:tc>
        <w:tc>
          <w:tcPr>
            <w:tcW w:w="1474" w:type="dxa"/>
            <w:vAlign w:val="center"/>
          </w:tcPr>
          <w:p w14:paraId="41C5C067">
            <w:pPr>
              <w:pStyle w:val="14"/>
            </w:pPr>
          </w:p>
        </w:tc>
        <w:tc>
          <w:tcPr>
            <w:tcW w:w="1474" w:type="dxa"/>
            <w:vAlign w:val="center"/>
          </w:tcPr>
          <w:p w14:paraId="4EDA1C46">
            <w:pPr>
              <w:pStyle w:val="14"/>
            </w:pPr>
          </w:p>
        </w:tc>
        <w:tc>
          <w:tcPr>
            <w:tcW w:w="1474" w:type="dxa"/>
            <w:vAlign w:val="center"/>
          </w:tcPr>
          <w:p w14:paraId="4B1D965F">
            <w:pPr>
              <w:pStyle w:val="14"/>
            </w:pPr>
          </w:p>
        </w:tc>
      </w:tr>
      <w:tr w14:paraId="3D6E7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173BF">
            <w:pPr>
              <w:pStyle w:val="12"/>
            </w:pPr>
            <w:r>
              <w:t>10</w:t>
            </w:r>
          </w:p>
        </w:tc>
        <w:tc>
          <w:tcPr>
            <w:tcW w:w="3402" w:type="dxa"/>
            <w:vAlign w:val="center"/>
          </w:tcPr>
          <w:p w14:paraId="0C592EF2">
            <w:pPr>
              <w:pStyle w:val="13"/>
            </w:pPr>
          </w:p>
        </w:tc>
        <w:tc>
          <w:tcPr>
            <w:tcW w:w="1474" w:type="dxa"/>
            <w:vAlign w:val="center"/>
          </w:tcPr>
          <w:p w14:paraId="15E39D6C">
            <w:pPr>
              <w:pStyle w:val="14"/>
            </w:pPr>
          </w:p>
        </w:tc>
        <w:tc>
          <w:tcPr>
            <w:tcW w:w="3402" w:type="dxa"/>
            <w:vAlign w:val="center"/>
          </w:tcPr>
          <w:p w14:paraId="2A35CC52">
            <w:pPr>
              <w:pStyle w:val="13"/>
            </w:pPr>
            <w:r>
              <w:t>十、卫生健康支出</w:t>
            </w:r>
          </w:p>
        </w:tc>
        <w:tc>
          <w:tcPr>
            <w:tcW w:w="1474" w:type="dxa"/>
            <w:vAlign w:val="center"/>
          </w:tcPr>
          <w:p w14:paraId="5EDCBFEA">
            <w:pPr>
              <w:pStyle w:val="14"/>
            </w:pPr>
          </w:p>
        </w:tc>
        <w:tc>
          <w:tcPr>
            <w:tcW w:w="1474" w:type="dxa"/>
            <w:vAlign w:val="center"/>
          </w:tcPr>
          <w:p w14:paraId="5A3CA8E6">
            <w:pPr>
              <w:pStyle w:val="14"/>
            </w:pPr>
          </w:p>
        </w:tc>
        <w:tc>
          <w:tcPr>
            <w:tcW w:w="1474" w:type="dxa"/>
            <w:vAlign w:val="center"/>
          </w:tcPr>
          <w:p w14:paraId="27DD3E60">
            <w:pPr>
              <w:pStyle w:val="14"/>
            </w:pPr>
          </w:p>
        </w:tc>
        <w:tc>
          <w:tcPr>
            <w:tcW w:w="1474" w:type="dxa"/>
            <w:vAlign w:val="center"/>
          </w:tcPr>
          <w:p w14:paraId="5375BBB1">
            <w:pPr>
              <w:pStyle w:val="14"/>
            </w:pPr>
          </w:p>
        </w:tc>
      </w:tr>
      <w:tr w14:paraId="20DD7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E834D">
            <w:pPr>
              <w:pStyle w:val="12"/>
            </w:pPr>
            <w:r>
              <w:t>11</w:t>
            </w:r>
          </w:p>
        </w:tc>
        <w:tc>
          <w:tcPr>
            <w:tcW w:w="3402" w:type="dxa"/>
            <w:vAlign w:val="center"/>
          </w:tcPr>
          <w:p w14:paraId="0ED87579">
            <w:pPr>
              <w:pStyle w:val="13"/>
            </w:pPr>
          </w:p>
        </w:tc>
        <w:tc>
          <w:tcPr>
            <w:tcW w:w="1474" w:type="dxa"/>
            <w:vAlign w:val="center"/>
          </w:tcPr>
          <w:p w14:paraId="6341F408">
            <w:pPr>
              <w:pStyle w:val="14"/>
            </w:pPr>
          </w:p>
        </w:tc>
        <w:tc>
          <w:tcPr>
            <w:tcW w:w="3402" w:type="dxa"/>
            <w:vAlign w:val="center"/>
          </w:tcPr>
          <w:p w14:paraId="05A0AAE4">
            <w:pPr>
              <w:pStyle w:val="13"/>
            </w:pPr>
            <w:r>
              <w:t>十一、节能环保支出</w:t>
            </w:r>
          </w:p>
        </w:tc>
        <w:tc>
          <w:tcPr>
            <w:tcW w:w="1474" w:type="dxa"/>
            <w:vAlign w:val="center"/>
          </w:tcPr>
          <w:p w14:paraId="19938E54">
            <w:pPr>
              <w:pStyle w:val="14"/>
            </w:pPr>
          </w:p>
        </w:tc>
        <w:tc>
          <w:tcPr>
            <w:tcW w:w="1474" w:type="dxa"/>
            <w:vAlign w:val="center"/>
          </w:tcPr>
          <w:p w14:paraId="68FD36A6">
            <w:pPr>
              <w:pStyle w:val="14"/>
            </w:pPr>
          </w:p>
        </w:tc>
        <w:tc>
          <w:tcPr>
            <w:tcW w:w="1474" w:type="dxa"/>
            <w:vAlign w:val="center"/>
          </w:tcPr>
          <w:p w14:paraId="285A521C">
            <w:pPr>
              <w:pStyle w:val="14"/>
            </w:pPr>
          </w:p>
        </w:tc>
        <w:tc>
          <w:tcPr>
            <w:tcW w:w="1474" w:type="dxa"/>
            <w:vAlign w:val="center"/>
          </w:tcPr>
          <w:p w14:paraId="41C4826B">
            <w:pPr>
              <w:pStyle w:val="14"/>
            </w:pPr>
          </w:p>
        </w:tc>
      </w:tr>
      <w:tr w14:paraId="08056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91D47">
            <w:pPr>
              <w:pStyle w:val="12"/>
            </w:pPr>
            <w:r>
              <w:t>12</w:t>
            </w:r>
          </w:p>
        </w:tc>
        <w:tc>
          <w:tcPr>
            <w:tcW w:w="3402" w:type="dxa"/>
            <w:vAlign w:val="center"/>
          </w:tcPr>
          <w:p w14:paraId="3C104C83">
            <w:pPr>
              <w:pStyle w:val="13"/>
            </w:pPr>
          </w:p>
        </w:tc>
        <w:tc>
          <w:tcPr>
            <w:tcW w:w="1474" w:type="dxa"/>
            <w:vAlign w:val="center"/>
          </w:tcPr>
          <w:p w14:paraId="25F82BEF">
            <w:pPr>
              <w:pStyle w:val="14"/>
            </w:pPr>
          </w:p>
        </w:tc>
        <w:tc>
          <w:tcPr>
            <w:tcW w:w="3402" w:type="dxa"/>
            <w:vAlign w:val="center"/>
          </w:tcPr>
          <w:p w14:paraId="132EB17A">
            <w:pPr>
              <w:pStyle w:val="13"/>
            </w:pPr>
            <w:r>
              <w:t>十二、城乡社区支出</w:t>
            </w:r>
          </w:p>
        </w:tc>
        <w:tc>
          <w:tcPr>
            <w:tcW w:w="1474" w:type="dxa"/>
            <w:vAlign w:val="center"/>
          </w:tcPr>
          <w:p w14:paraId="1FE7E45D">
            <w:pPr>
              <w:pStyle w:val="14"/>
            </w:pPr>
          </w:p>
        </w:tc>
        <w:tc>
          <w:tcPr>
            <w:tcW w:w="1474" w:type="dxa"/>
            <w:vAlign w:val="center"/>
          </w:tcPr>
          <w:p w14:paraId="2B6EF22B">
            <w:pPr>
              <w:pStyle w:val="14"/>
            </w:pPr>
          </w:p>
        </w:tc>
        <w:tc>
          <w:tcPr>
            <w:tcW w:w="1474" w:type="dxa"/>
            <w:vAlign w:val="center"/>
          </w:tcPr>
          <w:p w14:paraId="447547C4">
            <w:pPr>
              <w:pStyle w:val="14"/>
            </w:pPr>
          </w:p>
        </w:tc>
        <w:tc>
          <w:tcPr>
            <w:tcW w:w="1474" w:type="dxa"/>
            <w:vAlign w:val="center"/>
          </w:tcPr>
          <w:p w14:paraId="5322509C">
            <w:pPr>
              <w:pStyle w:val="14"/>
            </w:pPr>
          </w:p>
        </w:tc>
      </w:tr>
      <w:tr w14:paraId="654BA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11D08">
            <w:pPr>
              <w:pStyle w:val="12"/>
            </w:pPr>
            <w:r>
              <w:t>13</w:t>
            </w:r>
          </w:p>
        </w:tc>
        <w:tc>
          <w:tcPr>
            <w:tcW w:w="3402" w:type="dxa"/>
            <w:vAlign w:val="center"/>
          </w:tcPr>
          <w:p w14:paraId="73993DE9">
            <w:pPr>
              <w:pStyle w:val="13"/>
            </w:pPr>
          </w:p>
        </w:tc>
        <w:tc>
          <w:tcPr>
            <w:tcW w:w="1474" w:type="dxa"/>
            <w:vAlign w:val="center"/>
          </w:tcPr>
          <w:p w14:paraId="2B211A68">
            <w:pPr>
              <w:pStyle w:val="14"/>
            </w:pPr>
          </w:p>
        </w:tc>
        <w:tc>
          <w:tcPr>
            <w:tcW w:w="3402" w:type="dxa"/>
            <w:vAlign w:val="center"/>
          </w:tcPr>
          <w:p w14:paraId="11643170">
            <w:pPr>
              <w:pStyle w:val="13"/>
            </w:pPr>
            <w:r>
              <w:t>十三、农林水支出</w:t>
            </w:r>
          </w:p>
        </w:tc>
        <w:tc>
          <w:tcPr>
            <w:tcW w:w="1474" w:type="dxa"/>
            <w:vAlign w:val="center"/>
          </w:tcPr>
          <w:p w14:paraId="78984234">
            <w:pPr>
              <w:pStyle w:val="14"/>
            </w:pPr>
          </w:p>
        </w:tc>
        <w:tc>
          <w:tcPr>
            <w:tcW w:w="1474" w:type="dxa"/>
            <w:vAlign w:val="center"/>
          </w:tcPr>
          <w:p w14:paraId="759AC63D">
            <w:pPr>
              <w:pStyle w:val="14"/>
            </w:pPr>
          </w:p>
        </w:tc>
        <w:tc>
          <w:tcPr>
            <w:tcW w:w="1474" w:type="dxa"/>
            <w:vAlign w:val="center"/>
          </w:tcPr>
          <w:p w14:paraId="2878F25D">
            <w:pPr>
              <w:pStyle w:val="14"/>
            </w:pPr>
          </w:p>
        </w:tc>
        <w:tc>
          <w:tcPr>
            <w:tcW w:w="1474" w:type="dxa"/>
            <w:vAlign w:val="center"/>
          </w:tcPr>
          <w:p w14:paraId="1FE5D1D3">
            <w:pPr>
              <w:pStyle w:val="14"/>
            </w:pPr>
          </w:p>
        </w:tc>
      </w:tr>
      <w:tr w14:paraId="352E7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3FB1B">
            <w:pPr>
              <w:pStyle w:val="12"/>
            </w:pPr>
            <w:r>
              <w:t>14</w:t>
            </w:r>
          </w:p>
        </w:tc>
        <w:tc>
          <w:tcPr>
            <w:tcW w:w="3402" w:type="dxa"/>
            <w:vAlign w:val="center"/>
          </w:tcPr>
          <w:p w14:paraId="40BD6028">
            <w:pPr>
              <w:pStyle w:val="13"/>
            </w:pPr>
          </w:p>
        </w:tc>
        <w:tc>
          <w:tcPr>
            <w:tcW w:w="1474" w:type="dxa"/>
            <w:vAlign w:val="center"/>
          </w:tcPr>
          <w:p w14:paraId="1ECF4872">
            <w:pPr>
              <w:pStyle w:val="14"/>
            </w:pPr>
          </w:p>
        </w:tc>
        <w:tc>
          <w:tcPr>
            <w:tcW w:w="3402" w:type="dxa"/>
            <w:vAlign w:val="center"/>
          </w:tcPr>
          <w:p w14:paraId="144A82A6">
            <w:pPr>
              <w:pStyle w:val="13"/>
            </w:pPr>
            <w:r>
              <w:t>十四、交通运输支出</w:t>
            </w:r>
          </w:p>
        </w:tc>
        <w:tc>
          <w:tcPr>
            <w:tcW w:w="1474" w:type="dxa"/>
            <w:vAlign w:val="center"/>
          </w:tcPr>
          <w:p w14:paraId="00F1E3A5">
            <w:pPr>
              <w:pStyle w:val="14"/>
            </w:pPr>
          </w:p>
        </w:tc>
        <w:tc>
          <w:tcPr>
            <w:tcW w:w="1474" w:type="dxa"/>
            <w:vAlign w:val="center"/>
          </w:tcPr>
          <w:p w14:paraId="005AA5B5">
            <w:pPr>
              <w:pStyle w:val="14"/>
            </w:pPr>
          </w:p>
        </w:tc>
        <w:tc>
          <w:tcPr>
            <w:tcW w:w="1474" w:type="dxa"/>
            <w:vAlign w:val="center"/>
          </w:tcPr>
          <w:p w14:paraId="63C9E454">
            <w:pPr>
              <w:pStyle w:val="14"/>
            </w:pPr>
          </w:p>
        </w:tc>
        <w:tc>
          <w:tcPr>
            <w:tcW w:w="1474" w:type="dxa"/>
            <w:vAlign w:val="center"/>
          </w:tcPr>
          <w:p w14:paraId="6091A3B9">
            <w:pPr>
              <w:pStyle w:val="14"/>
            </w:pPr>
          </w:p>
        </w:tc>
      </w:tr>
      <w:tr w14:paraId="3609C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4D912">
            <w:pPr>
              <w:pStyle w:val="12"/>
            </w:pPr>
            <w:r>
              <w:t>15</w:t>
            </w:r>
          </w:p>
        </w:tc>
        <w:tc>
          <w:tcPr>
            <w:tcW w:w="3402" w:type="dxa"/>
            <w:vAlign w:val="center"/>
          </w:tcPr>
          <w:p w14:paraId="7C95F2F3">
            <w:pPr>
              <w:pStyle w:val="13"/>
            </w:pPr>
          </w:p>
        </w:tc>
        <w:tc>
          <w:tcPr>
            <w:tcW w:w="1474" w:type="dxa"/>
            <w:vAlign w:val="center"/>
          </w:tcPr>
          <w:p w14:paraId="175BD6E3">
            <w:pPr>
              <w:pStyle w:val="14"/>
            </w:pPr>
          </w:p>
        </w:tc>
        <w:tc>
          <w:tcPr>
            <w:tcW w:w="3402" w:type="dxa"/>
            <w:vAlign w:val="center"/>
          </w:tcPr>
          <w:p w14:paraId="706F9B4A">
            <w:pPr>
              <w:pStyle w:val="13"/>
            </w:pPr>
            <w:r>
              <w:t>十五、资源勘探工业信息等支出</w:t>
            </w:r>
          </w:p>
        </w:tc>
        <w:tc>
          <w:tcPr>
            <w:tcW w:w="1474" w:type="dxa"/>
            <w:vAlign w:val="center"/>
          </w:tcPr>
          <w:p w14:paraId="0CF08CB0">
            <w:pPr>
              <w:pStyle w:val="14"/>
            </w:pPr>
          </w:p>
        </w:tc>
        <w:tc>
          <w:tcPr>
            <w:tcW w:w="1474" w:type="dxa"/>
            <w:vAlign w:val="center"/>
          </w:tcPr>
          <w:p w14:paraId="676A6500">
            <w:pPr>
              <w:pStyle w:val="14"/>
            </w:pPr>
          </w:p>
        </w:tc>
        <w:tc>
          <w:tcPr>
            <w:tcW w:w="1474" w:type="dxa"/>
            <w:vAlign w:val="center"/>
          </w:tcPr>
          <w:p w14:paraId="2C28230F">
            <w:pPr>
              <w:pStyle w:val="14"/>
            </w:pPr>
          </w:p>
        </w:tc>
        <w:tc>
          <w:tcPr>
            <w:tcW w:w="1474" w:type="dxa"/>
            <w:vAlign w:val="center"/>
          </w:tcPr>
          <w:p w14:paraId="2FE8707F">
            <w:pPr>
              <w:pStyle w:val="14"/>
            </w:pPr>
          </w:p>
        </w:tc>
      </w:tr>
      <w:tr w14:paraId="048C1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D7E01">
            <w:pPr>
              <w:pStyle w:val="12"/>
            </w:pPr>
            <w:r>
              <w:t>16</w:t>
            </w:r>
          </w:p>
        </w:tc>
        <w:tc>
          <w:tcPr>
            <w:tcW w:w="3402" w:type="dxa"/>
            <w:vAlign w:val="center"/>
          </w:tcPr>
          <w:p w14:paraId="167122D1">
            <w:pPr>
              <w:pStyle w:val="13"/>
            </w:pPr>
          </w:p>
        </w:tc>
        <w:tc>
          <w:tcPr>
            <w:tcW w:w="1474" w:type="dxa"/>
            <w:vAlign w:val="center"/>
          </w:tcPr>
          <w:p w14:paraId="7CB0794E">
            <w:pPr>
              <w:pStyle w:val="14"/>
            </w:pPr>
          </w:p>
        </w:tc>
        <w:tc>
          <w:tcPr>
            <w:tcW w:w="3402" w:type="dxa"/>
            <w:vAlign w:val="center"/>
          </w:tcPr>
          <w:p w14:paraId="1E8A0037">
            <w:pPr>
              <w:pStyle w:val="13"/>
            </w:pPr>
            <w:r>
              <w:t>十六、商业服务业等支出</w:t>
            </w:r>
          </w:p>
        </w:tc>
        <w:tc>
          <w:tcPr>
            <w:tcW w:w="1474" w:type="dxa"/>
            <w:vAlign w:val="center"/>
          </w:tcPr>
          <w:p w14:paraId="7055035C">
            <w:pPr>
              <w:pStyle w:val="14"/>
            </w:pPr>
          </w:p>
        </w:tc>
        <w:tc>
          <w:tcPr>
            <w:tcW w:w="1474" w:type="dxa"/>
            <w:vAlign w:val="center"/>
          </w:tcPr>
          <w:p w14:paraId="7F5DD0EF">
            <w:pPr>
              <w:pStyle w:val="14"/>
            </w:pPr>
          </w:p>
        </w:tc>
        <w:tc>
          <w:tcPr>
            <w:tcW w:w="1474" w:type="dxa"/>
            <w:vAlign w:val="center"/>
          </w:tcPr>
          <w:p w14:paraId="725E1B5E">
            <w:pPr>
              <w:pStyle w:val="14"/>
            </w:pPr>
          </w:p>
        </w:tc>
        <w:tc>
          <w:tcPr>
            <w:tcW w:w="1474" w:type="dxa"/>
            <w:vAlign w:val="center"/>
          </w:tcPr>
          <w:p w14:paraId="099A61AE">
            <w:pPr>
              <w:pStyle w:val="14"/>
            </w:pPr>
          </w:p>
        </w:tc>
      </w:tr>
      <w:tr w14:paraId="166DB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1FD1D">
            <w:pPr>
              <w:pStyle w:val="12"/>
            </w:pPr>
            <w:r>
              <w:t>17</w:t>
            </w:r>
          </w:p>
        </w:tc>
        <w:tc>
          <w:tcPr>
            <w:tcW w:w="3402" w:type="dxa"/>
            <w:vAlign w:val="center"/>
          </w:tcPr>
          <w:p w14:paraId="29936C23">
            <w:pPr>
              <w:pStyle w:val="13"/>
            </w:pPr>
          </w:p>
        </w:tc>
        <w:tc>
          <w:tcPr>
            <w:tcW w:w="1474" w:type="dxa"/>
            <w:vAlign w:val="center"/>
          </w:tcPr>
          <w:p w14:paraId="61461E92">
            <w:pPr>
              <w:pStyle w:val="14"/>
            </w:pPr>
          </w:p>
        </w:tc>
        <w:tc>
          <w:tcPr>
            <w:tcW w:w="3402" w:type="dxa"/>
            <w:vAlign w:val="center"/>
          </w:tcPr>
          <w:p w14:paraId="50F39EE2">
            <w:pPr>
              <w:pStyle w:val="13"/>
            </w:pPr>
            <w:r>
              <w:t>十七、金融支出</w:t>
            </w:r>
          </w:p>
        </w:tc>
        <w:tc>
          <w:tcPr>
            <w:tcW w:w="1474" w:type="dxa"/>
            <w:vAlign w:val="center"/>
          </w:tcPr>
          <w:p w14:paraId="440A8B7C">
            <w:pPr>
              <w:pStyle w:val="14"/>
            </w:pPr>
          </w:p>
        </w:tc>
        <w:tc>
          <w:tcPr>
            <w:tcW w:w="1474" w:type="dxa"/>
            <w:vAlign w:val="center"/>
          </w:tcPr>
          <w:p w14:paraId="44414E64">
            <w:pPr>
              <w:pStyle w:val="14"/>
            </w:pPr>
          </w:p>
        </w:tc>
        <w:tc>
          <w:tcPr>
            <w:tcW w:w="1474" w:type="dxa"/>
            <w:vAlign w:val="center"/>
          </w:tcPr>
          <w:p w14:paraId="574CB2B7">
            <w:pPr>
              <w:pStyle w:val="14"/>
            </w:pPr>
          </w:p>
        </w:tc>
        <w:tc>
          <w:tcPr>
            <w:tcW w:w="1474" w:type="dxa"/>
            <w:vAlign w:val="center"/>
          </w:tcPr>
          <w:p w14:paraId="61B01D99">
            <w:pPr>
              <w:pStyle w:val="14"/>
            </w:pPr>
          </w:p>
        </w:tc>
      </w:tr>
      <w:tr w14:paraId="1A208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DBF47">
            <w:pPr>
              <w:pStyle w:val="12"/>
            </w:pPr>
            <w:r>
              <w:t>18</w:t>
            </w:r>
          </w:p>
        </w:tc>
        <w:tc>
          <w:tcPr>
            <w:tcW w:w="3402" w:type="dxa"/>
            <w:vAlign w:val="center"/>
          </w:tcPr>
          <w:p w14:paraId="32CBF99D">
            <w:pPr>
              <w:pStyle w:val="13"/>
            </w:pPr>
          </w:p>
        </w:tc>
        <w:tc>
          <w:tcPr>
            <w:tcW w:w="1474" w:type="dxa"/>
            <w:vAlign w:val="center"/>
          </w:tcPr>
          <w:p w14:paraId="627E0C4F">
            <w:pPr>
              <w:pStyle w:val="14"/>
            </w:pPr>
          </w:p>
        </w:tc>
        <w:tc>
          <w:tcPr>
            <w:tcW w:w="3402" w:type="dxa"/>
            <w:vAlign w:val="center"/>
          </w:tcPr>
          <w:p w14:paraId="5DE1D392">
            <w:pPr>
              <w:pStyle w:val="13"/>
            </w:pPr>
            <w:r>
              <w:t>十八、援助其他地区支出</w:t>
            </w:r>
          </w:p>
        </w:tc>
        <w:tc>
          <w:tcPr>
            <w:tcW w:w="1474" w:type="dxa"/>
            <w:vAlign w:val="center"/>
          </w:tcPr>
          <w:p w14:paraId="214255D8">
            <w:pPr>
              <w:pStyle w:val="14"/>
            </w:pPr>
          </w:p>
        </w:tc>
        <w:tc>
          <w:tcPr>
            <w:tcW w:w="1474" w:type="dxa"/>
            <w:vAlign w:val="center"/>
          </w:tcPr>
          <w:p w14:paraId="637689D3">
            <w:pPr>
              <w:pStyle w:val="14"/>
            </w:pPr>
          </w:p>
        </w:tc>
        <w:tc>
          <w:tcPr>
            <w:tcW w:w="1474" w:type="dxa"/>
            <w:vAlign w:val="center"/>
          </w:tcPr>
          <w:p w14:paraId="3F5C05F4">
            <w:pPr>
              <w:pStyle w:val="14"/>
            </w:pPr>
          </w:p>
        </w:tc>
        <w:tc>
          <w:tcPr>
            <w:tcW w:w="1474" w:type="dxa"/>
            <w:vAlign w:val="center"/>
          </w:tcPr>
          <w:p w14:paraId="047AC8FD">
            <w:pPr>
              <w:pStyle w:val="14"/>
            </w:pPr>
          </w:p>
        </w:tc>
      </w:tr>
      <w:tr w14:paraId="7C2C6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7FDFC">
            <w:pPr>
              <w:pStyle w:val="12"/>
            </w:pPr>
            <w:r>
              <w:t>19</w:t>
            </w:r>
          </w:p>
        </w:tc>
        <w:tc>
          <w:tcPr>
            <w:tcW w:w="3402" w:type="dxa"/>
            <w:vAlign w:val="center"/>
          </w:tcPr>
          <w:p w14:paraId="0C092D06">
            <w:pPr>
              <w:pStyle w:val="13"/>
            </w:pPr>
          </w:p>
        </w:tc>
        <w:tc>
          <w:tcPr>
            <w:tcW w:w="1474" w:type="dxa"/>
            <w:vAlign w:val="center"/>
          </w:tcPr>
          <w:p w14:paraId="46DD6460">
            <w:pPr>
              <w:pStyle w:val="14"/>
            </w:pPr>
          </w:p>
        </w:tc>
        <w:tc>
          <w:tcPr>
            <w:tcW w:w="3402" w:type="dxa"/>
            <w:vAlign w:val="center"/>
          </w:tcPr>
          <w:p w14:paraId="2A438613">
            <w:pPr>
              <w:pStyle w:val="13"/>
            </w:pPr>
            <w:r>
              <w:t>十九、自然资源海洋气象等支出</w:t>
            </w:r>
          </w:p>
        </w:tc>
        <w:tc>
          <w:tcPr>
            <w:tcW w:w="1474" w:type="dxa"/>
            <w:vAlign w:val="center"/>
          </w:tcPr>
          <w:p w14:paraId="22FE4ABE">
            <w:pPr>
              <w:pStyle w:val="14"/>
            </w:pPr>
          </w:p>
        </w:tc>
        <w:tc>
          <w:tcPr>
            <w:tcW w:w="1474" w:type="dxa"/>
            <w:vAlign w:val="center"/>
          </w:tcPr>
          <w:p w14:paraId="15BBAEC0">
            <w:pPr>
              <w:pStyle w:val="14"/>
            </w:pPr>
          </w:p>
        </w:tc>
        <w:tc>
          <w:tcPr>
            <w:tcW w:w="1474" w:type="dxa"/>
            <w:vAlign w:val="center"/>
          </w:tcPr>
          <w:p w14:paraId="6F348E3F">
            <w:pPr>
              <w:pStyle w:val="14"/>
            </w:pPr>
          </w:p>
        </w:tc>
        <w:tc>
          <w:tcPr>
            <w:tcW w:w="1474" w:type="dxa"/>
            <w:vAlign w:val="center"/>
          </w:tcPr>
          <w:p w14:paraId="3BE008F5">
            <w:pPr>
              <w:pStyle w:val="14"/>
            </w:pPr>
          </w:p>
        </w:tc>
      </w:tr>
      <w:tr w14:paraId="2941C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D81E1">
            <w:pPr>
              <w:pStyle w:val="12"/>
            </w:pPr>
            <w:r>
              <w:t>20</w:t>
            </w:r>
          </w:p>
        </w:tc>
        <w:tc>
          <w:tcPr>
            <w:tcW w:w="3402" w:type="dxa"/>
            <w:vAlign w:val="center"/>
          </w:tcPr>
          <w:p w14:paraId="0CD8F36A">
            <w:pPr>
              <w:pStyle w:val="13"/>
            </w:pPr>
          </w:p>
        </w:tc>
        <w:tc>
          <w:tcPr>
            <w:tcW w:w="1474" w:type="dxa"/>
            <w:vAlign w:val="center"/>
          </w:tcPr>
          <w:p w14:paraId="2101C377">
            <w:pPr>
              <w:pStyle w:val="14"/>
            </w:pPr>
          </w:p>
        </w:tc>
        <w:tc>
          <w:tcPr>
            <w:tcW w:w="3402" w:type="dxa"/>
            <w:vAlign w:val="center"/>
          </w:tcPr>
          <w:p w14:paraId="7AAC5196">
            <w:pPr>
              <w:pStyle w:val="13"/>
            </w:pPr>
            <w:r>
              <w:t>二十、住房保障支出</w:t>
            </w:r>
          </w:p>
        </w:tc>
        <w:tc>
          <w:tcPr>
            <w:tcW w:w="1474" w:type="dxa"/>
            <w:vAlign w:val="center"/>
          </w:tcPr>
          <w:p w14:paraId="463C1BB4">
            <w:pPr>
              <w:pStyle w:val="14"/>
            </w:pPr>
          </w:p>
        </w:tc>
        <w:tc>
          <w:tcPr>
            <w:tcW w:w="1474" w:type="dxa"/>
            <w:vAlign w:val="center"/>
          </w:tcPr>
          <w:p w14:paraId="50DBB4EE">
            <w:pPr>
              <w:pStyle w:val="14"/>
            </w:pPr>
          </w:p>
        </w:tc>
        <w:tc>
          <w:tcPr>
            <w:tcW w:w="1474" w:type="dxa"/>
            <w:vAlign w:val="center"/>
          </w:tcPr>
          <w:p w14:paraId="44ABC8CB">
            <w:pPr>
              <w:pStyle w:val="14"/>
            </w:pPr>
          </w:p>
        </w:tc>
        <w:tc>
          <w:tcPr>
            <w:tcW w:w="1474" w:type="dxa"/>
            <w:vAlign w:val="center"/>
          </w:tcPr>
          <w:p w14:paraId="67FC1CDF">
            <w:pPr>
              <w:pStyle w:val="14"/>
            </w:pPr>
          </w:p>
        </w:tc>
      </w:tr>
      <w:tr w14:paraId="0C393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20D1B">
            <w:pPr>
              <w:pStyle w:val="12"/>
            </w:pPr>
            <w:r>
              <w:t>21</w:t>
            </w:r>
          </w:p>
        </w:tc>
        <w:tc>
          <w:tcPr>
            <w:tcW w:w="3402" w:type="dxa"/>
            <w:vAlign w:val="center"/>
          </w:tcPr>
          <w:p w14:paraId="1561D38E">
            <w:pPr>
              <w:pStyle w:val="13"/>
            </w:pPr>
          </w:p>
        </w:tc>
        <w:tc>
          <w:tcPr>
            <w:tcW w:w="1474" w:type="dxa"/>
            <w:vAlign w:val="center"/>
          </w:tcPr>
          <w:p w14:paraId="12884D59">
            <w:pPr>
              <w:pStyle w:val="14"/>
            </w:pPr>
          </w:p>
        </w:tc>
        <w:tc>
          <w:tcPr>
            <w:tcW w:w="3402" w:type="dxa"/>
            <w:vAlign w:val="center"/>
          </w:tcPr>
          <w:p w14:paraId="67D9F870">
            <w:pPr>
              <w:pStyle w:val="13"/>
            </w:pPr>
            <w:r>
              <w:t>二十一、粮油物资储备支出</w:t>
            </w:r>
          </w:p>
        </w:tc>
        <w:tc>
          <w:tcPr>
            <w:tcW w:w="1474" w:type="dxa"/>
            <w:vAlign w:val="center"/>
          </w:tcPr>
          <w:p w14:paraId="5CA4D6B0">
            <w:pPr>
              <w:pStyle w:val="14"/>
            </w:pPr>
          </w:p>
        </w:tc>
        <w:tc>
          <w:tcPr>
            <w:tcW w:w="1474" w:type="dxa"/>
            <w:vAlign w:val="center"/>
          </w:tcPr>
          <w:p w14:paraId="61C6E146">
            <w:pPr>
              <w:pStyle w:val="14"/>
            </w:pPr>
          </w:p>
        </w:tc>
        <w:tc>
          <w:tcPr>
            <w:tcW w:w="1474" w:type="dxa"/>
            <w:vAlign w:val="center"/>
          </w:tcPr>
          <w:p w14:paraId="18EA59BF">
            <w:pPr>
              <w:pStyle w:val="14"/>
            </w:pPr>
          </w:p>
        </w:tc>
        <w:tc>
          <w:tcPr>
            <w:tcW w:w="1474" w:type="dxa"/>
            <w:vAlign w:val="center"/>
          </w:tcPr>
          <w:p w14:paraId="51977419">
            <w:pPr>
              <w:pStyle w:val="14"/>
            </w:pPr>
          </w:p>
        </w:tc>
      </w:tr>
      <w:tr w14:paraId="467D9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78F0B">
            <w:pPr>
              <w:pStyle w:val="12"/>
            </w:pPr>
            <w:r>
              <w:t>22</w:t>
            </w:r>
          </w:p>
        </w:tc>
        <w:tc>
          <w:tcPr>
            <w:tcW w:w="3402" w:type="dxa"/>
            <w:vAlign w:val="center"/>
          </w:tcPr>
          <w:p w14:paraId="0E3A6921">
            <w:pPr>
              <w:pStyle w:val="13"/>
            </w:pPr>
          </w:p>
        </w:tc>
        <w:tc>
          <w:tcPr>
            <w:tcW w:w="1474" w:type="dxa"/>
            <w:vAlign w:val="center"/>
          </w:tcPr>
          <w:p w14:paraId="5440B01B">
            <w:pPr>
              <w:pStyle w:val="14"/>
            </w:pPr>
          </w:p>
        </w:tc>
        <w:tc>
          <w:tcPr>
            <w:tcW w:w="3402" w:type="dxa"/>
            <w:vAlign w:val="center"/>
          </w:tcPr>
          <w:p w14:paraId="1D0CC9EE">
            <w:pPr>
              <w:pStyle w:val="13"/>
            </w:pPr>
            <w:r>
              <w:t>二十二、国有资本经营预算支出</w:t>
            </w:r>
          </w:p>
        </w:tc>
        <w:tc>
          <w:tcPr>
            <w:tcW w:w="1474" w:type="dxa"/>
            <w:vAlign w:val="center"/>
          </w:tcPr>
          <w:p w14:paraId="046D4AE6">
            <w:pPr>
              <w:pStyle w:val="14"/>
            </w:pPr>
          </w:p>
        </w:tc>
        <w:tc>
          <w:tcPr>
            <w:tcW w:w="1474" w:type="dxa"/>
            <w:vAlign w:val="center"/>
          </w:tcPr>
          <w:p w14:paraId="0AC2CD27">
            <w:pPr>
              <w:pStyle w:val="14"/>
            </w:pPr>
          </w:p>
        </w:tc>
        <w:tc>
          <w:tcPr>
            <w:tcW w:w="1474" w:type="dxa"/>
            <w:vAlign w:val="center"/>
          </w:tcPr>
          <w:p w14:paraId="220D51AE">
            <w:pPr>
              <w:pStyle w:val="14"/>
            </w:pPr>
          </w:p>
        </w:tc>
        <w:tc>
          <w:tcPr>
            <w:tcW w:w="1474" w:type="dxa"/>
            <w:vAlign w:val="center"/>
          </w:tcPr>
          <w:p w14:paraId="0E9E2611">
            <w:pPr>
              <w:pStyle w:val="14"/>
            </w:pPr>
          </w:p>
        </w:tc>
      </w:tr>
      <w:tr w14:paraId="2FE08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C96D4">
            <w:pPr>
              <w:pStyle w:val="12"/>
            </w:pPr>
            <w:r>
              <w:t>23</w:t>
            </w:r>
          </w:p>
        </w:tc>
        <w:tc>
          <w:tcPr>
            <w:tcW w:w="3402" w:type="dxa"/>
            <w:vAlign w:val="center"/>
          </w:tcPr>
          <w:p w14:paraId="452A382D">
            <w:pPr>
              <w:pStyle w:val="13"/>
            </w:pPr>
          </w:p>
        </w:tc>
        <w:tc>
          <w:tcPr>
            <w:tcW w:w="1474" w:type="dxa"/>
            <w:vAlign w:val="center"/>
          </w:tcPr>
          <w:p w14:paraId="0EC2F8C8">
            <w:pPr>
              <w:pStyle w:val="14"/>
            </w:pPr>
          </w:p>
        </w:tc>
        <w:tc>
          <w:tcPr>
            <w:tcW w:w="3402" w:type="dxa"/>
            <w:vAlign w:val="center"/>
          </w:tcPr>
          <w:p w14:paraId="6C33DF47">
            <w:pPr>
              <w:pStyle w:val="13"/>
            </w:pPr>
            <w:r>
              <w:t>二十三、灾害防治及应急管理支出</w:t>
            </w:r>
          </w:p>
        </w:tc>
        <w:tc>
          <w:tcPr>
            <w:tcW w:w="1474" w:type="dxa"/>
            <w:vAlign w:val="center"/>
          </w:tcPr>
          <w:p w14:paraId="1F61E7B4">
            <w:pPr>
              <w:pStyle w:val="14"/>
            </w:pPr>
          </w:p>
        </w:tc>
        <w:tc>
          <w:tcPr>
            <w:tcW w:w="1474" w:type="dxa"/>
            <w:vAlign w:val="center"/>
          </w:tcPr>
          <w:p w14:paraId="2AA99394">
            <w:pPr>
              <w:pStyle w:val="14"/>
            </w:pPr>
          </w:p>
        </w:tc>
        <w:tc>
          <w:tcPr>
            <w:tcW w:w="1474" w:type="dxa"/>
            <w:vAlign w:val="center"/>
          </w:tcPr>
          <w:p w14:paraId="03ABFF25">
            <w:pPr>
              <w:pStyle w:val="14"/>
            </w:pPr>
          </w:p>
        </w:tc>
        <w:tc>
          <w:tcPr>
            <w:tcW w:w="1474" w:type="dxa"/>
            <w:vAlign w:val="center"/>
          </w:tcPr>
          <w:p w14:paraId="190E305D">
            <w:pPr>
              <w:pStyle w:val="14"/>
            </w:pPr>
          </w:p>
        </w:tc>
      </w:tr>
      <w:tr w14:paraId="75D4F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A19A7">
            <w:pPr>
              <w:pStyle w:val="12"/>
            </w:pPr>
            <w:r>
              <w:t>24</w:t>
            </w:r>
          </w:p>
        </w:tc>
        <w:tc>
          <w:tcPr>
            <w:tcW w:w="3402" w:type="dxa"/>
            <w:vAlign w:val="center"/>
          </w:tcPr>
          <w:p w14:paraId="2421B590">
            <w:pPr>
              <w:pStyle w:val="13"/>
            </w:pPr>
          </w:p>
        </w:tc>
        <w:tc>
          <w:tcPr>
            <w:tcW w:w="1474" w:type="dxa"/>
            <w:vAlign w:val="center"/>
          </w:tcPr>
          <w:p w14:paraId="11EEA4F4">
            <w:pPr>
              <w:pStyle w:val="14"/>
            </w:pPr>
          </w:p>
        </w:tc>
        <w:tc>
          <w:tcPr>
            <w:tcW w:w="3402" w:type="dxa"/>
            <w:vAlign w:val="center"/>
          </w:tcPr>
          <w:p w14:paraId="7C8145E8">
            <w:pPr>
              <w:pStyle w:val="13"/>
            </w:pPr>
            <w:r>
              <w:t>二十四、预备费</w:t>
            </w:r>
          </w:p>
        </w:tc>
        <w:tc>
          <w:tcPr>
            <w:tcW w:w="1474" w:type="dxa"/>
            <w:vAlign w:val="center"/>
          </w:tcPr>
          <w:p w14:paraId="752FF362">
            <w:pPr>
              <w:pStyle w:val="14"/>
            </w:pPr>
          </w:p>
        </w:tc>
        <w:tc>
          <w:tcPr>
            <w:tcW w:w="1474" w:type="dxa"/>
            <w:vAlign w:val="center"/>
          </w:tcPr>
          <w:p w14:paraId="503BBA6F">
            <w:pPr>
              <w:pStyle w:val="14"/>
            </w:pPr>
          </w:p>
        </w:tc>
        <w:tc>
          <w:tcPr>
            <w:tcW w:w="1474" w:type="dxa"/>
            <w:vAlign w:val="center"/>
          </w:tcPr>
          <w:p w14:paraId="35B22B98">
            <w:pPr>
              <w:pStyle w:val="14"/>
            </w:pPr>
          </w:p>
        </w:tc>
        <w:tc>
          <w:tcPr>
            <w:tcW w:w="1474" w:type="dxa"/>
            <w:vAlign w:val="center"/>
          </w:tcPr>
          <w:p w14:paraId="2613260C">
            <w:pPr>
              <w:pStyle w:val="14"/>
            </w:pPr>
          </w:p>
        </w:tc>
      </w:tr>
      <w:tr w14:paraId="6CC4A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04988">
            <w:pPr>
              <w:pStyle w:val="12"/>
            </w:pPr>
            <w:r>
              <w:t>25</w:t>
            </w:r>
          </w:p>
        </w:tc>
        <w:tc>
          <w:tcPr>
            <w:tcW w:w="3402" w:type="dxa"/>
            <w:vAlign w:val="center"/>
          </w:tcPr>
          <w:p w14:paraId="5E535C5F">
            <w:pPr>
              <w:pStyle w:val="13"/>
            </w:pPr>
          </w:p>
        </w:tc>
        <w:tc>
          <w:tcPr>
            <w:tcW w:w="1474" w:type="dxa"/>
            <w:vAlign w:val="center"/>
          </w:tcPr>
          <w:p w14:paraId="314B9450">
            <w:pPr>
              <w:pStyle w:val="14"/>
            </w:pPr>
          </w:p>
        </w:tc>
        <w:tc>
          <w:tcPr>
            <w:tcW w:w="3402" w:type="dxa"/>
            <w:vAlign w:val="center"/>
          </w:tcPr>
          <w:p w14:paraId="56378FDB">
            <w:pPr>
              <w:pStyle w:val="13"/>
            </w:pPr>
            <w:r>
              <w:t>二十五、其他支出</w:t>
            </w:r>
          </w:p>
        </w:tc>
        <w:tc>
          <w:tcPr>
            <w:tcW w:w="1474" w:type="dxa"/>
            <w:vAlign w:val="center"/>
          </w:tcPr>
          <w:p w14:paraId="3B12E405">
            <w:pPr>
              <w:pStyle w:val="14"/>
            </w:pPr>
          </w:p>
        </w:tc>
        <w:tc>
          <w:tcPr>
            <w:tcW w:w="1474" w:type="dxa"/>
            <w:vAlign w:val="center"/>
          </w:tcPr>
          <w:p w14:paraId="4C2735C2">
            <w:pPr>
              <w:pStyle w:val="14"/>
            </w:pPr>
          </w:p>
        </w:tc>
        <w:tc>
          <w:tcPr>
            <w:tcW w:w="1474" w:type="dxa"/>
            <w:vAlign w:val="center"/>
          </w:tcPr>
          <w:p w14:paraId="0C1D4DA8">
            <w:pPr>
              <w:pStyle w:val="14"/>
            </w:pPr>
          </w:p>
        </w:tc>
        <w:tc>
          <w:tcPr>
            <w:tcW w:w="1474" w:type="dxa"/>
            <w:vAlign w:val="center"/>
          </w:tcPr>
          <w:p w14:paraId="6D2AD842">
            <w:pPr>
              <w:pStyle w:val="14"/>
            </w:pPr>
          </w:p>
        </w:tc>
      </w:tr>
      <w:tr w14:paraId="442D9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2984B">
            <w:pPr>
              <w:pStyle w:val="12"/>
            </w:pPr>
            <w:r>
              <w:t>26</w:t>
            </w:r>
          </w:p>
        </w:tc>
        <w:tc>
          <w:tcPr>
            <w:tcW w:w="3402" w:type="dxa"/>
            <w:vAlign w:val="center"/>
          </w:tcPr>
          <w:p w14:paraId="04EFC6C1">
            <w:pPr>
              <w:pStyle w:val="13"/>
            </w:pPr>
          </w:p>
        </w:tc>
        <w:tc>
          <w:tcPr>
            <w:tcW w:w="1474" w:type="dxa"/>
            <w:vAlign w:val="center"/>
          </w:tcPr>
          <w:p w14:paraId="34503335">
            <w:pPr>
              <w:pStyle w:val="14"/>
            </w:pPr>
          </w:p>
        </w:tc>
        <w:tc>
          <w:tcPr>
            <w:tcW w:w="3402" w:type="dxa"/>
            <w:vAlign w:val="center"/>
          </w:tcPr>
          <w:p w14:paraId="3AE99121">
            <w:pPr>
              <w:pStyle w:val="13"/>
            </w:pPr>
            <w:r>
              <w:t>二十六、转移性支出</w:t>
            </w:r>
          </w:p>
        </w:tc>
        <w:tc>
          <w:tcPr>
            <w:tcW w:w="1474" w:type="dxa"/>
            <w:vAlign w:val="center"/>
          </w:tcPr>
          <w:p w14:paraId="5CC5FB8D">
            <w:pPr>
              <w:pStyle w:val="14"/>
            </w:pPr>
          </w:p>
        </w:tc>
        <w:tc>
          <w:tcPr>
            <w:tcW w:w="1474" w:type="dxa"/>
            <w:vAlign w:val="center"/>
          </w:tcPr>
          <w:p w14:paraId="1AFF308A">
            <w:pPr>
              <w:pStyle w:val="14"/>
            </w:pPr>
          </w:p>
        </w:tc>
        <w:tc>
          <w:tcPr>
            <w:tcW w:w="1474" w:type="dxa"/>
            <w:vAlign w:val="center"/>
          </w:tcPr>
          <w:p w14:paraId="5C910FDE">
            <w:pPr>
              <w:pStyle w:val="14"/>
            </w:pPr>
          </w:p>
        </w:tc>
        <w:tc>
          <w:tcPr>
            <w:tcW w:w="1474" w:type="dxa"/>
            <w:vAlign w:val="center"/>
          </w:tcPr>
          <w:p w14:paraId="06B00382">
            <w:pPr>
              <w:pStyle w:val="14"/>
            </w:pPr>
          </w:p>
        </w:tc>
      </w:tr>
      <w:tr w14:paraId="100F8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53EE0">
            <w:pPr>
              <w:pStyle w:val="12"/>
            </w:pPr>
            <w:r>
              <w:t>27</w:t>
            </w:r>
          </w:p>
        </w:tc>
        <w:tc>
          <w:tcPr>
            <w:tcW w:w="3402" w:type="dxa"/>
            <w:vAlign w:val="center"/>
          </w:tcPr>
          <w:p w14:paraId="3790D2BC">
            <w:pPr>
              <w:pStyle w:val="13"/>
            </w:pPr>
          </w:p>
        </w:tc>
        <w:tc>
          <w:tcPr>
            <w:tcW w:w="1474" w:type="dxa"/>
            <w:vAlign w:val="center"/>
          </w:tcPr>
          <w:p w14:paraId="677182A8">
            <w:pPr>
              <w:pStyle w:val="14"/>
            </w:pPr>
          </w:p>
        </w:tc>
        <w:tc>
          <w:tcPr>
            <w:tcW w:w="3402" w:type="dxa"/>
            <w:vAlign w:val="center"/>
          </w:tcPr>
          <w:p w14:paraId="496D0E73">
            <w:pPr>
              <w:pStyle w:val="13"/>
            </w:pPr>
            <w:r>
              <w:t>二十七、债务还本支出</w:t>
            </w:r>
          </w:p>
        </w:tc>
        <w:tc>
          <w:tcPr>
            <w:tcW w:w="1474" w:type="dxa"/>
            <w:vAlign w:val="center"/>
          </w:tcPr>
          <w:p w14:paraId="3534A703">
            <w:pPr>
              <w:pStyle w:val="14"/>
            </w:pPr>
          </w:p>
        </w:tc>
        <w:tc>
          <w:tcPr>
            <w:tcW w:w="1474" w:type="dxa"/>
            <w:vAlign w:val="center"/>
          </w:tcPr>
          <w:p w14:paraId="03C10A14">
            <w:pPr>
              <w:pStyle w:val="14"/>
            </w:pPr>
          </w:p>
        </w:tc>
        <w:tc>
          <w:tcPr>
            <w:tcW w:w="1474" w:type="dxa"/>
            <w:vAlign w:val="center"/>
          </w:tcPr>
          <w:p w14:paraId="5FF8003A">
            <w:pPr>
              <w:pStyle w:val="14"/>
            </w:pPr>
          </w:p>
        </w:tc>
        <w:tc>
          <w:tcPr>
            <w:tcW w:w="1474" w:type="dxa"/>
            <w:vAlign w:val="center"/>
          </w:tcPr>
          <w:p w14:paraId="73A308DB">
            <w:pPr>
              <w:pStyle w:val="14"/>
            </w:pPr>
          </w:p>
        </w:tc>
      </w:tr>
      <w:tr w14:paraId="3D916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7F18C">
            <w:pPr>
              <w:pStyle w:val="12"/>
            </w:pPr>
            <w:r>
              <w:t>28</w:t>
            </w:r>
          </w:p>
        </w:tc>
        <w:tc>
          <w:tcPr>
            <w:tcW w:w="3402" w:type="dxa"/>
            <w:vAlign w:val="center"/>
          </w:tcPr>
          <w:p w14:paraId="1AE06F41">
            <w:pPr>
              <w:pStyle w:val="13"/>
            </w:pPr>
          </w:p>
        </w:tc>
        <w:tc>
          <w:tcPr>
            <w:tcW w:w="1474" w:type="dxa"/>
            <w:vAlign w:val="center"/>
          </w:tcPr>
          <w:p w14:paraId="79371617">
            <w:pPr>
              <w:pStyle w:val="14"/>
            </w:pPr>
          </w:p>
        </w:tc>
        <w:tc>
          <w:tcPr>
            <w:tcW w:w="3402" w:type="dxa"/>
            <w:vAlign w:val="center"/>
          </w:tcPr>
          <w:p w14:paraId="5AE0C5EB">
            <w:pPr>
              <w:pStyle w:val="13"/>
            </w:pPr>
            <w:r>
              <w:t>二十八、债务付息支出</w:t>
            </w:r>
          </w:p>
        </w:tc>
        <w:tc>
          <w:tcPr>
            <w:tcW w:w="1474" w:type="dxa"/>
            <w:vAlign w:val="center"/>
          </w:tcPr>
          <w:p w14:paraId="30A61194">
            <w:pPr>
              <w:pStyle w:val="14"/>
            </w:pPr>
          </w:p>
        </w:tc>
        <w:tc>
          <w:tcPr>
            <w:tcW w:w="1474" w:type="dxa"/>
            <w:vAlign w:val="center"/>
          </w:tcPr>
          <w:p w14:paraId="12869969">
            <w:pPr>
              <w:pStyle w:val="14"/>
            </w:pPr>
          </w:p>
        </w:tc>
        <w:tc>
          <w:tcPr>
            <w:tcW w:w="1474" w:type="dxa"/>
            <w:vAlign w:val="center"/>
          </w:tcPr>
          <w:p w14:paraId="552FC41B">
            <w:pPr>
              <w:pStyle w:val="14"/>
            </w:pPr>
          </w:p>
        </w:tc>
        <w:tc>
          <w:tcPr>
            <w:tcW w:w="1474" w:type="dxa"/>
            <w:vAlign w:val="center"/>
          </w:tcPr>
          <w:p w14:paraId="35B4C395">
            <w:pPr>
              <w:pStyle w:val="14"/>
            </w:pPr>
          </w:p>
        </w:tc>
      </w:tr>
      <w:tr w14:paraId="1B100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0B6D1">
            <w:pPr>
              <w:pStyle w:val="12"/>
            </w:pPr>
            <w:r>
              <w:t>29</w:t>
            </w:r>
          </w:p>
        </w:tc>
        <w:tc>
          <w:tcPr>
            <w:tcW w:w="3402" w:type="dxa"/>
            <w:vAlign w:val="center"/>
          </w:tcPr>
          <w:p w14:paraId="67C860DC">
            <w:pPr>
              <w:pStyle w:val="13"/>
            </w:pPr>
          </w:p>
        </w:tc>
        <w:tc>
          <w:tcPr>
            <w:tcW w:w="1474" w:type="dxa"/>
            <w:vAlign w:val="center"/>
          </w:tcPr>
          <w:p w14:paraId="5ABE8DBD">
            <w:pPr>
              <w:pStyle w:val="14"/>
            </w:pPr>
          </w:p>
        </w:tc>
        <w:tc>
          <w:tcPr>
            <w:tcW w:w="3402" w:type="dxa"/>
            <w:vAlign w:val="center"/>
          </w:tcPr>
          <w:p w14:paraId="06A7718F">
            <w:pPr>
              <w:pStyle w:val="13"/>
            </w:pPr>
            <w:r>
              <w:t>二十九、债务发行费用支出</w:t>
            </w:r>
          </w:p>
        </w:tc>
        <w:tc>
          <w:tcPr>
            <w:tcW w:w="1474" w:type="dxa"/>
            <w:vAlign w:val="center"/>
          </w:tcPr>
          <w:p w14:paraId="607F810F">
            <w:pPr>
              <w:pStyle w:val="14"/>
            </w:pPr>
          </w:p>
        </w:tc>
        <w:tc>
          <w:tcPr>
            <w:tcW w:w="1474" w:type="dxa"/>
            <w:vAlign w:val="center"/>
          </w:tcPr>
          <w:p w14:paraId="226831F3">
            <w:pPr>
              <w:pStyle w:val="14"/>
            </w:pPr>
          </w:p>
        </w:tc>
        <w:tc>
          <w:tcPr>
            <w:tcW w:w="1474" w:type="dxa"/>
            <w:vAlign w:val="center"/>
          </w:tcPr>
          <w:p w14:paraId="055BAC4F">
            <w:pPr>
              <w:pStyle w:val="14"/>
            </w:pPr>
          </w:p>
        </w:tc>
        <w:tc>
          <w:tcPr>
            <w:tcW w:w="1474" w:type="dxa"/>
            <w:vAlign w:val="center"/>
          </w:tcPr>
          <w:p w14:paraId="14CAD936">
            <w:pPr>
              <w:pStyle w:val="14"/>
            </w:pPr>
          </w:p>
        </w:tc>
      </w:tr>
      <w:tr w14:paraId="03290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954E0">
            <w:pPr>
              <w:pStyle w:val="12"/>
            </w:pPr>
            <w:r>
              <w:t>30</w:t>
            </w:r>
          </w:p>
        </w:tc>
        <w:tc>
          <w:tcPr>
            <w:tcW w:w="3402" w:type="dxa"/>
            <w:vAlign w:val="center"/>
          </w:tcPr>
          <w:p w14:paraId="2298D63D">
            <w:pPr>
              <w:pStyle w:val="13"/>
            </w:pPr>
          </w:p>
        </w:tc>
        <w:tc>
          <w:tcPr>
            <w:tcW w:w="1474" w:type="dxa"/>
            <w:vAlign w:val="center"/>
          </w:tcPr>
          <w:p w14:paraId="367ACE05">
            <w:pPr>
              <w:pStyle w:val="14"/>
            </w:pPr>
          </w:p>
        </w:tc>
        <w:tc>
          <w:tcPr>
            <w:tcW w:w="3402" w:type="dxa"/>
            <w:vAlign w:val="center"/>
          </w:tcPr>
          <w:p w14:paraId="158CBF7F">
            <w:pPr>
              <w:pStyle w:val="13"/>
            </w:pPr>
            <w:r>
              <w:t>三十、抗疫特别国债安排的支出</w:t>
            </w:r>
          </w:p>
        </w:tc>
        <w:tc>
          <w:tcPr>
            <w:tcW w:w="1474" w:type="dxa"/>
            <w:vAlign w:val="center"/>
          </w:tcPr>
          <w:p w14:paraId="0E98596D">
            <w:pPr>
              <w:pStyle w:val="14"/>
            </w:pPr>
          </w:p>
        </w:tc>
        <w:tc>
          <w:tcPr>
            <w:tcW w:w="1474" w:type="dxa"/>
            <w:vAlign w:val="center"/>
          </w:tcPr>
          <w:p w14:paraId="33476FBA">
            <w:pPr>
              <w:pStyle w:val="14"/>
            </w:pPr>
          </w:p>
        </w:tc>
        <w:tc>
          <w:tcPr>
            <w:tcW w:w="1474" w:type="dxa"/>
            <w:vAlign w:val="center"/>
          </w:tcPr>
          <w:p w14:paraId="1533CDD3">
            <w:pPr>
              <w:pStyle w:val="14"/>
            </w:pPr>
          </w:p>
        </w:tc>
        <w:tc>
          <w:tcPr>
            <w:tcW w:w="1474" w:type="dxa"/>
            <w:vAlign w:val="center"/>
          </w:tcPr>
          <w:p w14:paraId="1EB96F48">
            <w:pPr>
              <w:pStyle w:val="14"/>
            </w:pPr>
          </w:p>
        </w:tc>
      </w:tr>
      <w:tr w14:paraId="38E34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6BDDA">
            <w:pPr>
              <w:pStyle w:val="12"/>
            </w:pPr>
            <w:r>
              <w:t>31</w:t>
            </w:r>
          </w:p>
        </w:tc>
        <w:tc>
          <w:tcPr>
            <w:tcW w:w="3402" w:type="dxa"/>
            <w:vAlign w:val="center"/>
          </w:tcPr>
          <w:p w14:paraId="74CE02E2">
            <w:pPr>
              <w:pStyle w:val="13"/>
            </w:pPr>
          </w:p>
        </w:tc>
        <w:tc>
          <w:tcPr>
            <w:tcW w:w="1474" w:type="dxa"/>
            <w:vAlign w:val="center"/>
          </w:tcPr>
          <w:p w14:paraId="3B273861">
            <w:pPr>
              <w:pStyle w:val="14"/>
            </w:pPr>
          </w:p>
        </w:tc>
        <w:tc>
          <w:tcPr>
            <w:tcW w:w="3402" w:type="dxa"/>
            <w:vAlign w:val="center"/>
          </w:tcPr>
          <w:p w14:paraId="796B18DA">
            <w:pPr>
              <w:pStyle w:val="13"/>
            </w:pPr>
            <w:r>
              <w:t>三十一、人行科目</w:t>
            </w:r>
          </w:p>
        </w:tc>
        <w:tc>
          <w:tcPr>
            <w:tcW w:w="1474" w:type="dxa"/>
            <w:vAlign w:val="center"/>
          </w:tcPr>
          <w:p w14:paraId="29C6EEF7">
            <w:pPr>
              <w:pStyle w:val="14"/>
            </w:pPr>
          </w:p>
        </w:tc>
        <w:tc>
          <w:tcPr>
            <w:tcW w:w="1474" w:type="dxa"/>
            <w:vAlign w:val="center"/>
          </w:tcPr>
          <w:p w14:paraId="4E80D9D2">
            <w:pPr>
              <w:pStyle w:val="14"/>
            </w:pPr>
          </w:p>
        </w:tc>
        <w:tc>
          <w:tcPr>
            <w:tcW w:w="1474" w:type="dxa"/>
            <w:vAlign w:val="center"/>
          </w:tcPr>
          <w:p w14:paraId="3BD363E9">
            <w:pPr>
              <w:pStyle w:val="14"/>
            </w:pPr>
          </w:p>
        </w:tc>
        <w:tc>
          <w:tcPr>
            <w:tcW w:w="1474" w:type="dxa"/>
            <w:vAlign w:val="center"/>
          </w:tcPr>
          <w:p w14:paraId="6B3A6BF4">
            <w:pPr>
              <w:pStyle w:val="14"/>
            </w:pPr>
          </w:p>
        </w:tc>
      </w:tr>
      <w:tr w14:paraId="33E07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1F41E">
            <w:pPr>
              <w:pStyle w:val="12"/>
            </w:pPr>
            <w:r>
              <w:t>32</w:t>
            </w:r>
          </w:p>
        </w:tc>
        <w:tc>
          <w:tcPr>
            <w:tcW w:w="3402" w:type="dxa"/>
            <w:vAlign w:val="center"/>
          </w:tcPr>
          <w:p w14:paraId="347B1986">
            <w:pPr>
              <w:pStyle w:val="15"/>
            </w:pPr>
            <w:r>
              <w:t>本年收入合计</w:t>
            </w:r>
          </w:p>
        </w:tc>
        <w:tc>
          <w:tcPr>
            <w:tcW w:w="1474" w:type="dxa"/>
            <w:vAlign w:val="center"/>
          </w:tcPr>
          <w:p w14:paraId="69310393">
            <w:pPr>
              <w:pStyle w:val="16"/>
            </w:pPr>
            <w:r>
              <w:t>2032.12</w:t>
            </w:r>
          </w:p>
        </w:tc>
        <w:tc>
          <w:tcPr>
            <w:tcW w:w="3402" w:type="dxa"/>
            <w:vAlign w:val="center"/>
          </w:tcPr>
          <w:p w14:paraId="1AB94A5E">
            <w:pPr>
              <w:pStyle w:val="15"/>
            </w:pPr>
            <w:r>
              <w:t>本年支出合计</w:t>
            </w:r>
          </w:p>
        </w:tc>
        <w:tc>
          <w:tcPr>
            <w:tcW w:w="1474" w:type="dxa"/>
            <w:vAlign w:val="center"/>
          </w:tcPr>
          <w:p w14:paraId="786D32D2">
            <w:pPr>
              <w:pStyle w:val="16"/>
            </w:pPr>
            <w:r>
              <w:t>2189.41</w:t>
            </w:r>
          </w:p>
        </w:tc>
        <w:tc>
          <w:tcPr>
            <w:tcW w:w="1474" w:type="dxa"/>
            <w:vAlign w:val="center"/>
          </w:tcPr>
          <w:p w14:paraId="2AF5C307">
            <w:pPr>
              <w:pStyle w:val="16"/>
            </w:pPr>
            <w:r>
              <w:t>2189.41</w:t>
            </w:r>
          </w:p>
        </w:tc>
        <w:tc>
          <w:tcPr>
            <w:tcW w:w="1474" w:type="dxa"/>
            <w:vAlign w:val="center"/>
          </w:tcPr>
          <w:p w14:paraId="6C05A0A9">
            <w:pPr>
              <w:pStyle w:val="16"/>
            </w:pPr>
          </w:p>
        </w:tc>
        <w:tc>
          <w:tcPr>
            <w:tcW w:w="1474" w:type="dxa"/>
            <w:vAlign w:val="center"/>
          </w:tcPr>
          <w:p w14:paraId="1CBD7B1C">
            <w:pPr>
              <w:pStyle w:val="16"/>
            </w:pPr>
          </w:p>
        </w:tc>
      </w:tr>
      <w:tr w14:paraId="4EFD6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F16CD">
            <w:pPr>
              <w:pStyle w:val="12"/>
            </w:pPr>
            <w:r>
              <w:t>33</w:t>
            </w:r>
          </w:p>
        </w:tc>
        <w:tc>
          <w:tcPr>
            <w:tcW w:w="3402" w:type="dxa"/>
            <w:vAlign w:val="center"/>
          </w:tcPr>
          <w:p w14:paraId="2FCFC567">
            <w:pPr>
              <w:pStyle w:val="13"/>
            </w:pPr>
            <w:r>
              <w:t>年初财政拨款结转和结余</w:t>
            </w:r>
          </w:p>
        </w:tc>
        <w:tc>
          <w:tcPr>
            <w:tcW w:w="1474" w:type="dxa"/>
            <w:vAlign w:val="center"/>
          </w:tcPr>
          <w:p w14:paraId="4595A559">
            <w:pPr>
              <w:pStyle w:val="14"/>
            </w:pPr>
            <w:r>
              <w:t>157.29</w:t>
            </w:r>
          </w:p>
        </w:tc>
        <w:tc>
          <w:tcPr>
            <w:tcW w:w="3402" w:type="dxa"/>
            <w:vAlign w:val="center"/>
          </w:tcPr>
          <w:p w14:paraId="110377A7">
            <w:pPr>
              <w:pStyle w:val="13"/>
            </w:pPr>
            <w:r>
              <w:t>年末财政拨款结转和结余</w:t>
            </w:r>
          </w:p>
        </w:tc>
        <w:tc>
          <w:tcPr>
            <w:tcW w:w="1474" w:type="dxa"/>
            <w:vAlign w:val="center"/>
          </w:tcPr>
          <w:p w14:paraId="1A2FA7BA">
            <w:pPr>
              <w:pStyle w:val="14"/>
            </w:pPr>
          </w:p>
        </w:tc>
        <w:tc>
          <w:tcPr>
            <w:tcW w:w="1474" w:type="dxa"/>
            <w:vAlign w:val="center"/>
          </w:tcPr>
          <w:p w14:paraId="00716E43">
            <w:pPr>
              <w:pStyle w:val="14"/>
            </w:pPr>
          </w:p>
        </w:tc>
        <w:tc>
          <w:tcPr>
            <w:tcW w:w="1474" w:type="dxa"/>
            <w:vAlign w:val="center"/>
          </w:tcPr>
          <w:p w14:paraId="1282C78D">
            <w:pPr>
              <w:pStyle w:val="14"/>
            </w:pPr>
          </w:p>
        </w:tc>
        <w:tc>
          <w:tcPr>
            <w:tcW w:w="1474" w:type="dxa"/>
            <w:vAlign w:val="center"/>
          </w:tcPr>
          <w:p w14:paraId="77305965">
            <w:pPr>
              <w:pStyle w:val="14"/>
            </w:pPr>
          </w:p>
        </w:tc>
      </w:tr>
      <w:tr w14:paraId="4F436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70F83">
            <w:pPr>
              <w:pStyle w:val="12"/>
            </w:pPr>
            <w:r>
              <w:t>34</w:t>
            </w:r>
          </w:p>
        </w:tc>
        <w:tc>
          <w:tcPr>
            <w:tcW w:w="3402" w:type="dxa"/>
            <w:vAlign w:val="center"/>
          </w:tcPr>
          <w:p w14:paraId="11CB87F1">
            <w:pPr>
              <w:pStyle w:val="13"/>
            </w:pPr>
            <w:r>
              <w:t>一、一般公共预算拨款</w:t>
            </w:r>
          </w:p>
        </w:tc>
        <w:tc>
          <w:tcPr>
            <w:tcW w:w="1474" w:type="dxa"/>
            <w:vAlign w:val="center"/>
          </w:tcPr>
          <w:p w14:paraId="7CB45FF4">
            <w:pPr>
              <w:pStyle w:val="14"/>
            </w:pPr>
            <w:r>
              <w:t>157.29</w:t>
            </w:r>
          </w:p>
        </w:tc>
        <w:tc>
          <w:tcPr>
            <w:tcW w:w="3402" w:type="dxa"/>
            <w:vAlign w:val="center"/>
          </w:tcPr>
          <w:p w14:paraId="32E320BA">
            <w:pPr>
              <w:pStyle w:val="13"/>
            </w:pPr>
          </w:p>
        </w:tc>
        <w:tc>
          <w:tcPr>
            <w:tcW w:w="1474" w:type="dxa"/>
            <w:vAlign w:val="center"/>
          </w:tcPr>
          <w:p w14:paraId="1110A417">
            <w:pPr>
              <w:pStyle w:val="14"/>
            </w:pPr>
          </w:p>
        </w:tc>
        <w:tc>
          <w:tcPr>
            <w:tcW w:w="1474" w:type="dxa"/>
            <w:vAlign w:val="center"/>
          </w:tcPr>
          <w:p w14:paraId="47105D79">
            <w:pPr>
              <w:pStyle w:val="14"/>
            </w:pPr>
          </w:p>
        </w:tc>
        <w:tc>
          <w:tcPr>
            <w:tcW w:w="1474" w:type="dxa"/>
            <w:vAlign w:val="center"/>
          </w:tcPr>
          <w:p w14:paraId="483A9947">
            <w:pPr>
              <w:pStyle w:val="14"/>
            </w:pPr>
          </w:p>
        </w:tc>
        <w:tc>
          <w:tcPr>
            <w:tcW w:w="1474" w:type="dxa"/>
            <w:vAlign w:val="center"/>
          </w:tcPr>
          <w:p w14:paraId="65B79154">
            <w:pPr>
              <w:pStyle w:val="14"/>
            </w:pPr>
          </w:p>
        </w:tc>
      </w:tr>
      <w:tr w14:paraId="38106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B99A4">
            <w:pPr>
              <w:pStyle w:val="12"/>
            </w:pPr>
            <w:r>
              <w:t>35</w:t>
            </w:r>
          </w:p>
        </w:tc>
        <w:tc>
          <w:tcPr>
            <w:tcW w:w="3402" w:type="dxa"/>
            <w:vAlign w:val="center"/>
          </w:tcPr>
          <w:p w14:paraId="0C45E190">
            <w:pPr>
              <w:pStyle w:val="13"/>
            </w:pPr>
            <w:r>
              <w:t>二、政府性基金预算拨款</w:t>
            </w:r>
          </w:p>
        </w:tc>
        <w:tc>
          <w:tcPr>
            <w:tcW w:w="1474" w:type="dxa"/>
            <w:vAlign w:val="center"/>
          </w:tcPr>
          <w:p w14:paraId="2A064268">
            <w:pPr>
              <w:pStyle w:val="14"/>
            </w:pPr>
          </w:p>
        </w:tc>
        <w:tc>
          <w:tcPr>
            <w:tcW w:w="3402" w:type="dxa"/>
            <w:vAlign w:val="center"/>
          </w:tcPr>
          <w:p w14:paraId="5174766B">
            <w:pPr>
              <w:pStyle w:val="13"/>
            </w:pPr>
          </w:p>
        </w:tc>
        <w:tc>
          <w:tcPr>
            <w:tcW w:w="1474" w:type="dxa"/>
            <w:vAlign w:val="center"/>
          </w:tcPr>
          <w:p w14:paraId="6896FE1E">
            <w:pPr>
              <w:pStyle w:val="14"/>
            </w:pPr>
          </w:p>
        </w:tc>
        <w:tc>
          <w:tcPr>
            <w:tcW w:w="1474" w:type="dxa"/>
            <w:vAlign w:val="center"/>
          </w:tcPr>
          <w:p w14:paraId="343E6CC0">
            <w:pPr>
              <w:pStyle w:val="14"/>
            </w:pPr>
          </w:p>
        </w:tc>
        <w:tc>
          <w:tcPr>
            <w:tcW w:w="1474" w:type="dxa"/>
            <w:vAlign w:val="center"/>
          </w:tcPr>
          <w:p w14:paraId="4FEC15E8">
            <w:pPr>
              <w:pStyle w:val="14"/>
            </w:pPr>
          </w:p>
        </w:tc>
        <w:tc>
          <w:tcPr>
            <w:tcW w:w="1474" w:type="dxa"/>
            <w:vAlign w:val="center"/>
          </w:tcPr>
          <w:p w14:paraId="53A7A7BC">
            <w:pPr>
              <w:pStyle w:val="14"/>
            </w:pPr>
          </w:p>
        </w:tc>
      </w:tr>
      <w:tr w14:paraId="40A12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788A4">
            <w:pPr>
              <w:pStyle w:val="12"/>
            </w:pPr>
            <w:r>
              <w:t>36</w:t>
            </w:r>
          </w:p>
        </w:tc>
        <w:tc>
          <w:tcPr>
            <w:tcW w:w="3402" w:type="dxa"/>
            <w:vAlign w:val="center"/>
          </w:tcPr>
          <w:p w14:paraId="71EECED1">
            <w:pPr>
              <w:pStyle w:val="13"/>
            </w:pPr>
            <w:r>
              <w:t>三、国有资本经营预算拨款</w:t>
            </w:r>
          </w:p>
        </w:tc>
        <w:tc>
          <w:tcPr>
            <w:tcW w:w="1474" w:type="dxa"/>
            <w:vAlign w:val="center"/>
          </w:tcPr>
          <w:p w14:paraId="392AE673">
            <w:pPr>
              <w:pStyle w:val="14"/>
            </w:pPr>
          </w:p>
        </w:tc>
        <w:tc>
          <w:tcPr>
            <w:tcW w:w="3402" w:type="dxa"/>
            <w:vAlign w:val="center"/>
          </w:tcPr>
          <w:p w14:paraId="7791170E">
            <w:pPr>
              <w:pStyle w:val="13"/>
            </w:pPr>
          </w:p>
        </w:tc>
        <w:tc>
          <w:tcPr>
            <w:tcW w:w="1474" w:type="dxa"/>
            <w:vAlign w:val="center"/>
          </w:tcPr>
          <w:p w14:paraId="625C4E6D">
            <w:pPr>
              <w:pStyle w:val="14"/>
            </w:pPr>
          </w:p>
        </w:tc>
        <w:tc>
          <w:tcPr>
            <w:tcW w:w="1474" w:type="dxa"/>
            <w:vAlign w:val="center"/>
          </w:tcPr>
          <w:p w14:paraId="5C992AC3">
            <w:pPr>
              <w:pStyle w:val="14"/>
            </w:pPr>
          </w:p>
        </w:tc>
        <w:tc>
          <w:tcPr>
            <w:tcW w:w="1474" w:type="dxa"/>
            <w:vAlign w:val="center"/>
          </w:tcPr>
          <w:p w14:paraId="3959A03C">
            <w:pPr>
              <w:pStyle w:val="14"/>
            </w:pPr>
          </w:p>
        </w:tc>
        <w:tc>
          <w:tcPr>
            <w:tcW w:w="1474" w:type="dxa"/>
            <w:vAlign w:val="center"/>
          </w:tcPr>
          <w:p w14:paraId="75C75C06">
            <w:pPr>
              <w:pStyle w:val="14"/>
            </w:pPr>
          </w:p>
        </w:tc>
      </w:tr>
      <w:tr w14:paraId="693BF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9FE4E">
            <w:pPr>
              <w:pStyle w:val="12"/>
            </w:pPr>
            <w:r>
              <w:t>37</w:t>
            </w:r>
          </w:p>
        </w:tc>
        <w:tc>
          <w:tcPr>
            <w:tcW w:w="3402" w:type="dxa"/>
            <w:vAlign w:val="center"/>
          </w:tcPr>
          <w:p w14:paraId="51C4D8D5">
            <w:pPr>
              <w:pStyle w:val="15"/>
            </w:pPr>
            <w:r>
              <w:t>收入总计</w:t>
            </w:r>
          </w:p>
        </w:tc>
        <w:tc>
          <w:tcPr>
            <w:tcW w:w="1474" w:type="dxa"/>
            <w:vAlign w:val="center"/>
          </w:tcPr>
          <w:p w14:paraId="59163887">
            <w:pPr>
              <w:pStyle w:val="16"/>
            </w:pPr>
            <w:r>
              <w:t>2189.41</w:t>
            </w:r>
          </w:p>
        </w:tc>
        <w:tc>
          <w:tcPr>
            <w:tcW w:w="3402" w:type="dxa"/>
            <w:vAlign w:val="center"/>
          </w:tcPr>
          <w:p w14:paraId="48DABC3D">
            <w:pPr>
              <w:pStyle w:val="15"/>
            </w:pPr>
            <w:r>
              <w:t>支出总计</w:t>
            </w:r>
          </w:p>
        </w:tc>
        <w:tc>
          <w:tcPr>
            <w:tcW w:w="1474" w:type="dxa"/>
            <w:vAlign w:val="center"/>
          </w:tcPr>
          <w:p w14:paraId="5485DEDA">
            <w:pPr>
              <w:pStyle w:val="16"/>
            </w:pPr>
            <w:r>
              <w:t>2189.41</w:t>
            </w:r>
          </w:p>
        </w:tc>
        <w:tc>
          <w:tcPr>
            <w:tcW w:w="1474" w:type="dxa"/>
            <w:vAlign w:val="center"/>
          </w:tcPr>
          <w:p w14:paraId="00902398">
            <w:pPr>
              <w:pStyle w:val="16"/>
            </w:pPr>
            <w:r>
              <w:t>2189.41</w:t>
            </w:r>
          </w:p>
        </w:tc>
        <w:tc>
          <w:tcPr>
            <w:tcW w:w="1474" w:type="dxa"/>
            <w:vAlign w:val="center"/>
          </w:tcPr>
          <w:p w14:paraId="48B1ED7F">
            <w:pPr>
              <w:pStyle w:val="16"/>
            </w:pPr>
          </w:p>
        </w:tc>
        <w:tc>
          <w:tcPr>
            <w:tcW w:w="1474" w:type="dxa"/>
            <w:vAlign w:val="center"/>
          </w:tcPr>
          <w:p w14:paraId="03F7B292">
            <w:pPr>
              <w:pStyle w:val="16"/>
            </w:pPr>
          </w:p>
        </w:tc>
      </w:tr>
    </w:tbl>
    <w:p w14:paraId="2E918741">
      <w:pPr>
        <w:sectPr>
          <w:pgSz w:w="16840" w:h="11900" w:orient="landscape"/>
          <w:pgMar w:top="1361" w:right="1020" w:bottom="1134" w:left="1020" w:header="720" w:footer="720" w:gutter="0"/>
          <w:cols w:space="720" w:num="1"/>
        </w:sectPr>
      </w:pPr>
    </w:p>
    <w:p w14:paraId="4F574E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EEB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F350FA">
            <w:pPr>
              <w:pStyle w:val="8"/>
            </w:pPr>
            <w:r>
              <w:t>360024隆尧县大张家庄校区</w:t>
            </w:r>
          </w:p>
        </w:tc>
        <w:tc>
          <w:tcPr>
            <w:tcW w:w="2551" w:type="dxa"/>
            <w:tcBorders>
              <w:top w:val="single" w:color="FFFFFF" w:sz="6" w:space="0"/>
              <w:left w:val="single" w:color="FFFFFF" w:sz="6" w:space="0"/>
              <w:right w:val="single" w:color="FFFFFF" w:sz="6" w:space="0"/>
            </w:tcBorders>
            <w:vAlign w:val="center"/>
          </w:tcPr>
          <w:p w14:paraId="7676C44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D1D2505">
            <w:pPr>
              <w:pStyle w:val="10"/>
            </w:pPr>
            <w:r>
              <w:t>单位：万元</w:t>
            </w:r>
          </w:p>
        </w:tc>
      </w:tr>
      <w:tr w14:paraId="73265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4DA63">
            <w:pPr>
              <w:pStyle w:val="11"/>
            </w:pPr>
            <w:r>
              <w:t>序号</w:t>
            </w:r>
          </w:p>
        </w:tc>
        <w:tc>
          <w:tcPr>
            <w:tcW w:w="5726" w:type="dxa"/>
            <w:gridSpan w:val="2"/>
            <w:vAlign w:val="center"/>
          </w:tcPr>
          <w:p w14:paraId="12826084">
            <w:pPr>
              <w:pStyle w:val="11"/>
            </w:pPr>
            <w:r>
              <w:t>功能分类科目</w:t>
            </w:r>
          </w:p>
        </w:tc>
        <w:tc>
          <w:tcPr>
            <w:tcW w:w="2551" w:type="dxa"/>
            <w:vMerge w:val="restart"/>
            <w:vAlign w:val="center"/>
          </w:tcPr>
          <w:p w14:paraId="4E3B4643">
            <w:pPr>
              <w:pStyle w:val="11"/>
            </w:pPr>
            <w:r>
              <w:t>合计</w:t>
            </w:r>
          </w:p>
        </w:tc>
        <w:tc>
          <w:tcPr>
            <w:tcW w:w="2551" w:type="dxa"/>
            <w:vMerge w:val="restart"/>
            <w:vAlign w:val="center"/>
          </w:tcPr>
          <w:p w14:paraId="23B7301E">
            <w:pPr>
              <w:pStyle w:val="11"/>
            </w:pPr>
            <w:r>
              <w:t>基本支出</w:t>
            </w:r>
          </w:p>
        </w:tc>
        <w:tc>
          <w:tcPr>
            <w:tcW w:w="2551" w:type="dxa"/>
            <w:vMerge w:val="restart"/>
            <w:vAlign w:val="center"/>
          </w:tcPr>
          <w:p w14:paraId="3155BB03">
            <w:pPr>
              <w:pStyle w:val="11"/>
            </w:pPr>
            <w:r>
              <w:t>项目支出</w:t>
            </w:r>
          </w:p>
        </w:tc>
      </w:tr>
      <w:tr w14:paraId="29BD5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10D277"/>
        </w:tc>
        <w:tc>
          <w:tcPr>
            <w:tcW w:w="1191" w:type="dxa"/>
            <w:vAlign w:val="center"/>
          </w:tcPr>
          <w:p w14:paraId="6FCCF6E7">
            <w:pPr>
              <w:pStyle w:val="11"/>
            </w:pPr>
            <w:r>
              <w:t>科目编码</w:t>
            </w:r>
          </w:p>
        </w:tc>
        <w:tc>
          <w:tcPr>
            <w:tcW w:w="4535" w:type="dxa"/>
            <w:vAlign w:val="center"/>
          </w:tcPr>
          <w:p w14:paraId="170C0E62">
            <w:pPr>
              <w:pStyle w:val="11"/>
            </w:pPr>
            <w:r>
              <w:t>科目名称</w:t>
            </w:r>
          </w:p>
        </w:tc>
        <w:tc>
          <w:tcPr>
            <w:tcW w:w="2551" w:type="dxa"/>
            <w:vMerge w:val="continue"/>
          </w:tcPr>
          <w:p w14:paraId="481B25AA"/>
        </w:tc>
        <w:tc>
          <w:tcPr>
            <w:tcW w:w="2551" w:type="dxa"/>
            <w:vMerge w:val="continue"/>
          </w:tcPr>
          <w:p w14:paraId="1D6AB66F"/>
        </w:tc>
        <w:tc>
          <w:tcPr>
            <w:tcW w:w="2551" w:type="dxa"/>
            <w:vMerge w:val="continue"/>
          </w:tcPr>
          <w:p w14:paraId="790FB2FD"/>
        </w:tc>
      </w:tr>
      <w:tr w14:paraId="25BE3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BE39C3">
            <w:pPr>
              <w:pStyle w:val="11"/>
            </w:pPr>
            <w:r>
              <w:t>栏次</w:t>
            </w:r>
          </w:p>
        </w:tc>
        <w:tc>
          <w:tcPr>
            <w:tcW w:w="1191" w:type="dxa"/>
            <w:vAlign w:val="center"/>
          </w:tcPr>
          <w:p w14:paraId="72C72286">
            <w:pPr>
              <w:pStyle w:val="11"/>
            </w:pPr>
            <w:r>
              <w:t>1</w:t>
            </w:r>
          </w:p>
        </w:tc>
        <w:tc>
          <w:tcPr>
            <w:tcW w:w="4535" w:type="dxa"/>
            <w:vAlign w:val="center"/>
          </w:tcPr>
          <w:p w14:paraId="450E1CCC">
            <w:pPr>
              <w:pStyle w:val="11"/>
            </w:pPr>
            <w:r>
              <w:t>2</w:t>
            </w:r>
          </w:p>
        </w:tc>
        <w:tc>
          <w:tcPr>
            <w:tcW w:w="2551" w:type="dxa"/>
            <w:vAlign w:val="center"/>
          </w:tcPr>
          <w:p w14:paraId="398F60CC">
            <w:pPr>
              <w:pStyle w:val="11"/>
            </w:pPr>
            <w:r>
              <w:t>3</w:t>
            </w:r>
          </w:p>
        </w:tc>
        <w:tc>
          <w:tcPr>
            <w:tcW w:w="2551" w:type="dxa"/>
            <w:vAlign w:val="center"/>
          </w:tcPr>
          <w:p w14:paraId="3580AEAC">
            <w:pPr>
              <w:pStyle w:val="11"/>
            </w:pPr>
            <w:r>
              <w:t>4</w:t>
            </w:r>
          </w:p>
        </w:tc>
        <w:tc>
          <w:tcPr>
            <w:tcW w:w="2551" w:type="dxa"/>
            <w:vAlign w:val="center"/>
          </w:tcPr>
          <w:p w14:paraId="67C36E6D">
            <w:pPr>
              <w:pStyle w:val="11"/>
            </w:pPr>
            <w:r>
              <w:t>5</w:t>
            </w:r>
          </w:p>
        </w:tc>
      </w:tr>
      <w:tr w14:paraId="7E106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C4C5E">
            <w:pPr>
              <w:pStyle w:val="12"/>
            </w:pPr>
            <w:r>
              <w:t>1</w:t>
            </w:r>
          </w:p>
        </w:tc>
        <w:tc>
          <w:tcPr>
            <w:tcW w:w="1191" w:type="dxa"/>
            <w:vAlign w:val="center"/>
          </w:tcPr>
          <w:p w14:paraId="08634C00">
            <w:pPr>
              <w:pStyle w:val="17"/>
            </w:pPr>
          </w:p>
        </w:tc>
        <w:tc>
          <w:tcPr>
            <w:tcW w:w="4535" w:type="dxa"/>
            <w:vAlign w:val="center"/>
          </w:tcPr>
          <w:p w14:paraId="5F53100D">
            <w:pPr>
              <w:pStyle w:val="15"/>
            </w:pPr>
            <w:r>
              <w:t>合计</w:t>
            </w:r>
          </w:p>
        </w:tc>
        <w:tc>
          <w:tcPr>
            <w:tcW w:w="2551" w:type="dxa"/>
            <w:vAlign w:val="center"/>
          </w:tcPr>
          <w:p w14:paraId="40B95FFD">
            <w:pPr>
              <w:pStyle w:val="16"/>
            </w:pPr>
            <w:r>
              <w:t>2189.41</w:t>
            </w:r>
          </w:p>
        </w:tc>
        <w:tc>
          <w:tcPr>
            <w:tcW w:w="2551" w:type="dxa"/>
            <w:vAlign w:val="center"/>
          </w:tcPr>
          <w:p w14:paraId="7084E479">
            <w:pPr>
              <w:pStyle w:val="16"/>
            </w:pPr>
            <w:r>
              <w:t>1687.70</w:t>
            </w:r>
          </w:p>
        </w:tc>
        <w:tc>
          <w:tcPr>
            <w:tcW w:w="2551" w:type="dxa"/>
            <w:vAlign w:val="center"/>
          </w:tcPr>
          <w:p w14:paraId="4ED84EE3">
            <w:pPr>
              <w:pStyle w:val="16"/>
            </w:pPr>
            <w:r>
              <w:t>501.71</w:t>
            </w:r>
          </w:p>
        </w:tc>
      </w:tr>
      <w:tr w14:paraId="73E36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849AE">
            <w:pPr>
              <w:pStyle w:val="12"/>
            </w:pPr>
            <w:r>
              <w:t>2</w:t>
            </w:r>
          </w:p>
        </w:tc>
        <w:tc>
          <w:tcPr>
            <w:tcW w:w="1191" w:type="dxa"/>
            <w:vAlign w:val="center"/>
          </w:tcPr>
          <w:p w14:paraId="0CC6F648">
            <w:pPr>
              <w:pStyle w:val="13"/>
            </w:pPr>
            <w:r>
              <w:t>205</w:t>
            </w:r>
          </w:p>
        </w:tc>
        <w:tc>
          <w:tcPr>
            <w:tcW w:w="4535" w:type="dxa"/>
            <w:vAlign w:val="center"/>
          </w:tcPr>
          <w:p w14:paraId="635724E2">
            <w:pPr>
              <w:pStyle w:val="13"/>
            </w:pPr>
            <w:r>
              <w:t>教育支出</w:t>
            </w:r>
          </w:p>
        </w:tc>
        <w:tc>
          <w:tcPr>
            <w:tcW w:w="2551" w:type="dxa"/>
            <w:vAlign w:val="center"/>
          </w:tcPr>
          <w:p w14:paraId="6A25EEFE">
            <w:pPr>
              <w:pStyle w:val="14"/>
            </w:pPr>
            <w:r>
              <w:t>2189.41</w:t>
            </w:r>
          </w:p>
        </w:tc>
        <w:tc>
          <w:tcPr>
            <w:tcW w:w="2551" w:type="dxa"/>
            <w:vAlign w:val="center"/>
          </w:tcPr>
          <w:p w14:paraId="3775FC80">
            <w:pPr>
              <w:pStyle w:val="14"/>
            </w:pPr>
            <w:r>
              <w:t>1687.70</w:t>
            </w:r>
          </w:p>
        </w:tc>
        <w:tc>
          <w:tcPr>
            <w:tcW w:w="2551" w:type="dxa"/>
            <w:vAlign w:val="center"/>
          </w:tcPr>
          <w:p w14:paraId="423B7AD7">
            <w:pPr>
              <w:pStyle w:val="14"/>
            </w:pPr>
            <w:r>
              <w:t>501.71</w:t>
            </w:r>
          </w:p>
        </w:tc>
      </w:tr>
      <w:tr w14:paraId="24A9A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07C52">
            <w:pPr>
              <w:pStyle w:val="12"/>
            </w:pPr>
            <w:r>
              <w:t>3</w:t>
            </w:r>
          </w:p>
        </w:tc>
        <w:tc>
          <w:tcPr>
            <w:tcW w:w="1191" w:type="dxa"/>
            <w:vAlign w:val="center"/>
          </w:tcPr>
          <w:p w14:paraId="79C8D5CB">
            <w:pPr>
              <w:pStyle w:val="13"/>
            </w:pPr>
            <w:r>
              <w:t>20502</w:t>
            </w:r>
          </w:p>
        </w:tc>
        <w:tc>
          <w:tcPr>
            <w:tcW w:w="4535" w:type="dxa"/>
            <w:vAlign w:val="center"/>
          </w:tcPr>
          <w:p w14:paraId="1881F418">
            <w:pPr>
              <w:pStyle w:val="13"/>
            </w:pPr>
            <w:r>
              <w:t>普通教育</w:t>
            </w:r>
          </w:p>
        </w:tc>
        <w:tc>
          <w:tcPr>
            <w:tcW w:w="2551" w:type="dxa"/>
            <w:vAlign w:val="center"/>
          </w:tcPr>
          <w:p w14:paraId="5BAEEDD5">
            <w:pPr>
              <w:pStyle w:val="14"/>
            </w:pPr>
            <w:r>
              <w:t>2189.41</w:t>
            </w:r>
          </w:p>
        </w:tc>
        <w:tc>
          <w:tcPr>
            <w:tcW w:w="2551" w:type="dxa"/>
            <w:vAlign w:val="center"/>
          </w:tcPr>
          <w:p w14:paraId="7B8319EB">
            <w:pPr>
              <w:pStyle w:val="14"/>
            </w:pPr>
            <w:r>
              <w:t>1687.70</w:t>
            </w:r>
          </w:p>
        </w:tc>
        <w:tc>
          <w:tcPr>
            <w:tcW w:w="2551" w:type="dxa"/>
            <w:vAlign w:val="center"/>
          </w:tcPr>
          <w:p w14:paraId="64A5E65F">
            <w:pPr>
              <w:pStyle w:val="14"/>
            </w:pPr>
            <w:r>
              <w:t>501.71</w:t>
            </w:r>
          </w:p>
        </w:tc>
      </w:tr>
      <w:tr w14:paraId="634F3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70EE1">
            <w:pPr>
              <w:pStyle w:val="12"/>
            </w:pPr>
            <w:r>
              <w:t>4</w:t>
            </w:r>
          </w:p>
        </w:tc>
        <w:tc>
          <w:tcPr>
            <w:tcW w:w="1191" w:type="dxa"/>
            <w:vAlign w:val="center"/>
          </w:tcPr>
          <w:p w14:paraId="5334FC53">
            <w:pPr>
              <w:pStyle w:val="13"/>
            </w:pPr>
            <w:r>
              <w:t>2050201</w:t>
            </w:r>
          </w:p>
        </w:tc>
        <w:tc>
          <w:tcPr>
            <w:tcW w:w="4535" w:type="dxa"/>
            <w:vAlign w:val="center"/>
          </w:tcPr>
          <w:p w14:paraId="21C1893F">
            <w:pPr>
              <w:pStyle w:val="13"/>
            </w:pPr>
            <w:r>
              <w:t>学前教育</w:t>
            </w:r>
          </w:p>
        </w:tc>
        <w:tc>
          <w:tcPr>
            <w:tcW w:w="2551" w:type="dxa"/>
            <w:vAlign w:val="center"/>
          </w:tcPr>
          <w:p w14:paraId="7CB22E4A">
            <w:pPr>
              <w:pStyle w:val="14"/>
            </w:pPr>
            <w:r>
              <w:t>65.09</w:t>
            </w:r>
          </w:p>
        </w:tc>
        <w:tc>
          <w:tcPr>
            <w:tcW w:w="2551" w:type="dxa"/>
            <w:vAlign w:val="center"/>
          </w:tcPr>
          <w:p w14:paraId="137727B4">
            <w:pPr>
              <w:pStyle w:val="14"/>
            </w:pPr>
          </w:p>
        </w:tc>
        <w:tc>
          <w:tcPr>
            <w:tcW w:w="2551" w:type="dxa"/>
            <w:vAlign w:val="center"/>
          </w:tcPr>
          <w:p w14:paraId="65ED8F82">
            <w:pPr>
              <w:pStyle w:val="14"/>
            </w:pPr>
            <w:r>
              <w:t>65.09</w:t>
            </w:r>
          </w:p>
        </w:tc>
      </w:tr>
      <w:tr w14:paraId="57A5C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AB8D1">
            <w:pPr>
              <w:pStyle w:val="12"/>
            </w:pPr>
            <w:r>
              <w:t>5</w:t>
            </w:r>
          </w:p>
        </w:tc>
        <w:tc>
          <w:tcPr>
            <w:tcW w:w="1191" w:type="dxa"/>
            <w:vAlign w:val="center"/>
          </w:tcPr>
          <w:p w14:paraId="295005D6">
            <w:pPr>
              <w:pStyle w:val="13"/>
            </w:pPr>
            <w:r>
              <w:t>2050202</w:t>
            </w:r>
          </w:p>
        </w:tc>
        <w:tc>
          <w:tcPr>
            <w:tcW w:w="4535" w:type="dxa"/>
            <w:vAlign w:val="center"/>
          </w:tcPr>
          <w:p w14:paraId="30874C13">
            <w:pPr>
              <w:pStyle w:val="13"/>
            </w:pPr>
            <w:r>
              <w:t>小学教育</w:t>
            </w:r>
          </w:p>
        </w:tc>
        <w:tc>
          <w:tcPr>
            <w:tcW w:w="2551" w:type="dxa"/>
            <w:vAlign w:val="center"/>
          </w:tcPr>
          <w:p w14:paraId="0D534C22">
            <w:pPr>
              <w:pStyle w:val="14"/>
            </w:pPr>
            <w:r>
              <w:t>2124.32</w:t>
            </w:r>
          </w:p>
        </w:tc>
        <w:tc>
          <w:tcPr>
            <w:tcW w:w="2551" w:type="dxa"/>
            <w:vAlign w:val="center"/>
          </w:tcPr>
          <w:p w14:paraId="3A7B981C">
            <w:pPr>
              <w:pStyle w:val="14"/>
            </w:pPr>
            <w:r>
              <w:t>1687.70</w:t>
            </w:r>
          </w:p>
        </w:tc>
        <w:tc>
          <w:tcPr>
            <w:tcW w:w="2551" w:type="dxa"/>
            <w:vAlign w:val="center"/>
          </w:tcPr>
          <w:p w14:paraId="7819FAEF">
            <w:pPr>
              <w:pStyle w:val="14"/>
            </w:pPr>
            <w:r>
              <w:t>436.62</w:t>
            </w:r>
          </w:p>
        </w:tc>
      </w:tr>
    </w:tbl>
    <w:p w14:paraId="05AF0D90">
      <w:pPr>
        <w:sectPr>
          <w:pgSz w:w="16840" w:h="11900" w:orient="landscape"/>
          <w:pgMar w:top="1361" w:right="1020" w:bottom="1134" w:left="1020" w:header="720" w:footer="720" w:gutter="0"/>
          <w:cols w:space="720" w:num="1"/>
        </w:sectPr>
      </w:pPr>
    </w:p>
    <w:p w14:paraId="707FDE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FD3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9D9A0A">
            <w:pPr>
              <w:pStyle w:val="8"/>
            </w:pPr>
            <w:r>
              <w:t>360024隆尧县大张家庄校区</w:t>
            </w:r>
          </w:p>
        </w:tc>
        <w:tc>
          <w:tcPr>
            <w:tcW w:w="2551" w:type="dxa"/>
            <w:tcBorders>
              <w:top w:val="single" w:color="FFFFFF" w:sz="6" w:space="0"/>
              <w:left w:val="single" w:color="FFFFFF" w:sz="6" w:space="0"/>
              <w:right w:val="single" w:color="FFFFFF" w:sz="6" w:space="0"/>
            </w:tcBorders>
            <w:vAlign w:val="center"/>
          </w:tcPr>
          <w:p w14:paraId="0892021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73A6901">
            <w:pPr>
              <w:pStyle w:val="10"/>
            </w:pPr>
            <w:r>
              <w:t>单位：万元</w:t>
            </w:r>
          </w:p>
        </w:tc>
      </w:tr>
      <w:tr w14:paraId="469BE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A898F0">
            <w:pPr>
              <w:pStyle w:val="11"/>
            </w:pPr>
            <w:r>
              <w:t>序号</w:t>
            </w:r>
          </w:p>
        </w:tc>
        <w:tc>
          <w:tcPr>
            <w:tcW w:w="5726" w:type="dxa"/>
            <w:gridSpan w:val="2"/>
            <w:vAlign w:val="center"/>
          </w:tcPr>
          <w:p w14:paraId="38644215">
            <w:pPr>
              <w:pStyle w:val="11"/>
            </w:pPr>
            <w:r>
              <w:t>支出部门经济分类科目</w:t>
            </w:r>
          </w:p>
        </w:tc>
        <w:tc>
          <w:tcPr>
            <w:tcW w:w="7653" w:type="dxa"/>
            <w:gridSpan w:val="3"/>
            <w:vAlign w:val="center"/>
          </w:tcPr>
          <w:p w14:paraId="49C485D3">
            <w:pPr>
              <w:pStyle w:val="11"/>
            </w:pPr>
            <w:r>
              <w:t>一般公共预算基本支出</w:t>
            </w:r>
          </w:p>
        </w:tc>
      </w:tr>
      <w:tr w14:paraId="459F8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04CD87"/>
        </w:tc>
        <w:tc>
          <w:tcPr>
            <w:tcW w:w="1191" w:type="dxa"/>
            <w:vAlign w:val="center"/>
          </w:tcPr>
          <w:p w14:paraId="77F0FEB1">
            <w:pPr>
              <w:pStyle w:val="11"/>
            </w:pPr>
            <w:r>
              <w:t>科目编码</w:t>
            </w:r>
          </w:p>
        </w:tc>
        <w:tc>
          <w:tcPr>
            <w:tcW w:w="4535" w:type="dxa"/>
            <w:vAlign w:val="center"/>
          </w:tcPr>
          <w:p w14:paraId="1BA9CF0B">
            <w:pPr>
              <w:pStyle w:val="11"/>
            </w:pPr>
            <w:r>
              <w:t>科目名称</w:t>
            </w:r>
          </w:p>
        </w:tc>
        <w:tc>
          <w:tcPr>
            <w:tcW w:w="2551" w:type="dxa"/>
            <w:vAlign w:val="center"/>
          </w:tcPr>
          <w:p w14:paraId="282678F8">
            <w:pPr>
              <w:pStyle w:val="11"/>
            </w:pPr>
            <w:r>
              <w:t>合计</w:t>
            </w:r>
          </w:p>
        </w:tc>
        <w:tc>
          <w:tcPr>
            <w:tcW w:w="2551" w:type="dxa"/>
            <w:vAlign w:val="center"/>
          </w:tcPr>
          <w:p w14:paraId="1A3743AF">
            <w:pPr>
              <w:pStyle w:val="11"/>
            </w:pPr>
            <w:r>
              <w:t>人员经费</w:t>
            </w:r>
          </w:p>
        </w:tc>
        <w:tc>
          <w:tcPr>
            <w:tcW w:w="2551" w:type="dxa"/>
            <w:vAlign w:val="center"/>
          </w:tcPr>
          <w:p w14:paraId="06CD9519">
            <w:pPr>
              <w:pStyle w:val="11"/>
            </w:pPr>
            <w:r>
              <w:t>公用经费</w:t>
            </w:r>
          </w:p>
        </w:tc>
      </w:tr>
      <w:tr w14:paraId="65D08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C82259">
            <w:pPr>
              <w:pStyle w:val="11"/>
            </w:pPr>
            <w:r>
              <w:t>栏次</w:t>
            </w:r>
          </w:p>
        </w:tc>
        <w:tc>
          <w:tcPr>
            <w:tcW w:w="1191" w:type="dxa"/>
            <w:vAlign w:val="center"/>
          </w:tcPr>
          <w:p w14:paraId="0A4D7853">
            <w:pPr>
              <w:pStyle w:val="11"/>
            </w:pPr>
            <w:r>
              <w:t>1</w:t>
            </w:r>
          </w:p>
        </w:tc>
        <w:tc>
          <w:tcPr>
            <w:tcW w:w="4535" w:type="dxa"/>
            <w:vAlign w:val="center"/>
          </w:tcPr>
          <w:p w14:paraId="430770B8">
            <w:pPr>
              <w:pStyle w:val="11"/>
            </w:pPr>
            <w:r>
              <w:t>2</w:t>
            </w:r>
          </w:p>
        </w:tc>
        <w:tc>
          <w:tcPr>
            <w:tcW w:w="2551" w:type="dxa"/>
            <w:vAlign w:val="center"/>
          </w:tcPr>
          <w:p w14:paraId="65E1463D">
            <w:pPr>
              <w:pStyle w:val="11"/>
            </w:pPr>
            <w:r>
              <w:t>3</w:t>
            </w:r>
          </w:p>
        </w:tc>
        <w:tc>
          <w:tcPr>
            <w:tcW w:w="2551" w:type="dxa"/>
            <w:vAlign w:val="center"/>
          </w:tcPr>
          <w:p w14:paraId="6BA8AD9F">
            <w:pPr>
              <w:pStyle w:val="11"/>
            </w:pPr>
            <w:r>
              <w:t>4</w:t>
            </w:r>
          </w:p>
        </w:tc>
        <w:tc>
          <w:tcPr>
            <w:tcW w:w="2551" w:type="dxa"/>
            <w:vAlign w:val="center"/>
          </w:tcPr>
          <w:p w14:paraId="1CC1DA42">
            <w:pPr>
              <w:pStyle w:val="11"/>
            </w:pPr>
            <w:r>
              <w:t>5</w:t>
            </w:r>
          </w:p>
        </w:tc>
      </w:tr>
      <w:tr w14:paraId="597F6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890E6">
            <w:pPr>
              <w:pStyle w:val="12"/>
            </w:pPr>
            <w:r>
              <w:t>1</w:t>
            </w:r>
          </w:p>
        </w:tc>
        <w:tc>
          <w:tcPr>
            <w:tcW w:w="1191" w:type="dxa"/>
            <w:vAlign w:val="center"/>
          </w:tcPr>
          <w:p w14:paraId="1B5D22FE">
            <w:pPr>
              <w:pStyle w:val="17"/>
            </w:pPr>
          </w:p>
        </w:tc>
        <w:tc>
          <w:tcPr>
            <w:tcW w:w="4535" w:type="dxa"/>
            <w:vAlign w:val="center"/>
          </w:tcPr>
          <w:p w14:paraId="2597F8E8">
            <w:pPr>
              <w:pStyle w:val="15"/>
            </w:pPr>
            <w:r>
              <w:t>合计</w:t>
            </w:r>
          </w:p>
        </w:tc>
        <w:tc>
          <w:tcPr>
            <w:tcW w:w="2551" w:type="dxa"/>
            <w:vAlign w:val="center"/>
          </w:tcPr>
          <w:p w14:paraId="4D6FB408">
            <w:pPr>
              <w:pStyle w:val="16"/>
            </w:pPr>
            <w:r>
              <w:t>1687.70</w:t>
            </w:r>
          </w:p>
        </w:tc>
        <w:tc>
          <w:tcPr>
            <w:tcW w:w="2551" w:type="dxa"/>
            <w:vAlign w:val="center"/>
          </w:tcPr>
          <w:p w14:paraId="047C50BA">
            <w:pPr>
              <w:pStyle w:val="16"/>
            </w:pPr>
            <w:r>
              <w:t>1687.70</w:t>
            </w:r>
          </w:p>
        </w:tc>
        <w:tc>
          <w:tcPr>
            <w:tcW w:w="2551" w:type="dxa"/>
            <w:vAlign w:val="center"/>
          </w:tcPr>
          <w:p w14:paraId="6A4B164A">
            <w:pPr>
              <w:pStyle w:val="16"/>
            </w:pPr>
          </w:p>
        </w:tc>
      </w:tr>
      <w:tr w14:paraId="7B937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3E7BB">
            <w:pPr>
              <w:pStyle w:val="12"/>
            </w:pPr>
            <w:r>
              <w:t>2</w:t>
            </w:r>
          </w:p>
        </w:tc>
        <w:tc>
          <w:tcPr>
            <w:tcW w:w="1191" w:type="dxa"/>
            <w:vAlign w:val="center"/>
          </w:tcPr>
          <w:p w14:paraId="71C4A076">
            <w:pPr>
              <w:pStyle w:val="13"/>
            </w:pPr>
            <w:r>
              <w:t>301</w:t>
            </w:r>
          </w:p>
        </w:tc>
        <w:tc>
          <w:tcPr>
            <w:tcW w:w="4535" w:type="dxa"/>
            <w:vAlign w:val="center"/>
          </w:tcPr>
          <w:p w14:paraId="1FBD5905">
            <w:pPr>
              <w:pStyle w:val="13"/>
            </w:pPr>
            <w:r>
              <w:t>工资福利支出</w:t>
            </w:r>
          </w:p>
        </w:tc>
        <w:tc>
          <w:tcPr>
            <w:tcW w:w="2551" w:type="dxa"/>
            <w:vAlign w:val="center"/>
          </w:tcPr>
          <w:p w14:paraId="6DADA744">
            <w:pPr>
              <w:pStyle w:val="14"/>
            </w:pPr>
            <w:r>
              <w:t>1554.26</w:t>
            </w:r>
          </w:p>
        </w:tc>
        <w:tc>
          <w:tcPr>
            <w:tcW w:w="2551" w:type="dxa"/>
            <w:vAlign w:val="center"/>
          </w:tcPr>
          <w:p w14:paraId="18F161AB">
            <w:pPr>
              <w:pStyle w:val="14"/>
            </w:pPr>
            <w:r>
              <w:t>1554.26</w:t>
            </w:r>
          </w:p>
        </w:tc>
        <w:tc>
          <w:tcPr>
            <w:tcW w:w="2551" w:type="dxa"/>
            <w:vAlign w:val="center"/>
          </w:tcPr>
          <w:p w14:paraId="26D11ED5">
            <w:pPr>
              <w:pStyle w:val="14"/>
            </w:pPr>
          </w:p>
        </w:tc>
      </w:tr>
      <w:tr w14:paraId="2396B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DA87D">
            <w:pPr>
              <w:pStyle w:val="12"/>
            </w:pPr>
            <w:r>
              <w:t>3</w:t>
            </w:r>
          </w:p>
        </w:tc>
        <w:tc>
          <w:tcPr>
            <w:tcW w:w="1191" w:type="dxa"/>
            <w:vAlign w:val="center"/>
          </w:tcPr>
          <w:p w14:paraId="5A8E0212">
            <w:pPr>
              <w:pStyle w:val="13"/>
            </w:pPr>
            <w:r>
              <w:t>30101</w:t>
            </w:r>
          </w:p>
        </w:tc>
        <w:tc>
          <w:tcPr>
            <w:tcW w:w="4535" w:type="dxa"/>
            <w:vAlign w:val="center"/>
          </w:tcPr>
          <w:p w14:paraId="2F9995B2">
            <w:pPr>
              <w:pStyle w:val="13"/>
            </w:pPr>
            <w:r>
              <w:t>基本工资</w:t>
            </w:r>
          </w:p>
        </w:tc>
        <w:tc>
          <w:tcPr>
            <w:tcW w:w="2551" w:type="dxa"/>
            <w:vAlign w:val="center"/>
          </w:tcPr>
          <w:p w14:paraId="019600EC">
            <w:pPr>
              <w:pStyle w:val="14"/>
            </w:pPr>
            <w:r>
              <w:t>725.53</w:t>
            </w:r>
          </w:p>
        </w:tc>
        <w:tc>
          <w:tcPr>
            <w:tcW w:w="2551" w:type="dxa"/>
            <w:vAlign w:val="center"/>
          </w:tcPr>
          <w:p w14:paraId="57AD4EE7">
            <w:pPr>
              <w:pStyle w:val="14"/>
            </w:pPr>
            <w:r>
              <w:t>725.53</w:t>
            </w:r>
          </w:p>
        </w:tc>
        <w:tc>
          <w:tcPr>
            <w:tcW w:w="2551" w:type="dxa"/>
            <w:vAlign w:val="center"/>
          </w:tcPr>
          <w:p w14:paraId="3104A9EC">
            <w:pPr>
              <w:pStyle w:val="14"/>
            </w:pPr>
          </w:p>
        </w:tc>
      </w:tr>
      <w:tr w14:paraId="7AD42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77A28">
            <w:pPr>
              <w:pStyle w:val="12"/>
            </w:pPr>
            <w:r>
              <w:t>4</w:t>
            </w:r>
          </w:p>
        </w:tc>
        <w:tc>
          <w:tcPr>
            <w:tcW w:w="1191" w:type="dxa"/>
            <w:vAlign w:val="center"/>
          </w:tcPr>
          <w:p w14:paraId="31B7E1C3">
            <w:pPr>
              <w:pStyle w:val="13"/>
            </w:pPr>
            <w:r>
              <w:t>30102</w:t>
            </w:r>
          </w:p>
        </w:tc>
        <w:tc>
          <w:tcPr>
            <w:tcW w:w="4535" w:type="dxa"/>
            <w:vAlign w:val="center"/>
          </w:tcPr>
          <w:p w14:paraId="6BFF2A34">
            <w:pPr>
              <w:pStyle w:val="13"/>
            </w:pPr>
            <w:r>
              <w:t>津贴补贴</w:t>
            </w:r>
          </w:p>
        </w:tc>
        <w:tc>
          <w:tcPr>
            <w:tcW w:w="2551" w:type="dxa"/>
            <w:vAlign w:val="center"/>
          </w:tcPr>
          <w:p w14:paraId="4B2D8C2B">
            <w:pPr>
              <w:pStyle w:val="14"/>
            </w:pPr>
            <w:r>
              <w:t>66.07</w:t>
            </w:r>
          </w:p>
        </w:tc>
        <w:tc>
          <w:tcPr>
            <w:tcW w:w="2551" w:type="dxa"/>
            <w:vAlign w:val="center"/>
          </w:tcPr>
          <w:p w14:paraId="7BF37666">
            <w:pPr>
              <w:pStyle w:val="14"/>
            </w:pPr>
            <w:r>
              <w:t>66.07</w:t>
            </w:r>
          </w:p>
        </w:tc>
        <w:tc>
          <w:tcPr>
            <w:tcW w:w="2551" w:type="dxa"/>
            <w:vAlign w:val="center"/>
          </w:tcPr>
          <w:p w14:paraId="5A2A24BE">
            <w:pPr>
              <w:pStyle w:val="14"/>
            </w:pPr>
          </w:p>
        </w:tc>
      </w:tr>
      <w:tr w14:paraId="62960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CF864">
            <w:pPr>
              <w:pStyle w:val="12"/>
            </w:pPr>
            <w:r>
              <w:t>5</w:t>
            </w:r>
          </w:p>
        </w:tc>
        <w:tc>
          <w:tcPr>
            <w:tcW w:w="1191" w:type="dxa"/>
            <w:vAlign w:val="center"/>
          </w:tcPr>
          <w:p w14:paraId="3C6F22A9">
            <w:pPr>
              <w:pStyle w:val="13"/>
            </w:pPr>
            <w:r>
              <w:t>30107</w:t>
            </w:r>
          </w:p>
        </w:tc>
        <w:tc>
          <w:tcPr>
            <w:tcW w:w="4535" w:type="dxa"/>
            <w:vAlign w:val="center"/>
          </w:tcPr>
          <w:p w14:paraId="528A03B1">
            <w:pPr>
              <w:pStyle w:val="13"/>
            </w:pPr>
            <w:r>
              <w:t>绩效工资</w:t>
            </w:r>
          </w:p>
        </w:tc>
        <w:tc>
          <w:tcPr>
            <w:tcW w:w="2551" w:type="dxa"/>
            <w:vAlign w:val="center"/>
          </w:tcPr>
          <w:p w14:paraId="7742376B">
            <w:pPr>
              <w:pStyle w:val="14"/>
            </w:pPr>
            <w:r>
              <w:t>419.82</w:t>
            </w:r>
          </w:p>
        </w:tc>
        <w:tc>
          <w:tcPr>
            <w:tcW w:w="2551" w:type="dxa"/>
            <w:vAlign w:val="center"/>
          </w:tcPr>
          <w:p w14:paraId="21FD85BD">
            <w:pPr>
              <w:pStyle w:val="14"/>
            </w:pPr>
            <w:r>
              <w:t>419.82</w:t>
            </w:r>
          </w:p>
        </w:tc>
        <w:tc>
          <w:tcPr>
            <w:tcW w:w="2551" w:type="dxa"/>
            <w:vAlign w:val="center"/>
          </w:tcPr>
          <w:p w14:paraId="05129BB2">
            <w:pPr>
              <w:pStyle w:val="14"/>
            </w:pPr>
          </w:p>
        </w:tc>
      </w:tr>
      <w:tr w14:paraId="0CFFA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062AF">
            <w:pPr>
              <w:pStyle w:val="12"/>
            </w:pPr>
            <w:r>
              <w:t>6</w:t>
            </w:r>
          </w:p>
        </w:tc>
        <w:tc>
          <w:tcPr>
            <w:tcW w:w="1191" w:type="dxa"/>
            <w:vAlign w:val="center"/>
          </w:tcPr>
          <w:p w14:paraId="351513AE">
            <w:pPr>
              <w:pStyle w:val="13"/>
            </w:pPr>
            <w:r>
              <w:t>30108</w:t>
            </w:r>
          </w:p>
        </w:tc>
        <w:tc>
          <w:tcPr>
            <w:tcW w:w="4535" w:type="dxa"/>
            <w:vAlign w:val="center"/>
          </w:tcPr>
          <w:p w14:paraId="174C752C">
            <w:pPr>
              <w:pStyle w:val="13"/>
            </w:pPr>
            <w:r>
              <w:t>机关事业单位基本养老保险缴费</w:t>
            </w:r>
          </w:p>
        </w:tc>
        <w:tc>
          <w:tcPr>
            <w:tcW w:w="2551" w:type="dxa"/>
            <w:vAlign w:val="center"/>
          </w:tcPr>
          <w:p w14:paraId="0B66431F">
            <w:pPr>
              <w:pStyle w:val="14"/>
            </w:pPr>
            <w:r>
              <w:t>149.91</w:t>
            </w:r>
          </w:p>
        </w:tc>
        <w:tc>
          <w:tcPr>
            <w:tcW w:w="2551" w:type="dxa"/>
            <w:vAlign w:val="center"/>
          </w:tcPr>
          <w:p w14:paraId="17105B9D">
            <w:pPr>
              <w:pStyle w:val="14"/>
            </w:pPr>
            <w:r>
              <w:t>149.91</w:t>
            </w:r>
          </w:p>
        </w:tc>
        <w:tc>
          <w:tcPr>
            <w:tcW w:w="2551" w:type="dxa"/>
            <w:vAlign w:val="center"/>
          </w:tcPr>
          <w:p w14:paraId="199C1521">
            <w:pPr>
              <w:pStyle w:val="14"/>
            </w:pPr>
          </w:p>
        </w:tc>
      </w:tr>
      <w:tr w14:paraId="416A8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E0783">
            <w:pPr>
              <w:pStyle w:val="12"/>
            </w:pPr>
            <w:r>
              <w:t>7</w:t>
            </w:r>
          </w:p>
        </w:tc>
        <w:tc>
          <w:tcPr>
            <w:tcW w:w="1191" w:type="dxa"/>
            <w:vAlign w:val="center"/>
          </w:tcPr>
          <w:p w14:paraId="355CB2DB">
            <w:pPr>
              <w:pStyle w:val="13"/>
            </w:pPr>
            <w:r>
              <w:t>30110</w:t>
            </w:r>
          </w:p>
        </w:tc>
        <w:tc>
          <w:tcPr>
            <w:tcW w:w="4535" w:type="dxa"/>
            <w:vAlign w:val="center"/>
          </w:tcPr>
          <w:p w14:paraId="3E383759">
            <w:pPr>
              <w:pStyle w:val="13"/>
            </w:pPr>
            <w:r>
              <w:t>职工基本医疗保险缴费</w:t>
            </w:r>
          </w:p>
        </w:tc>
        <w:tc>
          <w:tcPr>
            <w:tcW w:w="2551" w:type="dxa"/>
            <w:vAlign w:val="center"/>
          </w:tcPr>
          <w:p w14:paraId="60E6159C">
            <w:pPr>
              <w:pStyle w:val="14"/>
            </w:pPr>
            <w:r>
              <w:t>71.19</w:t>
            </w:r>
          </w:p>
        </w:tc>
        <w:tc>
          <w:tcPr>
            <w:tcW w:w="2551" w:type="dxa"/>
            <w:vAlign w:val="center"/>
          </w:tcPr>
          <w:p w14:paraId="4133D2A9">
            <w:pPr>
              <w:pStyle w:val="14"/>
            </w:pPr>
            <w:r>
              <w:t>71.19</w:t>
            </w:r>
          </w:p>
        </w:tc>
        <w:tc>
          <w:tcPr>
            <w:tcW w:w="2551" w:type="dxa"/>
            <w:vAlign w:val="center"/>
          </w:tcPr>
          <w:p w14:paraId="7EA23C9E">
            <w:pPr>
              <w:pStyle w:val="14"/>
            </w:pPr>
          </w:p>
        </w:tc>
      </w:tr>
      <w:tr w14:paraId="29862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CEDE1">
            <w:pPr>
              <w:pStyle w:val="12"/>
            </w:pPr>
            <w:r>
              <w:t>8</w:t>
            </w:r>
          </w:p>
        </w:tc>
        <w:tc>
          <w:tcPr>
            <w:tcW w:w="1191" w:type="dxa"/>
            <w:vAlign w:val="center"/>
          </w:tcPr>
          <w:p w14:paraId="64D3F5AB">
            <w:pPr>
              <w:pStyle w:val="13"/>
            </w:pPr>
            <w:r>
              <w:t>30112</w:t>
            </w:r>
          </w:p>
        </w:tc>
        <w:tc>
          <w:tcPr>
            <w:tcW w:w="4535" w:type="dxa"/>
            <w:vAlign w:val="center"/>
          </w:tcPr>
          <w:p w14:paraId="564FD13E">
            <w:pPr>
              <w:pStyle w:val="13"/>
            </w:pPr>
            <w:r>
              <w:t>其他社会保障缴费</w:t>
            </w:r>
          </w:p>
        </w:tc>
        <w:tc>
          <w:tcPr>
            <w:tcW w:w="2551" w:type="dxa"/>
            <w:vAlign w:val="center"/>
          </w:tcPr>
          <w:p w14:paraId="61F66F59">
            <w:pPr>
              <w:pStyle w:val="14"/>
            </w:pPr>
            <w:r>
              <w:t>9.84</w:t>
            </w:r>
          </w:p>
        </w:tc>
        <w:tc>
          <w:tcPr>
            <w:tcW w:w="2551" w:type="dxa"/>
            <w:vAlign w:val="center"/>
          </w:tcPr>
          <w:p w14:paraId="2EC390FC">
            <w:pPr>
              <w:pStyle w:val="14"/>
            </w:pPr>
            <w:r>
              <w:t>9.84</w:t>
            </w:r>
          </w:p>
        </w:tc>
        <w:tc>
          <w:tcPr>
            <w:tcW w:w="2551" w:type="dxa"/>
            <w:vAlign w:val="center"/>
          </w:tcPr>
          <w:p w14:paraId="73CDB0AD">
            <w:pPr>
              <w:pStyle w:val="14"/>
            </w:pPr>
          </w:p>
        </w:tc>
      </w:tr>
      <w:tr w14:paraId="4C46D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89162">
            <w:pPr>
              <w:pStyle w:val="12"/>
            </w:pPr>
            <w:r>
              <w:t>9</w:t>
            </w:r>
          </w:p>
        </w:tc>
        <w:tc>
          <w:tcPr>
            <w:tcW w:w="1191" w:type="dxa"/>
            <w:vAlign w:val="center"/>
          </w:tcPr>
          <w:p w14:paraId="34F718DF">
            <w:pPr>
              <w:pStyle w:val="13"/>
            </w:pPr>
            <w:r>
              <w:t>30113</w:t>
            </w:r>
          </w:p>
        </w:tc>
        <w:tc>
          <w:tcPr>
            <w:tcW w:w="4535" w:type="dxa"/>
            <w:vAlign w:val="center"/>
          </w:tcPr>
          <w:p w14:paraId="52A1E648">
            <w:pPr>
              <w:pStyle w:val="13"/>
            </w:pPr>
            <w:r>
              <w:t>住房公积金</w:t>
            </w:r>
          </w:p>
        </w:tc>
        <w:tc>
          <w:tcPr>
            <w:tcW w:w="2551" w:type="dxa"/>
            <w:vAlign w:val="center"/>
          </w:tcPr>
          <w:p w14:paraId="49F096F4">
            <w:pPr>
              <w:pStyle w:val="14"/>
            </w:pPr>
            <w:r>
              <w:t>111.90</w:t>
            </w:r>
          </w:p>
        </w:tc>
        <w:tc>
          <w:tcPr>
            <w:tcW w:w="2551" w:type="dxa"/>
            <w:vAlign w:val="center"/>
          </w:tcPr>
          <w:p w14:paraId="3B9D8886">
            <w:pPr>
              <w:pStyle w:val="14"/>
            </w:pPr>
            <w:r>
              <w:t>111.90</w:t>
            </w:r>
          </w:p>
        </w:tc>
        <w:tc>
          <w:tcPr>
            <w:tcW w:w="2551" w:type="dxa"/>
            <w:vAlign w:val="center"/>
          </w:tcPr>
          <w:p w14:paraId="5F9E5656">
            <w:pPr>
              <w:pStyle w:val="14"/>
            </w:pPr>
          </w:p>
        </w:tc>
      </w:tr>
      <w:tr w14:paraId="34C7F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584D3">
            <w:pPr>
              <w:pStyle w:val="12"/>
            </w:pPr>
            <w:r>
              <w:t>10</w:t>
            </w:r>
          </w:p>
        </w:tc>
        <w:tc>
          <w:tcPr>
            <w:tcW w:w="1191" w:type="dxa"/>
            <w:vAlign w:val="center"/>
          </w:tcPr>
          <w:p w14:paraId="11740893">
            <w:pPr>
              <w:pStyle w:val="13"/>
            </w:pPr>
            <w:r>
              <w:t>303</w:t>
            </w:r>
          </w:p>
        </w:tc>
        <w:tc>
          <w:tcPr>
            <w:tcW w:w="4535" w:type="dxa"/>
            <w:vAlign w:val="center"/>
          </w:tcPr>
          <w:p w14:paraId="044D3030">
            <w:pPr>
              <w:pStyle w:val="13"/>
            </w:pPr>
            <w:r>
              <w:t>对个人和家庭的补助</w:t>
            </w:r>
          </w:p>
        </w:tc>
        <w:tc>
          <w:tcPr>
            <w:tcW w:w="2551" w:type="dxa"/>
            <w:vAlign w:val="center"/>
          </w:tcPr>
          <w:p w14:paraId="4911CE27">
            <w:pPr>
              <w:pStyle w:val="14"/>
            </w:pPr>
            <w:r>
              <w:t>133.43</w:t>
            </w:r>
          </w:p>
        </w:tc>
        <w:tc>
          <w:tcPr>
            <w:tcW w:w="2551" w:type="dxa"/>
            <w:vAlign w:val="center"/>
          </w:tcPr>
          <w:p w14:paraId="20514B61">
            <w:pPr>
              <w:pStyle w:val="14"/>
            </w:pPr>
            <w:r>
              <w:t>133.43</w:t>
            </w:r>
          </w:p>
        </w:tc>
        <w:tc>
          <w:tcPr>
            <w:tcW w:w="2551" w:type="dxa"/>
            <w:vAlign w:val="center"/>
          </w:tcPr>
          <w:p w14:paraId="74A16C85">
            <w:pPr>
              <w:pStyle w:val="14"/>
            </w:pPr>
          </w:p>
        </w:tc>
      </w:tr>
      <w:tr w14:paraId="27444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B152E">
            <w:pPr>
              <w:pStyle w:val="12"/>
            </w:pPr>
            <w:r>
              <w:t>11</w:t>
            </w:r>
          </w:p>
        </w:tc>
        <w:tc>
          <w:tcPr>
            <w:tcW w:w="1191" w:type="dxa"/>
            <w:vAlign w:val="center"/>
          </w:tcPr>
          <w:p w14:paraId="6035DCEB">
            <w:pPr>
              <w:pStyle w:val="13"/>
            </w:pPr>
            <w:r>
              <w:t>30302</w:t>
            </w:r>
          </w:p>
        </w:tc>
        <w:tc>
          <w:tcPr>
            <w:tcW w:w="4535" w:type="dxa"/>
            <w:vAlign w:val="center"/>
          </w:tcPr>
          <w:p w14:paraId="2B374996">
            <w:pPr>
              <w:pStyle w:val="13"/>
            </w:pPr>
            <w:r>
              <w:t>退休费</w:t>
            </w:r>
          </w:p>
        </w:tc>
        <w:tc>
          <w:tcPr>
            <w:tcW w:w="2551" w:type="dxa"/>
            <w:vAlign w:val="center"/>
          </w:tcPr>
          <w:p w14:paraId="1C0DE40F">
            <w:pPr>
              <w:pStyle w:val="14"/>
            </w:pPr>
            <w:r>
              <w:t>125.51</w:t>
            </w:r>
          </w:p>
        </w:tc>
        <w:tc>
          <w:tcPr>
            <w:tcW w:w="2551" w:type="dxa"/>
            <w:vAlign w:val="center"/>
          </w:tcPr>
          <w:p w14:paraId="6F29139D">
            <w:pPr>
              <w:pStyle w:val="14"/>
            </w:pPr>
            <w:r>
              <w:t>125.51</w:t>
            </w:r>
          </w:p>
        </w:tc>
        <w:tc>
          <w:tcPr>
            <w:tcW w:w="2551" w:type="dxa"/>
            <w:vAlign w:val="center"/>
          </w:tcPr>
          <w:p w14:paraId="0DEFBE6C">
            <w:pPr>
              <w:pStyle w:val="14"/>
            </w:pPr>
          </w:p>
        </w:tc>
      </w:tr>
      <w:tr w14:paraId="41876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5860E">
            <w:pPr>
              <w:pStyle w:val="12"/>
            </w:pPr>
            <w:r>
              <w:t>12</w:t>
            </w:r>
          </w:p>
        </w:tc>
        <w:tc>
          <w:tcPr>
            <w:tcW w:w="1191" w:type="dxa"/>
            <w:vAlign w:val="center"/>
          </w:tcPr>
          <w:p w14:paraId="78970D37">
            <w:pPr>
              <w:pStyle w:val="13"/>
            </w:pPr>
            <w:r>
              <w:t>30305</w:t>
            </w:r>
          </w:p>
        </w:tc>
        <w:tc>
          <w:tcPr>
            <w:tcW w:w="4535" w:type="dxa"/>
            <w:vAlign w:val="center"/>
          </w:tcPr>
          <w:p w14:paraId="50FA8BC7">
            <w:pPr>
              <w:pStyle w:val="13"/>
            </w:pPr>
            <w:r>
              <w:t>生活补助</w:t>
            </w:r>
          </w:p>
        </w:tc>
        <w:tc>
          <w:tcPr>
            <w:tcW w:w="2551" w:type="dxa"/>
            <w:vAlign w:val="center"/>
          </w:tcPr>
          <w:p w14:paraId="7C792DB0">
            <w:pPr>
              <w:pStyle w:val="14"/>
            </w:pPr>
            <w:r>
              <w:t>7.92</w:t>
            </w:r>
          </w:p>
        </w:tc>
        <w:tc>
          <w:tcPr>
            <w:tcW w:w="2551" w:type="dxa"/>
            <w:vAlign w:val="center"/>
          </w:tcPr>
          <w:p w14:paraId="1BB785BE">
            <w:pPr>
              <w:pStyle w:val="14"/>
            </w:pPr>
            <w:r>
              <w:t>7.92</w:t>
            </w:r>
          </w:p>
        </w:tc>
        <w:tc>
          <w:tcPr>
            <w:tcW w:w="2551" w:type="dxa"/>
            <w:vAlign w:val="center"/>
          </w:tcPr>
          <w:p w14:paraId="3F15B2E1">
            <w:pPr>
              <w:pStyle w:val="14"/>
            </w:pPr>
          </w:p>
        </w:tc>
      </w:tr>
    </w:tbl>
    <w:p w14:paraId="7840C50B">
      <w:pPr>
        <w:sectPr>
          <w:pgSz w:w="16840" w:h="11900" w:orient="landscape"/>
          <w:pgMar w:top="1361" w:right="1020" w:bottom="1134" w:left="1020" w:header="720" w:footer="720" w:gutter="0"/>
          <w:cols w:space="720" w:num="1"/>
        </w:sectPr>
      </w:pPr>
    </w:p>
    <w:p w14:paraId="29FA3C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708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501670">
            <w:pPr>
              <w:pStyle w:val="8"/>
            </w:pPr>
            <w:r>
              <w:t>360024隆尧县大张家庄校区</w:t>
            </w:r>
          </w:p>
        </w:tc>
        <w:tc>
          <w:tcPr>
            <w:tcW w:w="2551" w:type="dxa"/>
            <w:tcBorders>
              <w:top w:val="single" w:color="FFFFFF" w:sz="6" w:space="0"/>
              <w:left w:val="single" w:color="FFFFFF" w:sz="6" w:space="0"/>
              <w:right w:val="single" w:color="FFFFFF" w:sz="6" w:space="0"/>
            </w:tcBorders>
            <w:vAlign w:val="center"/>
          </w:tcPr>
          <w:p w14:paraId="038A0BF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04F8510">
            <w:pPr>
              <w:pStyle w:val="10"/>
            </w:pPr>
            <w:r>
              <w:t>单位：万元</w:t>
            </w:r>
          </w:p>
        </w:tc>
      </w:tr>
      <w:tr w14:paraId="7A91D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29112">
            <w:pPr>
              <w:pStyle w:val="11"/>
            </w:pPr>
            <w:r>
              <w:t>序号</w:t>
            </w:r>
          </w:p>
        </w:tc>
        <w:tc>
          <w:tcPr>
            <w:tcW w:w="5726" w:type="dxa"/>
            <w:gridSpan w:val="2"/>
            <w:vAlign w:val="center"/>
          </w:tcPr>
          <w:p w14:paraId="15E68D8E">
            <w:pPr>
              <w:pStyle w:val="11"/>
            </w:pPr>
            <w:r>
              <w:t>功能分类科目</w:t>
            </w:r>
          </w:p>
        </w:tc>
        <w:tc>
          <w:tcPr>
            <w:tcW w:w="2551" w:type="dxa"/>
            <w:vMerge w:val="restart"/>
            <w:vAlign w:val="center"/>
          </w:tcPr>
          <w:p w14:paraId="2BF478DB">
            <w:pPr>
              <w:pStyle w:val="11"/>
            </w:pPr>
            <w:r>
              <w:t>合计</w:t>
            </w:r>
          </w:p>
        </w:tc>
        <w:tc>
          <w:tcPr>
            <w:tcW w:w="2551" w:type="dxa"/>
            <w:vMerge w:val="restart"/>
            <w:vAlign w:val="center"/>
          </w:tcPr>
          <w:p w14:paraId="79C6DA38">
            <w:pPr>
              <w:pStyle w:val="11"/>
            </w:pPr>
            <w:r>
              <w:t>基本支出</w:t>
            </w:r>
          </w:p>
        </w:tc>
        <w:tc>
          <w:tcPr>
            <w:tcW w:w="2551" w:type="dxa"/>
            <w:vMerge w:val="restart"/>
            <w:vAlign w:val="center"/>
          </w:tcPr>
          <w:p w14:paraId="1A5EA09D">
            <w:pPr>
              <w:pStyle w:val="11"/>
            </w:pPr>
            <w:r>
              <w:t>项目支出</w:t>
            </w:r>
          </w:p>
        </w:tc>
      </w:tr>
      <w:tr w14:paraId="6AEA5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06A060"/>
        </w:tc>
        <w:tc>
          <w:tcPr>
            <w:tcW w:w="1191" w:type="dxa"/>
            <w:vAlign w:val="center"/>
          </w:tcPr>
          <w:p w14:paraId="1DDA5DF9">
            <w:pPr>
              <w:pStyle w:val="11"/>
            </w:pPr>
            <w:r>
              <w:t>科目编码</w:t>
            </w:r>
          </w:p>
        </w:tc>
        <w:tc>
          <w:tcPr>
            <w:tcW w:w="4535" w:type="dxa"/>
            <w:vAlign w:val="center"/>
          </w:tcPr>
          <w:p w14:paraId="3E4ED579">
            <w:pPr>
              <w:pStyle w:val="11"/>
            </w:pPr>
            <w:r>
              <w:t>科目名称</w:t>
            </w:r>
          </w:p>
        </w:tc>
        <w:tc>
          <w:tcPr>
            <w:tcW w:w="2551" w:type="dxa"/>
            <w:vMerge w:val="continue"/>
          </w:tcPr>
          <w:p w14:paraId="0C181E50"/>
        </w:tc>
        <w:tc>
          <w:tcPr>
            <w:tcW w:w="2551" w:type="dxa"/>
            <w:vMerge w:val="continue"/>
          </w:tcPr>
          <w:p w14:paraId="7C506D89"/>
        </w:tc>
        <w:tc>
          <w:tcPr>
            <w:tcW w:w="2551" w:type="dxa"/>
            <w:vMerge w:val="continue"/>
          </w:tcPr>
          <w:p w14:paraId="660326E4"/>
        </w:tc>
      </w:tr>
      <w:tr w14:paraId="143E4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803D9F">
            <w:pPr>
              <w:pStyle w:val="11"/>
            </w:pPr>
            <w:r>
              <w:t>栏次</w:t>
            </w:r>
          </w:p>
        </w:tc>
        <w:tc>
          <w:tcPr>
            <w:tcW w:w="1191" w:type="dxa"/>
            <w:vAlign w:val="center"/>
          </w:tcPr>
          <w:p w14:paraId="72ACCA1A">
            <w:pPr>
              <w:pStyle w:val="11"/>
            </w:pPr>
            <w:r>
              <w:t>1</w:t>
            </w:r>
          </w:p>
        </w:tc>
        <w:tc>
          <w:tcPr>
            <w:tcW w:w="4535" w:type="dxa"/>
            <w:vAlign w:val="center"/>
          </w:tcPr>
          <w:p w14:paraId="38D009C2">
            <w:pPr>
              <w:pStyle w:val="11"/>
            </w:pPr>
            <w:r>
              <w:t>2</w:t>
            </w:r>
          </w:p>
        </w:tc>
        <w:tc>
          <w:tcPr>
            <w:tcW w:w="2551" w:type="dxa"/>
            <w:vAlign w:val="center"/>
          </w:tcPr>
          <w:p w14:paraId="30EF22C0">
            <w:pPr>
              <w:pStyle w:val="11"/>
            </w:pPr>
            <w:r>
              <w:t>3</w:t>
            </w:r>
          </w:p>
        </w:tc>
        <w:tc>
          <w:tcPr>
            <w:tcW w:w="2551" w:type="dxa"/>
            <w:vAlign w:val="center"/>
          </w:tcPr>
          <w:p w14:paraId="666CC540">
            <w:pPr>
              <w:pStyle w:val="11"/>
            </w:pPr>
            <w:r>
              <w:t>4</w:t>
            </w:r>
          </w:p>
        </w:tc>
        <w:tc>
          <w:tcPr>
            <w:tcW w:w="2551" w:type="dxa"/>
            <w:vAlign w:val="center"/>
          </w:tcPr>
          <w:p w14:paraId="5BADC6FF">
            <w:pPr>
              <w:pStyle w:val="11"/>
            </w:pPr>
            <w:r>
              <w:t>5</w:t>
            </w:r>
          </w:p>
        </w:tc>
      </w:tr>
      <w:tr w14:paraId="36296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35E7B">
            <w:pPr>
              <w:pStyle w:val="12"/>
            </w:pPr>
          </w:p>
        </w:tc>
        <w:tc>
          <w:tcPr>
            <w:tcW w:w="1191" w:type="dxa"/>
            <w:vAlign w:val="center"/>
          </w:tcPr>
          <w:p w14:paraId="46F36CA2">
            <w:pPr>
              <w:pStyle w:val="13"/>
            </w:pPr>
          </w:p>
        </w:tc>
        <w:tc>
          <w:tcPr>
            <w:tcW w:w="4535" w:type="dxa"/>
            <w:vAlign w:val="center"/>
          </w:tcPr>
          <w:p w14:paraId="7225C4E5">
            <w:pPr>
              <w:pStyle w:val="13"/>
            </w:pPr>
          </w:p>
        </w:tc>
        <w:tc>
          <w:tcPr>
            <w:tcW w:w="2551" w:type="dxa"/>
            <w:vAlign w:val="center"/>
          </w:tcPr>
          <w:p w14:paraId="0A3ABA9B">
            <w:pPr>
              <w:pStyle w:val="14"/>
            </w:pPr>
          </w:p>
        </w:tc>
        <w:tc>
          <w:tcPr>
            <w:tcW w:w="2551" w:type="dxa"/>
            <w:vAlign w:val="center"/>
          </w:tcPr>
          <w:p w14:paraId="739ED92F">
            <w:pPr>
              <w:pStyle w:val="14"/>
            </w:pPr>
          </w:p>
        </w:tc>
        <w:tc>
          <w:tcPr>
            <w:tcW w:w="2551" w:type="dxa"/>
            <w:vAlign w:val="center"/>
          </w:tcPr>
          <w:p w14:paraId="563761E9">
            <w:pPr>
              <w:pStyle w:val="14"/>
            </w:pPr>
          </w:p>
        </w:tc>
      </w:tr>
    </w:tbl>
    <w:p w14:paraId="0FE1F9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C99F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904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3C5B65">
            <w:pPr>
              <w:pStyle w:val="8"/>
            </w:pPr>
            <w:r>
              <w:t>360024隆尧县大张家庄校区</w:t>
            </w:r>
          </w:p>
        </w:tc>
        <w:tc>
          <w:tcPr>
            <w:tcW w:w="2551" w:type="dxa"/>
            <w:tcBorders>
              <w:top w:val="single" w:color="FFFFFF" w:sz="6" w:space="0"/>
              <w:left w:val="single" w:color="FFFFFF" w:sz="6" w:space="0"/>
              <w:right w:val="single" w:color="FFFFFF" w:sz="6" w:space="0"/>
            </w:tcBorders>
            <w:vAlign w:val="center"/>
          </w:tcPr>
          <w:p w14:paraId="3265C89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DDE8FBB">
            <w:pPr>
              <w:pStyle w:val="10"/>
            </w:pPr>
            <w:r>
              <w:t>单位：万元</w:t>
            </w:r>
          </w:p>
        </w:tc>
      </w:tr>
      <w:tr w14:paraId="669BC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28A51">
            <w:pPr>
              <w:pStyle w:val="11"/>
            </w:pPr>
            <w:r>
              <w:t>序号</w:t>
            </w:r>
          </w:p>
        </w:tc>
        <w:tc>
          <w:tcPr>
            <w:tcW w:w="5726" w:type="dxa"/>
            <w:gridSpan w:val="2"/>
            <w:vAlign w:val="center"/>
          </w:tcPr>
          <w:p w14:paraId="046DB6F3">
            <w:pPr>
              <w:pStyle w:val="11"/>
            </w:pPr>
            <w:r>
              <w:t>功能分类科目</w:t>
            </w:r>
          </w:p>
        </w:tc>
        <w:tc>
          <w:tcPr>
            <w:tcW w:w="2551" w:type="dxa"/>
            <w:vMerge w:val="restart"/>
            <w:vAlign w:val="center"/>
          </w:tcPr>
          <w:p w14:paraId="3FE182ED">
            <w:pPr>
              <w:pStyle w:val="11"/>
            </w:pPr>
            <w:r>
              <w:t>合计</w:t>
            </w:r>
          </w:p>
        </w:tc>
        <w:tc>
          <w:tcPr>
            <w:tcW w:w="2551" w:type="dxa"/>
            <w:vMerge w:val="restart"/>
            <w:vAlign w:val="center"/>
          </w:tcPr>
          <w:p w14:paraId="0AE6F2E8">
            <w:pPr>
              <w:pStyle w:val="11"/>
            </w:pPr>
            <w:r>
              <w:t>基本支出</w:t>
            </w:r>
          </w:p>
        </w:tc>
        <w:tc>
          <w:tcPr>
            <w:tcW w:w="2551" w:type="dxa"/>
            <w:vMerge w:val="restart"/>
            <w:vAlign w:val="center"/>
          </w:tcPr>
          <w:p w14:paraId="5C58744D">
            <w:pPr>
              <w:pStyle w:val="11"/>
            </w:pPr>
            <w:r>
              <w:t>项目支出</w:t>
            </w:r>
          </w:p>
        </w:tc>
      </w:tr>
      <w:tr w14:paraId="4E9F5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F85C37"/>
        </w:tc>
        <w:tc>
          <w:tcPr>
            <w:tcW w:w="1191" w:type="dxa"/>
            <w:vAlign w:val="center"/>
          </w:tcPr>
          <w:p w14:paraId="72BAEB18">
            <w:pPr>
              <w:pStyle w:val="11"/>
            </w:pPr>
            <w:r>
              <w:t>科目编码</w:t>
            </w:r>
          </w:p>
        </w:tc>
        <w:tc>
          <w:tcPr>
            <w:tcW w:w="4535" w:type="dxa"/>
            <w:vAlign w:val="center"/>
          </w:tcPr>
          <w:p w14:paraId="1AD28064">
            <w:pPr>
              <w:pStyle w:val="11"/>
            </w:pPr>
            <w:r>
              <w:t>科目名称</w:t>
            </w:r>
          </w:p>
        </w:tc>
        <w:tc>
          <w:tcPr>
            <w:tcW w:w="2551" w:type="dxa"/>
            <w:vMerge w:val="continue"/>
          </w:tcPr>
          <w:p w14:paraId="5C5D4F9F"/>
        </w:tc>
        <w:tc>
          <w:tcPr>
            <w:tcW w:w="2551" w:type="dxa"/>
            <w:vMerge w:val="continue"/>
          </w:tcPr>
          <w:p w14:paraId="321CDDFB"/>
        </w:tc>
        <w:tc>
          <w:tcPr>
            <w:tcW w:w="2551" w:type="dxa"/>
            <w:vMerge w:val="continue"/>
          </w:tcPr>
          <w:p w14:paraId="0C706F39"/>
        </w:tc>
      </w:tr>
      <w:tr w14:paraId="4AF46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36827F">
            <w:pPr>
              <w:pStyle w:val="11"/>
            </w:pPr>
            <w:r>
              <w:t>栏次</w:t>
            </w:r>
          </w:p>
        </w:tc>
        <w:tc>
          <w:tcPr>
            <w:tcW w:w="1191" w:type="dxa"/>
            <w:vAlign w:val="center"/>
          </w:tcPr>
          <w:p w14:paraId="775BE7D6">
            <w:pPr>
              <w:pStyle w:val="11"/>
            </w:pPr>
            <w:r>
              <w:t>1</w:t>
            </w:r>
          </w:p>
        </w:tc>
        <w:tc>
          <w:tcPr>
            <w:tcW w:w="4535" w:type="dxa"/>
            <w:vAlign w:val="center"/>
          </w:tcPr>
          <w:p w14:paraId="143A5E64">
            <w:pPr>
              <w:pStyle w:val="11"/>
            </w:pPr>
            <w:r>
              <w:t>2</w:t>
            </w:r>
          </w:p>
        </w:tc>
        <w:tc>
          <w:tcPr>
            <w:tcW w:w="2551" w:type="dxa"/>
            <w:vAlign w:val="center"/>
          </w:tcPr>
          <w:p w14:paraId="16D064A5">
            <w:pPr>
              <w:pStyle w:val="11"/>
            </w:pPr>
            <w:r>
              <w:t>3</w:t>
            </w:r>
          </w:p>
        </w:tc>
        <w:tc>
          <w:tcPr>
            <w:tcW w:w="2551" w:type="dxa"/>
            <w:vAlign w:val="center"/>
          </w:tcPr>
          <w:p w14:paraId="5A1FB04D">
            <w:pPr>
              <w:pStyle w:val="11"/>
            </w:pPr>
            <w:r>
              <w:t>4</w:t>
            </w:r>
          </w:p>
        </w:tc>
        <w:tc>
          <w:tcPr>
            <w:tcW w:w="2551" w:type="dxa"/>
            <w:vAlign w:val="center"/>
          </w:tcPr>
          <w:p w14:paraId="4AF4B9DA">
            <w:pPr>
              <w:pStyle w:val="11"/>
            </w:pPr>
            <w:r>
              <w:t>5</w:t>
            </w:r>
          </w:p>
        </w:tc>
      </w:tr>
      <w:tr w14:paraId="3A832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B29C5">
            <w:pPr>
              <w:pStyle w:val="12"/>
            </w:pPr>
          </w:p>
        </w:tc>
        <w:tc>
          <w:tcPr>
            <w:tcW w:w="1191" w:type="dxa"/>
            <w:vAlign w:val="center"/>
          </w:tcPr>
          <w:p w14:paraId="5DE48DF2">
            <w:pPr>
              <w:pStyle w:val="13"/>
            </w:pPr>
          </w:p>
        </w:tc>
        <w:tc>
          <w:tcPr>
            <w:tcW w:w="4535" w:type="dxa"/>
            <w:vAlign w:val="center"/>
          </w:tcPr>
          <w:p w14:paraId="0320E4AD">
            <w:pPr>
              <w:pStyle w:val="13"/>
            </w:pPr>
          </w:p>
        </w:tc>
        <w:tc>
          <w:tcPr>
            <w:tcW w:w="2551" w:type="dxa"/>
            <w:vAlign w:val="center"/>
          </w:tcPr>
          <w:p w14:paraId="5661C33C">
            <w:pPr>
              <w:pStyle w:val="14"/>
            </w:pPr>
          </w:p>
        </w:tc>
        <w:tc>
          <w:tcPr>
            <w:tcW w:w="2551" w:type="dxa"/>
            <w:vAlign w:val="center"/>
          </w:tcPr>
          <w:p w14:paraId="58D0064F">
            <w:pPr>
              <w:pStyle w:val="14"/>
            </w:pPr>
          </w:p>
        </w:tc>
        <w:tc>
          <w:tcPr>
            <w:tcW w:w="2551" w:type="dxa"/>
            <w:vAlign w:val="center"/>
          </w:tcPr>
          <w:p w14:paraId="17BBF9EA">
            <w:pPr>
              <w:pStyle w:val="14"/>
            </w:pPr>
          </w:p>
        </w:tc>
      </w:tr>
    </w:tbl>
    <w:p w14:paraId="54EE69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48C0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E22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53945F">
            <w:pPr>
              <w:pStyle w:val="8"/>
            </w:pPr>
            <w:r>
              <w:t>360024隆尧县大张家庄校区</w:t>
            </w:r>
          </w:p>
        </w:tc>
        <w:tc>
          <w:tcPr>
            <w:tcW w:w="2381" w:type="dxa"/>
            <w:tcBorders>
              <w:top w:val="single" w:color="FFFFFF" w:sz="6" w:space="0"/>
              <w:left w:val="single" w:color="FFFFFF" w:sz="6" w:space="0"/>
              <w:right w:val="single" w:color="FFFFFF" w:sz="6" w:space="0"/>
            </w:tcBorders>
            <w:vAlign w:val="center"/>
          </w:tcPr>
          <w:p w14:paraId="2606D128">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459B55D">
            <w:pPr>
              <w:pStyle w:val="10"/>
            </w:pPr>
            <w:r>
              <w:t>单位：万元</w:t>
            </w:r>
          </w:p>
        </w:tc>
      </w:tr>
      <w:tr w14:paraId="1E1AC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D059A">
            <w:pPr>
              <w:pStyle w:val="11"/>
            </w:pPr>
            <w:r>
              <w:t>序号</w:t>
            </w:r>
          </w:p>
        </w:tc>
        <w:tc>
          <w:tcPr>
            <w:tcW w:w="3798" w:type="dxa"/>
            <w:vMerge w:val="restart"/>
            <w:vAlign w:val="center"/>
          </w:tcPr>
          <w:p w14:paraId="605E061B">
            <w:pPr>
              <w:pStyle w:val="11"/>
            </w:pPr>
            <w:r>
              <w:t>项  目</w:t>
            </w:r>
          </w:p>
        </w:tc>
        <w:tc>
          <w:tcPr>
            <w:tcW w:w="9524" w:type="dxa"/>
            <w:gridSpan w:val="4"/>
            <w:vAlign w:val="center"/>
          </w:tcPr>
          <w:p w14:paraId="3484A82C">
            <w:pPr>
              <w:pStyle w:val="11"/>
            </w:pPr>
            <w:r>
              <w:t>资 金 性 质</w:t>
            </w:r>
          </w:p>
        </w:tc>
      </w:tr>
      <w:tr w14:paraId="304AF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44D53E"/>
        </w:tc>
        <w:tc>
          <w:tcPr>
            <w:tcW w:w="3798" w:type="dxa"/>
            <w:vMerge w:val="continue"/>
          </w:tcPr>
          <w:p w14:paraId="5DF2C05D"/>
        </w:tc>
        <w:tc>
          <w:tcPr>
            <w:tcW w:w="2381" w:type="dxa"/>
            <w:vAlign w:val="center"/>
          </w:tcPr>
          <w:p w14:paraId="4572CD91">
            <w:pPr>
              <w:pStyle w:val="11"/>
            </w:pPr>
            <w:r>
              <w:t>合计</w:t>
            </w:r>
          </w:p>
        </w:tc>
        <w:tc>
          <w:tcPr>
            <w:tcW w:w="2381" w:type="dxa"/>
            <w:vAlign w:val="center"/>
          </w:tcPr>
          <w:p w14:paraId="1189E85D">
            <w:pPr>
              <w:pStyle w:val="11"/>
            </w:pPr>
            <w:r>
              <w:t>一般公共预算              财政拨款</w:t>
            </w:r>
          </w:p>
        </w:tc>
        <w:tc>
          <w:tcPr>
            <w:tcW w:w="2381" w:type="dxa"/>
            <w:vAlign w:val="center"/>
          </w:tcPr>
          <w:p w14:paraId="48958EBF">
            <w:pPr>
              <w:pStyle w:val="11"/>
            </w:pPr>
            <w:r>
              <w:t>政府性基金                  预算拨款</w:t>
            </w:r>
          </w:p>
        </w:tc>
        <w:tc>
          <w:tcPr>
            <w:tcW w:w="2381" w:type="dxa"/>
            <w:vAlign w:val="center"/>
          </w:tcPr>
          <w:p w14:paraId="2A30C06D">
            <w:pPr>
              <w:pStyle w:val="11"/>
            </w:pPr>
            <w:r>
              <w:t>国有资本经营              预算财政拨款</w:t>
            </w:r>
          </w:p>
        </w:tc>
      </w:tr>
      <w:tr w14:paraId="30C00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92FE9D">
            <w:pPr>
              <w:pStyle w:val="11"/>
            </w:pPr>
            <w:r>
              <w:t>栏次</w:t>
            </w:r>
          </w:p>
        </w:tc>
        <w:tc>
          <w:tcPr>
            <w:tcW w:w="3798" w:type="dxa"/>
            <w:vAlign w:val="center"/>
          </w:tcPr>
          <w:p w14:paraId="3A2D94E2">
            <w:pPr>
              <w:pStyle w:val="11"/>
            </w:pPr>
            <w:r>
              <w:t>1</w:t>
            </w:r>
          </w:p>
        </w:tc>
        <w:tc>
          <w:tcPr>
            <w:tcW w:w="2381" w:type="dxa"/>
            <w:vAlign w:val="center"/>
          </w:tcPr>
          <w:p w14:paraId="72EF1A8C">
            <w:pPr>
              <w:pStyle w:val="11"/>
            </w:pPr>
            <w:r>
              <w:t>2</w:t>
            </w:r>
          </w:p>
        </w:tc>
        <w:tc>
          <w:tcPr>
            <w:tcW w:w="2381" w:type="dxa"/>
            <w:vAlign w:val="center"/>
          </w:tcPr>
          <w:p w14:paraId="4DEC7C60">
            <w:pPr>
              <w:pStyle w:val="11"/>
            </w:pPr>
            <w:r>
              <w:t>3</w:t>
            </w:r>
          </w:p>
        </w:tc>
        <w:tc>
          <w:tcPr>
            <w:tcW w:w="2381" w:type="dxa"/>
            <w:vAlign w:val="center"/>
          </w:tcPr>
          <w:p w14:paraId="39E33E39">
            <w:pPr>
              <w:pStyle w:val="11"/>
            </w:pPr>
            <w:r>
              <w:t>4</w:t>
            </w:r>
          </w:p>
        </w:tc>
        <w:tc>
          <w:tcPr>
            <w:tcW w:w="2381" w:type="dxa"/>
            <w:vAlign w:val="center"/>
          </w:tcPr>
          <w:p w14:paraId="551CC2F6">
            <w:pPr>
              <w:pStyle w:val="11"/>
            </w:pPr>
            <w:r>
              <w:t>5</w:t>
            </w:r>
          </w:p>
        </w:tc>
      </w:tr>
      <w:tr w14:paraId="3E758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67C4B9">
            <w:pPr>
              <w:pStyle w:val="12"/>
            </w:pPr>
          </w:p>
        </w:tc>
        <w:tc>
          <w:tcPr>
            <w:tcW w:w="3798" w:type="dxa"/>
            <w:vAlign w:val="center"/>
          </w:tcPr>
          <w:p w14:paraId="30CD2E32">
            <w:pPr>
              <w:pStyle w:val="13"/>
            </w:pPr>
          </w:p>
        </w:tc>
        <w:tc>
          <w:tcPr>
            <w:tcW w:w="2381" w:type="dxa"/>
            <w:vAlign w:val="center"/>
          </w:tcPr>
          <w:p w14:paraId="4951A16A">
            <w:pPr>
              <w:pStyle w:val="14"/>
            </w:pPr>
          </w:p>
        </w:tc>
        <w:tc>
          <w:tcPr>
            <w:tcW w:w="2381" w:type="dxa"/>
            <w:vAlign w:val="center"/>
          </w:tcPr>
          <w:p w14:paraId="3928DB1F">
            <w:pPr>
              <w:pStyle w:val="14"/>
            </w:pPr>
          </w:p>
        </w:tc>
        <w:tc>
          <w:tcPr>
            <w:tcW w:w="2381" w:type="dxa"/>
            <w:vAlign w:val="center"/>
          </w:tcPr>
          <w:p w14:paraId="532D2946">
            <w:pPr>
              <w:pStyle w:val="14"/>
            </w:pPr>
          </w:p>
        </w:tc>
        <w:tc>
          <w:tcPr>
            <w:tcW w:w="2381" w:type="dxa"/>
            <w:vAlign w:val="center"/>
          </w:tcPr>
          <w:p w14:paraId="35959DA4">
            <w:pPr>
              <w:pStyle w:val="14"/>
            </w:pPr>
          </w:p>
        </w:tc>
      </w:tr>
    </w:tbl>
    <w:p w14:paraId="71B5096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B45B23D">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隆尧县大张家庄校区2025年单位预算信息公开情况说明</w:t>
      </w:r>
    </w:p>
    <w:p w14:paraId="529BED4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按照《中华人民共和国预算法》、《地方预决算公开操作规程》和《关于进一步推进预算公开工作的实施意见》规定，现将隆尧县大张家庄校区2025年单位预算公开如下：</w:t>
      </w:r>
    </w:p>
    <w:p w14:paraId="7CB17DA5">
      <w:pPr>
        <w:spacing w:before="10" w:after="10" w:line="240" w:lineRule="auto"/>
        <w:ind w:firstLine="640"/>
        <w:jc w:val="left"/>
        <w:outlineLvl w:val="5"/>
      </w:pPr>
      <w:r>
        <w:rPr>
          <w:rFonts w:ascii="黑体" w:hAnsi="黑体" w:eastAsia="黑体" w:cs="黑体"/>
          <w:color w:val="000000"/>
          <w:sz w:val="32"/>
        </w:rPr>
        <w:t>一、单位职责及机构设置情况</w:t>
      </w:r>
    </w:p>
    <w:p w14:paraId="19FC6B9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0B3CFCF">
      <w:pPr>
        <w:pStyle w:val="18"/>
      </w:pPr>
      <w:r>
        <w:t>贯彻落实基础教育的方针、政策，开展小学阶段教育教学工作，促进学生德、智、体、美、劳全面发展；负责学生安全教育和管理，确保学生身心健康；加强教师队伍建设和管理，为教育教学工作提供保障。</w:t>
      </w:r>
    </w:p>
    <w:p w14:paraId="60A456E3">
      <w:pPr>
        <w:pStyle w:val="18"/>
      </w:pPr>
      <w:r>
        <w:t>隆尧县大张家庄校区事业编制144名．其中，校长1名（正股级），副校长4名（副股级）；经费形式为财政性资金基本保证。</w:t>
      </w:r>
    </w:p>
    <w:p w14:paraId="5902412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951AE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07F0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60F1CA">
            <w:pPr>
              <w:pStyle w:val="11"/>
            </w:pPr>
            <w:r>
              <w:t>单位名称</w:t>
            </w:r>
          </w:p>
        </w:tc>
        <w:tc>
          <w:tcPr>
            <w:tcW w:w="1843" w:type="dxa"/>
            <w:vAlign w:val="center"/>
          </w:tcPr>
          <w:p w14:paraId="0345CBCC">
            <w:pPr>
              <w:pStyle w:val="11"/>
            </w:pPr>
            <w:r>
              <w:t>单位性质</w:t>
            </w:r>
          </w:p>
        </w:tc>
        <w:tc>
          <w:tcPr>
            <w:tcW w:w="2126" w:type="dxa"/>
            <w:vAlign w:val="center"/>
          </w:tcPr>
          <w:p w14:paraId="46C96E1E">
            <w:pPr>
              <w:pStyle w:val="11"/>
            </w:pPr>
            <w:r>
              <w:t>单位规格</w:t>
            </w:r>
          </w:p>
        </w:tc>
        <w:tc>
          <w:tcPr>
            <w:tcW w:w="3827" w:type="dxa"/>
            <w:vAlign w:val="center"/>
          </w:tcPr>
          <w:p w14:paraId="7C34EB72">
            <w:pPr>
              <w:pStyle w:val="11"/>
            </w:pPr>
            <w:r>
              <w:t>经费保障形式</w:t>
            </w:r>
          </w:p>
        </w:tc>
      </w:tr>
      <w:tr w14:paraId="1D061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45A085">
            <w:pPr>
              <w:pStyle w:val="13"/>
            </w:pPr>
            <w:r>
              <w:t>隆尧县大张家庄校区</w:t>
            </w:r>
          </w:p>
        </w:tc>
        <w:tc>
          <w:tcPr>
            <w:tcW w:w="1843" w:type="dxa"/>
            <w:vAlign w:val="center"/>
          </w:tcPr>
          <w:p w14:paraId="2D97B757">
            <w:pPr>
              <w:pStyle w:val="12"/>
            </w:pPr>
            <w:r>
              <w:t>事业</w:t>
            </w:r>
          </w:p>
        </w:tc>
        <w:tc>
          <w:tcPr>
            <w:tcW w:w="2126" w:type="dxa"/>
            <w:vAlign w:val="center"/>
          </w:tcPr>
          <w:p w14:paraId="2A4C2508">
            <w:pPr>
              <w:pStyle w:val="12"/>
            </w:pPr>
            <w:r>
              <w:t>股级</w:t>
            </w:r>
          </w:p>
        </w:tc>
        <w:tc>
          <w:tcPr>
            <w:tcW w:w="3827" w:type="dxa"/>
            <w:vAlign w:val="center"/>
          </w:tcPr>
          <w:p w14:paraId="76A7C69B">
            <w:pPr>
              <w:pStyle w:val="12"/>
            </w:pPr>
            <w:r>
              <w:t>财政性资金基本保证</w:t>
            </w:r>
          </w:p>
        </w:tc>
      </w:tr>
    </w:tbl>
    <w:p w14:paraId="6903B4DD">
      <w:pPr>
        <w:spacing w:before="10" w:after="10" w:line="240" w:lineRule="auto"/>
        <w:ind w:firstLine="640"/>
        <w:jc w:val="left"/>
        <w:outlineLvl w:val="5"/>
      </w:pPr>
      <w:r>
        <w:rPr>
          <w:rFonts w:ascii="黑体" w:hAnsi="黑体" w:eastAsia="黑体" w:cs="黑体"/>
          <w:color w:val="000000"/>
          <w:sz w:val="32"/>
        </w:rPr>
        <w:t>二、单位预算安排的总体情况</w:t>
      </w:r>
    </w:p>
    <w:p w14:paraId="19726CE4">
      <w:pPr>
        <w:pStyle w:val="19"/>
      </w:pPr>
      <w:r>
        <w:t>按照预算管理有关规定，目前我校区单位预算的编制实行综合预算管理，即全部收入和支出都反映的预算中。隆尧县大张家庄校区的收支包含在单位预算中。</w:t>
      </w:r>
    </w:p>
    <w:p w14:paraId="5B60406A">
      <w:pPr>
        <w:pStyle w:val="19"/>
      </w:pPr>
      <w:r>
        <w:t>1、收入说明</w:t>
      </w:r>
    </w:p>
    <w:p w14:paraId="63891CA5">
      <w:pPr>
        <w:pStyle w:val="19"/>
      </w:pPr>
      <w:r>
        <w:t>反映本单位当年全部收入。2025年预算收入2189.41万元，其中：一般公共预算收入2032.12万元，基金预算收入0元，财政专户管理资金收入0万元，其他来源收入0元，上年结转157.29万元。</w:t>
      </w:r>
    </w:p>
    <w:p w14:paraId="131520BF">
      <w:pPr>
        <w:pStyle w:val="19"/>
      </w:pPr>
      <w:r>
        <w:t>2、支出说明</w:t>
      </w:r>
    </w:p>
    <w:p w14:paraId="58F92125">
      <w:pPr>
        <w:pStyle w:val="19"/>
      </w:pPr>
      <w:r>
        <w:t>收支预算总表支出栏、基本支出表、项目支出表按经济分类和支出功能分类科目编制，反映隆尧县大张家庄校区年度单位预算中支出预算的总体情况。2025年单位支出预算为2189.41万元，其中基本支出1687.70万元，项目支出501.71万元</w:t>
      </w:r>
    </w:p>
    <w:p w14:paraId="555C923C">
      <w:pPr>
        <w:pStyle w:val="19"/>
      </w:pPr>
      <w:r>
        <w:t>3、比上年增减情况</w:t>
      </w:r>
    </w:p>
    <w:p w14:paraId="5CE8938B">
      <w:pPr>
        <w:pStyle w:val="19"/>
      </w:pPr>
      <w:r>
        <w:t>2025年预算收支安排2189.41万元，较2024年预算增加205.74万元，其中：基本支出增加20.34万元，主要增加人员经费支出；项目支出增加185.4万元。</w:t>
      </w:r>
    </w:p>
    <w:p w14:paraId="2BC90628">
      <w:pPr>
        <w:spacing w:before="10" w:after="10" w:line="240" w:lineRule="auto"/>
        <w:ind w:firstLine="640"/>
        <w:jc w:val="left"/>
        <w:outlineLvl w:val="5"/>
      </w:pPr>
      <w:r>
        <w:rPr>
          <w:rFonts w:ascii="黑体" w:hAnsi="黑体" w:eastAsia="黑体" w:cs="黑体"/>
          <w:color w:val="000000"/>
          <w:sz w:val="32"/>
        </w:rPr>
        <w:t>三、机关运行经费安排情况</w:t>
      </w:r>
    </w:p>
    <w:p w14:paraId="7926DC61">
      <w:pPr>
        <w:pStyle w:val="20"/>
      </w:pPr>
      <w:r>
        <w:t>我单位按学生安排公用经费，无机关运行费</w:t>
      </w:r>
    </w:p>
    <w:p w14:paraId="0082BED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1323A56">
      <w:pPr>
        <w:pStyle w:val="21"/>
      </w:pPr>
      <w:r>
        <w:t>2025年，我单位财政拨款“三公”经费预算安排0万元，其中因公出国（境）费0万元；公务用车购置及运维费0万元（其中：公务用车购置费为0万元，公务用车运行维护费0万元)；公务接待费0万元。与2024年相比无变化。</w:t>
      </w:r>
    </w:p>
    <w:p w14:paraId="0615234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29089F2">
      <w:pPr>
        <w:spacing w:before="0" w:after="0"/>
        <w:ind w:firstLine="560"/>
        <w:jc w:val="left"/>
        <w:outlineLvl w:val="9"/>
      </w:pPr>
      <w:r>
        <w:rPr>
          <w:rFonts w:ascii="方正仿宋_GBK" w:hAnsi="方正仿宋_GBK" w:eastAsia="方正仿宋_GBK" w:cs="方正仿宋_GBK"/>
          <w:b/>
          <w:color w:val="000000"/>
          <w:sz w:val="28"/>
        </w:rPr>
        <w:t>1、冀财教[2024]121号/中央/2025年学前发展资金/大张家庄校区学前教育幼儿资助绩效目标表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B55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2EDC1">
            <w:pPr>
              <w:pStyle w:val="14"/>
            </w:pPr>
            <w:r>
              <w:t>单位：万元</w:t>
            </w:r>
          </w:p>
        </w:tc>
      </w:tr>
      <w:tr w14:paraId="1FF55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7E82D">
            <w:pPr>
              <w:pStyle w:val="11"/>
            </w:pPr>
            <w:r>
              <w:t>项目编码</w:t>
            </w:r>
          </w:p>
        </w:tc>
        <w:tc>
          <w:tcPr>
            <w:tcW w:w="5103" w:type="dxa"/>
            <w:gridSpan w:val="2"/>
            <w:vAlign w:val="center"/>
          </w:tcPr>
          <w:p w14:paraId="4ADBA276">
            <w:pPr>
              <w:pStyle w:val="13"/>
            </w:pPr>
            <w:r>
              <w:t>13052525P00000210058W</w:t>
            </w:r>
          </w:p>
        </w:tc>
        <w:tc>
          <w:tcPr>
            <w:tcW w:w="2835" w:type="dxa"/>
            <w:vAlign w:val="center"/>
          </w:tcPr>
          <w:p w14:paraId="5A03AFAC">
            <w:pPr>
              <w:pStyle w:val="11"/>
            </w:pPr>
            <w:r>
              <w:t>项目名称</w:t>
            </w:r>
          </w:p>
        </w:tc>
        <w:tc>
          <w:tcPr>
            <w:tcW w:w="6095" w:type="dxa"/>
            <w:gridSpan w:val="3"/>
            <w:vAlign w:val="center"/>
          </w:tcPr>
          <w:p w14:paraId="22BAA6A1">
            <w:pPr>
              <w:pStyle w:val="13"/>
            </w:pPr>
            <w:r>
              <w:t>冀财教[2024]121号/中央/2025年学前发展资金/大张家庄校区学前教育幼儿资助</w:t>
            </w:r>
          </w:p>
        </w:tc>
      </w:tr>
      <w:tr w14:paraId="00708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6B3A7">
            <w:pPr>
              <w:pStyle w:val="11"/>
            </w:pPr>
            <w:r>
              <w:t>预算规模及资金用途</w:t>
            </w:r>
          </w:p>
        </w:tc>
        <w:tc>
          <w:tcPr>
            <w:tcW w:w="2268" w:type="dxa"/>
            <w:vAlign w:val="center"/>
          </w:tcPr>
          <w:p w14:paraId="58497835">
            <w:pPr>
              <w:pStyle w:val="11"/>
            </w:pPr>
            <w:r>
              <w:t>预算数</w:t>
            </w:r>
          </w:p>
        </w:tc>
        <w:tc>
          <w:tcPr>
            <w:tcW w:w="2835" w:type="dxa"/>
            <w:vAlign w:val="center"/>
          </w:tcPr>
          <w:p w14:paraId="309EA929">
            <w:pPr>
              <w:pStyle w:val="13"/>
            </w:pPr>
            <w:r>
              <w:t>0.84</w:t>
            </w:r>
          </w:p>
        </w:tc>
        <w:tc>
          <w:tcPr>
            <w:tcW w:w="2835" w:type="dxa"/>
            <w:vAlign w:val="center"/>
          </w:tcPr>
          <w:p w14:paraId="7113CF9E">
            <w:pPr>
              <w:pStyle w:val="11"/>
            </w:pPr>
            <w:r>
              <w:t>其中：财政    资金</w:t>
            </w:r>
          </w:p>
        </w:tc>
        <w:tc>
          <w:tcPr>
            <w:tcW w:w="2551" w:type="dxa"/>
            <w:vAlign w:val="center"/>
          </w:tcPr>
          <w:p w14:paraId="535CBA93">
            <w:pPr>
              <w:pStyle w:val="13"/>
            </w:pPr>
            <w:r>
              <w:t>0.84</w:t>
            </w:r>
          </w:p>
        </w:tc>
        <w:tc>
          <w:tcPr>
            <w:tcW w:w="2268" w:type="dxa"/>
            <w:vAlign w:val="center"/>
          </w:tcPr>
          <w:p w14:paraId="407FD199">
            <w:pPr>
              <w:pStyle w:val="11"/>
            </w:pPr>
            <w:r>
              <w:t>其他资金</w:t>
            </w:r>
          </w:p>
        </w:tc>
        <w:tc>
          <w:tcPr>
            <w:tcW w:w="1276" w:type="dxa"/>
            <w:vAlign w:val="center"/>
          </w:tcPr>
          <w:p w14:paraId="33EB93EC">
            <w:pPr>
              <w:pStyle w:val="13"/>
            </w:pPr>
            <w:r>
              <w:t xml:space="preserve"> </w:t>
            </w:r>
          </w:p>
        </w:tc>
      </w:tr>
      <w:tr w14:paraId="425FB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48435F"/>
        </w:tc>
        <w:tc>
          <w:tcPr>
            <w:tcW w:w="14033" w:type="dxa"/>
            <w:gridSpan w:val="6"/>
            <w:vAlign w:val="center"/>
          </w:tcPr>
          <w:p w14:paraId="21D54BAF">
            <w:pPr>
              <w:pStyle w:val="13"/>
            </w:pPr>
            <w:r>
              <w:t>用于减轻学前受教育幼儿家庭经济负担，提高学前幼儿入学率。</w:t>
            </w:r>
          </w:p>
        </w:tc>
      </w:tr>
      <w:tr w14:paraId="6EB67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66278">
            <w:pPr>
              <w:pStyle w:val="11"/>
            </w:pPr>
            <w:r>
              <w:t>资金支出计划（%）</w:t>
            </w:r>
          </w:p>
        </w:tc>
        <w:tc>
          <w:tcPr>
            <w:tcW w:w="5103" w:type="dxa"/>
            <w:gridSpan w:val="2"/>
            <w:vAlign w:val="center"/>
          </w:tcPr>
          <w:p w14:paraId="53630707">
            <w:pPr>
              <w:pStyle w:val="11"/>
            </w:pPr>
            <w:r>
              <w:t>3月底</w:t>
            </w:r>
          </w:p>
        </w:tc>
        <w:tc>
          <w:tcPr>
            <w:tcW w:w="2835" w:type="dxa"/>
            <w:vAlign w:val="center"/>
          </w:tcPr>
          <w:p w14:paraId="359CD0E5">
            <w:pPr>
              <w:pStyle w:val="11"/>
            </w:pPr>
            <w:r>
              <w:t>6月底</w:t>
            </w:r>
          </w:p>
        </w:tc>
        <w:tc>
          <w:tcPr>
            <w:tcW w:w="2551" w:type="dxa"/>
            <w:vAlign w:val="center"/>
          </w:tcPr>
          <w:p w14:paraId="18526D42">
            <w:pPr>
              <w:pStyle w:val="11"/>
            </w:pPr>
            <w:r>
              <w:t>10月底</w:t>
            </w:r>
          </w:p>
        </w:tc>
        <w:tc>
          <w:tcPr>
            <w:tcW w:w="3544" w:type="dxa"/>
            <w:gridSpan w:val="2"/>
            <w:vAlign w:val="center"/>
          </w:tcPr>
          <w:p w14:paraId="3D218A43">
            <w:pPr>
              <w:pStyle w:val="11"/>
            </w:pPr>
            <w:r>
              <w:t>12月底</w:t>
            </w:r>
          </w:p>
        </w:tc>
      </w:tr>
      <w:tr w14:paraId="773D3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BFA95"/>
        </w:tc>
        <w:tc>
          <w:tcPr>
            <w:tcW w:w="5103" w:type="dxa"/>
            <w:gridSpan w:val="2"/>
            <w:vAlign w:val="center"/>
          </w:tcPr>
          <w:p w14:paraId="47680A88">
            <w:pPr>
              <w:pStyle w:val="12"/>
            </w:pPr>
            <w:r>
              <w:t xml:space="preserve"> </w:t>
            </w:r>
          </w:p>
        </w:tc>
        <w:tc>
          <w:tcPr>
            <w:tcW w:w="2835" w:type="dxa"/>
            <w:vAlign w:val="center"/>
          </w:tcPr>
          <w:p w14:paraId="2049A174">
            <w:pPr>
              <w:pStyle w:val="12"/>
            </w:pPr>
            <w:r>
              <w:t>100%</w:t>
            </w:r>
          </w:p>
        </w:tc>
        <w:tc>
          <w:tcPr>
            <w:tcW w:w="2551" w:type="dxa"/>
            <w:vAlign w:val="center"/>
          </w:tcPr>
          <w:p w14:paraId="41BE21E0">
            <w:pPr>
              <w:pStyle w:val="12"/>
            </w:pPr>
            <w:r>
              <w:t>100%</w:t>
            </w:r>
          </w:p>
        </w:tc>
        <w:tc>
          <w:tcPr>
            <w:tcW w:w="3544" w:type="dxa"/>
            <w:gridSpan w:val="2"/>
            <w:vAlign w:val="center"/>
          </w:tcPr>
          <w:p w14:paraId="2A96F4DE">
            <w:pPr>
              <w:pStyle w:val="12"/>
            </w:pPr>
            <w:r>
              <w:t>100%</w:t>
            </w:r>
          </w:p>
        </w:tc>
      </w:tr>
      <w:tr w14:paraId="103B8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F84917">
            <w:pPr>
              <w:pStyle w:val="11"/>
            </w:pPr>
            <w:r>
              <w:t>绩效目标</w:t>
            </w:r>
          </w:p>
        </w:tc>
        <w:tc>
          <w:tcPr>
            <w:tcW w:w="14033" w:type="dxa"/>
            <w:gridSpan w:val="6"/>
            <w:vAlign w:val="center"/>
          </w:tcPr>
          <w:p w14:paraId="742ECA02">
            <w:pPr>
              <w:pStyle w:val="13"/>
            </w:pPr>
            <w:r>
              <w:t>1.减轻学前受教育幼儿家庭经济负担，提高学前幼儿入学率。</w:t>
            </w:r>
          </w:p>
          <w:p w14:paraId="425C1865">
            <w:pPr>
              <w:pStyle w:val="13"/>
            </w:pPr>
            <w:r>
              <w:t>2.保障落实建档立卡及家庭经济困难儿童资助所需资金，确保建档立卡等家庭经济困难幼儿优先获得资助</w:t>
            </w:r>
          </w:p>
        </w:tc>
      </w:tr>
    </w:tbl>
    <w:p w14:paraId="6051B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2C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617AD">
            <w:pPr>
              <w:pStyle w:val="11"/>
            </w:pPr>
            <w:r>
              <w:t>一级指标</w:t>
            </w:r>
          </w:p>
        </w:tc>
        <w:tc>
          <w:tcPr>
            <w:tcW w:w="2268" w:type="dxa"/>
            <w:vAlign w:val="center"/>
          </w:tcPr>
          <w:p w14:paraId="123336E5">
            <w:pPr>
              <w:pStyle w:val="11"/>
            </w:pPr>
            <w:r>
              <w:t>二级指标</w:t>
            </w:r>
          </w:p>
        </w:tc>
        <w:tc>
          <w:tcPr>
            <w:tcW w:w="2835" w:type="dxa"/>
            <w:vAlign w:val="center"/>
          </w:tcPr>
          <w:p w14:paraId="53263D4F">
            <w:pPr>
              <w:pStyle w:val="11"/>
            </w:pPr>
            <w:r>
              <w:t>三级指标</w:t>
            </w:r>
          </w:p>
        </w:tc>
        <w:tc>
          <w:tcPr>
            <w:tcW w:w="5386" w:type="dxa"/>
            <w:vAlign w:val="center"/>
          </w:tcPr>
          <w:p w14:paraId="00DD0079">
            <w:pPr>
              <w:pStyle w:val="11"/>
            </w:pPr>
            <w:r>
              <w:t>绩效指标描述</w:t>
            </w:r>
          </w:p>
        </w:tc>
        <w:tc>
          <w:tcPr>
            <w:tcW w:w="2268" w:type="dxa"/>
            <w:vAlign w:val="center"/>
          </w:tcPr>
          <w:p w14:paraId="11878FFA">
            <w:pPr>
              <w:pStyle w:val="11"/>
            </w:pPr>
            <w:r>
              <w:t>指标值</w:t>
            </w:r>
          </w:p>
        </w:tc>
        <w:tc>
          <w:tcPr>
            <w:tcW w:w="1276" w:type="dxa"/>
            <w:vAlign w:val="center"/>
          </w:tcPr>
          <w:p w14:paraId="0D69144E">
            <w:pPr>
              <w:pStyle w:val="11"/>
            </w:pPr>
            <w:r>
              <w:t>指标值确定依据</w:t>
            </w:r>
          </w:p>
        </w:tc>
      </w:tr>
      <w:tr w14:paraId="169C5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A5C39">
            <w:pPr>
              <w:pStyle w:val="12"/>
            </w:pPr>
            <w:r>
              <w:t>产出指标</w:t>
            </w:r>
          </w:p>
        </w:tc>
        <w:tc>
          <w:tcPr>
            <w:tcW w:w="2268" w:type="dxa"/>
            <w:vAlign w:val="center"/>
          </w:tcPr>
          <w:p w14:paraId="7A785015">
            <w:pPr>
              <w:pStyle w:val="13"/>
            </w:pPr>
            <w:r>
              <w:t>数量指标</w:t>
            </w:r>
          </w:p>
        </w:tc>
        <w:tc>
          <w:tcPr>
            <w:tcW w:w="2835" w:type="dxa"/>
            <w:vAlign w:val="center"/>
          </w:tcPr>
          <w:p w14:paraId="3CB75863">
            <w:pPr>
              <w:pStyle w:val="13"/>
            </w:pPr>
            <w:r>
              <w:t>幼儿资助比例</w:t>
            </w:r>
          </w:p>
        </w:tc>
        <w:tc>
          <w:tcPr>
            <w:tcW w:w="5386" w:type="dxa"/>
            <w:vAlign w:val="center"/>
          </w:tcPr>
          <w:p w14:paraId="61F7EC29">
            <w:pPr>
              <w:pStyle w:val="13"/>
            </w:pPr>
            <w:r>
              <w:t>按学前适龄在园儿童实际资助人数测算</w:t>
            </w:r>
          </w:p>
        </w:tc>
        <w:tc>
          <w:tcPr>
            <w:tcW w:w="2268" w:type="dxa"/>
            <w:vAlign w:val="center"/>
          </w:tcPr>
          <w:p w14:paraId="519EB8D5">
            <w:pPr>
              <w:pStyle w:val="13"/>
            </w:pPr>
            <w:r>
              <w:t>14人</w:t>
            </w:r>
          </w:p>
        </w:tc>
        <w:tc>
          <w:tcPr>
            <w:tcW w:w="1276" w:type="dxa"/>
            <w:vAlign w:val="center"/>
          </w:tcPr>
          <w:p w14:paraId="5727B7C8">
            <w:pPr>
              <w:pStyle w:val="13"/>
            </w:pPr>
            <w:r>
              <w:t>发展学前教育资金管理办法</w:t>
            </w:r>
          </w:p>
        </w:tc>
      </w:tr>
      <w:tr w14:paraId="0F344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869AB"/>
        </w:tc>
        <w:tc>
          <w:tcPr>
            <w:tcW w:w="2268" w:type="dxa"/>
            <w:vAlign w:val="center"/>
          </w:tcPr>
          <w:p w14:paraId="6E138D1E">
            <w:pPr>
              <w:pStyle w:val="13"/>
            </w:pPr>
            <w:r>
              <w:t>质量指标</w:t>
            </w:r>
          </w:p>
        </w:tc>
        <w:tc>
          <w:tcPr>
            <w:tcW w:w="2835" w:type="dxa"/>
            <w:vAlign w:val="center"/>
          </w:tcPr>
          <w:p w14:paraId="79F324A5">
            <w:pPr>
              <w:pStyle w:val="13"/>
            </w:pPr>
            <w:r>
              <w:t>学前教育资助制度落实情况</w:t>
            </w:r>
          </w:p>
        </w:tc>
        <w:tc>
          <w:tcPr>
            <w:tcW w:w="5386" w:type="dxa"/>
            <w:vAlign w:val="center"/>
          </w:tcPr>
          <w:p w14:paraId="54A4B1D6">
            <w:pPr>
              <w:pStyle w:val="13"/>
            </w:pPr>
            <w:r>
              <w:t>符合享受资助条件的学生覆盖率</w:t>
            </w:r>
          </w:p>
        </w:tc>
        <w:tc>
          <w:tcPr>
            <w:tcW w:w="2268" w:type="dxa"/>
            <w:vAlign w:val="center"/>
          </w:tcPr>
          <w:p w14:paraId="487EE9CF">
            <w:pPr>
              <w:pStyle w:val="13"/>
            </w:pPr>
            <w:r>
              <w:t>≥100%</w:t>
            </w:r>
          </w:p>
        </w:tc>
        <w:tc>
          <w:tcPr>
            <w:tcW w:w="1276" w:type="dxa"/>
            <w:vAlign w:val="center"/>
          </w:tcPr>
          <w:p w14:paraId="555EDC20">
            <w:pPr>
              <w:pStyle w:val="13"/>
            </w:pPr>
            <w:r>
              <w:t>发展学前教育资金管理办法</w:t>
            </w:r>
          </w:p>
        </w:tc>
      </w:tr>
      <w:tr w14:paraId="51211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67214"/>
        </w:tc>
        <w:tc>
          <w:tcPr>
            <w:tcW w:w="2268" w:type="dxa"/>
            <w:vAlign w:val="center"/>
          </w:tcPr>
          <w:p w14:paraId="7CE6271C">
            <w:pPr>
              <w:pStyle w:val="13"/>
            </w:pPr>
            <w:r>
              <w:t>时效指标</w:t>
            </w:r>
          </w:p>
        </w:tc>
        <w:tc>
          <w:tcPr>
            <w:tcW w:w="2835" w:type="dxa"/>
            <w:vAlign w:val="center"/>
          </w:tcPr>
          <w:p w14:paraId="2E6CFE53">
            <w:pPr>
              <w:pStyle w:val="13"/>
            </w:pPr>
            <w:r>
              <w:t>资金拨付率</w:t>
            </w:r>
          </w:p>
        </w:tc>
        <w:tc>
          <w:tcPr>
            <w:tcW w:w="5386" w:type="dxa"/>
            <w:vAlign w:val="center"/>
          </w:tcPr>
          <w:p w14:paraId="243A338F">
            <w:pPr>
              <w:pStyle w:val="13"/>
            </w:pPr>
            <w:r>
              <w:t>按进度进行资金支付</w:t>
            </w:r>
          </w:p>
        </w:tc>
        <w:tc>
          <w:tcPr>
            <w:tcW w:w="2268" w:type="dxa"/>
            <w:vAlign w:val="center"/>
          </w:tcPr>
          <w:p w14:paraId="7E4F1C93">
            <w:pPr>
              <w:pStyle w:val="13"/>
            </w:pPr>
            <w:r>
              <w:t>≥100%</w:t>
            </w:r>
          </w:p>
        </w:tc>
        <w:tc>
          <w:tcPr>
            <w:tcW w:w="1276" w:type="dxa"/>
            <w:vAlign w:val="center"/>
          </w:tcPr>
          <w:p w14:paraId="497A6C39">
            <w:pPr>
              <w:pStyle w:val="13"/>
            </w:pPr>
            <w:r>
              <w:t>发展学前教育资金管理办法</w:t>
            </w:r>
          </w:p>
        </w:tc>
      </w:tr>
      <w:tr w14:paraId="31743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D862F"/>
        </w:tc>
        <w:tc>
          <w:tcPr>
            <w:tcW w:w="2268" w:type="dxa"/>
            <w:vAlign w:val="center"/>
          </w:tcPr>
          <w:p w14:paraId="59422D50">
            <w:pPr>
              <w:pStyle w:val="13"/>
            </w:pPr>
            <w:r>
              <w:t>成本指标</w:t>
            </w:r>
          </w:p>
        </w:tc>
        <w:tc>
          <w:tcPr>
            <w:tcW w:w="2835" w:type="dxa"/>
            <w:vAlign w:val="center"/>
          </w:tcPr>
          <w:p w14:paraId="1913A8C0">
            <w:pPr>
              <w:pStyle w:val="13"/>
            </w:pPr>
            <w:r>
              <w:t>生均拨款标准</w:t>
            </w:r>
          </w:p>
        </w:tc>
        <w:tc>
          <w:tcPr>
            <w:tcW w:w="5386" w:type="dxa"/>
            <w:vAlign w:val="center"/>
          </w:tcPr>
          <w:p w14:paraId="1DFF4EDA">
            <w:pPr>
              <w:pStyle w:val="13"/>
            </w:pPr>
            <w:r>
              <w:t>按规定标准落实</w:t>
            </w:r>
          </w:p>
        </w:tc>
        <w:tc>
          <w:tcPr>
            <w:tcW w:w="2268" w:type="dxa"/>
            <w:vAlign w:val="center"/>
          </w:tcPr>
          <w:p w14:paraId="1DCB0405">
            <w:pPr>
              <w:pStyle w:val="13"/>
            </w:pPr>
            <w:r>
              <w:t>500元/生/半年</w:t>
            </w:r>
          </w:p>
        </w:tc>
        <w:tc>
          <w:tcPr>
            <w:tcW w:w="1276" w:type="dxa"/>
            <w:vAlign w:val="center"/>
          </w:tcPr>
          <w:p w14:paraId="5D96E0BE">
            <w:pPr>
              <w:pStyle w:val="13"/>
            </w:pPr>
            <w:r>
              <w:t>发展学前教育资金管理办法</w:t>
            </w:r>
          </w:p>
        </w:tc>
      </w:tr>
      <w:tr w14:paraId="50E92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361A2C">
            <w:pPr>
              <w:pStyle w:val="12"/>
            </w:pPr>
            <w:r>
              <w:t>效益指标</w:t>
            </w:r>
          </w:p>
        </w:tc>
        <w:tc>
          <w:tcPr>
            <w:tcW w:w="2268" w:type="dxa"/>
            <w:vAlign w:val="center"/>
          </w:tcPr>
          <w:p w14:paraId="1E080908">
            <w:pPr>
              <w:pStyle w:val="13"/>
            </w:pPr>
            <w:r>
              <w:t>可持续影响指标</w:t>
            </w:r>
          </w:p>
        </w:tc>
        <w:tc>
          <w:tcPr>
            <w:tcW w:w="2835" w:type="dxa"/>
            <w:vAlign w:val="center"/>
          </w:tcPr>
          <w:p w14:paraId="5BA3F50C">
            <w:pPr>
              <w:pStyle w:val="13"/>
            </w:pPr>
            <w:r>
              <w:t>教育发展水平明显好转</w:t>
            </w:r>
          </w:p>
        </w:tc>
        <w:tc>
          <w:tcPr>
            <w:tcW w:w="5386" w:type="dxa"/>
            <w:vAlign w:val="center"/>
          </w:tcPr>
          <w:p w14:paraId="3D6A841D">
            <w:pPr>
              <w:pStyle w:val="13"/>
            </w:pPr>
            <w:r>
              <w:t>幼儿受教育年限</w:t>
            </w:r>
          </w:p>
        </w:tc>
        <w:tc>
          <w:tcPr>
            <w:tcW w:w="2268" w:type="dxa"/>
            <w:vAlign w:val="center"/>
          </w:tcPr>
          <w:p w14:paraId="0293925B">
            <w:pPr>
              <w:pStyle w:val="13"/>
            </w:pPr>
            <w:r>
              <w:t>3年</w:t>
            </w:r>
          </w:p>
        </w:tc>
        <w:tc>
          <w:tcPr>
            <w:tcW w:w="1276" w:type="dxa"/>
            <w:vAlign w:val="center"/>
          </w:tcPr>
          <w:p w14:paraId="22F5F97E">
            <w:pPr>
              <w:pStyle w:val="13"/>
            </w:pPr>
            <w:r>
              <w:t>发展学前教育资金管理办法</w:t>
            </w:r>
          </w:p>
        </w:tc>
      </w:tr>
      <w:tr w14:paraId="6D689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51F1E7">
            <w:pPr>
              <w:pStyle w:val="12"/>
            </w:pPr>
            <w:r>
              <w:t>满意度指标</w:t>
            </w:r>
          </w:p>
        </w:tc>
        <w:tc>
          <w:tcPr>
            <w:tcW w:w="2268" w:type="dxa"/>
            <w:vAlign w:val="center"/>
          </w:tcPr>
          <w:p w14:paraId="10338171">
            <w:pPr>
              <w:pStyle w:val="13"/>
            </w:pPr>
            <w:r>
              <w:t>服务对象满意度指标</w:t>
            </w:r>
          </w:p>
        </w:tc>
        <w:tc>
          <w:tcPr>
            <w:tcW w:w="2835" w:type="dxa"/>
            <w:vAlign w:val="center"/>
          </w:tcPr>
          <w:p w14:paraId="491268B4">
            <w:pPr>
              <w:pStyle w:val="13"/>
            </w:pPr>
            <w:r>
              <w:t>受益幼儿家长及调查满意度</w:t>
            </w:r>
          </w:p>
        </w:tc>
        <w:tc>
          <w:tcPr>
            <w:tcW w:w="5386" w:type="dxa"/>
            <w:vAlign w:val="center"/>
          </w:tcPr>
          <w:p w14:paraId="47B4C385">
            <w:pPr>
              <w:pStyle w:val="13"/>
            </w:pPr>
            <w:r>
              <w:t>学生、教师及家长对学校保教保育工作满意度情况</w:t>
            </w:r>
          </w:p>
        </w:tc>
        <w:tc>
          <w:tcPr>
            <w:tcW w:w="2268" w:type="dxa"/>
            <w:vAlign w:val="center"/>
          </w:tcPr>
          <w:p w14:paraId="269F7D2D">
            <w:pPr>
              <w:pStyle w:val="13"/>
            </w:pPr>
            <w:r>
              <w:t>≥95%</w:t>
            </w:r>
          </w:p>
        </w:tc>
        <w:tc>
          <w:tcPr>
            <w:tcW w:w="1276" w:type="dxa"/>
            <w:vAlign w:val="center"/>
          </w:tcPr>
          <w:p w14:paraId="1F261D28">
            <w:pPr>
              <w:pStyle w:val="13"/>
            </w:pPr>
            <w:r>
              <w:t>调查问卷</w:t>
            </w:r>
          </w:p>
        </w:tc>
      </w:tr>
    </w:tbl>
    <w:p w14:paraId="3EC8CDFD">
      <w:pPr>
        <w:sectPr>
          <w:pgSz w:w="16840" w:h="11900" w:orient="landscape"/>
          <w:pgMar w:top="1361" w:right="1020" w:bottom="1134" w:left="1020" w:header="720" w:footer="720" w:gutter="0"/>
          <w:cols w:space="720" w:num="1"/>
        </w:sectPr>
      </w:pPr>
    </w:p>
    <w:p w14:paraId="0ECDC43F">
      <w:pPr>
        <w:spacing w:before="0" w:after="0"/>
        <w:ind w:firstLine="560"/>
        <w:jc w:val="left"/>
        <w:outlineLvl w:val="9"/>
      </w:pPr>
      <w:r>
        <w:rPr>
          <w:rFonts w:ascii="方正仿宋_GBK" w:hAnsi="方正仿宋_GBK" w:eastAsia="方正仿宋_GBK" w:cs="方正仿宋_GBK"/>
          <w:b/>
          <w:color w:val="000000"/>
          <w:sz w:val="28"/>
        </w:rPr>
        <w:t>2、冀财教[2024]121号/中央/2025年学前教育发展/大曹庄幼儿园玩教具等设备购置绩效目标表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94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D0598">
            <w:pPr>
              <w:pStyle w:val="14"/>
            </w:pPr>
            <w:r>
              <w:t>单位：万元</w:t>
            </w:r>
          </w:p>
        </w:tc>
      </w:tr>
      <w:tr w14:paraId="35411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D9396">
            <w:pPr>
              <w:pStyle w:val="11"/>
            </w:pPr>
            <w:r>
              <w:t>项目编码</w:t>
            </w:r>
          </w:p>
        </w:tc>
        <w:tc>
          <w:tcPr>
            <w:tcW w:w="5103" w:type="dxa"/>
            <w:gridSpan w:val="2"/>
            <w:vAlign w:val="center"/>
          </w:tcPr>
          <w:p w14:paraId="13783448">
            <w:pPr>
              <w:pStyle w:val="13"/>
            </w:pPr>
            <w:r>
              <w:t>13052525P00876910021X</w:t>
            </w:r>
          </w:p>
        </w:tc>
        <w:tc>
          <w:tcPr>
            <w:tcW w:w="2835" w:type="dxa"/>
            <w:vAlign w:val="center"/>
          </w:tcPr>
          <w:p w14:paraId="7498482A">
            <w:pPr>
              <w:pStyle w:val="11"/>
            </w:pPr>
            <w:r>
              <w:t>项目名称</w:t>
            </w:r>
          </w:p>
        </w:tc>
        <w:tc>
          <w:tcPr>
            <w:tcW w:w="6095" w:type="dxa"/>
            <w:gridSpan w:val="3"/>
            <w:vAlign w:val="center"/>
          </w:tcPr>
          <w:p w14:paraId="041720E3">
            <w:pPr>
              <w:pStyle w:val="13"/>
            </w:pPr>
            <w:r>
              <w:t>冀财教[2024]121号/中央/2025年学前教育发展/大曹庄幼儿园玩教具等设备购置</w:t>
            </w:r>
          </w:p>
        </w:tc>
      </w:tr>
      <w:tr w14:paraId="1D3E6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F4ED0">
            <w:pPr>
              <w:pStyle w:val="11"/>
            </w:pPr>
            <w:r>
              <w:t>预算规模及资金用途</w:t>
            </w:r>
          </w:p>
        </w:tc>
        <w:tc>
          <w:tcPr>
            <w:tcW w:w="2268" w:type="dxa"/>
            <w:vAlign w:val="center"/>
          </w:tcPr>
          <w:p w14:paraId="7FEF4ECE">
            <w:pPr>
              <w:pStyle w:val="11"/>
            </w:pPr>
            <w:r>
              <w:t>预算数</w:t>
            </w:r>
          </w:p>
        </w:tc>
        <w:tc>
          <w:tcPr>
            <w:tcW w:w="2835" w:type="dxa"/>
            <w:vAlign w:val="center"/>
          </w:tcPr>
          <w:p w14:paraId="1973D907">
            <w:pPr>
              <w:pStyle w:val="13"/>
            </w:pPr>
            <w:r>
              <w:t>22.51</w:t>
            </w:r>
          </w:p>
        </w:tc>
        <w:tc>
          <w:tcPr>
            <w:tcW w:w="2835" w:type="dxa"/>
            <w:vAlign w:val="center"/>
          </w:tcPr>
          <w:p w14:paraId="6028F49C">
            <w:pPr>
              <w:pStyle w:val="11"/>
            </w:pPr>
            <w:r>
              <w:t>其中：财政    资金</w:t>
            </w:r>
          </w:p>
        </w:tc>
        <w:tc>
          <w:tcPr>
            <w:tcW w:w="2551" w:type="dxa"/>
            <w:vAlign w:val="center"/>
          </w:tcPr>
          <w:p w14:paraId="3CD548BA">
            <w:pPr>
              <w:pStyle w:val="13"/>
            </w:pPr>
            <w:r>
              <w:t>22.51</w:t>
            </w:r>
          </w:p>
        </w:tc>
        <w:tc>
          <w:tcPr>
            <w:tcW w:w="2268" w:type="dxa"/>
            <w:vAlign w:val="center"/>
          </w:tcPr>
          <w:p w14:paraId="2BD58207">
            <w:pPr>
              <w:pStyle w:val="11"/>
            </w:pPr>
            <w:r>
              <w:t>其他资金</w:t>
            </w:r>
          </w:p>
        </w:tc>
        <w:tc>
          <w:tcPr>
            <w:tcW w:w="1276" w:type="dxa"/>
            <w:vAlign w:val="center"/>
          </w:tcPr>
          <w:p w14:paraId="0C38152E">
            <w:pPr>
              <w:pStyle w:val="13"/>
            </w:pPr>
            <w:r>
              <w:t xml:space="preserve"> </w:t>
            </w:r>
          </w:p>
        </w:tc>
      </w:tr>
      <w:tr w14:paraId="5A86D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B19BED"/>
        </w:tc>
        <w:tc>
          <w:tcPr>
            <w:tcW w:w="14033" w:type="dxa"/>
            <w:gridSpan w:val="6"/>
            <w:vAlign w:val="center"/>
          </w:tcPr>
          <w:p w14:paraId="7859CCCF">
            <w:pPr>
              <w:pStyle w:val="13"/>
            </w:pPr>
            <w:r>
              <w:t>用于提高学前教育教学水平，为幼儿营造优质的学习环境。</w:t>
            </w:r>
          </w:p>
        </w:tc>
      </w:tr>
      <w:tr w14:paraId="57316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C6F55">
            <w:pPr>
              <w:pStyle w:val="11"/>
            </w:pPr>
            <w:r>
              <w:t>资金支出计划（%）</w:t>
            </w:r>
          </w:p>
        </w:tc>
        <w:tc>
          <w:tcPr>
            <w:tcW w:w="5103" w:type="dxa"/>
            <w:gridSpan w:val="2"/>
            <w:vAlign w:val="center"/>
          </w:tcPr>
          <w:p w14:paraId="5B075673">
            <w:pPr>
              <w:pStyle w:val="11"/>
            </w:pPr>
            <w:r>
              <w:t>3月底</w:t>
            </w:r>
          </w:p>
        </w:tc>
        <w:tc>
          <w:tcPr>
            <w:tcW w:w="2835" w:type="dxa"/>
            <w:vAlign w:val="center"/>
          </w:tcPr>
          <w:p w14:paraId="7DB06708">
            <w:pPr>
              <w:pStyle w:val="11"/>
            </w:pPr>
            <w:r>
              <w:t>6月底</w:t>
            </w:r>
          </w:p>
        </w:tc>
        <w:tc>
          <w:tcPr>
            <w:tcW w:w="2551" w:type="dxa"/>
            <w:vAlign w:val="center"/>
          </w:tcPr>
          <w:p w14:paraId="259C348D">
            <w:pPr>
              <w:pStyle w:val="11"/>
            </w:pPr>
            <w:r>
              <w:t>10月底</w:t>
            </w:r>
          </w:p>
        </w:tc>
        <w:tc>
          <w:tcPr>
            <w:tcW w:w="3544" w:type="dxa"/>
            <w:gridSpan w:val="2"/>
            <w:vAlign w:val="center"/>
          </w:tcPr>
          <w:p w14:paraId="7A36DB87">
            <w:pPr>
              <w:pStyle w:val="11"/>
            </w:pPr>
            <w:r>
              <w:t>12月底</w:t>
            </w:r>
          </w:p>
        </w:tc>
      </w:tr>
      <w:tr w14:paraId="1A7D6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5BE19"/>
        </w:tc>
        <w:tc>
          <w:tcPr>
            <w:tcW w:w="5103" w:type="dxa"/>
            <w:gridSpan w:val="2"/>
            <w:vAlign w:val="center"/>
          </w:tcPr>
          <w:p w14:paraId="3C92DBC4">
            <w:pPr>
              <w:pStyle w:val="12"/>
            </w:pPr>
            <w:r>
              <w:t xml:space="preserve"> </w:t>
            </w:r>
          </w:p>
        </w:tc>
        <w:tc>
          <w:tcPr>
            <w:tcW w:w="2835" w:type="dxa"/>
            <w:vAlign w:val="center"/>
          </w:tcPr>
          <w:p w14:paraId="627D9943">
            <w:pPr>
              <w:pStyle w:val="12"/>
            </w:pPr>
            <w:r>
              <w:t xml:space="preserve"> </w:t>
            </w:r>
          </w:p>
        </w:tc>
        <w:tc>
          <w:tcPr>
            <w:tcW w:w="2551" w:type="dxa"/>
            <w:vAlign w:val="center"/>
          </w:tcPr>
          <w:p w14:paraId="31F29A93">
            <w:pPr>
              <w:pStyle w:val="12"/>
            </w:pPr>
            <w:r>
              <w:t>100%</w:t>
            </w:r>
          </w:p>
        </w:tc>
        <w:tc>
          <w:tcPr>
            <w:tcW w:w="3544" w:type="dxa"/>
            <w:gridSpan w:val="2"/>
            <w:vAlign w:val="center"/>
          </w:tcPr>
          <w:p w14:paraId="2613D128">
            <w:pPr>
              <w:pStyle w:val="12"/>
            </w:pPr>
            <w:r>
              <w:t>100%</w:t>
            </w:r>
          </w:p>
        </w:tc>
      </w:tr>
      <w:tr w14:paraId="73522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0D8AF3F">
            <w:pPr>
              <w:pStyle w:val="11"/>
            </w:pPr>
            <w:r>
              <w:t>绩效目标</w:t>
            </w:r>
          </w:p>
        </w:tc>
        <w:tc>
          <w:tcPr>
            <w:tcW w:w="14033" w:type="dxa"/>
            <w:gridSpan w:val="6"/>
            <w:vAlign w:val="center"/>
          </w:tcPr>
          <w:p w14:paraId="320FC6AA">
            <w:pPr>
              <w:pStyle w:val="13"/>
            </w:pPr>
            <w:r>
              <w:t>1.提高学前教育教学水平，为幼儿营造优质的学习环境。</w:t>
            </w:r>
          </w:p>
        </w:tc>
      </w:tr>
    </w:tbl>
    <w:p w14:paraId="18B13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5C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A18EF">
            <w:pPr>
              <w:pStyle w:val="11"/>
            </w:pPr>
            <w:r>
              <w:t>一级指标</w:t>
            </w:r>
          </w:p>
        </w:tc>
        <w:tc>
          <w:tcPr>
            <w:tcW w:w="2268" w:type="dxa"/>
            <w:vAlign w:val="center"/>
          </w:tcPr>
          <w:p w14:paraId="177EE99D">
            <w:pPr>
              <w:pStyle w:val="11"/>
            </w:pPr>
            <w:r>
              <w:t>二级指标</w:t>
            </w:r>
          </w:p>
        </w:tc>
        <w:tc>
          <w:tcPr>
            <w:tcW w:w="2835" w:type="dxa"/>
            <w:vAlign w:val="center"/>
          </w:tcPr>
          <w:p w14:paraId="06B6AD60">
            <w:pPr>
              <w:pStyle w:val="11"/>
            </w:pPr>
            <w:r>
              <w:t>三级指标</w:t>
            </w:r>
          </w:p>
        </w:tc>
        <w:tc>
          <w:tcPr>
            <w:tcW w:w="5386" w:type="dxa"/>
            <w:vAlign w:val="center"/>
          </w:tcPr>
          <w:p w14:paraId="434E9253">
            <w:pPr>
              <w:pStyle w:val="11"/>
            </w:pPr>
            <w:r>
              <w:t>绩效指标描述</w:t>
            </w:r>
          </w:p>
        </w:tc>
        <w:tc>
          <w:tcPr>
            <w:tcW w:w="2268" w:type="dxa"/>
            <w:vAlign w:val="center"/>
          </w:tcPr>
          <w:p w14:paraId="34D3D6B3">
            <w:pPr>
              <w:pStyle w:val="11"/>
            </w:pPr>
            <w:r>
              <w:t>指标值</w:t>
            </w:r>
          </w:p>
        </w:tc>
        <w:tc>
          <w:tcPr>
            <w:tcW w:w="1276" w:type="dxa"/>
            <w:vAlign w:val="center"/>
          </w:tcPr>
          <w:p w14:paraId="4DD87A37">
            <w:pPr>
              <w:pStyle w:val="11"/>
            </w:pPr>
            <w:r>
              <w:t>指标值确定依据</w:t>
            </w:r>
          </w:p>
        </w:tc>
      </w:tr>
      <w:tr w14:paraId="20D9E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85545">
            <w:pPr>
              <w:pStyle w:val="12"/>
            </w:pPr>
            <w:r>
              <w:t>产出指标</w:t>
            </w:r>
          </w:p>
        </w:tc>
        <w:tc>
          <w:tcPr>
            <w:tcW w:w="2268" w:type="dxa"/>
            <w:vAlign w:val="center"/>
          </w:tcPr>
          <w:p w14:paraId="3F0784AE">
            <w:pPr>
              <w:pStyle w:val="13"/>
            </w:pPr>
            <w:r>
              <w:t>数量指标</w:t>
            </w:r>
          </w:p>
        </w:tc>
        <w:tc>
          <w:tcPr>
            <w:tcW w:w="2835" w:type="dxa"/>
            <w:vAlign w:val="center"/>
          </w:tcPr>
          <w:p w14:paraId="295EF665">
            <w:pPr>
              <w:pStyle w:val="13"/>
            </w:pPr>
            <w:r>
              <w:t>幼儿园购置</w:t>
            </w:r>
          </w:p>
        </w:tc>
        <w:tc>
          <w:tcPr>
            <w:tcW w:w="5386" w:type="dxa"/>
            <w:vAlign w:val="center"/>
          </w:tcPr>
          <w:p w14:paraId="0C966943">
            <w:pPr>
              <w:pStyle w:val="13"/>
            </w:pPr>
            <w:r>
              <w:t>幼儿园购置玩具及教学设备</w:t>
            </w:r>
          </w:p>
        </w:tc>
        <w:tc>
          <w:tcPr>
            <w:tcW w:w="2268" w:type="dxa"/>
            <w:vAlign w:val="center"/>
          </w:tcPr>
          <w:p w14:paraId="5AD0DD5D">
            <w:pPr>
              <w:pStyle w:val="13"/>
            </w:pPr>
            <w:r>
              <w:t>1项</w:t>
            </w:r>
          </w:p>
        </w:tc>
        <w:tc>
          <w:tcPr>
            <w:tcW w:w="1276" w:type="dxa"/>
            <w:vAlign w:val="center"/>
          </w:tcPr>
          <w:p w14:paraId="3B5D6B69">
            <w:pPr>
              <w:pStyle w:val="13"/>
            </w:pPr>
            <w:r>
              <w:t>项目规划</w:t>
            </w:r>
          </w:p>
        </w:tc>
      </w:tr>
      <w:tr w14:paraId="2A3CA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7093F"/>
        </w:tc>
        <w:tc>
          <w:tcPr>
            <w:tcW w:w="2268" w:type="dxa"/>
            <w:vAlign w:val="center"/>
          </w:tcPr>
          <w:p w14:paraId="1E8D559F">
            <w:pPr>
              <w:pStyle w:val="13"/>
            </w:pPr>
            <w:r>
              <w:t>质量指标</w:t>
            </w:r>
          </w:p>
        </w:tc>
        <w:tc>
          <w:tcPr>
            <w:tcW w:w="2835" w:type="dxa"/>
            <w:vAlign w:val="center"/>
          </w:tcPr>
          <w:p w14:paraId="072C2431">
            <w:pPr>
              <w:pStyle w:val="13"/>
            </w:pPr>
            <w:r>
              <w:t>项目完成时间</w:t>
            </w:r>
          </w:p>
        </w:tc>
        <w:tc>
          <w:tcPr>
            <w:tcW w:w="5386" w:type="dxa"/>
            <w:vAlign w:val="center"/>
          </w:tcPr>
          <w:p w14:paraId="7F470577">
            <w:pPr>
              <w:pStyle w:val="13"/>
            </w:pPr>
            <w:r>
              <w:t>按规划时间完成</w:t>
            </w:r>
          </w:p>
        </w:tc>
        <w:tc>
          <w:tcPr>
            <w:tcW w:w="2268" w:type="dxa"/>
            <w:vAlign w:val="center"/>
          </w:tcPr>
          <w:p w14:paraId="5106CF0C">
            <w:pPr>
              <w:pStyle w:val="13"/>
            </w:pPr>
            <w:r>
              <w:t>100%</w:t>
            </w:r>
          </w:p>
        </w:tc>
        <w:tc>
          <w:tcPr>
            <w:tcW w:w="1276" w:type="dxa"/>
            <w:vAlign w:val="center"/>
          </w:tcPr>
          <w:p w14:paraId="6E4DB39C">
            <w:pPr>
              <w:pStyle w:val="13"/>
            </w:pPr>
            <w:r>
              <w:t>项目规划</w:t>
            </w:r>
          </w:p>
        </w:tc>
      </w:tr>
      <w:tr w14:paraId="42C2B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4BAAA"/>
        </w:tc>
        <w:tc>
          <w:tcPr>
            <w:tcW w:w="2268" w:type="dxa"/>
            <w:vAlign w:val="center"/>
          </w:tcPr>
          <w:p w14:paraId="7061E612">
            <w:pPr>
              <w:pStyle w:val="13"/>
            </w:pPr>
            <w:r>
              <w:t>时效指标</w:t>
            </w:r>
          </w:p>
        </w:tc>
        <w:tc>
          <w:tcPr>
            <w:tcW w:w="2835" w:type="dxa"/>
            <w:vAlign w:val="center"/>
          </w:tcPr>
          <w:p w14:paraId="40D3A8D5">
            <w:pPr>
              <w:pStyle w:val="13"/>
            </w:pPr>
            <w:r>
              <w:t>项目资金拨付完成率</w:t>
            </w:r>
          </w:p>
        </w:tc>
        <w:tc>
          <w:tcPr>
            <w:tcW w:w="5386" w:type="dxa"/>
            <w:vAlign w:val="center"/>
          </w:tcPr>
          <w:p w14:paraId="4FC4AFB9">
            <w:pPr>
              <w:pStyle w:val="13"/>
            </w:pPr>
            <w:r>
              <w:t>项目资金拨付完成率</w:t>
            </w:r>
          </w:p>
        </w:tc>
        <w:tc>
          <w:tcPr>
            <w:tcW w:w="2268" w:type="dxa"/>
            <w:vAlign w:val="center"/>
          </w:tcPr>
          <w:p w14:paraId="093F01A0">
            <w:pPr>
              <w:pStyle w:val="13"/>
            </w:pPr>
            <w:r>
              <w:t>≥100%</w:t>
            </w:r>
          </w:p>
        </w:tc>
        <w:tc>
          <w:tcPr>
            <w:tcW w:w="1276" w:type="dxa"/>
            <w:vAlign w:val="center"/>
          </w:tcPr>
          <w:p w14:paraId="523D5CFA">
            <w:pPr>
              <w:pStyle w:val="13"/>
            </w:pPr>
            <w:r>
              <w:t>项目规划</w:t>
            </w:r>
          </w:p>
        </w:tc>
      </w:tr>
      <w:tr w14:paraId="6C09D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C7054"/>
        </w:tc>
        <w:tc>
          <w:tcPr>
            <w:tcW w:w="2268" w:type="dxa"/>
            <w:vAlign w:val="center"/>
          </w:tcPr>
          <w:p w14:paraId="4EB12E79">
            <w:pPr>
              <w:pStyle w:val="13"/>
            </w:pPr>
            <w:r>
              <w:t>成本指标</w:t>
            </w:r>
          </w:p>
        </w:tc>
        <w:tc>
          <w:tcPr>
            <w:tcW w:w="2835" w:type="dxa"/>
            <w:vAlign w:val="center"/>
          </w:tcPr>
          <w:p w14:paraId="44FF8877">
            <w:pPr>
              <w:pStyle w:val="13"/>
            </w:pPr>
            <w:r>
              <w:t>不超预算</w:t>
            </w:r>
          </w:p>
        </w:tc>
        <w:tc>
          <w:tcPr>
            <w:tcW w:w="5386" w:type="dxa"/>
            <w:vAlign w:val="center"/>
          </w:tcPr>
          <w:p w14:paraId="5624478D">
            <w:pPr>
              <w:pStyle w:val="13"/>
            </w:pPr>
            <w:r>
              <w:t>不超预算</w:t>
            </w:r>
          </w:p>
        </w:tc>
        <w:tc>
          <w:tcPr>
            <w:tcW w:w="2268" w:type="dxa"/>
            <w:vAlign w:val="center"/>
          </w:tcPr>
          <w:p w14:paraId="27982240">
            <w:pPr>
              <w:pStyle w:val="13"/>
            </w:pPr>
            <w:r>
              <w:t>≤22.51万元</w:t>
            </w:r>
          </w:p>
        </w:tc>
        <w:tc>
          <w:tcPr>
            <w:tcW w:w="1276" w:type="dxa"/>
            <w:vAlign w:val="center"/>
          </w:tcPr>
          <w:p w14:paraId="7DC5EEF2">
            <w:pPr>
              <w:pStyle w:val="13"/>
            </w:pPr>
            <w:r>
              <w:t>项目规划</w:t>
            </w:r>
          </w:p>
        </w:tc>
      </w:tr>
      <w:tr w14:paraId="3306F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DBFFAB">
            <w:pPr>
              <w:pStyle w:val="12"/>
            </w:pPr>
            <w:r>
              <w:t>效益指标</w:t>
            </w:r>
          </w:p>
        </w:tc>
        <w:tc>
          <w:tcPr>
            <w:tcW w:w="2268" w:type="dxa"/>
            <w:vAlign w:val="center"/>
          </w:tcPr>
          <w:p w14:paraId="5D21DAA9">
            <w:pPr>
              <w:pStyle w:val="13"/>
            </w:pPr>
            <w:r>
              <w:t>社会效益指标</w:t>
            </w:r>
          </w:p>
        </w:tc>
        <w:tc>
          <w:tcPr>
            <w:tcW w:w="2835" w:type="dxa"/>
            <w:vAlign w:val="center"/>
          </w:tcPr>
          <w:p w14:paraId="652C7780">
            <w:pPr>
              <w:pStyle w:val="13"/>
            </w:pPr>
            <w:r>
              <w:t>幼儿园受教育年限</w:t>
            </w:r>
          </w:p>
        </w:tc>
        <w:tc>
          <w:tcPr>
            <w:tcW w:w="5386" w:type="dxa"/>
            <w:vAlign w:val="center"/>
          </w:tcPr>
          <w:p w14:paraId="5E1ED544">
            <w:pPr>
              <w:pStyle w:val="13"/>
            </w:pPr>
            <w:r>
              <w:t>幼儿园教育年限</w:t>
            </w:r>
          </w:p>
        </w:tc>
        <w:tc>
          <w:tcPr>
            <w:tcW w:w="2268" w:type="dxa"/>
            <w:vAlign w:val="center"/>
          </w:tcPr>
          <w:p w14:paraId="325FC707">
            <w:pPr>
              <w:pStyle w:val="13"/>
            </w:pPr>
            <w:r>
              <w:t>3年</w:t>
            </w:r>
          </w:p>
        </w:tc>
        <w:tc>
          <w:tcPr>
            <w:tcW w:w="1276" w:type="dxa"/>
            <w:vAlign w:val="center"/>
          </w:tcPr>
          <w:p w14:paraId="753BCD93">
            <w:pPr>
              <w:pStyle w:val="13"/>
            </w:pPr>
            <w:r>
              <w:t>项目规划</w:t>
            </w:r>
          </w:p>
        </w:tc>
      </w:tr>
      <w:tr w14:paraId="0CB90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10A5A1">
            <w:pPr>
              <w:pStyle w:val="12"/>
            </w:pPr>
            <w:r>
              <w:t>满意度指标</w:t>
            </w:r>
          </w:p>
        </w:tc>
        <w:tc>
          <w:tcPr>
            <w:tcW w:w="2268" w:type="dxa"/>
            <w:vAlign w:val="center"/>
          </w:tcPr>
          <w:p w14:paraId="3C7A56B5">
            <w:pPr>
              <w:pStyle w:val="13"/>
            </w:pPr>
            <w:r>
              <w:t>服务对象满意度指标</w:t>
            </w:r>
          </w:p>
        </w:tc>
        <w:tc>
          <w:tcPr>
            <w:tcW w:w="2835" w:type="dxa"/>
            <w:vAlign w:val="center"/>
          </w:tcPr>
          <w:p w14:paraId="349E3035">
            <w:pPr>
              <w:pStyle w:val="13"/>
            </w:pPr>
            <w:r>
              <w:t>教师学生家长满意度</w:t>
            </w:r>
          </w:p>
        </w:tc>
        <w:tc>
          <w:tcPr>
            <w:tcW w:w="5386" w:type="dxa"/>
            <w:vAlign w:val="center"/>
          </w:tcPr>
          <w:p w14:paraId="759E9508">
            <w:pPr>
              <w:pStyle w:val="13"/>
            </w:pPr>
            <w:r>
              <w:t>教师学生家长满意度</w:t>
            </w:r>
          </w:p>
        </w:tc>
        <w:tc>
          <w:tcPr>
            <w:tcW w:w="2268" w:type="dxa"/>
            <w:vAlign w:val="center"/>
          </w:tcPr>
          <w:p w14:paraId="267CA9EB">
            <w:pPr>
              <w:pStyle w:val="13"/>
            </w:pPr>
            <w:r>
              <w:t>≥95%</w:t>
            </w:r>
          </w:p>
        </w:tc>
        <w:tc>
          <w:tcPr>
            <w:tcW w:w="1276" w:type="dxa"/>
            <w:vAlign w:val="center"/>
          </w:tcPr>
          <w:p w14:paraId="0D6F8F66">
            <w:pPr>
              <w:pStyle w:val="13"/>
            </w:pPr>
            <w:r>
              <w:t>项目规划</w:t>
            </w:r>
          </w:p>
        </w:tc>
      </w:tr>
    </w:tbl>
    <w:p w14:paraId="412F8E3D">
      <w:pPr>
        <w:sectPr>
          <w:pgSz w:w="16840" w:h="11900" w:orient="landscape"/>
          <w:pgMar w:top="1361" w:right="1020" w:bottom="1134" w:left="1020" w:header="720" w:footer="720" w:gutter="0"/>
          <w:cols w:space="720" w:num="1"/>
        </w:sectPr>
      </w:pPr>
    </w:p>
    <w:p w14:paraId="588C561F">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3、冀财教[2024]123号/中央/2025年义教补助经费/大曹庄中心小学公用经费绩效目标表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C6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910C1">
            <w:pPr>
              <w:pStyle w:val="14"/>
            </w:pPr>
            <w:r>
              <w:t>单位：万元</w:t>
            </w:r>
          </w:p>
        </w:tc>
      </w:tr>
      <w:tr w14:paraId="661F6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7B6EDC">
            <w:pPr>
              <w:pStyle w:val="11"/>
            </w:pPr>
            <w:r>
              <w:t>项目编码</w:t>
            </w:r>
          </w:p>
        </w:tc>
        <w:tc>
          <w:tcPr>
            <w:tcW w:w="5103" w:type="dxa"/>
            <w:gridSpan w:val="2"/>
            <w:vAlign w:val="center"/>
          </w:tcPr>
          <w:p w14:paraId="187AF1A2">
            <w:pPr>
              <w:pStyle w:val="13"/>
            </w:pPr>
            <w:r>
              <w:t>13052525P00000410104P</w:t>
            </w:r>
          </w:p>
        </w:tc>
        <w:tc>
          <w:tcPr>
            <w:tcW w:w="2835" w:type="dxa"/>
            <w:vAlign w:val="center"/>
          </w:tcPr>
          <w:p w14:paraId="681C7CA7">
            <w:pPr>
              <w:pStyle w:val="11"/>
            </w:pPr>
            <w:r>
              <w:t>项目名称</w:t>
            </w:r>
          </w:p>
        </w:tc>
        <w:tc>
          <w:tcPr>
            <w:tcW w:w="6095" w:type="dxa"/>
            <w:gridSpan w:val="3"/>
            <w:vAlign w:val="center"/>
          </w:tcPr>
          <w:p w14:paraId="2DF1D7B5">
            <w:pPr>
              <w:pStyle w:val="13"/>
            </w:pPr>
            <w:r>
              <w:t>冀财教[2024]123号/中央/2025年义教补助经费/大曹庄中心小学公用经费</w:t>
            </w:r>
          </w:p>
        </w:tc>
      </w:tr>
      <w:tr w14:paraId="4E8D8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ABAE4">
            <w:pPr>
              <w:pStyle w:val="11"/>
            </w:pPr>
            <w:r>
              <w:t>预算规模及资金用途</w:t>
            </w:r>
          </w:p>
        </w:tc>
        <w:tc>
          <w:tcPr>
            <w:tcW w:w="2268" w:type="dxa"/>
            <w:vAlign w:val="center"/>
          </w:tcPr>
          <w:p w14:paraId="1C61BE0A">
            <w:pPr>
              <w:pStyle w:val="11"/>
            </w:pPr>
            <w:r>
              <w:t>预算数</w:t>
            </w:r>
          </w:p>
        </w:tc>
        <w:tc>
          <w:tcPr>
            <w:tcW w:w="2835" w:type="dxa"/>
            <w:vAlign w:val="center"/>
          </w:tcPr>
          <w:p w14:paraId="18112AD6">
            <w:pPr>
              <w:pStyle w:val="13"/>
            </w:pPr>
            <w:r>
              <w:t>9.61</w:t>
            </w:r>
          </w:p>
        </w:tc>
        <w:tc>
          <w:tcPr>
            <w:tcW w:w="2835" w:type="dxa"/>
            <w:vAlign w:val="center"/>
          </w:tcPr>
          <w:p w14:paraId="608EE3E2">
            <w:pPr>
              <w:pStyle w:val="11"/>
            </w:pPr>
            <w:r>
              <w:t>其中：财政    资金</w:t>
            </w:r>
          </w:p>
        </w:tc>
        <w:tc>
          <w:tcPr>
            <w:tcW w:w="2551" w:type="dxa"/>
            <w:vAlign w:val="center"/>
          </w:tcPr>
          <w:p w14:paraId="1C35D886">
            <w:pPr>
              <w:pStyle w:val="13"/>
            </w:pPr>
            <w:r>
              <w:t>9.61</w:t>
            </w:r>
          </w:p>
        </w:tc>
        <w:tc>
          <w:tcPr>
            <w:tcW w:w="2268" w:type="dxa"/>
            <w:vAlign w:val="center"/>
          </w:tcPr>
          <w:p w14:paraId="161D895A">
            <w:pPr>
              <w:pStyle w:val="11"/>
            </w:pPr>
            <w:r>
              <w:t>其他资金</w:t>
            </w:r>
          </w:p>
        </w:tc>
        <w:tc>
          <w:tcPr>
            <w:tcW w:w="1276" w:type="dxa"/>
            <w:vAlign w:val="center"/>
          </w:tcPr>
          <w:p w14:paraId="17D0D3AA">
            <w:pPr>
              <w:pStyle w:val="13"/>
            </w:pPr>
            <w:r>
              <w:t xml:space="preserve"> </w:t>
            </w:r>
          </w:p>
        </w:tc>
      </w:tr>
      <w:tr w14:paraId="680F5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E399C"/>
        </w:tc>
        <w:tc>
          <w:tcPr>
            <w:tcW w:w="14033" w:type="dxa"/>
            <w:gridSpan w:val="6"/>
            <w:vAlign w:val="center"/>
          </w:tcPr>
          <w:p w14:paraId="79078321">
            <w:pPr>
              <w:pStyle w:val="13"/>
            </w:pPr>
            <w:r>
              <w:t>为保证学校正常运转和改善办学条件。</w:t>
            </w:r>
          </w:p>
        </w:tc>
      </w:tr>
      <w:tr w14:paraId="0ED5E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E07EB">
            <w:pPr>
              <w:pStyle w:val="11"/>
            </w:pPr>
            <w:r>
              <w:t>资金支出计划（%）</w:t>
            </w:r>
          </w:p>
        </w:tc>
        <w:tc>
          <w:tcPr>
            <w:tcW w:w="5103" w:type="dxa"/>
            <w:gridSpan w:val="2"/>
            <w:vAlign w:val="center"/>
          </w:tcPr>
          <w:p w14:paraId="5C8E044B">
            <w:pPr>
              <w:pStyle w:val="11"/>
            </w:pPr>
            <w:r>
              <w:t>3月底</w:t>
            </w:r>
          </w:p>
        </w:tc>
        <w:tc>
          <w:tcPr>
            <w:tcW w:w="2835" w:type="dxa"/>
            <w:vAlign w:val="center"/>
          </w:tcPr>
          <w:p w14:paraId="36DEC3EB">
            <w:pPr>
              <w:pStyle w:val="11"/>
            </w:pPr>
            <w:r>
              <w:t>6月底</w:t>
            </w:r>
          </w:p>
        </w:tc>
        <w:tc>
          <w:tcPr>
            <w:tcW w:w="2551" w:type="dxa"/>
            <w:vAlign w:val="center"/>
          </w:tcPr>
          <w:p w14:paraId="110B2F31">
            <w:pPr>
              <w:pStyle w:val="11"/>
            </w:pPr>
            <w:r>
              <w:t>10月底</w:t>
            </w:r>
          </w:p>
        </w:tc>
        <w:tc>
          <w:tcPr>
            <w:tcW w:w="3544" w:type="dxa"/>
            <w:gridSpan w:val="2"/>
            <w:vAlign w:val="center"/>
          </w:tcPr>
          <w:p w14:paraId="739343A2">
            <w:pPr>
              <w:pStyle w:val="11"/>
            </w:pPr>
            <w:r>
              <w:t>12月底</w:t>
            </w:r>
          </w:p>
        </w:tc>
      </w:tr>
      <w:tr w14:paraId="466EC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612990"/>
        </w:tc>
        <w:tc>
          <w:tcPr>
            <w:tcW w:w="5103" w:type="dxa"/>
            <w:gridSpan w:val="2"/>
            <w:vAlign w:val="center"/>
          </w:tcPr>
          <w:p w14:paraId="28894F2F">
            <w:pPr>
              <w:pStyle w:val="12"/>
            </w:pPr>
            <w:r>
              <w:t>25%</w:t>
            </w:r>
          </w:p>
        </w:tc>
        <w:tc>
          <w:tcPr>
            <w:tcW w:w="2835" w:type="dxa"/>
            <w:vAlign w:val="center"/>
          </w:tcPr>
          <w:p w14:paraId="5B59D8EB">
            <w:pPr>
              <w:pStyle w:val="12"/>
            </w:pPr>
            <w:r>
              <w:t>50%</w:t>
            </w:r>
          </w:p>
        </w:tc>
        <w:tc>
          <w:tcPr>
            <w:tcW w:w="2551" w:type="dxa"/>
            <w:vAlign w:val="center"/>
          </w:tcPr>
          <w:p w14:paraId="30C4949B">
            <w:pPr>
              <w:pStyle w:val="12"/>
            </w:pPr>
            <w:r>
              <w:t>75%</w:t>
            </w:r>
          </w:p>
        </w:tc>
        <w:tc>
          <w:tcPr>
            <w:tcW w:w="3544" w:type="dxa"/>
            <w:gridSpan w:val="2"/>
            <w:vAlign w:val="center"/>
          </w:tcPr>
          <w:p w14:paraId="4BF6E4DE">
            <w:pPr>
              <w:pStyle w:val="12"/>
            </w:pPr>
            <w:r>
              <w:t>100%</w:t>
            </w:r>
          </w:p>
        </w:tc>
      </w:tr>
      <w:tr w14:paraId="5CE10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860543">
            <w:pPr>
              <w:pStyle w:val="11"/>
            </w:pPr>
            <w:r>
              <w:t>绩效目标</w:t>
            </w:r>
          </w:p>
        </w:tc>
        <w:tc>
          <w:tcPr>
            <w:tcW w:w="14033" w:type="dxa"/>
            <w:gridSpan w:val="6"/>
            <w:vAlign w:val="center"/>
          </w:tcPr>
          <w:p w14:paraId="7B945CC0">
            <w:pPr>
              <w:pStyle w:val="13"/>
            </w:pPr>
            <w:r>
              <w:t>1.为保证学校正常运转和改善办学条件。</w:t>
            </w:r>
          </w:p>
          <w:p w14:paraId="058FBC6D">
            <w:pPr>
              <w:pStyle w:val="13"/>
            </w:pPr>
            <w:r>
              <w:t>2.按拨款序时进度完成经费拨付和支出。</w:t>
            </w:r>
          </w:p>
        </w:tc>
      </w:tr>
    </w:tbl>
    <w:p w14:paraId="7B844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14:paraId="6F655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E42AE">
            <w:pPr>
              <w:pStyle w:val="11"/>
            </w:pPr>
            <w:r>
              <w:t>一级指标</w:t>
            </w:r>
          </w:p>
        </w:tc>
        <w:tc>
          <w:tcPr>
            <w:tcW w:w="2268" w:type="dxa"/>
            <w:vAlign w:val="center"/>
          </w:tcPr>
          <w:p w14:paraId="72CBC53A">
            <w:pPr>
              <w:pStyle w:val="11"/>
            </w:pPr>
            <w:r>
              <w:t>二级指标</w:t>
            </w:r>
          </w:p>
        </w:tc>
        <w:tc>
          <w:tcPr>
            <w:tcW w:w="2835" w:type="dxa"/>
            <w:vAlign w:val="center"/>
          </w:tcPr>
          <w:p w14:paraId="529D9CE6">
            <w:pPr>
              <w:pStyle w:val="11"/>
            </w:pPr>
            <w:r>
              <w:t>三级指标</w:t>
            </w:r>
          </w:p>
        </w:tc>
        <w:tc>
          <w:tcPr>
            <w:tcW w:w="5386" w:type="dxa"/>
            <w:vAlign w:val="center"/>
          </w:tcPr>
          <w:p w14:paraId="4EF3754D">
            <w:pPr>
              <w:pStyle w:val="11"/>
            </w:pPr>
            <w:r>
              <w:t>绩效指标描述</w:t>
            </w:r>
          </w:p>
        </w:tc>
        <w:tc>
          <w:tcPr>
            <w:tcW w:w="1838" w:type="dxa"/>
            <w:vAlign w:val="center"/>
          </w:tcPr>
          <w:p w14:paraId="2C3A6BFD">
            <w:pPr>
              <w:pStyle w:val="11"/>
            </w:pPr>
            <w:r>
              <w:t>指标值</w:t>
            </w:r>
          </w:p>
        </w:tc>
        <w:tc>
          <w:tcPr>
            <w:tcW w:w="1706" w:type="dxa"/>
            <w:vAlign w:val="center"/>
          </w:tcPr>
          <w:p w14:paraId="52D7628A">
            <w:pPr>
              <w:pStyle w:val="11"/>
            </w:pPr>
            <w:r>
              <w:t>指标值确定依据</w:t>
            </w:r>
          </w:p>
        </w:tc>
      </w:tr>
      <w:tr w14:paraId="47DD2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D381D">
            <w:pPr>
              <w:pStyle w:val="12"/>
            </w:pPr>
            <w:r>
              <w:t>产出指标</w:t>
            </w:r>
          </w:p>
        </w:tc>
        <w:tc>
          <w:tcPr>
            <w:tcW w:w="2268" w:type="dxa"/>
            <w:vAlign w:val="center"/>
          </w:tcPr>
          <w:p w14:paraId="202E618F">
            <w:pPr>
              <w:pStyle w:val="13"/>
            </w:pPr>
            <w:r>
              <w:t>数量指标</w:t>
            </w:r>
          </w:p>
        </w:tc>
        <w:tc>
          <w:tcPr>
            <w:tcW w:w="2835" w:type="dxa"/>
            <w:vAlign w:val="center"/>
          </w:tcPr>
          <w:p w14:paraId="29594BD4">
            <w:pPr>
              <w:pStyle w:val="13"/>
            </w:pPr>
            <w:r>
              <w:t>就读学生数</w:t>
            </w:r>
          </w:p>
        </w:tc>
        <w:tc>
          <w:tcPr>
            <w:tcW w:w="5386" w:type="dxa"/>
            <w:vAlign w:val="center"/>
          </w:tcPr>
          <w:p w14:paraId="06D5C136">
            <w:pPr>
              <w:pStyle w:val="13"/>
            </w:pPr>
            <w:r>
              <w:t>辐射区域内适龄学生人数</w:t>
            </w:r>
          </w:p>
        </w:tc>
        <w:tc>
          <w:tcPr>
            <w:tcW w:w="1838" w:type="dxa"/>
            <w:vAlign w:val="center"/>
          </w:tcPr>
          <w:p w14:paraId="450F4631">
            <w:pPr>
              <w:pStyle w:val="13"/>
            </w:pPr>
            <w:r>
              <w:t>121人</w:t>
            </w:r>
          </w:p>
        </w:tc>
        <w:tc>
          <w:tcPr>
            <w:tcW w:w="1706" w:type="dxa"/>
            <w:vAlign w:val="center"/>
          </w:tcPr>
          <w:p w14:paraId="7C41DEB6">
            <w:pPr>
              <w:pStyle w:val="13"/>
            </w:pPr>
            <w:r>
              <w:t>城乡义务教育公用经费管理办法</w:t>
            </w:r>
          </w:p>
        </w:tc>
      </w:tr>
      <w:tr w14:paraId="60032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E40A1"/>
        </w:tc>
        <w:tc>
          <w:tcPr>
            <w:tcW w:w="2268" w:type="dxa"/>
            <w:vAlign w:val="center"/>
          </w:tcPr>
          <w:p w14:paraId="7FC2BCA6">
            <w:pPr>
              <w:pStyle w:val="13"/>
            </w:pPr>
            <w:r>
              <w:t>质量指标</w:t>
            </w:r>
          </w:p>
        </w:tc>
        <w:tc>
          <w:tcPr>
            <w:tcW w:w="2835" w:type="dxa"/>
            <w:vAlign w:val="center"/>
          </w:tcPr>
          <w:p w14:paraId="1624C31C">
            <w:pPr>
              <w:pStyle w:val="13"/>
            </w:pPr>
            <w:r>
              <w:t>预算执行率</w:t>
            </w:r>
          </w:p>
        </w:tc>
        <w:tc>
          <w:tcPr>
            <w:tcW w:w="5386" w:type="dxa"/>
            <w:vAlign w:val="center"/>
          </w:tcPr>
          <w:p w14:paraId="7A99B8D5">
            <w:pPr>
              <w:pStyle w:val="13"/>
            </w:pPr>
            <w:r>
              <w:t>预算执行率≥98%</w:t>
            </w:r>
          </w:p>
        </w:tc>
        <w:tc>
          <w:tcPr>
            <w:tcW w:w="1838" w:type="dxa"/>
            <w:vAlign w:val="center"/>
          </w:tcPr>
          <w:p w14:paraId="5EE30943">
            <w:pPr>
              <w:pStyle w:val="13"/>
            </w:pPr>
            <w:r>
              <w:t>≥98%</w:t>
            </w:r>
          </w:p>
        </w:tc>
        <w:tc>
          <w:tcPr>
            <w:tcW w:w="1706" w:type="dxa"/>
            <w:vAlign w:val="center"/>
          </w:tcPr>
          <w:p w14:paraId="20A35048">
            <w:pPr>
              <w:pStyle w:val="13"/>
            </w:pPr>
            <w:r>
              <w:t>城乡义务教育公用经费管理办法</w:t>
            </w:r>
          </w:p>
        </w:tc>
      </w:tr>
      <w:tr w14:paraId="73E38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EEB53"/>
        </w:tc>
        <w:tc>
          <w:tcPr>
            <w:tcW w:w="2268" w:type="dxa"/>
            <w:vAlign w:val="center"/>
          </w:tcPr>
          <w:p w14:paraId="0772DC64">
            <w:pPr>
              <w:pStyle w:val="13"/>
            </w:pPr>
            <w:r>
              <w:t>时效指标</w:t>
            </w:r>
          </w:p>
        </w:tc>
        <w:tc>
          <w:tcPr>
            <w:tcW w:w="2835" w:type="dxa"/>
            <w:vAlign w:val="center"/>
          </w:tcPr>
          <w:p w14:paraId="23D51D15">
            <w:pPr>
              <w:pStyle w:val="13"/>
            </w:pPr>
            <w:r>
              <w:t>义教经费支付完成率</w:t>
            </w:r>
          </w:p>
        </w:tc>
        <w:tc>
          <w:tcPr>
            <w:tcW w:w="5386" w:type="dxa"/>
            <w:vAlign w:val="center"/>
          </w:tcPr>
          <w:p w14:paraId="08671977">
            <w:pPr>
              <w:pStyle w:val="13"/>
            </w:pPr>
            <w:r>
              <w:t>按照序时进度完成资金支付</w:t>
            </w:r>
          </w:p>
        </w:tc>
        <w:tc>
          <w:tcPr>
            <w:tcW w:w="1838" w:type="dxa"/>
            <w:vAlign w:val="center"/>
          </w:tcPr>
          <w:p w14:paraId="31FBC733">
            <w:pPr>
              <w:pStyle w:val="13"/>
            </w:pPr>
            <w:r>
              <w:t>≥100%</w:t>
            </w:r>
          </w:p>
        </w:tc>
        <w:tc>
          <w:tcPr>
            <w:tcW w:w="1706" w:type="dxa"/>
            <w:vAlign w:val="center"/>
          </w:tcPr>
          <w:p w14:paraId="34F257D1">
            <w:pPr>
              <w:pStyle w:val="13"/>
            </w:pPr>
            <w:r>
              <w:t>城乡义务教育公用经费管理办法</w:t>
            </w:r>
          </w:p>
        </w:tc>
      </w:tr>
      <w:tr w14:paraId="5345F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9F0E9"/>
        </w:tc>
        <w:tc>
          <w:tcPr>
            <w:tcW w:w="2268" w:type="dxa"/>
            <w:vAlign w:val="center"/>
          </w:tcPr>
          <w:p w14:paraId="0D419460">
            <w:pPr>
              <w:pStyle w:val="13"/>
            </w:pPr>
            <w:r>
              <w:t>成本指标</w:t>
            </w:r>
          </w:p>
        </w:tc>
        <w:tc>
          <w:tcPr>
            <w:tcW w:w="2835" w:type="dxa"/>
            <w:vAlign w:val="center"/>
          </w:tcPr>
          <w:p w14:paraId="5EA9425D">
            <w:pPr>
              <w:pStyle w:val="13"/>
            </w:pPr>
            <w:r>
              <w:t>生均拨款标准</w:t>
            </w:r>
          </w:p>
        </w:tc>
        <w:tc>
          <w:tcPr>
            <w:tcW w:w="5386" w:type="dxa"/>
            <w:vAlign w:val="center"/>
          </w:tcPr>
          <w:p w14:paraId="0ADD73C4">
            <w:pPr>
              <w:pStyle w:val="13"/>
            </w:pPr>
            <w:r>
              <w:t>小学生公用经费生均小学720元，取暖费120元/生/年，随班就读学生补助7000元/生</w:t>
            </w:r>
          </w:p>
        </w:tc>
        <w:tc>
          <w:tcPr>
            <w:tcW w:w="1838" w:type="dxa"/>
            <w:vAlign w:val="center"/>
          </w:tcPr>
          <w:p w14:paraId="4B923524">
            <w:pPr>
              <w:pStyle w:val="13"/>
            </w:pPr>
            <w:r>
              <w:t>≥840元</w:t>
            </w:r>
          </w:p>
        </w:tc>
        <w:tc>
          <w:tcPr>
            <w:tcW w:w="1706" w:type="dxa"/>
            <w:vAlign w:val="center"/>
          </w:tcPr>
          <w:p w14:paraId="0F240D1D">
            <w:pPr>
              <w:pStyle w:val="13"/>
            </w:pPr>
            <w:r>
              <w:t>城乡义务教育公用经费管理办法</w:t>
            </w:r>
          </w:p>
        </w:tc>
      </w:tr>
      <w:tr w14:paraId="50869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037967">
            <w:pPr>
              <w:pStyle w:val="12"/>
            </w:pPr>
            <w:r>
              <w:t>效益指标</w:t>
            </w:r>
          </w:p>
        </w:tc>
        <w:tc>
          <w:tcPr>
            <w:tcW w:w="2268" w:type="dxa"/>
            <w:vAlign w:val="center"/>
          </w:tcPr>
          <w:p w14:paraId="5235BA65">
            <w:pPr>
              <w:pStyle w:val="13"/>
            </w:pPr>
            <w:r>
              <w:t>社会效益指标</w:t>
            </w:r>
          </w:p>
        </w:tc>
        <w:tc>
          <w:tcPr>
            <w:tcW w:w="2835" w:type="dxa"/>
            <w:vAlign w:val="center"/>
          </w:tcPr>
          <w:p w14:paraId="540E27E6">
            <w:pPr>
              <w:pStyle w:val="13"/>
            </w:pPr>
            <w:r>
              <w:t>学校运转得到提高</w:t>
            </w:r>
          </w:p>
        </w:tc>
        <w:tc>
          <w:tcPr>
            <w:tcW w:w="5386" w:type="dxa"/>
            <w:vAlign w:val="center"/>
          </w:tcPr>
          <w:p w14:paraId="4A07B31B">
            <w:pPr>
              <w:pStyle w:val="13"/>
            </w:pPr>
            <w:r>
              <w:t>学生受教育年限</w:t>
            </w:r>
          </w:p>
        </w:tc>
        <w:tc>
          <w:tcPr>
            <w:tcW w:w="1838" w:type="dxa"/>
            <w:vAlign w:val="center"/>
          </w:tcPr>
          <w:p w14:paraId="7F52F5F7">
            <w:pPr>
              <w:pStyle w:val="13"/>
            </w:pPr>
            <w:r>
              <w:t>6年</w:t>
            </w:r>
          </w:p>
        </w:tc>
        <w:tc>
          <w:tcPr>
            <w:tcW w:w="1706" w:type="dxa"/>
            <w:vAlign w:val="center"/>
          </w:tcPr>
          <w:p w14:paraId="6F2A2C0F">
            <w:pPr>
              <w:pStyle w:val="13"/>
            </w:pPr>
            <w:r>
              <w:t>城乡义务教育公用经费管理办法</w:t>
            </w:r>
          </w:p>
        </w:tc>
      </w:tr>
      <w:tr w14:paraId="18F44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21E723">
            <w:pPr>
              <w:pStyle w:val="12"/>
            </w:pPr>
            <w:r>
              <w:t>满意度指标</w:t>
            </w:r>
          </w:p>
        </w:tc>
        <w:tc>
          <w:tcPr>
            <w:tcW w:w="2268" w:type="dxa"/>
            <w:vAlign w:val="center"/>
          </w:tcPr>
          <w:p w14:paraId="173F8180">
            <w:pPr>
              <w:pStyle w:val="13"/>
            </w:pPr>
            <w:r>
              <w:t>服务对象满意度指标</w:t>
            </w:r>
          </w:p>
        </w:tc>
        <w:tc>
          <w:tcPr>
            <w:tcW w:w="2835" w:type="dxa"/>
            <w:vAlign w:val="center"/>
          </w:tcPr>
          <w:p w14:paraId="798F9D30">
            <w:pPr>
              <w:pStyle w:val="13"/>
            </w:pPr>
            <w:r>
              <w:t>服务对象满意度</w:t>
            </w:r>
          </w:p>
        </w:tc>
        <w:tc>
          <w:tcPr>
            <w:tcW w:w="5386" w:type="dxa"/>
            <w:vAlign w:val="center"/>
          </w:tcPr>
          <w:p w14:paraId="17638B93">
            <w:pPr>
              <w:pStyle w:val="13"/>
            </w:pPr>
            <w:r>
              <w:t>学校老师和学生满意度</w:t>
            </w:r>
          </w:p>
        </w:tc>
        <w:tc>
          <w:tcPr>
            <w:tcW w:w="1838" w:type="dxa"/>
            <w:vAlign w:val="center"/>
          </w:tcPr>
          <w:p w14:paraId="28C2EDA3">
            <w:pPr>
              <w:pStyle w:val="13"/>
            </w:pPr>
            <w:r>
              <w:t>≥95%</w:t>
            </w:r>
          </w:p>
        </w:tc>
        <w:tc>
          <w:tcPr>
            <w:tcW w:w="1706" w:type="dxa"/>
            <w:vAlign w:val="center"/>
          </w:tcPr>
          <w:p w14:paraId="07399E0D">
            <w:pPr>
              <w:pStyle w:val="13"/>
            </w:pPr>
            <w:r>
              <w:t>城乡义务教育公用经费管理办法</w:t>
            </w:r>
          </w:p>
        </w:tc>
      </w:tr>
    </w:tbl>
    <w:p w14:paraId="6FF52267">
      <w:pPr>
        <w:sectPr>
          <w:pgSz w:w="16840" w:h="11900" w:orient="landscape"/>
          <w:pgMar w:top="1361" w:right="1020" w:bottom="1134" w:left="1020" w:header="720" w:footer="720" w:gutter="0"/>
          <w:cols w:space="720" w:num="1"/>
        </w:sectPr>
      </w:pPr>
    </w:p>
    <w:p w14:paraId="5A3C83D6">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4、冀财教[2024]123号/中央/2025年义教补助经费/大张庄中心小学公用经费绩效目标表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86F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7BFC0">
            <w:pPr>
              <w:pStyle w:val="14"/>
            </w:pPr>
            <w:r>
              <w:t>单位：万元</w:t>
            </w:r>
          </w:p>
        </w:tc>
      </w:tr>
      <w:tr w14:paraId="55ECC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6FDB93">
            <w:pPr>
              <w:pStyle w:val="11"/>
            </w:pPr>
            <w:r>
              <w:t>项目编码</w:t>
            </w:r>
          </w:p>
        </w:tc>
        <w:tc>
          <w:tcPr>
            <w:tcW w:w="5103" w:type="dxa"/>
            <w:gridSpan w:val="2"/>
            <w:vAlign w:val="center"/>
          </w:tcPr>
          <w:p w14:paraId="08B0E019">
            <w:pPr>
              <w:pStyle w:val="13"/>
            </w:pPr>
            <w:r>
              <w:t>13052525P00000410105B</w:t>
            </w:r>
          </w:p>
        </w:tc>
        <w:tc>
          <w:tcPr>
            <w:tcW w:w="2835" w:type="dxa"/>
            <w:vAlign w:val="center"/>
          </w:tcPr>
          <w:p w14:paraId="35321965">
            <w:pPr>
              <w:pStyle w:val="11"/>
            </w:pPr>
            <w:r>
              <w:t>项目名称</w:t>
            </w:r>
          </w:p>
        </w:tc>
        <w:tc>
          <w:tcPr>
            <w:tcW w:w="6095" w:type="dxa"/>
            <w:gridSpan w:val="3"/>
            <w:vAlign w:val="center"/>
          </w:tcPr>
          <w:p w14:paraId="12B47EA1">
            <w:pPr>
              <w:pStyle w:val="13"/>
            </w:pPr>
            <w:r>
              <w:t>冀财教[2024]123号/中央/2025年义教补助经费/大张庄中心小学公用经费</w:t>
            </w:r>
          </w:p>
        </w:tc>
      </w:tr>
      <w:tr w14:paraId="61431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93274">
            <w:pPr>
              <w:pStyle w:val="11"/>
            </w:pPr>
            <w:r>
              <w:t>预算规模及资金用途</w:t>
            </w:r>
          </w:p>
        </w:tc>
        <w:tc>
          <w:tcPr>
            <w:tcW w:w="2268" w:type="dxa"/>
            <w:vAlign w:val="center"/>
          </w:tcPr>
          <w:p w14:paraId="3F9DCC33">
            <w:pPr>
              <w:pStyle w:val="11"/>
            </w:pPr>
            <w:r>
              <w:t>预算数</w:t>
            </w:r>
          </w:p>
        </w:tc>
        <w:tc>
          <w:tcPr>
            <w:tcW w:w="2835" w:type="dxa"/>
            <w:vAlign w:val="center"/>
          </w:tcPr>
          <w:p w14:paraId="6DAB9953">
            <w:pPr>
              <w:pStyle w:val="13"/>
            </w:pPr>
            <w:r>
              <w:t>50.67</w:t>
            </w:r>
          </w:p>
        </w:tc>
        <w:tc>
          <w:tcPr>
            <w:tcW w:w="2835" w:type="dxa"/>
            <w:vAlign w:val="center"/>
          </w:tcPr>
          <w:p w14:paraId="5CECE23E">
            <w:pPr>
              <w:pStyle w:val="11"/>
            </w:pPr>
            <w:r>
              <w:t>其中：财政    资金</w:t>
            </w:r>
          </w:p>
        </w:tc>
        <w:tc>
          <w:tcPr>
            <w:tcW w:w="2551" w:type="dxa"/>
            <w:vAlign w:val="center"/>
          </w:tcPr>
          <w:p w14:paraId="41BCACE2">
            <w:pPr>
              <w:pStyle w:val="13"/>
            </w:pPr>
            <w:r>
              <w:t>50.67</w:t>
            </w:r>
          </w:p>
        </w:tc>
        <w:tc>
          <w:tcPr>
            <w:tcW w:w="2268" w:type="dxa"/>
            <w:vAlign w:val="center"/>
          </w:tcPr>
          <w:p w14:paraId="27F21DD2">
            <w:pPr>
              <w:pStyle w:val="11"/>
            </w:pPr>
            <w:r>
              <w:t>其他资金</w:t>
            </w:r>
          </w:p>
        </w:tc>
        <w:tc>
          <w:tcPr>
            <w:tcW w:w="1276" w:type="dxa"/>
            <w:vAlign w:val="center"/>
          </w:tcPr>
          <w:p w14:paraId="2978A085">
            <w:pPr>
              <w:pStyle w:val="13"/>
            </w:pPr>
            <w:r>
              <w:t xml:space="preserve"> </w:t>
            </w:r>
          </w:p>
        </w:tc>
      </w:tr>
      <w:tr w14:paraId="4BAA9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99099D"/>
        </w:tc>
        <w:tc>
          <w:tcPr>
            <w:tcW w:w="14033" w:type="dxa"/>
            <w:gridSpan w:val="6"/>
            <w:vAlign w:val="center"/>
          </w:tcPr>
          <w:p w14:paraId="34E71DF3">
            <w:pPr>
              <w:pStyle w:val="13"/>
            </w:pPr>
            <w:r>
              <w:t>为保证学校正常运转和改善办学条件。</w:t>
            </w:r>
          </w:p>
        </w:tc>
      </w:tr>
      <w:tr w14:paraId="20F3B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D36C4">
            <w:pPr>
              <w:pStyle w:val="11"/>
            </w:pPr>
            <w:r>
              <w:t>资金支出计划（%）</w:t>
            </w:r>
          </w:p>
        </w:tc>
        <w:tc>
          <w:tcPr>
            <w:tcW w:w="5103" w:type="dxa"/>
            <w:gridSpan w:val="2"/>
            <w:vAlign w:val="center"/>
          </w:tcPr>
          <w:p w14:paraId="742E4784">
            <w:pPr>
              <w:pStyle w:val="11"/>
            </w:pPr>
            <w:r>
              <w:t>3月底</w:t>
            </w:r>
          </w:p>
        </w:tc>
        <w:tc>
          <w:tcPr>
            <w:tcW w:w="2835" w:type="dxa"/>
            <w:vAlign w:val="center"/>
          </w:tcPr>
          <w:p w14:paraId="50897353">
            <w:pPr>
              <w:pStyle w:val="11"/>
            </w:pPr>
            <w:r>
              <w:t>6月底</w:t>
            </w:r>
          </w:p>
        </w:tc>
        <w:tc>
          <w:tcPr>
            <w:tcW w:w="2551" w:type="dxa"/>
            <w:vAlign w:val="center"/>
          </w:tcPr>
          <w:p w14:paraId="5EA9EB2C">
            <w:pPr>
              <w:pStyle w:val="11"/>
            </w:pPr>
            <w:r>
              <w:t>10月底</w:t>
            </w:r>
          </w:p>
        </w:tc>
        <w:tc>
          <w:tcPr>
            <w:tcW w:w="3544" w:type="dxa"/>
            <w:gridSpan w:val="2"/>
            <w:vAlign w:val="center"/>
          </w:tcPr>
          <w:p w14:paraId="0B25CD45">
            <w:pPr>
              <w:pStyle w:val="11"/>
            </w:pPr>
            <w:r>
              <w:t>12月底</w:t>
            </w:r>
          </w:p>
        </w:tc>
      </w:tr>
      <w:tr w14:paraId="4A953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15F507"/>
        </w:tc>
        <w:tc>
          <w:tcPr>
            <w:tcW w:w="5103" w:type="dxa"/>
            <w:gridSpan w:val="2"/>
            <w:vAlign w:val="center"/>
          </w:tcPr>
          <w:p w14:paraId="22EE4A34">
            <w:pPr>
              <w:pStyle w:val="12"/>
            </w:pPr>
            <w:r>
              <w:t>25%</w:t>
            </w:r>
          </w:p>
        </w:tc>
        <w:tc>
          <w:tcPr>
            <w:tcW w:w="2835" w:type="dxa"/>
            <w:vAlign w:val="center"/>
          </w:tcPr>
          <w:p w14:paraId="7889F882">
            <w:pPr>
              <w:pStyle w:val="12"/>
            </w:pPr>
            <w:r>
              <w:t>50%</w:t>
            </w:r>
          </w:p>
        </w:tc>
        <w:tc>
          <w:tcPr>
            <w:tcW w:w="2551" w:type="dxa"/>
            <w:vAlign w:val="center"/>
          </w:tcPr>
          <w:p w14:paraId="196DA5FB">
            <w:pPr>
              <w:pStyle w:val="12"/>
            </w:pPr>
            <w:r>
              <w:t>75%</w:t>
            </w:r>
          </w:p>
        </w:tc>
        <w:tc>
          <w:tcPr>
            <w:tcW w:w="3544" w:type="dxa"/>
            <w:gridSpan w:val="2"/>
            <w:vAlign w:val="center"/>
          </w:tcPr>
          <w:p w14:paraId="1DBB6AA9">
            <w:pPr>
              <w:pStyle w:val="12"/>
            </w:pPr>
            <w:r>
              <w:t>100%</w:t>
            </w:r>
          </w:p>
        </w:tc>
      </w:tr>
      <w:tr w14:paraId="1243E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2690CE">
            <w:pPr>
              <w:pStyle w:val="11"/>
            </w:pPr>
            <w:r>
              <w:t>绩效目标</w:t>
            </w:r>
          </w:p>
        </w:tc>
        <w:tc>
          <w:tcPr>
            <w:tcW w:w="14033" w:type="dxa"/>
            <w:gridSpan w:val="6"/>
            <w:vAlign w:val="center"/>
          </w:tcPr>
          <w:p w14:paraId="5034E0BB">
            <w:pPr>
              <w:pStyle w:val="13"/>
            </w:pPr>
            <w:r>
              <w:t>1.按拨款序时进度完成经费拨付和支出。</w:t>
            </w:r>
          </w:p>
          <w:p w14:paraId="5E9DCA70">
            <w:pPr>
              <w:pStyle w:val="13"/>
            </w:pPr>
            <w:r>
              <w:t>2.为保证学校正常运转和改善办学条件。</w:t>
            </w:r>
          </w:p>
        </w:tc>
      </w:tr>
    </w:tbl>
    <w:p w14:paraId="709CED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53"/>
        <w:gridCol w:w="1991"/>
      </w:tblGrid>
      <w:tr w14:paraId="2384A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DD9AB">
            <w:pPr>
              <w:pStyle w:val="11"/>
            </w:pPr>
            <w:r>
              <w:t>一级指标</w:t>
            </w:r>
          </w:p>
        </w:tc>
        <w:tc>
          <w:tcPr>
            <w:tcW w:w="2268" w:type="dxa"/>
            <w:vAlign w:val="center"/>
          </w:tcPr>
          <w:p w14:paraId="37012A76">
            <w:pPr>
              <w:pStyle w:val="11"/>
            </w:pPr>
            <w:r>
              <w:t>二级指标</w:t>
            </w:r>
          </w:p>
        </w:tc>
        <w:tc>
          <w:tcPr>
            <w:tcW w:w="2835" w:type="dxa"/>
            <w:vAlign w:val="center"/>
          </w:tcPr>
          <w:p w14:paraId="2267A119">
            <w:pPr>
              <w:pStyle w:val="11"/>
            </w:pPr>
            <w:r>
              <w:t>三级指标</w:t>
            </w:r>
          </w:p>
        </w:tc>
        <w:tc>
          <w:tcPr>
            <w:tcW w:w="5386" w:type="dxa"/>
            <w:vAlign w:val="center"/>
          </w:tcPr>
          <w:p w14:paraId="025703FD">
            <w:pPr>
              <w:pStyle w:val="11"/>
            </w:pPr>
            <w:r>
              <w:t>绩效指标描述</w:t>
            </w:r>
          </w:p>
        </w:tc>
        <w:tc>
          <w:tcPr>
            <w:tcW w:w="1553" w:type="dxa"/>
            <w:vAlign w:val="center"/>
          </w:tcPr>
          <w:p w14:paraId="625CAB3D">
            <w:pPr>
              <w:pStyle w:val="11"/>
            </w:pPr>
            <w:r>
              <w:t>指标值</w:t>
            </w:r>
          </w:p>
        </w:tc>
        <w:tc>
          <w:tcPr>
            <w:tcW w:w="1991" w:type="dxa"/>
            <w:vAlign w:val="center"/>
          </w:tcPr>
          <w:p w14:paraId="0645D85F">
            <w:pPr>
              <w:pStyle w:val="11"/>
            </w:pPr>
            <w:r>
              <w:t>指标值确定依据</w:t>
            </w:r>
          </w:p>
        </w:tc>
      </w:tr>
      <w:tr w14:paraId="22386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6786E">
            <w:pPr>
              <w:pStyle w:val="12"/>
            </w:pPr>
            <w:r>
              <w:t>产出指标</w:t>
            </w:r>
          </w:p>
        </w:tc>
        <w:tc>
          <w:tcPr>
            <w:tcW w:w="2268" w:type="dxa"/>
            <w:vAlign w:val="center"/>
          </w:tcPr>
          <w:p w14:paraId="353D6813">
            <w:pPr>
              <w:pStyle w:val="13"/>
            </w:pPr>
            <w:r>
              <w:t>数量指标</w:t>
            </w:r>
          </w:p>
        </w:tc>
        <w:tc>
          <w:tcPr>
            <w:tcW w:w="2835" w:type="dxa"/>
            <w:vAlign w:val="center"/>
          </w:tcPr>
          <w:p w14:paraId="29F2285F">
            <w:pPr>
              <w:pStyle w:val="13"/>
            </w:pPr>
            <w:r>
              <w:t>就读学生数</w:t>
            </w:r>
          </w:p>
        </w:tc>
        <w:tc>
          <w:tcPr>
            <w:tcW w:w="5386" w:type="dxa"/>
            <w:vAlign w:val="center"/>
          </w:tcPr>
          <w:p w14:paraId="42C3201A">
            <w:pPr>
              <w:pStyle w:val="13"/>
            </w:pPr>
            <w:r>
              <w:t>辐射区域内适龄学生人数</w:t>
            </w:r>
          </w:p>
        </w:tc>
        <w:tc>
          <w:tcPr>
            <w:tcW w:w="1553" w:type="dxa"/>
            <w:vAlign w:val="center"/>
          </w:tcPr>
          <w:p w14:paraId="3B555ED6">
            <w:pPr>
              <w:pStyle w:val="13"/>
            </w:pPr>
            <w:r>
              <w:t>719人</w:t>
            </w:r>
          </w:p>
        </w:tc>
        <w:tc>
          <w:tcPr>
            <w:tcW w:w="1991" w:type="dxa"/>
            <w:vAlign w:val="center"/>
          </w:tcPr>
          <w:p w14:paraId="51FA6B2A">
            <w:pPr>
              <w:pStyle w:val="13"/>
            </w:pPr>
            <w:r>
              <w:t>城乡义务教育公用经费管理办法</w:t>
            </w:r>
          </w:p>
        </w:tc>
      </w:tr>
      <w:tr w14:paraId="66A37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1C94"/>
        </w:tc>
        <w:tc>
          <w:tcPr>
            <w:tcW w:w="2268" w:type="dxa"/>
            <w:vAlign w:val="center"/>
          </w:tcPr>
          <w:p w14:paraId="1A96F4FF">
            <w:pPr>
              <w:pStyle w:val="13"/>
            </w:pPr>
            <w:r>
              <w:t>质量指标</w:t>
            </w:r>
          </w:p>
        </w:tc>
        <w:tc>
          <w:tcPr>
            <w:tcW w:w="2835" w:type="dxa"/>
            <w:vAlign w:val="center"/>
          </w:tcPr>
          <w:p w14:paraId="38D43285">
            <w:pPr>
              <w:pStyle w:val="13"/>
            </w:pPr>
            <w:r>
              <w:t>预算执行率</w:t>
            </w:r>
          </w:p>
        </w:tc>
        <w:tc>
          <w:tcPr>
            <w:tcW w:w="5386" w:type="dxa"/>
            <w:vAlign w:val="center"/>
          </w:tcPr>
          <w:p w14:paraId="2EC3C4AD">
            <w:pPr>
              <w:pStyle w:val="13"/>
            </w:pPr>
            <w:r>
              <w:t>预算执行率≥98%</w:t>
            </w:r>
          </w:p>
        </w:tc>
        <w:tc>
          <w:tcPr>
            <w:tcW w:w="1553" w:type="dxa"/>
            <w:vAlign w:val="center"/>
          </w:tcPr>
          <w:p w14:paraId="12235E42">
            <w:pPr>
              <w:pStyle w:val="13"/>
            </w:pPr>
            <w:r>
              <w:t>≥98%</w:t>
            </w:r>
          </w:p>
        </w:tc>
        <w:tc>
          <w:tcPr>
            <w:tcW w:w="1991" w:type="dxa"/>
            <w:vAlign w:val="center"/>
          </w:tcPr>
          <w:p w14:paraId="6B5B91F5">
            <w:pPr>
              <w:pStyle w:val="13"/>
            </w:pPr>
            <w:r>
              <w:t>城乡义务教育公用经费管理办法</w:t>
            </w:r>
          </w:p>
        </w:tc>
      </w:tr>
      <w:tr w14:paraId="62A14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A5A92"/>
        </w:tc>
        <w:tc>
          <w:tcPr>
            <w:tcW w:w="2268" w:type="dxa"/>
            <w:vAlign w:val="center"/>
          </w:tcPr>
          <w:p w14:paraId="6C1A4EBB">
            <w:pPr>
              <w:pStyle w:val="13"/>
            </w:pPr>
            <w:r>
              <w:t>时效指标</w:t>
            </w:r>
          </w:p>
        </w:tc>
        <w:tc>
          <w:tcPr>
            <w:tcW w:w="2835" w:type="dxa"/>
            <w:vAlign w:val="center"/>
          </w:tcPr>
          <w:p w14:paraId="748D521D">
            <w:pPr>
              <w:pStyle w:val="13"/>
            </w:pPr>
            <w:r>
              <w:t>义教经费支付完成率</w:t>
            </w:r>
          </w:p>
        </w:tc>
        <w:tc>
          <w:tcPr>
            <w:tcW w:w="5386" w:type="dxa"/>
            <w:vAlign w:val="center"/>
          </w:tcPr>
          <w:p w14:paraId="53077568">
            <w:pPr>
              <w:pStyle w:val="13"/>
            </w:pPr>
            <w:r>
              <w:t>按照序时进度完成资金支付</w:t>
            </w:r>
          </w:p>
        </w:tc>
        <w:tc>
          <w:tcPr>
            <w:tcW w:w="1553" w:type="dxa"/>
            <w:vAlign w:val="center"/>
          </w:tcPr>
          <w:p w14:paraId="6DDE8200">
            <w:pPr>
              <w:pStyle w:val="13"/>
            </w:pPr>
            <w:r>
              <w:t>≥100%</w:t>
            </w:r>
          </w:p>
        </w:tc>
        <w:tc>
          <w:tcPr>
            <w:tcW w:w="1991" w:type="dxa"/>
            <w:vAlign w:val="center"/>
          </w:tcPr>
          <w:p w14:paraId="72CE9C37">
            <w:pPr>
              <w:pStyle w:val="13"/>
            </w:pPr>
            <w:r>
              <w:t>城乡义务教育公用经费管理办法</w:t>
            </w:r>
          </w:p>
        </w:tc>
      </w:tr>
      <w:tr w14:paraId="4F7CD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62DC0"/>
        </w:tc>
        <w:tc>
          <w:tcPr>
            <w:tcW w:w="2268" w:type="dxa"/>
            <w:vAlign w:val="center"/>
          </w:tcPr>
          <w:p w14:paraId="1E979896">
            <w:pPr>
              <w:pStyle w:val="13"/>
            </w:pPr>
            <w:r>
              <w:t>成本指标</w:t>
            </w:r>
          </w:p>
        </w:tc>
        <w:tc>
          <w:tcPr>
            <w:tcW w:w="2835" w:type="dxa"/>
            <w:vAlign w:val="center"/>
          </w:tcPr>
          <w:p w14:paraId="4609FAAC">
            <w:pPr>
              <w:pStyle w:val="13"/>
            </w:pPr>
            <w:r>
              <w:t>生均拨款标准</w:t>
            </w:r>
          </w:p>
        </w:tc>
        <w:tc>
          <w:tcPr>
            <w:tcW w:w="5386" w:type="dxa"/>
            <w:vAlign w:val="center"/>
          </w:tcPr>
          <w:p w14:paraId="7FF00C67">
            <w:pPr>
              <w:pStyle w:val="13"/>
            </w:pPr>
            <w:r>
              <w:t>小学生公用经费生均小学720元，取暖费120元/生/年，随班就读学生补助7000元/生</w:t>
            </w:r>
          </w:p>
        </w:tc>
        <w:tc>
          <w:tcPr>
            <w:tcW w:w="1553" w:type="dxa"/>
            <w:vAlign w:val="center"/>
          </w:tcPr>
          <w:p w14:paraId="401F2E7B">
            <w:pPr>
              <w:pStyle w:val="13"/>
            </w:pPr>
            <w:r>
              <w:t>≥840元</w:t>
            </w:r>
          </w:p>
        </w:tc>
        <w:tc>
          <w:tcPr>
            <w:tcW w:w="1991" w:type="dxa"/>
            <w:vAlign w:val="center"/>
          </w:tcPr>
          <w:p w14:paraId="43A11F89">
            <w:pPr>
              <w:pStyle w:val="13"/>
            </w:pPr>
            <w:r>
              <w:t>城乡义务教育公用经费管理办法</w:t>
            </w:r>
          </w:p>
        </w:tc>
      </w:tr>
      <w:tr w14:paraId="3C2B5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B6403">
            <w:pPr>
              <w:pStyle w:val="12"/>
            </w:pPr>
            <w:r>
              <w:t>效益指标</w:t>
            </w:r>
          </w:p>
        </w:tc>
        <w:tc>
          <w:tcPr>
            <w:tcW w:w="2268" w:type="dxa"/>
            <w:vAlign w:val="center"/>
          </w:tcPr>
          <w:p w14:paraId="0031FEEC">
            <w:pPr>
              <w:pStyle w:val="13"/>
            </w:pPr>
            <w:r>
              <w:t>社会效益指标</w:t>
            </w:r>
          </w:p>
        </w:tc>
        <w:tc>
          <w:tcPr>
            <w:tcW w:w="2835" w:type="dxa"/>
            <w:vAlign w:val="center"/>
          </w:tcPr>
          <w:p w14:paraId="049EC621">
            <w:pPr>
              <w:pStyle w:val="13"/>
            </w:pPr>
            <w:r>
              <w:t>学校运转得到提高</w:t>
            </w:r>
          </w:p>
        </w:tc>
        <w:tc>
          <w:tcPr>
            <w:tcW w:w="5386" w:type="dxa"/>
            <w:vAlign w:val="center"/>
          </w:tcPr>
          <w:p w14:paraId="065570B7">
            <w:pPr>
              <w:pStyle w:val="13"/>
            </w:pPr>
            <w:r>
              <w:t>学生受教育年限</w:t>
            </w:r>
          </w:p>
        </w:tc>
        <w:tc>
          <w:tcPr>
            <w:tcW w:w="1553" w:type="dxa"/>
            <w:vAlign w:val="center"/>
          </w:tcPr>
          <w:p w14:paraId="739CF21B">
            <w:pPr>
              <w:pStyle w:val="13"/>
            </w:pPr>
            <w:r>
              <w:t>6年</w:t>
            </w:r>
          </w:p>
        </w:tc>
        <w:tc>
          <w:tcPr>
            <w:tcW w:w="1991" w:type="dxa"/>
            <w:vAlign w:val="center"/>
          </w:tcPr>
          <w:p w14:paraId="4DD8DC40">
            <w:pPr>
              <w:pStyle w:val="13"/>
            </w:pPr>
            <w:r>
              <w:t>城乡义务教育公用经费管理办法</w:t>
            </w:r>
          </w:p>
        </w:tc>
      </w:tr>
      <w:tr w14:paraId="71F19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C9C527">
            <w:pPr>
              <w:pStyle w:val="12"/>
            </w:pPr>
            <w:r>
              <w:t>满意度指标</w:t>
            </w:r>
          </w:p>
        </w:tc>
        <w:tc>
          <w:tcPr>
            <w:tcW w:w="2268" w:type="dxa"/>
            <w:vAlign w:val="center"/>
          </w:tcPr>
          <w:p w14:paraId="394302D9">
            <w:pPr>
              <w:pStyle w:val="13"/>
            </w:pPr>
            <w:r>
              <w:t>服务对象满意度指标</w:t>
            </w:r>
          </w:p>
        </w:tc>
        <w:tc>
          <w:tcPr>
            <w:tcW w:w="2835" w:type="dxa"/>
            <w:vAlign w:val="center"/>
          </w:tcPr>
          <w:p w14:paraId="5F1C99F6">
            <w:pPr>
              <w:pStyle w:val="13"/>
            </w:pPr>
            <w:r>
              <w:t>服务对象满意度</w:t>
            </w:r>
          </w:p>
        </w:tc>
        <w:tc>
          <w:tcPr>
            <w:tcW w:w="5386" w:type="dxa"/>
            <w:vAlign w:val="center"/>
          </w:tcPr>
          <w:p w14:paraId="5A1C504F">
            <w:pPr>
              <w:pStyle w:val="13"/>
            </w:pPr>
            <w:r>
              <w:t>学校老师和学生满意度</w:t>
            </w:r>
          </w:p>
        </w:tc>
        <w:tc>
          <w:tcPr>
            <w:tcW w:w="1553" w:type="dxa"/>
            <w:vAlign w:val="center"/>
          </w:tcPr>
          <w:p w14:paraId="1D477BF6">
            <w:pPr>
              <w:pStyle w:val="13"/>
            </w:pPr>
            <w:r>
              <w:t>≥95%</w:t>
            </w:r>
          </w:p>
        </w:tc>
        <w:tc>
          <w:tcPr>
            <w:tcW w:w="1991" w:type="dxa"/>
            <w:vAlign w:val="center"/>
          </w:tcPr>
          <w:p w14:paraId="479EF316">
            <w:pPr>
              <w:pStyle w:val="13"/>
            </w:pPr>
            <w:r>
              <w:t>城乡义务教育公用经费管理办法</w:t>
            </w:r>
          </w:p>
        </w:tc>
      </w:tr>
    </w:tbl>
    <w:p w14:paraId="1155471E">
      <w:pPr>
        <w:sectPr>
          <w:pgSz w:w="16840" w:h="11900" w:orient="landscape"/>
          <w:pgMar w:top="1361" w:right="1020" w:bottom="1134" w:left="1020" w:header="720" w:footer="720" w:gutter="0"/>
          <w:cols w:space="720" w:num="1"/>
        </w:sectPr>
      </w:pPr>
    </w:p>
    <w:p w14:paraId="5883CD96">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5、冀财教[2024]123号/中央/2025年义教补助经费/黄家庄中心小学公用经费绩效目标表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431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13575">
            <w:pPr>
              <w:pStyle w:val="14"/>
            </w:pPr>
            <w:r>
              <w:t>单位：万元</w:t>
            </w:r>
          </w:p>
        </w:tc>
      </w:tr>
      <w:tr w14:paraId="1BF2B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34CAE">
            <w:pPr>
              <w:pStyle w:val="11"/>
            </w:pPr>
            <w:r>
              <w:t>项目编码</w:t>
            </w:r>
          </w:p>
        </w:tc>
        <w:tc>
          <w:tcPr>
            <w:tcW w:w="5103" w:type="dxa"/>
            <w:gridSpan w:val="2"/>
            <w:vAlign w:val="center"/>
          </w:tcPr>
          <w:p w14:paraId="574B7517">
            <w:pPr>
              <w:pStyle w:val="13"/>
            </w:pPr>
            <w:r>
              <w:t>13052525P00000410106Y</w:t>
            </w:r>
          </w:p>
        </w:tc>
        <w:tc>
          <w:tcPr>
            <w:tcW w:w="2835" w:type="dxa"/>
            <w:vAlign w:val="center"/>
          </w:tcPr>
          <w:p w14:paraId="18EDC68D">
            <w:pPr>
              <w:pStyle w:val="11"/>
            </w:pPr>
            <w:r>
              <w:t>项目名称</w:t>
            </w:r>
          </w:p>
        </w:tc>
        <w:tc>
          <w:tcPr>
            <w:tcW w:w="6095" w:type="dxa"/>
            <w:gridSpan w:val="3"/>
            <w:vAlign w:val="center"/>
          </w:tcPr>
          <w:p w14:paraId="3A4C0017">
            <w:pPr>
              <w:pStyle w:val="13"/>
            </w:pPr>
            <w:r>
              <w:t>冀财教[2024]123号/中央/2025年义教补助经费/黄家庄中心小学公用经费</w:t>
            </w:r>
          </w:p>
        </w:tc>
      </w:tr>
      <w:tr w14:paraId="41FB6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1E4ED">
            <w:pPr>
              <w:pStyle w:val="11"/>
            </w:pPr>
            <w:r>
              <w:t>预算规模及资金用途</w:t>
            </w:r>
          </w:p>
        </w:tc>
        <w:tc>
          <w:tcPr>
            <w:tcW w:w="2268" w:type="dxa"/>
            <w:vAlign w:val="center"/>
          </w:tcPr>
          <w:p w14:paraId="5F986F1C">
            <w:pPr>
              <w:pStyle w:val="11"/>
            </w:pPr>
            <w:r>
              <w:t>预算数</w:t>
            </w:r>
          </w:p>
        </w:tc>
        <w:tc>
          <w:tcPr>
            <w:tcW w:w="2835" w:type="dxa"/>
            <w:vAlign w:val="center"/>
          </w:tcPr>
          <w:p w14:paraId="745D97E3">
            <w:pPr>
              <w:pStyle w:val="13"/>
            </w:pPr>
            <w:r>
              <w:t>12.68</w:t>
            </w:r>
          </w:p>
        </w:tc>
        <w:tc>
          <w:tcPr>
            <w:tcW w:w="2835" w:type="dxa"/>
            <w:vAlign w:val="center"/>
          </w:tcPr>
          <w:p w14:paraId="256D8B47">
            <w:pPr>
              <w:pStyle w:val="11"/>
            </w:pPr>
            <w:r>
              <w:t>其中：财政    资金</w:t>
            </w:r>
          </w:p>
        </w:tc>
        <w:tc>
          <w:tcPr>
            <w:tcW w:w="2551" w:type="dxa"/>
            <w:vAlign w:val="center"/>
          </w:tcPr>
          <w:p w14:paraId="32CA6873">
            <w:pPr>
              <w:pStyle w:val="13"/>
            </w:pPr>
            <w:r>
              <w:t>12.68</w:t>
            </w:r>
          </w:p>
        </w:tc>
        <w:tc>
          <w:tcPr>
            <w:tcW w:w="2268" w:type="dxa"/>
            <w:vAlign w:val="center"/>
          </w:tcPr>
          <w:p w14:paraId="2931A828">
            <w:pPr>
              <w:pStyle w:val="11"/>
            </w:pPr>
            <w:r>
              <w:t>其他资金</w:t>
            </w:r>
          </w:p>
        </w:tc>
        <w:tc>
          <w:tcPr>
            <w:tcW w:w="1276" w:type="dxa"/>
            <w:vAlign w:val="center"/>
          </w:tcPr>
          <w:p w14:paraId="3AA4D0A8">
            <w:pPr>
              <w:pStyle w:val="13"/>
            </w:pPr>
            <w:r>
              <w:t xml:space="preserve"> </w:t>
            </w:r>
          </w:p>
        </w:tc>
      </w:tr>
      <w:tr w14:paraId="6E662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EBB15A"/>
        </w:tc>
        <w:tc>
          <w:tcPr>
            <w:tcW w:w="14033" w:type="dxa"/>
            <w:gridSpan w:val="6"/>
            <w:vAlign w:val="center"/>
          </w:tcPr>
          <w:p w14:paraId="2E8AD2A6">
            <w:pPr>
              <w:pStyle w:val="13"/>
            </w:pPr>
            <w:r>
              <w:t>为保证学校正常运转和改善办学条件。</w:t>
            </w:r>
          </w:p>
        </w:tc>
      </w:tr>
      <w:tr w14:paraId="5D2C8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7EAD3">
            <w:pPr>
              <w:pStyle w:val="11"/>
            </w:pPr>
            <w:r>
              <w:t>资金支出计划（%）</w:t>
            </w:r>
          </w:p>
        </w:tc>
        <w:tc>
          <w:tcPr>
            <w:tcW w:w="5103" w:type="dxa"/>
            <w:gridSpan w:val="2"/>
            <w:vAlign w:val="center"/>
          </w:tcPr>
          <w:p w14:paraId="3ED7CB39">
            <w:pPr>
              <w:pStyle w:val="11"/>
            </w:pPr>
            <w:r>
              <w:t>3月底</w:t>
            </w:r>
          </w:p>
        </w:tc>
        <w:tc>
          <w:tcPr>
            <w:tcW w:w="2835" w:type="dxa"/>
            <w:vAlign w:val="center"/>
          </w:tcPr>
          <w:p w14:paraId="23F0D54B">
            <w:pPr>
              <w:pStyle w:val="11"/>
            </w:pPr>
            <w:r>
              <w:t>6月底</w:t>
            </w:r>
          </w:p>
        </w:tc>
        <w:tc>
          <w:tcPr>
            <w:tcW w:w="2551" w:type="dxa"/>
            <w:vAlign w:val="center"/>
          </w:tcPr>
          <w:p w14:paraId="2C517550">
            <w:pPr>
              <w:pStyle w:val="11"/>
            </w:pPr>
            <w:r>
              <w:t>10月底</w:t>
            </w:r>
          </w:p>
        </w:tc>
        <w:tc>
          <w:tcPr>
            <w:tcW w:w="3544" w:type="dxa"/>
            <w:gridSpan w:val="2"/>
            <w:vAlign w:val="center"/>
          </w:tcPr>
          <w:p w14:paraId="4A2C77FE">
            <w:pPr>
              <w:pStyle w:val="11"/>
            </w:pPr>
            <w:r>
              <w:t>12月底</w:t>
            </w:r>
          </w:p>
        </w:tc>
      </w:tr>
      <w:tr w14:paraId="2F198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45E22"/>
        </w:tc>
        <w:tc>
          <w:tcPr>
            <w:tcW w:w="5103" w:type="dxa"/>
            <w:gridSpan w:val="2"/>
            <w:vAlign w:val="center"/>
          </w:tcPr>
          <w:p w14:paraId="2A77214C">
            <w:pPr>
              <w:pStyle w:val="12"/>
            </w:pPr>
            <w:r>
              <w:t>25%</w:t>
            </w:r>
          </w:p>
        </w:tc>
        <w:tc>
          <w:tcPr>
            <w:tcW w:w="2835" w:type="dxa"/>
            <w:vAlign w:val="center"/>
          </w:tcPr>
          <w:p w14:paraId="4122B01F">
            <w:pPr>
              <w:pStyle w:val="12"/>
            </w:pPr>
            <w:r>
              <w:t>50%</w:t>
            </w:r>
          </w:p>
        </w:tc>
        <w:tc>
          <w:tcPr>
            <w:tcW w:w="2551" w:type="dxa"/>
            <w:vAlign w:val="center"/>
          </w:tcPr>
          <w:p w14:paraId="29F137FF">
            <w:pPr>
              <w:pStyle w:val="12"/>
            </w:pPr>
            <w:r>
              <w:t>75%</w:t>
            </w:r>
          </w:p>
        </w:tc>
        <w:tc>
          <w:tcPr>
            <w:tcW w:w="3544" w:type="dxa"/>
            <w:gridSpan w:val="2"/>
            <w:vAlign w:val="center"/>
          </w:tcPr>
          <w:p w14:paraId="5C2A181A">
            <w:pPr>
              <w:pStyle w:val="12"/>
            </w:pPr>
            <w:r>
              <w:t>100%</w:t>
            </w:r>
          </w:p>
        </w:tc>
      </w:tr>
      <w:tr w14:paraId="7B7E8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2C368">
            <w:pPr>
              <w:pStyle w:val="11"/>
            </w:pPr>
            <w:r>
              <w:t>绩效目标</w:t>
            </w:r>
          </w:p>
        </w:tc>
        <w:tc>
          <w:tcPr>
            <w:tcW w:w="14033" w:type="dxa"/>
            <w:gridSpan w:val="6"/>
            <w:vAlign w:val="center"/>
          </w:tcPr>
          <w:p w14:paraId="07D0A1B2">
            <w:pPr>
              <w:pStyle w:val="13"/>
            </w:pPr>
            <w:r>
              <w:t>1.为保证学校正常运转和改善办学条件。</w:t>
            </w:r>
          </w:p>
          <w:p w14:paraId="29D72E67">
            <w:pPr>
              <w:pStyle w:val="13"/>
            </w:pPr>
            <w:r>
              <w:t>2.按拨款序时进度完成经费拨付和支出。</w:t>
            </w:r>
          </w:p>
        </w:tc>
      </w:tr>
    </w:tbl>
    <w:p w14:paraId="5A59E6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08"/>
        <w:gridCol w:w="2036"/>
      </w:tblGrid>
      <w:tr w14:paraId="255F8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F5A0C">
            <w:pPr>
              <w:pStyle w:val="11"/>
            </w:pPr>
            <w:r>
              <w:t>一级指标</w:t>
            </w:r>
          </w:p>
        </w:tc>
        <w:tc>
          <w:tcPr>
            <w:tcW w:w="2268" w:type="dxa"/>
            <w:vAlign w:val="center"/>
          </w:tcPr>
          <w:p w14:paraId="0486A6E8">
            <w:pPr>
              <w:pStyle w:val="11"/>
            </w:pPr>
            <w:r>
              <w:t>二级指标</w:t>
            </w:r>
          </w:p>
        </w:tc>
        <w:tc>
          <w:tcPr>
            <w:tcW w:w="2835" w:type="dxa"/>
            <w:vAlign w:val="center"/>
          </w:tcPr>
          <w:p w14:paraId="7E440CEA">
            <w:pPr>
              <w:pStyle w:val="11"/>
            </w:pPr>
            <w:r>
              <w:t>三级指标</w:t>
            </w:r>
          </w:p>
        </w:tc>
        <w:tc>
          <w:tcPr>
            <w:tcW w:w="5386" w:type="dxa"/>
            <w:vAlign w:val="center"/>
          </w:tcPr>
          <w:p w14:paraId="7AF41D52">
            <w:pPr>
              <w:pStyle w:val="11"/>
            </w:pPr>
            <w:r>
              <w:t>绩效指标描述</w:t>
            </w:r>
          </w:p>
        </w:tc>
        <w:tc>
          <w:tcPr>
            <w:tcW w:w="1508" w:type="dxa"/>
            <w:vAlign w:val="center"/>
          </w:tcPr>
          <w:p w14:paraId="7E599E57">
            <w:pPr>
              <w:pStyle w:val="11"/>
            </w:pPr>
            <w:r>
              <w:t>指标值</w:t>
            </w:r>
          </w:p>
        </w:tc>
        <w:tc>
          <w:tcPr>
            <w:tcW w:w="2036" w:type="dxa"/>
            <w:vAlign w:val="center"/>
          </w:tcPr>
          <w:p w14:paraId="1B33151C">
            <w:pPr>
              <w:pStyle w:val="11"/>
            </w:pPr>
            <w:r>
              <w:t>指标值确定依据</w:t>
            </w:r>
          </w:p>
        </w:tc>
      </w:tr>
      <w:tr w14:paraId="6203D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BF43B">
            <w:pPr>
              <w:pStyle w:val="12"/>
            </w:pPr>
            <w:r>
              <w:t>产出指标</w:t>
            </w:r>
          </w:p>
        </w:tc>
        <w:tc>
          <w:tcPr>
            <w:tcW w:w="2268" w:type="dxa"/>
            <w:vAlign w:val="center"/>
          </w:tcPr>
          <w:p w14:paraId="0A5409BD">
            <w:pPr>
              <w:pStyle w:val="13"/>
            </w:pPr>
            <w:r>
              <w:t>数量指标</w:t>
            </w:r>
          </w:p>
        </w:tc>
        <w:tc>
          <w:tcPr>
            <w:tcW w:w="2835" w:type="dxa"/>
            <w:vAlign w:val="center"/>
          </w:tcPr>
          <w:p w14:paraId="319C92B9">
            <w:pPr>
              <w:pStyle w:val="13"/>
            </w:pPr>
            <w:r>
              <w:t>就读学生数</w:t>
            </w:r>
          </w:p>
        </w:tc>
        <w:tc>
          <w:tcPr>
            <w:tcW w:w="5386" w:type="dxa"/>
            <w:vAlign w:val="center"/>
          </w:tcPr>
          <w:p w14:paraId="7925F6D0">
            <w:pPr>
              <w:pStyle w:val="13"/>
            </w:pPr>
            <w:r>
              <w:t>辐射区域内适龄学生人数</w:t>
            </w:r>
          </w:p>
        </w:tc>
        <w:tc>
          <w:tcPr>
            <w:tcW w:w="1508" w:type="dxa"/>
            <w:vAlign w:val="center"/>
          </w:tcPr>
          <w:p w14:paraId="31E44BBC">
            <w:pPr>
              <w:pStyle w:val="13"/>
            </w:pPr>
            <w:r>
              <w:t>188人</w:t>
            </w:r>
          </w:p>
        </w:tc>
        <w:tc>
          <w:tcPr>
            <w:tcW w:w="2036" w:type="dxa"/>
            <w:vAlign w:val="center"/>
          </w:tcPr>
          <w:p w14:paraId="355421CD">
            <w:pPr>
              <w:pStyle w:val="13"/>
            </w:pPr>
            <w:r>
              <w:t>城乡义务教育公用经费管理办法</w:t>
            </w:r>
          </w:p>
        </w:tc>
      </w:tr>
      <w:tr w14:paraId="1ACC9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CC8BE"/>
        </w:tc>
        <w:tc>
          <w:tcPr>
            <w:tcW w:w="2268" w:type="dxa"/>
            <w:vAlign w:val="center"/>
          </w:tcPr>
          <w:p w14:paraId="27D5F302">
            <w:pPr>
              <w:pStyle w:val="13"/>
            </w:pPr>
            <w:r>
              <w:t>质量指标</w:t>
            </w:r>
          </w:p>
        </w:tc>
        <w:tc>
          <w:tcPr>
            <w:tcW w:w="2835" w:type="dxa"/>
            <w:vAlign w:val="center"/>
          </w:tcPr>
          <w:p w14:paraId="46B6AF5F">
            <w:pPr>
              <w:pStyle w:val="13"/>
            </w:pPr>
            <w:r>
              <w:t>预算执行率</w:t>
            </w:r>
          </w:p>
        </w:tc>
        <w:tc>
          <w:tcPr>
            <w:tcW w:w="5386" w:type="dxa"/>
            <w:vAlign w:val="center"/>
          </w:tcPr>
          <w:p w14:paraId="501524C0">
            <w:pPr>
              <w:pStyle w:val="13"/>
            </w:pPr>
            <w:r>
              <w:t>预算执行率≥98%</w:t>
            </w:r>
          </w:p>
        </w:tc>
        <w:tc>
          <w:tcPr>
            <w:tcW w:w="1508" w:type="dxa"/>
            <w:vAlign w:val="center"/>
          </w:tcPr>
          <w:p w14:paraId="08F46F1D">
            <w:pPr>
              <w:pStyle w:val="13"/>
            </w:pPr>
            <w:r>
              <w:t>≥98%</w:t>
            </w:r>
          </w:p>
        </w:tc>
        <w:tc>
          <w:tcPr>
            <w:tcW w:w="2036" w:type="dxa"/>
            <w:vAlign w:val="center"/>
          </w:tcPr>
          <w:p w14:paraId="565CABCC">
            <w:pPr>
              <w:pStyle w:val="13"/>
            </w:pPr>
            <w:r>
              <w:t>城乡义务教育公用经费管理办法</w:t>
            </w:r>
          </w:p>
        </w:tc>
      </w:tr>
      <w:tr w14:paraId="71EAD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9D414"/>
        </w:tc>
        <w:tc>
          <w:tcPr>
            <w:tcW w:w="2268" w:type="dxa"/>
            <w:vAlign w:val="center"/>
          </w:tcPr>
          <w:p w14:paraId="41049E48">
            <w:pPr>
              <w:pStyle w:val="13"/>
            </w:pPr>
            <w:r>
              <w:t>时效指标</w:t>
            </w:r>
          </w:p>
        </w:tc>
        <w:tc>
          <w:tcPr>
            <w:tcW w:w="2835" w:type="dxa"/>
            <w:vAlign w:val="center"/>
          </w:tcPr>
          <w:p w14:paraId="7F436CBA">
            <w:pPr>
              <w:pStyle w:val="13"/>
            </w:pPr>
            <w:r>
              <w:t>义教经费支付完成率</w:t>
            </w:r>
          </w:p>
        </w:tc>
        <w:tc>
          <w:tcPr>
            <w:tcW w:w="5386" w:type="dxa"/>
            <w:vAlign w:val="center"/>
          </w:tcPr>
          <w:p w14:paraId="1EC632AD">
            <w:pPr>
              <w:pStyle w:val="13"/>
            </w:pPr>
            <w:r>
              <w:t>按照序时进度完成资金支付</w:t>
            </w:r>
          </w:p>
        </w:tc>
        <w:tc>
          <w:tcPr>
            <w:tcW w:w="1508" w:type="dxa"/>
            <w:vAlign w:val="center"/>
          </w:tcPr>
          <w:p w14:paraId="54602322">
            <w:pPr>
              <w:pStyle w:val="13"/>
            </w:pPr>
            <w:r>
              <w:t>≥100%</w:t>
            </w:r>
          </w:p>
        </w:tc>
        <w:tc>
          <w:tcPr>
            <w:tcW w:w="2036" w:type="dxa"/>
            <w:vAlign w:val="center"/>
          </w:tcPr>
          <w:p w14:paraId="5DA5212B">
            <w:pPr>
              <w:pStyle w:val="13"/>
            </w:pPr>
            <w:r>
              <w:t>城乡义务教育公用经费管理办法</w:t>
            </w:r>
          </w:p>
        </w:tc>
      </w:tr>
      <w:tr w14:paraId="1B2E8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76148"/>
        </w:tc>
        <w:tc>
          <w:tcPr>
            <w:tcW w:w="2268" w:type="dxa"/>
            <w:vAlign w:val="center"/>
          </w:tcPr>
          <w:p w14:paraId="562FFADC">
            <w:pPr>
              <w:pStyle w:val="13"/>
            </w:pPr>
            <w:r>
              <w:t>成本指标</w:t>
            </w:r>
          </w:p>
        </w:tc>
        <w:tc>
          <w:tcPr>
            <w:tcW w:w="2835" w:type="dxa"/>
            <w:vAlign w:val="center"/>
          </w:tcPr>
          <w:p w14:paraId="42F1CC1B">
            <w:pPr>
              <w:pStyle w:val="13"/>
            </w:pPr>
            <w:r>
              <w:t>生均拨款标准</w:t>
            </w:r>
          </w:p>
        </w:tc>
        <w:tc>
          <w:tcPr>
            <w:tcW w:w="5386" w:type="dxa"/>
            <w:vAlign w:val="center"/>
          </w:tcPr>
          <w:p w14:paraId="7DB37E64">
            <w:pPr>
              <w:pStyle w:val="13"/>
            </w:pPr>
            <w:r>
              <w:t>小学生公用经费生均小学720元，取暖费120元/生/年，随班就读学生补助7000元/生</w:t>
            </w:r>
          </w:p>
        </w:tc>
        <w:tc>
          <w:tcPr>
            <w:tcW w:w="1508" w:type="dxa"/>
            <w:vAlign w:val="center"/>
          </w:tcPr>
          <w:p w14:paraId="38E33774">
            <w:pPr>
              <w:pStyle w:val="13"/>
            </w:pPr>
            <w:r>
              <w:t>≥840元</w:t>
            </w:r>
          </w:p>
        </w:tc>
        <w:tc>
          <w:tcPr>
            <w:tcW w:w="2036" w:type="dxa"/>
            <w:vAlign w:val="center"/>
          </w:tcPr>
          <w:p w14:paraId="7DD34F9D">
            <w:pPr>
              <w:pStyle w:val="13"/>
            </w:pPr>
            <w:r>
              <w:t>城乡义务教育公用经费管理办法</w:t>
            </w:r>
          </w:p>
        </w:tc>
      </w:tr>
      <w:tr w14:paraId="412BB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8329A">
            <w:pPr>
              <w:pStyle w:val="12"/>
            </w:pPr>
            <w:r>
              <w:t>效益指标</w:t>
            </w:r>
          </w:p>
        </w:tc>
        <w:tc>
          <w:tcPr>
            <w:tcW w:w="2268" w:type="dxa"/>
            <w:vAlign w:val="center"/>
          </w:tcPr>
          <w:p w14:paraId="37502684">
            <w:pPr>
              <w:pStyle w:val="13"/>
            </w:pPr>
            <w:r>
              <w:t>社会效益指标</w:t>
            </w:r>
          </w:p>
        </w:tc>
        <w:tc>
          <w:tcPr>
            <w:tcW w:w="2835" w:type="dxa"/>
            <w:vAlign w:val="center"/>
          </w:tcPr>
          <w:p w14:paraId="51E0AD71">
            <w:pPr>
              <w:pStyle w:val="13"/>
            </w:pPr>
            <w:r>
              <w:t>学校运转得到提高</w:t>
            </w:r>
          </w:p>
        </w:tc>
        <w:tc>
          <w:tcPr>
            <w:tcW w:w="5386" w:type="dxa"/>
            <w:vAlign w:val="center"/>
          </w:tcPr>
          <w:p w14:paraId="3A34CAA2">
            <w:pPr>
              <w:pStyle w:val="13"/>
            </w:pPr>
            <w:r>
              <w:t>学生受教育年限</w:t>
            </w:r>
          </w:p>
        </w:tc>
        <w:tc>
          <w:tcPr>
            <w:tcW w:w="1508" w:type="dxa"/>
            <w:vAlign w:val="center"/>
          </w:tcPr>
          <w:p w14:paraId="2F691C6C">
            <w:pPr>
              <w:pStyle w:val="13"/>
            </w:pPr>
            <w:r>
              <w:t>6年</w:t>
            </w:r>
          </w:p>
        </w:tc>
        <w:tc>
          <w:tcPr>
            <w:tcW w:w="2036" w:type="dxa"/>
            <w:vAlign w:val="center"/>
          </w:tcPr>
          <w:p w14:paraId="484DE96E">
            <w:pPr>
              <w:pStyle w:val="13"/>
            </w:pPr>
            <w:r>
              <w:t>城乡义务教育公用经费管理办法</w:t>
            </w:r>
          </w:p>
        </w:tc>
      </w:tr>
      <w:tr w14:paraId="5236E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13728E">
            <w:pPr>
              <w:pStyle w:val="12"/>
            </w:pPr>
            <w:r>
              <w:t>满意度指标</w:t>
            </w:r>
          </w:p>
        </w:tc>
        <w:tc>
          <w:tcPr>
            <w:tcW w:w="2268" w:type="dxa"/>
            <w:vAlign w:val="center"/>
          </w:tcPr>
          <w:p w14:paraId="441FF211">
            <w:pPr>
              <w:pStyle w:val="13"/>
            </w:pPr>
            <w:r>
              <w:t>服务对象满意度指标</w:t>
            </w:r>
          </w:p>
        </w:tc>
        <w:tc>
          <w:tcPr>
            <w:tcW w:w="2835" w:type="dxa"/>
            <w:vAlign w:val="center"/>
          </w:tcPr>
          <w:p w14:paraId="17B05E5C">
            <w:pPr>
              <w:pStyle w:val="13"/>
            </w:pPr>
            <w:r>
              <w:t>服务对象满意度</w:t>
            </w:r>
          </w:p>
        </w:tc>
        <w:tc>
          <w:tcPr>
            <w:tcW w:w="5386" w:type="dxa"/>
            <w:vAlign w:val="center"/>
          </w:tcPr>
          <w:p w14:paraId="0BEFE274">
            <w:pPr>
              <w:pStyle w:val="13"/>
            </w:pPr>
            <w:r>
              <w:t>学校老师和学生满意度</w:t>
            </w:r>
          </w:p>
        </w:tc>
        <w:tc>
          <w:tcPr>
            <w:tcW w:w="1508" w:type="dxa"/>
            <w:vAlign w:val="center"/>
          </w:tcPr>
          <w:p w14:paraId="2BF51564">
            <w:pPr>
              <w:pStyle w:val="13"/>
            </w:pPr>
            <w:r>
              <w:t>≥95%</w:t>
            </w:r>
          </w:p>
        </w:tc>
        <w:tc>
          <w:tcPr>
            <w:tcW w:w="2036" w:type="dxa"/>
            <w:vAlign w:val="center"/>
          </w:tcPr>
          <w:p w14:paraId="42217D89">
            <w:pPr>
              <w:pStyle w:val="13"/>
            </w:pPr>
            <w:r>
              <w:t>城乡义务教育公用经费管理办法</w:t>
            </w:r>
          </w:p>
        </w:tc>
      </w:tr>
    </w:tbl>
    <w:p w14:paraId="4146C07A">
      <w:pPr>
        <w:sectPr>
          <w:pgSz w:w="16840" w:h="11900" w:orient="landscape"/>
          <w:pgMar w:top="1361" w:right="1020" w:bottom="1134" w:left="1020" w:header="720" w:footer="720" w:gutter="0"/>
          <w:cols w:space="720" w:num="1"/>
        </w:sectPr>
      </w:pPr>
    </w:p>
    <w:p w14:paraId="0D4B20A0">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6、冀财教[2024]123号/中央/2025年义教补助经费/刘通庄中心小学公用经费绩效目标表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87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ED0C8">
            <w:pPr>
              <w:pStyle w:val="14"/>
            </w:pPr>
            <w:r>
              <w:t>单位：万元</w:t>
            </w:r>
          </w:p>
        </w:tc>
      </w:tr>
      <w:tr w14:paraId="64992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80D74">
            <w:pPr>
              <w:pStyle w:val="11"/>
            </w:pPr>
            <w:r>
              <w:t>项目编码</w:t>
            </w:r>
          </w:p>
        </w:tc>
        <w:tc>
          <w:tcPr>
            <w:tcW w:w="5103" w:type="dxa"/>
            <w:gridSpan w:val="2"/>
            <w:vAlign w:val="center"/>
          </w:tcPr>
          <w:p w14:paraId="2BDBB5C5">
            <w:pPr>
              <w:pStyle w:val="13"/>
            </w:pPr>
            <w:r>
              <w:t>13052525P000004101034</w:t>
            </w:r>
          </w:p>
        </w:tc>
        <w:tc>
          <w:tcPr>
            <w:tcW w:w="2835" w:type="dxa"/>
            <w:vAlign w:val="center"/>
          </w:tcPr>
          <w:p w14:paraId="4D082711">
            <w:pPr>
              <w:pStyle w:val="11"/>
            </w:pPr>
            <w:r>
              <w:t>项目名称</w:t>
            </w:r>
          </w:p>
        </w:tc>
        <w:tc>
          <w:tcPr>
            <w:tcW w:w="6095" w:type="dxa"/>
            <w:gridSpan w:val="3"/>
            <w:vAlign w:val="center"/>
          </w:tcPr>
          <w:p w14:paraId="5DD45BE3">
            <w:pPr>
              <w:pStyle w:val="13"/>
            </w:pPr>
            <w:r>
              <w:t>冀财教[2024]123号/中央/2025年义教补助经费/刘通庄中心小学公用经费</w:t>
            </w:r>
          </w:p>
        </w:tc>
      </w:tr>
      <w:tr w14:paraId="10884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47D61">
            <w:pPr>
              <w:pStyle w:val="11"/>
            </w:pPr>
            <w:r>
              <w:t>预算规模及资金用途</w:t>
            </w:r>
          </w:p>
        </w:tc>
        <w:tc>
          <w:tcPr>
            <w:tcW w:w="2268" w:type="dxa"/>
            <w:vAlign w:val="center"/>
          </w:tcPr>
          <w:p w14:paraId="3990E0C4">
            <w:pPr>
              <w:pStyle w:val="11"/>
            </w:pPr>
            <w:r>
              <w:t>预算数</w:t>
            </w:r>
          </w:p>
        </w:tc>
        <w:tc>
          <w:tcPr>
            <w:tcW w:w="2835" w:type="dxa"/>
            <w:vAlign w:val="center"/>
          </w:tcPr>
          <w:p w14:paraId="46AF54C1">
            <w:pPr>
              <w:pStyle w:val="13"/>
            </w:pPr>
            <w:r>
              <w:t>22.41</w:t>
            </w:r>
          </w:p>
        </w:tc>
        <w:tc>
          <w:tcPr>
            <w:tcW w:w="2835" w:type="dxa"/>
            <w:vAlign w:val="center"/>
          </w:tcPr>
          <w:p w14:paraId="0305E256">
            <w:pPr>
              <w:pStyle w:val="11"/>
            </w:pPr>
            <w:r>
              <w:t>其中：财政    资金</w:t>
            </w:r>
          </w:p>
        </w:tc>
        <w:tc>
          <w:tcPr>
            <w:tcW w:w="2551" w:type="dxa"/>
            <w:vAlign w:val="center"/>
          </w:tcPr>
          <w:p w14:paraId="7E7462B8">
            <w:pPr>
              <w:pStyle w:val="13"/>
            </w:pPr>
            <w:r>
              <w:t>22.41</w:t>
            </w:r>
          </w:p>
        </w:tc>
        <w:tc>
          <w:tcPr>
            <w:tcW w:w="2268" w:type="dxa"/>
            <w:vAlign w:val="center"/>
          </w:tcPr>
          <w:p w14:paraId="24FBD3B6">
            <w:pPr>
              <w:pStyle w:val="11"/>
            </w:pPr>
            <w:r>
              <w:t>其他资金</w:t>
            </w:r>
          </w:p>
        </w:tc>
        <w:tc>
          <w:tcPr>
            <w:tcW w:w="1276" w:type="dxa"/>
            <w:vAlign w:val="center"/>
          </w:tcPr>
          <w:p w14:paraId="76FD31FB">
            <w:pPr>
              <w:pStyle w:val="13"/>
            </w:pPr>
            <w:r>
              <w:t xml:space="preserve"> </w:t>
            </w:r>
          </w:p>
        </w:tc>
      </w:tr>
      <w:tr w14:paraId="5A9F1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840BE5"/>
        </w:tc>
        <w:tc>
          <w:tcPr>
            <w:tcW w:w="14033" w:type="dxa"/>
            <w:gridSpan w:val="6"/>
            <w:vAlign w:val="center"/>
          </w:tcPr>
          <w:p w14:paraId="574B60E1">
            <w:pPr>
              <w:pStyle w:val="13"/>
            </w:pPr>
            <w:r>
              <w:t>为保证学校正常运转和改善办学条件。</w:t>
            </w:r>
          </w:p>
        </w:tc>
      </w:tr>
      <w:tr w14:paraId="37E0B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FF7C0">
            <w:pPr>
              <w:pStyle w:val="11"/>
            </w:pPr>
            <w:r>
              <w:t>资金支出计划（%）</w:t>
            </w:r>
          </w:p>
        </w:tc>
        <w:tc>
          <w:tcPr>
            <w:tcW w:w="5103" w:type="dxa"/>
            <w:gridSpan w:val="2"/>
            <w:vAlign w:val="center"/>
          </w:tcPr>
          <w:p w14:paraId="0E70B691">
            <w:pPr>
              <w:pStyle w:val="11"/>
            </w:pPr>
            <w:r>
              <w:t>3月底</w:t>
            </w:r>
          </w:p>
        </w:tc>
        <w:tc>
          <w:tcPr>
            <w:tcW w:w="2835" w:type="dxa"/>
            <w:vAlign w:val="center"/>
          </w:tcPr>
          <w:p w14:paraId="3C205BF3">
            <w:pPr>
              <w:pStyle w:val="11"/>
            </w:pPr>
            <w:r>
              <w:t>6月底</w:t>
            </w:r>
          </w:p>
        </w:tc>
        <w:tc>
          <w:tcPr>
            <w:tcW w:w="2551" w:type="dxa"/>
            <w:vAlign w:val="center"/>
          </w:tcPr>
          <w:p w14:paraId="225B011C">
            <w:pPr>
              <w:pStyle w:val="11"/>
            </w:pPr>
            <w:r>
              <w:t>10月底</w:t>
            </w:r>
          </w:p>
        </w:tc>
        <w:tc>
          <w:tcPr>
            <w:tcW w:w="3544" w:type="dxa"/>
            <w:gridSpan w:val="2"/>
            <w:vAlign w:val="center"/>
          </w:tcPr>
          <w:p w14:paraId="6B47D438">
            <w:pPr>
              <w:pStyle w:val="11"/>
            </w:pPr>
            <w:r>
              <w:t>12月底</w:t>
            </w:r>
          </w:p>
        </w:tc>
      </w:tr>
      <w:tr w14:paraId="72E0B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200AA"/>
        </w:tc>
        <w:tc>
          <w:tcPr>
            <w:tcW w:w="5103" w:type="dxa"/>
            <w:gridSpan w:val="2"/>
            <w:vAlign w:val="center"/>
          </w:tcPr>
          <w:p w14:paraId="1371BDD7">
            <w:pPr>
              <w:pStyle w:val="12"/>
            </w:pPr>
            <w:r>
              <w:t>25%</w:t>
            </w:r>
          </w:p>
        </w:tc>
        <w:tc>
          <w:tcPr>
            <w:tcW w:w="2835" w:type="dxa"/>
            <w:vAlign w:val="center"/>
          </w:tcPr>
          <w:p w14:paraId="7089F75A">
            <w:pPr>
              <w:pStyle w:val="12"/>
            </w:pPr>
            <w:r>
              <w:t>50%</w:t>
            </w:r>
          </w:p>
        </w:tc>
        <w:tc>
          <w:tcPr>
            <w:tcW w:w="2551" w:type="dxa"/>
            <w:vAlign w:val="center"/>
          </w:tcPr>
          <w:p w14:paraId="0E18DBB4">
            <w:pPr>
              <w:pStyle w:val="12"/>
            </w:pPr>
            <w:r>
              <w:t>75%</w:t>
            </w:r>
          </w:p>
        </w:tc>
        <w:tc>
          <w:tcPr>
            <w:tcW w:w="3544" w:type="dxa"/>
            <w:gridSpan w:val="2"/>
            <w:vAlign w:val="center"/>
          </w:tcPr>
          <w:p w14:paraId="76AD7CAD">
            <w:pPr>
              <w:pStyle w:val="12"/>
            </w:pPr>
            <w:r>
              <w:t>100%</w:t>
            </w:r>
          </w:p>
        </w:tc>
      </w:tr>
      <w:tr w14:paraId="5A8B0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B55AD">
            <w:pPr>
              <w:pStyle w:val="11"/>
            </w:pPr>
            <w:r>
              <w:t>绩效目标</w:t>
            </w:r>
          </w:p>
        </w:tc>
        <w:tc>
          <w:tcPr>
            <w:tcW w:w="14033" w:type="dxa"/>
            <w:gridSpan w:val="6"/>
            <w:vAlign w:val="center"/>
          </w:tcPr>
          <w:p w14:paraId="043CFDCD">
            <w:pPr>
              <w:pStyle w:val="13"/>
            </w:pPr>
            <w:r>
              <w:t>1.为保证学校正常运转和改善办学条件。</w:t>
            </w:r>
          </w:p>
          <w:p w14:paraId="73C31496">
            <w:pPr>
              <w:pStyle w:val="13"/>
            </w:pPr>
            <w:r>
              <w:t>2.按拨款序时进度完成经费拨付和支出。</w:t>
            </w:r>
          </w:p>
        </w:tc>
      </w:tr>
    </w:tbl>
    <w:p w14:paraId="2D56FC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14:paraId="65D27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2AB4B">
            <w:pPr>
              <w:pStyle w:val="11"/>
            </w:pPr>
            <w:r>
              <w:t>一级指标</w:t>
            </w:r>
          </w:p>
        </w:tc>
        <w:tc>
          <w:tcPr>
            <w:tcW w:w="2268" w:type="dxa"/>
            <w:vAlign w:val="center"/>
          </w:tcPr>
          <w:p w14:paraId="2260D996">
            <w:pPr>
              <w:pStyle w:val="11"/>
            </w:pPr>
            <w:r>
              <w:t>二级指标</w:t>
            </w:r>
          </w:p>
        </w:tc>
        <w:tc>
          <w:tcPr>
            <w:tcW w:w="2835" w:type="dxa"/>
            <w:vAlign w:val="center"/>
          </w:tcPr>
          <w:p w14:paraId="0A85027D">
            <w:pPr>
              <w:pStyle w:val="11"/>
            </w:pPr>
            <w:r>
              <w:t>三级指标</w:t>
            </w:r>
          </w:p>
        </w:tc>
        <w:tc>
          <w:tcPr>
            <w:tcW w:w="5386" w:type="dxa"/>
            <w:vAlign w:val="center"/>
          </w:tcPr>
          <w:p w14:paraId="58BA2D8B">
            <w:pPr>
              <w:pStyle w:val="11"/>
            </w:pPr>
            <w:r>
              <w:t>绩效指标描述</w:t>
            </w:r>
          </w:p>
        </w:tc>
        <w:tc>
          <w:tcPr>
            <w:tcW w:w="1778" w:type="dxa"/>
            <w:vAlign w:val="center"/>
          </w:tcPr>
          <w:p w14:paraId="50C94A76">
            <w:pPr>
              <w:pStyle w:val="11"/>
            </w:pPr>
            <w:r>
              <w:t>指标值</w:t>
            </w:r>
          </w:p>
        </w:tc>
        <w:tc>
          <w:tcPr>
            <w:tcW w:w="1766" w:type="dxa"/>
            <w:vAlign w:val="center"/>
          </w:tcPr>
          <w:p w14:paraId="6F890677">
            <w:pPr>
              <w:pStyle w:val="11"/>
            </w:pPr>
            <w:r>
              <w:t>指标值确定依据</w:t>
            </w:r>
          </w:p>
        </w:tc>
      </w:tr>
      <w:tr w14:paraId="1DD8C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E2663">
            <w:pPr>
              <w:pStyle w:val="12"/>
            </w:pPr>
            <w:r>
              <w:t>产出指标</w:t>
            </w:r>
          </w:p>
        </w:tc>
        <w:tc>
          <w:tcPr>
            <w:tcW w:w="2268" w:type="dxa"/>
            <w:vAlign w:val="center"/>
          </w:tcPr>
          <w:p w14:paraId="1AC1E269">
            <w:pPr>
              <w:pStyle w:val="13"/>
            </w:pPr>
            <w:r>
              <w:t>数量指标</w:t>
            </w:r>
          </w:p>
        </w:tc>
        <w:tc>
          <w:tcPr>
            <w:tcW w:w="2835" w:type="dxa"/>
            <w:vAlign w:val="center"/>
          </w:tcPr>
          <w:p w14:paraId="58AF3F54">
            <w:pPr>
              <w:pStyle w:val="13"/>
            </w:pPr>
            <w:r>
              <w:t>就读学生数</w:t>
            </w:r>
          </w:p>
        </w:tc>
        <w:tc>
          <w:tcPr>
            <w:tcW w:w="5386" w:type="dxa"/>
            <w:vAlign w:val="center"/>
          </w:tcPr>
          <w:p w14:paraId="3D40F0E6">
            <w:pPr>
              <w:pStyle w:val="13"/>
            </w:pPr>
            <w:r>
              <w:t>辐射区域内适龄学生人数</w:t>
            </w:r>
          </w:p>
        </w:tc>
        <w:tc>
          <w:tcPr>
            <w:tcW w:w="1778" w:type="dxa"/>
            <w:vAlign w:val="center"/>
          </w:tcPr>
          <w:p w14:paraId="469302A1">
            <w:pPr>
              <w:pStyle w:val="13"/>
            </w:pPr>
            <w:r>
              <w:t>340人</w:t>
            </w:r>
          </w:p>
        </w:tc>
        <w:tc>
          <w:tcPr>
            <w:tcW w:w="1766" w:type="dxa"/>
            <w:vAlign w:val="center"/>
          </w:tcPr>
          <w:p w14:paraId="09C1B423">
            <w:pPr>
              <w:pStyle w:val="13"/>
            </w:pPr>
            <w:r>
              <w:t>城乡义务教育公用经费管理办法</w:t>
            </w:r>
          </w:p>
        </w:tc>
      </w:tr>
      <w:tr w14:paraId="635EC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A1529"/>
        </w:tc>
        <w:tc>
          <w:tcPr>
            <w:tcW w:w="2268" w:type="dxa"/>
            <w:vAlign w:val="center"/>
          </w:tcPr>
          <w:p w14:paraId="3BB61856">
            <w:pPr>
              <w:pStyle w:val="13"/>
            </w:pPr>
            <w:r>
              <w:t>质量指标</w:t>
            </w:r>
          </w:p>
        </w:tc>
        <w:tc>
          <w:tcPr>
            <w:tcW w:w="2835" w:type="dxa"/>
            <w:vAlign w:val="center"/>
          </w:tcPr>
          <w:p w14:paraId="6A95462C">
            <w:pPr>
              <w:pStyle w:val="13"/>
            </w:pPr>
            <w:r>
              <w:t>预算执行率</w:t>
            </w:r>
          </w:p>
        </w:tc>
        <w:tc>
          <w:tcPr>
            <w:tcW w:w="5386" w:type="dxa"/>
            <w:vAlign w:val="center"/>
          </w:tcPr>
          <w:p w14:paraId="05C034C8">
            <w:pPr>
              <w:pStyle w:val="13"/>
            </w:pPr>
            <w:r>
              <w:t>预算执行率≥98%</w:t>
            </w:r>
          </w:p>
        </w:tc>
        <w:tc>
          <w:tcPr>
            <w:tcW w:w="1778" w:type="dxa"/>
            <w:vAlign w:val="center"/>
          </w:tcPr>
          <w:p w14:paraId="443CB68E">
            <w:pPr>
              <w:pStyle w:val="13"/>
            </w:pPr>
            <w:r>
              <w:t>≥98%</w:t>
            </w:r>
          </w:p>
        </w:tc>
        <w:tc>
          <w:tcPr>
            <w:tcW w:w="1766" w:type="dxa"/>
            <w:vAlign w:val="center"/>
          </w:tcPr>
          <w:p w14:paraId="3D8A715B">
            <w:pPr>
              <w:pStyle w:val="13"/>
            </w:pPr>
            <w:r>
              <w:t>城乡义务教育公用经费管理办法</w:t>
            </w:r>
          </w:p>
        </w:tc>
      </w:tr>
      <w:tr w14:paraId="23AB5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69715"/>
        </w:tc>
        <w:tc>
          <w:tcPr>
            <w:tcW w:w="2268" w:type="dxa"/>
            <w:vAlign w:val="center"/>
          </w:tcPr>
          <w:p w14:paraId="638D2982">
            <w:pPr>
              <w:pStyle w:val="13"/>
            </w:pPr>
            <w:r>
              <w:t>时效指标</w:t>
            </w:r>
          </w:p>
        </w:tc>
        <w:tc>
          <w:tcPr>
            <w:tcW w:w="2835" w:type="dxa"/>
            <w:vAlign w:val="center"/>
          </w:tcPr>
          <w:p w14:paraId="42641480">
            <w:pPr>
              <w:pStyle w:val="13"/>
            </w:pPr>
            <w:r>
              <w:t>义教经费支付完成率</w:t>
            </w:r>
          </w:p>
        </w:tc>
        <w:tc>
          <w:tcPr>
            <w:tcW w:w="5386" w:type="dxa"/>
            <w:vAlign w:val="center"/>
          </w:tcPr>
          <w:p w14:paraId="76CAB159">
            <w:pPr>
              <w:pStyle w:val="13"/>
            </w:pPr>
            <w:r>
              <w:t>按照序时进度完成资金支付</w:t>
            </w:r>
          </w:p>
        </w:tc>
        <w:tc>
          <w:tcPr>
            <w:tcW w:w="1778" w:type="dxa"/>
            <w:vAlign w:val="center"/>
          </w:tcPr>
          <w:p w14:paraId="0BFC1349">
            <w:pPr>
              <w:pStyle w:val="13"/>
            </w:pPr>
            <w:r>
              <w:t>≥100%</w:t>
            </w:r>
          </w:p>
        </w:tc>
        <w:tc>
          <w:tcPr>
            <w:tcW w:w="1766" w:type="dxa"/>
            <w:vAlign w:val="center"/>
          </w:tcPr>
          <w:p w14:paraId="2F35F22E">
            <w:pPr>
              <w:pStyle w:val="13"/>
            </w:pPr>
            <w:r>
              <w:t>城乡义务教育公用经费管理办法</w:t>
            </w:r>
          </w:p>
        </w:tc>
      </w:tr>
      <w:tr w14:paraId="10E9E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EA6D4"/>
        </w:tc>
        <w:tc>
          <w:tcPr>
            <w:tcW w:w="2268" w:type="dxa"/>
            <w:vAlign w:val="center"/>
          </w:tcPr>
          <w:p w14:paraId="532CF031">
            <w:pPr>
              <w:pStyle w:val="13"/>
            </w:pPr>
            <w:r>
              <w:t>成本指标</w:t>
            </w:r>
          </w:p>
        </w:tc>
        <w:tc>
          <w:tcPr>
            <w:tcW w:w="2835" w:type="dxa"/>
            <w:vAlign w:val="center"/>
          </w:tcPr>
          <w:p w14:paraId="3973F498">
            <w:pPr>
              <w:pStyle w:val="13"/>
            </w:pPr>
            <w:r>
              <w:t>生均拨款标准</w:t>
            </w:r>
          </w:p>
        </w:tc>
        <w:tc>
          <w:tcPr>
            <w:tcW w:w="5386" w:type="dxa"/>
            <w:vAlign w:val="center"/>
          </w:tcPr>
          <w:p w14:paraId="75ED11EA">
            <w:pPr>
              <w:pStyle w:val="13"/>
            </w:pPr>
            <w:r>
              <w:t>小学生公用经费生均小学720元，取暖费120元/生/年，随班就读学生补助7000元/生</w:t>
            </w:r>
          </w:p>
        </w:tc>
        <w:tc>
          <w:tcPr>
            <w:tcW w:w="1778" w:type="dxa"/>
            <w:vAlign w:val="center"/>
          </w:tcPr>
          <w:p w14:paraId="46A13952">
            <w:pPr>
              <w:pStyle w:val="13"/>
            </w:pPr>
            <w:r>
              <w:t>≥840元</w:t>
            </w:r>
          </w:p>
        </w:tc>
        <w:tc>
          <w:tcPr>
            <w:tcW w:w="1766" w:type="dxa"/>
            <w:vAlign w:val="center"/>
          </w:tcPr>
          <w:p w14:paraId="5F6B4BE7">
            <w:pPr>
              <w:pStyle w:val="13"/>
            </w:pPr>
            <w:r>
              <w:t>城乡义务教育公用经费管理办法</w:t>
            </w:r>
          </w:p>
        </w:tc>
      </w:tr>
      <w:tr w14:paraId="18BEC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BB372">
            <w:pPr>
              <w:pStyle w:val="12"/>
            </w:pPr>
            <w:r>
              <w:t>效益指标</w:t>
            </w:r>
          </w:p>
        </w:tc>
        <w:tc>
          <w:tcPr>
            <w:tcW w:w="2268" w:type="dxa"/>
            <w:vAlign w:val="center"/>
          </w:tcPr>
          <w:p w14:paraId="325115C4">
            <w:pPr>
              <w:pStyle w:val="13"/>
            </w:pPr>
            <w:r>
              <w:t>社会效益指标</w:t>
            </w:r>
          </w:p>
        </w:tc>
        <w:tc>
          <w:tcPr>
            <w:tcW w:w="2835" w:type="dxa"/>
            <w:vAlign w:val="center"/>
          </w:tcPr>
          <w:p w14:paraId="3DCFB891">
            <w:pPr>
              <w:pStyle w:val="13"/>
            </w:pPr>
            <w:r>
              <w:t>学校运转得到提高</w:t>
            </w:r>
          </w:p>
        </w:tc>
        <w:tc>
          <w:tcPr>
            <w:tcW w:w="5386" w:type="dxa"/>
            <w:vAlign w:val="center"/>
          </w:tcPr>
          <w:p w14:paraId="621C3D0F">
            <w:pPr>
              <w:pStyle w:val="13"/>
            </w:pPr>
            <w:r>
              <w:t>学生受教育年限</w:t>
            </w:r>
          </w:p>
        </w:tc>
        <w:tc>
          <w:tcPr>
            <w:tcW w:w="1778" w:type="dxa"/>
            <w:vAlign w:val="center"/>
          </w:tcPr>
          <w:p w14:paraId="2289DCD2">
            <w:pPr>
              <w:pStyle w:val="13"/>
            </w:pPr>
            <w:r>
              <w:t>6年</w:t>
            </w:r>
          </w:p>
        </w:tc>
        <w:tc>
          <w:tcPr>
            <w:tcW w:w="1766" w:type="dxa"/>
            <w:vAlign w:val="center"/>
          </w:tcPr>
          <w:p w14:paraId="04D6F791">
            <w:pPr>
              <w:pStyle w:val="13"/>
            </w:pPr>
            <w:r>
              <w:t>城乡义务教育公用经费管理办法</w:t>
            </w:r>
          </w:p>
        </w:tc>
      </w:tr>
      <w:tr w14:paraId="1FDCD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27D51AA1">
            <w:pPr>
              <w:pStyle w:val="12"/>
            </w:pPr>
            <w:r>
              <w:t>满意度指标</w:t>
            </w:r>
          </w:p>
        </w:tc>
        <w:tc>
          <w:tcPr>
            <w:tcW w:w="2268" w:type="dxa"/>
            <w:vAlign w:val="center"/>
          </w:tcPr>
          <w:p w14:paraId="05238D2D">
            <w:pPr>
              <w:pStyle w:val="13"/>
            </w:pPr>
            <w:r>
              <w:t>服务对象满意度指标</w:t>
            </w:r>
          </w:p>
        </w:tc>
        <w:tc>
          <w:tcPr>
            <w:tcW w:w="2835" w:type="dxa"/>
            <w:vAlign w:val="center"/>
          </w:tcPr>
          <w:p w14:paraId="74C2EE4A">
            <w:pPr>
              <w:pStyle w:val="13"/>
            </w:pPr>
            <w:r>
              <w:t>服务对象满意度</w:t>
            </w:r>
          </w:p>
        </w:tc>
        <w:tc>
          <w:tcPr>
            <w:tcW w:w="5386" w:type="dxa"/>
            <w:vAlign w:val="center"/>
          </w:tcPr>
          <w:p w14:paraId="479EE795">
            <w:pPr>
              <w:pStyle w:val="13"/>
            </w:pPr>
            <w:r>
              <w:t>学校老师和学生满意度</w:t>
            </w:r>
          </w:p>
        </w:tc>
        <w:tc>
          <w:tcPr>
            <w:tcW w:w="1778" w:type="dxa"/>
            <w:vAlign w:val="center"/>
          </w:tcPr>
          <w:p w14:paraId="0FE16D60">
            <w:pPr>
              <w:pStyle w:val="13"/>
            </w:pPr>
            <w:r>
              <w:t>≥95%</w:t>
            </w:r>
          </w:p>
        </w:tc>
        <w:tc>
          <w:tcPr>
            <w:tcW w:w="1766" w:type="dxa"/>
            <w:vAlign w:val="center"/>
          </w:tcPr>
          <w:p w14:paraId="599B195C">
            <w:pPr>
              <w:pStyle w:val="13"/>
            </w:pPr>
            <w:r>
              <w:t>城乡义务教育公用经费管理办法</w:t>
            </w:r>
          </w:p>
        </w:tc>
      </w:tr>
    </w:tbl>
    <w:p w14:paraId="079BDAB3">
      <w:pPr>
        <w:sectPr>
          <w:pgSz w:w="16840" w:h="11900" w:orient="landscape"/>
          <w:pgMar w:top="1361" w:right="1020" w:bottom="1134" w:left="1020" w:header="720" w:footer="720" w:gutter="0"/>
          <w:cols w:space="720" w:num="1"/>
        </w:sectPr>
      </w:pPr>
    </w:p>
    <w:p w14:paraId="45150897">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7、冀财教[2024]123号/中央/2025年义教补助经费/校舍安全保障/刘通庄小学宿舍改造等维修改造绩效目标表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9C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6B11A">
            <w:pPr>
              <w:pStyle w:val="14"/>
            </w:pPr>
            <w:r>
              <w:t>单位：万元</w:t>
            </w:r>
          </w:p>
        </w:tc>
      </w:tr>
      <w:tr w14:paraId="072CD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AD722C">
            <w:pPr>
              <w:pStyle w:val="11"/>
            </w:pPr>
            <w:r>
              <w:t>项目编码</w:t>
            </w:r>
          </w:p>
        </w:tc>
        <w:tc>
          <w:tcPr>
            <w:tcW w:w="5103" w:type="dxa"/>
            <w:gridSpan w:val="2"/>
            <w:vAlign w:val="center"/>
          </w:tcPr>
          <w:p w14:paraId="25F1D5F2">
            <w:pPr>
              <w:pStyle w:val="13"/>
            </w:pPr>
            <w:r>
              <w:t>13052525P00876210023D</w:t>
            </w:r>
          </w:p>
        </w:tc>
        <w:tc>
          <w:tcPr>
            <w:tcW w:w="2835" w:type="dxa"/>
            <w:vAlign w:val="center"/>
          </w:tcPr>
          <w:p w14:paraId="66F4275E">
            <w:pPr>
              <w:pStyle w:val="11"/>
            </w:pPr>
            <w:r>
              <w:t>项目名称</w:t>
            </w:r>
          </w:p>
        </w:tc>
        <w:tc>
          <w:tcPr>
            <w:tcW w:w="6095" w:type="dxa"/>
            <w:gridSpan w:val="3"/>
            <w:vAlign w:val="center"/>
          </w:tcPr>
          <w:p w14:paraId="78C6B9E4">
            <w:pPr>
              <w:pStyle w:val="13"/>
            </w:pPr>
            <w:r>
              <w:t>冀财教[2024]123号/中央/2025年义教补助经费/校舍安全保障/刘通庄小学宿舍改造等维修改造</w:t>
            </w:r>
          </w:p>
        </w:tc>
      </w:tr>
      <w:tr w14:paraId="254C1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A40A7">
            <w:pPr>
              <w:pStyle w:val="11"/>
            </w:pPr>
            <w:r>
              <w:t>预算规模及资金用途</w:t>
            </w:r>
          </w:p>
        </w:tc>
        <w:tc>
          <w:tcPr>
            <w:tcW w:w="2268" w:type="dxa"/>
            <w:vAlign w:val="center"/>
          </w:tcPr>
          <w:p w14:paraId="6F189A43">
            <w:pPr>
              <w:pStyle w:val="11"/>
            </w:pPr>
            <w:r>
              <w:t>预算数</w:t>
            </w:r>
          </w:p>
        </w:tc>
        <w:tc>
          <w:tcPr>
            <w:tcW w:w="2835" w:type="dxa"/>
            <w:vAlign w:val="center"/>
          </w:tcPr>
          <w:p w14:paraId="3BB49A1C">
            <w:pPr>
              <w:pStyle w:val="13"/>
            </w:pPr>
            <w:r>
              <w:t>40.00</w:t>
            </w:r>
          </w:p>
        </w:tc>
        <w:tc>
          <w:tcPr>
            <w:tcW w:w="2835" w:type="dxa"/>
            <w:vAlign w:val="center"/>
          </w:tcPr>
          <w:p w14:paraId="22AFC1DB">
            <w:pPr>
              <w:pStyle w:val="11"/>
            </w:pPr>
            <w:r>
              <w:t>其中：财政    资金</w:t>
            </w:r>
          </w:p>
        </w:tc>
        <w:tc>
          <w:tcPr>
            <w:tcW w:w="2551" w:type="dxa"/>
            <w:vAlign w:val="center"/>
          </w:tcPr>
          <w:p w14:paraId="4A08C40C">
            <w:pPr>
              <w:pStyle w:val="13"/>
            </w:pPr>
            <w:r>
              <w:t>40.00</w:t>
            </w:r>
          </w:p>
        </w:tc>
        <w:tc>
          <w:tcPr>
            <w:tcW w:w="2268" w:type="dxa"/>
            <w:vAlign w:val="center"/>
          </w:tcPr>
          <w:p w14:paraId="4D6EDFAB">
            <w:pPr>
              <w:pStyle w:val="11"/>
            </w:pPr>
            <w:r>
              <w:t>其他资金</w:t>
            </w:r>
          </w:p>
        </w:tc>
        <w:tc>
          <w:tcPr>
            <w:tcW w:w="1276" w:type="dxa"/>
            <w:vAlign w:val="center"/>
          </w:tcPr>
          <w:p w14:paraId="16FEA7C6">
            <w:pPr>
              <w:pStyle w:val="13"/>
            </w:pPr>
            <w:r>
              <w:t xml:space="preserve"> </w:t>
            </w:r>
          </w:p>
        </w:tc>
      </w:tr>
      <w:tr w14:paraId="7A122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FC99ED"/>
        </w:tc>
        <w:tc>
          <w:tcPr>
            <w:tcW w:w="14033" w:type="dxa"/>
            <w:gridSpan w:val="6"/>
            <w:vAlign w:val="center"/>
          </w:tcPr>
          <w:p w14:paraId="3CBB15D3">
            <w:pPr>
              <w:pStyle w:val="13"/>
            </w:pPr>
            <w:r>
              <w:t>用于刘通庄小学宿舍改造等维修改造包括宿舍改造、围墙加固粉刷、餐厅备餐间改造、院落及下水道维修。</w:t>
            </w:r>
          </w:p>
        </w:tc>
      </w:tr>
      <w:tr w14:paraId="07A68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F0D76">
            <w:pPr>
              <w:pStyle w:val="11"/>
            </w:pPr>
            <w:r>
              <w:t>资金支出计划（%）</w:t>
            </w:r>
          </w:p>
        </w:tc>
        <w:tc>
          <w:tcPr>
            <w:tcW w:w="5103" w:type="dxa"/>
            <w:gridSpan w:val="2"/>
            <w:vAlign w:val="center"/>
          </w:tcPr>
          <w:p w14:paraId="241AE6C9">
            <w:pPr>
              <w:pStyle w:val="11"/>
            </w:pPr>
            <w:r>
              <w:t>3月底</w:t>
            </w:r>
          </w:p>
        </w:tc>
        <w:tc>
          <w:tcPr>
            <w:tcW w:w="2835" w:type="dxa"/>
            <w:vAlign w:val="center"/>
          </w:tcPr>
          <w:p w14:paraId="18435F28">
            <w:pPr>
              <w:pStyle w:val="11"/>
            </w:pPr>
            <w:r>
              <w:t>6月底</w:t>
            </w:r>
          </w:p>
        </w:tc>
        <w:tc>
          <w:tcPr>
            <w:tcW w:w="2551" w:type="dxa"/>
            <w:vAlign w:val="center"/>
          </w:tcPr>
          <w:p w14:paraId="2C5DA528">
            <w:pPr>
              <w:pStyle w:val="11"/>
            </w:pPr>
            <w:r>
              <w:t>10月底</w:t>
            </w:r>
          </w:p>
        </w:tc>
        <w:tc>
          <w:tcPr>
            <w:tcW w:w="3544" w:type="dxa"/>
            <w:gridSpan w:val="2"/>
            <w:vAlign w:val="center"/>
          </w:tcPr>
          <w:p w14:paraId="071E80FC">
            <w:pPr>
              <w:pStyle w:val="11"/>
            </w:pPr>
            <w:r>
              <w:t>12月底</w:t>
            </w:r>
          </w:p>
        </w:tc>
      </w:tr>
      <w:tr w14:paraId="4258E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1D6B5"/>
        </w:tc>
        <w:tc>
          <w:tcPr>
            <w:tcW w:w="5103" w:type="dxa"/>
            <w:gridSpan w:val="2"/>
            <w:vAlign w:val="center"/>
          </w:tcPr>
          <w:p w14:paraId="01700D44">
            <w:pPr>
              <w:pStyle w:val="12"/>
            </w:pPr>
            <w:r>
              <w:t xml:space="preserve"> </w:t>
            </w:r>
          </w:p>
        </w:tc>
        <w:tc>
          <w:tcPr>
            <w:tcW w:w="2835" w:type="dxa"/>
            <w:vAlign w:val="center"/>
          </w:tcPr>
          <w:p w14:paraId="59B126F3">
            <w:pPr>
              <w:pStyle w:val="12"/>
            </w:pPr>
            <w:r>
              <w:t xml:space="preserve"> </w:t>
            </w:r>
          </w:p>
        </w:tc>
        <w:tc>
          <w:tcPr>
            <w:tcW w:w="2551" w:type="dxa"/>
            <w:vAlign w:val="center"/>
          </w:tcPr>
          <w:p w14:paraId="16E926D8">
            <w:pPr>
              <w:pStyle w:val="12"/>
            </w:pPr>
            <w:r>
              <w:t>100%</w:t>
            </w:r>
          </w:p>
        </w:tc>
        <w:tc>
          <w:tcPr>
            <w:tcW w:w="3544" w:type="dxa"/>
            <w:gridSpan w:val="2"/>
            <w:vAlign w:val="center"/>
          </w:tcPr>
          <w:p w14:paraId="626F6D73">
            <w:pPr>
              <w:pStyle w:val="12"/>
            </w:pPr>
            <w:r>
              <w:t>100%</w:t>
            </w:r>
          </w:p>
        </w:tc>
      </w:tr>
      <w:tr w14:paraId="7641D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E60A6">
            <w:pPr>
              <w:pStyle w:val="11"/>
            </w:pPr>
            <w:r>
              <w:t>绩效目标</w:t>
            </w:r>
          </w:p>
        </w:tc>
        <w:tc>
          <w:tcPr>
            <w:tcW w:w="14033" w:type="dxa"/>
            <w:gridSpan w:val="6"/>
            <w:vAlign w:val="center"/>
          </w:tcPr>
          <w:p w14:paraId="603C3CD7">
            <w:pPr>
              <w:pStyle w:val="13"/>
            </w:pPr>
            <w:r>
              <w:t>1.刘通庄小学宿舍改造等维修改造包括宿舍改造、围墙加固粉刷、餐厅备餐间改造、院落及下水道维修。</w:t>
            </w:r>
          </w:p>
        </w:tc>
      </w:tr>
    </w:tbl>
    <w:p w14:paraId="283724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03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31AF2">
            <w:pPr>
              <w:pStyle w:val="11"/>
            </w:pPr>
            <w:r>
              <w:t>一级指标</w:t>
            </w:r>
          </w:p>
        </w:tc>
        <w:tc>
          <w:tcPr>
            <w:tcW w:w="2268" w:type="dxa"/>
            <w:vAlign w:val="center"/>
          </w:tcPr>
          <w:p w14:paraId="54BEEDF9">
            <w:pPr>
              <w:pStyle w:val="11"/>
            </w:pPr>
            <w:r>
              <w:t>二级指标</w:t>
            </w:r>
          </w:p>
        </w:tc>
        <w:tc>
          <w:tcPr>
            <w:tcW w:w="2835" w:type="dxa"/>
            <w:vAlign w:val="center"/>
          </w:tcPr>
          <w:p w14:paraId="215C4A98">
            <w:pPr>
              <w:pStyle w:val="11"/>
            </w:pPr>
            <w:r>
              <w:t>三级指标</w:t>
            </w:r>
          </w:p>
        </w:tc>
        <w:tc>
          <w:tcPr>
            <w:tcW w:w="5386" w:type="dxa"/>
            <w:vAlign w:val="center"/>
          </w:tcPr>
          <w:p w14:paraId="326818C6">
            <w:pPr>
              <w:pStyle w:val="11"/>
            </w:pPr>
            <w:r>
              <w:t>绩效指标描述</w:t>
            </w:r>
          </w:p>
        </w:tc>
        <w:tc>
          <w:tcPr>
            <w:tcW w:w="2268" w:type="dxa"/>
            <w:vAlign w:val="center"/>
          </w:tcPr>
          <w:p w14:paraId="7F1AAE60">
            <w:pPr>
              <w:pStyle w:val="11"/>
            </w:pPr>
            <w:r>
              <w:t>指标值</w:t>
            </w:r>
          </w:p>
        </w:tc>
        <w:tc>
          <w:tcPr>
            <w:tcW w:w="1276" w:type="dxa"/>
            <w:vAlign w:val="center"/>
          </w:tcPr>
          <w:p w14:paraId="26B497D7">
            <w:pPr>
              <w:pStyle w:val="11"/>
            </w:pPr>
            <w:r>
              <w:t>指标值确定依据</w:t>
            </w:r>
          </w:p>
        </w:tc>
      </w:tr>
      <w:tr w14:paraId="7150D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E94CA">
            <w:pPr>
              <w:pStyle w:val="12"/>
            </w:pPr>
            <w:r>
              <w:t>产出指标</w:t>
            </w:r>
          </w:p>
        </w:tc>
        <w:tc>
          <w:tcPr>
            <w:tcW w:w="2268" w:type="dxa"/>
            <w:vAlign w:val="center"/>
          </w:tcPr>
          <w:p w14:paraId="7E01E2B0">
            <w:pPr>
              <w:pStyle w:val="13"/>
            </w:pPr>
            <w:r>
              <w:t>数量指标</w:t>
            </w:r>
          </w:p>
        </w:tc>
        <w:tc>
          <w:tcPr>
            <w:tcW w:w="2835" w:type="dxa"/>
            <w:vAlign w:val="center"/>
          </w:tcPr>
          <w:p w14:paraId="0DA59AF3">
            <w:pPr>
              <w:pStyle w:val="13"/>
            </w:pPr>
            <w:r>
              <w:t>改造面积</w:t>
            </w:r>
          </w:p>
        </w:tc>
        <w:tc>
          <w:tcPr>
            <w:tcW w:w="5386" w:type="dxa"/>
            <w:vAlign w:val="center"/>
          </w:tcPr>
          <w:p w14:paraId="74B0F589">
            <w:pPr>
              <w:pStyle w:val="13"/>
            </w:pPr>
            <w:r>
              <w:t>宿舍改造</w:t>
            </w:r>
          </w:p>
        </w:tc>
        <w:tc>
          <w:tcPr>
            <w:tcW w:w="2268" w:type="dxa"/>
            <w:vAlign w:val="center"/>
          </w:tcPr>
          <w:p w14:paraId="761B9C0A">
            <w:pPr>
              <w:pStyle w:val="13"/>
            </w:pPr>
            <w:r>
              <w:t>375平方米</w:t>
            </w:r>
          </w:p>
        </w:tc>
        <w:tc>
          <w:tcPr>
            <w:tcW w:w="1276" w:type="dxa"/>
            <w:vAlign w:val="center"/>
          </w:tcPr>
          <w:p w14:paraId="1329B8D7">
            <w:pPr>
              <w:pStyle w:val="13"/>
            </w:pPr>
            <w:r>
              <w:t>项目规划</w:t>
            </w:r>
          </w:p>
        </w:tc>
      </w:tr>
      <w:tr w14:paraId="6CF5D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F54CC"/>
        </w:tc>
        <w:tc>
          <w:tcPr>
            <w:tcW w:w="2268" w:type="dxa"/>
            <w:vAlign w:val="center"/>
          </w:tcPr>
          <w:p w14:paraId="23A2A97E">
            <w:pPr>
              <w:pStyle w:val="13"/>
            </w:pPr>
            <w:r>
              <w:t>数量指标</w:t>
            </w:r>
          </w:p>
        </w:tc>
        <w:tc>
          <w:tcPr>
            <w:tcW w:w="2835" w:type="dxa"/>
            <w:vAlign w:val="center"/>
          </w:tcPr>
          <w:p w14:paraId="38DAC989">
            <w:pPr>
              <w:pStyle w:val="13"/>
            </w:pPr>
            <w:r>
              <w:t>改造面积</w:t>
            </w:r>
          </w:p>
        </w:tc>
        <w:tc>
          <w:tcPr>
            <w:tcW w:w="5386" w:type="dxa"/>
            <w:vAlign w:val="center"/>
          </w:tcPr>
          <w:p w14:paraId="62B89AA1">
            <w:pPr>
              <w:pStyle w:val="13"/>
            </w:pPr>
            <w:r>
              <w:t>围墙加固粉刷</w:t>
            </w:r>
          </w:p>
        </w:tc>
        <w:tc>
          <w:tcPr>
            <w:tcW w:w="2268" w:type="dxa"/>
            <w:vAlign w:val="center"/>
          </w:tcPr>
          <w:p w14:paraId="74876F25">
            <w:pPr>
              <w:pStyle w:val="13"/>
            </w:pPr>
            <w:r>
              <w:t>945平方米</w:t>
            </w:r>
          </w:p>
        </w:tc>
        <w:tc>
          <w:tcPr>
            <w:tcW w:w="1276" w:type="dxa"/>
            <w:vAlign w:val="center"/>
          </w:tcPr>
          <w:p w14:paraId="5D7A2734">
            <w:pPr>
              <w:pStyle w:val="13"/>
            </w:pPr>
            <w:r>
              <w:t>项目规划</w:t>
            </w:r>
          </w:p>
        </w:tc>
      </w:tr>
      <w:tr w14:paraId="76B8B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BBA81"/>
        </w:tc>
        <w:tc>
          <w:tcPr>
            <w:tcW w:w="2268" w:type="dxa"/>
            <w:vAlign w:val="center"/>
          </w:tcPr>
          <w:p w14:paraId="215C216A">
            <w:pPr>
              <w:pStyle w:val="13"/>
            </w:pPr>
            <w:r>
              <w:t>数量指标</w:t>
            </w:r>
          </w:p>
        </w:tc>
        <w:tc>
          <w:tcPr>
            <w:tcW w:w="2835" w:type="dxa"/>
            <w:vAlign w:val="center"/>
          </w:tcPr>
          <w:p w14:paraId="6E6C0902">
            <w:pPr>
              <w:pStyle w:val="13"/>
            </w:pPr>
            <w:r>
              <w:t>改造面积</w:t>
            </w:r>
          </w:p>
        </w:tc>
        <w:tc>
          <w:tcPr>
            <w:tcW w:w="5386" w:type="dxa"/>
            <w:vAlign w:val="center"/>
          </w:tcPr>
          <w:p w14:paraId="4E27A31C">
            <w:pPr>
              <w:pStyle w:val="13"/>
            </w:pPr>
            <w:r>
              <w:t>餐厅备餐间改造</w:t>
            </w:r>
          </w:p>
        </w:tc>
        <w:tc>
          <w:tcPr>
            <w:tcW w:w="2268" w:type="dxa"/>
            <w:vAlign w:val="center"/>
          </w:tcPr>
          <w:p w14:paraId="588F059F">
            <w:pPr>
              <w:pStyle w:val="13"/>
            </w:pPr>
            <w:r>
              <w:t>52平方米</w:t>
            </w:r>
          </w:p>
        </w:tc>
        <w:tc>
          <w:tcPr>
            <w:tcW w:w="1276" w:type="dxa"/>
            <w:vAlign w:val="center"/>
          </w:tcPr>
          <w:p w14:paraId="55583E34">
            <w:pPr>
              <w:pStyle w:val="13"/>
            </w:pPr>
            <w:r>
              <w:t>项目规划</w:t>
            </w:r>
          </w:p>
        </w:tc>
      </w:tr>
      <w:tr w14:paraId="5F031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CB46F"/>
        </w:tc>
        <w:tc>
          <w:tcPr>
            <w:tcW w:w="2268" w:type="dxa"/>
            <w:vAlign w:val="center"/>
          </w:tcPr>
          <w:p w14:paraId="3FEE982C">
            <w:pPr>
              <w:pStyle w:val="13"/>
            </w:pPr>
            <w:r>
              <w:t>数量指标</w:t>
            </w:r>
          </w:p>
        </w:tc>
        <w:tc>
          <w:tcPr>
            <w:tcW w:w="2835" w:type="dxa"/>
            <w:vAlign w:val="center"/>
          </w:tcPr>
          <w:p w14:paraId="688841AA">
            <w:pPr>
              <w:pStyle w:val="13"/>
            </w:pPr>
            <w:r>
              <w:t>改造面积</w:t>
            </w:r>
          </w:p>
        </w:tc>
        <w:tc>
          <w:tcPr>
            <w:tcW w:w="5386" w:type="dxa"/>
            <w:vAlign w:val="center"/>
          </w:tcPr>
          <w:p w14:paraId="7A3042BE">
            <w:pPr>
              <w:pStyle w:val="13"/>
            </w:pPr>
            <w:r>
              <w:t>院落、下水道维修改造</w:t>
            </w:r>
          </w:p>
        </w:tc>
        <w:tc>
          <w:tcPr>
            <w:tcW w:w="2268" w:type="dxa"/>
            <w:vAlign w:val="center"/>
          </w:tcPr>
          <w:p w14:paraId="4CF255DA">
            <w:pPr>
              <w:pStyle w:val="13"/>
            </w:pPr>
            <w:r>
              <w:t>820平方米</w:t>
            </w:r>
          </w:p>
        </w:tc>
        <w:tc>
          <w:tcPr>
            <w:tcW w:w="1276" w:type="dxa"/>
            <w:vAlign w:val="center"/>
          </w:tcPr>
          <w:p w14:paraId="49D82375">
            <w:pPr>
              <w:pStyle w:val="13"/>
            </w:pPr>
            <w:r>
              <w:t>项目规划</w:t>
            </w:r>
          </w:p>
        </w:tc>
      </w:tr>
      <w:tr w14:paraId="1B7FD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FB789"/>
        </w:tc>
        <w:tc>
          <w:tcPr>
            <w:tcW w:w="2268" w:type="dxa"/>
            <w:vAlign w:val="center"/>
          </w:tcPr>
          <w:p w14:paraId="18BF7D5A">
            <w:pPr>
              <w:pStyle w:val="13"/>
            </w:pPr>
            <w:r>
              <w:t>质量指标</w:t>
            </w:r>
          </w:p>
        </w:tc>
        <w:tc>
          <w:tcPr>
            <w:tcW w:w="2835" w:type="dxa"/>
            <w:vAlign w:val="center"/>
          </w:tcPr>
          <w:p w14:paraId="0CB897EB">
            <w:pPr>
              <w:pStyle w:val="13"/>
            </w:pPr>
            <w:r>
              <w:t>符合验收标准</w:t>
            </w:r>
          </w:p>
        </w:tc>
        <w:tc>
          <w:tcPr>
            <w:tcW w:w="5386" w:type="dxa"/>
            <w:vAlign w:val="center"/>
          </w:tcPr>
          <w:p w14:paraId="6B93F042">
            <w:pPr>
              <w:pStyle w:val="13"/>
            </w:pPr>
            <w:r>
              <w:t>项目竣工合格率</w:t>
            </w:r>
          </w:p>
        </w:tc>
        <w:tc>
          <w:tcPr>
            <w:tcW w:w="2268" w:type="dxa"/>
            <w:vAlign w:val="center"/>
          </w:tcPr>
          <w:p w14:paraId="7B2402C5">
            <w:pPr>
              <w:pStyle w:val="13"/>
            </w:pPr>
            <w:r>
              <w:t>≥100%</w:t>
            </w:r>
          </w:p>
        </w:tc>
        <w:tc>
          <w:tcPr>
            <w:tcW w:w="1276" w:type="dxa"/>
            <w:vAlign w:val="center"/>
          </w:tcPr>
          <w:p w14:paraId="4BEEBFA8">
            <w:pPr>
              <w:pStyle w:val="13"/>
            </w:pPr>
            <w:r>
              <w:t>项目规划</w:t>
            </w:r>
          </w:p>
        </w:tc>
      </w:tr>
      <w:tr w14:paraId="5C823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94633"/>
        </w:tc>
        <w:tc>
          <w:tcPr>
            <w:tcW w:w="2268" w:type="dxa"/>
            <w:vAlign w:val="center"/>
          </w:tcPr>
          <w:p w14:paraId="631F144B">
            <w:pPr>
              <w:pStyle w:val="13"/>
            </w:pPr>
            <w:r>
              <w:t>时效指标</w:t>
            </w:r>
          </w:p>
        </w:tc>
        <w:tc>
          <w:tcPr>
            <w:tcW w:w="2835" w:type="dxa"/>
            <w:vAlign w:val="center"/>
          </w:tcPr>
          <w:p w14:paraId="594D5FA8">
            <w:pPr>
              <w:pStyle w:val="13"/>
            </w:pPr>
            <w:r>
              <w:t>项目时间</w:t>
            </w:r>
          </w:p>
        </w:tc>
        <w:tc>
          <w:tcPr>
            <w:tcW w:w="5386" w:type="dxa"/>
            <w:vAlign w:val="center"/>
          </w:tcPr>
          <w:p w14:paraId="57166D00">
            <w:pPr>
              <w:pStyle w:val="13"/>
            </w:pPr>
            <w:r>
              <w:t>按期完成率</w:t>
            </w:r>
          </w:p>
        </w:tc>
        <w:tc>
          <w:tcPr>
            <w:tcW w:w="2268" w:type="dxa"/>
            <w:vAlign w:val="center"/>
          </w:tcPr>
          <w:p w14:paraId="4D0DA4C4">
            <w:pPr>
              <w:pStyle w:val="13"/>
            </w:pPr>
            <w:r>
              <w:t>≥100%</w:t>
            </w:r>
          </w:p>
        </w:tc>
        <w:tc>
          <w:tcPr>
            <w:tcW w:w="1276" w:type="dxa"/>
            <w:vAlign w:val="center"/>
          </w:tcPr>
          <w:p w14:paraId="66EB2AF5">
            <w:pPr>
              <w:pStyle w:val="13"/>
            </w:pPr>
            <w:r>
              <w:t>项目规划</w:t>
            </w:r>
          </w:p>
        </w:tc>
      </w:tr>
      <w:tr w14:paraId="22B9A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23808"/>
        </w:tc>
        <w:tc>
          <w:tcPr>
            <w:tcW w:w="2268" w:type="dxa"/>
            <w:vAlign w:val="center"/>
          </w:tcPr>
          <w:p w14:paraId="3A13F185">
            <w:pPr>
              <w:pStyle w:val="13"/>
            </w:pPr>
            <w:r>
              <w:t>成本指标</w:t>
            </w:r>
          </w:p>
        </w:tc>
        <w:tc>
          <w:tcPr>
            <w:tcW w:w="2835" w:type="dxa"/>
            <w:vAlign w:val="center"/>
          </w:tcPr>
          <w:p w14:paraId="1FBC47D7">
            <w:pPr>
              <w:pStyle w:val="13"/>
            </w:pPr>
            <w:r>
              <w:t>项目成本</w:t>
            </w:r>
          </w:p>
        </w:tc>
        <w:tc>
          <w:tcPr>
            <w:tcW w:w="5386" w:type="dxa"/>
            <w:vAlign w:val="center"/>
          </w:tcPr>
          <w:p w14:paraId="6F00E258">
            <w:pPr>
              <w:pStyle w:val="13"/>
            </w:pPr>
            <w:r>
              <w:t>不超预算</w:t>
            </w:r>
          </w:p>
        </w:tc>
        <w:tc>
          <w:tcPr>
            <w:tcW w:w="2268" w:type="dxa"/>
            <w:vAlign w:val="center"/>
          </w:tcPr>
          <w:p w14:paraId="430E60EF">
            <w:pPr>
              <w:pStyle w:val="13"/>
            </w:pPr>
            <w:r>
              <w:t>≤40万元</w:t>
            </w:r>
          </w:p>
        </w:tc>
        <w:tc>
          <w:tcPr>
            <w:tcW w:w="1276" w:type="dxa"/>
            <w:vAlign w:val="center"/>
          </w:tcPr>
          <w:p w14:paraId="46941F40">
            <w:pPr>
              <w:pStyle w:val="13"/>
            </w:pPr>
            <w:r>
              <w:t>项目规划</w:t>
            </w:r>
          </w:p>
        </w:tc>
      </w:tr>
      <w:tr w14:paraId="19F3F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AAFFA5">
            <w:pPr>
              <w:pStyle w:val="12"/>
            </w:pPr>
            <w:r>
              <w:t>效益指标</w:t>
            </w:r>
          </w:p>
        </w:tc>
        <w:tc>
          <w:tcPr>
            <w:tcW w:w="2268" w:type="dxa"/>
            <w:vAlign w:val="center"/>
          </w:tcPr>
          <w:p w14:paraId="08833D65">
            <w:pPr>
              <w:pStyle w:val="13"/>
            </w:pPr>
            <w:r>
              <w:t>社会效益指标</w:t>
            </w:r>
          </w:p>
        </w:tc>
        <w:tc>
          <w:tcPr>
            <w:tcW w:w="2835" w:type="dxa"/>
            <w:vAlign w:val="center"/>
          </w:tcPr>
          <w:p w14:paraId="25B7137C">
            <w:pPr>
              <w:pStyle w:val="13"/>
            </w:pPr>
            <w:r>
              <w:t>学生受教育年限</w:t>
            </w:r>
          </w:p>
        </w:tc>
        <w:tc>
          <w:tcPr>
            <w:tcW w:w="5386" w:type="dxa"/>
            <w:vAlign w:val="center"/>
          </w:tcPr>
          <w:p w14:paraId="42A72758">
            <w:pPr>
              <w:pStyle w:val="13"/>
            </w:pPr>
            <w:r>
              <w:t>学生受教育年限</w:t>
            </w:r>
          </w:p>
        </w:tc>
        <w:tc>
          <w:tcPr>
            <w:tcW w:w="2268" w:type="dxa"/>
            <w:vAlign w:val="center"/>
          </w:tcPr>
          <w:p w14:paraId="0E7CAA1C">
            <w:pPr>
              <w:pStyle w:val="13"/>
            </w:pPr>
            <w:r>
              <w:t>6年</w:t>
            </w:r>
          </w:p>
        </w:tc>
        <w:tc>
          <w:tcPr>
            <w:tcW w:w="1276" w:type="dxa"/>
            <w:vAlign w:val="center"/>
          </w:tcPr>
          <w:p w14:paraId="6F861B98">
            <w:pPr>
              <w:pStyle w:val="13"/>
            </w:pPr>
            <w:r>
              <w:t>项目规划</w:t>
            </w:r>
          </w:p>
        </w:tc>
      </w:tr>
      <w:tr w14:paraId="6CCD3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F301FD">
            <w:pPr>
              <w:pStyle w:val="12"/>
            </w:pPr>
            <w:r>
              <w:t>满意度指标</w:t>
            </w:r>
          </w:p>
        </w:tc>
        <w:tc>
          <w:tcPr>
            <w:tcW w:w="2268" w:type="dxa"/>
            <w:vAlign w:val="center"/>
          </w:tcPr>
          <w:p w14:paraId="10C4F2A7">
            <w:pPr>
              <w:pStyle w:val="13"/>
            </w:pPr>
            <w:r>
              <w:t>服务对象满意度指标</w:t>
            </w:r>
          </w:p>
        </w:tc>
        <w:tc>
          <w:tcPr>
            <w:tcW w:w="2835" w:type="dxa"/>
            <w:vAlign w:val="center"/>
          </w:tcPr>
          <w:p w14:paraId="43ED8737">
            <w:pPr>
              <w:pStyle w:val="13"/>
            </w:pPr>
            <w:r>
              <w:t>教师学生满意度</w:t>
            </w:r>
          </w:p>
        </w:tc>
        <w:tc>
          <w:tcPr>
            <w:tcW w:w="5386" w:type="dxa"/>
            <w:vAlign w:val="center"/>
          </w:tcPr>
          <w:p w14:paraId="3299E14D">
            <w:pPr>
              <w:pStyle w:val="13"/>
            </w:pPr>
            <w:r>
              <w:t>教师学生满意度</w:t>
            </w:r>
          </w:p>
        </w:tc>
        <w:tc>
          <w:tcPr>
            <w:tcW w:w="2268" w:type="dxa"/>
            <w:vAlign w:val="center"/>
          </w:tcPr>
          <w:p w14:paraId="52584485">
            <w:pPr>
              <w:pStyle w:val="13"/>
            </w:pPr>
            <w:r>
              <w:t>≥95%</w:t>
            </w:r>
          </w:p>
        </w:tc>
        <w:tc>
          <w:tcPr>
            <w:tcW w:w="1276" w:type="dxa"/>
            <w:vAlign w:val="center"/>
          </w:tcPr>
          <w:p w14:paraId="0A1778AC">
            <w:pPr>
              <w:pStyle w:val="13"/>
            </w:pPr>
            <w:r>
              <w:t>项目规划</w:t>
            </w:r>
          </w:p>
        </w:tc>
      </w:tr>
    </w:tbl>
    <w:p w14:paraId="759E3F7F">
      <w:pPr>
        <w:sectPr>
          <w:pgSz w:w="16840" w:h="11900" w:orient="landscape"/>
          <w:pgMar w:top="1361" w:right="1020" w:bottom="1134" w:left="1020" w:header="720" w:footer="720" w:gutter="0"/>
          <w:cols w:space="720" w:num="1"/>
        </w:sectPr>
      </w:pPr>
    </w:p>
    <w:p w14:paraId="405FBD5A">
      <w:pPr>
        <w:spacing w:before="0" w:after="0"/>
        <w:ind w:firstLine="560"/>
        <w:jc w:val="left"/>
        <w:outlineLvl w:val="9"/>
      </w:pPr>
      <w:r>
        <w:rPr>
          <w:rFonts w:ascii="方正仿宋_GBK" w:hAnsi="方正仿宋_GBK" w:eastAsia="方正仿宋_GBK" w:cs="方正仿宋_GBK"/>
          <w:b/>
          <w:color w:val="000000"/>
          <w:sz w:val="28"/>
        </w:rPr>
        <w:t>8、冀财教[2024]123号/中央/2025年义教补助经费/综合奖补/大张家庄校区大张家庄小学公用经费绩效目标表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D4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E4BC3">
            <w:pPr>
              <w:pStyle w:val="14"/>
            </w:pPr>
            <w:r>
              <w:t>单位：万元</w:t>
            </w:r>
          </w:p>
        </w:tc>
      </w:tr>
      <w:tr w14:paraId="37C70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B9007">
            <w:pPr>
              <w:pStyle w:val="11"/>
            </w:pPr>
            <w:r>
              <w:t>项目编码</w:t>
            </w:r>
          </w:p>
        </w:tc>
        <w:tc>
          <w:tcPr>
            <w:tcW w:w="5103" w:type="dxa"/>
            <w:gridSpan w:val="2"/>
            <w:vAlign w:val="center"/>
          </w:tcPr>
          <w:p w14:paraId="25715A29">
            <w:pPr>
              <w:pStyle w:val="13"/>
            </w:pPr>
            <w:r>
              <w:t>13052525P00875610284A</w:t>
            </w:r>
          </w:p>
        </w:tc>
        <w:tc>
          <w:tcPr>
            <w:tcW w:w="2835" w:type="dxa"/>
            <w:vAlign w:val="center"/>
          </w:tcPr>
          <w:p w14:paraId="3A6ED534">
            <w:pPr>
              <w:pStyle w:val="11"/>
            </w:pPr>
            <w:r>
              <w:t>项目名称</w:t>
            </w:r>
          </w:p>
        </w:tc>
        <w:tc>
          <w:tcPr>
            <w:tcW w:w="6095" w:type="dxa"/>
            <w:gridSpan w:val="3"/>
            <w:vAlign w:val="center"/>
          </w:tcPr>
          <w:p w14:paraId="001D2298">
            <w:pPr>
              <w:pStyle w:val="13"/>
            </w:pPr>
            <w:r>
              <w:t>冀财教[2024]123号/中央/2025年义教补助经费/综合奖补/大张家庄校区大张家庄小学公用经费</w:t>
            </w:r>
          </w:p>
        </w:tc>
      </w:tr>
      <w:tr w14:paraId="58EA9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AD442">
            <w:pPr>
              <w:pStyle w:val="11"/>
            </w:pPr>
            <w:r>
              <w:t>预算规模及资金用途</w:t>
            </w:r>
          </w:p>
        </w:tc>
        <w:tc>
          <w:tcPr>
            <w:tcW w:w="2268" w:type="dxa"/>
            <w:vAlign w:val="center"/>
          </w:tcPr>
          <w:p w14:paraId="3E63F83B">
            <w:pPr>
              <w:pStyle w:val="11"/>
            </w:pPr>
            <w:r>
              <w:t>预算数</w:t>
            </w:r>
          </w:p>
        </w:tc>
        <w:tc>
          <w:tcPr>
            <w:tcW w:w="2835" w:type="dxa"/>
            <w:vAlign w:val="center"/>
          </w:tcPr>
          <w:p w14:paraId="5F20DBFB">
            <w:pPr>
              <w:pStyle w:val="13"/>
            </w:pPr>
            <w:r>
              <w:t>1.99</w:t>
            </w:r>
          </w:p>
        </w:tc>
        <w:tc>
          <w:tcPr>
            <w:tcW w:w="2835" w:type="dxa"/>
            <w:vAlign w:val="center"/>
          </w:tcPr>
          <w:p w14:paraId="07A6A306">
            <w:pPr>
              <w:pStyle w:val="11"/>
            </w:pPr>
            <w:r>
              <w:t>其中：财政    资金</w:t>
            </w:r>
          </w:p>
        </w:tc>
        <w:tc>
          <w:tcPr>
            <w:tcW w:w="2551" w:type="dxa"/>
            <w:vAlign w:val="center"/>
          </w:tcPr>
          <w:p w14:paraId="0DB236D2">
            <w:pPr>
              <w:pStyle w:val="13"/>
            </w:pPr>
            <w:r>
              <w:t>1.99</w:t>
            </w:r>
          </w:p>
        </w:tc>
        <w:tc>
          <w:tcPr>
            <w:tcW w:w="2268" w:type="dxa"/>
            <w:vAlign w:val="center"/>
          </w:tcPr>
          <w:p w14:paraId="0BB31325">
            <w:pPr>
              <w:pStyle w:val="11"/>
            </w:pPr>
            <w:r>
              <w:t>其他资金</w:t>
            </w:r>
          </w:p>
        </w:tc>
        <w:tc>
          <w:tcPr>
            <w:tcW w:w="1276" w:type="dxa"/>
            <w:vAlign w:val="center"/>
          </w:tcPr>
          <w:p w14:paraId="3A6A54D5">
            <w:pPr>
              <w:pStyle w:val="13"/>
            </w:pPr>
            <w:r>
              <w:t xml:space="preserve"> </w:t>
            </w:r>
          </w:p>
        </w:tc>
      </w:tr>
      <w:tr w14:paraId="41C87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DB5742"/>
        </w:tc>
        <w:tc>
          <w:tcPr>
            <w:tcW w:w="14033" w:type="dxa"/>
            <w:gridSpan w:val="6"/>
            <w:vAlign w:val="center"/>
          </w:tcPr>
          <w:p w14:paraId="56F0DC91">
            <w:pPr>
              <w:pStyle w:val="13"/>
            </w:pPr>
            <w:r>
              <w:t>用于购买视频会议系统。</w:t>
            </w:r>
          </w:p>
        </w:tc>
      </w:tr>
      <w:tr w14:paraId="10EA5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D2F96">
            <w:pPr>
              <w:pStyle w:val="11"/>
            </w:pPr>
            <w:r>
              <w:t>资金支出计划（%）</w:t>
            </w:r>
          </w:p>
        </w:tc>
        <w:tc>
          <w:tcPr>
            <w:tcW w:w="5103" w:type="dxa"/>
            <w:gridSpan w:val="2"/>
            <w:vAlign w:val="center"/>
          </w:tcPr>
          <w:p w14:paraId="69ED67E1">
            <w:pPr>
              <w:pStyle w:val="11"/>
            </w:pPr>
            <w:r>
              <w:t>3月底</w:t>
            </w:r>
          </w:p>
        </w:tc>
        <w:tc>
          <w:tcPr>
            <w:tcW w:w="2835" w:type="dxa"/>
            <w:vAlign w:val="center"/>
          </w:tcPr>
          <w:p w14:paraId="29EE0FA9">
            <w:pPr>
              <w:pStyle w:val="11"/>
            </w:pPr>
            <w:r>
              <w:t>6月底</w:t>
            </w:r>
          </w:p>
        </w:tc>
        <w:tc>
          <w:tcPr>
            <w:tcW w:w="2551" w:type="dxa"/>
            <w:vAlign w:val="center"/>
          </w:tcPr>
          <w:p w14:paraId="533B20D4">
            <w:pPr>
              <w:pStyle w:val="11"/>
            </w:pPr>
            <w:r>
              <w:t>10月底</w:t>
            </w:r>
          </w:p>
        </w:tc>
        <w:tc>
          <w:tcPr>
            <w:tcW w:w="3544" w:type="dxa"/>
            <w:gridSpan w:val="2"/>
            <w:vAlign w:val="center"/>
          </w:tcPr>
          <w:p w14:paraId="33472EF5">
            <w:pPr>
              <w:pStyle w:val="11"/>
            </w:pPr>
            <w:r>
              <w:t>12月底</w:t>
            </w:r>
          </w:p>
        </w:tc>
      </w:tr>
      <w:tr w14:paraId="39ADE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2DC8FD"/>
        </w:tc>
        <w:tc>
          <w:tcPr>
            <w:tcW w:w="5103" w:type="dxa"/>
            <w:gridSpan w:val="2"/>
            <w:vAlign w:val="center"/>
          </w:tcPr>
          <w:p w14:paraId="6782A761">
            <w:pPr>
              <w:pStyle w:val="12"/>
            </w:pPr>
            <w:r>
              <w:t xml:space="preserve"> </w:t>
            </w:r>
          </w:p>
        </w:tc>
        <w:tc>
          <w:tcPr>
            <w:tcW w:w="2835" w:type="dxa"/>
            <w:vAlign w:val="center"/>
          </w:tcPr>
          <w:p w14:paraId="0D9F279D">
            <w:pPr>
              <w:pStyle w:val="12"/>
            </w:pPr>
            <w:r>
              <w:t>100%</w:t>
            </w:r>
          </w:p>
        </w:tc>
        <w:tc>
          <w:tcPr>
            <w:tcW w:w="2551" w:type="dxa"/>
            <w:vAlign w:val="center"/>
          </w:tcPr>
          <w:p w14:paraId="4BA96793">
            <w:pPr>
              <w:pStyle w:val="12"/>
            </w:pPr>
            <w:r>
              <w:t>100%</w:t>
            </w:r>
          </w:p>
        </w:tc>
        <w:tc>
          <w:tcPr>
            <w:tcW w:w="3544" w:type="dxa"/>
            <w:gridSpan w:val="2"/>
            <w:vAlign w:val="center"/>
          </w:tcPr>
          <w:p w14:paraId="5B06096C">
            <w:pPr>
              <w:pStyle w:val="12"/>
            </w:pPr>
            <w:r>
              <w:t>100%</w:t>
            </w:r>
          </w:p>
        </w:tc>
      </w:tr>
      <w:tr w14:paraId="36210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8E414">
            <w:pPr>
              <w:pStyle w:val="11"/>
            </w:pPr>
            <w:r>
              <w:t>绩效目标</w:t>
            </w:r>
          </w:p>
        </w:tc>
        <w:tc>
          <w:tcPr>
            <w:tcW w:w="14033" w:type="dxa"/>
            <w:gridSpan w:val="6"/>
            <w:vAlign w:val="center"/>
          </w:tcPr>
          <w:p w14:paraId="327066F7">
            <w:pPr>
              <w:pStyle w:val="13"/>
            </w:pPr>
            <w:r>
              <w:t>1.为保证学校正常运转和改善办学条件。</w:t>
            </w:r>
          </w:p>
          <w:p w14:paraId="2BD11194">
            <w:pPr>
              <w:pStyle w:val="13"/>
            </w:pPr>
            <w:r>
              <w:t>2.按拨款序时进度完成经费拨付和支出。</w:t>
            </w:r>
          </w:p>
        </w:tc>
      </w:tr>
    </w:tbl>
    <w:p w14:paraId="55E7EC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14:paraId="76C9E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A9A86">
            <w:pPr>
              <w:pStyle w:val="11"/>
            </w:pPr>
            <w:r>
              <w:t>一级指标</w:t>
            </w:r>
          </w:p>
        </w:tc>
        <w:tc>
          <w:tcPr>
            <w:tcW w:w="2268" w:type="dxa"/>
            <w:vAlign w:val="center"/>
          </w:tcPr>
          <w:p w14:paraId="1F95BC6F">
            <w:pPr>
              <w:pStyle w:val="11"/>
            </w:pPr>
            <w:r>
              <w:t>二级指标</w:t>
            </w:r>
          </w:p>
        </w:tc>
        <w:tc>
          <w:tcPr>
            <w:tcW w:w="2835" w:type="dxa"/>
            <w:vAlign w:val="center"/>
          </w:tcPr>
          <w:p w14:paraId="4D78D363">
            <w:pPr>
              <w:pStyle w:val="11"/>
            </w:pPr>
            <w:r>
              <w:t>三级指标</w:t>
            </w:r>
          </w:p>
        </w:tc>
        <w:tc>
          <w:tcPr>
            <w:tcW w:w="5386" w:type="dxa"/>
            <w:vAlign w:val="center"/>
          </w:tcPr>
          <w:p w14:paraId="5FF1B04D">
            <w:pPr>
              <w:pStyle w:val="11"/>
            </w:pPr>
            <w:r>
              <w:t>绩效指标描述</w:t>
            </w:r>
          </w:p>
        </w:tc>
        <w:tc>
          <w:tcPr>
            <w:tcW w:w="1853" w:type="dxa"/>
            <w:vAlign w:val="center"/>
          </w:tcPr>
          <w:p w14:paraId="7F8244AD">
            <w:pPr>
              <w:pStyle w:val="11"/>
            </w:pPr>
            <w:r>
              <w:t>指标值</w:t>
            </w:r>
          </w:p>
        </w:tc>
        <w:tc>
          <w:tcPr>
            <w:tcW w:w="1691" w:type="dxa"/>
            <w:vAlign w:val="center"/>
          </w:tcPr>
          <w:p w14:paraId="60760226">
            <w:pPr>
              <w:pStyle w:val="11"/>
            </w:pPr>
            <w:r>
              <w:t>指标值确定依据</w:t>
            </w:r>
          </w:p>
        </w:tc>
      </w:tr>
      <w:tr w14:paraId="77294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DFA0C">
            <w:pPr>
              <w:pStyle w:val="12"/>
            </w:pPr>
            <w:r>
              <w:t>产出指标</w:t>
            </w:r>
          </w:p>
        </w:tc>
        <w:tc>
          <w:tcPr>
            <w:tcW w:w="2268" w:type="dxa"/>
            <w:vAlign w:val="center"/>
          </w:tcPr>
          <w:p w14:paraId="0CB64F2F">
            <w:pPr>
              <w:pStyle w:val="13"/>
            </w:pPr>
            <w:r>
              <w:t>数量指标</w:t>
            </w:r>
          </w:p>
        </w:tc>
        <w:tc>
          <w:tcPr>
            <w:tcW w:w="2835" w:type="dxa"/>
            <w:vAlign w:val="center"/>
          </w:tcPr>
          <w:p w14:paraId="7367F269">
            <w:pPr>
              <w:pStyle w:val="13"/>
            </w:pPr>
            <w:r>
              <w:t>就读学生数</w:t>
            </w:r>
          </w:p>
        </w:tc>
        <w:tc>
          <w:tcPr>
            <w:tcW w:w="5386" w:type="dxa"/>
            <w:vAlign w:val="center"/>
          </w:tcPr>
          <w:p w14:paraId="40A0E733">
            <w:pPr>
              <w:pStyle w:val="13"/>
            </w:pPr>
            <w:r>
              <w:t>辐射区域内适龄学生人数</w:t>
            </w:r>
          </w:p>
        </w:tc>
        <w:tc>
          <w:tcPr>
            <w:tcW w:w="1853" w:type="dxa"/>
            <w:vAlign w:val="center"/>
          </w:tcPr>
          <w:p w14:paraId="68ABB881">
            <w:pPr>
              <w:pStyle w:val="13"/>
            </w:pPr>
            <w:r>
              <w:t>719人</w:t>
            </w:r>
          </w:p>
        </w:tc>
        <w:tc>
          <w:tcPr>
            <w:tcW w:w="1691" w:type="dxa"/>
            <w:vAlign w:val="center"/>
          </w:tcPr>
          <w:p w14:paraId="27C2AFCB">
            <w:pPr>
              <w:pStyle w:val="13"/>
            </w:pPr>
            <w:r>
              <w:t>城乡义务教育公用经费管理办法</w:t>
            </w:r>
          </w:p>
        </w:tc>
      </w:tr>
      <w:tr w14:paraId="5B4AA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B972C"/>
        </w:tc>
        <w:tc>
          <w:tcPr>
            <w:tcW w:w="2268" w:type="dxa"/>
            <w:vAlign w:val="center"/>
          </w:tcPr>
          <w:p w14:paraId="1B3367E4">
            <w:pPr>
              <w:pStyle w:val="13"/>
            </w:pPr>
            <w:r>
              <w:t>质量指标</w:t>
            </w:r>
          </w:p>
        </w:tc>
        <w:tc>
          <w:tcPr>
            <w:tcW w:w="2835" w:type="dxa"/>
            <w:vAlign w:val="center"/>
          </w:tcPr>
          <w:p w14:paraId="06BC5CB6">
            <w:pPr>
              <w:pStyle w:val="13"/>
            </w:pPr>
            <w:r>
              <w:t>预算执行率</w:t>
            </w:r>
          </w:p>
        </w:tc>
        <w:tc>
          <w:tcPr>
            <w:tcW w:w="5386" w:type="dxa"/>
            <w:vAlign w:val="center"/>
          </w:tcPr>
          <w:p w14:paraId="7566FAEA">
            <w:pPr>
              <w:pStyle w:val="13"/>
            </w:pPr>
            <w:r>
              <w:t>预算执行率</w:t>
            </w:r>
          </w:p>
        </w:tc>
        <w:tc>
          <w:tcPr>
            <w:tcW w:w="1853" w:type="dxa"/>
            <w:vAlign w:val="center"/>
          </w:tcPr>
          <w:p w14:paraId="6F984BBB">
            <w:pPr>
              <w:pStyle w:val="13"/>
            </w:pPr>
            <w:r>
              <w:t>≥98%</w:t>
            </w:r>
          </w:p>
        </w:tc>
        <w:tc>
          <w:tcPr>
            <w:tcW w:w="1691" w:type="dxa"/>
            <w:vAlign w:val="center"/>
          </w:tcPr>
          <w:p w14:paraId="76EE17B5">
            <w:pPr>
              <w:pStyle w:val="13"/>
            </w:pPr>
            <w:r>
              <w:t>城乡义务教育公用经费管理办法</w:t>
            </w:r>
          </w:p>
        </w:tc>
      </w:tr>
      <w:tr w14:paraId="47ADB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DB415"/>
        </w:tc>
        <w:tc>
          <w:tcPr>
            <w:tcW w:w="2268" w:type="dxa"/>
            <w:vAlign w:val="center"/>
          </w:tcPr>
          <w:p w14:paraId="06E09891">
            <w:pPr>
              <w:pStyle w:val="13"/>
            </w:pPr>
            <w:r>
              <w:t>时效指标</w:t>
            </w:r>
          </w:p>
        </w:tc>
        <w:tc>
          <w:tcPr>
            <w:tcW w:w="2835" w:type="dxa"/>
            <w:vAlign w:val="center"/>
          </w:tcPr>
          <w:p w14:paraId="2D3F2463">
            <w:pPr>
              <w:pStyle w:val="13"/>
            </w:pPr>
            <w:r>
              <w:t>义教经费支付完成率</w:t>
            </w:r>
          </w:p>
        </w:tc>
        <w:tc>
          <w:tcPr>
            <w:tcW w:w="5386" w:type="dxa"/>
            <w:vAlign w:val="center"/>
          </w:tcPr>
          <w:p w14:paraId="2E357B19">
            <w:pPr>
              <w:pStyle w:val="13"/>
            </w:pPr>
            <w:r>
              <w:t>按照序时进度完成资金支付</w:t>
            </w:r>
          </w:p>
        </w:tc>
        <w:tc>
          <w:tcPr>
            <w:tcW w:w="1853" w:type="dxa"/>
            <w:vAlign w:val="center"/>
          </w:tcPr>
          <w:p w14:paraId="7842FF23">
            <w:pPr>
              <w:pStyle w:val="13"/>
            </w:pPr>
            <w:r>
              <w:t>≥100%</w:t>
            </w:r>
          </w:p>
        </w:tc>
        <w:tc>
          <w:tcPr>
            <w:tcW w:w="1691" w:type="dxa"/>
            <w:vAlign w:val="center"/>
          </w:tcPr>
          <w:p w14:paraId="60008E67">
            <w:pPr>
              <w:pStyle w:val="13"/>
            </w:pPr>
            <w:r>
              <w:t>城乡义务教育公用经费管理办法</w:t>
            </w:r>
          </w:p>
        </w:tc>
      </w:tr>
      <w:tr w14:paraId="07DA4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4FB15"/>
        </w:tc>
        <w:tc>
          <w:tcPr>
            <w:tcW w:w="2268" w:type="dxa"/>
            <w:vAlign w:val="center"/>
          </w:tcPr>
          <w:p w14:paraId="5358DEDA">
            <w:pPr>
              <w:pStyle w:val="13"/>
            </w:pPr>
            <w:r>
              <w:t>成本指标</w:t>
            </w:r>
          </w:p>
        </w:tc>
        <w:tc>
          <w:tcPr>
            <w:tcW w:w="2835" w:type="dxa"/>
            <w:vAlign w:val="center"/>
          </w:tcPr>
          <w:p w14:paraId="7ECD3226">
            <w:pPr>
              <w:pStyle w:val="13"/>
            </w:pPr>
            <w:r>
              <w:t>生均拨款标准</w:t>
            </w:r>
          </w:p>
        </w:tc>
        <w:tc>
          <w:tcPr>
            <w:tcW w:w="5386" w:type="dxa"/>
            <w:vAlign w:val="center"/>
          </w:tcPr>
          <w:p w14:paraId="653F856E">
            <w:pPr>
              <w:pStyle w:val="13"/>
            </w:pPr>
            <w:r>
              <w:t>小学生公用经费生均小学720元，取暖费120元/生/年，随班就读学生补助7000元/生</w:t>
            </w:r>
          </w:p>
        </w:tc>
        <w:tc>
          <w:tcPr>
            <w:tcW w:w="1853" w:type="dxa"/>
            <w:vAlign w:val="center"/>
          </w:tcPr>
          <w:p w14:paraId="7B92355B">
            <w:pPr>
              <w:pStyle w:val="13"/>
            </w:pPr>
            <w:r>
              <w:t>≥840元</w:t>
            </w:r>
          </w:p>
        </w:tc>
        <w:tc>
          <w:tcPr>
            <w:tcW w:w="1691" w:type="dxa"/>
            <w:vAlign w:val="center"/>
          </w:tcPr>
          <w:p w14:paraId="7EC0B56E">
            <w:pPr>
              <w:pStyle w:val="13"/>
            </w:pPr>
            <w:r>
              <w:t>城乡义务教育公用经费管理办法</w:t>
            </w:r>
          </w:p>
        </w:tc>
      </w:tr>
      <w:tr w14:paraId="06917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1E985F">
            <w:pPr>
              <w:pStyle w:val="12"/>
            </w:pPr>
            <w:r>
              <w:t>效益指标</w:t>
            </w:r>
          </w:p>
        </w:tc>
        <w:tc>
          <w:tcPr>
            <w:tcW w:w="2268" w:type="dxa"/>
            <w:vAlign w:val="center"/>
          </w:tcPr>
          <w:p w14:paraId="7711D532">
            <w:pPr>
              <w:pStyle w:val="13"/>
            </w:pPr>
            <w:r>
              <w:t>社会效益指标</w:t>
            </w:r>
          </w:p>
        </w:tc>
        <w:tc>
          <w:tcPr>
            <w:tcW w:w="2835" w:type="dxa"/>
            <w:vAlign w:val="center"/>
          </w:tcPr>
          <w:p w14:paraId="4F9AD3D8">
            <w:pPr>
              <w:pStyle w:val="13"/>
            </w:pPr>
            <w:r>
              <w:t>学校运转得到提高</w:t>
            </w:r>
          </w:p>
        </w:tc>
        <w:tc>
          <w:tcPr>
            <w:tcW w:w="5386" w:type="dxa"/>
            <w:vAlign w:val="center"/>
          </w:tcPr>
          <w:p w14:paraId="6268BC62">
            <w:pPr>
              <w:pStyle w:val="13"/>
            </w:pPr>
            <w:r>
              <w:t>学生受教育年限</w:t>
            </w:r>
          </w:p>
        </w:tc>
        <w:tc>
          <w:tcPr>
            <w:tcW w:w="1853" w:type="dxa"/>
            <w:vAlign w:val="center"/>
          </w:tcPr>
          <w:p w14:paraId="5A2AC6A3">
            <w:pPr>
              <w:pStyle w:val="13"/>
            </w:pPr>
            <w:r>
              <w:t>6年</w:t>
            </w:r>
          </w:p>
        </w:tc>
        <w:tc>
          <w:tcPr>
            <w:tcW w:w="1691" w:type="dxa"/>
            <w:vAlign w:val="center"/>
          </w:tcPr>
          <w:p w14:paraId="12F509EF">
            <w:pPr>
              <w:pStyle w:val="13"/>
            </w:pPr>
            <w:r>
              <w:t>城乡义务教育公用经费管理办法</w:t>
            </w:r>
          </w:p>
        </w:tc>
      </w:tr>
      <w:tr w14:paraId="18C9C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C8B7F8">
            <w:pPr>
              <w:pStyle w:val="12"/>
            </w:pPr>
            <w:r>
              <w:t>满意度指标</w:t>
            </w:r>
          </w:p>
        </w:tc>
        <w:tc>
          <w:tcPr>
            <w:tcW w:w="2268" w:type="dxa"/>
            <w:vAlign w:val="center"/>
          </w:tcPr>
          <w:p w14:paraId="78687CEB">
            <w:pPr>
              <w:pStyle w:val="13"/>
            </w:pPr>
            <w:r>
              <w:t>服务对象满意度指标</w:t>
            </w:r>
          </w:p>
        </w:tc>
        <w:tc>
          <w:tcPr>
            <w:tcW w:w="2835" w:type="dxa"/>
            <w:vAlign w:val="center"/>
          </w:tcPr>
          <w:p w14:paraId="5E16558B">
            <w:pPr>
              <w:pStyle w:val="13"/>
            </w:pPr>
            <w:r>
              <w:t>服务对象满意度</w:t>
            </w:r>
          </w:p>
        </w:tc>
        <w:tc>
          <w:tcPr>
            <w:tcW w:w="5386" w:type="dxa"/>
            <w:vAlign w:val="center"/>
          </w:tcPr>
          <w:p w14:paraId="5FCAA54A">
            <w:pPr>
              <w:pStyle w:val="13"/>
            </w:pPr>
            <w:r>
              <w:t>学校老师和学生满意度</w:t>
            </w:r>
          </w:p>
        </w:tc>
        <w:tc>
          <w:tcPr>
            <w:tcW w:w="1853" w:type="dxa"/>
            <w:vAlign w:val="center"/>
          </w:tcPr>
          <w:p w14:paraId="1FDE686B">
            <w:pPr>
              <w:pStyle w:val="13"/>
            </w:pPr>
            <w:r>
              <w:t>≥95%</w:t>
            </w:r>
          </w:p>
        </w:tc>
        <w:tc>
          <w:tcPr>
            <w:tcW w:w="1691" w:type="dxa"/>
            <w:vAlign w:val="center"/>
          </w:tcPr>
          <w:p w14:paraId="18896F8B">
            <w:pPr>
              <w:pStyle w:val="13"/>
            </w:pPr>
            <w:r>
              <w:t>城乡义务教育公用经费管理办法</w:t>
            </w:r>
          </w:p>
        </w:tc>
      </w:tr>
    </w:tbl>
    <w:p w14:paraId="67EC6B31">
      <w:pPr>
        <w:sectPr>
          <w:pgSz w:w="16840" w:h="11900" w:orient="landscape"/>
          <w:pgMar w:top="1361" w:right="1020" w:bottom="1134" w:left="1020" w:header="720" w:footer="720" w:gutter="0"/>
          <w:cols w:space="720" w:num="1"/>
        </w:sectPr>
      </w:pPr>
    </w:p>
    <w:p w14:paraId="40F6939C">
      <w:pPr>
        <w:spacing w:before="0" w:after="0"/>
        <w:ind w:firstLine="560"/>
        <w:jc w:val="left"/>
        <w:outlineLvl w:val="9"/>
      </w:pPr>
      <w:r>
        <w:rPr>
          <w:rFonts w:ascii="方正仿宋_GBK" w:hAnsi="方正仿宋_GBK" w:eastAsia="方正仿宋_GBK" w:cs="方正仿宋_GBK"/>
          <w:b/>
          <w:color w:val="000000"/>
          <w:sz w:val="28"/>
        </w:rPr>
        <w:t>9、冀财教[2024]141号/省级/2025年义教补助经费/大曹庄中心小学公用经费绩效目标表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121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1903C">
            <w:pPr>
              <w:pStyle w:val="14"/>
            </w:pPr>
            <w:r>
              <w:t>单位：万元</w:t>
            </w:r>
          </w:p>
        </w:tc>
      </w:tr>
      <w:tr w14:paraId="63179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F651E1">
            <w:pPr>
              <w:pStyle w:val="11"/>
            </w:pPr>
            <w:r>
              <w:t>项目编码</w:t>
            </w:r>
          </w:p>
        </w:tc>
        <w:tc>
          <w:tcPr>
            <w:tcW w:w="5103" w:type="dxa"/>
            <w:gridSpan w:val="2"/>
            <w:vAlign w:val="center"/>
          </w:tcPr>
          <w:p w14:paraId="6D9482B8">
            <w:pPr>
              <w:pStyle w:val="13"/>
            </w:pPr>
            <w:r>
              <w:t>13052525P00000410192B</w:t>
            </w:r>
          </w:p>
        </w:tc>
        <w:tc>
          <w:tcPr>
            <w:tcW w:w="2835" w:type="dxa"/>
            <w:vAlign w:val="center"/>
          </w:tcPr>
          <w:p w14:paraId="23403BAF">
            <w:pPr>
              <w:pStyle w:val="11"/>
            </w:pPr>
            <w:r>
              <w:t>项目名称</w:t>
            </w:r>
          </w:p>
        </w:tc>
        <w:tc>
          <w:tcPr>
            <w:tcW w:w="6095" w:type="dxa"/>
            <w:gridSpan w:val="3"/>
            <w:vAlign w:val="center"/>
          </w:tcPr>
          <w:p w14:paraId="22B824CC">
            <w:pPr>
              <w:pStyle w:val="13"/>
            </w:pPr>
            <w:r>
              <w:t>冀财教[2024]141号/省级/2025年义教补助经费/大曹庄中心小学公用经费</w:t>
            </w:r>
          </w:p>
        </w:tc>
      </w:tr>
      <w:tr w14:paraId="30D12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3C1D8">
            <w:pPr>
              <w:pStyle w:val="11"/>
            </w:pPr>
            <w:r>
              <w:t>预算规模及资金用途</w:t>
            </w:r>
          </w:p>
        </w:tc>
        <w:tc>
          <w:tcPr>
            <w:tcW w:w="2268" w:type="dxa"/>
            <w:vAlign w:val="center"/>
          </w:tcPr>
          <w:p w14:paraId="37EB8186">
            <w:pPr>
              <w:pStyle w:val="11"/>
            </w:pPr>
            <w:r>
              <w:t>预算数</w:t>
            </w:r>
          </w:p>
        </w:tc>
        <w:tc>
          <w:tcPr>
            <w:tcW w:w="2835" w:type="dxa"/>
            <w:vAlign w:val="center"/>
          </w:tcPr>
          <w:p w14:paraId="789E3C9E">
            <w:pPr>
              <w:pStyle w:val="13"/>
            </w:pPr>
            <w:r>
              <w:t>4.52</w:t>
            </w:r>
          </w:p>
        </w:tc>
        <w:tc>
          <w:tcPr>
            <w:tcW w:w="2835" w:type="dxa"/>
            <w:vAlign w:val="center"/>
          </w:tcPr>
          <w:p w14:paraId="0A4D6FAC">
            <w:pPr>
              <w:pStyle w:val="11"/>
            </w:pPr>
            <w:r>
              <w:t>其中：财政    资金</w:t>
            </w:r>
          </w:p>
        </w:tc>
        <w:tc>
          <w:tcPr>
            <w:tcW w:w="2551" w:type="dxa"/>
            <w:vAlign w:val="center"/>
          </w:tcPr>
          <w:p w14:paraId="2CB432DF">
            <w:pPr>
              <w:pStyle w:val="13"/>
            </w:pPr>
            <w:r>
              <w:t>4.52</w:t>
            </w:r>
          </w:p>
        </w:tc>
        <w:tc>
          <w:tcPr>
            <w:tcW w:w="2268" w:type="dxa"/>
            <w:vAlign w:val="center"/>
          </w:tcPr>
          <w:p w14:paraId="4110AF34">
            <w:pPr>
              <w:pStyle w:val="11"/>
            </w:pPr>
            <w:r>
              <w:t>其他资金</w:t>
            </w:r>
          </w:p>
        </w:tc>
        <w:tc>
          <w:tcPr>
            <w:tcW w:w="1276" w:type="dxa"/>
            <w:vAlign w:val="center"/>
          </w:tcPr>
          <w:p w14:paraId="7E7C455A">
            <w:pPr>
              <w:pStyle w:val="13"/>
            </w:pPr>
            <w:r>
              <w:t xml:space="preserve"> </w:t>
            </w:r>
          </w:p>
        </w:tc>
      </w:tr>
      <w:tr w14:paraId="4BF9D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85C542"/>
        </w:tc>
        <w:tc>
          <w:tcPr>
            <w:tcW w:w="14033" w:type="dxa"/>
            <w:gridSpan w:val="6"/>
            <w:vAlign w:val="center"/>
          </w:tcPr>
          <w:p w14:paraId="744C1B39">
            <w:pPr>
              <w:pStyle w:val="13"/>
            </w:pPr>
            <w:r>
              <w:t>为保证学校正常运转和改善办学条件。</w:t>
            </w:r>
          </w:p>
        </w:tc>
      </w:tr>
      <w:tr w14:paraId="5F25A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744A1">
            <w:pPr>
              <w:pStyle w:val="11"/>
            </w:pPr>
            <w:r>
              <w:t>资金支出计划（%）</w:t>
            </w:r>
          </w:p>
        </w:tc>
        <w:tc>
          <w:tcPr>
            <w:tcW w:w="5103" w:type="dxa"/>
            <w:gridSpan w:val="2"/>
            <w:vAlign w:val="center"/>
          </w:tcPr>
          <w:p w14:paraId="774D03C0">
            <w:pPr>
              <w:pStyle w:val="11"/>
            </w:pPr>
            <w:r>
              <w:t>3月底</w:t>
            </w:r>
          </w:p>
        </w:tc>
        <w:tc>
          <w:tcPr>
            <w:tcW w:w="2835" w:type="dxa"/>
            <w:vAlign w:val="center"/>
          </w:tcPr>
          <w:p w14:paraId="2DA5B0C2">
            <w:pPr>
              <w:pStyle w:val="11"/>
            </w:pPr>
            <w:r>
              <w:t>6月底</w:t>
            </w:r>
          </w:p>
        </w:tc>
        <w:tc>
          <w:tcPr>
            <w:tcW w:w="2551" w:type="dxa"/>
            <w:vAlign w:val="center"/>
          </w:tcPr>
          <w:p w14:paraId="7EAFBA7E">
            <w:pPr>
              <w:pStyle w:val="11"/>
            </w:pPr>
            <w:r>
              <w:t>10月底</w:t>
            </w:r>
          </w:p>
        </w:tc>
        <w:tc>
          <w:tcPr>
            <w:tcW w:w="3544" w:type="dxa"/>
            <w:gridSpan w:val="2"/>
            <w:vAlign w:val="center"/>
          </w:tcPr>
          <w:p w14:paraId="4A2DD31E">
            <w:pPr>
              <w:pStyle w:val="11"/>
            </w:pPr>
            <w:r>
              <w:t>12月底</w:t>
            </w:r>
          </w:p>
        </w:tc>
      </w:tr>
      <w:tr w14:paraId="457E1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DCD041"/>
        </w:tc>
        <w:tc>
          <w:tcPr>
            <w:tcW w:w="5103" w:type="dxa"/>
            <w:gridSpan w:val="2"/>
            <w:vAlign w:val="center"/>
          </w:tcPr>
          <w:p w14:paraId="21A1F063">
            <w:pPr>
              <w:pStyle w:val="12"/>
            </w:pPr>
            <w:r>
              <w:t>25%</w:t>
            </w:r>
          </w:p>
        </w:tc>
        <w:tc>
          <w:tcPr>
            <w:tcW w:w="2835" w:type="dxa"/>
            <w:vAlign w:val="center"/>
          </w:tcPr>
          <w:p w14:paraId="7BB4E665">
            <w:pPr>
              <w:pStyle w:val="12"/>
            </w:pPr>
            <w:r>
              <w:t>50%</w:t>
            </w:r>
          </w:p>
        </w:tc>
        <w:tc>
          <w:tcPr>
            <w:tcW w:w="2551" w:type="dxa"/>
            <w:vAlign w:val="center"/>
          </w:tcPr>
          <w:p w14:paraId="50BB4DD3">
            <w:pPr>
              <w:pStyle w:val="12"/>
            </w:pPr>
            <w:r>
              <w:t>75%</w:t>
            </w:r>
          </w:p>
        </w:tc>
        <w:tc>
          <w:tcPr>
            <w:tcW w:w="3544" w:type="dxa"/>
            <w:gridSpan w:val="2"/>
            <w:vAlign w:val="center"/>
          </w:tcPr>
          <w:p w14:paraId="2B6B9B1F">
            <w:pPr>
              <w:pStyle w:val="12"/>
            </w:pPr>
            <w:r>
              <w:t>100%</w:t>
            </w:r>
          </w:p>
        </w:tc>
      </w:tr>
      <w:tr w14:paraId="0652A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BE8EF">
            <w:pPr>
              <w:pStyle w:val="11"/>
            </w:pPr>
            <w:r>
              <w:t>绩效目标</w:t>
            </w:r>
          </w:p>
        </w:tc>
        <w:tc>
          <w:tcPr>
            <w:tcW w:w="14033" w:type="dxa"/>
            <w:gridSpan w:val="6"/>
            <w:vAlign w:val="center"/>
          </w:tcPr>
          <w:p w14:paraId="06D215CB">
            <w:pPr>
              <w:pStyle w:val="13"/>
            </w:pPr>
            <w:r>
              <w:t>1.为保证学校正常运转和改善办学条件。</w:t>
            </w:r>
          </w:p>
          <w:p w14:paraId="032E553A">
            <w:pPr>
              <w:pStyle w:val="13"/>
            </w:pPr>
            <w:r>
              <w:t>2.按拨款序时进度完成经费拨付和支出。</w:t>
            </w:r>
          </w:p>
        </w:tc>
      </w:tr>
    </w:tbl>
    <w:p w14:paraId="7171D5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2B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9AA16">
            <w:pPr>
              <w:pStyle w:val="11"/>
            </w:pPr>
            <w:r>
              <w:t>一级指标</w:t>
            </w:r>
          </w:p>
        </w:tc>
        <w:tc>
          <w:tcPr>
            <w:tcW w:w="2268" w:type="dxa"/>
            <w:vAlign w:val="center"/>
          </w:tcPr>
          <w:p w14:paraId="4D27626B">
            <w:pPr>
              <w:pStyle w:val="11"/>
            </w:pPr>
            <w:r>
              <w:t>二级指标</w:t>
            </w:r>
          </w:p>
        </w:tc>
        <w:tc>
          <w:tcPr>
            <w:tcW w:w="2835" w:type="dxa"/>
            <w:vAlign w:val="center"/>
          </w:tcPr>
          <w:p w14:paraId="3B7920A4">
            <w:pPr>
              <w:pStyle w:val="11"/>
            </w:pPr>
            <w:r>
              <w:t>三级指标</w:t>
            </w:r>
          </w:p>
        </w:tc>
        <w:tc>
          <w:tcPr>
            <w:tcW w:w="5386" w:type="dxa"/>
            <w:vAlign w:val="center"/>
          </w:tcPr>
          <w:p w14:paraId="1105E12F">
            <w:pPr>
              <w:pStyle w:val="11"/>
            </w:pPr>
            <w:r>
              <w:t>绩效指标描述</w:t>
            </w:r>
          </w:p>
        </w:tc>
        <w:tc>
          <w:tcPr>
            <w:tcW w:w="2268" w:type="dxa"/>
            <w:vAlign w:val="center"/>
          </w:tcPr>
          <w:p w14:paraId="71B54F95">
            <w:pPr>
              <w:pStyle w:val="11"/>
            </w:pPr>
            <w:r>
              <w:t>指标值</w:t>
            </w:r>
          </w:p>
        </w:tc>
        <w:tc>
          <w:tcPr>
            <w:tcW w:w="1276" w:type="dxa"/>
            <w:vAlign w:val="center"/>
          </w:tcPr>
          <w:p w14:paraId="62FBAA5F">
            <w:pPr>
              <w:pStyle w:val="11"/>
            </w:pPr>
            <w:r>
              <w:t>指标值确定依据</w:t>
            </w:r>
          </w:p>
        </w:tc>
      </w:tr>
      <w:tr w14:paraId="6541F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E6D16">
            <w:pPr>
              <w:pStyle w:val="12"/>
            </w:pPr>
            <w:r>
              <w:t>产出指标</w:t>
            </w:r>
          </w:p>
        </w:tc>
        <w:tc>
          <w:tcPr>
            <w:tcW w:w="2268" w:type="dxa"/>
            <w:vAlign w:val="center"/>
          </w:tcPr>
          <w:p w14:paraId="06FFCA5B">
            <w:pPr>
              <w:pStyle w:val="13"/>
            </w:pPr>
            <w:r>
              <w:t>数量指标</w:t>
            </w:r>
          </w:p>
        </w:tc>
        <w:tc>
          <w:tcPr>
            <w:tcW w:w="2835" w:type="dxa"/>
            <w:vAlign w:val="center"/>
          </w:tcPr>
          <w:p w14:paraId="453865EC">
            <w:pPr>
              <w:pStyle w:val="13"/>
            </w:pPr>
            <w:r>
              <w:t>就读学生数</w:t>
            </w:r>
          </w:p>
        </w:tc>
        <w:tc>
          <w:tcPr>
            <w:tcW w:w="5386" w:type="dxa"/>
            <w:vAlign w:val="center"/>
          </w:tcPr>
          <w:p w14:paraId="4A76A480">
            <w:pPr>
              <w:pStyle w:val="13"/>
            </w:pPr>
            <w:r>
              <w:t>辐射区域内适龄学生人数</w:t>
            </w:r>
          </w:p>
        </w:tc>
        <w:tc>
          <w:tcPr>
            <w:tcW w:w="2268" w:type="dxa"/>
            <w:vAlign w:val="center"/>
          </w:tcPr>
          <w:p w14:paraId="2B3388CD">
            <w:pPr>
              <w:pStyle w:val="13"/>
            </w:pPr>
            <w:r>
              <w:t>121人</w:t>
            </w:r>
          </w:p>
        </w:tc>
        <w:tc>
          <w:tcPr>
            <w:tcW w:w="1276" w:type="dxa"/>
            <w:vAlign w:val="center"/>
          </w:tcPr>
          <w:p w14:paraId="298756B8">
            <w:pPr>
              <w:pStyle w:val="13"/>
            </w:pPr>
            <w:r>
              <w:t>城乡义务教育公用经费管理办法</w:t>
            </w:r>
          </w:p>
        </w:tc>
      </w:tr>
      <w:tr w14:paraId="2082B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3B309"/>
        </w:tc>
        <w:tc>
          <w:tcPr>
            <w:tcW w:w="2268" w:type="dxa"/>
            <w:vAlign w:val="center"/>
          </w:tcPr>
          <w:p w14:paraId="3376AEB5">
            <w:pPr>
              <w:pStyle w:val="13"/>
            </w:pPr>
            <w:r>
              <w:t>质量指标</w:t>
            </w:r>
          </w:p>
        </w:tc>
        <w:tc>
          <w:tcPr>
            <w:tcW w:w="2835" w:type="dxa"/>
            <w:vAlign w:val="center"/>
          </w:tcPr>
          <w:p w14:paraId="68424464">
            <w:pPr>
              <w:pStyle w:val="13"/>
            </w:pPr>
            <w:r>
              <w:t>预算执行率</w:t>
            </w:r>
          </w:p>
        </w:tc>
        <w:tc>
          <w:tcPr>
            <w:tcW w:w="5386" w:type="dxa"/>
            <w:vAlign w:val="center"/>
          </w:tcPr>
          <w:p w14:paraId="5CE10BCD">
            <w:pPr>
              <w:pStyle w:val="13"/>
            </w:pPr>
            <w:r>
              <w:t>预算执行率≥98%</w:t>
            </w:r>
          </w:p>
        </w:tc>
        <w:tc>
          <w:tcPr>
            <w:tcW w:w="2268" w:type="dxa"/>
            <w:vAlign w:val="center"/>
          </w:tcPr>
          <w:p w14:paraId="45D154B6">
            <w:pPr>
              <w:pStyle w:val="13"/>
            </w:pPr>
            <w:r>
              <w:t>≥98%</w:t>
            </w:r>
          </w:p>
        </w:tc>
        <w:tc>
          <w:tcPr>
            <w:tcW w:w="1276" w:type="dxa"/>
            <w:vAlign w:val="center"/>
          </w:tcPr>
          <w:p w14:paraId="2C104DA9">
            <w:pPr>
              <w:pStyle w:val="13"/>
            </w:pPr>
            <w:r>
              <w:t>城乡义务教育公用经费管理办法</w:t>
            </w:r>
          </w:p>
        </w:tc>
      </w:tr>
      <w:tr w14:paraId="403F6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9221E"/>
        </w:tc>
        <w:tc>
          <w:tcPr>
            <w:tcW w:w="2268" w:type="dxa"/>
            <w:vAlign w:val="center"/>
          </w:tcPr>
          <w:p w14:paraId="12E1B22B">
            <w:pPr>
              <w:pStyle w:val="13"/>
            </w:pPr>
            <w:r>
              <w:t>时效指标</w:t>
            </w:r>
          </w:p>
        </w:tc>
        <w:tc>
          <w:tcPr>
            <w:tcW w:w="2835" w:type="dxa"/>
            <w:vAlign w:val="center"/>
          </w:tcPr>
          <w:p w14:paraId="71AFADF7">
            <w:pPr>
              <w:pStyle w:val="13"/>
            </w:pPr>
            <w:r>
              <w:t>义教经费支付完成率</w:t>
            </w:r>
          </w:p>
        </w:tc>
        <w:tc>
          <w:tcPr>
            <w:tcW w:w="5386" w:type="dxa"/>
            <w:vAlign w:val="center"/>
          </w:tcPr>
          <w:p w14:paraId="107894E6">
            <w:pPr>
              <w:pStyle w:val="13"/>
            </w:pPr>
            <w:r>
              <w:t>按照序时进度完成资金支付</w:t>
            </w:r>
          </w:p>
        </w:tc>
        <w:tc>
          <w:tcPr>
            <w:tcW w:w="2268" w:type="dxa"/>
            <w:vAlign w:val="center"/>
          </w:tcPr>
          <w:p w14:paraId="632EC454">
            <w:pPr>
              <w:pStyle w:val="13"/>
            </w:pPr>
            <w:r>
              <w:t>≥100%</w:t>
            </w:r>
          </w:p>
        </w:tc>
        <w:tc>
          <w:tcPr>
            <w:tcW w:w="1276" w:type="dxa"/>
            <w:vAlign w:val="center"/>
          </w:tcPr>
          <w:p w14:paraId="356CB0AB">
            <w:pPr>
              <w:pStyle w:val="13"/>
            </w:pPr>
            <w:r>
              <w:t>城乡义务教育公用经费管理办法</w:t>
            </w:r>
          </w:p>
        </w:tc>
      </w:tr>
      <w:tr w14:paraId="212AA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C5125"/>
        </w:tc>
        <w:tc>
          <w:tcPr>
            <w:tcW w:w="2268" w:type="dxa"/>
            <w:vAlign w:val="center"/>
          </w:tcPr>
          <w:p w14:paraId="458CF2BE">
            <w:pPr>
              <w:pStyle w:val="13"/>
            </w:pPr>
            <w:r>
              <w:t>成本指标</w:t>
            </w:r>
          </w:p>
        </w:tc>
        <w:tc>
          <w:tcPr>
            <w:tcW w:w="2835" w:type="dxa"/>
            <w:vAlign w:val="center"/>
          </w:tcPr>
          <w:p w14:paraId="0A93E0D1">
            <w:pPr>
              <w:pStyle w:val="13"/>
            </w:pPr>
            <w:r>
              <w:t>生均拨款标准</w:t>
            </w:r>
          </w:p>
        </w:tc>
        <w:tc>
          <w:tcPr>
            <w:tcW w:w="5386" w:type="dxa"/>
            <w:vAlign w:val="center"/>
          </w:tcPr>
          <w:p w14:paraId="29E546FC">
            <w:pPr>
              <w:pStyle w:val="13"/>
            </w:pPr>
            <w:r>
              <w:t>小学生公用经费生均小学720元，取暖费120元/生/年，随班就读学生补助7000元/生</w:t>
            </w:r>
          </w:p>
        </w:tc>
        <w:tc>
          <w:tcPr>
            <w:tcW w:w="2268" w:type="dxa"/>
            <w:vAlign w:val="center"/>
          </w:tcPr>
          <w:p w14:paraId="14FAD633">
            <w:pPr>
              <w:pStyle w:val="13"/>
            </w:pPr>
            <w:r>
              <w:t>≥840元</w:t>
            </w:r>
          </w:p>
        </w:tc>
        <w:tc>
          <w:tcPr>
            <w:tcW w:w="1276" w:type="dxa"/>
            <w:vAlign w:val="center"/>
          </w:tcPr>
          <w:p w14:paraId="33A54521">
            <w:pPr>
              <w:pStyle w:val="13"/>
            </w:pPr>
            <w:r>
              <w:t>城乡义务教育公用经费管理办法</w:t>
            </w:r>
          </w:p>
        </w:tc>
      </w:tr>
      <w:tr w14:paraId="250F9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C6FD46">
            <w:pPr>
              <w:pStyle w:val="12"/>
            </w:pPr>
            <w:r>
              <w:t>效益指标</w:t>
            </w:r>
          </w:p>
        </w:tc>
        <w:tc>
          <w:tcPr>
            <w:tcW w:w="2268" w:type="dxa"/>
            <w:vAlign w:val="center"/>
          </w:tcPr>
          <w:p w14:paraId="2323BFFB">
            <w:pPr>
              <w:pStyle w:val="13"/>
            </w:pPr>
            <w:r>
              <w:t>社会效益指标</w:t>
            </w:r>
          </w:p>
        </w:tc>
        <w:tc>
          <w:tcPr>
            <w:tcW w:w="2835" w:type="dxa"/>
            <w:vAlign w:val="center"/>
          </w:tcPr>
          <w:p w14:paraId="4B35BDF4">
            <w:pPr>
              <w:pStyle w:val="13"/>
            </w:pPr>
            <w:r>
              <w:t>学校运转得到提高</w:t>
            </w:r>
          </w:p>
        </w:tc>
        <w:tc>
          <w:tcPr>
            <w:tcW w:w="5386" w:type="dxa"/>
            <w:vAlign w:val="center"/>
          </w:tcPr>
          <w:p w14:paraId="7F986126">
            <w:pPr>
              <w:pStyle w:val="13"/>
            </w:pPr>
            <w:r>
              <w:t>学生受教育年限</w:t>
            </w:r>
          </w:p>
        </w:tc>
        <w:tc>
          <w:tcPr>
            <w:tcW w:w="2268" w:type="dxa"/>
            <w:vAlign w:val="center"/>
          </w:tcPr>
          <w:p w14:paraId="7F7C980F">
            <w:pPr>
              <w:pStyle w:val="13"/>
            </w:pPr>
            <w:r>
              <w:t>6年</w:t>
            </w:r>
          </w:p>
        </w:tc>
        <w:tc>
          <w:tcPr>
            <w:tcW w:w="1276" w:type="dxa"/>
            <w:vAlign w:val="center"/>
          </w:tcPr>
          <w:p w14:paraId="7D796AE6">
            <w:pPr>
              <w:pStyle w:val="13"/>
            </w:pPr>
            <w:r>
              <w:t>城乡义务教育公用经费管理办法</w:t>
            </w:r>
          </w:p>
        </w:tc>
      </w:tr>
      <w:tr w14:paraId="22F7C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090D17">
            <w:pPr>
              <w:pStyle w:val="12"/>
            </w:pPr>
            <w:r>
              <w:t>满意度指标</w:t>
            </w:r>
          </w:p>
        </w:tc>
        <w:tc>
          <w:tcPr>
            <w:tcW w:w="2268" w:type="dxa"/>
            <w:vAlign w:val="center"/>
          </w:tcPr>
          <w:p w14:paraId="13094ECC">
            <w:pPr>
              <w:pStyle w:val="13"/>
            </w:pPr>
            <w:r>
              <w:t>服务对象满意度指标</w:t>
            </w:r>
          </w:p>
        </w:tc>
        <w:tc>
          <w:tcPr>
            <w:tcW w:w="2835" w:type="dxa"/>
            <w:vAlign w:val="center"/>
          </w:tcPr>
          <w:p w14:paraId="72C9529F">
            <w:pPr>
              <w:pStyle w:val="13"/>
            </w:pPr>
            <w:r>
              <w:t>服务对象满意度</w:t>
            </w:r>
          </w:p>
        </w:tc>
        <w:tc>
          <w:tcPr>
            <w:tcW w:w="5386" w:type="dxa"/>
            <w:vAlign w:val="center"/>
          </w:tcPr>
          <w:p w14:paraId="6B0A08C8">
            <w:pPr>
              <w:pStyle w:val="13"/>
            </w:pPr>
            <w:r>
              <w:t>学校老师和学生满意度</w:t>
            </w:r>
          </w:p>
        </w:tc>
        <w:tc>
          <w:tcPr>
            <w:tcW w:w="2268" w:type="dxa"/>
            <w:vAlign w:val="center"/>
          </w:tcPr>
          <w:p w14:paraId="0F0DFF4A">
            <w:pPr>
              <w:pStyle w:val="13"/>
            </w:pPr>
            <w:r>
              <w:t>≥95%</w:t>
            </w:r>
          </w:p>
        </w:tc>
        <w:tc>
          <w:tcPr>
            <w:tcW w:w="1276" w:type="dxa"/>
            <w:vAlign w:val="center"/>
          </w:tcPr>
          <w:p w14:paraId="14B1F9E6">
            <w:pPr>
              <w:pStyle w:val="13"/>
            </w:pPr>
            <w:r>
              <w:t>城乡义务教育公用经费管理办法</w:t>
            </w:r>
          </w:p>
        </w:tc>
      </w:tr>
    </w:tbl>
    <w:p w14:paraId="6F1B0E03">
      <w:pPr>
        <w:sectPr>
          <w:pgSz w:w="16840" w:h="11900" w:orient="landscape"/>
          <w:pgMar w:top="1361" w:right="1020" w:bottom="1134" w:left="1020" w:header="720" w:footer="720" w:gutter="0"/>
          <w:cols w:space="720" w:num="1"/>
        </w:sectPr>
      </w:pPr>
    </w:p>
    <w:p w14:paraId="5CBC221E">
      <w:pPr>
        <w:spacing w:before="0" w:after="0"/>
        <w:ind w:firstLine="560"/>
        <w:jc w:val="left"/>
        <w:outlineLvl w:val="9"/>
      </w:pPr>
      <w:r>
        <w:rPr>
          <w:rFonts w:ascii="方正仿宋_GBK" w:hAnsi="方正仿宋_GBK" w:eastAsia="方正仿宋_GBK" w:cs="方正仿宋_GBK"/>
          <w:b/>
          <w:color w:val="000000"/>
          <w:sz w:val="28"/>
        </w:rPr>
        <w:t>10、冀财教[2024]141号/省级/2025年义教补助经费/大张家庄中心小学公用经费绩效目标表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28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8D293">
            <w:pPr>
              <w:pStyle w:val="14"/>
            </w:pPr>
            <w:r>
              <w:t>单位：万元</w:t>
            </w:r>
          </w:p>
        </w:tc>
      </w:tr>
      <w:tr w14:paraId="4EF4A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D2A41B">
            <w:pPr>
              <w:pStyle w:val="11"/>
            </w:pPr>
            <w:r>
              <w:t>项目编码</w:t>
            </w:r>
          </w:p>
        </w:tc>
        <w:tc>
          <w:tcPr>
            <w:tcW w:w="5103" w:type="dxa"/>
            <w:gridSpan w:val="2"/>
            <w:vAlign w:val="center"/>
          </w:tcPr>
          <w:p w14:paraId="67F98A11">
            <w:pPr>
              <w:pStyle w:val="13"/>
            </w:pPr>
            <w:r>
              <w:t>13052525P00000410193Y</w:t>
            </w:r>
          </w:p>
        </w:tc>
        <w:tc>
          <w:tcPr>
            <w:tcW w:w="2835" w:type="dxa"/>
            <w:vAlign w:val="center"/>
          </w:tcPr>
          <w:p w14:paraId="00290865">
            <w:pPr>
              <w:pStyle w:val="11"/>
            </w:pPr>
            <w:r>
              <w:t>项目名称</w:t>
            </w:r>
          </w:p>
        </w:tc>
        <w:tc>
          <w:tcPr>
            <w:tcW w:w="6095" w:type="dxa"/>
            <w:gridSpan w:val="3"/>
            <w:vAlign w:val="center"/>
          </w:tcPr>
          <w:p w14:paraId="23BECDD8">
            <w:pPr>
              <w:pStyle w:val="13"/>
            </w:pPr>
            <w:r>
              <w:t>冀财教[2024]141号/省级/2025年义教补助经费/大张家庄中心小学公用经费</w:t>
            </w:r>
          </w:p>
        </w:tc>
      </w:tr>
      <w:tr w14:paraId="200B5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75255">
            <w:pPr>
              <w:pStyle w:val="11"/>
            </w:pPr>
            <w:r>
              <w:t>预算规模及资金用途</w:t>
            </w:r>
          </w:p>
        </w:tc>
        <w:tc>
          <w:tcPr>
            <w:tcW w:w="2268" w:type="dxa"/>
            <w:vAlign w:val="center"/>
          </w:tcPr>
          <w:p w14:paraId="333384B3">
            <w:pPr>
              <w:pStyle w:val="11"/>
            </w:pPr>
            <w:r>
              <w:t>预算数</w:t>
            </w:r>
          </w:p>
        </w:tc>
        <w:tc>
          <w:tcPr>
            <w:tcW w:w="2835" w:type="dxa"/>
            <w:vAlign w:val="center"/>
          </w:tcPr>
          <w:p w14:paraId="397822B3">
            <w:pPr>
              <w:pStyle w:val="13"/>
            </w:pPr>
            <w:r>
              <w:t>23.84</w:t>
            </w:r>
          </w:p>
        </w:tc>
        <w:tc>
          <w:tcPr>
            <w:tcW w:w="2835" w:type="dxa"/>
            <w:vAlign w:val="center"/>
          </w:tcPr>
          <w:p w14:paraId="670DB8B3">
            <w:pPr>
              <w:pStyle w:val="11"/>
            </w:pPr>
            <w:r>
              <w:t>其中：财政    资金</w:t>
            </w:r>
          </w:p>
        </w:tc>
        <w:tc>
          <w:tcPr>
            <w:tcW w:w="2551" w:type="dxa"/>
            <w:vAlign w:val="center"/>
          </w:tcPr>
          <w:p w14:paraId="6E44145D">
            <w:pPr>
              <w:pStyle w:val="13"/>
            </w:pPr>
            <w:r>
              <w:t>23.84</w:t>
            </w:r>
          </w:p>
        </w:tc>
        <w:tc>
          <w:tcPr>
            <w:tcW w:w="2268" w:type="dxa"/>
            <w:vAlign w:val="center"/>
          </w:tcPr>
          <w:p w14:paraId="6A40B341">
            <w:pPr>
              <w:pStyle w:val="11"/>
            </w:pPr>
            <w:r>
              <w:t>其他资金</w:t>
            </w:r>
          </w:p>
        </w:tc>
        <w:tc>
          <w:tcPr>
            <w:tcW w:w="1276" w:type="dxa"/>
            <w:vAlign w:val="center"/>
          </w:tcPr>
          <w:p w14:paraId="75B4D56E">
            <w:pPr>
              <w:pStyle w:val="13"/>
            </w:pPr>
            <w:r>
              <w:t xml:space="preserve"> </w:t>
            </w:r>
          </w:p>
        </w:tc>
      </w:tr>
      <w:tr w14:paraId="0FCE7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43C5B"/>
        </w:tc>
        <w:tc>
          <w:tcPr>
            <w:tcW w:w="14033" w:type="dxa"/>
            <w:gridSpan w:val="6"/>
            <w:vAlign w:val="center"/>
          </w:tcPr>
          <w:p w14:paraId="23FACC48">
            <w:pPr>
              <w:pStyle w:val="13"/>
            </w:pPr>
            <w:r>
              <w:t>为保证学校正常运转和改善办学条件。</w:t>
            </w:r>
          </w:p>
        </w:tc>
      </w:tr>
      <w:tr w14:paraId="39EE1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45BE3">
            <w:pPr>
              <w:pStyle w:val="11"/>
            </w:pPr>
            <w:r>
              <w:t>资金支出计划（%）</w:t>
            </w:r>
          </w:p>
        </w:tc>
        <w:tc>
          <w:tcPr>
            <w:tcW w:w="5103" w:type="dxa"/>
            <w:gridSpan w:val="2"/>
            <w:vAlign w:val="center"/>
          </w:tcPr>
          <w:p w14:paraId="539393EB">
            <w:pPr>
              <w:pStyle w:val="11"/>
            </w:pPr>
            <w:r>
              <w:t>3月底</w:t>
            </w:r>
          </w:p>
        </w:tc>
        <w:tc>
          <w:tcPr>
            <w:tcW w:w="2835" w:type="dxa"/>
            <w:vAlign w:val="center"/>
          </w:tcPr>
          <w:p w14:paraId="767DEB86">
            <w:pPr>
              <w:pStyle w:val="11"/>
            </w:pPr>
            <w:r>
              <w:t>6月底</w:t>
            </w:r>
          </w:p>
        </w:tc>
        <w:tc>
          <w:tcPr>
            <w:tcW w:w="2551" w:type="dxa"/>
            <w:vAlign w:val="center"/>
          </w:tcPr>
          <w:p w14:paraId="2582C085">
            <w:pPr>
              <w:pStyle w:val="11"/>
            </w:pPr>
            <w:r>
              <w:t>10月底</w:t>
            </w:r>
          </w:p>
        </w:tc>
        <w:tc>
          <w:tcPr>
            <w:tcW w:w="3544" w:type="dxa"/>
            <w:gridSpan w:val="2"/>
            <w:vAlign w:val="center"/>
          </w:tcPr>
          <w:p w14:paraId="3222A7B6">
            <w:pPr>
              <w:pStyle w:val="11"/>
            </w:pPr>
            <w:r>
              <w:t>12月底</w:t>
            </w:r>
          </w:p>
        </w:tc>
      </w:tr>
      <w:tr w14:paraId="22D7C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D408B0"/>
        </w:tc>
        <w:tc>
          <w:tcPr>
            <w:tcW w:w="5103" w:type="dxa"/>
            <w:gridSpan w:val="2"/>
            <w:vAlign w:val="center"/>
          </w:tcPr>
          <w:p w14:paraId="58642BE3">
            <w:pPr>
              <w:pStyle w:val="12"/>
            </w:pPr>
            <w:r>
              <w:t>25%</w:t>
            </w:r>
          </w:p>
        </w:tc>
        <w:tc>
          <w:tcPr>
            <w:tcW w:w="2835" w:type="dxa"/>
            <w:vAlign w:val="center"/>
          </w:tcPr>
          <w:p w14:paraId="1AAEC77E">
            <w:pPr>
              <w:pStyle w:val="12"/>
            </w:pPr>
            <w:r>
              <w:t>50%</w:t>
            </w:r>
          </w:p>
        </w:tc>
        <w:tc>
          <w:tcPr>
            <w:tcW w:w="2551" w:type="dxa"/>
            <w:vAlign w:val="center"/>
          </w:tcPr>
          <w:p w14:paraId="113DA036">
            <w:pPr>
              <w:pStyle w:val="12"/>
            </w:pPr>
            <w:r>
              <w:t>75%</w:t>
            </w:r>
          </w:p>
        </w:tc>
        <w:tc>
          <w:tcPr>
            <w:tcW w:w="3544" w:type="dxa"/>
            <w:gridSpan w:val="2"/>
            <w:vAlign w:val="center"/>
          </w:tcPr>
          <w:p w14:paraId="6A51FBC3">
            <w:pPr>
              <w:pStyle w:val="12"/>
            </w:pPr>
            <w:r>
              <w:t>100%</w:t>
            </w:r>
          </w:p>
        </w:tc>
      </w:tr>
      <w:tr w14:paraId="2F0EE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B55FC">
            <w:pPr>
              <w:pStyle w:val="11"/>
            </w:pPr>
            <w:r>
              <w:t>绩效目标</w:t>
            </w:r>
          </w:p>
        </w:tc>
        <w:tc>
          <w:tcPr>
            <w:tcW w:w="14033" w:type="dxa"/>
            <w:gridSpan w:val="6"/>
            <w:vAlign w:val="center"/>
          </w:tcPr>
          <w:p w14:paraId="36CDDF80">
            <w:pPr>
              <w:pStyle w:val="13"/>
            </w:pPr>
            <w:r>
              <w:t>1.为保证学校正常运转和改善办学条件。</w:t>
            </w:r>
          </w:p>
          <w:p w14:paraId="3A8A614B">
            <w:pPr>
              <w:pStyle w:val="13"/>
            </w:pPr>
            <w:r>
              <w:t>2.按拨款序时进度完成经费拨付和支出。</w:t>
            </w:r>
          </w:p>
        </w:tc>
      </w:tr>
    </w:tbl>
    <w:p w14:paraId="29AA5C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C6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CC085">
            <w:pPr>
              <w:pStyle w:val="11"/>
            </w:pPr>
            <w:r>
              <w:t>一级指标</w:t>
            </w:r>
          </w:p>
        </w:tc>
        <w:tc>
          <w:tcPr>
            <w:tcW w:w="2268" w:type="dxa"/>
            <w:vAlign w:val="center"/>
          </w:tcPr>
          <w:p w14:paraId="4D46DD8D">
            <w:pPr>
              <w:pStyle w:val="11"/>
            </w:pPr>
            <w:r>
              <w:t>二级指标</w:t>
            </w:r>
          </w:p>
        </w:tc>
        <w:tc>
          <w:tcPr>
            <w:tcW w:w="2835" w:type="dxa"/>
            <w:vAlign w:val="center"/>
          </w:tcPr>
          <w:p w14:paraId="74698455">
            <w:pPr>
              <w:pStyle w:val="11"/>
            </w:pPr>
            <w:r>
              <w:t>三级指标</w:t>
            </w:r>
          </w:p>
        </w:tc>
        <w:tc>
          <w:tcPr>
            <w:tcW w:w="5386" w:type="dxa"/>
            <w:vAlign w:val="center"/>
          </w:tcPr>
          <w:p w14:paraId="34AE09FB">
            <w:pPr>
              <w:pStyle w:val="11"/>
            </w:pPr>
            <w:r>
              <w:t>绩效指标描述</w:t>
            </w:r>
          </w:p>
        </w:tc>
        <w:tc>
          <w:tcPr>
            <w:tcW w:w="2268" w:type="dxa"/>
            <w:vAlign w:val="center"/>
          </w:tcPr>
          <w:p w14:paraId="0C5B4702">
            <w:pPr>
              <w:pStyle w:val="11"/>
            </w:pPr>
            <w:r>
              <w:t>指标值</w:t>
            </w:r>
          </w:p>
        </w:tc>
        <w:tc>
          <w:tcPr>
            <w:tcW w:w="1276" w:type="dxa"/>
            <w:vAlign w:val="center"/>
          </w:tcPr>
          <w:p w14:paraId="1EA6FDBB">
            <w:pPr>
              <w:pStyle w:val="11"/>
            </w:pPr>
            <w:r>
              <w:t>指标值确定依据</w:t>
            </w:r>
          </w:p>
        </w:tc>
      </w:tr>
      <w:tr w14:paraId="2FCD0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D3B90">
            <w:pPr>
              <w:pStyle w:val="12"/>
            </w:pPr>
            <w:r>
              <w:t>产出指标</w:t>
            </w:r>
          </w:p>
        </w:tc>
        <w:tc>
          <w:tcPr>
            <w:tcW w:w="2268" w:type="dxa"/>
            <w:vAlign w:val="center"/>
          </w:tcPr>
          <w:p w14:paraId="7EE829A0">
            <w:pPr>
              <w:pStyle w:val="13"/>
            </w:pPr>
            <w:r>
              <w:t>数量指标</w:t>
            </w:r>
          </w:p>
        </w:tc>
        <w:tc>
          <w:tcPr>
            <w:tcW w:w="2835" w:type="dxa"/>
            <w:vAlign w:val="center"/>
          </w:tcPr>
          <w:p w14:paraId="43A4E864">
            <w:pPr>
              <w:pStyle w:val="13"/>
            </w:pPr>
            <w:r>
              <w:t>就读学生数</w:t>
            </w:r>
          </w:p>
        </w:tc>
        <w:tc>
          <w:tcPr>
            <w:tcW w:w="5386" w:type="dxa"/>
            <w:vAlign w:val="center"/>
          </w:tcPr>
          <w:p w14:paraId="4EE45F15">
            <w:pPr>
              <w:pStyle w:val="13"/>
            </w:pPr>
            <w:r>
              <w:t>辐射区域内适龄学生人数</w:t>
            </w:r>
          </w:p>
        </w:tc>
        <w:tc>
          <w:tcPr>
            <w:tcW w:w="2268" w:type="dxa"/>
            <w:vAlign w:val="center"/>
          </w:tcPr>
          <w:p w14:paraId="3649290A">
            <w:pPr>
              <w:pStyle w:val="13"/>
            </w:pPr>
            <w:r>
              <w:t>719人</w:t>
            </w:r>
          </w:p>
        </w:tc>
        <w:tc>
          <w:tcPr>
            <w:tcW w:w="1276" w:type="dxa"/>
            <w:vAlign w:val="center"/>
          </w:tcPr>
          <w:p w14:paraId="1D28CBAB">
            <w:pPr>
              <w:pStyle w:val="13"/>
            </w:pPr>
            <w:r>
              <w:t>城乡义务教育公用经费管理办法</w:t>
            </w:r>
          </w:p>
        </w:tc>
      </w:tr>
      <w:tr w14:paraId="6E4D8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B4452"/>
        </w:tc>
        <w:tc>
          <w:tcPr>
            <w:tcW w:w="2268" w:type="dxa"/>
            <w:vAlign w:val="center"/>
          </w:tcPr>
          <w:p w14:paraId="639F73A0">
            <w:pPr>
              <w:pStyle w:val="13"/>
            </w:pPr>
            <w:r>
              <w:t>质量指标</w:t>
            </w:r>
          </w:p>
        </w:tc>
        <w:tc>
          <w:tcPr>
            <w:tcW w:w="2835" w:type="dxa"/>
            <w:vAlign w:val="center"/>
          </w:tcPr>
          <w:p w14:paraId="420E21B2">
            <w:pPr>
              <w:pStyle w:val="13"/>
            </w:pPr>
            <w:r>
              <w:t>预算执行率</w:t>
            </w:r>
          </w:p>
        </w:tc>
        <w:tc>
          <w:tcPr>
            <w:tcW w:w="5386" w:type="dxa"/>
            <w:vAlign w:val="center"/>
          </w:tcPr>
          <w:p w14:paraId="68CC34F0">
            <w:pPr>
              <w:pStyle w:val="13"/>
            </w:pPr>
            <w:r>
              <w:t>预算执行率≥98%</w:t>
            </w:r>
          </w:p>
        </w:tc>
        <w:tc>
          <w:tcPr>
            <w:tcW w:w="2268" w:type="dxa"/>
            <w:vAlign w:val="center"/>
          </w:tcPr>
          <w:p w14:paraId="4DB3DD7F">
            <w:pPr>
              <w:pStyle w:val="13"/>
            </w:pPr>
            <w:r>
              <w:t>≥98%</w:t>
            </w:r>
          </w:p>
        </w:tc>
        <w:tc>
          <w:tcPr>
            <w:tcW w:w="1276" w:type="dxa"/>
            <w:vAlign w:val="center"/>
          </w:tcPr>
          <w:p w14:paraId="084049B6">
            <w:pPr>
              <w:pStyle w:val="13"/>
            </w:pPr>
            <w:r>
              <w:t>城乡义务教育公用经费管理办法</w:t>
            </w:r>
          </w:p>
        </w:tc>
      </w:tr>
      <w:tr w14:paraId="1B3BF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ECCC5"/>
        </w:tc>
        <w:tc>
          <w:tcPr>
            <w:tcW w:w="2268" w:type="dxa"/>
            <w:vAlign w:val="center"/>
          </w:tcPr>
          <w:p w14:paraId="7FDD4789">
            <w:pPr>
              <w:pStyle w:val="13"/>
            </w:pPr>
            <w:r>
              <w:t>时效指标</w:t>
            </w:r>
          </w:p>
        </w:tc>
        <w:tc>
          <w:tcPr>
            <w:tcW w:w="2835" w:type="dxa"/>
            <w:vAlign w:val="center"/>
          </w:tcPr>
          <w:p w14:paraId="0AFB70CF">
            <w:pPr>
              <w:pStyle w:val="13"/>
            </w:pPr>
            <w:r>
              <w:t>义教经费支付完成率</w:t>
            </w:r>
          </w:p>
        </w:tc>
        <w:tc>
          <w:tcPr>
            <w:tcW w:w="5386" w:type="dxa"/>
            <w:vAlign w:val="center"/>
          </w:tcPr>
          <w:p w14:paraId="075400FE">
            <w:pPr>
              <w:pStyle w:val="13"/>
            </w:pPr>
            <w:r>
              <w:t>按照序时进度完成资金支付</w:t>
            </w:r>
          </w:p>
        </w:tc>
        <w:tc>
          <w:tcPr>
            <w:tcW w:w="2268" w:type="dxa"/>
            <w:vAlign w:val="center"/>
          </w:tcPr>
          <w:p w14:paraId="648486AC">
            <w:pPr>
              <w:pStyle w:val="13"/>
            </w:pPr>
            <w:r>
              <w:t>≥100%</w:t>
            </w:r>
          </w:p>
        </w:tc>
        <w:tc>
          <w:tcPr>
            <w:tcW w:w="1276" w:type="dxa"/>
            <w:vAlign w:val="center"/>
          </w:tcPr>
          <w:p w14:paraId="2C615BAF">
            <w:pPr>
              <w:pStyle w:val="13"/>
            </w:pPr>
            <w:r>
              <w:t>城乡义务教育公用经费管理办法</w:t>
            </w:r>
          </w:p>
        </w:tc>
      </w:tr>
      <w:tr w14:paraId="6DFA2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F28DE"/>
        </w:tc>
        <w:tc>
          <w:tcPr>
            <w:tcW w:w="2268" w:type="dxa"/>
            <w:vAlign w:val="center"/>
          </w:tcPr>
          <w:p w14:paraId="2C2EC649">
            <w:pPr>
              <w:pStyle w:val="13"/>
            </w:pPr>
            <w:r>
              <w:t>成本指标</w:t>
            </w:r>
          </w:p>
        </w:tc>
        <w:tc>
          <w:tcPr>
            <w:tcW w:w="2835" w:type="dxa"/>
            <w:vAlign w:val="center"/>
          </w:tcPr>
          <w:p w14:paraId="347627DD">
            <w:pPr>
              <w:pStyle w:val="13"/>
            </w:pPr>
            <w:r>
              <w:t>生均拨款标准</w:t>
            </w:r>
          </w:p>
        </w:tc>
        <w:tc>
          <w:tcPr>
            <w:tcW w:w="5386" w:type="dxa"/>
            <w:vAlign w:val="center"/>
          </w:tcPr>
          <w:p w14:paraId="5073A063">
            <w:pPr>
              <w:pStyle w:val="13"/>
            </w:pPr>
            <w:r>
              <w:t>小学生公用经费生均小学720元，取暖费120元/生/年，随班就读学生补助7000元/生</w:t>
            </w:r>
          </w:p>
        </w:tc>
        <w:tc>
          <w:tcPr>
            <w:tcW w:w="2268" w:type="dxa"/>
            <w:vAlign w:val="center"/>
          </w:tcPr>
          <w:p w14:paraId="18F226A1">
            <w:pPr>
              <w:pStyle w:val="13"/>
            </w:pPr>
            <w:r>
              <w:t>≥840元</w:t>
            </w:r>
          </w:p>
        </w:tc>
        <w:tc>
          <w:tcPr>
            <w:tcW w:w="1276" w:type="dxa"/>
            <w:vAlign w:val="center"/>
          </w:tcPr>
          <w:p w14:paraId="11B1E98D">
            <w:pPr>
              <w:pStyle w:val="13"/>
            </w:pPr>
            <w:r>
              <w:t>城乡义务教育公用经费管理办法</w:t>
            </w:r>
          </w:p>
        </w:tc>
      </w:tr>
      <w:tr w14:paraId="0C4F9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AE707F">
            <w:pPr>
              <w:pStyle w:val="12"/>
            </w:pPr>
            <w:r>
              <w:t>效益指标</w:t>
            </w:r>
          </w:p>
        </w:tc>
        <w:tc>
          <w:tcPr>
            <w:tcW w:w="2268" w:type="dxa"/>
            <w:vAlign w:val="center"/>
          </w:tcPr>
          <w:p w14:paraId="142DC87C">
            <w:pPr>
              <w:pStyle w:val="13"/>
            </w:pPr>
            <w:r>
              <w:t>社会效益指标</w:t>
            </w:r>
          </w:p>
        </w:tc>
        <w:tc>
          <w:tcPr>
            <w:tcW w:w="2835" w:type="dxa"/>
            <w:vAlign w:val="center"/>
          </w:tcPr>
          <w:p w14:paraId="378EA07C">
            <w:pPr>
              <w:pStyle w:val="13"/>
            </w:pPr>
            <w:r>
              <w:t>学校运转得到提高</w:t>
            </w:r>
          </w:p>
        </w:tc>
        <w:tc>
          <w:tcPr>
            <w:tcW w:w="5386" w:type="dxa"/>
            <w:vAlign w:val="center"/>
          </w:tcPr>
          <w:p w14:paraId="3CC47405">
            <w:pPr>
              <w:pStyle w:val="13"/>
            </w:pPr>
            <w:r>
              <w:t>学生受教育年限</w:t>
            </w:r>
          </w:p>
        </w:tc>
        <w:tc>
          <w:tcPr>
            <w:tcW w:w="2268" w:type="dxa"/>
            <w:vAlign w:val="center"/>
          </w:tcPr>
          <w:p w14:paraId="17F59F0C">
            <w:pPr>
              <w:pStyle w:val="13"/>
            </w:pPr>
            <w:r>
              <w:t>6年</w:t>
            </w:r>
          </w:p>
        </w:tc>
        <w:tc>
          <w:tcPr>
            <w:tcW w:w="1276" w:type="dxa"/>
            <w:vAlign w:val="center"/>
          </w:tcPr>
          <w:p w14:paraId="213B6D2A">
            <w:pPr>
              <w:pStyle w:val="13"/>
            </w:pPr>
            <w:r>
              <w:t>城乡义务教育公用经费管理办法</w:t>
            </w:r>
          </w:p>
        </w:tc>
      </w:tr>
      <w:tr w14:paraId="65806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8FE1A8">
            <w:pPr>
              <w:pStyle w:val="12"/>
            </w:pPr>
            <w:r>
              <w:t>满意度指标</w:t>
            </w:r>
          </w:p>
        </w:tc>
        <w:tc>
          <w:tcPr>
            <w:tcW w:w="2268" w:type="dxa"/>
            <w:vAlign w:val="center"/>
          </w:tcPr>
          <w:p w14:paraId="2202472A">
            <w:pPr>
              <w:pStyle w:val="13"/>
            </w:pPr>
            <w:r>
              <w:t>服务对象满意度指标</w:t>
            </w:r>
          </w:p>
        </w:tc>
        <w:tc>
          <w:tcPr>
            <w:tcW w:w="2835" w:type="dxa"/>
            <w:vAlign w:val="center"/>
          </w:tcPr>
          <w:p w14:paraId="5913559F">
            <w:pPr>
              <w:pStyle w:val="13"/>
            </w:pPr>
            <w:r>
              <w:t>服务对象满意度</w:t>
            </w:r>
          </w:p>
        </w:tc>
        <w:tc>
          <w:tcPr>
            <w:tcW w:w="5386" w:type="dxa"/>
            <w:vAlign w:val="center"/>
          </w:tcPr>
          <w:p w14:paraId="085D161A">
            <w:pPr>
              <w:pStyle w:val="13"/>
            </w:pPr>
            <w:r>
              <w:t>学校老师和学生满意度</w:t>
            </w:r>
          </w:p>
        </w:tc>
        <w:tc>
          <w:tcPr>
            <w:tcW w:w="2268" w:type="dxa"/>
            <w:vAlign w:val="center"/>
          </w:tcPr>
          <w:p w14:paraId="63B7F8A8">
            <w:pPr>
              <w:pStyle w:val="13"/>
            </w:pPr>
            <w:r>
              <w:t>≥95%</w:t>
            </w:r>
          </w:p>
        </w:tc>
        <w:tc>
          <w:tcPr>
            <w:tcW w:w="1276" w:type="dxa"/>
            <w:vAlign w:val="center"/>
          </w:tcPr>
          <w:p w14:paraId="393A1EBB">
            <w:pPr>
              <w:pStyle w:val="13"/>
            </w:pPr>
            <w:r>
              <w:t>城乡义务教育公用经费管理办法</w:t>
            </w:r>
          </w:p>
        </w:tc>
      </w:tr>
    </w:tbl>
    <w:p w14:paraId="5354BE24">
      <w:pPr>
        <w:sectPr>
          <w:pgSz w:w="16840" w:h="11900" w:orient="landscape"/>
          <w:pgMar w:top="1361" w:right="1020" w:bottom="1134" w:left="1020" w:header="720" w:footer="720" w:gutter="0"/>
          <w:cols w:space="720" w:num="1"/>
        </w:sectPr>
      </w:pPr>
    </w:p>
    <w:p w14:paraId="33F7A734">
      <w:pPr>
        <w:spacing w:before="0" w:after="0"/>
        <w:ind w:firstLine="560"/>
        <w:jc w:val="left"/>
        <w:outlineLvl w:val="9"/>
      </w:pPr>
      <w:r>
        <w:rPr>
          <w:rFonts w:ascii="方正仿宋_GBK" w:hAnsi="方正仿宋_GBK" w:eastAsia="方正仿宋_GBK" w:cs="方正仿宋_GBK"/>
          <w:b/>
          <w:color w:val="000000"/>
          <w:sz w:val="28"/>
        </w:rPr>
        <w:t>11、冀财教[2024]141号/省级/2025年义教补助经费/黄家庄中心小学公用经费绩效目标表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75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A27D2">
            <w:pPr>
              <w:pStyle w:val="14"/>
            </w:pPr>
            <w:r>
              <w:t>单位：万元</w:t>
            </w:r>
          </w:p>
        </w:tc>
      </w:tr>
      <w:tr w14:paraId="486BA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005CB">
            <w:pPr>
              <w:pStyle w:val="11"/>
            </w:pPr>
            <w:r>
              <w:t>项目编码</w:t>
            </w:r>
          </w:p>
        </w:tc>
        <w:tc>
          <w:tcPr>
            <w:tcW w:w="5103" w:type="dxa"/>
            <w:gridSpan w:val="2"/>
            <w:vAlign w:val="center"/>
          </w:tcPr>
          <w:p w14:paraId="4B84C0E7">
            <w:pPr>
              <w:pStyle w:val="13"/>
            </w:pPr>
            <w:r>
              <w:t>13052525P00000410194J</w:t>
            </w:r>
          </w:p>
        </w:tc>
        <w:tc>
          <w:tcPr>
            <w:tcW w:w="2835" w:type="dxa"/>
            <w:vAlign w:val="center"/>
          </w:tcPr>
          <w:p w14:paraId="193D6881">
            <w:pPr>
              <w:pStyle w:val="11"/>
            </w:pPr>
            <w:r>
              <w:t>项目名称</w:t>
            </w:r>
          </w:p>
        </w:tc>
        <w:tc>
          <w:tcPr>
            <w:tcW w:w="6095" w:type="dxa"/>
            <w:gridSpan w:val="3"/>
            <w:vAlign w:val="center"/>
          </w:tcPr>
          <w:p w14:paraId="1C7D543F">
            <w:pPr>
              <w:pStyle w:val="13"/>
            </w:pPr>
            <w:r>
              <w:t>冀财教[2024]141号/省级/2025年义教补助经费/黄家庄中心小学公用经费</w:t>
            </w:r>
          </w:p>
        </w:tc>
      </w:tr>
      <w:tr w14:paraId="5C236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B80A7">
            <w:pPr>
              <w:pStyle w:val="11"/>
            </w:pPr>
            <w:r>
              <w:t>预算规模及资金用途</w:t>
            </w:r>
          </w:p>
        </w:tc>
        <w:tc>
          <w:tcPr>
            <w:tcW w:w="2268" w:type="dxa"/>
            <w:vAlign w:val="center"/>
          </w:tcPr>
          <w:p w14:paraId="627FC449">
            <w:pPr>
              <w:pStyle w:val="11"/>
            </w:pPr>
            <w:r>
              <w:t>预算数</w:t>
            </w:r>
          </w:p>
        </w:tc>
        <w:tc>
          <w:tcPr>
            <w:tcW w:w="2835" w:type="dxa"/>
            <w:vAlign w:val="center"/>
          </w:tcPr>
          <w:p w14:paraId="0A204306">
            <w:pPr>
              <w:pStyle w:val="13"/>
            </w:pPr>
            <w:r>
              <w:t>5.97</w:t>
            </w:r>
          </w:p>
        </w:tc>
        <w:tc>
          <w:tcPr>
            <w:tcW w:w="2835" w:type="dxa"/>
            <w:vAlign w:val="center"/>
          </w:tcPr>
          <w:p w14:paraId="061FB27D">
            <w:pPr>
              <w:pStyle w:val="11"/>
            </w:pPr>
            <w:r>
              <w:t>其中：财政    资金</w:t>
            </w:r>
          </w:p>
        </w:tc>
        <w:tc>
          <w:tcPr>
            <w:tcW w:w="2551" w:type="dxa"/>
            <w:vAlign w:val="center"/>
          </w:tcPr>
          <w:p w14:paraId="3B989CDD">
            <w:pPr>
              <w:pStyle w:val="13"/>
            </w:pPr>
            <w:r>
              <w:t>5.97</w:t>
            </w:r>
          </w:p>
        </w:tc>
        <w:tc>
          <w:tcPr>
            <w:tcW w:w="2268" w:type="dxa"/>
            <w:vAlign w:val="center"/>
          </w:tcPr>
          <w:p w14:paraId="6D027DBA">
            <w:pPr>
              <w:pStyle w:val="11"/>
            </w:pPr>
            <w:r>
              <w:t>其他资金</w:t>
            </w:r>
          </w:p>
        </w:tc>
        <w:tc>
          <w:tcPr>
            <w:tcW w:w="1276" w:type="dxa"/>
            <w:vAlign w:val="center"/>
          </w:tcPr>
          <w:p w14:paraId="620080E0">
            <w:pPr>
              <w:pStyle w:val="13"/>
            </w:pPr>
            <w:r>
              <w:t xml:space="preserve"> </w:t>
            </w:r>
          </w:p>
        </w:tc>
      </w:tr>
      <w:tr w14:paraId="3BBB8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A9033"/>
        </w:tc>
        <w:tc>
          <w:tcPr>
            <w:tcW w:w="14033" w:type="dxa"/>
            <w:gridSpan w:val="6"/>
            <w:vAlign w:val="center"/>
          </w:tcPr>
          <w:p w14:paraId="30A03511">
            <w:pPr>
              <w:pStyle w:val="13"/>
            </w:pPr>
            <w:r>
              <w:t>为保证学校正常运转和改善办学条件。</w:t>
            </w:r>
          </w:p>
        </w:tc>
      </w:tr>
      <w:tr w14:paraId="6775D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12C0F">
            <w:pPr>
              <w:pStyle w:val="11"/>
            </w:pPr>
            <w:r>
              <w:t>资金支出计划（%）</w:t>
            </w:r>
          </w:p>
        </w:tc>
        <w:tc>
          <w:tcPr>
            <w:tcW w:w="5103" w:type="dxa"/>
            <w:gridSpan w:val="2"/>
            <w:vAlign w:val="center"/>
          </w:tcPr>
          <w:p w14:paraId="456BE2BD">
            <w:pPr>
              <w:pStyle w:val="11"/>
            </w:pPr>
            <w:r>
              <w:t>3月底</w:t>
            </w:r>
          </w:p>
        </w:tc>
        <w:tc>
          <w:tcPr>
            <w:tcW w:w="2835" w:type="dxa"/>
            <w:vAlign w:val="center"/>
          </w:tcPr>
          <w:p w14:paraId="69FCF76F">
            <w:pPr>
              <w:pStyle w:val="11"/>
            </w:pPr>
            <w:r>
              <w:t>6月底</w:t>
            </w:r>
          </w:p>
        </w:tc>
        <w:tc>
          <w:tcPr>
            <w:tcW w:w="2551" w:type="dxa"/>
            <w:vAlign w:val="center"/>
          </w:tcPr>
          <w:p w14:paraId="3C2D5306">
            <w:pPr>
              <w:pStyle w:val="11"/>
            </w:pPr>
            <w:r>
              <w:t>10月底</w:t>
            </w:r>
          </w:p>
        </w:tc>
        <w:tc>
          <w:tcPr>
            <w:tcW w:w="3544" w:type="dxa"/>
            <w:gridSpan w:val="2"/>
            <w:vAlign w:val="center"/>
          </w:tcPr>
          <w:p w14:paraId="4122FF84">
            <w:pPr>
              <w:pStyle w:val="11"/>
            </w:pPr>
            <w:r>
              <w:t>12月底</w:t>
            </w:r>
          </w:p>
        </w:tc>
      </w:tr>
      <w:tr w14:paraId="44149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9D42EC"/>
        </w:tc>
        <w:tc>
          <w:tcPr>
            <w:tcW w:w="5103" w:type="dxa"/>
            <w:gridSpan w:val="2"/>
            <w:vAlign w:val="center"/>
          </w:tcPr>
          <w:p w14:paraId="75A83CFE">
            <w:pPr>
              <w:pStyle w:val="12"/>
            </w:pPr>
            <w:r>
              <w:t>25%</w:t>
            </w:r>
          </w:p>
        </w:tc>
        <w:tc>
          <w:tcPr>
            <w:tcW w:w="2835" w:type="dxa"/>
            <w:vAlign w:val="center"/>
          </w:tcPr>
          <w:p w14:paraId="10BD626C">
            <w:pPr>
              <w:pStyle w:val="12"/>
            </w:pPr>
            <w:r>
              <w:t>50%</w:t>
            </w:r>
          </w:p>
        </w:tc>
        <w:tc>
          <w:tcPr>
            <w:tcW w:w="2551" w:type="dxa"/>
            <w:vAlign w:val="center"/>
          </w:tcPr>
          <w:p w14:paraId="24721601">
            <w:pPr>
              <w:pStyle w:val="12"/>
            </w:pPr>
            <w:r>
              <w:t>75%</w:t>
            </w:r>
          </w:p>
        </w:tc>
        <w:tc>
          <w:tcPr>
            <w:tcW w:w="3544" w:type="dxa"/>
            <w:gridSpan w:val="2"/>
            <w:vAlign w:val="center"/>
          </w:tcPr>
          <w:p w14:paraId="5AD9BAC9">
            <w:pPr>
              <w:pStyle w:val="12"/>
            </w:pPr>
            <w:r>
              <w:t>100%</w:t>
            </w:r>
          </w:p>
        </w:tc>
      </w:tr>
      <w:tr w14:paraId="27786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D267C1">
            <w:pPr>
              <w:pStyle w:val="11"/>
            </w:pPr>
            <w:r>
              <w:t>绩效目标</w:t>
            </w:r>
          </w:p>
        </w:tc>
        <w:tc>
          <w:tcPr>
            <w:tcW w:w="14033" w:type="dxa"/>
            <w:gridSpan w:val="6"/>
            <w:vAlign w:val="center"/>
          </w:tcPr>
          <w:p w14:paraId="11093BEF">
            <w:pPr>
              <w:pStyle w:val="13"/>
            </w:pPr>
            <w:r>
              <w:t>1.按拨款序时进度完成经费拨付和支出。</w:t>
            </w:r>
          </w:p>
          <w:p w14:paraId="752CB4E1">
            <w:pPr>
              <w:pStyle w:val="13"/>
            </w:pPr>
            <w:r>
              <w:t>2.为保证学校正常运转和改善办学条件。</w:t>
            </w:r>
          </w:p>
        </w:tc>
      </w:tr>
    </w:tbl>
    <w:p w14:paraId="3C33A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C9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D5F00">
            <w:pPr>
              <w:pStyle w:val="11"/>
            </w:pPr>
            <w:r>
              <w:t>一级指标</w:t>
            </w:r>
          </w:p>
        </w:tc>
        <w:tc>
          <w:tcPr>
            <w:tcW w:w="2268" w:type="dxa"/>
            <w:vAlign w:val="center"/>
          </w:tcPr>
          <w:p w14:paraId="3B1CE839">
            <w:pPr>
              <w:pStyle w:val="11"/>
            </w:pPr>
            <w:r>
              <w:t>二级指标</w:t>
            </w:r>
          </w:p>
        </w:tc>
        <w:tc>
          <w:tcPr>
            <w:tcW w:w="2835" w:type="dxa"/>
            <w:vAlign w:val="center"/>
          </w:tcPr>
          <w:p w14:paraId="6B0C4791">
            <w:pPr>
              <w:pStyle w:val="11"/>
            </w:pPr>
            <w:r>
              <w:t>三级指标</w:t>
            </w:r>
          </w:p>
        </w:tc>
        <w:tc>
          <w:tcPr>
            <w:tcW w:w="5386" w:type="dxa"/>
            <w:vAlign w:val="center"/>
          </w:tcPr>
          <w:p w14:paraId="45BBC7DF">
            <w:pPr>
              <w:pStyle w:val="11"/>
            </w:pPr>
            <w:r>
              <w:t>绩效指标描述</w:t>
            </w:r>
          </w:p>
        </w:tc>
        <w:tc>
          <w:tcPr>
            <w:tcW w:w="2268" w:type="dxa"/>
            <w:vAlign w:val="center"/>
          </w:tcPr>
          <w:p w14:paraId="724ADEC6">
            <w:pPr>
              <w:pStyle w:val="11"/>
            </w:pPr>
            <w:r>
              <w:t>指标值</w:t>
            </w:r>
          </w:p>
        </w:tc>
        <w:tc>
          <w:tcPr>
            <w:tcW w:w="1276" w:type="dxa"/>
            <w:vAlign w:val="center"/>
          </w:tcPr>
          <w:p w14:paraId="708802CE">
            <w:pPr>
              <w:pStyle w:val="11"/>
            </w:pPr>
            <w:r>
              <w:t>指标值确定依据</w:t>
            </w:r>
          </w:p>
        </w:tc>
      </w:tr>
      <w:tr w14:paraId="0FE7C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68066">
            <w:pPr>
              <w:pStyle w:val="12"/>
            </w:pPr>
            <w:r>
              <w:t>产出指标</w:t>
            </w:r>
          </w:p>
        </w:tc>
        <w:tc>
          <w:tcPr>
            <w:tcW w:w="2268" w:type="dxa"/>
            <w:vAlign w:val="center"/>
          </w:tcPr>
          <w:p w14:paraId="13FBB8A7">
            <w:pPr>
              <w:pStyle w:val="13"/>
            </w:pPr>
            <w:r>
              <w:t>数量指标</w:t>
            </w:r>
          </w:p>
        </w:tc>
        <w:tc>
          <w:tcPr>
            <w:tcW w:w="2835" w:type="dxa"/>
            <w:vAlign w:val="center"/>
          </w:tcPr>
          <w:p w14:paraId="689567DE">
            <w:pPr>
              <w:pStyle w:val="13"/>
            </w:pPr>
            <w:r>
              <w:t>就读学生数</w:t>
            </w:r>
          </w:p>
        </w:tc>
        <w:tc>
          <w:tcPr>
            <w:tcW w:w="5386" w:type="dxa"/>
            <w:vAlign w:val="center"/>
          </w:tcPr>
          <w:p w14:paraId="46A4B9E1">
            <w:pPr>
              <w:pStyle w:val="13"/>
            </w:pPr>
            <w:r>
              <w:t>辐射区域内适龄学生人数</w:t>
            </w:r>
          </w:p>
        </w:tc>
        <w:tc>
          <w:tcPr>
            <w:tcW w:w="2268" w:type="dxa"/>
            <w:vAlign w:val="center"/>
          </w:tcPr>
          <w:p w14:paraId="6709E5DF">
            <w:pPr>
              <w:pStyle w:val="13"/>
            </w:pPr>
            <w:r>
              <w:t>188人</w:t>
            </w:r>
          </w:p>
        </w:tc>
        <w:tc>
          <w:tcPr>
            <w:tcW w:w="1276" w:type="dxa"/>
            <w:vAlign w:val="center"/>
          </w:tcPr>
          <w:p w14:paraId="1C9495A8">
            <w:pPr>
              <w:pStyle w:val="13"/>
            </w:pPr>
            <w:r>
              <w:t>城乡义务教育公用经费管理办法</w:t>
            </w:r>
          </w:p>
        </w:tc>
      </w:tr>
      <w:tr w14:paraId="75296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1655A"/>
        </w:tc>
        <w:tc>
          <w:tcPr>
            <w:tcW w:w="2268" w:type="dxa"/>
            <w:vAlign w:val="center"/>
          </w:tcPr>
          <w:p w14:paraId="3BB5E3ED">
            <w:pPr>
              <w:pStyle w:val="13"/>
            </w:pPr>
            <w:r>
              <w:t>质量指标</w:t>
            </w:r>
          </w:p>
        </w:tc>
        <w:tc>
          <w:tcPr>
            <w:tcW w:w="2835" w:type="dxa"/>
            <w:vAlign w:val="center"/>
          </w:tcPr>
          <w:p w14:paraId="7BCB5703">
            <w:pPr>
              <w:pStyle w:val="13"/>
            </w:pPr>
            <w:r>
              <w:t>预算执行率</w:t>
            </w:r>
          </w:p>
        </w:tc>
        <w:tc>
          <w:tcPr>
            <w:tcW w:w="5386" w:type="dxa"/>
            <w:vAlign w:val="center"/>
          </w:tcPr>
          <w:p w14:paraId="02E3832A">
            <w:pPr>
              <w:pStyle w:val="13"/>
            </w:pPr>
            <w:r>
              <w:t>预算执行率≥98%</w:t>
            </w:r>
          </w:p>
        </w:tc>
        <w:tc>
          <w:tcPr>
            <w:tcW w:w="2268" w:type="dxa"/>
            <w:vAlign w:val="center"/>
          </w:tcPr>
          <w:p w14:paraId="28B70249">
            <w:pPr>
              <w:pStyle w:val="13"/>
            </w:pPr>
            <w:r>
              <w:t>≥98%</w:t>
            </w:r>
          </w:p>
        </w:tc>
        <w:tc>
          <w:tcPr>
            <w:tcW w:w="1276" w:type="dxa"/>
            <w:vAlign w:val="center"/>
          </w:tcPr>
          <w:p w14:paraId="4BB67C5B">
            <w:pPr>
              <w:pStyle w:val="13"/>
            </w:pPr>
            <w:r>
              <w:t>城乡义务教育公用经费管理办法</w:t>
            </w:r>
          </w:p>
        </w:tc>
      </w:tr>
      <w:tr w14:paraId="58595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3C87D"/>
        </w:tc>
        <w:tc>
          <w:tcPr>
            <w:tcW w:w="2268" w:type="dxa"/>
            <w:vAlign w:val="center"/>
          </w:tcPr>
          <w:p w14:paraId="5DDF2276">
            <w:pPr>
              <w:pStyle w:val="13"/>
            </w:pPr>
            <w:r>
              <w:t>时效指标</w:t>
            </w:r>
          </w:p>
        </w:tc>
        <w:tc>
          <w:tcPr>
            <w:tcW w:w="2835" w:type="dxa"/>
            <w:vAlign w:val="center"/>
          </w:tcPr>
          <w:p w14:paraId="331D1D9E">
            <w:pPr>
              <w:pStyle w:val="13"/>
            </w:pPr>
            <w:r>
              <w:t>义教经费支付完成率</w:t>
            </w:r>
          </w:p>
        </w:tc>
        <w:tc>
          <w:tcPr>
            <w:tcW w:w="5386" w:type="dxa"/>
            <w:vAlign w:val="center"/>
          </w:tcPr>
          <w:p w14:paraId="744B50CB">
            <w:pPr>
              <w:pStyle w:val="13"/>
            </w:pPr>
            <w:r>
              <w:t>按照序时进度完成资金支付</w:t>
            </w:r>
          </w:p>
        </w:tc>
        <w:tc>
          <w:tcPr>
            <w:tcW w:w="2268" w:type="dxa"/>
            <w:vAlign w:val="center"/>
          </w:tcPr>
          <w:p w14:paraId="367B123F">
            <w:pPr>
              <w:pStyle w:val="13"/>
            </w:pPr>
            <w:r>
              <w:t>≥100%</w:t>
            </w:r>
          </w:p>
        </w:tc>
        <w:tc>
          <w:tcPr>
            <w:tcW w:w="1276" w:type="dxa"/>
            <w:vAlign w:val="center"/>
          </w:tcPr>
          <w:p w14:paraId="0A74C35F">
            <w:pPr>
              <w:pStyle w:val="13"/>
            </w:pPr>
            <w:r>
              <w:t>城乡义务教育公用经费管理办法</w:t>
            </w:r>
          </w:p>
        </w:tc>
      </w:tr>
      <w:tr w14:paraId="08367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50329"/>
        </w:tc>
        <w:tc>
          <w:tcPr>
            <w:tcW w:w="2268" w:type="dxa"/>
            <w:vAlign w:val="center"/>
          </w:tcPr>
          <w:p w14:paraId="40BA159C">
            <w:pPr>
              <w:pStyle w:val="13"/>
            </w:pPr>
            <w:r>
              <w:t>成本指标</w:t>
            </w:r>
          </w:p>
        </w:tc>
        <w:tc>
          <w:tcPr>
            <w:tcW w:w="2835" w:type="dxa"/>
            <w:vAlign w:val="center"/>
          </w:tcPr>
          <w:p w14:paraId="6F05D949">
            <w:pPr>
              <w:pStyle w:val="13"/>
            </w:pPr>
            <w:r>
              <w:t>生均拨款标准</w:t>
            </w:r>
          </w:p>
        </w:tc>
        <w:tc>
          <w:tcPr>
            <w:tcW w:w="5386" w:type="dxa"/>
            <w:vAlign w:val="center"/>
          </w:tcPr>
          <w:p w14:paraId="24A84691">
            <w:pPr>
              <w:pStyle w:val="13"/>
            </w:pPr>
            <w:r>
              <w:t>小学生公用经费生均小学720元，取暖费120元/生/年，随班就读学生补助7000元/生</w:t>
            </w:r>
          </w:p>
        </w:tc>
        <w:tc>
          <w:tcPr>
            <w:tcW w:w="2268" w:type="dxa"/>
            <w:vAlign w:val="center"/>
          </w:tcPr>
          <w:p w14:paraId="627EA2F2">
            <w:pPr>
              <w:pStyle w:val="13"/>
            </w:pPr>
            <w:r>
              <w:t>≥840元</w:t>
            </w:r>
          </w:p>
        </w:tc>
        <w:tc>
          <w:tcPr>
            <w:tcW w:w="1276" w:type="dxa"/>
            <w:vAlign w:val="center"/>
          </w:tcPr>
          <w:p w14:paraId="6ED14D19">
            <w:pPr>
              <w:pStyle w:val="13"/>
            </w:pPr>
            <w:r>
              <w:t>城乡义务教育公用经费管理办法</w:t>
            </w:r>
          </w:p>
        </w:tc>
      </w:tr>
      <w:tr w14:paraId="72336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C06AE">
            <w:pPr>
              <w:pStyle w:val="12"/>
            </w:pPr>
            <w:r>
              <w:t>效益指标</w:t>
            </w:r>
          </w:p>
        </w:tc>
        <w:tc>
          <w:tcPr>
            <w:tcW w:w="2268" w:type="dxa"/>
            <w:vAlign w:val="center"/>
          </w:tcPr>
          <w:p w14:paraId="31AE5C6E">
            <w:pPr>
              <w:pStyle w:val="13"/>
            </w:pPr>
            <w:r>
              <w:t>社会效益指标</w:t>
            </w:r>
          </w:p>
        </w:tc>
        <w:tc>
          <w:tcPr>
            <w:tcW w:w="2835" w:type="dxa"/>
            <w:vAlign w:val="center"/>
          </w:tcPr>
          <w:p w14:paraId="298A167E">
            <w:pPr>
              <w:pStyle w:val="13"/>
            </w:pPr>
            <w:r>
              <w:t>学校运转得到提高</w:t>
            </w:r>
          </w:p>
        </w:tc>
        <w:tc>
          <w:tcPr>
            <w:tcW w:w="5386" w:type="dxa"/>
            <w:vAlign w:val="center"/>
          </w:tcPr>
          <w:p w14:paraId="1B98F632">
            <w:pPr>
              <w:pStyle w:val="13"/>
            </w:pPr>
            <w:r>
              <w:t>学生受教育年限</w:t>
            </w:r>
          </w:p>
        </w:tc>
        <w:tc>
          <w:tcPr>
            <w:tcW w:w="2268" w:type="dxa"/>
            <w:vAlign w:val="center"/>
          </w:tcPr>
          <w:p w14:paraId="44F0C6FB">
            <w:pPr>
              <w:pStyle w:val="13"/>
            </w:pPr>
            <w:r>
              <w:t>6年</w:t>
            </w:r>
          </w:p>
        </w:tc>
        <w:tc>
          <w:tcPr>
            <w:tcW w:w="1276" w:type="dxa"/>
            <w:vAlign w:val="center"/>
          </w:tcPr>
          <w:p w14:paraId="03BDB9E1">
            <w:pPr>
              <w:pStyle w:val="13"/>
            </w:pPr>
            <w:r>
              <w:t>城乡义务教育公用经费管理办法</w:t>
            </w:r>
          </w:p>
        </w:tc>
      </w:tr>
      <w:tr w14:paraId="677FD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FBD66B">
            <w:pPr>
              <w:pStyle w:val="12"/>
            </w:pPr>
            <w:r>
              <w:t>满意度指标</w:t>
            </w:r>
          </w:p>
        </w:tc>
        <w:tc>
          <w:tcPr>
            <w:tcW w:w="2268" w:type="dxa"/>
            <w:vAlign w:val="center"/>
          </w:tcPr>
          <w:p w14:paraId="143FBB97">
            <w:pPr>
              <w:pStyle w:val="13"/>
            </w:pPr>
            <w:r>
              <w:t>服务对象满意度指标</w:t>
            </w:r>
          </w:p>
        </w:tc>
        <w:tc>
          <w:tcPr>
            <w:tcW w:w="2835" w:type="dxa"/>
            <w:vAlign w:val="center"/>
          </w:tcPr>
          <w:p w14:paraId="3C6680D1">
            <w:pPr>
              <w:pStyle w:val="13"/>
            </w:pPr>
            <w:r>
              <w:t>服务对象满意度</w:t>
            </w:r>
          </w:p>
        </w:tc>
        <w:tc>
          <w:tcPr>
            <w:tcW w:w="5386" w:type="dxa"/>
            <w:vAlign w:val="center"/>
          </w:tcPr>
          <w:p w14:paraId="052B6CDA">
            <w:pPr>
              <w:pStyle w:val="13"/>
            </w:pPr>
            <w:r>
              <w:t>学校老师和学生满意度</w:t>
            </w:r>
          </w:p>
        </w:tc>
        <w:tc>
          <w:tcPr>
            <w:tcW w:w="2268" w:type="dxa"/>
            <w:vAlign w:val="center"/>
          </w:tcPr>
          <w:p w14:paraId="516DF3C7">
            <w:pPr>
              <w:pStyle w:val="13"/>
            </w:pPr>
            <w:r>
              <w:t>≥95%</w:t>
            </w:r>
          </w:p>
        </w:tc>
        <w:tc>
          <w:tcPr>
            <w:tcW w:w="1276" w:type="dxa"/>
            <w:vAlign w:val="center"/>
          </w:tcPr>
          <w:p w14:paraId="470B3529">
            <w:pPr>
              <w:pStyle w:val="13"/>
            </w:pPr>
            <w:r>
              <w:t>城乡义务教育公用经费管理办法</w:t>
            </w:r>
          </w:p>
        </w:tc>
      </w:tr>
    </w:tbl>
    <w:p w14:paraId="0ABE66A8">
      <w:pPr>
        <w:sectPr>
          <w:pgSz w:w="16840" w:h="11900" w:orient="landscape"/>
          <w:pgMar w:top="1361" w:right="1020" w:bottom="1134" w:left="1020" w:header="720" w:footer="720" w:gutter="0"/>
          <w:cols w:space="720" w:num="1"/>
        </w:sectPr>
      </w:pPr>
    </w:p>
    <w:p w14:paraId="2492B39A">
      <w:pPr>
        <w:spacing w:before="0" w:after="0"/>
        <w:ind w:firstLine="560"/>
        <w:jc w:val="left"/>
        <w:outlineLvl w:val="9"/>
      </w:pPr>
      <w:r>
        <w:rPr>
          <w:rFonts w:ascii="方正仿宋_GBK" w:hAnsi="方正仿宋_GBK" w:eastAsia="方正仿宋_GBK" w:cs="方正仿宋_GBK"/>
          <w:b/>
          <w:color w:val="000000"/>
          <w:sz w:val="28"/>
        </w:rPr>
        <w:t>12、冀财教[2024]141号/省级/2025年义教补助经费/刘通庄中心小学公用经费绩效目标表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1F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4F89B">
            <w:pPr>
              <w:pStyle w:val="14"/>
            </w:pPr>
            <w:r>
              <w:t>单位：万元</w:t>
            </w:r>
          </w:p>
        </w:tc>
      </w:tr>
      <w:tr w14:paraId="70B25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15695">
            <w:pPr>
              <w:pStyle w:val="11"/>
            </w:pPr>
            <w:r>
              <w:t>项目编码</w:t>
            </w:r>
          </w:p>
        </w:tc>
        <w:tc>
          <w:tcPr>
            <w:tcW w:w="5103" w:type="dxa"/>
            <w:gridSpan w:val="2"/>
            <w:vAlign w:val="center"/>
          </w:tcPr>
          <w:p w14:paraId="19B2C1D0">
            <w:pPr>
              <w:pStyle w:val="13"/>
            </w:pPr>
            <w:r>
              <w:t>13052525P00000410189Q</w:t>
            </w:r>
          </w:p>
        </w:tc>
        <w:tc>
          <w:tcPr>
            <w:tcW w:w="2835" w:type="dxa"/>
            <w:vAlign w:val="center"/>
          </w:tcPr>
          <w:p w14:paraId="4D1E3BB5">
            <w:pPr>
              <w:pStyle w:val="11"/>
            </w:pPr>
            <w:r>
              <w:t>项目名称</w:t>
            </w:r>
          </w:p>
        </w:tc>
        <w:tc>
          <w:tcPr>
            <w:tcW w:w="6095" w:type="dxa"/>
            <w:gridSpan w:val="3"/>
            <w:vAlign w:val="center"/>
          </w:tcPr>
          <w:p w14:paraId="54F9A977">
            <w:pPr>
              <w:pStyle w:val="13"/>
            </w:pPr>
            <w:r>
              <w:t>冀财教[2024]141号/省级/2025年义教补助经费/刘通庄中心小学公用经费</w:t>
            </w:r>
          </w:p>
        </w:tc>
      </w:tr>
      <w:tr w14:paraId="4BCE8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C8998">
            <w:pPr>
              <w:pStyle w:val="11"/>
            </w:pPr>
            <w:r>
              <w:t>预算规模及资金用途</w:t>
            </w:r>
          </w:p>
        </w:tc>
        <w:tc>
          <w:tcPr>
            <w:tcW w:w="2268" w:type="dxa"/>
            <w:vAlign w:val="center"/>
          </w:tcPr>
          <w:p w14:paraId="6C843BFC">
            <w:pPr>
              <w:pStyle w:val="11"/>
            </w:pPr>
            <w:r>
              <w:t>预算数</w:t>
            </w:r>
          </w:p>
        </w:tc>
        <w:tc>
          <w:tcPr>
            <w:tcW w:w="2835" w:type="dxa"/>
            <w:vAlign w:val="center"/>
          </w:tcPr>
          <w:p w14:paraId="7428E69B">
            <w:pPr>
              <w:pStyle w:val="13"/>
            </w:pPr>
            <w:r>
              <w:t>10.55</w:t>
            </w:r>
          </w:p>
        </w:tc>
        <w:tc>
          <w:tcPr>
            <w:tcW w:w="2835" w:type="dxa"/>
            <w:vAlign w:val="center"/>
          </w:tcPr>
          <w:p w14:paraId="761D4687">
            <w:pPr>
              <w:pStyle w:val="11"/>
            </w:pPr>
            <w:r>
              <w:t>其中：财政    资金</w:t>
            </w:r>
          </w:p>
        </w:tc>
        <w:tc>
          <w:tcPr>
            <w:tcW w:w="2551" w:type="dxa"/>
            <w:vAlign w:val="center"/>
          </w:tcPr>
          <w:p w14:paraId="32778DAE">
            <w:pPr>
              <w:pStyle w:val="13"/>
            </w:pPr>
            <w:r>
              <w:t>10.55</w:t>
            </w:r>
          </w:p>
        </w:tc>
        <w:tc>
          <w:tcPr>
            <w:tcW w:w="2268" w:type="dxa"/>
            <w:vAlign w:val="center"/>
          </w:tcPr>
          <w:p w14:paraId="41E8541F">
            <w:pPr>
              <w:pStyle w:val="11"/>
            </w:pPr>
            <w:r>
              <w:t>其他资金</w:t>
            </w:r>
          </w:p>
        </w:tc>
        <w:tc>
          <w:tcPr>
            <w:tcW w:w="1276" w:type="dxa"/>
            <w:vAlign w:val="center"/>
          </w:tcPr>
          <w:p w14:paraId="03C8E762">
            <w:pPr>
              <w:pStyle w:val="13"/>
            </w:pPr>
            <w:r>
              <w:t xml:space="preserve"> </w:t>
            </w:r>
          </w:p>
        </w:tc>
      </w:tr>
      <w:tr w14:paraId="14675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538035"/>
        </w:tc>
        <w:tc>
          <w:tcPr>
            <w:tcW w:w="14033" w:type="dxa"/>
            <w:gridSpan w:val="6"/>
            <w:vAlign w:val="center"/>
          </w:tcPr>
          <w:p w14:paraId="17B371DE">
            <w:pPr>
              <w:pStyle w:val="13"/>
            </w:pPr>
            <w:r>
              <w:t>为保证学校正常运转和改善办学条件。</w:t>
            </w:r>
          </w:p>
        </w:tc>
      </w:tr>
      <w:tr w14:paraId="38D99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63421">
            <w:pPr>
              <w:pStyle w:val="11"/>
            </w:pPr>
            <w:r>
              <w:t>资金支出计划（%）</w:t>
            </w:r>
          </w:p>
        </w:tc>
        <w:tc>
          <w:tcPr>
            <w:tcW w:w="5103" w:type="dxa"/>
            <w:gridSpan w:val="2"/>
            <w:vAlign w:val="center"/>
          </w:tcPr>
          <w:p w14:paraId="6F428603">
            <w:pPr>
              <w:pStyle w:val="11"/>
            </w:pPr>
            <w:r>
              <w:t>3月底</w:t>
            </w:r>
          </w:p>
        </w:tc>
        <w:tc>
          <w:tcPr>
            <w:tcW w:w="2835" w:type="dxa"/>
            <w:vAlign w:val="center"/>
          </w:tcPr>
          <w:p w14:paraId="6900A1F6">
            <w:pPr>
              <w:pStyle w:val="11"/>
            </w:pPr>
            <w:r>
              <w:t>6月底</w:t>
            </w:r>
          </w:p>
        </w:tc>
        <w:tc>
          <w:tcPr>
            <w:tcW w:w="2551" w:type="dxa"/>
            <w:vAlign w:val="center"/>
          </w:tcPr>
          <w:p w14:paraId="07CF0548">
            <w:pPr>
              <w:pStyle w:val="11"/>
            </w:pPr>
            <w:r>
              <w:t>10月底</w:t>
            </w:r>
          </w:p>
        </w:tc>
        <w:tc>
          <w:tcPr>
            <w:tcW w:w="3544" w:type="dxa"/>
            <w:gridSpan w:val="2"/>
            <w:vAlign w:val="center"/>
          </w:tcPr>
          <w:p w14:paraId="6490EB20">
            <w:pPr>
              <w:pStyle w:val="11"/>
            </w:pPr>
            <w:r>
              <w:t>12月底</w:t>
            </w:r>
          </w:p>
        </w:tc>
      </w:tr>
      <w:tr w14:paraId="02CE3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35E0C1"/>
        </w:tc>
        <w:tc>
          <w:tcPr>
            <w:tcW w:w="5103" w:type="dxa"/>
            <w:gridSpan w:val="2"/>
            <w:vAlign w:val="center"/>
          </w:tcPr>
          <w:p w14:paraId="60513EDD">
            <w:pPr>
              <w:pStyle w:val="12"/>
            </w:pPr>
            <w:r>
              <w:t>25%</w:t>
            </w:r>
          </w:p>
        </w:tc>
        <w:tc>
          <w:tcPr>
            <w:tcW w:w="2835" w:type="dxa"/>
            <w:vAlign w:val="center"/>
          </w:tcPr>
          <w:p w14:paraId="6F756FB9">
            <w:pPr>
              <w:pStyle w:val="12"/>
            </w:pPr>
            <w:r>
              <w:t>50%</w:t>
            </w:r>
          </w:p>
        </w:tc>
        <w:tc>
          <w:tcPr>
            <w:tcW w:w="2551" w:type="dxa"/>
            <w:vAlign w:val="center"/>
          </w:tcPr>
          <w:p w14:paraId="713F6324">
            <w:pPr>
              <w:pStyle w:val="12"/>
            </w:pPr>
            <w:r>
              <w:t>75%</w:t>
            </w:r>
          </w:p>
        </w:tc>
        <w:tc>
          <w:tcPr>
            <w:tcW w:w="3544" w:type="dxa"/>
            <w:gridSpan w:val="2"/>
            <w:vAlign w:val="center"/>
          </w:tcPr>
          <w:p w14:paraId="740CD623">
            <w:pPr>
              <w:pStyle w:val="12"/>
            </w:pPr>
            <w:r>
              <w:t>100%</w:t>
            </w:r>
          </w:p>
        </w:tc>
      </w:tr>
      <w:tr w14:paraId="692DE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E1A7B9">
            <w:pPr>
              <w:pStyle w:val="11"/>
            </w:pPr>
            <w:r>
              <w:t>绩效目标</w:t>
            </w:r>
          </w:p>
        </w:tc>
        <w:tc>
          <w:tcPr>
            <w:tcW w:w="14033" w:type="dxa"/>
            <w:gridSpan w:val="6"/>
            <w:vAlign w:val="center"/>
          </w:tcPr>
          <w:p w14:paraId="0244A6F1">
            <w:pPr>
              <w:pStyle w:val="13"/>
            </w:pPr>
            <w:r>
              <w:t>1.为保证学校正常运转和改善办学条件。</w:t>
            </w:r>
          </w:p>
          <w:p w14:paraId="145D2A79">
            <w:pPr>
              <w:pStyle w:val="13"/>
            </w:pPr>
            <w:r>
              <w:t>2.按拨款序时进度完成经费拨付和支出。</w:t>
            </w:r>
          </w:p>
        </w:tc>
      </w:tr>
    </w:tbl>
    <w:p w14:paraId="171C0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5F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91C6E">
            <w:pPr>
              <w:pStyle w:val="11"/>
            </w:pPr>
            <w:r>
              <w:t>一级指标</w:t>
            </w:r>
          </w:p>
        </w:tc>
        <w:tc>
          <w:tcPr>
            <w:tcW w:w="2268" w:type="dxa"/>
            <w:vAlign w:val="center"/>
          </w:tcPr>
          <w:p w14:paraId="01653282">
            <w:pPr>
              <w:pStyle w:val="11"/>
            </w:pPr>
            <w:r>
              <w:t>二级指标</w:t>
            </w:r>
          </w:p>
        </w:tc>
        <w:tc>
          <w:tcPr>
            <w:tcW w:w="2835" w:type="dxa"/>
            <w:vAlign w:val="center"/>
          </w:tcPr>
          <w:p w14:paraId="4CB5B562">
            <w:pPr>
              <w:pStyle w:val="11"/>
            </w:pPr>
            <w:r>
              <w:t>三级指标</w:t>
            </w:r>
          </w:p>
        </w:tc>
        <w:tc>
          <w:tcPr>
            <w:tcW w:w="5386" w:type="dxa"/>
            <w:vAlign w:val="center"/>
          </w:tcPr>
          <w:p w14:paraId="62E61F3E">
            <w:pPr>
              <w:pStyle w:val="11"/>
            </w:pPr>
            <w:r>
              <w:t>绩效指标描述</w:t>
            </w:r>
          </w:p>
        </w:tc>
        <w:tc>
          <w:tcPr>
            <w:tcW w:w="2268" w:type="dxa"/>
            <w:vAlign w:val="center"/>
          </w:tcPr>
          <w:p w14:paraId="7F9AE738">
            <w:pPr>
              <w:pStyle w:val="11"/>
            </w:pPr>
            <w:r>
              <w:t>指标值</w:t>
            </w:r>
          </w:p>
        </w:tc>
        <w:tc>
          <w:tcPr>
            <w:tcW w:w="1276" w:type="dxa"/>
            <w:vAlign w:val="center"/>
          </w:tcPr>
          <w:p w14:paraId="5C086B96">
            <w:pPr>
              <w:pStyle w:val="11"/>
            </w:pPr>
            <w:r>
              <w:t>指标值确定依据</w:t>
            </w:r>
          </w:p>
        </w:tc>
      </w:tr>
      <w:tr w14:paraId="4699E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3A4BF">
            <w:pPr>
              <w:pStyle w:val="12"/>
            </w:pPr>
            <w:r>
              <w:t>产出指标</w:t>
            </w:r>
          </w:p>
        </w:tc>
        <w:tc>
          <w:tcPr>
            <w:tcW w:w="2268" w:type="dxa"/>
            <w:vAlign w:val="center"/>
          </w:tcPr>
          <w:p w14:paraId="4C5DFC5D">
            <w:pPr>
              <w:pStyle w:val="13"/>
            </w:pPr>
            <w:r>
              <w:t>数量指标</w:t>
            </w:r>
          </w:p>
        </w:tc>
        <w:tc>
          <w:tcPr>
            <w:tcW w:w="2835" w:type="dxa"/>
            <w:vAlign w:val="center"/>
          </w:tcPr>
          <w:p w14:paraId="2BF76AB1">
            <w:pPr>
              <w:pStyle w:val="13"/>
            </w:pPr>
            <w:r>
              <w:t>就读学生数</w:t>
            </w:r>
          </w:p>
        </w:tc>
        <w:tc>
          <w:tcPr>
            <w:tcW w:w="5386" w:type="dxa"/>
            <w:vAlign w:val="center"/>
          </w:tcPr>
          <w:p w14:paraId="69694FA6">
            <w:pPr>
              <w:pStyle w:val="13"/>
            </w:pPr>
            <w:r>
              <w:t>辐射区域内适龄学生人数</w:t>
            </w:r>
          </w:p>
        </w:tc>
        <w:tc>
          <w:tcPr>
            <w:tcW w:w="2268" w:type="dxa"/>
            <w:vAlign w:val="center"/>
          </w:tcPr>
          <w:p w14:paraId="2EFA6BD0">
            <w:pPr>
              <w:pStyle w:val="13"/>
            </w:pPr>
            <w:r>
              <w:t>340人</w:t>
            </w:r>
          </w:p>
        </w:tc>
        <w:tc>
          <w:tcPr>
            <w:tcW w:w="1276" w:type="dxa"/>
            <w:vAlign w:val="center"/>
          </w:tcPr>
          <w:p w14:paraId="064C6E15">
            <w:pPr>
              <w:pStyle w:val="13"/>
            </w:pPr>
            <w:r>
              <w:t>城乡义务教育公用经费管理办法</w:t>
            </w:r>
          </w:p>
        </w:tc>
      </w:tr>
      <w:tr w14:paraId="42717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2F0AC"/>
        </w:tc>
        <w:tc>
          <w:tcPr>
            <w:tcW w:w="2268" w:type="dxa"/>
            <w:vAlign w:val="center"/>
          </w:tcPr>
          <w:p w14:paraId="61820054">
            <w:pPr>
              <w:pStyle w:val="13"/>
            </w:pPr>
            <w:r>
              <w:t>质量指标</w:t>
            </w:r>
          </w:p>
        </w:tc>
        <w:tc>
          <w:tcPr>
            <w:tcW w:w="2835" w:type="dxa"/>
            <w:vAlign w:val="center"/>
          </w:tcPr>
          <w:p w14:paraId="11BA2B86">
            <w:pPr>
              <w:pStyle w:val="13"/>
            </w:pPr>
            <w:r>
              <w:t>预算执行率</w:t>
            </w:r>
          </w:p>
        </w:tc>
        <w:tc>
          <w:tcPr>
            <w:tcW w:w="5386" w:type="dxa"/>
            <w:vAlign w:val="center"/>
          </w:tcPr>
          <w:p w14:paraId="6BC90C0C">
            <w:pPr>
              <w:pStyle w:val="13"/>
            </w:pPr>
            <w:r>
              <w:t>预算执行率≥98%</w:t>
            </w:r>
          </w:p>
        </w:tc>
        <w:tc>
          <w:tcPr>
            <w:tcW w:w="2268" w:type="dxa"/>
            <w:vAlign w:val="center"/>
          </w:tcPr>
          <w:p w14:paraId="310DD3B8">
            <w:pPr>
              <w:pStyle w:val="13"/>
            </w:pPr>
            <w:r>
              <w:t>≥98%</w:t>
            </w:r>
          </w:p>
        </w:tc>
        <w:tc>
          <w:tcPr>
            <w:tcW w:w="1276" w:type="dxa"/>
            <w:vAlign w:val="center"/>
          </w:tcPr>
          <w:p w14:paraId="0A900067">
            <w:pPr>
              <w:pStyle w:val="13"/>
            </w:pPr>
            <w:r>
              <w:t>城乡义务教育公用经费管理办法</w:t>
            </w:r>
          </w:p>
        </w:tc>
      </w:tr>
      <w:tr w14:paraId="52C3B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9953F"/>
        </w:tc>
        <w:tc>
          <w:tcPr>
            <w:tcW w:w="2268" w:type="dxa"/>
            <w:vAlign w:val="center"/>
          </w:tcPr>
          <w:p w14:paraId="4C739843">
            <w:pPr>
              <w:pStyle w:val="13"/>
            </w:pPr>
            <w:r>
              <w:t>时效指标</w:t>
            </w:r>
          </w:p>
        </w:tc>
        <w:tc>
          <w:tcPr>
            <w:tcW w:w="2835" w:type="dxa"/>
            <w:vAlign w:val="center"/>
          </w:tcPr>
          <w:p w14:paraId="24BBE0F1">
            <w:pPr>
              <w:pStyle w:val="13"/>
            </w:pPr>
            <w:r>
              <w:t>义教经费支付完成率</w:t>
            </w:r>
          </w:p>
        </w:tc>
        <w:tc>
          <w:tcPr>
            <w:tcW w:w="5386" w:type="dxa"/>
            <w:vAlign w:val="center"/>
          </w:tcPr>
          <w:p w14:paraId="3F2B5119">
            <w:pPr>
              <w:pStyle w:val="13"/>
            </w:pPr>
            <w:r>
              <w:t>按照序时进度完成资金支付</w:t>
            </w:r>
          </w:p>
        </w:tc>
        <w:tc>
          <w:tcPr>
            <w:tcW w:w="2268" w:type="dxa"/>
            <w:vAlign w:val="center"/>
          </w:tcPr>
          <w:p w14:paraId="39D9AED2">
            <w:pPr>
              <w:pStyle w:val="13"/>
            </w:pPr>
            <w:r>
              <w:t>≥100%</w:t>
            </w:r>
          </w:p>
        </w:tc>
        <w:tc>
          <w:tcPr>
            <w:tcW w:w="1276" w:type="dxa"/>
            <w:vAlign w:val="center"/>
          </w:tcPr>
          <w:p w14:paraId="247EB664">
            <w:pPr>
              <w:pStyle w:val="13"/>
            </w:pPr>
            <w:r>
              <w:t>城乡义务教育公用经费管理办法</w:t>
            </w:r>
          </w:p>
        </w:tc>
      </w:tr>
      <w:tr w14:paraId="1164F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CCFAB"/>
        </w:tc>
        <w:tc>
          <w:tcPr>
            <w:tcW w:w="2268" w:type="dxa"/>
            <w:vAlign w:val="center"/>
          </w:tcPr>
          <w:p w14:paraId="30F6E19A">
            <w:pPr>
              <w:pStyle w:val="13"/>
            </w:pPr>
            <w:r>
              <w:t>成本指标</w:t>
            </w:r>
          </w:p>
        </w:tc>
        <w:tc>
          <w:tcPr>
            <w:tcW w:w="2835" w:type="dxa"/>
            <w:vAlign w:val="center"/>
          </w:tcPr>
          <w:p w14:paraId="42CBCB70">
            <w:pPr>
              <w:pStyle w:val="13"/>
            </w:pPr>
            <w:r>
              <w:t>生均拨款标准</w:t>
            </w:r>
          </w:p>
        </w:tc>
        <w:tc>
          <w:tcPr>
            <w:tcW w:w="5386" w:type="dxa"/>
            <w:vAlign w:val="center"/>
          </w:tcPr>
          <w:p w14:paraId="295EFB9B">
            <w:pPr>
              <w:pStyle w:val="13"/>
            </w:pPr>
            <w:r>
              <w:t>小学生公用经费生均小学720元，取暖费120元/生/年，随班就读学生补助7000元/生</w:t>
            </w:r>
          </w:p>
        </w:tc>
        <w:tc>
          <w:tcPr>
            <w:tcW w:w="2268" w:type="dxa"/>
            <w:vAlign w:val="center"/>
          </w:tcPr>
          <w:p w14:paraId="2D2D34C0">
            <w:pPr>
              <w:pStyle w:val="13"/>
            </w:pPr>
            <w:r>
              <w:t>≥840元</w:t>
            </w:r>
          </w:p>
        </w:tc>
        <w:tc>
          <w:tcPr>
            <w:tcW w:w="1276" w:type="dxa"/>
            <w:vAlign w:val="center"/>
          </w:tcPr>
          <w:p w14:paraId="762BFC69">
            <w:pPr>
              <w:pStyle w:val="13"/>
            </w:pPr>
            <w:r>
              <w:t>城乡义务教育公用经费管理办法</w:t>
            </w:r>
          </w:p>
        </w:tc>
      </w:tr>
      <w:tr w14:paraId="2B0AB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397E31">
            <w:pPr>
              <w:pStyle w:val="12"/>
            </w:pPr>
            <w:r>
              <w:t>效益指标</w:t>
            </w:r>
          </w:p>
        </w:tc>
        <w:tc>
          <w:tcPr>
            <w:tcW w:w="2268" w:type="dxa"/>
            <w:vAlign w:val="center"/>
          </w:tcPr>
          <w:p w14:paraId="5B88122C">
            <w:pPr>
              <w:pStyle w:val="13"/>
            </w:pPr>
            <w:r>
              <w:t>社会效益指标</w:t>
            </w:r>
          </w:p>
        </w:tc>
        <w:tc>
          <w:tcPr>
            <w:tcW w:w="2835" w:type="dxa"/>
            <w:vAlign w:val="center"/>
          </w:tcPr>
          <w:p w14:paraId="2818B6E4">
            <w:pPr>
              <w:pStyle w:val="13"/>
            </w:pPr>
            <w:r>
              <w:t>学校运转得到提高</w:t>
            </w:r>
          </w:p>
        </w:tc>
        <w:tc>
          <w:tcPr>
            <w:tcW w:w="5386" w:type="dxa"/>
            <w:vAlign w:val="center"/>
          </w:tcPr>
          <w:p w14:paraId="3E1A01AD">
            <w:pPr>
              <w:pStyle w:val="13"/>
            </w:pPr>
            <w:r>
              <w:t>学生受教育年限</w:t>
            </w:r>
          </w:p>
        </w:tc>
        <w:tc>
          <w:tcPr>
            <w:tcW w:w="2268" w:type="dxa"/>
            <w:vAlign w:val="center"/>
          </w:tcPr>
          <w:p w14:paraId="3C3F5F06">
            <w:pPr>
              <w:pStyle w:val="13"/>
            </w:pPr>
            <w:r>
              <w:t>6年</w:t>
            </w:r>
          </w:p>
        </w:tc>
        <w:tc>
          <w:tcPr>
            <w:tcW w:w="1276" w:type="dxa"/>
            <w:vAlign w:val="center"/>
          </w:tcPr>
          <w:p w14:paraId="5B9A16B3">
            <w:pPr>
              <w:pStyle w:val="13"/>
            </w:pPr>
            <w:r>
              <w:t>城乡义务教育公用经费管理办法</w:t>
            </w:r>
          </w:p>
        </w:tc>
      </w:tr>
      <w:tr w14:paraId="03978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CFC97D">
            <w:pPr>
              <w:pStyle w:val="12"/>
            </w:pPr>
            <w:r>
              <w:t>满意度指标</w:t>
            </w:r>
          </w:p>
        </w:tc>
        <w:tc>
          <w:tcPr>
            <w:tcW w:w="2268" w:type="dxa"/>
            <w:vAlign w:val="center"/>
          </w:tcPr>
          <w:p w14:paraId="185C1448">
            <w:pPr>
              <w:pStyle w:val="13"/>
            </w:pPr>
            <w:r>
              <w:t>服务对象满意度指标</w:t>
            </w:r>
          </w:p>
        </w:tc>
        <w:tc>
          <w:tcPr>
            <w:tcW w:w="2835" w:type="dxa"/>
            <w:vAlign w:val="center"/>
          </w:tcPr>
          <w:p w14:paraId="384F6E8E">
            <w:pPr>
              <w:pStyle w:val="13"/>
            </w:pPr>
            <w:r>
              <w:t>服务对象满意度</w:t>
            </w:r>
          </w:p>
        </w:tc>
        <w:tc>
          <w:tcPr>
            <w:tcW w:w="5386" w:type="dxa"/>
            <w:vAlign w:val="center"/>
          </w:tcPr>
          <w:p w14:paraId="602564F0">
            <w:pPr>
              <w:pStyle w:val="13"/>
            </w:pPr>
            <w:r>
              <w:t>学校老师和学生满意度</w:t>
            </w:r>
          </w:p>
        </w:tc>
        <w:tc>
          <w:tcPr>
            <w:tcW w:w="2268" w:type="dxa"/>
            <w:vAlign w:val="center"/>
          </w:tcPr>
          <w:p w14:paraId="5ADEC4FC">
            <w:pPr>
              <w:pStyle w:val="13"/>
            </w:pPr>
            <w:r>
              <w:t>≥95%</w:t>
            </w:r>
          </w:p>
        </w:tc>
        <w:tc>
          <w:tcPr>
            <w:tcW w:w="1276" w:type="dxa"/>
            <w:vAlign w:val="center"/>
          </w:tcPr>
          <w:p w14:paraId="18ACE481">
            <w:pPr>
              <w:pStyle w:val="13"/>
            </w:pPr>
            <w:r>
              <w:t>城乡义务教育公用经费管理办法</w:t>
            </w:r>
          </w:p>
        </w:tc>
      </w:tr>
    </w:tbl>
    <w:p w14:paraId="0F8EEF6B">
      <w:pPr>
        <w:sectPr>
          <w:pgSz w:w="16840" w:h="11900" w:orient="landscape"/>
          <w:pgMar w:top="1361" w:right="1020" w:bottom="1134" w:left="1020" w:header="720" w:footer="720" w:gutter="0"/>
          <w:cols w:space="720" w:num="1"/>
        </w:sectPr>
      </w:pPr>
    </w:p>
    <w:p w14:paraId="50FDB17C">
      <w:pPr>
        <w:spacing w:before="0" w:after="0"/>
        <w:ind w:firstLine="560"/>
        <w:jc w:val="left"/>
        <w:outlineLvl w:val="9"/>
      </w:pPr>
      <w:r>
        <w:rPr>
          <w:rFonts w:ascii="方正仿宋_GBK" w:hAnsi="方正仿宋_GBK" w:eastAsia="方正仿宋_GBK" w:cs="方正仿宋_GBK"/>
          <w:b/>
          <w:color w:val="000000"/>
          <w:sz w:val="28"/>
        </w:rPr>
        <w:t>13、冀财教[2024]141号/省级/2025年义教补助经费/校舍安全保障/大张庄小学校舍维修改造绩效目标表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1D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C8C42">
            <w:pPr>
              <w:pStyle w:val="14"/>
            </w:pPr>
            <w:r>
              <w:t>单位：万元</w:t>
            </w:r>
          </w:p>
        </w:tc>
      </w:tr>
      <w:tr w14:paraId="13C28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5DE1F9">
            <w:pPr>
              <w:pStyle w:val="11"/>
            </w:pPr>
            <w:r>
              <w:t>项目编码</w:t>
            </w:r>
          </w:p>
        </w:tc>
        <w:tc>
          <w:tcPr>
            <w:tcW w:w="5103" w:type="dxa"/>
            <w:gridSpan w:val="2"/>
            <w:vAlign w:val="center"/>
          </w:tcPr>
          <w:p w14:paraId="00064411">
            <w:pPr>
              <w:pStyle w:val="13"/>
            </w:pPr>
            <w:r>
              <w:t>13052525P00876210040A</w:t>
            </w:r>
          </w:p>
        </w:tc>
        <w:tc>
          <w:tcPr>
            <w:tcW w:w="2835" w:type="dxa"/>
            <w:vAlign w:val="center"/>
          </w:tcPr>
          <w:p w14:paraId="26119CAB">
            <w:pPr>
              <w:pStyle w:val="11"/>
            </w:pPr>
            <w:r>
              <w:t>项目名称</w:t>
            </w:r>
          </w:p>
        </w:tc>
        <w:tc>
          <w:tcPr>
            <w:tcW w:w="6095" w:type="dxa"/>
            <w:gridSpan w:val="3"/>
            <w:vAlign w:val="center"/>
          </w:tcPr>
          <w:p w14:paraId="0A4F9147">
            <w:pPr>
              <w:pStyle w:val="13"/>
            </w:pPr>
            <w:r>
              <w:t>冀财教[2024]141号/省级/2025年义教补助经费/校舍安全保障/大张庄小学校舍维修改造</w:t>
            </w:r>
          </w:p>
        </w:tc>
      </w:tr>
      <w:tr w14:paraId="37328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A0F3B">
            <w:pPr>
              <w:pStyle w:val="11"/>
            </w:pPr>
            <w:r>
              <w:t>预算规模及资金用途</w:t>
            </w:r>
          </w:p>
        </w:tc>
        <w:tc>
          <w:tcPr>
            <w:tcW w:w="2268" w:type="dxa"/>
            <w:vAlign w:val="center"/>
          </w:tcPr>
          <w:p w14:paraId="5199E08A">
            <w:pPr>
              <w:pStyle w:val="11"/>
            </w:pPr>
            <w:r>
              <w:t>预算数</w:t>
            </w:r>
          </w:p>
        </w:tc>
        <w:tc>
          <w:tcPr>
            <w:tcW w:w="2835" w:type="dxa"/>
            <w:vAlign w:val="center"/>
          </w:tcPr>
          <w:p w14:paraId="1FC2B2A0">
            <w:pPr>
              <w:pStyle w:val="13"/>
            </w:pPr>
            <w:r>
              <w:t>46.94</w:t>
            </w:r>
          </w:p>
        </w:tc>
        <w:tc>
          <w:tcPr>
            <w:tcW w:w="2835" w:type="dxa"/>
            <w:vAlign w:val="center"/>
          </w:tcPr>
          <w:p w14:paraId="30AF5B49">
            <w:pPr>
              <w:pStyle w:val="11"/>
            </w:pPr>
            <w:r>
              <w:t>其中：财政    资金</w:t>
            </w:r>
          </w:p>
        </w:tc>
        <w:tc>
          <w:tcPr>
            <w:tcW w:w="2551" w:type="dxa"/>
            <w:vAlign w:val="center"/>
          </w:tcPr>
          <w:p w14:paraId="4E46AFD3">
            <w:pPr>
              <w:pStyle w:val="13"/>
            </w:pPr>
            <w:r>
              <w:t>46.94</w:t>
            </w:r>
          </w:p>
        </w:tc>
        <w:tc>
          <w:tcPr>
            <w:tcW w:w="2268" w:type="dxa"/>
            <w:vAlign w:val="center"/>
          </w:tcPr>
          <w:p w14:paraId="7155030D">
            <w:pPr>
              <w:pStyle w:val="11"/>
            </w:pPr>
            <w:r>
              <w:t>其他资金</w:t>
            </w:r>
          </w:p>
        </w:tc>
        <w:tc>
          <w:tcPr>
            <w:tcW w:w="1276" w:type="dxa"/>
            <w:vAlign w:val="center"/>
          </w:tcPr>
          <w:p w14:paraId="674CB951">
            <w:pPr>
              <w:pStyle w:val="13"/>
            </w:pPr>
            <w:r>
              <w:t xml:space="preserve"> </w:t>
            </w:r>
          </w:p>
        </w:tc>
      </w:tr>
      <w:tr w14:paraId="46DFC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13C1F7"/>
        </w:tc>
        <w:tc>
          <w:tcPr>
            <w:tcW w:w="14033" w:type="dxa"/>
            <w:gridSpan w:val="6"/>
            <w:vAlign w:val="center"/>
          </w:tcPr>
          <w:p w14:paraId="71AD02DE">
            <w:pPr>
              <w:pStyle w:val="13"/>
            </w:pPr>
            <w:r>
              <w:t>用于大张庄小学校舍维修改造包括宿舍楼线路、淋浴间、围墙改造、宿舍楼阳台封闭、卫生间改造</w:t>
            </w:r>
          </w:p>
        </w:tc>
      </w:tr>
      <w:tr w14:paraId="39649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D3498">
            <w:pPr>
              <w:pStyle w:val="11"/>
            </w:pPr>
            <w:r>
              <w:t>资金支出计划（%）</w:t>
            </w:r>
          </w:p>
        </w:tc>
        <w:tc>
          <w:tcPr>
            <w:tcW w:w="5103" w:type="dxa"/>
            <w:gridSpan w:val="2"/>
            <w:vAlign w:val="center"/>
          </w:tcPr>
          <w:p w14:paraId="1769B84E">
            <w:pPr>
              <w:pStyle w:val="11"/>
            </w:pPr>
            <w:r>
              <w:t>3月底</w:t>
            </w:r>
          </w:p>
        </w:tc>
        <w:tc>
          <w:tcPr>
            <w:tcW w:w="2835" w:type="dxa"/>
            <w:vAlign w:val="center"/>
          </w:tcPr>
          <w:p w14:paraId="09B69B9F">
            <w:pPr>
              <w:pStyle w:val="11"/>
            </w:pPr>
            <w:r>
              <w:t>6月底</w:t>
            </w:r>
          </w:p>
        </w:tc>
        <w:tc>
          <w:tcPr>
            <w:tcW w:w="2551" w:type="dxa"/>
            <w:vAlign w:val="center"/>
          </w:tcPr>
          <w:p w14:paraId="523AD4DE">
            <w:pPr>
              <w:pStyle w:val="11"/>
            </w:pPr>
            <w:r>
              <w:t>10月底</w:t>
            </w:r>
          </w:p>
        </w:tc>
        <w:tc>
          <w:tcPr>
            <w:tcW w:w="3544" w:type="dxa"/>
            <w:gridSpan w:val="2"/>
            <w:vAlign w:val="center"/>
          </w:tcPr>
          <w:p w14:paraId="7BAB3A1C">
            <w:pPr>
              <w:pStyle w:val="11"/>
            </w:pPr>
            <w:r>
              <w:t>12月底</w:t>
            </w:r>
          </w:p>
        </w:tc>
      </w:tr>
      <w:tr w14:paraId="5FCA4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92D770"/>
        </w:tc>
        <w:tc>
          <w:tcPr>
            <w:tcW w:w="5103" w:type="dxa"/>
            <w:gridSpan w:val="2"/>
            <w:vAlign w:val="center"/>
          </w:tcPr>
          <w:p w14:paraId="7C71ECF5">
            <w:pPr>
              <w:pStyle w:val="12"/>
            </w:pPr>
            <w:r>
              <w:t xml:space="preserve"> </w:t>
            </w:r>
          </w:p>
        </w:tc>
        <w:tc>
          <w:tcPr>
            <w:tcW w:w="2835" w:type="dxa"/>
            <w:vAlign w:val="center"/>
          </w:tcPr>
          <w:p w14:paraId="2382E163">
            <w:pPr>
              <w:pStyle w:val="12"/>
            </w:pPr>
            <w:r>
              <w:t xml:space="preserve"> </w:t>
            </w:r>
          </w:p>
        </w:tc>
        <w:tc>
          <w:tcPr>
            <w:tcW w:w="2551" w:type="dxa"/>
            <w:vAlign w:val="center"/>
          </w:tcPr>
          <w:p w14:paraId="4DF2D3BD">
            <w:pPr>
              <w:pStyle w:val="12"/>
            </w:pPr>
            <w:r>
              <w:t>100%</w:t>
            </w:r>
          </w:p>
        </w:tc>
        <w:tc>
          <w:tcPr>
            <w:tcW w:w="3544" w:type="dxa"/>
            <w:gridSpan w:val="2"/>
            <w:vAlign w:val="center"/>
          </w:tcPr>
          <w:p w14:paraId="6763DB03">
            <w:pPr>
              <w:pStyle w:val="12"/>
            </w:pPr>
            <w:r>
              <w:t>100%</w:t>
            </w:r>
          </w:p>
        </w:tc>
      </w:tr>
      <w:tr w14:paraId="72E05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0E6323">
            <w:pPr>
              <w:pStyle w:val="11"/>
            </w:pPr>
            <w:r>
              <w:t>绩效目标</w:t>
            </w:r>
          </w:p>
        </w:tc>
        <w:tc>
          <w:tcPr>
            <w:tcW w:w="14033" w:type="dxa"/>
            <w:gridSpan w:val="6"/>
            <w:vAlign w:val="center"/>
          </w:tcPr>
          <w:p w14:paraId="1AFA2776">
            <w:pPr>
              <w:pStyle w:val="13"/>
            </w:pPr>
            <w:r>
              <w:t>1.大张庄小学校舍维修改造包括宿舍楼线路、淋浴间、围墙改造、宿舍楼阳台封闭、卫生间改造</w:t>
            </w:r>
          </w:p>
        </w:tc>
      </w:tr>
    </w:tbl>
    <w:p w14:paraId="3FB87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C3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049AA">
            <w:pPr>
              <w:pStyle w:val="11"/>
            </w:pPr>
            <w:r>
              <w:t>一级指标</w:t>
            </w:r>
          </w:p>
        </w:tc>
        <w:tc>
          <w:tcPr>
            <w:tcW w:w="2268" w:type="dxa"/>
            <w:vAlign w:val="center"/>
          </w:tcPr>
          <w:p w14:paraId="5C8A1002">
            <w:pPr>
              <w:pStyle w:val="11"/>
            </w:pPr>
            <w:r>
              <w:t>二级指标</w:t>
            </w:r>
          </w:p>
        </w:tc>
        <w:tc>
          <w:tcPr>
            <w:tcW w:w="2835" w:type="dxa"/>
            <w:vAlign w:val="center"/>
          </w:tcPr>
          <w:p w14:paraId="09D6F6B4">
            <w:pPr>
              <w:pStyle w:val="11"/>
            </w:pPr>
            <w:r>
              <w:t>三级指标</w:t>
            </w:r>
          </w:p>
        </w:tc>
        <w:tc>
          <w:tcPr>
            <w:tcW w:w="5386" w:type="dxa"/>
            <w:vAlign w:val="center"/>
          </w:tcPr>
          <w:p w14:paraId="6B7125D0">
            <w:pPr>
              <w:pStyle w:val="11"/>
            </w:pPr>
            <w:r>
              <w:t>绩效指标描述</w:t>
            </w:r>
          </w:p>
        </w:tc>
        <w:tc>
          <w:tcPr>
            <w:tcW w:w="2268" w:type="dxa"/>
            <w:vAlign w:val="center"/>
          </w:tcPr>
          <w:p w14:paraId="31DB2DE9">
            <w:pPr>
              <w:pStyle w:val="11"/>
            </w:pPr>
            <w:r>
              <w:t>指标值</w:t>
            </w:r>
          </w:p>
        </w:tc>
        <w:tc>
          <w:tcPr>
            <w:tcW w:w="1276" w:type="dxa"/>
            <w:vAlign w:val="center"/>
          </w:tcPr>
          <w:p w14:paraId="65BA5BBE">
            <w:pPr>
              <w:pStyle w:val="11"/>
            </w:pPr>
            <w:r>
              <w:t>指标值确定依据</w:t>
            </w:r>
          </w:p>
        </w:tc>
      </w:tr>
      <w:tr w14:paraId="07474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F294D">
            <w:pPr>
              <w:pStyle w:val="12"/>
            </w:pPr>
            <w:r>
              <w:t>产出指标</w:t>
            </w:r>
          </w:p>
        </w:tc>
        <w:tc>
          <w:tcPr>
            <w:tcW w:w="2268" w:type="dxa"/>
            <w:vAlign w:val="center"/>
          </w:tcPr>
          <w:p w14:paraId="7234639F">
            <w:pPr>
              <w:pStyle w:val="13"/>
            </w:pPr>
            <w:r>
              <w:t>数量指标</w:t>
            </w:r>
          </w:p>
        </w:tc>
        <w:tc>
          <w:tcPr>
            <w:tcW w:w="2835" w:type="dxa"/>
            <w:vAlign w:val="center"/>
          </w:tcPr>
          <w:p w14:paraId="793AFC6E">
            <w:pPr>
              <w:pStyle w:val="13"/>
            </w:pPr>
            <w:r>
              <w:t>改造面积</w:t>
            </w:r>
          </w:p>
        </w:tc>
        <w:tc>
          <w:tcPr>
            <w:tcW w:w="5386" w:type="dxa"/>
            <w:vAlign w:val="center"/>
          </w:tcPr>
          <w:p w14:paraId="3F16B221">
            <w:pPr>
              <w:pStyle w:val="13"/>
            </w:pPr>
            <w:r>
              <w:t>宿舍楼线路、淋浴间、围墙改造</w:t>
            </w:r>
          </w:p>
        </w:tc>
        <w:tc>
          <w:tcPr>
            <w:tcW w:w="2268" w:type="dxa"/>
            <w:vAlign w:val="center"/>
          </w:tcPr>
          <w:p w14:paraId="08F4A581">
            <w:pPr>
              <w:pStyle w:val="13"/>
            </w:pPr>
            <w:r>
              <w:t>640平方米</w:t>
            </w:r>
          </w:p>
        </w:tc>
        <w:tc>
          <w:tcPr>
            <w:tcW w:w="1276" w:type="dxa"/>
            <w:vAlign w:val="center"/>
          </w:tcPr>
          <w:p w14:paraId="632EC024">
            <w:pPr>
              <w:pStyle w:val="13"/>
            </w:pPr>
            <w:r>
              <w:t>项目规划</w:t>
            </w:r>
          </w:p>
        </w:tc>
      </w:tr>
      <w:tr w14:paraId="75A51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5CE74"/>
        </w:tc>
        <w:tc>
          <w:tcPr>
            <w:tcW w:w="2268" w:type="dxa"/>
            <w:vAlign w:val="center"/>
          </w:tcPr>
          <w:p w14:paraId="2839B9DD">
            <w:pPr>
              <w:pStyle w:val="13"/>
            </w:pPr>
            <w:r>
              <w:t>数量指标</w:t>
            </w:r>
          </w:p>
        </w:tc>
        <w:tc>
          <w:tcPr>
            <w:tcW w:w="2835" w:type="dxa"/>
            <w:vAlign w:val="center"/>
          </w:tcPr>
          <w:p w14:paraId="0B4405A5">
            <w:pPr>
              <w:pStyle w:val="13"/>
            </w:pPr>
            <w:r>
              <w:t>改造面积</w:t>
            </w:r>
          </w:p>
        </w:tc>
        <w:tc>
          <w:tcPr>
            <w:tcW w:w="5386" w:type="dxa"/>
            <w:vAlign w:val="center"/>
          </w:tcPr>
          <w:p w14:paraId="3EC183CC">
            <w:pPr>
              <w:pStyle w:val="13"/>
            </w:pPr>
            <w:r>
              <w:t>宿舍楼阳台封闭</w:t>
            </w:r>
          </w:p>
        </w:tc>
        <w:tc>
          <w:tcPr>
            <w:tcW w:w="2268" w:type="dxa"/>
            <w:vAlign w:val="center"/>
          </w:tcPr>
          <w:p w14:paraId="1A058680">
            <w:pPr>
              <w:pStyle w:val="13"/>
            </w:pPr>
            <w:r>
              <w:t>907平方米</w:t>
            </w:r>
          </w:p>
        </w:tc>
        <w:tc>
          <w:tcPr>
            <w:tcW w:w="1276" w:type="dxa"/>
            <w:vAlign w:val="center"/>
          </w:tcPr>
          <w:p w14:paraId="6E141CB3">
            <w:pPr>
              <w:pStyle w:val="13"/>
            </w:pPr>
            <w:r>
              <w:t>项目规划</w:t>
            </w:r>
          </w:p>
        </w:tc>
      </w:tr>
      <w:tr w14:paraId="6D77B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B2352"/>
        </w:tc>
        <w:tc>
          <w:tcPr>
            <w:tcW w:w="2268" w:type="dxa"/>
            <w:vAlign w:val="center"/>
          </w:tcPr>
          <w:p w14:paraId="77D137C1">
            <w:pPr>
              <w:pStyle w:val="13"/>
            </w:pPr>
            <w:r>
              <w:t>数量指标</w:t>
            </w:r>
          </w:p>
        </w:tc>
        <w:tc>
          <w:tcPr>
            <w:tcW w:w="2835" w:type="dxa"/>
            <w:vAlign w:val="center"/>
          </w:tcPr>
          <w:p w14:paraId="3FDD781A">
            <w:pPr>
              <w:pStyle w:val="13"/>
            </w:pPr>
            <w:r>
              <w:t>改造面积</w:t>
            </w:r>
          </w:p>
        </w:tc>
        <w:tc>
          <w:tcPr>
            <w:tcW w:w="5386" w:type="dxa"/>
            <w:vAlign w:val="center"/>
          </w:tcPr>
          <w:p w14:paraId="127C5ADC">
            <w:pPr>
              <w:pStyle w:val="13"/>
            </w:pPr>
            <w:r>
              <w:t>卫生间改造</w:t>
            </w:r>
          </w:p>
        </w:tc>
        <w:tc>
          <w:tcPr>
            <w:tcW w:w="2268" w:type="dxa"/>
            <w:vAlign w:val="center"/>
          </w:tcPr>
          <w:p w14:paraId="4AE15AD3">
            <w:pPr>
              <w:pStyle w:val="13"/>
            </w:pPr>
            <w:r>
              <w:t>120平方米</w:t>
            </w:r>
          </w:p>
        </w:tc>
        <w:tc>
          <w:tcPr>
            <w:tcW w:w="1276" w:type="dxa"/>
            <w:vAlign w:val="center"/>
          </w:tcPr>
          <w:p w14:paraId="1EA5B02F">
            <w:pPr>
              <w:pStyle w:val="13"/>
            </w:pPr>
            <w:r>
              <w:t>项目规划</w:t>
            </w:r>
          </w:p>
        </w:tc>
      </w:tr>
      <w:tr w14:paraId="47459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67540"/>
        </w:tc>
        <w:tc>
          <w:tcPr>
            <w:tcW w:w="2268" w:type="dxa"/>
            <w:vAlign w:val="center"/>
          </w:tcPr>
          <w:p w14:paraId="3BFF1642">
            <w:pPr>
              <w:pStyle w:val="13"/>
            </w:pPr>
            <w:r>
              <w:t>质量指标</w:t>
            </w:r>
          </w:p>
        </w:tc>
        <w:tc>
          <w:tcPr>
            <w:tcW w:w="2835" w:type="dxa"/>
            <w:vAlign w:val="center"/>
          </w:tcPr>
          <w:p w14:paraId="61448297">
            <w:pPr>
              <w:pStyle w:val="13"/>
            </w:pPr>
            <w:r>
              <w:t>符合验收标准</w:t>
            </w:r>
          </w:p>
        </w:tc>
        <w:tc>
          <w:tcPr>
            <w:tcW w:w="5386" w:type="dxa"/>
            <w:vAlign w:val="center"/>
          </w:tcPr>
          <w:p w14:paraId="00BA6F32">
            <w:pPr>
              <w:pStyle w:val="13"/>
            </w:pPr>
            <w:r>
              <w:t>项目竣工验收合格率</w:t>
            </w:r>
          </w:p>
        </w:tc>
        <w:tc>
          <w:tcPr>
            <w:tcW w:w="2268" w:type="dxa"/>
            <w:vAlign w:val="center"/>
          </w:tcPr>
          <w:p w14:paraId="0895A291">
            <w:pPr>
              <w:pStyle w:val="13"/>
            </w:pPr>
            <w:r>
              <w:t>100%</w:t>
            </w:r>
          </w:p>
        </w:tc>
        <w:tc>
          <w:tcPr>
            <w:tcW w:w="1276" w:type="dxa"/>
            <w:vAlign w:val="center"/>
          </w:tcPr>
          <w:p w14:paraId="6D78C02E">
            <w:pPr>
              <w:pStyle w:val="13"/>
            </w:pPr>
            <w:r>
              <w:t>项目规划</w:t>
            </w:r>
          </w:p>
        </w:tc>
      </w:tr>
      <w:tr w14:paraId="653A5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5D467"/>
        </w:tc>
        <w:tc>
          <w:tcPr>
            <w:tcW w:w="2268" w:type="dxa"/>
            <w:vAlign w:val="center"/>
          </w:tcPr>
          <w:p w14:paraId="6B807283">
            <w:pPr>
              <w:pStyle w:val="13"/>
            </w:pPr>
            <w:r>
              <w:t>时效指标</w:t>
            </w:r>
          </w:p>
        </w:tc>
        <w:tc>
          <w:tcPr>
            <w:tcW w:w="2835" w:type="dxa"/>
            <w:vAlign w:val="center"/>
          </w:tcPr>
          <w:p w14:paraId="3CFC6D44">
            <w:pPr>
              <w:pStyle w:val="13"/>
            </w:pPr>
            <w:r>
              <w:t>项目时间</w:t>
            </w:r>
          </w:p>
        </w:tc>
        <w:tc>
          <w:tcPr>
            <w:tcW w:w="5386" w:type="dxa"/>
            <w:vAlign w:val="center"/>
          </w:tcPr>
          <w:p w14:paraId="122E7326">
            <w:pPr>
              <w:pStyle w:val="13"/>
            </w:pPr>
            <w:r>
              <w:t>按期完成率</w:t>
            </w:r>
          </w:p>
        </w:tc>
        <w:tc>
          <w:tcPr>
            <w:tcW w:w="2268" w:type="dxa"/>
            <w:vAlign w:val="center"/>
          </w:tcPr>
          <w:p w14:paraId="052A3A71">
            <w:pPr>
              <w:pStyle w:val="13"/>
            </w:pPr>
            <w:r>
              <w:t>≥100%</w:t>
            </w:r>
          </w:p>
        </w:tc>
        <w:tc>
          <w:tcPr>
            <w:tcW w:w="1276" w:type="dxa"/>
            <w:vAlign w:val="center"/>
          </w:tcPr>
          <w:p w14:paraId="4A1BA28A">
            <w:pPr>
              <w:pStyle w:val="13"/>
            </w:pPr>
            <w:r>
              <w:t>项目规划</w:t>
            </w:r>
          </w:p>
        </w:tc>
      </w:tr>
      <w:tr w14:paraId="07652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82544"/>
        </w:tc>
        <w:tc>
          <w:tcPr>
            <w:tcW w:w="2268" w:type="dxa"/>
            <w:vAlign w:val="center"/>
          </w:tcPr>
          <w:p w14:paraId="63444A84">
            <w:pPr>
              <w:pStyle w:val="13"/>
            </w:pPr>
            <w:r>
              <w:t>成本指标</w:t>
            </w:r>
          </w:p>
        </w:tc>
        <w:tc>
          <w:tcPr>
            <w:tcW w:w="2835" w:type="dxa"/>
            <w:vAlign w:val="center"/>
          </w:tcPr>
          <w:p w14:paraId="11F50D74">
            <w:pPr>
              <w:pStyle w:val="13"/>
            </w:pPr>
            <w:r>
              <w:t>项目成本</w:t>
            </w:r>
          </w:p>
        </w:tc>
        <w:tc>
          <w:tcPr>
            <w:tcW w:w="5386" w:type="dxa"/>
            <w:vAlign w:val="center"/>
          </w:tcPr>
          <w:p w14:paraId="61362758">
            <w:pPr>
              <w:pStyle w:val="13"/>
            </w:pPr>
            <w:r>
              <w:t>不超预算</w:t>
            </w:r>
          </w:p>
        </w:tc>
        <w:tc>
          <w:tcPr>
            <w:tcW w:w="2268" w:type="dxa"/>
            <w:vAlign w:val="center"/>
          </w:tcPr>
          <w:p w14:paraId="42F5012C">
            <w:pPr>
              <w:pStyle w:val="13"/>
            </w:pPr>
            <w:r>
              <w:t>≤46.94万元</w:t>
            </w:r>
          </w:p>
        </w:tc>
        <w:tc>
          <w:tcPr>
            <w:tcW w:w="1276" w:type="dxa"/>
            <w:vAlign w:val="center"/>
          </w:tcPr>
          <w:p w14:paraId="372372AA">
            <w:pPr>
              <w:pStyle w:val="13"/>
            </w:pPr>
            <w:r>
              <w:t>项目规划</w:t>
            </w:r>
          </w:p>
        </w:tc>
      </w:tr>
      <w:tr w14:paraId="79092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0A6B2F">
            <w:pPr>
              <w:pStyle w:val="12"/>
            </w:pPr>
            <w:r>
              <w:t>效益指标</w:t>
            </w:r>
          </w:p>
        </w:tc>
        <w:tc>
          <w:tcPr>
            <w:tcW w:w="2268" w:type="dxa"/>
            <w:vAlign w:val="center"/>
          </w:tcPr>
          <w:p w14:paraId="3F443C06">
            <w:pPr>
              <w:pStyle w:val="13"/>
            </w:pPr>
            <w:r>
              <w:t>社会效益指标</w:t>
            </w:r>
          </w:p>
        </w:tc>
        <w:tc>
          <w:tcPr>
            <w:tcW w:w="2835" w:type="dxa"/>
            <w:vAlign w:val="center"/>
          </w:tcPr>
          <w:p w14:paraId="5ED05902">
            <w:pPr>
              <w:pStyle w:val="13"/>
            </w:pPr>
            <w:r>
              <w:t>学生受教育年限</w:t>
            </w:r>
          </w:p>
        </w:tc>
        <w:tc>
          <w:tcPr>
            <w:tcW w:w="5386" w:type="dxa"/>
            <w:vAlign w:val="center"/>
          </w:tcPr>
          <w:p w14:paraId="4AFB4D18">
            <w:pPr>
              <w:pStyle w:val="13"/>
            </w:pPr>
            <w:r>
              <w:t>学生受教育年限</w:t>
            </w:r>
          </w:p>
        </w:tc>
        <w:tc>
          <w:tcPr>
            <w:tcW w:w="2268" w:type="dxa"/>
            <w:vAlign w:val="center"/>
          </w:tcPr>
          <w:p w14:paraId="5215AC46">
            <w:pPr>
              <w:pStyle w:val="13"/>
            </w:pPr>
            <w:r>
              <w:t>6年</w:t>
            </w:r>
          </w:p>
        </w:tc>
        <w:tc>
          <w:tcPr>
            <w:tcW w:w="1276" w:type="dxa"/>
            <w:vAlign w:val="center"/>
          </w:tcPr>
          <w:p w14:paraId="02D6D10E">
            <w:pPr>
              <w:pStyle w:val="13"/>
            </w:pPr>
            <w:r>
              <w:t>项目规划</w:t>
            </w:r>
          </w:p>
        </w:tc>
      </w:tr>
      <w:tr w14:paraId="7AFA8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D01EFC">
            <w:pPr>
              <w:pStyle w:val="12"/>
            </w:pPr>
            <w:r>
              <w:t>满意度指标</w:t>
            </w:r>
          </w:p>
        </w:tc>
        <w:tc>
          <w:tcPr>
            <w:tcW w:w="2268" w:type="dxa"/>
            <w:vAlign w:val="center"/>
          </w:tcPr>
          <w:p w14:paraId="6C6228CA">
            <w:pPr>
              <w:pStyle w:val="13"/>
            </w:pPr>
            <w:r>
              <w:t>服务对象满意度指标</w:t>
            </w:r>
          </w:p>
        </w:tc>
        <w:tc>
          <w:tcPr>
            <w:tcW w:w="2835" w:type="dxa"/>
            <w:vAlign w:val="center"/>
          </w:tcPr>
          <w:p w14:paraId="3B585DE3">
            <w:pPr>
              <w:pStyle w:val="13"/>
            </w:pPr>
            <w:r>
              <w:t>教师学生满意度</w:t>
            </w:r>
          </w:p>
        </w:tc>
        <w:tc>
          <w:tcPr>
            <w:tcW w:w="5386" w:type="dxa"/>
            <w:vAlign w:val="center"/>
          </w:tcPr>
          <w:p w14:paraId="5913CF33">
            <w:pPr>
              <w:pStyle w:val="13"/>
            </w:pPr>
            <w:r>
              <w:t>教师学生满意度</w:t>
            </w:r>
          </w:p>
        </w:tc>
        <w:tc>
          <w:tcPr>
            <w:tcW w:w="2268" w:type="dxa"/>
            <w:vAlign w:val="center"/>
          </w:tcPr>
          <w:p w14:paraId="60D18CA7">
            <w:pPr>
              <w:pStyle w:val="13"/>
            </w:pPr>
            <w:r>
              <w:t>≥95%</w:t>
            </w:r>
          </w:p>
        </w:tc>
        <w:tc>
          <w:tcPr>
            <w:tcW w:w="1276" w:type="dxa"/>
            <w:vAlign w:val="center"/>
          </w:tcPr>
          <w:p w14:paraId="0FF310D3">
            <w:pPr>
              <w:pStyle w:val="13"/>
            </w:pPr>
            <w:r>
              <w:t>项目规划</w:t>
            </w:r>
          </w:p>
        </w:tc>
      </w:tr>
    </w:tbl>
    <w:p w14:paraId="479CBE8C">
      <w:pPr>
        <w:sectPr>
          <w:pgSz w:w="16840" w:h="11900" w:orient="landscape"/>
          <w:pgMar w:top="1361" w:right="1020" w:bottom="1134" w:left="1020" w:header="720" w:footer="720" w:gutter="0"/>
          <w:cols w:space="720" w:num="1"/>
        </w:sectPr>
      </w:pPr>
    </w:p>
    <w:p w14:paraId="6BF59523">
      <w:pPr>
        <w:spacing w:before="0" w:after="0"/>
        <w:ind w:firstLine="560"/>
        <w:jc w:val="left"/>
        <w:outlineLvl w:val="9"/>
      </w:pPr>
      <w:r>
        <w:rPr>
          <w:rFonts w:ascii="方正仿宋_GBK" w:hAnsi="方正仿宋_GBK" w:eastAsia="方正仿宋_GBK" w:cs="方正仿宋_GBK"/>
          <w:b/>
          <w:color w:val="000000"/>
          <w:sz w:val="28"/>
        </w:rPr>
        <w:t>14、冀财教[2024]142号/省级/2025年学前发展资金/大张家庄校区学前教育公用经费绩效目标表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5E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5A821">
            <w:pPr>
              <w:pStyle w:val="14"/>
            </w:pPr>
            <w:r>
              <w:t>单位：万元</w:t>
            </w:r>
          </w:p>
        </w:tc>
      </w:tr>
      <w:tr w14:paraId="7DDEF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EC4F5C">
            <w:pPr>
              <w:pStyle w:val="11"/>
            </w:pPr>
            <w:r>
              <w:t>项目编码</w:t>
            </w:r>
          </w:p>
        </w:tc>
        <w:tc>
          <w:tcPr>
            <w:tcW w:w="5103" w:type="dxa"/>
            <w:gridSpan w:val="2"/>
            <w:vAlign w:val="center"/>
          </w:tcPr>
          <w:p w14:paraId="6CC959C6">
            <w:pPr>
              <w:pStyle w:val="13"/>
            </w:pPr>
            <w:r>
              <w:t>13052525P00875710009G</w:t>
            </w:r>
          </w:p>
        </w:tc>
        <w:tc>
          <w:tcPr>
            <w:tcW w:w="2835" w:type="dxa"/>
            <w:vAlign w:val="center"/>
          </w:tcPr>
          <w:p w14:paraId="7D3E38C6">
            <w:pPr>
              <w:pStyle w:val="11"/>
            </w:pPr>
            <w:r>
              <w:t>项目名称</w:t>
            </w:r>
          </w:p>
        </w:tc>
        <w:tc>
          <w:tcPr>
            <w:tcW w:w="6095" w:type="dxa"/>
            <w:gridSpan w:val="3"/>
            <w:vAlign w:val="center"/>
          </w:tcPr>
          <w:p w14:paraId="59131C71">
            <w:pPr>
              <w:pStyle w:val="13"/>
            </w:pPr>
            <w:r>
              <w:t>冀财教[2024]142号/省级/2025年学前发展资金/大张家庄校区学前教育公用经费</w:t>
            </w:r>
          </w:p>
        </w:tc>
      </w:tr>
      <w:tr w14:paraId="02B6E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249AB073">
            <w:pPr>
              <w:pStyle w:val="11"/>
            </w:pPr>
            <w:r>
              <w:t>预算规模及资金用途</w:t>
            </w:r>
          </w:p>
        </w:tc>
        <w:tc>
          <w:tcPr>
            <w:tcW w:w="2268" w:type="dxa"/>
            <w:vAlign w:val="center"/>
          </w:tcPr>
          <w:p w14:paraId="6D15D48B">
            <w:pPr>
              <w:pStyle w:val="11"/>
            </w:pPr>
            <w:r>
              <w:t>预算数</w:t>
            </w:r>
          </w:p>
        </w:tc>
        <w:tc>
          <w:tcPr>
            <w:tcW w:w="2835" w:type="dxa"/>
            <w:vAlign w:val="center"/>
          </w:tcPr>
          <w:p w14:paraId="4A0B76DC">
            <w:pPr>
              <w:pStyle w:val="13"/>
            </w:pPr>
            <w:r>
              <w:t>7.84</w:t>
            </w:r>
          </w:p>
        </w:tc>
        <w:tc>
          <w:tcPr>
            <w:tcW w:w="2835" w:type="dxa"/>
            <w:vAlign w:val="center"/>
          </w:tcPr>
          <w:p w14:paraId="04D122BE">
            <w:pPr>
              <w:pStyle w:val="11"/>
            </w:pPr>
            <w:r>
              <w:t>其中：财政    资金</w:t>
            </w:r>
          </w:p>
        </w:tc>
        <w:tc>
          <w:tcPr>
            <w:tcW w:w="2551" w:type="dxa"/>
            <w:vAlign w:val="center"/>
          </w:tcPr>
          <w:p w14:paraId="7E0D52A9">
            <w:pPr>
              <w:pStyle w:val="13"/>
            </w:pPr>
            <w:r>
              <w:t>7.84</w:t>
            </w:r>
          </w:p>
        </w:tc>
        <w:tc>
          <w:tcPr>
            <w:tcW w:w="2268" w:type="dxa"/>
            <w:vAlign w:val="center"/>
          </w:tcPr>
          <w:p w14:paraId="12C2E8A8">
            <w:pPr>
              <w:pStyle w:val="11"/>
            </w:pPr>
            <w:r>
              <w:t>其他资金</w:t>
            </w:r>
          </w:p>
        </w:tc>
        <w:tc>
          <w:tcPr>
            <w:tcW w:w="1276" w:type="dxa"/>
            <w:vAlign w:val="center"/>
          </w:tcPr>
          <w:p w14:paraId="0C1E194A">
            <w:pPr>
              <w:pStyle w:val="13"/>
            </w:pPr>
            <w:r>
              <w:t xml:space="preserve"> </w:t>
            </w:r>
          </w:p>
        </w:tc>
      </w:tr>
      <w:tr w14:paraId="73EE9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6D1F05"/>
        </w:tc>
        <w:tc>
          <w:tcPr>
            <w:tcW w:w="14033" w:type="dxa"/>
            <w:gridSpan w:val="6"/>
            <w:vAlign w:val="center"/>
          </w:tcPr>
          <w:p w14:paraId="29C8434C">
            <w:pPr>
              <w:pStyle w:val="13"/>
            </w:pPr>
            <w:r>
              <w:t>为保证幼儿园正常运转和改善办学条件。</w:t>
            </w:r>
          </w:p>
        </w:tc>
      </w:tr>
      <w:tr w14:paraId="28E3F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52829">
            <w:pPr>
              <w:pStyle w:val="11"/>
            </w:pPr>
            <w:r>
              <w:t>资金支出计划（%）</w:t>
            </w:r>
          </w:p>
        </w:tc>
        <w:tc>
          <w:tcPr>
            <w:tcW w:w="5103" w:type="dxa"/>
            <w:gridSpan w:val="2"/>
            <w:vAlign w:val="center"/>
          </w:tcPr>
          <w:p w14:paraId="2B7C5530">
            <w:pPr>
              <w:pStyle w:val="11"/>
            </w:pPr>
            <w:r>
              <w:t>3月底</w:t>
            </w:r>
          </w:p>
        </w:tc>
        <w:tc>
          <w:tcPr>
            <w:tcW w:w="2835" w:type="dxa"/>
            <w:vAlign w:val="center"/>
          </w:tcPr>
          <w:p w14:paraId="7F6F7F13">
            <w:pPr>
              <w:pStyle w:val="11"/>
            </w:pPr>
            <w:r>
              <w:t>6月底</w:t>
            </w:r>
          </w:p>
        </w:tc>
        <w:tc>
          <w:tcPr>
            <w:tcW w:w="2551" w:type="dxa"/>
            <w:vAlign w:val="center"/>
          </w:tcPr>
          <w:p w14:paraId="37492CF9">
            <w:pPr>
              <w:pStyle w:val="11"/>
            </w:pPr>
            <w:r>
              <w:t>10月底</w:t>
            </w:r>
          </w:p>
        </w:tc>
        <w:tc>
          <w:tcPr>
            <w:tcW w:w="3544" w:type="dxa"/>
            <w:gridSpan w:val="2"/>
            <w:vAlign w:val="center"/>
          </w:tcPr>
          <w:p w14:paraId="1574957C">
            <w:pPr>
              <w:pStyle w:val="11"/>
            </w:pPr>
            <w:r>
              <w:t>12月底</w:t>
            </w:r>
          </w:p>
        </w:tc>
      </w:tr>
      <w:tr w14:paraId="6EB8F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BE1E1"/>
        </w:tc>
        <w:tc>
          <w:tcPr>
            <w:tcW w:w="5103" w:type="dxa"/>
            <w:gridSpan w:val="2"/>
            <w:vAlign w:val="center"/>
          </w:tcPr>
          <w:p w14:paraId="10A01015">
            <w:pPr>
              <w:pStyle w:val="12"/>
            </w:pPr>
            <w:r>
              <w:t xml:space="preserve"> </w:t>
            </w:r>
          </w:p>
        </w:tc>
        <w:tc>
          <w:tcPr>
            <w:tcW w:w="2835" w:type="dxa"/>
            <w:vAlign w:val="center"/>
          </w:tcPr>
          <w:p w14:paraId="3DD55132">
            <w:pPr>
              <w:pStyle w:val="12"/>
            </w:pPr>
            <w:r>
              <w:t>50%</w:t>
            </w:r>
          </w:p>
        </w:tc>
        <w:tc>
          <w:tcPr>
            <w:tcW w:w="2551" w:type="dxa"/>
            <w:vAlign w:val="center"/>
          </w:tcPr>
          <w:p w14:paraId="40A5DCAD">
            <w:pPr>
              <w:pStyle w:val="12"/>
            </w:pPr>
            <w:r>
              <w:t>100%</w:t>
            </w:r>
          </w:p>
        </w:tc>
        <w:tc>
          <w:tcPr>
            <w:tcW w:w="3544" w:type="dxa"/>
            <w:gridSpan w:val="2"/>
            <w:vAlign w:val="center"/>
          </w:tcPr>
          <w:p w14:paraId="73AD7AF3">
            <w:pPr>
              <w:pStyle w:val="12"/>
            </w:pPr>
            <w:r>
              <w:t>100%</w:t>
            </w:r>
          </w:p>
        </w:tc>
      </w:tr>
      <w:tr w14:paraId="47723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C181C">
            <w:pPr>
              <w:pStyle w:val="11"/>
            </w:pPr>
            <w:r>
              <w:t>绩效目标</w:t>
            </w:r>
          </w:p>
        </w:tc>
        <w:tc>
          <w:tcPr>
            <w:tcW w:w="14033" w:type="dxa"/>
            <w:gridSpan w:val="6"/>
            <w:vAlign w:val="center"/>
          </w:tcPr>
          <w:p w14:paraId="02C56F7F">
            <w:pPr>
              <w:pStyle w:val="13"/>
            </w:pPr>
            <w:r>
              <w:t>1.按拨款序时进度完成经费拨付和支出。</w:t>
            </w:r>
          </w:p>
          <w:p w14:paraId="35838993">
            <w:pPr>
              <w:pStyle w:val="13"/>
            </w:pPr>
            <w:r>
              <w:t>2.为保证幼儿园正常运转和改善办学条件。</w:t>
            </w:r>
          </w:p>
        </w:tc>
      </w:tr>
    </w:tbl>
    <w:p w14:paraId="4637B0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0C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EA6D0E">
            <w:pPr>
              <w:pStyle w:val="11"/>
            </w:pPr>
            <w:r>
              <w:t>一级指标</w:t>
            </w:r>
          </w:p>
        </w:tc>
        <w:tc>
          <w:tcPr>
            <w:tcW w:w="2268" w:type="dxa"/>
            <w:vAlign w:val="center"/>
          </w:tcPr>
          <w:p w14:paraId="5A282652">
            <w:pPr>
              <w:pStyle w:val="11"/>
            </w:pPr>
            <w:r>
              <w:t>二级指标</w:t>
            </w:r>
          </w:p>
        </w:tc>
        <w:tc>
          <w:tcPr>
            <w:tcW w:w="2835" w:type="dxa"/>
            <w:vAlign w:val="center"/>
          </w:tcPr>
          <w:p w14:paraId="170D5490">
            <w:pPr>
              <w:pStyle w:val="11"/>
            </w:pPr>
            <w:r>
              <w:t>三级指标</w:t>
            </w:r>
          </w:p>
        </w:tc>
        <w:tc>
          <w:tcPr>
            <w:tcW w:w="5386" w:type="dxa"/>
            <w:vAlign w:val="center"/>
          </w:tcPr>
          <w:p w14:paraId="0CB25C90">
            <w:pPr>
              <w:pStyle w:val="11"/>
            </w:pPr>
            <w:r>
              <w:t>绩效指标描述</w:t>
            </w:r>
          </w:p>
        </w:tc>
        <w:tc>
          <w:tcPr>
            <w:tcW w:w="2268" w:type="dxa"/>
            <w:vAlign w:val="center"/>
          </w:tcPr>
          <w:p w14:paraId="0BEF0ACC">
            <w:pPr>
              <w:pStyle w:val="11"/>
            </w:pPr>
            <w:r>
              <w:t>指标值</w:t>
            </w:r>
          </w:p>
        </w:tc>
        <w:tc>
          <w:tcPr>
            <w:tcW w:w="1276" w:type="dxa"/>
            <w:vAlign w:val="center"/>
          </w:tcPr>
          <w:p w14:paraId="2517E867">
            <w:pPr>
              <w:pStyle w:val="11"/>
            </w:pPr>
            <w:r>
              <w:t>指标值确定依据</w:t>
            </w:r>
          </w:p>
        </w:tc>
      </w:tr>
      <w:tr w14:paraId="35746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DA39F">
            <w:pPr>
              <w:pStyle w:val="12"/>
            </w:pPr>
            <w:r>
              <w:t>产出指标</w:t>
            </w:r>
          </w:p>
        </w:tc>
        <w:tc>
          <w:tcPr>
            <w:tcW w:w="2268" w:type="dxa"/>
            <w:vAlign w:val="center"/>
          </w:tcPr>
          <w:p w14:paraId="7897A871">
            <w:pPr>
              <w:pStyle w:val="13"/>
            </w:pPr>
            <w:r>
              <w:t>数量指标</w:t>
            </w:r>
          </w:p>
        </w:tc>
        <w:tc>
          <w:tcPr>
            <w:tcW w:w="2835" w:type="dxa"/>
            <w:vAlign w:val="center"/>
          </w:tcPr>
          <w:p w14:paraId="1BE27699">
            <w:pPr>
              <w:pStyle w:val="13"/>
            </w:pPr>
            <w:r>
              <w:t>适龄在园生</w:t>
            </w:r>
          </w:p>
        </w:tc>
        <w:tc>
          <w:tcPr>
            <w:tcW w:w="5386" w:type="dxa"/>
            <w:vAlign w:val="center"/>
          </w:tcPr>
          <w:p w14:paraId="2DA777AF">
            <w:pPr>
              <w:pStyle w:val="13"/>
            </w:pPr>
            <w:r>
              <w:t>适龄在园学生人数</w:t>
            </w:r>
          </w:p>
        </w:tc>
        <w:tc>
          <w:tcPr>
            <w:tcW w:w="2268" w:type="dxa"/>
            <w:vAlign w:val="center"/>
          </w:tcPr>
          <w:p w14:paraId="61524A26">
            <w:pPr>
              <w:pStyle w:val="13"/>
            </w:pPr>
            <w:r>
              <w:t>170人</w:t>
            </w:r>
          </w:p>
        </w:tc>
        <w:tc>
          <w:tcPr>
            <w:tcW w:w="1276" w:type="dxa"/>
            <w:vAlign w:val="center"/>
          </w:tcPr>
          <w:p w14:paraId="50E33C4C">
            <w:pPr>
              <w:pStyle w:val="13"/>
            </w:pPr>
            <w:r>
              <w:t>支持学前教育发展资金管理办法</w:t>
            </w:r>
          </w:p>
        </w:tc>
      </w:tr>
      <w:tr w14:paraId="0E311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3FD2D"/>
        </w:tc>
        <w:tc>
          <w:tcPr>
            <w:tcW w:w="2268" w:type="dxa"/>
            <w:vAlign w:val="center"/>
          </w:tcPr>
          <w:p w14:paraId="075780FA">
            <w:pPr>
              <w:pStyle w:val="13"/>
            </w:pPr>
            <w:r>
              <w:t>质量指标</w:t>
            </w:r>
          </w:p>
        </w:tc>
        <w:tc>
          <w:tcPr>
            <w:tcW w:w="2835" w:type="dxa"/>
            <w:vAlign w:val="center"/>
          </w:tcPr>
          <w:p w14:paraId="44A6225B">
            <w:pPr>
              <w:pStyle w:val="13"/>
            </w:pPr>
            <w:r>
              <w:t>公用经费控制率</w:t>
            </w:r>
          </w:p>
        </w:tc>
        <w:tc>
          <w:tcPr>
            <w:tcW w:w="5386" w:type="dxa"/>
            <w:vAlign w:val="center"/>
          </w:tcPr>
          <w:p w14:paraId="5CE98816">
            <w:pPr>
              <w:pStyle w:val="13"/>
            </w:pPr>
            <w:r>
              <w:t>幼儿园公用经费拨付执行率</w:t>
            </w:r>
          </w:p>
        </w:tc>
        <w:tc>
          <w:tcPr>
            <w:tcW w:w="2268" w:type="dxa"/>
            <w:vAlign w:val="center"/>
          </w:tcPr>
          <w:p w14:paraId="7E0ADE71">
            <w:pPr>
              <w:pStyle w:val="13"/>
            </w:pPr>
            <w:r>
              <w:t>≥100%</w:t>
            </w:r>
          </w:p>
        </w:tc>
        <w:tc>
          <w:tcPr>
            <w:tcW w:w="1276" w:type="dxa"/>
            <w:vAlign w:val="center"/>
          </w:tcPr>
          <w:p w14:paraId="2B4BC6E4">
            <w:pPr>
              <w:pStyle w:val="13"/>
            </w:pPr>
            <w:r>
              <w:t>支持学前教育发展资金管理办法</w:t>
            </w:r>
          </w:p>
        </w:tc>
      </w:tr>
      <w:tr w14:paraId="06578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4B9DD"/>
        </w:tc>
        <w:tc>
          <w:tcPr>
            <w:tcW w:w="2268" w:type="dxa"/>
            <w:vAlign w:val="center"/>
          </w:tcPr>
          <w:p w14:paraId="25C0E66C">
            <w:pPr>
              <w:pStyle w:val="13"/>
            </w:pPr>
            <w:r>
              <w:t>时效指标</w:t>
            </w:r>
          </w:p>
        </w:tc>
        <w:tc>
          <w:tcPr>
            <w:tcW w:w="2835" w:type="dxa"/>
            <w:vAlign w:val="center"/>
          </w:tcPr>
          <w:p w14:paraId="263441EF">
            <w:pPr>
              <w:pStyle w:val="13"/>
            </w:pPr>
            <w:r>
              <w:t>资金支付率</w:t>
            </w:r>
          </w:p>
        </w:tc>
        <w:tc>
          <w:tcPr>
            <w:tcW w:w="5386" w:type="dxa"/>
            <w:vAlign w:val="center"/>
          </w:tcPr>
          <w:p w14:paraId="55931B3F">
            <w:pPr>
              <w:pStyle w:val="13"/>
            </w:pPr>
            <w:r>
              <w:t>按照序时进度完成资金支付</w:t>
            </w:r>
          </w:p>
        </w:tc>
        <w:tc>
          <w:tcPr>
            <w:tcW w:w="2268" w:type="dxa"/>
            <w:vAlign w:val="center"/>
          </w:tcPr>
          <w:p w14:paraId="4B1ECDA2">
            <w:pPr>
              <w:pStyle w:val="13"/>
            </w:pPr>
            <w:r>
              <w:t>≥100%</w:t>
            </w:r>
          </w:p>
        </w:tc>
        <w:tc>
          <w:tcPr>
            <w:tcW w:w="1276" w:type="dxa"/>
            <w:vAlign w:val="center"/>
          </w:tcPr>
          <w:p w14:paraId="43F4CD2F">
            <w:pPr>
              <w:pStyle w:val="13"/>
            </w:pPr>
            <w:r>
              <w:t>支持学前教育发展资金管理办法</w:t>
            </w:r>
          </w:p>
        </w:tc>
      </w:tr>
      <w:tr w14:paraId="2679C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D8388"/>
        </w:tc>
        <w:tc>
          <w:tcPr>
            <w:tcW w:w="2268" w:type="dxa"/>
            <w:vAlign w:val="center"/>
          </w:tcPr>
          <w:p w14:paraId="07204A4D">
            <w:pPr>
              <w:pStyle w:val="13"/>
            </w:pPr>
            <w:r>
              <w:t>成本指标</w:t>
            </w:r>
          </w:p>
        </w:tc>
        <w:tc>
          <w:tcPr>
            <w:tcW w:w="2835" w:type="dxa"/>
            <w:vAlign w:val="center"/>
          </w:tcPr>
          <w:p w14:paraId="3240EB80">
            <w:pPr>
              <w:pStyle w:val="13"/>
            </w:pPr>
            <w:r>
              <w:t>生均拨款标准</w:t>
            </w:r>
          </w:p>
        </w:tc>
        <w:tc>
          <w:tcPr>
            <w:tcW w:w="5386" w:type="dxa"/>
            <w:vAlign w:val="center"/>
          </w:tcPr>
          <w:p w14:paraId="122C495B">
            <w:pPr>
              <w:pStyle w:val="13"/>
            </w:pPr>
            <w:r>
              <w:t>学前：（基本标准600元/生/学年）</w:t>
            </w:r>
          </w:p>
        </w:tc>
        <w:tc>
          <w:tcPr>
            <w:tcW w:w="2268" w:type="dxa"/>
            <w:vAlign w:val="center"/>
          </w:tcPr>
          <w:p w14:paraId="5ED92476">
            <w:pPr>
              <w:pStyle w:val="13"/>
            </w:pPr>
            <w:r>
              <w:t>600元</w:t>
            </w:r>
          </w:p>
        </w:tc>
        <w:tc>
          <w:tcPr>
            <w:tcW w:w="1276" w:type="dxa"/>
            <w:vAlign w:val="center"/>
          </w:tcPr>
          <w:p w14:paraId="1F066167">
            <w:pPr>
              <w:pStyle w:val="13"/>
            </w:pPr>
            <w:r>
              <w:t>支持学前教育发展资金管理办法</w:t>
            </w:r>
          </w:p>
        </w:tc>
      </w:tr>
      <w:tr w14:paraId="3A2AC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64A78D">
            <w:pPr>
              <w:pStyle w:val="12"/>
            </w:pPr>
            <w:r>
              <w:t>效益指标</w:t>
            </w:r>
          </w:p>
        </w:tc>
        <w:tc>
          <w:tcPr>
            <w:tcW w:w="2268" w:type="dxa"/>
            <w:vAlign w:val="center"/>
          </w:tcPr>
          <w:p w14:paraId="6E69461D">
            <w:pPr>
              <w:pStyle w:val="13"/>
            </w:pPr>
            <w:r>
              <w:t>可持续影响指标</w:t>
            </w:r>
          </w:p>
        </w:tc>
        <w:tc>
          <w:tcPr>
            <w:tcW w:w="2835" w:type="dxa"/>
            <w:vAlign w:val="center"/>
          </w:tcPr>
          <w:p w14:paraId="4B8AF2DF">
            <w:pPr>
              <w:pStyle w:val="13"/>
            </w:pPr>
            <w:r>
              <w:t>教育发展水平明显好转</w:t>
            </w:r>
          </w:p>
        </w:tc>
        <w:tc>
          <w:tcPr>
            <w:tcW w:w="5386" w:type="dxa"/>
            <w:vAlign w:val="center"/>
          </w:tcPr>
          <w:p w14:paraId="331A466E">
            <w:pPr>
              <w:pStyle w:val="13"/>
            </w:pPr>
            <w:r>
              <w:t>学生受教育年限</w:t>
            </w:r>
          </w:p>
        </w:tc>
        <w:tc>
          <w:tcPr>
            <w:tcW w:w="2268" w:type="dxa"/>
            <w:vAlign w:val="center"/>
          </w:tcPr>
          <w:p w14:paraId="511C86D5">
            <w:pPr>
              <w:pStyle w:val="13"/>
            </w:pPr>
            <w:r>
              <w:t>3年</w:t>
            </w:r>
          </w:p>
        </w:tc>
        <w:tc>
          <w:tcPr>
            <w:tcW w:w="1276" w:type="dxa"/>
            <w:vAlign w:val="center"/>
          </w:tcPr>
          <w:p w14:paraId="2578F51D">
            <w:pPr>
              <w:pStyle w:val="13"/>
            </w:pPr>
            <w:r>
              <w:t>支持学前教育发展资金管理办法</w:t>
            </w:r>
          </w:p>
        </w:tc>
      </w:tr>
      <w:tr w14:paraId="2AB33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51D698">
            <w:pPr>
              <w:pStyle w:val="12"/>
            </w:pPr>
            <w:r>
              <w:t>满意度指标</w:t>
            </w:r>
          </w:p>
        </w:tc>
        <w:tc>
          <w:tcPr>
            <w:tcW w:w="2268" w:type="dxa"/>
            <w:vAlign w:val="center"/>
          </w:tcPr>
          <w:p w14:paraId="266FDB3E">
            <w:pPr>
              <w:pStyle w:val="13"/>
            </w:pPr>
            <w:r>
              <w:t>服务对象满意度指标</w:t>
            </w:r>
          </w:p>
        </w:tc>
        <w:tc>
          <w:tcPr>
            <w:tcW w:w="2835" w:type="dxa"/>
            <w:vAlign w:val="center"/>
          </w:tcPr>
          <w:p w14:paraId="6726B464">
            <w:pPr>
              <w:pStyle w:val="13"/>
            </w:pPr>
            <w:r>
              <w:t>受益学生家长及调查满意度</w:t>
            </w:r>
          </w:p>
        </w:tc>
        <w:tc>
          <w:tcPr>
            <w:tcW w:w="5386" w:type="dxa"/>
            <w:vAlign w:val="center"/>
          </w:tcPr>
          <w:p w14:paraId="2B72274E">
            <w:pPr>
              <w:pStyle w:val="13"/>
            </w:pPr>
            <w:r>
              <w:t>幼儿、教师及家长对学校保教保育工作满意度情况</w:t>
            </w:r>
          </w:p>
        </w:tc>
        <w:tc>
          <w:tcPr>
            <w:tcW w:w="2268" w:type="dxa"/>
            <w:vAlign w:val="center"/>
          </w:tcPr>
          <w:p w14:paraId="7F1CEFE8">
            <w:pPr>
              <w:pStyle w:val="13"/>
            </w:pPr>
            <w:r>
              <w:t>≥95%</w:t>
            </w:r>
          </w:p>
        </w:tc>
        <w:tc>
          <w:tcPr>
            <w:tcW w:w="1276" w:type="dxa"/>
            <w:vAlign w:val="center"/>
          </w:tcPr>
          <w:p w14:paraId="5751342F">
            <w:pPr>
              <w:pStyle w:val="13"/>
            </w:pPr>
            <w:r>
              <w:t>调查问卷</w:t>
            </w:r>
          </w:p>
        </w:tc>
      </w:tr>
    </w:tbl>
    <w:p w14:paraId="4F7610A2">
      <w:pPr>
        <w:sectPr>
          <w:pgSz w:w="16840" w:h="11900" w:orient="landscape"/>
          <w:pgMar w:top="1361" w:right="1020" w:bottom="1134" w:left="1020" w:header="720" w:footer="720" w:gutter="0"/>
          <w:cols w:space="720" w:num="1"/>
        </w:sectPr>
      </w:pPr>
    </w:p>
    <w:p w14:paraId="1E76D1C8">
      <w:pPr>
        <w:spacing w:before="0" w:after="0"/>
        <w:ind w:firstLine="560"/>
        <w:jc w:val="left"/>
        <w:outlineLvl w:val="9"/>
      </w:pPr>
      <w:r>
        <w:rPr>
          <w:rFonts w:ascii="方正仿宋_GBK" w:hAnsi="方正仿宋_GBK" w:eastAsia="方正仿宋_GBK" w:cs="方正仿宋_GBK"/>
          <w:b/>
          <w:color w:val="000000"/>
          <w:sz w:val="28"/>
        </w:rPr>
        <w:t>15、冀财教[2024]142号/省级/2025年学前发展资金/大张家庄校区学前教育幼儿资助绩效目标表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0A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3E45F">
            <w:pPr>
              <w:pStyle w:val="14"/>
            </w:pPr>
            <w:r>
              <w:t>单位：万元</w:t>
            </w:r>
          </w:p>
        </w:tc>
      </w:tr>
      <w:tr w14:paraId="5F10A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0197B">
            <w:pPr>
              <w:pStyle w:val="11"/>
            </w:pPr>
            <w:r>
              <w:t>项目编码</w:t>
            </w:r>
          </w:p>
        </w:tc>
        <w:tc>
          <w:tcPr>
            <w:tcW w:w="5103" w:type="dxa"/>
            <w:gridSpan w:val="2"/>
            <w:vAlign w:val="center"/>
          </w:tcPr>
          <w:p w14:paraId="1B9F869C">
            <w:pPr>
              <w:pStyle w:val="13"/>
            </w:pPr>
            <w:r>
              <w:t>13052525P00000210073J</w:t>
            </w:r>
          </w:p>
        </w:tc>
        <w:tc>
          <w:tcPr>
            <w:tcW w:w="2835" w:type="dxa"/>
            <w:vAlign w:val="center"/>
          </w:tcPr>
          <w:p w14:paraId="3190A2B1">
            <w:pPr>
              <w:pStyle w:val="11"/>
            </w:pPr>
            <w:r>
              <w:t>项目名称</w:t>
            </w:r>
          </w:p>
        </w:tc>
        <w:tc>
          <w:tcPr>
            <w:tcW w:w="6095" w:type="dxa"/>
            <w:gridSpan w:val="3"/>
            <w:vAlign w:val="center"/>
          </w:tcPr>
          <w:p w14:paraId="6229AE7A">
            <w:pPr>
              <w:pStyle w:val="13"/>
            </w:pPr>
            <w:r>
              <w:t>冀财教[2024]142号/省级/2025年学前发展资金/大张家庄校区学前教育幼儿资助</w:t>
            </w:r>
          </w:p>
        </w:tc>
      </w:tr>
      <w:tr w14:paraId="1E299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7F63E">
            <w:pPr>
              <w:pStyle w:val="11"/>
            </w:pPr>
            <w:r>
              <w:t>预算规模及资金用途</w:t>
            </w:r>
          </w:p>
        </w:tc>
        <w:tc>
          <w:tcPr>
            <w:tcW w:w="2268" w:type="dxa"/>
            <w:vAlign w:val="center"/>
          </w:tcPr>
          <w:p w14:paraId="780DBF7E">
            <w:pPr>
              <w:pStyle w:val="11"/>
            </w:pPr>
            <w:r>
              <w:t>预算数</w:t>
            </w:r>
          </w:p>
        </w:tc>
        <w:tc>
          <w:tcPr>
            <w:tcW w:w="2835" w:type="dxa"/>
            <w:vAlign w:val="center"/>
          </w:tcPr>
          <w:p w14:paraId="5B9A2E85">
            <w:pPr>
              <w:pStyle w:val="13"/>
            </w:pPr>
            <w:r>
              <w:t>0.28</w:t>
            </w:r>
          </w:p>
        </w:tc>
        <w:tc>
          <w:tcPr>
            <w:tcW w:w="2835" w:type="dxa"/>
            <w:vAlign w:val="center"/>
          </w:tcPr>
          <w:p w14:paraId="424B0F7B">
            <w:pPr>
              <w:pStyle w:val="11"/>
            </w:pPr>
            <w:r>
              <w:t>其中：财政    资金</w:t>
            </w:r>
          </w:p>
        </w:tc>
        <w:tc>
          <w:tcPr>
            <w:tcW w:w="2551" w:type="dxa"/>
            <w:vAlign w:val="center"/>
          </w:tcPr>
          <w:p w14:paraId="08E9B170">
            <w:pPr>
              <w:pStyle w:val="13"/>
            </w:pPr>
            <w:r>
              <w:t>0.28</w:t>
            </w:r>
          </w:p>
        </w:tc>
        <w:tc>
          <w:tcPr>
            <w:tcW w:w="2268" w:type="dxa"/>
            <w:vAlign w:val="center"/>
          </w:tcPr>
          <w:p w14:paraId="1147F73B">
            <w:pPr>
              <w:pStyle w:val="11"/>
            </w:pPr>
            <w:r>
              <w:t>其他资金</w:t>
            </w:r>
          </w:p>
        </w:tc>
        <w:tc>
          <w:tcPr>
            <w:tcW w:w="1276" w:type="dxa"/>
            <w:vAlign w:val="center"/>
          </w:tcPr>
          <w:p w14:paraId="41F1B412">
            <w:pPr>
              <w:pStyle w:val="13"/>
            </w:pPr>
            <w:r>
              <w:t xml:space="preserve"> </w:t>
            </w:r>
          </w:p>
        </w:tc>
      </w:tr>
      <w:tr w14:paraId="128F6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7E7FA"/>
        </w:tc>
        <w:tc>
          <w:tcPr>
            <w:tcW w:w="14033" w:type="dxa"/>
            <w:gridSpan w:val="6"/>
            <w:vAlign w:val="center"/>
          </w:tcPr>
          <w:p w14:paraId="7BA03683">
            <w:pPr>
              <w:pStyle w:val="13"/>
            </w:pPr>
            <w:r>
              <w:t>用于减轻学前受教育幼儿家庭经济负担，提高学前幼儿入学率。</w:t>
            </w:r>
          </w:p>
        </w:tc>
      </w:tr>
      <w:tr w14:paraId="0DE5A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A2476">
            <w:pPr>
              <w:pStyle w:val="11"/>
            </w:pPr>
            <w:r>
              <w:t>资金支出计划（%）</w:t>
            </w:r>
          </w:p>
        </w:tc>
        <w:tc>
          <w:tcPr>
            <w:tcW w:w="5103" w:type="dxa"/>
            <w:gridSpan w:val="2"/>
            <w:vAlign w:val="center"/>
          </w:tcPr>
          <w:p w14:paraId="070A1F9D">
            <w:pPr>
              <w:pStyle w:val="11"/>
            </w:pPr>
            <w:r>
              <w:t>3月底</w:t>
            </w:r>
          </w:p>
        </w:tc>
        <w:tc>
          <w:tcPr>
            <w:tcW w:w="2835" w:type="dxa"/>
            <w:vAlign w:val="center"/>
          </w:tcPr>
          <w:p w14:paraId="6C693AFC">
            <w:pPr>
              <w:pStyle w:val="11"/>
            </w:pPr>
            <w:r>
              <w:t>6月底</w:t>
            </w:r>
          </w:p>
        </w:tc>
        <w:tc>
          <w:tcPr>
            <w:tcW w:w="2551" w:type="dxa"/>
            <w:vAlign w:val="center"/>
          </w:tcPr>
          <w:p w14:paraId="75CCA628">
            <w:pPr>
              <w:pStyle w:val="11"/>
            </w:pPr>
            <w:r>
              <w:t>10月底</w:t>
            </w:r>
          </w:p>
        </w:tc>
        <w:tc>
          <w:tcPr>
            <w:tcW w:w="3544" w:type="dxa"/>
            <w:gridSpan w:val="2"/>
            <w:vAlign w:val="center"/>
          </w:tcPr>
          <w:p w14:paraId="42FD02A6">
            <w:pPr>
              <w:pStyle w:val="11"/>
            </w:pPr>
            <w:r>
              <w:t>12月底</w:t>
            </w:r>
          </w:p>
        </w:tc>
      </w:tr>
      <w:tr w14:paraId="5278B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308113"/>
        </w:tc>
        <w:tc>
          <w:tcPr>
            <w:tcW w:w="5103" w:type="dxa"/>
            <w:gridSpan w:val="2"/>
            <w:vAlign w:val="center"/>
          </w:tcPr>
          <w:p w14:paraId="6FE2EB1A">
            <w:pPr>
              <w:pStyle w:val="12"/>
            </w:pPr>
            <w:r>
              <w:t xml:space="preserve"> </w:t>
            </w:r>
          </w:p>
        </w:tc>
        <w:tc>
          <w:tcPr>
            <w:tcW w:w="2835" w:type="dxa"/>
            <w:vAlign w:val="center"/>
          </w:tcPr>
          <w:p w14:paraId="619D8BFB">
            <w:pPr>
              <w:pStyle w:val="12"/>
            </w:pPr>
            <w:r>
              <w:t>100%</w:t>
            </w:r>
          </w:p>
        </w:tc>
        <w:tc>
          <w:tcPr>
            <w:tcW w:w="2551" w:type="dxa"/>
            <w:vAlign w:val="center"/>
          </w:tcPr>
          <w:p w14:paraId="7A16C019">
            <w:pPr>
              <w:pStyle w:val="12"/>
            </w:pPr>
            <w:r>
              <w:t>100%</w:t>
            </w:r>
          </w:p>
        </w:tc>
        <w:tc>
          <w:tcPr>
            <w:tcW w:w="3544" w:type="dxa"/>
            <w:gridSpan w:val="2"/>
            <w:vAlign w:val="center"/>
          </w:tcPr>
          <w:p w14:paraId="75E697B5">
            <w:pPr>
              <w:pStyle w:val="12"/>
            </w:pPr>
            <w:r>
              <w:t>100%</w:t>
            </w:r>
          </w:p>
        </w:tc>
      </w:tr>
      <w:tr w14:paraId="79222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CDBD53">
            <w:pPr>
              <w:pStyle w:val="11"/>
            </w:pPr>
            <w:r>
              <w:t>绩效目标</w:t>
            </w:r>
          </w:p>
        </w:tc>
        <w:tc>
          <w:tcPr>
            <w:tcW w:w="14033" w:type="dxa"/>
            <w:gridSpan w:val="6"/>
            <w:vAlign w:val="center"/>
          </w:tcPr>
          <w:p w14:paraId="3B49EA2B">
            <w:pPr>
              <w:pStyle w:val="13"/>
            </w:pPr>
            <w:r>
              <w:t>1.减轻学前受教育幼儿家庭经济负担，提高学前幼儿入学率。</w:t>
            </w:r>
          </w:p>
          <w:p w14:paraId="1BC386CA">
            <w:pPr>
              <w:pStyle w:val="13"/>
            </w:pPr>
            <w:r>
              <w:t>2.保障落实建档立卡及家庭经济困难儿童资助所需资金，确保建档立卡等家庭经济困难幼儿优先获得资助</w:t>
            </w:r>
          </w:p>
        </w:tc>
      </w:tr>
    </w:tbl>
    <w:p w14:paraId="13471F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D1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3FFC2">
            <w:pPr>
              <w:pStyle w:val="11"/>
            </w:pPr>
            <w:r>
              <w:t>一级指标</w:t>
            </w:r>
          </w:p>
        </w:tc>
        <w:tc>
          <w:tcPr>
            <w:tcW w:w="2268" w:type="dxa"/>
            <w:vAlign w:val="center"/>
          </w:tcPr>
          <w:p w14:paraId="21873B5C">
            <w:pPr>
              <w:pStyle w:val="11"/>
            </w:pPr>
            <w:r>
              <w:t>二级指标</w:t>
            </w:r>
          </w:p>
        </w:tc>
        <w:tc>
          <w:tcPr>
            <w:tcW w:w="2835" w:type="dxa"/>
            <w:vAlign w:val="center"/>
          </w:tcPr>
          <w:p w14:paraId="03AA38DB">
            <w:pPr>
              <w:pStyle w:val="11"/>
            </w:pPr>
            <w:r>
              <w:t>三级指标</w:t>
            </w:r>
          </w:p>
        </w:tc>
        <w:tc>
          <w:tcPr>
            <w:tcW w:w="5386" w:type="dxa"/>
            <w:vAlign w:val="center"/>
          </w:tcPr>
          <w:p w14:paraId="69518A5E">
            <w:pPr>
              <w:pStyle w:val="11"/>
            </w:pPr>
            <w:r>
              <w:t>绩效指标描述</w:t>
            </w:r>
          </w:p>
        </w:tc>
        <w:tc>
          <w:tcPr>
            <w:tcW w:w="2268" w:type="dxa"/>
            <w:vAlign w:val="center"/>
          </w:tcPr>
          <w:p w14:paraId="01CB62D0">
            <w:pPr>
              <w:pStyle w:val="11"/>
            </w:pPr>
            <w:r>
              <w:t>指标值</w:t>
            </w:r>
          </w:p>
        </w:tc>
        <w:tc>
          <w:tcPr>
            <w:tcW w:w="1276" w:type="dxa"/>
            <w:vAlign w:val="center"/>
          </w:tcPr>
          <w:p w14:paraId="52D18AF2">
            <w:pPr>
              <w:pStyle w:val="11"/>
            </w:pPr>
            <w:r>
              <w:t>指标值确定依据</w:t>
            </w:r>
          </w:p>
        </w:tc>
      </w:tr>
      <w:tr w14:paraId="41A9D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E9BFA">
            <w:pPr>
              <w:pStyle w:val="12"/>
            </w:pPr>
            <w:r>
              <w:t>产出指标</w:t>
            </w:r>
          </w:p>
        </w:tc>
        <w:tc>
          <w:tcPr>
            <w:tcW w:w="2268" w:type="dxa"/>
            <w:vAlign w:val="center"/>
          </w:tcPr>
          <w:p w14:paraId="48D02751">
            <w:pPr>
              <w:pStyle w:val="13"/>
            </w:pPr>
            <w:r>
              <w:t>数量指标</w:t>
            </w:r>
          </w:p>
        </w:tc>
        <w:tc>
          <w:tcPr>
            <w:tcW w:w="2835" w:type="dxa"/>
            <w:vAlign w:val="center"/>
          </w:tcPr>
          <w:p w14:paraId="4C0127F5">
            <w:pPr>
              <w:pStyle w:val="13"/>
            </w:pPr>
            <w:r>
              <w:t>幼儿资助比例</w:t>
            </w:r>
          </w:p>
        </w:tc>
        <w:tc>
          <w:tcPr>
            <w:tcW w:w="5386" w:type="dxa"/>
            <w:vAlign w:val="center"/>
          </w:tcPr>
          <w:p w14:paraId="4B56C828">
            <w:pPr>
              <w:pStyle w:val="13"/>
            </w:pPr>
            <w:r>
              <w:t>按学前适龄在园儿童实际资助人数测算</w:t>
            </w:r>
          </w:p>
        </w:tc>
        <w:tc>
          <w:tcPr>
            <w:tcW w:w="2268" w:type="dxa"/>
            <w:vAlign w:val="center"/>
          </w:tcPr>
          <w:p w14:paraId="66BA651C">
            <w:pPr>
              <w:pStyle w:val="13"/>
            </w:pPr>
            <w:r>
              <w:t>14人</w:t>
            </w:r>
          </w:p>
        </w:tc>
        <w:tc>
          <w:tcPr>
            <w:tcW w:w="1276" w:type="dxa"/>
            <w:vAlign w:val="center"/>
          </w:tcPr>
          <w:p w14:paraId="570F085F">
            <w:pPr>
              <w:pStyle w:val="13"/>
            </w:pPr>
            <w:r>
              <w:t>发展学前教育资金管理办法</w:t>
            </w:r>
          </w:p>
        </w:tc>
      </w:tr>
      <w:tr w14:paraId="423FA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50AC7"/>
        </w:tc>
        <w:tc>
          <w:tcPr>
            <w:tcW w:w="2268" w:type="dxa"/>
            <w:vAlign w:val="center"/>
          </w:tcPr>
          <w:p w14:paraId="7B97CF7E">
            <w:pPr>
              <w:pStyle w:val="13"/>
            </w:pPr>
            <w:r>
              <w:t>质量指标</w:t>
            </w:r>
          </w:p>
        </w:tc>
        <w:tc>
          <w:tcPr>
            <w:tcW w:w="2835" w:type="dxa"/>
            <w:vAlign w:val="center"/>
          </w:tcPr>
          <w:p w14:paraId="70652CF5">
            <w:pPr>
              <w:pStyle w:val="13"/>
            </w:pPr>
            <w:r>
              <w:t>学前教育资助制度落实情况</w:t>
            </w:r>
          </w:p>
        </w:tc>
        <w:tc>
          <w:tcPr>
            <w:tcW w:w="5386" w:type="dxa"/>
            <w:vAlign w:val="center"/>
          </w:tcPr>
          <w:p w14:paraId="34BF8EAA">
            <w:pPr>
              <w:pStyle w:val="13"/>
            </w:pPr>
            <w:r>
              <w:t>符合享受资助条件的学生覆盖率</w:t>
            </w:r>
          </w:p>
        </w:tc>
        <w:tc>
          <w:tcPr>
            <w:tcW w:w="2268" w:type="dxa"/>
            <w:vAlign w:val="center"/>
          </w:tcPr>
          <w:p w14:paraId="2BE627D6">
            <w:pPr>
              <w:pStyle w:val="13"/>
            </w:pPr>
            <w:r>
              <w:t>≥100%</w:t>
            </w:r>
          </w:p>
        </w:tc>
        <w:tc>
          <w:tcPr>
            <w:tcW w:w="1276" w:type="dxa"/>
            <w:vAlign w:val="center"/>
          </w:tcPr>
          <w:p w14:paraId="292D8BA1">
            <w:pPr>
              <w:pStyle w:val="13"/>
            </w:pPr>
            <w:r>
              <w:t>发展学前教育资金管理办法</w:t>
            </w:r>
          </w:p>
        </w:tc>
      </w:tr>
      <w:tr w14:paraId="20836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CAE10"/>
        </w:tc>
        <w:tc>
          <w:tcPr>
            <w:tcW w:w="2268" w:type="dxa"/>
            <w:vAlign w:val="center"/>
          </w:tcPr>
          <w:p w14:paraId="348218F3">
            <w:pPr>
              <w:pStyle w:val="13"/>
            </w:pPr>
            <w:r>
              <w:t>时效指标</w:t>
            </w:r>
          </w:p>
        </w:tc>
        <w:tc>
          <w:tcPr>
            <w:tcW w:w="2835" w:type="dxa"/>
            <w:vAlign w:val="center"/>
          </w:tcPr>
          <w:p w14:paraId="508EF1F7">
            <w:pPr>
              <w:pStyle w:val="13"/>
            </w:pPr>
            <w:r>
              <w:t>资金拨付率</w:t>
            </w:r>
          </w:p>
        </w:tc>
        <w:tc>
          <w:tcPr>
            <w:tcW w:w="5386" w:type="dxa"/>
            <w:vAlign w:val="center"/>
          </w:tcPr>
          <w:p w14:paraId="5FB5E145">
            <w:pPr>
              <w:pStyle w:val="13"/>
            </w:pPr>
            <w:r>
              <w:t>按进度进行资金支付</w:t>
            </w:r>
          </w:p>
        </w:tc>
        <w:tc>
          <w:tcPr>
            <w:tcW w:w="2268" w:type="dxa"/>
            <w:vAlign w:val="center"/>
          </w:tcPr>
          <w:p w14:paraId="13AC11E8">
            <w:pPr>
              <w:pStyle w:val="13"/>
            </w:pPr>
            <w:r>
              <w:t>≥100%</w:t>
            </w:r>
          </w:p>
        </w:tc>
        <w:tc>
          <w:tcPr>
            <w:tcW w:w="1276" w:type="dxa"/>
            <w:vAlign w:val="center"/>
          </w:tcPr>
          <w:p w14:paraId="2519A534">
            <w:pPr>
              <w:pStyle w:val="13"/>
            </w:pPr>
            <w:r>
              <w:t>发展学前教育资金管理办法</w:t>
            </w:r>
          </w:p>
        </w:tc>
      </w:tr>
      <w:tr w14:paraId="40B39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CB84F"/>
        </w:tc>
        <w:tc>
          <w:tcPr>
            <w:tcW w:w="2268" w:type="dxa"/>
            <w:vAlign w:val="center"/>
          </w:tcPr>
          <w:p w14:paraId="5ABA7014">
            <w:pPr>
              <w:pStyle w:val="13"/>
            </w:pPr>
            <w:r>
              <w:t>成本指标</w:t>
            </w:r>
          </w:p>
        </w:tc>
        <w:tc>
          <w:tcPr>
            <w:tcW w:w="2835" w:type="dxa"/>
            <w:vAlign w:val="center"/>
          </w:tcPr>
          <w:p w14:paraId="309A577F">
            <w:pPr>
              <w:pStyle w:val="13"/>
            </w:pPr>
            <w:r>
              <w:t>生均拨款标准</w:t>
            </w:r>
          </w:p>
        </w:tc>
        <w:tc>
          <w:tcPr>
            <w:tcW w:w="5386" w:type="dxa"/>
            <w:vAlign w:val="center"/>
          </w:tcPr>
          <w:p w14:paraId="549ABC34">
            <w:pPr>
              <w:pStyle w:val="13"/>
            </w:pPr>
            <w:r>
              <w:t>按规定标准落实</w:t>
            </w:r>
          </w:p>
        </w:tc>
        <w:tc>
          <w:tcPr>
            <w:tcW w:w="2268" w:type="dxa"/>
            <w:vAlign w:val="center"/>
          </w:tcPr>
          <w:p w14:paraId="0DE85583">
            <w:pPr>
              <w:pStyle w:val="13"/>
            </w:pPr>
            <w:r>
              <w:t>500元/生/半年</w:t>
            </w:r>
          </w:p>
        </w:tc>
        <w:tc>
          <w:tcPr>
            <w:tcW w:w="1276" w:type="dxa"/>
            <w:vAlign w:val="center"/>
          </w:tcPr>
          <w:p w14:paraId="3ED76694">
            <w:pPr>
              <w:pStyle w:val="13"/>
            </w:pPr>
            <w:r>
              <w:t>发展学前教育资金管理办法</w:t>
            </w:r>
          </w:p>
        </w:tc>
      </w:tr>
      <w:tr w14:paraId="3BC83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356B8F">
            <w:pPr>
              <w:pStyle w:val="12"/>
            </w:pPr>
            <w:r>
              <w:t>效益指标</w:t>
            </w:r>
          </w:p>
        </w:tc>
        <w:tc>
          <w:tcPr>
            <w:tcW w:w="2268" w:type="dxa"/>
            <w:vAlign w:val="center"/>
          </w:tcPr>
          <w:p w14:paraId="5043FADC">
            <w:pPr>
              <w:pStyle w:val="13"/>
            </w:pPr>
            <w:r>
              <w:t>可持续影响指标</w:t>
            </w:r>
          </w:p>
        </w:tc>
        <w:tc>
          <w:tcPr>
            <w:tcW w:w="2835" w:type="dxa"/>
            <w:vAlign w:val="center"/>
          </w:tcPr>
          <w:p w14:paraId="6F85055D">
            <w:pPr>
              <w:pStyle w:val="13"/>
            </w:pPr>
            <w:r>
              <w:t>教育发展水平明显好转</w:t>
            </w:r>
          </w:p>
        </w:tc>
        <w:tc>
          <w:tcPr>
            <w:tcW w:w="5386" w:type="dxa"/>
            <w:vAlign w:val="center"/>
          </w:tcPr>
          <w:p w14:paraId="4AA483B2">
            <w:pPr>
              <w:pStyle w:val="13"/>
            </w:pPr>
            <w:r>
              <w:t>幼儿受教育年限</w:t>
            </w:r>
          </w:p>
        </w:tc>
        <w:tc>
          <w:tcPr>
            <w:tcW w:w="2268" w:type="dxa"/>
            <w:vAlign w:val="center"/>
          </w:tcPr>
          <w:p w14:paraId="31770A10">
            <w:pPr>
              <w:pStyle w:val="13"/>
            </w:pPr>
            <w:r>
              <w:t>3年</w:t>
            </w:r>
          </w:p>
        </w:tc>
        <w:tc>
          <w:tcPr>
            <w:tcW w:w="1276" w:type="dxa"/>
            <w:vAlign w:val="center"/>
          </w:tcPr>
          <w:p w14:paraId="7E283D79">
            <w:pPr>
              <w:pStyle w:val="13"/>
            </w:pPr>
            <w:r>
              <w:t>发展学前教育资金管理办法</w:t>
            </w:r>
          </w:p>
        </w:tc>
      </w:tr>
      <w:tr w14:paraId="2A268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BF766">
            <w:pPr>
              <w:pStyle w:val="12"/>
            </w:pPr>
            <w:r>
              <w:t>满意度指标</w:t>
            </w:r>
          </w:p>
        </w:tc>
        <w:tc>
          <w:tcPr>
            <w:tcW w:w="2268" w:type="dxa"/>
            <w:vAlign w:val="center"/>
          </w:tcPr>
          <w:p w14:paraId="22FD5D2C">
            <w:pPr>
              <w:pStyle w:val="13"/>
            </w:pPr>
            <w:r>
              <w:t>服务对象满意度指标</w:t>
            </w:r>
          </w:p>
        </w:tc>
        <w:tc>
          <w:tcPr>
            <w:tcW w:w="2835" w:type="dxa"/>
            <w:vAlign w:val="center"/>
          </w:tcPr>
          <w:p w14:paraId="0101AB4A">
            <w:pPr>
              <w:pStyle w:val="13"/>
            </w:pPr>
            <w:r>
              <w:t>受益幼儿家长及调查满意度</w:t>
            </w:r>
          </w:p>
        </w:tc>
        <w:tc>
          <w:tcPr>
            <w:tcW w:w="5386" w:type="dxa"/>
            <w:vAlign w:val="center"/>
          </w:tcPr>
          <w:p w14:paraId="0F147038">
            <w:pPr>
              <w:pStyle w:val="13"/>
            </w:pPr>
            <w:r>
              <w:t>学生、教师及家长对学校保教保育工作满意度情况</w:t>
            </w:r>
          </w:p>
        </w:tc>
        <w:tc>
          <w:tcPr>
            <w:tcW w:w="2268" w:type="dxa"/>
            <w:vAlign w:val="center"/>
          </w:tcPr>
          <w:p w14:paraId="20A993F2">
            <w:pPr>
              <w:pStyle w:val="13"/>
            </w:pPr>
            <w:r>
              <w:t>≥95%</w:t>
            </w:r>
          </w:p>
        </w:tc>
        <w:tc>
          <w:tcPr>
            <w:tcW w:w="1276" w:type="dxa"/>
            <w:vAlign w:val="center"/>
          </w:tcPr>
          <w:p w14:paraId="571A6809">
            <w:pPr>
              <w:pStyle w:val="13"/>
            </w:pPr>
            <w:r>
              <w:t>调查问卷</w:t>
            </w:r>
          </w:p>
        </w:tc>
      </w:tr>
    </w:tbl>
    <w:p w14:paraId="6081FBF9">
      <w:pPr>
        <w:sectPr>
          <w:pgSz w:w="16840" w:h="11900" w:orient="landscape"/>
          <w:pgMar w:top="1361" w:right="1020" w:bottom="1134" w:left="1020" w:header="720" w:footer="720" w:gutter="0"/>
          <w:cols w:space="720" w:num="1"/>
        </w:sectPr>
      </w:pPr>
    </w:p>
    <w:p w14:paraId="39AB2446">
      <w:pPr>
        <w:spacing w:before="0" w:after="0"/>
        <w:ind w:firstLine="560"/>
        <w:jc w:val="left"/>
        <w:outlineLvl w:val="9"/>
      </w:pPr>
      <w:r>
        <w:rPr>
          <w:rFonts w:ascii="方正仿宋_GBK" w:hAnsi="方正仿宋_GBK" w:eastAsia="方正仿宋_GBK" w:cs="方正仿宋_GBK"/>
          <w:b/>
          <w:color w:val="000000"/>
          <w:sz w:val="28"/>
        </w:rPr>
        <w:t>16、冀财教[2024]28号/国债/省级/隆尧县黄家庄小学教学楼灾后重建项目绩效目标表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52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FFF61">
            <w:pPr>
              <w:pStyle w:val="14"/>
            </w:pPr>
            <w:r>
              <w:t>单位：万元</w:t>
            </w:r>
          </w:p>
        </w:tc>
      </w:tr>
      <w:tr w14:paraId="4F571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1CB88">
            <w:pPr>
              <w:pStyle w:val="11"/>
            </w:pPr>
            <w:r>
              <w:t>项目编码</w:t>
            </w:r>
          </w:p>
        </w:tc>
        <w:tc>
          <w:tcPr>
            <w:tcW w:w="5103" w:type="dxa"/>
            <w:gridSpan w:val="2"/>
            <w:vAlign w:val="center"/>
          </w:tcPr>
          <w:p w14:paraId="71D2F74E">
            <w:pPr>
              <w:pStyle w:val="13"/>
            </w:pPr>
            <w:r>
              <w:t>13052524P00000611282Q</w:t>
            </w:r>
          </w:p>
        </w:tc>
        <w:tc>
          <w:tcPr>
            <w:tcW w:w="2835" w:type="dxa"/>
            <w:vAlign w:val="center"/>
          </w:tcPr>
          <w:p w14:paraId="7A73AF7C">
            <w:pPr>
              <w:pStyle w:val="11"/>
            </w:pPr>
            <w:r>
              <w:t>项目名称</w:t>
            </w:r>
          </w:p>
        </w:tc>
        <w:tc>
          <w:tcPr>
            <w:tcW w:w="6095" w:type="dxa"/>
            <w:gridSpan w:val="3"/>
            <w:vAlign w:val="center"/>
          </w:tcPr>
          <w:p w14:paraId="00A0B5F9">
            <w:pPr>
              <w:pStyle w:val="13"/>
            </w:pPr>
            <w:r>
              <w:t>冀财教[2024]28号/国债/省级/隆尧县黄家庄小学教学楼灾后重建项目</w:t>
            </w:r>
          </w:p>
        </w:tc>
      </w:tr>
      <w:tr w14:paraId="2ED7B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EF984">
            <w:pPr>
              <w:pStyle w:val="11"/>
            </w:pPr>
            <w:r>
              <w:t>预算规模及资金用途</w:t>
            </w:r>
          </w:p>
        </w:tc>
        <w:tc>
          <w:tcPr>
            <w:tcW w:w="2268" w:type="dxa"/>
            <w:vAlign w:val="center"/>
          </w:tcPr>
          <w:p w14:paraId="6D8B0FA4">
            <w:pPr>
              <w:pStyle w:val="11"/>
            </w:pPr>
            <w:r>
              <w:t>预算数</w:t>
            </w:r>
          </w:p>
        </w:tc>
        <w:tc>
          <w:tcPr>
            <w:tcW w:w="2835" w:type="dxa"/>
            <w:vAlign w:val="center"/>
          </w:tcPr>
          <w:p w14:paraId="37A5A113">
            <w:pPr>
              <w:pStyle w:val="13"/>
            </w:pPr>
            <w:r>
              <w:t>157.29</w:t>
            </w:r>
          </w:p>
        </w:tc>
        <w:tc>
          <w:tcPr>
            <w:tcW w:w="2835" w:type="dxa"/>
            <w:vAlign w:val="center"/>
          </w:tcPr>
          <w:p w14:paraId="29CD724C">
            <w:pPr>
              <w:pStyle w:val="11"/>
            </w:pPr>
            <w:r>
              <w:t>其中：财政    资金</w:t>
            </w:r>
          </w:p>
        </w:tc>
        <w:tc>
          <w:tcPr>
            <w:tcW w:w="2551" w:type="dxa"/>
            <w:vAlign w:val="center"/>
          </w:tcPr>
          <w:p w14:paraId="714062E2">
            <w:pPr>
              <w:pStyle w:val="13"/>
            </w:pPr>
            <w:r>
              <w:t>157.29</w:t>
            </w:r>
          </w:p>
        </w:tc>
        <w:tc>
          <w:tcPr>
            <w:tcW w:w="2268" w:type="dxa"/>
            <w:vAlign w:val="center"/>
          </w:tcPr>
          <w:p w14:paraId="3F26A88C">
            <w:pPr>
              <w:pStyle w:val="11"/>
            </w:pPr>
            <w:r>
              <w:t>其他资金</w:t>
            </w:r>
          </w:p>
        </w:tc>
        <w:tc>
          <w:tcPr>
            <w:tcW w:w="1276" w:type="dxa"/>
            <w:vAlign w:val="center"/>
          </w:tcPr>
          <w:p w14:paraId="3302F857">
            <w:pPr>
              <w:pStyle w:val="13"/>
            </w:pPr>
            <w:r>
              <w:t xml:space="preserve"> </w:t>
            </w:r>
          </w:p>
        </w:tc>
      </w:tr>
      <w:tr w14:paraId="2FAF7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B444ED"/>
        </w:tc>
        <w:tc>
          <w:tcPr>
            <w:tcW w:w="14033" w:type="dxa"/>
            <w:gridSpan w:val="6"/>
            <w:vAlign w:val="center"/>
          </w:tcPr>
          <w:p w14:paraId="7187FA5E">
            <w:pPr>
              <w:pStyle w:val="13"/>
            </w:pPr>
            <w:r>
              <w:t>用于黄家庄小学教学楼灾后重建项目</w:t>
            </w:r>
          </w:p>
        </w:tc>
      </w:tr>
      <w:tr w14:paraId="0E31F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2AA70">
            <w:pPr>
              <w:pStyle w:val="11"/>
            </w:pPr>
            <w:r>
              <w:t>资金支出计划（%）</w:t>
            </w:r>
          </w:p>
        </w:tc>
        <w:tc>
          <w:tcPr>
            <w:tcW w:w="5103" w:type="dxa"/>
            <w:gridSpan w:val="2"/>
            <w:vAlign w:val="center"/>
          </w:tcPr>
          <w:p w14:paraId="6BDC6C90">
            <w:pPr>
              <w:pStyle w:val="11"/>
            </w:pPr>
            <w:r>
              <w:t>3月底</w:t>
            </w:r>
          </w:p>
        </w:tc>
        <w:tc>
          <w:tcPr>
            <w:tcW w:w="2835" w:type="dxa"/>
            <w:vAlign w:val="center"/>
          </w:tcPr>
          <w:p w14:paraId="6C31374D">
            <w:pPr>
              <w:pStyle w:val="11"/>
            </w:pPr>
            <w:r>
              <w:t>6月底</w:t>
            </w:r>
          </w:p>
        </w:tc>
        <w:tc>
          <w:tcPr>
            <w:tcW w:w="2551" w:type="dxa"/>
            <w:vAlign w:val="center"/>
          </w:tcPr>
          <w:p w14:paraId="2BF9BF6D">
            <w:pPr>
              <w:pStyle w:val="11"/>
            </w:pPr>
            <w:r>
              <w:t>10月底</w:t>
            </w:r>
          </w:p>
        </w:tc>
        <w:tc>
          <w:tcPr>
            <w:tcW w:w="3544" w:type="dxa"/>
            <w:gridSpan w:val="2"/>
            <w:vAlign w:val="center"/>
          </w:tcPr>
          <w:p w14:paraId="5C623B47">
            <w:pPr>
              <w:pStyle w:val="11"/>
            </w:pPr>
            <w:r>
              <w:t>12月底</w:t>
            </w:r>
          </w:p>
        </w:tc>
      </w:tr>
      <w:tr w14:paraId="4E0F1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CB5D11"/>
        </w:tc>
        <w:tc>
          <w:tcPr>
            <w:tcW w:w="5103" w:type="dxa"/>
            <w:gridSpan w:val="2"/>
            <w:vAlign w:val="center"/>
          </w:tcPr>
          <w:p w14:paraId="2E96BAA4">
            <w:pPr>
              <w:pStyle w:val="12"/>
            </w:pPr>
            <w:r>
              <w:t xml:space="preserve"> </w:t>
            </w:r>
          </w:p>
        </w:tc>
        <w:tc>
          <w:tcPr>
            <w:tcW w:w="2835" w:type="dxa"/>
            <w:vAlign w:val="center"/>
          </w:tcPr>
          <w:p w14:paraId="4490B629">
            <w:pPr>
              <w:pStyle w:val="12"/>
            </w:pPr>
            <w:r>
              <w:t>100%</w:t>
            </w:r>
          </w:p>
        </w:tc>
        <w:tc>
          <w:tcPr>
            <w:tcW w:w="2551" w:type="dxa"/>
            <w:vAlign w:val="center"/>
          </w:tcPr>
          <w:p w14:paraId="0E8DFC19">
            <w:pPr>
              <w:pStyle w:val="12"/>
            </w:pPr>
            <w:r>
              <w:t>100%</w:t>
            </w:r>
          </w:p>
        </w:tc>
        <w:tc>
          <w:tcPr>
            <w:tcW w:w="3544" w:type="dxa"/>
            <w:gridSpan w:val="2"/>
            <w:vAlign w:val="center"/>
          </w:tcPr>
          <w:p w14:paraId="6CD7BB50">
            <w:pPr>
              <w:pStyle w:val="12"/>
            </w:pPr>
            <w:r>
              <w:t>100%</w:t>
            </w:r>
          </w:p>
        </w:tc>
      </w:tr>
      <w:tr w14:paraId="672D6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AAB6F2">
            <w:pPr>
              <w:pStyle w:val="11"/>
            </w:pPr>
            <w:r>
              <w:t>绩效目标</w:t>
            </w:r>
          </w:p>
        </w:tc>
        <w:tc>
          <w:tcPr>
            <w:tcW w:w="14033" w:type="dxa"/>
            <w:gridSpan w:val="6"/>
            <w:vAlign w:val="center"/>
          </w:tcPr>
          <w:p w14:paraId="6659A0BE">
            <w:pPr>
              <w:pStyle w:val="13"/>
            </w:pPr>
            <w:r>
              <w:t>1.该项目拟于2024年5月开工建设，到2024年12底月竣工，建设期限8个月；实现学校等公益性设施灾后恢复重建，帮助灾区尽快恢复教育教学秩序。</w:t>
            </w:r>
          </w:p>
        </w:tc>
      </w:tr>
    </w:tbl>
    <w:p w14:paraId="54057C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3D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E9C43">
            <w:pPr>
              <w:pStyle w:val="11"/>
            </w:pPr>
            <w:r>
              <w:t>一级指标</w:t>
            </w:r>
          </w:p>
        </w:tc>
        <w:tc>
          <w:tcPr>
            <w:tcW w:w="2268" w:type="dxa"/>
            <w:vAlign w:val="center"/>
          </w:tcPr>
          <w:p w14:paraId="47246E9B">
            <w:pPr>
              <w:pStyle w:val="11"/>
            </w:pPr>
            <w:r>
              <w:t>二级指标</w:t>
            </w:r>
          </w:p>
        </w:tc>
        <w:tc>
          <w:tcPr>
            <w:tcW w:w="2835" w:type="dxa"/>
            <w:vAlign w:val="center"/>
          </w:tcPr>
          <w:p w14:paraId="0C1E7F19">
            <w:pPr>
              <w:pStyle w:val="11"/>
            </w:pPr>
            <w:r>
              <w:t>三级指标</w:t>
            </w:r>
          </w:p>
        </w:tc>
        <w:tc>
          <w:tcPr>
            <w:tcW w:w="5386" w:type="dxa"/>
            <w:vAlign w:val="center"/>
          </w:tcPr>
          <w:p w14:paraId="610930BE">
            <w:pPr>
              <w:pStyle w:val="11"/>
            </w:pPr>
            <w:r>
              <w:t>绩效指标描述</w:t>
            </w:r>
          </w:p>
        </w:tc>
        <w:tc>
          <w:tcPr>
            <w:tcW w:w="2268" w:type="dxa"/>
            <w:vAlign w:val="center"/>
          </w:tcPr>
          <w:p w14:paraId="65E81A6E">
            <w:pPr>
              <w:pStyle w:val="11"/>
            </w:pPr>
            <w:r>
              <w:t>指标值</w:t>
            </w:r>
          </w:p>
        </w:tc>
        <w:tc>
          <w:tcPr>
            <w:tcW w:w="1276" w:type="dxa"/>
            <w:vAlign w:val="center"/>
          </w:tcPr>
          <w:p w14:paraId="530B168C">
            <w:pPr>
              <w:pStyle w:val="11"/>
            </w:pPr>
            <w:r>
              <w:t>指标值确定依据</w:t>
            </w:r>
          </w:p>
        </w:tc>
      </w:tr>
      <w:tr w14:paraId="5016D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63522">
            <w:pPr>
              <w:pStyle w:val="12"/>
            </w:pPr>
            <w:r>
              <w:t>产出指标</w:t>
            </w:r>
          </w:p>
        </w:tc>
        <w:tc>
          <w:tcPr>
            <w:tcW w:w="2268" w:type="dxa"/>
            <w:vAlign w:val="center"/>
          </w:tcPr>
          <w:p w14:paraId="41F36012">
            <w:pPr>
              <w:pStyle w:val="13"/>
            </w:pPr>
            <w:r>
              <w:t>数量指标</w:t>
            </w:r>
          </w:p>
        </w:tc>
        <w:tc>
          <w:tcPr>
            <w:tcW w:w="2835" w:type="dxa"/>
            <w:vAlign w:val="center"/>
          </w:tcPr>
          <w:p w14:paraId="5A741755">
            <w:pPr>
              <w:pStyle w:val="13"/>
            </w:pPr>
            <w:r>
              <w:t>规划用地面积</w:t>
            </w:r>
          </w:p>
        </w:tc>
        <w:tc>
          <w:tcPr>
            <w:tcW w:w="5386" w:type="dxa"/>
            <w:vAlign w:val="center"/>
          </w:tcPr>
          <w:p w14:paraId="71A26BA4">
            <w:pPr>
              <w:pStyle w:val="13"/>
            </w:pPr>
            <w:r>
              <w:t>总用地面积</w:t>
            </w:r>
          </w:p>
        </w:tc>
        <w:tc>
          <w:tcPr>
            <w:tcW w:w="2268" w:type="dxa"/>
            <w:vAlign w:val="center"/>
          </w:tcPr>
          <w:p w14:paraId="44E8D56D">
            <w:pPr>
              <w:pStyle w:val="13"/>
            </w:pPr>
            <w:r>
              <w:t>≥9.5亩</w:t>
            </w:r>
          </w:p>
        </w:tc>
        <w:tc>
          <w:tcPr>
            <w:tcW w:w="1276" w:type="dxa"/>
            <w:vAlign w:val="center"/>
          </w:tcPr>
          <w:p w14:paraId="404E19DC">
            <w:pPr>
              <w:pStyle w:val="13"/>
            </w:pPr>
            <w:r>
              <w:t>项目规划</w:t>
            </w:r>
          </w:p>
        </w:tc>
      </w:tr>
      <w:tr w14:paraId="0E92E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105AA"/>
        </w:tc>
        <w:tc>
          <w:tcPr>
            <w:tcW w:w="2268" w:type="dxa"/>
            <w:vAlign w:val="center"/>
          </w:tcPr>
          <w:p w14:paraId="64DF7917">
            <w:pPr>
              <w:pStyle w:val="13"/>
            </w:pPr>
            <w:r>
              <w:t>数量指标</w:t>
            </w:r>
          </w:p>
        </w:tc>
        <w:tc>
          <w:tcPr>
            <w:tcW w:w="2835" w:type="dxa"/>
            <w:vAlign w:val="center"/>
          </w:tcPr>
          <w:p w14:paraId="61B31FFB">
            <w:pPr>
              <w:pStyle w:val="13"/>
            </w:pPr>
            <w:r>
              <w:t>建筑面积</w:t>
            </w:r>
          </w:p>
        </w:tc>
        <w:tc>
          <w:tcPr>
            <w:tcW w:w="5386" w:type="dxa"/>
            <w:vAlign w:val="center"/>
          </w:tcPr>
          <w:p w14:paraId="54C784DB">
            <w:pPr>
              <w:pStyle w:val="13"/>
            </w:pPr>
            <w:r>
              <w:t>教学楼1栋、配套办公楼一栋、职工食堂一栋、门卫、厕所、附属用房、消防池、消防泵房</w:t>
            </w:r>
          </w:p>
        </w:tc>
        <w:tc>
          <w:tcPr>
            <w:tcW w:w="2268" w:type="dxa"/>
            <w:vAlign w:val="center"/>
          </w:tcPr>
          <w:p w14:paraId="5F8993C1">
            <w:pPr>
              <w:pStyle w:val="13"/>
            </w:pPr>
            <w:r>
              <w:t>≤3780平方米</w:t>
            </w:r>
          </w:p>
        </w:tc>
        <w:tc>
          <w:tcPr>
            <w:tcW w:w="1276" w:type="dxa"/>
            <w:vAlign w:val="center"/>
          </w:tcPr>
          <w:p w14:paraId="420B62D1">
            <w:pPr>
              <w:pStyle w:val="13"/>
            </w:pPr>
            <w:r>
              <w:t>项目规划</w:t>
            </w:r>
          </w:p>
        </w:tc>
      </w:tr>
      <w:tr w14:paraId="39DA3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D150D"/>
        </w:tc>
        <w:tc>
          <w:tcPr>
            <w:tcW w:w="2268" w:type="dxa"/>
            <w:vAlign w:val="center"/>
          </w:tcPr>
          <w:p w14:paraId="70DB987D">
            <w:pPr>
              <w:pStyle w:val="13"/>
            </w:pPr>
            <w:r>
              <w:t>数量指标</w:t>
            </w:r>
          </w:p>
        </w:tc>
        <w:tc>
          <w:tcPr>
            <w:tcW w:w="2835" w:type="dxa"/>
            <w:vAlign w:val="center"/>
          </w:tcPr>
          <w:p w14:paraId="6FA3E513">
            <w:pPr>
              <w:pStyle w:val="13"/>
            </w:pPr>
            <w:r>
              <w:t>新建、维修改造设施和设备购置项</w:t>
            </w:r>
          </w:p>
        </w:tc>
        <w:tc>
          <w:tcPr>
            <w:tcW w:w="5386" w:type="dxa"/>
            <w:vAlign w:val="center"/>
          </w:tcPr>
          <w:p w14:paraId="79A22CF4">
            <w:pPr>
              <w:pStyle w:val="13"/>
            </w:pPr>
            <w:r>
              <w:t>新建、维修改造设施和设备购置项目个数</w:t>
            </w:r>
          </w:p>
        </w:tc>
        <w:tc>
          <w:tcPr>
            <w:tcW w:w="2268" w:type="dxa"/>
            <w:vAlign w:val="center"/>
          </w:tcPr>
          <w:p w14:paraId="7DDE9529">
            <w:pPr>
              <w:pStyle w:val="13"/>
            </w:pPr>
            <w:r>
              <w:t>≤231 万</w:t>
            </w:r>
          </w:p>
        </w:tc>
        <w:tc>
          <w:tcPr>
            <w:tcW w:w="1276" w:type="dxa"/>
            <w:vAlign w:val="center"/>
          </w:tcPr>
          <w:p w14:paraId="017F3E6E">
            <w:pPr>
              <w:pStyle w:val="13"/>
            </w:pPr>
            <w:r>
              <w:t>项目规划</w:t>
            </w:r>
          </w:p>
        </w:tc>
      </w:tr>
      <w:tr w14:paraId="029F1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8FBCB"/>
        </w:tc>
        <w:tc>
          <w:tcPr>
            <w:tcW w:w="2268" w:type="dxa"/>
            <w:vAlign w:val="center"/>
          </w:tcPr>
          <w:p w14:paraId="4681C280">
            <w:pPr>
              <w:pStyle w:val="13"/>
            </w:pPr>
            <w:r>
              <w:t>质量指标</w:t>
            </w:r>
          </w:p>
        </w:tc>
        <w:tc>
          <w:tcPr>
            <w:tcW w:w="2835" w:type="dxa"/>
            <w:vAlign w:val="center"/>
          </w:tcPr>
          <w:p w14:paraId="4C2A2F00">
            <w:pPr>
              <w:pStyle w:val="13"/>
            </w:pPr>
            <w:r>
              <w:t>工程实施验收合格率</w:t>
            </w:r>
          </w:p>
        </w:tc>
        <w:tc>
          <w:tcPr>
            <w:tcW w:w="5386" w:type="dxa"/>
            <w:vAlign w:val="center"/>
          </w:tcPr>
          <w:p w14:paraId="0E3C0FE4">
            <w:pPr>
              <w:pStyle w:val="13"/>
            </w:pPr>
            <w:r>
              <w:t>申报程序的合规、项目实施及资金使用符合项目规划</w:t>
            </w:r>
          </w:p>
        </w:tc>
        <w:tc>
          <w:tcPr>
            <w:tcW w:w="2268" w:type="dxa"/>
            <w:vAlign w:val="center"/>
          </w:tcPr>
          <w:p w14:paraId="564949BB">
            <w:pPr>
              <w:pStyle w:val="13"/>
            </w:pPr>
            <w:r>
              <w:t>100%</w:t>
            </w:r>
          </w:p>
        </w:tc>
        <w:tc>
          <w:tcPr>
            <w:tcW w:w="1276" w:type="dxa"/>
            <w:vAlign w:val="center"/>
          </w:tcPr>
          <w:p w14:paraId="1E6338E6">
            <w:pPr>
              <w:pStyle w:val="13"/>
            </w:pPr>
            <w:r>
              <w:t>项目规划</w:t>
            </w:r>
          </w:p>
        </w:tc>
      </w:tr>
      <w:tr w14:paraId="36D69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96FDA"/>
        </w:tc>
        <w:tc>
          <w:tcPr>
            <w:tcW w:w="2268" w:type="dxa"/>
            <w:vAlign w:val="center"/>
          </w:tcPr>
          <w:p w14:paraId="538B7236">
            <w:pPr>
              <w:pStyle w:val="13"/>
            </w:pPr>
            <w:r>
              <w:t>质量指标</w:t>
            </w:r>
          </w:p>
        </w:tc>
        <w:tc>
          <w:tcPr>
            <w:tcW w:w="2835" w:type="dxa"/>
            <w:vAlign w:val="center"/>
          </w:tcPr>
          <w:p w14:paraId="703DF921">
            <w:pPr>
              <w:pStyle w:val="13"/>
            </w:pPr>
            <w:r>
              <w:t>项目设计变更率</w:t>
            </w:r>
          </w:p>
        </w:tc>
        <w:tc>
          <w:tcPr>
            <w:tcW w:w="5386" w:type="dxa"/>
            <w:vAlign w:val="center"/>
          </w:tcPr>
          <w:p w14:paraId="73010D42">
            <w:pPr>
              <w:pStyle w:val="13"/>
            </w:pPr>
            <w:r>
              <w:t>反映项目设计变更情况</w:t>
            </w:r>
          </w:p>
        </w:tc>
        <w:tc>
          <w:tcPr>
            <w:tcW w:w="2268" w:type="dxa"/>
            <w:vAlign w:val="center"/>
          </w:tcPr>
          <w:p w14:paraId="5FA47C76">
            <w:pPr>
              <w:pStyle w:val="13"/>
            </w:pPr>
            <w:r>
              <w:t>≤10%</w:t>
            </w:r>
          </w:p>
        </w:tc>
        <w:tc>
          <w:tcPr>
            <w:tcW w:w="1276" w:type="dxa"/>
            <w:vAlign w:val="center"/>
          </w:tcPr>
          <w:p w14:paraId="577B6A80">
            <w:pPr>
              <w:pStyle w:val="13"/>
            </w:pPr>
            <w:r>
              <w:t>项目规划</w:t>
            </w:r>
          </w:p>
        </w:tc>
      </w:tr>
      <w:tr w14:paraId="4439E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CBCCD"/>
        </w:tc>
        <w:tc>
          <w:tcPr>
            <w:tcW w:w="2268" w:type="dxa"/>
            <w:vAlign w:val="center"/>
          </w:tcPr>
          <w:p w14:paraId="16482D98">
            <w:pPr>
              <w:pStyle w:val="13"/>
            </w:pPr>
            <w:r>
              <w:t>时效指标</w:t>
            </w:r>
          </w:p>
        </w:tc>
        <w:tc>
          <w:tcPr>
            <w:tcW w:w="2835" w:type="dxa"/>
            <w:vAlign w:val="center"/>
          </w:tcPr>
          <w:p w14:paraId="729D4489">
            <w:pPr>
              <w:pStyle w:val="13"/>
            </w:pPr>
            <w:r>
              <w:t>工程按时完成率</w:t>
            </w:r>
          </w:p>
        </w:tc>
        <w:tc>
          <w:tcPr>
            <w:tcW w:w="5386" w:type="dxa"/>
            <w:vAlign w:val="center"/>
          </w:tcPr>
          <w:p w14:paraId="5964FF42">
            <w:pPr>
              <w:pStyle w:val="13"/>
            </w:pPr>
            <w:r>
              <w:t>反映按时完成工程数量占工程量的比例</w:t>
            </w:r>
          </w:p>
        </w:tc>
        <w:tc>
          <w:tcPr>
            <w:tcW w:w="2268" w:type="dxa"/>
            <w:vAlign w:val="center"/>
          </w:tcPr>
          <w:p w14:paraId="1D5ED43A">
            <w:pPr>
              <w:pStyle w:val="13"/>
            </w:pPr>
            <w:r>
              <w:t>≥100%</w:t>
            </w:r>
          </w:p>
        </w:tc>
        <w:tc>
          <w:tcPr>
            <w:tcW w:w="1276" w:type="dxa"/>
            <w:vAlign w:val="center"/>
          </w:tcPr>
          <w:p w14:paraId="756C93EB">
            <w:pPr>
              <w:pStyle w:val="13"/>
            </w:pPr>
            <w:r>
              <w:t>项目规划</w:t>
            </w:r>
          </w:p>
        </w:tc>
      </w:tr>
      <w:tr w14:paraId="50EBB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2B631"/>
        </w:tc>
        <w:tc>
          <w:tcPr>
            <w:tcW w:w="2268" w:type="dxa"/>
            <w:vAlign w:val="center"/>
          </w:tcPr>
          <w:p w14:paraId="2852137D">
            <w:pPr>
              <w:pStyle w:val="13"/>
            </w:pPr>
            <w:r>
              <w:t>时效指标</w:t>
            </w:r>
          </w:p>
        </w:tc>
        <w:tc>
          <w:tcPr>
            <w:tcW w:w="2835" w:type="dxa"/>
            <w:vAlign w:val="center"/>
          </w:tcPr>
          <w:p w14:paraId="0B3AE51C">
            <w:pPr>
              <w:pStyle w:val="13"/>
            </w:pPr>
            <w:r>
              <w:t>预算资金执行率</w:t>
            </w:r>
          </w:p>
        </w:tc>
        <w:tc>
          <w:tcPr>
            <w:tcW w:w="5386" w:type="dxa"/>
            <w:vAlign w:val="center"/>
          </w:tcPr>
          <w:p w14:paraId="5C99B832">
            <w:pPr>
              <w:pStyle w:val="13"/>
            </w:pPr>
            <w:r>
              <w:t>预算执行率</w:t>
            </w:r>
          </w:p>
        </w:tc>
        <w:tc>
          <w:tcPr>
            <w:tcW w:w="2268" w:type="dxa"/>
            <w:vAlign w:val="center"/>
          </w:tcPr>
          <w:p w14:paraId="182CBBCB">
            <w:pPr>
              <w:pStyle w:val="13"/>
            </w:pPr>
            <w:r>
              <w:t>≥100%</w:t>
            </w:r>
          </w:p>
        </w:tc>
        <w:tc>
          <w:tcPr>
            <w:tcW w:w="1276" w:type="dxa"/>
            <w:vAlign w:val="center"/>
          </w:tcPr>
          <w:p w14:paraId="0D55EBB3">
            <w:pPr>
              <w:pStyle w:val="13"/>
            </w:pPr>
            <w:r>
              <w:t>项目规划</w:t>
            </w:r>
          </w:p>
        </w:tc>
      </w:tr>
      <w:tr w14:paraId="2220F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A7411"/>
        </w:tc>
        <w:tc>
          <w:tcPr>
            <w:tcW w:w="2268" w:type="dxa"/>
            <w:vAlign w:val="center"/>
          </w:tcPr>
          <w:p w14:paraId="1B90FFE1">
            <w:pPr>
              <w:pStyle w:val="13"/>
            </w:pPr>
            <w:r>
              <w:t>成本指标</w:t>
            </w:r>
          </w:p>
        </w:tc>
        <w:tc>
          <w:tcPr>
            <w:tcW w:w="2835" w:type="dxa"/>
            <w:vAlign w:val="center"/>
          </w:tcPr>
          <w:p w14:paraId="52157FA1">
            <w:pPr>
              <w:pStyle w:val="13"/>
            </w:pPr>
            <w:r>
              <w:t>工程建设成本</w:t>
            </w:r>
          </w:p>
        </w:tc>
        <w:tc>
          <w:tcPr>
            <w:tcW w:w="5386" w:type="dxa"/>
            <w:vAlign w:val="center"/>
          </w:tcPr>
          <w:p w14:paraId="6917B610">
            <w:pPr>
              <w:pStyle w:val="13"/>
            </w:pPr>
            <w:r>
              <w:t>反映工程建设平米数、公里数、个数、亩数等建设、改造、修缮总成本控制情况</w:t>
            </w:r>
          </w:p>
        </w:tc>
        <w:tc>
          <w:tcPr>
            <w:tcW w:w="2268" w:type="dxa"/>
            <w:vAlign w:val="center"/>
          </w:tcPr>
          <w:p w14:paraId="08A6E65D">
            <w:pPr>
              <w:pStyle w:val="13"/>
            </w:pPr>
            <w:r>
              <w:t>≤1889万元</w:t>
            </w:r>
          </w:p>
        </w:tc>
        <w:tc>
          <w:tcPr>
            <w:tcW w:w="1276" w:type="dxa"/>
            <w:vAlign w:val="center"/>
          </w:tcPr>
          <w:p w14:paraId="45498173">
            <w:pPr>
              <w:pStyle w:val="13"/>
            </w:pPr>
            <w:r>
              <w:t>项目规划</w:t>
            </w:r>
          </w:p>
        </w:tc>
      </w:tr>
      <w:tr w14:paraId="5EE8D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D30C1">
            <w:pPr>
              <w:pStyle w:val="12"/>
            </w:pPr>
            <w:r>
              <w:t>效益指标</w:t>
            </w:r>
          </w:p>
        </w:tc>
        <w:tc>
          <w:tcPr>
            <w:tcW w:w="2268" w:type="dxa"/>
            <w:vAlign w:val="center"/>
          </w:tcPr>
          <w:p w14:paraId="047C3681">
            <w:pPr>
              <w:pStyle w:val="13"/>
            </w:pPr>
            <w:r>
              <w:t>社会效益指标</w:t>
            </w:r>
          </w:p>
        </w:tc>
        <w:tc>
          <w:tcPr>
            <w:tcW w:w="2835" w:type="dxa"/>
            <w:vAlign w:val="center"/>
          </w:tcPr>
          <w:p w14:paraId="723129E8">
            <w:pPr>
              <w:pStyle w:val="13"/>
            </w:pPr>
            <w:r>
              <w:t>学校办学环境提升</w:t>
            </w:r>
          </w:p>
        </w:tc>
        <w:tc>
          <w:tcPr>
            <w:tcW w:w="5386" w:type="dxa"/>
            <w:vAlign w:val="center"/>
          </w:tcPr>
          <w:p w14:paraId="49075D7A">
            <w:pPr>
              <w:pStyle w:val="13"/>
            </w:pPr>
            <w:r>
              <w:t>学校教学环境提升及教育教学工作更好开展</w:t>
            </w:r>
          </w:p>
        </w:tc>
        <w:tc>
          <w:tcPr>
            <w:tcW w:w="2268" w:type="dxa"/>
            <w:vAlign w:val="center"/>
          </w:tcPr>
          <w:p w14:paraId="2FB1E067">
            <w:pPr>
              <w:pStyle w:val="13"/>
            </w:pPr>
            <w:r>
              <w:t>≥80%</w:t>
            </w:r>
          </w:p>
        </w:tc>
        <w:tc>
          <w:tcPr>
            <w:tcW w:w="1276" w:type="dxa"/>
            <w:vAlign w:val="center"/>
          </w:tcPr>
          <w:p w14:paraId="633FAEA6">
            <w:pPr>
              <w:pStyle w:val="13"/>
            </w:pPr>
            <w:r>
              <w:t>项目规划</w:t>
            </w:r>
          </w:p>
        </w:tc>
      </w:tr>
      <w:tr w14:paraId="47E1A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8FF08"/>
        </w:tc>
        <w:tc>
          <w:tcPr>
            <w:tcW w:w="2268" w:type="dxa"/>
            <w:vAlign w:val="center"/>
          </w:tcPr>
          <w:p w14:paraId="6BD6D4A5">
            <w:pPr>
              <w:pStyle w:val="13"/>
            </w:pPr>
            <w:r>
              <w:t>社会效益指标</w:t>
            </w:r>
          </w:p>
        </w:tc>
        <w:tc>
          <w:tcPr>
            <w:tcW w:w="2835" w:type="dxa"/>
            <w:vAlign w:val="center"/>
          </w:tcPr>
          <w:p w14:paraId="0DF3EC6C">
            <w:pPr>
              <w:pStyle w:val="13"/>
            </w:pPr>
            <w:r>
              <w:t>学校可提供学位</w:t>
            </w:r>
          </w:p>
        </w:tc>
        <w:tc>
          <w:tcPr>
            <w:tcW w:w="5386" w:type="dxa"/>
            <w:vAlign w:val="center"/>
          </w:tcPr>
          <w:p w14:paraId="31DBBA77">
            <w:pPr>
              <w:pStyle w:val="13"/>
            </w:pPr>
            <w:r>
              <w:t>项目建成后可提供小学学位</w:t>
            </w:r>
          </w:p>
        </w:tc>
        <w:tc>
          <w:tcPr>
            <w:tcW w:w="2268" w:type="dxa"/>
            <w:vAlign w:val="center"/>
          </w:tcPr>
          <w:p w14:paraId="3E36938D">
            <w:pPr>
              <w:pStyle w:val="13"/>
            </w:pPr>
            <w:r>
              <w:t>270个</w:t>
            </w:r>
          </w:p>
        </w:tc>
        <w:tc>
          <w:tcPr>
            <w:tcW w:w="1276" w:type="dxa"/>
            <w:vAlign w:val="center"/>
          </w:tcPr>
          <w:p w14:paraId="22DB74E3">
            <w:pPr>
              <w:pStyle w:val="13"/>
            </w:pPr>
            <w:r>
              <w:t>项目规划</w:t>
            </w:r>
          </w:p>
        </w:tc>
      </w:tr>
      <w:tr w14:paraId="57B2E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AB54E"/>
        </w:tc>
        <w:tc>
          <w:tcPr>
            <w:tcW w:w="2268" w:type="dxa"/>
            <w:vAlign w:val="center"/>
          </w:tcPr>
          <w:p w14:paraId="20512C39">
            <w:pPr>
              <w:pStyle w:val="13"/>
            </w:pPr>
            <w:r>
              <w:t>可持续影响指标</w:t>
            </w:r>
          </w:p>
        </w:tc>
        <w:tc>
          <w:tcPr>
            <w:tcW w:w="2835" w:type="dxa"/>
            <w:vAlign w:val="center"/>
          </w:tcPr>
          <w:p w14:paraId="3F605AE0">
            <w:pPr>
              <w:pStyle w:val="13"/>
            </w:pPr>
            <w:r>
              <w:t>学校运转得到提高</w:t>
            </w:r>
          </w:p>
        </w:tc>
        <w:tc>
          <w:tcPr>
            <w:tcW w:w="5386" w:type="dxa"/>
            <w:vAlign w:val="center"/>
          </w:tcPr>
          <w:p w14:paraId="2D9108E7">
            <w:pPr>
              <w:pStyle w:val="13"/>
            </w:pPr>
            <w:r>
              <w:t>学生受教育年限</w:t>
            </w:r>
          </w:p>
        </w:tc>
        <w:tc>
          <w:tcPr>
            <w:tcW w:w="2268" w:type="dxa"/>
            <w:vAlign w:val="center"/>
          </w:tcPr>
          <w:p w14:paraId="2E6C8012">
            <w:pPr>
              <w:pStyle w:val="13"/>
            </w:pPr>
            <w:r>
              <w:t>6年</w:t>
            </w:r>
          </w:p>
        </w:tc>
        <w:tc>
          <w:tcPr>
            <w:tcW w:w="1276" w:type="dxa"/>
            <w:vAlign w:val="center"/>
          </w:tcPr>
          <w:p w14:paraId="733FAC6B">
            <w:pPr>
              <w:pStyle w:val="13"/>
            </w:pPr>
            <w:r>
              <w:t>项目规划</w:t>
            </w:r>
          </w:p>
        </w:tc>
      </w:tr>
      <w:tr w14:paraId="115B6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530FD4A9">
            <w:pPr>
              <w:pStyle w:val="12"/>
            </w:pPr>
            <w:r>
              <w:t>满意度指标</w:t>
            </w:r>
          </w:p>
        </w:tc>
        <w:tc>
          <w:tcPr>
            <w:tcW w:w="2268" w:type="dxa"/>
            <w:vAlign w:val="center"/>
          </w:tcPr>
          <w:p w14:paraId="214C465B">
            <w:pPr>
              <w:pStyle w:val="13"/>
            </w:pPr>
            <w:r>
              <w:t>服务对象满意度指标</w:t>
            </w:r>
          </w:p>
        </w:tc>
        <w:tc>
          <w:tcPr>
            <w:tcW w:w="2835" w:type="dxa"/>
            <w:vAlign w:val="center"/>
          </w:tcPr>
          <w:p w14:paraId="07BE700C">
            <w:pPr>
              <w:pStyle w:val="13"/>
            </w:pPr>
            <w:r>
              <w:t>受益群众满意度</w:t>
            </w:r>
          </w:p>
        </w:tc>
        <w:tc>
          <w:tcPr>
            <w:tcW w:w="5386" w:type="dxa"/>
            <w:vAlign w:val="center"/>
          </w:tcPr>
          <w:p w14:paraId="716B6B15">
            <w:pPr>
              <w:pStyle w:val="13"/>
            </w:pPr>
            <w:r>
              <w:t>反映通过问卷调查受益群体满意情况</w:t>
            </w:r>
          </w:p>
        </w:tc>
        <w:tc>
          <w:tcPr>
            <w:tcW w:w="2268" w:type="dxa"/>
            <w:vAlign w:val="center"/>
          </w:tcPr>
          <w:p w14:paraId="267B29F6">
            <w:pPr>
              <w:pStyle w:val="13"/>
            </w:pPr>
            <w:r>
              <w:t>≥98%</w:t>
            </w:r>
          </w:p>
        </w:tc>
        <w:tc>
          <w:tcPr>
            <w:tcW w:w="1276" w:type="dxa"/>
            <w:vAlign w:val="center"/>
          </w:tcPr>
          <w:p w14:paraId="3B4BE0F9">
            <w:pPr>
              <w:pStyle w:val="13"/>
            </w:pPr>
            <w:r>
              <w:t>调查问卷</w:t>
            </w:r>
          </w:p>
        </w:tc>
      </w:tr>
    </w:tbl>
    <w:p w14:paraId="2774E641">
      <w:pPr>
        <w:sectPr>
          <w:pgSz w:w="16840" w:h="11900" w:orient="landscape"/>
          <w:pgMar w:top="1361" w:right="1020" w:bottom="1134" w:left="1020" w:header="720" w:footer="720" w:gutter="0"/>
          <w:cols w:space="720" w:num="1"/>
        </w:sectPr>
      </w:pPr>
    </w:p>
    <w:p w14:paraId="06F1FC59">
      <w:pPr>
        <w:spacing w:before="0" w:after="0"/>
        <w:ind w:firstLine="560"/>
        <w:jc w:val="left"/>
        <w:outlineLvl w:val="9"/>
      </w:pPr>
      <w:r>
        <w:rPr>
          <w:rFonts w:ascii="方正仿宋_GBK" w:hAnsi="方正仿宋_GBK" w:eastAsia="方正仿宋_GBK" w:cs="方正仿宋_GBK"/>
          <w:b/>
          <w:color w:val="000000"/>
          <w:sz w:val="28"/>
        </w:rPr>
        <w:t>17、上年盘活/冀财教[2023]154号/中央/义教经费/校舍安全保障/大张庄校区刘通庄小学塑胶操场改造绩效目标表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5F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1A61F">
            <w:pPr>
              <w:pStyle w:val="14"/>
            </w:pPr>
            <w:r>
              <w:t>单位：万元</w:t>
            </w:r>
          </w:p>
        </w:tc>
      </w:tr>
      <w:tr w14:paraId="1E6FF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639FA7">
            <w:pPr>
              <w:pStyle w:val="11"/>
            </w:pPr>
            <w:r>
              <w:t>项目编码</w:t>
            </w:r>
          </w:p>
        </w:tc>
        <w:tc>
          <w:tcPr>
            <w:tcW w:w="5103" w:type="dxa"/>
            <w:gridSpan w:val="2"/>
            <w:vAlign w:val="center"/>
          </w:tcPr>
          <w:p w14:paraId="6DB0C493">
            <w:pPr>
              <w:pStyle w:val="13"/>
            </w:pPr>
            <w:r>
              <w:t>13052525P008756101622</w:t>
            </w:r>
          </w:p>
        </w:tc>
        <w:tc>
          <w:tcPr>
            <w:tcW w:w="2835" w:type="dxa"/>
            <w:vAlign w:val="center"/>
          </w:tcPr>
          <w:p w14:paraId="4BB85498">
            <w:pPr>
              <w:pStyle w:val="11"/>
            </w:pPr>
            <w:r>
              <w:t>项目名称</w:t>
            </w:r>
          </w:p>
        </w:tc>
        <w:tc>
          <w:tcPr>
            <w:tcW w:w="6095" w:type="dxa"/>
            <w:gridSpan w:val="3"/>
            <w:vAlign w:val="center"/>
          </w:tcPr>
          <w:p w14:paraId="0734209C">
            <w:pPr>
              <w:pStyle w:val="13"/>
            </w:pPr>
            <w:r>
              <w:t>上年盘活/冀财教[2023]154号/中央/义教经费/校舍安全保障/大张庄校区刘通庄小学塑胶操场改造</w:t>
            </w:r>
          </w:p>
        </w:tc>
      </w:tr>
      <w:tr w14:paraId="63F4E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E3446">
            <w:pPr>
              <w:pStyle w:val="11"/>
            </w:pPr>
            <w:r>
              <w:t>预算规模及资金用途</w:t>
            </w:r>
          </w:p>
        </w:tc>
        <w:tc>
          <w:tcPr>
            <w:tcW w:w="2268" w:type="dxa"/>
            <w:vAlign w:val="center"/>
          </w:tcPr>
          <w:p w14:paraId="79A9BD28">
            <w:pPr>
              <w:pStyle w:val="11"/>
            </w:pPr>
            <w:r>
              <w:t>预算数</w:t>
            </w:r>
          </w:p>
        </w:tc>
        <w:tc>
          <w:tcPr>
            <w:tcW w:w="2835" w:type="dxa"/>
            <w:vAlign w:val="center"/>
          </w:tcPr>
          <w:p w14:paraId="7E65D9F4">
            <w:pPr>
              <w:pStyle w:val="13"/>
            </w:pPr>
            <w:r>
              <w:t>50.17</w:t>
            </w:r>
          </w:p>
        </w:tc>
        <w:tc>
          <w:tcPr>
            <w:tcW w:w="2835" w:type="dxa"/>
            <w:vAlign w:val="center"/>
          </w:tcPr>
          <w:p w14:paraId="177812BD">
            <w:pPr>
              <w:pStyle w:val="11"/>
            </w:pPr>
            <w:r>
              <w:t>其中：财政    资金</w:t>
            </w:r>
          </w:p>
        </w:tc>
        <w:tc>
          <w:tcPr>
            <w:tcW w:w="2551" w:type="dxa"/>
            <w:vAlign w:val="center"/>
          </w:tcPr>
          <w:p w14:paraId="1221F73C">
            <w:pPr>
              <w:pStyle w:val="13"/>
            </w:pPr>
            <w:r>
              <w:t>50.17</w:t>
            </w:r>
          </w:p>
        </w:tc>
        <w:tc>
          <w:tcPr>
            <w:tcW w:w="2268" w:type="dxa"/>
            <w:vAlign w:val="center"/>
          </w:tcPr>
          <w:p w14:paraId="4BCF1E26">
            <w:pPr>
              <w:pStyle w:val="11"/>
            </w:pPr>
            <w:r>
              <w:t>其他资金</w:t>
            </w:r>
          </w:p>
        </w:tc>
        <w:tc>
          <w:tcPr>
            <w:tcW w:w="1276" w:type="dxa"/>
            <w:vAlign w:val="center"/>
          </w:tcPr>
          <w:p w14:paraId="71D3398D">
            <w:pPr>
              <w:pStyle w:val="13"/>
            </w:pPr>
            <w:r>
              <w:t xml:space="preserve"> </w:t>
            </w:r>
          </w:p>
        </w:tc>
      </w:tr>
      <w:tr w14:paraId="6FA76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0D7F32"/>
        </w:tc>
        <w:tc>
          <w:tcPr>
            <w:tcW w:w="14033" w:type="dxa"/>
            <w:gridSpan w:val="6"/>
            <w:vAlign w:val="center"/>
          </w:tcPr>
          <w:p w14:paraId="1378DE7F">
            <w:pPr>
              <w:pStyle w:val="13"/>
            </w:pPr>
            <w:r>
              <w:t>用于刘通庄小学塑胶操场改造。</w:t>
            </w:r>
          </w:p>
        </w:tc>
      </w:tr>
      <w:tr w14:paraId="146F8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B00A6">
            <w:pPr>
              <w:pStyle w:val="11"/>
            </w:pPr>
            <w:r>
              <w:t>资金支出计划（%）</w:t>
            </w:r>
          </w:p>
        </w:tc>
        <w:tc>
          <w:tcPr>
            <w:tcW w:w="5103" w:type="dxa"/>
            <w:gridSpan w:val="2"/>
            <w:vAlign w:val="center"/>
          </w:tcPr>
          <w:p w14:paraId="0BD259FB">
            <w:pPr>
              <w:pStyle w:val="11"/>
            </w:pPr>
            <w:r>
              <w:t>3月底</w:t>
            </w:r>
          </w:p>
        </w:tc>
        <w:tc>
          <w:tcPr>
            <w:tcW w:w="2835" w:type="dxa"/>
            <w:vAlign w:val="center"/>
          </w:tcPr>
          <w:p w14:paraId="1A2BD892">
            <w:pPr>
              <w:pStyle w:val="11"/>
            </w:pPr>
            <w:r>
              <w:t>6月底</w:t>
            </w:r>
          </w:p>
        </w:tc>
        <w:tc>
          <w:tcPr>
            <w:tcW w:w="2551" w:type="dxa"/>
            <w:vAlign w:val="center"/>
          </w:tcPr>
          <w:p w14:paraId="4D6A7AE5">
            <w:pPr>
              <w:pStyle w:val="11"/>
            </w:pPr>
            <w:r>
              <w:t>10月底</w:t>
            </w:r>
          </w:p>
        </w:tc>
        <w:tc>
          <w:tcPr>
            <w:tcW w:w="3544" w:type="dxa"/>
            <w:gridSpan w:val="2"/>
            <w:vAlign w:val="center"/>
          </w:tcPr>
          <w:p w14:paraId="3B356CF1">
            <w:pPr>
              <w:pStyle w:val="11"/>
            </w:pPr>
            <w:r>
              <w:t>12月底</w:t>
            </w:r>
          </w:p>
        </w:tc>
      </w:tr>
      <w:tr w14:paraId="38DF7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8A8DA"/>
        </w:tc>
        <w:tc>
          <w:tcPr>
            <w:tcW w:w="5103" w:type="dxa"/>
            <w:gridSpan w:val="2"/>
            <w:vAlign w:val="center"/>
          </w:tcPr>
          <w:p w14:paraId="6A99C736">
            <w:pPr>
              <w:pStyle w:val="12"/>
            </w:pPr>
            <w:r>
              <w:t xml:space="preserve"> </w:t>
            </w:r>
          </w:p>
        </w:tc>
        <w:tc>
          <w:tcPr>
            <w:tcW w:w="2835" w:type="dxa"/>
            <w:vAlign w:val="center"/>
          </w:tcPr>
          <w:p w14:paraId="0F595A3F">
            <w:pPr>
              <w:pStyle w:val="12"/>
            </w:pPr>
            <w:r>
              <w:t>100%</w:t>
            </w:r>
          </w:p>
        </w:tc>
        <w:tc>
          <w:tcPr>
            <w:tcW w:w="2551" w:type="dxa"/>
            <w:vAlign w:val="center"/>
          </w:tcPr>
          <w:p w14:paraId="27BE743F">
            <w:pPr>
              <w:pStyle w:val="12"/>
            </w:pPr>
            <w:r>
              <w:t>100%</w:t>
            </w:r>
          </w:p>
        </w:tc>
        <w:tc>
          <w:tcPr>
            <w:tcW w:w="3544" w:type="dxa"/>
            <w:gridSpan w:val="2"/>
            <w:vAlign w:val="center"/>
          </w:tcPr>
          <w:p w14:paraId="18BF9695">
            <w:pPr>
              <w:pStyle w:val="12"/>
            </w:pPr>
            <w:r>
              <w:t>100%</w:t>
            </w:r>
          </w:p>
        </w:tc>
      </w:tr>
      <w:tr w14:paraId="7432C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C7A6C">
            <w:pPr>
              <w:pStyle w:val="11"/>
            </w:pPr>
            <w:r>
              <w:t>绩效目标</w:t>
            </w:r>
          </w:p>
        </w:tc>
        <w:tc>
          <w:tcPr>
            <w:tcW w:w="14033" w:type="dxa"/>
            <w:gridSpan w:val="6"/>
            <w:vAlign w:val="center"/>
          </w:tcPr>
          <w:p w14:paraId="42905630">
            <w:pPr>
              <w:pStyle w:val="13"/>
            </w:pPr>
            <w:r>
              <w:t>1.改善义务教育办学条件，进一步提升教育教学办学质量</w:t>
            </w:r>
            <w:r>
              <w:tab/>
            </w:r>
            <w:r>
              <w:tab/>
            </w:r>
            <w:r>
              <w:tab/>
            </w:r>
            <w:r>
              <w:tab/>
            </w:r>
            <w:r>
              <w:tab/>
            </w:r>
            <w:r>
              <w:tab/>
            </w:r>
          </w:p>
        </w:tc>
      </w:tr>
    </w:tbl>
    <w:p w14:paraId="536D94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60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676EF">
            <w:pPr>
              <w:pStyle w:val="11"/>
            </w:pPr>
            <w:r>
              <w:t>一级指标</w:t>
            </w:r>
          </w:p>
        </w:tc>
        <w:tc>
          <w:tcPr>
            <w:tcW w:w="2268" w:type="dxa"/>
            <w:vAlign w:val="center"/>
          </w:tcPr>
          <w:p w14:paraId="729A8BDF">
            <w:pPr>
              <w:pStyle w:val="11"/>
            </w:pPr>
            <w:r>
              <w:t>二级指标</w:t>
            </w:r>
          </w:p>
        </w:tc>
        <w:tc>
          <w:tcPr>
            <w:tcW w:w="2835" w:type="dxa"/>
            <w:vAlign w:val="center"/>
          </w:tcPr>
          <w:p w14:paraId="3C0C039B">
            <w:pPr>
              <w:pStyle w:val="11"/>
            </w:pPr>
            <w:r>
              <w:t>三级指标</w:t>
            </w:r>
          </w:p>
        </w:tc>
        <w:tc>
          <w:tcPr>
            <w:tcW w:w="5386" w:type="dxa"/>
            <w:vAlign w:val="center"/>
          </w:tcPr>
          <w:p w14:paraId="3E1B3EED">
            <w:pPr>
              <w:pStyle w:val="11"/>
            </w:pPr>
            <w:r>
              <w:t>绩效指标描述</w:t>
            </w:r>
          </w:p>
        </w:tc>
        <w:tc>
          <w:tcPr>
            <w:tcW w:w="2268" w:type="dxa"/>
            <w:vAlign w:val="center"/>
          </w:tcPr>
          <w:p w14:paraId="676572E4">
            <w:pPr>
              <w:pStyle w:val="11"/>
            </w:pPr>
            <w:r>
              <w:t>指标值</w:t>
            </w:r>
          </w:p>
        </w:tc>
        <w:tc>
          <w:tcPr>
            <w:tcW w:w="1276" w:type="dxa"/>
            <w:vAlign w:val="center"/>
          </w:tcPr>
          <w:p w14:paraId="3EF1C1BD">
            <w:pPr>
              <w:pStyle w:val="11"/>
            </w:pPr>
            <w:r>
              <w:t>指标值确定依据</w:t>
            </w:r>
          </w:p>
        </w:tc>
      </w:tr>
      <w:tr w14:paraId="5E786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77629">
            <w:pPr>
              <w:pStyle w:val="12"/>
            </w:pPr>
            <w:r>
              <w:t>产出指标</w:t>
            </w:r>
          </w:p>
        </w:tc>
        <w:tc>
          <w:tcPr>
            <w:tcW w:w="2268" w:type="dxa"/>
            <w:vAlign w:val="center"/>
          </w:tcPr>
          <w:p w14:paraId="2A1AC97E">
            <w:pPr>
              <w:pStyle w:val="13"/>
            </w:pPr>
            <w:r>
              <w:t>数量指标</w:t>
            </w:r>
          </w:p>
        </w:tc>
        <w:tc>
          <w:tcPr>
            <w:tcW w:w="2835" w:type="dxa"/>
            <w:vAlign w:val="center"/>
          </w:tcPr>
          <w:p w14:paraId="46E1230E">
            <w:pPr>
              <w:pStyle w:val="13"/>
            </w:pPr>
            <w:r>
              <w:t>塑胶操场改造</w:t>
            </w:r>
          </w:p>
        </w:tc>
        <w:tc>
          <w:tcPr>
            <w:tcW w:w="5386" w:type="dxa"/>
            <w:vAlign w:val="center"/>
          </w:tcPr>
          <w:p w14:paraId="74304B15">
            <w:pPr>
              <w:pStyle w:val="13"/>
            </w:pPr>
            <w:r>
              <w:t>对学校操场进行铺设塑胶跑道面积</w:t>
            </w:r>
          </w:p>
        </w:tc>
        <w:tc>
          <w:tcPr>
            <w:tcW w:w="2268" w:type="dxa"/>
            <w:vAlign w:val="center"/>
          </w:tcPr>
          <w:p w14:paraId="2E7E7E6C">
            <w:pPr>
              <w:pStyle w:val="13"/>
            </w:pPr>
            <w:r>
              <w:t>6000平方米</w:t>
            </w:r>
          </w:p>
        </w:tc>
        <w:tc>
          <w:tcPr>
            <w:tcW w:w="1276" w:type="dxa"/>
            <w:vAlign w:val="center"/>
          </w:tcPr>
          <w:p w14:paraId="53983314">
            <w:pPr>
              <w:pStyle w:val="13"/>
            </w:pPr>
            <w:r>
              <w:t>项目规划</w:t>
            </w:r>
          </w:p>
        </w:tc>
      </w:tr>
      <w:tr w14:paraId="2E5ED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F2EA0"/>
        </w:tc>
        <w:tc>
          <w:tcPr>
            <w:tcW w:w="2268" w:type="dxa"/>
            <w:vAlign w:val="center"/>
          </w:tcPr>
          <w:p w14:paraId="314BFF8B">
            <w:pPr>
              <w:pStyle w:val="13"/>
            </w:pPr>
            <w:r>
              <w:t>质量指标</w:t>
            </w:r>
          </w:p>
        </w:tc>
        <w:tc>
          <w:tcPr>
            <w:tcW w:w="2835" w:type="dxa"/>
            <w:vAlign w:val="center"/>
          </w:tcPr>
          <w:p w14:paraId="335809AB">
            <w:pPr>
              <w:pStyle w:val="13"/>
            </w:pPr>
            <w:r>
              <w:t>工程实施验收合格率</w:t>
            </w:r>
          </w:p>
        </w:tc>
        <w:tc>
          <w:tcPr>
            <w:tcW w:w="5386" w:type="dxa"/>
            <w:vAlign w:val="center"/>
          </w:tcPr>
          <w:p w14:paraId="4C35C65D">
            <w:pPr>
              <w:pStyle w:val="13"/>
            </w:pPr>
            <w:r>
              <w:t>申报程序的合规，项目实施及资金使用符合项目规划</w:t>
            </w:r>
          </w:p>
        </w:tc>
        <w:tc>
          <w:tcPr>
            <w:tcW w:w="2268" w:type="dxa"/>
            <w:vAlign w:val="center"/>
          </w:tcPr>
          <w:p w14:paraId="3B83B28E">
            <w:pPr>
              <w:pStyle w:val="13"/>
            </w:pPr>
            <w:r>
              <w:t>100%</w:t>
            </w:r>
          </w:p>
        </w:tc>
        <w:tc>
          <w:tcPr>
            <w:tcW w:w="1276" w:type="dxa"/>
            <w:vAlign w:val="center"/>
          </w:tcPr>
          <w:p w14:paraId="765FD404">
            <w:pPr>
              <w:pStyle w:val="13"/>
            </w:pPr>
            <w:r>
              <w:t>项目规划</w:t>
            </w:r>
          </w:p>
        </w:tc>
      </w:tr>
      <w:tr w14:paraId="78060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EA78D"/>
        </w:tc>
        <w:tc>
          <w:tcPr>
            <w:tcW w:w="2268" w:type="dxa"/>
            <w:vAlign w:val="center"/>
          </w:tcPr>
          <w:p w14:paraId="688B1051">
            <w:pPr>
              <w:pStyle w:val="13"/>
            </w:pPr>
            <w:r>
              <w:t>时效指标</w:t>
            </w:r>
          </w:p>
        </w:tc>
        <w:tc>
          <w:tcPr>
            <w:tcW w:w="2835" w:type="dxa"/>
            <w:vAlign w:val="center"/>
          </w:tcPr>
          <w:p w14:paraId="48781973">
            <w:pPr>
              <w:pStyle w:val="13"/>
            </w:pPr>
            <w:r>
              <w:t>资金支付率</w:t>
            </w:r>
          </w:p>
        </w:tc>
        <w:tc>
          <w:tcPr>
            <w:tcW w:w="5386" w:type="dxa"/>
            <w:vAlign w:val="center"/>
          </w:tcPr>
          <w:p w14:paraId="488FD5D6">
            <w:pPr>
              <w:pStyle w:val="13"/>
            </w:pPr>
            <w:r>
              <w:t>按照序时进度完成资金支付</w:t>
            </w:r>
          </w:p>
        </w:tc>
        <w:tc>
          <w:tcPr>
            <w:tcW w:w="2268" w:type="dxa"/>
            <w:vAlign w:val="center"/>
          </w:tcPr>
          <w:p w14:paraId="66ED9342">
            <w:pPr>
              <w:pStyle w:val="13"/>
            </w:pPr>
            <w:r>
              <w:t>100%</w:t>
            </w:r>
          </w:p>
        </w:tc>
        <w:tc>
          <w:tcPr>
            <w:tcW w:w="1276" w:type="dxa"/>
            <w:vAlign w:val="center"/>
          </w:tcPr>
          <w:p w14:paraId="6A6DE311">
            <w:pPr>
              <w:pStyle w:val="13"/>
            </w:pPr>
            <w:r>
              <w:t>项目规划</w:t>
            </w:r>
          </w:p>
        </w:tc>
      </w:tr>
      <w:tr w14:paraId="7481D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1E38A"/>
        </w:tc>
        <w:tc>
          <w:tcPr>
            <w:tcW w:w="2268" w:type="dxa"/>
            <w:vAlign w:val="center"/>
          </w:tcPr>
          <w:p w14:paraId="054C039F">
            <w:pPr>
              <w:pStyle w:val="13"/>
            </w:pPr>
            <w:r>
              <w:t>成本指标</w:t>
            </w:r>
          </w:p>
        </w:tc>
        <w:tc>
          <w:tcPr>
            <w:tcW w:w="2835" w:type="dxa"/>
            <w:vAlign w:val="center"/>
          </w:tcPr>
          <w:p w14:paraId="573EBF51">
            <w:pPr>
              <w:pStyle w:val="13"/>
            </w:pPr>
            <w:r>
              <w:t>项目成本控制情况</w:t>
            </w:r>
          </w:p>
        </w:tc>
        <w:tc>
          <w:tcPr>
            <w:tcW w:w="5386" w:type="dxa"/>
            <w:vAlign w:val="center"/>
          </w:tcPr>
          <w:p w14:paraId="17CF9FAC">
            <w:pPr>
              <w:pStyle w:val="13"/>
            </w:pPr>
            <w:r>
              <w:t>严格按照招标价格及审计额进行</w:t>
            </w:r>
          </w:p>
        </w:tc>
        <w:tc>
          <w:tcPr>
            <w:tcW w:w="2268" w:type="dxa"/>
            <w:vAlign w:val="center"/>
          </w:tcPr>
          <w:p w14:paraId="5DB4066A">
            <w:pPr>
              <w:pStyle w:val="13"/>
            </w:pPr>
            <w:r>
              <w:t>501731元</w:t>
            </w:r>
          </w:p>
        </w:tc>
        <w:tc>
          <w:tcPr>
            <w:tcW w:w="1276" w:type="dxa"/>
            <w:vAlign w:val="center"/>
          </w:tcPr>
          <w:p w14:paraId="704421BC">
            <w:pPr>
              <w:pStyle w:val="13"/>
            </w:pPr>
            <w:r>
              <w:t>项目规划</w:t>
            </w:r>
          </w:p>
        </w:tc>
      </w:tr>
      <w:tr w14:paraId="779DB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FB7E49">
            <w:pPr>
              <w:pStyle w:val="12"/>
            </w:pPr>
            <w:r>
              <w:t>效益指标</w:t>
            </w:r>
          </w:p>
        </w:tc>
        <w:tc>
          <w:tcPr>
            <w:tcW w:w="2268" w:type="dxa"/>
            <w:vAlign w:val="center"/>
          </w:tcPr>
          <w:p w14:paraId="62528B52">
            <w:pPr>
              <w:pStyle w:val="13"/>
            </w:pPr>
            <w:r>
              <w:t>可持续影响指标</w:t>
            </w:r>
          </w:p>
        </w:tc>
        <w:tc>
          <w:tcPr>
            <w:tcW w:w="2835" w:type="dxa"/>
            <w:vAlign w:val="center"/>
          </w:tcPr>
          <w:p w14:paraId="3A9939D3">
            <w:pPr>
              <w:pStyle w:val="13"/>
            </w:pPr>
            <w:r>
              <w:t>学校日常运转</w:t>
            </w:r>
          </w:p>
        </w:tc>
        <w:tc>
          <w:tcPr>
            <w:tcW w:w="5386" w:type="dxa"/>
            <w:vAlign w:val="center"/>
          </w:tcPr>
          <w:p w14:paraId="660C1CAD">
            <w:pPr>
              <w:pStyle w:val="13"/>
            </w:pPr>
            <w:r>
              <w:t>学生受教育年限</w:t>
            </w:r>
          </w:p>
        </w:tc>
        <w:tc>
          <w:tcPr>
            <w:tcW w:w="2268" w:type="dxa"/>
            <w:vAlign w:val="center"/>
          </w:tcPr>
          <w:p w14:paraId="0878F229">
            <w:pPr>
              <w:pStyle w:val="13"/>
            </w:pPr>
            <w:r>
              <w:t>6年</w:t>
            </w:r>
          </w:p>
        </w:tc>
        <w:tc>
          <w:tcPr>
            <w:tcW w:w="1276" w:type="dxa"/>
            <w:vAlign w:val="center"/>
          </w:tcPr>
          <w:p w14:paraId="5322A310">
            <w:pPr>
              <w:pStyle w:val="13"/>
            </w:pPr>
            <w:r>
              <w:t>项目规划</w:t>
            </w:r>
          </w:p>
        </w:tc>
      </w:tr>
      <w:tr w14:paraId="1ED52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BD982F">
            <w:pPr>
              <w:pStyle w:val="12"/>
            </w:pPr>
            <w:r>
              <w:t>满意度指标</w:t>
            </w:r>
          </w:p>
        </w:tc>
        <w:tc>
          <w:tcPr>
            <w:tcW w:w="2268" w:type="dxa"/>
            <w:vAlign w:val="center"/>
          </w:tcPr>
          <w:p w14:paraId="4023E67F">
            <w:pPr>
              <w:pStyle w:val="13"/>
            </w:pPr>
            <w:r>
              <w:t>服务对象满意度指标</w:t>
            </w:r>
          </w:p>
        </w:tc>
        <w:tc>
          <w:tcPr>
            <w:tcW w:w="2835" w:type="dxa"/>
            <w:vAlign w:val="center"/>
          </w:tcPr>
          <w:p w14:paraId="5D42DD25">
            <w:pPr>
              <w:pStyle w:val="13"/>
            </w:pPr>
            <w:r>
              <w:t>学生、教师及家长对学校教学环境满意度情况</w:t>
            </w:r>
          </w:p>
        </w:tc>
        <w:tc>
          <w:tcPr>
            <w:tcW w:w="5386" w:type="dxa"/>
            <w:vAlign w:val="center"/>
          </w:tcPr>
          <w:p w14:paraId="236550A0">
            <w:pPr>
              <w:pStyle w:val="13"/>
            </w:pPr>
            <w:r>
              <w:t>学生、教师及家长对学校教学环境满意度情况</w:t>
            </w:r>
          </w:p>
        </w:tc>
        <w:tc>
          <w:tcPr>
            <w:tcW w:w="2268" w:type="dxa"/>
            <w:vAlign w:val="center"/>
          </w:tcPr>
          <w:p w14:paraId="1BB97C9A">
            <w:pPr>
              <w:pStyle w:val="13"/>
            </w:pPr>
            <w:r>
              <w:t>≥95%</w:t>
            </w:r>
          </w:p>
        </w:tc>
        <w:tc>
          <w:tcPr>
            <w:tcW w:w="1276" w:type="dxa"/>
            <w:vAlign w:val="center"/>
          </w:tcPr>
          <w:p w14:paraId="0CFCB401">
            <w:pPr>
              <w:pStyle w:val="13"/>
            </w:pPr>
            <w:r>
              <w:t>调查问卷</w:t>
            </w:r>
          </w:p>
        </w:tc>
      </w:tr>
    </w:tbl>
    <w:p w14:paraId="4FCCD361">
      <w:pPr>
        <w:sectPr>
          <w:pgSz w:w="16840" w:h="11900" w:orient="landscape"/>
          <w:pgMar w:top="1361" w:right="1020" w:bottom="1134" w:left="1020" w:header="720" w:footer="720" w:gutter="0"/>
          <w:cols w:space="720" w:num="1"/>
        </w:sectPr>
      </w:pPr>
    </w:p>
    <w:p w14:paraId="2FA46722">
      <w:pPr>
        <w:spacing w:before="0" w:after="0"/>
        <w:ind w:firstLine="560"/>
        <w:jc w:val="left"/>
        <w:outlineLvl w:val="9"/>
      </w:pPr>
      <w:r>
        <w:rPr>
          <w:rFonts w:ascii="方正仿宋_GBK" w:hAnsi="方正仿宋_GBK" w:eastAsia="方正仿宋_GBK" w:cs="方正仿宋_GBK"/>
          <w:b/>
          <w:color w:val="000000"/>
          <w:sz w:val="28"/>
        </w:rPr>
        <w:t>18、县级配套/大张家庄校区学前教育幼儿资助绩效目标表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A6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47EAA">
            <w:pPr>
              <w:pStyle w:val="14"/>
            </w:pPr>
            <w:r>
              <w:t>单位：万元</w:t>
            </w:r>
          </w:p>
        </w:tc>
      </w:tr>
      <w:tr w14:paraId="07625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11996">
            <w:pPr>
              <w:pStyle w:val="11"/>
            </w:pPr>
            <w:r>
              <w:t>项目编码</w:t>
            </w:r>
          </w:p>
        </w:tc>
        <w:tc>
          <w:tcPr>
            <w:tcW w:w="5103" w:type="dxa"/>
            <w:gridSpan w:val="2"/>
            <w:vAlign w:val="center"/>
          </w:tcPr>
          <w:p w14:paraId="5F01B5FD">
            <w:pPr>
              <w:pStyle w:val="13"/>
            </w:pPr>
            <w:r>
              <w:t>13052525P000002100237</w:t>
            </w:r>
          </w:p>
        </w:tc>
        <w:tc>
          <w:tcPr>
            <w:tcW w:w="2835" w:type="dxa"/>
            <w:vAlign w:val="center"/>
          </w:tcPr>
          <w:p w14:paraId="30C8DE7A">
            <w:pPr>
              <w:pStyle w:val="11"/>
            </w:pPr>
            <w:r>
              <w:t>项目名称</w:t>
            </w:r>
          </w:p>
        </w:tc>
        <w:tc>
          <w:tcPr>
            <w:tcW w:w="6095" w:type="dxa"/>
            <w:gridSpan w:val="3"/>
            <w:vAlign w:val="center"/>
          </w:tcPr>
          <w:p w14:paraId="0DEBC57C">
            <w:pPr>
              <w:pStyle w:val="13"/>
            </w:pPr>
            <w:r>
              <w:t>县级配套/大张家庄校区学前教育幼儿资助</w:t>
            </w:r>
          </w:p>
        </w:tc>
      </w:tr>
      <w:tr w14:paraId="0694B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79850">
            <w:pPr>
              <w:pStyle w:val="11"/>
            </w:pPr>
            <w:r>
              <w:t>预算规模及资金用途</w:t>
            </w:r>
          </w:p>
        </w:tc>
        <w:tc>
          <w:tcPr>
            <w:tcW w:w="2268" w:type="dxa"/>
            <w:vAlign w:val="center"/>
          </w:tcPr>
          <w:p w14:paraId="395BFA9B">
            <w:pPr>
              <w:pStyle w:val="11"/>
            </w:pPr>
            <w:r>
              <w:t>预算数</w:t>
            </w:r>
          </w:p>
        </w:tc>
        <w:tc>
          <w:tcPr>
            <w:tcW w:w="2835" w:type="dxa"/>
            <w:vAlign w:val="center"/>
          </w:tcPr>
          <w:p w14:paraId="6B18C39C">
            <w:pPr>
              <w:pStyle w:val="13"/>
            </w:pPr>
            <w:r>
              <w:t>0.28</w:t>
            </w:r>
          </w:p>
        </w:tc>
        <w:tc>
          <w:tcPr>
            <w:tcW w:w="2835" w:type="dxa"/>
            <w:vAlign w:val="center"/>
          </w:tcPr>
          <w:p w14:paraId="38FC9FF1">
            <w:pPr>
              <w:pStyle w:val="11"/>
            </w:pPr>
            <w:r>
              <w:t>其中：财政    资金</w:t>
            </w:r>
          </w:p>
        </w:tc>
        <w:tc>
          <w:tcPr>
            <w:tcW w:w="2551" w:type="dxa"/>
            <w:vAlign w:val="center"/>
          </w:tcPr>
          <w:p w14:paraId="4DFAC44D">
            <w:pPr>
              <w:pStyle w:val="13"/>
            </w:pPr>
            <w:r>
              <w:t>0.28</w:t>
            </w:r>
          </w:p>
        </w:tc>
        <w:tc>
          <w:tcPr>
            <w:tcW w:w="2268" w:type="dxa"/>
            <w:vAlign w:val="center"/>
          </w:tcPr>
          <w:p w14:paraId="1D51DF80">
            <w:pPr>
              <w:pStyle w:val="11"/>
            </w:pPr>
            <w:r>
              <w:t>其他资金</w:t>
            </w:r>
          </w:p>
        </w:tc>
        <w:tc>
          <w:tcPr>
            <w:tcW w:w="1276" w:type="dxa"/>
            <w:vAlign w:val="center"/>
          </w:tcPr>
          <w:p w14:paraId="733829AA">
            <w:pPr>
              <w:pStyle w:val="13"/>
            </w:pPr>
            <w:r>
              <w:t xml:space="preserve"> </w:t>
            </w:r>
          </w:p>
        </w:tc>
      </w:tr>
      <w:tr w14:paraId="2AF14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575710"/>
        </w:tc>
        <w:tc>
          <w:tcPr>
            <w:tcW w:w="14033" w:type="dxa"/>
            <w:gridSpan w:val="6"/>
            <w:vAlign w:val="center"/>
          </w:tcPr>
          <w:p w14:paraId="18210C96">
            <w:pPr>
              <w:pStyle w:val="13"/>
            </w:pPr>
            <w:r>
              <w:t>用于减轻学前受教育幼儿家庭经济负担，提高学前幼儿入学率。</w:t>
            </w:r>
          </w:p>
        </w:tc>
      </w:tr>
      <w:tr w14:paraId="41DBE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2A66F">
            <w:pPr>
              <w:pStyle w:val="11"/>
            </w:pPr>
            <w:r>
              <w:t>资金支出计划（%）</w:t>
            </w:r>
          </w:p>
        </w:tc>
        <w:tc>
          <w:tcPr>
            <w:tcW w:w="5103" w:type="dxa"/>
            <w:gridSpan w:val="2"/>
            <w:vAlign w:val="center"/>
          </w:tcPr>
          <w:p w14:paraId="4E13589A">
            <w:pPr>
              <w:pStyle w:val="11"/>
            </w:pPr>
            <w:r>
              <w:t>3月底</w:t>
            </w:r>
          </w:p>
        </w:tc>
        <w:tc>
          <w:tcPr>
            <w:tcW w:w="2835" w:type="dxa"/>
            <w:vAlign w:val="center"/>
          </w:tcPr>
          <w:p w14:paraId="7247C5E7">
            <w:pPr>
              <w:pStyle w:val="11"/>
            </w:pPr>
            <w:r>
              <w:t>6月底</w:t>
            </w:r>
          </w:p>
        </w:tc>
        <w:tc>
          <w:tcPr>
            <w:tcW w:w="2551" w:type="dxa"/>
            <w:vAlign w:val="center"/>
          </w:tcPr>
          <w:p w14:paraId="129764D5">
            <w:pPr>
              <w:pStyle w:val="11"/>
            </w:pPr>
            <w:r>
              <w:t>10月底</w:t>
            </w:r>
          </w:p>
        </w:tc>
        <w:tc>
          <w:tcPr>
            <w:tcW w:w="3544" w:type="dxa"/>
            <w:gridSpan w:val="2"/>
            <w:vAlign w:val="center"/>
          </w:tcPr>
          <w:p w14:paraId="60512D0E">
            <w:pPr>
              <w:pStyle w:val="11"/>
            </w:pPr>
            <w:r>
              <w:t>12月底</w:t>
            </w:r>
          </w:p>
        </w:tc>
      </w:tr>
      <w:tr w14:paraId="6CDB9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FF3719"/>
        </w:tc>
        <w:tc>
          <w:tcPr>
            <w:tcW w:w="5103" w:type="dxa"/>
            <w:gridSpan w:val="2"/>
            <w:vAlign w:val="center"/>
          </w:tcPr>
          <w:p w14:paraId="4E5A3A7B">
            <w:pPr>
              <w:pStyle w:val="12"/>
            </w:pPr>
            <w:r>
              <w:t xml:space="preserve"> </w:t>
            </w:r>
          </w:p>
        </w:tc>
        <w:tc>
          <w:tcPr>
            <w:tcW w:w="2835" w:type="dxa"/>
            <w:vAlign w:val="center"/>
          </w:tcPr>
          <w:p w14:paraId="0DF14823">
            <w:pPr>
              <w:pStyle w:val="12"/>
            </w:pPr>
            <w:r>
              <w:t>100%</w:t>
            </w:r>
          </w:p>
        </w:tc>
        <w:tc>
          <w:tcPr>
            <w:tcW w:w="2551" w:type="dxa"/>
            <w:vAlign w:val="center"/>
          </w:tcPr>
          <w:p w14:paraId="55860D87">
            <w:pPr>
              <w:pStyle w:val="12"/>
            </w:pPr>
            <w:r>
              <w:t>100%</w:t>
            </w:r>
          </w:p>
        </w:tc>
        <w:tc>
          <w:tcPr>
            <w:tcW w:w="3544" w:type="dxa"/>
            <w:gridSpan w:val="2"/>
            <w:vAlign w:val="center"/>
          </w:tcPr>
          <w:p w14:paraId="22CF2EA9">
            <w:pPr>
              <w:pStyle w:val="12"/>
            </w:pPr>
            <w:r>
              <w:t>100%</w:t>
            </w:r>
          </w:p>
        </w:tc>
      </w:tr>
      <w:tr w14:paraId="38364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8C403">
            <w:pPr>
              <w:pStyle w:val="11"/>
            </w:pPr>
            <w:r>
              <w:t>绩效目标</w:t>
            </w:r>
          </w:p>
        </w:tc>
        <w:tc>
          <w:tcPr>
            <w:tcW w:w="14033" w:type="dxa"/>
            <w:gridSpan w:val="6"/>
            <w:vAlign w:val="center"/>
          </w:tcPr>
          <w:p w14:paraId="2699A11E">
            <w:pPr>
              <w:pStyle w:val="13"/>
            </w:pPr>
            <w:r>
              <w:t>1.减轻学前受教育幼儿家庭经济负担，提高学前幼儿入学率。</w:t>
            </w:r>
          </w:p>
          <w:p w14:paraId="47D555A2">
            <w:pPr>
              <w:pStyle w:val="13"/>
            </w:pPr>
            <w:r>
              <w:t>2.保障落实建档立卡及家庭经济困难儿童资助所需资金，确保建档立卡等家庭经济困难幼儿优先获得资助</w:t>
            </w:r>
          </w:p>
        </w:tc>
      </w:tr>
    </w:tbl>
    <w:p w14:paraId="51ACC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98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ECFD9">
            <w:pPr>
              <w:pStyle w:val="11"/>
            </w:pPr>
            <w:r>
              <w:t>一级指标</w:t>
            </w:r>
          </w:p>
        </w:tc>
        <w:tc>
          <w:tcPr>
            <w:tcW w:w="2268" w:type="dxa"/>
            <w:vAlign w:val="center"/>
          </w:tcPr>
          <w:p w14:paraId="149E54CB">
            <w:pPr>
              <w:pStyle w:val="11"/>
            </w:pPr>
            <w:r>
              <w:t>二级指标</w:t>
            </w:r>
          </w:p>
        </w:tc>
        <w:tc>
          <w:tcPr>
            <w:tcW w:w="2835" w:type="dxa"/>
            <w:vAlign w:val="center"/>
          </w:tcPr>
          <w:p w14:paraId="761B034B">
            <w:pPr>
              <w:pStyle w:val="11"/>
            </w:pPr>
            <w:r>
              <w:t>三级指标</w:t>
            </w:r>
          </w:p>
        </w:tc>
        <w:tc>
          <w:tcPr>
            <w:tcW w:w="5386" w:type="dxa"/>
            <w:vAlign w:val="center"/>
          </w:tcPr>
          <w:p w14:paraId="2670BE3A">
            <w:pPr>
              <w:pStyle w:val="11"/>
            </w:pPr>
            <w:r>
              <w:t>绩效指标描述</w:t>
            </w:r>
          </w:p>
        </w:tc>
        <w:tc>
          <w:tcPr>
            <w:tcW w:w="2268" w:type="dxa"/>
            <w:vAlign w:val="center"/>
          </w:tcPr>
          <w:p w14:paraId="00C758B3">
            <w:pPr>
              <w:pStyle w:val="11"/>
            </w:pPr>
            <w:r>
              <w:t>指标值</w:t>
            </w:r>
          </w:p>
        </w:tc>
        <w:tc>
          <w:tcPr>
            <w:tcW w:w="1276" w:type="dxa"/>
            <w:vAlign w:val="center"/>
          </w:tcPr>
          <w:p w14:paraId="35DA4866">
            <w:pPr>
              <w:pStyle w:val="11"/>
            </w:pPr>
            <w:r>
              <w:t>指标值确定依据</w:t>
            </w:r>
          </w:p>
        </w:tc>
      </w:tr>
      <w:tr w14:paraId="641B3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8F25B">
            <w:pPr>
              <w:pStyle w:val="12"/>
            </w:pPr>
            <w:r>
              <w:t>产出指标</w:t>
            </w:r>
          </w:p>
        </w:tc>
        <w:tc>
          <w:tcPr>
            <w:tcW w:w="2268" w:type="dxa"/>
            <w:vAlign w:val="center"/>
          </w:tcPr>
          <w:p w14:paraId="58DA9FD7">
            <w:pPr>
              <w:pStyle w:val="13"/>
            </w:pPr>
            <w:r>
              <w:t>数量指标</w:t>
            </w:r>
          </w:p>
        </w:tc>
        <w:tc>
          <w:tcPr>
            <w:tcW w:w="2835" w:type="dxa"/>
            <w:vAlign w:val="center"/>
          </w:tcPr>
          <w:p w14:paraId="61751CFF">
            <w:pPr>
              <w:pStyle w:val="13"/>
            </w:pPr>
            <w:r>
              <w:t>幼儿资助比例</w:t>
            </w:r>
          </w:p>
        </w:tc>
        <w:tc>
          <w:tcPr>
            <w:tcW w:w="5386" w:type="dxa"/>
            <w:vAlign w:val="center"/>
          </w:tcPr>
          <w:p w14:paraId="5446214F">
            <w:pPr>
              <w:pStyle w:val="13"/>
            </w:pPr>
            <w:r>
              <w:t>按学前适龄在园儿童实际需资助人数测算</w:t>
            </w:r>
          </w:p>
        </w:tc>
        <w:tc>
          <w:tcPr>
            <w:tcW w:w="2268" w:type="dxa"/>
            <w:vAlign w:val="center"/>
          </w:tcPr>
          <w:p w14:paraId="752CDF67">
            <w:pPr>
              <w:pStyle w:val="13"/>
            </w:pPr>
            <w:r>
              <w:t>14人</w:t>
            </w:r>
          </w:p>
        </w:tc>
        <w:tc>
          <w:tcPr>
            <w:tcW w:w="1276" w:type="dxa"/>
            <w:vAlign w:val="center"/>
          </w:tcPr>
          <w:p w14:paraId="135FC766">
            <w:pPr>
              <w:pStyle w:val="13"/>
            </w:pPr>
            <w:r>
              <w:t>发展学前教育资金管理办法</w:t>
            </w:r>
          </w:p>
        </w:tc>
      </w:tr>
      <w:tr w14:paraId="0EA9C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8CD5A"/>
        </w:tc>
        <w:tc>
          <w:tcPr>
            <w:tcW w:w="2268" w:type="dxa"/>
            <w:vAlign w:val="center"/>
          </w:tcPr>
          <w:p w14:paraId="645D7EFE">
            <w:pPr>
              <w:pStyle w:val="13"/>
            </w:pPr>
            <w:r>
              <w:t>质量指标</w:t>
            </w:r>
          </w:p>
        </w:tc>
        <w:tc>
          <w:tcPr>
            <w:tcW w:w="2835" w:type="dxa"/>
            <w:vAlign w:val="center"/>
          </w:tcPr>
          <w:p w14:paraId="4326883B">
            <w:pPr>
              <w:pStyle w:val="13"/>
            </w:pPr>
            <w:r>
              <w:t>学前教育资助制度落实情况</w:t>
            </w:r>
          </w:p>
        </w:tc>
        <w:tc>
          <w:tcPr>
            <w:tcW w:w="5386" w:type="dxa"/>
            <w:vAlign w:val="center"/>
          </w:tcPr>
          <w:p w14:paraId="04131785">
            <w:pPr>
              <w:pStyle w:val="13"/>
            </w:pPr>
            <w:r>
              <w:t>符合享受资助条件的学生覆盖率</w:t>
            </w:r>
          </w:p>
        </w:tc>
        <w:tc>
          <w:tcPr>
            <w:tcW w:w="2268" w:type="dxa"/>
            <w:vAlign w:val="center"/>
          </w:tcPr>
          <w:p w14:paraId="6C84C5C8">
            <w:pPr>
              <w:pStyle w:val="13"/>
            </w:pPr>
            <w:r>
              <w:t>≥100%</w:t>
            </w:r>
          </w:p>
        </w:tc>
        <w:tc>
          <w:tcPr>
            <w:tcW w:w="1276" w:type="dxa"/>
            <w:vAlign w:val="center"/>
          </w:tcPr>
          <w:p w14:paraId="53A25506">
            <w:pPr>
              <w:pStyle w:val="13"/>
            </w:pPr>
            <w:r>
              <w:t>发展学前教育资金管理办法</w:t>
            </w:r>
          </w:p>
        </w:tc>
      </w:tr>
      <w:tr w14:paraId="22E58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3909B"/>
        </w:tc>
        <w:tc>
          <w:tcPr>
            <w:tcW w:w="2268" w:type="dxa"/>
            <w:vAlign w:val="center"/>
          </w:tcPr>
          <w:p w14:paraId="271662F3">
            <w:pPr>
              <w:pStyle w:val="13"/>
            </w:pPr>
            <w:r>
              <w:t>时效指标</w:t>
            </w:r>
          </w:p>
        </w:tc>
        <w:tc>
          <w:tcPr>
            <w:tcW w:w="2835" w:type="dxa"/>
            <w:vAlign w:val="center"/>
          </w:tcPr>
          <w:p w14:paraId="72C92989">
            <w:pPr>
              <w:pStyle w:val="13"/>
            </w:pPr>
            <w:r>
              <w:t>资金拨付率</w:t>
            </w:r>
          </w:p>
        </w:tc>
        <w:tc>
          <w:tcPr>
            <w:tcW w:w="5386" w:type="dxa"/>
            <w:vAlign w:val="center"/>
          </w:tcPr>
          <w:p w14:paraId="4067F88A">
            <w:pPr>
              <w:pStyle w:val="13"/>
            </w:pPr>
            <w:r>
              <w:t>按进度进行资金支付</w:t>
            </w:r>
          </w:p>
        </w:tc>
        <w:tc>
          <w:tcPr>
            <w:tcW w:w="2268" w:type="dxa"/>
            <w:vAlign w:val="center"/>
          </w:tcPr>
          <w:p w14:paraId="36A8FC9E">
            <w:pPr>
              <w:pStyle w:val="13"/>
            </w:pPr>
            <w:r>
              <w:t>≥100%</w:t>
            </w:r>
          </w:p>
        </w:tc>
        <w:tc>
          <w:tcPr>
            <w:tcW w:w="1276" w:type="dxa"/>
            <w:vAlign w:val="center"/>
          </w:tcPr>
          <w:p w14:paraId="7D305EC4">
            <w:pPr>
              <w:pStyle w:val="13"/>
            </w:pPr>
            <w:r>
              <w:t>发展学前教育资金管理办法</w:t>
            </w:r>
          </w:p>
        </w:tc>
      </w:tr>
      <w:tr w14:paraId="71886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811BB"/>
        </w:tc>
        <w:tc>
          <w:tcPr>
            <w:tcW w:w="2268" w:type="dxa"/>
            <w:vAlign w:val="center"/>
          </w:tcPr>
          <w:p w14:paraId="69A0F3F1">
            <w:pPr>
              <w:pStyle w:val="13"/>
            </w:pPr>
            <w:r>
              <w:t>成本指标</w:t>
            </w:r>
          </w:p>
        </w:tc>
        <w:tc>
          <w:tcPr>
            <w:tcW w:w="2835" w:type="dxa"/>
            <w:vAlign w:val="center"/>
          </w:tcPr>
          <w:p w14:paraId="7B3D1723">
            <w:pPr>
              <w:pStyle w:val="13"/>
            </w:pPr>
            <w:r>
              <w:t>生均拨款标准</w:t>
            </w:r>
          </w:p>
        </w:tc>
        <w:tc>
          <w:tcPr>
            <w:tcW w:w="5386" w:type="dxa"/>
            <w:vAlign w:val="center"/>
          </w:tcPr>
          <w:p w14:paraId="4FC55693">
            <w:pPr>
              <w:pStyle w:val="13"/>
            </w:pPr>
            <w:r>
              <w:t>按规定标准落实</w:t>
            </w:r>
          </w:p>
        </w:tc>
        <w:tc>
          <w:tcPr>
            <w:tcW w:w="2268" w:type="dxa"/>
            <w:vAlign w:val="center"/>
          </w:tcPr>
          <w:p w14:paraId="6667DF4D">
            <w:pPr>
              <w:pStyle w:val="13"/>
            </w:pPr>
            <w:r>
              <w:t>500元/生/半年</w:t>
            </w:r>
          </w:p>
        </w:tc>
        <w:tc>
          <w:tcPr>
            <w:tcW w:w="1276" w:type="dxa"/>
            <w:vAlign w:val="center"/>
          </w:tcPr>
          <w:p w14:paraId="7D3095F7">
            <w:pPr>
              <w:pStyle w:val="13"/>
            </w:pPr>
            <w:r>
              <w:t>发展学前教育资金管理办法</w:t>
            </w:r>
          </w:p>
        </w:tc>
      </w:tr>
      <w:tr w14:paraId="5254D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9E392F">
            <w:pPr>
              <w:pStyle w:val="12"/>
            </w:pPr>
            <w:r>
              <w:t>效益指标</w:t>
            </w:r>
          </w:p>
        </w:tc>
        <w:tc>
          <w:tcPr>
            <w:tcW w:w="2268" w:type="dxa"/>
            <w:vAlign w:val="center"/>
          </w:tcPr>
          <w:p w14:paraId="5235CE09">
            <w:pPr>
              <w:pStyle w:val="13"/>
            </w:pPr>
            <w:r>
              <w:t>可持续影响指标</w:t>
            </w:r>
          </w:p>
        </w:tc>
        <w:tc>
          <w:tcPr>
            <w:tcW w:w="2835" w:type="dxa"/>
            <w:vAlign w:val="center"/>
          </w:tcPr>
          <w:p w14:paraId="41FA0B16">
            <w:pPr>
              <w:pStyle w:val="13"/>
            </w:pPr>
            <w:r>
              <w:t>教育发展水平明显好转</w:t>
            </w:r>
          </w:p>
        </w:tc>
        <w:tc>
          <w:tcPr>
            <w:tcW w:w="5386" w:type="dxa"/>
            <w:vAlign w:val="center"/>
          </w:tcPr>
          <w:p w14:paraId="054C1794">
            <w:pPr>
              <w:pStyle w:val="13"/>
            </w:pPr>
            <w:r>
              <w:t>幼儿受教育年限</w:t>
            </w:r>
          </w:p>
        </w:tc>
        <w:tc>
          <w:tcPr>
            <w:tcW w:w="2268" w:type="dxa"/>
            <w:vAlign w:val="center"/>
          </w:tcPr>
          <w:p w14:paraId="023B09DB">
            <w:pPr>
              <w:pStyle w:val="13"/>
            </w:pPr>
            <w:r>
              <w:t>3年</w:t>
            </w:r>
          </w:p>
        </w:tc>
        <w:tc>
          <w:tcPr>
            <w:tcW w:w="1276" w:type="dxa"/>
            <w:vAlign w:val="center"/>
          </w:tcPr>
          <w:p w14:paraId="382B4E7A">
            <w:pPr>
              <w:pStyle w:val="13"/>
            </w:pPr>
            <w:r>
              <w:t>发展学前教育资金管理办法</w:t>
            </w:r>
          </w:p>
        </w:tc>
      </w:tr>
      <w:tr w14:paraId="75867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9EF535">
            <w:pPr>
              <w:pStyle w:val="12"/>
            </w:pPr>
            <w:r>
              <w:t>满意度指标</w:t>
            </w:r>
          </w:p>
        </w:tc>
        <w:tc>
          <w:tcPr>
            <w:tcW w:w="2268" w:type="dxa"/>
            <w:vAlign w:val="center"/>
          </w:tcPr>
          <w:p w14:paraId="1EE9B99A">
            <w:pPr>
              <w:pStyle w:val="13"/>
            </w:pPr>
            <w:r>
              <w:t>服务对象满意度指标</w:t>
            </w:r>
          </w:p>
        </w:tc>
        <w:tc>
          <w:tcPr>
            <w:tcW w:w="2835" w:type="dxa"/>
            <w:vAlign w:val="center"/>
          </w:tcPr>
          <w:p w14:paraId="3789A125">
            <w:pPr>
              <w:pStyle w:val="13"/>
            </w:pPr>
            <w:r>
              <w:t>受益幼儿家长及调查满意度</w:t>
            </w:r>
          </w:p>
        </w:tc>
        <w:tc>
          <w:tcPr>
            <w:tcW w:w="5386" w:type="dxa"/>
            <w:vAlign w:val="center"/>
          </w:tcPr>
          <w:p w14:paraId="3F8794EC">
            <w:pPr>
              <w:pStyle w:val="13"/>
            </w:pPr>
            <w:r>
              <w:t>学生、教师及家长对学校保教保育工作满意度情况</w:t>
            </w:r>
          </w:p>
        </w:tc>
        <w:tc>
          <w:tcPr>
            <w:tcW w:w="2268" w:type="dxa"/>
            <w:vAlign w:val="center"/>
          </w:tcPr>
          <w:p w14:paraId="2FA23000">
            <w:pPr>
              <w:pStyle w:val="13"/>
            </w:pPr>
            <w:r>
              <w:t>≥95%</w:t>
            </w:r>
          </w:p>
        </w:tc>
        <w:tc>
          <w:tcPr>
            <w:tcW w:w="1276" w:type="dxa"/>
            <w:vAlign w:val="center"/>
          </w:tcPr>
          <w:p w14:paraId="144A9EEF">
            <w:pPr>
              <w:pStyle w:val="13"/>
            </w:pPr>
            <w:r>
              <w:t>调查问卷</w:t>
            </w:r>
          </w:p>
        </w:tc>
      </w:tr>
    </w:tbl>
    <w:p w14:paraId="7B2BAF5C">
      <w:pPr>
        <w:sectPr>
          <w:pgSz w:w="16840" w:h="11900" w:orient="landscape"/>
          <w:pgMar w:top="1361" w:right="1020" w:bottom="1134" w:left="1020" w:header="720" w:footer="720" w:gutter="0"/>
          <w:cols w:space="720" w:num="1"/>
        </w:sectPr>
      </w:pPr>
    </w:p>
    <w:p w14:paraId="0263CB91">
      <w:pPr>
        <w:spacing w:before="0" w:after="0"/>
        <w:ind w:firstLine="560"/>
        <w:jc w:val="left"/>
        <w:outlineLvl w:val="9"/>
      </w:pPr>
      <w:r>
        <w:rPr>
          <w:rFonts w:ascii="方正仿宋_GBK" w:hAnsi="方正仿宋_GBK" w:eastAsia="方正仿宋_GBK" w:cs="方正仿宋_GBK"/>
          <w:b/>
          <w:color w:val="000000"/>
          <w:sz w:val="28"/>
        </w:rPr>
        <w:t>19、县级资金/大张家庄校区幼儿园公用经费绩效目标表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D3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C44F6">
            <w:pPr>
              <w:pStyle w:val="14"/>
            </w:pPr>
            <w:r>
              <w:t>单位：万元</w:t>
            </w:r>
          </w:p>
        </w:tc>
      </w:tr>
      <w:tr w14:paraId="428D4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E16DB">
            <w:pPr>
              <w:pStyle w:val="11"/>
            </w:pPr>
            <w:r>
              <w:t>项目编码</w:t>
            </w:r>
          </w:p>
        </w:tc>
        <w:tc>
          <w:tcPr>
            <w:tcW w:w="5103" w:type="dxa"/>
            <w:gridSpan w:val="2"/>
            <w:vAlign w:val="center"/>
          </w:tcPr>
          <w:p w14:paraId="0AF10389">
            <w:pPr>
              <w:pStyle w:val="13"/>
            </w:pPr>
            <w:r>
              <w:t>13052524P008756100822</w:t>
            </w:r>
          </w:p>
        </w:tc>
        <w:tc>
          <w:tcPr>
            <w:tcW w:w="2835" w:type="dxa"/>
            <w:vAlign w:val="center"/>
          </w:tcPr>
          <w:p w14:paraId="07B01798">
            <w:pPr>
              <w:pStyle w:val="11"/>
            </w:pPr>
            <w:r>
              <w:t>项目名称</w:t>
            </w:r>
          </w:p>
        </w:tc>
        <w:tc>
          <w:tcPr>
            <w:tcW w:w="6095" w:type="dxa"/>
            <w:gridSpan w:val="3"/>
            <w:vAlign w:val="center"/>
          </w:tcPr>
          <w:p w14:paraId="422483D1">
            <w:pPr>
              <w:pStyle w:val="13"/>
            </w:pPr>
            <w:r>
              <w:t>县级资金/大张家庄校区幼儿园公用经费</w:t>
            </w:r>
          </w:p>
        </w:tc>
      </w:tr>
      <w:tr w14:paraId="457C87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B7909">
            <w:pPr>
              <w:pStyle w:val="11"/>
            </w:pPr>
            <w:r>
              <w:t>预算规模及资金用途</w:t>
            </w:r>
          </w:p>
        </w:tc>
        <w:tc>
          <w:tcPr>
            <w:tcW w:w="2268" w:type="dxa"/>
            <w:vAlign w:val="center"/>
          </w:tcPr>
          <w:p w14:paraId="78A0D9A6">
            <w:pPr>
              <w:pStyle w:val="11"/>
            </w:pPr>
            <w:r>
              <w:t>预算数</w:t>
            </w:r>
          </w:p>
        </w:tc>
        <w:tc>
          <w:tcPr>
            <w:tcW w:w="2835" w:type="dxa"/>
            <w:vAlign w:val="center"/>
          </w:tcPr>
          <w:p w14:paraId="4D948BAC">
            <w:pPr>
              <w:pStyle w:val="13"/>
            </w:pPr>
            <w:r>
              <w:t>7.65</w:t>
            </w:r>
          </w:p>
        </w:tc>
        <w:tc>
          <w:tcPr>
            <w:tcW w:w="2835" w:type="dxa"/>
            <w:vAlign w:val="center"/>
          </w:tcPr>
          <w:p w14:paraId="37E33B97">
            <w:pPr>
              <w:pStyle w:val="11"/>
            </w:pPr>
            <w:r>
              <w:t>其中：财政    资金</w:t>
            </w:r>
          </w:p>
        </w:tc>
        <w:tc>
          <w:tcPr>
            <w:tcW w:w="2551" w:type="dxa"/>
            <w:vAlign w:val="center"/>
          </w:tcPr>
          <w:p w14:paraId="12835D31">
            <w:pPr>
              <w:pStyle w:val="13"/>
            </w:pPr>
            <w:r>
              <w:t>7.65</w:t>
            </w:r>
          </w:p>
        </w:tc>
        <w:tc>
          <w:tcPr>
            <w:tcW w:w="2268" w:type="dxa"/>
            <w:vAlign w:val="center"/>
          </w:tcPr>
          <w:p w14:paraId="29B2B1B4">
            <w:pPr>
              <w:pStyle w:val="11"/>
            </w:pPr>
            <w:r>
              <w:t>其他资金</w:t>
            </w:r>
          </w:p>
        </w:tc>
        <w:tc>
          <w:tcPr>
            <w:tcW w:w="1276" w:type="dxa"/>
            <w:vAlign w:val="center"/>
          </w:tcPr>
          <w:p w14:paraId="48C525BE">
            <w:pPr>
              <w:pStyle w:val="13"/>
            </w:pPr>
            <w:r>
              <w:t xml:space="preserve"> </w:t>
            </w:r>
          </w:p>
        </w:tc>
      </w:tr>
      <w:tr w14:paraId="2C9B9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BF61AC"/>
        </w:tc>
        <w:tc>
          <w:tcPr>
            <w:tcW w:w="14033" w:type="dxa"/>
            <w:gridSpan w:val="6"/>
            <w:vAlign w:val="center"/>
          </w:tcPr>
          <w:p w14:paraId="2E1D3230">
            <w:pPr>
              <w:pStyle w:val="13"/>
            </w:pPr>
            <w:r>
              <w:t>为保证幼儿园正常运转和改善办学条件。</w:t>
            </w:r>
          </w:p>
        </w:tc>
      </w:tr>
      <w:tr w14:paraId="02184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97AA8">
            <w:pPr>
              <w:pStyle w:val="11"/>
            </w:pPr>
            <w:r>
              <w:t>资金支出计划（%）</w:t>
            </w:r>
          </w:p>
        </w:tc>
        <w:tc>
          <w:tcPr>
            <w:tcW w:w="5103" w:type="dxa"/>
            <w:gridSpan w:val="2"/>
            <w:vAlign w:val="center"/>
          </w:tcPr>
          <w:p w14:paraId="5C36C261">
            <w:pPr>
              <w:pStyle w:val="11"/>
            </w:pPr>
            <w:r>
              <w:t>3月底</w:t>
            </w:r>
          </w:p>
        </w:tc>
        <w:tc>
          <w:tcPr>
            <w:tcW w:w="2835" w:type="dxa"/>
            <w:vAlign w:val="center"/>
          </w:tcPr>
          <w:p w14:paraId="12BF8694">
            <w:pPr>
              <w:pStyle w:val="11"/>
            </w:pPr>
            <w:r>
              <w:t>6月底</w:t>
            </w:r>
          </w:p>
        </w:tc>
        <w:tc>
          <w:tcPr>
            <w:tcW w:w="2551" w:type="dxa"/>
            <w:vAlign w:val="center"/>
          </w:tcPr>
          <w:p w14:paraId="12F7A4DC">
            <w:pPr>
              <w:pStyle w:val="11"/>
            </w:pPr>
            <w:r>
              <w:t>10月底</w:t>
            </w:r>
          </w:p>
        </w:tc>
        <w:tc>
          <w:tcPr>
            <w:tcW w:w="3544" w:type="dxa"/>
            <w:gridSpan w:val="2"/>
            <w:vAlign w:val="center"/>
          </w:tcPr>
          <w:p w14:paraId="4F7AB5D6">
            <w:pPr>
              <w:pStyle w:val="11"/>
            </w:pPr>
            <w:r>
              <w:t>12月底</w:t>
            </w:r>
          </w:p>
        </w:tc>
      </w:tr>
      <w:tr w14:paraId="7DFD9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7F88E"/>
        </w:tc>
        <w:tc>
          <w:tcPr>
            <w:tcW w:w="5103" w:type="dxa"/>
            <w:gridSpan w:val="2"/>
            <w:vAlign w:val="center"/>
          </w:tcPr>
          <w:p w14:paraId="2FB6932E">
            <w:pPr>
              <w:pStyle w:val="12"/>
            </w:pPr>
            <w:r>
              <w:t xml:space="preserve"> </w:t>
            </w:r>
          </w:p>
        </w:tc>
        <w:tc>
          <w:tcPr>
            <w:tcW w:w="2835" w:type="dxa"/>
            <w:vAlign w:val="center"/>
          </w:tcPr>
          <w:p w14:paraId="79CA492C">
            <w:pPr>
              <w:pStyle w:val="12"/>
            </w:pPr>
            <w:r>
              <w:t>50%</w:t>
            </w:r>
          </w:p>
        </w:tc>
        <w:tc>
          <w:tcPr>
            <w:tcW w:w="2551" w:type="dxa"/>
            <w:vAlign w:val="center"/>
          </w:tcPr>
          <w:p w14:paraId="6C3B17AF">
            <w:pPr>
              <w:pStyle w:val="12"/>
            </w:pPr>
            <w:r>
              <w:t>100%</w:t>
            </w:r>
          </w:p>
        </w:tc>
        <w:tc>
          <w:tcPr>
            <w:tcW w:w="3544" w:type="dxa"/>
            <w:gridSpan w:val="2"/>
            <w:vAlign w:val="center"/>
          </w:tcPr>
          <w:p w14:paraId="34948B7A">
            <w:pPr>
              <w:pStyle w:val="12"/>
            </w:pPr>
            <w:r>
              <w:t>100%</w:t>
            </w:r>
          </w:p>
        </w:tc>
      </w:tr>
      <w:tr w14:paraId="63EF1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68F76E">
            <w:pPr>
              <w:pStyle w:val="11"/>
            </w:pPr>
            <w:r>
              <w:t>绩效目标</w:t>
            </w:r>
          </w:p>
        </w:tc>
        <w:tc>
          <w:tcPr>
            <w:tcW w:w="14033" w:type="dxa"/>
            <w:gridSpan w:val="6"/>
            <w:vAlign w:val="center"/>
          </w:tcPr>
          <w:p w14:paraId="2D22EC51">
            <w:pPr>
              <w:pStyle w:val="13"/>
            </w:pPr>
            <w:r>
              <w:t>1.按拨款序时进度完成经费拨付和支出。</w:t>
            </w:r>
          </w:p>
          <w:p w14:paraId="1F805D3B">
            <w:pPr>
              <w:pStyle w:val="13"/>
            </w:pPr>
            <w:r>
              <w:t>2.为保证幼儿园正常运转和改善办学条件。</w:t>
            </w:r>
          </w:p>
        </w:tc>
      </w:tr>
    </w:tbl>
    <w:p w14:paraId="5DC1C8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84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17B10">
            <w:pPr>
              <w:pStyle w:val="11"/>
            </w:pPr>
            <w:r>
              <w:t>一级指标</w:t>
            </w:r>
          </w:p>
        </w:tc>
        <w:tc>
          <w:tcPr>
            <w:tcW w:w="2268" w:type="dxa"/>
            <w:vAlign w:val="center"/>
          </w:tcPr>
          <w:p w14:paraId="1420EA9F">
            <w:pPr>
              <w:pStyle w:val="11"/>
            </w:pPr>
            <w:r>
              <w:t>二级指标</w:t>
            </w:r>
          </w:p>
        </w:tc>
        <w:tc>
          <w:tcPr>
            <w:tcW w:w="2835" w:type="dxa"/>
            <w:vAlign w:val="center"/>
          </w:tcPr>
          <w:p w14:paraId="16267CD1">
            <w:pPr>
              <w:pStyle w:val="11"/>
            </w:pPr>
            <w:r>
              <w:t>三级指标</w:t>
            </w:r>
          </w:p>
        </w:tc>
        <w:tc>
          <w:tcPr>
            <w:tcW w:w="5386" w:type="dxa"/>
            <w:vAlign w:val="center"/>
          </w:tcPr>
          <w:p w14:paraId="6C4F821E">
            <w:pPr>
              <w:pStyle w:val="11"/>
            </w:pPr>
            <w:r>
              <w:t>绩效指标描述</w:t>
            </w:r>
          </w:p>
        </w:tc>
        <w:tc>
          <w:tcPr>
            <w:tcW w:w="2268" w:type="dxa"/>
            <w:vAlign w:val="center"/>
          </w:tcPr>
          <w:p w14:paraId="601FB521">
            <w:pPr>
              <w:pStyle w:val="11"/>
            </w:pPr>
            <w:r>
              <w:t>指标值</w:t>
            </w:r>
          </w:p>
        </w:tc>
        <w:tc>
          <w:tcPr>
            <w:tcW w:w="1276" w:type="dxa"/>
            <w:vAlign w:val="center"/>
          </w:tcPr>
          <w:p w14:paraId="26229889">
            <w:pPr>
              <w:pStyle w:val="11"/>
            </w:pPr>
            <w:r>
              <w:t>指标值确定依据</w:t>
            </w:r>
          </w:p>
        </w:tc>
      </w:tr>
      <w:tr w14:paraId="662E0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07CD1">
            <w:pPr>
              <w:pStyle w:val="12"/>
            </w:pPr>
            <w:r>
              <w:t>产出指标</w:t>
            </w:r>
          </w:p>
        </w:tc>
        <w:tc>
          <w:tcPr>
            <w:tcW w:w="2268" w:type="dxa"/>
            <w:vAlign w:val="center"/>
          </w:tcPr>
          <w:p w14:paraId="19D41647">
            <w:pPr>
              <w:pStyle w:val="13"/>
            </w:pPr>
            <w:r>
              <w:t>数量指标</w:t>
            </w:r>
          </w:p>
        </w:tc>
        <w:tc>
          <w:tcPr>
            <w:tcW w:w="2835" w:type="dxa"/>
            <w:vAlign w:val="center"/>
          </w:tcPr>
          <w:p w14:paraId="357DB318">
            <w:pPr>
              <w:pStyle w:val="13"/>
            </w:pPr>
            <w:r>
              <w:t>适龄在园生</w:t>
            </w:r>
          </w:p>
        </w:tc>
        <w:tc>
          <w:tcPr>
            <w:tcW w:w="5386" w:type="dxa"/>
            <w:vAlign w:val="center"/>
          </w:tcPr>
          <w:p w14:paraId="5113BE9D">
            <w:pPr>
              <w:pStyle w:val="13"/>
            </w:pPr>
            <w:r>
              <w:t>适龄在园学生人数</w:t>
            </w:r>
          </w:p>
        </w:tc>
        <w:tc>
          <w:tcPr>
            <w:tcW w:w="2268" w:type="dxa"/>
            <w:vAlign w:val="center"/>
          </w:tcPr>
          <w:p w14:paraId="38E7F1CA">
            <w:pPr>
              <w:pStyle w:val="13"/>
            </w:pPr>
            <w:r>
              <w:t>170人</w:t>
            </w:r>
          </w:p>
        </w:tc>
        <w:tc>
          <w:tcPr>
            <w:tcW w:w="1276" w:type="dxa"/>
            <w:vAlign w:val="center"/>
          </w:tcPr>
          <w:p w14:paraId="1688FB57">
            <w:pPr>
              <w:pStyle w:val="13"/>
            </w:pPr>
            <w:r>
              <w:t>支持学前教育发展县级资金管理办法</w:t>
            </w:r>
          </w:p>
        </w:tc>
      </w:tr>
      <w:tr w14:paraId="5DA9D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DC1CF"/>
        </w:tc>
        <w:tc>
          <w:tcPr>
            <w:tcW w:w="2268" w:type="dxa"/>
            <w:vAlign w:val="center"/>
          </w:tcPr>
          <w:p w14:paraId="7BF81EED">
            <w:pPr>
              <w:pStyle w:val="13"/>
            </w:pPr>
            <w:r>
              <w:t>质量指标</w:t>
            </w:r>
          </w:p>
        </w:tc>
        <w:tc>
          <w:tcPr>
            <w:tcW w:w="2835" w:type="dxa"/>
            <w:vAlign w:val="center"/>
          </w:tcPr>
          <w:p w14:paraId="59580B51">
            <w:pPr>
              <w:pStyle w:val="13"/>
            </w:pPr>
            <w:r>
              <w:t>公用经费控制率</w:t>
            </w:r>
          </w:p>
        </w:tc>
        <w:tc>
          <w:tcPr>
            <w:tcW w:w="5386" w:type="dxa"/>
            <w:vAlign w:val="center"/>
          </w:tcPr>
          <w:p w14:paraId="270BE67D">
            <w:pPr>
              <w:pStyle w:val="13"/>
            </w:pPr>
            <w:r>
              <w:t>幼儿园公用经费拨付执行率</w:t>
            </w:r>
          </w:p>
        </w:tc>
        <w:tc>
          <w:tcPr>
            <w:tcW w:w="2268" w:type="dxa"/>
            <w:vAlign w:val="center"/>
          </w:tcPr>
          <w:p w14:paraId="7DADAADE">
            <w:pPr>
              <w:pStyle w:val="13"/>
            </w:pPr>
            <w:r>
              <w:t>≥100%</w:t>
            </w:r>
          </w:p>
        </w:tc>
        <w:tc>
          <w:tcPr>
            <w:tcW w:w="1276" w:type="dxa"/>
            <w:vAlign w:val="center"/>
          </w:tcPr>
          <w:p w14:paraId="5BD4DDCA">
            <w:pPr>
              <w:pStyle w:val="13"/>
            </w:pPr>
            <w:r>
              <w:t>支持学前教育发展县级资金管理办法</w:t>
            </w:r>
          </w:p>
        </w:tc>
      </w:tr>
      <w:tr w14:paraId="3CB62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4076E"/>
        </w:tc>
        <w:tc>
          <w:tcPr>
            <w:tcW w:w="2268" w:type="dxa"/>
            <w:vAlign w:val="center"/>
          </w:tcPr>
          <w:p w14:paraId="47E23572">
            <w:pPr>
              <w:pStyle w:val="13"/>
            </w:pPr>
            <w:r>
              <w:t>时效指标</w:t>
            </w:r>
          </w:p>
        </w:tc>
        <w:tc>
          <w:tcPr>
            <w:tcW w:w="2835" w:type="dxa"/>
            <w:vAlign w:val="center"/>
          </w:tcPr>
          <w:p w14:paraId="69AB1139">
            <w:pPr>
              <w:pStyle w:val="13"/>
            </w:pPr>
            <w:r>
              <w:t>资金支付率</w:t>
            </w:r>
          </w:p>
        </w:tc>
        <w:tc>
          <w:tcPr>
            <w:tcW w:w="5386" w:type="dxa"/>
            <w:vAlign w:val="center"/>
          </w:tcPr>
          <w:p w14:paraId="65B9FAD8">
            <w:pPr>
              <w:pStyle w:val="13"/>
            </w:pPr>
            <w:r>
              <w:t>按照序时进度完成资金支付</w:t>
            </w:r>
          </w:p>
        </w:tc>
        <w:tc>
          <w:tcPr>
            <w:tcW w:w="2268" w:type="dxa"/>
            <w:vAlign w:val="center"/>
          </w:tcPr>
          <w:p w14:paraId="5F75B532">
            <w:pPr>
              <w:pStyle w:val="13"/>
            </w:pPr>
            <w:r>
              <w:t>≥100%</w:t>
            </w:r>
          </w:p>
        </w:tc>
        <w:tc>
          <w:tcPr>
            <w:tcW w:w="1276" w:type="dxa"/>
            <w:vAlign w:val="center"/>
          </w:tcPr>
          <w:p w14:paraId="611B1240">
            <w:pPr>
              <w:pStyle w:val="13"/>
            </w:pPr>
            <w:r>
              <w:t>支持学前教育发展县级资金管理办法</w:t>
            </w:r>
          </w:p>
        </w:tc>
      </w:tr>
      <w:tr w14:paraId="73404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D37A2"/>
        </w:tc>
        <w:tc>
          <w:tcPr>
            <w:tcW w:w="2268" w:type="dxa"/>
            <w:vAlign w:val="center"/>
          </w:tcPr>
          <w:p w14:paraId="11CC8873">
            <w:pPr>
              <w:pStyle w:val="13"/>
            </w:pPr>
            <w:r>
              <w:t>成本指标</w:t>
            </w:r>
          </w:p>
        </w:tc>
        <w:tc>
          <w:tcPr>
            <w:tcW w:w="2835" w:type="dxa"/>
            <w:vAlign w:val="center"/>
          </w:tcPr>
          <w:p w14:paraId="3C49AB24">
            <w:pPr>
              <w:pStyle w:val="13"/>
            </w:pPr>
            <w:r>
              <w:t>生均拨款标准</w:t>
            </w:r>
          </w:p>
        </w:tc>
        <w:tc>
          <w:tcPr>
            <w:tcW w:w="5386" w:type="dxa"/>
            <w:vAlign w:val="center"/>
          </w:tcPr>
          <w:p w14:paraId="3147EECA">
            <w:pPr>
              <w:pStyle w:val="13"/>
            </w:pPr>
            <w:r>
              <w:t>学前：（基本标准600元/生/学年）</w:t>
            </w:r>
          </w:p>
        </w:tc>
        <w:tc>
          <w:tcPr>
            <w:tcW w:w="2268" w:type="dxa"/>
            <w:vAlign w:val="center"/>
          </w:tcPr>
          <w:p w14:paraId="32B4B321">
            <w:pPr>
              <w:pStyle w:val="13"/>
            </w:pPr>
            <w:r>
              <w:t>600元</w:t>
            </w:r>
          </w:p>
        </w:tc>
        <w:tc>
          <w:tcPr>
            <w:tcW w:w="1276" w:type="dxa"/>
            <w:vAlign w:val="center"/>
          </w:tcPr>
          <w:p w14:paraId="16585F28">
            <w:pPr>
              <w:pStyle w:val="13"/>
            </w:pPr>
            <w:r>
              <w:t>支持学前教育发展县级资金管理办法</w:t>
            </w:r>
          </w:p>
        </w:tc>
      </w:tr>
      <w:tr w14:paraId="23CD0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1BEF37">
            <w:pPr>
              <w:pStyle w:val="12"/>
            </w:pPr>
            <w:r>
              <w:t>效益指标</w:t>
            </w:r>
          </w:p>
        </w:tc>
        <w:tc>
          <w:tcPr>
            <w:tcW w:w="2268" w:type="dxa"/>
            <w:vAlign w:val="center"/>
          </w:tcPr>
          <w:p w14:paraId="32A2F6F4">
            <w:pPr>
              <w:pStyle w:val="13"/>
            </w:pPr>
            <w:r>
              <w:t>可持续影响指标</w:t>
            </w:r>
          </w:p>
        </w:tc>
        <w:tc>
          <w:tcPr>
            <w:tcW w:w="2835" w:type="dxa"/>
            <w:vAlign w:val="center"/>
          </w:tcPr>
          <w:p w14:paraId="5774E753">
            <w:pPr>
              <w:pStyle w:val="13"/>
            </w:pPr>
            <w:r>
              <w:t>教育发展水平明显好转</w:t>
            </w:r>
          </w:p>
        </w:tc>
        <w:tc>
          <w:tcPr>
            <w:tcW w:w="5386" w:type="dxa"/>
            <w:vAlign w:val="center"/>
          </w:tcPr>
          <w:p w14:paraId="7FDA4023">
            <w:pPr>
              <w:pStyle w:val="13"/>
            </w:pPr>
            <w:r>
              <w:t>学生受教育年限</w:t>
            </w:r>
          </w:p>
        </w:tc>
        <w:tc>
          <w:tcPr>
            <w:tcW w:w="2268" w:type="dxa"/>
            <w:vAlign w:val="center"/>
          </w:tcPr>
          <w:p w14:paraId="17DA1A5B">
            <w:pPr>
              <w:pStyle w:val="13"/>
            </w:pPr>
            <w:r>
              <w:t>3年</w:t>
            </w:r>
          </w:p>
        </w:tc>
        <w:tc>
          <w:tcPr>
            <w:tcW w:w="1276" w:type="dxa"/>
            <w:vAlign w:val="center"/>
          </w:tcPr>
          <w:p w14:paraId="49A4F794">
            <w:pPr>
              <w:pStyle w:val="13"/>
            </w:pPr>
            <w:r>
              <w:t>支持学前教育发展县级资金管理办法</w:t>
            </w:r>
          </w:p>
        </w:tc>
      </w:tr>
      <w:tr w14:paraId="195C8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14717F">
            <w:pPr>
              <w:pStyle w:val="12"/>
            </w:pPr>
            <w:r>
              <w:t>满意度指标</w:t>
            </w:r>
          </w:p>
        </w:tc>
        <w:tc>
          <w:tcPr>
            <w:tcW w:w="2268" w:type="dxa"/>
            <w:vAlign w:val="center"/>
          </w:tcPr>
          <w:p w14:paraId="370A0353">
            <w:pPr>
              <w:pStyle w:val="13"/>
            </w:pPr>
            <w:r>
              <w:t>服务对象满意度指标</w:t>
            </w:r>
          </w:p>
        </w:tc>
        <w:tc>
          <w:tcPr>
            <w:tcW w:w="2835" w:type="dxa"/>
            <w:vAlign w:val="center"/>
          </w:tcPr>
          <w:p w14:paraId="532B0B4B">
            <w:pPr>
              <w:pStyle w:val="13"/>
            </w:pPr>
            <w:r>
              <w:t>受益学生家长及调查满意度</w:t>
            </w:r>
          </w:p>
        </w:tc>
        <w:tc>
          <w:tcPr>
            <w:tcW w:w="5386" w:type="dxa"/>
            <w:vAlign w:val="center"/>
          </w:tcPr>
          <w:p w14:paraId="2B4A914A">
            <w:pPr>
              <w:pStyle w:val="13"/>
            </w:pPr>
            <w:r>
              <w:t>幼儿、教师及家长对学校保教保育工作满意度情况</w:t>
            </w:r>
          </w:p>
        </w:tc>
        <w:tc>
          <w:tcPr>
            <w:tcW w:w="2268" w:type="dxa"/>
            <w:vAlign w:val="center"/>
          </w:tcPr>
          <w:p w14:paraId="0E14E6D2">
            <w:pPr>
              <w:pStyle w:val="13"/>
            </w:pPr>
            <w:r>
              <w:t>≥95%</w:t>
            </w:r>
          </w:p>
        </w:tc>
        <w:tc>
          <w:tcPr>
            <w:tcW w:w="1276" w:type="dxa"/>
            <w:vAlign w:val="center"/>
          </w:tcPr>
          <w:p w14:paraId="428455BB">
            <w:pPr>
              <w:pStyle w:val="13"/>
            </w:pPr>
            <w:r>
              <w:t>调查问卷</w:t>
            </w:r>
          </w:p>
        </w:tc>
      </w:tr>
    </w:tbl>
    <w:p w14:paraId="17CFAC2A">
      <w:pPr>
        <w:sectPr>
          <w:pgSz w:w="16840" w:h="11900" w:orient="landscape"/>
          <w:pgMar w:top="1361" w:right="1020" w:bottom="1134" w:left="1020" w:header="720" w:footer="720" w:gutter="0"/>
          <w:cols w:space="720" w:num="1"/>
        </w:sectPr>
      </w:pPr>
    </w:p>
    <w:p w14:paraId="0DE397D4">
      <w:pPr>
        <w:spacing w:before="0" w:after="0"/>
        <w:ind w:firstLine="560"/>
        <w:jc w:val="left"/>
        <w:outlineLvl w:val="9"/>
      </w:pPr>
      <w:r>
        <w:rPr>
          <w:rFonts w:ascii="方正仿宋_GBK" w:hAnsi="方正仿宋_GBK" w:eastAsia="方正仿宋_GBK" w:cs="方正仿宋_GBK"/>
          <w:b/>
          <w:color w:val="000000"/>
          <w:sz w:val="28"/>
        </w:rPr>
        <w:t>20、学前专项经费/大张庄校区绩效目标表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54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815F1">
            <w:pPr>
              <w:pStyle w:val="14"/>
            </w:pPr>
            <w:r>
              <w:t>单位：万元</w:t>
            </w:r>
          </w:p>
        </w:tc>
      </w:tr>
      <w:tr w14:paraId="413B4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0F4536">
            <w:pPr>
              <w:pStyle w:val="11"/>
            </w:pPr>
            <w:r>
              <w:t>项目编码</w:t>
            </w:r>
          </w:p>
        </w:tc>
        <w:tc>
          <w:tcPr>
            <w:tcW w:w="5103" w:type="dxa"/>
            <w:gridSpan w:val="2"/>
            <w:vAlign w:val="center"/>
          </w:tcPr>
          <w:p w14:paraId="2B266563">
            <w:pPr>
              <w:pStyle w:val="13"/>
            </w:pPr>
            <w:r>
              <w:t>13052525P008756100421</w:t>
            </w:r>
          </w:p>
        </w:tc>
        <w:tc>
          <w:tcPr>
            <w:tcW w:w="2835" w:type="dxa"/>
            <w:vAlign w:val="center"/>
          </w:tcPr>
          <w:p w14:paraId="65D3ADFD">
            <w:pPr>
              <w:pStyle w:val="11"/>
            </w:pPr>
            <w:r>
              <w:t>项目名称</w:t>
            </w:r>
          </w:p>
        </w:tc>
        <w:tc>
          <w:tcPr>
            <w:tcW w:w="6095" w:type="dxa"/>
            <w:gridSpan w:val="3"/>
            <w:vAlign w:val="center"/>
          </w:tcPr>
          <w:p w14:paraId="1EEAB5E1">
            <w:pPr>
              <w:pStyle w:val="13"/>
            </w:pPr>
            <w:r>
              <w:t>学前专项经费/大张庄校区</w:t>
            </w:r>
          </w:p>
        </w:tc>
      </w:tr>
      <w:tr w14:paraId="795C0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1B8BC">
            <w:pPr>
              <w:pStyle w:val="11"/>
            </w:pPr>
            <w:r>
              <w:t>预算规模及资金用途</w:t>
            </w:r>
          </w:p>
        </w:tc>
        <w:tc>
          <w:tcPr>
            <w:tcW w:w="2268" w:type="dxa"/>
            <w:vAlign w:val="center"/>
          </w:tcPr>
          <w:p w14:paraId="14BED135">
            <w:pPr>
              <w:pStyle w:val="11"/>
            </w:pPr>
            <w:r>
              <w:t>预算数</w:t>
            </w:r>
          </w:p>
        </w:tc>
        <w:tc>
          <w:tcPr>
            <w:tcW w:w="2835" w:type="dxa"/>
            <w:vAlign w:val="center"/>
          </w:tcPr>
          <w:p w14:paraId="1B2A367C">
            <w:pPr>
              <w:pStyle w:val="13"/>
            </w:pPr>
            <w:r>
              <w:t>25.69</w:t>
            </w:r>
          </w:p>
        </w:tc>
        <w:tc>
          <w:tcPr>
            <w:tcW w:w="2835" w:type="dxa"/>
            <w:vAlign w:val="center"/>
          </w:tcPr>
          <w:p w14:paraId="731C5270">
            <w:pPr>
              <w:pStyle w:val="11"/>
            </w:pPr>
            <w:r>
              <w:t>其中：财政    资金</w:t>
            </w:r>
          </w:p>
        </w:tc>
        <w:tc>
          <w:tcPr>
            <w:tcW w:w="2551" w:type="dxa"/>
            <w:vAlign w:val="center"/>
          </w:tcPr>
          <w:p w14:paraId="6E1705A1">
            <w:pPr>
              <w:pStyle w:val="13"/>
            </w:pPr>
            <w:r>
              <w:t>25.69</w:t>
            </w:r>
          </w:p>
        </w:tc>
        <w:tc>
          <w:tcPr>
            <w:tcW w:w="2268" w:type="dxa"/>
            <w:vAlign w:val="center"/>
          </w:tcPr>
          <w:p w14:paraId="442E4AAE">
            <w:pPr>
              <w:pStyle w:val="11"/>
            </w:pPr>
            <w:r>
              <w:t>其他资金</w:t>
            </w:r>
          </w:p>
        </w:tc>
        <w:tc>
          <w:tcPr>
            <w:tcW w:w="1276" w:type="dxa"/>
            <w:vAlign w:val="center"/>
          </w:tcPr>
          <w:p w14:paraId="339EDC84">
            <w:pPr>
              <w:pStyle w:val="13"/>
            </w:pPr>
            <w:r>
              <w:t xml:space="preserve"> </w:t>
            </w:r>
          </w:p>
        </w:tc>
      </w:tr>
      <w:tr w14:paraId="27C2B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2B1D58"/>
        </w:tc>
        <w:tc>
          <w:tcPr>
            <w:tcW w:w="14033" w:type="dxa"/>
            <w:gridSpan w:val="6"/>
            <w:vAlign w:val="center"/>
          </w:tcPr>
          <w:p w14:paraId="72435DCB">
            <w:pPr>
              <w:pStyle w:val="13"/>
            </w:pPr>
            <w:r>
              <w:t>用于发放教师代课费。</w:t>
            </w:r>
          </w:p>
        </w:tc>
      </w:tr>
      <w:tr w14:paraId="2A148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63D6E">
            <w:pPr>
              <w:pStyle w:val="11"/>
            </w:pPr>
            <w:r>
              <w:t>资金支出计划（%）</w:t>
            </w:r>
          </w:p>
        </w:tc>
        <w:tc>
          <w:tcPr>
            <w:tcW w:w="5103" w:type="dxa"/>
            <w:gridSpan w:val="2"/>
            <w:vAlign w:val="center"/>
          </w:tcPr>
          <w:p w14:paraId="0DE9C49A">
            <w:pPr>
              <w:pStyle w:val="11"/>
            </w:pPr>
            <w:r>
              <w:t>3月底</w:t>
            </w:r>
          </w:p>
        </w:tc>
        <w:tc>
          <w:tcPr>
            <w:tcW w:w="2835" w:type="dxa"/>
            <w:vAlign w:val="center"/>
          </w:tcPr>
          <w:p w14:paraId="496B19EC">
            <w:pPr>
              <w:pStyle w:val="11"/>
            </w:pPr>
            <w:r>
              <w:t>6月底</w:t>
            </w:r>
          </w:p>
        </w:tc>
        <w:tc>
          <w:tcPr>
            <w:tcW w:w="2551" w:type="dxa"/>
            <w:vAlign w:val="center"/>
          </w:tcPr>
          <w:p w14:paraId="035C497D">
            <w:pPr>
              <w:pStyle w:val="11"/>
            </w:pPr>
            <w:r>
              <w:t>10月底</w:t>
            </w:r>
          </w:p>
        </w:tc>
        <w:tc>
          <w:tcPr>
            <w:tcW w:w="3544" w:type="dxa"/>
            <w:gridSpan w:val="2"/>
            <w:vAlign w:val="center"/>
          </w:tcPr>
          <w:p w14:paraId="570C32E2">
            <w:pPr>
              <w:pStyle w:val="11"/>
            </w:pPr>
            <w:r>
              <w:t>12月底</w:t>
            </w:r>
          </w:p>
        </w:tc>
      </w:tr>
      <w:tr w14:paraId="37580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4E4252"/>
        </w:tc>
        <w:tc>
          <w:tcPr>
            <w:tcW w:w="5103" w:type="dxa"/>
            <w:gridSpan w:val="2"/>
            <w:vAlign w:val="center"/>
          </w:tcPr>
          <w:p w14:paraId="19CED295">
            <w:pPr>
              <w:pStyle w:val="12"/>
            </w:pPr>
            <w:r>
              <w:t>25%</w:t>
            </w:r>
          </w:p>
        </w:tc>
        <w:tc>
          <w:tcPr>
            <w:tcW w:w="2835" w:type="dxa"/>
            <w:vAlign w:val="center"/>
          </w:tcPr>
          <w:p w14:paraId="0DEB8794">
            <w:pPr>
              <w:pStyle w:val="12"/>
            </w:pPr>
            <w:r>
              <w:t>50%</w:t>
            </w:r>
          </w:p>
        </w:tc>
        <w:tc>
          <w:tcPr>
            <w:tcW w:w="2551" w:type="dxa"/>
            <w:vAlign w:val="center"/>
          </w:tcPr>
          <w:p w14:paraId="76EF590F">
            <w:pPr>
              <w:pStyle w:val="12"/>
            </w:pPr>
            <w:r>
              <w:t>100%</w:t>
            </w:r>
          </w:p>
        </w:tc>
        <w:tc>
          <w:tcPr>
            <w:tcW w:w="3544" w:type="dxa"/>
            <w:gridSpan w:val="2"/>
            <w:vAlign w:val="center"/>
          </w:tcPr>
          <w:p w14:paraId="6A3111C1">
            <w:pPr>
              <w:pStyle w:val="12"/>
            </w:pPr>
            <w:r>
              <w:t>100%</w:t>
            </w:r>
          </w:p>
        </w:tc>
      </w:tr>
      <w:tr w14:paraId="4F508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B78F4C">
            <w:pPr>
              <w:pStyle w:val="11"/>
            </w:pPr>
            <w:r>
              <w:t>绩效目标</w:t>
            </w:r>
          </w:p>
        </w:tc>
        <w:tc>
          <w:tcPr>
            <w:tcW w:w="14033" w:type="dxa"/>
            <w:gridSpan w:val="6"/>
            <w:vAlign w:val="center"/>
          </w:tcPr>
          <w:p w14:paraId="7CDB7074">
            <w:pPr>
              <w:pStyle w:val="13"/>
            </w:pPr>
            <w:r>
              <w:t>1.按要求完成公立幼儿园保育费按月/季度上缴财政。</w:t>
            </w:r>
          </w:p>
          <w:p w14:paraId="46A0CDD8">
            <w:pPr>
              <w:pStyle w:val="13"/>
            </w:pPr>
            <w:r>
              <w:t>2.按上缴财政序时进度完成公立幼儿园保育费支出。</w:t>
            </w:r>
          </w:p>
          <w:p w14:paraId="62BD0C6F">
            <w:pPr>
              <w:pStyle w:val="13"/>
            </w:pPr>
            <w:r>
              <w:t>3.按预算要求完成2025年度学前教学任务提升及教学质量提高。</w:t>
            </w:r>
          </w:p>
        </w:tc>
      </w:tr>
    </w:tbl>
    <w:p w14:paraId="453CCE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0C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77C8A">
            <w:pPr>
              <w:pStyle w:val="11"/>
            </w:pPr>
            <w:r>
              <w:t>一级指标</w:t>
            </w:r>
          </w:p>
        </w:tc>
        <w:tc>
          <w:tcPr>
            <w:tcW w:w="2268" w:type="dxa"/>
            <w:vAlign w:val="center"/>
          </w:tcPr>
          <w:p w14:paraId="0375FDC0">
            <w:pPr>
              <w:pStyle w:val="11"/>
            </w:pPr>
            <w:r>
              <w:t>二级指标</w:t>
            </w:r>
          </w:p>
        </w:tc>
        <w:tc>
          <w:tcPr>
            <w:tcW w:w="2835" w:type="dxa"/>
            <w:vAlign w:val="center"/>
          </w:tcPr>
          <w:p w14:paraId="45FB0D59">
            <w:pPr>
              <w:pStyle w:val="11"/>
            </w:pPr>
            <w:r>
              <w:t>三级指标</w:t>
            </w:r>
          </w:p>
        </w:tc>
        <w:tc>
          <w:tcPr>
            <w:tcW w:w="5386" w:type="dxa"/>
            <w:vAlign w:val="center"/>
          </w:tcPr>
          <w:p w14:paraId="633458F4">
            <w:pPr>
              <w:pStyle w:val="11"/>
            </w:pPr>
            <w:r>
              <w:t>绩效指标描述</w:t>
            </w:r>
          </w:p>
        </w:tc>
        <w:tc>
          <w:tcPr>
            <w:tcW w:w="2268" w:type="dxa"/>
            <w:vAlign w:val="center"/>
          </w:tcPr>
          <w:p w14:paraId="3F6FD700">
            <w:pPr>
              <w:pStyle w:val="11"/>
            </w:pPr>
            <w:r>
              <w:t>指标值</w:t>
            </w:r>
          </w:p>
        </w:tc>
        <w:tc>
          <w:tcPr>
            <w:tcW w:w="1276" w:type="dxa"/>
            <w:vAlign w:val="center"/>
          </w:tcPr>
          <w:p w14:paraId="12222BEF">
            <w:pPr>
              <w:pStyle w:val="11"/>
            </w:pPr>
            <w:r>
              <w:t>指标值确定依据</w:t>
            </w:r>
          </w:p>
        </w:tc>
      </w:tr>
      <w:tr w14:paraId="31D9C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B134E">
            <w:pPr>
              <w:pStyle w:val="12"/>
            </w:pPr>
            <w:r>
              <w:t>产出指标</w:t>
            </w:r>
          </w:p>
        </w:tc>
        <w:tc>
          <w:tcPr>
            <w:tcW w:w="2268" w:type="dxa"/>
            <w:vAlign w:val="center"/>
          </w:tcPr>
          <w:p w14:paraId="73C1A0E7">
            <w:pPr>
              <w:pStyle w:val="13"/>
            </w:pPr>
            <w:r>
              <w:t>数量指标</w:t>
            </w:r>
          </w:p>
        </w:tc>
        <w:tc>
          <w:tcPr>
            <w:tcW w:w="2835" w:type="dxa"/>
            <w:vAlign w:val="center"/>
          </w:tcPr>
          <w:p w14:paraId="7139F6EA">
            <w:pPr>
              <w:pStyle w:val="13"/>
            </w:pPr>
            <w:r>
              <w:t>适龄在园生</w:t>
            </w:r>
          </w:p>
        </w:tc>
        <w:tc>
          <w:tcPr>
            <w:tcW w:w="5386" w:type="dxa"/>
            <w:vAlign w:val="center"/>
          </w:tcPr>
          <w:p w14:paraId="24101EBA">
            <w:pPr>
              <w:pStyle w:val="13"/>
            </w:pPr>
            <w:r>
              <w:t>适龄在园学生人数</w:t>
            </w:r>
          </w:p>
        </w:tc>
        <w:tc>
          <w:tcPr>
            <w:tcW w:w="2268" w:type="dxa"/>
            <w:vAlign w:val="center"/>
          </w:tcPr>
          <w:p w14:paraId="0E3B659B">
            <w:pPr>
              <w:pStyle w:val="13"/>
            </w:pPr>
            <w:r>
              <w:t>170人</w:t>
            </w:r>
          </w:p>
        </w:tc>
        <w:tc>
          <w:tcPr>
            <w:tcW w:w="1276" w:type="dxa"/>
            <w:vAlign w:val="center"/>
          </w:tcPr>
          <w:p w14:paraId="547CBD22">
            <w:pPr>
              <w:pStyle w:val="13"/>
            </w:pPr>
            <w:r>
              <w:t>年度工作计划</w:t>
            </w:r>
          </w:p>
        </w:tc>
      </w:tr>
      <w:tr w14:paraId="5AC87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AC445"/>
        </w:tc>
        <w:tc>
          <w:tcPr>
            <w:tcW w:w="2268" w:type="dxa"/>
            <w:vAlign w:val="center"/>
          </w:tcPr>
          <w:p w14:paraId="5DBCC158">
            <w:pPr>
              <w:pStyle w:val="13"/>
            </w:pPr>
            <w:r>
              <w:t>质量指标</w:t>
            </w:r>
          </w:p>
        </w:tc>
        <w:tc>
          <w:tcPr>
            <w:tcW w:w="2835" w:type="dxa"/>
            <w:vAlign w:val="center"/>
          </w:tcPr>
          <w:p w14:paraId="34B94E71">
            <w:pPr>
              <w:pStyle w:val="13"/>
            </w:pPr>
            <w:r>
              <w:t>按月上缴财政完成率</w:t>
            </w:r>
          </w:p>
        </w:tc>
        <w:tc>
          <w:tcPr>
            <w:tcW w:w="5386" w:type="dxa"/>
            <w:vAlign w:val="center"/>
          </w:tcPr>
          <w:p w14:paraId="3D4F1671">
            <w:pPr>
              <w:pStyle w:val="13"/>
            </w:pPr>
            <w:r>
              <w:t>按月完成公立幼儿园保育费上缴财政</w:t>
            </w:r>
          </w:p>
        </w:tc>
        <w:tc>
          <w:tcPr>
            <w:tcW w:w="2268" w:type="dxa"/>
            <w:vAlign w:val="center"/>
          </w:tcPr>
          <w:p w14:paraId="2BEBFFCC">
            <w:pPr>
              <w:pStyle w:val="13"/>
            </w:pPr>
            <w:r>
              <w:t>≥100%</w:t>
            </w:r>
          </w:p>
        </w:tc>
        <w:tc>
          <w:tcPr>
            <w:tcW w:w="1276" w:type="dxa"/>
            <w:vAlign w:val="center"/>
          </w:tcPr>
          <w:p w14:paraId="21B4E7C5">
            <w:pPr>
              <w:pStyle w:val="13"/>
            </w:pPr>
            <w:r>
              <w:t>年度工作计划</w:t>
            </w:r>
          </w:p>
        </w:tc>
      </w:tr>
      <w:tr w14:paraId="3D54D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0D12F"/>
        </w:tc>
        <w:tc>
          <w:tcPr>
            <w:tcW w:w="2268" w:type="dxa"/>
            <w:vAlign w:val="center"/>
          </w:tcPr>
          <w:p w14:paraId="4CB35D84">
            <w:pPr>
              <w:pStyle w:val="13"/>
            </w:pPr>
            <w:r>
              <w:t>时效指标</w:t>
            </w:r>
          </w:p>
        </w:tc>
        <w:tc>
          <w:tcPr>
            <w:tcW w:w="2835" w:type="dxa"/>
            <w:vAlign w:val="center"/>
          </w:tcPr>
          <w:p w14:paraId="5B145DEC">
            <w:pPr>
              <w:pStyle w:val="13"/>
            </w:pPr>
            <w:r>
              <w:t>资金支付率</w:t>
            </w:r>
          </w:p>
        </w:tc>
        <w:tc>
          <w:tcPr>
            <w:tcW w:w="5386" w:type="dxa"/>
            <w:vAlign w:val="center"/>
          </w:tcPr>
          <w:p w14:paraId="31593005">
            <w:pPr>
              <w:pStyle w:val="13"/>
            </w:pPr>
            <w:r>
              <w:t>按照上缴财政进度完成公立幼儿园保育费支付</w:t>
            </w:r>
          </w:p>
        </w:tc>
        <w:tc>
          <w:tcPr>
            <w:tcW w:w="2268" w:type="dxa"/>
            <w:vAlign w:val="center"/>
          </w:tcPr>
          <w:p w14:paraId="5A7D68A5">
            <w:pPr>
              <w:pStyle w:val="13"/>
            </w:pPr>
            <w:r>
              <w:t>≥100%</w:t>
            </w:r>
          </w:p>
        </w:tc>
        <w:tc>
          <w:tcPr>
            <w:tcW w:w="1276" w:type="dxa"/>
            <w:vAlign w:val="center"/>
          </w:tcPr>
          <w:p w14:paraId="235B3BF5">
            <w:pPr>
              <w:pStyle w:val="13"/>
            </w:pPr>
            <w:r>
              <w:t>年度工作计划</w:t>
            </w:r>
          </w:p>
        </w:tc>
      </w:tr>
      <w:tr w14:paraId="35EEF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F725E"/>
        </w:tc>
        <w:tc>
          <w:tcPr>
            <w:tcW w:w="2268" w:type="dxa"/>
            <w:vAlign w:val="center"/>
          </w:tcPr>
          <w:p w14:paraId="445E0FA8">
            <w:pPr>
              <w:pStyle w:val="13"/>
            </w:pPr>
            <w:r>
              <w:t>成本指标</w:t>
            </w:r>
          </w:p>
        </w:tc>
        <w:tc>
          <w:tcPr>
            <w:tcW w:w="2835" w:type="dxa"/>
            <w:vAlign w:val="center"/>
          </w:tcPr>
          <w:p w14:paraId="02CE2089">
            <w:pPr>
              <w:pStyle w:val="13"/>
            </w:pPr>
            <w:r>
              <w:t>公办幼儿园保育费收费标准</w:t>
            </w:r>
          </w:p>
        </w:tc>
        <w:tc>
          <w:tcPr>
            <w:tcW w:w="5386" w:type="dxa"/>
            <w:vAlign w:val="center"/>
          </w:tcPr>
          <w:p w14:paraId="116AD468">
            <w:pPr>
              <w:pStyle w:val="13"/>
            </w:pPr>
            <w:r>
              <w:t>农村二类园130元/月/生</w:t>
            </w:r>
          </w:p>
        </w:tc>
        <w:tc>
          <w:tcPr>
            <w:tcW w:w="2268" w:type="dxa"/>
            <w:vAlign w:val="center"/>
          </w:tcPr>
          <w:p w14:paraId="0A9D70F2">
            <w:pPr>
              <w:pStyle w:val="13"/>
            </w:pPr>
            <w:r>
              <w:t>130元</w:t>
            </w:r>
          </w:p>
        </w:tc>
        <w:tc>
          <w:tcPr>
            <w:tcW w:w="1276" w:type="dxa"/>
            <w:vAlign w:val="center"/>
          </w:tcPr>
          <w:p w14:paraId="32A140E1">
            <w:pPr>
              <w:pStyle w:val="13"/>
            </w:pPr>
            <w:r>
              <w:t>年度工作计划</w:t>
            </w:r>
          </w:p>
        </w:tc>
      </w:tr>
      <w:tr w14:paraId="0C2C9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4F7AA"/>
        </w:tc>
        <w:tc>
          <w:tcPr>
            <w:tcW w:w="2268" w:type="dxa"/>
            <w:vAlign w:val="center"/>
          </w:tcPr>
          <w:p w14:paraId="257B7F9D">
            <w:pPr>
              <w:pStyle w:val="13"/>
            </w:pPr>
            <w:r>
              <w:t>成本指标</w:t>
            </w:r>
          </w:p>
        </w:tc>
        <w:tc>
          <w:tcPr>
            <w:tcW w:w="2835" w:type="dxa"/>
            <w:vAlign w:val="center"/>
          </w:tcPr>
          <w:p w14:paraId="6C9AE5CF">
            <w:pPr>
              <w:pStyle w:val="13"/>
            </w:pPr>
            <w:r>
              <w:t>公办幼儿园保育费收费标准</w:t>
            </w:r>
          </w:p>
        </w:tc>
        <w:tc>
          <w:tcPr>
            <w:tcW w:w="5386" w:type="dxa"/>
            <w:vAlign w:val="center"/>
          </w:tcPr>
          <w:p w14:paraId="0D4D869E">
            <w:pPr>
              <w:pStyle w:val="13"/>
            </w:pPr>
            <w:r>
              <w:t>农村一类园150元/月/生</w:t>
            </w:r>
          </w:p>
        </w:tc>
        <w:tc>
          <w:tcPr>
            <w:tcW w:w="2268" w:type="dxa"/>
            <w:vAlign w:val="center"/>
          </w:tcPr>
          <w:p w14:paraId="773F6A1C">
            <w:pPr>
              <w:pStyle w:val="13"/>
            </w:pPr>
            <w:r>
              <w:t>150元</w:t>
            </w:r>
          </w:p>
        </w:tc>
        <w:tc>
          <w:tcPr>
            <w:tcW w:w="1276" w:type="dxa"/>
            <w:vAlign w:val="center"/>
          </w:tcPr>
          <w:p w14:paraId="46259764">
            <w:pPr>
              <w:pStyle w:val="13"/>
            </w:pPr>
            <w:r>
              <w:t>年度工作计划</w:t>
            </w:r>
          </w:p>
        </w:tc>
      </w:tr>
      <w:tr w14:paraId="0A3F2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9037F"/>
        </w:tc>
        <w:tc>
          <w:tcPr>
            <w:tcW w:w="2268" w:type="dxa"/>
            <w:vAlign w:val="center"/>
          </w:tcPr>
          <w:p w14:paraId="200FB78D">
            <w:pPr>
              <w:pStyle w:val="13"/>
            </w:pPr>
            <w:r>
              <w:t>成本指标</w:t>
            </w:r>
          </w:p>
        </w:tc>
        <w:tc>
          <w:tcPr>
            <w:tcW w:w="2835" w:type="dxa"/>
            <w:vAlign w:val="center"/>
          </w:tcPr>
          <w:p w14:paraId="2951FB22">
            <w:pPr>
              <w:pStyle w:val="13"/>
            </w:pPr>
            <w:r>
              <w:t>公办幼儿园保育费收费标准</w:t>
            </w:r>
          </w:p>
        </w:tc>
        <w:tc>
          <w:tcPr>
            <w:tcW w:w="5386" w:type="dxa"/>
            <w:vAlign w:val="center"/>
          </w:tcPr>
          <w:p w14:paraId="083DC502">
            <w:pPr>
              <w:pStyle w:val="13"/>
            </w:pPr>
            <w:r>
              <w:t>农村示范园170元/月/生</w:t>
            </w:r>
          </w:p>
        </w:tc>
        <w:tc>
          <w:tcPr>
            <w:tcW w:w="2268" w:type="dxa"/>
            <w:vAlign w:val="center"/>
          </w:tcPr>
          <w:p w14:paraId="6455126E">
            <w:pPr>
              <w:pStyle w:val="13"/>
            </w:pPr>
            <w:r>
              <w:t>170元</w:t>
            </w:r>
          </w:p>
        </w:tc>
        <w:tc>
          <w:tcPr>
            <w:tcW w:w="1276" w:type="dxa"/>
            <w:vAlign w:val="center"/>
          </w:tcPr>
          <w:p w14:paraId="5B9BF72F">
            <w:pPr>
              <w:pStyle w:val="13"/>
            </w:pPr>
            <w:r>
              <w:t>年度工作计划</w:t>
            </w:r>
          </w:p>
        </w:tc>
      </w:tr>
      <w:tr w14:paraId="76639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14C414">
            <w:pPr>
              <w:pStyle w:val="12"/>
            </w:pPr>
            <w:r>
              <w:t>效益指标</w:t>
            </w:r>
          </w:p>
        </w:tc>
        <w:tc>
          <w:tcPr>
            <w:tcW w:w="2268" w:type="dxa"/>
            <w:vAlign w:val="center"/>
          </w:tcPr>
          <w:p w14:paraId="1FBD93FE">
            <w:pPr>
              <w:pStyle w:val="13"/>
            </w:pPr>
            <w:r>
              <w:t>可持续影响指标</w:t>
            </w:r>
          </w:p>
        </w:tc>
        <w:tc>
          <w:tcPr>
            <w:tcW w:w="2835" w:type="dxa"/>
            <w:vAlign w:val="center"/>
          </w:tcPr>
          <w:p w14:paraId="53C5953A">
            <w:pPr>
              <w:pStyle w:val="13"/>
            </w:pPr>
            <w:r>
              <w:t>学校运转得到提高</w:t>
            </w:r>
          </w:p>
        </w:tc>
        <w:tc>
          <w:tcPr>
            <w:tcW w:w="5386" w:type="dxa"/>
            <w:vAlign w:val="center"/>
          </w:tcPr>
          <w:p w14:paraId="38922E36">
            <w:pPr>
              <w:pStyle w:val="13"/>
            </w:pPr>
            <w:r>
              <w:t>幼儿受教育年限</w:t>
            </w:r>
          </w:p>
        </w:tc>
        <w:tc>
          <w:tcPr>
            <w:tcW w:w="2268" w:type="dxa"/>
            <w:vAlign w:val="center"/>
          </w:tcPr>
          <w:p w14:paraId="036D5205">
            <w:pPr>
              <w:pStyle w:val="13"/>
            </w:pPr>
            <w:r>
              <w:t>3年</w:t>
            </w:r>
          </w:p>
        </w:tc>
        <w:tc>
          <w:tcPr>
            <w:tcW w:w="1276" w:type="dxa"/>
            <w:vAlign w:val="center"/>
          </w:tcPr>
          <w:p w14:paraId="4289A5BC">
            <w:pPr>
              <w:pStyle w:val="13"/>
            </w:pPr>
            <w:r>
              <w:t>年度工作计划</w:t>
            </w:r>
          </w:p>
        </w:tc>
      </w:tr>
      <w:tr w14:paraId="714E7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B1F30B">
            <w:pPr>
              <w:pStyle w:val="12"/>
            </w:pPr>
            <w:r>
              <w:t>满意度指标</w:t>
            </w:r>
          </w:p>
        </w:tc>
        <w:tc>
          <w:tcPr>
            <w:tcW w:w="2268" w:type="dxa"/>
            <w:vAlign w:val="center"/>
          </w:tcPr>
          <w:p w14:paraId="58859AF8">
            <w:pPr>
              <w:pStyle w:val="13"/>
            </w:pPr>
            <w:r>
              <w:t>服务对象满意度指标</w:t>
            </w:r>
          </w:p>
        </w:tc>
        <w:tc>
          <w:tcPr>
            <w:tcW w:w="2835" w:type="dxa"/>
            <w:vAlign w:val="center"/>
          </w:tcPr>
          <w:p w14:paraId="3E444ECA">
            <w:pPr>
              <w:pStyle w:val="13"/>
            </w:pPr>
            <w:r>
              <w:t>受益学生家长及调查满意度</w:t>
            </w:r>
          </w:p>
        </w:tc>
        <w:tc>
          <w:tcPr>
            <w:tcW w:w="5386" w:type="dxa"/>
            <w:vAlign w:val="center"/>
          </w:tcPr>
          <w:p w14:paraId="53B3663E">
            <w:pPr>
              <w:pStyle w:val="13"/>
            </w:pPr>
            <w:r>
              <w:t>幼儿、教师及家长对学校保教保育工作满意度情况</w:t>
            </w:r>
          </w:p>
        </w:tc>
        <w:tc>
          <w:tcPr>
            <w:tcW w:w="2268" w:type="dxa"/>
            <w:vAlign w:val="center"/>
          </w:tcPr>
          <w:p w14:paraId="0842A5BF">
            <w:pPr>
              <w:pStyle w:val="13"/>
            </w:pPr>
            <w:r>
              <w:t>≥95%</w:t>
            </w:r>
          </w:p>
        </w:tc>
        <w:tc>
          <w:tcPr>
            <w:tcW w:w="1276" w:type="dxa"/>
            <w:vAlign w:val="center"/>
          </w:tcPr>
          <w:p w14:paraId="34A75525">
            <w:pPr>
              <w:pStyle w:val="13"/>
            </w:pPr>
            <w:r>
              <w:t>年度工作计划</w:t>
            </w:r>
          </w:p>
        </w:tc>
      </w:tr>
    </w:tbl>
    <w:p w14:paraId="17D79C85">
      <w:pPr>
        <w:sectPr>
          <w:pgSz w:w="16840" w:h="11900" w:orient="landscape"/>
          <w:pgMar w:top="1361" w:right="1020" w:bottom="1134" w:left="1020" w:header="720" w:footer="720" w:gutter="0"/>
          <w:cols w:space="720" w:num="1"/>
        </w:sectPr>
      </w:pPr>
    </w:p>
    <w:p w14:paraId="46D4FC0B">
      <w:pPr>
        <w:spacing w:before="10" w:after="10" w:line="240" w:lineRule="auto"/>
        <w:ind w:firstLine="640"/>
        <w:jc w:val="left"/>
        <w:outlineLvl w:val="5"/>
      </w:pPr>
      <w:r>
        <w:rPr>
          <w:rFonts w:ascii="黑体" w:hAnsi="黑体" w:eastAsia="黑体" w:cs="黑体"/>
          <w:color w:val="000000"/>
          <w:sz w:val="32"/>
        </w:rPr>
        <w:t>六、政府采购预算情况</w:t>
      </w:r>
    </w:p>
    <w:p w14:paraId="64C7914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5BD8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F25A239">
            <w:pPr>
              <w:pStyle w:val="8"/>
            </w:pPr>
            <w:r>
              <w:t>360024隆尧县大张家庄校区</w:t>
            </w:r>
          </w:p>
        </w:tc>
        <w:tc>
          <w:tcPr>
            <w:tcW w:w="7712" w:type="dxa"/>
            <w:gridSpan w:val="8"/>
            <w:tcBorders>
              <w:top w:val="single" w:color="FFFFFF" w:sz="6" w:space="0"/>
              <w:left w:val="single" w:color="FFFFFF" w:sz="6" w:space="0"/>
              <w:right w:val="single" w:color="FFFFFF" w:sz="6" w:space="0"/>
            </w:tcBorders>
            <w:vAlign w:val="center"/>
          </w:tcPr>
          <w:p w14:paraId="329FAD97">
            <w:pPr>
              <w:pStyle w:val="22"/>
            </w:pPr>
            <w:r>
              <w:t>单位：万元</w:t>
            </w:r>
          </w:p>
        </w:tc>
      </w:tr>
      <w:tr w14:paraId="0943F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A5A86BE">
            <w:pPr>
              <w:pStyle w:val="11"/>
            </w:pPr>
            <w:r>
              <w:t>政府采购项目来源</w:t>
            </w:r>
          </w:p>
        </w:tc>
        <w:tc>
          <w:tcPr>
            <w:tcW w:w="1134" w:type="dxa"/>
            <w:vMerge w:val="restart"/>
            <w:vAlign w:val="center"/>
          </w:tcPr>
          <w:p w14:paraId="4DA76939">
            <w:pPr>
              <w:pStyle w:val="11"/>
            </w:pPr>
            <w:r>
              <w:t>采购物品名称</w:t>
            </w:r>
          </w:p>
        </w:tc>
        <w:tc>
          <w:tcPr>
            <w:tcW w:w="1134" w:type="dxa"/>
            <w:vMerge w:val="restart"/>
            <w:vAlign w:val="center"/>
          </w:tcPr>
          <w:p w14:paraId="5CD7B4E4">
            <w:pPr>
              <w:pStyle w:val="11"/>
            </w:pPr>
            <w:r>
              <w:t>政府采购目录序号</w:t>
            </w:r>
          </w:p>
        </w:tc>
        <w:tc>
          <w:tcPr>
            <w:tcW w:w="709" w:type="dxa"/>
            <w:vMerge w:val="restart"/>
            <w:vAlign w:val="center"/>
          </w:tcPr>
          <w:p w14:paraId="162D4479">
            <w:pPr>
              <w:pStyle w:val="11"/>
            </w:pPr>
            <w:r>
              <w:t>计量  单位</w:t>
            </w:r>
          </w:p>
        </w:tc>
        <w:tc>
          <w:tcPr>
            <w:tcW w:w="850" w:type="dxa"/>
            <w:vMerge w:val="restart"/>
            <w:vAlign w:val="center"/>
          </w:tcPr>
          <w:p w14:paraId="6BAAA281">
            <w:pPr>
              <w:pStyle w:val="11"/>
            </w:pPr>
            <w:r>
              <w:t>数量</w:t>
            </w:r>
          </w:p>
        </w:tc>
        <w:tc>
          <w:tcPr>
            <w:tcW w:w="850" w:type="dxa"/>
            <w:vMerge w:val="restart"/>
            <w:vAlign w:val="center"/>
          </w:tcPr>
          <w:p w14:paraId="328BAF3E">
            <w:pPr>
              <w:pStyle w:val="11"/>
            </w:pPr>
            <w:r>
              <w:t>单价</w:t>
            </w:r>
          </w:p>
        </w:tc>
        <w:tc>
          <w:tcPr>
            <w:tcW w:w="6748" w:type="dxa"/>
            <w:gridSpan w:val="7"/>
            <w:vAlign w:val="center"/>
          </w:tcPr>
          <w:p w14:paraId="24A713FA">
            <w:pPr>
              <w:pStyle w:val="11"/>
            </w:pPr>
            <w:r>
              <w:t>政府采购金额（当年部门预算安排资金）</w:t>
            </w:r>
          </w:p>
        </w:tc>
        <w:tc>
          <w:tcPr>
            <w:tcW w:w="964" w:type="dxa"/>
            <w:vMerge w:val="restart"/>
            <w:vAlign w:val="center"/>
          </w:tcPr>
          <w:p w14:paraId="00DA6CCE">
            <w:pPr>
              <w:pStyle w:val="11"/>
            </w:pPr>
            <w:r>
              <w:t>2025年  预留中  小微企  业份额</w:t>
            </w:r>
          </w:p>
        </w:tc>
      </w:tr>
      <w:tr w14:paraId="66175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7CD8389">
            <w:pPr>
              <w:pStyle w:val="11"/>
            </w:pPr>
            <w:r>
              <w:t>项目名称</w:t>
            </w:r>
          </w:p>
        </w:tc>
        <w:tc>
          <w:tcPr>
            <w:tcW w:w="964" w:type="dxa"/>
            <w:vAlign w:val="center"/>
          </w:tcPr>
          <w:p w14:paraId="3DF1EBBD">
            <w:pPr>
              <w:pStyle w:val="11"/>
            </w:pPr>
            <w:r>
              <w:t>预算    资金</w:t>
            </w:r>
          </w:p>
        </w:tc>
        <w:tc>
          <w:tcPr>
            <w:tcW w:w="1134" w:type="dxa"/>
            <w:vMerge w:val="continue"/>
          </w:tcPr>
          <w:p w14:paraId="12BECA41"/>
        </w:tc>
        <w:tc>
          <w:tcPr>
            <w:tcW w:w="1134" w:type="dxa"/>
            <w:vMerge w:val="continue"/>
          </w:tcPr>
          <w:p w14:paraId="3577C107"/>
        </w:tc>
        <w:tc>
          <w:tcPr>
            <w:tcW w:w="709" w:type="dxa"/>
            <w:vMerge w:val="continue"/>
          </w:tcPr>
          <w:p w14:paraId="467782B6"/>
        </w:tc>
        <w:tc>
          <w:tcPr>
            <w:tcW w:w="850" w:type="dxa"/>
            <w:vMerge w:val="continue"/>
          </w:tcPr>
          <w:p w14:paraId="78C43EBC"/>
        </w:tc>
        <w:tc>
          <w:tcPr>
            <w:tcW w:w="850" w:type="dxa"/>
            <w:vMerge w:val="continue"/>
          </w:tcPr>
          <w:p w14:paraId="6EC12CD6"/>
        </w:tc>
        <w:tc>
          <w:tcPr>
            <w:tcW w:w="964" w:type="dxa"/>
            <w:vAlign w:val="center"/>
          </w:tcPr>
          <w:p w14:paraId="0ECCEA86">
            <w:pPr>
              <w:pStyle w:val="11"/>
            </w:pPr>
            <w:r>
              <w:t>合计</w:t>
            </w:r>
          </w:p>
        </w:tc>
        <w:tc>
          <w:tcPr>
            <w:tcW w:w="964" w:type="dxa"/>
            <w:vAlign w:val="center"/>
          </w:tcPr>
          <w:p w14:paraId="3B6C0955">
            <w:pPr>
              <w:pStyle w:val="11"/>
            </w:pPr>
            <w:r>
              <w:t>一般公共预算拨款</w:t>
            </w:r>
          </w:p>
        </w:tc>
        <w:tc>
          <w:tcPr>
            <w:tcW w:w="964" w:type="dxa"/>
            <w:vAlign w:val="center"/>
          </w:tcPr>
          <w:p w14:paraId="145F2BD2">
            <w:pPr>
              <w:pStyle w:val="11"/>
            </w:pPr>
            <w:r>
              <w:t>基金预算拨款</w:t>
            </w:r>
          </w:p>
        </w:tc>
        <w:tc>
          <w:tcPr>
            <w:tcW w:w="964" w:type="dxa"/>
            <w:vAlign w:val="center"/>
          </w:tcPr>
          <w:p w14:paraId="4C9DBEB2">
            <w:pPr>
              <w:pStyle w:val="11"/>
            </w:pPr>
            <w:r>
              <w:t>国有资本经营预算拨款</w:t>
            </w:r>
          </w:p>
        </w:tc>
        <w:tc>
          <w:tcPr>
            <w:tcW w:w="964" w:type="dxa"/>
            <w:vAlign w:val="center"/>
          </w:tcPr>
          <w:p w14:paraId="0C0FC781">
            <w:pPr>
              <w:pStyle w:val="11"/>
            </w:pPr>
            <w:r>
              <w:t>财政专户核拨</w:t>
            </w:r>
          </w:p>
        </w:tc>
        <w:tc>
          <w:tcPr>
            <w:tcW w:w="964" w:type="dxa"/>
            <w:vAlign w:val="center"/>
          </w:tcPr>
          <w:p w14:paraId="03C34224">
            <w:pPr>
              <w:pStyle w:val="11"/>
            </w:pPr>
            <w:r>
              <w:t>单位    资金</w:t>
            </w:r>
          </w:p>
        </w:tc>
        <w:tc>
          <w:tcPr>
            <w:tcW w:w="964" w:type="dxa"/>
            <w:vAlign w:val="center"/>
          </w:tcPr>
          <w:p w14:paraId="1E7D1C1B">
            <w:pPr>
              <w:pStyle w:val="11"/>
            </w:pPr>
            <w:r>
              <w:t>上年结转结余</w:t>
            </w:r>
          </w:p>
        </w:tc>
        <w:tc>
          <w:tcPr>
            <w:tcW w:w="964" w:type="dxa"/>
            <w:vMerge w:val="continue"/>
          </w:tcPr>
          <w:p w14:paraId="2B65952C"/>
        </w:tc>
      </w:tr>
      <w:tr w14:paraId="35A60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BCF899">
            <w:pPr>
              <w:pStyle w:val="15"/>
            </w:pPr>
            <w:r>
              <w:t>合  计</w:t>
            </w:r>
          </w:p>
        </w:tc>
        <w:tc>
          <w:tcPr>
            <w:tcW w:w="964" w:type="dxa"/>
            <w:vAlign w:val="center"/>
          </w:tcPr>
          <w:p w14:paraId="0B5D685D">
            <w:pPr>
              <w:pStyle w:val="16"/>
            </w:pPr>
          </w:p>
        </w:tc>
        <w:tc>
          <w:tcPr>
            <w:tcW w:w="1134" w:type="dxa"/>
            <w:vAlign w:val="center"/>
          </w:tcPr>
          <w:p w14:paraId="6566443E">
            <w:pPr>
              <w:pStyle w:val="17"/>
            </w:pPr>
          </w:p>
        </w:tc>
        <w:tc>
          <w:tcPr>
            <w:tcW w:w="1134" w:type="dxa"/>
            <w:vAlign w:val="center"/>
          </w:tcPr>
          <w:p w14:paraId="1A797A75">
            <w:pPr>
              <w:pStyle w:val="17"/>
            </w:pPr>
          </w:p>
        </w:tc>
        <w:tc>
          <w:tcPr>
            <w:tcW w:w="709" w:type="dxa"/>
            <w:vAlign w:val="center"/>
          </w:tcPr>
          <w:p w14:paraId="5F98CA48">
            <w:pPr>
              <w:pStyle w:val="15"/>
            </w:pPr>
          </w:p>
        </w:tc>
        <w:tc>
          <w:tcPr>
            <w:tcW w:w="850" w:type="dxa"/>
            <w:vAlign w:val="center"/>
          </w:tcPr>
          <w:p w14:paraId="7A244777">
            <w:pPr>
              <w:pStyle w:val="16"/>
            </w:pPr>
          </w:p>
        </w:tc>
        <w:tc>
          <w:tcPr>
            <w:tcW w:w="850" w:type="dxa"/>
            <w:vAlign w:val="center"/>
          </w:tcPr>
          <w:p w14:paraId="1613B4FE">
            <w:pPr>
              <w:pStyle w:val="16"/>
            </w:pPr>
          </w:p>
        </w:tc>
        <w:tc>
          <w:tcPr>
            <w:tcW w:w="964" w:type="dxa"/>
            <w:vAlign w:val="center"/>
          </w:tcPr>
          <w:p w14:paraId="7FB9F09E">
            <w:pPr>
              <w:pStyle w:val="16"/>
            </w:pPr>
            <w:r>
              <w:t>2.04</w:t>
            </w:r>
          </w:p>
        </w:tc>
        <w:tc>
          <w:tcPr>
            <w:tcW w:w="964" w:type="dxa"/>
            <w:vAlign w:val="center"/>
          </w:tcPr>
          <w:p w14:paraId="295DDB04">
            <w:pPr>
              <w:pStyle w:val="16"/>
            </w:pPr>
            <w:r>
              <w:t>2.04</w:t>
            </w:r>
          </w:p>
        </w:tc>
        <w:tc>
          <w:tcPr>
            <w:tcW w:w="964" w:type="dxa"/>
            <w:vAlign w:val="center"/>
          </w:tcPr>
          <w:p w14:paraId="02CAAEB2">
            <w:pPr>
              <w:pStyle w:val="16"/>
            </w:pPr>
          </w:p>
        </w:tc>
        <w:tc>
          <w:tcPr>
            <w:tcW w:w="964" w:type="dxa"/>
            <w:vAlign w:val="center"/>
          </w:tcPr>
          <w:p w14:paraId="1E7DA9F4">
            <w:pPr>
              <w:pStyle w:val="16"/>
            </w:pPr>
          </w:p>
        </w:tc>
        <w:tc>
          <w:tcPr>
            <w:tcW w:w="964" w:type="dxa"/>
            <w:vAlign w:val="center"/>
          </w:tcPr>
          <w:p w14:paraId="69FC75BB">
            <w:pPr>
              <w:pStyle w:val="16"/>
            </w:pPr>
          </w:p>
        </w:tc>
        <w:tc>
          <w:tcPr>
            <w:tcW w:w="964" w:type="dxa"/>
            <w:vAlign w:val="center"/>
          </w:tcPr>
          <w:p w14:paraId="72E5382C">
            <w:pPr>
              <w:pStyle w:val="16"/>
            </w:pPr>
          </w:p>
        </w:tc>
        <w:tc>
          <w:tcPr>
            <w:tcW w:w="964" w:type="dxa"/>
            <w:vAlign w:val="center"/>
          </w:tcPr>
          <w:p w14:paraId="028B5C7D">
            <w:pPr>
              <w:pStyle w:val="16"/>
            </w:pPr>
          </w:p>
        </w:tc>
        <w:tc>
          <w:tcPr>
            <w:tcW w:w="964" w:type="dxa"/>
            <w:vAlign w:val="center"/>
          </w:tcPr>
          <w:p w14:paraId="7412A6D3">
            <w:pPr>
              <w:pStyle w:val="16"/>
            </w:pPr>
            <w:r>
              <w:t>2.04</w:t>
            </w:r>
          </w:p>
        </w:tc>
      </w:tr>
      <w:tr w14:paraId="18621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241B35">
            <w:pPr>
              <w:pStyle w:val="15"/>
            </w:pPr>
            <w:r>
              <w:t>隆尧县大张家庄校区小计</w:t>
            </w:r>
          </w:p>
        </w:tc>
        <w:tc>
          <w:tcPr>
            <w:tcW w:w="964" w:type="dxa"/>
            <w:vAlign w:val="center"/>
          </w:tcPr>
          <w:p w14:paraId="273E76DF">
            <w:pPr>
              <w:pStyle w:val="16"/>
            </w:pPr>
          </w:p>
        </w:tc>
        <w:tc>
          <w:tcPr>
            <w:tcW w:w="1134" w:type="dxa"/>
            <w:vAlign w:val="center"/>
          </w:tcPr>
          <w:p w14:paraId="156D783E">
            <w:pPr>
              <w:pStyle w:val="17"/>
            </w:pPr>
          </w:p>
        </w:tc>
        <w:tc>
          <w:tcPr>
            <w:tcW w:w="1134" w:type="dxa"/>
            <w:vAlign w:val="center"/>
          </w:tcPr>
          <w:p w14:paraId="0A98F6F0">
            <w:pPr>
              <w:pStyle w:val="17"/>
            </w:pPr>
          </w:p>
        </w:tc>
        <w:tc>
          <w:tcPr>
            <w:tcW w:w="709" w:type="dxa"/>
            <w:vAlign w:val="center"/>
          </w:tcPr>
          <w:p w14:paraId="58C2E36F">
            <w:pPr>
              <w:pStyle w:val="15"/>
            </w:pPr>
          </w:p>
        </w:tc>
        <w:tc>
          <w:tcPr>
            <w:tcW w:w="850" w:type="dxa"/>
            <w:vAlign w:val="center"/>
          </w:tcPr>
          <w:p w14:paraId="4E1EFBF0">
            <w:pPr>
              <w:pStyle w:val="16"/>
            </w:pPr>
          </w:p>
        </w:tc>
        <w:tc>
          <w:tcPr>
            <w:tcW w:w="850" w:type="dxa"/>
            <w:vAlign w:val="center"/>
          </w:tcPr>
          <w:p w14:paraId="6C6A1B8B">
            <w:pPr>
              <w:pStyle w:val="16"/>
            </w:pPr>
          </w:p>
        </w:tc>
        <w:tc>
          <w:tcPr>
            <w:tcW w:w="964" w:type="dxa"/>
            <w:vAlign w:val="center"/>
          </w:tcPr>
          <w:p w14:paraId="71E7588A">
            <w:pPr>
              <w:pStyle w:val="16"/>
            </w:pPr>
            <w:r>
              <w:t>2.04</w:t>
            </w:r>
          </w:p>
        </w:tc>
        <w:tc>
          <w:tcPr>
            <w:tcW w:w="964" w:type="dxa"/>
            <w:vAlign w:val="center"/>
          </w:tcPr>
          <w:p w14:paraId="70738BE1">
            <w:pPr>
              <w:pStyle w:val="16"/>
            </w:pPr>
            <w:r>
              <w:t>2.04</w:t>
            </w:r>
          </w:p>
        </w:tc>
        <w:tc>
          <w:tcPr>
            <w:tcW w:w="964" w:type="dxa"/>
            <w:vAlign w:val="center"/>
          </w:tcPr>
          <w:p w14:paraId="6C76580B">
            <w:pPr>
              <w:pStyle w:val="16"/>
            </w:pPr>
          </w:p>
        </w:tc>
        <w:tc>
          <w:tcPr>
            <w:tcW w:w="964" w:type="dxa"/>
            <w:vAlign w:val="center"/>
          </w:tcPr>
          <w:p w14:paraId="36942528">
            <w:pPr>
              <w:pStyle w:val="16"/>
            </w:pPr>
          </w:p>
        </w:tc>
        <w:tc>
          <w:tcPr>
            <w:tcW w:w="964" w:type="dxa"/>
            <w:vAlign w:val="center"/>
          </w:tcPr>
          <w:p w14:paraId="3EB69BF6">
            <w:pPr>
              <w:pStyle w:val="16"/>
            </w:pPr>
          </w:p>
        </w:tc>
        <w:tc>
          <w:tcPr>
            <w:tcW w:w="964" w:type="dxa"/>
            <w:vAlign w:val="center"/>
          </w:tcPr>
          <w:p w14:paraId="692D759A">
            <w:pPr>
              <w:pStyle w:val="16"/>
            </w:pPr>
          </w:p>
        </w:tc>
        <w:tc>
          <w:tcPr>
            <w:tcW w:w="964" w:type="dxa"/>
            <w:vAlign w:val="center"/>
          </w:tcPr>
          <w:p w14:paraId="5679E90B">
            <w:pPr>
              <w:pStyle w:val="16"/>
            </w:pPr>
          </w:p>
        </w:tc>
        <w:tc>
          <w:tcPr>
            <w:tcW w:w="964" w:type="dxa"/>
            <w:vAlign w:val="center"/>
          </w:tcPr>
          <w:p w14:paraId="5C399A2C">
            <w:pPr>
              <w:pStyle w:val="16"/>
            </w:pPr>
            <w:r>
              <w:t>2.04</w:t>
            </w:r>
          </w:p>
        </w:tc>
      </w:tr>
      <w:tr w14:paraId="418AE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03EBC940">
            <w:pPr>
              <w:pStyle w:val="13"/>
            </w:pPr>
            <w:r>
              <w:t>冀财教[2024]141号/省级/2025年义教补助经费/大张家庄中心小学公用经费</w:t>
            </w:r>
          </w:p>
        </w:tc>
        <w:tc>
          <w:tcPr>
            <w:tcW w:w="964" w:type="dxa"/>
            <w:vAlign w:val="center"/>
          </w:tcPr>
          <w:p w14:paraId="6BB969FC">
            <w:pPr>
              <w:pStyle w:val="14"/>
            </w:pPr>
            <w:r>
              <w:t>23.84</w:t>
            </w:r>
          </w:p>
        </w:tc>
        <w:tc>
          <w:tcPr>
            <w:tcW w:w="1134" w:type="dxa"/>
            <w:vAlign w:val="center"/>
          </w:tcPr>
          <w:p w14:paraId="16752B36">
            <w:pPr>
              <w:pStyle w:val="13"/>
            </w:pPr>
            <w:r>
              <w:t>会议桌</w:t>
            </w:r>
          </w:p>
        </w:tc>
        <w:tc>
          <w:tcPr>
            <w:tcW w:w="1134" w:type="dxa"/>
            <w:vAlign w:val="center"/>
          </w:tcPr>
          <w:p w14:paraId="4EEAF9A6">
            <w:pPr>
              <w:pStyle w:val="13"/>
            </w:pPr>
            <w:r>
              <w:t>A05010202</w:t>
            </w:r>
          </w:p>
        </w:tc>
        <w:tc>
          <w:tcPr>
            <w:tcW w:w="709" w:type="dxa"/>
            <w:vAlign w:val="center"/>
          </w:tcPr>
          <w:p w14:paraId="455409DA">
            <w:pPr>
              <w:pStyle w:val="12"/>
            </w:pPr>
            <w:r>
              <w:t>张</w:t>
            </w:r>
          </w:p>
        </w:tc>
        <w:tc>
          <w:tcPr>
            <w:tcW w:w="850" w:type="dxa"/>
            <w:vAlign w:val="center"/>
          </w:tcPr>
          <w:p w14:paraId="5CC1F45F">
            <w:pPr>
              <w:pStyle w:val="14"/>
            </w:pPr>
            <w:r>
              <w:t>5</w:t>
            </w:r>
          </w:p>
        </w:tc>
        <w:tc>
          <w:tcPr>
            <w:tcW w:w="850" w:type="dxa"/>
            <w:vAlign w:val="center"/>
          </w:tcPr>
          <w:p w14:paraId="128EEF72">
            <w:pPr>
              <w:pStyle w:val="14"/>
            </w:pPr>
            <w:r>
              <w:t>0.20</w:t>
            </w:r>
          </w:p>
        </w:tc>
        <w:tc>
          <w:tcPr>
            <w:tcW w:w="964" w:type="dxa"/>
            <w:vAlign w:val="center"/>
          </w:tcPr>
          <w:p w14:paraId="29E10823">
            <w:pPr>
              <w:pStyle w:val="14"/>
            </w:pPr>
            <w:r>
              <w:t>1.00</w:t>
            </w:r>
          </w:p>
        </w:tc>
        <w:tc>
          <w:tcPr>
            <w:tcW w:w="964" w:type="dxa"/>
            <w:vAlign w:val="center"/>
          </w:tcPr>
          <w:p w14:paraId="0EDA5558">
            <w:pPr>
              <w:pStyle w:val="14"/>
            </w:pPr>
            <w:r>
              <w:t>1.00</w:t>
            </w:r>
          </w:p>
        </w:tc>
        <w:tc>
          <w:tcPr>
            <w:tcW w:w="964" w:type="dxa"/>
            <w:vAlign w:val="center"/>
          </w:tcPr>
          <w:p w14:paraId="3DDAB805">
            <w:pPr>
              <w:pStyle w:val="14"/>
            </w:pPr>
          </w:p>
        </w:tc>
        <w:tc>
          <w:tcPr>
            <w:tcW w:w="964" w:type="dxa"/>
            <w:vAlign w:val="center"/>
          </w:tcPr>
          <w:p w14:paraId="29F01339">
            <w:pPr>
              <w:pStyle w:val="14"/>
            </w:pPr>
          </w:p>
        </w:tc>
        <w:tc>
          <w:tcPr>
            <w:tcW w:w="964" w:type="dxa"/>
            <w:vAlign w:val="center"/>
          </w:tcPr>
          <w:p w14:paraId="5F7572A7">
            <w:pPr>
              <w:pStyle w:val="14"/>
            </w:pPr>
          </w:p>
        </w:tc>
        <w:tc>
          <w:tcPr>
            <w:tcW w:w="964" w:type="dxa"/>
            <w:vAlign w:val="center"/>
          </w:tcPr>
          <w:p w14:paraId="70027312">
            <w:pPr>
              <w:pStyle w:val="14"/>
            </w:pPr>
          </w:p>
        </w:tc>
        <w:tc>
          <w:tcPr>
            <w:tcW w:w="964" w:type="dxa"/>
            <w:vAlign w:val="center"/>
          </w:tcPr>
          <w:p w14:paraId="618ABA8A">
            <w:pPr>
              <w:pStyle w:val="14"/>
            </w:pPr>
          </w:p>
        </w:tc>
        <w:tc>
          <w:tcPr>
            <w:tcW w:w="964" w:type="dxa"/>
            <w:vAlign w:val="center"/>
          </w:tcPr>
          <w:p w14:paraId="4E06A81F">
            <w:pPr>
              <w:pStyle w:val="14"/>
            </w:pPr>
            <w:r>
              <w:t>1.00</w:t>
            </w:r>
          </w:p>
        </w:tc>
      </w:tr>
      <w:tr w14:paraId="5FA7E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8F8B24">
            <w:pPr>
              <w:pStyle w:val="13"/>
            </w:pPr>
            <w:r>
              <w:t>冀财教[2024]141号/省级/2025年义教补助经费/大张家庄中心小学公用经费</w:t>
            </w:r>
          </w:p>
        </w:tc>
        <w:tc>
          <w:tcPr>
            <w:tcW w:w="964" w:type="dxa"/>
            <w:vAlign w:val="center"/>
          </w:tcPr>
          <w:p w14:paraId="1891BBA8">
            <w:pPr>
              <w:pStyle w:val="14"/>
            </w:pPr>
            <w:r>
              <w:t>23.84</w:t>
            </w:r>
          </w:p>
        </w:tc>
        <w:tc>
          <w:tcPr>
            <w:tcW w:w="1134" w:type="dxa"/>
            <w:vAlign w:val="center"/>
          </w:tcPr>
          <w:p w14:paraId="00269F0D">
            <w:pPr>
              <w:pStyle w:val="13"/>
            </w:pPr>
            <w:r>
              <w:t>会议椅</w:t>
            </w:r>
          </w:p>
        </w:tc>
        <w:tc>
          <w:tcPr>
            <w:tcW w:w="1134" w:type="dxa"/>
            <w:vAlign w:val="center"/>
          </w:tcPr>
          <w:p w14:paraId="08D2EE63">
            <w:pPr>
              <w:pStyle w:val="13"/>
            </w:pPr>
            <w:r>
              <w:t>A05010303</w:t>
            </w:r>
          </w:p>
        </w:tc>
        <w:tc>
          <w:tcPr>
            <w:tcW w:w="709" w:type="dxa"/>
            <w:vAlign w:val="center"/>
          </w:tcPr>
          <w:p w14:paraId="1587C340">
            <w:pPr>
              <w:pStyle w:val="12"/>
            </w:pPr>
            <w:r>
              <w:t>把</w:t>
            </w:r>
          </w:p>
        </w:tc>
        <w:tc>
          <w:tcPr>
            <w:tcW w:w="850" w:type="dxa"/>
            <w:vAlign w:val="center"/>
          </w:tcPr>
          <w:p w14:paraId="5B109B90">
            <w:pPr>
              <w:pStyle w:val="14"/>
            </w:pPr>
            <w:r>
              <w:t>37</w:t>
            </w:r>
          </w:p>
        </w:tc>
        <w:tc>
          <w:tcPr>
            <w:tcW w:w="850" w:type="dxa"/>
            <w:vAlign w:val="center"/>
          </w:tcPr>
          <w:p w14:paraId="43588866">
            <w:pPr>
              <w:pStyle w:val="14"/>
            </w:pPr>
            <w:r>
              <w:t>0.03</w:t>
            </w:r>
          </w:p>
        </w:tc>
        <w:tc>
          <w:tcPr>
            <w:tcW w:w="964" w:type="dxa"/>
            <w:vAlign w:val="center"/>
          </w:tcPr>
          <w:p w14:paraId="1704BE5C">
            <w:pPr>
              <w:pStyle w:val="14"/>
            </w:pPr>
            <w:r>
              <w:t>1.04</w:t>
            </w:r>
          </w:p>
        </w:tc>
        <w:tc>
          <w:tcPr>
            <w:tcW w:w="964" w:type="dxa"/>
            <w:vAlign w:val="center"/>
          </w:tcPr>
          <w:p w14:paraId="62C1B1F4">
            <w:pPr>
              <w:pStyle w:val="14"/>
            </w:pPr>
            <w:r>
              <w:t>1.04</w:t>
            </w:r>
          </w:p>
        </w:tc>
        <w:tc>
          <w:tcPr>
            <w:tcW w:w="964" w:type="dxa"/>
            <w:vAlign w:val="center"/>
          </w:tcPr>
          <w:p w14:paraId="08E8159D">
            <w:pPr>
              <w:pStyle w:val="14"/>
            </w:pPr>
          </w:p>
        </w:tc>
        <w:tc>
          <w:tcPr>
            <w:tcW w:w="964" w:type="dxa"/>
            <w:vAlign w:val="center"/>
          </w:tcPr>
          <w:p w14:paraId="4FE895CF">
            <w:pPr>
              <w:pStyle w:val="14"/>
            </w:pPr>
          </w:p>
        </w:tc>
        <w:tc>
          <w:tcPr>
            <w:tcW w:w="964" w:type="dxa"/>
            <w:vAlign w:val="center"/>
          </w:tcPr>
          <w:p w14:paraId="6E72246C">
            <w:pPr>
              <w:pStyle w:val="14"/>
            </w:pPr>
          </w:p>
        </w:tc>
        <w:tc>
          <w:tcPr>
            <w:tcW w:w="964" w:type="dxa"/>
            <w:vAlign w:val="center"/>
          </w:tcPr>
          <w:p w14:paraId="29D3D6FE">
            <w:pPr>
              <w:pStyle w:val="14"/>
            </w:pPr>
          </w:p>
        </w:tc>
        <w:tc>
          <w:tcPr>
            <w:tcW w:w="964" w:type="dxa"/>
            <w:vAlign w:val="center"/>
          </w:tcPr>
          <w:p w14:paraId="4305BD56">
            <w:pPr>
              <w:pStyle w:val="14"/>
            </w:pPr>
          </w:p>
        </w:tc>
        <w:tc>
          <w:tcPr>
            <w:tcW w:w="964" w:type="dxa"/>
            <w:vAlign w:val="center"/>
          </w:tcPr>
          <w:p w14:paraId="3BDDAB7F">
            <w:pPr>
              <w:pStyle w:val="14"/>
            </w:pPr>
            <w:r>
              <w:t>1.04</w:t>
            </w:r>
          </w:p>
        </w:tc>
      </w:tr>
    </w:tbl>
    <w:p w14:paraId="62BF5AE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A09816">
      <w:pPr>
        <w:spacing w:before="0" w:after="0"/>
        <w:ind w:firstLine="640"/>
        <w:jc w:val="left"/>
        <w:outlineLvl w:val="9"/>
      </w:pPr>
      <w:r>
        <w:rPr>
          <w:rFonts w:ascii="Times New Roman" w:hAnsi="Times New Roman" w:eastAsia="方正仿宋_GBK" w:cs="Times New Roman"/>
          <w:color w:val="000000"/>
          <w:sz w:val="32"/>
        </w:rPr>
        <w:t xml:space="preserve"> </w:t>
      </w:r>
    </w:p>
    <w:p w14:paraId="43BFCC9E">
      <w:pPr>
        <w:spacing w:before="10" w:after="10" w:line="240" w:lineRule="auto"/>
        <w:ind w:firstLine="640"/>
        <w:jc w:val="left"/>
        <w:outlineLvl w:val="5"/>
      </w:pPr>
      <w:r>
        <w:rPr>
          <w:rFonts w:ascii="黑体" w:hAnsi="黑体" w:eastAsia="黑体" w:cs="黑体"/>
          <w:color w:val="000000"/>
          <w:sz w:val="32"/>
        </w:rPr>
        <w:t>七、国有资产信息</w:t>
      </w:r>
    </w:p>
    <w:p w14:paraId="1BBE4505">
      <w:pPr>
        <w:spacing w:before="0" w:after="0" w:line="500" w:lineRule="exact"/>
        <w:ind w:firstLine="560"/>
        <w:jc w:val="left"/>
        <w:outlineLvl w:val="9"/>
      </w:pPr>
      <w:r>
        <w:rPr>
          <w:rFonts w:ascii="Times New Roman" w:hAnsi="Times New Roman" w:eastAsia="方正仿宋_GBK" w:cs="Times New Roman"/>
          <w:b w:val="0"/>
          <w:color w:val="000000"/>
          <w:sz w:val="28"/>
        </w:rPr>
        <w:t>隆尧县大张家庄校区上年末固定资产金额为2126.98万元（详见下表）。本年度拟购置固定资产总额为14.20万元，已按要求列入政府采购预算，详见政府采购预算表。</w:t>
      </w:r>
    </w:p>
    <w:p w14:paraId="449A720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F849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3517DCD">
            <w:pPr>
              <w:pStyle w:val="8"/>
            </w:pPr>
            <w:r>
              <w:t>360024隆尧县大张家庄校区</w:t>
            </w:r>
          </w:p>
        </w:tc>
        <w:tc>
          <w:tcPr>
            <w:tcW w:w="5670" w:type="dxa"/>
            <w:gridSpan w:val="2"/>
            <w:tcBorders>
              <w:top w:val="single" w:color="FFFFFF" w:sz="6" w:space="0"/>
              <w:left w:val="single" w:color="FFFFFF" w:sz="6" w:space="0"/>
              <w:right w:val="single" w:color="FFFFFF" w:sz="6" w:space="0"/>
            </w:tcBorders>
            <w:vAlign w:val="center"/>
          </w:tcPr>
          <w:p w14:paraId="48F9D330">
            <w:pPr>
              <w:pStyle w:val="10"/>
            </w:pPr>
            <w:r>
              <w:t>截止时间：2024-12-31</w:t>
            </w:r>
          </w:p>
        </w:tc>
      </w:tr>
      <w:tr w14:paraId="3510D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A485B5C">
            <w:pPr>
              <w:pStyle w:val="11"/>
            </w:pPr>
            <w:r>
              <w:t>项   目</w:t>
            </w:r>
          </w:p>
        </w:tc>
        <w:tc>
          <w:tcPr>
            <w:tcW w:w="2835" w:type="dxa"/>
            <w:vAlign w:val="center"/>
          </w:tcPr>
          <w:p w14:paraId="56D2FB81">
            <w:pPr>
              <w:pStyle w:val="11"/>
            </w:pPr>
            <w:r>
              <w:t>数量</w:t>
            </w:r>
          </w:p>
        </w:tc>
        <w:tc>
          <w:tcPr>
            <w:tcW w:w="2835" w:type="dxa"/>
            <w:vAlign w:val="center"/>
          </w:tcPr>
          <w:p w14:paraId="43891C5E">
            <w:pPr>
              <w:pStyle w:val="11"/>
            </w:pPr>
            <w:r>
              <w:t>价值（金额单位：万元）</w:t>
            </w:r>
          </w:p>
        </w:tc>
      </w:tr>
      <w:tr w14:paraId="0E8F9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FEEDCC">
            <w:pPr>
              <w:pStyle w:val="13"/>
            </w:pPr>
            <w:r>
              <w:t>资产总额</w:t>
            </w:r>
          </w:p>
        </w:tc>
        <w:tc>
          <w:tcPr>
            <w:tcW w:w="2835" w:type="dxa"/>
            <w:vAlign w:val="center"/>
          </w:tcPr>
          <w:p w14:paraId="792F97C6">
            <w:pPr>
              <w:pStyle w:val="12"/>
            </w:pPr>
          </w:p>
        </w:tc>
        <w:tc>
          <w:tcPr>
            <w:tcW w:w="2835" w:type="dxa"/>
            <w:vAlign w:val="center"/>
          </w:tcPr>
          <w:p w14:paraId="363AFF70">
            <w:pPr>
              <w:pStyle w:val="14"/>
            </w:pPr>
            <w:r>
              <w:t>2126.98</w:t>
            </w:r>
          </w:p>
        </w:tc>
      </w:tr>
      <w:tr w14:paraId="330A4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14:paraId="4EDF9769">
            <w:pPr>
              <w:pStyle w:val="13"/>
            </w:pPr>
            <w:r>
              <w:t>1、房屋（平方米）</w:t>
            </w:r>
          </w:p>
        </w:tc>
        <w:tc>
          <w:tcPr>
            <w:tcW w:w="2835" w:type="dxa"/>
            <w:vAlign w:val="center"/>
          </w:tcPr>
          <w:p w14:paraId="4D7DD64B">
            <w:pPr>
              <w:pStyle w:val="12"/>
            </w:pPr>
            <w:r>
              <w:t>20678.40</w:t>
            </w:r>
          </w:p>
        </w:tc>
        <w:tc>
          <w:tcPr>
            <w:tcW w:w="2835" w:type="dxa"/>
            <w:vAlign w:val="center"/>
          </w:tcPr>
          <w:p w14:paraId="66F9D6AC">
            <w:pPr>
              <w:pStyle w:val="14"/>
            </w:pPr>
            <w:r>
              <w:t>1580.71</w:t>
            </w:r>
          </w:p>
        </w:tc>
      </w:tr>
      <w:tr w14:paraId="26017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949620">
            <w:pPr>
              <w:pStyle w:val="13"/>
            </w:pPr>
            <w:r>
              <w:t>　　其中：办公用房（平方米）</w:t>
            </w:r>
          </w:p>
        </w:tc>
        <w:tc>
          <w:tcPr>
            <w:tcW w:w="2835" w:type="dxa"/>
            <w:vAlign w:val="center"/>
          </w:tcPr>
          <w:p w14:paraId="51228D62">
            <w:pPr>
              <w:pStyle w:val="12"/>
            </w:pPr>
            <w:r>
              <w:t>12289.40</w:t>
            </w:r>
          </w:p>
        </w:tc>
        <w:tc>
          <w:tcPr>
            <w:tcW w:w="2835" w:type="dxa"/>
            <w:vAlign w:val="center"/>
          </w:tcPr>
          <w:p w14:paraId="75768ACB">
            <w:pPr>
              <w:pStyle w:val="14"/>
            </w:pPr>
            <w:r>
              <w:t>794.97</w:t>
            </w:r>
          </w:p>
        </w:tc>
      </w:tr>
      <w:tr w14:paraId="56CC5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DAC87C">
            <w:pPr>
              <w:pStyle w:val="13"/>
            </w:pPr>
            <w:r>
              <w:t>2、车辆（台、辆）</w:t>
            </w:r>
          </w:p>
        </w:tc>
        <w:tc>
          <w:tcPr>
            <w:tcW w:w="2835" w:type="dxa"/>
            <w:vAlign w:val="center"/>
          </w:tcPr>
          <w:p w14:paraId="19E93887">
            <w:pPr>
              <w:pStyle w:val="12"/>
            </w:pPr>
          </w:p>
        </w:tc>
        <w:tc>
          <w:tcPr>
            <w:tcW w:w="2835" w:type="dxa"/>
            <w:vAlign w:val="center"/>
          </w:tcPr>
          <w:p w14:paraId="659AEB7F">
            <w:pPr>
              <w:pStyle w:val="14"/>
            </w:pPr>
          </w:p>
        </w:tc>
      </w:tr>
      <w:tr w14:paraId="32FAE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7529F1">
            <w:pPr>
              <w:pStyle w:val="13"/>
            </w:pPr>
            <w:r>
              <w:t>3、单价在20万元以上的设备</w:t>
            </w:r>
          </w:p>
        </w:tc>
        <w:tc>
          <w:tcPr>
            <w:tcW w:w="2835" w:type="dxa"/>
            <w:vAlign w:val="center"/>
          </w:tcPr>
          <w:p w14:paraId="331679A1">
            <w:pPr>
              <w:pStyle w:val="12"/>
            </w:pPr>
          </w:p>
        </w:tc>
        <w:tc>
          <w:tcPr>
            <w:tcW w:w="2835" w:type="dxa"/>
            <w:vAlign w:val="center"/>
          </w:tcPr>
          <w:p w14:paraId="3B8EE212">
            <w:pPr>
              <w:pStyle w:val="14"/>
            </w:pPr>
          </w:p>
        </w:tc>
      </w:tr>
      <w:tr w14:paraId="78010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B3585D">
            <w:pPr>
              <w:pStyle w:val="13"/>
            </w:pPr>
            <w:r>
              <w:t>4、其他固定资产</w:t>
            </w:r>
          </w:p>
        </w:tc>
        <w:tc>
          <w:tcPr>
            <w:tcW w:w="2835" w:type="dxa"/>
            <w:vAlign w:val="center"/>
          </w:tcPr>
          <w:p w14:paraId="017A4DFB">
            <w:pPr>
              <w:pStyle w:val="12"/>
            </w:pPr>
            <w:r>
              <w:t>39009</w:t>
            </w:r>
          </w:p>
        </w:tc>
        <w:tc>
          <w:tcPr>
            <w:tcW w:w="2835" w:type="dxa"/>
            <w:vAlign w:val="center"/>
          </w:tcPr>
          <w:p w14:paraId="3BA3BFEA">
            <w:pPr>
              <w:pStyle w:val="14"/>
            </w:pPr>
            <w:r>
              <w:t>546.27</w:t>
            </w:r>
          </w:p>
        </w:tc>
      </w:tr>
    </w:tbl>
    <w:p w14:paraId="270506F7">
      <w:pPr>
        <w:spacing w:before="0" w:after="0"/>
        <w:ind w:firstLine="640"/>
        <w:jc w:val="left"/>
        <w:outlineLvl w:val="9"/>
      </w:pPr>
      <w:r>
        <w:rPr>
          <w:rFonts w:ascii="Times New Roman" w:hAnsi="Times New Roman" w:eastAsia="方正仿宋_GBK" w:cs="Times New Roman"/>
          <w:color w:val="000000"/>
          <w:sz w:val="32"/>
        </w:rPr>
        <w:t xml:space="preserve"> </w:t>
      </w:r>
    </w:p>
    <w:p w14:paraId="65903A9B">
      <w:pPr>
        <w:spacing w:before="10" w:after="10" w:line="240" w:lineRule="auto"/>
        <w:ind w:firstLine="640"/>
        <w:jc w:val="left"/>
        <w:outlineLvl w:val="5"/>
      </w:pPr>
      <w:r>
        <w:rPr>
          <w:rFonts w:ascii="黑体" w:hAnsi="黑体" w:eastAsia="黑体" w:cs="黑体"/>
          <w:color w:val="000000"/>
          <w:sz w:val="32"/>
        </w:rPr>
        <w:t>八、名词解释</w:t>
      </w:r>
    </w:p>
    <w:p w14:paraId="16BC36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9BFD4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EBC62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178113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08C5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840E4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75F8A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6AD52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890A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D15B7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E0414D">
      <w:pPr>
        <w:spacing w:before="10" w:after="10" w:line="240" w:lineRule="auto"/>
        <w:ind w:firstLine="640"/>
        <w:jc w:val="left"/>
        <w:outlineLvl w:val="5"/>
      </w:pPr>
      <w:r>
        <w:rPr>
          <w:rFonts w:ascii="黑体" w:hAnsi="黑体" w:eastAsia="黑体" w:cs="黑体"/>
          <w:color w:val="000000"/>
          <w:sz w:val="32"/>
        </w:rPr>
        <w:t>九、其他需要说明的事项</w:t>
      </w:r>
    </w:p>
    <w:p w14:paraId="7492C6C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C4DF50B">
      <w:pPr>
        <w:spacing w:before="0" w:after="0"/>
        <w:ind w:firstLine="0"/>
        <w:jc w:val="center"/>
        <w:outlineLvl w:val="3"/>
      </w:pPr>
      <w:bookmarkStart w:id="24" w:name="_Toc_4_4_0000000044"/>
      <w:r>
        <w:rPr>
          <w:rFonts w:ascii="方正小标宋_GBK" w:hAnsi="方正小标宋_GBK" w:eastAsia="方正小标宋_GBK" w:cs="方正小标宋_GBK"/>
          <w:b w:val="0"/>
          <w:color w:val="000000"/>
          <w:sz w:val="44"/>
        </w:rPr>
        <w:t>二十四、隆尧县千户营校区收支预算</w:t>
      </w:r>
      <w:bookmarkEnd w:id="24"/>
    </w:p>
    <w:p w14:paraId="1E25CE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41E3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2A4AFA">
            <w:pPr>
              <w:pStyle w:val="8"/>
            </w:pPr>
            <w:r>
              <w:t>360025隆尧县千户营校区</w:t>
            </w:r>
          </w:p>
        </w:tc>
        <w:tc>
          <w:tcPr>
            <w:tcW w:w="2126" w:type="dxa"/>
            <w:tcBorders>
              <w:top w:val="single" w:color="FFFFFF" w:sz="6" w:space="0"/>
              <w:left w:val="single" w:color="FFFFFF" w:sz="6" w:space="0"/>
              <w:right w:val="single" w:color="FFFFFF" w:sz="6" w:space="0"/>
            </w:tcBorders>
            <w:vAlign w:val="center"/>
          </w:tcPr>
          <w:p w14:paraId="0A6B892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11A406D">
            <w:pPr>
              <w:pStyle w:val="10"/>
            </w:pPr>
            <w:r>
              <w:t>单位：万元</w:t>
            </w:r>
          </w:p>
        </w:tc>
      </w:tr>
      <w:tr w14:paraId="0892D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0F8A01">
            <w:pPr>
              <w:pStyle w:val="11"/>
            </w:pPr>
            <w:r>
              <w:t>序号</w:t>
            </w:r>
          </w:p>
        </w:tc>
        <w:tc>
          <w:tcPr>
            <w:tcW w:w="6661" w:type="dxa"/>
            <w:gridSpan w:val="2"/>
            <w:vAlign w:val="center"/>
          </w:tcPr>
          <w:p w14:paraId="2252CEF6">
            <w:pPr>
              <w:pStyle w:val="11"/>
            </w:pPr>
            <w:r>
              <w:t>收入</w:t>
            </w:r>
          </w:p>
        </w:tc>
        <w:tc>
          <w:tcPr>
            <w:tcW w:w="6661" w:type="dxa"/>
            <w:gridSpan w:val="2"/>
            <w:vAlign w:val="center"/>
          </w:tcPr>
          <w:p w14:paraId="01D46A6C">
            <w:pPr>
              <w:pStyle w:val="11"/>
            </w:pPr>
            <w:r>
              <w:t>支出</w:t>
            </w:r>
          </w:p>
        </w:tc>
      </w:tr>
      <w:tr w14:paraId="36F2A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CF00FB"/>
        </w:tc>
        <w:tc>
          <w:tcPr>
            <w:tcW w:w="4535" w:type="dxa"/>
            <w:vAlign w:val="center"/>
          </w:tcPr>
          <w:p w14:paraId="628911FE">
            <w:pPr>
              <w:pStyle w:val="11"/>
            </w:pPr>
            <w:r>
              <w:t>项  目</w:t>
            </w:r>
          </w:p>
        </w:tc>
        <w:tc>
          <w:tcPr>
            <w:tcW w:w="2126" w:type="dxa"/>
            <w:vAlign w:val="center"/>
          </w:tcPr>
          <w:p w14:paraId="06662D5B">
            <w:pPr>
              <w:pStyle w:val="11"/>
            </w:pPr>
            <w:r>
              <w:t>预算数</w:t>
            </w:r>
          </w:p>
        </w:tc>
        <w:tc>
          <w:tcPr>
            <w:tcW w:w="4535" w:type="dxa"/>
            <w:vAlign w:val="center"/>
          </w:tcPr>
          <w:p w14:paraId="1E9FB429">
            <w:pPr>
              <w:pStyle w:val="11"/>
            </w:pPr>
            <w:r>
              <w:t>项  目</w:t>
            </w:r>
          </w:p>
        </w:tc>
        <w:tc>
          <w:tcPr>
            <w:tcW w:w="2126" w:type="dxa"/>
            <w:vAlign w:val="center"/>
          </w:tcPr>
          <w:p w14:paraId="434FDAB0">
            <w:pPr>
              <w:pStyle w:val="11"/>
            </w:pPr>
            <w:r>
              <w:t>预算数</w:t>
            </w:r>
          </w:p>
        </w:tc>
      </w:tr>
      <w:tr w14:paraId="269E5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5DF9D">
            <w:pPr>
              <w:pStyle w:val="11"/>
            </w:pPr>
            <w:r>
              <w:t>栏次</w:t>
            </w:r>
          </w:p>
        </w:tc>
        <w:tc>
          <w:tcPr>
            <w:tcW w:w="4535" w:type="dxa"/>
            <w:vAlign w:val="center"/>
          </w:tcPr>
          <w:p w14:paraId="16223AD7">
            <w:pPr>
              <w:pStyle w:val="11"/>
            </w:pPr>
            <w:r>
              <w:t>1</w:t>
            </w:r>
          </w:p>
        </w:tc>
        <w:tc>
          <w:tcPr>
            <w:tcW w:w="2126" w:type="dxa"/>
            <w:vAlign w:val="center"/>
          </w:tcPr>
          <w:p w14:paraId="344639BE">
            <w:pPr>
              <w:pStyle w:val="11"/>
            </w:pPr>
            <w:r>
              <w:t>2</w:t>
            </w:r>
          </w:p>
        </w:tc>
        <w:tc>
          <w:tcPr>
            <w:tcW w:w="4535" w:type="dxa"/>
            <w:vAlign w:val="center"/>
          </w:tcPr>
          <w:p w14:paraId="012498B2">
            <w:pPr>
              <w:pStyle w:val="11"/>
            </w:pPr>
            <w:r>
              <w:t>3</w:t>
            </w:r>
          </w:p>
        </w:tc>
        <w:tc>
          <w:tcPr>
            <w:tcW w:w="2126" w:type="dxa"/>
            <w:vAlign w:val="center"/>
          </w:tcPr>
          <w:p w14:paraId="29CF6F0E">
            <w:pPr>
              <w:pStyle w:val="11"/>
            </w:pPr>
            <w:r>
              <w:t>4</w:t>
            </w:r>
          </w:p>
        </w:tc>
      </w:tr>
      <w:tr w14:paraId="6806D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B8913">
            <w:pPr>
              <w:pStyle w:val="12"/>
            </w:pPr>
            <w:r>
              <w:t>1</w:t>
            </w:r>
          </w:p>
        </w:tc>
        <w:tc>
          <w:tcPr>
            <w:tcW w:w="4535" w:type="dxa"/>
            <w:vAlign w:val="center"/>
          </w:tcPr>
          <w:p w14:paraId="3DB719E0">
            <w:pPr>
              <w:pStyle w:val="13"/>
            </w:pPr>
            <w:r>
              <w:t>一、一般公共预算拨款收入</w:t>
            </w:r>
          </w:p>
        </w:tc>
        <w:tc>
          <w:tcPr>
            <w:tcW w:w="2126" w:type="dxa"/>
            <w:vAlign w:val="center"/>
          </w:tcPr>
          <w:p w14:paraId="07BE7B39">
            <w:pPr>
              <w:pStyle w:val="14"/>
            </w:pPr>
            <w:r>
              <w:t>1993.80</w:t>
            </w:r>
          </w:p>
        </w:tc>
        <w:tc>
          <w:tcPr>
            <w:tcW w:w="4535" w:type="dxa"/>
            <w:vAlign w:val="center"/>
          </w:tcPr>
          <w:p w14:paraId="17F01F1A">
            <w:pPr>
              <w:pStyle w:val="13"/>
            </w:pPr>
            <w:r>
              <w:t>一、一般公共服务支出</w:t>
            </w:r>
          </w:p>
        </w:tc>
        <w:tc>
          <w:tcPr>
            <w:tcW w:w="2126" w:type="dxa"/>
            <w:vAlign w:val="center"/>
          </w:tcPr>
          <w:p w14:paraId="36AE50AA">
            <w:pPr>
              <w:pStyle w:val="14"/>
            </w:pPr>
          </w:p>
        </w:tc>
      </w:tr>
      <w:tr w14:paraId="4FECA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27694">
            <w:pPr>
              <w:pStyle w:val="12"/>
            </w:pPr>
            <w:r>
              <w:t>2</w:t>
            </w:r>
          </w:p>
        </w:tc>
        <w:tc>
          <w:tcPr>
            <w:tcW w:w="4535" w:type="dxa"/>
            <w:vAlign w:val="center"/>
          </w:tcPr>
          <w:p w14:paraId="71FBF7B4">
            <w:pPr>
              <w:pStyle w:val="13"/>
            </w:pPr>
            <w:r>
              <w:t>二、政府性基金预算拨款收入</w:t>
            </w:r>
          </w:p>
        </w:tc>
        <w:tc>
          <w:tcPr>
            <w:tcW w:w="2126" w:type="dxa"/>
            <w:vAlign w:val="center"/>
          </w:tcPr>
          <w:p w14:paraId="7B094B9B">
            <w:pPr>
              <w:pStyle w:val="14"/>
            </w:pPr>
          </w:p>
        </w:tc>
        <w:tc>
          <w:tcPr>
            <w:tcW w:w="4535" w:type="dxa"/>
            <w:vAlign w:val="center"/>
          </w:tcPr>
          <w:p w14:paraId="06D89C40">
            <w:pPr>
              <w:pStyle w:val="13"/>
            </w:pPr>
            <w:r>
              <w:t>二、外交支出</w:t>
            </w:r>
          </w:p>
        </w:tc>
        <w:tc>
          <w:tcPr>
            <w:tcW w:w="2126" w:type="dxa"/>
            <w:vAlign w:val="center"/>
          </w:tcPr>
          <w:p w14:paraId="22167D8E">
            <w:pPr>
              <w:pStyle w:val="14"/>
            </w:pPr>
          </w:p>
        </w:tc>
      </w:tr>
      <w:tr w14:paraId="34375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32F95">
            <w:pPr>
              <w:pStyle w:val="12"/>
            </w:pPr>
            <w:r>
              <w:t>3</w:t>
            </w:r>
          </w:p>
        </w:tc>
        <w:tc>
          <w:tcPr>
            <w:tcW w:w="4535" w:type="dxa"/>
            <w:vAlign w:val="center"/>
          </w:tcPr>
          <w:p w14:paraId="359D68FE">
            <w:pPr>
              <w:pStyle w:val="13"/>
            </w:pPr>
            <w:r>
              <w:t>三、国有资本经营预算拨款收入</w:t>
            </w:r>
          </w:p>
        </w:tc>
        <w:tc>
          <w:tcPr>
            <w:tcW w:w="2126" w:type="dxa"/>
            <w:vAlign w:val="center"/>
          </w:tcPr>
          <w:p w14:paraId="00FAD52C">
            <w:pPr>
              <w:pStyle w:val="14"/>
            </w:pPr>
          </w:p>
        </w:tc>
        <w:tc>
          <w:tcPr>
            <w:tcW w:w="4535" w:type="dxa"/>
            <w:vAlign w:val="center"/>
          </w:tcPr>
          <w:p w14:paraId="7FF419EE">
            <w:pPr>
              <w:pStyle w:val="13"/>
            </w:pPr>
            <w:r>
              <w:t>三、国防支出</w:t>
            </w:r>
          </w:p>
        </w:tc>
        <w:tc>
          <w:tcPr>
            <w:tcW w:w="2126" w:type="dxa"/>
            <w:vAlign w:val="center"/>
          </w:tcPr>
          <w:p w14:paraId="7E4037C2">
            <w:pPr>
              <w:pStyle w:val="14"/>
            </w:pPr>
          </w:p>
        </w:tc>
      </w:tr>
      <w:tr w14:paraId="29D69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3BCA5">
            <w:pPr>
              <w:pStyle w:val="12"/>
            </w:pPr>
            <w:r>
              <w:t>4</w:t>
            </w:r>
          </w:p>
        </w:tc>
        <w:tc>
          <w:tcPr>
            <w:tcW w:w="4535" w:type="dxa"/>
            <w:vAlign w:val="center"/>
          </w:tcPr>
          <w:p w14:paraId="346C0929">
            <w:pPr>
              <w:pStyle w:val="13"/>
            </w:pPr>
            <w:r>
              <w:t>四、财政专户管理资金收入</w:t>
            </w:r>
          </w:p>
        </w:tc>
        <w:tc>
          <w:tcPr>
            <w:tcW w:w="2126" w:type="dxa"/>
            <w:vAlign w:val="center"/>
          </w:tcPr>
          <w:p w14:paraId="19FF57A4">
            <w:pPr>
              <w:pStyle w:val="14"/>
            </w:pPr>
          </w:p>
        </w:tc>
        <w:tc>
          <w:tcPr>
            <w:tcW w:w="4535" w:type="dxa"/>
            <w:vAlign w:val="center"/>
          </w:tcPr>
          <w:p w14:paraId="25407C0D">
            <w:pPr>
              <w:pStyle w:val="13"/>
            </w:pPr>
            <w:r>
              <w:t>四、公共安全支出</w:t>
            </w:r>
          </w:p>
        </w:tc>
        <w:tc>
          <w:tcPr>
            <w:tcW w:w="2126" w:type="dxa"/>
            <w:vAlign w:val="center"/>
          </w:tcPr>
          <w:p w14:paraId="55D5F9FD">
            <w:pPr>
              <w:pStyle w:val="14"/>
            </w:pPr>
          </w:p>
        </w:tc>
      </w:tr>
      <w:tr w14:paraId="4AEFE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D1AD8">
            <w:pPr>
              <w:pStyle w:val="12"/>
            </w:pPr>
            <w:r>
              <w:t>5</w:t>
            </w:r>
          </w:p>
        </w:tc>
        <w:tc>
          <w:tcPr>
            <w:tcW w:w="4535" w:type="dxa"/>
            <w:vAlign w:val="center"/>
          </w:tcPr>
          <w:p w14:paraId="70E26D93">
            <w:pPr>
              <w:pStyle w:val="13"/>
            </w:pPr>
            <w:r>
              <w:t>五、单位资金</w:t>
            </w:r>
          </w:p>
        </w:tc>
        <w:tc>
          <w:tcPr>
            <w:tcW w:w="2126" w:type="dxa"/>
            <w:vAlign w:val="center"/>
          </w:tcPr>
          <w:p w14:paraId="741FF8DA">
            <w:pPr>
              <w:pStyle w:val="14"/>
            </w:pPr>
          </w:p>
        </w:tc>
        <w:tc>
          <w:tcPr>
            <w:tcW w:w="4535" w:type="dxa"/>
            <w:vAlign w:val="center"/>
          </w:tcPr>
          <w:p w14:paraId="1ABCDBFD">
            <w:pPr>
              <w:pStyle w:val="13"/>
            </w:pPr>
            <w:r>
              <w:t>五、教育支出</w:t>
            </w:r>
          </w:p>
        </w:tc>
        <w:tc>
          <w:tcPr>
            <w:tcW w:w="2126" w:type="dxa"/>
            <w:vAlign w:val="center"/>
          </w:tcPr>
          <w:p w14:paraId="4D9E5CF2">
            <w:pPr>
              <w:pStyle w:val="14"/>
            </w:pPr>
            <w:r>
              <w:t>1993.80</w:t>
            </w:r>
          </w:p>
        </w:tc>
      </w:tr>
      <w:tr w14:paraId="4FA25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736F8">
            <w:pPr>
              <w:pStyle w:val="12"/>
            </w:pPr>
            <w:r>
              <w:t>6</w:t>
            </w:r>
          </w:p>
        </w:tc>
        <w:tc>
          <w:tcPr>
            <w:tcW w:w="4535" w:type="dxa"/>
            <w:vAlign w:val="center"/>
          </w:tcPr>
          <w:p w14:paraId="23E33216">
            <w:pPr>
              <w:pStyle w:val="13"/>
            </w:pPr>
          </w:p>
        </w:tc>
        <w:tc>
          <w:tcPr>
            <w:tcW w:w="2126" w:type="dxa"/>
            <w:vAlign w:val="center"/>
          </w:tcPr>
          <w:p w14:paraId="55267593">
            <w:pPr>
              <w:pStyle w:val="14"/>
            </w:pPr>
          </w:p>
        </w:tc>
        <w:tc>
          <w:tcPr>
            <w:tcW w:w="4535" w:type="dxa"/>
            <w:vAlign w:val="center"/>
          </w:tcPr>
          <w:p w14:paraId="2CBA45A0">
            <w:pPr>
              <w:pStyle w:val="13"/>
            </w:pPr>
            <w:r>
              <w:t>六、科学技术支出</w:t>
            </w:r>
          </w:p>
        </w:tc>
        <w:tc>
          <w:tcPr>
            <w:tcW w:w="2126" w:type="dxa"/>
            <w:vAlign w:val="center"/>
          </w:tcPr>
          <w:p w14:paraId="14B3B066">
            <w:pPr>
              <w:pStyle w:val="14"/>
            </w:pPr>
          </w:p>
        </w:tc>
      </w:tr>
      <w:tr w14:paraId="4293E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81219">
            <w:pPr>
              <w:pStyle w:val="12"/>
            </w:pPr>
            <w:r>
              <w:t>7</w:t>
            </w:r>
          </w:p>
        </w:tc>
        <w:tc>
          <w:tcPr>
            <w:tcW w:w="4535" w:type="dxa"/>
            <w:vAlign w:val="center"/>
          </w:tcPr>
          <w:p w14:paraId="578F1FB0">
            <w:pPr>
              <w:pStyle w:val="13"/>
            </w:pPr>
          </w:p>
        </w:tc>
        <w:tc>
          <w:tcPr>
            <w:tcW w:w="2126" w:type="dxa"/>
            <w:vAlign w:val="center"/>
          </w:tcPr>
          <w:p w14:paraId="2733CF84">
            <w:pPr>
              <w:pStyle w:val="14"/>
            </w:pPr>
          </w:p>
        </w:tc>
        <w:tc>
          <w:tcPr>
            <w:tcW w:w="4535" w:type="dxa"/>
            <w:vAlign w:val="center"/>
          </w:tcPr>
          <w:p w14:paraId="3C647522">
            <w:pPr>
              <w:pStyle w:val="13"/>
            </w:pPr>
            <w:r>
              <w:t>七、文化旅游体育与传媒支出</w:t>
            </w:r>
          </w:p>
        </w:tc>
        <w:tc>
          <w:tcPr>
            <w:tcW w:w="2126" w:type="dxa"/>
            <w:vAlign w:val="center"/>
          </w:tcPr>
          <w:p w14:paraId="080445CE">
            <w:pPr>
              <w:pStyle w:val="14"/>
            </w:pPr>
          </w:p>
        </w:tc>
      </w:tr>
      <w:tr w14:paraId="66F7E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0B58F">
            <w:pPr>
              <w:pStyle w:val="12"/>
            </w:pPr>
            <w:r>
              <w:t>8</w:t>
            </w:r>
          </w:p>
        </w:tc>
        <w:tc>
          <w:tcPr>
            <w:tcW w:w="4535" w:type="dxa"/>
            <w:vAlign w:val="center"/>
          </w:tcPr>
          <w:p w14:paraId="0A50EF44">
            <w:pPr>
              <w:pStyle w:val="13"/>
            </w:pPr>
          </w:p>
        </w:tc>
        <w:tc>
          <w:tcPr>
            <w:tcW w:w="2126" w:type="dxa"/>
            <w:vAlign w:val="center"/>
          </w:tcPr>
          <w:p w14:paraId="673C030F">
            <w:pPr>
              <w:pStyle w:val="14"/>
            </w:pPr>
          </w:p>
        </w:tc>
        <w:tc>
          <w:tcPr>
            <w:tcW w:w="4535" w:type="dxa"/>
            <w:vAlign w:val="center"/>
          </w:tcPr>
          <w:p w14:paraId="7A868E63">
            <w:pPr>
              <w:pStyle w:val="13"/>
            </w:pPr>
            <w:r>
              <w:t>八、社会保障和就业支出</w:t>
            </w:r>
          </w:p>
        </w:tc>
        <w:tc>
          <w:tcPr>
            <w:tcW w:w="2126" w:type="dxa"/>
            <w:vAlign w:val="center"/>
          </w:tcPr>
          <w:p w14:paraId="6FA8A2CF">
            <w:pPr>
              <w:pStyle w:val="14"/>
            </w:pPr>
          </w:p>
        </w:tc>
      </w:tr>
      <w:tr w14:paraId="67F49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74056">
            <w:pPr>
              <w:pStyle w:val="12"/>
            </w:pPr>
            <w:r>
              <w:t>9</w:t>
            </w:r>
          </w:p>
        </w:tc>
        <w:tc>
          <w:tcPr>
            <w:tcW w:w="4535" w:type="dxa"/>
            <w:vAlign w:val="center"/>
          </w:tcPr>
          <w:p w14:paraId="65BE048D">
            <w:pPr>
              <w:pStyle w:val="13"/>
            </w:pPr>
          </w:p>
        </w:tc>
        <w:tc>
          <w:tcPr>
            <w:tcW w:w="2126" w:type="dxa"/>
            <w:vAlign w:val="center"/>
          </w:tcPr>
          <w:p w14:paraId="7ABA0E10">
            <w:pPr>
              <w:pStyle w:val="14"/>
            </w:pPr>
          </w:p>
        </w:tc>
        <w:tc>
          <w:tcPr>
            <w:tcW w:w="4535" w:type="dxa"/>
            <w:vAlign w:val="center"/>
          </w:tcPr>
          <w:p w14:paraId="03EF09A8">
            <w:pPr>
              <w:pStyle w:val="13"/>
            </w:pPr>
            <w:r>
              <w:t>九、社会保险基金支出</w:t>
            </w:r>
          </w:p>
        </w:tc>
        <w:tc>
          <w:tcPr>
            <w:tcW w:w="2126" w:type="dxa"/>
            <w:vAlign w:val="center"/>
          </w:tcPr>
          <w:p w14:paraId="2E4D004E">
            <w:pPr>
              <w:pStyle w:val="14"/>
            </w:pPr>
          </w:p>
        </w:tc>
      </w:tr>
      <w:tr w14:paraId="61E4B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DF96F">
            <w:pPr>
              <w:pStyle w:val="12"/>
            </w:pPr>
            <w:r>
              <w:t>10</w:t>
            </w:r>
          </w:p>
        </w:tc>
        <w:tc>
          <w:tcPr>
            <w:tcW w:w="4535" w:type="dxa"/>
            <w:vAlign w:val="center"/>
          </w:tcPr>
          <w:p w14:paraId="5D237B32">
            <w:pPr>
              <w:pStyle w:val="13"/>
            </w:pPr>
          </w:p>
        </w:tc>
        <w:tc>
          <w:tcPr>
            <w:tcW w:w="2126" w:type="dxa"/>
            <w:vAlign w:val="center"/>
          </w:tcPr>
          <w:p w14:paraId="63ADDC9A">
            <w:pPr>
              <w:pStyle w:val="14"/>
            </w:pPr>
          </w:p>
        </w:tc>
        <w:tc>
          <w:tcPr>
            <w:tcW w:w="4535" w:type="dxa"/>
            <w:vAlign w:val="center"/>
          </w:tcPr>
          <w:p w14:paraId="198FDCB1">
            <w:pPr>
              <w:pStyle w:val="13"/>
            </w:pPr>
            <w:r>
              <w:t>十、卫生健康支出</w:t>
            </w:r>
          </w:p>
        </w:tc>
        <w:tc>
          <w:tcPr>
            <w:tcW w:w="2126" w:type="dxa"/>
            <w:vAlign w:val="center"/>
          </w:tcPr>
          <w:p w14:paraId="137C3734">
            <w:pPr>
              <w:pStyle w:val="14"/>
            </w:pPr>
          </w:p>
        </w:tc>
      </w:tr>
      <w:tr w14:paraId="6A36F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6A904">
            <w:pPr>
              <w:pStyle w:val="12"/>
            </w:pPr>
            <w:r>
              <w:t>11</w:t>
            </w:r>
          </w:p>
        </w:tc>
        <w:tc>
          <w:tcPr>
            <w:tcW w:w="4535" w:type="dxa"/>
            <w:vAlign w:val="center"/>
          </w:tcPr>
          <w:p w14:paraId="571090BD">
            <w:pPr>
              <w:pStyle w:val="13"/>
            </w:pPr>
          </w:p>
        </w:tc>
        <w:tc>
          <w:tcPr>
            <w:tcW w:w="2126" w:type="dxa"/>
            <w:vAlign w:val="center"/>
          </w:tcPr>
          <w:p w14:paraId="0E9CA266">
            <w:pPr>
              <w:pStyle w:val="14"/>
            </w:pPr>
          </w:p>
        </w:tc>
        <w:tc>
          <w:tcPr>
            <w:tcW w:w="4535" w:type="dxa"/>
            <w:vAlign w:val="center"/>
          </w:tcPr>
          <w:p w14:paraId="4A651A0B">
            <w:pPr>
              <w:pStyle w:val="13"/>
            </w:pPr>
            <w:r>
              <w:t>十一、节能环保支出</w:t>
            </w:r>
          </w:p>
        </w:tc>
        <w:tc>
          <w:tcPr>
            <w:tcW w:w="2126" w:type="dxa"/>
            <w:vAlign w:val="center"/>
          </w:tcPr>
          <w:p w14:paraId="22589EE6">
            <w:pPr>
              <w:pStyle w:val="14"/>
            </w:pPr>
          </w:p>
        </w:tc>
      </w:tr>
      <w:tr w14:paraId="2F45C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82795">
            <w:pPr>
              <w:pStyle w:val="12"/>
            </w:pPr>
            <w:r>
              <w:t>12</w:t>
            </w:r>
          </w:p>
        </w:tc>
        <w:tc>
          <w:tcPr>
            <w:tcW w:w="4535" w:type="dxa"/>
            <w:vAlign w:val="center"/>
          </w:tcPr>
          <w:p w14:paraId="56EEAA07">
            <w:pPr>
              <w:pStyle w:val="13"/>
            </w:pPr>
          </w:p>
        </w:tc>
        <w:tc>
          <w:tcPr>
            <w:tcW w:w="2126" w:type="dxa"/>
            <w:vAlign w:val="center"/>
          </w:tcPr>
          <w:p w14:paraId="29A7961E">
            <w:pPr>
              <w:pStyle w:val="14"/>
            </w:pPr>
          </w:p>
        </w:tc>
        <w:tc>
          <w:tcPr>
            <w:tcW w:w="4535" w:type="dxa"/>
            <w:vAlign w:val="center"/>
          </w:tcPr>
          <w:p w14:paraId="797325E1">
            <w:pPr>
              <w:pStyle w:val="13"/>
            </w:pPr>
            <w:r>
              <w:t>十二、城乡社区支出</w:t>
            </w:r>
          </w:p>
        </w:tc>
        <w:tc>
          <w:tcPr>
            <w:tcW w:w="2126" w:type="dxa"/>
            <w:vAlign w:val="center"/>
          </w:tcPr>
          <w:p w14:paraId="6B6E6D78">
            <w:pPr>
              <w:pStyle w:val="14"/>
            </w:pPr>
          </w:p>
        </w:tc>
      </w:tr>
      <w:tr w14:paraId="4C854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EB7F8">
            <w:pPr>
              <w:pStyle w:val="12"/>
            </w:pPr>
            <w:r>
              <w:t>13</w:t>
            </w:r>
          </w:p>
        </w:tc>
        <w:tc>
          <w:tcPr>
            <w:tcW w:w="4535" w:type="dxa"/>
            <w:vAlign w:val="center"/>
          </w:tcPr>
          <w:p w14:paraId="7339A67D">
            <w:pPr>
              <w:pStyle w:val="13"/>
            </w:pPr>
          </w:p>
        </w:tc>
        <w:tc>
          <w:tcPr>
            <w:tcW w:w="2126" w:type="dxa"/>
            <w:vAlign w:val="center"/>
          </w:tcPr>
          <w:p w14:paraId="38122ED8">
            <w:pPr>
              <w:pStyle w:val="14"/>
            </w:pPr>
          </w:p>
        </w:tc>
        <w:tc>
          <w:tcPr>
            <w:tcW w:w="4535" w:type="dxa"/>
            <w:vAlign w:val="center"/>
          </w:tcPr>
          <w:p w14:paraId="76F3EE90">
            <w:pPr>
              <w:pStyle w:val="13"/>
            </w:pPr>
            <w:r>
              <w:t>十三、农林水支出</w:t>
            </w:r>
          </w:p>
        </w:tc>
        <w:tc>
          <w:tcPr>
            <w:tcW w:w="2126" w:type="dxa"/>
            <w:vAlign w:val="center"/>
          </w:tcPr>
          <w:p w14:paraId="55E417B8">
            <w:pPr>
              <w:pStyle w:val="14"/>
            </w:pPr>
          </w:p>
        </w:tc>
      </w:tr>
      <w:tr w14:paraId="08E34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E383A">
            <w:pPr>
              <w:pStyle w:val="12"/>
            </w:pPr>
            <w:r>
              <w:t>14</w:t>
            </w:r>
          </w:p>
        </w:tc>
        <w:tc>
          <w:tcPr>
            <w:tcW w:w="4535" w:type="dxa"/>
            <w:vAlign w:val="center"/>
          </w:tcPr>
          <w:p w14:paraId="35B4A07F">
            <w:pPr>
              <w:pStyle w:val="13"/>
            </w:pPr>
          </w:p>
        </w:tc>
        <w:tc>
          <w:tcPr>
            <w:tcW w:w="2126" w:type="dxa"/>
            <w:vAlign w:val="center"/>
          </w:tcPr>
          <w:p w14:paraId="079689C1">
            <w:pPr>
              <w:pStyle w:val="14"/>
            </w:pPr>
          </w:p>
        </w:tc>
        <w:tc>
          <w:tcPr>
            <w:tcW w:w="4535" w:type="dxa"/>
            <w:vAlign w:val="center"/>
          </w:tcPr>
          <w:p w14:paraId="10318871">
            <w:pPr>
              <w:pStyle w:val="13"/>
            </w:pPr>
            <w:r>
              <w:t>十四、交通运输支出</w:t>
            </w:r>
          </w:p>
        </w:tc>
        <w:tc>
          <w:tcPr>
            <w:tcW w:w="2126" w:type="dxa"/>
            <w:vAlign w:val="center"/>
          </w:tcPr>
          <w:p w14:paraId="51EB50F1">
            <w:pPr>
              <w:pStyle w:val="14"/>
            </w:pPr>
          </w:p>
        </w:tc>
      </w:tr>
      <w:tr w14:paraId="78CAB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E82F2">
            <w:pPr>
              <w:pStyle w:val="12"/>
            </w:pPr>
            <w:r>
              <w:t>15</w:t>
            </w:r>
          </w:p>
        </w:tc>
        <w:tc>
          <w:tcPr>
            <w:tcW w:w="4535" w:type="dxa"/>
            <w:vAlign w:val="center"/>
          </w:tcPr>
          <w:p w14:paraId="05AAA489">
            <w:pPr>
              <w:pStyle w:val="13"/>
            </w:pPr>
          </w:p>
        </w:tc>
        <w:tc>
          <w:tcPr>
            <w:tcW w:w="2126" w:type="dxa"/>
            <w:vAlign w:val="center"/>
          </w:tcPr>
          <w:p w14:paraId="439D4A8E">
            <w:pPr>
              <w:pStyle w:val="14"/>
            </w:pPr>
          </w:p>
        </w:tc>
        <w:tc>
          <w:tcPr>
            <w:tcW w:w="4535" w:type="dxa"/>
            <w:vAlign w:val="center"/>
          </w:tcPr>
          <w:p w14:paraId="3A3E75DE">
            <w:pPr>
              <w:pStyle w:val="13"/>
            </w:pPr>
            <w:r>
              <w:t>十五、资源勘探工业信息等支出</w:t>
            </w:r>
          </w:p>
        </w:tc>
        <w:tc>
          <w:tcPr>
            <w:tcW w:w="2126" w:type="dxa"/>
            <w:vAlign w:val="center"/>
          </w:tcPr>
          <w:p w14:paraId="4471A6D8">
            <w:pPr>
              <w:pStyle w:val="14"/>
            </w:pPr>
          </w:p>
        </w:tc>
      </w:tr>
      <w:tr w14:paraId="2B27E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4CB89">
            <w:pPr>
              <w:pStyle w:val="12"/>
            </w:pPr>
            <w:r>
              <w:t>16</w:t>
            </w:r>
          </w:p>
        </w:tc>
        <w:tc>
          <w:tcPr>
            <w:tcW w:w="4535" w:type="dxa"/>
            <w:vAlign w:val="center"/>
          </w:tcPr>
          <w:p w14:paraId="7CFDCD04">
            <w:pPr>
              <w:pStyle w:val="13"/>
            </w:pPr>
          </w:p>
        </w:tc>
        <w:tc>
          <w:tcPr>
            <w:tcW w:w="2126" w:type="dxa"/>
            <w:vAlign w:val="center"/>
          </w:tcPr>
          <w:p w14:paraId="0D0A922D">
            <w:pPr>
              <w:pStyle w:val="14"/>
            </w:pPr>
          </w:p>
        </w:tc>
        <w:tc>
          <w:tcPr>
            <w:tcW w:w="4535" w:type="dxa"/>
            <w:vAlign w:val="center"/>
          </w:tcPr>
          <w:p w14:paraId="1D7B8075">
            <w:pPr>
              <w:pStyle w:val="13"/>
            </w:pPr>
            <w:r>
              <w:t>十六、商业服务业等支出</w:t>
            </w:r>
          </w:p>
        </w:tc>
        <w:tc>
          <w:tcPr>
            <w:tcW w:w="2126" w:type="dxa"/>
            <w:vAlign w:val="center"/>
          </w:tcPr>
          <w:p w14:paraId="7E896EF2">
            <w:pPr>
              <w:pStyle w:val="14"/>
            </w:pPr>
          </w:p>
        </w:tc>
      </w:tr>
      <w:tr w14:paraId="47D0C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AA6A5">
            <w:pPr>
              <w:pStyle w:val="12"/>
            </w:pPr>
            <w:r>
              <w:t>17</w:t>
            </w:r>
          </w:p>
        </w:tc>
        <w:tc>
          <w:tcPr>
            <w:tcW w:w="4535" w:type="dxa"/>
            <w:vAlign w:val="center"/>
          </w:tcPr>
          <w:p w14:paraId="19D190B4">
            <w:pPr>
              <w:pStyle w:val="13"/>
            </w:pPr>
          </w:p>
        </w:tc>
        <w:tc>
          <w:tcPr>
            <w:tcW w:w="2126" w:type="dxa"/>
            <w:vAlign w:val="center"/>
          </w:tcPr>
          <w:p w14:paraId="25460B25">
            <w:pPr>
              <w:pStyle w:val="14"/>
            </w:pPr>
          </w:p>
        </w:tc>
        <w:tc>
          <w:tcPr>
            <w:tcW w:w="4535" w:type="dxa"/>
            <w:vAlign w:val="center"/>
          </w:tcPr>
          <w:p w14:paraId="05ACBFE9">
            <w:pPr>
              <w:pStyle w:val="13"/>
            </w:pPr>
            <w:r>
              <w:t>十七、金融支出</w:t>
            </w:r>
          </w:p>
        </w:tc>
        <w:tc>
          <w:tcPr>
            <w:tcW w:w="2126" w:type="dxa"/>
            <w:vAlign w:val="center"/>
          </w:tcPr>
          <w:p w14:paraId="641369ED">
            <w:pPr>
              <w:pStyle w:val="14"/>
            </w:pPr>
          </w:p>
        </w:tc>
      </w:tr>
      <w:tr w14:paraId="70703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7D824">
            <w:pPr>
              <w:pStyle w:val="12"/>
            </w:pPr>
            <w:r>
              <w:t>18</w:t>
            </w:r>
          </w:p>
        </w:tc>
        <w:tc>
          <w:tcPr>
            <w:tcW w:w="4535" w:type="dxa"/>
            <w:vAlign w:val="center"/>
          </w:tcPr>
          <w:p w14:paraId="0C1343F3">
            <w:pPr>
              <w:pStyle w:val="13"/>
            </w:pPr>
          </w:p>
        </w:tc>
        <w:tc>
          <w:tcPr>
            <w:tcW w:w="2126" w:type="dxa"/>
            <w:vAlign w:val="center"/>
          </w:tcPr>
          <w:p w14:paraId="77441DBC">
            <w:pPr>
              <w:pStyle w:val="14"/>
            </w:pPr>
          </w:p>
        </w:tc>
        <w:tc>
          <w:tcPr>
            <w:tcW w:w="4535" w:type="dxa"/>
            <w:vAlign w:val="center"/>
          </w:tcPr>
          <w:p w14:paraId="7A12CC50">
            <w:pPr>
              <w:pStyle w:val="13"/>
            </w:pPr>
            <w:r>
              <w:t>十八、援助其他地区支出</w:t>
            </w:r>
          </w:p>
        </w:tc>
        <w:tc>
          <w:tcPr>
            <w:tcW w:w="2126" w:type="dxa"/>
            <w:vAlign w:val="center"/>
          </w:tcPr>
          <w:p w14:paraId="376CCFF7">
            <w:pPr>
              <w:pStyle w:val="14"/>
            </w:pPr>
          </w:p>
        </w:tc>
      </w:tr>
      <w:tr w14:paraId="56186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BFD4B">
            <w:pPr>
              <w:pStyle w:val="12"/>
            </w:pPr>
            <w:r>
              <w:t>19</w:t>
            </w:r>
          </w:p>
        </w:tc>
        <w:tc>
          <w:tcPr>
            <w:tcW w:w="4535" w:type="dxa"/>
            <w:vAlign w:val="center"/>
          </w:tcPr>
          <w:p w14:paraId="15B64A88">
            <w:pPr>
              <w:pStyle w:val="13"/>
            </w:pPr>
          </w:p>
        </w:tc>
        <w:tc>
          <w:tcPr>
            <w:tcW w:w="2126" w:type="dxa"/>
            <w:vAlign w:val="center"/>
          </w:tcPr>
          <w:p w14:paraId="4452C7BC">
            <w:pPr>
              <w:pStyle w:val="14"/>
            </w:pPr>
          </w:p>
        </w:tc>
        <w:tc>
          <w:tcPr>
            <w:tcW w:w="4535" w:type="dxa"/>
            <w:vAlign w:val="center"/>
          </w:tcPr>
          <w:p w14:paraId="45DBFC98">
            <w:pPr>
              <w:pStyle w:val="13"/>
            </w:pPr>
            <w:r>
              <w:t>十九、自然资源海洋气象等支出</w:t>
            </w:r>
          </w:p>
        </w:tc>
        <w:tc>
          <w:tcPr>
            <w:tcW w:w="2126" w:type="dxa"/>
            <w:vAlign w:val="center"/>
          </w:tcPr>
          <w:p w14:paraId="2E15D10E">
            <w:pPr>
              <w:pStyle w:val="14"/>
            </w:pPr>
          </w:p>
        </w:tc>
      </w:tr>
      <w:tr w14:paraId="05B09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C64F1">
            <w:pPr>
              <w:pStyle w:val="12"/>
            </w:pPr>
            <w:r>
              <w:t>20</w:t>
            </w:r>
          </w:p>
        </w:tc>
        <w:tc>
          <w:tcPr>
            <w:tcW w:w="4535" w:type="dxa"/>
            <w:vAlign w:val="center"/>
          </w:tcPr>
          <w:p w14:paraId="34475482">
            <w:pPr>
              <w:pStyle w:val="13"/>
            </w:pPr>
          </w:p>
        </w:tc>
        <w:tc>
          <w:tcPr>
            <w:tcW w:w="2126" w:type="dxa"/>
            <w:vAlign w:val="center"/>
          </w:tcPr>
          <w:p w14:paraId="1602FDF0">
            <w:pPr>
              <w:pStyle w:val="14"/>
            </w:pPr>
          </w:p>
        </w:tc>
        <w:tc>
          <w:tcPr>
            <w:tcW w:w="4535" w:type="dxa"/>
            <w:vAlign w:val="center"/>
          </w:tcPr>
          <w:p w14:paraId="11239F5B">
            <w:pPr>
              <w:pStyle w:val="13"/>
            </w:pPr>
            <w:r>
              <w:t>二十、住房保障支出</w:t>
            </w:r>
          </w:p>
        </w:tc>
        <w:tc>
          <w:tcPr>
            <w:tcW w:w="2126" w:type="dxa"/>
            <w:vAlign w:val="center"/>
          </w:tcPr>
          <w:p w14:paraId="398F0BC4">
            <w:pPr>
              <w:pStyle w:val="14"/>
            </w:pPr>
          </w:p>
        </w:tc>
      </w:tr>
      <w:tr w14:paraId="2F2B8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5310F">
            <w:pPr>
              <w:pStyle w:val="12"/>
            </w:pPr>
            <w:r>
              <w:t>21</w:t>
            </w:r>
          </w:p>
        </w:tc>
        <w:tc>
          <w:tcPr>
            <w:tcW w:w="4535" w:type="dxa"/>
            <w:vAlign w:val="center"/>
          </w:tcPr>
          <w:p w14:paraId="661D2B55">
            <w:pPr>
              <w:pStyle w:val="13"/>
            </w:pPr>
          </w:p>
        </w:tc>
        <w:tc>
          <w:tcPr>
            <w:tcW w:w="2126" w:type="dxa"/>
            <w:vAlign w:val="center"/>
          </w:tcPr>
          <w:p w14:paraId="3775D770">
            <w:pPr>
              <w:pStyle w:val="14"/>
            </w:pPr>
          </w:p>
        </w:tc>
        <w:tc>
          <w:tcPr>
            <w:tcW w:w="4535" w:type="dxa"/>
            <w:vAlign w:val="center"/>
          </w:tcPr>
          <w:p w14:paraId="5F9D3934">
            <w:pPr>
              <w:pStyle w:val="13"/>
            </w:pPr>
            <w:r>
              <w:t>二十一、粮油物资储备支出</w:t>
            </w:r>
          </w:p>
        </w:tc>
        <w:tc>
          <w:tcPr>
            <w:tcW w:w="2126" w:type="dxa"/>
            <w:vAlign w:val="center"/>
          </w:tcPr>
          <w:p w14:paraId="39803105">
            <w:pPr>
              <w:pStyle w:val="14"/>
            </w:pPr>
          </w:p>
        </w:tc>
      </w:tr>
      <w:tr w14:paraId="1C437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05F09">
            <w:pPr>
              <w:pStyle w:val="12"/>
            </w:pPr>
            <w:r>
              <w:t>22</w:t>
            </w:r>
          </w:p>
        </w:tc>
        <w:tc>
          <w:tcPr>
            <w:tcW w:w="4535" w:type="dxa"/>
            <w:vAlign w:val="center"/>
          </w:tcPr>
          <w:p w14:paraId="135E7671">
            <w:pPr>
              <w:pStyle w:val="13"/>
            </w:pPr>
          </w:p>
        </w:tc>
        <w:tc>
          <w:tcPr>
            <w:tcW w:w="2126" w:type="dxa"/>
            <w:vAlign w:val="center"/>
          </w:tcPr>
          <w:p w14:paraId="57DE4A1F">
            <w:pPr>
              <w:pStyle w:val="14"/>
            </w:pPr>
          </w:p>
        </w:tc>
        <w:tc>
          <w:tcPr>
            <w:tcW w:w="4535" w:type="dxa"/>
            <w:vAlign w:val="center"/>
          </w:tcPr>
          <w:p w14:paraId="1E015393">
            <w:pPr>
              <w:pStyle w:val="13"/>
            </w:pPr>
            <w:r>
              <w:t>二十二、国有资本经营预算支出</w:t>
            </w:r>
          </w:p>
        </w:tc>
        <w:tc>
          <w:tcPr>
            <w:tcW w:w="2126" w:type="dxa"/>
            <w:vAlign w:val="center"/>
          </w:tcPr>
          <w:p w14:paraId="15A651C7">
            <w:pPr>
              <w:pStyle w:val="14"/>
            </w:pPr>
          </w:p>
        </w:tc>
      </w:tr>
      <w:tr w14:paraId="71602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6605F">
            <w:pPr>
              <w:pStyle w:val="12"/>
            </w:pPr>
            <w:r>
              <w:t>23</w:t>
            </w:r>
          </w:p>
        </w:tc>
        <w:tc>
          <w:tcPr>
            <w:tcW w:w="4535" w:type="dxa"/>
            <w:vAlign w:val="center"/>
          </w:tcPr>
          <w:p w14:paraId="4B00DEB5">
            <w:pPr>
              <w:pStyle w:val="13"/>
            </w:pPr>
          </w:p>
        </w:tc>
        <w:tc>
          <w:tcPr>
            <w:tcW w:w="2126" w:type="dxa"/>
            <w:vAlign w:val="center"/>
          </w:tcPr>
          <w:p w14:paraId="6ADD4039">
            <w:pPr>
              <w:pStyle w:val="14"/>
            </w:pPr>
          </w:p>
        </w:tc>
        <w:tc>
          <w:tcPr>
            <w:tcW w:w="4535" w:type="dxa"/>
            <w:vAlign w:val="center"/>
          </w:tcPr>
          <w:p w14:paraId="504F9A19">
            <w:pPr>
              <w:pStyle w:val="13"/>
            </w:pPr>
            <w:r>
              <w:t>二十三、灾害防治及应急管理支出</w:t>
            </w:r>
          </w:p>
        </w:tc>
        <w:tc>
          <w:tcPr>
            <w:tcW w:w="2126" w:type="dxa"/>
            <w:vAlign w:val="center"/>
          </w:tcPr>
          <w:p w14:paraId="7DCE3AF0">
            <w:pPr>
              <w:pStyle w:val="14"/>
            </w:pPr>
          </w:p>
        </w:tc>
      </w:tr>
      <w:tr w14:paraId="119C2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317D2">
            <w:pPr>
              <w:pStyle w:val="12"/>
            </w:pPr>
            <w:r>
              <w:t>24</w:t>
            </w:r>
          </w:p>
        </w:tc>
        <w:tc>
          <w:tcPr>
            <w:tcW w:w="4535" w:type="dxa"/>
            <w:vAlign w:val="center"/>
          </w:tcPr>
          <w:p w14:paraId="494CAFE6">
            <w:pPr>
              <w:pStyle w:val="13"/>
            </w:pPr>
          </w:p>
        </w:tc>
        <w:tc>
          <w:tcPr>
            <w:tcW w:w="2126" w:type="dxa"/>
            <w:vAlign w:val="center"/>
          </w:tcPr>
          <w:p w14:paraId="6AC16925">
            <w:pPr>
              <w:pStyle w:val="14"/>
            </w:pPr>
          </w:p>
        </w:tc>
        <w:tc>
          <w:tcPr>
            <w:tcW w:w="4535" w:type="dxa"/>
            <w:vAlign w:val="center"/>
          </w:tcPr>
          <w:p w14:paraId="3EA6F0B6">
            <w:pPr>
              <w:pStyle w:val="13"/>
            </w:pPr>
            <w:r>
              <w:t>二十四、预备费</w:t>
            </w:r>
          </w:p>
        </w:tc>
        <w:tc>
          <w:tcPr>
            <w:tcW w:w="2126" w:type="dxa"/>
            <w:vAlign w:val="center"/>
          </w:tcPr>
          <w:p w14:paraId="35CBE72A">
            <w:pPr>
              <w:pStyle w:val="14"/>
            </w:pPr>
          </w:p>
        </w:tc>
      </w:tr>
      <w:tr w14:paraId="4BC7B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9212D">
            <w:pPr>
              <w:pStyle w:val="12"/>
            </w:pPr>
            <w:r>
              <w:t>25</w:t>
            </w:r>
          </w:p>
        </w:tc>
        <w:tc>
          <w:tcPr>
            <w:tcW w:w="4535" w:type="dxa"/>
            <w:vAlign w:val="center"/>
          </w:tcPr>
          <w:p w14:paraId="20B3A118">
            <w:pPr>
              <w:pStyle w:val="13"/>
            </w:pPr>
          </w:p>
        </w:tc>
        <w:tc>
          <w:tcPr>
            <w:tcW w:w="2126" w:type="dxa"/>
            <w:vAlign w:val="center"/>
          </w:tcPr>
          <w:p w14:paraId="3DD67DEC">
            <w:pPr>
              <w:pStyle w:val="14"/>
            </w:pPr>
          </w:p>
        </w:tc>
        <w:tc>
          <w:tcPr>
            <w:tcW w:w="4535" w:type="dxa"/>
            <w:vAlign w:val="center"/>
          </w:tcPr>
          <w:p w14:paraId="1E75C1D9">
            <w:pPr>
              <w:pStyle w:val="13"/>
            </w:pPr>
            <w:r>
              <w:t>二十五、其他支出</w:t>
            </w:r>
          </w:p>
        </w:tc>
        <w:tc>
          <w:tcPr>
            <w:tcW w:w="2126" w:type="dxa"/>
            <w:vAlign w:val="center"/>
          </w:tcPr>
          <w:p w14:paraId="083E977B">
            <w:pPr>
              <w:pStyle w:val="14"/>
            </w:pPr>
          </w:p>
        </w:tc>
      </w:tr>
      <w:tr w14:paraId="3B59F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BCD02">
            <w:pPr>
              <w:pStyle w:val="12"/>
            </w:pPr>
            <w:r>
              <w:t>26</w:t>
            </w:r>
          </w:p>
        </w:tc>
        <w:tc>
          <w:tcPr>
            <w:tcW w:w="4535" w:type="dxa"/>
            <w:vAlign w:val="center"/>
          </w:tcPr>
          <w:p w14:paraId="7CCB98DD">
            <w:pPr>
              <w:pStyle w:val="13"/>
            </w:pPr>
          </w:p>
        </w:tc>
        <w:tc>
          <w:tcPr>
            <w:tcW w:w="2126" w:type="dxa"/>
            <w:vAlign w:val="center"/>
          </w:tcPr>
          <w:p w14:paraId="6BA293ED">
            <w:pPr>
              <w:pStyle w:val="14"/>
            </w:pPr>
          </w:p>
        </w:tc>
        <w:tc>
          <w:tcPr>
            <w:tcW w:w="4535" w:type="dxa"/>
            <w:vAlign w:val="center"/>
          </w:tcPr>
          <w:p w14:paraId="261AD984">
            <w:pPr>
              <w:pStyle w:val="13"/>
            </w:pPr>
            <w:r>
              <w:t>二十六、转移性支出</w:t>
            </w:r>
          </w:p>
        </w:tc>
        <w:tc>
          <w:tcPr>
            <w:tcW w:w="2126" w:type="dxa"/>
            <w:vAlign w:val="center"/>
          </w:tcPr>
          <w:p w14:paraId="45F4E86E">
            <w:pPr>
              <w:pStyle w:val="14"/>
            </w:pPr>
          </w:p>
        </w:tc>
      </w:tr>
      <w:tr w14:paraId="6A5DC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B33C3">
            <w:pPr>
              <w:pStyle w:val="12"/>
            </w:pPr>
            <w:r>
              <w:t>27</w:t>
            </w:r>
          </w:p>
        </w:tc>
        <w:tc>
          <w:tcPr>
            <w:tcW w:w="4535" w:type="dxa"/>
            <w:vAlign w:val="center"/>
          </w:tcPr>
          <w:p w14:paraId="2FD8B56A">
            <w:pPr>
              <w:pStyle w:val="13"/>
            </w:pPr>
          </w:p>
        </w:tc>
        <w:tc>
          <w:tcPr>
            <w:tcW w:w="2126" w:type="dxa"/>
            <w:vAlign w:val="center"/>
          </w:tcPr>
          <w:p w14:paraId="45CDBDA7">
            <w:pPr>
              <w:pStyle w:val="14"/>
            </w:pPr>
          </w:p>
        </w:tc>
        <w:tc>
          <w:tcPr>
            <w:tcW w:w="4535" w:type="dxa"/>
            <w:vAlign w:val="center"/>
          </w:tcPr>
          <w:p w14:paraId="4ACA7C0D">
            <w:pPr>
              <w:pStyle w:val="13"/>
            </w:pPr>
            <w:r>
              <w:t>二十七、债务还本支出</w:t>
            </w:r>
          </w:p>
        </w:tc>
        <w:tc>
          <w:tcPr>
            <w:tcW w:w="2126" w:type="dxa"/>
            <w:vAlign w:val="center"/>
          </w:tcPr>
          <w:p w14:paraId="51DE56B0">
            <w:pPr>
              <w:pStyle w:val="14"/>
            </w:pPr>
          </w:p>
        </w:tc>
      </w:tr>
      <w:tr w14:paraId="6E16D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0C763">
            <w:pPr>
              <w:pStyle w:val="12"/>
            </w:pPr>
            <w:r>
              <w:t>28</w:t>
            </w:r>
          </w:p>
        </w:tc>
        <w:tc>
          <w:tcPr>
            <w:tcW w:w="4535" w:type="dxa"/>
            <w:vAlign w:val="center"/>
          </w:tcPr>
          <w:p w14:paraId="16D817C7">
            <w:pPr>
              <w:pStyle w:val="13"/>
            </w:pPr>
          </w:p>
        </w:tc>
        <w:tc>
          <w:tcPr>
            <w:tcW w:w="2126" w:type="dxa"/>
            <w:vAlign w:val="center"/>
          </w:tcPr>
          <w:p w14:paraId="58017D18">
            <w:pPr>
              <w:pStyle w:val="14"/>
            </w:pPr>
          </w:p>
        </w:tc>
        <w:tc>
          <w:tcPr>
            <w:tcW w:w="4535" w:type="dxa"/>
            <w:vAlign w:val="center"/>
          </w:tcPr>
          <w:p w14:paraId="14649A36">
            <w:pPr>
              <w:pStyle w:val="13"/>
            </w:pPr>
            <w:r>
              <w:t>二十八、债务付息支出</w:t>
            </w:r>
          </w:p>
        </w:tc>
        <w:tc>
          <w:tcPr>
            <w:tcW w:w="2126" w:type="dxa"/>
            <w:vAlign w:val="center"/>
          </w:tcPr>
          <w:p w14:paraId="0D1C05AE">
            <w:pPr>
              <w:pStyle w:val="14"/>
            </w:pPr>
          </w:p>
        </w:tc>
      </w:tr>
      <w:tr w14:paraId="5C94F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4C506">
            <w:pPr>
              <w:pStyle w:val="12"/>
            </w:pPr>
            <w:r>
              <w:t>29</w:t>
            </w:r>
          </w:p>
        </w:tc>
        <w:tc>
          <w:tcPr>
            <w:tcW w:w="4535" w:type="dxa"/>
            <w:vAlign w:val="center"/>
          </w:tcPr>
          <w:p w14:paraId="11B06699">
            <w:pPr>
              <w:pStyle w:val="13"/>
            </w:pPr>
          </w:p>
        </w:tc>
        <w:tc>
          <w:tcPr>
            <w:tcW w:w="2126" w:type="dxa"/>
            <w:vAlign w:val="center"/>
          </w:tcPr>
          <w:p w14:paraId="5FF99C8F">
            <w:pPr>
              <w:pStyle w:val="14"/>
            </w:pPr>
          </w:p>
        </w:tc>
        <w:tc>
          <w:tcPr>
            <w:tcW w:w="4535" w:type="dxa"/>
            <w:vAlign w:val="center"/>
          </w:tcPr>
          <w:p w14:paraId="39881E40">
            <w:pPr>
              <w:pStyle w:val="13"/>
            </w:pPr>
            <w:r>
              <w:t>二十九、债务发行费用支出</w:t>
            </w:r>
          </w:p>
        </w:tc>
        <w:tc>
          <w:tcPr>
            <w:tcW w:w="2126" w:type="dxa"/>
            <w:vAlign w:val="center"/>
          </w:tcPr>
          <w:p w14:paraId="117CABCB">
            <w:pPr>
              <w:pStyle w:val="14"/>
            </w:pPr>
          </w:p>
        </w:tc>
      </w:tr>
      <w:tr w14:paraId="4CB03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B7782">
            <w:pPr>
              <w:pStyle w:val="12"/>
            </w:pPr>
            <w:r>
              <w:t>30</w:t>
            </w:r>
          </w:p>
        </w:tc>
        <w:tc>
          <w:tcPr>
            <w:tcW w:w="4535" w:type="dxa"/>
            <w:vAlign w:val="center"/>
          </w:tcPr>
          <w:p w14:paraId="1C835C71">
            <w:pPr>
              <w:pStyle w:val="13"/>
            </w:pPr>
          </w:p>
        </w:tc>
        <w:tc>
          <w:tcPr>
            <w:tcW w:w="2126" w:type="dxa"/>
            <w:vAlign w:val="center"/>
          </w:tcPr>
          <w:p w14:paraId="35B35859">
            <w:pPr>
              <w:pStyle w:val="14"/>
            </w:pPr>
          </w:p>
        </w:tc>
        <w:tc>
          <w:tcPr>
            <w:tcW w:w="4535" w:type="dxa"/>
            <w:vAlign w:val="center"/>
          </w:tcPr>
          <w:p w14:paraId="3E63C59C">
            <w:pPr>
              <w:pStyle w:val="13"/>
            </w:pPr>
            <w:r>
              <w:t>三十、抗疫特别国债安排的支出</w:t>
            </w:r>
          </w:p>
        </w:tc>
        <w:tc>
          <w:tcPr>
            <w:tcW w:w="2126" w:type="dxa"/>
            <w:vAlign w:val="center"/>
          </w:tcPr>
          <w:p w14:paraId="57DDF1EC">
            <w:pPr>
              <w:pStyle w:val="14"/>
            </w:pPr>
          </w:p>
        </w:tc>
      </w:tr>
      <w:tr w14:paraId="3071F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DE184">
            <w:pPr>
              <w:pStyle w:val="12"/>
            </w:pPr>
            <w:r>
              <w:t>31</w:t>
            </w:r>
          </w:p>
        </w:tc>
        <w:tc>
          <w:tcPr>
            <w:tcW w:w="4535" w:type="dxa"/>
            <w:vAlign w:val="center"/>
          </w:tcPr>
          <w:p w14:paraId="014BA355">
            <w:pPr>
              <w:pStyle w:val="13"/>
            </w:pPr>
          </w:p>
        </w:tc>
        <w:tc>
          <w:tcPr>
            <w:tcW w:w="2126" w:type="dxa"/>
            <w:vAlign w:val="center"/>
          </w:tcPr>
          <w:p w14:paraId="44016196">
            <w:pPr>
              <w:pStyle w:val="14"/>
            </w:pPr>
          </w:p>
        </w:tc>
        <w:tc>
          <w:tcPr>
            <w:tcW w:w="4535" w:type="dxa"/>
            <w:vAlign w:val="center"/>
          </w:tcPr>
          <w:p w14:paraId="1082E85F">
            <w:pPr>
              <w:pStyle w:val="13"/>
            </w:pPr>
            <w:r>
              <w:t>三十一、人行科目</w:t>
            </w:r>
          </w:p>
        </w:tc>
        <w:tc>
          <w:tcPr>
            <w:tcW w:w="2126" w:type="dxa"/>
            <w:vAlign w:val="center"/>
          </w:tcPr>
          <w:p w14:paraId="5CF7BF70">
            <w:pPr>
              <w:pStyle w:val="14"/>
            </w:pPr>
          </w:p>
        </w:tc>
      </w:tr>
      <w:tr w14:paraId="2A745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4062B">
            <w:pPr>
              <w:pStyle w:val="12"/>
            </w:pPr>
            <w:r>
              <w:t>32</w:t>
            </w:r>
          </w:p>
        </w:tc>
        <w:tc>
          <w:tcPr>
            <w:tcW w:w="4535" w:type="dxa"/>
            <w:vAlign w:val="center"/>
          </w:tcPr>
          <w:p w14:paraId="6F02D871">
            <w:pPr>
              <w:pStyle w:val="15"/>
            </w:pPr>
            <w:r>
              <w:t>本年收入合计</w:t>
            </w:r>
          </w:p>
        </w:tc>
        <w:tc>
          <w:tcPr>
            <w:tcW w:w="2126" w:type="dxa"/>
            <w:vAlign w:val="center"/>
          </w:tcPr>
          <w:p w14:paraId="44D6B8C9">
            <w:pPr>
              <w:pStyle w:val="16"/>
            </w:pPr>
            <w:r>
              <w:t>1993.80</w:t>
            </w:r>
          </w:p>
        </w:tc>
        <w:tc>
          <w:tcPr>
            <w:tcW w:w="4535" w:type="dxa"/>
            <w:vAlign w:val="center"/>
          </w:tcPr>
          <w:p w14:paraId="4216C314">
            <w:pPr>
              <w:pStyle w:val="15"/>
            </w:pPr>
            <w:r>
              <w:t>本年支出合计</w:t>
            </w:r>
          </w:p>
        </w:tc>
        <w:tc>
          <w:tcPr>
            <w:tcW w:w="2126" w:type="dxa"/>
            <w:vAlign w:val="center"/>
          </w:tcPr>
          <w:p w14:paraId="2352A613">
            <w:pPr>
              <w:pStyle w:val="16"/>
            </w:pPr>
            <w:r>
              <w:t>1993.80</w:t>
            </w:r>
          </w:p>
        </w:tc>
      </w:tr>
      <w:tr w14:paraId="44F4F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AD411">
            <w:pPr>
              <w:pStyle w:val="12"/>
            </w:pPr>
            <w:r>
              <w:t>33</w:t>
            </w:r>
          </w:p>
        </w:tc>
        <w:tc>
          <w:tcPr>
            <w:tcW w:w="4535" w:type="dxa"/>
            <w:vAlign w:val="center"/>
          </w:tcPr>
          <w:p w14:paraId="796D88AB">
            <w:pPr>
              <w:pStyle w:val="13"/>
            </w:pPr>
            <w:r>
              <w:t>上年结转结余</w:t>
            </w:r>
          </w:p>
        </w:tc>
        <w:tc>
          <w:tcPr>
            <w:tcW w:w="2126" w:type="dxa"/>
            <w:vAlign w:val="center"/>
          </w:tcPr>
          <w:p w14:paraId="1A19388E">
            <w:pPr>
              <w:pStyle w:val="14"/>
            </w:pPr>
          </w:p>
        </w:tc>
        <w:tc>
          <w:tcPr>
            <w:tcW w:w="4535" w:type="dxa"/>
            <w:vAlign w:val="center"/>
          </w:tcPr>
          <w:p w14:paraId="6C1A4722">
            <w:pPr>
              <w:pStyle w:val="13"/>
            </w:pPr>
            <w:r>
              <w:t>年终结转结余</w:t>
            </w:r>
          </w:p>
        </w:tc>
        <w:tc>
          <w:tcPr>
            <w:tcW w:w="2126" w:type="dxa"/>
            <w:vAlign w:val="center"/>
          </w:tcPr>
          <w:p w14:paraId="5BC06426">
            <w:pPr>
              <w:pStyle w:val="14"/>
            </w:pPr>
          </w:p>
        </w:tc>
      </w:tr>
      <w:tr w14:paraId="598E9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05BB8">
            <w:pPr>
              <w:pStyle w:val="12"/>
            </w:pPr>
            <w:r>
              <w:t>34</w:t>
            </w:r>
          </w:p>
        </w:tc>
        <w:tc>
          <w:tcPr>
            <w:tcW w:w="4535" w:type="dxa"/>
            <w:vAlign w:val="center"/>
          </w:tcPr>
          <w:p w14:paraId="5F9457EF">
            <w:pPr>
              <w:pStyle w:val="15"/>
            </w:pPr>
            <w:r>
              <w:t>收入总计</w:t>
            </w:r>
          </w:p>
        </w:tc>
        <w:tc>
          <w:tcPr>
            <w:tcW w:w="2126" w:type="dxa"/>
            <w:vAlign w:val="center"/>
          </w:tcPr>
          <w:p w14:paraId="23A1FC1D">
            <w:pPr>
              <w:pStyle w:val="16"/>
            </w:pPr>
            <w:r>
              <w:t>1993.80</w:t>
            </w:r>
          </w:p>
        </w:tc>
        <w:tc>
          <w:tcPr>
            <w:tcW w:w="4535" w:type="dxa"/>
            <w:vAlign w:val="center"/>
          </w:tcPr>
          <w:p w14:paraId="2904ADDB">
            <w:pPr>
              <w:pStyle w:val="15"/>
            </w:pPr>
            <w:r>
              <w:t>支出总计</w:t>
            </w:r>
          </w:p>
        </w:tc>
        <w:tc>
          <w:tcPr>
            <w:tcW w:w="2126" w:type="dxa"/>
            <w:vAlign w:val="center"/>
          </w:tcPr>
          <w:p w14:paraId="016BE5E1">
            <w:pPr>
              <w:pStyle w:val="16"/>
            </w:pPr>
            <w:r>
              <w:t>1993.80</w:t>
            </w:r>
          </w:p>
        </w:tc>
      </w:tr>
    </w:tbl>
    <w:p w14:paraId="54F3BBEC">
      <w:pPr>
        <w:sectPr>
          <w:pgSz w:w="16840" w:h="11900" w:orient="landscape"/>
          <w:pgMar w:top="1361" w:right="1020" w:bottom="1134" w:left="1020" w:header="720" w:footer="720" w:gutter="0"/>
          <w:cols w:space="720" w:num="1"/>
        </w:sectPr>
      </w:pPr>
    </w:p>
    <w:p w14:paraId="4082F8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CF5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D7B4DF">
            <w:pPr>
              <w:pStyle w:val="8"/>
            </w:pPr>
            <w:r>
              <w:t>360025隆尧县千户营校区</w:t>
            </w:r>
          </w:p>
        </w:tc>
        <w:tc>
          <w:tcPr>
            <w:tcW w:w="3402" w:type="dxa"/>
            <w:gridSpan w:val="3"/>
            <w:tcBorders>
              <w:top w:val="single" w:color="FFFFFF" w:sz="6" w:space="0"/>
              <w:left w:val="single" w:color="FFFFFF" w:sz="6" w:space="0"/>
              <w:right w:val="single" w:color="FFFFFF" w:sz="6" w:space="0"/>
            </w:tcBorders>
            <w:vAlign w:val="center"/>
          </w:tcPr>
          <w:p w14:paraId="01DCC92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D9A92A3">
            <w:pPr>
              <w:pStyle w:val="10"/>
            </w:pPr>
            <w:r>
              <w:t>单位：万元</w:t>
            </w:r>
          </w:p>
        </w:tc>
      </w:tr>
      <w:tr w14:paraId="0CA82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F8BA17">
            <w:pPr>
              <w:pStyle w:val="11"/>
            </w:pPr>
            <w:r>
              <w:t>序号</w:t>
            </w:r>
          </w:p>
        </w:tc>
        <w:tc>
          <w:tcPr>
            <w:tcW w:w="2551" w:type="dxa"/>
            <w:gridSpan w:val="2"/>
            <w:vAlign w:val="center"/>
          </w:tcPr>
          <w:p w14:paraId="50BA1CEF">
            <w:pPr>
              <w:pStyle w:val="11"/>
            </w:pPr>
            <w:r>
              <w:t>功能分类科目</w:t>
            </w:r>
          </w:p>
        </w:tc>
        <w:tc>
          <w:tcPr>
            <w:tcW w:w="1134" w:type="dxa"/>
            <w:vMerge w:val="restart"/>
            <w:vAlign w:val="center"/>
          </w:tcPr>
          <w:p w14:paraId="56B8B3FB">
            <w:pPr>
              <w:pStyle w:val="11"/>
            </w:pPr>
            <w:r>
              <w:t>合计</w:t>
            </w:r>
          </w:p>
        </w:tc>
        <w:tc>
          <w:tcPr>
            <w:tcW w:w="9072" w:type="dxa"/>
            <w:gridSpan w:val="8"/>
            <w:vAlign w:val="center"/>
          </w:tcPr>
          <w:p w14:paraId="2D56C68C">
            <w:pPr>
              <w:pStyle w:val="11"/>
            </w:pPr>
            <w:r>
              <w:t>本年收入</w:t>
            </w:r>
          </w:p>
        </w:tc>
        <w:tc>
          <w:tcPr>
            <w:tcW w:w="1134" w:type="dxa"/>
            <w:vMerge w:val="restart"/>
            <w:vAlign w:val="center"/>
          </w:tcPr>
          <w:p w14:paraId="03BB9AD0">
            <w:pPr>
              <w:pStyle w:val="11"/>
            </w:pPr>
            <w:r>
              <w:t>上年结转</w:t>
            </w:r>
          </w:p>
        </w:tc>
      </w:tr>
      <w:tr w14:paraId="79F38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A98F25"/>
        </w:tc>
        <w:tc>
          <w:tcPr>
            <w:tcW w:w="992" w:type="dxa"/>
            <w:vAlign w:val="center"/>
          </w:tcPr>
          <w:p w14:paraId="3C8F79A4">
            <w:pPr>
              <w:pStyle w:val="11"/>
            </w:pPr>
            <w:r>
              <w:t>科目    编码</w:t>
            </w:r>
          </w:p>
        </w:tc>
        <w:tc>
          <w:tcPr>
            <w:tcW w:w="1559" w:type="dxa"/>
            <w:vAlign w:val="center"/>
          </w:tcPr>
          <w:p w14:paraId="5A4B1F32">
            <w:pPr>
              <w:pStyle w:val="11"/>
            </w:pPr>
            <w:r>
              <w:t>科目名称</w:t>
            </w:r>
          </w:p>
        </w:tc>
        <w:tc>
          <w:tcPr>
            <w:tcW w:w="1134" w:type="dxa"/>
            <w:vMerge w:val="continue"/>
          </w:tcPr>
          <w:p w14:paraId="0AF3D309"/>
        </w:tc>
        <w:tc>
          <w:tcPr>
            <w:tcW w:w="1134" w:type="dxa"/>
            <w:vAlign w:val="center"/>
          </w:tcPr>
          <w:p w14:paraId="6CBB64D6">
            <w:pPr>
              <w:pStyle w:val="11"/>
            </w:pPr>
            <w:r>
              <w:t>小计</w:t>
            </w:r>
          </w:p>
        </w:tc>
        <w:tc>
          <w:tcPr>
            <w:tcW w:w="1134" w:type="dxa"/>
            <w:vAlign w:val="center"/>
          </w:tcPr>
          <w:p w14:paraId="310A23A1">
            <w:pPr>
              <w:pStyle w:val="11"/>
            </w:pPr>
            <w:r>
              <w:t>财政拨款 收入</w:t>
            </w:r>
          </w:p>
        </w:tc>
        <w:tc>
          <w:tcPr>
            <w:tcW w:w="1134" w:type="dxa"/>
            <w:vAlign w:val="center"/>
          </w:tcPr>
          <w:p w14:paraId="513E30D6">
            <w:pPr>
              <w:pStyle w:val="11"/>
            </w:pPr>
            <w:r>
              <w:t>财政专户 收入</w:t>
            </w:r>
          </w:p>
        </w:tc>
        <w:tc>
          <w:tcPr>
            <w:tcW w:w="1134" w:type="dxa"/>
            <w:vAlign w:val="center"/>
          </w:tcPr>
          <w:p w14:paraId="18BA7CF2">
            <w:pPr>
              <w:pStyle w:val="11"/>
            </w:pPr>
            <w:r>
              <w:t>事业收入</w:t>
            </w:r>
          </w:p>
        </w:tc>
        <w:tc>
          <w:tcPr>
            <w:tcW w:w="1134" w:type="dxa"/>
            <w:vAlign w:val="center"/>
          </w:tcPr>
          <w:p w14:paraId="54B4CF5F">
            <w:pPr>
              <w:pStyle w:val="11"/>
            </w:pPr>
            <w:r>
              <w:t>经营收入</w:t>
            </w:r>
          </w:p>
        </w:tc>
        <w:tc>
          <w:tcPr>
            <w:tcW w:w="1134" w:type="dxa"/>
            <w:vAlign w:val="center"/>
          </w:tcPr>
          <w:p w14:paraId="5BF7CF36">
            <w:pPr>
              <w:pStyle w:val="11"/>
            </w:pPr>
            <w:r>
              <w:t>上级补助收入</w:t>
            </w:r>
          </w:p>
        </w:tc>
        <w:tc>
          <w:tcPr>
            <w:tcW w:w="1134" w:type="dxa"/>
            <w:vAlign w:val="center"/>
          </w:tcPr>
          <w:p w14:paraId="016F6376">
            <w:pPr>
              <w:pStyle w:val="11"/>
            </w:pPr>
            <w:r>
              <w:t>附属单位上缴收入</w:t>
            </w:r>
          </w:p>
        </w:tc>
        <w:tc>
          <w:tcPr>
            <w:tcW w:w="1134" w:type="dxa"/>
            <w:vAlign w:val="center"/>
          </w:tcPr>
          <w:p w14:paraId="1BA06D4C">
            <w:pPr>
              <w:pStyle w:val="11"/>
            </w:pPr>
            <w:r>
              <w:t>其他收入</w:t>
            </w:r>
          </w:p>
        </w:tc>
        <w:tc>
          <w:tcPr>
            <w:tcW w:w="1134" w:type="dxa"/>
            <w:vMerge w:val="continue"/>
          </w:tcPr>
          <w:p w14:paraId="15D631B3"/>
        </w:tc>
      </w:tr>
      <w:tr w14:paraId="750B6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341E8F">
            <w:pPr>
              <w:pStyle w:val="11"/>
            </w:pPr>
            <w:r>
              <w:t>栏次</w:t>
            </w:r>
          </w:p>
        </w:tc>
        <w:tc>
          <w:tcPr>
            <w:tcW w:w="992" w:type="dxa"/>
            <w:vAlign w:val="center"/>
          </w:tcPr>
          <w:p w14:paraId="1341A950">
            <w:pPr>
              <w:pStyle w:val="11"/>
            </w:pPr>
            <w:r>
              <w:t>1</w:t>
            </w:r>
          </w:p>
        </w:tc>
        <w:tc>
          <w:tcPr>
            <w:tcW w:w="1559" w:type="dxa"/>
            <w:vAlign w:val="center"/>
          </w:tcPr>
          <w:p w14:paraId="67EAA00A">
            <w:pPr>
              <w:pStyle w:val="11"/>
            </w:pPr>
            <w:r>
              <w:t>2</w:t>
            </w:r>
          </w:p>
        </w:tc>
        <w:tc>
          <w:tcPr>
            <w:tcW w:w="1134" w:type="dxa"/>
            <w:vAlign w:val="center"/>
          </w:tcPr>
          <w:p w14:paraId="7213C9BF">
            <w:pPr>
              <w:pStyle w:val="11"/>
            </w:pPr>
            <w:r>
              <w:t>3</w:t>
            </w:r>
          </w:p>
        </w:tc>
        <w:tc>
          <w:tcPr>
            <w:tcW w:w="1134" w:type="dxa"/>
            <w:vAlign w:val="center"/>
          </w:tcPr>
          <w:p w14:paraId="690535C5">
            <w:pPr>
              <w:pStyle w:val="11"/>
            </w:pPr>
            <w:r>
              <w:t>4</w:t>
            </w:r>
          </w:p>
        </w:tc>
        <w:tc>
          <w:tcPr>
            <w:tcW w:w="1134" w:type="dxa"/>
            <w:vAlign w:val="center"/>
          </w:tcPr>
          <w:p w14:paraId="11EC2B3B">
            <w:pPr>
              <w:pStyle w:val="11"/>
            </w:pPr>
            <w:r>
              <w:t>5</w:t>
            </w:r>
          </w:p>
        </w:tc>
        <w:tc>
          <w:tcPr>
            <w:tcW w:w="1134" w:type="dxa"/>
            <w:vAlign w:val="center"/>
          </w:tcPr>
          <w:p w14:paraId="3463BF32">
            <w:pPr>
              <w:pStyle w:val="11"/>
            </w:pPr>
            <w:r>
              <w:t>6</w:t>
            </w:r>
          </w:p>
        </w:tc>
        <w:tc>
          <w:tcPr>
            <w:tcW w:w="1134" w:type="dxa"/>
            <w:vAlign w:val="center"/>
          </w:tcPr>
          <w:p w14:paraId="5D288C86">
            <w:pPr>
              <w:pStyle w:val="11"/>
            </w:pPr>
            <w:r>
              <w:t>7</w:t>
            </w:r>
          </w:p>
        </w:tc>
        <w:tc>
          <w:tcPr>
            <w:tcW w:w="1134" w:type="dxa"/>
            <w:vAlign w:val="center"/>
          </w:tcPr>
          <w:p w14:paraId="2DB9A636">
            <w:pPr>
              <w:pStyle w:val="11"/>
            </w:pPr>
            <w:r>
              <w:t>8</w:t>
            </w:r>
          </w:p>
        </w:tc>
        <w:tc>
          <w:tcPr>
            <w:tcW w:w="1134" w:type="dxa"/>
            <w:vAlign w:val="center"/>
          </w:tcPr>
          <w:p w14:paraId="48665B1B">
            <w:pPr>
              <w:pStyle w:val="11"/>
            </w:pPr>
            <w:r>
              <w:t>9</w:t>
            </w:r>
          </w:p>
        </w:tc>
        <w:tc>
          <w:tcPr>
            <w:tcW w:w="1134" w:type="dxa"/>
            <w:vAlign w:val="center"/>
          </w:tcPr>
          <w:p w14:paraId="467AF516">
            <w:pPr>
              <w:pStyle w:val="11"/>
            </w:pPr>
            <w:r>
              <w:t>10</w:t>
            </w:r>
          </w:p>
        </w:tc>
        <w:tc>
          <w:tcPr>
            <w:tcW w:w="1134" w:type="dxa"/>
            <w:vAlign w:val="center"/>
          </w:tcPr>
          <w:p w14:paraId="0C21D5CF">
            <w:pPr>
              <w:pStyle w:val="11"/>
            </w:pPr>
            <w:r>
              <w:t>11</w:t>
            </w:r>
          </w:p>
        </w:tc>
        <w:tc>
          <w:tcPr>
            <w:tcW w:w="1134" w:type="dxa"/>
            <w:vAlign w:val="center"/>
          </w:tcPr>
          <w:p w14:paraId="21BCC631">
            <w:pPr>
              <w:pStyle w:val="11"/>
            </w:pPr>
            <w:r>
              <w:t>12</w:t>
            </w:r>
          </w:p>
        </w:tc>
      </w:tr>
      <w:tr w14:paraId="01F41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F4F82D">
            <w:pPr>
              <w:pStyle w:val="12"/>
            </w:pPr>
            <w:r>
              <w:t>1</w:t>
            </w:r>
          </w:p>
        </w:tc>
        <w:tc>
          <w:tcPr>
            <w:tcW w:w="992" w:type="dxa"/>
            <w:vAlign w:val="center"/>
          </w:tcPr>
          <w:p w14:paraId="71B7E431">
            <w:pPr>
              <w:pStyle w:val="17"/>
            </w:pPr>
          </w:p>
        </w:tc>
        <w:tc>
          <w:tcPr>
            <w:tcW w:w="1559" w:type="dxa"/>
            <w:vAlign w:val="center"/>
          </w:tcPr>
          <w:p w14:paraId="6E844D40">
            <w:pPr>
              <w:pStyle w:val="15"/>
            </w:pPr>
            <w:r>
              <w:t>合计</w:t>
            </w:r>
          </w:p>
        </w:tc>
        <w:tc>
          <w:tcPr>
            <w:tcW w:w="1134" w:type="dxa"/>
            <w:vAlign w:val="center"/>
          </w:tcPr>
          <w:p w14:paraId="002E75E0">
            <w:pPr>
              <w:pStyle w:val="16"/>
            </w:pPr>
            <w:r>
              <w:t>1993.80</w:t>
            </w:r>
          </w:p>
        </w:tc>
        <w:tc>
          <w:tcPr>
            <w:tcW w:w="1134" w:type="dxa"/>
            <w:vAlign w:val="center"/>
          </w:tcPr>
          <w:p w14:paraId="26190CA3">
            <w:pPr>
              <w:pStyle w:val="16"/>
            </w:pPr>
            <w:r>
              <w:t>1993.80</w:t>
            </w:r>
          </w:p>
        </w:tc>
        <w:tc>
          <w:tcPr>
            <w:tcW w:w="1134" w:type="dxa"/>
            <w:vAlign w:val="center"/>
          </w:tcPr>
          <w:p w14:paraId="5F31DBDC">
            <w:pPr>
              <w:pStyle w:val="16"/>
            </w:pPr>
            <w:r>
              <w:t>1993.80</w:t>
            </w:r>
          </w:p>
        </w:tc>
        <w:tc>
          <w:tcPr>
            <w:tcW w:w="1134" w:type="dxa"/>
            <w:vAlign w:val="center"/>
          </w:tcPr>
          <w:p w14:paraId="1F18ED11">
            <w:pPr>
              <w:pStyle w:val="16"/>
            </w:pPr>
          </w:p>
        </w:tc>
        <w:tc>
          <w:tcPr>
            <w:tcW w:w="1134" w:type="dxa"/>
            <w:vAlign w:val="center"/>
          </w:tcPr>
          <w:p w14:paraId="394BDED6">
            <w:pPr>
              <w:pStyle w:val="16"/>
            </w:pPr>
          </w:p>
        </w:tc>
        <w:tc>
          <w:tcPr>
            <w:tcW w:w="1134" w:type="dxa"/>
            <w:vAlign w:val="center"/>
          </w:tcPr>
          <w:p w14:paraId="152B4EE2">
            <w:pPr>
              <w:pStyle w:val="16"/>
            </w:pPr>
          </w:p>
        </w:tc>
        <w:tc>
          <w:tcPr>
            <w:tcW w:w="1134" w:type="dxa"/>
            <w:vAlign w:val="center"/>
          </w:tcPr>
          <w:p w14:paraId="20F1E045">
            <w:pPr>
              <w:pStyle w:val="16"/>
            </w:pPr>
          </w:p>
        </w:tc>
        <w:tc>
          <w:tcPr>
            <w:tcW w:w="1134" w:type="dxa"/>
            <w:vAlign w:val="center"/>
          </w:tcPr>
          <w:p w14:paraId="7DAD9E53">
            <w:pPr>
              <w:pStyle w:val="16"/>
            </w:pPr>
          </w:p>
        </w:tc>
        <w:tc>
          <w:tcPr>
            <w:tcW w:w="1134" w:type="dxa"/>
            <w:vAlign w:val="center"/>
          </w:tcPr>
          <w:p w14:paraId="1398ABD7">
            <w:pPr>
              <w:pStyle w:val="16"/>
            </w:pPr>
          </w:p>
        </w:tc>
        <w:tc>
          <w:tcPr>
            <w:tcW w:w="1134" w:type="dxa"/>
            <w:vAlign w:val="center"/>
          </w:tcPr>
          <w:p w14:paraId="3823892E">
            <w:pPr>
              <w:pStyle w:val="16"/>
            </w:pPr>
          </w:p>
        </w:tc>
      </w:tr>
      <w:tr w14:paraId="7514F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A686E1">
            <w:pPr>
              <w:pStyle w:val="12"/>
            </w:pPr>
            <w:r>
              <w:t>2</w:t>
            </w:r>
          </w:p>
        </w:tc>
        <w:tc>
          <w:tcPr>
            <w:tcW w:w="992" w:type="dxa"/>
            <w:vAlign w:val="center"/>
          </w:tcPr>
          <w:p w14:paraId="0D857BEB">
            <w:pPr>
              <w:pStyle w:val="13"/>
            </w:pPr>
            <w:r>
              <w:t>205</w:t>
            </w:r>
          </w:p>
        </w:tc>
        <w:tc>
          <w:tcPr>
            <w:tcW w:w="1559" w:type="dxa"/>
            <w:vAlign w:val="center"/>
          </w:tcPr>
          <w:p w14:paraId="6AE30526">
            <w:pPr>
              <w:pStyle w:val="13"/>
            </w:pPr>
            <w:r>
              <w:t>教育支出</w:t>
            </w:r>
          </w:p>
        </w:tc>
        <w:tc>
          <w:tcPr>
            <w:tcW w:w="1134" w:type="dxa"/>
            <w:vAlign w:val="center"/>
          </w:tcPr>
          <w:p w14:paraId="327970C4">
            <w:pPr>
              <w:pStyle w:val="14"/>
            </w:pPr>
            <w:r>
              <w:t>1993.80</w:t>
            </w:r>
          </w:p>
        </w:tc>
        <w:tc>
          <w:tcPr>
            <w:tcW w:w="1134" w:type="dxa"/>
            <w:vAlign w:val="center"/>
          </w:tcPr>
          <w:p w14:paraId="658150C2">
            <w:pPr>
              <w:pStyle w:val="14"/>
            </w:pPr>
            <w:r>
              <w:t>1993.80</w:t>
            </w:r>
          </w:p>
        </w:tc>
        <w:tc>
          <w:tcPr>
            <w:tcW w:w="1134" w:type="dxa"/>
            <w:vAlign w:val="center"/>
          </w:tcPr>
          <w:p w14:paraId="7F3A5AE5">
            <w:pPr>
              <w:pStyle w:val="14"/>
            </w:pPr>
            <w:r>
              <w:t>1993.80</w:t>
            </w:r>
          </w:p>
        </w:tc>
        <w:tc>
          <w:tcPr>
            <w:tcW w:w="1134" w:type="dxa"/>
            <w:vAlign w:val="center"/>
          </w:tcPr>
          <w:p w14:paraId="4077FF03">
            <w:pPr>
              <w:pStyle w:val="14"/>
            </w:pPr>
          </w:p>
        </w:tc>
        <w:tc>
          <w:tcPr>
            <w:tcW w:w="1134" w:type="dxa"/>
            <w:vAlign w:val="center"/>
          </w:tcPr>
          <w:p w14:paraId="713BA97F">
            <w:pPr>
              <w:pStyle w:val="14"/>
            </w:pPr>
          </w:p>
        </w:tc>
        <w:tc>
          <w:tcPr>
            <w:tcW w:w="1134" w:type="dxa"/>
            <w:vAlign w:val="center"/>
          </w:tcPr>
          <w:p w14:paraId="0CF6A43B">
            <w:pPr>
              <w:pStyle w:val="14"/>
            </w:pPr>
          </w:p>
        </w:tc>
        <w:tc>
          <w:tcPr>
            <w:tcW w:w="1134" w:type="dxa"/>
            <w:vAlign w:val="center"/>
          </w:tcPr>
          <w:p w14:paraId="6F785109">
            <w:pPr>
              <w:pStyle w:val="14"/>
            </w:pPr>
          </w:p>
        </w:tc>
        <w:tc>
          <w:tcPr>
            <w:tcW w:w="1134" w:type="dxa"/>
            <w:vAlign w:val="center"/>
          </w:tcPr>
          <w:p w14:paraId="7CC4E8EB">
            <w:pPr>
              <w:pStyle w:val="14"/>
            </w:pPr>
          </w:p>
        </w:tc>
        <w:tc>
          <w:tcPr>
            <w:tcW w:w="1134" w:type="dxa"/>
            <w:vAlign w:val="center"/>
          </w:tcPr>
          <w:p w14:paraId="03BD9D4B">
            <w:pPr>
              <w:pStyle w:val="14"/>
            </w:pPr>
          </w:p>
        </w:tc>
        <w:tc>
          <w:tcPr>
            <w:tcW w:w="1134" w:type="dxa"/>
            <w:vAlign w:val="center"/>
          </w:tcPr>
          <w:p w14:paraId="68E37B40">
            <w:pPr>
              <w:pStyle w:val="14"/>
            </w:pPr>
          </w:p>
        </w:tc>
      </w:tr>
      <w:tr w14:paraId="04579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5570B1">
            <w:pPr>
              <w:pStyle w:val="12"/>
            </w:pPr>
            <w:r>
              <w:t>3</w:t>
            </w:r>
          </w:p>
        </w:tc>
        <w:tc>
          <w:tcPr>
            <w:tcW w:w="992" w:type="dxa"/>
            <w:vAlign w:val="center"/>
          </w:tcPr>
          <w:p w14:paraId="3A8DC936">
            <w:pPr>
              <w:pStyle w:val="13"/>
            </w:pPr>
            <w:r>
              <w:t>20502</w:t>
            </w:r>
          </w:p>
        </w:tc>
        <w:tc>
          <w:tcPr>
            <w:tcW w:w="1559" w:type="dxa"/>
            <w:vAlign w:val="center"/>
          </w:tcPr>
          <w:p w14:paraId="16C21C5E">
            <w:pPr>
              <w:pStyle w:val="13"/>
            </w:pPr>
            <w:r>
              <w:t>普通教育</w:t>
            </w:r>
          </w:p>
        </w:tc>
        <w:tc>
          <w:tcPr>
            <w:tcW w:w="1134" w:type="dxa"/>
            <w:vAlign w:val="center"/>
          </w:tcPr>
          <w:p w14:paraId="4E08250C">
            <w:pPr>
              <w:pStyle w:val="14"/>
            </w:pPr>
            <w:r>
              <w:t>1993.80</w:t>
            </w:r>
          </w:p>
        </w:tc>
        <w:tc>
          <w:tcPr>
            <w:tcW w:w="1134" w:type="dxa"/>
            <w:vAlign w:val="center"/>
          </w:tcPr>
          <w:p w14:paraId="49C5949C">
            <w:pPr>
              <w:pStyle w:val="14"/>
            </w:pPr>
            <w:r>
              <w:t>1993.80</w:t>
            </w:r>
          </w:p>
        </w:tc>
        <w:tc>
          <w:tcPr>
            <w:tcW w:w="1134" w:type="dxa"/>
            <w:vAlign w:val="center"/>
          </w:tcPr>
          <w:p w14:paraId="4C137936">
            <w:pPr>
              <w:pStyle w:val="14"/>
            </w:pPr>
            <w:r>
              <w:t>1993.80</w:t>
            </w:r>
          </w:p>
        </w:tc>
        <w:tc>
          <w:tcPr>
            <w:tcW w:w="1134" w:type="dxa"/>
            <w:vAlign w:val="center"/>
          </w:tcPr>
          <w:p w14:paraId="1DBA9FD8">
            <w:pPr>
              <w:pStyle w:val="14"/>
            </w:pPr>
          </w:p>
        </w:tc>
        <w:tc>
          <w:tcPr>
            <w:tcW w:w="1134" w:type="dxa"/>
            <w:vAlign w:val="center"/>
          </w:tcPr>
          <w:p w14:paraId="6CA280B4">
            <w:pPr>
              <w:pStyle w:val="14"/>
            </w:pPr>
          </w:p>
        </w:tc>
        <w:tc>
          <w:tcPr>
            <w:tcW w:w="1134" w:type="dxa"/>
            <w:vAlign w:val="center"/>
          </w:tcPr>
          <w:p w14:paraId="0D6D6648">
            <w:pPr>
              <w:pStyle w:val="14"/>
            </w:pPr>
          </w:p>
        </w:tc>
        <w:tc>
          <w:tcPr>
            <w:tcW w:w="1134" w:type="dxa"/>
            <w:vAlign w:val="center"/>
          </w:tcPr>
          <w:p w14:paraId="4687E30F">
            <w:pPr>
              <w:pStyle w:val="14"/>
            </w:pPr>
          </w:p>
        </w:tc>
        <w:tc>
          <w:tcPr>
            <w:tcW w:w="1134" w:type="dxa"/>
            <w:vAlign w:val="center"/>
          </w:tcPr>
          <w:p w14:paraId="6A12304F">
            <w:pPr>
              <w:pStyle w:val="14"/>
            </w:pPr>
          </w:p>
        </w:tc>
        <w:tc>
          <w:tcPr>
            <w:tcW w:w="1134" w:type="dxa"/>
            <w:vAlign w:val="center"/>
          </w:tcPr>
          <w:p w14:paraId="7484674A">
            <w:pPr>
              <w:pStyle w:val="14"/>
            </w:pPr>
          </w:p>
        </w:tc>
        <w:tc>
          <w:tcPr>
            <w:tcW w:w="1134" w:type="dxa"/>
            <w:vAlign w:val="center"/>
          </w:tcPr>
          <w:p w14:paraId="1F9FFD5D">
            <w:pPr>
              <w:pStyle w:val="14"/>
            </w:pPr>
          </w:p>
        </w:tc>
      </w:tr>
      <w:tr w14:paraId="09804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8B4EF4">
            <w:pPr>
              <w:pStyle w:val="12"/>
            </w:pPr>
            <w:r>
              <w:t>4</w:t>
            </w:r>
          </w:p>
        </w:tc>
        <w:tc>
          <w:tcPr>
            <w:tcW w:w="992" w:type="dxa"/>
            <w:vAlign w:val="center"/>
          </w:tcPr>
          <w:p w14:paraId="0839F44A">
            <w:pPr>
              <w:pStyle w:val="13"/>
            </w:pPr>
            <w:r>
              <w:t>2050201</w:t>
            </w:r>
          </w:p>
        </w:tc>
        <w:tc>
          <w:tcPr>
            <w:tcW w:w="1559" w:type="dxa"/>
            <w:vAlign w:val="center"/>
          </w:tcPr>
          <w:p w14:paraId="221B7DB8">
            <w:pPr>
              <w:pStyle w:val="13"/>
            </w:pPr>
            <w:r>
              <w:t>学前教育</w:t>
            </w:r>
          </w:p>
        </w:tc>
        <w:tc>
          <w:tcPr>
            <w:tcW w:w="1134" w:type="dxa"/>
            <w:vAlign w:val="center"/>
          </w:tcPr>
          <w:p w14:paraId="75E03EA6">
            <w:pPr>
              <w:pStyle w:val="14"/>
            </w:pPr>
            <w:r>
              <w:t>84.74</w:t>
            </w:r>
          </w:p>
        </w:tc>
        <w:tc>
          <w:tcPr>
            <w:tcW w:w="1134" w:type="dxa"/>
            <w:vAlign w:val="center"/>
          </w:tcPr>
          <w:p w14:paraId="34BD509F">
            <w:pPr>
              <w:pStyle w:val="14"/>
            </w:pPr>
            <w:r>
              <w:t>84.74</w:t>
            </w:r>
          </w:p>
        </w:tc>
        <w:tc>
          <w:tcPr>
            <w:tcW w:w="1134" w:type="dxa"/>
            <w:vAlign w:val="center"/>
          </w:tcPr>
          <w:p w14:paraId="113C1552">
            <w:pPr>
              <w:pStyle w:val="14"/>
            </w:pPr>
            <w:r>
              <w:t>84.74</w:t>
            </w:r>
          </w:p>
        </w:tc>
        <w:tc>
          <w:tcPr>
            <w:tcW w:w="1134" w:type="dxa"/>
            <w:vAlign w:val="center"/>
          </w:tcPr>
          <w:p w14:paraId="2486E13C">
            <w:pPr>
              <w:pStyle w:val="14"/>
            </w:pPr>
          </w:p>
        </w:tc>
        <w:tc>
          <w:tcPr>
            <w:tcW w:w="1134" w:type="dxa"/>
            <w:vAlign w:val="center"/>
          </w:tcPr>
          <w:p w14:paraId="573A2091">
            <w:pPr>
              <w:pStyle w:val="14"/>
            </w:pPr>
          </w:p>
        </w:tc>
        <w:tc>
          <w:tcPr>
            <w:tcW w:w="1134" w:type="dxa"/>
            <w:vAlign w:val="center"/>
          </w:tcPr>
          <w:p w14:paraId="5075B6F8">
            <w:pPr>
              <w:pStyle w:val="14"/>
            </w:pPr>
          </w:p>
        </w:tc>
        <w:tc>
          <w:tcPr>
            <w:tcW w:w="1134" w:type="dxa"/>
            <w:vAlign w:val="center"/>
          </w:tcPr>
          <w:p w14:paraId="73EB7C78">
            <w:pPr>
              <w:pStyle w:val="14"/>
            </w:pPr>
          </w:p>
        </w:tc>
        <w:tc>
          <w:tcPr>
            <w:tcW w:w="1134" w:type="dxa"/>
            <w:vAlign w:val="center"/>
          </w:tcPr>
          <w:p w14:paraId="5C73A2EF">
            <w:pPr>
              <w:pStyle w:val="14"/>
            </w:pPr>
          </w:p>
        </w:tc>
        <w:tc>
          <w:tcPr>
            <w:tcW w:w="1134" w:type="dxa"/>
            <w:vAlign w:val="center"/>
          </w:tcPr>
          <w:p w14:paraId="3653B788">
            <w:pPr>
              <w:pStyle w:val="14"/>
            </w:pPr>
          </w:p>
        </w:tc>
        <w:tc>
          <w:tcPr>
            <w:tcW w:w="1134" w:type="dxa"/>
            <w:vAlign w:val="center"/>
          </w:tcPr>
          <w:p w14:paraId="51C2EC02">
            <w:pPr>
              <w:pStyle w:val="14"/>
            </w:pPr>
          </w:p>
        </w:tc>
      </w:tr>
      <w:tr w14:paraId="00A2E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ADC7E8">
            <w:pPr>
              <w:pStyle w:val="12"/>
            </w:pPr>
            <w:r>
              <w:t>5</w:t>
            </w:r>
          </w:p>
        </w:tc>
        <w:tc>
          <w:tcPr>
            <w:tcW w:w="992" w:type="dxa"/>
            <w:vAlign w:val="center"/>
          </w:tcPr>
          <w:p w14:paraId="3DDA4F09">
            <w:pPr>
              <w:pStyle w:val="13"/>
            </w:pPr>
            <w:r>
              <w:t>2050202</w:t>
            </w:r>
          </w:p>
        </w:tc>
        <w:tc>
          <w:tcPr>
            <w:tcW w:w="1559" w:type="dxa"/>
            <w:vAlign w:val="center"/>
          </w:tcPr>
          <w:p w14:paraId="59A766C2">
            <w:pPr>
              <w:pStyle w:val="13"/>
            </w:pPr>
            <w:r>
              <w:t>小学教育</w:t>
            </w:r>
          </w:p>
        </w:tc>
        <w:tc>
          <w:tcPr>
            <w:tcW w:w="1134" w:type="dxa"/>
            <w:vAlign w:val="center"/>
          </w:tcPr>
          <w:p w14:paraId="460D3200">
            <w:pPr>
              <w:pStyle w:val="14"/>
            </w:pPr>
            <w:r>
              <w:t>1909.06</w:t>
            </w:r>
          </w:p>
        </w:tc>
        <w:tc>
          <w:tcPr>
            <w:tcW w:w="1134" w:type="dxa"/>
            <w:vAlign w:val="center"/>
          </w:tcPr>
          <w:p w14:paraId="379E9E53">
            <w:pPr>
              <w:pStyle w:val="14"/>
            </w:pPr>
            <w:r>
              <w:t>1909.06</w:t>
            </w:r>
          </w:p>
        </w:tc>
        <w:tc>
          <w:tcPr>
            <w:tcW w:w="1134" w:type="dxa"/>
            <w:vAlign w:val="center"/>
          </w:tcPr>
          <w:p w14:paraId="296AE645">
            <w:pPr>
              <w:pStyle w:val="14"/>
            </w:pPr>
            <w:r>
              <w:t>1909.06</w:t>
            </w:r>
          </w:p>
        </w:tc>
        <w:tc>
          <w:tcPr>
            <w:tcW w:w="1134" w:type="dxa"/>
            <w:vAlign w:val="center"/>
          </w:tcPr>
          <w:p w14:paraId="199C802A">
            <w:pPr>
              <w:pStyle w:val="14"/>
            </w:pPr>
          </w:p>
        </w:tc>
        <w:tc>
          <w:tcPr>
            <w:tcW w:w="1134" w:type="dxa"/>
            <w:vAlign w:val="center"/>
          </w:tcPr>
          <w:p w14:paraId="07A2D730">
            <w:pPr>
              <w:pStyle w:val="14"/>
            </w:pPr>
          </w:p>
        </w:tc>
        <w:tc>
          <w:tcPr>
            <w:tcW w:w="1134" w:type="dxa"/>
            <w:vAlign w:val="center"/>
          </w:tcPr>
          <w:p w14:paraId="1F2F5A1C">
            <w:pPr>
              <w:pStyle w:val="14"/>
            </w:pPr>
          </w:p>
        </w:tc>
        <w:tc>
          <w:tcPr>
            <w:tcW w:w="1134" w:type="dxa"/>
            <w:vAlign w:val="center"/>
          </w:tcPr>
          <w:p w14:paraId="14B604A6">
            <w:pPr>
              <w:pStyle w:val="14"/>
            </w:pPr>
          </w:p>
        </w:tc>
        <w:tc>
          <w:tcPr>
            <w:tcW w:w="1134" w:type="dxa"/>
            <w:vAlign w:val="center"/>
          </w:tcPr>
          <w:p w14:paraId="3655BDAE">
            <w:pPr>
              <w:pStyle w:val="14"/>
            </w:pPr>
          </w:p>
        </w:tc>
        <w:tc>
          <w:tcPr>
            <w:tcW w:w="1134" w:type="dxa"/>
            <w:vAlign w:val="center"/>
          </w:tcPr>
          <w:p w14:paraId="0749A5E6">
            <w:pPr>
              <w:pStyle w:val="14"/>
            </w:pPr>
          </w:p>
        </w:tc>
        <w:tc>
          <w:tcPr>
            <w:tcW w:w="1134" w:type="dxa"/>
            <w:vAlign w:val="center"/>
          </w:tcPr>
          <w:p w14:paraId="64D7DAE1">
            <w:pPr>
              <w:pStyle w:val="14"/>
            </w:pPr>
          </w:p>
        </w:tc>
      </w:tr>
    </w:tbl>
    <w:p w14:paraId="53EFE95F">
      <w:pPr>
        <w:sectPr>
          <w:pgSz w:w="16840" w:h="11900" w:orient="landscape"/>
          <w:pgMar w:top="1361" w:right="1020" w:bottom="1134" w:left="1020" w:header="720" w:footer="720" w:gutter="0"/>
          <w:cols w:space="720" w:num="1"/>
        </w:sectPr>
      </w:pPr>
    </w:p>
    <w:p w14:paraId="36C8E9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39B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BF232A">
            <w:pPr>
              <w:pStyle w:val="8"/>
            </w:pPr>
            <w:r>
              <w:t>360025隆尧县千户营校区</w:t>
            </w:r>
          </w:p>
        </w:tc>
        <w:tc>
          <w:tcPr>
            <w:tcW w:w="2722" w:type="dxa"/>
            <w:gridSpan w:val="2"/>
            <w:tcBorders>
              <w:top w:val="single" w:color="FFFFFF" w:sz="6" w:space="0"/>
              <w:left w:val="single" w:color="FFFFFF" w:sz="6" w:space="0"/>
              <w:right w:val="single" w:color="FFFFFF" w:sz="6" w:space="0"/>
            </w:tcBorders>
            <w:vAlign w:val="center"/>
          </w:tcPr>
          <w:p w14:paraId="47BF389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2ED6517">
            <w:pPr>
              <w:pStyle w:val="10"/>
            </w:pPr>
            <w:r>
              <w:t>单位：万元</w:t>
            </w:r>
          </w:p>
        </w:tc>
      </w:tr>
      <w:tr w14:paraId="20F44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AEA266">
            <w:pPr>
              <w:pStyle w:val="11"/>
            </w:pPr>
            <w:r>
              <w:t>序号</w:t>
            </w:r>
          </w:p>
        </w:tc>
        <w:tc>
          <w:tcPr>
            <w:tcW w:w="5527" w:type="dxa"/>
            <w:gridSpan w:val="2"/>
            <w:vAlign w:val="center"/>
          </w:tcPr>
          <w:p w14:paraId="768637A3">
            <w:pPr>
              <w:pStyle w:val="11"/>
            </w:pPr>
            <w:r>
              <w:t>功能分类科目</w:t>
            </w:r>
          </w:p>
        </w:tc>
        <w:tc>
          <w:tcPr>
            <w:tcW w:w="1361" w:type="dxa"/>
            <w:vMerge w:val="restart"/>
            <w:vAlign w:val="center"/>
          </w:tcPr>
          <w:p w14:paraId="6E08E3F4">
            <w:pPr>
              <w:pStyle w:val="11"/>
            </w:pPr>
            <w:r>
              <w:t>合计</w:t>
            </w:r>
          </w:p>
        </w:tc>
        <w:tc>
          <w:tcPr>
            <w:tcW w:w="1361" w:type="dxa"/>
            <w:vMerge w:val="restart"/>
            <w:vAlign w:val="center"/>
          </w:tcPr>
          <w:p w14:paraId="69D27C0D">
            <w:pPr>
              <w:pStyle w:val="11"/>
            </w:pPr>
            <w:r>
              <w:t>基本支出</w:t>
            </w:r>
          </w:p>
        </w:tc>
        <w:tc>
          <w:tcPr>
            <w:tcW w:w="1361" w:type="dxa"/>
            <w:vMerge w:val="restart"/>
            <w:vAlign w:val="center"/>
          </w:tcPr>
          <w:p w14:paraId="2F105406">
            <w:pPr>
              <w:pStyle w:val="11"/>
            </w:pPr>
            <w:r>
              <w:t>项目支出</w:t>
            </w:r>
          </w:p>
        </w:tc>
        <w:tc>
          <w:tcPr>
            <w:tcW w:w="1361" w:type="dxa"/>
            <w:vMerge w:val="restart"/>
            <w:vAlign w:val="center"/>
          </w:tcPr>
          <w:p w14:paraId="43D42C07">
            <w:pPr>
              <w:pStyle w:val="11"/>
            </w:pPr>
            <w:r>
              <w:t>经营支出</w:t>
            </w:r>
          </w:p>
        </w:tc>
        <w:tc>
          <w:tcPr>
            <w:tcW w:w="1361" w:type="dxa"/>
            <w:vMerge w:val="restart"/>
            <w:vAlign w:val="center"/>
          </w:tcPr>
          <w:p w14:paraId="4568AA0C">
            <w:pPr>
              <w:pStyle w:val="11"/>
            </w:pPr>
            <w:r>
              <w:t>上解上级     支出</w:t>
            </w:r>
          </w:p>
        </w:tc>
        <w:tc>
          <w:tcPr>
            <w:tcW w:w="1361" w:type="dxa"/>
            <w:vMerge w:val="restart"/>
            <w:vAlign w:val="center"/>
          </w:tcPr>
          <w:p w14:paraId="53028CDD">
            <w:pPr>
              <w:pStyle w:val="11"/>
            </w:pPr>
            <w:r>
              <w:t>对附属单位补助支出</w:t>
            </w:r>
          </w:p>
        </w:tc>
      </w:tr>
      <w:tr w14:paraId="6CB1F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E20AD6"/>
        </w:tc>
        <w:tc>
          <w:tcPr>
            <w:tcW w:w="992" w:type="dxa"/>
            <w:vAlign w:val="center"/>
          </w:tcPr>
          <w:p w14:paraId="7EB0BBDA">
            <w:pPr>
              <w:pStyle w:val="11"/>
            </w:pPr>
            <w:r>
              <w:t>科目    编码</w:t>
            </w:r>
          </w:p>
        </w:tc>
        <w:tc>
          <w:tcPr>
            <w:tcW w:w="4535" w:type="dxa"/>
            <w:vAlign w:val="center"/>
          </w:tcPr>
          <w:p w14:paraId="694D1484">
            <w:pPr>
              <w:pStyle w:val="11"/>
            </w:pPr>
            <w:r>
              <w:t>科目名称</w:t>
            </w:r>
          </w:p>
        </w:tc>
        <w:tc>
          <w:tcPr>
            <w:tcW w:w="1361" w:type="dxa"/>
            <w:vMerge w:val="continue"/>
          </w:tcPr>
          <w:p w14:paraId="1DE2AA3F"/>
        </w:tc>
        <w:tc>
          <w:tcPr>
            <w:tcW w:w="1361" w:type="dxa"/>
            <w:vMerge w:val="continue"/>
          </w:tcPr>
          <w:p w14:paraId="05334538"/>
        </w:tc>
        <w:tc>
          <w:tcPr>
            <w:tcW w:w="1361" w:type="dxa"/>
            <w:vMerge w:val="continue"/>
          </w:tcPr>
          <w:p w14:paraId="3B5E57B5"/>
        </w:tc>
        <w:tc>
          <w:tcPr>
            <w:tcW w:w="1361" w:type="dxa"/>
            <w:vMerge w:val="continue"/>
          </w:tcPr>
          <w:p w14:paraId="6C901BE5"/>
        </w:tc>
        <w:tc>
          <w:tcPr>
            <w:tcW w:w="1361" w:type="dxa"/>
            <w:vMerge w:val="continue"/>
          </w:tcPr>
          <w:p w14:paraId="6691E885"/>
        </w:tc>
        <w:tc>
          <w:tcPr>
            <w:tcW w:w="1361" w:type="dxa"/>
            <w:vMerge w:val="continue"/>
          </w:tcPr>
          <w:p w14:paraId="380545C0"/>
        </w:tc>
      </w:tr>
      <w:tr w14:paraId="2E3C7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31838168">
            <w:pPr>
              <w:pStyle w:val="11"/>
            </w:pPr>
            <w:r>
              <w:t>栏次</w:t>
            </w:r>
          </w:p>
        </w:tc>
        <w:tc>
          <w:tcPr>
            <w:tcW w:w="992" w:type="dxa"/>
            <w:vAlign w:val="center"/>
          </w:tcPr>
          <w:p w14:paraId="0131161B">
            <w:pPr>
              <w:pStyle w:val="11"/>
            </w:pPr>
            <w:r>
              <w:t>1</w:t>
            </w:r>
          </w:p>
        </w:tc>
        <w:tc>
          <w:tcPr>
            <w:tcW w:w="4535" w:type="dxa"/>
            <w:vAlign w:val="center"/>
          </w:tcPr>
          <w:p w14:paraId="7B73296D">
            <w:pPr>
              <w:pStyle w:val="11"/>
            </w:pPr>
            <w:r>
              <w:t>2</w:t>
            </w:r>
          </w:p>
        </w:tc>
        <w:tc>
          <w:tcPr>
            <w:tcW w:w="1361" w:type="dxa"/>
            <w:vAlign w:val="center"/>
          </w:tcPr>
          <w:p w14:paraId="054EFD51">
            <w:pPr>
              <w:pStyle w:val="11"/>
            </w:pPr>
            <w:r>
              <w:t>3</w:t>
            </w:r>
          </w:p>
        </w:tc>
        <w:tc>
          <w:tcPr>
            <w:tcW w:w="1361" w:type="dxa"/>
            <w:vAlign w:val="center"/>
          </w:tcPr>
          <w:p w14:paraId="334FE4CD">
            <w:pPr>
              <w:pStyle w:val="11"/>
            </w:pPr>
            <w:r>
              <w:t>4</w:t>
            </w:r>
          </w:p>
        </w:tc>
        <w:tc>
          <w:tcPr>
            <w:tcW w:w="1361" w:type="dxa"/>
            <w:vAlign w:val="center"/>
          </w:tcPr>
          <w:p w14:paraId="70F5170C">
            <w:pPr>
              <w:pStyle w:val="11"/>
            </w:pPr>
            <w:r>
              <w:t>5</w:t>
            </w:r>
          </w:p>
        </w:tc>
        <w:tc>
          <w:tcPr>
            <w:tcW w:w="1361" w:type="dxa"/>
            <w:vAlign w:val="center"/>
          </w:tcPr>
          <w:p w14:paraId="45E4C4EE">
            <w:pPr>
              <w:pStyle w:val="11"/>
            </w:pPr>
            <w:r>
              <w:t>6</w:t>
            </w:r>
          </w:p>
        </w:tc>
        <w:tc>
          <w:tcPr>
            <w:tcW w:w="1361" w:type="dxa"/>
            <w:vAlign w:val="center"/>
          </w:tcPr>
          <w:p w14:paraId="35DE8D40">
            <w:pPr>
              <w:pStyle w:val="11"/>
            </w:pPr>
            <w:r>
              <w:t>7</w:t>
            </w:r>
          </w:p>
        </w:tc>
        <w:tc>
          <w:tcPr>
            <w:tcW w:w="1361" w:type="dxa"/>
            <w:vAlign w:val="center"/>
          </w:tcPr>
          <w:p w14:paraId="5DBD9DEA">
            <w:pPr>
              <w:pStyle w:val="11"/>
            </w:pPr>
            <w:r>
              <w:t>8</w:t>
            </w:r>
          </w:p>
        </w:tc>
      </w:tr>
      <w:tr w14:paraId="14737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49D030B">
            <w:pPr>
              <w:pStyle w:val="12"/>
            </w:pPr>
            <w:r>
              <w:t>1</w:t>
            </w:r>
          </w:p>
        </w:tc>
        <w:tc>
          <w:tcPr>
            <w:tcW w:w="992" w:type="dxa"/>
            <w:vAlign w:val="center"/>
          </w:tcPr>
          <w:p w14:paraId="120CDF6B">
            <w:pPr>
              <w:pStyle w:val="17"/>
            </w:pPr>
          </w:p>
        </w:tc>
        <w:tc>
          <w:tcPr>
            <w:tcW w:w="4535" w:type="dxa"/>
            <w:vAlign w:val="center"/>
          </w:tcPr>
          <w:p w14:paraId="5603FDC2">
            <w:pPr>
              <w:pStyle w:val="15"/>
            </w:pPr>
            <w:r>
              <w:t>合计</w:t>
            </w:r>
          </w:p>
        </w:tc>
        <w:tc>
          <w:tcPr>
            <w:tcW w:w="1361" w:type="dxa"/>
            <w:vAlign w:val="center"/>
          </w:tcPr>
          <w:p w14:paraId="1E4CA496">
            <w:pPr>
              <w:pStyle w:val="16"/>
            </w:pPr>
            <w:r>
              <w:t>1993.80</w:t>
            </w:r>
          </w:p>
        </w:tc>
        <w:tc>
          <w:tcPr>
            <w:tcW w:w="1361" w:type="dxa"/>
            <w:vAlign w:val="center"/>
          </w:tcPr>
          <w:p w14:paraId="67E8F199">
            <w:pPr>
              <w:pStyle w:val="16"/>
            </w:pPr>
            <w:r>
              <w:t>1596.68</w:t>
            </w:r>
          </w:p>
        </w:tc>
        <w:tc>
          <w:tcPr>
            <w:tcW w:w="1361" w:type="dxa"/>
            <w:vAlign w:val="center"/>
          </w:tcPr>
          <w:p w14:paraId="43D63591">
            <w:pPr>
              <w:pStyle w:val="16"/>
            </w:pPr>
            <w:r>
              <w:t>397.11</w:t>
            </w:r>
          </w:p>
        </w:tc>
        <w:tc>
          <w:tcPr>
            <w:tcW w:w="1361" w:type="dxa"/>
            <w:vAlign w:val="center"/>
          </w:tcPr>
          <w:p w14:paraId="63361D45">
            <w:pPr>
              <w:pStyle w:val="16"/>
            </w:pPr>
          </w:p>
        </w:tc>
        <w:tc>
          <w:tcPr>
            <w:tcW w:w="1361" w:type="dxa"/>
            <w:vAlign w:val="center"/>
          </w:tcPr>
          <w:p w14:paraId="2417C88E">
            <w:pPr>
              <w:pStyle w:val="16"/>
            </w:pPr>
          </w:p>
        </w:tc>
        <w:tc>
          <w:tcPr>
            <w:tcW w:w="1361" w:type="dxa"/>
            <w:vAlign w:val="center"/>
          </w:tcPr>
          <w:p w14:paraId="3B666989">
            <w:pPr>
              <w:pStyle w:val="16"/>
            </w:pPr>
          </w:p>
        </w:tc>
      </w:tr>
      <w:tr w14:paraId="63BDE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6926960">
            <w:pPr>
              <w:pStyle w:val="12"/>
            </w:pPr>
            <w:r>
              <w:t>2</w:t>
            </w:r>
          </w:p>
        </w:tc>
        <w:tc>
          <w:tcPr>
            <w:tcW w:w="992" w:type="dxa"/>
            <w:vAlign w:val="center"/>
          </w:tcPr>
          <w:p w14:paraId="723A38A6">
            <w:pPr>
              <w:pStyle w:val="13"/>
            </w:pPr>
            <w:r>
              <w:t>205</w:t>
            </w:r>
          </w:p>
        </w:tc>
        <w:tc>
          <w:tcPr>
            <w:tcW w:w="4535" w:type="dxa"/>
            <w:vAlign w:val="center"/>
          </w:tcPr>
          <w:p w14:paraId="52E12F22">
            <w:pPr>
              <w:pStyle w:val="13"/>
            </w:pPr>
            <w:r>
              <w:t>教育支出</w:t>
            </w:r>
          </w:p>
        </w:tc>
        <w:tc>
          <w:tcPr>
            <w:tcW w:w="1361" w:type="dxa"/>
            <w:vAlign w:val="center"/>
          </w:tcPr>
          <w:p w14:paraId="0170A4F2">
            <w:pPr>
              <w:pStyle w:val="14"/>
            </w:pPr>
            <w:r>
              <w:t>1993.80</w:t>
            </w:r>
          </w:p>
        </w:tc>
        <w:tc>
          <w:tcPr>
            <w:tcW w:w="1361" w:type="dxa"/>
            <w:vAlign w:val="center"/>
          </w:tcPr>
          <w:p w14:paraId="73EEF6CE">
            <w:pPr>
              <w:pStyle w:val="14"/>
            </w:pPr>
            <w:r>
              <w:t>1596.68</w:t>
            </w:r>
          </w:p>
        </w:tc>
        <w:tc>
          <w:tcPr>
            <w:tcW w:w="1361" w:type="dxa"/>
            <w:vAlign w:val="center"/>
          </w:tcPr>
          <w:p w14:paraId="500BEFD5">
            <w:pPr>
              <w:pStyle w:val="14"/>
            </w:pPr>
            <w:r>
              <w:t>397.11</w:t>
            </w:r>
          </w:p>
        </w:tc>
        <w:tc>
          <w:tcPr>
            <w:tcW w:w="1361" w:type="dxa"/>
            <w:vAlign w:val="center"/>
          </w:tcPr>
          <w:p w14:paraId="4D84DD50">
            <w:pPr>
              <w:pStyle w:val="14"/>
            </w:pPr>
          </w:p>
        </w:tc>
        <w:tc>
          <w:tcPr>
            <w:tcW w:w="1361" w:type="dxa"/>
            <w:vAlign w:val="center"/>
          </w:tcPr>
          <w:p w14:paraId="1F0A1CD4">
            <w:pPr>
              <w:pStyle w:val="14"/>
            </w:pPr>
          </w:p>
        </w:tc>
        <w:tc>
          <w:tcPr>
            <w:tcW w:w="1361" w:type="dxa"/>
            <w:vAlign w:val="center"/>
          </w:tcPr>
          <w:p w14:paraId="66FE7B11">
            <w:pPr>
              <w:pStyle w:val="14"/>
            </w:pPr>
          </w:p>
        </w:tc>
      </w:tr>
      <w:tr w14:paraId="5191C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1702656">
            <w:pPr>
              <w:pStyle w:val="12"/>
            </w:pPr>
            <w:r>
              <w:t>3</w:t>
            </w:r>
          </w:p>
        </w:tc>
        <w:tc>
          <w:tcPr>
            <w:tcW w:w="992" w:type="dxa"/>
            <w:vAlign w:val="center"/>
          </w:tcPr>
          <w:p w14:paraId="709C9246">
            <w:pPr>
              <w:pStyle w:val="13"/>
            </w:pPr>
            <w:r>
              <w:t>20502</w:t>
            </w:r>
          </w:p>
        </w:tc>
        <w:tc>
          <w:tcPr>
            <w:tcW w:w="4535" w:type="dxa"/>
            <w:vAlign w:val="center"/>
          </w:tcPr>
          <w:p w14:paraId="76D5CB6B">
            <w:pPr>
              <w:pStyle w:val="13"/>
            </w:pPr>
            <w:r>
              <w:t>普通教育</w:t>
            </w:r>
          </w:p>
        </w:tc>
        <w:tc>
          <w:tcPr>
            <w:tcW w:w="1361" w:type="dxa"/>
            <w:vAlign w:val="center"/>
          </w:tcPr>
          <w:p w14:paraId="6AAA4E19">
            <w:pPr>
              <w:pStyle w:val="14"/>
            </w:pPr>
            <w:r>
              <w:t>1993.80</w:t>
            </w:r>
          </w:p>
        </w:tc>
        <w:tc>
          <w:tcPr>
            <w:tcW w:w="1361" w:type="dxa"/>
            <w:vAlign w:val="center"/>
          </w:tcPr>
          <w:p w14:paraId="73BEF714">
            <w:pPr>
              <w:pStyle w:val="14"/>
            </w:pPr>
            <w:r>
              <w:t>1596.68</w:t>
            </w:r>
          </w:p>
        </w:tc>
        <w:tc>
          <w:tcPr>
            <w:tcW w:w="1361" w:type="dxa"/>
            <w:vAlign w:val="center"/>
          </w:tcPr>
          <w:p w14:paraId="314C20ED">
            <w:pPr>
              <w:pStyle w:val="14"/>
            </w:pPr>
            <w:r>
              <w:t>397.11</w:t>
            </w:r>
          </w:p>
        </w:tc>
        <w:tc>
          <w:tcPr>
            <w:tcW w:w="1361" w:type="dxa"/>
            <w:vAlign w:val="center"/>
          </w:tcPr>
          <w:p w14:paraId="45501631">
            <w:pPr>
              <w:pStyle w:val="14"/>
            </w:pPr>
          </w:p>
        </w:tc>
        <w:tc>
          <w:tcPr>
            <w:tcW w:w="1361" w:type="dxa"/>
            <w:vAlign w:val="center"/>
          </w:tcPr>
          <w:p w14:paraId="74A1F9CE">
            <w:pPr>
              <w:pStyle w:val="14"/>
            </w:pPr>
          </w:p>
        </w:tc>
        <w:tc>
          <w:tcPr>
            <w:tcW w:w="1361" w:type="dxa"/>
            <w:vAlign w:val="center"/>
          </w:tcPr>
          <w:p w14:paraId="56267BC3">
            <w:pPr>
              <w:pStyle w:val="14"/>
            </w:pPr>
          </w:p>
        </w:tc>
      </w:tr>
      <w:tr w14:paraId="6B027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0D9DC1A">
            <w:pPr>
              <w:pStyle w:val="12"/>
            </w:pPr>
            <w:r>
              <w:t>4</w:t>
            </w:r>
          </w:p>
        </w:tc>
        <w:tc>
          <w:tcPr>
            <w:tcW w:w="992" w:type="dxa"/>
            <w:vAlign w:val="center"/>
          </w:tcPr>
          <w:p w14:paraId="5722FF32">
            <w:pPr>
              <w:pStyle w:val="13"/>
            </w:pPr>
            <w:r>
              <w:t>2050201</w:t>
            </w:r>
          </w:p>
        </w:tc>
        <w:tc>
          <w:tcPr>
            <w:tcW w:w="4535" w:type="dxa"/>
            <w:vAlign w:val="center"/>
          </w:tcPr>
          <w:p w14:paraId="1763E7F7">
            <w:pPr>
              <w:pStyle w:val="13"/>
            </w:pPr>
            <w:r>
              <w:t>学前教育</w:t>
            </w:r>
          </w:p>
        </w:tc>
        <w:tc>
          <w:tcPr>
            <w:tcW w:w="1361" w:type="dxa"/>
            <w:vAlign w:val="center"/>
          </w:tcPr>
          <w:p w14:paraId="060CC152">
            <w:pPr>
              <w:pStyle w:val="14"/>
            </w:pPr>
            <w:r>
              <w:t>84.74</w:t>
            </w:r>
          </w:p>
        </w:tc>
        <w:tc>
          <w:tcPr>
            <w:tcW w:w="1361" w:type="dxa"/>
            <w:vAlign w:val="center"/>
          </w:tcPr>
          <w:p w14:paraId="28194787">
            <w:pPr>
              <w:pStyle w:val="14"/>
            </w:pPr>
          </w:p>
        </w:tc>
        <w:tc>
          <w:tcPr>
            <w:tcW w:w="1361" w:type="dxa"/>
            <w:vAlign w:val="center"/>
          </w:tcPr>
          <w:p w14:paraId="777A546A">
            <w:pPr>
              <w:pStyle w:val="14"/>
            </w:pPr>
            <w:r>
              <w:t>84.74</w:t>
            </w:r>
          </w:p>
        </w:tc>
        <w:tc>
          <w:tcPr>
            <w:tcW w:w="1361" w:type="dxa"/>
            <w:vAlign w:val="center"/>
          </w:tcPr>
          <w:p w14:paraId="33497DE3">
            <w:pPr>
              <w:pStyle w:val="14"/>
            </w:pPr>
          </w:p>
        </w:tc>
        <w:tc>
          <w:tcPr>
            <w:tcW w:w="1361" w:type="dxa"/>
            <w:vAlign w:val="center"/>
          </w:tcPr>
          <w:p w14:paraId="0E5C1FA7">
            <w:pPr>
              <w:pStyle w:val="14"/>
            </w:pPr>
          </w:p>
        </w:tc>
        <w:tc>
          <w:tcPr>
            <w:tcW w:w="1361" w:type="dxa"/>
            <w:vAlign w:val="center"/>
          </w:tcPr>
          <w:p w14:paraId="4722FDBB">
            <w:pPr>
              <w:pStyle w:val="14"/>
            </w:pPr>
          </w:p>
        </w:tc>
      </w:tr>
      <w:tr w14:paraId="281B2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486161E">
            <w:pPr>
              <w:pStyle w:val="12"/>
            </w:pPr>
            <w:r>
              <w:t>5</w:t>
            </w:r>
          </w:p>
        </w:tc>
        <w:tc>
          <w:tcPr>
            <w:tcW w:w="992" w:type="dxa"/>
            <w:vAlign w:val="center"/>
          </w:tcPr>
          <w:p w14:paraId="20A689FC">
            <w:pPr>
              <w:pStyle w:val="13"/>
            </w:pPr>
            <w:r>
              <w:t>2050202</w:t>
            </w:r>
          </w:p>
        </w:tc>
        <w:tc>
          <w:tcPr>
            <w:tcW w:w="4535" w:type="dxa"/>
            <w:vAlign w:val="center"/>
          </w:tcPr>
          <w:p w14:paraId="283E151E">
            <w:pPr>
              <w:pStyle w:val="13"/>
            </w:pPr>
            <w:r>
              <w:t>小学教育</w:t>
            </w:r>
          </w:p>
        </w:tc>
        <w:tc>
          <w:tcPr>
            <w:tcW w:w="1361" w:type="dxa"/>
            <w:vAlign w:val="center"/>
          </w:tcPr>
          <w:p w14:paraId="4475C0FE">
            <w:pPr>
              <w:pStyle w:val="14"/>
            </w:pPr>
            <w:r>
              <w:t>1909.06</w:t>
            </w:r>
          </w:p>
        </w:tc>
        <w:tc>
          <w:tcPr>
            <w:tcW w:w="1361" w:type="dxa"/>
            <w:vAlign w:val="center"/>
          </w:tcPr>
          <w:p w14:paraId="5E07DBD0">
            <w:pPr>
              <w:pStyle w:val="14"/>
            </w:pPr>
            <w:r>
              <w:t>1596.68</w:t>
            </w:r>
          </w:p>
        </w:tc>
        <w:tc>
          <w:tcPr>
            <w:tcW w:w="1361" w:type="dxa"/>
            <w:vAlign w:val="center"/>
          </w:tcPr>
          <w:p w14:paraId="01C8BC85">
            <w:pPr>
              <w:pStyle w:val="14"/>
            </w:pPr>
            <w:r>
              <w:t>312.37</w:t>
            </w:r>
          </w:p>
        </w:tc>
        <w:tc>
          <w:tcPr>
            <w:tcW w:w="1361" w:type="dxa"/>
            <w:vAlign w:val="center"/>
          </w:tcPr>
          <w:p w14:paraId="7F0EC310">
            <w:pPr>
              <w:pStyle w:val="14"/>
            </w:pPr>
          </w:p>
        </w:tc>
        <w:tc>
          <w:tcPr>
            <w:tcW w:w="1361" w:type="dxa"/>
            <w:vAlign w:val="center"/>
          </w:tcPr>
          <w:p w14:paraId="30266060">
            <w:pPr>
              <w:pStyle w:val="14"/>
            </w:pPr>
          </w:p>
        </w:tc>
        <w:tc>
          <w:tcPr>
            <w:tcW w:w="1361" w:type="dxa"/>
            <w:vAlign w:val="center"/>
          </w:tcPr>
          <w:p w14:paraId="05F91D4A">
            <w:pPr>
              <w:pStyle w:val="14"/>
            </w:pPr>
          </w:p>
        </w:tc>
      </w:tr>
    </w:tbl>
    <w:p w14:paraId="182D740D">
      <w:pPr>
        <w:sectPr>
          <w:pgSz w:w="16840" w:h="11900" w:orient="landscape"/>
          <w:pgMar w:top="1361" w:right="1020" w:bottom="1134" w:left="1020" w:header="720" w:footer="720" w:gutter="0"/>
          <w:cols w:space="720" w:num="1"/>
        </w:sectPr>
      </w:pPr>
    </w:p>
    <w:p w14:paraId="26462B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D65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41A572">
            <w:pPr>
              <w:pStyle w:val="8"/>
            </w:pPr>
            <w:r>
              <w:t>360025隆尧县千户营校区</w:t>
            </w:r>
          </w:p>
        </w:tc>
        <w:tc>
          <w:tcPr>
            <w:tcW w:w="3402" w:type="dxa"/>
            <w:tcBorders>
              <w:top w:val="single" w:color="FFFFFF" w:sz="6" w:space="0"/>
              <w:left w:val="single" w:color="FFFFFF" w:sz="6" w:space="0"/>
              <w:right w:val="single" w:color="FFFFFF" w:sz="6" w:space="0"/>
            </w:tcBorders>
            <w:vAlign w:val="center"/>
          </w:tcPr>
          <w:p w14:paraId="34F32AB1">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551E920">
            <w:pPr>
              <w:pStyle w:val="10"/>
            </w:pPr>
            <w:r>
              <w:t>单位：万元</w:t>
            </w:r>
          </w:p>
        </w:tc>
      </w:tr>
      <w:tr w14:paraId="2C9C5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DA856">
            <w:pPr>
              <w:pStyle w:val="11"/>
            </w:pPr>
            <w:r>
              <w:t>序号</w:t>
            </w:r>
          </w:p>
        </w:tc>
        <w:tc>
          <w:tcPr>
            <w:tcW w:w="4876" w:type="dxa"/>
            <w:gridSpan w:val="2"/>
            <w:vAlign w:val="center"/>
          </w:tcPr>
          <w:p w14:paraId="1261DD96">
            <w:pPr>
              <w:pStyle w:val="11"/>
            </w:pPr>
            <w:r>
              <w:t>收入</w:t>
            </w:r>
          </w:p>
        </w:tc>
        <w:tc>
          <w:tcPr>
            <w:tcW w:w="9298" w:type="dxa"/>
            <w:gridSpan w:val="5"/>
            <w:vAlign w:val="center"/>
          </w:tcPr>
          <w:p w14:paraId="3B3E47F0">
            <w:pPr>
              <w:pStyle w:val="11"/>
            </w:pPr>
            <w:r>
              <w:t>支出</w:t>
            </w:r>
          </w:p>
        </w:tc>
      </w:tr>
      <w:tr w14:paraId="58749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602C1F"/>
        </w:tc>
        <w:tc>
          <w:tcPr>
            <w:tcW w:w="3402" w:type="dxa"/>
            <w:vAlign w:val="center"/>
          </w:tcPr>
          <w:p w14:paraId="75318D39">
            <w:pPr>
              <w:pStyle w:val="11"/>
            </w:pPr>
            <w:r>
              <w:t>项  目</w:t>
            </w:r>
          </w:p>
        </w:tc>
        <w:tc>
          <w:tcPr>
            <w:tcW w:w="1474" w:type="dxa"/>
            <w:vAlign w:val="center"/>
          </w:tcPr>
          <w:p w14:paraId="03096187">
            <w:pPr>
              <w:pStyle w:val="11"/>
            </w:pPr>
            <w:r>
              <w:t>金额</w:t>
            </w:r>
          </w:p>
        </w:tc>
        <w:tc>
          <w:tcPr>
            <w:tcW w:w="3402" w:type="dxa"/>
            <w:vAlign w:val="center"/>
          </w:tcPr>
          <w:p w14:paraId="31D39288">
            <w:pPr>
              <w:pStyle w:val="11"/>
            </w:pPr>
            <w:r>
              <w:t>项  目</w:t>
            </w:r>
          </w:p>
        </w:tc>
        <w:tc>
          <w:tcPr>
            <w:tcW w:w="1474" w:type="dxa"/>
            <w:vAlign w:val="center"/>
          </w:tcPr>
          <w:p w14:paraId="4ED85416">
            <w:pPr>
              <w:pStyle w:val="11"/>
            </w:pPr>
            <w:r>
              <w:t>合计</w:t>
            </w:r>
          </w:p>
        </w:tc>
        <w:tc>
          <w:tcPr>
            <w:tcW w:w="1474" w:type="dxa"/>
            <w:vAlign w:val="center"/>
          </w:tcPr>
          <w:p w14:paraId="5760F06E">
            <w:pPr>
              <w:pStyle w:val="11"/>
            </w:pPr>
            <w:r>
              <w:t>一般公共预算财政拨款</w:t>
            </w:r>
          </w:p>
        </w:tc>
        <w:tc>
          <w:tcPr>
            <w:tcW w:w="1474" w:type="dxa"/>
            <w:vAlign w:val="center"/>
          </w:tcPr>
          <w:p w14:paraId="2C04D43B">
            <w:pPr>
              <w:pStyle w:val="11"/>
            </w:pPr>
            <w:r>
              <w:t>政府性基金预算财政    拨款</w:t>
            </w:r>
          </w:p>
        </w:tc>
        <w:tc>
          <w:tcPr>
            <w:tcW w:w="1474" w:type="dxa"/>
            <w:vAlign w:val="center"/>
          </w:tcPr>
          <w:p w14:paraId="3D687706">
            <w:pPr>
              <w:pStyle w:val="11"/>
            </w:pPr>
            <w:r>
              <w:t>国有资本经营预算财政拨款</w:t>
            </w:r>
          </w:p>
        </w:tc>
      </w:tr>
      <w:tr w14:paraId="58EDE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788909">
            <w:pPr>
              <w:pStyle w:val="11"/>
            </w:pPr>
            <w:r>
              <w:t>栏次</w:t>
            </w:r>
          </w:p>
        </w:tc>
        <w:tc>
          <w:tcPr>
            <w:tcW w:w="3402" w:type="dxa"/>
            <w:vAlign w:val="center"/>
          </w:tcPr>
          <w:p w14:paraId="2D6C5457">
            <w:pPr>
              <w:pStyle w:val="11"/>
            </w:pPr>
            <w:r>
              <w:t>1</w:t>
            </w:r>
          </w:p>
        </w:tc>
        <w:tc>
          <w:tcPr>
            <w:tcW w:w="1474" w:type="dxa"/>
            <w:vAlign w:val="center"/>
          </w:tcPr>
          <w:p w14:paraId="7DEB94B2">
            <w:pPr>
              <w:pStyle w:val="11"/>
            </w:pPr>
            <w:r>
              <w:t>2</w:t>
            </w:r>
          </w:p>
        </w:tc>
        <w:tc>
          <w:tcPr>
            <w:tcW w:w="3402" w:type="dxa"/>
            <w:vAlign w:val="center"/>
          </w:tcPr>
          <w:p w14:paraId="7A84A1CA">
            <w:pPr>
              <w:pStyle w:val="11"/>
            </w:pPr>
            <w:r>
              <w:t>3</w:t>
            </w:r>
          </w:p>
        </w:tc>
        <w:tc>
          <w:tcPr>
            <w:tcW w:w="1474" w:type="dxa"/>
            <w:vAlign w:val="center"/>
          </w:tcPr>
          <w:p w14:paraId="2C4A9EB9">
            <w:pPr>
              <w:pStyle w:val="11"/>
            </w:pPr>
            <w:r>
              <w:t>4</w:t>
            </w:r>
          </w:p>
        </w:tc>
        <w:tc>
          <w:tcPr>
            <w:tcW w:w="1474" w:type="dxa"/>
            <w:vAlign w:val="center"/>
          </w:tcPr>
          <w:p w14:paraId="1D4B3D23">
            <w:pPr>
              <w:pStyle w:val="11"/>
            </w:pPr>
            <w:r>
              <w:t>5</w:t>
            </w:r>
          </w:p>
        </w:tc>
        <w:tc>
          <w:tcPr>
            <w:tcW w:w="1474" w:type="dxa"/>
            <w:vAlign w:val="center"/>
          </w:tcPr>
          <w:p w14:paraId="2814D3B8">
            <w:pPr>
              <w:pStyle w:val="11"/>
            </w:pPr>
            <w:r>
              <w:t>6</w:t>
            </w:r>
          </w:p>
        </w:tc>
        <w:tc>
          <w:tcPr>
            <w:tcW w:w="1474" w:type="dxa"/>
            <w:vAlign w:val="center"/>
          </w:tcPr>
          <w:p w14:paraId="12F40FCD">
            <w:pPr>
              <w:pStyle w:val="11"/>
            </w:pPr>
            <w:r>
              <w:t>7</w:t>
            </w:r>
          </w:p>
        </w:tc>
      </w:tr>
      <w:tr w14:paraId="53640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D695C">
            <w:pPr>
              <w:pStyle w:val="12"/>
            </w:pPr>
            <w:r>
              <w:t>1</w:t>
            </w:r>
          </w:p>
        </w:tc>
        <w:tc>
          <w:tcPr>
            <w:tcW w:w="3402" w:type="dxa"/>
            <w:vAlign w:val="center"/>
          </w:tcPr>
          <w:p w14:paraId="6E1EF405">
            <w:pPr>
              <w:pStyle w:val="13"/>
            </w:pPr>
            <w:r>
              <w:t>一、一般公共预算拨款</w:t>
            </w:r>
          </w:p>
        </w:tc>
        <w:tc>
          <w:tcPr>
            <w:tcW w:w="1474" w:type="dxa"/>
            <w:vAlign w:val="center"/>
          </w:tcPr>
          <w:p w14:paraId="5027DB2F">
            <w:pPr>
              <w:pStyle w:val="14"/>
            </w:pPr>
            <w:r>
              <w:t>1993.80</w:t>
            </w:r>
          </w:p>
        </w:tc>
        <w:tc>
          <w:tcPr>
            <w:tcW w:w="3402" w:type="dxa"/>
            <w:vAlign w:val="center"/>
          </w:tcPr>
          <w:p w14:paraId="6039A33C">
            <w:pPr>
              <w:pStyle w:val="13"/>
            </w:pPr>
            <w:r>
              <w:t>一、一般公共服务支出</w:t>
            </w:r>
          </w:p>
        </w:tc>
        <w:tc>
          <w:tcPr>
            <w:tcW w:w="1474" w:type="dxa"/>
            <w:vAlign w:val="center"/>
          </w:tcPr>
          <w:p w14:paraId="2D616CA8">
            <w:pPr>
              <w:pStyle w:val="14"/>
            </w:pPr>
          </w:p>
        </w:tc>
        <w:tc>
          <w:tcPr>
            <w:tcW w:w="1474" w:type="dxa"/>
            <w:vAlign w:val="center"/>
          </w:tcPr>
          <w:p w14:paraId="3449382F">
            <w:pPr>
              <w:pStyle w:val="14"/>
            </w:pPr>
          </w:p>
        </w:tc>
        <w:tc>
          <w:tcPr>
            <w:tcW w:w="1474" w:type="dxa"/>
            <w:vAlign w:val="center"/>
          </w:tcPr>
          <w:p w14:paraId="0FCB2221">
            <w:pPr>
              <w:pStyle w:val="14"/>
            </w:pPr>
          </w:p>
        </w:tc>
        <w:tc>
          <w:tcPr>
            <w:tcW w:w="1474" w:type="dxa"/>
            <w:vAlign w:val="center"/>
          </w:tcPr>
          <w:p w14:paraId="19054C95">
            <w:pPr>
              <w:pStyle w:val="14"/>
            </w:pPr>
          </w:p>
        </w:tc>
      </w:tr>
      <w:tr w14:paraId="2DD6F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3962CE7">
            <w:pPr>
              <w:pStyle w:val="12"/>
            </w:pPr>
            <w:r>
              <w:t>2</w:t>
            </w:r>
          </w:p>
        </w:tc>
        <w:tc>
          <w:tcPr>
            <w:tcW w:w="3402" w:type="dxa"/>
            <w:vAlign w:val="center"/>
          </w:tcPr>
          <w:p w14:paraId="314D5777">
            <w:pPr>
              <w:pStyle w:val="13"/>
            </w:pPr>
            <w:r>
              <w:t>二、政府性基金预算拨款</w:t>
            </w:r>
          </w:p>
        </w:tc>
        <w:tc>
          <w:tcPr>
            <w:tcW w:w="1474" w:type="dxa"/>
            <w:vAlign w:val="center"/>
          </w:tcPr>
          <w:p w14:paraId="33729905">
            <w:pPr>
              <w:pStyle w:val="14"/>
            </w:pPr>
          </w:p>
        </w:tc>
        <w:tc>
          <w:tcPr>
            <w:tcW w:w="3402" w:type="dxa"/>
            <w:vAlign w:val="center"/>
          </w:tcPr>
          <w:p w14:paraId="35165677">
            <w:pPr>
              <w:pStyle w:val="13"/>
            </w:pPr>
            <w:r>
              <w:t>二、外交支出</w:t>
            </w:r>
          </w:p>
        </w:tc>
        <w:tc>
          <w:tcPr>
            <w:tcW w:w="1474" w:type="dxa"/>
            <w:vAlign w:val="center"/>
          </w:tcPr>
          <w:p w14:paraId="11DD2E07">
            <w:pPr>
              <w:pStyle w:val="14"/>
            </w:pPr>
          </w:p>
        </w:tc>
        <w:tc>
          <w:tcPr>
            <w:tcW w:w="1474" w:type="dxa"/>
            <w:vAlign w:val="center"/>
          </w:tcPr>
          <w:p w14:paraId="60450E3B">
            <w:pPr>
              <w:pStyle w:val="14"/>
            </w:pPr>
          </w:p>
        </w:tc>
        <w:tc>
          <w:tcPr>
            <w:tcW w:w="1474" w:type="dxa"/>
            <w:vAlign w:val="center"/>
          </w:tcPr>
          <w:p w14:paraId="1BE24561">
            <w:pPr>
              <w:pStyle w:val="14"/>
            </w:pPr>
          </w:p>
        </w:tc>
        <w:tc>
          <w:tcPr>
            <w:tcW w:w="1474" w:type="dxa"/>
            <w:vAlign w:val="center"/>
          </w:tcPr>
          <w:p w14:paraId="38FBD007">
            <w:pPr>
              <w:pStyle w:val="14"/>
            </w:pPr>
          </w:p>
        </w:tc>
      </w:tr>
      <w:tr w14:paraId="50B41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90E879B">
            <w:pPr>
              <w:pStyle w:val="12"/>
            </w:pPr>
            <w:r>
              <w:t>3</w:t>
            </w:r>
          </w:p>
        </w:tc>
        <w:tc>
          <w:tcPr>
            <w:tcW w:w="3402" w:type="dxa"/>
            <w:vAlign w:val="center"/>
          </w:tcPr>
          <w:p w14:paraId="64B7617E">
            <w:pPr>
              <w:pStyle w:val="13"/>
            </w:pPr>
            <w:r>
              <w:t>三、国有资本经营预算拨款</w:t>
            </w:r>
          </w:p>
        </w:tc>
        <w:tc>
          <w:tcPr>
            <w:tcW w:w="1474" w:type="dxa"/>
            <w:vAlign w:val="center"/>
          </w:tcPr>
          <w:p w14:paraId="4E33887E">
            <w:pPr>
              <w:pStyle w:val="14"/>
            </w:pPr>
          </w:p>
        </w:tc>
        <w:tc>
          <w:tcPr>
            <w:tcW w:w="3402" w:type="dxa"/>
            <w:vAlign w:val="center"/>
          </w:tcPr>
          <w:p w14:paraId="26BC0D10">
            <w:pPr>
              <w:pStyle w:val="13"/>
            </w:pPr>
            <w:r>
              <w:t>三、国防支出</w:t>
            </w:r>
          </w:p>
        </w:tc>
        <w:tc>
          <w:tcPr>
            <w:tcW w:w="1474" w:type="dxa"/>
            <w:vAlign w:val="center"/>
          </w:tcPr>
          <w:p w14:paraId="2C981F71">
            <w:pPr>
              <w:pStyle w:val="14"/>
            </w:pPr>
          </w:p>
        </w:tc>
        <w:tc>
          <w:tcPr>
            <w:tcW w:w="1474" w:type="dxa"/>
            <w:vAlign w:val="center"/>
          </w:tcPr>
          <w:p w14:paraId="090541E0">
            <w:pPr>
              <w:pStyle w:val="14"/>
            </w:pPr>
          </w:p>
        </w:tc>
        <w:tc>
          <w:tcPr>
            <w:tcW w:w="1474" w:type="dxa"/>
            <w:vAlign w:val="center"/>
          </w:tcPr>
          <w:p w14:paraId="6BDF4620">
            <w:pPr>
              <w:pStyle w:val="14"/>
            </w:pPr>
          </w:p>
        </w:tc>
        <w:tc>
          <w:tcPr>
            <w:tcW w:w="1474" w:type="dxa"/>
            <w:vAlign w:val="center"/>
          </w:tcPr>
          <w:p w14:paraId="66715AC9">
            <w:pPr>
              <w:pStyle w:val="14"/>
            </w:pPr>
          </w:p>
        </w:tc>
      </w:tr>
      <w:tr w14:paraId="498A5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D40AC">
            <w:pPr>
              <w:pStyle w:val="12"/>
            </w:pPr>
            <w:r>
              <w:t>4</w:t>
            </w:r>
          </w:p>
        </w:tc>
        <w:tc>
          <w:tcPr>
            <w:tcW w:w="3402" w:type="dxa"/>
            <w:vAlign w:val="center"/>
          </w:tcPr>
          <w:p w14:paraId="17DF6121">
            <w:pPr>
              <w:pStyle w:val="13"/>
            </w:pPr>
          </w:p>
        </w:tc>
        <w:tc>
          <w:tcPr>
            <w:tcW w:w="1474" w:type="dxa"/>
            <w:vAlign w:val="center"/>
          </w:tcPr>
          <w:p w14:paraId="182851DE">
            <w:pPr>
              <w:pStyle w:val="14"/>
            </w:pPr>
          </w:p>
        </w:tc>
        <w:tc>
          <w:tcPr>
            <w:tcW w:w="3402" w:type="dxa"/>
            <w:vAlign w:val="center"/>
          </w:tcPr>
          <w:p w14:paraId="42FB3D0A">
            <w:pPr>
              <w:pStyle w:val="13"/>
            </w:pPr>
            <w:r>
              <w:t>四、公共安全支出</w:t>
            </w:r>
          </w:p>
        </w:tc>
        <w:tc>
          <w:tcPr>
            <w:tcW w:w="1474" w:type="dxa"/>
            <w:vAlign w:val="center"/>
          </w:tcPr>
          <w:p w14:paraId="5C7AEE5A">
            <w:pPr>
              <w:pStyle w:val="14"/>
            </w:pPr>
          </w:p>
        </w:tc>
        <w:tc>
          <w:tcPr>
            <w:tcW w:w="1474" w:type="dxa"/>
            <w:vAlign w:val="center"/>
          </w:tcPr>
          <w:p w14:paraId="2CCCFE0B">
            <w:pPr>
              <w:pStyle w:val="14"/>
            </w:pPr>
          </w:p>
        </w:tc>
        <w:tc>
          <w:tcPr>
            <w:tcW w:w="1474" w:type="dxa"/>
            <w:vAlign w:val="center"/>
          </w:tcPr>
          <w:p w14:paraId="71199371">
            <w:pPr>
              <w:pStyle w:val="14"/>
            </w:pPr>
          </w:p>
        </w:tc>
        <w:tc>
          <w:tcPr>
            <w:tcW w:w="1474" w:type="dxa"/>
            <w:vAlign w:val="center"/>
          </w:tcPr>
          <w:p w14:paraId="044EAB5E">
            <w:pPr>
              <w:pStyle w:val="14"/>
            </w:pPr>
          </w:p>
        </w:tc>
      </w:tr>
      <w:tr w14:paraId="09FBA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6C13A">
            <w:pPr>
              <w:pStyle w:val="12"/>
            </w:pPr>
            <w:r>
              <w:t>5</w:t>
            </w:r>
          </w:p>
        </w:tc>
        <w:tc>
          <w:tcPr>
            <w:tcW w:w="3402" w:type="dxa"/>
            <w:vAlign w:val="center"/>
          </w:tcPr>
          <w:p w14:paraId="033A16C3">
            <w:pPr>
              <w:pStyle w:val="13"/>
            </w:pPr>
          </w:p>
        </w:tc>
        <w:tc>
          <w:tcPr>
            <w:tcW w:w="1474" w:type="dxa"/>
            <w:vAlign w:val="center"/>
          </w:tcPr>
          <w:p w14:paraId="002B3D9B">
            <w:pPr>
              <w:pStyle w:val="14"/>
            </w:pPr>
          </w:p>
        </w:tc>
        <w:tc>
          <w:tcPr>
            <w:tcW w:w="3402" w:type="dxa"/>
            <w:vAlign w:val="center"/>
          </w:tcPr>
          <w:p w14:paraId="233560A0">
            <w:pPr>
              <w:pStyle w:val="13"/>
            </w:pPr>
            <w:r>
              <w:t>五、教育支出</w:t>
            </w:r>
          </w:p>
        </w:tc>
        <w:tc>
          <w:tcPr>
            <w:tcW w:w="1474" w:type="dxa"/>
            <w:vAlign w:val="center"/>
          </w:tcPr>
          <w:p w14:paraId="7FCD2978">
            <w:pPr>
              <w:pStyle w:val="14"/>
            </w:pPr>
            <w:r>
              <w:t>1993.80</w:t>
            </w:r>
          </w:p>
        </w:tc>
        <w:tc>
          <w:tcPr>
            <w:tcW w:w="1474" w:type="dxa"/>
            <w:vAlign w:val="center"/>
          </w:tcPr>
          <w:p w14:paraId="662132B3">
            <w:pPr>
              <w:pStyle w:val="14"/>
            </w:pPr>
            <w:r>
              <w:t>1993.80</w:t>
            </w:r>
          </w:p>
        </w:tc>
        <w:tc>
          <w:tcPr>
            <w:tcW w:w="1474" w:type="dxa"/>
            <w:vAlign w:val="center"/>
          </w:tcPr>
          <w:p w14:paraId="5CA37AEE">
            <w:pPr>
              <w:pStyle w:val="14"/>
            </w:pPr>
          </w:p>
        </w:tc>
        <w:tc>
          <w:tcPr>
            <w:tcW w:w="1474" w:type="dxa"/>
            <w:vAlign w:val="center"/>
          </w:tcPr>
          <w:p w14:paraId="36E0D74F">
            <w:pPr>
              <w:pStyle w:val="14"/>
            </w:pPr>
          </w:p>
        </w:tc>
      </w:tr>
      <w:tr w14:paraId="56222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C80A2">
            <w:pPr>
              <w:pStyle w:val="12"/>
            </w:pPr>
            <w:r>
              <w:t>6</w:t>
            </w:r>
          </w:p>
        </w:tc>
        <w:tc>
          <w:tcPr>
            <w:tcW w:w="3402" w:type="dxa"/>
            <w:vAlign w:val="center"/>
          </w:tcPr>
          <w:p w14:paraId="0F1C3944">
            <w:pPr>
              <w:pStyle w:val="13"/>
            </w:pPr>
          </w:p>
        </w:tc>
        <w:tc>
          <w:tcPr>
            <w:tcW w:w="1474" w:type="dxa"/>
            <w:vAlign w:val="center"/>
          </w:tcPr>
          <w:p w14:paraId="1CC1DB7D">
            <w:pPr>
              <w:pStyle w:val="14"/>
            </w:pPr>
          </w:p>
        </w:tc>
        <w:tc>
          <w:tcPr>
            <w:tcW w:w="3402" w:type="dxa"/>
            <w:vAlign w:val="center"/>
          </w:tcPr>
          <w:p w14:paraId="4E30F281">
            <w:pPr>
              <w:pStyle w:val="13"/>
            </w:pPr>
            <w:r>
              <w:t>六、科学技术支出</w:t>
            </w:r>
          </w:p>
        </w:tc>
        <w:tc>
          <w:tcPr>
            <w:tcW w:w="1474" w:type="dxa"/>
            <w:vAlign w:val="center"/>
          </w:tcPr>
          <w:p w14:paraId="73FC8AAC">
            <w:pPr>
              <w:pStyle w:val="14"/>
            </w:pPr>
          </w:p>
        </w:tc>
        <w:tc>
          <w:tcPr>
            <w:tcW w:w="1474" w:type="dxa"/>
            <w:vAlign w:val="center"/>
          </w:tcPr>
          <w:p w14:paraId="20CCC108">
            <w:pPr>
              <w:pStyle w:val="14"/>
            </w:pPr>
          </w:p>
        </w:tc>
        <w:tc>
          <w:tcPr>
            <w:tcW w:w="1474" w:type="dxa"/>
            <w:vAlign w:val="center"/>
          </w:tcPr>
          <w:p w14:paraId="292C1B67">
            <w:pPr>
              <w:pStyle w:val="14"/>
            </w:pPr>
          </w:p>
        </w:tc>
        <w:tc>
          <w:tcPr>
            <w:tcW w:w="1474" w:type="dxa"/>
            <w:vAlign w:val="center"/>
          </w:tcPr>
          <w:p w14:paraId="246023DF">
            <w:pPr>
              <w:pStyle w:val="14"/>
            </w:pPr>
          </w:p>
        </w:tc>
      </w:tr>
      <w:tr w14:paraId="50A03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97646">
            <w:pPr>
              <w:pStyle w:val="12"/>
            </w:pPr>
            <w:r>
              <w:t>7</w:t>
            </w:r>
          </w:p>
        </w:tc>
        <w:tc>
          <w:tcPr>
            <w:tcW w:w="3402" w:type="dxa"/>
            <w:vAlign w:val="center"/>
          </w:tcPr>
          <w:p w14:paraId="3FCC055D">
            <w:pPr>
              <w:pStyle w:val="13"/>
            </w:pPr>
          </w:p>
        </w:tc>
        <w:tc>
          <w:tcPr>
            <w:tcW w:w="1474" w:type="dxa"/>
            <w:vAlign w:val="center"/>
          </w:tcPr>
          <w:p w14:paraId="0FF46502">
            <w:pPr>
              <w:pStyle w:val="14"/>
            </w:pPr>
          </w:p>
        </w:tc>
        <w:tc>
          <w:tcPr>
            <w:tcW w:w="3402" w:type="dxa"/>
            <w:vAlign w:val="center"/>
          </w:tcPr>
          <w:p w14:paraId="4CDD54B7">
            <w:pPr>
              <w:pStyle w:val="13"/>
            </w:pPr>
            <w:r>
              <w:t>七、文化旅游体育与传媒支出</w:t>
            </w:r>
          </w:p>
        </w:tc>
        <w:tc>
          <w:tcPr>
            <w:tcW w:w="1474" w:type="dxa"/>
            <w:vAlign w:val="center"/>
          </w:tcPr>
          <w:p w14:paraId="33C83BF5">
            <w:pPr>
              <w:pStyle w:val="14"/>
            </w:pPr>
          </w:p>
        </w:tc>
        <w:tc>
          <w:tcPr>
            <w:tcW w:w="1474" w:type="dxa"/>
            <w:vAlign w:val="center"/>
          </w:tcPr>
          <w:p w14:paraId="176863CB">
            <w:pPr>
              <w:pStyle w:val="14"/>
            </w:pPr>
          </w:p>
        </w:tc>
        <w:tc>
          <w:tcPr>
            <w:tcW w:w="1474" w:type="dxa"/>
            <w:vAlign w:val="center"/>
          </w:tcPr>
          <w:p w14:paraId="524BFF57">
            <w:pPr>
              <w:pStyle w:val="14"/>
            </w:pPr>
          </w:p>
        </w:tc>
        <w:tc>
          <w:tcPr>
            <w:tcW w:w="1474" w:type="dxa"/>
            <w:vAlign w:val="center"/>
          </w:tcPr>
          <w:p w14:paraId="078325C2">
            <w:pPr>
              <w:pStyle w:val="14"/>
            </w:pPr>
          </w:p>
        </w:tc>
      </w:tr>
      <w:tr w14:paraId="3E499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4540B83">
            <w:pPr>
              <w:pStyle w:val="12"/>
            </w:pPr>
            <w:r>
              <w:t>8</w:t>
            </w:r>
          </w:p>
        </w:tc>
        <w:tc>
          <w:tcPr>
            <w:tcW w:w="3402" w:type="dxa"/>
            <w:vAlign w:val="center"/>
          </w:tcPr>
          <w:p w14:paraId="1E1B8586">
            <w:pPr>
              <w:pStyle w:val="13"/>
            </w:pPr>
          </w:p>
        </w:tc>
        <w:tc>
          <w:tcPr>
            <w:tcW w:w="1474" w:type="dxa"/>
            <w:vAlign w:val="center"/>
          </w:tcPr>
          <w:p w14:paraId="73A9F260">
            <w:pPr>
              <w:pStyle w:val="14"/>
            </w:pPr>
          </w:p>
        </w:tc>
        <w:tc>
          <w:tcPr>
            <w:tcW w:w="3402" w:type="dxa"/>
            <w:vAlign w:val="center"/>
          </w:tcPr>
          <w:p w14:paraId="574D5CB1">
            <w:pPr>
              <w:pStyle w:val="13"/>
            </w:pPr>
            <w:r>
              <w:t>八、社会保障和就业支出</w:t>
            </w:r>
          </w:p>
        </w:tc>
        <w:tc>
          <w:tcPr>
            <w:tcW w:w="1474" w:type="dxa"/>
            <w:vAlign w:val="center"/>
          </w:tcPr>
          <w:p w14:paraId="058C158E">
            <w:pPr>
              <w:pStyle w:val="14"/>
            </w:pPr>
          </w:p>
        </w:tc>
        <w:tc>
          <w:tcPr>
            <w:tcW w:w="1474" w:type="dxa"/>
            <w:vAlign w:val="center"/>
          </w:tcPr>
          <w:p w14:paraId="4BB892BA">
            <w:pPr>
              <w:pStyle w:val="14"/>
            </w:pPr>
          </w:p>
        </w:tc>
        <w:tc>
          <w:tcPr>
            <w:tcW w:w="1474" w:type="dxa"/>
            <w:vAlign w:val="center"/>
          </w:tcPr>
          <w:p w14:paraId="329A496D">
            <w:pPr>
              <w:pStyle w:val="14"/>
            </w:pPr>
          </w:p>
        </w:tc>
        <w:tc>
          <w:tcPr>
            <w:tcW w:w="1474" w:type="dxa"/>
            <w:vAlign w:val="center"/>
          </w:tcPr>
          <w:p w14:paraId="3A3AA116">
            <w:pPr>
              <w:pStyle w:val="14"/>
            </w:pPr>
          </w:p>
        </w:tc>
      </w:tr>
      <w:tr w14:paraId="6564D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104B291">
            <w:pPr>
              <w:pStyle w:val="12"/>
            </w:pPr>
            <w:r>
              <w:t>9</w:t>
            </w:r>
          </w:p>
        </w:tc>
        <w:tc>
          <w:tcPr>
            <w:tcW w:w="3402" w:type="dxa"/>
            <w:vAlign w:val="center"/>
          </w:tcPr>
          <w:p w14:paraId="6D2D6FC5">
            <w:pPr>
              <w:pStyle w:val="13"/>
            </w:pPr>
          </w:p>
        </w:tc>
        <w:tc>
          <w:tcPr>
            <w:tcW w:w="1474" w:type="dxa"/>
            <w:vAlign w:val="center"/>
          </w:tcPr>
          <w:p w14:paraId="54EB6AEB">
            <w:pPr>
              <w:pStyle w:val="14"/>
            </w:pPr>
          </w:p>
        </w:tc>
        <w:tc>
          <w:tcPr>
            <w:tcW w:w="3402" w:type="dxa"/>
            <w:vAlign w:val="center"/>
          </w:tcPr>
          <w:p w14:paraId="35EABFED">
            <w:pPr>
              <w:pStyle w:val="13"/>
            </w:pPr>
            <w:r>
              <w:t>九、社会保险基金支出</w:t>
            </w:r>
          </w:p>
        </w:tc>
        <w:tc>
          <w:tcPr>
            <w:tcW w:w="1474" w:type="dxa"/>
            <w:vAlign w:val="center"/>
          </w:tcPr>
          <w:p w14:paraId="71DB2618">
            <w:pPr>
              <w:pStyle w:val="14"/>
            </w:pPr>
          </w:p>
        </w:tc>
        <w:tc>
          <w:tcPr>
            <w:tcW w:w="1474" w:type="dxa"/>
            <w:vAlign w:val="center"/>
          </w:tcPr>
          <w:p w14:paraId="7664A51B">
            <w:pPr>
              <w:pStyle w:val="14"/>
            </w:pPr>
          </w:p>
        </w:tc>
        <w:tc>
          <w:tcPr>
            <w:tcW w:w="1474" w:type="dxa"/>
            <w:vAlign w:val="center"/>
          </w:tcPr>
          <w:p w14:paraId="777EB68E">
            <w:pPr>
              <w:pStyle w:val="14"/>
            </w:pPr>
          </w:p>
        </w:tc>
        <w:tc>
          <w:tcPr>
            <w:tcW w:w="1474" w:type="dxa"/>
            <w:vAlign w:val="center"/>
          </w:tcPr>
          <w:p w14:paraId="7FFAEACA">
            <w:pPr>
              <w:pStyle w:val="14"/>
            </w:pPr>
          </w:p>
        </w:tc>
      </w:tr>
      <w:tr w14:paraId="3E452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D8367AB">
            <w:pPr>
              <w:pStyle w:val="12"/>
            </w:pPr>
            <w:r>
              <w:t>10</w:t>
            </w:r>
          </w:p>
        </w:tc>
        <w:tc>
          <w:tcPr>
            <w:tcW w:w="3402" w:type="dxa"/>
            <w:vAlign w:val="center"/>
          </w:tcPr>
          <w:p w14:paraId="323ED353">
            <w:pPr>
              <w:pStyle w:val="13"/>
            </w:pPr>
          </w:p>
        </w:tc>
        <w:tc>
          <w:tcPr>
            <w:tcW w:w="1474" w:type="dxa"/>
            <w:vAlign w:val="center"/>
          </w:tcPr>
          <w:p w14:paraId="297569A2">
            <w:pPr>
              <w:pStyle w:val="14"/>
            </w:pPr>
          </w:p>
        </w:tc>
        <w:tc>
          <w:tcPr>
            <w:tcW w:w="3402" w:type="dxa"/>
            <w:vAlign w:val="center"/>
          </w:tcPr>
          <w:p w14:paraId="62DBD380">
            <w:pPr>
              <w:pStyle w:val="13"/>
            </w:pPr>
            <w:r>
              <w:t>十、卫生健康支出</w:t>
            </w:r>
          </w:p>
        </w:tc>
        <w:tc>
          <w:tcPr>
            <w:tcW w:w="1474" w:type="dxa"/>
            <w:vAlign w:val="center"/>
          </w:tcPr>
          <w:p w14:paraId="5D2E00DF">
            <w:pPr>
              <w:pStyle w:val="14"/>
            </w:pPr>
          </w:p>
        </w:tc>
        <w:tc>
          <w:tcPr>
            <w:tcW w:w="1474" w:type="dxa"/>
            <w:vAlign w:val="center"/>
          </w:tcPr>
          <w:p w14:paraId="220D2B94">
            <w:pPr>
              <w:pStyle w:val="14"/>
            </w:pPr>
          </w:p>
        </w:tc>
        <w:tc>
          <w:tcPr>
            <w:tcW w:w="1474" w:type="dxa"/>
            <w:vAlign w:val="center"/>
          </w:tcPr>
          <w:p w14:paraId="50BAB949">
            <w:pPr>
              <w:pStyle w:val="14"/>
            </w:pPr>
          </w:p>
        </w:tc>
        <w:tc>
          <w:tcPr>
            <w:tcW w:w="1474" w:type="dxa"/>
            <w:vAlign w:val="center"/>
          </w:tcPr>
          <w:p w14:paraId="755B0067">
            <w:pPr>
              <w:pStyle w:val="14"/>
            </w:pPr>
          </w:p>
        </w:tc>
      </w:tr>
      <w:tr w14:paraId="0FA23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D3BE6AF">
            <w:pPr>
              <w:pStyle w:val="12"/>
            </w:pPr>
            <w:r>
              <w:t>11</w:t>
            </w:r>
          </w:p>
        </w:tc>
        <w:tc>
          <w:tcPr>
            <w:tcW w:w="3402" w:type="dxa"/>
            <w:vAlign w:val="center"/>
          </w:tcPr>
          <w:p w14:paraId="2AF04E85">
            <w:pPr>
              <w:pStyle w:val="13"/>
            </w:pPr>
          </w:p>
        </w:tc>
        <w:tc>
          <w:tcPr>
            <w:tcW w:w="1474" w:type="dxa"/>
            <w:vAlign w:val="center"/>
          </w:tcPr>
          <w:p w14:paraId="6D7403FE">
            <w:pPr>
              <w:pStyle w:val="14"/>
            </w:pPr>
          </w:p>
        </w:tc>
        <w:tc>
          <w:tcPr>
            <w:tcW w:w="3402" w:type="dxa"/>
            <w:vAlign w:val="center"/>
          </w:tcPr>
          <w:p w14:paraId="09A88447">
            <w:pPr>
              <w:pStyle w:val="13"/>
            </w:pPr>
            <w:r>
              <w:t>十一、节能环保支出</w:t>
            </w:r>
          </w:p>
        </w:tc>
        <w:tc>
          <w:tcPr>
            <w:tcW w:w="1474" w:type="dxa"/>
            <w:vAlign w:val="center"/>
          </w:tcPr>
          <w:p w14:paraId="3161FF73">
            <w:pPr>
              <w:pStyle w:val="14"/>
            </w:pPr>
          </w:p>
        </w:tc>
        <w:tc>
          <w:tcPr>
            <w:tcW w:w="1474" w:type="dxa"/>
            <w:vAlign w:val="center"/>
          </w:tcPr>
          <w:p w14:paraId="29C59180">
            <w:pPr>
              <w:pStyle w:val="14"/>
            </w:pPr>
          </w:p>
        </w:tc>
        <w:tc>
          <w:tcPr>
            <w:tcW w:w="1474" w:type="dxa"/>
            <w:vAlign w:val="center"/>
          </w:tcPr>
          <w:p w14:paraId="1545C668">
            <w:pPr>
              <w:pStyle w:val="14"/>
            </w:pPr>
          </w:p>
        </w:tc>
        <w:tc>
          <w:tcPr>
            <w:tcW w:w="1474" w:type="dxa"/>
            <w:vAlign w:val="center"/>
          </w:tcPr>
          <w:p w14:paraId="66D04C7A">
            <w:pPr>
              <w:pStyle w:val="14"/>
            </w:pPr>
          </w:p>
        </w:tc>
      </w:tr>
      <w:tr w14:paraId="54842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7053E">
            <w:pPr>
              <w:pStyle w:val="12"/>
            </w:pPr>
            <w:r>
              <w:t>12</w:t>
            </w:r>
          </w:p>
        </w:tc>
        <w:tc>
          <w:tcPr>
            <w:tcW w:w="3402" w:type="dxa"/>
            <w:vAlign w:val="center"/>
          </w:tcPr>
          <w:p w14:paraId="3B5F0522">
            <w:pPr>
              <w:pStyle w:val="13"/>
            </w:pPr>
          </w:p>
        </w:tc>
        <w:tc>
          <w:tcPr>
            <w:tcW w:w="1474" w:type="dxa"/>
            <w:vAlign w:val="center"/>
          </w:tcPr>
          <w:p w14:paraId="5C68C677">
            <w:pPr>
              <w:pStyle w:val="14"/>
            </w:pPr>
          </w:p>
        </w:tc>
        <w:tc>
          <w:tcPr>
            <w:tcW w:w="3402" w:type="dxa"/>
            <w:vAlign w:val="center"/>
          </w:tcPr>
          <w:p w14:paraId="000FAA55">
            <w:pPr>
              <w:pStyle w:val="13"/>
            </w:pPr>
            <w:r>
              <w:t>十二、城乡社区支出</w:t>
            </w:r>
          </w:p>
        </w:tc>
        <w:tc>
          <w:tcPr>
            <w:tcW w:w="1474" w:type="dxa"/>
            <w:vAlign w:val="center"/>
          </w:tcPr>
          <w:p w14:paraId="2F18B6AC">
            <w:pPr>
              <w:pStyle w:val="14"/>
            </w:pPr>
          </w:p>
        </w:tc>
        <w:tc>
          <w:tcPr>
            <w:tcW w:w="1474" w:type="dxa"/>
            <w:vAlign w:val="center"/>
          </w:tcPr>
          <w:p w14:paraId="194243A0">
            <w:pPr>
              <w:pStyle w:val="14"/>
            </w:pPr>
          </w:p>
        </w:tc>
        <w:tc>
          <w:tcPr>
            <w:tcW w:w="1474" w:type="dxa"/>
            <w:vAlign w:val="center"/>
          </w:tcPr>
          <w:p w14:paraId="33FCD37B">
            <w:pPr>
              <w:pStyle w:val="14"/>
            </w:pPr>
          </w:p>
        </w:tc>
        <w:tc>
          <w:tcPr>
            <w:tcW w:w="1474" w:type="dxa"/>
            <w:vAlign w:val="center"/>
          </w:tcPr>
          <w:p w14:paraId="62029EDF">
            <w:pPr>
              <w:pStyle w:val="14"/>
            </w:pPr>
          </w:p>
        </w:tc>
      </w:tr>
      <w:tr w14:paraId="0F174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0233400">
            <w:pPr>
              <w:pStyle w:val="12"/>
            </w:pPr>
            <w:r>
              <w:t>13</w:t>
            </w:r>
          </w:p>
        </w:tc>
        <w:tc>
          <w:tcPr>
            <w:tcW w:w="3402" w:type="dxa"/>
            <w:vAlign w:val="center"/>
          </w:tcPr>
          <w:p w14:paraId="7F3AEC41">
            <w:pPr>
              <w:pStyle w:val="13"/>
            </w:pPr>
          </w:p>
        </w:tc>
        <w:tc>
          <w:tcPr>
            <w:tcW w:w="1474" w:type="dxa"/>
            <w:vAlign w:val="center"/>
          </w:tcPr>
          <w:p w14:paraId="7A62AA34">
            <w:pPr>
              <w:pStyle w:val="14"/>
            </w:pPr>
          </w:p>
        </w:tc>
        <w:tc>
          <w:tcPr>
            <w:tcW w:w="3402" w:type="dxa"/>
            <w:vAlign w:val="center"/>
          </w:tcPr>
          <w:p w14:paraId="4E7ACE3F">
            <w:pPr>
              <w:pStyle w:val="13"/>
            </w:pPr>
            <w:r>
              <w:t>十三、农林水支出</w:t>
            </w:r>
          </w:p>
        </w:tc>
        <w:tc>
          <w:tcPr>
            <w:tcW w:w="1474" w:type="dxa"/>
            <w:vAlign w:val="center"/>
          </w:tcPr>
          <w:p w14:paraId="5075D3FE">
            <w:pPr>
              <w:pStyle w:val="14"/>
            </w:pPr>
          </w:p>
        </w:tc>
        <w:tc>
          <w:tcPr>
            <w:tcW w:w="1474" w:type="dxa"/>
            <w:vAlign w:val="center"/>
          </w:tcPr>
          <w:p w14:paraId="1DF4A463">
            <w:pPr>
              <w:pStyle w:val="14"/>
            </w:pPr>
          </w:p>
        </w:tc>
        <w:tc>
          <w:tcPr>
            <w:tcW w:w="1474" w:type="dxa"/>
            <w:vAlign w:val="center"/>
          </w:tcPr>
          <w:p w14:paraId="6BBEA91B">
            <w:pPr>
              <w:pStyle w:val="14"/>
            </w:pPr>
          </w:p>
        </w:tc>
        <w:tc>
          <w:tcPr>
            <w:tcW w:w="1474" w:type="dxa"/>
            <w:vAlign w:val="center"/>
          </w:tcPr>
          <w:p w14:paraId="0577098E">
            <w:pPr>
              <w:pStyle w:val="14"/>
            </w:pPr>
          </w:p>
        </w:tc>
      </w:tr>
      <w:tr w14:paraId="69074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A402C56">
            <w:pPr>
              <w:pStyle w:val="12"/>
            </w:pPr>
            <w:r>
              <w:t>14</w:t>
            </w:r>
          </w:p>
        </w:tc>
        <w:tc>
          <w:tcPr>
            <w:tcW w:w="3402" w:type="dxa"/>
            <w:vAlign w:val="center"/>
          </w:tcPr>
          <w:p w14:paraId="78C766B8">
            <w:pPr>
              <w:pStyle w:val="13"/>
            </w:pPr>
          </w:p>
        </w:tc>
        <w:tc>
          <w:tcPr>
            <w:tcW w:w="1474" w:type="dxa"/>
            <w:vAlign w:val="center"/>
          </w:tcPr>
          <w:p w14:paraId="030E0007">
            <w:pPr>
              <w:pStyle w:val="14"/>
            </w:pPr>
          </w:p>
        </w:tc>
        <w:tc>
          <w:tcPr>
            <w:tcW w:w="3402" w:type="dxa"/>
            <w:vAlign w:val="center"/>
          </w:tcPr>
          <w:p w14:paraId="308113F4">
            <w:pPr>
              <w:pStyle w:val="13"/>
            </w:pPr>
            <w:r>
              <w:t>十四、交通运输支出</w:t>
            </w:r>
          </w:p>
        </w:tc>
        <w:tc>
          <w:tcPr>
            <w:tcW w:w="1474" w:type="dxa"/>
            <w:vAlign w:val="center"/>
          </w:tcPr>
          <w:p w14:paraId="3BB8F0D7">
            <w:pPr>
              <w:pStyle w:val="14"/>
            </w:pPr>
          </w:p>
        </w:tc>
        <w:tc>
          <w:tcPr>
            <w:tcW w:w="1474" w:type="dxa"/>
            <w:vAlign w:val="center"/>
          </w:tcPr>
          <w:p w14:paraId="56D02C41">
            <w:pPr>
              <w:pStyle w:val="14"/>
            </w:pPr>
          </w:p>
        </w:tc>
        <w:tc>
          <w:tcPr>
            <w:tcW w:w="1474" w:type="dxa"/>
            <w:vAlign w:val="center"/>
          </w:tcPr>
          <w:p w14:paraId="502CAF93">
            <w:pPr>
              <w:pStyle w:val="14"/>
            </w:pPr>
          </w:p>
        </w:tc>
        <w:tc>
          <w:tcPr>
            <w:tcW w:w="1474" w:type="dxa"/>
            <w:vAlign w:val="center"/>
          </w:tcPr>
          <w:p w14:paraId="61B9919A">
            <w:pPr>
              <w:pStyle w:val="14"/>
            </w:pPr>
          </w:p>
        </w:tc>
      </w:tr>
      <w:tr w14:paraId="15F22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BDB549E">
            <w:pPr>
              <w:pStyle w:val="12"/>
            </w:pPr>
            <w:r>
              <w:t>15</w:t>
            </w:r>
          </w:p>
        </w:tc>
        <w:tc>
          <w:tcPr>
            <w:tcW w:w="3402" w:type="dxa"/>
            <w:vAlign w:val="center"/>
          </w:tcPr>
          <w:p w14:paraId="0D574ECD">
            <w:pPr>
              <w:pStyle w:val="13"/>
            </w:pPr>
          </w:p>
        </w:tc>
        <w:tc>
          <w:tcPr>
            <w:tcW w:w="1474" w:type="dxa"/>
            <w:vAlign w:val="center"/>
          </w:tcPr>
          <w:p w14:paraId="3ABB2C5D">
            <w:pPr>
              <w:pStyle w:val="14"/>
            </w:pPr>
          </w:p>
        </w:tc>
        <w:tc>
          <w:tcPr>
            <w:tcW w:w="3402" w:type="dxa"/>
            <w:vAlign w:val="center"/>
          </w:tcPr>
          <w:p w14:paraId="1CB07157">
            <w:pPr>
              <w:pStyle w:val="13"/>
            </w:pPr>
            <w:r>
              <w:t>十五、资源勘探工业信息等支出</w:t>
            </w:r>
          </w:p>
        </w:tc>
        <w:tc>
          <w:tcPr>
            <w:tcW w:w="1474" w:type="dxa"/>
            <w:vAlign w:val="center"/>
          </w:tcPr>
          <w:p w14:paraId="7F991A55">
            <w:pPr>
              <w:pStyle w:val="14"/>
            </w:pPr>
          </w:p>
        </w:tc>
        <w:tc>
          <w:tcPr>
            <w:tcW w:w="1474" w:type="dxa"/>
            <w:vAlign w:val="center"/>
          </w:tcPr>
          <w:p w14:paraId="0EBA1A5B">
            <w:pPr>
              <w:pStyle w:val="14"/>
            </w:pPr>
          </w:p>
        </w:tc>
        <w:tc>
          <w:tcPr>
            <w:tcW w:w="1474" w:type="dxa"/>
            <w:vAlign w:val="center"/>
          </w:tcPr>
          <w:p w14:paraId="53DED17B">
            <w:pPr>
              <w:pStyle w:val="14"/>
            </w:pPr>
          </w:p>
        </w:tc>
        <w:tc>
          <w:tcPr>
            <w:tcW w:w="1474" w:type="dxa"/>
            <w:vAlign w:val="center"/>
          </w:tcPr>
          <w:p w14:paraId="3B2BAAFB">
            <w:pPr>
              <w:pStyle w:val="14"/>
            </w:pPr>
          </w:p>
        </w:tc>
      </w:tr>
      <w:tr w14:paraId="37325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F4567">
            <w:pPr>
              <w:pStyle w:val="12"/>
            </w:pPr>
            <w:r>
              <w:t>16</w:t>
            </w:r>
          </w:p>
        </w:tc>
        <w:tc>
          <w:tcPr>
            <w:tcW w:w="3402" w:type="dxa"/>
            <w:vAlign w:val="center"/>
          </w:tcPr>
          <w:p w14:paraId="74A9312B">
            <w:pPr>
              <w:pStyle w:val="13"/>
            </w:pPr>
          </w:p>
        </w:tc>
        <w:tc>
          <w:tcPr>
            <w:tcW w:w="1474" w:type="dxa"/>
            <w:vAlign w:val="center"/>
          </w:tcPr>
          <w:p w14:paraId="397F989D">
            <w:pPr>
              <w:pStyle w:val="14"/>
            </w:pPr>
          </w:p>
        </w:tc>
        <w:tc>
          <w:tcPr>
            <w:tcW w:w="3402" w:type="dxa"/>
            <w:vAlign w:val="center"/>
          </w:tcPr>
          <w:p w14:paraId="5E74DDD0">
            <w:pPr>
              <w:pStyle w:val="13"/>
            </w:pPr>
            <w:r>
              <w:t>十六、商业服务业等支出</w:t>
            </w:r>
          </w:p>
        </w:tc>
        <w:tc>
          <w:tcPr>
            <w:tcW w:w="1474" w:type="dxa"/>
            <w:vAlign w:val="center"/>
          </w:tcPr>
          <w:p w14:paraId="6383552F">
            <w:pPr>
              <w:pStyle w:val="14"/>
            </w:pPr>
          </w:p>
        </w:tc>
        <w:tc>
          <w:tcPr>
            <w:tcW w:w="1474" w:type="dxa"/>
            <w:vAlign w:val="center"/>
          </w:tcPr>
          <w:p w14:paraId="5393BB22">
            <w:pPr>
              <w:pStyle w:val="14"/>
            </w:pPr>
          </w:p>
        </w:tc>
        <w:tc>
          <w:tcPr>
            <w:tcW w:w="1474" w:type="dxa"/>
            <w:vAlign w:val="center"/>
          </w:tcPr>
          <w:p w14:paraId="4A4FF856">
            <w:pPr>
              <w:pStyle w:val="14"/>
            </w:pPr>
          </w:p>
        </w:tc>
        <w:tc>
          <w:tcPr>
            <w:tcW w:w="1474" w:type="dxa"/>
            <w:vAlign w:val="center"/>
          </w:tcPr>
          <w:p w14:paraId="55BAEBE7">
            <w:pPr>
              <w:pStyle w:val="14"/>
            </w:pPr>
          </w:p>
        </w:tc>
      </w:tr>
      <w:tr w14:paraId="74B4A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545469A">
            <w:pPr>
              <w:pStyle w:val="12"/>
            </w:pPr>
            <w:r>
              <w:t>17</w:t>
            </w:r>
          </w:p>
        </w:tc>
        <w:tc>
          <w:tcPr>
            <w:tcW w:w="3402" w:type="dxa"/>
            <w:vAlign w:val="center"/>
          </w:tcPr>
          <w:p w14:paraId="11839B19">
            <w:pPr>
              <w:pStyle w:val="13"/>
            </w:pPr>
          </w:p>
        </w:tc>
        <w:tc>
          <w:tcPr>
            <w:tcW w:w="1474" w:type="dxa"/>
            <w:vAlign w:val="center"/>
          </w:tcPr>
          <w:p w14:paraId="4CBC38A1">
            <w:pPr>
              <w:pStyle w:val="14"/>
            </w:pPr>
          </w:p>
        </w:tc>
        <w:tc>
          <w:tcPr>
            <w:tcW w:w="3402" w:type="dxa"/>
            <w:vAlign w:val="center"/>
          </w:tcPr>
          <w:p w14:paraId="2D2A5B3B">
            <w:pPr>
              <w:pStyle w:val="13"/>
            </w:pPr>
            <w:r>
              <w:t>十七、金融支出</w:t>
            </w:r>
          </w:p>
        </w:tc>
        <w:tc>
          <w:tcPr>
            <w:tcW w:w="1474" w:type="dxa"/>
            <w:vAlign w:val="center"/>
          </w:tcPr>
          <w:p w14:paraId="70D4015B">
            <w:pPr>
              <w:pStyle w:val="14"/>
            </w:pPr>
          </w:p>
        </w:tc>
        <w:tc>
          <w:tcPr>
            <w:tcW w:w="1474" w:type="dxa"/>
            <w:vAlign w:val="center"/>
          </w:tcPr>
          <w:p w14:paraId="7D4D435D">
            <w:pPr>
              <w:pStyle w:val="14"/>
            </w:pPr>
          </w:p>
        </w:tc>
        <w:tc>
          <w:tcPr>
            <w:tcW w:w="1474" w:type="dxa"/>
            <w:vAlign w:val="center"/>
          </w:tcPr>
          <w:p w14:paraId="4C0D1D0F">
            <w:pPr>
              <w:pStyle w:val="14"/>
            </w:pPr>
          </w:p>
        </w:tc>
        <w:tc>
          <w:tcPr>
            <w:tcW w:w="1474" w:type="dxa"/>
            <w:vAlign w:val="center"/>
          </w:tcPr>
          <w:p w14:paraId="171072C3">
            <w:pPr>
              <w:pStyle w:val="14"/>
            </w:pPr>
          </w:p>
        </w:tc>
      </w:tr>
      <w:tr w14:paraId="0C4E7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DE701">
            <w:pPr>
              <w:pStyle w:val="12"/>
            </w:pPr>
            <w:r>
              <w:t>18</w:t>
            </w:r>
          </w:p>
        </w:tc>
        <w:tc>
          <w:tcPr>
            <w:tcW w:w="3402" w:type="dxa"/>
            <w:vAlign w:val="center"/>
          </w:tcPr>
          <w:p w14:paraId="72A03F1C">
            <w:pPr>
              <w:pStyle w:val="13"/>
            </w:pPr>
          </w:p>
        </w:tc>
        <w:tc>
          <w:tcPr>
            <w:tcW w:w="1474" w:type="dxa"/>
            <w:vAlign w:val="center"/>
          </w:tcPr>
          <w:p w14:paraId="710AC65F">
            <w:pPr>
              <w:pStyle w:val="14"/>
            </w:pPr>
          </w:p>
        </w:tc>
        <w:tc>
          <w:tcPr>
            <w:tcW w:w="3402" w:type="dxa"/>
            <w:vAlign w:val="center"/>
          </w:tcPr>
          <w:p w14:paraId="01E760C8">
            <w:pPr>
              <w:pStyle w:val="13"/>
            </w:pPr>
            <w:r>
              <w:t>十八、援助其他地区支出</w:t>
            </w:r>
          </w:p>
        </w:tc>
        <w:tc>
          <w:tcPr>
            <w:tcW w:w="1474" w:type="dxa"/>
            <w:vAlign w:val="center"/>
          </w:tcPr>
          <w:p w14:paraId="2D241AD4">
            <w:pPr>
              <w:pStyle w:val="14"/>
            </w:pPr>
          </w:p>
        </w:tc>
        <w:tc>
          <w:tcPr>
            <w:tcW w:w="1474" w:type="dxa"/>
            <w:vAlign w:val="center"/>
          </w:tcPr>
          <w:p w14:paraId="046A74CE">
            <w:pPr>
              <w:pStyle w:val="14"/>
            </w:pPr>
          </w:p>
        </w:tc>
        <w:tc>
          <w:tcPr>
            <w:tcW w:w="1474" w:type="dxa"/>
            <w:vAlign w:val="center"/>
          </w:tcPr>
          <w:p w14:paraId="3E7FD28D">
            <w:pPr>
              <w:pStyle w:val="14"/>
            </w:pPr>
          </w:p>
        </w:tc>
        <w:tc>
          <w:tcPr>
            <w:tcW w:w="1474" w:type="dxa"/>
            <w:vAlign w:val="center"/>
          </w:tcPr>
          <w:p w14:paraId="5562B459">
            <w:pPr>
              <w:pStyle w:val="14"/>
            </w:pPr>
          </w:p>
        </w:tc>
      </w:tr>
      <w:tr w14:paraId="69CB0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9B9D8">
            <w:pPr>
              <w:pStyle w:val="12"/>
            </w:pPr>
            <w:r>
              <w:t>19</w:t>
            </w:r>
          </w:p>
        </w:tc>
        <w:tc>
          <w:tcPr>
            <w:tcW w:w="3402" w:type="dxa"/>
            <w:vAlign w:val="center"/>
          </w:tcPr>
          <w:p w14:paraId="62500DF3">
            <w:pPr>
              <w:pStyle w:val="13"/>
            </w:pPr>
          </w:p>
        </w:tc>
        <w:tc>
          <w:tcPr>
            <w:tcW w:w="1474" w:type="dxa"/>
            <w:vAlign w:val="center"/>
          </w:tcPr>
          <w:p w14:paraId="4A408B45">
            <w:pPr>
              <w:pStyle w:val="14"/>
            </w:pPr>
          </w:p>
        </w:tc>
        <w:tc>
          <w:tcPr>
            <w:tcW w:w="3402" w:type="dxa"/>
            <w:vAlign w:val="center"/>
          </w:tcPr>
          <w:p w14:paraId="519F27AE">
            <w:pPr>
              <w:pStyle w:val="13"/>
            </w:pPr>
            <w:r>
              <w:t>十九、自然资源海洋气象等支出</w:t>
            </w:r>
          </w:p>
        </w:tc>
        <w:tc>
          <w:tcPr>
            <w:tcW w:w="1474" w:type="dxa"/>
            <w:vAlign w:val="center"/>
          </w:tcPr>
          <w:p w14:paraId="335965BE">
            <w:pPr>
              <w:pStyle w:val="14"/>
            </w:pPr>
          </w:p>
        </w:tc>
        <w:tc>
          <w:tcPr>
            <w:tcW w:w="1474" w:type="dxa"/>
            <w:vAlign w:val="center"/>
          </w:tcPr>
          <w:p w14:paraId="00691945">
            <w:pPr>
              <w:pStyle w:val="14"/>
            </w:pPr>
          </w:p>
        </w:tc>
        <w:tc>
          <w:tcPr>
            <w:tcW w:w="1474" w:type="dxa"/>
            <w:vAlign w:val="center"/>
          </w:tcPr>
          <w:p w14:paraId="558CE15C">
            <w:pPr>
              <w:pStyle w:val="14"/>
            </w:pPr>
          </w:p>
        </w:tc>
        <w:tc>
          <w:tcPr>
            <w:tcW w:w="1474" w:type="dxa"/>
            <w:vAlign w:val="center"/>
          </w:tcPr>
          <w:p w14:paraId="39705CBC">
            <w:pPr>
              <w:pStyle w:val="14"/>
            </w:pPr>
          </w:p>
        </w:tc>
      </w:tr>
      <w:tr w14:paraId="30CCF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1688B">
            <w:pPr>
              <w:pStyle w:val="12"/>
            </w:pPr>
            <w:r>
              <w:t>20</w:t>
            </w:r>
          </w:p>
        </w:tc>
        <w:tc>
          <w:tcPr>
            <w:tcW w:w="3402" w:type="dxa"/>
            <w:vAlign w:val="center"/>
          </w:tcPr>
          <w:p w14:paraId="0E8B881E">
            <w:pPr>
              <w:pStyle w:val="13"/>
            </w:pPr>
          </w:p>
        </w:tc>
        <w:tc>
          <w:tcPr>
            <w:tcW w:w="1474" w:type="dxa"/>
            <w:vAlign w:val="center"/>
          </w:tcPr>
          <w:p w14:paraId="1C3C7205">
            <w:pPr>
              <w:pStyle w:val="14"/>
            </w:pPr>
          </w:p>
        </w:tc>
        <w:tc>
          <w:tcPr>
            <w:tcW w:w="3402" w:type="dxa"/>
            <w:vAlign w:val="center"/>
          </w:tcPr>
          <w:p w14:paraId="68440662">
            <w:pPr>
              <w:pStyle w:val="13"/>
            </w:pPr>
            <w:r>
              <w:t>二十、住房保障支出</w:t>
            </w:r>
          </w:p>
        </w:tc>
        <w:tc>
          <w:tcPr>
            <w:tcW w:w="1474" w:type="dxa"/>
            <w:vAlign w:val="center"/>
          </w:tcPr>
          <w:p w14:paraId="72C9E3B6">
            <w:pPr>
              <w:pStyle w:val="14"/>
            </w:pPr>
          </w:p>
        </w:tc>
        <w:tc>
          <w:tcPr>
            <w:tcW w:w="1474" w:type="dxa"/>
            <w:vAlign w:val="center"/>
          </w:tcPr>
          <w:p w14:paraId="3DB8F62E">
            <w:pPr>
              <w:pStyle w:val="14"/>
            </w:pPr>
          </w:p>
        </w:tc>
        <w:tc>
          <w:tcPr>
            <w:tcW w:w="1474" w:type="dxa"/>
            <w:vAlign w:val="center"/>
          </w:tcPr>
          <w:p w14:paraId="3720BA0F">
            <w:pPr>
              <w:pStyle w:val="14"/>
            </w:pPr>
          </w:p>
        </w:tc>
        <w:tc>
          <w:tcPr>
            <w:tcW w:w="1474" w:type="dxa"/>
            <w:vAlign w:val="center"/>
          </w:tcPr>
          <w:p w14:paraId="419D15E5">
            <w:pPr>
              <w:pStyle w:val="14"/>
            </w:pPr>
          </w:p>
        </w:tc>
      </w:tr>
      <w:tr w14:paraId="29BBC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1D02D87">
            <w:pPr>
              <w:pStyle w:val="12"/>
            </w:pPr>
            <w:r>
              <w:t>21</w:t>
            </w:r>
          </w:p>
        </w:tc>
        <w:tc>
          <w:tcPr>
            <w:tcW w:w="3402" w:type="dxa"/>
            <w:vAlign w:val="center"/>
          </w:tcPr>
          <w:p w14:paraId="7A379CBC">
            <w:pPr>
              <w:pStyle w:val="13"/>
            </w:pPr>
          </w:p>
        </w:tc>
        <w:tc>
          <w:tcPr>
            <w:tcW w:w="1474" w:type="dxa"/>
            <w:vAlign w:val="center"/>
          </w:tcPr>
          <w:p w14:paraId="49F61AD6">
            <w:pPr>
              <w:pStyle w:val="14"/>
            </w:pPr>
          </w:p>
        </w:tc>
        <w:tc>
          <w:tcPr>
            <w:tcW w:w="3402" w:type="dxa"/>
            <w:vAlign w:val="center"/>
          </w:tcPr>
          <w:p w14:paraId="39BBC25F">
            <w:pPr>
              <w:pStyle w:val="13"/>
            </w:pPr>
            <w:r>
              <w:t>二十一、粮油物资储备支出</w:t>
            </w:r>
          </w:p>
        </w:tc>
        <w:tc>
          <w:tcPr>
            <w:tcW w:w="1474" w:type="dxa"/>
            <w:vAlign w:val="center"/>
          </w:tcPr>
          <w:p w14:paraId="78E91AE1">
            <w:pPr>
              <w:pStyle w:val="14"/>
            </w:pPr>
          </w:p>
        </w:tc>
        <w:tc>
          <w:tcPr>
            <w:tcW w:w="1474" w:type="dxa"/>
            <w:vAlign w:val="center"/>
          </w:tcPr>
          <w:p w14:paraId="03878468">
            <w:pPr>
              <w:pStyle w:val="14"/>
            </w:pPr>
          </w:p>
        </w:tc>
        <w:tc>
          <w:tcPr>
            <w:tcW w:w="1474" w:type="dxa"/>
            <w:vAlign w:val="center"/>
          </w:tcPr>
          <w:p w14:paraId="0B64FD83">
            <w:pPr>
              <w:pStyle w:val="14"/>
            </w:pPr>
          </w:p>
        </w:tc>
        <w:tc>
          <w:tcPr>
            <w:tcW w:w="1474" w:type="dxa"/>
            <w:vAlign w:val="center"/>
          </w:tcPr>
          <w:p w14:paraId="7324FD84">
            <w:pPr>
              <w:pStyle w:val="14"/>
            </w:pPr>
          </w:p>
        </w:tc>
      </w:tr>
      <w:tr w14:paraId="346BA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F847D">
            <w:pPr>
              <w:pStyle w:val="12"/>
            </w:pPr>
            <w:r>
              <w:t>22</w:t>
            </w:r>
          </w:p>
        </w:tc>
        <w:tc>
          <w:tcPr>
            <w:tcW w:w="3402" w:type="dxa"/>
            <w:vAlign w:val="center"/>
          </w:tcPr>
          <w:p w14:paraId="049D1A82">
            <w:pPr>
              <w:pStyle w:val="13"/>
            </w:pPr>
          </w:p>
        </w:tc>
        <w:tc>
          <w:tcPr>
            <w:tcW w:w="1474" w:type="dxa"/>
            <w:vAlign w:val="center"/>
          </w:tcPr>
          <w:p w14:paraId="1D64ACD9">
            <w:pPr>
              <w:pStyle w:val="14"/>
            </w:pPr>
          </w:p>
        </w:tc>
        <w:tc>
          <w:tcPr>
            <w:tcW w:w="3402" w:type="dxa"/>
            <w:vAlign w:val="center"/>
          </w:tcPr>
          <w:p w14:paraId="38D59545">
            <w:pPr>
              <w:pStyle w:val="13"/>
            </w:pPr>
            <w:r>
              <w:t>二十二、国有资本经营预算支出</w:t>
            </w:r>
          </w:p>
        </w:tc>
        <w:tc>
          <w:tcPr>
            <w:tcW w:w="1474" w:type="dxa"/>
            <w:vAlign w:val="center"/>
          </w:tcPr>
          <w:p w14:paraId="7D5F0BD1">
            <w:pPr>
              <w:pStyle w:val="14"/>
            </w:pPr>
          </w:p>
        </w:tc>
        <w:tc>
          <w:tcPr>
            <w:tcW w:w="1474" w:type="dxa"/>
            <w:vAlign w:val="center"/>
          </w:tcPr>
          <w:p w14:paraId="0CC3F01D">
            <w:pPr>
              <w:pStyle w:val="14"/>
            </w:pPr>
          </w:p>
        </w:tc>
        <w:tc>
          <w:tcPr>
            <w:tcW w:w="1474" w:type="dxa"/>
            <w:vAlign w:val="center"/>
          </w:tcPr>
          <w:p w14:paraId="70FED4CB">
            <w:pPr>
              <w:pStyle w:val="14"/>
            </w:pPr>
          </w:p>
        </w:tc>
        <w:tc>
          <w:tcPr>
            <w:tcW w:w="1474" w:type="dxa"/>
            <w:vAlign w:val="center"/>
          </w:tcPr>
          <w:p w14:paraId="38D1768A">
            <w:pPr>
              <w:pStyle w:val="14"/>
            </w:pPr>
          </w:p>
        </w:tc>
      </w:tr>
      <w:tr w14:paraId="1FEB9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FD36BE3">
            <w:pPr>
              <w:pStyle w:val="12"/>
            </w:pPr>
            <w:r>
              <w:t>23</w:t>
            </w:r>
          </w:p>
        </w:tc>
        <w:tc>
          <w:tcPr>
            <w:tcW w:w="3402" w:type="dxa"/>
            <w:vAlign w:val="center"/>
          </w:tcPr>
          <w:p w14:paraId="3D3F101F">
            <w:pPr>
              <w:pStyle w:val="13"/>
            </w:pPr>
          </w:p>
        </w:tc>
        <w:tc>
          <w:tcPr>
            <w:tcW w:w="1474" w:type="dxa"/>
            <w:vAlign w:val="center"/>
          </w:tcPr>
          <w:p w14:paraId="06F95771">
            <w:pPr>
              <w:pStyle w:val="14"/>
            </w:pPr>
          </w:p>
        </w:tc>
        <w:tc>
          <w:tcPr>
            <w:tcW w:w="3402" w:type="dxa"/>
            <w:vAlign w:val="center"/>
          </w:tcPr>
          <w:p w14:paraId="70650D8A">
            <w:pPr>
              <w:pStyle w:val="13"/>
            </w:pPr>
            <w:r>
              <w:t>二十三、灾害防治及应急管理支出</w:t>
            </w:r>
          </w:p>
        </w:tc>
        <w:tc>
          <w:tcPr>
            <w:tcW w:w="1474" w:type="dxa"/>
            <w:vAlign w:val="center"/>
          </w:tcPr>
          <w:p w14:paraId="1ABADB39">
            <w:pPr>
              <w:pStyle w:val="14"/>
            </w:pPr>
          </w:p>
        </w:tc>
        <w:tc>
          <w:tcPr>
            <w:tcW w:w="1474" w:type="dxa"/>
            <w:vAlign w:val="center"/>
          </w:tcPr>
          <w:p w14:paraId="30B2F6E1">
            <w:pPr>
              <w:pStyle w:val="14"/>
            </w:pPr>
          </w:p>
        </w:tc>
        <w:tc>
          <w:tcPr>
            <w:tcW w:w="1474" w:type="dxa"/>
            <w:vAlign w:val="center"/>
          </w:tcPr>
          <w:p w14:paraId="2EEB1AFF">
            <w:pPr>
              <w:pStyle w:val="14"/>
            </w:pPr>
          </w:p>
        </w:tc>
        <w:tc>
          <w:tcPr>
            <w:tcW w:w="1474" w:type="dxa"/>
            <w:vAlign w:val="center"/>
          </w:tcPr>
          <w:p w14:paraId="4D5BF810">
            <w:pPr>
              <w:pStyle w:val="14"/>
            </w:pPr>
          </w:p>
        </w:tc>
      </w:tr>
      <w:tr w14:paraId="2B260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EBE83">
            <w:pPr>
              <w:pStyle w:val="12"/>
            </w:pPr>
            <w:r>
              <w:t>24</w:t>
            </w:r>
          </w:p>
        </w:tc>
        <w:tc>
          <w:tcPr>
            <w:tcW w:w="3402" w:type="dxa"/>
            <w:vAlign w:val="center"/>
          </w:tcPr>
          <w:p w14:paraId="350C735C">
            <w:pPr>
              <w:pStyle w:val="13"/>
            </w:pPr>
          </w:p>
        </w:tc>
        <w:tc>
          <w:tcPr>
            <w:tcW w:w="1474" w:type="dxa"/>
            <w:vAlign w:val="center"/>
          </w:tcPr>
          <w:p w14:paraId="59183DCE">
            <w:pPr>
              <w:pStyle w:val="14"/>
            </w:pPr>
          </w:p>
        </w:tc>
        <w:tc>
          <w:tcPr>
            <w:tcW w:w="3402" w:type="dxa"/>
            <w:vAlign w:val="center"/>
          </w:tcPr>
          <w:p w14:paraId="3557932D">
            <w:pPr>
              <w:pStyle w:val="13"/>
            </w:pPr>
            <w:r>
              <w:t>二十四、预备费</w:t>
            </w:r>
          </w:p>
        </w:tc>
        <w:tc>
          <w:tcPr>
            <w:tcW w:w="1474" w:type="dxa"/>
            <w:vAlign w:val="center"/>
          </w:tcPr>
          <w:p w14:paraId="0C022A45">
            <w:pPr>
              <w:pStyle w:val="14"/>
            </w:pPr>
          </w:p>
        </w:tc>
        <w:tc>
          <w:tcPr>
            <w:tcW w:w="1474" w:type="dxa"/>
            <w:vAlign w:val="center"/>
          </w:tcPr>
          <w:p w14:paraId="273B3AA9">
            <w:pPr>
              <w:pStyle w:val="14"/>
            </w:pPr>
          </w:p>
        </w:tc>
        <w:tc>
          <w:tcPr>
            <w:tcW w:w="1474" w:type="dxa"/>
            <w:vAlign w:val="center"/>
          </w:tcPr>
          <w:p w14:paraId="61BC57BC">
            <w:pPr>
              <w:pStyle w:val="14"/>
            </w:pPr>
          </w:p>
        </w:tc>
        <w:tc>
          <w:tcPr>
            <w:tcW w:w="1474" w:type="dxa"/>
            <w:vAlign w:val="center"/>
          </w:tcPr>
          <w:p w14:paraId="7F5A9B10">
            <w:pPr>
              <w:pStyle w:val="14"/>
            </w:pPr>
          </w:p>
        </w:tc>
      </w:tr>
      <w:tr w14:paraId="14A89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0AA39">
            <w:pPr>
              <w:pStyle w:val="12"/>
            </w:pPr>
            <w:r>
              <w:t>25</w:t>
            </w:r>
          </w:p>
        </w:tc>
        <w:tc>
          <w:tcPr>
            <w:tcW w:w="3402" w:type="dxa"/>
            <w:vAlign w:val="center"/>
          </w:tcPr>
          <w:p w14:paraId="0EFBD4CF">
            <w:pPr>
              <w:pStyle w:val="13"/>
            </w:pPr>
          </w:p>
        </w:tc>
        <w:tc>
          <w:tcPr>
            <w:tcW w:w="1474" w:type="dxa"/>
            <w:vAlign w:val="center"/>
          </w:tcPr>
          <w:p w14:paraId="32323F9F">
            <w:pPr>
              <w:pStyle w:val="14"/>
            </w:pPr>
          </w:p>
        </w:tc>
        <w:tc>
          <w:tcPr>
            <w:tcW w:w="3402" w:type="dxa"/>
            <w:vAlign w:val="center"/>
          </w:tcPr>
          <w:p w14:paraId="6C214D3F">
            <w:pPr>
              <w:pStyle w:val="13"/>
            </w:pPr>
            <w:r>
              <w:t>二十五、其他支出</w:t>
            </w:r>
          </w:p>
        </w:tc>
        <w:tc>
          <w:tcPr>
            <w:tcW w:w="1474" w:type="dxa"/>
            <w:vAlign w:val="center"/>
          </w:tcPr>
          <w:p w14:paraId="180E52F5">
            <w:pPr>
              <w:pStyle w:val="14"/>
            </w:pPr>
          </w:p>
        </w:tc>
        <w:tc>
          <w:tcPr>
            <w:tcW w:w="1474" w:type="dxa"/>
            <w:vAlign w:val="center"/>
          </w:tcPr>
          <w:p w14:paraId="34484854">
            <w:pPr>
              <w:pStyle w:val="14"/>
            </w:pPr>
          </w:p>
        </w:tc>
        <w:tc>
          <w:tcPr>
            <w:tcW w:w="1474" w:type="dxa"/>
            <w:vAlign w:val="center"/>
          </w:tcPr>
          <w:p w14:paraId="04D2F3B9">
            <w:pPr>
              <w:pStyle w:val="14"/>
            </w:pPr>
          </w:p>
        </w:tc>
        <w:tc>
          <w:tcPr>
            <w:tcW w:w="1474" w:type="dxa"/>
            <w:vAlign w:val="center"/>
          </w:tcPr>
          <w:p w14:paraId="46E8B0C4">
            <w:pPr>
              <w:pStyle w:val="14"/>
            </w:pPr>
          </w:p>
        </w:tc>
      </w:tr>
      <w:tr w14:paraId="3657E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29193">
            <w:pPr>
              <w:pStyle w:val="12"/>
            </w:pPr>
            <w:r>
              <w:t>26</w:t>
            </w:r>
          </w:p>
        </w:tc>
        <w:tc>
          <w:tcPr>
            <w:tcW w:w="3402" w:type="dxa"/>
            <w:vAlign w:val="center"/>
          </w:tcPr>
          <w:p w14:paraId="69972120">
            <w:pPr>
              <w:pStyle w:val="13"/>
            </w:pPr>
          </w:p>
        </w:tc>
        <w:tc>
          <w:tcPr>
            <w:tcW w:w="1474" w:type="dxa"/>
            <w:vAlign w:val="center"/>
          </w:tcPr>
          <w:p w14:paraId="393F223A">
            <w:pPr>
              <w:pStyle w:val="14"/>
            </w:pPr>
          </w:p>
        </w:tc>
        <w:tc>
          <w:tcPr>
            <w:tcW w:w="3402" w:type="dxa"/>
            <w:vAlign w:val="center"/>
          </w:tcPr>
          <w:p w14:paraId="4F532870">
            <w:pPr>
              <w:pStyle w:val="13"/>
            </w:pPr>
            <w:r>
              <w:t>二十六、转移性支出</w:t>
            </w:r>
          </w:p>
        </w:tc>
        <w:tc>
          <w:tcPr>
            <w:tcW w:w="1474" w:type="dxa"/>
            <w:vAlign w:val="center"/>
          </w:tcPr>
          <w:p w14:paraId="4E6991BB">
            <w:pPr>
              <w:pStyle w:val="14"/>
            </w:pPr>
          </w:p>
        </w:tc>
        <w:tc>
          <w:tcPr>
            <w:tcW w:w="1474" w:type="dxa"/>
            <w:vAlign w:val="center"/>
          </w:tcPr>
          <w:p w14:paraId="59C9AFFC">
            <w:pPr>
              <w:pStyle w:val="14"/>
            </w:pPr>
          </w:p>
        </w:tc>
        <w:tc>
          <w:tcPr>
            <w:tcW w:w="1474" w:type="dxa"/>
            <w:vAlign w:val="center"/>
          </w:tcPr>
          <w:p w14:paraId="1982B8EA">
            <w:pPr>
              <w:pStyle w:val="14"/>
            </w:pPr>
          </w:p>
        </w:tc>
        <w:tc>
          <w:tcPr>
            <w:tcW w:w="1474" w:type="dxa"/>
            <w:vAlign w:val="center"/>
          </w:tcPr>
          <w:p w14:paraId="0B4D0144">
            <w:pPr>
              <w:pStyle w:val="14"/>
            </w:pPr>
          </w:p>
        </w:tc>
      </w:tr>
      <w:tr w14:paraId="7783F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DCAD7">
            <w:pPr>
              <w:pStyle w:val="12"/>
            </w:pPr>
            <w:r>
              <w:t>27</w:t>
            </w:r>
          </w:p>
        </w:tc>
        <w:tc>
          <w:tcPr>
            <w:tcW w:w="3402" w:type="dxa"/>
            <w:vAlign w:val="center"/>
          </w:tcPr>
          <w:p w14:paraId="3DC1AE50">
            <w:pPr>
              <w:pStyle w:val="13"/>
            </w:pPr>
          </w:p>
        </w:tc>
        <w:tc>
          <w:tcPr>
            <w:tcW w:w="1474" w:type="dxa"/>
            <w:vAlign w:val="center"/>
          </w:tcPr>
          <w:p w14:paraId="5B71E102">
            <w:pPr>
              <w:pStyle w:val="14"/>
            </w:pPr>
          </w:p>
        </w:tc>
        <w:tc>
          <w:tcPr>
            <w:tcW w:w="3402" w:type="dxa"/>
            <w:vAlign w:val="center"/>
          </w:tcPr>
          <w:p w14:paraId="6879CE07">
            <w:pPr>
              <w:pStyle w:val="13"/>
            </w:pPr>
            <w:r>
              <w:t>二十七、债务还本支出</w:t>
            </w:r>
          </w:p>
        </w:tc>
        <w:tc>
          <w:tcPr>
            <w:tcW w:w="1474" w:type="dxa"/>
            <w:vAlign w:val="center"/>
          </w:tcPr>
          <w:p w14:paraId="62D4B172">
            <w:pPr>
              <w:pStyle w:val="14"/>
            </w:pPr>
          </w:p>
        </w:tc>
        <w:tc>
          <w:tcPr>
            <w:tcW w:w="1474" w:type="dxa"/>
            <w:vAlign w:val="center"/>
          </w:tcPr>
          <w:p w14:paraId="6D898B77">
            <w:pPr>
              <w:pStyle w:val="14"/>
            </w:pPr>
          </w:p>
        </w:tc>
        <w:tc>
          <w:tcPr>
            <w:tcW w:w="1474" w:type="dxa"/>
            <w:vAlign w:val="center"/>
          </w:tcPr>
          <w:p w14:paraId="2FC5E8FA">
            <w:pPr>
              <w:pStyle w:val="14"/>
            </w:pPr>
          </w:p>
        </w:tc>
        <w:tc>
          <w:tcPr>
            <w:tcW w:w="1474" w:type="dxa"/>
            <w:vAlign w:val="center"/>
          </w:tcPr>
          <w:p w14:paraId="71292F2C">
            <w:pPr>
              <w:pStyle w:val="14"/>
            </w:pPr>
          </w:p>
        </w:tc>
      </w:tr>
      <w:tr w14:paraId="666E9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9397986">
            <w:pPr>
              <w:pStyle w:val="12"/>
            </w:pPr>
            <w:r>
              <w:t>28</w:t>
            </w:r>
          </w:p>
        </w:tc>
        <w:tc>
          <w:tcPr>
            <w:tcW w:w="3402" w:type="dxa"/>
            <w:vAlign w:val="center"/>
          </w:tcPr>
          <w:p w14:paraId="01FD6948">
            <w:pPr>
              <w:pStyle w:val="13"/>
            </w:pPr>
          </w:p>
        </w:tc>
        <w:tc>
          <w:tcPr>
            <w:tcW w:w="1474" w:type="dxa"/>
            <w:vAlign w:val="center"/>
          </w:tcPr>
          <w:p w14:paraId="28FCFA3F">
            <w:pPr>
              <w:pStyle w:val="14"/>
            </w:pPr>
          </w:p>
        </w:tc>
        <w:tc>
          <w:tcPr>
            <w:tcW w:w="3402" w:type="dxa"/>
            <w:vAlign w:val="center"/>
          </w:tcPr>
          <w:p w14:paraId="16FF767D">
            <w:pPr>
              <w:pStyle w:val="13"/>
            </w:pPr>
            <w:r>
              <w:t>二十八、债务付息支出</w:t>
            </w:r>
          </w:p>
        </w:tc>
        <w:tc>
          <w:tcPr>
            <w:tcW w:w="1474" w:type="dxa"/>
            <w:vAlign w:val="center"/>
          </w:tcPr>
          <w:p w14:paraId="781A7BE5">
            <w:pPr>
              <w:pStyle w:val="14"/>
            </w:pPr>
          </w:p>
        </w:tc>
        <w:tc>
          <w:tcPr>
            <w:tcW w:w="1474" w:type="dxa"/>
            <w:vAlign w:val="center"/>
          </w:tcPr>
          <w:p w14:paraId="66B1E3BE">
            <w:pPr>
              <w:pStyle w:val="14"/>
            </w:pPr>
          </w:p>
        </w:tc>
        <w:tc>
          <w:tcPr>
            <w:tcW w:w="1474" w:type="dxa"/>
            <w:vAlign w:val="center"/>
          </w:tcPr>
          <w:p w14:paraId="34B0728A">
            <w:pPr>
              <w:pStyle w:val="14"/>
            </w:pPr>
          </w:p>
        </w:tc>
        <w:tc>
          <w:tcPr>
            <w:tcW w:w="1474" w:type="dxa"/>
            <w:vAlign w:val="center"/>
          </w:tcPr>
          <w:p w14:paraId="3652BB17">
            <w:pPr>
              <w:pStyle w:val="14"/>
            </w:pPr>
          </w:p>
        </w:tc>
      </w:tr>
      <w:tr w14:paraId="0B7D2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642A9">
            <w:pPr>
              <w:pStyle w:val="12"/>
            </w:pPr>
            <w:r>
              <w:t>29</w:t>
            </w:r>
          </w:p>
        </w:tc>
        <w:tc>
          <w:tcPr>
            <w:tcW w:w="3402" w:type="dxa"/>
            <w:vAlign w:val="center"/>
          </w:tcPr>
          <w:p w14:paraId="279196B5">
            <w:pPr>
              <w:pStyle w:val="13"/>
            </w:pPr>
          </w:p>
        </w:tc>
        <w:tc>
          <w:tcPr>
            <w:tcW w:w="1474" w:type="dxa"/>
            <w:vAlign w:val="center"/>
          </w:tcPr>
          <w:p w14:paraId="1762AF8E">
            <w:pPr>
              <w:pStyle w:val="14"/>
            </w:pPr>
          </w:p>
        </w:tc>
        <w:tc>
          <w:tcPr>
            <w:tcW w:w="3402" w:type="dxa"/>
            <w:vAlign w:val="center"/>
          </w:tcPr>
          <w:p w14:paraId="4561EA38">
            <w:pPr>
              <w:pStyle w:val="13"/>
            </w:pPr>
            <w:r>
              <w:t>二十九、债务发行费用支出</w:t>
            </w:r>
          </w:p>
        </w:tc>
        <w:tc>
          <w:tcPr>
            <w:tcW w:w="1474" w:type="dxa"/>
            <w:vAlign w:val="center"/>
          </w:tcPr>
          <w:p w14:paraId="32722E6C">
            <w:pPr>
              <w:pStyle w:val="14"/>
            </w:pPr>
          </w:p>
        </w:tc>
        <w:tc>
          <w:tcPr>
            <w:tcW w:w="1474" w:type="dxa"/>
            <w:vAlign w:val="center"/>
          </w:tcPr>
          <w:p w14:paraId="3A00B5BA">
            <w:pPr>
              <w:pStyle w:val="14"/>
            </w:pPr>
          </w:p>
        </w:tc>
        <w:tc>
          <w:tcPr>
            <w:tcW w:w="1474" w:type="dxa"/>
            <w:vAlign w:val="center"/>
          </w:tcPr>
          <w:p w14:paraId="116FE52A">
            <w:pPr>
              <w:pStyle w:val="14"/>
            </w:pPr>
          </w:p>
        </w:tc>
        <w:tc>
          <w:tcPr>
            <w:tcW w:w="1474" w:type="dxa"/>
            <w:vAlign w:val="center"/>
          </w:tcPr>
          <w:p w14:paraId="1C6B0A04">
            <w:pPr>
              <w:pStyle w:val="14"/>
            </w:pPr>
          </w:p>
        </w:tc>
      </w:tr>
      <w:tr w14:paraId="0616B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FA8D9">
            <w:pPr>
              <w:pStyle w:val="12"/>
            </w:pPr>
            <w:r>
              <w:t>30</w:t>
            </w:r>
          </w:p>
        </w:tc>
        <w:tc>
          <w:tcPr>
            <w:tcW w:w="3402" w:type="dxa"/>
            <w:vAlign w:val="center"/>
          </w:tcPr>
          <w:p w14:paraId="2D6D2188">
            <w:pPr>
              <w:pStyle w:val="13"/>
            </w:pPr>
          </w:p>
        </w:tc>
        <w:tc>
          <w:tcPr>
            <w:tcW w:w="1474" w:type="dxa"/>
            <w:vAlign w:val="center"/>
          </w:tcPr>
          <w:p w14:paraId="02F2D3E7">
            <w:pPr>
              <w:pStyle w:val="14"/>
            </w:pPr>
          </w:p>
        </w:tc>
        <w:tc>
          <w:tcPr>
            <w:tcW w:w="3402" w:type="dxa"/>
            <w:vAlign w:val="center"/>
          </w:tcPr>
          <w:p w14:paraId="5578EF51">
            <w:pPr>
              <w:pStyle w:val="13"/>
            </w:pPr>
            <w:r>
              <w:t>三十、抗疫特别国债安排的支出</w:t>
            </w:r>
          </w:p>
        </w:tc>
        <w:tc>
          <w:tcPr>
            <w:tcW w:w="1474" w:type="dxa"/>
            <w:vAlign w:val="center"/>
          </w:tcPr>
          <w:p w14:paraId="7FD054FA">
            <w:pPr>
              <w:pStyle w:val="14"/>
            </w:pPr>
          </w:p>
        </w:tc>
        <w:tc>
          <w:tcPr>
            <w:tcW w:w="1474" w:type="dxa"/>
            <w:vAlign w:val="center"/>
          </w:tcPr>
          <w:p w14:paraId="66F9F02C">
            <w:pPr>
              <w:pStyle w:val="14"/>
            </w:pPr>
          </w:p>
        </w:tc>
        <w:tc>
          <w:tcPr>
            <w:tcW w:w="1474" w:type="dxa"/>
            <w:vAlign w:val="center"/>
          </w:tcPr>
          <w:p w14:paraId="35DF5B8A">
            <w:pPr>
              <w:pStyle w:val="14"/>
            </w:pPr>
          </w:p>
        </w:tc>
        <w:tc>
          <w:tcPr>
            <w:tcW w:w="1474" w:type="dxa"/>
            <w:vAlign w:val="center"/>
          </w:tcPr>
          <w:p w14:paraId="1D2E928E">
            <w:pPr>
              <w:pStyle w:val="14"/>
            </w:pPr>
          </w:p>
        </w:tc>
      </w:tr>
      <w:tr w14:paraId="076BA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5F724">
            <w:pPr>
              <w:pStyle w:val="12"/>
            </w:pPr>
            <w:r>
              <w:t>31</w:t>
            </w:r>
          </w:p>
        </w:tc>
        <w:tc>
          <w:tcPr>
            <w:tcW w:w="3402" w:type="dxa"/>
            <w:vAlign w:val="center"/>
          </w:tcPr>
          <w:p w14:paraId="1803FEB9">
            <w:pPr>
              <w:pStyle w:val="13"/>
            </w:pPr>
          </w:p>
        </w:tc>
        <w:tc>
          <w:tcPr>
            <w:tcW w:w="1474" w:type="dxa"/>
            <w:vAlign w:val="center"/>
          </w:tcPr>
          <w:p w14:paraId="1980D340">
            <w:pPr>
              <w:pStyle w:val="14"/>
            </w:pPr>
          </w:p>
        </w:tc>
        <w:tc>
          <w:tcPr>
            <w:tcW w:w="3402" w:type="dxa"/>
            <w:vAlign w:val="center"/>
          </w:tcPr>
          <w:p w14:paraId="54B97F5D">
            <w:pPr>
              <w:pStyle w:val="13"/>
            </w:pPr>
            <w:r>
              <w:t>三十一、人行科目</w:t>
            </w:r>
          </w:p>
        </w:tc>
        <w:tc>
          <w:tcPr>
            <w:tcW w:w="1474" w:type="dxa"/>
            <w:vAlign w:val="center"/>
          </w:tcPr>
          <w:p w14:paraId="74B11941">
            <w:pPr>
              <w:pStyle w:val="14"/>
            </w:pPr>
          </w:p>
        </w:tc>
        <w:tc>
          <w:tcPr>
            <w:tcW w:w="1474" w:type="dxa"/>
            <w:vAlign w:val="center"/>
          </w:tcPr>
          <w:p w14:paraId="09EEC6DA">
            <w:pPr>
              <w:pStyle w:val="14"/>
            </w:pPr>
          </w:p>
        </w:tc>
        <w:tc>
          <w:tcPr>
            <w:tcW w:w="1474" w:type="dxa"/>
            <w:vAlign w:val="center"/>
          </w:tcPr>
          <w:p w14:paraId="4818B14A">
            <w:pPr>
              <w:pStyle w:val="14"/>
            </w:pPr>
          </w:p>
        </w:tc>
        <w:tc>
          <w:tcPr>
            <w:tcW w:w="1474" w:type="dxa"/>
            <w:vAlign w:val="center"/>
          </w:tcPr>
          <w:p w14:paraId="0D9707D3">
            <w:pPr>
              <w:pStyle w:val="14"/>
            </w:pPr>
          </w:p>
        </w:tc>
      </w:tr>
      <w:tr w14:paraId="677A2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B6DFD">
            <w:pPr>
              <w:pStyle w:val="12"/>
            </w:pPr>
            <w:r>
              <w:t>32</w:t>
            </w:r>
          </w:p>
        </w:tc>
        <w:tc>
          <w:tcPr>
            <w:tcW w:w="3402" w:type="dxa"/>
            <w:vAlign w:val="center"/>
          </w:tcPr>
          <w:p w14:paraId="6854B395">
            <w:pPr>
              <w:pStyle w:val="15"/>
            </w:pPr>
            <w:r>
              <w:t>本年收入合计</w:t>
            </w:r>
          </w:p>
        </w:tc>
        <w:tc>
          <w:tcPr>
            <w:tcW w:w="1474" w:type="dxa"/>
            <w:vAlign w:val="center"/>
          </w:tcPr>
          <w:p w14:paraId="6D7C3FFC">
            <w:pPr>
              <w:pStyle w:val="16"/>
            </w:pPr>
            <w:r>
              <w:t>1993.80</w:t>
            </w:r>
          </w:p>
        </w:tc>
        <w:tc>
          <w:tcPr>
            <w:tcW w:w="3402" w:type="dxa"/>
            <w:vAlign w:val="center"/>
          </w:tcPr>
          <w:p w14:paraId="3376C5DE">
            <w:pPr>
              <w:pStyle w:val="15"/>
            </w:pPr>
            <w:r>
              <w:t>本年支出合计</w:t>
            </w:r>
          </w:p>
        </w:tc>
        <w:tc>
          <w:tcPr>
            <w:tcW w:w="1474" w:type="dxa"/>
            <w:vAlign w:val="center"/>
          </w:tcPr>
          <w:p w14:paraId="3676C8DA">
            <w:pPr>
              <w:pStyle w:val="16"/>
            </w:pPr>
            <w:r>
              <w:t>1993.80</w:t>
            </w:r>
          </w:p>
        </w:tc>
        <w:tc>
          <w:tcPr>
            <w:tcW w:w="1474" w:type="dxa"/>
            <w:vAlign w:val="center"/>
          </w:tcPr>
          <w:p w14:paraId="162CDC65">
            <w:pPr>
              <w:pStyle w:val="16"/>
            </w:pPr>
            <w:r>
              <w:t>1993.80</w:t>
            </w:r>
          </w:p>
        </w:tc>
        <w:tc>
          <w:tcPr>
            <w:tcW w:w="1474" w:type="dxa"/>
            <w:vAlign w:val="center"/>
          </w:tcPr>
          <w:p w14:paraId="0039E443">
            <w:pPr>
              <w:pStyle w:val="16"/>
            </w:pPr>
          </w:p>
        </w:tc>
        <w:tc>
          <w:tcPr>
            <w:tcW w:w="1474" w:type="dxa"/>
            <w:vAlign w:val="center"/>
          </w:tcPr>
          <w:p w14:paraId="6B58F247">
            <w:pPr>
              <w:pStyle w:val="16"/>
            </w:pPr>
          </w:p>
        </w:tc>
      </w:tr>
      <w:tr w14:paraId="17F17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2CC0A">
            <w:pPr>
              <w:pStyle w:val="12"/>
            </w:pPr>
            <w:r>
              <w:t>33</w:t>
            </w:r>
          </w:p>
        </w:tc>
        <w:tc>
          <w:tcPr>
            <w:tcW w:w="3402" w:type="dxa"/>
            <w:vAlign w:val="center"/>
          </w:tcPr>
          <w:p w14:paraId="0C7C71A9">
            <w:pPr>
              <w:pStyle w:val="13"/>
            </w:pPr>
            <w:r>
              <w:t>年初财政拨款结转和结余</w:t>
            </w:r>
          </w:p>
        </w:tc>
        <w:tc>
          <w:tcPr>
            <w:tcW w:w="1474" w:type="dxa"/>
            <w:vAlign w:val="center"/>
          </w:tcPr>
          <w:p w14:paraId="08E329E7">
            <w:pPr>
              <w:pStyle w:val="14"/>
            </w:pPr>
          </w:p>
        </w:tc>
        <w:tc>
          <w:tcPr>
            <w:tcW w:w="3402" w:type="dxa"/>
            <w:vAlign w:val="center"/>
          </w:tcPr>
          <w:p w14:paraId="7728C2BC">
            <w:pPr>
              <w:pStyle w:val="13"/>
            </w:pPr>
            <w:r>
              <w:t>年末财政拨款结转和结余</w:t>
            </w:r>
          </w:p>
        </w:tc>
        <w:tc>
          <w:tcPr>
            <w:tcW w:w="1474" w:type="dxa"/>
            <w:vAlign w:val="center"/>
          </w:tcPr>
          <w:p w14:paraId="44AC21C0">
            <w:pPr>
              <w:pStyle w:val="14"/>
            </w:pPr>
          </w:p>
        </w:tc>
        <w:tc>
          <w:tcPr>
            <w:tcW w:w="1474" w:type="dxa"/>
            <w:vAlign w:val="center"/>
          </w:tcPr>
          <w:p w14:paraId="201D9A48">
            <w:pPr>
              <w:pStyle w:val="14"/>
            </w:pPr>
          </w:p>
        </w:tc>
        <w:tc>
          <w:tcPr>
            <w:tcW w:w="1474" w:type="dxa"/>
            <w:vAlign w:val="center"/>
          </w:tcPr>
          <w:p w14:paraId="26EC2A84">
            <w:pPr>
              <w:pStyle w:val="14"/>
            </w:pPr>
          </w:p>
        </w:tc>
        <w:tc>
          <w:tcPr>
            <w:tcW w:w="1474" w:type="dxa"/>
            <w:vAlign w:val="center"/>
          </w:tcPr>
          <w:p w14:paraId="4B5ECC64">
            <w:pPr>
              <w:pStyle w:val="14"/>
            </w:pPr>
          </w:p>
        </w:tc>
      </w:tr>
      <w:tr w14:paraId="686A5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3471AD2">
            <w:pPr>
              <w:pStyle w:val="12"/>
            </w:pPr>
            <w:r>
              <w:t>34</w:t>
            </w:r>
          </w:p>
        </w:tc>
        <w:tc>
          <w:tcPr>
            <w:tcW w:w="3402" w:type="dxa"/>
            <w:vAlign w:val="center"/>
          </w:tcPr>
          <w:p w14:paraId="5FD12783">
            <w:pPr>
              <w:pStyle w:val="13"/>
            </w:pPr>
            <w:r>
              <w:t>一、一般公共预算拨款</w:t>
            </w:r>
          </w:p>
        </w:tc>
        <w:tc>
          <w:tcPr>
            <w:tcW w:w="1474" w:type="dxa"/>
            <w:vAlign w:val="center"/>
          </w:tcPr>
          <w:p w14:paraId="5CB62F4C">
            <w:pPr>
              <w:pStyle w:val="14"/>
            </w:pPr>
          </w:p>
        </w:tc>
        <w:tc>
          <w:tcPr>
            <w:tcW w:w="3402" w:type="dxa"/>
            <w:vAlign w:val="center"/>
          </w:tcPr>
          <w:p w14:paraId="4708A2B6">
            <w:pPr>
              <w:pStyle w:val="13"/>
            </w:pPr>
          </w:p>
        </w:tc>
        <w:tc>
          <w:tcPr>
            <w:tcW w:w="1474" w:type="dxa"/>
            <w:vAlign w:val="center"/>
          </w:tcPr>
          <w:p w14:paraId="28E64693">
            <w:pPr>
              <w:pStyle w:val="14"/>
            </w:pPr>
          </w:p>
        </w:tc>
        <w:tc>
          <w:tcPr>
            <w:tcW w:w="1474" w:type="dxa"/>
            <w:vAlign w:val="center"/>
          </w:tcPr>
          <w:p w14:paraId="6BAB26F6">
            <w:pPr>
              <w:pStyle w:val="14"/>
            </w:pPr>
          </w:p>
        </w:tc>
        <w:tc>
          <w:tcPr>
            <w:tcW w:w="1474" w:type="dxa"/>
            <w:vAlign w:val="center"/>
          </w:tcPr>
          <w:p w14:paraId="644AF136">
            <w:pPr>
              <w:pStyle w:val="14"/>
            </w:pPr>
          </w:p>
        </w:tc>
        <w:tc>
          <w:tcPr>
            <w:tcW w:w="1474" w:type="dxa"/>
            <w:vAlign w:val="center"/>
          </w:tcPr>
          <w:p w14:paraId="33042A68">
            <w:pPr>
              <w:pStyle w:val="14"/>
            </w:pPr>
          </w:p>
        </w:tc>
      </w:tr>
      <w:tr w14:paraId="677FD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33DBD59">
            <w:pPr>
              <w:pStyle w:val="12"/>
            </w:pPr>
            <w:r>
              <w:t>35</w:t>
            </w:r>
          </w:p>
        </w:tc>
        <w:tc>
          <w:tcPr>
            <w:tcW w:w="3402" w:type="dxa"/>
            <w:vAlign w:val="center"/>
          </w:tcPr>
          <w:p w14:paraId="4D558410">
            <w:pPr>
              <w:pStyle w:val="13"/>
            </w:pPr>
            <w:r>
              <w:t>二、政府性基金预算拨款</w:t>
            </w:r>
          </w:p>
        </w:tc>
        <w:tc>
          <w:tcPr>
            <w:tcW w:w="1474" w:type="dxa"/>
            <w:vAlign w:val="center"/>
          </w:tcPr>
          <w:p w14:paraId="3C0C9E9F">
            <w:pPr>
              <w:pStyle w:val="14"/>
            </w:pPr>
          </w:p>
        </w:tc>
        <w:tc>
          <w:tcPr>
            <w:tcW w:w="3402" w:type="dxa"/>
            <w:vAlign w:val="center"/>
          </w:tcPr>
          <w:p w14:paraId="2ACC9617">
            <w:pPr>
              <w:pStyle w:val="13"/>
            </w:pPr>
          </w:p>
        </w:tc>
        <w:tc>
          <w:tcPr>
            <w:tcW w:w="1474" w:type="dxa"/>
            <w:vAlign w:val="center"/>
          </w:tcPr>
          <w:p w14:paraId="4BEDD97C">
            <w:pPr>
              <w:pStyle w:val="14"/>
            </w:pPr>
          </w:p>
        </w:tc>
        <w:tc>
          <w:tcPr>
            <w:tcW w:w="1474" w:type="dxa"/>
            <w:vAlign w:val="center"/>
          </w:tcPr>
          <w:p w14:paraId="68CFE9AD">
            <w:pPr>
              <w:pStyle w:val="14"/>
            </w:pPr>
          </w:p>
        </w:tc>
        <w:tc>
          <w:tcPr>
            <w:tcW w:w="1474" w:type="dxa"/>
            <w:vAlign w:val="center"/>
          </w:tcPr>
          <w:p w14:paraId="13B70DE6">
            <w:pPr>
              <w:pStyle w:val="14"/>
            </w:pPr>
          </w:p>
        </w:tc>
        <w:tc>
          <w:tcPr>
            <w:tcW w:w="1474" w:type="dxa"/>
            <w:vAlign w:val="center"/>
          </w:tcPr>
          <w:p w14:paraId="0CFD0847">
            <w:pPr>
              <w:pStyle w:val="14"/>
            </w:pPr>
          </w:p>
        </w:tc>
      </w:tr>
      <w:tr w14:paraId="22128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2EF5F">
            <w:pPr>
              <w:pStyle w:val="12"/>
            </w:pPr>
            <w:r>
              <w:t>36</w:t>
            </w:r>
          </w:p>
        </w:tc>
        <w:tc>
          <w:tcPr>
            <w:tcW w:w="3402" w:type="dxa"/>
            <w:vAlign w:val="center"/>
          </w:tcPr>
          <w:p w14:paraId="17BD61E0">
            <w:pPr>
              <w:pStyle w:val="13"/>
            </w:pPr>
            <w:r>
              <w:t>三、国有资本经营预算拨款</w:t>
            </w:r>
          </w:p>
        </w:tc>
        <w:tc>
          <w:tcPr>
            <w:tcW w:w="1474" w:type="dxa"/>
            <w:vAlign w:val="center"/>
          </w:tcPr>
          <w:p w14:paraId="3D17B207">
            <w:pPr>
              <w:pStyle w:val="14"/>
            </w:pPr>
          </w:p>
        </w:tc>
        <w:tc>
          <w:tcPr>
            <w:tcW w:w="3402" w:type="dxa"/>
            <w:vAlign w:val="center"/>
          </w:tcPr>
          <w:p w14:paraId="6EE481F3">
            <w:pPr>
              <w:pStyle w:val="13"/>
            </w:pPr>
          </w:p>
        </w:tc>
        <w:tc>
          <w:tcPr>
            <w:tcW w:w="1474" w:type="dxa"/>
            <w:vAlign w:val="center"/>
          </w:tcPr>
          <w:p w14:paraId="4A801918">
            <w:pPr>
              <w:pStyle w:val="14"/>
            </w:pPr>
          </w:p>
        </w:tc>
        <w:tc>
          <w:tcPr>
            <w:tcW w:w="1474" w:type="dxa"/>
            <w:vAlign w:val="center"/>
          </w:tcPr>
          <w:p w14:paraId="51105CDC">
            <w:pPr>
              <w:pStyle w:val="14"/>
            </w:pPr>
          </w:p>
        </w:tc>
        <w:tc>
          <w:tcPr>
            <w:tcW w:w="1474" w:type="dxa"/>
            <w:vAlign w:val="center"/>
          </w:tcPr>
          <w:p w14:paraId="72F58397">
            <w:pPr>
              <w:pStyle w:val="14"/>
            </w:pPr>
          </w:p>
        </w:tc>
        <w:tc>
          <w:tcPr>
            <w:tcW w:w="1474" w:type="dxa"/>
            <w:vAlign w:val="center"/>
          </w:tcPr>
          <w:p w14:paraId="65F96185">
            <w:pPr>
              <w:pStyle w:val="14"/>
            </w:pPr>
          </w:p>
        </w:tc>
      </w:tr>
      <w:tr w14:paraId="79A85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0003C">
            <w:pPr>
              <w:pStyle w:val="12"/>
            </w:pPr>
            <w:r>
              <w:t>37</w:t>
            </w:r>
          </w:p>
        </w:tc>
        <w:tc>
          <w:tcPr>
            <w:tcW w:w="3402" w:type="dxa"/>
            <w:vAlign w:val="center"/>
          </w:tcPr>
          <w:p w14:paraId="339F5C58">
            <w:pPr>
              <w:pStyle w:val="15"/>
            </w:pPr>
            <w:r>
              <w:t>收入总计</w:t>
            </w:r>
          </w:p>
        </w:tc>
        <w:tc>
          <w:tcPr>
            <w:tcW w:w="1474" w:type="dxa"/>
            <w:vAlign w:val="center"/>
          </w:tcPr>
          <w:p w14:paraId="13451824">
            <w:pPr>
              <w:pStyle w:val="16"/>
            </w:pPr>
            <w:r>
              <w:t>1993.80</w:t>
            </w:r>
          </w:p>
        </w:tc>
        <w:tc>
          <w:tcPr>
            <w:tcW w:w="3402" w:type="dxa"/>
            <w:vAlign w:val="center"/>
          </w:tcPr>
          <w:p w14:paraId="4B3B3803">
            <w:pPr>
              <w:pStyle w:val="15"/>
            </w:pPr>
            <w:r>
              <w:t>支出总计</w:t>
            </w:r>
          </w:p>
        </w:tc>
        <w:tc>
          <w:tcPr>
            <w:tcW w:w="1474" w:type="dxa"/>
            <w:vAlign w:val="center"/>
          </w:tcPr>
          <w:p w14:paraId="4790B870">
            <w:pPr>
              <w:pStyle w:val="16"/>
            </w:pPr>
            <w:r>
              <w:t>1993.80</w:t>
            </w:r>
          </w:p>
        </w:tc>
        <w:tc>
          <w:tcPr>
            <w:tcW w:w="1474" w:type="dxa"/>
            <w:vAlign w:val="center"/>
          </w:tcPr>
          <w:p w14:paraId="551118AE">
            <w:pPr>
              <w:pStyle w:val="16"/>
            </w:pPr>
            <w:r>
              <w:t>1993.80</w:t>
            </w:r>
          </w:p>
        </w:tc>
        <w:tc>
          <w:tcPr>
            <w:tcW w:w="1474" w:type="dxa"/>
            <w:vAlign w:val="center"/>
          </w:tcPr>
          <w:p w14:paraId="7705EEA9">
            <w:pPr>
              <w:pStyle w:val="16"/>
            </w:pPr>
          </w:p>
        </w:tc>
        <w:tc>
          <w:tcPr>
            <w:tcW w:w="1474" w:type="dxa"/>
            <w:vAlign w:val="center"/>
          </w:tcPr>
          <w:p w14:paraId="0CF5861B">
            <w:pPr>
              <w:pStyle w:val="16"/>
            </w:pPr>
          </w:p>
        </w:tc>
      </w:tr>
    </w:tbl>
    <w:p w14:paraId="2ABB680B">
      <w:pPr>
        <w:sectPr>
          <w:pgSz w:w="16840" w:h="11900" w:orient="landscape"/>
          <w:pgMar w:top="1361" w:right="1020" w:bottom="1134" w:left="1020" w:header="720" w:footer="720" w:gutter="0"/>
          <w:cols w:space="720" w:num="1"/>
        </w:sectPr>
      </w:pPr>
    </w:p>
    <w:p w14:paraId="2779B6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8B9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9619E7">
            <w:pPr>
              <w:pStyle w:val="8"/>
            </w:pPr>
            <w:r>
              <w:t>360025隆尧县千户营校区</w:t>
            </w:r>
          </w:p>
        </w:tc>
        <w:tc>
          <w:tcPr>
            <w:tcW w:w="2551" w:type="dxa"/>
            <w:tcBorders>
              <w:top w:val="single" w:color="FFFFFF" w:sz="6" w:space="0"/>
              <w:left w:val="single" w:color="FFFFFF" w:sz="6" w:space="0"/>
              <w:right w:val="single" w:color="FFFFFF" w:sz="6" w:space="0"/>
            </w:tcBorders>
            <w:vAlign w:val="center"/>
          </w:tcPr>
          <w:p w14:paraId="7E2D7BA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0B5EDA8">
            <w:pPr>
              <w:pStyle w:val="10"/>
            </w:pPr>
            <w:r>
              <w:t>单位：万元</w:t>
            </w:r>
          </w:p>
        </w:tc>
      </w:tr>
      <w:tr w14:paraId="4BEDA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D2B1D">
            <w:pPr>
              <w:pStyle w:val="11"/>
            </w:pPr>
            <w:r>
              <w:t>序号</w:t>
            </w:r>
          </w:p>
        </w:tc>
        <w:tc>
          <w:tcPr>
            <w:tcW w:w="5726" w:type="dxa"/>
            <w:gridSpan w:val="2"/>
            <w:vAlign w:val="center"/>
          </w:tcPr>
          <w:p w14:paraId="11088A4A">
            <w:pPr>
              <w:pStyle w:val="11"/>
            </w:pPr>
            <w:r>
              <w:t>功能分类科目</w:t>
            </w:r>
          </w:p>
        </w:tc>
        <w:tc>
          <w:tcPr>
            <w:tcW w:w="2551" w:type="dxa"/>
            <w:vMerge w:val="restart"/>
            <w:vAlign w:val="center"/>
          </w:tcPr>
          <w:p w14:paraId="580EFBD0">
            <w:pPr>
              <w:pStyle w:val="11"/>
            </w:pPr>
            <w:r>
              <w:t>合计</w:t>
            </w:r>
          </w:p>
        </w:tc>
        <w:tc>
          <w:tcPr>
            <w:tcW w:w="2551" w:type="dxa"/>
            <w:vMerge w:val="restart"/>
            <w:vAlign w:val="center"/>
          </w:tcPr>
          <w:p w14:paraId="69DDC7D9">
            <w:pPr>
              <w:pStyle w:val="11"/>
            </w:pPr>
            <w:r>
              <w:t>基本支出</w:t>
            </w:r>
          </w:p>
        </w:tc>
        <w:tc>
          <w:tcPr>
            <w:tcW w:w="2551" w:type="dxa"/>
            <w:vMerge w:val="restart"/>
            <w:vAlign w:val="center"/>
          </w:tcPr>
          <w:p w14:paraId="7D494B88">
            <w:pPr>
              <w:pStyle w:val="11"/>
            </w:pPr>
            <w:r>
              <w:t>项目支出</w:t>
            </w:r>
          </w:p>
        </w:tc>
      </w:tr>
      <w:tr w14:paraId="1FF7B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20A336"/>
        </w:tc>
        <w:tc>
          <w:tcPr>
            <w:tcW w:w="1191" w:type="dxa"/>
            <w:vAlign w:val="center"/>
          </w:tcPr>
          <w:p w14:paraId="172DD388">
            <w:pPr>
              <w:pStyle w:val="11"/>
            </w:pPr>
            <w:r>
              <w:t>科目编码</w:t>
            </w:r>
          </w:p>
        </w:tc>
        <w:tc>
          <w:tcPr>
            <w:tcW w:w="4535" w:type="dxa"/>
            <w:vAlign w:val="center"/>
          </w:tcPr>
          <w:p w14:paraId="66DB09A7">
            <w:pPr>
              <w:pStyle w:val="11"/>
            </w:pPr>
            <w:r>
              <w:t>科目名称</w:t>
            </w:r>
          </w:p>
        </w:tc>
        <w:tc>
          <w:tcPr>
            <w:tcW w:w="2551" w:type="dxa"/>
            <w:vMerge w:val="continue"/>
          </w:tcPr>
          <w:p w14:paraId="18A5E7D3"/>
        </w:tc>
        <w:tc>
          <w:tcPr>
            <w:tcW w:w="2551" w:type="dxa"/>
            <w:vMerge w:val="continue"/>
          </w:tcPr>
          <w:p w14:paraId="4DB5F0AA"/>
        </w:tc>
        <w:tc>
          <w:tcPr>
            <w:tcW w:w="2551" w:type="dxa"/>
            <w:vMerge w:val="continue"/>
          </w:tcPr>
          <w:p w14:paraId="7C0FDDFA"/>
        </w:tc>
      </w:tr>
      <w:tr w14:paraId="627C7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57BD1D">
            <w:pPr>
              <w:pStyle w:val="11"/>
            </w:pPr>
            <w:r>
              <w:t>栏次</w:t>
            </w:r>
          </w:p>
        </w:tc>
        <w:tc>
          <w:tcPr>
            <w:tcW w:w="1191" w:type="dxa"/>
            <w:vAlign w:val="center"/>
          </w:tcPr>
          <w:p w14:paraId="01922EFA">
            <w:pPr>
              <w:pStyle w:val="11"/>
            </w:pPr>
            <w:r>
              <w:t>1</w:t>
            </w:r>
          </w:p>
        </w:tc>
        <w:tc>
          <w:tcPr>
            <w:tcW w:w="4535" w:type="dxa"/>
            <w:vAlign w:val="center"/>
          </w:tcPr>
          <w:p w14:paraId="7D47B515">
            <w:pPr>
              <w:pStyle w:val="11"/>
            </w:pPr>
            <w:r>
              <w:t>2</w:t>
            </w:r>
          </w:p>
        </w:tc>
        <w:tc>
          <w:tcPr>
            <w:tcW w:w="2551" w:type="dxa"/>
            <w:vAlign w:val="center"/>
          </w:tcPr>
          <w:p w14:paraId="35179D92">
            <w:pPr>
              <w:pStyle w:val="11"/>
            </w:pPr>
            <w:r>
              <w:t>3</w:t>
            </w:r>
          </w:p>
        </w:tc>
        <w:tc>
          <w:tcPr>
            <w:tcW w:w="2551" w:type="dxa"/>
            <w:vAlign w:val="center"/>
          </w:tcPr>
          <w:p w14:paraId="69C049AA">
            <w:pPr>
              <w:pStyle w:val="11"/>
            </w:pPr>
            <w:r>
              <w:t>4</w:t>
            </w:r>
          </w:p>
        </w:tc>
        <w:tc>
          <w:tcPr>
            <w:tcW w:w="2551" w:type="dxa"/>
            <w:vAlign w:val="center"/>
          </w:tcPr>
          <w:p w14:paraId="02A7A9BC">
            <w:pPr>
              <w:pStyle w:val="11"/>
            </w:pPr>
            <w:r>
              <w:t>5</w:t>
            </w:r>
          </w:p>
        </w:tc>
      </w:tr>
      <w:tr w14:paraId="4D2AD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9E49B">
            <w:pPr>
              <w:pStyle w:val="12"/>
            </w:pPr>
            <w:r>
              <w:t>1</w:t>
            </w:r>
          </w:p>
        </w:tc>
        <w:tc>
          <w:tcPr>
            <w:tcW w:w="1191" w:type="dxa"/>
            <w:vAlign w:val="center"/>
          </w:tcPr>
          <w:p w14:paraId="1BC9B23C">
            <w:pPr>
              <w:pStyle w:val="17"/>
            </w:pPr>
          </w:p>
        </w:tc>
        <w:tc>
          <w:tcPr>
            <w:tcW w:w="4535" w:type="dxa"/>
            <w:vAlign w:val="center"/>
          </w:tcPr>
          <w:p w14:paraId="35546E34">
            <w:pPr>
              <w:pStyle w:val="15"/>
            </w:pPr>
            <w:r>
              <w:t>合计</w:t>
            </w:r>
          </w:p>
        </w:tc>
        <w:tc>
          <w:tcPr>
            <w:tcW w:w="2551" w:type="dxa"/>
            <w:vAlign w:val="center"/>
          </w:tcPr>
          <w:p w14:paraId="3C6F408E">
            <w:pPr>
              <w:pStyle w:val="16"/>
            </w:pPr>
            <w:r>
              <w:t>1993.80</w:t>
            </w:r>
          </w:p>
        </w:tc>
        <w:tc>
          <w:tcPr>
            <w:tcW w:w="2551" w:type="dxa"/>
            <w:vAlign w:val="center"/>
          </w:tcPr>
          <w:p w14:paraId="43C58B36">
            <w:pPr>
              <w:pStyle w:val="16"/>
            </w:pPr>
            <w:r>
              <w:t>1596.68</w:t>
            </w:r>
          </w:p>
        </w:tc>
        <w:tc>
          <w:tcPr>
            <w:tcW w:w="2551" w:type="dxa"/>
            <w:vAlign w:val="center"/>
          </w:tcPr>
          <w:p w14:paraId="1D86512D">
            <w:pPr>
              <w:pStyle w:val="16"/>
            </w:pPr>
            <w:r>
              <w:t>397.11</w:t>
            </w:r>
          </w:p>
        </w:tc>
      </w:tr>
      <w:tr w14:paraId="45EDC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4FB1A">
            <w:pPr>
              <w:pStyle w:val="12"/>
            </w:pPr>
            <w:r>
              <w:t>2</w:t>
            </w:r>
          </w:p>
        </w:tc>
        <w:tc>
          <w:tcPr>
            <w:tcW w:w="1191" w:type="dxa"/>
            <w:vAlign w:val="center"/>
          </w:tcPr>
          <w:p w14:paraId="3894E4E6">
            <w:pPr>
              <w:pStyle w:val="13"/>
            </w:pPr>
            <w:r>
              <w:t>205</w:t>
            </w:r>
          </w:p>
        </w:tc>
        <w:tc>
          <w:tcPr>
            <w:tcW w:w="4535" w:type="dxa"/>
            <w:vAlign w:val="center"/>
          </w:tcPr>
          <w:p w14:paraId="6ADEF633">
            <w:pPr>
              <w:pStyle w:val="13"/>
            </w:pPr>
            <w:r>
              <w:t>教育支出</w:t>
            </w:r>
          </w:p>
        </w:tc>
        <w:tc>
          <w:tcPr>
            <w:tcW w:w="2551" w:type="dxa"/>
            <w:vAlign w:val="center"/>
          </w:tcPr>
          <w:p w14:paraId="087497DA">
            <w:pPr>
              <w:pStyle w:val="14"/>
            </w:pPr>
            <w:r>
              <w:t>1993.80</w:t>
            </w:r>
          </w:p>
        </w:tc>
        <w:tc>
          <w:tcPr>
            <w:tcW w:w="2551" w:type="dxa"/>
            <w:vAlign w:val="center"/>
          </w:tcPr>
          <w:p w14:paraId="4929663D">
            <w:pPr>
              <w:pStyle w:val="14"/>
            </w:pPr>
            <w:r>
              <w:t>1596.68</w:t>
            </w:r>
          </w:p>
        </w:tc>
        <w:tc>
          <w:tcPr>
            <w:tcW w:w="2551" w:type="dxa"/>
            <w:vAlign w:val="center"/>
          </w:tcPr>
          <w:p w14:paraId="4773958E">
            <w:pPr>
              <w:pStyle w:val="14"/>
            </w:pPr>
            <w:r>
              <w:t>397.11</w:t>
            </w:r>
          </w:p>
        </w:tc>
      </w:tr>
      <w:tr w14:paraId="44A46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68CCE">
            <w:pPr>
              <w:pStyle w:val="12"/>
            </w:pPr>
            <w:r>
              <w:t>3</w:t>
            </w:r>
          </w:p>
        </w:tc>
        <w:tc>
          <w:tcPr>
            <w:tcW w:w="1191" w:type="dxa"/>
            <w:vAlign w:val="center"/>
          </w:tcPr>
          <w:p w14:paraId="7ACC7658">
            <w:pPr>
              <w:pStyle w:val="13"/>
            </w:pPr>
            <w:r>
              <w:t>20502</w:t>
            </w:r>
          </w:p>
        </w:tc>
        <w:tc>
          <w:tcPr>
            <w:tcW w:w="4535" w:type="dxa"/>
            <w:vAlign w:val="center"/>
          </w:tcPr>
          <w:p w14:paraId="5D54B5D8">
            <w:pPr>
              <w:pStyle w:val="13"/>
            </w:pPr>
            <w:r>
              <w:t>普通教育</w:t>
            </w:r>
          </w:p>
        </w:tc>
        <w:tc>
          <w:tcPr>
            <w:tcW w:w="2551" w:type="dxa"/>
            <w:vAlign w:val="center"/>
          </w:tcPr>
          <w:p w14:paraId="7B8489AE">
            <w:pPr>
              <w:pStyle w:val="14"/>
            </w:pPr>
            <w:r>
              <w:t>1993.80</w:t>
            </w:r>
          </w:p>
        </w:tc>
        <w:tc>
          <w:tcPr>
            <w:tcW w:w="2551" w:type="dxa"/>
            <w:vAlign w:val="center"/>
          </w:tcPr>
          <w:p w14:paraId="22A54293">
            <w:pPr>
              <w:pStyle w:val="14"/>
            </w:pPr>
            <w:r>
              <w:t>1596.68</w:t>
            </w:r>
          </w:p>
        </w:tc>
        <w:tc>
          <w:tcPr>
            <w:tcW w:w="2551" w:type="dxa"/>
            <w:vAlign w:val="center"/>
          </w:tcPr>
          <w:p w14:paraId="19205587">
            <w:pPr>
              <w:pStyle w:val="14"/>
            </w:pPr>
            <w:r>
              <w:t>397.11</w:t>
            </w:r>
          </w:p>
        </w:tc>
      </w:tr>
      <w:tr w14:paraId="17916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D4A21">
            <w:pPr>
              <w:pStyle w:val="12"/>
            </w:pPr>
            <w:r>
              <w:t>4</w:t>
            </w:r>
          </w:p>
        </w:tc>
        <w:tc>
          <w:tcPr>
            <w:tcW w:w="1191" w:type="dxa"/>
            <w:vAlign w:val="center"/>
          </w:tcPr>
          <w:p w14:paraId="7ACF22DE">
            <w:pPr>
              <w:pStyle w:val="13"/>
            </w:pPr>
            <w:r>
              <w:t>2050201</w:t>
            </w:r>
          </w:p>
        </w:tc>
        <w:tc>
          <w:tcPr>
            <w:tcW w:w="4535" w:type="dxa"/>
            <w:vAlign w:val="center"/>
          </w:tcPr>
          <w:p w14:paraId="620D2F62">
            <w:pPr>
              <w:pStyle w:val="13"/>
            </w:pPr>
            <w:r>
              <w:t>学前教育</w:t>
            </w:r>
          </w:p>
        </w:tc>
        <w:tc>
          <w:tcPr>
            <w:tcW w:w="2551" w:type="dxa"/>
            <w:vAlign w:val="center"/>
          </w:tcPr>
          <w:p w14:paraId="5DB655BD">
            <w:pPr>
              <w:pStyle w:val="14"/>
            </w:pPr>
            <w:r>
              <w:t>84.74</w:t>
            </w:r>
          </w:p>
        </w:tc>
        <w:tc>
          <w:tcPr>
            <w:tcW w:w="2551" w:type="dxa"/>
            <w:vAlign w:val="center"/>
          </w:tcPr>
          <w:p w14:paraId="0E7EB335">
            <w:pPr>
              <w:pStyle w:val="14"/>
            </w:pPr>
          </w:p>
        </w:tc>
        <w:tc>
          <w:tcPr>
            <w:tcW w:w="2551" w:type="dxa"/>
            <w:vAlign w:val="center"/>
          </w:tcPr>
          <w:p w14:paraId="7A6CDF05">
            <w:pPr>
              <w:pStyle w:val="14"/>
            </w:pPr>
            <w:r>
              <w:t>84.74</w:t>
            </w:r>
          </w:p>
        </w:tc>
      </w:tr>
      <w:tr w14:paraId="59A5A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91D17">
            <w:pPr>
              <w:pStyle w:val="12"/>
            </w:pPr>
            <w:r>
              <w:t>5</w:t>
            </w:r>
          </w:p>
        </w:tc>
        <w:tc>
          <w:tcPr>
            <w:tcW w:w="1191" w:type="dxa"/>
            <w:vAlign w:val="center"/>
          </w:tcPr>
          <w:p w14:paraId="1CDBEA11">
            <w:pPr>
              <w:pStyle w:val="13"/>
            </w:pPr>
            <w:r>
              <w:t>2050202</w:t>
            </w:r>
          </w:p>
        </w:tc>
        <w:tc>
          <w:tcPr>
            <w:tcW w:w="4535" w:type="dxa"/>
            <w:vAlign w:val="center"/>
          </w:tcPr>
          <w:p w14:paraId="6D70799B">
            <w:pPr>
              <w:pStyle w:val="13"/>
            </w:pPr>
            <w:r>
              <w:t>小学教育</w:t>
            </w:r>
          </w:p>
        </w:tc>
        <w:tc>
          <w:tcPr>
            <w:tcW w:w="2551" w:type="dxa"/>
            <w:vAlign w:val="center"/>
          </w:tcPr>
          <w:p w14:paraId="2D6D626E">
            <w:pPr>
              <w:pStyle w:val="14"/>
            </w:pPr>
            <w:r>
              <w:t>1909.06</w:t>
            </w:r>
          </w:p>
        </w:tc>
        <w:tc>
          <w:tcPr>
            <w:tcW w:w="2551" w:type="dxa"/>
            <w:vAlign w:val="center"/>
          </w:tcPr>
          <w:p w14:paraId="672430DF">
            <w:pPr>
              <w:pStyle w:val="14"/>
            </w:pPr>
            <w:r>
              <w:t>1596.68</w:t>
            </w:r>
          </w:p>
        </w:tc>
        <w:tc>
          <w:tcPr>
            <w:tcW w:w="2551" w:type="dxa"/>
            <w:vAlign w:val="center"/>
          </w:tcPr>
          <w:p w14:paraId="07C8C6A7">
            <w:pPr>
              <w:pStyle w:val="14"/>
            </w:pPr>
            <w:r>
              <w:t>312.37</w:t>
            </w:r>
          </w:p>
        </w:tc>
      </w:tr>
    </w:tbl>
    <w:p w14:paraId="4DBB5971">
      <w:pPr>
        <w:sectPr>
          <w:pgSz w:w="16840" w:h="11900" w:orient="landscape"/>
          <w:pgMar w:top="1361" w:right="1020" w:bottom="1134" w:left="1020" w:header="720" w:footer="720" w:gutter="0"/>
          <w:cols w:space="720" w:num="1"/>
        </w:sectPr>
      </w:pPr>
    </w:p>
    <w:p w14:paraId="667F4E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ACE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DE6586">
            <w:pPr>
              <w:pStyle w:val="8"/>
            </w:pPr>
            <w:r>
              <w:t>360025隆尧县千户营校区</w:t>
            </w:r>
          </w:p>
        </w:tc>
        <w:tc>
          <w:tcPr>
            <w:tcW w:w="2551" w:type="dxa"/>
            <w:tcBorders>
              <w:top w:val="single" w:color="FFFFFF" w:sz="6" w:space="0"/>
              <w:left w:val="single" w:color="FFFFFF" w:sz="6" w:space="0"/>
              <w:right w:val="single" w:color="FFFFFF" w:sz="6" w:space="0"/>
            </w:tcBorders>
            <w:vAlign w:val="center"/>
          </w:tcPr>
          <w:p w14:paraId="290BA28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3AAA97E">
            <w:pPr>
              <w:pStyle w:val="10"/>
            </w:pPr>
            <w:r>
              <w:t>单位：万元</w:t>
            </w:r>
          </w:p>
        </w:tc>
      </w:tr>
      <w:tr w14:paraId="2D2F0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258B96">
            <w:pPr>
              <w:pStyle w:val="11"/>
            </w:pPr>
            <w:r>
              <w:t>序号</w:t>
            </w:r>
          </w:p>
        </w:tc>
        <w:tc>
          <w:tcPr>
            <w:tcW w:w="5726" w:type="dxa"/>
            <w:gridSpan w:val="2"/>
            <w:vAlign w:val="center"/>
          </w:tcPr>
          <w:p w14:paraId="0A350CAE">
            <w:pPr>
              <w:pStyle w:val="11"/>
            </w:pPr>
            <w:r>
              <w:t>支出部门经济分类科目</w:t>
            </w:r>
          </w:p>
        </w:tc>
        <w:tc>
          <w:tcPr>
            <w:tcW w:w="7653" w:type="dxa"/>
            <w:gridSpan w:val="3"/>
            <w:vAlign w:val="center"/>
          </w:tcPr>
          <w:p w14:paraId="7A0194FF">
            <w:pPr>
              <w:pStyle w:val="11"/>
            </w:pPr>
            <w:r>
              <w:t>一般公共预算基本支出</w:t>
            </w:r>
          </w:p>
        </w:tc>
      </w:tr>
      <w:tr w14:paraId="0B182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4763C4"/>
        </w:tc>
        <w:tc>
          <w:tcPr>
            <w:tcW w:w="1191" w:type="dxa"/>
            <w:vAlign w:val="center"/>
          </w:tcPr>
          <w:p w14:paraId="5F37777A">
            <w:pPr>
              <w:pStyle w:val="11"/>
            </w:pPr>
            <w:r>
              <w:t>科目编码</w:t>
            </w:r>
          </w:p>
        </w:tc>
        <w:tc>
          <w:tcPr>
            <w:tcW w:w="4535" w:type="dxa"/>
            <w:vAlign w:val="center"/>
          </w:tcPr>
          <w:p w14:paraId="7B4F0C9C">
            <w:pPr>
              <w:pStyle w:val="11"/>
            </w:pPr>
            <w:r>
              <w:t>科目名称</w:t>
            </w:r>
          </w:p>
        </w:tc>
        <w:tc>
          <w:tcPr>
            <w:tcW w:w="2551" w:type="dxa"/>
            <w:vAlign w:val="center"/>
          </w:tcPr>
          <w:p w14:paraId="07BCC9AF">
            <w:pPr>
              <w:pStyle w:val="11"/>
            </w:pPr>
            <w:r>
              <w:t>合计</w:t>
            </w:r>
          </w:p>
        </w:tc>
        <w:tc>
          <w:tcPr>
            <w:tcW w:w="2551" w:type="dxa"/>
            <w:vAlign w:val="center"/>
          </w:tcPr>
          <w:p w14:paraId="7BDD3E22">
            <w:pPr>
              <w:pStyle w:val="11"/>
            </w:pPr>
            <w:r>
              <w:t>人员经费</w:t>
            </w:r>
          </w:p>
        </w:tc>
        <w:tc>
          <w:tcPr>
            <w:tcW w:w="2551" w:type="dxa"/>
            <w:vAlign w:val="center"/>
          </w:tcPr>
          <w:p w14:paraId="1880506C">
            <w:pPr>
              <w:pStyle w:val="11"/>
            </w:pPr>
            <w:r>
              <w:t>公用经费</w:t>
            </w:r>
          </w:p>
        </w:tc>
      </w:tr>
      <w:tr w14:paraId="49289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4F0F33">
            <w:pPr>
              <w:pStyle w:val="11"/>
            </w:pPr>
            <w:r>
              <w:t>栏次</w:t>
            </w:r>
          </w:p>
        </w:tc>
        <w:tc>
          <w:tcPr>
            <w:tcW w:w="1191" w:type="dxa"/>
            <w:vAlign w:val="center"/>
          </w:tcPr>
          <w:p w14:paraId="2F6FDED9">
            <w:pPr>
              <w:pStyle w:val="11"/>
            </w:pPr>
            <w:r>
              <w:t>1</w:t>
            </w:r>
          </w:p>
        </w:tc>
        <w:tc>
          <w:tcPr>
            <w:tcW w:w="4535" w:type="dxa"/>
            <w:vAlign w:val="center"/>
          </w:tcPr>
          <w:p w14:paraId="027BA215">
            <w:pPr>
              <w:pStyle w:val="11"/>
            </w:pPr>
            <w:r>
              <w:t>2</w:t>
            </w:r>
          </w:p>
        </w:tc>
        <w:tc>
          <w:tcPr>
            <w:tcW w:w="2551" w:type="dxa"/>
            <w:vAlign w:val="center"/>
          </w:tcPr>
          <w:p w14:paraId="3198318A">
            <w:pPr>
              <w:pStyle w:val="11"/>
            </w:pPr>
            <w:r>
              <w:t>3</w:t>
            </w:r>
          </w:p>
        </w:tc>
        <w:tc>
          <w:tcPr>
            <w:tcW w:w="2551" w:type="dxa"/>
            <w:vAlign w:val="center"/>
          </w:tcPr>
          <w:p w14:paraId="08B1CBB0">
            <w:pPr>
              <w:pStyle w:val="11"/>
            </w:pPr>
            <w:r>
              <w:t>4</w:t>
            </w:r>
          </w:p>
        </w:tc>
        <w:tc>
          <w:tcPr>
            <w:tcW w:w="2551" w:type="dxa"/>
            <w:vAlign w:val="center"/>
          </w:tcPr>
          <w:p w14:paraId="1E7A19B7">
            <w:pPr>
              <w:pStyle w:val="11"/>
            </w:pPr>
            <w:r>
              <w:t>5</w:t>
            </w:r>
          </w:p>
        </w:tc>
      </w:tr>
      <w:tr w14:paraId="11872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BEB06">
            <w:pPr>
              <w:pStyle w:val="12"/>
            </w:pPr>
            <w:r>
              <w:t>1</w:t>
            </w:r>
          </w:p>
        </w:tc>
        <w:tc>
          <w:tcPr>
            <w:tcW w:w="1191" w:type="dxa"/>
            <w:vAlign w:val="center"/>
          </w:tcPr>
          <w:p w14:paraId="0CC30CBF">
            <w:pPr>
              <w:pStyle w:val="17"/>
            </w:pPr>
          </w:p>
        </w:tc>
        <w:tc>
          <w:tcPr>
            <w:tcW w:w="4535" w:type="dxa"/>
            <w:vAlign w:val="center"/>
          </w:tcPr>
          <w:p w14:paraId="3EAB76F3">
            <w:pPr>
              <w:pStyle w:val="15"/>
            </w:pPr>
            <w:r>
              <w:t>合计</w:t>
            </w:r>
          </w:p>
        </w:tc>
        <w:tc>
          <w:tcPr>
            <w:tcW w:w="2551" w:type="dxa"/>
            <w:vAlign w:val="center"/>
          </w:tcPr>
          <w:p w14:paraId="52D49975">
            <w:pPr>
              <w:pStyle w:val="16"/>
            </w:pPr>
            <w:r>
              <w:t>1596.68</w:t>
            </w:r>
          </w:p>
        </w:tc>
        <w:tc>
          <w:tcPr>
            <w:tcW w:w="2551" w:type="dxa"/>
            <w:vAlign w:val="center"/>
          </w:tcPr>
          <w:p w14:paraId="1ED449A5">
            <w:pPr>
              <w:pStyle w:val="16"/>
            </w:pPr>
            <w:r>
              <w:t>1596.68</w:t>
            </w:r>
          </w:p>
        </w:tc>
        <w:tc>
          <w:tcPr>
            <w:tcW w:w="2551" w:type="dxa"/>
            <w:vAlign w:val="center"/>
          </w:tcPr>
          <w:p w14:paraId="14DFCB80">
            <w:pPr>
              <w:pStyle w:val="16"/>
            </w:pPr>
          </w:p>
        </w:tc>
      </w:tr>
      <w:tr w14:paraId="75DD9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7DF29">
            <w:pPr>
              <w:pStyle w:val="12"/>
            </w:pPr>
            <w:r>
              <w:t>2</w:t>
            </w:r>
          </w:p>
        </w:tc>
        <w:tc>
          <w:tcPr>
            <w:tcW w:w="1191" w:type="dxa"/>
            <w:vAlign w:val="center"/>
          </w:tcPr>
          <w:p w14:paraId="793B2CC6">
            <w:pPr>
              <w:pStyle w:val="13"/>
            </w:pPr>
            <w:r>
              <w:t>301</w:t>
            </w:r>
          </w:p>
        </w:tc>
        <w:tc>
          <w:tcPr>
            <w:tcW w:w="4535" w:type="dxa"/>
            <w:vAlign w:val="center"/>
          </w:tcPr>
          <w:p w14:paraId="15C78ADB">
            <w:pPr>
              <w:pStyle w:val="13"/>
            </w:pPr>
            <w:r>
              <w:t>工资福利支出</w:t>
            </w:r>
          </w:p>
        </w:tc>
        <w:tc>
          <w:tcPr>
            <w:tcW w:w="2551" w:type="dxa"/>
            <w:vAlign w:val="center"/>
          </w:tcPr>
          <w:p w14:paraId="7A294F5A">
            <w:pPr>
              <w:pStyle w:val="14"/>
            </w:pPr>
            <w:r>
              <w:t>1454.73</w:t>
            </w:r>
          </w:p>
        </w:tc>
        <w:tc>
          <w:tcPr>
            <w:tcW w:w="2551" w:type="dxa"/>
            <w:vAlign w:val="center"/>
          </w:tcPr>
          <w:p w14:paraId="303E00B5">
            <w:pPr>
              <w:pStyle w:val="14"/>
            </w:pPr>
            <w:r>
              <w:t>1454.73</w:t>
            </w:r>
          </w:p>
        </w:tc>
        <w:tc>
          <w:tcPr>
            <w:tcW w:w="2551" w:type="dxa"/>
            <w:vAlign w:val="center"/>
          </w:tcPr>
          <w:p w14:paraId="3C13020B">
            <w:pPr>
              <w:pStyle w:val="14"/>
            </w:pPr>
          </w:p>
        </w:tc>
      </w:tr>
      <w:tr w14:paraId="39B5B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A9D4E">
            <w:pPr>
              <w:pStyle w:val="12"/>
            </w:pPr>
            <w:r>
              <w:t>3</w:t>
            </w:r>
          </w:p>
        </w:tc>
        <w:tc>
          <w:tcPr>
            <w:tcW w:w="1191" w:type="dxa"/>
            <w:vAlign w:val="center"/>
          </w:tcPr>
          <w:p w14:paraId="15572A5F">
            <w:pPr>
              <w:pStyle w:val="13"/>
            </w:pPr>
            <w:r>
              <w:t>30101</w:t>
            </w:r>
          </w:p>
        </w:tc>
        <w:tc>
          <w:tcPr>
            <w:tcW w:w="4535" w:type="dxa"/>
            <w:vAlign w:val="center"/>
          </w:tcPr>
          <w:p w14:paraId="1CF42DC4">
            <w:pPr>
              <w:pStyle w:val="13"/>
            </w:pPr>
            <w:r>
              <w:t>基本工资</w:t>
            </w:r>
          </w:p>
        </w:tc>
        <w:tc>
          <w:tcPr>
            <w:tcW w:w="2551" w:type="dxa"/>
            <w:vAlign w:val="center"/>
          </w:tcPr>
          <w:p w14:paraId="62BD0983">
            <w:pPr>
              <w:pStyle w:val="14"/>
            </w:pPr>
            <w:r>
              <w:t>668.02</w:t>
            </w:r>
          </w:p>
        </w:tc>
        <w:tc>
          <w:tcPr>
            <w:tcW w:w="2551" w:type="dxa"/>
            <w:vAlign w:val="center"/>
          </w:tcPr>
          <w:p w14:paraId="71D7AF10">
            <w:pPr>
              <w:pStyle w:val="14"/>
            </w:pPr>
            <w:r>
              <w:t>668.02</w:t>
            </w:r>
          </w:p>
        </w:tc>
        <w:tc>
          <w:tcPr>
            <w:tcW w:w="2551" w:type="dxa"/>
            <w:vAlign w:val="center"/>
          </w:tcPr>
          <w:p w14:paraId="0A850BF8">
            <w:pPr>
              <w:pStyle w:val="14"/>
            </w:pPr>
          </w:p>
        </w:tc>
      </w:tr>
      <w:tr w14:paraId="067DA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515CA">
            <w:pPr>
              <w:pStyle w:val="12"/>
            </w:pPr>
            <w:r>
              <w:t>4</w:t>
            </w:r>
          </w:p>
        </w:tc>
        <w:tc>
          <w:tcPr>
            <w:tcW w:w="1191" w:type="dxa"/>
            <w:vAlign w:val="center"/>
          </w:tcPr>
          <w:p w14:paraId="1E68DED7">
            <w:pPr>
              <w:pStyle w:val="13"/>
            </w:pPr>
            <w:r>
              <w:t>30102</w:t>
            </w:r>
          </w:p>
        </w:tc>
        <w:tc>
          <w:tcPr>
            <w:tcW w:w="4535" w:type="dxa"/>
            <w:vAlign w:val="center"/>
          </w:tcPr>
          <w:p w14:paraId="3BB3EA06">
            <w:pPr>
              <w:pStyle w:val="13"/>
            </w:pPr>
            <w:r>
              <w:t>津贴补贴</w:t>
            </w:r>
          </w:p>
        </w:tc>
        <w:tc>
          <w:tcPr>
            <w:tcW w:w="2551" w:type="dxa"/>
            <w:vAlign w:val="center"/>
          </w:tcPr>
          <w:p w14:paraId="6A30408D">
            <w:pPr>
              <w:pStyle w:val="14"/>
            </w:pPr>
            <w:r>
              <w:t>63.18</w:t>
            </w:r>
          </w:p>
        </w:tc>
        <w:tc>
          <w:tcPr>
            <w:tcW w:w="2551" w:type="dxa"/>
            <w:vAlign w:val="center"/>
          </w:tcPr>
          <w:p w14:paraId="341711AB">
            <w:pPr>
              <w:pStyle w:val="14"/>
            </w:pPr>
            <w:r>
              <w:t>63.18</w:t>
            </w:r>
          </w:p>
        </w:tc>
        <w:tc>
          <w:tcPr>
            <w:tcW w:w="2551" w:type="dxa"/>
            <w:vAlign w:val="center"/>
          </w:tcPr>
          <w:p w14:paraId="685957C2">
            <w:pPr>
              <w:pStyle w:val="14"/>
            </w:pPr>
          </w:p>
        </w:tc>
      </w:tr>
      <w:tr w14:paraId="6A1DC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D2377">
            <w:pPr>
              <w:pStyle w:val="12"/>
            </w:pPr>
            <w:r>
              <w:t>5</w:t>
            </w:r>
          </w:p>
        </w:tc>
        <w:tc>
          <w:tcPr>
            <w:tcW w:w="1191" w:type="dxa"/>
            <w:vAlign w:val="center"/>
          </w:tcPr>
          <w:p w14:paraId="73AF50A2">
            <w:pPr>
              <w:pStyle w:val="13"/>
            </w:pPr>
            <w:r>
              <w:t>30107</w:t>
            </w:r>
          </w:p>
        </w:tc>
        <w:tc>
          <w:tcPr>
            <w:tcW w:w="4535" w:type="dxa"/>
            <w:vAlign w:val="center"/>
          </w:tcPr>
          <w:p w14:paraId="29528028">
            <w:pPr>
              <w:pStyle w:val="13"/>
            </w:pPr>
            <w:r>
              <w:t>绩效工资</w:t>
            </w:r>
          </w:p>
        </w:tc>
        <w:tc>
          <w:tcPr>
            <w:tcW w:w="2551" w:type="dxa"/>
            <w:vAlign w:val="center"/>
          </w:tcPr>
          <w:p w14:paraId="7BEE62E5">
            <w:pPr>
              <w:pStyle w:val="14"/>
            </w:pPr>
            <w:r>
              <w:t>409.67</w:t>
            </w:r>
          </w:p>
        </w:tc>
        <w:tc>
          <w:tcPr>
            <w:tcW w:w="2551" w:type="dxa"/>
            <w:vAlign w:val="center"/>
          </w:tcPr>
          <w:p w14:paraId="118BE766">
            <w:pPr>
              <w:pStyle w:val="14"/>
            </w:pPr>
            <w:r>
              <w:t>409.67</w:t>
            </w:r>
          </w:p>
        </w:tc>
        <w:tc>
          <w:tcPr>
            <w:tcW w:w="2551" w:type="dxa"/>
            <w:vAlign w:val="center"/>
          </w:tcPr>
          <w:p w14:paraId="7C5FBCEF">
            <w:pPr>
              <w:pStyle w:val="14"/>
            </w:pPr>
          </w:p>
        </w:tc>
      </w:tr>
      <w:tr w14:paraId="1980C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38FF6">
            <w:pPr>
              <w:pStyle w:val="12"/>
            </w:pPr>
            <w:r>
              <w:t>6</w:t>
            </w:r>
          </w:p>
        </w:tc>
        <w:tc>
          <w:tcPr>
            <w:tcW w:w="1191" w:type="dxa"/>
            <w:vAlign w:val="center"/>
          </w:tcPr>
          <w:p w14:paraId="7D4840B2">
            <w:pPr>
              <w:pStyle w:val="13"/>
            </w:pPr>
            <w:r>
              <w:t>30108</w:t>
            </w:r>
          </w:p>
        </w:tc>
        <w:tc>
          <w:tcPr>
            <w:tcW w:w="4535" w:type="dxa"/>
            <w:vAlign w:val="center"/>
          </w:tcPr>
          <w:p w14:paraId="1BC97BEA">
            <w:pPr>
              <w:pStyle w:val="13"/>
            </w:pPr>
            <w:r>
              <w:t>机关事业单位基本养老保险缴费</w:t>
            </w:r>
          </w:p>
        </w:tc>
        <w:tc>
          <w:tcPr>
            <w:tcW w:w="2551" w:type="dxa"/>
            <w:vAlign w:val="center"/>
          </w:tcPr>
          <w:p w14:paraId="79EFE0DF">
            <w:pPr>
              <w:pStyle w:val="14"/>
            </w:pPr>
            <w:r>
              <w:t>137.84</w:t>
            </w:r>
          </w:p>
        </w:tc>
        <w:tc>
          <w:tcPr>
            <w:tcW w:w="2551" w:type="dxa"/>
            <w:vAlign w:val="center"/>
          </w:tcPr>
          <w:p w14:paraId="2FDEE852">
            <w:pPr>
              <w:pStyle w:val="14"/>
            </w:pPr>
            <w:r>
              <w:t>137.84</w:t>
            </w:r>
          </w:p>
        </w:tc>
        <w:tc>
          <w:tcPr>
            <w:tcW w:w="2551" w:type="dxa"/>
            <w:vAlign w:val="center"/>
          </w:tcPr>
          <w:p w14:paraId="2324E1D1">
            <w:pPr>
              <w:pStyle w:val="14"/>
            </w:pPr>
          </w:p>
        </w:tc>
      </w:tr>
      <w:tr w14:paraId="74479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EF00B">
            <w:pPr>
              <w:pStyle w:val="12"/>
            </w:pPr>
            <w:r>
              <w:t>7</w:t>
            </w:r>
          </w:p>
        </w:tc>
        <w:tc>
          <w:tcPr>
            <w:tcW w:w="1191" w:type="dxa"/>
            <w:vAlign w:val="center"/>
          </w:tcPr>
          <w:p w14:paraId="7864BFB3">
            <w:pPr>
              <w:pStyle w:val="13"/>
            </w:pPr>
            <w:r>
              <w:t>30110</w:t>
            </w:r>
          </w:p>
        </w:tc>
        <w:tc>
          <w:tcPr>
            <w:tcW w:w="4535" w:type="dxa"/>
            <w:vAlign w:val="center"/>
          </w:tcPr>
          <w:p w14:paraId="55FDD3CF">
            <w:pPr>
              <w:pStyle w:val="13"/>
            </w:pPr>
            <w:r>
              <w:t>职工基本医疗保险缴费</w:t>
            </w:r>
          </w:p>
        </w:tc>
        <w:tc>
          <w:tcPr>
            <w:tcW w:w="2551" w:type="dxa"/>
            <w:vAlign w:val="center"/>
          </w:tcPr>
          <w:p w14:paraId="56BDA418">
            <w:pPr>
              <w:pStyle w:val="14"/>
            </w:pPr>
            <w:r>
              <w:t>66.91</w:t>
            </w:r>
          </w:p>
        </w:tc>
        <w:tc>
          <w:tcPr>
            <w:tcW w:w="2551" w:type="dxa"/>
            <w:vAlign w:val="center"/>
          </w:tcPr>
          <w:p w14:paraId="05C911FC">
            <w:pPr>
              <w:pStyle w:val="14"/>
            </w:pPr>
            <w:r>
              <w:t>66.91</w:t>
            </w:r>
          </w:p>
        </w:tc>
        <w:tc>
          <w:tcPr>
            <w:tcW w:w="2551" w:type="dxa"/>
            <w:vAlign w:val="center"/>
          </w:tcPr>
          <w:p w14:paraId="2DD375BA">
            <w:pPr>
              <w:pStyle w:val="14"/>
            </w:pPr>
          </w:p>
        </w:tc>
      </w:tr>
      <w:tr w14:paraId="0ED1D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1576D">
            <w:pPr>
              <w:pStyle w:val="12"/>
            </w:pPr>
            <w:r>
              <w:t>8</w:t>
            </w:r>
          </w:p>
        </w:tc>
        <w:tc>
          <w:tcPr>
            <w:tcW w:w="1191" w:type="dxa"/>
            <w:vAlign w:val="center"/>
          </w:tcPr>
          <w:p w14:paraId="25BCB42D">
            <w:pPr>
              <w:pStyle w:val="13"/>
            </w:pPr>
            <w:r>
              <w:t>30112</w:t>
            </w:r>
          </w:p>
        </w:tc>
        <w:tc>
          <w:tcPr>
            <w:tcW w:w="4535" w:type="dxa"/>
            <w:vAlign w:val="center"/>
          </w:tcPr>
          <w:p w14:paraId="27F4F1D7">
            <w:pPr>
              <w:pStyle w:val="13"/>
            </w:pPr>
            <w:r>
              <w:t>其他社会保障缴费</w:t>
            </w:r>
          </w:p>
        </w:tc>
        <w:tc>
          <w:tcPr>
            <w:tcW w:w="2551" w:type="dxa"/>
            <w:vAlign w:val="center"/>
          </w:tcPr>
          <w:p w14:paraId="5465A979">
            <w:pPr>
              <w:pStyle w:val="14"/>
            </w:pPr>
            <w:r>
              <w:t>3.87</w:t>
            </w:r>
          </w:p>
        </w:tc>
        <w:tc>
          <w:tcPr>
            <w:tcW w:w="2551" w:type="dxa"/>
            <w:vAlign w:val="center"/>
          </w:tcPr>
          <w:p w14:paraId="3B7CD691">
            <w:pPr>
              <w:pStyle w:val="14"/>
            </w:pPr>
            <w:r>
              <w:t>3.87</w:t>
            </w:r>
          </w:p>
        </w:tc>
        <w:tc>
          <w:tcPr>
            <w:tcW w:w="2551" w:type="dxa"/>
            <w:vAlign w:val="center"/>
          </w:tcPr>
          <w:p w14:paraId="5FBCBCF9">
            <w:pPr>
              <w:pStyle w:val="14"/>
            </w:pPr>
          </w:p>
        </w:tc>
      </w:tr>
      <w:tr w14:paraId="46016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43446">
            <w:pPr>
              <w:pStyle w:val="12"/>
            </w:pPr>
            <w:r>
              <w:t>9</w:t>
            </w:r>
          </w:p>
        </w:tc>
        <w:tc>
          <w:tcPr>
            <w:tcW w:w="1191" w:type="dxa"/>
            <w:vAlign w:val="center"/>
          </w:tcPr>
          <w:p w14:paraId="7CB3D72F">
            <w:pPr>
              <w:pStyle w:val="13"/>
            </w:pPr>
            <w:r>
              <w:t>30113</w:t>
            </w:r>
          </w:p>
        </w:tc>
        <w:tc>
          <w:tcPr>
            <w:tcW w:w="4535" w:type="dxa"/>
            <w:vAlign w:val="center"/>
          </w:tcPr>
          <w:p w14:paraId="435D9A20">
            <w:pPr>
              <w:pStyle w:val="13"/>
            </w:pPr>
            <w:r>
              <w:t>住房公积金</w:t>
            </w:r>
          </w:p>
        </w:tc>
        <w:tc>
          <w:tcPr>
            <w:tcW w:w="2551" w:type="dxa"/>
            <w:vAlign w:val="center"/>
          </w:tcPr>
          <w:p w14:paraId="6E39E122">
            <w:pPr>
              <w:pStyle w:val="14"/>
            </w:pPr>
            <w:r>
              <w:t>105.25</w:t>
            </w:r>
          </w:p>
        </w:tc>
        <w:tc>
          <w:tcPr>
            <w:tcW w:w="2551" w:type="dxa"/>
            <w:vAlign w:val="center"/>
          </w:tcPr>
          <w:p w14:paraId="54508010">
            <w:pPr>
              <w:pStyle w:val="14"/>
            </w:pPr>
            <w:r>
              <w:t>105.25</w:t>
            </w:r>
          </w:p>
        </w:tc>
        <w:tc>
          <w:tcPr>
            <w:tcW w:w="2551" w:type="dxa"/>
            <w:vAlign w:val="center"/>
          </w:tcPr>
          <w:p w14:paraId="7F315D4D">
            <w:pPr>
              <w:pStyle w:val="14"/>
            </w:pPr>
          </w:p>
        </w:tc>
      </w:tr>
      <w:tr w14:paraId="68C6A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919C6">
            <w:pPr>
              <w:pStyle w:val="12"/>
            </w:pPr>
            <w:r>
              <w:t>10</w:t>
            </w:r>
          </w:p>
        </w:tc>
        <w:tc>
          <w:tcPr>
            <w:tcW w:w="1191" w:type="dxa"/>
            <w:vAlign w:val="center"/>
          </w:tcPr>
          <w:p w14:paraId="16EA9A93">
            <w:pPr>
              <w:pStyle w:val="13"/>
            </w:pPr>
            <w:r>
              <w:t>303</w:t>
            </w:r>
          </w:p>
        </w:tc>
        <w:tc>
          <w:tcPr>
            <w:tcW w:w="4535" w:type="dxa"/>
            <w:vAlign w:val="center"/>
          </w:tcPr>
          <w:p w14:paraId="2BB9CACB">
            <w:pPr>
              <w:pStyle w:val="13"/>
            </w:pPr>
            <w:r>
              <w:t>对个人和家庭的补助</w:t>
            </w:r>
          </w:p>
        </w:tc>
        <w:tc>
          <w:tcPr>
            <w:tcW w:w="2551" w:type="dxa"/>
            <w:vAlign w:val="center"/>
          </w:tcPr>
          <w:p w14:paraId="076BDCAC">
            <w:pPr>
              <w:pStyle w:val="14"/>
            </w:pPr>
            <w:r>
              <w:t>141.95</w:t>
            </w:r>
          </w:p>
        </w:tc>
        <w:tc>
          <w:tcPr>
            <w:tcW w:w="2551" w:type="dxa"/>
            <w:vAlign w:val="center"/>
          </w:tcPr>
          <w:p w14:paraId="1C802C79">
            <w:pPr>
              <w:pStyle w:val="14"/>
            </w:pPr>
            <w:r>
              <w:t>141.95</w:t>
            </w:r>
          </w:p>
        </w:tc>
        <w:tc>
          <w:tcPr>
            <w:tcW w:w="2551" w:type="dxa"/>
            <w:vAlign w:val="center"/>
          </w:tcPr>
          <w:p w14:paraId="0AAC7C72">
            <w:pPr>
              <w:pStyle w:val="14"/>
            </w:pPr>
          </w:p>
        </w:tc>
      </w:tr>
      <w:tr w14:paraId="19B64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DB096">
            <w:pPr>
              <w:pStyle w:val="12"/>
            </w:pPr>
            <w:r>
              <w:t>11</w:t>
            </w:r>
          </w:p>
        </w:tc>
        <w:tc>
          <w:tcPr>
            <w:tcW w:w="1191" w:type="dxa"/>
            <w:vAlign w:val="center"/>
          </w:tcPr>
          <w:p w14:paraId="05B4C0AB">
            <w:pPr>
              <w:pStyle w:val="13"/>
            </w:pPr>
            <w:r>
              <w:t>30302</w:t>
            </w:r>
          </w:p>
        </w:tc>
        <w:tc>
          <w:tcPr>
            <w:tcW w:w="4535" w:type="dxa"/>
            <w:vAlign w:val="center"/>
          </w:tcPr>
          <w:p w14:paraId="014BFA99">
            <w:pPr>
              <w:pStyle w:val="13"/>
            </w:pPr>
            <w:r>
              <w:t>退休费</w:t>
            </w:r>
          </w:p>
        </w:tc>
        <w:tc>
          <w:tcPr>
            <w:tcW w:w="2551" w:type="dxa"/>
            <w:vAlign w:val="center"/>
          </w:tcPr>
          <w:p w14:paraId="22ABC4B8">
            <w:pPr>
              <w:pStyle w:val="14"/>
            </w:pPr>
            <w:r>
              <w:t>134.57</w:t>
            </w:r>
          </w:p>
        </w:tc>
        <w:tc>
          <w:tcPr>
            <w:tcW w:w="2551" w:type="dxa"/>
            <w:vAlign w:val="center"/>
          </w:tcPr>
          <w:p w14:paraId="1D670248">
            <w:pPr>
              <w:pStyle w:val="14"/>
            </w:pPr>
            <w:r>
              <w:t>134.57</w:t>
            </w:r>
          </w:p>
        </w:tc>
        <w:tc>
          <w:tcPr>
            <w:tcW w:w="2551" w:type="dxa"/>
            <w:vAlign w:val="center"/>
          </w:tcPr>
          <w:p w14:paraId="1D20B196">
            <w:pPr>
              <w:pStyle w:val="14"/>
            </w:pPr>
          </w:p>
        </w:tc>
      </w:tr>
      <w:tr w14:paraId="6416C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C1E8E">
            <w:pPr>
              <w:pStyle w:val="12"/>
            </w:pPr>
            <w:r>
              <w:t>12</w:t>
            </w:r>
          </w:p>
        </w:tc>
        <w:tc>
          <w:tcPr>
            <w:tcW w:w="1191" w:type="dxa"/>
            <w:vAlign w:val="center"/>
          </w:tcPr>
          <w:p w14:paraId="41ECE95B">
            <w:pPr>
              <w:pStyle w:val="13"/>
            </w:pPr>
            <w:r>
              <w:t>30305</w:t>
            </w:r>
          </w:p>
        </w:tc>
        <w:tc>
          <w:tcPr>
            <w:tcW w:w="4535" w:type="dxa"/>
            <w:vAlign w:val="center"/>
          </w:tcPr>
          <w:p w14:paraId="5FEC0284">
            <w:pPr>
              <w:pStyle w:val="13"/>
            </w:pPr>
            <w:r>
              <w:t>生活补助</w:t>
            </w:r>
          </w:p>
        </w:tc>
        <w:tc>
          <w:tcPr>
            <w:tcW w:w="2551" w:type="dxa"/>
            <w:vAlign w:val="center"/>
          </w:tcPr>
          <w:p w14:paraId="05DEEE87">
            <w:pPr>
              <w:pStyle w:val="14"/>
            </w:pPr>
            <w:r>
              <w:t>7.38</w:t>
            </w:r>
          </w:p>
        </w:tc>
        <w:tc>
          <w:tcPr>
            <w:tcW w:w="2551" w:type="dxa"/>
            <w:vAlign w:val="center"/>
          </w:tcPr>
          <w:p w14:paraId="664387EF">
            <w:pPr>
              <w:pStyle w:val="14"/>
            </w:pPr>
            <w:r>
              <w:t>7.38</w:t>
            </w:r>
          </w:p>
        </w:tc>
        <w:tc>
          <w:tcPr>
            <w:tcW w:w="2551" w:type="dxa"/>
            <w:vAlign w:val="center"/>
          </w:tcPr>
          <w:p w14:paraId="2F4C1ECE">
            <w:pPr>
              <w:pStyle w:val="14"/>
            </w:pPr>
          </w:p>
        </w:tc>
      </w:tr>
    </w:tbl>
    <w:p w14:paraId="3D8E426B">
      <w:pPr>
        <w:sectPr>
          <w:pgSz w:w="16840" w:h="11900" w:orient="landscape"/>
          <w:pgMar w:top="1361" w:right="1020" w:bottom="1134" w:left="1020" w:header="720" w:footer="720" w:gutter="0"/>
          <w:cols w:space="720" w:num="1"/>
        </w:sectPr>
      </w:pPr>
    </w:p>
    <w:p w14:paraId="05A248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3D3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FFADB0">
            <w:pPr>
              <w:pStyle w:val="8"/>
            </w:pPr>
            <w:r>
              <w:t>360025隆尧县千户营校区</w:t>
            </w:r>
          </w:p>
        </w:tc>
        <w:tc>
          <w:tcPr>
            <w:tcW w:w="2551" w:type="dxa"/>
            <w:tcBorders>
              <w:top w:val="single" w:color="FFFFFF" w:sz="6" w:space="0"/>
              <w:left w:val="single" w:color="FFFFFF" w:sz="6" w:space="0"/>
              <w:right w:val="single" w:color="FFFFFF" w:sz="6" w:space="0"/>
            </w:tcBorders>
            <w:vAlign w:val="center"/>
          </w:tcPr>
          <w:p w14:paraId="4AC9747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28479AD">
            <w:pPr>
              <w:pStyle w:val="10"/>
            </w:pPr>
            <w:r>
              <w:t>单位：万元</w:t>
            </w:r>
          </w:p>
        </w:tc>
      </w:tr>
      <w:tr w14:paraId="372D8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2FFEC7">
            <w:pPr>
              <w:pStyle w:val="11"/>
            </w:pPr>
            <w:r>
              <w:t>序号</w:t>
            </w:r>
          </w:p>
        </w:tc>
        <w:tc>
          <w:tcPr>
            <w:tcW w:w="5726" w:type="dxa"/>
            <w:gridSpan w:val="2"/>
            <w:vAlign w:val="center"/>
          </w:tcPr>
          <w:p w14:paraId="4CE8ACCB">
            <w:pPr>
              <w:pStyle w:val="11"/>
            </w:pPr>
            <w:r>
              <w:t>功能分类科目</w:t>
            </w:r>
          </w:p>
        </w:tc>
        <w:tc>
          <w:tcPr>
            <w:tcW w:w="2551" w:type="dxa"/>
            <w:vMerge w:val="restart"/>
            <w:vAlign w:val="center"/>
          </w:tcPr>
          <w:p w14:paraId="4C8CC68F">
            <w:pPr>
              <w:pStyle w:val="11"/>
            </w:pPr>
            <w:r>
              <w:t>合计</w:t>
            </w:r>
          </w:p>
        </w:tc>
        <w:tc>
          <w:tcPr>
            <w:tcW w:w="2551" w:type="dxa"/>
            <w:vMerge w:val="restart"/>
            <w:vAlign w:val="center"/>
          </w:tcPr>
          <w:p w14:paraId="748C96BF">
            <w:pPr>
              <w:pStyle w:val="11"/>
            </w:pPr>
            <w:r>
              <w:t>基本支出</w:t>
            </w:r>
          </w:p>
        </w:tc>
        <w:tc>
          <w:tcPr>
            <w:tcW w:w="2551" w:type="dxa"/>
            <w:vMerge w:val="restart"/>
            <w:vAlign w:val="center"/>
          </w:tcPr>
          <w:p w14:paraId="2BFAC650">
            <w:pPr>
              <w:pStyle w:val="11"/>
            </w:pPr>
            <w:r>
              <w:t>项目支出</w:t>
            </w:r>
          </w:p>
        </w:tc>
      </w:tr>
      <w:tr w14:paraId="1CB6F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E94150"/>
        </w:tc>
        <w:tc>
          <w:tcPr>
            <w:tcW w:w="1191" w:type="dxa"/>
            <w:vAlign w:val="center"/>
          </w:tcPr>
          <w:p w14:paraId="652B4BB0">
            <w:pPr>
              <w:pStyle w:val="11"/>
            </w:pPr>
            <w:r>
              <w:t>科目编码</w:t>
            </w:r>
          </w:p>
        </w:tc>
        <w:tc>
          <w:tcPr>
            <w:tcW w:w="4535" w:type="dxa"/>
            <w:vAlign w:val="center"/>
          </w:tcPr>
          <w:p w14:paraId="65903C38">
            <w:pPr>
              <w:pStyle w:val="11"/>
            </w:pPr>
            <w:r>
              <w:t>科目名称</w:t>
            </w:r>
          </w:p>
        </w:tc>
        <w:tc>
          <w:tcPr>
            <w:tcW w:w="2551" w:type="dxa"/>
            <w:vMerge w:val="continue"/>
          </w:tcPr>
          <w:p w14:paraId="668BE34C"/>
        </w:tc>
        <w:tc>
          <w:tcPr>
            <w:tcW w:w="2551" w:type="dxa"/>
            <w:vMerge w:val="continue"/>
          </w:tcPr>
          <w:p w14:paraId="30EB6F64"/>
        </w:tc>
        <w:tc>
          <w:tcPr>
            <w:tcW w:w="2551" w:type="dxa"/>
            <w:vMerge w:val="continue"/>
          </w:tcPr>
          <w:p w14:paraId="4574E597"/>
        </w:tc>
      </w:tr>
      <w:tr w14:paraId="72916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50523234">
            <w:pPr>
              <w:pStyle w:val="11"/>
            </w:pPr>
            <w:r>
              <w:t>栏次</w:t>
            </w:r>
          </w:p>
        </w:tc>
        <w:tc>
          <w:tcPr>
            <w:tcW w:w="1191" w:type="dxa"/>
            <w:vAlign w:val="center"/>
          </w:tcPr>
          <w:p w14:paraId="426B55F8">
            <w:pPr>
              <w:pStyle w:val="11"/>
            </w:pPr>
            <w:r>
              <w:t>1</w:t>
            </w:r>
          </w:p>
        </w:tc>
        <w:tc>
          <w:tcPr>
            <w:tcW w:w="4535" w:type="dxa"/>
            <w:vAlign w:val="center"/>
          </w:tcPr>
          <w:p w14:paraId="5EA08057">
            <w:pPr>
              <w:pStyle w:val="11"/>
            </w:pPr>
            <w:r>
              <w:t>2</w:t>
            </w:r>
          </w:p>
        </w:tc>
        <w:tc>
          <w:tcPr>
            <w:tcW w:w="2551" w:type="dxa"/>
            <w:vAlign w:val="center"/>
          </w:tcPr>
          <w:p w14:paraId="4DFF62FF">
            <w:pPr>
              <w:pStyle w:val="11"/>
            </w:pPr>
            <w:r>
              <w:t>3</w:t>
            </w:r>
          </w:p>
        </w:tc>
        <w:tc>
          <w:tcPr>
            <w:tcW w:w="2551" w:type="dxa"/>
            <w:vAlign w:val="center"/>
          </w:tcPr>
          <w:p w14:paraId="7F06F436">
            <w:pPr>
              <w:pStyle w:val="11"/>
            </w:pPr>
            <w:r>
              <w:t>4</w:t>
            </w:r>
          </w:p>
        </w:tc>
        <w:tc>
          <w:tcPr>
            <w:tcW w:w="2551" w:type="dxa"/>
            <w:vAlign w:val="center"/>
          </w:tcPr>
          <w:p w14:paraId="4F8C06F6">
            <w:pPr>
              <w:pStyle w:val="11"/>
            </w:pPr>
            <w:r>
              <w:t>5</w:t>
            </w:r>
          </w:p>
        </w:tc>
      </w:tr>
      <w:tr w14:paraId="0D361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FD4F091">
            <w:pPr>
              <w:pStyle w:val="12"/>
            </w:pPr>
          </w:p>
        </w:tc>
        <w:tc>
          <w:tcPr>
            <w:tcW w:w="1191" w:type="dxa"/>
            <w:vAlign w:val="center"/>
          </w:tcPr>
          <w:p w14:paraId="17BCC040">
            <w:pPr>
              <w:pStyle w:val="13"/>
            </w:pPr>
          </w:p>
        </w:tc>
        <w:tc>
          <w:tcPr>
            <w:tcW w:w="4535" w:type="dxa"/>
            <w:vAlign w:val="center"/>
          </w:tcPr>
          <w:p w14:paraId="12BE0E44">
            <w:pPr>
              <w:pStyle w:val="13"/>
            </w:pPr>
          </w:p>
        </w:tc>
        <w:tc>
          <w:tcPr>
            <w:tcW w:w="2551" w:type="dxa"/>
            <w:vAlign w:val="center"/>
          </w:tcPr>
          <w:p w14:paraId="4CB7EE0A">
            <w:pPr>
              <w:pStyle w:val="14"/>
            </w:pPr>
          </w:p>
        </w:tc>
        <w:tc>
          <w:tcPr>
            <w:tcW w:w="2551" w:type="dxa"/>
            <w:vAlign w:val="center"/>
          </w:tcPr>
          <w:p w14:paraId="0CEB947C">
            <w:pPr>
              <w:pStyle w:val="14"/>
            </w:pPr>
          </w:p>
        </w:tc>
        <w:tc>
          <w:tcPr>
            <w:tcW w:w="2551" w:type="dxa"/>
            <w:vAlign w:val="center"/>
          </w:tcPr>
          <w:p w14:paraId="5DD00FBF">
            <w:pPr>
              <w:pStyle w:val="14"/>
            </w:pPr>
          </w:p>
        </w:tc>
      </w:tr>
    </w:tbl>
    <w:p w14:paraId="0FB039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ADA88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CD0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0838B3">
            <w:pPr>
              <w:pStyle w:val="8"/>
            </w:pPr>
            <w:r>
              <w:t>360025隆尧县千户营校区</w:t>
            </w:r>
          </w:p>
        </w:tc>
        <w:tc>
          <w:tcPr>
            <w:tcW w:w="2551" w:type="dxa"/>
            <w:tcBorders>
              <w:top w:val="single" w:color="FFFFFF" w:sz="6" w:space="0"/>
              <w:left w:val="single" w:color="FFFFFF" w:sz="6" w:space="0"/>
              <w:right w:val="single" w:color="FFFFFF" w:sz="6" w:space="0"/>
            </w:tcBorders>
            <w:vAlign w:val="center"/>
          </w:tcPr>
          <w:p w14:paraId="53F20FF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6D832CC">
            <w:pPr>
              <w:pStyle w:val="10"/>
            </w:pPr>
            <w:r>
              <w:t>单位：万元</w:t>
            </w:r>
          </w:p>
        </w:tc>
      </w:tr>
      <w:tr w14:paraId="6298F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35BD03">
            <w:pPr>
              <w:pStyle w:val="11"/>
            </w:pPr>
            <w:r>
              <w:t>序号</w:t>
            </w:r>
          </w:p>
        </w:tc>
        <w:tc>
          <w:tcPr>
            <w:tcW w:w="5726" w:type="dxa"/>
            <w:gridSpan w:val="2"/>
            <w:vAlign w:val="center"/>
          </w:tcPr>
          <w:p w14:paraId="3E6A83CD">
            <w:pPr>
              <w:pStyle w:val="11"/>
            </w:pPr>
            <w:r>
              <w:t>功能分类科目</w:t>
            </w:r>
          </w:p>
        </w:tc>
        <w:tc>
          <w:tcPr>
            <w:tcW w:w="2551" w:type="dxa"/>
            <w:vMerge w:val="restart"/>
            <w:vAlign w:val="center"/>
          </w:tcPr>
          <w:p w14:paraId="68FCD7DA">
            <w:pPr>
              <w:pStyle w:val="11"/>
            </w:pPr>
            <w:r>
              <w:t>合计</w:t>
            </w:r>
          </w:p>
        </w:tc>
        <w:tc>
          <w:tcPr>
            <w:tcW w:w="2551" w:type="dxa"/>
            <w:vMerge w:val="restart"/>
            <w:vAlign w:val="center"/>
          </w:tcPr>
          <w:p w14:paraId="27498529">
            <w:pPr>
              <w:pStyle w:val="11"/>
            </w:pPr>
            <w:r>
              <w:t>基本支出</w:t>
            </w:r>
          </w:p>
        </w:tc>
        <w:tc>
          <w:tcPr>
            <w:tcW w:w="2551" w:type="dxa"/>
            <w:vMerge w:val="restart"/>
            <w:vAlign w:val="center"/>
          </w:tcPr>
          <w:p w14:paraId="02A1B578">
            <w:pPr>
              <w:pStyle w:val="11"/>
            </w:pPr>
            <w:r>
              <w:t>项目支出</w:t>
            </w:r>
          </w:p>
        </w:tc>
      </w:tr>
      <w:tr w14:paraId="51BF3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91F755"/>
        </w:tc>
        <w:tc>
          <w:tcPr>
            <w:tcW w:w="1191" w:type="dxa"/>
            <w:vAlign w:val="center"/>
          </w:tcPr>
          <w:p w14:paraId="079A78F2">
            <w:pPr>
              <w:pStyle w:val="11"/>
            </w:pPr>
            <w:r>
              <w:t>科目编码</w:t>
            </w:r>
          </w:p>
        </w:tc>
        <w:tc>
          <w:tcPr>
            <w:tcW w:w="4535" w:type="dxa"/>
            <w:vAlign w:val="center"/>
          </w:tcPr>
          <w:p w14:paraId="40D8038B">
            <w:pPr>
              <w:pStyle w:val="11"/>
            </w:pPr>
            <w:r>
              <w:t>科目名称</w:t>
            </w:r>
          </w:p>
        </w:tc>
        <w:tc>
          <w:tcPr>
            <w:tcW w:w="2551" w:type="dxa"/>
            <w:vMerge w:val="continue"/>
          </w:tcPr>
          <w:p w14:paraId="080C1C6C"/>
        </w:tc>
        <w:tc>
          <w:tcPr>
            <w:tcW w:w="2551" w:type="dxa"/>
            <w:vMerge w:val="continue"/>
          </w:tcPr>
          <w:p w14:paraId="016DA424"/>
        </w:tc>
        <w:tc>
          <w:tcPr>
            <w:tcW w:w="2551" w:type="dxa"/>
            <w:vMerge w:val="continue"/>
          </w:tcPr>
          <w:p w14:paraId="0A7731B5"/>
        </w:tc>
      </w:tr>
      <w:tr w14:paraId="55BF0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CE239E">
            <w:pPr>
              <w:pStyle w:val="11"/>
            </w:pPr>
            <w:r>
              <w:t>栏次</w:t>
            </w:r>
          </w:p>
        </w:tc>
        <w:tc>
          <w:tcPr>
            <w:tcW w:w="1191" w:type="dxa"/>
            <w:vAlign w:val="center"/>
          </w:tcPr>
          <w:p w14:paraId="4BDB2884">
            <w:pPr>
              <w:pStyle w:val="11"/>
            </w:pPr>
            <w:r>
              <w:t>1</w:t>
            </w:r>
          </w:p>
        </w:tc>
        <w:tc>
          <w:tcPr>
            <w:tcW w:w="4535" w:type="dxa"/>
            <w:vAlign w:val="center"/>
          </w:tcPr>
          <w:p w14:paraId="4E8AC240">
            <w:pPr>
              <w:pStyle w:val="11"/>
            </w:pPr>
            <w:r>
              <w:t>2</w:t>
            </w:r>
          </w:p>
        </w:tc>
        <w:tc>
          <w:tcPr>
            <w:tcW w:w="2551" w:type="dxa"/>
            <w:vAlign w:val="center"/>
          </w:tcPr>
          <w:p w14:paraId="654250A0">
            <w:pPr>
              <w:pStyle w:val="11"/>
            </w:pPr>
            <w:r>
              <w:t>3</w:t>
            </w:r>
          </w:p>
        </w:tc>
        <w:tc>
          <w:tcPr>
            <w:tcW w:w="2551" w:type="dxa"/>
            <w:vAlign w:val="center"/>
          </w:tcPr>
          <w:p w14:paraId="17674865">
            <w:pPr>
              <w:pStyle w:val="11"/>
            </w:pPr>
            <w:r>
              <w:t>4</w:t>
            </w:r>
          </w:p>
        </w:tc>
        <w:tc>
          <w:tcPr>
            <w:tcW w:w="2551" w:type="dxa"/>
            <w:vAlign w:val="center"/>
          </w:tcPr>
          <w:p w14:paraId="0DBBED48">
            <w:pPr>
              <w:pStyle w:val="11"/>
            </w:pPr>
            <w:r>
              <w:t>5</w:t>
            </w:r>
          </w:p>
        </w:tc>
      </w:tr>
      <w:tr w14:paraId="4D4A1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90736">
            <w:pPr>
              <w:pStyle w:val="12"/>
            </w:pPr>
          </w:p>
        </w:tc>
        <w:tc>
          <w:tcPr>
            <w:tcW w:w="1191" w:type="dxa"/>
            <w:vAlign w:val="center"/>
          </w:tcPr>
          <w:p w14:paraId="7AFF1290">
            <w:pPr>
              <w:pStyle w:val="13"/>
            </w:pPr>
          </w:p>
        </w:tc>
        <w:tc>
          <w:tcPr>
            <w:tcW w:w="4535" w:type="dxa"/>
            <w:vAlign w:val="center"/>
          </w:tcPr>
          <w:p w14:paraId="222DA9FF">
            <w:pPr>
              <w:pStyle w:val="13"/>
            </w:pPr>
          </w:p>
        </w:tc>
        <w:tc>
          <w:tcPr>
            <w:tcW w:w="2551" w:type="dxa"/>
            <w:vAlign w:val="center"/>
          </w:tcPr>
          <w:p w14:paraId="4F6EFD18">
            <w:pPr>
              <w:pStyle w:val="14"/>
            </w:pPr>
          </w:p>
        </w:tc>
        <w:tc>
          <w:tcPr>
            <w:tcW w:w="2551" w:type="dxa"/>
            <w:vAlign w:val="center"/>
          </w:tcPr>
          <w:p w14:paraId="15E89A36">
            <w:pPr>
              <w:pStyle w:val="14"/>
            </w:pPr>
          </w:p>
        </w:tc>
        <w:tc>
          <w:tcPr>
            <w:tcW w:w="2551" w:type="dxa"/>
            <w:vAlign w:val="center"/>
          </w:tcPr>
          <w:p w14:paraId="71A713CF">
            <w:pPr>
              <w:pStyle w:val="14"/>
            </w:pPr>
          </w:p>
        </w:tc>
      </w:tr>
    </w:tbl>
    <w:p w14:paraId="1DB355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ED9F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269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8F1452">
            <w:pPr>
              <w:pStyle w:val="8"/>
            </w:pPr>
            <w:r>
              <w:t>360025隆尧县千户营校区</w:t>
            </w:r>
          </w:p>
        </w:tc>
        <w:tc>
          <w:tcPr>
            <w:tcW w:w="2381" w:type="dxa"/>
            <w:tcBorders>
              <w:top w:val="single" w:color="FFFFFF" w:sz="6" w:space="0"/>
              <w:left w:val="single" w:color="FFFFFF" w:sz="6" w:space="0"/>
              <w:right w:val="single" w:color="FFFFFF" w:sz="6" w:space="0"/>
            </w:tcBorders>
            <w:vAlign w:val="center"/>
          </w:tcPr>
          <w:p w14:paraId="04FDED96">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D4E3EBB">
            <w:pPr>
              <w:pStyle w:val="10"/>
            </w:pPr>
            <w:r>
              <w:t>单位：万元</w:t>
            </w:r>
          </w:p>
        </w:tc>
      </w:tr>
      <w:tr w14:paraId="73715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DBACB7">
            <w:pPr>
              <w:pStyle w:val="11"/>
            </w:pPr>
            <w:r>
              <w:t>序号</w:t>
            </w:r>
          </w:p>
        </w:tc>
        <w:tc>
          <w:tcPr>
            <w:tcW w:w="3798" w:type="dxa"/>
            <w:vMerge w:val="restart"/>
            <w:vAlign w:val="center"/>
          </w:tcPr>
          <w:p w14:paraId="086E8EA3">
            <w:pPr>
              <w:pStyle w:val="11"/>
            </w:pPr>
            <w:r>
              <w:t>项  目</w:t>
            </w:r>
          </w:p>
        </w:tc>
        <w:tc>
          <w:tcPr>
            <w:tcW w:w="9524" w:type="dxa"/>
            <w:gridSpan w:val="4"/>
            <w:vAlign w:val="center"/>
          </w:tcPr>
          <w:p w14:paraId="28E7D28B">
            <w:pPr>
              <w:pStyle w:val="11"/>
            </w:pPr>
            <w:r>
              <w:t>资 金 性 质</w:t>
            </w:r>
          </w:p>
        </w:tc>
      </w:tr>
      <w:tr w14:paraId="7D16F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075FAE"/>
        </w:tc>
        <w:tc>
          <w:tcPr>
            <w:tcW w:w="3798" w:type="dxa"/>
            <w:vMerge w:val="continue"/>
          </w:tcPr>
          <w:p w14:paraId="5F49F4FE"/>
        </w:tc>
        <w:tc>
          <w:tcPr>
            <w:tcW w:w="2381" w:type="dxa"/>
            <w:vAlign w:val="center"/>
          </w:tcPr>
          <w:p w14:paraId="250F36B7">
            <w:pPr>
              <w:pStyle w:val="11"/>
            </w:pPr>
            <w:r>
              <w:t>合计</w:t>
            </w:r>
          </w:p>
        </w:tc>
        <w:tc>
          <w:tcPr>
            <w:tcW w:w="2381" w:type="dxa"/>
            <w:vAlign w:val="center"/>
          </w:tcPr>
          <w:p w14:paraId="3D351515">
            <w:pPr>
              <w:pStyle w:val="11"/>
            </w:pPr>
            <w:r>
              <w:t>一般公共预算              财政拨款</w:t>
            </w:r>
          </w:p>
        </w:tc>
        <w:tc>
          <w:tcPr>
            <w:tcW w:w="2381" w:type="dxa"/>
            <w:vAlign w:val="center"/>
          </w:tcPr>
          <w:p w14:paraId="274E397D">
            <w:pPr>
              <w:pStyle w:val="11"/>
            </w:pPr>
            <w:r>
              <w:t>政府性基金                  预算拨款</w:t>
            </w:r>
          </w:p>
        </w:tc>
        <w:tc>
          <w:tcPr>
            <w:tcW w:w="2381" w:type="dxa"/>
            <w:vAlign w:val="center"/>
          </w:tcPr>
          <w:p w14:paraId="3DA934B1">
            <w:pPr>
              <w:pStyle w:val="11"/>
            </w:pPr>
            <w:r>
              <w:t>国有资本经营              预算财政拨款</w:t>
            </w:r>
          </w:p>
        </w:tc>
      </w:tr>
      <w:tr w14:paraId="6FE87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6275DB">
            <w:pPr>
              <w:pStyle w:val="11"/>
            </w:pPr>
            <w:r>
              <w:t>栏次</w:t>
            </w:r>
          </w:p>
        </w:tc>
        <w:tc>
          <w:tcPr>
            <w:tcW w:w="3798" w:type="dxa"/>
            <w:vAlign w:val="center"/>
          </w:tcPr>
          <w:p w14:paraId="544188DE">
            <w:pPr>
              <w:pStyle w:val="11"/>
            </w:pPr>
            <w:r>
              <w:t>1</w:t>
            </w:r>
          </w:p>
        </w:tc>
        <w:tc>
          <w:tcPr>
            <w:tcW w:w="2381" w:type="dxa"/>
            <w:vAlign w:val="center"/>
          </w:tcPr>
          <w:p w14:paraId="3A7A4728">
            <w:pPr>
              <w:pStyle w:val="11"/>
            </w:pPr>
            <w:r>
              <w:t>2</w:t>
            </w:r>
          </w:p>
        </w:tc>
        <w:tc>
          <w:tcPr>
            <w:tcW w:w="2381" w:type="dxa"/>
            <w:vAlign w:val="center"/>
          </w:tcPr>
          <w:p w14:paraId="5D885495">
            <w:pPr>
              <w:pStyle w:val="11"/>
            </w:pPr>
            <w:r>
              <w:t>3</w:t>
            </w:r>
          </w:p>
        </w:tc>
        <w:tc>
          <w:tcPr>
            <w:tcW w:w="2381" w:type="dxa"/>
            <w:vAlign w:val="center"/>
          </w:tcPr>
          <w:p w14:paraId="7C2708E4">
            <w:pPr>
              <w:pStyle w:val="11"/>
            </w:pPr>
            <w:r>
              <w:t>4</w:t>
            </w:r>
          </w:p>
        </w:tc>
        <w:tc>
          <w:tcPr>
            <w:tcW w:w="2381" w:type="dxa"/>
            <w:vAlign w:val="center"/>
          </w:tcPr>
          <w:p w14:paraId="452A8234">
            <w:pPr>
              <w:pStyle w:val="11"/>
            </w:pPr>
            <w:r>
              <w:t>5</w:t>
            </w:r>
          </w:p>
        </w:tc>
      </w:tr>
      <w:tr w14:paraId="320FD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14B345">
            <w:pPr>
              <w:pStyle w:val="12"/>
            </w:pPr>
          </w:p>
        </w:tc>
        <w:tc>
          <w:tcPr>
            <w:tcW w:w="3798" w:type="dxa"/>
            <w:vAlign w:val="center"/>
          </w:tcPr>
          <w:p w14:paraId="2D845A04">
            <w:pPr>
              <w:pStyle w:val="13"/>
            </w:pPr>
          </w:p>
        </w:tc>
        <w:tc>
          <w:tcPr>
            <w:tcW w:w="2381" w:type="dxa"/>
            <w:vAlign w:val="center"/>
          </w:tcPr>
          <w:p w14:paraId="1E71FB21">
            <w:pPr>
              <w:pStyle w:val="14"/>
            </w:pPr>
          </w:p>
        </w:tc>
        <w:tc>
          <w:tcPr>
            <w:tcW w:w="2381" w:type="dxa"/>
            <w:vAlign w:val="center"/>
          </w:tcPr>
          <w:p w14:paraId="35ACA392">
            <w:pPr>
              <w:pStyle w:val="14"/>
            </w:pPr>
          </w:p>
        </w:tc>
        <w:tc>
          <w:tcPr>
            <w:tcW w:w="2381" w:type="dxa"/>
            <w:vAlign w:val="center"/>
          </w:tcPr>
          <w:p w14:paraId="1B8FEDFE">
            <w:pPr>
              <w:pStyle w:val="14"/>
            </w:pPr>
          </w:p>
        </w:tc>
        <w:tc>
          <w:tcPr>
            <w:tcW w:w="2381" w:type="dxa"/>
            <w:vAlign w:val="center"/>
          </w:tcPr>
          <w:p w14:paraId="4643849E">
            <w:pPr>
              <w:pStyle w:val="14"/>
            </w:pPr>
          </w:p>
        </w:tc>
      </w:tr>
    </w:tbl>
    <w:p w14:paraId="2545A5D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0FF0E9E">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隆尧县千户营校区2025年单位预算信息公开情况说明</w:t>
      </w:r>
    </w:p>
    <w:p w14:paraId="4AD1B96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按照《中华人民共和国预算法》、《地方预决算公开操作规程》和《关于进一步推进预算公开工作的实施意见》规定，现将隆尧县千户营校区2025年单位预算公开如下：</w:t>
      </w:r>
    </w:p>
    <w:p w14:paraId="7BA74A61">
      <w:pPr>
        <w:spacing w:before="10" w:after="10" w:line="240" w:lineRule="auto"/>
        <w:ind w:firstLine="640"/>
        <w:jc w:val="left"/>
        <w:outlineLvl w:val="5"/>
      </w:pPr>
      <w:r>
        <w:rPr>
          <w:rFonts w:ascii="黑体" w:hAnsi="黑体" w:eastAsia="黑体" w:cs="黑体"/>
          <w:color w:val="000000"/>
          <w:sz w:val="32"/>
        </w:rPr>
        <w:t>一、单位职责及机构设置情况</w:t>
      </w:r>
    </w:p>
    <w:p w14:paraId="75C391B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5EFAE74">
      <w:pPr>
        <w:pStyle w:val="18"/>
      </w:pPr>
      <w:r>
        <w:t>贯彻落实基础教育的方针、政策，开展小学阶段教育教学工作，促进学生德、智、体、美、劳全面发展；负责学生安全教育和管理，确保学生身心健康；加强教师队伍建设和管理，为教育教学工作提供保障。</w:t>
      </w:r>
    </w:p>
    <w:p w14:paraId="40E83B0E">
      <w:pPr>
        <w:pStyle w:val="18"/>
        <w:rPr>
          <w:rFonts w:hint="eastAsia" w:eastAsia="方正仿宋_GBK"/>
          <w:lang w:eastAsia="zh-CN"/>
        </w:rPr>
      </w:pPr>
      <w:r>
        <w:t>隆尧县千户校区事业编制138名．其中，校长1名（正股级），副校长3名（副股级）；经费形式为财政性资金基本保证</w:t>
      </w:r>
      <w:r>
        <w:rPr>
          <w:rFonts w:hint="eastAsia"/>
          <w:lang w:eastAsia="zh-CN"/>
        </w:rPr>
        <w:t>。</w:t>
      </w:r>
    </w:p>
    <w:p w14:paraId="200B7E0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255D1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9AC6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825FA2">
            <w:pPr>
              <w:pStyle w:val="11"/>
            </w:pPr>
            <w:r>
              <w:t>单位名称</w:t>
            </w:r>
          </w:p>
        </w:tc>
        <w:tc>
          <w:tcPr>
            <w:tcW w:w="1843" w:type="dxa"/>
            <w:vAlign w:val="center"/>
          </w:tcPr>
          <w:p w14:paraId="00AA9FD8">
            <w:pPr>
              <w:pStyle w:val="11"/>
            </w:pPr>
            <w:r>
              <w:t>单位性质</w:t>
            </w:r>
          </w:p>
        </w:tc>
        <w:tc>
          <w:tcPr>
            <w:tcW w:w="2126" w:type="dxa"/>
            <w:vAlign w:val="center"/>
          </w:tcPr>
          <w:p w14:paraId="21E76169">
            <w:pPr>
              <w:pStyle w:val="11"/>
            </w:pPr>
            <w:r>
              <w:t>单位规格</w:t>
            </w:r>
          </w:p>
        </w:tc>
        <w:tc>
          <w:tcPr>
            <w:tcW w:w="3827" w:type="dxa"/>
            <w:vAlign w:val="center"/>
          </w:tcPr>
          <w:p w14:paraId="1BE7D154">
            <w:pPr>
              <w:pStyle w:val="11"/>
            </w:pPr>
            <w:r>
              <w:t>经费保障形式</w:t>
            </w:r>
          </w:p>
        </w:tc>
      </w:tr>
      <w:tr w14:paraId="748E5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D84E7C">
            <w:pPr>
              <w:pStyle w:val="13"/>
            </w:pPr>
            <w:r>
              <w:t>隆尧县千户营校区</w:t>
            </w:r>
          </w:p>
        </w:tc>
        <w:tc>
          <w:tcPr>
            <w:tcW w:w="1843" w:type="dxa"/>
            <w:vAlign w:val="center"/>
          </w:tcPr>
          <w:p w14:paraId="5E8DBEB8">
            <w:pPr>
              <w:pStyle w:val="12"/>
            </w:pPr>
            <w:r>
              <w:t>事业</w:t>
            </w:r>
          </w:p>
        </w:tc>
        <w:tc>
          <w:tcPr>
            <w:tcW w:w="2126" w:type="dxa"/>
            <w:vAlign w:val="center"/>
          </w:tcPr>
          <w:p w14:paraId="26CC4C97">
            <w:pPr>
              <w:pStyle w:val="12"/>
            </w:pPr>
            <w:r>
              <w:t>股级</w:t>
            </w:r>
          </w:p>
        </w:tc>
        <w:tc>
          <w:tcPr>
            <w:tcW w:w="3827" w:type="dxa"/>
            <w:vAlign w:val="center"/>
          </w:tcPr>
          <w:p w14:paraId="662768B7">
            <w:pPr>
              <w:pStyle w:val="12"/>
            </w:pPr>
            <w:r>
              <w:t>财政性资金基本保证</w:t>
            </w:r>
          </w:p>
        </w:tc>
      </w:tr>
    </w:tbl>
    <w:p w14:paraId="15B75D39">
      <w:pPr>
        <w:spacing w:before="10" w:after="10" w:line="240" w:lineRule="auto"/>
        <w:ind w:firstLine="640"/>
        <w:jc w:val="left"/>
        <w:outlineLvl w:val="5"/>
      </w:pPr>
      <w:r>
        <w:rPr>
          <w:rFonts w:ascii="黑体" w:hAnsi="黑体" w:eastAsia="黑体" w:cs="黑体"/>
          <w:color w:val="000000"/>
          <w:sz w:val="32"/>
        </w:rPr>
        <w:t>二、单位预算安排的总体情况</w:t>
      </w:r>
    </w:p>
    <w:p w14:paraId="40DD6ACB">
      <w:pPr>
        <w:pStyle w:val="19"/>
      </w:pPr>
      <w:r>
        <w:t>单位预算安排的总体情况</w:t>
      </w:r>
    </w:p>
    <w:p w14:paraId="7B0CCB23">
      <w:pPr>
        <w:pStyle w:val="19"/>
      </w:pPr>
      <w:r>
        <w:t>按照预算管理有关规定，目前我校区单位预算的编制实行综合预算管理，即全部收入和支出都反映的预算中。隆尧县千户营校区的收支包含在单位预算中。</w:t>
      </w:r>
    </w:p>
    <w:p w14:paraId="6A0A7C92">
      <w:pPr>
        <w:pStyle w:val="19"/>
      </w:pPr>
      <w:r>
        <w:t>1、收入说明</w:t>
      </w:r>
    </w:p>
    <w:p w14:paraId="5BF6B3AC">
      <w:pPr>
        <w:pStyle w:val="19"/>
      </w:pPr>
      <w:r>
        <w:t>反映本单位当年全部收入。2025年预算收入1993.80万元，其中：一般公共预算收入1993.80万元，基金预算收入0万元，上年结转收入0万元，财政专户收入0万元，其他来源收入0万元。</w:t>
      </w:r>
    </w:p>
    <w:p w14:paraId="7D4B8552">
      <w:pPr>
        <w:pStyle w:val="19"/>
      </w:pPr>
      <w:r>
        <w:t>2、支出说明</w:t>
      </w:r>
    </w:p>
    <w:p w14:paraId="77F5C7AF">
      <w:pPr>
        <w:pStyle w:val="19"/>
      </w:pPr>
      <w:r>
        <w:t>收支预算总表支出栏、基本支出表、项目支出表按经济分类和支出功能分类科目编制，反映我单位预算中支出预算的总体情况。2025年单位支出预算为1993.80万元，其中基本支出1596.68万元；项目支出397.11万元。</w:t>
      </w:r>
    </w:p>
    <w:p w14:paraId="36A2433D">
      <w:pPr>
        <w:pStyle w:val="19"/>
      </w:pPr>
      <w:r>
        <w:t>3、比上年增减情况</w:t>
      </w:r>
    </w:p>
    <w:p w14:paraId="76AC4639">
      <w:pPr>
        <w:pStyle w:val="19"/>
      </w:pPr>
      <w:r>
        <w:t>2025年单位预算收支安排1993.80万元，较2024年预算增加116.29万元，其中基本支出增加93.99万元，项目支出增加22.28万元。</w:t>
      </w:r>
    </w:p>
    <w:p w14:paraId="5E64C4E0">
      <w:pPr>
        <w:spacing w:before="10" w:after="10" w:line="240" w:lineRule="auto"/>
        <w:ind w:firstLine="640"/>
        <w:jc w:val="left"/>
        <w:outlineLvl w:val="5"/>
      </w:pPr>
      <w:r>
        <w:rPr>
          <w:rFonts w:ascii="黑体" w:hAnsi="黑体" w:eastAsia="黑体" w:cs="黑体"/>
          <w:color w:val="000000"/>
          <w:sz w:val="32"/>
        </w:rPr>
        <w:t>三、机关运行经费安排情况</w:t>
      </w:r>
    </w:p>
    <w:p w14:paraId="5561C774">
      <w:pPr>
        <w:pStyle w:val="20"/>
      </w:pPr>
      <w:r>
        <w:t>我单位按学生安排公用经费，无机关运行经费。</w:t>
      </w:r>
    </w:p>
    <w:p w14:paraId="55BB846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479CD38">
      <w:pPr>
        <w:pStyle w:val="21"/>
      </w:pPr>
      <w:r>
        <w:t>我单位未安排三公经费。</w:t>
      </w:r>
    </w:p>
    <w:p w14:paraId="4F2898D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F9C384">
      <w:pPr>
        <w:spacing w:before="0" w:after="0"/>
        <w:ind w:firstLine="560"/>
        <w:jc w:val="left"/>
        <w:outlineLvl w:val="9"/>
      </w:pPr>
      <w:r>
        <w:rPr>
          <w:rFonts w:ascii="方正仿宋_GBK" w:hAnsi="方正仿宋_GBK" w:eastAsia="方正仿宋_GBK" w:cs="方正仿宋_GBK"/>
          <w:b/>
          <w:color w:val="000000"/>
          <w:sz w:val="28"/>
        </w:rPr>
        <w:t>1、冀财教[2024]121号/中央/2025年学前发展资金/千户营校区学前教育幼儿资助绩效目标表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B4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117C9">
            <w:pPr>
              <w:pStyle w:val="14"/>
            </w:pPr>
            <w:r>
              <w:t>单位：万元</w:t>
            </w:r>
          </w:p>
        </w:tc>
      </w:tr>
      <w:tr w14:paraId="32D6C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F5630">
            <w:pPr>
              <w:pStyle w:val="11"/>
            </w:pPr>
            <w:r>
              <w:t>项目编码</w:t>
            </w:r>
          </w:p>
        </w:tc>
        <w:tc>
          <w:tcPr>
            <w:tcW w:w="5103" w:type="dxa"/>
            <w:gridSpan w:val="2"/>
            <w:vAlign w:val="center"/>
          </w:tcPr>
          <w:p w14:paraId="78EF0CBE">
            <w:pPr>
              <w:pStyle w:val="13"/>
            </w:pPr>
            <w:r>
              <w:t>13052525P00000210059G</w:t>
            </w:r>
          </w:p>
        </w:tc>
        <w:tc>
          <w:tcPr>
            <w:tcW w:w="2835" w:type="dxa"/>
            <w:vAlign w:val="center"/>
          </w:tcPr>
          <w:p w14:paraId="7027DACC">
            <w:pPr>
              <w:pStyle w:val="11"/>
            </w:pPr>
            <w:r>
              <w:t>项目名称</w:t>
            </w:r>
          </w:p>
        </w:tc>
        <w:tc>
          <w:tcPr>
            <w:tcW w:w="6095" w:type="dxa"/>
            <w:gridSpan w:val="3"/>
            <w:vAlign w:val="center"/>
          </w:tcPr>
          <w:p w14:paraId="4030E7DB">
            <w:pPr>
              <w:pStyle w:val="13"/>
            </w:pPr>
            <w:r>
              <w:t>冀财教[2024]121号/中央/2025年学前发展资金/千户营校区学前教育幼儿资助</w:t>
            </w:r>
          </w:p>
        </w:tc>
      </w:tr>
      <w:tr w14:paraId="24946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1E0D6">
            <w:pPr>
              <w:pStyle w:val="11"/>
            </w:pPr>
            <w:r>
              <w:t>预算规模及资金用途</w:t>
            </w:r>
          </w:p>
        </w:tc>
        <w:tc>
          <w:tcPr>
            <w:tcW w:w="2268" w:type="dxa"/>
            <w:vAlign w:val="center"/>
          </w:tcPr>
          <w:p w14:paraId="3AF581C8">
            <w:pPr>
              <w:pStyle w:val="11"/>
            </w:pPr>
            <w:r>
              <w:t>预算数</w:t>
            </w:r>
          </w:p>
        </w:tc>
        <w:tc>
          <w:tcPr>
            <w:tcW w:w="2835" w:type="dxa"/>
            <w:vAlign w:val="center"/>
          </w:tcPr>
          <w:p w14:paraId="0F262AD4">
            <w:pPr>
              <w:pStyle w:val="13"/>
            </w:pPr>
            <w:r>
              <w:t>1.92</w:t>
            </w:r>
          </w:p>
        </w:tc>
        <w:tc>
          <w:tcPr>
            <w:tcW w:w="2835" w:type="dxa"/>
            <w:vAlign w:val="center"/>
          </w:tcPr>
          <w:p w14:paraId="5CAF6ED0">
            <w:pPr>
              <w:pStyle w:val="11"/>
            </w:pPr>
            <w:r>
              <w:t>其中：财政    资金</w:t>
            </w:r>
          </w:p>
        </w:tc>
        <w:tc>
          <w:tcPr>
            <w:tcW w:w="2551" w:type="dxa"/>
            <w:vAlign w:val="center"/>
          </w:tcPr>
          <w:p w14:paraId="2B4BFFD7">
            <w:pPr>
              <w:pStyle w:val="13"/>
            </w:pPr>
            <w:r>
              <w:t>1.92</w:t>
            </w:r>
          </w:p>
        </w:tc>
        <w:tc>
          <w:tcPr>
            <w:tcW w:w="2268" w:type="dxa"/>
            <w:vAlign w:val="center"/>
          </w:tcPr>
          <w:p w14:paraId="70D56C96">
            <w:pPr>
              <w:pStyle w:val="11"/>
            </w:pPr>
            <w:r>
              <w:t>其他资金</w:t>
            </w:r>
          </w:p>
        </w:tc>
        <w:tc>
          <w:tcPr>
            <w:tcW w:w="1276" w:type="dxa"/>
            <w:vAlign w:val="center"/>
          </w:tcPr>
          <w:p w14:paraId="2457F155">
            <w:pPr>
              <w:pStyle w:val="13"/>
            </w:pPr>
            <w:r>
              <w:t xml:space="preserve"> </w:t>
            </w:r>
          </w:p>
        </w:tc>
      </w:tr>
      <w:tr w14:paraId="579F8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A29F6C"/>
        </w:tc>
        <w:tc>
          <w:tcPr>
            <w:tcW w:w="14033" w:type="dxa"/>
            <w:gridSpan w:val="6"/>
            <w:vAlign w:val="center"/>
          </w:tcPr>
          <w:p w14:paraId="288C106C">
            <w:pPr>
              <w:pStyle w:val="13"/>
            </w:pPr>
            <w:r>
              <w:t>减轻学前受教育幼儿家庭经济负担，提高学前幼儿入学率。</w:t>
            </w:r>
          </w:p>
        </w:tc>
      </w:tr>
      <w:tr w14:paraId="0A2D8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88D06">
            <w:pPr>
              <w:pStyle w:val="11"/>
            </w:pPr>
            <w:r>
              <w:t>资金支出计划（%）</w:t>
            </w:r>
          </w:p>
        </w:tc>
        <w:tc>
          <w:tcPr>
            <w:tcW w:w="5103" w:type="dxa"/>
            <w:gridSpan w:val="2"/>
            <w:vAlign w:val="center"/>
          </w:tcPr>
          <w:p w14:paraId="67290BAE">
            <w:pPr>
              <w:pStyle w:val="11"/>
            </w:pPr>
            <w:r>
              <w:t>3月底</w:t>
            </w:r>
          </w:p>
        </w:tc>
        <w:tc>
          <w:tcPr>
            <w:tcW w:w="2835" w:type="dxa"/>
            <w:vAlign w:val="center"/>
          </w:tcPr>
          <w:p w14:paraId="65AFC606">
            <w:pPr>
              <w:pStyle w:val="11"/>
            </w:pPr>
            <w:r>
              <w:t>6月底</w:t>
            </w:r>
          </w:p>
        </w:tc>
        <w:tc>
          <w:tcPr>
            <w:tcW w:w="2551" w:type="dxa"/>
            <w:vAlign w:val="center"/>
          </w:tcPr>
          <w:p w14:paraId="52D5A73C">
            <w:pPr>
              <w:pStyle w:val="11"/>
            </w:pPr>
            <w:r>
              <w:t>10月底</w:t>
            </w:r>
          </w:p>
        </w:tc>
        <w:tc>
          <w:tcPr>
            <w:tcW w:w="3544" w:type="dxa"/>
            <w:gridSpan w:val="2"/>
            <w:vAlign w:val="center"/>
          </w:tcPr>
          <w:p w14:paraId="3825BC1D">
            <w:pPr>
              <w:pStyle w:val="11"/>
            </w:pPr>
            <w:r>
              <w:t>12月底</w:t>
            </w:r>
          </w:p>
        </w:tc>
      </w:tr>
      <w:tr w14:paraId="1C968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9B7766"/>
        </w:tc>
        <w:tc>
          <w:tcPr>
            <w:tcW w:w="5103" w:type="dxa"/>
            <w:gridSpan w:val="2"/>
            <w:vAlign w:val="center"/>
          </w:tcPr>
          <w:p w14:paraId="64B29F61">
            <w:pPr>
              <w:pStyle w:val="12"/>
            </w:pPr>
            <w:r>
              <w:t xml:space="preserve"> </w:t>
            </w:r>
          </w:p>
        </w:tc>
        <w:tc>
          <w:tcPr>
            <w:tcW w:w="2835" w:type="dxa"/>
            <w:vAlign w:val="center"/>
          </w:tcPr>
          <w:p w14:paraId="2E7DDD54">
            <w:pPr>
              <w:pStyle w:val="12"/>
            </w:pPr>
            <w:r>
              <w:t>100%</w:t>
            </w:r>
          </w:p>
        </w:tc>
        <w:tc>
          <w:tcPr>
            <w:tcW w:w="2551" w:type="dxa"/>
            <w:vAlign w:val="center"/>
          </w:tcPr>
          <w:p w14:paraId="29C2C3E8">
            <w:pPr>
              <w:pStyle w:val="12"/>
            </w:pPr>
            <w:r>
              <w:t>100%</w:t>
            </w:r>
          </w:p>
        </w:tc>
        <w:tc>
          <w:tcPr>
            <w:tcW w:w="3544" w:type="dxa"/>
            <w:gridSpan w:val="2"/>
            <w:vAlign w:val="center"/>
          </w:tcPr>
          <w:p w14:paraId="504EDD5D">
            <w:pPr>
              <w:pStyle w:val="12"/>
            </w:pPr>
            <w:r>
              <w:t>100%</w:t>
            </w:r>
          </w:p>
        </w:tc>
      </w:tr>
      <w:tr w14:paraId="39EBD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5BF8FE">
            <w:pPr>
              <w:pStyle w:val="11"/>
            </w:pPr>
            <w:r>
              <w:t>绩效目标</w:t>
            </w:r>
          </w:p>
        </w:tc>
        <w:tc>
          <w:tcPr>
            <w:tcW w:w="14033" w:type="dxa"/>
            <w:gridSpan w:val="6"/>
            <w:vAlign w:val="center"/>
          </w:tcPr>
          <w:p w14:paraId="35865778">
            <w:pPr>
              <w:pStyle w:val="13"/>
            </w:pPr>
            <w:r>
              <w:t>1.减轻学前受教育幼儿家庭经济负担，提高学前幼儿入学率。</w:t>
            </w:r>
          </w:p>
          <w:p w14:paraId="38089DFC">
            <w:pPr>
              <w:pStyle w:val="13"/>
            </w:pPr>
            <w:r>
              <w:t>2.保障落实建档立卡及家庭经济困难儿童资助所需资金，确保建档立卡等家庭经济困难幼儿优先获得资助</w:t>
            </w:r>
          </w:p>
        </w:tc>
      </w:tr>
    </w:tbl>
    <w:p w14:paraId="2FA6C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9E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F3007">
            <w:pPr>
              <w:pStyle w:val="11"/>
            </w:pPr>
            <w:r>
              <w:t>一级指标</w:t>
            </w:r>
          </w:p>
        </w:tc>
        <w:tc>
          <w:tcPr>
            <w:tcW w:w="2268" w:type="dxa"/>
            <w:vAlign w:val="center"/>
          </w:tcPr>
          <w:p w14:paraId="2FD0B79D">
            <w:pPr>
              <w:pStyle w:val="11"/>
            </w:pPr>
            <w:r>
              <w:t>二级指标</w:t>
            </w:r>
          </w:p>
        </w:tc>
        <w:tc>
          <w:tcPr>
            <w:tcW w:w="2835" w:type="dxa"/>
            <w:vAlign w:val="center"/>
          </w:tcPr>
          <w:p w14:paraId="6AF32756">
            <w:pPr>
              <w:pStyle w:val="11"/>
            </w:pPr>
            <w:r>
              <w:t>三级指标</w:t>
            </w:r>
          </w:p>
        </w:tc>
        <w:tc>
          <w:tcPr>
            <w:tcW w:w="5386" w:type="dxa"/>
            <w:vAlign w:val="center"/>
          </w:tcPr>
          <w:p w14:paraId="189E20AD">
            <w:pPr>
              <w:pStyle w:val="11"/>
            </w:pPr>
            <w:r>
              <w:t>绩效指标描述</w:t>
            </w:r>
          </w:p>
        </w:tc>
        <w:tc>
          <w:tcPr>
            <w:tcW w:w="2268" w:type="dxa"/>
            <w:vAlign w:val="center"/>
          </w:tcPr>
          <w:p w14:paraId="51B68A0A">
            <w:pPr>
              <w:pStyle w:val="11"/>
            </w:pPr>
            <w:r>
              <w:t>指标值</w:t>
            </w:r>
          </w:p>
        </w:tc>
        <w:tc>
          <w:tcPr>
            <w:tcW w:w="1276" w:type="dxa"/>
            <w:vAlign w:val="center"/>
          </w:tcPr>
          <w:p w14:paraId="7C485E26">
            <w:pPr>
              <w:pStyle w:val="11"/>
            </w:pPr>
            <w:r>
              <w:t>指标值确定依据</w:t>
            </w:r>
          </w:p>
        </w:tc>
      </w:tr>
      <w:tr w14:paraId="57AC6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B4BF6">
            <w:pPr>
              <w:pStyle w:val="12"/>
            </w:pPr>
            <w:r>
              <w:t>产出指标</w:t>
            </w:r>
          </w:p>
        </w:tc>
        <w:tc>
          <w:tcPr>
            <w:tcW w:w="2268" w:type="dxa"/>
            <w:vAlign w:val="center"/>
          </w:tcPr>
          <w:p w14:paraId="55FFB3AD">
            <w:pPr>
              <w:pStyle w:val="13"/>
            </w:pPr>
            <w:r>
              <w:t>数量指标</w:t>
            </w:r>
          </w:p>
        </w:tc>
        <w:tc>
          <w:tcPr>
            <w:tcW w:w="2835" w:type="dxa"/>
            <w:vAlign w:val="center"/>
          </w:tcPr>
          <w:p w14:paraId="24042DBB">
            <w:pPr>
              <w:pStyle w:val="13"/>
            </w:pPr>
            <w:r>
              <w:t>幼儿资助比例</w:t>
            </w:r>
          </w:p>
        </w:tc>
        <w:tc>
          <w:tcPr>
            <w:tcW w:w="5386" w:type="dxa"/>
            <w:vAlign w:val="center"/>
          </w:tcPr>
          <w:p w14:paraId="387673AA">
            <w:pPr>
              <w:pStyle w:val="13"/>
            </w:pPr>
            <w:r>
              <w:t>按学前适龄在园儿童实际资助人数测算</w:t>
            </w:r>
          </w:p>
        </w:tc>
        <w:tc>
          <w:tcPr>
            <w:tcW w:w="2268" w:type="dxa"/>
            <w:vAlign w:val="center"/>
          </w:tcPr>
          <w:p w14:paraId="1F76B5CB">
            <w:pPr>
              <w:pStyle w:val="13"/>
            </w:pPr>
            <w:r>
              <w:t>32人</w:t>
            </w:r>
          </w:p>
        </w:tc>
        <w:tc>
          <w:tcPr>
            <w:tcW w:w="1276" w:type="dxa"/>
            <w:vAlign w:val="center"/>
          </w:tcPr>
          <w:p w14:paraId="797C440B">
            <w:pPr>
              <w:pStyle w:val="13"/>
            </w:pPr>
            <w:r>
              <w:t>发展学前教育资金管理办法</w:t>
            </w:r>
          </w:p>
        </w:tc>
      </w:tr>
      <w:tr w14:paraId="31CA6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8CFBD"/>
        </w:tc>
        <w:tc>
          <w:tcPr>
            <w:tcW w:w="2268" w:type="dxa"/>
            <w:vAlign w:val="center"/>
          </w:tcPr>
          <w:p w14:paraId="6623A8B7">
            <w:pPr>
              <w:pStyle w:val="13"/>
            </w:pPr>
            <w:r>
              <w:t>质量指标</w:t>
            </w:r>
          </w:p>
        </w:tc>
        <w:tc>
          <w:tcPr>
            <w:tcW w:w="2835" w:type="dxa"/>
            <w:vAlign w:val="center"/>
          </w:tcPr>
          <w:p w14:paraId="4BA4DFB8">
            <w:pPr>
              <w:pStyle w:val="13"/>
            </w:pPr>
            <w:r>
              <w:t>学前教育资助制度落实情况</w:t>
            </w:r>
          </w:p>
        </w:tc>
        <w:tc>
          <w:tcPr>
            <w:tcW w:w="5386" w:type="dxa"/>
            <w:vAlign w:val="center"/>
          </w:tcPr>
          <w:p w14:paraId="10D212E6">
            <w:pPr>
              <w:pStyle w:val="13"/>
            </w:pPr>
            <w:r>
              <w:t>符合享受资助条件的学生覆盖率</w:t>
            </w:r>
          </w:p>
        </w:tc>
        <w:tc>
          <w:tcPr>
            <w:tcW w:w="2268" w:type="dxa"/>
            <w:vAlign w:val="center"/>
          </w:tcPr>
          <w:p w14:paraId="29189CE5">
            <w:pPr>
              <w:pStyle w:val="13"/>
            </w:pPr>
            <w:r>
              <w:t>≥100%</w:t>
            </w:r>
          </w:p>
        </w:tc>
        <w:tc>
          <w:tcPr>
            <w:tcW w:w="1276" w:type="dxa"/>
            <w:vAlign w:val="center"/>
          </w:tcPr>
          <w:p w14:paraId="4FCA084F">
            <w:pPr>
              <w:pStyle w:val="13"/>
            </w:pPr>
            <w:r>
              <w:t>发展学前教育资金管理办法</w:t>
            </w:r>
          </w:p>
        </w:tc>
      </w:tr>
      <w:tr w14:paraId="3EA73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2DA47"/>
        </w:tc>
        <w:tc>
          <w:tcPr>
            <w:tcW w:w="2268" w:type="dxa"/>
            <w:vAlign w:val="center"/>
          </w:tcPr>
          <w:p w14:paraId="007C7A0D">
            <w:pPr>
              <w:pStyle w:val="13"/>
            </w:pPr>
            <w:r>
              <w:t>时效指标</w:t>
            </w:r>
          </w:p>
        </w:tc>
        <w:tc>
          <w:tcPr>
            <w:tcW w:w="2835" w:type="dxa"/>
            <w:vAlign w:val="center"/>
          </w:tcPr>
          <w:p w14:paraId="5B2F3920">
            <w:pPr>
              <w:pStyle w:val="13"/>
            </w:pPr>
            <w:r>
              <w:t>资金拨付率</w:t>
            </w:r>
          </w:p>
        </w:tc>
        <w:tc>
          <w:tcPr>
            <w:tcW w:w="5386" w:type="dxa"/>
            <w:vAlign w:val="center"/>
          </w:tcPr>
          <w:p w14:paraId="72A322C8">
            <w:pPr>
              <w:pStyle w:val="13"/>
            </w:pPr>
            <w:r>
              <w:t>按进度进行资金支付</w:t>
            </w:r>
          </w:p>
        </w:tc>
        <w:tc>
          <w:tcPr>
            <w:tcW w:w="2268" w:type="dxa"/>
            <w:vAlign w:val="center"/>
          </w:tcPr>
          <w:p w14:paraId="1F4B431A">
            <w:pPr>
              <w:pStyle w:val="13"/>
            </w:pPr>
            <w:r>
              <w:t>≥100%</w:t>
            </w:r>
          </w:p>
        </w:tc>
        <w:tc>
          <w:tcPr>
            <w:tcW w:w="1276" w:type="dxa"/>
            <w:vAlign w:val="center"/>
          </w:tcPr>
          <w:p w14:paraId="57066E1B">
            <w:pPr>
              <w:pStyle w:val="13"/>
            </w:pPr>
            <w:r>
              <w:t>发展学前教育资金管理办法</w:t>
            </w:r>
          </w:p>
        </w:tc>
      </w:tr>
      <w:tr w14:paraId="6FACD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E434C"/>
        </w:tc>
        <w:tc>
          <w:tcPr>
            <w:tcW w:w="2268" w:type="dxa"/>
            <w:vAlign w:val="center"/>
          </w:tcPr>
          <w:p w14:paraId="5EF33918">
            <w:pPr>
              <w:pStyle w:val="13"/>
            </w:pPr>
            <w:r>
              <w:t>成本指标</w:t>
            </w:r>
          </w:p>
        </w:tc>
        <w:tc>
          <w:tcPr>
            <w:tcW w:w="2835" w:type="dxa"/>
            <w:vAlign w:val="center"/>
          </w:tcPr>
          <w:p w14:paraId="510CEB5B">
            <w:pPr>
              <w:pStyle w:val="13"/>
            </w:pPr>
            <w:r>
              <w:t>生均拨款标准</w:t>
            </w:r>
          </w:p>
        </w:tc>
        <w:tc>
          <w:tcPr>
            <w:tcW w:w="5386" w:type="dxa"/>
            <w:vAlign w:val="center"/>
          </w:tcPr>
          <w:p w14:paraId="0E9F4EC2">
            <w:pPr>
              <w:pStyle w:val="13"/>
            </w:pPr>
            <w:r>
              <w:t>按规定标准落实</w:t>
            </w:r>
          </w:p>
        </w:tc>
        <w:tc>
          <w:tcPr>
            <w:tcW w:w="2268" w:type="dxa"/>
            <w:vAlign w:val="center"/>
          </w:tcPr>
          <w:p w14:paraId="4C745695">
            <w:pPr>
              <w:pStyle w:val="13"/>
            </w:pPr>
            <w:r>
              <w:t>500元/生/半年</w:t>
            </w:r>
          </w:p>
        </w:tc>
        <w:tc>
          <w:tcPr>
            <w:tcW w:w="1276" w:type="dxa"/>
            <w:vAlign w:val="center"/>
          </w:tcPr>
          <w:p w14:paraId="38DA379F">
            <w:pPr>
              <w:pStyle w:val="13"/>
            </w:pPr>
            <w:r>
              <w:t>发展学前教育资金管理办法</w:t>
            </w:r>
          </w:p>
        </w:tc>
      </w:tr>
      <w:tr w14:paraId="36DF1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D9EE3D">
            <w:pPr>
              <w:pStyle w:val="12"/>
            </w:pPr>
            <w:r>
              <w:t>效益指标</w:t>
            </w:r>
          </w:p>
        </w:tc>
        <w:tc>
          <w:tcPr>
            <w:tcW w:w="2268" w:type="dxa"/>
            <w:vAlign w:val="center"/>
          </w:tcPr>
          <w:p w14:paraId="175D3425">
            <w:pPr>
              <w:pStyle w:val="13"/>
            </w:pPr>
            <w:r>
              <w:t>可持续影响指标</w:t>
            </w:r>
          </w:p>
        </w:tc>
        <w:tc>
          <w:tcPr>
            <w:tcW w:w="2835" w:type="dxa"/>
            <w:vAlign w:val="center"/>
          </w:tcPr>
          <w:p w14:paraId="03478574">
            <w:pPr>
              <w:pStyle w:val="13"/>
            </w:pPr>
            <w:r>
              <w:t>教育发展水平明显好转</w:t>
            </w:r>
          </w:p>
        </w:tc>
        <w:tc>
          <w:tcPr>
            <w:tcW w:w="5386" w:type="dxa"/>
            <w:vAlign w:val="center"/>
          </w:tcPr>
          <w:p w14:paraId="3F4B8EDF">
            <w:pPr>
              <w:pStyle w:val="13"/>
            </w:pPr>
            <w:r>
              <w:t>幼儿受教育年限</w:t>
            </w:r>
          </w:p>
        </w:tc>
        <w:tc>
          <w:tcPr>
            <w:tcW w:w="2268" w:type="dxa"/>
            <w:vAlign w:val="center"/>
          </w:tcPr>
          <w:p w14:paraId="1F28C2B6">
            <w:pPr>
              <w:pStyle w:val="13"/>
            </w:pPr>
            <w:r>
              <w:t>3年</w:t>
            </w:r>
          </w:p>
        </w:tc>
        <w:tc>
          <w:tcPr>
            <w:tcW w:w="1276" w:type="dxa"/>
            <w:vAlign w:val="center"/>
          </w:tcPr>
          <w:p w14:paraId="79C5AE56">
            <w:pPr>
              <w:pStyle w:val="13"/>
            </w:pPr>
            <w:r>
              <w:t>发展学前教育资金管理办法</w:t>
            </w:r>
          </w:p>
        </w:tc>
      </w:tr>
      <w:tr w14:paraId="3F39D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24DD66">
            <w:pPr>
              <w:pStyle w:val="12"/>
            </w:pPr>
            <w:r>
              <w:t>满意度指标</w:t>
            </w:r>
          </w:p>
        </w:tc>
        <w:tc>
          <w:tcPr>
            <w:tcW w:w="2268" w:type="dxa"/>
            <w:vAlign w:val="center"/>
          </w:tcPr>
          <w:p w14:paraId="24E0B17E">
            <w:pPr>
              <w:pStyle w:val="13"/>
            </w:pPr>
            <w:r>
              <w:t>服务对象满意度指标</w:t>
            </w:r>
          </w:p>
        </w:tc>
        <w:tc>
          <w:tcPr>
            <w:tcW w:w="2835" w:type="dxa"/>
            <w:vAlign w:val="center"/>
          </w:tcPr>
          <w:p w14:paraId="5460A4C4">
            <w:pPr>
              <w:pStyle w:val="13"/>
            </w:pPr>
            <w:r>
              <w:t>受益幼儿家长及调查满意度</w:t>
            </w:r>
          </w:p>
        </w:tc>
        <w:tc>
          <w:tcPr>
            <w:tcW w:w="5386" w:type="dxa"/>
            <w:vAlign w:val="center"/>
          </w:tcPr>
          <w:p w14:paraId="39121E72">
            <w:pPr>
              <w:pStyle w:val="13"/>
            </w:pPr>
            <w:r>
              <w:t>学生、教师及家长对学校保教保育工作满意度情况</w:t>
            </w:r>
          </w:p>
        </w:tc>
        <w:tc>
          <w:tcPr>
            <w:tcW w:w="2268" w:type="dxa"/>
            <w:vAlign w:val="center"/>
          </w:tcPr>
          <w:p w14:paraId="0A97BE53">
            <w:pPr>
              <w:pStyle w:val="13"/>
            </w:pPr>
            <w:r>
              <w:t>≥95%</w:t>
            </w:r>
          </w:p>
        </w:tc>
        <w:tc>
          <w:tcPr>
            <w:tcW w:w="1276" w:type="dxa"/>
            <w:vAlign w:val="center"/>
          </w:tcPr>
          <w:p w14:paraId="24975672">
            <w:pPr>
              <w:pStyle w:val="13"/>
            </w:pPr>
            <w:r>
              <w:t>调查问卷</w:t>
            </w:r>
          </w:p>
        </w:tc>
      </w:tr>
    </w:tbl>
    <w:p w14:paraId="218B2071">
      <w:pPr>
        <w:sectPr>
          <w:pgSz w:w="16840" w:h="11900" w:orient="landscape"/>
          <w:pgMar w:top="1361" w:right="1020" w:bottom="1134" w:left="1020" w:header="720" w:footer="720" w:gutter="0"/>
          <w:cols w:space="720" w:num="1"/>
        </w:sectPr>
      </w:pPr>
    </w:p>
    <w:p w14:paraId="0509B80C">
      <w:pPr>
        <w:spacing w:before="0" w:after="0"/>
        <w:ind w:firstLine="560"/>
        <w:jc w:val="left"/>
        <w:outlineLvl w:val="9"/>
      </w:pPr>
      <w:r>
        <w:rPr>
          <w:rFonts w:ascii="方正仿宋_GBK" w:hAnsi="方正仿宋_GBK" w:eastAsia="方正仿宋_GBK" w:cs="方正仿宋_GBK"/>
          <w:b/>
          <w:color w:val="000000"/>
          <w:sz w:val="28"/>
        </w:rPr>
        <w:t>2、冀财教[2024]121号/中央/2025年学前教育发展/徐麻营幼儿园厕所改造等维修改造绩效目标表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70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DDB25">
            <w:pPr>
              <w:pStyle w:val="14"/>
            </w:pPr>
            <w:r>
              <w:t>单位：万元</w:t>
            </w:r>
          </w:p>
        </w:tc>
      </w:tr>
      <w:tr w14:paraId="36FD4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707062">
            <w:pPr>
              <w:pStyle w:val="11"/>
            </w:pPr>
            <w:r>
              <w:t>项目编码</w:t>
            </w:r>
          </w:p>
        </w:tc>
        <w:tc>
          <w:tcPr>
            <w:tcW w:w="5103" w:type="dxa"/>
            <w:gridSpan w:val="2"/>
            <w:vAlign w:val="center"/>
          </w:tcPr>
          <w:p w14:paraId="42A04971">
            <w:pPr>
              <w:pStyle w:val="13"/>
            </w:pPr>
            <w:r>
              <w:t>13052525P00876910007U</w:t>
            </w:r>
          </w:p>
        </w:tc>
        <w:tc>
          <w:tcPr>
            <w:tcW w:w="2835" w:type="dxa"/>
            <w:vAlign w:val="center"/>
          </w:tcPr>
          <w:p w14:paraId="41F80855">
            <w:pPr>
              <w:pStyle w:val="11"/>
            </w:pPr>
            <w:r>
              <w:t>项目名称</w:t>
            </w:r>
          </w:p>
        </w:tc>
        <w:tc>
          <w:tcPr>
            <w:tcW w:w="6095" w:type="dxa"/>
            <w:gridSpan w:val="3"/>
            <w:vAlign w:val="center"/>
          </w:tcPr>
          <w:p w14:paraId="0276FB61">
            <w:pPr>
              <w:pStyle w:val="13"/>
            </w:pPr>
            <w:r>
              <w:t>冀财教[2024]121号/中央/2025年学前教育发展/徐麻营幼儿园厕所改造等维修改造</w:t>
            </w:r>
          </w:p>
        </w:tc>
      </w:tr>
      <w:tr w14:paraId="21837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81FC5">
            <w:pPr>
              <w:pStyle w:val="11"/>
            </w:pPr>
            <w:r>
              <w:t>预算规模及资金用途</w:t>
            </w:r>
          </w:p>
        </w:tc>
        <w:tc>
          <w:tcPr>
            <w:tcW w:w="2268" w:type="dxa"/>
            <w:vAlign w:val="center"/>
          </w:tcPr>
          <w:p w14:paraId="7389278D">
            <w:pPr>
              <w:pStyle w:val="11"/>
            </w:pPr>
            <w:r>
              <w:t>预算数</w:t>
            </w:r>
          </w:p>
        </w:tc>
        <w:tc>
          <w:tcPr>
            <w:tcW w:w="2835" w:type="dxa"/>
            <w:vAlign w:val="center"/>
          </w:tcPr>
          <w:p w14:paraId="7472375B">
            <w:pPr>
              <w:pStyle w:val="13"/>
            </w:pPr>
            <w:r>
              <w:t>8.00</w:t>
            </w:r>
          </w:p>
        </w:tc>
        <w:tc>
          <w:tcPr>
            <w:tcW w:w="2835" w:type="dxa"/>
            <w:vAlign w:val="center"/>
          </w:tcPr>
          <w:p w14:paraId="61A114BB">
            <w:pPr>
              <w:pStyle w:val="11"/>
            </w:pPr>
            <w:r>
              <w:t>其中：财政    资金</w:t>
            </w:r>
          </w:p>
        </w:tc>
        <w:tc>
          <w:tcPr>
            <w:tcW w:w="2551" w:type="dxa"/>
            <w:vAlign w:val="center"/>
          </w:tcPr>
          <w:p w14:paraId="7DA7E89C">
            <w:pPr>
              <w:pStyle w:val="13"/>
            </w:pPr>
            <w:r>
              <w:t>8.00</w:t>
            </w:r>
          </w:p>
        </w:tc>
        <w:tc>
          <w:tcPr>
            <w:tcW w:w="2268" w:type="dxa"/>
            <w:vAlign w:val="center"/>
          </w:tcPr>
          <w:p w14:paraId="5B00B3FA">
            <w:pPr>
              <w:pStyle w:val="11"/>
            </w:pPr>
            <w:r>
              <w:t>其他资金</w:t>
            </w:r>
          </w:p>
        </w:tc>
        <w:tc>
          <w:tcPr>
            <w:tcW w:w="1276" w:type="dxa"/>
            <w:vAlign w:val="center"/>
          </w:tcPr>
          <w:p w14:paraId="262051E5">
            <w:pPr>
              <w:pStyle w:val="13"/>
            </w:pPr>
            <w:r>
              <w:t xml:space="preserve"> </w:t>
            </w:r>
          </w:p>
        </w:tc>
      </w:tr>
      <w:tr w14:paraId="0D929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C0EC1B"/>
        </w:tc>
        <w:tc>
          <w:tcPr>
            <w:tcW w:w="14033" w:type="dxa"/>
            <w:gridSpan w:val="6"/>
            <w:vAlign w:val="center"/>
          </w:tcPr>
          <w:p w14:paraId="24C8AED4">
            <w:pPr>
              <w:pStyle w:val="13"/>
            </w:pPr>
            <w:r>
              <w:t>徐麻营幼儿园厕所改造等维修改造包括：新建厕所，屋顶防水，走廊房顶刮白，内墙刮白。</w:t>
            </w:r>
          </w:p>
        </w:tc>
      </w:tr>
      <w:tr w14:paraId="00C3F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FB990">
            <w:pPr>
              <w:pStyle w:val="11"/>
            </w:pPr>
            <w:r>
              <w:t>资金支出计划（%）</w:t>
            </w:r>
          </w:p>
        </w:tc>
        <w:tc>
          <w:tcPr>
            <w:tcW w:w="5103" w:type="dxa"/>
            <w:gridSpan w:val="2"/>
            <w:vAlign w:val="center"/>
          </w:tcPr>
          <w:p w14:paraId="2DDE0284">
            <w:pPr>
              <w:pStyle w:val="11"/>
            </w:pPr>
            <w:r>
              <w:t>3月底</w:t>
            </w:r>
          </w:p>
        </w:tc>
        <w:tc>
          <w:tcPr>
            <w:tcW w:w="2835" w:type="dxa"/>
            <w:vAlign w:val="center"/>
          </w:tcPr>
          <w:p w14:paraId="5A1E1AA8">
            <w:pPr>
              <w:pStyle w:val="11"/>
            </w:pPr>
            <w:r>
              <w:t>6月底</w:t>
            </w:r>
          </w:p>
        </w:tc>
        <w:tc>
          <w:tcPr>
            <w:tcW w:w="2551" w:type="dxa"/>
            <w:vAlign w:val="center"/>
          </w:tcPr>
          <w:p w14:paraId="033D769D">
            <w:pPr>
              <w:pStyle w:val="11"/>
            </w:pPr>
            <w:r>
              <w:t>10月底</w:t>
            </w:r>
          </w:p>
        </w:tc>
        <w:tc>
          <w:tcPr>
            <w:tcW w:w="3544" w:type="dxa"/>
            <w:gridSpan w:val="2"/>
            <w:vAlign w:val="center"/>
          </w:tcPr>
          <w:p w14:paraId="37018FBC">
            <w:pPr>
              <w:pStyle w:val="11"/>
            </w:pPr>
            <w:r>
              <w:t>12月底</w:t>
            </w:r>
          </w:p>
        </w:tc>
      </w:tr>
      <w:tr w14:paraId="37D2B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F8356A"/>
        </w:tc>
        <w:tc>
          <w:tcPr>
            <w:tcW w:w="5103" w:type="dxa"/>
            <w:gridSpan w:val="2"/>
            <w:vAlign w:val="center"/>
          </w:tcPr>
          <w:p w14:paraId="6A1FBEC4">
            <w:pPr>
              <w:pStyle w:val="12"/>
            </w:pPr>
            <w:r>
              <w:t xml:space="preserve"> </w:t>
            </w:r>
          </w:p>
        </w:tc>
        <w:tc>
          <w:tcPr>
            <w:tcW w:w="2835" w:type="dxa"/>
            <w:vAlign w:val="center"/>
          </w:tcPr>
          <w:p w14:paraId="5D7F223E">
            <w:pPr>
              <w:pStyle w:val="12"/>
            </w:pPr>
            <w:r>
              <w:t xml:space="preserve"> </w:t>
            </w:r>
          </w:p>
        </w:tc>
        <w:tc>
          <w:tcPr>
            <w:tcW w:w="2551" w:type="dxa"/>
            <w:vAlign w:val="center"/>
          </w:tcPr>
          <w:p w14:paraId="62768156">
            <w:pPr>
              <w:pStyle w:val="12"/>
            </w:pPr>
            <w:r>
              <w:t>100%</w:t>
            </w:r>
          </w:p>
        </w:tc>
        <w:tc>
          <w:tcPr>
            <w:tcW w:w="3544" w:type="dxa"/>
            <w:gridSpan w:val="2"/>
            <w:vAlign w:val="center"/>
          </w:tcPr>
          <w:p w14:paraId="61D2C8B2">
            <w:pPr>
              <w:pStyle w:val="12"/>
            </w:pPr>
            <w:r>
              <w:t>100%</w:t>
            </w:r>
          </w:p>
        </w:tc>
      </w:tr>
      <w:tr w14:paraId="0461E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D96C9">
            <w:pPr>
              <w:pStyle w:val="11"/>
            </w:pPr>
            <w:r>
              <w:t>绩效目标</w:t>
            </w:r>
          </w:p>
        </w:tc>
        <w:tc>
          <w:tcPr>
            <w:tcW w:w="14033" w:type="dxa"/>
            <w:gridSpan w:val="6"/>
            <w:vAlign w:val="center"/>
          </w:tcPr>
          <w:p w14:paraId="5572ADE8">
            <w:pPr>
              <w:pStyle w:val="13"/>
            </w:pPr>
            <w:r>
              <w:t>1.徐麻营幼儿园厕所改造等维修改造包括：新建厕所，屋顶防水，走廊房顶刮白，内墙刮白。</w:t>
            </w:r>
          </w:p>
        </w:tc>
      </w:tr>
    </w:tbl>
    <w:p w14:paraId="586FF0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70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88AE40F">
            <w:pPr>
              <w:pStyle w:val="11"/>
            </w:pPr>
            <w:r>
              <w:t>一级指标</w:t>
            </w:r>
          </w:p>
        </w:tc>
        <w:tc>
          <w:tcPr>
            <w:tcW w:w="2268" w:type="dxa"/>
            <w:vAlign w:val="center"/>
          </w:tcPr>
          <w:p w14:paraId="173BEF7C">
            <w:pPr>
              <w:pStyle w:val="11"/>
            </w:pPr>
            <w:r>
              <w:t>二级指标</w:t>
            </w:r>
          </w:p>
        </w:tc>
        <w:tc>
          <w:tcPr>
            <w:tcW w:w="2835" w:type="dxa"/>
            <w:vAlign w:val="center"/>
          </w:tcPr>
          <w:p w14:paraId="135B2EEC">
            <w:pPr>
              <w:pStyle w:val="11"/>
            </w:pPr>
            <w:r>
              <w:t>三级指标</w:t>
            </w:r>
          </w:p>
        </w:tc>
        <w:tc>
          <w:tcPr>
            <w:tcW w:w="5386" w:type="dxa"/>
            <w:vAlign w:val="center"/>
          </w:tcPr>
          <w:p w14:paraId="0086D224">
            <w:pPr>
              <w:pStyle w:val="11"/>
            </w:pPr>
            <w:r>
              <w:t>绩效指标描述</w:t>
            </w:r>
          </w:p>
        </w:tc>
        <w:tc>
          <w:tcPr>
            <w:tcW w:w="2268" w:type="dxa"/>
            <w:vAlign w:val="center"/>
          </w:tcPr>
          <w:p w14:paraId="7E55658D">
            <w:pPr>
              <w:pStyle w:val="11"/>
            </w:pPr>
            <w:r>
              <w:t>指标值</w:t>
            </w:r>
          </w:p>
        </w:tc>
        <w:tc>
          <w:tcPr>
            <w:tcW w:w="1276" w:type="dxa"/>
            <w:vAlign w:val="center"/>
          </w:tcPr>
          <w:p w14:paraId="6807FE54">
            <w:pPr>
              <w:pStyle w:val="11"/>
            </w:pPr>
            <w:r>
              <w:t>指标值确定依据</w:t>
            </w:r>
          </w:p>
        </w:tc>
      </w:tr>
      <w:tr w14:paraId="67833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B25DB">
            <w:pPr>
              <w:pStyle w:val="12"/>
            </w:pPr>
            <w:r>
              <w:t>产出指标</w:t>
            </w:r>
          </w:p>
        </w:tc>
        <w:tc>
          <w:tcPr>
            <w:tcW w:w="2268" w:type="dxa"/>
            <w:vAlign w:val="center"/>
          </w:tcPr>
          <w:p w14:paraId="00C896F9">
            <w:pPr>
              <w:pStyle w:val="13"/>
            </w:pPr>
            <w:r>
              <w:t>数量指标</w:t>
            </w:r>
          </w:p>
        </w:tc>
        <w:tc>
          <w:tcPr>
            <w:tcW w:w="2835" w:type="dxa"/>
            <w:vAlign w:val="center"/>
          </w:tcPr>
          <w:p w14:paraId="6F373246">
            <w:pPr>
              <w:pStyle w:val="13"/>
            </w:pPr>
            <w:r>
              <w:t>改造面积</w:t>
            </w:r>
          </w:p>
        </w:tc>
        <w:tc>
          <w:tcPr>
            <w:tcW w:w="5386" w:type="dxa"/>
            <w:vAlign w:val="center"/>
          </w:tcPr>
          <w:p w14:paraId="781609D7">
            <w:pPr>
              <w:pStyle w:val="13"/>
            </w:pPr>
            <w:r>
              <w:t>新建厕所</w:t>
            </w:r>
          </w:p>
        </w:tc>
        <w:tc>
          <w:tcPr>
            <w:tcW w:w="2268" w:type="dxa"/>
            <w:vAlign w:val="center"/>
          </w:tcPr>
          <w:p w14:paraId="06C19EF6">
            <w:pPr>
              <w:pStyle w:val="13"/>
            </w:pPr>
            <w:r>
              <w:t>30平方米</w:t>
            </w:r>
          </w:p>
        </w:tc>
        <w:tc>
          <w:tcPr>
            <w:tcW w:w="1276" w:type="dxa"/>
            <w:vAlign w:val="center"/>
          </w:tcPr>
          <w:p w14:paraId="5718BE5C">
            <w:pPr>
              <w:pStyle w:val="13"/>
            </w:pPr>
            <w:r>
              <w:t>项目规划</w:t>
            </w:r>
          </w:p>
        </w:tc>
      </w:tr>
      <w:tr w14:paraId="6B8A9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6FEF1"/>
        </w:tc>
        <w:tc>
          <w:tcPr>
            <w:tcW w:w="2268" w:type="dxa"/>
            <w:vAlign w:val="center"/>
          </w:tcPr>
          <w:p w14:paraId="12401733">
            <w:pPr>
              <w:pStyle w:val="13"/>
            </w:pPr>
            <w:r>
              <w:t>数量指标</w:t>
            </w:r>
          </w:p>
        </w:tc>
        <w:tc>
          <w:tcPr>
            <w:tcW w:w="2835" w:type="dxa"/>
            <w:vAlign w:val="center"/>
          </w:tcPr>
          <w:p w14:paraId="585DF7BC">
            <w:pPr>
              <w:pStyle w:val="13"/>
            </w:pPr>
            <w:r>
              <w:t>改造面积</w:t>
            </w:r>
          </w:p>
        </w:tc>
        <w:tc>
          <w:tcPr>
            <w:tcW w:w="5386" w:type="dxa"/>
            <w:vAlign w:val="center"/>
          </w:tcPr>
          <w:p w14:paraId="361E618B">
            <w:pPr>
              <w:pStyle w:val="13"/>
            </w:pPr>
            <w:r>
              <w:t>屋顶防水</w:t>
            </w:r>
          </w:p>
        </w:tc>
        <w:tc>
          <w:tcPr>
            <w:tcW w:w="2268" w:type="dxa"/>
            <w:vAlign w:val="center"/>
          </w:tcPr>
          <w:p w14:paraId="407DCC84">
            <w:pPr>
              <w:pStyle w:val="13"/>
            </w:pPr>
            <w:r>
              <w:t>560平方米</w:t>
            </w:r>
          </w:p>
        </w:tc>
        <w:tc>
          <w:tcPr>
            <w:tcW w:w="1276" w:type="dxa"/>
            <w:vAlign w:val="center"/>
          </w:tcPr>
          <w:p w14:paraId="38FBFB35">
            <w:pPr>
              <w:pStyle w:val="13"/>
            </w:pPr>
            <w:r>
              <w:t>项目规划</w:t>
            </w:r>
          </w:p>
        </w:tc>
      </w:tr>
      <w:tr w14:paraId="25908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60806"/>
        </w:tc>
        <w:tc>
          <w:tcPr>
            <w:tcW w:w="2268" w:type="dxa"/>
            <w:vAlign w:val="center"/>
          </w:tcPr>
          <w:p w14:paraId="25534E47">
            <w:pPr>
              <w:pStyle w:val="13"/>
            </w:pPr>
            <w:r>
              <w:t>数量指标</w:t>
            </w:r>
          </w:p>
        </w:tc>
        <w:tc>
          <w:tcPr>
            <w:tcW w:w="2835" w:type="dxa"/>
            <w:vAlign w:val="center"/>
          </w:tcPr>
          <w:p w14:paraId="1D994DF9">
            <w:pPr>
              <w:pStyle w:val="13"/>
            </w:pPr>
            <w:r>
              <w:t>改造面积</w:t>
            </w:r>
          </w:p>
        </w:tc>
        <w:tc>
          <w:tcPr>
            <w:tcW w:w="5386" w:type="dxa"/>
            <w:vAlign w:val="center"/>
          </w:tcPr>
          <w:p w14:paraId="58966040">
            <w:pPr>
              <w:pStyle w:val="13"/>
            </w:pPr>
            <w:r>
              <w:t>走廊刮白</w:t>
            </w:r>
          </w:p>
        </w:tc>
        <w:tc>
          <w:tcPr>
            <w:tcW w:w="2268" w:type="dxa"/>
            <w:vAlign w:val="center"/>
          </w:tcPr>
          <w:p w14:paraId="10153C88">
            <w:pPr>
              <w:pStyle w:val="13"/>
            </w:pPr>
            <w:r>
              <w:t>100平方米</w:t>
            </w:r>
          </w:p>
        </w:tc>
        <w:tc>
          <w:tcPr>
            <w:tcW w:w="1276" w:type="dxa"/>
            <w:vAlign w:val="center"/>
          </w:tcPr>
          <w:p w14:paraId="6D30F79A">
            <w:pPr>
              <w:pStyle w:val="13"/>
            </w:pPr>
            <w:r>
              <w:t>项目规划</w:t>
            </w:r>
          </w:p>
        </w:tc>
      </w:tr>
      <w:tr w14:paraId="457D8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6CF0F"/>
        </w:tc>
        <w:tc>
          <w:tcPr>
            <w:tcW w:w="2268" w:type="dxa"/>
            <w:vAlign w:val="center"/>
          </w:tcPr>
          <w:p w14:paraId="5CF4CBA2">
            <w:pPr>
              <w:pStyle w:val="13"/>
            </w:pPr>
            <w:r>
              <w:t>数量指标</w:t>
            </w:r>
          </w:p>
        </w:tc>
        <w:tc>
          <w:tcPr>
            <w:tcW w:w="2835" w:type="dxa"/>
            <w:vAlign w:val="center"/>
          </w:tcPr>
          <w:p w14:paraId="3A03E243">
            <w:pPr>
              <w:pStyle w:val="13"/>
            </w:pPr>
            <w:r>
              <w:t>改造面积</w:t>
            </w:r>
          </w:p>
        </w:tc>
        <w:tc>
          <w:tcPr>
            <w:tcW w:w="5386" w:type="dxa"/>
            <w:vAlign w:val="center"/>
          </w:tcPr>
          <w:p w14:paraId="7F33BD02">
            <w:pPr>
              <w:pStyle w:val="13"/>
            </w:pPr>
            <w:r>
              <w:t>内墙刮白</w:t>
            </w:r>
          </w:p>
        </w:tc>
        <w:tc>
          <w:tcPr>
            <w:tcW w:w="2268" w:type="dxa"/>
            <w:vAlign w:val="center"/>
          </w:tcPr>
          <w:p w14:paraId="3BFE0E58">
            <w:pPr>
              <w:pStyle w:val="13"/>
            </w:pPr>
            <w:r>
              <w:t>320平方米</w:t>
            </w:r>
          </w:p>
        </w:tc>
        <w:tc>
          <w:tcPr>
            <w:tcW w:w="1276" w:type="dxa"/>
            <w:vAlign w:val="center"/>
          </w:tcPr>
          <w:p w14:paraId="645A674D">
            <w:pPr>
              <w:pStyle w:val="13"/>
            </w:pPr>
            <w:r>
              <w:t>项目规划</w:t>
            </w:r>
          </w:p>
        </w:tc>
      </w:tr>
      <w:tr w14:paraId="1DF22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DA6A7"/>
        </w:tc>
        <w:tc>
          <w:tcPr>
            <w:tcW w:w="2268" w:type="dxa"/>
            <w:vAlign w:val="center"/>
          </w:tcPr>
          <w:p w14:paraId="1857EC63">
            <w:pPr>
              <w:pStyle w:val="13"/>
            </w:pPr>
            <w:r>
              <w:t>质量指标</w:t>
            </w:r>
          </w:p>
        </w:tc>
        <w:tc>
          <w:tcPr>
            <w:tcW w:w="2835" w:type="dxa"/>
            <w:vAlign w:val="center"/>
          </w:tcPr>
          <w:p w14:paraId="07EA7E8C">
            <w:pPr>
              <w:pStyle w:val="13"/>
            </w:pPr>
            <w:r>
              <w:t>符合验收标准</w:t>
            </w:r>
          </w:p>
        </w:tc>
        <w:tc>
          <w:tcPr>
            <w:tcW w:w="5386" w:type="dxa"/>
            <w:vAlign w:val="center"/>
          </w:tcPr>
          <w:p w14:paraId="05832303">
            <w:pPr>
              <w:pStyle w:val="13"/>
            </w:pPr>
            <w:r>
              <w:t>项目竣工合格率</w:t>
            </w:r>
          </w:p>
        </w:tc>
        <w:tc>
          <w:tcPr>
            <w:tcW w:w="2268" w:type="dxa"/>
            <w:vAlign w:val="center"/>
          </w:tcPr>
          <w:p w14:paraId="0A983B2B">
            <w:pPr>
              <w:pStyle w:val="13"/>
            </w:pPr>
            <w:r>
              <w:t>≥100%</w:t>
            </w:r>
          </w:p>
        </w:tc>
        <w:tc>
          <w:tcPr>
            <w:tcW w:w="1276" w:type="dxa"/>
            <w:vAlign w:val="center"/>
          </w:tcPr>
          <w:p w14:paraId="1359AD4B">
            <w:pPr>
              <w:pStyle w:val="13"/>
            </w:pPr>
            <w:r>
              <w:t>项目规划</w:t>
            </w:r>
          </w:p>
        </w:tc>
      </w:tr>
      <w:tr w14:paraId="0251F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26E9D"/>
        </w:tc>
        <w:tc>
          <w:tcPr>
            <w:tcW w:w="2268" w:type="dxa"/>
            <w:vAlign w:val="center"/>
          </w:tcPr>
          <w:p w14:paraId="106AE674">
            <w:pPr>
              <w:pStyle w:val="13"/>
            </w:pPr>
            <w:r>
              <w:t>时效指标</w:t>
            </w:r>
          </w:p>
        </w:tc>
        <w:tc>
          <w:tcPr>
            <w:tcW w:w="2835" w:type="dxa"/>
            <w:vAlign w:val="center"/>
          </w:tcPr>
          <w:p w14:paraId="0EF3A874">
            <w:pPr>
              <w:pStyle w:val="13"/>
            </w:pPr>
            <w:r>
              <w:t>项目时间</w:t>
            </w:r>
          </w:p>
        </w:tc>
        <w:tc>
          <w:tcPr>
            <w:tcW w:w="5386" w:type="dxa"/>
            <w:vAlign w:val="center"/>
          </w:tcPr>
          <w:p w14:paraId="5CE8FD22">
            <w:pPr>
              <w:pStyle w:val="13"/>
            </w:pPr>
            <w:r>
              <w:t>按期完成率</w:t>
            </w:r>
          </w:p>
        </w:tc>
        <w:tc>
          <w:tcPr>
            <w:tcW w:w="2268" w:type="dxa"/>
            <w:vAlign w:val="center"/>
          </w:tcPr>
          <w:p w14:paraId="696EF791">
            <w:pPr>
              <w:pStyle w:val="13"/>
            </w:pPr>
            <w:r>
              <w:t>≥100%</w:t>
            </w:r>
          </w:p>
        </w:tc>
        <w:tc>
          <w:tcPr>
            <w:tcW w:w="1276" w:type="dxa"/>
            <w:vAlign w:val="center"/>
          </w:tcPr>
          <w:p w14:paraId="2AF14973">
            <w:pPr>
              <w:pStyle w:val="13"/>
            </w:pPr>
            <w:r>
              <w:t>项目规划</w:t>
            </w:r>
          </w:p>
        </w:tc>
      </w:tr>
      <w:tr w14:paraId="56AE4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4316B"/>
        </w:tc>
        <w:tc>
          <w:tcPr>
            <w:tcW w:w="2268" w:type="dxa"/>
            <w:vAlign w:val="center"/>
          </w:tcPr>
          <w:p w14:paraId="2384C9BC">
            <w:pPr>
              <w:pStyle w:val="13"/>
            </w:pPr>
            <w:r>
              <w:t>成本指标</w:t>
            </w:r>
          </w:p>
        </w:tc>
        <w:tc>
          <w:tcPr>
            <w:tcW w:w="2835" w:type="dxa"/>
            <w:vAlign w:val="center"/>
          </w:tcPr>
          <w:p w14:paraId="41EBF2D5">
            <w:pPr>
              <w:pStyle w:val="13"/>
            </w:pPr>
            <w:r>
              <w:t>项目成本</w:t>
            </w:r>
          </w:p>
        </w:tc>
        <w:tc>
          <w:tcPr>
            <w:tcW w:w="5386" w:type="dxa"/>
            <w:vAlign w:val="center"/>
          </w:tcPr>
          <w:p w14:paraId="5DA30443">
            <w:pPr>
              <w:pStyle w:val="13"/>
            </w:pPr>
            <w:r>
              <w:t>不超预算</w:t>
            </w:r>
          </w:p>
        </w:tc>
        <w:tc>
          <w:tcPr>
            <w:tcW w:w="2268" w:type="dxa"/>
            <w:vAlign w:val="center"/>
          </w:tcPr>
          <w:p w14:paraId="13980D31">
            <w:pPr>
              <w:pStyle w:val="13"/>
            </w:pPr>
            <w:r>
              <w:t>≤8万元</w:t>
            </w:r>
          </w:p>
        </w:tc>
        <w:tc>
          <w:tcPr>
            <w:tcW w:w="1276" w:type="dxa"/>
            <w:vAlign w:val="center"/>
          </w:tcPr>
          <w:p w14:paraId="4FA26AAD">
            <w:pPr>
              <w:pStyle w:val="13"/>
            </w:pPr>
            <w:r>
              <w:t>项目规划</w:t>
            </w:r>
          </w:p>
        </w:tc>
      </w:tr>
      <w:tr w14:paraId="3B591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C14FB">
            <w:pPr>
              <w:pStyle w:val="12"/>
            </w:pPr>
            <w:r>
              <w:t>效益指标</w:t>
            </w:r>
          </w:p>
        </w:tc>
        <w:tc>
          <w:tcPr>
            <w:tcW w:w="2268" w:type="dxa"/>
            <w:vAlign w:val="center"/>
          </w:tcPr>
          <w:p w14:paraId="3FE67B25">
            <w:pPr>
              <w:pStyle w:val="13"/>
            </w:pPr>
            <w:r>
              <w:t>社会效益指标</w:t>
            </w:r>
          </w:p>
        </w:tc>
        <w:tc>
          <w:tcPr>
            <w:tcW w:w="2835" w:type="dxa"/>
            <w:vAlign w:val="center"/>
          </w:tcPr>
          <w:p w14:paraId="1A4D2B46">
            <w:pPr>
              <w:pStyle w:val="13"/>
            </w:pPr>
            <w:r>
              <w:t>学生受教育年限</w:t>
            </w:r>
          </w:p>
        </w:tc>
        <w:tc>
          <w:tcPr>
            <w:tcW w:w="5386" w:type="dxa"/>
            <w:vAlign w:val="center"/>
          </w:tcPr>
          <w:p w14:paraId="592D9A3A">
            <w:pPr>
              <w:pStyle w:val="13"/>
            </w:pPr>
            <w:r>
              <w:t>学生收教育年限</w:t>
            </w:r>
          </w:p>
        </w:tc>
        <w:tc>
          <w:tcPr>
            <w:tcW w:w="2268" w:type="dxa"/>
            <w:vAlign w:val="center"/>
          </w:tcPr>
          <w:p w14:paraId="40C67F02">
            <w:pPr>
              <w:pStyle w:val="13"/>
            </w:pPr>
            <w:r>
              <w:t>3年</w:t>
            </w:r>
          </w:p>
        </w:tc>
        <w:tc>
          <w:tcPr>
            <w:tcW w:w="1276" w:type="dxa"/>
            <w:vAlign w:val="center"/>
          </w:tcPr>
          <w:p w14:paraId="514FDC23">
            <w:pPr>
              <w:pStyle w:val="13"/>
            </w:pPr>
            <w:r>
              <w:t>项目规划</w:t>
            </w:r>
          </w:p>
        </w:tc>
      </w:tr>
      <w:tr w14:paraId="5DAB8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DAE576">
            <w:pPr>
              <w:pStyle w:val="12"/>
            </w:pPr>
            <w:r>
              <w:t>满意度指标</w:t>
            </w:r>
          </w:p>
        </w:tc>
        <w:tc>
          <w:tcPr>
            <w:tcW w:w="2268" w:type="dxa"/>
            <w:vAlign w:val="center"/>
          </w:tcPr>
          <w:p w14:paraId="5DD8BF97">
            <w:pPr>
              <w:pStyle w:val="13"/>
            </w:pPr>
            <w:r>
              <w:t>服务对象满意度指标</w:t>
            </w:r>
          </w:p>
        </w:tc>
        <w:tc>
          <w:tcPr>
            <w:tcW w:w="2835" w:type="dxa"/>
            <w:vAlign w:val="center"/>
          </w:tcPr>
          <w:p w14:paraId="3555A6B2">
            <w:pPr>
              <w:pStyle w:val="13"/>
            </w:pPr>
            <w:r>
              <w:t>教师学生满意度</w:t>
            </w:r>
          </w:p>
        </w:tc>
        <w:tc>
          <w:tcPr>
            <w:tcW w:w="5386" w:type="dxa"/>
            <w:vAlign w:val="center"/>
          </w:tcPr>
          <w:p w14:paraId="4577A4DF">
            <w:pPr>
              <w:pStyle w:val="13"/>
            </w:pPr>
            <w:r>
              <w:t>教师学生满意度</w:t>
            </w:r>
          </w:p>
        </w:tc>
        <w:tc>
          <w:tcPr>
            <w:tcW w:w="2268" w:type="dxa"/>
            <w:vAlign w:val="center"/>
          </w:tcPr>
          <w:p w14:paraId="7C613EA5">
            <w:pPr>
              <w:pStyle w:val="13"/>
            </w:pPr>
            <w:r>
              <w:t>≥95%</w:t>
            </w:r>
          </w:p>
        </w:tc>
        <w:tc>
          <w:tcPr>
            <w:tcW w:w="1276" w:type="dxa"/>
            <w:vAlign w:val="center"/>
          </w:tcPr>
          <w:p w14:paraId="4932CFB0">
            <w:pPr>
              <w:pStyle w:val="13"/>
            </w:pPr>
            <w:r>
              <w:t>项目规划</w:t>
            </w:r>
          </w:p>
        </w:tc>
      </w:tr>
    </w:tbl>
    <w:p w14:paraId="0ED46834">
      <w:pPr>
        <w:sectPr>
          <w:pgSz w:w="16840" w:h="11900" w:orient="landscape"/>
          <w:pgMar w:top="1361" w:right="1020" w:bottom="1134" w:left="1020" w:header="720" w:footer="720" w:gutter="0"/>
          <w:cols w:space="720" w:num="1"/>
        </w:sectPr>
      </w:pPr>
    </w:p>
    <w:p w14:paraId="3F979C0B">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3、冀财教[2024]123号/中央/2025年义教补助经费/毛尔寨中心小学公用经费绩效目标表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A0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E222F">
            <w:pPr>
              <w:pStyle w:val="14"/>
            </w:pPr>
            <w:r>
              <w:t>单位：万元</w:t>
            </w:r>
          </w:p>
        </w:tc>
      </w:tr>
      <w:tr w14:paraId="78942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9234E6">
            <w:pPr>
              <w:pStyle w:val="11"/>
            </w:pPr>
            <w:r>
              <w:t>项目编码</w:t>
            </w:r>
          </w:p>
        </w:tc>
        <w:tc>
          <w:tcPr>
            <w:tcW w:w="5103" w:type="dxa"/>
            <w:gridSpan w:val="2"/>
            <w:vAlign w:val="center"/>
          </w:tcPr>
          <w:p w14:paraId="258D0367">
            <w:pPr>
              <w:pStyle w:val="13"/>
            </w:pPr>
            <w:r>
              <w:t>13052525P000004101086</w:t>
            </w:r>
          </w:p>
        </w:tc>
        <w:tc>
          <w:tcPr>
            <w:tcW w:w="2835" w:type="dxa"/>
            <w:vAlign w:val="center"/>
          </w:tcPr>
          <w:p w14:paraId="65A1FB9A">
            <w:pPr>
              <w:pStyle w:val="11"/>
            </w:pPr>
            <w:r>
              <w:t>项目名称</w:t>
            </w:r>
          </w:p>
        </w:tc>
        <w:tc>
          <w:tcPr>
            <w:tcW w:w="6095" w:type="dxa"/>
            <w:gridSpan w:val="3"/>
            <w:vAlign w:val="center"/>
          </w:tcPr>
          <w:p w14:paraId="08F8613C">
            <w:pPr>
              <w:pStyle w:val="13"/>
            </w:pPr>
            <w:r>
              <w:t>冀财教[2024]123号/中央/2025年义教补助经费/毛尔寨中心小学公用经费</w:t>
            </w:r>
          </w:p>
        </w:tc>
      </w:tr>
      <w:tr w14:paraId="6AA13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009D1">
            <w:pPr>
              <w:pStyle w:val="11"/>
            </w:pPr>
            <w:r>
              <w:t>预算规模及资金用途</w:t>
            </w:r>
          </w:p>
        </w:tc>
        <w:tc>
          <w:tcPr>
            <w:tcW w:w="2268" w:type="dxa"/>
            <w:vAlign w:val="center"/>
          </w:tcPr>
          <w:p w14:paraId="5B023BDE">
            <w:pPr>
              <w:pStyle w:val="11"/>
            </w:pPr>
            <w:r>
              <w:t>预算数</w:t>
            </w:r>
          </w:p>
        </w:tc>
        <w:tc>
          <w:tcPr>
            <w:tcW w:w="2835" w:type="dxa"/>
            <w:vAlign w:val="center"/>
          </w:tcPr>
          <w:p w14:paraId="37DA5B6F">
            <w:pPr>
              <w:pStyle w:val="13"/>
            </w:pPr>
            <w:r>
              <w:t>31.07</w:t>
            </w:r>
          </w:p>
        </w:tc>
        <w:tc>
          <w:tcPr>
            <w:tcW w:w="2835" w:type="dxa"/>
            <w:vAlign w:val="center"/>
          </w:tcPr>
          <w:p w14:paraId="531D6676">
            <w:pPr>
              <w:pStyle w:val="11"/>
            </w:pPr>
            <w:r>
              <w:t>其中：财政    资金</w:t>
            </w:r>
          </w:p>
        </w:tc>
        <w:tc>
          <w:tcPr>
            <w:tcW w:w="2551" w:type="dxa"/>
            <w:vAlign w:val="center"/>
          </w:tcPr>
          <w:p w14:paraId="7DF8DC4C">
            <w:pPr>
              <w:pStyle w:val="13"/>
            </w:pPr>
            <w:r>
              <w:t>31.07</w:t>
            </w:r>
          </w:p>
        </w:tc>
        <w:tc>
          <w:tcPr>
            <w:tcW w:w="2268" w:type="dxa"/>
            <w:vAlign w:val="center"/>
          </w:tcPr>
          <w:p w14:paraId="0F38D70B">
            <w:pPr>
              <w:pStyle w:val="11"/>
            </w:pPr>
            <w:r>
              <w:t>其他资金</w:t>
            </w:r>
          </w:p>
        </w:tc>
        <w:tc>
          <w:tcPr>
            <w:tcW w:w="1276" w:type="dxa"/>
            <w:vAlign w:val="center"/>
          </w:tcPr>
          <w:p w14:paraId="058D212F">
            <w:pPr>
              <w:pStyle w:val="13"/>
            </w:pPr>
            <w:r>
              <w:t xml:space="preserve"> </w:t>
            </w:r>
          </w:p>
        </w:tc>
      </w:tr>
      <w:tr w14:paraId="30C42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B216E7"/>
        </w:tc>
        <w:tc>
          <w:tcPr>
            <w:tcW w:w="14033" w:type="dxa"/>
            <w:gridSpan w:val="6"/>
            <w:vAlign w:val="center"/>
          </w:tcPr>
          <w:p w14:paraId="146B2703">
            <w:pPr>
              <w:pStyle w:val="13"/>
            </w:pPr>
            <w:r>
              <w:t>为保证学校正常运转和改善办学条件。</w:t>
            </w:r>
          </w:p>
        </w:tc>
      </w:tr>
      <w:tr w14:paraId="53505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9F642">
            <w:pPr>
              <w:pStyle w:val="11"/>
            </w:pPr>
            <w:r>
              <w:t>资金支出计划（%）</w:t>
            </w:r>
          </w:p>
        </w:tc>
        <w:tc>
          <w:tcPr>
            <w:tcW w:w="5103" w:type="dxa"/>
            <w:gridSpan w:val="2"/>
            <w:vAlign w:val="center"/>
          </w:tcPr>
          <w:p w14:paraId="4F79F6ED">
            <w:pPr>
              <w:pStyle w:val="11"/>
            </w:pPr>
            <w:r>
              <w:t>3月底</w:t>
            </w:r>
          </w:p>
        </w:tc>
        <w:tc>
          <w:tcPr>
            <w:tcW w:w="2835" w:type="dxa"/>
            <w:vAlign w:val="center"/>
          </w:tcPr>
          <w:p w14:paraId="49030EB3">
            <w:pPr>
              <w:pStyle w:val="11"/>
            </w:pPr>
            <w:r>
              <w:t>6月底</w:t>
            </w:r>
          </w:p>
        </w:tc>
        <w:tc>
          <w:tcPr>
            <w:tcW w:w="2551" w:type="dxa"/>
            <w:vAlign w:val="center"/>
          </w:tcPr>
          <w:p w14:paraId="1CFF364D">
            <w:pPr>
              <w:pStyle w:val="11"/>
            </w:pPr>
            <w:r>
              <w:t>10月底</w:t>
            </w:r>
          </w:p>
        </w:tc>
        <w:tc>
          <w:tcPr>
            <w:tcW w:w="3544" w:type="dxa"/>
            <w:gridSpan w:val="2"/>
            <w:vAlign w:val="center"/>
          </w:tcPr>
          <w:p w14:paraId="36CF0DA7">
            <w:pPr>
              <w:pStyle w:val="11"/>
            </w:pPr>
            <w:r>
              <w:t>12月底</w:t>
            </w:r>
          </w:p>
        </w:tc>
      </w:tr>
      <w:tr w14:paraId="31E8A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E1F3BA"/>
        </w:tc>
        <w:tc>
          <w:tcPr>
            <w:tcW w:w="5103" w:type="dxa"/>
            <w:gridSpan w:val="2"/>
            <w:vAlign w:val="center"/>
          </w:tcPr>
          <w:p w14:paraId="5CE21066">
            <w:pPr>
              <w:pStyle w:val="12"/>
            </w:pPr>
            <w:r>
              <w:t>25%</w:t>
            </w:r>
          </w:p>
        </w:tc>
        <w:tc>
          <w:tcPr>
            <w:tcW w:w="2835" w:type="dxa"/>
            <w:vAlign w:val="center"/>
          </w:tcPr>
          <w:p w14:paraId="4309B800">
            <w:pPr>
              <w:pStyle w:val="12"/>
            </w:pPr>
            <w:r>
              <w:t>50%</w:t>
            </w:r>
          </w:p>
        </w:tc>
        <w:tc>
          <w:tcPr>
            <w:tcW w:w="2551" w:type="dxa"/>
            <w:vAlign w:val="center"/>
          </w:tcPr>
          <w:p w14:paraId="71249187">
            <w:pPr>
              <w:pStyle w:val="12"/>
            </w:pPr>
            <w:r>
              <w:t>75%</w:t>
            </w:r>
          </w:p>
        </w:tc>
        <w:tc>
          <w:tcPr>
            <w:tcW w:w="3544" w:type="dxa"/>
            <w:gridSpan w:val="2"/>
            <w:vAlign w:val="center"/>
          </w:tcPr>
          <w:p w14:paraId="0402D200">
            <w:pPr>
              <w:pStyle w:val="12"/>
            </w:pPr>
            <w:r>
              <w:t>100%</w:t>
            </w:r>
          </w:p>
        </w:tc>
      </w:tr>
      <w:tr w14:paraId="4BFB2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2BC740">
            <w:pPr>
              <w:pStyle w:val="11"/>
            </w:pPr>
            <w:r>
              <w:t>绩效目标</w:t>
            </w:r>
          </w:p>
        </w:tc>
        <w:tc>
          <w:tcPr>
            <w:tcW w:w="14033" w:type="dxa"/>
            <w:gridSpan w:val="6"/>
            <w:vAlign w:val="center"/>
          </w:tcPr>
          <w:p w14:paraId="0E19E75C">
            <w:pPr>
              <w:pStyle w:val="13"/>
            </w:pPr>
            <w:r>
              <w:t>1.按拨款序时进度完成经费拨付和支出。</w:t>
            </w:r>
          </w:p>
          <w:p w14:paraId="25A60F7B">
            <w:pPr>
              <w:pStyle w:val="13"/>
            </w:pPr>
            <w:r>
              <w:t>2.为保证学校正常运转和改善办学条件。</w:t>
            </w:r>
          </w:p>
        </w:tc>
      </w:tr>
    </w:tbl>
    <w:p w14:paraId="401151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AF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4E3E7">
            <w:pPr>
              <w:pStyle w:val="11"/>
            </w:pPr>
            <w:r>
              <w:t>一级指标</w:t>
            </w:r>
          </w:p>
        </w:tc>
        <w:tc>
          <w:tcPr>
            <w:tcW w:w="2268" w:type="dxa"/>
            <w:vAlign w:val="center"/>
          </w:tcPr>
          <w:p w14:paraId="7C510D2C">
            <w:pPr>
              <w:pStyle w:val="11"/>
            </w:pPr>
            <w:r>
              <w:t>二级指标</w:t>
            </w:r>
          </w:p>
        </w:tc>
        <w:tc>
          <w:tcPr>
            <w:tcW w:w="2835" w:type="dxa"/>
            <w:vAlign w:val="center"/>
          </w:tcPr>
          <w:p w14:paraId="2CA7FB74">
            <w:pPr>
              <w:pStyle w:val="11"/>
            </w:pPr>
            <w:r>
              <w:t>三级指标</w:t>
            </w:r>
          </w:p>
        </w:tc>
        <w:tc>
          <w:tcPr>
            <w:tcW w:w="5386" w:type="dxa"/>
            <w:vAlign w:val="center"/>
          </w:tcPr>
          <w:p w14:paraId="5BB9BF38">
            <w:pPr>
              <w:pStyle w:val="11"/>
            </w:pPr>
            <w:r>
              <w:t>绩效指标描述</w:t>
            </w:r>
          </w:p>
        </w:tc>
        <w:tc>
          <w:tcPr>
            <w:tcW w:w="2268" w:type="dxa"/>
            <w:vAlign w:val="center"/>
          </w:tcPr>
          <w:p w14:paraId="0840A16E">
            <w:pPr>
              <w:pStyle w:val="11"/>
            </w:pPr>
            <w:r>
              <w:t>指标值</w:t>
            </w:r>
          </w:p>
        </w:tc>
        <w:tc>
          <w:tcPr>
            <w:tcW w:w="1276" w:type="dxa"/>
            <w:vAlign w:val="center"/>
          </w:tcPr>
          <w:p w14:paraId="2A9D775B">
            <w:pPr>
              <w:pStyle w:val="11"/>
            </w:pPr>
            <w:r>
              <w:t>指标值确定依据</w:t>
            </w:r>
          </w:p>
        </w:tc>
      </w:tr>
      <w:tr w14:paraId="6DEC9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E0A79">
            <w:pPr>
              <w:pStyle w:val="12"/>
            </w:pPr>
            <w:r>
              <w:t>产出指标</w:t>
            </w:r>
          </w:p>
        </w:tc>
        <w:tc>
          <w:tcPr>
            <w:tcW w:w="2268" w:type="dxa"/>
            <w:vAlign w:val="center"/>
          </w:tcPr>
          <w:p w14:paraId="64D84260">
            <w:pPr>
              <w:pStyle w:val="13"/>
            </w:pPr>
            <w:r>
              <w:t>数量指标</w:t>
            </w:r>
          </w:p>
        </w:tc>
        <w:tc>
          <w:tcPr>
            <w:tcW w:w="2835" w:type="dxa"/>
            <w:vAlign w:val="center"/>
          </w:tcPr>
          <w:p w14:paraId="65814150">
            <w:pPr>
              <w:pStyle w:val="13"/>
            </w:pPr>
            <w:r>
              <w:t>就读学生数</w:t>
            </w:r>
          </w:p>
        </w:tc>
        <w:tc>
          <w:tcPr>
            <w:tcW w:w="5386" w:type="dxa"/>
            <w:vAlign w:val="center"/>
          </w:tcPr>
          <w:p w14:paraId="4F8CC350">
            <w:pPr>
              <w:pStyle w:val="13"/>
            </w:pPr>
            <w:r>
              <w:t>辐射区域内适龄学生人数</w:t>
            </w:r>
          </w:p>
        </w:tc>
        <w:tc>
          <w:tcPr>
            <w:tcW w:w="2268" w:type="dxa"/>
            <w:vAlign w:val="center"/>
          </w:tcPr>
          <w:p w14:paraId="709956FD">
            <w:pPr>
              <w:pStyle w:val="13"/>
            </w:pPr>
            <w:r>
              <w:t>383人</w:t>
            </w:r>
          </w:p>
        </w:tc>
        <w:tc>
          <w:tcPr>
            <w:tcW w:w="1276" w:type="dxa"/>
            <w:vAlign w:val="center"/>
          </w:tcPr>
          <w:p w14:paraId="74A2C893">
            <w:pPr>
              <w:pStyle w:val="13"/>
            </w:pPr>
            <w:r>
              <w:t>城乡义务教育公用经费管理办法</w:t>
            </w:r>
          </w:p>
        </w:tc>
      </w:tr>
      <w:tr w14:paraId="439CC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D144"/>
        </w:tc>
        <w:tc>
          <w:tcPr>
            <w:tcW w:w="2268" w:type="dxa"/>
            <w:vAlign w:val="center"/>
          </w:tcPr>
          <w:p w14:paraId="2DE27C2C">
            <w:pPr>
              <w:pStyle w:val="13"/>
            </w:pPr>
            <w:r>
              <w:t>质量指标</w:t>
            </w:r>
          </w:p>
        </w:tc>
        <w:tc>
          <w:tcPr>
            <w:tcW w:w="2835" w:type="dxa"/>
            <w:vAlign w:val="center"/>
          </w:tcPr>
          <w:p w14:paraId="761E1867">
            <w:pPr>
              <w:pStyle w:val="13"/>
            </w:pPr>
            <w:r>
              <w:t>预算执行率</w:t>
            </w:r>
          </w:p>
        </w:tc>
        <w:tc>
          <w:tcPr>
            <w:tcW w:w="5386" w:type="dxa"/>
            <w:vAlign w:val="center"/>
          </w:tcPr>
          <w:p w14:paraId="4D57F802">
            <w:pPr>
              <w:pStyle w:val="13"/>
            </w:pPr>
            <w:r>
              <w:t>预算执行率≥98%</w:t>
            </w:r>
          </w:p>
        </w:tc>
        <w:tc>
          <w:tcPr>
            <w:tcW w:w="2268" w:type="dxa"/>
            <w:vAlign w:val="center"/>
          </w:tcPr>
          <w:p w14:paraId="64C6EB8A">
            <w:pPr>
              <w:pStyle w:val="13"/>
            </w:pPr>
            <w:r>
              <w:t>≥98%</w:t>
            </w:r>
          </w:p>
        </w:tc>
        <w:tc>
          <w:tcPr>
            <w:tcW w:w="1276" w:type="dxa"/>
            <w:vAlign w:val="center"/>
          </w:tcPr>
          <w:p w14:paraId="5E90AF33">
            <w:pPr>
              <w:pStyle w:val="13"/>
            </w:pPr>
            <w:r>
              <w:t>城乡义务教育公用经费管理办法</w:t>
            </w:r>
          </w:p>
        </w:tc>
      </w:tr>
      <w:tr w14:paraId="6757C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FAED6"/>
        </w:tc>
        <w:tc>
          <w:tcPr>
            <w:tcW w:w="2268" w:type="dxa"/>
            <w:vAlign w:val="center"/>
          </w:tcPr>
          <w:p w14:paraId="69918E9F">
            <w:pPr>
              <w:pStyle w:val="13"/>
            </w:pPr>
            <w:r>
              <w:t>时效指标</w:t>
            </w:r>
          </w:p>
        </w:tc>
        <w:tc>
          <w:tcPr>
            <w:tcW w:w="2835" w:type="dxa"/>
            <w:vAlign w:val="center"/>
          </w:tcPr>
          <w:p w14:paraId="189822C0">
            <w:pPr>
              <w:pStyle w:val="13"/>
            </w:pPr>
            <w:r>
              <w:t>义教经费支付完成率</w:t>
            </w:r>
          </w:p>
        </w:tc>
        <w:tc>
          <w:tcPr>
            <w:tcW w:w="5386" w:type="dxa"/>
            <w:vAlign w:val="center"/>
          </w:tcPr>
          <w:p w14:paraId="76E9D044">
            <w:pPr>
              <w:pStyle w:val="13"/>
            </w:pPr>
            <w:r>
              <w:t>按照序时进度完成资金支付</w:t>
            </w:r>
          </w:p>
        </w:tc>
        <w:tc>
          <w:tcPr>
            <w:tcW w:w="2268" w:type="dxa"/>
            <w:vAlign w:val="center"/>
          </w:tcPr>
          <w:p w14:paraId="3A6878B3">
            <w:pPr>
              <w:pStyle w:val="13"/>
            </w:pPr>
            <w:r>
              <w:t>≥100%</w:t>
            </w:r>
          </w:p>
        </w:tc>
        <w:tc>
          <w:tcPr>
            <w:tcW w:w="1276" w:type="dxa"/>
            <w:vAlign w:val="center"/>
          </w:tcPr>
          <w:p w14:paraId="7A4A0B67">
            <w:pPr>
              <w:pStyle w:val="13"/>
            </w:pPr>
            <w:r>
              <w:t>城乡义务教育公用经费管理办法</w:t>
            </w:r>
          </w:p>
        </w:tc>
      </w:tr>
      <w:tr w14:paraId="59377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1025E"/>
        </w:tc>
        <w:tc>
          <w:tcPr>
            <w:tcW w:w="2268" w:type="dxa"/>
            <w:vAlign w:val="center"/>
          </w:tcPr>
          <w:p w14:paraId="131891AE">
            <w:pPr>
              <w:pStyle w:val="13"/>
            </w:pPr>
            <w:r>
              <w:t>成本指标</w:t>
            </w:r>
          </w:p>
        </w:tc>
        <w:tc>
          <w:tcPr>
            <w:tcW w:w="2835" w:type="dxa"/>
            <w:vAlign w:val="center"/>
          </w:tcPr>
          <w:p w14:paraId="3995E3AF">
            <w:pPr>
              <w:pStyle w:val="13"/>
            </w:pPr>
            <w:r>
              <w:t>生均拨款标准</w:t>
            </w:r>
          </w:p>
        </w:tc>
        <w:tc>
          <w:tcPr>
            <w:tcW w:w="5386" w:type="dxa"/>
            <w:vAlign w:val="center"/>
          </w:tcPr>
          <w:p w14:paraId="273A9D1F">
            <w:pPr>
              <w:pStyle w:val="13"/>
            </w:pPr>
            <w:r>
              <w:t>小学生公用经费生均小学720元，取暖费120元/生/年，随班就读学生补助7000元/生</w:t>
            </w:r>
          </w:p>
        </w:tc>
        <w:tc>
          <w:tcPr>
            <w:tcW w:w="2268" w:type="dxa"/>
            <w:vAlign w:val="center"/>
          </w:tcPr>
          <w:p w14:paraId="7D829753">
            <w:pPr>
              <w:pStyle w:val="13"/>
            </w:pPr>
            <w:r>
              <w:t>≥840元</w:t>
            </w:r>
          </w:p>
        </w:tc>
        <w:tc>
          <w:tcPr>
            <w:tcW w:w="1276" w:type="dxa"/>
            <w:vAlign w:val="center"/>
          </w:tcPr>
          <w:p w14:paraId="351EFDB4">
            <w:pPr>
              <w:pStyle w:val="13"/>
            </w:pPr>
            <w:r>
              <w:t>城乡义务教育公用经费管理办法</w:t>
            </w:r>
          </w:p>
        </w:tc>
      </w:tr>
      <w:tr w14:paraId="062EB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66D665">
            <w:pPr>
              <w:pStyle w:val="12"/>
            </w:pPr>
            <w:r>
              <w:t>效益指标</w:t>
            </w:r>
          </w:p>
        </w:tc>
        <w:tc>
          <w:tcPr>
            <w:tcW w:w="2268" w:type="dxa"/>
            <w:vAlign w:val="center"/>
          </w:tcPr>
          <w:p w14:paraId="7F938143">
            <w:pPr>
              <w:pStyle w:val="13"/>
            </w:pPr>
            <w:r>
              <w:t>社会效益指标</w:t>
            </w:r>
          </w:p>
        </w:tc>
        <w:tc>
          <w:tcPr>
            <w:tcW w:w="2835" w:type="dxa"/>
            <w:vAlign w:val="center"/>
          </w:tcPr>
          <w:p w14:paraId="1492120A">
            <w:pPr>
              <w:pStyle w:val="13"/>
            </w:pPr>
            <w:r>
              <w:t>学校运转得到提高</w:t>
            </w:r>
          </w:p>
        </w:tc>
        <w:tc>
          <w:tcPr>
            <w:tcW w:w="5386" w:type="dxa"/>
            <w:vAlign w:val="center"/>
          </w:tcPr>
          <w:p w14:paraId="0F4B962C">
            <w:pPr>
              <w:pStyle w:val="13"/>
            </w:pPr>
            <w:r>
              <w:t>学生受教育年限</w:t>
            </w:r>
          </w:p>
        </w:tc>
        <w:tc>
          <w:tcPr>
            <w:tcW w:w="2268" w:type="dxa"/>
            <w:vAlign w:val="center"/>
          </w:tcPr>
          <w:p w14:paraId="6B92E4FF">
            <w:pPr>
              <w:pStyle w:val="13"/>
            </w:pPr>
            <w:r>
              <w:t>6年</w:t>
            </w:r>
          </w:p>
        </w:tc>
        <w:tc>
          <w:tcPr>
            <w:tcW w:w="1276" w:type="dxa"/>
            <w:vAlign w:val="center"/>
          </w:tcPr>
          <w:p w14:paraId="5D357A27">
            <w:pPr>
              <w:pStyle w:val="13"/>
            </w:pPr>
            <w:r>
              <w:t>城乡义务教育公用经费管理办法</w:t>
            </w:r>
          </w:p>
        </w:tc>
      </w:tr>
      <w:tr w14:paraId="177BA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E20EA3">
            <w:pPr>
              <w:pStyle w:val="12"/>
            </w:pPr>
            <w:r>
              <w:t>满意度指标</w:t>
            </w:r>
          </w:p>
        </w:tc>
        <w:tc>
          <w:tcPr>
            <w:tcW w:w="2268" w:type="dxa"/>
            <w:vAlign w:val="center"/>
          </w:tcPr>
          <w:p w14:paraId="7FB46F2E">
            <w:pPr>
              <w:pStyle w:val="13"/>
            </w:pPr>
            <w:r>
              <w:t>服务对象满意度指标</w:t>
            </w:r>
          </w:p>
        </w:tc>
        <w:tc>
          <w:tcPr>
            <w:tcW w:w="2835" w:type="dxa"/>
            <w:vAlign w:val="center"/>
          </w:tcPr>
          <w:p w14:paraId="2E8E1E6F">
            <w:pPr>
              <w:pStyle w:val="13"/>
            </w:pPr>
            <w:r>
              <w:t>服务对象满意度</w:t>
            </w:r>
          </w:p>
        </w:tc>
        <w:tc>
          <w:tcPr>
            <w:tcW w:w="5386" w:type="dxa"/>
            <w:vAlign w:val="center"/>
          </w:tcPr>
          <w:p w14:paraId="3CA1648B">
            <w:pPr>
              <w:pStyle w:val="13"/>
            </w:pPr>
            <w:r>
              <w:t>学校老师和学生满意度</w:t>
            </w:r>
          </w:p>
        </w:tc>
        <w:tc>
          <w:tcPr>
            <w:tcW w:w="2268" w:type="dxa"/>
            <w:vAlign w:val="center"/>
          </w:tcPr>
          <w:p w14:paraId="6BCE75F7">
            <w:pPr>
              <w:pStyle w:val="13"/>
            </w:pPr>
            <w:r>
              <w:t>≥95%</w:t>
            </w:r>
          </w:p>
        </w:tc>
        <w:tc>
          <w:tcPr>
            <w:tcW w:w="1276" w:type="dxa"/>
            <w:vAlign w:val="center"/>
          </w:tcPr>
          <w:p w14:paraId="5B11B12C">
            <w:pPr>
              <w:pStyle w:val="13"/>
            </w:pPr>
            <w:r>
              <w:t>城乡义务教育公用经费管理办法</w:t>
            </w:r>
          </w:p>
        </w:tc>
      </w:tr>
    </w:tbl>
    <w:p w14:paraId="694E78BE">
      <w:pPr>
        <w:sectPr>
          <w:pgSz w:w="16840" w:h="11900" w:orient="landscape"/>
          <w:pgMar w:top="1361" w:right="1020" w:bottom="1134" w:left="1020" w:header="720" w:footer="720" w:gutter="0"/>
          <w:cols w:space="720" w:num="1"/>
        </w:sectPr>
      </w:pPr>
    </w:p>
    <w:p w14:paraId="7C2C203E">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4、冀财教[2024]123号/中央/2025年义教补助经费/千户营小学公用经费绩效目标表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54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5DA55">
            <w:pPr>
              <w:pStyle w:val="14"/>
            </w:pPr>
            <w:r>
              <w:t>单位：万元</w:t>
            </w:r>
          </w:p>
        </w:tc>
      </w:tr>
      <w:tr w14:paraId="1DF5D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AFE8D5">
            <w:pPr>
              <w:pStyle w:val="11"/>
            </w:pPr>
            <w:r>
              <w:t>项目编码</w:t>
            </w:r>
          </w:p>
        </w:tc>
        <w:tc>
          <w:tcPr>
            <w:tcW w:w="5103" w:type="dxa"/>
            <w:gridSpan w:val="2"/>
            <w:vAlign w:val="center"/>
          </w:tcPr>
          <w:p w14:paraId="162BE3A9">
            <w:pPr>
              <w:pStyle w:val="13"/>
            </w:pPr>
            <w:r>
              <w:t>13052525P000004101105</w:t>
            </w:r>
          </w:p>
        </w:tc>
        <w:tc>
          <w:tcPr>
            <w:tcW w:w="2835" w:type="dxa"/>
            <w:vAlign w:val="center"/>
          </w:tcPr>
          <w:p w14:paraId="0F3B00E1">
            <w:pPr>
              <w:pStyle w:val="11"/>
            </w:pPr>
            <w:r>
              <w:t>项目名称</w:t>
            </w:r>
          </w:p>
        </w:tc>
        <w:tc>
          <w:tcPr>
            <w:tcW w:w="6095" w:type="dxa"/>
            <w:gridSpan w:val="3"/>
            <w:vAlign w:val="center"/>
          </w:tcPr>
          <w:p w14:paraId="754523E8">
            <w:pPr>
              <w:pStyle w:val="13"/>
            </w:pPr>
            <w:r>
              <w:t>冀财教[2024]123号/中央/2025年义教补助经费/千户营小学公用经费</w:t>
            </w:r>
          </w:p>
        </w:tc>
      </w:tr>
      <w:tr w14:paraId="51753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69775">
            <w:pPr>
              <w:pStyle w:val="11"/>
            </w:pPr>
            <w:r>
              <w:t>预算规模及资金用途</w:t>
            </w:r>
          </w:p>
        </w:tc>
        <w:tc>
          <w:tcPr>
            <w:tcW w:w="2268" w:type="dxa"/>
            <w:vAlign w:val="center"/>
          </w:tcPr>
          <w:p w14:paraId="2FE35F1F">
            <w:pPr>
              <w:pStyle w:val="11"/>
            </w:pPr>
            <w:r>
              <w:t>预算数</w:t>
            </w:r>
          </w:p>
        </w:tc>
        <w:tc>
          <w:tcPr>
            <w:tcW w:w="2835" w:type="dxa"/>
            <w:vAlign w:val="center"/>
          </w:tcPr>
          <w:p w14:paraId="03481B83">
            <w:pPr>
              <w:pStyle w:val="13"/>
            </w:pPr>
            <w:r>
              <w:t>70.19</w:t>
            </w:r>
          </w:p>
        </w:tc>
        <w:tc>
          <w:tcPr>
            <w:tcW w:w="2835" w:type="dxa"/>
            <w:vAlign w:val="center"/>
          </w:tcPr>
          <w:p w14:paraId="088BCEDF">
            <w:pPr>
              <w:pStyle w:val="11"/>
            </w:pPr>
            <w:r>
              <w:t>其中：财政    资金</w:t>
            </w:r>
          </w:p>
        </w:tc>
        <w:tc>
          <w:tcPr>
            <w:tcW w:w="2551" w:type="dxa"/>
            <w:vAlign w:val="center"/>
          </w:tcPr>
          <w:p w14:paraId="5D6DF82B">
            <w:pPr>
              <w:pStyle w:val="13"/>
            </w:pPr>
            <w:r>
              <w:t>70.19</w:t>
            </w:r>
          </w:p>
        </w:tc>
        <w:tc>
          <w:tcPr>
            <w:tcW w:w="2268" w:type="dxa"/>
            <w:vAlign w:val="center"/>
          </w:tcPr>
          <w:p w14:paraId="375BB5AD">
            <w:pPr>
              <w:pStyle w:val="11"/>
            </w:pPr>
            <w:r>
              <w:t>其他资金</w:t>
            </w:r>
          </w:p>
        </w:tc>
        <w:tc>
          <w:tcPr>
            <w:tcW w:w="1276" w:type="dxa"/>
            <w:vAlign w:val="center"/>
          </w:tcPr>
          <w:p w14:paraId="0EE673F5">
            <w:pPr>
              <w:pStyle w:val="13"/>
            </w:pPr>
            <w:r>
              <w:t xml:space="preserve"> </w:t>
            </w:r>
          </w:p>
        </w:tc>
      </w:tr>
      <w:tr w14:paraId="56219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0AFB85"/>
        </w:tc>
        <w:tc>
          <w:tcPr>
            <w:tcW w:w="14033" w:type="dxa"/>
            <w:gridSpan w:val="6"/>
            <w:vAlign w:val="center"/>
          </w:tcPr>
          <w:p w14:paraId="3048D279">
            <w:pPr>
              <w:pStyle w:val="13"/>
            </w:pPr>
            <w:r>
              <w:t>为保证学校正常运转和改善办学条件。</w:t>
            </w:r>
          </w:p>
        </w:tc>
      </w:tr>
      <w:tr w14:paraId="1B169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CC393">
            <w:pPr>
              <w:pStyle w:val="11"/>
            </w:pPr>
            <w:r>
              <w:t>资金支出计划（%）</w:t>
            </w:r>
          </w:p>
        </w:tc>
        <w:tc>
          <w:tcPr>
            <w:tcW w:w="5103" w:type="dxa"/>
            <w:gridSpan w:val="2"/>
            <w:vAlign w:val="center"/>
          </w:tcPr>
          <w:p w14:paraId="23498E79">
            <w:pPr>
              <w:pStyle w:val="11"/>
            </w:pPr>
            <w:r>
              <w:t>3月底</w:t>
            </w:r>
          </w:p>
        </w:tc>
        <w:tc>
          <w:tcPr>
            <w:tcW w:w="2835" w:type="dxa"/>
            <w:vAlign w:val="center"/>
          </w:tcPr>
          <w:p w14:paraId="71A96D0C">
            <w:pPr>
              <w:pStyle w:val="11"/>
            </w:pPr>
            <w:r>
              <w:t>6月底</w:t>
            </w:r>
          </w:p>
        </w:tc>
        <w:tc>
          <w:tcPr>
            <w:tcW w:w="2551" w:type="dxa"/>
            <w:vAlign w:val="center"/>
          </w:tcPr>
          <w:p w14:paraId="0EE22876">
            <w:pPr>
              <w:pStyle w:val="11"/>
            </w:pPr>
            <w:r>
              <w:t>10月底</w:t>
            </w:r>
          </w:p>
        </w:tc>
        <w:tc>
          <w:tcPr>
            <w:tcW w:w="3544" w:type="dxa"/>
            <w:gridSpan w:val="2"/>
            <w:vAlign w:val="center"/>
          </w:tcPr>
          <w:p w14:paraId="14BFA9C2">
            <w:pPr>
              <w:pStyle w:val="11"/>
            </w:pPr>
            <w:r>
              <w:t>12月底</w:t>
            </w:r>
          </w:p>
        </w:tc>
      </w:tr>
      <w:tr w14:paraId="15D77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88003C"/>
        </w:tc>
        <w:tc>
          <w:tcPr>
            <w:tcW w:w="5103" w:type="dxa"/>
            <w:gridSpan w:val="2"/>
            <w:vAlign w:val="center"/>
          </w:tcPr>
          <w:p w14:paraId="2F0FAA3B">
            <w:pPr>
              <w:pStyle w:val="12"/>
            </w:pPr>
            <w:r>
              <w:t>25%</w:t>
            </w:r>
          </w:p>
        </w:tc>
        <w:tc>
          <w:tcPr>
            <w:tcW w:w="2835" w:type="dxa"/>
            <w:vAlign w:val="center"/>
          </w:tcPr>
          <w:p w14:paraId="29C0DC7F">
            <w:pPr>
              <w:pStyle w:val="12"/>
            </w:pPr>
            <w:r>
              <w:t>50%</w:t>
            </w:r>
          </w:p>
        </w:tc>
        <w:tc>
          <w:tcPr>
            <w:tcW w:w="2551" w:type="dxa"/>
            <w:vAlign w:val="center"/>
          </w:tcPr>
          <w:p w14:paraId="4F2FF3B1">
            <w:pPr>
              <w:pStyle w:val="12"/>
            </w:pPr>
            <w:r>
              <w:t>75%</w:t>
            </w:r>
          </w:p>
        </w:tc>
        <w:tc>
          <w:tcPr>
            <w:tcW w:w="3544" w:type="dxa"/>
            <w:gridSpan w:val="2"/>
            <w:vAlign w:val="center"/>
          </w:tcPr>
          <w:p w14:paraId="4ADC282F">
            <w:pPr>
              <w:pStyle w:val="12"/>
            </w:pPr>
            <w:r>
              <w:t>100%</w:t>
            </w:r>
          </w:p>
        </w:tc>
      </w:tr>
      <w:tr w14:paraId="7BDB2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BCAE9">
            <w:pPr>
              <w:pStyle w:val="11"/>
            </w:pPr>
            <w:r>
              <w:t>绩效目标</w:t>
            </w:r>
          </w:p>
        </w:tc>
        <w:tc>
          <w:tcPr>
            <w:tcW w:w="14033" w:type="dxa"/>
            <w:gridSpan w:val="6"/>
            <w:vAlign w:val="center"/>
          </w:tcPr>
          <w:p w14:paraId="2D0F6C61">
            <w:pPr>
              <w:pStyle w:val="13"/>
            </w:pPr>
            <w:r>
              <w:t>1.按拨款序时进度完成经费拨付和支出。</w:t>
            </w:r>
          </w:p>
          <w:p w14:paraId="32667367">
            <w:pPr>
              <w:pStyle w:val="13"/>
            </w:pPr>
            <w:r>
              <w:t>2.为保证学校正常运转和改善办学条件。</w:t>
            </w:r>
          </w:p>
        </w:tc>
      </w:tr>
    </w:tbl>
    <w:p w14:paraId="5132C5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B7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137E9">
            <w:pPr>
              <w:pStyle w:val="11"/>
            </w:pPr>
            <w:r>
              <w:t>一级指标</w:t>
            </w:r>
          </w:p>
        </w:tc>
        <w:tc>
          <w:tcPr>
            <w:tcW w:w="2268" w:type="dxa"/>
            <w:vAlign w:val="center"/>
          </w:tcPr>
          <w:p w14:paraId="746CAADF">
            <w:pPr>
              <w:pStyle w:val="11"/>
            </w:pPr>
            <w:r>
              <w:t>二级指标</w:t>
            </w:r>
          </w:p>
        </w:tc>
        <w:tc>
          <w:tcPr>
            <w:tcW w:w="2835" w:type="dxa"/>
            <w:vAlign w:val="center"/>
          </w:tcPr>
          <w:p w14:paraId="4302A02E">
            <w:pPr>
              <w:pStyle w:val="11"/>
            </w:pPr>
            <w:r>
              <w:t>三级指标</w:t>
            </w:r>
          </w:p>
        </w:tc>
        <w:tc>
          <w:tcPr>
            <w:tcW w:w="5386" w:type="dxa"/>
            <w:vAlign w:val="center"/>
          </w:tcPr>
          <w:p w14:paraId="33E43AC3">
            <w:pPr>
              <w:pStyle w:val="11"/>
            </w:pPr>
            <w:r>
              <w:t>绩效指标描述</w:t>
            </w:r>
          </w:p>
        </w:tc>
        <w:tc>
          <w:tcPr>
            <w:tcW w:w="2268" w:type="dxa"/>
            <w:vAlign w:val="center"/>
          </w:tcPr>
          <w:p w14:paraId="05891346">
            <w:pPr>
              <w:pStyle w:val="11"/>
            </w:pPr>
            <w:r>
              <w:t>指标值</w:t>
            </w:r>
          </w:p>
        </w:tc>
        <w:tc>
          <w:tcPr>
            <w:tcW w:w="1276" w:type="dxa"/>
            <w:vAlign w:val="center"/>
          </w:tcPr>
          <w:p w14:paraId="1071F9AF">
            <w:pPr>
              <w:pStyle w:val="11"/>
            </w:pPr>
            <w:r>
              <w:t>指标值确定依据</w:t>
            </w:r>
          </w:p>
        </w:tc>
      </w:tr>
      <w:tr w14:paraId="3612B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47B91">
            <w:pPr>
              <w:pStyle w:val="12"/>
            </w:pPr>
            <w:r>
              <w:t>产出指标</w:t>
            </w:r>
          </w:p>
        </w:tc>
        <w:tc>
          <w:tcPr>
            <w:tcW w:w="2268" w:type="dxa"/>
            <w:vAlign w:val="center"/>
          </w:tcPr>
          <w:p w14:paraId="5BD46164">
            <w:pPr>
              <w:pStyle w:val="13"/>
            </w:pPr>
            <w:r>
              <w:t>数量指标</w:t>
            </w:r>
          </w:p>
        </w:tc>
        <w:tc>
          <w:tcPr>
            <w:tcW w:w="2835" w:type="dxa"/>
            <w:vAlign w:val="center"/>
          </w:tcPr>
          <w:p w14:paraId="36ACA4D0">
            <w:pPr>
              <w:pStyle w:val="13"/>
            </w:pPr>
            <w:r>
              <w:t>就读学生数</w:t>
            </w:r>
          </w:p>
        </w:tc>
        <w:tc>
          <w:tcPr>
            <w:tcW w:w="5386" w:type="dxa"/>
            <w:vAlign w:val="center"/>
          </w:tcPr>
          <w:p w14:paraId="3A1B1469">
            <w:pPr>
              <w:pStyle w:val="13"/>
            </w:pPr>
            <w:r>
              <w:t>辐射区域内适龄学生人数</w:t>
            </w:r>
          </w:p>
        </w:tc>
        <w:tc>
          <w:tcPr>
            <w:tcW w:w="2268" w:type="dxa"/>
            <w:vAlign w:val="center"/>
          </w:tcPr>
          <w:p w14:paraId="47716717">
            <w:pPr>
              <w:pStyle w:val="13"/>
            </w:pPr>
            <w:r>
              <w:t>976人</w:t>
            </w:r>
          </w:p>
        </w:tc>
        <w:tc>
          <w:tcPr>
            <w:tcW w:w="1276" w:type="dxa"/>
            <w:vAlign w:val="center"/>
          </w:tcPr>
          <w:p w14:paraId="05575B37">
            <w:pPr>
              <w:pStyle w:val="13"/>
            </w:pPr>
            <w:r>
              <w:t>城乡义务教育公用经费管理办法</w:t>
            </w:r>
          </w:p>
        </w:tc>
      </w:tr>
      <w:tr w14:paraId="605E8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627CE"/>
        </w:tc>
        <w:tc>
          <w:tcPr>
            <w:tcW w:w="2268" w:type="dxa"/>
            <w:vAlign w:val="center"/>
          </w:tcPr>
          <w:p w14:paraId="4FF40DA9">
            <w:pPr>
              <w:pStyle w:val="13"/>
            </w:pPr>
            <w:r>
              <w:t>质量指标</w:t>
            </w:r>
          </w:p>
        </w:tc>
        <w:tc>
          <w:tcPr>
            <w:tcW w:w="2835" w:type="dxa"/>
            <w:vAlign w:val="center"/>
          </w:tcPr>
          <w:p w14:paraId="3D19AC8E">
            <w:pPr>
              <w:pStyle w:val="13"/>
            </w:pPr>
            <w:r>
              <w:t>预算执行率</w:t>
            </w:r>
          </w:p>
        </w:tc>
        <w:tc>
          <w:tcPr>
            <w:tcW w:w="5386" w:type="dxa"/>
            <w:vAlign w:val="center"/>
          </w:tcPr>
          <w:p w14:paraId="78997B51">
            <w:pPr>
              <w:pStyle w:val="13"/>
            </w:pPr>
            <w:r>
              <w:t>预算执行率≥98%</w:t>
            </w:r>
          </w:p>
        </w:tc>
        <w:tc>
          <w:tcPr>
            <w:tcW w:w="2268" w:type="dxa"/>
            <w:vAlign w:val="center"/>
          </w:tcPr>
          <w:p w14:paraId="096ACDB4">
            <w:pPr>
              <w:pStyle w:val="13"/>
            </w:pPr>
            <w:r>
              <w:t>≥98%</w:t>
            </w:r>
          </w:p>
        </w:tc>
        <w:tc>
          <w:tcPr>
            <w:tcW w:w="1276" w:type="dxa"/>
            <w:vAlign w:val="center"/>
          </w:tcPr>
          <w:p w14:paraId="251C607E">
            <w:pPr>
              <w:pStyle w:val="13"/>
            </w:pPr>
            <w:r>
              <w:t>城乡义务教育公用经费管理办法</w:t>
            </w:r>
          </w:p>
        </w:tc>
      </w:tr>
      <w:tr w14:paraId="22D81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18B04"/>
        </w:tc>
        <w:tc>
          <w:tcPr>
            <w:tcW w:w="2268" w:type="dxa"/>
            <w:vAlign w:val="center"/>
          </w:tcPr>
          <w:p w14:paraId="52C90A77">
            <w:pPr>
              <w:pStyle w:val="13"/>
            </w:pPr>
            <w:r>
              <w:t>时效指标</w:t>
            </w:r>
          </w:p>
        </w:tc>
        <w:tc>
          <w:tcPr>
            <w:tcW w:w="2835" w:type="dxa"/>
            <w:vAlign w:val="center"/>
          </w:tcPr>
          <w:p w14:paraId="0D08124B">
            <w:pPr>
              <w:pStyle w:val="13"/>
            </w:pPr>
            <w:r>
              <w:t>义教经费支付完成率</w:t>
            </w:r>
          </w:p>
        </w:tc>
        <w:tc>
          <w:tcPr>
            <w:tcW w:w="5386" w:type="dxa"/>
            <w:vAlign w:val="center"/>
          </w:tcPr>
          <w:p w14:paraId="49060BF8">
            <w:pPr>
              <w:pStyle w:val="13"/>
            </w:pPr>
            <w:r>
              <w:t>按照序时进度完成资金支付</w:t>
            </w:r>
          </w:p>
        </w:tc>
        <w:tc>
          <w:tcPr>
            <w:tcW w:w="2268" w:type="dxa"/>
            <w:vAlign w:val="center"/>
          </w:tcPr>
          <w:p w14:paraId="17A3313E">
            <w:pPr>
              <w:pStyle w:val="13"/>
            </w:pPr>
            <w:r>
              <w:t>≥100%</w:t>
            </w:r>
          </w:p>
        </w:tc>
        <w:tc>
          <w:tcPr>
            <w:tcW w:w="1276" w:type="dxa"/>
            <w:vAlign w:val="center"/>
          </w:tcPr>
          <w:p w14:paraId="0616F8FA">
            <w:pPr>
              <w:pStyle w:val="13"/>
            </w:pPr>
            <w:r>
              <w:t>城乡义务教育公用经费管理办法</w:t>
            </w:r>
          </w:p>
        </w:tc>
      </w:tr>
      <w:tr w14:paraId="18E67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CFD1B"/>
        </w:tc>
        <w:tc>
          <w:tcPr>
            <w:tcW w:w="2268" w:type="dxa"/>
            <w:vAlign w:val="center"/>
          </w:tcPr>
          <w:p w14:paraId="53ADBBD2">
            <w:pPr>
              <w:pStyle w:val="13"/>
            </w:pPr>
            <w:r>
              <w:t>成本指标</w:t>
            </w:r>
          </w:p>
        </w:tc>
        <w:tc>
          <w:tcPr>
            <w:tcW w:w="2835" w:type="dxa"/>
            <w:vAlign w:val="center"/>
          </w:tcPr>
          <w:p w14:paraId="3BDCBF51">
            <w:pPr>
              <w:pStyle w:val="13"/>
            </w:pPr>
            <w:r>
              <w:t>生均拨款标准</w:t>
            </w:r>
          </w:p>
        </w:tc>
        <w:tc>
          <w:tcPr>
            <w:tcW w:w="5386" w:type="dxa"/>
            <w:vAlign w:val="center"/>
          </w:tcPr>
          <w:p w14:paraId="75F46A94">
            <w:pPr>
              <w:pStyle w:val="13"/>
            </w:pPr>
            <w:r>
              <w:t>小学生公用经费生均小学720元，取暖费120元/生/年，随班就读学生补助7000元/生</w:t>
            </w:r>
          </w:p>
        </w:tc>
        <w:tc>
          <w:tcPr>
            <w:tcW w:w="2268" w:type="dxa"/>
            <w:vAlign w:val="center"/>
          </w:tcPr>
          <w:p w14:paraId="58AC2CA4">
            <w:pPr>
              <w:pStyle w:val="13"/>
            </w:pPr>
            <w:r>
              <w:t>≥840元</w:t>
            </w:r>
          </w:p>
        </w:tc>
        <w:tc>
          <w:tcPr>
            <w:tcW w:w="1276" w:type="dxa"/>
            <w:vAlign w:val="center"/>
          </w:tcPr>
          <w:p w14:paraId="55EB28F4">
            <w:pPr>
              <w:pStyle w:val="13"/>
            </w:pPr>
            <w:r>
              <w:t>城乡义务教育公用经费管理办法</w:t>
            </w:r>
          </w:p>
        </w:tc>
      </w:tr>
      <w:tr w14:paraId="2A20C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7805F2">
            <w:pPr>
              <w:pStyle w:val="12"/>
            </w:pPr>
            <w:r>
              <w:t>效益指标</w:t>
            </w:r>
          </w:p>
        </w:tc>
        <w:tc>
          <w:tcPr>
            <w:tcW w:w="2268" w:type="dxa"/>
            <w:vAlign w:val="center"/>
          </w:tcPr>
          <w:p w14:paraId="1ADC3801">
            <w:pPr>
              <w:pStyle w:val="13"/>
            </w:pPr>
            <w:r>
              <w:t>社会效益指标</w:t>
            </w:r>
          </w:p>
        </w:tc>
        <w:tc>
          <w:tcPr>
            <w:tcW w:w="2835" w:type="dxa"/>
            <w:vAlign w:val="center"/>
          </w:tcPr>
          <w:p w14:paraId="01355DA4">
            <w:pPr>
              <w:pStyle w:val="13"/>
            </w:pPr>
            <w:r>
              <w:t>学校运转得到提高</w:t>
            </w:r>
          </w:p>
        </w:tc>
        <w:tc>
          <w:tcPr>
            <w:tcW w:w="5386" w:type="dxa"/>
            <w:vAlign w:val="center"/>
          </w:tcPr>
          <w:p w14:paraId="23366F58">
            <w:pPr>
              <w:pStyle w:val="13"/>
            </w:pPr>
            <w:r>
              <w:t>学生受教育年限</w:t>
            </w:r>
          </w:p>
        </w:tc>
        <w:tc>
          <w:tcPr>
            <w:tcW w:w="2268" w:type="dxa"/>
            <w:vAlign w:val="center"/>
          </w:tcPr>
          <w:p w14:paraId="63391759">
            <w:pPr>
              <w:pStyle w:val="13"/>
            </w:pPr>
            <w:r>
              <w:t>6年</w:t>
            </w:r>
          </w:p>
        </w:tc>
        <w:tc>
          <w:tcPr>
            <w:tcW w:w="1276" w:type="dxa"/>
            <w:vAlign w:val="center"/>
          </w:tcPr>
          <w:p w14:paraId="33C5BD5C">
            <w:pPr>
              <w:pStyle w:val="13"/>
            </w:pPr>
            <w:r>
              <w:t>城乡义务教育公用经费管理办法</w:t>
            </w:r>
          </w:p>
        </w:tc>
      </w:tr>
      <w:tr w14:paraId="3836B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735AAF">
            <w:pPr>
              <w:pStyle w:val="12"/>
            </w:pPr>
            <w:r>
              <w:t>满意度指标</w:t>
            </w:r>
          </w:p>
        </w:tc>
        <w:tc>
          <w:tcPr>
            <w:tcW w:w="2268" w:type="dxa"/>
            <w:vAlign w:val="center"/>
          </w:tcPr>
          <w:p w14:paraId="042D9930">
            <w:pPr>
              <w:pStyle w:val="13"/>
            </w:pPr>
            <w:r>
              <w:t>服务对象满意度指标</w:t>
            </w:r>
          </w:p>
        </w:tc>
        <w:tc>
          <w:tcPr>
            <w:tcW w:w="2835" w:type="dxa"/>
            <w:vAlign w:val="center"/>
          </w:tcPr>
          <w:p w14:paraId="585F06E0">
            <w:pPr>
              <w:pStyle w:val="13"/>
            </w:pPr>
            <w:r>
              <w:t>服务对象满意度</w:t>
            </w:r>
          </w:p>
        </w:tc>
        <w:tc>
          <w:tcPr>
            <w:tcW w:w="5386" w:type="dxa"/>
            <w:vAlign w:val="center"/>
          </w:tcPr>
          <w:p w14:paraId="777E0182">
            <w:pPr>
              <w:pStyle w:val="13"/>
            </w:pPr>
            <w:r>
              <w:t>学校老师和学生满意度</w:t>
            </w:r>
          </w:p>
        </w:tc>
        <w:tc>
          <w:tcPr>
            <w:tcW w:w="2268" w:type="dxa"/>
            <w:vAlign w:val="center"/>
          </w:tcPr>
          <w:p w14:paraId="1EBE91E2">
            <w:pPr>
              <w:pStyle w:val="13"/>
            </w:pPr>
            <w:r>
              <w:t>≥95%</w:t>
            </w:r>
          </w:p>
        </w:tc>
        <w:tc>
          <w:tcPr>
            <w:tcW w:w="1276" w:type="dxa"/>
            <w:vAlign w:val="center"/>
          </w:tcPr>
          <w:p w14:paraId="6C1134BF">
            <w:pPr>
              <w:pStyle w:val="13"/>
            </w:pPr>
            <w:r>
              <w:t>城乡义务教育公用经费管理办法</w:t>
            </w:r>
          </w:p>
        </w:tc>
      </w:tr>
    </w:tbl>
    <w:p w14:paraId="151EE8BA">
      <w:pPr>
        <w:sectPr>
          <w:pgSz w:w="16840" w:h="11900" w:orient="landscape"/>
          <w:pgMar w:top="1361" w:right="1020" w:bottom="1134" w:left="1020" w:header="720" w:footer="720" w:gutter="0"/>
          <w:cols w:space="720" w:num="1"/>
        </w:sectPr>
      </w:pPr>
    </w:p>
    <w:p w14:paraId="3134BC40">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5、冀财教[2024]123号/中央/2025年义教补助经费/徐麻营小学公用经费绩效目标表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96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25990">
            <w:pPr>
              <w:pStyle w:val="14"/>
            </w:pPr>
            <w:r>
              <w:t>单位：万元</w:t>
            </w:r>
          </w:p>
        </w:tc>
      </w:tr>
      <w:tr w14:paraId="3A58E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82760">
            <w:pPr>
              <w:pStyle w:val="11"/>
            </w:pPr>
            <w:r>
              <w:t>项目编码</w:t>
            </w:r>
          </w:p>
        </w:tc>
        <w:tc>
          <w:tcPr>
            <w:tcW w:w="5103" w:type="dxa"/>
            <w:gridSpan w:val="2"/>
            <w:vAlign w:val="center"/>
          </w:tcPr>
          <w:p w14:paraId="04105C72">
            <w:pPr>
              <w:pStyle w:val="13"/>
            </w:pPr>
            <w:r>
              <w:t>13052525P00000410109R</w:t>
            </w:r>
          </w:p>
        </w:tc>
        <w:tc>
          <w:tcPr>
            <w:tcW w:w="2835" w:type="dxa"/>
            <w:vAlign w:val="center"/>
          </w:tcPr>
          <w:p w14:paraId="2CF88463">
            <w:pPr>
              <w:pStyle w:val="11"/>
            </w:pPr>
            <w:r>
              <w:t>项目名称</w:t>
            </w:r>
          </w:p>
        </w:tc>
        <w:tc>
          <w:tcPr>
            <w:tcW w:w="6095" w:type="dxa"/>
            <w:gridSpan w:val="3"/>
            <w:vAlign w:val="center"/>
          </w:tcPr>
          <w:p w14:paraId="05AC5B5E">
            <w:pPr>
              <w:pStyle w:val="13"/>
            </w:pPr>
            <w:r>
              <w:t>冀财教[2024]123号/中央/2025年义教补助经费/徐麻营小学公用经费</w:t>
            </w:r>
          </w:p>
        </w:tc>
      </w:tr>
      <w:tr w14:paraId="0CF36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9E6BD">
            <w:pPr>
              <w:pStyle w:val="11"/>
            </w:pPr>
            <w:r>
              <w:t>预算规模及资金用途</w:t>
            </w:r>
          </w:p>
        </w:tc>
        <w:tc>
          <w:tcPr>
            <w:tcW w:w="2268" w:type="dxa"/>
            <w:vAlign w:val="center"/>
          </w:tcPr>
          <w:p w14:paraId="6FAB0B2B">
            <w:pPr>
              <w:pStyle w:val="11"/>
            </w:pPr>
            <w:r>
              <w:t>预算数</w:t>
            </w:r>
          </w:p>
        </w:tc>
        <w:tc>
          <w:tcPr>
            <w:tcW w:w="2835" w:type="dxa"/>
            <w:vAlign w:val="center"/>
          </w:tcPr>
          <w:p w14:paraId="68CD1C8F">
            <w:pPr>
              <w:pStyle w:val="13"/>
            </w:pPr>
            <w:r>
              <w:t>23.04</w:t>
            </w:r>
          </w:p>
        </w:tc>
        <w:tc>
          <w:tcPr>
            <w:tcW w:w="2835" w:type="dxa"/>
            <w:vAlign w:val="center"/>
          </w:tcPr>
          <w:p w14:paraId="51F90B3F">
            <w:pPr>
              <w:pStyle w:val="11"/>
            </w:pPr>
            <w:r>
              <w:t>其中：财政    资金</w:t>
            </w:r>
          </w:p>
        </w:tc>
        <w:tc>
          <w:tcPr>
            <w:tcW w:w="2551" w:type="dxa"/>
            <w:vAlign w:val="center"/>
          </w:tcPr>
          <w:p w14:paraId="6FE507C6">
            <w:pPr>
              <w:pStyle w:val="13"/>
            </w:pPr>
            <w:r>
              <w:t>23.04</w:t>
            </w:r>
          </w:p>
        </w:tc>
        <w:tc>
          <w:tcPr>
            <w:tcW w:w="2268" w:type="dxa"/>
            <w:vAlign w:val="center"/>
          </w:tcPr>
          <w:p w14:paraId="7B6D61AD">
            <w:pPr>
              <w:pStyle w:val="11"/>
            </w:pPr>
            <w:r>
              <w:t>其他资金</w:t>
            </w:r>
          </w:p>
        </w:tc>
        <w:tc>
          <w:tcPr>
            <w:tcW w:w="1276" w:type="dxa"/>
            <w:vAlign w:val="center"/>
          </w:tcPr>
          <w:p w14:paraId="20DF6CFE">
            <w:pPr>
              <w:pStyle w:val="13"/>
            </w:pPr>
            <w:r>
              <w:t xml:space="preserve"> </w:t>
            </w:r>
          </w:p>
        </w:tc>
      </w:tr>
      <w:tr w14:paraId="3DF87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D4839F"/>
        </w:tc>
        <w:tc>
          <w:tcPr>
            <w:tcW w:w="14033" w:type="dxa"/>
            <w:gridSpan w:val="6"/>
            <w:vAlign w:val="center"/>
          </w:tcPr>
          <w:p w14:paraId="5B0ABD99">
            <w:pPr>
              <w:pStyle w:val="13"/>
            </w:pPr>
            <w:r>
              <w:t>为保证学校正常运转和改善办学条件。</w:t>
            </w:r>
          </w:p>
        </w:tc>
      </w:tr>
      <w:tr w14:paraId="1D918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B8779">
            <w:pPr>
              <w:pStyle w:val="11"/>
            </w:pPr>
            <w:r>
              <w:t>资金支出计划（%）</w:t>
            </w:r>
          </w:p>
        </w:tc>
        <w:tc>
          <w:tcPr>
            <w:tcW w:w="5103" w:type="dxa"/>
            <w:gridSpan w:val="2"/>
            <w:vAlign w:val="center"/>
          </w:tcPr>
          <w:p w14:paraId="18A48BF2">
            <w:pPr>
              <w:pStyle w:val="11"/>
            </w:pPr>
            <w:r>
              <w:t>3月底</w:t>
            </w:r>
          </w:p>
        </w:tc>
        <w:tc>
          <w:tcPr>
            <w:tcW w:w="2835" w:type="dxa"/>
            <w:vAlign w:val="center"/>
          </w:tcPr>
          <w:p w14:paraId="27CE939C">
            <w:pPr>
              <w:pStyle w:val="11"/>
            </w:pPr>
            <w:r>
              <w:t>6月底</w:t>
            </w:r>
          </w:p>
        </w:tc>
        <w:tc>
          <w:tcPr>
            <w:tcW w:w="2551" w:type="dxa"/>
            <w:vAlign w:val="center"/>
          </w:tcPr>
          <w:p w14:paraId="1AFC7560">
            <w:pPr>
              <w:pStyle w:val="11"/>
            </w:pPr>
            <w:r>
              <w:t>10月底</w:t>
            </w:r>
          </w:p>
        </w:tc>
        <w:tc>
          <w:tcPr>
            <w:tcW w:w="3544" w:type="dxa"/>
            <w:gridSpan w:val="2"/>
            <w:vAlign w:val="center"/>
          </w:tcPr>
          <w:p w14:paraId="57BFE2E4">
            <w:pPr>
              <w:pStyle w:val="11"/>
            </w:pPr>
            <w:r>
              <w:t>12月底</w:t>
            </w:r>
          </w:p>
        </w:tc>
      </w:tr>
      <w:tr w14:paraId="225C3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DA89F9"/>
        </w:tc>
        <w:tc>
          <w:tcPr>
            <w:tcW w:w="5103" w:type="dxa"/>
            <w:gridSpan w:val="2"/>
            <w:vAlign w:val="center"/>
          </w:tcPr>
          <w:p w14:paraId="19F56C07">
            <w:pPr>
              <w:pStyle w:val="12"/>
            </w:pPr>
            <w:r>
              <w:t>25%</w:t>
            </w:r>
          </w:p>
        </w:tc>
        <w:tc>
          <w:tcPr>
            <w:tcW w:w="2835" w:type="dxa"/>
            <w:vAlign w:val="center"/>
          </w:tcPr>
          <w:p w14:paraId="1D94DC60">
            <w:pPr>
              <w:pStyle w:val="12"/>
            </w:pPr>
            <w:r>
              <w:t>50%</w:t>
            </w:r>
          </w:p>
        </w:tc>
        <w:tc>
          <w:tcPr>
            <w:tcW w:w="2551" w:type="dxa"/>
            <w:vAlign w:val="center"/>
          </w:tcPr>
          <w:p w14:paraId="7E21D0CA">
            <w:pPr>
              <w:pStyle w:val="12"/>
            </w:pPr>
            <w:r>
              <w:t>75%</w:t>
            </w:r>
          </w:p>
        </w:tc>
        <w:tc>
          <w:tcPr>
            <w:tcW w:w="3544" w:type="dxa"/>
            <w:gridSpan w:val="2"/>
            <w:vAlign w:val="center"/>
          </w:tcPr>
          <w:p w14:paraId="3571ABC5">
            <w:pPr>
              <w:pStyle w:val="12"/>
            </w:pPr>
            <w:r>
              <w:t>100%</w:t>
            </w:r>
          </w:p>
        </w:tc>
      </w:tr>
      <w:tr w14:paraId="53BFA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0C1C9E">
            <w:pPr>
              <w:pStyle w:val="11"/>
            </w:pPr>
            <w:r>
              <w:t>绩效目标</w:t>
            </w:r>
          </w:p>
        </w:tc>
        <w:tc>
          <w:tcPr>
            <w:tcW w:w="14033" w:type="dxa"/>
            <w:gridSpan w:val="6"/>
            <w:vAlign w:val="center"/>
          </w:tcPr>
          <w:p w14:paraId="60691DD7">
            <w:pPr>
              <w:pStyle w:val="13"/>
            </w:pPr>
            <w:r>
              <w:t>1.按拨款序时进度完成经费拨付和支出。</w:t>
            </w:r>
          </w:p>
          <w:p w14:paraId="4A5D4B10">
            <w:pPr>
              <w:pStyle w:val="13"/>
            </w:pPr>
            <w:r>
              <w:t>2.为保证学校正常运转和改善办学条件。</w:t>
            </w:r>
          </w:p>
        </w:tc>
      </w:tr>
    </w:tbl>
    <w:p w14:paraId="46CD9D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C01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575B4">
            <w:pPr>
              <w:pStyle w:val="11"/>
            </w:pPr>
            <w:r>
              <w:t>一级指标</w:t>
            </w:r>
          </w:p>
        </w:tc>
        <w:tc>
          <w:tcPr>
            <w:tcW w:w="2268" w:type="dxa"/>
            <w:vAlign w:val="center"/>
          </w:tcPr>
          <w:p w14:paraId="043C121B">
            <w:pPr>
              <w:pStyle w:val="11"/>
            </w:pPr>
            <w:r>
              <w:t>二级指标</w:t>
            </w:r>
          </w:p>
        </w:tc>
        <w:tc>
          <w:tcPr>
            <w:tcW w:w="2835" w:type="dxa"/>
            <w:vAlign w:val="center"/>
          </w:tcPr>
          <w:p w14:paraId="1C055F0A">
            <w:pPr>
              <w:pStyle w:val="11"/>
            </w:pPr>
            <w:r>
              <w:t>三级指标</w:t>
            </w:r>
          </w:p>
        </w:tc>
        <w:tc>
          <w:tcPr>
            <w:tcW w:w="5386" w:type="dxa"/>
            <w:vAlign w:val="center"/>
          </w:tcPr>
          <w:p w14:paraId="7C527308">
            <w:pPr>
              <w:pStyle w:val="11"/>
            </w:pPr>
            <w:r>
              <w:t>绩效指标描述</w:t>
            </w:r>
          </w:p>
        </w:tc>
        <w:tc>
          <w:tcPr>
            <w:tcW w:w="2268" w:type="dxa"/>
            <w:vAlign w:val="center"/>
          </w:tcPr>
          <w:p w14:paraId="2199A5E6">
            <w:pPr>
              <w:pStyle w:val="11"/>
            </w:pPr>
            <w:r>
              <w:t>指标值</w:t>
            </w:r>
          </w:p>
        </w:tc>
        <w:tc>
          <w:tcPr>
            <w:tcW w:w="1276" w:type="dxa"/>
            <w:vAlign w:val="center"/>
          </w:tcPr>
          <w:p w14:paraId="1DC58380">
            <w:pPr>
              <w:pStyle w:val="11"/>
            </w:pPr>
            <w:r>
              <w:t>指标值确定依据</w:t>
            </w:r>
          </w:p>
        </w:tc>
      </w:tr>
      <w:tr w14:paraId="1155E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82205">
            <w:pPr>
              <w:pStyle w:val="12"/>
            </w:pPr>
            <w:r>
              <w:t>产出指标</w:t>
            </w:r>
          </w:p>
        </w:tc>
        <w:tc>
          <w:tcPr>
            <w:tcW w:w="2268" w:type="dxa"/>
            <w:vAlign w:val="center"/>
          </w:tcPr>
          <w:p w14:paraId="40A9F821">
            <w:pPr>
              <w:pStyle w:val="13"/>
            </w:pPr>
            <w:r>
              <w:t>数量指标</w:t>
            </w:r>
          </w:p>
        </w:tc>
        <w:tc>
          <w:tcPr>
            <w:tcW w:w="2835" w:type="dxa"/>
            <w:vAlign w:val="center"/>
          </w:tcPr>
          <w:p w14:paraId="24950B51">
            <w:pPr>
              <w:pStyle w:val="13"/>
            </w:pPr>
            <w:r>
              <w:t>就读学生数</w:t>
            </w:r>
          </w:p>
        </w:tc>
        <w:tc>
          <w:tcPr>
            <w:tcW w:w="5386" w:type="dxa"/>
            <w:vAlign w:val="center"/>
          </w:tcPr>
          <w:p w14:paraId="412411ED">
            <w:pPr>
              <w:pStyle w:val="13"/>
            </w:pPr>
            <w:r>
              <w:t>辐射区域内适龄学生人数</w:t>
            </w:r>
          </w:p>
        </w:tc>
        <w:tc>
          <w:tcPr>
            <w:tcW w:w="2268" w:type="dxa"/>
            <w:vAlign w:val="center"/>
          </w:tcPr>
          <w:p w14:paraId="3BB33900">
            <w:pPr>
              <w:pStyle w:val="13"/>
            </w:pPr>
            <w:r>
              <w:t>301人</w:t>
            </w:r>
          </w:p>
        </w:tc>
        <w:tc>
          <w:tcPr>
            <w:tcW w:w="1276" w:type="dxa"/>
            <w:vAlign w:val="center"/>
          </w:tcPr>
          <w:p w14:paraId="61CCDD2E">
            <w:pPr>
              <w:pStyle w:val="13"/>
            </w:pPr>
            <w:r>
              <w:t>城乡义务教育公用经费管理办法</w:t>
            </w:r>
          </w:p>
        </w:tc>
      </w:tr>
      <w:tr w14:paraId="7CF0D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D724F"/>
        </w:tc>
        <w:tc>
          <w:tcPr>
            <w:tcW w:w="2268" w:type="dxa"/>
            <w:vAlign w:val="center"/>
          </w:tcPr>
          <w:p w14:paraId="3F40422D">
            <w:pPr>
              <w:pStyle w:val="13"/>
            </w:pPr>
            <w:r>
              <w:t>质量指标</w:t>
            </w:r>
          </w:p>
        </w:tc>
        <w:tc>
          <w:tcPr>
            <w:tcW w:w="2835" w:type="dxa"/>
            <w:vAlign w:val="center"/>
          </w:tcPr>
          <w:p w14:paraId="37F8E8E6">
            <w:pPr>
              <w:pStyle w:val="13"/>
            </w:pPr>
            <w:r>
              <w:t>预算执行率</w:t>
            </w:r>
          </w:p>
        </w:tc>
        <w:tc>
          <w:tcPr>
            <w:tcW w:w="5386" w:type="dxa"/>
            <w:vAlign w:val="center"/>
          </w:tcPr>
          <w:p w14:paraId="12AD9EB1">
            <w:pPr>
              <w:pStyle w:val="13"/>
            </w:pPr>
            <w:r>
              <w:t>预算执行率≥98%</w:t>
            </w:r>
          </w:p>
        </w:tc>
        <w:tc>
          <w:tcPr>
            <w:tcW w:w="2268" w:type="dxa"/>
            <w:vAlign w:val="center"/>
          </w:tcPr>
          <w:p w14:paraId="6520752E">
            <w:pPr>
              <w:pStyle w:val="13"/>
            </w:pPr>
            <w:r>
              <w:t>≥98%</w:t>
            </w:r>
          </w:p>
        </w:tc>
        <w:tc>
          <w:tcPr>
            <w:tcW w:w="1276" w:type="dxa"/>
            <w:vAlign w:val="center"/>
          </w:tcPr>
          <w:p w14:paraId="36A6BC16">
            <w:pPr>
              <w:pStyle w:val="13"/>
            </w:pPr>
            <w:r>
              <w:t>城乡义务教育公用经费管理办法</w:t>
            </w:r>
          </w:p>
        </w:tc>
      </w:tr>
      <w:tr w14:paraId="2C65D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08AB6"/>
        </w:tc>
        <w:tc>
          <w:tcPr>
            <w:tcW w:w="2268" w:type="dxa"/>
            <w:vAlign w:val="center"/>
          </w:tcPr>
          <w:p w14:paraId="19DA2C10">
            <w:pPr>
              <w:pStyle w:val="13"/>
            </w:pPr>
            <w:r>
              <w:t>时效指标</w:t>
            </w:r>
          </w:p>
        </w:tc>
        <w:tc>
          <w:tcPr>
            <w:tcW w:w="2835" w:type="dxa"/>
            <w:vAlign w:val="center"/>
          </w:tcPr>
          <w:p w14:paraId="6B826818">
            <w:pPr>
              <w:pStyle w:val="13"/>
            </w:pPr>
            <w:r>
              <w:t>义教经费支付完成率</w:t>
            </w:r>
          </w:p>
        </w:tc>
        <w:tc>
          <w:tcPr>
            <w:tcW w:w="5386" w:type="dxa"/>
            <w:vAlign w:val="center"/>
          </w:tcPr>
          <w:p w14:paraId="5A30BA8C">
            <w:pPr>
              <w:pStyle w:val="13"/>
            </w:pPr>
            <w:r>
              <w:t>按照序时进度完成资金支付</w:t>
            </w:r>
          </w:p>
        </w:tc>
        <w:tc>
          <w:tcPr>
            <w:tcW w:w="2268" w:type="dxa"/>
            <w:vAlign w:val="center"/>
          </w:tcPr>
          <w:p w14:paraId="65D7AF8E">
            <w:pPr>
              <w:pStyle w:val="13"/>
            </w:pPr>
            <w:r>
              <w:t>≥100%</w:t>
            </w:r>
          </w:p>
        </w:tc>
        <w:tc>
          <w:tcPr>
            <w:tcW w:w="1276" w:type="dxa"/>
            <w:vAlign w:val="center"/>
          </w:tcPr>
          <w:p w14:paraId="55223925">
            <w:pPr>
              <w:pStyle w:val="13"/>
            </w:pPr>
            <w:r>
              <w:t>城乡义务教育公用经费管理办法</w:t>
            </w:r>
          </w:p>
        </w:tc>
      </w:tr>
      <w:tr w14:paraId="211E4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BD614"/>
        </w:tc>
        <w:tc>
          <w:tcPr>
            <w:tcW w:w="2268" w:type="dxa"/>
            <w:vAlign w:val="center"/>
          </w:tcPr>
          <w:p w14:paraId="72AF6BA7">
            <w:pPr>
              <w:pStyle w:val="13"/>
            </w:pPr>
            <w:r>
              <w:t>成本指标</w:t>
            </w:r>
          </w:p>
        </w:tc>
        <w:tc>
          <w:tcPr>
            <w:tcW w:w="2835" w:type="dxa"/>
            <w:vAlign w:val="center"/>
          </w:tcPr>
          <w:p w14:paraId="238DB2A8">
            <w:pPr>
              <w:pStyle w:val="13"/>
            </w:pPr>
            <w:r>
              <w:t>生均拨款标准</w:t>
            </w:r>
          </w:p>
        </w:tc>
        <w:tc>
          <w:tcPr>
            <w:tcW w:w="5386" w:type="dxa"/>
            <w:vAlign w:val="center"/>
          </w:tcPr>
          <w:p w14:paraId="49203A73">
            <w:pPr>
              <w:pStyle w:val="13"/>
            </w:pPr>
            <w:r>
              <w:t>小学生公用经费生均小学720元，取暖费120元/生/年，随班就读学生补助7000元/生</w:t>
            </w:r>
          </w:p>
        </w:tc>
        <w:tc>
          <w:tcPr>
            <w:tcW w:w="2268" w:type="dxa"/>
            <w:vAlign w:val="center"/>
          </w:tcPr>
          <w:p w14:paraId="2FF30848">
            <w:pPr>
              <w:pStyle w:val="13"/>
            </w:pPr>
            <w:r>
              <w:t>≥840元</w:t>
            </w:r>
          </w:p>
        </w:tc>
        <w:tc>
          <w:tcPr>
            <w:tcW w:w="1276" w:type="dxa"/>
            <w:vAlign w:val="center"/>
          </w:tcPr>
          <w:p w14:paraId="09BCB05C">
            <w:pPr>
              <w:pStyle w:val="13"/>
            </w:pPr>
            <w:r>
              <w:t>城乡义务教育公用经费管理办法</w:t>
            </w:r>
          </w:p>
        </w:tc>
      </w:tr>
      <w:tr w14:paraId="41D8A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FE9F5A">
            <w:pPr>
              <w:pStyle w:val="12"/>
            </w:pPr>
            <w:r>
              <w:t>效益指标</w:t>
            </w:r>
          </w:p>
        </w:tc>
        <w:tc>
          <w:tcPr>
            <w:tcW w:w="2268" w:type="dxa"/>
            <w:vAlign w:val="center"/>
          </w:tcPr>
          <w:p w14:paraId="4FBDF410">
            <w:pPr>
              <w:pStyle w:val="13"/>
            </w:pPr>
            <w:r>
              <w:t>社会效益指标</w:t>
            </w:r>
          </w:p>
        </w:tc>
        <w:tc>
          <w:tcPr>
            <w:tcW w:w="2835" w:type="dxa"/>
            <w:vAlign w:val="center"/>
          </w:tcPr>
          <w:p w14:paraId="5F98DB55">
            <w:pPr>
              <w:pStyle w:val="13"/>
            </w:pPr>
            <w:r>
              <w:t>学校运转得到提高</w:t>
            </w:r>
          </w:p>
        </w:tc>
        <w:tc>
          <w:tcPr>
            <w:tcW w:w="5386" w:type="dxa"/>
            <w:vAlign w:val="center"/>
          </w:tcPr>
          <w:p w14:paraId="6CF9CD39">
            <w:pPr>
              <w:pStyle w:val="13"/>
            </w:pPr>
            <w:r>
              <w:t>学生受教育年限</w:t>
            </w:r>
          </w:p>
        </w:tc>
        <w:tc>
          <w:tcPr>
            <w:tcW w:w="2268" w:type="dxa"/>
            <w:vAlign w:val="center"/>
          </w:tcPr>
          <w:p w14:paraId="712213B1">
            <w:pPr>
              <w:pStyle w:val="13"/>
            </w:pPr>
            <w:r>
              <w:t>6年</w:t>
            </w:r>
          </w:p>
        </w:tc>
        <w:tc>
          <w:tcPr>
            <w:tcW w:w="1276" w:type="dxa"/>
            <w:vAlign w:val="center"/>
          </w:tcPr>
          <w:p w14:paraId="1E5203C0">
            <w:pPr>
              <w:pStyle w:val="13"/>
            </w:pPr>
            <w:r>
              <w:t>城乡义务教育公用经费管理办法</w:t>
            </w:r>
          </w:p>
        </w:tc>
      </w:tr>
      <w:tr w14:paraId="2A035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D4990D">
            <w:pPr>
              <w:pStyle w:val="12"/>
            </w:pPr>
            <w:r>
              <w:t>满意度指标</w:t>
            </w:r>
          </w:p>
        </w:tc>
        <w:tc>
          <w:tcPr>
            <w:tcW w:w="2268" w:type="dxa"/>
            <w:vAlign w:val="center"/>
          </w:tcPr>
          <w:p w14:paraId="33A45819">
            <w:pPr>
              <w:pStyle w:val="13"/>
            </w:pPr>
            <w:r>
              <w:t>服务对象满意度指标</w:t>
            </w:r>
          </w:p>
        </w:tc>
        <w:tc>
          <w:tcPr>
            <w:tcW w:w="2835" w:type="dxa"/>
            <w:vAlign w:val="center"/>
          </w:tcPr>
          <w:p w14:paraId="6E55E6E2">
            <w:pPr>
              <w:pStyle w:val="13"/>
            </w:pPr>
            <w:r>
              <w:t>服务对象满意度</w:t>
            </w:r>
          </w:p>
        </w:tc>
        <w:tc>
          <w:tcPr>
            <w:tcW w:w="5386" w:type="dxa"/>
            <w:vAlign w:val="center"/>
          </w:tcPr>
          <w:p w14:paraId="25A71D7B">
            <w:pPr>
              <w:pStyle w:val="13"/>
            </w:pPr>
            <w:r>
              <w:t>学校老师和学生满意度</w:t>
            </w:r>
          </w:p>
        </w:tc>
        <w:tc>
          <w:tcPr>
            <w:tcW w:w="2268" w:type="dxa"/>
            <w:vAlign w:val="center"/>
          </w:tcPr>
          <w:p w14:paraId="5F6ACFA3">
            <w:pPr>
              <w:pStyle w:val="13"/>
            </w:pPr>
            <w:r>
              <w:t>≥95%</w:t>
            </w:r>
          </w:p>
        </w:tc>
        <w:tc>
          <w:tcPr>
            <w:tcW w:w="1276" w:type="dxa"/>
            <w:vAlign w:val="center"/>
          </w:tcPr>
          <w:p w14:paraId="6500A187">
            <w:pPr>
              <w:pStyle w:val="13"/>
            </w:pPr>
            <w:r>
              <w:t>城乡义务教育公用经费管理办法</w:t>
            </w:r>
          </w:p>
        </w:tc>
      </w:tr>
    </w:tbl>
    <w:p w14:paraId="7506F597">
      <w:pPr>
        <w:sectPr>
          <w:pgSz w:w="16840" w:h="11900" w:orient="landscape"/>
          <w:pgMar w:top="1361" w:right="1020" w:bottom="1134" w:left="1020" w:header="720" w:footer="720" w:gutter="0"/>
          <w:cols w:space="720" w:num="1"/>
        </w:sectPr>
      </w:pPr>
    </w:p>
    <w:p w14:paraId="3E67BC91">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6、冀财教[2024]123号/中央/2025年义教补助经费/枣驼小学公用经费绩效目标表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3B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667CD">
            <w:pPr>
              <w:pStyle w:val="14"/>
            </w:pPr>
            <w:r>
              <w:t>单位：万元</w:t>
            </w:r>
          </w:p>
        </w:tc>
      </w:tr>
      <w:tr w14:paraId="42C8D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89E987">
            <w:pPr>
              <w:pStyle w:val="11"/>
            </w:pPr>
            <w:r>
              <w:t>项目编码</w:t>
            </w:r>
          </w:p>
        </w:tc>
        <w:tc>
          <w:tcPr>
            <w:tcW w:w="5103" w:type="dxa"/>
            <w:gridSpan w:val="2"/>
            <w:vAlign w:val="center"/>
          </w:tcPr>
          <w:p w14:paraId="2F1C5C0E">
            <w:pPr>
              <w:pStyle w:val="13"/>
            </w:pPr>
            <w:r>
              <w:t>13052525P00000410107J</w:t>
            </w:r>
          </w:p>
        </w:tc>
        <w:tc>
          <w:tcPr>
            <w:tcW w:w="2835" w:type="dxa"/>
            <w:vAlign w:val="center"/>
          </w:tcPr>
          <w:p w14:paraId="53001E00">
            <w:pPr>
              <w:pStyle w:val="11"/>
            </w:pPr>
            <w:r>
              <w:t>项目名称</w:t>
            </w:r>
          </w:p>
        </w:tc>
        <w:tc>
          <w:tcPr>
            <w:tcW w:w="6095" w:type="dxa"/>
            <w:gridSpan w:val="3"/>
            <w:vAlign w:val="center"/>
          </w:tcPr>
          <w:p w14:paraId="4E9E651C">
            <w:pPr>
              <w:pStyle w:val="13"/>
            </w:pPr>
            <w:r>
              <w:t>冀财教[2024]123号/中央/2025年义教补助经费/枣驼小学公用经费</w:t>
            </w:r>
          </w:p>
        </w:tc>
      </w:tr>
      <w:tr w14:paraId="728FE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67529">
            <w:pPr>
              <w:pStyle w:val="11"/>
            </w:pPr>
            <w:r>
              <w:t>预算规模及资金用途</w:t>
            </w:r>
          </w:p>
        </w:tc>
        <w:tc>
          <w:tcPr>
            <w:tcW w:w="2268" w:type="dxa"/>
            <w:vAlign w:val="center"/>
          </w:tcPr>
          <w:p w14:paraId="5DB195A2">
            <w:pPr>
              <w:pStyle w:val="11"/>
            </w:pPr>
            <w:r>
              <w:t>预算数</w:t>
            </w:r>
          </w:p>
        </w:tc>
        <w:tc>
          <w:tcPr>
            <w:tcW w:w="2835" w:type="dxa"/>
            <w:vAlign w:val="center"/>
          </w:tcPr>
          <w:p w14:paraId="26A68884">
            <w:pPr>
              <w:pStyle w:val="13"/>
            </w:pPr>
            <w:r>
              <w:t>12.30</w:t>
            </w:r>
          </w:p>
        </w:tc>
        <w:tc>
          <w:tcPr>
            <w:tcW w:w="2835" w:type="dxa"/>
            <w:vAlign w:val="center"/>
          </w:tcPr>
          <w:p w14:paraId="5BB97B26">
            <w:pPr>
              <w:pStyle w:val="11"/>
            </w:pPr>
            <w:r>
              <w:t>其中：财政    资金</w:t>
            </w:r>
          </w:p>
        </w:tc>
        <w:tc>
          <w:tcPr>
            <w:tcW w:w="2551" w:type="dxa"/>
            <w:vAlign w:val="center"/>
          </w:tcPr>
          <w:p w14:paraId="63005941">
            <w:pPr>
              <w:pStyle w:val="13"/>
            </w:pPr>
            <w:r>
              <w:t>12.30</w:t>
            </w:r>
          </w:p>
        </w:tc>
        <w:tc>
          <w:tcPr>
            <w:tcW w:w="2268" w:type="dxa"/>
            <w:vAlign w:val="center"/>
          </w:tcPr>
          <w:p w14:paraId="50043660">
            <w:pPr>
              <w:pStyle w:val="11"/>
            </w:pPr>
            <w:r>
              <w:t>其他资金</w:t>
            </w:r>
          </w:p>
        </w:tc>
        <w:tc>
          <w:tcPr>
            <w:tcW w:w="1276" w:type="dxa"/>
            <w:vAlign w:val="center"/>
          </w:tcPr>
          <w:p w14:paraId="269D7956">
            <w:pPr>
              <w:pStyle w:val="13"/>
            </w:pPr>
            <w:r>
              <w:t xml:space="preserve"> </w:t>
            </w:r>
          </w:p>
        </w:tc>
      </w:tr>
      <w:tr w14:paraId="23B5D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1D4F0"/>
        </w:tc>
        <w:tc>
          <w:tcPr>
            <w:tcW w:w="14033" w:type="dxa"/>
            <w:gridSpan w:val="6"/>
            <w:vAlign w:val="center"/>
          </w:tcPr>
          <w:p w14:paraId="1ACC46D7">
            <w:pPr>
              <w:pStyle w:val="13"/>
            </w:pPr>
            <w:r>
              <w:t>为保证学校正常运转和改善办学条件。</w:t>
            </w:r>
          </w:p>
        </w:tc>
      </w:tr>
      <w:tr w14:paraId="5FBAA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831EE">
            <w:pPr>
              <w:pStyle w:val="11"/>
            </w:pPr>
            <w:r>
              <w:t>资金支出计划（%）</w:t>
            </w:r>
          </w:p>
        </w:tc>
        <w:tc>
          <w:tcPr>
            <w:tcW w:w="5103" w:type="dxa"/>
            <w:gridSpan w:val="2"/>
            <w:vAlign w:val="center"/>
          </w:tcPr>
          <w:p w14:paraId="0B1696B0">
            <w:pPr>
              <w:pStyle w:val="11"/>
            </w:pPr>
            <w:r>
              <w:t>3月底</w:t>
            </w:r>
          </w:p>
        </w:tc>
        <w:tc>
          <w:tcPr>
            <w:tcW w:w="2835" w:type="dxa"/>
            <w:vAlign w:val="center"/>
          </w:tcPr>
          <w:p w14:paraId="208609C6">
            <w:pPr>
              <w:pStyle w:val="11"/>
            </w:pPr>
            <w:r>
              <w:t>6月底</w:t>
            </w:r>
          </w:p>
        </w:tc>
        <w:tc>
          <w:tcPr>
            <w:tcW w:w="2551" w:type="dxa"/>
            <w:vAlign w:val="center"/>
          </w:tcPr>
          <w:p w14:paraId="737F3831">
            <w:pPr>
              <w:pStyle w:val="11"/>
            </w:pPr>
            <w:r>
              <w:t>10月底</w:t>
            </w:r>
          </w:p>
        </w:tc>
        <w:tc>
          <w:tcPr>
            <w:tcW w:w="3544" w:type="dxa"/>
            <w:gridSpan w:val="2"/>
            <w:vAlign w:val="center"/>
          </w:tcPr>
          <w:p w14:paraId="3DFB2AF0">
            <w:pPr>
              <w:pStyle w:val="11"/>
            </w:pPr>
            <w:r>
              <w:t>12月底</w:t>
            </w:r>
          </w:p>
        </w:tc>
      </w:tr>
      <w:tr w14:paraId="19316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EBB1D"/>
        </w:tc>
        <w:tc>
          <w:tcPr>
            <w:tcW w:w="5103" w:type="dxa"/>
            <w:gridSpan w:val="2"/>
            <w:vAlign w:val="center"/>
          </w:tcPr>
          <w:p w14:paraId="00CD2D3F">
            <w:pPr>
              <w:pStyle w:val="12"/>
            </w:pPr>
            <w:r>
              <w:t>25%</w:t>
            </w:r>
          </w:p>
        </w:tc>
        <w:tc>
          <w:tcPr>
            <w:tcW w:w="2835" w:type="dxa"/>
            <w:vAlign w:val="center"/>
          </w:tcPr>
          <w:p w14:paraId="7A97AE2B">
            <w:pPr>
              <w:pStyle w:val="12"/>
            </w:pPr>
            <w:r>
              <w:t>50%</w:t>
            </w:r>
          </w:p>
        </w:tc>
        <w:tc>
          <w:tcPr>
            <w:tcW w:w="2551" w:type="dxa"/>
            <w:vAlign w:val="center"/>
          </w:tcPr>
          <w:p w14:paraId="39C98856">
            <w:pPr>
              <w:pStyle w:val="12"/>
            </w:pPr>
            <w:r>
              <w:t>75%</w:t>
            </w:r>
          </w:p>
        </w:tc>
        <w:tc>
          <w:tcPr>
            <w:tcW w:w="3544" w:type="dxa"/>
            <w:gridSpan w:val="2"/>
            <w:vAlign w:val="center"/>
          </w:tcPr>
          <w:p w14:paraId="7506191A">
            <w:pPr>
              <w:pStyle w:val="12"/>
            </w:pPr>
            <w:r>
              <w:t>100%</w:t>
            </w:r>
          </w:p>
        </w:tc>
      </w:tr>
      <w:tr w14:paraId="35CEC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5F8CE3">
            <w:pPr>
              <w:pStyle w:val="11"/>
            </w:pPr>
            <w:r>
              <w:t>绩效目标</w:t>
            </w:r>
          </w:p>
        </w:tc>
        <w:tc>
          <w:tcPr>
            <w:tcW w:w="14033" w:type="dxa"/>
            <w:gridSpan w:val="6"/>
            <w:vAlign w:val="center"/>
          </w:tcPr>
          <w:p w14:paraId="4AD30217">
            <w:pPr>
              <w:pStyle w:val="13"/>
            </w:pPr>
            <w:r>
              <w:t>1.按拨款序时进度完成经费拨付和支出。</w:t>
            </w:r>
          </w:p>
          <w:p w14:paraId="54D27D46">
            <w:pPr>
              <w:pStyle w:val="13"/>
            </w:pPr>
            <w:r>
              <w:t>2.为保证学校正常运转和改善办学条件。</w:t>
            </w:r>
          </w:p>
        </w:tc>
      </w:tr>
    </w:tbl>
    <w:p w14:paraId="51E55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1D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A2BC5">
            <w:pPr>
              <w:pStyle w:val="11"/>
            </w:pPr>
            <w:r>
              <w:t>一级指标</w:t>
            </w:r>
          </w:p>
        </w:tc>
        <w:tc>
          <w:tcPr>
            <w:tcW w:w="2268" w:type="dxa"/>
            <w:vAlign w:val="center"/>
          </w:tcPr>
          <w:p w14:paraId="257D6113">
            <w:pPr>
              <w:pStyle w:val="11"/>
            </w:pPr>
            <w:r>
              <w:t>二级指标</w:t>
            </w:r>
          </w:p>
        </w:tc>
        <w:tc>
          <w:tcPr>
            <w:tcW w:w="2835" w:type="dxa"/>
            <w:vAlign w:val="center"/>
          </w:tcPr>
          <w:p w14:paraId="33BC8AF2">
            <w:pPr>
              <w:pStyle w:val="11"/>
            </w:pPr>
            <w:r>
              <w:t>三级指标</w:t>
            </w:r>
          </w:p>
        </w:tc>
        <w:tc>
          <w:tcPr>
            <w:tcW w:w="5386" w:type="dxa"/>
            <w:vAlign w:val="center"/>
          </w:tcPr>
          <w:p w14:paraId="5F0F38C1">
            <w:pPr>
              <w:pStyle w:val="11"/>
            </w:pPr>
            <w:r>
              <w:t>绩效指标描述</w:t>
            </w:r>
          </w:p>
        </w:tc>
        <w:tc>
          <w:tcPr>
            <w:tcW w:w="2268" w:type="dxa"/>
            <w:vAlign w:val="center"/>
          </w:tcPr>
          <w:p w14:paraId="1A04D3DE">
            <w:pPr>
              <w:pStyle w:val="11"/>
            </w:pPr>
            <w:r>
              <w:t>指标值</w:t>
            </w:r>
          </w:p>
        </w:tc>
        <w:tc>
          <w:tcPr>
            <w:tcW w:w="1276" w:type="dxa"/>
            <w:vAlign w:val="center"/>
          </w:tcPr>
          <w:p w14:paraId="3879BE4C">
            <w:pPr>
              <w:pStyle w:val="11"/>
            </w:pPr>
            <w:r>
              <w:t>指标值确定依据</w:t>
            </w:r>
          </w:p>
        </w:tc>
      </w:tr>
      <w:tr w14:paraId="7467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8FA78">
            <w:pPr>
              <w:pStyle w:val="12"/>
            </w:pPr>
            <w:r>
              <w:t>产出指标</w:t>
            </w:r>
          </w:p>
        </w:tc>
        <w:tc>
          <w:tcPr>
            <w:tcW w:w="2268" w:type="dxa"/>
            <w:vAlign w:val="center"/>
          </w:tcPr>
          <w:p w14:paraId="28033A42">
            <w:pPr>
              <w:pStyle w:val="13"/>
            </w:pPr>
            <w:r>
              <w:t>数量指标</w:t>
            </w:r>
          </w:p>
        </w:tc>
        <w:tc>
          <w:tcPr>
            <w:tcW w:w="2835" w:type="dxa"/>
            <w:vAlign w:val="center"/>
          </w:tcPr>
          <w:p w14:paraId="7BCC04EA">
            <w:pPr>
              <w:pStyle w:val="13"/>
            </w:pPr>
            <w:r>
              <w:t>就读学生数</w:t>
            </w:r>
          </w:p>
        </w:tc>
        <w:tc>
          <w:tcPr>
            <w:tcW w:w="5386" w:type="dxa"/>
            <w:vAlign w:val="center"/>
          </w:tcPr>
          <w:p w14:paraId="4120D35E">
            <w:pPr>
              <w:pStyle w:val="13"/>
            </w:pPr>
            <w:r>
              <w:t>辐射区域内适龄学生人数</w:t>
            </w:r>
          </w:p>
        </w:tc>
        <w:tc>
          <w:tcPr>
            <w:tcW w:w="2268" w:type="dxa"/>
            <w:vAlign w:val="center"/>
          </w:tcPr>
          <w:p w14:paraId="4282902B">
            <w:pPr>
              <w:pStyle w:val="13"/>
            </w:pPr>
            <w:r>
              <w:t>201人</w:t>
            </w:r>
          </w:p>
        </w:tc>
        <w:tc>
          <w:tcPr>
            <w:tcW w:w="1276" w:type="dxa"/>
            <w:vAlign w:val="center"/>
          </w:tcPr>
          <w:p w14:paraId="4407C342">
            <w:pPr>
              <w:pStyle w:val="13"/>
            </w:pPr>
            <w:r>
              <w:t>城乡义务教育公用经费管理办法</w:t>
            </w:r>
          </w:p>
        </w:tc>
      </w:tr>
      <w:tr w14:paraId="4C085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8529F"/>
        </w:tc>
        <w:tc>
          <w:tcPr>
            <w:tcW w:w="2268" w:type="dxa"/>
            <w:vAlign w:val="center"/>
          </w:tcPr>
          <w:p w14:paraId="771BC8A5">
            <w:pPr>
              <w:pStyle w:val="13"/>
            </w:pPr>
            <w:r>
              <w:t>质量指标</w:t>
            </w:r>
          </w:p>
        </w:tc>
        <w:tc>
          <w:tcPr>
            <w:tcW w:w="2835" w:type="dxa"/>
            <w:vAlign w:val="center"/>
          </w:tcPr>
          <w:p w14:paraId="4B002C9B">
            <w:pPr>
              <w:pStyle w:val="13"/>
            </w:pPr>
            <w:r>
              <w:t>预算执行率</w:t>
            </w:r>
          </w:p>
        </w:tc>
        <w:tc>
          <w:tcPr>
            <w:tcW w:w="5386" w:type="dxa"/>
            <w:vAlign w:val="center"/>
          </w:tcPr>
          <w:p w14:paraId="52C52B37">
            <w:pPr>
              <w:pStyle w:val="13"/>
            </w:pPr>
            <w:r>
              <w:t>预算执行率≥98%</w:t>
            </w:r>
          </w:p>
        </w:tc>
        <w:tc>
          <w:tcPr>
            <w:tcW w:w="2268" w:type="dxa"/>
            <w:vAlign w:val="center"/>
          </w:tcPr>
          <w:p w14:paraId="1D86712C">
            <w:pPr>
              <w:pStyle w:val="13"/>
            </w:pPr>
            <w:r>
              <w:t>≥98%</w:t>
            </w:r>
          </w:p>
        </w:tc>
        <w:tc>
          <w:tcPr>
            <w:tcW w:w="1276" w:type="dxa"/>
            <w:vAlign w:val="center"/>
          </w:tcPr>
          <w:p w14:paraId="33303126">
            <w:pPr>
              <w:pStyle w:val="13"/>
            </w:pPr>
            <w:r>
              <w:t>城乡义务教育公用经费管理办法</w:t>
            </w:r>
          </w:p>
        </w:tc>
      </w:tr>
      <w:tr w14:paraId="69BF6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F83AB"/>
        </w:tc>
        <w:tc>
          <w:tcPr>
            <w:tcW w:w="2268" w:type="dxa"/>
            <w:vAlign w:val="center"/>
          </w:tcPr>
          <w:p w14:paraId="2B55E1AD">
            <w:pPr>
              <w:pStyle w:val="13"/>
            </w:pPr>
            <w:r>
              <w:t>时效指标</w:t>
            </w:r>
          </w:p>
        </w:tc>
        <w:tc>
          <w:tcPr>
            <w:tcW w:w="2835" w:type="dxa"/>
            <w:vAlign w:val="center"/>
          </w:tcPr>
          <w:p w14:paraId="2EC80532">
            <w:pPr>
              <w:pStyle w:val="13"/>
            </w:pPr>
            <w:r>
              <w:t>义教经费支付完成率</w:t>
            </w:r>
          </w:p>
        </w:tc>
        <w:tc>
          <w:tcPr>
            <w:tcW w:w="5386" w:type="dxa"/>
            <w:vAlign w:val="center"/>
          </w:tcPr>
          <w:p w14:paraId="685795E6">
            <w:pPr>
              <w:pStyle w:val="13"/>
            </w:pPr>
            <w:r>
              <w:t>按照序时进度完成资金支付</w:t>
            </w:r>
          </w:p>
        </w:tc>
        <w:tc>
          <w:tcPr>
            <w:tcW w:w="2268" w:type="dxa"/>
            <w:vAlign w:val="center"/>
          </w:tcPr>
          <w:p w14:paraId="1E252CDF">
            <w:pPr>
              <w:pStyle w:val="13"/>
            </w:pPr>
            <w:r>
              <w:t>≥100%</w:t>
            </w:r>
          </w:p>
        </w:tc>
        <w:tc>
          <w:tcPr>
            <w:tcW w:w="1276" w:type="dxa"/>
            <w:vAlign w:val="center"/>
          </w:tcPr>
          <w:p w14:paraId="489AF6A6">
            <w:pPr>
              <w:pStyle w:val="13"/>
            </w:pPr>
            <w:r>
              <w:t>城乡义务教育公用经费管理办法</w:t>
            </w:r>
          </w:p>
        </w:tc>
      </w:tr>
      <w:tr w14:paraId="73E68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D9C22"/>
        </w:tc>
        <w:tc>
          <w:tcPr>
            <w:tcW w:w="2268" w:type="dxa"/>
            <w:vAlign w:val="center"/>
          </w:tcPr>
          <w:p w14:paraId="717AA3B2">
            <w:pPr>
              <w:pStyle w:val="13"/>
            </w:pPr>
            <w:r>
              <w:t>成本指标</w:t>
            </w:r>
          </w:p>
        </w:tc>
        <w:tc>
          <w:tcPr>
            <w:tcW w:w="2835" w:type="dxa"/>
            <w:vAlign w:val="center"/>
          </w:tcPr>
          <w:p w14:paraId="7A04E324">
            <w:pPr>
              <w:pStyle w:val="13"/>
            </w:pPr>
            <w:r>
              <w:t>生均拨款标准</w:t>
            </w:r>
          </w:p>
        </w:tc>
        <w:tc>
          <w:tcPr>
            <w:tcW w:w="5386" w:type="dxa"/>
            <w:vAlign w:val="center"/>
          </w:tcPr>
          <w:p w14:paraId="47E6A2C4">
            <w:pPr>
              <w:pStyle w:val="13"/>
            </w:pPr>
            <w:r>
              <w:t>小学生公用经费生均小学720元，取暖费120元/生/年，随班就读学生补助7000元/生</w:t>
            </w:r>
          </w:p>
        </w:tc>
        <w:tc>
          <w:tcPr>
            <w:tcW w:w="2268" w:type="dxa"/>
            <w:vAlign w:val="center"/>
          </w:tcPr>
          <w:p w14:paraId="217583CD">
            <w:pPr>
              <w:pStyle w:val="13"/>
            </w:pPr>
            <w:r>
              <w:t>≥840元</w:t>
            </w:r>
          </w:p>
        </w:tc>
        <w:tc>
          <w:tcPr>
            <w:tcW w:w="1276" w:type="dxa"/>
            <w:vAlign w:val="center"/>
          </w:tcPr>
          <w:p w14:paraId="7A668C1E">
            <w:pPr>
              <w:pStyle w:val="13"/>
            </w:pPr>
            <w:r>
              <w:t>城乡义务教育公用经费管理办法</w:t>
            </w:r>
          </w:p>
        </w:tc>
      </w:tr>
      <w:tr w14:paraId="07E5F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E5FE59">
            <w:pPr>
              <w:pStyle w:val="12"/>
            </w:pPr>
            <w:r>
              <w:t>效益指标</w:t>
            </w:r>
          </w:p>
        </w:tc>
        <w:tc>
          <w:tcPr>
            <w:tcW w:w="2268" w:type="dxa"/>
            <w:vAlign w:val="center"/>
          </w:tcPr>
          <w:p w14:paraId="1246E416">
            <w:pPr>
              <w:pStyle w:val="13"/>
            </w:pPr>
            <w:r>
              <w:t>社会效益指标</w:t>
            </w:r>
          </w:p>
        </w:tc>
        <w:tc>
          <w:tcPr>
            <w:tcW w:w="2835" w:type="dxa"/>
            <w:vAlign w:val="center"/>
          </w:tcPr>
          <w:p w14:paraId="20ADEC88">
            <w:pPr>
              <w:pStyle w:val="13"/>
            </w:pPr>
            <w:r>
              <w:t>学校运转得到提高</w:t>
            </w:r>
          </w:p>
        </w:tc>
        <w:tc>
          <w:tcPr>
            <w:tcW w:w="5386" w:type="dxa"/>
            <w:vAlign w:val="center"/>
          </w:tcPr>
          <w:p w14:paraId="66316824">
            <w:pPr>
              <w:pStyle w:val="13"/>
            </w:pPr>
            <w:r>
              <w:t>学生受教育年限</w:t>
            </w:r>
          </w:p>
        </w:tc>
        <w:tc>
          <w:tcPr>
            <w:tcW w:w="2268" w:type="dxa"/>
            <w:vAlign w:val="center"/>
          </w:tcPr>
          <w:p w14:paraId="29374C58">
            <w:pPr>
              <w:pStyle w:val="13"/>
            </w:pPr>
            <w:r>
              <w:t>6年</w:t>
            </w:r>
          </w:p>
        </w:tc>
        <w:tc>
          <w:tcPr>
            <w:tcW w:w="1276" w:type="dxa"/>
            <w:vAlign w:val="center"/>
          </w:tcPr>
          <w:p w14:paraId="64523985">
            <w:pPr>
              <w:pStyle w:val="13"/>
            </w:pPr>
            <w:r>
              <w:t>城乡义务教育公用经费管理办法</w:t>
            </w:r>
          </w:p>
        </w:tc>
      </w:tr>
      <w:tr w14:paraId="0ACD7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64BB5E">
            <w:pPr>
              <w:pStyle w:val="12"/>
            </w:pPr>
            <w:r>
              <w:t>满意度指标</w:t>
            </w:r>
          </w:p>
        </w:tc>
        <w:tc>
          <w:tcPr>
            <w:tcW w:w="2268" w:type="dxa"/>
            <w:vAlign w:val="center"/>
          </w:tcPr>
          <w:p w14:paraId="629C2332">
            <w:pPr>
              <w:pStyle w:val="13"/>
            </w:pPr>
            <w:r>
              <w:t>服务对象满意度指标</w:t>
            </w:r>
          </w:p>
        </w:tc>
        <w:tc>
          <w:tcPr>
            <w:tcW w:w="2835" w:type="dxa"/>
            <w:vAlign w:val="center"/>
          </w:tcPr>
          <w:p w14:paraId="52957E31">
            <w:pPr>
              <w:pStyle w:val="13"/>
            </w:pPr>
            <w:r>
              <w:t>服务对象满意度</w:t>
            </w:r>
          </w:p>
        </w:tc>
        <w:tc>
          <w:tcPr>
            <w:tcW w:w="5386" w:type="dxa"/>
            <w:vAlign w:val="center"/>
          </w:tcPr>
          <w:p w14:paraId="089DF485">
            <w:pPr>
              <w:pStyle w:val="13"/>
            </w:pPr>
            <w:r>
              <w:t>学校老师和学生满意度</w:t>
            </w:r>
          </w:p>
        </w:tc>
        <w:tc>
          <w:tcPr>
            <w:tcW w:w="2268" w:type="dxa"/>
            <w:vAlign w:val="center"/>
          </w:tcPr>
          <w:p w14:paraId="1D37F901">
            <w:pPr>
              <w:pStyle w:val="13"/>
            </w:pPr>
            <w:r>
              <w:t>≥95%</w:t>
            </w:r>
          </w:p>
        </w:tc>
        <w:tc>
          <w:tcPr>
            <w:tcW w:w="1276" w:type="dxa"/>
            <w:vAlign w:val="center"/>
          </w:tcPr>
          <w:p w14:paraId="1AA01BAF">
            <w:pPr>
              <w:pStyle w:val="13"/>
            </w:pPr>
            <w:r>
              <w:t>城乡义务教育公用经费管理办法</w:t>
            </w:r>
          </w:p>
        </w:tc>
      </w:tr>
    </w:tbl>
    <w:p w14:paraId="60D8DFD2">
      <w:pPr>
        <w:sectPr>
          <w:pgSz w:w="16840" w:h="11900" w:orient="landscape"/>
          <w:pgMar w:top="1361" w:right="1020" w:bottom="1134" w:left="1020" w:header="720" w:footer="720" w:gutter="0"/>
          <w:cols w:space="720" w:num="1"/>
        </w:sectPr>
      </w:pPr>
    </w:p>
    <w:p w14:paraId="609737D8">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7、冀财教[2024]123号/中央/2025年义教补助经费/综合奖补/千户营校区千户营小学公用经费绩效目标表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2F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BA579">
            <w:pPr>
              <w:pStyle w:val="14"/>
            </w:pPr>
            <w:r>
              <w:t>单位：万元</w:t>
            </w:r>
          </w:p>
        </w:tc>
      </w:tr>
      <w:tr w14:paraId="1B489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B47659">
            <w:pPr>
              <w:pStyle w:val="11"/>
            </w:pPr>
            <w:r>
              <w:t>项目编码</w:t>
            </w:r>
          </w:p>
        </w:tc>
        <w:tc>
          <w:tcPr>
            <w:tcW w:w="5103" w:type="dxa"/>
            <w:gridSpan w:val="2"/>
            <w:vAlign w:val="center"/>
          </w:tcPr>
          <w:p w14:paraId="2A784626">
            <w:pPr>
              <w:pStyle w:val="13"/>
            </w:pPr>
            <w:r>
              <w:t>13052525P00875610285X</w:t>
            </w:r>
          </w:p>
        </w:tc>
        <w:tc>
          <w:tcPr>
            <w:tcW w:w="2835" w:type="dxa"/>
            <w:vAlign w:val="center"/>
          </w:tcPr>
          <w:p w14:paraId="07EC9925">
            <w:pPr>
              <w:pStyle w:val="11"/>
            </w:pPr>
            <w:r>
              <w:t>项目名称</w:t>
            </w:r>
          </w:p>
        </w:tc>
        <w:tc>
          <w:tcPr>
            <w:tcW w:w="6095" w:type="dxa"/>
            <w:gridSpan w:val="3"/>
            <w:vAlign w:val="center"/>
          </w:tcPr>
          <w:p w14:paraId="44385695">
            <w:pPr>
              <w:pStyle w:val="13"/>
            </w:pPr>
            <w:r>
              <w:t>冀财教[2024]123号/中央/2025年义教补助经费/综合奖补/千户营校区千户营小学公用经费</w:t>
            </w:r>
          </w:p>
        </w:tc>
      </w:tr>
      <w:tr w14:paraId="0FAD7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B9256">
            <w:pPr>
              <w:pStyle w:val="11"/>
            </w:pPr>
            <w:r>
              <w:t>预算规模及资金用途</w:t>
            </w:r>
          </w:p>
        </w:tc>
        <w:tc>
          <w:tcPr>
            <w:tcW w:w="2268" w:type="dxa"/>
            <w:vAlign w:val="center"/>
          </w:tcPr>
          <w:p w14:paraId="1A08B925">
            <w:pPr>
              <w:pStyle w:val="11"/>
            </w:pPr>
            <w:r>
              <w:t>预算数</w:t>
            </w:r>
          </w:p>
        </w:tc>
        <w:tc>
          <w:tcPr>
            <w:tcW w:w="2835" w:type="dxa"/>
            <w:vAlign w:val="center"/>
          </w:tcPr>
          <w:p w14:paraId="0F640EDC">
            <w:pPr>
              <w:pStyle w:val="13"/>
            </w:pPr>
            <w:r>
              <w:t>2.00</w:t>
            </w:r>
          </w:p>
        </w:tc>
        <w:tc>
          <w:tcPr>
            <w:tcW w:w="2835" w:type="dxa"/>
            <w:vAlign w:val="center"/>
          </w:tcPr>
          <w:p w14:paraId="4A79947B">
            <w:pPr>
              <w:pStyle w:val="11"/>
            </w:pPr>
            <w:r>
              <w:t>其中：财政    资金</w:t>
            </w:r>
          </w:p>
        </w:tc>
        <w:tc>
          <w:tcPr>
            <w:tcW w:w="2551" w:type="dxa"/>
            <w:vAlign w:val="center"/>
          </w:tcPr>
          <w:p w14:paraId="1D909D6B">
            <w:pPr>
              <w:pStyle w:val="13"/>
            </w:pPr>
            <w:r>
              <w:t>2.00</w:t>
            </w:r>
          </w:p>
        </w:tc>
        <w:tc>
          <w:tcPr>
            <w:tcW w:w="2268" w:type="dxa"/>
            <w:vAlign w:val="center"/>
          </w:tcPr>
          <w:p w14:paraId="6F741FD5">
            <w:pPr>
              <w:pStyle w:val="11"/>
            </w:pPr>
            <w:r>
              <w:t>其他资金</w:t>
            </w:r>
          </w:p>
        </w:tc>
        <w:tc>
          <w:tcPr>
            <w:tcW w:w="1276" w:type="dxa"/>
            <w:vAlign w:val="center"/>
          </w:tcPr>
          <w:p w14:paraId="07E51859">
            <w:pPr>
              <w:pStyle w:val="13"/>
            </w:pPr>
            <w:r>
              <w:t xml:space="preserve"> </w:t>
            </w:r>
          </w:p>
        </w:tc>
      </w:tr>
      <w:tr w14:paraId="5A07E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C00A0"/>
        </w:tc>
        <w:tc>
          <w:tcPr>
            <w:tcW w:w="14033" w:type="dxa"/>
            <w:gridSpan w:val="6"/>
            <w:vAlign w:val="center"/>
          </w:tcPr>
          <w:p w14:paraId="16D11436">
            <w:pPr>
              <w:pStyle w:val="13"/>
            </w:pPr>
            <w:r>
              <w:t>用于购买视频会议系统</w:t>
            </w:r>
          </w:p>
        </w:tc>
      </w:tr>
      <w:tr w14:paraId="3EF43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9D8E7">
            <w:pPr>
              <w:pStyle w:val="11"/>
            </w:pPr>
            <w:r>
              <w:t>资金支出计划（%）</w:t>
            </w:r>
          </w:p>
        </w:tc>
        <w:tc>
          <w:tcPr>
            <w:tcW w:w="5103" w:type="dxa"/>
            <w:gridSpan w:val="2"/>
            <w:vAlign w:val="center"/>
          </w:tcPr>
          <w:p w14:paraId="4EE959CA">
            <w:pPr>
              <w:pStyle w:val="11"/>
            </w:pPr>
            <w:r>
              <w:t>3月底</w:t>
            </w:r>
          </w:p>
        </w:tc>
        <w:tc>
          <w:tcPr>
            <w:tcW w:w="2835" w:type="dxa"/>
            <w:vAlign w:val="center"/>
          </w:tcPr>
          <w:p w14:paraId="06CA3DED">
            <w:pPr>
              <w:pStyle w:val="11"/>
            </w:pPr>
            <w:r>
              <w:t>6月底</w:t>
            </w:r>
          </w:p>
        </w:tc>
        <w:tc>
          <w:tcPr>
            <w:tcW w:w="2551" w:type="dxa"/>
            <w:vAlign w:val="center"/>
          </w:tcPr>
          <w:p w14:paraId="4F2E8D1E">
            <w:pPr>
              <w:pStyle w:val="11"/>
            </w:pPr>
            <w:r>
              <w:t>10月底</w:t>
            </w:r>
          </w:p>
        </w:tc>
        <w:tc>
          <w:tcPr>
            <w:tcW w:w="3544" w:type="dxa"/>
            <w:gridSpan w:val="2"/>
            <w:vAlign w:val="center"/>
          </w:tcPr>
          <w:p w14:paraId="61F4264B">
            <w:pPr>
              <w:pStyle w:val="11"/>
            </w:pPr>
            <w:r>
              <w:t>12月底</w:t>
            </w:r>
          </w:p>
        </w:tc>
      </w:tr>
      <w:tr w14:paraId="4AC3A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DB2ED"/>
        </w:tc>
        <w:tc>
          <w:tcPr>
            <w:tcW w:w="5103" w:type="dxa"/>
            <w:gridSpan w:val="2"/>
            <w:vAlign w:val="center"/>
          </w:tcPr>
          <w:p w14:paraId="7486F1AF">
            <w:pPr>
              <w:pStyle w:val="12"/>
            </w:pPr>
            <w:r>
              <w:t xml:space="preserve"> </w:t>
            </w:r>
          </w:p>
        </w:tc>
        <w:tc>
          <w:tcPr>
            <w:tcW w:w="2835" w:type="dxa"/>
            <w:vAlign w:val="center"/>
          </w:tcPr>
          <w:p w14:paraId="40731060">
            <w:pPr>
              <w:pStyle w:val="12"/>
            </w:pPr>
            <w:r>
              <w:t>100%</w:t>
            </w:r>
          </w:p>
        </w:tc>
        <w:tc>
          <w:tcPr>
            <w:tcW w:w="2551" w:type="dxa"/>
            <w:vAlign w:val="center"/>
          </w:tcPr>
          <w:p w14:paraId="285D9278">
            <w:pPr>
              <w:pStyle w:val="12"/>
            </w:pPr>
            <w:r>
              <w:t>100%</w:t>
            </w:r>
          </w:p>
        </w:tc>
        <w:tc>
          <w:tcPr>
            <w:tcW w:w="3544" w:type="dxa"/>
            <w:gridSpan w:val="2"/>
            <w:vAlign w:val="center"/>
          </w:tcPr>
          <w:p w14:paraId="64E144E8">
            <w:pPr>
              <w:pStyle w:val="12"/>
            </w:pPr>
            <w:r>
              <w:t>100%</w:t>
            </w:r>
          </w:p>
        </w:tc>
      </w:tr>
      <w:tr w14:paraId="35909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F201BF">
            <w:pPr>
              <w:pStyle w:val="11"/>
            </w:pPr>
            <w:r>
              <w:t>绩效目标</w:t>
            </w:r>
          </w:p>
        </w:tc>
        <w:tc>
          <w:tcPr>
            <w:tcW w:w="14033" w:type="dxa"/>
            <w:gridSpan w:val="6"/>
            <w:vAlign w:val="center"/>
          </w:tcPr>
          <w:p w14:paraId="69241463">
            <w:pPr>
              <w:pStyle w:val="13"/>
            </w:pPr>
            <w:r>
              <w:t>1.为保证学校正常运转和改善办学条件。</w:t>
            </w:r>
          </w:p>
          <w:p w14:paraId="4EF83246">
            <w:pPr>
              <w:pStyle w:val="13"/>
            </w:pPr>
            <w:r>
              <w:t>2.按拨款序时进度完成经费拨付和支出。</w:t>
            </w:r>
          </w:p>
        </w:tc>
      </w:tr>
    </w:tbl>
    <w:p w14:paraId="42245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3F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7E9D6">
            <w:pPr>
              <w:pStyle w:val="11"/>
            </w:pPr>
            <w:r>
              <w:t>一级指标</w:t>
            </w:r>
          </w:p>
        </w:tc>
        <w:tc>
          <w:tcPr>
            <w:tcW w:w="2268" w:type="dxa"/>
            <w:vAlign w:val="center"/>
          </w:tcPr>
          <w:p w14:paraId="27D704EB">
            <w:pPr>
              <w:pStyle w:val="11"/>
            </w:pPr>
            <w:r>
              <w:t>二级指标</w:t>
            </w:r>
          </w:p>
        </w:tc>
        <w:tc>
          <w:tcPr>
            <w:tcW w:w="2835" w:type="dxa"/>
            <w:vAlign w:val="center"/>
          </w:tcPr>
          <w:p w14:paraId="12A16D1E">
            <w:pPr>
              <w:pStyle w:val="11"/>
            </w:pPr>
            <w:r>
              <w:t>三级指标</w:t>
            </w:r>
          </w:p>
        </w:tc>
        <w:tc>
          <w:tcPr>
            <w:tcW w:w="5386" w:type="dxa"/>
            <w:vAlign w:val="center"/>
          </w:tcPr>
          <w:p w14:paraId="39FC441A">
            <w:pPr>
              <w:pStyle w:val="11"/>
            </w:pPr>
            <w:r>
              <w:t>绩效指标描述</w:t>
            </w:r>
          </w:p>
        </w:tc>
        <w:tc>
          <w:tcPr>
            <w:tcW w:w="2268" w:type="dxa"/>
            <w:vAlign w:val="center"/>
          </w:tcPr>
          <w:p w14:paraId="5DF1EB12">
            <w:pPr>
              <w:pStyle w:val="11"/>
            </w:pPr>
            <w:r>
              <w:t>指标值</w:t>
            </w:r>
          </w:p>
        </w:tc>
        <w:tc>
          <w:tcPr>
            <w:tcW w:w="1276" w:type="dxa"/>
            <w:vAlign w:val="center"/>
          </w:tcPr>
          <w:p w14:paraId="3232E0BF">
            <w:pPr>
              <w:pStyle w:val="11"/>
            </w:pPr>
            <w:r>
              <w:t>指标值确定依据</w:t>
            </w:r>
          </w:p>
        </w:tc>
      </w:tr>
      <w:tr w14:paraId="6813C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83EE1">
            <w:pPr>
              <w:pStyle w:val="12"/>
            </w:pPr>
            <w:r>
              <w:t>产出指标</w:t>
            </w:r>
          </w:p>
        </w:tc>
        <w:tc>
          <w:tcPr>
            <w:tcW w:w="2268" w:type="dxa"/>
            <w:vAlign w:val="center"/>
          </w:tcPr>
          <w:p w14:paraId="007FEC13">
            <w:pPr>
              <w:pStyle w:val="13"/>
            </w:pPr>
            <w:r>
              <w:t>数量指标</w:t>
            </w:r>
          </w:p>
        </w:tc>
        <w:tc>
          <w:tcPr>
            <w:tcW w:w="2835" w:type="dxa"/>
            <w:vAlign w:val="center"/>
          </w:tcPr>
          <w:p w14:paraId="3EDA0557">
            <w:pPr>
              <w:pStyle w:val="13"/>
            </w:pPr>
            <w:r>
              <w:t>就读学生数</w:t>
            </w:r>
          </w:p>
        </w:tc>
        <w:tc>
          <w:tcPr>
            <w:tcW w:w="5386" w:type="dxa"/>
            <w:vAlign w:val="center"/>
          </w:tcPr>
          <w:p w14:paraId="0C9AAD87">
            <w:pPr>
              <w:pStyle w:val="13"/>
            </w:pPr>
            <w:r>
              <w:t>辐射区域内适龄学生人数</w:t>
            </w:r>
          </w:p>
        </w:tc>
        <w:tc>
          <w:tcPr>
            <w:tcW w:w="2268" w:type="dxa"/>
            <w:vAlign w:val="center"/>
          </w:tcPr>
          <w:p w14:paraId="60CD91D0">
            <w:pPr>
              <w:pStyle w:val="13"/>
            </w:pPr>
            <w:r>
              <w:t>976人</w:t>
            </w:r>
          </w:p>
        </w:tc>
        <w:tc>
          <w:tcPr>
            <w:tcW w:w="1276" w:type="dxa"/>
            <w:vAlign w:val="center"/>
          </w:tcPr>
          <w:p w14:paraId="49B2458F">
            <w:pPr>
              <w:pStyle w:val="13"/>
            </w:pPr>
            <w:r>
              <w:t>城乡义务教育公用经费管理办法</w:t>
            </w:r>
          </w:p>
        </w:tc>
      </w:tr>
      <w:tr w14:paraId="68FA7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499E9"/>
        </w:tc>
        <w:tc>
          <w:tcPr>
            <w:tcW w:w="2268" w:type="dxa"/>
            <w:vAlign w:val="center"/>
          </w:tcPr>
          <w:p w14:paraId="424C5841">
            <w:pPr>
              <w:pStyle w:val="13"/>
            </w:pPr>
            <w:r>
              <w:t>质量指标</w:t>
            </w:r>
          </w:p>
        </w:tc>
        <w:tc>
          <w:tcPr>
            <w:tcW w:w="2835" w:type="dxa"/>
            <w:vAlign w:val="center"/>
          </w:tcPr>
          <w:p w14:paraId="2E62B794">
            <w:pPr>
              <w:pStyle w:val="13"/>
            </w:pPr>
            <w:r>
              <w:t>预算执行率</w:t>
            </w:r>
          </w:p>
        </w:tc>
        <w:tc>
          <w:tcPr>
            <w:tcW w:w="5386" w:type="dxa"/>
            <w:vAlign w:val="center"/>
          </w:tcPr>
          <w:p w14:paraId="575FADF9">
            <w:pPr>
              <w:pStyle w:val="13"/>
            </w:pPr>
            <w:r>
              <w:t>预算执行率≥98%</w:t>
            </w:r>
          </w:p>
        </w:tc>
        <w:tc>
          <w:tcPr>
            <w:tcW w:w="2268" w:type="dxa"/>
            <w:vAlign w:val="center"/>
          </w:tcPr>
          <w:p w14:paraId="3798C822">
            <w:pPr>
              <w:pStyle w:val="13"/>
            </w:pPr>
            <w:r>
              <w:t>≥98%</w:t>
            </w:r>
          </w:p>
        </w:tc>
        <w:tc>
          <w:tcPr>
            <w:tcW w:w="1276" w:type="dxa"/>
            <w:vAlign w:val="center"/>
          </w:tcPr>
          <w:p w14:paraId="31E0380E">
            <w:pPr>
              <w:pStyle w:val="13"/>
            </w:pPr>
            <w:r>
              <w:t>城乡义务教育公用经费管理办法</w:t>
            </w:r>
          </w:p>
        </w:tc>
      </w:tr>
      <w:tr w14:paraId="1AEFC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A4A73"/>
        </w:tc>
        <w:tc>
          <w:tcPr>
            <w:tcW w:w="2268" w:type="dxa"/>
            <w:vAlign w:val="center"/>
          </w:tcPr>
          <w:p w14:paraId="269EA31C">
            <w:pPr>
              <w:pStyle w:val="13"/>
            </w:pPr>
            <w:r>
              <w:t>时效指标</w:t>
            </w:r>
          </w:p>
        </w:tc>
        <w:tc>
          <w:tcPr>
            <w:tcW w:w="2835" w:type="dxa"/>
            <w:vAlign w:val="center"/>
          </w:tcPr>
          <w:p w14:paraId="18E038B3">
            <w:pPr>
              <w:pStyle w:val="13"/>
            </w:pPr>
            <w:r>
              <w:t>义教经费支付完成率</w:t>
            </w:r>
          </w:p>
        </w:tc>
        <w:tc>
          <w:tcPr>
            <w:tcW w:w="5386" w:type="dxa"/>
            <w:vAlign w:val="center"/>
          </w:tcPr>
          <w:p w14:paraId="47D9FB4E">
            <w:pPr>
              <w:pStyle w:val="13"/>
            </w:pPr>
            <w:r>
              <w:t>按照序时进度完成资金支付</w:t>
            </w:r>
          </w:p>
        </w:tc>
        <w:tc>
          <w:tcPr>
            <w:tcW w:w="2268" w:type="dxa"/>
            <w:vAlign w:val="center"/>
          </w:tcPr>
          <w:p w14:paraId="4D21A1D0">
            <w:pPr>
              <w:pStyle w:val="13"/>
            </w:pPr>
            <w:r>
              <w:t>≥100%</w:t>
            </w:r>
          </w:p>
        </w:tc>
        <w:tc>
          <w:tcPr>
            <w:tcW w:w="1276" w:type="dxa"/>
            <w:vAlign w:val="center"/>
          </w:tcPr>
          <w:p w14:paraId="714AC512">
            <w:pPr>
              <w:pStyle w:val="13"/>
            </w:pPr>
            <w:r>
              <w:t>城乡义务教育公用经费管理办法</w:t>
            </w:r>
          </w:p>
        </w:tc>
      </w:tr>
      <w:tr w14:paraId="71D94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3B7A9"/>
        </w:tc>
        <w:tc>
          <w:tcPr>
            <w:tcW w:w="2268" w:type="dxa"/>
            <w:vAlign w:val="center"/>
          </w:tcPr>
          <w:p w14:paraId="20096F58">
            <w:pPr>
              <w:pStyle w:val="13"/>
            </w:pPr>
            <w:r>
              <w:t>成本指标</w:t>
            </w:r>
          </w:p>
        </w:tc>
        <w:tc>
          <w:tcPr>
            <w:tcW w:w="2835" w:type="dxa"/>
            <w:vAlign w:val="center"/>
          </w:tcPr>
          <w:p w14:paraId="4A427303">
            <w:pPr>
              <w:pStyle w:val="13"/>
            </w:pPr>
            <w:r>
              <w:t>生均拨款标准</w:t>
            </w:r>
          </w:p>
        </w:tc>
        <w:tc>
          <w:tcPr>
            <w:tcW w:w="5386" w:type="dxa"/>
            <w:vAlign w:val="center"/>
          </w:tcPr>
          <w:p w14:paraId="49E334FF">
            <w:pPr>
              <w:pStyle w:val="13"/>
            </w:pPr>
            <w:r>
              <w:t>小学生公用经费生均小学720元，取暖费120元/生/年，随班就读学生补助7000元/生</w:t>
            </w:r>
          </w:p>
        </w:tc>
        <w:tc>
          <w:tcPr>
            <w:tcW w:w="2268" w:type="dxa"/>
            <w:vAlign w:val="center"/>
          </w:tcPr>
          <w:p w14:paraId="4AD7DC64">
            <w:pPr>
              <w:pStyle w:val="13"/>
            </w:pPr>
            <w:r>
              <w:t>≥840元</w:t>
            </w:r>
          </w:p>
        </w:tc>
        <w:tc>
          <w:tcPr>
            <w:tcW w:w="1276" w:type="dxa"/>
            <w:vAlign w:val="center"/>
          </w:tcPr>
          <w:p w14:paraId="0EAA4334">
            <w:pPr>
              <w:pStyle w:val="13"/>
            </w:pPr>
            <w:r>
              <w:t>城乡义务教育公用经费管理办法</w:t>
            </w:r>
          </w:p>
        </w:tc>
      </w:tr>
      <w:tr w14:paraId="34F06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59DF2">
            <w:pPr>
              <w:pStyle w:val="12"/>
            </w:pPr>
            <w:r>
              <w:t>效益指标</w:t>
            </w:r>
          </w:p>
        </w:tc>
        <w:tc>
          <w:tcPr>
            <w:tcW w:w="2268" w:type="dxa"/>
            <w:vAlign w:val="center"/>
          </w:tcPr>
          <w:p w14:paraId="665E409C">
            <w:pPr>
              <w:pStyle w:val="13"/>
            </w:pPr>
            <w:r>
              <w:t>社会效益指标</w:t>
            </w:r>
          </w:p>
        </w:tc>
        <w:tc>
          <w:tcPr>
            <w:tcW w:w="2835" w:type="dxa"/>
            <w:vAlign w:val="center"/>
          </w:tcPr>
          <w:p w14:paraId="7C2C89B4">
            <w:pPr>
              <w:pStyle w:val="13"/>
            </w:pPr>
            <w:r>
              <w:t>学校运转得到提高</w:t>
            </w:r>
          </w:p>
        </w:tc>
        <w:tc>
          <w:tcPr>
            <w:tcW w:w="5386" w:type="dxa"/>
            <w:vAlign w:val="center"/>
          </w:tcPr>
          <w:p w14:paraId="4EFBC238">
            <w:pPr>
              <w:pStyle w:val="13"/>
            </w:pPr>
            <w:r>
              <w:t>学生受教育年限</w:t>
            </w:r>
          </w:p>
        </w:tc>
        <w:tc>
          <w:tcPr>
            <w:tcW w:w="2268" w:type="dxa"/>
            <w:vAlign w:val="center"/>
          </w:tcPr>
          <w:p w14:paraId="69879454">
            <w:pPr>
              <w:pStyle w:val="13"/>
            </w:pPr>
            <w:r>
              <w:t>6年</w:t>
            </w:r>
          </w:p>
        </w:tc>
        <w:tc>
          <w:tcPr>
            <w:tcW w:w="1276" w:type="dxa"/>
            <w:vAlign w:val="center"/>
          </w:tcPr>
          <w:p w14:paraId="26CCC665">
            <w:pPr>
              <w:pStyle w:val="13"/>
            </w:pPr>
            <w:r>
              <w:t>城乡义务教育公用经费管理办法</w:t>
            </w:r>
          </w:p>
        </w:tc>
      </w:tr>
      <w:tr w14:paraId="745BF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A2A6EC">
            <w:pPr>
              <w:pStyle w:val="12"/>
            </w:pPr>
            <w:r>
              <w:t>满意度指标</w:t>
            </w:r>
          </w:p>
        </w:tc>
        <w:tc>
          <w:tcPr>
            <w:tcW w:w="2268" w:type="dxa"/>
            <w:vAlign w:val="center"/>
          </w:tcPr>
          <w:p w14:paraId="7503B8E1">
            <w:pPr>
              <w:pStyle w:val="13"/>
            </w:pPr>
            <w:r>
              <w:t>服务对象满意度指标</w:t>
            </w:r>
          </w:p>
        </w:tc>
        <w:tc>
          <w:tcPr>
            <w:tcW w:w="2835" w:type="dxa"/>
            <w:vAlign w:val="center"/>
          </w:tcPr>
          <w:p w14:paraId="1090E986">
            <w:pPr>
              <w:pStyle w:val="13"/>
            </w:pPr>
            <w:r>
              <w:t>服务对象满意度</w:t>
            </w:r>
          </w:p>
        </w:tc>
        <w:tc>
          <w:tcPr>
            <w:tcW w:w="5386" w:type="dxa"/>
            <w:vAlign w:val="center"/>
          </w:tcPr>
          <w:p w14:paraId="079B5E93">
            <w:pPr>
              <w:pStyle w:val="13"/>
            </w:pPr>
            <w:r>
              <w:t>学校老师和学生满意度</w:t>
            </w:r>
          </w:p>
        </w:tc>
        <w:tc>
          <w:tcPr>
            <w:tcW w:w="2268" w:type="dxa"/>
            <w:vAlign w:val="center"/>
          </w:tcPr>
          <w:p w14:paraId="1879655B">
            <w:pPr>
              <w:pStyle w:val="13"/>
            </w:pPr>
            <w:r>
              <w:t>≥95%</w:t>
            </w:r>
          </w:p>
        </w:tc>
        <w:tc>
          <w:tcPr>
            <w:tcW w:w="1276" w:type="dxa"/>
            <w:vAlign w:val="center"/>
          </w:tcPr>
          <w:p w14:paraId="011CF9A1">
            <w:pPr>
              <w:pStyle w:val="13"/>
            </w:pPr>
            <w:r>
              <w:t>城乡义务教育公用经费管理办法</w:t>
            </w:r>
          </w:p>
        </w:tc>
      </w:tr>
    </w:tbl>
    <w:p w14:paraId="450DD3D6">
      <w:pPr>
        <w:sectPr>
          <w:pgSz w:w="16840" w:h="11900" w:orient="landscape"/>
          <w:pgMar w:top="1361" w:right="1020" w:bottom="1134" w:left="1020" w:header="720" w:footer="720" w:gutter="0"/>
          <w:cols w:space="720" w:num="1"/>
        </w:sectPr>
      </w:pPr>
    </w:p>
    <w:p w14:paraId="66480427">
      <w:pPr>
        <w:spacing w:before="0" w:after="0"/>
        <w:ind w:firstLine="560"/>
        <w:jc w:val="left"/>
        <w:outlineLvl w:val="9"/>
      </w:pPr>
      <w:r>
        <w:rPr>
          <w:rFonts w:ascii="方正仿宋_GBK" w:hAnsi="方正仿宋_GBK" w:eastAsia="方正仿宋_GBK" w:cs="方正仿宋_GBK"/>
          <w:b/>
          <w:color w:val="000000"/>
          <w:sz w:val="28"/>
        </w:rPr>
        <w:t>8、冀财教[2024]141号/省级/2025年义教补助经费/毛尔寨中心小学公用经费绩效目标表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DA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0FE7D">
            <w:pPr>
              <w:pStyle w:val="14"/>
            </w:pPr>
            <w:r>
              <w:t>单位：万元</w:t>
            </w:r>
          </w:p>
        </w:tc>
      </w:tr>
      <w:tr w14:paraId="3D56F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393023">
            <w:pPr>
              <w:pStyle w:val="11"/>
            </w:pPr>
            <w:r>
              <w:t>项目编码</w:t>
            </w:r>
          </w:p>
        </w:tc>
        <w:tc>
          <w:tcPr>
            <w:tcW w:w="5103" w:type="dxa"/>
            <w:gridSpan w:val="2"/>
            <w:vAlign w:val="center"/>
          </w:tcPr>
          <w:p w14:paraId="02D74868">
            <w:pPr>
              <w:pStyle w:val="13"/>
            </w:pPr>
            <w:r>
              <w:t>13052525P00000410196R</w:t>
            </w:r>
          </w:p>
        </w:tc>
        <w:tc>
          <w:tcPr>
            <w:tcW w:w="2835" w:type="dxa"/>
            <w:vAlign w:val="center"/>
          </w:tcPr>
          <w:p w14:paraId="58D132C3">
            <w:pPr>
              <w:pStyle w:val="11"/>
            </w:pPr>
            <w:r>
              <w:t>项目名称</w:t>
            </w:r>
          </w:p>
        </w:tc>
        <w:tc>
          <w:tcPr>
            <w:tcW w:w="6095" w:type="dxa"/>
            <w:gridSpan w:val="3"/>
            <w:vAlign w:val="center"/>
          </w:tcPr>
          <w:p w14:paraId="5152AE0E">
            <w:pPr>
              <w:pStyle w:val="13"/>
            </w:pPr>
            <w:r>
              <w:t>冀财教[2024]141号/省级/2025年义教补助经费/毛尔寨中心小学公用经费</w:t>
            </w:r>
          </w:p>
        </w:tc>
      </w:tr>
      <w:tr w14:paraId="7FD91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B43F2">
            <w:pPr>
              <w:pStyle w:val="11"/>
            </w:pPr>
            <w:r>
              <w:t>预算规模及资金用途</w:t>
            </w:r>
          </w:p>
        </w:tc>
        <w:tc>
          <w:tcPr>
            <w:tcW w:w="2268" w:type="dxa"/>
            <w:vAlign w:val="center"/>
          </w:tcPr>
          <w:p w14:paraId="50270379">
            <w:pPr>
              <w:pStyle w:val="11"/>
            </w:pPr>
            <w:r>
              <w:t>预算数</w:t>
            </w:r>
          </w:p>
        </w:tc>
        <w:tc>
          <w:tcPr>
            <w:tcW w:w="2835" w:type="dxa"/>
            <w:vAlign w:val="center"/>
          </w:tcPr>
          <w:p w14:paraId="06926C08">
            <w:pPr>
              <w:pStyle w:val="13"/>
            </w:pPr>
            <w:r>
              <w:t>12.02</w:t>
            </w:r>
          </w:p>
        </w:tc>
        <w:tc>
          <w:tcPr>
            <w:tcW w:w="2835" w:type="dxa"/>
            <w:vAlign w:val="center"/>
          </w:tcPr>
          <w:p w14:paraId="0A03F615">
            <w:pPr>
              <w:pStyle w:val="11"/>
            </w:pPr>
            <w:r>
              <w:t>其中：财政    资金</w:t>
            </w:r>
          </w:p>
        </w:tc>
        <w:tc>
          <w:tcPr>
            <w:tcW w:w="2551" w:type="dxa"/>
            <w:vAlign w:val="center"/>
          </w:tcPr>
          <w:p w14:paraId="41478ECA">
            <w:pPr>
              <w:pStyle w:val="13"/>
            </w:pPr>
            <w:r>
              <w:t>12.02</w:t>
            </w:r>
          </w:p>
        </w:tc>
        <w:tc>
          <w:tcPr>
            <w:tcW w:w="2268" w:type="dxa"/>
            <w:vAlign w:val="center"/>
          </w:tcPr>
          <w:p w14:paraId="7681054A">
            <w:pPr>
              <w:pStyle w:val="11"/>
            </w:pPr>
            <w:r>
              <w:t>其他资金</w:t>
            </w:r>
          </w:p>
        </w:tc>
        <w:tc>
          <w:tcPr>
            <w:tcW w:w="1276" w:type="dxa"/>
            <w:vAlign w:val="center"/>
          </w:tcPr>
          <w:p w14:paraId="6A7D41EB">
            <w:pPr>
              <w:pStyle w:val="13"/>
            </w:pPr>
            <w:r>
              <w:t xml:space="preserve"> </w:t>
            </w:r>
          </w:p>
        </w:tc>
      </w:tr>
      <w:tr w14:paraId="33D8E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F23629"/>
        </w:tc>
        <w:tc>
          <w:tcPr>
            <w:tcW w:w="14033" w:type="dxa"/>
            <w:gridSpan w:val="6"/>
            <w:vAlign w:val="center"/>
          </w:tcPr>
          <w:p w14:paraId="2E4C7491">
            <w:pPr>
              <w:pStyle w:val="13"/>
            </w:pPr>
            <w:r>
              <w:t>为保证学校正常运转和改善办学条件。</w:t>
            </w:r>
          </w:p>
        </w:tc>
      </w:tr>
      <w:tr w14:paraId="4BF28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783F4">
            <w:pPr>
              <w:pStyle w:val="11"/>
            </w:pPr>
            <w:r>
              <w:t>资金支出计划（%）</w:t>
            </w:r>
          </w:p>
        </w:tc>
        <w:tc>
          <w:tcPr>
            <w:tcW w:w="5103" w:type="dxa"/>
            <w:gridSpan w:val="2"/>
            <w:vAlign w:val="center"/>
          </w:tcPr>
          <w:p w14:paraId="263FABD6">
            <w:pPr>
              <w:pStyle w:val="11"/>
            </w:pPr>
            <w:r>
              <w:t>3月底</w:t>
            </w:r>
          </w:p>
        </w:tc>
        <w:tc>
          <w:tcPr>
            <w:tcW w:w="2835" w:type="dxa"/>
            <w:vAlign w:val="center"/>
          </w:tcPr>
          <w:p w14:paraId="7FFE61A2">
            <w:pPr>
              <w:pStyle w:val="11"/>
            </w:pPr>
            <w:r>
              <w:t>6月底</w:t>
            </w:r>
          </w:p>
        </w:tc>
        <w:tc>
          <w:tcPr>
            <w:tcW w:w="2551" w:type="dxa"/>
            <w:vAlign w:val="center"/>
          </w:tcPr>
          <w:p w14:paraId="53752008">
            <w:pPr>
              <w:pStyle w:val="11"/>
            </w:pPr>
            <w:r>
              <w:t>10月底</w:t>
            </w:r>
          </w:p>
        </w:tc>
        <w:tc>
          <w:tcPr>
            <w:tcW w:w="3544" w:type="dxa"/>
            <w:gridSpan w:val="2"/>
            <w:vAlign w:val="center"/>
          </w:tcPr>
          <w:p w14:paraId="5E143A01">
            <w:pPr>
              <w:pStyle w:val="11"/>
            </w:pPr>
            <w:r>
              <w:t>12月底</w:t>
            </w:r>
          </w:p>
        </w:tc>
      </w:tr>
      <w:tr w14:paraId="2492C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52E641"/>
        </w:tc>
        <w:tc>
          <w:tcPr>
            <w:tcW w:w="5103" w:type="dxa"/>
            <w:gridSpan w:val="2"/>
            <w:vAlign w:val="center"/>
          </w:tcPr>
          <w:p w14:paraId="7C8B6866">
            <w:pPr>
              <w:pStyle w:val="12"/>
            </w:pPr>
            <w:r>
              <w:t>25%</w:t>
            </w:r>
          </w:p>
        </w:tc>
        <w:tc>
          <w:tcPr>
            <w:tcW w:w="2835" w:type="dxa"/>
            <w:vAlign w:val="center"/>
          </w:tcPr>
          <w:p w14:paraId="7BE5E3EC">
            <w:pPr>
              <w:pStyle w:val="12"/>
            </w:pPr>
            <w:r>
              <w:t>50%</w:t>
            </w:r>
          </w:p>
        </w:tc>
        <w:tc>
          <w:tcPr>
            <w:tcW w:w="2551" w:type="dxa"/>
            <w:vAlign w:val="center"/>
          </w:tcPr>
          <w:p w14:paraId="116D4FCF">
            <w:pPr>
              <w:pStyle w:val="12"/>
            </w:pPr>
            <w:r>
              <w:t>75%</w:t>
            </w:r>
          </w:p>
        </w:tc>
        <w:tc>
          <w:tcPr>
            <w:tcW w:w="3544" w:type="dxa"/>
            <w:gridSpan w:val="2"/>
            <w:vAlign w:val="center"/>
          </w:tcPr>
          <w:p w14:paraId="38D763E9">
            <w:pPr>
              <w:pStyle w:val="12"/>
            </w:pPr>
            <w:r>
              <w:t>100%</w:t>
            </w:r>
          </w:p>
        </w:tc>
      </w:tr>
      <w:tr w14:paraId="68811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364E1D">
            <w:pPr>
              <w:pStyle w:val="11"/>
            </w:pPr>
            <w:r>
              <w:t>绩效目标</w:t>
            </w:r>
          </w:p>
        </w:tc>
        <w:tc>
          <w:tcPr>
            <w:tcW w:w="14033" w:type="dxa"/>
            <w:gridSpan w:val="6"/>
            <w:vAlign w:val="center"/>
          </w:tcPr>
          <w:p w14:paraId="5C65EDE8">
            <w:pPr>
              <w:pStyle w:val="13"/>
            </w:pPr>
            <w:r>
              <w:t>1.按拨款序时进度完成经费拨付和支出。</w:t>
            </w:r>
          </w:p>
          <w:p w14:paraId="5702AEC3">
            <w:pPr>
              <w:pStyle w:val="13"/>
            </w:pPr>
            <w:r>
              <w:t>2.为保证学校正常运转和改善办学条件。</w:t>
            </w:r>
          </w:p>
        </w:tc>
      </w:tr>
    </w:tbl>
    <w:p w14:paraId="742E1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8D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81CEE">
            <w:pPr>
              <w:pStyle w:val="11"/>
            </w:pPr>
            <w:r>
              <w:t>一级指标</w:t>
            </w:r>
          </w:p>
        </w:tc>
        <w:tc>
          <w:tcPr>
            <w:tcW w:w="2268" w:type="dxa"/>
            <w:vAlign w:val="center"/>
          </w:tcPr>
          <w:p w14:paraId="446AA792">
            <w:pPr>
              <w:pStyle w:val="11"/>
            </w:pPr>
            <w:r>
              <w:t>二级指标</w:t>
            </w:r>
          </w:p>
        </w:tc>
        <w:tc>
          <w:tcPr>
            <w:tcW w:w="2835" w:type="dxa"/>
            <w:vAlign w:val="center"/>
          </w:tcPr>
          <w:p w14:paraId="14F6B311">
            <w:pPr>
              <w:pStyle w:val="11"/>
            </w:pPr>
            <w:r>
              <w:t>三级指标</w:t>
            </w:r>
          </w:p>
        </w:tc>
        <w:tc>
          <w:tcPr>
            <w:tcW w:w="5386" w:type="dxa"/>
            <w:vAlign w:val="center"/>
          </w:tcPr>
          <w:p w14:paraId="0B6CC338">
            <w:pPr>
              <w:pStyle w:val="11"/>
            </w:pPr>
            <w:r>
              <w:t>绩效指标描述</w:t>
            </w:r>
          </w:p>
        </w:tc>
        <w:tc>
          <w:tcPr>
            <w:tcW w:w="2268" w:type="dxa"/>
            <w:vAlign w:val="center"/>
          </w:tcPr>
          <w:p w14:paraId="1067E900">
            <w:pPr>
              <w:pStyle w:val="11"/>
            </w:pPr>
            <w:r>
              <w:t>指标值</w:t>
            </w:r>
          </w:p>
        </w:tc>
        <w:tc>
          <w:tcPr>
            <w:tcW w:w="1276" w:type="dxa"/>
            <w:vAlign w:val="center"/>
          </w:tcPr>
          <w:p w14:paraId="22F7C0E6">
            <w:pPr>
              <w:pStyle w:val="11"/>
            </w:pPr>
            <w:r>
              <w:t>指标值确定依据</w:t>
            </w:r>
          </w:p>
        </w:tc>
      </w:tr>
      <w:tr w14:paraId="6360A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D4434">
            <w:pPr>
              <w:pStyle w:val="12"/>
            </w:pPr>
            <w:r>
              <w:t>产出指标</w:t>
            </w:r>
          </w:p>
        </w:tc>
        <w:tc>
          <w:tcPr>
            <w:tcW w:w="2268" w:type="dxa"/>
            <w:vAlign w:val="center"/>
          </w:tcPr>
          <w:p w14:paraId="43D00DFB">
            <w:pPr>
              <w:pStyle w:val="13"/>
            </w:pPr>
            <w:r>
              <w:t>数量指标</w:t>
            </w:r>
          </w:p>
        </w:tc>
        <w:tc>
          <w:tcPr>
            <w:tcW w:w="2835" w:type="dxa"/>
            <w:vAlign w:val="center"/>
          </w:tcPr>
          <w:p w14:paraId="2176B519">
            <w:pPr>
              <w:pStyle w:val="13"/>
            </w:pPr>
            <w:r>
              <w:t>就读学生数</w:t>
            </w:r>
          </w:p>
        </w:tc>
        <w:tc>
          <w:tcPr>
            <w:tcW w:w="5386" w:type="dxa"/>
            <w:vAlign w:val="center"/>
          </w:tcPr>
          <w:p w14:paraId="6A0A9FB7">
            <w:pPr>
              <w:pStyle w:val="13"/>
            </w:pPr>
            <w:r>
              <w:t>辐射区域内适龄学生人数</w:t>
            </w:r>
          </w:p>
        </w:tc>
        <w:tc>
          <w:tcPr>
            <w:tcW w:w="2268" w:type="dxa"/>
            <w:vAlign w:val="center"/>
          </w:tcPr>
          <w:p w14:paraId="37E6270A">
            <w:pPr>
              <w:pStyle w:val="13"/>
            </w:pPr>
            <w:r>
              <w:t>383人</w:t>
            </w:r>
          </w:p>
        </w:tc>
        <w:tc>
          <w:tcPr>
            <w:tcW w:w="1276" w:type="dxa"/>
            <w:vAlign w:val="center"/>
          </w:tcPr>
          <w:p w14:paraId="2F381E0C">
            <w:pPr>
              <w:pStyle w:val="13"/>
            </w:pPr>
            <w:r>
              <w:t>城乡义务教育公用经费管理办法</w:t>
            </w:r>
          </w:p>
        </w:tc>
      </w:tr>
      <w:tr w14:paraId="7263D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7B89C"/>
        </w:tc>
        <w:tc>
          <w:tcPr>
            <w:tcW w:w="2268" w:type="dxa"/>
            <w:vAlign w:val="center"/>
          </w:tcPr>
          <w:p w14:paraId="27C18591">
            <w:pPr>
              <w:pStyle w:val="13"/>
            </w:pPr>
            <w:r>
              <w:t>质量指标</w:t>
            </w:r>
          </w:p>
        </w:tc>
        <w:tc>
          <w:tcPr>
            <w:tcW w:w="2835" w:type="dxa"/>
            <w:vAlign w:val="center"/>
          </w:tcPr>
          <w:p w14:paraId="2BE12C41">
            <w:pPr>
              <w:pStyle w:val="13"/>
            </w:pPr>
            <w:r>
              <w:t>预算执行率</w:t>
            </w:r>
          </w:p>
        </w:tc>
        <w:tc>
          <w:tcPr>
            <w:tcW w:w="5386" w:type="dxa"/>
            <w:vAlign w:val="center"/>
          </w:tcPr>
          <w:p w14:paraId="2894D82B">
            <w:pPr>
              <w:pStyle w:val="13"/>
            </w:pPr>
            <w:r>
              <w:t>预算执行率≥98%</w:t>
            </w:r>
          </w:p>
        </w:tc>
        <w:tc>
          <w:tcPr>
            <w:tcW w:w="2268" w:type="dxa"/>
            <w:vAlign w:val="center"/>
          </w:tcPr>
          <w:p w14:paraId="535BA48F">
            <w:pPr>
              <w:pStyle w:val="13"/>
            </w:pPr>
            <w:r>
              <w:t>≥98%</w:t>
            </w:r>
          </w:p>
        </w:tc>
        <w:tc>
          <w:tcPr>
            <w:tcW w:w="1276" w:type="dxa"/>
            <w:vAlign w:val="center"/>
          </w:tcPr>
          <w:p w14:paraId="00725169">
            <w:pPr>
              <w:pStyle w:val="13"/>
            </w:pPr>
            <w:r>
              <w:t>城乡义务教育公用经费管理办法</w:t>
            </w:r>
          </w:p>
        </w:tc>
      </w:tr>
      <w:tr w14:paraId="5A5AF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3A56"/>
        </w:tc>
        <w:tc>
          <w:tcPr>
            <w:tcW w:w="2268" w:type="dxa"/>
            <w:vAlign w:val="center"/>
          </w:tcPr>
          <w:p w14:paraId="55B5C61D">
            <w:pPr>
              <w:pStyle w:val="13"/>
            </w:pPr>
            <w:r>
              <w:t>时效指标</w:t>
            </w:r>
          </w:p>
        </w:tc>
        <w:tc>
          <w:tcPr>
            <w:tcW w:w="2835" w:type="dxa"/>
            <w:vAlign w:val="center"/>
          </w:tcPr>
          <w:p w14:paraId="2338908E">
            <w:pPr>
              <w:pStyle w:val="13"/>
            </w:pPr>
            <w:r>
              <w:t>义教经费支付完成率</w:t>
            </w:r>
          </w:p>
        </w:tc>
        <w:tc>
          <w:tcPr>
            <w:tcW w:w="5386" w:type="dxa"/>
            <w:vAlign w:val="center"/>
          </w:tcPr>
          <w:p w14:paraId="23814F58">
            <w:pPr>
              <w:pStyle w:val="13"/>
            </w:pPr>
            <w:r>
              <w:t>按照序时进度完成资金支付</w:t>
            </w:r>
          </w:p>
        </w:tc>
        <w:tc>
          <w:tcPr>
            <w:tcW w:w="2268" w:type="dxa"/>
            <w:vAlign w:val="center"/>
          </w:tcPr>
          <w:p w14:paraId="475B9612">
            <w:pPr>
              <w:pStyle w:val="13"/>
            </w:pPr>
            <w:r>
              <w:t>≥100%</w:t>
            </w:r>
          </w:p>
        </w:tc>
        <w:tc>
          <w:tcPr>
            <w:tcW w:w="1276" w:type="dxa"/>
            <w:vAlign w:val="center"/>
          </w:tcPr>
          <w:p w14:paraId="7E5ED48E">
            <w:pPr>
              <w:pStyle w:val="13"/>
            </w:pPr>
            <w:r>
              <w:t>城乡义务教育公用经费管理办法</w:t>
            </w:r>
          </w:p>
        </w:tc>
      </w:tr>
      <w:tr w14:paraId="1C19F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34A33"/>
        </w:tc>
        <w:tc>
          <w:tcPr>
            <w:tcW w:w="2268" w:type="dxa"/>
            <w:vAlign w:val="center"/>
          </w:tcPr>
          <w:p w14:paraId="3D8652BD">
            <w:pPr>
              <w:pStyle w:val="13"/>
            </w:pPr>
            <w:r>
              <w:t>成本指标</w:t>
            </w:r>
          </w:p>
        </w:tc>
        <w:tc>
          <w:tcPr>
            <w:tcW w:w="2835" w:type="dxa"/>
            <w:vAlign w:val="center"/>
          </w:tcPr>
          <w:p w14:paraId="2C072960">
            <w:pPr>
              <w:pStyle w:val="13"/>
            </w:pPr>
            <w:r>
              <w:t>生均拨款标准</w:t>
            </w:r>
          </w:p>
        </w:tc>
        <w:tc>
          <w:tcPr>
            <w:tcW w:w="5386" w:type="dxa"/>
            <w:vAlign w:val="center"/>
          </w:tcPr>
          <w:p w14:paraId="3635946B">
            <w:pPr>
              <w:pStyle w:val="13"/>
            </w:pPr>
            <w:r>
              <w:t>小学生公用经费生均小学720元，取暖费120元/生/年，随班就读学生补助7000元/生</w:t>
            </w:r>
          </w:p>
        </w:tc>
        <w:tc>
          <w:tcPr>
            <w:tcW w:w="2268" w:type="dxa"/>
            <w:vAlign w:val="center"/>
          </w:tcPr>
          <w:p w14:paraId="0024ABD8">
            <w:pPr>
              <w:pStyle w:val="13"/>
            </w:pPr>
            <w:r>
              <w:t>≥840元</w:t>
            </w:r>
          </w:p>
        </w:tc>
        <w:tc>
          <w:tcPr>
            <w:tcW w:w="1276" w:type="dxa"/>
            <w:vAlign w:val="center"/>
          </w:tcPr>
          <w:p w14:paraId="714EE62F">
            <w:pPr>
              <w:pStyle w:val="13"/>
            </w:pPr>
            <w:r>
              <w:t>城乡义务教育公用经费管理办法</w:t>
            </w:r>
          </w:p>
        </w:tc>
      </w:tr>
      <w:tr w14:paraId="33173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E67251">
            <w:pPr>
              <w:pStyle w:val="12"/>
            </w:pPr>
            <w:r>
              <w:t>效益指标</w:t>
            </w:r>
          </w:p>
        </w:tc>
        <w:tc>
          <w:tcPr>
            <w:tcW w:w="2268" w:type="dxa"/>
            <w:vAlign w:val="center"/>
          </w:tcPr>
          <w:p w14:paraId="4837A801">
            <w:pPr>
              <w:pStyle w:val="13"/>
            </w:pPr>
            <w:r>
              <w:t>社会效益指标</w:t>
            </w:r>
          </w:p>
        </w:tc>
        <w:tc>
          <w:tcPr>
            <w:tcW w:w="2835" w:type="dxa"/>
            <w:vAlign w:val="center"/>
          </w:tcPr>
          <w:p w14:paraId="3C73DAB9">
            <w:pPr>
              <w:pStyle w:val="13"/>
            </w:pPr>
            <w:r>
              <w:t>学校运转得到提高</w:t>
            </w:r>
          </w:p>
        </w:tc>
        <w:tc>
          <w:tcPr>
            <w:tcW w:w="5386" w:type="dxa"/>
            <w:vAlign w:val="center"/>
          </w:tcPr>
          <w:p w14:paraId="103B3BA6">
            <w:pPr>
              <w:pStyle w:val="13"/>
            </w:pPr>
            <w:r>
              <w:t>学生受教育年限</w:t>
            </w:r>
          </w:p>
        </w:tc>
        <w:tc>
          <w:tcPr>
            <w:tcW w:w="2268" w:type="dxa"/>
            <w:vAlign w:val="center"/>
          </w:tcPr>
          <w:p w14:paraId="27E42ED4">
            <w:pPr>
              <w:pStyle w:val="13"/>
            </w:pPr>
            <w:r>
              <w:t>6年</w:t>
            </w:r>
          </w:p>
        </w:tc>
        <w:tc>
          <w:tcPr>
            <w:tcW w:w="1276" w:type="dxa"/>
            <w:vAlign w:val="center"/>
          </w:tcPr>
          <w:p w14:paraId="1F8BE012">
            <w:pPr>
              <w:pStyle w:val="13"/>
            </w:pPr>
            <w:r>
              <w:t>城乡义务教育公用经费管理办法</w:t>
            </w:r>
          </w:p>
        </w:tc>
      </w:tr>
      <w:tr w14:paraId="4CC1C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A2AD44">
            <w:pPr>
              <w:pStyle w:val="12"/>
            </w:pPr>
            <w:r>
              <w:t>满意度指标</w:t>
            </w:r>
          </w:p>
        </w:tc>
        <w:tc>
          <w:tcPr>
            <w:tcW w:w="2268" w:type="dxa"/>
            <w:vAlign w:val="center"/>
          </w:tcPr>
          <w:p w14:paraId="786F9C8F">
            <w:pPr>
              <w:pStyle w:val="13"/>
            </w:pPr>
            <w:r>
              <w:t>服务对象满意度指标</w:t>
            </w:r>
          </w:p>
        </w:tc>
        <w:tc>
          <w:tcPr>
            <w:tcW w:w="2835" w:type="dxa"/>
            <w:vAlign w:val="center"/>
          </w:tcPr>
          <w:p w14:paraId="226005D6">
            <w:pPr>
              <w:pStyle w:val="13"/>
            </w:pPr>
            <w:r>
              <w:t>服务对象满意度</w:t>
            </w:r>
          </w:p>
        </w:tc>
        <w:tc>
          <w:tcPr>
            <w:tcW w:w="5386" w:type="dxa"/>
            <w:vAlign w:val="center"/>
          </w:tcPr>
          <w:p w14:paraId="341EA758">
            <w:pPr>
              <w:pStyle w:val="13"/>
            </w:pPr>
            <w:r>
              <w:t>学校老师和学生满意度</w:t>
            </w:r>
          </w:p>
        </w:tc>
        <w:tc>
          <w:tcPr>
            <w:tcW w:w="2268" w:type="dxa"/>
            <w:vAlign w:val="center"/>
          </w:tcPr>
          <w:p w14:paraId="6A212A8B">
            <w:pPr>
              <w:pStyle w:val="13"/>
            </w:pPr>
            <w:r>
              <w:t>≥95%</w:t>
            </w:r>
          </w:p>
        </w:tc>
        <w:tc>
          <w:tcPr>
            <w:tcW w:w="1276" w:type="dxa"/>
            <w:vAlign w:val="center"/>
          </w:tcPr>
          <w:p w14:paraId="3206DC79">
            <w:pPr>
              <w:pStyle w:val="13"/>
            </w:pPr>
            <w:r>
              <w:t>城乡义务教育公用经费管理办法</w:t>
            </w:r>
          </w:p>
        </w:tc>
      </w:tr>
    </w:tbl>
    <w:p w14:paraId="5748B41E">
      <w:pPr>
        <w:sectPr>
          <w:pgSz w:w="16840" w:h="11900" w:orient="landscape"/>
          <w:pgMar w:top="1361" w:right="1020" w:bottom="1134" w:left="1020" w:header="720" w:footer="720" w:gutter="0"/>
          <w:cols w:space="720" w:num="1"/>
        </w:sectPr>
      </w:pPr>
    </w:p>
    <w:p w14:paraId="64549DFE">
      <w:pPr>
        <w:spacing w:before="0" w:after="0"/>
        <w:ind w:firstLine="560"/>
        <w:jc w:val="left"/>
        <w:outlineLvl w:val="9"/>
      </w:pPr>
      <w:r>
        <w:rPr>
          <w:rFonts w:ascii="方正仿宋_GBK" w:hAnsi="方正仿宋_GBK" w:eastAsia="方正仿宋_GBK" w:cs="方正仿宋_GBK"/>
          <w:b/>
          <w:color w:val="000000"/>
          <w:sz w:val="28"/>
        </w:rPr>
        <w:t>9、冀财教[2024]141号/省级/2025年义教补助经费/千户营小学公用经费绩效目标表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58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1690A">
            <w:pPr>
              <w:pStyle w:val="14"/>
            </w:pPr>
            <w:r>
              <w:t>单位：万元</w:t>
            </w:r>
          </w:p>
        </w:tc>
      </w:tr>
      <w:tr w14:paraId="1E664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5E6FD">
            <w:pPr>
              <w:pStyle w:val="11"/>
            </w:pPr>
            <w:r>
              <w:t>项目编码</w:t>
            </w:r>
          </w:p>
        </w:tc>
        <w:tc>
          <w:tcPr>
            <w:tcW w:w="5103" w:type="dxa"/>
            <w:gridSpan w:val="2"/>
            <w:vAlign w:val="center"/>
          </w:tcPr>
          <w:p w14:paraId="5D060E26">
            <w:pPr>
              <w:pStyle w:val="13"/>
            </w:pPr>
            <w:r>
              <w:t>13052525P000004101981</w:t>
            </w:r>
          </w:p>
        </w:tc>
        <w:tc>
          <w:tcPr>
            <w:tcW w:w="2835" w:type="dxa"/>
            <w:vAlign w:val="center"/>
          </w:tcPr>
          <w:p w14:paraId="4A89FD00">
            <w:pPr>
              <w:pStyle w:val="11"/>
            </w:pPr>
            <w:r>
              <w:t>项目名称</w:t>
            </w:r>
          </w:p>
        </w:tc>
        <w:tc>
          <w:tcPr>
            <w:tcW w:w="6095" w:type="dxa"/>
            <w:gridSpan w:val="3"/>
            <w:vAlign w:val="center"/>
          </w:tcPr>
          <w:p w14:paraId="259A5EE1">
            <w:pPr>
              <w:pStyle w:val="13"/>
            </w:pPr>
            <w:r>
              <w:t>冀财教[2024]141号/省级/2025年义教补助经费/千户营小学公用经费</w:t>
            </w:r>
          </w:p>
        </w:tc>
      </w:tr>
      <w:tr w14:paraId="37A43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27AF8">
            <w:pPr>
              <w:pStyle w:val="11"/>
            </w:pPr>
            <w:r>
              <w:t>预算规模及资金用途</w:t>
            </w:r>
          </w:p>
        </w:tc>
        <w:tc>
          <w:tcPr>
            <w:tcW w:w="2268" w:type="dxa"/>
            <w:vAlign w:val="center"/>
          </w:tcPr>
          <w:p w14:paraId="6A59EEF1">
            <w:pPr>
              <w:pStyle w:val="11"/>
            </w:pPr>
            <w:r>
              <w:t>预算数</w:t>
            </w:r>
          </w:p>
        </w:tc>
        <w:tc>
          <w:tcPr>
            <w:tcW w:w="2835" w:type="dxa"/>
            <w:vAlign w:val="center"/>
          </w:tcPr>
          <w:p w14:paraId="73D0F2CF">
            <w:pPr>
              <w:pStyle w:val="13"/>
            </w:pPr>
            <w:r>
              <w:t>30.01</w:t>
            </w:r>
          </w:p>
        </w:tc>
        <w:tc>
          <w:tcPr>
            <w:tcW w:w="2835" w:type="dxa"/>
            <w:vAlign w:val="center"/>
          </w:tcPr>
          <w:p w14:paraId="0E819FE3">
            <w:pPr>
              <w:pStyle w:val="11"/>
            </w:pPr>
            <w:r>
              <w:t>其中：财政    资金</w:t>
            </w:r>
          </w:p>
        </w:tc>
        <w:tc>
          <w:tcPr>
            <w:tcW w:w="2551" w:type="dxa"/>
            <w:vAlign w:val="center"/>
          </w:tcPr>
          <w:p w14:paraId="416C6FE5">
            <w:pPr>
              <w:pStyle w:val="13"/>
            </w:pPr>
            <w:r>
              <w:t>30.01</w:t>
            </w:r>
          </w:p>
        </w:tc>
        <w:tc>
          <w:tcPr>
            <w:tcW w:w="2268" w:type="dxa"/>
            <w:vAlign w:val="center"/>
          </w:tcPr>
          <w:p w14:paraId="3A29CFBF">
            <w:pPr>
              <w:pStyle w:val="11"/>
            </w:pPr>
            <w:r>
              <w:t>其他资金</w:t>
            </w:r>
          </w:p>
        </w:tc>
        <w:tc>
          <w:tcPr>
            <w:tcW w:w="1276" w:type="dxa"/>
            <w:vAlign w:val="center"/>
          </w:tcPr>
          <w:p w14:paraId="1642F60A">
            <w:pPr>
              <w:pStyle w:val="13"/>
            </w:pPr>
            <w:r>
              <w:t xml:space="preserve"> </w:t>
            </w:r>
          </w:p>
        </w:tc>
      </w:tr>
      <w:tr w14:paraId="02B97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4540E048"/>
        </w:tc>
        <w:tc>
          <w:tcPr>
            <w:tcW w:w="14033" w:type="dxa"/>
            <w:gridSpan w:val="6"/>
            <w:vAlign w:val="center"/>
          </w:tcPr>
          <w:p w14:paraId="68BECE4F">
            <w:pPr>
              <w:pStyle w:val="13"/>
            </w:pPr>
            <w:r>
              <w:t>为保证学校正常运转和改善办学条件。</w:t>
            </w:r>
          </w:p>
        </w:tc>
      </w:tr>
      <w:tr w14:paraId="3AC28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B7DB9">
            <w:pPr>
              <w:pStyle w:val="11"/>
            </w:pPr>
            <w:r>
              <w:t>资金支出计划（%）</w:t>
            </w:r>
          </w:p>
        </w:tc>
        <w:tc>
          <w:tcPr>
            <w:tcW w:w="5103" w:type="dxa"/>
            <w:gridSpan w:val="2"/>
            <w:vAlign w:val="center"/>
          </w:tcPr>
          <w:p w14:paraId="6A321D30">
            <w:pPr>
              <w:pStyle w:val="11"/>
            </w:pPr>
            <w:r>
              <w:t>3月底</w:t>
            </w:r>
          </w:p>
        </w:tc>
        <w:tc>
          <w:tcPr>
            <w:tcW w:w="2835" w:type="dxa"/>
            <w:vAlign w:val="center"/>
          </w:tcPr>
          <w:p w14:paraId="14E4795E">
            <w:pPr>
              <w:pStyle w:val="11"/>
            </w:pPr>
            <w:r>
              <w:t>6月底</w:t>
            </w:r>
          </w:p>
        </w:tc>
        <w:tc>
          <w:tcPr>
            <w:tcW w:w="2551" w:type="dxa"/>
            <w:vAlign w:val="center"/>
          </w:tcPr>
          <w:p w14:paraId="2CD0DF6C">
            <w:pPr>
              <w:pStyle w:val="11"/>
            </w:pPr>
            <w:r>
              <w:t>10月底</w:t>
            </w:r>
          </w:p>
        </w:tc>
        <w:tc>
          <w:tcPr>
            <w:tcW w:w="3544" w:type="dxa"/>
            <w:gridSpan w:val="2"/>
            <w:vAlign w:val="center"/>
          </w:tcPr>
          <w:p w14:paraId="78734124">
            <w:pPr>
              <w:pStyle w:val="11"/>
            </w:pPr>
            <w:r>
              <w:t>12月底</w:t>
            </w:r>
          </w:p>
        </w:tc>
      </w:tr>
      <w:tr w14:paraId="7456B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177B27"/>
        </w:tc>
        <w:tc>
          <w:tcPr>
            <w:tcW w:w="5103" w:type="dxa"/>
            <w:gridSpan w:val="2"/>
            <w:vAlign w:val="center"/>
          </w:tcPr>
          <w:p w14:paraId="4EA300E9">
            <w:pPr>
              <w:pStyle w:val="12"/>
            </w:pPr>
            <w:r>
              <w:t>25%</w:t>
            </w:r>
          </w:p>
        </w:tc>
        <w:tc>
          <w:tcPr>
            <w:tcW w:w="2835" w:type="dxa"/>
            <w:vAlign w:val="center"/>
          </w:tcPr>
          <w:p w14:paraId="4607895F">
            <w:pPr>
              <w:pStyle w:val="12"/>
            </w:pPr>
            <w:r>
              <w:t>50%</w:t>
            </w:r>
          </w:p>
        </w:tc>
        <w:tc>
          <w:tcPr>
            <w:tcW w:w="2551" w:type="dxa"/>
            <w:vAlign w:val="center"/>
          </w:tcPr>
          <w:p w14:paraId="15E3B522">
            <w:pPr>
              <w:pStyle w:val="12"/>
            </w:pPr>
            <w:r>
              <w:t>75%</w:t>
            </w:r>
          </w:p>
        </w:tc>
        <w:tc>
          <w:tcPr>
            <w:tcW w:w="3544" w:type="dxa"/>
            <w:gridSpan w:val="2"/>
            <w:vAlign w:val="center"/>
          </w:tcPr>
          <w:p w14:paraId="5D00C9E1">
            <w:pPr>
              <w:pStyle w:val="12"/>
            </w:pPr>
            <w:r>
              <w:t>100%</w:t>
            </w:r>
          </w:p>
        </w:tc>
      </w:tr>
      <w:tr w14:paraId="5E9C1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6BC98B">
            <w:pPr>
              <w:pStyle w:val="11"/>
            </w:pPr>
            <w:r>
              <w:t>绩效目标</w:t>
            </w:r>
          </w:p>
        </w:tc>
        <w:tc>
          <w:tcPr>
            <w:tcW w:w="14033" w:type="dxa"/>
            <w:gridSpan w:val="6"/>
            <w:vAlign w:val="center"/>
          </w:tcPr>
          <w:p w14:paraId="4F4580DB">
            <w:pPr>
              <w:pStyle w:val="13"/>
            </w:pPr>
            <w:r>
              <w:t>1.按拨款序时进度完成经费拨付和支出。</w:t>
            </w:r>
          </w:p>
          <w:p w14:paraId="2C008F8F">
            <w:pPr>
              <w:pStyle w:val="13"/>
            </w:pPr>
            <w:r>
              <w:t>2.为保证学校正常运转和改善办学条件。</w:t>
            </w:r>
          </w:p>
        </w:tc>
      </w:tr>
    </w:tbl>
    <w:p w14:paraId="361BCD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15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37206">
            <w:pPr>
              <w:pStyle w:val="11"/>
            </w:pPr>
            <w:r>
              <w:t>一级指标</w:t>
            </w:r>
          </w:p>
        </w:tc>
        <w:tc>
          <w:tcPr>
            <w:tcW w:w="2268" w:type="dxa"/>
            <w:vAlign w:val="center"/>
          </w:tcPr>
          <w:p w14:paraId="64D058C8">
            <w:pPr>
              <w:pStyle w:val="11"/>
            </w:pPr>
            <w:r>
              <w:t>二级指标</w:t>
            </w:r>
          </w:p>
        </w:tc>
        <w:tc>
          <w:tcPr>
            <w:tcW w:w="2835" w:type="dxa"/>
            <w:vAlign w:val="center"/>
          </w:tcPr>
          <w:p w14:paraId="5FA76544">
            <w:pPr>
              <w:pStyle w:val="11"/>
            </w:pPr>
            <w:r>
              <w:t>三级指标</w:t>
            </w:r>
          </w:p>
        </w:tc>
        <w:tc>
          <w:tcPr>
            <w:tcW w:w="5386" w:type="dxa"/>
            <w:vAlign w:val="center"/>
          </w:tcPr>
          <w:p w14:paraId="47FF8009">
            <w:pPr>
              <w:pStyle w:val="11"/>
            </w:pPr>
            <w:r>
              <w:t>绩效指标描述</w:t>
            </w:r>
          </w:p>
        </w:tc>
        <w:tc>
          <w:tcPr>
            <w:tcW w:w="2268" w:type="dxa"/>
            <w:vAlign w:val="center"/>
          </w:tcPr>
          <w:p w14:paraId="5D83DF39">
            <w:pPr>
              <w:pStyle w:val="11"/>
            </w:pPr>
            <w:r>
              <w:t>指标值</w:t>
            </w:r>
          </w:p>
        </w:tc>
        <w:tc>
          <w:tcPr>
            <w:tcW w:w="1276" w:type="dxa"/>
            <w:vAlign w:val="center"/>
          </w:tcPr>
          <w:p w14:paraId="62720232">
            <w:pPr>
              <w:pStyle w:val="11"/>
            </w:pPr>
            <w:r>
              <w:t>指标值确定依据</w:t>
            </w:r>
          </w:p>
        </w:tc>
      </w:tr>
      <w:tr w14:paraId="0FFFF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97DC0">
            <w:pPr>
              <w:pStyle w:val="12"/>
            </w:pPr>
            <w:r>
              <w:t>产出指标</w:t>
            </w:r>
          </w:p>
        </w:tc>
        <w:tc>
          <w:tcPr>
            <w:tcW w:w="2268" w:type="dxa"/>
            <w:vAlign w:val="center"/>
          </w:tcPr>
          <w:p w14:paraId="0B645D4D">
            <w:pPr>
              <w:pStyle w:val="13"/>
            </w:pPr>
            <w:r>
              <w:t>数量指标</w:t>
            </w:r>
          </w:p>
        </w:tc>
        <w:tc>
          <w:tcPr>
            <w:tcW w:w="2835" w:type="dxa"/>
            <w:vAlign w:val="center"/>
          </w:tcPr>
          <w:p w14:paraId="104C11EF">
            <w:pPr>
              <w:pStyle w:val="13"/>
            </w:pPr>
            <w:r>
              <w:t>就读学生数</w:t>
            </w:r>
          </w:p>
        </w:tc>
        <w:tc>
          <w:tcPr>
            <w:tcW w:w="5386" w:type="dxa"/>
            <w:vAlign w:val="center"/>
          </w:tcPr>
          <w:p w14:paraId="666AF02B">
            <w:pPr>
              <w:pStyle w:val="13"/>
            </w:pPr>
            <w:r>
              <w:t>辐射区域内适龄学生人数</w:t>
            </w:r>
          </w:p>
        </w:tc>
        <w:tc>
          <w:tcPr>
            <w:tcW w:w="2268" w:type="dxa"/>
            <w:vAlign w:val="center"/>
          </w:tcPr>
          <w:p w14:paraId="7A6F305A">
            <w:pPr>
              <w:pStyle w:val="13"/>
            </w:pPr>
            <w:r>
              <w:t>970人</w:t>
            </w:r>
          </w:p>
        </w:tc>
        <w:tc>
          <w:tcPr>
            <w:tcW w:w="1276" w:type="dxa"/>
            <w:vAlign w:val="center"/>
          </w:tcPr>
          <w:p w14:paraId="5C6B5015">
            <w:pPr>
              <w:pStyle w:val="13"/>
            </w:pPr>
            <w:r>
              <w:t>城乡义务教育公用经费管理办法</w:t>
            </w:r>
          </w:p>
        </w:tc>
      </w:tr>
      <w:tr w14:paraId="3C35B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F3A10"/>
        </w:tc>
        <w:tc>
          <w:tcPr>
            <w:tcW w:w="2268" w:type="dxa"/>
            <w:vAlign w:val="center"/>
          </w:tcPr>
          <w:p w14:paraId="6E418BF4">
            <w:pPr>
              <w:pStyle w:val="13"/>
            </w:pPr>
            <w:r>
              <w:t>质量指标</w:t>
            </w:r>
          </w:p>
        </w:tc>
        <w:tc>
          <w:tcPr>
            <w:tcW w:w="2835" w:type="dxa"/>
            <w:vAlign w:val="center"/>
          </w:tcPr>
          <w:p w14:paraId="3B46AC6F">
            <w:pPr>
              <w:pStyle w:val="13"/>
            </w:pPr>
            <w:r>
              <w:t>预算执行率</w:t>
            </w:r>
          </w:p>
        </w:tc>
        <w:tc>
          <w:tcPr>
            <w:tcW w:w="5386" w:type="dxa"/>
            <w:vAlign w:val="center"/>
          </w:tcPr>
          <w:p w14:paraId="1068FC03">
            <w:pPr>
              <w:pStyle w:val="13"/>
            </w:pPr>
            <w:r>
              <w:t>预算执行率≥98%</w:t>
            </w:r>
          </w:p>
        </w:tc>
        <w:tc>
          <w:tcPr>
            <w:tcW w:w="2268" w:type="dxa"/>
            <w:vAlign w:val="center"/>
          </w:tcPr>
          <w:p w14:paraId="5E8352BD">
            <w:pPr>
              <w:pStyle w:val="13"/>
            </w:pPr>
            <w:r>
              <w:t>≥98%</w:t>
            </w:r>
          </w:p>
        </w:tc>
        <w:tc>
          <w:tcPr>
            <w:tcW w:w="1276" w:type="dxa"/>
            <w:vAlign w:val="center"/>
          </w:tcPr>
          <w:p w14:paraId="78AEE7F6">
            <w:pPr>
              <w:pStyle w:val="13"/>
            </w:pPr>
            <w:r>
              <w:t>城乡义务教育公用经费管理办法</w:t>
            </w:r>
          </w:p>
        </w:tc>
      </w:tr>
      <w:tr w14:paraId="2D84B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87DE2"/>
        </w:tc>
        <w:tc>
          <w:tcPr>
            <w:tcW w:w="2268" w:type="dxa"/>
            <w:vAlign w:val="center"/>
          </w:tcPr>
          <w:p w14:paraId="41931F05">
            <w:pPr>
              <w:pStyle w:val="13"/>
            </w:pPr>
            <w:r>
              <w:t>时效指标</w:t>
            </w:r>
          </w:p>
        </w:tc>
        <w:tc>
          <w:tcPr>
            <w:tcW w:w="2835" w:type="dxa"/>
            <w:vAlign w:val="center"/>
          </w:tcPr>
          <w:p w14:paraId="278FEAD0">
            <w:pPr>
              <w:pStyle w:val="13"/>
            </w:pPr>
            <w:r>
              <w:t>义教经费支付完成率</w:t>
            </w:r>
          </w:p>
        </w:tc>
        <w:tc>
          <w:tcPr>
            <w:tcW w:w="5386" w:type="dxa"/>
            <w:vAlign w:val="center"/>
          </w:tcPr>
          <w:p w14:paraId="26925564">
            <w:pPr>
              <w:pStyle w:val="13"/>
            </w:pPr>
            <w:r>
              <w:t>按照序时进度完成资金支付</w:t>
            </w:r>
          </w:p>
        </w:tc>
        <w:tc>
          <w:tcPr>
            <w:tcW w:w="2268" w:type="dxa"/>
            <w:vAlign w:val="center"/>
          </w:tcPr>
          <w:p w14:paraId="2A5F3512">
            <w:pPr>
              <w:pStyle w:val="13"/>
            </w:pPr>
            <w:r>
              <w:t>≥100%</w:t>
            </w:r>
          </w:p>
        </w:tc>
        <w:tc>
          <w:tcPr>
            <w:tcW w:w="1276" w:type="dxa"/>
            <w:vAlign w:val="center"/>
          </w:tcPr>
          <w:p w14:paraId="229BB631">
            <w:pPr>
              <w:pStyle w:val="13"/>
            </w:pPr>
            <w:r>
              <w:t>城乡义务教育公用经费管理办法</w:t>
            </w:r>
          </w:p>
        </w:tc>
      </w:tr>
      <w:tr w14:paraId="522E8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4A830"/>
        </w:tc>
        <w:tc>
          <w:tcPr>
            <w:tcW w:w="2268" w:type="dxa"/>
            <w:vAlign w:val="center"/>
          </w:tcPr>
          <w:p w14:paraId="54E50F32">
            <w:pPr>
              <w:pStyle w:val="13"/>
            </w:pPr>
            <w:r>
              <w:t>成本指标</w:t>
            </w:r>
          </w:p>
        </w:tc>
        <w:tc>
          <w:tcPr>
            <w:tcW w:w="2835" w:type="dxa"/>
            <w:vAlign w:val="center"/>
          </w:tcPr>
          <w:p w14:paraId="1C4420D5">
            <w:pPr>
              <w:pStyle w:val="13"/>
            </w:pPr>
            <w:r>
              <w:t>生均拨款标准</w:t>
            </w:r>
          </w:p>
        </w:tc>
        <w:tc>
          <w:tcPr>
            <w:tcW w:w="5386" w:type="dxa"/>
            <w:vAlign w:val="center"/>
          </w:tcPr>
          <w:p w14:paraId="1B703BA5">
            <w:pPr>
              <w:pStyle w:val="13"/>
            </w:pPr>
            <w:r>
              <w:t>小学生公用经费生均小学720元，取暖费120元/生/年，随班就读学生补助7000元/生</w:t>
            </w:r>
          </w:p>
        </w:tc>
        <w:tc>
          <w:tcPr>
            <w:tcW w:w="2268" w:type="dxa"/>
            <w:vAlign w:val="center"/>
          </w:tcPr>
          <w:p w14:paraId="6D302080">
            <w:pPr>
              <w:pStyle w:val="13"/>
            </w:pPr>
            <w:r>
              <w:t>≥840元</w:t>
            </w:r>
          </w:p>
        </w:tc>
        <w:tc>
          <w:tcPr>
            <w:tcW w:w="1276" w:type="dxa"/>
            <w:vAlign w:val="center"/>
          </w:tcPr>
          <w:p w14:paraId="06572DB4">
            <w:pPr>
              <w:pStyle w:val="13"/>
            </w:pPr>
            <w:r>
              <w:t>城乡义务教育公用经费管理办法</w:t>
            </w:r>
          </w:p>
        </w:tc>
      </w:tr>
      <w:tr w14:paraId="0513E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1F0EC8">
            <w:pPr>
              <w:pStyle w:val="12"/>
            </w:pPr>
            <w:r>
              <w:t>效益指标</w:t>
            </w:r>
          </w:p>
        </w:tc>
        <w:tc>
          <w:tcPr>
            <w:tcW w:w="2268" w:type="dxa"/>
            <w:vAlign w:val="center"/>
          </w:tcPr>
          <w:p w14:paraId="30A72C26">
            <w:pPr>
              <w:pStyle w:val="13"/>
            </w:pPr>
            <w:r>
              <w:t>社会效益指标</w:t>
            </w:r>
          </w:p>
        </w:tc>
        <w:tc>
          <w:tcPr>
            <w:tcW w:w="2835" w:type="dxa"/>
            <w:vAlign w:val="center"/>
          </w:tcPr>
          <w:p w14:paraId="32D7F68E">
            <w:pPr>
              <w:pStyle w:val="13"/>
            </w:pPr>
            <w:r>
              <w:t>学校运转得到提高</w:t>
            </w:r>
          </w:p>
        </w:tc>
        <w:tc>
          <w:tcPr>
            <w:tcW w:w="5386" w:type="dxa"/>
            <w:vAlign w:val="center"/>
          </w:tcPr>
          <w:p w14:paraId="457316F4">
            <w:pPr>
              <w:pStyle w:val="13"/>
            </w:pPr>
            <w:r>
              <w:t>学生受教育年限</w:t>
            </w:r>
          </w:p>
        </w:tc>
        <w:tc>
          <w:tcPr>
            <w:tcW w:w="2268" w:type="dxa"/>
            <w:vAlign w:val="center"/>
          </w:tcPr>
          <w:p w14:paraId="2976F896">
            <w:pPr>
              <w:pStyle w:val="13"/>
            </w:pPr>
            <w:r>
              <w:t>6年</w:t>
            </w:r>
          </w:p>
        </w:tc>
        <w:tc>
          <w:tcPr>
            <w:tcW w:w="1276" w:type="dxa"/>
            <w:vAlign w:val="center"/>
          </w:tcPr>
          <w:p w14:paraId="41761D8F">
            <w:pPr>
              <w:pStyle w:val="13"/>
            </w:pPr>
            <w:r>
              <w:t>城乡义务教育公用经费管理办法</w:t>
            </w:r>
          </w:p>
        </w:tc>
      </w:tr>
      <w:tr w14:paraId="6678F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E190CA">
            <w:pPr>
              <w:pStyle w:val="12"/>
            </w:pPr>
            <w:r>
              <w:t>满意度指标</w:t>
            </w:r>
          </w:p>
        </w:tc>
        <w:tc>
          <w:tcPr>
            <w:tcW w:w="2268" w:type="dxa"/>
            <w:vAlign w:val="center"/>
          </w:tcPr>
          <w:p w14:paraId="6CE59750">
            <w:pPr>
              <w:pStyle w:val="13"/>
            </w:pPr>
            <w:r>
              <w:t>服务对象满意度指标</w:t>
            </w:r>
          </w:p>
        </w:tc>
        <w:tc>
          <w:tcPr>
            <w:tcW w:w="2835" w:type="dxa"/>
            <w:vAlign w:val="center"/>
          </w:tcPr>
          <w:p w14:paraId="5C099595">
            <w:pPr>
              <w:pStyle w:val="13"/>
            </w:pPr>
            <w:r>
              <w:t>服务对象满意度</w:t>
            </w:r>
          </w:p>
        </w:tc>
        <w:tc>
          <w:tcPr>
            <w:tcW w:w="5386" w:type="dxa"/>
            <w:vAlign w:val="center"/>
          </w:tcPr>
          <w:p w14:paraId="643217B6">
            <w:pPr>
              <w:pStyle w:val="13"/>
            </w:pPr>
            <w:r>
              <w:t>学校老师和学生满意度</w:t>
            </w:r>
          </w:p>
        </w:tc>
        <w:tc>
          <w:tcPr>
            <w:tcW w:w="2268" w:type="dxa"/>
            <w:vAlign w:val="center"/>
          </w:tcPr>
          <w:p w14:paraId="68FBEA8D">
            <w:pPr>
              <w:pStyle w:val="13"/>
            </w:pPr>
            <w:r>
              <w:t>≥95%</w:t>
            </w:r>
          </w:p>
        </w:tc>
        <w:tc>
          <w:tcPr>
            <w:tcW w:w="1276" w:type="dxa"/>
            <w:vAlign w:val="center"/>
          </w:tcPr>
          <w:p w14:paraId="6E106C0C">
            <w:pPr>
              <w:pStyle w:val="13"/>
            </w:pPr>
            <w:r>
              <w:t>城乡义务教育公用经费管理办法</w:t>
            </w:r>
          </w:p>
        </w:tc>
      </w:tr>
    </w:tbl>
    <w:p w14:paraId="2938E4BC">
      <w:pPr>
        <w:sectPr>
          <w:pgSz w:w="16840" w:h="11900" w:orient="landscape"/>
          <w:pgMar w:top="1361" w:right="1020" w:bottom="1134" w:left="1020" w:header="720" w:footer="720" w:gutter="0"/>
          <w:cols w:space="720" w:num="1"/>
        </w:sectPr>
      </w:pPr>
    </w:p>
    <w:p w14:paraId="0F34ED7F">
      <w:pPr>
        <w:spacing w:before="0" w:after="0"/>
        <w:ind w:firstLine="560"/>
        <w:jc w:val="left"/>
        <w:outlineLvl w:val="9"/>
      </w:pPr>
      <w:r>
        <w:rPr>
          <w:rFonts w:ascii="方正仿宋_GBK" w:hAnsi="方正仿宋_GBK" w:eastAsia="方正仿宋_GBK" w:cs="方正仿宋_GBK"/>
          <w:b/>
          <w:color w:val="000000"/>
          <w:sz w:val="28"/>
        </w:rPr>
        <w:t>10、冀财教[2024]141号/省级/2025年义教补助经费/校舍安全保障/毛尔寨小学校舍维修改造绩效目标表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FA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CE90F">
            <w:pPr>
              <w:pStyle w:val="14"/>
            </w:pPr>
            <w:r>
              <w:t>单位：万元</w:t>
            </w:r>
          </w:p>
        </w:tc>
      </w:tr>
      <w:tr w14:paraId="5FB93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CC1323">
            <w:pPr>
              <w:pStyle w:val="11"/>
            </w:pPr>
            <w:r>
              <w:t>项目编码</w:t>
            </w:r>
          </w:p>
        </w:tc>
        <w:tc>
          <w:tcPr>
            <w:tcW w:w="5103" w:type="dxa"/>
            <w:gridSpan w:val="2"/>
            <w:vAlign w:val="center"/>
          </w:tcPr>
          <w:p w14:paraId="74AB19E3">
            <w:pPr>
              <w:pStyle w:val="13"/>
            </w:pPr>
            <w:r>
              <w:t>13052525P00876210038B</w:t>
            </w:r>
          </w:p>
        </w:tc>
        <w:tc>
          <w:tcPr>
            <w:tcW w:w="2835" w:type="dxa"/>
            <w:vAlign w:val="center"/>
          </w:tcPr>
          <w:p w14:paraId="20A4DD1C">
            <w:pPr>
              <w:pStyle w:val="11"/>
            </w:pPr>
            <w:r>
              <w:t>项目名称</w:t>
            </w:r>
          </w:p>
        </w:tc>
        <w:tc>
          <w:tcPr>
            <w:tcW w:w="6095" w:type="dxa"/>
            <w:gridSpan w:val="3"/>
            <w:vAlign w:val="center"/>
          </w:tcPr>
          <w:p w14:paraId="1550B78B">
            <w:pPr>
              <w:pStyle w:val="13"/>
            </w:pPr>
            <w:r>
              <w:t>冀财教[2024]141号/省级/2025年义教补助经费/校舍安全保障/毛尔寨小学校舍维修改造</w:t>
            </w:r>
          </w:p>
        </w:tc>
      </w:tr>
      <w:tr w14:paraId="43798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23CE6">
            <w:pPr>
              <w:pStyle w:val="11"/>
            </w:pPr>
            <w:r>
              <w:t>预算规模及资金用途</w:t>
            </w:r>
          </w:p>
        </w:tc>
        <w:tc>
          <w:tcPr>
            <w:tcW w:w="2268" w:type="dxa"/>
            <w:vAlign w:val="center"/>
          </w:tcPr>
          <w:p w14:paraId="6B95CB73">
            <w:pPr>
              <w:pStyle w:val="11"/>
            </w:pPr>
            <w:r>
              <w:t>预算数</w:t>
            </w:r>
          </w:p>
        </w:tc>
        <w:tc>
          <w:tcPr>
            <w:tcW w:w="2835" w:type="dxa"/>
            <w:vAlign w:val="center"/>
          </w:tcPr>
          <w:p w14:paraId="5EDC31AB">
            <w:pPr>
              <w:pStyle w:val="13"/>
            </w:pPr>
            <w:r>
              <w:t>55.29</w:t>
            </w:r>
          </w:p>
        </w:tc>
        <w:tc>
          <w:tcPr>
            <w:tcW w:w="2835" w:type="dxa"/>
            <w:vAlign w:val="center"/>
          </w:tcPr>
          <w:p w14:paraId="0DD44B66">
            <w:pPr>
              <w:pStyle w:val="11"/>
            </w:pPr>
            <w:r>
              <w:t>其中：财政    资金</w:t>
            </w:r>
          </w:p>
        </w:tc>
        <w:tc>
          <w:tcPr>
            <w:tcW w:w="2551" w:type="dxa"/>
            <w:vAlign w:val="center"/>
          </w:tcPr>
          <w:p w14:paraId="0F12F73E">
            <w:pPr>
              <w:pStyle w:val="13"/>
            </w:pPr>
            <w:r>
              <w:t>55.29</w:t>
            </w:r>
          </w:p>
        </w:tc>
        <w:tc>
          <w:tcPr>
            <w:tcW w:w="2268" w:type="dxa"/>
            <w:vAlign w:val="center"/>
          </w:tcPr>
          <w:p w14:paraId="005DEB65">
            <w:pPr>
              <w:pStyle w:val="11"/>
            </w:pPr>
            <w:r>
              <w:t>其他资金</w:t>
            </w:r>
          </w:p>
        </w:tc>
        <w:tc>
          <w:tcPr>
            <w:tcW w:w="1276" w:type="dxa"/>
            <w:vAlign w:val="center"/>
          </w:tcPr>
          <w:p w14:paraId="3821032B">
            <w:pPr>
              <w:pStyle w:val="13"/>
            </w:pPr>
            <w:r>
              <w:t xml:space="preserve"> </w:t>
            </w:r>
          </w:p>
        </w:tc>
      </w:tr>
      <w:tr w14:paraId="1C401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F71B54"/>
        </w:tc>
        <w:tc>
          <w:tcPr>
            <w:tcW w:w="14033" w:type="dxa"/>
            <w:gridSpan w:val="6"/>
            <w:vAlign w:val="center"/>
          </w:tcPr>
          <w:p w14:paraId="7F8F45E4">
            <w:pPr>
              <w:pStyle w:val="13"/>
            </w:pPr>
            <w:r>
              <w:t>用于毛尔寨小学维修改造：更换门窗，屋顶防水，封阳台，地板砖。</w:t>
            </w:r>
          </w:p>
        </w:tc>
      </w:tr>
      <w:tr w14:paraId="04728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CE960">
            <w:pPr>
              <w:pStyle w:val="11"/>
            </w:pPr>
            <w:r>
              <w:t>资金支出计划（%）</w:t>
            </w:r>
          </w:p>
        </w:tc>
        <w:tc>
          <w:tcPr>
            <w:tcW w:w="5103" w:type="dxa"/>
            <w:gridSpan w:val="2"/>
            <w:vAlign w:val="center"/>
          </w:tcPr>
          <w:p w14:paraId="3415DCF4">
            <w:pPr>
              <w:pStyle w:val="11"/>
            </w:pPr>
            <w:r>
              <w:t>3月底</w:t>
            </w:r>
          </w:p>
        </w:tc>
        <w:tc>
          <w:tcPr>
            <w:tcW w:w="2835" w:type="dxa"/>
            <w:vAlign w:val="center"/>
          </w:tcPr>
          <w:p w14:paraId="616414DF">
            <w:pPr>
              <w:pStyle w:val="11"/>
            </w:pPr>
            <w:r>
              <w:t>6月底</w:t>
            </w:r>
          </w:p>
        </w:tc>
        <w:tc>
          <w:tcPr>
            <w:tcW w:w="2551" w:type="dxa"/>
            <w:vAlign w:val="center"/>
          </w:tcPr>
          <w:p w14:paraId="3C99754C">
            <w:pPr>
              <w:pStyle w:val="11"/>
            </w:pPr>
            <w:r>
              <w:t>10月底</w:t>
            </w:r>
          </w:p>
        </w:tc>
        <w:tc>
          <w:tcPr>
            <w:tcW w:w="3544" w:type="dxa"/>
            <w:gridSpan w:val="2"/>
            <w:vAlign w:val="center"/>
          </w:tcPr>
          <w:p w14:paraId="2667CE58">
            <w:pPr>
              <w:pStyle w:val="11"/>
            </w:pPr>
            <w:r>
              <w:t>12月底</w:t>
            </w:r>
          </w:p>
        </w:tc>
      </w:tr>
      <w:tr w14:paraId="5B7A9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EF335A"/>
        </w:tc>
        <w:tc>
          <w:tcPr>
            <w:tcW w:w="5103" w:type="dxa"/>
            <w:gridSpan w:val="2"/>
            <w:vAlign w:val="center"/>
          </w:tcPr>
          <w:p w14:paraId="6B2140B7">
            <w:pPr>
              <w:pStyle w:val="12"/>
            </w:pPr>
            <w:r>
              <w:t xml:space="preserve"> </w:t>
            </w:r>
          </w:p>
        </w:tc>
        <w:tc>
          <w:tcPr>
            <w:tcW w:w="2835" w:type="dxa"/>
            <w:vAlign w:val="center"/>
          </w:tcPr>
          <w:p w14:paraId="73BAA225">
            <w:pPr>
              <w:pStyle w:val="12"/>
            </w:pPr>
            <w:r>
              <w:t xml:space="preserve"> </w:t>
            </w:r>
          </w:p>
        </w:tc>
        <w:tc>
          <w:tcPr>
            <w:tcW w:w="2551" w:type="dxa"/>
            <w:vAlign w:val="center"/>
          </w:tcPr>
          <w:p w14:paraId="03F1C526">
            <w:pPr>
              <w:pStyle w:val="12"/>
            </w:pPr>
            <w:r>
              <w:t>100%</w:t>
            </w:r>
          </w:p>
        </w:tc>
        <w:tc>
          <w:tcPr>
            <w:tcW w:w="3544" w:type="dxa"/>
            <w:gridSpan w:val="2"/>
            <w:vAlign w:val="center"/>
          </w:tcPr>
          <w:p w14:paraId="0DF92539">
            <w:pPr>
              <w:pStyle w:val="12"/>
            </w:pPr>
            <w:r>
              <w:t>100%</w:t>
            </w:r>
          </w:p>
        </w:tc>
      </w:tr>
      <w:tr w14:paraId="5088F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448C9">
            <w:pPr>
              <w:pStyle w:val="11"/>
            </w:pPr>
            <w:r>
              <w:t>绩效目标</w:t>
            </w:r>
          </w:p>
        </w:tc>
        <w:tc>
          <w:tcPr>
            <w:tcW w:w="14033" w:type="dxa"/>
            <w:gridSpan w:val="6"/>
            <w:vAlign w:val="center"/>
          </w:tcPr>
          <w:p w14:paraId="37BC2E9A">
            <w:pPr>
              <w:pStyle w:val="13"/>
            </w:pPr>
            <w:r>
              <w:t>1.毛尔寨小学维修改造：更换门窗，屋顶防水，封阳台，地板砖。</w:t>
            </w:r>
          </w:p>
        </w:tc>
      </w:tr>
    </w:tbl>
    <w:p w14:paraId="43E6D9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B0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BB7BB">
            <w:pPr>
              <w:pStyle w:val="11"/>
            </w:pPr>
            <w:r>
              <w:t>一级指标</w:t>
            </w:r>
          </w:p>
        </w:tc>
        <w:tc>
          <w:tcPr>
            <w:tcW w:w="2268" w:type="dxa"/>
            <w:vAlign w:val="center"/>
          </w:tcPr>
          <w:p w14:paraId="124E0689">
            <w:pPr>
              <w:pStyle w:val="11"/>
            </w:pPr>
            <w:r>
              <w:t>二级指标</w:t>
            </w:r>
          </w:p>
        </w:tc>
        <w:tc>
          <w:tcPr>
            <w:tcW w:w="2835" w:type="dxa"/>
            <w:vAlign w:val="center"/>
          </w:tcPr>
          <w:p w14:paraId="4F0DBC73">
            <w:pPr>
              <w:pStyle w:val="11"/>
            </w:pPr>
            <w:r>
              <w:t>三级指标</w:t>
            </w:r>
          </w:p>
        </w:tc>
        <w:tc>
          <w:tcPr>
            <w:tcW w:w="5386" w:type="dxa"/>
            <w:vAlign w:val="center"/>
          </w:tcPr>
          <w:p w14:paraId="0EBFBB7E">
            <w:pPr>
              <w:pStyle w:val="11"/>
            </w:pPr>
            <w:r>
              <w:t>绩效指标描述</w:t>
            </w:r>
          </w:p>
        </w:tc>
        <w:tc>
          <w:tcPr>
            <w:tcW w:w="2268" w:type="dxa"/>
            <w:vAlign w:val="center"/>
          </w:tcPr>
          <w:p w14:paraId="1DBD8DBE">
            <w:pPr>
              <w:pStyle w:val="11"/>
            </w:pPr>
            <w:r>
              <w:t>指标值</w:t>
            </w:r>
          </w:p>
        </w:tc>
        <w:tc>
          <w:tcPr>
            <w:tcW w:w="1276" w:type="dxa"/>
            <w:vAlign w:val="center"/>
          </w:tcPr>
          <w:p w14:paraId="3D07F699">
            <w:pPr>
              <w:pStyle w:val="11"/>
            </w:pPr>
            <w:r>
              <w:t>指标值确定依据</w:t>
            </w:r>
          </w:p>
        </w:tc>
      </w:tr>
      <w:tr w14:paraId="338A7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B76E3">
            <w:pPr>
              <w:pStyle w:val="12"/>
            </w:pPr>
            <w:r>
              <w:t>产出指标</w:t>
            </w:r>
          </w:p>
        </w:tc>
        <w:tc>
          <w:tcPr>
            <w:tcW w:w="2268" w:type="dxa"/>
            <w:vAlign w:val="center"/>
          </w:tcPr>
          <w:p w14:paraId="1FA439D1">
            <w:pPr>
              <w:pStyle w:val="13"/>
            </w:pPr>
            <w:r>
              <w:t>数量指标</w:t>
            </w:r>
          </w:p>
        </w:tc>
        <w:tc>
          <w:tcPr>
            <w:tcW w:w="2835" w:type="dxa"/>
            <w:vAlign w:val="center"/>
          </w:tcPr>
          <w:p w14:paraId="0D62D674">
            <w:pPr>
              <w:pStyle w:val="13"/>
            </w:pPr>
            <w:r>
              <w:t>改造面积</w:t>
            </w:r>
          </w:p>
        </w:tc>
        <w:tc>
          <w:tcPr>
            <w:tcW w:w="5386" w:type="dxa"/>
            <w:vAlign w:val="center"/>
          </w:tcPr>
          <w:p w14:paraId="0D02DFC8">
            <w:pPr>
              <w:pStyle w:val="13"/>
            </w:pPr>
            <w:r>
              <w:t>更换门窗</w:t>
            </w:r>
          </w:p>
        </w:tc>
        <w:tc>
          <w:tcPr>
            <w:tcW w:w="2268" w:type="dxa"/>
            <w:vAlign w:val="center"/>
          </w:tcPr>
          <w:p w14:paraId="08ACC666">
            <w:pPr>
              <w:pStyle w:val="13"/>
            </w:pPr>
            <w:r>
              <w:t>33平方米</w:t>
            </w:r>
          </w:p>
        </w:tc>
        <w:tc>
          <w:tcPr>
            <w:tcW w:w="1276" w:type="dxa"/>
            <w:vAlign w:val="center"/>
          </w:tcPr>
          <w:p w14:paraId="279F3738">
            <w:pPr>
              <w:pStyle w:val="13"/>
            </w:pPr>
            <w:r>
              <w:t>项目规划</w:t>
            </w:r>
          </w:p>
        </w:tc>
      </w:tr>
      <w:tr w14:paraId="1AE90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CB20E"/>
        </w:tc>
        <w:tc>
          <w:tcPr>
            <w:tcW w:w="2268" w:type="dxa"/>
            <w:vAlign w:val="center"/>
          </w:tcPr>
          <w:p w14:paraId="7D97EAFA">
            <w:pPr>
              <w:pStyle w:val="13"/>
            </w:pPr>
            <w:r>
              <w:t>数量指标</w:t>
            </w:r>
          </w:p>
        </w:tc>
        <w:tc>
          <w:tcPr>
            <w:tcW w:w="2835" w:type="dxa"/>
            <w:vAlign w:val="center"/>
          </w:tcPr>
          <w:p w14:paraId="72E70ABB">
            <w:pPr>
              <w:pStyle w:val="13"/>
            </w:pPr>
            <w:r>
              <w:t>改造面积</w:t>
            </w:r>
          </w:p>
        </w:tc>
        <w:tc>
          <w:tcPr>
            <w:tcW w:w="5386" w:type="dxa"/>
            <w:vAlign w:val="center"/>
          </w:tcPr>
          <w:p w14:paraId="40AF81CB">
            <w:pPr>
              <w:pStyle w:val="13"/>
            </w:pPr>
            <w:r>
              <w:t>屋顶防水</w:t>
            </w:r>
          </w:p>
        </w:tc>
        <w:tc>
          <w:tcPr>
            <w:tcW w:w="2268" w:type="dxa"/>
            <w:vAlign w:val="center"/>
          </w:tcPr>
          <w:p w14:paraId="2B2AB897">
            <w:pPr>
              <w:pStyle w:val="13"/>
            </w:pPr>
            <w:r>
              <w:t>9.5平方米</w:t>
            </w:r>
          </w:p>
        </w:tc>
        <w:tc>
          <w:tcPr>
            <w:tcW w:w="1276" w:type="dxa"/>
            <w:vAlign w:val="center"/>
          </w:tcPr>
          <w:p w14:paraId="0C9848B2">
            <w:pPr>
              <w:pStyle w:val="13"/>
            </w:pPr>
            <w:r>
              <w:t>项目规划</w:t>
            </w:r>
          </w:p>
        </w:tc>
      </w:tr>
      <w:tr w14:paraId="7BF38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81E2B"/>
        </w:tc>
        <w:tc>
          <w:tcPr>
            <w:tcW w:w="2268" w:type="dxa"/>
            <w:vAlign w:val="center"/>
          </w:tcPr>
          <w:p w14:paraId="15292231">
            <w:pPr>
              <w:pStyle w:val="13"/>
            </w:pPr>
            <w:r>
              <w:t>数量指标</w:t>
            </w:r>
          </w:p>
        </w:tc>
        <w:tc>
          <w:tcPr>
            <w:tcW w:w="2835" w:type="dxa"/>
            <w:vAlign w:val="center"/>
          </w:tcPr>
          <w:p w14:paraId="75E7E392">
            <w:pPr>
              <w:pStyle w:val="13"/>
            </w:pPr>
            <w:r>
              <w:t>改造面积</w:t>
            </w:r>
          </w:p>
        </w:tc>
        <w:tc>
          <w:tcPr>
            <w:tcW w:w="5386" w:type="dxa"/>
            <w:vAlign w:val="center"/>
          </w:tcPr>
          <w:p w14:paraId="7AEDB126">
            <w:pPr>
              <w:pStyle w:val="13"/>
            </w:pPr>
            <w:r>
              <w:t>教学楼封阳台</w:t>
            </w:r>
          </w:p>
        </w:tc>
        <w:tc>
          <w:tcPr>
            <w:tcW w:w="2268" w:type="dxa"/>
            <w:vAlign w:val="center"/>
          </w:tcPr>
          <w:p w14:paraId="65BD2893">
            <w:pPr>
              <w:pStyle w:val="13"/>
            </w:pPr>
            <w:r>
              <w:t>13.1平方米</w:t>
            </w:r>
          </w:p>
        </w:tc>
        <w:tc>
          <w:tcPr>
            <w:tcW w:w="1276" w:type="dxa"/>
            <w:vAlign w:val="center"/>
          </w:tcPr>
          <w:p w14:paraId="1B372D8A">
            <w:pPr>
              <w:pStyle w:val="13"/>
            </w:pPr>
            <w:r>
              <w:t>项目规划</w:t>
            </w:r>
          </w:p>
        </w:tc>
      </w:tr>
      <w:tr w14:paraId="5B6B8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D804C"/>
        </w:tc>
        <w:tc>
          <w:tcPr>
            <w:tcW w:w="2268" w:type="dxa"/>
            <w:vAlign w:val="center"/>
          </w:tcPr>
          <w:p w14:paraId="781C1DFC">
            <w:pPr>
              <w:pStyle w:val="13"/>
            </w:pPr>
            <w:r>
              <w:t>数量指标</w:t>
            </w:r>
          </w:p>
        </w:tc>
        <w:tc>
          <w:tcPr>
            <w:tcW w:w="2835" w:type="dxa"/>
            <w:vAlign w:val="center"/>
          </w:tcPr>
          <w:p w14:paraId="71691E66">
            <w:pPr>
              <w:pStyle w:val="13"/>
            </w:pPr>
            <w:r>
              <w:t>改造面积</w:t>
            </w:r>
          </w:p>
        </w:tc>
        <w:tc>
          <w:tcPr>
            <w:tcW w:w="5386" w:type="dxa"/>
            <w:vAlign w:val="center"/>
          </w:tcPr>
          <w:p w14:paraId="08F37682">
            <w:pPr>
              <w:pStyle w:val="13"/>
            </w:pPr>
            <w:r>
              <w:t>教学楼地板砖</w:t>
            </w:r>
          </w:p>
        </w:tc>
        <w:tc>
          <w:tcPr>
            <w:tcW w:w="2268" w:type="dxa"/>
            <w:vAlign w:val="center"/>
          </w:tcPr>
          <w:p w14:paraId="6AA77FCC">
            <w:pPr>
              <w:pStyle w:val="13"/>
            </w:pPr>
            <w:r>
              <w:t>11平方米</w:t>
            </w:r>
          </w:p>
        </w:tc>
        <w:tc>
          <w:tcPr>
            <w:tcW w:w="1276" w:type="dxa"/>
            <w:vAlign w:val="center"/>
          </w:tcPr>
          <w:p w14:paraId="47583F6E">
            <w:pPr>
              <w:pStyle w:val="13"/>
            </w:pPr>
            <w:r>
              <w:t>项目规划</w:t>
            </w:r>
          </w:p>
        </w:tc>
      </w:tr>
      <w:tr w14:paraId="4B0D0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8BFC1"/>
        </w:tc>
        <w:tc>
          <w:tcPr>
            <w:tcW w:w="2268" w:type="dxa"/>
            <w:vAlign w:val="center"/>
          </w:tcPr>
          <w:p w14:paraId="0860765F">
            <w:pPr>
              <w:pStyle w:val="13"/>
            </w:pPr>
            <w:r>
              <w:t>质量指标</w:t>
            </w:r>
          </w:p>
        </w:tc>
        <w:tc>
          <w:tcPr>
            <w:tcW w:w="2835" w:type="dxa"/>
            <w:vAlign w:val="center"/>
          </w:tcPr>
          <w:p w14:paraId="52ACD2B6">
            <w:pPr>
              <w:pStyle w:val="13"/>
            </w:pPr>
            <w:r>
              <w:t>符合验收标准</w:t>
            </w:r>
          </w:p>
        </w:tc>
        <w:tc>
          <w:tcPr>
            <w:tcW w:w="5386" w:type="dxa"/>
            <w:vAlign w:val="center"/>
          </w:tcPr>
          <w:p w14:paraId="471B5913">
            <w:pPr>
              <w:pStyle w:val="13"/>
            </w:pPr>
            <w:r>
              <w:t>项目竣工合格率</w:t>
            </w:r>
          </w:p>
        </w:tc>
        <w:tc>
          <w:tcPr>
            <w:tcW w:w="2268" w:type="dxa"/>
            <w:vAlign w:val="center"/>
          </w:tcPr>
          <w:p w14:paraId="44E94F3C">
            <w:pPr>
              <w:pStyle w:val="13"/>
            </w:pPr>
            <w:r>
              <w:t>≥100%</w:t>
            </w:r>
          </w:p>
        </w:tc>
        <w:tc>
          <w:tcPr>
            <w:tcW w:w="1276" w:type="dxa"/>
            <w:vAlign w:val="center"/>
          </w:tcPr>
          <w:p w14:paraId="0DE346F7">
            <w:pPr>
              <w:pStyle w:val="13"/>
            </w:pPr>
            <w:r>
              <w:t>项目规划</w:t>
            </w:r>
          </w:p>
        </w:tc>
      </w:tr>
      <w:tr w14:paraId="33DDA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25D34"/>
        </w:tc>
        <w:tc>
          <w:tcPr>
            <w:tcW w:w="2268" w:type="dxa"/>
            <w:vAlign w:val="center"/>
          </w:tcPr>
          <w:p w14:paraId="6E228D5E">
            <w:pPr>
              <w:pStyle w:val="13"/>
            </w:pPr>
            <w:r>
              <w:t>时效指标</w:t>
            </w:r>
          </w:p>
        </w:tc>
        <w:tc>
          <w:tcPr>
            <w:tcW w:w="2835" w:type="dxa"/>
            <w:vAlign w:val="center"/>
          </w:tcPr>
          <w:p w14:paraId="035F9128">
            <w:pPr>
              <w:pStyle w:val="13"/>
            </w:pPr>
            <w:r>
              <w:t>项目时间</w:t>
            </w:r>
          </w:p>
        </w:tc>
        <w:tc>
          <w:tcPr>
            <w:tcW w:w="5386" w:type="dxa"/>
            <w:vAlign w:val="center"/>
          </w:tcPr>
          <w:p w14:paraId="053BCFCA">
            <w:pPr>
              <w:pStyle w:val="13"/>
            </w:pPr>
            <w:r>
              <w:t>按期完成率</w:t>
            </w:r>
          </w:p>
        </w:tc>
        <w:tc>
          <w:tcPr>
            <w:tcW w:w="2268" w:type="dxa"/>
            <w:vAlign w:val="center"/>
          </w:tcPr>
          <w:p w14:paraId="29A8DC4B">
            <w:pPr>
              <w:pStyle w:val="13"/>
            </w:pPr>
            <w:r>
              <w:t>≥100%</w:t>
            </w:r>
          </w:p>
        </w:tc>
        <w:tc>
          <w:tcPr>
            <w:tcW w:w="1276" w:type="dxa"/>
            <w:vAlign w:val="center"/>
          </w:tcPr>
          <w:p w14:paraId="0A8ECC18">
            <w:pPr>
              <w:pStyle w:val="13"/>
            </w:pPr>
            <w:r>
              <w:t>项目规划</w:t>
            </w:r>
          </w:p>
        </w:tc>
      </w:tr>
      <w:tr w14:paraId="3976C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3AFB3"/>
        </w:tc>
        <w:tc>
          <w:tcPr>
            <w:tcW w:w="2268" w:type="dxa"/>
            <w:vAlign w:val="center"/>
          </w:tcPr>
          <w:p w14:paraId="4177587D">
            <w:pPr>
              <w:pStyle w:val="13"/>
            </w:pPr>
            <w:r>
              <w:t>成本指标</w:t>
            </w:r>
          </w:p>
        </w:tc>
        <w:tc>
          <w:tcPr>
            <w:tcW w:w="2835" w:type="dxa"/>
            <w:vAlign w:val="center"/>
          </w:tcPr>
          <w:p w14:paraId="22E374B6">
            <w:pPr>
              <w:pStyle w:val="13"/>
            </w:pPr>
            <w:r>
              <w:t>项目成本</w:t>
            </w:r>
          </w:p>
        </w:tc>
        <w:tc>
          <w:tcPr>
            <w:tcW w:w="5386" w:type="dxa"/>
            <w:vAlign w:val="center"/>
          </w:tcPr>
          <w:p w14:paraId="5CE69E71">
            <w:pPr>
              <w:pStyle w:val="13"/>
            </w:pPr>
            <w:r>
              <w:t>不超预算</w:t>
            </w:r>
          </w:p>
        </w:tc>
        <w:tc>
          <w:tcPr>
            <w:tcW w:w="2268" w:type="dxa"/>
            <w:vAlign w:val="center"/>
          </w:tcPr>
          <w:p w14:paraId="777953CD">
            <w:pPr>
              <w:pStyle w:val="13"/>
            </w:pPr>
            <w:r>
              <w:t>≤55.29万元</w:t>
            </w:r>
          </w:p>
        </w:tc>
        <w:tc>
          <w:tcPr>
            <w:tcW w:w="1276" w:type="dxa"/>
            <w:vAlign w:val="center"/>
          </w:tcPr>
          <w:p w14:paraId="754F12A7">
            <w:pPr>
              <w:pStyle w:val="13"/>
            </w:pPr>
            <w:r>
              <w:t>项目规划</w:t>
            </w:r>
          </w:p>
        </w:tc>
      </w:tr>
      <w:tr w14:paraId="49E1D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B3F909">
            <w:pPr>
              <w:pStyle w:val="12"/>
            </w:pPr>
            <w:r>
              <w:t>效益指标</w:t>
            </w:r>
          </w:p>
        </w:tc>
        <w:tc>
          <w:tcPr>
            <w:tcW w:w="2268" w:type="dxa"/>
            <w:vAlign w:val="center"/>
          </w:tcPr>
          <w:p w14:paraId="406087A7">
            <w:pPr>
              <w:pStyle w:val="13"/>
            </w:pPr>
            <w:r>
              <w:t>社会效益指标</w:t>
            </w:r>
          </w:p>
        </w:tc>
        <w:tc>
          <w:tcPr>
            <w:tcW w:w="2835" w:type="dxa"/>
            <w:vAlign w:val="center"/>
          </w:tcPr>
          <w:p w14:paraId="0293013E">
            <w:pPr>
              <w:pStyle w:val="13"/>
            </w:pPr>
            <w:r>
              <w:t>学生受教育年限</w:t>
            </w:r>
          </w:p>
        </w:tc>
        <w:tc>
          <w:tcPr>
            <w:tcW w:w="5386" w:type="dxa"/>
            <w:vAlign w:val="center"/>
          </w:tcPr>
          <w:p w14:paraId="0169CFBD">
            <w:pPr>
              <w:pStyle w:val="13"/>
            </w:pPr>
            <w:r>
              <w:t>学生受教育年限</w:t>
            </w:r>
          </w:p>
        </w:tc>
        <w:tc>
          <w:tcPr>
            <w:tcW w:w="2268" w:type="dxa"/>
            <w:vAlign w:val="center"/>
          </w:tcPr>
          <w:p w14:paraId="0C4E53AA">
            <w:pPr>
              <w:pStyle w:val="13"/>
            </w:pPr>
            <w:r>
              <w:t>6年</w:t>
            </w:r>
          </w:p>
        </w:tc>
        <w:tc>
          <w:tcPr>
            <w:tcW w:w="1276" w:type="dxa"/>
            <w:vAlign w:val="center"/>
          </w:tcPr>
          <w:p w14:paraId="08F40805">
            <w:pPr>
              <w:pStyle w:val="13"/>
            </w:pPr>
            <w:r>
              <w:t>项目规划</w:t>
            </w:r>
          </w:p>
        </w:tc>
      </w:tr>
      <w:tr w14:paraId="2290B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DCFACF">
            <w:pPr>
              <w:pStyle w:val="12"/>
            </w:pPr>
            <w:r>
              <w:t>满意度指标</w:t>
            </w:r>
          </w:p>
        </w:tc>
        <w:tc>
          <w:tcPr>
            <w:tcW w:w="2268" w:type="dxa"/>
            <w:vAlign w:val="center"/>
          </w:tcPr>
          <w:p w14:paraId="5B522449">
            <w:pPr>
              <w:pStyle w:val="13"/>
            </w:pPr>
            <w:r>
              <w:t>服务对象满意度指标</w:t>
            </w:r>
          </w:p>
        </w:tc>
        <w:tc>
          <w:tcPr>
            <w:tcW w:w="2835" w:type="dxa"/>
            <w:vAlign w:val="center"/>
          </w:tcPr>
          <w:p w14:paraId="5651B068">
            <w:pPr>
              <w:pStyle w:val="13"/>
            </w:pPr>
            <w:r>
              <w:t>教师学生满意度</w:t>
            </w:r>
          </w:p>
        </w:tc>
        <w:tc>
          <w:tcPr>
            <w:tcW w:w="5386" w:type="dxa"/>
            <w:vAlign w:val="center"/>
          </w:tcPr>
          <w:p w14:paraId="5C92CA50">
            <w:pPr>
              <w:pStyle w:val="13"/>
            </w:pPr>
            <w:r>
              <w:t>教师学生满意度</w:t>
            </w:r>
          </w:p>
        </w:tc>
        <w:tc>
          <w:tcPr>
            <w:tcW w:w="2268" w:type="dxa"/>
            <w:vAlign w:val="center"/>
          </w:tcPr>
          <w:p w14:paraId="6D62AEE0">
            <w:pPr>
              <w:pStyle w:val="13"/>
            </w:pPr>
            <w:r>
              <w:t>≥95%</w:t>
            </w:r>
          </w:p>
        </w:tc>
        <w:tc>
          <w:tcPr>
            <w:tcW w:w="1276" w:type="dxa"/>
            <w:vAlign w:val="center"/>
          </w:tcPr>
          <w:p w14:paraId="0AC8F980">
            <w:pPr>
              <w:pStyle w:val="13"/>
            </w:pPr>
            <w:r>
              <w:t>项目规划</w:t>
            </w:r>
          </w:p>
        </w:tc>
      </w:tr>
    </w:tbl>
    <w:p w14:paraId="5FAE03A0">
      <w:pPr>
        <w:sectPr>
          <w:pgSz w:w="16840" w:h="11900" w:orient="landscape"/>
          <w:pgMar w:top="1361" w:right="1020" w:bottom="1134" w:left="1020" w:header="720" w:footer="720" w:gutter="0"/>
          <w:cols w:space="720" w:num="1"/>
        </w:sectPr>
      </w:pPr>
    </w:p>
    <w:p w14:paraId="11BD1CC9">
      <w:pPr>
        <w:spacing w:before="0" w:after="0"/>
        <w:ind w:firstLine="560"/>
        <w:jc w:val="left"/>
        <w:outlineLvl w:val="9"/>
      </w:pPr>
      <w:r>
        <w:rPr>
          <w:rFonts w:ascii="方正仿宋_GBK" w:hAnsi="方正仿宋_GBK" w:eastAsia="方正仿宋_GBK" w:cs="方正仿宋_GBK"/>
          <w:b/>
          <w:color w:val="000000"/>
          <w:sz w:val="28"/>
        </w:rPr>
        <w:t>11、冀财教[2024]141号/省级/2025年义教补助经费/校舍安全保障/千户营小学塑胶操场改造绩效目标表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9B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31E68">
            <w:pPr>
              <w:pStyle w:val="14"/>
            </w:pPr>
            <w:r>
              <w:t>单位：万元</w:t>
            </w:r>
          </w:p>
        </w:tc>
      </w:tr>
      <w:tr w14:paraId="26F2D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FBDEF0">
            <w:pPr>
              <w:pStyle w:val="11"/>
            </w:pPr>
            <w:r>
              <w:t>项目编码</w:t>
            </w:r>
          </w:p>
        </w:tc>
        <w:tc>
          <w:tcPr>
            <w:tcW w:w="5103" w:type="dxa"/>
            <w:gridSpan w:val="2"/>
            <w:vAlign w:val="center"/>
          </w:tcPr>
          <w:p w14:paraId="2362EDC8">
            <w:pPr>
              <w:pStyle w:val="13"/>
            </w:pPr>
            <w:r>
              <w:t>13052525P008762100364</w:t>
            </w:r>
          </w:p>
        </w:tc>
        <w:tc>
          <w:tcPr>
            <w:tcW w:w="2835" w:type="dxa"/>
            <w:vAlign w:val="center"/>
          </w:tcPr>
          <w:p w14:paraId="18BE44A5">
            <w:pPr>
              <w:pStyle w:val="11"/>
            </w:pPr>
            <w:r>
              <w:t>项目名称</w:t>
            </w:r>
          </w:p>
        </w:tc>
        <w:tc>
          <w:tcPr>
            <w:tcW w:w="6095" w:type="dxa"/>
            <w:gridSpan w:val="3"/>
            <w:vAlign w:val="center"/>
          </w:tcPr>
          <w:p w14:paraId="2ABCB487">
            <w:pPr>
              <w:pStyle w:val="13"/>
            </w:pPr>
            <w:r>
              <w:t>冀财教[2024]141号/省级/2025年义教补助经费/校舍安全保障/千户营小学塑胶操场改造</w:t>
            </w:r>
          </w:p>
        </w:tc>
      </w:tr>
      <w:tr w14:paraId="325F8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C170E">
            <w:pPr>
              <w:pStyle w:val="11"/>
            </w:pPr>
            <w:r>
              <w:t>预算规模及资金用途</w:t>
            </w:r>
          </w:p>
        </w:tc>
        <w:tc>
          <w:tcPr>
            <w:tcW w:w="2268" w:type="dxa"/>
            <w:vAlign w:val="center"/>
          </w:tcPr>
          <w:p w14:paraId="6A162325">
            <w:pPr>
              <w:pStyle w:val="11"/>
            </w:pPr>
            <w:r>
              <w:t>预算数</w:t>
            </w:r>
          </w:p>
        </w:tc>
        <w:tc>
          <w:tcPr>
            <w:tcW w:w="2835" w:type="dxa"/>
            <w:vAlign w:val="center"/>
          </w:tcPr>
          <w:p w14:paraId="587CB04C">
            <w:pPr>
              <w:pStyle w:val="13"/>
            </w:pPr>
            <w:r>
              <w:t>45.00</w:t>
            </w:r>
          </w:p>
        </w:tc>
        <w:tc>
          <w:tcPr>
            <w:tcW w:w="2835" w:type="dxa"/>
            <w:vAlign w:val="center"/>
          </w:tcPr>
          <w:p w14:paraId="2BF56EB6">
            <w:pPr>
              <w:pStyle w:val="11"/>
            </w:pPr>
            <w:r>
              <w:t>其中：财政    资金</w:t>
            </w:r>
          </w:p>
        </w:tc>
        <w:tc>
          <w:tcPr>
            <w:tcW w:w="2551" w:type="dxa"/>
            <w:vAlign w:val="center"/>
          </w:tcPr>
          <w:p w14:paraId="7A17827A">
            <w:pPr>
              <w:pStyle w:val="13"/>
            </w:pPr>
            <w:r>
              <w:t>45.00</w:t>
            </w:r>
          </w:p>
        </w:tc>
        <w:tc>
          <w:tcPr>
            <w:tcW w:w="2268" w:type="dxa"/>
            <w:vAlign w:val="center"/>
          </w:tcPr>
          <w:p w14:paraId="32AE9926">
            <w:pPr>
              <w:pStyle w:val="11"/>
            </w:pPr>
            <w:r>
              <w:t>其他资金</w:t>
            </w:r>
          </w:p>
        </w:tc>
        <w:tc>
          <w:tcPr>
            <w:tcW w:w="1276" w:type="dxa"/>
            <w:vAlign w:val="center"/>
          </w:tcPr>
          <w:p w14:paraId="4A33FB19">
            <w:pPr>
              <w:pStyle w:val="13"/>
            </w:pPr>
            <w:r>
              <w:t xml:space="preserve"> </w:t>
            </w:r>
          </w:p>
        </w:tc>
      </w:tr>
      <w:tr w14:paraId="3DA68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D3A6A0"/>
        </w:tc>
        <w:tc>
          <w:tcPr>
            <w:tcW w:w="14033" w:type="dxa"/>
            <w:gridSpan w:val="6"/>
            <w:vAlign w:val="center"/>
          </w:tcPr>
          <w:p w14:paraId="20E49D8F">
            <w:pPr>
              <w:pStyle w:val="13"/>
            </w:pPr>
            <w:r>
              <w:t>用于千户营小学操场塑胶跑道草坪篮球场。</w:t>
            </w:r>
          </w:p>
        </w:tc>
      </w:tr>
      <w:tr w14:paraId="02B04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D5745">
            <w:pPr>
              <w:pStyle w:val="11"/>
            </w:pPr>
            <w:r>
              <w:t>资金支出计划（%）</w:t>
            </w:r>
          </w:p>
        </w:tc>
        <w:tc>
          <w:tcPr>
            <w:tcW w:w="5103" w:type="dxa"/>
            <w:gridSpan w:val="2"/>
            <w:vAlign w:val="center"/>
          </w:tcPr>
          <w:p w14:paraId="5A87C279">
            <w:pPr>
              <w:pStyle w:val="11"/>
            </w:pPr>
            <w:r>
              <w:t>3月底</w:t>
            </w:r>
          </w:p>
        </w:tc>
        <w:tc>
          <w:tcPr>
            <w:tcW w:w="2835" w:type="dxa"/>
            <w:vAlign w:val="center"/>
          </w:tcPr>
          <w:p w14:paraId="35387253">
            <w:pPr>
              <w:pStyle w:val="11"/>
            </w:pPr>
            <w:r>
              <w:t>6月底</w:t>
            </w:r>
          </w:p>
        </w:tc>
        <w:tc>
          <w:tcPr>
            <w:tcW w:w="2551" w:type="dxa"/>
            <w:vAlign w:val="center"/>
          </w:tcPr>
          <w:p w14:paraId="242D4361">
            <w:pPr>
              <w:pStyle w:val="11"/>
            </w:pPr>
            <w:r>
              <w:t>10月底</w:t>
            </w:r>
          </w:p>
        </w:tc>
        <w:tc>
          <w:tcPr>
            <w:tcW w:w="3544" w:type="dxa"/>
            <w:gridSpan w:val="2"/>
            <w:vAlign w:val="center"/>
          </w:tcPr>
          <w:p w14:paraId="3C6009F0">
            <w:pPr>
              <w:pStyle w:val="11"/>
            </w:pPr>
            <w:r>
              <w:t>12月底</w:t>
            </w:r>
          </w:p>
        </w:tc>
      </w:tr>
      <w:tr w14:paraId="01612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D968D6"/>
        </w:tc>
        <w:tc>
          <w:tcPr>
            <w:tcW w:w="5103" w:type="dxa"/>
            <w:gridSpan w:val="2"/>
            <w:vAlign w:val="center"/>
          </w:tcPr>
          <w:p w14:paraId="606CFCA4">
            <w:pPr>
              <w:pStyle w:val="12"/>
            </w:pPr>
            <w:r>
              <w:t xml:space="preserve"> </w:t>
            </w:r>
          </w:p>
        </w:tc>
        <w:tc>
          <w:tcPr>
            <w:tcW w:w="2835" w:type="dxa"/>
            <w:vAlign w:val="center"/>
          </w:tcPr>
          <w:p w14:paraId="0A9080FA">
            <w:pPr>
              <w:pStyle w:val="12"/>
            </w:pPr>
            <w:r>
              <w:t xml:space="preserve"> </w:t>
            </w:r>
          </w:p>
        </w:tc>
        <w:tc>
          <w:tcPr>
            <w:tcW w:w="2551" w:type="dxa"/>
            <w:vAlign w:val="center"/>
          </w:tcPr>
          <w:p w14:paraId="5A552076">
            <w:pPr>
              <w:pStyle w:val="12"/>
            </w:pPr>
            <w:r>
              <w:t>100%</w:t>
            </w:r>
          </w:p>
        </w:tc>
        <w:tc>
          <w:tcPr>
            <w:tcW w:w="3544" w:type="dxa"/>
            <w:gridSpan w:val="2"/>
            <w:vAlign w:val="center"/>
          </w:tcPr>
          <w:p w14:paraId="5C05CB75">
            <w:pPr>
              <w:pStyle w:val="12"/>
            </w:pPr>
            <w:r>
              <w:t>100%</w:t>
            </w:r>
          </w:p>
        </w:tc>
      </w:tr>
      <w:tr w14:paraId="294B7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AD022">
            <w:pPr>
              <w:pStyle w:val="11"/>
            </w:pPr>
            <w:r>
              <w:t>绩效目标</w:t>
            </w:r>
          </w:p>
        </w:tc>
        <w:tc>
          <w:tcPr>
            <w:tcW w:w="14033" w:type="dxa"/>
            <w:gridSpan w:val="6"/>
            <w:vAlign w:val="center"/>
          </w:tcPr>
          <w:p w14:paraId="5F5C6967">
            <w:pPr>
              <w:pStyle w:val="13"/>
            </w:pPr>
            <w:r>
              <w:t>1.千户营小学操场塑胶跑道草坪篮球场。</w:t>
            </w:r>
          </w:p>
        </w:tc>
      </w:tr>
    </w:tbl>
    <w:p w14:paraId="24588D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57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BD1E1">
            <w:pPr>
              <w:pStyle w:val="11"/>
            </w:pPr>
            <w:r>
              <w:t>一级指标</w:t>
            </w:r>
          </w:p>
        </w:tc>
        <w:tc>
          <w:tcPr>
            <w:tcW w:w="2268" w:type="dxa"/>
            <w:vAlign w:val="center"/>
          </w:tcPr>
          <w:p w14:paraId="20705FB3">
            <w:pPr>
              <w:pStyle w:val="11"/>
            </w:pPr>
            <w:r>
              <w:t>二级指标</w:t>
            </w:r>
          </w:p>
        </w:tc>
        <w:tc>
          <w:tcPr>
            <w:tcW w:w="2835" w:type="dxa"/>
            <w:vAlign w:val="center"/>
          </w:tcPr>
          <w:p w14:paraId="247E2891">
            <w:pPr>
              <w:pStyle w:val="11"/>
            </w:pPr>
            <w:r>
              <w:t>三级指标</w:t>
            </w:r>
          </w:p>
        </w:tc>
        <w:tc>
          <w:tcPr>
            <w:tcW w:w="5386" w:type="dxa"/>
            <w:vAlign w:val="center"/>
          </w:tcPr>
          <w:p w14:paraId="6A18742B">
            <w:pPr>
              <w:pStyle w:val="11"/>
            </w:pPr>
            <w:r>
              <w:t>绩效指标描述</w:t>
            </w:r>
          </w:p>
        </w:tc>
        <w:tc>
          <w:tcPr>
            <w:tcW w:w="2268" w:type="dxa"/>
            <w:vAlign w:val="center"/>
          </w:tcPr>
          <w:p w14:paraId="11DF2CC9">
            <w:pPr>
              <w:pStyle w:val="11"/>
            </w:pPr>
            <w:r>
              <w:t>指标值</w:t>
            </w:r>
          </w:p>
        </w:tc>
        <w:tc>
          <w:tcPr>
            <w:tcW w:w="1276" w:type="dxa"/>
            <w:vAlign w:val="center"/>
          </w:tcPr>
          <w:p w14:paraId="7A95724B">
            <w:pPr>
              <w:pStyle w:val="11"/>
            </w:pPr>
            <w:r>
              <w:t>指标值确定依据</w:t>
            </w:r>
          </w:p>
        </w:tc>
      </w:tr>
      <w:tr w14:paraId="2C8CC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888D0">
            <w:pPr>
              <w:pStyle w:val="12"/>
            </w:pPr>
            <w:r>
              <w:t>产出指标</w:t>
            </w:r>
          </w:p>
        </w:tc>
        <w:tc>
          <w:tcPr>
            <w:tcW w:w="2268" w:type="dxa"/>
            <w:vAlign w:val="center"/>
          </w:tcPr>
          <w:p w14:paraId="42C33F9D">
            <w:pPr>
              <w:pStyle w:val="13"/>
            </w:pPr>
            <w:r>
              <w:t>数量指标</w:t>
            </w:r>
          </w:p>
        </w:tc>
        <w:tc>
          <w:tcPr>
            <w:tcW w:w="2835" w:type="dxa"/>
            <w:vAlign w:val="center"/>
          </w:tcPr>
          <w:p w14:paraId="3FED69F0">
            <w:pPr>
              <w:pStyle w:val="13"/>
            </w:pPr>
            <w:r>
              <w:t>改造面积</w:t>
            </w:r>
          </w:p>
        </w:tc>
        <w:tc>
          <w:tcPr>
            <w:tcW w:w="5386" w:type="dxa"/>
            <w:vAlign w:val="center"/>
          </w:tcPr>
          <w:p w14:paraId="2C714097">
            <w:pPr>
              <w:pStyle w:val="13"/>
            </w:pPr>
            <w:r>
              <w:t>塑胶跑道</w:t>
            </w:r>
          </w:p>
        </w:tc>
        <w:tc>
          <w:tcPr>
            <w:tcW w:w="2268" w:type="dxa"/>
            <w:vAlign w:val="center"/>
          </w:tcPr>
          <w:p w14:paraId="0C47C345">
            <w:pPr>
              <w:pStyle w:val="13"/>
            </w:pPr>
            <w:r>
              <w:t>30平方米</w:t>
            </w:r>
          </w:p>
        </w:tc>
        <w:tc>
          <w:tcPr>
            <w:tcW w:w="1276" w:type="dxa"/>
            <w:vAlign w:val="center"/>
          </w:tcPr>
          <w:p w14:paraId="3D72F7C6">
            <w:pPr>
              <w:pStyle w:val="13"/>
            </w:pPr>
            <w:r>
              <w:t>项目规划</w:t>
            </w:r>
          </w:p>
        </w:tc>
      </w:tr>
      <w:tr w14:paraId="7BBDF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F1A74"/>
        </w:tc>
        <w:tc>
          <w:tcPr>
            <w:tcW w:w="2268" w:type="dxa"/>
            <w:vAlign w:val="center"/>
          </w:tcPr>
          <w:p w14:paraId="36502C1F">
            <w:pPr>
              <w:pStyle w:val="13"/>
            </w:pPr>
            <w:r>
              <w:t>数量指标</w:t>
            </w:r>
          </w:p>
        </w:tc>
        <w:tc>
          <w:tcPr>
            <w:tcW w:w="2835" w:type="dxa"/>
            <w:vAlign w:val="center"/>
          </w:tcPr>
          <w:p w14:paraId="780960F2">
            <w:pPr>
              <w:pStyle w:val="13"/>
            </w:pPr>
            <w:r>
              <w:t>改造面积</w:t>
            </w:r>
          </w:p>
        </w:tc>
        <w:tc>
          <w:tcPr>
            <w:tcW w:w="5386" w:type="dxa"/>
            <w:vAlign w:val="center"/>
          </w:tcPr>
          <w:p w14:paraId="0B7664BF">
            <w:pPr>
              <w:pStyle w:val="13"/>
            </w:pPr>
            <w:r>
              <w:t>草坪</w:t>
            </w:r>
          </w:p>
        </w:tc>
        <w:tc>
          <w:tcPr>
            <w:tcW w:w="2268" w:type="dxa"/>
            <w:vAlign w:val="center"/>
          </w:tcPr>
          <w:p w14:paraId="6AFC9FF4">
            <w:pPr>
              <w:pStyle w:val="13"/>
            </w:pPr>
            <w:r>
              <w:t>10平方米</w:t>
            </w:r>
          </w:p>
        </w:tc>
        <w:tc>
          <w:tcPr>
            <w:tcW w:w="1276" w:type="dxa"/>
            <w:vAlign w:val="center"/>
          </w:tcPr>
          <w:p w14:paraId="2DA6F1FA">
            <w:pPr>
              <w:pStyle w:val="13"/>
            </w:pPr>
            <w:r>
              <w:t>项目规划</w:t>
            </w:r>
          </w:p>
        </w:tc>
      </w:tr>
      <w:tr w14:paraId="0B584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A9DE0"/>
        </w:tc>
        <w:tc>
          <w:tcPr>
            <w:tcW w:w="2268" w:type="dxa"/>
            <w:vAlign w:val="center"/>
          </w:tcPr>
          <w:p w14:paraId="21CF9BB5">
            <w:pPr>
              <w:pStyle w:val="13"/>
            </w:pPr>
            <w:r>
              <w:t>数量指标</w:t>
            </w:r>
          </w:p>
        </w:tc>
        <w:tc>
          <w:tcPr>
            <w:tcW w:w="2835" w:type="dxa"/>
            <w:vAlign w:val="center"/>
          </w:tcPr>
          <w:p w14:paraId="20ACD1E5">
            <w:pPr>
              <w:pStyle w:val="13"/>
            </w:pPr>
            <w:r>
              <w:t>改造面积</w:t>
            </w:r>
          </w:p>
        </w:tc>
        <w:tc>
          <w:tcPr>
            <w:tcW w:w="5386" w:type="dxa"/>
            <w:vAlign w:val="center"/>
          </w:tcPr>
          <w:p w14:paraId="3669BF39">
            <w:pPr>
              <w:pStyle w:val="13"/>
            </w:pPr>
            <w:r>
              <w:t>篮球场</w:t>
            </w:r>
          </w:p>
        </w:tc>
        <w:tc>
          <w:tcPr>
            <w:tcW w:w="2268" w:type="dxa"/>
            <w:vAlign w:val="center"/>
          </w:tcPr>
          <w:p w14:paraId="00C75338">
            <w:pPr>
              <w:pStyle w:val="13"/>
            </w:pPr>
            <w:r>
              <w:t>5平方米</w:t>
            </w:r>
          </w:p>
        </w:tc>
        <w:tc>
          <w:tcPr>
            <w:tcW w:w="1276" w:type="dxa"/>
            <w:vAlign w:val="center"/>
          </w:tcPr>
          <w:p w14:paraId="2E53AC28">
            <w:pPr>
              <w:pStyle w:val="13"/>
            </w:pPr>
            <w:r>
              <w:t>项目规划</w:t>
            </w:r>
          </w:p>
        </w:tc>
      </w:tr>
      <w:tr w14:paraId="3A039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4216"/>
        </w:tc>
        <w:tc>
          <w:tcPr>
            <w:tcW w:w="2268" w:type="dxa"/>
            <w:vAlign w:val="center"/>
          </w:tcPr>
          <w:p w14:paraId="60FCBDEF">
            <w:pPr>
              <w:pStyle w:val="13"/>
            </w:pPr>
            <w:r>
              <w:t>质量指标</w:t>
            </w:r>
          </w:p>
        </w:tc>
        <w:tc>
          <w:tcPr>
            <w:tcW w:w="2835" w:type="dxa"/>
            <w:vAlign w:val="center"/>
          </w:tcPr>
          <w:p w14:paraId="6C7FDAD0">
            <w:pPr>
              <w:pStyle w:val="13"/>
            </w:pPr>
            <w:r>
              <w:t>符合验收标准</w:t>
            </w:r>
          </w:p>
        </w:tc>
        <w:tc>
          <w:tcPr>
            <w:tcW w:w="5386" w:type="dxa"/>
            <w:vAlign w:val="center"/>
          </w:tcPr>
          <w:p w14:paraId="051C2013">
            <w:pPr>
              <w:pStyle w:val="13"/>
            </w:pPr>
            <w:r>
              <w:t>项目竣工合格率</w:t>
            </w:r>
          </w:p>
        </w:tc>
        <w:tc>
          <w:tcPr>
            <w:tcW w:w="2268" w:type="dxa"/>
            <w:vAlign w:val="center"/>
          </w:tcPr>
          <w:p w14:paraId="373EF03A">
            <w:pPr>
              <w:pStyle w:val="13"/>
            </w:pPr>
            <w:r>
              <w:t>≥100%</w:t>
            </w:r>
          </w:p>
        </w:tc>
        <w:tc>
          <w:tcPr>
            <w:tcW w:w="1276" w:type="dxa"/>
            <w:vAlign w:val="center"/>
          </w:tcPr>
          <w:p w14:paraId="615739AE">
            <w:pPr>
              <w:pStyle w:val="13"/>
            </w:pPr>
            <w:r>
              <w:t>项目规划</w:t>
            </w:r>
          </w:p>
        </w:tc>
      </w:tr>
      <w:tr w14:paraId="1188A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AD65"/>
        </w:tc>
        <w:tc>
          <w:tcPr>
            <w:tcW w:w="2268" w:type="dxa"/>
            <w:vAlign w:val="center"/>
          </w:tcPr>
          <w:p w14:paraId="395E3B7C">
            <w:pPr>
              <w:pStyle w:val="13"/>
            </w:pPr>
            <w:r>
              <w:t>时效指标</w:t>
            </w:r>
          </w:p>
        </w:tc>
        <w:tc>
          <w:tcPr>
            <w:tcW w:w="2835" w:type="dxa"/>
            <w:vAlign w:val="center"/>
          </w:tcPr>
          <w:p w14:paraId="3C5B5F1E">
            <w:pPr>
              <w:pStyle w:val="13"/>
            </w:pPr>
            <w:r>
              <w:t>项目时间</w:t>
            </w:r>
          </w:p>
        </w:tc>
        <w:tc>
          <w:tcPr>
            <w:tcW w:w="5386" w:type="dxa"/>
            <w:vAlign w:val="center"/>
          </w:tcPr>
          <w:p w14:paraId="56818529">
            <w:pPr>
              <w:pStyle w:val="13"/>
            </w:pPr>
            <w:r>
              <w:t>按期完成率</w:t>
            </w:r>
          </w:p>
        </w:tc>
        <w:tc>
          <w:tcPr>
            <w:tcW w:w="2268" w:type="dxa"/>
            <w:vAlign w:val="center"/>
          </w:tcPr>
          <w:p w14:paraId="137E001A">
            <w:pPr>
              <w:pStyle w:val="13"/>
            </w:pPr>
            <w:r>
              <w:t>≥100%</w:t>
            </w:r>
          </w:p>
        </w:tc>
        <w:tc>
          <w:tcPr>
            <w:tcW w:w="1276" w:type="dxa"/>
            <w:vAlign w:val="center"/>
          </w:tcPr>
          <w:p w14:paraId="63362AE1">
            <w:pPr>
              <w:pStyle w:val="13"/>
            </w:pPr>
            <w:r>
              <w:t>项目规划</w:t>
            </w:r>
          </w:p>
        </w:tc>
      </w:tr>
      <w:tr w14:paraId="7201E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46F77"/>
        </w:tc>
        <w:tc>
          <w:tcPr>
            <w:tcW w:w="2268" w:type="dxa"/>
            <w:vAlign w:val="center"/>
          </w:tcPr>
          <w:p w14:paraId="1A8A0F8A">
            <w:pPr>
              <w:pStyle w:val="13"/>
            </w:pPr>
            <w:r>
              <w:t>成本指标</w:t>
            </w:r>
          </w:p>
        </w:tc>
        <w:tc>
          <w:tcPr>
            <w:tcW w:w="2835" w:type="dxa"/>
            <w:vAlign w:val="center"/>
          </w:tcPr>
          <w:p w14:paraId="7EDD3B43">
            <w:pPr>
              <w:pStyle w:val="13"/>
            </w:pPr>
            <w:r>
              <w:t>项目成本</w:t>
            </w:r>
          </w:p>
        </w:tc>
        <w:tc>
          <w:tcPr>
            <w:tcW w:w="5386" w:type="dxa"/>
            <w:vAlign w:val="center"/>
          </w:tcPr>
          <w:p w14:paraId="0D2694B4">
            <w:pPr>
              <w:pStyle w:val="13"/>
            </w:pPr>
            <w:r>
              <w:t>不超预算</w:t>
            </w:r>
          </w:p>
        </w:tc>
        <w:tc>
          <w:tcPr>
            <w:tcW w:w="2268" w:type="dxa"/>
            <w:vAlign w:val="center"/>
          </w:tcPr>
          <w:p w14:paraId="5F537D66">
            <w:pPr>
              <w:pStyle w:val="13"/>
            </w:pPr>
            <w:r>
              <w:t>≤45万元</w:t>
            </w:r>
          </w:p>
        </w:tc>
        <w:tc>
          <w:tcPr>
            <w:tcW w:w="1276" w:type="dxa"/>
            <w:vAlign w:val="center"/>
          </w:tcPr>
          <w:p w14:paraId="3E989E49">
            <w:pPr>
              <w:pStyle w:val="13"/>
            </w:pPr>
            <w:r>
              <w:t>项目规划</w:t>
            </w:r>
          </w:p>
        </w:tc>
      </w:tr>
      <w:tr w14:paraId="5B810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B13351">
            <w:pPr>
              <w:pStyle w:val="12"/>
            </w:pPr>
            <w:r>
              <w:t>效益指标</w:t>
            </w:r>
          </w:p>
        </w:tc>
        <w:tc>
          <w:tcPr>
            <w:tcW w:w="2268" w:type="dxa"/>
            <w:vAlign w:val="center"/>
          </w:tcPr>
          <w:p w14:paraId="3F9B08A2">
            <w:pPr>
              <w:pStyle w:val="13"/>
            </w:pPr>
            <w:r>
              <w:t>社会效益指标</w:t>
            </w:r>
          </w:p>
        </w:tc>
        <w:tc>
          <w:tcPr>
            <w:tcW w:w="2835" w:type="dxa"/>
            <w:vAlign w:val="center"/>
          </w:tcPr>
          <w:p w14:paraId="22542E37">
            <w:pPr>
              <w:pStyle w:val="13"/>
            </w:pPr>
            <w:r>
              <w:t>学生受教育年限</w:t>
            </w:r>
          </w:p>
        </w:tc>
        <w:tc>
          <w:tcPr>
            <w:tcW w:w="5386" w:type="dxa"/>
            <w:vAlign w:val="center"/>
          </w:tcPr>
          <w:p w14:paraId="655F85A5">
            <w:pPr>
              <w:pStyle w:val="13"/>
            </w:pPr>
            <w:r>
              <w:t>学生受教育年限</w:t>
            </w:r>
          </w:p>
        </w:tc>
        <w:tc>
          <w:tcPr>
            <w:tcW w:w="2268" w:type="dxa"/>
            <w:vAlign w:val="center"/>
          </w:tcPr>
          <w:p w14:paraId="64B51A98">
            <w:pPr>
              <w:pStyle w:val="13"/>
            </w:pPr>
            <w:r>
              <w:t>6年</w:t>
            </w:r>
          </w:p>
        </w:tc>
        <w:tc>
          <w:tcPr>
            <w:tcW w:w="1276" w:type="dxa"/>
            <w:vAlign w:val="center"/>
          </w:tcPr>
          <w:p w14:paraId="6C77221D">
            <w:pPr>
              <w:pStyle w:val="13"/>
            </w:pPr>
            <w:r>
              <w:t>项目规划</w:t>
            </w:r>
          </w:p>
        </w:tc>
      </w:tr>
      <w:tr w14:paraId="47522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81DF8C">
            <w:pPr>
              <w:pStyle w:val="12"/>
            </w:pPr>
            <w:r>
              <w:t>满意度指标</w:t>
            </w:r>
          </w:p>
        </w:tc>
        <w:tc>
          <w:tcPr>
            <w:tcW w:w="2268" w:type="dxa"/>
            <w:vAlign w:val="center"/>
          </w:tcPr>
          <w:p w14:paraId="65535C91">
            <w:pPr>
              <w:pStyle w:val="13"/>
            </w:pPr>
            <w:r>
              <w:t>服务对象满意度指标</w:t>
            </w:r>
          </w:p>
        </w:tc>
        <w:tc>
          <w:tcPr>
            <w:tcW w:w="2835" w:type="dxa"/>
            <w:vAlign w:val="center"/>
          </w:tcPr>
          <w:p w14:paraId="4616CE3E">
            <w:pPr>
              <w:pStyle w:val="13"/>
            </w:pPr>
            <w:r>
              <w:t>教师学生满意度</w:t>
            </w:r>
          </w:p>
        </w:tc>
        <w:tc>
          <w:tcPr>
            <w:tcW w:w="5386" w:type="dxa"/>
            <w:vAlign w:val="center"/>
          </w:tcPr>
          <w:p w14:paraId="209F1332">
            <w:pPr>
              <w:pStyle w:val="13"/>
            </w:pPr>
            <w:r>
              <w:t>教师学生满意度</w:t>
            </w:r>
          </w:p>
        </w:tc>
        <w:tc>
          <w:tcPr>
            <w:tcW w:w="2268" w:type="dxa"/>
            <w:vAlign w:val="center"/>
          </w:tcPr>
          <w:p w14:paraId="74C800DC">
            <w:pPr>
              <w:pStyle w:val="13"/>
            </w:pPr>
            <w:r>
              <w:t>≥95%</w:t>
            </w:r>
          </w:p>
        </w:tc>
        <w:tc>
          <w:tcPr>
            <w:tcW w:w="1276" w:type="dxa"/>
            <w:vAlign w:val="center"/>
          </w:tcPr>
          <w:p w14:paraId="7CE090FB">
            <w:pPr>
              <w:pStyle w:val="13"/>
            </w:pPr>
            <w:r>
              <w:t>项目规划</w:t>
            </w:r>
          </w:p>
        </w:tc>
      </w:tr>
    </w:tbl>
    <w:p w14:paraId="13BF68B8">
      <w:pPr>
        <w:sectPr>
          <w:pgSz w:w="16840" w:h="11900" w:orient="landscape"/>
          <w:pgMar w:top="1361" w:right="1020" w:bottom="1134" w:left="1020" w:header="720" w:footer="720" w:gutter="0"/>
          <w:cols w:space="720" w:num="1"/>
        </w:sectPr>
      </w:pPr>
    </w:p>
    <w:p w14:paraId="616E519A">
      <w:pPr>
        <w:spacing w:before="0" w:after="0"/>
        <w:ind w:firstLine="560"/>
        <w:jc w:val="left"/>
        <w:outlineLvl w:val="9"/>
      </w:pPr>
      <w:r>
        <w:rPr>
          <w:rFonts w:ascii="方正仿宋_GBK" w:hAnsi="方正仿宋_GBK" w:eastAsia="方正仿宋_GBK" w:cs="方正仿宋_GBK"/>
          <w:b/>
          <w:color w:val="000000"/>
          <w:sz w:val="28"/>
        </w:rPr>
        <w:t>12、冀财教[2024]141号/省级/2025年义教补助经费/校舍安全保障/千户营小学宿舍楼封阳台绩效目标表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9E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FEDDA">
            <w:pPr>
              <w:pStyle w:val="14"/>
            </w:pPr>
            <w:r>
              <w:t>单位：万元</w:t>
            </w:r>
          </w:p>
        </w:tc>
      </w:tr>
      <w:tr w14:paraId="1F3C0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8D43F">
            <w:pPr>
              <w:pStyle w:val="11"/>
            </w:pPr>
            <w:r>
              <w:t>项目编码</w:t>
            </w:r>
          </w:p>
        </w:tc>
        <w:tc>
          <w:tcPr>
            <w:tcW w:w="5103" w:type="dxa"/>
            <w:gridSpan w:val="2"/>
            <w:vAlign w:val="center"/>
          </w:tcPr>
          <w:p w14:paraId="34396E75">
            <w:pPr>
              <w:pStyle w:val="13"/>
            </w:pPr>
            <w:r>
              <w:t>13052525P00876210039Y</w:t>
            </w:r>
          </w:p>
        </w:tc>
        <w:tc>
          <w:tcPr>
            <w:tcW w:w="2835" w:type="dxa"/>
            <w:vAlign w:val="center"/>
          </w:tcPr>
          <w:p w14:paraId="37814BAB">
            <w:pPr>
              <w:pStyle w:val="11"/>
            </w:pPr>
            <w:r>
              <w:t>项目名称</w:t>
            </w:r>
          </w:p>
        </w:tc>
        <w:tc>
          <w:tcPr>
            <w:tcW w:w="6095" w:type="dxa"/>
            <w:gridSpan w:val="3"/>
            <w:vAlign w:val="center"/>
          </w:tcPr>
          <w:p w14:paraId="3AF609AB">
            <w:pPr>
              <w:pStyle w:val="13"/>
            </w:pPr>
            <w:r>
              <w:t>冀财教[2024]141号/省级/2025年义教补助经费/校舍安全保障/千户营小学宿舍楼封阳台</w:t>
            </w:r>
          </w:p>
        </w:tc>
      </w:tr>
      <w:tr w14:paraId="4D25F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4AC5D">
            <w:pPr>
              <w:pStyle w:val="11"/>
            </w:pPr>
            <w:r>
              <w:t>预算规模及资金用途</w:t>
            </w:r>
          </w:p>
        </w:tc>
        <w:tc>
          <w:tcPr>
            <w:tcW w:w="2268" w:type="dxa"/>
            <w:vAlign w:val="center"/>
          </w:tcPr>
          <w:p w14:paraId="68C3F1BC">
            <w:pPr>
              <w:pStyle w:val="11"/>
            </w:pPr>
            <w:r>
              <w:t>预算数</w:t>
            </w:r>
          </w:p>
        </w:tc>
        <w:tc>
          <w:tcPr>
            <w:tcW w:w="2835" w:type="dxa"/>
            <w:vAlign w:val="center"/>
          </w:tcPr>
          <w:p w14:paraId="66F32EC5">
            <w:pPr>
              <w:pStyle w:val="13"/>
            </w:pPr>
            <w:r>
              <w:t>21.00</w:t>
            </w:r>
          </w:p>
        </w:tc>
        <w:tc>
          <w:tcPr>
            <w:tcW w:w="2835" w:type="dxa"/>
            <w:vAlign w:val="center"/>
          </w:tcPr>
          <w:p w14:paraId="6188585E">
            <w:pPr>
              <w:pStyle w:val="11"/>
            </w:pPr>
            <w:r>
              <w:t>其中：财政    资金</w:t>
            </w:r>
          </w:p>
        </w:tc>
        <w:tc>
          <w:tcPr>
            <w:tcW w:w="2551" w:type="dxa"/>
            <w:vAlign w:val="center"/>
          </w:tcPr>
          <w:p w14:paraId="60698E83">
            <w:pPr>
              <w:pStyle w:val="13"/>
            </w:pPr>
            <w:r>
              <w:t>21.00</w:t>
            </w:r>
          </w:p>
        </w:tc>
        <w:tc>
          <w:tcPr>
            <w:tcW w:w="2268" w:type="dxa"/>
            <w:vAlign w:val="center"/>
          </w:tcPr>
          <w:p w14:paraId="0C5ED79A">
            <w:pPr>
              <w:pStyle w:val="11"/>
            </w:pPr>
            <w:r>
              <w:t>其他资金</w:t>
            </w:r>
          </w:p>
        </w:tc>
        <w:tc>
          <w:tcPr>
            <w:tcW w:w="1276" w:type="dxa"/>
            <w:vAlign w:val="center"/>
          </w:tcPr>
          <w:p w14:paraId="150DD236">
            <w:pPr>
              <w:pStyle w:val="13"/>
            </w:pPr>
            <w:r>
              <w:t xml:space="preserve"> </w:t>
            </w:r>
          </w:p>
        </w:tc>
      </w:tr>
      <w:tr w14:paraId="6E19C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CBCA3"/>
        </w:tc>
        <w:tc>
          <w:tcPr>
            <w:tcW w:w="14033" w:type="dxa"/>
            <w:gridSpan w:val="6"/>
            <w:vAlign w:val="center"/>
          </w:tcPr>
          <w:p w14:paraId="29CA7C9D">
            <w:pPr>
              <w:pStyle w:val="13"/>
            </w:pPr>
            <w:r>
              <w:t>用于千户营小学宿舍封阳台</w:t>
            </w:r>
          </w:p>
        </w:tc>
      </w:tr>
      <w:tr w14:paraId="0444D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3AC48">
            <w:pPr>
              <w:pStyle w:val="11"/>
            </w:pPr>
            <w:r>
              <w:t>资金支出计划（%）</w:t>
            </w:r>
          </w:p>
        </w:tc>
        <w:tc>
          <w:tcPr>
            <w:tcW w:w="5103" w:type="dxa"/>
            <w:gridSpan w:val="2"/>
            <w:vAlign w:val="center"/>
          </w:tcPr>
          <w:p w14:paraId="668A7168">
            <w:pPr>
              <w:pStyle w:val="11"/>
            </w:pPr>
            <w:r>
              <w:t>3月底</w:t>
            </w:r>
          </w:p>
        </w:tc>
        <w:tc>
          <w:tcPr>
            <w:tcW w:w="2835" w:type="dxa"/>
            <w:vAlign w:val="center"/>
          </w:tcPr>
          <w:p w14:paraId="72C32556">
            <w:pPr>
              <w:pStyle w:val="11"/>
            </w:pPr>
            <w:r>
              <w:t>6月底</w:t>
            </w:r>
          </w:p>
        </w:tc>
        <w:tc>
          <w:tcPr>
            <w:tcW w:w="2551" w:type="dxa"/>
            <w:vAlign w:val="center"/>
          </w:tcPr>
          <w:p w14:paraId="044EFC99">
            <w:pPr>
              <w:pStyle w:val="11"/>
            </w:pPr>
            <w:r>
              <w:t>10月底</w:t>
            </w:r>
          </w:p>
        </w:tc>
        <w:tc>
          <w:tcPr>
            <w:tcW w:w="3544" w:type="dxa"/>
            <w:gridSpan w:val="2"/>
            <w:vAlign w:val="center"/>
          </w:tcPr>
          <w:p w14:paraId="7C0540AC">
            <w:pPr>
              <w:pStyle w:val="11"/>
            </w:pPr>
            <w:r>
              <w:t>12月底</w:t>
            </w:r>
          </w:p>
        </w:tc>
      </w:tr>
      <w:tr w14:paraId="7B94F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BCBA9"/>
        </w:tc>
        <w:tc>
          <w:tcPr>
            <w:tcW w:w="5103" w:type="dxa"/>
            <w:gridSpan w:val="2"/>
            <w:vAlign w:val="center"/>
          </w:tcPr>
          <w:p w14:paraId="1C4FF1D5">
            <w:pPr>
              <w:pStyle w:val="12"/>
            </w:pPr>
            <w:r>
              <w:t xml:space="preserve"> </w:t>
            </w:r>
          </w:p>
        </w:tc>
        <w:tc>
          <w:tcPr>
            <w:tcW w:w="2835" w:type="dxa"/>
            <w:vAlign w:val="center"/>
          </w:tcPr>
          <w:p w14:paraId="194C8134">
            <w:pPr>
              <w:pStyle w:val="12"/>
            </w:pPr>
            <w:r>
              <w:t xml:space="preserve"> </w:t>
            </w:r>
          </w:p>
        </w:tc>
        <w:tc>
          <w:tcPr>
            <w:tcW w:w="2551" w:type="dxa"/>
            <w:vAlign w:val="center"/>
          </w:tcPr>
          <w:p w14:paraId="2FB92D6E">
            <w:pPr>
              <w:pStyle w:val="12"/>
            </w:pPr>
            <w:r>
              <w:t>100%</w:t>
            </w:r>
          </w:p>
        </w:tc>
        <w:tc>
          <w:tcPr>
            <w:tcW w:w="3544" w:type="dxa"/>
            <w:gridSpan w:val="2"/>
            <w:vAlign w:val="center"/>
          </w:tcPr>
          <w:p w14:paraId="71B8D8DF">
            <w:pPr>
              <w:pStyle w:val="12"/>
            </w:pPr>
            <w:r>
              <w:t>100%</w:t>
            </w:r>
          </w:p>
        </w:tc>
      </w:tr>
      <w:tr w14:paraId="3AE84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7326B">
            <w:pPr>
              <w:pStyle w:val="11"/>
            </w:pPr>
            <w:r>
              <w:t>绩效目标</w:t>
            </w:r>
          </w:p>
        </w:tc>
        <w:tc>
          <w:tcPr>
            <w:tcW w:w="14033" w:type="dxa"/>
            <w:gridSpan w:val="6"/>
            <w:vAlign w:val="center"/>
          </w:tcPr>
          <w:p w14:paraId="0A0BC6D8">
            <w:pPr>
              <w:pStyle w:val="13"/>
            </w:pPr>
            <w:r>
              <w:t>1.千户营小学宿舍封阳台</w:t>
            </w:r>
          </w:p>
        </w:tc>
      </w:tr>
    </w:tbl>
    <w:p w14:paraId="1F19DA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24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F8E18">
            <w:pPr>
              <w:pStyle w:val="11"/>
            </w:pPr>
            <w:r>
              <w:t>一级指标</w:t>
            </w:r>
          </w:p>
        </w:tc>
        <w:tc>
          <w:tcPr>
            <w:tcW w:w="2268" w:type="dxa"/>
            <w:vAlign w:val="center"/>
          </w:tcPr>
          <w:p w14:paraId="31D3C852">
            <w:pPr>
              <w:pStyle w:val="11"/>
            </w:pPr>
            <w:r>
              <w:t>二级指标</w:t>
            </w:r>
          </w:p>
        </w:tc>
        <w:tc>
          <w:tcPr>
            <w:tcW w:w="2835" w:type="dxa"/>
            <w:vAlign w:val="center"/>
          </w:tcPr>
          <w:p w14:paraId="7959E5B9">
            <w:pPr>
              <w:pStyle w:val="11"/>
            </w:pPr>
            <w:r>
              <w:t>三级指标</w:t>
            </w:r>
          </w:p>
        </w:tc>
        <w:tc>
          <w:tcPr>
            <w:tcW w:w="5386" w:type="dxa"/>
            <w:vAlign w:val="center"/>
          </w:tcPr>
          <w:p w14:paraId="7ED73FEB">
            <w:pPr>
              <w:pStyle w:val="11"/>
            </w:pPr>
            <w:r>
              <w:t>绩效指标描述</w:t>
            </w:r>
          </w:p>
        </w:tc>
        <w:tc>
          <w:tcPr>
            <w:tcW w:w="2268" w:type="dxa"/>
            <w:vAlign w:val="center"/>
          </w:tcPr>
          <w:p w14:paraId="739AD201">
            <w:pPr>
              <w:pStyle w:val="11"/>
            </w:pPr>
            <w:r>
              <w:t>指标值</w:t>
            </w:r>
          </w:p>
        </w:tc>
        <w:tc>
          <w:tcPr>
            <w:tcW w:w="1276" w:type="dxa"/>
            <w:vAlign w:val="center"/>
          </w:tcPr>
          <w:p w14:paraId="5D0D7498">
            <w:pPr>
              <w:pStyle w:val="11"/>
            </w:pPr>
            <w:r>
              <w:t>指标值确定依据</w:t>
            </w:r>
          </w:p>
        </w:tc>
      </w:tr>
      <w:tr w14:paraId="10931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00D1E">
            <w:pPr>
              <w:pStyle w:val="12"/>
            </w:pPr>
            <w:r>
              <w:t>产出指标</w:t>
            </w:r>
          </w:p>
        </w:tc>
        <w:tc>
          <w:tcPr>
            <w:tcW w:w="2268" w:type="dxa"/>
            <w:vAlign w:val="center"/>
          </w:tcPr>
          <w:p w14:paraId="2408D6B6">
            <w:pPr>
              <w:pStyle w:val="13"/>
            </w:pPr>
            <w:r>
              <w:t>数量指标</w:t>
            </w:r>
          </w:p>
        </w:tc>
        <w:tc>
          <w:tcPr>
            <w:tcW w:w="2835" w:type="dxa"/>
            <w:vAlign w:val="center"/>
          </w:tcPr>
          <w:p w14:paraId="4C0AD573">
            <w:pPr>
              <w:pStyle w:val="13"/>
            </w:pPr>
            <w:r>
              <w:t>改造面积</w:t>
            </w:r>
          </w:p>
        </w:tc>
        <w:tc>
          <w:tcPr>
            <w:tcW w:w="5386" w:type="dxa"/>
            <w:vAlign w:val="center"/>
          </w:tcPr>
          <w:p w14:paraId="1181652D">
            <w:pPr>
              <w:pStyle w:val="13"/>
            </w:pPr>
            <w:r>
              <w:t>宿舍封阳台</w:t>
            </w:r>
          </w:p>
        </w:tc>
        <w:tc>
          <w:tcPr>
            <w:tcW w:w="2268" w:type="dxa"/>
            <w:vAlign w:val="center"/>
          </w:tcPr>
          <w:p w14:paraId="3CC4D54F">
            <w:pPr>
              <w:pStyle w:val="13"/>
            </w:pPr>
            <w:r>
              <w:t>21平方米</w:t>
            </w:r>
          </w:p>
        </w:tc>
        <w:tc>
          <w:tcPr>
            <w:tcW w:w="1276" w:type="dxa"/>
            <w:vAlign w:val="center"/>
          </w:tcPr>
          <w:p w14:paraId="3FED0135">
            <w:pPr>
              <w:pStyle w:val="13"/>
            </w:pPr>
            <w:r>
              <w:t>项目规划</w:t>
            </w:r>
          </w:p>
        </w:tc>
      </w:tr>
      <w:tr w14:paraId="73CD6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0A5A4"/>
        </w:tc>
        <w:tc>
          <w:tcPr>
            <w:tcW w:w="2268" w:type="dxa"/>
            <w:vAlign w:val="center"/>
          </w:tcPr>
          <w:p w14:paraId="44B12ACA">
            <w:pPr>
              <w:pStyle w:val="13"/>
            </w:pPr>
            <w:r>
              <w:t>质量指标</w:t>
            </w:r>
          </w:p>
        </w:tc>
        <w:tc>
          <w:tcPr>
            <w:tcW w:w="2835" w:type="dxa"/>
            <w:vAlign w:val="center"/>
          </w:tcPr>
          <w:p w14:paraId="39AD6F30">
            <w:pPr>
              <w:pStyle w:val="13"/>
            </w:pPr>
            <w:r>
              <w:t>符合验收标准</w:t>
            </w:r>
          </w:p>
        </w:tc>
        <w:tc>
          <w:tcPr>
            <w:tcW w:w="5386" w:type="dxa"/>
            <w:vAlign w:val="center"/>
          </w:tcPr>
          <w:p w14:paraId="11DA7C8C">
            <w:pPr>
              <w:pStyle w:val="13"/>
            </w:pPr>
            <w:r>
              <w:t>项目竣工合格率</w:t>
            </w:r>
          </w:p>
        </w:tc>
        <w:tc>
          <w:tcPr>
            <w:tcW w:w="2268" w:type="dxa"/>
            <w:vAlign w:val="center"/>
          </w:tcPr>
          <w:p w14:paraId="3FBFF825">
            <w:pPr>
              <w:pStyle w:val="13"/>
            </w:pPr>
            <w:r>
              <w:t>≥100%</w:t>
            </w:r>
          </w:p>
        </w:tc>
        <w:tc>
          <w:tcPr>
            <w:tcW w:w="1276" w:type="dxa"/>
            <w:vAlign w:val="center"/>
          </w:tcPr>
          <w:p w14:paraId="6F65CC20">
            <w:pPr>
              <w:pStyle w:val="13"/>
            </w:pPr>
            <w:r>
              <w:t>项目规划</w:t>
            </w:r>
          </w:p>
        </w:tc>
      </w:tr>
      <w:tr w14:paraId="528CC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5C276"/>
        </w:tc>
        <w:tc>
          <w:tcPr>
            <w:tcW w:w="2268" w:type="dxa"/>
            <w:vAlign w:val="center"/>
          </w:tcPr>
          <w:p w14:paraId="36A6489F">
            <w:pPr>
              <w:pStyle w:val="13"/>
            </w:pPr>
            <w:r>
              <w:t>时效指标</w:t>
            </w:r>
          </w:p>
        </w:tc>
        <w:tc>
          <w:tcPr>
            <w:tcW w:w="2835" w:type="dxa"/>
            <w:vAlign w:val="center"/>
          </w:tcPr>
          <w:p w14:paraId="1D1F664D">
            <w:pPr>
              <w:pStyle w:val="13"/>
            </w:pPr>
            <w:r>
              <w:t>项目时间</w:t>
            </w:r>
          </w:p>
        </w:tc>
        <w:tc>
          <w:tcPr>
            <w:tcW w:w="5386" w:type="dxa"/>
            <w:vAlign w:val="center"/>
          </w:tcPr>
          <w:p w14:paraId="3C6528B0">
            <w:pPr>
              <w:pStyle w:val="13"/>
            </w:pPr>
            <w:r>
              <w:t>按期完成率</w:t>
            </w:r>
          </w:p>
        </w:tc>
        <w:tc>
          <w:tcPr>
            <w:tcW w:w="2268" w:type="dxa"/>
            <w:vAlign w:val="center"/>
          </w:tcPr>
          <w:p w14:paraId="6E476ACF">
            <w:pPr>
              <w:pStyle w:val="13"/>
            </w:pPr>
            <w:r>
              <w:t>≥100%</w:t>
            </w:r>
          </w:p>
        </w:tc>
        <w:tc>
          <w:tcPr>
            <w:tcW w:w="1276" w:type="dxa"/>
            <w:vAlign w:val="center"/>
          </w:tcPr>
          <w:p w14:paraId="6DE142A2">
            <w:pPr>
              <w:pStyle w:val="13"/>
            </w:pPr>
            <w:r>
              <w:t>项目规划</w:t>
            </w:r>
          </w:p>
        </w:tc>
      </w:tr>
      <w:tr w14:paraId="65C08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AF2AD"/>
        </w:tc>
        <w:tc>
          <w:tcPr>
            <w:tcW w:w="2268" w:type="dxa"/>
            <w:vAlign w:val="center"/>
          </w:tcPr>
          <w:p w14:paraId="585B0790">
            <w:pPr>
              <w:pStyle w:val="13"/>
            </w:pPr>
            <w:r>
              <w:t>成本指标</w:t>
            </w:r>
          </w:p>
        </w:tc>
        <w:tc>
          <w:tcPr>
            <w:tcW w:w="2835" w:type="dxa"/>
            <w:vAlign w:val="center"/>
          </w:tcPr>
          <w:p w14:paraId="16FE3924">
            <w:pPr>
              <w:pStyle w:val="13"/>
            </w:pPr>
            <w:r>
              <w:t>项目成本</w:t>
            </w:r>
          </w:p>
        </w:tc>
        <w:tc>
          <w:tcPr>
            <w:tcW w:w="5386" w:type="dxa"/>
            <w:vAlign w:val="center"/>
          </w:tcPr>
          <w:p w14:paraId="6FFE61AB">
            <w:pPr>
              <w:pStyle w:val="13"/>
            </w:pPr>
            <w:r>
              <w:t>不超预算</w:t>
            </w:r>
          </w:p>
        </w:tc>
        <w:tc>
          <w:tcPr>
            <w:tcW w:w="2268" w:type="dxa"/>
            <w:vAlign w:val="center"/>
          </w:tcPr>
          <w:p w14:paraId="00272724">
            <w:pPr>
              <w:pStyle w:val="13"/>
            </w:pPr>
            <w:r>
              <w:t>≤21万元</w:t>
            </w:r>
          </w:p>
        </w:tc>
        <w:tc>
          <w:tcPr>
            <w:tcW w:w="1276" w:type="dxa"/>
            <w:vAlign w:val="center"/>
          </w:tcPr>
          <w:p w14:paraId="38CA6F30">
            <w:pPr>
              <w:pStyle w:val="13"/>
            </w:pPr>
            <w:r>
              <w:t>项目规划</w:t>
            </w:r>
          </w:p>
        </w:tc>
      </w:tr>
      <w:tr w14:paraId="60C0C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0B500B">
            <w:pPr>
              <w:pStyle w:val="12"/>
            </w:pPr>
            <w:r>
              <w:t>效益指标</w:t>
            </w:r>
          </w:p>
        </w:tc>
        <w:tc>
          <w:tcPr>
            <w:tcW w:w="2268" w:type="dxa"/>
            <w:vAlign w:val="center"/>
          </w:tcPr>
          <w:p w14:paraId="4AEC6B5C">
            <w:pPr>
              <w:pStyle w:val="13"/>
            </w:pPr>
            <w:r>
              <w:t>社会效益指标</w:t>
            </w:r>
          </w:p>
        </w:tc>
        <w:tc>
          <w:tcPr>
            <w:tcW w:w="2835" w:type="dxa"/>
            <w:vAlign w:val="center"/>
          </w:tcPr>
          <w:p w14:paraId="1C8B080C">
            <w:pPr>
              <w:pStyle w:val="13"/>
            </w:pPr>
            <w:r>
              <w:t>学生受教育年限</w:t>
            </w:r>
          </w:p>
        </w:tc>
        <w:tc>
          <w:tcPr>
            <w:tcW w:w="5386" w:type="dxa"/>
            <w:vAlign w:val="center"/>
          </w:tcPr>
          <w:p w14:paraId="3F967B48">
            <w:pPr>
              <w:pStyle w:val="13"/>
            </w:pPr>
            <w:r>
              <w:t>学生受教育年限</w:t>
            </w:r>
          </w:p>
        </w:tc>
        <w:tc>
          <w:tcPr>
            <w:tcW w:w="2268" w:type="dxa"/>
            <w:vAlign w:val="center"/>
          </w:tcPr>
          <w:p w14:paraId="34096491">
            <w:pPr>
              <w:pStyle w:val="13"/>
            </w:pPr>
            <w:r>
              <w:t>6年</w:t>
            </w:r>
          </w:p>
        </w:tc>
        <w:tc>
          <w:tcPr>
            <w:tcW w:w="1276" w:type="dxa"/>
            <w:vAlign w:val="center"/>
          </w:tcPr>
          <w:p w14:paraId="62605DDE">
            <w:pPr>
              <w:pStyle w:val="13"/>
            </w:pPr>
            <w:r>
              <w:t>项目规划</w:t>
            </w:r>
          </w:p>
        </w:tc>
      </w:tr>
      <w:tr w14:paraId="481FF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70E70A">
            <w:pPr>
              <w:pStyle w:val="12"/>
            </w:pPr>
            <w:r>
              <w:t>满意度指标</w:t>
            </w:r>
          </w:p>
        </w:tc>
        <w:tc>
          <w:tcPr>
            <w:tcW w:w="2268" w:type="dxa"/>
            <w:vAlign w:val="center"/>
          </w:tcPr>
          <w:p w14:paraId="3F79988F">
            <w:pPr>
              <w:pStyle w:val="13"/>
            </w:pPr>
            <w:r>
              <w:t>服务对象满意度指标</w:t>
            </w:r>
          </w:p>
        </w:tc>
        <w:tc>
          <w:tcPr>
            <w:tcW w:w="2835" w:type="dxa"/>
            <w:vAlign w:val="center"/>
          </w:tcPr>
          <w:p w14:paraId="433CA317">
            <w:pPr>
              <w:pStyle w:val="13"/>
            </w:pPr>
            <w:r>
              <w:t>教师学生满意度</w:t>
            </w:r>
          </w:p>
        </w:tc>
        <w:tc>
          <w:tcPr>
            <w:tcW w:w="5386" w:type="dxa"/>
            <w:vAlign w:val="center"/>
          </w:tcPr>
          <w:p w14:paraId="405F0AA9">
            <w:pPr>
              <w:pStyle w:val="13"/>
            </w:pPr>
            <w:r>
              <w:t>教师学生满意度</w:t>
            </w:r>
          </w:p>
        </w:tc>
        <w:tc>
          <w:tcPr>
            <w:tcW w:w="2268" w:type="dxa"/>
            <w:vAlign w:val="center"/>
          </w:tcPr>
          <w:p w14:paraId="6855C01A">
            <w:pPr>
              <w:pStyle w:val="13"/>
            </w:pPr>
            <w:r>
              <w:t>≥95%</w:t>
            </w:r>
          </w:p>
        </w:tc>
        <w:tc>
          <w:tcPr>
            <w:tcW w:w="1276" w:type="dxa"/>
            <w:vAlign w:val="center"/>
          </w:tcPr>
          <w:p w14:paraId="155374EF">
            <w:pPr>
              <w:pStyle w:val="13"/>
            </w:pPr>
            <w:r>
              <w:t>项目规划</w:t>
            </w:r>
          </w:p>
        </w:tc>
      </w:tr>
    </w:tbl>
    <w:p w14:paraId="04E644EB">
      <w:pPr>
        <w:sectPr>
          <w:pgSz w:w="16840" w:h="11900" w:orient="landscape"/>
          <w:pgMar w:top="1361" w:right="1020" w:bottom="1134" w:left="1020" w:header="720" w:footer="720" w:gutter="0"/>
          <w:cols w:space="720" w:num="1"/>
        </w:sectPr>
      </w:pPr>
    </w:p>
    <w:p w14:paraId="1EEC0D39">
      <w:pPr>
        <w:spacing w:before="0" w:after="0"/>
        <w:ind w:firstLine="560"/>
        <w:jc w:val="left"/>
        <w:outlineLvl w:val="9"/>
      </w:pPr>
      <w:r>
        <w:rPr>
          <w:rFonts w:ascii="方正仿宋_GBK" w:hAnsi="方正仿宋_GBK" w:eastAsia="方正仿宋_GBK" w:cs="方正仿宋_GBK"/>
          <w:b/>
          <w:color w:val="000000"/>
          <w:sz w:val="28"/>
        </w:rPr>
        <w:t>13、冀财教[2024]141号/省级/2025年义教补助经费/徐麻营小学公用经费绩效目标表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75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DB07C">
            <w:pPr>
              <w:pStyle w:val="14"/>
            </w:pPr>
            <w:r>
              <w:t>单位：万元</w:t>
            </w:r>
          </w:p>
        </w:tc>
      </w:tr>
      <w:tr w14:paraId="7026F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DC5EC2">
            <w:pPr>
              <w:pStyle w:val="11"/>
            </w:pPr>
            <w:r>
              <w:t>项目编码</w:t>
            </w:r>
          </w:p>
        </w:tc>
        <w:tc>
          <w:tcPr>
            <w:tcW w:w="5103" w:type="dxa"/>
            <w:gridSpan w:val="2"/>
            <w:vAlign w:val="center"/>
          </w:tcPr>
          <w:p w14:paraId="172B9B9B">
            <w:pPr>
              <w:pStyle w:val="13"/>
            </w:pPr>
            <w:r>
              <w:t>13052525P00000410197D</w:t>
            </w:r>
          </w:p>
        </w:tc>
        <w:tc>
          <w:tcPr>
            <w:tcW w:w="2835" w:type="dxa"/>
            <w:vAlign w:val="center"/>
          </w:tcPr>
          <w:p w14:paraId="7FA84B85">
            <w:pPr>
              <w:pStyle w:val="11"/>
            </w:pPr>
            <w:r>
              <w:t>项目名称</w:t>
            </w:r>
          </w:p>
        </w:tc>
        <w:tc>
          <w:tcPr>
            <w:tcW w:w="6095" w:type="dxa"/>
            <w:gridSpan w:val="3"/>
            <w:vAlign w:val="center"/>
          </w:tcPr>
          <w:p w14:paraId="2D490EBB">
            <w:pPr>
              <w:pStyle w:val="13"/>
            </w:pPr>
            <w:r>
              <w:t>冀财教[2024]141号/省级/2025年义教补助经费/徐麻营小学公用经费</w:t>
            </w:r>
          </w:p>
        </w:tc>
      </w:tr>
      <w:tr w14:paraId="60320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1DEDD">
            <w:pPr>
              <w:pStyle w:val="11"/>
            </w:pPr>
            <w:r>
              <w:t>预算规模及资金用途</w:t>
            </w:r>
          </w:p>
        </w:tc>
        <w:tc>
          <w:tcPr>
            <w:tcW w:w="2268" w:type="dxa"/>
            <w:vAlign w:val="center"/>
          </w:tcPr>
          <w:p w14:paraId="68E9D8D9">
            <w:pPr>
              <w:pStyle w:val="11"/>
            </w:pPr>
            <w:r>
              <w:t>预算数</w:t>
            </w:r>
          </w:p>
        </w:tc>
        <w:tc>
          <w:tcPr>
            <w:tcW w:w="2835" w:type="dxa"/>
            <w:vAlign w:val="center"/>
          </w:tcPr>
          <w:p w14:paraId="2D6B8667">
            <w:pPr>
              <w:pStyle w:val="13"/>
            </w:pPr>
            <w:r>
              <w:t>4.68</w:t>
            </w:r>
          </w:p>
        </w:tc>
        <w:tc>
          <w:tcPr>
            <w:tcW w:w="2835" w:type="dxa"/>
            <w:vAlign w:val="center"/>
          </w:tcPr>
          <w:p w14:paraId="5C7B33B2">
            <w:pPr>
              <w:pStyle w:val="11"/>
            </w:pPr>
            <w:r>
              <w:t>其中：财政    资金</w:t>
            </w:r>
          </w:p>
        </w:tc>
        <w:tc>
          <w:tcPr>
            <w:tcW w:w="2551" w:type="dxa"/>
            <w:vAlign w:val="center"/>
          </w:tcPr>
          <w:p w14:paraId="47E97A42">
            <w:pPr>
              <w:pStyle w:val="13"/>
            </w:pPr>
            <w:r>
              <w:t>4.68</w:t>
            </w:r>
          </w:p>
        </w:tc>
        <w:tc>
          <w:tcPr>
            <w:tcW w:w="2268" w:type="dxa"/>
            <w:vAlign w:val="center"/>
          </w:tcPr>
          <w:p w14:paraId="22118928">
            <w:pPr>
              <w:pStyle w:val="11"/>
            </w:pPr>
            <w:r>
              <w:t>其他资金</w:t>
            </w:r>
          </w:p>
        </w:tc>
        <w:tc>
          <w:tcPr>
            <w:tcW w:w="1276" w:type="dxa"/>
            <w:vAlign w:val="center"/>
          </w:tcPr>
          <w:p w14:paraId="51F37D1F">
            <w:pPr>
              <w:pStyle w:val="13"/>
            </w:pPr>
            <w:r>
              <w:t xml:space="preserve"> </w:t>
            </w:r>
          </w:p>
        </w:tc>
      </w:tr>
      <w:tr w14:paraId="389A3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94FA4"/>
        </w:tc>
        <w:tc>
          <w:tcPr>
            <w:tcW w:w="14033" w:type="dxa"/>
            <w:gridSpan w:val="6"/>
            <w:vAlign w:val="center"/>
          </w:tcPr>
          <w:p w14:paraId="318322AB">
            <w:pPr>
              <w:pStyle w:val="13"/>
            </w:pPr>
            <w:r>
              <w:t>为保证学校正常运转和改善办学条件。</w:t>
            </w:r>
          </w:p>
        </w:tc>
      </w:tr>
      <w:tr w14:paraId="25B5E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CFEA7">
            <w:pPr>
              <w:pStyle w:val="11"/>
            </w:pPr>
            <w:r>
              <w:t>资金支出计划（%）</w:t>
            </w:r>
          </w:p>
        </w:tc>
        <w:tc>
          <w:tcPr>
            <w:tcW w:w="5103" w:type="dxa"/>
            <w:gridSpan w:val="2"/>
            <w:vAlign w:val="center"/>
          </w:tcPr>
          <w:p w14:paraId="02B4DBF9">
            <w:pPr>
              <w:pStyle w:val="11"/>
            </w:pPr>
            <w:r>
              <w:t>3月底</w:t>
            </w:r>
          </w:p>
        </w:tc>
        <w:tc>
          <w:tcPr>
            <w:tcW w:w="2835" w:type="dxa"/>
            <w:vAlign w:val="center"/>
          </w:tcPr>
          <w:p w14:paraId="04A4BCC0">
            <w:pPr>
              <w:pStyle w:val="11"/>
            </w:pPr>
            <w:r>
              <w:t>6月底</w:t>
            </w:r>
          </w:p>
        </w:tc>
        <w:tc>
          <w:tcPr>
            <w:tcW w:w="2551" w:type="dxa"/>
            <w:vAlign w:val="center"/>
          </w:tcPr>
          <w:p w14:paraId="122E55E3">
            <w:pPr>
              <w:pStyle w:val="11"/>
            </w:pPr>
            <w:r>
              <w:t>10月底</w:t>
            </w:r>
          </w:p>
        </w:tc>
        <w:tc>
          <w:tcPr>
            <w:tcW w:w="3544" w:type="dxa"/>
            <w:gridSpan w:val="2"/>
            <w:vAlign w:val="center"/>
          </w:tcPr>
          <w:p w14:paraId="39F780F3">
            <w:pPr>
              <w:pStyle w:val="11"/>
            </w:pPr>
            <w:r>
              <w:t>12月底</w:t>
            </w:r>
          </w:p>
        </w:tc>
      </w:tr>
      <w:tr w14:paraId="3559E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7F1A2"/>
        </w:tc>
        <w:tc>
          <w:tcPr>
            <w:tcW w:w="5103" w:type="dxa"/>
            <w:gridSpan w:val="2"/>
            <w:vAlign w:val="center"/>
          </w:tcPr>
          <w:p w14:paraId="4C21A909">
            <w:pPr>
              <w:pStyle w:val="12"/>
            </w:pPr>
            <w:r>
              <w:t>25%</w:t>
            </w:r>
          </w:p>
        </w:tc>
        <w:tc>
          <w:tcPr>
            <w:tcW w:w="2835" w:type="dxa"/>
            <w:vAlign w:val="center"/>
          </w:tcPr>
          <w:p w14:paraId="5CF05CE2">
            <w:pPr>
              <w:pStyle w:val="12"/>
            </w:pPr>
            <w:r>
              <w:t>50%</w:t>
            </w:r>
          </w:p>
        </w:tc>
        <w:tc>
          <w:tcPr>
            <w:tcW w:w="2551" w:type="dxa"/>
            <w:vAlign w:val="center"/>
          </w:tcPr>
          <w:p w14:paraId="56ADEC19">
            <w:pPr>
              <w:pStyle w:val="12"/>
            </w:pPr>
            <w:r>
              <w:t>75%</w:t>
            </w:r>
          </w:p>
        </w:tc>
        <w:tc>
          <w:tcPr>
            <w:tcW w:w="3544" w:type="dxa"/>
            <w:gridSpan w:val="2"/>
            <w:vAlign w:val="center"/>
          </w:tcPr>
          <w:p w14:paraId="3E19C6C4">
            <w:pPr>
              <w:pStyle w:val="12"/>
            </w:pPr>
            <w:r>
              <w:t>100%</w:t>
            </w:r>
          </w:p>
        </w:tc>
      </w:tr>
      <w:tr w14:paraId="08E00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BAA709">
            <w:pPr>
              <w:pStyle w:val="11"/>
            </w:pPr>
            <w:r>
              <w:t>绩效目标</w:t>
            </w:r>
          </w:p>
        </w:tc>
        <w:tc>
          <w:tcPr>
            <w:tcW w:w="14033" w:type="dxa"/>
            <w:gridSpan w:val="6"/>
            <w:vAlign w:val="center"/>
          </w:tcPr>
          <w:p w14:paraId="19FAC4D3">
            <w:pPr>
              <w:pStyle w:val="13"/>
            </w:pPr>
            <w:r>
              <w:t>1.按拨款序时进度完成经费拨付和支出。</w:t>
            </w:r>
          </w:p>
          <w:p w14:paraId="72ADD6A6">
            <w:pPr>
              <w:pStyle w:val="13"/>
            </w:pPr>
            <w:r>
              <w:t>2.为保证学校正常运转和改善办学条件。</w:t>
            </w:r>
          </w:p>
        </w:tc>
      </w:tr>
    </w:tbl>
    <w:p w14:paraId="59DEE0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5B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BA962">
            <w:pPr>
              <w:pStyle w:val="11"/>
            </w:pPr>
            <w:r>
              <w:t>一级指标</w:t>
            </w:r>
          </w:p>
        </w:tc>
        <w:tc>
          <w:tcPr>
            <w:tcW w:w="2268" w:type="dxa"/>
            <w:vAlign w:val="center"/>
          </w:tcPr>
          <w:p w14:paraId="1354B6B8">
            <w:pPr>
              <w:pStyle w:val="11"/>
            </w:pPr>
            <w:r>
              <w:t>二级指标</w:t>
            </w:r>
          </w:p>
        </w:tc>
        <w:tc>
          <w:tcPr>
            <w:tcW w:w="2835" w:type="dxa"/>
            <w:vAlign w:val="center"/>
          </w:tcPr>
          <w:p w14:paraId="752A6D02">
            <w:pPr>
              <w:pStyle w:val="11"/>
            </w:pPr>
            <w:r>
              <w:t>三级指标</w:t>
            </w:r>
          </w:p>
        </w:tc>
        <w:tc>
          <w:tcPr>
            <w:tcW w:w="5386" w:type="dxa"/>
            <w:vAlign w:val="center"/>
          </w:tcPr>
          <w:p w14:paraId="260C6D63">
            <w:pPr>
              <w:pStyle w:val="11"/>
            </w:pPr>
            <w:r>
              <w:t>绩效指标描述</w:t>
            </w:r>
          </w:p>
        </w:tc>
        <w:tc>
          <w:tcPr>
            <w:tcW w:w="2268" w:type="dxa"/>
            <w:vAlign w:val="center"/>
          </w:tcPr>
          <w:p w14:paraId="4D44ACA5">
            <w:pPr>
              <w:pStyle w:val="11"/>
            </w:pPr>
            <w:r>
              <w:t>指标值</w:t>
            </w:r>
          </w:p>
        </w:tc>
        <w:tc>
          <w:tcPr>
            <w:tcW w:w="1276" w:type="dxa"/>
            <w:vAlign w:val="center"/>
          </w:tcPr>
          <w:p w14:paraId="19191891">
            <w:pPr>
              <w:pStyle w:val="11"/>
            </w:pPr>
            <w:r>
              <w:t>指标值确定依据</w:t>
            </w:r>
          </w:p>
        </w:tc>
      </w:tr>
      <w:tr w14:paraId="12599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5D710">
            <w:pPr>
              <w:pStyle w:val="12"/>
            </w:pPr>
            <w:r>
              <w:t>产出指标</w:t>
            </w:r>
          </w:p>
        </w:tc>
        <w:tc>
          <w:tcPr>
            <w:tcW w:w="2268" w:type="dxa"/>
            <w:vAlign w:val="center"/>
          </w:tcPr>
          <w:p w14:paraId="250D4D48">
            <w:pPr>
              <w:pStyle w:val="13"/>
            </w:pPr>
            <w:r>
              <w:t>数量指标</w:t>
            </w:r>
          </w:p>
        </w:tc>
        <w:tc>
          <w:tcPr>
            <w:tcW w:w="2835" w:type="dxa"/>
            <w:vAlign w:val="center"/>
          </w:tcPr>
          <w:p w14:paraId="7598DC65">
            <w:pPr>
              <w:pStyle w:val="13"/>
            </w:pPr>
            <w:r>
              <w:t>就读学生数</w:t>
            </w:r>
          </w:p>
        </w:tc>
        <w:tc>
          <w:tcPr>
            <w:tcW w:w="5386" w:type="dxa"/>
            <w:vAlign w:val="center"/>
          </w:tcPr>
          <w:p w14:paraId="343BFBCB">
            <w:pPr>
              <w:pStyle w:val="13"/>
            </w:pPr>
            <w:r>
              <w:t>辐射区域内适龄学生人数</w:t>
            </w:r>
          </w:p>
        </w:tc>
        <w:tc>
          <w:tcPr>
            <w:tcW w:w="2268" w:type="dxa"/>
            <w:vAlign w:val="center"/>
          </w:tcPr>
          <w:p w14:paraId="69CE02F4">
            <w:pPr>
              <w:pStyle w:val="13"/>
            </w:pPr>
            <w:r>
              <w:t>301人</w:t>
            </w:r>
          </w:p>
        </w:tc>
        <w:tc>
          <w:tcPr>
            <w:tcW w:w="1276" w:type="dxa"/>
            <w:vAlign w:val="center"/>
          </w:tcPr>
          <w:p w14:paraId="48C4C52B">
            <w:pPr>
              <w:pStyle w:val="13"/>
            </w:pPr>
            <w:r>
              <w:t>城乡义务教育公用经费管理办法</w:t>
            </w:r>
          </w:p>
        </w:tc>
      </w:tr>
      <w:tr w14:paraId="6A576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E0F30"/>
        </w:tc>
        <w:tc>
          <w:tcPr>
            <w:tcW w:w="2268" w:type="dxa"/>
            <w:vAlign w:val="center"/>
          </w:tcPr>
          <w:p w14:paraId="12EC3249">
            <w:pPr>
              <w:pStyle w:val="13"/>
            </w:pPr>
            <w:r>
              <w:t>质量指标</w:t>
            </w:r>
          </w:p>
        </w:tc>
        <w:tc>
          <w:tcPr>
            <w:tcW w:w="2835" w:type="dxa"/>
            <w:vAlign w:val="center"/>
          </w:tcPr>
          <w:p w14:paraId="4B461AD4">
            <w:pPr>
              <w:pStyle w:val="13"/>
            </w:pPr>
            <w:r>
              <w:t>预算执行率</w:t>
            </w:r>
          </w:p>
        </w:tc>
        <w:tc>
          <w:tcPr>
            <w:tcW w:w="5386" w:type="dxa"/>
            <w:vAlign w:val="center"/>
          </w:tcPr>
          <w:p w14:paraId="5E5810F4">
            <w:pPr>
              <w:pStyle w:val="13"/>
            </w:pPr>
            <w:r>
              <w:t>预算执行率≥98%</w:t>
            </w:r>
          </w:p>
        </w:tc>
        <w:tc>
          <w:tcPr>
            <w:tcW w:w="2268" w:type="dxa"/>
            <w:vAlign w:val="center"/>
          </w:tcPr>
          <w:p w14:paraId="243FCB2D">
            <w:pPr>
              <w:pStyle w:val="13"/>
            </w:pPr>
            <w:r>
              <w:t>≥98%</w:t>
            </w:r>
          </w:p>
        </w:tc>
        <w:tc>
          <w:tcPr>
            <w:tcW w:w="1276" w:type="dxa"/>
            <w:vAlign w:val="center"/>
          </w:tcPr>
          <w:p w14:paraId="325BFF21">
            <w:pPr>
              <w:pStyle w:val="13"/>
            </w:pPr>
            <w:r>
              <w:t>城乡义务教育公用经费管理办法</w:t>
            </w:r>
          </w:p>
        </w:tc>
      </w:tr>
      <w:tr w14:paraId="52490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97627"/>
        </w:tc>
        <w:tc>
          <w:tcPr>
            <w:tcW w:w="2268" w:type="dxa"/>
            <w:vAlign w:val="center"/>
          </w:tcPr>
          <w:p w14:paraId="6F866470">
            <w:pPr>
              <w:pStyle w:val="13"/>
            </w:pPr>
            <w:r>
              <w:t>时效指标</w:t>
            </w:r>
          </w:p>
        </w:tc>
        <w:tc>
          <w:tcPr>
            <w:tcW w:w="2835" w:type="dxa"/>
            <w:vAlign w:val="center"/>
          </w:tcPr>
          <w:p w14:paraId="5CE44144">
            <w:pPr>
              <w:pStyle w:val="13"/>
            </w:pPr>
            <w:r>
              <w:t>义教经费支付完成率</w:t>
            </w:r>
          </w:p>
        </w:tc>
        <w:tc>
          <w:tcPr>
            <w:tcW w:w="5386" w:type="dxa"/>
            <w:vAlign w:val="center"/>
          </w:tcPr>
          <w:p w14:paraId="534E649B">
            <w:pPr>
              <w:pStyle w:val="13"/>
            </w:pPr>
            <w:r>
              <w:t>按照序时进度完成资金支付</w:t>
            </w:r>
          </w:p>
        </w:tc>
        <w:tc>
          <w:tcPr>
            <w:tcW w:w="2268" w:type="dxa"/>
            <w:vAlign w:val="center"/>
          </w:tcPr>
          <w:p w14:paraId="699AEF3B">
            <w:pPr>
              <w:pStyle w:val="13"/>
            </w:pPr>
            <w:r>
              <w:t>≥100%</w:t>
            </w:r>
          </w:p>
        </w:tc>
        <w:tc>
          <w:tcPr>
            <w:tcW w:w="1276" w:type="dxa"/>
            <w:vAlign w:val="center"/>
          </w:tcPr>
          <w:p w14:paraId="7646CEA2">
            <w:pPr>
              <w:pStyle w:val="13"/>
            </w:pPr>
            <w:r>
              <w:t>城乡义务教育公用经费管理办法</w:t>
            </w:r>
          </w:p>
        </w:tc>
      </w:tr>
      <w:tr w14:paraId="730F2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74E7F"/>
        </w:tc>
        <w:tc>
          <w:tcPr>
            <w:tcW w:w="2268" w:type="dxa"/>
            <w:vAlign w:val="center"/>
          </w:tcPr>
          <w:p w14:paraId="03F0FA46">
            <w:pPr>
              <w:pStyle w:val="13"/>
            </w:pPr>
            <w:r>
              <w:t>成本指标</w:t>
            </w:r>
          </w:p>
        </w:tc>
        <w:tc>
          <w:tcPr>
            <w:tcW w:w="2835" w:type="dxa"/>
            <w:vAlign w:val="center"/>
          </w:tcPr>
          <w:p w14:paraId="71FDA658">
            <w:pPr>
              <w:pStyle w:val="13"/>
            </w:pPr>
            <w:r>
              <w:t>生均拨款标准</w:t>
            </w:r>
          </w:p>
        </w:tc>
        <w:tc>
          <w:tcPr>
            <w:tcW w:w="5386" w:type="dxa"/>
            <w:vAlign w:val="center"/>
          </w:tcPr>
          <w:p w14:paraId="52246EC4">
            <w:pPr>
              <w:pStyle w:val="13"/>
            </w:pPr>
            <w:r>
              <w:t>小学生公用经费生均小学720元，取暖费120元/生/年，随班就读学生补助7000元/生</w:t>
            </w:r>
          </w:p>
        </w:tc>
        <w:tc>
          <w:tcPr>
            <w:tcW w:w="2268" w:type="dxa"/>
            <w:vAlign w:val="center"/>
          </w:tcPr>
          <w:p w14:paraId="4C3EC812">
            <w:pPr>
              <w:pStyle w:val="13"/>
            </w:pPr>
            <w:r>
              <w:t>≥840元</w:t>
            </w:r>
          </w:p>
        </w:tc>
        <w:tc>
          <w:tcPr>
            <w:tcW w:w="1276" w:type="dxa"/>
            <w:vAlign w:val="center"/>
          </w:tcPr>
          <w:p w14:paraId="0685CDB9">
            <w:pPr>
              <w:pStyle w:val="13"/>
            </w:pPr>
            <w:r>
              <w:t>城乡义务教育公用经费管理办法</w:t>
            </w:r>
          </w:p>
        </w:tc>
      </w:tr>
      <w:tr w14:paraId="736CF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9E4ACA">
            <w:pPr>
              <w:pStyle w:val="12"/>
            </w:pPr>
            <w:r>
              <w:t>效益指标</w:t>
            </w:r>
          </w:p>
        </w:tc>
        <w:tc>
          <w:tcPr>
            <w:tcW w:w="2268" w:type="dxa"/>
            <w:vAlign w:val="center"/>
          </w:tcPr>
          <w:p w14:paraId="6E0938AE">
            <w:pPr>
              <w:pStyle w:val="13"/>
            </w:pPr>
            <w:r>
              <w:t>社会效益指标</w:t>
            </w:r>
          </w:p>
        </w:tc>
        <w:tc>
          <w:tcPr>
            <w:tcW w:w="2835" w:type="dxa"/>
            <w:vAlign w:val="center"/>
          </w:tcPr>
          <w:p w14:paraId="7FCC7E4D">
            <w:pPr>
              <w:pStyle w:val="13"/>
            </w:pPr>
            <w:r>
              <w:t>学校运转得到提高</w:t>
            </w:r>
          </w:p>
        </w:tc>
        <w:tc>
          <w:tcPr>
            <w:tcW w:w="5386" w:type="dxa"/>
            <w:vAlign w:val="center"/>
          </w:tcPr>
          <w:p w14:paraId="0BFCE81D">
            <w:pPr>
              <w:pStyle w:val="13"/>
            </w:pPr>
            <w:r>
              <w:t>学生受教育年限</w:t>
            </w:r>
          </w:p>
        </w:tc>
        <w:tc>
          <w:tcPr>
            <w:tcW w:w="2268" w:type="dxa"/>
            <w:vAlign w:val="center"/>
          </w:tcPr>
          <w:p w14:paraId="539FD9B5">
            <w:pPr>
              <w:pStyle w:val="13"/>
            </w:pPr>
            <w:r>
              <w:t>6年</w:t>
            </w:r>
          </w:p>
        </w:tc>
        <w:tc>
          <w:tcPr>
            <w:tcW w:w="1276" w:type="dxa"/>
            <w:vAlign w:val="center"/>
          </w:tcPr>
          <w:p w14:paraId="73EEC13B">
            <w:pPr>
              <w:pStyle w:val="13"/>
            </w:pPr>
            <w:r>
              <w:t>城乡义务教育公用经费管理办法</w:t>
            </w:r>
          </w:p>
        </w:tc>
      </w:tr>
      <w:tr w14:paraId="2FBDB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3F1107">
            <w:pPr>
              <w:pStyle w:val="12"/>
            </w:pPr>
            <w:r>
              <w:t>满意度指标</w:t>
            </w:r>
          </w:p>
        </w:tc>
        <w:tc>
          <w:tcPr>
            <w:tcW w:w="2268" w:type="dxa"/>
            <w:vAlign w:val="center"/>
          </w:tcPr>
          <w:p w14:paraId="04C9B891">
            <w:pPr>
              <w:pStyle w:val="13"/>
            </w:pPr>
            <w:r>
              <w:t>服务对象满意度指标</w:t>
            </w:r>
          </w:p>
        </w:tc>
        <w:tc>
          <w:tcPr>
            <w:tcW w:w="2835" w:type="dxa"/>
            <w:vAlign w:val="center"/>
          </w:tcPr>
          <w:p w14:paraId="338C5596">
            <w:pPr>
              <w:pStyle w:val="13"/>
            </w:pPr>
            <w:r>
              <w:t>服务对象满意度</w:t>
            </w:r>
          </w:p>
        </w:tc>
        <w:tc>
          <w:tcPr>
            <w:tcW w:w="5386" w:type="dxa"/>
            <w:vAlign w:val="center"/>
          </w:tcPr>
          <w:p w14:paraId="7BCEB13F">
            <w:pPr>
              <w:pStyle w:val="13"/>
            </w:pPr>
            <w:r>
              <w:t>学校老师和学生满意度</w:t>
            </w:r>
          </w:p>
        </w:tc>
        <w:tc>
          <w:tcPr>
            <w:tcW w:w="2268" w:type="dxa"/>
            <w:vAlign w:val="center"/>
          </w:tcPr>
          <w:p w14:paraId="1588F6BD">
            <w:pPr>
              <w:pStyle w:val="13"/>
            </w:pPr>
            <w:r>
              <w:t>≥95%</w:t>
            </w:r>
          </w:p>
        </w:tc>
        <w:tc>
          <w:tcPr>
            <w:tcW w:w="1276" w:type="dxa"/>
            <w:vAlign w:val="center"/>
          </w:tcPr>
          <w:p w14:paraId="6289B484">
            <w:pPr>
              <w:pStyle w:val="13"/>
            </w:pPr>
            <w:r>
              <w:t>城乡义务教育公用经费管理办法</w:t>
            </w:r>
          </w:p>
        </w:tc>
      </w:tr>
    </w:tbl>
    <w:p w14:paraId="4CAB7130">
      <w:pPr>
        <w:sectPr>
          <w:pgSz w:w="16840" w:h="11900" w:orient="landscape"/>
          <w:pgMar w:top="1361" w:right="1020" w:bottom="1134" w:left="1020" w:header="720" w:footer="720" w:gutter="0"/>
          <w:cols w:space="720" w:num="1"/>
        </w:sectPr>
      </w:pPr>
    </w:p>
    <w:p w14:paraId="63A0AD1A">
      <w:pPr>
        <w:spacing w:before="0" w:after="0"/>
        <w:ind w:firstLine="560"/>
        <w:jc w:val="left"/>
        <w:outlineLvl w:val="9"/>
      </w:pPr>
      <w:r>
        <w:rPr>
          <w:rFonts w:ascii="方正仿宋_GBK" w:hAnsi="方正仿宋_GBK" w:eastAsia="方正仿宋_GBK" w:cs="方正仿宋_GBK"/>
          <w:b/>
          <w:color w:val="000000"/>
          <w:sz w:val="28"/>
        </w:rPr>
        <w:t>14、冀财教[2024]141号/省级/2025年义教补助经费/枣驼小学公用经费绩效目标表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47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DDC69">
            <w:pPr>
              <w:pStyle w:val="14"/>
            </w:pPr>
            <w:r>
              <w:t>单位：万元</w:t>
            </w:r>
          </w:p>
        </w:tc>
      </w:tr>
      <w:tr w14:paraId="5216F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3B173">
            <w:pPr>
              <w:pStyle w:val="11"/>
            </w:pPr>
            <w:r>
              <w:t>项目编码</w:t>
            </w:r>
          </w:p>
        </w:tc>
        <w:tc>
          <w:tcPr>
            <w:tcW w:w="5103" w:type="dxa"/>
            <w:gridSpan w:val="2"/>
            <w:vAlign w:val="center"/>
          </w:tcPr>
          <w:p w14:paraId="0E6A52C1">
            <w:pPr>
              <w:pStyle w:val="13"/>
            </w:pPr>
            <w:r>
              <w:t>13052525P000004101956</w:t>
            </w:r>
          </w:p>
        </w:tc>
        <w:tc>
          <w:tcPr>
            <w:tcW w:w="2835" w:type="dxa"/>
            <w:vAlign w:val="center"/>
          </w:tcPr>
          <w:p w14:paraId="2F2FD5A2">
            <w:pPr>
              <w:pStyle w:val="11"/>
            </w:pPr>
            <w:r>
              <w:t>项目名称</w:t>
            </w:r>
          </w:p>
        </w:tc>
        <w:tc>
          <w:tcPr>
            <w:tcW w:w="6095" w:type="dxa"/>
            <w:gridSpan w:val="3"/>
            <w:vAlign w:val="center"/>
          </w:tcPr>
          <w:p w14:paraId="1D1B0D37">
            <w:pPr>
              <w:pStyle w:val="13"/>
            </w:pPr>
            <w:r>
              <w:t>冀财教[2024]141号/省级/2025年义教补助经费/枣驼小学公用经费</w:t>
            </w:r>
          </w:p>
        </w:tc>
      </w:tr>
      <w:tr w14:paraId="53C5B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EED8C">
            <w:pPr>
              <w:pStyle w:val="11"/>
            </w:pPr>
            <w:r>
              <w:t>预算规模及资金用途</w:t>
            </w:r>
          </w:p>
        </w:tc>
        <w:tc>
          <w:tcPr>
            <w:tcW w:w="2268" w:type="dxa"/>
            <w:vAlign w:val="center"/>
          </w:tcPr>
          <w:p w14:paraId="0153B782">
            <w:pPr>
              <w:pStyle w:val="11"/>
            </w:pPr>
            <w:r>
              <w:t>预算数</w:t>
            </w:r>
          </w:p>
        </w:tc>
        <w:tc>
          <w:tcPr>
            <w:tcW w:w="2835" w:type="dxa"/>
            <w:vAlign w:val="center"/>
          </w:tcPr>
          <w:p w14:paraId="180DE1FF">
            <w:pPr>
              <w:pStyle w:val="13"/>
            </w:pPr>
            <w:r>
              <w:t>5.79</w:t>
            </w:r>
          </w:p>
        </w:tc>
        <w:tc>
          <w:tcPr>
            <w:tcW w:w="2835" w:type="dxa"/>
            <w:vAlign w:val="center"/>
          </w:tcPr>
          <w:p w14:paraId="3668467C">
            <w:pPr>
              <w:pStyle w:val="11"/>
            </w:pPr>
            <w:r>
              <w:t>其中：财政    资金</w:t>
            </w:r>
          </w:p>
        </w:tc>
        <w:tc>
          <w:tcPr>
            <w:tcW w:w="2551" w:type="dxa"/>
            <w:vAlign w:val="center"/>
          </w:tcPr>
          <w:p w14:paraId="7003E4CB">
            <w:pPr>
              <w:pStyle w:val="13"/>
            </w:pPr>
            <w:r>
              <w:t>5.79</w:t>
            </w:r>
          </w:p>
        </w:tc>
        <w:tc>
          <w:tcPr>
            <w:tcW w:w="2268" w:type="dxa"/>
            <w:vAlign w:val="center"/>
          </w:tcPr>
          <w:p w14:paraId="056DF843">
            <w:pPr>
              <w:pStyle w:val="11"/>
            </w:pPr>
            <w:r>
              <w:t>其他资金</w:t>
            </w:r>
          </w:p>
        </w:tc>
        <w:tc>
          <w:tcPr>
            <w:tcW w:w="1276" w:type="dxa"/>
            <w:vAlign w:val="center"/>
          </w:tcPr>
          <w:p w14:paraId="3749EA45">
            <w:pPr>
              <w:pStyle w:val="13"/>
            </w:pPr>
            <w:r>
              <w:t xml:space="preserve"> </w:t>
            </w:r>
          </w:p>
        </w:tc>
      </w:tr>
      <w:tr w14:paraId="4054E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D0D07C"/>
        </w:tc>
        <w:tc>
          <w:tcPr>
            <w:tcW w:w="14033" w:type="dxa"/>
            <w:gridSpan w:val="6"/>
            <w:vAlign w:val="center"/>
          </w:tcPr>
          <w:p w14:paraId="77201A99">
            <w:pPr>
              <w:pStyle w:val="13"/>
            </w:pPr>
            <w:r>
              <w:t>为保证学校正常运转和改善办学条件。</w:t>
            </w:r>
          </w:p>
        </w:tc>
      </w:tr>
      <w:tr w14:paraId="13930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95D06">
            <w:pPr>
              <w:pStyle w:val="11"/>
            </w:pPr>
            <w:r>
              <w:t>资金支出计划（%）</w:t>
            </w:r>
          </w:p>
        </w:tc>
        <w:tc>
          <w:tcPr>
            <w:tcW w:w="5103" w:type="dxa"/>
            <w:gridSpan w:val="2"/>
            <w:vAlign w:val="center"/>
          </w:tcPr>
          <w:p w14:paraId="180FDA33">
            <w:pPr>
              <w:pStyle w:val="11"/>
            </w:pPr>
            <w:r>
              <w:t>3月底</w:t>
            </w:r>
          </w:p>
        </w:tc>
        <w:tc>
          <w:tcPr>
            <w:tcW w:w="2835" w:type="dxa"/>
            <w:vAlign w:val="center"/>
          </w:tcPr>
          <w:p w14:paraId="63A957FE">
            <w:pPr>
              <w:pStyle w:val="11"/>
            </w:pPr>
            <w:r>
              <w:t>6月底</w:t>
            </w:r>
          </w:p>
        </w:tc>
        <w:tc>
          <w:tcPr>
            <w:tcW w:w="2551" w:type="dxa"/>
            <w:vAlign w:val="center"/>
          </w:tcPr>
          <w:p w14:paraId="28AD457C">
            <w:pPr>
              <w:pStyle w:val="11"/>
            </w:pPr>
            <w:r>
              <w:t>10月底</w:t>
            </w:r>
          </w:p>
        </w:tc>
        <w:tc>
          <w:tcPr>
            <w:tcW w:w="3544" w:type="dxa"/>
            <w:gridSpan w:val="2"/>
            <w:vAlign w:val="center"/>
          </w:tcPr>
          <w:p w14:paraId="545C0986">
            <w:pPr>
              <w:pStyle w:val="11"/>
            </w:pPr>
            <w:r>
              <w:t>12月底</w:t>
            </w:r>
          </w:p>
        </w:tc>
      </w:tr>
      <w:tr w14:paraId="01EBB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102929"/>
        </w:tc>
        <w:tc>
          <w:tcPr>
            <w:tcW w:w="5103" w:type="dxa"/>
            <w:gridSpan w:val="2"/>
            <w:vAlign w:val="center"/>
          </w:tcPr>
          <w:p w14:paraId="64E53697">
            <w:pPr>
              <w:pStyle w:val="12"/>
            </w:pPr>
            <w:r>
              <w:t>25%</w:t>
            </w:r>
          </w:p>
        </w:tc>
        <w:tc>
          <w:tcPr>
            <w:tcW w:w="2835" w:type="dxa"/>
            <w:vAlign w:val="center"/>
          </w:tcPr>
          <w:p w14:paraId="5907B8AF">
            <w:pPr>
              <w:pStyle w:val="12"/>
            </w:pPr>
            <w:r>
              <w:t>50%</w:t>
            </w:r>
          </w:p>
        </w:tc>
        <w:tc>
          <w:tcPr>
            <w:tcW w:w="2551" w:type="dxa"/>
            <w:vAlign w:val="center"/>
          </w:tcPr>
          <w:p w14:paraId="264E4D4E">
            <w:pPr>
              <w:pStyle w:val="12"/>
            </w:pPr>
            <w:r>
              <w:t>75%</w:t>
            </w:r>
          </w:p>
        </w:tc>
        <w:tc>
          <w:tcPr>
            <w:tcW w:w="3544" w:type="dxa"/>
            <w:gridSpan w:val="2"/>
            <w:vAlign w:val="center"/>
          </w:tcPr>
          <w:p w14:paraId="0CE28764">
            <w:pPr>
              <w:pStyle w:val="12"/>
            </w:pPr>
            <w:r>
              <w:t>100%</w:t>
            </w:r>
          </w:p>
        </w:tc>
      </w:tr>
      <w:tr w14:paraId="47C5F8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433131">
            <w:pPr>
              <w:pStyle w:val="11"/>
            </w:pPr>
            <w:r>
              <w:t>绩效目标</w:t>
            </w:r>
          </w:p>
        </w:tc>
        <w:tc>
          <w:tcPr>
            <w:tcW w:w="14033" w:type="dxa"/>
            <w:gridSpan w:val="6"/>
            <w:vAlign w:val="center"/>
          </w:tcPr>
          <w:p w14:paraId="653C0B30">
            <w:pPr>
              <w:pStyle w:val="13"/>
            </w:pPr>
            <w:r>
              <w:t>1.按拨款序时进度完成经费拨付和支出。</w:t>
            </w:r>
          </w:p>
          <w:p w14:paraId="20232543">
            <w:pPr>
              <w:pStyle w:val="13"/>
            </w:pPr>
            <w:r>
              <w:t>2.为保证学校正常运转和改善办学条件。</w:t>
            </w:r>
          </w:p>
        </w:tc>
      </w:tr>
    </w:tbl>
    <w:p w14:paraId="2D6FF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23"/>
        <w:gridCol w:w="2021"/>
      </w:tblGrid>
      <w:tr w14:paraId="23DFF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3547D">
            <w:pPr>
              <w:pStyle w:val="11"/>
            </w:pPr>
            <w:r>
              <w:t>一级指标</w:t>
            </w:r>
          </w:p>
        </w:tc>
        <w:tc>
          <w:tcPr>
            <w:tcW w:w="2268" w:type="dxa"/>
            <w:vAlign w:val="center"/>
          </w:tcPr>
          <w:p w14:paraId="0A4B3445">
            <w:pPr>
              <w:pStyle w:val="11"/>
            </w:pPr>
            <w:r>
              <w:t>二级指标</w:t>
            </w:r>
          </w:p>
        </w:tc>
        <w:tc>
          <w:tcPr>
            <w:tcW w:w="2835" w:type="dxa"/>
            <w:vAlign w:val="center"/>
          </w:tcPr>
          <w:p w14:paraId="2931CEDB">
            <w:pPr>
              <w:pStyle w:val="11"/>
            </w:pPr>
            <w:r>
              <w:t>三级指标</w:t>
            </w:r>
          </w:p>
        </w:tc>
        <w:tc>
          <w:tcPr>
            <w:tcW w:w="5386" w:type="dxa"/>
            <w:vAlign w:val="center"/>
          </w:tcPr>
          <w:p w14:paraId="238E1CF4">
            <w:pPr>
              <w:pStyle w:val="11"/>
            </w:pPr>
            <w:r>
              <w:t>绩效指标描述</w:t>
            </w:r>
          </w:p>
        </w:tc>
        <w:tc>
          <w:tcPr>
            <w:tcW w:w="1523" w:type="dxa"/>
            <w:vAlign w:val="center"/>
          </w:tcPr>
          <w:p w14:paraId="0F67887A">
            <w:pPr>
              <w:pStyle w:val="11"/>
            </w:pPr>
            <w:r>
              <w:t>指标值</w:t>
            </w:r>
          </w:p>
        </w:tc>
        <w:tc>
          <w:tcPr>
            <w:tcW w:w="2021" w:type="dxa"/>
            <w:vAlign w:val="center"/>
          </w:tcPr>
          <w:p w14:paraId="4CFA713D">
            <w:pPr>
              <w:pStyle w:val="11"/>
            </w:pPr>
            <w:r>
              <w:t>指标值确定依据</w:t>
            </w:r>
          </w:p>
        </w:tc>
      </w:tr>
      <w:tr w14:paraId="6FC42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34661">
            <w:pPr>
              <w:pStyle w:val="12"/>
            </w:pPr>
            <w:r>
              <w:t>产出指标</w:t>
            </w:r>
          </w:p>
        </w:tc>
        <w:tc>
          <w:tcPr>
            <w:tcW w:w="2268" w:type="dxa"/>
            <w:vAlign w:val="center"/>
          </w:tcPr>
          <w:p w14:paraId="6060366A">
            <w:pPr>
              <w:pStyle w:val="13"/>
            </w:pPr>
            <w:r>
              <w:t>数量指标</w:t>
            </w:r>
          </w:p>
        </w:tc>
        <w:tc>
          <w:tcPr>
            <w:tcW w:w="2835" w:type="dxa"/>
            <w:vAlign w:val="center"/>
          </w:tcPr>
          <w:p w14:paraId="7C3121B3">
            <w:pPr>
              <w:pStyle w:val="13"/>
            </w:pPr>
            <w:r>
              <w:t>就读学生数</w:t>
            </w:r>
          </w:p>
        </w:tc>
        <w:tc>
          <w:tcPr>
            <w:tcW w:w="5386" w:type="dxa"/>
            <w:vAlign w:val="center"/>
          </w:tcPr>
          <w:p w14:paraId="23487CDC">
            <w:pPr>
              <w:pStyle w:val="13"/>
            </w:pPr>
            <w:r>
              <w:t>辐射区域内适龄学生人数</w:t>
            </w:r>
          </w:p>
        </w:tc>
        <w:tc>
          <w:tcPr>
            <w:tcW w:w="1523" w:type="dxa"/>
            <w:vAlign w:val="center"/>
          </w:tcPr>
          <w:p w14:paraId="1EDC0E78">
            <w:pPr>
              <w:pStyle w:val="13"/>
            </w:pPr>
            <w:r>
              <w:t>203人</w:t>
            </w:r>
          </w:p>
        </w:tc>
        <w:tc>
          <w:tcPr>
            <w:tcW w:w="2021" w:type="dxa"/>
            <w:vAlign w:val="center"/>
          </w:tcPr>
          <w:p w14:paraId="4E6B7169">
            <w:pPr>
              <w:pStyle w:val="13"/>
            </w:pPr>
            <w:r>
              <w:t>城乡义务教育公用经费管理办法</w:t>
            </w:r>
          </w:p>
        </w:tc>
      </w:tr>
      <w:tr w14:paraId="3F1EF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4167A"/>
        </w:tc>
        <w:tc>
          <w:tcPr>
            <w:tcW w:w="2268" w:type="dxa"/>
            <w:vAlign w:val="center"/>
          </w:tcPr>
          <w:p w14:paraId="56E8B367">
            <w:pPr>
              <w:pStyle w:val="13"/>
            </w:pPr>
            <w:r>
              <w:t>质量指标</w:t>
            </w:r>
          </w:p>
        </w:tc>
        <w:tc>
          <w:tcPr>
            <w:tcW w:w="2835" w:type="dxa"/>
            <w:vAlign w:val="center"/>
          </w:tcPr>
          <w:p w14:paraId="2FB038D5">
            <w:pPr>
              <w:pStyle w:val="13"/>
            </w:pPr>
            <w:r>
              <w:t>预算执行率</w:t>
            </w:r>
          </w:p>
        </w:tc>
        <w:tc>
          <w:tcPr>
            <w:tcW w:w="5386" w:type="dxa"/>
            <w:vAlign w:val="center"/>
          </w:tcPr>
          <w:p w14:paraId="240F207B">
            <w:pPr>
              <w:pStyle w:val="13"/>
            </w:pPr>
            <w:r>
              <w:t>预算执行率≥98%</w:t>
            </w:r>
          </w:p>
        </w:tc>
        <w:tc>
          <w:tcPr>
            <w:tcW w:w="1523" w:type="dxa"/>
            <w:vAlign w:val="center"/>
          </w:tcPr>
          <w:p w14:paraId="5701D34F">
            <w:pPr>
              <w:pStyle w:val="13"/>
            </w:pPr>
            <w:r>
              <w:t>≥98%</w:t>
            </w:r>
          </w:p>
        </w:tc>
        <w:tc>
          <w:tcPr>
            <w:tcW w:w="2021" w:type="dxa"/>
            <w:vAlign w:val="center"/>
          </w:tcPr>
          <w:p w14:paraId="4A034A62">
            <w:pPr>
              <w:pStyle w:val="13"/>
            </w:pPr>
            <w:r>
              <w:t>城乡义务教育公用经费管理办法</w:t>
            </w:r>
          </w:p>
        </w:tc>
      </w:tr>
      <w:tr w14:paraId="0B94F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DA226"/>
        </w:tc>
        <w:tc>
          <w:tcPr>
            <w:tcW w:w="2268" w:type="dxa"/>
            <w:vAlign w:val="center"/>
          </w:tcPr>
          <w:p w14:paraId="02FB46A1">
            <w:pPr>
              <w:pStyle w:val="13"/>
            </w:pPr>
            <w:r>
              <w:t>时效指标</w:t>
            </w:r>
          </w:p>
        </w:tc>
        <w:tc>
          <w:tcPr>
            <w:tcW w:w="2835" w:type="dxa"/>
            <w:vAlign w:val="center"/>
          </w:tcPr>
          <w:p w14:paraId="729AAA31">
            <w:pPr>
              <w:pStyle w:val="13"/>
            </w:pPr>
            <w:r>
              <w:t>义教经费支付完成率</w:t>
            </w:r>
          </w:p>
        </w:tc>
        <w:tc>
          <w:tcPr>
            <w:tcW w:w="5386" w:type="dxa"/>
            <w:vAlign w:val="center"/>
          </w:tcPr>
          <w:p w14:paraId="7C80EBE2">
            <w:pPr>
              <w:pStyle w:val="13"/>
            </w:pPr>
            <w:r>
              <w:t>按照序时进度完成资金支付</w:t>
            </w:r>
          </w:p>
        </w:tc>
        <w:tc>
          <w:tcPr>
            <w:tcW w:w="1523" w:type="dxa"/>
            <w:vAlign w:val="center"/>
          </w:tcPr>
          <w:p w14:paraId="71CC9A0E">
            <w:pPr>
              <w:pStyle w:val="13"/>
            </w:pPr>
            <w:r>
              <w:t>≥100%</w:t>
            </w:r>
          </w:p>
        </w:tc>
        <w:tc>
          <w:tcPr>
            <w:tcW w:w="2021" w:type="dxa"/>
            <w:vAlign w:val="center"/>
          </w:tcPr>
          <w:p w14:paraId="37CC72E6">
            <w:pPr>
              <w:pStyle w:val="13"/>
            </w:pPr>
            <w:r>
              <w:t>城乡义务教育公用经费管理办法</w:t>
            </w:r>
          </w:p>
        </w:tc>
      </w:tr>
      <w:tr w14:paraId="48A4D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5A0DD"/>
        </w:tc>
        <w:tc>
          <w:tcPr>
            <w:tcW w:w="2268" w:type="dxa"/>
            <w:vAlign w:val="center"/>
          </w:tcPr>
          <w:p w14:paraId="5C8537C6">
            <w:pPr>
              <w:pStyle w:val="13"/>
            </w:pPr>
            <w:r>
              <w:t>成本指标</w:t>
            </w:r>
          </w:p>
        </w:tc>
        <w:tc>
          <w:tcPr>
            <w:tcW w:w="2835" w:type="dxa"/>
            <w:vAlign w:val="center"/>
          </w:tcPr>
          <w:p w14:paraId="2658AFB9">
            <w:pPr>
              <w:pStyle w:val="13"/>
            </w:pPr>
            <w:r>
              <w:t>生均拨款标准</w:t>
            </w:r>
          </w:p>
        </w:tc>
        <w:tc>
          <w:tcPr>
            <w:tcW w:w="5386" w:type="dxa"/>
            <w:vAlign w:val="center"/>
          </w:tcPr>
          <w:p w14:paraId="362F9F4C">
            <w:pPr>
              <w:pStyle w:val="13"/>
            </w:pPr>
            <w:r>
              <w:t>小学生公用经费生均小学720元，取暖费120元/生/年，随班就读学生补助7000元/生</w:t>
            </w:r>
          </w:p>
        </w:tc>
        <w:tc>
          <w:tcPr>
            <w:tcW w:w="1523" w:type="dxa"/>
            <w:vAlign w:val="center"/>
          </w:tcPr>
          <w:p w14:paraId="0FAEA04C">
            <w:pPr>
              <w:pStyle w:val="13"/>
            </w:pPr>
            <w:r>
              <w:t>≥840元</w:t>
            </w:r>
          </w:p>
        </w:tc>
        <w:tc>
          <w:tcPr>
            <w:tcW w:w="2021" w:type="dxa"/>
            <w:vAlign w:val="center"/>
          </w:tcPr>
          <w:p w14:paraId="32B48204">
            <w:pPr>
              <w:pStyle w:val="13"/>
            </w:pPr>
            <w:r>
              <w:t>城乡义务教育公用经费管理办法</w:t>
            </w:r>
          </w:p>
        </w:tc>
      </w:tr>
      <w:tr w14:paraId="2F288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AEE281">
            <w:pPr>
              <w:pStyle w:val="12"/>
            </w:pPr>
            <w:r>
              <w:t>效益指标</w:t>
            </w:r>
          </w:p>
        </w:tc>
        <w:tc>
          <w:tcPr>
            <w:tcW w:w="2268" w:type="dxa"/>
            <w:vAlign w:val="center"/>
          </w:tcPr>
          <w:p w14:paraId="7520D254">
            <w:pPr>
              <w:pStyle w:val="13"/>
            </w:pPr>
            <w:r>
              <w:t>社会效益指标</w:t>
            </w:r>
          </w:p>
        </w:tc>
        <w:tc>
          <w:tcPr>
            <w:tcW w:w="2835" w:type="dxa"/>
            <w:vAlign w:val="center"/>
          </w:tcPr>
          <w:p w14:paraId="08DF2C93">
            <w:pPr>
              <w:pStyle w:val="13"/>
            </w:pPr>
            <w:r>
              <w:t>学校运转得到提高</w:t>
            </w:r>
          </w:p>
        </w:tc>
        <w:tc>
          <w:tcPr>
            <w:tcW w:w="5386" w:type="dxa"/>
            <w:vAlign w:val="center"/>
          </w:tcPr>
          <w:p w14:paraId="1A76CACD">
            <w:pPr>
              <w:pStyle w:val="13"/>
            </w:pPr>
            <w:r>
              <w:t>学生受教育年限</w:t>
            </w:r>
          </w:p>
        </w:tc>
        <w:tc>
          <w:tcPr>
            <w:tcW w:w="1523" w:type="dxa"/>
            <w:vAlign w:val="center"/>
          </w:tcPr>
          <w:p w14:paraId="290262E0">
            <w:pPr>
              <w:pStyle w:val="13"/>
            </w:pPr>
            <w:r>
              <w:t>6年</w:t>
            </w:r>
          </w:p>
        </w:tc>
        <w:tc>
          <w:tcPr>
            <w:tcW w:w="2021" w:type="dxa"/>
            <w:vAlign w:val="center"/>
          </w:tcPr>
          <w:p w14:paraId="651A0DEB">
            <w:pPr>
              <w:pStyle w:val="13"/>
            </w:pPr>
            <w:r>
              <w:t>城乡义务教育公用经费管理办法</w:t>
            </w:r>
          </w:p>
        </w:tc>
      </w:tr>
      <w:tr w14:paraId="0ED41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DFB98">
            <w:pPr>
              <w:pStyle w:val="12"/>
            </w:pPr>
            <w:r>
              <w:t>满意度指标</w:t>
            </w:r>
          </w:p>
        </w:tc>
        <w:tc>
          <w:tcPr>
            <w:tcW w:w="2268" w:type="dxa"/>
            <w:vAlign w:val="center"/>
          </w:tcPr>
          <w:p w14:paraId="78EDE9E4">
            <w:pPr>
              <w:pStyle w:val="13"/>
            </w:pPr>
            <w:r>
              <w:t>服务对象满意度指标</w:t>
            </w:r>
          </w:p>
        </w:tc>
        <w:tc>
          <w:tcPr>
            <w:tcW w:w="2835" w:type="dxa"/>
            <w:vAlign w:val="center"/>
          </w:tcPr>
          <w:p w14:paraId="7A12AD7A">
            <w:pPr>
              <w:pStyle w:val="13"/>
            </w:pPr>
            <w:r>
              <w:t>服务对象满意度</w:t>
            </w:r>
          </w:p>
        </w:tc>
        <w:tc>
          <w:tcPr>
            <w:tcW w:w="5386" w:type="dxa"/>
            <w:vAlign w:val="center"/>
          </w:tcPr>
          <w:p w14:paraId="04E8FF0E">
            <w:pPr>
              <w:pStyle w:val="13"/>
            </w:pPr>
            <w:r>
              <w:t>学校老师和学生满意度</w:t>
            </w:r>
          </w:p>
        </w:tc>
        <w:tc>
          <w:tcPr>
            <w:tcW w:w="1523" w:type="dxa"/>
            <w:vAlign w:val="center"/>
          </w:tcPr>
          <w:p w14:paraId="16FD7085">
            <w:pPr>
              <w:pStyle w:val="13"/>
            </w:pPr>
            <w:r>
              <w:t>≥95%</w:t>
            </w:r>
          </w:p>
        </w:tc>
        <w:tc>
          <w:tcPr>
            <w:tcW w:w="2021" w:type="dxa"/>
            <w:vAlign w:val="center"/>
          </w:tcPr>
          <w:p w14:paraId="6E06D5A6">
            <w:pPr>
              <w:pStyle w:val="13"/>
            </w:pPr>
            <w:r>
              <w:t>城乡义务教育公用经费管理办法</w:t>
            </w:r>
          </w:p>
        </w:tc>
      </w:tr>
    </w:tbl>
    <w:p w14:paraId="6C72CC04">
      <w:pPr>
        <w:sectPr>
          <w:pgSz w:w="16840" w:h="11900" w:orient="landscape"/>
          <w:pgMar w:top="1361" w:right="1020" w:bottom="1134" w:left="1020" w:header="720" w:footer="720" w:gutter="0"/>
          <w:cols w:space="720" w:num="1"/>
        </w:sectPr>
      </w:pPr>
    </w:p>
    <w:p w14:paraId="531ED2E7">
      <w:pPr>
        <w:spacing w:before="0" w:after="0"/>
        <w:ind w:firstLine="560"/>
        <w:jc w:val="left"/>
        <w:outlineLvl w:val="9"/>
      </w:pPr>
      <w:r>
        <w:rPr>
          <w:rFonts w:ascii="方正仿宋_GBK" w:hAnsi="方正仿宋_GBK" w:eastAsia="方正仿宋_GBK" w:cs="方正仿宋_GBK"/>
          <w:b/>
          <w:color w:val="000000"/>
          <w:sz w:val="28"/>
        </w:rPr>
        <w:t>15、冀财教[2024]142号/省级/2025年学前发展资金/千户营校区学前教育公用经费绩效目标表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61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87C13">
            <w:pPr>
              <w:pStyle w:val="14"/>
            </w:pPr>
            <w:r>
              <w:t>单位：万元</w:t>
            </w:r>
          </w:p>
        </w:tc>
      </w:tr>
      <w:tr w14:paraId="79084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0FA3A">
            <w:pPr>
              <w:pStyle w:val="11"/>
            </w:pPr>
            <w:r>
              <w:t>项目编码</w:t>
            </w:r>
          </w:p>
        </w:tc>
        <w:tc>
          <w:tcPr>
            <w:tcW w:w="5103" w:type="dxa"/>
            <w:gridSpan w:val="2"/>
            <w:vAlign w:val="center"/>
          </w:tcPr>
          <w:p w14:paraId="35AB9D5E">
            <w:pPr>
              <w:pStyle w:val="13"/>
            </w:pPr>
            <w:r>
              <w:t>13052525P00875710010U</w:t>
            </w:r>
          </w:p>
        </w:tc>
        <w:tc>
          <w:tcPr>
            <w:tcW w:w="2835" w:type="dxa"/>
            <w:vAlign w:val="center"/>
          </w:tcPr>
          <w:p w14:paraId="0177D6CA">
            <w:pPr>
              <w:pStyle w:val="11"/>
            </w:pPr>
            <w:r>
              <w:t>项目名称</w:t>
            </w:r>
          </w:p>
        </w:tc>
        <w:tc>
          <w:tcPr>
            <w:tcW w:w="6095" w:type="dxa"/>
            <w:gridSpan w:val="3"/>
            <w:vAlign w:val="center"/>
          </w:tcPr>
          <w:p w14:paraId="685F4635">
            <w:pPr>
              <w:pStyle w:val="13"/>
            </w:pPr>
            <w:r>
              <w:t>冀财教[2024]142号/省级/2025年学前发展资金/千户营校区学前教育公用经费</w:t>
            </w:r>
          </w:p>
        </w:tc>
      </w:tr>
      <w:tr w14:paraId="0D406F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6E98B">
            <w:pPr>
              <w:pStyle w:val="11"/>
            </w:pPr>
            <w:r>
              <w:t>预算规模及资金用途</w:t>
            </w:r>
          </w:p>
        </w:tc>
        <w:tc>
          <w:tcPr>
            <w:tcW w:w="2268" w:type="dxa"/>
            <w:vAlign w:val="center"/>
          </w:tcPr>
          <w:p w14:paraId="5188509B">
            <w:pPr>
              <w:pStyle w:val="11"/>
            </w:pPr>
            <w:r>
              <w:t>预算数</w:t>
            </w:r>
          </w:p>
        </w:tc>
        <w:tc>
          <w:tcPr>
            <w:tcW w:w="2835" w:type="dxa"/>
            <w:vAlign w:val="center"/>
          </w:tcPr>
          <w:p w14:paraId="46C5E59F">
            <w:pPr>
              <w:pStyle w:val="13"/>
            </w:pPr>
            <w:r>
              <w:t>5.96</w:t>
            </w:r>
          </w:p>
        </w:tc>
        <w:tc>
          <w:tcPr>
            <w:tcW w:w="2835" w:type="dxa"/>
            <w:vAlign w:val="center"/>
          </w:tcPr>
          <w:p w14:paraId="7346178E">
            <w:pPr>
              <w:pStyle w:val="11"/>
            </w:pPr>
            <w:r>
              <w:t>其中：财政    资金</w:t>
            </w:r>
          </w:p>
        </w:tc>
        <w:tc>
          <w:tcPr>
            <w:tcW w:w="2551" w:type="dxa"/>
            <w:vAlign w:val="center"/>
          </w:tcPr>
          <w:p w14:paraId="242B67F0">
            <w:pPr>
              <w:pStyle w:val="13"/>
            </w:pPr>
            <w:r>
              <w:t>5.96</w:t>
            </w:r>
          </w:p>
        </w:tc>
        <w:tc>
          <w:tcPr>
            <w:tcW w:w="2268" w:type="dxa"/>
            <w:vAlign w:val="center"/>
          </w:tcPr>
          <w:p w14:paraId="05B78FF4">
            <w:pPr>
              <w:pStyle w:val="11"/>
            </w:pPr>
            <w:r>
              <w:t>其他资金</w:t>
            </w:r>
          </w:p>
        </w:tc>
        <w:tc>
          <w:tcPr>
            <w:tcW w:w="1276" w:type="dxa"/>
            <w:vAlign w:val="center"/>
          </w:tcPr>
          <w:p w14:paraId="79A58733">
            <w:pPr>
              <w:pStyle w:val="13"/>
            </w:pPr>
            <w:r>
              <w:t xml:space="preserve"> </w:t>
            </w:r>
          </w:p>
        </w:tc>
      </w:tr>
      <w:tr w14:paraId="0B062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9D65F"/>
        </w:tc>
        <w:tc>
          <w:tcPr>
            <w:tcW w:w="14033" w:type="dxa"/>
            <w:gridSpan w:val="6"/>
            <w:vAlign w:val="center"/>
          </w:tcPr>
          <w:p w14:paraId="7998EDD0">
            <w:pPr>
              <w:pStyle w:val="13"/>
            </w:pPr>
            <w:r>
              <w:t>为保证幼儿园正常运转和改善办学条件。</w:t>
            </w:r>
          </w:p>
        </w:tc>
      </w:tr>
      <w:tr w14:paraId="70C68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68A64613">
            <w:pPr>
              <w:pStyle w:val="11"/>
            </w:pPr>
            <w:r>
              <w:t>资金支出计划（%）</w:t>
            </w:r>
          </w:p>
        </w:tc>
        <w:tc>
          <w:tcPr>
            <w:tcW w:w="5103" w:type="dxa"/>
            <w:gridSpan w:val="2"/>
            <w:vAlign w:val="center"/>
          </w:tcPr>
          <w:p w14:paraId="27BEDA43">
            <w:pPr>
              <w:pStyle w:val="11"/>
            </w:pPr>
            <w:r>
              <w:t>3月底</w:t>
            </w:r>
          </w:p>
        </w:tc>
        <w:tc>
          <w:tcPr>
            <w:tcW w:w="2835" w:type="dxa"/>
            <w:vAlign w:val="center"/>
          </w:tcPr>
          <w:p w14:paraId="531C3FF3">
            <w:pPr>
              <w:pStyle w:val="11"/>
            </w:pPr>
            <w:r>
              <w:t>6月底</w:t>
            </w:r>
          </w:p>
        </w:tc>
        <w:tc>
          <w:tcPr>
            <w:tcW w:w="2551" w:type="dxa"/>
            <w:vAlign w:val="center"/>
          </w:tcPr>
          <w:p w14:paraId="1F32432F">
            <w:pPr>
              <w:pStyle w:val="11"/>
            </w:pPr>
            <w:r>
              <w:t>10月底</w:t>
            </w:r>
          </w:p>
        </w:tc>
        <w:tc>
          <w:tcPr>
            <w:tcW w:w="3544" w:type="dxa"/>
            <w:gridSpan w:val="2"/>
            <w:vAlign w:val="center"/>
          </w:tcPr>
          <w:p w14:paraId="3E67E942">
            <w:pPr>
              <w:pStyle w:val="11"/>
            </w:pPr>
            <w:r>
              <w:t>12月底</w:t>
            </w:r>
          </w:p>
        </w:tc>
      </w:tr>
      <w:tr w14:paraId="54ABB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C566CA"/>
        </w:tc>
        <w:tc>
          <w:tcPr>
            <w:tcW w:w="5103" w:type="dxa"/>
            <w:gridSpan w:val="2"/>
            <w:vAlign w:val="center"/>
          </w:tcPr>
          <w:p w14:paraId="1BA4979A">
            <w:pPr>
              <w:pStyle w:val="12"/>
            </w:pPr>
            <w:r>
              <w:t xml:space="preserve"> </w:t>
            </w:r>
          </w:p>
        </w:tc>
        <w:tc>
          <w:tcPr>
            <w:tcW w:w="2835" w:type="dxa"/>
            <w:vAlign w:val="center"/>
          </w:tcPr>
          <w:p w14:paraId="6E53BBE2">
            <w:pPr>
              <w:pStyle w:val="12"/>
            </w:pPr>
            <w:r>
              <w:t>50%</w:t>
            </w:r>
          </w:p>
        </w:tc>
        <w:tc>
          <w:tcPr>
            <w:tcW w:w="2551" w:type="dxa"/>
            <w:vAlign w:val="center"/>
          </w:tcPr>
          <w:p w14:paraId="3172779B">
            <w:pPr>
              <w:pStyle w:val="12"/>
            </w:pPr>
            <w:r>
              <w:t>100%</w:t>
            </w:r>
          </w:p>
        </w:tc>
        <w:tc>
          <w:tcPr>
            <w:tcW w:w="3544" w:type="dxa"/>
            <w:gridSpan w:val="2"/>
            <w:vAlign w:val="center"/>
          </w:tcPr>
          <w:p w14:paraId="572496CF">
            <w:pPr>
              <w:pStyle w:val="12"/>
            </w:pPr>
            <w:r>
              <w:t>100%</w:t>
            </w:r>
          </w:p>
        </w:tc>
      </w:tr>
      <w:tr w14:paraId="2AAC1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890E33">
            <w:pPr>
              <w:pStyle w:val="11"/>
            </w:pPr>
            <w:r>
              <w:t>绩效目标</w:t>
            </w:r>
          </w:p>
        </w:tc>
        <w:tc>
          <w:tcPr>
            <w:tcW w:w="14033" w:type="dxa"/>
            <w:gridSpan w:val="6"/>
            <w:vAlign w:val="center"/>
          </w:tcPr>
          <w:p w14:paraId="56410AF7">
            <w:pPr>
              <w:pStyle w:val="13"/>
            </w:pPr>
            <w:r>
              <w:t>1.按拨款序时进度完成经费拨付和支出。</w:t>
            </w:r>
          </w:p>
          <w:p w14:paraId="0B721DC4">
            <w:pPr>
              <w:pStyle w:val="13"/>
            </w:pPr>
            <w:r>
              <w:t>2.为保证幼儿园正常运转和改善办学条件。</w:t>
            </w:r>
          </w:p>
        </w:tc>
      </w:tr>
    </w:tbl>
    <w:p w14:paraId="325E80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00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5E9E1">
            <w:pPr>
              <w:pStyle w:val="11"/>
            </w:pPr>
            <w:r>
              <w:t>一级指标</w:t>
            </w:r>
          </w:p>
        </w:tc>
        <w:tc>
          <w:tcPr>
            <w:tcW w:w="2268" w:type="dxa"/>
            <w:vAlign w:val="center"/>
          </w:tcPr>
          <w:p w14:paraId="3124AF11">
            <w:pPr>
              <w:pStyle w:val="11"/>
            </w:pPr>
            <w:r>
              <w:t>二级指标</w:t>
            </w:r>
          </w:p>
        </w:tc>
        <w:tc>
          <w:tcPr>
            <w:tcW w:w="2835" w:type="dxa"/>
            <w:vAlign w:val="center"/>
          </w:tcPr>
          <w:p w14:paraId="667251AB">
            <w:pPr>
              <w:pStyle w:val="11"/>
            </w:pPr>
            <w:r>
              <w:t>三级指标</w:t>
            </w:r>
          </w:p>
        </w:tc>
        <w:tc>
          <w:tcPr>
            <w:tcW w:w="5386" w:type="dxa"/>
            <w:vAlign w:val="center"/>
          </w:tcPr>
          <w:p w14:paraId="6EA5176F">
            <w:pPr>
              <w:pStyle w:val="11"/>
            </w:pPr>
            <w:r>
              <w:t>绩效指标描述</w:t>
            </w:r>
          </w:p>
        </w:tc>
        <w:tc>
          <w:tcPr>
            <w:tcW w:w="2268" w:type="dxa"/>
            <w:vAlign w:val="center"/>
          </w:tcPr>
          <w:p w14:paraId="5EF5E37F">
            <w:pPr>
              <w:pStyle w:val="11"/>
            </w:pPr>
            <w:r>
              <w:t>指标值</w:t>
            </w:r>
          </w:p>
        </w:tc>
        <w:tc>
          <w:tcPr>
            <w:tcW w:w="1276" w:type="dxa"/>
            <w:vAlign w:val="center"/>
          </w:tcPr>
          <w:p w14:paraId="09F18DFD">
            <w:pPr>
              <w:pStyle w:val="11"/>
            </w:pPr>
            <w:r>
              <w:t>指标值确定依据</w:t>
            </w:r>
          </w:p>
        </w:tc>
      </w:tr>
      <w:tr w14:paraId="1E04F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3D951">
            <w:pPr>
              <w:pStyle w:val="12"/>
            </w:pPr>
            <w:r>
              <w:t>产出指标</w:t>
            </w:r>
          </w:p>
        </w:tc>
        <w:tc>
          <w:tcPr>
            <w:tcW w:w="2268" w:type="dxa"/>
            <w:vAlign w:val="center"/>
          </w:tcPr>
          <w:p w14:paraId="504ED6FF">
            <w:pPr>
              <w:pStyle w:val="13"/>
            </w:pPr>
            <w:r>
              <w:t>数量指标</w:t>
            </w:r>
          </w:p>
        </w:tc>
        <w:tc>
          <w:tcPr>
            <w:tcW w:w="2835" w:type="dxa"/>
            <w:vAlign w:val="center"/>
          </w:tcPr>
          <w:p w14:paraId="5E66CF60">
            <w:pPr>
              <w:pStyle w:val="13"/>
            </w:pPr>
            <w:r>
              <w:t>适龄在园生</w:t>
            </w:r>
          </w:p>
        </w:tc>
        <w:tc>
          <w:tcPr>
            <w:tcW w:w="5386" w:type="dxa"/>
            <w:vAlign w:val="center"/>
          </w:tcPr>
          <w:p w14:paraId="73CA0BE9">
            <w:pPr>
              <w:pStyle w:val="13"/>
            </w:pPr>
            <w:r>
              <w:t>适龄在园学生人数</w:t>
            </w:r>
          </w:p>
        </w:tc>
        <w:tc>
          <w:tcPr>
            <w:tcW w:w="2268" w:type="dxa"/>
            <w:vAlign w:val="center"/>
          </w:tcPr>
          <w:p w14:paraId="466C73F9">
            <w:pPr>
              <w:pStyle w:val="13"/>
            </w:pPr>
            <w:r>
              <w:t>397人</w:t>
            </w:r>
          </w:p>
        </w:tc>
        <w:tc>
          <w:tcPr>
            <w:tcW w:w="1276" w:type="dxa"/>
            <w:vAlign w:val="center"/>
          </w:tcPr>
          <w:p w14:paraId="4F41C280">
            <w:pPr>
              <w:pStyle w:val="13"/>
            </w:pPr>
            <w:r>
              <w:t>支持学前教育发展资金管理办法</w:t>
            </w:r>
          </w:p>
        </w:tc>
      </w:tr>
      <w:tr w14:paraId="16E76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3951A"/>
        </w:tc>
        <w:tc>
          <w:tcPr>
            <w:tcW w:w="2268" w:type="dxa"/>
            <w:vAlign w:val="center"/>
          </w:tcPr>
          <w:p w14:paraId="36411262">
            <w:pPr>
              <w:pStyle w:val="13"/>
            </w:pPr>
            <w:r>
              <w:t>质量指标</w:t>
            </w:r>
          </w:p>
        </w:tc>
        <w:tc>
          <w:tcPr>
            <w:tcW w:w="2835" w:type="dxa"/>
            <w:vAlign w:val="center"/>
          </w:tcPr>
          <w:p w14:paraId="7D768E47">
            <w:pPr>
              <w:pStyle w:val="13"/>
            </w:pPr>
            <w:r>
              <w:t>公用经费控制率</w:t>
            </w:r>
          </w:p>
        </w:tc>
        <w:tc>
          <w:tcPr>
            <w:tcW w:w="5386" w:type="dxa"/>
            <w:vAlign w:val="center"/>
          </w:tcPr>
          <w:p w14:paraId="59CA8585">
            <w:pPr>
              <w:pStyle w:val="13"/>
            </w:pPr>
            <w:r>
              <w:t>幼儿园公用经费拨付执行率</w:t>
            </w:r>
          </w:p>
        </w:tc>
        <w:tc>
          <w:tcPr>
            <w:tcW w:w="2268" w:type="dxa"/>
            <w:vAlign w:val="center"/>
          </w:tcPr>
          <w:p w14:paraId="7A20F479">
            <w:pPr>
              <w:pStyle w:val="13"/>
            </w:pPr>
            <w:r>
              <w:t>≥100%</w:t>
            </w:r>
          </w:p>
        </w:tc>
        <w:tc>
          <w:tcPr>
            <w:tcW w:w="1276" w:type="dxa"/>
            <w:vAlign w:val="center"/>
          </w:tcPr>
          <w:p w14:paraId="75767FE6">
            <w:pPr>
              <w:pStyle w:val="13"/>
            </w:pPr>
            <w:r>
              <w:t>支持学前教育发展资金管理办法</w:t>
            </w:r>
          </w:p>
        </w:tc>
      </w:tr>
      <w:tr w14:paraId="56906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88485"/>
        </w:tc>
        <w:tc>
          <w:tcPr>
            <w:tcW w:w="2268" w:type="dxa"/>
            <w:vAlign w:val="center"/>
          </w:tcPr>
          <w:p w14:paraId="1D06FC78">
            <w:pPr>
              <w:pStyle w:val="13"/>
            </w:pPr>
            <w:r>
              <w:t>时效指标</w:t>
            </w:r>
          </w:p>
        </w:tc>
        <w:tc>
          <w:tcPr>
            <w:tcW w:w="2835" w:type="dxa"/>
            <w:vAlign w:val="center"/>
          </w:tcPr>
          <w:p w14:paraId="37B2D196">
            <w:pPr>
              <w:pStyle w:val="13"/>
            </w:pPr>
            <w:r>
              <w:t>资金支付率</w:t>
            </w:r>
          </w:p>
        </w:tc>
        <w:tc>
          <w:tcPr>
            <w:tcW w:w="5386" w:type="dxa"/>
            <w:vAlign w:val="center"/>
          </w:tcPr>
          <w:p w14:paraId="4FBB848D">
            <w:pPr>
              <w:pStyle w:val="13"/>
            </w:pPr>
            <w:r>
              <w:t>按照序时进度完成资金支付</w:t>
            </w:r>
          </w:p>
        </w:tc>
        <w:tc>
          <w:tcPr>
            <w:tcW w:w="2268" w:type="dxa"/>
            <w:vAlign w:val="center"/>
          </w:tcPr>
          <w:p w14:paraId="1D754166">
            <w:pPr>
              <w:pStyle w:val="13"/>
            </w:pPr>
            <w:r>
              <w:t>≥100%</w:t>
            </w:r>
          </w:p>
        </w:tc>
        <w:tc>
          <w:tcPr>
            <w:tcW w:w="1276" w:type="dxa"/>
            <w:vAlign w:val="center"/>
          </w:tcPr>
          <w:p w14:paraId="6EF6131F">
            <w:pPr>
              <w:pStyle w:val="13"/>
            </w:pPr>
            <w:r>
              <w:t>支持学前教育发展资金管理办法</w:t>
            </w:r>
          </w:p>
        </w:tc>
      </w:tr>
      <w:tr w14:paraId="345EA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960E8"/>
        </w:tc>
        <w:tc>
          <w:tcPr>
            <w:tcW w:w="2268" w:type="dxa"/>
            <w:vAlign w:val="center"/>
          </w:tcPr>
          <w:p w14:paraId="5138D58B">
            <w:pPr>
              <w:pStyle w:val="13"/>
            </w:pPr>
            <w:r>
              <w:t>成本指标</w:t>
            </w:r>
          </w:p>
        </w:tc>
        <w:tc>
          <w:tcPr>
            <w:tcW w:w="2835" w:type="dxa"/>
            <w:vAlign w:val="center"/>
          </w:tcPr>
          <w:p w14:paraId="7499195E">
            <w:pPr>
              <w:pStyle w:val="13"/>
            </w:pPr>
            <w:r>
              <w:t>生均拨款标准</w:t>
            </w:r>
          </w:p>
        </w:tc>
        <w:tc>
          <w:tcPr>
            <w:tcW w:w="5386" w:type="dxa"/>
            <w:vAlign w:val="center"/>
          </w:tcPr>
          <w:p w14:paraId="09E18612">
            <w:pPr>
              <w:pStyle w:val="13"/>
            </w:pPr>
            <w:r>
              <w:t>学前：（基本标准600元/生/学年）</w:t>
            </w:r>
          </w:p>
        </w:tc>
        <w:tc>
          <w:tcPr>
            <w:tcW w:w="2268" w:type="dxa"/>
            <w:vAlign w:val="center"/>
          </w:tcPr>
          <w:p w14:paraId="2C8E76B8">
            <w:pPr>
              <w:pStyle w:val="13"/>
            </w:pPr>
            <w:r>
              <w:t>600元</w:t>
            </w:r>
          </w:p>
        </w:tc>
        <w:tc>
          <w:tcPr>
            <w:tcW w:w="1276" w:type="dxa"/>
            <w:vAlign w:val="center"/>
          </w:tcPr>
          <w:p w14:paraId="3476A3AB">
            <w:pPr>
              <w:pStyle w:val="13"/>
            </w:pPr>
            <w:r>
              <w:t>支持学前教育发展资金管理办法</w:t>
            </w:r>
          </w:p>
        </w:tc>
      </w:tr>
      <w:tr w14:paraId="4D9D2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3684DB">
            <w:pPr>
              <w:pStyle w:val="12"/>
            </w:pPr>
            <w:r>
              <w:t>效益指标</w:t>
            </w:r>
          </w:p>
        </w:tc>
        <w:tc>
          <w:tcPr>
            <w:tcW w:w="2268" w:type="dxa"/>
            <w:vAlign w:val="center"/>
          </w:tcPr>
          <w:p w14:paraId="2FD4146B">
            <w:pPr>
              <w:pStyle w:val="13"/>
            </w:pPr>
            <w:r>
              <w:t>可持续影响指标</w:t>
            </w:r>
          </w:p>
        </w:tc>
        <w:tc>
          <w:tcPr>
            <w:tcW w:w="2835" w:type="dxa"/>
            <w:vAlign w:val="center"/>
          </w:tcPr>
          <w:p w14:paraId="003CFD75">
            <w:pPr>
              <w:pStyle w:val="13"/>
            </w:pPr>
            <w:r>
              <w:t>教育发展水平明显好转</w:t>
            </w:r>
          </w:p>
        </w:tc>
        <w:tc>
          <w:tcPr>
            <w:tcW w:w="5386" w:type="dxa"/>
            <w:vAlign w:val="center"/>
          </w:tcPr>
          <w:p w14:paraId="380F13F7">
            <w:pPr>
              <w:pStyle w:val="13"/>
            </w:pPr>
            <w:r>
              <w:t>学生受教育年限</w:t>
            </w:r>
          </w:p>
        </w:tc>
        <w:tc>
          <w:tcPr>
            <w:tcW w:w="2268" w:type="dxa"/>
            <w:vAlign w:val="center"/>
          </w:tcPr>
          <w:p w14:paraId="03008224">
            <w:pPr>
              <w:pStyle w:val="13"/>
            </w:pPr>
            <w:r>
              <w:t>3年</w:t>
            </w:r>
          </w:p>
        </w:tc>
        <w:tc>
          <w:tcPr>
            <w:tcW w:w="1276" w:type="dxa"/>
            <w:vAlign w:val="center"/>
          </w:tcPr>
          <w:p w14:paraId="6B74F500">
            <w:pPr>
              <w:pStyle w:val="13"/>
            </w:pPr>
            <w:r>
              <w:t>支持学前教育发展资金管理办法</w:t>
            </w:r>
          </w:p>
        </w:tc>
      </w:tr>
      <w:tr w14:paraId="27283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ECAFEA">
            <w:pPr>
              <w:pStyle w:val="12"/>
            </w:pPr>
            <w:r>
              <w:t>满意度指标</w:t>
            </w:r>
          </w:p>
        </w:tc>
        <w:tc>
          <w:tcPr>
            <w:tcW w:w="2268" w:type="dxa"/>
            <w:vAlign w:val="center"/>
          </w:tcPr>
          <w:p w14:paraId="3BC0B1B7">
            <w:pPr>
              <w:pStyle w:val="13"/>
            </w:pPr>
            <w:r>
              <w:t>服务对象满意度指标</w:t>
            </w:r>
          </w:p>
        </w:tc>
        <w:tc>
          <w:tcPr>
            <w:tcW w:w="2835" w:type="dxa"/>
            <w:vAlign w:val="center"/>
          </w:tcPr>
          <w:p w14:paraId="4834CEC6">
            <w:pPr>
              <w:pStyle w:val="13"/>
            </w:pPr>
            <w:r>
              <w:t>受益学生家长及调查满意度</w:t>
            </w:r>
          </w:p>
        </w:tc>
        <w:tc>
          <w:tcPr>
            <w:tcW w:w="5386" w:type="dxa"/>
            <w:vAlign w:val="center"/>
          </w:tcPr>
          <w:p w14:paraId="568258C7">
            <w:pPr>
              <w:pStyle w:val="13"/>
            </w:pPr>
            <w:r>
              <w:t>幼儿、教师及家长对学校保教保育工作满意度情况</w:t>
            </w:r>
          </w:p>
        </w:tc>
        <w:tc>
          <w:tcPr>
            <w:tcW w:w="2268" w:type="dxa"/>
            <w:vAlign w:val="center"/>
          </w:tcPr>
          <w:p w14:paraId="4BEE77FB">
            <w:pPr>
              <w:pStyle w:val="13"/>
            </w:pPr>
            <w:r>
              <w:t>≥95%</w:t>
            </w:r>
          </w:p>
        </w:tc>
        <w:tc>
          <w:tcPr>
            <w:tcW w:w="1276" w:type="dxa"/>
            <w:vAlign w:val="center"/>
          </w:tcPr>
          <w:p w14:paraId="346DBA87">
            <w:pPr>
              <w:pStyle w:val="13"/>
            </w:pPr>
            <w:r>
              <w:t>调查问卷</w:t>
            </w:r>
          </w:p>
        </w:tc>
      </w:tr>
    </w:tbl>
    <w:p w14:paraId="0CA8A8E8">
      <w:pPr>
        <w:sectPr>
          <w:pgSz w:w="16840" w:h="11900" w:orient="landscape"/>
          <w:pgMar w:top="1361" w:right="1020" w:bottom="1134" w:left="1020" w:header="720" w:footer="720" w:gutter="0"/>
          <w:cols w:space="720" w:num="1"/>
        </w:sectPr>
      </w:pPr>
    </w:p>
    <w:p w14:paraId="389746DB">
      <w:pPr>
        <w:spacing w:before="0" w:after="0"/>
        <w:ind w:firstLine="560"/>
        <w:jc w:val="left"/>
        <w:outlineLvl w:val="9"/>
      </w:pPr>
      <w:r>
        <w:rPr>
          <w:rFonts w:ascii="方正仿宋_GBK" w:hAnsi="方正仿宋_GBK" w:eastAsia="方正仿宋_GBK" w:cs="方正仿宋_GBK"/>
          <w:b/>
          <w:color w:val="000000"/>
          <w:sz w:val="28"/>
        </w:rPr>
        <w:t>16、冀财教[2024]142号/省级/2025年学前发展资金/千户营校区学前教育幼儿资助绩效目标表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6A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2E187">
            <w:pPr>
              <w:pStyle w:val="14"/>
            </w:pPr>
            <w:r>
              <w:t>单位：万元</w:t>
            </w:r>
          </w:p>
        </w:tc>
      </w:tr>
      <w:tr w14:paraId="628D0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201E7A">
            <w:pPr>
              <w:pStyle w:val="11"/>
            </w:pPr>
            <w:r>
              <w:t>项目编码</w:t>
            </w:r>
          </w:p>
        </w:tc>
        <w:tc>
          <w:tcPr>
            <w:tcW w:w="5103" w:type="dxa"/>
            <w:gridSpan w:val="2"/>
            <w:vAlign w:val="center"/>
          </w:tcPr>
          <w:p w14:paraId="7EEB0DAB">
            <w:pPr>
              <w:pStyle w:val="13"/>
            </w:pPr>
            <w:r>
              <w:t>13052525P000002100746</w:t>
            </w:r>
          </w:p>
        </w:tc>
        <w:tc>
          <w:tcPr>
            <w:tcW w:w="2835" w:type="dxa"/>
            <w:vAlign w:val="center"/>
          </w:tcPr>
          <w:p w14:paraId="147D7711">
            <w:pPr>
              <w:pStyle w:val="11"/>
            </w:pPr>
            <w:r>
              <w:t>项目名称</w:t>
            </w:r>
          </w:p>
        </w:tc>
        <w:tc>
          <w:tcPr>
            <w:tcW w:w="6095" w:type="dxa"/>
            <w:gridSpan w:val="3"/>
            <w:vAlign w:val="center"/>
          </w:tcPr>
          <w:p w14:paraId="193B41DC">
            <w:pPr>
              <w:pStyle w:val="13"/>
            </w:pPr>
            <w:r>
              <w:t>冀财教[2024]142号/省级/2025年学前发展资金/千户营校区学前教育幼儿资助</w:t>
            </w:r>
          </w:p>
        </w:tc>
      </w:tr>
      <w:tr w14:paraId="2BDFA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63C7C">
            <w:pPr>
              <w:pStyle w:val="11"/>
            </w:pPr>
            <w:r>
              <w:t>预算规模及资金用途</w:t>
            </w:r>
          </w:p>
        </w:tc>
        <w:tc>
          <w:tcPr>
            <w:tcW w:w="2268" w:type="dxa"/>
            <w:vAlign w:val="center"/>
          </w:tcPr>
          <w:p w14:paraId="5E2047F5">
            <w:pPr>
              <w:pStyle w:val="11"/>
            </w:pPr>
            <w:r>
              <w:t>预算数</w:t>
            </w:r>
          </w:p>
        </w:tc>
        <w:tc>
          <w:tcPr>
            <w:tcW w:w="2835" w:type="dxa"/>
            <w:vAlign w:val="center"/>
          </w:tcPr>
          <w:p w14:paraId="06F469EE">
            <w:pPr>
              <w:pStyle w:val="13"/>
            </w:pPr>
            <w:r>
              <w:t>0.64</w:t>
            </w:r>
          </w:p>
        </w:tc>
        <w:tc>
          <w:tcPr>
            <w:tcW w:w="2835" w:type="dxa"/>
            <w:vAlign w:val="center"/>
          </w:tcPr>
          <w:p w14:paraId="1371865F">
            <w:pPr>
              <w:pStyle w:val="11"/>
            </w:pPr>
            <w:r>
              <w:t>其中：财政    资金</w:t>
            </w:r>
          </w:p>
        </w:tc>
        <w:tc>
          <w:tcPr>
            <w:tcW w:w="2551" w:type="dxa"/>
            <w:vAlign w:val="center"/>
          </w:tcPr>
          <w:p w14:paraId="5528AFD2">
            <w:pPr>
              <w:pStyle w:val="13"/>
            </w:pPr>
            <w:r>
              <w:t>0.64</w:t>
            </w:r>
          </w:p>
        </w:tc>
        <w:tc>
          <w:tcPr>
            <w:tcW w:w="2268" w:type="dxa"/>
            <w:vAlign w:val="center"/>
          </w:tcPr>
          <w:p w14:paraId="085ED92D">
            <w:pPr>
              <w:pStyle w:val="11"/>
            </w:pPr>
            <w:r>
              <w:t>其他资金</w:t>
            </w:r>
          </w:p>
        </w:tc>
        <w:tc>
          <w:tcPr>
            <w:tcW w:w="1276" w:type="dxa"/>
            <w:vAlign w:val="center"/>
          </w:tcPr>
          <w:p w14:paraId="437C56FB">
            <w:pPr>
              <w:pStyle w:val="13"/>
            </w:pPr>
            <w:r>
              <w:t xml:space="preserve"> </w:t>
            </w:r>
          </w:p>
        </w:tc>
      </w:tr>
      <w:tr w14:paraId="2C130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DFAA69"/>
        </w:tc>
        <w:tc>
          <w:tcPr>
            <w:tcW w:w="14033" w:type="dxa"/>
            <w:gridSpan w:val="6"/>
            <w:vAlign w:val="center"/>
          </w:tcPr>
          <w:p w14:paraId="15364A87">
            <w:pPr>
              <w:pStyle w:val="13"/>
            </w:pPr>
            <w:r>
              <w:t>减轻学前受教育幼儿家庭经济负担，提高学前幼儿入学率。</w:t>
            </w:r>
          </w:p>
        </w:tc>
      </w:tr>
      <w:tr w14:paraId="2E527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C6FB4">
            <w:pPr>
              <w:pStyle w:val="11"/>
            </w:pPr>
            <w:r>
              <w:t>资金支出计划（%）</w:t>
            </w:r>
          </w:p>
        </w:tc>
        <w:tc>
          <w:tcPr>
            <w:tcW w:w="5103" w:type="dxa"/>
            <w:gridSpan w:val="2"/>
            <w:vAlign w:val="center"/>
          </w:tcPr>
          <w:p w14:paraId="6306A165">
            <w:pPr>
              <w:pStyle w:val="11"/>
            </w:pPr>
            <w:r>
              <w:t>3月底</w:t>
            </w:r>
          </w:p>
        </w:tc>
        <w:tc>
          <w:tcPr>
            <w:tcW w:w="2835" w:type="dxa"/>
            <w:vAlign w:val="center"/>
          </w:tcPr>
          <w:p w14:paraId="1CA29769">
            <w:pPr>
              <w:pStyle w:val="11"/>
            </w:pPr>
            <w:r>
              <w:t>6月底</w:t>
            </w:r>
          </w:p>
        </w:tc>
        <w:tc>
          <w:tcPr>
            <w:tcW w:w="2551" w:type="dxa"/>
            <w:vAlign w:val="center"/>
          </w:tcPr>
          <w:p w14:paraId="21BBB883">
            <w:pPr>
              <w:pStyle w:val="11"/>
            </w:pPr>
            <w:r>
              <w:t>10月底</w:t>
            </w:r>
          </w:p>
        </w:tc>
        <w:tc>
          <w:tcPr>
            <w:tcW w:w="3544" w:type="dxa"/>
            <w:gridSpan w:val="2"/>
            <w:vAlign w:val="center"/>
          </w:tcPr>
          <w:p w14:paraId="5D801889">
            <w:pPr>
              <w:pStyle w:val="11"/>
            </w:pPr>
            <w:r>
              <w:t>12月底</w:t>
            </w:r>
          </w:p>
        </w:tc>
      </w:tr>
      <w:tr w14:paraId="1AE4E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0D5B1"/>
        </w:tc>
        <w:tc>
          <w:tcPr>
            <w:tcW w:w="5103" w:type="dxa"/>
            <w:gridSpan w:val="2"/>
            <w:vAlign w:val="center"/>
          </w:tcPr>
          <w:p w14:paraId="357E27E5">
            <w:pPr>
              <w:pStyle w:val="12"/>
            </w:pPr>
            <w:r>
              <w:t xml:space="preserve"> </w:t>
            </w:r>
          </w:p>
        </w:tc>
        <w:tc>
          <w:tcPr>
            <w:tcW w:w="2835" w:type="dxa"/>
            <w:vAlign w:val="center"/>
          </w:tcPr>
          <w:p w14:paraId="3D6A7B74">
            <w:pPr>
              <w:pStyle w:val="12"/>
            </w:pPr>
            <w:r>
              <w:t>100%</w:t>
            </w:r>
          </w:p>
        </w:tc>
        <w:tc>
          <w:tcPr>
            <w:tcW w:w="2551" w:type="dxa"/>
            <w:vAlign w:val="center"/>
          </w:tcPr>
          <w:p w14:paraId="7D2BF89A">
            <w:pPr>
              <w:pStyle w:val="12"/>
            </w:pPr>
            <w:r>
              <w:t>100%</w:t>
            </w:r>
          </w:p>
        </w:tc>
        <w:tc>
          <w:tcPr>
            <w:tcW w:w="3544" w:type="dxa"/>
            <w:gridSpan w:val="2"/>
            <w:vAlign w:val="center"/>
          </w:tcPr>
          <w:p w14:paraId="0FBB07A9">
            <w:pPr>
              <w:pStyle w:val="12"/>
            </w:pPr>
            <w:r>
              <w:t>100%</w:t>
            </w:r>
          </w:p>
        </w:tc>
      </w:tr>
      <w:tr w14:paraId="7A28A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E7DA9">
            <w:pPr>
              <w:pStyle w:val="11"/>
            </w:pPr>
            <w:r>
              <w:t>绩效目标</w:t>
            </w:r>
          </w:p>
        </w:tc>
        <w:tc>
          <w:tcPr>
            <w:tcW w:w="14033" w:type="dxa"/>
            <w:gridSpan w:val="6"/>
            <w:vAlign w:val="center"/>
          </w:tcPr>
          <w:p w14:paraId="1C478524">
            <w:pPr>
              <w:pStyle w:val="13"/>
            </w:pPr>
            <w:r>
              <w:t>1.减轻学前受教育幼儿家庭经济负担，提高学前幼儿入学率。</w:t>
            </w:r>
          </w:p>
          <w:p w14:paraId="58E27CF0">
            <w:pPr>
              <w:pStyle w:val="13"/>
            </w:pPr>
            <w:r>
              <w:t>2.保障落实建档立卡及家庭经济困难儿童资助所需资金，确保建档立卡等家庭经济困难幼儿优先获得资助</w:t>
            </w:r>
          </w:p>
        </w:tc>
      </w:tr>
    </w:tbl>
    <w:p w14:paraId="51568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66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EE98AE4">
            <w:pPr>
              <w:pStyle w:val="11"/>
            </w:pPr>
            <w:r>
              <w:t>一级指标</w:t>
            </w:r>
          </w:p>
        </w:tc>
        <w:tc>
          <w:tcPr>
            <w:tcW w:w="2268" w:type="dxa"/>
            <w:vAlign w:val="center"/>
          </w:tcPr>
          <w:p w14:paraId="1D37284C">
            <w:pPr>
              <w:pStyle w:val="11"/>
            </w:pPr>
            <w:r>
              <w:t>二级指标</w:t>
            </w:r>
          </w:p>
        </w:tc>
        <w:tc>
          <w:tcPr>
            <w:tcW w:w="2835" w:type="dxa"/>
            <w:vAlign w:val="center"/>
          </w:tcPr>
          <w:p w14:paraId="10D7FA2E">
            <w:pPr>
              <w:pStyle w:val="11"/>
            </w:pPr>
            <w:r>
              <w:t>三级指标</w:t>
            </w:r>
          </w:p>
        </w:tc>
        <w:tc>
          <w:tcPr>
            <w:tcW w:w="5386" w:type="dxa"/>
            <w:vAlign w:val="center"/>
          </w:tcPr>
          <w:p w14:paraId="6AB15DA4">
            <w:pPr>
              <w:pStyle w:val="11"/>
            </w:pPr>
            <w:r>
              <w:t>绩效指标描述</w:t>
            </w:r>
          </w:p>
        </w:tc>
        <w:tc>
          <w:tcPr>
            <w:tcW w:w="2268" w:type="dxa"/>
            <w:vAlign w:val="center"/>
          </w:tcPr>
          <w:p w14:paraId="7CB72BBA">
            <w:pPr>
              <w:pStyle w:val="11"/>
            </w:pPr>
            <w:r>
              <w:t>指标值</w:t>
            </w:r>
          </w:p>
        </w:tc>
        <w:tc>
          <w:tcPr>
            <w:tcW w:w="1276" w:type="dxa"/>
            <w:vAlign w:val="center"/>
          </w:tcPr>
          <w:p w14:paraId="02125B27">
            <w:pPr>
              <w:pStyle w:val="11"/>
            </w:pPr>
            <w:r>
              <w:t>指标值确定依据</w:t>
            </w:r>
          </w:p>
        </w:tc>
      </w:tr>
      <w:tr w14:paraId="3F187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54765">
            <w:pPr>
              <w:pStyle w:val="12"/>
            </w:pPr>
            <w:r>
              <w:t>产出指标</w:t>
            </w:r>
          </w:p>
        </w:tc>
        <w:tc>
          <w:tcPr>
            <w:tcW w:w="2268" w:type="dxa"/>
            <w:vAlign w:val="center"/>
          </w:tcPr>
          <w:p w14:paraId="3AC202AE">
            <w:pPr>
              <w:pStyle w:val="13"/>
            </w:pPr>
            <w:r>
              <w:t>数量指标</w:t>
            </w:r>
          </w:p>
        </w:tc>
        <w:tc>
          <w:tcPr>
            <w:tcW w:w="2835" w:type="dxa"/>
            <w:vAlign w:val="center"/>
          </w:tcPr>
          <w:p w14:paraId="3634F6CE">
            <w:pPr>
              <w:pStyle w:val="13"/>
            </w:pPr>
            <w:r>
              <w:t>幼儿资助比例</w:t>
            </w:r>
          </w:p>
        </w:tc>
        <w:tc>
          <w:tcPr>
            <w:tcW w:w="5386" w:type="dxa"/>
            <w:vAlign w:val="center"/>
          </w:tcPr>
          <w:p w14:paraId="64B95D9C">
            <w:pPr>
              <w:pStyle w:val="13"/>
            </w:pPr>
            <w:r>
              <w:t>按学前适龄在园儿童实际资助人数测算</w:t>
            </w:r>
          </w:p>
        </w:tc>
        <w:tc>
          <w:tcPr>
            <w:tcW w:w="2268" w:type="dxa"/>
            <w:vAlign w:val="center"/>
          </w:tcPr>
          <w:p w14:paraId="32AD9DC4">
            <w:pPr>
              <w:pStyle w:val="13"/>
            </w:pPr>
            <w:r>
              <w:t>32人</w:t>
            </w:r>
          </w:p>
        </w:tc>
        <w:tc>
          <w:tcPr>
            <w:tcW w:w="1276" w:type="dxa"/>
            <w:vAlign w:val="center"/>
          </w:tcPr>
          <w:p w14:paraId="180C5CA9">
            <w:pPr>
              <w:pStyle w:val="13"/>
            </w:pPr>
            <w:r>
              <w:t>发展学前教育资金管理办法</w:t>
            </w:r>
          </w:p>
        </w:tc>
      </w:tr>
      <w:tr w14:paraId="54B54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78976414"/>
        </w:tc>
        <w:tc>
          <w:tcPr>
            <w:tcW w:w="2268" w:type="dxa"/>
            <w:vAlign w:val="center"/>
          </w:tcPr>
          <w:p w14:paraId="4B6DDEDD">
            <w:pPr>
              <w:pStyle w:val="13"/>
            </w:pPr>
            <w:r>
              <w:t>质量指标</w:t>
            </w:r>
          </w:p>
        </w:tc>
        <w:tc>
          <w:tcPr>
            <w:tcW w:w="2835" w:type="dxa"/>
            <w:vAlign w:val="center"/>
          </w:tcPr>
          <w:p w14:paraId="704451B1">
            <w:pPr>
              <w:pStyle w:val="13"/>
            </w:pPr>
            <w:r>
              <w:t>学前教育资助制度落实情况</w:t>
            </w:r>
          </w:p>
        </w:tc>
        <w:tc>
          <w:tcPr>
            <w:tcW w:w="5386" w:type="dxa"/>
            <w:vAlign w:val="center"/>
          </w:tcPr>
          <w:p w14:paraId="44892F43">
            <w:pPr>
              <w:pStyle w:val="13"/>
            </w:pPr>
            <w:r>
              <w:t>符合享受资助条件的学生覆盖率</w:t>
            </w:r>
          </w:p>
        </w:tc>
        <w:tc>
          <w:tcPr>
            <w:tcW w:w="2268" w:type="dxa"/>
            <w:vAlign w:val="center"/>
          </w:tcPr>
          <w:p w14:paraId="00CC4B4A">
            <w:pPr>
              <w:pStyle w:val="13"/>
            </w:pPr>
            <w:r>
              <w:t>≥100%</w:t>
            </w:r>
          </w:p>
        </w:tc>
        <w:tc>
          <w:tcPr>
            <w:tcW w:w="1276" w:type="dxa"/>
            <w:vAlign w:val="center"/>
          </w:tcPr>
          <w:p w14:paraId="4F7893A5">
            <w:pPr>
              <w:pStyle w:val="13"/>
            </w:pPr>
            <w:r>
              <w:t>发展学前教育资金管理办法</w:t>
            </w:r>
          </w:p>
        </w:tc>
      </w:tr>
      <w:tr w14:paraId="7BD56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E84E8"/>
        </w:tc>
        <w:tc>
          <w:tcPr>
            <w:tcW w:w="2268" w:type="dxa"/>
            <w:vAlign w:val="center"/>
          </w:tcPr>
          <w:p w14:paraId="58F747BF">
            <w:pPr>
              <w:pStyle w:val="13"/>
            </w:pPr>
            <w:r>
              <w:t>时效指标</w:t>
            </w:r>
          </w:p>
        </w:tc>
        <w:tc>
          <w:tcPr>
            <w:tcW w:w="2835" w:type="dxa"/>
            <w:vAlign w:val="center"/>
          </w:tcPr>
          <w:p w14:paraId="5D6B13C3">
            <w:pPr>
              <w:pStyle w:val="13"/>
            </w:pPr>
            <w:r>
              <w:t>资金拨付率</w:t>
            </w:r>
          </w:p>
        </w:tc>
        <w:tc>
          <w:tcPr>
            <w:tcW w:w="5386" w:type="dxa"/>
            <w:vAlign w:val="center"/>
          </w:tcPr>
          <w:p w14:paraId="48334827">
            <w:pPr>
              <w:pStyle w:val="13"/>
            </w:pPr>
            <w:r>
              <w:t>按进度进行资金支付</w:t>
            </w:r>
          </w:p>
        </w:tc>
        <w:tc>
          <w:tcPr>
            <w:tcW w:w="2268" w:type="dxa"/>
            <w:vAlign w:val="center"/>
          </w:tcPr>
          <w:p w14:paraId="4BCB5E74">
            <w:pPr>
              <w:pStyle w:val="13"/>
            </w:pPr>
            <w:r>
              <w:t>≥100%</w:t>
            </w:r>
          </w:p>
        </w:tc>
        <w:tc>
          <w:tcPr>
            <w:tcW w:w="1276" w:type="dxa"/>
            <w:vAlign w:val="center"/>
          </w:tcPr>
          <w:p w14:paraId="22156948">
            <w:pPr>
              <w:pStyle w:val="13"/>
            </w:pPr>
            <w:r>
              <w:t>发展学前教育资金管理办法</w:t>
            </w:r>
          </w:p>
        </w:tc>
      </w:tr>
      <w:tr w14:paraId="794EF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E82E0"/>
        </w:tc>
        <w:tc>
          <w:tcPr>
            <w:tcW w:w="2268" w:type="dxa"/>
            <w:vAlign w:val="center"/>
          </w:tcPr>
          <w:p w14:paraId="68F7A62D">
            <w:pPr>
              <w:pStyle w:val="13"/>
            </w:pPr>
            <w:r>
              <w:t>成本指标</w:t>
            </w:r>
          </w:p>
        </w:tc>
        <w:tc>
          <w:tcPr>
            <w:tcW w:w="2835" w:type="dxa"/>
            <w:vAlign w:val="center"/>
          </w:tcPr>
          <w:p w14:paraId="1A88B806">
            <w:pPr>
              <w:pStyle w:val="13"/>
            </w:pPr>
            <w:r>
              <w:t>生均拨款标准</w:t>
            </w:r>
          </w:p>
        </w:tc>
        <w:tc>
          <w:tcPr>
            <w:tcW w:w="5386" w:type="dxa"/>
            <w:vAlign w:val="center"/>
          </w:tcPr>
          <w:p w14:paraId="06081AB0">
            <w:pPr>
              <w:pStyle w:val="13"/>
            </w:pPr>
            <w:r>
              <w:t>按规定标准落实</w:t>
            </w:r>
          </w:p>
        </w:tc>
        <w:tc>
          <w:tcPr>
            <w:tcW w:w="2268" w:type="dxa"/>
            <w:vAlign w:val="center"/>
          </w:tcPr>
          <w:p w14:paraId="691E2CDC">
            <w:pPr>
              <w:pStyle w:val="13"/>
            </w:pPr>
            <w:r>
              <w:t>500元/生/半年</w:t>
            </w:r>
          </w:p>
        </w:tc>
        <w:tc>
          <w:tcPr>
            <w:tcW w:w="1276" w:type="dxa"/>
            <w:vAlign w:val="center"/>
          </w:tcPr>
          <w:p w14:paraId="78AE9DD0">
            <w:pPr>
              <w:pStyle w:val="13"/>
            </w:pPr>
            <w:r>
              <w:t>发展学前教育资金管理办法</w:t>
            </w:r>
          </w:p>
        </w:tc>
      </w:tr>
      <w:tr w14:paraId="35822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945BB9">
            <w:pPr>
              <w:pStyle w:val="12"/>
            </w:pPr>
            <w:r>
              <w:t>效益指标</w:t>
            </w:r>
          </w:p>
        </w:tc>
        <w:tc>
          <w:tcPr>
            <w:tcW w:w="2268" w:type="dxa"/>
            <w:vAlign w:val="center"/>
          </w:tcPr>
          <w:p w14:paraId="27DAF285">
            <w:pPr>
              <w:pStyle w:val="13"/>
            </w:pPr>
            <w:r>
              <w:t>可持续影响指标</w:t>
            </w:r>
          </w:p>
        </w:tc>
        <w:tc>
          <w:tcPr>
            <w:tcW w:w="2835" w:type="dxa"/>
            <w:vAlign w:val="center"/>
          </w:tcPr>
          <w:p w14:paraId="3947AE42">
            <w:pPr>
              <w:pStyle w:val="13"/>
            </w:pPr>
            <w:r>
              <w:t>教育发展水平明显好转</w:t>
            </w:r>
          </w:p>
        </w:tc>
        <w:tc>
          <w:tcPr>
            <w:tcW w:w="5386" w:type="dxa"/>
            <w:vAlign w:val="center"/>
          </w:tcPr>
          <w:p w14:paraId="5A32CD7A">
            <w:pPr>
              <w:pStyle w:val="13"/>
            </w:pPr>
            <w:r>
              <w:t>幼儿受教育年限</w:t>
            </w:r>
          </w:p>
        </w:tc>
        <w:tc>
          <w:tcPr>
            <w:tcW w:w="2268" w:type="dxa"/>
            <w:vAlign w:val="center"/>
          </w:tcPr>
          <w:p w14:paraId="7B6186C7">
            <w:pPr>
              <w:pStyle w:val="13"/>
            </w:pPr>
            <w:r>
              <w:t>3年</w:t>
            </w:r>
          </w:p>
        </w:tc>
        <w:tc>
          <w:tcPr>
            <w:tcW w:w="1276" w:type="dxa"/>
            <w:vAlign w:val="center"/>
          </w:tcPr>
          <w:p w14:paraId="65EA8B7B">
            <w:pPr>
              <w:pStyle w:val="13"/>
            </w:pPr>
            <w:r>
              <w:t>发展学前教育资金管理办法</w:t>
            </w:r>
          </w:p>
        </w:tc>
      </w:tr>
      <w:tr w14:paraId="49C0B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1C5C9AAE">
            <w:pPr>
              <w:pStyle w:val="12"/>
            </w:pPr>
            <w:r>
              <w:t>满意度指标</w:t>
            </w:r>
          </w:p>
        </w:tc>
        <w:tc>
          <w:tcPr>
            <w:tcW w:w="2268" w:type="dxa"/>
            <w:vAlign w:val="center"/>
          </w:tcPr>
          <w:p w14:paraId="5F5ABE2E">
            <w:pPr>
              <w:pStyle w:val="13"/>
            </w:pPr>
            <w:r>
              <w:t>服务对象满意度指标</w:t>
            </w:r>
          </w:p>
        </w:tc>
        <w:tc>
          <w:tcPr>
            <w:tcW w:w="2835" w:type="dxa"/>
            <w:vAlign w:val="center"/>
          </w:tcPr>
          <w:p w14:paraId="6C2A7258">
            <w:pPr>
              <w:pStyle w:val="13"/>
            </w:pPr>
            <w:r>
              <w:t>受益幼儿家长及调查满意度</w:t>
            </w:r>
          </w:p>
        </w:tc>
        <w:tc>
          <w:tcPr>
            <w:tcW w:w="5386" w:type="dxa"/>
            <w:vAlign w:val="center"/>
          </w:tcPr>
          <w:p w14:paraId="5ADA3B08">
            <w:pPr>
              <w:pStyle w:val="13"/>
            </w:pPr>
            <w:r>
              <w:t>学生、教师及家长对学校保教保育工作满意度情况</w:t>
            </w:r>
          </w:p>
        </w:tc>
        <w:tc>
          <w:tcPr>
            <w:tcW w:w="2268" w:type="dxa"/>
            <w:vAlign w:val="center"/>
          </w:tcPr>
          <w:p w14:paraId="29A8DD43">
            <w:pPr>
              <w:pStyle w:val="13"/>
            </w:pPr>
            <w:r>
              <w:t>≥95%</w:t>
            </w:r>
          </w:p>
        </w:tc>
        <w:tc>
          <w:tcPr>
            <w:tcW w:w="1276" w:type="dxa"/>
            <w:vAlign w:val="center"/>
          </w:tcPr>
          <w:p w14:paraId="2E61C72D">
            <w:pPr>
              <w:pStyle w:val="13"/>
            </w:pPr>
            <w:r>
              <w:t>调查问卷</w:t>
            </w:r>
          </w:p>
        </w:tc>
      </w:tr>
    </w:tbl>
    <w:p w14:paraId="67897B7E">
      <w:pPr>
        <w:sectPr>
          <w:pgSz w:w="16840" w:h="11900" w:orient="landscape"/>
          <w:pgMar w:top="1361" w:right="1020" w:bottom="1134" w:left="1020" w:header="720" w:footer="720" w:gutter="0"/>
          <w:cols w:space="720" w:num="1"/>
        </w:sectPr>
      </w:pPr>
    </w:p>
    <w:p w14:paraId="0AA4A3C3">
      <w:pPr>
        <w:spacing w:before="0" w:after="0"/>
        <w:ind w:firstLine="560"/>
        <w:jc w:val="left"/>
        <w:outlineLvl w:val="9"/>
      </w:pPr>
      <w:r>
        <w:rPr>
          <w:rFonts w:ascii="方正仿宋_GBK" w:hAnsi="方正仿宋_GBK" w:eastAsia="方正仿宋_GBK" w:cs="方正仿宋_GBK"/>
          <w:b/>
          <w:color w:val="000000"/>
          <w:sz w:val="28"/>
        </w:rPr>
        <w:t>17、县级配套/千户营校区学前教育幼儿资助绩效目标表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99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A13C63">
            <w:pPr>
              <w:pStyle w:val="14"/>
            </w:pPr>
            <w:r>
              <w:t>单位：万元</w:t>
            </w:r>
          </w:p>
        </w:tc>
      </w:tr>
      <w:tr w14:paraId="64A2B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248281">
            <w:pPr>
              <w:pStyle w:val="11"/>
            </w:pPr>
            <w:r>
              <w:t>项目编码</w:t>
            </w:r>
          </w:p>
        </w:tc>
        <w:tc>
          <w:tcPr>
            <w:tcW w:w="5103" w:type="dxa"/>
            <w:gridSpan w:val="2"/>
            <w:vAlign w:val="center"/>
          </w:tcPr>
          <w:p w14:paraId="0DA58A81">
            <w:pPr>
              <w:pStyle w:val="13"/>
            </w:pPr>
            <w:r>
              <w:t>13052525P00000210024T</w:t>
            </w:r>
          </w:p>
        </w:tc>
        <w:tc>
          <w:tcPr>
            <w:tcW w:w="2835" w:type="dxa"/>
            <w:vAlign w:val="center"/>
          </w:tcPr>
          <w:p w14:paraId="28B8FA4B">
            <w:pPr>
              <w:pStyle w:val="11"/>
            </w:pPr>
            <w:r>
              <w:t>项目名称</w:t>
            </w:r>
          </w:p>
        </w:tc>
        <w:tc>
          <w:tcPr>
            <w:tcW w:w="6095" w:type="dxa"/>
            <w:gridSpan w:val="3"/>
            <w:vAlign w:val="center"/>
          </w:tcPr>
          <w:p w14:paraId="1E1E3342">
            <w:pPr>
              <w:pStyle w:val="13"/>
            </w:pPr>
            <w:r>
              <w:t>县级配套/千户营校区学前教育幼儿资助</w:t>
            </w:r>
          </w:p>
        </w:tc>
      </w:tr>
      <w:tr w14:paraId="5701C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66792">
            <w:pPr>
              <w:pStyle w:val="11"/>
            </w:pPr>
            <w:r>
              <w:t>预算规模及资金用途</w:t>
            </w:r>
          </w:p>
        </w:tc>
        <w:tc>
          <w:tcPr>
            <w:tcW w:w="2268" w:type="dxa"/>
            <w:vAlign w:val="center"/>
          </w:tcPr>
          <w:p w14:paraId="3188CF6F">
            <w:pPr>
              <w:pStyle w:val="11"/>
            </w:pPr>
            <w:r>
              <w:t>预算数</w:t>
            </w:r>
          </w:p>
        </w:tc>
        <w:tc>
          <w:tcPr>
            <w:tcW w:w="2835" w:type="dxa"/>
            <w:vAlign w:val="center"/>
          </w:tcPr>
          <w:p w14:paraId="3DFC45EE">
            <w:pPr>
              <w:pStyle w:val="13"/>
            </w:pPr>
            <w:r>
              <w:t>0.64</w:t>
            </w:r>
          </w:p>
        </w:tc>
        <w:tc>
          <w:tcPr>
            <w:tcW w:w="2835" w:type="dxa"/>
            <w:vAlign w:val="center"/>
          </w:tcPr>
          <w:p w14:paraId="150014CB">
            <w:pPr>
              <w:pStyle w:val="11"/>
            </w:pPr>
            <w:r>
              <w:t>其中：财政    资金</w:t>
            </w:r>
          </w:p>
        </w:tc>
        <w:tc>
          <w:tcPr>
            <w:tcW w:w="2551" w:type="dxa"/>
            <w:vAlign w:val="center"/>
          </w:tcPr>
          <w:p w14:paraId="7E0F3649">
            <w:pPr>
              <w:pStyle w:val="13"/>
            </w:pPr>
            <w:r>
              <w:t>0.64</w:t>
            </w:r>
          </w:p>
        </w:tc>
        <w:tc>
          <w:tcPr>
            <w:tcW w:w="2268" w:type="dxa"/>
            <w:vAlign w:val="center"/>
          </w:tcPr>
          <w:p w14:paraId="4B61F7DC">
            <w:pPr>
              <w:pStyle w:val="11"/>
            </w:pPr>
            <w:r>
              <w:t>其他资金</w:t>
            </w:r>
          </w:p>
        </w:tc>
        <w:tc>
          <w:tcPr>
            <w:tcW w:w="1276" w:type="dxa"/>
            <w:vAlign w:val="center"/>
          </w:tcPr>
          <w:p w14:paraId="1A4214C1">
            <w:pPr>
              <w:pStyle w:val="13"/>
            </w:pPr>
            <w:r>
              <w:t xml:space="preserve"> </w:t>
            </w:r>
          </w:p>
        </w:tc>
      </w:tr>
      <w:tr w14:paraId="13E14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DA7D2"/>
        </w:tc>
        <w:tc>
          <w:tcPr>
            <w:tcW w:w="14033" w:type="dxa"/>
            <w:gridSpan w:val="6"/>
            <w:vAlign w:val="center"/>
          </w:tcPr>
          <w:p w14:paraId="7689A09D">
            <w:pPr>
              <w:pStyle w:val="13"/>
            </w:pPr>
            <w:r>
              <w:t>用于减轻学前受教育幼儿家庭经济负担，提高学前幼儿入学率。</w:t>
            </w:r>
          </w:p>
        </w:tc>
      </w:tr>
      <w:tr w14:paraId="13FA1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9491E">
            <w:pPr>
              <w:pStyle w:val="11"/>
            </w:pPr>
            <w:r>
              <w:t>资金支出计划（%）</w:t>
            </w:r>
          </w:p>
        </w:tc>
        <w:tc>
          <w:tcPr>
            <w:tcW w:w="5103" w:type="dxa"/>
            <w:gridSpan w:val="2"/>
            <w:vAlign w:val="center"/>
          </w:tcPr>
          <w:p w14:paraId="2DBF6663">
            <w:pPr>
              <w:pStyle w:val="11"/>
            </w:pPr>
            <w:r>
              <w:t>3月底</w:t>
            </w:r>
          </w:p>
        </w:tc>
        <w:tc>
          <w:tcPr>
            <w:tcW w:w="2835" w:type="dxa"/>
            <w:vAlign w:val="center"/>
          </w:tcPr>
          <w:p w14:paraId="5915AF7E">
            <w:pPr>
              <w:pStyle w:val="11"/>
            </w:pPr>
            <w:r>
              <w:t>6月底</w:t>
            </w:r>
          </w:p>
        </w:tc>
        <w:tc>
          <w:tcPr>
            <w:tcW w:w="2551" w:type="dxa"/>
            <w:vAlign w:val="center"/>
          </w:tcPr>
          <w:p w14:paraId="65751624">
            <w:pPr>
              <w:pStyle w:val="11"/>
            </w:pPr>
            <w:r>
              <w:t>10月底</w:t>
            </w:r>
          </w:p>
        </w:tc>
        <w:tc>
          <w:tcPr>
            <w:tcW w:w="3544" w:type="dxa"/>
            <w:gridSpan w:val="2"/>
            <w:vAlign w:val="center"/>
          </w:tcPr>
          <w:p w14:paraId="1A9D8957">
            <w:pPr>
              <w:pStyle w:val="11"/>
            </w:pPr>
            <w:r>
              <w:t>12月底</w:t>
            </w:r>
          </w:p>
        </w:tc>
      </w:tr>
      <w:tr w14:paraId="31059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315B05"/>
        </w:tc>
        <w:tc>
          <w:tcPr>
            <w:tcW w:w="5103" w:type="dxa"/>
            <w:gridSpan w:val="2"/>
            <w:vAlign w:val="center"/>
          </w:tcPr>
          <w:p w14:paraId="1AAE8827">
            <w:pPr>
              <w:pStyle w:val="12"/>
            </w:pPr>
            <w:r>
              <w:t xml:space="preserve"> </w:t>
            </w:r>
          </w:p>
        </w:tc>
        <w:tc>
          <w:tcPr>
            <w:tcW w:w="2835" w:type="dxa"/>
            <w:vAlign w:val="center"/>
          </w:tcPr>
          <w:p w14:paraId="3AF6FFED">
            <w:pPr>
              <w:pStyle w:val="12"/>
            </w:pPr>
            <w:r>
              <w:t>100%</w:t>
            </w:r>
          </w:p>
        </w:tc>
        <w:tc>
          <w:tcPr>
            <w:tcW w:w="2551" w:type="dxa"/>
            <w:vAlign w:val="center"/>
          </w:tcPr>
          <w:p w14:paraId="562E0103">
            <w:pPr>
              <w:pStyle w:val="12"/>
            </w:pPr>
            <w:r>
              <w:t>100%</w:t>
            </w:r>
          </w:p>
        </w:tc>
        <w:tc>
          <w:tcPr>
            <w:tcW w:w="3544" w:type="dxa"/>
            <w:gridSpan w:val="2"/>
            <w:vAlign w:val="center"/>
          </w:tcPr>
          <w:p w14:paraId="76A61E5A">
            <w:pPr>
              <w:pStyle w:val="12"/>
            </w:pPr>
            <w:r>
              <w:t>100%</w:t>
            </w:r>
          </w:p>
        </w:tc>
      </w:tr>
      <w:tr w14:paraId="26B84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82A09">
            <w:pPr>
              <w:pStyle w:val="11"/>
            </w:pPr>
            <w:r>
              <w:t>绩效目标</w:t>
            </w:r>
          </w:p>
        </w:tc>
        <w:tc>
          <w:tcPr>
            <w:tcW w:w="14033" w:type="dxa"/>
            <w:gridSpan w:val="6"/>
            <w:vAlign w:val="center"/>
          </w:tcPr>
          <w:p w14:paraId="5E16F362">
            <w:pPr>
              <w:pStyle w:val="13"/>
            </w:pPr>
            <w:r>
              <w:t>1.减轻学前受教育幼儿家庭经济负担，提高学前幼儿入学率。</w:t>
            </w:r>
          </w:p>
          <w:p w14:paraId="6083542A">
            <w:pPr>
              <w:pStyle w:val="13"/>
            </w:pPr>
            <w:r>
              <w:t>2.保障落实建档立卡及家庭经济困难儿童资助所需资金，确保建档立卡等家庭经济困难幼儿优先获得资助</w:t>
            </w:r>
          </w:p>
        </w:tc>
      </w:tr>
    </w:tbl>
    <w:p w14:paraId="76F3FF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6E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5DFE8">
            <w:pPr>
              <w:pStyle w:val="11"/>
            </w:pPr>
            <w:r>
              <w:t>一级指标</w:t>
            </w:r>
          </w:p>
        </w:tc>
        <w:tc>
          <w:tcPr>
            <w:tcW w:w="2268" w:type="dxa"/>
            <w:vAlign w:val="center"/>
          </w:tcPr>
          <w:p w14:paraId="3B8B526C">
            <w:pPr>
              <w:pStyle w:val="11"/>
            </w:pPr>
            <w:r>
              <w:t>二级指标</w:t>
            </w:r>
          </w:p>
        </w:tc>
        <w:tc>
          <w:tcPr>
            <w:tcW w:w="2835" w:type="dxa"/>
            <w:vAlign w:val="center"/>
          </w:tcPr>
          <w:p w14:paraId="5813DFDF">
            <w:pPr>
              <w:pStyle w:val="11"/>
            </w:pPr>
            <w:r>
              <w:t>三级指标</w:t>
            </w:r>
          </w:p>
        </w:tc>
        <w:tc>
          <w:tcPr>
            <w:tcW w:w="5386" w:type="dxa"/>
            <w:vAlign w:val="center"/>
          </w:tcPr>
          <w:p w14:paraId="5A43604E">
            <w:pPr>
              <w:pStyle w:val="11"/>
            </w:pPr>
            <w:r>
              <w:t>绩效指标描述</w:t>
            </w:r>
          </w:p>
        </w:tc>
        <w:tc>
          <w:tcPr>
            <w:tcW w:w="2268" w:type="dxa"/>
            <w:vAlign w:val="center"/>
          </w:tcPr>
          <w:p w14:paraId="4189576C">
            <w:pPr>
              <w:pStyle w:val="11"/>
            </w:pPr>
            <w:r>
              <w:t>指标值</w:t>
            </w:r>
          </w:p>
        </w:tc>
        <w:tc>
          <w:tcPr>
            <w:tcW w:w="1276" w:type="dxa"/>
            <w:vAlign w:val="center"/>
          </w:tcPr>
          <w:p w14:paraId="5814A962">
            <w:pPr>
              <w:pStyle w:val="11"/>
            </w:pPr>
            <w:r>
              <w:t>指标值确定依据</w:t>
            </w:r>
          </w:p>
        </w:tc>
      </w:tr>
      <w:tr w14:paraId="5DE36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40952">
            <w:pPr>
              <w:pStyle w:val="12"/>
            </w:pPr>
            <w:r>
              <w:t>产出指标</w:t>
            </w:r>
          </w:p>
        </w:tc>
        <w:tc>
          <w:tcPr>
            <w:tcW w:w="2268" w:type="dxa"/>
            <w:vAlign w:val="center"/>
          </w:tcPr>
          <w:p w14:paraId="7AD557AF">
            <w:pPr>
              <w:pStyle w:val="13"/>
            </w:pPr>
            <w:r>
              <w:t>数量指标</w:t>
            </w:r>
          </w:p>
        </w:tc>
        <w:tc>
          <w:tcPr>
            <w:tcW w:w="2835" w:type="dxa"/>
            <w:vAlign w:val="center"/>
          </w:tcPr>
          <w:p w14:paraId="61EA1A92">
            <w:pPr>
              <w:pStyle w:val="13"/>
            </w:pPr>
            <w:r>
              <w:t>幼儿资助比例</w:t>
            </w:r>
          </w:p>
        </w:tc>
        <w:tc>
          <w:tcPr>
            <w:tcW w:w="5386" w:type="dxa"/>
            <w:vAlign w:val="center"/>
          </w:tcPr>
          <w:p w14:paraId="7F4B8F07">
            <w:pPr>
              <w:pStyle w:val="13"/>
            </w:pPr>
            <w:r>
              <w:t>按学前适龄在园儿童实际需资助人数测算</w:t>
            </w:r>
          </w:p>
        </w:tc>
        <w:tc>
          <w:tcPr>
            <w:tcW w:w="2268" w:type="dxa"/>
            <w:vAlign w:val="center"/>
          </w:tcPr>
          <w:p w14:paraId="55C859EA">
            <w:pPr>
              <w:pStyle w:val="13"/>
            </w:pPr>
            <w:r>
              <w:t>32人</w:t>
            </w:r>
          </w:p>
        </w:tc>
        <w:tc>
          <w:tcPr>
            <w:tcW w:w="1276" w:type="dxa"/>
            <w:vAlign w:val="center"/>
          </w:tcPr>
          <w:p w14:paraId="44E7B31B">
            <w:pPr>
              <w:pStyle w:val="13"/>
            </w:pPr>
            <w:r>
              <w:t>发展学前教育资金管理办法</w:t>
            </w:r>
          </w:p>
        </w:tc>
      </w:tr>
      <w:tr w14:paraId="4C1D2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194B8"/>
        </w:tc>
        <w:tc>
          <w:tcPr>
            <w:tcW w:w="2268" w:type="dxa"/>
            <w:vAlign w:val="center"/>
          </w:tcPr>
          <w:p w14:paraId="4C30AE11">
            <w:pPr>
              <w:pStyle w:val="13"/>
            </w:pPr>
            <w:r>
              <w:t>质量指标</w:t>
            </w:r>
          </w:p>
        </w:tc>
        <w:tc>
          <w:tcPr>
            <w:tcW w:w="2835" w:type="dxa"/>
            <w:vAlign w:val="center"/>
          </w:tcPr>
          <w:p w14:paraId="66A1D239">
            <w:pPr>
              <w:pStyle w:val="13"/>
            </w:pPr>
            <w:r>
              <w:t>学前教育资助制度落实情况</w:t>
            </w:r>
          </w:p>
        </w:tc>
        <w:tc>
          <w:tcPr>
            <w:tcW w:w="5386" w:type="dxa"/>
            <w:vAlign w:val="center"/>
          </w:tcPr>
          <w:p w14:paraId="663DF8F7">
            <w:pPr>
              <w:pStyle w:val="13"/>
            </w:pPr>
            <w:r>
              <w:t>符合享受资助条件的学生覆盖率</w:t>
            </w:r>
          </w:p>
        </w:tc>
        <w:tc>
          <w:tcPr>
            <w:tcW w:w="2268" w:type="dxa"/>
            <w:vAlign w:val="center"/>
          </w:tcPr>
          <w:p w14:paraId="6EED4F88">
            <w:pPr>
              <w:pStyle w:val="13"/>
            </w:pPr>
            <w:r>
              <w:t>≥100%</w:t>
            </w:r>
          </w:p>
        </w:tc>
        <w:tc>
          <w:tcPr>
            <w:tcW w:w="1276" w:type="dxa"/>
            <w:vAlign w:val="center"/>
          </w:tcPr>
          <w:p w14:paraId="12BE73D0">
            <w:pPr>
              <w:pStyle w:val="13"/>
            </w:pPr>
            <w:r>
              <w:t>发展学前教育资金管理办法</w:t>
            </w:r>
          </w:p>
        </w:tc>
      </w:tr>
      <w:tr w14:paraId="2D087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2A872"/>
        </w:tc>
        <w:tc>
          <w:tcPr>
            <w:tcW w:w="2268" w:type="dxa"/>
            <w:vAlign w:val="center"/>
          </w:tcPr>
          <w:p w14:paraId="7403E676">
            <w:pPr>
              <w:pStyle w:val="13"/>
            </w:pPr>
            <w:r>
              <w:t>时效指标</w:t>
            </w:r>
          </w:p>
        </w:tc>
        <w:tc>
          <w:tcPr>
            <w:tcW w:w="2835" w:type="dxa"/>
            <w:vAlign w:val="center"/>
          </w:tcPr>
          <w:p w14:paraId="7A5D682E">
            <w:pPr>
              <w:pStyle w:val="13"/>
            </w:pPr>
            <w:r>
              <w:t>资金拨付率</w:t>
            </w:r>
          </w:p>
        </w:tc>
        <w:tc>
          <w:tcPr>
            <w:tcW w:w="5386" w:type="dxa"/>
            <w:vAlign w:val="center"/>
          </w:tcPr>
          <w:p w14:paraId="02AD2627">
            <w:pPr>
              <w:pStyle w:val="13"/>
            </w:pPr>
            <w:r>
              <w:t>按进度进行资金支付</w:t>
            </w:r>
          </w:p>
        </w:tc>
        <w:tc>
          <w:tcPr>
            <w:tcW w:w="2268" w:type="dxa"/>
            <w:vAlign w:val="center"/>
          </w:tcPr>
          <w:p w14:paraId="0C7AD46E">
            <w:pPr>
              <w:pStyle w:val="13"/>
            </w:pPr>
            <w:r>
              <w:t>≥100%</w:t>
            </w:r>
          </w:p>
        </w:tc>
        <w:tc>
          <w:tcPr>
            <w:tcW w:w="1276" w:type="dxa"/>
            <w:vAlign w:val="center"/>
          </w:tcPr>
          <w:p w14:paraId="0A111390">
            <w:pPr>
              <w:pStyle w:val="13"/>
            </w:pPr>
            <w:r>
              <w:t>发展学前教育资金管理办法</w:t>
            </w:r>
          </w:p>
        </w:tc>
      </w:tr>
      <w:tr w14:paraId="3BA69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ABBC0"/>
        </w:tc>
        <w:tc>
          <w:tcPr>
            <w:tcW w:w="2268" w:type="dxa"/>
            <w:vAlign w:val="center"/>
          </w:tcPr>
          <w:p w14:paraId="3B085ABD">
            <w:pPr>
              <w:pStyle w:val="13"/>
            </w:pPr>
            <w:r>
              <w:t>成本指标</w:t>
            </w:r>
          </w:p>
        </w:tc>
        <w:tc>
          <w:tcPr>
            <w:tcW w:w="2835" w:type="dxa"/>
            <w:vAlign w:val="center"/>
          </w:tcPr>
          <w:p w14:paraId="0CD687EA">
            <w:pPr>
              <w:pStyle w:val="13"/>
            </w:pPr>
            <w:r>
              <w:t>生均拨款标准</w:t>
            </w:r>
          </w:p>
        </w:tc>
        <w:tc>
          <w:tcPr>
            <w:tcW w:w="5386" w:type="dxa"/>
            <w:vAlign w:val="center"/>
          </w:tcPr>
          <w:p w14:paraId="5B2180F0">
            <w:pPr>
              <w:pStyle w:val="13"/>
            </w:pPr>
            <w:r>
              <w:t>按规定标准落实</w:t>
            </w:r>
          </w:p>
        </w:tc>
        <w:tc>
          <w:tcPr>
            <w:tcW w:w="2268" w:type="dxa"/>
            <w:vAlign w:val="center"/>
          </w:tcPr>
          <w:p w14:paraId="42BE8088">
            <w:pPr>
              <w:pStyle w:val="13"/>
            </w:pPr>
            <w:r>
              <w:t>500元/生/半年</w:t>
            </w:r>
          </w:p>
        </w:tc>
        <w:tc>
          <w:tcPr>
            <w:tcW w:w="1276" w:type="dxa"/>
            <w:vAlign w:val="center"/>
          </w:tcPr>
          <w:p w14:paraId="2E4CDF58">
            <w:pPr>
              <w:pStyle w:val="13"/>
            </w:pPr>
            <w:r>
              <w:t>发展学前教育资金管理办法</w:t>
            </w:r>
          </w:p>
        </w:tc>
      </w:tr>
      <w:tr w14:paraId="3503A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0E2B8D">
            <w:pPr>
              <w:pStyle w:val="12"/>
            </w:pPr>
            <w:r>
              <w:t>效益指标</w:t>
            </w:r>
          </w:p>
        </w:tc>
        <w:tc>
          <w:tcPr>
            <w:tcW w:w="2268" w:type="dxa"/>
            <w:vAlign w:val="center"/>
          </w:tcPr>
          <w:p w14:paraId="2EE4C279">
            <w:pPr>
              <w:pStyle w:val="13"/>
            </w:pPr>
            <w:r>
              <w:t>可持续影响指标</w:t>
            </w:r>
          </w:p>
        </w:tc>
        <w:tc>
          <w:tcPr>
            <w:tcW w:w="2835" w:type="dxa"/>
            <w:vAlign w:val="center"/>
          </w:tcPr>
          <w:p w14:paraId="4C7B664F">
            <w:pPr>
              <w:pStyle w:val="13"/>
            </w:pPr>
            <w:r>
              <w:t>教育发展水平明显好转</w:t>
            </w:r>
          </w:p>
        </w:tc>
        <w:tc>
          <w:tcPr>
            <w:tcW w:w="5386" w:type="dxa"/>
            <w:vAlign w:val="center"/>
          </w:tcPr>
          <w:p w14:paraId="750452B6">
            <w:pPr>
              <w:pStyle w:val="13"/>
            </w:pPr>
            <w:r>
              <w:t>幼儿受教育年限</w:t>
            </w:r>
          </w:p>
        </w:tc>
        <w:tc>
          <w:tcPr>
            <w:tcW w:w="2268" w:type="dxa"/>
            <w:vAlign w:val="center"/>
          </w:tcPr>
          <w:p w14:paraId="1B54A8B0">
            <w:pPr>
              <w:pStyle w:val="13"/>
            </w:pPr>
            <w:r>
              <w:t>3年</w:t>
            </w:r>
          </w:p>
        </w:tc>
        <w:tc>
          <w:tcPr>
            <w:tcW w:w="1276" w:type="dxa"/>
            <w:vAlign w:val="center"/>
          </w:tcPr>
          <w:p w14:paraId="4767D685">
            <w:pPr>
              <w:pStyle w:val="13"/>
            </w:pPr>
            <w:r>
              <w:t>发展学前教育资金管理办法</w:t>
            </w:r>
          </w:p>
        </w:tc>
      </w:tr>
      <w:tr w14:paraId="4EA73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D4B9AF">
            <w:pPr>
              <w:pStyle w:val="12"/>
            </w:pPr>
            <w:r>
              <w:t>满意度指标</w:t>
            </w:r>
          </w:p>
        </w:tc>
        <w:tc>
          <w:tcPr>
            <w:tcW w:w="2268" w:type="dxa"/>
            <w:vAlign w:val="center"/>
          </w:tcPr>
          <w:p w14:paraId="3E2E6545">
            <w:pPr>
              <w:pStyle w:val="13"/>
            </w:pPr>
            <w:r>
              <w:t>服务对象满意度指标</w:t>
            </w:r>
          </w:p>
        </w:tc>
        <w:tc>
          <w:tcPr>
            <w:tcW w:w="2835" w:type="dxa"/>
            <w:vAlign w:val="center"/>
          </w:tcPr>
          <w:p w14:paraId="78FF96AC">
            <w:pPr>
              <w:pStyle w:val="13"/>
            </w:pPr>
            <w:r>
              <w:t>受益幼儿家长及调查满意度</w:t>
            </w:r>
          </w:p>
        </w:tc>
        <w:tc>
          <w:tcPr>
            <w:tcW w:w="5386" w:type="dxa"/>
            <w:vAlign w:val="center"/>
          </w:tcPr>
          <w:p w14:paraId="29A07346">
            <w:pPr>
              <w:pStyle w:val="13"/>
            </w:pPr>
            <w:r>
              <w:t>学生、教师及家长对学校保教保育工作满意度情况</w:t>
            </w:r>
          </w:p>
        </w:tc>
        <w:tc>
          <w:tcPr>
            <w:tcW w:w="2268" w:type="dxa"/>
            <w:vAlign w:val="center"/>
          </w:tcPr>
          <w:p w14:paraId="0BBB54BE">
            <w:pPr>
              <w:pStyle w:val="13"/>
            </w:pPr>
            <w:r>
              <w:t>≥95%</w:t>
            </w:r>
          </w:p>
        </w:tc>
        <w:tc>
          <w:tcPr>
            <w:tcW w:w="1276" w:type="dxa"/>
            <w:vAlign w:val="center"/>
          </w:tcPr>
          <w:p w14:paraId="1023C657">
            <w:pPr>
              <w:pStyle w:val="13"/>
            </w:pPr>
            <w:r>
              <w:t>调查问卷</w:t>
            </w:r>
          </w:p>
        </w:tc>
      </w:tr>
    </w:tbl>
    <w:p w14:paraId="42D8E125">
      <w:pPr>
        <w:sectPr>
          <w:pgSz w:w="16840" w:h="11900" w:orient="landscape"/>
          <w:pgMar w:top="1361" w:right="1020" w:bottom="1134" w:left="1020" w:header="720" w:footer="720" w:gutter="0"/>
          <w:cols w:space="720" w:num="1"/>
        </w:sectPr>
      </w:pPr>
    </w:p>
    <w:p w14:paraId="20ACE28F">
      <w:pPr>
        <w:spacing w:before="0" w:after="0"/>
        <w:ind w:firstLine="560"/>
        <w:jc w:val="left"/>
        <w:outlineLvl w:val="9"/>
      </w:pPr>
      <w:r>
        <w:rPr>
          <w:rFonts w:ascii="方正仿宋_GBK" w:hAnsi="方正仿宋_GBK" w:eastAsia="方正仿宋_GBK" w:cs="方正仿宋_GBK"/>
          <w:b/>
          <w:color w:val="000000"/>
          <w:sz w:val="28"/>
        </w:rPr>
        <w:t>18、县级资金/千户营校区幼儿园公用经费绩效目标表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4E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F2EBC">
            <w:pPr>
              <w:pStyle w:val="14"/>
            </w:pPr>
            <w:r>
              <w:t>单位：万元</w:t>
            </w:r>
          </w:p>
        </w:tc>
      </w:tr>
      <w:tr w14:paraId="4D1F7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DDB8C">
            <w:pPr>
              <w:pStyle w:val="11"/>
            </w:pPr>
            <w:r>
              <w:t>项目编码</w:t>
            </w:r>
          </w:p>
        </w:tc>
        <w:tc>
          <w:tcPr>
            <w:tcW w:w="5103" w:type="dxa"/>
            <w:gridSpan w:val="2"/>
            <w:vAlign w:val="center"/>
          </w:tcPr>
          <w:p w14:paraId="1A4BF811">
            <w:pPr>
              <w:pStyle w:val="13"/>
            </w:pPr>
            <w:r>
              <w:t>13052525P00875610084P</w:t>
            </w:r>
          </w:p>
        </w:tc>
        <w:tc>
          <w:tcPr>
            <w:tcW w:w="2835" w:type="dxa"/>
            <w:vAlign w:val="center"/>
          </w:tcPr>
          <w:p w14:paraId="6FD3F684">
            <w:pPr>
              <w:pStyle w:val="11"/>
            </w:pPr>
            <w:r>
              <w:t>项目名称</w:t>
            </w:r>
          </w:p>
        </w:tc>
        <w:tc>
          <w:tcPr>
            <w:tcW w:w="6095" w:type="dxa"/>
            <w:gridSpan w:val="3"/>
            <w:vAlign w:val="center"/>
          </w:tcPr>
          <w:p w14:paraId="54764010">
            <w:pPr>
              <w:pStyle w:val="13"/>
            </w:pPr>
            <w:r>
              <w:t>县级资金/千户营校区幼儿园公用经费</w:t>
            </w:r>
          </w:p>
        </w:tc>
      </w:tr>
      <w:tr w14:paraId="5E751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C7A1A">
            <w:pPr>
              <w:pStyle w:val="11"/>
            </w:pPr>
            <w:r>
              <w:t>预算规模及资金用途</w:t>
            </w:r>
          </w:p>
        </w:tc>
        <w:tc>
          <w:tcPr>
            <w:tcW w:w="2268" w:type="dxa"/>
            <w:vAlign w:val="center"/>
          </w:tcPr>
          <w:p w14:paraId="74B20584">
            <w:pPr>
              <w:pStyle w:val="11"/>
            </w:pPr>
            <w:r>
              <w:t>预算数</w:t>
            </w:r>
          </w:p>
        </w:tc>
        <w:tc>
          <w:tcPr>
            <w:tcW w:w="2835" w:type="dxa"/>
            <w:vAlign w:val="center"/>
          </w:tcPr>
          <w:p w14:paraId="3627506B">
            <w:pPr>
              <w:pStyle w:val="13"/>
            </w:pPr>
            <w:r>
              <w:t>17.87</w:t>
            </w:r>
          </w:p>
        </w:tc>
        <w:tc>
          <w:tcPr>
            <w:tcW w:w="2835" w:type="dxa"/>
            <w:vAlign w:val="center"/>
          </w:tcPr>
          <w:p w14:paraId="4409BF08">
            <w:pPr>
              <w:pStyle w:val="11"/>
            </w:pPr>
            <w:r>
              <w:t>其中：财政    资金</w:t>
            </w:r>
          </w:p>
        </w:tc>
        <w:tc>
          <w:tcPr>
            <w:tcW w:w="2551" w:type="dxa"/>
            <w:vAlign w:val="center"/>
          </w:tcPr>
          <w:p w14:paraId="5B47AF63">
            <w:pPr>
              <w:pStyle w:val="13"/>
            </w:pPr>
            <w:r>
              <w:t>17.87</w:t>
            </w:r>
          </w:p>
        </w:tc>
        <w:tc>
          <w:tcPr>
            <w:tcW w:w="2268" w:type="dxa"/>
            <w:vAlign w:val="center"/>
          </w:tcPr>
          <w:p w14:paraId="5F609836">
            <w:pPr>
              <w:pStyle w:val="11"/>
            </w:pPr>
            <w:r>
              <w:t>其他资金</w:t>
            </w:r>
          </w:p>
        </w:tc>
        <w:tc>
          <w:tcPr>
            <w:tcW w:w="1276" w:type="dxa"/>
            <w:vAlign w:val="center"/>
          </w:tcPr>
          <w:p w14:paraId="0021C9F2">
            <w:pPr>
              <w:pStyle w:val="13"/>
            </w:pPr>
            <w:r>
              <w:t xml:space="preserve"> </w:t>
            </w:r>
          </w:p>
        </w:tc>
      </w:tr>
      <w:tr w14:paraId="50212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71E7E"/>
        </w:tc>
        <w:tc>
          <w:tcPr>
            <w:tcW w:w="14033" w:type="dxa"/>
            <w:gridSpan w:val="6"/>
            <w:vAlign w:val="center"/>
          </w:tcPr>
          <w:p w14:paraId="3F3A0448">
            <w:pPr>
              <w:pStyle w:val="13"/>
            </w:pPr>
            <w:r>
              <w:t>为保证幼儿园正常运转和改善办学条件。</w:t>
            </w:r>
          </w:p>
        </w:tc>
      </w:tr>
      <w:tr w14:paraId="5251B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EB58D">
            <w:pPr>
              <w:pStyle w:val="11"/>
            </w:pPr>
            <w:r>
              <w:t>资金支出计划（%）</w:t>
            </w:r>
          </w:p>
        </w:tc>
        <w:tc>
          <w:tcPr>
            <w:tcW w:w="5103" w:type="dxa"/>
            <w:gridSpan w:val="2"/>
            <w:vAlign w:val="center"/>
          </w:tcPr>
          <w:p w14:paraId="39E2173D">
            <w:pPr>
              <w:pStyle w:val="11"/>
            </w:pPr>
            <w:r>
              <w:t>3月底</w:t>
            </w:r>
          </w:p>
        </w:tc>
        <w:tc>
          <w:tcPr>
            <w:tcW w:w="2835" w:type="dxa"/>
            <w:vAlign w:val="center"/>
          </w:tcPr>
          <w:p w14:paraId="39BD2683">
            <w:pPr>
              <w:pStyle w:val="11"/>
            </w:pPr>
            <w:r>
              <w:t>6月底</w:t>
            </w:r>
          </w:p>
        </w:tc>
        <w:tc>
          <w:tcPr>
            <w:tcW w:w="2551" w:type="dxa"/>
            <w:vAlign w:val="center"/>
          </w:tcPr>
          <w:p w14:paraId="623948CA">
            <w:pPr>
              <w:pStyle w:val="11"/>
            </w:pPr>
            <w:r>
              <w:t>10月底</w:t>
            </w:r>
          </w:p>
        </w:tc>
        <w:tc>
          <w:tcPr>
            <w:tcW w:w="3544" w:type="dxa"/>
            <w:gridSpan w:val="2"/>
            <w:vAlign w:val="center"/>
          </w:tcPr>
          <w:p w14:paraId="4243BF28">
            <w:pPr>
              <w:pStyle w:val="11"/>
            </w:pPr>
            <w:r>
              <w:t>12月底</w:t>
            </w:r>
          </w:p>
        </w:tc>
      </w:tr>
      <w:tr w14:paraId="38489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63B6F"/>
        </w:tc>
        <w:tc>
          <w:tcPr>
            <w:tcW w:w="5103" w:type="dxa"/>
            <w:gridSpan w:val="2"/>
            <w:vAlign w:val="center"/>
          </w:tcPr>
          <w:p w14:paraId="77EEB68E">
            <w:pPr>
              <w:pStyle w:val="12"/>
            </w:pPr>
            <w:r>
              <w:t xml:space="preserve"> </w:t>
            </w:r>
          </w:p>
        </w:tc>
        <w:tc>
          <w:tcPr>
            <w:tcW w:w="2835" w:type="dxa"/>
            <w:vAlign w:val="center"/>
          </w:tcPr>
          <w:p w14:paraId="56F0CB36">
            <w:pPr>
              <w:pStyle w:val="12"/>
            </w:pPr>
            <w:r>
              <w:t>50%</w:t>
            </w:r>
          </w:p>
        </w:tc>
        <w:tc>
          <w:tcPr>
            <w:tcW w:w="2551" w:type="dxa"/>
            <w:vAlign w:val="center"/>
          </w:tcPr>
          <w:p w14:paraId="6D0E3885">
            <w:pPr>
              <w:pStyle w:val="12"/>
            </w:pPr>
            <w:r>
              <w:t>100%</w:t>
            </w:r>
          </w:p>
        </w:tc>
        <w:tc>
          <w:tcPr>
            <w:tcW w:w="3544" w:type="dxa"/>
            <w:gridSpan w:val="2"/>
            <w:vAlign w:val="center"/>
          </w:tcPr>
          <w:p w14:paraId="0EFCEBA7">
            <w:pPr>
              <w:pStyle w:val="12"/>
            </w:pPr>
            <w:r>
              <w:t>100%</w:t>
            </w:r>
          </w:p>
        </w:tc>
      </w:tr>
      <w:tr w14:paraId="07716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733FB">
            <w:pPr>
              <w:pStyle w:val="11"/>
            </w:pPr>
            <w:r>
              <w:t>绩效目标</w:t>
            </w:r>
          </w:p>
        </w:tc>
        <w:tc>
          <w:tcPr>
            <w:tcW w:w="14033" w:type="dxa"/>
            <w:gridSpan w:val="6"/>
            <w:vAlign w:val="center"/>
          </w:tcPr>
          <w:p w14:paraId="61B9E028">
            <w:pPr>
              <w:pStyle w:val="13"/>
            </w:pPr>
            <w:r>
              <w:t>1.按拨款序时进度完成经费拨付和支出。</w:t>
            </w:r>
          </w:p>
          <w:p w14:paraId="6BE6D86B">
            <w:pPr>
              <w:pStyle w:val="13"/>
            </w:pPr>
            <w:r>
              <w:t>2.为保证幼儿园正常运转和改善办学条件。</w:t>
            </w:r>
          </w:p>
        </w:tc>
      </w:tr>
    </w:tbl>
    <w:p w14:paraId="7FD8A6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88"/>
        <w:gridCol w:w="2156"/>
      </w:tblGrid>
      <w:tr w14:paraId="07C23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F296A">
            <w:pPr>
              <w:pStyle w:val="11"/>
            </w:pPr>
            <w:r>
              <w:t>一级指标</w:t>
            </w:r>
          </w:p>
        </w:tc>
        <w:tc>
          <w:tcPr>
            <w:tcW w:w="2268" w:type="dxa"/>
            <w:vAlign w:val="center"/>
          </w:tcPr>
          <w:p w14:paraId="2A74CC1E">
            <w:pPr>
              <w:pStyle w:val="11"/>
            </w:pPr>
            <w:r>
              <w:t>二级指标</w:t>
            </w:r>
          </w:p>
        </w:tc>
        <w:tc>
          <w:tcPr>
            <w:tcW w:w="2835" w:type="dxa"/>
            <w:vAlign w:val="center"/>
          </w:tcPr>
          <w:p w14:paraId="17E55A70">
            <w:pPr>
              <w:pStyle w:val="11"/>
            </w:pPr>
            <w:r>
              <w:t>三级指标</w:t>
            </w:r>
          </w:p>
        </w:tc>
        <w:tc>
          <w:tcPr>
            <w:tcW w:w="5386" w:type="dxa"/>
            <w:vAlign w:val="center"/>
          </w:tcPr>
          <w:p w14:paraId="13610B6C">
            <w:pPr>
              <w:pStyle w:val="11"/>
            </w:pPr>
            <w:r>
              <w:t>绩效指标描述</w:t>
            </w:r>
          </w:p>
        </w:tc>
        <w:tc>
          <w:tcPr>
            <w:tcW w:w="1388" w:type="dxa"/>
            <w:vAlign w:val="center"/>
          </w:tcPr>
          <w:p w14:paraId="17D4C21E">
            <w:pPr>
              <w:pStyle w:val="11"/>
            </w:pPr>
            <w:r>
              <w:t>指标值</w:t>
            </w:r>
          </w:p>
        </w:tc>
        <w:tc>
          <w:tcPr>
            <w:tcW w:w="2156" w:type="dxa"/>
            <w:vAlign w:val="center"/>
          </w:tcPr>
          <w:p w14:paraId="3AFEA755">
            <w:pPr>
              <w:pStyle w:val="11"/>
            </w:pPr>
            <w:r>
              <w:t>指标值确定依据</w:t>
            </w:r>
          </w:p>
        </w:tc>
      </w:tr>
      <w:tr w14:paraId="5FAFA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81F6D">
            <w:pPr>
              <w:pStyle w:val="12"/>
            </w:pPr>
            <w:r>
              <w:t>产出指标</w:t>
            </w:r>
          </w:p>
        </w:tc>
        <w:tc>
          <w:tcPr>
            <w:tcW w:w="2268" w:type="dxa"/>
            <w:vAlign w:val="center"/>
          </w:tcPr>
          <w:p w14:paraId="47AB0F5F">
            <w:pPr>
              <w:pStyle w:val="13"/>
            </w:pPr>
            <w:r>
              <w:t>数量指标</w:t>
            </w:r>
          </w:p>
        </w:tc>
        <w:tc>
          <w:tcPr>
            <w:tcW w:w="2835" w:type="dxa"/>
            <w:vAlign w:val="center"/>
          </w:tcPr>
          <w:p w14:paraId="177F5731">
            <w:pPr>
              <w:pStyle w:val="13"/>
            </w:pPr>
            <w:r>
              <w:t>适龄在园生</w:t>
            </w:r>
          </w:p>
        </w:tc>
        <w:tc>
          <w:tcPr>
            <w:tcW w:w="5386" w:type="dxa"/>
            <w:vAlign w:val="center"/>
          </w:tcPr>
          <w:p w14:paraId="0A8C77A0">
            <w:pPr>
              <w:pStyle w:val="13"/>
            </w:pPr>
            <w:r>
              <w:t>适龄在园学生人数</w:t>
            </w:r>
          </w:p>
        </w:tc>
        <w:tc>
          <w:tcPr>
            <w:tcW w:w="1388" w:type="dxa"/>
            <w:vAlign w:val="center"/>
          </w:tcPr>
          <w:p w14:paraId="49EE1711">
            <w:pPr>
              <w:pStyle w:val="13"/>
            </w:pPr>
            <w:r>
              <w:t>397人</w:t>
            </w:r>
          </w:p>
        </w:tc>
        <w:tc>
          <w:tcPr>
            <w:tcW w:w="2156" w:type="dxa"/>
            <w:vAlign w:val="center"/>
          </w:tcPr>
          <w:p w14:paraId="4CBEC3CF">
            <w:pPr>
              <w:pStyle w:val="13"/>
            </w:pPr>
            <w:r>
              <w:t>支持学前教育发展县级资金管理办法</w:t>
            </w:r>
          </w:p>
        </w:tc>
      </w:tr>
      <w:tr w14:paraId="0CC04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C5FED"/>
        </w:tc>
        <w:tc>
          <w:tcPr>
            <w:tcW w:w="2268" w:type="dxa"/>
            <w:vAlign w:val="center"/>
          </w:tcPr>
          <w:p w14:paraId="3F837F78">
            <w:pPr>
              <w:pStyle w:val="13"/>
            </w:pPr>
            <w:r>
              <w:t>质量指标</w:t>
            </w:r>
          </w:p>
        </w:tc>
        <w:tc>
          <w:tcPr>
            <w:tcW w:w="2835" w:type="dxa"/>
            <w:vAlign w:val="center"/>
          </w:tcPr>
          <w:p w14:paraId="5A19B93E">
            <w:pPr>
              <w:pStyle w:val="13"/>
            </w:pPr>
            <w:r>
              <w:t>公用经费控制率</w:t>
            </w:r>
          </w:p>
        </w:tc>
        <w:tc>
          <w:tcPr>
            <w:tcW w:w="5386" w:type="dxa"/>
            <w:vAlign w:val="center"/>
          </w:tcPr>
          <w:p w14:paraId="6B5185DD">
            <w:pPr>
              <w:pStyle w:val="13"/>
            </w:pPr>
            <w:r>
              <w:t>幼儿园公用经费拨付执行率</w:t>
            </w:r>
          </w:p>
        </w:tc>
        <w:tc>
          <w:tcPr>
            <w:tcW w:w="1388" w:type="dxa"/>
            <w:vAlign w:val="center"/>
          </w:tcPr>
          <w:p w14:paraId="7D7408AC">
            <w:pPr>
              <w:pStyle w:val="13"/>
            </w:pPr>
            <w:r>
              <w:t>≥100%</w:t>
            </w:r>
          </w:p>
        </w:tc>
        <w:tc>
          <w:tcPr>
            <w:tcW w:w="2156" w:type="dxa"/>
            <w:vAlign w:val="center"/>
          </w:tcPr>
          <w:p w14:paraId="3641B044">
            <w:pPr>
              <w:pStyle w:val="13"/>
            </w:pPr>
            <w:r>
              <w:t>支持学前教育发展县级资金管理办法</w:t>
            </w:r>
          </w:p>
        </w:tc>
      </w:tr>
      <w:tr w14:paraId="16D73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AFBF3"/>
        </w:tc>
        <w:tc>
          <w:tcPr>
            <w:tcW w:w="2268" w:type="dxa"/>
            <w:vAlign w:val="center"/>
          </w:tcPr>
          <w:p w14:paraId="2BB417B0">
            <w:pPr>
              <w:pStyle w:val="13"/>
            </w:pPr>
            <w:r>
              <w:t>时效指标</w:t>
            </w:r>
          </w:p>
        </w:tc>
        <w:tc>
          <w:tcPr>
            <w:tcW w:w="2835" w:type="dxa"/>
            <w:vAlign w:val="center"/>
          </w:tcPr>
          <w:p w14:paraId="463A60A6">
            <w:pPr>
              <w:pStyle w:val="13"/>
            </w:pPr>
            <w:r>
              <w:t>资金支付率</w:t>
            </w:r>
          </w:p>
        </w:tc>
        <w:tc>
          <w:tcPr>
            <w:tcW w:w="5386" w:type="dxa"/>
            <w:vAlign w:val="center"/>
          </w:tcPr>
          <w:p w14:paraId="23C90B75">
            <w:pPr>
              <w:pStyle w:val="13"/>
            </w:pPr>
            <w:r>
              <w:t>按照序时进度完成资金支付</w:t>
            </w:r>
          </w:p>
        </w:tc>
        <w:tc>
          <w:tcPr>
            <w:tcW w:w="1388" w:type="dxa"/>
            <w:vAlign w:val="center"/>
          </w:tcPr>
          <w:p w14:paraId="7E52B460">
            <w:pPr>
              <w:pStyle w:val="13"/>
            </w:pPr>
            <w:r>
              <w:t>≥100%</w:t>
            </w:r>
          </w:p>
        </w:tc>
        <w:tc>
          <w:tcPr>
            <w:tcW w:w="2156" w:type="dxa"/>
            <w:vAlign w:val="center"/>
          </w:tcPr>
          <w:p w14:paraId="5D05D7E0">
            <w:pPr>
              <w:pStyle w:val="13"/>
            </w:pPr>
            <w:r>
              <w:t>支持学前教育发展县级资金管理办法</w:t>
            </w:r>
          </w:p>
        </w:tc>
      </w:tr>
      <w:tr w14:paraId="39794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55D9A002"/>
        </w:tc>
        <w:tc>
          <w:tcPr>
            <w:tcW w:w="2268" w:type="dxa"/>
            <w:vAlign w:val="center"/>
          </w:tcPr>
          <w:p w14:paraId="11D1F37B">
            <w:pPr>
              <w:pStyle w:val="13"/>
            </w:pPr>
            <w:r>
              <w:t>成本指标</w:t>
            </w:r>
          </w:p>
        </w:tc>
        <w:tc>
          <w:tcPr>
            <w:tcW w:w="2835" w:type="dxa"/>
            <w:vAlign w:val="center"/>
          </w:tcPr>
          <w:p w14:paraId="00F0B351">
            <w:pPr>
              <w:pStyle w:val="13"/>
            </w:pPr>
            <w:r>
              <w:t>生均拨款标准</w:t>
            </w:r>
          </w:p>
        </w:tc>
        <w:tc>
          <w:tcPr>
            <w:tcW w:w="5386" w:type="dxa"/>
            <w:vAlign w:val="center"/>
          </w:tcPr>
          <w:p w14:paraId="5D6B142A">
            <w:pPr>
              <w:pStyle w:val="13"/>
            </w:pPr>
            <w:r>
              <w:t>学前：（基本标准600元/生/学年）</w:t>
            </w:r>
          </w:p>
        </w:tc>
        <w:tc>
          <w:tcPr>
            <w:tcW w:w="1388" w:type="dxa"/>
            <w:vAlign w:val="center"/>
          </w:tcPr>
          <w:p w14:paraId="38AE036E">
            <w:pPr>
              <w:pStyle w:val="13"/>
            </w:pPr>
            <w:r>
              <w:t>600元</w:t>
            </w:r>
          </w:p>
        </w:tc>
        <w:tc>
          <w:tcPr>
            <w:tcW w:w="2156" w:type="dxa"/>
            <w:vAlign w:val="center"/>
          </w:tcPr>
          <w:p w14:paraId="26EFA778">
            <w:pPr>
              <w:pStyle w:val="13"/>
            </w:pPr>
            <w:r>
              <w:t>支持学前教育发展县级资金管理办法</w:t>
            </w:r>
          </w:p>
        </w:tc>
      </w:tr>
      <w:tr w14:paraId="29470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F42317">
            <w:pPr>
              <w:pStyle w:val="12"/>
            </w:pPr>
            <w:r>
              <w:t>效益指标</w:t>
            </w:r>
          </w:p>
        </w:tc>
        <w:tc>
          <w:tcPr>
            <w:tcW w:w="2268" w:type="dxa"/>
            <w:vAlign w:val="center"/>
          </w:tcPr>
          <w:p w14:paraId="7CCDEE29">
            <w:pPr>
              <w:pStyle w:val="13"/>
            </w:pPr>
            <w:r>
              <w:t>可持续影响指标</w:t>
            </w:r>
          </w:p>
        </w:tc>
        <w:tc>
          <w:tcPr>
            <w:tcW w:w="2835" w:type="dxa"/>
            <w:vAlign w:val="center"/>
          </w:tcPr>
          <w:p w14:paraId="39371530">
            <w:pPr>
              <w:pStyle w:val="13"/>
            </w:pPr>
            <w:r>
              <w:t>教育发展水平明显好转</w:t>
            </w:r>
          </w:p>
        </w:tc>
        <w:tc>
          <w:tcPr>
            <w:tcW w:w="5386" w:type="dxa"/>
            <w:vAlign w:val="center"/>
          </w:tcPr>
          <w:p w14:paraId="7303D953">
            <w:pPr>
              <w:pStyle w:val="13"/>
            </w:pPr>
            <w:r>
              <w:t>学生受教育年限</w:t>
            </w:r>
          </w:p>
        </w:tc>
        <w:tc>
          <w:tcPr>
            <w:tcW w:w="1388" w:type="dxa"/>
            <w:vAlign w:val="center"/>
          </w:tcPr>
          <w:p w14:paraId="69BEFC27">
            <w:pPr>
              <w:pStyle w:val="13"/>
            </w:pPr>
            <w:r>
              <w:t>3年</w:t>
            </w:r>
          </w:p>
        </w:tc>
        <w:tc>
          <w:tcPr>
            <w:tcW w:w="2156" w:type="dxa"/>
            <w:vAlign w:val="center"/>
          </w:tcPr>
          <w:p w14:paraId="6EDCEDFA">
            <w:pPr>
              <w:pStyle w:val="13"/>
            </w:pPr>
            <w:r>
              <w:t>支持学前教育发展县级资金管理办法</w:t>
            </w:r>
          </w:p>
        </w:tc>
      </w:tr>
      <w:tr w14:paraId="382E6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04C85D">
            <w:pPr>
              <w:pStyle w:val="12"/>
            </w:pPr>
            <w:r>
              <w:t>满意度指标</w:t>
            </w:r>
          </w:p>
        </w:tc>
        <w:tc>
          <w:tcPr>
            <w:tcW w:w="2268" w:type="dxa"/>
            <w:vAlign w:val="center"/>
          </w:tcPr>
          <w:p w14:paraId="2B411E42">
            <w:pPr>
              <w:pStyle w:val="13"/>
            </w:pPr>
            <w:r>
              <w:t>服务对象满意度指标</w:t>
            </w:r>
          </w:p>
        </w:tc>
        <w:tc>
          <w:tcPr>
            <w:tcW w:w="2835" w:type="dxa"/>
            <w:vAlign w:val="center"/>
          </w:tcPr>
          <w:p w14:paraId="1E395A15">
            <w:pPr>
              <w:pStyle w:val="13"/>
            </w:pPr>
            <w:r>
              <w:t>受益学生家长及调查满意度</w:t>
            </w:r>
          </w:p>
        </w:tc>
        <w:tc>
          <w:tcPr>
            <w:tcW w:w="5386" w:type="dxa"/>
            <w:vAlign w:val="center"/>
          </w:tcPr>
          <w:p w14:paraId="5F145710">
            <w:pPr>
              <w:pStyle w:val="13"/>
            </w:pPr>
            <w:r>
              <w:t>幼儿、教师及家长对学校保教保育工作满意度情况</w:t>
            </w:r>
          </w:p>
        </w:tc>
        <w:tc>
          <w:tcPr>
            <w:tcW w:w="1388" w:type="dxa"/>
            <w:vAlign w:val="center"/>
          </w:tcPr>
          <w:p w14:paraId="67F09687">
            <w:pPr>
              <w:pStyle w:val="13"/>
            </w:pPr>
            <w:r>
              <w:t>≥95%</w:t>
            </w:r>
          </w:p>
        </w:tc>
        <w:tc>
          <w:tcPr>
            <w:tcW w:w="2156" w:type="dxa"/>
            <w:vAlign w:val="center"/>
          </w:tcPr>
          <w:p w14:paraId="52BF5DB6">
            <w:pPr>
              <w:pStyle w:val="13"/>
            </w:pPr>
            <w:r>
              <w:t>调查问卷</w:t>
            </w:r>
          </w:p>
        </w:tc>
      </w:tr>
    </w:tbl>
    <w:p w14:paraId="6A5CA801">
      <w:pPr>
        <w:sectPr>
          <w:pgSz w:w="16840" w:h="11900" w:orient="landscape"/>
          <w:pgMar w:top="1361" w:right="1020" w:bottom="1134" w:left="1020" w:header="720" w:footer="720" w:gutter="0"/>
          <w:cols w:space="720" w:num="1"/>
        </w:sectPr>
      </w:pPr>
    </w:p>
    <w:p w14:paraId="6DA89FC1">
      <w:pPr>
        <w:spacing w:before="0" w:after="0"/>
        <w:ind w:firstLine="560"/>
        <w:jc w:val="left"/>
        <w:outlineLvl w:val="9"/>
      </w:pPr>
      <w:r>
        <w:rPr>
          <w:rFonts w:ascii="方正仿宋_GBK" w:hAnsi="方正仿宋_GBK" w:eastAsia="方正仿宋_GBK" w:cs="方正仿宋_GBK"/>
          <w:b/>
          <w:color w:val="000000"/>
          <w:sz w:val="28"/>
        </w:rPr>
        <w:t>19、学前专项经费/千户营校区绩效目标表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AC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86EAF">
            <w:pPr>
              <w:pStyle w:val="14"/>
            </w:pPr>
            <w:r>
              <w:t>单位：万元</w:t>
            </w:r>
          </w:p>
        </w:tc>
      </w:tr>
      <w:tr w14:paraId="0E21C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7C071">
            <w:pPr>
              <w:pStyle w:val="11"/>
            </w:pPr>
            <w:r>
              <w:t>项目编码</w:t>
            </w:r>
          </w:p>
        </w:tc>
        <w:tc>
          <w:tcPr>
            <w:tcW w:w="5103" w:type="dxa"/>
            <w:gridSpan w:val="2"/>
            <w:vAlign w:val="center"/>
          </w:tcPr>
          <w:p w14:paraId="75503AB7">
            <w:pPr>
              <w:pStyle w:val="13"/>
            </w:pPr>
            <w:r>
              <w:t>13052525P00875610043L</w:t>
            </w:r>
          </w:p>
        </w:tc>
        <w:tc>
          <w:tcPr>
            <w:tcW w:w="2835" w:type="dxa"/>
            <w:vAlign w:val="center"/>
          </w:tcPr>
          <w:p w14:paraId="68D22AD6">
            <w:pPr>
              <w:pStyle w:val="11"/>
            </w:pPr>
            <w:r>
              <w:t>项目名称</w:t>
            </w:r>
          </w:p>
        </w:tc>
        <w:tc>
          <w:tcPr>
            <w:tcW w:w="6095" w:type="dxa"/>
            <w:gridSpan w:val="3"/>
            <w:vAlign w:val="center"/>
          </w:tcPr>
          <w:p w14:paraId="401F7B77">
            <w:pPr>
              <w:pStyle w:val="13"/>
            </w:pPr>
            <w:r>
              <w:t>学前专项经费/千户营校区</w:t>
            </w:r>
          </w:p>
        </w:tc>
      </w:tr>
      <w:tr w14:paraId="6892E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1FB19">
            <w:pPr>
              <w:pStyle w:val="11"/>
            </w:pPr>
            <w:r>
              <w:t>预算规模及资金用途</w:t>
            </w:r>
          </w:p>
        </w:tc>
        <w:tc>
          <w:tcPr>
            <w:tcW w:w="2268" w:type="dxa"/>
            <w:vAlign w:val="center"/>
          </w:tcPr>
          <w:p w14:paraId="78645F74">
            <w:pPr>
              <w:pStyle w:val="11"/>
            </w:pPr>
            <w:r>
              <w:t>预算数</w:t>
            </w:r>
          </w:p>
        </w:tc>
        <w:tc>
          <w:tcPr>
            <w:tcW w:w="2835" w:type="dxa"/>
            <w:vAlign w:val="center"/>
          </w:tcPr>
          <w:p w14:paraId="21DDA029">
            <w:pPr>
              <w:pStyle w:val="13"/>
            </w:pPr>
            <w:r>
              <w:t>49.72</w:t>
            </w:r>
          </w:p>
        </w:tc>
        <w:tc>
          <w:tcPr>
            <w:tcW w:w="2835" w:type="dxa"/>
            <w:vAlign w:val="center"/>
          </w:tcPr>
          <w:p w14:paraId="315A55ED">
            <w:pPr>
              <w:pStyle w:val="11"/>
            </w:pPr>
            <w:r>
              <w:t>其中：财政    资金</w:t>
            </w:r>
          </w:p>
        </w:tc>
        <w:tc>
          <w:tcPr>
            <w:tcW w:w="2551" w:type="dxa"/>
            <w:vAlign w:val="center"/>
          </w:tcPr>
          <w:p w14:paraId="0ABA2142">
            <w:pPr>
              <w:pStyle w:val="13"/>
            </w:pPr>
            <w:r>
              <w:t>49.72</w:t>
            </w:r>
          </w:p>
        </w:tc>
        <w:tc>
          <w:tcPr>
            <w:tcW w:w="2268" w:type="dxa"/>
            <w:vAlign w:val="center"/>
          </w:tcPr>
          <w:p w14:paraId="35DC37B0">
            <w:pPr>
              <w:pStyle w:val="11"/>
            </w:pPr>
            <w:r>
              <w:t>其他资金</w:t>
            </w:r>
          </w:p>
        </w:tc>
        <w:tc>
          <w:tcPr>
            <w:tcW w:w="1276" w:type="dxa"/>
            <w:vAlign w:val="center"/>
          </w:tcPr>
          <w:p w14:paraId="0FE42FB5">
            <w:pPr>
              <w:pStyle w:val="13"/>
            </w:pPr>
            <w:r>
              <w:t xml:space="preserve"> </w:t>
            </w:r>
          </w:p>
        </w:tc>
      </w:tr>
      <w:tr w14:paraId="7EADB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EFF5A6"/>
        </w:tc>
        <w:tc>
          <w:tcPr>
            <w:tcW w:w="14033" w:type="dxa"/>
            <w:gridSpan w:val="6"/>
            <w:vAlign w:val="center"/>
          </w:tcPr>
          <w:p w14:paraId="7B74FB34">
            <w:pPr>
              <w:pStyle w:val="13"/>
            </w:pPr>
            <w:r>
              <w:t>用于发放教师代课费。</w:t>
            </w:r>
          </w:p>
        </w:tc>
      </w:tr>
      <w:tr w14:paraId="6F5E7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97DBF">
            <w:pPr>
              <w:pStyle w:val="11"/>
            </w:pPr>
            <w:r>
              <w:t>资金支出计划（%）</w:t>
            </w:r>
          </w:p>
        </w:tc>
        <w:tc>
          <w:tcPr>
            <w:tcW w:w="5103" w:type="dxa"/>
            <w:gridSpan w:val="2"/>
            <w:vAlign w:val="center"/>
          </w:tcPr>
          <w:p w14:paraId="2DF0B74A">
            <w:pPr>
              <w:pStyle w:val="11"/>
            </w:pPr>
            <w:r>
              <w:t>3月底</w:t>
            </w:r>
          </w:p>
        </w:tc>
        <w:tc>
          <w:tcPr>
            <w:tcW w:w="2835" w:type="dxa"/>
            <w:vAlign w:val="center"/>
          </w:tcPr>
          <w:p w14:paraId="57B7841A">
            <w:pPr>
              <w:pStyle w:val="11"/>
            </w:pPr>
            <w:r>
              <w:t>6月底</w:t>
            </w:r>
          </w:p>
        </w:tc>
        <w:tc>
          <w:tcPr>
            <w:tcW w:w="2551" w:type="dxa"/>
            <w:vAlign w:val="center"/>
          </w:tcPr>
          <w:p w14:paraId="68BD8C53">
            <w:pPr>
              <w:pStyle w:val="11"/>
            </w:pPr>
            <w:r>
              <w:t>10月底</w:t>
            </w:r>
          </w:p>
        </w:tc>
        <w:tc>
          <w:tcPr>
            <w:tcW w:w="3544" w:type="dxa"/>
            <w:gridSpan w:val="2"/>
            <w:vAlign w:val="center"/>
          </w:tcPr>
          <w:p w14:paraId="73742346">
            <w:pPr>
              <w:pStyle w:val="11"/>
            </w:pPr>
            <w:r>
              <w:t>12月底</w:t>
            </w:r>
          </w:p>
        </w:tc>
      </w:tr>
      <w:tr w14:paraId="06F50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EDA74"/>
        </w:tc>
        <w:tc>
          <w:tcPr>
            <w:tcW w:w="5103" w:type="dxa"/>
            <w:gridSpan w:val="2"/>
            <w:vAlign w:val="center"/>
          </w:tcPr>
          <w:p w14:paraId="625E6F4C">
            <w:pPr>
              <w:pStyle w:val="12"/>
            </w:pPr>
            <w:r>
              <w:t>25%</w:t>
            </w:r>
          </w:p>
        </w:tc>
        <w:tc>
          <w:tcPr>
            <w:tcW w:w="2835" w:type="dxa"/>
            <w:vAlign w:val="center"/>
          </w:tcPr>
          <w:p w14:paraId="09782CBA">
            <w:pPr>
              <w:pStyle w:val="12"/>
            </w:pPr>
            <w:r>
              <w:t>50%</w:t>
            </w:r>
          </w:p>
        </w:tc>
        <w:tc>
          <w:tcPr>
            <w:tcW w:w="2551" w:type="dxa"/>
            <w:vAlign w:val="center"/>
          </w:tcPr>
          <w:p w14:paraId="66406DA1">
            <w:pPr>
              <w:pStyle w:val="12"/>
            </w:pPr>
            <w:r>
              <w:t>100%</w:t>
            </w:r>
          </w:p>
        </w:tc>
        <w:tc>
          <w:tcPr>
            <w:tcW w:w="3544" w:type="dxa"/>
            <w:gridSpan w:val="2"/>
            <w:vAlign w:val="center"/>
          </w:tcPr>
          <w:p w14:paraId="4200D6A2">
            <w:pPr>
              <w:pStyle w:val="12"/>
            </w:pPr>
            <w:r>
              <w:t>100%</w:t>
            </w:r>
          </w:p>
        </w:tc>
      </w:tr>
      <w:tr w14:paraId="24E16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507485">
            <w:pPr>
              <w:pStyle w:val="11"/>
            </w:pPr>
            <w:r>
              <w:t>绩效目标</w:t>
            </w:r>
          </w:p>
        </w:tc>
        <w:tc>
          <w:tcPr>
            <w:tcW w:w="14033" w:type="dxa"/>
            <w:gridSpan w:val="6"/>
            <w:vAlign w:val="center"/>
          </w:tcPr>
          <w:p w14:paraId="07CC6916">
            <w:pPr>
              <w:pStyle w:val="13"/>
            </w:pPr>
            <w:r>
              <w:t>1.按要求完成公立幼儿园保育费按月/季度上缴财政。</w:t>
            </w:r>
          </w:p>
          <w:p w14:paraId="6CD0EB5C">
            <w:pPr>
              <w:pStyle w:val="13"/>
            </w:pPr>
            <w:r>
              <w:t>2.按上缴财政序时进度完成公立幼儿园保育费支出。</w:t>
            </w:r>
          </w:p>
          <w:p w14:paraId="2BB3B24C">
            <w:pPr>
              <w:pStyle w:val="13"/>
            </w:pPr>
            <w:r>
              <w:t>3.按预算要求完成2025年度学前教学任务提升及教学质量提高。</w:t>
            </w:r>
          </w:p>
        </w:tc>
      </w:tr>
    </w:tbl>
    <w:p w14:paraId="407914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80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E25B7">
            <w:pPr>
              <w:pStyle w:val="11"/>
            </w:pPr>
            <w:r>
              <w:t>一级指标</w:t>
            </w:r>
          </w:p>
        </w:tc>
        <w:tc>
          <w:tcPr>
            <w:tcW w:w="2268" w:type="dxa"/>
            <w:vAlign w:val="center"/>
          </w:tcPr>
          <w:p w14:paraId="266A48DC">
            <w:pPr>
              <w:pStyle w:val="11"/>
            </w:pPr>
            <w:r>
              <w:t>二级指标</w:t>
            </w:r>
          </w:p>
        </w:tc>
        <w:tc>
          <w:tcPr>
            <w:tcW w:w="2835" w:type="dxa"/>
            <w:vAlign w:val="center"/>
          </w:tcPr>
          <w:p w14:paraId="269EDDFD">
            <w:pPr>
              <w:pStyle w:val="11"/>
            </w:pPr>
            <w:r>
              <w:t>三级指标</w:t>
            </w:r>
          </w:p>
        </w:tc>
        <w:tc>
          <w:tcPr>
            <w:tcW w:w="5386" w:type="dxa"/>
            <w:vAlign w:val="center"/>
          </w:tcPr>
          <w:p w14:paraId="4E6926E2">
            <w:pPr>
              <w:pStyle w:val="11"/>
            </w:pPr>
            <w:r>
              <w:t>绩效指标描述</w:t>
            </w:r>
          </w:p>
        </w:tc>
        <w:tc>
          <w:tcPr>
            <w:tcW w:w="2268" w:type="dxa"/>
            <w:vAlign w:val="center"/>
          </w:tcPr>
          <w:p w14:paraId="61AB54BF">
            <w:pPr>
              <w:pStyle w:val="11"/>
            </w:pPr>
            <w:r>
              <w:t>指标值</w:t>
            </w:r>
          </w:p>
        </w:tc>
        <w:tc>
          <w:tcPr>
            <w:tcW w:w="1276" w:type="dxa"/>
            <w:vAlign w:val="center"/>
          </w:tcPr>
          <w:p w14:paraId="74AC94D8">
            <w:pPr>
              <w:pStyle w:val="11"/>
            </w:pPr>
            <w:r>
              <w:t>指标值确定依据</w:t>
            </w:r>
          </w:p>
        </w:tc>
      </w:tr>
      <w:tr w14:paraId="3DFF2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42461">
            <w:pPr>
              <w:pStyle w:val="12"/>
            </w:pPr>
            <w:r>
              <w:t>产出指标</w:t>
            </w:r>
          </w:p>
        </w:tc>
        <w:tc>
          <w:tcPr>
            <w:tcW w:w="2268" w:type="dxa"/>
            <w:vAlign w:val="center"/>
          </w:tcPr>
          <w:p w14:paraId="6060FE5D">
            <w:pPr>
              <w:pStyle w:val="13"/>
            </w:pPr>
            <w:r>
              <w:t>数量指标</w:t>
            </w:r>
          </w:p>
        </w:tc>
        <w:tc>
          <w:tcPr>
            <w:tcW w:w="2835" w:type="dxa"/>
            <w:vAlign w:val="center"/>
          </w:tcPr>
          <w:p w14:paraId="4E22AA72">
            <w:pPr>
              <w:pStyle w:val="13"/>
            </w:pPr>
            <w:r>
              <w:t>适龄在园生</w:t>
            </w:r>
          </w:p>
        </w:tc>
        <w:tc>
          <w:tcPr>
            <w:tcW w:w="5386" w:type="dxa"/>
            <w:vAlign w:val="center"/>
          </w:tcPr>
          <w:p w14:paraId="4989AC1A">
            <w:pPr>
              <w:pStyle w:val="13"/>
            </w:pPr>
            <w:r>
              <w:t>适龄在园学生人数</w:t>
            </w:r>
          </w:p>
        </w:tc>
        <w:tc>
          <w:tcPr>
            <w:tcW w:w="2268" w:type="dxa"/>
            <w:vAlign w:val="center"/>
          </w:tcPr>
          <w:p w14:paraId="6017AEB8">
            <w:pPr>
              <w:pStyle w:val="13"/>
            </w:pPr>
            <w:r>
              <w:t>397人</w:t>
            </w:r>
          </w:p>
        </w:tc>
        <w:tc>
          <w:tcPr>
            <w:tcW w:w="1276" w:type="dxa"/>
            <w:vAlign w:val="center"/>
          </w:tcPr>
          <w:p w14:paraId="53B0E91E">
            <w:pPr>
              <w:pStyle w:val="13"/>
            </w:pPr>
            <w:r>
              <w:t>年度工作计划</w:t>
            </w:r>
          </w:p>
        </w:tc>
      </w:tr>
      <w:tr w14:paraId="6918F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30021"/>
        </w:tc>
        <w:tc>
          <w:tcPr>
            <w:tcW w:w="2268" w:type="dxa"/>
            <w:vAlign w:val="center"/>
          </w:tcPr>
          <w:p w14:paraId="67A2A541">
            <w:pPr>
              <w:pStyle w:val="13"/>
            </w:pPr>
            <w:r>
              <w:t>质量指标</w:t>
            </w:r>
          </w:p>
        </w:tc>
        <w:tc>
          <w:tcPr>
            <w:tcW w:w="2835" w:type="dxa"/>
            <w:vAlign w:val="center"/>
          </w:tcPr>
          <w:p w14:paraId="0E2B1ED0">
            <w:pPr>
              <w:pStyle w:val="13"/>
            </w:pPr>
            <w:r>
              <w:t>按月上缴财政完成率</w:t>
            </w:r>
          </w:p>
        </w:tc>
        <w:tc>
          <w:tcPr>
            <w:tcW w:w="5386" w:type="dxa"/>
            <w:vAlign w:val="center"/>
          </w:tcPr>
          <w:p w14:paraId="00800D84">
            <w:pPr>
              <w:pStyle w:val="13"/>
            </w:pPr>
            <w:r>
              <w:t>按月完成公立幼儿园保育费上缴财政</w:t>
            </w:r>
          </w:p>
        </w:tc>
        <w:tc>
          <w:tcPr>
            <w:tcW w:w="2268" w:type="dxa"/>
            <w:vAlign w:val="center"/>
          </w:tcPr>
          <w:p w14:paraId="631EE63B">
            <w:pPr>
              <w:pStyle w:val="13"/>
            </w:pPr>
            <w:r>
              <w:t>≥100%</w:t>
            </w:r>
          </w:p>
        </w:tc>
        <w:tc>
          <w:tcPr>
            <w:tcW w:w="1276" w:type="dxa"/>
            <w:vAlign w:val="center"/>
          </w:tcPr>
          <w:p w14:paraId="0E05B17A">
            <w:pPr>
              <w:pStyle w:val="13"/>
            </w:pPr>
            <w:r>
              <w:t>年度工作计划</w:t>
            </w:r>
          </w:p>
        </w:tc>
      </w:tr>
      <w:tr w14:paraId="30A15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01B7F"/>
        </w:tc>
        <w:tc>
          <w:tcPr>
            <w:tcW w:w="2268" w:type="dxa"/>
            <w:vAlign w:val="center"/>
          </w:tcPr>
          <w:p w14:paraId="4AEC7F2A">
            <w:pPr>
              <w:pStyle w:val="13"/>
            </w:pPr>
            <w:r>
              <w:t>时效指标</w:t>
            </w:r>
          </w:p>
        </w:tc>
        <w:tc>
          <w:tcPr>
            <w:tcW w:w="2835" w:type="dxa"/>
            <w:vAlign w:val="center"/>
          </w:tcPr>
          <w:p w14:paraId="27343BA9">
            <w:pPr>
              <w:pStyle w:val="13"/>
            </w:pPr>
            <w:r>
              <w:t>资金支付率</w:t>
            </w:r>
          </w:p>
        </w:tc>
        <w:tc>
          <w:tcPr>
            <w:tcW w:w="5386" w:type="dxa"/>
            <w:vAlign w:val="center"/>
          </w:tcPr>
          <w:p w14:paraId="7D318A2D">
            <w:pPr>
              <w:pStyle w:val="13"/>
            </w:pPr>
            <w:r>
              <w:t>按照上缴财政进度完成公立幼儿园保育费支付</w:t>
            </w:r>
          </w:p>
        </w:tc>
        <w:tc>
          <w:tcPr>
            <w:tcW w:w="2268" w:type="dxa"/>
            <w:vAlign w:val="center"/>
          </w:tcPr>
          <w:p w14:paraId="14184762">
            <w:pPr>
              <w:pStyle w:val="13"/>
            </w:pPr>
            <w:r>
              <w:t>≥100%</w:t>
            </w:r>
          </w:p>
        </w:tc>
        <w:tc>
          <w:tcPr>
            <w:tcW w:w="1276" w:type="dxa"/>
            <w:vAlign w:val="center"/>
          </w:tcPr>
          <w:p w14:paraId="5E5CBD52">
            <w:pPr>
              <w:pStyle w:val="13"/>
            </w:pPr>
            <w:r>
              <w:t>年度工作计划</w:t>
            </w:r>
          </w:p>
        </w:tc>
      </w:tr>
      <w:tr w14:paraId="6918A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E7A29"/>
        </w:tc>
        <w:tc>
          <w:tcPr>
            <w:tcW w:w="2268" w:type="dxa"/>
            <w:vAlign w:val="center"/>
          </w:tcPr>
          <w:p w14:paraId="5322FAAC">
            <w:pPr>
              <w:pStyle w:val="13"/>
            </w:pPr>
            <w:r>
              <w:t>成本指标</w:t>
            </w:r>
          </w:p>
        </w:tc>
        <w:tc>
          <w:tcPr>
            <w:tcW w:w="2835" w:type="dxa"/>
            <w:vAlign w:val="center"/>
          </w:tcPr>
          <w:p w14:paraId="18189C8D">
            <w:pPr>
              <w:pStyle w:val="13"/>
            </w:pPr>
            <w:r>
              <w:t>公办幼儿园保育费收费标准</w:t>
            </w:r>
          </w:p>
        </w:tc>
        <w:tc>
          <w:tcPr>
            <w:tcW w:w="5386" w:type="dxa"/>
            <w:vAlign w:val="center"/>
          </w:tcPr>
          <w:p w14:paraId="74B4D569">
            <w:pPr>
              <w:pStyle w:val="13"/>
            </w:pPr>
            <w:r>
              <w:t>农村二类园130元/月/生</w:t>
            </w:r>
          </w:p>
        </w:tc>
        <w:tc>
          <w:tcPr>
            <w:tcW w:w="2268" w:type="dxa"/>
            <w:vAlign w:val="center"/>
          </w:tcPr>
          <w:p w14:paraId="24799195">
            <w:pPr>
              <w:pStyle w:val="13"/>
            </w:pPr>
            <w:r>
              <w:t>130元</w:t>
            </w:r>
          </w:p>
        </w:tc>
        <w:tc>
          <w:tcPr>
            <w:tcW w:w="1276" w:type="dxa"/>
            <w:vAlign w:val="center"/>
          </w:tcPr>
          <w:p w14:paraId="029E7A23">
            <w:pPr>
              <w:pStyle w:val="13"/>
            </w:pPr>
            <w:r>
              <w:t>年度工作计划</w:t>
            </w:r>
          </w:p>
        </w:tc>
      </w:tr>
      <w:tr w14:paraId="059C5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5FA8A"/>
        </w:tc>
        <w:tc>
          <w:tcPr>
            <w:tcW w:w="2268" w:type="dxa"/>
            <w:vAlign w:val="center"/>
          </w:tcPr>
          <w:p w14:paraId="54A7F7D7">
            <w:pPr>
              <w:pStyle w:val="13"/>
            </w:pPr>
            <w:r>
              <w:t>成本指标</w:t>
            </w:r>
          </w:p>
        </w:tc>
        <w:tc>
          <w:tcPr>
            <w:tcW w:w="2835" w:type="dxa"/>
            <w:vAlign w:val="center"/>
          </w:tcPr>
          <w:p w14:paraId="605CE70F">
            <w:pPr>
              <w:pStyle w:val="13"/>
            </w:pPr>
            <w:r>
              <w:t>公办幼儿园保育费收费标准</w:t>
            </w:r>
          </w:p>
        </w:tc>
        <w:tc>
          <w:tcPr>
            <w:tcW w:w="5386" w:type="dxa"/>
            <w:vAlign w:val="center"/>
          </w:tcPr>
          <w:p w14:paraId="4EBBCDB6">
            <w:pPr>
              <w:pStyle w:val="13"/>
            </w:pPr>
            <w:r>
              <w:t>农村一类园150元/月/生</w:t>
            </w:r>
          </w:p>
        </w:tc>
        <w:tc>
          <w:tcPr>
            <w:tcW w:w="2268" w:type="dxa"/>
            <w:vAlign w:val="center"/>
          </w:tcPr>
          <w:p w14:paraId="21C10DB8">
            <w:pPr>
              <w:pStyle w:val="13"/>
            </w:pPr>
            <w:r>
              <w:t>150元</w:t>
            </w:r>
          </w:p>
        </w:tc>
        <w:tc>
          <w:tcPr>
            <w:tcW w:w="1276" w:type="dxa"/>
            <w:vAlign w:val="center"/>
          </w:tcPr>
          <w:p w14:paraId="1A4C526F">
            <w:pPr>
              <w:pStyle w:val="13"/>
            </w:pPr>
            <w:r>
              <w:t>年度工作计划</w:t>
            </w:r>
          </w:p>
        </w:tc>
      </w:tr>
      <w:tr w14:paraId="0198B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8091D"/>
        </w:tc>
        <w:tc>
          <w:tcPr>
            <w:tcW w:w="2268" w:type="dxa"/>
            <w:vAlign w:val="center"/>
          </w:tcPr>
          <w:p w14:paraId="4812A227">
            <w:pPr>
              <w:pStyle w:val="13"/>
            </w:pPr>
            <w:r>
              <w:t>成本指标</w:t>
            </w:r>
          </w:p>
        </w:tc>
        <w:tc>
          <w:tcPr>
            <w:tcW w:w="2835" w:type="dxa"/>
            <w:vAlign w:val="center"/>
          </w:tcPr>
          <w:p w14:paraId="7A83E87F">
            <w:pPr>
              <w:pStyle w:val="13"/>
            </w:pPr>
            <w:r>
              <w:t>公办幼儿园保育费收费标准</w:t>
            </w:r>
          </w:p>
        </w:tc>
        <w:tc>
          <w:tcPr>
            <w:tcW w:w="5386" w:type="dxa"/>
            <w:vAlign w:val="center"/>
          </w:tcPr>
          <w:p w14:paraId="16A7CAC6">
            <w:pPr>
              <w:pStyle w:val="13"/>
            </w:pPr>
            <w:r>
              <w:t>农村示范园170元/月/生</w:t>
            </w:r>
          </w:p>
        </w:tc>
        <w:tc>
          <w:tcPr>
            <w:tcW w:w="2268" w:type="dxa"/>
            <w:vAlign w:val="center"/>
          </w:tcPr>
          <w:p w14:paraId="00C355B3">
            <w:pPr>
              <w:pStyle w:val="13"/>
            </w:pPr>
            <w:r>
              <w:t>170元</w:t>
            </w:r>
          </w:p>
        </w:tc>
        <w:tc>
          <w:tcPr>
            <w:tcW w:w="1276" w:type="dxa"/>
            <w:vAlign w:val="center"/>
          </w:tcPr>
          <w:p w14:paraId="61DF2FDE">
            <w:pPr>
              <w:pStyle w:val="13"/>
            </w:pPr>
            <w:r>
              <w:t>年度工作计划</w:t>
            </w:r>
          </w:p>
        </w:tc>
      </w:tr>
      <w:tr w14:paraId="5EDFA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F098A9">
            <w:pPr>
              <w:pStyle w:val="12"/>
            </w:pPr>
            <w:r>
              <w:t>效益指标</w:t>
            </w:r>
          </w:p>
        </w:tc>
        <w:tc>
          <w:tcPr>
            <w:tcW w:w="2268" w:type="dxa"/>
            <w:vAlign w:val="center"/>
          </w:tcPr>
          <w:p w14:paraId="09F5CEFD">
            <w:pPr>
              <w:pStyle w:val="13"/>
            </w:pPr>
            <w:r>
              <w:t>可持续影响指标</w:t>
            </w:r>
          </w:p>
        </w:tc>
        <w:tc>
          <w:tcPr>
            <w:tcW w:w="2835" w:type="dxa"/>
            <w:vAlign w:val="center"/>
          </w:tcPr>
          <w:p w14:paraId="32A5FE54">
            <w:pPr>
              <w:pStyle w:val="13"/>
            </w:pPr>
            <w:r>
              <w:t>学校运转得到提高</w:t>
            </w:r>
          </w:p>
        </w:tc>
        <w:tc>
          <w:tcPr>
            <w:tcW w:w="5386" w:type="dxa"/>
            <w:vAlign w:val="center"/>
          </w:tcPr>
          <w:p w14:paraId="0EEA5602">
            <w:pPr>
              <w:pStyle w:val="13"/>
            </w:pPr>
            <w:r>
              <w:t>幼儿受教育年限</w:t>
            </w:r>
          </w:p>
        </w:tc>
        <w:tc>
          <w:tcPr>
            <w:tcW w:w="2268" w:type="dxa"/>
            <w:vAlign w:val="center"/>
          </w:tcPr>
          <w:p w14:paraId="4EF9912A">
            <w:pPr>
              <w:pStyle w:val="13"/>
            </w:pPr>
            <w:r>
              <w:t>3年</w:t>
            </w:r>
          </w:p>
        </w:tc>
        <w:tc>
          <w:tcPr>
            <w:tcW w:w="1276" w:type="dxa"/>
            <w:vAlign w:val="center"/>
          </w:tcPr>
          <w:p w14:paraId="709EE9B9">
            <w:pPr>
              <w:pStyle w:val="13"/>
            </w:pPr>
            <w:r>
              <w:t>年度工作计划</w:t>
            </w:r>
          </w:p>
        </w:tc>
      </w:tr>
      <w:tr w14:paraId="1AE32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068E8">
            <w:pPr>
              <w:pStyle w:val="12"/>
            </w:pPr>
            <w:r>
              <w:t>满意度指标</w:t>
            </w:r>
          </w:p>
        </w:tc>
        <w:tc>
          <w:tcPr>
            <w:tcW w:w="2268" w:type="dxa"/>
            <w:vAlign w:val="center"/>
          </w:tcPr>
          <w:p w14:paraId="69BC2370">
            <w:pPr>
              <w:pStyle w:val="13"/>
            </w:pPr>
            <w:r>
              <w:t>服务对象满意度指标</w:t>
            </w:r>
          </w:p>
        </w:tc>
        <w:tc>
          <w:tcPr>
            <w:tcW w:w="2835" w:type="dxa"/>
            <w:vAlign w:val="center"/>
          </w:tcPr>
          <w:p w14:paraId="5E5E8292">
            <w:pPr>
              <w:pStyle w:val="13"/>
            </w:pPr>
            <w:r>
              <w:t>受益学生家长及调查满意度</w:t>
            </w:r>
          </w:p>
        </w:tc>
        <w:tc>
          <w:tcPr>
            <w:tcW w:w="5386" w:type="dxa"/>
            <w:vAlign w:val="center"/>
          </w:tcPr>
          <w:p w14:paraId="64CC96BC">
            <w:pPr>
              <w:pStyle w:val="13"/>
            </w:pPr>
            <w:r>
              <w:t>幼儿、教师及家长对学校保教保育工作满意度情况</w:t>
            </w:r>
          </w:p>
        </w:tc>
        <w:tc>
          <w:tcPr>
            <w:tcW w:w="2268" w:type="dxa"/>
            <w:vAlign w:val="center"/>
          </w:tcPr>
          <w:p w14:paraId="5F20EF4A">
            <w:pPr>
              <w:pStyle w:val="13"/>
            </w:pPr>
            <w:r>
              <w:t>≥95%</w:t>
            </w:r>
          </w:p>
        </w:tc>
        <w:tc>
          <w:tcPr>
            <w:tcW w:w="1276" w:type="dxa"/>
            <w:vAlign w:val="center"/>
          </w:tcPr>
          <w:p w14:paraId="1F31C50A">
            <w:pPr>
              <w:pStyle w:val="13"/>
            </w:pPr>
            <w:r>
              <w:t>年度工作计划</w:t>
            </w:r>
          </w:p>
        </w:tc>
      </w:tr>
    </w:tbl>
    <w:p w14:paraId="1CADDFD9">
      <w:pPr>
        <w:sectPr>
          <w:pgSz w:w="16840" w:h="11900" w:orient="landscape"/>
          <w:pgMar w:top="1361" w:right="1020" w:bottom="1134" w:left="1020" w:header="720" w:footer="720" w:gutter="0"/>
          <w:cols w:space="720" w:num="1"/>
        </w:sectPr>
      </w:pPr>
    </w:p>
    <w:p w14:paraId="1FCF204F">
      <w:pPr>
        <w:spacing w:before="10" w:after="10" w:line="240" w:lineRule="auto"/>
        <w:ind w:firstLine="640"/>
        <w:jc w:val="left"/>
        <w:outlineLvl w:val="5"/>
      </w:pPr>
      <w:r>
        <w:rPr>
          <w:rFonts w:ascii="黑体" w:hAnsi="黑体" w:eastAsia="黑体" w:cs="黑体"/>
          <w:color w:val="000000"/>
          <w:sz w:val="32"/>
        </w:rPr>
        <w:t>六、政府采购预算情况</w:t>
      </w:r>
    </w:p>
    <w:p w14:paraId="759A225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72B0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0838E0A">
            <w:pPr>
              <w:pStyle w:val="8"/>
            </w:pPr>
            <w:r>
              <w:t>360025隆尧县千户营校区</w:t>
            </w:r>
          </w:p>
        </w:tc>
        <w:tc>
          <w:tcPr>
            <w:tcW w:w="7712" w:type="dxa"/>
            <w:gridSpan w:val="8"/>
            <w:tcBorders>
              <w:top w:val="single" w:color="FFFFFF" w:sz="6" w:space="0"/>
              <w:left w:val="single" w:color="FFFFFF" w:sz="6" w:space="0"/>
              <w:right w:val="single" w:color="FFFFFF" w:sz="6" w:space="0"/>
            </w:tcBorders>
            <w:vAlign w:val="center"/>
          </w:tcPr>
          <w:p w14:paraId="75C1B4E1">
            <w:pPr>
              <w:pStyle w:val="22"/>
            </w:pPr>
            <w:r>
              <w:t>单位：万元</w:t>
            </w:r>
          </w:p>
        </w:tc>
      </w:tr>
      <w:tr w14:paraId="62AC8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0F36F24">
            <w:pPr>
              <w:pStyle w:val="11"/>
            </w:pPr>
            <w:r>
              <w:t>政府采购项目来源</w:t>
            </w:r>
          </w:p>
        </w:tc>
        <w:tc>
          <w:tcPr>
            <w:tcW w:w="1134" w:type="dxa"/>
            <w:vMerge w:val="restart"/>
            <w:vAlign w:val="center"/>
          </w:tcPr>
          <w:p w14:paraId="7409A85A">
            <w:pPr>
              <w:pStyle w:val="11"/>
            </w:pPr>
            <w:r>
              <w:t>采购物品名称</w:t>
            </w:r>
          </w:p>
        </w:tc>
        <w:tc>
          <w:tcPr>
            <w:tcW w:w="1134" w:type="dxa"/>
            <w:vMerge w:val="restart"/>
            <w:vAlign w:val="center"/>
          </w:tcPr>
          <w:p w14:paraId="17AE1899">
            <w:pPr>
              <w:pStyle w:val="11"/>
            </w:pPr>
            <w:r>
              <w:t>政府采购目录序号</w:t>
            </w:r>
          </w:p>
        </w:tc>
        <w:tc>
          <w:tcPr>
            <w:tcW w:w="709" w:type="dxa"/>
            <w:vMerge w:val="restart"/>
            <w:vAlign w:val="center"/>
          </w:tcPr>
          <w:p w14:paraId="460BC10F">
            <w:pPr>
              <w:pStyle w:val="11"/>
            </w:pPr>
            <w:r>
              <w:t>计量  单位</w:t>
            </w:r>
          </w:p>
        </w:tc>
        <w:tc>
          <w:tcPr>
            <w:tcW w:w="850" w:type="dxa"/>
            <w:vMerge w:val="restart"/>
            <w:vAlign w:val="center"/>
          </w:tcPr>
          <w:p w14:paraId="4576767C">
            <w:pPr>
              <w:pStyle w:val="11"/>
            </w:pPr>
            <w:r>
              <w:t>数量</w:t>
            </w:r>
          </w:p>
        </w:tc>
        <w:tc>
          <w:tcPr>
            <w:tcW w:w="850" w:type="dxa"/>
            <w:vMerge w:val="restart"/>
            <w:vAlign w:val="center"/>
          </w:tcPr>
          <w:p w14:paraId="073A1A58">
            <w:pPr>
              <w:pStyle w:val="11"/>
            </w:pPr>
            <w:r>
              <w:t>单价</w:t>
            </w:r>
          </w:p>
        </w:tc>
        <w:tc>
          <w:tcPr>
            <w:tcW w:w="6748" w:type="dxa"/>
            <w:gridSpan w:val="7"/>
            <w:vAlign w:val="center"/>
          </w:tcPr>
          <w:p w14:paraId="1F40C81A">
            <w:pPr>
              <w:pStyle w:val="11"/>
            </w:pPr>
            <w:r>
              <w:t>政府采购金额（当年部门预算安排资金）</w:t>
            </w:r>
          </w:p>
        </w:tc>
        <w:tc>
          <w:tcPr>
            <w:tcW w:w="964" w:type="dxa"/>
            <w:vMerge w:val="restart"/>
            <w:vAlign w:val="center"/>
          </w:tcPr>
          <w:p w14:paraId="1A0851DD">
            <w:pPr>
              <w:pStyle w:val="11"/>
            </w:pPr>
            <w:r>
              <w:t>2025年  预留中  小微企  业份额</w:t>
            </w:r>
          </w:p>
        </w:tc>
      </w:tr>
      <w:tr w14:paraId="68F91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CCCD829">
            <w:pPr>
              <w:pStyle w:val="11"/>
            </w:pPr>
            <w:r>
              <w:t>项目名称</w:t>
            </w:r>
          </w:p>
        </w:tc>
        <w:tc>
          <w:tcPr>
            <w:tcW w:w="964" w:type="dxa"/>
            <w:vAlign w:val="center"/>
          </w:tcPr>
          <w:p w14:paraId="393A6721">
            <w:pPr>
              <w:pStyle w:val="11"/>
            </w:pPr>
            <w:r>
              <w:t>预算    资金</w:t>
            </w:r>
          </w:p>
        </w:tc>
        <w:tc>
          <w:tcPr>
            <w:tcW w:w="1134" w:type="dxa"/>
            <w:vMerge w:val="continue"/>
          </w:tcPr>
          <w:p w14:paraId="74642489"/>
        </w:tc>
        <w:tc>
          <w:tcPr>
            <w:tcW w:w="1134" w:type="dxa"/>
            <w:vMerge w:val="continue"/>
          </w:tcPr>
          <w:p w14:paraId="21F2587B"/>
        </w:tc>
        <w:tc>
          <w:tcPr>
            <w:tcW w:w="709" w:type="dxa"/>
            <w:vMerge w:val="continue"/>
          </w:tcPr>
          <w:p w14:paraId="2C8FF703"/>
        </w:tc>
        <w:tc>
          <w:tcPr>
            <w:tcW w:w="850" w:type="dxa"/>
            <w:vMerge w:val="continue"/>
          </w:tcPr>
          <w:p w14:paraId="40BDE07A"/>
        </w:tc>
        <w:tc>
          <w:tcPr>
            <w:tcW w:w="850" w:type="dxa"/>
            <w:vMerge w:val="continue"/>
          </w:tcPr>
          <w:p w14:paraId="38A90CA5"/>
        </w:tc>
        <w:tc>
          <w:tcPr>
            <w:tcW w:w="964" w:type="dxa"/>
            <w:vAlign w:val="center"/>
          </w:tcPr>
          <w:p w14:paraId="480B40A3">
            <w:pPr>
              <w:pStyle w:val="11"/>
            </w:pPr>
            <w:r>
              <w:t>合计</w:t>
            </w:r>
          </w:p>
        </w:tc>
        <w:tc>
          <w:tcPr>
            <w:tcW w:w="964" w:type="dxa"/>
            <w:vAlign w:val="center"/>
          </w:tcPr>
          <w:p w14:paraId="73B896A6">
            <w:pPr>
              <w:pStyle w:val="11"/>
            </w:pPr>
            <w:r>
              <w:t>一般公共预算拨款</w:t>
            </w:r>
          </w:p>
        </w:tc>
        <w:tc>
          <w:tcPr>
            <w:tcW w:w="964" w:type="dxa"/>
            <w:vAlign w:val="center"/>
          </w:tcPr>
          <w:p w14:paraId="4561983D">
            <w:pPr>
              <w:pStyle w:val="11"/>
            </w:pPr>
            <w:r>
              <w:t>基金预算拨款</w:t>
            </w:r>
          </w:p>
        </w:tc>
        <w:tc>
          <w:tcPr>
            <w:tcW w:w="964" w:type="dxa"/>
            <w:vAlign w:val="center"/>
          </w:tcPr>
          <w:p w14:paraId="633BE3D7">
            <w:pPr>
              <w:pStyle w:val="11"/>
            </w:pPr>
            <w:r>
              <w:t>国有资本经营预算拨款</w:t>
            </w:r>
          </w:p>
        </w:tc>
        <w:tc>
          <w:tcPr>
            <w:tcW w:w="964" w:type="dxa"/>
            <w:vAlign w:val="center"/>
          </w:tcPr>
          <w:p w14:paraId="5AC6C741">
            <w:pPr>
              <w:pStyle w:val="11"/>
            </w:pPr>
            <w:r>
              <w:t>财政专户核拨</w:t>
            </w:r>
          </w:p>
        </w:tc>
        <w:tc>
          <w:tcPr>
            <w:tcW w:w="964" w:type="dxa"/>
            <w:vAlign w:val="center"/>
          </w:tcPr>
          <w:p w14:paraId="7C257E06">
            <w:pPr>
              <w:pStyle w:val="11"/>
            </w:pPr>
            <w:r>
              <w:t>单位    资金</w:t>
            </w:r>
          </w:p>
        </w:tc>
        <w:tc>
          <w:tcPr>
            <w:tcW w:w="964" w:type="dxa"/>
            <w:vAlign w:val="center"/>
          </w:tcPr>
          <w:p w14:paraId="4321601A">
            <w:pPr>
              <w:pStyle w:val="11"/>
            </w:pPr>
            <w:r>
              <w:t>上年结转结余</w:t>
            </w:r>
          </w:p>
        </w:tc>
        <w:tc>
          <w:tcPr>
            <w:tcW w:w="964" w:type="dxa"/>
            <w:vMerge w:val="continue"/>
          </w:tcPr>
          <w:p w14:paraId="6B8B8ACB"/>
        </w:tc>
      </w:tr>
      <w:tr w14:paraId="4834F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2894DF">
            <w:pPr>
              <w:pStyle w:val="15"/>
            </w:pPr>
            <w:r>
              <w:t>合  计</w:t>
            </w:r>
          </w:p>
        </w:tc>
        <w:tc>
          <w:tcPr>
            <w:tcW w:w="964" w:type="dxa"/>
            <w:vAlign w:val="center"/>
          </w:tcPr>
          <w:p w14:paraId="7D49F1B6">
            <w:pPr>
              <w:pStyle w:val="16"/>
            </w:pPr>
          </w:p>
        </w:tc>
        <w:tc>
          <w:tcPr>
            <w:tcW w:w="1134" w:type="dxa"/>
            <w:vAlign w:val="center"/>
          </w:tcPr>
          <w:p w14:paraId="6E329B54">
            <w:pPr>
              <w:pStyle w:val="17"/>
            </w:pPr>
          </w:p>
        </w:tc>
        <w:tc>
          <w:tcPr>
            <w:tcW w:w="1134" w:type="dxa"/>
            <w:vAlign w:val="center"/>
          </w:tcPr>
          <w:p w14:paraId="13BDB852">
            <w:pPr>
              <w:pStyle w:val="17"/>
            </w:pPr>
          </w:p>
        </w:tc>
        <w:tc>
          <w:tcPr>
            <w:tcW w:w="709" w:type="dxa"/>
            <w:vAlign w:val="center"/>
          </w:tcPr>
          <w:p w14:paraId="17DD7070">
            <w:pPr>
              <w:pStyle w:val="15"/>
            </w:pPr>
          </w:p>
        </w:tc>
        <w:tc>
          <w:tcPr>
            <w:tcW w:w="850" w:type="dxa"/>
            <w:vAlign w:val="center"/>
          </w:tcPr>
          <w:p w14:paraId="6720B2F4">
            <w:pPr>
              <w:pStyle w:val="16"/>
            </w:pPr>
          </w:p>
        </w:tc>
        <w:tc>
          <w:tcPr>
            <w:tcW w:w="850" w:type="dxa"/>
            <w:vAlign w:val="center"/>
          </w:tcPr>
          <w:p w14:paraId="097A7C18">
            <w:pPr>
              <w:pStyle w:val="16"/>
            </w:pPr>
          </w:p>
        </w:tc>
        <w:tc>
          <w:tcPr>
            <w:tcW w:w="964" w:type="dxa"/>
            <w:vAlign w:val="center"/>
          </w:tcPr>
          <w:p w14:paraId="777995A7">
            <w:pPr>
              <w:pStyle w:val="16"/>
            </w:pPr>
            <w:r>
              <w:t>2.48</w:t>
            </w:r>
          </w:p>
        </w:tc>
        <w:tc>
          <w:tcPr>
            <w:tcW w:w="964" w:type="dxa"/>
            <w:vAlign w:val="center"/>
          </w:tcPr>
          <w:p w14:paraId="229471EB">
            <w:pPr>
              <w:pStyle w:val="16"/>
            </w:pPr>
            <w:r>
              <w:t>2.48</w:t>
            </w:r>
          </w:p>
        </w:tc>
        <w:tc>
          <w:tcPr>
            <w:tcW w:w="964" w:type="dxa"/>
            <w:vAlign w:val="center"/>
          </w:tcPr>
          <w:p w14:paraId="50C91AC5">
            <w:pPr>
              <w:pStyle w:val="16"/>
            </w:pPr>
          </w:p>
        </w:tc>
        <w:tc>
          <w:tcPr>
            <w:tcW w:w="964" w:type="dxa"/>
            <w:vAlign w:val="center"/>
          </w:tcPr>
          <w:p w14:paraId="3F6BCD20">
            <w:pPr>
              <w:pStyle w:val="16"/>
            </w:pPr>
          </w:p>
        </w:tc>
        <w:tc>
          <w:tcPr>
            <w:tcW w:w="964" w:type="dxa"/>
            <w:vAlign w:val="center"/>
          </w:tcPr>
          <w:p w14:paraId="3DC61D99">
            <w:pPr>
              <w:pStyle w:val="16"/>
            </w:pPr>
          </w:p>
        </w:tc>
        <w:tc>
          <w:tcPr>
            <w:tcW w:w="964" w:type="dxa"/>
            <w:vAlign w:val="center"/>
          </w:tcPr>
          <w:p w14:paraId="132ED471">
            <w:pPr>
              <w:pStyle w:val="16"/>
            </w:pPr>
          </w:p>
        </w:tc>
        <w:tc>
          <w:tcPr>
            <w:tcW w:w="964" w:type="dxa"/>
            <w:vAlign w:val="center"/>
          </w:tcPr>
          <w:p w14:paraId="58E367F1">
            <w:pPr>
              <w:pStyle w:val="16"/>
            </w:pPr>
          </w:p>
        </w:tc>
        <w:tc>
          <w:tcPr>
            <w:tcW w:w="964" w:type="dxa"/>
            <w:vAlign w:val="center"/>
          </w:tcPr>
          <w:p w14:paraId="70BBBCFF">
            <w:pPr>
              <w:pStyle w:val="16"/>
            </w:pPr>
            <w:r>
              <w:t>2.48</w:t>
            </w:r>
          </w:p>
        </w:tc>
      </w:tr>
      <w:tr w14:paraId="490B7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49CBE5">
            <w:pPr>
              <w:pStyle w:val="15"/>
            </w:pPr>
            <w:r>
              <w:t>隆尧县千户营校区小计</w:t>
            </w:r>
          </w:p>
        </w:tc>
        <w:tc>
          <w:tcPr>
            <w:tcW w:w="964" w:type="dxa"/>
            <w:vAlign w:val="center"/>
          </w:tcPr>
          <w:p w14:paraId="262177AF">
            <w:pPr>
              <w:pStyle w:val="16"/>
            </w:pPr>
          </w:p>
        </w:tc>
        <w:tc>
          <w:tcPr>
            <w:tcW w:w="1134" w:type="dxa"/>
            <w:vAlign w:val="center"/>
          </w:tcPr>
          <w:p w14:paraId="5292F277">
            <w:pPr>
              <w:pStyle w:val="17"/>
            </w:pPr>
          </w:p>
        </w:tc>
        <w:tc>
          <w:tcPr>
            <w:tcW w:w="1134" w:type="dxa"/>
            <w:vAlign w:val="center"/>
          </w:tcPr>
          <w:p w14:paraId="45FFDC75">
            <w:pPr>
              <w:pStyle w:val="17"/>
            </w:pPr>
          </w:p>
        </w:tc>
        <w:tc>
          <w:tcPr>
            <w:tcW w:w="709" w:type="dxa"/>
            <w:vAlign w:val="center"/>
          </w:tcPr>
          <w:p w14:paraId="7C7DEE2C">
            <w:pPr>
              <w:pStyle w:val="15"/>
            </w:pPr>
          </w:p>
        </w:tc>
        <w:tc>
          <w:tcPr>
            <w:tcW w:w="850" w:type="dxa"/>
            <w:vAlign w:val="center"/>
          </w:tcPr>
          <w:p w14:paraId="0F7D3673">
            <w:pPr>
              <w:pStyle w:val="16"/>
            </w:pPr>
          </w:p>
        </w:tc>
        <w:tc>
          <w:tcPr>
            <w:tcW w:w="850" w:type="dxa"/>
            <w:vAlign w:val="center"/>
          </w:tcPr>
          <w:p w14:paraId="7B1388F2">
            <w:pPr>
              <w:pStyle w:val="16"/>
            </w:pPr>
          </w:p>
        </w:tc>
        <w:tc>
          <w:tcPr>
            <w:tcW w:w="964" w:type="dxa"/>
            <w:vAlign w:val="center"/>
          </w:tcPr>
          <w:p w14:paraId="49B74544">
            <w:pPr>
              <w:pStyle w:val="16"/>
            </w:pPr>
            <w:r>
              <w:t>2.48</w:t>
            </w:r>
          </w:p>
        </w:tc>
        <w:tc>
          <w:tcPr>
            <w:tcW w:w="964" w:type="dxa"/>
            <w:vAlign w:val="center"/>
          </w:tcPr>
          <w:p w14:paraId="528E7A8E">
            <w:pPr>
              <w:pStyle w:val="16"/>
            </w:pPr>
            <w:r>
              <w:t>2.48</w:t>
            </w:r>
          </w:p>
        </w:tc>
        <w:tc>
          <w:tcPr>
            <w:tcW w:w="964" w:type="dxa"/>
            <w:vAlign w:val="center"/>
          </w:tcPr>
          <w:p w14:paraId="297E7658">
            <w:pPr>
              <w:pStyle w:val="16"/>
            </w:pPr>
          </w:p>
        </w:tc>
        <w:tc>
          <w:tcPr>
            <w:tcW w:w="964" w:type="dxa"/>
            <w:vAlign w:val="center"/>
          </w:tcPr>
          <w:p w14:paraId="5CCDB187">
            <w:pPr>
              <w:pStyle w:val="16"/>
            </w:pPr>
          </w:p>
        </w:tc>
        <w:tc>
          <w:tcPr>
            <w:tcW w:w="964" w:type="dxa"/>
            <w:vAlign w:val="center"/>
          </w:tcPr>
          <w:p w14:paraId="684350B3">
            <w:pPr>
              <w:pStyle w:val="16"/>
            </w:pPr>
          </w:p>
        </w:tc>
        <w:tc>
          <w:tcPr>
            <w:tcW w:w="964" w:type="dxa"/>
            <w:vAlign w:val="center"/>
          </w:tcPr>
          <w:p w14:paraId="2796DEBB">
            <w:pPr>
              <w:pStyle w:val="16"/>
            </w:pPr>
          </w:p>
        </w:tc>
        <w:tc>
          <w:tcPr>
            <w:tcW w:w="964" w:type="dxa"/>
            <w:vAlign w:val="center"/>
          </w:tcPr>
          <w:p w14:paraId="48F6D364">
            <w:pPr>
              <w:pStyle w:val="16"/>
            </w:pPr>
          </w:p>
        </w:tc>
        <w:tc>
          <w:tcPr>
            <w:tcW w:w="964" w:type="dxa"/>
            <w:vAlign w:val="center"/>
          </w:tcPr>
          <w:p w14:paraId="743979C8">
            <w:pPr>
              <w:pStyle w:val="16"/>
            </w:pPr>
            <w:r>
              <w:t>2.48</w:t>
            </w:r>
          </w:p>
        </w:tc>
      </w:tr>
      <w:tr w14:paraId="0D08E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A92174">
            <w:pPr>
              <w:pStyle w:val="13"/>
            </w:pPr>
            <w:r>
              <w:t>冀财教[2024]123号/中央/2025年义教补助经费/千户营小学公用经费</w:t>
            </w:r>
          </w:p>
        </w:tc>
        <w:tc>
          <w:tcPr>
            <w:tcW w:w="964" w:type="dxa"/>
            <w:vAlign w:val="center"/>
          </w:tcPr>
          <w:p w14:paraId="549AA04A">
            <w:pPr>
              <w:pStyle w:val="14"/>
            </w:pPr>
            <w:r>
              <w:t>70.19</w:t>
            </w:r>
          </w:p>
        </w:tc>
        <w:tc>
          <w:tcPr>
            <w:tcW w:w="1134" w:type="dxa"/>
            <w:vAlign w:val="center"/>
          </w:tcPr>
          <w:p w14:paraId="79163775">
            <w:pPr>
              <w:pStyle w:val="13"/>
            </w:pPr>
            <w:r>
              <w:t>会议桌</w:t>
            </w:r>
          </w:p>
        </w:tc>
        <w:tc>
          <w:tcPr>
            <w:tcW w:w="1134" w:type="dxa"/>
            <w:vAlign w:val="center"/>
          </w:tcPr>
          <w:p w14:paraId="16678848">
            <w:pPr>
              <w:pStyle w:val="13"/>
            </w:pPr>
            <w:r>
              <w:t>A05010202</w:t>
            </w:r>
          </w:p>
        </w:tc>
        <w:tc>
          <w:tcPr>
            <w:tcW w:w="709" w:type="dxa"/>
            <w:vAlign w:val="center"/>
          </w:tcPr>
          <w:p w14:paraId="4B82BAEB">
            <w:pPr>
              <w:pStyle w:val="12"/>
            </w:pPr>
            <w:r>
              <w:t>套</w:t>
            </w:r>
          </w:p>
        </w:tc>
        <w:tc>
          <w:tcPr>
            <w:tcW w:w="850" w:type="dxa"/>
            <w:vAlign w:val="center"/>
          </w:tcPr>
          <w:p w14:paraId="4326B00F">
            <w:pPr>
              <w:pStyle w:val="14"/>
            </w:pPr>
            <w:r>
              <w:t>1</w:t>
            </w:r>
          </w:p>
        </w:tc>
        <w:tc>
          <w:tcPr>
            <w:tcW w:w="850" w:type="dxa"/>
            <w:vAlign w:val="center"/>
          </w:tcPr>
          <w:p w14:paraId="0F93C8B9">
            <w:pPr>
              <w:pStyle w:val="14"/>
            </w:pPr>
            <w:r>
              <w:t>1.74</w:t>
            </w:r>
          </w:p>
        </w:tc>
        <w:tc>
          <w:tcPr>
            <w:tcW w:w="964" w:type="dxa"/>
            <w:vAlign w:val="center"/>
          </w:tcPr>
          <w:p w14:paraId="2EE10DE3">
            <w:pPr>
              <w:pStyle w:val="14"/>
            </w:pPr>
            <w:r>
              <w:t>1.74</w:t>
            </w:r>
          </w:p>
        </w:tc>
        <w:tc>
          <w:tcPr>
            <w:tcW w:w="964" w:type="dxa"/>
            <w:vAlign w:val="center"/>
          </w:tcPr>
          <w:p w14:paraId="3F168335">
            <w:pPr>
              <w:pStyle w:val="14"/>
            </w:pPr>
            <w:r>
              <w:t>1.74</w:t>
            </w:r>
          </w:p>
        </w:tc>
        <w:tc>
          <w:tcPr>
            <w:tcW w:w="964" w:type="dxa"/>
            <w:vAlign w:val="center"/>
          </w:tcPr>
          <w:p w14:paraId="024E24BB">
            <w:pPr>
              <w:pStyle w:val="14"/>
            </w:pPr>
          </w:p>
        </w:tc>
        <w:tc>
          <w:tcPr>
            <w:tcW w:w="964" w:type="dxa"/>
            <w:vAlign w:val="center"/>
          </w:tcPr>
          <w:p w14:paraId="72EE03B3">
            <w:pPr>
              <w:pStyle w:val="14"/>
            </w:pPr>
          </w:p>
        </w:tc>
        <w:tc>
          <w:tcPr>
            <w:tcW w:w="964" w:type="dxa"/>
            <w:vAlign w:val="center"/>
          </w:tcPr>
          <w:p w14:paraId="072C48A0">
            <w:pPr>
              <w:pStyle w:val="14"/>
            </w:pPr>
          </w:p>
        </w:tc>
        <w:tc>
          <w:tcPr>
            <w:tcW w:w="964" w:type="dxa"/>
            <w:vAlign w:val="center"/>
          </w:tcPr>
          <w:p w14:paraId="038AE0E2">
            <w:pPr>
              <w:pStyle w:val="14"/>
            </w:pPr>
          </w:p>
        </w:tc>
        <w:tc>
          <w:tcPr>
            <w:tcW w:w="964" w:type="dxa"/>
            <w:vAlign w:val="center"/>
          </w:tcPr>
          <w:p w14:paraId="76D1A66E">
            <w:pPr>
              <w:pStyle w:val="14"/>
            </w:pPr>
          </w:p>
        </w:tc>
        <w:tc>
          <w:tcPr>
            <w:tcW w:w="964" w:type="dxa"/>
            <w:vAlign w:val="center"/>
          </w:tcPr>
          <w:p w14:paraId="640E312E">
            <w:pPr>
              <w:pStyle w:val="14"/>
            </w:pPr>
            <w:r>
              <w:t>1.74</w:t>
            </w:r>
          </w:p>
        </w:tc>
      </w:tr>
      <w:tr w14:paraId="5A42D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C7A2E1">
            <w:pPr>
              <w:pStyle w:val="13"/>
            </w:pPr>
            <w:r>
              <w:t>冀财教[2024]123号/中央/2025年义教补助经费/徐麻营小学公用经费</w:t>
            </w:r>
          </w:p>
        </w:tc>
        <w:tc>
          <w:tcPr>
            <w:tcW w:w="964" w:type="dxa"/>
            <w:vAlign w:val="center"/>
          </w:tcPr>
          <w:p w14:paraId="01C22430">
            <w:pPr>
              <w:pStyle w:val="14"/>
            </w:pPr>
            <w:r>
              <w:t>23.04</w:t>
            </w:r>
          </w:p>
        </w:tc>
        <w:tc>
          <w:tcPr>
            <w:tcW w:w="1134" w:type="dxa"/>
            <w:vAlign w:val="center"/>
          </w:tcPr>
          <w:p w14:paraId="647885B0">
            <w:pPr>
              <w:pStyle w:val="13"/>
            </w:pPr>
            <w:r>
              <w:t>A4 黑白打印机</w:t>
            </w:r>
          </w:p>
        </w:tc>
        <w:tc>
          <w:tcPr>
            <w:tcW w:w="1134" w:type="dxa"/>
            <w:vAlign w:val="center"/>
          </w:tcPr>
          <w:p w14:paraId="4EB54CAF">
            <w:pPr>
              <w:pStyle w:val="13"/>
            </w:pPr>
            <w:r>
              <w:t>A02021003</w:t>
            </w:r>
          </w:p>
        </w:tc>
        <w:tc>
          <w:tcPr>
            <w:tcW w:w="709" w:type="dxa"/>
            <w:vAlign w:val="center"/>
          </w:tcPr>
          <w:p w14:paraId="36BE5D66">
            <w:pPr>
              <w:pStyle w:val="12"/>
            </w:pPr>
            <w:r>
              <w:t>台</w:t>
            </w:r>
          </w:p>
        </w:tc>
        <w:tc>
          <w:tcPr>
            <w:tcW w:w="850" w:type="dxa"/>
            <w:vAlign w:val="center"/>
          </w:tcPr>
          <w:p w14:paraId="137F6812">
            <w:pPr>
              <w:pStyle w:val="14"/>
            </w:pPr>
            <w:r>
              <w:t>1</w:t>
            </w:r>
          </w:p>
        </w:tc>
        <w:tc>
          <w:tcPr>
            <w:tcW w:w="850" w:type="dxa"/>
            <w:vAlign w:val="center"/>
          </w:tcPr>
          <w:p w14:paraId="2328DB3B">
            <w:pPr>
              <w:pStyle w:val="14"/>
            </w:pPr>
            <w:r>
              <w:t>0.12</w:t>
            </w:r>
          </w:p>
        </w:tc>
        <w:tc>
          <w:tcPr>
            <w:tcW w:w="964" w:type="dxa"/>
            <w:vAlign w:val="center"/>
          </w:tcPr>
          <w:p w14:paraId="66686CA0">
            <w:pPr>
              <w:pStyle w:val="14"/>
            </w:pPr>
            <w:r>
              <w:t>0.12</w:t>
            </w:r>
          </w:p>
        </w:tc>
        <w:tc>
          <w:tcPr>
            <w:tcW w:w="964" w:type="dxa"/>
            <w:vAlign w:val="center"/>
          </w:tcPr>
          <w:p w14:paraId="45F0A395">
            <w:pPr>
              <w:pStyle w:val="14"/>
            </w:pPr>
            <w:r>
              <w:t>0.12</w:t>
            </w:r>
          </w:p>
        </w:tc>
        <w:tc>
          <w:tcPr>
            <w:tcW w:w="964" w:type="dxa"/>
            <w:vAlign w:val="center"/>
          </w:tcPr>
          <w:p w14:paraId="52AD257D">
            <w:pPr>
              <w:pStyle w:val="14"/>
            </w:pPr>
          </w:p>
        </w:tc>
        <w:tc>
          <w:tcPr>
            <w:tcW w:w="964" w:type="dxa"/>
            <w:vAlign w:val="center"/>
          </w:tcPr>
          <w:p w14:paraId="4E2DC38A">
            <w:pPr>
              <w:pStyle w:val="14"/>
            </w:pPr>
          </w:p>
        </w:tc>
        <w:tc>
          <w:tcPr>
            <w:tcW w:w="964" w:type="dxa"/>
            <w:vAlign w:val="center"/>
          </w:tcPr>
          <w:p w14:paraId="70D717CD">
            <w:pPr>
              <w:pStyle w:val="14"/>
            </w:pPr>
          </w:p>
        </w:tc>
        <w:tc>
          <w:tcPr>
            <w:tcW w:w="964" w:type="dxa"/>
            <w:vAlign w:val="center"/>
          </w:tcPr>
          <w:p w14:paraId="5930C25C">
            <w:pPr>
              <w:pStyle w:val="14"/>
            </w:pPr>
          </w:p>
        </w:tc>
        <w:tc>
          <w:tcPr>
            <w:tcW w:w="964" w:type="dxa"/>
            <w:vAlign w:val="center"/>
          </w:tcPr>
          <w:p w14:paraId="74CA914C">
            <w:pPr>
              <w:pStyle w:val="14"/>
            </w:pPr>
          </w:p>
        </w:tc>
        <w:tc>
          <w:tcPr>
            <w:tcW w:w="964" w:type="dxa"/>
            <w:vAlign w:val="center"/>
          </w:tcPr>
          <w:p w14:paraId="1D536A47">
            <w:pPr>
              <w:pStyle w:val="14"/>
            </w:pPr>
            <w:r>
              <w:t>0.12</w:t>
            </w:r>
          </w:p>
        </w:tc>
      </w:tr>
      <w:tr w14:paraId="490C9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3E4AC7">
            <w:pPr>
              <w:pStyle w:val="13"/>
            </w:pPr>
            <w:r>
              <w:t>冀财教[2024]123号/中央/2025年义教补助经费/枣驼小学公用经费</w:t>
            </w:r>
          </w:p>
        </w:tc>
        <w:tc>
          <w:tcPr>
            <w:tcW w:w="964" w:type="dxa"/>
            <w:vAlign w:val="center"/>
          </w:tcPr>
          <w:p w14:paraId="60BFB734">
            <w:pPr>
              <w:pStyle w:val="14"/>
            </w:pPr>
            <w:r>
              <w:t>12.30</w:t>
            </w:r>
          </w:p>
        </w:tc>
        <w:tc>
          <w:tcPr>
            <w:tcW w:w="1134" w:type="dxa"/>
            <w:vAlign w:val="center"/>
          </w:tcPr>
          <w:p w14:paraId="20AECD14">
            <w:pPr>
              <w:pStyle w:val="13"/>
            </w:pPr>
            <w:r>
              <w:t>A4 黑白打印机</w:t>
            </w:r>
          </w:p>
        </w:tc>
        <w:tc>
          <w:tcPr>
            <w:tcW w:w="1134" w:type="dxa"/>
            <w:vAlign w:val="center"/>
          </w:tcPr>
          <w:p w14:paraId="07413677">
            <w:pPr>
              <w:pStyle w:val="13"/>
            </w:pPr>
            <w:r>
              <w:t>A02021003</w:t>
            </w:r>
          </w:p>
        </w:tc>
        <w:tc>
          <w:tcPr>
            <w:tcW w:w="709" w:type="dxa"/>
            <w:vAlign w:val="center"/>
          </w:tcPr>
          <w:p w14:paraId="3EAA5293">
            <w:pPr>
              <w:pStyle w:val="12"/>
            </w:pPr>
            <w:r>
              <w:t>台</w:t>
            </w:r>
          </w:p>
        </w:tc>
        <w:tc>
          <w:tcPr>
            <w:tcW w:w="850" w:type="dxa"/>
            <w:vAlign w:val="center"/>
          </w:tcPr>
          <w:p w14:paraId="7D976D62">
            <w:pPr>
              <w:pStyle w:val="14"/>
            </w:pPr>
            <w:r>
              <w:t>1</w:t>
            </w:r>
          </w:p>
        </w:tc>
        <w:tc>
          <w:tcPr>
            <w:tcW w:w="850" w:type="dxa"/>
            <w:vAlign w:val="center"/>
          </w:tcPr>
          <w:p w14:paraId="2707C1D7">
            <w:pPr>
              <w:pStyle w:val="14"/>
            </w:pPr>
            <w:r>
              <w:t>0.19</w:t>
            </w:r>
          </w:p>
        </w:tc>
        <w:tc>
          <w:tcPr>
            <w:tcW w:w="964" w:type="dxa"/>
            <w:vAlign w:val="center"/>
          </w:tcPr>
          <w:p w14:paraId="08F32BCD">
            <w:pPr>
              <w:pStyle w:val="14"/>
            </w:pPr>
            <w:r>
              <w:t>0.19</w:t>
            </w:r>
          </w:p>
        </w:tc>
        <w:tc>
          <w:tcPr>
            <w:tcW w:w="964" w:type="dxa"/>
            <w:vAlign w:val="center"/>
          </w:tcPr>
          <w:p w14:paraId="6912C41C">
            <w:pPr>
              <w:pStyle w:val="14"/>
            </w:pPr>
            <w:r>
              <w:t>0.19</w:t>
            </w:r>
          </w:p>
        </w:tc>
        <w:tc>
          <w:tcPr>
            <w:tcW w:w="964" w:type="dxa"/>
            <w:vAlign w:val="center"/>
          </w:tcPr>
          <w:p w14:paraId="7995536C">
            <w:pPr>
              <w:pStyle w:val="14"/>
            </w:pPr>
          </w:p>
        </w:tc>
        <w:tc>
          <w:tcPr>
            <w:tcW w:w="964" w:type="dxa"/>
            <w:vAlign w:val="center"/>
          </w:tcPr>
          <w:p w14:paraId="7F509006">
            <w:pPr>
              <w:pStyle w:val="14"/>
            </w:pPr>
          </w:p>
        </w:tc>
        <w:tc>
          <w:tcPr>
            <w:tcW w:w="964" w:type="dxa"/>
            <w:vAlign w:val="center"/>
          </w:tcPr>
          <w:p w14:paraId="1B4E3829">
            <w:pPr>
              <w:pStyle w:val="14"/>
            </w:pPr>
          </w:p>
        </w:tc>
        <w:tc>
          <w:tcPr>
            <w:tcW w:w="964" w:type="dxa"/>
            <w:vAlign w:val="center"/>
          </w:tcPr>
          <w:p w14:paraId="4C4DCE96">
            <w:pPr>
              <w:pStyle w:val="14"/>
            </w:pPr>
          </w:p>
        </w:tc>
        <w:tc>
          <w:tcPr>
            <w:tcW w:w="964" w:type="dxa"/>
            <w:vAlign w:val="center"/>
          </w:tcPr>
          <w:p w14:paraId="04D51873">
            <w:pPr>
              <w:pStyle w:val="14"/>
            </w:pPr>
          </w:p>
        </w:tc>
        <w:tc>
          <w:tcPr>
            <w:tcW w:w="964" w:type="dxa"/>
            <w:vAlign w:val="center"/>
          </w:tcPr>
          <w:p w14:paraId="24F1E773">
            <w:pPr>
              <w:pStyle w:val="14"/>
            </w:pPr>
            <w:r>
              <w:t>0.19</w:t>
            </w:r>
          </w:p>
        </w:tc>
      </w:tr>
      <w:tr w14:paraId="119F8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B42DFA">
            <w:pPr>
              <w:pStyle w:val="13"/>
            </w:pPr>
            <w:r>
              <w:t>冀财教[2024]123号/中央/2025年义教补助经费/枣驼小学公用经费</w:t>
            </w:r>
          </w:p>
        </w:tc>
        <w:tc>
          <w:tcPr>
            <w:tcW w:w="964" w:type="dxa"/>
            <w:vAlign w:val="center"/>
          </w:tcPr>
          <w:p w14:paraId="4C10EDD4">
            <w:pPr>
              <w:pStyle w:val="14"/>
            </w:pPr>
            <w:r>
              <w:t>12.30</w:t>
            </w:r>
          </w:p>
        </w:tc>
        <w:tc>
          <w:tcPr>
            <w:tcW w:w="1134" w:type="dxa"/>
            <w:vAlign w:val="center"/>
          </w:tcPr>
          <w:p w14:paraId="171161B3">
            <w:pPr>
              <w:pStyle w:val="13"/>
            </w:pPr>
            <w:r>
              <w:t>会议椅</w:t>
            </w:r>
          </w:p>
        </w:tc>
        <w:tc>
          <w:tcPr>
            <w:tcW w:w="1134" w:type="dxa"/>
            <w:vAlign w:val="center"/>
          </w:tcPr>
          <w:p w14:paraId="56623B16">
            <w:pPr>
              <w:pStyle w:val="13"/>
            </w:pPr>
            <w:r>
              <w:t>A05010303</w:t>
            </w:r>
          </w:p>
        </w:tc>
        <w:tc>
          <w:tcPr>
            <w:tcW w:w="709" w:type="dxa"/>
            <w:vAlign w:val="center"/>
          </w:tcPr>
          <w:p w14:paraId="7E0F8BC4">
            <w:pPr>
              <w:pStyle w:val="12"/>
            </w:pPr>
            <w:r>
              <w:t>把</w:t>
            </w:r>
          </w:p>
        </w:tc>
        <w:tc>
          <w:tcPr>
            <w:tcW w:w="850" w:type="dxa"/>
            <w:vAlign w:val="center"/>
          </w:tcPr>
          <w:p w14:paraId="70431C95">
            <w:pPr>
              <w:pStyle w:val="14"/>
            </w:pPr>
            <w:r>
              <w:t>16</w:t>
            </w:r>
          </w:p>
        </w:tc>
        <w:tc>
          <w:tcPr>
            <w:tcW w:w="850" w:type="dxa"/>
            <w:vAlign w:val="center"/>
          </w:tcPr>
          <w:p w14:paraId="08DA89B8">
            <w:pPr>
              <w:pStyle w:val="14"/>
            </w:pPr>
            <w:r>
              <w:t>0.03</w:t>
            </w:r>
          </w:p>
        </w:tc>
        <w:tc>
          <w:tcPr>
            <w:tcW w:w="964" w:type="dxa"/>
            <w:vAlign w:val="center"/>
          </w:tcPr>
          <w:p w14:paraId="4ED47ADB">
            <w:pPr>
              <w:pStyle w:val="14"/>
            </w:pPr>
            <w:r>
              <w:t>0.43</w:t>
            </w:r>
          </w:p>
        </w:tc>
        <w:tc>
          <w:tcPr>
            <w:tcW w:w="964" w:type="dxa"/>
            <w:vAlign w:val="center"/>
          </w:tcPr>
          <w:p w14:paraId="539FA969">
            <w:pPr>
              <w:pStyle w:val="14"/>
            </w:pPr>
            <w:r>
              <w:t>0.43</w:t>
            </w:r>
          </w:p>
        </w:tc>
        <w:tc>
          <w:tcPr>
            <w:tcW w:w="964" w:type="dxa"/>
            <w:vAlign w:val="center"/>
          </w:tcPr>
          <w:p w14:paraId="1A2F1890">
            <w:pPr>
              <w:pStyle w:val="14"/>
            </w:pPr>
          </w:p>
        </w:tc>
        <w:tc>
          <w:tcPr>
            <w:tcW w:w="964" w:type="dxa"/>
            <w:vAlign w:val="center"/>
          </w:tcPr>
          <w:p w14:paraId="02BD95F4">
            <w:pPr>
              <w:pStyle w:val="14"/>
            </w:pPr>
          </w:p>
        </w:tc>
        <w:tc>
          <w:tcPr>
            <w:tcW w:w="964" w:type="dxa"/>
            <w:vAlign w:val="center"/>
          </w:tcPr>
          <w:p w14:paraId="2CE1C8A2">
            <w:pPr>
              <w:pStyle w:val="14"/>
            </w:pPr>
          </w:p>
        </w:tc>
        <w:tc>
          <w:tcPr>
            <w:tcW w:w="964" w:type="dxa"/>
            <w:vAlign w:val="center"/>
          </w:tcPr>
          <w:p w14:paraId="00E80A96">
            <w:pPr>
              <w:pStyle w:val="14"/>
            </w:pPr>
          </w:p>
        </w:tc>
        <w:tc>
          <w:tcPr>
            <w:tcW w:w="964" w:type="dxa"/>
            <w:vAlign w:val="center"/>
          </w:tcPr>
          <w:p w14:paraId="1A32787A">
            <w:pPr>
              <w:pStyle w:val="14"/>
            </w:pPr>
          </w:p>
        </w:tc>
        <w:tc>
          <w:tcPr>
            <w:tcW w:w="964" w:type="dxa"/>
            <w:vAlign w:val="center"/>
          </w:tcPr>
          <w:p w14:paraId="4AB72BDE">
            <w:pPr>
              <w:pStyle w:val="14"/>
            </w:pPr>
            <w:r>
              <w:t>0.43</w:t>
            </w:r>
          </w:p>
        </w:tc>
      </w:tr>
    </w:tbl>
    <w:p w14:paraId="7DB822B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68101C">
      <w:pPr>
        <w:spacing w:before="0" w:after="0"/>
        <w:ind w:firstLine="640"/>
        <w:jc w:val="left"/>
        <w:outlineLvl w:val="9"/>
      </w:pPr>
      <w:r>
        <w:rPr>
          <w:rFonts w:ascii="Times New Roman" w:hAnsi="Times New Roman" w:eastAsia="方正仿宋_GBK" w:cs="Times New Roman"/>
          <w:color w:val="000000"/>
          <w:sz w:val="32"/>
        </w:rPr>
        <w:t xml:space="preserve"> </w:t>
      </w:r>
    </w:p>
    <w:p w14:paraId="46FEBB45">
      <w:pPr>
        <w:spacing w:before="10" w:after="10" w:line="240" w:lineRule="auto"/>
        <w:ind w:firstLine="640"/>
        <w:jc w:val="left"/>
        <w:outlineLvl w:val="5"/>
      </w:pPr>
      <w:r>
        <w:rPr>
          <w:rFonts w:ascii="黑体" w:hAnsi="黑体" w:eastAsia="黑体" w:cs="黑体"/>
          <w:color w:val="000000"/>
          <w:sz w:val="32"/>
        </w:rPr>
        <w:t>七、国有资产信息</w:t>
      </w:r>
    </w:p>
    <w:p w14:paraId="06DD84E4">
      <w:pPr>
        <w:spacing w:before="0" w:after="0" w:line="500" w:lineRule="exact"/>
        <w:ind w:firstLine="560"/>
        <w:jc w:val="left"/>
        <w:outlineLvl w:val="9"/>
      </w:pPr>
      <w:r>
        <w:rPr>
          <w:rFonts w:ascii="Times New Roman" w:hAnsi="Times New Roman" w:eastAsia="方正仿宋_GBK" w:cs="Times New Roman"/>
          <w:b w:val="0"/>
          <w:color w:val="000000"/>
          <w:sz w:val="28"/>
        </w:rPr>
        <w:t>隆尧县千户营校区上年末固定资产金额为2253.82万元（详见下表）。本年度拟购置固定资产总额为25.48万元，已按要求列入政府采购预算，详见政府采购预算表。</w:t>
      </w:r>
    </w:p>
    <w:p w14:paraId="05FA350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70BF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526A75F">
            <w:pPr>
              <w:pStyle w:val="8"/>
            </w:pPr>
            <w:r>
              <w:t>360025隆尧县千户营校区</w:t>
            </w:r>
          </w:p>
        </w:tc>
        <w:tc>
          <w:tcPr>
            <w:tcW w:w="5670" w:type="dxa"/>
            <w:gridSpan w:val="2"/>
            <w:tcBorders>
              <w:top w:val="single" w:color="FFFFFF" w:sz="6" w:space="0"/>
              <w:left w:val="single" w:color="FFFFFF" w:sz="6" w:space="0"/>
              <w:right w:val="single" w:color="FFFFFF" w:sz="6" w:space="0"/>
            </w:tcBorders>
            <w:vAlign w:val="center"/>
          </w:tcPr>
          <w:p w14:paraId="65F84F76">
            <w:pPr>
              <w:pStyle w:val="10"/>
            </w:pPr>
            <w:r>
              <w:t>截止时间：2024-12-31</w:t>
            </w:r>
          </w:p>
        </w:tc>
      </w:tr>
      <w:tr w14:paraId="2B66D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6A3C9C1">
            <w:pPr>
              <w:pStyle w:val="11"/>
            </w:pPr>
            <w:r>
              <w:t>项   目</w:t>
            </w:r>
          </w:p>
        </w:tc>
        <w:tc>
          <w:tcPr>
            <w:tcW w:w="2835" w:type="dxa"/>
            <w:vAlign w:val="center"/>
          </w:tcPr>
          <w:p w14:paraId="617BC0E6">
            <w:pPr>
              <w:pStyle w:val="11"/>
            </w:pPr>
            <w:r>
              <w:t>数量</w:t>
            </w:r>
          </w:p>
        </w:tc>
        <w:tc>
          <w:tcPr>
            <w:tcW w:w="2835" w:type="dxa"/>
            <w:vAlign w:val="center"/>
          </w:tcPr>
          <w:p w14:paraId="58867C6A">
            <w:pPr>
              <w:pStyle w:val="11"/>
            </w:pPr>
            <w:r>
              <w:t>价值（金额单位：万元）</w:t>
            </w:r>
          </w:p>
        </w:tc>
      </w:tr>
      <w:tr w14:paraId="126D4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B7A9E4">
            <w:pPr>
              <w:pStyle w:val="13"/>
            </w:pPr>
            <w:r>
              <w:t>资产总额</w:t>
            </w:r>
          </w:p>
        </w:tc>
        <w:tc>
          <w:tcPr>
            <w:tcW w:w="2835" w:type="dxa"/>
            <w:vAlign w:val="center"/>
          </w:tcPr>
          <w:p w14:paraId="7F55E9D1">
            <w:pPr>
              <w:pStyle w:val="12"/>
            </w:pPr>
          </w:p>
        </w:tc>
        <w:tc>
          <w:tcPr>
            <w:tcW w:w="2835" w:type="dxa"/>
            <w:vAlign w:val="center"/>
          </w:tcPr>
          <w:p w14:paraId="59087FAE">
            <w:pPr>
              <w:pStyle w:val="14"/>
            </w:pPr>
            <w:r>
              <w:t>2253.82</w:t>
            </w:r>
          </w:p>
        </w:tc>
      </w:tr>
      <w:tr w14:paraId="7B650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14:paraId="745C7889">
            <w:pPr>
              <w:pStyle w:val="13"/>
            </w:pPr>
            <w:r>
              <w:t>1、房屋（平方米）</w:t>
            </w:r>
          </w:p>
        </w:tc>
        <w:tc>
          <w:tcPr>
            <w:tcW w:w="2835" w:type="dxa"/>
            <w:vAlign w:val="center"/>
          </w:tcPr>
          <w:p w14:paraId="3C282720">
            <w:pPr>
              <w:pStyle w:val="12"/>
            </w:pPr>
            <w:r>
              <w:t>16098.79</w:t>
            </w:r>
          </w:p>
        </w:tc>
        <w:tc>
          <w:tcPr>
            <w:tcW w:w="2835" w:type="dxa"/>
            <w:vAlign w:val="center"/>
          </w:tcPr>
          <w:p w14:paraId="618E7F8E">
            <w:pPr>
              <w:pStyle w:val="14"/>
            </w:pPr>
            <w:r>
              <w:t>1384.32</w:t>
            </w:r>
          </w:p>
        </w:tc>
      </w:tr>
      <w:tr w14:paraId="1E227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DB77F6">
            <w:pPr>
              <w:pStyle w:val="13"/>
            </w:pPr>
            <w:r>
              <w:t>　　其中：办公用房（平方米）</w:t>
            </w:r>
          </w:p>
        </w:tc>
        <w:tc>
          <w:tcPr>
            <w:tcW w:w="2835" w:type="dxa"/>
            <w:vAlign w:val="center"/>
          </w:tcPr>
          <w:p w14:paraId="72C8A950">
            <w:pPr>
              <w:pStyle w:val="12"/>
            </w:pPr>
            <w:r>
              <w:t>4170.79</w:t>
            </w:r>
          </w:p>
        </w:tc>
        <w:tc>
          <w:tcPr>
            <w:tcW w:w="2835" w:type="dxa"/>
            <w:vAlign w:val="center"/>
          </w:tcPr>
          <w:p w14:paraId="37E68D9D">
            <w:pPr>
              <w:pStyle w:val="14"/>
            </w:pPr>
            <w:r>
              <w:t>346.08</w:t>
            </w:r>
          </w:p>
        </w:tc>
      </w:tr>
      <w:tr w14:paraId="1A48B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82337B">
            <w:pPr>
              <w:pStyle w:val="13"/>
            </w:pPr>
            <w:r>
              <w:t>2、车辆（台、辆）</w:t>
            </w:r>
          </w:p>
        </w:tc>
        <w:tc>
          <w:tcPr>
            <w:tcW w:w="2835" w:type="dxa"/>
            <w:vAlign w:val="center"/>
          </w:tcPr>
          <w:p w14:paraId="724CBCA7">
            <w:pPr>
              <w:pStyle w:val="12"/>
            </w:pPr>
          </w:p>
        </w:tc>
        <w:tc>
          <w:tcPr>
            <w:tcW w:w="2835" w:type="dxa"/>
            <w:vAlign w:val="center"/>
          </w:tcPr>
          <w:p w14:paraId="5CE63C24">
            <w:pPr>
              <w:pStyle w:val="14"/>
            </w:pPr>
          </w:p>
        </w:tc>
      </w:tr>
      <w:tr w14:paraId="158BF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A0C512">
            <w:pPr>
              <w:pStyle w:val="13"/>
            </w:pPr>
            <w:r>
              <w:t>3、单价在20万元以上的设备</w:t>
            </w:r>
          </w:p>
        </w:tc>
        <w:tc>
          <w:tcPr>
            <w:tcW w:w="2835" w:type="dxa"/>
            <w:vAlign w:val="center"/>
          </w:tcPr>
          <w:p w14:paraId="1552E4E7">
            <w:pPr>
              <w:pStyle w:val="12"/>
            </w:pPr>
          </w:p>
        </w:tc>
        <w:tc>
          <w:tcPr>
            <w:tcW w:w="2835" w:type="dxa"/>
            <w:vAlign w:val="center"/>
          </w:tcPr>
          <w:p w14:paraId="35103D33">
            <w:pPr>
              <w:pStyle w:val="14"/>
            </w:pPr>
          </w:p>
        </w:tc>
      </w:tr>
      <w:tr w14:paraId="5B4E4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74FB47">
            <w:pPr>
              <w:pStyle w:val="13"/>
            </w:pPr>
            <w:r>
              <w:t>4、其他固定资产</w:t>
            </w:r>
          </w:p>
        </w:tc>
        <w:tc>
          <w:tcPr>
            <w:tcW w:w="2835" w:type="dxa"/>
            <w:vAlign w:val="center"/>
          </w:tcPr>
          <w:p w14:paraId="1CA27063">
            <w:pPr>
              <w:pStyle w:val="12"/>
            </w:pPr>
            <w:r>
              <w:t>114516</w:t>
            </w:r>
          </w:p>
        </w:tc>
        <w:tc>
          <w:tcPr>
            <w:tcW w:w="2835" w:type="dxa"/>
            <w:vAlign w:val="center"/>
          </w:tcPr>
          <w:p w14:paraId="414A7D0A">
            <w:pPr>
              <w:pStyle w:val="14"/>
            </w:pPr>
            <w:r>
              <w:t>869.50</w:t>
            </w:r>
          </w:p>
        </w:tc>
      </w:tr>
    </w:tbl>
    <w:p w14:paraId="68BC7093">
      <w:pPr>
        <w:spacing w:before="0" w:after="0"/>
        <w:ind w:firstLine="640"/>
        <w:jc w:val="left"/>
        <w:outlineLvl w:val="9"/>
      </w:pPr>
      <w:r>
        <w:rPr>
          <w:rFonts w:ascii="Times New Roman" w:hAnsi="Times New Roman" w:eastAsia="方正仿宋_GBK" w:cs="Times New Roman"/>
          <w:color w:val="000000"/>
          <w:sz w:val="32"/>
        </w:rPr>
        <w:t xml:space="preserve"> </w:t>
      </w:r>
    </w:p>
    <w:p w14:paraId="70539816">
      <w:pPr>
        <w:spacing w:before="10" w:after="10" w:line="240" w:lineRule="auto"/>
        <w:ind w:firstLine="640"/>
        <w:jc w:val="left"/>
        <w:outlineLvl w:val="5"/>
      </w:pPr>
      <w:r>
        <w:rPr>
          <w:rFonts w:ascii="黑体" w:hAnsi="黑体" w:eastAsia="黑体" w:cs="黑体"/>
          <w:color w:val="000000"/>
          <w:sz w:val="32"/>
        </w:rPr>
        <w:t>八、名词解释</w:t>
      </w:r>
    </w:p>
    <w:p w14:paraId="44A48ED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15093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253EB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D6D8B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464F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EF8EAC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9B2A8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884B1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507D3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F9A6D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96B5B8">
      <w:pPr>
        <w:spacing w:before="10" w:after="10" w:line="240" w:lineRule="auto"/>
        <w:ind w:firstLine="640"/>
        <w:jc w:val="left"/>
        <w:outlineLvl w:val="5"/>
      </w:pPr>
      <w:r>
        <w:rPr>
          <w:rFonts w:ascii="黑体" w:hAnsi="黑体" w:eastAsia="黑体" w:cs="黑体"/>
          <w:color w:val="000000"/>
          <w:sz w:val="32"/>
        </w:rPr>
        <w:t>九、其他需要说明的事项</w:t>
      </w:r>
    </w:p>
    <w:p w14:paraId="6EFDED4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2F311E1">
      <w:pPr>
        <w:spacing w:before="0" w:after="0"/>
        <w:ind w:firstLine="0"/>
        <w:jc w:val="center"/>
        <w:outlineLvl w:val="3"/>
      </w:pPr>
      <w:bookmarkStart w:id="25" w:name="_Toc_4_4_0000000045"/>
      <w:r>
        <w:rPr>
          <w:rFonts w:ascii="方正小标宋_GBK" w:hAnsi="方正小标宋_GBK" w:eastAsia="方正小标宋_GBK" w:cs="方正小标宋_GBK"/>
          <w:b w:val="0"/>
          <w:color w:val="000000"/>
          <w:sz w:val="44"/>
        </w:rPr>
        <w:t>二十五、隆尧县牛家桥校区收支预算</w:t>
      </w:r>
      <w:bookmarkEnd w:id="25"/>
    </w:p>
    <w:p w14:paraId="5D648C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E65E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6D3350">
            <w:pPr>
              <w:pStyle w:val="8"/>
            </w:pPr>
            <w:r>
              <w:t>360026隆尧县牛家桥校区</w:t>
            </w:r>
          </w:p>
        </w:tc>
        <w:tc>
          <w:tcPr>
            <w:tcW w:w="2126" w:type="dxa"/>
            <w:tcBorders>
              <w:top w:val="single" w:color="FFFFFF" w:sz="6" w:space="0"/>
              <w:left w:val="single" w:color="FFFFFF" w:sz="6" w:space="0"/>
              <w:right w:val="single" w:color="FFFFFF" w:sz="6" w:space="0"/>
            </w:tcBorders>
            <w:vAlign w:val="center"/>
          </w:tcPr>
          <w:p w14:paraId="54256265">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D65A36A">
            <w:pPr>
              <w:pStyle w:val="10"/>
            </w:pPr>
            <w:r>
              <w:t>单位：万元</w:t>
            </w:r>
          </w:p>
        </w:tc>
      </w:tr>
      <w:tr w14:paraId="4663F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CCAB4">
            <w:pPr>
              <w:pStyle w:val="11"/>
            </w:pPr>
            <w:r>
              <w:t>序号</w:t>
            </w:r>
          </w:p>
        </w:tc>
        <w:tc>
          <w:tcPr>
            <w:tcW w:w="6661" w:type="dxa"/>
            <w:gridSpan w:val="2"/>
            <w:vAlign w:val="center"/>
          </w:tcPr>
          <w:p w14:paraId="332449C1">
            <w:pPr>
              <w:pStyle w:val="11"/>
            </w:pPr>
            <w:r>
              <w:t>收入</w:t>
            </w:r>
          </w:p>
        </w:tc>
        <w:tc>
          <w:tcPr>
            <w:tcW w:w="6661" w:type="dxa"/>
            <w:gridSpan w:val="2"/>
            <w:vAlign w:val="center"/>
          </w:tcPr>
          <w:p w14:paraId="76DC2F02">
            <w:pPr>
              <w:pStyle w:val="11"/>
            </w:pPr>
            <w:r>
              <w:t>支出</w:t>
            </w:r>
          </w:p>
        </w:tc>
      </w:tr>
      <w:tr w14:paraId="6A34C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354EE2E5"/>
        </w:tc>
        <w:tc>
          <w:tcPr>
            <w:tcW w:w="4535" w:type="dxa"/>
            <w:vAlign w:val="center"/>
          </w:tcPr>
          <w:p w14:paraId="7277570B">
            <w:pPr>
              <w:pStyle w:val="11"/>
            </w:pPr>
            <w:r>
              <w:t>项  目</w:t>
            </w:r>
          </w:p>
        </w:tc>
        <w:tc>
          <w:tcPr>
            <w:tcW w:w="2126" w:type="dxa"/>
            <w:vAlign w:val="center"/>
          </w:tcPr>
          <w:p w14:paraId="412FD85D">
            <w:pPr>
              <w:pStyle w:val="11"/>
            </w:pPr>
            <w:r>
              <w:t>预算数</w:t>
            </w:r>
          </w:p>
        </w:tc>
        <w:tc>
          <w:tcPr>
            <w:tcW w:w="4535" w:type="dxa"/>
            <w:vAlign w:val="center"/>
          </w:tcPr>
          <w:p w14:paraId="6957C976">
            <w:pPr>
              <w:pStyle w:val="11"/>
            </w:pPr>
            <w:r>
              <w:t>项  目</w:t>
            </w:r>
          </w:p>
        </w:tc>
        <w:tc>
          <w:tcPr>
            <w:tcW w:w="2126" w:type="dxa"/>
            <w:vAlign w:val="center"/>
          </w:tcPr>
          <w:p w14:paraId="4E4CDF4F">
            <w:pPr>
              <w:pStyle w:val="11"/>
            </w:pPr>
            <w:r>
              <w:t>预算数</w:t>
            </w:r>
          </w:p>
        </w:tc>
      </w:tr>
      <w:tr w14:paraId="1DAD2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5F0E27">
            <w:pPr>
              <w:pStyle w:val="11"/>
            </w:pPr>
            <w:r>
              <w:t>栏次</w:t>
            </w:r>
          </w:p>
        </w:tc>
        <w:tc>
          <w:tcPr>
            <w:tcW w:w="4535" w:type="dxa"/>
            <w:vAlign w:val="center"/>
          </w:tcPr>
          <w:p w14:paraId="6B4944CD">
            <w:pPr>
              <w:pStyle w:val="11"/>
            </w:pPr>
            <w:r>
              <w:t>1</w:t>
            </w:r>
          </w:p>
        </w:tc>
        <w:tc>
          <w:tcPr>
            <w:tcW w:w="2126" w:type="dxa"/>
            <w:vAlign w:val="center"/>
          </w:tcPr>
          <w:p w14:paraId="69889708">
            <w:pPr>
              <w:pStyle w:val="11"/>
            </w:pPr>
            <w:r>
              <w:t>2</w:t>
            </w:r>
          </w:p>
        </w:tc>
        <w:tc>
          <w:tcPr>
            <w:tcW w:w="4535" w:type="dxa"/>
            <w:vAlign w:val="center"/>
          </w:tcPr>
          <w:p w14:paraId="4A5BD5DE">
            <w:pPr>
              <w:pStyle w:val="11"/>
            </w:pPr>
            <w:r>
              <w:t>3</w:t>
            </w:r>
          </w:p>
        </w:tc>
        <w:tc>
          <w:tcPr>
            <w:tcW w:w="2126" w:type="dxa"/>
            <w:vAlign w:val="center"/>
          </w:tcPr>
          <w:p w14:paraId="310BE0E2">
            <w:pPr>
              <w:pStyle w:val="11"/>
            </w:pPr>
            <w:r>
              <w:t>4</w:t>
            </w:r>
          </w:p>
        </w:tc>
      </w:tr>
      <w:tr w14:paraId="7D8CD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F97D3">
            <w:pPr>
              <w:pStyle w:val="12"/>
            </w:pPr>
            <w:r>
              <w:t>1</w:t>
            </w:r>
          </w:p>
        </w:tc>
        <w:tc>
          <w:tcPr>
            <w:tcW w:w="4535" w:type="dxa"/>
            <w:vAlign w:val="center"/>
          </w:tcPr>
          <w:p w14:paraId="412E3143">
            <w:pPr>
              <w:pStyle w:val="13"/>
            </w:pPr>
            <w:r>
              <w:t>一、一般公共预算拨款收入</w:t>
            </w:r>
          </w:p>
        </w:tc>
        <w:tc>
          <w:tcPr>
            <w:tcW w:w="2126" w:type="dxa"/>
            <w:vAlign w:val="center"/>
          </w:tcPr>
          <w:p w14:paraId="1F48CA5A">
            <w:pPr>
              <w:pStyle w:val="14"/>
            </w:pPr>
            <w:r>
              <w:t>2213.39</w:t>
            </w:r>
          </w:p>
        </w:tc>
        <w:tc>
          <w:tcPr>
            <w:tcW w:w="4535" w:type="dxa"/>
            <w:vAlign w:val="center"/>
          </w:tcPr>
          <w:p w14:paraId="02C25941">
            <w:pPr>
              <w:pStyle w:val="13"/>
            </w:pPr>
            <w:r>
              <w:t>一、一般公共服务支出</w:t>
            </w:r>
          </w:p>
        </w:tc>
        <w:tc>
          <w:tcPr>
            <w:tcW w:w="2126" w:type="dxa"/>
            <w:vAlign w:val="center"/>
          </w:tcPr>
          <w:p w14:paraId="2F962938">
            <w:pPr>
              <w:pStyle w:val="14"/>
            </w:pPr>
          </w:p>
        </w:tc>
      </w:tr>
      <w:tr w14:paraId="7720A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5A0E6">
            <w:pPr>
              <w:pStyle w:val="12"/>
            </w:pPr>
            <w:r>
              <w:t>2</w:t>
            </w:r>
          </w:p>
        </w:tc>
        <w:tc>
          <w:tcPr>
            <w:tcW w:w="4535" w:type="dxa"/>
            <w:vAlign w:val="center"/>
          </w:tcPr>
          <w:p w14:paraId="58BB8C25">
            <w:pPr>
              <w:pStyle w:val="13"/>
            </w:pPr>
            <w:r>
              <w:t>二、政府性基金预算拨款收入</w:t>
            </w:r>
          </w:p>
        </w:tc>
        <w:tc>
          <w:tcPr>
            <w:tcW w:w="2126" w:type="dxa"/>
            <w:vAlign w:val="center"/>
          </w:tcPr>
          <w:p w14:paraId="214015B0">
            <w:pPr>
              <w:pStyle w:val="14"/>
            </w:pPr>
          </w:p>
        </w:tc>
        <w:tc>
          <w:tcPr>
            <w:tcW w:w="4535" w:type="dxa"/>
            <w:vAlign w:val="center"/>
          </w:tcPr>
          <w:p w14:paraId="35E30F1B">
            <w:pPr>
              <w:pStyle w:val="13"/>
            </w:pPr>
            <w:r>
              <w:t>二、外交支出</w:t>
            </w:r>
          </w:p>
        </w:tc>
        <w:tc>
          <w:tcPr>
            <w:tcW w:w="2126" w:type="dxa"/>
            <w:vAlign w:val="center"/>
          </w:tcPr>
          <w:p w14:paraId="04AADF28">
            <w:pPr>
              <w:pStyle w:val="14"/>
            </w:pPr>
          </w:p>
        </w:tc>
      </w:tr>
      <w:tr w14:paraId="42D84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BC565">
            <w:pPr>
              <w:pStyle w:val="12"/>
            </w:pPr>
            <w:r>
              <w:t>3</w:t>
            </w:r>
          </w:p>
        </w:tc>
        <w:tc>
          <w:tcPr>
            <w:tcW w:w="4535" w:type="dxa"/>
            <w:vAlign w:val="center"/>
          </w:tcPr>
          <w:p w14:paraId="69F263AB">
            <w:pPr>
              <w:pStyle w:val="13"/>
            </w:pPr>
            <w:r>
              <w:t>三、国有资本经营预算拨款收入</w:t>
            </w:r>
          </w:p>
        </w:tc>
        <w:tc>
          <w:tcPr>
            <w:tcW w:w="2126" w:type="dxa"/>
            <w:vAlign w:val="center"/>
          </w:tcPr>
          <w:p w14:paraId="33372AD1">
            <w:pPr>
              <w:pStyle w:val="14"/>
            </w:pPr>
          </w:p>
        </w:tc>
        <w:tc>
          <w:tcPr>
            <w:tcW w:w="4535" w:type="dxa"/>
            <w:vAlign w:val="center"/>
          </w:tcPr>
          <w:p w14:paraId="160BD543">
            <w:pPr>
              <w:pStyle w:val="13"/>
            </w:pPr>
            <w:r>
              <w:t>三、国防支出</w:t>
            </w:r>
          </w:p>
        </w:tc>
        <w:tc>
          <w:tcPr>
            <w:tcW w:w="2126" w:type="dxa"/>
            <w:vAlign w:val="center"/>
          </w:tcPr>
          <w:p w14:paraId="36A66257">
            <w:pPr>
              <w:pStyle w:val="14"/>
            </w:pPr>
          </w:p>
        </w:tc>
      </w:tr>
      <w:tr w14:paraId="2F44D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14FDF">
            <w:pPr>
              <w:pStyle w:val="12"/>
            </w:pPr>
            <w:r>
              <w:t>4</w:t>
            </w:r>
          </w:p>
        </w:tc>
        <w:tc>
          <w:tcPr>
            <w:tcW w:w="4535" w:type="dxa"/>
            <w:vAlign w:val="center"/>
          </w:tcPr>
          <w:p w14:paraId="1DD56DF5">
            <w:pPr>
              <w:pStyle w:val="13"/>
            </w:pPr>
            <w:r>
              <w:t>四、财政专户管理资金收入</w:t>
            </w:r>
          </w:p>
        </w:tc>
        <w:tc>
          <w:tcPr>
            <w:tcW w:w="2126" w:type="dxa"/>
            <w:vAlign w:val="center"/>
          </w:tcPr>
          <w:p w14:paraId="0EEEB704">
            <w:pPr>
              <w:pStyle w:val="14"/>
            </w:pPr>
          </w:p>
        </w:tc>
        <w:tc>
          <w:tcPr>
            <w:tcW w:w="4535" w:type="dxa"/>
            <w:vAlign w:val="center"/>
          </w:tcPr>
          <w:p w14:paraId="4F4669AB">
            <w:pPr>
              <w:pStyle w:val="13"/>
            </w:pPr>
            <w:r>
              <w:t>四、公共安全支出</w:t>
            </w:r>
          </w:p>
        </w:tc>
        <w:tc>
          <w:tcPr>
            <w:tcW w:w="2126" w:type="dxa"/>
            <w:vAlign w:val="center"/>
          </w:tcPr>
          <w:p w14:paraId="473971BA">
            <w:pPr>
              <w:pStyle w:val="14"/>
            </w:pPr>
          </w:p>
        </w:tc>
      </w:tr>
      <w:tr w14:paraId="4309B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ACE60">
            <w:pPr>
              <w:pStyle w:val="12"/>
            </w:pPr>
            <w:r>
              <w:t>5</w:t>
            </w:r>
          </w:p>
        </w:tc>
        <w:tc>
          <w:tcPr>
            <w:tcW w:w="4535" w:type="dxa"/>
            <w:vAlign w:val="center"/>
          </w:tcPr>
          <w:p w14:paraId="5AF359A6">
            <w:pPr>
              <w:pStyle w:val="13"/>
            </w:pPr>
            <w:r>
              <w:t>五、单位资金</w:t>
            </w:r>
          </w:p>
        </w:tc>
        <w:tc>
          <w:tcPr>
            <w:tcW w:w="2126" w:type="dxa"/>
            <w:vAlign w:val="center"/>
          </w:tcPr>
          <w:p w14:paraId="1F559B2A">
            <w:pPr>
              <w:pStyle w:val="14"/>
            </w:pPr>
          </w:p>
        </w:tc>
        <w:tc>
          <w:tcPr>
            <w:tcW w:w="4535" w:type="dxa"/>
            <w:vAlign w:val="center"/>
          </w:tcPr>
          <w:p w14:paraId="38FEBD77">
            <w:pPr>
              <w:pStyle w:val="13"/>
            </w:pPr>
            <w:r>
              <w:t>五、教育支出</w:t>
            </w:r>
          </w:p>
        </w:tc>
        <w:tc>
          <w:tcPr>
            <w:tcW w:w="2126" w:type="dxa"/>
            <w:vAlign w:val="center"/>
          </w:tcPr>
          <w:p w14:paraId="7AAA842F">
            <w:pPr>
              <w:pStyle w:val="14"/>
            </w:pPr>
            <w:r>
              <w:t>2213.39</w:t>
            </w:r>
          </w:p>
        </w:tc>
      </w:tr>
      <w:tr w14:paraId="7F6C2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434BA">
            <w:pPr>
              <w:pStyle w:val="12"/>
            </w:pPr>
            <w:r>
              <w:t>6</w:t>
            </w:r>
          </w:p>
        </w:tc>
        <w:tc>
          <w:tcPr>
            <w:tcW w:w="4535" w:type="dxa"/>
            <w:vAlign w:val="center"/>
          </w:tcPr>
          <w:p w14:paraId="7F4495CB">
            <w:pPr>
              <w:pStyle w:val="13"/>
            </w:pPr>
          </w:p>
        </w:tc>
        <w:tc>
          <w:tcPr>
            <w:tcW w:w="2126" w:type="dxa"/>
            <w:vAlign w:val="center"/>
          </w:tcPr>
          <w:p w14:paraId="3642403E">
            <w:pPr>
              <w:pStyle w:val="14"/>
            </w:pPr>
          </w:p>
        </w:tc>
        <w:tc>
          <w:tcPr>
            <w:tcW w:w="4535" w:type="dxa"/>
            <w:vAlign w:val="center"/>
          </w:tcPr>
          <w:p w14:paraId="6538E546">
            <w:pPr>
              <w:pStyle w:val="13"/>
            </w:pPr>
            <w:r>
              <w:t>六、科学技术支出</w:t>
            </w:r>
          </w:p>
        </w:tc>
        <w:tc>
          <w:tcPr>
            <w:tcW w:w="2126" w:type="dxa"/>
            <w:vAlign w:val="center"/>
          </w:tcPr>
          <w:p w14:paraId="4A6B3A74">
            <w:pPr>
              <w:pStyle w:val="14"/>
            </w:pPr>
          </w:p>
        </w:tc>
      </w:tr>
      <w:tr w14:paraId="1664D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6FA0A">
            <w:pPr>
              <w:pStyle w:val="12"/>
            </w:pPr>
            <w:r>
              <w:t>7</w:t>
            </w:r>
          </w:p>
        </w:tc>
        <w:tc>
          <w:tcPr>
            <w:tcW w:w="4535" w:type="dxa"/>
            <w:vAlign w:val="center"/>
          </w:tcPr>
          <w:p w14:paraId="64821B49">
            <w:pPr>
              <w:pStyle w:val="13"/>
            </w:pPr>
          </w:p>
        </w:tc>
        <w:tc>
          <w:tcPr>
            <w:tcW w:w="2126" w:type="dxa"/>
            <w:vAlign w:val="center"/>
          </w:tcPr>
          <w:p w14:paraId="0487A05B">
            <w:pPr>
              <w:pStyle w:val="14"/>
            </w:pPr>
          </w:p>
        </w:tc>
        <w:tc>
          <w:tcPr>
            <w:tcW w:w="4535" w:type="dxa"/>
            <w:vAlign w:val="center"/>
          </w:tcPr>
          <w:p w14:paraId="53DE8F01">
            <w:pPr>
              <w:pStyle w:val="13"/>
            </w:pPr>
            <w:r>
              <w:t>七、文化旅游体育与传媒支出</w:t>
            </w:r>
          </w:p>
        </w:tc>
        <w:tc>
          <w:tcPr>
            <w:tcW w:w="2126" w:type="dxa"/>
            <w:vAlign w:val="center"/>
          </w:tcPr>
          <w:p w14:paraId="6E016B3E">
            <w:pPr>
              <w:pStyle w:val="14"/>
            </w:pPr>
          </w:p>
        </w:tc>
      </w:tr>
      <w:tr w14:paraId="1B964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C9675">
            <w:pPr>
              <w:pStyle w:val="12"/>
            </w:pPr>
            <w:r>
              <w:t>8</w:t>
            </w:r>
          </w:p>
        </w:tc>
        <w:tc>
          <w:tcPr>
            <w:tcW w:w="4535" w:type="dxa"/>
            <w:vAlign w:val="center"/>
          </w:tcPr>
          <w:p w14:paraId="0A560BFD">
            <w:pPr>
              <w:pStyle w:val="13"/>
            </w:pPr>
          </w:p>
        </w:tc>
        <w:tc>
          <w:tcPr>
            <w:tcW w:w="2126" w:type="dxa"/>
            <w:vAlign w:val="center"/>
          </w:tcPr>
          <w:p w14:paraId="7F99892B">
            <w:pPr>
              <w:pStyle w:val="14"/>
            </w:pPr>
          </w:p>
        </w:tc>
        <w:tc>
          <w:tcPr>
            <w:tcW w:w="4535" w:type="dxa"/>
            <w:vAlign w:val="center"/>
          </w:tcPr>
          <w:p w14:paraId="11649CBB">
            <w:pPr>
              <w:pStyle w:val="13"/>
            </w:pPr>
            <w:r>
              <w:t>八、社会保障和就业支出</w:t>
            </w:r>
          </w:p>
        </w:tc>
        <w:tc>
          <w:tcPr>
            <w:tcW w:w="2126" w:type="dxa"/>
            <w:vAlign w:val="center"/>
          </w:tcPr>
          <w:p w14:paraId="25CC44DF">
            <w:pPr>
              <w:pStyle w:val="14"/>
            </w:pPr>
          </w:p>
        </w:tc>
      </w:tr>
      <w:tr w14:paraId="7C147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74B4C">
            <w:pPr>
              <w:pStyle w:val="12"/>
            </w:pPr>
            <w:r>
              <w:t>9</w:t>
            </w:r>
          </w:p>
        </w:tc>
        <w:tc>
          <w:tcPr>
            <w:tcW w:w="4535" w:type="dxa"/>
            <w:vAlign w:val="center"/>
          </w:tcPr>
          <w:p w14:paraId="01E50943">
            <w:pPr>
              <w:pStyle w:val="13"/>
            </w:pPr>
          </w:p>
        </w:tc>
        <w:tc>
          <w:tcPr>
            <w:tcW w:w="2126" w:type="dxa"/>
            <w:vAlign w:val="center"/>
          </w:tcPr>
          <w:p w14:paraId="26CC4AE7">
            <w:pPr>
              <w:pStyle w:val="14"/>
            </w:pPr>
          </w:p>
        </w:tc>
        <w:tc>
          <w:tcPr>
            <w:tcW w:w="4535" w:type="dxa"/>
            <w:vAlign w:val="center"/>
          </w:tcPr>
          <w:p w14:paraId="162D5772">
            <w:pPr>
              <w:pStyle w:val="13"/>
            </w:pPr>
            <w:r>
              <w:t>九、社会保险基金支出</w:t>
            </w:r>
          </w:p>
        </w:tc>
        <w:tc>
          <w:tcPr>
            <w:tcW w:w="2126" w:type="dxa"/>
            <w:vAlign w:val="center"/>
          </w:tcPr>
          <w:p w14:paraId="2BF2D599">
            <w:pPr>
              <w:pStyle w:val="14"/>
            </w:pPr>
          </w:p>
        </w:tc>
      </w:tr>
      <w:tr w14:paraId="45CE3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164D1">
            <w:pPr>
              <w:pStyle w:val="12"/>
            </w:pPr>
            <w:r>
              <w:t>10</w:t>
            </w:r>
          </w:p>
        </w:tc>
        <w:tc>
          <w:tcPr>
            <w:tcW w:w="4535" w:type="dxa"/>
            <w:vAlign w:val="center"/>
          </w:tcPr>
          <w:p w14:paraId="14256E77">
            <w:pPr>
              <w:pStyle w:val="13"/>
            </w:pPr>
          </w:p>
        </w:tc>
        <w:tc>
          <w:tcPr>
            <w:tcW w:w="2126" w:type="dxa"/>
            <w:vAlign w:val="center"/>
          </w:tcPr>
          <w:p w14:paraId="4CFFBB6A">
            <w:pPr>
              <w:pStyle w:val="14"/>
            </w:pPr>
          </w:p>
        </w:tc>
        <w:tc>
          <w:tcPr>
            <w:tcW w:w="4535" w:type="dxa"/>
            <w:vAlign w:val="center"/>
          </w:tcPr>
          <w:p w14:paraId="39A00E9D">
            <w:pPr>
              <w:pStyle w:val="13"/>
            </w:pPr>
            <w:r>
              <w:t>十、卫生健康支出</w:t>
            </w:r>
          </w:p>
        </w:tc>
        <w:tc>
          <w:tcPr>
            <w:tcW w:w="2126" w:type="dxa"/>
            <w:vAlign w:val="center"/>
          </w:tcPr>
          <w:p w14:paraId="470E3046">
            <w:pPr>
              <w:pStyle w:val="14"/>
            </w:pPr>
          </w:p>
        </w:tc>
      </w:tr>
      <w:tr w14:paraId="250AE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65BF1">
            <w:pPr>
              <w:pStyle w:val="12"/>
            </w:pPr>
            <w:r>
              <w:t>11</w:t>
            </w:r>
          </w:p>
        </w:tc>
        <w:tc>
          <w:tcPr>
            <w:tcW w:w="4535" w:type="dxa"/>
            <w:vAlign w:val="center"/>
          </w:tcPr>
          <w:p w14:paraId="70333A59">
            <w:pPr>
              <w:pStyle w:val="13"/>
            </w:pPr>
          </w:p>
        </w:tc>
        <w:tc>
          <w:tcPr>
            <w:tcW w:w="2126" w:type="dxa"/>
            <w:vAlign w:val="center"/>
          </w:tcPr>
          <w:p w14:paraId="3DDBCD48">
            <w:pPr>
              <w:pStyle w:val="14"/>
            </w:pPr>
          </w:p>
        </w:tc>
        <w:tc>
          <w:tcPr>
            <w:tcW w:w="4535" w:type="dxa"/>
            <w:vAlign w:val="center"/>
          </w:tcPr>
          <w:p w14:paraId="1420C463">
            <w:pPr>
              <w:pStyle w:val="13"/>
            </w:pPr>
            <w:r>
              <w:t>十一、节能环保支出</w:t>
            </w:r>
          </w:p>
        </w:tc>
        <w:tc>
          <w:tcPr>
            <w:tcW w:w="2126" w:type="dxa"/>
            <w:vAlign w:val="center"/>
          </w:tcPr>
          <w:p w14:paraId="1F8828C4">
            <w:pPr>
              <w:pStyle w:val="14"/>
            </w:pPr>
          </w:p>
        </w:tc>
      </w:tr>
      <w:tr w14:paraId="17E28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08379">
            <w:pPr>
              <w:pStyle w:val="12"/>
            </w:pPr>
            <w:r>
              <w:t>12</w:t>
            </w:r>
          </w:p>
        </w:tc>
        <w:tc>
          <w:tcPr>
            <w:tcW w:w="4535" w:type="dxa"/>
            <w:vAlign w:val="center"/>
          </w:tcPr>
          <w:p w14:paraId="62DC1332">
            <w:pPr>
              <w:pStyle w:val="13"/>
            </w:pPr>
          </w:p>
        </w:tc>
        <w:tc>
          <w:tcPr>
            <w:tcW w:w="2126" w:type="dxa"/>
            <w:vAlign w:val="center"/>
          </w:tcPr>
          <w:p w14:paraId="4F575A38">
            <w:pPr>
              <w:pStyle w:val="14"/>
            </w:pPr>
          </w:p>
        </w:tc>
        <w:tc>
          <w:tcPr>
            <w:tcW w:w="4535" w:type="dxa"/>
            <w:vAlign w:val="center"/>
          </w:tcPr>
          <w:p w14:paraId="7B93AF87">
            <w:pPr>
              <w:pStyle w:val="13"/>
            </w:pPr>
            <w:r>
              <w:t>十二、城乡社区支出</w:t>
            </w:r>
          </w:p>
        </w:tc>
        <w:tc>
          <w:tcPr>
            <w:tcW w:w="2126" w:type="dxa"/>
            <w:vAlign w:val="center"/>
          </w:tcPr>
          <w:p w14:paraId="55A4FF1A">
            <w:pPr>
              <w:pStyle w:val="14"/>
            </w:pPr>
          </w:p>
        </w:tc>
      </w:tr>
      <w:tr w14:paraId="55E71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31AF4">
            <w:pPr>
              <w:pStyle w:val="12"/>
            </w:pPr>
            <w:r>
              <w:t>13</w:t>
            </w:r>
          </w:p>
        </w:tc>
        <w:tc>
          <w:tcPr>
            <w:tcW w:w="4535" w:type="dxa"/>
            <w:vAlign w:val="center"/>
          </w:tcPr>
          <w:p w14:paraId="4ACB50EE">
            <w:pPr>
              <w:pStyle w:val="13"/>
            </w:pPr>
          </w:p>
        </w:tc>
        <w:tc>
          <w:tcPr>
            <w:tcW w:w="2126" w:type="dxa"/>
            <w:vAlign w:val="center"/>
          </w:tcPr>
          <w:p w14:paraId="1E58CC4C">
            <w:pPr>
              <w:pStyle w:val="14"/>
            </w:pPr>
          </w:p>
        </w:tc>
        <w:tc>
          <w:tcPr>
            <w:tcW w:w="4535" w:type="dxa"/>
            <w:vAlign w:val="center"/>
          </w:tcPr>
          <w:p w14:paraId="11928D18">
            <w:pPr>
              <w:pStyle w:val="13"/>
            </w:pPr>
            <w:r>
              <w:t>十三、农林水支出</w:t>
            </w:r>
          </w:p>
        </w:tc>
        <w:tc>
          <w:tcPr>
            <w:tcW w:w="2126" w:type="dxa"/>
            <w:vAlign w:val="center"/>
          </w:tcPr>
          <w:p w14:paraId="4E1C5819">
            <w:pPr>
              <w:pStyle w:val="14"/>
            </w:pPr>
          </w:p>
        </w:tc>
      </w:tr>
      <w:tr w14:paraId="46E9C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53947">
            <w:pPr>
              <w:pStyle w:val="12"/>
            </w:pPr>
            <w:r>
              <w:t>14</w:t>
            </w:r>
          </w:p>
        </w:tc>
        <w:tc>
          <w:tcPr>
            <w:tcW w:w="4535" w:type="dxa"/>
            <w:vAlign w:val="center"/>
          </w:tcPr>
          <w:p w14:paraId="7F15A049">
            <w:pPr>
              <w:pStyle w:val="13"/>
            </w:pPr>
          </w:p>
        </w:tc>
        <w:tc>
          <w:tcPr>
            <w:tcW w:w="2126" w:type="dxa"/>
            <w:vAlign w:val="center"/>
          </w:tcPr>
          <w:p w14:paraId="0FA715B1">
            <w:pPr>
              <w:pStyle w:val="14"/>
            </w:pPr>
          </w:p>
        </w:tc>
        <w:tc>
          <w:tcPr>
            <w:tcW w:w="4535" w:type="dxa"/>
            <w:vAlign w:val="center"/>
          </w:tcPr>
          <w:p w14:paraId="1ACA91D8">
            <w:pPr>
              <w:pStyle w:val="13"/>
            </w:pPr>
            <w:r>
              <w:t>十四、交通运输支出</w:t>
            </w:r>
          </w:p>
        </w:tc>
        <w:tc>
          <w:tcPr>
            <w:tcW w:w="2126" w:type="dxa"/>
            <w:vAlign w:val="center"/>
          </w:tcPr>
          <w:p w14:paraId="3DD16A91">
            <w:pPr>
              <w:pStyle w:val="14"/>
            </w:pPr>
          </w:p>
        </w:tc>
      </w:tr>
      <w:tr w14:paraId="22C82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5A745">
            <w:pPr>
              <w:pStyle w:val="12"/>
            </w:pPr>
            <w:r>
              <w:t>15</w:t>
            </w:r>
          </w:p>
        </w:tc>
        <w:tc>
          <w:tcPr>
            <w:tcW w:w="4535" w:type="dxa"/>
            <w:vAlign w:val="center"/>
          </w:tcPr>
          <w:p w14:paraId="3B0D074E">
            <w:pPr>
              <w:pStyle w:val="13"/>
            </w:pPr>
          </w:p>
        </w:tc>
        <w:tc>
          <w:tcPr>
            <w:tcW w:w="2126" w:type="dxa"/>
            <w:vAlign w:val="center"/>
          </w:tcPr>
          <w:p w14:paraId="63A59C94">
            <w:pPr>
              <w:pStyle w:val="14"/>
            </w:pPr>
          </w:p>
        </w:tc>
        <w:tc>
          <w:tcPr>
            <w:tcW w:w="4535" w:type="dxa"/>
            <w:vAlign w:val="center"/>
          </w:tcPr>
          <w:p w14:paraId="362F8C6E">
            <w:pPr>
              <w:pStyle w:val="13"/>
            </w:pPr>
            <w:r>
              <w:t>十五、资源勘探工业信息等支出</w:t>
            </w:r>
          </w:p>
        </w:tc>
        <w:tc>
          <w:tcPr>
            <w:tcW w:w="2126" w:type="dxa"/>
            <w:vAlign w:val="center"/>
          </w:tcPr>
          <w:p w14:paraId="0767A96F">
            <w:pPr>
              <w:pStyle w:val="14"/>
            </w:pPr>
          </w:p>
        </w:tc>
      </w:tr>
      <w:tr w14:paraId="02535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6ACFC">
            <w:pPr>
              <w:pStyle w:val="12"/>
            </w:pPr>
            <w:r>
              <w:t>16</w:t>
            </w:r>
          </w:p>
        </w:tc>
        <w:tc>
          <w:tcPr>
            <w:tcW w:w="4535" w:type="dxa"/>
            <w:vAlign w:val="center"/>
          </w:tcPr>
          <w:p w14:paraId="22116F8E">
            <w:pPr>
              <w:pStyle w:val="13"/>
            </w:pPr>
          </w:p>
        </w:tc>
        <w:tc>
          <w:tcPr>
            <w:tcW w:w="2126" w:type="dxa"/>
            <w:vAlign w:val="center"/>
          </w:tcPr>
          <w:p w14:paraId="71710FCD">
            <w:pPr>
              <w:pStyle w:val="14"/>
            </w:pPr>
          </w:p>
        </w:tc>
        <w:tc>
          <w:tcPr>
            <w:tcW w:w="4535" w:type="dxa"/>
            <w:vAlign w:val="center"/>
          </w:tcPr>
          <w:p w14:paraId="202E4C3B">
            <w:pPr>
              <w:pStyle w:val="13"/>
            </w:pPr>
            <w:r>
              <w:t>十六、商业服务业等支出</w:t>
            </w:r>
          </w:p>
        </w:tc>
        <w:tc>
          <w:tcPr>
            <w:tcW w:w="2126" w:type="dxa"/>
            <w:vAlign w:val="center"/>
          </w:tcPr>
          <w:p w14:paraId="197553E0">
            <w:pPr>
              <w:pStyle w:val="14"/>
            </w:pPr>
          </w:p>
        </w:tc>
      </w:tr>
      <w:tr w14:paraId="783F5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9EC83">
            <w:pPr>
              <w:pStyle w:val="12"/>
            </w:pPr>
            <w:r>
              <w:t>17</w:t>
            </w:r>
          </w:p>
        </w:tc>
        <w:tc>
          <w:tcPr>
            <w:tcW w:w="4535" w:type="dxa"/>
            <w:vAlign w:val="center"/>
          </w:tcPr>
          <w:p w14:paraId="3D888FA1">
            <w:pPr>
              <w:pStyle w:val="13"/>
            </w:pPr>
          </w:p>
        </w:tc>
        <w:tc>
          <w:tcPr>
            <w:tcW w:w="2126" w:type="dxa"/>
            <w:vAlign w:val="center"/>
          </w:tcPr>
          <w:p w14:paraId="3EFF5C67">
            <w:pPr>
              <w:pStyle w:val="14"/>
            </w:pPr>
          </w:p>
        </w:tc>
        <w:tc>
          <w:tcPr>
            <w:tcW w:w="4535" w:type="dxa"/>
            <w:vAlign w:val="center"/>
          </w:tcPr>
          <w:p w14:paraId="08F3CD3F">
            <w:pPr>
              <w:pStyle w:val="13"/>
            </w:pPr>
            <w:r>
              <w:t>十七、金融支出</w:t>
            </w:r>
          </w:p>
        </w:tc>
        <w:tc>
          <w:tcPr>
            <w:tcW w:w="2126" w:type="dxa"/>
            <w:vAlign w:val="center"/>
          </w:tcPr>
          <w:p w14:paraId="770C92EC">
            <w:pPr>
              <w:pStyle w:val="14"/>
            </w:pPr>
          </w:p>
        </w:tc>
      </w:tr>
      <w:tr w14:paraId="07801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AC06A">
            <w:pPr>
              <w:pStyle w:val="12"/>
            </w:pPr>
            <w:r>
              <w:t>18</w:t>
            </w:r>
          </w:p>
        </w:tc>
        <w:tc>
          <w:tcPr>
            <w:tcW w:w="4535" w:type="dxa"/>
            <w:vAlign w:val="center"/>
          </w:tcPr>
          <w:p w14:paraId="2F1C7958">
            <w:pPr>
              <w:pStyle w:val="13"/>
            </w:pPr>
          </w:p>
        </w:tc>
        <w:tc>
          <w:tcPr>
            <w:tcW w:w="2126" w:type="dxa"/>
            <w:vAlign w:val="center"/>
          </w:tcPr>
          <w:p w14:paraId="1140DB12">
            <w:pPr>
              <w:pStyle w:val="14"/>
            </w:pPr>
          </w:p>
        </w:tc>
        <w:tc>
          <w:tcPr>
            <w:tcW w:w="4535" w:type="dxa"/>
            <w:vAlign w:val="center"/>
          </w:tcPr>
          <w:p w14:paraId="2D7D7DE9">
            <w:pPr>
              <w:pStyle w:val="13"/>
            </w:pPr>
            <w:r>
              <w:t>十八、援助其他地区支出</w:t>
            </w:r>
          </w:p>
        </w:tc>
        <w:tc>
          <w:tcPr>
            <w:tcW w:w="2126" w:type="dxa"/>
            <w:vAlign w:val="center"/>
          </w:tcPr>
          <w:p w14:paraId="65929253">
            <w:pPr>
              <w:pStyle w:val="14"/>
            </w:pPr>
          </w:p>
        </w:tc>
      </w:tr>
      <w:tr w14:paraId="4F70C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3753F">
            <w:pPr>
              <w:pStyle w:val="12"/>
            </w:pPr>
            <w:r>
              <w:t>19</w:t>
            </w:r>
          </w:p>
        </w:tc>
        <w:tc>
          <w:tcPr>
            <w:tcW w:w="4535" w:type="dxa"/>
            <w:vAlign w:val="center"/>
          </w:tcPr>
          <w:p w14:paraId="3F00ADF8">
            <w:pPr>
              <w:pStyle w:val="13"/>
            </w:pPr>
          </w:p>
        </w:tc>
        <w:tc>
          <w:tcPr>
            <w:tcW w:w="2126" w:type="dxa"/>
            <w:vAlign w:val="center"/>
          </w:tcPr>
          <w:p w14:paraId="53B371D4">
            <w:pPr>
              <w:pStyle w:val="14"/>
            </w:pPr>
          </w:p>
        </w:tc>
        <w:tc>
          <w:tcPr>
            <w:tcW w:w="4535" w:type="dxa"/>
            <w:vAlign w:val="center"/>
          </w:tcPr>
          <w:p w14:paraId="46684C9C">
            <w:pPr>
              <w:pStyle w:val="13"/>
            </w:pPr>
            <w:r>
              <w:t>十九、自然资源海洋气象等支出</w:t>
            </w:r>
          </w:p>
        </w:tc>
        <w:tc>
          <w:tcPr>
            <w:tcW w:w="2126" w:type="dxa"/>
            <w:vAlign w:val="center"/>
          </w:tcPr>
          <w:p w14:paraId="101010BB">
            <w:pPr>
              <w:pStyle w:val="14"/>
            </w:pPr>
          </w:p>
        </w:tc>
      </w:tr>
      <w:tr w14:paraId="46482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34295">
            <w:pPr>
              <w:pStyle w:val="12"/>
            </w:pPr>
            <w:r>
              <w:t>20</w:t>
            </w:r>
          </w:p>
        </w:tc>
        <w:tc>
          <w:tcPr>
            <w:tcW w:w="4535" w:type="dxa"/>
            <w:vAlign w:val="center"/>
          </w:tcPr>
          <w:p w14:paraId="3438CC6E">
            <w:pPr>
              <w:pStyle w:val="13"/>
            </w:pPr>
          </w:p>
        </w:tc>
        <w:tc>
          <w:tcPr>
            <w:tcW w:w="2126" w:type="dxa"/>
            <w:vAlign w:val="center"/>
          </w:tcPr>
          <w:p w14:paraId="78CB26C0">
            <w:pPr>
              <w:pStyle w:val="14"/>
            </w:pPr>
          </w:p>
        </w:tc>
        <w:tc>
          <w:tcPr>
            <w:tcW w:w="4535" w:type="dxa"/>
            <w:vAlign w:val="center"/>
          </w:tcPr>
          <w:p w14:paraId="5943582A">
            <w:pPr>
              <w:pStyle w:val="13"/>
            </w:pPr>
            <w:r>
              <w:t>二十、住房保障支出</w:t>
            </w:r>
          </w:p>
        </w:tc>
        <w:tc>
          <w:tcPr>
            <w:tcW w:w="2126" w:type="dxa"/>
            <w:vAlign w:val="center"/>
          </w:tcPr>
          <w:p w14:paraId="621D81C0">
            <w:pPr>
              <w:pStyle w:val="14"/>
            </w:pPr>
          </w:p>
        </w:tc>
      </w:tr>
      <w:tr w14:paraId="44C36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8408E">
            <w:pPr>
              <w:pStyle w:val="12"/>
            </w:pPr>
            <w:r>
              <w:t>21</w:t>
            </w:r>
          </w:p>
        </w:tc>
        <w:tc>
          <w:tcPr>
            <w:tcW w:w="4535" w:type="dxa"/>
            <w:vAlign w:val="center"/>
          </w:tcPr>
          <w:p w14:paraId="394719EF">
            <w:pPr>
              <w:pStyle w:val="13"/>
            </w:pPr>
          </w:p>
        </w:tc>
        <w:tc>
          <w:tcPr>
            <w:tcW w:w="2126" w:type="dxa"/>
            <w:vAlign w:val="center"/>
          </w:tcPr>
          <w:p w14:paraId="4DE12D4C">
            <w:pPr>
              <w:pStyle w:val="14"/>
            </w:pPr>
          </w:p>
        </w:tc>
        <w:tc>
          <w:tcPr>
            <w:tcW w:w="4535" w:type="dxa"/>
            <w:vAlign w:val="center"/>
          </w:tcPr>
          <w:p w14:paraId="3CE040CC">
            <w:pPr>
              <w:pStyle w:val="13"/>
            </w:pPr>
            <w:r>
              <w:t>二十一、粮油物资储备支出</w:t>
            </w:r>
          </w:p>
        </w:tc>
        <w:tc>
          <w:tcPr>
            <w:tcW w:w="2126" w:type="dxa"/>
            <w:vAlign w:val="center"/>
          </w:tcPr>
          <w:p w14:paraId="55EF81B6">
            <w:pPr>
              <w:pStyle w:val="14"/>
            </w:pPr>
          </w:p>
        </w:tc>
      </w:tr>
      <w:tr w14:paraId="160BE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707E8">
            <w:pPr>
              <w:pStyle w:val="12"/>
            </w:pPr>
            <w:r>
              <w:t>22</w:t>
            </w:r>
          </w:p>
        </w:tc>
        <w:tc>
          <w:tcPr>
            <w:tcW w:w="4535" w:type="dxa"/>
            <w:vAlign w:val="center"/>
          </w:tcPr>
          <w:p w14:paraId="6D97B519">
            <w:pPr>
              <w:pStyle w:val="13"/>
            </w:pPr>
          </w:p>
        </w:tc>
        <w:tc>
          <w:tcPr>
            <w:tcW w:w="2126" w:type="dxa"/>
            <w:vAlign w:val="center"/>
          </w:tcPr>
          <w:p w14:paraId="15DA6DB3">
            <w:pPr>
              <w:pStyle w:val="14"/>
            </w:pPr>
          </w:p>
        </w:tc>
        <w:tc>
          <w:tcPr>
            <w:tcW w:w="4535" w:type="dxa"/>
            <w:vAlign w:val="center"/>
          </w:tcPr>
          <w:p w14:paraId="3ADAC155">
            <w:pPr>
              <w:pStyle w:val="13"/>
            </w:pPr>
            <w:r>
              <w:t>二十二、国有资本经营预算支出</w:t>
            </w:r>
          </w:p>
        </w:tc>
        <w:tc>
          <w:tcPr>
            <w:tcW w:w="2126" w:type="dxa"/>
            <w:vAlign w:val="center"/>
          </w:tcPr>
          <w:p w14:paraId="011EC4E2">
            <w:pPr>
              <w:pStyle w:val="14"/>
            </w:pPr>
          </w:p>
        </w:tc>
      </w:tr>
      <w:tr w14:paraId="21FA5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2214C">
            <w:pPr>
              <w:pStyle w:val="12"/>
            </w:pPr>
            <w:r>
              <w:t>23</w:t>
            </w:r>
          </w:p>
        </w:tc>
        <w:tc>
          <w:tcPr>
            <w:tcW w:w="4535" w:type="dxa"/>
            <w:vAlign w:val="center"/>
          </w:tcPr>
          <w:p w14:paraId="4949EEA8">
            <w:pPr>
              <w:pStyle w:val="13"/>
            </w:pPr>
          </w:p>
        </w:tc>
        <w:tc>
          <w:tcPr>
            <w:tcW w:w="2126" w:type="dxa"/>
            <w:vAlign w:val="center"/>
          </w:tcPr>
          <w:p w14:paraId="1B1227D4">
            <w:pPr>
              <w:pStyle w:val="14"/>
            </w:pPr>
          </w:p>
        </w:tc>
        <w:tc>
          <w:tcPr>
            <w:tcW w:w="4535" w:type="dxa"/>
            <w:vAlign w:val="center"/>
          </w:tcPr>
          <w:p w14:paraId="2D0EEAEE">
            <w:pPr>
              <w:pStyle w:val="13"/>
            </w:pPr>
            <w:r>
              <w:t>二十三、灾害防治及应急管理支出</w:t>
            </w:r>
          </w:p>
        </w:tc>
        <w:tc>
          <w:tcPr>
            <w:tcW w:w="2126" w:type="dxa"/>
            <w:vAlign w:val="center"/>
          </w:tcPr>
          <w:p w14:paraId="4F3F0B2F">
            <w:pPr>
              <w:pStyle w:val="14"/>
            </w:pPr>
          </w:p>
        </w:tc>
      </w:tr>
      <w:tr w14:paraId="32140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32CB2">
            <w:pPr>
              <w:pStyle w:val="12"/>
            </w:pPr>
            <w:r>
              <w:t>24</w:t>
            </w:r>
          </w:p>
        </w:tc>
        <w:tc>
          <w:tcPr>
            <w:tcW w:w="4535" w:type="dxa"/>
            <w:vAlign w:val="center"/>
          </w:tcPr>
          <w:p w14:paraId="5CA83CED">
            <w:pPr>
              <w:pStyle w:val="13"/>
            </w:pPr>
          </w:p>
        </w:tc>
        <w:tc>
          <w:tcPr>
            <w:tcW w:w="2126" w:type="dxa"/>
            <w:vAlign w:val="center"/>
          </w:tcPr>
          <w:p w14:paraId="24CDF128">
            <w:pPr>
              <w:pStyle w:val="14"/>
            </w:pPr>
          </w:p>
        </w:tc>
        <w:tc>
          <w:tcPr>
            <w:tcW w:w="4535" w:type="dxa"/>
            <w:vAlign w:val="center"/>
          </w:tcPr>
          <w:p w14:paraId="5B611EE3">
            <w:pPr>
              <w:pStyle w:val="13"/>
            </w:pPr>
            <w:r>
              <w:t>二十四、预备费</w:t>
            </w:r>
          </w:p>
        </w:tc>
        <w:tc>
          <w:tcPr>
            <w:tcW w:w="2126" w:type="dxa"/>
            <w:vAlign w:val="center"/>
          </w:tcPr>
          <w:p w14:paraId="28E98063">
            <w:pPr>
              <w:pStyle w:val="14"/>
            </w:pPr>
          </w:p>
        </w:tc>
      </w:tr>
      <w:tr w14:paraId="2857E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3BF27">
            <w:pPr>
              <w:pStyle w:val="12"/>
            </w:pPr>
            <w:r>
              <w:t>25</w:t>
            </w:r>
          </w:p>
        </w:tc>
        <w:tc>
          <w:tcPr>
            <w:tcW w:w="4535" w:type="dxa"/>
            <w:vAlign w:val="center"/>
          </w:tcPr>
          <w:p w14:paraId="773E138B">
            <w:pPr>
              <w:pStyle w:val="13"/>
            </w:pPr>
          </w:p>
        </w:tc>
        <w:tc>
          <w:tcPr>
            <w:tcW w:w="2126" w:type="dxa"/>
            <w:vAlign w:val="center"/>
          </w:tcPr>
          <w:p w14:paraId="2248FC30">
            <w:pPr>
              <w:pStyle w:val="14"/>
            </w:pPr>
          </w:p>
        </w:tc>
        <w:tc>
          <w:tcPr>
            <w:tcW w:w="4535" w:type="dxa"/>
            <w:vAlign w:val="center"/>
          </w:tcPr>
          <w:p w14:paraId="65DA9A96">
            <w:pPr>
              <w:pStyle w:val="13"/>
            </w:pPr>
            <w:r>
              <w:t>二十五、其他支出</w:t>
            </w:r>
          </w:p>
        </w:tc>
        <w:tc>
          <w:tcPr>
            <w:tcW w:w="2126" w:type="dxa"/>
            <w:vAlign w:val="center"/>
          </w:tcPr>
          <w:p w14:paraId="032B9862">
            <w:pPr>
              <w:pStyle w:val="14"/>
            </w:pPr>
          </w:p>
        </w:tc>
      </w:tr>
      <w:tr w14:paraId="33AAB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DD1B7">
            <w:pPr>
              <w:pStyle w:val="12"/>
            </w:pPr>
            <w:r>
              <w:t>26</w:t>
            </w:r>
          </w:p>
        </w:tc>
        <w:tc>
          <w:tcPr>
            <w:tcW w:w="4535" w:type="dxa"/>
            <w:vAlign w:val="center"/>
          </w:tcPr>
          <w:p w14:paraId="64B63632">
            <w:pPr>
              <w:pStyle w:val="13"/>
            </w:pPr>
          </w:p>
        </w:tc>
        <w:tc>
          <w:tcPr>
            <w:tcW w:w="2126" w:type="dxa"/>
            <w:vAlign w:val="center"/>
          </w:tcPr>
          <w:p w14:paraId="0DB89992">
            <w:pPr>
              <w:pStyle w:val="14"/>
            </w:pPr>
          </w:p>
        </w:tc>
        <w:tc>
          <w:tcPr>
            <w:tcW w:w="4535" w:type="dxa"/>
            <w:vAlign w:val="center"/>
          </w:tcPr>
          <w:p w14:paraId="3DD49DB7">
            <w:pPr>
              <w:pStyle w:val="13"/>
            </w:pPr>
            <w:r>
              <w:t>二十六、转移性支出</w:t>
            </w:r>
          </w:p>
        </w:tc>
        <w:tc>
          <w:tcPr>
            <w:tcW w:w="2126" w:type="dxa"/>
            <w:vAlign w:val="center"/>
          </w:tcPr>
          <w:p w14:paraId="30740DD2">
            <w:pPr>
              <w:pStyle w:val="14"/>
            </w:pPr>
          </w:p>
        </w:tc>
      </w:tr>
      <w:tr w14:paraId="7CF78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D3B14">
            <w:pPr>
              <w:pStyle w:val="12"/>
            </w:pPr>
            <w:r>
              <w:t>27</w:t>
            </w:r>
          </w:p>
        </w:tc>
        <w:tc>
          <w:tcPr>
            <w:tcW w:w="4535" w:type="dxa"/>
            <w:vAlign w:val="center"/>
          </w:tcPr>
          <w:p w14:paraId="62D1DD42">
            <w:pPr>
              <w:pStyle w:val="13"/>
            </w:pPr>
          </w:p>
        </w:tc>
        <w:tc>
          <w:tcPr>
            <w:tcW w:w="2126" w:type="dxa"/>
            <w:vAlign w:val="center"/>
          </w:tcPr>
          <w:p w14:paraId="18ABF30A">
            <w:pPr>
              <w:pStyle w:val="14"/>
            </w:pPr>
          </w:p>
        </w:tc>
        <w:tc>
          <w:tcPr>
            <w:tcW w:w="4535" w:type="dxa"/>
            <w:vAlign w:val="center"/>
          </w:tcPr>
          <w:p w14:paraId="51DCAB7D">
            <w:pPr>
              <w:pStyle w:val="13"/>
            </w:pPr>
            <w:r>
              <w:t>二十七、债务还本支出</w:t>
            </w:r>
          </w:p>
        </w:tc>
        <w:tc>
          <w:tcPr>
            <w:tcW w:w="2126" w:type="dxa"/>
            <w:vAlign w:val="center"/>
          </w:tcPr>
          <w:p w14:paraId="348F544F">
            <w:pPr>
              <w:pStyle w:val="14"/>
            </w:pPr>
          </w:p>
        </w:tc>
      </w:tr>
      <w:tr w14:paraId="418BA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267BA">
            <w:pPr>
              <w:pStyle w:val="12"/>
            </w:pPr>
            <w:r>
              <w:t>28</w:t>
            </w:r>
          </w:p>
        </w:tc>
        <w:tc>
          <w:tcPr>
            <w:tcW w:w="4535" w:type="dxa"/>
            <w:vAlign w:val="center"/>
          </w:tcPr>
          <w:p w14:paraId="1E0ED096">
            <w:pPr>
              <w:pStyle w:val="13"/>
            </w:pPr>
          </w:p>
        </w:tc>
        <w:tc>
          <w:tcPr>
            <w:tcW w:w="2126" w:type="dxa"/>
            <w:vAlign w:val="center"/>
          </w:tcPr>
          <w:p w14:paraId="54D3A039">
            <w:pPr>
              <w:pStyle w:val="14"/>
            </w:pPr>
          </w:p>
        </w:tc>
        <w:tc>
          <w:tcPr>
            <w:tcW w:w="4535" w:type="dxa"/>
            <w:vAlign w:val="center"/>
          </w:tcPr>
          <w:p w14:paraId="4F480A46">
            <w:pPr>
              <w:pStyle w:val="13"/>
            </w:pPr>
            <w:r>
              <w:t>二十八、债务付息支出</w:t>
            </w:r>
          </w:p>
        </w:tc>
        <w:tc>
          <w:tcPr>
            <w:tcW w:w="2126" w:type="dxa"/>
            <w:vAlign w:val="center"/>
          </w:tcPr>
          <w:p w14:paraId="6097C32F">
            <w:pPr>
              <w:pStyle w:val="14"/>
            </w:pPr>
          </w:p>
        </w:tc>
      </w:tr>
      <w:tr w14:paraId="03880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05071">
            <w:pPr>
              <w:pStyle w:val="12"/>
            </w:pPr>
            <w:r>
              <w:t>29</w:t>
            </w:r>
          </w:p>
        </w:tc>
        <w:tc>
          <w:tcPr>
            <w:tcW w:w="4535" w:type="dxa"/>
            <w:vAlign w:val="center"/>
          </w:tcPr>
          <w:p w14:paraId="32980CD4">
            <w:pPr>
              <w:pStyle w:val="13"/>
            </w:pPr>
          </w:p>
        </w:tc>
        <w:tc>
          <w:tcPr>
            <w:tcW w:w="2126" w:type="dxa"/>
            <w:vAlign w:val="center"/>
          </w:tcPr>
          <w:p w14:paraId="083711FD">
            <w:pPr>
              <w:pStyle w:val="14"/>
            </w:pPr>
          </w:p>
        </w:tc>
        <w:tc>
          <w:tcPr>
            <w:tcW w:w="4535" w:type="dxa"/>
            <w:vAlign w:val="center"/>
          </w:tcPr>
          <w:p w14:paraId="4D10D081">
            <w:pPr>
              <w:pStyle w:val="13"/>
            </w:pPr>
            <w:r>
              <w:t>二十九、债务发行费用支出</w:t>
            </w:r>
          </w:p>
        </w:tc>
        <w:tc>
          <w:tcPr>
            <w:tcW w:w="2126" w:type="dxa"/>
            <w:vAlign w:val="center"/>
          </w:tcPr>
          <w:p w14:paraId="00E358C5">
            <w:pPr>
              <w:pStyle w:val="14"/>
            </w:pPr>
          </w:p>
        </w:tc>
      </w:tr>
      <w:tr w14:paraId="235BF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A045B">
            <w:pPr>
              <w:pStyle w:val="12"/>
            </w:pPr>
            <w:r>
              <w:t>30</w:t>
            </w:r>
          </w:p>
        </w:tc>
        <w:tc>
          <w:tcPr>
            <w:tcW w:w="4535" w:type="dxa"/>
            <w:vAlign w:val="center"/>
          </w:tcPr>
          <w:p w14:paraId="0DA1E225">
            <w:pPr>
              <w:pStyle w:val="13"/>
            </w:pPr>
          </w:p>
        </w:tc>
        <w:tc>
          <w:tcPr>
            <w:tcW w:w="2126" w:type="dxa"/>
            <w:vAlign w:val="center"/>
          </w:tcPr>
          <w:p w14:paraId="105EA456">
            <w:pPr>
              <w:pStyle w:val="14"/>
            </w:pPr>
          </w:p>
        </w:tc>
        <w:tc>
          <w:tcPr>
            <w:tcW w:w="4535" w:type="dxa"/>
            <w:vAlign w:val="center"/>
          </w:tcPr>
          <w:p w14:paraId="658278A2">
            <w:pPr>
              <w:pStyle w:val="13"/>
            </w:pPr>
            <w:r>
              <w:t>三十、抗疫特别国债安排的支出</w:t>
            </w:r>
          </w:p>
        </w:tc>
        <w:tc>
          <w:tcPr>
            <w:tcW w:w="2126" w:type="dxa"/>
            <w:vAlign w:val="center"/>
          </w:tcPr>
          <w:p w14:paraId="118C5C9A">
            <w:pPr>
              <w:pStyle w:val="14"/>
            </w:pPr>
          </w:p>
        </w:tc>
      </w:tr>
      <w:tr w14:paraId="0CAEB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47FA8">
            <w:pPr>
              <w:pStyle w:val="12"/>
            </w:pPr>
            <w:r>
              <w:t>31</w:t>
            </w:r>
          </w:p>
        </w:tc>
        <w:tc>
          <w:tcPr>
            <w:tcW w:w="4535" w:type="dxa"/>
            <w:vAlign w:val="center"/>
          </w:tcPr>
          <w:p w14:paraId="78EE75A2">
            <w:pPr>
              <w:pStyle w:val="13"/>
            </w:pPr>
          </w:p>
        </w:tc>
        <w:tc>
          <w:tcPr>
            <w:tcW w:w="2126" w:type="dxa"/>
            <w:vAlign w:val="center"/>
          </w:tcPr>
          <w:p w14:paraId="058BBA26">
            <w:pPr>
              <w:pStyle w:val="14"/>
            </w:pPr>
          </w:p>
        </w:tc>
        <w:tc>
          <w:tcPr>
            <w:tcW w:w="4535" w:type="dxa"/>
            <w:vAlign w:val="center"/>
          </w:tcPr>
          <w:p w14:paraId="560CA210">
            <w:pPr>
              <w:pStyle w:val="13"/>
            </w:pPr>
            <w:r>
              <w:t>三十一、人行科目</w:t>
            </w:r>
          </w:p>
        </w:tc>
        <w:tc>
          <w:tcPr>
            <w:tcW w:w="2126" w:type="dxa"/>
            <w:vAlign w:val="center"/>
          </w:tcPr>
          <w:p w14:paraId="0086F2DB">
            <w:pPr>
              <w:pStyle w:val="14"/>
            </w:pPr>
          </w:p>
        </w:tc>
      </w:tr>
      <w:tr w14:paraId="70765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8EDA7">
            <w:pPr>
              <w:pStyle w:val="12"/>
            </w:pPr>
            <w:r>
              <w:t>32</w:t>
            </w:r>
          </w:p>
        </w:tc>
        <w:tc>
          <w:tcPr>
            <w:tcW w:w="4535" w:type="dxa"/>
            <w:vAlign w:val="center"/>
          </w:tcPr>
          <w:p w14:paraId="186F5FB4">
            <w:pPr>
              <w:pStyle w:val="15"/>
            </w:pPr>
            <w:r>
              <w:t>本年收入合计</w:t>
            </w:r>
          </w:p>
        </w:tc>
        <w:tc>
          <w:tcPr>
            <w:tcW w:w="2126" w:type="dxa"/>
            <w:vAlign w:val="center"/>
          </w:tcPr>
          <w:p w14:paraId="329EB68B">
            <w:pPr>
              <w:pStyle w:val="16"/>
            </w:pPr>
            <w:r>
              <w:t>2213.39</w:t>
            </w:r>
          </w:p>
        </w:tc>
        <w:tc>
          <w:tcPr>
            <w:tcW w:w="4535" w:type="dxa"/>
            <w:vAlign w:val="center"/>
          </w:tcPr>
          <w:p w14:paraId="6D312183">
            <w:pPr>
              <w:pStyle w:val="15"/>
            </w:pPr>
            <w:r>
              <w:t>本年支出合计</w:t>
            </w:r>
          </w:p>
        </w:tc>
        <w:tc>
          <w:tcPr>
            <w:tcW w:w="2126" w:type="dxa"/>
            <w:vAlign w:val="center"/>
          </w:tcPr>
          <w:p w14:paraId="38FDE0C0">
            <w:pPr>
              <w:pStyle w:val="16"/>
            </w:pPr>
            <w:r>
              <w:t>2213.39</w:t>
            </w:r>
          </w:p>
        </w:tc>
      </w:tr>
      <w:tr w14:paraId="0DFCA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11AF0">
            <w:pPr>
              <w:pStyle w:val="12"/>
            </w:pPr>
            <w:r>
              <w:t>33</w:t>
            </w:r>
          </w:p>
        </w:tc>
        <w:tc>
          <w:tcPr>
            <w:tcW w:w="4535" w:type="dxa"/>
            <w:vAlign w:val="center"/>
          </w:tcPr>
          <w:p w14:paraId="07225C63">
            <w:pPr>
              <w:pStyle w:val="13"/>
            </w:pPr>
            <w:r>
              <w:t>上年结转结余</w:t>
            </w:r>
          </w:p>
        </w:tc>
        <w:tc>
          <w:tcPr>
            <w:tcW w:w="2126" w:type="dxa"/>
            <w:vAlign w:val="center"/>
          </w:tcPr>
          <w:p w14:paraId="31E0F48C">
            <w:pPr>
              <w:pStyle w:val="14"/>
            </w:pPr>
          </w:p>
        </w:tc>
        <w:tc>
          <w:tcPr>
            <w:tcW w:w="4535" w:type="dxa"/>
            <w:vAlign w:val="center"/>
          </w:tcPr>
          <w:p w14:paraId="1B4BA750">
            <w:pPr>
              <w:pStyle w:val="13"/>
            </w:pPr>
            <w:r>
              <w:t>年终结转结余</w:t>
            </w:r>
          </w:p>
        </w:tc>
        <w:tc>
          <w:tcPr>
            <w:tcW w:w="2126" w:type="dxa"/>
            <w:vAlign w:val="center"/>
          </w:tcPr>
          <w:p w14:paraId="70D8AC75">
            <w:pPr>
              <w:pStyle w:val="14"/>
            </w:pPr>
          </w:p>
        </w:tc>
      </w:tr>
      <w:tr w14:paraId="796FD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5B615">
            <w:pPr>
              <w:pStyle w:val="12"/>
            </w:pPr>
            <w:r>
              <w:t>34</w:t>
            </w:r>
          </w:p>
        </w:tc>
        <w:tc>
          <w:tcPr>
            <w:tcW w:w="4535" w:type="dxa"/>
            <w:vAlign w:val="center"/>
          </w:tcPr>
          <w:p w14:paraId="6A8E51BC">
            <w:pPr>
              <w:pStyle w:val="15"/>
            </w:pPr>
            <w:r>
              <w:t>收入总计</w:t>
            </w:r>
          </w:p>
        </w:tc>
        <w:tc>
          <w:tcPr>
            <w:tcW w:w="2126" w:type="dxa"/>
            <w:vAlign w:val="center"/>
          </w:tcPr>
          <w:p w14:paraId="4A577A2F">
            <w:pPr>
              <w:pStyle w:val="16"/>
            </w:pPr>
            <w:r>
              <w:t>2213.39</w:t>
            </w:r>
          </w:p>
        </w:tc>
        <w:tc>
          <w:tcPr>
            <w:tcW w:w="4535" w:type="dxa"/>
            <w:vAlign w:val="center"/>
          </w:tcPr>
          <w:p w14:paraId="11CA9554">
            <w:pPr>
              <w:pStyle w:val="15"/>
            </w:pPr>
            <w:r>
              <w:t>支出总计</w:t>
            </w:r>
          </w:p>
        </w:tc>
        <w:tc>
          <w:tcPr>
            <w:tcW w:w="2126" w:type="dxa"/>
            <w:vAlign w:val="center"/>
          </w:tcPr>
          <w:p w14:paraId="702263CC">
            <w:pPr>
              <w:pStyle w:val="16"/>
            </w:pPr>
            <w:r>
              <w:t>2213.39</w:t>
            </w:r>
          </w:p>
        </w:tc>
      </w:tr>
    </w:tbl>
    <w:p w14:paraId="446614EE">
      <w:pPr>
        <w:sectPr>
          <w:pgSz w:w="16840" w:h="11900" w:orient="landscape"/>
          <w:pgMar w:top="1361" w:right="1020" w:bottom="1134" w:left="1020" w:header="720" w:footer="720" w:gutter="0"/>
          <w:cols w:space="720" w:num="1"/>
        </w:sectPr>
      </w:pPr>
    </w:p>
    <w:p w14:paraId="2D7CD0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864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B4C99A2">
            <w:pPr>
              <w:pStyle w:val="8"/>
            </w:pPr>
            <w:r>
              <w:t>360026隆尧县牛家桥校区</w:t>
            </w:r>
          </w:p>
        </w:tc>
        <w:tc>
          <w:tcPr>
            <w:tcW w:w="3402" w:type="dxa"/>
            <w:gridSpan w:val="3"/>
            <w:tcBorders>
              <w:top w:val="single" w:color="FFFFFF" w:sz="6" w:space="0"/>
              <w:left w:val="single" w:color="FFFFFF" w:sz="6" w:space="0"/>
              <w:right w:val="single" w:color="FFFFFF" w:sz="6" w:space="0"/>
            </w:tcBorders>
            <w:vAlign w:val="center"/>
          </w:tcPr>
          <w:p w14:paraId="34C507E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E5F87AA">
            <w:pPr>
              <w:pStyle w:val="10"/>
            </w:pPr>
            <w:r>
              <w:t>单位：万元</w:t>
            </w:r>
          </w:p>
        </w:tc>
      </w:tr>
      <w:tr w14:paraId="5333B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0394D9">
            <w:pPr>
              <w:pStyle w:val="11"/>
            </w:pPr>
            <w:r>
              <w:t>序号</w:t>
            </w:r>
          </w:p>
        </w:tc>
        <w:tc>
          <w:tcPr>
            <w:tcW w:w="2551" w:type="dxa"/>
            <w:gridSpan w:val="2"/>
            <w:vAlign w:val="center"/>
          </w:tcPr>
          <w:p w14:paraId="56D02052">
            <w:pPr>
              <w:pStyle w:val="11"/>
            </w:pPr>
            <w:r>
              <w:t>功能分类科目</w:t>
            </w:r>
          </w:p>
        </w:tc>
        <w:tc>
          <w:tcPr>
            <w:tcW w:w="1134" w:type="dxa"/>
            <w:vMerge w:val="restart"/>
            <w:vAlign w:val="center"/>
          </w:tcPr>
          <w:p w14:paraId="02C6E008">
            <w:pPr>
              <w:pStyle w:val="11"/>
            </w:pPr>
            <w:r>
              <w:t>合计</w:t>
            </w:r>
          </w:p>
        </w:tc>
        <w:tc>
          <w:tcPr>
            <w:tcW w:w="9072" w:type="dxa"/>
            <w:gridSpan w:val="8"/>
            <w:vAlign w:val="center"/>
          </w:tcPr>
          <w:p w14:paraId="1A8DC077">
            <w:pPr>
              <w:pStyle w:val="11"/>
            </w:pPr>
            <w:r>
              <w:t>本年收入</w:t>
            </w:r>
          </w:p>
        </w:tc>
        <w:tc>
          <w:tcPr>
            <w:tcW w:w="1134" w:type="dxa"/>
            <w:vMerge w:val="restart"/>
            <w:vAlign w:val="center"/>
          </w:tcPr>
          <w:p w14:paraId="1623092E">
            <w:pPr>
              <w:pStyle w:val="11"/>
            </w:pPr>
            <w:r>
              <w:t>上年结转</w:t>
            </w:r>
          </w:p>
        </w:tc>
      </w:tr>
      <w:tr w14:paraId="1E271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DF14E6"/>
        </w:tc>
        <w:tc>
          <w:tcPr>
            <w:tcW w:w="992" w:type="dxa"/>
            <w:vAlign w:val="center"/>
          </w:tcPr>
          <w:p w14:paraId="67C8326F">
            <w:pPr>
              <w:pStyle w:val="11"/>
            </w:pPr>
            <w:r>
              <w:t>科目    编码</w:t>
            </w:r>
          </w:p>
        </w:tc>
        <w:tc>
          <w:tcPr>
            <w:tcW w:w="1559" w:type="dxa"/>
            <w:vAlign w:val="center"/>
          </w:tcPr>
          <w:p w14:paraId="3271A991">
            <w:pPr>
              <w:pStyle w:val="11"/>
            </w:pPr>
            <w:r>
              <w:t>科目名称</w:t>
            </w:r>
          </w:p>
        </w:tc>
        <w:tc>
          <w:tcPr>
            <w:tcW w:w="1134" w:type="dxa"/>
            <w:vMerge w:val="continue"/>
          </w:tcPr>
          <w:p w14:paraId="0940A45B"/>
        </w:tc>
        <w:tc>
          <w:tcPr>
            <w:tcW w:w="1134" w:type="dxa"/>
            <w:vAlign w:val="center"/>
          </w:tcPr>
          <w:p w14:paraId="2088A64E">
            <w:pPr>
              <w:pStyle w:val="11"/>
            </w:pPr>
            <w:r>
              <w:t>小计</w:t>
            </w:r>
          </w:p>
        </w:tc>
        <w:tc>
          <w:tcPr>
            <w:tcW w:w="1134" w:type="dxa"/>
            <w:vAlign w:val="center"/>
          </w:tcPr>
          <w:p w14:paraId="10D9E01C">
            <w:pPr>
              <w:pStyle w:val="11"/>
            </w:pPr>
            <w:r>
              <w:t>财政拨款 收入</w:t>
            </w:r>
          </w:p>
        </w:tc>
        <w:tc>
          <w:tcPr>
            <w:tcW w:w="1134" w:type="dxa"/>
            <w:vAlign w:val="center"/>
          </w:tcPr>
          <w:p w14:paraId="2AE981C2">
            <w:pPr>
              <w:pStyle w:val="11"/>
            </w:pPr>
            <w:r>
              <w:t>财政专户 收入</w:t>
            </w:r>
          </w:p>
        </w:tc>
        <w:tc>
          <w:tcPr>
            <w:tcW w:w="1134" w:type="dxa"/>
            <w:vAlign w:val="center"/>
          </w:tcPr>
          <w:p w14:paraId="6F96479F">
            <w:pPr>
              <w:pStyle w:val="11"/>
            </w:pPr>
            <w:r>
              <w:t>事业收入</w:t>
            </w:r>
          </w:p>
        </w:tc>
        <w:tc>
          <w:tcPr>
            <w:tcW w:w="1134" w:type="dxa"/>
            <w:vAlign w:val="center"/>
          </w:tcPr>
          <w:p w14:paraId="062D35F9">
            <w:pPr>
              <w:pStyle w:val="11"/>
            </w:pPr>
            <w:r>
              <w:t>经营收入</w:t>
            </w:r>
          </w:p>
        </w:tc>
        <w:tc>
          <w:tcPr>
            <w:tcW w:w="1134" w:type="dxa"/>
            <w:vAlign w:val="center"/>
          </w:tcPr>
          <w:p w14:paraId="0D90922D">
            <w:pPr>
              <w:pStyle w:val="11"/>
            </w:pPr>
            <w:r>
              <w:t>上级补助收入</w:t>
            </w:r>
          </w:p>
        </w:tc>
        <w:tc>
          <w:tcPr>
            <w:tcW w:w="1134" w:type="dxa"/>
            <w:vAlign w:val="center"/>
          </w:tcPr>
          <w:p w14:paraId="42B8A22C">
            <w:pPr>
              <w:pStyle w:val="11"/>
            </w:pPr>
            <w:r>
              <w:t>附属单位上缴收入</w:t>
            </w:r>
          </w:p>
        </w:tc>
        <w:tc>
          <w:tcPr>
            <w:tcW w:w="1134" w:type="dxa"/>
            <w:vAlign w:val="center"/>
          </w:tcPr>
          <w:p w14:paraId="2903A1ED">
            <w:pPr>
              <w:pStyle w:val="11"/>
            </w:pPr>
            <w:r>
              <w:t>其他收入</w:t>
            </w:r>
          </w:p>
        </w:tc>
        <w:tc>
          <w:tcPr>
            <w:tcW w:w="1134" w:type="dxa"/>
            <w:vMerge w:val="continue"/>
          </w:tcPr>
          <w:p w14:paraId="1933A4F5"/>
        </w:tc>
      </w:tr>
      <w:tr w14:paraId="62E42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Align w:val="center"/>
          </w:tcPr>
          <w:p w14:paraId="4CDCF978">
            <w:pPr>
              <w:pStyle w:val="11"/>
            </w:pPr>
            <w:r>
              <w:t>栏次</w:t>
            </w:r>
          </w:p>
        </w:tc>
        <w:tc>
          <w:tcPr>
            <w:tcW w:w="992" w:type="dxa"/>
            <w:vAlign w:val="center"/>
          </w:tcPr>
          <w:p w14:paraId="6D9F2C91">
            <w:pPr>
              <w:pStyle w:val="11"/>
            </w:pPr>
            <w:r>
              <w:t>1</w:t>
            </w:r>
          </w:p>
        </w:tc>
        <w:tc>
          <w:tcPr>
            <w:tcW w:w="1559" w:type="dxa"/>
            <w:vAlign w:val="center"/>
          </w:tcPr>
          <w:p w14:paraId="188657F1">
            <w:pPr>
              <w:pStyle w:val="11"/>
            </w:pPr>
            <w:r>
              <w:t>2</w:t>
            </w:r>
          </w:p>
        </w:tc>
        <w:tc>
          <w:tcPr>
            <w:tcW w:w="1134" w:type="dxa"/>
            <w:vAlign w:val="center"/>
          </w:tcPr>
          <w:p w14:paraId="51C6715D">
            <w:pPr>
              <w:pStyle w:val="11"/>
            </w:pPr>
            <w:r>
              <w:t>3</w:t>
            </w:r>
          </w:p>
        </w:tc>
        <w:tc>
          <w:tcPr>
            <w:tcW w:w="1134" w:type="dxa"/>
            <w:vAlign w:val="center"/>
          </w:tcPr>
          <w:p w14:paraId="35C2C8DD">
            <w:pPr>
              <w:pStyle w:val="11"/>
            </w:pPr>
            <w:r>
              <w:t>4</w:t>
            </w:r>
          </w:p>
        </w:tc>
        <w:tc>
          <w:tcPr>
            <w:tcW w:w="1134" w:type="dxa"/>
            <w:vAlign w:val="center"/>
          </w:tcPr>
          <w:p w14:paraId="6A8DBC0A">
            <w:pPr>
              <w:pStyle w:val="11"/>
            </w:pPr>
            <w:r>
              <w:t>5</w:t>
            </w:r>
          </w:p>
        </w:tc>
        <w:tc>
          <w:tcPr>
            <w:tcW w:w="1134" w:type="dxa"/>
            <w:vAlign w:val="center"/>
          </w:tcPr>
          <w:p w14:paraId="35E98BB1">
            <w:pPr>
              <w:pStyle w:val="11"/>
            </w:pPr>
            <w:r>
              <w:t>6</w:t>
            </w:r>
          </w:p>
        </w:tc>
        <w:tc>
          <w:tcPr>
            <w:tcW w:w="1134" w:type="dxa"/>
            <w:vAlign w:val="center"/>
          </w:tcPr>
          <w:p w14:paraId="306DD38C">
            <w:pPr>
              <w:pStyle w:val="11"/>
            </w:pPr>
            <w:r>
              <w:t>7</w:t>
            </w:r>
          </w:p>
        </w:tc>
        <w:tc>
          <w:tcPr>
            <w:tcW w:w="1134" w:type="dxa"/>
            <w:vAlign w:val="center"/>
          </w:tcPr>
          <w:p w14:paraId="70E27AAD">
            <w:pPr>
              <w:pStyle w:val="11"/>
            </w:pPr>
            <w:r>
              <w:t>8</w:t>
            </w:r>
          </w:p>
        </w:tc>
        <w:tc>
          <w:tcPr>
            <w:tcW w:w="1134" w:type="dxa"/>
            <w:vAlign w:val="center"/>
          </w:tcPr>
          <w:p w14:paraId="129CB079">
            <w:pPr>
              <w:pStyle w:val="11"/>
            </w:pPr>
            <w:r>
              <w:t>9</w:t>
            </w:r>
          </w:p>
        </w:tc>
        <w:tc>
          <w:tcPr>
            <w:tcW w:w="1134" w:type="dxa"/>
            <w:vAlign w:val="center"/>
          </w:tcPr>
          <w:p w14:paraId="693C2CF7">
            <w:pPr>
              <w:pStyle w:val="11"/>
            </w:pPr>
            <w:r>
              <w:t>10</w:t>
            </w:r>
          </w:p>
        </w:tc>
        <w:tc>
          <w:tcPr>
            <w:tcW w:w="1134" w:type="dxa"/>
            <w:vAlign w:val="center"/>
          </w:tcPr>
          <w:p w14:paraId="2B128598">
            <w:pPr>
              <w:pStyle w:val="11"/>
            </w:pPr>
            <w:r>
              <w:t>11</w:t>
            </w:r>
          </w:p>
        </w:tc>
        <w:tc>
          <w:tcPr>
            <w:tcW w:w="1134" w:type="dxa"/>
            <w:vAlign w:val="center"/>
          </w:tcPr>
          <w:p w14:paraId="574BB8F5">
            <w:pPr>
              <w:pStyle w:val="11"/>
            </w:pPr>
            <w:r>
              <w:t>12</w:t>
            </w:r>
          </w:p>
        </w:tc>
      </w:tr>
      <w:tr w14:paraId="2F284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58A399BE">
            <w:pPr>
              <w:pStyle w:val="12"/>
            </w:pPr>
            <w:r>
              <w:t>1</w:t>
            </w:r>
          </w:p>
        </w:tc>
        <w:tc>
          <w:tcPr>
            <w:tcW w:w="992" w:type="dxa"/>
            <w:vAlign w:val="center"/>
          </w:tcPr>
          <w:p w14:paraId="1FBD1D0E">
            <w:pPr>
              <w:pStyle w:val="17"/>
            </w:pPr>
          </w:p>
        </w:tc>
        <w:tc>
          <w:tcPr>
            <w:tcW w:w="1559" w:type="dxa"/>
            <w:vAlign w:val="center"/>
          </w:tcPr>
          <w:p w14:paraId="3CCDF621">
            <w:pPr>
              <w:pStyle w:val="15"/>
            </w:pPr>
            <w:r>
              <w:t>合计</w:t>
            </w:r>
          </w:p>
        </w:tc>
        <w:tc>
          <w:tcPr>
            <w:tcW w:w="1134" w:type="dxa"/>
            <w:vAlign w:val="center"/>
          </w:tcPr>
          <w:p w14:paraId="15A81709">
            <w:pPr>
              <w:pStyle w:val="16"/>
            </w:pPr>
            <w:r>
              <w:t>2213.39</w:t>
            </w:r>
          </w:p>
        </w:tc>
        <w:tc>
          <w:tcPr>
            <w:tcW w:w="1134" w:type="dxa"/>
            <w:vAlign w:val="center"/>
          </w:tcPr>
          <w:p w14:paraId="7E5ED68C">
            <w:pPr>
              <w:pStyle w:val="16"/>
            </w:pPr>
            <w:r>
              <w:t>2213.39</w:t>
            </w:r>
          </w:p>
        </w:tc>
        <w:tc>
          <w:tcPr>
            <w:tcW w:w="1134" w:type="dxa"/>
            <w:vAlign w:val="center"/>
          </w:tcPr>
          <w:p w14:paraId="02BAC628">
            <w:pPr>
              <w:pStyle w:val="16"/>
            </w:pPr>
            <w:r>
              <w:t>2213.39</w:t>
            </w:r>
          </w:p>
        </w:tc>
        <w:tc>
          <w:tcPr>
            <w:tcW w:w="1134" w:type="dxa"/>
            <w:vAlign w:val="center"/>
          </w:tcPr>
          <w:p w14:paraId="0917B959">
            <w:pPr>
              <w:pStyle w:val="16"/>
            </w:pPr>
          </w:p>
        </w:tc>
        <w:tc>
          <w:tcPr>
            <w:tcW w:w="1134" w:type="dxa"/>
            <w:vAlign w:val="center"/>
          </w:tcPr>
          <w:p w14:paraId="167863BD">
            <w:pPr>
              <w:pStyle w:val="16"/>
            </w:pPr>
          </w:p>
        </w:tc>
        <w:tc>
          <w:tcPr>
            <w:tcW w:w="1134" w:type="dxa"/>
            <w:vAlign w:val="center"/>
          </w:tcPr>
          <w:p w14:paraId="45F87DED">
            <w:pPr>
              <w:pStyle w:val="16"/>
            </w:pPr>
          </w:p>
        </w:tc>
        <w:tc>
          <w:tcPr>
            <w:tcW w:w="1134" w:type="dxa"/>
            <w:vAlign w:val="center"/>
          </w:tcPr>
          <w:p w14:paraId="6B7A8C40">
            <w:pPr>
              <w:pStyle w:val="16"/>
            </w:pPr>
          </w:p>
        </w:tc>
        <w:tc>
          <w:tcPr>
            <w:tcW w:w="1134" w:type="dxa"/>
            <w:vAlign w:val="center"/>
          </w:tcPr>
          <w:p w14:paraId="5AA4CF6A">
            <w:pPr>
              <w:pStyle w:val="16"/>
            </w:pPr>
          </w:p>
        </w:tc>
        <w:tc>
          <w:tcPr>
            <w:tcW w:w="1134" w:type="dxa"/>
            <w:vAlign w:val="center"/>
          </w:tcPr>
          <w:p w14:paraId="759860A5">
            <w:pPr>
              <w:pStyle w:val="16"/>
            </w:pPr>
          </w:p>
        </w:tc>
        <w:tc>
          <w:tcPr>
            <w:tcW w:w="1134" w:type="dxa"/>
            <w:vAlign w:val="center"/>
          </w:tcPr>
          <w:p w14:paraId="1A26F6D0">
            <w:pPr>
              <w:pStyle w:val="16"/>
            </w:pPr>
          </w:p>
        </w:tc>
      </w:tr>
      <w:tr w14:paraId="73AB4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41C7D355">
            <w:pPr>
              <w:pStyle w:val="12"/>
            </w:pPr>
            <w:r>
              <w:t>2</w:t>
            </w:r>
          </w:p>
        </w:tc>
        <w:tc>
          <w:tcPr>
            <w:tcW w:w="992" w:type="dxa"/>
            <w:vAlign w:val="center"/>
          </w:tcPr>
          <w:p w14:paraId="3F77A2CA">
            <w:pPr>
              <w:pStyle w:val="13"/>
            </w:pPr>
            <w:r>
              <w:t>205</w:t>
            </w:r>
          </w:p>
        </w:tc>
        <w:tc>
          <w:tcPr>
            <w:tcW w:w="1559" w:type="dxa"/>
            <w:vAlign w:val="center"/>
          </w:tcPr>
          <w:p w14:paraId="46A1AA3F">
            <w:pPr>
              <w:pStyle w:val="13"/>
            </w:pPr>
            <w:r>
              <w:t>教育支出</w:t>
            </w:r>
          </w:p>
        </w:tc>
        <w:tc>
          <w:tcPr>
            <w:tcW w:w="1134" w:type="dxa"/>
            <w:vAlign w:val="center"/>
          </w:tcPr>
          <w:p w14:paraId="62C9C829">
            <w:pPr>
              <w:pStyle w:val="14"/>
            </w:pPr>
            <w:r>
              <w:t>2213.39</w:t>
            </w:r>
          </w:p>
        </w:tc>
        <w:tc>
          <w:tcPr>
            <w:tcW w:w="1134" w:type="dxa"/>
            <w:vAlign w:val="center"/>
          </w:tcPr>
          <w:p w14:paraId="1B368D99">
            <w:pPr>
              <w:pStyle w:val="14"/>
            </w:pPr>
            <w:r>
              <w:t>2213.39</w:t>
            </w:r>
          </w:p>
        </w:tc>
        <w:tc>
          <w:tcPr>
            <w:tcW w:w="1134" w:type="dxa"/>
            <w:vAlign w:val="center"/>
          </w:tcPr>
          <w:p w14:paraId="7C3E1049">
            <w:pPr>
              <w:pStyle w:val="14"/>
            </w:pPr>
            <w:r>
              <w:t>2213.39</w:t>
            </w:r>
          </w:p>
        </w:tc>
        <w:tc>
          <w:tcPr>
            <w:tcW w:w="1134" w:type="dxa"/>
            <w:vAlign w:val="center"/>
          </w:tcPr>
          <w:p w14:paraId="088E3514">
            <w:pPr>
              <w:pStyle w:val="14"/>
            </w:pPr>
          </w:p>
        </w:tc>
        <w:tc>
          <w:tcPr>
            <w:tcW w:w="1134" w:type="dxa"/>
            <w:vAlign w:val="center"/>
          </w:tcPr>
          <w:p w14:paraId="7E5C0F09">
            <w:pPr>
              <w:pStyle w:val="14"/>
            </w:pPr>
          </w:p>
        </w:tc>
        <w:tc>
          <w:tcPr>
            <w:tcW w:w="1134" w:type="dxa"/>
            <w:vAlign w:val="center"/>
          </w:tcPr>
          <w:p w14:paraId="0DD74EF9">
            <w:pPr>
              <w:pStyle w:val="14"/>
            </w:pPr>
          </w:p>
        </w:tc>
        <w:tc>
          <w:tcPr>
            <w:tcW w:w="1134" w:type="dxa"/>
            <w:vAlign w:val="center"/>
          </w:tcPr>
          <w:p w14:paraId="2D8784E8">
            <w:pPr>
              <w:pStyle w:val="14"/>
            </w:pPr>
          </w:p>
        </w:tc>
        <w:tc>
          <w:tcPr>
            <w:tcW w:w="1134" w:type="dxa"/>
            <w:vAlign w:val="center"/>
          </w:tcPr>
          <w:p w14:paraId="6CEEE520">
            <w:pPr>
              <w:pStyle w:val="14"/>
            </w:pPr>
          </w:p>
        </w:tc>
        <w:tc>
          <w:tcPr>
            <w:tcW w:w="1134" w:type="dxa"/>
            <w:vAlign w:val="center"/>
          </w:tcPr>
          <w:p w14:paraId="6E88BB4B">
            <w:pPr>
              <w:pStyle w:val="14"/>
            </w:pPr>
          </w:p>
        </w:tc>
        <w:tc>
          <w:tcPr>
            <w:tcW w:w="1134" w:type="dxa"/>
            <w:vAlign w:val="center"/>
          </w:tcPr>
          <w:p w14:paraId="0EC3EC71">
            <w:pPr>
              <w:pStyle w:val="14"/>
            </w:pPr>
          </w:p>
        </w:tc>
      </w:tr>
      <w:tr w14:paraId="4E334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66A1F3">
            <w:pPr>
              <w:pStyle w:val="12"/>
            </w:pPr>
            <w:r>
              <w:t>3</w:t>
            </w:r>
          </w:p>
        </w:tc>
        <w:tc>
          <w:tcPr>
            <w:tcW w:w="992" w:type="dxa"/>
            <w:vAlign w:val="center"/>
          </w:tcPr>
          <w:p w14:paraId="7EFA7BCB">
            <w:pPr>
              <w:pStyle w:val="13"/>
            </w:pPr>
            <w:r>
              <w:t>20502</w:t>
            </w:r>
          </w:p>
        </w:tc>
        <w:tc>
          <w:tcPr>
            <w:tcW w:w="1559" w:type="dxa"/>
            <w:vAlign w:val="center"/>
          </w:tcPr>
          <w:p w14:paraId="363A6A1F">
            <w:pPr>
              <w:pStyle w:val="13"/>
            </w:pPr>
            <w:r>
              <w:t>普通教育</w:t>
            </w:r>
          </w:p>
        </w:tc>
        <w:tc>
          <w:tcPr>
            <w:tcW w:w="1134" w:type="dxa"/>
            <w:vAlign w:val="center"/>
          </w:tcPr>
          <w:p w14:paraId="2B047F23">
            <w:pPr>
              <w:pStyle w:val="14"/>
            </w:pPr>
            <w:r>
              <w:t>2213.39</w:t>
            </w:r>
          </w:p>
        </w:tc>
        <w:tc>
          <w:tcPr>
            <w:tcW w:w="1134" w:type="dxa"/>
            <w:vAlign w:val="center"/>
          </w:tcPr>
          <w:p w14:paraId="13723AE3">
            <w:pPr>
              <w:pStyle w:val="14"/>
            </w:pPr>
            <w:r>
              <w:t>2213.39</w:t>
            </w:r>
          </w:p>
        </w:tc>
        <w:tc>
          <w:tcPr>
            <w:tcW w:w="1134" w:type="dxa"/>
            <w:vAlign w:val="center"/>
          </w:tcPr>
          <w:p w14:paraId="28009DFB">
            <w:pPr>
              <w:pStyle w:val="14"/>
            </w:pPr>
            <w:r>
              <w:t>2213.39</w:t>
            </w:r>
          </w:p>
        </w:tc>
        <w:tc>
          <w:tcPr>
            <w:tcW w:w="1134" w:type="dxa"/>
            <w:vAlign w:val="center"/>
          </w:tcPr>
          <w:p w14:paraId="46A5FC64">
            <w:pPr>
              <w:pStyle w:val="14"/>
            </w:pPr>
          </w:p>
        </w:tc>
        <w:tc>
          <w:tcPr>
            <w:tcW w:w="1134" w:type="dxa"/>
            <w:vAlign w:val="center"/>
          </w:tcPr>
          <w:p w14:paraId="3988E684">
            <w:pPr>
              <w:pStyle w:val="14"/>
            </w:pPr>
          </w:p>
        </w:tc>
        <w:tc>
          <w:tcPr>
            <w:tcW w:w="1134" w:type="dxa"/>
            <w:vAlign w:val="center"/>
          </w:tcPr>
          <w:p w14:paraId="0215DED8">
            <w:pPr>
              <w:pStyle w:val="14"/>
            </w:pPr>
          </w:p>
        </w:tc>
        <w:tc>
          <w:tcPr>
            <w:tcW w:w="1134" w:type="dxa"/>
            <w:vAlign w:val="center"/>
          </w:tcPr>
          <w:p w14:paraId="74B1753C">
            <w:pPr>
              <w:pStyle w:val="14"/>
            </w:pPr>
          </w:p>
        </w:tc>
        <w:tc>
          <w:tcPr>
            <w:tcW w:w="1134" w:type="dxa"/>
            <w:vAlign w:val="center"/>
          </w:tcPr>
          <w:p w14:paraId="7AD5953B">
            <w:pPr>
              <w:pStyle w:val="14"/>
            </w:pPr>
          </w:p>
        </w:tc>
        <w:tc>
          <w:tcPr>
            <w:tcW w:w="1134" w:type="dxa"/>
            <w:vAlign w:val="center"/>
          </w:tcPr>
          <w:p w14:paraId="208CE13F">
            <w:pPr>
              <w:pStyle w:val="14"/>
            </w:pPr>
          </w:p>
        </w:tc>
        <w:tc>
          <w:tcPr>
            <w:tcW w:w="1134" w:type="dxa"/>
            <w:vAlign w:val="center"/>
          </w:tcPr>
          <w:p w14:paraId="1876FCE9">
            <w:pPr>
              <w:pStyle w:val="14"/>
            </w:pPr>
          </w:p>
        </w:tc>
      </w:tr>
      <w:tr w14:paraId="463F2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7AED7F07">
            <w:pPr>
              <w:pStyle w:val="12"/>
            </w:pPr>
            <w:r>
              <w:t>4</w:t>
            </w:r>
          </w:p>
        </w:tc>
        <w:tc>
          <w:tcPr>
            <w:tcW w:w="992" w:type="dxa"/>
            <w:vAlign w:val="center"/>
          </w:tcPr>
          <w:p w14:paraId="5A22B524">
            <w:pPr>
              <w:pStyle w:val="13"/>
            </w:pPr>
            <w:r>
              <w:t>2050201</w:t>
            </w:r>
          </w:p>
        </w:tc>
        <w:tc>
          <w:tcPr>
            <w:tcW w:w="1559" w:type="dxa"/>
            <w:vAlign w:val="center"/>
          </w:tcPr>
          <w:p w14:paraId="2CC1BCF0">
            <w:pPr>
              <w:pStyle w:val="13"/>
            </w:pPr>
            <w:r>
              <w:t>学前教育</w:t>
            </w:r>
          </w:p>
        </w:tc>
        <w:tc>
          <w:tcPr>
            <w:tcW w:w="1134" w:type="dxa"/>
            <w:vAlign w:val="center"/>
          </w:tcPr>
          <w:p w14:paraId="38B9B6EB">
            <w:pPr>
              <w:pStyle w:val="14"/>
            </w:pPr>
            <w:r>
              <w:t>72.60</w:t>
            </w:r>
          </w:p>
        </w:tc>
        <w:tc>
          <w:tcPr>
            <w:tcW w:w="1134" w:type="dxa"/>
            <w:vAlign w:val="center"/>
          </w:tcPr>
          <w:p w14:paraId="144242A3">
            <w:pPr>
              <w:pStyle w:val="14"/>
            </w:pPr>
            <w:r>
              <w:t>72.60</w:t>
            </w:r>
          </w:p>
        </w:tc>
        <w:tc>
          <w:tcPr>
            <w:tcW w:w="1134" w:type="dxa"/>
            <w:vAlign w:val="center"/>
          </w:tcPr>
          <w:p w14:paraId="79E79970">
            <w:pPr>
              <w:pStyle w:val="14"/>
            </w:pPr>
            <w:r>
              <w:t>72.60</w:t>
            </w:r>
          </w:p>
        </w:tc>
        <w:tc>
          <w:tcPr>
            <w:tcW w:w="1134" w:type="dxa"/>
            <w:vAlign w:val="center"/>
          </w:tcPr>
          <w:p w14:paraId="461B8BC8">
            <w:pPr>
              <w:pStyle w:val="14"/>
            </w:pPr>
          </w:p>
        </w:tc>
        <w:tc>
          <w:tcPr>
            <w:tcW w:w="1134" w:type="dxa"/>
            <w:vAlign w:val="center"/>
          </w:tcPr>
          <w:p w14:paraId="423BBA84">
            <w:pPr>
              <w:pStyle w:val="14"/>
            </w:pPr>
          </w:p>
        </w:tc>
        <w:tc>
          <w:tcPr>
            <w:tcW w:w="1134" w:type="dxa"/>
            <w:vAlign w:val="center"/>
          </w:tcPr>
          <w:p w14:paraId="658B476F">
            <w:pPr>
              <w:pStyle w:val="14"/>
            </w:pPr>
          </w:p>
        </w:tc>
        <w:tc>
          <w:tcPr>
            <w:tcW w:w="1134" w:type="dxa"/>
            <w:vAlign w:val="center"/>
          </w:tcPr>
          <w:p w14:paraId="32D4645A">
            <w:pPr>
              <w:pStyle w:val="14"/>
            </w:pPr>
          </w:p>
        </w:tc>
        <w:tc>
          <w:tcPr>
            <w:tcW w:w="1134" w:type="dxa"/>
            <w:vAlign w:val="center"/>
          </w:tcPr>
          <w:p w14:paraId="0439BAE8">
            <w:pPr>
              <w:pStyle w:val="14"/>
            </w:pPr>
          </w:p>
        </w:tc>
        <w:tc>
          <w:tcPr>
            <w:tcW w:w="1134" w:type="dxa"/>
            <w:vAlign w:val="center"/>
          </w:tcPr>
          <w:p w14:paraId="0A4DC402">
            <w:pPr>
              <w:pStyle w:val="14"/>
            </w:pPr>
          </w:p>
        </w:tc>
        <w:tc>
          <w:tcPr>
            <w:tcW w:w="1134" w:type="dxa"/>
            <w:vAlign w:val="center"/>
          </w:tcPr>
          <w:p w14:paraId="57E9A9B6">
            <w:pPr>
              <w:pStyle w:val="14"/>
            </w:pPr>
          </w:p>
        </w:tc>
      </w:tr>
      <w:tr w14:paraId="4BF6C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57350C">
            <w:pPr>
              <w:pStyle w:val="12"/>
            </w:pPr>
            <w:r>
              <w:t>5</w:t>
            </w:r>
          </w:p>
        </w:tc>
        <w:tc>
          <w:tcPr>
            <w:tcW w:w="992" w:type="dxa"/>
            <w:vAlign w:val="center"/>
          </w:tcPr>
          <w:p w14:paraId="38C2542D">
            <w:pPr>
              <w:pStyle w:val="13"/>
            </w:pPr>
            <w:r>
              <w:t>2050202</w:t>
            </w:r>
          </w:p>
        </w:tc>
        <w:tc>
          <w:tcPr>
            <w:tcW w:w="1559" w:type="dxa"/>
            <w:vAlign w:val="center"/>
          </w:tcPr>
          <w:p w14:paraId="27C21A74">
            <w:pPr>
              <w:pStyle w:val="13"/>
            </w:pPr>
            <w:r>
              <w:t>小学教育</w:t>
            </w:r>
          </w:p>
        </w:tc>
        <w:tc>
          <w:tcPr>
            <w:tcW w:w="1134" w:type="dxa"/>
            <w:vAlign w:val="center"/>
          </w:tcPr>
          <w:p w14:paraId="34D84071">
            <w:pPr>
              <w:pStyle w:val="14"/>
            </w:pPr>
            <w:r>
              <w:t>2140.79</w:t>
            </w:r>
          </w:p>
        </w:tc>
        <w:tc>
          <w:tcPr>
            <w:tcW w:w="1134" w:type="dxa"/>
            <w:vAlign w:val="center"/>
          </w:tcPr>
          <w:p w14:paraId="6F9BB494">
            <w:pPr>
              <w:pStyle w:val="14"/>
            </w:pPr>
            <w:r>
              <w:t>2140.79</w:t>
            </w:r>
          </w:p>
        </w:tc>
        <w:tc>
          <w:tcPr>
            <w:tcW w:w="1134" w:type="dxa"/>
            <w:vAlign w:val="center"/>
          </w:tcPr>
          <w:p w14:paraId="5C1A28DE">
            <w:pPr>
              <w:pStyle w:val="14"/>
            </w:pPr>
            <w:r>
              <w:t>2140.79</w:t>
            </w:r>
          </w:p>
        </w:tc>
        <w:tc>
          <w:tcPr>
            <w:tcW w:w="1134" w:type="dxa"/>
            <w:vAlign w:val="center"/>
          </w:tcPr>
          <w:p w14:paraId="60A6CBE7">
            <w:pPr>
              <w:pStyle w:val="14"/>
            </w:pPr>
          </w:p>
        </w:tc>
        <w:tc>
          <w:tcPr>
            <w:tcW w:w="1134" w:type="dxa"/>
            <w:vAlign w:val="center"/>
          </w:tcPr>
          <w:p w14:paraId="6FF272E1">
            <w:pPr>
              <w:pStyle w:val="14"/>
            </w:pPr>
          </w:p>
        </w:tc>
        <w:tc>
          <w:tcPr>
            <w:tcW w:w="1134" w:type="dxa"/>
            <w:vAlign w:val="center"/>
          </w:tcPr>
          <w:p w14:paraId="61E3359E">
            <w:pPr>
              <w:pStyle w:val="14"/>
            </w:pPr>
          </w:p>
        </w:tc>
        <w:tc>
          <w:tcPr>
            <w:tcW w:w="1134" w:type="dxa"/>
            <w:vAlign w:val="center"/>
          </w:tcPr>
          <w:p w14:paraId="0813C8B8">
            <w:pPr>
              <w:pStyle w:val="14"/>
            </w:pPr>
          </w:p>
        </w:tc>
        <w:tc>
          <w:tcPr>
            <w:tcW w:w="1134" w:type="dxa"/>
            <w:vAlign w:val="center"/>
          </w:tcPr>
          <w:p w14:paraId="77D62F9E">
            <w:pPr>
              <w:pStyle w:val="14"/>
            </w:pPr>
          </w:p>
        </w:tc>
        <w:tc>
          <w:tcPr>
            <w:tcW w:w="1134" w:type="dxa"/>
            <w:vAlign w:val="center"/>
          </w:tcPr>
          <w:p w14:paraId="4A8B0602">
            <w:pPr>
              <w:pStyle w:val="14"/>
            </w:pPr>
          </w:p>
        </w:tc>
        <w:tc>
          <w:tcPr>
            <w:tcW w:w="1134" w:type="dxa"/>
            <w:vAlign w:val="center"/>
          </w:tcPr>
          <w:p w14:paraId="6F68FA8B">
            <w:pPr>
              <w:pStyle w:val="14"/>
            </w:pPr>
          </w:p>
        </w:tc>
      </w:tr>
    </w:tbl>
    <w:p w14:paraId="2012B93B">
      <w:pPr>
        <w:sectPr>
          <w:pgSz w:w="16840" w:h="11900" w:orient="landscape"/>
          <w:pgMar w:top="1361" w:right="1020" w:bottom="1134" w:left="1020" w:header="720" w:footer="720" w:gutter="0"/>
          <w:cols w:space="720" w:num="1"/>
        </w:sectPr>
      </w:pPr>
    </w:p>
    <w:p w14:paraId="59985C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7452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C8EE2D">
            <w:pPr>
              <w:pStyle w:val="8"/>
            </w:pPr>
            <w:r>
              <w:t>360026隆尧县牛家桥校区</w:t>
            </w:r>
          </w:p>
        </w:tc>
        <w:tc>
          <w:tcPr>
            <w:tcW w:w="2722" w:type="dxa"/>
            <w:gridSpan w:val="2"/>
            <w:tcBorders>
              <w:top w:val="single" w:color="FFFFFF" w:sz="6" w:space="0"/>
              <w:left w:val="single" w:color="FFFFFF" w:sz="6" w:space="0"/>
              <w:right w:val="single" w:color="FFFFFF" w:sz="6" w:space="0"/>
            </w:tcBorders>
            <w:vAlign w:val="center"/>
          </w:tcPr>
          <w:p w14:paraId="7ECA8CC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AC57249">
            <w:pPr>
              <w:pStyle w:val="10"/>
            </w:pPr>
            <w:r>
              <w:t>单位：万元</w:t>
            </w:r>
          </w:p>
        </w:tc>
      </w:tr>
      <w:tr w14:paraId="0A33F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30446">
            <w:pPr>
              <w:pStyle w:val="11"/>
            </w:pPr>
            <w:r>
              <w:t>序号</w:t>
            </w:r>
          </w:p>
        </w:tc>
        <w:tc>
          <w:tcPr>
            <w:tcW w:w="5527" w:type="dxa"/>
            <w:gridSpan w:val="2"/>
            <w:vAlign w:val="center"/>
          </w:tcPr>
          <w:p w14:paraId="492A512A">
            <w:pPr>
              <w:pStyle w:val="11"/>
            </w:pPr>
            <w:r>
              <w:t>功能分类科目</w:t>
            </w:r>
          </w:p>
        </w:tc>
        <w:tc>
          <w:tcPr>
            <w:tcW w:w="1361" w:type="dxa"/>
            <w:vMerge w:val="restart"/>
            <w:vAlign w:val="center"/>
          </w:tcPr>
          <w:p w14:paraId="1C5CD543">
            <w:pPr>
              <w:pStyle w:val="11"/>
            </w:pPr>
            <w:r>
              <w:t>合计</w:t>
            </w:r>
          </w:p>
        </w:tc>
        <w:tc>
          <w:tcPr>
            <w:tcW w:w="1361" w:type="dxa"/>
            <w:vMerge w:val="restart"/>
            <w:vAlign w:val="center"/>
          </w:tcPr>
          <w:p w14:paraId="5FEF2901">
            <w:pPr>
              <w:pStyle w:val="11"/>
            </w:pPr>
            <w:r>
              <w:t>基本支出</w:t>
            </w:r>
          </w:p>
        </w:tc>
        <w:tc>
          <w:tcPr>
            <w:tcW w:w="1361" w:type="dxa"/>
            <w:vMerge w:val="restart"/>
            <w:vAlign w:val="center"/>
          </w:tcPr>
          <w:p w14:paraId="0BC6CA62">
            <w:pPr>
              <w:pStyle w:val="11"/>
            </w:pPr>
            <w:r>
              <w:t>项目支出</w:t>
            </w:r>
          </w:p>
        </w:tc>
        <w:tc>
          <w:tcPr>
            <w:tcW w:w="1361" w:type="dxa"/>
            <w:vMerge w:val="restart"/>
            <w:vAlign w:val="center"/>
          </w:tcPr>
          <w:p w14:paraId="6D7718E7">
            <w:pPr>
              <w:pStyle w:val="11"/>
            </w:pPr>
            <w:r>
              <w:t>经营支出</w:t>
            </w:r>
          </w:p>
        </w:tc>
        <w:tc>
          <w:tcPr>
            <w:tcW w:w="1361" w:type="dxa"/>
            <w:vMerge w:val="restart"/>
            <w:vAlign w:val="center"/>
          </w:tcPr>
          <w:p w14:paraId="59BF5FEB">
            <w:pPr>
              <w:pStyle w:val="11"/>
            </w:pPr>
            <w:r>
              <w:t>上解上级     支出</w:t>
            </w:r>
          </w:p>
        </w:tc>
        <w:tc>
          <w:tcPr>
            <w:tcW w:w="1361" w:type="dxa"/>
            <w:vMerge w:val="restart"/>
            <w:vAlign w:val="center"/>
          </w:tcPr>
          <w:p w14:paraId="457981E6">
            <w:pPr>
              <w:pStyle w:val="11"/>
            </w:pPr>
            <w:r>
              <w:t>对附属单位补助支出</w:t>
            </w:r>
          </w:p>
        </w:tc>
      </w:tr>
      <w:tr w14:paraId="7EA9E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C48A4A"/>
        </w:tc>
        <w:tc>
          <w:tcPr>
            <w:tcW w:w="992" w:type="dxa"/>
            <w:vAlign w:val="center"/>
          </w:tcPr>
          <w:p w14:paraId="467C9D46">
            <w:pPr>
              <w:pStyle w:val="11"/>
            </w:pPr>
            <w:r>
              <w:t>科目    编码</w:t>
            </w:r>
          </w:p>
        </w:tc>
        <w:tc>
          <w:tcPr>
            <w:tcW w:w="4535" w:type="dxa"/>
            <w:vAlign w:val="center"/>
          </w:tcPr>
          <w:p w14:paraId="2B914596">
            <w:pPr>
              <w:pStyle w:val="11"/>
            </w:pPr>
            <w:r>
              <w:t>科目名称</w:t>
            </w:r>
          </w:p>
        </w:tc>
        <w:tc>
          <w:tcPr>
            <w:tcW w:w="1361" w:type="dxa"/>
            <w:vMerge w:val="continue"/>
          </w:tcPr>
          <w:p w14:paraId="5D11AACA"/>
        </w:tc>
        <w:tc>
          <w:tcPr>
            <w:tcW w:w="1361" w:type="dxa"/>
            <w:vMerge w:val="continue"/>
          </w:tcPr>
          <w:p w14:paraId="5EB63F4D"/>
        </w:tc>
        <w:tc>
          <w:tcPr>
            <w:tcW w:w="1361" w:type="dxa"/>
            <w:vMerge w:val="continue"/>
          </w:tcPr>
          <w:p w14:paraId="0F31082C"/>
        </w:tc>
        <w:tc>
          <w:tcPr>
            <w:tcW w:w="1361" w:type="dxa"/>
            <w:vMerge w:val="continue"/>
          </w:tcPr>
          <w:p w14:paraId="1A7E4FD2"/>
        </w:tc>
        <w:tc>
          <w:tcPr>
            <w:tcW w:w="1361" w:type="dxa"/>
            <w:vMerge w:val="continue"/>
          </w:tcPr>
          <w:p w14:paraId="31B6C4B8"/>
        </w:tc>
        <w:tc>
          <w:tcPr>
            <w:tcW w:w="1361" w:type="dxa"/>
            <w:vMerge w:val="continue"/>
          </w:tcPr>
          <w:p w14:paraId="7259CC46"/>
        </w:tc>
      </w:tr>
      <w:tr w14:paraId="7C8BF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1504E2">
            <w:pPr>
              <w:pStyle w:val="11"/>
            </w:pPr>
            <w:r>
              <w:t>栏次</w:t>
            </w:r>
          </w:p>
        </w:tc>
        <w:tc>
          <w:tcPr>
            <w:tcW w:w="992" w:type="dxa"/>
            <w:vAlign w:val="center"/>
          </w:tcPr>
          <w:p w14:paraId="29A05A0C">
            <w:pPr>
              <w:pStyle w:val="11"/>
            </w:pPr>
            <w:r>
              <w:t>1</w:t>
            </w:r>
          </w:p>
        </w:tc>
        <w:tc>
          <w:tcPr>
            <w:tcW w:w="4535" w:type="dxa"/>
            <w:vAlign w:val="center"/>
          </w:tcPr>
          <w:p w14:paraId="403745AA">
            <w:pPr>
              <w:pStyle w:val="11"/>
            </w:pPr>
            <w:r>
              <w:t>2</w:t>
            </w:r>
          </w:p>
        </w:tc>
        <w:tc>
          <w:tcPr>
            <w:tcW w:w="1361" w:type="dxa"/>
            <w:vAlign w:val="center"/>
          </w:tcPr>
          <w:p w14:paraId="7ECCC549">
            <w:pPr>
              <w:pStyle w:val="11"/>
            </w:pPr>
            <w:r>
              <w:t>3</w:t>
            </w:r>
          </w:p>
        </w:tc>
        <w:tc>
          <w:tcPr>
            <w:tcW w:w="1361" w:type="dxa"/>
            <w:vAlign w:val="center"/>
          </w:tcPr>
          <w:p w14:paraId="64329C0B">
            <w:pPr>
              <w:pStyle w:val="11"/>
            </w:pPr>
            <w:r>
              <w:t>4</w:t>
            </w:r>
          </w:p>
        </w:tc>
        <w:tc>
          <w:tcPr>
            <w:tcW w:w="1361" w:type="dxa"/>
            <w:vAlign w:val="center"/>
          </w:tcPr>
          <w:p w14:paraId="62228643">
            <w:pPr>
              <w:pStyle w:val="11"/>
            </w:pPr>
            <w:r>
              <w:t>5</w:t>
            </w:r>
          </w:p>
        </w:tc>
        <w:tc>
          <w:tcPr>
            <w:tcW w:w="1361" w:type="dxa"/>
            <w:vAlign w:val="center"/>
          </w:tcPr>
          <w:p w14:paraId="2902CEDB">
            <w:pPr>
              <w:pStyle w:val="11"/>
            </w:pPr>
            <w:r>
              <w:t>6</w:t>
            </w:r>
          </w:p>
        </w:tc>
        <w:tc>
          <w:tcPr>
            <w:tcW w:w="1361" w:type="dxa"/>
            <w:vAlign w:val="center"/>
          </w:tcPr>
          <w:p w14:paraId="24524B3C">
            <w:pPr>
              <w:pStyle w:val="11"/>
            </w:pPr>
            <w:r>
              <w:t>7</w:t>
            </w:r>
          </w:p>
        </w:tc>
        <w:tc>
          <w:tcPr>
            <w:tcW w:w="1361" w:type="dxa"/>
            <w:vAlign w:val="center"/>
          </w:tcPr>
          <w:p w14:paraId="46804FC3">
            <w:pPr>
              <w:pStyle w:val="11"/>
            </w:pPr>
            <w:r>
              <w:t>8</w:t>
            </w:r>
          </w:p>
        </w:tc>
      </w:tr>
      <w:tr w14:paraId="42A6F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11065">
            <w:pPr>
              <w:pStyle w:val="12"/>
            </w:pPr>
            <w:r>
              <w:t>1</w:t>
            </w:r>
          </w:p>
        </w:tc>
        <w:tc>
          <w:tcPr>
            <w:tcW w:w="992" w:type="dxa"/>
            <w:vAlign w:val="center"/>
          </w:tcPr>
          <w:p w14:paraId="4E9DE22C">
            <w:pPr>
              <w:pStyle w:val="17"/>
            </w:pPr>
          </w:p>
        </w:tc>
        <w:tc>
          <w:tcPr>
            <w:tcW w:w="4535" w:type="dxa"/>
            <w:vAlign w:val="center"/>
          </w:tcPr>
          <w:p w14:paraId="441CC85E">
            <w:pPr>
              <w:pStyle w:val="15"/>
            </w:pPr>
            <w:r>
              <w:t>合计</w:t>
            </w:r>
          </w:p>
        </w:tc>
        <w:tc>
          <w:tcPr>
            <w:tcW w:w="1361" w:type="dxa"/>
            <w:vAlign w:val="center"/>
          </w:tcPr>
          <w:p w14:paraId="4D903575">
            <w:pPr>
              <w:pStyle w:val="16"/>
            </w:pPr>
            <w:r>
              <w:t>2213.39</w:t>
            </w:r>
          </w:p>
        </w:tc>
        <w:tc>
          <w:tcPr>
            <w:tcW w:w="1361" w:type="dxa"/>
            <w:vAlign w:val="center"/>
          </w:tcPr>
          <w:p w14:paraId="126FA3F3">
            <w:pPr>
              <w:pStyle w:val="16"/>
            </w:pPr>
            <w:r>
              <w:t>1755.23</w:t>
            </w:r>
          </w:p>
        </w:tc>
        <w:tc>
          <w:tcPr>
            <w:tcW w:w="1361" w:type="dxa"/>
            <w:vAlign w:val="center"/>
          </w:tcPr>
          <w:p w14:paraId="3D6203E9">
            <w:pPr>
              <w:pStyle w:val="16"/>
            </w:pPr>
            <w:r>
              <w:t>458.17</w:t>
            </w:r>
          </w:p>
        </w:tc>
        <w:tc>
          <w:tcPr>
            <w:tcW w:w="1361" w:type="dxa"/>
            <w:vAlign w:val="center"/>
          </w:tcPr>
          <w:p w14:paraId="3578C58A">
            <w:pPr>
              <w:pStyle w:val="16"/>
            </w:pPr>
          </w:p>
        </w:tc>
        <w:tc>
          <w:tcPr>
            <w:tcW w:w="1361" w:type="dxa"/>
            <w:vAlign w:val="center"/>
          </w:tcPr>
          <w:p w14:paraId="0C43C6CD">
            <w:pPr>
              <w:pStyle w:val="16"/>
            </w:pPr>
          </w:p>
        </w:tc>
        <w:tc>
          <w:tcPr>
            <w:tcW w:w="1361" w:type="dxa"/>
            <w:vAlign w:val="center"/>
          </w:tcPr>
          <w:p w14:paraId="63535067">
            <w:pPr>
              <w:pStyle w:val="16"/>
            </w:pPr>
          </w:p>
        </w:tc>
      </w:tr>
      <w:tr w14:paraId="74B26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E52D1">
            <w:pPr>
              <w:pStyle w:val="12"/>
            </w:pPr>
            <w:r>
              <w:t>2</w:t>
            </w:r>
          </w:p>
        </w:tc>
        <w:tc>
          <w:tcPr>
            <w:tcW w:w="992" w:type="dxa"/>
            <w:vAlign w:val="center"/>
          </w:tcPr>
          <w:p w14:paraId="45B1A502">
            <w:pPr>
              <w:pStyle w:val="13"/>
            </w:pPr>
            <w:r>
              <w:t>205</w:t>
            </w:r>
          </w:p>
        </w:tc>
        <w:tc>
          <w:tcPr>
            <w:tcW w:w="4535" w:type="dxa"/>
            <w:vAlign w:val="center"/>
          </w:tcPr>
          <w:p w14:paraId="0E7D3D65">
            <w:pPr>
              <w:pStyle w:val="13"/>
            </w:pPr>
            <w:r>
              <w:t>教育支出</w:t>
            </w:r>
          </w:p>
        </w:tc>
        <w:tc>
          <w:tcPr>
            <w:tcW w:w="1361" w:type="dxa"/>
            <w:vAlign w:val="center"/>
          </w:tcPr>
          <w:p w14:paraId="7FAF91C5">
            <w:pPr>
              <w:pStyle w:val="14"/>
            </w:pPr>
            <w:r>
              <w:t>2213.39</w:t>
            </w:r>
          </w:p>
        </w:tc>
        <w:tc>
          <w:tcPr>
            <w:tcW w:w="1361" w:type="dxa"/>
            <w:vAlign w:val="center"/>
          </w:tcPr>
          <w:p w14:paraId="25E4D48F">
            <w:pPr>
              <w:pStyle w:val="14"/>
            </w:pPr>
            <w:r>
              <w:t>1755.23</w:t>
            </w:r>
          </w:p>
        </w:tc>
        <w:tc>
          <w:tcPr>
            <w:tcW w:w="1361" w:type="dxa"/>
            <w:vAlign w:val="center"/>
          </w:tcPr>
          <w:p w14:paraId="18960866">
            <w:pPr>
              <w:pStyle w:val="14"/>
            </w:pPr>
            <w:r>
              <w:t>458.17</w:t>
            </w:r>
          </w:p>
        </w:tc>
        <w:tc>
          <w:tcPr>
            <w:tcW w:w="1361" w:type="dxa"/>
            <w:vAlign w:val="center"/>
          </w:tcPr>
          <w:p w14:paraId="5E851763">
            <w:pPr>
              <w:pStyle w:val="14"/>
            </w:pPr>
          </w:p>
        </w:tc>
        <w:tc>
          <w:tcPr>
            <w:tcW w:w="1361" w:type="dxa"/>
            <w:vAlign w:val="center"/>
          </w:tcPr>
          <w:p w14:paraId="6C65279E">
            <w:pPr>
              <w:pStyle w:val="14"/>
            </w:pPr>
          </w:p>
        </w:tc>
        <w:tc>
          <w:tcPr>
            <w:tcW w:w="1361" w:type="dxa"/>
            <w:vAlign w:val="center"/>
          </w:tcPr>
          <w:p w14:paraId="3422517F">
            <w:pPr>
              <w:pStyle w:val="14"/>
            </w:pPr>
          </w:p>
        </w:tc>
      </w:tr>
      <w:tr w14:paraId="16E0F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8BFF0">
            <w:pPr>
              <w:pStyle w:val="12"/>
            </w:pPr>
            <w:r>
              <w:t>3</w:t>
            </w:r>
          </w:p>
        </w:tc>
        <w:tc>
          <w:tcPr>
            <w:tcW w:w="992" w:type="dxa"/>
            <w:vAlign w:val="center"/>
          </w:tcPr>
          <w:p w14:paraId="34C9E915">
            <w:pPr>
              <w:pStyle w:val="13"/>
            </w:pPr>
            <w:r>
              <w:t>20502</w:t>
            </w:r>
          </w:p>
        </w:tc>
        <w:tc>
          <w:tcPr>
            <w:tcW w:w="4535" w:type="dxa"/>
            <w:vAlign w:val="center"/>
          </w:tcPr>
          <w:p w14:paraId="385DF99B">
            <w:pPr>
              <w:pStyle w:val="13"/>
            </w:pPr>
            <w:r>
              <w:t>普通教育</w:t>
            </w:r>
          </w:p>
        </w:tc>
        <w:tc>
          <w:tcPr>
            <w:tcW w:w="1361" w:type="dxa"/>
            <w:vAlign w:val="center"/>
          </w:tcPr>
          <w:p w14:paraId="1CBF751E">
            <w:pPr>
              <w:pStyle w:val="14"/>
            </w:pPr>
            <w:r>
              <w:t>2213.39</w:t>
            </w:r>
          </w:p>
        </w:tc>
        <w:tc>
          <w:tcPr>
            <w:tcW w:w="1361" w:type="dxa"/>
            <w:vAlign w:val="center"/>
          </w:tcPr>
          <w:p w14:paraId="163EA4A4">
            <w:pPr>
              <w:pStyle w:val="14"/>
            </w:pPr>
            <w:r>
              <w:t>1755.23</w:t>
            </w:r>
          </w:p>
        </w:tc>
        <w:tc>
          <w:tcPr>
            <w:tcW w:w="1361" w:type="dxa"/>
            <w:vAlign w:val="center"/>
          </w:tcPr>
          <w:p w14:paraId="0176484D">
            <w:pPr>
              <w:pStyle w:val="14"/>
            </w:pPr>
            <w:r>
              <w:t>458.17</w:t>
            </w:r>
          </w:p>
        </w:tc>
        <w:tc>
          <w:tcPr>
            <w:tcW w:w="1361" w:type="dxa"/>
            <w:vAlign w:val="center"/>
          </w:tcPr>
          <w:p w14:paraId="67C9F97B">
            <w:pPr>
              <w:pStyle w:val="14"/>
            </w:pPr>
          </w:p>
        </w:tc>
        <w:tc>
          <w:tcPr>
            <w:tcW w:w="1361" w:type="dxa"/>
            <w:vAlign w:val="center"/>
          </w:tcPr>
          <w:p w14:paraId="37EEA7FD">
            <w:pPr>
              <w:pStyle w:val="14"/>
            </w:pPr>
          </w:p>
        </w:tc>
        <w:tc>
          <w:tcPr>
            <w:tcW w:w="1361" w:type="dxa"/>
            <w:vAlign w:val="center"/>
          </w:tcPr>
          <w:p w14:paraId="3C0D6EEF">
            <w:pPr>
              <w:pStyle w:val="14"/>
            </w:pPr>
          </w:p>
        </w:tc>
      </w:tr>
      <w:tr w14:paraId="559CA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B4312">
            <w:pPr>
              <w:pStyle w:val="12"/>
            </w:pPr>
            <w:r>
              <w:t>4</w:t>
            </w:r>
          </w:p>
        </w:tc>
        <w:tc>
          <w:tcPr>
            <w:tcW w:w="992" w:type="dxa"/>
            <w:vAlign w:val="center"/>
          </w:tcPr>
          <w:p w14:paraId="232D555D">
            <w:pPr>
              <w:pStyle w:val="13"/>
            </w:pPr>
            <w:r>
              <w:t>2050201</w:t>
            </w:r>
          </w:p>
        </w:tc>
        <w:tc>
          <w:tcPr>
            <w:tcW w:w="4535" w:type="dxa"/>
            <w:vAlign w:val="center"/>
          </w:tcPr>
          <w:p w14:paraId="0D490D76">
            <w:pPr>
              <w:pStyle w:val="13"/>
            </w:pPr>
            <w:r>
              <w:t>学前教育</w:t>
            </w:r>
          </w:p>
        </w:tc>
        <w:tc>
          <w:tcPr>
            <w:tcW w:w="1361" w:type="dxa"/>
            <w:vAlign w:val="center"/>
          </w:tcPr>
          <w:p w14:paraId="103A0D8E">
            <w:pPr>
              <w:pStyle w:val="14"/>
            </w:pPr>
            <w:r>
              <w:t>72.60</w:t>
            </w:r>
          </w:p>
        </w:tc>
        <w:tc>
          <w:tcPr>
            <w:tcW w:w="1361" w:type="dxa"/>
            <w:vAlign w:val="center"/>
          </w:tcPr>
          <w:p w14:paraId="56072F70">
            <w:pPr>
              <w:pStyle w:val="14"/>
            </w:pPr>
          </w:p>
        </w:tc>
        <w:tc>
          <w:tcPr>
            <w:tcW w:w="1361" w:type="dxa"/>
            <w:vAlign w:val="center"/>
          </w:tcPr>
          <w:p w14:paraId="4B54AAC7">
            <w:pPr>
              <w:pStyle w:val="14"/>
            </w:pPr>
            <w:r>
              <w:t>72.60</w:t>
            </w:r>
          </w:p>
        </w:tc>
        <w:tc>
          <w:tcPr>
            <w:tcW w:w="1361" w:type="dxa"/>
            <w:vAlign w:val="center"/>
          </w:tcPr>
          <w:p w14:paraId="3E38A6A0">
            <w:pPr>
              <w:pStyle w:val="14"/>
            </w:pPr>
          </w:p>
        </w:tc>
        <w:tc>
          <w:tcPr>
            <w:tcW w:w="1361" w:type="dxa"/>
            <w:vAlign w:val="center"/>
          </w:tcPr>
          <w:p w14:paraId="1E1A171B">
            <w:pPr>
              <w:pStyle w:val="14"/>
            </w:pPr>
          </w:p>
        </w:tc>
        <w:tc>
          <w:tcPr>
            <w:tcW w:w="1361" w:type="dxa"/>
            <w:vAlign w:val="center"/>
          </w:tcPr>
          <w:p w14:paraId="396D375A">
            <w:pPr>
              <w:pStyle w:val="14"/>
            </w:pPr>
          </w:p>
        </w:tc>
      </w:tr>
      <w:tr w14:paraId="13989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767E1">
            <w:pPr>
              <w:pStyle w:val="12"/>
            </w:pPr>
            <w:r>
              <w:t>5</w:t>
            </w:r>
          </w:p>
        </w:tc>
        <w:tc>
          <w:tcPr>
            <w:tcW w:w="992" w:type="dxa"/>
            <w:vAlign w:val="center"/>
          </w:tcPr>
          <w:p w14:paraId="5A4DF70E">
            <w:pPr>
              <w:pStyle w:val="13"/>
            </w:pPr>
            <w:r>
              <w:t>2050202</w:t>
            </w:r>
          </w:p>
        </w:tc>
        <w:tc>
          <w:tcPr>
            <w:tcW w:w="4535" w:type="dxa"/>
            <w:vAlign w:val="center"/>
          </w:tcPr>
          <w:p w14:paraId="79C9B22C">
            <w:pPr>
              <w:pStyle w:val="13"/>
            </w:pPr>
            <w:r>
              <w:t>小学教育</w:t>
            </w:r>
          </w:p>
        </w:tc>
        <w:tc>
          <w:tcPr>
            <w:tcW w:w="1361" w:type="dxa"/>
            <w:vAlign w:val="center"/>
          </w:tcPr>
          <w:p w14:paraId="48C6FFDF">
            <w:pPr>
              <w:pStyle w:val="14"/>
            </w:pPr>
            <w:r>
              <w:t>2140.79</w:t>
            </w:r>
          </w:p>
        </w:tc>
        <w:tc>
          <w:tcPr>
            <w:tcW w:w="1361" w:type="dxa"/>
            <w:vAlign w:val="center"/>
          </w:tcPr>
          <w:p w14:paraId="5B30E7E8">
            <w:pPr>
              <w:pStyle w:val="14"/>
            </w:pPr>
            <w:r>
              <w:t>1755.23</w:t>
            </w:r>
          </w:p>
        </w:tc>
        <w:tc>
          <w:tcPr>
            <w:tcW w:w="1361" w:type="dxa"/>
            <w:vAlign w:val="center"/>
          </w:tcPr>
          <w:p w14:paraId="42A6F1B0">
            <w:pPr>
              <w:pStyle w:val="14"/>
            </w:pPr>
            <w:r>
              <w:t>385.57</w:t>
            </w:r>
          </w:p>
        </w:tc>
        <w:tc>
          <w:tcPr>
            <w:tcW w:w="1361" w:type="dxa"/>
            <w:vAlign w:val="center"/>
          </w:tcPr>
          <w:p w14:paraId="390418B3">
            <w:pPr>
              <w:pStyle w:val="14"/>
            </w:pPr>
          </w:p>
        </w:tc>
        <w:tc>
          <w:tcPr>
            <w:tcW w:w="1361" w:type="dxa"/>
            <w:vAlign w:val="center"/>
          </w:tcPr>
          <w:p w14:paraId="683881AA">
            <w:pPr>
              <w:pStyle w:val="14"/>
            </w:pPr>
          </w:p>
        </w:tc>
        <w:tc>
          <w:tcPr>
            <w:tcW w:w="1361" w:type="dxa"/>
            <w:vAlign w:val="center"/>
          </w:tcPr>
          <w:p w14:paraId="3FB4EF94">
            <w:pPr>
              <w:pStyle w:val="14"/>
            </w:pPr>
          </w:p>
        </w:tc>
      </w:tr>
    </w:tbl>
    <w:p w14:paraId="31157DC9">
      <w:pPr>
        <w:sectPr>
          <w:pgSz w:w="16840" w:h="11900" w:orient="landscape"/>
          <w:pgMar w:top="1361" w:right="1020" w:bottom="1134" w:left="1020" w:header="720" w:footer="720" w:gutter="0"/>
          <w:cols w:space="720" w:num="1"/>
        </w:sectPr>
      </w:pPr>
    </w:p>
    <w:p w14:paraId="6FF8D0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A76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6AED29">
            <w:pPr>
              <w:pStyle w:val="8"/>
            </w:pPr>
            <w:r>
              <w:t>360026隆尧县牛家桥校区</w:t>
            </w:r>
          </w:p>
        </w:tc>
        <w:tc>
          <w:tcPr>
            <w:tcW w:w="3402" w:type="dxa"/>
            <w:tcBorders>
              <w:top w:val="single" w:color="FFFFFF" w:sz="6" w:space="0"/>
              <w:left w:val="single" w:color="FFFFFF" w:sz="6" w:space="0"/>
              <w:right w:val="single" w:color="FFFFFF" w:sz="6" w:space="0"/>
            </w:tcBorders>
            <w:vAlign w:val="center"/>
          </w:tcPr>
          <w:p w14:paraId="428AEEC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1EB95CA">
            <w:pPr>
              <w:pStyle w:val="10"/>
            </w:pPr>
            <w:r>
              <w:t>单位：万元</w:t>
            </w:r>
          </w:p>
        </w:tc>
      </w:tr>
      <w:tr w14:paraId="317D4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058F3">
            <w:pPr>
              <w:pStyle w:val="11"/>
            </w:pPr>
            <w:r>
              <w:t>序号</w:t>
            </w:r>
          </w:p>
        </w:tc>
        <w:tc>
          <w:tcPr>
            <w:tcW w:w="4876" w:type="dxa"/>
            <w:gridSpan w:val="2"/>
            <w:vAlign w:val="center"/>
          </w:tcPr>
          <w:p w14:paraId="596D152B">
            <w:pPr>
              <w:pStyle w:val="11"/>
            </w:pPr>
            <w:r>
              <w:t>收入</w:t>
            </w:r>
          </w:p>
        </w:tc>
        <w:tc>
          <w:tcPr>
            <w:tcW w:w="9298" w:type="dxa"/>
            <w:gridSpan w:val="5"/>
            <w:vAlign w:val="center"/>
          </w:tcPr>
          <w:p w14:paraId="44D75EEB">
            <w:pPr>
              <w:pStyle w:val="11"/>
            </w:pPr>
            <w:r>
              <w:t>支出</w:t>
            </w:r>
          </w:p>
        </w:tc>
      </w:tr>
      <w:tr w14:paraId="6E83E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4EDD5F"/>
        </w:tc>
        <w:tc>
          <w:tcPr>
            <w:tcW w:w="3402" w:type="dxa"/>
            <w:vAlign w:val="center"/>
          </w:tcPr>
          <w:p w14:paraId="680E8A9E">
            <w:pPr>
              <w:pStyle w:val="11"/>
            </w:pPr>
            <w:r>
              <w:t>项  目</w:t>
            </w:r>
          </w:p>
        </w:tc>
        <w:tc>
          <w:tcPr>
            <w:tcW w:w="1474" w:type="dxa"/>
            <w:vAlign w:val="center"/>
          </w:tcPr>
          <w:p w14:paraId="61A17EF7">
            <w:pPr>
              <w:pStyle w:val="11"/>
            </w:pPr>
            <w:r>
              <w:t>金额</w:t>
            </w:r>
          </w:p>
        </w:tc>
        <w:tc>
          <w:tcPr>
            <w:tcW w:w="3402" w:type="dxa"/>
            <w:vAlign w:val="center"/>
          </w:tcPr>
          <w:p w14:paraId="0E859680">
            <w:pPr>
              <w:pStyle w:val="11"/>
            </w:pPr>
            <w:r>
              <w:t>项  目</w:t>
            </w:r>
          </w:p>
        </w:tc>
        <w:tc>
          <w:tcPr>
            <w:tcW w:w="1474" w:type="dxa"/>
            <w:vAlign w:val="center"/>
          </w:tcPr>
          <w:p w14:paraId="2D14328F">
            <w:pPr>
              <w:pStyle w:val="11"/>
            </w:pPr>
            <w:r>
              <w:t>合计</w:t>
            </w:r>
          </w:p>
        </w:tc>
        <w:tc>
          <w:tcPr>
            <w:tcW w:w="1474" w:type="dxa"/>
            <w:vAlign w:val="center"/>
          </w:tcPr>
          <w:p w14:paraId="5B8B8703">
            <w:pPr>
              <w:pStyle w:val="11"/>
            </w:pPr>
            <w:r>
              <w:t>一般公共预算财政拨款</w:t>
            </w:r>
          </w:p>
        </w:tc>
        <w:tc>
          <w:tcPr>
            <w:tcW w:w="1474" w:type="dxa"/>
            <w:vAlign w:val="center"/>
          </w:tcPr>
          <w:p w14:paraId="5CDE5135">
            <w:pPr>
              <w:pStyle w:val="11"/>
            </w:pPr>
            <w:r>
              <w:t>政府性基金预算财政    拨款</w:t>
            </w:r>
          </w:p>
        </w:tc>
        <w:tc>
          <w:tcPr>
            <w:tcW w:w="1474" w:type="dxa"/>
            <w:vAlign w:val="center"/>
          </w:tcPr>
          <w:p w14:paraId="56CBA9B1">
            <w:pPr>
              <w:pStyle w:val="11"/>
            </w:pPr>
            <w:r>
              <w:t>国有资本经营预算财政拨款</w:t>
            </w:r>
          </w:p>
        </w:tc>
      </w:tr>
      <w:tr w14:paraId="616B5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E8B75">
            <w:pPr>
              <w:pStyle w:val="11"/>
            </w:pPr>
            <w:r>
              <w:t>栏次</w:t>
            </w:r>
          </w:p>
        </w:tc>
        <w:tc>
          <w:tcPr>
            <w:tcW w:w="3402" w:type="dxa"/>
            <w:vAlign w:val="center"/>
          </w:tcPr>
          <w:p w14:paraId="0036ACED">
            <w:pPr>
              <w:pStyle w:val="11"/>
            </w:pPr>
            <w:r>
              <w:t>1</w:t>
            </w:r>
          </w:p>
        </w:tc>
        <w:tc>
          <w:tcPr>
            <w:tcW w:w="1474" w:type="dxa"/>
            <w:vAlign w:val="center"/>
          </w:tcPr>
          <w:p w14:paraId="776120F0">
            <w:pPr>
              <w:pStyle w:val="11"/>
            </w:pPr>
            <w:r>
              <w:t>2</w:t>
            </w:r>
          </w:p>
        </w:tc>
        <w:tc>
          <w:tcPr>
            <w:tcW w:w="3402" w:type="dxa"/>
            <w:vAlign w:val="center"/>
          </w:tcPr>
          <w:p w14:paraId="37B35069">
            <w:pPr>
              <w:pStyle w:val="11"/>
            </w:pPr>
            <w:r>
              <w:t>3</w:t>
            </w:r>
          </w:p>
        </w:tc>
        <w:tc>
          <w:tcPr>
            <w:tcW w:w="1474" w:type="dxa"/>
            <w:vAlign w:val="center"/>
          </w:tcPr>
          <w:p w14:paraId="2A30448C">
            <w:pPr>
              <w:pStyle w:val="11"/>
            </w:pPr>
            <w:r>
              <w:t>4</w:t>
            </w:r>
          </w:p>
        </w:tc>
        <w:tc>
          <w:tcPr>
            <w:tcW w:w="1474" w:type="dxa"/>
            <w:vAlign w:val="center"/>
          </w:tcPr>
          <w:p w14:paraId="37EA5613">
            <w:pPr>
              <w:pStyle w:val="11"/>
            </w:pPr>
            <w:r>
              <w:t>5</w:t>
            </w:r>
          </w:p>
        </w:tc>
        <w:tc>
          <w:tcPr>
            <w:tcW w:w="1474" w:type="dxa"/>
            <w:vAlign w:val="center"/>
          </w:tcPr>
          <w:p w14:paraId="517D0A0F">
            <w:pPr>
              <w:pStyle w:val="11"/>
            </w:pPr>
            <w:r>
              <w:t>6</w:t>
            </w:r>
          </w:p>
        </w:tc>
        <w:tc>
          <w:tcPr>
            <w:tcW w:w="1474" w:type="dxa"/>
            <w:vAlign w:val="center"/>
          </w:tcPr>
          <w:p w14:paraId="48098510">
            <w:pPr>
              <w:pStyle w:val="11"/>
            </w:pPr>
            <w:r>
              <w:t>7</w:t>
            </w:r>
          </w:p>
        </w:tc>
      </w:tr>
      <w:tr w14:paraId="44C87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0144C">
            <w:pPr>
              <w:pStyle w:val="12"/>
            </w:pPr>
            <w:r>
              <w:t>1</w:t>
            </w:r>
          </w:p>
        </w:tc>
        <w:tc>
          <w:tcPr>
            <w:tcW w:w="3402" w:type="dxa"/>
            <w:vAlign w:val="center"/>
          </w:tcPr>
          <w:p w14:paraId="6892C481">
            <w:pPr>
              <w:pStyle w:val="13"/>
            </w:pPr>
            <w:r>
              <w:t>一、一般公共预算拨款</w:t>
            </w:r>
          </w:p>
        </w:tc>
        <w:tc>
          <w:tcPr>
            <w:tcW w:w="1474" w:type="dxa"/>
            <w:vAlign w:val="center"/>
          </w:tcPr>
          <w:p w14:paraId="6E180574">
            <w:pPr>
              <w:pStyle w:val="14"/>
            </w:pPr>
            <w:r>
              <w:t>2213.39</w:t>
            </w:r>
          </w:p>
        </w:tc>
        <w:tc>
          <w:tcPr>
            <w:tcW w:w="3402" w:type="dxa"/>
            <w:vAlign w:val="center"/>
          </w:tcPr>
          <w:p w14:paraId="3D07C99F">
            <w:pPr>
              <w:pStyle w:val="13"/>
            </w:pPr>
            <w:r>
              <w:t>一、一般公共服务支出</w:t>
            </w:r>
          </w:p>
        </w:tc>
        <w:tc>
          <w:tcPr>
            <w:tcW w:w="1474" w:type="dxa"/>
            <w:vAlign w:val="center"/>
          </w:tcPr>
          <w:p w14:paraId="2D42EC6A">
            <w:pPr>
              <w:pStyle w:val="14"/>
            </w:pPr>
          </w:p>
        </w:tc>
        <w:tc>
          <w:tcPr>
            <w:tcW w:w="1474" w:type="dxa"/>
            <w:vAlign w:val="center"/>
          </w:tcPr>
          <w:p w14:paraId="45A8E0BB">
            <w:pPr>
              <w:pStyle w:val="14"/>
            </w:pPr>
          </w:p>
        </w:tc>
        <w:tc>
          <w:tcPr>
            <w:tcW w:w="1474" w:type="dxa"/>
            <w:vAlign w:val="center"/>
          </w:tcPr>
          <w:p w14:paraId="64A461F0">
            <w:pPr>
              <w:pStyle w:val="14"/>
            </w:pPr>
          </w:p>
        </w:tc>
        <w:tc>
          <w:tcPr>
            <w:tcW w:w="1474" w:type="dxa"/>
            <w:vAlign w:val="center"/>
          </w:tcPr>
          <w:p w14:paraId="25EC69D6">
            <w:pPr>
              <w:pStyle w:val="14"/>
            </w:pPr>
          </w:p>
        </w:tc>
      </w:tr>
      <w:tr w14:paraId="286ED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651A9">
            <w:pPr>
              <w:pStyle w:val="12"/>
            </w:pPr>
            <w:r>
              <w:t>2</w:t>
            </w:r>
          </w:p>
        </w:tc>
        <w:tc>
          <w:tcPr>
            <w:tcW w:w="3402" w:type="dxa"/>
            <w:vAlign w:val="center"/>
          </w:tcPr>
          <w:p w14:paraId="697E0839">
            <w:pPr>
              <w:pStyle w:val="13"/>
            </w:pPr>
            <w:r>
              <w:t>二、政府性基金预算拨款</w:t>
            </w:r>
          </w:p>
        </w:tc>
        <w:tc>
          <w:tcPr>
            <w:tcW w:w="1474" w:type="dxa"/>
            <w:vAlign w:val="center"/>
          </w:tcPr>
          <w:p w14:paraId="3FD43BB7">
            <w:pPr>
              <w:pStyle w:val="14"/>
            </w:pPr>
          </w:p>
        </w:tc>
        <w:tc>
          <w:tcPr>
            <w:tcW w:w="3402" w:type="dxa"/>
            <w:vAlign w:val="center"/>
          </w:tcPr>
          <w:p w14:paraId="73925E57">
            <w:pPr>
              <w:pStyle w:val="13"/>
            </w:pPr>
            <w:r>
              <w:t>二、外交支出</w:t>
            </w:r>
          </w:p>
        </w:tc>
        <w:tc>
          <w:tcPr>
            <w:tcW w:w="1474" w:type="dxa"/>
            <w:vAlign w:val="center"/>
          </w:tcPr>
          <w:p w14:paraId="3D4EC76F">
            <w:pPr>
              <w:pStyle w:val="14"/>
            </w:pPr>
          </w:p>
        </w:tc>
        <w:tc>
          <w:tcPr>
            <w:tcW w:w="1474" w:type="dxa"/>
            <w:vAlign w:val="center"/>
          </w:tcPr>
          <w:p w14:paraId="272FD9DC">
            <w:pPr>
              <w:pStyle w:val="14"/>
            </w:pPr>
          </w:p>
        </w:tc>
        <w:tc>
          <w:tcPr>
            <w:tcW w:w="1474" w:type="dxa"/>
            <w:vAlign w:val="center"/>
          </w:tcPr>
          <w:p w14:paraId="2A9C2DDF">
            <w:pPr>
              <w:pStyle w:val="14"/>
            </w:pPr>
          </w:p>
        </w:tc>
        <w:tc>
          <w:tcPr>
            <w:tcW w:w="1474" w:type="dxa"/>
            <w:vAlign w:val="center"/>
          </w:tcPr>
          <w:p w14:paraId="0756DCB9">
            <w:pPr>
              <w:pStyle w:val="14"/>
            </w:pPr>
          </w:p>
        </w:tc>
      </w:tr>
      <w:tr w14:paraId="3D565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0A61F">
            <w:pPr>
              <w:pStyle w:val="12"/>
            </w:pPr>
            <w:r>
              <w:t>3</w:t>
            </w:r>
          </w:p>
        </w:tc>
        <w:tc>
          <w:tcPr>
            <w:tcW w:w="3402" w:type="dxa"/>
            <w:vAlign w:val="center"/>
          </w:tcPr>
          <w:p w14:paraId="12DCBABD">
            <w:pPr>
              <w:pStyle w:val="13"/>
            </w:pPr>
            <w:r>
              <w:t>三、国有资本经营预算拨款</w:t>
            </w:r>
          </w:p>
        </w:tc>
        <w:tc>
          <w:tcPr>
            <w:tcW w:w="1474" w:type="dxa"/>
            <w:vAlign w:val="center"/>
          </w:tcPr>
          <w:p w14:paraId="4305E2F4">
            <w:pPr>
              <w:pStyle w:val="14"/>
            </w:pPr>
          </w:p>
        </w:tc>
        <w:tc>
          <w:tcPr>
            <w:tcW w:w="3402" w:type="dxa"/>
            <w:vAlign w:val="center"/>
          </w:tcPr>
          <w:p w14:paraId="2C26C7BD">
            <w:pPr>
              <w:pStyle w:val="13"/>
            </w:pPr>
            <w:r>
              <w:t>三、国防支出</w:t>
            </w:r>
          </w:p>
        </w:tc>
        <w:tc>
          <w:tcPr>
            <w:tcW w:w="1474" w:type="dxa"/>
            <w:vAlign w:val="center"/>
          </w:tcPr>
          <w:p w14:paraId="73B6FF0A">
            <w:pPr>
              <w:pStyle w:val="14"/>
            </w:pPr>
          </w:p>
        </w:tc>
        <w:tc>
          <w:tcPr>
            <w:tcW w:w="1474" w:type="dxa"/>
            <w:vAlign w:val="center"/>
          </w:tcPr>
          <w:p w14:paraId="15F9B97E">
            <w:pPr>
              <w:pStyle w:val="14"/>
            </w:pPr>
          </w:p>
        </w:tc>
        <w:tc>
          <w:tcPr>
            <w:tcW w:w="1474" w:type="dxa"/>
            <w:vAlign w:val="center"/>
          </w:tcPr>
          <w:p w14:paraId="68C52360">
            <w:pPr>
              <w:pStyle w:val="14"/>
            </w:pPr>
          </w:p>
        </w:tc>
        <w:tc>
          <w:tcPr>
            <w:tcW w:w="1474" w:type="dxa"/>
            <w:vAlign w:val="center"/>
          </w:tcPr>
          <w:p w14:paraId="09FB07A1">
            <w:pPr>
              <w:pStyle w:val="14"/>
            </w:pPr>
          </w:p>
        </w:tc>
      </w:tr>
      <w:tr w14:paraId="516C1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5FE7F">
            <w:pPr>
              <w:pStyle w:val="12"/>
            </w:pPr>
            <w:r>
              <w:t>4</w:t>
            </w:r>
          </w:p>
        </w:tc>
        <w:tc>
          <w:tcPr>
            <w:tcW w:w="3402" w:type="dxa"/>
            <w:vAlign w:val="center"/>
          </w:tcPr>
          <w:p w14:paraId="254F2573">
            <w:pPr>
              <w:pStyle w:val="13"/>
            </w:pPr>
          </w:p>
        </w:tc>
        <w:tc>
          <w:tcPr>
            <w:tcW w:w="1474" w:type="dxa"/>
            <w:vAlign w:val="center"/>
          </w:tcPr>
          <w:p w14:paraId="1C653B5C">
            <w:pPr>
              <w:pStyle w:val="14"/>
            </w:pPr>
          </w:p>
        </w:tc>
        <w:tc>
          <w:tcPr>
            <w:tcW w:w="3402" w:type="dxa"/>
            <w:vAlign w:val="center"/>
          </w:tcPr>
          <w:p w14:paraId="1E5FCE8A">
            <w:pPr>
              <w:pStyle w:val="13"/>
            </w:pPr>
            <w:r>
              <w:t>四、公共安全支出</w:t>
            </w:r>
          </w:p>
        </w:tc>
        <w:tc>
          <w:tcPr>
            <w:tcW w:w="1474" w:type="dxa"/>
            <w:vAlign w:val="center"/>
          </w:tcPr>
          <w:p w14:paraId="1FD84491">
            <w:pPr>
              <w:pStyle w:val="14"/>
            </w:pPr>
          </w:p>
        </w:tc>
        <w:tc>
          <w:tcPr>
            <w:tcW w:w="1474" w:type="dxa"/>
            <w:vAlign w:val="center"/>
          </w:tcPr>
          <w:p w14:paraId="1C8D0D3E">
            <w:pPr>
              <w:pStyle w:val="14"/>
            </w:pPr>
          </w:p>
        </w:tc>
        <w:tc>
          <w:tcPr>
            <w:tcW w:w="1474" w:type="dxa"/>
            <w:vAlign w:val="center"/>
          </w:tcPr>
          <w:p w14:paraId="2F26DE7D">
            <w:pPr>
              <w:pStyle w:val="14"/>
            </w:pPr>
          </w:p>
        </w:tc>
        <w:tc>
          <w:tcPr>
            <w:tcW w:w="1474" w:type="dxa"/>
            <w:vAlign w:val="center"/>
          </w:tcPr>
          <w:p w14:paraId="5A92B1E9">
            <w:pPr>
              <w:pStyle w:val="14"/>
            </w:pPr>
          </w:p>
        </w:tc>
      </w:tr>
      <w:tr w14:paraId="7F101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E46C0">
            <w:pPr>
              <w:pStyle w:val="12"/>
            </w:pPr>
            <w:r>
              <w:t>5</w:t>
            </w:r>
          </w:p>
        </w:tc>
        <w:tc>
          <w:tcPr>
            <w:tcW w:w="3402" w:type="dxa"/>
            <w:vAlign w:val="center"/>
          </w:tcPr>
          <w:p w14:paraId="61A30455">
            <w:pPr>
              <w:pStyle w:val="13"/>
            </w:pPr>
          </w:p>
        </w:tc>
        <w:tc>
          <w:tcPr>
            <w:tcW w:w="1474" w:type="dxa"/>
            <w:vAlign w:val="center"/>
          </w:tcPr>
          <w:p w14:paraId="51755F0B">
            <w:pPr>
              <w:pStyle w:val="14"/>
            </w:pPr>
          </w:p>
        </w:tc>
        <w:tc>
          <w:tcPr>
            <w:tcW w:w="3402" w:type="dxa"/>
            <w:vAlign w:val="center"/>
          </w:tcPr>
          <w:p w14:paraId="6EC853A2">
            <w:pPr>
              <w:pStyle w:val="13"/>
            </w:pPr>
            <w:r>
              <w:t>五、教育支出</w:t>
            </w:r>
          </w:p>
        </w:tc>
        <w:tc>
          <w:tcPr>
            <w:tcW w:w="1474" w:type="dxa"/>
            <w:vAlign w:val="center"/>
          </w:tcPr>
          <w:p w14:paraId="0651AF0C">
            <w:pPr>
              <w:pStyle w:val="14"/>
            </w:pPr>
            <w:r>
              <w:t>2213.39</w:t>
            </w:r>
          </w:p>
        </w:tc>
        <w:tc>
          <w:tcPr>
            <w:tcW w:w="1474" w:type="dxa"/>
            <w:vAlign w:val="center"/>
          </w:tcPr>
          <w:p w14:paraId="62EA66CB">
            <w:pPr>
              <w:pStyle w:val="14"/>
            </w:pPr>
            <w:r>
              <w:t>2213.39</w:t>
            </w:r>
          </w:p>
        </w:tc>
        <w:tc>
          <w:tcPr>
            <w:tcW w:w="1474" w:type="dxa"/>
            <w:vAlign w:val="center"/>
          </w:tcPr>
          <w:p w14:paraId="50A26727">
            <w:pPr>
              <w:pStyle w:val="14"/>
            </w:pPr>
          </w:p>
        </w:tc>
        <w:tc>
          <w:tcPr>
            <w:tcW w:w="1474" w:type="dxa"/>
            <w:vAlign w:val="center"/>
          </w:tcPr>
          <w:p w14:paraId="568E5D83">
            <w:pPr>
              <w:pStyle w:val="14"/>
            </w:pPr>
          </w:p>
        </w:tc>
      </w:tr>
      <w:tr w14:paraId="31128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A991A">
            <w:pPr>
              <w:pStyle w:val="12"/>
            </w:pPr>
            <w:r>
              <w:t>6</w:t>
            </w:r>
          </w:p>
        </w:tc>
        <w:tc>
          <w:tcPr>
            <w:tcW w:w="3402" w:type="dxa"/>
            <w:vAlign w:val="center"/>
          </w:tcPr>
          <w:p w14:paraId="43B83277">
            <w:pPr>
              <w:pStyle w:val="13"/>
            </w:pPr>
          </w:p>
        </w:tc>
        <w:tc>
          <w:tcPr>
            <w:tcW w:w="1474" w:type="dxa"/>
            <w:vAlign w:val="center"/>
          </w:tcPr>
          <w:p w14:paraId="7BDB16E1">
            <w:pPr>
              <w:pStyle w:val="14"/>
            </w:pPr>
          </w:p>
        </w:tc>
        <w:tc>
          <w:tcPr>
            <w:tcW w:w="3402" w:type="dxa"/>
            <w:vAlign w:val="center"/>
          </w:tcPr>
          <w:p w14:paraId="0D4A0181">
            <w:pPr>
              <w:pStyle w:val="13"/>
            </w:pPr>
            <w:r>
              <w:t>六、科学技术支出</w:t>
            </w:r>
          </w:p>
        </w:tc>
        <w:tc>
          <w:tcPr>
            <w:tcW w:w="1474" w:type="dxa"/>
            <w:vAlign w:val="center"/>
          </w:tcPr>
          <w:p w14:paraId="21442737">
            <w:pPr>
              <w:pStyle w:val="14"/>
            </w:pPr>
          </w:p>
        </w:tc>
        <w:tc>
          <w:tcPr>
            <w:tcW w:w="1474" w:type="dxa"/>
            <w:vAlign w:val="center"/>
          </w:tcPr>
          <w:p w14:paraId="4BB36BAA">
            <w:pPr>
              <w:pStyle w:val="14"/>
            </w:pPr>
          </w:p>
        </w:tc>
        <w:tc>
          <w:tcPr>
            <w:tcW w:w="1474" w:type="dxa"/>
            <w:vAlign w:val="center"/>
          </w:tcPr>
          <w:p w14:paraId="29692680">
            <w:pPr>
              <w:pStyle w:val="14"/>
            </w:pPr>
          </w:p>
        </w:tc>
        <w:tc>
          <w:tcPr>
            <w:tcW w:w="1474" w:type="dxa"/>
            <w:vAlign w:val="center"/>
          </w:tcPr>
          <w:p w14:paraId="15AFCAED">
            <w:pPr>
              <w:pStyle w:val="14"/>
            </w:pPr>
          </w:p>
        </w:tc>
      </w:tr>
      <w:tr w14:paraId="41A77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12DF9">
            <w:pPr>
              <w:pStyle w:val="12"/>
            </w:pPr>
            <w:r>
              <w:t>7</w:t>
            </w:r>
          </w:p>
        </w:tc>
        <w:tc>
          <w:tcPr>
            <w:tcW w:w="3402" w:type="dxa"/>
            <w:vAlign w:val="center"/>
          </w:tcPr>
          <w:p w14:paraId="029F25B8">
            <w:pPr>
              <w:pStyle w:val="13"/>
            </w:pPr>
          </w:p>
        </w:tc>
        <w:tc>
          <w:tcPr>
            <w:tcW w:w="1474" w:type="dxa"/>
            <w:vAlign w:val="center"/>
          </w:tcPr>
          <w:p w14:paraId="17010A09">
            <w:pPr>
              <w:pStyle w:val="14"/>
            </w:pPr>
          </w:p>
        </w:tc>
        <w:tc>
          <w:tcPr>
            <w:tcW w:w="3402" w:type="dxa"/>
            <w:vAlign w:val="center"/>
          </w:tcPr>
          <w:p w14:paraId="49B16D54">
            <w:pPr>
              <w:pStyle w:val="13"/>
            </w:pPr>
            <w:r>
              <w:t>七、文化旅游体育与传媒支出</w:t>
            </w:r>
          </w:p>
        </w:tc>
        <w:tc>
          <w:tcPr>
            <w:tcW w:w="1474" w:type="dxa"/>
            <w:vAlign w:val="center"/>
          </w:tcPr>
          <w:p w14:paraId="4D1D632C">
            <w:pPr>
              <w:pStyle w:val="14"/>
            </w:pPr>
          </w:p>
        </w:tc>
        <w:tc>
          <w:tcPr>
            <w:tcW w:w="1474" w:type="dxa"/>
            <w:vAlign w:val="center"/>
          </w:tcPr>
          <w:p w14:paraId="167997B3">
            <w:pPr>
              <w:pStyle w:val="14"/>
            </w:pPr>
          </w:p>
        </w:tc>
        <w:tc>
          <w:tcPr>
            <w:tcW w:w="1474" w:type="dxa"/>
            <w:vAlign w:val="center"/>
          </w:tcPr>
          <w:p w14:paraId="3D4D7089">
            <w:pPr>
              <w:pStyle w:val="14"/>
            </w:pPr>
          </w:p>
        </w:tc>
        <w:tc>
          <w:tcPr>
            <w:tcW w:w="1474" w:type="dxa"/>
            <w:vAlign w:val="center"/>
          </w:tcPr>
          <w:p w14:paraId="6D2528FB">
            <w:pPr>
              <w:pStyle w:val="14"/>
            </w:pPr>
          </w:p>
        </w:tc>
      </w:tr>
      <w:tr w14:paraId="2BC30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6FF7B">
            <w:pPr>
              <w:pStyle w:val="12"/>
            </w:pPr>
            <w:r>
              <w:t>8</w:t>
            </w:r>
          </w:p>
        </w:tc>
        <w:tc>
          <w:tcPr>
            <w:tcW w:w="3402" w:type="dxa"/>
            <w:vAlign w:val="center"/>
          </w:tcPr>
          <w:p w14:paraId="09977B61">
            <w:pPr>
              <w:pStyle w:val="13"/>
            </w:pPr>
          </w:p>
        </w:tc>
        <w:tc>
          <w:tcPr>
            <w:tcW w:w="1474" w:type="dxa"/>
            <w:vAlign w:val="center"/>
          </w:tcPr>
          <w:p w14:paraId="0859A5A0">
            <w:pPr>
              <w:pStyle w:val="14"/>
            </w:pPr>
          </w:p>
        </w:tc>
        <w:tc>
          <w:tcPr>
            <w:tcW w:w="3402" w:type="dxa"/>
            <w:vAlign w:val="center"/>
          </w:tcPr>
          <w:p w14:paraId="0A7C9AD4">
            <w:pPr>
              <w:pStyle w:val="13"/>
            </w:pPr>
            <w:r>
              <w:t>八、社会保障和就业支出</w:t>
            </w:r>
          </w:p>
        </w:tc>
        <w:tc>
          <w:tcPr>
            <w:tcW w:w="1474" w:type="dxa"/>
            <w:vAlign w:val="center"/>
          </w:tcPr>
          <w:p w14:paraId="791986C3">
            <w:pPr>
              <w:pStyle w:val="14"/>
            </w:pPr>
          </w:p>
        </w:tc>
        <w:tc>
          <w:tcPr>
            <w:tcW w:w="1474" w:type="dxa"/>
            <w:vAlign w:val="center"/>
          </w:tcPr>
          <w:p w14:paraId="27B87A1C">
            <w:pPr>
              <w:pStyle w:val="14"/>
            </w:pPr>
          </w:p>
        </w:tc>
        <w:tc>
          <w:tcPr>
            <w:tcW w:w="1474" w:type="dxa"/>
            <w:vAlign w:val="center"/>
          </w:tcPr>
          <w:p w14:paraId="70807E58">
            <w:pPr>
              <w:pStyle w:val="14"/>
            </w:pPr>
          </w:p>
        </w:tc>
        <w:tc>
          <w:tcPr>
            <w:tcW w:w="1474" w:type="dxa"/>
            <w:vAlign w:val="center"/>
          </w:tcPr>
          <w:p w14:paraId="3C25250A">
            <w:pPr>
              <w:pStyle w:val="14"/>
            </w:pPr>
          </w:p>
        </w:tc>
      </w:tr>
      <w:tr w14:paraId="4FAE0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7F7EC">
            <w:pPr>
              <w:pStyle w:val="12"/>
            </w:pPr>
            <w:r>
              <w:t>9</w:t>
            </w:r>
          </w:p>
        </w:tc>
        <w:tc>
          <w:tcPr>
            <w:tcW w:w="3402" w:type="dxa"/>
            <w:vAlign w:val="center"/>
          </w:tcPr>
          <w:p w14:paraId="2ADC2C92">
            <w:pPr>
              <w:pStyle w:val="13"/>
            </w:pPr>
          </w:p>
        </w:tc>
        <w:tc>
          <w:tcPr>
            <w:tcW w:w="1474" w:type="dxa"/>
            <w:vAlign w:val="center"/>
          </w:tcPr>
          <w:p w14:paraId="27E372D9">
            <w:pPr>
              <w:pStyle w:val="14"/>
            </w:pPr>
          </w:p>
        </w:tc>
        <w:tc>
          <w:tcPr>
            <w:tcW w:w="3402" w:type="dxa"/>
            <w:vAlign w:val="center"/>
          </w:tcPr>
          <w:p w14:paraId="4753BFFD">
            <w:pPr>
              <w:pStyle w:val="13"/>
            </w:pPr>
            <w:r>
              <w:t>九、社会保险基金支出</w:t>
            </w:r>
          </w:p>
        </w:tc>
        <w:tc>
          <w:tcPr>
            <w:tcW w:w="1474" w:type="dxa"/>
            <w:vAlign w:val="center"/>
          </w:tcPr>
          <w:p w14:paraId="3A327F65">
            <w:pPr>
              <w:pStyle w:val="14"/>
            </w:pPr>
          </w:p>
        </w:tc>
        <w:tc>
          <w:tcPr>
            <w:tcW w:w="1474" w:type="dxa"/>
            <w:vAlign w:val="center"/>
          </w:tcPr>
          <w:p w14:paraId="21DF9B9B">
            <w:pPr>
              <w:pStyle w:val="14"/>
            </w:pPr>
          </w:p>
        </w:tc>
        <w:tc>
          <w:tcPr>
            <w:tcW w:w="1474" w:type="dxa"/>
            <w:vAlign w:val="center"/>
          </w:tcPr>
          <w:p w14:paraId="18AB8C86">
            <w:pPr>
              <w:pStyle w:val="14"/>
            </w:pPr>
          </w:p>
        </w:tc>
        <w:tc>
          <w:tcPr>
            <w:tcW w:w="1474" w:type="dxa"/>
            <w:vAlign w:val="center"/>
          </w:tcPr>
          <w:p w14:paraId="29F579E9">
            <w:pPr>
              <w:pStyle w:val="14"/>
            </w:pPr>
          </w:p>
        </w:tc>
      </w:tr>
      <w:tr w14:paraId="330EF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A1830">
            <w:pPr>
              <w:pStyle w:val="12"/>
            </w:pPr>
            <w:r>
              <w:t>10</w:t>
            </w:r>
          </w:p>
        </w:tc>
        <w:tc>
          <w:tcPr>
            <w:tcW w:w="3402" w:type="dxa"/>
            <w:vAlign w:val="center"/>
          </w:tcPr>
          <w:p w14:paraId="2E6D69EC">
            <w:pPr>
              <w:pStyle w:val="13"/>
            </w:pPr>
          </w:p>
        </w:tc>
        <w:tc>
          <w:tcPr>
            <w:tcW w:w="1474" w:type="dxa"/>
            <w:vAlign w:val="center"/>
          </w:tcPr>
          <w:p w14:paraId="32154A6C">
            <w:pPr>
              <w:pStyle w:val="14"/>
            </w:pPr>
          </w:p>
        </w:tc>
        <w:tc>
          <w:tcPr>
            <w:tcW w:w="3402" w:type="dxa"/>
            <w:vAlign w:val="center"/>
          </w:tcPr>
          <w:p w14:paraId="5B66F178">
            <w:pPr>
              <w:pStyle w:val="13"/>
            </w:pPr>
            <w:r>
              <w:t>十、卫生健康支出</w:t>
            </w:r>
          </w:p>
        </w:tc>
        <w:tc>
          <w:tcPr>
            <w:tcW w:w="1474" w:type="dxa"/>
            <w:vAlign w:val="center"/>
          </w:tcPr>
          <w:p w14:paraId="18992521">
            <w:pPr>
              <w:pStyle w:val="14"/>
            </w:pPr>
          </w:p>
        </w:tc>
        <w:tc>
          <w:tcPr>
            <w:tcW w:w="1474" w:type="dxa"/>
            <w:vAlign w:val="center"/>
          </w:tcPr>
          <w:p w14:paraId="7ABF7589">
            <w:pPr>
              <w:pStyle w:val="14"/>
            </w:pPr>
          </w:p>
        </w:tc>
        <w:tc>
          <w:tcPr>
            <w:tcW w:w="1474" w:type="dxa"/>
            <w:vAlign w:val="center"/>
          </w:tcPr>
          <w:p w14:paraId="31A2A6CA">
            <w:pPr>
              <w:pStyle w:val="14"/>
            </w:pPr>
          </w:p>
        </w:tc>
        <w:tc>
          <w:tcPr>
            <w:tcW w:w="1474" w:type="dxa"/>
            <w:vAlign w:val="center"/>
          </w:tcPr>
          <w:p w14:paraId="0C23A8DF">
            <w:pPr>
              <w:pStyle w:val="14"/>
            </w:pPr>
          </w:p>
        </w:tc>
      </w:tr>
      <w:tr w14:paraId="4953C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5A28F">
            <w:pPr>
              <w:pStyle w:val="12"/>
            </w:pPr>
            <w:r>
              <w:t>11</w:t>
            </w:r>
          </w:p>
        </w:tc>
        <w:tc>
          <w:tcPr>
            <w:tcW w:w="3402" w:type="dxa"/>
            <w:vAlign w:val="center"/>
          </w:tcPr>
          <w:p w14:paraId="79541D15">
            <w:pPr>
              <w:pStyle w:val="13"/>
            </w:pPr>
          </w:p>
        </w:tc>
        <w:tc>
          <w:tcPr>
            <w:tcW w:w="1474" w:type="dxa"/>
            <w:vAlign w:val="center"/>
          </w:tcPr>
          <w:p w14:paraId="5CEBFEF6">
            <w:pPr>
              <w:pStyle w:val="14"/>
            </w:pPr>
          </w:p>
        </w:tc>
        <w:tc>
          <w:tcPr>
            <w:tcW w:w="3402" w:type="dxa"/>
            <w:vAlign w:val="center"/>
          </w:tcPr>
          <w:p w14:paraId="2EA6432A">
            <w:pPr>
              <w:pStyle w:val="13"/>
            </w:pPr>
            <w:r>
              <w:t>十一、节能环保支出</w:t>
            </w:r>
          </w:p>
        </w:tc>
        <w:tc>
          <w:tcPr>
            <w:tcW w:w="1474" w:type="dxa"/>
            <w:vAlign w:val="center"/>
          </w:tcPr>
          <w:p w14:paraId="35D1BE40">
            <w:pPr>
              <w:pStyle w:val="14"/>
            </w:pPr>
          </w:p>
        </w:tc>
        <w:tc>
          <w:tcPr>
            <w:tcW w:w="1474" w:type="dxa"/>
            <w:vAlign w:val="center"/>
          </w:tcPr>
          <w:p w14:paraId="4234600A">
            <w:pPr>
              <w:pStyle w:val="14"/>
            </w:pPr>
          </w:p>
        </w:tc>
        <w:tc>
          <w:tcPr>
            <w:tcW w:w="1474" w:type="dxa"/>
            <w:vAlign w:val="center"/>
          </w:tcPr>
          <w:p w14:paraId="14A04AE4">
            <w:pPr>
              <w:pStyle w:val="14"/>
            </w:pPr>
          </w:p>
        </w:tc>
        <w:tc>
          <w:tcPr>
            <w:tcW w:w="1474" w:type="dxa"/>
            <w:vAlign w:val="center"/>
          </w:tcPr>
          <w:p w14:paraId="02C9630E">
            <w:pPr>
              <w:pStyle w:val="14"/>
            </w:pPr>
          </w:p>
        </w:tc>
      </w:tr>
      <w:tr w14:paraId="45606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90494">
            <w:pPr>
              <w:pStyle w:val="12"/>
            </w:pPr>
            <w:r>
              <w:t>12</w:t>
            </w:r>
          </w:p>
        </w:tc>
        <w:tc>
          <w:tcPr>
            <w:tcW w:w="3402" w:type="dxa"/>
            <w:vAlign w:val="center"/>
          </w:tcPr>
          <w:p w14:paraId="1FD1F32B">
            <w:pPr>
              <w:pStyle w:val="13"/>
            </w:pPr>
          </w:p>
        </w:tc>
        <w:tc>
          <w:tcPr>
            <w:tcW w:w="1474" w:type="dxa"/>
            <w:vAlign w:val="center"/>
          </w:tcPr>
          <w:p w14:paraId="1CB90DD0">
            <w:pPr>
              <w:pStyle w:val="14"/>
            </w:pPr>
          </w:p>
        </w:tc>
        <w:tc>
          <w:tcPr>
            <w:tcW w:w="3402" w:type="dxa"/>
            <w:vAlign w:val="center"/>
          </w:tcPr>
          <w:p w14:paraId="7674EF05">
            <w:pPr>
              <w:pStyle w:val="13"/>
            </w:pPr>
            <w:r>
              <w:t>十二、城乡社区支出</w:t>
            </w:r>
          </w:p>
        </w:tc>
        <w:tc>
          <w:tcPr>
            <w:tcW w:w="1474" w:type="dxa"/>
            <w:vAlign w:val="center"/>
          </w:tcPr>
          <w:p w14:paraId="221D6487">
            <w:pPr>
              <w:pStyle w:val="14"/>
            </w:pPr>
          </w:p>
        </w:tc>
        <w:tc>
          <w:tcPr>
            <w:tcW w:w="1474" w:type="dxa"/>
            <w:vAlign w:val="center"/>
          </w:tcPr>
          <w:p w14:paraId="05F0FBAF">
            <w:pPr>
              <w:pStyle w:val="14"/>
            </w:pPr>
          </w:p>
        </w:tc>
        <w:tc>
          <w:tcPr>
            <w:tcW w:w="1474" w:type="dxa"/>
            <w:vAlign w:val="center"/>
          </w:tcPr>
          <w:p w14:paraId="3637530E">
            <w:pPr>
              <w:pStyle w:val="14"/>
            </w:pPr>
          </w:p>
        </w:tc>
        <w:tc>
          <w:tcPr>
            <w:tcW w:w="1474" w:type="dxa"/>
            <w:vAlign w:val="center"/>
          </w:tcPr>
          <w:p w14:paraId="38DB1648">
            <w:pPr>
              <w:pStyle w:val="14"/>
            </w:pPr>
          </w:p>
        </w:tc>
      </w:tr>
      <w:tr w14:paraId="4CE9B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C56AA">
            <w:pPr>
              <w:pStyle w:val="12"/>
            </w:pPr>
            <w:r>
              <w:t>13</w:t>
            </w:r>
          </w:p>
        </w:tc>
        <w:tc>
          <w:tcPr>
            <w:tcW w:w="3402" w:type="dxa"/>
            <w:vAlign w:val="center"/>
          </w:tcPr>
          <w:p w14:paraId="13A352F3">
            <w:pPr>
              <w:pStyle w:val="13"/>
            </w:pPr>
          </w:p>
        </w:tc>
        <w:tc>
          <w:tcPr>
            <w:tcW w:w="1474" w:type="dxa"/>
            <w:vAlign w:val="center"/>
          </w:tcPr>
          <w:p w14:paraId="5DFC2C01">
            <w:pPr>
              <w:pStyle w:val="14"/>
            </w:pPr>
          </w:p>
        </w:tc>
        <w:tc>
          <w:tcPr>
            <w:tcW w:w="3402" w:type="dxa"/>
            <w:vAlign w:val="center"/>
          </w:tcPr>
          <w:p w14:paraId="7D656652">
            <w:pPr>
              <w:pStyle w:val="13"/>
            </w:pPr>
            <w:r>
              <w:t>十三、农林水支出</w:t>
            </w:r>
          </w:p>
        </w:tc>
        <w:tc>
          <w:tcPr>
            <w:tcW w:w="1474" w:type="dxa"/>
            <w:vAlign w:val="center"/>
          </w:tcPr>
          <w:p w14:paraId="305C8257">
            <w:pPr>
              <w:pStyle w:val="14"/>
            </w:pPr>
          </w:p>
        </w:tc>
        <w:tc>
          <w:tcPr>
            <w:tcW w:w="1474" w:type="dxa"/>
            <w:vAlign w:val="center"/>
          </w:tcPr>
          <w:p w14:paraId="59EF1C7C">
            <w:pPr>
              <w:pStyle w:val="14"/>
            </w:pPr>
          </w:p>
        </w:tc>
        <w:tc>
          <w:tcPr>
            <w:tcW w:w="1474" w:type="dxa"/>
            <w:vAlign w:val="center"/>
          </w:tcPr>
          <w:p w14:paraId="79D25562">
            <w:pPr>
              <w:pStyle w:val="14"/>
            </w:pPr>
          </w:p>
        </w:tc>
        <w:tc>
          <w:tcPr>
            <w:tcW w:w="1474" w:type="dxa"/>
            <w:vAlign w:val="center"/>
          </w:tcPr>
          <w:p w14:paraId="2726A7C1">
            <w:pPr>
              <w:pStyle w:val="14"/>
            </w:pPr>
          </w:p>
        </w:tc>
      </w:tr>
      <w:tr w14:paraId="137BF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217F8">
            <w:pPr>
              <w:pStyle w:val="12"/>
            </w:pPr>
            <w:r>
              <w:t>14</w:t>
            </w:r>
          </w:p>
        </w:tc>
        <w:tc>
          <w:tcPr>
            <w:tcW w:w="3402" w:type="dxa"/>
            <w:vAlign w:val="center"/>
          </w:tcPr>
          <w:p w14:paraId="758287B2">
            <w:pPr>
              <w:pStyle w:val="13"/>
            </w:pPr>
          </w:p>
        </w:tc>
        <w:tc>
          <w:tcPr>
            <w:tcW w:w="1474" w:type="dxa"/>
            <w:vAlign w:val="center"/>
          </w:tcPr>
          <w:p w14:paraId="51762E21">
            <w:pPr>
              <w:pStyle w:val="14"/>
            </w:pPr>
          </w:p>
        </w:tc>
        <w:tc>
          <w:tcPr>
            <w:tcW w:w="3402" w:type="dxa"/>
            <w:vAlign w:val="center"/>
          </w:tcPr>
          <w:p w14:paraId="15D0480C">
            <w:pPr>
              <w:pStyle w:val="13"/>
            </w:pPr>
            <w:r>
              <w:t>十四、交通运输支出</w:t>
            </w:r>
          </w:p>
        </w:tc>
        <w:tc>
          <w:tcPr>
            <w:tcW w:w="1474" w:type="dxa"/>
            <w:vAlign w:val="center"/>
          </w:tcPr>
          <w:p w14:paraId="21422D98">
            <w:pPr>
              <w:pStyle w:val="14"/>
            </w:pPr>
          </w:p>
        </w:tc>
        <w:tc>
          <w:tcPr>
            <w:tcW w:w="1474" w:type="dxa"/>
            <w:vAlign w:val="center"/>
          </w:tcPr>
          <w:p w14:paraId="2E64B18C">
            <w:pPr>
              <w:pStyle w:val="14"/>
            </w:pPr>
          </w:p>
        </w:tc>
        <w:tc>
          <w:tcPr>
            <w:tcW w:w="1474" w:type="dxa"/>
            <w:vAlign w:val="center"/>
          </w:tcPr>
          <w:p w14:paraId="6EEDA99B">
            <w:pPr>
              <w:pStyle w:val="14"/>
            </w:pPr>
          </w:p>
        </w:tc>
        <w:tc>
          <w:tcPr>
            <w:tcW w:w="1474" w:type="dxa"/>
            <w:vAlign w:val="center"/>
          </w:tcPr>
          <w:p w14:paraId="7F5B4CA3">
            <w:pPr>
              <w:pStyle w:val="14"/>
            </w:pPr>
          </w:p>
        </w:tc>
      </w:tr>
      <w:tr w14:paraId="38396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8D3A7">
            <w:pPr>
              <w:pStyle w:val="12"/>
            </w:pPr>
            <w:r>
              <w:t>15</w:t>
            </w:r>
          </w:p>
        </w:tc>
        <w:tc>
          <w:tcPr>
            <w:tcW w:w="3402" w:type="dxa"/>
            <w:vAlign w:val="center"/>
          </w:tcPr>
          <w:p w14:paraId="2BF1E7B7">
            <w:pPr>
              <w:pStyle w:val="13"/>
            </w:pPr>
          </w:p>
        </w:tc>
        <w:tc>
          <w:tcPr>
            <w:tcW w:w="1474" w:type="dxa"/>
            <w:vAlign w:val="center"/>
          </w:tcPr>
          <w:p w14:paraId="5B7D962F">
            <w:pPr>
              <w:pStyle w:val="14"/>
            </w:pPr>
          </w:p>
        </w:tc>
        <w:tc>
          <w:tcPr>
            <w:tcW w:w="3402" w:type="dxa"/>
            <w:vAlign w:val="center"/>
          </w:tcPr>
          <w:p w14:paraId="167903C4">
            <w:pPr>
              <w:pStyle w:val="13"/>
            </w:pPr>
            <w:r>
              <w:t>十五、资源勘探工业信息等支出</w:t>
            </w:r>
          </w:p>
        </w:tc>
        <w:tc>
          <w:tcPr>
            <w:tcW w:w="1474" w:type="dxa"/>
            <w:vAlign w:val="center"/>
          </w:tcPr>
          <w:p w14:paraId="7E01918A">
            <w:pPr>
              <w:pStyle w:val="14"/>
            </w:pPr>
          </w:p>
        </w:tc>
        <w:tc>
          <w:tcPr>
            <w:tcW w:w="1474" w:type="dxa"/>
            <w:vAlign w:val="center"/>
          </w:tcPr>
          <w:p w14:paraId="2308A339">
            <w:pPr>
              <w:pStyle w:val="14"/>
            </w:pPr>
          </w:p>
        </w:tc>
        <w:tc>
          <w:tcPr>
            <w:tcW w:w="1474" w:type="dxa"/>
            <w:vAlign w:val="center"/>
          </w:tcPr>
          <w:p w14:paraId="1FA0C69F">
            <w:pPr>
              <w:pStyle w:val="14"/>
            </w:pPr>
          </w:p>
        </w:tc>
        <w:tc>
          <w:tcPr>
            <w:tcW w:w="1474" w:type="dxa"/>
            <w:vAlign w:val="center"/>
          </w:tcPr>
          <w:p w14:paraId="0E6C77DD">
            <w:pPr>
              <w:pStyle w:val="14"/>
            </w:pPr>
          </w:p>
        </w:tc>
      </w:tr>
      <w:tr w14:paraId="5D7A5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66DF9">
            <w:pPr>
              <w:pStyle w:val="12"/>
            </w:pPr>
            <w:r>
              <w:t>16</w:t>
            </w:r>
          </w:p>
        </w:tc>
        <w:tc>
          <w:tcPr>
            <w:tcW w:w="3402" w:type="dxa"/>
            <w:vAlign w:val="center"/>
          </w:tcPr>
          <w:p w14:paraId="1762F939">
            <w:pPr>
              <w:pStyle w:val="13"/>
            </w:pPr>
          </w:p>
        </w:tc>
        <w:tc>
          <w:tcPr>
            <w:tcW w:w="1474" w:type="dxa"/>
            <w:vAlign w:val="center"/>
          </w:tcPr>
          <w:p w14:paraId="7505F26E">
            <w:pPr>
              <w:pStyle w:val="14"/>
            </w:pPr>
          </w:p>
        </w:tc>
        <w:tc>
          <w:tcPr>
            <w:tcW w:w="3402" w:type="dxa"/>
            <w:vAlign w:val="center"/>
          </w:tcPr>
          <w:p w14:paraId="3ADFE1F8">
            <w:pPr>
              <w:pStyle w:val="13"/>
            </w:pPr>
            <w:r>
              <w:t>十六、商业服务业等支出</w:t>
            </w:r>
          </w:p>
        </w:tc>
        <w:tc>
          <w:tcPr>
            <w:tcW w:w="1474" w:type="dxa"/>
            <w:vAlign w:val="center"/>
          </w:tcPr>
          <w:p w14:paraId="6C1B9CE3">
            <w:pPr>
              <w:pStyle w:val="14"/>
            </w:pPr>
          </w:p>
        </w:tc>
        <w:tc>
          <w:tcPr>
            <w:tcW w:w="1474" w:type="dxa"/>
            <w:vAlign w:val="center"/>
          </w:tcPr>
          <w:p w14:paraId="1418BC30">
            <w:pPr>
              <w:pStyle w:val="14"/>
            </w:pPr>
          </w:p>
        </w:tc>
        <w:tc>
          <w:tcPr>
            <w:tcW w:w="1474" w:type="dxa"/>
            <w:vAlign w:val="center"/>
          </w:tcPr>
          <w:p w14:paraId="021A10C2">
            <w:pPr>
              <w:pStyle w:val="14"/>
            </w:pPr>
          </w:p>
        </w:tc>
        <w:tc>
          <w:tcPr>
            <w:tcW w:w="1474" w:type="dxa"/>
            <w:vAlign w:val="center"/>
          </w:tcPr>
          <w:p w14:paraId="64C0861F">
            <w:pPr>
              <w:pStyle w:val="14"/>
            </w:pPr>
          </w:p>
        </w:tc>
      </w:tr>
      <w:tr w14:paraId="2A155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E2C65">
            <w:pPr>
              <w:pStyle w:val="12"/>
            </w:pPr>
            <w:r>
              <w:t>17</w:t>
            </w:r>
          </w:p>
        </w:tc>
        <w:tc>
          <w:tcPr>
            <w:tcW w:w="3402" w:type="dxa"/>
            <w:vAlign w:val="center"/>
          </w:tcPr>
          <w:p w14:paraId="5FC505B6">
            <w:pPr>
              <w:pStyle w:val="13"/>
            </w:pPr>
          </w:p>
        </w:tc>
        <w:tc>
          <w:tcPr>
            <w:tcW w:w="1474" w:type="dxa"/>
            <w:vAlign w:val="center"/>
          </w:tcPr>
          <w:p w14:paraId="45ED8403">
            <w:pPr>
              <w:pStyle w:val="14"/>
            </w:pPr>
          </w:p>
        </w:tc>
        <w:tc>
          <w:tcPr>
            <w:tcW w:w="3402" w:type="dxa"/>
            <w:vAlign w:val="center"/>
          </w:tcPr>
          <w:p w14:paraId="39E81223">
            <w:pPr>
              <w:pStyle w:val="13"/>
            </w:pPr>
            <w:r>
              <w:t>十七、金融支出</w:t>
            </w:r>
          </w:p>
        </w:tc>
        <w:tc>
          <w:tcPr>
            <w:tcW w:w="1474" w:type="dxa"/>
            <w:vAlign w:val="center"/>
          </w:tcPr>
          <w:p w14:paraId="046B34D4">
            <w:pPr>
              <w:pStyle w:val="14"/>
            </w:pPr>
          </w:p>
        </w:tc>
        <w:tc>
          <w:tcPr>
            <w:tcW w:w="1474" w:type="dxa"/>
            <w:vAlign w:val="center"/>
          </w:tcPr>
          <w:p w14:paraId="660510BC">
            <w:pPr>
              <w:pStyle w:val="14"/>
            </w:pPr>
          </w:p>
        </w:tc>
        <w:tc>
          <w:tcPr>
            <w:tcW w:w="1474" w:type="dxa"/>
            <w:vAlign w:val="center"/>
          </w:tcPr>
          <w:p w14:paraId="6CED0139">
            <w:pPr>
              <w:pStyle w:val="14"/>
            </w:pPr>
          </w:p>
        </w:tc>
        <w:tc>
          <w:tcPr>
            <w:tcW w:w="1474" w:type="dxa"/>
            <w:vAlign w:val="center"/>
          </w:tcPr>
          <w:p w14:paraId="5E4B0EC6">
            <w:pPr>
              <w:pStyle w:val="14"/>
            </w:pPr>
          </w:p>
        </w:tc>
      </w:tr>
      <w:tr w14:paraId="41890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24B9C">
            <w:pPr>
              <w:pStyle w:val="12"/>
            </w:pPr>
            <w:r>
              <w:t>18</w:t>
            </w:r>
          </w:p>
        </w:tc>
        <w:tc>
          <w:tcPr>
            <w:tcW w:w="3402" w:type="dxa"/>
            <w:vAlign w:val="center"/>
          </w:tcPr>
          <w:p w14:paraId="5988726B">
            <w:pPr>
              <w:pStyle w:val="13"/>
            </w:pPr>
          </w:p>
        </w:tc>
        <w:tc>
          <w:tcPr>
            <w:tcW w:w="1474" w:type="dxa"/>
            <w:vAlign w:val="center"/>
          </w:tcPr>
          <w:p w14:paraId="0C277428">
            <w:pPr>
              <w:pStyle w:val="14"/>
            </w:pPr>
          </w:p>
        </w:tc>
        <w:tc>
          <w:tcPr>
            <w:tcW w:w="3402" w:type="dxa"/>
            <w:vAlign w:val="center"/>
          </w:tcPr>
          <w:p w14:paraId="3C722B64">
            <w:pPr>
              <w:pStyle w:val="13"/>
            </w:pPr>
            <w:r>
              <w:t>十八、援助其他地区支出</w:t>
            </w:r>
          </w:p>
        </w:tc>
        <w:tc>
          <w:tcPr>
            <w:tcW w:w="1474" w:type="dxa"/>
            <w:vAlign w:val="center"/>
          </w:tcPr>
          <w:p w14:paraId="1905EE57">
            <w:pPr>
              <w:pStyle w:val="14"/>
            </w:pPr>
          </w:p>
        </w:tc>
        <w:tc>
          <w:tcPr>
            <w:tcW w:w="1474" w:type="dxa"/>
            <w:vAlign w:val="center"/>
          </w:tcPr>
          <w:p w14:paraId="2A5E0981">
            <w:pPr>
              <w:pStyle w:val="14"/>
            </w:pPr>
          </w:p>
        </w:tc>
        <w:tc>
          <w:tcPr>
            <w:tcW w:w="1474" w:type="dxa"/>
            <w:vAlign w:val="center"/>
          </w:tcPr>
          <w:p w14:paraId="6C95E064">
            <w:pPr>
              <w:pStyle w:val="14"/>
            </w:pPr>
          </w:p>
        </w:tc>
        <w:tc>
          <w:tcPr>
            <w:tcW w:w="1474" w:type="dxa"/>
            <w:vAlign w:val="center"/>
          </w:tcPr>
          <w:p w14:paraId="3A155379">
            <w:pPr>
              <w:pStyle w:val="14"/>
            </w:pPr>
          </w:p>
        </w:tc>
      </w:tr>
      <w:tr w14:paraId="3BD86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75F78">
            <w:pPr>
              <w:pStyle w:val="12"/>
            </w:pPr>
            <w:r>
              <w:t>19</w:t>
            </w:r>
          </w:p>
        </w:tc>
        <w:tc>
          <w:tcPr>
            <w:tcW w:w="3402" w:type="dxa"/>
            <w:vAlign w:val="center"/>
          </w:tcPr>
          <w:p w14:paraId="58923EC6">
            <w:pPr>
              <w:pStyle w:val="13"/>
            </w:pPr>
          </w:p>
        </w:tc>
        <w:tc>
          <w:tcPr>
            <w:tcW w:w="1474" w:type="dxa"/>
            <w:vAlign w:val="center"/>
          </w:tcPr>
          <w:p w14:paraId="5AE50D09">
            <w:pPr>
              <w:pStyle w:val="14"/>
            </w:pPr>
          </w:p>
        </w:tc>
        <w:tc>
          <w:tcPr>
            <w:tcW w:w="3402" w:type="dxa"/>
            <w:vAlign w:val="center"/>
          </w:tcPr>
          <w:p w14:paraId="280746FB">
            <w:pPr>
              <w:pStyle w:val="13"/>
            </w:pPr>
            <w:r>
              <w:t>十九、自然资源海洋气象等支出</w:t>
            </w:r>
          </w:p>
        </w:tc>
        <w:tc>
          <w:tcPr>
            <w:tcW w:w="1474" w:type="dxa"/>
            <w:vAlign w:val="center"/>
          </w:tcPr>
          <w:p w14:paraId="24EAED09">
            <w:pPr>
              <w:pStyle w:val="14"/>
            </w:pPr>
          </w:p>
        </w:tc>
        <w:tc>
          <w:tcPr>
            <w:tcW w:w="1474" w:type="dxa"/>
            <w:vAlign w:val="center"/>
          </w:tcPr>
          <w:p w14:paraId="2D9FD240">
            <w:pPr>
              <w:pStyle w:val="14"/>
            </w:pPr>
          </w:p>
        </w:tc>
        <w:tc>
          <w:tcPr>
            <w:tcW w:w="1474" w:type="dxa"/>
            <w:vAlign w:val="center"/>
          </w:tcPr>
          <w:p w14:paraId="22D87AF2">
            <w:pPr>
              <w:pStyle w:val="14"/>
            </w:pPr>
          </w:p>
        </w:tc>
        <w:tc>
          <w:tcPr>
            <w:tcW w:w="1474" w:type="dxa"/>
            <w:vAlign w:val="center"/>
          </w:tcPr>
          <w:p w14:paraId="15AF65F7">
            <w:pPr>
              <w:pStyle w:val="14"/>
            </w:pPr>
          </w:p>
        </w:tc>
      </w:tr>
      <w:tr w14:paraId="41552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78F49">
            <w:pPr>
              <w:pStyle w:val="12"/>
            </w:pPr>
            <w:r>
              <w:t>20</w:t>
            </w:r>
          </w:p>
        </w:tc>
        <w:tc>
          <w:tcPr>
            <w:tcW w:w="3402" w:type="dxa"/>
            <w:vAlign w:val="center"/>
          </w:tcPr>
          <w:p w14:paraId="60FBFB79">
            <w:pPr>
              <w:pStyle w:val="13"/>
            </w:pPr>
          </w:p>
        </w:tc>
        <w:tc>
          <w:tcPr>
            <w:tcW w:w="1474" w:type="dxa"/>
            <w:vAlign w:val="center"/>
          </w:tcPr>
          <w:p w14:paraId="1F65A3AC">
            <w:pPr>
              <w:pStyle w:val="14"/>
            </w:pPr>
          </w:p>
        </w:tc>
        <w:tc>
          <w:tcPr>
            <w:tcW w:w="3402" w:type="dxa"/>
            <w:vAlign w:val="center"/>
          </w:tcPr>
          <w:p w14:paraId="7A4042B5">
            <w:pPr>
              <w:pStyle w:val="13"/>
            </w:pPr>
            <w:r>
              <w:t>二十、住房保障支出</w:t>
            </w:r>
          </w:p>
        </w:tc>
        <w:tc>
          <w:tcPr>
            <w:tcW w:w="1474" w:type="dxa"/>
            <w:vAlign w:val="center"/>
          </w:tcPr>
          <w:p w14:paraId="49832502">
            <w:pPr>
              <w:pStyle w:val="14"/>
            </w:pPr>
          </w:p>
        </w:tc>
        <w:tc>
          <w:tcPr>
            <w:tcW w:w="1474" w:type="dxa"/>
            <w:vAlign w:val="center"/>
          </w:tcPr>
          <w:p w14:paraId="1E68EAA0">
            <w:pPr>
              <w:pStyle w:val="14"/>
            </w:pPr>
          </w:p>
        </w:tc>
        <w:tc>
          <w:tcPr>
            <w:tcW w:w="1474" w:type="dxa"/>
            <w:vAlign w:val="center"/>
          </w:tcPr>
          <w:p w14:paraId="5B2A07EA">
            <w:pPr>
              <w:pStyle w:val="14"/>
            </w:pPr>
          </w:p>
        </w:tc>
        <w:tc>
          <w:tcPr>
            <w:tcW w:w="1474" w:type="dxa"/>
            <w:vAlign w:val="center"/>
          </w:tcPr>
          <w:p w14:paraId="0B21E397">
            <w:pPr>
              <w:pStyle w:val="14"/>
            </w:pPr>
          </w:p>
        </w:tc>
      </w:tr>
      <w:tr w14:paraId="2D1C4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D85B3">
            <w:pPr>
              <w:pStyle w:val="12"/>
            </w:pPr>
            <w:r>
              <w:t>21</w:t>
            </w:r>
          </w:p>
        </w:tc>
        <w:tc>
          <w:tcPr>
            <w:tcW w:w="3402" w:type="dxa"/>
            <w:vAlign w:val="center"/>
          </w:tcPr>
          <w:p w14:paraId="01F03301">
            <w:pPr>
              <w:pStyle w:val="13"/>
            </w:pPr>
          </w:p>
        </w:tc>
        <w:tc>
          <w:tcPr>
            <w:tcW w:w="1474" w:type="dxa"/>
            <w:vAlign w:val="center"/>
          </w:tcPr>
          <w:p w14:paraId="42F86528">
            <w:pPr>
              <w:pStyle w:val="14"/>
            </w:pPr>
          </w:p>
        </w:tc>
        <w:tc>
          <w:tcPr>
            <w:tcW w:w="3402" w:type="dxa"/>
            <w:vAlign w:val="center"/>
          </w:tcPr>
          <w:p w14:paraId="593C570F">
            <w:pPr>
              <w:pStyle w:val="13"/>
            </w:pPr>
            <w:r>
              <w:t>二十一、粮油物资储备支出</w:t>
            </w:r>
          </w:p>
        </w:tc>
        <w:tc>
          <w:tcPr>
            <w:tcW w:w="1474" w:type="dxa"/>
            <w:vAlign w:val="center"/>
          </w:tcPr>
          <w:p w14:paraId="47ADE3BE">
            <w:pPr>
              <w:pStyle w:val="14"/>
            </w:pPr>
          </w:p>
        </w:tc>
        <w:tc>
          <w:tcPr>
            <w:tcW w:w="1474" w:type="dxa"/>
            <w:vAlign w:val="center"/>
          </w:tcPr>
          <w:p w14:paraId="3904E697">
            <w:pPr>
              <w:pStyle w:val="14"/>
            </w:pPr>
          </w:p>
        </w:tc>
        <w:tc>
          <w:tcPr>
            <w:tcW w:w="1474" w:type="dxa"/>
            <w:vAlign w:val="center"/>
          </w:tcPr>
          <w:p w14:paraId="3FAAE523">
            <w:pPr>
              <w:pStyle w:val="14"/>
            </w:pPr>
          </w:p>
        </w:tc>
        <w:tc>
          <w:tcPr>
            <w:tcW w:w="1474" w:type="dxa"/>
            <w:vAlign w:val="center"/>
          </w:tcPr>
          <w:p w14:paraId="44CB39B5">
            <w:pPr>
              <w:pStyle w:val="14"/>
            </w:pPr>
          </w:p>
        </w:tc>
      </w:tr>
      <w:tr w14:paraId="57220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C1AC7">
            <w:pPr>
              <w:pStyle w:val="12"/>
            </w:pPr>
            <w:r>
              <w:t>22</w:t>
            </w:r>
          </w:p>
        </w:tc>
        <w:tc>
          <w:tcPr>
            <w:tcW w:w="3402" w:type="dxa"/>
            <w:vAlign w:val="center"/>
          </w:tcPr>
          <w:p w14:paraId="49AE7D78">
            <w:pPr>
              <w:pStyle w:val="13"/>
            </w:pPr>
          </w:p>
        </w:tc>
        <w:tc>
          <w:tcPr>
            <w:tcW w:w="1474" w:type="dxa"/>
            <w:vAlign w:val="center"/>
          </w:tcPr>
          <w:p w14:paraId="58A17698">
            <w:pPr>
              <w:pStyle w:val="14"/>
            </w:pPr>
          </w:p>
        </w:tc>
        <w:tc>
          <w:tcPr>
            <w:tcW w:w="3402" w:type="dxa"/>
            <w:vAlign w:val="center"/>
          </w:tcPr>
          <w:p w14:paraId="230392AB">
            <w:pPr>
              <w:pStyle w:val="13"/>
            </w:pPr>
            <w:r>
              <w:t>二十二、国有资本经营预算支出</w:t>
            </w:r>
          </w:p>
        </w:tc>
        <w:tc>
          <w:tcPr>
            <w:tcW w:w="1474" w:type="dxa"/>
            <w:vAlign w:val="center"/>
          </w:tcPr>
          <w:p w14:paraId="6C16AD85">
            <w:pPr>
              <w:pStyle w:val="14"/>
            </w:pPr>
          </w:p>
        </w:tc>
        <w:tc>
          <w:tcPr>
            <w:tcW w:w="1474" w:type="dxa"/>
            <w:vAlign w:val="center"/>
          </w:tcPr>
          <w:p w14:paraId="529CF474">
            <w:pPr>
              <w:pStyle w:val="14"/>
            </w:pPr>
          </w:p>
        </w:tc>
        <w:tc>
          <w:tcPr>
            <w:tcW w:w="1474" w:type="dxa"/>
            <w:vAlign w:val="center"/>
          </w:tcPr>
          <w:p w14:paraId="4C5AC51C">
            <w:pPr>
              <w:pStyle w:val="14"/>
            </w:pPr>
          </w:p>
        </w:tc>
        <w:tc>
          <w:tcPr>
            <w:tcW w:w="1474" w:type="dxa"/>
            <w:vAlign w:val="center"/>
          </w:tcPr>
          <w:p w14:paraId="7F88EFF5">
            <w:pPr>
              <w:pStyle w:val="14"/>
            </w:pPr>
          </w:p>
        </w:tc>
      </w:tr>
      <w:tr w14:paraId="7A581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835EE">
            <w:pPr>
              <w:pStyle w:val="12"/>
            </w:pPr>
            <w:r>
              <w:t>23</w:t>
            </w:r>
          </w:p>
        </w:tc>
        <w:tc>
          <w:tcPr>
            <w:tcW w:w="3402" w:type="dxa"/>
            <w:vAlign w:val="center"/>
          </w:tcPr>
          <w:p w14:paraId="511BC71D">
            <w:pPr>
              <w:pStyle w:val="13"/>
            </w:pPr>
          </w:p>
        </w:tc>
        <w:tc>
          <w:tcPr>
            <w:tcW w:w="1474" w:type="dxa"/>
            <w:vAlign w:val="center"/>
          </w:tcPr>
          <w:p w14:paraId="23EB2162">
            <w:pPr>
              <w:pStyle w:val="14"/>
            </w:pPr>
          </w:p>
        </w:tc>
        <w:tc>
          <w:tcPr>
            <w:tcW w:w="3402" w:type="dxa"/>
            <w:vAlign w:val="center"/>
          </w:tcPr>
          <w:p w14:paraId="2BBA0918">
            <w:pPr>
              <w:pStyle w:val="13"/>
            </w:pPr>
            <w:r>
              <w:t>二十三、灾害防治及应急管理支出</w:t>
            </w:r>
          </w:p>
        </w:tc>
        <w:tc>
          <w:tcPr>
            <w:tcW w:w="1474" w:type="dxa"/>
            <w:vAlign w:val="center"/>
          </w:tcPr>
          <w:p w14:paraId="7D023EA3">
            <w:pPr>
              <w:pStyle w:val="14"/>
            </w:pPr>
          </w:p>
        </w:tc>
        <w:tc>
          <w:tcPr>
            <w:tcW w:w="1474" w:type="dxa"/>
            <w:vAlign w:val="center"/>
          </w:tcPr>
          <w:p w14:paraId="3B4F1255">
            <w:pPr>
              <w:pStyle w:val="14"/>
            </w:pPr>
          </w:p>
        </w:tc>
        <w:tc>
          <w:tcPr>
            <w:tcW w:w="1474" w:type="dxa"/>
            <w:vAlign w:val="center"/>
          </w:tcPr>
          <w:p w14:paraId="392CE845">
            <w:pPr>
              <w:pStyle w:val="14"/>
            </w:pPr>
          </w:p>
        </w:tc>
        <w:tc>
          <w:tcPr>
            <w:tcW w:w="1474" w:type="dxa"/>
            <w:vAlign w:val="center"/>
          </w:tcPr>
          <w:p w14:paraId="1A3B3F2B">
            <w:pPr>
              <w:pStyle w:val="14"/>
            </w:pPr>
          </w:p>
        </w:tc>
      </w:tr>
      <w:tr w14:paraId="2B2DF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D402F">
            <w:pPr>
              <w:pStyle w:val="12"/>
            </w:pPr>
            <w:r>
              <w:t>24</w:t>
            </w:r>
          </w:p>
        </w:tc>
        <w:tc>
          <w:tcPr>
            <w:tcW w:w="3402" w:type="dxa"/>
            <w:vAlign w:val="center"/>
          </w:tcPr>
          <w:p w14:paraId="3CD612F1">
            <w:pPr>
              <w:pStyle w:val="13"/>
            </w:pPr>
          </w:p>
        </w:tc>
        <w:tc>
          <w:tcPr>
            <w:tcW w:w="1474" w:type="dxa"/>
            <w:vAlign w:val="center"/>
          </w:tcPr>
          <w:p w14:paraId="1F595065">
            <w:pPr>
              <w:pStyle w:val="14"/>
            </w:pPr>
          </w:p>
        </w:tc>
        <w:tc>
          <w:tcPr>
            <w:tcW w:w="3402" w:type="dxa"/>
            <w:vAlign w:val="center"/>
          </w:tcPr>
          <w:p w14:paraId="3CB3355D">
            <w:pPr>
              <w:pStyle w:val="13"/>
            </w:pPr>
            <w:r>
              <w:t>二十四、预备费</w:t>
            </w:r>
          </w:p>
        </w:tc>
        <w:tc>
          <w:tcPr>
            <w:tcW w:w="1474" w:type="dxa"/>
            <w:vAlign w:val="center"/>
          </w:tcPr>
          <w:p w14:paraId="310218E4">
            <w:pPr>
              <w:pStyle w:val="14"/>
            </w:pPr>
          </w:p>
        </w:tc>
        <w:tc>
          <w:tcPr>
            <w:tcW w:w="1474" w:type="dxa"/>
            <w:vAlign w:val="center"/>
          </w:tcPr>
          <w:p w14:paraId="0B35DAF7">
            <w:pPr>
              <w:pStyle w:val="14"/>
            </w:pPr>
          </w:p>
        </w:tc>
        <w:tc>
          <w:tcPr>
            <w:tcW w:w="1474" w:type="dxa"/>
            <w:vAlign w:val="center"/>
          </w:tcPr>
          <w:p w14:paraId="0CEB3A10">
            <w:pPr>
              <w:pStyle w:val="14"/>
            </w:pPr>
          </w:p>
        </w:tc>
        <w:tc>
          <w:tcPr>
            <w:tcW w:w="1474" w:type="dxa"/>
            <w:vAlign w:val="center"/>
          </w:tcPr>
          <w:p w14:paraId="37D2590B">
            <w:pPr>
              <w:pStyle w:val="14"/>
            </w:pPr>
          </w:p>
        </w:tc>
      </w:tr>
      <w:tr w14:paraId="35A57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4199F">
            <w:pPr>
              <w:pStyle w:val="12"/>
            </w:pPr>
            <w:r>
              <w:t>25</w:t>
            </w:r>
          </w:p>
        </w:tc>
        <w:tc>
          <w:tcPr>
            <w:tcW w:w="3402" w:type="dxa"/>
            <w:vAlign w:val="center"/>
          </w:tcPr>
          <w:p w14:paraId="47C2C903">
            <w:pPr>
              <w:pStyle w:val="13"/>
            </w:pPr>
          </w:p>
        </w:tc>
        <w:tc>
          <w:tcPr>
            <w:tcW w:w="1474" w:type="dxa"/>
            <w:vAlign w:val="center"/>
          </w:tcPr>
          <w:p w14:paraId="2C862BD5">
            <w:pPr>
              <w:pStyle w:val="14"/>
            </w:pPr>
          </w:p>
        </w:tc>
        <w:tc>
          <w:tcPr>
            <w:tcW w:w="3402" w:type="dxa"/>
            <w:vAlign w:val="center"/>
          </w:tcPr>
          <w:p w14:paraId="2D979F51">
            <w:pPr>
              <w:pStyle w:val="13"/>
            </w:pPr>
            <w:r>
              <w:t>二十五、其他支出</w:t>
            </w:r>
          </w:p>
        </w:tc>
        <w:tc>
          <w:tcPr>
            <w:tcW w:w="1474" w:type="dxa"/>
            <w:vAlign w:val="center"/>
          </w:tcPr>
          <w:p w14:paraId="79DA3185">
            <w:pPr>
              <w:pStyle w:val="14"/>
            </w:pPr>
          </w:p>
        </w:tc>
        <w:tc>
          <w:tcPr>
            <w:tcW w:w="1474" w:type="dxa"/>
            <w:vAlign w:val="center"/>
          </w:tcPr>
          <w:p w14:paraId="0EBEA0A7">
            <w:pPr>
              <w:pStyle w:val="14"/>
            </w:pPr>
          </w:p>
        </w:tc>
        <w:tc>
          <w:tcPr>
            <w:tcW w:w="1474" w:type="dxa"/>
            <w:vAlign w:val="center"/>
          </w:tcPr>
          <w:p w14:paraId="0DBFB151">
            <w:pPr>
              <w:pStyle w:val="14"/>
            </w:pPr>
          </w:p>
        </w:tc>
        <w:tc>
          <w:tcPr>
            <w:tcW w:w="1474" w:type="dxa"/>
            <w:vAlign w:val="center"/>
          </w:tcPr>
          <w:p w14:paraId="15AE3443">
            <w:pPr>
              <w:pStyle w:val="14"/>
            </w:pPr>
          </w:p>
        </w:tc>
      </w:tr>
      <w:tr w14:paraId="4C4D8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EFC75">
            <w:pPr>
              <w:pStyle w:val="12"/>
            </w:pPr>
            <w:r>
              <w:t>26</w:t>
            </w:r>
          </w:p>
        </w:tc>
        <w:tc>
          <w:tcPr>
            <w:tcW w:w="3402" w:type="dxa"/>
            <w:vAlign w:val="center"/>
          </w:tcPr>
          <w:p w14:paraId="62AAE948">
            <w:pPr>
              <w:pStyle w:val="13"/>
            </w:pPr>
          </w:p>
        </w:tc>
        <w:tc>
          <w:tcPr>
            <w:tcW w:w="1474" w:type="dxa"/>
            <w:vAlign w:val="center"/>
          </w:tcPr>
          <w:p w14:paraId="7B3C7D27">
            <w:pPr>
              <w:pStyle w:val="14"/>
            </w:pPr>
          </w:p>
        </w:tc>
        <w:tc>
          <w:tcPr>
            <w:tcW w:w="3402" w:type="dxa"/>
            <w:vAlign w:val="center"/>
          </w:tcPr>
          <w:p w14:paraId="2E5B8324">
            <w:pPr>
              <w:pStyle w:val="13"/>
            </w:pPr>
            <w:r>
              <w:t>二十六、转移性支出</w:t>
            </w:r>
          </w:p>
        </w:tc>
        <w:tc>
          <w:tcPr>
            <w:tcW w:w="1474" w:type="dxa"/>
            <w:vAlign w:val="center"/>
          </w:tcPr>
          <w:p w14:paraId="575E95D8">
            <w:pPr>
              <w:pStyle w:val="14"/>
            </w:pPr>
          </w:p>
        </w:tc>
        <w:tc>
          <w:tcPr>
            <w:tcW w:w="1474" w:type="dxa"/>
            <w:vAlign w:val="center"/>
          </w:tcPr>
          <w:p w14:paraId="1601B698">
            <w:pPr>
              <w:pStyle w:val="14"/>
            </w:pPr>
          </w:p>
        </w:tc>
        <w:tc>
          <w:tcPr>
            <w:tcW w:w="1474" w:type="dxa"/>
            <w:vAlign w:val="center"/>
          </w:tcPr>
          <w:p w14:paraId="7539372D">
            <w:pPr>
              <w:pStyle w:val="14"/>
            </w:pPr>
          </w:p>
        </w:tc>
        <w:tc>
          <w:tcPr>
            <w:tcW w:w="1474" w:type="dxa"/>
            <w:vAlign w:val="center"/>
          </w:tcPr>
          <w:p w14:paraId="78ABE176">
            <w:pPr>
              <w:pStyle w:val="14"/>
            </w:pPr>
          </w:p>
        </w:tc>
      </w:tr>
      <w:tr w14:paraId="01F41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CB3EC">
            <w:pPr>
              <w:pStyle w:val="12"/>
            </w:pPr>
            <w:r>
              <w:t>27</w:t>
            </w:r>
          </w:p>
        </w:tc>
        <w:tc>
          <w:tcPr>
            <w:tcW w:w="3402" w:type="dxa"/>
            <w:vAlign w:val="center"/>
          </w:tcPr>
          <w:p w14:paraId="39A8FDB3">
            <w:pPr>
              <w:pStyle w:val="13"/>
            </w:pPr>
          </w:p>
        </w:tc>
        <w:tc>
          <w:tcPr>
            <w:tcW w:w="1474" w:type="dxa"/>
            <w:vAlign w:val="center"/>
          </w:tcPr>
          <w:p w14:paraId="54375001">
            <w:pPr>
              <w:pStyle w:val="14"/>
            </w:pPr>
          </w:p>
        </w:tc>
        <w:tc>
          <w:tcPr>
            <w:tcW w:w="3402" w:type="dxa"/>
            <w:vAlign w:val="center"/>
          </w:tcPr>
          <w:p w14:paraId="487ABCD8">
            <w:pPr>
              <w:pStyle w:val="13"/>
            </w:pPr>
            <w:r>
              <w:t>二十七、债务还本支出</w:t>
            </w:r>
          </w:p>
        </w:tc>
        <w:tc>
          <w:tcPr>
            <w:tcW w:w="1474" w:type="dxa"/>
            <w:vAlign w:val="center"/>
          </w:tcPr>
          <w:p w14:paraId="05F1E119">
            <w:pPr>
              <w:pStyle w:val="14"/>
            </w:pPr>
          </w:p>
        </w:tc>
        <w:tc>
          <w:tcPr>
            <w:tcW w:w="1474" w:type="dxa"/>
            <w:vAlign w:val="center"/>
          </w:tcPr>
          <w:p w14:paraId="61056A32">
            <w:pPr>
              <w:pStyle w:val="14"/>
            </w:pPr>
          </w:p>
        </w:tc>
        <w:tc>
          <w:tcPr>
            <w:tcW w:w="1474" w:type="dxa"/>
            <w:vAlign w:val="center"/>
          </w:tcPr>
          <w:p w14:paraId="4C070710">
            <w:pPr>
              <w:pStyle w:val="14"/>
            </w:pPr>
          </w:p>
        </w:tc>
        <w:tc>
          <w:tcPr>
            <w:tcW w:w="1474" w:type="dxa"/>
            <w:vAlign w:val="center"/>
          </w:tcPr>
          <w:p w14:paraId="2F4A5FFF">
            <w:pPr>
              <w:pStyle w:val="14"/>
            </w:pPr>
          </w:p>
        </w:tc>
      </w:tr>
      <w:tr w14:paraId="24543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80846">
            <w:pPr>
              <w:pStyle w:val="12"/>
            </w:pPr>
            <w:r>
              <w:t>28</w:t>
            </w:r>
          </w:p>
        </w:tc>
        <w:tc>
          <w:tcPr>
            <w:tcW w:w="3402" w:type="dxa"/>
            <w:vAlign w:val="center"/>
          </w:tcPr>
          <w:p w14:paraId="5EFB6F3B">
            <w:pPr>
              <w:pStyle w:val="13"/>
            </w:pPr>
          </w:p>
        </w:tc>
        <w:tc>
          <w:tcPr>
            <w:tcW w:w="1474" w:type="dxa"/>
            <w:vAlign w:val="center"/>
          </w:tcPr>
          <w:p w14:paraId="33418EE8">
            <w:pPr>
              <w:pStyle w:val="14"/>
            </w:pPr>
          </w:p>
        </w:tc>
        <w:tc>
          <w:tcPr>
            <w:tcW w:w="3402" w:type="dxa"/>
            <w:vAlign w:val="center"/>
          </w:tcPr>
          <w:p w14:paraId="7A1D561D">
            <w:pPr>
              <w:pStyle w:val="13"/>
            </w:pPr>
            <w:r>
              <w:t>二十八、债务付息支出</w:t>
            </w:r>
          </w:p>
        </w:tc>
        <w:tc>
          <w:tcPr>
            <w:tcW w:w="1474" w:type="dxa"/>
            <w:vAlign w:val="center"/>
          </w:tcPr>
          <w:p w14:paraId="475C6E14">
            <w:pPr>
              <w:pStyle w:val="14"/>
            </w:pPr>
          </w:p>
        </w:tc>
        <w:tc>
          <w:tcPr>
            <w:tcW w:w="1474" w:type="dxa"/>
            <w:vAlign w:val="center"/>
          </w:tcPr>
          <w:p w14:paraId="199195C0">
            <w:pPr>
              <w:pStyle w:val="14"/>
            </w:pPr>
          </w:p>
        </w:tc>
        <w:tc>
          <w:tcPr>
            <w:tcW w:w="1474" w:type="dxa"/>
            <w:vAlign w:val="center"/>
          </w:tcPr>
          <w:p w14:paraId="3D0F42B3">
            <w:pPr>
              <w:pStyle w:val="14"/>
            </w:pPr>
          </w:p>
        </w:tc>
        <w:tc>
          <w:tcPr>
            <w:tcW w:w="1474" w:type="dxa"/>
            <w:vAlign w:val="center"/>
          </w:tcPr>
          <w:p w14:paraId="3A31945F">
            <w:pPr>
              <w:pStyle w:val="14"/>
            </w:pPr>
          </w:p>
        </w:tc>
      </w:tr>
      <w:tr w14:paraId="07414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76D73">
            <w:pPr>
              <w:pStyle w:val="12"/>
            </w:pPr>
            <w:r>
              <w:t>29</w:t>
            </w:r>
          </w:p>
        </w:tc>
        <w:tc>
          <w:tcPr>
            <w:tcW w:w="3402" w:type="dxa"/>
            <w:vAlign w:val="center"/>
          </w:tcPr>
          <w:p w14:paraId="0DB3AAF1">
            <w:pPr>
              <w:pStyle w:val="13"/>
            </w:pPr>
          </w:p>
        </w:tc>
        <w:tc>
          <w:tcPr>
            <w:tcW w:w="1474" w:type="dxa"/>
            <w:vAlign w:val="center"/>
          </w:tcPr>
          <w:p w14:paraId="7E98AD33">
            <w:pPr>
              <w:pStyle w:val="14"/>
            </w:pPr>
          </w:p>
        </w:tc>
        <w:tc>
          <w:tcPr>
            <w:tcW w:w="3402" w:type="dxa"/>
            <w:vAlign w:val="center"/>
          </w:tcPr>
          <w:p w14:paraId="41692BB0">
            <w:pPr>
              <w:pStyle w:val="13"/>
            </w:pPr>
            <w:r>
              <w:t>二十九、债务发行费用支出</w:t>
            </w:r>
          </w:p>
        </w:tc>
        <w:tc>
          <w:tcPr>
            <w:tcW w:w="1474" w:type="dxa"/>
            <w:vAlign w:val="center"/>
          </w:tcPr>
          <w:p w14:paraId="06C540A0">
            <w:pPr>
              <w:pStyle w:val="14"/>
            </w:pPr>
          </w:p>
        </w:tc>
        <w:tc>
          <w:tcPr>
            <w:tcW w:w="1474" w:type="dxa"/>
            <w:vAlign w:val="center"/>
          </w:tcPr>
          <w:p w14:paraId="6D8960A0">
            <w:pPr>
              <w:pStyle w:val="14"/>
            </w:pPr>
          </w:p>
        </w:tc>
        <w:tc>
          <w:tcPr>
            <w:tcW w:w="1474" w:type="dxa"/>
            <w:vAlign w:val="center"/>
          </w:tcPr>
          <w:p w14:paraId="3526632E">
            <w:pPr>
              <w:pStyle w:val="14"/>
            </w:pPr>
          </w:p>
        </w:tc>
        <w:tc>
          <w:tcPr>
            <w:tcW w:w="1474" w:type="dxa"/>
            <w:vAlign w:val="center"/>
          </w:tcPr>
          <w:p w14:paraId="669FC377">
            <w:pPr>
              <w:pStyle w:val="14"/>
            </w:pPr>
          </w:p>
        </w:tc>
      </w:tr>
      <w:tr w14:paraId="72913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BA47D">
            <w:pPr>
              <w:pStyle w:val="12"/>
            </w:pPr>
            <w:r>
              <w:t>30</w:t>
            </w:r>
          </w:p>
        </w:tc>
        <w:tc>
          <w:tcPr>
            <w:tcW w:w="3402" w:type="dxa"/>
            <w:vAlign w:val="center"/>
          </w:tcPr>
          <w:p w14:paraId="4F25DDAA">
            <w:pPr>
              <w:pStyle w:val="13"/>
            </w:pPr>
          </w:p>
        </w:tc>
        <w:tc>
          <w:tcPr>
            <w:tcW w:w="1474" w:type="dxa"/>
            <w:vAlign w:val="center"/>
          </w:tcPr>
          <w:p w14:paraId="0D6F98E6">
            <w:pPr>
              <w:pStyle w:val="14"/>
            </w:pPr>
          </w:p>
        </w:tc>
        <w:tc>
          <w:tcPr>
            <w:tcW w:w="3402" w:type="dxa"/>
            <w:vAlign w:val="center"/>
          </w:tcPr>
          <w:p w14:paraId="2D02C508">
            <w:pPr>
              <w:pStyle w:val="13"/>
            </w:pPr>
            <w:r>
              <w:t>三十、抗疫特别国债安排的支出</w:t>
            </w:r>
          </w:p>
        </w:tc>
        <w:tc>
          <w:tcPr>
            <w:tcW w:w="1474" w:type="dxa"/>
            <w:vAlign w:val="center"/>
          </w:tcPr>
          <w:p w14:paraId="22B0BD55">
            <w:pPr>
              <w:pStyle w:val="14"/>
            </w:pPr>
          </w:p>
        </w:tc>
        <w:tc>
          <w:tcPr>
            <w:tcW w:w="1474" w:type="dxa"/>
            <w:vAlign w:val="center"/>
          </w:tcPr>
          <w:p w14:paraId="1A0B07A4">
            <w:pPr>
              <w:pStyle w:val="14"/>
            </w:pPr>
          </w:p>
        </w:tc>
        <w:tc>
          <w:tcPr>
            <w:tcW w:w="1474" w:type="dxa"/>
            <w:vAlign w:val="center"/>
          </w:tcPr>
          <w:p w14:paraId="55AB5805">
            <w:pPr>
              <w:pStyle w:val="14"/>
            </w:pPr>
          </w:p>
        </w:tc>
        <w:tc>
          <w:tcPr>
            <w:tcW w:w="1474" w:type="dxa"/>
            <w:vAlign w:val="center"/>
          </w:tcPr>
          <w:p w14:paraId="1DE53B0F">
            <w:pPr>
              <w:pStyle w:val="14"/>
            </w:pPr>
          </w:p>
        </w:tc>
      </w:tr>
      <w:tr w14:paraId="1B734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F1781">
            <w:pPr>
              <w:pStyle w:val="12"/>
            </w:pPr>
            <w:r>
              <w:t>31</w:t>
            </w:r>
          </w:p>
        </w:tc>
        <w:tc>
          <w:tcPr>
            <w:tcW w:w="3402" w:type="dxa"/>
            <w:vAlign w:val="center"/>
          </w:tcPr>
          <w:p w14:paraId="626088DF">
            <w:pPr>
              <w:pStyle w:val="13"/>
            </w:pPr>
          </w:p>
        </w:tc>
        <w:tc>
          <w:tcPr>
            <w:tcW w:w="1474" w:type="dxa"/>
            <w:vAlign w:val="center"/>
          </w:tcPr>
          <w:p w14:paraId="173A6907">
            <w:pPr>
              <w:pStyle w:val="14"/>
            </w:pPr>
          </w:p>
        </w:tc>
        <w:tc>
          <w:tcPr>
            <w:tcW w:w="3402" w:type="dxa"/>
            <w:vAlign w:val="center"/>
          </w:tcPr>
          <w:p w14:paraId="0F8BFA8F">
            <w:pPr>
              <w:pStyle w:val="13"/>
            </w:pPr>
            <w:r>
              <w:t>三十一、人行科目</w:t>
            </w:r>
          </w:p>
        </w:tc>
        <w:tc>
          <w:tcPr>
            <w:tcW w:w="1474" w:type="dxa"/>
            <w:vAlign w:val="center"/>
          </w:tcPr>
          <w:p w14:paraId="3B230AB1">
            <w:pPr>
              <w:pStyle w:val="14"/>
            </w:pPr>
          </w:p>
        </w:tc>
        <w:tc>
          <w:tcPr>
            <w:tcW w:w="1474" w:type="dxa"/>
            <w:vAlign w:val="center"/>
          </w:tcPr>
          <w:p w14:paraId="1CB3B291">
            <w:pPr>
              <w:pStyle w:val="14"/>
            </w:pPr>
          </w:p>
        </w:tc>
        <w:tc>
          <w:tcPr>
            <w:tcW w:w="1474" w:type="dxa"/>
            <w:vAlign w:val="center"/>
          </w:tcPr>
          <w:p w14:paraId="76DC860B">
            <w:pPr>
              <w:pStyle w:val="14"/>
            </w:pPr>
          </w:p>
        </w:tc>
        <w:tc>
          <w:tcPr>
            <w:tcW w:w="1474" w:type="dxa"/>
            <w:vAlign w:val="center"/>
          </w:tcPr>
          <w:p w14:paraId="40A9B8BE">
            <w:pPr>
              <w:pStyle w:val="14"/>
            </w:pPr>
          </w:p>
        </w:tc>
      </w:tr>
      <w:tr w14:paraId="1F402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DB765">
            <w:pPr>
              <w:pStyle w:val="12"/>
            </w:pPr>
            <w:r>
              <w:t>32</w:t>
            </w:r>
          </w:p>
        </w:tc>
        <w:tc>
          <w:tcPr>
            <w:tcW w:w="3402" w:type="dxa"/>
            <w:vAlign w:val="center"/>
          </w:tcPr>
          <w:p w14:paraId="260AEDDE">
            <w:pPr>
              <w:pStyle w:val="15"/>
            </w:pPr>
            <w:r>
              <w:t>本年收入合计</w:t>
            </w:r>
          </w:p>
        </w:tc>
        <w:tc>
          <w:tcPr>
            <w:tcW w:w="1474" w:type="dxa"/>
            <w:vAlign w:val="center"/>
          </w:tcPr>
          <w:p w14:paraId="3A07F9B8">
            <w:pPr>
              <w:pStyle w:val="16"/>
            </w:pPr>
            <w:r>
              <w:t>2213.39</w:t>
            </w:r>
          </w:p>
        </w:tc>
        <w:tc>
          <w:tcPr>
            <w:tcW w:w="3402" w:type="dxa"/>
            <w:vAlign w:val="center"/>
          </w:tcPr>
          <w:p w14:paraId="544AD260">
            <w:pPr>
              <w:pStyle w:val="15"/>
            </w:pPr>
            <w:r>
              <w:t>本年支出合计</w:t>
            </w:r>
          </w:p>
        </w:tc>
        <w:tc>
          <w:tcPr>
            <w:tcW w:w="1474" w:type="dxa"/>
            <w:vAlign w:val="center"/>
          </w:tcPr>
          <w:p w14:paraId="16B499CE">
            <w:pPr>
              <w:pStyle w:val="16"/>
            </w:pPr>
            <w:r>
              <w:t>2213.39</w:t>
            </w:r>
          </w:p>
        </w:tc>
        <w:tc>
          <w:tcPr>
            <w:tcW w:w="1474" w:type="dxa"/>
            <w:vAlign w:val="center"/>
          </w:tcPr>
          <w:p w14:paraId="0AD40108">
            <w:pPr>
              <w:pStyle w:val="16"/>
            </w:pPr>
            <w:r>
              <w:t>2213.39</w:t>
            </w:r>
          </w:p>
        </w:tc>
        <w:tc>
          <w:tcPr>
            <w:tcW w:w="1474" w:type="dxa"/>
            <w:vAlign w:val="center"/>
          </w:tcPr>
          <w:p w14:paraId="518323AF">
            <w:pPr>
              <w:pStyle w:val="16"/>
            </w:pPr>
          </w:p>
        </w:tc>
        <w:tc>
          <w:tcPr>
            <w:tcW w:w="1474" w:type="dxa"/>
            <w:vAlign w:val="center"/>
          </w:tcPr>
          <w:p w14:paraId="5C9EA1C5">
            <w:pPr>
              <w:pStyle w:val="16"/>
            </w:pPr>
          </w:p>
        </w:tc>
      </w:tr>
      <w:tr w14:paraId="595DA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4E3C5">
            <w:pPr>
              <w:pStyle w:val="12"/>
            </w:pPr>
            <w:r>
              <w:t>33</w:t>
            </w:r>
          </w:p>
        </w:tc>
        <w:tc>
          <w:tcPr>
            <w:tcW w:w="3402" w:type="dxa"/>
            <w:vAlign w:val="center"/>
          </w:tcPr>
          <w:p w14:paraId="12502D53">
            <w:pPr>
              <w:pStyle w:val="13"/>
            </w:pPr>
            <w:r>
              <w:t>年初财政拨款结转和结余</w:t>
            </w:r>
          </w:p>
        </w:tc>
        <w:tc>
          <w:tcPr>
            <w:tcW w:w="1474" w:type="dxa"/>
            <w:vAlign w:val="center"/>
          </w:tcPr>
          <w:p w14:paraId="1698F182">
            <w:pPr>
              <w:pStyle w:val="14"/>
            </w:pPr>
          </w:p>
        </w:tc>
        <w:tc>
          <w:tcPr>
            <w:tcW w:w="3402" w:type="dxa"/>
            <w:vAlign w:val="center"/>
          </w:tcPr>
          <w:p w14:paraId="54535EFE">
            <w:pPr>
              <w:pStyle w:val="13"/>
            </w:pPr>
            <w:r>
              <w:t>年末财政拨款结转和结余</w:t>
            </w:r>
          </w:p>
        </w:tc>
        <w:tc>
          <w:tcPr>
            <w:tcW w:w="1474" w:type="dxa"/>
            <w:vAlign w:val="center"/>
          </w:tcPr>
          <w:p w14:paraId="417F2624">
            <w:pPr>
              <w:pStyle w:val="14"/>
            </w:pPr>
          </w:p>
        </w:tc>
        <w:tc>
          <w:tcPr>
            <w:tcW w:w="1474" w:type="dxa"/>
            <w:vAlign w:val="center"/>
          </w:tcPr>
          <w:p w14:paraId="014CA6EF">
            <w:pPr>
              <w:pStyle w:val="14"/>
            </w:pPr>
          </w:p>
        </w:tc>
        <w:tc>
          <w:tcPr>
            <w:tcW w:w="1474" w:type="dxa"/>
            <w:vAlign w:val="center"/>
          </w:tcPr>
          <w:p w14:paraId="2907B421">
            <w:pPr>
              <w:pStyle w:val="14"/>
            </w:pPr>
          </w:p>
        </w:tc>
        <w:tc>
          <w:tcPr>
            <w:tcW w:w="1474" w:type="dxa"/>
            <w:vAlign w:val="center"/>
          </w:tcPr>
          <w:p w14:paraId="33A4B16B">
            <w:pPr>
              <w:pStyle w:val="14"/>
            </w:pPr>
          </w:p>
        </w:tc>
      </w:tr>
      <w:tr w14:paraId="1168D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46EB843">
            <w:pPr>
              <w:pStyle w:val="12"/>
            </w:pPr>
            <w:r>
              <w:t>34</w:t>
            </w:r>
          </w:p>
        </w:tc>
        <w:tc>
          <w:tcPr>
            <w:tcW w:w="3402" w:type="dxa"/>
            <w:vAlign w:val="center"/>
          </w:tcPr>
          <w:p w14:paraId="6A82EAF4">
            <w:pPr>
              <w:pStyle w:val="13"/>
            </w:pPr>
            <w:r>
              <w:t>一、一般公共预算拨款</w:t>
            </w:r>
          </w:p>
        </w:tc>
        <w:tc>
          <w:tcPr>
            <w:tcW w:w="1474" w:type="dxa"/>
            <w:vAlign w:val="center"/>
          </w:tcPr>
          <w:p w14:paraId="429100C6">
            <w:pPr>
              <w:pStyle w:val="14"/>
            </w:pPr>
          </w:p>
        </w:tc>
        <w:tc>
          <w:tcPr>
            <w:tcW w:w="3402" w:type="dxa"/>
            <w:vAlign w:val="center"/>
          </w:tcPr>
          <w:p w14:paraId="51DA8A6A">
            <w:pPr>
              <w:pStyle w:val="13"/>
            </w:pPr>
          </w:p>
        </w:tc>
        <w:tc>
          <w:tcPr>
            <w:tcW w:w="1474" w:type="dxa"/>
            <w:vAlign w:val="center"/>
          </w:tcPr>
          <w:p w14:paraId="48F8169E">
            <w:pPr>
              <w:pStyle w:val="14"/>
            </w:pPr>
          </w:p>
        </w:tc>
        <w:tc>
          <w:tcPr>
            <w:tcW w:w="1474" w:type="dxa"/>
            <w:vAlign w:val="center"/>
          </w:tcPr>
          <w:p w14:paraId="640DA7C1">
            <w:pPr>
              <w:pStyle w:val="14"/>
            </w:pPr>
          </w:p>
        </w:tc>
        <w:tc>
          <w:tcPr>
            <w:tcW w:w="1474" w:type="dxa"/>
            <w:vAlign w:val="center"/>
          </w:tcPr>
          <w:p w14:paraId="1D02D17F">
            <w:pPr>
              <w:pStyle w:val="14"/>
            </w:pPr>
          </w:p>
        </w:tc>
        <w:tc>
          <w:tcPr>
            <w:tcW w:w="1474" w:type="dxa"/>
            <w:vAlign w:val="center"/>
          </w:tcPr>
          <w:p w14:paraId="38FF8D10">
            <w:pPr>
              <w:pStyle w:val="14"/>
            </w:pPr>
          </w:p>
        </w:tc>
      </w:tr>
      <w:tr w14:paraId="079A1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45B66">
            <w:pPr>
              <w:pStyle w:val="12"/>
            </w:pPr>
            <w:r>
              <w:t>35</w:t>
            </w:r>
          </w:p>
        </w:tc>
        <w:tc>
          <w:tcPr>
            <w:tcW w:w="3402" w:type="dxa"/>
            <w:vAlign w:val="center"/>
          </w:tcPr>
          <w:p w14:paraId="2C4752A0">
            <w:pPr>
              <w:pStyle w:val="13"/>
            </w:pPr>
            <w:r>
              <w:t>二、政府性基金预算拨款</w:t>
            </w:r>
          </w:p>
        </w:tc>
        <w:tc>
          <w:tcPr>
            <w:tcW w:w="1474" w:type="dxa"/>
            <w:vAlign w:val="center"/>
          </w:tcPr>
          <w:p w14:paraId="3B2BDFBE">
            <w:pPr>
              <w:pStyle w:val="14"/>
            </w:pPr>
          </w:p>
        </w:tc>
        <w:tc>
          <w:tcPr>
            <w:tcW w:w="3402" w:type="dxa"/>
            <w:vAlign w:val="center"/>
          </w:tcPr>
          <w:p w14:paraId="0EB5E52C">
            <w:pPr>
              <w:pStyle w:val="13"/>
            </w:pPr>
          </w:p>
        </w:tc>
        <w:tc>
          <w:tcPr>
            <w:tcW w:w="1474" w:type="dxa"/>
            <w:vAlign w:val="center"/>
          </w:tcPr>
          <w:p w14:paraId="7A2160BB">
            <w:pPr>
              <w:pStyle w:val="14"/>
            </w:pPr>
          </w:p>
        </w:tc>
        <w:tc>
          <w:tcPr>
            <w:tcW w:w="1474" w:type="dxa"/>
            <w:vAlign w:val="center"/>
          </w:tcPr>
          <w:p w14:paraId="43610CEF">
            <w:pPr>
              <w:pStyle w:val="14"/>
            </w:pPr>
          </w:p>
        </w:tc>
        <w:tc>
          <w:tcPr>
            <w:tcW w:w="1474" w:type="dxa"/>
            <w:vAlign w:val="center"/>
          </w:tcPr>
          <w:p w14:paraId="47AA49E5">
            <w:pPr>
              <w:pStyle w:val="14"/>
            </w:pPr>
          </w:p>
        </w:tc>
        <w:tc>
          <w:tcPr>
            <w:tcW w:w="1474" w:type="dxa"/>
            <w:vAlign w:val="center"/>
          </w:tcPr>
          <w:p w14:paraId="7A3D7709">
            <w:pPr>
              <w:pStyle w:val="14"/>
            </w:pPr>
          </w:p>
        </w:tc>
      </w:tr>
      <w:tr w14:paraId="5FBC3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BCA15">
            <w:pPr>
              <w:pStyle w:val="12"/>
            </w:pPr>
            <w:r>
              <w:t>36</w:t>
            </w:r>
          </w:p>
        </w:tc>
        <w:tc>
          <w:tcPr>
            <w:tcW w:w="3402" w:type="dxa"/>
            <w:vAlign w:val="center"/>
          </w:tcPr>
          <w:p w14:paraId="3A63F2A5">
            <w:pPr>
              <w:pStyle w:val="13"/>
            </w:pPr>
            <w:r>
              <w:t>三、国有资本经营预算拨款</w:t>
            </w:r>
          </w:p>
        </w:tc>
        <w:tc>
          <w:tcPr>
            <w:tcW w:w="1474" w:type="dxa"/>
            <w:vAlign w:val="center"/>
          </w:tcPr>
          <w:p w14:paraId="0C274977">
            <w:pPr>
              <w:pStyle w:val="14"/>
            </w:pPr>
          </w:p>
        </w:tc>
        <w:tc>
          <w:tcPr>
            <w:tcW w:w="3402" w:type="dxa"/>
            <w:vAlign w:val="center"/>
          </w:tcPr>
          <w:p w14:paraId="2303439B">
            <w:pPr>
              <w:pStyle w:val="13"/>
            </w:pPr>
          </w:p>
        </w:tc>
        <w:tc>
          <w:tcPr>
            <w:tcW w:w="1474" w:type="dxa"/>
            <w:vAlign w:val="center"/>
          </w:tcPr>
          <w:p w14:paraId="016C54D7">
            <w:pPr>
              <w:pStyle w:val="14"/>
            </w:pPr>
          </w:p>
        </w:tc>
        <w:tc>
          <w:tcPr>
            <w:tcW w:w="1474" w:type="dxa"/>
            <w:vAlign w:val="center"/>
          </w:tcPr>
          <w:p w14:paraId="3ADF94B4">
            <w:pPr>
              <w:pStyle w:val="14"/>
            </w:pPr>
          </w:p>
        </w:tc>
        <w:tc>
          <w:tcPr>
            <w:tcW w:w="1474" w:type="dxa"/>
            <w:vAlign w:val="center"/>
          </w:tcPr>
          <w:p w14:paraId="7A7F35C1">
            <w:pPr>
              <w:pStyle w:val="14"/>
            </w:pPr>
          </w:p>
        </w:tc>
        <w:tc>
          <w:tcPr>
            <w:tcW w:w="1474" w:type="dxa"/>
            <w:vAlign w:val="center"/>
          </w:tcPr>
          <w:p w14:paraId="70D81B12">
            <w:pPr>
              <w:pStyle w:val="14"/>
            </w:pPr>
          </w:p>
        </w:tc>
      </w:tr>
      <w:tr w14:paraId="0DDC3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A059C">
            <w:pPr>
              <w:pStyle w:val="12"/>
            </w:pPr>
            <w:r>
              <w:t>37</w:t>
            </w:r>
          </w:p>
        </w:tc>
        <w:tc>
          <w:tcPr>
            <w:tcW w:w="3402" w:type="dxa"/>
            <w:vAlign w:val="center"/>
          </w:tcPr>
          <w:p w14:paraId="629AEBCE">
            <w:pPr>
              <w:pStyle w:val="15"/>
            </w:pPr>
            <w:r>
              <w:t>收入总计</w:t>
            </w:r>
          </w:p>
        </w:tc>
        <w:tc>
          <w:tcPr>
            <w:tcW w:w="1474" w:type="dxa"/>
            <w:vAlign w:val="center"/>
          </w:tcPr>
          <w:p w14:paraId="0BA10765">
            <w:pPr>
              <w:pStyle w:val="16"/>
            </w:pPr>
            <w:r>
              <w:t>2213.39</w:t>
            </w:r>
          </w:p>
        </w:tc>
        <w:tc>
          <w:tcPr>
            <w:tcW w:w="3402" w:type="dxa"/>
            <w:vAlign w:val="center"/>
          </w:tcPr>
          <w:p w14:paraId="5AA1D206">
            <w:pPr>
              <w:pStyle w:val="15"/>
            </w:pPr>
            <w:r>
              <w:t>支出总计</w:t>
            </w:r>
          </w:p>
        </w:tc>
        <w:tc>
          <w:tcPr>
            <w:tcW w:w="1474" w:type="dxa"/>
            <w:vAlign w:val="center"/>
          </w:tcPr>
          <w:p w14:paraId="350BE7D3">
            <w:pPr>
              <w:pStyle w:val="16"/>
            </w:pPr>
            <w:r>
              <w:t>2213.39</w:t>
            </w:r>
          </w:p>
        </w:tc>
        <w:tc>
          <w:tcPr>
            <w:tcW w:w="1474" w:type="dxa"/>
            <w:vAlign w:val="center"/>
          </w:tcPr>
          <w:p w14:paraId="23C733DF">
            <w:pPr>
              <w:pStyle w:val="16"/>
            </w:pPr>
            <w:r>
              <w:t>2213.39</w:t>
            </w:r>
          </w:p>
        </w:tc>
        <w:tc>
          <w:tcPr>
            <w:tcW w:w="1474" w:type="dxa"/>
            <w:vAlign w:val="center"/>
          </w:tcPr>
          <w:p w14:paraId="2EFC5C3B">
            <w:pPr>
              <w:pStyle w:val="16"/>
            </w:pPr>
          </w:p>
        </w:tc>
        <w:tc>
          <w:tcPr>
            <w:tcW w:w="1474" w:type="dxa"/>
            <w:vAlign w:val="center"/>
          </w:tcPr>
          <w:p w14:paraId="59FC5D3E">
            <w:pPr>
              <w:pStyle w:val="16"/>
            </w:pPr>
          </w:p>
        </w:tc>
      </w:tr>
    </w:tbl>
    <w:p w14:paraId="19BC4D35">
      <w:pPr>
        <w:sectPr>
          <w:pgSz w:w="16840" w:h="11900" w:orient="landscape"/>
          <w:pgMar w:top="1361" w:right="1020" w:bottom="1134" w:left="1020" w:header="720" w:footer="720" w:gutter="0"/>
          <w:cols w:space="720" w:num="1"/>
        </w:sectPr>
      </w:pPr>
    </w:p>
    <w:p w14:paraId="00AE3B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913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E58E60">
            <w:pPr>
              <w:pStyle w:val="8"/>
            </w:pPr>
            <w:r>
              <w:t>360026隆尧县牛家桥校区</w:t>
            </w:r>
          </w:p>
        </w:tc>
        <w:tc>
          <w:tcPr>
            <w:tcW w:w="2551" w:type="dxa"/>
            <w:tcBorders>
              <w:top w:val="single" w:color="FFFFFF" w:sz="6" w:space="0"/>
              <w:left w:val="single" w:color="FFFFFF" w:sz="6" w:space="0"/>
              <w:right w:val="single" w:color="FFFFFF" w:sz="6" w:space="0"/>
            </w:tcBorders>
            <w:vAlign w:val="center"/>
          </w:tcPr>
          <w:p w14:paraId="206EB7D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DF9FDAB">
            <w:pPr>
              <w:pStyle w:val="10"/>
            </w:pPr>
            <w:r>
              <w:t>单位：万元</w:t>
            </w:r>
          </w:p>
        </w:tc>
      </w:tr>
      <w:tr w14:paraId="7DE5E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5C857">
            <w:pPr>
              <w:pStyle w:val="11"/>
            </w:pPr>
            <w:r>
              <w:t>序号</w:t>
            </w:r>
          </w:p>
        </w:tc>
        <w:tc>
          <w:tcPr>
            <w:tcW w:w="5726" w:type="dxa"/>
            <w:gridSpan w:val="2"/>
            <w:vAlign w:val="center"/>
          </w:tcPr>
          <w:p w14:paraId="1A6E1723">
            <w:pPr>
              <w:pStyle w:val="11"/>
            </w:pPr>
            <w:r>
              <w:t>功能分类科目</w:t>
            </w:r>
          </w:p>
        </w:tc>
        <w:tc>
          <w:tcPr>
            <w:tcW w:w="2551" w:type="dxa"/>
            <w:vMerge w:val="restart"/>
            <w:vAlign w:val="center"/>
          </w:tcPr>
          <w:p w14:paraId="24F1F68B">
            <w:pPr>
              <w:pStyle w:val="11"/>
            </w:pPr>
            <w:r>
              <w:t>合计</w:t>
            </w:r>
          </w:p>
        </w:tc>
        <w:tc>
          <w:tcPr>
            <w:tcW w:w="2551" w:type="dxa"/>
            <w:vMerge w:val="restart"/>
            <w:vAlign w:val="center"/>
          </w:tcPr>
          <w:p w14:paraId="3E95526C">
            <w:pPr>
              <w:pStyle w:val="11"/>
            </w:pPr>
            <w:r>
              <w:t>基本支出</w:t>
            </w:r>
          </w:p>
        </w:tc>
        <w:tc>
          <w:tcPr>
            <w:tcW w:w="2551" w:type="dxa"/>
            <w:vMerge w:val="restart"/>
            <w:vAlign w:val="center"/>
          </w:tcPr>
          <w:p w14:paraId="54212016">
            <w:pPr>
              <w:pStyle w:val="11"/>
            </w:pPr>
            <w:r>
              <w:t>项目支出</w:t>
            </w:r>
          </w:p>
        </w:tc>
      </w:tr>
      <w:tr w14:paraId="7D8D0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7FE7B7"/>
        </w:tc>
        <w:tc>
          <w:tcPr>
            <w:tcW w:w="1191" w:type="dxa"/>
            <w:vAlign w:val="center"/>
          </w:tcPr>
          <w:p w14:paraId="3257EE1B">
            <w:pPr>
              <w:pStyle w:val="11"/>
            </w:pPr>
            <w:r>
              <w:t>科目编码</w:t>
            </w:r>
          </w:p>
        </w:tc>
        <w:tc>
          <w:tcPr>
            <w:tcW w:w="4535" w:type="dxa"/>
            <w:vAlign w:val="center"/>
          </w:tcPr>
          <w:p w14:paraId="7B534173">
            <w:pPr>
              <w:pStyle w:val="11"/>
            </w:pPr>
            <w:r>
              <w:t>科目名称</w:t>
            </w:r>
          </w:p>
        </w:tc>
        <w:tc>
          <w:tcPr>
            <w:tcW w:w="2551" w:type="dxa"/>
            <w:vMerge w:val="continue"/>
          </w:tcPr>
          <w:p w14:paraId="3CED38B6"/>
        </w:tc>
        <w:tc>
          <w:tcPr>
            <w:tcW w:w="2551" w:type="dxa"/>
            <w:vMerge w:val="continue"/>
          </w:tcPr>
          <w:p w14:paraId="27D8EF79"/>
        </w:tc>
        <w:tc>
          <w:tcPr>
            <w:tcW w:w="2551" w:type="dxa"/>
            <w:vMerge w:val="continue"/>
          </w:tcPr>
          <w:p w14:paraId="301FBDB1"/>
        </w:tc>
      </w:tr>
      <w:tr w14:paraId="60113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D464C">
            <w:pPr>
              <w:pStyle w:val="11"/>
            </w:pPr>
            <w:r>
              <w:t>栏次</w:t>
            </w:r>
          </w:p>
        </w:tc>
        <w:tc>
          <w:tcPr>
            <w:tcW w:w="1191" w:type="dxa"/>
            <w:vAlign w:val="center"/>
          </w:tcPr>
          <w:p w14:paraId="4E294605">
            <w:pPr>
              <w:pStyle w:val="11"/>
            </w:pPr>
            <w:r>
              <w:t>1</w:t>
            </w:r>
          </w:p>
        </w:tc>
        <w:tc>
          <w:tcPr>
            <w:tcW w:w="4535" w:type="dxa"/>
            <w:vAlign w:val="center"/>
          </w:tcPr>
          <w:p w14:paraId="02E0FCE3">
            <w:pPr>
              <w:pStyle w:val="11"/>
            </w:pPr>
            <w:r>
              <w:t>2</w:t>
            </w:r>
          </w:p>
        </w:tc>
        <w:tc>
          <w:tcPr>
            <w:tcW w:w="2551" w:type="dxa"/>
            <w:vAlign w:val="center"/>
          </w:tcPr>
          <w:p w14:paraId="3643CBD4">
            <w:pPr>
              <w:pStyle w:val="11"/>
            </w:pPr>
            <w:r>
              <w:t>3</w:t>
            </w:r>
          </w:p>
        </w:tc>
        <w:tc>
          <w:tcPr>
            <w:tcW w:w="2551" w:type="dxa"/>
            <w:vAlign w:val="center"/>
          </w:tcPr>
          <w:p w14:paraId="6872E747">
            <w:pPr>
              <w:pStyle w:val="11"/>
            </w:pPr>
            <w:r>
              <w:t>4</w:t>
            </w:r>
          </w:p>
        </w:tc>
        <w:tc>
          <w:tcPr>
            <w:tcW w:w="2551" w:type="dxa"/>
            <w:vAlign w:val="center"/>
          </w:tcPr>
          <w:p w14:paraId="3DC35DF9">
            <w:pPr>
              <w:pStyle w:val="11"/>
            </w:pPr>
            <w:r>
              <w:t>5</w:t>
            </w:r>
          </w:p>
        </w:tc>
      </w:tr>
      <w:tr w14:paraId="62920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56E6E">
            <w:pPr>
              <w:pStyle w:val="12"/>
            </w:pPr>
            <w:r>
              <w:t>1</w:t>
            </w:r>
          </w:p>
        </w:tc>
        <w:tc>
          <w:tcPr>
            <w:tcW w:w="1191" w:type="dxa"/>
            <w:vAlign w:val="center"/>
          </w:tcPr>
          <w:p w14:paraId="2F9AD5A5">
            <w:pPr>
              <w:pStyle w:val="17"/>
            </w:pPr>
          </w:p>
        </w:tc>
        <w:tc>
          <w:tcPr>
            <w:tcW w:w="4535" w:type="dxa"/>
            <w:vAlign w:val="center"/>
          </w:tcPr>
          <w:p w14:paraId="1C36F48C">
            <w:pPr>
              <w:pStyle w:val="15"/>
            </w:pPr>
            <w:r>
              <w:t>合计</w:t>
            </w:r>
          </w:p>
        </w:tc>
        <w:tc>
          <w:tcPr>
            <w:tcW w:w="2551" w:type="dxa"/>
            <w:vAlign w:val="center"/>
          </w:tcPr>
          <w:p w14:paraId="69C758E9">
            <w:pPr>
              <w:pStyle w:val="16"/>
            </w:pPr>
            <w:r>
              <w:t>2213.39</w:t>
            </w:r>
          </w:p>
        </w:tc>
        <w:tc>
          <w:tcPr>
            <w:tcW w:w="2551" w:type="dxa"/>
            <w:vAlign w:val="center"/>
          </w:tcPr>
          <w:p w14:paraId="08D49D25">
            <w:pPr>
              <w:pStyle w:val="16"/>
            </w:pPr>
            <w:r>
              <w:t>1755.23</w:t>
            </w:r>
          </w:p>
        </w:tc>
        <w:tc>
          <w:tcPr>
            <w:tcW w:w="2551" w:type="dxa"/>
            <w:vAlign w:val="center"/>
          </w:tcPr>
          <w:p w14:paraId="2E22FB73">
            <w:pPr>
              <w:pStyle w:val="16"/>
            </w:pPr>
            <w:r>
              <w:t>458.17</w:t>
            </w:r>
          </w:p>
        </w:tc>
      </w:tr>
      <w:tr w14:paraId="67705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19E45">
            <w:pPr>
              <w:pStyle w:val="12"/>
            </w:pPr>
            <w:r>
              <w:t>2</w:t>
            </w:r>
          </w:p>
        </w:tc>
        <w:tc>
          <w:tcPr>
            <w:tcW w:w="1191" w:type="dxa"/>
            <w:vAlign w:val="center"/>
          </w:tcPr>
          <w:p w14:paraId="44F3C782">
            <w:pPr>
              <w:pStyle w:val="13"/>
            </w:pPr>
            <w:r>
              <w:t>205</w:t>
            </w:r>
          </w:p>
        </w:tc>
        <w:tc>
          <w:tcPr>
            <w:tcW w:w="4535" w:type="dxa"/>
            <w:vAlign w:val="center"/>
          </w:tcPr>
          <w:p w14:paraId="53CCBCE1">
            <w:pPr>
              <w:pStyle w:val="13"/>
            </w:pPr>
            <w:r>
              <w:t>教育支出</w:t>
            </w:r>
          </w:p>
        </w:tc>
        <w:tc>
          <w:tcPr>
            <w:tcW w:w="2551" w:type="dxa"/>
            <w:vAlign w:val="center"/>
          </w:tcPr>
          <w:p w14:paraId="011F1E8F">
            <w:pPr>
              <w:pStyle w:val="14"/>
            </w:pPr>
            <w:r>
              <w:t>2213.39</w:t>
            </w:r>
          </w:p>
        </w:tc>
        <w:tc>
          <w:tcPr>
            <w:tcW w:w="2551" w:type="dxa"/>
            <w:vAlign w:val="center"/>
          </w:tcPr>
          <w:p w14:paraId="24F1D902">
            <w:pPr>
              <w:pStyle w:val="14"/>
            </w:pPr>
            <w:r>
              <w:t>1755.23</w:t>
            </w:r>
          </w:p>
        </w:tc>
        <w:tc>
          <w:tcPr>
            <w:tcW w:w="2551" w:type="dxa"/>
            <w:vAlign w:val="center"/>
          </w:tcPr>
          <w:p w14:paraId="37A9E303">
            <w:pPr>
              <w:pStyle w:val="14"/>
            </w:pPr>
            <w:r>
              <w:t>458.17</w:t>
            </w:r>
          </w:p>
        </w:tc>
      </w:tr>
      <w:tr w14:paraId="7F43E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6DAD4">
            <w:pPr>
              <w:pStyle w:val="12"/>
            </w:pPr>
            <w:r>
              <w:t>3</w:t>
            </w:r>
          </w:p>
        </w:tc>
        <w:tc>
          <w:tcPr>
            <w:tcW w:w="1191" w:type="dxa"/>
            <w:vAlign w:val="center"/>
          </w:tcPr>
          <w:p w14:paraId="111723D8">
            <w:pPr>
              <w:pStyle w:val="13"/>
            </w:pPr>
            <w:r>
              <w:t>20502</w:t>
            </w:r>
          </w:p>
        </w:tc>
        <w:tc>
          <w:tcPr>
            <w:tcW w:w="4535" w:type="dxa"/>
            <w:vAlign w:val="center"/>
          </w:tcPr>
          <w:p w14:paraId="17CB4DC1">
            <w:pPr>
              <w:pStyle w:val="13"/>
            </w:pPr>
            <w:r>
              <w:t>普通教育</w:t>
            </w:r>
          </w:p>
        </w:tc>
        <w:tc>
          <w:tcPr>
            <w:tcW w:w="2551" w:type="dxa"/>
            <w:vAlign w:val="center"/>
          </w:tcPr>
          <w:p w14:paraId="79644768">
            <w:pPr>
              <w:pStyle w:val="14"/>
            </w:pPr>
            <w:r>
              <w:t>2213.39</w:t>
            </w:r>
          </w:p>
        </w:tc>
        <w:tc>
          <w:tcPr>
            <w:tcW w:w="2551" w:type="dxa"/>
            <w:vAlign w:val="center"/>
          </w:tcPr>
          <w:p w14:paraId="4B4624D5">
            <w:pPr>
              <w:pStyle w:val="14"/>
            </w:pPr>
            <w:r>
              <w:t>1755.23</w:t>
            </w:r>
          </w:p>
        </w:tc>
        <w:tc>
          <w:tcPr>
            <w:tcW w:w="2551" w:type="dxa"/>
            <w:vAlign w:val="center"/>
          </w:tcPr>
          <w:p w14:paraId="0B89FA6D">
            <w:pPr>
              <w:pStyle w:val="14"/>
            </w:pPr>
            <w:r>
              <w:t>458.17</w:t>
            </w:r>
          </w:p>
        </w:tc>
      </w:tr>
      <w:tr w14:paraId="61DA0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03E71">
            <w:pPr>
              <w:pStyle w:val="12"/>
            </w:pPr>
            <w:r>
              <w:t>4</w:t>
            </w:r>
          </w:p>
        </w:tc>
        <w:tc>
          <w:tcPr>
            <w:tcW w:w="1191" w:type="dxa"/>
            <w:vAlign w:val="center"/>
          </w:tcPr>
          <w:p w14:paraId="1CC8C26F">
            <w:pPr>
              <w:pStyle w:val="13"/>
            </w:pPr>
            <w:r>
              <w:t>2050201</w:t>
            </w:r>
          </w:p>
        </w:tc>
        <w:tc>
          <w:tcPr>
            <w:tcW w:w="4535" w:type="dxa"/>
            <w:vAlign w:val="center"/>
          </w:tcPr>
          <w:p w14:paraId="78ABD34F">
            <w:pPr>
              <w:pStyle w:val="13"/>
            </w:pPr>
            <w:r>
              <w:t>学前教育</w:t>
            </w:r>
          </w:p>
        </w:tc>
        <w:tc>
          <w:tcPr>
            <w:tcW w:w="2551" w:type="dxa"/>
            <w:vAlign w:val="center"/>
          </w:tcPr>
          <w:p w14:paraId="3F2DAE1B">
            <w:pPr>
              <w:pStyle w:val="14"/>
            </w:pPr>
            <w:r>
              <w:t>72.60</w:t>
            </w:r>
          </w:p>
        </w:tc>
        <w:tc>
          <w:tcPr>
            <w:tcW w:w="2551" w:type="dxa"/>
            <w:vAlign w:val="center"/>
          </w:tcPr>
          <w:p w14:paraId="4C40081D">
            <w:pPr>
              <w:pStyle w:val="14"/>
            </w:pPr>
          </w:p>
        </w:tc>
        <w:tc>
          <w:tcPr>
            <w:tcW w:w="2551" w:type="dxa"/>
            <w:vAlign w:val="center"/>
          </w:tcPr>
          <w:p w14:paraId="4B4B958D">
            <w:pPr>
              <w:pStyle w:val="14"/>
            </w:pPr>
            <w:r>
              <w:t>72.60</w:t>
            </w:r>
          </w:p>
        </w:tc>
      </w:tr>
      <w:tr w14:paraId="4F5C7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E7574">
            <w:pPr>
              <w:pStyle w:val="12"/>
            </w:pPr>
            <w:r>
              <w:t>5</w:t>
            </w:r>
          </w:p>
        </w:tc>
        <w:tc>
          <w:tcPr>
            <w:tcW w:w="1191" w:type="dxa"/>
            <w:vAlign w:val="center"/>
          </w:tcPr>
          <w:p w14:paraId="2A411C47">
            <w:pPr>
              <w:pStyle w:val="13"/>
            </w:pPr>
            <w:r>
              <w:t>2050202</w:t>
            </w:r>
          </w:p>
        </w:tc>
        <w:tc>
          <w:tcPr>
            <w:tcW w:w="4535" w:type="dxa"/>
            <w:vAlign w:val="center"/>
          </w:tcPr>
          <w:p w14:paraId="57B7DBE4">
            <w:pPr>
              <w:pStyle w:val="13"/>
            </w:pPr>
            <w:r>
              <w:t>小学教育</w:t>
            </w:r>
          </w:p>
        </w:tc>
        <w:tc>
          <w:tcPr>
            <w:tcW w:w="2551" w:type="dxa"/>
            <w:vAlign w:val="center"/>
          </w:tcPr>
          <w:p w14:paraId="63059450">
            <w:pPr>
              <w:pStyle w:val="14"/>
            </w:pPr>
            <w:r>
              <w:t>2140.79</w:t>
            </w:r>
          </w:p>
        </w:tc>
        <w:tc>
          <w:tcPr>
            <w:tcW w:w="2551" w:type="dxa"/>
            <w:vAlign w:val="center"/>
          </w:tcPr>
          <w:p w14:paraId="617E6EFB">
            <w:pPr>
              <w:pStyle w:val="14"/>
            </w:pPr>
            <w:r>
              <w:t>1755.23</w:t>
            </w:r>
          </w:p>
        </w:tc>
        <w:tc>
          <w:tcPr>
            <w:tcW w:w="2551" w:type="dxa"/>
            <w:vAlign w:val="center"/>
          </w:tcPr>
          <w:p w14:paraId="037C4E47">
            <w:pPr>
              <w:pStyle w:val="14"/>
            </w:pPr>
            <w:r>
              <w:t>385.57</w:t>
            </w:r>
          </w:p>
        </w:tc>
      </w:tr>
    </w:tbl>
    <w:p w14:paraId="4041BADB">
      <w:pPr>
        <w:sectPr>
          <w:pgSz w:w="16840" w:h="11900" w:orient="landscape"/>
          <w:pgMar w:top="1361" w:right="1020" w:bottom="1134" w:left="1020" w:header="720" w:footer="720" w:gutter="0"/>
          <w:cols w:space="720" w:num="1"/>
        </w:sectPr>
      </w:pPr>
    </w:p>
    <w:p w14:paraId="648B70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4A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D67F75">
            <w:pPr>
              <w:pStyle w:val="8"/>
            </w:pPr>
            <w:r>
              <w:t>360026隆尧县牛家桥校区</w:t>
            </w:r>
          </w:p>
        </w:tc>
        <w:tc>
          <w:tcPr>
            <w:tcW w:w="2551" w:type="dxa"/>
            <w:tcBorders>
              <w:top w:val="single" w:color="FFFFFF" w:sz="6" w:space="0"/>
              <w:left w:val="single" w:color="FFFFFF" w:sz="6" w:space="0"/>
              <w:right w:val="single" w:color="FFFFFF" w:sz="6" w:space="0"/>
            </w:tcBorders>
            <w:vAlign w:val="center"/>
          </w:tcPr>
          <w:p w14:paraId="6A33AFD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A1347DF">
            <w:pPr>
              <w:pStyle w:val="10"/>
            </w:pPr>
            <w:r>
              <w:t>单位：万元</w:t>
            </w:r>
          </w:p>
        </w:tc>
      </w:tr>
      <w:tr w14:paraId="6A12A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89949">
            <w:pPr>
              <w:pStyle w:val="11"/>
            </w:pPr>
            <w:r>
              <w:t>序号</w:t>
            </w:r>
          </w:p>
        </w:tc>
        <w:tc>
          <w:tcPr>
            <w:tcW w:w="5726" w:type="dxa"/>
            <w:gridSpan w:val="2"/>
            <w:vAlign w:val="center"/>
          </w:tcPr>
          <w:p w14:paraId="247804CF">
            <w:pPr>
              <w:pStyle w:val="11"/>
            </w:pPr>
            <w:r>
              <w:t>支出部门经济分类科目</w:t>
            </w:r>
          </w:p>
        </w:tc>
        <w:tc>
          <w:tcPr>
            <w:tcW w:w="7653" w:type="dxa"/>
            <w:gridSpan w:val="3"/>
            <w:vAlign w:val="center"/>
          </w:tcPr>
          <w:p w14:paraId="6414E8AA">
            <w:pPr>
              <w:pStyle w:val="11"/>
            </w:pPr>
            <w:r>
              <w:t>一般公共预算基本支出</w:t>
            </w:r>
          </w:p>
        </w:tc>
      </w:tr>
      <w:tr w14:paraId="68642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3F9349D6"/>
        </w:tc>
        <w:tc>
          <w:tcPr>
            <w:tcW w:w="1191" w:type="dxa"/>
            <w:vAlign w:val="center"/>
          </w:tcPr>
          <w:p w14:paraId="25279491">
            <w:pPr>
              <w:pStyle w:val="11"/>
            </w:pPr>
            <w:r>
              <w:t>科目编码</w:t>
            </w:r>
          </w:p>
        </w:tc>
        <w:tc>
          <w:tcPr>
            <w:tcW w:w="4535" w:type="dxa"/>
            <w:vAlign w:val="center"/>
          </w:tcPr>
          <w:p w14:paraId="3EADE0B3">
            <w:pPr>
              <w:pStyle w:val="11"/>
            </w:pPr>
            <w:r>
              <w:t>科目名称</w:t>
            </w:r>
          </w:p>
        </w:tc>
        <w:tc>
          <w:tcPr>
            <w:tcW w:w="2551" w:type="dxa"/>
            <w:vAlign w:val="center"/>
          </w:tcPr>
          <w:p w14:paraId="7542AA79">
            <w:pPr>
              <w:pStyle w:val="11"/>
            </w:pPr>
            <w:r>
              <w:t>合计</w:t>
            </w:r>
          </w:p>
        </w:tc>
        <w:tc>
          <w:tcPr>
            <w:tcW w:w="2551" w:type="dxa"/>
            <w:vAlign w:val="center"/>
          </w:tcPr>
          <w:p w14:paraId="51CC7BA2">
            <w:pPr>
              <w:pStyle w:val="11"/>
            </w:pPr>
            <w:r>
              <w:t>人员经费</w:t>
            </w:r>
          </w:p>
        </w:tc>
        <w:tc>
          <w:tcPr>
            <w:tcW w:w="2551" w:type="dxa"/>
            <w:vAlign w:val="center"/>
          </w:tcPr>
          <w:p w14:paraId="4C153CAA">
            <w:pPr>
              <w:pStyle w:val="11"/>
            </w:pPr>
            <w:r>
              <w:t>公用经费</w:t>
            </w:r>
          </w:p>
        </w:tc>
      </w:tr>
      <w:tr w14:paraId="42B31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BD99B">
            <w:pPr>
              <w:pStyle w:val="11"/>
            </w:pPr>
            <w:r>
              <w:t>栏次</w:t>
            </w:r>
          </w:p>
        </w:tc>
        <w:tc>
          <w:tcPr>
            <w:tcW w:w="1191" w:type="dxa"/>
            <w:vAlign w:val="center"/>
          </w:tcPr>
          <w:p w14:paraId="64B15249">
            <w:pPr>
              <w:pStyle w:val="11"/>
            </w:pPr>
            <w:r>
              <w:t>1</w:t>
            </w:r>
          </w:p>
        </w:tc>
        <w:tc>
          <w:tcPr>
            <w:tcW w:w="4535" w:type="dxa"/>
            <w:vAlign w:val="center"/>
          </w:tcPr>
          <w:p w14:paraId="24951962">
            <w:pPr>
              <w:pStyle w:val="11"/>
            </w:pPr>
            <w:r>
              <w:t>2</w:t>
            </w:r>
          </w:p>
        </w:tc>
        <w:tc>
          <w:tcPr>
            <w:tcW w:w="2551" w:type="dxa"/>
            <w:vAlign w:val="center"/>
          </w:tcPr>
          <w:p w14:paraId="57731668">
            <w:pPr>
              <w:pStyle w:val="11"/>
            </w:pPr>
            <w:r>
              <w:t>3</w:t>
            </w:r>
          </w:p>
        </w:tc>
        <w:tc>
          <w:tcPr>
            <w:tcW w:w="2551" w:type="dxa"/>
            <w:vAlign w:val="center"/>
          </w:tcPr>
          <w:p w14:paraId="6EE197FF">
            <w:pPr>
              <w:pStyle w:val="11"/>
            </w:pPr>
            <w:r>
              <w:t>4</w:t>
            </w:r>
          </w:p>
        </w:tc>
        <w:tc>
          <w:tcPr>
            <w:tcW w:w="2551" w:type="dxa"/>
            <w:vAlign w:val="center"/>
          </w:tcPr>
          <w:p w14:paraId="62432A3E">
            <w:pPr>
              <w:pStyle w:val="11"/>
            </w:pPr>
            <w:r>
              <w:t>5</w:t>
            </w:r>
          </w:p>
        </w:tc>
      </w:tr>
      <w:tr w14:paraId="1244D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2382B">
            <w:pPr>
              <w:pStyle w:val="12"/>
            </w:pPr>
            <w:r>
              <w:t>1</w:t>
            </w:r>
          </w:p>
        </w:tc>
        <w:tc>
          <w:tcPr>
            <w:tcW w:w="1191" w:type="dxa"/>
            <w:vAlign w:val="center"/>
          </w:tcPr>
          <w:p w14:paraId="1FC78FB6">
            <w:pPr>
              <w:pStyle w:val="17"/>
            </w:pPr>
          </w:p>
        </w:tc>
        <w:tc>
          <w:tcPr>
            <w:tcW w:w="4535" w:type="dxa"/>
            <w:vAlign w:val="center"/>
          </w:tcPr>
          <w:p w14:paraId="1F6641D8">
            <w:pPr>
              <w:pStyle w:val="15"/>
            </w:pPr>
            <w:r>
              <w:t>合计</w:t>
            </w:r>
          </w:p>
        </w:tc>
        <w:tc>
          <w:tcPr>
            <w:tcW w:w="2551" w:type="dxa"/>
            <w:vAlign w:val="center"/>
          </w:tcPr>
          <w:p w14:paraId="76C27EAB">
            <w:pPr>
              <w:pStyle w:val="16"/>
            </w:pPr>
            <w:r>
              <w:t>1755.23</w:t>
            </w:r>
          </w:p>
        </w:tc>
        <w:tc>
          <w:tcPr>
            <w:tcW w:w="2551" w:type="dxa"/>
            <w:vAlign w:val="center"/>
          </w:tcPr>
          <w:p w14:paraId="7128C762">
            <w:pPr>
              <w:pStyle w:val="16"/>
            </w:pPr>
            <w:r>
              <w:t>1755.23</w:t>
            </w:r>
          </w:p>
        </w:tc>
        <w:tc>
          <w:tcPr>
            <w:tcW w:w="2551" w:type="dxa"/>
            <w:vAlign w:val="center"/>
          </w:tcPr>
          <w:p w14:paraId="27BE6B0B">
            <w:pPr>
              <w:pStyle w:val="16"/>
            </w:pPr>
          </w:p>
        </w:tc>
      </w:tr>
      <w:tr w14:paraId="21292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F76F0">
            <w:pPr>
              <w:pStyle w:val="12"/>
            </w:pPr>
            <w:r>
              <w:t>2</w:t>
            </w:r>
          </w:p>
        </w:tc>
        <w:tc>
          <w:tcPr>
            <w:tcW w:w="1191" w:type="dxa"/>
            <w:vAlign w:val="center"/>
          </w:tcPr>
          <w:p w14:paraId="04D10226">
            <w:pPr>
              <w:pStyle w:val="13"/>
            </w:pPr>
            <w:r>
              <w:t>301</w:t>
            </w:r>
          </w:p>
        </w:tc>
        <w:tc>
          <w:tcPr>
            <w:tcW w:w="4535" w:type="dxa"/>
            <w:vAlign w:val="center"/>
          </w:tcPr>
          <w:p w14:paraId="3EA71E4C">
            <w:pPr>
              <w:pStyle w:val="13"/>
            </w:pPr>
            <w:r>
              <w:t>工资福利支出</w:t>
            </w:r>
          </w:p>
        </w:tc>
        <w:tc>
          <w:tcPr>
            <w:tcW w:w="2551" w:type="dxa"/>
            <w:vAlign w:val="center"/>
          </w:tcPr>
          <w:p w14:paraId="095F242B">
            <w:pPr>
              <w:pStyle w:val="14"/>
            </w:pPr>
            <w:r>
              <w:t>1652.94</w:t>
            </w:r>
          </w:p>
        </w:tc>
        <w:tc>
          <w:tcPr>
            <w:tcW w:w="2551" w:type="dxa"/>
            <w:vAlign w:val="center"/>
          </w:tcPr>
          <w:p w14:paraId="4A23F7AD">
            <w:pPr>
              <w:pStyle w:val="14"/>
            </w:pPr>
            <w:r>
              <w:t>1652.94</w:t>
            </w:r>
          </w:p>
        </w:tc>
        <w:tc>
          <w:tcPr>
            <w:tcW w:w="2551" w:type="dxa"/>
            <w:vAlign w:val="center"/>
          </w:tcPr>
          <w:p w14:paraId="2DAFEC07">
            <w:pPr>
              <w:pStyle w:val="14"/>
            </w:pPr>
          </w:p>
        </w:tc>
      </w:tr>
      <w:tr w14:paraId="21104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66AD1">
            <w:pPr>
              <w:pStyle w:val="12"/>
            </w:pPr>
            <w:r>
              <w:t>3</w:t>
            </w:r>
          </w:p>
        </w:tc>
        <w:tc>
          <w:tcPr>
            <w:tcW w:w="1191" w:type="dxa"/>
            <w:vAlign w:val="center"/>
          </w:tcPr>
          <w:p w14:paraId="63DA9585">
            <w:pPr>
              <w:pStyle w:val="13"/>
            </w:pPr>
            <w:r>
              <w:t>30101</w:t>
            </w:r>
          </w:p>
        </w:tc>
        <w:tc>
          <w:tcPr>
            <w:tcW w:w="4535" w:type="dxa"/>
            <w:vAlign w:val="center"/>
          </w:tcPr>
          <w:p w14:paraId="684BCB91">
            <w:pPr>
              <w:pStyle w:val="13"/>
            </w:pPr>
            <w:r>
              <w:t>基本工资</w:t>
            </w:r>
          </w:p>
        </w:tc>
        <w:tc>
          <w:tcPr>
            <w:tcW w:w="2551" w:type="dxa"/>
            <w:vAlign w:val="center"/>
          </w:tcPr>
          <w:p w14:paraId="636931B4">
            <w:pPr>
              <w:pStyle w:val="14"/>
            </w:pPr>
            <w:r>
              <w:t>761.05</w:t>
            </w:r>
          </w:p>
        </w:tc>
        <w:tc>
          <w:tcPr>
            <w:tcW w:w="2551" w:type="dxa"/>
            <w:vAlign w:val="center"/>
          </w:tcPr>
          <w:p w14:paraId="553F22BA">
            <w:pPr>
              <w:pStyle w:val="14"/>
            </w:pPr>
            <w:r>
              <w:t>761.05</w:t>
            </w:r>
          </w:p>
        </w:tc>
        <w:tc>
          <w:tcPr>
            <w:tcW w:w="2551" w:type="dxa"/>
            <w:vAlign w:val="center"/>
          </w:tcPr>
          <w:p w14:paraId="1802670F">
            <w:pPr>
              <w:pStyle w:val="14"/>
            </w:pPr>
          </w:p>
        </w:tc>
      </w:tr>
      <w:tr w14:paraId="32AB7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EE653">
            <w:pPr>
              <w:pStyle w:val="12"/>
            </w:pPr>
            <w:r>
              <w:t>4</w:t>
            </w:r>
          </w:p>
        </w:tc>
        <w:tc>
          <w:tcPr>
            <w:tcW w:w="1191" w:type="dxa"/>
            <w:vAlign w:val="center"/>
          </w:tcPr>
          <w:p w14:paraId="1F17BC7D">
            <w:pPr>
              <w:pStyle w:val="13"/>
            </w:pPr>
            <w:r>
              <w:t>30102</w:t>
            </w:r>
          </w:p>
        </w:tc>
        <w:tc>
          <w:tcPr>
            <w:tcW w:w="4535" w:type="dxa"/>
            <w:vAlign w:val="center"/>
          </w:tcPr>
          <w:p w14:paraId="2CBA87EC">
            <w:pPr>
              <w:pStyle w:val="13"/>
            </w:pPr>
            <w:r>
              <w:t>津贴补贴</w:t>
            </w:r>
          </w:p>
        </w:tc>
        <w:tc>
          <w:tcPr>
            <w:tcW w:w="2551" w:type="dxa"/>
            <w:vAlign w:val="center"/>
          </w:tcPr>
          <w:p w14:paraId="6C9C7E7C">
            <w:pPr>
              <w:pStyle w:val="14"/>
            </w:pPr>
            <w:r>
              <w:t>69.82</w:t>
            </w:r>
          </w:p>
        </w:tc>
        <w:tc>
          <w:tcPr>
            <w:tcW w:w="2551" w:type="dxa"/>
            <w:vAlign w:val="center"/>
          </w:tcPr>
          <w:p w14:paraId="5579ACEF">
            <w:pPr>
              <w:pStyle w:val="14"/>
            </w:pPr>
            <w:r>
              <w:t>69.82</w:t>
            </w:r>
          </w:p>
        </w:tc>
        <w:tc>
          <w:tcPr>
            <w:tcW w:w="2551" w:type="dxa"/>
            <w:vAlign w:val="center"/>
          </w:tcPr>
          <w:p w14:paraId="0CF84E10">
            <w:pPr>
              <w:pStyle w:val="14"/>
            </w:pPr>
          </w:p>
        </w:tc>
      </w:tr>
      <w:tr w14:paraId="74717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BAB98">
            <w:pPr>
              <w:pStyle w:val="12"/>
            </w:pPr>
            <w:r>
              <w:t>5</w:t>
            </w:r>
          </w:p>
        </w:tc>
        <w:tc>
          <w:tcPr>
            <w:tcW w:w="1191" w:type="dxa"/>
            <w:vAlign w:val="center"/>
          </w:tcPr>
          <w:p w14:paraId="31C067F1">
            <w:pPr>
              <w:pStyle w:val="13"/>
            </w:pPr>
            <w:r>
              <w:t>30107</w:t>
            </w:r>
          </w:p>
        </w:tc>
        <w:tc>
          <w:tcPr>
            <w:tcW w:w="4535" w:type="dxa"/>
            <w:vAlign w:val="center"/>
          </w:tcPr>
          <w:p w14:paraId="2851EE07">
            <w:pPr>
              <w:pStyle w:val="13"/>
            </w:pPr>
            <w:r>
              <w:t>绩效工资</w:t>
            </w:r>
          </w:p>
        </w:tc>
        <w:tc>
          <w:tcPr>
            <w:tcW w:w="2551" w:type="dxa"/>
            <w:vAlign w:val="center"/>
          </w:tcPr>
          <w:p w14:paraId="5E9B7183">
            <w:pPr>
              <w:pStyle w:val="14"/>
            </w:pPr>
            <w:r>
              <w:t>437.63</w:t>
            </w:r>
          </w:p>
        </w:tc>
        <w:tc>
          <w:tcPr>
            <w:tcW w:w="2551" w:type="dxa"/>
            <w:vAlign w:val="center"/>
          </w:tcPr>
          <w:p w14:paraId="6A04E8AD">
            <w:pPr>
              <w:pStyle w:val="14"/>
            </w:pPr>
            <w:r>
              <w:t>437.63</w:t>
            </w:r>
          </w:p>
        </w:tc>
        <w:tc>
          <w:tcPr>
            <w:tcW w:w="2551" w:type="dxa"/>
            <w:vAlign w:val="center"/>
          </w:tcPr>
          <w:p w14:paraId="0D60DD09">
            <w:pPr>
              <w:pStyle w:val="14"/>
            </w:pPr>
          </w:p>
        </w:tc>
      </w:tr>
      <w:tr w14:paraId="3D526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32B24">
            <w:pPr>
              <w:pStyle w:val="12"/>
            </w:pPr>
            <w:r>
              <w:t>6</w:t>
            </w:r>
          </w:p>
        </w:tc>
        <w:tc>
          <w:tcPr>
            <w:tcW w:w="1191" w:type="dxa"/>
            <w:vAlign w:val="center"/>
          </w:tcPr>
          <w:p w14:paraId="2235C53C">
            <w:pPr>
              <w:pStyle w:val="13"/>
            </w:pPr>
            <w:r>
              <w:t>30108</w:t>
            </w:r>
          </w:p>
        </w:tc>
        <w:tc>
          <w:tcPr>
            <w:tcW w:w="4535" w:type="dxa"/>
            <w:vAlign w:val="center"/>
          </w:tcPr>
          <w:p w14:paraId="0DC18C09">
            <w:pPr>
              <w:pStyle w:val="13"/>
            </w:pPr>
            <w:r>
              <w:t>机关事业单位基本养老保险缴费</w:t>
            </w:r>
          </w:p>
        </w:tc>
        <w:tc>
          <w:tcPr>
            <w:tcW w:w="2551" w:type="dxa"/>
            <w:vAlign w:val="center"/>
          </w:tcPr>
          <w:p w14:paraId="6492C9B9">
            <w:pPr>
              <w:pStyle w:val="14"/>
            </w:pPr>
            <w:r>
              <w:t>190.56</w:t>
            </w:r>
          </w:p>
        </w:tc>
        <w:tc>
          <w:tcPr>
            <w:tcW w:w="2551" w:type="dxa"/>
            <w:vAlign w:val="center"/>
          </w:tcPr>
          <w:p w14:paraId="27F1D98F">
            <w:pPr>
              <w:pStyle w:val="14"/>
            </w:pPr>
            <w:r>
              <w:t>190.56</w:t>
            </w:r>
          </w:p>
        </w:tc>
        <w:tc>
          <w:tcPr>
            <w:tcW w:w="2551" w:type="dxa"/>
            <w:vAlign w:val="center"/>
          </w:tcPr>
          <w:p w14:paraId="399DBBB6">
            <w:pPr>
              <w:pStyle w:val="14"/>
            </w:pPr>
          </w:p>
        </w:tc>
      </w:tr>
      <w:tr w14:paraId="59202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1FE94">
            <w:pPr>
              <w:pStyle w:val="12"/>
            </w:pPr>
            <w:r>
              <w:t>7</w:t>
            </w:r>
          </w:p>
        </w:tc>
        <w:tc>
          <w:tcPr>
            <w:tcW w:w="1191" w:type="dxa"/>
            <w:vAlign w:val="center"/>
          </w:tcPr>
          <w:p w14:paraId="3575106D">
            <w:pPr>
              <w:pStyle w:val="13"/>
            </w:pPr>
            <w:r>
              <w:t>30110</w:t>
            </w:r>
          </w:p>
        </w:tc>
        <w:tc>
          <w:tcPr>
            <w:tcW w:w="4535" w:type="dxa"/>
            <w:vAlign w:val="center"/>
          </w:tcPr>
          <w:p w14:paraId="3F83324F">
            <w:pPr>
              <w:pStyle w:val="13"/>
            </w:pPr>
            <w:r>
              <w:t>职工基本医疗保险缴费</w:t>
            </w:r>
          </w:p>
        </w:tc>
        <w:tc>
          <w:tcPr>
            <w:tcW w:w="2551" w:type="dxa"/>
            <w:vAlign w:val="center"/>
          </w:tcPr>
          <w:p w14:paraId="16FB68D6">
            <w:pPr>
              <w:pStyle w:val="14"/>
            </w:pPr>
            <w:r>
              <w:t>71.97</w:t>
            </w:r>
          </w:p>
        </w:tc>
        <w:tc>
          <w:tcPr>
            <w:tcW w:w="2551" w:type="dxa"/>
            <w:vAlign w:val="center"/>
          </w:tcPr>
          <w:p w14:paraId="572A018E">
            <w:pPr>
              <w:pStyle w:val="14"/>
            </w:pPr>
            <w:r>
              <w:t>71.97</w:t>
            </w:r>
          </w:p>
        </w:tc>
        <w:tc>
          <w:tcPr>
            <w:tcW w:w="2551" w:type="dxa"/>
            <w:vAlign w:val="center"/>
          </w:tcPr>
          <w:p w14:paraId="40695FD2">
            <w:pPr>
              <w:pStyle w:val="14"/>
            </w:pPr>
          </w:p>
        </w:tc>
      </w:tr>
      <w:tr w14:paraId="2FE1B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CB2E4">
            <w:pPr>
              <w:pStyle w:val="12"/>
            </w:pPr>
            <w:r>
              <w:t>8</w:t>
            </w:r>
          </w:p>
        </w:tc>
        <w:tc>
          <w:tcPr>
            <w:tcW w:w="1191" w:type="dxa"/>
            <w:vAlign w:val="center"/>
          </w:tcPr>
          <w:p w14:paraId="5562299D">
            <w:pPr>
              <w:pStyle w:val="13"/>
            </w:pPr>
            <w:r>
              <w:t>30112</w:t>
            </w:r>
          </w:p>
        </w:tc>
        <w:tc>
          <w:tcPr>
            <w:tcW w:w="4535" w:type="dxa"/>
            <w:vAlign w:val="center"/>
          </w:tcPr>
          <w:p w14:paraId="3EA98063">
            <w:pPr>
              <w:pStyle w:val="13"/>
            </w:pPr>
            <w:r>
              <w:t>其他社会保障缴费</w:t>
            </w:r>
          </w:p>
        </w:tc>
        <w:tc>
          <w:tcPr>
            <w:tcW w:w="2551" w:type="dxa"/>
            <w:vAlign w:val="center"/>
          </w:tcPr>
          <w:p w14:paraId="706A69A2">
            <w:pPr>
              <w:pStyle w:val="14"/>
            </w:pPr>
            <w:r>
              <w:t>4.29</w:t>
            </w:r>
          </w:p>
        </w:tc>
        <w:tc>
          <w:tcPr>
            <w:tcW w:w="2551" w:type="dxa"/>
            <w:vAlign w:val="center"/>
          </w:tcPr>
          <w:p w14:paraId="6D499F8E">
            <w:pPr>
              <w:pStyle w:val="14"/>
            </w:pPr>
            <w:r>
              <w:t>4.29</w:t>
            </w:r>
          </w:p>
        </w:tc>
        <w:tc>
          <w:tcPr>
            <w:tcW w:w="2551" w:type="dxa"/>
            <w:vAlign w:val="center"/>
          </w:tcPr>
          <w:p w14:paraId="541CF447">
            <w:pPr>
              <w:pStyle w:val="14"/>
            </w:pPr>
          </w:p>
        </w:tc>
      </w:tr>
      <w:tr w14:paraId="04A44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339AA">
            <w:pPr>
              <w:pStyle w:val="12"/>
            </w:pPr>
            <w:r>
              <w:t>9</w:t>
            </w:r>
          </w:p>
        </w:tc>
        <w:tc>
          <w:tcPr>
            <w:tcW w:w="1191" w:type="dxa"/>
            <w:vAlign w:val="center"/>
          </w:tcPr>
          <w:p w14:paraId="4C7BF165">
            <w:pPr>
              <w:pStyle w:val="13"/>
            </w:pPr>
            <w:r>
              <w:t>30113</w:t>
            </w:r>
          </w:p>
        </w:tc>
        <w:tc>
          <w:tcPr>
            <w:tcW w:w="4535" w:type="dxa"/>
            <w:vAlign w:val="center"/>
          </w:tcPr>
          <w:p w14:paraId="748461CA">
            <w:pPr>
              <w:pStyle w:val="13"/>
            </w:pPr>
            <w:r>
              <w:t>住房公积金</w:t>
            </w:r>
          </w:p>
        </w:tc>
        <w:tc>
          <w:tcPr>
            <w:tcW w:w="2551" w:type="dxa"/>
            <w:vAlign w:val="center"/>
          </w:tcPr>
          <w:p w14:paraId="14CEEBA1">
            <w:pPr>
              <w:pStyle w:val="14"/>
            </w:pPr>
            <w:r>
              <w:t>117.62</w:t>
            </w:r>
          </w:p>
        </w:tc>
        <w:tc>
          <w:tcPr>
            <w:tcW w:w="2551" w:type="dxa"/>
            <w:vAlign w:val="center"/>
          </w:tcPr>
          <w:p w14:paraId="52C65A6C">
            <w:pPr>
              <w:pStyle w:val="14"/>
            </w:pPr>
            <w:r>
              <w:t>117.62</w:t>
            </w:r>
          </w:p>
        </w:tc>
        <w:tc>
          <w:tcPr>
            <w:tcW w:w="2551" w:type="dxa"/>
            <w:vAlign w:val="center"/>
          </w:tcPr>
          <w:p w14:paraId="07EDB73D">
            <w:pPr>
              <w:pStyle w:val="14"/>
            </w:pPr>
          </w:p>
        </w:tc>
      </w:tr>
      <w:tr w14:paraId="381E3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C35AE">
            <w:pPr>
              <w:pStyle w:val="12"/>
            </w:pPr>
            <w:r>
              <w:t>10</w:t>
            </w:r>
          </w:p>
        </w:tc>
        <w:tc>
          <w:tcPr>
            <w:tcW w:w="1191" w:type="dxa"/>
            <w:vAlign w:val="center"/>
          </w:tcPr>
          <w:p w14:paraId="218EB33F">
            <w:pPr>
              <w:pStyle w:val="13"/>
            </w:pPr>
            <w:r>
              <w:t>303</w:t>
            </w:r>
          </w:p>
        </w:tc>
        <w:tc>
          <w:tcPr>
            <w:tcW w:w="4535" w:type="dxa"/>
            <w:vAlign w:val="center"/>
          </w:tcPr>
          <w:p w14:paraId="11D2311E">
            <w:pPr>
              <w:pStyle w:val="13"/>
            </w:pPr>
            <w:r>
              <w:t>对个人和家庭的补助</w:t>
            </w:r>
          </w:p>
        </w:tc>
        <w:tc>
          <w:tcPr>
            <w:tcW w:w="2551" w:type="dxa"/>
            <w:vAlign w:val="center"/>
          </w:tcPr>
          <w:p w14:paraId="15F0913D">
            <w:pPr>
              <w:pStyle w:val="14"/>
            </w:pPr>
            <w:r>
              <w:t>102.29</w:t>
            </w:r>
          </w:p>
        </w:tc>
        <w:tc>
          <w:tcPr>
            <w:tcW w:w="2551" w:type="dxa"/>
            <w:vAlign w:val="center"/>
          </w:tcPr>
          <w:p w14:paraId="03F9690E">
            <w:pPr>
              <w:pStyle w:val="14"/>
            </w:pPr>
            <w:r>
              <w:t>102.29</w:t>
            </w:r>
          </w:p>
        </w:tc>
        <w:tc>
          <w:tcPr>
            <w:tcW w:w="2551" w:type="dxa"/>
            <w:vAlign w:val="center"/>
          </w:tcPr>
          <w:p w14:paraId="795DF483">
            <w:pPr>
              <w:pStyle w:val="14"/>
            </w:pPr>
          </w:p>
        </w:tc>
      </w:tr>
      <w:tr w14:paraId="657C0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216DE">
            <w:pPr>
              <w:pStyle w:val="12"/>
            </w:pPr>
            <w:r>
              <w:t>11</w:t>
            </w:r>
          </w:p>
        </w:tc>
        <w:tc>
          <w:tcPr>
            <w:tcW w:w="1191" w:type="dxa"/>
            <w:vAlign w:val="center"/>
          </w:tcPr>
          <w:p w14:paraId="0C7C61BF">
            <w:pPr>
              <w:pStyle w:val="13"/>
            </w:pPr>
            <w:r>
              <w:t>30302</w:t>
            </w:r>
          </w:p>
        </w:tc>
        <w:tc>
          <w:tcPr>
            <w:tcW w:w="4535" w:type="dxa"/>
            <w:vAlign w:val="center"/>
          </w:tcPr>
          <w:p w14:paraId="5DCEFCF0">
            <w:pPr>
              <w:pStyle w:val="13"/>
            </w:pPr>
            <w:r>
              <w:t>退休费</w:t>
            </w:r>
          </w:p>
        </w:tc>
        <w:tc>
          <w:tcPr>
            <w:tcW w:w="2551" w:type="dxa"/>
            <w:vAlign w:val="center"/>
          </w:tcPr>
          <w:p w14:paraId="04FE2E2D">
            <w:pPr>
              <w:pStyle w:val="14"/>
            </w:pPr>
            <w:r>
              <w:t>96.45</w:t>
            </w:r>
          </w:p>
        </w:tc>
        <w:tc>
          <w:tcPr>
            <w:tcW w:w="2551" w:type="dxa"/>
            <w:vAlign w:val="center"/>
          </w:tcPr>
          <w:p w14:paraId="64C2CF4F">
            <w:pPr>
              <w:pStyle w:val="14"/>
            </w:pPr>
            <w:r>
              <w:t>96.45</w:t>
            </w:r>
          </w:p>
        </w:tc>
        <w:tc>
          <w:tcPr>
            <w:tcW w:w="2551" w:type="dxa"/>
            <w:vAlign w:val="center"/>
          </w:tcPr>
          <w:p w14:paraId="25159C15">
            <w:pPr>
              <w:pStyle w:val="14"/>
            </w:pPr>
          </w:p>
        </w:tc>
      </w:tr>
      <w:tr w14:paraId="0AD3D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35206">
            <w:pPr>
              <w:pStyle w:val="12"/>
            </w:pPr>
            <w:r>
              <w:t>12</w:t>
            </w:r>
          </w:p>
        </w:tc>
        <w:tc>
          <w:tcPr>
            <w:tcW w:w="1191" w:type="dxa"/>
            <w:vAlign w:val="center"/>
          </w:tcPr>
          <w:p w14:paraId="1457EF82">
            <w:pPr>
              <w:pStyle w:val="13"/>
            </w:pPr>
            <w:r>
              <w:t>30305</w:t>
            </w:r>
          </w:p>
        </w:tc>
        <w:tc>
          <w:tcPr>
            <w:tcW w:w="4535" w:type="dxa"/>
            <w:vAlign w:val="center"/>
          </w:tcPr>
          <w:p w14:paraId="08C1CFB9">
            <w:pPr>
              <w:pStyle w:val="13"/>
            </w:pPr>
            <w:r>
              <w:t>生活补助</w:t>
            </w:r>
          </w:p>
        </w:tc>
        <w:tc>
          <w:tcPr>
            <w:tcW w:w="2551" w:type="dxa"/>
            <w:vAlign w:val="center"/>
          </w:tcPr>
          <w:p w14:paraId="082A77E0">
            <w:pPr>
              <w:pStyle w:val="14"/>
            </w:pPr>
            <w:r>
              <w:t>5.83</w:t>
            </w:r>
          </w:p>
        </w:tc>
        <w:tc>
          <w:tcPr>
            <w:tcW w:w="2551" w:type="dxa"/>
            <w:vAlign w:val="center"/>
          </w:tcPr>
          <w:p w14:paraId="7DD1F976">
            <w:pPr>
              <w:pStyle w:val="14"/>
            </w:pPr>
            <w:r>
              <w:t>5.83</w:t>
            </w:r>
          </w:p>
        </w:tc>
        <w:tc>
          <w:tcPr>
            <w:tcW w:w="2551" w:type="dxa"/>
            <w:vAlign w:val="center"/>
          </w:tcPr>
          <w:p w14:paraId="30BAFFB1">
            <w:pPr>
              <w:pStyle w:val="14"/>
            </w:pPr>
          </w:p>
        </w:tc>
      </w:tr>
    </w:tbl>
    <w:p w14:paraId="11209D1F">
      <w:pPr>
        <w:sectPr>
          <w:pgSz w:w="16840" w:h="11900" w:orient="landscape"/>
          <w:pgMar w:top="1361" w:right="1020" w:bottom="1134" w:left="1020" w:header="720" w:footer="720" w:gutter="0"/>
          <w:cols w:space="720" w:num="1"/>
        </w:sectPr>
      </w:pPr>
    </w:p>
    <w:p w14:paraId="29C113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06C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DE160">
            <w:pPr>
              <w:pStyle w:val="8"/>
            </w:pPr>
            <w:r>
              <w:t>360026隆尧县牛家桥校区</w:t>
            </w:r>
          </w:p>
        </w:tc>
        <w:tc>
          <w:tcPr>
            <w:tcW w:w="2551" w:type="dxa"/>
            <w:tcBorders>
              <w:top w:val="single" w:color="FFFFFF" w:sz="6" w:space="0"/>
              <w:left w:val="single" w:color="FFFFFF" w:sz="6" w:space="0"/>
              <w:right w:val="single" w:color="FFFFFF" w:sz="6" w:space="0"/>
            </w:tcBorders>
            <w:vAlign w:val="center"/>
          </w:tcPr>
          <w:p w14:paraId="44004EB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4BB776F">
            <w:pPr>
              <w:pStyle w:val="10"/>
            </w:pPr>
            <w:r>
              <w:t>单位：万元</w:t>
            </w:r>
          </w:p>
        </w:tc>
      </w:tr>
      <w:tr w14:paraId="48465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536FDA">
            <w:pPr>
              <w:pStyle w:val="11"/>
            </w:pPr>
            <w:r>
              <w:t>序号</w:t>
            </w:r>
          </w:p>
        </w:tc>
        <w:tc>
          <w:tcPr>
            <w:tcW w:w="5726" w:type="dxa"/>
            <w:gridSpan w:val="2"/>
            <w:vAlign w:val="center"/>
          </w:tcPr>
          <w:p w14:paraId="74DF606C">
            <w:pPr>
              <w:pStyle w:val="11"/>
            </w:pPr>
            <w:r>
              <w:t>功能分类科目</w:t>
            </w:r>
          </w:p>
        </w:tc>
        <w:tc>
          <w:tcPr>
            <w:tcW w:w="2551" w:type="dxa"/>
            <w:vMerge w:val="restart"/>
            <w:vAlign w:val="center"/>
          </w:tcPr>
          <w:p w14:paraId="30AE5E76">
            <w:pPr>
              <w:pStyle w:val="11"/>
            </w:pPr>
            <w:r>
              <w:t>合计</w:t>
            </w:r>
          </w:p>
        </w:tc>
        <w:tc>
          <w:tcPr>
            <w:tcW w:w="2551" w:type="dxa"/>
            <w:vMerge w:val="restart"/>
            <w:vAlign w:val="center"/>
          </w:tcPr>
          <w:p w14:paraId="450EBAD8">
            <w:pPr>
              <w:pStyle w:val="11"/>
            </w:pPr>
            <w:r>
              <w:t>基本支出</w:t>
            </w:r>
          </w:p>
        </w:tc>
        <w:tc>
          <w:tcPr>
            <w:tcW w:w="2551" w:type="dxa"/>
            <w:vMerge w:val="restart"/>
            <w:vAlign w:val="center"/>
          </w:tcPr>
          <w:p w14:paraId="2F8A1532">
            <w:pPr>
              <w:pStyle w:val="11"/>
            </w:pPr>
            <w:r>
              <w:t>项目支出</w:t>
            </w:r>
          </w:p>
        </w:tc>
      </w:tr>
      <w:tr w14:paraId="2E522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3D04C"/>
        </w:tc>
        <w:tc>
          <w:tcPr>
            <w:tcW w:w="1191" w:type="dxa"/>
            <w:vAlign w:val="center"/>
          </w:tcPr>
          <w:p w14:paraId="318CBF8F">
            <w:pPr>
              <w:pStyle w:val="11"/>
            </w:pPr>
            <w:r>
              <w:t>科目编码</w:t>
            </w:r>
          </w:p>
        </w:tc>
        <w:tc>
          <w:tcPr>
            <w:tcW w:w="4535" w:type="dxa"/>
            <w:vAlign w:val="center"/>
          </w:tcPr>
          <w:p w14:paraId="544353AD">
            <w:pPr>
              <w:pStyle w:val="11"/>
            </w:pPr>
            <w:r>
              <w:t>科目名称</w:t>
            </w:r>
          </w:p>
        </w:tc>
        <w:tc>
          <w:tcPr>
            <w:tcW w:w="2551" w:type="dxa"/>
            <w:vMerge w:val="continue"/>
          </w:tcPr>
          <w:p w14:paraId="0105D35E"/>
        </w:tc>
        <w:tc>
          <w:tcPr>
            <w:tcW w:w="2551" w:type="dxa"/>
            <w:vMerge w:val="continue"/>
          </w:tcPr>
          <w:p w14:paraId="1A8F1DC0"/>
        </w:tc>
        <w:tc>
          <w:tcPr>
            <w:tcW w:w="2551" w:type="dxa"/>
            <w:vMerge w:val="continue"/>
          </w:tcPr>
          <w:p w14:paraId="602890D5"/>
        </w:tc>
      </w:tr>
      <w:tr w14:paraId="335A8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052B1359">
            <w:pPr>
              <w:pStyle w:val="11"/>
            </w:pPr>
            <w:r>
              <w:t>栏次</w:t>
            </w:r>
          </w:p>
        </w:tc>
        <w:tc>
          <w:tcPr>
            <w:tcW w:w="1191" w:type="dxa"/>
            <w:vAlign w:val="center"/>
          </w:tcPr>
          <w:p w14:paraId="3303238D">
            <w:pPr>
              <w:pStyle w:val="11"/>
            </w:pPr>
            <w:r>
              <w:t>1</w:t>
            </w:r>
          </w:p>
        </w:tc>
        <w:tc>
          <w:tcPr>
            <w:tcW w:w="4535" w:type="dxa"/>
            <w:vAlign w:val="center"/>
          </w:tcPr>
          <w:p w14:paraId="2DB83C55">
            <w:pPr>
              <w:pStyle w:val="11"/>
            </w:pPr>
            <w:r>
              <w:t>2</w:t>
            </w:r>
          </w:p>
        </w:tc>
        <w:tc>
          <w:tcPr>
            <w:tcW w:w="2551" w:type="dxa"/>
            <w:vAlign w:val="center"/>
          </w:tcPr>
          <w:p w14:paraId="655E3EE3">
            <w:pPr>
              <w:pStyle w:val="11"/>
            </w:pPr>
            <w:r>
              <w:t>3</w:t>
            </w:r>
          </w:p>
        </w:tc>
        <w:tc>
          <w:tcPr>
            <w:tcW w:w="2551" w:type="dxa"/>
            <w:vAlign w:val="center"/>
          </w:tcPr>
          <w:p w14:paraId="0E884953">
            <w:pPr>
              <w:pStyle w:val="11"/>
            </w:pPr>
            <w:r>
              <w:t>4</w:t>
            </w:r>
          </w:p>
        </w:tc>
        <w:tc>
          <w:tcPr>
            <w:tcW w:w="2551" w:type="dxa"/>
            <w:vAlign w:val="center"/>
          </w:tcPr>
          <w:p w14:paraId="7FBF88BE">
            <w:pPr>
              <w:pStyle w:val="11"/>
            </w:pPr>
            <w:r>
              <w:t>5</w:t>
            </w:r>
          </w:p>
        </w:tc>
      </w:tr>
      <w:tr w14:paraId="47EFC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40E7F">
            <w:pPr>
              <w:pStyle w:val="12"/>
            </w:pPr>
          </w:p>
        </w:tc>
        <w:tc>
          <w:tcPr>
            <w:tcW w:w="1191" w:type="dxa"/>
            <w:vAlign w:val="center"/>
          </w:tcPr>
          <w:p w14:paraId="2C14C430">
            <w:pPr>
              <w:pStyle w:val="13"/>
            </w:pPr>
          </w:p>
        </w:tc>
        <w:tc>
          <w:tcPr>
            <w:tcW w:w="4535" w:type="dxa"/>
            <w:vAlign w:val="center"/>
          </w:tcPr>
          <w:p w14:paraId="606B9D62">
            <w:pPr>
              <w:pStyle w:val="13"/>
            </w:pPr>
          </w:p>
        </w:tc>
        <w:tc>
          <w:tcPr>
            <w:tcW w:w="2551" w:type="dxa"/>
            <w:vAlign w:val="center"/>
          </w:tcPr>
          <w:p w14:paraId="762EAE90">
            <w:pPr>
              <w:pStyle w:val="14"/>
            </w:pPr>
          </w:p>
        </w:tc>
        <w:tc>
          <w:tcPr>
            <w:tcW w:w="2551" w:type="dxa"/>
            <w:vAlign w:val="center"/>
          </w:tcPr>
          <w:p w14:paraId="08D5028D">
            <w:pPr>
              <w:pStyle w:val="14"/>
            </w:pPr>
          </w:p>
        </w:tc>
        <w:tc>
          <w:tcPr>
            <w:tcW w:w="2551" w:type="dxa"/>
            <w:vAlign w:val="center"/>
          </w:tcPr>
          <w:p w14:paraId="75AE9E2D">
            <w:pPr>
              <w:pStyle w:val="14"/>
            </w:pPr>
          </w:p>
        </w:tc>
      </w:tr>
    </w:tbl>
    <w:p w14:paraId="410A65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70398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9E5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BC91D9">
            <w:pPr>
              <w:pStyle w:val="8"/>
            </w:pPr>
            <w:r>
              <w:t>360026隆尧县牛家桥校区</w:t>
            </w:r>
          </w:p>
        </w:tc>
        <w:tc>
          <w:tcPr>
            <w:tcW w:w="2551" w:type="dxa"/>
            <w:tcBorders>
              <w:top w:val="single" w:color="FFFFFF" w:sz="6" w:space="0"/>
              <w:left w:val="single" w:color="FFFFFF" w:sz="6" w:space="0"/>
              <w:right w:val="single" w:color="FFFFFF" w:sz="6" w:space="0"/>
            </w:tcBorders>
            <w:vAlign w:val="center"/>
          </w:tcPr>
          <w:p w14:paraId="003A431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4760A77">
            <w:pPr>
              <w:pStyle w:val="10"/>
            </w:pPr>
            <w:r>
              <w:t>单位：万元</w:t>
            </w:r>
          </w:p>
        </w:tc>
      </w:tr>
      <w:tr w14:paraId="029D0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81FA2F">
            <w:pPr>
              <w:pStyle w:val="11"/>
            </w:pPr>
            <w:r>
              <w:t>序号</w:t>
            </w:r>
          </w:p>
        </w:tc>
        <w:tc>
          <w:tcPr>
            <w:tcW w:w="5726" w:type="dxa"/>
            <w:gridSpan w:val="2"/>
            <w:vAlign w:val="center"/>
          </w:tcPr>
          <w:p w14:paraId="7C19EDC5">
            <w:pPr>
              <w:pStyle w:val="11"/>
            </w:pPr>
            <w:r>
              <w:t>功能分类科目</w:t>
            </w:r>
          </w:p>
        </w:tc>
        <w:tc>
          <w:tcPr>
            <w:tcW w:w="2551" w:type="dxa"/>
            <w:vMerge w:val="restart"/>
            <w:vAlign w:val="center"/>
          </w:tcPr>
          <w:p w14:paraId="531004A4">
            <w:pPr>
              <w:pStyle w:val="11"/>
            </w:pPr>
            <w:r>
              <w:t>合计</w:t>
            </w:r>
          </w:p>
        </w:tc>
        <w:tc>
          <w:tcPr>
            <w:tcW w:w="2551" w:type="dxa"/>
            <w:vMerge w:val="restart"/>
            <w:vAlign w:val="center"/>
          </w:tcPr>
          <w:p w14:paraId="74C3258F">
            <w:pPr>
              <w:pStyle w:val="11"/>
            </w:pPr>
            <w:r>
              <w:t>基本支出</w:t>
            </w:r>
          </w:p>
        </w:tc>
        <w:tc>
          <w:tcPr>
            <w:tcW w:w="2551" w:type="dxa"/>
            <w:vMerge w:val="restart"/>
            <w:vAlign w:val="center"/>
          </w:tcPr>
          <w:p w14:paraId="1A625B51">
            <w:pPr>
              <w:pStyle w:val="11"/>
            </w:pPr>
            <w:r>
              <w:t>项目支出</w:t>
            </w:r>
          </w:p>
        </w:tc>
      </w:tr>
      <w:tr w14:paraId="24358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AAD8EA"/>
        </w:tc>
        <w:tc>
          <w:tcPr>
            <w:tcW w:w="1191" w:type="dxa"/>
            <w:vAlign w:val="center"/>
          </w:tcPr>
          <w:p w14:paraId="1C96158E">
            <w:pPr>
              <w:pStyle w:val="11"/>
            </w:pPr>
            <w:r>
              <w:t>科目编码</w:t>
            </w:r>
          </w:p>
        </w:tc>
        <w:tc>
          <w:tcPr>
            <w:tcW w:w="4535" w:type="dxa"/>
            <w:vAlign w:val="center"/>
          </w:tcPr>
          <w:p w14:paraId="437F56B2">
            <w:pPr>
              <w:pStyle w:val="11"/>
            </w:pPr>
            <w:r>
              <w:t>科目名称</w:t>
            </w:r>
          </w:p>
        </w:tc>
        <w:tc>
          <w:tcPr>
            <w:tcW w:w="2551" w:type="dxa"/>
            <w:vMerge w:val="continue"/>
          </w:tcPr>
          <w:p w14:paraId="36CCE281"/>
        </w:tc>
        <w:tc>
          <w:tcPr>
            <w:tcW w:w="2551" w:type="dxa"/>
            <w:vMerge w:val="continue"/>
          </w:tcPr>
          <w:p w14:paraId="79AC0407"/>
        </w:tc>
        <w:tc>
          <w:tcPr>
            <w:tcW w:w="2551" w:type="dxa"/>
            <w:vMerge w:val="continue"/>
          </w:tcPr>
          <w:p w14:paraId="1DEC7C5F"/>
        </w:tc>
      </w:tr>
      <w:tr w14:paraId="260BC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D19242">
            <w:pPr>
              <w:pStyle w:val="11"/>
            </w:pPr>
            <w:r>
              <w:t>栏次</w:t>
            </w:r>
          </w:p>
        </w:tc>
        <w:tc>
          <w:tcPr>
            <w:tcW w:w="1191" w:type="dxa"/>
            <w:vAlign w:val="center"/>
          </w:tcPr>
          <w:p w14:paraId="322AA57B">
            <w:pPr>
              <w:pStyle w:val="11"/>
            </w:pPr>
            <w:r>
              <w:t>1</w:t>
            </w:r>
          </w:p>
        </w:tc>
        <w:tc>
          <w:tcPr>
            <w:tcW w:w="4535" w:type="dxa"/>
            <w:vAlign w:val="center"/>
          </w:tcPr>
          <w:p w14:paraId="21A2B0E8">
            <w:pPr>
              <w:pStyle w:val="11"/>
            </w:pPr>
            <w:r>
              <w:t>2</w:t>
            </w:r>
          </w:p>
        </w:tc>
        <w:tc>
          <w:tcPr>
            <w:tcW w:w="2551" w:type="dxa"/>
            <w:vAlign w:val="center"/>
          </w:tcPr>
          <w:p w14:paraId="54DFE5B9">
            <w:pPr>
              <w:pStyle w:val="11"/>
            </w:pPr>
            <w:r>
              <w:t>3</w:t>
            </w:r>
          </w:p>
        </w:tc>
        <w:tc>
          <w:tcPr>
            <w:tcW w:w="2551" w:type="dxa"/>
            <w:vAlign w:val="center"/>
          </w:tcPr>
          <w:p w14:paraId="20C9CEEB">
            <w:pPr>
              <w:pStyle w:val="11"/>
            </w:pPr>
            <w:r>
              <w:t>4</w:t>
            </w:r>
          </w:p>
        </w:tc>
        <w:tc>
          <w:tcPr>
            <w:tcW w:w="2551" w:type="dxa"/>
            <w:vAlign w:val="center"/>
          </w:tcPr>
          <w:p w14:paraId="2B159EB7">
            <w:pPr>
              <w:pStyle w:val="11"/>
            </w:pPr>
            <w:r>
              <w:t>5</w:t>
            </w:r>
          </w:p>
        </w:tc>
      </w:tr>
      <w:tr w14:paraId="7CE1B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99B12">
            <w:pPr>
              <w:pStyle w:val="12"/>
            </w:pPr>
          </w:p>
        </w:tc>
        <w:tc>
          <w:tcPr>
            <w:tcW w:w="1191" w:type="dxa"/>
            <w:vAlign w:val="center"/>
          </w:tcPr>
          <w:p w14:paraId="6BDD43FC">
            <w:pPr>
              <w:pStyle w:val="13"/>
            </w:pPr>
          </w:p>
        </w:tc>
        <w:tc>
          <w:tcPr>
            <w:tcW w:w="4535" w:type="dxa"/>
            <w:vAlign w:val="center"/>
          </w:tcPr>
          <w:p w14:paraId="196BAD4B">
            <w:pPr>
              <w:pStyle w:val="13"/>
            </w:pPr>
          </w:p>
        </w:tc>
        <w:tc>
          <w:tcPr>
            <w:tcW w:w="2551" w:type="dxa"/>
            <w:vAlign w:val="center"/>
          </w:tcPr>
          <w:p w14:paraId="03B4E443">
            <w:pPr>
              <w:pStyle w:val="14"/>
            </w:pPr>
          </w:p>
        </w:tc>
        <w:tc>
          <w:tcPr>
            <w:tcW w:w="2551" w:type="dxa"/>
            <w:vAlign w:val="center"/>
          </w:tcPr>
          <w:p w14:paraId="75CE48CC">
            <w:pPr>
              <w:pStyle w:val="14"/>
            </w:pPr>
          </w:p>
        </w:tc>
        <w:tc>
          <w:tcPr>
            <w:tcW w:w="2551" w:type="dxa"/>
            <w:vAlign w:val="center"/>
          </w:tcPr>
          <w:p w14:paraId="176BF2A2">
            <w:pPr>
              <w:pStyle w:val="14"/>
            </w:pPr>
          </w:p>
        </w:tc>
      </w:tr>
    </w:tbl>
    <w:p w14:paraId="4B8920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52FC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78D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FA9ADC">
            <w:pPr>
              <w:pStyle w:val="8"/>
            </w:pPr>
            <w:r>
              <w:t>360026隆尧县牛家桥校区</w:t>
            </w:r>
          </w:p>
        </w:tc>
        <w:tc>
          <w:tcPr>
            <w:tcW w:w="2381" w:type="dxa"/>
            <w:tcBorders>
              <w:top w:val="single" w:color="FFFFFF" w:sz="6" w:space="0"/>
              <w:left w:val="single" w:color="FFFFFF" w:sz="6" w:space="0"/>
              <w:right w:val="single" w:color="FFFFFF" w:sz="6" w:space="0"/>
            </w:tcBorders>
            <w:vAlign w:val="center"/>
          </w:tcPr>
          <w:p w14:paraId="3C3FA6D6">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A810BED">
            <w:pPr>
              <w:pStyle w:val="10"/>
            </w:pPr>
            <w:r>
              <w:t>单位：万元</w:t>
            </w:r>
          </w:p>
        </w:tc>
      </w:tr>
      <w:tr w14:paraId="6AAE9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3D37C5">
            <w:pPr>
              <w:pStyle w:val="11"/>
            </w:pPr>
            <w:r>
              <w:t>序号</w:t>
            </w:r>
          </w:p>
        </w:tc>
        <w:tc>
          <w:tcPr>
            <w:tcW w:w="3798" w:type="dxa"/>
            <w:vMerge w:val="restart"/>
            <w:vAlign w:val="center"/>
          </w:tcPr>
          <w:p w14:paraId="14A94171">
            <w:pPr>
              <w:pStyle w:val="11"/>
            </w:pPr>
            <w:r>
              <w:t>项  目</w:t>
            </w:r>
          </w:p>
        </w:tc>
        <w:tc>
          <w:tcPr>
            <w:tcW w:w="9524" w:type="dxa"/>
            <w:gridSpan w:val="4"/>
            <w:vAlign w:val="center"/>
          </w:tcPr>
          <w:p w14:paraId="774C466B">
            <w:pPr>
              <w:pStyle w:val="11"/>
            </w:pPr>
            <w:r>
              <w:t>资 金 性 质</w:t>
            </w:r>
          </w:p>
        </w:tc>
      </w:tr>
      <w:tr w14:paraId="332A4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E17952"/>
        </w:tc>
        <w:tc>
          <w:tcPr>
            <w:tcW w:w="3798" w:type="dxa"/>
            <w:vMerge w:val="continue"/>
          </w:tcPr>
          <w:p w14:paraId="4DCDD407"/>
        </w:tc>
        <w:tc>
          <w:tcPr>
            <w:tcW w:w="2381" w:type="dxa"/>
            <w:vAlign w:val="center"/>
          </w:tcPr>
          <w:p w14:paraId="4E78D45D">
            <w:pPr>
              <w:pStyle w:val="11"/>
            </w:pPr>
            <w:r>
              <w:t>合计</w:t>
            </w:r>
          </w:p>
        </w:tc>
        <w:tc>
          <w:tcPr>
            <w:tcW w:w="2381" w:type="dxa"/>
            <w:vAlign w:val="center"/>
          </w:tcPr>
          <w:p w14:paraId="358EC414">
            <w:pPr>
              <w:pStyle w:val="11"/>
            </w:pPr>
            <w:r>
              <w:t>一般公共预算              财政拨款</w:t>
            </w:r>
          </w:p>
        </w:tc>
        <w:tc>
          <w:tcPr>
            <w:tcW w:w="2381" w:type="dxa"/>
            <w:vAlign w:val="center"/>
          </w:tcPr>
          <w:p w14:paraId="2E6E741B">
            <w:pPr>
              <w:pStyle w:val="11"/>
            </w:pPr>
            <w:r>
              <w:t>政府性基金                  预算拨款</w:t>
            </w:r>
          </w:p>
        </w:tc>
        <w:tc>
          <w:tcPr>
            <w:tcW w:w="2381" w:type="dxa"/>
            <w:vAlign w:val="center"/>
          </w:tcPr>
          <w:p w14:paraId="788E04E7">
            <w:pPr>
              <w:pStyle w:val="11"/>
            </w:pPr>
            <w:r>
              <w:t>国有资本经营              预算财政拨款</w:t>
            </w:r>
          </w:p>
        </w:tc>
      </w:tr>
      <w:tr w14:paraId="1C397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16BDF7">
            <w:pPr>
              <w:pStyle w:val="11"/>
            </w:pPr>
            <w:r>
              <w:t>栏次</w:t>
            </w:r>
          </w:p>
        </w:tc>
        <w:tc>
          <w:tcPr>
            <w:tcW w:w="3798" w:type="dxa"/>
            <w:vAlign w:val="center"/>
          </w:tcPr>
          <w:p w14:paraId="350DF762">
            <w:pPr>
              <w:pStyle w:val="11"/>
            </w:pPr>
            <w:r>
              <w:t>1</w:t>
            </w:r>
          </w:p>
        </w:tc>
        <w:tc>
          <w:tcPr>
            <w:tcW w:w="2381" w:type="dxa"/>
            <w:vAlign w:val="center"/>
          </w:tcPr>
          <w:p w14:paraId="5EA81095">
            <w:pPr>
              <w:pStyle w:val="11"/>
            </w:pPr>
            <w:r>
              <w:t>2</w:t>
            </w:r>
          </w:p>
        </w:tc>
        <w:tc>
          <w:tcPr>
            <w:tcW w:w="2381" w:type="dxa"/>
            <w:vAlign w:val="center"/>
          </w:tcPr>
          <w:p w14:paraId="6D44AA0F">
            <w:pPr>
              <w:pStyle w:val="11"/>
            </w:pPr>
            <w:r>
              <w:t>3</w:t>
            </w:r>
          </w:p>
        </w:tc>
        <w:tc>
          <w:tcPr>
            <w:tcW w:w="2381" w:type="dxa"/>
            <w:vAlign w:val="center"/>
          </w:tcPr>
          <w:p w14:paraId="7B93DB0E">
            <w:pPr>
              <w:pStyle w:val="11"/>
            </w:pPr>
            <w:r>
              <w:t>4</w:t>
            </w:r>
          </w:p>
        </w:tc>
        <w:tc>
          <w:tcPr>
            <w:tcW w:w="2381" w:type="dxa"/>
            <w:vAlign w:val="center"/>
          </w:tcPr>
          <w:p w14:paraId="273B7178">
            <w:pPr>
              <w:pStyle w:val="11"/>
            </w:pPr>
            <w:r>
              <w:t>5</w:t>
            </w:r>
          </w:p>
        </w:tc>
      </w:tr>
      <w:tr w14:paraId="37A0A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B6BE4D">
            <w:pPr>
              <w:pStyle w:val="12"/>
            </w:pPr>
          </w:p>
        </w:tc>
        <w:tc>
          <w:tcPr>
            <w:tcW w:w="3798" w:type="dxa"/>
            <w:vAlign w:val="center"/>
          </w:tcPr>
          <w:p w14:paraId="000C5097">
            <w:pPr>
              <w:pStyle w:val="13"/>
            </w:pPr>
          </w:p>
        </w:tc>
        <w:tc>
          <w:tcPr>
            <w:tcW w:w="2381" w:type="dxa"/>
            <w:vAlign w:val="center"/>
          </w:tcPr>
          <w:p w14:paraId="740C7085">
            <w:pPr>
              <w:pStyle w:val="14"/>
            </w:pPr>
          </w:p>
        </w:tc>
        <w:tc>
          <w:tcPr>
            <w:tcW w:w="2381" w:type="dxa"/>
            <w:vAlign w:val="center"/>
          </w:tcPr>
          <w:p w14:paraId="3B0FFFBA">
            <w:pPr>
              <w:pStyle w:val="14"/>
            </w:pPr>
          </w:p>
        </w:tc>
        <w:tc>
          <w:tcPr>
            <w:tcW w:w="2381" w:type="dxa"/>
            <w:vAlign w:val="center"/>
          </w:tcPr>
          <w:p w14:paraId="376C95FF">
            <w:pPr>
              <w:pStyle w:val="14"/>
            </w:pPr>
          </w:p>
        </w:tc>
        <w:tc>
          <w:tcPr>
            <w:tcW w:w="2381" w:type="dxa"/>
            <w:vAlign w:val="center"/>
          </w:tcPr>
          <w:p w14:paraId="6A7D62C4">
            <w:pPr>
              <w:pStyle w:val="14"/>
            </w:pPr>
          </w:p>
        </w:tc>
      </w:tr>
    </w:tbl>
    <w:p w14:paraId="2141B73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860FC9C">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隆尧县牛家桥校区2025年单位预算信息公开情况说明</w:t>
      </w:r>
    </w:p>
    <w:p w14:paraId="042818F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按照《中华人民共和国预算法》、《地方预决算公开操作规程》和《关于进一步推进预算公开工作的实施意见》规定，现将隆尧县牛家桥校区2025年单位预算公开如下：</w:t>
      </w:r>
    </w:p>
    <w:p w14:paraId="2BF5BF80">
      <w:pPr>
        <w:spacing w:before="10" w:after="10" w:line="240" w:lineRule="auto"/>
        <w:ind w:firstLine="640"/>
        <w:jc w:val="left"/>
        <w:outlineLvl w:val="5"/>
      </w:pPr>
      <w:r>
        <w:rPr>
          <w:rFonts w:ascii="黑体" w:hAnsi="黑体" w:eastAsia="黑体" w:cs="黑体"/>
          <w:color w:val="000000"/>
          <w:sz w:val="32"/>
        </w:rPr>
        <w:t>一、单位职责及机构设置情况</w:t>
      </w:r>
    </w:p>
    <w:p w14:paraId="45FDBAE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923EC80">
      <w:pPr>
        <w:pStyle w:val="18"/>
      </w:pPr>
      <w:r>
        <w:t>1.贯彻落实基础教育的方针、政策，开展小学阶段教育教学和所辖学校管理工作，促进学生德、智、体、美、劳全面发展；</w:t>
      </w:r>
    </w:p>
    <w:p w14:paraId="0932E892">
      <w:pPr>
        <w:pStyle w:val="18"/>
      </w:pPr>
      <w:r>
        <w:t>2. 负责学生安全教育和管理，确保学生身心健康；</w:t>
      </w:r>
    </w:p>
    <w:p w14:paraId="72E51062">
      <w:pPr>
        <w:pStyle w:val="18"/>
      </w:pPr>
      <w:r>
        <w:t>3. 加强教师队伍建设和管理，为教育教学工作提高保障。</w:t>
      </w:r>
    </w:p>
    <w:p w14:paraId="7F830BE4">
      <w:pPr>
        <w:pStyle w:val="18"/>
      </w:pPr>
      <w:r>
        <w:t>隆尧县牛家桥校区事业编制147名．其中，校长1名（正股级），副校长3名（副股级）；经费形式为财政性资金基本保证。</w:t>
      </w:r>
    </w:p>
    <w:p w14:paraId="2DD70D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93E8D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292E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7EE77A">
            <w:pPr>
              <w:pStyle w:val="11"/>
            </w:pPr>
            <w:r>
              <w:t>单位名称</w:t>
            </w:r>
          </w:p>
        </w:tc>
        <w:tc>
          <w:tcPr>
            <w:tcW w:w="1843" w:type="dxa"/>
            <w:vAlign w:val="center"/>
          </w:tcPr>
          <w:p w14:paraId="0CD31B80">
            <w:pPr>
              <w:pStyle w:val="11"/>
            </w:pPr>
            <w:r>
              <w:t>单位性质</w:t>
            </w:r>
          </w:p>
        </w:tc>
        <w:tc>
          <w:tcPr>
            <w:tcW w:w="2126" w:type="dxa"/>
            <w:vAlign w:val="center"/>
          </w:tcPr>
          <w:p w14:paraId="0B87081B">
            <w:pPr>
              <w:pStyle w:val="11"/>
            </w:pPr>
            <w:r>
              <w:t>单位规格</w:t>
            </w:r>
          </w:p>
        </w:tc>
        <w:tc>
          <w:tcPr>
            <w:tcW w:w="3827" w:type="dxa"/>
            <w:vAlign w:val="center"/>
          </w:tcPr>
          <w:p w14:paraId="058CAA71">
            <w:pPr>
              <w:pStyle w:val="11"/>
            </w:pPr>
            <w:r>
              <w:t>经费保障形式</w:t>
            </w:r>
          </w:p>
        </w:tc>
      </w:tr>
      <w:tr w14:paraId="5667E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647D705">
            <w:pPr>
              <w:pStyle w:val="13"/>
            </w:pPr>
            <w:r>
              <w:t>隆尧县牛家桥校区</w:t>
            </w:r>
          </w:p>
        </w:tc>
        <w:tc>
          <w:tcPr>
            <w:tcW w:w="1843" w:type="dxa"/>
            <w:vAlign w:val="center"/>
          </w:tcPr>
          <w:p w14:paraId="4575134E">
            <w:pPr>
              <w:pStyle w:val="12"/>
            </w:pPr>
            <w:r>
              <w:t>事业</w:t>
            </w:r>
          </w:p>
        </w:tc>
        <w:tc>
          <w:tcPr>
            <w:tcW w:w="2126" w:type="dxa"/>
            <w:vAlign w:val="center"/>
          </w:tcPr>
          <w:p w14:paraId="2E3A7476">
            <w:pPr>
              <w:pStyle w:val="12"/>
            </w:pPr>
            <w:r>
              <w:t>股级</w:t>
            </w:r>
          </w:p>
        </w:tc>
        <w:tc>
          <w:tcPr>
            <w:tcW w:w="3827" w:type="dxa"/>
            <w:vAlign w:val="center"/>
          </w:tcPr>
          <w:p w14:paraId="6016DCC0">
            <w:pPr>
              <w:pStyle w:val="12"/>
            </w:pPr>
            <w:r>
              <w:t>财政性资金基本保证</w:t>
            </w:r>
          </w:p>
        </w:tc>
      </w:tr>
    </w:tbl>
    <w:p w14:paraId="5B20D2EA">
      <w:pPr>
        <w:spacing w:before="10" w:after="10" w:line="240" w:lineRule="auto"/>
        <w:ind w:firstLine="640"/>
        <w:jc w:val="left"/>
        <w:outlineLvl w:val="5"/>
      </w:pPr>
      <w:r>
        <w:rPr>
          <w:rFonts w:ascii="黑体" w:hAnsi="黑体" w:eastAsia="黑体" w:cs="黑体"/>
          <w:color w:val="000000"/>
          <w:sz w:val="32"/>
        </w:rPr>
        <w:t>二、单位预算安排的总体情况</w:t>
      </w:r>
    </w:p>
    <w:p w14:paraId="013ACC7C">
      <w:pPr>
        <w:pStyle w:val="19"/>
      </w:pPr>
      <w:r>
        <w:t>按照预算管理有关规定，目前我省单位预算的编制实行综合预算管理，即全部收入和支出都反映在预算中。隆尧县牛家桥校区的收支包含在单位预算中。</w:t>
      </w:r>
    </w:p>
    <w:p w14:paraId="536CB1A8">
      <w:pPr>
        <w:pStyle w:val="19"/>
      </w:pPr>
      <w:r>
        <w:t>1、收入说明</w:t>
      </w:r>
    </w:p>
    <w:p w14:paraId="4B487F94">
      <w:pPr>
        <w:pStyle w:val="19"/>
      </w:pPr>
      <w:r>
        <w:t>反映本单位当年及去年全部收入情况。2025年预算收入2213.39万元，其中：一般公共预算收入2213.399万元，基金预算收入0万元，基金预算收入0万元，国有资本经营预算收入0万元，财政专户拨收入0万元，单位资金收入0万元，上年结转结余0万元。</w:t>
      </w:r>
    </w:p>
    <w:p w14:paraId="5CC6B52A">
      <w:pPr>
        <w:pStyle w:val="19"/>
      </w:pPr>
      <w:r>
        <w:t>2、支出说明</w:t>
      </w:r>
    </w:p>
    <w:p w14:paraId="16EA5E88">
      <w:pPr>
        <w:pStyle w:val="19"/>
      </w:pPr>
      <w:r>
        <w:t>收支预算总表支出栏、基本支出表、项目支出表按经济分类和支出功能分类科目编制，反映隆尧县牛家桥校区支出预算的总体情况。2025年单位支出预算为2213.39万元，其中基本支出1755.23万元、项目支出458.17万元。主要为小学教育2140.79万元，学前教育72.6万元。</w:t>
      </w:r>
    </w:p>
    <w:p w14:paraId="04F3C2D9">
      <w:pPr>
        <w:pStyle w:val="19"/>
      </w:pPr>
      <w:r>
        <w:t>3、比上年增减情况</w:t>
      </w:r>
    </w:p>
    <w:p w14:paraId="014560AA">
      <w:pPr>
        <w:pStyle w:val="19"/>
      </w:pPr>
      <w:r>
        <w:t>2025年预算收支安排2213.39万元，较2024年年初预算增加106.69万元，其中基本支出减少242.16万元，项目支出增加298.17万元。</w:t>
      </w:r>
    </w:p>
    <w:p w14:paraId="217858A2">
      <w:pPr>
        <w:pStyle w:val="19"/>
      </w:pPr>
    </w:p>
    <w:p w14:paraId="0E51D1BE">
      <w:pPr>
        <w:spacing w:before="10" w:after="10" w:line="240" w:lineRule="auto"/>
        <w:ind w:firstLine="640"/>
        <w:jc w:val="left"/>
        <w:outlineLvl w:val="5"/>
      </w:pPr>
      <w:r>
        <w:rPr>
          <w:rFonts w:ascii="黑体" w:hAnsi="黑体" w:eastAsia="黑体" w:cs="黑体"/>
          <w:color w:val="000000"/>
          <w:sz w:val="32"/>
        </w:rPr>
        <w:t>三、机关运行经费安排情况</w:t>
      </w:r>
    </w:p>
    <w:p w14:paraId="22B9494B">
      <w:pPr>
        <w:pStyle w:val="20"/>
      </w:pPr>
      <w:r>
        <w:t>我单位按学生安排公用经费，无机关运行经费</w:t>
      </w:r>
    </w:p>
    <w:p w14:paraId="70AEB5B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8D6249">
      <w:pPr>
        <w:pStyle w:val="21"/>
      </w:pPr>
      <w:r>
        <w:t>我单位未安排三公经费。</w:t>
      </w:r>
    </w:p>
    <w:p w14:paraId="68A74B3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2AA5284">
      <w:pPr>
        <w:spacing w:before="0" w:after="0"/>
        <w:ind w:firstLine="560"/>
        <w:jc w:val="left"/>
        <w:outlineLvl w:val="9"/>
      </w:pPr>
      <w:r>
        <w:rPr>
          <w:rFonts w:ascii="方正仿宋_GBK" w:hAnsi="方正仿宋_GBK" w:eastAsia="方正仿宋_GBK" w:cs="方正仿宋_GBK"/>
          <w:b/>
          <w:color w:val="000000"/>
          <w:sz w:val="28"/>
        </w:rPr>
        <w:t>1、冀财教[2024]121号/中央/2025年学前发展资金/牛家桥校区学前教育幼儿资助绩效目标表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C8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F64EC">
            <w:pPr>
              <w:pStyle w:val="14"/>
            </w:pPr>
            <w:r>
              <w:t>单位：万元</w:t>
            </w:r>
          </w:p>
        </w:tc>
      </w:tr>
      <w:tr w14:paraId="5894D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7C7119">
            <w:pPr>
              <w:pStyle w:val="11"/>
            </w:pPr>
            <w:r>
              <w:t>项目编码</w:t>
            </w:r>
          </w:p>
        </w:tc>
        <w:tc>
          <w:tcPr>
            <w:tcW w:w="5103" w:type="dxa"/>
            <w:gridSpan w:val="2"/>
            <w:vAlign w:val="center"/>
          </w:tcPr>
          <w:p w14:paraId="27B02061">
            <w:pPr>
              <w:pStyle w:val="13"/>
            </w:pPr>
            <w:r>
              <w:t>13052525P00000210060U</w:t>
            </w:r>
          </w:p>
        </w:tc>
        <w:tc>
          <w:tcPr>
            <w:tcW w:w="2835" w:type="dxa"/>
            <w:vAlign w:val="center"/>
          </w:tcPr>
          <w:p w14:paraId="787607C6">
            <w:pPr>
              <w:pStyle w:val="11"/>
            </w:pPr>
            <w:r>
              <w:t>项目名称</w:t>
            </w:r>
          </w:p>
        </w:tc>
        <w:tc>
          <w:tcPr>
            <w:tcW w:w="6095" w:type="dxa"/>
            <w:gridSpan w:val="3"/>
            <w:vAlign w:val="center"/>
          </w:tcPr>
          <w:p w14:paraId="5D0DCB8F">
            <w:pPr>
              <w:pStyle w:val="13"/>
            </w:pPr>
            <w:r>
              <w:t>冀财教[2024]121号/中央/2025年学前发展资金/牛家桥校区学前教育幼儿资助</w:t>
            </w:r>
          </w:p>
        </w:tc>
      </w:tr>
      <w:tr w14:paraId="25DBD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ED6D5">
            <w:pPr>
              <w:pStyle w:val="11"/>
            </w:pPr>
            <w:r>
              <w:t>预算规模及资金用途</w:t>
            </w:r>
          </w:p>
        </w:tc>
        <w:tc>
          <w:tcPr>
            <w:tcW w:w="2268" w:type="dxa"/>
            <w:vAlign w:val="center"/>
          </w:tcPr>
          <w:p w14:paraId="176312C8">
            <w:pPr>
              <w:pStyle w:val="11"/>
            </w:pPr>
            <w:r>
              <w:t>预算数</w:t>
            </w:r>
          </w:p>
        </w:tc>
        <w:tc>
          <w:tcPr>
            <w:tcW w:w="2835" w:type="dxa"/>
            <w:vAlign w:val="center"/>
          </w:tcPr>
          <w:p w14:paraId="10E897E7">
            <w:pPr>
              <w:pStyle w:val="13"/>
            </w:pPr>
            <w:r>
              <w:t>1.26</w:t>
            </w:r>
          </w:p>
        </w:tc>
        <w:tc>
          <w:tcPr>
            <w:tcW w:w="2835" w:type="dxa"/>
            <w:vAlign w:val="center"/>
          </w:tcPr>
          <w:p w14:paraId="1C7CF40C">
            <w:pPr>
              <w:pStyle w:val="11"/>
            </w:pPr>
            <w:r>
              <w:t>其中：财政    资金</w:t>
            </w:r>
          </w:p>
        </w:tc>
        <w:tc>
          <w:tcPr>
            <w:tcW w:w="2551" w:type="dxa"/>
            <w:vAlign w:val="center"/>
          </w:tcPr>
          <w:p w14:paraId="7892E74E">
            <w:pPr>
              <w:pStyle w:val="13"/>
            </w:pPr>
            <w:r>
              <w:t>1.26</w:t>
            </w:r>
          </w:p>
        </w:tc>
        <w:tc>
          <w:tcPr>
            <w:tcW w:w="2268" w:type="dxa"/>
            <w:vAlign w:val="center"/>
          </w:tcPr>
          <w:p w14:paraId="43F21795">
            <w:pPr>
              <w:pStyle w:val="11"/>
            </w:pPr>
            <w:r>
              <w:t>其他资金</w:t>
            </w:r>
          </w:p>
        </w:tc>
        <w:tc>
          <w:tcPr>
            <w:tcW w:w="1276" w:type="dxa"/>
            <w:vAlign w:val="center"/>
          </w:tcPr>
          <w:p w14:paraId="62484D2F">
            <w:pPr>
              <w:pStyle w:val="13"/>
            </w:pPr>
            <w:r>
              <w:t xml:space="preserve"> </w:t>
            </w:r>
          </w:p>
        </w:tc>
      </w:tr>
      <w:tr w14:paraId="1E1A2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B6811C"/>
        </w:tc>
        <w:tc>
          <w:tcPr>
            <w:tcW w:w="14033" w:type="dxa"/>
            <w:gridSpan w:val="6"/>
            <w:vAlign w:val="center"/>
          </w:tcPr>
          <w:p w14:paraId="7534AE9C">
            <w:pPr>
              <w:pStyle w:val="13"/>
            </w:pPr>
            <w:r>
              <w:t>保证本年度资助经费足额落实到位，符合享受资助条件的学生应助尽助。</w:t>
            </w:r>
          </w:p>
        </w:tc>
      </w:tr>
      <w:tr w14:paraId="6B828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A7F1E">
            <w:pPr>
              <w:pStyle w:val="11"/>
            </w:pPr>
            <w:r>
              <w:t>资金支出计划（%）</w:t>
            </w:r>
          </w:p>
        </w:tc>
        <w:tc>
          <w:tcPr>
            <w:tcW w:w="5103" w:type="dxa"/>
            <w:gridSpan w:val="2"/>
            <w:vAlign w:val="center"/>
          </w:tcPr>
          <w:p w14:paraId="0AC9235D">
            <w:pPr>
              <w:pStyle w:val="11"/>
            </w:pPr>
            <w:r>
              <w:t>3月底</w:t>
            </w:r>
          </w:p>
        </w:tc>
        <w:tc>
          <w:tcPr>
            <w:tcW w:w="2835" w:type="dxa"/>
            <w:vAlign w:val="center"/>
          </w:tcPr>
          <w:p w14:paraId="4DB7F40E">
            <w:pPr>
              <w:pStyle w:val="11"/>
            </w:pPr>
            <w:r>
              <w:t>6月底</w:t>
            </w:r>
          </w:p>
        </w:tc>
        <w:tc>
          <w:tcPr>
            <w:tcW w:w="2551" w:type="dxa"/>
            <w:vAlign w:val="center"/>
          </w:tcPr>
          <w:p w14:paraId="4972D1F6">
            <w:pPr>
              <w:pStyle w:val="11"/>
            </w:pPr>
            <w:r>
              <w:t>10月底</w:t>
            </w:r>
          </w:p>
        </w:tc>
        <w:tc>
          <w:tcPr>
            <w:tcW w:w="3544" w:type="dxa"/>
            <w:gridSpan w:val="2"/>
            <w:vAlign w:val="center"/>
          </w:tcPr>
          <w:p w14:paraId="661A5477">
            <w:pPr>
              <w:pStyle w:val="11"/>
            </w:pPr>
            <w:r>
              <w:t>12月底</w:t>
            </w:r>
          </w:p>
        </w:tc>
      </w:tr>
      <w:tr w14:paraId="7615C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44D1C4"/>
        </w:tc>
        <w:tc>
          <w:tcPr>
            <w:tcW w:w="5103" w:type="dxa"/>
            <w:gridSpan w:val="2"/>
            <w:vAlign w:val="center"/>
          </w:tcPr>
          <w:p w14:paraId="5F263B25">
            <w:pPr>
              <w:pStyle w:val="12"/>
            </w:pPr>
            <w:r>
              <w:t xml:space="preserve"> </w:t>
            </w:r>
          </w:p>
        </w:tc>
        <w:tc>
          <w:tcPr>
            <w:tcW w:w="2835" w:type="dxa"/>
            <w:vAlign w:val="center"/>
          </w:tcPr>
          <w:p w14:paraId="1365FD06">
            <w:pPr>
              <w:pStyle w:val="12"/>
            </w:pPr>
            <w:r>
              <w:t>50%</w:t>
            </w:r>
          </w:p>
        </w:tc>
        <w:tc>
          <w:tcPr>
            <w:tcW w:w="2551" w:type="dxa"/>
            <w:vAlign w:val="center"/>
          </w:tcPr>
          <w:p w14:paraId="0F172807">
            <w:pPr>
              <w:pStyle w:val="12"/>
            </w:pPr>
            <w:r>
              <w:t>100%</w:t>
            </w:r>
          </w:p>
        </w:tc>
        <w:tc>
          <w:tcPr>
            <w:tcW w:w="3544" w:type="dxa"/>
            <w:gridSpan w:val="2"/>
            <w:vAlign w:val="center"/>
          </w:tcPr>
          <w:p w14:paraId="38C4925C">
            <w:pPr>
              <w:pStyle w:val="12"/>
            </w:pPr>
            <w:r>
              <w:t>100%</w:t>
            </w:r>
          </w:p>
        </w:tc>
      </w:tr>
      <w:tr w14:paraId="7FE87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10EEC">
            <w:pPr>
              <w:pStyle w:val="11"/>
            </w:pPr>
            <w:r>
              <w:t>绩效目标</w:t>
            </w:r>
          </w:p>
        </w:tc>
        <w:tc>
          <w:tcPr>
            <w:tcW w:w="14033" w:type="dxa"/>
            <w:gridSpan w:val="6"/>
            <w:vAlign w:val="center"/>
          </w:tcPr>
          <w:p w14:paraId="74B4DD12">
            <w:pPr>
              <w:pStyle w:val="13"/>
            </w:pPr>
            <w:r>
              <w:t>1.保障落实建档立卡及家庭经济困难儿童资助所需资金，确保建档立卡等家庭经济困难幼儿优先获得资助</w:t>
            </w:r>
          </w:p>
          <w:p w14:paraId="6D749D27">
            <w:pPr>
              <w:pStyle w:val="13"/>
            </w:pPr>
            <w:r>
              <w:t>2.保证本年度资助经费足额落实到位，符合享受资助条件的学生应助尽助。</w:t>
            </w:r>
          </w:p>
        </w:tc>
      </w:tr>
    </w:tbl>
    <w:p w14:paraId="158315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51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ACE9F">
            <w:pPr>
              <w:pStyle w:val="11"/>
            </w:pPr>
            <w:r>
              <w:t>一级指标</w:t>
            </w:r>
          </w:p>
        </w:tc>
        <w:tc>
          <w:tcPr>
            <w:tcW w:w="2268" w:type="dxa"/>
            <w:vAlign w:val="center"/>
          </w:tcPr>
          <w:p w14:paraId="675CF15D">
            <w:pPr>
              <w:pStyle w:val="11"/>
            </w:pPr>
            <w:r>
              <w:t>二级指标</w:t>
            </w:r>
          </w:p>
        </w:tc>
        <w:tc>
          <w:tcPr>
            <w:tcW w:w="2835" w:type="dxa"/>
            <w:vAlign w:val="center"/>
          </w:tcPr>
          <w:p w14:paraId="2DEF9440">
            <w:pPr>
              <w:pStyle w:val="11"/>
            </w:pPr>
            <w:r>
              <w:t>三级指标</w:t>
            </w:r>
          </w:p>
        </w:tc>
        <w:tc>
          <w:tcPr>
            <w:tcW w:w="5386" w:type="dxa"/>
            <w:vAlign w:val="center"/>
          </w:tcPr>
          <w:p w14:paraId="02DD0327">
            <w:pPr>
              <w:pStyle w:val="11"/>
            </w:pPr>
            <w:r>
              <w:t>绩效指标描述</w:t>
            </w:r>
          </w:p>
        </w:tc>
        <w:tc>
          <w:tcPr>
            <w:tcW w:w="2268" w:type="dxa"/>
            <w:vAlign w:val="center"/>
          </w:tcPr>
          <w:p w14:paraId="12754CD1">
            <w:pPr>
              <w:pStyle w:val="11"/>
            </w:pPr>
            <w:r>
              <w:t>指标值</w:t>
            </w:r>
          </w:p>
        </w:tc>
        <w:tc>
          <w:tcPr>
            <w:tcW w:w="1276" w:type="dxa"/>
            <w:vAlign w:val="center"/>
          </w:tcPr>
          <w:p w14:paraId="0CE55A2F">
            <w:pPr>
              <w:pStyle w:val="11"/>
            </w:pPr>
            <w:r>
              <w:t>指标值确定依据</w:t>
            </w:r>
          </w:p>
        </w:tc>
      </w:tr>
      <w:tr w14:paraId="79187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F6187">
            <w:pPr>
              <w:pStyle w:val="12"/>
            </w:pPr>
            <w:r>
              <w:t>产出指标</w:t>
            </w:r>
          </w:p>
        </w:tc>
        <w:tc>
          <w:tcPr>
            <w:tcW w:w="2268" w:type="dxa"/>
            <w:vAlign w:val="center"/>
          </w:tcPr>
          <w:p w14:paraId="3A5B80E3">
            <w:pPr>
              <w:pStyle w:val="13"/>
            </w:pPr>
            <w:r>
              <w:t>数量指标</w:t>
            </w:r>
          </w:p>
        </w:tc>
        <w:tc>
          <w:tcPr>
            <w:tcW w:w="2835" w:type="dxa"/>
            <w:vAlign w:val="center"/>
          </w:tcPr>
          <w:p w14:paraId="6F22B2A3">
            <w:pPr>
              <w:pStyle w:val="13"/>
            </w:pPr>
            <w:r>
              <w:t>幼儿资助比例</w:t>
            </w:r>
          </w:p>
        </w:tc>
        <w:tc>
          <w:tcPr>
            <w:tcW w:w="5386" w:type="dxa"/>
            <w:vAlign w:val="center"/>
          </w:tcPr>
          <w:p w14:paraId="1CC14A2B">
            <w:pPr>
              <w:pStyle w:val="13"/>
            </w:pPr>
            <w:r>
              <w:t>按学前适龄在园儿童10%测算</w:t>
            </w:r>
          </w:p>
        </w:tc>
        <w:tc>
          <w:tcPr>
            <w:tcW w:w="2268" w:type="dxa"/>
            <w:vAlign w:val="center"/>
          </w:tcPr>
          <w:p w14:paraId="4C3DDE2B">
            <w:pPr>
              <w:pStyle w:val="13"/>
            </w:pPr>
            <w:r>
              <w:t>≥10%</w:t>
            </w:r>
          </w:p>
        </w:tc>
        <w:tc>
          <w:tcPr>
            <w:tcW w:w="1276" w:type="dxa"/>
            <w:vAlign w:val="center"/>
          </w:tcPr>
          <w:p w14:paraId="2032EADC">
            <w:pPr>
              <w:pStyle w:val="13"/>
            </w:pPr>
            <w:r>
              <w:t>幼儿资助经费管理办法</w:t>
            </w:r>
          </w:p>
        </w:tc>
      </w:tr>
      <w:tr w14:paraId="14E2D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DDF1B"/>
        </w:tc>
        <w:tc>
          <w:tcPr>
            <w:tcW w:w="2268" w:type="dxa"/>
            <w:vAlign w:val="center"/>
          </w:tcPr>
          <w:p w14:paraId="3B88203D">
            <w:pPr>
              <w:pStyle w:val="13"/>
            </w:pPr>
            <w:r>
              <w:t>质量指标</w:t>
            </w:r>
          </w:p>
        </w:tc>
        <w:tc>
          <w:tcPr>
            <w:tcW w:w="2835" w:type="dxa"/>
            <w:vAlign w:val="center"/>
          </w:tcPr>
          <w:p w14:paraId="583EFDF0">
            <w:pPr>
              <w:pStyle w:val="13"/>
            </w:pPr>
            <w:r>
              <w:t>学前教育资助制度落实情况</w:t>
            </w:r>
          </w:p>
        </w:tc>
        <w:tc>
          <w:tcPr>
            <w:tcW w:w="5386" w:type="dxa"/>
            <w:vAlign w:val="center"/>
          </w:tcPr>
          <w:p w14:paraId="61C9BA52">
            <w:pPr>
              <w:pStyle w:val="13"/>
            </w:pPr>
            <w:r>
              <w:t>符合享受资助条件的学生应助尽助</w:t>
            </w:r>
          </w:p>
        </w:tc>
        <w:tc>
          <w:tcPr>
            <w:tcW w:w="2268" w:type="dxa"/>
            <w:vAlign w:val="center"/>
          </w:tcPr>
          <w:p w14:paraId="72A33436">
            <w:pPr>
              <w:pStyle w:val="13"/>
            </w:pPr>
            <w:r>
              <w:t>≥100%</w:t>
            </w:r>
          </w:p>
        </w:tc>
        <w:tc>
          <w:tcPr>
            <w:tcW w:w="1276" w:type="dxa"/>
            <w:vAlign w:val="center"/>
          </w:tcPr>
          <w:p w14:paraId="61A44C87">
            <w:pPr>
              <w:pStyle w:val="13"/>
            </w:pPr>
            <w:r>
              <w:t>幼儿资助经费管理办法</w:t>
            </w:r>
          </w:p>
        </w:tc>
      </w:tr>
      <w:tr w14:paraId="310AA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86B90"/>
        </w:tc>
        <w:tc>
          <w:tcPr>
            <w:tcW w:w="2268" w:type="dxa"/>
            <w:vAlign w:val="center"/>
          </w:tcPr>
          <w:p w14:paraId="0FA70DDC">
            <w:pPr>
              <w:pStyle w:val="13"/>
            </w:pPr>
            <w:r>
              <w:t>时效指标</w:t>
            </w:r>
          </w:p>
        </w:tc>
        <w:tc>
          <w:tcPr>
            <w:tcW w:w="2835" w:type="dxa"/>
            <w:vAlign w:val="center"/>
          </w:tcPr>
          <w:p w14:paraId="6D946943">
            <w:pPr>
              <w:pStyle w:val="13"/>
            </w:pPr>
            <w:r>
              <w:t>资金拨付率</w:t>
            </w:r>
          </w:p>
        </w:tc>
        <w:tc>
          <w:tcPr>
            <w:tcW w:w="5386" w:type="dxa"/>
            <w:vAlign w:val="center"/>
          </w:tcPr>
          <w:p w14:paraId="5226EF50">
            <w:pPr>
              <w:pStyle w:val="13"/>
            </w:pPr>
            <w:r>
              <w:t>所有项目资金支付进度</w:t>
            </w:r>
          </w:p>
        </w:tc>
        <w:tc>
          <w:tcPr>
            <w:tcW w:w="2268" w:type="dxa"/>
            <w:vAlign w:val="center"/>
          </w:tcPr>
          <w:p w14:paraId="785F81CC">
            <w:pPr>
              <w:pStyle w:val="13"/>
            </w:pPr>
            <w:r>
              <w:t>≥100%</w:t>
            </w:r>
          </w:p>
        </w:tc>
        <w:tc>
          <w:tcPr>
            <w:tcW w:w="1276" w:type="dxa"/>
            <w:vAlign w:val="center"/>
          </w:tcPr>
          <w:p w14:paraId="461B6FCD">
            <w:pPr>
              <w:pStyle w:val="13"/>
            </w:pPr>
            <w:r>
              <w:t>幼儿资助经费管理办法</w:t>
            </w:r>
          </w:p>
        </w:tc>
      </w:tr>
      <w:tr w14:paraId="4C950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CE9DC"/>
        </w:tc>
        <w:tc>
          <w:tcPr>
            <w:tcW w:w="2268" w:type="dxa"/>
            <w:vAlign w:val="center"/>
          </w:tcPr>
          <w:p w14:paraId="3315C6EF">
            <w:pPr>
              <w:pStyle w:val="13"/>
            </w:pPr>
            <w:r>
              <w:t>成本指标</w:t>
            </w:r>
          </w:p>
        </w:tc>
        <w:tc>
          <w:tcPr>
            <w:tcW w:w="2835" w:type="dxa"/>
            <w:vAlign w:val="center"/>
          </w:tcPr>
          <w:p w14:paraId="7E21B989">
            <w:pPr>
              <w:pStyle w:val="13"/>
            </w:pPr>
            <w:r>
              <w:t>幼儿园资助标准</w:t>
            </w:r>
          </w:p>
        </w:tc>
        <w:tc>
          <w:tcPr>
            <w:tcW w:w="5386" w:type="dxa"/>
            <w:vAlign w:val="center"/>
          </w:tcPr>
          <w:p w14:paraId="496B9CEB">
            <w:pPr>
              <w:pStyle w:val="13"/>
            </w:pPr>
            <w:r>
              <w:t>按照幼儿园资助标准1000元/生/年</w:t>
            </w:r>
          </w:p>
        </w:tc>
        <w:tc>
          <w:tcPr>
            <w:tcW w:w="2268" w:type="dxa"/>
            <w:vAlign w:val="center"/>
          </w:tcPr>
          <w:p w14:paraId="2FD56DD2">
            <w:pPr>
              <w:pStyle w:val="13"/>
            </w:pPr>
            <w:r>
              <w:t>1000元</w:t>
            </w:r>
          </w:p>
        </w:tc>
        <w:tc>
          <w:tcPr>
            <w:tcW w:w="1276" w:type="dxa"/>
            <w:vAlign w:val="center"/>
          </w:tcPr>
          <w:p w14:paraId="4E317449">
            <w:pPr>
              <w:pStyle w:val="13"/>
            </w:pPr>
            <w:r>
              <w:t>幼儿资助经费管理办法</w:t>
            </w:r>
          </w:p>
        </w:tc>
      </w:tr>
      <w:tr w14:paraId="0D182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A6AE07">
            <w:pPr>
              <w:pStyle w:val="12"/>
            </w:pPr>
            <w:r>
              <w:t>效益指标</w:t>
            </w:r>
          </w:p>
        </w:tc>
        <w:tc>
          <w:tcPr>
            <w:tcW w:w="2268" w:type="dxa"/>
            <w:vAlign w:val="center"/>
          </w:tcPr>
          <w:p w14:paraId="3951D5ED">
            <w:pPr>
              <w:pStyle w:val="13"/>
            </w:pPr>
            <w:r>
              <w:t>可持续影响指标</w:t>
            </w:r>
          </w:p>
        </w:tc>
        <w:tc>
          <w:tcPr>
            <w:tcW w:w="2835" w:type="dxa"/>
            <w:vAlign w:val="center"/>
          </w:tcPr>
          <w:p w14:paraId="47CAA543">
            <w:pPr>
              <w:pStyle w:val="13"/>
            </w:pPr>
            <w:r>
              <w:t>幼儿园运转</w:t>
            </w:r>
          </w:p>
        </w:tc>
        <w:tc>
          <w:tcPr>
            <w:tcW w:w="5386" w:type="dxa"/>
            <w:vAlign w:val="center"/>
          </w:tcPr>
          <w:p w14:paraId="77723DA3">
            <w:pPr>
              <w:pStyle w:val="13"/>
            </w:pPr>
            <w:r>
              <w:t>幼儿受教育年限</w:t>
            </w:r>
          </w:p>
        </w:tc>
        <w:tc>
          <w:tcPr>
            <w:tcW w:w="2268" w:type="dxa"/>
            <w:vAlign w:val="center"/>
          </w:tcPr>
          <w:p w14:paraId="47880FBD">
            <w:pPr>
              <w:pStyle w:val="13"/>
            </w:pPr>
            <w:r>
              <w:t>3年</w:t>
            </w:r>
          </w:p>
        </w:tc>
        <w:tc>
          <w:tcPr>
            <w:tcW w:w="1276" w:type="dxa"/>
            <w:vAlign w:val="center"/>
          </w:tcPr>
          <w:p w14:paraId="1A089E7D">
            <w:pPr>
              <w:pStyle w:val="13"/>
            </w:pPr>
            <w:r>
              <w:t>幼儿资助经费管理办法</w:t>
            </w:r>
          </w:p>
        </w:tc>
      </w:tr>
      <w:tr w14:paraId="77C29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99FCAA">
            <w:pPr>
              <w:pStyle w:val="12"/>
            </w:pPr>
            <w:r>
              <w:t>满意度指标</w:t>
            </w:r>
          </w:p>
        </w:tc>
        <w:tc>
          <w:tcPr>
            <w:tcW w:w="2268" w:type="dxa"/>
            <w:vAlign w:val="center"/>
          </w:tcPr>
          <w:p w14:paraId="64A185C8">
            <w:pPr>
              <w:pStyle w:val="13"/>
            </w:pPr>
            <w:r>
              <w:t>服务对象满意度指标</w:t>
            </w:r>
          </w:p>
        </w:tc>
        <w:tc>
          <w:tcPr>
            <w:tcW w:w="2835" w:type="dxa"/>
            <w:vAlign w:val="center"/>
          </w:tcPr>
          <w:p w14:paraId="695BE44C">
            <w:pPr>
              <w:pStyle w:val="13"/>
            </w:pPr>
            <w:r>
              <w:t>受益幼儿家长及调查满意度</w:t>
            </w:r>
          </w:p>
        </w:tc>
        <w:tc>
          <w:tcPr>
            <w:tcW w:w="5386" w:type="dxa"/>
            <w:vAlign w:val="center"/>
          </w:tcPr>
          <w:p w14:paraId="6809BFED">
            <w:pPr>
              <w:pStyle w:val="13"/>
            </w:pPr>
            <w:r>
              <w:t>学生、教师及家长对学校保教保育工作满意度情况</w:t>
            </w:r>
          </w:p>
        </w:tc>
        <w:tc>
          <w:tcPr>
            <w:tcW w:w="2268" w:type="dxa"/>
            <w:vAlign w:val="center"/>
          </w:tcPr>
          <w:p w14:paraId="11E35E04">
            <w:pPr>
              <w:pStyle w:val="13"/>
            </w:pPr>
            <w:r>
              <w:t>≥95%</w:t>
            </w:r>
          </w:p>
        </w:tc>
        <w:tc>
          <w:tcPr>
            <w:tcW w:w="1276" w:type="dxa"/>
            <w:vAlign w:val="center"/>
          </w:tcPr>
          <w:p w14:paraId="16333062">
            <w:pPr>
              <w:pStyle w:val="13"/>
            </w:pPr>
            <w:r>
              <w:t>幼儿资助经费管理办法</w:t>
            </w:r>
          </w:p>
        </w:tc>
      </w:tr>
    </w:tbl>
    <w:p w14:paraId="2B9E297F">
      <w:pPr>
        <w:sectPr>
          <w:pgSz w:w="16840" w:h="11900" w:orient="landscape"/>
          <w:pgMar w:top="1361" w:right="1020" w:bottom="1134" w:left="1020" w:header="720" w:footer="720" w:gutter="0"/>
          <w:cols w:space="720" w:num="1"/>
        </w:sectPr>
      </w:pPr>
    </w:p>
    <w:p w14:paraId="015E2456">
      <w:pPr>
        <w:spacing w:before="0" w:after="0"/>
        <w:ind w:firstLine="560"/>
        <w:jc w:val="left"/>
        <w:outlineLvl w:val="9"/>
      </w:pPr>
      <w:r>
        <w:rPr>
          <w:rFonts w:ascii="方正仿宋_GBK" w:hAnsi="方正仿宋_GBK" w:eastAsia="方正仿宋_GBK" w:cs="方正仿宋_GBK"/>
          <w:b/>
          <w:color w:val="000000"/>
          <w:sz w:val="28"/>
        </w:rPr>
        <w:t>2、冀财教[2024]121号/中央/2025年学前教育发展/旧城幼儿园楼顶防水等维修改造绩效目标表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BE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3AB74">
            <w:pPr>
              <w:pStyle w:val="14"/>
            </w:pPr>
            <w:r>
              <w:t>单位：万元</w:t>
            </w:r>
          </w:p>
        </w:tc>
      </w:tr>
      <w:tr w14:paraId="5D31B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A3BCF">
            <w:pPr>
              <w:pStyle w:val="11"/>
            </w:pPr>
            <w:r>
              <w:t>项目编码</w:t>
            </w:r>
          </w:p>
        </w:tc>
        <w:tc>
          <w:tcPr>
            <w:tcW w:w="5103" w:type="dxa"/>
            <w:gridSpan w:val="2"/>
            <w:vAlign w:val="center"/>
          </w:tcPr>
          <w:p w14:paraId="7231AD01">
            <w:pPr>
              <w:pStyle w:val="13"/>
            </w:pPr>
            <w:r>
              <w:t>13052525P00876910022H</w:t>
            </w:r>
          </w:p>
        </w:tc>
        <w:tc>
          <w:tcPr>
            <w:tcW w:w="2835" w:type="dxa"/>
            <w:vAlign w:val="center"/>
          </w:tcPr>
          <w:p w14:paraId="754302BB">
            <w:pPr>
              <w:pStyle w:val="11"/>
            </w:pPr>
            <w:r>
              <w:t>项目名称</w:t>
            </w:r>
          </w:p>
        </w:tc>
        <w:tc>
          <w:tcPr>
            <w:tcW w:w="6095" w:type="dxa"/>
            <w:gridSpan w:val="3"/>
            <w:vAlign w:val="center"/>
          </w:tcPr>
          <w:p w14:paraId="48E8057A">
            <w:pPr>
              <w:pStyle w:val="13"/>
            </w:pPr>
            <w:r>
              <w:t>冀财教[2024]121号/中央/2025年学前教育发展/旧城幼儿园楼顶防水等维修改造</w:t>
            </w:r>
          </w:p>
        </w:tc>
      </w:tr>
      <w:tr w14:paraId="117F4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5B3FE">
            <w:pPr>
              <w:pStyle w:val="11"/>
            </w:pPr>
            <w:r>
              <w:t>预算规模及资金用途</w:t>
            </w:r>
          </w:p>
        </w:tc>
        <w:tc>
          <w:tcPr>
            <w:tcW w:w="2268" w:type="dxa"/>
            <w:vAlign w:val="center"/>
          </w:tcPr>
          <w:p w14:paraId="44114E3B">
            <w:pPr>
              <w:pStyle w:val="11"/>
            </w:pPr>
            <w:r>
              <w:t>预算数</w:t>
            </w:r>
          </w:p>
        </w:tc>
        <w:tc>
          <w:tcPr>
            <w:tcW w:w="2835" w:type="dxa"/>
            <w:vAlign w:val="center"/>
          </w:tcPr>
          <w:p w14:paraId="196C23A2">
            <w:pPr>
              <w:pStyle w:val="13"/>
            </w:pPr>
            <w:r>
              <w:t>25.68</w:t>
            </w:r>
          </w:p>
        </w:tc>
        <w:tc>
          <w:tcPr>
            <w:tcW w:w="2835" w:type="dxa"/>
            <w:vAlign w:val="center"/>
          </w:tcPr>
          <w:p w14:paraId="16A60894">
            <w:pPr>
              <w:pStyle w:val="11"/>
            </w:pPr>
            <w:r>
              <w:t>其中：财政    资金</w:t>
            </w:r>
          </w:p>
        </w:tc>
        <w:tc>
          <w:tcPr>
            <w:tcW w:w="2551" w:type="dxa"/>
            <w:vAlign w:val="center"/>
          </w:tcPr>
          <w:p w14:paraId="0D07B7B9">
            <w:pPr>
              <w:pStyle w:val="13"/>
            </w:pPr>
            <w:r>
              <w:t>25.68</w:t>
            </w:r>
          </w:p>
        </w:tc>
        <w:tc>
          <w:tcPr>
            <w:tcW w:w="2268" w:type="dxa"/>
            <w:vAlign w:val="center"/>
          </w:tcPr>
          <w:p w14:paraId="324B2AEA">
            <w:pPr>
              <w:pStyle w:val="11"/>
            </w:pPr>
            <w:r>
              <w:t>其他资金</w:t>
            </w:r>
          </w:p>
        </w:tc>
        <w:tc>
          <w:tcPr>
            <w:tcW w:w="1276" w:type="dxa"/>
            <w:vAlign w:val="center"/>
          </w:tcPr>
          <w:p w14:paraId="04C60B48">
            <w:pPr>
              <w:pStyle w:val="13"/>
            </w:pPr>
            <w:r>
              <w:t xml:space="preserve"> </w:t>
            </w:r>
          </w:p>
        </w:tc>
      </w:tr>
      <w:tr w14:paraId="40F18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49918"/>
        </w:tc>
        <w:tc>
          <w:tcPr>
            <w:tcW w:w="14033" w:type="dxa"/>
            <w:gridSpan w:val="6"/>
            <w:vAlign w:val="center"/>
          </w:tcPr>
          <w:p w14:paraId="00F90BAB">
            <w:pPr>
              <w:pStyle w:val="13"/>
            </w:pPr>
            <w:r>
              <w:t>完成旧城幼儿园楼顶防水维修改造，满足学校正常教学需要。</w:t>
            </w:r>
            <w:r>
              <w:tab/>
            </w:r>
          </w:p>
        </w:tc>
      </w:tr>
      <w:tr w14:paraId="11B97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8D49A">
            <w:pPr>
              <w:pStyle w:val="11"/>
            </w:pPr>
            <w:r>
              <w:t>资金支出计划（%）</w:t>
            </w:r>
          </w:p>
        </w:tc>
        <w:tc>
          <w:tcPr>
            <w:tcW w:w="5103" w:type="dxa"/>
            <w:gridSpan w:val="2"/>
            <w:vAlign w:val="center"/>
          </w:tcPr>
          <w:p w14:paraId="7A499C96">
            <w:pPr>
              <w:pStyle w:val="11"/>
            </w:pPr>
            <w:r>
              <w:t>3月底</w:t>
            </w:r>
          </w:p>
        </w:tc>
        <w:tc>
          <w:tcPr>
            <w:tcW w:w="2835" w:type="dxa"/>
            <w:vAlign w:val="center"/>
          </w:tcPr>
          <w:p w14:paraId="0FB135CC">
            <w:pPr>
              <w:pStyle w:val="11"/>
            </w:pPr>
            <w:r>
              <w:t>6月底</w:t>
            </w:r>
          </w:p>
        </w:tc>
        <w:tc>
          <w:tcPr>
            <w:tcW w:w="2551" w:type="dxa"/>
            <w:vAlign w:val="center"/>
          </w:tcPr>
          <w:p w14:paraId="5D7E17DB">
            <w:pPr>
              <w:pStyle w:val="11"/>
            </w:pPr>
            <w:r>
              <w:t>10月底</w:t>
            </w:r>
          </w:p>
        </w:tc>
        <w:tc>
          <w:tcPr>
            <w:tcW w:w="3544" w:type="dxa"/>
            <w:gridSpan w:val="2"/>
            <w:vAlign w:val="center"/>
          </w:tcPr>
          <w:p w14:paraId="68AE0D89">
            <w:pPr>
              <w:pStyle w:val="11"/>
            </w:pPr>
            <w:r>
              <w:t>12月底</w:t>
            </w:r>
          </w:p>
        </w:tc>
      </w:tr>
      <w:tr w14:paraId="19E7A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E668C5"/>
        </w:tc>
        <w:tc>
          <w:tcPr>
            <w:tcW w:w="5103" w:type="dxa"/>
            <w:gridSpan w:val="2"/>
            <w:vAlign w:val="center"/>
          </w:tcPr>
          <w:p w14:paraId="201BA637">
            <w:pPr>
              <w:pStyle w:val="12"/>
            </w:pPr>
            <w:r>
              <w:t>25%</w:t>
            </w:r>
          </w:p>
        </w:tc>
        <w:tc>
          <w:tcPr>
            <w:tcW w:w="2835" w:type="dxa"/>
            <w:vAlign w:val="center"/>
          </w:tcPr>
          <w:p w14:paraId="668A0482">
            <w:pPr>
              <w:pStyle w:val="12"/>
            </w:pPr>
            <w:r>
              <w:t>50%</w:t>
            </w:r>
          </w:p>
        </w:tc>
        <w:tc>
          <w:tcPr>
            <w:tcW w:w="2551" w:type="dxa"/>
            <w:vAlign w:val="center"/>
          </w:tcPr>
          <w:p w14:paraId="315A5A30">
            <w:pPr>
              <w:pStyle w:val="12"/>
            </w:pPr>
            <w:r>
              <w:t>75%</w:t>
            </w:r>
          </w:p>
        </w:tc>
        <w:tc>
          <w:tcPr>
            <w:tcW w:w="3544" w:type="dxa"/>
            <w:gridSpan w:val="2"/>
            <w:vAlign w:val="center"/>
          </w:tcPr>
          <w:p w14:paraId="71A7D8BD">
            <w:pPr>
              <w:pStyle w:val="12"/>
            </w:pPr>
            <w:r>
              <w:t>100%</w:t>
            </w:r>
          </w:p>
        </w:tc>
      </w:tr>
      <w:tr w14:paraId="49A78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2AB0D9">
            <w:pPr>
              <w:pStyle w:val="11"/>
            </w:pPr>
            <w:r>
              <w:t>绩效目标</w:t>
            </w:r>
          </w:p>
        </w:tc>
        <w:tc>
          <w:tcPr>
            <w:tcW w:w="14033" w:type="dxa"/>
            <w:gridSpan w:val="6"/>
            <w:vAlign w:val="center"/>
          </w:tcPr>
          <w:p w14:paraId="0B54AC3B">
            <w:pPr>
              <w:pStyle w:val="13"/>
            </w:pPr>
            <w:r>
              <w:t>1.按规定拨付专项资金，资金支付率达到100%。</w:t>
            </w:r>
            <w:r>
              <w:tab/>
            </w:r>
            <w:r>
              <w:tab/>
            </w:r>
            <w:r>
              <w:tab/>
            </w:r>
          </w:p>
          <w:p w14:paraId="264E0491">
            <w:pPr>
              <w:pStyle w:val="13"/>
            </w:pPr>
            <w:r>
              <w:t>2.完成旧城幼儿园楼顶防水维修改造，满足学校正常教学需要。</w:t>
            </w:r>
            <w:r>
              <w:tab/>
            </w:r>
            <w:r>
              <w:tab/>
            </w:r>
            <w:r>
              <w:tab/>
            </w:r>
          </w:p>
        </w:tc>
      </w:tr>
    </w:tbl>
    <w:p w14:paraId="3E283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42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63C9E">
            <w:pPr>
              <w:pStyle w:val="11"/>
            </w:pPr>
            <w:r>
              <w:t>一级指标</w:t>
            </w:r>
          </w:p>
        </w:tc>
        <w:tc>
          <w:tcPr>
            <w:tcW w:w="2268" w:type="dxa"/>
            <w:vAlign w:val="center"/>
          </w:tcPr>
          <w:p w14:paraId="5C91F921">
            <w:pPr>
              <w:pStyle w:val="11"/>
            </w:pPr>
            <w:r>
              <w:t>二级指标</w:t>
            </w:r>
          </w:p>
        </w:tc>
        <w:tc>
          <w:tcPr>
            <w:tcW w:w="2835" w:type="dxa"/>
            <w:vAlign w:val="center"/>
          </w:tcPr>
          <w:p w14:paraId="240A213E">
            <w:pPr>
              <w:pStyle w:val="11"/>
            </w:pPr>
            <w:r>
              <w:t>三级指标</w:t>
            </w:r>
          </w:p>
        </w:tc>
        <w:tc>
          <w:tcPr>
            <w:tcW w:w="5386" w:type="dxa"/>
            <w:vAlign w:val="center"/>
          </w:tcPr>
          <w:p w14:paraId="0732A292">
            <w:pPr>
              <w:pStyle w:val="11"/>
            </w:pPr>
            <w:r>
              <w:t>绩效指标描述</w:t>
            </w:r>
          </w:p>
        </w:tc>
        <w:tc>
          <w:tcPr>
            <w:tcW w:w="2268" w:type="dxa"/>
            <w:vAlign w:val="center"/>
          </w:tcPr>
          <w:p w14:paraId="1D7695E1">
            <w:pPr>
              <w:pStyle w:val="11"/>
            </w:pPr>
            <w:r>
              <w:t>指标值</w:t>
            </w:r>
          </w:p>
        </w:tc>
        <w:tc>
          <w:tcPr>
            <w:tcW w:w="1276" w:type="dxa"/>
            <w:vAlign w:val="center"/>
          </w:tcPr>
          <w:p w14:paraId="2B4125FA">
            <w:pPr>
              <w:pStyle w:val="11"/>
            </w:pPr>
            <w:r>
              <w:t>指标值确定依据</w:t>
            </w:r>
          </w:p>
        </w:tc>
      </w:tr>
      <w:tr w14:paraId="12D2B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399D1">
            <w:pPr>
              <w:pStyle w:val="12"/>
            </w:pPr>
            <w:r>
              <w:t>产出指标</w:t>
            </w:r>
          </w:p>
        </w:tc>
        <w:tc>
          <w:tcPr>
            <w:tcW w:w="2268" w:type="dxa"/>
            <w:vAlign w:val="center"/>
          </w:tcPr>
          <w:p w14:paraId="3B9F0251">
            <w:pPr>
              <w:pStyle w:val="13"/>
            </w:pPr>
            <w:r>
              <w:t>数量指标</w:t>
            </w:r>
          </w:p>
        </w:tc>
        <w:tc>
          <w:tcPr>
            <w:tcW w:w="2835" w:type="dxa"/>
            <w:vAlign w:val="center"/>
          </w:tcPr>
          <w:p w14:paraId="49C6ECED">
            <w:pPr>
              <w:pStyle w:val="13"/>
            </w:pPr>
            <w:r>
              <w:t>楼顶防水等</w:t>
            </w:r>
          </w:p>
        </w:tc>
        <w:tc>
          <w:tcPr>
            <w:tcW w:w="5386" w:type="dxa"/>
            <w:vAlign w:val="center"/>
          </w:tcPr>
          <w:p w14:paraId="3E66D8EC">
            <w:pPr>
              <w:pStyle w:val="13"/>
            </w:pPr>
            <w:r>
              <w:t>楼顶防水等维修</w:t>
            </w:r>
          </w:p>
        </w:tc>
        <w:tc>
          <w:tcPr>
            <w:tcW w:w="2268" w:type="dxa"/>
            <w:vAlign w:val="center"/>
          </w:tcPr>
          <w:p w14:paraId="5236DA31">
            <w:pPr>
              <w:pStyle w:val="13"/>
            </w:pPr>
            <w:r>
              <w:t>1100平方米</w:t>
            </w:r>
          </w:p>
        </w:tc>
        <w:tc>
          <w:tcPr>
            <w:tcW w:w="1276" w:type="dxa"/>
            <w:vAlign w:val="center"/>
          </w:tcPr>
          <w:p w14:paraId="100EB565">
            <w:pPr>
              <w:pStyle w:val="13"/>
            </w:pPr>
            <w:r>
              <w:t>项目规划</w:t>
            </w:r>
          </w:p>
        </w:tc>
      </w:tr>
      <w:tr w14:paraId="18557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538E1"/>
        </w:tc>
        <w:tc>
          <w:tcPr>
            <w:tcW w:w="2268" w:type="dxa"/>
            <w:vAlign w:val="center"/>
          </w:tcPr>
          <w:p w14:paraId="68EAD8D1">
            <w:pPr>
              <w:pStyle w:val="13"/>
            </w:pPr>
            <w:r>
              <w:t>质量指标</w:t>
            </w:r>
          </w:p>
        </w:tc>
        <w:tc>
          <w:tcPr>
            <w:tcW w:w="2835" w:type="dxa"/>
            <w:vAlign w:val="center"/>
          </w:tcPr>
          <w:p w14:paraId="4CB0C4D6">
            <w:pPr>
              <w:pStyle w:val="13"/>
            </w:pPr>
            <w:r>
              <w:t>资金支付率</w:t>
            </w:r>
          </w:p>
        </w:tc>
        <w:tc>
          <w:tcPr>
            <w:tcW w:w="5386" w:type="dxa"/>
            <w:vAlign w:val="center"/>
          </w:tcPr>
          <w:p w14:paraId="3B16CD4B">
            <w:pPr>
              <w:pStyle w:val="13"/>
            </w:pPr>
            <w:r>
              <w:t>按照序时进度完成资金支付</w:t>
            </w:r>
          </w:p>
        </w:tc>
        <w:tc>
          <w:tcPr>
            <w:tcW w:w="2268" w:type="dxa"/>
            <w:vAlign w:val="center"/>
          </w:tcPr>
          <w:p w14:paraId="535B62AE">
            <w:pPr>
              <w:pStyle w:val="13"/>
            </w:pPr>
            <w:r>
              <w:t>≥100%</w:t>
            </w:r>
          </w:p>
        </w:tc>
        <w:tc>
          <w:tcPr>
            <w:tcW w:w="1276" w:type="dxa"/>
            <w:vAlign w:val="center"/>
          </w:tcPr>
          <w:p w14:paraId="2489E70E">
            <w:pPr>
              <w:pStyle w:val="13"/>
            </w:pPr>
            <w:r>
              <w:t>项目规划</w:t>
            </w:r>
          </w:p>
        </w:tc>
      </w:tr>
      <w:tr w14:paraId="7F1D8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BA283"/>
        </w:tc>
        <w:tc>
          <w:tcPr>
            <w:tcW w:w="2268" w:type="dxa"/>
            <w:vAlign w:val="center"/>
          </w:tcPr>
          <w:p w14:paraId="010F55C8">
            <w:pPr>
              <w:pStyle w:val="13"/>
            </w:pPr>
            <w:r>
              <w:t>时效指标</w:t>
            </w:r>
          </w:p>
        </w:tc>
        <w:tc>
          <w:tcPr>
            <w:tcW w:w="2835" w:type="dxa"/>
            <w:vAlign w:val="center"/>
          </w:tcPr>
          <w:p w14:paraId="3F6FFA88">
            <w:pPr>
              <w:pStyle w:val="13"/>
            </w:pPr>
            <w:r>
              <w:t>项目竣工验收合格率</w:t>
            </w:r>
          </w:p>
        </w:tc>
        <w:tc>
          <w:tcPr>
            <w:tcW w:w="5386" w:type="dxa"/>
            <w:vAlign w:val="center"/>
          </w:tcPr>
          <w:p w14:paraId="41821BEB">
            <w:pPr>
              <w:pStyle w:val="13"/>
            </w:pPr>
            <w:r>
              <w:t>项目改造质量达标率</w:t>
            </w:r>
          </w:p>
        </w:tc>
        <w:tc>
          <w:tcPr>
            <w:tcW w:w="2268" w:type="dxa"/>
            <w:vAlign w:val="center"/>
          </w:tcPr>
          <w:p w14:paraId="33086996">
            <w:pPr>
              <w:pStyle w:val="13"/>
            </w:pPr>
            <w:r>
              <w:t>≥100%</w:t>
            </w:r>
          </w:p>
        </w:tc>
        <w:tc>
          <w:tcPr>
            <w:tcW w:w="1276" w:type="dxa"/>
            <w:vAlign w:val="center"/>
          </w:tcPr>
          <w:p w14:paraId="73D9856C">
            <w:pPr>
              <w:pStyle w:val="13"/>
            </w:pPr>
            <w:r>
              <w:t>项目规划</w:t>
            </w:r>
          </w:p>
        </w:tc>
      </w:tr>
      <w:tr w14:paraId="5C459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A96CF"/>
        </w:tc>
        <w:tc>
          <w:tcPr>
            <w:tcW w:w="2268" w:type="dxa"/>
            <w:vAlign w:val="center"/>
          </w:tcPr>
          <w:p w14:paraId="1FC6BDB5">
            <w:pPr>
              <w:pStyle w:val="13"/>
            </w:pPr>
            <w:r>
              <w:t>成本指标</w:t>
            </w:r>
          </w:p>
        </w:tc>
        <w:tc>
          <w:tcPr>
            <w:tcW w:w="2835" w:type="dxa"/>
            <w:vAlign w:val="center"/>
          </w:tcPr>
          <w:p w14:paraId="3023B75E">
            <w:pPr>
              <w:pStyle w:val="13"/>
            </w:pPr>
            <w:r>
              <w:t>项目实际成本</w:t>
            </w:r>
          </w:p>
        </w:tc>
        <w:tc>
          <w:tcPr>
            <w:tcW w:w="5386" w:type="dxa"/>
            <w:vAlign w:val="center"/>
          </w:tcPr>
          <w:p w14:paraId="1E0BDD8C">
            <w:pPr>
              <w:pStyle w:val="13"/>
            </w:pPr>
            <w:r>
              <w:t>综合楼外墙、内墙维修及线路整理</w:t>
            </w:r>
          </w:p>
        </w:tc>
        <w:tc>
          <w:tcPr>
            <w:tcW w:w="2268" w:type="dxa"/>
            <w:vAlign w:val="center"/>
          </w:tcPr>
          <w:p w14:paraId="7ED7F605">
            <w:pPr>
              <w:pStyle w:val="13"/>
            </w:pPr>
            <w:r>
              <w:t>25.68万元</w:t>
            </w:r>
          </w:p>
        </w:tc>
        <w:tc>
          <w:tcPr>
            <w:tcW w:w="1276" w:type="dxa"/>
            <w:vAlign w:val="center"/>
          </w:tcPr>
          <w:p w14:paraId="274F206D">
            <w:pPr>
              <w:pStyle w:val="13"/>
            </w:pPr>
            <w:r>
              <w:t>项目规划</w:t>
            </w:r>
          </w:p>
        </w:tc>
      </w:tr>
      <w:tr w14:paraId="79698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2F38E">
            <w:pPr>
              <w:pStyle w:val="12"/>
            </w:pPr>
            <w:r>
              <w:t>效益指标</w:t>
            </w:r>
          </w:p>
        </w:tc>
        <w:tc>
          <w:tcPr>
            <w:tcW w:w="2268" w:type="dxa"/>
            <w:vAlign w:val="center"/>
          </w:tcPr>
          <w:p w14:paraId="2E18356C">
            <w:pPr>
              <w:pStyle w:val="13"/>
            </w:pPr>
            <w:r>
              <w:t>经济效益指标</w:t>
            </w:r>
          </w:p>
        </w:tc>
        <w:tc>
          <w:tcPr>
            <w:tcW w:w="2835" w:type="dxa"/>
            <w:vAlign w:val="center"/>
          </w:tcPr>
          <w:p w14:paraId="075A017E">
            <w:pPr>
              <w:pStyle w:val="13"/>
            </w:pPr>
            <w:r>
              <w:t>教育发展水平</w:t>
            </w:r>
          </w:p>
        </w:tc>
        <w:tc>
          <w:tcPr>
            <w:tcW w:w="5386" w:type="dxa"/>
            <w:vAlign w:val="center"/>
          </w:tcPr>
          <w:p w14:paraId="578534DE">
            <w:pPr>
              <w:pStyle w:val="13"/>
            </w:pPr>
            <w:r>
              <w:t>辖区内教育环境明显好转</w:t>
            </w:r>
          </w:p>
        </w:tc>
        <w:tc>
          <w:tcPr>
            <w:tcW w:w="2268" w:type="dxa"/>
            <w:vAlign w:val="center"/>
          </w:tcPr>
          <w:p w14:paraId="7939FECD">
            <w:pPr>
              <w:pStyle w:val="13"/>
            </w:pPr>
            <w:r>
              <w:t>≥95%</w:t>
            </w:r>
          </w:p>
        </w:tc>
        <w:tc>
          <w:tcPr>
            <w:tcW w:w="1276" w:type="dxa"/>
            <w:vAlign w:val="center"/>
          </w:tcPr>
          <w:p w14:paraId="6F760F78">
            <w:pPr>
              <w:pStyle w:val="13"/>
            </w:pPr>
            <w:r>
              <w:t>项目规划</w:t>
            </w:r>
          </w:p>
        </w:tc>
      </w:tr>
      <w:tr w14:paraId="70E01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52288"/>
        </w:tc>
        <w:tc>
          <w:tcPr>
            <w:tcW w:w="2268" w:type="dxa"/>
            <w:vAlign w:val="center"/>
          </w:tcPr>
          <w:p w14:paraId="1BB251DE">
            <w:pPr>
              <w:pStyle w:val="13"/>
            </w:pPr>
            <w:r>
              <w:t>社会效益指标</w:t>
            </w:r>
          </w:p>
        </w:tc>
        <w:tc>
          <w:tcPr>
            <w:tcW w:w="2835" w:type="dxa"/>
            <w:vAlign w:val="center"/>
          </w:tcPr>
          <w:p w14:paraId="34CFE378">
            <w:pPr>
              <w:pStyle w:val="13"/>
            </w:pPr>
            <w:r>
              <w:t>校园环境</w:t>
            </w:r>
          </w:p>
        </w:tc>
        <w:tc>
          <w:tcPr>
            <w:tcW w:w="5386" w:type="dxa"/>
            <w:vAlign w:val="center"/>
          </w:tcPr>
          <w:p w14:paraId="3AEE65EB">
            <w:pPr>
              <w:pStyle w:val="13"/>
            </w:pPr>
            <w:r>
              <w:t>办学条件和环境得到改善</w:t>
            </w:r>
          </w:p>
        </w:tc>
        <w:tc>
          <w:tcPr>
            <w:tcW w:w="2268" w:type="dxa"/>
            <w:vAlign w:val="center"/>
          </w:tcPr>
          <w:p w14:paraId="60C8D665">
            <w:pPr>
              <w:pStyle w:val="13"/>
            </w:pPr>
            <w:r>
              <w:t>≥95%</w:t>
            </w:r>
          </w:p>
        </w:tc>
        <w:tc>
          <w:tcPr>
            <w:tcW w:w="1276" w:type="dxa"/>
            <w:vAlign w:val="center"/>
          </w:tcPr>
          <w:p w14:paraId="33633A52">
            <w:pPr>
              <w:pStyle w:val="13"/>
            </w:pPr>
            <w:r>
              <w:t>项目规划</w:t>
            </w:r>
          </w:p>
        </w:tc>
      </w:tr>
      <w:tr w14:paraId="47F00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7BB10D">
            <w:pPr>
              <w:pStyle w:val="12"/>
            </w:pPr>
            <w:r>
              <w:t>满意度指标</w:t>
            </w:r>
          </w:p>
        </w:tc>
        <w:tc>
          <w:tcPr>
            <w:tcW w:w="2268" w:type="dxa"/>
            <w:vAlign w:val="center"/>
          </w:tcPr>
          <w:p w14:paraId="2F0B4963">
            <w:pPr>
              <w:pStyle w:val="13"/>
            </w:pPr>
            <w:r>
              <w:t>服务对象满意度指标</w:t>
            </w:r>
          </w:p>
        </w:tc>
        <w:tc>
          <w:tcPr>
            <w:tcW w:w="2835" w:type="dxa"/>
            <w:vAlign w:val="center"/>
          </w:tcPr>
          <w:p w14:paraId="5CD05C69">
            <w:pPr>
              <w:pStyle w:val="13"/>
            </w:pPr>
            <w:r>
              <w:t>受益学生家长及教师调查满意度</w:t>
            </w:r>
          </w:p>
        </w:tc>
        <w:tc>
          <w:tcPr>
            <w:tcW w:w="5386" w:type="dxa"/>
            <w:vAlign w:val="center"/>
          </w:tcPr>
          <w:p w14:paraId="2177EDA8">
            <w:pPr>
              <w:pStyle w:val="13"/>
            </w:pPr>
            <w:r>
              <w:t>学生、教师及家长对学校工作满意度情况</w:t>
            </w:r>
          </w:p>
        </w:tc>
        <w:tc>
          <w:tcPr>
            <w:tcW w:w="2268" w:type="dxa"/>
            <w:vAlign w:val="center"/>
          </w:tcPr>
          <w:p w14:paraId="2E6A88CD">
            <w:pPr>
              <w:pStyle w:val="13"/>
            </w:pPr>
            <w:r>
              <w:t>≥95%</w:t>
            </w:r>
          </w:p>
        </w:tc>
        <w:tc>
          <w:tcPr>
            <w:tcW w:w="1276" w:type="dxa"/>
            <w:vAlign w:val="center"/>
          </w:tcPr>
          <w:p w14:paraId="1D2D8A26">
            <w:pPr>
              <w:pStyle w:val="13"/>
            </w:pPr>
            <w:r>
              <w:t>项目规划</w:t>
            </w:r>
          </w:p>
        </w:tc>
      </w:tr>
    </w:tbl>
    <w:p w14:paraId="27F2FC1E">
      <w:pPr>
        <w:sectPr>
          <w:pgSz w:w="16840" w:h="11900" w:orient="landscape"/>
          <w:pgMar w:top="1361" w:right="1020" w:bottom="1134" w:left="1020" w:header="720" w:footer="720" w:gutter="0"/>
          <w:cols w:space="720" w:num="1"/>
        </w:sectPr>
      </w:pPr>
    </w:p>
    <w:p w14:paraId="3A51223B">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3、冀财教[2024]123号/中央/2025年义教补助经费/北吴疃小学公用经费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2FC41F02">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5E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27371">
            <w:pPr>
              <w:pStyle w:val="14"/>
            </w:pPr>
            <w:r>
              <w:t>单位：万元</w:t>
            </w:r>
          </w:p>
        </w:tc>
      </w:tr>
      <w:tr w14:paraId="635E3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C6C7B">
            <w:pPr>
              <w:pStyle w:val="11"/>
            </w:pPr>
            <w:r>
              <w:t>项目编码</w:t>
            </w:r>
          </w:p>
        </w:tc>
        <w:tc>
          <w:tcPr>
            <w:tcW w:w="5103" w:type="dxa"/>
            <w:gridSpan w:val="2"/>
            <w:vAlign w:val="center"/>
          </w:tcPr>
          <w:p w14:paraId="6D19F460">
            <w:pPr>
              <w:pStyle w:val="13"/>
            </w:pPr>
            <w:r>
              <w:t>13052525P00000410030K</w:t>
            </w:r>
          </w:p>
        </w:tc>
        <w:tc>
          <w:tcPr>
            <w:tcW w:w="2835" w:type="dxa"/>
            <w:vAlign w:val="center"/>
          </w:tcPr>
          <w:p w14:paraId="09555236">
            <w:pPr>
              <w:pStyle w:val="11"/>
            </w:pPr>
            <w:r>
              <w:t>项目名称</w:t>
            </w:r>
          </w:p>
        </w:tc>
        <w:tc>
          <w:tcPr>
            <w:tcW w:w="6095" w:type="dxa"/>
            <w:gridSpan w:val="3"/>
            <w:vAlign w:val="center"/>
          </w:tcPr>
          <w:p w14:paraId="4ECC0C4D">
            <w:pPr>
              <w:pStyle w:val="13"/>
            </w:pPr>
            <w:r>
              <w:t>冀财教[2024]123号/中央/2025年义教补助经费/北吴疃小学公用经费</w:t>
            </w:r>
            <w:r>
              <w:tab/>
            </w:r>
            <w:r>
              <w:tab/>
            </w:r>
          </w:p>
          <w:p w14:paraId="6835D625">
            <w:pPr>
              <w:pStyle w:val="13"/>
            </w:pPr>
          </w:p>
        </w:tc>
      </w:tr>
      <w:tr w14:paraId="63A37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B3342">
            <w:pPr>
              <w:pStyle w:val="11"/>
            </w:pPr>
            <w:r>
              <w:t>预算规模及资金用途</w:t>
            </w:r>
          </w:p>
        </w:tc>
        <w:tc>
          <w:tcPr>
            <w:tcW w:w="2268" w:type="dxa"/>
            <w:vAlign w:val="center"/>
          </w:tcPr>
          <w:p w14:paraId="21FD56C6">
            <w:pPr>
              <w:pStyle w:val="11"/>
            </w:pPr>
            <w:r>
              <w:t>预算数</w:t>
            </w:r>
          </w:p>
        </w:tc>
        <w:tc>
          <w:tcPr>
            <w:tcW w:w="2835" w:type="dxa"/>
            <w:vAlign w:val="center"/>
          </w:tcPr>
          <w:p w14:paraId="1B0A23CF">
            <w:pPr>
              <w:pStyle w:val="13"/>
            </w:pPr>
            <w:r>
              <w:t>9.10</w:t>
            </w:r>
          </w:p>
        </w:tc>
        <w:tc>
          <w:tcPr>
            <w:tcW w:w="2835" w:type="dxa"/>
            <w:vAlign w:val="center"/>
          </w:tcPr>
          <w:p w14:paraId="1AA4424D">
            <w:pPr>
              <w:pStyle w:val="11"/>
            </w:pPr>
            <w:r>
              <w:t>其中：财政    资金</w:t>
            </w:r>
          </w:p>
        </w:tc>
        <w:tc>
          <w:tcPr>
            <w:tcW w:w="2551" w:type="dxa"/>
            <w:vAlign w:val="center"/>
          </w:tcPr>
          <w:p w14:paraId="5C87B7E3">
            <w:pPr>
              <w:pStyle w:val="13"/>
            </w:pPr>
            <w:r>
              <w:t>9.10</w:t>
            </w:r>
          </w:p>
        </w:tc>
        <w:tc>
          <w:tcPr>
            <w:tcW w:w="2268" w:type="dxa"/>
            <w:vAlign w:val="center"/>
          </w:tcPr>
          <w:p w14:paraId="27D09F86">
            <w:pPr>
              <w:pStyle w:val="11"/>
            </w:pPr>
            <w:r>
              <w:t>其他资金</w:t>
            </w:r>
          </w:p>
        </w:tc>
        <w:tc>
          <w:tcPr>
            <w:tcW w:w="1276" w:type="dxa"/>
            <w:vAlign w:val="center"/>
          </w:tcPr>
          <w:p w14:paraId="4F814507">
            <w:pPr>
              <w:pStyle w:val="13"/>
            </w:pPr>
            <w:r>
              <w:t xml:space="preserve"> </w:t>
            </w:r>
          </w:p>
        </w:tc>
      </w:tr>
      <w:tr w14:paraId="67FC9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55FFD9"/>
        </w:tc>
        <w:tc>
          <w:tcPr>
            <w:tcW w:w="14033" w:type="dxa"/>
            <w:gridSpan w:val="6"/>
            <w:vAlign w:val="center"/>
          </w:tcPr>
          <w:p w14:paraId="66EC9DA4">
            <w:pPr>
              <w:pStyle w:val="13"/>
            </w:pPr>
            <w:r>
              <w:t>有效完成学校教学安全秩序，保障学校教学任务有效开展，满足学校正常教学需要。</w:t>
            </w:r>
          </w:p>
        </w:tc>
      </w:tr>
      <w:tr w14:paraId="4EF4B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BC1C4">
            <w:pPr>
              <w:pStyle w:val="11"/>
            </w:pPr>
            <w:r>
              <w:t>资金支出计划（%）</w:t>
            </w:r>
          </w:p>
        </w:tc>
        <w:tc>
          <w:tcPr>
            <w:tcW w:w="5103" w:type="dxa"/>
            <w:gridSpan w:val="2"/>
            <w:vAlign w:val="center"/>
          </w:tcPr>
          <w:p w14:paraId="44E66725">
            <w:pPr>
              <w:pStyle w:val="11"/>
            </w:pPr>
            <w:r>
              <w:t>3月底</w:t>
            </w:r>
          </w:p>
        </w:tc>
        <w:tc>
          <w:tcPr>
            <w:tcW w:w="2835" w:type="dxa"/>
            <w:vAlign w:val="center"/>
          </w:tcPr>
          <w:p w14:paraId="47B2BCE3">
            <w:pPr>
              <w:pStyle w:val="11"/>
            </w:pPr>
            <w:r>
              <w:t>6月底</w:t>
            </w:r>
          </w:p>
        </w:tc>
        <w:tc>
          <w:tcPr>
            <w:tcW w:w="2551" w:type="dxa"/>
            <w:vAlign w:val="center"/>
          </w:tcPr>
          <w:p w14:paraId="1B3F93B5">
            <w:pPr>
              <w:pStyle w:val="11"/>
            </w:pPr>
            <w:r>
              <w:t>10月底</w:t>
            </w:r>
          </w:p>
        </w:tc>
        <w:tc>
          <w:tcPr>
            <w:tcW w:w="3544" w:type="dxa"/>
            <w:gridSpan w:val="2"/>
            <w:vAlign w:val="center"/>
          </w:tcPr>
          <w:p w14:paraId="14FEC4DA">
            <w:pPr>
              <w:pStyle w:val="11"/>
            </w:pPr>
            <w:r>
              <w:t>12月底</w:t>
            </w:r>
          </w:p>
        </w:tc>
      </w:tr>
      <w:tr w14:paraId="43DD0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F3E90BF"/>
        </w:tc>
        <w:tc>
          <w:tcPr>
            <w:tcW w:w="5103" w:type="dxa"/>
            <w:gridSpan w:val="2"/>
            <w:vAlign w:val="center"/>
          </w:tcPr>
          <w:p w14:paraId="7FF4439A">
            <w:pPr>
              <w:pStyle w:val="12"/>
            </w:pPr>
            <w:r>
              <w:t>25%</w:t>
            </w:r>
          </w:p>
        </w:tc>
        <w:tc>
          <w:tcPr>
            <w:tcW w:w="2835" w:type="dxa"/>
            <w:vAlign w:val="center"/>
          </w:tcPr>
          <w:p w14:paraId="0B1A7454">
            <w:pPr>
              <w:pStyle w:val="12"/>
            </w:pPr>
            <w:r>
              <w:t>50%</w:t>
            </w:r>
          </w:p>
        </w:tc>
        <w:tc>
          <w:tcPr>
            <w:tcW w:w="2551" w:type="dxa"/>
            <w:vAlign w:val="center"/>
          </w:tcPr>
          <w:p w14:paraId="4E9648D8">
            <w:pPr>
              <w:pStyle w:val="12"/>
            </w:pPr>
            <w:r>
              <w:t>75%</w:t>
            </w:r>
          </w:p>
        </w:tc>
        <w:tc>
          <w:tcPr>
            <w:tcW w:w="3544" w:type="dxa"/>
            <w:gridSpan w:val="2"/>
            <w:vAlign w:val="center"/>
          </w:tcPr>
          <w:p w14:paraId="69DB676C">
            <w:pPr>
              <w:pStyle w:val="12"/>
            </w:pPr>
            <w:r>
              <w:t>100%</w:t>
            </w:r>
          </w:p>
        </w:tc>
      </w:tr>
      <w:tr w14:paraId="4312E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22A24">
            <w:pPr>
              <w:pStyle w:val="11"/>
            </w:pPr>
            <w:r>
              <w:t>绩效目标</w:t>
            </w:r>
          </w:p>
        </w:tc>
        <w:tc>
          <w:tcPr>
            <w:tcW w:w="14033" w:type="dxa"/>
            <w:gridSpan w:val="6"/>
            <w:vAlign w:val="center"/>
          </w:tcPr>
          <w:p w14:paraId="63FB7B31">
            <w:pPr>
              <w:pStyle w:val="13"/>
            </w:pPr>
            <w:r>
              <w:t>1.有效完成学校教学安全秩序，保障学校教学任务有效开展，满足学校正常教学需要。</w:t>
            </w:r>
          </w:p>
          <w:p w14:paraId="1694D6A9">
            <w:pPr>
              <w:pStyle w:val="13"/>
            </w:pPr>
            <w:r>
              <w:t>2.按规定拨付公用经费资金，预算执行率≥98%。</w:t>
            </w:r>
          </w:p>
        </w:tc>
      </w:tr>
    </w:tbl>
    <w:p w14:paraId="009D2C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53"/>
        <w:gridCol w:w="1991"/>
      </w:tblGrid>
      <w:tr w14:paraId="66845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6E161">
            <w:pPr>
              <w:pStyle w:val="11"/>
            </w:pPr>
            <w:r>
              <w:t>一级指标</w:t>
            </w:r>
          </w:p>
        </w:tc>
        <w:tc>
          <w:tcPr>
            <w:tcW w:w="2268" w:type="dxa"/>
            <w:vAlign w:val="center"/>
          </w:tcPr>
          <w:p w14:paraId="519FC87A">
            <w:pPr>
              <w:pStyle w:val="11"/>
            </w:pPr>
            <w:r>
              <w:t>二级指标</w:t>
            </w:r>
          </w:p>
        </w:tc>
        <w:tc>
          <w:tcPr>
            <w:tcW w:w="2835" w:type="dxa"/>
            <w:vAlign w:val="center"/>
          </w:tcPr>
          <w:p w14:paraId="6A49EDCC">
            <w:pPr>
              <w:pStyle w:val="11"/>
            </w:pPr>
            <w:r>
              <w:t>三级指标</w:t>
            </w:r>
          </w:p>
        </w:tc>
        <w:tc>
          <w:tcPr>
            <w:tcW w:w="5386" w:type="dxa"/>
            <w:vAlign w:val="center"/>
          </w:tcPr>
          <w:p w14:paraId="1591CB10">
            <w:pPr>
              <w:pStyle w:val="11"/>
            </w:pPr>
            <w:r>
              <w:t>绩效指标描述</w:t>
            </w:r>
          </w:p>
        </w:tc>
        <w:tc>
          <w:tcPr>
            <w:tcW w:w="1553" w:type="dxa"/>
            <w:vAlign w:val="center"/>
          </w:tcPr>
          <w:p w14:paraId="00B450E3">
            <w:pPr>
              <w:pStyle w:val="11"/>
            </w:pPr>
            <w:r>
              <w:t>指标值</w:t>
            </w:r>
          </w:p>
        </w:tc>
        <w:tc>
          <w:tcPr>
            <w:tcW w:w="1991" w:type="dxa"/>
            <w:vAlign w:val="center"/>
          </w:tcPr>
          <w:p w14:paraId="6908BCE5">
            <w:pPr>
              <w:pStyle w:val="11"/>
            </w:pPr>
            <w:r>
              <w:t>指标值确定依据</w:t>
            </w:r>
          </w:p>
        </w:tc>
      </w:tr>
      <w:tr w14:paraId="5724C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4320B">
            <w:pPr>
              <w:pStyle w:val="12"/>
            </w:pPr>
            <w:r>
              <w:t>产出指标</w:t>
            </w:r>
          </w:p>
        </w:tc>
        <w:tc>
          <w:tcPr>
            <w:tcW w:w="2268" w:type="dxa"/>
            <w:vAlign w:val="center"/>
          </w:tcPr>
          <w:p w14:paraId="2DB6C9DB">
            <w:pPr>
              <w:pStyle w:val="13"/>
            </w:pPr>
            <w:r>
              <w:t>数量指标</w:t>
            </w:r>
          </w:p>
        </w:tc>
        <w:tc>
          <w:tcPr>
            <w:tcW w:w="2835" w:type="dxa"/>
            <w:vAlign w:val="center"/>
          </w:tcPr>
          <w:p w14:paraId="12C6F712">
            <w:pPr>
              <w:pStyle w:val="13"/>
            </w:pPr>
            <w:r>
              <w:t>就读学生数</w:t>
            </w:r>
          </w:p>
        </w:tc>
        <w:tc>
          <w:tcPr>
            <w:tcW w:w="5386" w:type="dxa"/>
            <w:vAlign w:val="center"/>
          </w:tcPr>
          <w:p w14:paraId="6C08FCE6">
            <w:pPr>
              <w:pStyle w:val="13"/>
            </w:pPr>
            <w:r>
              <w:t>辐射区域内适龄学生人数</w:t>
            </w:r>
          </w:p>
        </w:tc>
        <w:tc>
          <w:tcPr>
            <w:tcW w:w="1553" w:type="dxa"/>
            <w:vAlign w:val="center"/>
          </w:tcPr>
          <w:p w14:paraId="0FD2A545">
            <w:pPr>
              <w:pStyle w:val="13"/>
            </w:pPr>
            <w:r>
              <w:t>147人</w:t>
            </w:r>
          </w:p>
        </w:tc>
        <w:tc>
          <w:tcPr>
            <w:tcW w:w="1991" w:type="dxa"/>
            <w:vAlign w:val="center"/>
          </w:tcPr>
          <w:p w14:paraId="31413A00">
            <w:pPr>
              <w:pStyle w:val="13"/>
            </w:pPr>
            <w:r>
              <w:t>城乡义务教育公用经费管理办法</w:t>
            </w:r>
          </w:p>
        </w:tc>
      </w:tr>
      <w:tr w14:paraId="1BDA1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C931C"/>
        </w:tc>
        <w:tc>
          <w:tcPr>
            <w:tcW w:w="2268" w:type="dxa"/>
            <w:vAlign w:val="center"/>
          </w:tcPr>
          <w:p w14:paraId="7FF88F3D">
            <w:pPr>
              <w:pStyle w:val="13"/>
            </w:pPr>
            <w:r>
              <w:t>质量指标</w:t>
            </w:r>
          </w:p>
        </w:tc>
        <w:tc>
          <w:tcPr>
            <w:tcW w:w="2835" w:type="dxa"/>
            <w:vAlign w:val="center"/>
          </w:tcPr>
          <w:p w14:paraId="1F80723C">
            <w:pPr>
              <w:pStyle w:val="13"/>
            </w:pPr>
            <w:r>
              <w:t>预算执行率</w:t>
            </w:r>
          </w:p>
        </w:tc>
        <w:tc>
          <w:tcPr>
            <w:tcW w:w="5386" w:type="dxa"/>
            <w:vAlign w:val="center"/>
          </w:tcPr>
          <w:p w14:paraId="78BFB153">
            <w:pPr>
              <w:pStyle w:val="13"/>
            </w:pPr>
            <w:r>
              <w:t>预算执行率</w:t>
            </w:r>
          </w:p>
        </w:tc>
        <w:tc>
          <w:tcPr>
            <w:tcW w:w="1553" w:type="dxa"/>
            <w:vAlign w:val="center"/>
          </w:tcPr>
          <w:p w14:paraId="6F65D16B">
            <w:pPr>
              <w:pStyle w:val="13"/>
            </w:pPr>
            <w:r>
              <w:t>≥98%</w:t>
            </w:r>
          </w:p>
        </w:tc>
        <w:tc>
          <w:tcPr>
            <w:tcW w:w="1991" w:type="dxa"/>
            <w:vAlign w:val="center"/>
          </w:tcPr>
          <w:p w14:paraId="340311EA">
            <w:pPr>
              <w:pStyle w:val="13"/>
            </w:pPr>
            <w:r>
              <w:t>城乡义务教育公用经费管理办法</w:t>
            </w:r>
          </w:p>
        </w:tc>
      </w:tr>
      <w:tr w14:paraId="7C5C4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47021"/>
        </w:tc>
        <w:tc>
          <w:tcPr>
            <w:tcW w:w="2268" w:type="dxa"/>
            <w:vAlign w:val="center"/>
          </w:tcPr>
          <w:p w14:paraId="1A9F6A39">
            <w:pPr>
              <w:pStyle w:val="13"/>
            </w:pPr>
            <w:r>
              <w:t>时效指标</w:t>
            </w:r>
          </w:p>
        </w:tc>
        <w:tc>
          <w:tcPr>
            <w:tcW w:w="2835" w:type="dxa"/>
            <w:vAlign w:val="center"/>
          </w:tcPr>
          <w:p w14:paraId="25BC4F4F">
            <w:pPr>
              <w:pStyle w:val="13"/>
            </w:pPr>
            <w:r>
              <w:t>义教经费支付完成率</w:t>
            </w:r>
          </w:p>
        </w:tc>
        <w:tc>
          <w:tcPr>
            <w:tcW w:w="5386" w:type="dxa"/>
            <w:vAlign w:val="center"/>
          </w:tcPr>
          <w:p w14:paraId="5C439481">
            <w:pPr>
              <w:pStyle w:val="13"/>
            </w:pPr>
            <w:r>
              <w:t>按照序时进度完成资金支付</w:t>
            </w:r>
          </w:p>
        </w:tc>
        <w:tc>
          <w:tcPr>
            <w:tcW w:w="1553" w:type="dxa"/>
            <w:vAlign w:val="center"/>
          </w:tcPr>
          <w:p w14:paraId="1D56129D">
            <w:pPr>
              <w:pStyle w:val="13"/>
            </w:pPr>
            <w:r>
              <w:t>≥100%</w:t>
            </w:r>
          </w:p>
        </w:tc>
        <w:tc>
          <w:tcPr>
            <w:tcW w:w="1991" w:type="dxa"/>
            <w:vAlign w:val="center"/>
          </w:tcPr>
          <w:p w14:paraId="71E608BB">
            <w:pPr>
              <w:pStyle w:val="13"/>
            </w:pPr>
            <w:r>
              <w:t>城乡义务教育公用经费管理办法</w:t>
            </w:r>
          </w:p>
        </w:tc>
      </w:tr>
      <w:tr w14:paraId="553AC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4C0F0"/>
        </w:tc>
        <w:tc>
          <w:tcPr>
            <w:tcW w:w="2268" w:type="dxa"/>
            <w:vAlign w:val="center"/>
          </w:tcPr>
          <w:p w14:paraId="3C69EC9D">
            <w:pPr>
              <w:pStyle w:val="13"/>
            </w:pPr>
            <w:r>
              <w:t>成本指标</w:t>
            </w:r>
          </w:p>
        </w:tc>
        <w:tc>
          <w:tcPr>
            <w:tcW w:w="2835" w:type="dxa"/>
            <w:vAlign w:val="center"/>
          </w:tcPr>
          <w:p w14:paraId="1C26B10F">
            <w:pPr>
              <w:pStyle w:val="13"/>
            </w:pPr>
            <w:r>
              <w:t>生均拨款标准</w:t>
            </w:r>
          </w:p>
        </w:tc>
        <w:tc>
          <w:tcPr>
            <w:tcW w:w="5386" w:type="dxa"/>
            <w:vAlign w:val="center"/>
          </w:tcPr>
          <w:p w14:paraId="4D468D31">
            <w:pPr>
              <w:pStyle w:val="13"/>
            </w:pPr>
            <w:r>
              <w:t>小学：（基本标准720元、寄宿生300元、生活补助120元）/生/学年；特教、随班就读学生：标准7000元/生/学年</w:t>
            </w:r>
          </w:p>
        </w:tc>
        <w:tc>
          <w:tcPr>
            <w:tcW w:w="1553" w:type="dxa"/>
            <w:vAlign w:val="center"/>
          </w:tcPr>
          <w:p w14:paraId="3A9DB830">
            <w:pPr>
              <w:pStyle w:val="13"/>
            </w:pPr>
            <w:r>
              <w:t>≥840元</w:t>
            </w:r>
          </w:p>
        </w:tc>
        <w:tc>
          <w:tcPr>
            <w:tcW w:w="1991" w:type="dxa"/>
            <w:vAlign w:val="center"/>
          </w:tcPr>
          <w:p w14:paraId="4BDF020F">
            <w:pPr>
              <w:pStyle w:val="13"/>
            </w:pPr>
            <w:r>
              <w:t>城乡义务教育公用经费管理办法</w:t>
            </w:r>
          </w:p>
        </w:tc>
      </w:tr>
      <w:tr w14:paraId="24964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CD0D7C">
            <w:pPr>
              <w:pStyle w:val="12"/>
            </w:pPr>
            <w:r>
              <w:t>效益指标</w:t>
            </w:r>
          </w:p>
        </w:tc>
        <w:tc>
          <w:tcPr>
            <w:tcW w:w="2268" w:type="dxa"/>
            <w:vAlign w:val="center"/>
          </w:tcPr>
          <w:p w14:paraId="205ADF38">
            <w:pPr>
              <w:pStyle w:val="13"/>
            </w:pPr>
            <w:r>
              <w:t>社会效益指标</w:t>
            </w:r>
          </w:p>
        </w:tc>
        <w:tc>
          <w:tcPr>
            <w:tcW w:w="2835" w:type="dxa"/>
            <w:vAlign w:val="center"/>
          </w:tcPr>
          <w:p w14:paraId="3233D7B9">
            <w:pPr>
              <w:pStyle w:val="13"/>
            </w:pPr>
            <w:r>
              <w:t>学校稳定率</w:t>
            </w:r>
          </w:p>
        </w:tc>
        <w:tc>
          <w:tcPr>
            <w:tcW w:w="5386" w:type="dxa"/>
            <w:vAlign w:val="center"/>
          </w:tcPr>
          <w:p w14:paraId="0BF857E7">
            <w:pPr>
              <w:pStyle w:val="13"/>
            </w:pPr>
            <w:r>
              <w:t>维护学校稳定，保障学校正常教学秩序有效开展</w:t>
            </w:r>
          </w:p>
        </w:tc>
        <w:tc>
          <w:tcPr>
            <w:tcW w:w="1553" w:type="dxa"/>
            <w:vAlign w:val="center"/>
          </w:tcPr>
          <w:p w14:paraId="4845B593">
            <w:pPr>
              <w:pStyle w:val="13"/>
            </w:pPr>
            <w:r>
              <w:t>≥100%</w:t>
            </w:r>
          </w:p>
        </w:tc>
        <w:tc>
          <w:tcPr>
            <w:tcW w:w="1991" w:type="dxa"/>
            <w:vAlign w:val="center"/>
          </w:tcPr>
          <w:p w14:paraId="0A7E6079">
            <w:pPr>
              <w:pStyle w:val="13"/>
            </w:pPr>
            <w:r>
              <w:t>城乡义务教育公用经费管理办法</w:t>
            </w:r>
          </w:p>
        </w:tc>
      </w:tr>
      <w:tr w14:paraId="3549E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3E72C">
            <w:pPr>
              <w:pStyle w:val="12"/>
            </w:pPr>
            <w:r>
              <w:t>满意度指标</w:t>
            </w:r>
          </w:p>
        </w:tc>
        <w:tc>
          <w:tcPr>
            <w:tcW w:w="2268" w:type="dxa"/>
            <w:vAlign w:val="center"/>
          </w:tcPr>
          <w:p w14:paraId="15E97BD8">
            <w:pPr>
              <w:pStyle w:val="13"/>
            </w:pPr>
            <w:r>
              <w:t>服务对象满意度指标</w:t>
            </w:r>
          </w:p>
        </w:tc>
        <w:tc>
          <w:tcPr>
            <w:tcW w:w="2835" w:type="dxa"/>
            <w:vAlign w:val="center"/>
          </w:tcPr>
          <w:p w14:paraId="11AE98BE">
            <w:pPr>
              <w:pStyle w:val="13"/>
            </w:pPr>
            <w:r>
              <w:t>家长和学生满意度</w:t>
            </w:r>
          </w:p>
        </w:tc>
        <w:tc>
          <w:tcPr>
            <w:tcW w:w="5386" w:type="dxa"/>
            <w:vAlign w:val="center"/>
          </w:tcPr>
          <w:p w14:paraId="31F85839">
            <w:pPr>
              <w:pStyle w:val="13"/>
            </w:pPr>
            <w:r>
              <w:t>家长和学生满意度</w:t>
            </w:r>
          </w:p>
        </w:tc>
        <w:tc>
          <w:tcPr>
            <w:tcW w:w="1553" w:type="dxa"/>
            <w:vAlign w:val="center"/>
          </w:tcPr>
          <w:p w14:paraId="5E9DB1ED">
            <w:pPr>
              <w:pStyle w:val="13"/>
            </w:pPr>
            <w:r>
              <w:t>≥95%</w:t>
            </w:r>
          </w:p>
        </w:tc>
        <w:tc>
          <w:tcPr>
            <w:tcW w:w="1991" w:type="dxa"/>
            <w:vAlign w:val="center"/>
          </w:tcPr>
          <w:p w14:paraId="6291B731">
            <w:pPr>
              <w:pStyle w:val="13"/>
            </w:pPr>
            <w:r>
              <w:t>问卷调查</w:t>
            </w:r>
          </w:p>
        </w:tc>
      </w:tr>
    </w:tbl>
    <w:p w14:paraId="521AE5AE">
      <w:pPr>
        <w:sectPr>
          <w:pgSz w:w="16840" w:h="11900" w:orient="landscape"/>
          <w:pgMar w:top="1361" w:right="1020" w:bottom="1134" w:left="1020" w:header="720" w:footer="720" w:gutter="0"/>
          <w:cols w:space="720" w:num="1"/>
        </w:sectPr>
      </w:pPr>
    </w:p>
    <w:p w14:paraId="0D649C4D">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4、冀财教[2024]123号/中央/2025年义教补助经费/旧城小学公用经费绩效目标表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80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BC3DC9">
            <w:pPr>
              <w:pStyle w:val="14"/>
            </w:pPr>
            <w:r>
              <w:t>单位：万元</w:t>
            </w:r>
          </w:p>
        </w:tc>
      </w:tr>
      <w:tr w14:paraId="28198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AB223A">
            <w:pPr>
              <w:pStyle w:val="11"/>
            </w:pPr>
            <w:r>
              <w:t>项目编码</w:t>
            </w:r>
          </w:p>
        </w:tc>
        <w:tc>
          <w:tcPr>
            <w:tcW w:w="5103" w:type="dxa"/>
            <w:gridSpan w:val="2"/>
            <w:vAlign w:val="center"/>
          </w:tcPr>
          <w:p w14:paraId="0B6A5098">
            <w:pPr>
              <w:pStyle w:val="13"/>
            </w:pPr>
            <w:r>
              <w:t>13052525P000004100298</w:t>
            </w:r>
          </w:p>
        </w:tc>
        <w:tc>
          <w:tcPr>
            <w:tcW w:w="2835" w:type="dxa"/>
            <w:vAlign w:val="center"/>
          </w:tcPr>
          <w:p w14:paraId="0435AF96">
            <w:pPr>
              <w:pStyle w:val="11"/>
            </w:pPr>
            <w:r>
              <w:t>项目名称</w:t>
            </w:r>
          </w:p>
        </w:tc>
        <w:tc>
          <w:tcPr>
            <w:tcW w:w="6095" w:type="dxa"/>
            <w:gridSpan w:val="3"/>
            <w:vAlign w:val="center"/>
          </w:tcPr>
          <w:p w14:paraId="6BEBCB95">
            <w:pPr>
              <w:pStyle w:val="13"/>
            </w:pPr>
            <w:r>
              <w:t>冀财教[2024]123号/中央/2025年义教补助经费/旧城小学公用经费</w:t>
            </w:r>
          </w:p>
        </w:tc>
      </w:tr>
      <w:tr w14:paraId="6DC38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5748D">
            <w:pPr>
              <w:pStyle w:val="11"/>
            </w:pPr>
            <w:r>
              <w:t>预算规模及资金用途</w:t>
            </w:r>
          </w:p>
        </w:tc>
        <w:tc>
          <w:tcPr>
            <w:tcW w:w="2268" w:type="dxa"/>
            <w:vAlign w:val="center"/>
          </w:tcPr>
          <w:p w14:paraId="635DE1CB">
            <w:pPr>
              <w:pStyle w:val="11"/>
            </w:pPr>
            <w:r>
              <w:t>预算数</w:t>
            </w:r>
          </w:p>
        </w:tc>
        <w:tc>
          <w:tcPr>
            <w:tcW w:w="2835" w:type="dxa"/>
            <w:vAlign w:val="center"/>
          </w:tcPr>
          <w:p w14:paraId="659BBCAF">
            <w:pPr>
              <w:pStyle w:val="13"/>
            </w:pPr>
            <w:r>
              <w:t>43.60</w:t>
            </w:r>
          </w:p>
        </w:tc>
        <w:tc>
          <w:tcPr>
            <w:tcW w:w="2835" w:type="dxa"/>
            <w:vAlign w:val="center"/>
          </w:tcPr>
          <w:p w14:paraId="1955998B">
            <w:pPr>
              <w:pStyle w:val="11"/>
            </w:pPr>
            <w:r>
              <w:t>其中：财政    资金</w:t>
            </w:r>
          </w:p>
        </w:tc>
        <w:tc>
          <w:tcPr>
            <w:tcW w:w="2551" w:type="dxa"/>
            <w:vAlign w:val="center"/>
          </w:tcPr>
          <w:p w14:paraId="21D10980">
            <w:pPr>
              <w:pStyle w:val="13"/>
            </w:pPr>
            <w:r>
              <w:t>43.60</w:t>
            </w:r>
          </w:p>
        </w:tc>
        <w:tc>
          <w:tcPr>
            <w:tcW w:w="2268" w:type="dxa"/>
            <w:vAlign w:val="center"/>
          </w:tcPr>
          <w:p w14:paraId="4AF088CD">
            <w:pPr>
              <w:pStyle w:val="11"/>
            </w:pPr>
            <w:r>
              <w:t>其他资金</w:t>
            </w:r>
          </w:p>
        </w:tc>
        <w:tc>
          <w:tcPr>
            <w:tcW w:w="1276" w:type="dxa"/>
            <w:vAlign w:val="center"/>
          </w:tcPr>
          <w:p w14:paraId="00F37C9B">
            <w:pPr>
              <w:pStyle w:val="13"/>
            </w:pPr>
            <w:r>
              <w:t xml:space="preserve"> </w:t>
            </w:r>
          </w:p>
        </w:tc>
      </w:tr>
      <w:tr w14:paraId="558FE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CAD405"/>
        </w:tc>
        <w:tc>
          <w:tcPr>
            <w:tcW w:w="14033" w:type="dxa"/>
            <w:gridSpan w:val="6"/>
            <w:vAlign w:val="center"/>
          </w:tcPr>
          <w:p w14:paraId="3442BA7D">
            <w:pPr>
              <w:pStyle w:val="13"/>
            </w:pPr>
            <w:r>
              <w:t>有效完成学校教学安全秩序，保障学校教学任务有效开展，满足学校正常教学需要。</w:t>
            </w:r>
          </w:p>
        </w:tc>
      </w:tr>
      <w:tr w14:paraId="4580E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83DC3">
            <w:pPr>
              <w:pStyle w:val="11"/>
            </w:pPr>
            <w:r>
              <w:t>资金支出计划（%）</w:t>
            </w:r>
          </w:p>
        </w:tc>
        <w:tc>
          <w:tcPr>
            <w:tcW w:w="5103" w:type="dxa"/>
            <w:gridSpan w:val="2"/>
            <w:vAlign w:val="center"/>
          </w:tcPr>
          <w:p w14:paraId="6295D9AE">
            <w:pPr>
              <w:pStyle w:val="11"/>
            </w:pPr>
            <w:r>
              <w:t>3月底</w:t>
            </w:r>
          </w:p>
        </w:tc>
        <w:tc>
          <w:tcPr>
            <w:tcW w:w="2835" w:type="dxa"/>
            <w:vAlign w:val="center"/>
          </w:tcPr>
          <w:p w14:paraId="513E9180">
            <w:pPr>
              <w:pStyle w:val="11"/>
            </w:pPr>
            <w:r>
              <w:t>6月底</w:t>
            </w:r>
          </w:p>
        </w:tc>
        <w:tc>
          <w:tcPr>
            <w:tcW w:w="2551" w:type="dxa"/>
            <w:vAlign w:val="center"/>
          </w:tcPr>
          <w:p w14:paraId="15261BDA">
            <w:pPr>
              <w:pStyle w:val="11"/>
            </w:pPr>
            <w:r>
              <w:t>10月底</w:t>
            </w:r>
          </w:p>
        </w:tc>
        <w:tc>
          <w:tcPr>
            <w:tcW w:w="3544" w:type="dxa"/>
            <w:gridSpan w:val="2"/>
            <w:vAlign w:val="center"/>
          </w:tcPr>
          <w:p w14:paraId="346667F1">
            <w:pPr>
              <w:pStyle w:val="11"/>
            </w:pPr>
            <w:r>
              <w:t>12月底</w:t>
            </w:r>
          </w:p>
        </w:tc>
      </w:tr>
      <w:tr w14:paraId="05E11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9966B4"/>
        </w:tc>
        <w:tc>
          <w:tcPr>
            <w:tcW w:w="5103" w:type="dxa"/>
            <w:gridSpan w:val="2"/>
            <w:vAlign w:val="center"/>
          </w:tcPr>
          <w:p w14:paraId="1A81B149">
            <w:pPr>
              <w:pStyle w:val="12"/>
            </w:pPr>
            <w:r>
              <w:t>25%</w:t>
            </w:r>
          </w:p>
        </w:tc>
        <w:tc>
          <w:tcPr>
            <w:tcW w:w="2835" w:type="dxa"/>
            <w:vAlign w:val="center"/>
          </w:tcPr>
          <w:p w14:paraId="6AF5E687">
            <w:pPr>
              <w:pStyle w:val="12"/>
            </w:pPr>
            <w:r>
              <w:t>50%</w:t>
            </w:r>
          </w:p>
        </w:tc>
        <w:tc>
          <w:tcPr>
            <w:tcW w:w="2551" w:type="dxa"/>
            <w:vAlign w:val="center"/>
          </w:tcPr>
          <w:p w14:paraId="03FD8E62">
            <w:pPr>
              <w:pStyle w:val="12"/>
            </w:pPr>
            <w:r>
              <w:t>75%</w:t>
            </w:r>
          </w:p>
        </w:tc>
        <w:tc>
          <w:tcPr>
            <w:tcW w:w="3544" w:type="dxa"/>
            <w:gridSpan w:val="2"/>
            <w:vAlign w:val="center"/>
          </w:tcPr>
          <w:p w14:paraId="1589063B">
            <w:pPr>
              <w:pStyle w:val="12"/>
            </w:pPr>
            <w:r>
              <w:t>100%</w:t>
            </w:r>
          </w:p>
        </w:tc>
      </w:tr>
      <w:tr w14:paraId="126C6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C4E3E0">
            <w:pPr>
              <w:pStyle w:val="11"/>
            </w:pPr>
            <w:r>
              <w:t>绩效目标</w:t>
            </w:r>
          </w:p>
        </w:tc>
        <w:tc>
          <w:tcPr>
            <w:tcW w:w="14033" w:type="dxa"/>
            <w:gridSpan w:val="6"/>
            <w:vAlign w:val="center"/>
          </w:tcPr>
          <w:p w14:paraId="26D2C138">
            <w:pPr>
              <w:pStyle w:val="13"/>
            </w:pPr>
            <w:r>
              <w:t>1.按规定拨付公用经费资金，预算执行率≥98%。</w:t>
            </w:r>
          </w:p>
          <w:p w14:paraId="5E28E364">
            <w:pPr>
              <w:pStyle w:val="13"/>
            </w:pPr>
            <w:r>
              <w:t>2.有效完成学校教学安全秩序，保障学校教学任务有效开展，满足学校正常教学需要。</w:t>
            </w:r>
          </w:p>
        </w:tc>
      </w:tr>
    </w:tbl>
    <w:p w14:paraId="56E93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FE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E514D">
            <w:pPr>
              <w:pStyle w:val="11"/>
            </w:pPr>
            <w:r>
              <w:t>一级指标</w:t>
            </w:r>
          </w:p>
        </w:tc>
        <w:tc>
          <w:tcPr>
            <w:tcW w:w="2268" w:type="dxa"/>
            <w:vAlign w:val="center"/>
          </w:tcPr>
          <w:p w14:paraId="53E8F82A">
            <w:pPr>
              <w:pStyle w:val="11"/>
            </w:pPr>
            <w:r>
              <w:t>二级指标</w:t>
            </w:r>
          </w:p>
        </w:tc>
        <w:tc>
          <w:tcPr>
            <w:tcW w:w="2835" w:type="dxa"/>
            <w:vAlign w:val="center"/>
          </w:tcPr>
          <w:p w14:paraId="6D91F387">
            <w:pPr>
              <w:pStyle w:val="11"/>
            </w:pPr>
            <w:r>
              <w:t>三级指标</w:t>
            </w:r>
          </w:p>
        </w:tc>
        <w:tc>
          <w:tcPr>
            <w:tcW w:w="5386" w:type="dxa"/>
            <w:vAlign w:val="center"/>
          </w:tcPr>
          <w:p w14:paraId="65D31E50">
            <w:pPr>
              <w:pStyle w:val="11"/>
            </w:pPr>
            <w:r>
              <w:t>绩效指标描述</w:t>
            </w:r>
          </w:p>
        </w:tc>
        <w:tc>
          <w:tcPr>
            <w:tcW w:w="2268" w:type="dxa"/>
            <w:vAlign w:val="center"/>
          </w:tcPr>
          <w:p w14:paraId="183C8FD3">
            <w:pPr>
              <w:pStyle w:val="11"/>
            </w:pPr>
            <w:r>
              <w:t>指标值</w:t>
            </w:r>
          </w:p>
        </w:tc>
        <w:tc>
          <w:tcPr>
            <w:tcW w:w="1276" w:type="dxa"/>
            <w:vAlign w:val="center"/>
          </w:tcPr>
          <w:p w14:paraId="05100BB2">
            <w:pPr>
              <w:pStyle w:val="11"/>
            </w:pPr>
            <w:r>
              <w:t>指标值确定依据</w:t>
            </w:r>
          </w:p>
        </w:tc>
      </w:tr>
      <w:tr w14:paraId="03AF6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37D37">
            <w:pPr>
              <w:pStyle w:val="12"/>
            </w:pPr>
            <w:r>
              <w:t>产出指标</w:t>
            </w:r>
          </w:p>
        </w:tc>
        <w:tc>
          <w:tcPr>
            <w:tcW w:w="2268" w:type="dxa"/>
            <w:vAlign w:val="center"/>
          </w:tcPr>
          <w:p w14:paraId="49F77E88">
            <w:pPr>
              <w:pStyle w:val="13"/>
            </w:pPr>
            <w:r>
              <w:t>数量指标</w:t>
            </w:r>
          </w:p>
        </w:tc>
        <w:tc>
          <w:tcPr>
            <w:tcW w:w="2835" w:type="dxa"/>
            <w:vAlign w:val="center"/>
          </w:tcPr>
          <w:p w14:paraId="6E0C9271">
            <w:pPr>
              <w:pStyle w:val="13"/>
            </w:pPr>
            <w:r>
              <w:t>就读学生数</w:t>
            </w:r>
          </w:p>
        </w:tc>
        <w:tc>
          <w:tcPr>
            <w:tcW w:w="5386" w:type="dxa"/>
            <w:vAlign w:val="center"/>
          </w:tcPr>
          <w:p w14:paraId="596BDC48">
            <w:pPr>
              <w:pStyle w:val="13"/>
            </w:pPr>
            <w:r>
              <w:t>辐射区域内适龄学生人数</w:t>
            </w:r>
          </w:p>
        </w:tc>
        <w:tc>
          <w:tcPr>
            <w:tcW w:w="2268" w:type="dxa"/>
            <w:vAlign w:val="center"/>
          </w:tcPr>
          <w:p w14:paraId="208216FC">
            <w:pPr>
              <w:pStyle w:val="13"/>
            </w:pPr>
            <w:r>
              <w:t>618人</w:t>
            </w:r>
          </w:p>
        </w:tc>
        <w:tc>
          <w:tcPr>
            <w:tcW w:w="1276" w:type="dxa"/>
            <w:vAlign w:val="center"/>
          </w:tcPr>
          <w:p w14:paraId="1B07503A">
            <w:pPr>
              <w:pStyle w:val="13"/>
            </w:pPr>
            <w:r>
              <w:t>城乡义务教育公用经费管理办法</w:t>
            </w:r>
          </w:p>
        </w:tc>
      </w:tr>
      <w:tr w14:paraId="711EF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9665C"/>
        </w:tc>
        <w:tc>
          <w:tcPr>
            <w:tcW w:w="2268" w:type="dxa"/>
            <w:vAlign w:val="center"/>
          </w:tcPr>
          <w:p w14:paraId="5FDF4D3C">
            <w:pPr>
              <w:pStyle w:val="13"/>
            </w:pPr>
            <w:r>
              <w:t>质量指标</w:t>
            </w:r>
          </w:p>
        </w:tc>
        <w:tc>
          <w:tcPr>
            <w:tcW w:w="2835" w:type="dxa"/>
            <w:vAlign w:val="center"/>
          </w:tcPr>
          <w:p w14:paraId="5A88B39F">
            <w:pPr>
              <w:pStyle w:val="13"/>
            </w:pPr>
            <w:r>
              <w:t>预算执行率</w:t>
            </w:r>
          </w:p>
        </w:tc>
        <w:tc>
          <w:tcPr>
            <w:tcW w:w="5386" w:type="dxa"/>
            <w:vAlign w:val="center"/>
          </w:tcPr>
          <w:p w14:paraId="549D2976">
            <w:pPr>
              <w:pStyle w:val="13"/>
            </w:pPr>
            <w:r>
              <w:t>预算执行率</w:t>
            </w:r>
          </w:p>
        </w:tc>
        <w:tc>
          <w:tcPr>
            <w:tcW w:w="2268" w:type="dxa"/>
            <w:vAlign w:val="center"/>
          </w:tcPr>
          <w:p w14:paraId="1C5376B5">
            <w:pPr>
              <w:pStyle w:val="13"/>
            </w:pPr>
            <w:r>
              <w:t>≥98%</w:t>
            </w:r>
          </w:p>
        </w:tc>
        <w:tc>
          <w:tcPr>
            <w:tcW w:w="1276" w:type="dxa"/>
            <w:vAlign w:val="center"/>
          </w:tcPr>
          <w:p w14:paraId="757A370A">
            <w:pPr>
              <w:pStyle w:val="13"/>
            </w:pPr>
            <w:r>
              <w:t>城乡义务教育公用经费管理办法</w:t>
            </w:r>
          </w:p>
        </w:tc>
      </w:tr>
      <w:tr w14:paraId="574B7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C4A5C"/>
        </w:tc>
        <w:tc>
          <w:tcPr>
            <w:tcW w:w="2268" w:type="dxa"/>
            <w:vAlign w:val="center"/>
          </w:tcPr>
          <w:p w14:paraId="295EC740">
            <w:pPr>
              <w:pStyle w:val="13"/>
            </w:pPr>
            <w:r>
              <w:t>时效指标</w:t>
            </w:r>
          </w:p>
        </w:tc>
        <w:tc>
          <w:tcPr>
            <w:tcW w:w="2835" w:type="dxa"/>
            <w:vAlign w:val="center"/>
          </w:tcPr>
          <w:p w14:paraId="2D848CDD">
            <w:pPr>
              <w:pStyle w:val="13"/>
            </w:pPr>
            <w:r>
              <w:t>义教经费支付完成率</w:t>
            </w:r>
          </w:p>
        </w:tc>
        <w:tc>
          <w:tcPr>
            <w:tcW w:w="5386" w:type="dxa"/>
            <w:vAlign w:val="center"/>
          </w:tcPr>
          <w:p w14:paraId="6BBBEC09">
            <w:pPr>
              <w:pStyle w:val="13"/>
            </w:pPr>
            <w:r>
              <w:t>按照序时进度完成资金支付</w:t>
            </w:r>
          </w:p>
        </w:tc>
        <w:tc>
          <w:tcPr>
            <w:tcW w:w="2268" w:type="dxa"/>
            <w:vAlign w:val="center"/>
          </w:tcPr>
          <w:p w14:paraId="768CA0ED">
            <w:pPr>
              <w:pStyle w:val="13"/>
            </w:pPr>
            <w:r>
              <w:t>≥100%</w:t>
            </w:r>
          </w:p>
        </w:tc>
        <w:tc>
          <w:tcPr>
            <w:tcW w:w="1276" w:type="dxa"/>
            <w:vAlign w:val="center"/>
          </w:tcPr>
          <w:p w14:paraId="07B84471">
            <w:pPr>
              <w:pStyle w:val="13"/>
            </w:pPr>
            <w:r>
              <w:t>城乡义务教育公用经费管理办法</w:t>
            </w:r>
          </w:p>
        </w:tc>
      </w:tr>
      <w:tr w14:paraId="194CB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52137"/>
        </w:tc>
        <w:tc>
          <w:tcPr>
            <w:tcW w:w="2268" w:type="dxa"/>
            <w:vAlign w:val="center"/>
          </w:tcPr>
          <w:p w14:paraId="2CF25AB0">
            <w:pPr>
              <w:pStyle w:val="13"/>
            </w:pPr>
            <w:r>
              <w:t>成本指标</w:t>
            </w:r>
          </w:p>
        </w:tc>
        <w:tc>
          <w:tcPr>
            <w:tcW w:w="2835" w:type="dxa"/>
            <w:vAlign w:val="center"/>
          </w:tcPr>
          <w:p w14:paraId="54DF534C">
            <w:pPr>
              <w:pStyle w:val="13"/>
            </w:pPr>
            <w:r>
              <w:t>生均拨款标准</w:t>
            </w:r>
          </w:p>
        </w:tc>
        <w:tc>
          <w:tcPr>
            <w:tcW w:w="5386" w:type="dxa"/>
            <w:vAlign w:val="center"/>
          </w:tcPr>
          <w:p w14:paraId="5E5E1DF2">
            <w:pPr>
              <w:pStyle w:val="13"/>
            </w:pPr>
            <w:r>
              <w:t>小学：（基本标准720元、寄宿生300元、生活补助120元）/生/学年；特教、随班就读学生：标准7000元/生/学年</w:t>
            </w:r>
          </w:p>
        </w:tc>
        <w:tc>
          <w:tcPr>
            <w:tcW w:w="2268" w:type="dxa"/>
            <w:vAlign w:val="center"/>
          </w:tcPr>
          <w:p w14:paraId="38C1AEB2">
            <w:pPr>
              <w:pStyle w:val="13"/>
            </w:pPr>
            <w:r>
              <w:t>840元</w:t>
            </w:r>
          </w:p>
        </w:tc>
        <w:tc>
          <w:tcPr>
            <w:tcW w:w="1276" w:type="dxa"/>
            <w:vAlign w:val="center"/>
          </w:tcPr>
          <w:p w14:paraId="1F458B5D">
            <w:pPr>
              <w:pStyle w:val="13"/>
            </w:pPr>
            <w:r>
              <w:t>城乡义务教育公用经费管理办法</w:t>
            </w:r>
          </w:p>
        </w:tc>
      </w:tr>
      <w:tr w14:paraId="7DFB4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7BAD8C">
            <w:pPr>
              <w:pStyle w:val="12"/>
            </w:pPr>
            <w:r>
              <w:t>效益指标</w:t>
            </w:r>
          </w:p>
        </w:tc>
        <w:tc>
          <w:tcPr>
            <w:tcW w:w="2268" w:type="dxa"/>
            <w:vAlign w:val="center"/>
          </w:tcPr>
          <w:p w14:paraId="3169DFB5">
            <w:pPr>
              <w:pStyle w:val="13"/>
            </w:pPr>
            <w:r>
              <w:t>社会效益指标</w:t>
            </w:r>
          </w:p>
        </w:tc>
        <w:tc>
          <w:tcPr>
            <w:tcW w:w="2835" w:type="dxa"/>
            <w:vAlign w:val="center"/>
          </w:tcPr>
          <w:p w14:paraId="2E8F8F12">
            <w:pPr>
              <w:pStyle w:val="13"/>
            </w:pPr>
            <w:r>
              <w:t>学校稳定率</w:t>
            </w:r>
          </w:p>
        </w:tc>
        <w:tc>
          <w:tcPr>
            <w:tcW w:w="5386" w:type="dxa"/>
            <w:vAlign w:val="center"/>
          </w:tcPr>
          <w:p w14:paraId="0C83B2DE">
            <w:pPr>
              <w:pStyle w:val="13"/>
            </w:pPr>
            <w:r>
              <w:t>维护学校稳定，保障学校正常教学秩序有效开展</w:t>
            </w:r>
          </w:p>
        </w:tc>
        <w:tc>
          <w:tcPr>
            <w:tcW w:w="2268" w:type="dxa"/>
            <w:vAlign w:val="center"/>
          </w:tcPr>
          <w:p w14:paraId="48FEB80E">
            <w:pPr>
              <w:pStyle w:val="13"/>
            </w:pPr>
            <w:r>
              <w:t>100%</w:t>
            </w:r>
          </w:p>
        </w:tc>
        <w:tc>
          <w:tcPr>
            <w:tcW w:w="1276" w:type="dxa"/>
            <w:vAlign w:val="center"/>
          </w:tcPr>
          <w:p w14:paraId="08E4C426">
            <w:pPr>
              <w:pStyle w:val="13"/>
            </w:pPr>
            <w:r>
              <w:t>城乡义务教育公用经费管理办法</w:t>
            </w:r>
          </w:p>
        </w:tc>
      </w:tr>
      <w:tr w14:paraId="129A1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B3D8AE">
            <w:pPr>
              <w:pStyle w:val="12"/>
            </w:pPr>
            <w:r>
              <w:t>满意度指标</w:t>
            </w:r>
          </w:p>
        </w:tc>
        <w:tc>
          <w:tcPr>
            <w:tcW w:w="2268" w:type="dxa"/>
            <w:vAlign w:val="center"/>
          </w:tcPr>
          <w:p w14:paraId="7B183C3C">
            <w:pPr>
              <w:pStyle w:val="13"/>
            </w:pPr>
            <w:r>
              <w:t>服务对象满意度指标</w:t>
            </w:r>
          </w:p>
        </w:tc>
        <w:tc>
          <w:tcPr>
            <w:tcW w:w="2835" w:type="dxa"/>
            <w:vAlign w:val="center"/>
          </w:tcPr>
          <w:p w14:paraId="37B553E6">
            <w:pPr>
              <w:pStyle w:val="13"/>
            </w:pPr>
            <w:r>
              <w:t>家长和学生满意度</w:t>
            </w:r>
          </w:p>
        </w:tc>
        <w:tc>
          <w:tcPr>
            <w:tcW w:w="5386" w:type="dxa"/>
            <w:vAlign w:val="center"/>
          </w:tcPr>
          <w:p w14:paraId="3D49D386">
            <w:pPr>
              <w:pStyle w:val="13"/>
            </w:pPr>
            <w:r>
              <w:t>家长和学生满意度</w:t>
            </w:r>
          </w:p>
        </w:tc>
        <w:tc>
          <w:tcPr>
            <w:tcW w:w="2268" w:type="dxa"/>
            <w:vAlign w:val="center"/>
          </w:tcPr>
          <w:p w14:paraId="46172AFE">
            <w:pPr>
              <w:pStyle w:val="13"/>
            </w:pPr>
            <w:r>
              <w:t>≥95%</w:t>
            </w:r>
          </w:p>
        </w:tc>
        <w:tc>
          <w:tcPr>
            <w:tcW w:w="1276" w:type="dxa"/>
            <w:vAlign w:val="center"/>
          </w:tcPr>
          <w:p w14:paraId="6142F0EB">
            <w:pPr>
              <w:pStyle w:val="13"/>
            </w:pPr>
            <w:r>
              <w:t>问卷调查</w:t>
            </w:r>
          </w:p>
        </w:tc>
      </w:tr>
    </w:tbl>
    <w:p w14:paraId="7693596E">
      <w:pPr>
        <w:sectPr>
          <w:pgSz w:w="16840" w:h="11900" w:orient="landscape"/>
          <w:pgMar w:top="1361" w:right="1020" w:bottom="1134" w:left="1020" w:header="720" w:footer="720" w:gutter="0"/>
          <w:cols w:space="720" w:num="1"/>
        </w:sectPr>
      </w:pPr>
    </w:p>
    <w:p w14:paraId="7A0AB1F4">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5、冀财教[2024]123号/中央/2025年义教补助经费/开河村小学公用经费绩效目标表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E8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81509">
            <w:pPr>
              <w:pStyle w:val="14"/>
            </w:pPr>
            <w:r>
              <w:t>单位：万元</w:t>
            </w:r>
          </w:p>
        </w:tc>
      </w:tr>
      <w:tr w14:paraId="4EF80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8B99DF">
            <w:pPr>
              <w:pStyle w:val="11"/>
            </w:pPr>
            <w:r>
              <w:t>项目编码</w:t>
            </w:r>
          </w:p>
        </w:tc>
        <w:tc>
          <w:tcPr>
            <w:tcW w:w="5103" w:type="dxa"/>
            <w:gridSpan w:val="2"/>
            <w:vAlign w:val="center"/>
          </w:tcPr>
          <w:p w14:paraId="537DB2E7">
            <w:pPr>
              <w:pStyle w:val="13"/>
            </w:pPr>
            <w:r>
              <w:t>13052525P00000410033E</w:t>
            </w:r>
          </w:p>
        </w:tc>
        <w:tc>
          <w:tcPr>
            <w:tcW w:w="2835" w:type="dxa"/>
            <w:vAlign w:val="center"/>
          </w:tcPr>
          <w:p w14:paraId="1F8B5A1F">
            <w:pPr>
              <w:pStyle w:val="11"/>
            </w:pPr>
            <w:r>
              <w:t>项目名称</w:t>
            </w:r>
          </w:p>
        </w:tc>
        <w:tc>
          <w:tcPr>
            <w:tcW w:w="6095" w:type="dxa"/>
            <w:gridSpan w:val="3"/>
            <w:vAlign w:val="center"/>
          </w:tcPr>
          <w:p w14:paraId="551BAB53">
            <w:pPr>
              <w:pStyle w:val="13"/>
            </w:pPr>
            <w:r>
              <w:t>冀财教[2024]123号/中央/2025年义教补助经费/开河村小学公用经费</w:t>
            </w:r>
          </w:p>
        </w:tc>
      </w:tr>
      <w:tr w14:paraId="54335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93871">
            <w:pPr>
              <w:pStyle w:val="11"/>
            </w:pPr>
            <w:r>
              <w:t>预算规模及资金用途</w:t>
            </w:r>
          </w:p>
        </w:tc>
        <w:tc>
          <w:tcPr>
            <w:tcW w:w="2268" w:type="dxa"/>
            <w:vAlign w:val="center"/>
          </w:tcPr>
          <w:p w14:paraId="541E3650">
            <w:pPr>
              <w:pStyle w:val="11"/>
            </w:pPr>
            <w:r>
              <w:t>预算数</w:t>
            </w:r>
          </w:p>
        </w:tc>
        <w:tc>
          <w:tcPr>
            <w:tcW w:w="2835" w:type="dxa"/>
            <w:vAlign w:val="center"/>
          </w:tcPr>
          <w:p w14:paraId="64ECE2B1">
            <w:pPr>
              <w:pStyle w:val="13"/>
            </w:pPr>
            <w:r>
              <w:t>36.33</w:t>
            </w:r>
          </w:p>
        </w:tc>
        <w:tc>
          <w:tcPr>
            <w:tcW w:w="2835" w:type="dxa"/>
            <w:vAlign w:val="center"/>
          </w:tcPr>
          <w:p w14:paraId="39C9E124">
            <w:pPr>
              <w:pStyle w:val="11"/>
            </w:pPr>
            <w:r>
              <w:t>其中：财政    资金</w:t>
            </w:r>
          </w:p>
        </w:tc>
        <w:tc>
          <w:tcPr>
            <w:tcW w:w="2551" w:type="dxa"/>
            <w:vAlign w:val="center"/>
          </w:tcPr>
          <w:p w14:paraId="07B19C9A">
            <w:pPr>
              <w:pStyle w:val="13"/>
            </w:pPr>
            <w:r>
              <w:t>36.33</w:t>
            </w:r>
          </w:p>
        </w:tc>
        <w:tc>
          <w:tcPr>
            <w:tcW w:w="2268" w:type="dxa"/>
            <w:vAlign w:val="center"/>
          </w:tcPr>
          <w:p w14:paraId="7DB4BE26">
            <w:pPr>
              <w:pStyle w:val="11"/>
            </w:pPr>
            <w:r>
              <w:t>其他资金</w:t>
            </w:r>
          </w:p>
        </w:tc>
        <w:tc>
          <w:tcPr>
            <w:tcW w:w="1276" w:type="dxa"/>
            <w:vAlign w:val="center"/>
          </w:tcPr>
          <w:p w14:paraId="397D074F">
            <w:pPr>
              <w:pStyle w:val="13"/>
            </w:pPr>
            <w:r>
              <w:t xml:space="preserve"> </w:t>
            </w:r>
          </w:p>
        </w:tc>
      </w:tr>
      <w:tr w14:paraId="36CD8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FE12AD"/>
        </w:tc>
        <w:tc>
          <w:tcPr>
            <w:tcW w:w="14033" w:type="dxa"/>
            <w:gridSpan w:val="6"/>
            <w:vAlign w:val="center"/>
          </w:tcPr>
          <w:p w14:paraId="229191E9">
            <w:pPr>
              <w:pStyle w:val="13"/>
            </w:pPr>
            <w:r>
              <w:t>有效完成学校教学安全秩序，保障学校教学任务有效开展，满足学校正常教学需要。</w:t>
            </w:r>
          </w:p>
        </w:tc>
      </w:tr>
      <w:tr w14:paraId="4A40E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2304A">
            <w:pPr>
              <w:pStyle w:val="11"/>
            </w:pPr>
            <w:r>
              <w:t>资金支出计划（%）</w:t>
            </w:r>
          </w:p>
        </w:tc>
        <w:tc>
          <w:tcPr>
            <w:tcW w:w="5103" w:type="dxa"/>
            <w:gridSpan w:val="2"/>
            <w:vAlign w:val="center"/>
          </w:tcPr>
          <w:p w14:paraId="7988AEC1">
            <w:pPr>
              <w:pStyle w:val="11"/>
            </w:pPr>
            <w:r>
              <w:t>3月底</w:t>
            </w:r>
          </w:p>
        </w:tc>
        <w:tc>
          <w:tcPr>
            <w:tcW w:w="2835" w:type="dxa"/>
            <w:vAlign w:val="center"/>
          </w:tcPr>
          <w:p w14:paraId="03E046C9">
            <w:pPr>
              <w:pStyle w:val="11"/>
            </w:pPr>
            <w:r>
              <w:t>6月底</w:t>
            </w:r>
          </w:p>
        </w:tc>
        <w:tc>
          <w:tcPr>
            <w:tcW w:w="2551" w:type="dxa"/>
            <w:vAlign w:val="center"/>
          </w:tcPr>
          <w:p w14:paraId="3A066288">
            <w:pPr>
              <w:pStyle w:val="11"/>
            </w:pPr>
            <w:r>
              <w:t>10月底</w:t>
            </w:r>
          </w:p>
        </w:tc>
        <w:tc>
          <w:tcPr>
            <w:tcW w:w="3544" w:type="dxa"/>
            <w:gridSpan w:val="2"/>
            <w:vAlign w:val="center"/>
          </w:tcPr>
          <w:p w14:paraId="0762EC0C">
            <w:pPr>
              <w:pStyle w:val="11"/>
            </w:pPr>
            <w:r>
              <w:t>12月底</w:t>
            </w:r>
          </w:p>
        </w:tc>
      </w:tr>
      <w:tr w14:paraId="43A62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D6613C"/>
        </w:tc>
        <w:tc>
          <w:tcPr>
            <w:tcW w:w="5103" w:type="dxa"/>
            <w:gridSpan w:val="2"/>
            <w:vAlign w:val="center"/>
          </w:tcPr>
          <w:p w14:paraId="2860B5F4">
            <w:pPr>
              <w:pStyle w:val="12"/>
            </w:pPr>
            <w:r>
              <w:t>25%</w:t>
            </w:r>
          </w:p>
        </w:tc>
        <w:tc>
          <w:tcPr>
            <w:tcW w:w="2835" w:type="dxa"/>
            <w:vAlign w:val="center"/>
          </w:tcPr>
          <w:p w14:paraId="337F377B">
            <w:pPr>
              <w:pStyle w:val="12"/>
            </w:pPr>
            <w:r>
              <w:t>50%</w:t>
            </w:r>
          </w:p>
        </w:tc>
        <w:tc>
          <w:tcPr>
            <w:tcW w:w="2551" w:type="dxa"/>
            <w:vAlign w:val="center"/>
          </w:tcPr>
          <w:p w14:paraId="22ECCEC2">
            <w:pPr>
              <w:pStyle w:val="12"/>
            </w:pPr>
            <w:r>
              <w:t>75%</w:t>
            </w:r>
          </w:p>
        </w:tc>
        <w:tc>
          <w:tcPr>
            <w:tcW w:w="3544" w:type="dxa"/>
            <w:gridSpan w:val="2"/>
            <w:vAlign w:val="center"/>
          </w:tcPr>
          <w:p w14:paraId="33A4804F">
            <w:pPr>
              <w:pStyle w:val="12"/>
            </w:pPr>
            <w:r>
              <w:t>100%</w:t>
            </w:r>
          </w:p>
        </w:tc>
      </w:tr>
      <w:tr w14:paraId="0F7DA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2FE90">
            <w:pPr>
              <w:pStyle w:val="11"/>
            </w:pPr>
            <w:r>
              <w:t>绩效目标</w:t>
            </w:r>
          </w:p>
        </w:tc>
        <w:tc>
          <w:tcPr>
            <w:tcW w:w="14033" w:type="dxa"/>
            <w:gridSpan w:val="6"/>
            <w:vAlign w:val="center"/>
          </w:tcPr>
          <w:p w14:paraId="7563DBA4">
            <w:pPr>
              <w:pStyle w:val="13"/>
            </w:pPr>
            <w:r>
              <w:t>1.按规定拨付公用经费资金，预算执行率≥98%。</w:t>
            </w:r>
          </w:p>
          <w:p w14:paraId="7DBA1758">
            <w:pPr>
              <w:pStyle w:val="13"/>
            </w:pPr>
            <w:r>
              <w:t>2.有效完成学校教学安全秩序，保障学校教学任务有效开展，满足学校正常教学需要。</w:t>
            </w:r>
          </w:p>
        </w:tc>
      </w:tr>
    </w:tbl>
    <w:p w14:paraId="5372B9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9B1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248C2">
            <w:pPr>
              <w:pStyle w:val="11"/>
            </w:pPr>
            <w:r>
              <w:t>一级指标</w:t>
            </w:r>
          </w:p>
        </w:tc>
        <w:tc>
          <w:tcPr>
            <w:tcW w:w="2268" w:type="dxa"/>
            <w:vAlign w:val="center"/>
          </w:tcPr>
          <w:p w14:paraId="61EC6309">
            <w:pPr>
              <w:pStyle w:val="11"/>
            </w:pPr>
            <w:r>
              <w:t>二级指标</w:t>
            </w:r>
          </w:p>
        </w:tc>
        <w:tc>
          <w:tcPr>
            <w:tcW w:w="2835" w:type="dxa"/>
            <w:vAlign w:val="center"/>
          </w:tcPr>
          <w:p w14:paraId="343249C0">
            <w:pPr>
              <w:pStyle w:val="11"/>
            </w:pPr>
            <w:r>
              <w:t>三级指标</w:t>
            </w:r>
          </w:p>
        </w:tc>
        <w:tc>
          <w:tcPr>
            <w:tcW w:w="5386" w:type="dxa"/>
            <w:vAlign w:val="center"/>
          </w:tcPr>
          <w:p w14:paraId="225FB2D0">
            <w:pPr>
              <w:pStyle w:val="11"/>
            </w:pPr>
            <w:r>
              <w:t>绩效指标描述</w:t>
            </w:r>
          </w:p>
        </w:tc>
        <w:tc>
          <w:tcPr>
            <w:tcW w:w="2268" w:type="dxa"/>
            <w:vAlign w:val="center"/>
          </w:tcPr>
          <w:p w14:paraId="60D71A27">
            <w:pPr>
              <w:pStyle w:val="11"/>
            </w:pPr>
            <w:r>
              <w:t>指标值</w:t>
            </w:r>
          </w:p>
        </w:tc>
        <w:tc>
          <w:tcPr>
            <w:tcW w:w="1276" w:type="dxa"/>
            <w:vAlign w:val="center"/>
          </w:tcPr>
          <w:p w14:paraId="7BC454B2">
            <w:pPr>
              <w:pStyle w:val="11"/>
            </w:pPr>
            <w:r>
              <w:t>指标值确定依据</w:t>
            </w:r>
          </w:p>
        </w:tc>
      </w:tr>
      <w:tr w14:paraId="27053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2E96A">
            <w:pPr>
              <w:pStyle w:val="12"/>
            </w:pPr>
            <w:r>
              <w:t>产出指标</w:t>
            </w:r>
          </w:p>
        </w:tc>
        <w:tc>
          <w:tcPr>
            <w:tcW w:w="2268" w:type="dxa"/>
            <w:vAlign w:val="center"/>
          </w:tcPr>
          <w:p w14:paraId="40D70D4C">
            <w:pPr>
              <w:pStyle w:val="13"/>
            </w:pPr>
            <w:r>
              <w:t>数量指标</w:t>
            </w:r>
          </w:p>
        </w:tc>
        <w:tc>
          <w:tcPr>
            <w:tcW w:w="2835" w:type="dxa"/>
            <w:vAlign w:val="center"/>
          </w:tcPr>
          <w:p w14:paraId="7181EF4B">
            <w:pPr>
              <w:pStyle w:val="13"/>
            </w:pPr>
            <w:r>
              <w:t>就读学生数</w:t>
            </w:r>
          </w:p>
        </w:tc>
        <w:tc>
          <w:tcPr>
            <w:tcW w:w="5386" w:type="dxa"/>
            <w:vAlign w:val="center"/>
          </w:tcPr>
          <w:p w14:paraId="51149EC3">
            <w:pPr>
              <w:pStyle w:val="13"/>
            </w:pPr>
            <w:r>
              <w:t>辐射区域内适龄学生人数</w:t>
            </w:r>
          </w:p>
        </w:tc>
        <w:tc>
          <w:tcPr>
            <w:tcW w:w="2268" w:type="dxa"/>
            <w:vAlign w:val="center"/>
          </w:tcPr>
          <w:p w14:paraId="5C8D6780">
            <w:pPr>
              <w:pStyle w:val="13"/>
            </w:pPr>
            <w:r>
              <w:t>520人</w:t>
            </w:r>
          </w:p>
        </w:tc>
        <w:tc>
          <w:tcPr>
            <w:tcW w:w="1276" w:type="dxa"/>
            <w:vAlign w:val="center"/>
          </w:tcPr>
          <w:p w14:paraId="0E859D78">
            <w:pPr>
              <w:pStyle w:val="13"/>
            </w:pPr>
            <w:r>
              <w:t>城乡义务教育公用经费管理办法</w:t>
            </w:r>
          </w:p>
        </w:tc>
      </w:tr>
      <w:tr w14:paraId="65573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0E65F"/>
        </w:tc>
        <w:tc>
          <w:tcPr>
            <w:tcW w:w="2268" w:type="dxa"/>
            <w:vAlign w:val="center"/>
          </w:tcPr>
          <w:p w14:paraId="11B831F7">
            <w:pPr>
              <w:pStyle w:val="13"/>
            </w:pPr>
            <w:r>
              <w:t>质量指标</w:t>
            </w:r>
          </w:p>
        </w:tc>
        <w:tc>
          <w:tcPr>
            <w:tcW w:w="2835" w:type="dxa"/>
            <w:vAlign w:val="center"/>
          </w:tcPr>
          <w:p w14:paraId="7B6C126F">
            <w:pPr>
              <w:pStyle w:val="13"/>
            </w:pPr>
            <w:r>
              <w:t>预算执行率</w:t>
            </w:r>
          </w:p>
        </w:tc>
        <w:tc>
          <w:tcPr>
            <w:tcW w:w="5386" w:type="dxa"/>
            <w:vAlign w:val="center"/>
          </w:tcPr>
          <w:p w14:paraId="69BAC73E">
            <w:pPr>
              <w:pStyle w:val="13"/>
            </w:pPr>
            <w:r>
              <w:t>预算执行率</w:t>
            </w:r>
          </w:p>
        </w:tc>
        <w:tc>
          <w:tcPr>
            <w:tcW w:w="2268" w:type="dxa"/>
            <w:vAlign w:val="center"/>
          </w:tcPr>
          <w:p w14:paraId="4693A444">
            <w:pPr>
              <w:pStyle w:val="13"/>
            </w:pPr>
            <w:r>
              <w:t>≥98%</w:t>
            </w:r>
          </w:p>
        </w:tc>
        <w:tc>
          <w:tcPr>
            <w:tcW w:w="1276" w:type="dxa"/>
            <w:vAlign w:val="center"/>
          </w:tcPr>
          <w:p w14:paraId="252217EA">
            <w:pPr>
              <w:pStyle w:val="13"/>
            </w:pPr>
            <w:r>
              <w:t>城乡义务教育公用经费管理办法</w:t>
            </w:r>
          </w:p>
        </w:tc>
      </w:tr>
      <w:tr w14:paraId="07AA2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3D6E0"/>
        </w:tc>
        <w:tc>
          <w:tcPr>
            <w:tcW w:w="2268" w:type="dxa"/>
            <w:vAlign w:val="center"/>
          </w:tcPr>
          <w:p w14:paraId="370D740C">
            <w:pPr>
              <w:pStyle w:val="13"/>
            </w:pPr>
            <w:r>
              <w:t>时效指标</w:t>
            </w:r>
          </w:p>
        </w:tc>
        <w:tc>
          <w:tcPr>
            <w:tcW w:w="2835" w:type="dxa"/>
            <w:vAlign w:val="center"/>
          </w:tcPr>
          <w:p w14:paraId="6DDF57A0">
            <w:pPr>
              <w:pStyle w:val="13"/>
            </w:pPr>
            <w:r>
              <w:t>义教经费支付完成率</w:t>
            </w:r>
          </w:p>
        </w:tc>
        <w:tc>
          <w:tcPr>
            <w:tcW w:w="5386" w:type="dxa"/>
            <w:vAlign w:val="center"/>
          </w:tcPr>
          <w:p w14:paraId="24AD6980">
            <w:pPr>
              <w:pStyle w:val="13"/>
            </w:pPr>
            <w:r>
              <w:t>按照序时进度完成资金支付</w:t>
            </w:r>
          </w:p>
        </w:tc>
        <w:tc>
          <w:tcPr>
            <w:tcW w:w="2268" w:type="dxa"/>
            <w:vAlign w:val="center"/>
          </w:tcPr>
          <w:p w14:paraId="09B3FFD0">
            <w:pPr>
              <w:pStyle w:val="13"/>
            </w:pPr>
            <w:r>
              <w:t>≥100%</w:t>
            </w:r>
          </w:p>
        </w:tc>
        <w:tc>
          <w:tcPr>
            <w:tcW w:w="1276" w:type="dxa"/>
            <w:vAlign w:val="center"/>
          </w:tcPr>
          <w:p w14:paraId="42F043E7">
            <w:pPr>
              <w:pStyle w:val="13"/>
            </w:pPr>
            <w:r>
              <w:t>城乡义务教育公用经费管理办法</w:t>
            </w:r>
          </w:p>
        </w:tc>
      </w:tr>
      <w:tr w14:paraId="6FE0F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C75C0"/>
        </w:tc>
        <w:tc>
          <w:tcPr>
            <w:tcW w:w="2268" w:type="dxa"/>
            <w:vAlign w:val="center"/>
          </w:tcPr>
          <w:p w14:paraId="32573749">
            <w:pPr>
              <w:pStyle w:val="13"/>
            </w:pPr>
            <w:r>
              <w:t>成本指标</w:t>
            </w:r>
          </w:p>
        </w:tc>
        <w:tc>
          <w:tcPr>
            <w:tcW w:w="2835" w:type="dxa"/>
            <w:vAlign w:val="center"/>
          </w:tcPr>
          <w:p w14:paraId="721B6582">
            <w:pPr>
              <w:pStyle w:val="13"/>
            </w:pPr>
            <w:r>
              <w:t>生均拨款标准</w:t>
            </w:r>
          </w:p>
        </w:tc>
        <w:tc>
          <w:tcPr>
            <w:tcW w:w="5386" w:type="dxa"/>
            <w:vAlign w:val="center"/>
          </w:tcPr>
          <w:p w14:paraId="22039385">
            <w:pPr>
              <w:pStyle w:val="13"/>
            </w:pPr>
            <w:r>
              <w:t>小学：（基本标准720元、寄宿生300元、生活补助120元）/生/学年；特教、随班就读学生：标准7000元/生/学年</w:t>
            </w:r>
          </w:p>
        </w:tc>
        <w:tc>
          <w:tcPr>
            <w:tcW w:w="2268" w:type="dxa"/>
            <w:vAlign w:val="center"/>
          </w:tcPr>
          <w:p w14:paraId="68C36C03">
            <w:pPr>
              <w:pStyle w:val="13"/>
            </w:pPr>
            <w:r>
              <w:t>840元</w:t>
            </w:r>
          </w:p>
        </w:tc>
        <w:tc>
          <w:tcPr>
            <w:tcW w:w="1276" w:type="dxa"/>
            <w:vAlign w:val="center"/>
          </w:tcPr>
          <w:p w14:paraId="5E6787B3">
            <w:pPr>
              <w:pStyle w:val="13"/>
            </w:pPr>
            <w:r>
              <w:t>城乡义务教育公用经费管理办法</w:t>
            </w:r>
          </w:p>
        </w:tc>
      </w:tr>
      <w:tr w14:paraId="3C6B5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F1FC17">
            <w:pPr>
              <w:pStyle w:val="12"/>
            </w:pPr>
            <w:r>
              <w:t>效益指标</w:t>
            </w:r>
          </w:p>
        </w:tc>
        <w:tc>
          <w:tcPr>
            <w:tcW w:w="2268" w:type="dxa"/>
            <w:vAlign w:val="center"/>
          </w:tcPr>
          <w:p w14:paraId="5392863D">
            <w:pPr>
              <w:pStyle w:val="13"/>
            </w:pPr>
            <w:r>
              <w:t>社会效益指标</w:t>
            </w:r>
          </w:p>
        </w:tc>
        <w:tc>
          <w:tcPr>
            <w:tcW w:w="2835" w:type="dxa"/>
            <w:vAlign w:val="center"/>
          </w:tcPr>
          <w:p w14:paraId="5F123D67">
            <w:pPr>
              <w:pStyle w:val="13"/>
            </w:pPr>
            <w:r>
              <w:t>学校稳定率</w:t>
            </w:r>
          </w:p>
        </w:tc>
        <w:tc>
          <w:tcPr>
            <w:tcW w:w="5386" w:type="dxa"/>
            <w:vAlign w:val="center"/>
          </w:tcPr>
          <w:p w14:paraId="6C4AD321">
            <w:pPr>
              <w:pStyle w:val="13"/>
            </w:pPr>
            <w:r>
              <w:t>维护学校稳定，保障学校正常教学秩序有效开展</w:t>
            </w:r>
          </w:p>
        </w:tc>
        <w:tc>
          <w:tcPr>
            <w:tcW w:w="2268" w:type="dxa"/>
            <w:vAlign w:val="center"/>
          </w:tcPr>
          <w:p w14:paraId="515D34F5">
            <w:pPr>
              <w:pStyle w:val="13"/>
            </w:pPr>
            <w:r>
              <w:t>100%</w:t>
            </w:r>
          </w:p>
        </w:tc>
        <w:tc>
          <w:tcPr>
            <w:tcW w:w="1276" w:type="dxa"/>
            <w:vAlign w:val="center"/>
          </w:tcPr>
          <w:p w14:paraId="523AC89B">
            <w:pPr>
              <w:pStyle w:val="13"/>
            </w:pPr>
            <w:r>
              <w:t>城乡义务教育公用经费管理办法</w:t>
            </w:r>
          </w:p>
        </w:tc>
      </w:tr>
      <w:tr w14:paraId="5272B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05A427">
            <w:pPr>
              <w:pStyle w:val="12"/>
            </w:pPr>
            <w:r>
              <w:t>满意度指标</w:t>
            </w:r>
          </w:p>
        </w:tc>
        <w:tc>
          <w:tcPr>
            <w:tcW w:w="2268" w:type="dxa"/>
            <w:vAlign w:val="center"/>
          </w:tcPr>
          <w:p w14:paraId="1D4B4335">
            <w:pPr>
              <w:pStyle w:val="13"/>
            </w:pPr>
            <w:r>
              <w:t>服务对象满意度指标</w:t>
            </w:r>
          </w:p>
        </w:tc>
        <w:tc>
          <w:tcPr>
            <w:tcW w:w="2835" w:type="dxa"/>
            <w:vAlign w:val="center"/>
          </w:tcPr>
          <w:p w14:paraId="3CD914D4">
            <w:pPr>
              <w:pStyle w:val="13"/>
            </w:pPr>
            <w:r>
              <w:t>家长和学生满意度</w:t>
            </w:r>
          </w:p>
        </w:tc>
        <w:tc>
          <w:tcPr>
            <w:tcW w:w="5386" w:type="dxa"/>
            <w:vAlign w:val="center"/>
          </w:tcPr>
          <w:p w14:paraId="2712A13C">
            <w:pPr>
              <w:pStyle w:val="13"/>
            </w:pPr>
            <w:r>
              <w:t>家长和学生满意度</w:t>
            </w:r>
          </w:p>
        </w:tc>
        <w:tc>
          <w:tcPr>
            <w:tcW w:w="2268" w:type="dxa"/>
            <w:vAlign w:val="center"/>
          </w:tcPr>
          <w:p w14:paraId="093A03BE">
            <w:pPr>
              <w:pStyle w:val="13"/>
            </w:pPr>
            <w:r>
              <w:t>≥95%</w:t>
            </w:r>
          </w:p>
        </w:tc>
        <w:tc>
          <w:tcPr>
            <w:tcW w:w="1276" w:type="dxa"/>
            <w:vAlign w:val="center"/>
          </w:tcPr>
          <w:p w14:paraId="3E378713">
            <w:pPr>
              <w:pStyle w:val="13"/>
            </w:pPr>
            <w:r>
              <w:t>问卷调查</w:t>
            </w:r>
          </w:p>
        </w:tc>
      </w:tr>
    </w:tbl>
    <w:p w14:paraId="5B460D21">
      <w:pPr>
        <w:sectPr>
          <w:pgSz w:w="16840" w:h="11900" w:orient="landscape"/>
          <w:pgMar w:top="1361" w:right="1020" w:bottom="1134" w:left="1020" w:header="720" w:footer="720" w:gutter="0"/>
          <w:cols w:space="720" w:num="1"/>
        </w:sectPr>
      </w:pPr>
    </w:p>
    <w:p w14:paraId="53946B03">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6、冀财教[2024]123号/中央/2025年义教补助经费/梅庄小学公用经费绩效目标表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3DC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CDFE5">
            <w:pPr>
              <w:pStyle w:val="14"/>
            </w:pPr>
            <w:r>
              <w:t>单位：万元</w:t>
            </w:r>
          </w:p>
        </w:tc>
      </w:tr>
      <w:tr w14:paraId="6E646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F6E06">
            <w:pPr>
              <w:pStyle w:val="11"/>
            </w:pPr>
            <w:r>
              <w:t>项目编码</w:t>
            </w:r>
          </w:p>
        </w:tc>
        <w:tc>
          <w:tcPr>
            <w:tcW w:w="5103" w:type="dxa"/>
            <w:gridSpan w:val="2"/>
            <w:vAlign w:val="center"/>
          </w:tcPr>
          <w:p w14:paraId="50D0CCD3">
            <w:pPr>
              <w:pStyle w:val="13"/>
            </w:pPr>
            <w:r>
              <w:t>13052525P00000410032T</w:t>
            </w:r>
          </w:p>
        </w:tc>
        <w:tc>
          <w:tcPr>
            <w:tcW w:w="2835" w:type="dxa"/>
            <w:vAlign w:val="center"/>
          </w:tcPr>
          <w:p w14:paraId="0D56A6D4">
            <w:pPr>
              <w:pStyle w:val="11"/>
            </w:pPr>
            <w:r>
              <w:t>项目名称</w:t>
            </w:r>
          </w:p>
        </w:tc>
        <w:tc>
          <w:tcPr>
            <w:tcW w:w="6095" w:type="dxa"/>
            <w:gridSpan w:val="3"/>
            <w:vAlign w:val="center"/>
          </w:tcPr>
          <w:p w14:paraId="064747A0">
            <w:pPr>
              <w:pStyle w:val="13"/>
            </w:pPr>
            <w:r>
              <w:t>冀财教[2024]123号/中央/2025年义教补助经费/梅庄小学公用经费</w:t>
            </w:r>
          </w:p>
        </w:tc>
      </w:tr>
      <w:tr w14:paraId="7B368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33026">
            <w:pPr>
              <w:pStyle w:val="11"/>
            </w:pPr>
            <w:r>
              <w:t>预算规模及资金用途</w:t>
            </w:r>
          </w:p>
        </w:tc>
        <w:tc>
          <w:tcPr>
            <w:tcW w:w="2268" w:type="dxa"/>
            <w:vAlign w:val="center"/>
          </w:tcPr>
          <w:p w14:paraId="1E9BA767">
            <w:pPr>
              <w:pStyle w:val="11"/>
            </w:pPr>
            <w:r>
              <w:t>预算数</w:t>
            </w:r>
          </w:p>
        </w:tc>
        <w:tc>
          <w:tcPr>
            <w:tcW w:w="2835" w:type="dxa"/>
            <w:vAlign w:val="center"/>
          </w:tcPr>
          <w:p w14:paraId="23DBE1FE">
            <w:pPr>
              <w:pStyle w:val="13"/>
            </w:pPr>
            <w:r>
              <w:t>6.53</w:t>
            </w:r>
          </w:p>
        </w:tc>
        <w:tc>
          <w:tcPr>
            <w:tcW w:w="2835" w:type="dxa"/>
            <w:vAlign w:val="center"/>
          </w:tcPr>
          <w:p w14:paraId="19D98868">
            <w:pPr>
              <w:pStyle w:val="11"/>
            </w:pPr>
            <w:r>
              <w:t>其中：财政    资金</w:t>
            </w:r>
          </w:p>
        </w:tc>
        <w:tc>
          <w:tcPr>
            <w:tcW w:w="2551" w:type="dxa"/>
            <w:vAlign w:val="center"/>
          </w:tcPr>
          <w:p w14:paraId="67FBA470">
            <w:pPr>
              <w:pStyle w:val="13"/>
            </w:pPr>
            <w:r>
              <w:t>6.53</w:t>
            </w:r>
          </w:p>
        </w:tc>
        <w:tc>
          <w:tcPr>
            <w:tcW w:w="2268" w:type="dxa"/>
            <w:vAlign w:val="center"/>
          </w:tcPr>
          <w:p w14:paraId="0DFF0A0B">
            <w:pPr>
              <w:pStyle w:val="11"/>
            </w:pPr>
            <w:r>
              <w:t>其他资金</w:t>
            </w:r>
          </w:p>
        </w:tc>
        <w:tc>
          <w:tcPr>
            <w:tcW w:w="1276" w:type="dxa"/>
            <w:vAlign w:val="center"/>
          </w:tcPr>
          <w:p w14:paraId="442554F9">
            <w:pPr>
              <w:pStyle w:val="13"/>
            </w:pPr>
            <w:r>
              <w:t xml:space="preserve"> </w:t>
            </w:r>
          </w:p>
        </w:tc>
      </w:tr>
      <w:tr w14:paraId="091DE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9C5E96"/>
        </w:tc>
        <w:tc>
          <w:tcPr>
            <w:tcW w:w="14033" w:type="dxa"/>
            <w:gridSpan w:val="6"/>
            <w:vAlign w:val="center"/>
          </w:tcPr>
          <w:p w14:paraId="2ECC83B7">
            <w:pPr>
              <w:pStyle w:val="13"/>
            </w:pPr>
            <w:r>
              <w:t>有效完成学校教学安全秩序，保障学校教学任务有效开展，满足学校正常教学需要。</w:t>
            </w:r>
          </w:p>
        </w:tc>
      </w:tr>
      <w:tr w14:paraId="24BC6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97BB5">
            <w:pPr>
              <w:pStyle w:val="11"/>
            </w:pPr>
            <w:r>
              <w:t>资金支出计划（%）</w:t>
            </w:r>
          </w:p>
        </w:tc>
        <w:tc>
          <w:tcPr>
            <w:tcW w:w="5103" w:type="dxa"/>
            <w:gridSpan w:val="2"/>
            <w:vAlign w:val="center"/>
          </w:tcPr>
          <w:p w14:paraId="6F9A3D5C">
            <w:pPr>
              <w:pStyle w:val="11"/>
            </w:pPr>
            <w:r>
              <w:t>3月底</w:t>
            </w:r>
          </w:p>
        </w:tc>
        <w:tc>
          <w:tcPr>
            <w:tcW w:w="2835" w:type="dxa"/>
            <w:vAlign w:val="center"/>
          </w:tcPr>
          <w:p w14:paraId="7199BD1A">
            <w:pPr>
              <w:pStyle w:val="11"/>
            </w:pPr>
            <w:r>
              <w:t>6月底</w:t>
            </w:r>
          </w:p>
        </w:tc>
        <w:tc>
          <w:tcPr>
            <w:tcW w:w="2551" w:type="dxa"/>
            <w:vAlign w:val="center"/>
          </w:tcPr>
          <w:p w14:paraId="0CF2EC81">
            <w:pPr>
              <w:pStyle w:val="11"/>
            </w:pPr>
            <w:r>
              <w:t>10月底</w:t>
            </w:r>
          </w:p>
        </w:tc>
        <w:tc>
          <w:tcPr>
            <w:tcW w:w="3544" w:type="dxa"/>
            <w:gridSpan w:val="2"/>
            <w:vAlign w:val="center"/>
          </w:tcPr>
          <w:p w14:paraId="1BBF6545">
            <w:pPr>
              <w:pStyle w:val="11"/>
            </w:pPr>
            <w:r>
              <w:t>12月底</w:t>
            </w:r>
          </w:p>
        </w:tc>
      </w:tr>
      <w:tr w14:paraId="2F2C2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34994"/>
        </w:tc>
        <w:tc>
          <w:tcPr>
            <w:tcW w:w="5103" w:type="dxa"/>
            <w:gridSpan w:val="2"/>
            <w:vAlign w:val="center"/>
          </w:tcPr>
          <w:p w14:paraId="1D054688">
            <w:pPr>
              <w:pStyle w:val="12"/>
            </w:pPr>
            <w:r>
              <w:t>25%</w:t>
            </w:r>
          </w:p>
        </w:tc>
        <w:tc>
          <w:tcPr>
            <w:tcW w:w="2835" w:type="dxa"/>
            <w:vAlign w:val="center"/>
          </w:tcPr>
          <w:p w14:paraId="132C06BD">
            <w:pPr>
              <w:pStyle w:val="12"/>
            </w:pPr>
            <w:r>
              <w:t>50%</w:t>
            </w:r>
          </w:p>
        </w:tc>
        <w:tc>
          <w:tcPr>
            <w:tcW w:w="2551" w:type="dxa"/>
            <w:vAlign w:val="center"/>
          </w:tcPr>
          <w:p w14:paraId="473C06E2">
            <w:pPr>
              <w:pStyle w:val="12"/>
            </w:pPr>
            <w:r>
              <w:t>75%</w:t>
            </w:r>
          </w:p>
        </w:tc>
        <w:tc>
          <w:tcPr>
            <w:tcW w:w="3544" w:type="dxa"/>
            <w:gridSpan w:val="2"/>
            <w:vAlign w:val="center"/>
          </w:tcPr>
          <w:p w14:paraId="4D302819">
            <w:pPr>
              <w:pStyle w:val="12"/>
            </w:pPr>
            <w:r>
              <w:t>100%</w:t>
            </w:r>
          </w:p>
        </w:tc>
      </w:tr>
      <w:tr w14:paraId="063D3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B3772">
            <w:pPr>
              <w:pStyle w:val="11"/>
            </w:pPr>
            <w:r>
              <w:t>绩效目标</w:t>
            </w:r>
          </w:p>
        </w:tc>
        <w:tc>
          <w:tcPr>
            <w:tcW w:w="14033" w:type="dxa"/>
            <w:gridSpan w:val="6"/>
            <w:vAlign w:val="center"/>
          </w:tcPr>
          <w:p w14:paraId="36EFD130">
            <w:pPr>
              <w:pStyle w:val="13"/>
            </w:pPr>
            <w:r>
              <w:t>1.有效完成学校教学安全秩序，保障学校教学任务有效开展，满足学校正常教学需要。</w:t>
            </w:r>
          </w:p>
          <w:p w14:paraId="1A4A1E97">
            <w:pPr>
              <w:pStyle w:val="13"/>
            </w:pPr>
            <w:r>
              <w:t>2.按规定拨付公用经费资金，预算执行率≥98%。</w:t>
            </w:r>
          </w:p>
        </w:tc>
      </w:tr>
    </w:tbl>
    <w:p w14:paraId="4D8BC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A7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FF8B1">
            <w:pPr>
              <w:pStyle w:val="11"/>
            </w:pPr>
            <w:r>
              <w:t>一级指标</w:t>
            </w:r>
          </w:p>
        </w:tc>
        <w:tc>
          <w:tcPr>
            <w:tcW w:w="2268" w:type="dxa"/>
            <w:vAlign w:val="center"/>
          </w:tcPr>
          <w:p w14:paraId="281445DD">
            <w:pPr>
              <w:pStyle w:val="11"/>
            </w:pPr>
            <w:r>
              <w:t>二级指标</w:t>
            </w:r>
          </w:p>
        </w:tc>
        <w:tc>
          <w:tcPr>
            <w:tcW w:w="2835" w:type="dxa"/>
            <w:vAlign w:val="center"/>
          </w:tcPr>
          <w:p w14:paraId="7C9A3634">
            <w:pPr>
              <w:pStyle w:val="11"/>
            </w:pPr>
            <w:r>
              <w:t>三级指标</w:t>
            </w:r>
          </w:p>
        </w:tc>
        <w:tc>
          <w:tcPr>
            <w:tcW w:w="5386" w:type="dxa"/>
            <w:vAlign w:val="center"/>
          </w:tcPr>
          <w:p w14:paraId="28F67FDB">
            <w:pPr>
              <w:pStyle w:val="11"/>
            </w:pPr>
            <w:r>
              <w:t>绩效指标描述</w:t>
            </w:r>
          </w:p>
        </w:tc>
        <w:tc>
          <w:tcPr>
            <w:tcW w:w="2268" w:type="dxa"/>
            <w:vAlign w:val="center"/>
          </w:tcPr>
          <w:p w14:paraId="23C1EA2F">
            <w:pPr>
              <w:pStyle w:val="11"/>
            </w:pPr>
            <w:r>
              <w:t>指标值</w:t>
            </w:r>
          </w:p>
        </w:tc>
        <w:tc>
          <w:tcPr>
            <w:tcW w:w="1276" w:type="dxa"/>
            <w:vAlign w:val="center"/>
          </w:tcPr>
          <w:p w14:paraId="381293C1">
            <w:pPr>
              <w:pStyle w:val="11"/>
            </w:pPr>
            <w:r>
              <w:t>指标值确定依据</w:t>
            </w:r>
          </w:p>
        </w:tc>
      </w:tr>
      <w:tr w14:paraId="4503B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62616">
            <w:pPr>
              <w:pStyle w:val="12"/>
            </w:pPr>
            <w:r>
              <w:t>产出指标</w:t>
            </w:r>
          </w:p>
        </w:tc>
        <w:tc>
          <w:tcPr>
            <w:tcW w:w="2268" w:type="dxa"/>
            <w:vAlign w:val="center"/>
          </w:tcPr>
          <w:p w14:paraId="01C83B87">
            <w:pPr>
              <w:pStyle w:val="13"/>
            </w:pPr>
            <w:r>
              <w:t>数量指标</w:t>
            </w:r>
          </w:p>
        </w:tc>
        <w:tc>
          <w:tcPr>
            <w:tcW w:w="2835" w:type="dxa"/>
            <w:vAlign w:val="center"/>
          </w:tcPr>
          <w:p w14:paraId="05D03A67">
            <w:pPr>
              <w:pStyle w:val="13"/>
            </w:pPr>
            <w:r>
              <w:t>就读学生数</w:t>
            </w:r>
          </w:p>
        </w:tc>
        <w:tc>
          <w:tcPr>
            <w:tcW w:w="5386" w:type="dxa"/>
            <w:vAlign w:val="center"/>
          </w:tcPr>
          <w:p w14:paraId="6D75B760">
            <w:pPr>
              <w:pStyle w:val="13"/>
            </w:pPr>
            <w:r>
              <w:t>辐射区域内适龄学生人数</w:t>
            </w:r>
          </w:p>
        </w:tc>
        <w:tc>
          <w:tcPr>
            <w:tcW w:w="2268" w:type="dxa"/>
            <w:vAlign w:val="center"/>
          </w:tcPr>
          <w:p w14:paraId="230D4EBB">
            <w:pPr>
              <w:pStyle w:val="13"/>
            </w:pPr>
            <w:r>
              <w:t>40人</w:t>
            </w:r>
          </w:p>
        </w:tc>
        <w:tc>
          <w:tcPr>
            <w:tcW w:w="1276" w:type="dxa"/>
            <w:vAlign w:val="center"/>
          </w:tcPr>
          <w:p w14:paraId="61D58CB9">
            <w:pPr>
              <w:pStyle w:val="13"/>
            </w:pPr>
            <w:r>
              <w:t>城乡义务教育公用经费管理办法</w:t>
            </w:r>
          </w:p>
        </w:tc>
      </w:tr>
      <w:tr w14:paraId="45DBA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381A5"/>
        </w:tc>
        <w:tc>
          <w:tcPr>
            <w:tcW w:w="2268" w:type="dxa"/>
            <w:vAlign w:val="center"/>
          </w:tcPr>
          <w:p w14:paraId="7922738C">
            <w:pPr>
              <w:pStyle w:val="13"/>
            </w:pPr>
            <w:r>
              <w:t>质量指标</w:t>
            </w:r>
          </w:p>
        </w:tc>
        <w:tc>
          <w:tcPr>
            <w:tcW w:w="2835" w:type="dxa"/>
            <w:vAlign w:val="center"/>
          </w:tcPr>
          <w:p w14:paraId="05022FA5">
            <w:pPr>
              <w:pStyle w:val="13"/>
            </w:pPr>
            <w:r>
              <w:t>预算执行率</w:t>
            </w:r>
          </w:p>
        </w:tc>
        <w:tc>
          <w:tcPr>
            <w:tcW w:w="5386" w:type="dxa"/>
            <w:vAlign w:val="center"/>
          </w:tcPr>
          <w:p w14:paraId="6DCEA225">
            <w:pPr>
              <w:pStyle w:val="13"/>
            </w:pPr>
            <w:r>
              <w:t>预算执行率</w:t>
            </w:r>
          </w:p>
        </w:tc>
        <w:tc>
          <w:tcPr>
            <w:tcW w:w="2268" w:type="dxa"/>
            <w:vAlign w:val="center"/>
          </w:tcPr>
          <w:p w14:paraId="5C600B44">
            <w:pPr>
              <w:pStyle w:val="13"/>
            </w:pPr>
            <w:r>
              <w:t>≥98%</w:t>
            </w:r>
          </w:p>
        </w:tc>
        <w:tc>
          <w:tcPr>
            <w:tcW w:w="1276" w:type="dxa"/>
            <w:vAlign w:val="center"/>
          </w:tcPr>
          <w:p w14:paraId="5F6D0CCE">
            <w:pPr>
              <w:pStyle w:val="13"/>
            </w:pPr>
            <w:r>
              <w:t>城乡义务教育公用经费管理办法</w:t>
            </w:r>
          </w:p>
        </w:tc>
      </w:tr>
      <w:tr w14:paraId="4A093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24330"/>
        </w:tc>
        <w:tc>
          <w:tcPr>
            <w:tcW w:w="2268" w:type="dxa"/>
            <w:vAlign w:val="center"/>
          </w:tcPr>
          <w:p w14:paraId="01110895">
            <w:pPr>
              <w:pStyle w:val="13"/>
            </w:pPr>
            <w:r>
              <w:t>时效指标</w:t>
            </w:r>
          </w:p>
        </w:tc>
        <w:tc>
          <w:tcPr>
            <w:tcW w:w="2835" w:type="dxa"/>
            <w:vAlign w:val="center"/>
          </w:tcPr>
          <w:p w14:paraId="3E0B8AE6">
            <w:pPr>
              <w:pStyle w:val="13"/>
            </w:pPr>
            <w:r>
              <w:t>义教经费支付完成率</w:t>
            </w:r>
          </w:p>
        </w:tc>
        <w:tc>
          <w:tcPr>
            <w:tcW w:w="5386" w:type="dxa"/>
            <w:vAlign w:val="center"/>
          </w:tcPr>
          <w:p w14:paraId="2B72B274">
            <w:pPr>
              <w:pStyle w:val="13"/>
            </w:pPr>
            <w:r>
              <w:t>按照序时进度完成资金支付</w:t>
            </w:r>
          </w:p>
        </w:tc>
        <w:tc>
          <w:tcPr>
            <w:tcW w:w="2268" w:type="dxa"/>
            <w:vAlign w:val="center"/>
          </w:tcPr>
          <w:p w14:paraId="3D5AAA40">
            <w:pPr>
              <w:pStyle w:val="13"/>
            </w:pPr>
            <w:r>
              <w:t>≥100%</w:t>
            </w:r>
          </w:p>
        </w:tc>
        <w:tc>
          <w:tcPr>
            <w:tcW w:w="1276" w:type="dxa"/>
            <w:vAlign w:val="center"/>
          </w:tcPr>
          <w:p w14:paraId="21ABA51D">
            <w:pPr>
              <w:pStyle w:val="13"/>
            </w:pPr>
            <w:r>
              <w:t>城乡义务教育公用经费管理办法</w:t>
            </w:r>
          </w:p>
        </w:tc>
      </w:tr>
      <w:tr w14:paraId="1E556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3D328"/>
        </w:tc>
        <w:tc>
          <w:tcPr>
            <w:tcW w:w="2268" w:type="dxa"/>
            <w:vAlign w:val="center"/>
          </w:tcPr>
          <w:p w14:paraId="664E18DB">
            <w:pPr>
              <w:pStyle w:val="13"/>
            </w:pPr>
            <w:r>
              <w:t>成本指标</w:t>
            </w:r>
          </w:p>
        </w:tc>
        <w:tc>
          <w:tcPr>
            <w:tcW w:w="2835" w:type="dxa"/>
            <w:vAlign w:val="center"/>
          </w:tcPr>
          <w:p w14:paraId="116B9EB9">
            <w:pPr>
              <w:pStyle w:val="13"/>
            </w:pPr>
            <w:r>
              <w:t>生均拨款标准</w:t>
            </w:r>
          </w:p>
        </w:tc>
        <w:tc>
          <w:tcPr>
            <w:tcW w:w="5386" w:type="dxa"/>
            <w:vAlign w:val="center"/>
          </w:tcPr>
          <w:p w14:paraId="41E45A12">
            <w:pPr>
              <w:pStyle w:val="13"/>
            </w:pPr>
            <w:r>
              <w:t>小学：（基本标准720元、寄宿生300元、生活补助120元）/生/学年；特教、随班就读学生：标准7000元/生/学年</w:t>
            </w:r>
          </w:p>
        </w:tc>
        <w:tc>
          <w:tcPr>
            <w:tcW w:w="2268" w:type="dxa"/>
            <w:vAlign w:val="center"/>
          </w:tcPr>
          <w:p w14:paraId="4C86F6F0">
            <w:pPr>
              <w:pStyle w:val="13"/>
            </w:pPr>
            <w:r>
              <w:t>840元</w:t>
            </w:r>
          </w:p>
        </w:tc>
        <w:tc>
          <w:tcPr>
            <w:tcW w:w="1276" w:type="dxa"/>
            <w:vAlign w:val="center"/>
          </w:tcPr>
          <w:p w14:paraId="33F2044D">
            <w:pPr>
              <w:pStyle w:val="13"/>
            </w:pPr>
            <w:r>
              <w:t>城乡义务教育公用经费管理办法</w:t>
            </w:r>
          </w:p>
        </w:tc>
      </w:tr>
      <w:tr w14:paraId="78B34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7399AF">
            <w:pPr>
              <w:pStyle w:val="12"/>
            </w:pPr>
            <w:r>
              <w:t>效益指标</w:t>
            </w:r>
          </w:p>
        </w:tc>
        <w:tc>
          <w:tcPr>
            <w:tcW w:w="2268" w:type="dxa"/>
            <w:vAlign w:val="center"/>
          </w:tcPr>
          <w:p w14:paraId="295153BB">
            <w:pPr>
              <w:pStyle w:val="13"/>
            </w:pPr>
            <w:r>
              <w:t>社会效益指标</w:t>
            </w:r>
          </w:p>
        </w:tc>
        <w:tc>
          <w:tcPr>
            <w:tcW w:w="2835" w:type="dxa"/>
            <w:vAlign w:val="center"/>
          </w:tcPr>
          <w:p w14:paraId="75BC9180">
            <w:pPr>
              <w:pStyle w:val="13"/>
            </w:pPr>
            <w:r>
              <w:t>学校稳定率</w:t>
            </w:r>
          </w:p>
        </w:tc>
        <w:tc>
          <w:tcPr>
            <w:tcW w:w="5386" w:type="dxa"/>
            <w:vAlign w:val="center"/>
          </w:tcPr>
          <w:p w14:paraId="6A9DC5E8">
            <w:pPr>
              <w:pStyle w:val="13"/>
            </w:pPr>
            <w:r>
              <w:t>维护学校稳定，保障学校正常教学秩序有效开展</w:t>
            </w:r>
          </w:p>
        </w:tc>
        <w:tc>
          <w:tcPr>
            <w:tcW w:w="2268" w:type="dxa"/>
            <w:vAlign w:val="center"/>
          </w:tcPr>
          <w:p w14:paraId="60083CBB">
            <w:pPr>
              <w:pStyle w:val="13"/>
            </w:pPr>
            <w:r>
              <w:t>≥100%</w:t>
            </w:r>
          </w:p>
        </w:tc>
        <w:tc>
          <w:tcPr>
            <w:tcW w:w="1276" w:type="dxa"/>
            <w:vAlign w:val="center"/>
          </w:tcPr>
          <w:p w14:paraId="1A973064">
            <w:pPr>
              <w:pStyle w:val="13"/>
            </w:pPr>
            <w:r>
              <w:t>城乡义务教育公用经费管理办法</w:t>
            </w:r>
          </w:p>
        </w:tc>
      </w:tr>
      <w:tr w14:paraId="59C84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B2260E">
            <w:pPr>
              <w:pStyle w:val="12"/>
            </w:pPr>
            <w:r>
              <w:t>满意度指标</w:t>
            </w:r>
          </w:p>
        </w:tc>
        <w:tc>
          <w:tcPr>
            <w:tcW w:w="2268" w:type="dxa"/>
            <w:vAlign w:val="center"/>
          </w:tcPr>
          <w:p w14:paraId="23DF24B4">
            <w:pPr>
              <w:pStyle w:val="13"/>
            </w:pPr>
            <w:r>
              <w:t>服务对象满意度指标</w:t>
            </w:r>
          </w:p>
        </w:tc>
        <w:tc>
          <w:tcPr>
            <w:tcW w:w="2835" w:type="dxa"/>
            <w:vAlign w:val="center"/>
          </w:tcPr>
          <w:p w14:paraId="2FBA7D17">
            <w:pPr>
              <w:pStyle w:val="13"/>
            </w:pPr>
            <w:r>
              <w:t>家长和学生满意度</w:t>
            </w:r>
          </w:p>
        </w:tc>
        <w:tc>
          <w:tcPr>
            <w:tcW w:w="5386" w:type="dxa"/>
            <w:vAlign w:val="center"/>
          </w:tcPr>
          <w:p w14:paraId="413C2A0F">
            <w:pPr>
              <w:pStyle w:val="13"/>
            </w:pPr>
            <w:r>
              <w:t>家长和学生满意度</w:t>
            </w:r>
          </w:p>
        </w:tc>
        <w:tc>
          <w:tcPr>
            <w:tcW w:w="2268" w:type="dxa"/>
            <w:vAlign w:val="center"/>
          </w:tcPr>
          <w:p w14:paraId="68B325E5">
            <w:pPr>
              <w:pStyle w:val="13"/>
            </w:pPr>
            <w:r>
              <w:t>≥95%</w:t>
            </w:r>
          </w:p>
        </w:tc>
        <w:tc>
          <w:tcPr>
            <w:tcW w:w="1276" w:type="dxa"/>
            <w:vAlign w:val="center"/>
          </w:tcPr>
          <w:p w14:paraId="49491E6A">
            <w:pPr>
              <w:pStyle w:val="13"/>
            </w:pPr>
            <w:r>
              <w:t>问卷调查</w:t>
            </w:r>
          </w:p>
        </w:tc>
      </w:tr>
    </w:tbl>
    <w:p w14:paraId="2D6618F8">
      <w:pPr>
        <w:sectPr>
          <w:pgSz w:w="16840" w:h="11900" w:orient="landscape"/>
          <w:pgMar w:top="1361" w:right="1020" w:bottom="1134" w:left="1020" w:header="720" w:footer="720" w:gutter="0"/>
          <w:cols w:space="720" w:num="1"/>
        </w:sectPr>
      </w:pPr>
    </w:p>
    <w:p w14:paraId="2CBEA8C8">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7、冀财教[2024]123号/中央/2025年义教补助经费/南杨楼小学公用经费绩效目标表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A9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3507D">
            <w:pPr>
              <w:pStyle w:val="14"/>
            </w:pPr>
            <w:r>
              <w:t>单位：万元</w:t>
            </w:r>
          </w:p>
        </w:tc>
      </w:tr>
      <w:tr w14:paraId="70239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D9E681">
            <w:pPr>
              <w:pStyle w:val="11"/>
            </w:pPr>
            <w:r>
              <w:t>项目编码</w:t>
            </w:r>
          </w:p>
        </w:tc>
        <w:tc>
          <w:tcPr>
            <w:tcW w:w="5103" w:type="dxa"/>
            <w:gridSpan w:val="2"/>
            <w:vAlign w:val="center"/>
          </w:tcPr>
          <w:p w14:paraId="071CC0AE">
            <w:pPr>
              <w:pStyle w:val="13"/>
            </w:pPr>
            <w:r>
              <w:t>13052525P000004100342</w:t>
            </w:r>
          </w:p>
        </w:tc>
        <w:tc>
          <w:tcPr>
            <w:tcW w:w="2835" w:type="dxa"/>
            <w:vAlign w:val="center"/>
          </w:tcPr>
          <w:p w14:paraId="4D5C6349">
            <w:pPr>
              <w:pStyle w:val="11"/>
            </w:pPr>
            <w:r>
              <w:t>项目名称</w:t>
            </w:r>
          </w:p>
        </w:tc>
        <w:tc>
          <w:tcPr>
            <w:tcW w:w="6095" w:type="dxa"/>
            <w:gridSpan w:val="3"/>
            <w:vAlign w:val="center"/>
          </w:tcPr>
          <w:p w14:paraId="4463F868">
            <w:pPr>
              <w:pStyle w:val="13"/>
            </w:pPr>
            <w:r>
              <w:t>冀财教[2024]123号/中央/2025年义教补助经费/南杨楼小学公用经费</w:t>
            </w:r>
          </w:p>
        </w:tc>
      </w:tr>
      <w:tr w14:paraId="06387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390B3">
            <w:pPr>
              <w:pStyle w:val="11"/>
            </w:pPr>
            <w:r>
              <w:t>预算规模及资金用途</w:t>
            </w:r>
          </w:p>
        </w:tc>
        <w:tc>
          <w:tcPr>
            <w:tcW w:w="2268" w:type="dxa"/>
            <w:vAlign w:val="center"/>
          </w:tcPr>
          <w:p w14:paraId="19169DFB">
            <w:pPr>
              <w:pStyle w:val="11"/>
            </w:pPr>
            <w:r>
              <w:t>预算数</w:t>
            </w:r>
          </w:p>
        </w:tc>
        <w:tc>
          <w:tcPr>
            <w:tcW w:w="2835" w:type="dxa"/>
            <w:vAlign w:val="center"/>
          </w:tcPr>
          <w:p w14:paraId="0A25B05D">
            <w:pPr>
              <w:pStyle w:val="13"/>
            </w:pPr>
            <w:r>
              <w:t>5.71</w:t>
            </w:r>
          </w:p>
        </w:tc>
        <w:tc>
          <w:tcPr>
            <w:tcW w:w="2835" w:type="dxa"/>
            <w:vAlign w:val="center"/>
          </w:tcPr>
          <w:p w14:paraId="6D616456">
            <w:pPr>
              <w:pStyle w:val="11"/>
            </w:pPr>
            <w:r>
              <w:t>其中：财政    资金</w:t>
            </w:r>
          </w:p>
        </w:tc>
        <w:tc>
          <w:tcPr>
            <w:tcW w:w="2551" w:type="dxa"/>
            <w:vAlign w:val="center"/>
          </w:tcPr>
          <w:p w14:paraId="7D0C0F9C">
            <w:pPr>
              <w:pStyle w:val="13"/>
            </w:pPr>
            <w:r>
              <w:t>5.71</w:t>
            </w:r>
          </w:p>
        </w:tc>
        <w:tc>
          <w:tcPr>
            <w:tcW w:w="2268" w:type="dxa"/>
            <w:vAlign w:val="center"/>
          </w:tcPr>
          <w:p w14:paraId="7F682C0B">
            <w:pPr>
              <w:pStyle w:val="11"/>
            </w:pPr>
            <w:r>
              <w:t>其他资金</w:t>
            </w:r>
          </w:p>
        </w:tc>
        <w:tc>
          <w:tcPr>
            <w:tcW w:w="1276" w:type="dxa"/>
            <w:vAlign w:val="center"/>
          </w:tcPr>
          <w:p w14:paraId="47F3245E">
            <w:pPr>
              <w:pStyle w:val="13"/>
            </w:pPr>
            <w:r>
              <w:t xml:space="preserve"> </w:t>
            </w:r>
          </w:p>
        </w:tc>
      </w:tr>
      <w:tr w14:paraId="164C8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99223"/>
        </w:tc>
        <w:tc>
          <w:tcPr>
            <w:tcW w:w="14033" w:type="dxa"/>
            <w:gridSpan w:val="6"/>
            <w:vAlign w:val="center"/>
          </w:tcPr>
          <w:p w14:paraId="34482CE2">
            <w:pPr>
              <w:pStyle w:val="13"/>
            </w:pPr>
            <w:r>
              <w:t>有效完成学校教学安全秩序，保障学校教学任务有效开展，满足学校正常教学需要。</w:t>
            </w:r>
          </w:p>
        </w:tc>
      </w:tr>
      <w:tr w14:paraId="2FC4F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DBAAD">
            <w:pPr>
              <w:pStyle w:val="11"/>
            </w:pPr>
            <w:r>
              <w:t>资金支出计划（%）</w:t>
            </w:r>
          </w:p>
        </w:tc>
        <w:tc>
          <w:tcPr>
            <w:tcW w:w="5103" w:type="dxa"/>
            <w:gridSpan w:val="2"/>
            <w:vAlign w:val="center"/>
          </w:tcPr>
          <w:p w14:paraId="7A39A278">
            <w:pPr>
              <w:pStyle w:val="11"/>
            </w:pPr>
            <w:r>
              <w:t>3月底</w:t>
            </w:r>
          </w:p>
        </w:tc>
        <w:tc>
          <w:tcPr>
            <w:tcW w:w="2835" w:type="dxa"/>
            <w:vAlign w:val="center"/>
          </w:tcPr>
          <w:p w14:paraId="3D4FCFEB">
            <w:pPr>
              <w:pStyle w:val="11"/>
            </w:pPr>
            <w:r>
              <w:t>6月底</w:t>
            </w:r>
          </w:p>
        </w:tc>
        <w:tc>
          <w:tcPr>
            <w:tcW w:w="2551" w:type="dxa"/>
            <w:vAlign w:val="center"/>
          </w:tcPr>
          <w:p w14:paraId="2B1E3E0F">
            <w:pPr>
              <w:pStyle w:val="11"/>
            </w:pPr>
            <w:r>
              <w:t>10月底</w:t>
            </w:r>
          </w:p>
        </w:tc>
        <w:tc>
          <w:tcPr>
            <w:tcW w:w="3544" w:type="dxa"/>
            <w:gridSpan w:val="2"/>
            <w:vAlign w:val="center"/>
          </w:tcPr>
          <w:p w14:paraId="0747118A">
            <w:pPr>
              <w:pStyle w:val="11"/>
            </w:pPr>
            <w:r>
              <w:t>12月底</w:t>
            </w:r>
          </w:p>
        </w:tc>
      </w:tr>
      <w:tr w14:paraId="4F1BA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6664F4"/>
        </w:tc>
        <w:tc>
          <w:tcPr>
            <w:tcW w:w="5103" w:type="dxa"/>
            <w:gridSpan w:val="2"/>
            <w:vAlign w:val="center"/>
          </w:tcPr>
          <w:p w14:paraId="0413AE50">
            <w:pPr>
              <w:pStyle w:val="12"/>
            </w:pPr>
            <w:r>
              <w:t>25%</w:t>
            </w:r>
          </w:p>
        </w:tc>
        <w:tc>
          <w:tcPr>
            <w:tcW w:w="2835" w:type="dxa"/>
            <w:vAlign w:val="center"/>
          </w:tcPr>
          <w:p w14:paraId="25C95D8D">
            <w:pPr>
              <w:pStyle w:val="12"/>
            </w:pPr>
            <w:r>
              <w:t>50%</w:t>
            </w:r>
          </w:p>
        </w:tc>
        <w:tc>
          <w:tcPr>
            <w:tcW w:w="2551" w:type="dxa"/>
            <w:vAlign w:val="center"/>
          </w:tcPr>
          <w:p w14:paraId="2606983F">
            <w:pPr>
              <w:pStyle w:val="12"/>
            </w:pPr>
            <w:r>
              <w:t>75%</w:t>
            </w:r>
          </w:p>
        </w:tc>
        <w:tc>
          <w:tcPr>
            <w:tcW w:w="3544" w:type="dxa"/>
            <w:gridSpan w:val="2"/>
            <w:vAlign w:val="center"/>
          </w:tcPr>
          <w:p w14:paraId="7131702D">
            <w:pPr>
              <w:pStyle w:val="12"/>
            </w:pPr>
            <w:r>
              <w:t>100%</w:t>
            </w:r>
          </w:p>
        </w:tc>
      </w:tr>
      <w:tr w14:paraId="7E07D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D40EEF">
            <w:pPr>
              <w:pStyle w:val="11"/>
            </w:pPr>
            <w:r>
              <w:t>绩效目标</w:t>
            </w:r>
          </w:p>
        </w:tc>
        <w:tc>
          <w:tcPr>
            <w:tcW w:w="14033" w:type="dxa"/>
            <w:gridSpan w:val="6"/>
            <w:vAlign w:val="center"/>
          </w:tcPr>
          <w:p w14:paraId="2688D4F4">
            <w:pPr>
              <w:pStyle w:val="13"/>
            </w:pPr>
            <w:r>
              <w:t>1.按规定拨付公用经费资金，预算执行率≥98%。</w:t>
            </w:r>
          </w:p>
          <w:p w14:paraId="34AD9216">
            <w:pPr>
              <w:pStyle w:val="13"/>
            </w:pPr>
            <w:r>
              <w:t>2.有效完成学校教学安全秩序，保障学校教学任务有效开展，满足学校正常教学需要。</w:t>
            </w:r>
          </w:p>
        </w:tc>
      </w:tr>
    </w:tbl>
    <w:p w14:paraId="49B3A2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39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D06105F">
            <w:pPr>
              <w:pStyle w:val="11"/>
            </w:pPr>
            <w:r>
              <w:t>一级指标</w:t>
            </w:r>
          </w:p>
        </w:tc>
        <w:tc>
          <w:tcPr>
            <w:tcW w:w="2268" w:type="dxa"/>
            <w:vAlign w:val="center"/>
          </w:tcPr>
          <w:p w14:paraId="32E4D653">
            <w:pPr>
              <w:pStyle w:val="11"/>
            </w:pPr>
            <w:r>
              <w:t>二级指标</w:t>
            </w:r>
          </w:p>
        </w:tc>
        <w:tc>
          <w:tcPr>
            <w:tcW w:w="2835" w:type="dxa"/>
            <w:vAlign w:val="center"/>
          </w:tcPr>
          <w:p w14:paraId="25428F20">
            <w:pPr>
              <w:pStyle w:val="11"/>
            </w:pPr>
            <w:r>
              <w:t>三级指标</w:t>
            </w:r>
          </w:p>
        </w:tc>
        <w:tc>
          <w:tcPr>
            <w:tcW w:w="5386" w:type="dxa"/>
            <w:vAlign w:val="center"/>
          </w:tcPr>
          <w:p w14:paraId="13E160F7">
            <w:pPr>
              <w:pStyle w:val="11"/>
            </w:pPr>
            <w:r>
              <w:t>绩效指标描述</w:t>
            </w:r>
          </w:p>
        </w:tc>
        <w:tc>
          <w:tcPr>
            <w:tcW w:w="2268" w:type="dxa"/>
            <w:vAlign w:val="center"/>
          </w:tcPr>
          <w:p w14:paraId="7230DFF6">
            <w:pPr>
              <w:pStyle w:val="11"/>
            </w:pPr>
            <w:r>
              <w:t>指标值</w:t>
            </w:r>
          </w:p>
        </w:tc>
        <w:tc>
          <w:tcPr>
            <w:tcW w:w="1276" w:type="dxa"/>
            <w:vAlign w:val="center"/>
          </w:tcPr>
          <w:p w14:paraId="3B847246">
            <w:pPr>
              <w:pStyle w:val="11"/>
            </w:pPr>
            <w:r>
              <w:t>指标值确定依据</w:t>
            </w:r>
          </w:p>
        </w:tc>
      </w:tr>
      <w:tr w14:paraId="27B67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5C83C">
            <w:pPr>
              <w:pStyle w:val="12"/>
            </w:pPr>
            <w:r>
              <w:t>产出指标</w:t>
            </w:r>
          </w:p>
        </w:tc>
        <w:tc>
          <w:tcPr>
            <w:tcW w:w="2268" w:type="dxa"/>
            <w:vAlign w:val="center"/>
          </w:tcPr>
          <w:p w14:paraId="3A81FDF5">
            <w:pPr>
              <w:pStyle w:val="13"/>
            </w:pPr>
            <w:r>
              <w:t>数量指标</w:t>
            </w:r>
          </w:p>
        </w:tc>
        <w:tc>
          <w:tcPr>
            <w:tcW w:w="2835" w:type="dxa"/>
            <w:vAlign w:val="center"/>
          </w:tcPr>
          <w:p w14:paraId="28CDEFF9">
            <w:pPr>
              <w:pStyle w:val="13"/>
            </w:pPr>
            <w:r>
              <w:t>就读学生数</w:t>
            </w:r>
          </w:p>
        </w:tc>
        <w:tc>
          <w:tcPr>
            <w:tcW w:w="5386" w:type="dxa"/>
            <w:vAlign w:val="center"/>
          </w:tcPr>
          <w:p w14:paraId="68DD5B48">
            <w:pPr>
              <w:pStyle w:val="13"/>
            </w:pPr>
            <w:r>
              <w:t>辐射区域内适龄学生人数</w:t>
            </w:r>
          </w:p>
        </w:tc>
        <w:tc>
          <w:tcPr>
            <w:tcW w:w="2268" w:type="dxa"/>
            <w:vAlign w:val="center"/>
          </w:tcPr>
          <w:p w14:paraId="5D1D3A00">
            <w:pPr>
              <w:pStyle w:val="13"/>
            </w:pPr>
            <w:r>
              <w:t>31人</w:t>
            </w:r>
          </w:p>
        </w:tc>
        <w:tc>
          <w:tcPr>
            <w:tcW w:w="1276" w:type="dxa"/>
            <w:vAlign w:val="center"/>
          </w:tcPr>
          <w:p w14:paraId="06F6F9E2">
            <w:pPr>
              <w:pStyle w:val="13"/>
            </w:pPr>
            <w:r>
              <w:t>城乡义务教育公用经费管理办法</w:t>
            </w:r>
          </w:p>
        </w:tc>
      </w:tr>
      <w:tr w14:paraId="41722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A09D7"/>
        </w:tc>
        <w:tc>
          <w:tcPr>
            <w:tcW w:w="2268" w:type="dxa"/>
            <w:vAlign w:val="center"/>
          </w:tcPr>
          <w:p w14:paraId="333AA64F">
            <w:pPr>
              <w:pStyle w:val="13"/>
            </w:pPr>
            <w:r>
              <w:t>质量指标</w:t>
            </w:r>
          </w:p>
        </w:tc>
        <w:tc>
          <w:tcPr>
            <w:tcW w:w="2835" w:type="dxa"/>
            <w:vAlign w:val="center"/>
          </w:tcPr>
          <w:p w14:paraId="71BF41AD">
            <w:pPr>
              <w:pStyle w:val="13"/>
            </w:pPr>
            <w:r>
              <w:t>预算执行率</w:t>
            </w:r>
          </w:p>
        </w:tc>
        <w:tc>
          <w:tcPr>
            <w:tcW w:w="5386" w:type="dxa"/>
            <w:vAlign w:val="center"/>
          </w:tcPr>
          <w:p w14:paraId="7A25B473">
            <w:pPr>
              <w:pStyle w:val="13"/>
            </w:pPr>
            <w:r>
              <w:t>预算执行率</w:t>
            </w:r>
          </w:p>
        </w:tc>
        <w:tc>
          <w:tcPr>
            <w:tcW w:w="2268" w:type="dxa"/>
            <w:vAlign w:val="center"/>
          </w:tcPr>
          <w:p w14:paraId="0D196D97">
            <w:pPr>
              <w:pStyle w:val="13"/>
            </w:pPr>
            <w:r>
              <w:t>≥98%</w:t>
            </w:r>
          </w:p>
        </w:tc>
        <w:tc>
          <w:tcPr>
            <w:tcW w:w="1276" w:type="dxa"/>
            <w:vAlign w:val="center"/>
          </w:tcPr>
          <w:p w14:paraId="687051FC">
            <w:pPr>
              <w:pStyle w:val="13"/>
            </w:pPr>
            <w:r>
              <w:t>城乡义务教育公用经费管理办法</w:t>
            </w:r>
          </w:p>
        </w:tc>
      </w:tr>
      <w:tr w14:paraId="7FC89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4ADBF"/>
        </w:tc>
        <w:tc>
          <w:tcPr>
            <w:tcW w:w="2268" w:type="dxa"/>
            <w:vAlign w:val="center"/>
          </w:tcPr>
          <w:p w14:paraId="64A7402C">
            <w:pPr>
              <w:pStyle w:val="13"/>
            </w:pPr>
            <w:r>
              <w:t>时效指标</w:t>
            </w:r>
          </w:p>
        </w:tc>
        <w:tc>
          <w:tcPr>
            <w:tcW w:w="2835" w:type="dxa"/>
            <w:vAlign w:val="center"/>
          </w:tcPr>
          <w:p w14:paraId="4D66DA21">
            <w:pPr>
              <w:pStyle w:val="13"/>
            </w:pPr>
            <w:r>
              <w:t>义教经费支付完成率</w:t>
            </w:r>
          </w:p>
        </w:tc>
        <w:tc>
          <w:tcPr>
            <w:tcW w:w="5386" w:type="dxa"/>
            <w:vAlign w:val="center"/>
          </w:tcPr>
          <w:p w14:paraId="002D126E">
            <w:pPr>
              <w:pStyle w:val="13"/>
            </w:pPr>
            <w:r>
              <w:t>按照序时进度完成资金支付</w:t>
            </w:r>
          </w:p>
        </w:tc>
        <w:tc>
          <w:tcPr>
            <w:tcW w:w="2268" w:type="dxa"/>
            <w:vAlign w:val="center"/>
          </w:tcPr>
          <w:p w14:paraId="7C6023A3">
            <w:pPr>
              <w:pStyle w:val="13"/>
            </w:pPr>
            <w:r>
              <w:t>≥100%</w:t>
            </w:r>
          </w:p>
        </w:tc>
        <w:tc>
          <w:tcPr>
            <w:tcW w:w="1276" w:type="dxa"/>
            <w:vAlign w:val="center"/>
          </w:tcPr>
          <w:p w14:paraId="498C9658">
            <w:pPr>
              <w:pStyle w:val="13"/>
            </w:pPr>
            <w:r>
              <w:t>城乡义务教育公用经费管理办法</w:t>
            </w:r>
          </w:p>
        </w:tc>
      </w:tr>
      <w:tr w14:paraId="389FD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F9EE4"/>
        </w:tc>
        <w:tc>
          <w:tcPr>
            <w:tcW w:w="2268" w:type="dxa"/>
            <w:vAlign w:val="center"/>
          </w:tcPr>
          <w:p w14:paraId="7D83506A">
            <w:pPr>
              <w:pStyle w:val="13"/>
            </w:pPr>
            <w:r>
              <w:t>成本指标</w:t>
            </w:r>
          </w:p>
        </w:tc>
        <w:tc>
          <w:tcPr>
            <w:tcW w:w="2835" w:type="dxa"/>
            <w:vAlign w:val="center"/>
          </w:tcPr>
          <w:p w14:paraId="7AFC1EAF">
            <w:pPr>
              <w:pStyle w:val="13"/>
            </w:pPr>
            <w:r>
              <w:t>生均拨款标准</w:t>
            </w:r>
          </w:p>
        </w:tc>
        <w:tc>
          <w:tcPr>
            <w:tcW w:w="5386" w:type="dxa"/>
            <w:vAlign w:val="center"/>
          </w:tcPr>
          <w:p w14:paraId="49CFB110">
            <w:pPr>
              <w:pStyle w:val="13"/>
            </w:pPr>
            <w:r>
              <w:t>小学：（基本标准720元、寄宿生300元、生活补助120元）/生/学年；特教、随班就读学生：标准7000元/生/学年</w:t>
            </w:r>
          </w:p>
        </w:tc>
        <w:tc>
          <w:tcPr>
            <w:tcW w:w="2268" w:type="dxa"/>
            <w:vAlign w:val="center"/>
          </w:tcPr>
          <w:p w14:paraId="092EB665">
            <w:pPr>
              <w:pStyle w:val="13"/>
            </w:pPr>
            <w:r>
              <w:t>840元</w:t>
            </w:r>
          </w:p>
        </w:tc>
        <w:tc>
          <w:tcPr>
            <w:tcW w:w="1276" w:type="dxa"/>
            <w:vAlign w:val="center"/>
          </w:tcPr>
          <w:p w14:paraId="48A5FCC7">
            <w:pPr>
              <w:pStyle w:val="13"/>
            </w:pPr>
            <w:r>
              <w:t>城乡义务教育公用经费管理办法</w:t>
            </w:r>
          </w:p>
        </w:tc>
      </w:tr>
      <w:tr w14:paraId="0E196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06AB28">
            <w:pPr>
              <w:pStyle w:val="12"/>
            </w:pPr>
            <w:r>
              <w:t>效益指标</w:t>
            </w:r>
          </w:p>
        </w:tc>
        <w:tc>
          <w:tcPr>
            <w:tcW w:w="2268" w:type="dxa"/>
            <w:vAlign w:val="center"/>
          </w:tcPr>
          <w:p w14:paraId="4D47FE17">
            <w:pPr>
              <w:pStyle w:val="13"/>
            </w:pPr>
            <w:r>
              <w:t>社会效益指标</w:t>
            </w:r>
          </w:p>
        </w:tc>
        <w:tc>
          <w:tcPr>
            <w:tcW w:w="2835" w:type="dxa"/>
            <w:vAlign w:val="center"/>
          </w:tcPr>
          <w:p w14:paraId="5983448C">
            <w:pPr>
              <w:pStyle w:val="13"/>
            </w:pPr>
            <w:r>
              <w:t>学校稳定率</w:t>
            </w:r>
          </w:p>
        </w:tc>
        <w:tc>
          <w:tcPr>
            <w:tcW w:w="5386" w:type="dxa"/>
            <w:vAlign w:val="center"/>
          </w:tcPr>
          <w:p w14:paraId="4303142A">
            <w:pPr>
              <w:pStyle w:val="13"/>
            </w:pPr>
            <w:r>
              <w:t>维护学校稳定，保障学校正常教学秩序有效开展</w:t>
            </w:r>
          </w:p>
        </w:tc>
        <w:tc>
          <w:tcPr>
            <w:tcW w:w="2268" w:type="dxa"/>
            <w:vAlign w:val="center"/>
          </w:tcPr>
          <w:p w14:paraId="5FB647EF">
            <w:pPr>
              <w:pStyle w:val="13"/>
            </w:pPr>
            <w:r>
              <w:t>≥100%</w:t>
            </w:r>
          </w:p>
        </w:tc>
        <w:tc>
          <w:tcPr>
            <w:tcW w:w="1276" w:type="dxa"/>
            <w:vAlign w:val="center"/>
          </w:tcPr>
          <w:p w14:paraId="76D0663A">
            <w:pPr>
              <w:pStyle w:val="13"/>
            </w:pPr>
            <w:r>
              <w:t>城乡义务教育公用经费管理办法</w:t>
            </w:r>
          </w:p>
        </w:tc>
      </w:tr>
      <w:tr w14:paraId="54962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DD1410">
            <w:pPr>
              <w:pStyle w:val="12"/>
            </w:pPr>
            <w:r>
              <w:t>满意度指标</w:t>
            </w:r>
          </w:p>
        </w:tc>
        <w:tc>
          <w:tcPr>
            <w:tcW w:w="2268" w:type="dxa"/>
            <w:vAlign w:val="center"/>
          </w:tcPr>
          <w:p w14:paraId="15A6AC86">
            <w:pPr>
              <w:pStyle w:val="13"/>
            </w:pPr>
            <w:r>
              <w:t>服务对象满意度指标</w:t>
            </w:r>
          </w:p>
        </w:tc>
        <w:tc>
          <w:tcPr>
            <w:tcW w:w="2835" w:type="dxa"/>
            <w:vAlign w:val="center"/>
          </w:tcPr>
          <w:p w14:paraId="0B1FFFCB">
            <w:pPr>
              <w:pStyle w:val="13"/>
            </w:pPr>
            <w:r>
              <w:t>家长和学生满意度</w:t>
            </w:r>
          </w:p>
        </w:tc>
        <w:tc>
          <w:tcPr>
            <w:tcW w:w="5386" w:type="dxa"/>
            <w:vAlign w:val="center"/>
          </w:tcPr>
          <w:p w14:paraId="08597F1E">
            <w:pPr>
              <w:pStyle w:val="13"/>
            </w:pPr>
            <w:r>
              <w:t>家长和学生满意度</w:t>
            </w:r>
          </w:p>
        </w:tc>
        <w:tc>
          <w:tcPr>
            <w:tcW w:w="2268" w:type="dxa"/>
            <w:vAlign w:val="center"/>
          </w:tcPr>
          <w:p w14:paraId="17B1B40A">
            <w:pPr>
              <w:pStyle w:val="13"/>
            </w:pPr>
            <w:r>
              <w:t>≥95%</w:t>
            </w:r>
          </w:p>
        </w:tc>
        <w:tc>
          <w:tcPr>
            <w:tcW w:w="1276" w:type="dxa"/>
            <w:vAlign w:val="center"/>
          </w:tcPr>
          <w:p w14:paraId="594BC173">
            <w:pPr>
              <w:pStyle w:val="13"/>
            </w:pPr>
            <w:r>
              <w:t>问卷调查</w:t>
            </w:r>
          </w:p>
        </w:tc>
      </w:tr>
    </w:tbl>
    <w:p w14:paraId="5921BD56">
      <w:pPr>
        <w:sectPr>
          <w:pgSz w:w="16840" w:h="11900" w:orient="landscape"/>
          <w:pgMar w:top="1361" w:right="1020" w:bottom="1134" w:left="1020" w:header="720" w:footer="720" w:gutter="0"/>
          <w:cols w:space="720" w:num="1"/>
        </w:sectPr>
      </w:pPr>
    </w:p>
    <w:p w14:paraId="21C7F2C1">
      <w:pPr>
        <w:spacing w:before="0" w:after="0"/>
        <w:ind w:firstLine="560"/>
        <w:jc w:val="left"/>
        <w:outlineLvl w:val="9"/>
      </w:pPr>
      <w:r>
        <w:rPr>
          <w:rFonts w:ascii="方正仿宋_GBK" w:hAnsi="方正仿宋_GBK" w:eastAsia="方正仿宋_GBK" w:cs="方正仿宋_GBK"/>
          <w:b/>
          <w:color w:val="000000"/>
          <w:sz w:val="28"/>
        </w:rPr>
        <w:t>8、冀财教[2024]123号/中央/2025年义教补助经费/牛家桥小学公用经费绩效目标表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D8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EE371">
            <w:pPr>
              <w:pStyle w:val="14"/>
            </w:pPr>
            <w:r>
              <w:t>单位：万元</w:t>
            </w:r>
          </w:p>
        </w:tc>
      </w:tr>
      <w:tr w14:paraId="66AC9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E766A">
            <w:pPr>
              <w:pStyle w:val="11"/>
            </w:pPr>
            <w:r>
              <w:t>项目编码</w:t>
            </w:r>
          </w:p>
        </w:tc>
        <w:tc>
          <w:tcPr>
            <w:tcW w:w="5103" w:type="dxa"/>
            <w:gridSpan w:val="2"/>
            <w:vAlign w:val="center"/>
          </w:tcPr>
          <w:p w14:paraId="2E2131EB">
            <w:pPr>
              <w:pStyle w:val="13"/>
            </w:pPr>
            <w:r>
              <w:t>13052525P000004100317</w:t>
            </w:r>
          </w:p>
        </w:tc>
        <w:tc>
          <w:tcPr>
            <w:tcW w:w="2835" w:type="dxa"/>
            <w:vAlign w:val="center"/>
          </w:tcPr>
          <w:p w14:paraId="3E191382">
            <w:pPr>
              <w:pStyle w:val="11"/>
            </w:pPr>
            <w:r>
              <w:t>项目名称</w:t>
            </w:r>
          </w:p>
        </w:tc>
        <w:tc>
          <w:tcPr>
            <w:tcW w:w="6095" w:type="dxa"/>
            <w:gridSpan w:val="3"/>
            <w:vAlign w:val="center"/>
          </w:tcPr>
          <w:p w14:paraId="445AC391">
            <w:pPr>
              <w:pStyle w:val="13"/>
            </w:pPr>
            <w:r>
              <w:t>冀财教[2024]123号/中央/2025年义教补助经费/牛家桥小学公用经费</w:t>
            </w:r>
          </w:p>
        </w:tc>
      </w:tr>
      <w:tr w14:paraId="4EB26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7D396">
            <w:pPr>
              <w:pStyle w:val="11"/>
            </w:pPr>
            <w:r>
              <w:t>预算规模及资金用途</w:t>
            </w:r>
          </w:p>
        </w:tc>
        <w:tc>
          <w:tcPr>
            <w:tcW w:w="2268" w:type="dxa"/>
            <w:vAlign w:val="center"/>
          </w:tcPr>
          <w:p w14:paraId="561E014E">
            <w:pPr>
              <w:pStyle w:val="11"/>
            </w:pPr>
            <w:r>
              <w:t>预算数</w:t>
            </w:r>
          </w:p>
        </w:tc>
        <w:tc>
          <w:tcPr>
            <w:tcW w:w="2835" w:type="dxa"/>
            <w:vAlign w:val="center"/>
          </w:tcPr>
          <w:p w14:paraId="5DF12A4D">
            <w:pPr>
              <w:pStyle w:val="13"/>
            </w:pPr>
            <w:r>
              <w:t>42.15</w:t>
            </w:r>
          </w:p>
        </w:tc>
        <w:tc>
          <w:tcPr>
            <w:tcW w:w="2835" w:type="dxa"/>
            <w:vAlign w:val="center"/>
          </w:tcPr>
          <w:p w14:paraId="200E3763">
            <w:pPr>
              <w:pStyle w:val="11"/>
            </w:pPr>
            <w:r>
              <w:t>其中：财政    资金</w:t>
            </w:r>
          </w:p>
        </w:tc>
        <w:tc>
          <w:tcPr>
            <w:tcW w:w="2551" w:type="dxa"/>
            <w:vAlign w:val="center"/>
          </w:tcPr>
          <w:p w14:paraId="08B9343E">
            <w:pPr>
              <w:pStyle w:val="13"/>
            </w:pPr>
            <w:r>
              <w:t>42.15</w:t>
            </w:r>
          </w:p>
        </w:tc>
        <w:tc>
          <w:tcPr>
            <w:tcW w:w="2268" w:type="dxa"/>
            <w:vAlign w:val="center"/>
          </w:tcPr>
          <w:p w14:paraId="6EDDE2E1">
            <w:pPr>
              <w:pStyle w:val="11"/>
            </w:pPr>
            <w:r>
              <w:t>其他资金</w:t>
            </w:r>
          </w:p>
        </w:tc>
        <w:tc>
          <w:tcPr>
            <w:tcW w:w="1276" w:type="dxa"/>
            <w:vAlign w:val="center"/>
          </w:tcPr>
          <w:p w14:paraId="344E7DBE">
            <w:pPr>
              <w:pStyle w:val="13"/>
            </w:pPr>
            <w:r>
              <w:t xml:space="preserve"> </w:t>
            </w:r>
          </w:p>
        </w:tc>
      </w:tr>
      <w:tr w14:paraId="3C5B7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495014"/>
        </w:tc>
        <w:tc>
          <w:tcPr>
            <w:tcW w:w="14033" w:type="dxa"/>
            <w:gridSpan w:val="6"/>
            <w:vAlign w:val="center"/>
          </w:tcPr>
          <w:p w14:paraId="6796D33C">
            <w:pPr>
              <w:pStyle w:val="13"/>
            </w:pPr>
            <w:r>
              <w:t>有效完成学校教学安全秩序，保障学校教学任务有效开展，满足学校正常教学需要。</w:t>
            </w:r>
          </w:p>
        </w:tc>
      </w:tr>
      <w:tr w14:paraId="6D87F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3D57E">
            <w:pPr>
              <w:pStyle w:val="11"/>
            </w:pPr>
            <w:r>
              <w:t>资金支出计划（%）</w:t>
            </w:r>
          </w:p>
        </w:tc>
        <w:tc>
          <w:tcPr>
            <w:tcW w:w="5103" w:type="dxa"/>
            <w:gridSpan w:val="2"/>
            <w:vAlign w:val="center"/>
          </w:tcPr>
          <w:p w14:paraId="4FAF4DA8">
            <w:pPr>
              <w:pStyle w:val="11"/>
            </w:pPr>
            <w:r>
              <w:t>3月底</w:t>
            </w:r>
          </w:p>
        </w:tc>
        <w:tc>
          <w:tcPr>
            <w:tcW w:w="2835" w:type="dxa"/>
            <w:vAlign w:val="center"/>
          </w:tcPr>
          <w:p w14:paraId="7E9CB095">
            <w:pPr>
              <w:pStyle w:val="11"/>
            </w:pPr>
            <w:r>
              <w:t>6月底</w:t>
            </w:r>
          </w:p>
        </w:tc>
        <w:tc>
          <w:tcPr>
            <w:tcW w:w="2551" w:type="dxa"/>
            <w:vAlign w:val="center"/>
          </w:tcPr>
          <w:p w14:paraId="557832BC">
            <w:pPr>
              <w:pStyle w:val="11"/>
            </w:pPr>
            <w:r>
              <w:t>10月底</w:t>
            </w:r>
          </w:p>
        </w:tc>
        <w:tc>
          <w:tcPr>
            <w:tcW w:w="3544" w:type="dxa"/>
            <w:gridSpan w:val="2"/>
            <w:vAlign w:val="center"/>
          </w:tcPr>
          <w:p w14:paraId="03CF5AAD">
            <w:pPr>
              <w:pStyle w:val="11"/>
            </w:pPr>
            <w:r>
              <w:t>12月底</w:t>
            </w:r>
          </w:p>
        </w:tc>
      </w:tr>
      <w:tr w14:paraId="02474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BE2CEC"/>
        </w:tc>
        <w:tc>
          <w:tcPr>
            <w:tcW w:w="5103" w:type="dxa"/>
            <w:gridSpan w:val="2"/>
            <w:vAlign w:val="center"/>
          </w:tcPr>
          <w:p w14:paraId="360CF240">
            <w:pPr>
              <w:pStyle w:val="12"/>
            </w:pPr>
            <w:r>
              <w:t>25%</w:t>
            </w:r>
          </w:p>
        </w:tc>
        <w:tc>
          <w:tcPr>
            <w:tcW w:w="2835" w:type="dxa"/>
            <w:vAlign w:val="center"/>
          </w:tcPr>
          <w:p w14:paraId="515F70BF">
            <w:pPr>
              <w:pStyle w:val="12"/>
            </w:pPr>
            <w:r>
              <w:t>50%</w:t>
            </w:r>
          </w:p>
        </w:tc>
        <w:tc>
          <w:tcPr>
            <w:tcW w:w="2551" w:type="dxa"/>
            <w:vAlign w:val="center"/>
          </w:tcPr>
          <w:p w14:paraId="4107BEF4">
            <w:pPr>
              <w:pStyle w:val="12"/>
            </w:pPr>
            <w:r>
              <w:t>75%</w:t>
            </w:r>
          </w:p>
        </w:tc>
        <w:tc>
          <w:tcPr>
            <w:tcW w:w="3544" w:type="dxa"/>
            <w:gridSpan w:val="2"/>
            <w:vAlign w:val="center"/>
          </w:tcPr>
          <w:p w14:paraId="0AA4761E">
            <w:pPr>
              <w:pStyle w:val="12"/>
            </w:pPr>
            <w:r>
              <w:t>100%</w:t>
            </w:r>
          </w:p>
        </w:tc>
      </w:tr>
      <w:tr w14:paraId="0A1AF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266812">
            <w:pPr>
              <w:pStyle w:val="11"/>
            </w:pPr>
            <w:r>
              <w:t>绩效目标</w:t>
            </w:r>
          </w:p>
        </w:tc>
        <w:tc>
          <w:tcPr>
            <w:tcW w:w="14033" w:type="dxa"/>
            <w:gridSpan w:val="6"/>
            <w:vAlign w:val="center"/>
          </w:tcPr>
          <w:p w14:paraId="192993BB">
            <w:pPr>
              <w:pStyle w:val="13"/>
            </w:pPr>
            <w:r>
              <w:t>1.有效完成学校教学安全秩序，保障学校教学任务有效开展，满足学校正常教学需要。</w:t>
            </w:r>
          </w:p>
          <w:p w14:paraId="366A5328">
            <w:pPr>
              <w:pStyle w:val="13"/>
            </w:pPr>
            <w:r>
              <w:t>2.按规定拨付公用经费资金，预算执行率≥98%。</w:t>
            </w:r>
          </w:p>
        </w:tc>
      </w:tr>
    </w:tbl>
    <w:p w14:paraId="3AF6B1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E9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C9AF9">
            <w:pPr>
              <w:pStyle w:val="11"/>
            </w:pPr>
            <w:r>
              <w:t>一级指标</w:t>
            </w:r>
          </w:p>
        </w:tc>
        <w:tc>
          <w:tcPr>
            <w:tcW w:w="2268" w:type="dxa"/>
            <w:vAlign w:val="center"/>
          </w:tcPr>
          <w:p w14:paraId="2787D0F6">
            <w:pPr>
              <w:pStyle w:val="11"/>
            </w:pPr>
            <w:r>
              <w:t>二级指标</w:t>
            </w:r>
          </w:p>
        </w:tc>
        <w:tc>
          <w:tcPr>
            <w:tcW w:w="2835" w:type="dxa"/>
            <w:vAlign w:val="center"/>
          </w:tcPr>
          <w:p w14:paraId="4D9B9041">
            <w:pPr>
              <w:pStyle w:val="11"/>
            </w:pPr>
            <w:r>
              <w:t>三级指标</w:t>
            </w:r>
          </w:p>
        </w:tc>
        <w:tc>
          <w:tcPr>
            <w:tcW w:w="5386" w:type="dxa"/>
            <w:vAlign w:val="center"/>
          </w:tcPr>
          <w:p w14:paraId="6EC52264">
            <w:pPr>
              <w:pStyle w:val="11"/>
            </w:pPr>
            <w:r>
              <w:t>绩效指标描述</w:t>
            </w:r>
          </w:p>
        </w:tc>
        <w:tc>
          <w:tcPr>
            <w:tcW w:w="2268" w:type="dxa"/>
            <w:vAlign w:val="center"/>
          </w:tcPr>
          <w:p w14:paraId="4477A1C0">
            <w:pPr>
              <w:pStyle w:val="11"/>
            </w:pPr>
            <w:r>
              <w:t>指标值</w:t>
            </w:r>
          </w:p>
        </w:tc>
        <w:tc>
          <w:tcPr>
            <w:tcW w:w="1276" w:type="dxa"/>
            <w:vAlign w:val="center"/>
          </w:tcPr>
          <w:p w14:paraId="6F41E4C6">
            <w:pPr>
              <w:pStyle w:val="11"/>
            </w:pPr>
            <w:r>
              <w:t>指标值确定依据</w:t>
            </w:r>
          </w:p>
        </w:tc>
      </w:tr>
      <w:tr w14:paraId="6A0F0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2BE55">
            <w:pPr>
              <w:pStyle w:val="12"/>
            </w:pPr>
            <w:r>
              <w:t>产出指标</w:t>
            </w:r>
          </w:p>
        </w:tc>
        <w:tc>
          <w:tcPr>
            <w:tcW w:w="2268" w:type="dxa"/>
            <w:vAlign w:val="center"/>
          </w:tcPr>
          <w:p w14:paraId="277C9DBC">
            <w:pPr>
              <w:pStyle w:val="13"/>
            </w:pPr>
            <w:r>
              <w:t>数量指标</w:t>
            </w:r>
          </w:p>
        </w:tc>
        <w:tc>
          <w:tcPr>
            <w:tcW w:w="2835" w:type="dxa"/>
            <w:vAlign w:val="center"/>
          </w:tcPr>
          <w:p w14:paraId="073631E1">
            <w:pPr>
              <w:pStyle w:val="13"/>
            </w:pPr>
            <w:r>
              <w:t>就读学生数</w:t>
            </w:r>
          </w:p>
        </w:tc>
        <w:tc>
          <w:tcPr>
            <w:tcW w:w="5386" w:type="dxa"/>
            <w:vAlign w:val="center"/>
          </w:tcPr>
          <w:p w14:paraId="0EB0FCCA">
            <w:pPr>
              <w:pStyle w:val="13"/>
            </w:pPr>
            <w:r>
              <w:t>辐射区域内适龄学生人数</w:t>
            </w:r>
          </w:p>
        </w:tc>
        <w:tc>
          <w:tcPr>
            <w:tcW w:w="2268" w:type="dxa"/>
            <w:vAlign w:val="center"/>
          </w:tcPr>
          <w:p w14:paraId="4A86295A">
            <w:pPr>
              <w:pStyle w:val="13"/>
            </w:pPr>
            <w:r>
              <w:t>597人</w:t>
            </w:r>
          </w:p>
        </w:tc>
        <w:tc>
          <w:tcPr>
            <w:tcW w:w="1276" w:type="dxa"/>
            <w:vAlign w:val="center"/>
          </w:tcPr>
          <w:p w14:paraId="551AD885">
            <w:pPr>
              <w:pStyle w:val="13"/>
            </w:pPr>
            <w:r>
              <w:t>城乡义务教育公用经费管理办法</w:t>
            </w:r>
          </w:p>
        </w:tc>
      </w:tr>
      <w:tr w14:paraId="7F067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9F18F"/>
        </w:tc>
        <w:tc>
          <w:tcPr>
            <w:tcW w:w="2268" w:type="dxa"/>
            <w:vAlign w:val="center"/>
          </w:tcPr>
          <w:p w14:paraId="3E1DF05C">
            <w:pPr>
              <w:pStyle w:val="13"/>
            </w:pPr>
            <w:r>
              <w:t>质量指标</w:t>
            </w:r>
          </w:p>
        </w:tc>
        <w:tc>
          <w:tcPr>
            <w:tcW w:w="2835" w:type="dxa"/>
            <w:vAlign w:val="center"/>
          </w:tcPr>
          <w:p w14:paraId="0113EAE2">
            <w:pPr>
              <w:pStyle w:val="13"/>
            </w:pPr>
            <w:r>
              <w:t>预算执行率</w:t>
            </w:r>
          </w:p>
        </w:tc>
        <w:tc>
          <w:tcPr>
            <w:tcW w:w="5386" w:type="dxa"/>
            <w:vAlign w:val="center"/>
          </w:tcPr>
          <w:p w14:paraId="5DA3CC19">
            <w:pPr>
              <w:pStyle w:val="13"/>
            </w:pPr>
            <w:r>
              <w:t>预算执行率</w:t>
            </w:r>
          </w:p>
        </w:tc>
        <w:tc>
          <w:tcPr>
            <w:tcW w:w="2268" w:type="dxa"/>
            <w:vAlign w:val="center"/>
          </w:tcPr>
          <w:p w14:paraId="7BAC761F">
            <w:pPr>
              <w:pStyle w:val="13"/>
            </w:pPr>
            <w:r>
              <w:t>≥98%</w:t>
            </w:r>
          </w:p>
        </w:tc>
        <w:tc>
          <w:tcPr>
            <w:tcW w:w="1276" w:type="dxa"/>
            <w:vAlign w:val="center"/>
          </w:tcPr>
          <w:p w14:paraId="443ACF87">
            <w:pPr>
              <w:pStyle w:val="13"/>
            </w:pPr>
            <w:r>
              <w:t>城乡义务教育公用经费管理办法</w:t>
            </w:r>
          </w:p>
        </w:tc>
      </w:tr>
      <w:tr w14:paraId="05535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BAE19"/>
        </w:tc>
        <w:tc>
          <w:tcPr>
            <w:tcW w:w="2268" w:type="dxa"/>
            <w:vAlign w:val="center"/>
          </w:tcPr>
          <w:p w14:paraId="1CFAD3D2">
            <w:pPr>
              <w:pStyle w:val="13"/>
            </w:pPr>
            <w:r>
              <w:t>时效指标</w:t>
            </w:r>
          </w:p>
        </w:tc>
        <w:tc>
          <w:tcPr>
            <w:tcW w:w="2835" w:type="dxa"/>
            <w:vAlign w:val="center"/>
          </w:tcPr>
          <w:p w14:paraId="47EF297A">
            <w:pPr>
              <w:pStyle w:val="13"/>
            </w:pPr>
            <w:r>
              <w:t>义教经费支付完成率</w:t>
            </w:r>
          </w:p>
        </w:tc>
        <w:tc>
          <w:tcPr>
            <w:tcW w:w="5386" w:type="dxa"/>
            <w:vAlign w:val="center"/>
          </w:tcPr>
          <w:p w14:paraId="7E072EF4">
            <w:pPr>
              <w:pStyle w:val="13"/>
            </w:pPr>
            <w:r>
              <w:t>按照序时进度完成资金支付</w:t>
            </w:r>
          </w:p>
        </w:tc>
        <w:tc>
          <w:tcPr>
            <w:tcW w:w="2268" w:type="dxa"/>
            <w:vAlign w:val="center"/>
          </w:tcPr>
          <w:p w14:paraId="4DF62ED1">
            <w:pPr>
              <w:pStyle w:val="13"/>
            </w:pPr>
            <w:r>
              <w:t>≥100%</w:t>
            </w:r>
          </w:p>
        </w:tc>
        <w:tc>
          <w:tcPr>
            <w:tcW w:w="1276" w:type="dxa"/>
            <w:vAlign w:val="center"/>
          </w:tcPr>
          <w:p w14:paraId="5890F3F9">
            <w:pPr>
              <w:pStyle w:val="13"/>
            </w:pPr>
            <w:r>
              <w:t>城乡义务教育公用经费管理办法</w:t>
            </w:r>
          </w:p>
        </w:tc>
      </w:tr>
      <w:tr w14:paraId="575F7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E100B"/>
        </w:tc>
        <w:tc>
          <w:tcPr>
            <w:tcW w:w="2268" w:type="dxa"/>
            <w:vAlign w:val="center"/>
          </w:tcPr>
          <w:p w14:paraId="1AD168E4">
            <w:pPr>
              <w:pStyle w:val="13"/>
            </w:pPr>
            <w:r>
              <w:t>成本指标</w:t>
            </w:r>
          </w:p>
        </w:tc>
        <w:tc>
          <w:tcPr>
            <w:tcW w:w="2835" w:type="dxa"/>
            <w:vAlign w:val="center"/>
          </w:tcPr>
          <w:p w14:paraId="63767B0F">
            <w:pPr>
              <w:pStyle w:val="13"/>
            </w:pPr>
            <w:r>
              <w:t>生均拨款标准</w:t>
            </w:r>
          </w:p>
        </w:tc>
        <w:tc>
          <w:tcPr>
            <w:tcW w:w="5386" w:type="dxa"/>
            <w:vAlign w:val="center"/>
          </w:tcPr>
          <w:p w14:paraId="7CCB27F4">
            <w:pPr>
              <w:pStyle w:val="13"/>
            </w:pPr>
            <w:r>
              <w:t>小学：（基本标准720元、寄宿生300元、生活补助120元）/生/学年；特教、随班就读学生：标准7000元/生/学年</w:t>
            </w:r>
          </w:p>
        </w:tc>
        <w:tc>
          <w:tcPr>
            <w:tcW w:w="2268" w:type="dxa"/>
            <w:vAlign w:val="center"/>
          </w:tcPr>
          <w:p w14:paraId="74E2A2F4">
            <w:pPr>
              <w:pStyle w:val="13"/>
            </w:pPr>
            <w:r>
              <w:t>840元</w:t>
            </w:r>
          </w:p>
        </w:tc>
        <w:tc>
          <w:tcPr>
            <w:tcW w:w="1276" w:type="dxa"/>
            <w:vAlign w:val="center"/>
          </w:tcPr>
          <w:p w14:paraId="338A5F6C">
            <w:pPr>
              <w:pStyle w:val="13"/>
            </w:pPr>
            <w:r>
              <w:t>城乡义务教育公用经费管理办法</w:t>
            </w:r>
          </w:p>
        </w:tc>
      </w:tr>
      <w:tr w14:paraId="3F9AA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FAC231">
            <w:pPr>
              <w:pStyle w:val="12"/>
            </w:pPr>
            <w:r>
              <w:t>效益指标</w:t>
            </w:r>
          </w:p>
        </w:tc>
        <w:tc>
          <w:tcPr>
            <w:tcW w:w="2268" w:type="dxa"/>
            <w:vAlign w:val="center"/>
          </w:tcPr>
          <w:p w14:paraId="46AE8F4E">
            <w:pPr>
              <w:pStyle w:val="13"/>
            </w:pPr>
            <w:r>
              <w:t>社会效益指标</w:t>
            </w:r>
          </w:p>
        </w:tc>
        <w:tc>
          <w:tcPr>
            <w:tcW w:w="2835" w:type="dxa"/>
            <w:vAlign w:val="center"/>
          </w:tcPr>
          <w:p w14:paraId="5A803E7C">
            <w:pPr>
              <w:pStyle w:val="13"/>
            </w:pPr>
            <w:r>
              <w:t>学校稳定率</w:t>
            </w:r>
          </w:p>
        </w:tc>
        <w:tc>
          <w:tcPr>
            <w:tcW w:w="5386" w:type="dxa"/>
            <w:vAlign w:val="center"/>
          </w:tcPr>
          <w:p w14:paraId="0C00FE36">
            <w:pPr>
              <w:pStyle w:val="13"/>
            </w:pPr>
            <w:r>
              <w:t>维护学校稳定，保障学校正常教学秩序有效开展</w:t>
            </w:r>
          </w:p>
        </w:tc>
        <w:tc>
          <w:tcPr>
            <w:tcW w:w="2268" w:type="dxa"/>
            <w:vAlign w:val="center"/>
          </w:tcPr>
          <w:p w14:paraId="1E8E2F77">
            <w:pPr>
              <w:pStyle w:val="13"/>
            </w:pPr>
            <w:r>
              <w:t>100%</w:t>
            </w:r>
          </w:p>
        </w:tc>
        <w:tc>
          <w:tcPr>
            <w:tcW w:w="1276" w:type="dxa"/>
            <w:vAlign w:val="center"/>
          </w:tcPr>
          <w:p w14:paraId="5D217264">
            <w:pPr>
              <w:pStyle w:val="13"/>
            </w:pPr>
            <w:r>
              <w:t>城乡义务教育公用经费管理办法</w:t>
            </w:r>
          </w:p>
        </w:tc>
      </w:tr>
      <w:tr w14:paraId="2FF7F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57395B">
            <w:pPr>
              <w:pStyle w:val="12"/>
            </w:pPr>
            <w:r>
              <w:t>满意度指标</w:t>
            </w:r>
          </w:p>
        </w:tc>
        <w:tc>
          <w:tcPr>
            <w:tcW w:w="2268" w:type="dxa"/>
            <w:vAlign w:val="center"/>
          </w:tcPr>
          <w:p w14:paraId="7A42AD67">
            <w:pPr>
              <w:pStyle w:val="13"/>
            </w:pPr>
            <w:r>
              <w:t>服务对象满意度指标</w:t>
            </w:r>
          </w:p>
        </w:tc>
        <w:tc>
          <w:tcPr>
            <w:tcW w:w="2835" w:type="dxa"/>
            <w:vAlign w:val="center"/>
          </w:tcPr>
          <w:p w14:paraId="43F41322">
            <w:pPr>
              <w:pStyle w:val="13"/>
            </w:pPr>
            <w:r>
              <w:t>家长和学生满意度</w:t>
            </w:r>
          </w:p>
        </w:tc>
        <w:tc>
          <w:tcPr>
            <w:tcW w:w="5386" w:type="dxa"/>
            <w:vAlign w:val="center"/>
          </w:tcPr>
          <w:p w14:paraId="0BF93A97">
            <w:pPr>
              <w:pStyle w:val="13"/>
            </w:pPr>
            <w:r>
              <w:t>家长和学生满意度</w:t>
            </w:r>
          </w:p>
        </w:tc>
        <w:tc>
          <w:tcPr>
            <w:tcW w:w="2268" w:type="dxa"/>
            <w:vAlign w:val="center"/>
          </w:tcPr>
          <w:p w14:paraId="2CFF3596">
            <w:pPr>
              <w:pStyle w:val="13"/>
            </w:pPr>
            <w:r>
              <w:t>≥95%</w:t>
            </w:r>
          </w:p>
        </w:tc>
        <w:tc>
          <w:tcPr>
            <w:tcW w:w="1276" w:type="dxa"/>
            <w:vAlign w:val="center"/>
          </w:tcPr>
          <w:p w14:paraId="100C5369">
            <w:pPr>
              <w:pStyle w:val="13"/>
            </w:pPr>
            <w:r>
              <w:t>问卷调查</w:t>
            </w:r>
          </w:p>
        </w:tc>
      </w:tr>
    </w:tbl>
    <w:p w14:paraId="5304FF58">
      <w:pPr>
        <w:sectPr>
          <w:pgSz w:w="16840" w:h="11900" w:orient="landscape"/>
          <w:pgMar w:top="1361" w:right="1020" w:bottom="1134" w:left="1020" w:header="720" w:footer="720" w:gutter="0"/>
          <w:cols w:space="720" w:num="1"/>
        </w:sectPr>
      </w:pPr>
    </w:p>
    <w:p w14:paraId="1C277D72">
      <w:pPr>
        <w:spacing w:before="0" w:after="0"/>
        <w:ind w:firstLine="560"/>
        <w:jc w:val="left"/>
        <w:outlineLvl w:val="9"/>
      </w:pPr>
      <w:r>
        <w:rPr>
          <w:rFonts w:ascii="方正仿宋_GBK" w:hAnsi="方正仿宋_GBK" w:eastAsia="方正仿宋_GBK" w:cs="方正仿宋_GBK"/>
          <w:b/>
          <w:color w:val="000000"/>
          <w:sz w:val="28"/>
        </w:rPr>
        <w:t>9、冀财教[2024]123号/中央/2025年义教补助经费/综合奖补/牛家桥校区牛家桥小学公用经费绩效目标表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AF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C79A2">
            <w:pPr>
              <w:pStyle w:val="14"/>
            </w:pPr>
            <w:r>
              <w:t>单位：万元</w:t>
            </w:r>
          </w:p>
        </w:tc>
      </w:tr>
      <w:tr w14:paraId="71E2A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E55D9C">
            <w:pPr>
              <w:pStyle w:val="11"/>
            </w:pPr>
            <w:r>
              <w:t>项目编码</w:t>
            </w:r>
          </w:p>
        </w:tc>
        <w:tc>
          <w:tcPr>
            <w:tcW w:w="5103" w:type="dxa"/>
            <w:gridSpan w:val="2"/>
            <w:vAlign w:val="center"/>
          </w:tcPr>
          <w:p w14:paraId="1CEF6F1B">
            <w:pPr>
              <w:pStyle w:val="13"/>
            </w:pPr>
            <w:r>
              <w:t>13052525P00875610288Q</w:t>
            </w:r>
          </w:p>
        </w:tc>
        <w:tc>
          <w:tcPr>
            <w:tcW w:w="2835" w:type="dxa"/>
            <w:vAlign w:val="center"/>
          </w:tcPr>
          <w:p w14:paraId="3E643895">
            <w:pPr>
              <w:pStyle w:val="11"/>
            </w:pPr>
            <w:r>
              <w:t>项目名称</w:t>
            </w:r>
          </w:p>
        </w:tc>
        <w:tc>
          <w:tcPr>
            <w:tcW w:w="6095" w:type="dxa"/>
            <w:gridSpan w:val="3"/>
            <w:vAlign w:val="center"/>
          </w:tcPr>
          <w:p w14:paraId="62868716">
            <w:pPr>
              <w:pStyle w:val="13"/>
            </w:pPr>
            <w:r>
              <w:t>冀财教[2024]123号/中央/2025年义教补助经费/综合奖补/牛家桥校区牛家桥小学公用经费</w:t>
            </w:r>
          </w:p>
        </w:tc>
      </w:tr>
      <w:tr w14:paraId="26D65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DD8A4">
            <w:pPr>
              <w:pStyle w:val="11"/>
            </w:pPr>
            <w:r>
              <w:t>预算规模及资金用途</w:t>
            </w:r>
          </w:p>
        </w:tc>
        <w:tc>
          <w:tcPr>
            <w:tcW w:w="2268" w:type="dxa"/>
            <w:vAlign w:val="center"/>
          </w:tcPr>
          <w:p w14:paraId="14184F5C">
            <w:pPr>
              <w:pStyle w:val="11"/>
            </w:pPr>
            <w:r>
              <w:t>预算数</w:t>
            </w:r>
          </w:p>
        </w:tc>
        <w:tc>
          <w:tcPr>
            <w:tcW w:w="2835" w:type="dxa"/>
            <w:vAlign w:val="center"/>
          </w:tcPr>
          <w:p w14:paraId="044543FC">
            <w:pPr>
              <w:pStyle w:val="13"/>
            </w:pPr>
            <w:r>
              <w:t>2.09</w:t>
            </w:r>
          </w:p>
        </w:tc>
        <w:tc>
          <w:tcPr>
            <w:tcW w:w="2835" w:type="dxa"/>
            <w:vAlign w:val="center"/>
          </w:tcPr>
          <w:p w14:paraId="7124E7EE">
            <w:pPr>
              <w:pStyle w:val="11"/>
            </w:pPr>
            <w:r>
              <w:t>其中：财政    资金</w:t>
            </w:r>
          </w:p>
        </w:tc>
        <w:tc>
          <w:tcPr>
            <w:tcW w:w="2551" w:type="dxa"/>
            <w:vAlign w:val="center"/>
          </w:tcPr>
          <w:p w14:paraId="222070C5">
            <w:pPr>
              <w:pStyle w:val="13"/>
            </w:pPr>
            <w:r>
              <w:t>2.09</w:t>
            </w:r>
          </w:p>
        </w:tc>
        <w:tc>
          <w:tcPr>
            <w:tcW w:w="2268" w:type="dxa"/>
            <w:vAlign w:val="center"/>
          </w:tcPr>
          <w:p w14:paraId="5CCC2CC9">
            <w:pPr>
              <w:pStyle w:val="11"/>
            </w:pPr>
            <w:r>
              <w:t>其他资金</w:t>
            </w:r>
          </w:p>
        </w:tc>
        <w:tc>
          <w:tcPr>
            <w:tcW w:w="1276" w:type="dxa"/>
            <w:vAlign w:val="center"/>
          </w:tcPr>
          <w:p w14:paraId="2A5FD89B">
            <w:pPr>
              <w:pStyle w:val="13"/>
            </w:pPr>
            <w:r>
              <w:t xml:space="preserve"> </w:t>
            </w:r>
          </w:p>
        </w:tc>
      </w:tr>
      <w:tr w14:paraId="0D4F0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085590"/>
        </w:tc>
        <w:tc>
          <w:tcPr>
            <w:tcW w:w="14033" w:type="dxa"/>
            <w:gridSpan w:val="6"/>
            <w:vAlign w:val="center"/>
          </w:tcPr>
          <w:p w14:paraId="03CF3C70">
            <w:pPr>
              <w:pStyle w:val="13"/>
            </w:pPr>
            <w:r>
              <w:t>有效完成学校教学安全秩序，保障学校教学任务有效开展，满足学校正常教学需要。</w:t>
            </w:r>
          </w:p>
        </w:tc>
      </w:tr>
      <w:tr w14:paraId="61D5A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6EB58">
            <w:pPr>
              <w:pStyle w:val="11"/>
            </w:pPr>
            <w:r>
              <w:t>资金支出计划（%）</w:t>
            </w:r>
          </w:p>
        </w:tc>
        <w:tc>
          <w:tcPr>
            <w:tcW w:w="5103" w:type="dxa"/>
            <w:gridSpan w:val="2"/>
            <w:vAlign w:val="center"/>
          </w:tcPr>
          <w:p w14:paraId="3A1160A7">
            <w:pPr>
              <w:pStyle w:val="11"/>
            </w:pPr>
            <w:r>
              <w:t>3月底</w:t>
            </w:r>
          </w:p>
        </w:tc>
        <w:tc>
          <w:tcPr>
            <w:tcW w:w="2835" w:type="dxa"/>
            <w:vAlign w:val="center"/>
          </w:tcPr>
          <w:p w14:paraId="1BBB417E">
            <w:pPr>
              <w:pStyle w:val="11"/>
            </w:pPr>
            <w:r>
              <w:t>6月底</w:t>
            </w:r>
          </w:p>
        </w:tc>
        <w:tc>
          <w:tcPr>
            <w:tcW w:w="2551" w:type="dxa"/>
            <w:vAlign w:val="center"/>
          </w:tcPr>
          <w:p w14:paraId="3D4936D2">
            <w:pPr>
              <w:pStyle w:val="11"/>
            </w:pPr>
            <w:r>
              <w:t>10月底</w:t>
            </w:r>
          </w:p>
        </w:tc>
        <w:tc>
          <w:tcPr>
            <w:tcW w:w="3544" w:type="dxa"/>
            <w:gridSpan w:val="2"/>
            <w:vAlign w:val="center"/>
          </w:tcPr>
          <w:p w14:paraId="79DC9332">
            <w:pPr>
              <w:pStyle w:val="11"/>
            </w:pPr>
            <w:r>
              <w:t>12月底</w:t>
            </w:r>
          </w:p>
        </w:tc>
      </w:tr>
      <w:tr w14:paraId="16785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3AA0BE"/>
        </w:tc>
        <w:tc>
          <w:tcPr>
            <w:tcW w:w="5103" w:type="dxa"/>
            <w:gridSpan w:val="2"/>
            <w:vAlign w:val="center"/>
          </w:tcPr>
          <w:p w14:paraId="53BA737B">
            <w:pPr>
              <w:pStyle w:val="12"/>
            </w:pPr>
            <w:r>
              <w:t>25%</w:t>
            </w:r>
          </w:p>
        </w:tc>
        <w:tc>
          <w:tcPr>
            <w:tcW w:w="2835" w:type="dxa"/>
            <w:vAlign w:val="center"/>
          </w:tcPr>
          <w:p w14:paraId="56A44AC7">
            <w:pPr>
              <w:pStyle w:val="12"/>
            </w:pPr>
            <w:r>
              <w:t>50%</w:t>
            </w:r>
          </w:p>
        </w:tc>
        <w:tc>
          <w:tcPr>
            <w:tcW w:w="2551" w:type="dxa"/>
            <w:vAlign w:val="center"/>
          </w:tcPr>
          <w:p w14:paraId="3192883D">
            <w:pPr>
              <w:pStyle w:val="12"/>
            </w:pPr>
            <w:r>
              <w:t>75%</w:t>
            </w:r>
          </w:p>
        </w:tc>
        <w:tc>
          <w:tcPr>
            <w:tcW w:w="3544" w:type="dxa"/>
            <w:gridSpan w:val="2"/>
            <w:vAlign w:val="center"/>
          </w:tcPr>
          <w:p w14:paraId="05E91C4C">
            <w:pPr>
              <w:pStyle w:val="12"/>
            </w:pPr>
            <w:r>
              <w:t>100%</w:t>
            </w:r>
          </w:p>
        </w:tc>
      </w:tr>
      <w:tr w14:paraId="6926A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022BF9">
            <w:pPr>
              <w:pStyle w:val="11"/>
            </w:pPr>
            <w:r>
              <w:t>绩效目标</w:t>
            </w:r>
          </w:p>
        </w:tc>
        <w:tc>
          <w:tcPr>
            <w:tcW w:w="14033" w:type="dxa"/>
            <w:gridSpan w:val="6"/>
            <w:vAlign w:val="center"/>
          </w:tcPr>
          <w:p w14:paraId="517FBD49">
            <w:pPr>
              <w:pStyle w:val="13"/>
            </w:pPr>
            <w:r>
              <w:t>1.按规定拨付公用经费资金，预算执行率≥98%。</w:t>
            </w:r>
          </w:p>
          <w:p w14:paraId="6DC428E6">
            <w:pPr>
              <w:pStyle w:val="13"/>
            </w:pPr>
            <w:r>
              <w:t>2.有效完成学校教学安全秩序，保障学校教学任务有效开展，满足学校正常教学需要。</w:t>
            </w:r>
          </w:p>
        </w:tc>
      </w:tr>
    </w:tbl>
    <w:p w14:paraId="6F9839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19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3A9A2">
            <w:pPr>
              <w:pStyle w:val="11"/>
            </w:pPr>
            <w:r>
              <w:t>一级指标</w:t>
            </w:r>
          </w:p>
        </w:tc>
        <w:tc>
          <w:tcPr>
            <w:tcW w:w="2268" w:type="dxa"/>
            <w:vAlign w:val="center"/>
          </w:tcPr>
          <w:p w14:paraId="67A103AB">
            <w:pPr>
              <w:pStyle w:val="11"/>
            </w:pPr>
            <w:r>
              <w:t>二级指标</w:t>
            </w:r>
          </w:p>
        </w:tc>
        <w:tc>
          <w:tcPr>
            <w:tcW w:w="2835" w:type="dxa"/>
            <w:vAlign w:val="center"/>
          </w:tcPr>
          <w:p w14:paraId="5145F315">
            <w:pPr>
              <w:pStyle w:val="11"/>
            </w:pPr>
            <w:r>
              <w:t>三级指标</w:t>
            </w:r>
          </w:p>
        </w:tc>
        <w:tc>
          <w:tcPr>
            <w:tcW w:w="5386" w:type="dxa"/>
            <w:vAlign w:val="center"/>
          </w:tcPr>
          <w:p w14:paraId="56EBA3C9">
            <w:pPr>
              <w:pStyle w:val="11"/>
            </w:pPr>
            <w:r>
              <w:t>绩效指标描述</w:t>
            </w:r>
          </w:p>
        </w:tc>
        <w:tc>
          <w:tcPr>
            <w:tcW w:w="2268" w:type="dxa"/>
            <w:vAlign w:val="center"/>
          </w:tcPr>
          <w:p w14:paraId="1B852482">
            <w:pPr>
              <w:pStyle w:val="11"/>
            </w:pPr>
            <w:r>
              <w:t>指标值</w:t>
            </w:r>
          </w:p>
        </w:tc>
        <w:tc>
          <w:tcPr>
            <w:tcW w:w="1276" w:type="dxa"/>
            <w:vAlign w:val="center"/>
          </w:tcPr>
          <w:p w14:paraId="60BCB83E">
            <w:pPr>
              <w:pStyle w:val="11"/>
            </w:pPr>
            <w:r>
              <w:t>指标值确定依据</w:t>
            </w:r>
          </w:p>
        </w:tc>
      </w:tr>
      <w:tr w14:paraId="3882E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FF461">
            <w:pPr>
              <w:pStyle w:val="12"/>
            </w:pPr>
            <w:r>
              <w:t>产出指标</w:t>
            </w:r>
          </w:p>
        </w:tc>
        <w:tc>
          <w:tcPr>
            <w:tcW w:w="2268" w:type="dxa"/>
            <w:vAlign w:val="center"/>
          </w:tcPr>
          <w:p w14:paraId="69B6206D">
            <w:pPr>
              <w:pStyle w:val="13"/>
            </w:pPr>
            <w:r>
              <w:t>数量指标</w:t>
            </w:r>
          </w:p>
        </w:tc>
        <w:tc>
          <w:tcPr>
            <w:tcW w:w="2835" w:type="dxa"/>
            <w:vAlign w:val="center"/>
          </w:tcPr>
          <w:p w14:paraId="7CBF12BC">
            <w:pPr>
              <w:pStyle w:val="13"/>
            </w:pPr>
            <w:r>
              <w:t>就读学生数</w:t>
            </w:r>
          </w:p>
        </w:tc>
        <w:tc>
          <w:tcPr>
            <w:tcW w:w="5386" w:type="dxa"/>
            <w:vAlign w:val="center"/>
          </w:tcPr>
          <w:p w14:paraId="00354826">
            <w:pPr>
              <w:pStyle w:val="13"/>
            </w:pPr>
            <w:r>
              <w:t>辐射区域内适龄学生人数</w:t>
            </w:r>
          </w:p>
        </w:tc>
        <w:tc>
          <w:tcPr>
            <w:tcW w:w="2268" w:type="dxa"/>
            <w:vAlign w:val="center"/>
          </w:tcPr>
          <w:p w14:paraId="618CA647">
            <w:pPr>
              <w:pStyle w:val="13"/>
            </w:pPr>
            <w:r>
              <w:t>597人</w:t>
            </w:r>
          </w:p>
        </w:tc>
        <w:tc>
          <w:tcPr>
            <w:tcW w:w="1276" w:type="dxa"/>
            <w:vAlign w:val="center"/>
          </w:tcPr>
          <w:p w14:paraId="18F92EE0">
            <w:pPr>
              <w:pStyle w:val="13"/>
            </w:pPr>
            <w:r>
              <w:t>城乡义务教育公用经费管理办法</w:t>
            </w:r>
          </w:p>
        </w:tc>
      </w:tr>
      <w:tr w14:paraId="4B60F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7476C"/>
        </w:tc>
        <w:tc>
          <w:tcPr>
            <w:tcW w:w="2268" w:type="dxa"/>
            <w:vAlign w:val="center"/>
          </w:tcPr>
          <w:p w14:paraId="4A2D8579">
            <w:pPr>
              <w:pStyle w:val="13"/>
            </w:pPr>
            <w:r>
              <w:t>质量指标</w:t>
            </w:r>
          </w:p>
        </w:tc>
        <w:tc>
          <w:tcPr>
            <w:tcW w:w="2835" w:type="dxa"/>
            <w:vAlign w:val="center"/>
          </w:tcPr>
          <w:p w14:paraId="61CEA2AA">
            <w:pPr>
              <w:pStyle w:val="13"/>
            </w:pPr>
            <w:r>
              <w:t>预算执行率</w:t>
            </w:r>
          </w:p>
        </w:tc>
        <w:tc>
          <w:tcPr>
            <w:tcW w:w="5386" w:type="dxa"/>
            <w:vAlign w:val="center"/>
          </w:tcPr>
          <w:p w14:paraId="69E29AD4">
            <w:pPr>
              <w:pStyle w:val="13"/>
            </w:pPr>
            <w:r>
              <w:t>预算执行率</w:t>
            </w:r>
          </w:p>
        </w:tc>
        <w:tc>
          <w:tcPr>
            <w:tcW w:w="2268" w:type="dxa"/>
            <w:vAlign w:val="center"/>
          </w:tcPr>
          <w:p w14:paraId="48671973">
            <w:pPr>
              <w:pStyle w:val="13"/>
            </w:pPr>
            <w:r>
              <w:t>≥98%</w:t>
            </w:r>
          </w:p>
        </w:tc>
        <w:tc>
          <w:tcPr>
            <w:tcW w:w="1276" w:type="dxa"/>
            <w:vAlign w:val="center"/>
          </w:tcPr>
          <w:p w14:paraId="641E2EF3">
            <w:pPr>
              <w:pStyle w:val="13"/>
            </w:pPr>
            <w:r>
              <w:t>城乡义务教育公用经费管理办法</w:t>
            </w:r>
          </w:p>
        </w:tc>
      </w:tr>
      <w:tr w14:paraId="1D156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D7BD9"/>
        </w:tc>
        <w:tc>
          <w:tcPr>
            <w:tcW w:w="2268" w:type="dxa"/>
            <w:vAlign w:val="center"/>
          </w:tcPr>
          <w:p w14:paraId="761D077C">
            <w:pPr>
              <w:pStyle w:val="13"/>
            </w:pPr>
            <w:r>
              <w:t>时效指标</w:t>
            </w:r>
          </w:p>
        </w:tc>
        <w:tc>
          <w:tcPr>
            <w:tcW w:w="2835" w:type="dxa"/>
            <w:vAlign w:val="center"/>
          </w:tcPr>
          <w:p w14:paraId="412A166F">
            <w:pPr>
              <w:pStyle w:val="13"/>
            </w:pPr>
            <w:r>
              <w:t>义教经费支付完成率</w:t>
            </w:r>
          </w:p>
        </w:tc>
        <w:tc>
          <w:tcPr>
            <w:tcW w:w="5386" w:type="dxa"/>
            <w:vAlign w:val="center"/>
          </w:tcPr>
          <w:p w14:paraId="08A2BF78">
            <w:pPr>
              <w:pStyle w:val="13"/>
            </w:pPr>
            <w:r>
              <w:t>按照序时进度完成资金支付</w:t>
            </w:r>
          </w:p>
        </w:tc>
        <w:tc>
          <w:tcPr>
            <w:tcW w:w="2268" w:type="dxa"/>
            <w:vAlign w:val="center"/>
          </w:tcPr>
          <w:p w14:paraId="643D3F7A">
            <w:pPr>
              <w:pStyle w:val="13"/>
            </w:pPr>
            <w:r>
              <w:t>≥100%</w:t>
            </w:r>
          </w:p>
        </w:tc>
        <w:tc>
          <w:tcPr>
            <w:tcW w:w="1276" w:type="dxa"/>
            <w:vAlign w:val="center"/>
          </w:tcPr>
          <w:p w14:paraId="446CF9FF">
            <w:pPr>
              <w:pStyle w:val="13"/>
            </w:pPr>
            <w:r>
              <w:t>城乡义务教育公用经费管理办法</w:t>
            </w:r>
          </w:p>
        </w:tc>
      </w:tr>
      <w:tr w14:paraId="7EE84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7ACA5"/>
        </w:tc>
        <w:tc>
          <w:tcPr>
            <w:tcW w:w="2268" w:type="dxa"/>
            <w:vAlign w:val="center"/>
          </w:tcPr>
          <w:p w14:paraId="3BD7E8A8">
            <w:pPr>
              <w:pStyle w:val="13"/>
            </w:pPr>
            <w:r>
              <w:t>成本指标</w:t>
            </w:r>
          </w:p>
        </w:tc>
        <w:tc>
          <w:tcPr>
            <w:tcW w:w="2835" w:type="dxa"/>
            <w:vAlign w:val="center"/>
          </w:tcPr>
          <w:p w14:paraId="13F3CB72">
            <w:pPr>
              <w:pStyle w:val="13"/>
            </w:pPr>
            <w:r>
              <w:t>生均拨款标准</w:t>
            </w:r>
          </w:p>
        </w:tc>
        <w:tc>
          <w:tcPr>
            <w:tcW w:w="5386" w:type="dxa"/>
            <w:vAlign w:val="center"/>
          </w:tcPr>
          <w:p w14:paraId="6283DCCB">
            <w:pPr>
              <w:pStyle w:val="13"/>
            </w:pPr>
            <w:r>
              <w:t>小学：（基本标准720元、寄宿生300元、生活补助120元）/生/学年；特教、随班就读学生：标准7000元/生/学年</w:t>
            </w:r>
          </w:p>
        </w:tc>
        <w:tc>
          <w:tcPr>
            <w:tcW w:w="2268" w:type="dxa"/>
            <w:vAlign w:val="center"/>
          </w:tcPr>
          <w:p w14:paraId="316531B4">
            <w:pPr>
              <w:pStyle w:val="13"/>
            </w:pPr>
            <w:r>
              <w:t>≥840元</w:t>
            </w:r>
          </w:p>
        </w:tc>
        <w:tc>
          <w:tcPr>
            <w:tcW w:w="1276" w:type="dxa"/>
            <w:vAlign w:val="center"/>
          </w:tcPr>
          <w:p w14:paraId="3D992998">
            <w:pPr>
              <w:pStyle w:val="13"/>
            </w:pPr>
            <w:r>
              <w:t>城乡义务教育公用经费管理办法</w:t>
            </w:r>
          </w:p>
        </w:tc>
      </w:tr>
      <w:tr w14:paraId="60163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B56F0">
            <w:pPr>
              <w:pStyle w:val="12"/>
            </w:pPr>
            <w:r>
              <w:t>效益指标</w:t>
            </w:r>
          </w:p>
        </w:tc>
        <w:tc>
          <w:tcPr>
            <w:tcW w:w="2268" w:type="dxa"/>
            <w:vAlign w:val="center"/>
          </w:tcPr>
          <w:p w14:paraId="0E2313EF">
            <w:pPr>
              <w:pStyle w:val="13"/>
            </w:pPr>
            <w:r>
              <w:t>社会效益指标</w:t>
            </w:r>
          </w:p>
        </w:tc>
        <w:tc>
          <w:tcPr>
            <w:tcW w:w="2835" w:type="dxa"/>
            <w:vAlign w:val="center"/>
          </w:tcPr>
          <w:p w14:paraId="05E96E76">
            <w:pPr>
              <w:pStyle w:val="13"/>
            </w:pPr>
            <w:r>
              <w:t>学校稳定率</w:t>
            </w:r>
          </w:p>
        </w:tc>
        <w:tc>
          <w:tcPr>
            <w:tcW w:w="5386" w:type="dxa"/>
            <w:vAlign w:val="center"/>
          </w:tcPr>
          <w:p w14:paraId="6CD358A0">
            <w:pPr>
              <w:pStyle w:val="13"/>
            </w:pPr>
            <w:r>
              <w:t>维护学校稳定，保障学校正常教学秩序有效开展</w:t>
            </w:r>
          </w:p>
        </w:tc>
        <w:tc>
          <w:tcPr>
            <w:tcW w:w="2268" w:type="dxa"/>
            <w:vAlign w:val="center"/>
          </w:tcPr>
          <w:p w14:paraId="53967F5C">
            <w:pPr>
              <w:pStyle w:val="13"/>
            </w:pPr>
            <w:r>
              <w:t>100%</w:t>
            </w:r>
          </w:p>
        </w:tc>
        <w:tc>
          <w:tcPr>
            <w:tcW w:w="1276" w:type="dxa"/>
            <w:vAlign w:val="center"/>
          </w:tcPr>
          <w:p w14:paraId="1C0B1F11">
            <w:pPr>
              <w:pStyle w:val="13"/>
            </w:pPr>
            <w:r>
              <w:t>城乡义务教育公用经费管理办法</w:t>
            </w:r>
          </w:p>
        </w:tc>
      </w:tr>
      <w:tr w14:paraId="0E86E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6F7B69">
            <w:pPr>
              <w:pStyle w:val="12"/>
            </w:pPr>
            <w:r>
              <w:t>满意度指标</w:t>
            </w:r>
          </w:p>
        </w:tc>
        <w:tc>
          <w:tcPr>
            <w:tcW w:w="2268" w:type="dxa"/>
            <w:vAlign w:val="center"/>
          </w:tcPr>
          <w:p w14:paraId="03B5B5A5">
            <w:pPr>
              <w:pStyle w:val="13"/>
            </w:pPr>
            <w:r>
              <w:t>服务对象满意度指标</w:t>
            </w:r>
          </w:p>
        </w:tc>
        <w:tc>
          <w:tcPr>
            <w:tcW w:w="2835" w:type="dxa"/>
            <w:vAlign w:val="center"/>
          </w:tcPr>
          <w:p w14:paraId="05694346">
            <w:pPr>
              <w:pStyle w:val="13"/>
            </w:pPr>
            <w:r>
              <w:t>家长和学生满意度</w:t>
            </w:r>
          </w:p>
        </w:tc>
        <w:tc>
          <w:tcPr>
            <w:tcW w:w="5386" w:type="dxa"/>
            <w:vAlign w:val="center"/>
          </w:tcPr>
          <w:p w14:paraId="3A44FC99">
            <w:pPr>
              <w:pStyle w:val="13"/>
            </w:pPr>
            <w:r>
              <w:t>家长和学生满意度</w:t>
            </w:r>
          </w:p>
        </w:tc>
        <w:tc>
          <w:tcPr>
            <w:tcW w:w="2268" w:type="dxa"/>
            <w:vAlign w:val="center"/>
          </w:tcPr>
          <w:p w14:paraId="3405572A">
            <w:pPr>
              <w:pStyle w:val="13"/>
            </w:pPr>
            <w:r>
              <w:t>≥95%</w:t>
            </w:r>
          </w:p>
        </w:tc>
        <w:tc>
          <w:tcPr>
            <w:tcW w:w="1276" w:type="dxa"/>
            <w:vAlign w:val="center"/>
          </w:tcPr>
          <w:p w14:paraId="4A6A67FA">
            <w:pPr>
              <w:pStyle w:val="13"/>
            </w:pPr>
            <w:r>
              <w:t>问卷调查</w:t>
            </w:r>
          </w:p>
        </w:tc>
      </w:tr>
    </w:tbl>
    <w:p w14:paraId="0A4987E4">
      <w:pPr>
        <w:sectPr>
          <w:pgSz w:w="16840" w:h="11900" w:orient="landscape"/>
          <w:pgMar w:top="1361" w:right="1020" w:bottom="1134" w:left="1020" w:header="720" w:footer="720" w:gutter="0"/>
          <w:cols w:space="720" w:num="1"/>
        </w:sectPr>
      </w:pPr>
    </w:p>
    <w:p w14:paraId="2110DE7E">
      <w:pPr>
        <w:spacing w:before="0" w:after="0"/>
        <w:ind w:firstLine="560"/>
        <w:jc w:val="left"/>
        <w:outlineLvl w:val="9"/>
      </w:pPr>
      <w:r>
        <w:rPr>
          <w:rFonts w:ascii="方正仿宋_GBK" w:hAnsi="方正仿宋_GBK" w:eastAsia="方正仿宋_GBK" w:cs="方正仿宋_GBK"/>
          <w:b/>
          <w:color w:val="000000"/>
          <w:sz w:val="28"/>
        </w:rPr>
        <w:t>10、冀财教[2024]141号/省级/2025年义教补助经费/北吴疃小学公用经费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2D3D29F6">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CC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E06B0">
            <w:pPr>
              <w:pStyle w:val="14"/>
            </w:pPr>
            <w:r>
              <w:t>单位：万元</w:t>
            </w:r>
          </w:p>
        </w:tc>
      </w:tr>
      <w:tr w14:paraId="526D4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00C546">
            <w:pPr>
              <w:pStyle w:val="11"/>
            </w:pPr>
            <w:r>
              <w:t>项目编码</w:t>
            </w:r>
          </w:p>
        </w:tc>
        <w:tc>
          <w:tcPr>
            <w:tcW w:w="5103" w:type="dxa"/>
            <w:gridSpan w:val="2"/>
            <w:vAlign w:val="center"/>
          </w:tcPr>
          <w:p w14:paraId="0399F302">
            <w:pPr>
              <w:pStyle w:val="13"/>
            </w:pPr>
            <w:r>
              <w:t>13052525P00000410172K</w:t>
            </w:r>
          </w:p>
        </w:tc>
        <w:tc>
          <w:tcPr>
            <w:tcW w:w="2835" w:type="dxa"/>
            <w:vAlign w:val="center"/>
          </w:tcPr>
          <w:p w14:paraId="3F854F2F">
            <w:pPr>
              <w:pStyle w:val="11"/>
            </w:pPr>
            <w:r>
              <w:t>项目名称</w:t>
            </w:r>
          </w:p>
        </w:tc>
        <w:tc>
          <w:tcPr>
            <w:tcW w:w="6095" w:type="dxa"/>
            <w:gridSpan w:val="3"/>
            <w:vAlign w:val="center"/>
          </w:tcPr>
          <w:p w14:paraId="18BC4D60">
            <w:pPr>
              <w:pStyle w:val="13"/>
            </w:pPr>
            <w:r>
              <w:t>冀财教[2024]141号/省级/2025年义教补助经费/北吴疃小学公用经费</w:t>
            </w:r>
            <w:r>
              <w:tab/>
            </w:r>
            <w:r>
              <w:tab/>
            </w:r>
          </w:p>
          <w:p w14:paraId="504EBD43">
            <w:pPr>
              <w:pStyle w:val="13"/>
            </w:pPr>
          </w:p>
        </w:tc>
      </w:tr>
      <w:tr w14:paraId="779C81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79B61">
            <w:pPr>
              <w:pStyle w:val="11"/>
            </w:pPr>
            <w:r>
              <w:t>预算规模及资金用途</w:t>
            </w:r>
          </w:p>
        </w:tc>
        <w:tc>
          <w:tcPr>
            <w:tcW w:w="2268" w:type="dxa"/>
            <w:vAlign w:val="center"/>
          </w:tcPr>
          <w:p w14:paraId="2F5046B2">
            <w:pPr>
              <w:pStyle w:val="11"/>
            </w:pPr>
            <w:r>
              <w:t>预算数</w:t>
            </w:r>
          </w:p>
        </w:tc>
        <w:tc>
          <w:tcPr>
            <w:tcW w:w="2835" w:type="dxa"/>
            <w:vAlign w:val="center"/>
          </w:tcPr>
          <w:p w14:paraId="06208628">
            <w:pPr>
              <w:pStyle w:val="13"/>
            </w:pPr>
            <w:r>
              <w:t>4.28</w:t>
            </w:r>
          </w:p>
        </w:tc>
        <w:tc>
          <w:tcPr>
            <w:tcW w:w="2835" w:type="dxa"/>
            <w:vAlign w:val="center"/>
          </w:tcPr>
          <w:p w14:paraId="4F5D5F87">
            <w:pPr>
              <w:pStyle w:val="11"/>
            </w:pPr>
            <w:r>
              <w:t>其中：财政    资金</w:t>
            </w:r>
          </w:p>
        </w:tc>
        <w:tc>
          <w:tcPr>
            <w:tcW w:w="2551" w:type="dxa"/>
            <w:vAlign w:val="center"/>
          </w:tcPr>
          <w:p w14:paraId="0FDC3435">
            <w:pPr>
              <w:pStyle w:val="13"/>
            </w:pPr>
            <w:r>
              <w:t>4.28</w:t>
            </w:r>
          </w:p>
        </w:tc>
        <w:tc>
          <w:tcPr>
            <w:tcW w:w="2268" w:type="dxa"/>
            <w:vAlign w:val="center"/>
          </w:tcPr>
          <w:p w14:paraId="19CE6287">
            <w:pPr>
              <w:pStyle w:val="11"/>
            </w:pPr>
            <w:r>
              <w:t>其他资金</w:t>
            </w:r>
          </w:p>
        </w:tc>
        <w:tc>
          <w:tcPr>
            <w:tcW w:w="1276" w:type="dxa"/>
            <w:vAlign w:val="center"/>
          </w:tcPr>
          <w:p w14:paraId="7FA8A94A">
            <w:pPr>
              <w:pStyle w:val="13"/>
            </w:pPr>
            <w:r>
              <w:t xml:space="preserve"> </w:t>
            </w:r>
          </w:p>
        </w:tc>
      </w:tr>
      <w:tr w14:paraId="5076B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4310C"/>
        </w:tc>
        <w:tc>
          <w:tcPr>
            <w:tcW w:w="14033" w:type="dxa"/>
            <w:gridSpan w:val="6"/>
            <w:vAlign w:val="center"/>
          </w:tcPr>
          <w:p w14:paraId="1A31EBC8">
            <w:pPr>
              <w:pStyle w:val="13"/>
            </w:pPr>
            <w:r>
              <w:t>有效完成学校教学安全秩序，保障学校教学任务有效开展，满足学校正常教学需要。</w:t>
            </w:r>
          </w:p>
        </w:tc>
      </w:tr>
      <w:tr w14:paraId="1B60D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73649">
            <w:pPr>
              <w:pStyle w:val="11"/>
            </w:pPr>
            <w:r>
              <w:t>资金支出计划（%）</w:t>
            </w:r>
          </w:p>
        </w:tc>
        <w:tc>
          <w:tcPr>
            <w:tcW w:w="5103" w:type="dxa"/>
            <w:gridSpan w:val="2"/>
            <w:vAlign w:val="center"/>
          </w:tcPr>
          <w:p w14:paraId="0E284630">
            <w:pPr>
              <w:pStyle w:val="11"/>
            </w:pPr>
            <w:r>
              <w:t>3月底</w:t>
            </w:r>
          </w:p>
        </w:tc>
        <w:tc>
          <w:tcPr>
            <w:tcW w:w="2835" w:type="dxa"/>
            <w:vAlign w:val="center"/>
          </w:tcPr>
          <w:p w14:paraId="669FE485">
            <w:pPr>
              <w:pStyle w:val="11"/>
            </w:pPr>
            <w:r>
              <w:t>6月底</w:t>
            </w:r>
          </w:p>
        </w:tc>
        <w:tc>
          <w:tcPr>
            <w:tcW w:w="2551" w:type="dxa"/>
            <w:vAlign w:val="center"/>
          </w:tcPr>
          <w:p w14:paraId="1AA4AA80">
            <w:pPr>
              <w:pStyle w:val="11"/>
            </w:pPr>
            <w:r>
              <w:t>10月底</w:t>
            </w:r>
          </w:p>
        </w:tc>
        <w:tc>
          <w:tcPr>
            <w:tcW w:w="3544" w:type="dxa"/>
            <w:gridSpan w:val="2"/>
            <w:vAlign w:val="center"/>
          </w:tcPr>
          <w:p w14:paraId="3E6D6B08">
            <w:pPr>
              <w:pStyle w:val="11"/>
            </w:pPr>
            <w:r>
              <w:t>12月底</w:t>
            </w:r>
          </w:p>
        </w:tc>
      </w:tr>
      <w:tr w14:paraId="75737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7D6A6"/>
        </w:tc>
        <w:tc>
          <w:tcPr>
            <w:tcW w:w="5103" w:type="dxa"/>
            <w:gridSpan w:val="2"/>
            <w:vAlign w:val="center"/>
          </w:tcPr>
          <w:p w14:paraId="61D34621">
            <w:pPr>
              <w:pStyle w:val="12"/>
            </w:pPr>
            <w:r>
              <w:t>25%</w:t>
            </w:r>
          </w:p>
        </w:tc>
        <w:tc>
          <w:tcPr>
            <w:tcW w:w="2835" w:type="dxa"/>
            <w:vAlign w:val="center"/>
          </w:tcPr>
          <w:p w14:paraId="4E2807C5">
            <w:pPr>
              <w:pStyle w:val="12"/>
            </w:pPr>
            <w:r>
              <w:t>50%</w:t>
            </w:r>
          </w:p>
        </w:tc>
        <w:tc>
          <w:tcPr>
            <w:tcW w:w="2551" w:type="dxa"/>
            <w:vAlign w:val="center"/>
          </w:tcPr>
          <w:p w14:paraId="6D85853A">
            <w:pPr>
              <w:pStyle w:val="12"/>
            </w:pPr>
            <w:r>
              <w:t>75%</w:t>
            </w:r>
          </w:p>
        </w:tc>
        <w:tc>
          <w:tcPr>
            <w:tcW w:w="3544" w:type="dxa"/>
            <w:gridSpan w:val="2"/>
            <w:vAlign w:val="center"/>
          </w:tcPr>
          <w:p w14:paraId="1F17F3BA">
            <w:pPr>
              <w:pStyle w:val="12"/>
            </w:pPr>
            <w:r>
              <w:t>100%</w:t>
            </w:r>
          </w:p>
        </w:tc>
      </w:tr>
      <w:tr w14:paraId="55B22F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F4846">
            <w:pPr>
              <w:pStyle w:val="11"/>
            </w:pPr>
            <w:r>
              <w:t>绩效目标</w:t>
            </w:r>
          </w:p>
        </w:tc>
        <w:tc>
          <w:tcPr>
            <w:tcW w:w="14033" w:type="dxa"/>
            <w:gridSpan w:val="6"/>
            <w:vAlign w:val="center"/>
          </w:tcPr>
          <w:p w14:paraId="2B30D13B">
            <w:pPr>
              <w:pStyle w:val="13"/>
            </w:pPr>
            <w:r>
              <w:t>1.有效完成学校教学安全秩序，保障学校教学任务有效开展，满足学校正常教学需要。</w:t>
            </w:r>
          </w:p>
          <w:p w14:paraId="54AB7715">
            <w:pPr>
              <w:pStyle w:val="13"/>
            </w:pPr>
            <w:r>
              <w:t>2.按规定拨付公用经费资金，预算执行率≥98%。</w:t>
            </w:r>
          </w:p>
        </w:tc>
      </w:tr>
    </w:tbl>
    <w:p w14:paraId="12660A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117A2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D1118">
            <w:pPr>
              <w:pStyle w:val="11"/>
            </w:pPr>
            <w:r>
              <w:t>一级指标</w:t>
            </w:r>
          </w:p>
        </w:tc>
        <w:tc>
          <w:tcPr>
            <w:tcW w:w="2268" w:type="dxa"/>
            <w:vAlign w:val="center"/>
          </w:tcPr>
          <w:p w14:paraId="78054DD0">
            <w:pPr>
              <w:pStyle w:val="11"/>
            </w:pPr>
            <w:r>
              <w:t>二级指标</w:t>
            </w:r>
          </w:p>
        </w:tc>
        <w:tc>
          <w:tcPr>
            <w:tcW w:w="2835" w:type="dxa"/>
            <w:vAlign w:val="center"/>
          </w:tcPr>
          <w:p w14:paraId="62085B5D">
            <w:pPr>
              <w:pStyle w:val="11"/>
            </w:pPr>
            <w:r>
              <w:t>三级指标</w:t>
            </w:r>
          </w:p>
        </w:tc>
        <w:tc>
          <w:tcPr>
            <w:tcW w:w="5386" w:type="dxa"/>
            <w:vAlign w:val="center"/>
          </w:tcPr>
          <w:p w14:paraId="2C82477C">
            <w:pPr>
              <w:pStyle w:val="11"/>
            </w:pPr>
            <w:r>
              <w:t>绩效指标描述</w:t>
            </w:r>
          </w:p>
        </w:tc>
        <w:tc>
          <w:tcPr>
            <w:tcW w:w="1583" w:type="dxa"/>
            <w:vAlign w:val="center"/>
          </w:tcPr>
          <w:p w14:paraId="31C21EE6">
            <w:pPr>
              <w:pStyle w:val="11"/>
            </w:pPr>
            <w:r>
              <w:t>指标值</w:t>
            </w:r>
          </w:p>
        </w:tc>
        <w:tc>
          <w:tcPr>
            <w:tcW w:w="1961" w:type="dxa"/>
            <w:vAlign w:val="center"/>
          </w:tcPr>
          <w:p w14:paraId="7B95D649">
            <w:pPr>
              <w:pStyle w:val="11"/>
            </w:pPr>
            <w:r>
              <w:t>指标值确定依据</w:t>
            </w:r>
          </w:p>
        </w:tc>
      </w:tr>
      <w:tr w14:paraId="048F5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1BEEE">
            <w:pPr>
              <w:pStyle w:val="12"/>
            </w:pPr>
            <w:r>
              <w:t>产出指标</w:t>
            </w:r>
          </w:p>
        </w:tc>
        <w:tc>
          <w:tcPr>
            <w:tcW w:w="2268" w:type="dxa"/>
            <w:vAlign w:val="center"/>
          </w:tcPr>
          <w:p w14:paraId="298273AB">
            <w:pPr>
              <w:pStyle w:val="13"/>
            </w:pPr>
            <w:r>
              <w:t>数量指标</w:t>
            </w:r>
          </w:p>
        </w:tc>
        <w:tc>
          <w:tcPr>
            <w:tcW w:w="2835" w:type="dxa"/>
            <w:vAlign w:val="center"/>
          </w:tcPr>
          <w:p w14:paraId="7E06AB8B">
            <w:pPr>
              <w:pStyle w:val="13"/>
            </w:pPr>
            <w:r>
              <w:t>就读学生数</w:t>
            </w:r>
          </w:p>
        </w:tc>
        <w:tc>
          <w:tcPr>
            <w:tcW w:w="5386" w:type="dxa"/>
            <w:vAlign w:val="center"/>
          </w:tcPr>
          <w:p w14:paraId="11468352">
            <w:pPr>
              <w:pStyle w:val="13"/>
            </w:pPr>
            <w:r>
              <w:t>辐射区域内适龄学生人数</w:t>
            </w:r>
          </w:p>
        </w:tc>
        <w:tc>
          <w:tcPr>
            <w:tcW w:w="1583" w:type="dxa"/>
            <w:vAlign w:val="center"/>
          </w:tcPr>
          <w:p w14:paraId="16929DB0">
            <w:pPr>
              <w:pStyle w:val="13"/>
            </w:pPr>
            <w:r>
              <w:t>147人</w:t>
            </w:r>
          </w:p>
        </w:tc>
        <w:tc>
          <w:tcPr>
            <w:tcW w:w="1961" w:type="dxa"/>
            <w:vAlign w:val="center"/>
          </w:tcPr>
          <w:p w14:paraId="51A76962">
            <w:pPr>
              <w:pStyle w:val="13"/>
            </w:pPr>
            <w:r>
              <w:t>城乡义务教育公用经费管理办法</w:t>
            </w:r>
          </w:p>
        </w:tc>
      </w:tr>
      <w:tr w14:paraId="07290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3CAED"/>
        </w:tc>
        <w:tc>
          <w:tcPr>
            <w:tcW w:w="2268" w:type="dxa"/>
            <w:vAlign w:val="center"/>
          </w:tcPr>
          <w:p w14:paraId="16258008">
            <w:pPr>
              <w:pStyle w:val="13"/>
            </w:pPr>
            <w:r>
              <w:t>质量指标</w:t>
            </w:r>
          </w:p>
        </w:tc>
        <w:tc>
          <w:tcPr>
            <w:tcW w:w="2835" w:type="dxa"/>
            <w:vAlign w:val="center"/>
          </w:tcPr>
          <w:p w14:paraId="1311FB51">
            <w:pPr>
              <w:pStyle w:val="13"/>
            </w:pPr>
            <w:r>
              <w:t>预算执行率</w:t>
            </w:r>
          </w:p>
        </w:tc>
        <w:tc>
          <w:tcPr>
            <w:tcW w:w="5386" w:type="dxa"/>
            <w:vAlign w:val="center"/>
          </w:tcPr>
          <w:p w14:paraId="3BC4079D">
            <w:pPr>
              <w:pStyle w:val="13"/>
            </w:pPr>
            <w:r>
              <w:t>预算执行率</w:t>
            </w:r>
          </w:p>
        </w:tc>
        <w:tc>
          <w:tcPr>
            <w:tcW w:w="1583" w:type="dxa"/>
            <w:vAlign w:val="center"/>
          </w:tcPr>
          <w:p w14:paraId="6BD56A76">
            <w:pPr>
              <w:pStyle w:val="13"/>
            </w:pPr>
            <w:r>
              <w:t>≥98%</w:t>
            </w:r>
          </w:p>
        </w:tc>
        <w:tc>
          <w:tcPr>
            <w:tcW w:w="1961" w:type="dxa"/>
            <w:vAlign w:val="center"/>
          </w:tcPr>
          <w:p w14:paraId="427B1A9E">
            <w:pPr>
              <w:pStyle w:val="13"/>
            </w:pPr>
            <w:r>
              <w:t>城乡义务教育公用经费管理办法</w:t>
            </w:r>
          </w:p>
        </w:tc>
      </w:tr>
      <w:tr w14:paraId="1D5D4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72418"/>
        </w:tc>
        <w:tc>
          <w:tcPr>
            <w:tcW w:w="2268" w:type="dxa"/>
            <w:vAlign w:val="center"/>
          </w:tcPr>
          <w:p w14:paraId="60404CA7">
            <w:pPr>
              <w:pStyle w:val="13"/>
            </w:pPr>
            <w:r>
              <w:t>时效指标</w:t>
            </w:r>
          </w:p>
        </w:tc>
        <w:tc>
          <w:tcPr>
            <w:tcW w:w="2835" w:type="dxa"/>
            <w:vAlign w:val="center"/>
          </w:tcPr>
          <w:p w14:paraId="187EB3B0">
            <w:pPr>
              <w:pStyle w:val="13"/>
            </w:pPr>
            <w:r>
              <w:t>义教经费支付完成率</w:t>
            </w:r>
          </w:p>
        </w:tc>
        <w:tc>
          <w:tcPr>
            <w:tcW w:w="5386" w:type="dxa"/>
            <w:vAlign w:val="center"/>
          </w:tcPr>
          <w:p w14:paraId="717F6BAC">
            <w:pPr>
              <w:pStyle w:val="13"/>
            </w:pPr>
            <w:r>
              <w:t>按照序时进度完成资金支付</w:t>
            </w:r>
          </w:p>
        </w:tc>
        <w:tc>
          <w:tcPr>
            <w:tcW w:w="1583" w:type="dxa"/>
            <w:vAlign w:val="center"/>
          </w:tcPr>
          <w:p w14:paraId="72DD03B5">
            <w:pPr>
              <w:pStyle w:val="13"/>
            </w:pPr>
            <w:r>
              <w:t>≥100%</w:t>
            </w:r>
          </w:p>
        </w:tc>
        <w:tc>
          <w:tcPr>
            <w:tcW w:w="1961" w:type="dxa"/>
            <w:vAlign w:val="center"/>
          </w:tcPr>
          <w:p w14:paraId="1CDBEAC8">
            <w:pPr>
              <w:pStyle w:val="13"/>
            </w:pPr>
            <w:r>
              <w:t>城乡义务教育公用经费管理办法</w:t>
            </w:r>
          </w:p>
        </w:tc>
      </w:tr>
      <w:tr w14:paraId="4236D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C1EE6"/>
        </w:tc>
        <w:tc>
          <w:tcPr>
            <w:tcW w:w="2268" w:type="dxa"/>
            <w:vAlign w:val="center"/>
          </w:tcPr>
          <w:p w14:paraId="7D6FD9BA">
            <w:pPr>
              <w:pStyle w:val="13"/>
            </w:pPr>
            <w:r>
              <w:t>成本指标</w:t>
            </w:r>
          </w:p>
        </w:tc>
        <w:tc>
          <w:tcPr>
            <w:tcW w:w="2835" w:type="dxa"/>
            <w:vAlign w:val="center"/>
          </w:tcPr>
          <w:p w14:paraId="17AD6800">
            <w:pPr>
              <w:pStyle w:val="13"/>
            </w:pPr>
            <w:r>
              <w:t>生均拨款标准</w:t>
            </w:r>
          </w:p>
        </w:tc>
        <w:tc>
          <w:tcPr>
            <w:tcW w:w="5386" w:type="dxa"/>
            <w:vAlign w:val="center"/>
          </w:tcPr>
          <w:p w14:paraId="3C534047">
            <w:pPr>
              <w:pStyle w:val="13"/>
            </w:pPr>
            <w:r>
              <w:t>小学：（基本标准720元、寄宿生300元、生活补助120元）/生/学年；特教、随班就读学生：标准7000元/生/学年</w:t>
            </w:r>
          </w:p>
        </w:tc>
        <w:tc>
          <w:tcPr>
            <w:tcW w:w="1583" w:type="dxa"/>
            <w:vAlign w:val="center"/>
          </w:tcPr>
          <w:p w14:paraId="781718CB">
            <w:pPr>
              <w:pStyle w:val="13"/>
            </w:pPr>
            <w:r>
              <w:t>840元</w:t>
            </w:r>
          </w:p>
        </w:tc>
        <w:tc>
          <w:tcPr>
            <w:tcW w:w="1961" w:type="dxa"/>
            <w:vAlign w:val="center"/>
          </w:tcPr>
          <w:p w14:paraId="07C208B9">
            <w:pPr>
              <w:pStyle w:val="13"/>
            </w:pPr>
            <w:r>
              <w:t>城乡义务教育公用经费管理办法</w:t>
            </w:r>
          </w:p>
        </w:tc>
      </w:tr>
      <w:tr w14:paraId="6FCB0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A023DF">
            <w:pPr>
              <w:pStyle w:val="12"/>
            </w:pPr>
            <w:r>
              <w:t>效益指标</w:t>
            </w:r>
          </w:p>
        </w:tc>
        <w:tc>
          <w:tcPr>
            <w:tcW w:w="2268" w:type="dxa"/>
            <w:vAlign w:val="center"/>
          </w:tcPr>
          <w:p w14:paraId="205DADE5">
            <w:pPr>
              <w:pStyle w:val="13"/>
            </w:pPr>
            <w:r>
              <w:t>社会效益指标</w:t>
            </w:r>
          </w:p>
        </w:tc>
        <w:tc>
          <w:tcPr>
            <w:tcW w:w="2835" w:type="dxa"/>
            <w:vAlign w:val="center"/>
          </w:tcPr>
          <w:p w14:paraId="7B4C6FDA">
            <w:pPr>
              <w:pStyle w:val="13"/>
            </w:pPr>
            <w:r>
              <w:t>学校稳定率</w:t>
            </w:r>
          </w:p>
        </w:tc>
        <w:tc>
          <w:tcPr>
            <w:tcW w:w="5386" w:type="dxa"/>
            <w:vAlign w:val="center"/>
          </w:tcPr>
          <w:p w14:paraId="0DC52EAE">
            <w:pPr>
              <w:pStyle w:val="13"/>
            </w:pPr>
            <w:r>
              <w:t>维护学校稳定，保障学校正常教学秩序有效开展</w:t>
            </w:r>
          </w:p>
        </w:tc>
        <w:tc>
          <w:tcPr>
            <w:tcW w:w="1583" w:type="dxa"/>
            <w:vAlign w:val="center"/>
          </w:tcPr>
          <w:p w14:paraId="306F63E1">
            <w:pPr>
              <w:pStyle w:val="13"/>
            </w:pPr>
            <w:r>
              <w:t>≥100%</w:t>
            </w:r>
          </w:p>
        </w:tc>
        <w:tc>
          <w:tcPr>
            <w:tcW w:w="1961" w:type="dxa"/>
            <w:vAlign w:val="center"/>
          </w:tcPr>
          <w:p w14:paraId="1D82C891">
            <w:pPr>
              <w:pStyle w:val="13"/>
            </w:pPr>
            <w:r>
              <w:t>城乡义务教育公用经费管理办法</w:t>
            </w:r>
          </w:p>
        </w:tc>
      </w:tr>
      <w:tr w14:paraId="548BF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E4FA55">
            <w:pPr>
              <w:pStyle w:val="12"/>
            </w:pPr>
            <w:r>
              <w:t>满意度指标</w:t>
            </w:r>
          </w:p>
        </w:tc>
        <w:tc>
          <w:tcPr>
            <w:tcW w:w="2268" w:type="dxa"/>
            <w:vAlign w:val="center"/>
          </w:tcPr>
          <w:p w14:paraId="4FB9E585">
            <w:pPr>
              <w:pStyle w:val="13"/>
            </w:pPr>
            <w:r>
              <w:t>服务对象满意度指标</w:t>
            </w:r>
          </w:p>
        </w:tc>
        <w:tc>
          <w:tcPr>
            <w:tcW w:w="2835" w:type="dxa"/>
            <w:vAlign w:val="center"/>
          </w:tcPr>
          <w:p w14:paraId="08B3979F">
            <w:pPr>
              <w:pStyle w:val="13"/>
            </w:pPr>
            <w:r>
              <w:t>家长和学生满意度</w:t>
            </w:r>
          </w:p>
        </w:tc>
        <w:tc>
          <w:tcPr>
            <w:tcW w:w="5386" w:type="dxa"/>
            <w:vAlign w:val="center"/>
          </w:tcPr>
          <w:p w14:paraId="77CDA749">
            <w:pPr>
              <w:pStyle w:val="13"/>
            </w:pPr>
            <w:r>
              <w:t>家长和学生满意度</w:t>
            </w:r>
          </w:p>
        </w:tc>
        <w:tc>
          <w:tcPr>
            <w:tcW w:w="1583" w:type="dxa"/>
            <w:vAlign w:val="center"/>
          </w:tcPr>
          <w:p w14:paraId="2FFA14EF">
            <w:pPr>
              <w:pStyle w:val="13"/>
            </w:pPr>
            <w:r>
              <w:t>≥95%</w:t>
            </w:r>
          </w:p>
        </w:tc>
        <w:tc>
          <w:tcPr>
            <w:tcW w:w="1961" w:type="dxa"/>
            <w:vAlign w:val="center"/>
          </w:tcPr>
          <w:p w14:paraId="099684F4">
            <w:pPr>
              <w:pStyle w:val="13"/>
            </w:pPr>
            <w:r>
              <w:t>问卷调查</w:t>
            </w:r>
          </w:p>
        </w:tc>
      </w:tr>
    </w:tbl>
    <w:p w14:paraId="13ED21FB">
      <w:pPr>
        <w:sectPr>
          <w:pgSz w:w="16840" w:h="11900" w:orient="landscape"/>
          <w:pgMar w:top="1361" w:right="1020" w:bottom="1134" w:left="1020" w:header="720" w:footer="720" w:gutter="0"/>
          <w:cols w:space="720" w:num="1"/>
        </w:sectPr>
      </w:pPr>
    </w:p>
    <w:p w14:paraId="7820C3F1">
      <w:pPr>
        <w:spacing w:before="0" w:after="0"/>
        <w:ind w:firstLine="560"/>
        <w:jc w:val="left"/>
        <w:outlineLvl w:val="9"/>
      </w:pPr>
      <w:r>
        <w:rPr>
          <w:rFonts w:ascii="方正仿宋_GBK" w:hAnsi="方正仿宋_GBK" w:eastAsia="方正仿宋_GBK" w:cs="方正仿宋_GBK"/>
          <w:b/>
          <w:color w:val="000000"/>
          <w:sz w:val="28"/>
        </w:rPr>
        <w:t>11、冀财教[2024]141号/省级/2025年义教补助经费/旧城小学公用经费绩效目标表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98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DEF32">
            <w:pPr>
              <w:pStyle w:val="14"/>
            </w:pPr>
            <w:r>
              <w:t>单位：万元</w:t>
            </w:r>
          </w:p>
        </w:tc>
      </w:tr>
      <w:tr w14:paraId="4FDE4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9E399">
            <w:pPr>
              <w:pStyle w:val="11"/>
            </w:pPr>
            <w:r>
              <w:t>项目编码</w:t>
            </w:r>
          </w:p>
        </w:tc>
        <w:tc>
          <w:tcPr>
            <w:tcW w:w="5103" w:type="dxa"/>
            <w:gridSpan w:val="2"/>
            <w:vAlign w:val="center"/>
          </w:tcPr>
          <w:p w14:paraId="1AFE4919">
            <w:pPr>
              <w:pStyle w:val="13"/>
            </w:pPr>
            <w:r>
              <w:t>13052525P00000410199L</w:t>
            </w:r>
          </w:p>
        </w:tc>
        <w:tc>
          <w:tcPr>
            <w:tcW w:w="2835" w:type="dxa"/>
            <w:vAlign w:val="center"/>
          </w:tcPr>
          <w:p w14:paraId="0F59ADBC">
            <w:pPr>
              <w:pStyle w:val="11"/>
            </w:pPr>
            <w:r>
              <w:t>项目名称</w:t>
            </w:r>
          </w:p>
        </w:tc>
        <w:tc>
          <w:tcPr>
            <w:tcW w:w="6095" w:type="dxa"/>
            <w:gridSpan w:val="3"/>
            <w:vAlign w:val="center"/>
          </w:tcPr>
          <w:p w14:paraId="3525B1E6">
            <w:pPr>
              <w:pStyle w:val="13"/>
            </w:pPr>
            <w:r>
              <w:t>冀财教[2024]141号/省级/2025年义教补助经费/旧城小学公用经费</w:t>
            </w:r>
          </w:p>
        </w:tc>
      </w:tr>
      <w:tr w14:paraId="4C488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81D94">
            <w:pPr>
              <w:pStyle w:val="11"/>
            </w:pPr>
            <w:r>
              <w:t>预算规模及资金用途</w:t>
            </w:r>
          </w:p>
        </w:tc>
        <w:tc>
          <w:tcPr>
            <w:tcW w:w="2268" w:type="dxa"/>
            <w:vAlign w:val="center"/>
          </w:tcPr>
          <w:p w14:paraId="2F8F616E">
            <w:pPr>
              <w:pStyle w:val="11"/>
            </w:pPr>
            <w:r>
              <w:t>预算数</w:t>
            </w:r>
          </w:p>
        </w:tc>
        <w:tc>
          <w:tcPr>
            <w:tcW w:w="2835" w:type="dxa"/>
            <w:vAlign w:val="center"/>
          </w:tcPr>
          <w:p w14:paraId="2E174EA0">
            <w:pPr>
              <w:pStyle w:val="13"/>
            </w:pPr>
            <w:r>
              <w:t>20.52</w:t>
            </w:r>
          </w:p>
        </w:tc>
        <w:tc>
          <w:tcPr>
            <w:tcW w:w="2835" w:type="dxa"/>
            <w:vAlign w:val="center"/>
          </w:tcPr>
          <w:p w14:paraId="5E4CD3F5">
            <w:pPr>
              <w:pStyle w:val="11"/>
            </w:pPr>
            <w:r>
              <w:t>其中：财政    资金</w:t>
            </w:r>
          </w:p>
        </w:tc>
        <w:tc>
          <w:tcPr>
            <w:tcW w:w="2551" w:type="dxa"/>
            <w:vAlign w:val="center"/>
          </w:tcPr>
          <w:p w14:paraId="60C9E43E">
            <w:pPr>
              <w:pStyle w:val="13"/>
            </w:pPr>
            <w:r>
              <w:t>20.52</w:t>
            </w:r>
          </w:p>
        </w:tc>
        <w:tc>
          <w:tcPr>
            <w:tcW w:w="2268" w:type="dxa"/>
            <w:vAlign w:val="center"/>
          </w:tcPr>
          <w:p w14:paraId="4C78DFB8">
            <w:pPr>
              <w:pStyle w:val="11"/>
            </w:pPr>
            <w:r>
              <w:t>其他资金</w:t>
            </w:r>
          </w:p>
        </w:tc>
        <w:tc>
          <w:tcPr>
            <w:tcW w:w="1276" w:type="dxa"/>
            <w:vAlign w:val="center"/>
          </w:tcPr>
          <w:p w14:paraId="4B4E34D5">
            <w:pPr>
              <w:pStyle w:val="13"/>
            </w:pPr>
            <w:r>
              <w:t xml:space="preserve"> </w:t>
            </w:r>
          </w:p>
        </w:tc>
      </w:tr>
      <w:tr w14:paraId="4B5A45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67592"/>
        </w:tc>
        <w:tc>
          <w:tcPr>
            <w:tcW w:w="14033" w:type="dxa"/>
            <w:gridSpan w:val="6"/>
            <w:vAlign w:val="center"/>
          </w:tcPr>
          <w:p w14:paraId="06DA527E">
            <w:pPr>
              <w:pStyle w:val="13"/>
            </w:pPr>
            <w:r>
              <w:t>有效完成学校教学安全秩序，保障学校教学任务有效开展，满足学校正常教学需要。</w:t>
            </w:r>
          </w:p>
        </w:tc>
      </w:tr>
      <w:tr w14:paraId="5A234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01D52">
            <w:pPr>
              <w:pStyle w:val="11"/>
            </w:pPr>
            <w:r>
              <w:t>资金支出计划（%）</w:t>
            </w:r>
          </w:p>
        </w:tc>
        <w:tc>
          <w:tcPr>
            <w:tcW w:w="5103" w:type="dxa"/>
            <w:gridSpan w:val="2"/>
            <w:vAlign w:val="center"/>
          </w:tcPr>
          <w:p w14:paraId="1290CE23">
            <w:pPr>
              <w:pStyle w:val="11"/>
            </w:pPr>
            <w:r>
              <w:t>3月底</w:t>
            </w:r>
          </w:p>
        </w:tc>
        <w:tc>
          <w:tcPr>
            <w:tcW w:w="2835" w:type="dxa"/>
            <w:vAlign w:val="center"/>
          </w:tcPr>
          <w:p w14:paraId="14275FA3">
            <w:pPr>
              <w:pStyle w:val="11"/>
            </w:pPr>
            <w:r>
              <w:t>6月底</w:t>
            </w:r>
          </w:p>
        </w:tc>
        <w:tc>
          <w:tcPr>
            <w:tcW w:w="2551" w:type="dxa"/>
            <w:vAlign w:val="center"/>
          </w:tcPr>
          <w:p w14:paraId="5265EA24">
            <w:pPr>
              <w:pStyle w:val="11"/>
            </w:pPr>
            <w:r>
              <w:t>10月底</w:t>
            </w:r>
          </w:p>
        </w:tc>
        <w:tc>
          <w:tcPr>
            <w:tcW w:w="3544" w:type="dxa"/>
            <w:gridSpan w:val="2"/>
            <w:vAlign w:val="center"/>
          </w:tcPr>
          <w:p w14:paraId="14A5D1FB">
            <w:pPr>
              <w:pStyle w:val="11"/>
            </w:pPr>
            <w:r>
              <w:t>12月底</w:t>
            </w:r>
          </w:p>
        </w:tc>
      </w:tr>
      <w:tr w14:paraId="019D4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93C89"/>
        </w:tc>
        <w:tc>
          <w:tcPr>
            <w:tcW w:w="5103" w:type="dxa"/>
            <w:gridSpan w:val="2"/>
            <w:vAlign w:val="center"/>
          </w:tcPr>
          <w:p w14:paraId="5C9B1FB7">
            <w:pPr>
              <w:pStyle w:val="12"/>
            </w:pPr>
            <w:r>
              <w:t>25%</w:t>
            </w:r>
          </w:p>
        </w:tc>
        <w:tc>
          <w:tcPr>
            <w:tcW w:w="2835" w:type="dxa"/>
            <w:vAlign w:val="center"/>
          </w:tcPr>
          <w:p w14:paraId="445340CB">
            <w:pPr>
              <w:pStyle w:val="12"/>
            </w:pPr>
            <w:r>
              <w:t>50%</w:t>
            </w:r>
          </w:p>
        </w:tc>
        <w:tc>
          <w:tcPr>
            <w:tcW w:w="2551" w:type="dxa"/>
            <w:vAlign w:val="center"/>
          </w:tcPr>
          <w:p w14:paraId="3BEB6CB9">
            <w:pPr>
              <w:pStyle w:val="12"/>
            </w:pPr>
            <w:r>
              <w:t>75%</w:t>
            </w:r>
          </w:p>
        </w:tc>
        <w:tc>
          <w:tcPr>
            <w:tcW w:w="3544" w:type="dxa"/>
            <w:gridSpan w:val="2"/>
            <w:vAlign w:val="center"/>
          </w:tcPr>
          <w:p w14:paraId="1EC8748F">
            <w:pPr>
              <w:pStyle w:val="12"/>
            </w:pPr>
            <w:r>
              <w:t>100%</w:t>
            </w:r>
          </w:p>
        </w:tc>
      </w:tr>
      <w:tr w14:paraId="7E08D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7DCA8E">
            <w:pPr>
              <w:pStyle w:val="11"/>
            </w:pPr>
            <w:r>
              <w:t>绩效目标</w:t>
            </w:r>
          </w:p>
        </w:tc>
        <w:tc>
          <w:tcPr>
            <w:tcW w:w="14033" w:type="dxa"/>
            <w:gridSpan w:val="6"/>
            <w:vAlign w:val="center"/>
          </w:tcPr>
          <w:p w14:paraId="0BA2FC39">
            <w:pPr>
              <w:pStyle w:val="13"/>
            </w:pPr>
            <w:r>
              <w:t>1.按规定拨付公用经费资金，预算执行率≥98%。</w:t>
            </w:r>
          </w:p>
          <w:p w14:paraId="3D77D8B6">
            <w:pPr>
              <w:pStyle w:val="13"/>
            </w:pPr>
            <w:r>
              <w:t>2.有效完成学校教学安全秩序，保障学校教学任务有效开展，满足学校正常教学需要。</w:t>
            </w:r>
          </w:p>
        </w:tc>
      </w:tr>
    </w:tbl>
    <w:p w14:paraId="669464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91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98D032">
            <w:pPr>
              <w:pStyle w:val="11"/>
            </w:pPr>
            <w:r>
              <w:t>一级指标</w:t>
            </w:r>
          </w:p>
        </w:tc>
        <w:tc>
          <w:tcPr>
            <w:tcW w:w="2268" w:type="dxa"/>
            <w:vAlign w:val="center"/>
          </w:tcPr>
          <w:p w14:paraId="459F54AF">
            <w:pPr>
              <w:pStyle w:val="11"/>
            </w:pPr>
            <w:r>
              <w:t>二级指标</w:t>
            </w:r>
          </w:p>
        </w:tc>
        <w:tc>
          <w:tcPr>
            <w:tcW w:w="2835" w:type="dxa"/>
            <w:vAlign w:val="center"/>
          </w:tcPr>
          <w:p w14:paraId="717B0B49">
            <w:pPr>
              <w:pStyle w:val="11"/>
            </w:pPr>
            <w:r>
              <w:t>三级指标</w:t>
            </w:r>
          </w:p>
        </w:tc>
        <w:tc>
          <w:tcPr>
            <w:tcW w:w="5386" w:type="dxa"/>
            <w:vAlign w:val="center"/>
          </w:tcPr>
          <w:p w14:paraId="3F6C1A79">
            <w:pPr>
              <w:pStyle w:val="11"/>
            </w:pPr>
            <w:r>
              <w:t>绩效指标描述</w:t>
            </w:r>
          </w:p>
        </w:tc>
        <w:tc>
          <w:tcPr>
            <w:tcW w:w="2268" w:type="dxa"/>
            <w:vAlign w:val="center"/>
          </w:tcPr>
          <w:p w14:paraId="1B786485">
            <w:pPr>
              <w:pStyle w:val="11"/>
            </w:pPr>
            <w:r>
              <w:t>指标值</w:t>
            </w:r>
          </w:p>
        </w:tc>
        <w:tc>
          <w:tcPr>
            <w:tcW w:w="1276" w:type="dxa"/>
            <w:vAlign w:val="center"/>
          </w:tcPr>
          <w:p w14:paraId="2B4A1C9A">
            <w:pPr>
              <w:pStyle w:val="11"/>
            </w:pPr>
            <w:r>
              <w:t>指标值确定依据</w:t>
            </w:r>
          </w:p>
        </w:tc>
      </w:tr>
      <w:tr w14:paraId="1644E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E7082">
            <w:pPr>
              <w:pStyle w:val="12"/>
            </w:pPr>
            <w:r>
              <w:t>产出指标</w:t>
            </w:r>
          </w:p>
        </w:tc>
        <w:tc>
          <w:tcPr>
            <w:tcW w:w="2268" w:type="dxa"/>
            <w:vAlign w:val="center"/>
          </w:tcPr>
          <w:p w14:paraId="6AB8C6E2">
            <w:pPr>
              <w:pStyle w:val="13"/>
            </w:pPr>
            <w:r>
              <w:t>数量指标</w:t>
            </w:r>
          </w:p>
        </w:tc>
        <w:tc>
          <w:tcPr>
            <w:tcW w:w="2835" w:type="dxa"/>
            <w:vAlign w:val="center"/>
          </w:tcPr>
          <w:p w14:paraId="078B4E7C">
            <w:pPr>
              <w:pStyle w:val="13"/>
            </w:pPr>
            <w:r>
              <w:t>就读学生数</w:t>
            </w:r>
          </w:p>
        </w:tc>
        <w:tc>
          <w:tcPr>
            <w:tcW w:w="5386" w:type="dxa"/>
            <w:vAlign w:val="center"/>
          </w:tcPr>
          <w:p w14:paraId="650B3AD8">
            <w:pPr>
              <w:pStyle w:val="13"/>
            </w:pPr>
            <w:r>
              <w:t>辐射区域内适龄学生人数</w:t>
            </w:r>
          </w:p>
        </w:tc>
        <w:tc>
          <w:tcPr>
            <w:tcW w:w="2268" w:type="dxa"/>
            <w:vAlign w:val="center"/>
          </w:tcPr>
          <w:p w14:paraId="2D9DF82C">
            <w:pPr>
              <w:pStyle w:val="13"/>
            </w:pPr>
            <w:r>
              <w:t>618人</w:t>
            </w:r>
          </w:p>
        </w:tc>
        <w:tc>
          <w:tcPr>
            <w:tcW w:w="1276" w:type="dxa"/>
            <w:vAlign w:val="center"/>
          </w:tcPr>
          <w:p w14:paraId="0F16A2D1">
            <w:pPr>
              <w:pStyle w:val="13"/>
            </w:pPr>
            <w:r>
              <w:t>城乡义务教育公用经费管理办法</w:t>
            </w:r>
          </w:p>
        </w:tc>
      </w:tr>
      <w:tr w14:paraId="19306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EB98E"/>
        </w:tc>
        <w:tc>
          <w:tcPr>
            <w:tcW w:w="2268" w:type="dxa"/>
            <w:vAlign w:val="center"/>
          </w:tcPr>
          <w:p w14:paraId="2BD95B31">
            <w:pPr>
              <w:pStyle w:val="13"/>
            </w:pPr>
            <w:r>
              <w:t>质量指标</w:t>
            </w:r>
          </w:p>
        </w:tc>
        <w:tc>
          <w:tcPr>
            <w:tcW w:w="2835" w:type="dxa"/>
            <w:vAlign w:val="center"/>
          </w:tcPr>
          <w:p w14:paraId="0E34AF66">
            <w:pPr>
              <w:pStyle w:val="13"/>
            </w:pPr>
            <w:r>
              <w:t>预算执行率</w:t>
            </w:r>
          </w:p>
        </w:tc>
        <w:tc>
          <w:tcPr>
            <w:tcW w:w="5386" w:type="dxa"/>
            <w:vAlign w:val="center"/>
          </w:tcPr>
          <w:p w14:paraId="46A86957">
            <w:pPr>
              <w:pStyle w:val="13"/>
            </w:pPr>
            <w:r>
              <w:t>预算执行率</w:t>
            </w:r>
          </w:p>
        </w:tc>
        <w:tc>
          <w:tcPr>
            <w:tcW w:w="2268" w:type="dxa"/>
            <w:vAlign w:val="center"/>
          </w:tcPr>
          <w:p w14:paraId="59DB8B46">
            <w:pPr>
              <w:pStyle w:val="13"/>
            </w:pPr>
            <w:r>
              <w:t>≥98%</w:t>
            </w:r>
          </w:p>
        </w:tc>
        <w:tc>
          <w:tcPr>
            <w:tcW w:w="1276" w:type="dxa"/>
            <w:vAlign w:val="center"/>
          </w:tcPr>
          <w:p w14:paraId="2A0DB857">
            <w:pPr>
              <w:pStyle w:val="13"/>
            </w:pPr>
            <w:r>
              <w:t>城乡义务教育公用经费管理办法</w:t>
            </w:r>
          </w:p>
        </w:tc>
      </w:tr>
      <w:tr w14:paraId="566D7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2044E"/>
        </w:tc>
        <w:tc>
          <w:tcPr>
            <w:tcW w:w="2268" w:type="dxa"/>
            <w:vAlign w:val="center"/>
          </w:tcPr>
          <w:p w14:paraId="38BABFF4">
            <w:pPr>
              <w:pStyle w:val="13"/>
            </w:pPr>
            <w:r>
              <w:t>时效指标</w:t>
            </w:r>
          </w:p>
        </w:tc>
        <w:tc>
          <w:tcPr>
            <w:tcW w:w="2835" w:type="dxa"/>
            <w:vAlign w:val="center"/>
          </w:tcPr>
          <w:p w14:paraId="1B664266">
            <w:pPr>
              <w:pStyle w:val="13"/>
            </w:pPr>
            <w:r>
              <w:t>义教经费支付完成率</w:t>
            </w:r>
          </w:p>
        </w:tc>
        <w:tc>
          <w:tcPr>
            <w:tcW w:w="5386" w:type="dxa"/>
            <w:vAlign w:val="center"/>
          </w:tcPr>
          <w:p w14:paraId="04BA5D08">
            <w:pPr>
              <w:pStyle w:val="13"/>
            </w:pPr>
            <w:r>
              <w:t>按照序时进度完成资金支付</w:t>
            </w:r>
          </w:p>
        </w:tc>
        <w:tc>
          <w:tcPr>
            <w:tcW w:w="2268" w:type="dxa"/>
            <w:vAlign w:val="center"/>
          </w:tcPr>
          <w:p w14:paraId="73BB580B">
            <w:pPr>
              <w:pStyle w:val="13"/>
            </w:pPr>
            <w:r>
              <w:t>≥100%</w:t>
            </w:r>
          </w:p>
        </w:tc>
        <w:tc>
          <w:tcPr>
            <w:tcW w:w="1276" w:type="dxa"/>
            <w:vAlign w:val="center"/>
          </w:tcPr>
          <w:p w14:paraId="7F39CA1C">
            <w:pPr>
              <w:pStyle w:val="13"/>
            </w:pPr>
            <w:r>
              <w:t>城乡义务教育公用经费管理办法</w:t>
            </w:r>
          </w:p>
        </w:tc>
      </w:tr>
      <w:tr w14:paraId="4B477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58491"/>
        </w:tc>
        <w:tc>
          <w:tcPr>
            <w:tcW w:w="2268" w:type="dxa"/>
            <w:vAlign w:val="center"/>
          </w:tcPr>
          <w:p w14:paraId="2EEFEDCD">
            <w:pPr>
              <w:pStyle w:val="13"/>
            </w:pPr>
            <w:r>
              <w:t>成本指标</w:t>
            </w:r>
          </w:p>
        </w:tc>
        <w:tc>
          <w:tcPr>
            <w:tcW w:w="2835" w:type="dxa"/>
            <w:vAlign w:val="center"/>
          </w:tcPr>
          <w:p w14:paraId="7AE21236">
            <w:pPr>
              <w:pStyle w:val="13"/>
            </w:pPr>
            <w:r>
              <w:t>生均拨款标准</w:t>
            </w:r>
          </w:p>
        </w:tc>
        <w:tc>
          <w:tcPr>
            <w:tcW w:w="5386" w:type="dxa"/>
            <w:vAlign w:val="center"/>
          </w:tcPr>
          <w:p w14:paraId="375FBCBF">
            <w:pPr>
              <w:pStyle w:val="13"/>
            </w:pPr>
            <w:r>
              <w:t>小学：（基本标准720元、寄宿生300元、生活补助120元）/生/学年；特教、随班就读学生：标准7000元/生/学年</w:t>
            </w:r>
          </w:p>
        </w:tc>
        <w:tc>
          <w:tcPr>
            <w:tcW w:w="2268" w:type="dxa"/>
            <w:vAlign w:val="center"/>
          </w:tcPr>
          <w:p w14:paraId="4C655BD3">
            <w:pPr>
              <w:pStyle w:val="13"/>
            </w:pPr>
            <w:r>
              <w:t>840元</w:t>
            </w:r>
          </w:p>
        </w:tc>
        <w:tc>
          <w:tcPr>
            <w:tcW w:w="1276" w:type="dxa"/>
            <w:vAlign w:val="center"/>
          </w:tcPr>
          <w:p w14:paraId="59098FBB">
            <w:pPr>
              <w:pStyle w:val="13"/>
            </w:pPr>
            <w:r>
              <w:t>城乡义务教育公用经费管理办法</w:t>
            </w:r>
          </w:p>
        </w:tc>
      </w:tr>
      <w:tr w14:paraId="28D43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9D8DDA">
            <w:pPr>
              <w:pStyle w:val="12"/>
            </w:pPr>
            <w:r>
              <w:t>效益指标</w:t>
            </w:r>
          </w:p>
        </w:tc>
        <w:tc>
          <w:tcPr>
            <w:tcW w:w="2268" w:type="dxa"/>
            <w:vAlign w:val="center"/>
          </w:tcPr>
          <w:p w14:paraId="57C17155">
            <w:pPr>
              <w:pStyle w:val="13"/>
            </w:pPr>
            <w:r>
              <w:t>社会效益指标</w:t>
            </w:r>
          </w:p>
        </w:tc>
        <w:tc>
          <w:tcPr>
            <w:tcW w:w="2835" w:type="dxa"/>
            <w:vAlign w:val="center"/>
          </w:tcPr>
          <w:p w14:paraId="47D50C09">
            <w:pPr>
              <w:pStyle w:val="13"/>
            </w:pPr>
            <w:r>
              <w:t>学校稳定率</w:t>
            </w:r>
          </w:p>
        </w:tc>
        <w:tc>
          <w:tcPr>
            <w:tcW w:w="5386" w:type="dxa"/>
            <w:vAlign w:val="center"/>
          </w:tcPr>
          <w:p w14:paraId="60DEAB28">
            <w:pPr>
              <w:pStyle w:val="13"/>
            </w:pPr>
            <w:r>
              <w:t>维护学校稳定，保障学校正常教学秩序有效开展</w:t>
            </w:r>
          </w:p>
        </w:tc>
        <w:tc>
          <w:tcPr>
            <w:tcW w:w="2268" w:type="dxa"/>
            <w:vAlign w:val="center"/>
          </w:tcPr>
          <w:p w14:paraId="5861D72B">
            <w:pPr>
              <w:pStyle w:val="13"/>
            </w:pPr>
            <w:r>
              <w:t>≥100%</w:t>
            </w:r>
          </w:p>
        </w:tc>
        <w:tc>
          <w:tcPr>
            <w:tcW w:w="1276" w:type="dxa"/>
            <w:vAlign w:val="center"/>
          </w:tcPr>
          <w:p w14:paraId="7329F9B1">
            <w:pPr>
              <w:pStyle w:val="13"/>
            </w:pPr>
            <w:r>
              <w:t>城乡义务教育公用经费管理办法</w:t>
            </w:r>
          </w:p>
        </w:tc>
      </w:tr>
      <w:tr w14:paraId="2912F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DDFC26">
            <w:pPr>
              <w:pStyle w:val="12"/>
            </w:pPr>
            <w:r>
              <w:t>满意度指标</w:t>
            </w:r>
          </w:p>
        </w:tc>
        <w:tc>
          <w:tcPr>
            <w:tcW w:w="2268" w:type="dxa"/>
            <w:vAlign w:val="center"/>
          </w:tcPr>
          <w:p w14:paraId="50E9E64B">
            <w:pPr>
              <w:pStyle w:val="13"/>
            </w:pPr>
            <w:r>
              <w:t>服务对象满意度指标</w:t>
            </w:r>
          </w:p>
        </w:tc>
        <w:tc>
          <w:tcPr>
            <w:tcW w:w="2835" w:type="dxa"/>
            <w:vAlign w:val="center"/>
          </w:tcPr>
          <w:p w14:paraId="4287C3F8">
            <w:pPr>
              <w:pStyle w:val="13"/>
            </w:pPr>
            <w:r>
              <w:t>家长和学生满意度</w:t>
            </w:r>
          </w:p>
        </w:tc>
        <w:tc>
          <w:tcPr>
            <w:tcW w:w="5386" w:type="dxa"/>
            <w:vAlign w:val="center"/>
          </w:tcPr>
          <w:p w14:paraId="4B54C6DD">
            <w:pPr>
              <w:pStyle w:val="13"/>
            </w:pPr>
            <w:r>
              <w:t>家长和学生满意度</w:t>
            </w:r>
          </w:p>
        </w:tc>
        <w:tc>
          <w:tcPr>
            <w:tcW w:w="2268" w:type="dxa"/>
            <w:vAlign w:val="center"/>
          </w:tcPr>
          <w:p w14:paraId="57275263">
            <w:pPr>
              <w:pStyle w:val="13"/>
            </w:pPr>
            <w:r>
              <w:t>≥95%</w:t>
            </w:r>
          </w:p>
        </w:tc>
        <w:tc>
          <w:tcPr>
            <w:tcW w:w="1276" w:type="dxa"/>
            <w:vAlign w:val="center"/>
          </w:tcPr>
          <w:p w14:paraId="3ADCD1D2">
            <w:pPr>
              <w:pStyle w:val="13"/>
            </w:pPr>
            <w:r>
              <w:t>问卷调查</w:t>
            </w:r>
          </w:p>
        </w:tc>
      </w:tr>
    </w:tbl>
    <w:p w14:paraId="1A16E8D5">
      <w:pPr>
        <w:sectPr>
          <w:pgSz w:w="16840" w:h="11900" w:orient="landscape"/>
          <w:pgMar w:top="1361" w:right="1020" w:bottom="1134" w:left="1020" w:header="720" w:footer="720" w:gutter="0"/>
          <w:cols w:space="720" w:num="1"/>
        </w:sectPr>
      </w:pPr>
    </w:p>
    <w:p w14:paraId="7E8208B4">
      <w:pPr>
        <w:spacing w:before="0" w:after="0"/>
        <w:ind w:firstLine="560"/>
        <w:jc w:val="left"/>
        <w:outlineLvl w:val="9"/>
      </w:pPr>
      <w:r>
        <w:rPr>
          <w:rFonts w:ascii="方正仿宋_GBK" w:hAnsi="方正仿宋_GBK" w:eastAsia="方正仿宋_GBK" w:cs="方正仿宋_GBK"/>
          <w:b/>
          <w:color w:val="000000"/>
          <w:sz w:val="28"/>
        </w:rPr>
        <w:t>12、冀财教[2024]141号/省级/2025年义教补助经费/开河村小学公用经费绩效目标表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5E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FE0E6">
            <w:pPr>
              <w:pStyle w:val="14"/>
            </w:pPr>
            <w:r>
              <w:t>单位：万元</w:t>
            </w:r>
          </w:p>
        </w:tc>
      </w:tr>
      <w:tr w14:paraId="362A5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FF255">
            <w:pPr>
              <w:pStyle w:val="11"/>
            </w:pPr>
            <w:r>
              <w:t>项目编码</w:t>
            </w:r>
          </w:p>
        </w:tc>
        <w:tc>
          <w:tcPr>
            <w:tcW w:w="5103" w:type="dxa"/>
            <w:gridSpan w:val="2"/>
            <w:vAlign w:val="center"/>
          </w:tcPr>
          <w:p w14:paraId="5D84AC42">
            <w:pPr>
              <w:pStyle w:val="13"/>
            </w:pPr>
            <w:r>
              <w:t>13052525P000004101789</w:t>
            </w:r>
          </w:p>
        </w:tc>
        <w:tc>
          <w:tcPr>
            <w:tcW w:w="2835" w:type="dxa"/>
            <w:vAlign w:val="center"/>
          </w:tcPr>
          <w:p w14:paraId="7E7F6175">
            <w:pPr>
              <w:pStyle w:val="11"/>
            </w:pPr>
            <w:r>
              <w:t>项目名称</w:t>
            </w:r>
          </w:p>
        </w:tc>
        <w:tc>
          <w:tcPr>
            <w:tcW w:w="6095" w:type="dxa"/>
            <w:gridSpan w:val="3"/>
            <w:vAlign w:val="center"/>
          </w:tcPr>
          <w:p w14:paraId="7D3E2359">
            <w:pPr>
              <w:pStyle w:val="13"/>
            </w:pPr>
            <w:r>
              <w:t>冀财教[2024]141号/省级/2025年义教补助经费/开河村小学公用经费</w:t>
            </w:r>
          </w:p>
        </w:tc>
      </w:tr>
      <w:tr w14:paraId="0BD835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420C0">
            <w:pPr>
              <w:pStyle w:val="11"/>
            </w:pPr>
            <w:r>
              <w:t>预算规模及资金用途</w:t>
            </w:r>
          </w:p>
        </w:tc>
        <w:tc>
          <w:tcPr>
            <w:tcW w:w="2268" w:type="dxa"/>
            <w:vAlign w:val="center"/>
          </w:tcPr>
          <w:p w14:paraId="30CEB17E">
            <w:pPr>
              <w:pStyle w:val="11"/>
            </w:pPr>
            <w:r>
              <w:t>预算数</w:t>
            </w:r>
          </w:p>
        </w:tc>
        <w:tc>
          <w:tcPr>
            <w:tcW w:w="2835" w:type="dxa"/>
            <w:vAlign w:val="center"/>
          </w:tcPr>
          <w:p w14:paraId="30BF7196">
            <w:pPr>
              <w:pStyle w:val="13"/>
            </w:pPr>
            <w:r>
              <w:t>17.10</w:t>
            </w:r>
          </w:p>
        </w:tc>
        <w:tc>
          <w:tcPr>
            <w:tcW w:w="2835" w:type="dxa"/>
            <w:vAlign w:val="center"/>
          </w:tcPr>
          <w:p w14:paraId="36A0CAAC">
            <w:pPr>
              <w:pStyle w:val="11"/>
            </w:pPr>
            <w:r>
              <w:t>其中：财政    资金</w:t>
            </w:r>
          </w:p>
        </w:tc>
        <w:tc>
          <w:tcPr>
            <w:tcW w:w="2551" w:type="dxa"/>
            <w:vAlign w:val="center"/>
          </w:tcPr>
          <w:p w14:paraId="2AD86177">
            <w:pPr>
              <w:pStyle w:val="13"/>
            </w:pPr>
            <w:r>
              <w:t>17.10</w:t>
            </w:r>
          </w:p>
        </w:tc>
        <w:tc>
          <w:tcPr>
            <w:tcW w:w="2268" w:type="dxa"/>
            <w:vAlign w:val="center"/>
          </w:tcPr>
          <w:p w14:paraId="7531A138">
            <w:pPr>
              <w:pStyle w:val="11"/>
            </w:pPr>
            <w:r>
              <w:t>其他资金</w:t>
            </w:r>
          </w:p>
        </w:tc>
        <w:tc>
          <w:tcPr>
            <w:tcW w:w="1276" w:type="dxa"/>
            <w:vAlign w:val="center"/>
          </w:tcPr>
          <w:p w14:paraId="5D578A6C">
            <w:pPr>
              <w:pStyle w:val="13"/>
            </w:pPr>
            <w:r>
              <w:t xml:space="preserve"> </w:t>
            </w:r>
          </w:p>
        </w:tc>
      </w:tr>
      <w:tr w14:paraId="6268D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4CE74E"/>
        </w:tc>
        <w:tc>
          <w:tcPr>
            <w:tcW w:w="14033" w:type="dxa"/>
            <w:gridSpan w:val="6"/>
            <w:vAlign w:val="center"/>
          </w:tcPr>
          <w:p w14:paraId="7CC85BEF">
            <w:pPr>
              <w:pStyle w:val="13"/>
            </w:pPr>
            <w:r>
              <w:t>有效完成学校教学安全秩序，保障学校教学任务有效开展，满足学校正常教学需要。</w:t>
            </w:r>
          </w:p>
        </w:tc>
      </w:tr>
      <w:tr w14:paraId="5469A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1792F">
            <w:pPr>
              <w:pStyle w:val="11"/>
            </w:pPr>
            <w:r>
              <w:t>资金支出计划（%）</w:t>
            </w:r>
          </w:p>
        </w:tc>
        <w:tc>
          <w:tcPr>
            <w:tcW w:w="5103" w:type="dxa"/>
            <w:gridSpan w:val="2"/>
            <w:vAlign w:val="center"/>
          </w:tcPr>
          <w:p w14:paraId="1B33C220">
            <w:pPr>
              <w:pStyle w:val="11"/>
            </w:pPr>
            <w:r>
              <w:t>3月底</w:t>
            </w:r>
          </w:p>
        </w:tc>
        <w:tc>
          <w:tcPr>
            <w:tcW w:w="2835" w:type="dxa"/>
            <w:vAlign w:val="center"/>
          </w:tcPr>
          <w:p w14:paraId="59769E88">
            <w:pPr>
              <w:pStyle w:val="11"/>
            </w:pPr>
            <w:r>
              <w:t>6月底</w:t>
            </w:r>
          </w:p>
        </w:tc>
        <w:tc>
          <w:tcPr>
            <w:tcW w:w="2551" w:type="dxa"/>
            <w:vAlign w:val="center"/>
          </w:tcPr>
          <w:p w14:paraId="4D00F766">
            <w:pPr>
              <w:pStyle w:val="11"/>
            </w:pPr>
            <w:r>
              <w:t>10月底</w:t>
            </w:r>
          </w:p>
        </w:tc>
        <w:tc>
          <w:tcPr>
            <w:tcW w:w="3544" w:type="dxa"/>
            <w:gridSpan w:val="2"/>
            <w:vAlign w:val="center"/>
          </w:tcPr>
          <w:p w14:paraId="4A6801C7">
            <w:pPr>
              <w:pStyle w:val="11"/>
            </w:pPr>
            <w:r>
              <w:t>12月底</w:t>
            </w:r>
          </w:p>
        </w:tc>
      </w:tr>
      <w:tr w14:paraId="140C0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24644460"/>
        </w:tc>
        <w:tc>
          <w:tcPr>
            <w:tcW w:w="5103" w:type="dxa"/>
            <w:gridSpan w:val="2"/>
            <w:vAlign w:val="center"/>
          </w:tcPr>
          <w:p w14:paraId="71E88D56">
            <w:pPr>
              <w:pStyle w:val="12"/>
            </w:pPr>
            <w:r>
              <w:t>25%</w:t>
            </w:r>
          </w:p>
        </w:tc>
        <w:tc>
          <w:tcPr>
            <w:tcW w:w="2835" w:type="dxa"/>
            <w:vAlign w:val="center"/>
          </w:tcPr>
          <w:p w14:paraId="24649F4A">
            <w:pPr>
              <w:pStyle w:val="12"/>
            </w:pPr>
            <w:r>
              <w:t>50%</w:t>
            </w:r>
          </w:p>
        </w:tc>
        <w:tc>
          <w:tcPr>
            <w:tcW w:w="2551" w:type="dxa"/>
            <w:vAlign w:val="center"/>
          </w:tcPr>
          <w:p w14:paraId="15F4003B">
            <w:pPr>
              <w:pStyle w:val="12"/>
            </w:pPr>
            <w:r>
              <w:t>75%</w:t>
            </w:r>
          </w:p>
        </w:tc>
        <w:tc>
          <w:tcPr>
            <w:tcW w:w="3544" w:type="dxa"/>
            <w:gridSpan w:val="2"/>
            <w:vAlign w:val="center"/>
          </w:tcPr>
          <w:p w14:paraId="4C34AB2E">
            <w:pPr>
              <w:pStyle w:val="12"/>
            </w:pPr>
            <w:r>
              <w:t>100%</w:t>
            </w:r>
          </w:p>
        </w:tc>
      </w:tr>
      <w:tr w14:paraId="7480E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E1D6E">
            <w:pPr>
              <w:pStyle w:val="11"/>
            </w:pPr>
            <w:r>
              <w:t>绩效目标</w:t>
            </w:r>
          </w:p>
        </w:tc>
        <w:tc>
          <w:tcPr>
            <w:tcW w:w="14033" w:type="dxa"/>
            <w:gridSpan w:val="6"/>
            <w:vAlign w:val="center"/>
          </w:tcPr>
          <w:p w14:paraId="560A0F7D">
            <w:pPr>
              <w:pStyle w:val="13"/>
            </w:pPr>
            <w:r>
              <w:t>1.有效完成学校教学安全秩序，保障学校教学任务有效开展，满足学校正常教学需要。</w:t>
            </w:r>
          </w:p>
          <w:p w14:paraId="41B9F77A">
            <w:pPr>
              <w:pStyle w:val="13"/>
            </w:pPr>
            <w:r>
              <w:t>2.按规定拨付公用经费资金，预算执行率≥98%。</w:t>
            </w:r>
          </w:p>
        </w:tc>
      </w:tr>
    </w:tbl>
    <w:p w14:paraId="3AAE0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28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CC75C">
            <w:pPr>
              <w:pStyle w:val="11"/>
            </w:pPr>
            <w:r>
              <w:t>一级指标</w:t>
            </w:r>
          </w:p>
        </w:tc>
        <w:tc>
          <w:tcPr>
            <w:tcW w:w="2268" w:type="dxa"/>
            <w:vAlign w:val="center"/>
          </w:tcPr>
          <w:p w14:paraId="4FADA558">
            <w:pPr>
              <w:pStyle w:val="11"/>
            </w:pPr>
            <w:r>
              <w:t>二级指标</w:t>
            </w:r>
          </w:p>
        </w:tc>
        <w:tc>
          <w:tcPr>
            <w:tcW w:w="2835" w:type="dxa"/>
            <w:vAlign w:val="center"/>
          </w:tcPr>
          <w:p w14:paraId="547E8AE0">
            <w:pPr>
              <w:pStyle w:val="11"/>
            </w:pPr>
            <w:r>
              <w:t>三级指标</w:t>
            </w:r>
          </w:p>
        </w:tc>
        <w:tc>
          <w:tcPr>
            <w:tcW w:w="5386" w:type="dxa"/>
            <w:vAlign w:val="center"/>
          </w:tcPr>
          <w:p w14:paraId="1B3B390C">
            <w:pPr>
              <w:pStyle w:val="11"/>
            </w:pPr>
            <w:r>
              <w:t>绩效指标描述</w:t>
            </w:r>
          </w:p>
        </w:tc>
        <w:tc>
          <w:tcPr>
            <w:tcW w:w="2268" w:type="dxa"/>
            <w:vAlign w:val="center"/>
          </w:tcPr>
          <w:p w14:paraId="22430D5B">
            <w:pPr>
              <w:pStyle w:val="11"/>
            </w:pPr>
            <w:r>
              <w:t>指标值</w:t>
            </w:r>
          </w:p>
        </w:tc>
        <w:tc>
          <w:tcPr>
            <w:tcW w:w="1276" w:type="dxa"/>
            <w:vAlign w:val="center"/>
          </w:tcPr>
          <w:p w14:paraId="40624697">
            <w:pPr>
              <w:pStyle w:val="11"/>
            </w:pPr>
            <w:r>
              <w:t>指标值确定依据</w:t>
            </w:r>
          </w:p>
        </w:tc>
      </w:tr>
      <w:tr w14:paraId="3DF65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8845D">
            <w:pPr>
              <w:pStyle w:val="12"/>
            </w:pPr>
            <w:r>
              <w:t>产出指标</w:t>
            </w:r>
          </w:p>
        </w:tc>
        <w:tc>
          <w:tcPr>
            <w:tcW w:w="2268" w:type="dxa"/>
            <w:vAlign w:val="center"/>
          </w:tcPr>
          <w:p w14:paraId="0F04BBC4">
            <w:pPr>
              <w:pStyle w:val="13"/>
            </w:pPr>
            <w:r>
              <w:t>数量指标</w:t>
            </w:r>
          </w:p>
        </w:tc>
        <w:tc>
          <w:tcPr>
            <w:tcW w:w="2835" w:type="dxa"/>
            <w:vAlign w:val="center"/>
          </w:tcPr>
          <w:p w14:paraId="07395341">
            <w:pPr>
              <w:pStyle w:val="13"/>
            </w:pPr>
            <w:r>
              <w:t>就读学生数</w:t>
            </w:r>
          </w:p>
        </w:tc>
        <w:tc>
          <w:tcPr>
            <w:tcW w:w="5386" w:type="dxa"/>
            <w:vAlign w:val="center"/>
          </w:tcPr>
          <w:p w14:paraId="2319FD45">
            <w:pPr>
              <w:pStyle w:val="13"/>
            </w:pPr>
            <w:r>
              <w:t>辐射区域内适龄学生人数</w:t>
            </w:r>
          </w:p>
        </w:tc>
        <w:tc>
          <w:tcPr>
            <w:tcW w:w="2268" w:type="dxa"/>
            <w:vAlign w:val="center"/>
          </w:tcPr>
          <w:p w14:paraId="0902712B">
            <w:pPr>
              <w:pStyle w:val="13"/>
            </w:pPr>
            <w:r>
              <w:t>≥520人</w:t>
            </w:r>
          </w:p>
        </w:tc>
        <w:tc>
          <w:tcPr>
            <w:tcW w:w="1276" w:type="dxa"/>
            <w:vAlign w:val="center"/>
          </w:tcPr>
          <w:p w14:paraId="59D26624">
            <w:pPr>
              <w:pStyle w:val="13"/>
            </w:pPr>
            <w:r>
              <w:t>城乡义务教育公用经费管理办法</w:t>
            </w:r>
          </w:p>
        </w:tc>
      </w:tr>
      <w:tr w14:paraId="1AEF9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49D8AA22"/>
        </w:tc>
        <w:tc>
          <w:tcPr>
            <w:tcW w:w="2268" w:type="dxa"/>
            <w:vAlign w:val="center"/>
          </w:tcPr>
          <w:p w14:paraId="2ACE545C">
            <w:pPr>
              <w:pStyle w:val="13"/>
            </w:pPr>
            <w:r>
              <w:t>质量指标</w:t>
            </w:r>
          </w:p>
        </w:tc>
        <w:tc>
          <w:tcPr>
            <w:tcW w:w="2835" w:type="dxa"/>
            <w:vAlign w:val="center"/>
          </w:tcPr>
          <w:p w14:paraId="3B662EAE">
            <w:pPr>
              <w:pStyle w:val="13"/>
            </w:pPr>
            <w:r>
              <w:t>预算执行率</w:t>
            </w:r>
          </w:p>
        </w:tc>
        <w:tc>
          <w:tcPr>
            <w:tcW w:w="5386" w:type="dxa"/>
            <w:vAlign w:val="center"/>
          </w:tcPr>
          <w:p w14:paraId="5B950B1B">
            <w:pPr>
              <w:pStyle w:val="13"/>
            </w:pPr>
            <w:r>
              <w:t>预算执行率</w:t>
            </w:r>
          </w:p>
        </w:tc>
        <w:tc>
          <w:tcPr>
            <w:tcW w:w="2268" w:type="dxa"/>
            <w:vAlign w:val="center"/>
          </w:tcPr>
          <w:p w14:paraId="1432D9BC">
            <w:pPr>
              <w:pStyle w:val="13"/>
            </w:pPr>
            <w:r>
              <w:t>≥98%</w:t>
            </w:r>
          </w:p>
        </w:tc>
        <w:tc>
          <w:tcPr>
            <w:tcW w:w="1276" w:type="dxa"/>
            <w:vAlign w:val="center"/>
          </w:tcPr>
          <w:p w14:paraId="431ADECD">
            <w:pPr>
              <w:pStyle w:val="13"/>
            </w:pPr>
            <w:r>
              <w:t>城乡义务教育公用经费管理办法</w:t>
            </w:r>
          </w:p>
        </w:tc>
      </w:tr>
      <w:tr w14:paraId="3B9B9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BBF9A"/>
        </w:tc>
        <w:tc>
          <w:tcPr>
            <w:tcW w:w="2268" w:type="dxa"/>
            <w:vAlign w:val="center"/>
          </w:tcPr>
          <w:p w14:paraId="75AC8589">
            <w:pPr>
              <w:pStyle w:val="13"/>
            </w:pPr>
            <w:r>
              <w:t>时效指标</w:t>
            </w:r>
          </w:p>
        </w:tc>
        <w:tc>
          <w:tcPr>
            <w:tcW w:w="2835" w:type="dxa"/>
            <w:vAlign w:val="center"/>
          </w:tcPr>
          <w:p w14:paraId="6761AC63">
            <w:pPr>
              <w:pStyle w:val="13"/>
            </w:pPr>
            <w:r>
              <w:t>义教经费支付完成率</w:t>
            </w:r>
          </w:p>
        </w:tc>
        <w:tc>
          <w:tcPr>
            <w:tcW w:w="5386" w:type="dxa"/>
            <w:vAlign w:val="center"/>
          </w:tcPr>
          <w:p w14:paraId="643E9876">
            <w:pPr>
              <w:pStyle w:val="13"/>
            </w:pPr>
            <w:r>
              <w:t>按照序时进度完成资金支付</w:t>
            </w:r>
          </w:p>
        </w:tc>
        <w:tc>
          <w:tcPr>
            <w:tcW w:w="2268" w:type="dxa"/>
            <w:vAlign w:val="center"/>
          </w:tcPr>
          <w:p w14:paraId="3742A624">
            <w:pPr>
              <w:pStyle w:val="13"/>
            </w:pPr>
            <w:r>
              <w:t>≥100%</w:t>
            </w:r>
          </w:p>
        </w:tc>
        <w:tc>
          <w:tcPr>
            <w:tcW w:w="1276" w:type="dxa"/>
            <w:vAlign w:val="center"/>
          </w:tcPr>
          <w:p w14:paraId="76629C42">
            <w:pPr>
              <w:pStyle w:val="13"/>
            </w:pPr>
            <w:r>
              <w:t>城乡义务教育公用经费管理办法</w:t>
            </w:r>
          </w:p>
        </w:tc>
      </w:tr>
      <w:tr w14:paraId="13A2D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4CCA4"/>
        </w:tc>
        <w:tc>
          <w:tcPr>
            <w:tcW w:w="2268" w:type="dxa"/>
            <w:vAlign w:val="center"/>
          </w:tcPr>
          <w:p w14:paraId="03D83D67">
            <w:pPr>
              <w:pStyle w:val="13"/>
            </w:pPr>
            <w:r>
              <w:t>成本指标</w:t>
            </w:r>
          </w:p>
        </w:tc>
        <w:tc>
          <w:tcPr>
            <w:tcW w:w="2835" w:type="dxa"/>
            <w:vAlign w:val="center"/>
          </w:tcPr>
          <w:p w14:paraId="7D26BF58">
            <w:pPr>
              <w:pStyle w:val="13"/>
            </w:pPr>
            <w:r>
              <w:t>生均拨款标准</w:t>
            </w:r>
          </w:p>
        </w:tc>
        <w:tc>
          <w:tcPr>
            <w:tcW w:w="5386" w:type="dxa"/>
            <w:vAlign w:val="center"/>
          </w:tcPr>
          <w:p w14:paraId="29B1F7C4">
            <w:pPr>
              <w:pStyle w:val="13"/>
            </w:pPr>
            <w:r>
              <w:t>小学：（基本标准720元、寄宿生300元、生活补助120元）/生/学年；特教、随班就读学生：标准7000元/生/学年</w:t>
            </w:r>
          </w:p>
        </w:tc>
        <w:tc>
          <w:tcPr>
            <w:tcW w:w="2268" w:type="dxa"/>
            <w:vAlign w:val="center"/>
          </w:tcPr>
          <w:p w14:paraId="5F400D18">
            <w:pPr>
              <w:pStyle w:val="13"/>
            </w:pPr>
            <w:r>
              <w:t>840元</w:t>
            </w:r>
          </w:p>
        </w:tc>
        <w:tc>
          <w:tcPr>
            <w:tcW w:w="1276" w:type="dxa"/>
            <w:vAlign w:val="center"/>
          </w:tcPr>
          <w:p w14:paraId="0FFDA1FC">
            <w:pPr>
              <w:pStyle w:val="13"/>
            </w:pPr>
            <w:r>
              <w:t>城乡义务教育公用经费管理办法</w:t>
            </w:r>
          </w:p>
        </w:tc>
      </w:tr>
      <w:tr w14:paraId="6AE51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A0A293">
            <w:pPr>
              <w:pStyle w:val="12"/>
            </w:pPr>
            <w:r>
              <w:t>效益指标</w:t>
            </w:r>
          </w:p>
        </w:tc>
        <w:tc>
          <w:tcPr>
            <w:tcW w:w="2268" w:type="dxa"/>
            <w:vAlign w:val="center"/>
          </w:tcPr>
          <w:p w14:paraId="0AAAB6C0">
            <w:pPr>
              <w:pStyle w:val="13"/>
            </w:pPr>
            <w:r>
              <w:t>社会效益指标</w:t>
            </w:r>
          </w:p>
        </w:tc>
        <w:tc>
          <w:tcPr>
            <w:tcW w:w="2835" w:type="dxa"/>
            <w:vAlign w:val="center"/>
          </w:tcPr>
          <w:p w14:paraId="58F52028">
            <w:pPr>
              <w:pStyle w:val="13"/>
            </w:pPr>
            <w:r>
              <w:t>学校稳定率</w:t>
            </w:r>
          </w:p>
        </w:tc>
        <w:tc>
          <w:tcPr>
            <w:tcW w:w="5386" w:type="dxa"/>
            <w:vAlign w:val="center"/>
          </w:tcPr>
          <w:p w14:paraId="58567B70">
            <w:pPr>
              <w:pStyle w:val="13"/>
            </w:pPr>
            <w:r>
              <w:t>维护学校稳定，保障学校正常教学秩序有效开展</w:t>
            </w:r>
          </w:p>
        </w:tc>
        <w:tc>
          <w:tcPr>
            <w:tcW w:w="2268" w:type="dxa"/>
            <w:vAlign w:val="center"/>
          </w:tcPr>
          <w:p w14:paraId="70DB8F3F">
            <w:pPr>
              <w:pStyle w:val="13"/>
            </w:pPr>
            <w:r>
              <w:t>≥100%</w:t>
            </w:r>
          </w:p>
        </w:tc>
        <w:tc>
          <w:tcPr>
            <w:tcW w:w="1276" w:type="dxa"/>
            <w:vAlign w:val="center"/>
          </w:tcPr>
          <w:p w14:paraId="434B302E">
            <w:pPr>
              <w:pStyle w:val="13"/>
            </w:pPr>
            <w:r>
              <w:t>城乡义务教育公用经费管理办法</w:t>
            </w:r>
          </w:p>
        </w:tc>
      </w:tr>
      <w:tr w14:paraId="207ED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417414">
            <w:pPr>
              <w:pStyle w:val="12"/>
            </w:pPr>
            <w:r>
              <w:t>满意度指标</w:t>
            </w:r>
          </w:p>
        </w:tc>
        <w:tc>
          <w:tcPr>
            <w:tcW w:w="2268" w:type="dxa"/>
            <w:vAlign w:val="center"/>
          </w:tcPr>
          <w:p w14:paraId="1C92A880">
            <w:pPr>
              <w:pStyle w:val="13"/>
            </w:pPr>
            <w:r>
              <w:t>服务对象满意度指标</w:t>
            </w:r>
          </w:p>
        </w:tc>
        <w:tc>
          <w:tcPr>
            <w:tcW w:w="2835" w:type="dxa"/>
            <w:vAlign w:val="center"/>
          </w:tcPr>
          <w:p w14:paraId="21B94C6C">
            <w:pPr>
              <w:pStyle w:val="13"/>
            </w:pPr>
            <w:r>
              <w:t>家长和学生满意度</w:t>
            </w:r>
          </w:p>
        </w:tc>
        <w:tc>
          <w:tcPr>
            <w:tcW w:w="5386" w:type="dxa"/>
            <w:vAlign w:val="center"/>
          </w:tcPr>
          <w:p w14:paraId="2DA8B958">
            <w:pPr>
              <w:pStyle w:val="13"/>
            </w:pPr>
            <w:r>
              <w:t>家长和学生满意度</w:t>
            </w:r>
          </w:p>
        </w:tc>
        <w:tc>
          <w:tcPr>
            <w:tcW w:w="2268" w:type="dxa"/>
            <w:vAlign w:val="center"/>
          </w:tcPr>
          <w:p w14:paraId="7367EDAA">
            <w:pPr>
              <w:pStyle w:val="13"/>
            </w:pPr>
            <w:r>
              <w:t>≥95%</w:t>
            </w:r>
          </w:p>
        </w:tc>
        <w:tc>
          <w:tcPr>
            <w:tcW w:w="1276" w:type="dxa"/>
            <w:vAlign w:val="center"/>
          </w:tcPr>
          <w:p w14:paraId="60E70EE5">
            <w:pPr>
              <w:pStyle w:val="13"/>
            </w:pPr>
            <w:r>
              <w:t>问卷调查</w:t>
            </w:r>
          </w:p>
        </w:tc>
      </w:tr>
    </w:tbl>
    <w:p w14:paraId="1BA9A12D">
      <w:pPr>
        <w:sectPr>
          <w:pgSz w:w="16840" w:h="11900" w:orient="landscape"/>
          <w:pgMar w:top="1361" w:right="1020" w:bottom="1134" w:left="1020" w:header="720" w:footer="720" w:gutter="0"/>
          <w:cols w:space="720" w:num="1"/>
        </w:sectPr>
      </w:pPr>
    </w:p>
    <w:p w14:paraId="1FCC150C">
      <w:pPr>
        <w:spacing w:before="0" w:after="0"/>
        <w:ind w:firstLine="560"/>
        <w:jc w:val="left"/>
        <w:outlineLvl w:val="9"/>
      </w:pPr>
      <w:r>
        <w:rPr>
          <w:rFonts w:ascii="方正仿宋_GBK" w:hAnsi="方正仿宋_GBK" w:eastAsia="方正仿宋_GBK" w:cs="方正仿宋_GBK"/>
          <w:b/>
          <w:color w:val="000000"/>
          <w:sz w:val="28"/>
        </w:rPr>
        <w:t>13、冀财教[2024]141号/省级/2025年义教补助经费/梅庄小学公用经费绩效目标表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21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103C4">
            <w:pPr>
              <w:pStyle w:val="14"/>
            </w:pPr>
            <w:r>
              <w:t>单位：万元</w:t>
            </w:r>
          </w:p>
        </w:tc>
      </w:tr>
      <w:tr w14:paraId="1AD935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BF5479">
            <w:pPr>
              <w:pStyle w:val="11"/>
            </w:pPr>
            <w:r>
              <w:t>项目编码</w:t>
            </w:r>
          </w:p>
        </w:tc>
        <w:tc>
          <w:tcPr>
            <w:tcW w:w="5103" w:type="dxa"/>
            <w:gridSpan w:val="2"/>
            <w:vAlign w:val="center"/>
          </w:tcPr>
          <w:p w14:paraId="7ED471DB">
            <w:pPr>
              <w:pStyle w:val="13"/>
            </w:pPr>
            <w:r>
              <w:t>13052525P000004101762</w:t>
            </w:r>
          </w:p>
        </w:tc>
        <w:tc>
          <w:tcPr>
            <w:tcW w:w="2835" w:type="dxa"/>
            <w:vAlign w:val="center"/>
          </w:tcPr>
          <w:p w14:paraId="3D3A46AC">
            <w:pPr>
              <w:pStyle w:val="11"/>
            </w:pPr>
            <w:r>
              <w:t>项目名称</w:t>
            </w:r>
          </w:p>
        </w:tc>
        <w:tc>
          <w:tcPr>
            <w:tcW w:w="6095" w:type="dxa"/>
            <w:gridSpan w:val="3"/>
            <w:vAlign w:val="center"/>
          </w:tcPr>
          <w:p w14:paraId="5B8933F8">
            <w:pPr>
              <w:pStyle w:val="13"/>
            </w:pPr>
            <w:r>
              <w:t>冀财教[2024]141号/省级/2025年义教补助经费/梅庄小学公用经费</w:t>
            </w:r>
          </w:p>
        </w:tc>
      </w:tr>
      <w:tr w14:paraId="50CBB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7ECFA">
            <w:pPr>
              <w:pStyle w:val="11"/>
            </w:pPr>
            <w:r>
              <w:t>预算规模及资金用途</w:t>
            </w:r>
          </w:p>
        </w:tc>
        <w:tc>
          <w:tcPr>
            <w:tcW w:w="2268" w:type="dxa"/>
            <w:vAlign w:val="center"/>
          </w:tcPr>
          <w:p w14:paraId="4EB55A94">
            <w:pPr>
              <w:pStyle w:val="11"/>
            </w:pPr>
            <w:r>
              <w:t>预算数</w:t>
            </w:r>
          </w:p>
        </w:tc>
        <w:tc>
          <w:tcPr>
            <w:tcW w:w="2835" w:type="dxa"/>
            <w:vAlign w:val="center"/>
          </w:tcPr>
          <w:p w14:paraId="6233F190">
            <w:pPr>
              <w:pStyle w:val="13"/>
            </w:pPr>
            <w:r>
              <w:t>3.07</w:t>
            </w:r>
          </w:p>
        </w:tc>
        <w:tc>
          <w:tcPr>
            <w:tcW w:w="2835" w:type="dxa"/>
            <w:vAlign w:val="center"/>
          </w:tcPr>
          <w:p w14:paraId="3D446DA8">
            <w:pPr>
              <w:pStyle w:val="11"/>
            </w:pPr>
            <w:r>
              <w:t>其中：财政    资金</w:t>
            </w:r>
          </w:p>
        </w:tc>
        <w:tc>
          <w:tcPr>
            <w:tcW w:w="2551" w:type="dxa"/>
            <w:vAlign w:val="center"/>
          </w:tcPr>
          <w:p w14:paraId="6C3DD2EF">
            <w:pPr>
              <w:pStyle w:val="13"/>
            </w:pPr>
            <w:r>
              <w:t>3.07</w:t>
            </w:r>
          </w:p>
        </w:tc>
        <w:tc>
          <w:tcPr>
            <w:tcW w:w="2268" w:type="dxa"/>
            <w:vAlign w:val="center"/>
          </w:tcPr>
          <w:p w14:paraId="2B1F87B1">
            <w:pPr>
              <w:pStyle w:val="11"/>
            </w:pPr>
            <w:r>
              <w:t>其他资金</w:t>
            </w:r>
          </w:p>
        </w:tc>
        <w:tc>
          <w:tcPr>
            <w:tcW w:w="1276" w:type="dxa"/>
            <w:vAlign w:val="center"/>
          </w:tcPr>
          <w:p w14:paraId="7A34FC4C">
            <w:pPr>
              <w:pStyle w:val="13"/>
            </w:pPr>
            <w:r>
              <w:t xml:space="preserve"> </w:t>
            </w:r>
          </w:p>
        </w:tc>
      </w:tr>
      <w:tr w14:paraId="04ABA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62288"/>
        </w:tc>
        <w:tc>
          <w:tcPr>
            <w:tcW w:w="14033" w:type="dxa"/>
            <w:gridSpan w:val="6"/>
            <w:vAlign w:val="center"/>
          </w:tcPr>
          <w:p w14:paraId="6EE9A9BB">
            <w:pPr>
              <w:pStyle w:val="13"/>
            </w:pPr>
            <w:r>
              <w:t>有效完成学校教学安全秩序，保障学校教学任务有效开展，满足学校正常教学需要。</w:t>
            </w:r>
          </w:p>
        </w:tc>
      </w:tr>
      <w:tr w14:paraId="31942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7A1D3">
            <w:pPr>
              <w:pStyle w:val="11"/>
            </w:pPr>
            <w:r>
              <w:t>资金支出计划（%）</w:t>
            </w:r>
          </w:p>
        </w:tc>
        <w:tc>
          <w:tcPr>
            <w:tcW w:w="5103" w:type="dxa"/>
            <w:gridSpan w:val="2"/>
            <w:vAlign w:val="center"/>
          </w:tcPr>
          <w:p w14:paraId="3425352D">
            <w:pPr>
              <w:pStyle w:val="11"/>
            </w:pPr>
            <w:r>
              <w:t>3月底</w:t>
            </w:r>
          </w:p>
        </w:tc>
        <w:tc>
          <w:tcPr>
            <w:tcW w:w="2835" w:type="dxa"/>
            <w:vAlign w:val="center"/>
          </w:tcPr>
          <w:p w14:paraId="5744A64F">
            <w:pPr>
              <w:pStyle w:val="11"/>
            </w:pPr>
            <w:r>
              <w:t>6月底</w:t>
            </w:r>
          </w:p>
        </w:tc>
        <w:tc>
          <w:tcPr>
            <w:tcW w:w="2551" w:type="dxa"/>
            <w:vAlign w:val="center"/>
          </w:tcPr>
          <w:p w14:paraId="3D07E54F">
            <w:pPr>
              <w:pStyle w:val="11"/>
            </w:pPr>
            <w:r>
              <w:t>10月底</w:t>
            </w:r>
          </w:p>
        </w:tc>
        <w:tc>
          <w:tcPr>
            <w:tcW w:w="3544" w:type="dxa"/>
            <w:gridSpan w:val="2"/>
            <w:vAlign w:val="center"/>
          </w:tcPr>
          <w:p w14:paraId="4E8307D1">
            <w:pPr>
              <w:pStyle w:val="11"/>
            </w:pPr>
            <w:r>
              <w:t>12月底</w:t>
            </w:r>
          </w:p>
        </w:tc>
      </w:tr>
      <w:tr w14:paraId="2B4E3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63ECF"/>
        </w:tc>
        <w:tc>
          <w:tcPr>
            <w:tcW w:w="5103" w:type="dxa"/>
            <w:gridSpan w:val="2"/>
            <w:vAlign w:val="center"/>
          </w:tcPr>
          <w:p w14:paraId="2B9760FB">
            <w:pPr>
              <w:pStyle w:val="12"/>
            </w:pPr>
            <w:r>
              <w:t>25%</w:t>
            </w:r>
          </w:p>
        </w:tc>
        <w:tc>
          <w:tcPr>
            <w:tcW w:w="2835" w:type="dxa"/>
            <w:vAlign w:val="center"/>
          </w:tcPr>
          <w:p w14:paraId="1D542800">
            <w:pPr>
              <w:pStyle w:val="12"/>
            </w:pPr>
            <w:r>
              <w:t>50%</w:t>
            </w:r>
          </w:p>
        </w:tc>
        <w:tc>
          <w:tcPr>
            <w:tcW w:w="2551" w:type="dxa"/>
            <w:vAlign w:val="center"/>
          </w:tcPr>
          <w:p w14:paraId="475D380A">
            <w:pPr>
              <w:pStyle w:val="12"/>
            </w:pPr>
            <w:r>
              <w:t>75%</w:t>
            </w:r>
          </w:p>
        </w:tc>
        <w:tc>
          <w:tcPr>
            <w:tcW w:w="3544" w:type="dxa"/>
            <w:gridSpan w:val="2"/>
            <w:vAlign w:val="center"/>
          </w:tcPr>
          <w:p w14:paraId="331E405C">
            <w:pPr>
              <w:pStyle w:val="12"/>
            </w:pPr>
            <w:r>
              <w:t>100%</w:t>
            </w:r>
          </w:p>
        </w:tc>
      </w:tr>
      <w:tr w14:paraId="3A3F0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64072C">
            <w:pPr>
              <w:pStyle w:val="11"/>
            </w:pPr>
            <w:r>
              <w:t>绩效目标</w:t>
            </w:r>
          </w:p>
        </w:tc>
        <w:tc>
          <w:tcPr>
            <w:tcW w:w="14033" w:type="dxa"/>
            <w:gridSpan w:val="6"/>
            <w:vAlign w:val="center"/>
          </w:tcPr>
          <w:p w14:paraId="3BDF957A">
            <w:pPr>
              <w:pStyle w:val="13"/>
            </w:pPr>
            <w:r>
              <w:t>1.按规定拨付公用经费资金，预算执行率≥98%。</w:t>
            </w:r>
          </w:p>
          <w:p w14:paraId="172C24EF">
            <w:pPr>
              <w:pStyle w:val="13"/>
            </w:pPr>
            <w:r>
              <w:t>2.有效完成学校教学安全秩序，保障学校教学任务有效开展，满足学校正常教学需要。</w:t>
            </w:r>
          </w:p>
        </w:tc>
      </w:tr>
    </w:tbl>
    <w:p w14:paraId="0950C0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2C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5360A">
            <w:pPr>
              <w:pStyle w:val="11"/>
            </w:pPr>
            <w:r>
              <w:t>一级指标</w:t>
            </w:r>
          </w:p>
        </w:tc>
        <w:tc>
          <w:tcPr>
            <w:tcW w:w="2268" w:type="dxa"/>
            <w:vAlign w:val="center"/>
          </w:tcPr>
          <w:p w14:paraId="6F2A3642">
            <w:pPr>
              <w:pStyle w:val="11"/>
            </w:pPr>
            <w:r>
              <w:t>二级指标</w:t>
            </w:r>
          </w:p>
        </w:tc>
        <w:tc>
          <w:tcPr>
            <w:tcW w:w="2835" w:type="dxa"/>
            <w:vAlign w:val="center"/>
          </w:tcPr>
          <w:p w14:paraId="0A650C43">
            <w:pPr>
              <w:pStyle w:val="11"/>
            </w:pPr>
            <w:r>
              <w:t>三级指标</w:t>
            </w:r>
          </w:p>
        </w:tc>
        <w:tc>
          <w:tcPr>
            <w:tcW w:w="5386" w:type="dxa"/>
            <w:vAlign w:val="center"/>
          </w:tcPr>
          <w:p w14:paraId="7255350E">
            <w:pPr>
              <w:pStyle w:val="11"/>
            </w:pPr>
            <w:r>
              <w:t>绩效指标描述</w:t>
            </w:r>
          </w:p>
        </w:tc>
        <w:tc>
          <w:tcPr>
            <w:tcW w:w="2268" w:type="dxa"/>
            <w:vAlign w:val="center"/>
          </w:tcPr>
          <w:p w14:paraId="6392FD88">
            <w:pPr>
              <w:pStyle w:val="11"/>
            </w:pPr>
            <w:r>
              <w:t>指标值</w:t>
            </w:r>
          </w:p>
        </w:tc>
        <w:tc>
          <w:tcPr>
            <w:tcW w:w="1276" w:type="dxa"/>
            <w:vAlign w:val="center"/>
          </w:tcPr>
          <w:p w14:paraId="6B313F9D">
            <w:pPr>
              <w:pStyle w:val="11"/>
            </w:pPr>
            <w:r>
              <w:t>指标值确定依据</w:t>
            </w:r>
          </w:p>
        </w:tc>
      </w:tr>
      <w:tr w14:paraId="5C255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28D06">
            <w:pPr>
              <w:pStyle w:val="12"/>
            </w:pPr>
            <w:r>
              <w:t>产出指标</w:t>
            </w:r>
          </w:p>
        </w:tc>
        <w:tc>
          <w:tcPr>
            <w:tcW w:w="2268" w:type="dxa"/>
            <w:vAlign w:val="center"/>
          </w:tcPr>
          <w:p w14:paraId="46D18C05">
            <w:pPr>
              <w:pStyle w:val="13"/>
            </w:pPr>
            <w:r>
              <w:t>数量指标</w:t>
            </w:r>
          </w:p>
        </w:tc>
        <w:tc>
          <w:tcPr>
            <w:tcW w:w="2835" w:type="dxa"/>
            <w:vAlign w:val="center"/>
          </w:tcPr>
          <w:p w14:paraId="37E40675">
            <w:pPr>
              <w:pStyle w:val="13"/>
            </w:pPr>
            <w:r>
              <w:t>就读学生数</w:t>
            </w:r>
          </w:p>
        </w:tc>
        <w:tc>
          <w:tcPr>
            <w:tcW w:w="5386" w:type="dxa"/>
            <w:vAlign w:val="center"/>
          </w:tcPr>
          <w:p w14:paraId="4AD75E79">
            <w:pPr>
              <w:pStyle w:val="13"/>
            </w:pPr>
            <w:r>
              <w:t>辐射区域内适龄学生人数</w:t>
            </w:r>
          </w:p>
        </w:tc>
        <w:tc>
          <w:tcPr>
            <w:tcW w:w="2268" w:type="dxa"/>
            <w:vAlign w:val="center"/>
          </w:tcPr>
          <w:p w14:paraId="0C1A9E24">
            <w:pPr>
              <w:pStyle w:val="13"/>
            </w:pPr>
            <w:r>
              <w:t>40人</w:t>
            </w:r>
          </w:p>
        </w:tc>
        <w:tc>
          <w:tcPr>
            <w:tcW w:w="1276" w:type="dxa"/>
            <w:vAlign w:val="center"/>
          </w:tcPr>
          <w:p w14:paraId="4A1DBAB9">
            <w:pPr>
              <w:pStyle w:val="13"/>
            </w:pPr>
            <w:r>
              <w:t>城乡义务教育公用经费管理办法</w:t>
            </w:r>
          </w:p>
        </w:tc>
      </w:tr>
      <w:tr w14:paraId="31CB5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91B87"/>
        </w:tc>
        <w:tc>
          <w:tcPr>
            <w:tcW w:w="2268" w:type="dxa"/>
            <w:vAlign w:val="center"/>
          </w:tcPr>
          <w:p w14:paraId="21D3D1CC">
            <w:pPr>
              <w:pStyle w:val="13"/>
            </w:pPr>
            <w:r>
              <w:t>质量指标</w:t>
            </w:r>
          </w:p>
        </w:tc>
        <w:tc>
          <w:tcPr>
            <w:tcW w:w="2835" w:type="dxa"/>
            <w:vAlign w:val="center"/>
          </w:tcPr>
          <w:p w14:paraId="2CC3802F">
            <w:pPr>
              <w:pStyle w:val="13"/>
            </w:pPr>
            <w:r>
              <w:t>预算执行率</w:t>
            </w:r>
          </w:p>
        </w:tc>
        <w:tc>
          <w:tcPr>
            <w:tcW w:w="5386" w:type="dxa"/>
            <w:vAlign w:val="center"/>
          </w:tcPr>
          <w:p w14:paraId="23EDB7DF">
            <w:pPr>
              <w:pStyle w:val="13"/>
            </w:pPr>
            <w:r>
              <w:t>预算执行率</w:t>
            </w:r>
          </w:p>
        </w:tc>
        <w:tc>
          <w:tcPr>
            <w:tcW w:w="2268" w:type="dxa"/>
            <w:vAlign w:val="center"/>
          </w:tcPr>
          <w:p w14:paraId="2C2920F3">
            <w:pPr>
              <w:pStyle w:val="13"/>
            </w:pPr>
            <w:r>
              <w:t>≥98%</w:t>
            </w:r>
          </w:p>
        </w:tc>
        <w:tc>
          <w:tcPr>
            <w:tcW w:w="1276" w:type="dxa"/>
            <w:vAlign w:val="center"/>
          </w:tcPr>
          <w:p w14:paraId="4D7EF196">
            <w:pPr>
              <w:pStyle w:val="13"/>
            </w:pPr>
            <w:r>
              <w:t>城乡义务教育公用经费管理办法</w:t>
            </w:r>
          </w:p>
        </w:tc>
      </w:tr>
      <w:tr w14:paraId="6FC72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B5D29"/>
        </w:tc>
        <w:tc>
          <w:tcPr>
            <w:tcW w:w="2268" w:type="dxa"/>
            <w:vAlign w:val="center"/>
          </w:tcPr>
          <w:p w14:paraId="7EBD4894">
            <w:pPr>
              <w:pStyle w:val="13"/>
            </w:pPr>
            <w:r>
              <w:t>时效指标</w:t>
            </w:r>
          </w:p>
        </w:tc>
        <w:tc>
          <w:tcPr>
            <w:tcW w:w="2835" w:type="dxa"/>
            <w:vAlign w:val="center"/>
          </w:tcPr>
          <w:p w14:paraId="3C43685D">
            <w:pPr>
              <w:pStyle w:val="13"/>
            </w:pPr>
            <w:r>
              <w:t>义教经费支付完成率</w:t>
            </w:r>
          </w:p>
        </w:tc>
        <w:tc>
          <w:tcPr>
            <w:tcW w:w="5386" w:type="dxa"/>
            <w:vAlign w:val="center"/>
          </w:tcPr>
          <w:p w14:paraId="7712BCC1">
            <w:pPr>
              <w:pStyle w:val="13"/>
            </w:pPr>
            <w:r>
              <w:t>按照序时进度完成资金支付</w:t>
            </w:r>
          </w:p>
        </w:tc>
        <w:tc>
          <w:tcPr>
            <w:tcW w:w="2268" w:type="dxa"/>
            <w:vAlign w:val="center"/>
          </w:tcPr>
          <w:p w14:paraId="5AF9819A">
            <w:pPr>
              <w:pStyle w:val="13"/>
            </w:pPr>
            <w:r>
              <w:t>≥100%</w:t>
            </w:r>
          </w:p>
        </w:tc>
        <w:tc>
          <w:tcPr>
            <w:tcW w:w="1276" w:type="dxa"/>
            <w:vAlign w:val="center"/>
          </w:tcPr>
          <w:p w14:paraId="5474C85A">
            <w:pPr>
              <w:pStyle w:val="13"/>
            </w:pPr>
            <w:r>
              <w:t>城乡义务教育公用经费管理办法</w:t>
            </w:r>
          </w:p>
        </w:tc>
      </w:tr>
      <w:tr w14:paraId="17E3B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51A5F"/>
        </w:tc>
        <w:tc>
          <w:tcPr>
            <w:tcW w:w="2268" w:type="dxa"/>
            <w:vAlign w:val="center"/>
          </w:tcPr>
          <w:p w14:paraId="1AC750C2">
            <w:pPr>
              <w:pStyle w:val="13"/>
            </w:pPr>
            <w:r>
              <w:t>成本指标</w:t>
            </w:r>
          </w:p>
        </w:tc>
        <w:tc>
          <w:tcPr>
            <w:tcW w:w="2835" w:type="dxa"/>
            <w:vAlign w:val="center"/>
          </w:tcPr>
          <w:p w14:paraId="22E5F836">
            <w:pPr>
              <w:pStyle w:val="13"/>
            </w:pPr>
            <w:r>
              <w:t>生均拨款标准</w:t>
            </w:r>
          </w:p>
        </w:tc>
        <w:tc>
          <w:tcPr>
            <w:tcW w:w="5386" w:type="dxa"/>
            <w:vAlign w:val="center"/>
          </w:tcPr>
          <w:p w14:paraId="4884D206">
            <w:pPr>
              <w:pStyle w:val="13"/>
            </w:pPr>
            <w:r>
              <w:t>小学：（基本标准720元、寄宿生300元、生活补助120元）/生/学年；特教、随班就读学生：标准7000元/生/学年</w:t>
            </w:r>
          </w:p>
        </w:tc>
        <w:tc>
          <w:tcPr>
            <w:tcW w:w="2268" w:type="dxa"/>
            <w:vAlign w:val="center"/>
          </w:tcPr>
          <w:p w14:paraId="2EDBCE73">
            <w:pPr>
              <w:pStyle w:val="13"/>
            </w:pPr>
            <w:r>
              <w:t>840元</w:t>
            </w:r>
          </w:p>
        </w:tc>
        <w:tc>
          <w:tcPr>
            <w:tcW w:w="1276" w:type="dxa"/>
            <w:vAlign w:val="center"/>
          </w:tcPr>
          <w:p w14:paraId="6C413216">
            <w:pPr>
              <w:pStyle w:val="13"/>
            </w:pPr>
            <w:r>
              <w:t>城乡义务教育公用经费管理办法</w:t>
            </w:r>
          </w:p>
        </w:tc>
      </w:tr>
      <w:tr w14:paraId="08E93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5925B8">
            <w:pPr>
              <w:pStyle w:val="12"/>
            </w:pPr>
            <w:r>
              <w:t>效益指标</w:t>
            </w:r>
          </w:p>
        </w:tc>
        <w:tc>
          <w:tcPr>
            <w:tcW w:w="2268" w:type="dxa"/>
            <w:vAlign w:val="center"/>
          </w:tcPr>
          <w:p w14:paraId="1F624321">
            <w:pPr>
              <w:pStyle w:val="13"/>
            </w:pPr>
            <w:r>
              <w:t>社会效益指标</w:t>
            </w:r>
          </w:p>
        </w:tc>
        <w:tc>
          <w:tcPr>
            <w:tcW w:w="2835" w:type="dxa"/>
            <w:vAlign w:val="center"/>
          </w:tcPr>
          <w:p w14:paraId="1C53A873">
            <w:pPr>
              <w:pStyle w:val="13"/>
            </w:pPr>
            <w:r>
              <w:t>学校稳定率</w:t>
            </w:r>
          </w:p>
        </w:tc>
        <w:tc>
          <w:tcPr>
            <w:tcW w:w="5386" w:type="dxa"/>
            <w:vAlign w:val="center"/>
          </w:tcPr>
          <w:p w14:paraId="77A58DC7">
            <w:pPr>
              <w:pStyle w:val="13"/>
            </w:pPr>
            <w:r>
              <w:t>维护学校稳定，保障学校正常教学秩序有效开展</w:t>
            </w:r>
          </w:p>
        </w:tc>
        <w:tc>
          <w:tcPr>
            <w:tcW w:w="2268" w:type="dxa"/>
            <w:vAlign w:val="center"/>
          </w:tcPr>
          <w:p w14:paraId="10429507">
            <w:pPr>
              <w:pStyle w:val="13"/>
            </w:pPr>
            <w:r>
              <w:t>≥100%</w:t>
            </w:r>
          </w:p>
        </w:tc>
        <w:tc>
          <w:tcPr>
            <w:tcW w:w="1276" w:type="dxa"/>
            <w:vAlign w:val="center"/>
          </w:tcPr>
          <w:p w14:paraId="7F9C3AF2">
            <w:pPr>
              <w:pStyle w:val="13"/>
            </w:pPr>
            <w:r>
              <w:t>城乡义务教育公用经费管理办法</w:t>
            </w:r>
          </w:p>
        </w:tc>
      </w:tr>
      <w:tr w14:paraId="73585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DE2A30">
            <w:pPr>
              <w:pStyle w:val="12"/>
            </w:pPr>
            <w:r>
              <w:t>满意度指标</w:t>
            </w:r>
          </w:p>
        </w:tc>
        <w:tc>
          <w:tcPr>
            <w:tcW w:w="2268" w:type="dxa"/>
            <w:vAlign w:val="center"/>
          </w:tcPr>
          <w:p w14:paraId="77E87ABB">
            <w:pPr>
              <w:pStyle w:val="13"/>
            </w:pPr>
            <w:r>
              <w:t>服务对象满意度指标</w:t>
            </w:r>
          </w:p>
        </w:tc>
        <w:tc>
          <w:tcPr>
            <w:tcW w:w="2835" w:type="dxa"/>
            <w:vAlign w:val="center"/>
          </w:tcPr>
          <w:p w14:paraId="45C7B0E4">
            <w:pPr>
              <w:pStyle w:val="13"/>
            </w:pPr>
            <w:r>
              <w:t>家长和学生满意度</w:t>
            </w:r>
          </w:p>
        </w:tc>
        <w:tc>
          <w:tcPr>
            <w:tcW w:w="5386" w:type="dxa"/>
            <w:vAlign w:val="center"/>
          </w:tcPr>
          <w:p w14:paraId="31E6AD1F">
            <w:pPr>
              <w:pStyle w:val="13"/>
            </w:pPr>
            <w:r>
              <w:t>家长和学生满意度</w:t>
            </w:r>
          </w:p>
        </w:tc>
        <w:tc>
          <w:tcPr>
            <w:tcW w:w="2268" w:type="dxa"/>
            <w:vAlign w:val="center"/>
          </w:tcPr>
          <w:p w14:paraId="778AAD6D">
            <w:pPr>
              <w:pStyle w:val="13"/>
            </w:pPr>
            <w:r>
              <w:t>≥95%</w:t>
            </w:r>
          </w:p>
        </w:tc>
        <w:tc>
          <w:tcPr>
            <w:tcW w:w="1276" w:type="dxa"/>
            <w:vAlign w:val="center"/>
          </w:tcPr>
          <w:p w14:paraId="3F3D105D">
            <w:pPr>
              <w:pStyle w:val="13"/>
            </w:pPr>
            <w:r>
              <w:t>问卷调查</w:t>
            </w:r>
          </w:p>
        </w:tc>
      </w:tr>
    </w:tbl>
    <w:p w14:paraId="63C1AD0D">
      <w:pPr>
        <w:sectPr>
          <w:pgSz w:w="16840" w:h="11900" w:orient="landscape"/>
          <w:pgMar w:top="1361" w:right="1020" w:bottom="1134" w:left="1020" w:header="720" w:footer="720" w:gutter="0"/>
          <w:cols w:space="720" w:num="1"/>
        </w:sectPr>
      </w:pPr>
    </w:p>
    <w:p w14:paraId="43D836BB">
      <w:pPr>
        <w:spacing w:before="0" w:after="0"/>
        <w:ind w:firstLine="560"/>
        <w:jc w:val="left"/>
        <w:outlineLvl w:val="9"/>
      </w:pPr>
      <w:r>
        <w:rPr>
          <w:rFonts w:ascii="方正仿宋_GBK" w:hAnsi="方正仿宋_GBK" w:eastAsia="方正仿宋_GBK" w:cs="方正仿宋_GBK"/>
          <w:b/>
          <w:color w:val="000000"/>
          <w:sz w:val="28"/>
        </w:rPr>
        <w:t>14、冀财教[2024]141号/省级/2025年义教补助经费/南杨楼小学公用经费绩效目标表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27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5F0B9">
            <w:pPr>
              <w:pStyle w:val="14"/>
            </w:pPr>
            <w:r>
              <w:t>单位：万元</w:t>
            </w:r>
          </w:p>
        </w:tc>
      </w:tr>
      <w:tr w14:paraId="18A00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8D1B3">
            <w:pPr>
              <w:pStyle w:val="11"/>
            </w:pPr>
            <w:r>
              <w:t>项目编码</w:t>
            </w:r>
          </w:p>
        </w:tc>
        <w:tc>
          <w:tcPr>
            <w:tcW w:w="5103" w:type="dxa"/>
            <w:gridSpan w:val="2"/>
            <w:vAlign w:val="center"/>
          </w:tcPr>
          <w:p w14:paraId="6FFAA301">
            <w:pPr>
              <w:pStyle w:val="13"/>
            </w:pPr>
            <w:r>
              <w:t>13052525P000004101808</w:t>
            </w:r>
          </w:p>
        </w:tc>
        <w:tc>
          <w:tcPr>
            <w:tcW w:w="2835" w:type="dxa"/>
            <w:vAlign w:val="center"/>
          </w:tcPr>
          <w:p w14:paraId="58972AFB">
            <w:pPr>
              <w:pStyle w:val="11"/>
            </w:pPr>
            <w:r>
              <w:t>项目名称</w:t>
            </w:r>
          </w:p>
        </w:tc>
        <w:tc>
          <w:tcPr>
            <w:tcW w:w="6095" w:type="dxa"/>
            <w:gridSpan w:val="3"/>
            <w:vAlign w:val="center"/>
          </w:tcPr>
          <w:p w14:paraId="74117B32">
            <w:pPr>
              <w:pStyle w:val="13"/>
            </w:pPr>
            <w:r>
              <w:t>冀财教[2024]141号/省级/2025年义教补助经费/南杨楼小学公用经费</w:t>
            </w:r>
          </w:p>
        </w:tc>
      </w:tr>
      <w:tr w14:paraId="74FBC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F9389">
            <w:pPr>
              <w:pStyle w:val="11"/>
            </w:pPr>
            <w:r>
              <w:t>预算规模及资金用途</w:t>
            </w:r>
          </w:p>
        </w:tc>
        <w:tc>
          <w:tcPr>
            <w:tcW w:w="2268" w:type="dxa"/>
            <w:vAlign w:val="center"/>
          </w:tcPr>
          <w:p w14:paraId="785D75D7">
            <w:pPr>
              <w:pStyle w:val="11"/>
            </w:pPr>
            <w:r>
              <w:t>预算数</w:t>
            </w:r>
          </w:p>
        </w:tc>
        <w:tc>
          <w:tcPr>
            <w:tcW w:w="2835" w:type="dxa"/>
            <w:vAlign w:val="center"/>
          </w:tcPr>
          <w:p w14:paraId="27BD51C5">
            <w:pPr>
              <w:pStyle w:val="13"/>
            </w:pPr>
            <w:r>
              <w:t>2.69</w:t>
            </w:r>
          </w:p>
        </w:tc>
        <w:tc>
          <w:tcPr>
            <w:tcW w:w="2835" w:type="dxa"/>
            <w:vAlign w:val="center"/>
          </w:tcPr>
          <w:p w14:paraId="4A995402">
            <w:pPr>
              <w:pStyle w:val="11"/>
            </w:pPr>
            <w:r>
              <w:t>其中：财政    资金</w:t>
            </w:r>
          </w:p>
        </w:tc>
        <w:tc>
          <w:tcPr>
            <w:tcW w:w="2551" w:type="dxa"/>
            <w:vAlign w:val="center"/>
          </w:tcPr>
          <w:p w14:paraId="6DE06E97">
            <w:pPr>
              <w:pStyle w:val="13"/>
            </w:pPr>
            <w:r>
              <w:t>2.69</w:t>
            </w:r>
          </w:p>
        </w:tc>
        <w:tc>
          <w:tcPr>
            <w:tcW w:w="2268" w:type="dxa"/>
            <w:vAlign w:val="center"/>
          </w:tcPr>
          <w:p w14:paraId="071D6467">
            <w:pPr>
              <w:pStyle w:val="11"/>
            </w:pPr>
            <w:r>
              <w:t>其他资金</w:t>
            </w:r>
          </w:p>
        </w:tc>
        <w:tc>
          <w:tcPr>
            <w:tcW w:w="1276" w:type="dxa"/>
            <w:vAlign w:val="center"/>
          </w:tcPr>
          <w:p w14:paraId="4C0F93AA">
            <w:pPr>
              <w:pStyle w:val="13"/>
            </w:pPr>
            <w:r>
              <w:t xml:space="preserve"> </w:t>
            </w:r>
          </w:p>
        </w:tc>
      </w:tr>
      <w:tr w14:paraId="397F9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E9E47"/>
        </w:tc>
        <w:tc>
          <w:tcPr>
            <w:tcW w:w="14033" w:type="dxa"/>
            <w:gridSpan w:val="6"/>
            <w:vAlign w:val="center"/>
          </w:tcPr>
          <w:p w14:paraId="6BC738AC">
            <w:pPr>
              <w:pStyle w:val="13"/>
            </w:pPr>
            <w:r>
              <w:t>有效完成学校教学安全秩序，保障学校教学任务有效开展，满足学校正常教学需要。</w:t>
            </w:r>
          </w:p>
        </w:tc>
      </w:tr>
      <w:tr w14:paraId="0718C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22D66">
            <w:pPr>
              <w:pStyle w:val="11"/>
            </w:pPr>
            <w:r>
              <w:t>资金支出计划（%）</w:t>
            </w:r>
          </w:p>
        </w:tc>
        <w:tc>
          <w:tcPr>
            <w:tcW w:w="5103" w:type="dxa"/>
            <w:gridSpan w:val="2"/>
            <w:vAlign w:val="center"/>
          </w:tcPr>
          <w:p w14:paraId="66A655D2">
            <w:pPr>
              <w:pStyle w:val="11"/>
            </w:pPr>
            <w:r>
              <w:t>3月底</w:t>
            </w:r>
          </w:p>
        </w:tc>
        <w:tc>
          <w:tcPr>
            <w:tcW w:w="2835" w:type="dxa"/>
            <w:vAlign w:val="center"/>
          </w:tcPr>
          <w:p w14:paraId="3403E862">
            <w:pPr>
              <w:pStyle w:val="11"/>
            </w:pPr>
            <w:r>
              <w:t>6月底</w:t>
            </w:r>
          </w:p>
        </w:tc>
        <w:tc>
          <w:tcPr>
            <w:tcW w:w="2551" w:type="dxa"/>
            <w:vAlign w:val="center"/>
          </w:tcPr>
          <w:p w14:paraId="327119E0">
            <w:pPr>
              <w:pStyle w:val="11"/>
            </w:pPr>
            <w:r>
              <w:t>10月底</w:t>
            </w:r>
          </w:p>
        </w:tc>
        <w:tc>
          <w:tcPr>
            <w:tcW w:w="3544" w:type="dxa"/>
            <w:gridSpan w:val="2"/>
            <w:vAlign w:val="center"/>
          </w:tcPr>
          <w:p w14:paraId="07D7B23E">
            <w:pPr>
              <w:pStyle w:val="11"/>
            </w:pPr>
            <w:r>
              <w:t>12月底</w:t>
            </w:r>
          </w:p>
        </w:tc>
      </w:tr>
      <w:tr w14:paraId="65F8C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1C9392"/>
        </w:tc>
        <w:tc>
          <w:tcPr>
            <w:tcW w:w="5103" w:type="dxa"/>
            <w:gridSpan w:val="2"/>
            <w:vAlign w:val="center"/>
          </w:tcPr>
          <w:p w14:paraId="784F80F1">
            <w:pPr>
              <w:pStyle w:val="12"/>
            </w:pPr>
            <w:r>
              <w:t>25%</w:t>
            </w:r>
          </w:p>
        </w:tc>
        <w:tc>
          <w:tcPr>
            <w:tcW w:w="2835" w:type="dxa"/>
            <w:vAlign w:val="center"/>
          </w:tcPr>
          <w:p w14:paraId="368F0D23">
            <w:pPr>
              <w:pStyle w:val="12"/>
            </w:pPr>
            <w:r>
              <w:t>50%</w:t>
            </w:r>
          </w:p>
        </w:tc>
        <w:tc>
          <w:tcPr>
            <w:tcW w:w="2551" w:type="dxa"/>
            <w:vAlign w:val="center"/>
          </w:tcPr>
          <w:p w14:paraId="73E547AE">
            <w:pPr>
              <w:pStyle w:val="12"/>
            </w:pPr>
            <w:r>
              <w:t>75%</w:t>
            </w:r>
          </w:p>
        </w:tc>
        <w:tc>
          <w:tcPr>
            <w:tcW w:w="3544" w:type="dxa"/>
            <w:gridSpan w:val="2"/>
            <w:vAlign w:val="center"/>
          </w:tcPr>
          <w:p w14:paraId="0D7AF8D5">
            <w:pPr>
              <w:pStyle w:val="12"/>
            </w:pPr>
            <w:r>
              <w:t>100%</w:t>
            </w:r>
          </w:p>
        </w:tc>
      </w:tr>
      <w:tr w14:paraId="37D6D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5F77C1">
            <w:pPr>
              <w:pStyle w:val="11"/>
            </w:pPr>
            <w:r>
              <w:t>绩效目标</w:t>
            </w:r>
          </w:p>
        </w:tc>
        <w:tc>
          <w:tcPr>
            <w:tcW w:w="14033" w:type="dxa"/>
            <w:gridSpan w:val="6"/>
            <w:vAlign w:val="center"/>
          </w:tcPr>
          <w:p w14:paraId="03158F1A">
            <w:pPr>
              <w:pStyle w:val="13"/>
            </w:pPr>
            <w:r>
              <w:t>1.按规定拨付公用经费资金，预算执行率≥98%。</w:t>
            </w:r>
          </w:p>
          <w:p w14:paraId="70A7E4D5">
            <w:pPr>
              <w:pStyle w:val="13"/>
            </w:pPr>
            <w:r>
              <w:t>2.有效完成学校教学安全秩序，保障学校教学任务有效开展，满足学校正常教学需要。</w:t>
            </w:r>
          </w:p>
        </w:tc>
      </w:tr>
    </w:tbl>
    <w:p w14:paraId="357D44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28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67BDD">
            <w:pPr>
              <w:pStyle w:val="11"/>
            </w:pPr>
            <w:r>
              <w:t>一级指标</w:t>
            </w:r>
          </w:p>
        </w:tc>
        <w:tc>
          <w:tcPr>
            <w:tcW w:w="2268" w:type="dxa"/>
            <w:vAlign w:val="center"/>
          </w:tcPr>
          <w:p w14:paraId="7992F0E6">
            <w:pPr>
              <w:pStyle w:val="11"/>
            </w:pPr>
            <w:r>
              <w:t>二级指标</w:t>
            </w:r>
          </w:p>
        </w:tc>
        <w:tc>
          <w:tcPr>
            <w:tcW w:w="2835" w:type="dxa"/>
            <w:vAlign w:val="center"/>
          </w:tcPr>
          <w:p w14:paraId="48C06892">
            <w:pPr>
              <w:pStyle w:val="11"/>
            </w:pPr>
            <w:r>
              <w:t>三级指标</w:t>
            </w:r>
          </w:p>
        </w:tc>
        <w:tc>
          <w:tcPr>
            <w:tcW w:w="5386" w:type="dxa"/>
            <w:vAlign w:val="center"/>
          </w:tcPr>
          <w:p w14:paraId="6C4CFB9E">
            <w:pPr>
              <w:pStyle w:val="11"/>
            </w:pPr>
            <w:r>
              <w:t>绩效指标描述</w:t>
            </w:r>
          </w:p>
        </w:tc>
        <w:tc>
          <w:tcPr>
            <w:tcW w:w="2268" w:type="dxa"/>
            <w:vAlign w:val="center"/>
          </w:tcPr>
          <w:p w14:paraId="6D157800">
            <w:pPr>
              <w:pStyle w:val="11"/>
            </w:pPr>
            <w:r>
              <w:t>指标值</w:t>
            </w:r>
          </w:p>
        </w:tc>
        <w:tc>
          <w:tcPr>
            <w:tcW w:w="1276" w:type="dxa"/>
            <w:vAlign w:val="center"/>
          </w:tcPr>
          <w:p w14:paraId="63F6619B">
            <w:pPr>
              <w:pStyle w:val="11"/>
            </w:pPr>
            <w:r>
              <w:t>指标值确定依据</w:t>
            </w:r>
          </w:p>
        </w:tc>
      </w:tr>
      <w:tr w14:paraId="63681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6E336">
            <w:pPr>
              <w:pStyle w:val="12"/>
            </w:pPr>
            <w:r>
              <w:t>产出指标</w:t>
            </w:r>
          </w:p>
        </w:tc>
        <w:tc>
          <w:tcPr>
            <w:tcW w:w="2268" w:type="dxa"/>
            <w:vAlign w:val="center"/>
          </w:tcPr>
          <w:p w14:paraId="75E623C9">
            <w:pPr>
              <w:pStyle w:val="13"/>
            </w:pPr>
            <w:r>
              <w:t>数量指标</w:t>
            </w:r>
          </w:p>
        </w:tc>
        <w:tc>
          <w:tcPr>
            <w:tcW w:w="2835" w:type="dxa"/>
            <w:vAlign w:val="center"/>
          </w:tcPr>
          <w:p w14:paraId="5E4D11F4">
            <w:pPr>
              <w:pStyle w:val="13"/>
            </w:pPr>
            <w:r>
              <w:t>就读学生数</w:t>
            </w:r>
          </w:p>
        </w:tc>
        <w:tc>
          <w:tcPr>
            <w:tcW w:w="5386" w:type="dxa"/>
            <w:vAlign w:val="center"/>
          </w:tcPr>
          <w:p w14:paraId="07361710">
            <w:pPr>
              <w:pStyle w:val="13"/>
            </w:pPr>
            <w:r>
              <w:t>辐射区域内适龄学生人数</w:t>
            </w:r>
          </w:p>
        </w:tc>
        <w:tc>
          <w:tcPr>
            <w:tcW w:w="2268" w:type="dxa"/>
            <w:vAlign w:val="center"/>
          </w:tcPr>
          <w:p w14:paraId="124EA543">
            <w:pPr>
              <w:pStyle w:val="13"/>
            </w:pPr>
            <w:r>
              <w:t>≥31人</w:t>
            </w:r>
          </w:p>
        </w:tc>
        <w:tc>
          <w:tcPr>
            <w:tcW w:w="1276" w:type="dxa"/>
            <w:vAlign w:val="center"/>
          </w:tcPr>
          <w:p w14:paraId="61AF76F3">
            <w:pPr>
              <w:pStyle w:val="13"/>
            </w:pPr>
            <w:r>
              <w:t>城乡义务教育公用经费管理办法</w:t>
            </w:r>
          </w:p>
        </w:tc>
      </w:tr>
      <w:tr w14:paraId="73569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A9080"/>
        </w:tc>
        <w:tc>
          <w:tcPr>
            <w:tcW w:w="2268" w:type="dxa"/>
            <w:vAlign w:val="center"/>
          </w:tcPr>
          <w:p w14:paraId="090FAA03">
            <w:pPr>
              <w:pStyle w:val="13"/>
            </w:pPr>
            <w:r>
              <w:t>质量指标</w:t>
            </w:r>
          </w:p>
        </w:tc>
        <w:tc>
          <w:tcPr>
            <w:tcW w:w="2835" w:type="dxa"/>
            <w:vAlign w:val="center"/>
          </w:tcPr>
          <w:p w14:paraId="3C5512E9">
            <w:pPr>
              <w:pStyle w:val="13"/>
            </w:pPr>
            <w:r>
              <w:t>预算执行率</w:t>
            </w:r>
          </w:p>
        </w:tc>
        <w:tc>
          <w:tcPr>
            <w:tcW w:w="5386" w:type="dxa"/>
            <w:vAlign w:val="center"/>
          </w:tcPr>
          <w:p w14:paraId="59DC0BE7">
            <w:pPr>
              <w:pStyle w:val="13"/>
            </w:pPr>
            <w:r>
              <w:t>预算执行率</w:t>
            </w:r>
          </w:p>
        </w:tc>
        <w:tc>
          <w:tcPr>
            <w:tcW w:w="2268" w:type="dxa"/>
            <w:vAlign w:val="center"/>
          </w:tcPr>
          <w:p w14:paraId="7F59E5DF">
            <w:pPr>
              <w:pStyle w:val="13"/>
            </w:pPr>
            <w:r>
              <w:t>≥98%</w:t>
            </w:r>
          </w:p>
        </w:tc>
        <w:tc>
          <w:tcPr>
            <w:tcW w:w="1276" w:type="dxa"/>
            <w:vAlign w:val="center"/>
          </w:tcPr>
          <w:p w14:paraId="7D1EA3DF">
            <w:pPr>
              <w:pStyle w:val="13"/>
            </w:pPr>
            <w:r>
              <w:t>城乡义务教育公用经费管理办法</w:t>
            </w:r>
          </w:p>
        </w:tc>
      </w:tr>
      <w:tr w14:paraId="5AF10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0658B"/>
        </w:tc>
        <w:tc>
          <w:tcPr>
            <w:tcW w:w="2268" w:type="dxa"/>
            <w:vAlign w:val="center"/>
          </w:tcPr>
          <w:p w14:paraId="157D74E8">
            <w:pPr>
              <w:pStyle w:val="13"/>
            </w:pPr>
            <w:r>
              <w:t>时效指标</w:t>
            </w:r>
          </w:p>
        </w:tc>
        <w:tc>
          <w:tcPr>
            <w:tcW w:w="2835" w:type="dxa"/>
            <w:vAlign w:val="center"/>
          </w:tcPr>
          <w:p w14:paraId="40D8F117">
            <w:pPr>
              <w:pStyle w:val="13"/>
            </w:pPr>
            <w:r>
              <w:t>义教经费支付完成率</w:t>
            </w:r>
          </w:p>
        </w:tc>
        <w:tc>
          <w:tcPr>
            <w:tcW w:w="5386" w:type="dxa"/>
            <w:vAlign w:val="center"/>
          </w:tcPr>
          <w:p w14:paraId="58ADB2D3">
            <w:pPr>
              <w:pStyle w:val="13"/>
            </w:pPr>
            <w:r>
              <w:t>按照序时进度完成资金支付</w:t>
            </w:r>
          </w:p>
        </w:tc>
        <w:tc>
          <w:tcPr>
            <w:tcW w:w="2268" w:type="dxa"/>
            <w:vAlign w:val="center"/>
          </w:tcPr>
          <w:p w14:paraId="13015E49">
            <w:pPr>
              <w:pStyle w:val="13"/>
            </w:pPr>
            <w:r>
              <w:t>≥100%</w:t>
            </w:r>
          </w:p>
        </w:tc>
        <w:tc>
          <w:tcPr>
            <w:tcW w:w="1276" w:type="dxa"/>
            <w:vAlign w:val="center"/>
          </w:tcPr>
          <w:p w14:paraId="4AD714F5">
            <w:pPr>
              <w:pStyle w:val="13"/>
            </w:pPr>
            <w:r>
              <w:t>城乡义务教育公用经费管理办法</w:t>
            </w:r>
          </w:p>
        </w:tc>
      </w:tr>
      <w:tr w14:paraId="06446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33BD4"/>
        </w:tc>
        <w:tc>
          <w:tcPr>
            <w:tcW w:w="2268" w:type="dxa"/>
            <w:vAlign w:val="center"/>
          </w:tcPr>
          <w:p w14:paraId="2C965112">
            <w:pPr>
              <w:pStyle w:val="13"/>
            </w:pPr>
            <w:r>
              <w:t>成本指标</w:t>
            </w:r>
          </w:p>
        </w:tc>
        <w:tc>
          <w:tcPr>
            <w:tcW w:w="2835" w:type="dxa"/>
            <w:vAlign w:val="center"/>
          </w:tcPr>
          <w:p w14:paraId="61021D51">
            <w:pPr>
              <w:pStyle w:val="13"/>
            </w:pPr>
            <w:r>
              <w:t>生均拨款标准</w:t>
            </w:r>
          </w:p>
        </w:tc>
        <w:tc>
          <w:tcPr>
            <w:tcW w:w="5386" w:type="dxa"/>
            <w:vAlign w:val="center"/>
          </w:tcPr>
          <w:p w14:paraId="306EF0AF">
            <w:pPr>
              <w:pStyle w:val="13"/>
            </w:pPr>
            <w:r>
              <w:t>小学：（基本标准720元、寄宿生300元、生活补助120元）/生/学年；特教、随班就读学生：标准7000元/生/学年</w:t>
            </w:r>
          </w:p>
        </w:tc>
        <w:tc>
          <w:tcPr>
            <w:tcW w:w="2268" w:type="dxa"/>
            <w:vAlign w:val="center"/>
          </w:tcPr>
          <w:p w14:paraId="2620C3C2">
            <w:pPr>
              <w:pStyle w:val="13"/>
            </w:pPr>
            <w:r>
              <w:t>840元</w:t>
            </w:r>
          </w:p>
        </w:tc>
        <w:tc>
          <w:tcPr>
            <w:tcW w:w="1276" w:type="dxa"/>
            <w:vAlign w:val="center"/>
          </w:tcPr>
          <w:p w14:paraId="75B8CC33">
            <w:pPr>
              <w:pStyle w:val="13"/>
            </w:pPr>
            <w:r>
              <w:t>城乡义务教育公用经费管理办法</w:t>
            </w:r>
          </w:p>
        </w:tc>
      </w:tr>
      <w:tr w14:paraId="34665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8A7D1E">
            <w:pPr>
              <w:pStyle w:val="12"/>
            </w:pPr>
            <w:r>
              <w:t>效益指标</w:t>
            </w:r>
          </w:p>
        </w:tc>
        <w:tc>
          <w:tcPr>
            <w:tcW w:w="2268" w:type="dxa"/>
            <w:vAlign w:val="center"/>
          </w:tcPr>
          <w:p w14:paraId="217AF311">
            <w:pPr>
              <w:pStyle w:val="13"/>
            </w:pPr>
            <w:r>
              <w:t>社会效益指标</w:t>
            </w:r>
          </w:p>
        </w:tc>
        <w:tc>
          <w:tcPr>
            <w:tcW w:w="2835" w:type="dxa"/>
            <w:vAlign w:val="center"/>
          </w:tcPr>
          <w:p w14:paraId="621B002F">
            <w:pPr>
              <w:pStyle w:val="13"/>
            </w:pPr>
            <w:r>
              <w:t>学校稳定率</w:t>
            </w:r>
          </w:p>
        </w:tc>
        <w:tc>
          <w:tcPr>
            <w:tcW w:w="5386" w:type="dxa"/>
            <w:vAlign w:val="center"/>
          </w:tcPr>
          <w:p w14:paraId="5361234B">
            <w:pPr>
              <w:pStyle w:val="13"/>
            </w:pPr>
            <w:r>
              <w:t>维护学校稳定，保障学校正常教学秩序有效开展</w:t>
            </w:r>
          </w:p>
        </w:tc>
        <w:tc>
          <w:tcPr>
            <w:tcW w:w="2268" w:type="dxa"/>
            <w:vAlign w:val="center"/>
          </w:tcPr>
          <w:p w14:paraId="0A96120E">
            <w:pPr>
              <w:pStyle w:val="13"/>
            </w:pPr>
            <w:r>
              <w:t>≥100%</w:t>
            </w:r>
          </w:p>
        </w:tc>
        <w:tc>
          <w:tcPr>
            <w:tcW w:w="1276" w:type="dxa"/>
            <w:vAlign w:val="center"/>
          </w:tcPr>
          <w:p w14:paraId="74EEC709">
            <w:pPr>
              <w:pStyle w:val="13"/>
            </w:pPr>
            <w:r>
              <w:t>城乡义务教育公用经费管理办法</w:t>
            </w:r>
          </w:p>
        </w:tc>
      </w:tr>
      <w:tr w14:paraId="5A4C6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F49B76">
            <w:pPr>
              <w:pStyle w:val="12"/>
            </w:pPr>
            <w:r>
              <w:t>满意度指标</w:t>
            </w:r>
          </w:p>
        </w:tc>
        <w:tc>
          <w:tcPr>
            <w:tcW w:w="2268" w:type="dxa"/>
            <w:vAlign w:val="center"/>
          </w:tcPr>
          <w:p w14:paraId="75C0E50B">
            <w:pPr>
              <w:pStyle w:val="13"/>
            </w:pPr>
            <w:r>
              <w:t>服务对象满意度指标</w:t>
            </w:r>
          </w:p>
        </w:tc>
        <w:tc>
          <w:tcPr>
            <w:tcW w:w="2835" w:type="dxa"/>
            <w:vAlign w:val="center"/>
          </w:tcPr>
          <w:p w14:paraId="7FC44257">
            <w:pPr>
              <w:pStyle w:val="13"/>
            </w:pPr>
            <w:r>
              <w:t>家长和学生满意度</w:t>
            </w:r>
          </w:p>
        </w:tc>
        <w:tc>
          <w:tcPr>
            <w:tcW w:w="5386" w:type="dxa"/>
            <w:vAlign w:val="center"/>
          </w:tcPr>
          <w:p w14:paraId="6FCA7347">
            <w:pPr>
              <w:pStyle w:val="13"/>
            </w:pPr>
            <w:r>
              <w:t>家长和学生满意度</w:t>
            </w:r>
          </w:p>
        </w:tc>
        <w:tc>
          <w:tcPr>
            <w:tcW w:w="2268" w:type="dxa"/>
            <w:vAlign w:val="center"/>
          </w:tcPr>
          <w:p w14:paraId="4B22BCD0">
            <w:pPr>
              <w:pStyle w:val="13"/>
            </w:pPr>
            <w:r>
              <w:t>≥95%</w:t>
            </w:r>
          </w:p>
        </w:tc>
        <w:tc>
          <w:tcPr>
            <w:tcW w:w="1276" w:type="dxa"/>
            <w:vAlign w:val="center"/>
          </w:tcPr>
          <w:p w14:paraId="0374A30F">
            <w:pPr>
              <w:pStyle w:val="13"/>
            </w:pPr>
            <w:r>
              <w:t>问卷调查</w:t>
            </w:r>
          </w:p>
        </w:tc>
      </w:tr>
    </w:tbl>
    <w:p w14:paraId="28B2F4E3">
      <w:pPr>
        <w:sectPr>
          <w:pgSz w:w="16840" w:h="11900" w:orient="landscape"/>
          <w:pgMar w:top="1361" w:right="1020" w:bottom="1134" w:left="1020" w:header="720" w:footer="720" w:gutter="0"/>
          <w:cols w:space="720" w:num="1"/>
        </w:sectPr>
      </w:pPr>
    </w:p>
    <w:p w14:paraId="5186D2EE">
      <w:pPr>
        <w:spacing w:before="0" w:after="0"/>
        <w:ind w:firstLine="560"/>
        <w:jc w:val="left"/>
        <w:outlineLvl w:val="9"/>
      </w:pPr>
      <w:r>
        <w:rPr>
          <w:rFonts w:ascii="方正仿宋_GBK" w:hAnsi="方正仿宋_GBK" w:eastAsia="方正仿宋_GBK" w:cs="方正仿宋_GBK"/>
          <w:b/>
          <w:color w:val="000000"/>
          <w:sz w:val="28"/>
        </w:rPr>
        <w:t>15、冀财教[2024]141号/省级/2025年义教补助经费/牛家桥小学公用经费绩效目标表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D8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9F864">
            <w:pPr>
              <w:pStyle w:val="14"/>
            </w:pPr>
            <w:r>
              <w:t>单位：万元</w:t>
            </w:r>
          </w:p>
        </w:tc>
      </w:tr>
      <w:tr w14:paraId="29360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2BC1D174">
            <w:pPr>
              <w:pStyle w:val="11"/>
            </w:pPr>
            <w:r>
              <w:t>项目编码</w:t>
            </w:r>
          </w:p>
        </w:tc>
        <w:tc>
          <w:tcPr>
            <w:tcW w:w="5103" w:type="dxa"/>
            <w:gridSpan w:val="2"/>
            <w:vAlign w:val="center"/>
          </w:tcPr>
          <w:p w14:paraId="59E0F5AB">
            <w:pPr>
              <w:pStyle w:val="13"/>
            </w:pPr>
            <w:r>
              <w:t>13052525P00000410174T</w:t>
            </w:r>
          </w:p>
        </w:tc>
        <w:tc>
          <w:tcPr>
            <w:tcW w:w="2835" w:type="dxa"/>
            <w:vAlign w:val="center"/>
          </w:tcPr>
          <w:p w14:paraId="101DA6CF">
            <w:pPr>
              <w:pStyle w:val="11"/>
            </w:pPr>
            <w:r>
              <w:t>项目名称</w:t>
            </w:r>
          </w:p>
        </w:tc>
        <w:tc>
          <w:tcPr>
            <w:tcW w:w="6095" w:type="dxa"/>
            <w:gridSpan w:val="3"/>
            <w:vAlign w:val="center"/>
          </w:tcPr>
          <w:p w14:paraId="7D477557">
            <w:pPr>
              <w:pStyle w:val="13"/>
            </w:pPr>
            <w:r>
              <w:t>冀财教[2024]141号/省级/2025年义教补助经费/牛家桥小学公用经费</w:t>
            </w:r>
          </w:p>
        </w:tc>
      </w:tr>
      <w:tr w14:paraId="5B593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7CD2E">
            <w:pPr>
              <w:pStyle w:val="11"/>
            </w:pPr>
            <w:r>
              <w:t>预算规模及资金用途</w:t>
            </w:r>
          </w:p>
        </w:tc>
        <w:tc>
          <w:tcPr>
            <w:tcW w:w="2268" w:type="dxa"/>
            <w:vAlign w:val="center"/>
          </w:tcPr>
          <w:p w14:paraId="71545F44">
            <w:pPr>
              <w:pStyle w:val="11"/>
            </w:pPr>
            <w:r>
              <w:t>预算数</w:t>
            </w:r>
          </w:p>
        </w:tc>
        <w:tc>
          <w:tcPr>
            <w:tcW w:w="2835" w:type="dxa"/>
            <w:vAlign w:val="center"/>
          </w:tcPr>
          <w:p w14:paraId="188E209F">
            <w:pPr>
              <w:pStyle w:val="13"/>
            </w:pPr>
            <w:r>
              <w:t>19.83</w:t>
            </w:r>
          </w:p>
        </w:tc>
        <w:tc>
          <w:tcPr>
            <w:tcW w:w="2835" w:type="dxa"/>
            <w:vAlign w:val="center"/>
          </w:tcPr>
          <w:p w14:paraId="15FAD545">
            <w:pPr>
              <w:pStyle w:val="11"/>
            </w:pPr>
            <w:r>
              <w:t>其中：财政    资金</w:t>
            </w:r>
          </w:p>
        </w:tc>
        <w:tc>
          <w:tcPr>
            <w:tcW w:w="2551" w:type="dxa"/>
            <w:vAlign w:val="center"/>
          </w:tcPr>
          <w:p w14:paraId="76D72B75">
            <w:pPr>
              <w:pStyle w:val="13"/>
            </w:pPr>
            <w:r>
              <w:t>19.83</w:t>
            </w:r>
          </w:p>
        </w:tc>
        <w:tc>
          <w:tcPr>
            <w:tcW w:w="2268" w:type="dxa"/>
            <w:vAlign w:val="center"/>
          </w:tcPr>
          <w:p w14:paraId="3FDE0201">
            <w:pPr>
              <w:pStyle w:val="11"/>
            </w:pPr>
            <w:r>
              <w:t>其他资金</w:t>
            </w:r>
          </w:p>
        </w:tc>
        <w:tc>
          <w:tcPr>
            <w:tcW w:w="1276" w:type="dxa"/>
            <w:vAlign w:val="center"/>
          </w:tcPr>
          <w:p w14:paraId="74F9B3E3">
            <w:pPr>
              <w:pStyle w:val="13"/>
            </w:pPr>
            <w:r>
              <w:t xml:space="preserve"> </w:t>
            </w:r>
          </w:p>
        </w:tc>
      </w:tr>
      <w:tr w14:paraId="4C304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EB133"/>
        </w:tc>
        <w:tc>
          <w:tcPr>
            <w:tcW w:w="14033" w:type="dxa"/>
            <w:gridSpan w:val="6"/>
            <w:vAlign w:val="center"/>
          </w:tcPr>
          <w:p w14:paraId="087D8A70">
            <w:pPr>
              <w:pStyle w:val="13"/>
            </w:pPr>
            <w:r>
              <w:t>有效完成学校教学安全秩序，保障学校教学任务有效开展，满足学校正常教学需要。</w:t>
            </w:r>
          </w:p>
        </w:tc>
      </w:tr>
      <w:tr w14:paraId="1016A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4FDD2">
            <w:pPr>
              <w:pStyle w:val="11"/>
            </w:pPr>
            <w:r>
              <w:t>资金支出计划（%）</w:t>
            </w:r>
          </w:p>
        </w:tc>
        <w:tc>
          <w:tcPr>
            <w:tcW w:w="5103" w:type="dxa"/>
            <w:gridSpan w:val="2"/>
            <w:vAlign w:val="center"/>
          </w:tcPr>
          <w:p w14:paraId="5A614DBC">
            <w:pPr>
              <w:pStyle w:val="11"/>
            </w:pPr>
            <w:r>
              <w:t>3月底</w:t>
            </w:r>
          </w:p>
        </w:tc>
        <w:tc>
          <w:tcPr>
            <w:tcW w:w="2835" w:type="dxa"/>
            <w:vAlign w:val="center"/>
          </w:tcPr>
          <w:p w14:paraId="6B0D650E">
            <w:pPr>
              <w:pStyle w:val="11"/>
            </w:pPr>
            <w:r>
              <w:t>6月底</w:t>
            </w:r>
          </w:p>
        </w:tc>
        <w:tc>
          <w:tcPr>
            <w:tcW w:w="2551" w:type="dxa"/>
            <w:vAlign w:val="center"/>
          </w:tcPr>
          <w:p w14:paraId="148BF8F4">
            <w:pPr>
              <w:pStyle w:val="11"/>
            </w:pPr>
            <w:r>
              <w:t>10月底</w:t>
            </w:r>
          </w:p>
        </w:tc>
        <w:tc>
          <w:tcPr>
            <w:tcW w:w="3544" w:type="dxa"/>
            <w:gridSpan w:val="2"/>
            <w:vAlign w:val="center"/>
          </w:tcPr>
          <w:p w14:paraId="52C863F0">
            <w:pPr>
              <w:pStyle w:val="11"/>
            </w:pPr>
            <w:r>
              <w:t>12月底</w:t>
            </w:r>
          </w:p>
        </w:tc>
      </w:tr>
      <w:tr w14:paraId="556D1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A1EDEDA"/>
        </w:tc>
        <w:tc>
          <w:tcPr>
            <w:tcW w:w="5103" w:type="dxa"/>
            <w:gridSpan w:val="2"/>
            <w:vAlign w:val="center"/>
          </w:tcPr>
          <w:p w14:paraId="0FC0D449">
            <w:pPr>
              <w:pStyle w:val="12"/>
            </w:pPr>
            <w:r>
              <w:t>25%</w:t>
            </w:r>
          </w:p>
        </w:tc>
        <w:tc>
          <w:tcPr>
            <w:tcW w:w="2835" w:type="dxa"/>
            <w:vAlign w:val="center"/>
          </w:tcPr>
          <w:p w14:paraId="65461C7C">
            <w:pPr>
              <w:pStyle w:val="12"/>
            </w:pPr>
            <w:r>
              <w:t>50%</w:t>
            </w:r>
          </w:p>
        </w:tc>
        <w:tc>
          <w:tcPr>
            <w:tcW w:w="2551" w:type="dxa"/>
            <w:vAlign w:val="center"/>
          </w:tcPr>
          <w:p w14:paraId="14B40DE3">
            <w:pPr>
              <w:pStyle w:val="12"/>
            </w:pPr>
            <w:r>
              <w:t>75%</w:t>
            </w:r>
          </w:p>
        </w:tc>
        <w:tc>
          <w:tcPr>
            <w:tcW w:w="3544" w:type="dxa"/>
            <w:gridSpan w:val="2"/>
            <w:vAlign w:val="center"/>
          </w:tcPr>
          <w:p w14:paraId="0028397E">
            <w:pPr>
              <w:pStyle w:val="12"/>
            </w:pPr>
            <w:r>
              <w:t>100%</w:t>
            </w:r>
          </w:p>
        </w:tc>
      </w:tr>
      <w:tr w14:paraId="180A0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E25C58">
            <w:pPr>
              <w:pStyle w:val="11"/>
            </w:pPr>
            <w:r>
              <w:t>绩效目标</w:t>
            </w:r>
          </w:p>
        </w:tc>
        <w:tc>
          <w:tcPr>
            <w:tcW w:w="14033" w:type="dxa"/>
            <w:gridSpan w:val="6"/>
            <w:vAlign w:val="center"/>
          </w:tcPr>
          <w:p w14:paraId="11DFA9D5">
            <w:pPr>
              <w:pStyle w:val="13"/>
            </w:pPr>
            <w:r>
              <w:t>1.按规定拨付公用经费资金，预算执行率≥98%。</w:t>
            </w:r>
          </w:p>
          <w:p w14:paraId="6614C1FF">
            <w:pPr>
              <w:pStyle w:val="13"/>
            </w:pPr>
            <w:r>
              <w:t>2.有效完成学校教学安全秩序，保障学校教学任务有效开展，满足学校正常教学需要。</w:t>
            </w:r>
          </w:p>
        </w:tc>
      </w:tr>
    </w:tbl>
    <w:p w14:paraId="288319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48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434C4">
            <w:pPr>
              <w:pStyle w:val="11"/>
            </w:pPr>
            <w:r>
              <w:t>一级指标</w:t>
            </w:r>
          </w:p>
        </w:tc>
        <w:tc>
          <w:tcPr>
            <w:tcW w:w="2268" w:type="dxa"/>
            <w:vAlign w:val="center"/>
          </w:tcPr>
          <w:p w14:paraId="4A8FB01A">
            <w:pPr>
              <w:pStyle w:val="11"/>
            </w:pPr>
            <w:r>
              <w:t>二级指标</w:t>
            </w:r>
          </w:p>
        </w:tc>
        <w:tc>
          <w:tcPr>
            <w:tcW w:w="2835" w:type="dxa"/>
            <w:vAlign w:val="center"/>
          </w:tcPr>
          <w:p w14:paraId="4E9F8A36">
            <w:pPr>
              <w:pStyle w:val="11"/>
            </w:pPr>
            <w:r>
              <w:t>三级指标</w:t>
            </w:r>
          </w:p>
        </w:tc>
        <w:tc>
          <w:tcPr>
            <w:tcW w:w="5386" w:type="dxa"/>
            <w:vAlign w:val="center"/>
          </w:tcPr>
          <w:p w14:paraId="04955D26">
            <w:pPr>
              <w:pStyle w:val="11"/>
            </w:pPr>
            <w:r>
              <w:t>绩效指标描述</w:t>
            </w:r>
          </w:p>
        </w:tc>
        <w:tc>
          <w:tcPr>
            <w:tcW w:w="2268" w:type="dxa"/>
            <w:vAlign w:val="center"/>
          </w:tcPr>
          <w:p w14:paraId="543DB0C7">
            <w:pPr>
              <w:pStyle w:val="11"/>
            </w:pPr>
            <w:r>
              <w:t>指标值</w:t>
            </w:r>
          </w:p>
        </w:tc>
        <w:tc>
          <w:tcPr>
            <w:tcW w:w="1276" w:type="dxa"/>
            <w:vAlign w:val="center"/>
          </w:tcPr>
          <w:p w14:paraId="2808E000">
            <w:pPr>
              <w:pStyle w:val="11"/>
            </w:pPr>
            <w:r>
              <w:t>指标值确定依据</w:t>
            </w:r>
          </w:p>
        </w:tc>
      </w:tr>
      <w:tr w14:paraId="6607C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B6AAB">
            <w:pPr>
              <w:pStyle w:val="12"/>
            </w:pPr>
            <w:r>
              <w:t>产出指标</w:t>
            </w:r>
          </w:p>
        </w:tc>
        <w:tc>
          <w:tcPr>
            <w:tcW w:w="2268" w:type="dxa"/>
            <w:vAlign w:val="center"/>
          </w:tcPr>
          <w:p w14:paraId="3E9ADF4D">
            <w:pPr>
              <w:pStyle w:val="13"/>
            </w:pPr>
            <w:r>
              <w:t>数量指标</w:t>
            </w:r>
          </w:p>
        </w:tc>
        <w:tc>
          <w:tcPr>
            <w:tcW w:w="2835" w:type="dxa"/>
            <w:vAlign w:val="center"/>
          </w:tcPr>
          <w:p w14:paraId="1CA5B5CD">
            <w:pPr>
              <w:pStyle w:val="13"/>
            </w:pPr>
            <w:r>
              <w:t>就读学生数</w:t>
            </w:r>
          </w:p>
        </w:tc>
        <w:tc>
          <w:tcPr>
            <w:tcW w:w="5386" w:type="dxa"/>
            <w:vAlign w:val="center"/>
          </w:tcPr>
          <w:p w14:paraId="7F5479ED">
            <w:pPr>
              <w:pStyle w:val="13"/>
            </w:pPr>
            <w:r>
              <w:t>辐射区域内适龄学生人数</w:t>
            </w:r>
          </w:p>
        </w:tc>
        <w:tc>
          <w:tcPr>
            <w:tcW w:w="2268" w:type="dxa"/>
            <w:vAlign w:val="center"/>
          </w:tcPr>
          <w:p w14:paraId="631E61A4">
            <w:pPr>
              <w:pStyle w:val="13"/>
            </w:pPr>
            <w:r>
              <w:t>597人</w:t>
            </w:r>
          </w:p>
        </w:tc>
        <w:tc>
          <w:tcPr>
            <w:tcW w:w="1276" w:type="dxa"/>
            <w:vAlign w:val="center"/>
          </w:tcPr>
          <w:p w14:paraId="248DB799">
            <w:pPr>
              <w:pStyle w:val="13"/>
            </w:pPr>
            <w:r>
              <w:t>城乡义务教育公用经费管理办法</w:t>
            </w:r>
          </w:p>
        </w:tc>
      </w:tr>
      <w:tr w14:paraId="19971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2BCE2"/>
        </w:tc>
        <w:tc>
          <w:tcPr>
            <w:tcW w:w="2268" w:type="dxa"/>
            <w:vAlign w:val="center"/>
          </w:tcPr>
          <w:p w14:paraId="7E152668">
            <w:pPr>
              <w:pStyle w:val="13"/>
            </w:pPr>
            <w:r>
              <w:t>质量指标</w:t>
            </w:r>
          </w:p>
        </w:tc>
        <w:tc>
          <w:tcPr>
            <w:tcW w:w="2835" w:type="dxa"/>
            <w:vAlign w:val="center"/>
          </w:tcPr>
          <w:p w14:paraId="330600AF">
            <w:pPr>
              <w:pStyle w:val="13"/>
            </w:pPr>
            <w:r>
              <w:t>预算执行率</w:t>
            </w:r>
          </w:p>
        </w:tc>
        <w:tc>
          <w:tcPr>
            <w:tcW w:w="5386" w:type="dxa"/>
            <w:vAlign w:val="center"/>
          </w:tcPr>
          <w:p w14:paraId="51D625DF">
            <w:pPr>
              <w:pStyle w:val="13"/>
            </w:pPr>
            <w:r>
              <w:t>预算执行率</w:t>
            </w:r>
          </w:p>
        </w:tc>
        <w:tc>
          <w:tcPr>
            <w:tcW w:w="2268" w:type="dxa"/>
            <w:vAlign w:val="center"/>
          </w:tcPr>
          <w:p w14:paraId="1F32F604">
            <w:pPr>
              <w:pStyle w:val="13"/>
            </w:pPr>
            <w:r>
              <w:t>≥98%</w:t>
            </w:r>
          </w:p>
        </w:tc>
        <w:tc>
          <w:tcPr>
            <w:tcW w:w="1276" w:type="dxa"/>
            <w:vAlign w:val="center"/>
          </w:tcPr>
          <w:p w14:paraId="4590D74C">
            <w:pPr>
              <w:pStyle w:val="13"/>
            </w:pPr>
            <w:r>
              <w:t>城乡义务教育公用经费管理办法</w:t>
            </w:r>
          </w:p>
        </w:tc>
      </w:tr>
      <w:tr w14:paraId="6A747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48B2F"/>
        </w:tc>
        <w:tc>
          <w:tcPr>
            <w:tcW w:w="2268" w:type="dxa"/>
            <w:vAlign w:val="center"/>
          </w:tcPr>
          <w:p w14:paraId="09C2DDCC">
            <w:pPr>
              <w:pStyle w:val="13"/>
            </w:pPr>
            <w:r>
              <w:t>时效指标</w:t>
            </w:r>
          </w:p>
        </w:tc>
        <w:tc>
          <w:tcPr>
            <w:tcW w:w="2835" w:type="dxa"/>
            <w:vAlign w:val="center"/>
          </w:tcPr>
          <w:p w14:paraId="0687DD15">
            <w:pPr>
              <w:pStyle w:val="13"/>
            </w:pPr>
            <w:r>
              <w:t>义教经费支付完成率</w:t>
            </w:r>
          </w:p>
        </w:tc>
        <w:tc>
          <w:tcPr>
            <w:tcW w:w="5386" w:type="dxa"/>
            <w:vAlign w:val="center"/>
          </w:tcPr>
          <w:p w14:paraId="44087067">
            <w:pPr>
              <w:pStyle w:val="13"/>
            </w:pPr>
            <w:r>
              <w:t>按照序时进度完成资金支付</w:t>
            </w:r>
          </w:p>
        </w:tc>
        <w:tc>
          <w:tcPr>
            <w:tcW w:w="2268" w:type="dxa"/>
            <w:vAlign w:val="center"/>
          </w:tcPr>
          <w:p w14:paraId="45DFF3EC">
            <w:pPr>
              <w:pStyle w:val="13"/>
            </w:pPr>
            <w:r>
              <w:t>≥100%</w:t>
            </w:r>
          </w:p>
        </w:tc>
        <w:tc>
          <w:tcPr>
            <w:tcW w:w="1276" w:type="dxa"/>
            <w:vAlign w:val="center"/>
          </w:tcPr>
          <w:p w14:paraId="0819B2AD">
            <w:pPr>
              <w:pStyle w:val="13"/>
            </w:pPr>
            <w:r>
              <w:t>城乡义务教育公用经费管理办法</w:t>
            </w:r>
          </w:p>
        </w:tc>
      </w:tr>
      <w:tr w14:paraId="7BBB6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2DB72"/>
        </w:tc>
        <w:tc>
          <w:tcPr>
            <w:tcW w:w="2268" w:type="dxa"/>
            <w:vAlign w:val="center"/>
          </w:tcPr>
          <w:p w14:paraId="5B356BB0">
            <w:pPr>
              <w:pStyle w:val="13"/>
            </w:pPr>
            <w:r>
              <w:t>成本指标</w:t>
            </w:r>
          </w:p>
        </w:tc>
        <w:tc>
          <w:tcPr>
            <w:tcW w:w="2835" w:type="dxa"/>
            <w:vAlign w:val="center"/>
          </w:tcPr>
          <w:p w14:paraId="6319CB94">
            <w:pPr>
              <w:pStyle w:val="13"/>
            </w:pPr>
            <w:r>
              <w:t>生均拨款标准</w:t>
            </w:r>
          </w:p>
        </w:tc>
        <w:tc>
          <w:tcPr>
            <w:tcW w:w="5386" w:type="dxa"/>
            <w:vAlign w:val="center"/>
          </w:tcPr>
          <w:p w14:paraId="5AAFB4BD">
            <w:pPr>
              <w:pStyle w:val="13"/>
            </w:pPr>
            <w:r>
              <w:t>小学：（基本标准720元、寄宿生300元、生活补助120元）/生/学年；特教、随班就读学生：标准7000元/生/学年</w:t>
            </w:r>
          </w:p>
        </w:tc>
        <w:tc>
          <w:tcPr>
            <w:tcW w:w="2268" w:type="dxa"/>
            <w:vAlign w:val="center"/>
          </w:tcPr>
          <w:p w14:paraId="26340CF5">
            <w:pPr>
              <w:pStyle w:val="13"/>
            </w:pPr>
            <w:r>
              <w:t>840元</w:t>
            </w:r>
          </w:p>
        </w:tc>
        <w:tc>
          <w:tcPr>
            <w:tcW w:w="1276" w:type="dxa"/>
            <w:vAlign w:val="center"/>
          </w:tcPr>
          <w:p w14:paraId="088098DD">
            <w:pPr>
              <w:pStyle w:val="13"/>
            </w:pPr>
            <w:r>
              <w:t>城乡义务教育公用经费管理办法</w:t>
            </w:r>
          </w:p>
        </w:tc>
      </w:tr>
      <w:tr w14:paraId="21C73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DD150F">
            <w:pPr>
              <w:pStyle w:val="12"/>
            </w:pPr>
            <w:r>
              <w:t>效益指标</w:t>
            </w:r>
          </w:p>
        </w:tc>
        <w:tc>
          <w:tcPr>
            <w:tcW w:w="2268" w:type="dxa"/>
            <w:vAlign w:val="center"/>
          </w:tcPr>
          <w:p w14:paraId="71AD6C11">
            <w:pPr>
              <w:pStyle w:val="13"/>
            </w:pPr>
            <w:r>
              <w:t>社会效益指标</w:t>
            </w:r>
          </w:p>
        </w:tc>
        <w:tc>
          <w:tcPr>
            <w:tcW w:w="2835" w:type="dxa"/>
            <w:vAlign w:val="center"/>
          </w:tcPr>
          <w:p w14:paraId="6897FB49">
            <w:pPr>
              <w:pStyle w:val="13"/>
            </w:pPr>
            <w:r>
              <w:t>学校稳定率</w:t>
            </w:r>
          </w:p>
        </w:tc>
        <w:tc>
          <w:tcPr>
            <w:tcW w:w="5386" w:type="dxa"/>
            <w:vAlign w:val="center"/>
          </w:tcPr>
          <w:p w14:paraId="534B2AA2">
            <w:pPr>
              <w:pStyle w:val="13"/>
            </w:pPr>
            <w:r>
              <w:t>维护学校稳定，保障学校正常教学秩序有效开展</w:t>
            </w:r>
          </w:p>
        </w:tc>
        <w:tc>
          <w:tcPr>
            <w:tcW w:w="2268" w:type="dxa"/>
            <w:vAlign w:val="center"/>
          </w:tcPr>
          <w:p w14:paraId="477F8F50">
            <w:pPr>
              <w:pStyle w:val="13"/>
            </w:pPr>
            <w:r>
              <w:t>≥100%</w:t>
            </w:r>
          </w:p>
        </w:tc>
        <w:tc>
          <w:tcPr>
            <w:tcW w:w="1276" w:type="dxa"/>
            <w:vAlign w:val="center"/>
          </w:tcPr>
          <w:p w14:paraId="3EFFD30B">
            <w:pPr>
              <w:pStyle w:val="13"/>
            </w:pPr>
            <w:r>
              <w:t>城乡义务教育公用经费管理办法</w:t>
            </w:r>
          </w:p>
        </w:tc>
      </w:tr>
      <w:tr w14:paraId="7BD6A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F298FF">
            <w:pPr>
              <w:pStyle w:val="12"/>
            </w:pPr>
            <w:r>
              <w:t>满意度指标</w:t>
            </w:r>
          </w:p>
        </w:tc>
        <w:tc>
          <w:tcPr>
            <w:tcW w:w="2268" w:type="dxa"/>
            <w:vAlign w:val="center"/>
          </w:tcPr>
          <w:p w14:paraId="0BD8E183">
            <w:pPr>
              <w:pStyle w:val="13"/>
            </w:pPr>
            <w:r>
              <w:t>服务对象满意度指标</w:t>
            </w:r>
          </w:p>
        </w:tc>
        <w:tc>
          <w:tcPr>
            <w:tcW w:w="2835" w:type="dxa"/>
            <w:vAlign w:val="center"/>
          </w:tcPr>
          <w:p w14:paraId="30B91198">
            <w:pPr>
              <w:pStyle w:val="13"/>
            </w:pPr>
            <w:r>
              <w:t>家长和学生满意度</w:t>
            </w:r>
          </w:p>
        </w:tc>
        <w:tc>
          <w:tcPr>
            <w:tcW w:w="5386" w:type="dxa"/>
            <w:vAlign w:val="center"/>
          </w:tcPr>
          <w:p w14:paraId="764E95AF">
            <w:pPr>
              <w:pStyle w:val="13"/>
            </w:pPr>
            <w:r>
              <w:t>家长和学生满意度</w:t>
            </w:r>
          </w:p>
        </w:tc>
        <w:tc>
          <w:tcPr>
            <w:tcW w:w="2268" w:type="dxa"/>
            <w:vAlign w:val="center"/>
          </w:tcPr>
          <w:p w14:paraId="760728FB">
            <w:pPr>
              <w:pStyle w:val="13"/>
            </w:pPr>
            <w:r>
              <w:t>≥95%</w:t>
            </w:r>
          </w:p>
        </w:tc>
        <w:tc>
          <w:tcPr>
            <w:tcW w:w="1276" w:type="dxa"/>
            <w:vAlign w:val="center"/>
          </w:tcPr>
          <w:p w14:paraId="78BC767E">
            <w:pPr>
              <w:pStyle w:val="13"/>
            </w:pPr>
            <w:r>
              <w:t>问卷调查</w:t>
            </w:r>
          </w:p>
        </w:tc>
      </w:tr>
    </w:tbl>
    <w:p w14:paraId="4E78E050">
      <w:pPr>
        <w:sectPr>
          <w:pgSz w:w="16840" w:h="11900" w:orient="landscape"/>
          <w:pgMar w:top="1361" w:right="1020" w:bottom="1134" w:left="1020" w:header="720" w:footer="720" w:gutter="0"/>
          <w:cols w:space="720" w:num="1"/>
        </w:sectPr>
      </w:pPr>
    </w:p>
    <w:p w14:paraId="3C2C2511">
      <w:pPr>
        <w:spacing w:before="0" w:after="0"/>
        <w:ind w:firstLine="560"/>
        <w:jc w:val="left"/>
        <w:outlineLvl w:val="9"/>
      </w:pPr>
      <w:r>
        <w:rPr>
          <w:rFonts w:ascii="方正仿宋_GBK" w:hAnsi="方正仿宋_GBK" w:eastAsia="方正仿宋_GBK" w:cs="方正仿宋_GBK"/>
          <w:b/>
          <w:color w:val="000000"/>
          <w:sz w:val="28"/>
        </w:rPr>
        <w:t>16、冀财教[2024]141号/省级/2025年义教补助经费/校舍安全保障/开河小学塑胶操场改造绩效目标表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77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0CCD7F">
            <w:pPr>
              <w:pStyle w:val="14"/>
            </w:pPr>
            <w:r>
              <w:t>单位：万元</w:t>
            </w:r>
          </w:p>
        </w:tc>
      </w:tr>
      <w:tr w14:paraId="3F03E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120BE">
            <w:pPr>
              <w:pStyle w:val="11"/>
            </w:pPr>
            <w:r>
              <w:t>项目编码</w:t>
            </w:r>
          </w:p>
        </w:tc>
        <w:tc>
          <w:tcPr>
            <w:tcW w:w="5103" w:type="dxa"/>
            <w:gridSpan w:val="2"/>
            <w:vAlign w:val="center"/>
          </w:tcPr>
          <w:p w14:paraId="4D9A55D9">
            <w:pPr>
              <w:pStyle w:val="13"/>
            </w:pPr>
            <w:r>
              <w:t>13052525P00876210042H</w:t>
            </w:r>
          </w:p>
        </w:tc>
        <w:tc>
          <w:tcPr>
            <w:tcW w:w="2835" w:type="dxa"/>
            <w:vAlign w:val="center"/>
          </w:tcPr>
          <w:p w14:paraId="22B38A62">
            <w:pPr>
              <w:pStyle w:val="11"/>
            </w:pPr>
            <w:r>
              <w:t>项目名称</w:t>
            </w:r>
          </w:p>
        </w:tc>
        <w:tc>
          <w:tcPr>
            <w:tcW w:w="6095" w:type="dxa"/>
            <w:gridSpan w:val="3"/>
            <w:vAlign w:val="center"/>
          </w:tcPr>
          <w:p w14:paraId="5A5515F0">
            <w:pPr>
              <w:pStyle w:val="13"/>
            </w:pPr>
            <w:r>
              <w:t>冀财教[2024]141号/省级/2025年义教补助经费/校舍安全保障/开河小学塑胶操场改造</w:t>
            </w:r>
          </w:p>
        </w:tc>
      </w:tr>
      <w:tr w14:paraId="486F4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43555">
            <w:pPr>
              <w:pStyle w:val="11"/>
            </w:pPr>
            <w:r>
              <w:t>预算规模及资金用途</w:t>
            </w:r>
          </w:p>
        </w:tc>
        <w:tc>
          <w:tcPr>
            <w:tcW w:w="2268" w:type="dxa"/>
            <w:vAlign w:val="center"/>
          </w:tcPr>
          <w:p w14:paraId="05038B2C">
            <w:pPr>
              <w:pStyle w:val="11"/>
            </w:pPr>
            <w:r>
              <w:t>预算数</w:t>
            </w:r>
          </w:p>
        </w:tc>
        <w:tc>
          <w:tcPr>
            <w:tcW w:w="2835" w:type="dxa"/>
            <w:vAlign w:val="center"/>
          </w:tcPr>
          <w:p w14:paraId="79DA646A">
            <w:pPr>
              <w:pStyle w:val="13"/>
            </w:pPr>
            <w:r>
              <w:t>57.00</w:t>
            </w:r>
          </w:p>
        </w:tc>
        <w:tc>
          <w:tcPr>
            <w:tcW w:w="2835" w:type="dxa"/>
            <w:vAlign w:val="center"/>
          </w:tcPr>
          <w:p w14:paraId="44CB0C92">
            <w:pPr>
              <w:pStyle w:val="11"/>
            </w:pPr>
            <w:r>
              <w:t>其中：财政    资金</w:t>
            </w:r>
          </w:p>
        </w:tc>
        <w:tc>
          <w:tcPr>
            <w:tcW w:w="2551" w:type="dxa"/>
            <w:vAlign w:val="center"/>
          </w:tcPr>
          <w:p w14:paraId="1D4CF4C1">
            <w:pPr>
              <w:pStyle w:val="13"/>
            </w:pPr>
            <w:r>
              <w:t>57.00</w:t>
            </w:r>
          </w:p>
        </w:tc>
        <w:tc>
          <w:tcPr>
            <w:tcW w:w="2268" w:type="dxa"/>
            <w:vAlign w:val="center"/>
          </w:tcPr>
          <w:p w14:paraId="77B963A1">
            <w:pPr>
              <w:pStyle w:val="11"/>
            </w:pPr>
            <w:r>
              <w:t>其他资金</w:t>
            </w:r>
          </w:p>
        </w:tc>
        <w:tc>
          <w:tcPr>
            <w:tcW w:w="1276" w:type="dxa"/>
            <w:vAlign w:val="center"/>
          </w:tcPr>
          <w:p w14:paraId="66ADFF9B">
            <w:pPr>
              <w:pStyle w:val="13"/>
            </w:pPr>
            <w:r>
              <w:t xml:space="preserve"> </w:t>
            </w:r>
          </w:p>
        </w:tc>
      </w:tr>
      <w:tr w14:paraId="46279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1D523"/>
        </w:tc>
        <w:tc>
          <w:tcPr>
            <w:tcW w:w="14033" w:type="dxa"/>
            <w:gridSpan w:val="6"/>
            <w:vAlign w:val="center"/>
          </w:tcPr>
          <w:p w14:paraId="1A8DE9A5">
            <w:pPr>
              <w:pStyle w:val="13"/>
            </w:pPr>
            <w:r>
              <w:t>完成开河小学塑胶操场改造，满足学校正常教学需要。</w:t>
            </w:r>
          </w:p>
        </w:tc>
      </w:tr>
      <w:tr w14:paraId="4658A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7C3DB">
            <w:pPr>
              <w:pStyle w:val="11"/>
            </w:pPr>
            <w:r>
              <w:t>资金支出计划（%）</w:t>
            </w:r>
          </w:p>
        </w:tc>
        <w:tc>
          <w:tcPr>
            <w:tcW w:w="5103" w:type="dxa"/>
            <w:gridSpan w:val="2"/>
            <w:vAlign w:val="center"/>
          </w:tcPr>
          <w:p w14:paraId="5AD1292D">
            <w:pPr>
              <w:pStyle w:val="11"/>
            </w:pPr>
            <w:r>
              <w:t>3月底</w:t>
            </w:r>
          </w:p>
        </w:tc>
        <w:tc>
          <w:tcPr>
            <w:tcW w:w="2835" w:type="dxa"/>
            <w:vAlign w:val="center"/>
          </w:tcPr>
          <w:p w14:paraId="4334CE5B">
            <w:pPr>
              <w:pStyle w:val="11"/>
            </w:pPr>
            <w:r>
              <w:t>6月底</w:t>
            </w:r>
          </w:p>
        </w:tc>
        <w:tc>
          <w:tcPr>
            <w:tcW w:w="2551" w:type="dxa"/>
            <w:vAlign w:val="center"/>
          </w:tcPr>
          <w:p w14:paraId="5A4F6476">
            <w:pPr>
              <w:pStyle w:val="11"/>
            </w:pPr>
            <w:r>
              <w:t>10月底</w:t>
            </w:r>
          </w:p>
        </w:tc>
        <w:tc>
          <w:tcPr>
            <w:tcW w:w="3544" w:type="dxa"/>
            <w:gridSpan w:val="2"/>
            <w:vAlign w:val="center"/>
          </w:tcPr>
          <w:p w14:paraId="29C2BDB0">
            <w:pPr>
              <w:pStyle w:val="11"/>
            </w:pPr>
            <w:r>
              <w:t>12月底</w:t>
            </w:r>
          </w:p>
        </w:tc>
      </w:tr>
      <w:tr w14:paraId="0EDF5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7D1EE1"/>
        </w:tc>
        <w:tc>
          <w:tcPr>
            <w:tcW w:w="5103" w:type="dxa"/>
            <w:gridSpan w:val="2"/>
            <w:vAlign w:val="center"/>
          </w:tcPr>
          <w:p w14:paraId="05E55331">
            <w:pPr>
              <w:pStyle w:val="12"/>
            </w:pPr>
            <w:r>
              <w:t>25%</w:t>
            </w:r>
          </w:p>
        </w:tc>
        <w:tc>
          <w:tcPr>
            <w:tcW w:w="2835" w:type="dxa"/>
            <w:vAlign w:val="center"/>
          </w:tcPr>
          <w:p w14:paraId="556595E7">
            <w:pPr>
              <w:pStyle w:val="12"/>
            </w:pPr>
            <w:r>
              <w:t>50%</w:t>
            </w:r>
          </w:p>
        </w:tc>
        <w:tc>
          <w:tcPr>
            <w:tcW w:w="2551" w:type="dxa"/>
            <w:vAlign w:val="center"/>
          </w:tcPr>
          <w:p w14:paraId="69BEEF30">
            <w:pPr>
              <w:pStyle w:val="12"/>
            </w:pPr>
            <w:r>
              <w:t>75%</w:t>
            </w:r>
          </w:p>
        </w:tc>
        <w:tc>
          <w:tcPr>
            <w:tcW w:w="3544" w:type="dxa"/>
            <w:gridSpan w:val="2"/>
            <w:vAlign w:val="center"/>
          </w:tcPr>
          <w:p w14:paraId="54A75726">
            <w:pPr>
              <w:pStyle w:val="12"/>
            </w:pPr>
            <w:r>
              <w:t>100%</w:t>
            </w:r>
          </w:p>
        </w:tc>
      </w:tr>
      <w:tr w14:paraId="756AD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3E6A8">
            <w:pPr>
              <w:pStyle w:val="11"/>
            </w:pPr>
            <w:r>
              <w:t>绩效目标</w:t>
            </w:r>
          </w:p>
        </w:tc>
        <w:tc>
          <w:tcPr>
            <w:tcW w:w="14033" w:type="dxa"/>
            <w:gridSpan w:val="6"/>
            <w:vAlign w:val="center"/>
          </w:tcPr>
          <w:p w14:paraId="3FA4C250">
            <w:pPr>
              <w:pStyle w:val="13"/>
            </w:pPr>
            <w:r>
              <w:t>1.按规定拨付专项资金，资金支付率达到100%。</w:t>
            </w:r>
          </w:p>
          <w:p w14:paraId="6B33FA70">
            <w:pPr>
              <w:pStyle w:val="13"/>
            </w:pPr>
            <w:r>
              <w:t>2.完成开河小学塑胶操场改造，满足学校正常教学需要。</w:t>
            </w:r>
          </w:p>
        </w:tc>
      </w:tr>
    </w:tbl>
    <w:p w14:paraId="4F11DE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04"/>
        <w:gridCol w:w="1590"/>
        <w:gridCol w:w="2936"/>
      </w:tblGrid>
      <w:tr w14:paraId="4E10B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67AE7">
            <w:pPr>
              <w:pStyle w:val="11"/>
            </w:pPr>
            <w:r>
              <w:t>一级指标</w:t>
            </w:r>
          </w:p>
        </w:tc>
        <w:tc>
          <w:tcPr>
            <w:tcW w:w="2268" w:type="dxa"/>
            <w:vAlign w:val="center"/>
          </w:tcPr>
          <w:p w14:paraId="7057B27E">
            <w:pPr>
              <w:pStyle w:val="11"/>
            </w:pPr>
            <w:r>
              <w:t>二级指标</w:t>
            </w:r>
          </w:p>
        </w:tc>
        <w:tc>
          <w:tcPr>
            <w:tcW w:w="2835" w:type="dxa"/>
            <w:vAlign w:val="center"/>
          </w:tcPr>
          <w:p w14:paraId="259F3769">
            <w:pPr>
              <w:pStyle w:val="11"/>
            </w:pPr>
            <w:r>
              <w:t>三级指标</w:t>
            </w:r>
          </w:p>
        </w:tc>
        <w:tc>
          <w:tcPr>
            <w:tcW w:w="4404" w:type="dxa"/>
            <w:vAlign w:val="center"/>
          </w:tcPr>
          <w:p w14:paraId="0DBD4F6E">
            <w:pPr>
              <w:pStyle w:val="11"/>
            </w:pPr>
            <w:r>
              <w:t>绩效指标描述</w:t>
            </w:r>
          </w:p>
        </w:tc>
        <w:tc>
          <w:tcPr>
            <w:tcW w:w="1590" w:type="dxa"/>
            <w:vAlign w:val="center"/>
          </w:tcPr>
          <w:p w14:paraId="094DA882">
            <w:pPr>
              <w:pStyle w:val="11"/>
            </w:pPr>
            <w:r>
              <w:t>指标值</w:t>
            </w:r>
          </w:p>
        </w:tc>
        <w:tc>
          <w:tcPr>
            <w:tcW w:w="2936" w:type="dxa"/>
            <w:vAlign w:val="center"/>
          </w:tcPr>
          <w:p w14:paraId="7CBEF064">
            <w:pPr>
              <w:pStyle w:val="11"/>
            </w:pPr>
            <w:r>
              <w:t>指标值确定依据</w:t>
            </w:r>
          </w:p>
        </w:tc>
      </w:tr>
      <w:tr w14:paraId="3EA0B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E1D84">
            <w:pPr>
              <w:pStyle w:val="12"/>
            </w:pPr>
            <w:r>
              <w:t>产出指标</w:t>
            </w:r>
          </w:p>
        </w:tc>
        <w:tc>
          <w:tcPr>
            <w:tcW w:w="2268" w:type="dxa"/>
            <w:vAlign w:val="center"/>
          </w:tcPr>
          <w:p w14:paraId="406F2EF6">
            <w:pPr>
              <w:pStyle w:val="13"/>
            </w:pPr>
            <w:r>
              <w:t>数量指标</w:t>
            </w:r>
          </w:p>
        </w:tc>
        <w:tc>
          <w:tcPr>
            <w:tcW w:w="2835" w:type="dxa"/>
            <w:vAlign w:val="center"/>
          </w:tcPr>
          <w:p w14:paraId="0F13681B">
            <w:pPr>
              <w:pStyle w:val="13"/>
            </w:pPr>
            <w:r>
              <w:t>操场改造</w:t>
            </w:r>
          </w:p>
        </w:tc>
        <w:tc>
          <w:tcPr>
            <w:tcW w:w="4404" w:type="dxa"/>
            <w:vAlign w:val="center"/>
          </w:tcPr>
          <w:p w14:paraId="1B7CADBA">
            <w:pPr>
              <w:pStyle w:val="13"/>
            </w:pPr>
            <w:r>
              <w:t>塑胶操场改造</w:t>
            </w:r>
          </w:p>
        </w:tc>
        <w:tc>
          <w:tcPr>
            <w:tcW w:w="1590" w:type="dxa"/>
            <w:vAlign w:val="center"/>
          </w:tcPr>
          <w:p w14:paraId="0CC2F49D">
            <w:pPr>
              <w:pStyle w:val="13"/>
            </w:pPr>
            <w:r>
              <w:t>4000平米</w:t>
            </w:r>
          </w:p>
        </w:tc>
        <w:tc>
          <w:tcPr>
            <w:tcW w:w="2936" w:type="dxa"/>
            <w:vAlign w:val="center"/>
          </w:tcPr>
          <w:p w14:paraId="2A7DDEE0">
            <w:pPr>
              <w:pStyle w:val="13"/>
            </w:pPr>
            <w:r>
              <w:t>城乡义务教育公用经费管理办法</w:t>
            </w:r>
          </w:p>
        </w:tc>
      </w:tr>
      <w:tr w14:paraId="108A6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D341A"/>
        </w:tc>
        <w:tc>
          <w:tcPr>
            <w:tcW w:w="2268" w:type="dxa"/>
            <w:vAlign w:val="center"/>
          </w:tcPr>
          <w:p w14:paraId="560BC41D">
            <w:pPr>
              <w:pStyle w:val="13"/>
            </w:pPr>
            <w:r>
              <w:t>质量指标</w:t>
            </w:r>
          </w:p>
        </w:tc>
        <w:tc>
          <w:tcPr>
            <w:tcW w:w="2835" w:type="dxa"/>
            <w:vAlign w:val="center"/>
          </w:tcPr>
          <w:p w14:paraId="1D71A8BD">
            <w:pPr>
              <w:pStyle w:val="13"/>
            </w:pPr>
            <w:r>
              <w:t>资金支付率</w:t>
            </w:r>
          </w:p>
        </w:tc>
        <w:tc>
          <w:tcPr>
            <w:tcW w:w="4404" w:type="dxa"/>
            <w:vAlign w:val="center"/>
          </w:tcPr>
          <w:p w14:paraId="539598BA">
            <w:pPr>
              <w:pStyle w:val="13"/>
            </w:pPr>
            <w:r>
              <w:t>按照序时进度完成资金支付</w:t>
            </w:r>
          </w:p>
        </w:tc>
        <w:tc>
          <w:tcPr>
            <w:tcW w:w="1590" w:type="dxa"/>
            <w:vAlign w:val="center"/>
          </w:tcPr>
          <w:p w14:paraId="11E0C844">
            <w:pPr>
              <w:pStyle w:val="13"/>
            </w:pPr>
            <w:r>
              <w:t>≥100%</w:t>
            </w:r>
          </w:p>
        </w:tc>
        <w:tc>
          <w:tcPr>
            <w:tcW w:w="2936" w:type="dxa"/>
            <w:vAlign w:val="center"/>
          </w:tcPr>
          <w:p w14:paraId="7A900325">
            <w:pPr>
              <w:pStyle w:val="13"/>
            </w:pPr>
            <w:r>
              <w:t>城乡义务教育公用经费管理办法</w:t>
            </w:r>
          </w:p>
        </w:tc>
      </w:tr>
      <w:tr w14:paraId="2A062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05D3B"/>
        </w:tc>
        <w:tc>
          <w:tcPr>
            <w:tcW w:w="2268" w:type="dxa"/>
            <w:vAlign w:val="center"/>
          </w:tcPr>
          <w:p w14:paraId="2B86EE53">
            <w:pPr>
              <w:pStyle w:val="13"/>
            </w:pPr>
            <w:r>
              <w:t>时效指标</w:t>
            </w:r>
          </w:p>
        </w:tc>
        <w:tc>
          <w:tcPr>
            <w:tcW w:w="2835" w:type="dxa"/>
            <w:vAlign w:val="center"/>
          </w:tcPr>
          <w:p w14:paraId="0CC1171B">
            <w:pPr>
              <w:pStyle w:val="13"/>
            </w:pPr>
            <w:r>
              <w:t>项目竣工验收合格率</w:t>
            </w:r>
          </w:p>
        </w:tc>
        <w:tc>
          <w:tcPr>
            <w:tcW w:w="4404" w:type="dxa"/>
            <w:vAlign w:val="center"/>
          </w:tcPr>
          <w:p w14:paraId="4C3A925F">
            <w:pPr>
              <w:pStyle w:val="13"/>
            </w:pPr>
            <w:r>
              <w:t>项目改造质量达标率</w:t>
            </w:r>
          </w:p>
        </w:tc>
        <w:tc>
          <w:tcPr>
            <w:tcW w:w="1590" w:type="dxa"/>
            <w:vAlign w:val="center"/>
          </w:tcPr>
          <w:p w14:paraId="3EBEB73D">
            <w:pPr>
              <w:pStyle w:val="13"/>
            </w:pPr>
            <w:r>
              <w:t>≥100%</w:t>
            </w:r>
          </w:p>
        </w:tc>
        <w:tc>
          <w:tcPr>
            <w:tcW w:w="2936" w:type="dxa"/>
            <w:vAlign w:val="center"/>
          </w:tcPr>
          <w:p w14:paraId="6AF295BE">
            <w:pPr>
              <w:pStyle w:val="13"/>
            </w:pPr>
            <w:r>
              <w:t>城乡义务教育公用经费管理办法</w:t>
            </w:r>
          </w:p>
        </w:tc>
      </w:tr>
      <w:tr w14:paraId="36946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41072"/>
        </w:tc>
        <w:tc>
          <w:tcPr>
            <w:tcW w:w="2268" w:type="dxa"/>
            <w:vAlign w:val="center"/>
          </w:tcPr>
          <w:p w14:paraId="0B9BA4EC">
            <w:pPr>
              <w:pStyle w:val="13"/>
            </w:pPr>
            <w:r>
              <w:t>成本指标</w:t>
            </w:r>
          </w:p>
        </w:tc>
        <w:tc>
          <w:tcPr>
            <w:tcW w:w="2835" w:type="dxa"/>
            <w:vAlign w:val="center"/>
          </w:tcPr>
          <w:p w14:paraId="34FD67E6">
            <w:pPr>
              <w:pStyle w:val="13"/>
            </w:pPr>
            <w:r>
              <w:t>项目实际成本</w:t>
            </w:r>
          </w:p>
        </w:tc>
        <w:tc>
          <w:tcPr>
            <w:tcW w:w="4404" w:type="dxa"/>
            <w:vAlign w:val="center"/>
          </w:tcPr>
          <w:p w14:paraId="259A92EE">
            <w:pPr>
              <w:pStyle w:val="13"/>
            </w:pPr>
            <w:r>
              <w:t>塑胶操场改造维修104万元</w:t>
            </w:r>
          </w:p>
        </w:tc>
        <w:tc>
          <w:tcPr>
            <w:tcW w:w="1590" w:type="dxa"/>
            <w:vAlign w:val="center"/>
          </w:tcPr>
          <w:p w14:paraId="6BC3D36E">
            <w:pPr>
              <w:pStyle w:val="13"/>
            </w:pPr>
            <w:r>
              <w:t>57万元</w:t>
            </w:r>
          </w:p>
        </w:tc>
        <w:tc>
          <w:tcPr>
            <w:tcW w:w="2936" w:type="dxa"/>
            <w:vAlign w:val="center"/>
          </w:tcPr>
          <w:p w14:paraId="59FB1658">
            <w:pPr>
              <w:pStyle w:val="13"/>
            </w:pPr>
            <w:r>
              <w:t>城乡义务教育公用经费管理办法</w:t>
            </w:r>
          </w:p>
        </w:tc>
      </w:tr>
      <w:tr w14:paraId="2E07C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D6A96">
            <w:pPr>
              <w:pStyle w:val="12"/>
            </w:pPr>
            <w:r>
              <w:t>效益指标</w:t>
            </w:r>
          </w:p>
        </w:tc>
        <w:tc>
          <w:tcPr>
            <w:tcW w:w="2268" w:type="dxa"/>
            <w:vAlign w:val="center"/>
          </w:tcPr>
          <w:p w14:paraId="0C586E26">
            <w:pPr>
              <w:pStyle w:val="13"/>
            </w:pPr>
            <w:r>
              <w:t>经济效益指标</w:t>
            </w:r>
          </w:p>
        </w:tc>
        <w:tc>
          <w:tcPr>
            <w:tcW w:w="2835" w:type="dxa"/>
            <w:vAlign w:val="center"/>
          </w:tcPr>
          <w:p w14:paraId="61BFDB92">
            <w:pPr>
              <w:pStyle w:val="13"/>
            </w:pPr>
            <w:r>
              <w:t>教育发展水平</w:t>
            </w:r>
          </w:p>
        </w:tc>
        <w:tc>
          <w:tcPr>
            <w:tcW w:w="4404" w:type="dxa"/>
            <w:vAlign w:val="center"/>
          </w:tcPr>
          <w:p w14:paraId="6827243F">
            <w:pPr>
              <w:pStyle w:val="13"/>
            </w:pPr>
            <w:r>
              <w:t>辖区内教育环境明显好转</w:t>
            </w:r>
          </w:p>
        </w:tc>
        <w:tc>
          <w:tcPr>
            <w:tcW w:w="1590" w:type="dxa"/>
            <w:vAlign w:val="center"/>
          </w:tcPr>
          <w:p w14:paraId="58110607">
            <w:pPr>
              <w:pStyle w:val="13"/>
            </w:pPr>
            <w:r>
              <w:t>≥95%</w:t>
            </w:r>
          </w:p>
        </w:tc>
        <w:tc>
          <w:tcPr>
            <w:tcW w:w="2936" w:type="dxa"/>
            <w:vAlign w:val="center"/>
          </w:tcPr>
          <w:p w14:paraId="0FA40B1D">
            <w:pPr>
              <w:pStyle w:val="13"/>
            </w:pPr>
            <w:r>
              <w:t>城乡义务教育公用经费管理办法</w:t>
            </w:r>
          </w:p>
        </w:tc>
      </w:tr>
      <w:tr w14:paraId="0074C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69012"/>
        </w:tc>
        <w:tc>
          <w:tcPr>
            <w:tcW w:w="2268" w:type="dxa"/>
            <w:vAlign w:val="center"/>
          </w:tcPr>
          <w:p w14:paraId="0DAC1A63">
            <w:pPr>
              <w:pStyle w:val="13"/>
            </w:pPr>
            <w:r>
              <w:t>社会效益指标</w:t>
            </w:r>
          </w:p>
        </w:tc>
        <w:tc>
          <w:tcPr>
            <w:tcW w:w="2835" w:type="dxa"/>
            <w:vAlign w:val="center"/>
          </w:tcPr>
          <w:p w14:paraId="62316C71">
            <w:pPr>
              <w:pStyle w:val="13"/>
            </w:pPr>
            <w:r>
              <w:t>校园环境</w:t>
            </w:r>
          </w:p>
        </w:tc>
        <w:tc>
          <w:tcPr>
            <w:tcW w:w="4404" w:type="dxa"/>
            <w:vAlign w:val="center"/>
          </w:tcPr>
          <w:p w14:paraId="490EB2A8">
            <w:pPr>
              <w:pStyle w:val="13"/>
            </w:pPr>
            <w:r>
              <w:t>办学条件和环境得到改善</w:t>
            </w:r>
          </w:p>
        </w:tc>
        <w:tc>
          <w:tcPr>
            <w:tcW w:w="1590" w:type="dxa"/>
            <w:vAlign w:val="center"/>
          </w:tcPr>
          <w:p w14:paraId="7E6A8886">
            <w:pPr>
              <w:pStyle w:val="13"/>
            </w:pPr>
            <w:r>
              <w:t>≥95%</w:t>
            </w:r>
          </w:p>
        </w:tc>
        <w:tc>
          <w:tcPr>
            <w:tcW w:w="2936" w:type="dxa"/>
            <w:vAlign w:val="center"/>
          </w:tcPr>
          <w:p w14:paraId="239DB364">
            <w:pPr>
              <w:pStyle w:val="13"/>
            </w:pPr>
            <w:r>
              <w:t>城乡义务教育公用经费管理办法</w:t>
            </w:r>
          </w:p>
        </w:tc>
      </w:tr>
      <w:tr w14:paraId="54CCC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A26E82">
            <w:pPr>
              <w:pStyle w:val="12"/>
            </w:pPr>
            <w:r>
              <w:t>满意度指标</w:t>
            </w:r>
          </w:p>
        </w:tc>
        <w:tc>
          <w:tcPr>
            <w:tcW w:w="2268" w:type="dxa"/>
            <w:vAlign w:val="center"/>
          </w:tcPr>
          <w:p w14:paraId="294FC780">
            <w:pPr>
              <w:pStyle w:val="13"/>
            </w:pPr>
            <w:r>
              <w:t>服务对象满意度指标</w:t>
            </w:r>
          </w:p>
        </w:tc>
        <w:tc>
          <w:tcPr>
            <w:tcW w:w="2835" w:type="dxa"/>
            <w:vAlign w:val="center"/>
          </w:tcPr>
          <w:p w14:paraId="67A5E47E">
            <w:pPr>
              <w:pStyle w:val="13"/>
            </w:pPr>
            <w:r>
              <w:t>受益学生家长及调查满意度</w:t>
            </w:r>
          </w:p>
        </w:tc>
        <w:tc>
          <w:tcPr>
            <w:tcW w:w="4404" w:type="dxa"/>
            <w:vAlign w:val="center"/>
          </w:tcPr>
          <w:p w14:paraId="1D9CD016">
            <w:pPr>
              <w:pStyle w:val="13"/>
            </w:pPr>
            <w:r>
              <w:t>学生、教师及家长对学校工作满意度情况</w:t>
            </w:r>
          </w:p>
        </w:tc>
        <w:tc>
          <w:tcPr>
            <w:tcW w:w="1590" w:type="dxa"/>
            <w:vAlign w:val="center"/>
          </w:tcPr>
          <w:p w14:paraId="5C8D18CF">
            <w:pPr>
              <w:pStyle w:val="13"/>
            </w:pPr>
            <w:r>
              <w:t>≥95%</w:t>
            </w:r>
          </w:p>
        </w:tc>
        <w:tc>
          <w:tcPr>
            <w:tcW w:w="2936" w:type="dxa"/>
            <w:vAlign w:val="center"/>
          </w:tcPr>
          <w:p w14:paraId="15D1E94C">
            <w:pPr>
              <w:pStyle w:val="13"/>
            </w:pPr>
            <w:r>
              <w:t>城乡义务教育公用经费管理办法</w:t>
            </w:r>
          </w:p>
        </w:tc>
      </w:tr>
    </w:tbl>
    <w:p w14:paraId="38EC0847">
      <w:pPr>
        <w:sectPr>
          <w:pgSz w:w="16840" w:h="11900" w:orient="landscape"/>
          <w:pgMar w:top="1361" w:right="1020" w:bottom="1134" w:left="1020" w:header="720" w:footer="720" w:gutter="0"/>
          <w:cols w:space="720" w:num="1"/>
        </w:sectPr>
      </w:pPr>
    </w:p>
    <w:p w14:paraId="33192B5D">
      <w:pPr>
        <w:spacing w:before="0" w:after="0"/>
        <w:ind w:firstLine="560"/>
        <w:jc w:val="left"/>
        <w:outlineLvl w:val="9"/>
      </w:pPr>
      <w:r>
        <w:rPr>
          <w:rFonts w:ascii="方正仿宋_GBK" w:hAnsi="方正仿宋_GBK" w:eastAsia="方正仿宋_GBK" w:cs="方正仿宋_GBK"/>
          <w:b/>
          <w:color w:val="000000"/>
          <w:sz w:val="28"/>
        </w:rPr>
        <w:t>17、冀财教[2024]141号/省级/2025年义教补助经费/校舍安全保障/牛家桥小学墙体维修粉刷及房顶防水绩效目标表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FD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E67E8">
            <w:pPr>
              <w:pStyle w:val="14"/>
            </w:pPr>
            <w:r>
              <w:t>单位：万元</w:t>
            </w:r>
          </w:p>
        </w:tc>
      </w:tr>
      <w:tr w14:paraId="5B95B8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8C8D2">
            <w:pPr>
              <w:pStyle w:val="11"/>
            </w:pPr>
            <w:r>
              <w:t>项目编码</w:t>
            </w:r>
          </w:p>
        </w:tc>
        <w:tc>
          <w:tcPr>
            <w:tcW w:w="5103" w:type="dxa"/>
            <w:gridSpan w:val="2"/>
            <w:vAlign w:val="center"/>
          </w:tcPr>
          <w:p w14:paraId="294C8657">
            <w:pPr>
              <w:pStyle w:val="13"/>
            </w:pPr>
            <w:r>
              <w:t>13052525P00876210041X</w:t>
            </w:r>
          </w:p>
        </w:tc>
        <w:tc>
          <w:tcPr>
            <w:tcW w:w="2835" w:type="dxa"/>
            <w:vAlign w:val="center"/>
          </w:tcPr>
          <w:p w14:paraId="229C4FC2">
            <w:pPr>
              <w:pStyle w:val="11"/>
            </w:pPr>
            <w:r>
              <w:t>项目名称</w:t>
            </w:r>
          </w:p>
        </w:tc>
        <w:tc>
          <w:tcPr>
            <w:tcW w:w="6095" w:type="dxa"/>
            <w:gridSpan w:val="3"/>
            <w:vAlign w:val="center"/>
          </w:tcPr>
          <w:p w14:paraId="3275693E">
            <w:pPr>
              <w:pStyle w:val="13"/>
            </w:pPr>
            <w:r>
              <w:t>冀财教[2024]141号/省级/2025年义教补助经费/校舍安全保障/牛家桥小学墙体维修粉刷及房顶防水</w:t>
            </w:r>
          </w:p>
        </w:tc>
      </w:tr>
      <w:tr w14:paraId="2868B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64C9B">
            <w:pPr>
              <w:pStyle w:val="11"/>
            </w:pPr>
            <w:r>
              <w:t>预算规模及资金用途</w:t>
            </w:r>
          </w:p>
        </w:tc>
        <w:tc>
          <w:tcPr>
            <w:tcW w:w="2268" w:type="dxa"/>
            <w:vAlign w:val="center"/>
          </w:tcPr>
          <w:p w14:paraId="4F255F44">
            <w:pPr>
              <w:pStyle w:val="11"/>
            </w:pPr>
            <w:r>
              <w:t>预算数</w:t>
            </w:r>
          </w:p>
        </w:tc>
        <w:tc>
          <w:tcPr>
            <w:tcW w:w="2835" w:type="dxa"/>
            <w:vAlign w:val="center"/>
          </w:tcPr>
          <w:p w14:paraId="1B0062EE">
            <w:pPr>
              <w:pStyle w:val="13"/>
            </w:pPr>
            <w:r>
              <w:t>17.00</w:t>
            </w:r>
          </w:p>
        </w:tc>
        <w:tc>
          <w:tcPr>
            <w:tcW w:w="2835" w:type="dxa"/>
            <w:vAlign w:val="center"/>
          </w:tcPr>
          <w:p w14:paraId="75BCC478">
            <w:pPr>
              <w:pStyle w:val="11"/>
            </w:pPr>
            <w:r>
              <w:t>其中：财政    资金</w:t>
            </w:r>
          </w:p>
        </w:tc>
        <w:tc>
          <w:tcPr>
            <w:tcW w:w="2551" w:type="dxa"/>
            <w:vAlign w:val="center"/>
          </w:tcPr>
          <w:p w14:paraId="741F457D">
            <w:pPr>
              <w:pStyle w:val="13"/>
            </w:pPr>
            <w:r>
              <w:t>17.00</w:t>
            </w:r>
          </w:p>
        </w:tc>
        <w:tc>
          <w:tcPr>
            <w:tcW w:w="2268" w:type="dxa"/>
            <w:vAlign w:val="center"/>
          </w:tcPr>
          <w:p w14:paraId="267E2400">
            <w:pPr>
              <w:pStyle w:val="11"/>
            </w:pPr>
            <w:r>
              <w:t>其他资金</w:t>
            </w:r>
          </w:p>
        </w:tc>
        <w:tc>
          <w:tcPr>
            <w:tcW w:w="1276" w:type="dxa"/>
            <w:vAlign w:val="center"/>
          </w:tcPr>
          <w:p w14:paraId="04D422DF">
            <w:pPr>
              <w:pStyle w:val="13"/>
            </w:pPr>
            <w:r>
              <w:t xml:space="preserve"> </w:t>
            </w:r>
          </w:p>
        </w:tc>
      </w:tr>
      <w:tr w14:paraId="4B2F4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2B0A57"/>
        </w:tc>
        <w:tc>
          <w:tcPr>
            <w:tcW w:w="14033" w:type="dxa"/>
            <w:gridSpan w:val="6"/>
            <w:vAlign w:val="center"/>
          </w:tcPr>
          <w:p w14:paraId="34875F75">
            <w:pPr>
              <w:pStyle w:val="13"/>
            </w:pPr>
            <w:r>
              <w:t>完成牛家桥小学墙体维修及房顶防水，满足学校正常教学需要</w:t>
            </w:r>
          </w:p>
        </w:tc>
      </w:tr>
      <w:tr w14:paraId="72F5F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AB8DC">
            <w:pPr>
              <w:pStyle w:val="11"/>
            </w:pPr>
            <w:r>
              <w:t>资金支出计划（%）</w:t>
            </w:r>
          </w:p>
        </w:tc>
        <w:tc>
          <w:tcPr>
            <w:tcW w:w="5103" w:type="dxa"/>
            <w:gridSpan w:val="2"/>
            <w:vAlign w:val="center"/>
          </w:tcPr>
          <w:p w14:paraId="7C61EB31">
            <w:pPr>
              <w:pStyle w:val="11"/>
            </w:pPr>
            <w:r>
              <w:t>3月底</w:t>
            </w:r>
          </w:p>
        </w:tc>
        <w:tc>
          <w:tcPr>
            <w:tcW w:w="2835" w:type="dxa"/>
            <w:vAlign w:val="center"/>
          </w:tcPr>
          <w:p w14:paraId="08D4BE85">
            <w:pPr>
              <w:pStyle w:val="11"/>
            </w:pPr>
            <w:r>
              <w:t>6月底</w:t>
            </w:r>
          </w:p>
        </w:tc>
        <w:tc>
          <w:tcPr>
            <w:tcW w:w="2551" w:type="dxa"/>
            <w:vAlign w:val="center"/>
          </w:tcPr>
          <w:p w14:paraId="3B7C7F01">
            <w:pPr>
              <w:pStyle w:val="11"/>
            </w:pPr>
            <w:r>
              <w:t>10月底</w:t>
            </w:r>
          </w:p>
        </w:tc>
        <w:tc>
          <w:tcPr>
            <w:tcW w:w="3544" w:type="dxa"/>
            <w:gridSpan w:val="2"/>
            <w:vAlign w:val="center"/>
          </w:tcPr>
          <w:p w14:paraId="0C0538B7">
            <w:pPr>
              <w:pStyle w:val="11"/>
            </w:pPr>
            <w:r>
              <w:t>12月底</w:t>
            </w:r>
          </w:p>
        </w:tc>
      </w:tr>
      <w:tr w14:paraId="21CB0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8C27E3"/>
        </w:tc>
        <w:tc>
          <w:tcPr>
            <w:tcW w:w="5103" w:type="dxa"/>
            <w:gridSpan w:val="2"/>
            <w:vAlign w:val="center"/>
          </w:tcPr>
          <w:p w14:paraId="29767B3F">
            <w:pPr>
              <w:pStyle w:val="12"/>
            </w:pPr>
            <w:r>
              <w:t>25%</w:t>
            </w:r>
          </w:p>
        </w:tc>
        <w:tc>
          <w:tcPr>
            <w:tcW w:w="2835" w:type="dxa"/>
            <w:vAlign w:val="center"/>
          </w:tcPr>
          <w:p w14:paraId="09B195D1">
            <w:pPr>
              <w:pStyle w:val="12"/>
            </w:pPr>
            <w:r>
              <w:t>50%</w:t>
            </w:r>
          </w:p>
        </w:tc>
        <w:tc>
          <w:tcPr>
            <w:tcW w:w="2551" w:type="dxa"/>
            <w:vAlign w:val="center"/>
          </w:tcPr>
          <w:p w14:paraId="5771F399">
            <w:pPr>
              <w:pStyle w:val="12"/>
            </w:pPr>
            <w:r>
              <w:t>75%</w:t>
            </w:r>
          </w:p>
        </w:tc>
        <w:tc>
          <w:tcPr>
            <w:tcW w:w="3544" w:type="dxa"/>
            <w:gridSpan w:val="2"/>
            <w:vAlign w:val="center"/>
          </w:tcPr>
          <w:p w14:paraId="395AF3EB">
            <w:pPr>
              <w:pStyle w:val="12"/>
            </w:pPr>
            <w:r>
              <w:t>100%</w:t>
            </w:r>
          </w:p>
        </w:tc>
      </w:tr>
      <w:tr w14:paraId="2DCFE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FC51A3">
            <w:pPr>
              <w:pStyle w:val="11"/>
            </w:pPr>
            <w:r>
              <w:t>绩效目标</w:t>
            </w:r>
          </w:p>
        </w:tc>
        <w:tc>
          <w:tcPr>
            <w:tcW w:w="14033" w:type="dxa"/>
            <w:gridSpan w:val="6"/>
            <w:vAlign w:val="center"/>
          </w:tcPr>
          <w:p w14:paraId="789229EE">
            <w:pPr>
              <w:pStyle w:val="13"/>
            </w:pPr>
            <w:r>
              <w:t>1.按规定拨付专项资金，资金支付率达到100%。</w:t>
            </w:r>
            <w:r>
              <w:tab/>
            </w:r>
            <w:r>
              <w:tab/>
            </w:r>
            <w:r>
              <w:tab/>
            </w:r>
          </w:p>
          <w:p w14:paraId="69DE70D5">
            <w:pPr>
              <w:pStyle w:val="13"/>
            </w:pPr>
          </w:p>
          <w:p w14:paraId="032A0331">
            <w:pPr>
              <w:pStyle w:val="13"/>
            </w:pPr>
            <w:r>
              <w:t>2.完成牛家桥小学墙体维修及房顶防水，满足学校正常教学需要。</w:t>
            </w:r>
            <w:r>
              <w:tab/>
            </w:r>
            <w:r>
              <w:tab/>
            </w:r>
            <w:r>
              <w:tab/>
            </w:r>
          </w:p>
          <w:p w14:paraId="221D0537">
            <w:pPr>
              <w:pStyle w:val="13"/>
            </w:pPr>
          </w:p>
        </w:tc>
      </w:tr>
    </w:tbl>
    <w:p w14:paraId="3E16DE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34"/>
        <w:gridCol w:w="1335"/>
        <w:gridCol w:w="3161"/>
      </w:tblGrid>
      <w:tr w14:paraId="1A99B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EBCBD">
            <w:pPr>
              <w:pStyle w:val="11"/>
            </w:pPr>
            <w:r>
              <w:t>一级指标</w:t>
            </w:r>
          </w:p>
        </w:tc>
        <w:tc>
          <w:tcPr>
            <w:tcW w:w="2268" w:type="dxa"/>
            <w:vAlign w:val="center"/>
          </w:tcPr>
          <w:p w14:paraId="52493013">
            <w:pPr>
              <w:pStyle w:val="11"/>
            </w:pPr>
            <w:r>
              <w:t>二级指标</w:t>
            </w:r>
          </w:p>
        </w:tc>
        <w:tc>
          <w:tcPr>
            <w:tcW w:w="2835" w:type="dxa"/>
            <w:vAlign w:val="center"/>
          </w:tcPr>
          <w:p w14:paraId="4184237D">
            <w:pPr>
              <w:pStyle w:val="11"/>
            </w:pPr>
            <w:r>
              <w:t>三级指标</w:t>
            </w:r>
          </w:p>
        </w:tc>
        <w:tc>
          <w:tcPr>
            <w:tcW w:w="4434" w:type="dxa"/>
            <w:vAlign w:val="center"/>
          </w:tcPr>
          <w:p w14:paraId="6307E7BC">
            <w:pPr>
              <w:pStyle w:val="11"/>
            </w:pPr>
            <w:r>
              <w:t>绩效指标描述</w:t>
            </w:r>
          </w:p>
        </w:tc>
        <w:tc>
          <w:tcPr>
            <w:tcW w:w="1335" w:type="dxa"/>
            <w:vAlign w:val="center"/>
          </w:tcPr>
          <w:p w14:paraId="71D67149">
            <w:pPr>
              <w:pStyle w:val="11"/>
            </w:pPr>
            <w:r>
              <w:t>指标值</w:t>
            </w:r>
          </w:p>
        </w:tc>
        <w:tc>
          <w:tcPr>
            <w:tcW w:w="3161" w:type="dxa"/>
            <w:vAlign w:val="center"/>
          </w:tcPr>
          <w:p w14:paraId="2F80EF71">
            <w:pPr>
              <w:pStyle w:val="11"/>
            </w:pPr>
            <w:r>
              <w:t>指标值确定依据</w:t>
            </w:r>
          </w:p>
        </w:tc>
      </w:tr>
      <w:tr w14:paraId="74226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E8B24">
            <w:pPr>
              <w:pStyle w:val="12"/>
            </w:pPr>
            <w:r>
              <w:t>产出指标</w:t>
            </w:r>
          </w:p>
        </w:tc>
        <w:tc>
          <w:tcPr>
            <w:tcW w:w="2268" w:type="dxa"/>
            <w:vAlign w:val="center"/>
          </w:tcPr>
          <w:p w14:paraId="6ED016A2">
            <w:pPr>
              <w:pStyle w:val="13"/>
            </w:pPr>
            <w:r>
              <w:t>数量指标</w:t>
            </w:r>
          </w:p>
        </w:tc>
        <w:tc>
          <w:tcPr>
            <w:tcW w:w="2835" w:type="dxa"/>
            <w:vAlign w:val="center"/>
          </w:tcPr>
          <w:p w14:paraId="7D5AF7BC">
            <w:pPr>
              <w:pStyle w:val="13"/>
            </w:pPr>
            <w:r>
              <w:t>教学楼、宿舍楼内外墙粉刷和教学楼防水</w:t>
            </w:r>
          </w:p>
        </w:tc>
        <w:tc>
          <w:tcPr>
            <w:tcW w:w="4434" w:type="dxa"/>
            <w:vAlign w:val="center"/>
          </w:tcPr>
          <w:p w14:paraId="2401F53E">
            <w:pPr>
              <w:pStyle w:val="13"/>
            </w:pPr>
            <w:r>
              <w:t>教学楼、宿舍楼内外墙粉刷和教学楼防水</w:t>
            </w:r>
          </w:p>
        </w:tc>
        <w:tc>
          <w:tcPr>
            <w:tcW w:w="1335" w:type="dxa"/>
            <w:vAlign w:val="center"/>
          </w:tcPr>
          <w:p w14:paraId="68E711BD">
            <w:pPr>
              <w:pStyle w:val="13"/>
            </w:pPr>
            <w:r>
              <w:t>3100平米</w:t>
            </w:r>
          </w:p>
        </w:tc>
        <w:tc>
          <w:tcPr>
            <w:tcW w:w="3161" w:type="dxa"/>
            <w:vAlign w:val="center"/>
          </w:tcPr>
          <w:p w14:paraId="1B8895E4">
            <w:pPr>
              <w:pStyle w:val="13"/>
            </w:pPr>
            <w:r>
              <w:t>城乡义务教育公用经费管理办法</w:t>
            </w:r>
          </w:p>
        </w:tc>
      </w:tr>
      <w:tr w14:paraId="3BB51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8C652"/>
        </w:tc>
        <w:tc>
          <w:tcPr>
            <w:tcW w:w="2268" w:type="dxa"/>
            <w:vAlign w:val="center"/>
          </w:tcPr>
          <w:p w14:paraId="5D6ABD88">
            <w:pPr>
              <w:pStyle w:val="13"/>
            </w:pPr>
            <w:r>
              <w:t>质量指标</w:t>
            </w:r>
          </w:p>
        </w:tc>
        <w:tc>
          <w:tcPr>
            <w:tcW w:w="2835" w:type="dxa"/>
            <w:vAlign w:val="center"/>
          </w:tcPr>
          <w:p w14:paraId="6196C02D">
            <w:pPr>
              <w:pStyle w:val="13"/>
            </w:pPr>
            <w:r>
              <w:t>资金支付率</w:t>
            </w:r>
          </w:p>
        </w:tc>
        <w:tc>
          <w:tcPr>
            <w:tcW w:w="4434" w:type="dxa"/>
            <w:vAlign w:val="center"/>
          </w:tcPr>
          <w:p w14:paraId="6B639D90">
            <w:pPr>
              <w:pStyle w:val="13"/>
            </w:pPr>
            <w:r>
              <w:t>按照序时进度完成资金支付</w:t>
            </w:r>
          </w:p>
        </w:tc>
        <w:tc>
          <w:tcPr>
            <w:tcW w:w="1335" w:type="dxa"/>
            <w:vAlign w:val="center"/>
          </w:tcPr>
          <w:p w14:paraId="2B4B59D1">
            <w:pPr>
              <w:pStyle w:val="13"/>
            </w:pPr>
            <w:r>
              <w:t>≥100%</w:t>
            </w:r>
          </w:p>
        </w:tc>
        <w:tc>
          <w:tcPr>
            <w:tcW w:w="3161" w:type="dxa"/>
            <w:vAlign w:val="center"/>
          </w:tcPr>
          <w:p w14:paraId="62626DE9">
            <w:pPr>
              <w:pStyle w:val="13"/>
            </w:pPr>
            <w:r>
              <w:t>城乡义务教育公用经费管理办法</w:t>
            </w:r>
          </w:p>
        </w:tc>
      </w:tr>
      <w:tr w14:paraId="3D028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949A0"/>
        </w:tc>
        <w:tc>
          <w:tcPr>
            <w:tcW w:w="2268" w:type="dxa"/>
            <w:vAlign w:val="center"/>
          </w:tcPr>
          <w:p w14:paraId="46013F7E">
            <w:pPr>
              <w:pStyle w:val="13"/>
            </w:pPr>
            <w:r>
              <w:t>时效指标</w:t>
            </w:r>
          </w:p>
        </w:tc>
        <w:tc>
          <w:tcPr>
            <w:tcW w:w="2835" w:type="dxa"/>
            <w:vAlign w:val="center"/>
          </w:tcPr>
          <w:p w14:paraId="65F7093B">
            <w:pPr>
              <w:pStyle w:val="13"/>
            </w:pPr>
            <w:r>
              <w:t>项目竣工验收合格率</w:t>
            </w:r>
          </w:p>
        </w:tc>
        <w:tc>
          <w:tcPr>
            <w:tcW w:w="4434" w:type="dxa"/>
            <w:vAlign w:val="center"/>
          </w:tcPr>
          <w:p w14:paraId="2D833BB3">
            <w:pPr>
              <w:pStyle w:val="13"/>
            </w:pPr>
            <w:r>
              <w:t>项目改造质量达标率</w:t>
            </w:r>
          </w:p>
        </w:tc>
        <w:tc>
          <w:tcPr>
            <w:tcW w:w="1335" w:type="dxa"/>
            <w:vAlign w:val="center"/>
          </w:tcPr>
          <w:p w14:paraId="218F2791">
            <w:pPr>
              <w:pStyle w:val="13"/>
            </w:pPr>
            <w:r>
              <w:t>≥100%</w:t>
            </w:r>
          </w:p>
        </w:tc>
        <w:tc>
          <w:tcPr>
            <w:tcW w:w="3161" w:type="dxa"/>
            <w:vAlign w:val="center"/>
          </w:tcPr>
          <w:p w14:paraId="54DA0A49">
            <w:pPr>
              <w:pStyle w:val="13"/>
            </w:pPr>
            <w:r>
              <w:t>城乡义务教育公用经费管理办法</w:t>
            </w:r>
          </w:p>
        </w:tc>
      </w:tr>
      <w:tr w14:paraId="0D232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3E936"/>
        </w:tc>
        <w:tc>
          <w:tcPr>
            <w:tcW w:w="2268" w:type="dxa"/>
            <w:vAlign w:val="center"/>
          </w:tcPr>
          <w:p w14:paraId="004E140C">
            <w:pPr>
              <w:pStyle w:val="13"/>
            </w:pPr>
            <w:r>
              <w:t>成本指标</w:t>
            </w:r>
          </w:p>
        </w:tc>
        <w:tc>
          <w:tcPr>
            <w:tcW w:w="2835" w:type="dxa"/>
            <w:vAlign w:val="center"/>
          </w:tcPr>
          <w:p w14:paraId="1FF412D7">
            <w:pPr>
              <w:pStyle w:val="13"/>
            </w:pPr>
            <w:r>
              <w:t>项目实际成本</w:t>
            </w:r>
          </w:p>
        </w:tc>
        <w:tc>
          <w:tcPr>
            <w:tcW w:w="4434" w:type="dxa"/>
            <w:vAlign w:val="center"/>
          </w:tcPr>
          <w:p w14:paraId="0980AC1F">
            <w:pPr>
              <w:pStyle w:val="13"/>
            </w:pPr>
            <w:r>
              <w:t>教学楼、宿舍楼内外墙粉刷和教学楼防水</w:t>
            </w:r>
          </w:p>
        </w:tc>
        <w:tc>
          <w:tcPr>
            <w:tcW w:w="1335" w:type="dxa"/>
            <w:vAlign w:val="center"/>
          </w:tcPr>
          <w:p w14:paraId="2C80B261">
            <w:pPr>
              <w:pStyle w:val="13"/>
            </w:pPr>
            <w:r>
              <w:t>17万元</w:t>
            </w:r>
          </w:p>
        </w:tc>
        <w:tc>
          <w:tcPr>
            <w:tcW w:w="3161" w:type="dxa"/>
            <w:vAlign w:val="center"/>
          </w:tcPr>
          <w:p w14:paraId="5DA214F1">
            <w:pPr>
              <w:pStyle w:val="13"/>
            </w:pPr>
            <w:r>
              <w:t>城乡义务教育公用经费管理办法</w:t>
            </w:r>
          </w:p>
        </w:tc>
      </w:tr>
      <w:tr w14:paraId="7B3F3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0C910">
            <w:pPr>
              <w:pStyle w:val="12"/>
            </w:pPr>
            <w:r>
              <w:t>效益指标</w:t>
            </w:r>
          </w:p>
        </w:tc>
        <w:tc>
          <w:tcPr>
            <w:tcW w:w="2268" w:type="dxa"/>
            <w:vAlign w:val="center"/>
          </w:tcPr>
          <w:p w14:paraId="254F2F82">
            <w:pPr>
              <w:pStyle w:val="13"/>
            </w:pPr>
            <w:r>
              <w:t>经济效益指标</w:t>
            </w:r>
          </w:p>
        </w:tc>
        <w:tc>
          <w:tcPr>
            <w:tcW w:w="2835" w:type="dxa"/>
            <w:vAlign w:val="center"/>
          </w:tcPr>
          <w:p w14:paraId="26D3280C">
            <w:pPr>
              <w:pStyle w:val="13"/>
            </w:pPr>
            <w:r>
              <w:t>教育发展水平</w:t>
            </w:r>
          </w:p>
        </w:tc>
        <w:tc>
          <w:tcPr>
            <w:tcW w:w="4434" w:type="dxa"/>
            <w:vAlign w:val="center"/>
          </w:tcPr>
          <w:p w14:paraId="7F408451">
            <w:pPr>
              <w:pStyle w:val="13"/>
            </w:pPr>
            <w:r>
              <w:t>辖区内教育环境明显好转</w:t>
            </w:r>
          </w:p>
        </w:tc>
        <w:tc>
          <w:tcPr>
            <w:tcW w:w="1335" w:type="dxa"/>
            <w:vAlign w:val="center"/>
          </w:tcPr>
          <w:p w14:paraId="2EC3594D">
            <w:pPr>
              <w:pStyle w:val="13"/>
            </w:pPr>
            <w:r>
              <w:t>≥95%</w:t>
            </w:r>
          </w:p>
        </w:tc>
        <w:tc>
          <w:tcPr>
            <w:tcW w:w="3161" w:type="dxa"/>
            <w:vAlign w:val="center"/>
          </w:tcPr>
          <w:p w14:paraId="402827E8">
            <w:pPr>
              <w:pStyle w:val="13"/>
            </w:pPr>
            <w:r>
              <w:t>城乡义务教育公用经费管理办法</w:t>
            </w:r>
          </w:p>
        </w:tc>
      </w:tr>
      <w:tr w14:paraId="415DA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89BF"/>
        </w:tc>
        <w:tc>
          <w:tcPr>
            <w:tcW w:w="2268" w:type="dxa"/>
            <w:vAlign w:val="center"/>
          </w:tcPr>
          <w:p w14:paraId="5B28389F">
            <w:pPr>
              <w:pStyle w:val="13"/>
            </w:pPr>
            <w:r>
              <w:t>社会效益指标</w:t>
            </w:r>
          </w:p>
        </w:tc>
        <w:tc>
          <w:tcPr>
            <w:tcW w:w="2835" w:type="dxa"/>
            <w:vAlign w:val="center"/>
          </w:tcPr>
          <w:p w14:paraId="52279F82">
            <w:pPr>
              <w:pStyle w:val="13"/>
            </w:pPr>
            <w:r>
              <w:t>校园环境</w:t>
            </w:r>
          </w:p>
        </w:tc>
        <w:tc>
          <w:tcPr>
            <w:tcW w:w="4434" w:type="dxa"/>
            <w:vAlign w:val="center"/>
          </w:tcPr>
          <w:p w14:paraId="32E3AAEA">
            <w:pPr>
              <w:pStyle w:val="13"/>
            </w:pPr>
            <w:r>
              <w:t>办学条件和环境得到改善</w:t>
            </w:r>
          </w:p>
        </w:tc>
        <w:tc>
          <w:tcPr>
            <w:tcW w:w="1335" w:type="dxa"/>
            <w:vAlign w:val="center"/>
          </w:tcPr>
          <w:p w14:paraId="74DAE9C2">
            <w:pPr>
              <w:pStyle w:val="13"/>
            </w:pPr>
            <w:r>
              <w:t>≥95%</w:t>
            </w:r>
          </w:p>
        </w:tc>
        <w:tc>
          <w:tcPr>
            <w:tcW w:w="3161" w:type="dxa"/>
            <w:vAlign w:val="center"/>
          </w:tcPr>
          <w:p w14:paraId="2C64F946">
            <w:pPr>
              <w:pStyle w:val="13"/>
            </w:pPr>
            <w:r>
              <w:t>城乡义务教育公用经费管理办法</w:t>
            </w:r>
          </w:p>
        </w:tc>
      </w:tr>
      <w:tr w14:paraId="4E6D5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F8E4AF">
            <w:pPr>
              <w:pStyle w:val="12"/>
            </w:pPr>
            <w:r>
              <w:t>满意度指标</w:t>
            </w:r>
          </w:p>
        </w:tc>
        <w:tc>
          <w:tcPr>
            <w:tcW w:w="2268" w:type="dxa"/>
            <w:vAlign w:val="center"/>
          </w:tcPr>
          <w:p w14:paraId="45F24B03">
            <w:pPr>
              <w:pStyle w:val="13"/>
            </w:pPr>
            <w:r>
              <w:t>服务对象满意度指标</w:t>
            </w:r>
          </w:p>
        </w:tc>
        <w:tc>
          <w:tcPr>
            <w:tcW w:w="2835" w:type="dxa"/>
            <w:vAlign w:val="center"/>
          </w:tcPr>
          <w:p w14:paraId="32BD2B2F">
            <w:pPr>
              <w:pStyle w:val="13"/>
            </w:pPr>
            <w:r>
              <w:t>受益学生家长及调查满意度</w:t>
            </w:r>
          </w:p>
        </w:tc>
        <w:tc>
          <w:tcPr>
            <w:tcW w:w="4434" w:type="dxa"/>
            <w:vAlign w:val="center"/>
          </w:tcPr>
          <w:p w14:paraId="320B6B88">
            <w:pPr>
              <w:pStyle w:val="13"/>
            </w:pPr>
            <w:r>
              <w:t>学生、教师及家长对学校工作满意度情况</w:t>
            </w:r>
          </w:p>
        </w:tc>
        <w:tc>
          <w:tcPr>
            <w:tcW w:w="1335" w:type="dxa"/>
            <w:vAlign w:val="center"/>
          </w:tcPr>
          <w:p w14:paraId="0F31839A">
            <w:pPr>
              <w:pStyle w:val="13"/>
            </w:pPr>
            <w:r>
              <w:t>≥95%</w:t>
            </w:r>
          </w:p>
        </w:tc>
        <w:tc>
          <w:tcPr>
            <w:tcW w:w="3161" w:type="dxa"/>
            <w:vAlign w:val="center"/>
          </w:tcPr>
          <w:p w14:paraId="719D2FB4">
            <w:pPr>
              <w:pStyle w:val="13"/>
            </w:pPr>
            <w:r>
              <w:t>城乡义务教育公用经费管理办法</w:t>
            </w:r>
          </w:p>
        </w:tc>
      </w:tr>
    </w:tbl>
    <w:p w14:paraId="12B2A5E1">
      <w:pPr>
        <w:sectPr>
          <w:pgSz w:w="16840" w:h="11900" w:orient="landscape"/>
          <w:pgMar w:top="1361" w:right="1020" w:bottom="1134" w:left="1020" w:header="720" w:footer="720" w:gutter="0"/>
          <w:cols w:space="720" w:num="1"/>
        </w:sectPr>
      </w:pPr>
    </w:p>
    <w:p w14:paraId="0D7CA16D">
      <w:pPr>
        <w:spacing w:before="0" w:after="0"/>
        <w:ind w:firstLine="560"/>
        <w:jc w:val="left"/>
        <w:outlineLvl w:val="9"/>
      </w:pPr>
      <w:r>
        <w:rPr>
          <w:rFonts w:ascii="方正仿宋_GBK" w:hAnsi="方正仿宋_GBK" w:eastAsia="方正仿宋_GBK" w:cs="方正仿宋_GBK"/>
          <w:b/>
          <w:color w:val="000000"/>
          <w:sz w:val="28"/>
        </w:rPr>
        <w:t>18、冀财教[2024]142号/省级/2025年学前发展资金/牛家桥校区学前教育公用经费绩效目标表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2B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D5DF79">
            <w:pPr>
              <w:pStyle w:val="14"/>
            </w:pPr>
            <w:r>
              <w:t>单位：万元</w:t>
            </w:r>
          </w:p>
        </w:tc>
      </w:tr>
      <w:tr w14:paraId="20CF7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5C1C7900">
            <w:pPr>
              <w:pStyle w:val="11"/>
            </w:pPr>
            <w:r>
              <w:t>项目编码</w:t>
            </w:r>
          </w:p>
        </w:tc>
        <w:tc>
          <w:tcPr>
            <w:tcW w:w="5103" w:type="dxa"/>
            <w:gridSpan w:val="2"/>
            <w:vAlign w:val="center"/>
          </w:tcPr>
          <w:p w14:paraId="7894624F">
            <w:pPr>
              <w:pStyle w:val="13"/>
            </w:pPr>
            <w:r>
              <w:t>13052525P00875710011F</w:t>
            </w:r>
          </w:p>
        </w:tc>
        <w:tc>
          <w:tcPr>
            <w:tcW w:w="2835" w:type="dxa"/>
            <w:vAlign w:val="center"/>
          </w:tcPr>
          <w:p w14:paraId="1F5C525A">
            <w:pPr>
              <w:pStyle w:val="11"/>
            </w:pPr>
            <w:r>
              <w:t>项目名称</w:t>
            </w:r>
          </w:p>
        </w:tc>
        <w:tc>
          <w:tcPr>
            <w:tcW w:w="6095" w:type="dxa"/>
            <w:gridSpan w:val="3"/>
            <w:vAlign w:val="center"/>
          </w:tcPr>
          <w:p w14:paraId="58563F24">
            <w:pPr>
              <w:pStyle w:val="13"/>
            </w:pPr>
            <w:r>
              <w:t>冀财教[2024]142号/省级/2025年学前发展资金/牛家桥校区学前教育公用经费</w:t>
            </w:r>
          </w:p>
        </w:tc>
      </w:tr>
      <w:tr w14:paraId="3CC7D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C7E1B">
            <w:pPr>
              <w:pStyle w:val="11"/>
            </w:pPr>
            <w:r>
              <w:t>预算规模及资金用途</w:t>
            </w:r>
          </w:p>
        </w:tc>
        <w:tc>
          <w:tcPr>
            <w:tcW w:w="2268" w:type="dxa"/>
            <w:vAlign w:val="center"/>
          </w:tcPr>
          <w:p w14:paraId="0CDA5A1F">
            <w:pPr>
              <w:pStyle w:val="11"/>
            </w:pPr>
            <w:r>
              <w:t>预算数</w:t>
            </w:r>
          </w:p>
        </w:tc>
        <w:tc>
          <w:tcPr>
            <w:tcW w:w="2835" w:type="dxa"/>
            <w:vAlign w:val="center"/>
          </w:tcPr>
          <w:p w14:paraId="7422D07B">
            <w:pPr>
              <w:pStyle w:val="13"/>
            </w:pPr>
            <w:r>
              <w:t>3.99</w:t>
            </w:r>
          </w:p>
        </w:tc>
        <w:tc>
          <w:tcPr>
            <w:tcW w:w="2835" w:type="dxa"/>
            <w:vAlign w:val="center"/>
          </w:tcPr>
          <w:p w14:paraId="70C49E53">
            <w:pPr>
              <w:pStyle w:val="11"/>
            </w:pPr>
            <w:r>
              <w:t>其中：财政    资金</w:t>
            </w:r>
          </w:p>
        </w:tc>
        <w:tc>
          <w:tcPr>
            <w:tcW w:w="2551" w:type="dxa"/>
            <w:vAlign w:val="center"/>
          </w:tcPr>
          <w:p w14:paraId="083BAB8B">
            <w:pPr>
              <w:pStyle w:val="13"/>
            </w:pPr>
            <w:r>
              <w:t>3.99</w:t>
            </w:r>
          </w:p>
        </w:tc>
        <w:tc>
          <w:tcPr>
            <w:tcW w:w="2268" w:type="dxa"/>
            <w:vAlign w:val="center"/>
          </w:tcPr>
          <w:p w14:paraId="0235C176">
            <w:pPr>
              <w:pStyle w:val="11"/>
            </w:pPr>
            <w:r>
              <w:t>其他资金</w:t>
            </w:r>
          </w:p>
        </w:tc>
        <w:tc>
          <w:tcPr>
            <w:tcW w:w="1276" w:type="dxa"/>
            <w:vAlign w:val="center"/>
          </w:tcPr>
          <w:p w14:paraId="0E914C12">
            <w:pPr>
              <w:pStyle w:val="13"/>
            </w:pPr>
            <w:r>
              <w:t xml:space="preserve"> </w:t>
            </w:r>
          </w:p>
        </w:tc>
      </w:tr>
      <w:tr w14:paraId="3ED8E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438DD3"/>
        </w:tc>
        <w:tc>
          <w:tcPr>
            <w:tcW w:w="14033" w:type="dxa"/>
            <w:gridSpan w:val="6"/>
            <w:vAlign w:val="center"/>
          </w:tcPr>
          <w:p w14:paraId="3BF68621">
            <w:pPr>
              <w:pStyle w:val="13"/>
            </w:pPr>
            <w:r>
              <w:t xml:space="preserve"> 保障幼儿园正常运转，完成教育教学活动和其他日常工作任务等方面的费用支出。</w:t>
            </w:r>
          </w:p>
        </w:tc>
      </w:tr>
      <w:tr w14:paraId="64304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A61A0">
            <w:pPr>
              <w:pStyle w:val="11"/>
            </w:pPr>
            <w:r>
              <w:t>资金支出计划（%）</w:t>
            </w:r>
          </w:p>
        </w:tc>
        <w:tc>
          <w:tcPr>
            <w:tcW w:w="5103" w:type="dxa"/>
            <w:gridSpan w:val="2"/>
            <w:vAlign w:val="center"/>
          </w:tcPr>
          <w:p w14:paraId="3FDA59F7">
            <w:pPr>
              <w:pStyle w:val="11"/>
            </w:pPr>
            <w:r>
              <w:t>3月底</w:t>
            </w:r>
          </w:p>
        </w:tc>
        <w:tc>
          <w:tcPr>
            <w:tcW w:w="2835" w:type="dxa"/>
            <w:vAlign w:val="center"/>
          </w:tcPr>
          <w:p w14:paraId="487784D0">
            <w:pPr>
              <w:pStyle w:val="11"/>
            </w:pPr>
            <w:r>
              <w:t>6月底</w:t>
            </w:r>
          </w:p>
        </w:tc>
        <w:tc>
          <w:tcPr>
            <w:tcW w:w="2551" w:type="dxa"/>
            <w:vAlign w:val="center"/>
          </w:tcPr>
          <w:p w14:paraId="52D99C50">
            <w:pPr>
              <w:pStyle w:val="11"/>
            </w:pPr>
            <w:r>
              <w:t>10月底</w:t>
            </w:r>
          </w:p>
        </w:tc>
        <w:tc>
          <w:tcPr>
            <w:tcW w:w="3544" w:type="dxa"/>
            <w:gridSpan w:val="2"/>
            <w:vAlign w:val="center"/>
          </w:tcPr>
          <w:p w14:paraId="21C36FED">
            <w:pPr>
              <w:pStyle w:val="11"/>
            </w:pPr>
            <w:r>
              <w:t>12月底</w:t>
            </w:r>
          </w:p>
        </w:tc>
      </w:tr>
      <w:tr w14:paraId="36AE0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D1414A"/>
        </w:tc>
        <w:tc>
          <w:tcPr>
            <w:tcW w:w="5103" w:type="dxa"/>
            <w:gridSpan w:val="2"/>
            <w:vAlign w:val="center"/>
          </w:tcPr>
          <w:p w14:paraId="7B62C269">
            <w:pPr>
              <w:pStyle w:val="12"/>
            </w:pPr>
            <w:r>
              <w:t>25%</w:t>
            </w:r>
          </w:p>
        </w:tc>
        <w:tc>
          <w:tcPr>
            <w:tcW w:w="2835" w:type="dxa"/>
            <w:vAlign w:val="center"/>
          </w:tcPr>
          <w:p w14:paraId="6CD15CE8">
            <w:pPr>
              <w:pStyle w:val="12"/>
            </w:pPr>
            <w:r>
              <w:t>50%</w:t>
            </w:r>
          </w:p>
        </w:tc>
        <w:tc>
          <w:tcPr>
            <w:tcW w:w="2551" w:type="dxa"/>
            <w:vAlign w:val="center"/>
          </w:tcPr>
          <w:p w14:paraId="1F4EB03D">
            <w:pPr>
              <w:pStyle w:val="12"/>
            </w:pPr>
            <w:r>
              <w:t>75%</w:t>
            </w:r>
          </w:p>
        </w:tc>
        <w:tc>
          <w:tcPr>
            <w:tcW w:w="3544" w:type="dxa"/>
            <w:gridSpan w:val="2"/>
            <w:vAlign w:val="center"/>
          </w:tcPr>
          <w:p w14:paraId="47775EFF">
            <w:pPr>
              <w:pStyle w:val="12"/>
            </w:pPr>
            <w:r>
              <w:t>100%</w:t>
            </w:r>
          </w:p>
        </w:tc>
      </w:tr>
      <w:tr w14:paraId="54BD9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C795A7">
            <w:pPr>
              <w:pStyle w:val="11"/>
            </w:pPr>
            <w:r>
              <w:t>绩效目标</w:t>
            </w:r>
          </w:p>
        </w:tc>
        <w:tc>
          <w:tcPr>
            <w:tcW w:w="14033" w:type="dxa"/>
            <w:gridSpan w:val="6"/>
            <w:vAlign w:val="center"/>
          </w:tcPr>
          <w:p w14:paraId="5E2DFC10">
            <w:pPr>
              <w:pStyle w:val="13"/>
            </w:pPr>
            <w:r>
              <w:t>1. 保障幼儿园正常运转，完成教育教学活动和其他日常工作任务等方面的费用支出。</w:t>
            </w:r>
          </w:p>
          <w:p w14:paraId="797B107E">
            <w:pPr>
              <w:pStyle w:val="13"/>
            </w:pPr>
            <w:r>
              <w:t>2.按季度分批次拨付公用经费资金，资金拨付率达到100%。</w:t>
            </w:r>
          </w:p>
        </w:tc>
      </w:tr>
    </w:tbl>
    <w:p w14:paraId="289B0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68"/>
        <w:gridCol w:w="1976"/>
      </w:tblGrid>
      <w:tr w14:paraId="02532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77348">
            <w:pPr>
              <w:pStyle w:val="11"/>
            </w:pPr>
            <w:r>
              <w:t>一级指标</w:t>
            </w:r>
          </w:p>
        </w:tc>
        <w:tc>
          <w:tcPr>
            <w:tcW w:w="2268" w:type="dxa"/>
            <w:vAlign w:val="center"/>
          </w:tcPr>
          <w:p w14:paraId="134F0E68">
            <w:pPr>
              <w:pStyle w:val="11"/>
            </w:pPr>
            <w:r>
              <w:t>二级指标</w:t>
            </w:r>
          </w:p>
        </w:tc>
        <w:tc>
          <w:tcPr>
            <w:tcW w:w="2835" w:type="dxa"/>
            <w:vAlign w:val="center"/>
          </w:tcPr>
          <w:p w14:paraId="08A2F28B">
            <w:pPr>
              <w:pStyle w:val="11"/>
            </w:pPr>
            <w:r>
              <w:t>三级指标</w:t>
            </w:r>
          </w:p>
        </w:tc>
        <w:tc>
          <w:tcPr>
            <w:tcW w:w="5386" w:type="dxa"/>
            <w:vAlign w:val="center"/>
          </w:tcPr>
          <w:p w14:paraId="4F61ABBC">
            <w:pPr>
              <w:pStyle w:val="11"/>
            </w:pPr>
            <w:r>
              <w:t>绩效指标描述</w:t>
            </w:r>
          </w:p>
        </w:tc>
        <w:tc>
          <w:tcPr>
            <w:tcW w:w="1568" w:type="dxa"/>
            <w:vAlign w:val="center"/>
          </w:tcPr>
          <w:p w14:paraId="40E2264A">
            <w:pPr>
              <w:pStyle w:val="11"/>
            </w:pPr>
            <w:r>
              <w:t>指标值</w:t>
            </w:r>
          </w:p>
        </w:tc>
        <w:tc>
          <w:tcPr>
            <w:tcW w:w="1976" w:type="dxa"/>
            <w:vAlign w:val="center"/>
          </w:tcPr>
          <w:p w14:paraId="2C79EC12">
            <w:pPr>
              <w:pStyle w:val="11"/>
            </w:pPr>
            <w:r>
              <w:t>指标值确定依据</w:t>
            </w:r>
          </w:p>
        </w:tc>
      </w:tr>
      <w:tr w14:paraId="4DBCE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03E6F">
            <w:pPr>
              <w:pStyle w:val="12"/>
            </w:pPr>
            <w:r>
              <w:t>产出指标</w:t>
            </w:r>
          </w:p>
        </w:tc>
        <w:tc>
          <w:tcPr>
            <w:tcW w:w="2268" w:type="dxa"/>
            <w:vAlign w:val="center"/>
          </w:tcPr>
          <w:p w14:paraId="0A8C9F9D">
            <w:pPr>
              <w:pStyle w:val="13"/>
            </w:pPr>
            <w:r>
              <w:t>数量指标</w:t>
            </w:r>
          </w:p>
        </w:tc>
        <w:tc>
          <w:tcPr>
            <w:tcW w:w="2835" w:type="dxa"/>
            <w:vAlign w:val="center"/>
          </w:tcPr>
          <w:p w14:paraId="7957DF4C">
            <w:pPr>
              <w:pStyle w:val="13"/>
            </w:pPr>
            <w:r>
              <w:t>适龄在园生</w:t>
            </w:r>
          </w:p>
        </w:tc>
        <w:tc>
          <w:tcPr>
            <w:tcW w:w="5386" w:type="dxa"/>
            <w:vAlign w:val="center"/>
          </w:tcPr>
          <w:p w14:paraId="1708B163">
            <w:pPr>
              <w:pStyle w:val="13"/>
            </w:pPr>
            <w:r>
              <w:t>适龄在园学生人数</w:t>
            </w:r>
          </w:p>
        </w:tc>
        <w:tc>
          <w:tcPr>
            <w:tcW w:w="1568" w:type="dxa"/>
            <w:vAlign w:val="center"/>
          </w:tcPr>
          <w:p w14:paraId="208441DA">
            <w:pPr>
              <w:pStyle w:val="13"/>
            </w:pPr>
            <w:r>
              <w:t>266人</w:t>
            </w:r>
          </w:p>
        </w:tc>
        <w:tc>
          <w:tcPr>
            <w:tcW w:w="1976" w:type="dxa"/>
            <w:vAlign w:val="center"/>
          </w:tcPr>
          <w:p w14:paraId="3C617316">
            <w:pPr>
              <w:pStyle w:val="13"/>
            </w:pPr>
            <w:r>
              <w:t>支持学前教育发展资金管理方法</w:t>
            </w:r>
          </w:p>
        </w:tc>
      </w:tr>
      <w:tr w14:paraId="65630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C1010"/>
        </w:tc>
        <w:tc>
          <w:tcPr>
            <w:tcW w:w="2268" w:type="dxa"/>
            <w:vAlign w:val="center"/>
          </w:tcPr>
          <w:p w14:paraId="018D4A66">
            <w:pPr>
              <w:pStyle w:val="13"/>
            </w:pPr>
            <w:r>
              <w:t>质量指标</w:t>
            </w:r>
          </w:p>
        </w:tc>
        <w:tc>
          <w:tcPr>
            <w:tcW w:w="2835" w:type="dxa"/>
            <w:vAlign w:val="center"/>
          </w:tcPr>
          <w:p w14:paraId="5C284C08">
            <w:pPr>
              <w:pStyle w:val="13"/>
            </w:pPr>
            <w:r>
              <w:t>预算控制率</w:t>
            </w:r>
          </w:p>
        </w:tc>
        <w:tc>
          <w:tcPr>
            <w:tcW w:w="5386" w:type="dxa"/>
            <w:vAlign w:val="center"/>
          </w:tcPr>
          <w:p w14:paraId="741B4479">
            <w:pPr>
              <w:pStyle w:val="13"/>
            </w:pPr>
            <w:r>
              <w:t>预算执行</w:t>
            </w:r>
          </w:p>
        </w:tc>
        <w:tc>
          <w:tcPr>
            <w:tcW w:w="1568" w:type="dxa"/>
            <w:vAlign w:val="center"/>
          </w:tcPr>
          <w:p w14:paraId="276071A6">
            <w:pPr>
              <w:pStyle w:val="13"/>
            </w:pPr>
            <w:r>
              <w:t>≥95%</w:t>
            </w:r>
          </w:p>
        </w:tc>
        <w:tc>
          <w:tcPr>
            <w:tcW w:w="1976" w:type="dxa"/>
            <w:vAlign w:val="center"/>
          </w:tcPr>
          <w:p w14:paraId="5C1816C7">
            <w:pPr>
              <w:pStyle w:val="13"/>
            </w:pPr>
            <w:r>
              <w:t>支持学前教育发展资金管理方法</w:t>
            </w:r>
          </w:p>
        </w:tc>
      </w:tr>
      <w:tr w14:paraId="4023B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1FAE4"/>
        </w:tc>
        <w:tc>
          <w:tcPr>
            <w:tcW w:w="2268" w:type="dxa"/>
            <w:vAlign w:val="center"/>
          </w:tcPr>
          <w:p w14:paraId="5A86FA62">
            <w:pPr>
              <w:pStyle w:val="13"/>
            </w:pPr>
            <w:r>
              <w:t>时效指标</w:t>
            </w:r>
          </w:p>
        </w:tc>
        <w:tc>
          <w:tcPr>
            <w:tcW w:w="2835" w:type="dxa"/>
            <w:vAlign w:val="center"/>
          </w:tcPr>
          <w:p w14:paraId="6879C9D3">
            <w:pPr>
              <w:pStyle w:val="13"/>
            </w:pPr>
            <w:r>
              <w:t>资金支付率</w:t>
            </w:r>
          </w:p>
        </w:tc>
        <w:tc>
          <w:tcPr>
            <w:tcW w:w="5386" w:type="dxa"/>
            <w:vAlign w:val="center"/>
          </w:tcPr>
          <w:p w14:paraId="6818282F">
            <w:pPr>
              <w:pStyle w:val="13"/>
            </w:pPr>
            <w:r>
              <w:t>按照序时进度完成资金支付</w:t>
            </w:r>
          </w:p>
        </w:tc>
        <w:tc>
          <w:tcPr>
            <w:tcW w:w="1568" w:type="dxa"/>
            <w:vAlign w:val="center"/>
          </w:tcPr>
          <w:p w14:paraId="56D5B666">
            <w:pPr>
              <w:pStyle w:val="13"/>
            </w:pPr>
            <w:r>
              <w:t>≥100%</w:t>
            </w:r>
          </w:p>
        </w:tc>
        <w:tc>
          <w:tcPr>
            <w:tcW w:w="1976" w:type="dxa"/>
            <w:vAlign w:val="center"/>
          </w:tcPr>
          <w:p w14:paraId="443B3F68">
            <w:pPr>
              <w:pStyle w:val="13"/>
            </w:pPr>
            <w:r>
              <w:t>支持学前教育发展资金管理方法</w:t>
            </w:r>
          </w:p>
        </w:tc>
      </w:tr>
      <w:tr w14:paraId="6BBF9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18F0B"/>
        </w:tc>
        <w:tc>
          <w:tcPr>
            <w:tcW w:w="2268" w:type="dxa"/>
            <w:vAlign w:val="center"/>
          </w:tcPr>
          <w:p w14:paraId="2E132B99">
            <w:pPr>
              <w:pStyle w:val="13"/>
            </w:pPr>
            <w:r>
              <w:t>成本指标</w:t>
            </w:r>
          </w:p>
        </w:tc>
        <w:tc>
          <w:tcPr>
            <w:tcW w:w="2835" w:type="dxa"/>
            <w:vAlign w:val="center"/>
          </w:tcPr>
          <w:p w14:paraId="6061FA1D">
            <w:pPr>
              <w:pStyle w:val="13"/>
            </w:pPr>
            <w:r>
              <w:t>生均拨款标准</w:t>
            </w:r>
          </w:p>
        </w:tc>
        <w:tc>
          <w:tcPr>
            <w:tcW w:w="5386" w:type="dxa"/>
            <w:vAlign w:val="center"/>
          </w:tcPr>
          <w:p w14:paraId="38FD9E1F">
            <w:pPr>
              <w:pStyle w:val="13"/>
            </w:pPr>
            <w:r>
              <w:t>学前：（基本标准600元/生/学年）</w:t>
            </w:r>
          </w:p>
        </w:tc>
        <w:tc>
          <w:tcPr>
            <w:tcW w:w="1568" w:type="dxa"/>
            <w:vAlign w:val="center"/>
          </w:tcPr>
          <w:p w14:paraId="0FE62064">
            <w:pPr>
              <w:pStyle w:val="13"/>
            </w:pPr>
            <w:r>
              <w:t>600元</w:t>
            </w:r>
          </w:p>
        </w:tc>
        <w:tc>
          <w:tcPr>
            <w:tcW w:w="1976" w:type="dxa"/>
            <w:vAlign w:val="center"/>
          </w:tcPr>
          <w:p w14:paraId="1EE50435">
            <w:pPr>
              <w:pStyle w:val="13"/>
            </w:pPr>
            <w:r>
              <w:t>支持学前教育发展资金管理方法</w:t>
            </w:r>
          </w:p>
        </w:tc>
      </w:tr>
      <w:tr w14:paraId="53EEB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82B931">
            <w:pPr>
              <w:pStyle w:val="12"/>
            </w:pPr>
            <w:r>
              <w:t>效益指标</w:t>
            </w:r>
          </w:p>
        </w:tc>
        <w:tc>
          <w:tcPr>
            <w:tcW w:w="2268" w:type="dxa"/>
            <w:vAlign w:val="center"/>
          </w:tcPr>
          <w:p w14:paraId="6640572C">
            <w:pPr>
              <w:pStyle w:val="13"/>
            </w:pPr>
            <w:r>
              <w:t>社会效益指标</w:t>
            </w:r>
          </w:p>
        </w:tc>
        <w:tc>
          <w:tcPr>
            <w:tcW w:w="2835" w:type="dxa"/>
            <w:vAlign w:val="center"/>
          </w:tcPr>
          <w:p w14:paraId="05B1A42D">
            <w:pPr>
              <w:pStyle w:val="13"/>
            </w:pPr>
            <w:r>
              <w:t>学校运转得到提升</w:t>
            </w:r>
          </w:p>
        </w:tc>
        <w:tc>
          <w:tcPr>
            <w:tcW w:w="5386" w:type="dxa"/>
            <w:vAlign w:val="center"/>
          </w:tcPr>
          <w:p w14:paraId="5DA39055">
            <w:pPr>
              <w:pStyle w:val="13"/>
            </w:pPr>
            <w:r>
              <w:t>幼儿受教育年限</w:t>
            </w:r>
          </w:p>
        </w:tc>
        <w:tc>
          <w:tcPr>
            <w:tcW w:w="1568" w:type="dxa"/>
            <w:vAlign w:val="center"/>
          </w:tcPr>
          <w:p w14:paraId="7436E0C1">
            <w:pPr>
              <w:pStyle w:val="13"/>
            </w:pPr>
            <w:r>
              <w:t>3年</w:t>
            </w:r>
          </w:p>
        </w:tc>
        <w:tc>
          <w:tcPr>
            <w:tcW w:w="1976" w:type="dxa"/>
            <w:vAlign w:val="center"/>
          </w:tcPr>
          <w:p w14:paraId="2F0C3B35">
            <w:pPr>
              <w:pStyle w:val="13"/>
            </w:pPr>
            <w:r>
              <w:t>支持学前教育发展资金管理方法</w:t>
            </w:r>
          </w:p>
        </w:tc>
      </w:tr>
      <w:tr w14:paraId="4645A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D37A40">
            <w:pPr>
              <w:pStyle w:val="12"/>
            </w:pPr>
            <w:r>
              <w:t>满意度指标</w:t>
            </w:r>
          </w:p>
        </w:tc>
        <w:tc>
          <w:tcPr>
            <w:tcW w:w="2268" w:type="dxa"/>
            <w:vAlign w:val="center"/>
          </w:tcPr>
          <w:p w14:paraId="4E59711A">
            <w:pPr>
              <w:pStyle w:val="13"/>
            </w:pPr>
            <w:r>
              <w:t>服务对象满意度指标</w:t>
            </w:r>
          </w:p>
        </w:tc>
        <w:tc>
          <w:tcPr>
            <w:tcW w:w="2835" w:type="dxa"/>
            <w:vAlign w:val="center"/>
          </w:tcPr>
          <w:p w14:paraId="5D261FE3">
            <w:pPr>
              <w:pStyle w:val="13"/>
            </w:pPr>
            <w:r>
              <w:t>受益学生家长及调查满意度</w:t>
            </w:r>
          </w:p>
        </w:tc>
        <w:tc>
          <w:tcPr>
            <w:tcW w:w="5386" w:type="dxa"/>
            <w:vAlign w:val="center"/>
          </w:tcPr>
          <w:p w14:paraId="38CBD894">
            <w:pPr>
              <w:pStyle w:val="13"/>
            </w:pPr>
            <w:r>
              <w:t>学生、教师及家长对学校保教保育工作满意度情况</w:t>
            </w:r>
          </w:p>
        </w:tc>
        <w:tc>
          <w:tcPr>
            <w:tcW w:w="1568" w:type="dxa"/>
            <w:vAlign w:val="center"/>
          </w:tcPr>
          <w:p w14:paraId="1272B637">
            <w:pPr>
              <w:pStyle w:val="13"/>
            </w:pPr>
            <w:r>
              <w:t>≥95%</w:t>
            </w:r>
          </w:p>
        </w:tc>
        <w:tc>
          <w:tcPr>
            <w:tcW w:w="1976" w:type="dxa"/>
            <w:vAlign w:val="center"/>
          </w:tcPr>
          <w:p w14:paraId="75CF3A27">
            <w:pPr>
              <w:pStyle w:val="13"/>
            </w:pPr>
            <w:r>
              <w:t>支持学前教育发展资金管理方法</w:t>
            </w:r>
          </w:p>
        </w:tc>
      </w:tr>
    </w:tbl>
    <w:p w14:paraId="52AFEE67">
      <w:pPr>
        <w:sectPr>
          <w:pgSz w:w="16840" w:h="11900" w:orient="landscape"/>
          <w:pgMar w:top="1361" w:right="1020" w:bottom="1134" w:left="1020" w:header="720" w:footer="720" w:gutter="0"/>
          <w:cols w:space="720" w:num="1"/>
        </w:sectPr>
      </w:pPr>
    </w:p>
    <w:p w14:paraId="386A313F">
      <w:pPr>
        <w:spacing w:before="0" w:after="0"/>
        <w:ind w:firstLine="560"/>
        <w:jc w:val="left"/>
        <w:outlineLvl w:val="9"/>
      </w:pPr>
      <w:r>
        <w:rPr>
          <w:rFonts w:ascii="方正仿宋_GBK" w:hAnsi="方正仿宋_GBK" w:eastAsia="方正仿宋_GBK" w:cs="方正仿宋_GBK"/>
          <w:b/>
          <w:color w:val="000000"/>
          <w:sz w:val="28"/>
        </w:rPr>
        <w:t>19、冀财教[2024]142号/省级/2025年学前发展资金/牛家桥校区学前教育幼儿资助绩效目标表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63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75BAA">
            <w:pPr>
              <w:pStyle w:val="14"/>
            </w:pPr>
            <w:r>
              <w:t>单位：万元</w:t>
            </w:r>
          </w:p>
        </w:tc>
      </w:tr>
      <w:tr w14:paraId="06E0C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2E5A25">
            <w:pPr>
              <w:pStyle w:val="11"/>
            </w:pPr>
            <w:r>
              <w:t>项目编码</w:t>
            </w:r>
          </w:p>
        </w:tc>
        <w:tc>
          <w:tcPr>
            <w:tcW w:w="5103" w:type="dxa"/>
            <w:gridSpan w:val="2"/>
            <w:vAlign w:val="center"/>
          </w:tcPr>
          <w:p w14:paraId="4B5939F4">
            <w:pPr>
              <w:pStyle w:val="13"/>
            </w:pPr>
            <w:r>
              <w:t>13052525P00000210075R</w:t>
            </w:r>
          </w:p>
        </w:tc>
        <w:tc>
          <w:tcPr>
            <w:tcW w:w="2835" w:type="dxa"/>
            <w:vAlign w:val="center"/>
          </w:tcPr>
          <w:p w14:paraId="44836FFB">
            <w:pPr>
              <w:pStyle w:val="11"/>
            </w:pPr>
            <w:r>
              <w:t>项目名称</w:t>
            </w:r>
          </w:p>
        </w:tc>
        <w:tc>
          <w:tcPr>
            <w:tcW w:w="6095" w:type="dxa"/>
            <w:gridSpan w:val="3"/>
            <w:vAlign w:val="center"/>
          </w:tcPr>
          <w:p w14:paraId="4AD22D9B">
            <w:pPr>
              <w:pStyle w:val="13"/>
            </w:pPr>
            <w:r>
              <w:t>冀财教[2024]142号/省级/2025年学前发展资金/牛家桥校区学前教育幼儿资助</w:t>
            </w:r>
          </w:p>
        </w:tc>
      </w:tr>
      <w:tr w14:paraId="33F16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49F1C">
            <w:pPr>
              <w:pStyle w:val="11"/>
            </w:pPr>
            <w:r>
              <w:t>预算规模及资金用途</w:t>
            </w:r>
          </w:p>
        </w:tc>
        <w:tc>
          <w:tcPr>
            <w:tcW w:w="2268" w:type="dxa"/>
            <w:vAlign w:val="center"/>
          </w:tcPr>
          <w:p w14:paraId="0639FA3A">
            <w:pPr>
              <w:pStyle w:val="11"/>
            </w:pPr>
            <w:r>
              <w:t>预算数</w:t>
            </w:r>
          </w:p>
        </w:tc>
        <w:tc>
          <w:tcPr>
            <w:tcW w:w="2835" w:type="dxa"/>
            <w:vAlign w:val="center"/>
          </w:tcPr>
          <w:p w14:paraId="062D3B34">
            <w:pPr>
              <w:pStyle w:val="13"/>
            </w:pPr>
            <w:r>
              <w:t>0.42</w:t>
            </w:r>
          </w:p>
        </w:tc>
        <w:tc>
          <w:tcPr>
            <w:tcW w:w="2835" w:type="dxa"/>
            <w:vAlign w:val="center"/>
          </w:tcPr>
          <w:p w14:paraId="596DABC7">
            <w:pPr>
              <w:pStyle w:val="11"/>
            </w:pPr>
            <w:r>
              <w:t>其中：财政    资金</w:t>
            </w:r>
          </w:p>
        </w:tc>
        <w:tc>
          <w:tcPr>
            <w:tcW w:w="2551" w:type="dxa"/>
            <w:vAlign w:val="center"/>
          </w:tcPr>
          <w:p w14:paraId="73AA4465">
            <w:pPr>
              <w:pStyle w:val="13"/>
            </w:pPr>
            <w:r>
              <w:t>0.42</w:t>
            </w:r>
          </w:p>
        </w:tc>
        <w:tc>
          <w:tcPr>
            <w:tcW w:w="2268" w:type="dxa"/>
            <w:vAlign w:val="center"/>
          </w:tcPr>
          <w:p w14:paraId="7963ADA9">
            <w:pPr>
              <w:pStyle w:val="11"/>
            </w:pPr>
            <w:r>
              <w:t>其他资金</w:t>
            </w:r>
          </w:p>
        </w:tc>
        <w:tc>
          <w:tcPr>
            <w:tcW w:w="1276" w:type="dxa"/>
            <w:vAlign w:val="center"/>
          </w:tcPr>
          <w:p w14:paraId="0E496E53">
            <w:pPr>
              <w:pStyle w:val="13"/>
            </w:pPr>
            <w:r>
              <w:t xml:space="preserve"> </w:t>
            </w:r>
          </w:p>
        </w:tc>
      </w:tr>
      <w:tr w14:paraId="0D465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9E15BA"/>
        </w:tc>
        <w:tc>
          <w:tcPr>
            <w:tcW w:w="14033" w:type="dxa"/>
            <w:gridSpan w:val="6"/>
            <w:vAlign w:val="center"/>
          </w:tcPr>
          <w:p w14:paraId="1E70B694">
            <w:pPr>
              <w:pStyle w:val="13"/>
            </w:pPr>
            <w:r>
              <w:t>保证本年度资助经费足额落实到位，符合享受资助条件的学生应助尽助。</w:t>
            </w:r>
          </w:p>
        </w:tc>
      </w:tr>
      <w:tr w14:paraId="0291A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1B992">
            <w:pPr>
              <w:pStyle w:val="11"/>
            </w:pPr>
            <w:r>
              <w:t>资金支出计划（%）</w:t>
            </w:r>
          </w:p>
        </w:tc>
        <w:tc>
          <w:tcPr>
            <w:tcW w:w="5103" w:type="dxa"/>
            <w:gridSpan w:val="2"/>
            <w:vAlign w:val="center"/>
          </w:tcPr>
          <w:p w14:paraId="207AE60A">
            <w:pPr>
              <w:pStyle w:val="11"/>
            </w:pPr>
            <w:r>
              <w:t>3月底</w:t>
            </w:r>
          </w:p>
        </w:tc>
        <w:tc>
          <w:tcPr>
            <w:tcW w:w="2835" w:type="dxa"/>
            <w:vAlign w:val="center"/>
          </w:tcPr>
          <w:p w14:paraId="3ABB564F">
            <w:pPr>
              <w:pStyle w:val="11"/>
            </w:pPr>
            <w:r>
              <w:t>6月底</w:t>
            </w:r>
          </w:p>
        </w:tc>
        <w:tc>
          <w:tcPr>
            <w:tcW w:w="2551" w:type="dxa"/>
            <w:vAlign w:val="center"/>
          </w:tcPr>
          <w:p w14:paraId="7895382F">
            <w:pPr>
              <w:pStyle w:val="11"/>
            </w:pPr>
            <w:r>
              <w:t>10月底</w:t>
            </w:r>
          </w:p>
        </w:tc>
        <w:tc>
          <w:tcPr>
            <w:tcW w:w="3544" w:type="dxa"/>
            <w:gridSpan w:val="2"/>
            <w:vAlign w:val="center"/>
          </w:tcPr>
          <w:p w14:paraId="2B3F0EF9">
            <w:pPr>
              <w:pStyle w:val="11"/>
            </w:pPr>
            <w:r>
              <w:t>12月底</w:t>
            </w:r>
          </w:p>
        </w:tc>
      </w:tr>
      <w:tr w14:paraId="4F1F4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8E5CC"/>
        </w:tc>
        <w:tc>
          <w:tcPr>
            <w:tcW w:w="5103" w:type="dxa"/>
            <w:gridSpan w:val="2"/>
            <w:vAlign w:val="center"/>
          </w:tcPr>
          <w:p w14:paraId="3085D961">
            <w:pPr>
              <w:pStyle w:val="12"/>
            </w:pPr>
            <w:r>
              <w:t xml:space="preserve"> </w:t>
            </w:r>
          </w:p>
        </w:tc>
        <w:tc>
          <w:tcPr>
            <w:tcW w:w="2835" w:type="dxa"/>
            <w:vAlign w:val="center"/>
          </w:tcPr>
          <w:p w14:paraId="63F55BFE">
            <w:pPr>
              <w:pStyle w:val="12"/>
            </w:pPr>
            <w:r>
              <w:t>50%</w:t>
            </w:r>
          </w:p>
        </w:tc>
        <w:tc>
          <w:tcPr>
            <w:tcW w:w="2551" w:type="dxa"/>
            <w:vAlign w:val="center"/>
          </w:tcPr>
          <w:p w14:paraId="66E27A32">
            <w:pPr>
              <w:pStyle w:val="12"/>
            </w:pPr>
            <w:r>
              <w:t>100%</w:t>
            </w:r>
          </w:p>
        </w:tc>
        <w:tc>
          <w:tcPr>
            <w:tcW w:w="3544" w:type="dxa"/>
            <w:gridSpan w:val="2"/>
            <w:vAlign w:val="center"/>
          </w:tcPr>
          <w:p w14:paraId="000CFE5B">
            <w:pPr>
              <w:pStyle w:val="12"/>
            </w:pPr>
            <w:r>
              <w:t>100%</w:t>
            </w:r>
          </w:p>
        </w:tc>
      </w:tr>
      <w:tr w14:paraId="62A6D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32535">
            <w:pPr>
              <w:pStyle w:val="11"/>
            </w:pPr>
            <w:r>
              <w:t>绩效目标</w:t>
            </w:r>
          </w:p>
        </w:tc>
        <w:tc>
          <w:tcPr>
            <w:tcW w:w="14033" w:type="dxa"/>
            <w:gridSpan w:val="6"/>
            <w:vAlign w:val="center"/>
          </w:tcPr>
          <w:p w14:paraId="66EBA0AE">
            <w:pPr>
              <w:pStyle w:val="13"/>
            </w:pPr>
            <w:r>
              <w:t>1.保证本年度资助经费足额落实到位，符合享受资助条件的学生应助尽助。</w:t>
            </w:r>
          </w:p>
          <w:p w14:paraId="6C6B6C9D">
            <w:pPr>
              <w:pStyle w:val="13"/>
            </w:pPr>
            <w:r>
              <w:t>2.保障落实建档立卡及家庭经济困难儿童资助所需资金，确保建档立卡等家庭经济困难幼儿优先获得资助</w:t>
            </w:r>
          </w:p>
        </w:tc>
      </w:tr>
    </w:tbl>
    <w:p w14:paraId="781AD4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BF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5B16A">
            <w:pPr>
              <w:pStyle w:val="11"/>
            </w:pPr>
            <w:r>
              <w:t>一级指标</w:t>
            </w:r>
          </w:p>
        </w:tc>
        <w:tc>
          <w:tcPr>
            <w:tcW w:w="2268" w:type="dxa"/>
            <w:vAlign w:val="center"/>
          </w:tcPr>
          <w:p w14:paraId="1A5514B4">
            <w:pPr>
              <w:pStyle w:val="11"/>
            </w:pPr>
            <w:r>
              <w:t>二级指标</w:t>
            </w:r>
          </w:p>
        </w:tc>
        <w:tc>
          <w:tcPr>
            <w:tcW w:w="2835" w:type="dxa"/>
            <w:vAlign w:val="center"/>
          </w:tcPr>
          <w:p w14:paraId="1AEBF44D">
            <w:pPr>
              <w:pStyle w:val="11"/>
            </w:pPr>
            <w:r>
              <w:t>三级指标</w:t>
            </w:r>
          </w:p>
        </w:tc>
        <w:tc>
          <w:tcPr>
            <w:tcW w:w="5386" w:type="dxa"/>
            <w:vAlign w:val="center"/>
          </w:tcPr>
          <w:p w14:paraId="4FE6C8D6">
            <w:pPr>
              <w:pStyle w:val="11"/>
            </w:pPr>
            <w:r>
              <w:t>绩效指标描述</w:t>
            </w:r>
          </w:p>
        </w:tc>
        <w:tc>
          <w:tcPr>
            <w:tcW w:w="2268" w:type="dxa"/>
            <w:vAlign w:val="center"/>
          </w:tcPr>
          <w:p w14:paraId="53A4B844">
            <w:pPr>
              <w:pStyle w:val="11"/>
            </w:pPr>
            <w:r>
              <w:t>指标值</w:t>
            </w:r>
          </w:p>
        </w:tc>
        <w:tc>
          <w:tcPr>
            <w:tcW w:w="1276" w:type="dxa"/>
            <w:vAlign w:val="center"/>
          </w:tcPr>
          <w:p w14:paraId="214560D0">
            <w:pPr>
              <w:pStyle w:val="11"/>
            </w:pPr>
            <w:r>
              <w:t>指标值确定依据</w:t>
            </w:r>
          </w:p>
        </w:tc>
      </w:tr>
      <w:tr w14:paraId="32167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DB4E2">
            <w:pPr>
              <w:pStyle w:val="12"/>
            </w:pPr>
            <w:r>
              <w:t>产出指标</w:t>
            </w:r>
          </w:p>
        </w:tc>
        <w:tc>
          <w:tcPr>
            <w:tcW w:w="2268" w:type="dxa"/>
            <w:vAlign w:val="center"/>
          </w:tcPr>
          <w:p w14:paraId="61B74AFA">
            <w:pPr>
              <w:pStyle w:val="13"/>
            </w:pPr>
            <w:r>
              <w:t>数量指标</w:t>
            </w:r>
          </w:p>
        </w:tc>
        <w:tc>
          <w:tcPr>
            <w:tcW w:w="2835" w:type="dxa"/>
            <w:vAlign w:val="center"/>
          </w:tcPr>
          <w:p w14:paraId="76DDC4CD">
            <w:pPr>
              <w:pStyle w:val="13"/>
            </w:pPr>
            <w:r>
              <w:t>幼儿资助比例</w:t>
            </w:r>
          </w:p>
        </w:tc>
        <w:tc>
          <w:tcPr>
            <w:tcW w:w="5386" w:type="dxa"/>
            <w:vAlign w:val="center"/>
          </w:tcPr>
          <w:p w14:paraId="2D7B005E">
            <w:pPr>
              <w:pStyle w:val="13"/>
            </w:pPr>
            <w:r>
              <w:t>按学前适龄在园儿童10%测算</w:t>
            </w:r>
          </w:p>
        </w:tc>
        <w:tc>
          <w:tcPr>
            <w:tcW w:w="2268" w:type="dxa"/>
            <w:vAlign w:val="center"/>
          </w:tcPr>
          <w:p w14:paraId="6342515B">
            <w:pPr>
              <w:pStyle w:val="13"/>
            </w:pPr>
            <w:r>
              <w:t>≥10%</w:t>
            </w:r>
          </w:p>
        </w:tc>
        <w:tc>
          <w:tcPr>
            <w:tcW w:w="1276" w:type="dxa"/>
            <w:vAlign w:val="center"/>
          </w:tcPr>
          <w:p w14:paraId="30A3C7D1">
            <w:pPr>
              <w:pStyle w:val="13"/>
            </w:pPr>
            <w:r>
              <w:t>幼儿资助经费管理办法</w:t>
            </w:r>
          </w:p>
        </w:tc>
      </w:tr>
      <w:tr w14:paraId="6ADF9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DB856"/>
        </w:tc>
        <w:tc>
          <w:tcPr>
            <w:tcW w:w="2268" w:type="dxa"/>
            <w:vAlign w:val="center"/>
          </w:tcPr>
          <w:p w14:paraId="4510B298">
            <w:pPr>
              <w:pStyle w:val="13"/>
            </w:pPr>
            <w:r>
              <w:t>质量指标</w:t>
            </w:r>
          </w:p>
        </w:tc>
        <w:tc>
          <w:tcPr>
            <w:tcW w:w="2835" w:type="dxa"/>
            <w:vAlign w:val="center"/>
          </w:tcPr>
          <w:p w14:paraId="060DF370">
            <w:pPr>
              <w:pStyle w:val="13"/>
            </w:pPr>
            <w:r>
              <w:t>学前教育资助制度落实情况</w:t>
            </w:r>
          </w:p>
        </w:tc>
        <w:tc>
          <w:tcPr>
            <w:tcW w:w="5386" w:type="dxa"/>
            <w:vAlign w:val="center"/>
          </w:tcPr>
          <w:p w14:paraId="7DEB86AB">
            <w:pPr>
              <w:pStyle w:val="13"/>
            </w:pPr>
            <w:r>
              <w:t>符合享受资助条件的学生应助尽助</w:t>
            </w:r>
          </w:p>
        </w:tc>
        <w:tc>
          <w:tcPr>
            <w:tcW w:w="2268" w:type="dxa"/>
            <w:vAlign w:val="center"/>
          </w:tcPr>
          <w:p w14:paraId="18A446E1">
            <w:pPr>
              <w:pStyle w:val="13"/>
            </w:pPr>
            <w:r>
              <w:t>≥100%</w:t>
            </w:r>
          </w:p>
        </w:tc>
        <w:tc>
          <w:tcPr>
            <w:tcW w:w="1276" w:type="dxa"/>
            <w:vAlign w:val="center"/>
          </w:tcPr>
          <w:p w14:paraId="411778C1">
            <w:pPr>
              <w:pStyle w:val="13"/>
            </w:pPr>
            <w:r>
              <w:t>幼儿资助经费管理办法</w:t>
            </w:r>
          </w:p>
        </w:tc>
      </w:tr>
      <w:tr w14:paraId="583ED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E389D"/>
        </w:tc>
        <w:tc>
          <w:tcPr>
            <w:tcW w:w="2268" w:type="dxa"/>
            <w:vAlign w:val="center"/>
          </w:tcPr>
          <w:p w14:paraId="3A2A7085">
            <w:pPr>
              <w:pStyle w:val="13"/>
            </w:pPr>
            <w:r>
              <w:t>时效指标</w:t>
            </w:r>
          </w:p>
        </w:tc>
        <w:tc>
          <w:tcPr>
            <w:tcW w:w="2835" w:type="dxa"/>
            <w:vAlign w:val="center"/>
          </w:tcPr>
          <w:p w14:paraId="6A8D3796">
            <w:pPr>
              <w:pStyle w:val="13"/>
            </w:pPr>
            <w:r>
              <w:t>资金拨付率</w:t>
            </w:r>
          </w:p>
        </w:tc>
        <w:tc>
          <w:tcPr>
            <w:tcW w:w="5386" w:type="dxa"/>
            <w:vAlign w:val="center"/>
          </w:tcPr>
          <w:p w14:paraId="15697BF2">
            <w:pPr>
              <w:pStyle w:val="13"/>
            </w:pPr>
            <w:r>
              <w:t>所有项目资金支付进度</w:t>
            </w:r>
          </w:p>
        </w:tc>
        <w:tc>
          <w:tcPr>
            <w:tcW w:w="2268" w:type="dxa"/>
            <w:vAlign w:val="center"/>
          </w:tcPr>
          <w:p w14:paraId="1E44B404">
            <w:pPr>
              <w:pStyle w:val="13"/>
            </w:pPr>
            <w:r>
              <w:t>≥100%</w:t>
            </w:r>
          </w:p>
        </w:tc>
        <w:tc>
          <w:tcPr>
            <w:tcW w:w="1276" w:type="dxa"/>
            <w:vAlign w:val="center"/>
          </w:tcPr>
          <w:p w14:paraId="69ADB8F1">
            <w:pPr>
              <w:pStyle w:val="13"/>
            </w:pPr>
            <w:r>
              <w:t>幼儿资助经费管理办法</w:t>
            </w:r>
          </w:p>
        </w:tc>
      </w:tr>
      <w:tr w14:paraId="3DC8C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94B78"/>
        </w:tc>
        <w:tc>
          <w:tcPr>
            <w:tcW w:w="2268" w:type="dxa"/>
            <w:vAlign w:val="center"/>
          </w:tcPr>
          <w:p w14:paraId="1A9CAE08">
            <w:pPr>
              <w:pStyle w:val="13"/>
            </w:pPr>
            <w:r>
              <w:t>成本指标</w:t>
            </w:r>
          </w:p>
        </w:tc>
        <w:tc>
          <w:tcPr>
            <w:tcW w:w="2835" w:type="dxa"/>
            <w:vAlign w:val="center"/>
          </w:tcPr>
          <w:p w14:paraId="555ACABC">
            <w:pPr>
              <w:pStyle w:val="13"/>
            </w:pPr>
            <w:r>
              <w:t>幼儿园资助标准</w:t>
            </w:r>
          </w:p>
        </w:tc>
        <w:tc>
          <w:tcPr>
            <w:tcW w:w="5386" w:type="dxa"/>
            <w:vAlign w:val="center"/>
          </w:tcPr>
          <w:p w14:paraId="0DF3472E">
            <w:pPr>
              <w:pStyle w:val="13"/>
            </w:pPr>
            <w:r>
              <w:t>按照幼儿园资助标准1000元/生/年</w:t>
            </w:r>
          </w:p>
        </w:tc>
        <w:tc>
          <w:tcPr>
            <w:tcW w:w="2268" w:type="dxa"/>
            <w:vAlign w:val="center"/>
          </w:tcPr>
          <w:p w14:paraId="62A16913">
            <w:pPr>
              <w:pStyle w:val="13"/>
            </w:pPr>
            <w:r>
              <w:t>1000元</w:t>
            </w:r>
          </w:p>
        </w:tc>
        <w:tc>
          <w:tcPr>
            <w:tcW w:w="1276" w:type="dxa"/>
            <w:vAlign w:val="center"/>
          </w:tcPr>
          <w:p w14:paraId="0B4AD996">
            <w:pPr>
              <w:pStyle w:val="13"/>
            </w:pPr>
            <w:r>
              <w:t>幼儿资助经费管理办法</w:t>
            </w:r>
          </w:p>
        </w:tc>
      </w:tr>
      <w:tr w14:paraId="34381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D90A8D">
            <w:pPr>
              <w:pStyle w:val="12"/>
            </w:pPr>
            <w:r>
              <w:t>效益指标</w:t>
            </w:r>
          </w:p>
        </w:tc>
        <w:tc>
          <w:tcPr>
            <w:tcW w:w="2268" w:type="dxa"/>
            <w:vAlign w:val="center"/>
          </w:tcPr>
          <w:p w14:paraId="4D927A8E">
            <w:pPr>
              <w:pStyle w:val="13"/>
            </w:pPr>
            <w:r>
              <w:t>可持续影响指标</w:t>
            </w:r>
          </w:p>
        </w:tc>
        <w:tc>
          <w:tcPr>
            <w:tcW w:w="2835" w:type="dxa"/>
            <w:vAlign w:val="center"/>
          </w:tcPr>
          <w:p w14:paraId="19E21AF5">
            <w:pPr>
              <w:pStyle w:val="13"/>
            </w:pPr>
            <w:r>
              <w:t>幼儿园运转</w:t>
            </w:r>
          </w:p>
        </w:tc>
        <w:tc>
          <w:tcPr>
            <w:tcW w:w="5386" w:type="dxa"/>
            <w:vAlign w:val="center"/>
          </w:tcPr>
          <w:p w14:paraId="7DD34E06">
            <w:pPr>
              <w:pStyle w:val="13"/>
            </w:pPr>
            <w:r>
              <w:t>幼儿受教育年限</w:t>
            </w:r>
          </w:p>
        </w:tc>
        <w:tc>
          <w:tcPr>
            <w:tcW w:w="2268" w:type="dxa"/>
            <w:vAlign w:val="center"/>
          </w:tcPr>
          <w:p w14:paraId="1CEB3627">
            <w:pPr>
              <w:pStyle w:val="13"/>
            </w:pPr>
            <w:r>
              <w:t>3年</w:t>
            </w:r>
          </w:p>
        </w:tc>
        <w:tc>
          <w:tcPr>
            <w:tcW w:w="1276" w:type="dxa"/>
            <w:vAlign w:val="center"/>
          </w:tcPr>
          <w:p w14:paraId="1B710AAB">
            <w:pPr>
              <w:pStyle w:val="13"/>
            </w:pPr>
            <w:r>
              <w:t>幼儿资助经费管理办法</w:t>
            </w:r>
          </w:p>
        </w:tc>
      </w:tr>
      <w:tr w14:paraId="25B70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ABCFD">
            <w:pPr>
              <w:pStyle w:val="12"/>
            </w:pPr>
            <w:r>
              <w:t>满意度指标</w:t>
            </w:r>
          </w:p>
        </w:tc>
        <w:tc>
          <w:tcPr>
            <w:tcW w:w="2268" w:type="dxa"/>
            <w:vAlign w:val="center"/>
          </w:tcPr>
          <w:p w14:paraId="345BAE03">
            <w:pPr>
              <w:pStyle w:val="13"/>
            </w:pPr>
            <w:r>
              <w:t>服务对象满意度指标</w:t>
            </w:r>
          </w:p>
        </w:tc>
        <w:tc>
          <w:tcPr>
            <w:tcW w:w="2835" w:type="dxa"/>
            <w:vAlign w:val="center"/>
          </w:tcPr>
          <w:p w14:paraId="1A24CF22">
            <w:pPr>
              <w:pStyle w:val="13"/>
            </w:pPr>
            <w:r>
              <w:t>受益幼儿家长及调查满意度</w:t>
            </w:r>
          </w:p>
        </w:tc>
        <w:tc>
          <w:tcPr>
            <w:tcW w:w="5386" w:type="dxa"/>
            <w:vAlign w:val="center"/>
          </w:tcPr>
          <w:p w14:paraId="02224DCF">
            <w:pPr>
              <w:pStyle w:val="13"/>
            </w:pPr>
            <w:r>
              <w:t>学生、教师及家长对学校保教保育工作满意度情况</w:t>
            </w:r>
          </w:p>
        </w:tc>
        <w:tc>
          <w:tcPr>
            <w:tcW w:w="2268" w:type="dxa"/>
            <w:vAlign w:val="center"/>
          </w:tcPr>
          <w:p w14:paraId="78C79457">
            <w:pPr>
              <w:pStyle w:val="13"/>
            </w:pPr>
            <w:r>
              <w:t>≥95%</w:t>
            </w:r>
          </w:p>
        </w:tc>
        <w:tc>
          <w:tcPr>
            <w:tcW w:w="1276" w:type="dxa"/>
            <w:vAlign w:val="center"/>
          </w:tcPr>
          <w:p w14:paraId="54CC5499">
            <w:pPr>
              <w:pStyle w:val="13"/>
            </w:pPr>
            <w:r>
              <w:t>幼儿资助经费管理办法</w:t>
            </w:r>
          </w:p>
        </w:tc>
      </w:tr>
    </w:tbl>
    <w:p w14:paraId="2F97DC21">
      <w:pPr>
        <w:sectPr>
          <w:pgSz w:w="16840" w:h="11900" w:orient="landscape"/>
          <w:pgMar w:top="1361" w:right="1020" w:bottom="1134" w:left="1020" w:header="720" w:footer="720" w:gutter="0"/>
          <w:cols w:space="720" w:num="1"/>
        </w:sectPr>
      </w:pPr>
    </w:p>
    <w:p w14:paraId="51F1A6FF">
      <w:pPr>
        <w:spacing w:before="0" w:after="0"/>
        <w:ind w:firstLine="560"/>
        <w:jc w:val="left"/>
        <w:outlineLvl w:val="9"/>
      </w:pPr>
      <w:r>
        <w:rPr>
          <w:rFonts w:ascii="方正仿宋_GBK" w:hAnsi="方正仿宋_GBK" w:eastAsia="方正仿宋_GBK" w:cs="方正仿宋_GBK"/>
          <w:b/>
          <w:color w:val="000000"/>
          <w:sz w:val="28"/>
        </w:rPr>
        <w:t>20、上年盘活/冀财教[2023]154号/中央/义教经费/校舍安全保障/牛家桥校区旧城小学塑胶操场改造绩效目标表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0C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9E1CD">
            <w:pPr>
              <w:pStyle w:val="14"/>
            </w:pPr>
            <w:r>
              <w:t>单位：万元</w:t>
            </w:r>
          </w:p>
        </w:tc>
      </w:tr>
      <w:tr w14:paraId="070E6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588B0E">
            <w:pPr>
              <w:pStyle w:val="11"/>
            </w:pPr>
            <w:r>
              <w:t>项目编码</w:t>
            </w:r>
          </w:p>
        </w:tc>
        <w:tc>
          <w:tcPr>
            <w:tcW w:w="5103" w:type="dxa"/>
            <w:gridSpan w:val="2"/>
            <w:vAlign w:val="center"/>
          </w:tcPr>
          <w:p w14:paraId="23CDB58B">
            <w:pPr>
              <w:pStyle w:val="13"/>
            </w:pPr>
            <w:r>
              <w:t>13052525P00875610156L</w:t>
            </w:r>
          </w:p>
        </w:tc>
        <w:tc>
          <w:tcPr>
            <w:tcW w:w="2835" w:type="dxa"/>
            <w:vAlign w:val="center"/>
          </w:tcPr>
          <w:p w14:paraId="7D1C10CE">
            <w:pPr>
              <w:pStyle w:val="11"/>
            </w:pPr>
            <w:r>
              <w:t>项目名称</w:t>
            </w:r>
          </w:p>
        </w:tc>
        <w:tc>
          <w:tcPr>
            <w:tcW w:w="6095" w:type="dxa"/>
            <w:gridSpan w:val="3"/>
            <w:vAlign w:val="center"/>
          </w:tcPr>
          <w:p w14:paraId="34C36FC5">
            <w:pPr>
              <w:pStyle w:val="13"/>
            </w:pPr>
            <w:r>
              <w:t>上年盘活/冀财教[2023]154号/中央/义教经费/校舍安全保障/牛家桥校区旧城小学塑胶操场改造</w:t>
            </w:r>
          </w:p>
        </w:tc>
      </w:tr>
      <w:tr w14:paraId="208D7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F1D68">
            <w:pPr>
              <w:pStyle w:val="11"/>
            </w:pPr>
            <w:r>
              <w:t>预算规模及资金用途</w:t>
            </w:r>
          </w:p>
        </w:tc>
        <w:tc>
          <w:tcPr>
            <w:tcW w:w="2268" w:type="dxa"/>
            <w:vAlign w:val="center"/>
          </w:tcPr>
          <w:p w14:paraId="765EBDEB">
            <w:pPr>
              <w:pStyle w:val="11"/>
            </w:pPr>
            <w:r>
              <w:t>预算数</w:t>
            </w:r>
          </w:p>
        </w:tc>
        <w:tc>
          <w:tcPr>
            <w:tcW w:w="2835" w:type="dxa"/>
            <w:vAlign w:val="center"/>
          </w:tcPr>
          <w:p w14:paraId="56440A8F">
            <w:pPr>
              <w:pStyle w:val="13"/>
            </w:pPr>
            <w:r>
              <w:t>66.85</w:t>
            </w:r>
          </w:p>
        </w:tc>
        <w:tc>
          <w:tcPr>
            <w:tcW w:w="2835" w:type="dxa"/>
            <w:vAlign w:val="center"/>
          </w:tcPr>
          <w:p w14:paraId="18DDBCBC">
            <w:pPr>
              <w:pStyle w:val="11"/>
            </w:pPr>
            <w:r>
              <w:t>其中：财政    资金</w:t>
            </w:r>
          </w:p>
        </w:tc>
        <w:tc>
          <w:tcPr>
            <w:tcW w:w="2551" w:type="dxa"/>
            <w:vAlign w:val="center"/>
          </w:tcPr>
          <w:p w14:paraId="2181162F">
            <w:pPr>
              <w:pStyle w:val="13"/>
            </w:pPr>
            <w:r>
              <w:t>66.85</w:t>
            </w:r>
          </w:p>
        </w:tc>
        <w:tc>
          <w:tcPr>
            <w:tcW w:w="2268" w:type="dxa"/>
            <w:vAlign w:val="center"/>
          </w:tcPr>
          <w:p w14:paraId="2B2D28E5">
            <w:pPr>
              <w:pStyle w:val="11"/>
            </w:pPr>
            <w:r>
              <w:t>其他资金</w:t>
            </w:r>
          </w:p>
        </w:tc>
        <w:tc>
          <w:tcPr>
            <w:tcW w:w="1276" w:type="dxa"/>
            <w:vAlign w:val="center"/>
          </w:tcPr>
          <w:p w14:paraId="38BBDA8D">
            <w:pPr>
              <w:pStyle w:val="13"/>
            </w:pPr>
            <w:r>
              <w:t xml:space="preserve"> </w:t>
            </w:r>
          </w:p>
        </w:tc>
      </w:tr>
      <w:tr w14:paraId="65CA1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1A3BEA"/>
        </w:tc>
        <w:tc>
          <w:tcPr>
            <w:tcW w:w="14033" w:type="dxa"/>
            <w:gridSpan w:val="6"/>
            <w:vAlign w:val="center"/>
          </w:tcPr>
          <w:p w14:paraId="41F8F5F6">
            <w:pPr>
              <w:pStyle w:val="13"/>
            </w:pPr>
            <w:r>
              <w:t>完成旧城小学塑胶操场改造，满足学校正常教学需要。</w:t>
            </w:r>
          </w:p>
        </w:tc>
      </w:tr>
      <w:tr w14:paraId="13320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21C56">
            <w:pPr>
              <w:pStyle w:val="11"/>
            </w:pPr>
            <w:r>
              <w:t>资金支出计划（%）</w:t>
            </w:r>
          </w:p>
        </w:tc>
        <w:tc>
          <w:tcPr>
            <w:tcW w:w="5103" w:type="dxa"/>
            <w:gridSpan w:val="2"/>
            <w:vAlign w:val="center"/>
          </w:tcPr>
          <w:p w14:paraId="08F48E38">
            <w:pPr>
              <w:pStyle w:val="11"/>
            </w:pPr>
            <w:r>
              <w:t>3月底</w:t>
            </w:r>
          </w:p>
        </w:tc>
        <w:tc>
          <w:tcPr>
            <w:tcW w:w="2835" w:type="dxa"/>
            <w:vAlign w:val="center"/>
          </w:tcPr>
          <w:p w14:paraId="0D44E95C">
            <w:pPr>
              <w:pStyle w:val="11"/>
            </w:pPr>
            <w:r>
              <w:t>6月底</w:t>
            </w:r>
          </w:p>
        </w:tc>
        <w:tc>
          <w:tcPr>
            <w:tcW w:w="2551" w:type="dxa"/>
            <w:vAlign w:val="center"/>
          </w:tcPr>
          <w:p w14:paraId="071ADE71">
            <w:pPr>
              <w:pStyle w:val="11"/>
            </w:pPr>
            <w:r>
              <w:t>10月底</w:t>
            </w:r>
          </w:p>
        </w:tc>
        <w:tc>
          <w:tcPr>
            <w:tcW w:w="3544" w:type="dxa"/>
            <w:gridSpan w:val="2"/>
            <w:vAlign w:val="center"/>
          </w:tcPr>
          <w:p w14:paraId="5EF61787">
            <w:pPr>
              <w:pStyle w:val="11"/>
            </w:pPr>
            <w:r>
              <w:t>12月底</w:t>
            </w:r>
          </w:p>
        </w:tc>
      </w:tr>
      <w:tr w14:paraId="57446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9C6DBB"/>
        </w:tc>
        <w:tc>
          <w:tcPr>
            <w:tcW w:w="5103" w:type="dxa"/>
            <w:gridSpan w:val="2"/>
            <w:vAlign w:val="center"/>
          </w:tcPr>
          <w:p w14:paraId="03BB282A">
            <w:pPr>
              <w:pStyle w:val="12"/>
            </w:pPr>
            <w:r>
              <w:t>25%</w:t>
            </w:r>
          </w:p>
        </w:tc>
        <w:tc>
          <w:tcPr>
            <w:tcW w:w="2835" w:type="dxa"/>
            <w:vAlign w:val="center"/>
          </w:tcPr>
          <w:p w14:paraId="0BB61B44">
            <w:pPr>
              <w:pStyle w:val="12"/>
            </w:pPr>
            <w:r>
              <w:t>50%</w:t>
            </w:r>
          </w:p>
        </w:tc>
        <w:tc>
          <w:tcPr>
            <w:tcW w:w="2551" w:type="dxa"/>
            <w:vAlign w:val="center"/>
          </w:tcPr>
          <w:p w14:paraId="3E40F2F4">
            <w:pPr>
              <w:pStyle w:val="12"/>
            </w:pPr>
            <w:r>
              <w:t>75%</w:t>
            </w:r>
          </w:p>
        </w:tc>
        <w:tc>
          <w:tcPr>
            <w:tcW w:w="3544" w:type="dxa"/>
            <w:gridSpan w:val="2"/>
            <w:vAlign w:val="center"/>
          </w:tcPr>
          <w:p w14:paraId="40D440EA">
            <w:pPr>
              <w:pStyle w:val="12"/>
            </w:pPr>
            <w:r>
              <w:t>100%</w:t>
            </w:r>
          </w:p>
        </w:tc>
      </w:tr>
      <w:tr w14:paraId="080AC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42A984">
            <w:pPr>
              <w:pStyle w:val="11"/>
            </w:pPr>
            <w:r>
              <w:t>绩效目标</w:t>
            </w:r>
          </w:p>
        </w:tc>
        <w:tc>
          <w:tcPr>
            <w:tcW w:w="14033" w:type="dxa"/>
            <w:gridSpan w:val="6"/>
            <w:vAlign w:val="center"/>
          </w:tcPr>
          <w:p w14:paraId="5ECCFD27">
            <w:pPr>
              <w:pStyle w:val="13"/>
            </w:pPr>
            <w:r>
              <w:t>1.按规定拨付专项资金，资金支付率达到100%。</w:t>
            </w:r>
          </w:p>
          <w:p w14:paraId="2489B6FA">
            <w:pPr>
              <w:pStyle w:val="13"/>
            </w:pPr>
            <w:r>
              <w:t>2.完成旧城小学塑胶操场改造，满足学校正常教学需要。</w:t>
            </w:r>
          </w:p>
        </w:tc>
      </w:tr>
    </w:tbl>
    <w:p w14:paraId="4529E5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1550"/>
        <w:gridCol w:w="2106"/>
        <w:gridCol w:w="2736"/>
        <w:gridCol w:w="3996"/>
        <w:gridCol w:w="1371"/>
        <w:gridCol w:w="3156"/>
      </w:tblGrid>
      <w:tr w14:paraId="666C5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550" w:type="dxa"/>
            <w:vAlign w:val="center"/>
          </w:tcPr>
          <w:p w14:paraId="4A8261B3">
            <w:pPr>
              <w:pStyle w:val="11"/>
            </w:pPr>
            <w:r>
              <w:t>一级指标</w:t>
            </w:r>
          </w:p>
        </w:tc>
        <w:tc>
          <w:tcPr>
            <w:tcW w:w="0" w:type="auto"/>
            <w:vAlign w:val="center"/>
          </w:tcPr>
          <w:p w14:paraId="59AFF4BD">
            <w:pPr>
              <w:pStyle w:val="11"/>
            </w:pPr>
            <w:r>
              <w:t>二级指标</w:t>
            </w:r>
          </w:p>
        </w:tc>
        <w:tc>
          <w:tcPr>
            <w:tcW w:w="0" w:type="auto"/>
            <w:vAlign w:val="center"/>
          </w:tcPr>
          <w:p w14:paraId="2F9395F4">
            <w:pPr>
              <w:pStyle w:val="11"/>
            </w:pPr>
            <w:r>
              <w:t>三级指标</w:t>
            </w:r>
          </w:p>
        </w:tc>
        <w:tc>
          <w:tcPr>
            <w:tcW w:w="0" w:type="auto"/>
            <w:vAlign w:val="center"/>
          </w:tcPr>
          <w:p w14:paraId="24433117">
            <w:pPr>
              <w:pStyle w:val="11"/>
            </w:pPr>
            <w:r>
              <w:t>绩效指标描述</w:t>
            </w:r>
          </w:p>
        </w:tc>
        <w:tc>
          <w:tcPr>
            <w:tcW w:w="0" w:type="auto"/>
            <w:vAlign w:val="center"/>
          </w:tcPr>
          <w:p w14:paraId="139FDCD3">
            <w:pPr>
              <w:pStyle w:val="11"/>
            </w:pPr>
            <w:r>
              <w:t>指标值</w:t>
            </w:r>
          </w:p>
        </w:tc>
        <w:tc>
          <w:tcPr>
            <w:tcW w:w="0" w:type="auto"/>
            <w:vAlign w:val="center"/>
          </w:tcPr>
          <w:p w14:paraId="204A8806">
            <w:pPr>
              <w:pStyle w:val="11"/>
            </w:pPr>
            <w:r>
              <w:t>指标值确定依据</w:t>
            </w:r>
          </w:p>
        </w:tc>
      </w:tr>
      <w:tr w14:paraId="3852E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0" w:type="dxa"/>
            <w:vMerge w:val="restart"/>
            <w:vAlign w:val="center"/>
          </w:tcPr>
          <w:p w14:paraId="3ECFBDB3">
            <w:pPr>
              <w:pStyle w:val="12"/>
            </w:pPr>
            <w:r>
              <w:t>产出指标</w:t>
            </w:r>
          </w:p>
        </w:tc>
        <w:tc>
          <w:tcPr>
            <w:tcW w:w="0" w:type="auto"/>
            <w:vAlign w:val="center"/>
          </w:tcPr>
          <w:p w14:paraId="069B06DB">
            <w:pPr>
              <w:pStyle w:val="13"/>
            </w:pPr>
            <w:r>
              <w:t>数量指标</w:t>
            </w:r>
          </w:p>
        </w:tc>
        <w:tc>
          <w:tcPr>
            <w:tcW w:w="0" w:type="auto"/>
            <w:vAlign w:val="center"/>
          </w:tcPr>
          <w:p w14:paraId="775AD030">
            <w:pPr>
              <w:pStyle w:val="13"/>
            </w:pPr>
            <w:r>
              <w:t>操场改造</w:t>
            </w:r>
          </w:p>
        </w:tc>
        <w:tc>
          <w:tcPr>
            <w:tcW w:w="0" w:type="auto"/>
            <w:vAlign w:val="center"/>
          </w:tcPr>
          <w:p w14:paraId="37E6F45B">
            <w:pPr>
              <w:pStyle w:val="13"/>
            </w:pPr>
            <w:r>
              <w:t>塑胶操场改造</w:t>
            </w:r>
          </w:p>
        </w:tc>
        <w:tc>
          <w:tcPr>
            <w:tcW w:w="0" w:type="auto"/>
            <w:vAlign w:val="center"/>
          </w:tcPr>
          <w:p w14:paraId="5AA3A7B8">
            <w:pPr>
              <w:pStyle w:val="13"/>
            </w:pPr>
            <w:r>
              <w:t>7000平米</w:t>
            </w:r>
          </w:p>
        </w:tc>
        <w:tc>
          <w:tcPr>
            <w:tcW w:w="0" w:type="auto"/>
            <w:vAlign w:val="center"/>
          </w:tcPr>
          <w:p w14:paraId="769F8370">
            <w:pPr>
              <w:pStyle w:val="13"/>
            </w:pPr>
            <w:r>
              <w:t>城乡义务教育公用经费管理办法</w:t>
            </w:r>
          </w:p>
        </w:tc>
      </w:tr>
      <w:tr w14:paraId="1AD6F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0" w:type="dxa"/>
            <w:vMerge w:val="continue"/>
            <w:vAlign w:val="center"/>
          </w:tcPr>
          <w:p w14:paraId="2278D8F5"/>
        </w:tc>
        <w:tc>
          <w:tcPr>
            <w:tcW w:w="0" w:type="auto"/>
            <w:vAlign w:val="center"/>
          </w:tcPr>
          <w:p w14:paraId="0AA6827B">
            <w:pPr>
              <w:pStyle w:val="13"/>
            </w:pPr>
            <w:r>
              <w:t>质量指标</w:t>
            </w:r>
          </w:p>
        </w:tc>
        <w:tc>
          <w:tcPr>
            <w:tcW w:w="0" w:type="auto"/>
            <w:vAlign w:val="center"/>
          </w:tcPr>
          <w:p w14:paraId="349828D8">
            <w:pPr>
              <w:pStyle w:val="13"/>
            </w:pPr>
            <w:r>
              <w:t>资金支付率</w:t>
            </w:r>
          </w:p>
        </w:tc>
        <w:tc>
          <w:tcPr>
            <w:tcW w:w="0" w:type="auto"/>
            <w:vAlign w:val="center"/>
          </w:tcPr>
          <w:p w14:paraId="3527C345">
            <w:pPr>
              <w:pStyle w:val="13"/>
            </w:pPr>
            <w:r>
              <w:t>按照序时进度完成资金支付</w:t>
            </w:r>
          </w:p>
        </w:tc>
        <w:tc>
          <w:tcPr>
            <w:tcW w:w="0" w:type="auto"/>
            <w:vAlign w:val="center"/>
          </w:tcPr>
          <w:p w14:paraId="17F7D621">
            <w:pPr>
              <w:pStyle w:val="13"/>
            </w:pPr>
            <w:r>
              <w:t>≥100%</w:t>
            </w:r>
          </w:p>
        </w:tc>
        <w:tc>
          <w:tcPr>
            <w:tcW w:w="0" w:type="auto"/>
            <w:vAlign w:val="center"/>
          </w:tcPr>
          <w:p w14:paraId="6578C4D7">
            <w:pPr>
              <w:pStyle w:val="13"/>
            </w:pPr>
            <w:r>
              <w:t>城乡义务教育公用经费管理办法</w:t>
            </w:r>
          </w:p>
        </w:tc>
      </w:tr>
      <w:tr w14:paraId="671A1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0" w:type="dxa"/>
            <w:vMerge w:val="continue"/>
            <w:vAlign w:val="center"/>
          </w:tcPr>
          <w:p w14:paraId="4BCFC51F"/>
        </w:tc>
        <w:tc>
          <w:tcPr>
            <w:tcW w:w="0" w:type="auto"/>
            <w:vAlign w:val="center"/>
          </w:tcPr>
          <w:p w14:paraId="5E1C365D">
            <w:pPr>
              <w:pStyle w:val="13"/>
            </w:pPr>
            <w:r>
              <w:t>时效指标</w:t>
            </w:r>
          </w:p>
        </w:tc>
        <w:tc>
          <w:tcPr>
            <w:tcW w:w="0" w:type="auto"/>
            <w:vAlign w:val="center"/>
          </w:tcPr>
          <w:p w14:paraId="3458B6FE">
            <w:pPr>
              <w:pStyle w:val="13"/>
            </w:pPr>
            <w:r>
              <w:t>项目竣工验收合格率</w:t>
            </w:r>
          </w:p>
        </w:tc>
        <w:tc>
          <w:tcPr>
            <w:tcW w:w="0" w:type="auto"/>
            <w:vAlign w:val="center"/>
          </w:tcPr>
          <w:p w14:paraId="616766C3">
            <w:pPr>
              <w:pStyle w:val="13"/>
            </w:pPr>
            <w:r>
              <w:t>项目改造质量达标率</w:t>
            </w:r>
          </w:p>
        </w:tc>
        <w:tc>
          <w:tcPr>
            <w:tcW w:w="0" w:type="auto"/>
            <w:vAlign w:val="center"/>
          </w:tcPr>
          <w:p w14:paraId="1B6FCB89">
            <w:pPr>
              <w:pStyle w:val="13"/>
            </w:pPr>
            <w:r>
              <w:t>≥100%</w:t>
            </w:r>
          </w:p>
        </w:tc>
        <w:tc>
          <w:tcPr>
            <w:tcW w:w="0" w:type="auto"/>
            <w:vAlign w:val="center"/>
          </w:tcPr>
          <w:p w14:paraId="171BFFD1">
            <w:pPr>
              <w:pStyle w:val="13"/>
            </w:pPr>
            <w:r>
              <w:t>城乡义务教育公用经费管理办法</w:t>
            </w:r>
          </w:p>
        </w:tc>
      </w:tr>
      <w:tr w14:paraId="4DF97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0" w:type="dxa"/>
            <w:vMerge w:val="continue"/>
            <w:vAlign w:val="center"/>
          </w:tcPr>
          <w:p w14:paraId="44887B62"/>
        </w:tc>
        <w:tc>
          <w:tcPr>
            <w:tcW w:w="0" w:type="auto"/>
            <w:vAlign w:val="center"/>
          </w:tcPr>
          <w:p w14:paraId="02D32273">
            <w:pPr>
              <w:pStyle w:val="13"/>
            </w:pPr>
            <w:r>
              <w:t>成本指标</w:t>
            </w:r>
          </w:p>
        </w:tc>
        <w:tc>
          <w:tcPr>
            <w:tcW w:w="0" w:type="auto"/>
            <w:vAlign w:val="center"/>
          </w:tcPr>
          <w:p w14:paraId="685B936E">
            <w:pPr>
              <w:pStyle w:val="13"/>
            </w:pPr>
            <w:r>
              <w:t>项目实际成本</w:t>
            </w:r>
          </w:p>
        </w:tc>
        <w:tc>
          <w:tcPr>
            <w:tcW w:w="0" w:type="auto"/>
            <w:vAlign w:val="center"/>
          </w:tcPr>
          <w:p w14:paraId="136C14D4">
            <w:pPr>
              <w:pStyle w:val="13"/>
            </w:pPr>
            <w:r>
              <w:t>塑胶操场改造维修104万元</w:t>
            </w:r>
          </w:p>
        </w:tc>
        <w:tc>
          <w:tcPr>
            <w:tcW w:w="0" w:type="auto"/>
            <w:vAlign w:val="center"/>
          </w:tcPr>
          <w:p w14:paraId="0D5DBCBB">
            <w:pPr>
              <w:pStyle w:val="13"/>
            </w:pPr>
            <w:r>
              <w:t>668515.97元</w:t>
            </w:r>
          </w:p>
        </w:tc>
        <w:tc>
          <w:tcPr>
            <w:tcW w:w="0" w:type="auto"/>
            <w:vAlign w:val="center"/>
          </w:tcPr>
          <w:p w14:paraId="1D4AEB1A">
            <w:pPr>
              <w:pStyle w:val="13"/>
            </w:pPr>
            <w:r>
              <w:t>城乡义务教育公用经费管理办法</w:t>
            </w:r>
          </w:p>
        </w:tc>
      </w:tr>
      <w:tr w14:paraId="54944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0" w:type="dxa"/>
            <w:vMerge w:val="restart"/>
            <w:vAlign w:val="center"/>
          </w:tcPr>
          <w:p w14:paraId="6419C1AC">
            <w:pPr>
              <w:pStyle w:val="12"/>
            </w:pPr>
            <w:r>
              <w:t>效益指标</w:t>
            </w:r>
          </w:p>
        </w:tc>
        <w:tc>
          <w:tcPr>
            <w:tcW w:w="0" w:type="auto"/>
            <w:vAlign w:val="center"/>
          </w:tcPr>
          <w:p w14:paraId="26C1CD17">
            <w:pPr>
              <w:pStyle w:val="13"/>
            </w:pPr>
            <w:r>
              <w:t>经济效益指标</w:t>
            </w:r>
          </w:p>
        </w:tc>
        <w:tc>
          <w:tcPr>
            <w:tcW w:w="0" w:type="auto"/>
            <w:vAlign w:val="center"/>
          </w:tcPr>
          <w:p w14:paraId="56C7E26E">
            <w:pPr>
              <w:pStyle w:val="13"/>
            </w:pPr>
            <w:r>
              <w:t>教育发展水平</w:t>
            </w:r>
          </w:p>
        </w:tc>
        <w:tc>
          <w:tcPr>
            <w:tcW w:w="0" w:type="auto"/>
            <w:vAlign w:val="center"/>
          </w:tcPr>
          <w:p w14:paraId="5613C21B">
            <w:pPr>
              <w:pStyle w:val="13"/>
            </w:pPr>
            <w:r>
              <w:t>辖区内教育环境明显好转</w:t>
            </w:r>
          </w:p>
        </w:tc>
        <w:tc>
          <w:tcPr>
            <w:tcW w:w="0" w:type="auto"/>
            <w:vAlign w:val="center"/>
          </w:tcPr>
          <w:p w14:paraId="7D0C3DDD">
            <w:pPr>
              <w:pStyle w:val="13"/>
            </w:pPr>
            <w:r>
              <w:t>≥95%</w:t>
            </w:r>
          </w:p>
        </w:tc>
        <w:tc>
          <w:tcPr>
            <w:tcW w:w="0" w:type="auto"/>
            <w:vAlign w:val="center"/>
          </w:tcPr>
          <w:p w14:paraId="153CC722">
            <w:pPr>
              <w:pStyle w:val="13"/>
            </w:pPr>
            <w:r>
              <w:t>城乡义务教育公用经费管理办法</w:t>
            </w:r>
          </w:p>
        </w:tc>
      </w:tr>
      <w:tr w14:paraId="56F27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0" w:type="dxa"/>
            <w:vMerge w:val="continue"/>
            <w:vAlign w:val="center"/>
          </w:tcPr>
          <w:p w14:paraId="2AD66882"/>
        </w:tc>
        <w:tc>
          <w:tcPr>
            <w:tcW w:w="0" w:type="auto"/>
            <w:vAlign w:val="center"/>
          </w:tcPr>
          <w:p w14:paraId="744882EF">
            <w:pPr>
              <w:pStyle w:val="13"/>
            </w:pPr>
            <w:r>
              <w:t>社会效益指标</w:t>
            </w:r>
          </w:p>
        </w:tc>
        <w:tc>
          <w:tcPr>
            <w:tcW w:w="0" w:type="auto"/>
            <w:vAlign w:val="center"/>
          </w:tcPr>
          <w:p w14:paraId="52D3FD56">
            <w:pPr>
              <w:pStyle w:val="13"/>
            </w:pPr>
            <w:r>
              <w:t>校园环境</w:t>
            </w:r>
          </w:p>
        </w:tc>
        <w:tc>
          <w:tcPr>
            <w:tcW w:w="0" w:type="auto"/>
            <w:vAlign w:val="center"/>
          </w:tcPr>
          <w:p w14:paraId="7B65C642">
            <w:pPr>
              <w:pStyle w:val="13"/>
            </w:pPr>
            <w:r>
              <w:t>办学条件和环境得到改善</w:t>
            </w:r>
          </w:p>
        </w:tc>
        <w:tc>
          <w:tcPr>
            <w:tcW w:w="0" w:type="auto"/>
            <w:vAlign w:val="center"/>
          </w:tcPr>
          <w:p w14:paraId="73A8F2FF">
            <w:pPr>
              <w:pStyle w:val="13"/>
            </w:pPr>
            <w:r>
              <w:t>≥95%</w:t>
            </w:r>
          </w:p>
        </w:tc>
        <w:tc>
          <w:tcPr>
            <w:tcW w:w="0" w:type="auto"/>
            <w:vAlign w:val="center"/>
          </w:tcPr>
          <w:p w14:paraId="00E7C59E">
            <w:pPr>
              <w:pStyle w:val="13"/>
            </w:pPr>
            <w:r>
              <w:t>城乡义务教育公用经费管理办法</w:t>
            </w:r>
          </w:p>
        </w:tc>
      </w:tr>
      <w:tr w14:paraId="02DD1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0" w:type="dxa"/>
            <w:vAlign w:val="center"/>
          </w:tcPr>
          <w:p w14:paraId="55336B54">
            <w:pPr>
              <w:pStyle w:val="12"/>
            </w:pPr>
            <w:r>
              <w:t>满意度指标</w:t>
            </w:r>
          </w:p>
        </w:tc>
        <w:tc>
          <w:tcPr>
            <w:tcW w:w="0" w:type="auto"/>
            <w:vAlign w:val="center"/>
          </w:tcPr>
          <w:p w14:paraId="5257D078">
            <w:pPr>
              <w:pStyle w:val="13"/>
            </w:pPr>
            <w:r>
              <w:t>服务对象满意度指标</w:t>
            </w:r>
          </w:p>
        </w:tc>
        <w:tc>
          <w:tcPr>
            <w:tcW w:w="0" w:type="auto"/>
            <w:vAlign w:val="center"/>
          </w:tcPr>
          <w:p w14:paraId="32A6F6BE">
            <w:pPr>
              <w:pStyle w:val="13"/>
            </w:pPr>
            <w:r>
              <w:t>受益学生家长及调查满意度</w:t>
            </w:r>
          </w:p>
        </w:tc>
        <w:tc>
          <w:tcPr>
            <w:tcW w:w="0" w:type="auto"/>
            <w:vAlign w:val="center"/>
          </w:tcPr>
          <w:p w14:paraId="6133CB32">
            <w:pPr>
              <w:pStyle w:val="13"/>
            </w:pPr>
            <w:r>
              <w:t>学生、教师及家长对学校工作满意度情况</w:t>
            </w:r>
          </w:p>
        </w:tc>
        <w:tc>
          <w:tcPr>
            <w:tcW w:w="0" w:type="auto"/>
            <w:vAlign w:val="center"/>
          </w:tcPr>
          <w:p w14:paraId="0F280BA0">
            <w:pPr>
              <w:pStyle w:val="13"/>
            </w:pPr>
            <w:r>
              <w:t>≥95%</w:t>
            </w:r>
          </w:p>
        </w:tc>
        <w:tc>
          <w:tcPr>
            <w:tcW w:w="0" w:type="auto"/>
            <w:vAlign w:val="center"/>
          </w:tcPr>
          <w:p w14:paraId="43C5F15E">
            <w:pPr>
              <w:pStyle w:val="13"/>
            </w:pPr>
            <w:r>
              <w:t>城乡义务教育公用经费管理办法</w:t>
            </w:r>
          </w:p>
        </w:tc>
      </w:tr>
    </w:tbl>
    <w:p w14:paraId="390CF398">
      <w:pPr>
        <w:sectPr>
          <w:pgSz w:w="16840" w:h="11900" w:orient="landscape"/>
          <w:pgMar w:top="1361" w:right="1020" w:bottom="1134" w:left="1020" w:header="720" w:footer="720" w:gutter="0"/>
          <w:cols w:space="720" w:num="1"/>
        </w:sectPr>
      </w:pPr>
    </w:p>
    <w:p w14:paraId="54FB6C1B">
      <w:pPr>
        <w:spacing w:before="0" w:after="0"/>
        <w:ind w:firstLine="560"/>
        <w:jc w:val="left"/>
        <w:outlineLvl w:val="9"/>
      </w:pPr>
      <w:r>
        <w:rPr>
          <w:rFonts w:ascii="方正仿宋_GBK" w:hAnsi="方正仿宋_GBK" w:eastAsia="方正仿宋_GBK" w:cs="方正仿宋_GBK"/>
          <w:b/>
          <w:color w:val="000000"/>
          <w:sz w:val="28"/>
        </w:rPr>
        <w:t>21、上年盘活/冀财教[2023]154号/中央/义教经费/校舍安全保障/牛家桥校区开河小学教学楼维修改造绩效目标表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49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84E05">
            <w:pPr>
              <w:pStyle w:val="14"/>
            </w:pPr>
            <w:r>
              <w:t>单位：万元</w:t>
            </w:r>
          </w:p>
        </w:tc>
      </w:tr>
      <w:tr w14:paraId="4B488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5C5C8">
            <w:pPr>
              <w:pStyle w:val="11"/>
            </w:pPr>
            <w:r>
              <w:t>项目编码</w:t>
            </w:r>
          </w:p>
        </w:tc>
        <w:tc>
          <w:tcPr>
            <w:tcW w:w="5103" w:type="dxa"/>
            <w:gridSpan w:val="2"/>
            <w:vAlign w:val="center"/>
          </w:tcPr>
          <w:p w14:paraId="07E129B7">
            <w:pPr>
              <w:pStyle w:val="13"/>
            </w:pPr>
            <w:r>
              <w:t>13052525P00875610159F</w:t>
            </w:r>
          </w:p>
        </w:tc>
        <w:tc>
          <w:tcPr>
            <w:tcW w:w="2835" w:type="dxa"/>
            <w:vAlign w:val="center"/>
          </w:tcPr>
          <w:p w14:paraId="3566D671">
            <w:pPr>
              <w:pStyle w:val="11"/>
            </w:pPr>
            <w:r>
              <w:t>项目名称</w:t>
            </w:r>
          </w:p>
        </w:tc>
        <w:tc>
          <w:tcPr>
            <w:tcW w:w="6095" w:type="dxa"/>
            <w:gridSpan w:val="3"/>
            <w:vAlign w:val="center"/>
          </w:tcPr>
          <w:p w14:paraId="6E7E9C31">
            <w:pPr>
              <w:pStyle w:val="13"/>
            </w:pPr>
            <w:r>
              <w:t>上年盘活/冀财教[2023]154号/中央/义教经费/校舍安全保障/牛家桥校区开河小学教学楼维修改造</w:t>
            </w:r>
          </w:p>
        </w:tc>
      </w:tr>
      <w:tr w14:paraId="43DFD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0A920">
            <w:pPr>
              <w:pStyle w:val="11"/>
            </w:pPr>
            <w:r>
              <w:t>预算规模及资金用途</w:t>
            </w:r>
          </w:p>
        </w:tc>
        <w:tc>
          <w:tcPr>
            <w:tcW w:w="2268" w:type="dxa"/>
            <w:vAlign w:val="center"/>
          </w:tcPr>
          <w:p w14:paraId="049D778B">
            <w:pPr>
              <w:pStyle w:val="11"/>
            </w:pPr>
            <w:r>
              <w:t>预算数</w:t>
            </w:r>
          </w:p>
        </w:tc>
        <w:tc>
          <w:tcPr>
            <w:tcW w:w="2835" w:type="dxa"/>
            <w:vAlign w:val="center"/>
          </w:tcPr>
          <w:p w14:paraId="24F4D47A">
            <w:pPr>
              <w:pStyle w:val="13"/>
            </w:pPr>
            <w:r>
              <w:t>31.71</w:t>
            </w:r>
          </w:p>
        </w:tc>
        <w:tc>
          <w:tcPr>
            <w:tcW w:w="2835" w:type="dxa"/>
            <w:vAlign w:val="center"/>
          </w:tcPr>
          <w:p w14:paraId="0681A617">
            <w:pPr>
              <w:pStyle w:val="11"/>
            </w:pPr>
            <w:r>
              <w:t>其中：财政    资金</w:t>
            </w:r>
          </w:p>
        </w:tc>
        <w:tc>
          <w:tcPr>
            <w:tcW w:w="2551" w:type="dxa"/>
            <w:vAlign w:val="center"/>
          </w:tcPr>
          <w:p w14:paraId="3A485A68">
            <w:pPr>
              <w:pStyle w:val="13"/>
            </w:pPr>
            <w:r>
              <w:t>31.71</w:t>
            </w:r>
          </w:p>
        </w:tc>
        <w:tc>
          <w:tcPr>
            <w:tcW w:w="2268" w:type="dxa"/>
            <w:vAlign w:val="center"/>
          </w:tcPr>
          <w:p w14:paraId="4B3486DC">
            <w:pPr>
              <w:pStyle w:val="11"/>
            </w:pPr>
            <w:r>
              <w:t>其他资金</w:t>
            </w:r>
          </w:p>
        </w:tc>
        <w:tc>
          <w:tcPr>
            <w:tcW w:w="1276" w:type="dxa"/>
            <w:vAlign w:val="center"/>
          </w:tcPr>
          <w:p w14:paraId="37B13E92">
            <w:pPr>
              <w:pStyle w:val="13"/>
            </w:pPr>
            <w:r>
              <w:t xml:space="preserve"> </w:t>
            </w:r>
          </w:p>
        </w:tc>
      </w:tr>
      <w:tr w14:paraId="56EDD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EFAB84"/>
        </w:tc>
        <w:tc>
          <w:tcPr>
            <w:tcW w:w="14033" w:type="dxa"/>
            <w:gridSpan w:val="6"/>
            <w:vAlign w:val="center"/>
          </w:tcPr>
          <w:p w14:paraId="51C6D71A">
            <w:pPr>
              <w:pStyle w:val="13"/>
            </w:pPr>
            <w:r>
              <w:t>完成开河小学教学楼维修，满足学校正常教学需要。</w:t>
            </w:r>
            <w:r>
              <w:tab/>
            </w:r>
            <w:r>
              <w:tab/>
            </w:r>
          </w:p>
        </w:tc>
      </w:tr>
      <w:tr w14:paraId="73902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BF628">
            <w:pPr>
              <w:pStyle w:val="11"/>
            </w:pPr>
            <w:r>
              <w:t>资金支出计划（%）</w:t>
            </w:r>
          </w:p>
        </w:tc>
        <w:tc>
          <w:tcPr>
            <w:tcW w:w="5103" w:type="dxa"/>
            <w:gridSpan w:val="2"/>
            <w:vAlign w:val="center"/>
          </w:tcPr>
          <w:p w14:paraId="4D93E98C">
            <w:pPr>
              <w:pStyle w:val="11"/>
            </w:pPr>
            <w:r>
              <w:t>3月底</w:t>
            </w:r>
          </w:p>
        </w:tc>
        <w:tc>
          <w:tcPr>
            <w:tcW w:w="2835" w:type="dxa"/>
            <w:vAlign w:val="center"/>
          </w:tcPr>
          <w:p w14:paraId="6E6B1153">
            <w:pPr>
              <w:pStyle w:val="11"/>
            </w:pPr>
            <w:r>
              <w:t>6月底</w:t>
            </w:r>
          </w:p>
        </w:tc>
        <w:tc>
          <w:tcPr>
            <w:tcW w:w="2551" w:type="dxa"/>
            <w:vAlign w:val="center"/>
          </w:tcPr>
          <w:p w14:paraId="34BE2BA0">
            <w:pPr>
              <w:pStyle w:val="11"/>
            </w:pPr>
            <w:r>
              <w:t>10月底</w:t>
            </w:r>
          </w:p>
        </w:tc>
        <w:tc>
          <w:tcPr>
            <w:tcW w:w="3544" w:type="dxa"/>
            <w:gridSpan w:val="2"/>
            <w:vAlign w:val="center"/>
          </w:tcPr>
          <w:p w14:paraId="755C9DE4">
            <w:pPr>
              <w:pStyle w:val="11"/>
            </w:pPr>
            <w:r>
              <w:t>12月底</w:t>
            </w:r>
          </w:p>
        </w:tc>
      </w:tr>
      <w:tr w14:paraId="3F9FB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B80374"/>
        </w:tc>
        <w:tc>
          <w:tcPr>
            <w:tcW w:w="5103" w:type="dxa"/>
            <w:gridSpan w:val="2"/>
            <w:vAlign w:val="center"/>
          </w:tcPr>
          <w:p w14:paraId="0577B183">
            <w:pPr>
              <w:pStyle w:val="12"/>
            </w:pPr>
            <w:r>
              <w:t>25%</w:t>
            </w:r>
          </w:p>
        </w:tc>
        <w:tc>
          <w:tcPr>
            <w:tcW w:w="2835" w:type="dxa"/>
            <w:vAlign w:val="center"/>
          </w:tcPr>
          <w:p w14:paraId="00C602F5">
            <w:pPr>
              <w:pStyle w:val="12"/>
            </w:pPr>
            <w:r>
              <w:t>50%</w:t>
            </w:r>
          </w:p>
        </w:tc>
        <w:tc>
          <w:tcPr>
            <w:tcW w:w="2551" w:type="dxa"/>
            <w:vAlign w:val="center"/>
          </w:tcPr>
          <w:p w14:paraId="0624EA23">
            <w:pPr>
              <w:pStyle w:val="12"/>
            </w:pPr>
            <w:r>
              <w:t>75%</w:t>
            </w:r>
          </w:p>
        </w:tc>
        <w:tc>
          <w:tcPr>
            <w:tcW w:w="3544" w:type="dxa"/>
            <w:gridSpan w:val="2"/>
            <w:vAlign w:val="center"/>
          </w:tcPr>
          <w:p w14:paraId="6DF38666">
            <w:pPr>
              <w:pStyle w:val="12"/>
            </w:pPr>
            <w:r>
              <w:t>100%</w:t>
            </w:r>
          </w:p>
        </w:tc>
      </w:tr>
      <w:tr w14:paraId="0C51EB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9D05F">
            <w:pPr>
              <w:pStyle w:val="11"/>
            </w:pPr>
            <w:r>
              <w:t>绩效目标</w:t>
            </w:r>
          </w:p>
        </w:tc>
        <w:tc>
          <w:tcPr>
            <w:tcW w:w="14033" w:type="dxa"/>
            <w:gridSpan w:val="6"/>
            <w:vAlign w:val="center"/>
          </w:tcPr>
          <w:p w14:paraId="45DCA6B2">
            <w:pPr>
              <w:pStyle w:val="13"/>
            </w:pPr>
            <w:r>
              <w:t>1.按规定拨付专项资金，资金支付率达到100%。</w:t>
            </w:r>
            <w:r>
              <w:tab/>
            </w:r>
            <w:r>
              <w:tab/>
            </w:r>
            <w:r>
              <w:tab/>
            </w:r>
          </w:p>
          <w:p w14:paraId="6BF3F8C0">
            <w:pPr>
              <w:pStyle w:val="13"/>
            </w:pPr>
            <w:r>
              <w:t>2.完成开河小学教学楼维修，满足学校正常教学需要。</w:t>
            </w:r>
            <w:r>
              <w:tab/>
            </w:r>
            <w:r>
              <w:tab/>
            </w:r>
            <w:r>
              <w:tab/>
            </w:r>
          </w:p>
        </w:tc>
      </w:tr>
    </w:tbl>
    <w:p w14:paraId="6137E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93"/>
        <w:gridCol w:w="2051"/>
      </w:tblGrid>
      <w:tr w14:paraId="29F74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A14CE">
            <w:pPr>
              <w:pStyle w:val="11"/>
            </w:pPr>
            <w:r>
              <w:t>一级指标</w:t>
            </w:r>
          </w:p>
        </w:tc>
        <w:tc>
          <w:tcPr>
            <w:tcW w:w="2268" w:type="dxa"/>
            <w:vAlign w:val="center"/>
          </w:tcPr>
          <w:p w14:paraId="181D7C27">
            <w:pPr>
              <w:pStyle w:val="11"/>
            </w:pPr>
            <w:r>
              <w:t>二级指标</w:t>
            </w:r>
          </w:p>
        </w:tc>
        <w:tc>
          <w:tcPr>
            <w:tcW w:w="2835" w:type="dxa"/>
            <w:vAlign w:val="center"/>
          </w:tcPr>
          <w:p w14:paraId="09BDAB37">
            <w:pPr>
              <w:pStyle w:val="11"/>
            </w:pPr>
            <w:r>
              <w:t>三级指标</w:t>
            </w:r>
          </w:p>
        </w:tc>
        <w:tc>
          <w:tcPr>
            <w:tcW w:w="5386" w:type="dxa"/>
            <w:vAlign w:val="center"/>
          </w:tcPr>
          <w:p w14:paraId="480C3994">
            <w:pPr>
              <w:pStyle w:val="11"/>
            </w:pPr>
            <w:r>
              <w:t>绩效指标描述</w:t>
            </w:r>
          </w:p>
        </w:tc>
        <w:tc>
          <w:tcPr>
            <w:tcW w:w="1493" w:type="dxa"/>
            <w:vAlign w:val="center"/>
          </w:tcPr>
          <w:p w14:paraId="6720B722">
            <w:pPr>
              <w:pStyle w:val="11"/>
            </w:pPr>
            <w:r>
              <w:t>指标值</w:t>
            </w:r>
          </w:p>
        </w:tc>
        <w:tc>
          <w:tcPr>
            <w:tcW w:w="2051" w:type="dxa"/>
            <w:vAlign w:val="center"/>
          </w:tcPr>
          <w:p w14:paraId="2DB25713">
            <w:pPr>
              <w:pStyle w:val="11"/>
            </w:pPr>
            <w:r>
              <w:t>指标值确定依据</w:t>
            </w:r>
          </w:p>
        </w:tc>
      </w:tr>
      <w:tr w14:paraId="5D1A9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5E39A">
            <w:pPr>
              <w:pStyle w:val="12"/>
            </w:pPr>
            <w:r>
              <w:t>产出指标</w:t>
            </w:r>
          </w:p>
        </w:tc>
        <w:tc>
          <w:tcPr>
            <w:tcW w:w="2268" w:type="dxa"/>
            <w:vAlign w:val="center"/>
          </w:tcPr>
          <w:p w14:paraId="376D77DB">
            <w:pPr>
              <w:pStyle w:val="13"/>
            </w:pPr>
            <w:r>
              <w:t>数量指标</w:t>
            </w:r>
          </w:p>
        </w:tc>
        <w:tc>
          <w:tcPr>
            <w:tcW w:w="2835" w:type="dxa"/>
            <w:vAlign w:val="center"/>
          </w:tcPr>
          <w:p w14:paraId="6DECE490">
            <w:pPr>
              <w:pStyle w:val="13"/>
            </w:pPr>
            <w:r>
              <w:t>教学楼维修</w:t>
            </w:r>
          </w:p>
        </w:tc>
        <w:tc>
          <w:tcPr>
            <w:tcW w:w="5386" w:type="dxa"/>
            <w:vAlign w:val="center"/>
          </w:tcPr>
          <w:p w14:paraId="3412381B">
            <w:pPr>
              <w:pStyle w:val="13"/>
            </w:pPr>
            <w:r>
              <w:t>教学楼外墙、内墙维修</w:t>
            </w:r>
          </w:p>
        </w:tc>
        <w:tc>
          <w:tcPr>
            <w:tcW w:w="1493" w:type="dxa"/>
            <w:vAlign w:val="center"/>
          </w:tcPr>
          <w:p w14:paraId="28216B08">
            <w:pPr>
              <w:pStyle w:val="13"/>
            </w:pPr>
            <w:r>
              <w:t>850平米</w:t>
            </w:r>
          </w:p>
        </w:tc>
        <w:tc>
          <w:tcPr>
            <w:tcW w:w="2051" w:type="dxa"/>
            <w:vAlign w:val="center"/>
          </w:tcPr>
          <w:p w14:paraId="65176D40">
            <w:pPr>
              <w:pStyle w:val="13"/>
            </w:pPr>
            <w:r>
              <w:t>城乡义务教育公用经费管理办法</w:t>
            </w:r>
          </w:p>
        </w:tc>
      </w:tr>
      <w:tr w14:paraId="01C2F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42E11"/>
        </w:tc>
        <w:tc>
          <w:tcPr>
            <w:tcW w:w="2268" w:type="dxa"/>
            <w:vAlign w:val="center"/>
          </w:tcPr>
          <w:p w14:paraId="23DA9365">
            <w:pPr>
              <w:pStyle w:val="13"/>
            </w:pPr>
            <w:r>
              <w:t>质量指标</w:t>
            </w:r>
          </w:p>
        </w:tc>
        <w:tc>
          <w:tcPr>
            <w:tcW w:w="2835" w:type="dxa"/>
            <w:vAlign w:val="center"/>
          </w:tcPr>
          <w:p w14:paraId="30F4A610">
            <w:pPr>
              <w:pStyle w:val="13"/>
            </w:pPr>
            <w:r>
              <w:t>资金支付率</w:t>
            </w:r>
          </w:p>
        </w:tc>
        <w:tc>
          <w:tcPr>
            <w:tcW w:w="5386" w:type="dxa"/>
            <w:vAlign w:val="center"/>
          </w:tcPr>
          <w:p w14:paraId="46FCE89A">
            <w:pPr>
              <w:pStyle w:val="13"/>
            </w:pPr>
            <w:r>
              <w:t>按照序时进度完成资金支付</w:t>
            </w:r>
          </w:p>
        </w:tc>
        <w:tc>
          <w:tcPr>
            <w:tcW w:w="1493" w:type="dxa"/>
            <w:vAlign w:val="center"/>
          </w:tcPr>
          <w:p w14:paraId="700BC59B">
            <w:pPr>
              <w:pStyle w:val="13"/>
            </w:pPr>
            <w:r>
              <w:t>≥100%</w:t>
            </w:r>
          </w:p>
        </w:tc>
        <w:tc>
          <w:tcPr>
            <w:tcW w:w="2051" w:type="dxa"/>
            <w:vAlign w:val="center"/>
          </w:tcPr>
          <w:p w14:paraId="0F6B3E7C">
            <w:pPr>
              <w:pStyle w:val="13"/>
            </w:pPr>
            <w:r>
              <w:t>城乡义务教育公用经费管理办法</w:t>
            </w:r>
          </w:p>
        </w:tc>
      </w:tr>
      <w:tr w14:paraId="6D1BE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C2395"/>
        </w:tc>
        <w:tc>
          <w:tcPr>
            <w:tcW w:w="2268" w:type="dxa"/>
            <w:vAlign w:val="center"/>
          </w:tcPr>
          <w:p w14:paraId="2EC44D64">
            <w:pPr>
              <w:pStyle w:val="13"/>
            </w:pPr>
            <w:r>
              <w:t>时效指标</w:t>
            </w:r>
          </w:p>
        </w:tc>
        <w:tc>
          <w:tcPr>
            <w:tcW w:w="2835" w:type="dxa"/>
            <w:vAlign w:val="center"/>
          </w:tcPr>
          <w:p w14:paraId="25D496E1">
            <w:pPr>
              <w:pStyle w:val="13"/>
            </w:pPr>
            <w:r>
              <w:t>项目竣工验收合格率</w:t>
            </w:r>
          </w:p>
        </w:tc>
        <w:tc>
          <w:tcPr>
            <w:tcW w:w="5386" w:type="dxa"/>
            <w:vAlign w:val="center"/>
          </w:tcPr>
          <w:p w14:paraId="7DDBA07F">
            <w:pPr>
              <w:pStyle w:val="13"/>
            </w:pPr>
            <w:r>
              <w:t>项目改造质量达标率</w:t>
            </w:r>
          </w:p>
        </w:tc>
        <w:tc>
          <w:tcPr>
            <w:tcW w:w="1493" w:type="dxa"/>
            <w:vAlign w:val="center"/>
          </w:tcPr>
          <w:p w14:paraId="47B4B8AB">
            <w:pPr>
              <w:pStyle w:val="13"/>
            </w:pPr>
            <w:r>
              <w:t>≥100%</w:t>
            </w:r>
          </w:p>
        </w:tc>
        <w:tc>
          <w:tcPr>
            <w:tcW w:w="2051" w:type="dxa"/>
            <w:vAlign w:val="center"/>
          </w:tcPr>
          <w:p w14:paraId="4DD15EE0">
            <w:pPr>
              <w:pStyle w:val="13"/>
            </w:pPr>
            <w:r>
              <w:t>城乡义务教育公用经费管理办法</w:t>
            </w:r>
          </w:p>
        </w:tc>
      </w:tr>
      <w:tr w14:paraId="0DFC4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011AE"/>
        </w:tc>
        <w:tc>
          <w:tcPr>
            <w:tcW w:w="2268" w:type="dxa"/>
            <w:vAlign w:val="center"/>
          </w:tcPr>
          <w:p w14:paraId="55486425">
            <w:pPr>
              <w:pStyle w:val="13"/>
            </w:pPr>
            <w:r>
              <w:t>成本指标</w:t>
            </w:r>
          </w:p>
        </w:tc>
        <w:tc>
          <w:tcPr>
            <w:tcW w:w="2835" w:type="dxa"/>
            <w:vAlign w:val="center"/>
          </w:tcPr>
          <w:p w14:paraId="1EF6F307">
            <w:pPr>
              <w:pStyle w:val="13"/>
            </w:pPr>
            <w:r>
              <w:t>项目实际成本</w:t>
            </w:r>
          </w:p>
        </w:tc>
        <w:tc>
          <w:tcPr>
            <w:tcW w:w="5386" w:type="dxa"/>
            <w:vAlign w:val="center"/>
          </w:tcPr>
          <w:p w14:paraId="2BA2A328">
            <w:pPr>
              <w:pStyle w:val="13"/>
            </w:pPr>
            <w:r>
              <w:t>教学楼外墙、内墙维修</w:t>
            </w:r>
          </w:p>
        </w:tc>
        <w:tc>
          <w:tcPr>
            <w:tcW w:w="1493" w:type="dxa"/>
            <w:vAlign w:val="center"/>
          </w:tcPr>
          <w:p w14:paraId="60275BCD">
            <w:pPr>
              <w:pStyle w:val="13"/>
            </w:pPr>
            <w:r>
              <w:t>317125元</w:t>
            </w:r>
          </w:p>
        </w:tc>
        <w:tc>
          <w:tcPr>
            <w:tcW w:w="2051" w:type="dxa"/>
            <w:vAlign w:val="center"/>
          </w:tcPr>
          <w:p w14:paraId="658EC856">
            <w:pPr>
              <w:pStyle w:val="13"/>
            </w:pPr>
            <w:r>
              <w:t>城乡义务教育公用经费管理办法</w:t>
            </w:r>
          </w:p>
        </w:tc>
      </w:tr>
      <w:tr w14:paraId="1ACC1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0C1BD">
            <w:pPr>
              <w:pStyle w:val="12"/>
            </w:pPr>
            <w:r>
              <w:t>效益指标</w:t>
            </w:r>
          </w:p>
        </w:tc>
        <w:tc>
          <w:tcPr>
            <w:tcW w:w="2268" w:type="dxa"/>
            <w:vAlign w:val="center"/>
          </w:tcPr>
          <w:p w14:paraId="73988659">
            <w:pPr>
              <w:pStyle w:val="13"/>
            </w:pPr>
            <w:r>
              <w:t>经济效益指标</w:t>
            </w:r>
          </w:p>
        </w:tc>
        <w:tc>
          <w:tcPr>
            <w:tcW w:w="2835" w:type="dxa"/>
            <w:vAlign w:val="center"/>
          </w:tcPr>
          <w:p w14:paraId="6B35980F">
            <w:pPr>
              <w:pStyle w:val="13"/>
            </w:pPr>
            <w:r>
              <w:t>教育发展水平</w:t>
            </w:r>
          </w:p>
        </w:tc>
        <w:tc>
          <w:tcPr>
            <w:tcW w:w="5386" w:type="dxa"/>
            <w:vAlign w:val="center"/>
          </w:tcPr>
          <w:p w14:paraId="77100481">
            <w:pPr>
              <w:pStyle w:val="13"/>
            </w:pPr>
            <w:r>
              <w:t>辖区内教育环境明显好转</w:t>
            </w:r>
          </w:p>
        </w:tc>
        <w:tc>
          <w:tcPr>
            <w:tcW w:w="1493" w:type="dxa"/>
            <w:vAlign w:val="center"/>
          </w:tcPr>
          <w:p w14:paraId="3556DD91">
            <w:pPr>
              <w:pStyle w:val="13"/>
            </w:pPr>
            <w:r>
              <w:t>≥95%</w:t>
            </w:r>
          </w:p>
        </w:tc>
        <w:tc>
          <w:tcPr>
            <w:tcW w:w="2051" w:type="dxa"/>
            <w:vAlign w:val="center"/>
          </w:tcPr>
          <w:p w14:paraId="031A9BB2">
            <w:pPr>
              <w:pStyle w:val="13"/>
            </w:pPr>
            <w:r>
              <w:t>城乡义务教育公用经费管理办法</w:t>
            </w:r>
          </w:p>
        </w:tc>
      </w:tr>
      <w:tr w14:paraId="4B235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043AB834"/>
        </w:tc>
        <w:tc>
          <w:tcPr>
            <w:tcW w:w="2268" w:type="dxa"/>
            <w:vAlign w:val="center"/>
          </w:tcPr>
          <w:p w14:paraId="4D763DDD">
            <w:pPr>
              <w:pStyle w:val="13"/>
            </w:pPr>
            <w:r>
              <w:t>社会效益指标</w:t>
            </w:r>
          </w:p>
        </w:tc>
        <w:tc>
          <w:tcPr>
            <w:tcW w:w="2835" w:type="dxa"/>
            <w:vAlign w:val="center"/>
          </w:tcPr>
          <w:p w14:paraId="1ABF020F">
            <w:pPr>
              <w:pStyle w:val="13"/>
            </w:pPr>
            <w:r>
              <w:t>校园环境</w:t>
            </w:r>
          </w:p>
        </w:tc>
        <w:tc>
          <w:tcPr>
            <w:tcW w:w="5386" w:type="dxa"/>
            <w:vAlign w:val="center"/>
          </w:tcPr>
          <w:p w14:paraId="760AED6E">
            <w:pPr>
              <w:pStyle w:val="13"/>
            </w:pPr>
            <w:r>
              <w:t>办学条件和环境得到改善</w:t>
            </w:r>
          </w:p>
        </w:tc>
        <w:tc>
          <w:tcPr>
            <w:tcW w:w="1493" w:type="dxa"/>
            <w:vAlign w:val="center"/>
          </w:tcPr>
          <w:p w14:paraId="5E74160B">
            <w:pPr>
              <w:pStyle w:val="13"/>
            </w:pPr>
            <w:r>
              <w:t>≥95%</w:t>
            </w:r>
          </w:p>
        </w:tc>
        <w:tc>
          <w:tcPr>
            <w:tcW w:w="2051" w:type="dxa"/>
            <w:vAlign w:val="center"/>
          </w:tcPr>
          <w:p w14:paraId="42E37D3A">
            <w:pPr>
              <w:pStyle w:val="13"/>
            </w:pPr>
            <w:r>
              <w:t>城乡义务教育公用经费管理办法</w:t>
            </w:r>
          </w:p>
        </w:tc>
      </w:tr>
      <w:tr w14:paraId="6553F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B51796">
            <w:pPr>
              <w:pStyle w:val="12"/>
            </w:pPr>
            <w:r>
              <w:t>满意度指标</w:t>
            </w:r>
          </w:p>
        </w:tc>
        <w:tc>
          <w:tcPr>
            <w:tcW w:w="2268" w:type="dxa"/>
            <w:vAlign w:val="center"/>
          </w:tcPr>
          <w:p w14:paraId="49AD2D65">
            <w:pPr>
              <w:pStyle w:val="13"/>
            </w:pPr>
            <w:r>
              <w:t>服务对象满意度指标</w:t>
            </w:r>
          </w:p>
        </w:tc>
        <w:tc>
          <w:tcPr>
            <w:tcW w:w="2835" w:type="dxa"/>
            <w:vAlign w:val="center"/>
          </w:tcPr>
          <w:p w14:paraId="0B146EAF">
            <w:pPr>
              <w:pStyle w:val="13"/>
            </w:pPr>
            <w:r>
              <w:t>受益学生家长及调查满意度</w:t>
            </w:r>
          </w:p>
        </w:tc>
        <w:tc>
          <w:tcPr>
            <w:tcW w:w="5386" w:type="dxa"/>
            <w:vAlign w:val="center"/>
          </w:tcPr>
          <w:p w14:paraId="47E01BBC">
            <w:pPr>
              <w:pStyle w:val="13"/>
            </w:pPr>
            <w:r>
              <w:t>学生、教师及家长对学校工作满意度情况</w:t>
            </w:r>
          </w:p>
        </w:tc>
        <w:tc>
          <w:tcPr>
            <w:tcW w:w="1493" w:type="dxa"/>
            <w:vAlign w:val="center"/>
          </w:tcPr>
          <w:p w14:paraId="312AA38D">
            <w:pPr>
              <w:pStyle w:val="13"/>
            </w:pPr>
            <w:r>
              <w:t>≥95%</w:t>
            </w:r>
          </w:p>
        </w:tc>
        <w:tc>
          <w:tcPr>
            <w:tcW w:w="2051" w:type="dxa"/>
            <w:vAlign w:val="center"/>
          </w:tcPr>
          <w:p w14:paraId="23B00FCC">
            <w:pPr>
              <w:pStyle w:val="13"/>
            </w:pPr>
            <w:r>
              <w:t>城乡义务教育公用经费管理办法</w:t>
            </w:r>
          </w:p>
        </w:tc>
      </w:tr>
    </w:tbl>
    <w:p w14:paraId="08A175C0">
      <w:pPr>
        <w:sectPr>
          <w:pgSz w:w="16840" w:h="11900" w:orient="landscape"/>
          <w:pgMar w:top="1361" w:right="1020" w:bottom="1134" w:left="1020" w:header="720" w:footer="720" w:gutter="0"/>
          <w:cols w:space="720" w:num="1"/>
        </w:sectPr>
      </w:pPr>
    </w:p>
    <w:p w14:paraId="4AC80F59">
      <w:pPr>
        <w:spacing w:before="0" w:after="0"/>
        <w:ind w:firstLine="560"/>
        <w:jc w:val="left"/>
        <w:outlineLvl w:val="9"/>
      </w:pPr>
      <w:r>
        <w:rPr>
          <w:rFonts w:ascii="方正仿宋_GBK" w:hAnsi="方正仿宋_GBK" w:eastAsia="方正仿宋_GBK" w:cs="方正仿宋_GBK"/>
          <w:b/>
          <w:color w:val="000000"/>
          <w:sz w:val="28"/>
        </w:rPr>
        <w:t>22、县级配套/牛家桥校区学前教育幼儿资助绩效目标表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52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702810">
            <w:pPr>
              <w:pStyle w:val="14"/>
            </w:pPr>
            <w:r>
              <w:t>单位：万元</w:t>
            </w:r>
          </w:p>
        </w:tc>
      </w:tr>
      <w:tr w14:paraId="009CB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44C77">
            <w:pPr>
              <w:pStyle w:val="11"/>
            </w:pPr>
            <w:r>
              <w:t>项目编码</w:t>
            </w:r>
          </w:p>
        </w:tc>
        <w:tc>
          <w:tcPr>
            <w:tcW w:w="5103" w:type="dxa"/>
            <w:gridSpan w:val="2"/>
            <w:vAlign w:val="center"/>
          </w:tcPr>
          <w:p w14:paraId="2C6992EF">
            <w:pPr>
              <w:pStyle w:val="13"/>
            </w:pPr>
            <w:r>
              <w:t>13052525P00000210025E</w:t>
            </w:r>
          </w:p>
        </w:tc>
        <w:tc>
          <w:tcPr>
            <w:tcW w:w="2835" w:type="dxa"/>
            <w:vAlign w:val="center"/>
          </w:tcPr>
          <w:p w14:paraId="099D2080">
            <w:pPr>
              <w:pStyle w:val="11"/>
            </w:pPr>
            <w:r>
              <w:t>项目名称</w:t>
            </w:r>
          </w:p>
        </w:tc>
        <w:tc>
          <w:tcPr>
            <w:tcW w:w="6095" w:type="dxa"/>
            <w:gridSpan w:val="3"/>
            <w:vAlign w:val="center"/>
          </w:tcPr>
          <w:p w14:paraId="7851C856">
            <w:pPr>
              <w:pStyle w:val="13"/>
            </w:pPr>
            <w:r>
              <w:t>县级配套/牛家桥校区学前教育幼儿资助</w:t>
            </w:r>
          </w:p>
        </w:tc>
      </w:tr>
      <w:tr w14:paraId="7AC2A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8285F">
            <w:pPr>
              <w:pStyle w:val="11"/>
            </w:pPr>
            <w:r>
              <w:t>预算规模及资金用途</w:t>
            </w:r>
          </w:p>
        </w:tc>
        <w:tc>
          <w:tcPr>
            <w:tcW w:w="2268" w:type="dxa"/>
            <w:vAlign w:val="center"/>
          </w:tcPr>
          <w:p w14:paraId="23620E10">
            <w:pPr>
              <w:pStyle w:val="11"/>
            </w:pPr>
            <w:r>
              <w:t>预算数</w:t>
            </w:r>
          </w:p>
        </w:tc>
        <w:tc>
          <w:tcPr>
            <w:tcW w:w="2835" w:type="dxa"/>
            <w:vAlign w:val="center"/>
          </w:tcPr>
          <w:p w14:paraId="2B2C06A6">
            <w:pPr>
              <w:pStyle w:val="13"/>
            </w:pPr>
            <w:r>
              <w:t>0.42</w:t>
            </w:r>
          </w:p>
        </w:tc>
        <w:tc>
          <w:tcPr>
            <w:tcW w:w="2835" w:type="dxa"/>
            <w:vAlign w:val="center"/>
          </w:tcPr>
          <w:p w14:paraId="5E67EF80">
            <w:pPr>
              <w:pStyle w:val="11"/>
            </w:pPr>
            <w:r>
              <w:t>其中：财政    资金</w:t>
            </w:r>
          </w:p>
        </w:tc>
        <w:tc>
          <w:tcPr>
            <w:tcW w:w="2551" w:type="dxa"/>
            <w:vAlign w:val="center"/>
          </w:tcPr>
          <w:p w14:paraId="4D8EF792">
            <w:pPr>
              <w:pStyle w:val="13"/>
            </w:pPr>
            <w:r>
              <w:t>0.42</w:t>
            </w:r>
          </w:p>
        </w:tc>
        <w:tc>
          <w:tcPr>
            <w:tcW w:w="2268" w:type="dxa"/>
            <w:vAlign w:val="center"/>
          </w:tcPr>
          <w:p w14:paraId="340F4712">
            <w:pPr>
              <w:pStyle w:val="11"/>
            </w:pPr>
            <w:r>
              <w:t>其他资金</w:t>
            </w:r>
          </w:p>
        </w:tc>
        <w:tc>
          <w:tcPr>
            <w:tcW w:w="1276" w:type="dxa"/>
            <w:vAlign w:val="center"/>
          </w:tcPr>
          <w:p w14:paraId="4C914AA1">
            <w:pPr>
              <w:pStyle w:val="13"/>
            </w:pPr>
            <w:r>
              <w:t xml:space="preserve"> </w:t>
            </w:r>
          </w:p>
        </w:tc>
      </w:tr>
      <w:tr w14:paraId="016ED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4563B2"/>
        </w:tc>
        <w:tc>
          <w:tcPr>
            <w:tcW w:w="14033" w:type="dxa"/>
            <w:gridSpan w:val="6"/>
            <w:vAlign w:val="center"/>
          </w:tcPr>
          <w:p w14:paraId="53908CBF">
            <w:pPr>
              <w:pStyle w:val="13"/>
            </w:pPr>
            <w:r>
              <w:t>保证本年度资助经费足额落实到位，符合享受资助条件的学生应助尽助。</w:t>
            </w:r>
          </w:p>
        </w:tc>
      </w:tr>
      <w:tr w14:paraId="28105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DD40E">
            <w:pPr>
              <w:pStyle w:val="11"/>
            </w:pPr>
            <w:r>
              <w:t>资金支出计划（%）</w:t>
            </w:r>
          </w:p>
        </w:tc>
        <w:tc>
          <w:tcPr>
            <w:tcW w:w="5103" w:type="dxa"/>
            <w:gridSpan w:val="2"/>
            <w:vAlign w:val="center"/>
          </w:tcPr>
          <w:p w14:paraId="1CEC2235">
            <w:pPr>
              <w:pStyle w:val="11"/>
            </w:pPr>
            <w:r>
              <w:t>3月底</w:t>
            </w:r>
          </w:p>
        </w:tc>
        <w:tc>
          <w:tcPr>
            <w:tcW w:w="2835" w:type="dxa"/>
            <w:vAlign w:val="center"/>
          </w:tcPr>
          <w:p w14:paraId="3DFD8D9B">
            <w:pPr>
              <w:pStyle w:val="11"/>
            </w:pPr>
            <w:r>
              <w:t>6月底</w:t>
            </w:r>
          </w:p>
        </w:tc>
        <w:tc>
          <w:tcPr>
            <w:tcW w:w="2551" w:type="dxa"/>
            <w:vAlign w:val="center"/>
          </w:tcPr>
          <w:p w14:paraId="25CAC353">
            <w:pPr>
              <w:pStyle w:val="11"/>
            </w:pPr>
            <w:r>
              <w:t>10月底</w:t>
            </w:r>
          </w:p>
        </w:tc>
        <w:tc>
          <w:tcPr>
            <w:tcW w:w="3544" w:type="dxa"/>
            <w:gridSpan w:val="2"/>
            <w:vAlign w:val="center"/>
          </w:tcPr>
          <w:p w14:paraId="3FEE0716">
            <w:pPr>
              <w:pStyle w:val="11"/>
            </w:pPr>
            <w:r>
              <w:t>12月底</w:t>
            </w:r>
          </w:p>
        </w:tc>
      </w:tr>
      <w:tr w14:paraId="53171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D0DE2"/>
        </w:tc>
        <w:tc>
          <w:tcPr>
            <w:tcW w:w="5103" w:type="dxa"/>
            <w:gridSpan w:val="2"/>
            <w:vAlign w:val="center"/>
          </w:tcPr>
          <w:p w14:paraId="6866C087">
            <w:pPr>
              <w:pStyle w:val="12"/>
            </w:pPr>
            <w:r>
              <w:t>50%</w:t>
            </w:r>
          </w:p>
        </w:tc>
        <w:tc>
          <w:tcPr>
            <w:tcW w:w="2835" w:type="dxa"/>
            <w:vAlign w:val="center"/>
          </w:tcPr>
          <w:p w14:paraId="45AE8AD1">
            <w:pPr>
              <w:pStyle w:val="12"/>
            </w:pPr>
            <w:r>
              <w:t>50%</w:t>
            </w:r>
          </w:p>
        </w:tc>
        <w:tc>
          <w:tcPr>
            <w:tcW w:w="2551" w:type="dxa"/>
            <w:vAlign w:val="center"/>
          </w:tcPr>
          <w:p w14:paraId="5ED61E2F">
            <w:pPr>
              <w:pStyle w:val="12"/>
            </w:pPr>
            <w:r>
              <w:t>100%</w:t>
            </w:r>
          </w:p>
        </w:tc>
        <w:tc>
          <w:tcPr>
            <w:tcW w:w="3544" w:type="dxa"/>
            <w:gridSpan w:val="2"/>
            <w:vAlign w:val="center"/>
          </w:tcPr>
          <w:p w14:paraId="19417B2E">
            <w:pPr>
              <w:pStyle w:val="12"/>
            </w:pPr>
            <w:r>
              <w:t>100%</w:t>
            </w:r>
          </w:p>
        </w:tc>
      </w:tr>
      <w:tr w14:paraId="5AAE3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2E7C1">
            <w:pPr>
              <w:pStyle w:val="11"/>
            </w:pPr>
            <w:r>
              <w:t>绩效目标</w:t>
            </w:r>
          </w:p>
        </w:tc>
        <w:tc>
          <w:tcPr>
            <w:tcW w:w="14033" w:type="dxa"/>
            <w:gridSpan w:val="6"/>
            <w:vAlign w:val="center"/>
          </w:tcPr>
          <w:p w14:paraId="1E57D85C">
            <w:pPr>
              <w:pStyle w:val="13"/>
            </w:pPr>
            <w:r>
              <w:t>1.保证本年度资助经费足额落实到位，符合享受资助条件的学生应助尽助。</w:t>
            </w:r>
          </w:p>
          <w:p w14:paraId="07656BA8">
            <w:pPr>
              <w:pStyle w:val="13"/>
            </w:pPr>
            <w:r>
              <w:t>2.保障落实建档立卡及家庭经济困难儿童资助所需资金，确保建档立卡等家庭经济困难幼儿优先获得资助</w:t>
            </w:r>
          </w:p>
        </w:tc>
      </w:tr>
    </w:tbl>
    <w:p w14:paraId="2B8AA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0A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F3BC5">
            <w:pPr>
              <w:pStyle w:val="11"/>
            </w:pPr>
            <w:r>
              <w:t>一级指标</w:t>
            </w:r>
          </w:p>
        </w:tc>
        <w:tc>
          <w:tcPr>
            <w:tcW w:w="2268" w:type="dxa"/>
            <w:vAlign w:val="center"/>
          </w:tcPr>
          <w:p w14:paraId="442C1F58">
            <w:pPr>
              <w:pStyle w:val="11"/>
            </w:pPr>
            <w:r>
              <w:t>二级指标</w:t>
            </w:r>
          </w:p>
        </w:tc>
        <w:tc>
          <w:tcPr>
            <w:tcW w:w="2835" w:type="dxa"/>
            <w:vAlign w:val="center"/>
          </w:tcPr>
          <w:p w14:paraId="45C2AE13">
            <w:pPr>
              <w:pStyle w:val="11"/>
            </w:pPr>
            <w:r>
              <w:t>三级指标</w:t>
            </w:r>
          </w:p>
        </w:tc>
        <w:tc>
          <w:tcPr>
            <w:tcW w:w="5386" w:type="dxa"/>
            <w:vAlign w:val="center"/>
          </w:tcPr>
          <w:p w14:paraId="46EF19C8">
            <w:pPr>
              <w:pStyle w:val="11"/>
            </w:pPr>
            <w:r>
              <w:t>绩效指标描述</w:t>
            </w:r>
          </w:p>
        </w:tc>
        <w:tc>
          <w:tcPr>
            <w:tcW w:w="2268" w:type="dxa"/>
            <w:vAlign w:val="center"/>
          </w:tcPr>
          <w:p w14:paraId="36640774">
            <w:pPr>
              <w:pStyle w:val="11"/>
            </w:pPr>
            <w:r>
              <w:t>指标值</w:t>
            </w:r>
          </w:p>
        </w:tc>
        <w:tc>
          <w:tcPr>
            <w:tcW w:w="1276" w:type="dxa"/>
            <w:vAlign w:val="center"/>
          </w:tcPr>
          <w:p w14:paraId="1B7DA015">
            <w:pPr>
              <w:pStyle w:val="11"/>
            </w:pPr>
            <w:r>
              <w:t>指标值确定依据</w:t>
            </w:r>
          </w:p>
        </w:tc>
      </w:tr>
      <w:tr w14:paraId="1B278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43094">
            <w:pPr>
              <w:pStyle w:val="12"/>
            </w:pPr>
            <w:r>
              <w:t>产出指标</w:t>
            </w:r>
          </w:p>
        </w:tc>
        <w:tc>
          <w:tcPr>
            <w:tcW w:w="2268" w:type="dxa"/>
            <w:vAlign w:val="center"/>
          </w:tcPr>
          <w:p w14:paraId="0BDC6121">
            <w:pPr>
              <w:pStyle w:val="13"/>
            </w:pPr>
            <w:r>
              <w:t>成本指标</w:t>
            </w:r>
          </w:p>
        </w:tc>
        <w:tc>
          <w:tcPr>
            <w:tcW w:w="2835" w:type="dxa"/>
            <w:vAlign w:val="center"/>
          </w:tcPr>
          <w:p w14:paraId="7A6CBF28">
            <w:pPr>
              <w:pStyle w:val="13"/>
            </w:pPr>
            <w:r>
              <w:t>幼儿园资助标准</w:t>
            </w:r>
          </w:p>
        </w:tc>
        <w:tc>
          <w:tcPr>
            <w:tcW w:w="5386" w:type="dxa"/>
            <w:vAlign w:val="center"/>
          </w:tcPr>
          <w:p w14:paraId="6241EBDC">
            <w:pPr>
              <w:pStyle w:val="13"/>
            </w:pPr>
            <w:r>
              <w:t>按照幼儿园资助标准1000元/生/年</w:t>
            </w:r>
          </w:p>
        </w:tc>
        <w:tc>
          <w:tcPr>
            <w:tcW w:w="2268" w:type="dxa"/>
            <w:vAlign w:val="center"/>
          </w:tcPr>
          <w:p w14:paraId="6B9FB32C">
            <w:pPr>
              <w:pStyle w:val="13"/>
            </w:pPr>
            <w:r>
              <w:t>1000元/生/年</w:t>
            </w:r>
          </w:p>
        </w:tc>
        <w:tc>
          <w:tcPr>
            <w:tcW w:w="1276" w:type="dxa"/>
            <w:vAlign w:val="center"/>
          </w:tcPr>
          <w:p w14:paraId="36641104">
            <w:pPr>
              <w:pStyle w:val="13"/>
            </w:pPr>
            <w:r>
              <w:t>幼儿资助经费管理办法</w:t>
            </w:r>
          </w:p>
        </w:tc>
      </w:tr>
      <w:tr w14:paraId="22291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217EF"/>
        </w:tc>
        <w:tc>
          <w:tcPr>
            <w:tcW w:w="2268" w:type="dxa"/>
            <w:vAlign w:val="center"/>
          </w:tcPr>
          <w:p w14:paraId="1FF7CEE8">
            <w:pPr>
              <w:pStyle w:val="13"/>
            </w:pPr>
            <w:r>
              <w:t>数量指标</w:t>
            </w:r>
          </w:p>
        </w:tc>
        <w:tc>
          <w:tcPr>
            <w:tcW w:w="2835" w:type="dxa"/>
            <w:vAlign w:val="center"/>
          </w:tcPr>
          <w:p w14:paraId="58ED4E43">
            <w:pPr>
              <w:pStyle w:val="13"/>
            </w:pPr>
            <w:r>
              <w:t>幼儿资助比例</w:t>
            </w:r>
          </w:p>
        </w:tc>
        <w:tc>
          <w:tcPr>
            <w:tcW w:w="5386" w:type="dxa"/>
            <w:vAlign w:val="center"/>
          </w:tcPr>
          <w:p w14:paraId="74EB25C9">
            <w:pPr>
              <w:pStyle w:val="13"/>
            </w:pPr>
            <w:r>
              <w:t>按学前适龄在园儿童10%测算</w:t>
            </w:r>
          </w:p>
        </w:tc>
        <w:tc>
          <w:tcPr>
            <w:tcW w:w="2268" w:type="dxa"/>
            <w:vAlign w:val="center"/>
          </w:tcPr>
          <w:p w14:paraId="75195B34">
            <w:pPr>
              <w:pStyle w:val="13"/>
            </w:pPr>
            <w:r>
              <w:t>≥10%</w:t>
            </w:r>
          </w:p>
        </w:tc>
        <w:tc>
          <w:tcPr>
            <w:tcW w:w="1276" w:type="dxa"/>
            <w:vAlign w:val="center"/>
          </w:tcPr>
          <w:p w14:paraId="243F2918">
            <w:pPr>
              <w:pStyle w:val="13"/>
            </w:pPr>
            <w:r>
              <w:t>幼儿资助经费管理办法</w:t>
            </w:r>
          </w:p>
        </w:tc>
      </w:tr>
      <w:tr w14:paraId="7B81D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0F861"/>
        </w:tc>
        <w:tc>
          <w:tcPr>
            <w:tcW w:w="2268" w:type="dxa"/>
            <w:vAlign w:val="center"/>
          </w:tcPr>
          <w:p w14:paraId="03347343">
            <w:pPr>
              <w:pStyle w:val="13"/>
            </w:pPr>
            <w:r>
              <w:t>质量指标</w:t>
            </w:r>
          </w:p>
        </w:tc>
        <w:tc>
          <w:tcPr>
            <w:tcW w:w="2835" w:type="dxa"/>
            <w:vAlign w:val="center"/>
          </w:tcPr>
          <w:p w14:paraId="6FB27DBD">
            <w:pPr>
              <w:pStyle w:val="13"/>
            </w:pPr>
            <w:r>
              <w:t>学前教育资助制度落实情况</w:t>
            </w:r>
          </w:p>
        </w:tc>
        <w:tc>
          <w:tcPr>
            <w:tcW w:w="5386" w:type="dxa"/>
            <w:vAlign w:val="center"/>
          </w:tcPr>
          <w:p w14:paraId="76A9E264">
            <w:pPr>
              <w:pStyle w:val="13"/>
            </w:pPr>
            <w:r>
              <w:t>符合享受资助条件的学生应助尽助</w:t>
            </w:r>
          </w:p>
        </w:tc>
        <w:tc>
          <w:tcPr>
            <w:tcW w:w="2268" w:type="dxa"/>
            <w:vAlign w:val="center"/>
          </w:tcPr>
          <w:p w14:paraId="7D4F26AF">
            <w:pPr>
              <w:pStyle w:val="13"/>
            </w:pPr>
            <w:r>
              <w:t>≥100%</w:t>
            </w:r>
          </w:p>
        </w:tc>
        <w:tc>
          <w:tcPr>
            <w:tcW w:w="1276" w:type="dxa"/>
            <w:vAlign w:val="center"/>
          </w:tcPr>
          <w:p w14:paraId="02FC5FC1">
            <w:pPr>
              <w:pStyle w:val="13"/>
            </w:pPr>
            <w:r>
              <w:t>幼儿资助经费管理办法</w:t>
            </w:r>
          </w:p>
        </w:tc>
      </w:tr>
      <w:tr w14:paraId="0845A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02845"/>
        </w:tc>
        <w:tc>
          <w:tcPr>
            <w:tcW w:w="2268" w:type="dxa"/>
            <w:vAlign w:val="center"/>
          </w:tcPr>
          <w:p w14:paraId="2A8BDFE8">
            <w:pPr>
              <w:pStyle w:val="13"/>
            </w:pPr>
            <w:r>
              <w:t>时效指标</w:t>
            </w:r>
          </w:p>
        </w:tc>
        <w:tc>
          <w:tcPr>
            <w:tcW w:w="2835" w:type="dxa"/>
            <w:vAlign w:val="center"/>
          </w:tcPr>
          <w:p w14:paraId="5437BC8C">
            <w:pPr>
              <w:pStyle w:val="13"/>
            </w:pPr>
            <w:r>
              <w:t>资金拨付率</w:t>
            </w:r>
          </w:p>
        </w:tc>
        <w:tc>
          <w:tcPr>
            <w:tcW w:w="5386" w:type="dxa"/>
            <w:vAlign w:val="center"/>
          </w:tcPr>
          <w:p w14:paraId="776E1BEB">
            <w:pPr>
              <w:pStyle w:val="13"/>
            </w:pPr>
            <w:r>
              <w:t>所有项目资金支付进度</w:t>
            </w:r>
          </w:p>
        </w:tc>
        <w:tc>
          <w:tcPr>
            <w:tcW w:w="2268" w:type="dxa"/>
            <w:vAlign w:val="center"/>
          </w:tcPr>
          <w:p w14:paraId="10CCDCA7">
            <w:pPr>
              <w:pStyle w:val="13"/>
            </w:pPr>
            <w:r>
              <w:t>≥100%</w:t>
            </w:r>
          </w:p>
        </w:tc>
        <w:tc>
          <w:tcPr>
            <w:tcW w:w="1276" w:type="dxa"/>
            <w:vAlign w:val="center"/>
          </w:tcPr>
          <w:p w14:paraId="53B82454">
            <w:pPr>
              <w:pStyle w:val="13"/>
            </w:pPr>
            <w:r>
              <w:t>幼儿资助经费管理办法</w:t>
            </w:r>
          </w:p>
        </w:tc>
      </w:tr>
      <w:tr w14:paraId="570B6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7D964C">
            <w:pPr>
              <w:pStyle w:val="12"/>
            </w:pPr>
            <w:r>
              <w:t>效益指标</w:t>
            </w:r>
          </w:p>
        </w:tc>
        <w:tc>
          <w:tcPr>
            <w:tcW w:w="2268" w:type="dxa"/>
            <w:vAlign w:val="center"/>
          </w:tcPr>
          <w:p w14:paraId="6C3B9DF4">
            <w:pPr>
              <w:pStyle w:val="13"/>
            </w:pPr>
            <w:r>
              <w:t>可持续影响指标</w:t>
            </w:r>
          </w:p>
        </w:tc>
        <w:tc>
          <w:tcPr>
            <w:tcW w:w="2835" w:type="dxa"/>
            <w:vAlign w:val="center"/>
          </w:tcPr>
          <w:p w14:paraId="5D03C4A6">
            <w:pPr>
              <w:pStyle w:val="13"/>
            </w:pPr>
            <w:r>
              <w:t>幼儿园运转</w:t>
            </w:r>
          </w:p>
        </w:tc>
        <w:tc>
          <w:tcPr>
            <w:tcW w:w="5386" w:type="dxa"/>
            <w:vAlign w:val="center"/>
          </w:tcPr>
          <w:p w14:paraId="6BBFEDB5">
            <w:pPr>
              <w:pStyle w:val="13"/>
            </w:pPr>
            <w:r>
              <w:t>幼儿受教育年限</w:t>
            </w:r>
          </w:p>
        </w:tc>
        <w:tc>
          <w:tcPr>
            <w:tcW w:w="2268" w:type="dxa"/>
            <w:vAlign w:val="center"/>
          </w:tcPr>
          <w:p w14:paraId="5D696988">
            <w:pPr>
              <w:pStyle w:val="13"/>
            </w:pPr>
            <w:r>
              <w:t>3年</w:t>
            </w:r>
          </w:p>
        </w:tc>
        <w:tc>
          <w:tcPr>
            <w:tcW w:w="1276" w:type="dxa"/>
            <w:vAlign w:val="center"/>
          </w:tcPr>
          <w:p w14:paraId="0151F535">
            <w:pPr>
              <w:pStyle w:val="13"/>
            </w:pPr>
            <w:r>
              <w:t>幼儿资助经费管理办法</w:t>
            </w:r>
          </w:p>
        </w:tc>
      </w:tr>
      <w:tr w14:paraId="58B5F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D43F8D">
            <w:pPr>
              <w:pStyle w:val="12"/>
            </w:pPr>
            <w:r>
              <w:t>满意度指标</w:t>
            </w:r>
          </w:p>
        </w:tc>
        <w:tc>
          <w:tcPr>
            <w:tcW w:w="2268" w:type="dxa"/>
            <w:vAlign w:val="center"/>
          </w:tcPr>
          <w:p w14:paraId="7557DD31">
            <w:pPr>
              <w:pStyle w:val="13"/>
            </w:pPr>
            <w:r>
              <w:t>服务对象满意度指标</w:t>
            </w:r>
          </w:p>
        </w:tc>
        <w:tc>
          <w:tcPr>
            <w:tcW w:w="2835" w:type="dxa"/>
            <w:vAlign w:val="center"/>
          </w:tcPr>
          <w:p w14:paraId="437A8F66">
            <w:pPr>
              <w:pStyle w:val="13"/>
            </w:pPr>
            <w:r>
              <w:t>受益幼儿家长及调查满意度</w:t>
            </w:r>
          </w:p>
        </w:tc>
        <w:tc>
          <w:tcPr>
            <w:tcW w:w="5386" w:type="dxa"/>
            <w:vAlign w:val="center"/>
          </w:tcPr>
          <w:p w14:paraId="4873EDC4">
            <w:pPr>
              <w:pStyle w:val="13"/>
            </w:pPr>
            <w:r>
              <w:t>学生、教师及家长对学校保教保育工作满意度情况</w:t>
            </w:r>
          </w:p>
        </w:tc>
        <w:tc>
          <w:tcPr>
            <w:tcW w:w="2268" w:type="dxa"/>
            <w:vAlign w:val="center"/>
          </w:tcPr>
          <w:p w14:paraId="7DD5B93D">
            <w:pPr>
              <w:pStyle w:val="13"/>
            </w:pPr>
            <w:r>
              <w:t>≥95%</w:t>
            </w:r>
          </w:p>
        </w:tc>
        <w:tc>
          <w:tcPr>
            <w:tcW w:w="1276" w:type="dxa"/>
            <w:vAlign w:val="center"/>
          </w:tcPr>
          <w:p w14:paraId="78850CEC">
            <w:pPr>
              <w:pStyle w:val="13"/>
            </w:pPr>
            <w:r>
              <w:t>幼儿资助经费管理办法</w:t>
            </w:r>
          </w:p>
        </w:tc>
      </w:tr>
    </w:tbl>
    <w:p w14:paraId="2BE96536">
      <w:pPr>
        <w:sectPr>
          <w:pgSz w:w="16840" w:h="11900" w:orient="landscape"/>
          <w:pgMar w:top="1361" w:right="1020" w:bottom="1134" w:left="1020" w:header="720" w:footer="720" w:gutter="0"/>
          <w:cols w:space="720" w:num="1"/>
        </w:sectPr>
      </w:pPr>
    </w:p>
    <w:p w14:paraId="120ACEDA">
      <w:pPr>
        <w:spacing w:before="0" w:after="0"/>
        <w:ind w:firstLine="560"/>
        <w:jc w:val="left"/>
        <w:outlineLvl w:val="9"/>
      </w:pPr>
      <w:r>
        <w:rPr>
          <w:rFonts w:ascii="方正仿宋_GBK" w:hAnsi="方正仿宋_GBK" w:eastAsia="方正仿宋_GBK" w:cs="方正仿宋_GBK"/>
          <w:b/>
          <w:color w:val="000000"/>
          <w:sz w:val="28"/>
        </w:rPr>
        <w:t>23、县级资金/牛家桥校区幼儿园公用经费绩效目标表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F0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028DD">
            <w:pPr>
              <w:pStyle w:val="14"/>
            </w:pPr>
            <w:r>
              <w:t>单位：万元</w:t>
            </w:r>
          </w:p>
        </w:tc>
      </w:tr>
      <w:tr w14:paraId="481B3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39B6E">
            <w:pPr>
              <w:pStyle w:val="11"/>
            </w:pPr>
            <w:r>
              <w:t>项目编码</w:t>
            </w:r>
          </w:p>
        </w:tc>
        <w:tc>
          <w:tcPr>
            <w:tcW w:w="5103" w:type="dxa"/>
            <w:gridSpan w:val="2"/>
            <w:vAlign w:val="center"/>
          </w:tcPr>
          <w:p w14:paraId="27BB6A8F">
            <w:pPr>
              <w:pStyle w:val="13"/>
            </w:pPr>
            <w:r>
              <w:t>13052525P008756100834</w:t>
            </w:r>
          </w:p>
        </w:tc>
        <w:tc>
          <w:tcPr>
            <w:tcW w:w="2835" w:type="dxa"/>
            <w:vAlign w:val="center"/>
          </w:tcPr>
          <w:p w14:paraId="6E7FE3B5">
            <w:pPr>
              <w:pStyle w:val="11"/>
            </w:pPr>
            <w:r>
              <w:t>项目名称</w:t>
            </w:r>
          </w:p>
        </w:tc>
        <w:tc>
          <w:tcPr>
            <w:tcW w:w="6095" w:type="dxa"/>
            <w:gridSpan w:val="3"/>
            <w:vAlign w:val="center"/>
          </w:tcPr>
          <w:p w14:paraId="50620B12">
            <w:pPr>
              <w:pStyle w:val="13"/>
            </w:pPr>
            <w:r>
              <w:t>县级资金/牛家桥校区幼儿园公用经费</w:t>
            </w:r>
          </w:p>
        </w:tc>
      </w:tr>
      <w:tr w14:paraId="16ADD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5C9DD">
            <w:pPr>
              <w:pStyle w:val="11"/>
            </w:pPr>
            <w:r>
              <w:t>预算规模及资金用途</w:t>
            </w:r>
          </w:p>
        </w:tc>
        <w:tc>
          <w:tcPr>
            <w:tcW w:w="2268" w:type="dxa"/>
            <w:vAlign w:val="center"/>
          </w:tcPr>
          <w:p w14:paraId="7D8F1B2B">
            <w:pPr>
              <w:pStyle w:val="11"/>
            </w:pPr>
            <w:r>
              <w:t>预算数</w:t>
            </w:r>
          </w:p>
        </w:tc>
        <w:tc>
          <w:tcPr>
            <w:tcW w:w="2835" w:type="dxa"/>
            <w:vAlign w:val="center"/>
          </w:tcPr>
          <w:p w14:paraId="697702EB">
            <w:pPr>
              <w:pStyle w:val="13"/>
            </w:pPr>
            <w:r>
              <w:t>11.97</w:t>
            </w:r>
          </w:p>
        </w:tc>
        <w:tc>
          <w:tcPr>
            <w:tcW w:w="2835" w:type="dxa"/>
            <w:vAlign w:val="center"/>
          </w:tcPr>
          <w:p w14:paraId="05514AA7">
            <w:pPr>
              <w:pStyle w:val="11"/>
            </w:pPr>
            <w:r>
              <w:t>其中：财政    资金</w:t>
            </w:r>
          </w:p>
        </w:tc>
        <w:tc>
          <w:tcPr>
            <w:tcW w:w="2551" w:type="dxa"/>
            <w:vAlign w:val="center"/>
          </w:tcPr>
          <w:p w14:paraId="4F22F329">
            <w:pPr>
              <w:pStyle w:val="13"/>
            </w:pPr>
            <w:r>
              <w:t>11.97</w:t>
            </w:r>
          </w:p>
        </w:tc>
        <w:tc>
          <w:tcPr>
            <w:tcW w:w="2268" w:type="dxa"/>
            <w:vAlign w:val="center"/>
          </w:tcPr>
          <w:p w14:paraId="2115810F">
            <w:pPr>
              <w:pStyle w:val="11"/>
            </w:pPr>
            <w:r>
              <w:t>其他资金</w:t>
            </w:r>
          </w:p>
        </w:tc>
        <w:tc>
          <w:tcPr>
            <w:tcW w:w="1276" w:type="dxa"/>
            <w:vAlign w:val="center"/>
          </w:tcPr>
          <w:p w14:paraId="28396AFA">
            <w:pPr>
              <w:pStyle w:val="13"/>
            </w:pPr>
            <w:r>
              <w:t xml:space="preserve"> </w:t>
            </w:r>
          </w:p>
        </w:tc>
      </w:tr>
      <w:tr w14:paraId="6401A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E1DFD"/>
        </w:tc>
        <w:tc>
          <w:tcPr>
            <w:tcW w:w="14033" w:type="dxa"/>
            <w:gridSpan w:val="6"/>
            <w:vAlign w:val="center"/>
          </w:tcPr>
          <w:p w14:paraId="4C66B3DD">
            <w:pPr>
              <w:pStyle w:val="13"/>
            </w:pPr>
            <w:r>
              <w:t>保障幼儿园正常运转，完成教育教学活动和其他日常工作任务等方面的费用支出。</w:t>
            </w:r>
          </w:p>
        </w:tc>
      </w:tr>
      <w:tr w14:paraId="1CBC4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3F494">
            <w:pPr>
              <w:pStyle w:val="11"/>
            </w:pPr>
            <w:r>
              <w:t>资金支出计划（%）</w:t>
            </w:r>
          </w:p>
        </w:tc>
        <w:tc>
          <w:tcPr>
            <w:tcW w:w="5103" w:type="dxa"/>
            <w:gridSpan w:val="2"/>
            <w:vAlign w:val="center"/>
          </w:tcPr>
          <w:p w14:paraId="60B8C808">
            <w:pPr>
              <w:pStyle w:val="11"/>
            </w:pPr>
            <w:r>
              <w:t>3月底</w:t>
            </w:r>
          </w:p>
        </w:tc>
        <w:tc>
          <w:tcPr>
            <w:tcW w:w="2835" w:type="dxa"/>
            <w:vAlign w:val="center"/>
          </w:tcPr>
          <w:p w14:paraId="087E5E78">
            <w:pPr>
              <w:pStyle w:val="11"/>
            </w:pPr>
            <w:r>
              <w:t>6月底</w:t>
            </w:r>
          </w:p>
        </w:tc>
        <w:tc>
          <w:tcPr>
            <w:tcW w:w="2551" w:type="dxa"/>
            <w:vAlign w:val="center"/>
          </w:tcPr>
          <w:p w14:paraId="5C0BE059">
            <w:pPr>
              <w:pStyle w:val="11"/>
            </w:pPr>
            <w:r>
              <w:t>10月底</w:t>
            </w:r>
          </w:p>
        </w:tc>
        <w:tc>
          <w:tcPr>
            <w:tcW w:w="3544" w:type="dxa"/>
            <w:gridSpan w:val="2"/>
            <w:vAlign w:val="center"/>
          </w:tcPr>
          <w:p w14:paraId="5A722E09">
            <w:pPr>
              <w:pStyle w:val="11"/>
            </w:pPr>
            <w:r>
              <w:t>12月底</w:t>
            </w:r>
          </w:p>
        </w:tc>
      </w:tr>
      <w:tr w14:paraId="64053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94162"/>
        </w:tc>
        <w:tc>
          <w:tcPr>
            <w:tcW w:w="5103" w:type="dxa"/>
            <w:gridSpan w:val="2"/>
            <w:vAlign w:val="center"/>
          </w:tcPr>
          <w:p w14:paraId="428FB77A">
            <w:pPr>
              <w:pStyle w:val="12"/>
            </w:pPr>
            <w:r>
              <w:t>25%</w:t>
            </w:r>
          </w:p>
        </w:tc>
        <w:tc>
          <w:tcPr>
            <w:tcW w:w="2835" w:type="dxa"/>
            <w:vAlign w:val="center"/>
          </w:tcPr>
          <w:p w14:paraId="6255425E">
            <w:pPr>
              <w:pStyle w:val="12"/>
            </w:pPr>
            <w:r>
              <w:t>50%</w:t>
            </w:r>
          </w:p>
        </w:tc>
        <w:tc>
          <w:tcPr>
            <w:tcW w:w="2551" w:type="dxa"/>
            <w:vAlign w:val="center"/>
          </w:tcPr>
          <w:p w14:paraId="37462C65">
            <w:pPr>
              <w:pStyle w:val="12"/>
            </w:pPr>
            <w:r>
              <w:t>75%</w:t>
            </w:r>
          </w:p>
        </w:tc>
        <w:tc>
          <w:tcPr>
            <w:tcW w:w="3544" w:type="dxa"/>
            <w:gridSpan w:val="2"/>
            <w:vAlign w:val="center"/>
          </w:tcPr>
          <w:p w14:paraId="3416421E">
            <w:pPr>
              <w:pStyle w:val="12"/>
            </w:pPr>
            <w:r>
              <w:t>100%</w:t>
            </w:r>
          </w:p>
        </w:tc>
      </w:tr>
      <w:tr w14:paraId="7D884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A3616">
            <w:pPr>
              <w:pStyle w:val="11"/>
            </w:pPr>
            <w:r>
              <w:t>绩效目标</w:t>
            </w:r>
          </w:p>
        </w:tc>
        <w:tc>
          <w:tcPr>
            <w:tcW w:w="14033" w:type="dxa"/>
            <w:gridSpan w:val="6"/>
            <w:vAlign w:val="center"/>
          </w:tcPr>
          <w:p w14:paraId="15B47E89">
            <w:pPr>
              <w:pStyle w:val="13"/>
            </w:pPr>
            <w:r>
              <w:t>1.保障幼儿园正常运转，完成教育教学活动和其他日常工作任务等方面的费用支出。</w:t>
            </w:r>
          </w:p>
        </w:tc>
      </w:tr>
    </w:tbl>
    <w:p w14:paraId="302376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82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C206B">
            <w:pPr>
              <w:pStyle w:val="11"/>
            </w:pPr>
            <w:r>
              <w:t>一级指标</w:t>
            </w:r>
          </w:p>
        </w:tc>
        <w:tc>
          <w:tcPr>
            <w:tcW w:w="2268" w:type="dxa"/>
            <w:vAlign w:val="center"/>
          </w:tcPr>
          <w:p w14:paraId="7F765100">
            <w:pPr>
              <w:pStyle w:val="11"/>
            </w:pPr>
            <w:r>
              <w:t>二级指标</w:t>
            </w:r>
          </w:p>
        </w:tc>
        <w:tc>
          <w:tcPr>
            <w:tcW w:w="2835" w:type="dxa"/>
            <w:vAlign w:val="center"/>
          </w:tcPr>
          <w:p w14:paraId="6736F4BA">
            <w:pPr>
              <w:pStyle w:val="11"/>
            </w:pPr>
            <w:r>
              <w:t>三级指标</w:t>
            </w:r>
          </w:p>
        </w:tc>
        <w:tc>
          <w:tcPr>
            <w:tcW w:w="5386" w:type="dxa"/>
            <w:vAlign w:val="center"/>
          </w:tcPr>
          <w:p w14:paraId="5627D6DC">
            <w:pPr>
              <w:pStyle w:val="11"/>
            </w:pPr>
            <w:r>
              <w:t>绩效指标描述</w:t>
            </w:r>
          </w:p>
        </w:tc>
        <w:tc>
          <w:tcPr>
            <w:tcW w:w="2268" w:type="dxa"/>
            <w:vAlign w:val="center"/>
          </w:tcPr>
          <w:p w14:paraId="0DE44A2A">
            <w:pPr>
              <w:pStyle w:val="11"/>
            </w:pPr>
            <w:r>
              <w:t>指标值</w:t>
            </w:r>
          </w:p>
        </w:tc>
        <w:tc>
          <w:tcPr>
            <w:tcW w:w="1276" w:type="dxa"/>
            <w:vAlign w:val="center"/>
          </w:tcPr>
          <w:p w14:paraId="3EA96283">
            <w:pPr>
              <w:pStyle w:val="11"/>
            </w:pPr>
            <w:r>
              <w:t>指标值确定依据</w:t>
            </w:r>
          </w:p>
        </w:tc>
      </w:tr>
      <w:tr w14:paraId="7AB39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412C5">
            <w:pPr>
              <w:pStyle w:val="12"/>
            </w:pPr>
            <w:r>
              <w:t>产出指标</w:t>
            </w:r>
          </w:p>
        </w:tc>
        <w:tc>
          <w:tcPr>
            <w:tcW w:w="2268" w:type="dxa"/>
            <w:vAlign w:val="center"/>
          </w:tcPr>
          <w:p w14:paraId="7F6FC4A1">
            <w:pPr>
              <w:pStyle w:val="13"/>
            </w:pPr>
            <w:r>
              <w:t>数量指标</w:t>
            </w:r>
          </w:p>
        </w:tc>
        <w:tc>
          <w:tcPr>
            <w:tcW w:w="2835" w:type="dxa"/>
            <w:vAlign w:val="center"/>
          </w:tcPr>
          <w:p w14:paraId="0329F0D9">
            <w:pPr>
              <w:pStyle w:val="13"/>
            </w:pPr>
            <w:r>
              <w:t>适龄在园生</w:t>
            </w:r>
          </w:p>
        </w:tc>
        <w:tc>
          <w:tcPr>
            <w:tcW w:w="5386" w:type="dxa"/>
            <w:vAlign w:val="center"/>
          </w:tcPr>
          <w:p w14:paraId="59D068BB">
            <w:pPr>
              <w:pStyle w:val="13"/>
            </w:pPr>
            <w:r>
              <w:t>适龄在园学生人数</w:t>
            </w:r>
          </w:p>
        </w:tc>
        <w:tc>
          <w:tcPr>
            <w:tcW w:w="2268" w:type="dxa"/>
            <w:vAlign w:val="center"/>
          </w:tcPr>
          <w:p w14:paraId="368FCFD7">
            <w:pPr>
              <w:pStyle w:val="13"/>
            </w:pPr>
            <w:r>
              <w:t>266人</w:t>
            </w:r>
          </w:p>
        </w:tc>
        <w:tc>
          <w:tcPr>
            <w:tcW w:w="1276" w:type="dxa"/>
            <w:vAlign w:val="center"/>
          </w:tcPr>
          <w:p w14:paraId="1FF83195">
            <w:pPr>
              <w:pStyle w:val="13"/>
            </w:pPr>
            <w:r>
              <w:t>公办幼儿园生均公用经费管理办法</w:t>
            </w:r>
          </w:p>
        </w:tc>
      </w:tr>
      <w:tr w14:paraId="49918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44D92"/>
        </w:tc>
        <w:tc>
          <w:tcPr>
            <w:tcW w:w="2268" w:type="dxa"/>
            <w:vAlign w:val="center"/>
          </w:tcPr>
          <w:p w14:paraId="7C182C0E">
            <w:pPr>
              <w:pStyle w:val="13"/>
            </w:pPr>
            <w:r>
              <w:t>质量指标</w:t>
            </w:r>
          </w:p>
        </w:tc>
        <w:tc>
          <w:tcPr>
            <w:tcW w:w="2835" w:type="dxa"/>
            <w:vAlign w:val="center"/>
          </w:tcPr>
          <w:p w14:paraId="45669677">
            <w:pPr>
              <w:pStyle w:val="13"/>
            </w:pPr>
            <w:r>
              <w:t>预算控制率</w:t>
            </w:r>
          </w:p>
        </w:tc>
        <w:tc>
          <w:tcPr>
            <w:tcW w:w="5386" w:type="dxa"/>
            <w:vAlign w:val="center"/>
          </w:tcPr>
          <w:p w14:paraId="1B32E3AB">
            <w:pPr>
              <w:pStyle w:val="13"/>
            </w:pPr>
            <w:r>
              <w:t>预算执行</w:t>
            </w:r>
          </w:p>
        </w:tc>
        <w:tc>
          <w:tcPr>
            <w:tcW w:w="2268" w:type="dxa"/>
            <w:vAlign w:val="center"/>
          </w:tcPr>
          <w:p w14:paraId="2EE71433">
            <w:pPr>
              <w:pStyle w:val="13"/>
            </w:pPr>
            <w:r>
              <w:t>≥95%</w:t>
            </w:r>
          </w:p>
        </w:tc>
        <w:tc>
          <w:tcPr>
            <w:tcW w:w="1276" w:type="dxa"/>
            <w:vAlign w:val="center"/>
          </w:tcPr>
          <w:p w14:paraId="69152D13">
            <w:pPr>
              <w:pStyle w:val="13"/>
            </w:pPr>
            <w:r>
              <w:t>公办幼儿园生均公用经费管理办法</w:t>
            </w:r>
          </w:p>
        </w:tc>
      </w:tr>
      <w:tr w14:paraId="05907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D709B"/>
        </w:tc>
        <w:tc>
          <w:tcPr>
            <w:tcW w:w="2268" w:type="dxa"/>
            <w:vAlign w:val="center"/>
          </w:tcPr>
          <w:p w14:paraId="751FBD33">
            <w:pPr>
              <w:pStyle w:val="13"/>
            </w:pPr>
            <w:r>
              <w:t>时效指标</w:t>
            </w:r>
          </w:p>
        </w:tc>
        <w:tc>
          <w:tcPr>
            <w:tcW w:w="2835" w:type="dxa"/>
            <w:vAlign w:val="center"/>
          </w:tcPr>
          <w:p w14:paraId="753576EC">
            <w:pPr>
              <w:pStyle w:val="13"/>
            </w:pPr>
            <w:r>
              <w:t>资金支付率</w:t>
            </w:r>
          </w:p>
        </w:tc>
        <w:tc>
          <w:tcPr>
            <w:tcW w:w="5386" w:type="dxa"/>
            <w:vAlign w:val="center"/>
          </w:tcPr>
          <w:p w14:paraId="3DF77192">
            <w:pPr>
              <w:pStyle w:val="13"/>
            </w:pPr>
            <w:r>
              <w:t>按照序时进度完成资金支付</w:t>
            </w:r>
          </w:p>
        </w:tc>
        <w:tc>
          <w:tcPr>
            <w:tcW w:w="2268" w:type="dxa"/>
            <w:vAlign w:val="center"/>
          </w:tcPr>
          <w:p w14:paraId="0AD5FA2E">
            <w:pPr>
              <w:pStyle w:val="13"/>
            </w:pPr>
            <w:r>
              <w:t>≥100%</w:t>
            </w:r>
          </w:p>
        </w:tc>
        <w:tc>
          <w:tcPr>
            <w:tcW w:w="1276" w:type="dxa"/>
            <w:vAlign w:val="center"/>
          </w:tcPr>
          <w:p w14:paraId="319B3A99">
            <w:pPr>
              <w:pStyle w:val="13"/>
            </w:pPr>
            <w:r>
              <w:t>公办幼儿园生均公用经费管理办法</w:t>
            </w:r>
          </w:p>
        </w:tc>
      </w:tr>
      <w:tr w14:paraId="6BFA0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21668"/>
        </w:tc>
        <w:tc>
          <w:tcPr>
            <w:tcW w:w="2268" w:type="dxa"/>
            <w:vAlign w:val="center"/>
          </w:tcPr>
          <w:p w14:paraId="4AC167DA">
            <w:pPr>
              <w:pStyle w:val="13"/>
            </w:pPr>
            <w:r>
              <w:t>成本指标</w:t>
            </w:r>
          </w:p>
        </w:tc>
        <w:tc>
          <w:tcPr>
            <w:tcW w:w="2835" w:type="dxa"/>
            <w:vAlign w:val="center"/>
          </w:tcPr>
          <w:p w14:paraId="2B1920F5">
            <w:pPr>
              <w:pStyle w:val="13"/>
            </w:pPr>
            <w:r>
              <w:t>生均拨款标准</w:t>
            </w:r>
          </w:p>
        </w:tc>
        <w:tc>
          <w:tcPr>
            <w:tcW w:w="5386" w:type="dxa"/>
            <w:vAlign w:val="center"/>
          </w:tcPr>
          <w:p w14:paraId="63ACE355">
            <w:pPr>
              <w:pStyle w:val="13"/>
            </w:pPr>
            <w:r>
              <w:t>学前：（基本标准600元/生/学年）</w:t>
            </w:r>
          </w:p>
        </w:tc>
        <w:tc>
          <w:tcPr>
            <w:tcW w:w="2268" w:type="dxa"/>
            <w:vAlign w:val="center"/>
          </w:tcPr>
          <w:p w14:paraId="58062D02">
            <w:pPr>
              <w:pStyle w:val="13"/>
            </w:pPr>
            <w:r>
              <w:t>119700元</w:t>
            </w:r>
          </w:p>
        </w:tc>
        <w:tc>
          <w:tcPr>
            <w:tcW w:w="1276" w:type="dxa"/>
            <w:vAlign w:val="center"/>
          </w:tcPr>
          <w:p w14:paraId="0218B8FF">
            <w:pPr>
              <w:pStyle w:val="13"/>
            </w:pPr>
            <w:r>
              <w:t>公办幼儿园生均公用经费管理办法</w:t>
            </w:r>
          </w:p>
        </w:tc>
      </w:tr>
      <w:tr w14:paraId="2D406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95D5E8">
            <w:pPr>
              <w:pStyle w:val="12"/>
            </w:pPr>
            <w:r>
              <w:t>效益指标</w:t>
            </w:r>
          </w:p>
        </w:tc>
        <w:tc>
          <w:tcPr>
            <w:tcW w:w="2268" w:type="dxa"/>
            <w:vAlign w:val="center"/>
          </w:tcPr>
          <w:p w14:paraId="63F7545F">
            <w:pPr>
              <w:pStyle w:val="13"/>
            </w:pPr>
            <w:r>
              <w:t>可持续影响指标</w:t>
            </w:r>
          </w:p>
        </w:tc>
        <w:tc>
          <w:tcPr>
            <w:tcW w:w="2835" w:type="dxa"/>
            <w:vAlign w:val="center"/>
          </w:tcPr>
          <w:p w14:paraId="765DBEF2">
            <w:pPr>
              <w:pStyle w:val="13"/>
            </w:pPr>
            <w:r>
              <w:t>学校运转得到提升</w:t>
            </w:r>
          </w:p>
        </w:tc>
        <w:tc>
          <w:tcPr>
            <w:tcW w:w="5386" w:type="dxa"/>
            <w:vAlign w:val="center"/>
          </w:tcPr>
          <w:p w14:paraId="7D4A2E45">
            <w:pPr>
              <w:pStyle w:val="13"/>
            </w:pPr>
            <w:r>
              <w:t>幼儿受教育年限</w:t>
            </w:r>
          </w:p>
        </w:tc>
        <w:tc>
          <w:tcPr>
            <w:tcW w:w="2268" w:type="dxa"/>
            <w:vAlign w:val="center"/>
          </w:tcPr>
          <w:p w14:paraId="79B8D628">
            <w:pPr>
              <w:pStyle w:val="13"/>
            </w:pPr>
            <w:r>
              <w:t>3年</w:t>
            </w:r>
          </w:p>
        </w:tc>
        <w:tc>
          <w:tcPr>
            <w:tcW w:w="1276" w:type="dxa"/>
            <w:vAlign w:val="center"/>
          </w:tcPr>
          <w:p w14:paraId="7007023F">
            <w:pPr>
              <w:pStyle w:val="13"/>
            </w:pPr>
            <w:r>
              <w:t>公办幼儿园生均公用经费管理办法</w:t>
            </w:r>
          </w:p>
        </w:tc>
      </w:tr>
      <w:tr w14:paraId="3DA4C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81A479">
            <w:pPr>
              <w:pStyle w:val="12"/>
            </w:pPr>
            <w:r>
              <w:t>满意度指标</w:t>
            </w:r>
          </w:p>
        </w:tc>
        <w:tc>
          <w:tcPr>
            <w:tcW w:w="2268" w:type="dxa"/>
            <w:vAlign w:val="center"/>
          </w:tcPr>
          <w:p w14:paraId="37347B61">
            <w:pPr>
              <w:pStyle w:val="13"/>
            </w:pPr>
            <w:r>
              <w:t>服务对象满意度指标</w:t>
            </w:r>
          </w:p>
        </w:tc>
        <w:tc>
          <w:tcPr>
            <w:tcW w:w="2835" w:type="dxa"/>
            <w:vAlign w:val="center"/>
          </w:tcPr>
          <w:p w14:paraId="604AA1C1">
            <w:pPr>
              <w:pStyle w:val="13"/>
            </w:pPr>
            <w:r>
              <w:t>受益学生家长及调查满意度</w:t>
            </w:r>
          </w:p>
        </w:tc>
        <w:tc>
          <w:tcPr>
            <w:tcW w:w="5386" w:type="dxa"/>
            <w:vAlign w:val="center"/>
          </w:tcPr>
          <w:p w14:paraId="7EDBFA74">
            <w:pPr>
              <w:pStyle w:val="13"/>
            </w:pPr>
            <w:r>
              <w:t>学生、教师及家长对学校保教保育工作满意度情况</w:t>
            </w:r>
          </w:p>
        </w:tc>
        <w:tc>
          <w:tcPr>
            <w:tcW w:w="2268" w:type="dxa"/>
            <w:vAlign w:val="center"/>
          </w:tcPr>
          <w:p w14:paraId="39B56C8C">
            <w:pPr>
              <w:pStyle w:val="13"/>
            </w:pPr>
            <w:r>
              <w:t>≥95%</w:t>
            </w:r>
          </w:p>
        </w:tc>
        <w:tc>
          <w:tcPr>
            <w:tcW w:w="1276" w:type="dxa"/>
            <w:vAlign w:val="center"/>
          </w:tcPr>
          <w:p w14:paraId="1A5F0AFB">
            <w:pPr>
              <w:pStyle w:val="13"/>
            </w:pPr>
            <w:r>
              <w:t>公办幼儿园生均公用经费管理办法</w:t>
            </w:r>
          </w:p>
        </w:tc>
      </w:tr>
    </w:tbl>
    <w:p w14:paraId="60DBFEF7">
      <w:pPr>
        <w:sectPr>
          <w:pgSz w:w="16840" w:h="11900" w:orient="landscape"/>
          <w:pgMar w:top="1361" w:right="1020" w:bottom="1134" w:left="1020" w:header="720" w:footer="720" w:gutter="0"/>
          <w:cols w:space="720" w:num="1"/>
        </w:sectPr>
      </w:pPr>
    </w:p>
    <w:p w14:paraId="6ACE6C97">
      <w:pPr>
        <w:spacing w:before="0" w:after="0"/>
        <w:ind w:firstLine="560"/>
        <w:jc w:val="left"/>
        <w:outlineLvl w:val="9"/>
      </w:pPr>
      <w:r>
        <w:rPr>
          <w:rFonts w:ascii="方正仿宋_GBK" w:hAnsi="方正仿宋_GBK" w:eastAsia="方正仿宋_GBK" w:cs="方正仿宋_GBK"/>
          <w:b/>
          <w:color w:val="000000"/>
          <w:sz w:val="28"/>
        </w:rPr>
        <w:t>24、学前专项经费/牛家桥校区绩效目标表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F1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8C70F">
            <w:pPr>
              <w:pStyle w:val="14"/>
            </w:pPr>
            <w:r>
              <w:t>单位：万元</w:t>
            </w:r>
          </w:p>
        </w:tc>
      </w:tr>
      <w:tr w14:paraId="0B31A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0267D">
            <w:pPr>
              <w:pStyle w:val="11"/>
            </w:pPr>
            <w:r>
              <w:t>项目编码</w:t>
            </w:r>
          </w:p>
        </w:tc>
        <w:tc>
          <w:tcPr>
            <w:tcW w:w="5103" w:type="dxa"/>
            <w:gridSpan w:val="2"/>
            <w:vAlign w:val="center"/>
          </w:tcPr>
          <w:p w14:paraId="629EB181">
            <w:pPr>
              <w:pStyle w:val="13"/>
            </w:pPr>
            <w:r>
              <w:t>13052525P008756100448</w:t>
            </w:r>
          </w:p>
        </w:tc>
        <w:tc>
          <w:tcPr>
            <w:tcW w:w="2835" w:type="dxa"/>
            <w:vAlign w:val="center"/>
          </w:tcPr>
          <w:p w14:paraId="38DCAF2E">
            <w:pPr>
              <w:pStyle w:val="11"/>
            </w:pPr>
            <w:r>
              <w:t>项目名称</w:t>
            </w:r>
          </w:p>
        </w:tc>
        <w:tc>
          <w:tcPr>
            <w:tcW w:w="6095" w:type="dxa"/>
            <w:gridSpan w:val="3"/>
            <w:vAlign w:val="center"/>
          </w:tcPr>
          <w:p w14:paraId="65E3B5B4">
            <w:pPr>
              <w:pStyle w:val="13"/>
            </w:pPr>
            <w:r>
              <w:t>学前专项经费/牛家桥校区</w:t>
            </w:r>
          </w:p>
        </w:tc>
      </w:tr>
      <w:tr w14:paraId="05F8A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F44D7">
            <w:pPr>
              <w:pStyle w:val="11"/>
            </w:pPr>
            <w:r>
              <w:t>预算规模及资金用途</w:t>
            </w:r>
          </w:p>
        </w:tc>
        <w:tc>
          <w:tcPr>
            <w:tcW w:w="2268" w:type="dxa"/>
            <w:vAlign w:val="center"/>
          </w:tcPr>
          <w:p w14:paraId="46E1BD03">
            <w:pPr>
              <w:pStyle w:val="11"/>
            </w:pPr>
            <w:r>
              <w:t>预算数</w:t>
            </w:r>
          </w:p>
        </w:tc>
        <w:tc>
          <w:tcPr>
            <w:tcW w:w="2835" w:type="dxa"/>
            <w:vAlign w:val="center"/>
          </w:tcPr>
          <w:p w14:paraId="391027C0">
            <w:pPr>
              <w:pStyle w:val="13"/>
            </w:pPr>
            <w:r>
              <w:t>28.86</w:t>
            </w:r>
          </w:p>
        </w:tc>
        <w:tc>
          <w:tcPr>
            <w:tcW w:w="2835" w:type="dxa"/>
            <w:vAlign w:val="center"/>
          </w:tcPr>
          <w:p w14:paraId="70D4DA38">
            <w:pPr>
              <w:pStyle w:val="11"/>
            </w:pPr>
            <w:r>
              <w:t>其中：财政    资金</w:t>
            </w:r>
          </w:p>
        </w:tc>
        <w:tc>
          <w:tcPr>
            <w:tcW w:w="2551" w:type="dxa"/>
            <w:vAlign w:val="center"/>
          </w:tcPr>
          <w:p w14:paraId="7B649CFE">
            <w:pPr>
              <w:pStyle w:val="13"/>
            </w:pPr>
            <w:r>
              <w:t>28.86</w:t>
            </w:r>
          </w:p>
        </w:tc>
        <w:tc>
          <w:tcPr>
            <w:tcW w:w="2268" w:type="dxa"/>
            <w:vAlign w:val="center"/>
          </w:tcPr>
          <w:p w14:paraId="14813F7F">
            <w:pPr>
              <w:pStyle w:val="11"/>
            </w:pPr>
            <w:r>
              <w:t>其他资金</w:t>
            </w:r>
          </w:p>
        </w:tc>
        <w:tc>
          <w:tcPr>
            <w:tcW w:w="1276" w:type="dxa"/>
            <w:vAlign w:val="center"/>
          </w:tcPr>
          <w:p w14:paraId="363C7176">
            <w:pPr>
              <w:pStyle w:val="13"/>
            </w:pPr>
            <w:r>
              <w:t xml:space="preserve"> </w:t>
            </w:r>
          </w:p>
        </w:tc>
      </w:tr>
      <w:tr w14:paraId="68F10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95709"/>
        </w:tc>
        <w:tc>
          <w:tcPr>
            <w:tcW w:w="14033" w:type="dxa"/>
            <w:gridSpan w:val="6"/>
            <w:vAlign w:val="center"/>
          </w:tcPr>
          <w:p w14:paraId="17D66105">
            <w:pPr>
              <w:pStyle w:val="13"/>
            </w:pPr>
            <w:r>
              <w:t>按要求完成公立幼儿园保育费按月/季度上缴财政。按上缴财政序时进度完成公立幼儿园保育费支出。</w:t>
            </w:r>
          </w:p>
        </w:tc>
      </w:tr>
      <w:tr w14:paraId="14A88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75551">
            <w:pPr>
              <w:pStyle w:val="11"/>
            </w:pPr>
            <w:r>
              <w:t>资金支出计划（%）</w:t>
            </w:r>
          </w:p>
        </w:tc>
        <w:tc>
          <w:tcPr>
            <w:tcW w:w="5103" w:type="dxa"/>
            <w:gridSpan w:val="2"/>
            <w:vAlign w:val="center"/>
          </w:tcPr>
          <w:p w14:paraId="110D1F34">
            <w:pPr>
              <w:pStyle w:val="11"/>
            </w:pPr>
            <w:r>
              <w:t>3月底</w:t>
            </w:r>
          </w:p>
        </w:tc>
        <w:tc>
          <w:tcPr>
            <w:tcW w:w="2835" w:type="dxa"/>
            <w:vAlign w:val="center"/>
          </w:tcPr>
          <w:p w14:paraId="3DB405A2">
            <w:pPr>
              <w:pStyle w:val="11"/>
            </w:pPr>
            <w:r>
              <w:t>6月底</w:t>
            </w:r>
          </w:p>
        </w:tc>
        <w:tc>
          <w:tcPr>
            <w:tcW w:w="2551" w:type="dxa"/>
            <w:vAlign w:val="center"/>
          </w:tcPr>
          <w:p w14:paraId="5BAC1E0D">
            <w:pPr>
              <w:pStyle w:val="11"/>
            </w:pPr>
            <w:r>
              <w:t>10月底</w:t>
            </w:r>
          </w:p>
        </w:tc>
        <w:tc>
          <w:tcPr>
            <w:tcW w:w="3544" w:type="dxa"/>
            <w:gridSpan w:val="2"/>
            <w:vAlign w:val="center"/>
          </w:tcPr>
          <w:p w14:paraId="1E0AB1A3">
            <w:pPr>
              <w:pStyle w:val="11"/>
            </w:pPr>
            <w:r>
              <w:t>12月底</w:t>
            </w:r>
          </w:p>
        </w:tc>
      </w:tr>
      <w:tr w14:paraId="12209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5E7F9"/>
        </w:tc>
        <w:tc>
          <w:tcPr>
            <w:tcW w:w="5103" w:type="dxa"/>
            <w:gridSpan w:val="2"/>
            <w:vAlign w:val="center"/>
          </w:tcPr>
          <w:p w14:paraId="1B02B775">
            <w:pPr>
              <w:pStyle w:val="12"/>
            </w:pPr>
            <w:r>
              <w:t>25%</w:t>
            </w:r>
          </w:p>
        </w:tc>
        <w:tc>
          <w:tcPr>
            <w:tcW w:w="2835" w:type="dxa"/>
            <w:vAlign w:val="center"/>
          </w:tcPr>
          <w:p w14:paraId="49D4952D">
            <w:pPr>
              <w:pStyle w:val="12"/>
            </w:pPr>
            <w:r>
              <w:t>50%</w:t>
            </w:r>
          </w:p>
        </w:tc>
        <w:tc>
          <w:tcPr>
            <w:tcW w:w="2551" w:type="dxa"/>
            <w:vAlign w:val="center"/>
          </w:tcPr>
          <w:p w14:paraId="5BED259D">
            <w:pPr>
              <w:pStyle w:val="12"/>
            </w:pPr>
            <w:r>
              <w:t>75%</w:t>
            </w:r>
          </w:p>
        </w:tc>
        <w:tc>
          <w:tcPr>
            <w:tcW w:w="3544" w:type="dxa"/>
            <w:gridSpan w:val="2"/>
            <w:vAlign w:val="center"/>
          </w:tcPr>
          <w:p w14:paraId="2E55E1A5">
            <w:pPr>
              <w:pStyle w:val="12"/>
            </w:pPr>
            <w:r>
              <w:t>100%</w:t>
            </w:r>
          </w:p>
        </w:tc>
      </w:tr>
      <w:tr w14:paraId="6FE3C8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A61E9">
            <w:pPr>
              <w:pStyle w:val="11"/>
            </w:pPr>
            <w:r>
              <w:t>绩效目标</w:t>
            </w:r>
          </w:p>
        </w:tc>
        <w:tc>
          <w:tcPr>
            <w:tcW w:w="14033" w:type="dxa"/>
            <w:gridSpan w:val="6"/>
            <w:vAlign w:val="center"/>
          </w:tcPr>
          <w:p w14:paraId="26E23492">
            <w:pPr>
              <w:pStyle w:val="13"/>
            </w:pPr>
            <w:r>
              <w:t>1.按要求完成公立幼儿园保育费按月/季度上缴财政。</w:t>
            </w:r>
          </w:p>
          <w:p w14:paraId="7440314B">
            <w:pPr>
              <w:pStyle w:val="13"/>
            </w:pPr>
            <w:r>
              <w:t>2.按上缴财政序时进度完成公立幼儿园保育费支出。</w:t>
            </w:r>
          </w:p>
          <w:p w14:paraId="6F5EDACE">
            <w:pPr>
              <w:pStyle w:val="13"/>
            </w:pPr>
            <w:r>
              <w:t>3.按预算要求完成2025年度学前教学任务提升及教学质量提高。</w:t>
            </w:r>
          </w:p>
        </w:tc>
      </w:tr>
    </w:tbl>
    <w:p w14:paraId="0C225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A26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5FB32">
            <w:pPr>
              <w:pStyle w:val="11"/>
            </w:pPr>
            <w:r>
              <w:t>一级指标</w:t>
            </w:r>
          </w:p>
        </w:tc>
        <w:tc>
          <w:tcPr>
            <w:tcW w:w="2268" w:type="dxa"/>
            <w:vAlign w:val="center"/>
          </w:tcPr>
          <w:p w14:paraId="54EC221A">
            <w:pPr>
              <w:pStyle w:val="11"/>
            </w:pPr>
            <w:r>
              <w:t>二级指标</w:t>
            </w:r>
          </w:p>
        </w:tc>
        <w:tc>
          <w:tcPr>
            <w:tcW w:w="2835" w:type="dxa"/>
            <w:vAlign w:val="center"/>
          </w:tcPr>
          <w:p w14:paraId="573008F1">
            <w:pPr>
              <w:pStyle w:val="11"/>
            </w:pPr>
            <w:r>
              <w:t>三级指标</w:t>
            </w:r>
          </w:p>
        </w:tc>
        <w:tc>
          <w:tcPr>
            <w:tcW w:w="5386" w:type="dxa"/>
            <w:vAlign w:val="center"/>
          </w:tcPr>
          <w:p w14:paraId="3DE8B481">
            <w:pPr>
              <w:pStyle w:val="11"/>
            </w:pPr>
            <w:r>
              <w:t>绩效指标描述</w:t>
            </w:r>
          </w:p>
        </w:tc>
        <w:tc>
          <w:tcPr>
            <w:tcW w:w="2268" w:type="dxa"/>
            <w:vAlign w:val="center"/>
          </w:tcPr>
          <w:p w14:paraId="1A6B44FA">
            <w:pPr>
              <w:pStyle w:val="11"/>
            </w:pPr>
            <w:r>
              <w:t>指标值</w:t>
            </w:r>
          </w:p>
        </w:tc>
        <w:tc>
          <w:tcPr>
            <w:tcW w:w="1276" w:type="dxa"/>
            <w:vAlign w:val="center"/>
          </w:tcPr>
          <w:p w14:paraId="6F9F4C9B">
            <w:pPr>
              <w:pStyle w:val="11"/>
            </w:pPr>
            <w:r>
              <w:t>指标值确定依据</w:t>
            </w:r>
          </w:p>
        </w:tc>
      </w:tr>
      <w:tr w14:paraId="76D35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DFA92">
            <w:pPr>
              <w:pStyle w:val="12"/>
            </w:pPr>
            <w:r>
              <w:t>产出指标</w:t>
            </w:r>
          </w:p>
        </w:tc>
        <w:tc>
          <w:tcPr>
            <w:tcW w:w="2268" w:type="dxa"/>
            <w:vAlign w:val="center"/>
          </w:tcPr>
          <w:p w14:paraId="5996DBAB">
            <w:pPr>
              <w:pStyle w:val="13"/>
            </w:pPr>
            <w:r>
              <w:t>数量指标</w:t>
            </w:r>
          </w:p>
        </w:tc>
        <w:tc>
          <w:tcPr>
            <w:tcW w:w="2835" w:type="dxa"/>
            <w:vAlign w:val="center"/>
          </w:tcPr>
          <w:p w14:paraId="77988E11">
            <w:pPr>
              <w:pStyle w:val="13"/>
            </w:pPr>
            <w:r>
              <w:t>适龄在园生</w:t>
            </w:r>
          </w:p>
        </w:tc>
        <w:tc>
          <w:tcPr>
            <w:tcW w:w="5386" w:type="dxa"/>
            <w:vAlign w:val="center"/>
          </w:tcPr>
          <w:p w14:paraId="4DF14155">
            <w:pPr>
              <w:pStyle w:val="13"/>
            </w:pPr>
            <w:r>
              <w:t>适龄在园学生人数</w:t>
            </w:r>
          </w:p>
        </w:tc>
        <w:tc>
          <w:tcPr>
            <w:tcW w:w="2268" w:type="dxa"/>
            <w:vAlign w:val="center"/>
          </w:tcPr>
          <w:p w14:paraId="26B0FE7D">
            <w:pPr>
              <w:pStyle w:val="13"/>
            </w:pPr>
            <w:r>
              <w:t>≥150 人</w:t>
            </w:r>
          </w:p>
        </w:tc>
        <w:tc>
          <w:tcPr>
            <w:tcW w:w="1276" w:type="dxa"/>
            <w:vAlign w:val="center"/>
          </w:tcPr>
          <w:p w14:paraId="7D6D4420">
            <w:pPr>
              <w:pStyle w:val="13"/>
            </w:pPr>
            <w:r>
              <w:t>年度工作计划</w:t>
            </w:r>
          </w:p>
        </w:tc>
      </w:tr>
      <w:tr w14:paraId="2586E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31BF"/>
        </w:tc>
        <w:tc>
          <w:tcPr>
            <w:tcW w:w="2268" w:type="dxa"/>
            <w:vAlign w:val="center"/>
          </w:tcPr>
          <w:p w14:paraId="0CC6EFD6">
            <w:pPr>
              <w:pStyle w:val="13"/>
            </w:pPr>
            <w:r>
              <w:t>质量指标</w:t>
            </w:r>
          </w:p>
        </w:tc>
        <w:tc>
          <w:tcPr>
            <w:tcW w:w="2835" w:type="dxa"/>
            <w:vAlign w:val="center"/>
          </w:tcPr>
          <w:p w14:paraId="6B63D2C9">
            <w:pPr>
              <w:pStyle w:val="13"/>
            </w:pPr>
            <w:r>
              <w:t>按月上缴财政完成率</w:t>
            </w:r>
          </w:p>
        </w:tc>
        <w:tc>
          <w:tcPr>
            <w:tcW w:w="5386" w:type="dxa"/>
            <w:vAlign w:val="center"/>
          </w:tcPr>
          <w:p w14:paraId="45271F0C">
            <w:pPr>
              <w:pStyle w:val="13"/>
            </w:pPr>
            <w:r>
              <w:t>按月完成公立幼儿园保育费上缴财政</w:t>
            </w:r>
          </w:p>
        </w:tc>
        <w:tc>
          <w:tcPr>
            <w:tcW w:w="2268" w:type="dxa"/>
            <w:vAlign w:val="center"/>
          </w:tcPr>
          <w:p w14:paraId="4C0E10A2">
            <w:pPr>
              <w:pStyle w:val="13"/>
            </w:pPr>
            <w:r>
              <w:t>≥100%</w:t>
            </w:r>
          </w:p>
        </w:tc>
        <w:tc>
          <w:tcPr>
            <w:tcW w:w="1276" w:type="dxa"/>
            <w:vAlign w:val="center"/>
          </w:tcPr>
          <w:p w14:paraId="0FADCD42">
            <w:pPr>
              <w:pStyle w:val="13"/>
            </w:pPr>
            <w:r>
              <w:t>年度工作计划</w:t>
            </w:r>
          </w:p>
        </w:tc>
      </w:tr>
      <w:tr w14:paraId="643FF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1D4D0"/>
        </w:tc>
        <w:tc>
          <w:tcPr>
            <w:tcW w:w="2268" w:type="dxa"/>
            <w:vAlign w:val="center"/>
          </w:tcPr>
          <w:p w14:paraId="29CA1B29">
            <w:pPr>
              <w:pStyle w:val="13"/>
            </w:pPr>
            <w:r>
              <w:t>时效指标</w:t>
            </w:r>
          </w:p>
        </w:tc>
        <w:tc>
          <w:tcPr>
            <w:tcW w:w="2835" w:type="dxa"/>
            <w:vAlign w:val="center"/>
          </w:tcPr>
          <w:p w14:paraId="5D92065C">
            <w:pPr>
              <w:pStyle w:val="13"/>
            </w:pPr>
            <w:r>
              <w:t>资金支付率</w:t>
            </w:r>
          </w:p>
        </w:tc>
        <w:tc>
          <w:tcPr>
            <w:tcW w:w="5386" w:type="dxa"/>
            <w:vAlign w:val="center"/>
          </w:tcPr>
          <w:p w14:paraId="4E583D85">
            <w:pPr>
              <w:pStyle w:val="13"/>
            </w:pPr>
            <w:r>
              <w:t>按照上缴财政进度完成公立幼儿园保育费支付</w:t>
            </w:r>
          </w:p>
        </w:tc>
        <w:tc>
          <w:tcPr>
            <w:tcW w:w="2268" w:type="dxa"/>
            <w:vAlign w:val="center"/>
          </w:tcPr>
          <w:p w14:paraId="6044A859">
            <w:pPr>
              <w:pStyle w:val="13"/>
            </w:pPr>
            <w:r>
              <w:t>≥100%</w:t>
            </w:r>
          </w:p>
        </w:tc>
        <w:tc>
          <w:tcPr>
            <w:tcW w:w="1276" w:type="dxa"/>
            <w:vAlign w:val="center"/>
          </w:tcPr>
          <w:p w14:paraId="02E20C6C">
            <w:pPr>
              <w:pStyle w:val="13"/>
            </w:pPr>
            <w:r>
              <w:t>年度工作计划</w:t>
            </w:r>
          </w:p>
        </w:tc>
      </w:tr>
      <w:tr w14:paraId="4F1BE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7F8D2"/>
        </w:tc>
        <w:tc>
          <w:tcPr>
            <w:tcW w:w="2268" w:type="dxa"/>
            <w:vAlign w:val="center"/>
          </w:tcPr>
          <w:p w14:paraId="198745A4">
            <w:pPr>
              <w:pStyle w:val="13"/>
            </w:pPr>
            <w:r>
              <w:t>成本指标</w:t>
            </w:r>
          </w:p>
        </w:tc>
        <w:tc>
          <w:tcPr>
            <w:tcW w:w="2835" w:type="dxa"/>
            <w:vAlign w:val="center"/>
          </w:tcPr>
          <w:p w14:paraId="7573B2B6">
            <w:pPr>
              <w:pStyle w:val="13"/>
            </w:pPr>
            <w:r>
              <w:t>公办幼儿园保育费收费标准</w:t>
            </w:r>
          </w:p>
        </w:tc>
        <w:tc>
          <w:tcPr>
            <w:tcW w:w="5386" w:type="dxa"/>
            <w:vAlign w:val="center"/>
          </w:tcPr>
          <w:p w14:paraId="4AE872DC">
            <w:pPr>
              <w:pStyle w:val="13"/>
            </w:pPr>
            <w:r>
              <w:t>农村二类园130元/月/生</w:t>
            </w:r>
          </w:p>
        </w:tc>
        <w:tc>
          <w:tcPr>
            <w:tcW w:w="2268" w:type="dxa"/>
            <w:vAlign w:val="center"/>
          </w:tcPr>
          <w:p w14:paraId="79754302">
            <w:pPr>
              <w:pStyle w:val="13"/>
            </w:pPr>
            <w:r>
              <w:t>130元</w:t>
            </w:r>
          </w:p>
        </w:tc>
        <w:tc>
          <w:tcPr>
            <w:tcW w:w="1276" w:type="dxa"/>
            <w:vAlign w:val="center"/>
          </w:tcPr>
          <w:p w14:paraId="78F996ED">
            <w:pPr>
              <w:pStyle w:val="13"/>
            </w:pPr>
            <w:r>
              <w:t>年度工作计划</w:t>
            </w:r>
          </w:p>
        </w:tc>
      </w:tr>
      <w:tr w14:paraId="04E70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0EBC9"/>
        </w:tc>
        <w:tc>
          <w:tcPr>
            <w:tcW w:w="2268" w:type="dxa"/>
            <w:vAlign w:val="center"/>
          </w:tcPr>
          <w:p w14:paraId="0BA1DF67">
            <w:pPr>
              <w:pStyle w:val="13"/>
            </w:pPr>
            <w:r>
              <w:t>成本指标</w:t>
            </w:r>
          </w:p>
        </w:tc>
        <w:tc>
          <w:tcPr>
            <w:tcW w:w="2835" w:type="dxa"/>
            <w:vAlign w:val="center"/>
          </w:tcPr>
          <w:p w14:paraId="53F48160">
            <w:pPr>
              <w:pStyle w:val="13"/>
            </w:pPr>
            <w:r>
              <w:t>公办幼儿园保育费收费标准</w:t>
            </w:r>
          </w:p>
        </w:tc>
        <w:tc>
          <w:tcPr>
            <w:tcW w:w="5386" w:type="dxa"/>
            <w:vAlign w:val="center"/>
          </w:tcPr>
          <w:p w14:paraId="66FD0770">
            <w:pPr>
              <w:pStyle w:val="13"/>
            </w:pPr>
            <w:r>
              <w:t>农村一类园150元/月/生</w:t>
            </w:r>
          </w:p>
        </w:tc>
        <w:tc>
          <w:tcPr>
            <w:tcW w:w="2268" w:type="dxa"/>
            <w:vAlign w:val="center"/>
          </w:tcPr>
          <w:p w14:paraId="34E51E76">
            <w:pPr>
              <w:pStyle w:val="13"/>
            </w:pPr>
            <w:r>
              <w:t>150元</w:t>
            </w:r>
          </w:p>
        </w:tc>
        <w:tc>
          <w:tcPr>
            <w:tcW w:w="1276" w:type="dxa"/>
            <w:vAlign w:val="center"/>
          </w:tcPr>
          <w:p w14:paraId="220C9A3E">
            <w:pPr>
              <w:pStyle w:val="13"/>
            </w:pPr>
            <w:r>
              <w:t>年度工作计划</w:t>
            </w:r>
          </w:p>
        </w:tc>
      </w:tr>
      <w:tr w14:paraId="17A23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CDC3F"/>
        </w:tc>
        <w:tc>
          <w:tcPr>
            <w:tcW w:w="2268" w:type="dxa"/>
            <w:vAlign w:val="center"/>
          </w:tcPr>
          <w:p w14:paraId="5C3F9163">
            <w:pPr>
              <w:pStyle w:val="13"/>
            </w:pPr>
            <w:r>
              <w:t>成本指标</w:t>
            </w:r>
          </w:p>
        </w:tc>
        <w:tc>
          <w:tcPr>
            <w:tcW w:w="2835" w:type="dxa"/>
            <w:vAlign w:val="center"/>
          </w:tcPr>
          <w:p w14:paraId="135DE0E1">
            <w:pPr>
              <w:pStyle w:val="13"/>
            </w:pPr>
            <w:r>
              <w:t>公办幼儿园保育费收费标准</w:t>
            </w:r>
          </w:p>
        </w:tc>
        <w:tc>
          <w:tcPr>
            <w:tcW w:w="5386" w:type="dxa"/>
            <w:vAlign w:val="center"/>
          </w:tcPr>
          <w:p w14:paraId="4AA4BF91">
            <w:pPr>
              <w:pStyle w:val="13"/>
            </w:pPr>
            <w:r>
              <w:t>农村示范园170元/月/生</w:t>
            </w:r>
          </w:p>
        </w:tc>
        <w:tc>
          <w:tcPr>
            <w:tcW w:w="2268" w:type="dxa"/>
            <w:vAlign w:val="center"/>
          </w:tcPr>
          <w:p w14:paraId="0351F550">
            <w:pPr>
              <w:pStyle w:val="13"/>
            </w:pPr>
            <w:r>
              <w:t>170元</w:t>
            </w:r>
          </w:p>
        </w:tc>
        <w:tc>
          <w:tcPr>
            <w:tcW w:w="1276" w:type="dxa"/>
            <w:vAlign w:val="center"/>
          </w:tcPr>
          <w:p w14:paraId="4F1B9330">
            <w:pPr>
              <w:pStyle w:val="13"/>
            </w:pPr>
            <w:r>
              <w:t>年度工作计划</w:t>
            </w:r>
          </w:p>
        </w:tc>
      </w:tr>
      <w:tr w14:paraId="79362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7B5FFD">
            <w:pPr>
              <w:pStyle w:val="12"/>
            </w:pPr>
            <w:r>
              <w:t>效益指标</w:t>
            </w:r>
          </w:p>
        </w:tc>
        <w:tc>
          <w:tcPr>
            <w:tcW w:w="2268" w:type="dxa"/>
            <w:vAlign w:val="center"/>
          </w:tcPr>
          <w:p w14:paraId="21A843BB">
            <w:pPr>
              <w:pStyle w:val="13"/>
            </w:pPr>
            <w:r>
              <w:t>可持续影响指标</w:t>
            </w:r>
          </w:p>
        </w:tc>
        <w:tc>
          <w:tcPr>
            <w:tcW w:w="2835" w:type="dxa"/>
            <w:vAlign w:val="center"/>
          </w:tcPr>
          <w:p w14:paraId="6FA85454">
            <w:pPr>
              <w:pStyle w:val="13"/>
            </w:pPr>
            <w:r>
              <w:t>学校运转得到提高</w:t>
            </w:r>
          </w:p>
        </w:tc>
        <w:tc>
          <w:tcPr>
            <w:tcW w:w="5386" w:type="dxa"/>
            <w:vAlign w:val="center"/>
          </w:tcPr>
          <w:p w14:paraId="1FA56170">
            <w:pPr>
              <w:pStyle w:val="13"/>
            </w:pPr>
            <w:r>
              <w:t>幼儿受教育年限</w:t>
            </w:r>
          </w:p>
        </w:tc>
        <w:tc>
          <w:tcPr>
            <w:tcW w:w="2268" w:type="dxa"/>
            <w:vAlign w:val="center"/>
          </w:tcPr>
          <w:p w14:paraId="4E228211">
            <w:pPr>
              <w:pStyle w:val="13"/>
            </w:pPr>
            <w:r>
              <w:t>3年</w:t>
            </w:r>
          </w:p>
        </w:tc>
        <w:tc>
          <w:tcPr>
            <w:tcW w:w="1276" w:type="dxa"/>
            <w:vAlign w:val="center"/>
          </w:tcPr>
          <w:p w14:paraId="32BB30C4">
            <w:pPr>
              <w:pStyle w:val="13"/>
            </w:pPr>
            <w:r>
              <w:t>年度工作计划</w:t>
            </w:r>
          </w:p>
        </w:tc>
      </w:tr>
      <w:tr w14:paraId="05C2D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F7EE05">
            <w:pPr>
              <w:pStyle w:val="12"/>
            </w:pPr>
            <w:r>
              <w:t>满意度指标</w:t>
            </w:r>
          </w:p>
        </w:tc>
        <w:tc>
          <w:tcPr>
            <w:tcW w:w="2268" w:type="dxa"/>
            <w:vAlign w:val="center"/>
          </w:tcPr>
          <w:p w14:paraId="4F2FCBB7">
            <w:pPr>
              <w:pStyle w:val="13"/>
            </w:pPr>
            <w:r>
              <w:t>服务对象满意度指标</w:t>
            </w:r>
          </w:p>
        </w:tc>
        <w:tc>
          <w:tcPr>
            <w:tcW w:w="2835" w:type="dxa"/>
            <w:vAlign w:val="center"/>
          </w:tcPr>
          <w:p w14:paraId="5A1574EB">
            <w:pPr>
              <w:pStyle w:val="13"/>
            </w:pPr>
            <w:r>
              <w:t>受益学生家长及调查满意度</w:t>
            </w:r>
          </w:p>
        </w:tc>
        <w:tc>
          <w:tcPr>
            <w:tcW w:w="5386" w:type="dxa"/>
            <w:vAlign w:val="center"/>
          </w:tcPr>
          <w:p w14:paraId="50F3DA35">
            <w:pPr>
              <w:pStyle w:val="13"/>
            </w:pPr>
            <w:r>
              <w:t>幼儿、教师及家长对学校保教保育工作满意度情况</w:t>
            </w:r>
          </w:p>
        </w:tc>
        <w:tc>
          <w:tcPr>
            <w:tcW w:w="2268" w:type="dxa"/>
            <w:vAlign w:val="center"/>
          </w:tcPr>
          <w:p w14:paraId="68C30401">
            <w:pPr>
              <w:pStyle w:val="13"/>
            </w:pPr>
            <w:r>
              <w:t>≥95%</w:t>
            </w:r>
          </w:p>
        </w:tc>
        <w:tc>
          <w:tcPr>
            <w:tcW w:w="1276" w:type="dxa"/>
            <w:vAlign w:val="center"/>
          </w:tcPr>
          <w:p w14:paraId="7C68F66E">
            <w:pPr>
              <w:pStyle w:val="13"/>
            </w:pPr>
            <w:r>
              <w:t>年度工作计划</w:t>
            </w:r>
          </w:p>
        </w:tc>
      </w:tr>
    </w:tbl>
    <w:p w14:paraId="4ABCED32">
      <w:pPr>
        <w:sectPr>
          <w:pgSz w:w="16840" w:h="11900" w:orient="landscape"/>
          <w:pgMar w:top="1361" w:right="1020" w:bottom="1134" w:left="1020" w:header="720" w:footer="720" w:gutter="0"/>
          <w:cols w:space="720" w:num="1"/>
        </w:sectPr>
      </w:pPr>
    </w:p>
    <w:p w14:paraId="038B30D1">
      <w:pPr>
        <w:spacing w:before="10" w:after="10" w:line="240" w:lineRule="auto"/>
        <w:ind w:firstLine="640"/>
        <w:jc w:val="left"/>
        <w:outlineLvl w:val="5"/>
      </w:pPr>
      <w:r>
        <w:rPr>
          <w:rFonts w:ascii="黑体" w:hAnsi="黑体" w:eastAsia="黑体" w:cs="黑体"/>
          <w:color w:val="000000"/>
          <w:sz w:val="32"/>
        </w:rPr>
        <w:t>六、政府采购预算情况</w:t>
      </w:r>
    </w:p>
    <w:p w14:paraId="4151FA7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EAE4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7D69211">
            <w:pPr>
              <w:pStyle w:val="8"/>
            </w:pPr>
            <w:r>
              <w:t>360026隆尧县牛家桥校区</w:t>
            </w:r>
          </w:p>
        </w:tc>
        <w:tc>
          <w:tcPr>
            <w:tcW w:w="7712" w:type="dxa"/>
            <w:gridSpan w:val="8"/>
            <w:tcBorders>
              <w:top w:val="single" w:color="FFFFFF" w:sz="6" w:space="0"/>
              <w:left w:val="single" w:color="FFFFFF" w:sz="6" w:space="0"/>
              <w:right w:val="single" w:color="FFFFFF" w:sz="6" w:space="0"/>
            </w:tcBorders>
            <w:vAlign w:val="center"/>
          </w:tcPr>
          <w:p w14:paraId="424FED19">
            <w:pPr>
              <w:pStyle w:val="22"/>
            </w:pPr>
            <w:r>
              <w:t>单位：万元</w:t>
            </w:r>
          </w:p>
        </w:tc>
      </w:tr>
      <w:tr w14:paraId="14D07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DD8021A">
            <w:pPr>
              <w:pStyle w:val="11"/>
            </w:pPr>
            <w:r>
              <w:t>政府采购项目来源</w:t>
            </w:r>
          </w:p>
        </w:tc>
        <w:tc>
          <w:tcPr>
            <w:tcW w:w="1134" w:type="dxa"/>
            <w:vMerge w:val="restart"/>
            <w:vAlign w:val="center"/>
          </w:tcPr>
          <w:p w14:paraId="5DD9E805">
            <w:pPr>
              <w:pStyle w:val="11"/>
            </w:pPr>
            <w:r>
              <w:t>采购物品名称</w:t>
            </w:r>
          </w:p>
        </w:tc>
        <w:tc>
          <w:tcPr>
            <w:tcW w:w="1134" w:type="dxa"/>
            <w:vMerge w:val="restart"/>
            <w:vAlign w:val="center"/>
          </w:tcPr>
          <w:p w14:paraId="54099C39">
            <w:pPr>
              <w:pStyle w:val="11"/>
            </w:pPr>
            <w:r>
              <w:t>政府采购目录序号</w:t>
            </w:r>
          </w:p>
        </w:tc>
        <w:tc>
          <w:tcPr>
            <w:tcW w:w="709" w:type="dxa"/>
            <w:vMerge w:val="restart"/>
            <w:vAlign w:val="center"/>
          </w:tcPr>
          <w:p w14:paraId="61F7781A">
            <w:pPr>
              <w:pStyle w:val="11"/>
            </w:pPr>
            <w:r>
              <w:t>计量  单位</w:t>
            </w:r>
          </w:p>
        </w:tc>
        <w:tc>
          <w:tcPr>
            <w:tcW w:w="850" w:type="dxa"/>
            <w:vMerge w:val="restart"/>
            <w:vAlign w:val="center"/>
          </w:tcPr>
          <w:p w14:paraId="019FFFAD">
            <w:pPr>
              <w:pStyle w:val="11"/>
            </w:pPr>
            <w:r>
              <w:t>数量</w:t>
            </w:r>
          </w:p>
        </w:tc>
        <w:tc>
          <w:tcPr>
            <w:tcW w:w="850" w:type="dxa"/>
            <w:vMerge w:val="restart"/>
            <w:vAlign w:val="center"/>
          </w:tcPr>
          <w:p w14:paraId="7288FE62">
            <w:pPr>
              <w:pStyle w:val="11"/>
            </w:pPr>
            <w:r>
              <w:t>单价</w:t>
            </w:r>
          </w:p>
        </w:tc>
        <w:tc>
          <w:tcPr>
            <w:tcW w:w="6748" w:type="dxa"/>
            <w:gridSpan w:val="7"/>
            <w:vAlign w:val="center"/>
          </w:tcPr>
          <w:p w14:paraId="1DFADA14">
            <w:pPr>
              <w:pStyle w:val="11"/>
            </w:pPr>
            <w:r>
              <w:t>政府采购金额（当年部门预算安排资金）</w:t>
            </w:r>
          </w:p>
        </w:tc>
        <w:tc>
          <w:tcPr>
            <w:tcW w:w="964" w:type="dxa"/>
            <w:vMerge w:val="restart"/>
            <w:vAlign w:val="center"/>
          </w:tcPr>
          <w:p w14:paraId="58F0BC02">
            <w:pPr>
              <w:pStyle w:val="11"/>
            </w:pPr>
            <w:r>
              <w:t>2025年  预留中  小微企  业份额</w:t>
            </w:r>
          </w:p>
        </w:tc>
      </w:tr>
      <w:tr w14:paraId="23791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EEA504B">
            <w:pPr>
              <w:pStyle w:val="11"/>
            </w:pPr>
            <w:r>
              <w:t>项目名称</w:t>
            </w:r>
          </w:p>
        </w:tc>
        <w:tc>
          <w:tcPr>
            <w:tcW w:w="964" w:type="dxa"/>
            <w:vAlign w:val="center"/>
          </w:tcPr>
          <w:p w14:paraId="7B8FCE41">
            <w:pPr>
              <w:pStyle w:val="11"/>
            </w:pPr>
            <w:r>
              <w:t>预算    资金</w:t>
            </w:r>
          </w:p>
        </w:tc>
        <w:tc>
          <w:tcPr>
            <w:tcW w:w="1134" w:type="dxa"/>
            <w:vMerge w:val="continue"/>
          </w:tcPr>
          <w:p w14:paraId="12E2FF14"/>
        </w:tc>
        <w:tc>
          <w:tcPr>
            <w:tcW w:w="1134" w:type="dxa"/>
            <w:vMerge w:val="continue"/>
          </w:tcPr>
          <w:p w14:paraId="5A0192BB"/>
        </w:tc>
        <w:tc>
          <w:tcPr>
            <w:tcW w:w="709" w:type="dxa"/>
            <w:vMerge w:val="continue"/>
          </w:tcPr>
          <w:p w14:paraId="69692D29"/>
        </w:tc>
        <w:tc>
          <w:tcPr>
            <w:tcW w:w="850" w:type="dxa"/>
            <w:vMerge w:val="continue"/>
          </w:tcPr>
          <w:p w14:paraId="438D7CA5"/>
        </w:tc>
        <w:tc>
          <w:tcPr>
            <w:tcW w:w="850" w:type="dxa"/>
            <w:vMerge w:val="continue"/>
          </w:tcPr>
          <w:p w14:paraId="31BFF4C5"/>
        </w:tc>
        <w:tc>
          <w:tcPr>
            <w:tcW w:w="964" w:type="dxa"/>
            <w:vAlign w:val="center"/>
          </w:tcPr>
          <w:p w14:paraId="504449F8">
            <w:pPr>
              <w:pStyle w:val="11"/>
            </w:pPr>
            <w:r>
              <w:t>合计</w:t>
            </w:r>
          </w:p>
        </w:tc>
        <w:tc>
          <w:tcPr>
            <w:tcW w:w="964" w:type="dxa"/>
            <w:vAlign w:val="center"/>
          </w:tcPr>
          <w:p w14:paraId="5E7F5F3B">
            <w:pPr>
              <w:pStyle w:val="11"/>
            </w:pPr>
            <w:r>
              <w:t>一般公共预算拨款</w:t>
            </w:r>
          </w:p>
        </w:tc>
        <w:tc>
          <w:tcPr>
            <w:tcW w:w="964" w:type="dxa"/>
            <w:vAlign w:val="center"/>
          </w:tcPr>
          <w:p w14:paraId="3C3DD1CC">
            <w:pPr>
              <w:pStyle w:val="11"/>
            </w:pPr>
            <w:r>
              <w:t>基金预算拨款</w:t>
            </w:r>
          </w:p>
        </w:tc>
        <w:tc>
          <w:tcPr>
            <w:tcW w:w="964" w:type="dxa"/>
            <w:vAlign w:val="center"/>
          </w:tcPr>
          <w:p w14:paraId="2441430A">
            <w:pPr>
              <w:pStyle w:val="11"/>
            </w:pPr>
            <w:r>
              <w:t>国有资本经营预算拨款</w:t>
            </w:r>
          </w:p>
        </w:tc>
        <w:tc>
          <w:tcPr>
            <w:tcW w:w="964" w:type="dxa"/>
            <w:vAlign w:val="center"/>
          </w:tcPr>
          <w:p w14:paraId="45405FF9">
            <w:pPr>
              <w:pStyle w:val="11"/>
            </w:pPr>
            <w:r>
              <w:t>财政专户核拨</w:t>
            </w:r>
          </w:p>
        </w:tc>
        <w:tc>
          <w:tcPr>
            <w:tcW w:w="964" w:type="dxa"/>
            <w:vAlign w:val="center"/>
          </w:tcPr>
          <w:p w14:paraId="627CDF89">
            <w:pPr>
              <w:pStyle w:val="11"/>
            </w:pPr>
            <w:r>
              <w:t>单位    资金</w:t>
            </w:r>
          </w:p>
        </w:tc>
        <w:tc>
          <w:tcPr>
            <w:tcW w:w="964" w:type="dxa"/>
            <w:vAlign w:val="center"/>
          </w:tcPr>
          <w:p w14:paraId="1BBB2D79">
            <w:pPr>
              <w:pStyle w:val="11"/>
            </w:pPr>
            <w:r>
              <w:t>上年结转结余</w:t>
            </w:r>
          </w:p>
        </w:tc>
        <w:tc>
          <w:tcPr>
            <w:tcW w:w="964" w:type="dxa"/>
            <w:vMerge w:val="continue"/>
          </w:tcPr>
          <w:p w14:paraId="37100695"/>
        </w:tc>
      </w:tr>
      <w:tr w14:paraId="681F5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619DAB">
            <w:pPr>
              <w:pStyle w:val="15"/>
            </w:pPr>
            <w:r>
              <w:t>合  计</w:t>
            </w:r>
          </w:p>
        </w:tc>
        <w:tc>
          <w:tcPr>
            <w:tcW w:w="964" w:type="dxa"/>
            <w:vAlign w:val="center"/>
          </w:tcPr>
          <w:p w14:paraId="22944431">
            <w:pPr>
              <w:pStyle w:val="16"/>
            </w:pPr>
          </w:p>
        </w:tc>
        <w:tc>
          <w:tcPr>
            <w:tcW w:w="1134" w:type="dxa"/>
            <w:vAlign w:val="center"/>
          </w:tcPr>
          <w:p w14:paraId="24F2C14E">
            <w:pPr>
              <w:pStyle w:val="17"/>
            </w:pPr>
          </w:p>
        </w:tc>
        <w:tc>
          <w:tcPr>
            <w:tcW w:w="1134" w:type="dxa"/>
            <w:vAlign w:val="center"/>
          </w:tcPr>
          <w:p w14:paraId="1462B243">
            <w:pPr>
              <w:pStyle w:val="17"/>
            </w:pPr>
          </w:p>
        </w:tc>
        <w:tc>
          <w:tcPr>
            <w:tcW w:w="709" w:type="dxa"/>
            <w:vAlign w:val="center"/>
          </w:tcPr>
          <w:p w14:paraId="0C9EDF09">
            <w:pPr>
              <w:pStyle w:val="15"/>
            </w:pPr>
          </w:p>
        </w:tc>
        <w:tc>
          <w:tcPr>
            <w:tcW w:w="850" w:type="dxa"/>
            <w:vAlign w:val="center"/>
          </w:tcPr>
          <w:p w14:paraId="5D7A6315">
            <w:pPr>
              <w:pStyle w:val="16"/>
            </w:pPr>
          </w:p>
        </w:tc>
        <w:tc>
          <w:tcPr>
            <w:tcW w:w="850" w:type="dxa"/>
            <w:vAlign w:val="center"/>
          </w:tcPr>
          <w:p w14:paraId="35FEB870">
            <w:pPr>
              <w:pStyle w:val="16"/>
            </w:pPr>
          </w:p>
        </w:tc>
        <w:tc>
          <w:tcPr>
            <w:tcW w:w="964" w:type="dxa"/>
            <w:vAlign w:val="center"/>
          </w:tcPr>
          <w:p w14:paraId="1C2DAEA8">
            <w:pPr>
              <w:pStyle w:val="16"/>
            </w:pPr>
            <w:r>
              <w:t>16.76</w:t>
            </w:r>
          </w:p>
        </w:tc>
        <w:tc>
          <w:tcPr>
            <w:tcW w:w="964" w:type="dxa"/>
            <w:vAlign w:val="center"/>
          </w:tcPr>
          <w:p w14:paraId="2826ABC4">
            <w:pPr>
              <w:pStyle w:val="16"/>
            </w:pPr>
            <w:r>
              <w:t>16.76</w:t>
            </w:r>
          </w:p>
        </w:tc>
        <w:tc>
          <w:tcPr>
            <w:tcW w:w="964" w:type="dxa"/>
            <w:vAlign w:val="center"/>
          </w:tcPr>
          <w:p w14:paraId="2F1DE0FC">
            <w:pPr>
              <w:pStyle w:val="16"/>
            </w:pPr>
          </w:p>
        </w:tc>
        <w:tc>
          <w:tcPr>
            <w:tcW w:w="964" w:type="dxa"/>
            <w:vAlign w:val="center"/>
          </w:tcPr>
          <w:p w14:paraId="2B30A0D2">
            <w:pPr>
              <w:pStyle w:val="16"/>
            </w:pPr>
          </w:p>
        </w:tc>
        <w:tc>
          <w:tcPr>
            <w:tcW w:w="964" w:type="dxa"/>
            <w:vAlign w:val="center"/>
          </w:tcPr>
          <w:p w14:paraId="2738F241">
            <w:pPr>
              <w:pStyle w:val="16"/>
            </w:pPr>
          </w:p>
        </w:tc>
        <w:tc>
          <w:tcPr>
            <w:tcW w:w="964" w:type="dxa"/>
            <w:vAlign w:val="center"/>
          </w:tcPr>
          <w:p w14:paraId="029C08F2">
            <w:pPr>
              <w:pStyle w:val="16"/>
            </w:pPr>
          </w:p>
        </w:tc>
        <w:tc>
          <w:tcPr>
            <w:tcW w:w="964" w:type="dxa"/>
            <w:vAlign w:val="center"/>
          </w:tcPr>
          <w:p w14:paraId="1168A21E">
            <w:pPr>
              <w:pStyle w:val="16"/>
            </w:pPr>
          </w:p>
        </w:tc>
        <w:tc>
          <w:tcPr>
            <w:tcW w:w="964" w:type="dxa"/>
            <w:vAlign w:val="center"/>
          </w:tcPr>
          <w:p w14:paraId="00D8FE58">
            <w:pPr>
              <w:pStyle w:val="16"/>
            </w:pPr>
            <w:r>
              <w:t>16.76</w:t>
            </w:r>
          </w:p>
        </w:tc>
      </w:tr>
      <w:tr w14:paraId="54030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FA8F44">
            <w:pPr>
              <w:pStyle w:val="15"/>
            </w:pPr>
            <w:r>
              <w:t>隆尧县牛家桥校区小计</w:t>
            </w:r>
          </w:p>
        </w:tc>
        <w:tc>
          <w:tcPr>
            <w:tcW w:w="964" w:type="dxa"/>
            <w:vAlign w:val="center"/>
          </w:tcPr>
          <w:p w14:paraId="4C07A07B">
            <w:pPr>
              <w:pStyle w:val="16"/>
            </w:pPr>
          </w:p>
        </w:tc>
        <w:tc>
          <w:tcPr>
            <w:tcW w:w="1134" w:type="dxa"/>
            <w:vAlign w:val="center"/>
          </w:tcPr>
          <w:p w14:paraId="3315B5E3">
            <w:pPr>
              <w:pStyle w:val="17"/>
            </w:pPr>
          </w:p>
        </w:tc>
        <w:tc>
          <w:tcPr>
            <w:tcW w:w="1134" w:type="dxa"/>
            <w:vAlign w:val="center"/>
          </w:tcPr>
          <w:p w14:paraId="1FE23978">
            <w:pPr>
              <w:pStyle w:val="17"/>
            </w:pPr>
          </w:p>
        </w:tc>
        <w:tc>
          <w:tcPr>
            <w:tcW w:w="709" w:type="dxa"/>
            <w:vAlign w:val="center"/>
          </w:tcPr>
          <w:p w14:paraId="2D93BEDD">
            <w:pPr>
              <w:pStyle w:val="15"/>
            </w:pPr>
          </w:p>
        </w:tc>
        <w:tc>
          <w:tcPr>
            <w:tcW w:w="850" w:type="dxa"/>
            <w:vAlign w:val="center"/>
          </w:tcPr>
          <w:p w14:paraId="288E6349">
            <w:pPr>
              <w:pStyle w:val="16"/>
            </w:pPr>
          </w:p>
        </w:tc>
        <w:tc>
          <w:tcPr>
            <w:tcW w:w="850" w:type="dxa"/>
            <w:vAlign w:val="center"/>
          </w:tcPr>
          <w:p w14:paraId="28C8E0C0">
            <w:pPr>
              <w:pStyle w:val="16"/>
            </w:pPr>
          </w:p>
        </w:tc>
        <w:tc>
          <w:tcPr>
            <w:tcW w:w="964" w:type="dxa"/>
            <w:vAlign w:val="center"/>
          </w:tcPr>
          <w:p w14:paraId="20469CCE">
            <w:pPr>
              <w:pStyle w:val="16"/>
            </w:pPr>
            <w:r>
              <w:t>16.76</w:t>
            </w:r>
          </w:p>
        </w:tc>
        <w:tc>
          <w:tcPr>
            <w:tcW w:w="964" w:type="dxa"/>
            <w:vAlign w:val="center"/>
          </w:tcPr>
          <w:p w14:paraId="773054E0">
            <w:pPr>
              <w:pStyle w:val="16"/>
            </w:pPr>
            <w:r>
              <w:t>16.76</w:t>
            </w:r>
          </w:p>
        </w:tc>
        <w:tc>
          <w:tcPr>
            <w:tcW w:w="964" w:type="dxa"/>
            <w:vAlign w:val="center"/>
          </w:tcPr>
          <w:p w14:paraId="25215AAB">
            <w:pPr>
              <w:pStyle w:val="16"/>
            </w:pPr>
          </w:p>
        </w:tc>
        <w:tc>
          <w:tcPr>
            <w:tcW w:w="964" w:type="dxa"/>
            <w:vAlign w:val="center"/>
          </w:tcPr>
          <w:p w14:paraId="673FB7B9">
            <w:pPr>
              <w:pStyle w:val="16"/>
            </w:pPr>
          </w:p>
        </w:tc>
        <w:tc>
          <w:tcPr>
            <w:tcW w:w="964" w:type="dxa"/>
            <w:vAlign w:val="center"/>
          </w:tcPr>
          <w:p w14:paraId="4E71EC09">
            <w:pPr>
              <w:pStyle w:val="16"/>
            </w:pPr>
          </w:p>
        </w:tc>
        <w:tc>
          <w:tcPr>
            <w:tcW w:w="964" w:type="dxa"/>
            <w:vAlign w:val="center"/>
          </w:tcPr>
          <w:p w14:paraId="6950354B">
            <w:pPr>
              <w:pStyle w:val="16"/>
            </w:pPr>
          </w:p>
        </w:tc>
        <w:tc>
          <w:tcPr>
            <w:tcW w:w="964" w:type="dxa"/>
            <w:vAlign w:val="center"/>
          </w:tcPr>
          <w:p w14:paraId="47CD9E8A">
            <w:pPr>
              <w:pStyle w:val="16"/>
            </w:pPr>
          </w:p>
        </w:tc>
        <w:tc>
          <w:tcPr>
            <w:tcW w:w="964" w:type="dxa"/>
            <w:vAlign w:val="center"/>
          </w:tcPr>
          <w:p w14:paraId="137D6D1D">
            <w:pPr>
              <w:pStyle w:val="16"/>
            </w:pPr>
            <w:r>
              <w:t>16.76</w:t>
            </w:r>
          </w:p>
        </w:tc>
      </w:tr>
      <w:tr w14:paraId="26C30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E26FE2">
            <w:pPr>
              <w:pStyle w:val="13"/>
            </w:pPr>
            <w:r>
              <w:t>冀财教[2024]121号/中央/2025年学前发展资金/牛家桥校区学前教育幼儿资助</w:t>
            </w:r>
          </w:p>
        </w:tc>
        <w:tc>
          <w:tcPr>
            <w:tcW w:w="964" w:type="dxa"/>
            <w:vAlign w:val="center"/>
          </w:tcPr>
          <w:p w14:paraId="713BBCCE">
            <w:pPr>
              <w:pStyle w:val="14"/>
            </w:pPr>
            <w:r>
              <w:t>1.26</w:t>
            </w:r>
          </w:p>
        </w:tc>
        <w:tc>
          <w:tcPr>
            <w:tcW w:w="1134" w:type="dxa"/>
            <w:vAlign w:val="center"/>
          </w:tcPr>
          <w:p w14:paraId="56D994DC">
            <w:pPr>
              <w:pStyle w:val="13"/>
            </w:pPr>
            <w:r>
              <w:t>复印纸</w:t>
            </w:r>
          </w:p>
        </w:tc>
        <w:tc>
          <w:tcPr>
            <w:tcW w:w="1134" w:type="dxa"/>
            <w:vAlign w:val="center"/>
          </w:tcPr>
          <w:p w14:paraId="07F19BEA">
            <w:pPr>
              <w:pStyle w:val="13"/>
            </w:pPr>
            <w:r>
              <w:t>A05040101</w:t>
            </w:r>
          </w:p>
        </w:tc>
        <w:tc>
          <w:tcPr>
            <w:tcW w:w="709" w:type="dxa"/>
            <w:vAlign w:val="center"/>
          </w:tcPr>
          <w:p w14:paraId="66819075">
            <w:pPr>
              <w:pStyle w:val="12"/>
            </w:pPr>
            <w:r>
              <w:t>包</w:t>
            </w:r>
          </w:p>
        </w:tc>
        <w:tc>
          <w:tcPr>
            <w:tcW w:w="850" w:type="dxa"/>
            <w:vAlign w:val="center"/>
          </w:tcPr>
          <w:p w14:paraId="16EDABB2">
            <w:pPr>
              <w:pStyle w:val="14"/>
            </w:pPr>
            <w:r>
              <w:t>2</w:t>
            </w:r>
          </w:p>
        </w:tc>
        <w:tc>
          <w:tcPr>
            <w:tcW w:w="850" w:type="dxa"/>
            <w:vAlign w:val="center"/>
          </w:tcPr>
          <w:p w14:paraId="4B5F54D2">
            <w:pPr>
              <w:pStyle w:val="14"/>
            </w:pPr>
            <w:r>
              <w:t>0.02</w:t>
            </w:r>
          </w:p>
        </w:tc>
        <w:tc>
          <w:tcPr>
            <w:tcW w:w="964" w:type="dxa"/>
            <w:vAlign w:val="center"/>
          </w:tcPr>
          <w:p w14:paraId="3C99AE5A">
            <w:pPr>
              <w:pStyle w:val="14"/>
            </w:pPr>
            <w:r>
              <w:t>0.04</w:t>
            </w:r>
          </w:p>
        </w:tc>
        <w:tc>
          <w:tcPr>
            <w:tcW w:w="964" w:type="dxa"/>
            <w:vAlign w:val="center"/>
          </w:tcPr>
          <w:p w14:paraId="2F6FF59A">
            <w:pPr>
              <w:pStyle w:val="14"/>
            </w:pPr>
            <w:r>
              <w:t>0.04</w:t>
            </w:r>
          </w:p>
        </w:tc>
        <w:tc>
          <w:tcPr>
            <w:tcW w:w="964" w:type="dxa"/>
            <w:vAlign w:val="center"/>
          </w:tcPr>
          <w:p w14:paraId="411A3D9A">
            <w:pPr>
              <w:pStyle w:val="14"/>
            </w:pPr>
          </w:p>
        </w:tc>
        <w:tc>
          <w:tcPr>
            <w:tcW w:w="964" w:type="dxa"/>
            <w:vAlign w:val="center"/>
          </w:tcPr>
          <w:p w14:paraId="0E4A2015">
            <w:pPr>
              <w:pStyle w:val="14"/>
            </w:pPr>
          </w:p>
        </w:tc>
        <w:tc>
          <w:tcPr>
            <w:tcW w:w="964" w:type="dxa"/>
            <w:vAlign w:val="center"/>
          </w:tcPr>
          <w:p w14:paraId="165BDDE1">
            <w:pPr>
              <w:pStyle w:val="14"/>
            </w:pPr>
          </w:p>
        </w:tc>
        <w:tc>
          <w:tcPr>
            <w:tcW w:w="964" w:type="dxa"/>
            <w:vAlign w:val="center"/>
          </w:tcPr>
          <w:p w14:paraId="230291FF">
            <w:pPr>
              <w:pStyle w:val="14"/>
            </w:pPr>
          </w:p>
        </w:tc>
        <w:tc>
          <w:tcPr>
            <w:tcW w:w="964" w:type="dxa"/>
            <w:vAlign w:val="center"/>
          </w:tcPr>
          <w:p w14:paraId="6ED00EE9">
            <w:pPr>
              <w:pStyle w:val="14"/>
            </w:pPr>
          </w:p>
        </w:tc>
        <w:tc>
          <w:tcPr>
            <w:tcW w:w="964" w:type="dxa"/>
            <w:vAlign w:val="center"/>
          </w:tcPr>
          <w:p w14:paraId="10559CA7">
            <w:pPr>
              <w:pStyle w:val="14"/>
            </w:pPr>
            <w:r>
              <w:t>0.04</w:t>
            </w:r>
          </w:p>
        </w:tc>
      </w:tr>
      <w:tr w14:paraId="25EBE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0AB27C">
            <w:pPr>
              <w:pStyle w:val="13"/>
            </w:pPr>
            <w:r>
              <w:t>冀财教[2024]123号/中央/2025年义教补助经费/北吴疃小学公用经费</w:t>
            </w:r>
            <w:r>
              <w:tab/>
            </w:r>
            <w:r>
              <w:tab/>
            </w:r>
          </w:p>
          <w:p w14:paraId="26860184">
            <w:pPr>
              <w:pStyle w:val="13"/>
            </w:pPr>
          </w:p>
        </w:tc>
        <w:tc>
          <w:tcPr>
            <w:tcW w:w="964" w:type="dxa"/>
            <w:vAlign w:val="center"/>
          </w:tcPr>
          <w:p w14:paraId="4619B0A7">
            <w:pPr>
              <w:pStyle w:val="14"/>
            </w:pPr>
            <w:r>
              <w:t>9.10</w:t>
            </w:r>
          </w:p>
        </w:tc>
        <w:tc>
          <w:tcPr>
            <w:tcW w:w="1134" w:type="dxa"/>
            <w:vAlign w:val="center"/>
          </w:tcPr>
          <w:p w14:paraId="622F8AE3">
            <w:pPr>
              <w:pStyle w:val="13"/>
            </w:pPr>
            <w:r>
              <w:t>空调机</w:t>
            </w:r>
          </w:p>
        </w:tc>
        <w:tc>
          <w:tcPr>
            <w:tcW w:w="1134" w:type="dxa"/>
            <w:vAlign w:val="center"/>
          </w:tcPr>
          <w:p w14:paraId="440CB508">
            <w:pPr>
              <w:pStyle w:val="13"/>
            </w:pPr>
            <w:r>
              <w:t>A02061804</w:t>
            </w:r>
          </w:p>
        </w:tc>
        <w:tc>
          <w:tcPr>
            <w:tcW w:w="709" w:type="dxa"/>
            <w:vAlign w:val="center"/>
          </w:tcPr>
          <w:p w14:paraId="1ABA70DC">
            <w:pPr>
              <w:pStyle w:val="12"/>
            </w:pPr>
            <w:r>
              <w:t>台</w:t>
            </w:r>
          </w:p>
        </w:tc>
        <w:tc>
          <w:tcPr>
            <w:tcW w:w="850" w:type="dxa"/>
            <w:vAlign w:val="center"/>
          </w:tcPr>
          <w:p w14:paraId="106179DA">
            <w:pPr>
              <w:pStyle w:val="14"/>
            </w:pPr>
            <w:r>
              <w:t>1</w:t>
            </w:r>
          </w:p>
        </w:tc>
        <w:tc>
          <w:tcPr>
            <w:tcW w:w="850" w:type="dxa"/>
            <w:vAlign w:val="center"/>
          </w:tcPr>
          <w:p w14:paraId="0328C195">
            <w:pPr>
              <w:pStyle w:val="14"/>
            </w:pPr>
            <w:r>
              <w:t>0.60</w:t>
            </w:r>
          </w:p>
        </w:tc>
        <w:tc>
          <w:tcPr>
            <w:tcW w:w="964" w:type="dxa"/>
            <w:vAlign w:val="center"/>
          </w:tcPr>
          <w:p w14:paraId="3D587368">
            <w:pPr>
              <w:pStyle w:val="14"/>
            </w:pPr>
            <w:r>
              <w:t>0.60</w:t>
            </w:r>
          </w:p>
        </w:tc>
        <w:tc>
          <w:tcPr>
            <w:tcW w:w="964" w:type="dxa"/>
            <w:vAlign w:val="center"/>
          </w:tcPr>
          <w:p w14:paraId="0EE00B79">
            <w:pPr>
              <w:pStyle w:val="14"/>
            </w:pPr>
            <w:r>
              <w:t>0.60</w:t>
            </w:r>
          </w:p>
        </w:tc>
        <w:tc>
          <w:tcPr>
            <w:tcW w:w="964" w:type="dxa"/>
            <w:vAlign w:val="center"/>
          </w:tcPr>
          <w:p w14:paraId="7A7C9858">
            <w:pPr>
              <w:pStyle w:val="14"/>
            </w:pPr>
          </w:p>
        </w:tc>
        <w:tc>
          <w:tcPr>
            <w:tcW w:w="964" w:type="dxa"/>
            <w:vAlign w:val="center"/>
          </w:tcPr>
          <w:p w14:paraId="3EAAAA1D">
            <w:pPr>
              <w:pStyle w:val="14"/>
            </w:pPr>
          </w:p>
        </w:tc>
        <w:tc>
          <w:tcPr>
            <w:tcW w:w="964" w:type="dxa"/>
            <w:vAlign w:val="center"/>
          </w:tcPr>
          <w:p w14:paraId="6D834015">
            <w:pPr>
              <w:pStyle w:val="14"/>
            </w:pPr>
          </w:p>
        </w:tc>
        <w:tc>
          <w:tcPr>
            <w:tcW w:w="964" w:type="dxa"/>
            <w:vAlign w:val="center"/>
          </w:tcPr>
          <w:p w14:paraId="5D0355F0">
            <w:pPr>
              <w:pStyle w:val="14"/>
            </w:pPr>
          </w:p>
        </w:tc>
        <w:tc>
          <w:tcPr>
            <w:tcW w:w="964" w:type="dxa"/>
            <w:vAlign w:val="center"/>
          </w:tcPr>
          <w:p w14:paraId="493604C5">
            <w:pPr>
              <w:pStyle w:val="14"/>
            </w:pPr>
          </w:p>
        </w:tc>
        <w:tc>
          <w:tcPr>
            <w:tcW w:w="964" w:type="dxa"/>
            <w:vAlign w:val="center"/>
          </w:tcPr>
          <w:p w14:paraId="4C1125EA">
            <w:pPr>
              <w:pStyle w:val="14"/>
            </w:pPr>
            <w:r>
              <w:t>0.60</w:t>
            </w:r>
          </w:p>
        </w:tc>
      </w:tr>
      <w:tr w14:paraId="472F5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C3FD24">
            <w:pPr>
              <w:pStyle w:val="13"/>
            </w:pPr>
            <w:r>
              <w:t>冀财教[2024]123号/中央/2025年义教补助经费/北吴疃小学公用经费</w:t>
            </w:r>
            <w:r>
              <w:tab/>
            </w:r>
            <w:r>
              <w:tab/>
            </w:r>
          </w:p>
          <w:p w14:paraId="6EC41FB5">
            <w:pPr>
              <w:pStyle w:val="13"/>
            </w:pPr>
          </w:p>
        </w:tc>
        <w:tc>
          <w:tcPr>
            <w:tcW w:w="964" w:type="dxa"/>
            <w:vAlign w:val="center"/>
          </w:tcPr>
          <w:p w14:paraId="51B42AAB">
            <w:pPr>
              <w:pStyle w:val="14"/>
            </w:pPr>
            <w:r>
              <w:t>9.10</w:t>
            </w:r>
          </w:p>
        </w:tc>
        <w:tc>
          <w:tcPr>
            <w:tcW w:w="1134" w:type="dxa"/>
            <w:vAlign w:val="center"/>
          </w:tcPr>
          <w:p w14:paraId="3F818D52">
            <w:pPr>
              <w:pStyle w:val="13"/>
            </w:pPr>
            <w:r>
              <w:t>办公桌</w:t>
            </w:r>
          </w:p>
        </w:tc>
        <w:tc>
          <w:tcPr>
            <w:tcW w:w="1134" w:type="dxa"/>
            <w:vAlign w:val="center"/>
          </w:tcPr>
          <w:p w14:paraId="2FC34742">
            <w:pPr>
              <w:pStyle w:val="13"/>
            </w:pPr>
            <w:r>
              <w:t>A05010201</w:t>
            </w:r>
          </w:p>
        </w:tc>
        <w:tc>
          <w:tcPr>
            <w:tcW w:w="709" w:type="dxa"/>
            <w:vAlign w:val="center"/>
          </w:tcPr>
          <w:p w14:paraId="79918644">
            <w:pPr>
              <w:pStyle w:val="12"/>
            </w:pPr>
            <w:r>
              <w:t>把</w:t>
            </w:r>
          </w:p>
        </w:tc>
        <w:tc>
          <w:tcPr>
            <w:tcW w:w="850" w:type="dxa"/>
            <w:vAlign w:val="center"/>
          </w:tcPr>
          <w:p w14:paraId="4E665B88">
            <w:pPr>
              <w:pStyle w:val="14"/>
            </w:pPr>
            <w:r>
              <w:t>13</w:t>
            </w:r>
          </w:p>
        </w:tc>
        <w:tc>
          <w:tcPr>
            <w:tcW w:w="850" w:type="dxa"/>
            <w:vAlign w:val="center"/>
          </w:tcPr>
          <w:p w14:paraId="782885CC">
            <w:pPr>
              <w:pStyle w:val="14"/>
            </w:pPr>
            <w:r>
              <w:t>0.09</w:t>
            </w:r>
          </w:p>
        </w:tc>
        <w:tc>
          <w:tcPr>
            <w:tcW w:w="964" w:type="dxa"/>
            <w:vAlign w:val="center"/>
          </w:tcPr>
          <w:p w14:paraId="69816300">
            <w:pPr>
              <w:pStyle w:val="14"/>
            </w:pPr>
            <w:r>
              <w:t>1.17</w:t>
            </w:r>
          </w:p>
        </w:tc>
        <w:tc>
          <w:tcPr>
            <w:tcW w:w="964" w:type="dxa"/>
            <w:vAlign w:val="center"/>
          </w:tcPr>
          <w:p w14:paraId="5CEB4ED3">
            <w:pPr>
              <w:pStyle w:val="14"/>
            </w:pPr>
            <w:r>
              <w:t>1.17</w:t>
            </w:r>
          </w:p>
        </w:tc>
        <w:tc>
          <w:tcPr>
            <w:tcW w:w="964" w:type="dxa"/>
            <w:vAlign w:val="center"/>
          </w:tcPr>
          <w:p w14:paraId="082581CA">
            <w:pPr>
              <w:pStyle w:val="14"/>
            </w:pPr>
          </w:p>
        </w:tc>
        <w:tc>
          <w:tcPr>
            <w:tcW w:w="964" w:type="dxa"/>
            <w:vAlign w:val="center"/>
          </w:tcPr>
          <w:p w14:paraId="651F8BD8">
            <w:pPr>
              <w:pStyle w:val="14"/>
            </w:pPr>
          </w:p>
        </w:tc>
        <w:tc>
          <w:tcPr>
            <w:tcW w:w="964" w:type="dxa"/>
            <w:vAlign w:val="center"/>
          </w:tcPr>
          <w:p w14:paraId="002527CD">
            <w:pPr>
              <w:pStyle w:val="14"/>
            </w:pPr>
          </w:p>
        </w:tc>
        <w:tc>
          <w:tcPr>
            <w:tcW w:w="964" w:type="dxa"/>
            <w:vAlign w:val="center"/>
          </w:tcPr>
          <w:p w14:paraId="0456DDDD">
            <w:pPr>
              <w:pStyle w:val="14"/>
            </w:pPr>
          </w:p>
        </w:tc>
        <w:tc>
          <w:tcPr>
            <w:tcW w:w="964" w:type="dxa"/>
            <w:vAlign w:val="center"/>
          </w:tcPr>
          <w:p w14:paraId="68117D2D">
            <w:pPr>
              <w:pStyle w:val="14"/>
            </w:pPr>
          </w:p>
        </w:tc>
        <w:tc>
          <w:tcPr>
            <w:tcW w:w="964" w:type="dxa"/>
            <w:vAlign w:val="center"/>
          </w:tcPr>
          <w:p w14:paraId="44BE45B6">
            <w:pPr>
              <w:pStyle w:val="14"/>
            </w:pPr>
            <w:r>
              <w:t>1.17</w:t>
            </w:r>
          </w:p>
        </w:tc>
      </w:tr>
      <w:tr w14:paraId="107C0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9FF68DE">
            <w:pPr>
              <w:pStyle w:val="13"/>
            </w:pPr>
            <w:r>
              <w:t>冀财教[2024]123号/中央/2025年义教补助经费/旧城小学公用经费</w:t>
            </w:r>
          </w:p>
        </w:tc>
        <w:tc>
          <w:tcPr>
            <w:tcW w:w="964" w:type="dxa"/>
            <w:vAlign w:val="center"/>
          </w:tcPr>
          <w:p w14:paraId="00E0CE86">
            <w:pPr>
              <w:pStyle w:val="14"/>
            </w:pPr>
            <w:r>
              <w:t>43.60</w:t>
            </w:r>
          </w:p>
        </w:tc>
        <w:tc>
          <w:tcPr>
            <w:tcW w:w="1134" w:type="dxa"/>
            <w:vAlign w:val="center"/>
          </w:tcPr>
          <w:p w14:paraId="6833BF35">
            <w:pPr>
              <w:pStyle w:val="13"/>
            </w:pPr>
            <w:r>
              <w:t>台式计算机</w:t>
            </w:r>
          </w:p>
        </w:tc>
        <w:tc>
          <w:tcPr>
            <w:tcW w:w="1134" w:type="dxa"/>
            <w:vAlign w:val="center"/>
          </w:tcPr>
          <w:p w14:paraId="498D5676">
            <w:pPr>
              <w:pStyle w:val="13"/>
            </w:pPr>
            <w:r>
              <w:t>A02010105</w:t>
            </w:r>
          </w:p>
        </w:tc>
        <w:tc>
          <w:tcPr>
            <w:tcW w:w="709" w:type="dxa"/>
            <w:vAlign w:val="center"/>
          </w:tcPr>
          <w:p w14:paraId="19D6E424">
            <w:pPr>
              <w:pStyle w:val="12"/>
            </w:pPr>
            <w:r>
              <w:t xml:space="preserve"> 台</w:t>
            </w:r>
          </w:p>
        </w:tc>
        <w:tc>
          <w:tcPr>
            <w:tcW w:w="850" w:type="dxa"/>
            <w:vAlign w:val="center"/>
          </w:tcPr>
          <w:p w14:paraId="16D1E868">
            <w:pPr>
              <w:pStyle w:val="14"/>
            </w:pPr>
            <w:r>
              <w:t>6</w:t>
            </w:r>
          </w:p>
        </w:tc>
        <w:tc>
          <w:tcPr>
            <w:tcW w:w="850" w:type="dxa"/>
            <w:vAlign w:val="center"/>
          </w:tcPr>
          <w:p w14:paraId="5C4B3E19">
            <w:pPr>
              <w:pStyle w:val="14"/>
            </w:pPr>
            <w:r>
              <w:t>0.35</w:t>
            </w:r>
          </w:p>
        </w:tc>
        <w:tc>
          <w:tcPr>
            <w:tcW w:w="964" w:type="dxa"/>
            <w:vAlign w:val="center"/>
          </w:tcPr>
          <w:p w14:paraId="161F8D5B">
            <w:pPr>
              <w:pStyle w:val="14"/>
            </w:pPr>
            <w:r>
              <w:t>2.10</w:t>
            </w:r>
          </w:p>
        </w:tc>
        <w:tc>
          <w:tcPr>
            <w:tcW w:w="964" w:type="dxa"/>
            <w:vAlign w:val="center"/>
          </w:tcPr>
          <w:p w14:paraId="5C1B2ECF">
            <w:pPr>
              <w:pStyle w:val="14"/>
            </w:pPr>
            <w:r>
              <w:t>2.10</w:t>
            </w:r>
          </w:p>
        </w:tc>
        <w:tc>
          <w:tcPr>
            <w:tcW w:w="964" w:type="dxa"/>
            <w:vAlign w:val="center"/>
          </w:tcPr>
          <w:p w14:paraId="3EBF4F90">
            <w:pPr>
              <w:pStyle w:val="14"/>
            </w:pPr>
          </w:p>
        </w:tc>
        <w:tc>
          <w:tcPr>
            <w:tcW w:w="964" w:type="dxa"/>
            <w:vAlign w:val="center"/>
          </w:tcPr>
          <w:p w14:paraId="7FCD6724">
            <w:pPr>
              <w:pStyle w:val="14"/>
            </w:pPr>
          </w:p>
        </w:tc>
        <w:tc>
          <w:tcPr>
            <w:tcW w:w="964" w:type="dxa"/>
            <w:vAlign w:val="center"/>
          </w:tcPr>
          <w:p w14:paraId="76C65ED3">
            <w:pPr>
              <w:pStyle w:val="14"/>
            </w:pPr>
          </w:p>
        </w:tc>
        <w:tc>
          <w:tcPr>
            <w:tcW w:w="964" w:type="dxa"/>
            <w:vAlign w:val="center"/>
          </w:tcPr>
          <w:p w14:paraId="6979BC3E">
            <w:pPr>
              <w:pStyle w:val="14"/>
            </w:pPr>
          </w:p>
        </w:tc>
        <w:tc>
          <w:tcPr>
            <w:tcW w:w="964" w:type="dxa"/>
            <w:vAlign w:val="center"/>
          </w:tcPr>
          <w:p w14:paraId="7466C1CF">
            <w:pPr>
              <w:pStyle w:val="14"/>
            </w:pPr>
          </w:p>
        </w:tc>
        <w:tc>
          <w:tcPr>
            <w:tcW w:w="964" w:type="dxa"/>
            <w:vAlign w:val="center"/>
          </w:tcPr>
          <w:p w14:paraId="0425A08B">
            <w:pPr>
              <w:pStyle w:val="14"/>
            </w:pPr>
            <w:r>
              <w:t>2.10</w:t>
            </w:r>
          </w:p>
        </w:tc>
      </w:tr>
      <w:tr w14:paraId="444C7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87ABE0">
            <w:pPr>
              <w:pStyle w:val="13"/>
            </w:pPr>
            <w:r>
              <w:t>冀财教[2024]123号/中央/2025年义教补助经费/旧城小学公用经费</w:t>
            </w:r>
          </w:p>
        </w:tc>
        <w:tc>
          <w:tcPr>
            <w:tcW w:w="964" w:type="dxa"/>
            <w:vAlign w:val="center"/>
          </w:tcPr>
          <w:p w14:paraId="6F78615D">
            <w:pPr>
              <w:pStyle w:val="14"/>
            </w:pPr>
            <w:r>
              <w:t>43.60</w:t>
            </w:r>
          </w:p>
        </w:tc>
        <w:tc>
          <w:tcPr>
            <w:tcW w:w="1134" w:type="dxa"/>
            <w:vAlign w:val="center"/>
          </w:tcPr>
          <w:p w14:paraId="46C7D6D6">
            <w:pPr>
              <w:pStyle w:val="13"/>
            </w:pPr>
            <w:r>
              <w:t>空调机</w:t>
            </w:r>
          </w:p>
        </w:tc>
        <w:tc>
          <w:tcPr>
            <w:tcW w:w="1134" w:type="dxa"/>
            <w:vAlign w:val="center"/>
          </w:tcPr>
          <w:p w14:paraId="003EC69F">
            <w:pPr>
              <w:pStyle w:val="13"/>
            </w:pPr>
            <w:r>
              <w:t>A02061804</w:t>
            </w:r>
          </w:p>
        </w:tc>
        <w:tc>
          <w:tcPr>
            <w:tcW w:w="709" w:type="dxa"/>
            <w:vAlign w:val="center"/>
          </w:tcPr>
          <w:p w14:paraId="6114CE64">
            <w:pPr>
              <w:pStyle w:val="12"/>
            </w:pPr>
            <w:r>
              <w:t>台</w:t>
            </w:r>
          </w:p>
        </w:tc>
        <w:tc>
          <w:tcPr>
            <w:tcW w:w="850" w:type="dxa"/>
            <w:vAlign w:val="center"/>
          </w:tcPr>
          <w:p w14:paraId="6DC76DC3">
            <w:pPr>
              <w:pStyle w:val="14"/>
            </w:pPr>
            <w:r>
              <w:t>4</w:t>
            </w:r>
          </w:p>
        </w:tc>
        <w:tc>
          <w:tcPr>
            <w:tcW w:w="850" w:type="dxa"/>
            <w:vAlign w:val="center"/>
          </w:tcPr>
          <w:p w14:paraId="792C267B">
            <w:pPr>
              <w:pStyle w:val="14"/>
            </w:pPr>
            <w:r>
              <w:t>0.30</w:t>
            </w:r>
          </w:p>
        </w:tc>
        <w:tc>
          <w:tcPr>
            <w:tcW w:w="964" w:type="dxa"/>
            <w:vAlign w:val="center"/>
          </w:tcPr>
          <w:p w14:paraId="5AF90047">
            <w:pPr>
              <w:pStyle w:val="14"/>
            </w:pPr>
            <w:r>
              <w:t>1.20</w:t>
            </w:r>
          </w:p>
        </w:tc>
        <w:tc>
          <w:tcPr>
            <w:tcW w:w="964" w:type="dxa"/>
            <w:vAlign w:val="center"/>
          </w:tcPr>
          <w:p w14:paraId="46DBDAC2">
            <w:pPr>
              <w:pStyle w:val="14"/>
            </w:pPr>
            <w:r>
              <w:t>1.20</w:t>
            </w:r>
          </w:p>
        </w:tc>
        <w:tc>
          <w:tcPr>
            <w:tcW w:w="964" w:type="dxa"/>
            <w:vAlign w:val="center"/>
          </w:tcPr>
          <w:p w14:paraId="33AA2902">
            <w:pPr>
              <w:pStyle w:val="14"/>
            </w:pPr>
          </w:p>
        </w:tc>
        <w:tc>
          <w:tcPr>
            <w:tcW w:w="964" w:type="dxa"/>
            <w:vAlign w:val="center"/>
          </w:tcPr>
          <w:p w14:paraId="26897103">
            <w:pPr>
              <w:pStyle w:val="14"/>
            </w:pPr>
          </w:p>
        </w:tc>
        <w:tc>
          <w:tcPr>
            <w:tcW w:w="964" w:type="dxa"/>
            <w:vAlign w:val="center"/>
          </w:tcPr>
          <w:p w14:paraId="0A2215FD">
            <w:pPr>
              <w:pStyle w:val="14"/>
            </w:pPr>
          </w:p>
        </w:tc>
        <w:tc>
          <w:tcPr>
            <w:tcW w:w="964" w:type="dxa"/>
            <w:vAlign w:val="center"/>
          </w:tcPr>
          <w:p w14:paraId="1251F0F6">
            <w:pPr>
              <w:pStyle w:val="14"/>
            </w:pPr>
          </w:p>
        </w:tc>
        <w:tc>
          <w:tcPr>
            <w:tcW w:w="964" w:type="dxa"/>
            <w:vAlign w:val="center"/>
          </w:tcPr>
          <w:p w14:paraId="5B440854">
            <w:pPr>
              <w:pStyle w:val="14"/>
            </w:pPr>
          </w:p>
        </w:tc>
        <w:tc>
          <w:tcPr>
            <w:tcW w:w="964" w:type="dxa"/>
            <w:vAlign w:val="center"/>
          </w:tcPr>
          <w:p w14:paraId="4C63C1BF">
            <w:pPr>
              <w:pStyle w:val="14"/>
            </w:pPr>
            <w:r>
              <w:t>1.20</w:t>
            </w:r>
          </w:p>
        </w:tc>
      </w:tr>
      <w:tr w14:paraId="5E40B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F2E514">
            <w:pPr>
              <w:pStyle w:val="13"/>
            </w:pPr>
            <w:r>
              <w:t>冀财教[2024]123号/中央/2025年义教补助经费/旧城小学公用经费</w:t>
            </w:r>
          </w:p>
        </w:tc>
        <w:tc>
          <w:tcPr>
            <w:tcW w:w="964" w:type="dxa"/>
            <w:vAlign w:val="center"/>
          </w:tcPr>
          <w:p w14:paraId="5F06F234">
            <w:pPr>
              <w:pStyle w:val="14"/>
            </w:pPr>
            <w:r>
              <w:t>43.60</w:t>
            </w:r>
          </w:p>
        </w:tc>
        <w:tc>
          <w:tcPr>
            <w:tcW w:w="1134" w:type="dxa"/>
            <w:vAlign w:val="center"/>
          </w:tcPr>
          <w:p w14:paraId="04AED74F">
            <w:pPr>
              <w:pStyle w:val="13"/>
            </w:pPr>
            <w:r>
              <w:t>办公桌</w:t>
            </w:r>
          </w:p>
        </w:tc>
        <w:tc>
          <w:tcPr>
            <w:tcW w:w="1134" w:type="dxa"/>
            <w:vAlign w:val="center"/>
          </w:tcPr>
          <w:p w14:paraId="54066738">
            <w:pPr>
              <w:pStyle w:val="13"/>
            </w:pPr>
            <w:r>
              <w:t>A05010201</w:t>
            </w:r>
          </w:p>
        </w:tc>
        <w:tc>
          <w:tcPr>
            <w:tcW w:w="709" w:type="dxa"/>
            <w:vAlign w:val="center"/>
          </w:tcPr>
          <w:p w14:paraId="1AAEBC72">
            <w:pPr>
              <w:pStyle w:val="12"/>
            </w:pPr>
            <w:r>
              <w:t>张</w:t>
            </w:r>
          </w:p>
        </w:tc>
        <w:tc>
          <w:tcPr>
            <w:tcW w:w="850" w:type="dxa"/>
            <w:vAlign w:val="center"/>
          </w:tcPr>
          <w:p w14:paraId="26261E0C">
            <w:pPr>
              <w:pStyle w:val="14"/>
            </w:pPr>
            <w:r>
              <w:t>10</w:t>
            </w:r>
          </w:p>
        </w:tc>
        <w:tc>
          <w:tcPr>
            <w:tcW w:w="850" w:type="dxa"/>
            <w:vAlign w:val="center"/>
          </w:tcPr>
          <w:p w14:paraId="1896CFF3">
            <w:pPr>
              <w:pStyle w:val="14"/>
            </w:pPr>
            <w:r>
              <w:t>0.16</w:t>
            </w:r>
          </w:p>
        </w:tc>
        <w:tc>
          <w:tcPr>
            <w:tcW w:w="964" w:type="dxa"/>
            <w:vAlign w:val="center"/>
          </w:tcPr>
          <w:p w14:paraId="0873B0F8">
            <w:pPr>
              <w:pStyle w:val="14"/>
            </w:pPr>
            <w:r>
              <w:t>1.60</w:t>
            </w:r>
          </w:p>
        </w:tc>
        <w:tc>
          <w:tcPr>
            <w:tcW w:w="964" w:type="dxa"/>
            <w:vAlign w:val="center"/>
          </w:tcPr>
          <w:p w14:paraId="466034F1">
            <w:pPr>
              <w:pStyle w:val="14"/>
            </w:pPr>
            <w:r>
              <w:t>1.60</w:t>
            </w:r>
          </w:p>
        </w:tc>
        <w:tc>
          <w:tcPr>
            <w:tcW w:w="964" w:type="dxa"/>
            <w:vAlign w:val="center"/>
          </w:tcPr>
          <w:p w14:paraId="437A664D">
            <w:pPr>
              <w:pStyle w:val="14"/>
            </w:pPr>
          </w:p>
        </w:tc>
        <w:tc>
          <w:tcPr>
            <w:tcW w:w="964" w:type="dxa"/>
            <w:vAlign w:val="center"/>
          </w:tcPr>
          <w:p w14:paraId="35D8941E">
            <w:pPr>
              <w:pStyle w:val="14"/>
            </w:pPr>
          </w:p>
        </w:tc>
        <w:tc>
          <w:tcPr>
            <w:tcW w:w="964" w:type="dxa"/>
            <w:vAlign w:val="center"/>
          </w:tcPr>
          <w:p w14:paraId="216F63D4">
            <w:pPr>
              <w:pStyle w:val="14"/>
            </w:pPr>
          </w:p>
        </w:tc>
        <w:tc>
          <w:tcPr>
            <w:tcW w:w="964" w:type="dxa"/>
            <w:vAlign w:val="center"/>
          </w:tcPr>
          <w:p w14:paraId="2A819643">
            <w:pPr>
              <w:pStyle w:val="14"/>
            </w:pPr>
          </w:p>
        </w:tc>
        <w:tc>
          <w:tcPr>
            <w:tcW w:w="964" w:type="dxa"/>
            <w:vAlign w:val="center"/>
          </w:tcPr>
          <w:p w14:paraId="191173DC">
            <w:pPr>
              <w:pStyle w:val="14"/>
            </w:pPr>
          </w:p>
        </w:tc>
        <w:tc>
          <w:tcPr>
            <w:tcW w:w="964" w:type="dxa"/>
            <w:vAlign w:val="center"/>
          </w:tcPr>
          <w:p w14:paraId="2A2AE7C4">
            <w:pPr>
              <w:pStyle w:val="14"/>
            </w:pPr>
            <w:r>
              <w:t>1.60</w:t>
            </w:r>
          </w:p>
        </w:tc>
      </w:tr>
      <w:tr w14:paraId="1A49B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2DA9BF">
            <w:pPr>
              <w:pStyle w:val="13"/>
            </w:pPr>
            <w:r>
              <w:t>冀财教[2024]123号/中央/2025年义教补助经费/旧城小学公用经费</w:t>
            </w:r>
          </w:p>
        </w:tc>
        <w:tc>
          <w:tcPr>
            <w:tcW w:w="964" w:type="dxa"/>
            <w:vAlign w:val="center"/>
          </w:tcPr>
          <w:p w14:paraId="029940A9">
            <w:pPr>
              <w:pStyle w:val="14"/>
            </w:pPr>
            <w:r>
              <w:t>43.60</w:t>
            </w:r>
          </w:p>
        </w:tc>
        <w:tc>
          <w:tcPr>
            <w:tcW w:w="1134" w:type="dxa"/>
            <w:vAlign w:val="center"/>
          </w:tcPr>
          <w:p w14:paraId="13C8B005">
            <w:pPr>
              <w:pStyle w:val="13"/>
            </w:pPr>
            <w:r>
              <w:t>文件柜</w:t>
            </w:r>
          </w:p>
        </w:tc>
        <w:tc>
          <w:tcPr>
            <w:tcW w:w="1134" w:type="dxa"/>
            <w:vAlign w:val="center"/>
          </w:tcPr>
          <w:p w14:paraId="6F32E316">
            <w:pPr>
              <w:pStyle w:val="13"/>
            </w:pPr>
            <w:r>
              <w:t>A05010502</w:t>
            </w:r>
          </w:p>
        </w:tc>
        <w:tc>
          <w:tcPr>
            <w:tcW w:w="709" w:type="dxa"/>
            <w:vAlign w:val="center"/>
          </w:tcPr>
          <w:p w14:paraId="1122B971">
            <w:pPr>
              <w:pStyle w:val="12"/>
            </w:pPr>
            <w:r>
              <w:t>个</w:t>
            </w:r>
          </w:p>
        </w:tc>
        <w:tc>
          <w:tcPr>
            <w:tcW w:w="850" w:type="dxa"/>
            <w:vAlign w:val="center"/>
          </w:tcPr>
          <w:p w14:paraId="0F24A957">
            <w:pPr>
              <w:pStyle w:val="14"/>
            </w:pPr>
            <w:r>
              <w:t>7</w:t>
            </w:r>
          </w:p>
        </w:tc>
        <w:tc>
          <w:tcPr>
            <w:tcW w:w="850" w:type="dxa"/>
            <w:vAlign w:val="center"/>
          </w:tcPr>
          <w:p w14:paraId="3F6659B1">
            <w:pPr>
              <w:pStyle w:val="14"/>
            </w:pPr>
            <w:r>
              <w:t>0.05</w:t>
            </w:r>
          </w:p>
        </w:tc>
        <w:tc>
          <w:tcPr>
            <w:tcW w:w="964" w:type="dxa"/>
            <w:vAlign w:val="center"/>
          </w:tcPr>
          <w:p w14:paraId="5987EF53">
            <w:pPr>
              <w:pStyle w:val="14"/>
            </w:pPr>
            <w:r>
              <w:t>0.35</w:t>
            </w:r>
          </w:p>
        </w:tc>
        <w:tc>
          <w:tcPr>
            <w:tcW w:w="964" w:type="dxa"/>
            <w:vAlign w:val="center"/>
          </w:tcPr>
          <w:p w14:paraId="4CF6DAA4">
            <w:pPr>
              <w:pStyle w:val="14"/>
            </w:pPr>
            <w:r>
              <w:t>0.35</w:t>
            </w:r>
          </w:p>
        </w:tc>
        <w:tc>
          <w:tcPr>
            <w:tcW w:w="964" w:type="dxa"/>
            <w:vAlign w:val="center"/>
          </w:tcPr>
          <w:p w14:paraId="6EC4BCB9">
            <w:pPr>
              <w:pStyle w:val="14"/>
            </w:pPr>
          </w:p>
        </w:tc>
        <w:tc>
          <w:tcPr>
            <w:tcW w:w="964" w:type="dxa"/>
            <w:vAlign w:val="center"/>
          </w:tcPr>
          <w:p w14:paraId="12194C47">
            <w:pPr>
              <w:pStyle w:val="14"/>
            </w:pPr>
          </w:p>
        </w:tc>
        <w:tc>
          <w:tcPr>
            <w:tcW w:w="964" w:type="dxa"/>
            <w:vAlign w:val="center"/>
          </w:tcPr>
          <w:p w14:paraId="5C5F7DF6">
            <w:pPr>
              <w:pStyle w:val="14"/>
            </w:pPr>
          </w:p>
        </w:tc>
        <w:tc>
          <w:tcPr>
            <w:tcW w:w="964" w:type="dxa"/>
            <w:vAlign w:val="center"/>
          </w:tcPr>
          <w:p w14:paraId="72695774">
            <w:pPr>
              <w:pStyle w:val="14"/>
            </w:pPr>
          </w:p>
        </w:tc>
        <w:tc>
          <w:tcPr>
            <w:tcW w:w="964" w:type="dxa"/>
            <w:vAlign w:val="center"/>
          </w:tcPr>
          <w:p w14:paraId="38F229C0">
            <w:pPr>
              <w:pStyle w:val="14"/>
            </w:pPr>
          </w:p>
        </w:tc>
        <w:tc>
          <w:tcPr>
            <w:tcW w:w="964" w:type="dxa"/>
            <w:vAlign w:val="center"/>
          </w:tcPr>
          <w:p w14:paraId="77BEBEEF">
            <w:pPr>
              <w:pStyle w:val="14"/>
            </w:pPr>
            <w:r>
              <w:t>0.35</w:t>
            </w:r>
          </w:p>
        </w:tc>
      </w:tr>
      <w:tr w14:paraId="4BB5A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694D27">
            <w:pPr>
              <w:pStyle w:val="13"/>
            </w:pPr>
            <w:r>
              <w:t>冀财教[2024]123号/中央/2025年义教补助经费/开河村小学公用经费</w:t>
            </w:r>
          </w:p>
        </w:tc>
        <w:tc>
          <w:tcPr>
            <w:tcW w:w="964" w:type="dxa"/>
            <w:vAlign w:val="center"/>
          </w:tcPr>
          <w:p w14:paraId="721B0C1E">
            <w:pPr>
              <w:pStyle w:val="14"/>
            </w:pPr>
            <w:r>
              <w:t>36.33</w:t>
            </w:r>
          </w:p>
        </w:tc>
        <w:tc>
          <w:tcPr>
            <w:tcW w:w="1134" w:type="dxa"/>
            <w:vAlign w:val="center"/>
          </w:tcPr>
          <w:p w14:paraId="1CFF0331">
            <w:pPr>
              <w:pStyle w:val="13"/>
            </w:pPr>
            <w:r>
              <w:t>台式计算机</w:t>
            </w:r>
          </w:p>
        </w:tc>
        <w:tc>
          <w:tcPr>
            <w:tcW w:w="1134" w:type="dxa"/>
            <w:vAlign w:val="center"/>
          </w:tcPr>
          <w:p w14:paraId="1DCF8E35">
            <w:pPr>
              <w:pStyle w:val="13"/>
            </w:pPr>
            <w:r>
              <w:t>A02010105</w:t>
            </w:r>
          </w:p>
        </w:tc>
        <w:tc>
          <w:tcPr>
            <w:tcW w:w="709" w:type="dxa"/>
            <w:vAlign w:val="center"/>
          </w:tcPr>
          <w:p w14:paraId="783C8CBE">
            <w:pPr>
              <w:pStyle w:val="12"/>
            </w:pPr>
            <w:r>
              <w:t>台</w:t>
            </w:r>
          </w:p>
        </w:tc>
        <w:tc>
          <w:tcPr>
            <w:tcW w:w="850" w:type="dxa"/>
            <w:vAlign w:val="center"/>
          </w:tcPr>
          <w:p w14:paraId="0821B9D3">
            <w:pPr>
              <w:pStyle w:val="14"/>
            </w:pPr>
            <w:r>
              <w:t>5</w:t>
            </w:r>
          </w:p>
        </w:tc>
        <w:tc>
          <w:tcPr>
            <w:tcW w:w="850" w:type="dxa"/>
            <w:vAlign w:val="center"/>
          </w:tcPr>
          <w:p w14:paraId="63896462">
            <w:pPr>
              <w:pStyle w:val="14"/>
            </w:pPr>
            <w:r>
              <w:t>0.35</w:t>
            </w:r>
          </w:p>
        </w:tc>
        <w:tc>
          <w:tcPr>
            <w:tcW w:w="964" w:type="dxa"/>
            <w:vAlign w:val="center"/>
          </w:tcPr>
          <w:p w14:paraId="62C85C3A">
            <w:pPr>
              <w:pStyle w:val="14"/>
            </w:pPr>
            <w:r>
              <w:t>1.75</w:t>
            </w:r>
          </w:p>
        </w:tc>
        <w:tc>
          <w:tcPr>
            <w:tcW w:w="964" w:type="dxa"/>
            <w:vAlign w:val="center"/>
          </w:tcPr>
          <w:p w14:paraId="48FB6B86">
            <w:pPr>
              <w:pStyle w:val="14"/>
            </w:pPr>
            <w:r>
              <w:t>1.75</w:t>
            </w:r>
          </w:p>
        </w:tc>
        <w:tc>
          <w:tcPr>
            <w:tcW w:w="964" w:type="dxa"/>
            <w:vAlign w:val="center"/>
          </w:tcPr>
          <w:p w14:paraId="5E69C5C0">
            <w:pPr>
              <w:pStyle w:val="14"/>
            </w:pPr>
          </w:p>
        </w:tc>
        <w:tc>
          <w:tcPr>
            <w:tcW w:w="964" w:type="dxa"/>
            <w:vAlign w:val="center"/>
          </w:tcPr>
          <w:p w14:paraId="2C48E9C1">
            <w:pPr>
              <w:pStyle w:val="14"/>
            </w:pPr>
          </w:p>
        </w:tc>
        <w:tc>
          <w:tcPr>
            <w:tcW w:w="964" w:type="dxa"/>
            <w:vAlign w:val="center"/>
          </w:tcPr>
          <w:p w14:paraId="701F5761">
            <w:pPr>
              <w:pStyle w:val="14"/>
            </w:pPr>
          </w:p>
        </w:tc>
        <w:tc>
          <w:tcPr>
            <w:tcW w:w="964" w:type="dxa"/>
            <w:vAlign w:val="center"/>
          </w:tcPr>
          <w:p w14:paraId="5230EDA4">
            <w:pPr>
              <w:pStyle w:val="14"/>
            </w:pPr>
          </w:p>
        </w:tc>
        <w:tc>
          <w:tcPr>
            <w:tcW w:w="964" w:type="dxa"/>
            <w:vAlign w:val="center"/>
          </w:tcPr>
          <w:p w14:paraId="336A8D7E">
            <w:pPr>
              <w:pStyle w:val="14"/>
            </w:pPr>
          </w:p>
        </w:tc>
        <w:tc>
          <w:tcPr>
            <w:tcW w:w="964" w:type="dxa"/>
            <w:vAlign w:val="center"/>
          </w:tcPr>
          <w:p w14:paraId="3ACEEB99">
            <w:pPr>
              <w:pStyle w:val="14"/>
            </w:pPr>
            <w:r>
              <w:t>1.75</w:t>
            </w:r>
          </w:p>
        </w:tc>
      </w:tr>
      <w:tr w14:paraId="29A48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47001D">
            <w:pPr>
              <w:pStyle w:val="13"/>
            </w:pPr>
            <w:r>
              <w:t>冀财教[2024]123号/中央/2025年义教补助经费/开河村小学公用经费</w:t>
            </w:r>
          </w:p>
        </w:tc>
        <w:tc>
          <w:tcPr>
            <w:tcW w:w="964" w:type="dxa"/>
            <w:vAlign w:val="center"/>
          </w:tcPr>
          <w:p w14:paraId="01A94DA0">
            <w:pPr>
              <w:pStyle w:val="14"/>
            </w:pPr>
            <w:r>
              <w:t>36.33</w:t>
            </w:r>
          </w:p>
        </w:tc>
        <w:tc>
          <w:tcPr>
            <w:tcW w:w="1134" w:type="dxa"/>
            <w:vAlign w:val="center"/>
          </w:tcPr>
          <w:p w14:paraId="4D4402DD">
            <w:pPr>
              <w:pStyle w:val="13"/>
            </w:pPr>
            <w:r>
              <w:t>A4 黑白打印机</w:t>
            </w:r>
          </w:p>
        </w:tc>
        <w:tc>
          <w:tcPr>
            <w:tcW w:w="1134" w:type="dxa"/>
            <w:vAlign w:val="center"/>
          </w:tcPr>
          <w:p w14:paraId="1736F828">
            <w:pPr>
              <w:pStyle w:val="13"/>
            </w:pPr>
            <w:r>
              <w:t>A02021003</w:t>
            </w:r>
          </w:p>
        </w:tc>
        <w:tc>
          <w:tcPr>
            <w:tcW w:w="709" w:type="dxa"/>
            <w:vAlign w:val="center"/>
          </w:tcPr>
          <w:p w14:paraId="0F4B56A3">
            <w:pPr>
              <w:pStyle w:val="12"/>
            </w:pPr>
            <w:r>
              <w:t>台</w:t>
            </w:r>
          </w:p>
        </w:tc>
        <w:tc>
          <w:tcPr>
            <w:tcW w:w="850" w:type="dxa"/>
            <w:vAlign w:val="center"/>
          </w:tcPr>
          <w:p w14:paraId="31DC7B67">
            <w:pPr>
              <w:pStyle w:val="14"/>
            </w:pPr>
            <w:r>
              <w:t>1</w:t>
            </w:r>
          </w:p>
        </w:tc>
        <w:tc>
          <w:tcPr>
            <w:tcW w:w="850" w:type="dxa"/>
            <w:vAlign w:val="center"/>
          </w:tcPr>
          <w:p w14:paraId="42064B1E">
            <w:pPr>
              <w:pStyle w:val="14"/>
            </w:pPr>
            <w:r>
              <w:t>0.45</w:t>
            </w:r>
          </w:p>
        </w:tc>
        <w:tc>
          <w:tcPr>
            <w:tcW w:w="964" w:type="dxa"/>
            <w:vAlign w:val="center"/>
          </w:tcPr>
          <w:p w14:paraId="2EA8866D">
            <w:pPr>
              <w:pStyle w:val="14"/>
            </w:pPr>
            <w:r>
              <w:t>0.45</w:t>
            </w:r>
          </w:p>
        </w:tc>
        <w:tc>
          <w:tcPr>
            <w:tcW w:w="964" w:type="dxa"/>
            <w:vAlign w:val="center"/>
          </w:tcPr>
          <w:p w14:paraId="38184EC8">
            <w:pPr>
              <w:pStyle w:val="14"/>
            </w:pPr>
            <w:r>
              <w:t>0.45</w:t>
            </w:r>
          </w:p>
        </w:tc>
        <w:tc>
          <w:tcPr>
            <w:tcW w:w="964" w:type="dxa"/>
            <w:vAlign w:val="center"/>
          </w:tcPr>
          <w:p w14:paraId="7DAF3E1E">
            <w:pPr>
              <w:pStyle w:val="14"/>
            </w:pPr>
          </w:p>
        </w:tc>
        <w:tc>
          <w:tcPr>
            <w:tcW w:w="964" w:type="dxa"/>
            <w:vAlign w:val="center"/>
          </w:tcPr>
          <w:p w14:paraId="0CB1C36D">
            <w:pPr>
              <w:pStyle w:val="14"/>
            </w:pPr>
          </w:p>
        </w:tc>
        <w:tc>
          <w:tcPr>
            <w:tcW w:w="964" w:type="dxa"/>
            <w:vAlign w:val="center"/>
          </w:tcPr>
          <w:p w14:paraId="55FE962A">
            <w:pPr>
              <w:pStyle w:val="14"/>
            </w:pPr>
          </w:p>
        </w:tc>
        <w:tc>
          <w:tcPr>
            <w:tcW w:w="964" w:type="dxa"/>
            <w:vAlign w:val="center"/>
          </w:tcPr>
          <w:p w14:paraId="32E24C1C">
            <w:pPr>
              <w:pStyle w:val="14"/>
            </w:pPr>
          </w:p>
        </w:tc>
        <w:tc>
          <w:tcPr>
            <w:tcW w:w="964" w:type="dxa"/>
            <w:vAlign w:val="center"/>
          </w:tcPr>
          <w:p w14:paraId="0AA34916">
            <w:pPr>
              <w:pStyle w:val="14"/>
            </w:pPr>
          </w:p>
        </w:tc>
        <w:tc>
          <w:tcPr>
            <w:tcW w:w="964" w:type="dxa"/>
            <w:vAlign w:val="center"/>
          </w:tcPr>
          <w:p w14:paraId="2C5D0A45">
            <w:pPr>
              <w:pStyle w:val="14"/>
            </w:pPr>
            <w:r>
              <w:t>0.45</w:t>
            </w:r>
          </w:p>
        </w:tc>
      </w:tr>
      <w:tr w14:paraId="725F4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63FE6F">
            <w:pPr>
              <w:pStyle w:val="13"/>
            </w:pPr>
            <w:r>
              <w:t>冀财教[2024]123号/中央/2025年义教补助经费/开河村小学公用经费</w:t>
            </w:r>
          </w:p>
        </w:tc>
        <w:tc>
          <w:tcPr>
            <w:tcW w:w="964" w:type="dxa"/>
            <w:vAlign w:val="center"/>
          </w:tcPr>
          <w:p w14:paraId="17D224E8">
            <w:pPr>
              <w:pStyle w:val="14"/>
            </w:pPr>
            <w:r>
              <w:t>36.33</w:t>
            </w:r>
          </w:p>
        </w:tc>
        <w:tc>
          <w:tcPr>
            <w:tcW w:w="1134" w:type="dxa"/>
            <w:vAlign w:val="center"/>
          </w:tcPr>
          <w:p w14:paraId="532C3A29">
            <w:pPr>
              <w:pStyle w:val="13"/>
            </w:pPr>
            <w:r>
              <w:t>空调机</w:t>
            </w:r>
          </w:p>
        </w:tc>
        <w:tc>
          <w:tcPr>
            <w:tcW w:w="1134" w:type="dxa"/>
            <w:vAlign w:val="center"/>
          </w:tcPr>
          <w:p w14:paraId="4027CDEE">
            <w:pPr>
              <w:pStyle w:val="13"/>
            </w:pPr>
            <w:r>
              <w:t>A02061804</w:t>
            </w:r>
          </w:p>
        </w:tc>
        <w:tc>
          <w:tcPr>
            <w:tcW w:w="709" w:type="dxa"/>
            <w:vAlign w:val="center"/>
          </w:tcPr>
          <w:p w14:paraId="7F6F3287">
            <w:pPr>
              <w:pStyle w:val="12"/>
            </w:pPr>
            <w:r>
              <w:t xml:space="preserve"> 台</w:t>
            </w:r>
          </w:p>
        </w:tc>
        <w:tc>
          <w:tcPr>
            <w:tcW w:w="850" w:type="dxa"/>
            <w:vAlign w:val="center"/>
          </w:tcPr>
          <w:p w14:paraId="7DCB2BF4">
            <w:pPr>
              <w:pStyle w:val="14"/>
            </w:pPr>
            <w:r>
              <w:t>4</w:t>
            </w:r>
          </w:p>
        </w:tc>
        <w:tc>
          <w:tcPr>
            <w:tcW w:w="850" w:type="dxa"/>
            <w:vAlign w:val="center"/>
          </w:tcPr>
          <w:p w14:paraId="760E900D">
            <w:pPr>
              <w:pStyle w:val="14"/>
            </w:pPr>
            <w:r>
              <w:t>0.30</w:t>
            </w:r>
          </w:p>
        </w:tc>
        <w:tc>
          <w:tcPr>
            <w:tcW w:w="964" w:type="dxa"/>
            <w:vAlign w:val="center"/>
          </w:tcPr>
          <w:p w14:paraId="33B08406">
            <w:pPr>
              <w:pStyle w:val="14"/>
            </w:pPr>
            <w:r>
              <w:t>1.20</w:t>
            </w:r>
          </w:p>
        </w:tc>
        <w:tc>
          <w:tcPr>
            <w:tcW w:w="964" w:type="dxa"/>
            <w:vAlign w:val="center"/>
          </w:tcPr>
          <w:p w14:paraId="64EE00C2">
            <w:pPr>
              <w:pStyle w:val="14"/>
            </w:pPr>
            <w:r>
              <w:t>1.20</w:t>
            </w:r>
          </w:p>
        </w:tc>
        <w:tc>
          <w:tcPr>
            <w:tcW w:w="964" w:type="dxa"/>
            <w:vAlign w:val="center"/>
          </w:tcPr>
          <w:p w14:paraId="186DDF7D">
            <w:pPr>
              <w:pStyle w:val="14"/>
            </w:pPr>
          </w:p>
        </w:tc>
        <w:tc>
          <w:tcPr>
            <w:tcW w:w="964" w:type="dxa"/>
            <w:vAlign w:val="center"/>
          </w:tcPr>
          <w:p w14:paraId="652C0A26">
            <w:pPr>
              <w:pStyle w:val="14"/>
            </w:pPr>
          </w:p>
        </w:tc>
        <w:tc>
          <w:tcPr>
            <w:tcW w:w="964" w:type="dxa"/>
            <w:vAlign w:val="center"/>
          </w:tcPr>
          <w:p w14:paraId="2243789D">
            <w:pPr>
              <w:pStyle w:val="14"/>
            </w:pPr>
          </w:p>
        </w:tc>
        <w:tc>
          <w:tcPr>
            <w:tcW w:w="964" w:type="dxa"/>
            <w:vAlign w:val="center"/>
          </w:tcPr>
          <w:p w14:paraId="1712101B">
            <w:pPr>
              <w:pStyle w:val="14"/>
            </w:pPr>
          </w:p>
        </w:tc>
        <w:tc>
          <w:tcPr>
            <w:tcW w:w="964" w:type="dxa"/>
            <w:vAlign w:val="center"/>
          </w:tcPr>
          <w:p w14:paraId="2F172015">
            <w:pPr>
              <w:pStyle w:val="14"/>
            </w:pPr>
          </w:p>
        </w:tc>
        <w:tc>
          <w:tcPr>
            <w:tcW w:w="964" w:type="dxa"/>
            <w:vAlign w:val="center"/>
          </w:tcPr>
          <w:p w14:paraId="3227C770">
            <w:pPr>
              <w:pStyle w:val="14"/>
            </w:pPr>
            <w:r>
              <w:t>1.20</w:t>
            </w:r>
          </w:p>
        </w:tc>
      </w:tr>
      <w:tr w14:paraId="75F88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8ABA59">
            <w:pPr>
              <w:pStyle w:val="13"/>
            </w:pPr>
            <w:r>
              <w:t>冀财教[2024]123号/中央/2025年义教补助经费/开河村小学公用经费</w:t>
            </w:r>
          </w:p>
        </w:tc>
        <w:tc>
          <w:tcPr>
            <w:tcW w:w="964" w:type="dxa"/>
            <w:vAlign w:val="center"/>
          </w:tcPr>
          <w:p w14:paraId="45343A27">
            <w:pPr>
              <w:pStyle w:val="14"/>
            </w:pPr>
            <w:r>
              <w:t>36.33</w:t>
            </w:r>
          </w:p>
        </w:tc>
        <w:tc>
          <w:tcPr>
            <w:tcW w:w="1134" w:type="dxa"/>
            <w:vAlign w:val="center"/>
          </w:tcPr>
          <w:p w14:paraId="64760462">
            <w:pPr>
              <w:pStyle w:val="13"/>
            </w:pPr>
            <w:r>
              <w:t>办公桌</w:t>
            </w:r>
          </w:p>
        </w:tc>
        <w:tc>
          <w:tcPr>
            <w:tcW w:w="1134" w:type="dxa"/>
            <w:vAlign w:val="center"/>
          </w:tcPr>
          <w:p w14:paraId="2E6D9D69">
            <w:pPr>
              <w:pStyle w:val="13"/>
            </w:pPr>
            <w:r>
              <w:t>A05010201</w:t>
            </w:r>
          </w:p>
        </w:tc>
        <w:tc>
          <w:tcPr>
            <w:tcW w:w="709" w:type="dxa"/>
            <w:vAlign w:val="center"/>
          </w:tcPr>
          <w:p w14:paraId="39C9F363">
            <w:pPr>
              <w:pStyle w:val="12"/>
            </w:pPr>
            <w:r>
              <w:t xml:space="preserve"> 台</w:t>
            </w:r>
          </w:p>
        </w:tc>
        <w:tc>
          <w:tcPr>
            <w:tcW w:w="850" w:type="dxa"/>
            <w:vAlign w:val="center"/>
          </w:tcPr>
          <w:p w14:paraId="4C229F64">
            <w:pPr>
              <w:pStyle w:val="14"/>
            </w:pPr>
            <w:r>
              <w:t>8</w:t>
            </w:r>
          </w:p>
        </w:tc>
        <w:tc>
          <w:tcPr>
            <w:tcW w:w="850" w:type="dxa"/>
            <w:vAlign w:val="center"/>
          </w:tcPr>
          <w:p w14:paraId="147DAFA8">
            <w:pPr>
              <w:pStyle w:val="14"/>
            </w:pPr>
            <w:r>
              <w:t>0.16</w:t>
            </w:r>
          </w:p>
        </w:tc>
        <w:tc>
          <w:tcPr>
            <w:tcW w:w="964" w:type="dxa"/>
            <w:vAlign w:val="center"/>
          </w:tcPr>
          <w:p w14:paraId="4096AC6A">
            <w:pPr>
              <w:pStyle w:val="14"/>
            </w:pPr>
            <w:r>
              <w:t>1.28</w:t>
            </w:r>
          </w:p>
        </w:tc>
        <w:tc>
          <w:tcPr>
            <w:tcW w:w="964" w:type="dxa"/>
            <w:vAlign w:val="center"/>
          </w:tcPr>
          <w:p w14:paraId="4A71041F">
            <w:pPr>
              <w:pStyle w:val="14"/>
            </w:pPr>
            <w:r>
              <w:t>1.28</w:t>
            </w:r>
          </w:p>
        </w:tc>
        <w:tc>
          <w:tcPr>
            <w:tcW w:w="964" w:type="dxa"/>
            <w:vAlign w:val="center"/>
          </w:tcPr>
          <w:p w14:paraId="21B2971B">
            <w:pPr>
              <w:pStyle w:val="14"/>
            </w:pPr>
          </w:p>
        </w:tc>
        <w:tc>
          <w:tcPr>
            <w:tcW w:w="964" w:type="dxa"/>
            <w:vAlign w:val="center"/>
          </w:tcPr>
          <w:p w14:paraId="1DEFA2CB">
            <w:pPr>
              <w:pStyle w:val="14"/>
            </w:pPr>
          </w:p>
        </w:tc>
        <w:tc>
          <w:tcPr>
            <w:tcW w:w="964" w:type="dxa"/>
            <w:vAlign w:val="center"/>
          </w:tcPr>
          <w:p w14:paraId="43F31992">
            <w:pPr>
              <w:pStyle w:val="14"/>
            </w:pPr>
          </w:p>
        </w:tc>
        <w:tc>
          <w:tcPr>
            <w:tcW w:w="964" w:type="dxa"/>
            <w:vAlign w:val="center"/>
          </w:tcPr>
          <w:p w14:paraId="52112208">
            <w:pPr>
              <w:pStyle w:val="14"/>
            </w:pPr>
          </w:p>
        </w:tc>
        <w:tc>
          <w:tcPr>
            <w:tcW w:w="964" w:type="dxa"/>
            <w:vAlign w:val="center"/>
          </w:tcPr>
          <w:p w14:paraId="6D1DA683">
            <w:pPr>
              <w:pStyle w:val="14"/>
            </w:pPr>
          </w:p>
        </w:tc>
        <w:tc>
          <w:tcPr>
            <w:tcW w:w="964" w:type="dxa"/>
            <w:vAlign w:val="center"/>
          </w:tcPr>
          <w:p w14:paraId="02A41E73">
            <w:pPr>
              <w:pStyle w:val="14"/>
            </w:pPr>
            <w:r>
              <w:t>1.28</w:t>
            </w:r>
          </w:p>
        </w:tc>
      </w:tr>
      <w:tr w14:paraId="7A2F6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0EFE38">
            <w:pPr>
              <w:pStyle w:val="13"/>
            </w:pPr>
            <w:r>
              <w:t>冀财教[2024]123号/中央/2025年义教补助经费/开河村小学公用经费</w:t>
            </w:r>
          </w:p>
        </w:tc>
        <w:tc>
          <w:tcPr>
            <w:tcW w:w="964" w:type="dxa"/>
            <w:vAlign w:val="center"/>
          </w:tcPr>
          <w:p w14:paraId="5396CF81">
            <w:pPr>
              <w:pStyle w:val="14"/>
            </w:pPr>
            <w:r>
              <w:t>36.33</w:t>
            </w:r>
          </w:p>
        </w:tc>
        <w:tc>
          <w:tcPr>
            <w:tcW w:w="1134" w:type="dxa"/>
            <w:vAlign w:val="center"/>
          </w:tcPr>
          <w:p w14:paraId="088CE1C2">
            <w:pPr>
              <w:pStyle w:val="13"/>
            </w:pPr>
            <w:r>
              <w:t>茶几</w:t>
            </w:r>
          </w:p>
        </w:tc>
        <w:tc>
          <w:tcPr>
            <w:tcW w:w="1134" w:type="dxa"/>
            <w:vAlign w:val="center"/>
          </w:tcPr>
          <w:p w14:paraId="24245EBE">
            <w:pPr>
              <w:pStyle w:val="13"/>
            </w:pPr>
            <w:r>
              <w:t>A05010204</w:t>
            </w:r>
          </w:p>
        </w:tc>
        <w:tc>
          <w:tcPr>
            <w:tcW w:w="709" w:type="dxa"/>
            <w:vAlign w:val="center"/>
          </w:tcPr>
          <w:p w14:paraId="2ED2544A">
            <w:pPr>
              <w:pStyle w:val="12"/>
            </w:pPr>
            <w:r>
              <w:t xml:space="preserve"> 个</w:t>
            </w:r>
          </w:p>
        </w:tc>
        <w:tc>
          <w:tcPr>
            <w:tcW w:w="850" w:type="dxa"/>
            <w:vAlign w:val="center"/>
          </w:tcPr>
          <w:p w14:paraId="4F8B1AE2">
            <w:pPr>
              <w:pStyle w:val="14"/>
            </w:pPr>
            <w:r>
              <w:t>2</w:t>
            </w:r>
          </w:p>
        </w:tc>
        <w:tc>
          <w:tcPr>
            <w:tcW w:w="850" w:type="dxa"/>
            <w:vAlign w:val="center"/>
          </w:tcPr>
          <w:p w14:paraId="194EDEBE">
            <w:pPr>
              <w:pStyle w:val="14"/>
            </w:pPr>
            <w:r>
              <w:t>0.04</w:t>
            </w:r>
          </w:p>
        </w:tc>
        <w:tc>
          <w:tcPr>
            <w:tcW w:w="964" w:type="dxa"/>
            <w:vAlign w:val="center"/>
          </w:tcPr>
          <w:p w14:paraId="0734ABAD">
            <w:pPr>
              <w:pStyle w:val="14"/>
            </w:pPr>
            <w:r>
              <w:t>0.08</w:t>
            </w:r>
          </w:p>
        </w:tc>
        <w:tc>
          <w:tcPr>
            <w:tcW w:w="964" w:type="dxa"/>
            <w:vAlign w:val="center"/>
          </w:tcPr>
          <w:p w14:paraId="35164B20">
            <w:pPr>
              <w:pStyle w:val="14"/>
            </w:pPr>
            <w:r>
              <w:t>0.08</w:t>
            </w:r>
          </w:p>
        </w:tc>
        <w:tc>
          <w:tcPr>
            <w:tcW w:w="964" w:type="dxa"/>
            <w:vAlign w:val="center"/>
          </w:tcPr>
          <w:p w14:paraId="3703124A">
            <w:pPr>
              <w:pStyle w:val="14"/>
            </w:pPr>
          </w:p>
        </w:tc>
        <w:tc>
          <w:tcPr>
            <w:tcW w:w="964" w:type="dxa"/>
            <w:vAlign w:val="center"/>
          </w:tcPr>
          <w:p w14:paraId="4D7EB9A0">
            <w:pPr>
              <w:pStyle w:val="14"/>
            </w:pPr>
          </w:p>
        </w:tc>
        <w:tc>
          <w:tcPr>
            <w:tcW w:w="964" w:type="dxa"/>
            <w:vAlign w:val="center"/>
          </w:tcPr>
          <w:p w14:paraId="478AEEC0">
            <w:pPr>
              <w:pStyle w:val="14"/>
            </w:pPr>
          </w:p>
        </w:tc>
        <w:tc>
          <w:tcPr>
            <w:tcW w:w="964" w:type="dxa"/>
            <w:vAlign w:val="center"/>
          </w:tcPr>
          <w:p w14:paraId="431AF7EC">
            <w:pPr>
              <w:pStyle w:val="14"/>
            </w:pPr>
          </w:p>
        </w:tc>
        <w:tc>
          <w:tcPr>
            <w:tcW w:w="964" w:type="dxa"/>
            <w:vAlign w:val="center"/>
          </w:tcPr>
          <w:p w14:paraId="64A39D65">
            <w:pPr>
              <w:pStyle w:val="14"/>
            </w:pPr>
          </w:p>
        </w:tc>
        <w:tc>
          <w:tcPr>
            <w:tcW w:w="964" w:type="dxa"/>
            <w:vAlign w:val="center"/>
          </w:tcPr>
          <w:p w14:paraId="151A9274">
            <w:pPr>
              <w:pStyle w:val="14"/>
            </w:pPr>
            <w:r>
              <w:t>0.08</w:t>
            </w:r>
          </w:p>
        </w:tc>
      </w:tr>
      <w:tr w14:paraId="3775D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6D2C01">
            <w:pPr>
              <w:pStyle w:val="13"/>
            </w:pPr>
            <w:r>
              <w:t>冀财教[2024]123号/中央/2025年义教补助经费/开河村小学公用经费</w:t>
            </w:r>
          </w:p>
        </w:tc>
        <w:tc>
          <w:tcPr>
            <w:tcW w:w="964" w:type="dxa"/>
            <w:vAlign w:val="center"/>
          </w:tcPr>
          <w:p w14:paraId="0BB1FDAB">
            <w:pPr>
              <w:pStyle w:val="14"/>
            </w:pPr>
            <w:r>
              <w:t>36.33</w:t>
            </w:r>
          </w:p>
        </w:tc>
        <w:tc>
          <w:tcPr>
            <w:tcW w:w="1134" w:type="dxa"/>
            <w:vAlign w:val="center"/>
          </w:tcPr>
          <w:p w14:paraId="2754229F">
            <w:pPr>
              <w:pStyle w:val="13"/>
            </w:pPr>
            <w:r>
              <w:t>办公椅</w:t>
            </w:r>
          </w:p>
        </w:tc>
        <w:tc>
          <w:tcPr>
            <w:tcW w:w="1134" w:type="dxa"/>
            <w:vAlign w:val="center"/>
          </w:tcPr>
          <w:p w14:paraId="2B5D52F3">
            <w:pPr>
              <w:pStyle w:val="13"/>
            </w:pPr>
            <w:r>
              <w:t>A05010301</w:t>
            </w:r>
          </w:p>
        </w:tc>
        <w:tc>
          <w:tcPr>
            <w:tcW w:w="709" w:type="dxa"/>
            <w:vAlign w:val="center"/>
          </w:tcPr>
          <w:p w14:paraId="0488530D">
            <w:pPr>
              <w:pStyle w:val="12"/>
            </w:pPr>
            <w:r>
              <w:t>把</w:t>
            </w:r>
          </w:p>
        </w:tc>
        <w:tc>
          <w:tcPr>
            <w:tcW w:w="850" w:type="dxa"/>
            <w:vAlign w:val="center"/>
          </w:tcPr>
          <w:p w14:paraId="5661E7CB">
            <w:pPr>
              <w:pStyle w:val="14"/>
            </w:pPr>
            <w:r>
              <w:t>32</w:t>
            </w:r>
          </w:p>
        </w:tc>
        <w:tc>
          <w:tcPr>
            <w:tcW w:w="850" w:type="dxa"/>
            <w:vAlign w:val="center"/>
          </w:tcPr>
          <w:p w14:paraId="5A1DE2C2">
            <w:pPr>
              <w:pStyle w:val="14"/>
            </w:pPr>
            <w:r>
              <w:t>0.01</w:t>
            </w:r>
          </w:p>
        </w:tc>
        <w:tc>
          <w:tcPr>
            <w:tcW w:w="964" w:type="dxa"/>
            <w:vAlign w:val="center"/>
          </w:tcPr>
          <w:p w14:paraId="74BA13D9">
            <w:pPr>
              <w:pStyle w:val="14"/>
            </w:pPr>
            <w:r>
              <w:t>0.32</w:t>
            </w:r>
          </w:p>
        </w:tc>
        <w:tc>
          <w:tcPr>
            <w:tcW w:w="964" w:type="dxa"/>
            <w:vAlign w:val="center"/>
          </w:tcPr>
          <w:p w14:paraId="314C809C">
            <w:pPr>
              <w:pStyle w:val="14"/>
            </w:pPr>
            <w:r>
              <w:t>0.32</w:t>
            </w:r>
          </w:p>
        </w:tc>
        <w:tc>
          <w:tcPr>
            <w:tcW w:w="964" w:type="dxa"/>
            <w:vAlign w:val="center"/>
          </w:tcPr>
          <w:p w14:paraId="3F092C43">
            <w:pPr>
              <w:pStyle w:val="14"/>
            </w:pPr>
          </w:p>
        </w:tc>
        <w:tc>
          <w:tcPr>
            <w:tcW w:w="964" w:type="dxa"/>
            <w:vAlign w:val="center"/>
          </w:tcPr>
          <w:p w14:paraId="4CFFE39F">
            <w:pPr>
              <w:pStyle w:val="14"/>
            </w:pPr>
          </w:p>
        </w:tc>
        <w:tc>
          <w:tcPr>
            <w:tcW w:w="964" w:type="dxa"/>
            <w:vAlign w:val="center"/>
          </w:tcPr>
          <w:p w14:paraId="7451978D">
            <w:pPr>
              <w:pStyle w:val="14"/>
            </w:pPr>
          </w:p>
        </w:tc>
        <w:tc>
          <w:tcPr>
            <w:tcW w:w="964" w:type="dxa"/>
            <w:vAlign w:val="center"/>
          </w:tcPr>
          <w:p w14:paraId="2BCFDE5F">
            <w:pPr>
              <w:pStyle w:val="14"/>
            </w:pPr>
          </w:p>
        </w:tc>
        <w:tc>
          <w:tcPr>
            <w:tcW w:w="964" w:type="dxa"/>
            <w:vAlign w:val="center"/>
          </w:tcPr>
          <w:p w14:paraId="5B544A2E">
            <w:pPr>
              <w:pStyle w:val="14"/>
            </w:pPr>
          </w:p>
        </w:tc>
        <w:tc>
          <w:tcPr>
            <w:tcW w:w="964" w:type="dxa"/>
            <w:vAlign w:val="center"/>
          </w:tcPr>
          <w:p w14:paraId="3063F230">
            <w:pPr>
              <w:pStyle w:val="14"/>
            </w:pPr>
            <w:r>
              <w:t>0.32</w:t>
            </w:r>
          </w:p>
        </w:tc>
      </w:tr>
      <w:tr w14:paraId="252E1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C2BE64">
            <w:pPr>
              <w:pStyle w:val="13"/>
            </w:pPr>
            <w:r>
              <w:t>冀财教[2024]123号/中央/2025年义教补助经费/开河村小学公用经费</w:t>
            </w:r>
          </w:p>
        </w:tc>
        <w:tc>
          <w:tcPr>
            <w:tcW w:w="964" w:type="dxa"/>
            <w:vAlign w:val="center"/>
          </w:tcPr>
          <w:p w14:paraId="61C3A358">
            <w:pPr>
              <w:pStyle w:val="14"/>
            </w:pPr>
            <w:r>
              <w:t>36.33</w:t>
            </w:r>
          </w:p>
        </w:tc>
        <w:tc>
          <w:tcPr>
            <w:tcW w:w="1134" w:type="dxa"/>
            <w:vAlign w:val="center"/>
          </w:tcPr>
          <w:p w14:paraId="576C87FD">
            <w:pPr>
              <w:pStyle w:val="13"/>
            </w:pPr>
            <w:r>
              <w:t>单人沙发</w:t>
            </w:r>
          </w:p>
        </w:tc>
        <w:tc>
          <w:tcPr>
            <w:tcW w:w="1134" w:type="dxa"/>
            <w:vAlign w:val="center"/>
          </w:tcPr>
          <w:p w14:paraId="588C304B">
            <w:pPr>
              <w:pStyle w:val="13"/>
            </w:pPr>
            <w:r>
              <w:t>A05010402</w:t>
            </w:r>
          </w:p>
        </w:tc>
        <w:tc>
          <w:tcPr>
            <w:tcW w:w="709" w:type="dxa"/>
            <w:vAlign w:val="center"/>
          </w:tcPr>
          <w:p w14:paraId="3D646292">
            <w:pPr>
              <w:pStyle w:val="12"/>
            </w:pPr>
            <w:r>
              <w:t>组</w:t>
            </w:r>
          </w:p>
        </w:tc>
        <w:tc>
          <w:tcPr>
            <w:tcW w:w="850" w:type="dxa"/>
            <w:vAlign w:val="center"/>
          </w:tcPr>
          <w:p w14:paraId="5D1F0638">
            <w:pPr>
              <w:pStyle w:val="14"/>
            </w:pPr>
            <w:r>
              <w:t>4</w:t>
            </w:r>
          </w:p>
        </w:tc>
        <w:tc>
          <w:tcPr>
            <w:tcW w:w="850" w:type="dxa"/>
            <w:vAlign w:val="center"/>
          </w:tcPr>
          <w:p w14:paraId="4D11F935">
            <w:pPr>
              <w:pStyle w:val="14"/>
            </w:pPr>
            <w:r>
              <w:t>0.08</w:t>
            </w:r>
          </w:p>
        </w:tc>
        <w:tc>
          <w:tcPr>
            <w:tcW w:w="964" w:type="dxa"/>
            <w:vAlign w:val="center"/>
          </w:tcPr>
          <w:p w14:paraId="2B80BB00">
            <w:pPr>
              <w:pStyle w:val="14"/>
            </w:pPr>
            <w:r>
              <w:t>0.32</w:t>
            </w:r>
          </w:p>
        </w:tc>
        <w:tc>
          <w:tcPr>
            <w:tcW w:w="964" w:type="dxa"/>
            <w:vAlign w:val="center"/>
          </w:tcPr>
          <w:p w14:paraId="1E8DEEAB">
            <w:pPr>
              <w:pStyle w:val="14"/>
            </w:pPr>
            <w:r>
              <w:t>0.32</w:t>
            </w:r>
          </w:p>
        </w:tc>
        <w:tc>
          <w:tcPr>
            <w:tcW w:w="964" w:type="dxa"/>
            <w:vAlign w:val="center"/>
          </w:tcPr>
          <w:p w14:paraId="2B7022EF">
            <w:pPr>
              <w:pStyle w:val="14"/>
            </w:pPr>
          </w:p>
        </w:tc>
        <w:tc>
          <w:tcPr>
            <w:tcW w:w="964" w:type="dxa"/>
            <w:vAlign w:val="center"/>
          </w:tcPr>
          <w:p w14:paraId="71493302">
            <w:pPr>
              <w:pStyle w:val="14"/>
            </w:pPr>
          </w:p>
        </w:tc>
        <w:tc>
          <w:tcPr>
            <w:tcW w:w="964" w:type="dxa"/>
            <w:vAlign w:val="center"/>
          </w:tcPr>
          <w:p w14:paraId="15D1D8B6">
            <w:pPr>
              <w:pStyle w:val="14"/>
            </w:pPr>
          </w:p>
        </w:tc>
        <w:tc>
          <w:tcPr>
            <w:tcW w:w="964" w:type="dxa"/>
            <w:vAlign w:val="center"/>
          </w:tcPr>
          <w:p w14:paraId="76726105">
            <w:pPr>
              <w:pStyle w:val="14"/>
            </w:pPr>
          </w:p>
        </w:tc>
        <w:tc>
          <w:tcPr>
            <w:tcW w:w="964" w:type="dxa"/>
            <w:vAlign w:val="center"/>
          </w:tcPr>
          <w:p w14:paraId="7D9AEB2A">
            <w:pPr>
              <w:pStyle w:val="14"/>
            </w:pPr>
          </w:p>
        </w:tc>
        <w:tc>
          <w:tcPr>
            <w:tcW w:w="964" w:type="dxa"/>
            <w:vAlign w:val="center"/>
          </w:tcPr>
          <w:p w14:paraId="2647A024">
            <w:pPr>
              <w:pStyle w:val="14"/>
            </w:pPr>
            <w:r>
              <w:t>0.32</w:t>
            </w:r>
          </w:p>
        </w:tc>
      </w:tr>
      <w:tr w14:paraId="0B2EC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7D0636">
            <w:pPr>
              <w:pStyle w:val="13"/>
            </w:pPr>
            <w:r>
              <w:t>冀财教[2024]123号/中央/2025年义教补助经费/南杨楼小学公用经费</w:t>
            </w:r>
          </w:p>
        </w:tc>
        <w:tc>
          <w:tcPr>
            <w:tcW w:w="964" w:type="dxa"/>
            <w:vAlign w:val="center"/>
          </w:tcPr>
          <w:p w14:paraId="2C85B281">
            <w:pPr>
              <w:pStyle w:val="14"/>
            </w:pPr>
            <w:r>
              <w:t>5.71</w:t>
            </w:r>
          </w:p>
        </w:tc>
        <w:tc>
          <w:tcPr>
            <w:tcW w:w="1134" w:type="dxa"/>
            <w:vAlign w:val="center"/>
          </w:tcPr>
          <w:p w14:paraId="0ED6E1F1">
            <w:pPr>
              <w:pStyle w:val="13"/>
            </w:pPr>
            <w:r>
              <w:t>空调机</w:t>
            </w:r>
          </w:p>
        </w:tc>
        <w:tc>
          <w:tcPr>
            <w:tcW w:w="1134" w:type="dxa"/>
            <w:vAlign w:val="center"/>
          </w:tcPr>
          <w:p w14:paraId="34176FC2">
            <w:pPr>
              <w:pStyle w:val="13"/>
            </w:pPr>
            <w:r>
              <w:t>A02061804</w:t>
            </w:r>
          </w:p>
        </w:tc>
        <w:tc>
          <w:tcPr>
            <w:tcW w:w="709" w:type="dxa"/>
            <w:vAlign w:val="center"/>
          </w:tcPr>
          <w:p w14:paraId="46C4BDCF">
            <w:pPr>
              <w:pStyle w:val="12"/>
            </w:pPr>
            <w:r>
              <w:t>台</w:t>
            </w:r>
          </w:p>
        </w:tc>
        <w:tc>
          <w:tcPr>
            <w:tcW w:w="850" w:type="dxa"/>
            <w:vAlign w:val="center"/>
          </w:tcPr>
          <w:p w14:paraId="173AD04E">
            <w:pPr>
              <w:pStyle w:val="14"/>
            </w:pPr>
            <w:r>
              <w:t>1</w:t>
            </w:r>
          </w:p>
        </w:tc>
        <w:tc>
          <w:tcPr>
            <w:tcW w:w="850" w:type="dxa"/>
            <w:vAlign w:val="center"/>
          </w:tcPr>
          <w:p w14:paraId="15686CD7">
            <w:pPr>
              <w:pStyle w:val="14"/>
            </w:pPr>
            <w:r>
              <w:t>0.60</w:t>
            </w:r>
          </w:p>
        </w:tc>
        <w:tc>
          <w:tcPr>
            <w:tcW w:w="964" w:type="dxa"/>
            <w:vAlign w:val="center"/>
          </w:tcPr>
          <w:p w14:paraId="03058D08">
            <w:pPr>
              <w:pStyle w:val="14"/>
            </w:pPr>
            <w:r>
              <w:t>0.60</w:t>
            </w:r>
          </w:p>
        </w:tc>
        <w:tc>
          <w:tcPr>
            <w:tcW w:w="964" w:type="dxa"/>
            <w:vAlign w:val="center"/>
          </w:tcPr>
          <w:p w14:paraId="24A5160E">
            <w:pPr>
              <w:pStyle w:val="14"/>
            </w:pPr>
            <w:r>
              <w:t>0.60</w:t>
            </w:r>
          </w:p>
        </w:tc>
        <w:tc>
          <w:tcPr>
            <w:tcW w:w="964" w:type="dxa"/>
            <w:vAlign w:val="center"/>
          </w:tcPr>
          <w:p w14:paraId="44C5CCFF">
            <w:pPr>
              <w:pStyle w:val="14"/>
            </w:pPr>
          </w:p>
        </w:tc>
        <w:tc>
          <w:tcPr>
            <w:tcW w:w="964" w:type="dxa"/>
            <w:vAlign w:val="center"/>
          </w:tcPr>
          <w:p w14:paraId="1A279B05">
            <w:pPr>
              <w:pStyle w:val="14"/>
            </w:pPr>
          </w:p>
        </w:tc>
        <w:tc>
          <w:tcPr>
            <w:tcW w:w="964" w:type="dxa"/>
            <w:vAlign w:val="center"/>
          </w:tcPr>
          <w:p w14:paraId="2D59DB73">
            <w:pPr>
              <w:pStyle w:val="14"/>
            </w:pPr>
          </w:p>
        </w:tc>
        <w:tc>
          <w:tcPr>
            <w:tcW w:w="964" w:type="dxa"/>
            <w:vAlign w:val="center"/>
          </w:tcPr>
          <w:p w14:paraId="25D0AE2E">
            <w:pPr>
              <w:pStyle w:val="14"/>
            </w:pPr>
          </w:p>
        </w:tc>
        <w:tc>
          <w:tcPr>
            <w:tcW w:w="964" w:type="dxa"/>
            <w:vAlign w:val="center"/>
          </w:tcPr>
          <w:p w14:paraId="7B51BF2A">
            <w:pPr>
              <w:pStyle w:val="14"/>
            </w:pPr>
          </w:p>
        </w:tc>
        <w:tc>
          <w:tcPr>
            <w:tcW w:w="964" w:type="dxa"/>
            <w:vAlign w:val="center"/>
          </w:tcPr>
          <w:p w14:paraId="24EAA04C">
            <w:pPr>
              <w:pStyle w:val="14"/>
            </w:pPr>
            <w:r>
              <w:t>0.60</w:t>
            </w:r>
          </w:p>
        </w:tc>
      </w:tr>
      <w:tr w14:paraId="597CA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8BEC47">
            <w:pPr>
              <w:pStyle w:val="13"/>
            </w:pPr>
            <w:r>
              <w:t>冀财教[2024]123号/中央/2025年义教补助经费/牛家桥小学公用经费</w:t>
            </w:r>
          </w:p>
        </w:tc>
        <w:tc>
          <w:tcPr>
            <w:tcW w:w="964" w:type="dxa"/>
            <w:vAlign w:val="center"/>
          </w:tcPr>
          <w:p w14:paraId="7978769B">
            <w:pPr>
              <w:pStyle w:val="14"/>
            </w:pPr>
            <w:r>
              <w:t>42.15</w:t>
            </w:r>
          </w:p>
        </w:tc>
        <w:tc>
          <w:tcPr>
            <w:tcW w:w="1134" w:type="dxa"/>
            <w:vAlign w:val="center"/>
          </w:tcPr>
          <w:p w14:paraId="64C6DFF7">
            <w:pPr>
              <w:pStyle w:val="13"/>
            </w:pPr>
            <w:r>
              <w:t>台式计算机</w:t>
            </w:r>
          </w:p>
        </w:tc>
        <w:tc>
          <w:tcPr>
            <w:tcW w:w="1134" w:type="dxa"/>
            <w:vAlign w:val="center"/>
          </w:tcPr>
          <w:p w14:paraId="7786B8A3">
            <w:pPr>
              <w:pStyle w:val="13"/>
            </w:pPr>
            <w:r>
              <w:t>A02010105</w:t>
            </w:r>
          </w:p>
        </w:tc>
        <w:tc>
          <w:tcPr>
            <w:tcW w:w="709" w:type="dxa"/>
            <w:vAlign w:val="center"/>
          </w:tcPr>
          <w:p w14:paraId="2589A45D">
            <w:pPr>
              <w:pStyle w:val="12"/>
            </w:pPr>
            <w:r>
              <w:t>台</w:t>
            </w:r>
          </w:p>
        </w:tc>
        <w:tc>
          <w:tcPr>
            <w:tcW w:w="850" w:type="dxa"/>
            <w:vAlign w:val="center"/>
          </w:tcPr>
          <w:p w14:paraId="462E6D9E">
            <w:pPr>
              <w:pStyle w:val="14"/>
            </w:pPr>
            <w:r>
              <w:t>3</w:t>
            </w:r>
          </w:p>
        </w:tc>
        <w:tc>
          <w:tcPr>
            <w:tcW w:w="850" w:type="dxa"/>
            <w:vAlign w:val="center"/>
          </w:tcPr>
          <w:p w14:paraId="0A2A1D6D">
            <w:pPr>
              <w:pStyle w:val="14"/>
            </w:pPr>
            <w:r>
              <w:t>0.35</w:t>
            </w:r>
          </w:p>
        </w:tc>
        <w:tc>
          <w:tcPr>
            <w:tcW w:w="964" w:type="dxa"/>
            <w:vAlign w:val="center"/>
          </w:tcPr>
          <w:p w14:paraId="5D990E10">
            <w:pPr>
              <w:pStyle w:val="14"/>
            </w:pPr>
            <w:r>
              <w:t>1.05</w:t>
            </w:r>
          </w:p>
        </w:tc>
        <w:tc>
          <w:tcPr>
            <w:tcW w:w="964" w:type="dxa"/>
            <w:vAlign w:val="center"/>
          </w:tcPr>
          <w:p w14:paraId="37B7F132">
            <w:pPr>
              <w:pStyle w:val="14"/>
            </w:pPr>
            <w:r>
              <w:t>1.05</w:t>
            </w:r>
          </w:p>
        </w:tc>
        <w:tc>
          <w:tcPr>
            <w:tcW w:w="964" w:type="dxa"/>
            <w:vAlign w:val="center"/>
          </w:tcPr>
          <w:p w14:paraId="67956459">
            <w:pPr>
              <w:pStyle w:val="14"/>
            </w:pPr>
          </w:p>
        </w:tc>
        <w:tc>
          <w:tcPr>
            <w:tcW w:w="964" w:type="dxa"/>
            <w:vAlign w:val="center"/>
          </w:tcPr>
          <w:p w14:paraId="3A8D7FBF">
            <w:pPr>
              <w:pStyle w:val="14"/>
            </w:pPr>
          </w:p>
        </w:tc>
        <w:tc>
          <w:tcPr>
            <w:tcW w:w="964" w:type="dxa"/>
            <w:vAlign w:val="center"/>
          </w:tcPr>
          <w:p w14:paraId="6196E3B0">
            <w:pPr>
              <w:pStyle w:val="14"/>
            </w:pPr>
          </w:p>
        </w:tc>
        <w:tc>
          <w:tcPr>
            <w:tcW w:w="964" w:type="dxa"/>
            <w:vAlign w:val="center"/>
          </w:tcPr>
          <w:p w14:paraId="7606A5F3">
            <w:pPr>
              <w:pStyle w:val="14"/>
            </w:pPr>
          </w:p>
        </w:tc>
        <w:tc>
          <w:tcPr>
            <w:tcW w:w="964" w:type="dxa"/>
            <w:vAlign w:val="center"/>
          </w:tcPr>
          <w:p w14:paraId="6661AA69">
            <w:pPr>
              <w:pStyle w:val="14"/>
            </w:pPr>
          </w:p>
        </w:tc>
        <w:tc>
          <w:tcPr>
            <w:tcW w:w="964" w:type="dxa"/>
            <w:vAlign w:val="center"/>
          </w:tcPr>
          <w:p w14:paraId="72E470AE">
            <w:pPr>
              <w:pStyle w:val="14"/>
            </w:pPr>
            <w:r>
              <w:t>1.05</w:t>
            </w:r>
          </w:p>
        </w:tc>
      </w:tr>
      <w:tr w14:paraId="799E2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54FF04">
            <w:pPr>
              <w:pStyle w:val="13"/>
            </w:pPr>
            <w:r>
              <w:t>冀财教[2024]123号/中央/2025年义教补助经费/牛家桥小学公用经费</w:t>
            </w:r>
          </w:p>
        </w:tc>
        <w:tc>
          <w:tcPr>
            <w:tcW w:w="964" w:type="dxa"/>
            <w:vAlign w:val="center"/>
          </w:tcPr>
          <w:p w14:paraId="29D47391">
            <w:pPr>
              <w:pStyle w:val="14"/>
            </w:pPr>
            <w:r>
              <w:t>42.15</w:t>
            </w:r>
          </w:p>
        </w:tc>
        <w:tc>
          <w:tcPr>
            <w:tcW w:w="1134" w:type="dxa"/>
            <w:vAlign w:val="center"/>
          </w:tcPr>
          <w:p w14:paraId="66C586D6">
            <w:pPr>
              <w:pStyle w:val="13"/>
            </w:pPr>
            <w:r>
              <w:t>A4 黑白打印机</w:t>
            </w:r>
          </w:p>
        </w:tc>
        <w:tc>
          <w:tcPr>
            <w:tcW w:w="1134" w:type="dxa"/>
            <w:vAlign w:val="center"/>
          </w:tcPr>
          <w:p w14:paraId="199D2072">
            <w:pPr>
              <w:pStyle w:val="13"/>
            </w:pPr>
            <w:r>
              <w:t>A02021003</w:t>
            </w:r>
          </w:p>
        </w:tc>
        <w:tc>
          <w:tcPr>
            <w:tcW w:w="709" w:type="dxa"/>
            <w:vAlign w:val="center"/>
          </w:tcPr>
          <w:p w14:paraId="6FF300A9">
            <w:pPr>
              <w:pStyle w:val="12"/>
            </w:pPr>
            <w:r>
              <w:t>台</w:t>
            </w:r>
          </w:p>
        </w:tc>
        <w:tc>
          <w:tcPr>
            <w:tcW w:w="850" w:type="dxa"/>
            <w:vAlign w:val="center"/>
          </w:tcPr>
          <w:p w14:paraId="491806CA">
            <w:pPr>
              <w:pStyle w:val="14"/>
            </w:pPr>
            <w:r>
              <w:t>1</w:t>
            </w:r>
          </w:p>
        </w:tc>
        <w:tc>
          <w:tcPr>
            <w:tcW w:w="850" w:type="dxa"/>
            <w:vAlign w:val="center"/>
          </w:tcPr>
          <w:p w14:paraId="4B804F32">
            <w:pPr>
              <w:pStyle w:val="14"/>
            </w:pPr>
            <w:r>
              <w:t>0.22</w:t>
            </w:r>
          </w:p>
        </w:tc>
        <w:tc>
          <w:tcPr>
            <w:tcW w:w="964" w:type="dxa"/>
            <w:vAlign w:val="center"/>
          </w:tcPr>
          <w:p w14:paraId="76D8E806">
            <w:pPr>
              <w:pStyle w:val="14"/>
            </w:pPr>
            <w:r>
              <w:t>0.22</w:t>
            </w:r>
          </w:p>
        </w:tc>
        <w:tc>
          <w:tcPr>
            <w:tcW w:w="964" w:type="dxa"/>
            <w:vAlign w:val="center"/>
          </w:tcPr>
          <w:p w14:paraId="61CD9D6D">
            <w:pPr>
              <w:pStyle w:val="14"/>
            </w:pPr>
            <w:r>
              <w:t>0.22</w:t>
            </w:r>
          </w:p>
        </w:tc>
        <w:tc>
          <w:tcPr>
            <w:tcW w:w="964" w:type="dxa"/>
            <w:vAlign w:val="center"/>
          </w:tcPr>
          <w:p w14:paraId="4F2320FF">
            <w:pPr>
              <w:pStyle w:val="14"/>
            </w:pPr>
          </w:p>
        </w:tc>
        <w:tc>
          <w:tcPr>
            <w:tcW w:w="964" w:type="dxa"/>
            <w:vAlign w:val="center"/>
          </w:tcPr>
          <w:p w14:paraId="7FF84FB2">
            <w:pPr>
              <w:pStyle w:val="14"/>
            </w:pPr>
          </w:p>
        </w:tc>
        <w:tc>
          <w:tcPr>
            <w:tcW w:w="964" w:type="dxa"/>
            <w:vAlign w:val="center"/>
          </w:tcPr>
          <w:p w14:paraId="51333888">
            <w:pPr>
              <w:pStyle w:val="14"/>
            </w:pPr>
          </w:p>
        </w:tc>
        <w:tc>
          <w:tcPr>
            <w:tcW w:w="964" w:type="dxa"/>
            <w:vAlign w:val="center"/>
          </w:tcPr>
          <w:p w14:paraId="1B05603E">
            <w:pPr>
              <w:pStyle w:val="14"/>
            </w:pPr>
          </w:p>
        </w:tc>
        <w:tc>
          <w:tcPr>
            <w:tcW w:w="964" w:type="dxa"/>
            <w:vAlign w:val="center"/>
          </w:tcPr>
          <w:p w14:paraId="60EB388A">
            <w:pPr>
              <w:pStyle w:val="14"/>
            </w:pPr>
          </w:p>
        </w:tc>
        <w:tc>
          <w:tcPr>
            <w:tcW w:w="964" w:type="dxa"/>
            <w:vAlign w:val="center"/>
          </w:tcPr>
          <w:p w14:paraId="58E5C9D8">
            <w:pPr>
              <w:pStyle w:val="14"/>
            </w:pPr>
            <w:r>
              <w:t>0.22</w:t>
            </w:r>
          </w:p>
        </w:tc>
      </w:tr>
      <w:tr w14:paraId="29AA4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273E3B">
            <w:pPr>
              <w:pStyle w:val="13"/>
            </w:pPr>
            <w:r>
              <w:t>冀财教[2024]123号/中央/2025年义教补助经费/牛家桥小学公用经费</w:t>
            </w:r>
          </w:p>
        </w:tc>
        <w:tc>
          <w:tcPr>
            <w:tcW w:w="964" w:type="dxa"/>
            <w:vAlign w:val="center"/>
          </w:tcPr>
          <w:p w14:paraId="161CFF1B">
            <w:pPr>
              <w:pStyle w:val="14"/>
            </w:pPr>
            <w:r>
              <w:t>42.15</w:t>
            </w:r>
          </w:p>
        </w:tc>
        <w:tc>
          <w:tcPr>
            <w:tcW w:w="1134" w:type="dxa"/>
            <w:vAlign w:val="center"/>
          </w:tcPr>
          <w:p w14:paraId="2E16EF7F">
            <w:pPr>
              <w:pStyle w:val="13"/>
            </w:pPr>
            <w:r>
              <w:t>空调机</w:t>
            </w:r>
          </w:p>
        </w:tc>
        <w:tc>
          <w:tcPr>
            <w:tcW w:w="1134" w:type="dxa"/>
            <w:vAlign w:val="center"/>
          </w:tcPr>
          <w:p w14:paraId="001637D3">
            <w:pPr>
              <w:pStyle w:val="13"/>
            </w:pPr>
            <w:r>
              <w:t>A02061804</w:t>
            </w:r>
          </w:p>
        </w:tc>
        <w:tc>
          <w:tcPr>
            <w:tcW w:w="709" w:type="dxa"/>
            <w:vAlign w:val="center"/>
          </w:tcPr>
          <w:p w14:paraId="0C792A25">
            <w:pPr>
              <w:pStyle w:val="12"/>
            </w:pPr>
            <w:r>
              <w:t>台</w:t>
            </w:r>
          </w:p>
        </w:tc>
        <w:tc>
          <w:tcPr>
            <w:tcW w:w="850" w:type="dxa"/>
            <w:vAlign w:val="center"/>
          </w:tcPr>
          <w:p w14:paraId="77F75DFE">
            <w:pPr>
              <w:pStyle w:val="14"/>
            </w:pPr>
            <w:r>
              <w:t>2</w:t>
            </w:r>
          </w:p>
        </w:tc>
        <w:tc>
          <w:tcPr>
            <w:tcW w:w="850" w:type="dxa"/>
            <w:vAlign w:val="center"/>
          </w:tcPr>
          <w:p w14:paraId="46BDF5EF">
            <w:pPr>
              <w:pStyle w:val="14"/>
            </w:pPr>
            <w:r>
              <w:t>0.30</w:t>
            </w:r>
          </w:p>
        </w:tc>
        <w:tc>
          <w:tcPr>
            <w:tcW w:w="964" w:type="dxa"/>
            <w:vAlign w:val="center"/>
          </w:tcPr>
          <w:p w14:paraId="25B94A98">
            <w:pPr>
              <w:pStyle w:val="14"/>
            </w:pPr>
            <w:r>
              <w:t>0.60</w:t>
            </w:r>
          </w:p>
        </w:tc>
        <w:tc>
          <w:tcPr>
            <w:tcW w:w="964" w:type="dxa"/>
            <w:vAlign w:val="center"/>
          </w:tcPr>
          <w:p w14:paraId="30B610FE">
            <w:pPr>
              <w:pStyle w:val="14"/>
            </w:pPr>
            <w:r>
              <w:t>0.60</w:t>
            </w:r>
          </w:p>
        </w:tc>
        <w:tc>
          <w:tcPr>
            <w:tcW w:w="964" w:type="dxa"/>
            <w:vAlign w:val="center"/>
          </w:tcPr>
          <w:p w14:paraId="2C9BB1E3">
            <w:pPr>
              <w:pStyle w:val="14"/>
            </w:pPr>
          </w:p>
        </w:tc>
        <w:tc>
          <w:tcPr>
            <w:tcW w:w="964" w:type="dxa"/>
            <w:vAlign w:val="center"/>
          </w:tcPr>
          <w:p w14:paraId="6F2320F2">
            <w:pPr>
              <w:pStyle w:val="14"/>
            </w:pPr>
          </w:p>
        </w:tc>
        <w:tc>
          <w:tcPr>
            <w:tcW w:w="964" w:type="dxa"/>
            <w:vAlign w:val="center"/>
          </w:tcPr>
          <w:p w14:paraId="716B34BC">
            <w:pPr>
              <w:pStyle w:val="14"/>
            </w:pPr>
          </w:p>
        </w:tc>
        <w:tc>
          <w:tcPr>
            <w:tcW w:w="964" w:type="dxa"/>
            <w:vAlign w:val="center"/>
          </w:tcPr>
          <w:p w14:paraId="5087582F">
            <w:pPr>
              <w:pStyle w:val="14"/>
            </w:pPr>
          </w:p>
        </w:tc>
        <w:tc>
          <w:tcPr>
            <w:tcW w:w="964" w:type="dxa"/>
            <w:vAlign w:val="center"/>
          </w:tcPr>
          <w:p w14:paraId="2C2821F9">
            <w:pPr>
              <w:pStyle w:val="14"/>
            </w:pPr>
          </w:p>
        </w:tc>
        <w:tc>
          <w:tcPr>
            <w:tcW w:w="964" w:type="dxa"/>
            <w:vAlign w:val="center"/>
          </w:tcPr>
          <w:p w14:paraId="642C19BD">
            <w:pPr>
              <w:pStyle w:val="14"/>
            </w:pPr>
            <w:r>
              <w:t>0.60</w:t>
            </w:r>
          </w:p>
        </w:tc>
      </w:tr>
      <w:tr w14:paraId="2AFDB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9FD5F5">
            <w:pPr>
              <w:pStyle w:val="13"/>
            </w:pPr>
            <w:r>
              <w:t>冀财教[2024]123号/中央/2025年义教补助经费/牛家桥小学公用经费</w:t>
            </w:r>
          </w:p>
        </w:tc>
        <w:tc>
          <w:tcPr>
            <w:tcW w:w="964" w:type="dxa"/>
            <w:vAlign w:val="center"/>
          </w:tcPr>
          <w:p w14:paraId="0869D6B9">
            <w:pPr>
              <w:pStyle w:val="14"/>
            </w:pPr>
            <w:r>
              <w:t>42.15</w:t>
            </w:r>
          </w:p>
        </w:tc>
        <w:tc>
          <w:tcPr>
            <w:tcW w:w="1134" w:type="dxa"/>
            <w:vAlign w:val="center"/>
          </w:tcPr>
          <w:p w14:paraId="71992E8F">
            <w:pPr>
              <w:pStyle w:val="13"/>
            </w:pPr>
            <w:r>
              <w:t>办公桌</w:t>
            </w:r>
          </w:p>
        </w:tc>
        <w:tc>
          <w:tcPr>
            <w:tcW w:w="1134" w:type="dxa"/>
            <w:vAlign w:val="center"/>
          </w:tcPr>
          <w:p w14:paraId="5F1CB317">
            <w:pPr>
              <w:pStyle w:val="13"/>
            </w:pPr>
            <w:r>
              <w:t>A05010201</w:t>
            </w:r>
          </w:p>
        </w:tc>
        <w:tc>
          <w:tcPr>
            <w:tcW w:w="709" w:type="dxa"/>
            <w:vAlign w:val="center"/>
          </w:tcPr>
          <w:p w14:paraId="0A5446A9">
            <w:pPr>
              <w:pStyle w:val="12"/>
            </w:pPr>
            <w:r>
              <w:t>张</w:t>
            </w:r>
          </w:p>
        </w:tc>
        <w:tc>
          <w:tcPr>
            <w:tcW w:w="850" w:type="dxa"/>
            <w:vAlign w:val="center"/>
          </w:tcPr>
          <w:p w14:paraId="39E14444">
            <w:pPr>
              <w:pStyle w:val="14"/>
            </w:pPr>
            <w:r>
              <w:t>4</w:t>
            </w:r>
          </w:p>
        </w:tc>
        <w:tc>
          <w:tcPr>
            <w:tcW w:w="850" w:type="dxa"/>
            <w:vAlign w:val="center"/>
          </w:tcPr>
          <w:p w14:paraId="3027A041">
            <w:pPr>
              <w:pStyle w:val="14"/>
            </w:pPr>
            <w:r>
              <w:t>0.11</w:t>
            </w:r>
          </w:p>
        </w:tc>
        <w:tc>
          <w:tcPr>
            <w:tcW w:w="964" w:type="dxa"/>
            <w:vAlign w:val="center"/>
          </w:tcPr>
          <w:p w14:paraId="08655694">
            <w:pPr>
              <w:pStyle w:val="14"/>
            </w:pPr>
            <w:r>
              <w:t>0.42</w:t>
            </w:r>
          </w:p>
        </w:tc>
        <w:tc>
          <w:tcPr>
            <w:tcW w:w="964" w:type="dxa"/>
            <w:vAlign w:val="center"/>
          </w:tcPr>
          <w:p w14:paraId="261F5D7D">
            <w:pPr>
              <w:pStyle w:val="14"/>
            </w:pPr>
            <w:r>
              <w:t>0.42</w:t>
            </w:r>
          </w:p>
        </w:tc>
        <w:tc>
          <w:tcPr>
            <w:tcW w:w="964" w:type="dxa"/>
            <w:vAlign w:val="center"/>
          </w:tcPr>
          <w:p w14:paraId="08AB458A">
            <w:pPr>
              <w:pStyle w:val="14"/>
            </w:pPr>
          </w:p>
        </w:tc>
        <w:tc>
          <w:tcPr>
            <w:tcW w:w="964" w:type="dxa"/>
            <w:vAlign w:val="center"/>
          </w:tcPr>
          <w:p w14:paraId="199C58A7">
            <w:pPr>
              <w:pStyle w:val="14"/>
            </w:pPr>
          </w:p>
        </w:tc>
        <w:tc>
          <w:tcPr>
            <w:tcW w:w="964" w:type="dxa"/>
            <w:vAlign w:val="center"/>
          </w:tcPr>
          <w:p w14:paraId="753E7DEE">
            <w:pPr>
              <w:pStyle w:val="14"/>
            </w:pPr>
          </w:p>
        </w:tc>
        <w:tc>
          <w:tcPr>
            <w:tcW w:w="964" w:type="dxa"/>
            <w:vAlign w:val="center"/>
          </w:tcPr>
          <w:p w14:paraId="7C749365">
            <w:pPr>
              <w:pStyle w:val="14"/>
            </w:pPr>
          </w:p>
        </w:tc>
        <w:tc>
          <w:tcPr>
            <w:tcW w:w="964" w:type="dxa"/>
            <w:vAlign w:val="center"/>
          </w:tcPr>
          <w:p w14:paraId="0B8A0B54">
            <w:pPr>
              <w:pStyle w:val="14"/>
            </w:pPr>
          </w:p>
        </w:tc>
        <w:tc>
          <w:tcPr>
            <w:tcW w:w="964" w:type="dxa"/>
            <w:vAlign w:val="center"/>
          </w:tcPr>
          <w:p w14:paraId="27A1E07E">
            <w:pPr>
              <w:pStyle w:val="14"/>
            </w:pPr>
            <w:r>
              <w:t>0.42</w:t>
            </w:r>
          </w:p>
        </w:tc>
      </w:tr>
      <w:tr w14:paraId="08DFC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B72615">
            <w:pPr>
              <w:pStyle w:val="13"/>
            </w:pPr>
            <w:r>
              <w:t>冀财教[2024]123号/中央/2025年义教补助经费/牛家桥小学公用经费</w:t>
            </w:r>
          </w:p>
        </w:tc>
        <w:tc>
          <w:tcPr>
            <w:tcW w:w="964" w:type="dxa"/>
            <w:vAlign w:val="center"/>
          </w:tcPr>
          <w:p w14:paraId="1F54F666">
            <w:pPr>
              <w:pStyle w:val="14"/>
            </w:pPr>
            <w:r>
              <w:t>42.15</w:t>
            </w:r>
          </w:p>
        </w:tc>
        <w:tc>
          <w:tcPr>
            <w:tcW w:w="1134" w:type="dxa"/>
            <w:vAlign w:val="center"/>
          </w:tcPr>
          <w:p w14:paraId="664AF613">
            <w:pPr>
              <w:pStyle w:val="13"/>
            </w:pPr>
            <w:r>
              <w:t>文件柜</w:t>
            </w:r>
          </w:p>
        </w:tc>
        <w:tc>
          <w:tcPr>
            <w:tcW w:w="1134" w:type="dxa"/>
            <w:vAlign w:val="center"/>
          </w:tcPr>
          <w:p w14:paraId="277DEAC3">
            <w:pPr>
              <w:pStyle w:val="13"/>
            </w:pPr>
            <w:r>
              <w:t>A05010502</w:t>
            </w:r>
          </w:p>
        </w:tc>
        <w:tc>
          <w:tcPr>
            <w:tcW w:w="709" w:type="dxa"/>
            <w:vAlign w:val="center"/>
          </w:tcPr>
          <w:p w14:paraId="3FC6DB1D">
            <w:pPr>
              <w:pStyle w:val="12"/>
            </w:pPr>
            <w:r>
              <w:t>个</w:t>
            </w:r>
          </w:p>
        </w:tc>
        <w:tc>
          <w:tcPr>
            <w:tcW w:w="850" w:type="dxa"/>
            <w:vAlign w:val="center"/>
          </w:tcPr>
          <w:p w14:paraId="543D1A72">
            <w:pPr>
              <w:pStyle w:val="14"/>
            </w:pPr>
            <w:r>
              <w:t>7</w:t>
            </w:r>
          </w:p>
        </w:tc>
        <w:tc>
          <w:tcPr>
            <w:tcW w:w="850" w:type="dxa"/>
            <w:vAlign w:val="center"/>
          </w:tcPr>
          <w:p w14:paraId="27C099B4">
            <w:pPr>
              <w:pStyle w:val="14"/>
            </w:pPr>
            <w:r>
              <w:t>0.05</w:t>
            </w:r>
          </w:p>
        </w:tc>
        <w:tc>
          <w:tcPr>
            <w:tcW w:w="964" w:type="dxa"/>
            <w:vAlign w:val="center"/>
          </w:tcPr>
          <w:p w14:paraId="53645C1C">
            <w:pPr>
              <w:pStyle w:val="14"/>
            </w:pPr>
            <w:r>
              <w:t>0.35</w:t>
            </w:r>
          </w:p>
        </w:tc>
        <w:tc>
          <w:tcPr>
            <w:tcW w:w="964" w:type="dxa"/>
            <w:vAlign w:val="center"/>
          </w:tcPr>
          <w:p w14:paraId="63574903">
            <w:pPr>
              <w:pStyle w:val="14"/>
            </w:pPr>
            <w:r>
              <w:t>0.35</w:t>
            </w:r>
          </w:p>
        </w:tc>
        <w:tc>
          <w:tcPr>
            <w:tcW w:w="964" w:type="dxa"/>
            <w:vAlign w:val="center"/>
          </w:tcPr>
          <w:p w14:paraId="2B9B6A0A">
            <w:pPr>
              <w:pStyle w:val="14"/>
            </w:pPr>
          </w:p>
        </w:tc>
        <w:tc>
          <w:tcPr>
            <w:tcW w:w="964" w:type="dxa"/>
            <w:vAlign w:val="center"/>
          </w:tcPr>
          <w:p w14:paraId="45C6DB0C">
            <w:pPr>
              <w:pStyle w:val="14"/>
            </w:pPr>
          </w:p>
        </w:tc>
        <w:tc>
          <w:tcPr>
            <w:tcW w:w="964" w:type="dxa"/>
            <w:vAlign w:val="center"/>
          </w:tcPr>
          <w:p w14:paraId="0AA8AF22">
            <w:pPr>
              <w:pStyle w:val="14"/>
            </w:pPr>
          </w:p>
        </w:tc>
        <w:tc>
          <w:tcPr>
            <w:tcW w:w="964" w:type="dxa"/>
            <w:vAlign w:val="center"/>
          </w:tcPr>
          <w:p w14:paraId="004B14E0">
            <w:pPr>
              <w:pStyle w:val="14"/>
            </w:pPr>
          </w:p>
        </w:tc>
        <w:tc>
          <w:tcPr>
            <w:tcW w:w="964" w:type="dxa"/>
            <w:vAlign w:val="center"/>
          </w:tcPr>
          <w:p w14:paraId="5F7C27EB">
            <w:pPr>
              <w:pStyle w:val="14"/>
            </w:pPr>
          </w:p>
        </w:tc>
        <w:tc>
          <w:tcPr>
            <w:tcW w:w="964" w:type="dxa"/>
            <w:vAlign w:val="center"/>
          </w:tcPr>
          <w:p w14:paraId="4800EF1E">
            <w:pPr>
              <w:pStyle w:val="14"/>
            </w:pPr>
            <w:r>
              <w:t>0.35</w:t>
            </w:r>
          </w:p>
        </w:tc>
      </w:tr>
      <w:tr w14:paraId="1BE16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1117E5">
            <w:pPr>
              <w:pStyle w:val="13"/>
            </w:pPr>
            <w:r>
              <w:t>冀财教[2024]142号/省级/2025年学前发展资金/牛家桥校区学前教育公用经费</w:t>
            </w:r>
          </w:p>
        </w:tc>
        <w:tc>
          <w:tcPr>
            <w:tcW w:w="964" w:type="dxa"/>
            <w:vAlign w:val="center"/>
          </w:tcPr>
          <w:p w14:paraId="3EA39464">
            <w:pPr>
              <w:pStyle w:val="14"/>
            </w:pPr>
            <w:r>
              <w:t>3.99</w:t>
            </w:r>
          </w:p>
        </w:tc>
        <w:tc>
          <w:tcPr>
            <w:tcW w:w="1134" w:type="dxa"/>
            <w:vAlign w:val="center"/>
          </w:tcPr>
          <w:p w14:paraId="2264827B">
            <w:pPr>
              <w:pStyle w:val="13"/>
            </w:pPr>
            <w:r>
              <w:t>空调机</w:t>
            </w:r>
          </w:p>
        </w:tc>
        <w:tc>
          <w:tcPr>
            <w:tcW w:w="1134" w:type="dxa"/>
            <w:vAlign w:val="center"/>
          </w:tcPr>
          <w:p w14:paraId="77D408AA">
            <w:pPr>
              <w:pStyle w:val="13"/>
            </w:pPr>
            <w:r>
              <w:t>A02061804</w:t>
            </w:r>
          </w:p>
        </w:tc>
        <w:tc>
          <w:tcPr>
            <w:tcW w:w="709" w:type="dxa"/>
            <w:vAlign w:val="center"/>
          </w:tcPr>
          <w:p w14:paraId="31D6FE72">
            <w:pPr>
              <w:pStyle w:val="12"/>
            </w:pPr>
            <w:r>
              <w:t>台</w:t>
            </w:r>
          </w:p>
        </w:tc>
        <w:tc>
          <w:tcPr>
            <w:tcW w:w="850" w:type="dxa"/>
            <w:vAlign w:val="center"/>
          </w:tcPr>
          <w:p w14:paraId="5B2C5FC3">
            <w:pPr>
              <w:pStyle w:val="14"/>
            </w:pPr>
            <w:r>
              <w:t>1</w:t>
            </w:r>
          </w:p>
        </w:tc>
        <w:tc>
          <w:tcPr>
            <w:tcW w:w="850" w:type="dxa"/>
            <w:vAlign w:val="center"/>
          </w:tcPr>
          <w:p w14:paraId="2DEF9DB0">
            <w:pPr>
              <w:pStyle w:val="14"/>
            </w:pPr>
            <w:r>
              <w:t>0.60</w:t>
            </w:r>
          </w:p>
        </w:tc>
        <w:tc>
          <w:tcPr>
            <w:tcW w:w="964" w:type="dxa"/>
            <w:vAlign w:val="center"/>
          </w:tcPr>
          <w:p w14:paraId="4BB95F0A">
            <w:pPr>
              <w:pStyle w:val="14"/>
            </w:pPr>
            <w:r>
              <w:t>0.60</w:t>
            </w:r>
          </w:p>
        </w:tc>
        <w:tc>
          <w:tcPr>
            <w:tcW w:w="964" w:type="dxa"/>
            <w:vAlign w:val="center"/>
          </w:tcPr>
          <w:p w14:paraId="51F73E0F">
            <w:pPr>
              <w:pStyle w:val="14"/>
            </w:pPr>
            <w:r>
              <w:t>0.60</w:t>
            </w:r>
          </w:p>
        </w:tc>
        <w:tc>
          <w:tcPr>
            <w:tcW w:w="964" w:type="dxa"/>
            <w:vAlign w:val="center"/>
          </w:tcPr>
          <w:p w14:paraId="7BC8D815">
            <w:pPr>
              <w:pStyle w:val="14"/>
            </w:pPr>
          </w:p>
        </w:tc>
        <w:tc>
          <w:tcPr>
            <w:tcW w:w="964" w:type="dxa"/>
            <w:vAlign w:val="center"/>
          </w:tcPr>
          <w:p w14:paraId="70F7441F">
            <w:pPr>
              <w:pStyle w:val="14"/>
            </w:pPr>
          </w:p>
        </w:tc>
        <w:tc>
          <w:tcPr>
            <w:tcW w:w="964" w:type="dxa"/>
            <w:vAlign w:val="center"/>
          </w:tcPr>
          <w:p w14:paraId="6AFFC54E">
            <w:pPr>
              <w:pStyle w:val="14"/>
            </w:pPr>
          </w:p>
        </w:tc>
        <w:tc>
          <w:tcPr>
            <w:tcW w:w="964" w:type="dxa"/>
            <w:vAlign w:val="center"/>
          </w:tcPr>
          <w:p w14:paraId="1F1E2852">
            <w:pPr>
              <w:pStyle w:val="14"/>
            </w:pPr>
          </w:p>
        </w:tc>
        <w:tc>
          <w:tcPr>
            <w:tcW w:w="964" w:type="dxa"/>
            <w:vAlign w:val="center"/>
          </w:tcPr>
          <w:p w14:paraId="5CDD7D78">
            <w:pPr>
              <w:pStyle w:val="14"/>
            </w:pPr>
          </w:p>
        </w:tc>
        <w:tc>
          <w:tcPr>
            <w:tcW w:w="964" w:type="dxa"/>
            <w:vAlign w:val="center"/>
          </w:tcPr>
          <w:p w14:paraId="38731C13">
            <w:pPr>
              <w:pStyle w:val="14"/>
            </w:pPr>
            <w:r>
              <w:t>0.60</w:t>
            </w:r>
          </w:p>
        </w:tc>
      </w:tr>
      <w:tr w14:paraId="178EE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FE9E25">
            <w:pPr>
              <w:pStyle w:val="13"/>
            </w:pPr>
            <w:r>
              <w:t>冀财教[2024]142号/省级/2025年学前发展资金/牛家桥校区学前教育幼儿资助</w:t>
            </w:r>
          </w:p>
        </w:tc>
        <w:tc>
          <w:tcPr>
            <w:tcW w:w="964" w:type="dxa"/>
            <w:vAlign w:val="center"/>
          </w:tcPr>
          <w:p w14:paraId="704FEC38">
            <w:pPr>
              <w:pStyle w:val="14"/>
            </w:pPr>
            <w:r>
              <w:t>0.42</w:t>
            </w:r>
          </w:p>
        </w:tc>
        <w:tc>
          <w:tcPr>
            <w:tcW w:w="1134" w:type="dxa"/>
            <w:vAlign w:val="center"/>
          </w:tcPr>
          <w:p w14:paraId="28B5952E">
            <w:pPr>
              <w:pStyle w:val="13"/>
            </w:pPr>
            <w:r>
              <w:t>复印纸</w:t>
            </w:r>
          </w:p>
        </w:tc>
        <w:tc>
          <w:tcPr>
            <w:tcW w:w="1134" w:type="dxa"/>
            <w:vAlign w:val="center"/>
          </w:tcPr>
          <w:p w14:paraId="28C91426">
            <w:pPr>
              <w:pStyle w:val="13"/>
            </w:pPr>
            <w:r>
              <w:t>A05040101</w:t>
            </w:r>
          </w:p>
        </w:tc>
        <w:tc>
          <w:tcPr>
            <w:tcW w:w="709" w:type="dxa"/>
            <w:vAlign w:val="center"/>
          </w:tcPr>
          <w:p w14:paraId="64634F41">
            <w:pPr>
              <w:pStyle w:val="12"/>
            </w:pPr>
            <w:r>
              <w:t>包</w:t>
            </w:r>
          </w:p>
        </w:tc>
        <w:tc>
          <w:tcPr>
            <w:tcW w:w="850" w:type="dxa"/>
            <w:vAlign w:val="center"/>
          </w:tcPr>
          <w:p w14:paraId="5D800FDE">
            <w:pPr>
              <w:pStyle w:val="14"/>
            </w:pPr>
            <w:r>
              <w:t>1</w:t>
            </w:r>
          </w:p>
        </w:tc>
        <w:tc>
          <w:tcPr>
            <w:tcW w:w="850" w:type="dxa"/>
            <w:vAlign w:val="center"/>
          </w:tcPr>
          <w:p w14:paraId="385B54BC">
            <w:pPr>
              <w:pStyle w:val="14"/>
            </w:pPr>
            <w:r>
              <w:t>0.02</w:t>
            </w:r>
          </w:p>
        </w:tc>
        <w:tc>
          <w:tcPr>
            <w:tcW w:w="964" w:type="dxa"/>
            <w:vAlign w:val="center"/>
          </w:tcPr>
          <w:p w14:paraId="6B559B62">
            <w:pPr>
              <w:pStyle w:val="14"/>
            </w:pPr>
            <w:r>
              <w:t>0.02</w:t>
            </w:r>
          </w:p>
        </w:tc>
        <w:tc>
          <w:tcPr>
            <w:tcW w:w="964" w:type="dxa"/>
            <w:vAlign w:val="center"/>
          </w:tcPr>
          <w:p w14:paraId="2EF7B744">
            <w:pPr>
              <w:pStyle w:val="14"/>
            </w:pPr>
            <w:r>
              <w:t>0.02</w:t>
            </w:r>
          </w:p>
        </w:tc>
        <w:tc>
          <w:tcPr>
            <w:tcW w:w="964" w:type="dxa"/>
            <w:vAlign w:val="center"/>
          </w:tcPr>
          <w:p w14:paraId="37E050CD">
            <w:pPr>
              <w:pStyle w:val="14"/>
            </w:pPr>
          </w:p>
        </w:tc>
        <w:tc>
          <w:tcPr>
            <w:tcW w:w="964" w:type="dxa"/>
            <w:vAlign w:val="center"/>
          </w:tcPr>
          <w:p w14:paraId="6E77A070">
            <w:pPr>
              <w:pStyle w:val="14"/>
            </w:pPr>
          </w:p>
        </w:tc>
        <w:tc>
          <w:tcPr>
            <w:tcW w:w="964" w:type="dxa"/>
            <w:vAlign w:val="center"/>
          </w:tcPr>
          <w:p w14:paraId="4ACE5EEC">
            <w:pPr>
              <w:pStyle w:val="14"/>
            </w:pPr>
          </w:p>
        </w:tc>
        <w:tc>
          <w:tcPr>
            <w:tcW w:w="964" w:type="dxa"/>
            <w:vAlign w:val="center"/>
          </w:tcPr>
          <w:p w14:paraId="0547A6D8">
            <w:pPr>
              <w:pStyle w:val="14"/>
            </w:pPr>
          </w:p>
        </w:tc>
        <w:tc>
          <w:tcPr>
            <w:tcW w:w="964" w:type="dxa"/>
            <w:vAlign w:val="center"/>
          </w:tcPr>
          <w:p w14:paraId="6C354B63">
            <w:pPr>
              <w:pStyle w:val="14"/>
            </w:pPr>
          </w:p>
        </w:tc>
        <w:tc>
          <w:tcPr>
            <w:tcW w:w="964" w:type="dxa"/>
            <w:vAlign w:val="center"/>
          </w:tcPr>
          <w:p w14:paraId="69BB875B">
            <w:pPr>
              <w:pStyle w:val="14"/>
            </w:pPr>
            <w:r>
              <w:t>0.02</w:t>
            </w:r>
          </w:p>
        </w:tc>
      </w:tr>
      <w:tr w14:paraId="14318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58ADA4">
            <w:pPr>
              <w:pStyle w:val="13"/>
            </w:pPr>
            <w:r>
              <w:t>县级配套/牛家桥校区学前教育幼儿资助</w:t>
            </w:r>
          </w:p>
        </w:tc>
        <w:tc>
          <w:tcPr>
            <w:tcW w:w="964" w:type="dxa"/>
            <w:vAlign w:val="center"/>
          </w:tcPr>
          <w:p w14:paraId="5A42E1C3">
            <w:pPr>
              <w:pStyle w:val="14"/>
            </w:pPr>
            <w:r>
              <w:t>0.42</w:t>
            </w:r>
          </w:p>
        </w:tc>
        <w:tc>
          <w:tcPr>
            <w:tcW w:w="1134" w:type="dxa"/>
            <w:vAlign w:val="center"/>
          </w:tcPr>
          <w:p w14:paraId="0A3D4378">
            <w:pPr>
              <w:pStyle w:val="13"/>
            </w:pPr>
            <w:r>
              <w:t>复印纸</w:t>
            </w:r>
          </w:p>
        </w:tc>
        <w:tc>
          <w:tcPr>
            <w:tcW w:w="1134" w:type="dxa"/>
            <w:vAlign w:val="center"/>
          </w:tcPr>
          <w:p w14:paraId="4E76EB7D">
            <w:pPr>
              <w:pStyle w:val="13"/>
            </w:pPr>
            <w:r>
              <w:t>A05040101</w:t>
            </w:r>
          </w:p>
        </w:tc>
        <w:tc>
          <w:tcPr>
            <w:tcW w:w="709" w:type="dxa"/>
            <w:vAlign w:val="center"/>
          </w:tcPr>
          <w:p w14:paraId="648BD983">
            <w:pPr>
              <w:pStyle w:val="12"/>
            </w:pPr>
            <w:r>
              <w:t>包</w:t>
            </w:r>
          </w:p>
        </w:tc>
        <w:tc>
          <w:tcPr>
            <w:tcW w:w="850" w:type="dxa"/>
            <w:vAlign w:val="center"/>
          </w:tcPr>
          <w:p w14:paraId="51EE4F73">
            <w:pPr>
              <w:pStyle w:val="14"/>
            </w:pPr>
            <w:r>
              <w:t>5</w:t>
            </w:r>
          </w:p>
        </w:tc>
        <w:tc>
          <w:tcPr>
            <w:tcW w:w="850" w:type="dxa"/>
            <w:vAlign w:val="center"/>
          </w:tcPr>
          <w:p w14:paraId="27A133EA">
            <w:pPr>
              <w:pStyle w:val="14"/>
            </w:pPr>
            <w:r>
              <w:t>0.02</w:t>
            </w:r>
          </w:p>
        </w:tc>
        <w:tc>
          <w:tcPr>
            <w:tcW w:w="964" w:type="dxa"/>
            <w:vAlign w:val="center"/>
          </w:tcPr>
          <w:p w14:paraId="7D98A588">
            <w:pPr>
              <w:pStyle w:val="14"/>
            </w:pPr>
            <w:r>
              <w:t>0.09</w:t>
            </w:r>
          </w:p>
        </w:tc>
        <w:tc>
          <w:tcPr>
            <w:tcW w:w="964" w:type="dxa"/>
            <w:vAlign w:val="center"/>
          </w:tcPr>
          <w:p w14:paraId="3511503E">
            <w:pPr>
              <w:pStyle w:val="14"/>
            </w:pPr>
            <w:r>
              <w:t>0.09</w:t>
            </w:r>
          </w:p>
        </w:tc>
        <w:tc>
          <w:tcPr>
            <w:tcW w:w="964" w:type="dxa"/>
            <w:vAlign w:val="center"/>
          </w:tcPr>
          <w:p w14:paraId="50C78B43">
            <w:pPr>
              <w:pStyle w:val="14"/>
            </w:pPr>
          </w:p>
        </w:tc>
        <w:tc>
          <w:tcPr>
            <w:tcW w:w="964" w:type="dxa"/>
            <w:vAlign w:val="center"/>
          </w:tcPr>
          <w:p w14:paraId="66095F47">
            <w:pPr>
              <w:pStyle w:val="14"/>
            </w:pPr>
          </w:p>
        </w:tc>
        <w:tc>
          <w:tcPr>
            <w:tcW w:w="964" w:type="dxa"/>
            <w:vAlign w:val="center"/>
          </w:tcPr>
          <w:p w14:paraId="7ABDEB07">
            <w:pPr>
              <w:pStyle w:val="14"/>
            </w:pPr>
          </w:p>
        </w:tc>
        <w:tc>
          <w:tcPr>
            <w:tcW w:w="964" w:type="dxa"/>
            <w:vAlign w:val="center"/>
          </w:tcPr>
          <w:p w14:paraId="5FB21A84">
            <w:pPr>
              <w:pStyle w:val="14"/>
            </w:pPr>
          </w:p>
        </w:tc>
        <w:tc>
          <w:tcPr>
            <w:tcW w:w="964" w:type="dxa"/>
            <w:vAlign w:val="center"/>
          </w:tcPr>
          <w:p w14:paraId="15B682C0">
            <w:pPr>
              <w:pStyle w:val="14"/>
            </w:pPr>
          </w:p>
        </w:tc>
        <w:tc>
          <w:tcPr>
            <w:tcW w:w="964" w:type="dxa"/>
            <w:vAlign w:val="center"/>
          </w:tcPr>
          <w:p w14:paraId="1E132FAB">
            <w:pPr>
              <w:pStyle w:val="14"/>
            </w:pPr>
            <w:r>
              <w:t>0.09</w:t>
            </w:r>
          </w:p>
        </w:tc>
      </w:tr>
      <w:tr w14:paraId="52029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ED0C7E">
            <w:pPr>
              <w:pStyle w:val="13"/>
            </w:pPr>
            <w:r>
              <w:t>县级资金/牛家桥校区幼儿园公用经费</w:t>
            </w:r>
          </w:p>
        </w:tc>
        <w:tc>
          <w:tcPr>
            <w:tcW w:w="964" w:type="dxa"/>
            <w:vAlign w:val="center"/>
          </w:tcPr>
          <w:p w14:paraId="46FCAC20">
            <w:pPr>
              <w:pStyle w:val="14"/>
            </w:pPr>
            <w:r>
              <w:t>11.97</w:t>
            </w:r>
          </w:p>
        </w:tc>
        <w:tc>
          <w:tcPr>
            <w:tcW w:w="1134" w:type="dxa"/>
            <w:vAlign w:val="center"/>
          </w:tcPr>
          <w:p w14:paraId="3082F358">
            <w:pPr>
              <w:pStyle w:val="13"/>
            </w:pPr>
            <w:r>
              <w:t>台式计算机</w:t>
            </w:r>
          </w:p>
        </w:tc>
        <w:tc>
          <w:tcPr>
            <w:tcW w:w="1134" w:type="dxa"/>
            <w:vAlign w:val="center"/>
          </w:tcPr>
          <w:p w14:paraId="21F85C7F">
            <w:pPr>
              <w:pStyle w:val="13"/>
            </w:pPr>
            <w:r>
              <w:t>A02010105</w:t>
            </w:r>
          </w:p>
        </w:tc>
        <w:tc>
          <w:tcPr>
            <w:tcW w:w="709" w:type="dxa"/>
            <w:vAlign w:val="center"/>
          </w:tcPr>
          <w:p w14:paraId="2290D1FC">
            <w:pPr>
              <w:pStyle w:val="12"/>
            </w:pPr>
            <w:r>
              <w:t>台</w:t>
            </w:r>
          </w:p>
        </w:tc>
        <w:tc>
          <w:tcPr>
            <w:tcW w:w="850" w:type="dxa"/>
            <w:vAlign w:val="center"/>
          </w:tcPr>
          <w:p w14:paraId="7D332835">
            <w:pPr>
              <w:pStyle w:val="14"/>
            </w:pPr>
            <w:r>
              <w:t>1</w:t>
            </w:r>
          </w:p>
        </w:tc>
        <w:tc>
          <w:tcPr>
            <w:tcW w:w="850" w:type="dxa"/>
            <w:vAlign w:val="center"/>
          </w:tcPr>
          <w:p w14:paraId="15FF65BE">
            <w:pPr>
              <w:pStyle w:val="14"/>
            </w:pPr>
            <w:r>
              <w:t>0.35</w:t>
            </w:r>
          </w:p>
        </w:tc>
        <w:tc>
          <w:tcPr>
            <w:tcW w:w="964" w:type="dxa"/>
            <w:vAlign w:val="center"/>
          </w:tcPr>
          <w:p w14:paraId="72BB372E">
            <w:pPr>
              <w:pStyle w:val="14"/>
            </w:pPr>
            <w:r>
              <w:t>0.35</w:t>
            </w:r>
          </w:p>
        </w:tc>
        <w:tc>
          <w:tcPr>
            <w:tcW w:w="964" w:type="dxa"/>
            <w:vAlign w:val="center"/>
          </w:tcPr>
          <w:p w14:paraId="4995415C">
            <w:pPr>
              <w:pStyle w:val="14"/>
            </w:pPr>
            <w:r>
              <w:t>0.35</w:t>
            </w:r>
          </w:p>
        </w:tc>
        <w:tc>
          <w:tcPr>
            <w:tcW w:w="964" w:type="dxa"/>
            <w:vAlign w:val="center"/>
          </w:tcPr>
          <w:p w14:paraId="7DDDFD6E">
            <w:pPr>
              <w:pStyle w:val="14"/>
            </w:pPr>
          </w:p>
        </w:tc>
        <w:tc>
          <w:tcPr>
            <w:tcW w:w="964" w:type="dxa"/>
            <w:vAlign w:val="center"/>
          </w:tcPr>
          <w:p w14:paraId="55FFF206">
            <w:pPr>
              <w:pStyle w:val="14"/>
            </w:pPr>
          </w:p>
        </w:tc>
        <w:tc>
          <w:tcPr>
            <w:tcW w:w="964" w:type="dxa"/>
            <w:vAlign w:val="center"/>
          </w:tcPr>
          <w:p w14:paraId="1F1220E8">
            <w:pPr>
              <w:pStyle w:val="14"/>
            </w:pPr>
          </w:p>
        </w:tc>
        <w:tc>
          <w:tcPr>
            <w:tcW w:w="964" w:type="dxa"/>
            <w:vAlign w:val="center"/>
          </w:tcPr>
          <w:p w14:paraId="0CB5287C">
            <w:pPr>
              <w:pStyle w:val="14"/>
            </w:pPr>
          </w:p>
        </w:tc>
        <w:tc>
          <w:tcPr>
            <w:tcW w:w="964" w:type="dxa"/>
            <w:vAlign w:val="center"/>
          </w:tcPr>
          <w:p w14:paraId="689F3379">
            <w:pPr>
              <w:pStyle w:val="14"/>
            </w:pPr>
          </w:p>
        </w:tc>
        <w:tc>
          <w:tcPr>
            <w:tcW w:w="964" w:type="dxa"/>
            <w:vAlign w:val="center"/>
          </w:tcPr>
          <w:p w14:paraId="783D2518">
            <w:pPr>
              <w:pStyle w:val="14"/>
            </w:pPr>
            <w:r>
              <w:t>0.35</w:t>
            </w:r>
          </w:p>
        </w:tc>
      </w:tr>
    </w:tbl>
    <w:p w14:paraId="076DB30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BDF077">
      <w:pPr>
        <w:spacing w:before="0" w:after="0"/>
        <w:ind w:firstLine="640"/>
        <w:jc w:val="left"/>
        <w:outlineLvl w:val="9"/>
      </w:pPr>
      <w:r>
        <w:rPr>
          <w:rFonts w:ascii="Times New Roman" w:hAnsi="Times New Roman" w:eastAsia="方正仿宋_GBK" w:cs="Times New Roman"/>
          <w:color w:val="000000"/>
          <w:sz w:val="32"/>
        </w:rPr>
        <w:t xml:space="preserve"> </w:t>
      </w:r>
    </w:p>
    <w:p w14:paraId="16399CA0">
      <w:pPr>
        <w:spacing w:before="10" w:after="10" w:line="240" w:lineRule="auto"/>
        <w:ind w:firstLine="640"/>
        <w:jc w:val="left"/>
        <w:outlineLvl w:val="5"/>
      </w:pPr>
      <w:r>
        <w:rPr>
          <w:rFonts w:ascii="黑体" w:hAnsi="黑体" w:eastAsia="黑体" w:cs="黑体"/>
          <w:color w:val="000000"/>
          <w:sz w:val="32"/>
        </w:rPr>
        <w:t>七、国有资产信息</w:t>
      </w:r>
    </w:p>
    <w:p w14:paraId="0A60B4AE">
      <w:pPr>
        <w:spacing w:before="0" w:after="0" w:line="500" w:lineRule="exact"/>
        <w:ind w:firstLine="560"/>
        <w:jc w:val="left"/>
        <w:outlineLvl w:val="9"/>
      </w:pPr>
      <w:r>
        <w:rPr>
          <w:rFonts w:ascii="Times New Roman" w:hAnsi="Times New Roman" w:eastAsia="方正仿宋_GBK" w:cs="Times New Roman"/>
          <w:b w:val="0"/>
          <w:color w:val="000000"/>
          <w:sz w:val="28"/>
        </w:rPr>
        <w:t>隆尧县牛家桥校区上年末固定资产金额为</w:t>
      </w:r>
      <w:r>
        <w:rPr>
          <w:rFonts w:hint="eastAsia"/>
          <w:lang w:val="en-US" w:eastAsia="zh-CN"/>
        </w:rPr>
        <w:t>2271.5416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43.329</w:t>
      </w:r>
      <w:r>
        <w:rPr>
          <w:rFonts w:ascii="Times New Roman" w:hAnsi="Times New Roman" w:eastAsia="方正仿宋_GBK" w:cs="Times New Roman"/>
          <w:b w:val="0"/>
          <w:color w:val="000000"/>
          <w:sz w:val="28"/>
        </w:rPr>
        <w:t>万元，已按要求列入政府采购预算，详见政府采购预算表。</w:t>
      </w:r>
    </w:p>
    <w:p w14:paraId="6E0E805A">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p w14:paraId="6B54E8CB">
      <w:pPr>
        <w:pStyle w:val="3"/>
        <w:rPr>
          <w:rFonts w:hint="default" w:eastAsia="宋体"/>
          <w:lang w:val="en-US" w:eastAsia="zh-CN"/>
        </w:rPr>
      </w:pPr>
      <w:r>
        <w:t>3600</w:t>
      </w:r>
      <w:r>
        <w:rPr>
          <w:rFonts w:hint="eastAsia" w:eastAsia="宋体"/>
          <w:lang w:val="en-US" w:eastAsia="zh-CN"/>
        </w:rPr>
        <w:t>26</w:t>
      </w:r>
      <w:r>
        <w:t>隆尧县第二实验小学</w:t>
      </w:r>
      <w:r>
        <w:rPr>
          <w:rFonts w:hint="eastAsia" w:eastAsia="宋体"/>
          <w:lang w:val="en-US" w:eastAsia="zh-CN"/>
        </w:rPr>
        <w:t xml:space="preserve">                                                                                                                      </w:t>
      </w:r>
      <w:r>
        <w:t>截止时间：202</w:t>
      </w:r>
      <w:r>
        <w:rPr>
          <w:rFonts w:hint="eastAsia" w:eastAsia="宋体"/>
          <w:lang w:val="en-US" w:eastAsia="zh-CN"/>
        </w:rPr>
        <w:t>4</w:t>
      </w:r>
      <w:r>
        <w:t>-12-31</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762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noWrap w:val="0"/>
            <w:vAlign w:val="center"/>
          </w:tcPr>
          <w:p w14:paraId="0903C8F2">
            <w:pPr>
              <w:pStyle w:val="11"/>
            </w:pPr>
            <w:r>
              <w:t>项   目</w:t>
            </w:r>
          </w:p>
        </w:tc>
        <w:tc>
          <w:tcPr>
            <w:tcW w:w="4933" w:type="dxa"/>
            <w:noWrap w:val="0"/>
            <w:vAlign w:val="center"/>
          </w:tcPr>
          <w:p w14:paraId="366E7138">
            <w:pPr>
              <w:pStyle w:val="11"/>
            </w:pPr>
            <w:r>
              <w:t>数量</w:t>
            </w:r>
          </w:p>
        </w:tc>
        <w:tc>
          <w:tcPr>
            <w:tcW w:w="4933" w:type="dxa"/>
            <w:noWrap w:val="0"/>
            <w:vAlign w:val="center"/>
          </w:tcPr>
          <w:p w14:paraId="5F6EC1F7">
            <w:pPr>
              <w:pStyle w:val="11"/>
            </w:pPr>
            <w:r>
              <w:t>价值（金额单位：万元）</w:t>
            </w:r>
          </w:p>
        </w:tc>
      </w:tr>
      <w:tr w14:paraId="19D2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50FD4611">
            <w:pPr>
              <w:pStyle w:val="13"/>
            </w:pPr>
            <w:r>
              <w:t>资产总额</w:t>
            </w:r>
          </w:p>
        </w:tc>
        <w:tc>
          <w:tcPr>
            <w:tcW w:w="4933" w:type="dxa"/>
            <w:noWrap w:val="0"/>
            <w:vAlign w:val="center"/>
          </w:tcPr>
          <w:p w14:paraId="5CE93A60">
            <w:pPr>
              <w:pStyle w:val="12"/>
            </w:pPr>
          </w:p>
        </w:tc>
        <w:tc>
          <w:tcPr>
            <w:tcW w:w="4933" w:type="dxa"/>
            <w:noWrap w:val="0"/>
            <w:vAlign w:val="center"/>
          </w:tcPr>
          <w:p w14:paraId="60130B03">
            <w:pPr>
              <w:pStyle w:val="14"/>
              <w:rPr>
                <w:rFonts w:hint="default" w:eastAsia="方正书宋_GBK"/>
                <w:lang w:val="en-US" w:eastAsia="zh-CN"/>
              </w:rPr>
            </w:pPr>
            <w:r>
              <w:rPr>
                <w:rFonts w:hint="eastAsia"/>
                <w:lang w:val="en-US" w:eastAsia="zh-CN"/>
              </w:rPr>
              <w:t>2271.5416</w:t>
            </w:r>
          </w:p>
        </w:tc>
      </w:tr>
      <w:tr w14:paraId="7CD72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2678918C">
            <w:pPr>
              <w:pStyle w:val="13"/>
            </w:pPr>
            <w:r>
              <w:t>1、房屋（平方米）</w:t>
            </w:r>
          </w:p>
        </w:tc>
        <w:tc>
          <w:tcPr>
            <w:tcW w:w="4933" w:type="dxa"/>
            <w:noWrap w:val="0"/>
            <w:vAlign w:val="center"/>
          </w:tcPr>
          <w:p w14:paraId="2D569E5C">
            <w:pPr>
              <w:pStyle w:val="12"/>
              <w:rPr>
                <w:rFonts w:hint="default" w:eastAsia="方正书宋_GBK"/>
                <w:lang w:val="en-US" w:eastAsia="zh-CN"/>
              </w:rPr>
            </w:pPr>
            <w:r>
              <w:rPr>
                <w:rFonts w:hint="eastAsia"/>
                <w:lang w:val="en-US" w:eastAsia="zh-CN"/>
              </w:rPr>
              <w:t>12970.1</w:t>
            </w:r>
          </w:p>
        </w:tc>
        <w:tc>
          <w:tcPr>
            <w:tcW w:w="4933" w:type="dxa"/>
            <w:noWrap w:val="0"/>
            <w:vAlign w:val="center"/>
          </w:tcPr>
          <w:p w14:paraId="38FD598E">
            <w:pPr>
              <w:pStyle w:val="14"/>
              <w:rPr>
                <w:rFonts w:hint="default" w:eastAsia="方正书宋_GBK"/>
                <w:lang w:val="en-US" w:eastAsia="zh-CN"/>
              </w:rPr>
            </w:pPr>
            <w:r>
              <w:rPr>
                <w:rFonts w:hint="eastAsia"/>
                <w:lang w:val="en-US" w:eastAsia="zh-CN"/>
              </w:rPr>
              <w:t>1477.1716</w:t>
            </w:r>
          </w:p>
        </w:tc>
      </w:tr>
      <w:tr w14:paraId="3506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38383680">
            <w:pPr>
              <w:pStyle w:val="13"/>
            </w:pPr>
            <w:r>
              <w:t>　　其中：办公用房（平方米）</w:t>
            </w:r>
          </w:p>
        </w:tc>
        <w:tc>
          <w:tcPr>
            <w:tcW w:w="4933" w:type="dxa"/>
            <w:noWrap w:val="0"/>
            <w:vAlign w:val="center"/>
          </w:tcPr>
          <w:p w14:paraId="085667ED">
            <w:pPr>
              <w:pStyle w:val="12"/>
              <w:rPr>
                <w:rFonts w:hint="default" w:eastAsia="方正书宋_GBK"/>
                <w:lang w:val="en-US" w:eastAsia="zh-CN"/>
              </w:rPr>
            </w:pPr>
            <w:r>
              <w:rPr>
                <w:rFonts w:hint="eastAsia"/>
                <w:lang w:val="en-US" w:eastAsia="zh-CN"/>
              </w:rPr>
              <w:t>11521.1</w:t>
            </w:r>
          </w:p>
        </w:tc>
        <w:tc>
          <w:tcPr>
            <w:tcW w:w="4933" w:type="dxa"/>
            <w:noWrap w:val="0"/>
            <w:vAlign w:val="center"/>
          </w:tcPr>
          <w:p w14:paraId="3C320143">
            <w:pPr>
              <w:pStyle w:val="14"/>
              <w:rPr>
                <w:rFonts w:hint="default" w:eastAsia="方正书宋_GBK"/>
                <w:lang w:val="en-US" w:eastAsia="zh-CN"/>
              </w:rPr>
            </w:pPr>
            <w:r>
              <w:rPr>
                <w:rFonts w:hint="eastAsia"/>
                <w:lang w:val="en-US" w:eastAsia="zh-CN"/>
              </w:rPr>
              <w:t>1312.1442</w:t>
            </w:r>
          </w:p>
        </w:tc>
      </w:tr>
      <w:tr w14:paraId="5FC4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0E2219F9">
            <w:pPr>
              <w:pStyle w:val="13"/>
            </w:pPr>
            <w:r>
              <w:t>2、车辆（台、辆）</w:t>
            </w:r>
          </w:p>
        </w:tc>
        <w:tc>
          <w:tcPr>
            <w:tcW w:w="4933" w:type="dxa"/>
            <w:noWrap w:val="0"/>
            <w:vAlign w:val="center"/>
          </w:tcPr>
          <w:p w14:paraId="2D8DDFBA">
            <w:pPr>
              <w:pStyle w:val="12"/>
            </w:pPr>
          </w:p>
        </w:tc>
        <w:tc>
          <w:tcPr>
            <w:tcW w:w="4933" w:type="dxa"/>
            <w:noWrap w:val="0"/>
            <w:vAlign w:val="center"/>
          </w:tcPr>
          <w:p w14:paraId="15EDF38C">
            <w:pPr>
              <w:pStyle w:val="14"/>
            </w:pPr>
          </w:p>
        </w:tc>
      </w:tr>
      <w:tr w14:paraId="6C37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0357F48E">
            <w:pPr>
              <w:pStyle w:val="13"/>
            </w:pPr>
            <w:r>
              <w:t>3、单价在20万元以上的设备</w:t>
            </w:r>
          </w:p>
        </w:tc>
        <w:tc>
          <w:tcPr>
            <w:tcW w:w="4933" w:type="dxa"/>
            <w:noWrap w:val="0"/>
            <w:vAlign w:val="center"/>
          </w:tcPr>
          <w:p w14:paraId="5215FF06">
            <w:pPr>
              <w:pStyle w:val="12"/>
            </w:pPr>
          </w:p>
        </w:tc>
        <w:tc>
          <w:tcPr>
            <w:tcW w:w="4933" w:type="dxa"/>
            <w:noWrap w:val="0"/>
            <w:vAlign w:val="center"/>
          </w:tcPr>
          <w:p w14:paraId="4D5990FC">
            <w:pPr>
              <w:pStyle w:val="14"/>
            </w:pPr>
          </w:p>
        </w:tc>
      </w:tr>
      <w:tr w14:paraId="2064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37E16700">
            <w:pPr>
              <w:pStyle w:val="13"/>
            </w:pPr>
            <w:r>
              <w:t>4、其他固定资产</w:t>
            </w:r>
          </w:p>
        </w:tc>
        <w:tc>
          <w:tcPr>
            <w:tcW w:w="4933" w:type="dxa"/>
            <w:noWrap w:val="0"/>
            <w:vAlign w:val="center"/>
          </w:tcPr>
          <w:p w14:paraId="75EE86B6">
            <w:pPr>
              <w:pStyle w:val="12"/>
              <w:rPr>
                <w:rFonts w:hint="default" w:eastAsia="方正书宋_GBK"/>
                <w:lang w:val="en-US" w:eastAsia="zh-CN"/>
              </w:rPr>
            </w:pPr>
            <w:r>
              <w:rPr>
                <w:rFonts w:hint="eastAsia"/>
                <w:lang w:val="en-US" w:eastAsia="zh-CN"/>
              </w:rPr>
              <w:t>3951</w:t>
            </w:r>
          </w:p>
        </w:tc>
        <w:tc>
          <w:tcPr>
            <w:tcW w:w="4933" w:type="dxa"/>
            <w:noWrap w:val="0"/>
            <w:vAlign w:val="center"/>
          </w:tcPr>
          <w:p w14:paraId="5198D4B1">
            <w:pPr>
              <w:pStyle w:val="14"/>
              <w:rPr>
                <w:rFonts w:hint="default" w:eastAsia="方正书宋_GBK"/>
                <w:lang w:val="en-US" w:eastAsia="zh-CN"/>
              </w:rPr>
            </w:pPr>
            <w:r>
              <w:rPr>
                <w:rFonts w:hint="eastAsia"/>
                <w:lang w:val="en-US" w:eastAsia="zh-CN"/>
              </w:rPr>
              <w:t>794.37</w:t>
            </w:r>
          </w:p>
        </w:tc>
      </w:tr>
    </w:tbl>
    <w:p w14:paraId="756D627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FF0814E">
      <w:pPr>
        <w:spacing w:before="0" w:after="0"/>
        <w:ind w:firstLine="640"/>
        <w:jc w:val="left"/>
        <w:outlineLvl w:val="9"/>
      </w:pPr>
      <w:r>
        <w:rPr>
          <w:rFonts w:ascii="Times New Roman" w:hAnsi="Times New Roman" w:eastAsia="方正仿宋_GBK" w:cs="Times New Roman"/>
          <w:color w:val="000000"/>
          <w:sz w:val="32"/>
        </w:rPr>
        <w:t xml:space="preserve"> </w:t>
      </w:r>
    </w:p>
    <w:p w14:paraId="42FD99E3">
      <w:pPr>
        <w:spacing w:before="10" w:after="10" w:line="240" w:lineRule="auto"/>
        <w:ind w:firstLine="640"/>
        <w:jc w:val="left"/>
        <w:outlineLvl w:val="5"/>
      </w:pPr>
      <w:r>
        <w:rPr>
          <w:rFonts w:ascii="黑体" w:hAnsi="黑体" w:eastAsia="黑体" w:cs="黑体"/>
          <w:color w:val="000000"/>
          <w:sz w:val="32"/>
        </w:rPr>
        <w:t>八、名词解释</w:t>
      </w:r>
    </w:p>
    <w:p w14:paraId="39C5D81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9D37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BE763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36981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A8E82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D83E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ACF52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276E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F9EC4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7FB74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BAC9FA">
      <w:pPr>
        <w:spacing w:before="10" w:after="10" w:line="240" w:lineRule="auto"/>
        <w:ind w:firstLine="640"/>
        <w:jc w:val="left"/>
        <w:outlineLvl w:val="5"/>
      </w:pPr>
      <w:r>
        <w:rPr>
          <w:rFonts w:ascii="黑体" w:hAnsi="黑体" w:eastAsia="黑体" w:cs="黑体"/>
          <w:color w:val="000000"/>
          <w:sz w:val="32"/>
        </w:rPr>
        <w:t>九、其他需要说明的事项</w:t>
      </w:r>
    </w:p>
    <w:p w14:paraId="1E2DA8D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DBC424F">
      <w:pPr>
        <w:spacing w:before="0" w:after="0"/>
        <w:ind w:firstLine="0"/>
        <w:jc w:val="center"/>
        <w:outlineLvl w:val="3"/>
      </w:pPr>
      <w:bookmarkStart w:id="26" w:name="_Toc_4_4_0000000046"/>
      <w:r>
        <w:rPr>
          <w:rFonts w:ascii="方正小标宋_GBK" w:hAnsi="方正小标宋_GBK" w:eastAsia="方正小标宋_GBK" w:cs="方正小标宋_GBK"/>
          <w:b w:val="0"/>
          <w:color w:val="000000"/>
          <w:sz w:val="44"/>
        </w:rPr>
        <w:t>二十六、隆尧县莲子镇校区收支预算</w:t>
      </w:r>
      <w:bookmarkEnd w:id="26"/>
    </w:p>
    <w:p w14:paraId="44F6DE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A9D7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7724D9">
            <w:pPr>
              <w:pStyle w:val="8"/>
            </w:pPr>
            <w:r>
              <w:t>360027隆尧县莲子镇校区</w:t>
            </w:r>
          </w:p>
        </w:tc>
        <w:tc>
          <w:tcPr>
            <w:tcW w:w="2126" w:type="dxa"/>
            <w:tcBorders>
              <w:top w:val="single" w:color="FFFFFF" w:sz="6" w:space="0"/>
              <w:left w:val="single" w:color="FFFFFF" w:sz="6" w:space="0"/>
              <w:right w:val="single" w:color="FFFFFF" w:sz="6" w:space="0"/>
            </w:tcBorders>
            <w:vAlign w:val="center"/>
          </w:tcPr>
          <w:p w14:paraId="278ACF8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40C6403">
            <w:pPr>
              <w:pStyle w:val="10"/>
            </w:pPr>
            <w:r>
              <w:t>单位：万元</w:t>
            </w:r>
          </w:p>
        </w:tc>
      </w:tr>
      <w:tr w14:paraId="6C6A5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C2B52F">
            <w:pPr>
              <w:pStyle w:val="11"/>
            </w:pPr>
            <w:r>
              <w:t>序号</w:t>
            </w:r>
          </w:p>
        </w:tc>
        <w:tc>
          <w:tcPr>
            <w:tcW w:w="6661" w:type="dxa"/>
            <w:gridSpan w:val="2"/>
            <w:vAlign w:val="center"/>
          </w:tcPr>
          <w:p w14:paraId="194B37C6">
            <w:pPr>
              <w:pStyle w:val="11"/>
            </w:pPr>
            <w:r>
              <w:t>收入</w:t>
            </w:r>
          </w:p>
        </w:tc>
        <w:tc>
          <w:tcPr>
            <w:tcW w:w="6661" w:type="dxa"/>
            <w:gridSpan w:val="2"/>
            <w:vAlign w:val="center"/>
          </w:tcPr>
          <w:p w14:paraId="25E14BBE">
            <w:pPr>
              <w:pStyle w:val="11"/>
            </w:pPr>
            <w:r>
              <w:t>支出</w:t>
            </w:r>
          </w:p>
        </w:tc>
      </w:tr>
      <w:tr w14:paraId="3D71A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11034"/>
        </w:tc>
        <w:tc>
          <w:tcPr>
            <w:tcW w:w="4535" w:type="dxa"/>
            <w:vAlign w:val="center"/>
          </w:tcPr>
          <w:p w14:paraId="3AB8FC27">
            <w:pPr>
              <w:pStyle w:val="11"/>
            </w:pPr>
            <w:r>
              <w:t>项  目</w:t>
            </w:r>
          </w:p>
        </w:tc>
        <w:tc>
          <w:tcPr>
            <w:tcW w:w="2126" w:type="dxa"/>
            <w:vAlign w:val="center"/>
          </w:tcPr>
          <w:p w14:paraId="0710B9B1">
            <w:pPr>
              <w:pStyle w:val="11"/>
            </w:pPr>
            <w:r>
              <w:t>预算数</w:t>
            </w:r>
          </w:p>
        </w:tc>
        <w:tc>
          <w:tcPr>
            <w:tcW w:w="4535" w:type="dxa"/>
            <w:vAlign w:val="center"/>
          </w:tcPr>
          <w:p w14:paraId="146E2BD1">
            <w:pPr>
              <w:pStyle w:val="11"/>
            </w:pPr>
            <w:r>
              <w:t>项  目</w:t>
            </w:r>
          </w:p>
        </w:tc>
        <w:tc>
          <w:tcPr>
            <w:tcW w:w="2126" w:type="dxa"/>
            <w:vAlign w:val="center"/>
          </w:tcPr>
          <w:p w14:paraId="6B412086">
            <w:pPr>
              <w:pStyle w:val="11"/>
            </w:pPr>
            <w:r>
              <w:t>预算数</w:t>
            </w:r>
          </w:p>
        </w:tc>
      </w:tr>
      <w:tr w14:paraId="72747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33A0C4">
            <w:pPr>
              <w:pStyle w:val="11"/>
            </w:pPr>
            <w:r>
              <w:t>栏次</w:t>
            </w:r>
          </w:p>
        </w:tc>
        <w:tc>
          <w:tcPr>
            <w:tcW w:w="4535" w:type="dxa"/>
            <w:vAlign w:val="center"/>
          </w:tcPr>
          <w:p w14:paraId="784CA494">
            <w:pPr>
              <w:pStyle w:val="11"/>
            </w:pPr>
            <w:r>
              <w:t>1</w:t>
            </w:r>
          </w:p>
        </w:tc>
        <w:tc>
          <w:tcPr>
            <w:tcW w:w="2126" w:type="dxa"/>
            <w:vAlign w:val="center"/>
          </w:tcPr>
          <w:p w14:paraId="324CA8F1">
            <w:pPr>
              <w:pStyle w:val="11"/>
            </w:pPr>
            <w:r>
              <w:t>2</w:t>
            </w:r>
          </w:p>
        </w:tc>
        <w:tc>
          <w:tcPr>
            <w:tcW w:w="4535" w:type="dxa"/>
            <w:vAlign w:val="center"/>
          </w:tcPr>
          <w:p w14:paraId="5246FF17">
            <w:pPr>
              <w:pStyle w:val="11"/>
            </w:pPr>
            <w:r>
              <w:t>3</w:t>
            </w:r>
          </w:p>
        </w:tc>
        <w:tc>
          <w:tcPr>
            <w:tcW w:w="2126" w:type="dxa"/>
            <w:vAlign w:val="center"/>
          </w:tcPr>
          <w:p w14:paraId="07208C4B">
            <w:pPr>
              <w:pStyle w:val="11"/>
            </w:pPr>
            <w:r>
              <w:t>4</w:t>
            </w:r>
          </w:p>
        </w:tc>
      </w:tr>
      <w:tr w14:paraId="60C63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D72DB">
            <w:pPr>
              <w:pStyle w:val="12"/>
            </w:pPr>
            <w:r>
              <w:t>1</w:t>
            </w:r>
          </w:p>
        </w:tc>
        <w:tc>
          <w:tcPr>
            <w:tcW w:w="4535" w:type="dxa"/>
            <w:vAlign w:val="center"/>
          </w:tcPr>
          <w:p w14:paraId="519D5BF0">
            <w:pPr>
              <w:pStyle w:val="13"/>
            </w:pPr>
            <w:r>
              <w:t>一、一般公共预算拨款收入</w:t>
            </w:r>
          </w:p>
        </w:tc>
        <w:tc>
          <w:tcPr>
            <w:tcW w:w="2126" w:type="dxa"/>
            <w:vAlign w:val="center"/>
          </w:tcPr>
          <w:p w14:paraId="0DBAE2EA">
            <w:pPr>
              <w:pStyle w:val="14"/>
            </w:pPr>
            <w:r>
              <w:t>2784.32</w:t>
            </w:r>
          </w:p>
        </w:tc>
        <w:tc>
          <w:tcPr>
            <w:tcW w:w="4535" w:type="dxa"/>
            <w:vAlign w:val="center"/>
          </w:tcPr>
          <w:p w14:paraId="2456FE15">
            <w:pPr>
              <w:pStyle w:val="13"/>
            </w:pPr>
            <w:r>
              <w:t>一、一般公共服务支出</w:t>
            </w:r>
          </w:p>
        </w:tc>
        <w:tc>
          <w:tcPr>
            <w:tcW w:w="2126" w:type="dxa"/>
            <w:vAlign w:val="center"/>
          </w:tcPr>
          <w:p w14:paraId="0FC50AF1">
            <w:pPr>
              <w:pStyle w:val="14"/>
            </w:pPr>
          </w:p>
        </w:tc>
      </w:tr>
      <w:tr w14:paraId="7F809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7229E">
            <w:pPr>
              <w:pStyle w:val="12"/>
            </w:pPr>
            <w:r>
              <w:t>2</w:t>
            </w:r>
          </w:p>
        </w:tc>
        <w:tc>
          <w:tcPr>
            <w:tcW w:w="4535" w:type="dxa"/>
            <w:vAlign w:val="center"/>
          </w:tcPr>
          <w:p w14:paraId="0F62C652">
            <w:pPr>
              <w:pStyle w:val="13"/>
            </w:pPr>
            <w:r>
              <w:t>二、政府性基金预算拨款收入</w:t>
            </w:r>
          </w:p>
        </w:tc>
        <w:tc>
          <w:tcPr>
            <w:tcW w:w="2126" w:type="dxa"/>
            <w:vAlign w:val="center"/>
          </w:tcPr>
          <w:p w14:paraId="70957CD8">
            <w:pPr>
              <w:pStyle w:val="14"/>
            </w:pPr>
          </w:p>
        </w:tc>
        <w:tc>
          <w:tcPr>
            <w:tcW w:w="4535" w:type="dxa"/>
            <w:vAlign w:val="center"/>
          </w:tcPr>
          <w:p w14:paraId="20BF3033">
            <w:pPr>
              <w:pStyle w:val="13"/>
            </w:pPr>
            <w:r>
              <w:t>二、外交支出</w:t>
            </w:r>
          </w:p>
        </w:tc>
        <w:tc>
          <w:tcPr>
            <w:tcW w:w="2126" w:type="dxa"/>
            <w:vAlign w:val="center"/>
          </w:tcPr>
          <w:p w14:paraId="678C9E0C">
            <w:pPr>
              <w:pStyle w:val="14"/>
            </w:pPr>
          </w:p>
        </w:tc>
      </w:tr>
      <w:tr w14:paraId="1F860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26C5A">
            <w:pPr>
              <w:pStyle w:val="12"/>
            </w:pPr>
            <w:r>
              <w:t>3</w:t>
            </w:r>
          </w:p>
        </w:tc>
        <w:tc>
          <w:tcPr>
            <w:tcW w:w="4535" w:type="dxa"/>
            <w:vAlign w:val="center"/>
          </w:tcPr>
          <w:p w14:paraId="7DDF5D21">
            <w:pPr>
              <w:pStyle w:val="13"/>
            </w:pPr>
            <w:r>
              <w:t>三、国有资本经营预算拨款收入</w:t>
            </w:r>
          </w:p>
        </w:tc>
        <w:tc>
          <w:tcPr>
            <w:tcW w:w="2126" w:type="dxa"/>
            <w:vAlign w:val="center"/>
          </w:tcPr>
          <w:p w14:paraId="4B017890">
            <w:pPr>
              <w:pStyle w:val="14"/>
            </w:pPr>
          </w:p>
        </w:tc>
        <w:tc>
          <w:tcPr>
            <w:tcW w:w="4535" w:type="dxa"/>
            <w:vAlign w:val="center"/>
          </w:tcPr>
          <w:p w14:paraId="546FF92D">
            <w:pPr>
              <w:pStyle w:val="13"/>
            </w:pPr>
            <w:r>
              <w:t>三、国防支出</w:t>
            </w:r>
          </w:p>
        </w:tc>
        <w:tc>
          <w:tcPr>
            <w:tcW w:w="2126" w:type="dxa"/>
            <w:vAlign w:val="center"/>
          </w:tcPr>
          <w:p w14:paraId="4D20E039">
            <w:pPr>
              <w:pStyle w:val="14"/>
            </w:pPr>
          </w:p>
        </w:tc>
      </w:tr>
      <w:tr w14:paraId="3587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D6485">
            <w:pPr>
              <w:pStyle w:val="12"/>
            </w:pPr>
            <w:r>
              <w:t>4</w:t>
            </w:r>
          </w:p>
        </w:tc>
        <w:tc>
          <w:tcPr>
            <w:tcW w:w="4535" w:type="dxa"/>
            <w:vAlign w:val="center"/>
          </w:tcPr>
          <w:p w14:paraId="22461F2C">
            <w:pPr>
              <w:pStyle w:val="13"/>
            </w:pPr>
            <w:r>
              <w:t>四、财政专户管理资金收入</w:t>
            </w:r>
          </w:p>
        </w:tc>
        <w:tc>
          <w:tcPr>
            <w:tcW w:w="2126" w:type="dxa"/>
            <w:vAlign w:val="center"/>
          </w:tcPr>
          <w:p w14:paraId="25AA42DB">
            <w:pPr>
              <w:pStyle w:val="14"/>
            </w:pPr>
          </w:p>
        </w:tc>
        <w:tc>
          <w:tcPr>
            <w:tcW w:w="4535" w:type="dxa"/>
            <w:vAlign w:val="center"/>
          </w:tcPr>
          <w:p w14:paraId="51696046">
            <w:pPr>
              <w:pStyle w:val="13"/>
            </w:pPr>
            <w:r>
              <w:t>四、公共安全支出</w:t>
            </w:r>
          </w:p>
        </w:tc>
        <w:tc>
          <w:tcPr>
            <w:tcW w:w="2126" w:type="dxa"/>
            <w:vAlign w:val="center"/>
          </w:tcPr>
          <w:p w14:paraId="6CB82B0B">
            <w:pPr>
              <w:pStyle w:val="14"/>
            </w:pPr>
          </w:p>
        </w:tc>
      </w:tr>
      <w:tr w14:paraId="369D8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EB85D">
            <w:pPr>
              <w:pStyle w:val="12"/>
            </w:pPr>
            <w:r>
              <w:t>5</w:t>
            </w:r>
          </w:p>
        </w:tc>
        <w:tc>
          <w:tcPr>
            <w:tcW w:w="4535" w:type="dxa"/>
            <w:vAlign w:val="center"/>
          </w:tcPr>
          <w:p w14:paraId="505C8993">
            <w:pPr>
              <w:pStyle w:val="13"/>
            </w:pPr>
            <w:r>
              <w:t>五、单位资金</w:t>
            </w:r>
          </w:p>
        </w:tc>
        <w:tc>
          <w:tcPr>
            <w:tcW w:w="2126" w:type="dxa"/>
            <w:vAlign w:val="center"/>
          </w:tcPr>
          <w:p w14:paraId="3D0EC321">
            <w:pPr>
              <w:pStyle w:val="14"/>
            </w:pPr>
          </w:p>
        </w:tc>
        <w:tc>
          <w:tcPr>
            <w:tcW w:w="4535" w:type="dxa"/>
            <w:vAlign w:val="center"/>
          </w:tcPr>
          <w:p w14:paraId="5A0F21F4">
            <w:pPr>
              <w:pStyle w:val="13"/>
            </w:pPr>
            <w:r>
              <w:t>五、教育支出</w:t>
            </w:r>
          </w:p>
        </w:tc>
        <w:tc>
          <w:tcPr>
            <w:tcW w:w="2126" w:type="dxa"/>
            <w:vAlign w:val="center"/>
          </w:tcPr>
          <w:p w14:paraId="0F5DDEA0">
            <w:pPr>
              <w:pStyle w:val="14"/>
            </w:pPr>
            <w:r>
              <w:t>2813.26</w:t>
            </w:r>
          </w:p>
        </w:tc>
      </w:tr>
      <w:tr w14:paraId="1B5A2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E1E8F">
            <w:pPr>
              <w:pStyle w:val="12"/>
            </w:pPr>
            <w:r>
              <w:t>6</w:t>
            </w:r>
          </w:p>
        </w:tc>
        <w:tc>
          <w:tcPr>
            <w:tcW w:w="4535" w:type="dxa"/>
            <w:vAlign w:val="center"/>
          </w:tcPr>
          <w:p w14:paraId="3C0A0653">
            <w:pPr>
              <w:pStyle w:val="13"/>
            </w:pPr>
          </w:p>
        </w:tc>
        <w:tc>
          <w:tcPr>
            <w:tcW w:w="2126" w:type="dxa"/>
            <w:vAlign w:val="center"/>
          </w:tcPr>
          <w:p w14:paraId="0C520045">
            <w:pPr>
              <w:pStyle w:val="14"/>
            </w:pPr>
          </w:p>
        </w:tc>
        <w:tc>
          <w:tcPr>
            <w:tcW w:w="4535" w:type="dxa"/>
            <w:vAlign w:val="center"/>
          </w:tcPr>
          <w:p w14:paraId="4EE3568F">
            <w:pPr>
              <w:pStyle w:val="13"/>
            </w:pPr>
            <w:r>
              <w:t>六、科学技术支出</w:t>
            </w:r>
          </w:p>
        </w:tc>
        <w:tc>
          <w:tcPr>
            <w:tcW w:w="2126" w:type="dxa"/>
            <w:vAlign w:val="center"/>
          </w:tcPr>
          <w:p w14:paraId="61534045">
            <w:pPr>
              <w:pStyle w:val="14"/>
            </w:pPr>
          </w:p>
        </w:tc>
      </w:tr>
      <w:tr w14:paraId="5A5C6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EB3AD">
            <w:pPr>
              <w:pStyle w:val="12"/>
            </w:pPr>
            <w:r>
              <w:t>7</w:t>
            </w:r>
          </w:p>
        </w:tc>
        <w:tc>
          <w:tcPr>
            <w:tcW w:w="4535" w:type="dxa"/>
            <w:vAlign w:val="center"/>
          </w:tcPr>
          <w:p w14:paraId="4848485D">
            <w:pPr>
              <w:pStyle w:val="13"/>
            </w:pPr>
          </w:p>
        </w:tc>
        <w:tc>
          <w:tcPr>
            <w:tcW w:w="2126" w:type="dxa"/>
            <w:vAlign w:val="center"/>
          </w:tcPr>
          <w:p w14:paraId="3EDF4BE5">
            <w:pPr>
              <w:pStyle w:val="14"/>
            </w:pPr>
          </w:p>
        </w:tc>
        <w:tc>
          <w:tcPr>
            <w:tcW w:w="4535" w:type="dxa"/>
            <w:vAlign w:val="center"/>
          </w:tcPr>
          <w:p w14:paraId="2970D349">
            <w:pPr>
              <w:pStyle w:val="13"/>
            </w:pPr>
            <w:r>
              <w:t>七、文化旅游体育与传媒支出</w:t>
            </w:r>
          </w:p>
        </w:tc>
        <w:tc>
          <w:tcPr>
            <w:tcW w:w="2126" w:type="dxa"/>
            <w:vAlign w:val="center"/>
          </w:tcPr>
          <w:p w14:paraId="5A8A8D92">
            <w:pPr>
              <w:pStyle w:val="14"/>
            </w:pPr>
          </w:p>
        </w:tc>
      </w:tr>
      <w:tr w14:paraId="06444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C8522">
            <w:pPr>
              <w:pStyle w:val="12"/>
            </w:pPr>
            <w:r>
              <w:t>8</w:t>
            </w:r>
          </w:p>
        </w:tc>
        <w:tc>
          <w:tcPr>
            <w:tcW w:w="4535" w:type="dxa"/>
            <w:vAlign w:val="center"/>
          </w:tcPr>
          <w:p w14:paraId="76FFB647">
            <w:pPr>
              <w:pStyle w:val="13"/>
            </w:pPr>
          </w:p>
        </w:tc>
        <w:tc>
          <w:tcPr>
            <w:tcW w:w="2126" w:type="dxa"/>
            <w:vAlign w:val="center"/>
          </w:tcPr>
          <w:p w14:paraId="6FA63E3D">
            <w:pPr>
              <w:pStyle w:val="14"/>
            </w:pPr>
          </w:p>
        </w:tc>
        <w:tc>
          <w:tcPr>
            <w:tcW w:w="4535" w:type="dxa"/>
            <w:vAlign w:val="center"/>
          </w:tcPr>
          <w:p w14:paraId="33EAADF2">
            <w:pPr>
              <w:pStyle w:val="13"/>
            </w:pPr>
            <w:r>
              <w:t>八、社会保障和就业支出</w:t>
            </w:r>
          </w:p>
        </w:tc>
        <w:tc>
          <w:tcPr>
            <w:tcW w:w="2126" w:type="dxa"/>
            <w:vAlign w:val="center"/>
          </w:tcPr>
          <w:p w14:paraId="63A16B15">
            <w:pPr>
              <w:pStyle w:val="14"/>
            </w:pPr>
          </w:p>
        </w:tc>
      </w:tr>
      <w:tr w14:paraId="2A271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5CF03">
            <w:pPr>
              <w:pStyle w:val="12"/>
            </w:pPr>
            <w:r>
              <w:t>9</w:t>
            </w:r>
          </w:p>
        </w:tc>
        <w:tc>
          <w:tcPr>
            <w:tcW w:w="4535" w:type="dxa"/>
            <w:vAlign w:val="center"/>
          </w:tcPr>
          <w:p w14:paraId="26EECDE3">
            <w:pPr>
              <w:pStyle w:val="13"/>
            </w:pPr>
          </w:p>
        </w:tc>
        <w:tc>
          <w:tcPr>
            <w:tcW w:w="2126" w:type="dxa"/>
            <w:vAlign w:val="center"/>
          </w:tcPr>
          <w:p w14:paraId="54B58D34">
            <w:pPr>
              <w:pStyle w:val="14"/>
            </w:pPr>
          </w:p>
        </w:tc>
        <w:tc>
          <w:tcPr>
            <w:tcW w:w="4535" w:type="dxa"/>
            <w:vAlign w:val="center"/>
          </w:tcPr>
          <w:p w14:paraId="176B7E20">
            <w:pPr>
              <w:pStyle w:val="13"/>
            </w:pPr>
            <w:r>
              <w:t>九、社会保险基金支出</w:t>
            </w:r>
          </w:p>
        </w:tc>
        <w:tc>
          <w:tcPr>
            <w:tcW w:w="2126" w:type="dxa"/>
            <w:vAlign w:val="center"/>
          </w:tcPr>
          <w:p w14:paraId="360AF674">
            <w:pPr>
              <w:pStyle w:val="14"/>
            </w:pPr>
          </w:p>
        </w:tc>
      </w:tr>
      <w:tr w14:paraId="2A88E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D8D96">
            <w:pPr>
              <w:pStyle w:val="12"/>
            </w:pPr>
            <w:r>
              <w:t>10</w:t>
            </w:r>
          </w:p>
        </w:tc>
        <w:tc>
          <w:tcPr>
            <w:tcW w:w="4535" w:type="dxa"/>
            <w:vAlign w:val="center"/>
          </w:tcPr>
          <w:p w14:paraId="0275119D">
            <w:pPr>
              <w:pStyle w:val="13"/>
            </w:pPr>
          </w:p>
        </w:tc>
        <w:tc>
          <w:tcPr>
            <w:tcW w:w="2126" w:type="dxa"/>
            <w:vAlign w:val="center"/>
          </w:tcPr>
          <w:p w14:paraId="280BBF25">
            <w:pPr>
              <w:pStyle w:val="14"/>
            </w:pPr>
          </w:p>
        </w:tc>
        <w:tc>
          <w:tcPr>
            <w:tcW w:w="4535" w:type="dxa"/>
            <w:vAlign w:val="center"/>
          </w:tcPr>
          <w:p w14:paraId="77BD4873">
            <w:pPr>
              <w:pStyle w:val="13"/>
            </w:pPr>
            <w:r>
              <w:t>十、卫生健康支出</w:t>
            </w:r>
          </w:p>
        </w:tc>
        <w:tc>
          <w:tcPr>
            <w:tcW w:w="2126" w:type="dxa"/>
            <w:vAlign w:val="center"/>
          </w:tcPr>
          <w:p w14:paraId="614DABFB">
            <w:pPr>
              <w:pStyle w:val="14"/>
            </w:pPr>
          </w:p>
        </w:tc>
      </w:tr>
      <w:tr w14:paraId="08B5A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1140E">
            <w:pPr>
              <w:pStyle w:val="12"/>
            </w:pPr>
            <w:r>
              <w:t>11</w:t>
            </w:r>
          </w:p>
        </w:tc>
        <w:tc>
          <w:tcPr>
            <w:tcW w:w="4535" w:type="dxa"/>
            <w:vAlign w:val="center"/>
          </w:tcPr>
          <w:p w14:paraId="3F84F0BE">
            <w:pPr>
              <w:pStyle w:val="13"/>
            </w:pPr>
          </w:p>
        </w:tc>
        <w:tc>
          <w:tcPr>
            <w:tcW w:w="2126" w:type="dxa"/>
            <w:vAlign w:val="center"/>
          </w:tcPr>
          <w:p w14:paraId="40781ADC">
            <w:pPr>
              <w:pStyle w:val="14"/>
            </w:pPr>
          </w:p>
        </w:tc>
        <w:tc>
          <w:tcPr>
            <w:tcW w:w="4535" w:type="dxa"/>
            <w:vAlign w:val="center"/>
          </w:tcPr>
          <w:p w14:paraId="0656AAB6">
            <w:pPr>
              <w:pStyle w:val="13"/>
            </w:pPr>
            <w:r>
              <w:t>十一、节能环保支出</w:t>
            </w:r>
          </w:p>
        </w:tc>
        <w:tc>
          <w:tcPr>
            <w:tcW w:w="2126" w:type="dxa"/>
            <w:vAlign w:val="center"/>
          </w:tcPr>
          <w:p w14:paraId="45F29965">
            <w:pPr>
              <w:pStyle w:val="14"/>
            </w:pPr>
          </w:p>
        </w:tc>
      </w:tr>
      <w:tr w14:paraId="6FEEC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C7A5A">
            <w:pPr>
              <w:pStyle w:val="12"/>
            </w:pPr>
            <w:r>
              <w:t>12</w:t>
            </w:r>
          </w:p>
        </w:tc>
        <w:tc>
          <w:tcPr>
            <w:tcW w:w="4535" w:type="dxa"/>
            <w:vAlign w:val="center"/>
          </w:tcPr>
          <w:p w14:paraId="14936537">
            <w:pPr>
              <w:pStyle w:val="13"/>
            </w:pPr>
          </w:p>
        </w:tc>
        <w:tc>
          <w:tcPr>
            <w:tcW w:w="2126" w:type="dxa"/>
            <w:vAlign w:val="center"/>
          </w:tcPr>
          <w:p w14:paraId="1555B82B">
            <w:pPr>
              <w:pStyle w:val="14"/>
            </w:pPr>
          </w:p>
        </w:tc>
        <w:tc>
          <w:tcPr>
            <w:tcW w:w="4535" w:type="dxa"/>
            <w:vAlign w:val="center"/>
          </w:tcPr>
          <w:p w14:paraId="134E7093">
            <w:pPr>
              <w:pStyle w:val="13"/>
            </w:pPr>
            <w:r>
              <w:t>十二、城乡社区支出</w:t>
            </w:r>
          </w:p>
        </w:tc>
        <w:tc>
          <w:tcPr>
            <w:tcW w:w="2126" w:type="dxa"/>
            <w:vAlign w:val="center"/>
          </w:tcPr>
          <w:p w14:paraId="1B00EEDC">
            <w:pPr>
              <w:pStyle w:val="14"/>
            </w:pPr>
          </w:p>
        </w:tc>
      </w:tr>
      <w:tr w14:paraId="7803E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E772B">
            <w:pPr>
              <w:pStyle w:val="12"/>
            </w:pPr>
            <w:r>
              <w:t>13</w:t>
            </w:r>
          </w:p>
        </w:tc>
        <w:tc>
          <w:tcPr>
            <w:tcW w:w="4535" w:type="dxa"/>
            <w:vAlign w:val="center"/>
          </w:tcPr>
          <w:p w14:paraId="5C1B3684">
            <w:pPr>
              <w:pStyle w:val="13"/>
            </w:pPr>
          </w:p>
        </w:tc>
        <w:tc>
          <w:tcPr>
            <w:tcW w:w="2126" w:type="dxa"/>
            <w:vAlign w:val="center"/>
          </w:tcPr>
          <w:p w14:paraId="5159841D">
            <w:pPr>
              <w:pStyle w:val="14"/>
            </w:pPr>
          </w:p>
        </w:tc>
        <w:tc>
          <w:tcPr>
            <w:tcW w:w="4535" w:type="dxa"/>
            <w:vAlign w:val="center"/>
          </w:tcPr>
          <w:p w14:paraId="219B3A3C">
            <w:pPr>
              <w:pStyle w:val="13"/>
            </w:pPr>
            <w:r>
              <w:t>十三、农林水支出</w:t>
            </w:r>
          </w:p>
        </w:tc>
        <w:tc>
          <w:tcPr>
            <w:tcW w:w="2126" w:type="dxa"/>
            <w:vAlign w:val="center"/>
          </w:tcPr>
          <w:p w14:paraId="13D98493">
            <w:pPr>
              <w:pStyle w:val="14"/>
            </w:pPr>
          </w:p>
        </w:tc>
      </w:tr>
      <w:tr w14:paraId="18CE0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84195">
            <w:pPr>
              <w:pStyle w:val="12"/>
            </w:pPr>
            <w:r>
              <w:t>14</w:t>
            </w:r>
          </w:p>
        </w:tc>
        <w:tc>
          <w:tcPr>
            <w:tcW w:w="4535" w:type="dxa"/>
            <w:vAlign w:val="center"/>
          </w:tcPr>
          <w:p w14:paraId="391738ED">
            <w:pPr>
              <w:pStyle w:val="13"/>
            </w:pPr>
          </w:p>
        </w:tc>
        <w:tc>
          <w:tcPr>
            <w:tcW w:w="2126" w:type="dxa"/>
            <w:vAlign w:val="center"/>
          </w:tcPr>
          <w:p w14:paraId="1D58F921">
            <w:pPr>
              <w:pStyle w:val="14"/>
            </w:pPr>
          </w:p>
        </w:tc>
        <w:tc>
          <w:tcPr>
            <w:tcW w:w="4535" w:type="dxa"/>
            <w:vAlign w:val="center"/>
          </w:tcPr>
          <w:p w14:paraId="746C51B8">
            <w:pPr>
              <w:pStyle w:val="13"/>
            </w:pPr>
            <w:r>
              <w:t>十四、交通运输支出</w:t>
            </w:r>
          </w:p>
        </w:tc>
        <w:tc>
          <w:tcPr>
            <w:tcW w:w="2126" w:type="dxa"/>
            <w:vAlign w:val="center"/>
          </w:tcPr>
          <w:p w14:paraId="0474E6F0">
            <w:pPr>
              <w:pStyle w:val="14"/>
            </w:pPr>
          </w:p>
        </w:tc>
      </w:tr>
      <w:tr w14:paraId="0B88D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3DB26">
            <w:pPr>
              <w:pStyle w:val="12"/>
            </w:pPr>
            <w:r>
              <w:t>15</w:t>
            </w:r>
          </w:p>
        </w:tc>
        <w:tc>
          <w:tcPr>
            <w:tcW w:w="4535" w:type="dxa"/>
            <w:vAlign w:val="center"/>
          </w:tcPr>
          <w:p w14:paraId="6D133E3D">
            <w:pPr>
              <w:pStyle w:val="13"/>
            </w:pPr>
          </w:p>
        </w:tc>
        <w:tc>
          <w:tcPr>
            <w:tcW w:w="2126" w:type="dxa"/>
            <w:vAlign w:val="center"/>
          </w:tcPr>
          <w:p w14:paraId="16BD9E8F">
            <w:pPr>
              <w:pStyle w:val="14"/>
            </w:pPr>
          </w:p>
        </w:tc>
        <w:tc>
          <w:tcPr>
            <w:tcW w:w="4535" w:type="dxa"/>
            <w:vAlign w:val="center"/>
          </w:tcPr>
          <w:p w14:paraId="4FA6513F">
            <w:pPr>
              <w:pStyle w:val="13"/>
            </w:pPr>
            <w:r>
              <w:t>十五、资源勘探工业信息等支出</w:t>
            </w:r>
          </w:p>
        </w:tc>
        <w:tc>
          <w:tcPr>
            <w:tcW w:w="2126" w:type="dxa"/>
            <w:vAlign w:val="center"/>
          </w:tcPr>
          <w:p w14:paraId="53384391">
            <w:pPr>
              <w:pStyle w:val="14"/>
            </w:pPr>
          </w:p>
        </w:tc>
      </w:tr>
      <w:tr w14:paraId="42B40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F9188">
            <w:pPr>
              <w:pStyle w:val="12"/>
            </w:pPr>
            <w:r>
              <w:t>16</w:t>
            </w:r>
          </w:p>
        </w:tc>
        <w:tc>
          <w:tcPr>
            <w:tcW w:w="4535" w:type="dxa"/>
            <w:vAlign w:val="center"/>
          </w:tcPr>
          <w:p w14:paraId="5B8F9AE3">
            <w:pPr>
              <w:pStyle w:val="13"/>
            </w:pPr>
          </w:p>
        </w:tc>
        <w:tc>
          <w:tcPr>
            <w:tcW w:w="2126" w:type="dxa"/>
            <w:vAlign w:val="center"/>
          </w:tcPr>
          <w:p w14:paraId="1FA014D0">
            <w:pPr>
              <w:pStyle w:val="14"/>
            </w:pPr>
          </w:p>
        </w:tc>
        <w:tc>
          <w:tcPr>
            <w:tcW w:w="4535" w:type="dxa"/>
            <w:vAlign w:val="center"/>
          </w:tcPr>
          <w:p w14:paraId="239E9AE2">
            <w:pPr>
              <w:pStyle w:val="13"/>
            </w:pPr>
            <w:r>
              <w:t>十六、商业服务业等支出</w:t>
            </w:r>
          </w:p>
        </w:tc>
        <w:tc>
          <w:tcPr>
            <w:tcW w:w="2126" w:type="dxa"/>
            <w:vAlign w:val="center"/>
          </w:tcPr>
          <w:p w14:paraId="0A073660">
            <w:pPr>
              <w:pStyle w:val="14"/>
            </w:pPr>
          </w:p>
        </w:tc>
      </w:tr>
      <w:tr w14:paraId="7E84A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35775">
            <w:pPr>
              <w:pStyle w:val="12"/>
            </w:pPr>
            <w:r>
              <w:t>17</w:t>
            </w:r>
          </w:p>
        </w:tc>
        <w:tc>
          <w:tcPr>
            <w:tcW w:w="4535" w:type="dxa"/>
            <w:vAlign w:val="center"/>
          </w:tcPr>
          <w:p w14:paraId="2FD096C7">
            <w:pPr>
              <w:pStyle w:val="13"/>
            </w:pPr>
          </w:p>
        </w:tc>
        <w:tc>
          <w:tcPr>
            <w:tcW w:w="2126" w:type="dxa"/>
            <w:vAlign w:val="center"/>
          </w:tcPr>
          <w:p w14:paraId="7D144290">
            <w:pPr>
              <w:pStyle w:val="14"/>
            </w:pPr>
          </w:p>
        </w:tc>
        <w:tc>
          <w:tcPr>
            <w:tcW w:w="4535" w:type="dxa"/>
            <w:vAlign w:val="center"/>
          </w:tcPr>
          <w:p w14:paraId="4A89296E">
            <w:pPr>
              <w:pStyle w:val="13"/>
            </w:pPr>
            <w:r>
              <w:t>十七、金融支出</w:t>
            </w:r>
          </w:p>
        </w:tc>
        <w:tc>
          <w:tcPr>
            <w:tcW w:w="2126" w:type="dxa"/>
            <w:vAlign w:val="center"/>
          </w:tcPr>
          <w:p w14:paraId="287E37CA">
            <w:pPr>
              <w:pStyle w:val="14"/>
            </w:pPr>
          </w:p>
        </w:tc>
      </w:tr>
      <w:tr w14:paraId="35280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983F7">
            <w:pPr>
              <w:pStyle w:val="12"/>
            </w:pPr>
            <w:r>
              <w:t>18</w:t>
            </w:r>
          </w:p>
        </w:tc>
        <w:tc>
          <w:tcPr>
            <w:tcW w:w="4535" w:type="dxa"/>
            <w:vAlign w:val="center"/>
          </w:tcPr>
          <w:p w14:paraId="7C086829">
            <w:pPr>
              <w:pStyle w:val="13"/>
            </w:pPr>
          </w:p>
        </w:tc>
        <w:tc>
          <w:tcPr>
            <w:tcW w:w="2126" w:type="dxa"/>
            <w:vAlign w:val="center"/>
          </w:tcPr>
          <w:p w14:paraId="55D0604D">
            <w:pPr>
              <w:pStyle w:val="14"/>
            </w:pPr>
          </w:p>
        </w:tc>
        <w:tc>
          <w:tcPr>
            <w:tcW w:w="4535" w:type="dxa"/>
            <w:vAlign w:val="center"/>
          </w:tcPr>
          <w:p w14:paraId="45958416">
            <w:pPr>
              <w:pStyle w:val="13"/>
            </w:pPr>
            <w:r>
              <w:t>十八、援助其他地区支出</w:t>
            </w:r>
          </w:p>
        </w:tc>
        <w:tc>
          <w:tcPr>
            <w:tcW w:w="2126" w:type="dxa"/>
            <w:vAlign w:val="center"/>
          </w:tcPr>
          <w:p w14:paraId="5CAC781C">
            <w:pPr>
              <w:pStyle w:val="14"/>
            </w:pPr>
          </w:p>
        </w:tc>
      </w:tr>
      <w:tr w14:paraId="742BD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3CF59">
            <w:pPr>
              <w:pStyle w:val="12"/>
            </w:pPr>
            <w:r>
              <w:t>19</w:t>
            </w:r>
          </w:p>
        </w:tc>
        <w:tc>
          <w:tcPr>
            <w:tcW w:w="4535" w:type="dxa"/>
            <w:vAlign w:val="center"/>
          </w:tcPr>
          <w:p w14:paraId="2F6B6E33">
            <w:pPr>
              <w:pStyle w:val="13"/>
            </w:pPr>
          </w:p>
        </w:tc>
        <w:tc>
          <w:tcPr>
            <w:tcW w:w="2126" w:type="dxa"/>
            <w:vAlign w:val="center"/>
          </w:tcPr>
          <w:p w14:paraId="5658B270">
            <w:pPr>
              <w:pStyle w:val="14"/>
            </w:pPr>
          </w:p>
        </w:tc>
        <w:tc>
          <w:tcPr>
            <w:tcW w:w="4535" w:type="dxa"/>
            <w:vAlign w:val="center"/>
          </w:tcPr>
          <w:p w14:paraId="5997DABA">
            <w:pPr>
              <w:pStyle w:val="13"/>
            </w:pPr>
            <w:r>
              <w:t>十九、自然资源海洋气象等支出</w:t>
            </w:r>
          </w:p>
        </w:tc>
        <w:tc>
          <w:tcPr>
            <w:tcW w:w="2126" w:type="dxa"/>
            <w:vAlign w:val="center"/>
          </w:tcPr>
          <w:p w14:paraId="0A231C13">
            <w:pPr>
              <w:pStyle w:val="14"/>
            </w:pPr>
          </w:p>
        </w:tc>
      </w:tr>
      <w:tr w14:paraId="2F76B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E0EC3">
            <w:pPr>
              <w:pStyle w:val="12"/>
            </w:pPr>
            <w:r>
              <w:t>20</w:t>
            </w:r>
          </w:p>
        </w:tc>
        <w:tc>
          <w:tcPr>
            <w:tcW w:w="4535" w:type="dxa"/>
            <w:vAlign w:val="center"/>
          </w:tcPr>
          <w:p w14:paraId="1146D94D">
            <w:pPr>
              <w:pStyle w:val="13"/>
            </w:pPr>
          </w:p>
        </w:tc>
        <w:tc>
          <w:tcPr>
            <w:tcW w:w="2126" w:type="dxa"/>
            <w:vAlign w:val="center"/>
          </w:tcPr>
          <w:p w14:paraId="55B73037">
            <w:pPr>
              <w:pStyle w:val="14"/>
            </w:pPr>
          </w:p>
        </w:tc>
        <w:tc>
          <w:tcPr>
            <w:tcW w:w="4535" w:type="dxa"/>
            <w:vAlign w:val="center"/>
          </w:tcPr>
          <w:p w14:paraId="76D042ED">
            <w:pPr>
              <w:pStyle w:val="13"/>
            </w:pPr>
            <w:r>
              <w:t>二十、住房保障支出</w:t>
            </w:r>
          </w:p>
        </w:tc>
        <w:tc>
          <w:tcPr>
            <w:tcW w:w="2126" w:type="dxa"/>
            <w:vAlign w:val="center"/>
          </w:tcPr>
          <w:p w14:paraId="2E136994">
            <w:pPr>
              <w:pStyle w:val="14"/>
            </w:pPr>
          </w:p>
        </w:tc>
      </w:tr>
      <w:tr w14:paraId="0CA6B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377D0">
            <w:pPr>
              <w:pStyle w:val="12"/>
            </w:pPr>
            <w:r>
              <w:t>21</w:t>
            </w:r>
          </w:p>
        </w:tc>
        <w:tc>
          <w:tcPr>
            <w:tcW w:w="4535" w:type="dxa"/>
            <w:vAlign w:val="center"/>
          </w:tcPr>
          <w:p w14:paraId="170A6193">
            <w:pPr>
              <w:pStyle w:val="13"/>
            </w:pPr>
          </w:p>
        </w:tc>
        <w:tc>
          <w:tcPr>
            <w:tcW w:w="2126" w:type="dxa"/>
            <w:vAlign w:val="center"/>
          </w:tcPr>
          <w:p w14:paraId="3C5FCB00">
            <w:pPr>
              <w:pStyle w:val="14"/>
            </w:pPr>
          </w:p>
        </w:tc>
        <w:tc>
          <w:tcPr>
            <w:tcW w:w="4535" w:type="dxa"/>
            <w:vAlign w:val="center"/>
          </w:tcPr>
          <w:p w14:paraId="288FC923">
            <w:pPr>
              <w:pStyle w:val="13"/>
            </w:pPr>
            <w:r>
              <w:t>二十一、粮油物资储备支出</w:t>
            </w:r>
          </w:p>
        </w:tc>
        <w:tc>
          <w:tcPr>
            <w:tcW w:w="2126" w:type="dxa"/>
            <w:vAlign w:val="center"/>
          </w:tcPr>
          <w:p w14:paraId="0AB29576">
            <w:pPr>
              <w:pStyle w:val="14"/>
            </w:pPr>
          </w:p>
        </w:tc>
      </w:tr>
      <w:tr w14:paraId="16DB6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1DBEB">
            <w:pPr>
              <w:pStyle w:val="12"/>
            </w:pPr>
            <w:r>
              <w:t>22</w:t>
            </w:r>
          </w:p>
        </w:tc>
        <w:tc>
          <w:tcPr>
            <w:tcW w:w="4535" w:type="dxa"/>
            <w:vAlign w:val="center"/>
          </w:tcPr>
          <w:p w14:paraId="146F1632">
            <w:pPr>
              <w:pStyle w:val="13"/>
            </w:pPr>
          </w:p>
        </w:tc>
        <w:tc>
          <w:tcPr>
            <w:tcW w:w="2126" w:type="dxa"/>
            <w:vAlign w:val="center"/>
          </w:tcPr>
          <w:p w14:paraId="58868108">
            <w:pPr>
              <w:pStyle w:val="14"/>
            </w:pPr>
          </w:p>
        </w:tc>
        <w:tc>
          <w:tcPr>
            <w:tcW w:w="4535" w:type="dxa"/>
            <w:vAlign w:val="center"/>
          </w:tcPr>
          <w:p w14:paraId="3205417B">
            <w:pPr>
              <w:pStyle w:val="13"/>
            </w:pPr>
            <w:r>
              <w:t>二十二、国有资本经营预算支出</w:t>
            </w:r>
          </w:p>
        </w:tc>
        <w:tc>
          <w:tcPr>
            <w:tcW w:w="2126" w:type="dxa"/>
            <w:vAlign w:val="center"/>
          </w:tcPr>
          <w:p w14:paraId="0AD3B867">
            <w:pPr>
              <w:pStyle w:val="14"/>
            </w:pPr>
          </w:p>
        </w:tc>
      </w:tr>
      <w:tr w14:paraId="73637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8130B">
            <w:pPr>
              <w:pStyle w:val="12"/>
            </w:pPr>
            <w:r>
              <w:t>23</w:t>
            </w:r>
          </w:p>
        </w:tc>
        <w:tc>
          <w:tcPr>
            <w:tcW w:w="4535" w:type="dxa"/>
            <w:vAlign w:val="center"/>
          </w:tcPr>
          <w:p w14:paraId="05F11AE5">
            <w:pPr>
              <w:pStyle w:val="13"/>
            </w:pPr>
          </w:p>
        </w:tc>
        <w:tc>
          <w:tcPr>
            <w:tcW w:w="2126" w:type="dxa"/>
            <w:vAlign w:val="center"/>
          </w:tcPr>
          <w:p w14:paraId="1223C479">
            <w:pPr>
              <w:pStyle w:val="14"/>
            </w:pPr>
          </w:p>
        </w:tc>
        <w:tc>
          <w:tcPr>
            <w:tcW w:w="4535" w:type="dxa"/>
            <w:vAlign w:val="center"/>
          </w:tcPr>
          <w:p w14:paraId="72BB3475">
            <w:pPr>
              <w:pStyle w:val="13"/>
            </w:pPr>
            <w:r>
              <w:t>二十三、灾害防治及应急管理支出</w:t>
            </w:r>
          </w:p>
        </w:tc>
        <w:tc>
          <w:tcPr>
            <w:tcW w:w="2126" w:type="dxa"/>
            <w:vAlign w:val="center"/>
          </w:tcPr>
          <w:p w14:paraId="2FCB3394">
            <w:pPr>
              <w:pStyle w:val="14"/>
            </w:pPr>
          </w:p>
        </w:tc>
      </w:tr>
      <w:tr w14:paraId="71957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CAB08">
            <w:pPr>
              <w:pStyle w:val="12"/>
            </w:pPr>
            <w:r>
              <w:t>24</w:t>
            </w:r>
          </w:p>
        </w:tc>
        <w:tc>
          <w:tcPr>
            <w:tcW w:w="4535" w:type="dxa"/>
            <w:vAlign w:val="center"/>
          </w:tcPr>
          <w:p w14:paraId="1822455F">
            <w:pPr>
              <w:pStyle w:val="13"/>
            </w:pPr>
          </w:p>
        </w:tc>
        <w:tc>
          <w:tcPr>
            <w:tcW w:w="2126" w:type="dxa"/>
            <w:vAlign w:val="center"/>
          </w:tcPr>
          <w:p w14:paraId="79E8A867">
            <w:pPr>
              <w:pStyle w:val="14"/>
            </w:pPr>
          </w:p>
        </w:tc>
        <w:tc>
          <w:tcPr>
            <w:tcW w:w="4535" w:type="dxa"/>
            <w:vAlign w:val="center"/>
          </w:tcPr>
          <w:p w14:paraId="210A01F3">
            <w:pPr>
              <w:pStyle w:val="13"/>
            </w:pPr>
            <w:r>
              <w:t>二十四、预备费</w:t>
            </w:r>
          </w:p>
        </w:tc>
        <w:tc>
          <w:tcPr>
            <w:tcW w:w="2126" w:type="dxa"/>
            <w:vAlign w:val="center"/>
          </w:tcPr>
          <w:p w14:paraId="03ECE16E">
            <w:pPr>
              <w:pStyle w:val="14"/>
            </w:pPr>
          </w:p>
        </w:tc>
      </w:tr>
      <w:tr w14:paraId="07D77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DF8AF">
            <w:pPr>
              <w:pStyle w:val="12"/>
            </w:pPr>
            <w:r>
              <w:t>25</w:t>
            </w:r>
          </w:p>
        </w:tc>
        <w:tc>
          <w:tcPr>
            <w:tcW w:w="4535" w:type="dxa"/>
            <w:vAlign w:val="center"/>
          </w:tcPr>
          <w:p w14:paraId="21AC5030">
            <w:pPr>
              <w:pStyle w:val="13"/>
            </w:pPr>
          </w:p>
        </w:tc>
        <w:tc>
          <w:tcPr>
            <w:tcW w:w="2126" w:type="dxa"/>
            <w:vAlign w:val="center"/>
          </w:tcPr>
          <w:p w14:paraId="680E916A">
            <w:pPr>
              <w:pStyle w:val="14"/>
            </w:pPr>
          </w:p>
        </w:tc>
        <w:tc>
          <w:tcPr>
            <w:tcW w:w="4535" w:type="dxa"/>
            <w:vAlign w:val="center"/>
          </w:tcPr>
          <w:p w14:paraId="4B2D64F4">
            <w:pPr>
              <w:pStyle w:val="13"/>
            </w:pPr>
            <w:r>
              <w:t>二十五、其他支出</w:t>
            </w:r>
          </w:p>
        </w:tc>
        <w:tc>
          <w:tcPr>
            <w:tcW w:w="2126" w:type="dxa"/>
            <w:vAlign w:val="center"/>
          </w:tcPr>
          <w:p w14:paraId="49D3C733">
            <w:pPr>
              <w:pStyle w:val="14"/>
            </w:pPr>
          </w:p>
        </w:tc>
      </w:tr>
      <w:tr w14:paraId="09282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3D124">
            <w:pPr>
              <w:pStyle w:val="12"/>
            </w:pPr>
            <w:r>
              <w:t>26</w:t>
            </w:r>
          </w:p>
        </w:tc>
        <w:tc>
          <w:tcPr>
            <w:tcW w:w="4535" w:type="dxa"/>
            <w:vAlign w:val="center"/>
          </w:tcPr>
          <w:p w14:paraId="670822A4">
            <w:pPr>
              <w:pStyle w:val="13"/>
            </w:pPr>
          </w:p>
        </w:tc>
        <w:tc>
          <w:tcPr>
            <w:tcW w:w="2126" w:type="dxa"/>
            <w:vAlign w:val="center"/>
          </w:tcPr>
          <w:p w14:paraId="3348CECF">
            <w:pPr>
              <w:pStyle w:val="14"/>
            </w:pPr>
          </w:p>
        </w:tc>
        <w:tc>
          <w:tcPr>
            <w:tcW w:w="4535" w:type="dxa"/>
            <w:vAlign w:val="center"/>
          </w:tcPr>
          <w:p w14:paraId="11001FF3">
            <w:pPr>
              <w:pStyle w:val="13"/>
            </w:pPr>
            <w:r>
              <w:t>二十六、转移性支出</w:t>
            </w:r>
          </w:p>
        </w:tc>
        <w:tc>
          <w:tcPr>
            <w:tcW w:w="2126" w:type="dxa"/>
            <w:vAlign w:val="center"/>
          </w:tcPr>
          <w:p w14:paraId="52B91EF0">
            <w:pPr>
              <w:pStyle w:val="14"/>
            </w:pPr>
          </w:p>
        </w:tc>
      </w:tr>
      <w:tr w14:paraId="265CA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09416">
            <w:pPr>
              <w:pStyle w:val="12"/>
            </w:pPr>
            <w:r>
              <w:t>27</w:t>
            </w:r>
          </w:p>
        </w:tc>
        <w:tc>
          <w:tcPr>
            <w:tcW w:w="4535" w:type="dxa"/>
            <w:vAlign w:val="center"/>
          </w:tcPr>
          <w:p w14:paraId="0E1C8583">
            <w:pPr>
              <w:pStyle w:val="13"/>
            </w:pPr>
          </w:p>
        </w:tc>
        <w:tc>
          <w:tcPr>
            <w:tcW w:w="2126" w:type="dxa"/>
            <w:vAlign w:val="center"/>
          </w:tcPr>
          <w:p w14:paraId="52602BDB">
            <w:pPr>
              <w:pStyle w:val="14"/>
            </w:pPr>
          </w:p>
        </w:tc>
        <w:tc>
          <w:tcPr>
            <w:tcW w:w="4535" w:type="dxa"/>
            <w:vAlign w:val="center"/>
          </w:tcPr>
          <w:p w14:paraId="60510BCB">
            <w:pPr>
              <w:pStyle w:val="13"/>
            </w:pPr>
            <w:r>
              <w:t>二十七、债务还本支出</w:t>
            </w:r>
          </w:p>
        </w:tc>
        <w:tc>
          <w:tcPr>
            <w:tcW w:w="2126" w:type="dxa"/>
            <w:vAlign w:val="center"/>
          </w:tcPr>
          <w:p w14:paraId="3D7DEA1B">
            <w:pPr>
              <w:pStyle w:val="14"/>
            </w:pPr>
          </w:p>
        </w:tc>
      </w:tr>
      <w:tr w14:paraId="30D38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94680">
            <w:pPr>
              <w:pStyle w:val="12"/>
            </w:pPr>
            <w:r>
              <w:t>28</w:t>
            </w:r>
          </w:p>
        </w:tc>
        <w:tc>
          <w:tcPr>
            <w:tcW w:w="4535" w:type="dxa"/>
            <w:vAlign w:val="center"/>
          </w:tcPr>
          <w:p w14:paraId="448030E9">
            <w:pPr>
              <w:pStyle w:val="13"/>
            </w:pPr>
          </w:p>
        </w:tc>
        <w:tc>
          <w:tcPr>
            <w:tcW w:w="2126" w:type="dxa"/>
            <w:vAlign w:val="center"/>
          </w:tcPr>
          <w:p w14:paraId="67F20F80">
            <w:pPr>
              <w:pStyle w:val="14"/>
            </w:pPr>
          </w:p>
        </w:tc>
        <w:tc>
          <w:tcPr>
            <w:tcW w:w="4535" w:type="dxa"/>
            <w:vAlign w:val="center"/>
          </w:tcPr>
          <w:p w14:paraId="79966BC2">
            <w:pPr>
              <w:pStyle w:val="13"/>
            </w:pPr>
            <w:r>
              <w:t>二十八、债务付息支出</w:t>
            </w:r>
          </w:p>
        </w:tc>
        <w:tc>
          <w:tcPr>
            <w:tcW w:w="2126" w:type="dxa"/>
            <w:vAlign w:val="center"/>
          </w:tcPr>
          <w:p w14:paraId="202BC45B">
            <w:pPr>
              <w:pStyle w:val="14"/>
            </w:pPr>
          </w:p>
        </w:tc>
      </w:tr>
      <w:tr w14:paraId="788EC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043CB">
            <w:pPr>
              <w:pStyle w:val="12"/>
            </w:pPr>
            <w:r>
              <w:t>29</w:t>
            </w:r>
          </w:p>
        </w:tc>
        <w:tc>
          <w:tcPr>
            <w:tcW w:w="4535" w:type="dxa"/>
            <w:vAlign w:val="center"/>
          </w:tcPr>
          <w:p w14:paraId="056BBE13">
            <w:pPr>
              <w:pStyle w:val="13"/>
            </w:pPr>
          </w:p>
        </w:tc>
        <w:tc>
          <w:tcPr>
            <w:tcW w:w="2126" w:type="dxa"/>
            <w:vAlign w:val="center"/>
          </w:tcPr>
          <w:p w14:paraId="52599964">
            <w:pPr>
              <w:pStyle w:val="14"/>
            </w:pPr>
          </w:p>
        </w:tc>
        <w:tc>
          <w:tcPr>
            <w:tcW w:w="4535" w:type="dxa"/>
            <w:vAlign w:val="center"/>
          </w:tcPr>
          <w:p w14:paraId="0CED7E4A">
            <w:pPr>
              <w:pStyle w:val="13"/>
            </w:pPr>
            <w:r>
              <w:t>二十九、债务发行费用支出</w:t>
            </w:r>
          </w:p>
        </w:tc>
        <w:tc>
          <w:tcPr>
            <w:tcW w:w="2126" w:type="dxa"/>
            <w:vAlign w:val="center"/>
          </w:tcPr>
          <w:p w14:paraId="56FB867B">
            <w:pPr>
              <w:pStyle w:val="14"/>
            </w:pPr>
          </w:p>
        </w:tc>
      </w:tr>
      <w:tr w14:paraId="42C49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3E454">
            <w:pPr>
              <w:pStyle w:val="12"/>
            </w:pPr>
            <w:r>
              <w:t>30</w:t>
            </w:r>
          </w:p>
        </w:tc>
        <w:tc>
          <w:tcPr>
            <w:tcW w:w="4535" w:type="dxa"/>
            <w:vAlign w:val="center"/>
          </w:tcPr>
          <w:p w14:paraId="0730C91A">
            <w:pPr>
              <w:pStyle w:val="13"/>
            </w:pPr>
          </w:p>
        </w:tc>
        <w:tc>
          <w:tcPr>
            <w:tcW w:w="2126" w:type="dxa"/>
            <w:vAlign w:val="center"/>
          </w:tcPr>
          <w:p w14:paraId="2C0827F6">
            <w:pPr>
              <w:pStyle w:val="14"/>
            </w:pPr>
          </w:p>
        </w:tc>
        <w:tc>
          <w:tcPr>
            <w:tcW w:w="4535" w:type="dxa"/>
            <w:vAlign w:val="center"/>
          </w:tcPr>
          <w:p w14:paraId="7068EE2B">
            <w:pPr>
              <w:pStyle w:val="13"/>
            </w:pPr>
            <w:r>
              <w:t>三十、抗疫特别国债安排的支出</w:t>
            </w:r>
          </w:p>
        </w:tc>
        <w:tc>
          <w:tcPr>
            <w:tcW w:w="2126" w:type="dxa"/>
            <w:vAlign w:val="center"/>
          </w:tcPr>
          <w:p w14:paraId="41DE1EEE">
            <w:pPr>
              <w:pStyle w:val="14"/>
            </w:pPr>
          </w:p>
        </w:tc>
      </w:tr>
      <w:tr w14:paraId="4E846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9889A">
            <w:pPr>
              <w:pStyle w:val="12"/>
            </w:pPr>
            <w:r>
              <w:t>31</w:t>
            </w:r>
          </w:p>
        </w:tc>
        <w:tc>
          <w:tcPr>
            <w:tcW w:w="4535" w:type="dxa"/>
            <w:vAlign w:val="center"/>
          </w:tcPr>
          <w:p w14:paraId="1FE7EAEC">
            <w:pPr>
              <w:pStyle w:val="13"/>
            </w:pPr>
          </w:p>
        </w:tc>
        <w:tc>
          <w:tcPr>
            <w:tcW w:w="2126" w:type="dxa"/>
            <w:vAlign w:val="center"/>
          </w:tcPr>
          <w:p w14:paraId="02526919">
            <w:pPr>
              <w:pStyle w:val="14"/>
            </w:pPr>
          </w:p>
        </w:tc>
        <w:tc>
          <w:tcPr>
            <w:tcW w:w="4535" w:type="dxa"/>
            <w:vAlign w:val="center"/>
          </w:tcPr>
          <w:p w14:paraId="1F9C1DD2">
            <w:pPr>
              <w:pStyle w:val="13"/>
            </w:pPr>
            <w:r>
              <w:t>三十一、人行科目</w:t>
            </w:r>
          </w:p>
        </w:tc>
        <w:tc>
          <w:tcPr>
            <w:tcW w:w="2126" w:type="dxa"/>
            <w:vAlign w:val="center"/>
          </w:tcPr>
          <w:p w14:paraId="00106398">
            <w:pPr>
              <w:pStyle w:val="14"/>
            </w:pPr>
          </w:p>
        </w:tc>
      </w:tr>
      <w:tr w14:paraId="05F63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EADB9">
            <w:pPr>
              <w:pStyle w:val="12"/>
            </w:pPr>
            <w:r>
              <w:t>32</w:t>
            </w:r>
          </w:p>
        </w:tc>
        <w:tc>
          <w:tcPr>
            <w:tcW w:w="4535" w:type="dxa"/>
            <w:vAlign w:val="center"/>
          </w:tcPr>
          <w:p w14:paraId="21DA3021">
            <w:pPr>
              <w:pStyle w:val="15"/>
            </w:pPr>
            <w:r>
              <w:t>本年收入合计</w:t>
            </w:r>
          </w:p>
        </w:tc>
        <w:tc>
          <w:tcPr>
            <w:tcW w:w="2126" w:type="dxa"/>
            <w:vAlign w:val="center"/>
          </w:tcPr>
          <w:p w14:paraId="6083E2A6">
            <w:pPr>
              <w:pStyle w:val="16"/>
            </w:pPr>
            <w:r>
              <w:t>2784.32</w:t>
            </w:r>
          </w:p>
        </w:tc>
        <w:tc>
          <w:tcPr>
            <w:tcW w:w="4535" w:type="dxa"/>
            <w:vAlign w:val="center"/>
          </w:tcPr>
          <w:p w14:paraId="43CA5C51">
            <w:pPr>
              <w:pStyle w:val="15"/>
            </w:pPr>
            <w:r>
              <w:t>本年支出合计</w:t>
            </w:r>
          </w:p>
        </w:tc>
        <w:tc>
          <w:tcPr>
            <w:tcW w:w="2126" w:type="dxa"/>
            <w:vAlign w:val="center"/>
          </w:tcPr>
          <w:p w14:paraId="4E659249">
            <w:pPr>
              <w:pStyle w:val="16"/>
            </w:pPr>
            <w:r>
              <w:t>2813.26</w:t>
            </w:r>
          </w:p>
        </w:tc>
      </w:tr>
      <w:tr w14:paraId="19A81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8F695">
            <w:pPr>
              <w:pStyle w:val="12"/>
            </w:pPr>
            <w:r>
              <w:t>33</w:t>
            </w:r>
          </w:p>
        </w:tc>
        <w:tc>
          <w:tcPr>
            <w:tcW w:w="4535" w:type="dxa"/>
            <w:vAlign w:val="center"/>
          </w:tcPr>
          <w:p w14:paraId="7B4092DF">
            <w:pPr>
              <w:pStyle w:val="13"/>
            </w:pPr>
            <w:r>
              <w:t>上年结转结余</w:t>
            </w:r>
          </w:p>
        </w:tc>
        <w:tc>
          <w:tcPr>
            <w:tcW w:w="2126" w:type="dxa"/>
            <w:vAlign w:val="center"/>
          </w:tcPr>
          <w:p w14:paraId="10D0F876">
            <w:pPr>
              <w:pStyle w:val="14"/>
            </w:pPr>
            <w:r>
              <w:t>28.94</w:t>
            </w:r>
          </w:p>
        </w:tc>
        <w:tc>
          <w:tcPr>
            <w:tcW w:w="4535" w:type="dxa"/>
            <w:vAlign w:val="center"/>
          </w:tcPr>
          <w:p w14:paraId="51B380A3">
            <w:pPr>
              <w:pStyle w:val="13"/>
            </w:pPr>
            <w:r>
              <w:t>年终结转结余</w:t>
            </w:r>
          </w:p>
        </w:tc>
        <w:tc>
          <w:tcPr>
            <w:tcW w:w="2126" w:type="dxa"/>
            <w:vAlign w:val="center"/>
          </w:tcPr>
          <w:p w14:paraId="6A81B94D">
            <w:pPr>
              <w:pStyle w:val="14"/>
            </w:pPr>
          </w:p>
        </w:tc>
      </w:tr>
      <w:tr w14:paraId="2E36A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4EDA9">
            <w:pPr>
              <w:pStyle w:val="12"/>
            </w:pPr>
            <w:r>
              <w:t>34</w:t>
            </w:r>
          </w:p>
        </w:tc>
        <w:tc>
          <w:tcPr>
            <w:tcW w:w="4535" w:type="dxa"/>
            <w:vAlign w:val="center"/>
          </w:tcPr>
          <w:p w14:paraId="4518BE82">
            <w:pPr>
              <w:pStyle w:val="15"/>
            </w:pPr>
            <w:r>
              <w:t>收入总计</w:t>
            </w:r>
          </w:p>
        </w:tc>
        <w:tc>
          <w:tcPr>
            <w:tcW w:w="2126" w:type="dxa"/>
            <w:vAlign w:val="center"/>
          </w:tcPr>
          <w:p w14:paraId="6A1237A2">
            <w:pPr>
              <w:pStyle w:val="16"/>
            </w:pPr>
            <w:r>
              <w:t>2813.26</w:t>
            </w:r>
          </w:p>
        </w:tc>
        <w:tc>
          <w:tcPr>
            <w:tcW w:w="4535" w:type="dxa"/>
            <w:vAlign w:val="center"/>
          </w:tcPr>
          <w:p w14:paraId="07C86E71">
            <w:pPr>
              <w:pStyle w:val="15"/>
            </w:pPr>
            <w:r>
              <w:t>支出总计</w:t>
            </w:r>
          </w:p>
        </w:tc>
        <w:tc>
          <w:tcPr>
            <w:tcW w:w="2126" w:type="dxa"/>
            <w:vAlign w:val="center"/>
          </w:tcPr>
          <w:p w14:paraId="606D71E0">
            <w:pPr>
              <w:pStyle w:val="16"/>
            </w:pPr>
            <w:r>
              <w:t>2813.26</w:t>
            </w:r>
          </w:p>
        </w:tc>
      </w:tr>
    </w:tbl>
    <w:p w14:paraId="4425E29F">
      <w:pPr>
        <w:sectPr>
          <w:pgSz w:w="16840" w:h="11900" w:orient="landscape"/>
          <w:pgMar w:top="1361" w:right="1020" w:bottom="1134" w:left="1020" w:header="720" w:footer="720" w:gutter="0"/>
          <w:cols w:space="720" w:num="1"/>
        </w:sectPr>
      </w:pPr>
    </w:p>
    <w:p w14:paraId="3E860D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B12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A320D7">
            <w:pPr>
              <w:pStyle w:val="8"/>
            </w:pPr>
            <w:r>
              <w:t>360027隆尧县莲子镇校区</w:t>
            </w:r>
          </w:p>
        </w:tc>
        <w:tc>
          <w:tcPr>
            <w:tcW w:w="3402" w:type="dxa"/>
            <w:gridSpan w:val="3"/>
            <w:tcBorders>
              <w:top w:val="single" w:color="FFFFFF" w:sz="6" w:space="0"/>
              <w:left w:val="single" w:color="FFFFFF" w:sz="6" w:space="0"/>
              <w:right w:val="single" w:color="FFFFFF" w:sz="6" w:space="0"/>
            </w:tcBorders>
            <w:vAlign w:val="center"/>
          </w:tcPr>
          <w:p w14:paraId="15B0F91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3C49D6E">
            <w:pPr>
              <w:pStyle w:val="10"/>
            </w:pPr>
            <w:r>
              <w:t>单位：万元</w:t>
            </w:r>
          </w:p>
        </w:tc>
      </w:tr>
      <w:tr w14:paraId="4F9EB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BBE820">
            <w:pPr>
              <w:pStyle w:val="11"/>
            </w:pPr>
            <w:r>
              <w:t>序号</w:t>
            </w:r>
          </w:p>
        </w:tc>
        <w:tc>
          <w:tcPr>
            <w:tcW w:w="2551" w:type="dxa"/>
            <w:gridSpan w:val="2"/>
            <w:vAlign w:val="center"/>
          </w:tcPr>
          <w:p w14:paraId="290766C5">
            <w:pPr>
              <w:pStyle w:val="11"/>
            </w:pPr>
            <w:r>
              <w:t>功能分类科目</w:t>
            </w:r>
          </w:p>
        </w:tc>
        <w:tc>
          <w:tcPr>
            <w:tcW w:w="1134" w:type="dxa"/>
            <w:vMerge w:val="restart"/>
            <w:vAlign w:val="center"/>
          </w:tcPr>
          <w:p w14:paraId="58A13414">
            <w:pPr>
              <w:pStyle w:val="11"/>
            </w:pPr>
            <w:r>
              <w:t>合计</w:t>
            </w:r>
          </w:p>
        </w:tc>
        <w:tc>
          <w:tcPr>
            <w:tcW w:w="9072" w:type="dxa"/>
            <w:gridSpan w:val="8"/>
            <w:vAlign w:val="center"/>
          </w:tcPr>
          <w:p w14:paraId="3C853B14">
            <w:pPr>
              <w:pStyle w:val="11"/>
            </w:pPr>
            <w:r>
              <w:t>本年收入</w:t>
            </w:r>
          </w:p>
        </w:tc>
        <w:tc>
          <w:tcPr>
            <w:tcW w:w="1134" w:type="dxa"/>
            <w:vMerge w:val="restart"/>
            <w:vAlign w:val="center"/>
          </w:tcPr>
          <w:p w14:paraId="75351D38">
            <w:pPr>
              <w:pStyle w:val="11"/>
            </w:pPr>
            <w:r>
              <w:t>上年结转</w:t>
            </w:r>
          </w:p>
        </w:tc>
      </w:tr>
      <w:tr w14:paraId="34A64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612263"/>
        </w:tc>
        <w:tc>
          <w:tcPr>
            <w:tcW w:w="992" w:type="dxa"/>
            <w:vAlign w:val="center"/>
          </w:tcPr>
          <w:p w14:paraId="00AB5B27">
            <w:pPr>
              <w:pStyle w:val="11"/>
            </w:pPr>
            <w:r>
              <w:t>科目    编码</w:t>
            </w:r>
          </w:p>
        </w:tc>
        <w:tc>
          <w:tcPr>
            <w:tcW w:w="1559" w:type="dxa"/>
            <w:vAlign w:val="center"/>
          </w:tcPr>
          <w:p w14:paraId="1C1083B5">
            <w:pPr>
              <w:pStyle w:val="11"/>
            </w:pPr>
            <w:r>
              <w:t>科目名称</w:t>
            </w:r>
          </w:p>
        </w:tc>
        <w:tc>
          <w:tcPr>
            <w:tcW w:w="1134" w:type="dxa"/>
            <w:vMerge w:val="continue"/>
          </w:tcPr>
          <w:p w14:paraId="05E64DE1"/>
        </w:tc>
        <w:tc>
          <w:tcPr>
            <w:tcW w:w="1134" w:type="dxa"/>
            <w:vAlign w:val="center"/>
          </w:tcPr>
          <w:p w14:paraId="02825034">
            <w:pPr>
              <w:pStyle w:val="11"/>
            </w:pPr>
            <w:r>
              <w:t>小计</w:t>
            </w:r>
          </w:p>
        </w:tc>
        <w:tc>
          <w:tcPr>
            <w:tcW w:w="1134" w:type="dxa"/>
            <w:vAlign w:val="center"/>
          </w:tcPr>
          <w:p w14:paraId="1CE64114">
            <w:pPr>
              <w:pStyle w:val="11"/>
            </w:pPr>
            <w:r>
              <w:t>财政拨款 收入</w:t>
            </w:r>
          </w:p>
        </w:tc>
        <w:tc>
          <w:tcPr>
            <w:tcW w:w="1134" w:type="dxa"/>
            <w:vAlign w:val="center"/>
          </w:tcPr>
          <w:p w14:paraId="5B4978B0">
            <w:pPr>
              <w:pStyle w:val="11"/>
            </w:pPr>
            <w:r>
              <w:t>财政专户 收入</w:t>
            </w:r>
          </w:p>
        </w:tc>
        <w:tc>
          <w:tcPr>
            <w:tcW w:w="1134" w:type="dxa"/>
            <w:vAlign w:val="center"/>
          </w:tcPr>
          <w:p w14:paraId="5D05429E">
            <w:pPr>
              <w:pStyle w:val="11"/>
            </w:pPr>
            <w:r>
              <w:t>事业收入</w:t>
            </w:r>
          </w:p>
        </w:tc>
        <w:tc>
          <w:tcPr>
            <w:tcW w:w="1134" w:type="dxa"/>
            <w:vAlign w:val="center"/>
          </w:tcPr>
          <w:p w14:paraId="7E447ACD">
            <w:pPr>
              <w:pStyle w:val="11"/>
            </w:pPr>
            <w:r>
              <w:t>经营收入</w:t>
            </w:r>
          </w:p>
        </w:tc>
        <w:tc>
          <w:tcPr>
            <w:tcW w:w="1134" w:type="dxa"/>
            <w:vAlign w:val="center"/>
          </w:tcPr>
          <w:p w14:paraId="5F6C08BB">
            <w:pPr>
              <w:pStyle w:val="11"/>
            </w:pPr>
            <w:r>
              <w:t>上级补助收入</w:t>
            </w:r>
          </w:p>
        </w:tc>
        <w:tc>
          <w:tcPr>
            <w:tcW w:w="1134" w:type="dxa"/>
            <w:vAlign w:val="center"/>
          </w:tcPr>
          <w:p w14:paraId="73B4CEA5">
            <w:pPr>
              <w:pStyle w:val="11"/>
            </w:pPr>
            <w:r>
              <w:t>附属单位上缴收入</w:t>
            </w:r>
          </w:p>
        </w:tc>
        <w:tc>
          <w:tcPr>
            <w:tcW w:w="1134" w:type="dxa"/>
            <w:vAlign w:val="center"/>
          </w:tcPr>
          <w:p w14:paraId="608DF340">
            <w:pPr>
              <w:pStyle w:val="11"/>
            </w:pPr>
            <w:r>
              <w:t>其他收入</w:t>
            </w:r>
          </w:p>
        </w:tc>
        <w:tc>
          <w:tcPr>
            <w:tcW w:w="1134" w:type="dxa"/>
            <w:vMerge w:val="continue"/>
          </w:tcPr>
          <w:p w14:paraId="6118920F"/>
        </w:tc>
      </w:tr>
      <w:tr w14:paraId="3150C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Align w:val="center"/>
          </w:tcPr>
          <w:p w14:paraId="4207657B">
            <w:pPr>
              <w:pStyle w:val="11"/>
            </w:pPr>
            <w:r>
              <w:t>栏次</w:t>
            </w:r>
          </w:p>
        </w:tc>
        <w:tc>
          <w:tcPr>
            <w:tcW w:w="992" w:type="dxa"/>
            <w:vAlign w:val="center"/>
          </w:tcPr>
          <w:p w14:paraId="08042102">
            <w:pPr>
              <w:pStyle w:val="11"/>
            </w:pPr>
            <w:r>
              <w:t>1</w:t>
            </w:r>
          </w:p>
        </w:tc>
        <w:tc>
          <w:tcPr>
            <w:tcW w:w="1559" w:type="dxa"/>
            <w:vAlign w:val="center"/>
          </w:tcPr>
          <w:p w14:paraId="4E8649DA">
            <w:pPr>
              <w:pStyle w:val="11"/>
            </w:pPr>
            <w:r>
              <w:t>2</w:t>
            </w:r>
          </w:p>
        </w:tc>
        <w:tc>
          <w:tcPr>
            <w:tcW w:w="1134" w:type="dxa"/>
            <w:vAlign w:val="center"/>
          </w:tcPr>
          <w:p w14:paraId="2421E0C0">
            <w:pPr>
              <w:pStyle w:val="11"/>
            </w:pPr>
            <w:r>
              <w:t>3</w:t>
            </w:r>
          </w:p>
        </w:tc>
        <w:tc>
          <w:tcPr>
            <w:tcW w:w="1134" w:type="dxa"/>
            <w:vAlign w:val="center"/>
          </w:tcPr>
          <w:p w14:paraId="4C345918">
            <w:pPr>
              <w:pStyle w:val="11"/>
            </w:pPr>
            <w:r>
              <w:t>4</w:t>
            </w:r>
          </w:p>
        </w:tc>
        <w:tc>
          <w:tcPr>
            <w:tcW w:w="1134" w:type="dxa"/>
            <w:vAlign w:val="center"/>
          </w:tcPr>
          <w:p w14:paraId="3199DCFB">
            <w:pPr>
              <w:pStyle w:val="11"/>
            </w:pPr>
            <w:r>
              <w:t>5</w:t>
            </w:r>
          </w:p>
        </w:tc>
        <w:tc>
          <w:tcPr>
            <w:tcW w:w="1134" w:type="dxa"/>
            <w:vAlign w:val="center"/>
          </w:tcPr>
          <w:p w14:paraId="5FB1FE6B">
            <w:pPr>
              <w:pStyle w:val="11"/>
            </w:pPr>
            <w:r>
              <w:t>6</w:t>
            </w:r>
          </w:p>
        </w:tc>
        <w:tc>
          <w:tcPr>
            <w:tcW w:w="1134" w:type="dxa"/>
            <w:vAlign w:val="center"/>
          </w:tcPr>
          <w:p w14:paraId="65CC42E1">
            <w:pPr>
              <w:pStyle w:val="11"/>
            </w:pPr>
            <w:r>
              <w:t>7</w:t>
            </w:r>
          </w:p>
        </w:tc>
        <w:tc>
          <w:tcPr>
            <w:tcW w:w="1134" w:type="dxa"/>
            <w:vAlign w:val="center"/>
          </w:tcPr>
          <w:p w14:paraId="0D0A2617">
            <w:pPr>
              <w:pStyle w:val="11"/>
            </w:pPr>
            <w:r>
              <w:t>8</w:t>
            </w:r>
          </w:p>
        </w:tc>
        <w:tc>
          <w:tcPr>
            <w:tcW w:w="1134" w:type="dxa"/>
            <w:vAlign w:val="center"/>
          </w:tcPr>
          <w:p w14:paraId="78227A1F">
            <w:pPr>
              <w:pStyle w:val="11"/>
            </w:pPr>
            <w:r>
              <w:t>9</w:t>
            </w:r>
          </w:p>
        </w:tc>
        <w:tc>
          <w:tcPr>
            <w:tcW w:w="1134" w:type="dxa"/>
            <w:vAlign w:val="center"/>
          </w:tcPr>
          <w:p w14:paraId="69F6E23E">
            <w:pPr>
              <w:pStyle w:val="11"/>
            </w:pPr>
            <w:r>
              <w:t>10</w:t>
            </w:r>
          </w:p>
        </w:tc>
        <w:tc>
          <w:tcPr>
            <w:tcW w:w="1134" w:type="dxa"/>
            <w:vAlign w:val="center"/>
          </w:tcPr>
          <w:p w14:paraId="00ABAF14">
            <w:pPr>
              <w:pStyle w:val="11"/>
            </w:pPr>
            <w:r>
              <w:t>11</w:t>
            </w:r>
          </w:p>
        </w:tc>
        <w:tc>
          <w:tcPr>
            <w:tcW w:w="1134" w:type="dxa"/>
            <w:vAlign w:val="center"/>
          </w:tcPr>
          <w:p w14:paraId="74959F3E">
            <w:pPr>
              <w:pStyle w:val="11"/>
            </w:pPr>
            <w:r>
              <w:t>12</w:t>
            </w:r>
          </w:p>
        </w:tc>
      </w:tr>
      <w:tr w14:paraId="0787D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5E03F0">
            <w:pPr>
              <w:pStyle w:val="12"/>
            </w:pPr>
            <w:r>
              <w:t>1</w:t>
            </w:r>
          </w:p>
        </w:tc>
        <w:tc>
          <w:tcPr>
            <w:tcW w:w="992" w:type="dxa"/>
            <w:vAlign w:val="center"/>
          </w:tcPr>
          <w:p w14:paraId="76770FA8">
            <w:pPr>
              <w:pStyle w:val="17"/>
            </w:pPr>
          </w:p>
        </w:tc>
        <w:tc>
          <w:tcPr>
            <w:tcW w:w="1559" w:type="dxa"/>
            <w:vAlign w:val="center"/>
          </w:tcPr>
          <w:p w14:paraId="30E765F7">
            <w:pPr>
              <w:pStyle w:val="15"/>
            </w:pPr>
            <w:r>
              <w:t>合计</w:t>
            </w:r>
          </w:p>
        </w:tc>
        <w:tc>
          <w:tcPr>
            <w:tcW w:w="1134" w:type="dxa"/>
            <w:vAlign w:val="center"/>
          </w:tcPr>
          <w:p w14:paraId="0C15E5DC">
            <w:pPr>
              <w:pStyle w:val="16"/>
            </w:pPr>
            <w:r>
              <w:t>2813.26</w:t>
            </w:r>
          </w:p>
        </w:tc>
        <w:tc>
          <w:tcPr>
            <w:tcW w:w="1134" w:type="dxa"/>
            <w:vAlign w:val="center"/>
          </w:tcPr>
          <w:p w14:paraId="3940DAF6">
            <w:pPr>
              <w:pStyle w:val="16"/>
            </w:pPr>
            <w:r>
              <w:t>2784.32</w:t>
            </w:r>
          </w:p>
        </w:tc>
        <w:tc>
          <w:tcPr>
            <w:tcW w:w="1134" w:type="dxa"/>
            <w:vAlign w:val="center"/>
          </w:tcPr>
          <w:p w14:paraId="7309369C">
            <w:pPr>
              <w:pStyle w:val="16"/>
            </w:pPr>
            <w:r>
              <w:t>2784.32</w:t>
            </w:r>
          </w:p>
        </w:tc>
        <w:tc>
          <w:tcPr>
            <w:tcW w:w="1134" w:type="dxa"/>
            <w:vAlign w:val="center"/>
          </w:tcPr>
          <w:p w14:paraId="24295946">
            <w:pPr>
              <w:pStyle w:val="16"/>
            </w:pPr>
          </w:p>
        </w:tc>
        <w:tc>
          <w:tcPr>
            <w:tcW w:w="1134" w:type="dxa"/>
            <w:vAlign w:val="center"/>
          </w:tcPr>
          <w:p w14:paraId="418BEF05">
            <w:pPr>
              <w:pStyle w:val="16"/>
            </w:pPr>
          </w:p>
        </w:tc>
        <w:tc>
          <w:tcPr>
            <w:tcW w:w="1134" w:type="dxa"/>
            <w:vAlign w:val="center"/>
          </w:tcPr>
          <w:p w14:paraId="71D4FDCB">
            <w:pPr>
              <w:pStyle w:val="16"/>
            </w:pPr>
          </w:p>
        </w:tc>
        <w:tc>
          <w:tcPr>
            <w:tcW w:w="1134" w:type="dxa"/>
            <w:vAlign w:val="center"/>
          </w:tcPr>
          <w:p w14:paraId="26EAEF4E">
            <w:pPr>
              <w:pStyle w:val="16"/>
            </w:pPr>
          </w:p>
        </w:tc>
        <w:tc>
          <w:tcPr>
            <w:tcW w:w="1134" w:type="dxa"/>
            <w:vAlign w:val="center"/>
          </w:tcPr>
          <w:p w14:paraId="668C6392">
            <w:pPr>
              <w:pStyle w:val="16"/>
            </w:pPr>
          </w:p>
        </w:tc>
        <w:tc>
          <w:tcPr>
            <w:tcW w:w="1134" w:type="dxa"/>
            <w:vAlign w:val="center"/>
          </w:tcPr>
          <w:p w14:paraId="6DE4382C">
            <w:pPr>
              <w:pStyle w:val="16"/>
            </w:pPr>
          </w:p>
        </w:tc>
        <w:tc>
          <w:tcPr>
            <w:tcW w:w="1134" w:type="dxa"/>
            <w:vAlign w:val="center"/>
          </w:tcPr>
          <w:p w14:paraId="6C06A3C1">
            <w:pPr>
              <w:pStyle w:val="16"/>
            </w:pPr>
            <w:r>
              <w:t>28.94</w:t>
            </w:r>
          </w:p>
        </w:tc>
      </w:tr>
      <w:tr w14:paraId="2B423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7C29E767">
            <w:pPr>
              <w:pStyle w:val="12"/>
            </w:pPr>
            <w:r>
              <w:t>2</w:t>
            </w:r>
          </w:p>
        </w:tc>
        <w:tc>
          <w:tcPr>
            <w:tcW w:w="992" w:type="dxa"/>
            <w:vAlign w:val="center"/>
          </w:tcPr>
          <w:p w14:paraId="713BDCDD">
            <w:pPr>
              <w:pStyle w:val="13"/>
            </w:pPr>
            <w:r>
              <w:t>205</w:t>
            </w:r>
          </w:p>
        </w:tc>
        <w:tc>
          <w:tcPr>
            <w:tcW w:w="1559" w:type="dxa"/>
            <w:vAlign w:val="center"/>
          </w:tcPr>
          <w:p w14:paraId="4DE4510D">
            <w:pPr>
              <w:pStyle w:val="13"/>
            </w:pPr>
            <w:r>
              <w:t>教育支出</w:t>
            </w:r>
          </w:p>
        </w:tc>
        <w:tc>
          <w:tcPr>
            <w:tcW w:w="1134" w:type="dxa"/>
            <w:vAlign w:val="center"/>
          </w:tcPr>
          <w:p w14:paraId="722A81E3">
            <w:pPr>
              <w:pStyle w:val="14"/>
            </w:pPr>
            <w:r>
              <w:t>2813.26</w:t>
            </w:r>
          </w:p>
        </w:tc>
        <w:tc>
          <w:tcPr>
            <w:tcW w:w="1134" w:type="dxa"/>
            <w:vAlign w:val="center"/>
          </w:tcPr>
          <w:p w14:paraId="63D21EFC">
            <w:pPr>
              <w:pStyle w:val="14"/>
            </w:pPr>
            <w:r>
              <w:t>2784.32</w:t>
            </w:r>
          </w:p>
        </w:tc>
        <w:tc>
          <w:tcPr>
            <w:tcW w:w="1134" w:type="dxa"/>
            <w:vAlign w:val="center"/>
          </w:tcPr>
          <w:p w14:paraId="4DC5B2DE">
            <w:pPr>
              <w:pStyle w:val="14"/>
            </w:pPr>
            <w:r>
              <w:t>2784.32</w:t>
            </w:r>
          </w:p>
        </w:tc>
        <w:tc>
          <w:tcPr>
            <w:tcW w:w="1134" w:type="dxa"/>
            <w:vAlign w:val="center"/>
          </w:tcPr>
          <w:p w14:paraId="72F2A0CB">
            <w:pPr>
              <w:pStyle w:val="14"/>
            </w:pPr>
          </w:p>
        </w:tc>
        <w:tc>
          <w:tcPr>
            <w:tcW w:w="1134" w:type="dxa"/>
            <w:vAlign w:val="center"/>
          </w:tcPr>
          <w:p w14:paraId="4AE886A0">
            <w:pPr>
              <w:pStyle w:val="14"/>
            </w:pPr>
          </w:p>
        </w:tc>
        <w:tc>
          <w:tcPr>
            <w:tcW w:w="1134" w:type="dxa"/>
            <w:vAlign w:val="center"/>
          </w:tcPr>
          <w:p w14:paraId="5940EDF4">
            <w:pPr>
              <w:pStyle w:val="14"/>
            </w:pPr>
          </w:p>
        </w:tc>
        <w:tc>
          <w:tcPr>
            <w:tcW w:w="1134" w:type="dxa"/>
            <w:vAlign w:val="center"/>
          </w:tcPr>
          <w:p w14:paraId="682DD7E2">
            <w:pPr>
              <w:pStyle w:val="14"/>
            </w:pPr>
          </w:p>
        </w:tc>
        <w:tc>
          <w:tcPr>
            <w:tcW w:w="1134" w:type="dxa"/>
            <w:vAlign w:val="center"/>
          </w:tcPr>
          <w:p w14:paraId="6553046E">
            <w:pPr>
              <w:pStyle w:val="14"/>
            </w:pPr>
          </w:p>
        </w:tc>
        <w:tc>
          <w:tcPr>
            <w:tcW w:w="1134" w:type="dxa"/>
            <w:vAlign w:val="center"/>
          </w:tcPr>
          <w:p w14:paraId="446CA45D">
            <w:pPr>
              <w:pStyle w:val="14"/>
            </w:pPr>
          </w:p>
        </w:tc>
        <w:tc>
          <w:tcPr>
            <w:tcW w:w="1134" w:type="dxa"/>
            <w:vAlign w:val="center"/>
          </w:tcPr>
          <w:p w14:paraId="3214DBF2">
            <w:pPr>
              <w:pStyle w:val="14"/>
            </w:pPr>
            <w:r>
              <w:t>28.94</w:t>
            </w:r>
          </w:p>
        </w:tc>
      </w:tr>
      <w:tr w14:paraId="15033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B23809">
            <w:pPr>
              <w:pStyle w:val="12"/>
            </w:pPr>
            <w:r>
              <w:t>3</w:t>
            </w:r>
          </w:p>
        </w:tc>
        <w:tc>
          <w:tcPr>
            <w:tcW w:w="992" w:type="dxa"/>
            <w:vAlign w:val="center"/>
          </w:tcPr>
          <w:p w14:paraId="184531C2">
            <w:pPr>
              <w:pStyle w:val="13"/>
            </w:pPr>
            <w:r>
              <w:t>20502</w:t>
            </w:r>
          </w:p>
        </w:tc>
        <w:tc>
          <w:tcPr>
            <w:tcW w:w="1559" w:type="dxa"/>
            <w:vAlign w:val="center"/>
          </w:tcPr>
          <w:p w14:paraId="7F0F96C3">
            <w:pPr>
              <w:pStyle w:val="13"/>
            </w:pPr>
            <w:r>
              <w:t>普通教育</w:t>
            </w:r>
          </w:p>
        </w:tc>
        <w:tc>
          <w:tcPr>
            <w:tcW w:w="1134" w:type="dxa"/>
            <w:vAlign w:val="center"/>
          </w:tcPr>
          <w:p w14:paraId="2DC9CD0B">
            <w:pPr>
              <w:pStyle w:val="14"/>
            </w:pPr>
            <w:r>
              <w:t>2813.26</w:t>
            </w:r>
          </w:p>
        </w:tc>
        <w:tc>
          <w:tcPr>
            <w:tcW w:w="1134" w:type="dxa"/>
            <w:vAlign w:val="center"/>
          </w:tcPr>
          <w:p w14:paraId="4D0DFA75">
            <w:pPr>
              <w:pStyle w:val="14"/>
            </w:pPr>
            <w:r>
              <w:t>2784.32</w:t>
            </w:r>
          </w:p>
        </w:tc>
        <w:tc>
          <w:tcPr>
            <w:tcW w:w="1134" w:type="dxa"/>
            <w:vAlign w:val="center"/>
          </w:tcPr>
          <w:p w14:paraId="32259071">
            <w:pPr>
              <w:pStyle w:val="14"/>
            </w:pPr>
            <w:r>
              <w:t>2784.32</w:t>
            </w:r>
          </w:p>
        </w:tc>
        <w:tc>
          <w:tcPr>
            <w:tcW w:w="1134" w:type="dxa"/>
            <w:vAlign w:val="center"/>
          </w:tcPr>
          <w:p w14:paraId="69A864B8">
            <w:pPr>
              <w:pStyle w:val="14"/>
            </w:pPr>
          </w:p>
        </w:tc>
        <w:tc>
          <w:tcPr>
            <w:tcW w:w="1134" w:type="dxa"/>
            <w:vAlign w:val="center"/>
          </w:tcPr>
          <w:p w14:paraId="761F4343">
            <w:pPr>
              <w:pStyle w:val="14"/>
            </w:pPr>
          </w:p>
        </w:tc>
        <w:tc>
          <w:tcPr>
            <w:tcW w:w="1134" w:type="dxa"/>
            <w:vAlign w:val="center"/>
          </w:tcPr>
          <w:p w14:paraId="5CDAABB1">
            <w:pPr>
              <w:pStyle w:val="14"/>
            </w:pPr>
          </w:p>
        </w:tc>
        <w:tc>
          <w:tcPr>
            <w:tcW w:w="1134" w:type="dxa"/>
            <w:vAlign w:val="center"/>
          </w:tcPr>
          <w:p w14:paraId="48E61739">
            <w:pPr>
              <w:pStyle w:val="14"/>
            </w:pPr>
          </w:p>
        </w:tc>
        <w:tc>
          <w:tcPr>
            <w:tcW w:w="1134" w:type="dxa"/>
            <w:vAlign w:val="center"/>
          </w:tcPr>
          <w:p w14:paraId="64526253">
            <w:pPr>
              <w:pStyle w:val="14"/>
            </w:pPr>
          </w:p>
        </w:tc>
        <w:tc>
          <w:tcPr>
            <w:tcW w:w="1134" w:type="dxa"/>
            <w:vAlign w:val="center"/>
          </w:tcPr>
          <w:p w14:paraId="5D29215A">
            <w:pPr>
              <w:pStyle w:val="14"/>
            </w:pPr>
          </w:p>
        </w:tc>
        <w:tc>
          <w:tcPr>
            <w:tcW w:w="1134" w:type="dxa"/>
            <w:vAlign w:val="center"/>
          </w:tcPr>
          <w:p w14:paraId="34427860">
            <w:pPr>
              <w:pStyle w:val="14"/>
            </w:pPr>
            <w:r>
              <w:t>28.94</w:t>
            </w:r>
          </w:p>
        </w:tc>
      </w:tr>
      <w:tr w14:paraId="39385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A11C47">
            <w:pPr>
              <w:pStyle w:val="12"/>
            </w:pPr>
            <w:r>
              <w:t>4</w:t>
            </w:r>
          </w:p>
        </w:tc>
        <w:tc>
          <w:tcPr>
            <w:tcW w:w="992" w:type="dxa"/>
            <w:vAlign w:val="center"/>
          </w:tcPr>
          <w:p w14:paraId="05920B7D">
            <w:pPr>
              <w:pStyle w:val="13"/>
            </w:pPr>
            <w:r>
              <w:t>2050201</w:t>
            </w:r>
          </w:p>
        </w:tc>
        <w:tc>
          <w:tcPr>
            <w:tcW w:w="1559" w:type="dxa"/>
            <w:vAlign w:val="center"/>
          </w:tcPr>
          <w:p w14:paraId="18ED48E3">
            <w:pPr>
              <w:pStyle w:val="13"/>
            </w:pPr>
            <w:r>
              <w:t>学前教育</w:t>
            </w:r>
          </w:p>
        </w:tc>
        <w:tc>
          <w:tcPr>
            <w:tcW w:w="1134" w:type="dxa"/>
            <w:vAlign w:val="center"/>
          </w:tcPr>
          <w:p w14:paraId="595D32E9">
            <w:pPr>
              <w:pStyle w:val="14"/>
            </w:pPr>
            <w:r>
              <w:t>343.42</w:t>
            </w:r>
          </w:p>
        </w:tc>
        <w:tc>
          <w:tcPr>
            <w:tcW w:w="1134" w:type="dxa"/>
            <w:vAlign w:val="center"/>
          </w:tcPr>
          <w:p w14:paraId="233AAC11">
            <w:pPr>
              <w:pStyle w:val="14"/>
            </w:pPr>
            <w:r>
              <w:t>343.42</w:t>
            </w:r>
          </w:p>
        </w:tc>
        <w:tc>
          <w:tcPr>
            <w:tcW w:w="1134" w:type="dxa"/>
            <w:vAlign w:val="center"/>
          </w:tcPr>
          <w:p w14:paraId="1CBC43BE">
            <w:pPr>
              <w:pStyle w:val="14"/>
            </w:pPr>
            <w:r>
              <w:t>343.42</w:t>
            </w:r>
          </w:p>
        </w:tc>
        <w:tc>
          <w:tcPr>
            <w:tcW w:w="1134" w:type="dxa"/>
            <w:vAlign w:val="center"/>
          </w:tcPr>
          <w:p w14:paraId="6DB9C0B1">
            <w:pPr>
              <w:pStyle w:val="14"/>
            </w:pPr>
          </w:p>
        </w:tc>
        <w:tc>
          <w:tcPr>
            <w:tcW w:w="1134" w:type="dxa"/>
            <w:vAlign w:val="center"/>
          </w:tcPr>
          <w:p w14:paraId="24E0E582">
            <w:pPr>
              <w:pStyle w:val="14"/>
            </w:pPr>
          </w:p>
        </w:tc>
        <w:tc>
          <w:tcPr>
            <w:tcW w:w="1134" w:type="dxa"/>
            <w:vAlign w:val="center"/>
          </w:tcPr>
          <w:p w14:paraId="478A96E9">
            <w:pPr>
              <w:pStyle w:val="14"/>
            </w:pPr>
          </w:p>
        </w:tc>
        <w:tc>
          <w:tcPr>
            <w:tcW w:w="1134" w:type="dxa"/>
            <w:vAlign w:val="center"/>
          </w:tcPr>
          <w:p w14:paraId="325B3EB2">
            <w:pPr>
              <w:pStyle w:val="14"/>
            </w:pPr>
          </w:p>
        </w:tc>
        <w:tc>
          <w:tcPr>
            <w:tcW w:w="1134" w:type="dxa"/>
            <w:vAlign w:val="center"/>
          </w:tcPr>
          <w:p w14:paraId="3161598C">
            <w:pPr>
              <w:pStyle w:val="14"/>
            </w:pPr>
          </w:p>
        </w:tc>
        <w:tc>
          <w:tcPr>
            <w:tcW w:w="1134" w:type="dxa"/>
            <w:vAlign w:val="center"/>
          </w:tcPr>
          <w:p w14:paraId="5F6530E4">
            <w:pPr>
              <w:pStyle w:val="14"/>
            </w:pPr>
          </w:p>
        </w:tc>
        <w:tc>
          <w:tcPr>
            <w:tcW w:w="1134" w:type="dxa"/>
            <w:vAlign w:val="center"/>
          </w:tcPr>
          <w:p w14:paraId="7034AD7D">
            <w:pPr>
              <w:pStyle w:val="14"/>
            </w:pPr>
          </w:p>
        </w:tc>
      </w:tr>
      <w:tr w14:paraId="22146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E99EFB">
            <w:pPr>
              <w:pStyle w:val="12"/>
            </w:pPr>
            <w:r>
              <w:t>5</w:t>
            </w:r>
          </w:p>
        </w:tc>
        <w:tc>
          <w:tcPr>
            <w:tcW w:w="992" w:type="dxa"/>
            <w:vAlign w:val="center"/>
          </w:tcPr>
          <w:p w14:paraId="585E5963">
            <w:pPr>
              <w:pStyle w:val="13"/>
            </w:pPr>
            <w:r>
              <w:t>2050202</w:t>
            </w:r>
          </w:p>
        </w:tc>
        <w:tc>
          <w:tcPr>
            <w:tcW w:w="1559" w:type="dxa"/>
            <w:vAlign w:val="center"/>
          </w:tcPr>
          <w:p w14:paraId="6ED2FF5D">
            <w:pPr>
              <w:pStyle w:val="13"/>
            </w:pPr>
            <w:r>
              <w:t>小学教育</w:t>
            </w:r>
          </w:p>
        </w:tc>
        <w:tc>
          <w:tcPr>
            <w:tcW w:w="1134" w:type="dxa"/>
            <w:vAlign w:val="center"/>
          </w:tcPr>
          <w:p w14:paraId="0D0AD64A">
            <w:pPr>
              <w:pStyle w:val="14"/>
            </w:pPr>
            <w:r>
              <w:t>2469.84</w:t>
            </w:r>
          </w:p>
        </w:tc>
        <w:tc>
          <w:tcPr>
            <w:tcW w:w="1134" w:type="dxa"/>
            <w:vAlign w:val="center"/>
          </w:tcPr>
          <w:p w14:paraId="62D8AC81">
            <w:pPr>
              <w:pStyle w:val="14"/>
            </w:pPr>
            <w:r>
              <w:t>2440.90</w:t>
            </w:r>
          </w:p>
        </w:tc>
        <w:tc>
          <w:tcPr>
            <w:tcW w:w="1134" w:type="dxa"/>
            <w:vAlign w:val="center"/>
          </w:tcPr>
          <w:p w14:paraId="61372E9F">
            <w:pPr>
              <w:pStyle w:val="14"/>
            </w:pPr>
            <w:r>
              <w:t>2440.90</w:t>
            </w:r>
          </w:p>
        </w:tc>
        <w:tc>
          <w:tcPr>
            <w:tcW w:w="1134" w:type="dxa"/>
            <w:vAlign w:val="center"/>
          </w:tcPr>
          <w:p w14:paraId="521E2519">
            <w:pPr>
              <w:pStyle w:val="14"/>
            </w:pPr>
          </w:p>
        </w:tc>
        <w:tc>
          <w:tcPr>
            <w:tcW w:w="1134" w:type="dxa"/>
            <w:vAlign w:val="center"/>
          </w:tcPr>
          <w:p w14:paraId="47FC4623">
            <w:pPr>
              <w:pStyle w:val="14"/>
            </w:pPr>
          </w:p>
        </w:tc>
        <w:tc>
          <w:tcPr>
            <w:tcW w:w="1134" w:type="dxa"/>
            <w:vAlign w:val="center"/>
          </w:tcPr>
          <w:p w14:paraId="0596C0EB">
            <w:pPr>
              <w:pStyle w:val="14"/>
            </w:pPr>
          </w:p>
        </w:tc>
        <w:tc>
          <w:tcPr>
            <w:tcW w:w="1134" w:type="dxa"/>
            <w:vAlign w:val="center"/>
          </w:tcPr>
          <w:p w14:paraId="21752E0E">
            <w:pPr>
              <w:pStyle w:val="14"/>
            </w:pPr>
          </w:p>
        </w:tc>
        <w:tc>
          <w:tcPr>
            <w:tcW w:w="1134" w:type="dxa"/>
            <w:vAlign w:val="center"/>
          </w:tcPr>
          <w:p w14:paraId="533E68F5">
            <w:pPr>
              <w:pStyle w:val="14"/>
            </w:pPr>
          </w:p>
        </w:tc>
        <w:tc>
          <w:tcPr>
            <w:tcW w:w="1134" w:type="dxa"/>
            <w:vAlign w:val="center"/>
          </w:tcPr>
          <w:p w14:paraId="752A89B1">
            <w:pPr>
              <w:pStyle w:val="14"/>
            </w:pPr>
          </w:p>
        </w:tc>
        <w:tc>
          <w:tcPr>
            <w:tcW w:w="1134" w:type="dxa"/>
            <w:vAlign w:val="center"/>
          </w:tcPr>
          <w:p w14:paraId="5248AC68">
            <w:pPr>
              <w:pStyle w:val="14"/>
            </w:pPr>
            <w:r>
              <w:t>28.94</w:t>
            </w:r>
          </w:p>
        </w:tc>
      </w:tr>
    </w:tbl>
    <w:p w14:paraId="21EA0E47">
      <w:pPr>
        <w:sectPr>
          <w:pgSz w:w="16840" w:h="11900" w:orient="landscape"/>
          <w:pgMar w:top="1361" w:right="1020" w:bottom="1134" w:left="1020" w:header="720" w:footer="720" w:gutter="0"/>
          <w:cols w:space="720" w:num="1"/>
        </w:sectPr>
      </w:pPr>
    </w:p>
    <w:p w14:paraId="49E287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CEF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D28FBFD">
            <w:pPr>
              <w:pStyle w:val="8"/>
            </w:pPr>
            <w:r>
              <w:t>360027隆尧县莲子镇校区</w:t>
            </w:r>
          </w:p>
        </w:tc>
        <w:tc>
          <w:tcPr>
            <w:tcW w:w="2722" w:type="dxa"/>
            <w:gridSpan w:val="2"/>
            <w:tcBorders>
              <w:top w:val="single" w:color="FFFFFF" w:sz="6" w:space="0"/>
              <w:left w:val="single" w:color="FFFFFF" w:sz="6" w:space="0"/>
              <w:right w:val="single" w:color="FFFFFF" w:sz="6" w:space="0"/>
            </w:tcBorders>
            <w:vAlign w:val="center"/>
          </w:tcPr>
          <w:p w14:paraId="7A912DAC">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C7F8B45">
            <w:pPr>
              <w:pStyle w:val="10"/>
            </w:pPr>
            <w:r>
              <w:t>单位：万元</w:t>
            </w:r>
          </w:p>
        </w:tc>
      </w:tr>
      <w:tr w14:paraId="2DB89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DC742">
            <w:pPr>
              <w:pStyle w:val="11"/>
            </w:pPr>
            <w:r>
              <w:t>序号</w:t>
            </w:r>
          </w:p>
        </w:tc>
        <w:tc>
          <w:tcPr>
            <w:tcW w:w="5527" w:type="dxa"/>
            <w:gridSpan w:val="2"/>
            <w:vAlign w:val="center"/>
          </w:tcPr>
          <w:p w14:paraId="568FA957">
            <w:pPr>
              <w:pStyle w:val="11"/>
            </w:pPr>
            <w:r>
              <w:t>功能分类科目</w:t>
            </w:r>
          </w:p>
        </w:tc>
        <w:tc>
          <w:tcPr>
            <w:tcW w:w="1361" w:type="dxa"/>
            <w:vMerge w:val="restart"/>
            <w:vAlign w:val="center"/>
          </w:tcPr>
          <w:p w14:paraId="47B75361">
            <w:pPr>
              <w:pStyle w:val="11"/>
            </w:pPr>
            <w:r>
              <w:t>合计</w:t>
            </w:r>
          </w:p>
        </w:tc>
        <w:tc>
          <w:tcPr>
            <w:tcW w:w="1361" w:type="dxa"/>
            <w:vMerge w:val="restart"/>
            <w:vAlign w:val="center"/>
          </w:tcPr>
          <w:p w14:paraId="637085DE">
            <w:pPr>
              <w:pStyle w:val="11"/>
            </w:pPr>
            <w:r>
              <w:t>基本支出</w:t>
            </w:r>
          </w:p>
        </w:tc>
        <w:tc>
          <w:tcPr>
            <w:tcW w:w="1361" w:type="dxa"/>
            <w:vMerge w:val="restart"/>
            <w:vAlign w:val="center"/>
          </w:tcPr>
          <w:p w14:paraId="431F0E33">
            <w:pPr>
              <w:pStyle w:val="11"/>
            </w:pPr>
            <w:r>
              <w:t>项目支出</w:t>
            </w:r>
          </w:p>
        </w:tc>
        <w:tc>
          <w:tcPr>
            <w:tcW w:w="1361" w:type="dxa"/>
            <w:vMerge w:val="restart"/>
            <w:vAlign w:val="center"/>
          </w:tcPr>
          <w:p w14:paraId="5BAFB608">
            <w:pPr>
              <w:pStyle w:val="11"/>
            </w:pPr>
            <w:r>
              <w:t>经营支出</w:t>
            </w:r>
          </w:p>
        </w:tc>
        <w:tc>
          <w:tcPr>
            <w:tcW w:w="1361" w:type="dxa"/>
            <w:vMerge w:val="restart"/>
            <w:vAlign w:val="center"/>
          </w:tcPr>
          <w:p w14:paraId="10B6B4A8">
            <w:pPr>
              <w:pStyle w:val="11"/>
            </w:pPr>
            <w:r>
              <w:t>上解上级     支出</w:t>
            </w:r>
          </w:p>
        </w:tc>
        <w:tc>
          <w:tcPr>
            <w:tcW w:w="1361" w:type="dxa"/>
            <w:vMerge w:val="restart"/>
            <w:vAlign w:val="center"/>
          </w:tcPr>
          <w:p w14:paraId="6038C1E3">
            <w:pPr>
              <w:pStyle w:val="11"/>
            </w:pPr>
            <w:r>
              <w:t>对附属单位补助支出</w:t>
            </w:r>
          </w:p>
        </w:tc>
      </w:tr>
      <w:tr w14:paraId="11658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22244E"/>
        </w:tc>
        <w:tc>
          <w:tcPr>
            <w:tcW w:w="992" w:type="dxa"/>
            <w:vAlign w:val="center"/>
          </w:tcPr>
          <w:p w14:paraId="3CC55BC7">
            <w:pPr>
              <w:pStyle w:val="11"/>
            </w:pPr>
            <w:r>
              <w:t>科目    编码</w:t>
            </w:r>
          </w:p>
        </w:tc>
        <w:tc>
          <w:tcPr>
            <w:tcW w:w="4535" w:type="dxa"/>
            <w:vAlign w:val="center"/>
          </w:tcPr>
          <w:p w14:paraId="404B3A86">
            <w:pPr>
              <w:pStyle w:val="11"/>
            </w:pPr>
            <w:r>
              <w:t>科目名称</w:t>
            </w:r>
          </w:p>
        </w:tc>
        <w:tc>
          <w:tcPr>
            <w:tcW w:w="1361" w:type="dxa"/>
            <w:vMerge w:val="continue"/>
          </w:tcPr>
          <w:p w14:paraId="3256F94A"/>
        </w:tc>
        <w:tc>
          <w:tcPr>
            <w:tcW w:w="1361" w:type="dxa"/>
            <w:vMerge w:val="continue"/>
          </w:tcPr>
          <w:p w14:paraId="75EC0893"/>
        </w:tc>
        <w:tc>
          <w:tcPr>
            <w:tcW w:w="1361" w:type="dxa"/>
            <w:vMerge w:val="continue"/>
          </w:tcPr>
          <w:p w14:paraId="31FFF9C3"/>
        </w:tc>
        <w:tc>
          <w:tcPr>
            <w:tcW w:w="1361" w:type="dxa"/>
            <w:vMerge w:val="continue"/>
          </w:tcPr>
          <w:p w14:paraId="669E2433"/>
        </w:tc>
        <w:tc>
          <w:tcPr>
            <w:tcW w:w="1361" w:type="dxa"/>
            <w:vMerge w:val="continue"/>
          </w:tcPr>
          <w:p w14:paraId="2FD602BB"/>
        </w:tc>
        <w:tc>
          <w:tcPr>
            <w:tcW w:w="1361" w:type="dxa"/>
            <w:vMerge w:val="continue"/>
          </w:tcPr>
          <w:p w14:paraId="788F38EC"/>
        </w:tc>
      </w:tr>
      <w:tr w14:paraId="5E0E1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AB98D">
            <w:pPr>
              <w:pStyle w:val="11"/>
            </w:pPr>
            <w:r>
              <w:t>栏次</w:t>
            </w:r>
          </w:p>
        </w:tc>
        <w:tc>
          <w:tcPr>
            <w:tcW w:w="992" w:type="dxa"/>
            <w:vAlign w:val="center"/>
          </w:tcPr>
          <w:p w14:paraId="682226CB">
            <w:pPr>
              <w:pStyle w:val="11"/>
            </w:pPr>
            <w:r>
              <w:t>1</w:t>
            </w:r>
          </w:p>
        </w:tc>
        <w:tc>
          <w:tcPr>
            <w:tcW w:w="4535" w:type="dxa"/>
            <w:vAlign w:val="center"/>
          </w:tcPr>
          <w:p w14:paraId="1836B4C9">
            <w:pPr>
              <w:pStyle w:val="11"/>
            </w:pPr>
            <w:r>
              <w:t>2</w:t>
            </w:r>
          </w:p>
        </w:tc>
        <w:tc>
          <w:tcPr>
            <w:tcW w:w="1361" w:type="dxa"/>
            <w:vAlign w:val="center"/>
          </w:tcPr>
          <w:p w14:paraId="0D8EA1EF">
            <w:pPr>
              <w:pStyle w:val="11"/>
            </w:pPr>
            <w:r>
              <w:t>3</w:t>
            </w:r>
          </w:p>
        </w:tc>
        <w:tc>
          <w:tcPr>
            <w:tcW w:w="1361" w:type="dxa"/>
            <w:vAlign w:val="center"/>
          </w:tcPr>
          <w:p w14:paraId="712A6C35">
            <w:pPr>
              <w:pStyle w:val="11"/>
            </w:pPr>
            <w:r>
              <w:t>4</w:t>
            </w:r>
          </w:p>
        </w:tc>
        <w:tc>
          <w:tcPr>
            <w:tcW w:w="1361" w:type="dxa"/>
            <w:vAlign w:val="center"/>
          </w:tcPr>
          <w:p w14:paraId="12235F43">
            <w:pPr>
              <w:pStyle w:val="11"/>
            </w:pPr>
            <w:r>
              <w:t>5</w:t>
            </w:r>
          </w:p>
        </w:tc>
        <w:tc>
          <w:tcPr>
            <w:tcW w:w="1361" w:type="dxa"/>
            <w:vAlign w:val="center"/>
          </w:tcPr>
          <w:p w14:paraId="52E3A417">
            <w:pPr>
              <w:pStyle w:val="11"/>
            </w:pPr>
            <w:r>
              <w:t>6</w:t>
            </w:r>
          </w:p>
        </w:tc>
        <w:tc>
          <w:tcPr>
            <w:tcW w:w="1361" w:type="dxa"/>
            <w:vAlign w:val="center"/>
          </w:tcPr>
          <w:p w14:paraId="371F7156">
            <w:pPr>
              <w:pStyle w:val="11"/>
            </w:pPr>
            <w:r>
              <w:t>7</w:t>
            </w:r>
          </w:p>
        </w:tc>
        <w:tc>
          <w:tcPr>
            <w:tcW w:w="1361" w:type="dxa"/>
            <w:vAlign w:val="center"/>
          </w:tcPr>
          <w:p w14:paraId="525FAB2B">
            <w:pPr>
              <w:pStyle w:val="11"/>
            </w:pPr>
            <w:r>
              <w:t>8</w:t>
            </w:r>
          </w:p>
        </w:tc>
      </w:tr>
      <w:tr w14:paraId="0CAB6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A049E">
            <w:pPr>
              <w:pStyle w:val="12"/>
            </w:pPr>
            <w:r>
              <w:t>1</w:t>
            </w:r>
          </w:p>
        </w:tc>
        <w:tc>
          <w:tcPr>
            <w:tcW w:w="992" w:type="dxa"/>
            <w:vAlign w:val="center"/>
          </w:tcPr>
          <w:p w14:paraId="77F532C2">
            <w:pPr>
              <w:pStyle w:val="17"/>
            </w:pPr>
          </w:p>
        </w:tc>
        <w:tc>
          <w:tcPr>
            <w:tcW w:w="4535" w:type="dxa"/>
            <w:vAlign w:val="center"/>
          </w:tcPr>
          <w:p w14:paraId="5F9B24DD">
            <w:pPr>
              <w:pStyle w:val="15"/>
            </w:pPr>
            <w:r>
              <w:t>合计</w:t>
            </w:r>
          </w:p>
        </w:tc>
        <w:tc>
          <w:tcPr>
            <w:tcW w:w="1361" w:type="dxa"/>
            <w:vAlign w:val="center"/>
          </w:tcPr>
          <w:p w14:paraId="59329285">
            <w:pPr>
              <w:pStyle w:val="16"/>
            </w:pPr>
            <w:r>
              <w:t>2813.26</w:t>
            </w:r>
          </w:p>
        </w:tc>
        <w:tc>
          <w:tcPr>
            <w:tcW w:w="1361" w:type="dxa"/>
            <w:vAlign w:val="center"/>
          </w:tcPr>
          <w:p w14:paraId="5F2E0201">
            <w:pPr>
              <w:pStyle w:val="16"/>
            </w:pPr>
            <w:r>
              <w:t>2232.37</w:t>
            </w:r>
          </w:p>
        </w:tc>
        <w:tc>
          <w:tcPr>
            <w:tcW w:w="1361" w:type="dxa"/>
            <w:vAlign w:val="center"/>
          </w:tcPr>
          <w:p w14:paraId="5A398A4E">
            <w:pPr>
              <w:pStyle w:val="16"/>
            </w:pPr>
            <w:r>
              <w:t>580.89</w:t>
            </w:r>
          </w:p>
        </w:tc>
        <w:tc>
          <w:tcPr>
            <w:tcW w:w="1361" w:type="dxa"/>
            <w:vAlign w:val="center"/>
          </w:tcPr>
          <w:p w14:paraId="0F7672F2">
            <w:pPr>
              <w:pStyle w:val="16"/>
            </w:pPr>
          </w:p>
        </w:tc>
        <w:tc>
          <w:tcPr>
            <w:tcW w:w="1361" w:type="dxa"/>
            <w:vAlign w:val="center"/>
          </w:tcPr>
          <w:p w14:paraId="732F2351">
            <w:pPr>
              <w:pStyle w:val="16"/>
            </w:pPr>
          </w:p>
        </w:tc>
        <w:tc>
          <w:tcPr>
            <w:tcW w:w="1361" w:type="dxa"/>
            <w:vAlign w:val="center"/>
          </w:tcPr>
          <w:p w14:paraId="51F3C760">
            <w:pPr>
              <w:pStyle w:val="16"/>
            </w:pPr>
          </w:p>
        </w:tc>
      </w:tr>
      <w:tr w14:paraId="110C4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17F25">
            <w:pPr>
              <w:pStyle w:val="12"/>
            </w:pPr>
            <w:r>
              <w:t>2</w:t>
            </w:r>
          </w:p>
        </w:tc>
        <w:tc>
          <w:tcPr>
            <w:tcW w:w="992" w:type="dxa"/>
            <w:vAlign w:val="center"/>
          </w:tcPr>
          <w:p w14:paraId="0B76B4EF">
            <w:pPr>
              <w:pStyle w:val="13"/>
            </w:pPr>
            <w:r>
              <w:t>205</w:t>
            </w:r>
          </w:p>
        </w:tc>
        <w:tc>
          <w:tcPr>
            <w:tcW w:w="4535" w:type="dxa"/>
            <w:vAlign w:val="center"/>
          </w:tcPr>
          <w:p w14:paraId="4FD0D99B">
            <w:pPr>
              <w:pStyle w:val="13"/>
            </w:pPr>
            <w:r>
              <w:t>教育支出</w:t>
            </w:r>
          </w:p>
        </w:tc>
        <w:tc>
          <w:tcPr>
            <w:tcW w:w="1361" w:type="dxa"/>
            <w:vAlign w:val="center"/>
          </w:tcPr>
          <w:p w14:paraId="0298A1B4">
            <w:pPr>
              <w:pStyle w:val="14"/>
            </w:pPr>
            <w:r>
              <w:t>2813.26</w:t>
            </w:r>
          </w:p>
        </w:tc>
        <w:tc>
          <w:tcPr>
            <w:tcW w:w="1361" w:type="dxa"/>
            <w:vAlign w:val="center"/>
          </w:tcPr>
          <w:p w14:paraId="48B4C3C8">
            <w:pPr>
              <w:pStyle w:val="14"/>
            </w:pPr>
            <w:r>
              <w:t>2232.37</w:t>
            </w:r>
          </w:p>
        </w:tc>
        <w:tc>
          <w:tcPr>
            <w:tcW w:w="1361" w:type="dxa"/>
            <w:vAlign w:val="center"/>
          </w:tcPr>
          <w:p w14:paraId="56456ECE">
            <w:pPr>
              <w:pStyle w:val="14"/>
            </w:pPr>
            <w:r>
              <w:t>580.89</w:t>
            </w:r>
          </w:p>
        </w:tc>
        <w:tc>
          <w:tcPr>
            <w:tcW w:w="1361" w:type="dxa"/>
            <w:vAlign w:val="center"/>
          </w:tcPr>
          <w:p w14:paraId="37DDED19">
            <w:pPr>
              <w:pStyle w:val="14"/>
            </w:pPr>
          </w:p>
        </w:tc>
        <w:tc>
          <w:tcPr>
            <w:tcW w:w="1361" w:type="dxa"/>
            <w:vAlign w:val="center"/>
          </w:tcPr>
          <w:p w14:paraId="1A1B5457">
            <w:pPr>
              <w:pStyle w:val="14"/>
            </w:pPr>
          </w:p>
        </w:tc>
        <w:tc>
          <w:tcPr>
            <w:tcW w:w="1361" w:type="dxa"/>
            <w:vAlign w:val="center"/>
          </w:tcPr>
          <w:p w14:paraId="60DCE7AB">
            <w:pPr>
              <w:pStyle w:val="14"/>
            </w:pPr>
          </w:p>
        </w:tc>
      </w:tr>
      <w:tr w14:paraId="23CC9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03DFD">
            <w:pPr>
              <w:pStyle w:val="12"/>
            </w:pPr>
            <w:r>
              <w:t>3</w:t>
            </w:r>
          </w:p>
        </w:tc>
        <w:tc>
          <w:tcPr>
            <w:tcW w:w="992" w:type="dxa"/>
            <w:vAlign w:val="center"/>
          </w:tcPr>
          <w:p w14:paraId="06FC2065">
            <w:pPr>
              <w:pStyle w:val="13"/>
            </w:pPr>
            <w:r>
              <w:t>20502</w:t>
            </w:r>
          </w:p>
        </w:tc>
        <w:tc>
          <w:tcPr>
            <w:tcW w:w="4535" w:type="dxa"/>
            <w:vAlign w:val="center"/>
          </w:tcPr>
          <w:p w14:paraId="47E2A397">
            <w:pPr>
              <w:pStyle w:val="13"/>
            </w:pPr>
            <w:r>
              <w:t>普通教育</w:t>
            </w:r>
          </w:p>
        </w:tc>
        <w:tc>
          <w:tcPr>
            <w:tcW w:w="1361" w:type="dxa"/>
            <w:vAlign w:val="center"/>
          </w:tcPr>
          <w:p w14:paraId="647F8C64">
            <w:pPr>
              <w:pStyle w:val="14"/>
            </w:pPr>
            <w:r>
              <w:t>2813.26</w:t>
            </w:r>
          </w:p>
        </w:tc>
        <w:tc>
          <w:tcPr>
            <w:tcW w:w="1361" w:type="dxa"/>
            <w:vAlign w:val="center"/>
          </w:tcPr>
          <w:p w14:paraId="38C9766E">
            <w:pPr>
              <w:pStyle w:val="14"/>
            </w:pPr>
            <w:r>
              <w:t>2232.37</w:t>
            </w:r>
          </w:p>
        </w:tc>
        <w:tc>
          <w:tcPr>
            <w:tcW w:w="1361" w:type="dxa"/>
            <w:vAlign w:val="center"/>
          </w:tcPr>
          <w:p w14:paraId="25DAB34A">
            <w:pPr>
              <w:pStyle w:val="14"/>
            </w:pPr>
            <w:r>
              <w:t>580.89</w:t>
            </w:r>
          </w:p>
        </w:tc>
        <w:tc>
          <w:tcPr>
            <w:tcW w:w="1361" w:type="dxa"/>
            <w:vAlign w:val="center"/>
          </w:tcPr>
          <w:p w14:paraId="7C5A774A">
            <w:pPr>
              <w:pStyle w:val="14"/>
            </w:pPr>
          </w:p>
        </w:tc>
        <w:tc>
          <w:tcPr>
            <w:tcW w:w="1361" w:type="dxa"/>
            <w:vAlign w:val="center"/>
          </w:tcPr>
          <w:p w14:paraId="2AFA786B">
            <w:pPr>
              <w:pStyle w:val="14"/>
            </w:pPr>
          </w:p>
        </w:tc>
        <w:tc>
          <w:tcPr>
            <w:tcW w:w="1361" w:type="dxa"/>
            <w:vAlign w:val="center"/>
          </w:tcPr>
          <w:p w14:paraId="65C31F23">
            <w:pPr>
              <w:pStyle w:val="14"/>
            </w:pPr>
          </w:p>
        </w:tc>
      </w:tr>
      <w:tr w14:paraId="08E62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E626168">
            <w:pPr>
              <w:pStyle w:val="12"/>
            </w:pPr>
            <w:r>
              <w:t>4</w:t>
            </w:r>
          </w:p>
        </w:tc>
        <w:tc>
          <w:tcPr>
            <w:tcW w:w="992" w:type="dxa"/>
            <w:vAlign w:val="center"/>
          </w:tcPr>
          <w:p w14:paraId="24859AAB">
            <w:pPr>
              <w:pStyle w:val="13"/>
            </w:pPr>
            <w:r>
              <w:t>2050201</w:t>
            </w:r>
          </w:p>
        </w:tc>
        <w:tc>
          <w:tcPr>
            <w:tcW w:w="4535" w:type="dxa"/>
            <w:vAlign w:val="center"/>
          </w:tcPr>
          <w:p w14:paraId="3CD845BC">
            <w:pPr>
              <w:pStyle w:val="13"/>
            </w:pPr>
            <w:r>
              <w:t>学前教育</w:t>
            </w:r>
          </w:p>
        </w:tc>
        <w:tc>
          <w:tcPr>
            <w:tcW w:w="1361" w:type="dxa"/>
            <w:vAlign w:val="center"/>
          </w:tcPr>
          <w:p w14:paraId="1CA5E6BD">
            <w:pPr>
              <w:pStyle w:val="14"/>
            </w:pPr>
            <w:r>
              <w:t>343.42</w:t>
            </w:r>
          </w:p>
        </w:tc>
        <w:tc>
          <w:tcPr>
            <w:tcW w:w="1361" w:type="dxa"/>
            <w:vAlign w:val="center"/>
          </w:tcPr>
          <w:p w14:paraId="397D335A">
            <w:pPr>
              <w:pStyle w:val="14"/>
            </w:pPr>
          </w:p>
        </w:tc>
        <w:tc>
          <w:tcPr>
            <w:tcW w:w="1361" w:type="dxa"/>
            <w:vAlign w:val="center"/>
          </w:tcPr>
          <w:p w14:paraId="0FCBA41F">
            <w:pPr>
              <w:pStyle w:val="14"/>
            </w:pPr>
            <w:r>
              <w:t>343.42</w:t>
            </w:r>
          </w:p>
        </w:tc>
        <w:tc>
          <w:tcPr>
            <w:tcW w:w="1361" w:type="dxa"/>
            <w:vAlign w:val="center"/>
          </w:tcPr>
          <w:p w14:paraId="46E317AB">
            <w:pPr>
              <w:pStyle w:val="14"/>
            </w:pPr>
          </w:p>
        </w:tc>
        <w:tc>
          <w:tcPr>
            <w:tcW w:w="1361" w:type="dxa"/>
            <w:vAlign w:val="center"/>
          </w:tcPr>
          <w:p w14:paraId="1D15B5A4">
            <w:pPr>
              <w:pStyle w:val="14"/>
            </w:pPr>
          </w:p>
        </w:tc>
        <w:tc>
          <w:tcPr>
            <w:tcW w:w="1361" w:type="dxa"/>
            <w:vAlign w:val="center"/>
          </w:tcPr>
          <w:p w14:paraId="267C9908">
            <w:pPr>
              <w:pStyle w:val="14"/>
            </w:pPr>
          </w:p>
        </w:tc>
      </w:tr>
      <w:tr w14:paraId="17A9F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7F151">
            <w:pPr>
              <w:pStyle w:val="12"/>
            </w:pPr>
            <w:r>
              <w:t>5</w:t>
            </w:r>
          </w:p>
        </w:tc>
        <w:tc>
          <w:tcPr>
            <w:tcW w:w="992" w:type="dxa"/>
            <w:vAlign w:val="center"/>
          </w:tcPr>
          <w:p w14:paraId="6DC515EA">
            <w:pPr>
              <w:pStyle w:val="13"/>
            </w:pPr>
            <w:r>
              <w:t>2050202</w:t>
            </w:r>
          </w:p>
        </w:tc>
        <w:tc>
          <w:tcPr>
            <w:tcW w:w="4535" w:type="dxa"/>
            <w:vAlign w:val="center"/>
          </w:tcPr>
          <w:p w14:paraId="757E9E25">
            <w:pPr>
              <w:pStyle w:val="13"/>
            </w:pPr>
            <w:r>
              <w:t>小学教育</w:t>
            </w:r>
          </w:p>
        </w:tc>
        <w:tc>
          <w:tcPr>
            <w:tcW w:w="1361" w:type="dxa"/>
            <w:vAlign w:val="center"/>
          </w:tcPr>
          <w:p w14:paraId="675DCAD5">
            <w:pPr>
              <w:pStyle w:val="14"/>
            </w:pPr>
            <w:r>
              <w:t>2469.84</w:t>
            </w:r>
          </w:p>
        </w:tc>
        <w:tc>
          <w:tcPr>
            <w:tcW w:w="1361" w:type="dxa"/>
            <w:vAlign w:val="center"/>
          </w:tcPr>
          <w:p w14:paraId="4E45CC35">
            <w:pPr>
              <w:pStyle w:val="14"/>
            </w:pPr>
            <w:r>
              <w:t>2232.37</w:t>
            </w:r>
          </w:p>
        </w:tc>
        <w:tc>
          <w:tcPr>
            <w:tcW w:w="1361" w:type="dxa"/>
            <w:vAlign w:val="center"/>
          </w:tcPr>
          <w:p w14:paraId="3B0B3F49">
            <w:pPr>
              <w:pStyle w:val="14"/>
            </w:pPr>
            <w:r>
              <w:t>237.47</w:t>
            </w:r>
          </w:p>
        </w:tc>
        <w:tc>
          <w:tcPr>
            <w:tcW w:w="1361" w:type="dxa"/>
            <w:vAlign w:val="center"/>
          </w:tcPr>
          <w:p w14:paraId="2CC740E0">
            <w:pPr>
              <w:pStyle w:val="14"/>
            </w:pPr>
          </w:p>
        </w:tc>
        <w:tc>
          <w:tcPr>
            <w:tcW w:w="1361" w:type="dxa"/>
            <w:vAlign w:val="center"/>
          </w:tcPr>
          <w:p w14:paraId="6B972D2F">
            <w:pPr>
              <w:pStyle w:val="14"/>
            </w:pPr>
          </w:p>
        </w:tc>
        <w:tc>
          <w:tcPr>
            <w:tcW w:w="1361" w:type="dxa"/>
            <w:vAlign w:val="center"/>
          </w:tcPr>
          <w:p w14:paraId="6A83377B">
            <w:pPr>
              <w:pStyle w:val="14"/>
            </w:pPr>
          </w:p>
        </w:tc>
      </w:tr>
    </w:tbl>
    <w:p w14:paraId="2E742279">
      <w:pPr>
        <w:sectPr>
          <w:pgSz w:w="16840" w:h="11900" w:orient="landscape"/>
          <w:pgMar w:top="1361" w:right="1020" w:bottom="1134" w:left="1020" w:header="720" w:footer="720" w:gutter="0"/>
          <w:cols w:space="720" w:num="1"/>
        </w:sectPr>
      </w:pPr>
    </w:p>
    <w:p w14:paraId="3248B0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CF2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97AEC5">
            <w:pPr>
              <w:pStyle w:val="8"/>
            </w:pPr>
            <w:r>
              <w:t>360027隆尧县莲子镇校区</w:t>
            </w:r>
          </w:p>
        </w:tc>
        <w:tc>
          <w:tcPr>
            <w:tcW w:w="3402" w:type="dxa"/>
            <w:tcBorders>
              <w:top w:val="single" w:color="FFFFFF" w:sz="6" w:space="0"/>
              <w:left w:val="single" w:color="FFFFFF" w:sz="6" w:space="0"/>
              <w:right w:val="single" w:color="FFFFFF" w:sz="6" w:space="0"/>
            </w:tcBorders>
            <w:vAlign w:val="center"/>
          </w:tcPr>
          <w:p w14:paraId="6A598B3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2BE4ECB">
            <w:pPr>
              <w:pStyle w:val="10"/>
            </w:pPr>
            <w:r>
              <w:t>单位：万元</w:t>
            </w:r>
          </w:p>
        </w:tc>
      </w:tr>
      <w:tr w14:paraId="49817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7B722A">
            <w:pPr>
              <w:pStyle w:val="11"/>
            </w:pPr>
            <w:r>
              <w:t>序号</w:t>
            </w:r>
          </w:p>
        </w:tc>
        <w:tc>
          <w:tcPr>
            <w:tcW w:w="4876" w:type="dxa"/>
            <w:gridSpan w:val="2"/>
            <w:vAlign w:val="center"/>
          </w:tcPr>
          <w:p w14:paraId="483D2490">
            <w:pPr>
              <w:pStyle w:val="11"/>
            </w:pPr>
            <w:r>
              <w:t>收入</w:t>
            </w:r>
          </w:p>
        </w:tc>
        <w:tc>
          <w:tcPr>
            <w:tcW w:w="9298" w:type="dxa"/>
            <w:gridSpan w:val="5"/>
            <w:vAlign w:val="center"/>
          </w:tcPr>
          <w:p w14:paraId="7E602AEF">
            <w:pPr>
              <w:pStyle w:val="11"/>
            </w:pPr>
            <w:r>
              <w:t>支出</w:t>
            </w:r>
          </w:p>
        </w:tc>
      </w:tr>
      <w:tr w14:paraId="7B099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4EF2AD"/>
        </w:tc>
        <w:tc>
          <w:tcPr>
            <w:tcW w:w="3402" w:type="dxa"/>
            <w:vAlign w:val="center"/>
          </w:tcPr>
          <w:p w14:paraId="78909047">
            <w:pPr>
              <w:pStyle w:val="11"/>
            </w:pPr>
            <w:r>
              <w:t>项  目</w:t>
            </w:r>
          </w:p>
        </w:tc>
        <w:tc>
          <w:tcPr>
            <w:tcW w:w="1474" w:type="dxa"/>
            <w:vAlign w:val="center"/>
          </w:tcPr>
          <w:p w14:paraId="71ADA607">
            <w:pPr>
              <w:pStyle w:val="11"/>
            </w:pPr>
            <w:r>
              <w:t>金额</w:t>
            </w:r>
          </w:p>
        </w:tc>
        <w:tc>
          <w:tcPr>
            <w:tcW w:w="3402" w:type="dxa"/>
            <w:vAlign w:val="center"/>
          </w:tcPr>
          <w:p w14:paraId="058DE64B">
            <w:pPr>
              <w:pStyle w:val="11"/>
            </w:pPr>
            <w:r>
              <w:t>项  目</w:t>
            </w:r>
          </w:p>
        </w:tc>
        <w:tc>
          <w:tcPr>
            <w:tcW w:w="1474" w:type="dxa"/>
            <w:vAlign w:val="center"/>
          </w:tcPr>
          <w:p w14:paraId="781A5D48">
            <w:pPr>
              <w:pStyle w:val="11"/>
            </w:pPr>
            <w:r>
              <w:t>合计</w:t>
            </w:r>
          </w:p>
        </w:tc>
        <w:tc>
          <w:tcPr>
            <w:tcW w:w="1474" w:type="dxa"/>
            <w:vAlign w:val="center"/>
          </w:tcPr>
          <w:p w14:paraId="1AE5B2B4">
            <w:pPr>
              <w:pStyle w:val="11"/>
            </w:pPr>
            <w:r>
              <w:t>一般公共预算财政拨款</w:t>
            </w:r>
          </w:p>
        </w:tc>
        <w:tc>
          <w:tcPr>
            <w:tcW w:w="1474" w:type="dxa"/>
            <w:vAlign w:val="center"/>
          </w:tcPr>
          <w:p w14:paraId="75DF86FA">
            <w:pPr>
              <w:pStyle w:val="11"/>
            </w:pPr>
            <w:r>
              <w:t>政府性基金预算财政    拨款</w:t>
            </w:r>
          </w:p>
        </w:tc>
        <w:tc>
          <w:tcPr>
            <w:tcW w:w="1474" w:type="dxa"/>
            <w:vAlign w:val="center"/>
          </w:tcPr>
          <w:p w14:paraId="6822EC62">
            <w:pPr>
              <w:pStyle w:val="11"/>
            </w:pPr>
            <w:r>
              <w:t>国有资本经营预算财政拨款</w:t>
            </w:r>
          </w:p>
        </w:tc>
      </w:tr>
      <w:tr w14:paraId="35094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536FBB">
            <w:pPr>
              <w:pStyle w:val="11"/>
            </w:pPr>
            <w:r>
              <w:t>栏次</w:t>
            </w:r>
          </w:p>
        </w:tc>
        <w:tc>
          <w:tcPr>
            <w:tcW w:w="3402" w:type="dxa"/>
            <w:vAlign w:val="center"/>
          </w:tcPr>
          <w:p w14:paraId="571F0900">
            <w:pPr>
              <w:pStyle w:val="11"/>
            </w:pPr>
            <w:r>
              <w:t>1</w:t>
            </w:r>
          </w:p>
        </w:tc>
        <w:tc>
          <w:tcPr>
            <w:tcW w:w="1474" w:type="dxa"/>
            <w:vAlign w:val="center"/>
          </w:tcPr>
          <w:p w14:paraId="5B8EF72F">
            <w:pPr>
              <w:pStyle w:val="11"/>
            </w:pPr>
            <w:r>
              <w:t>2</w:t>
            </w:r>
          </w:p>
        </w:tc>
        <w:tc>
          <w:tcPr>
            <w:tcW w:w="3402" w:type="dxa"/>
            <w:vAlign w:val="center"/>
          </w:tcPr>
          <w:p w14:paraId="294F0F0C">
            <w:pPr>
              <w:pStyle w:val="11"/>
            </w:pPr>
            <w:r>
              <w:t>3</w:t>
            </w:r>
          </w:p>
        </w:tc>
        <w:tc>
          <w:tcPr>
            <w:tcW w:w="1474" w:type="dxa"/>
            <w:vAlign w:val="center"/>
          </w:tcPr>
          <w:p w14:paraId="2345A6C7">
            <w:pPr>
              <w:pStyle w:val="11"/>
            </w:pPr>
            <w:r>
              <w:t>4</w:t>
            </w:r>
          </w:p>
        </w:tc>
        <w:tc>
          <w:tcPr>
            <w:tcW w:w="1474" w:type="dxa"/>
            <w:vAlign w:val="center"/>
          </w:tcPr>
          <w:p w14:paraId="7DD2D921">
            <w:pPr>
              <w:pStyle w:val="11"/>
            </w:pPr>
            <w:r>
              <w:t>5</w:t>
            </w:r>
          </w:p>
        </w:tc>
        <w:tc>
          <w:tcPr>
            <w:tcW w:w="1474" w:type="dxa"/>
            <w:vAlign w:val="center"/>
          </w:tcPr>
          <w:p w14:paraId="5C88A45D">
            <w:pPr>
              <w:pStyle w:val="11"/>
            </w:pPr>
            <w:r>
              <w:t>6</w:t>
            </w:r>
          </w:p>
        </w:tc>
        <w:tc>
          <w:tcPr>
            <w:tcW w:w="1474" w:type="dxa"/>
            <w:vAlign w:val="center"/>
          </w:tcPr>
          <w:p w14:paraId="375B4A39">
            <w:pPr>
              <w:pStyle w:val="11"/>
            </w:pPr>
            <w:r>
              <w:t>7</w:t>
            </w:r>
          </w:p>
        </w:tc>
      </w:tr>
      <w:tr w14:paraId="68040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CCF7C">
            <w:pPr>
              <w:pStyle w:val="12"/>
            </w:pPr>
            <w:r>
              <w:t>1</w:t>
            </w:r>
          </w:p>
        </w:tc>
        <w:tc>
          <w:tcPr>
            <w:tcW w:w="3402" w:type="dxa"/>
            <w:vAlign w:val="center"/>
          </w:tcPr>
          <w:p w14:paraId="10C27A63">
            <w:pPr>
              <w:pStyle w:val="13"/>
            </w:pPr>
            <w:r>
              <w:t>一、一般公共预算拨款</w:t>
            </w:r>
          </w:p>
        </w:tc>
        <w:tc>
          <w:tcPr>
            <w:tcW w:w="1474" w:type="dxa"/>
            <w:vAlign w:val="center"/>
          </w:tcPr>
          <w:p w14:paraId="257E3AA5">
            <w:pPr>
              <w:pStyle w:val="14"/>
            </w:pPr>
            <w:r>
              <w:t>2784.32</w:t>
            </w:r>
          </w:p>
        </w:tc>
        <w:tc>
          <w:tcPr>
            <w:tcW w:w="3402" w:type="dxa"/>
            <w:vAlign w:val="center"/>
          </w:tcPr>
          <w:p w14:paraId="2F3EBB3A">
            <w:pPr>
              <w:pStyle w:val="13"/>
            </w:pPr>
            <w:r>
              <w:t>一、一般公共服务支出</w:t>
            </w:r>
          </w:p>
        </w:tc>
        <w:tc>
          <w:tcPr>
            <w:tcW w:w="1474" w:type="dxa"/>
            <w:vAlign w:val="center"/>
          </w:tcPr>
          <w:p w14:paraId="3A4F2590">
            <w:pPr>
              <w:pStyle w:val="14"/>
            </w:pPr>
          </w:p>
        </w:tc>
        <w:tc>
          <w:tcPr>
            <w:tcW w:w="1474" w:type="dxa"/>
            <w:vAlign w:val="center"/>
          </w:tcPr>
          <w:p w14:paraId="1764CC2F">
            <w:pPr>
              <w:pStyle w:val="14"/>
            </w:pPr>
          </w:p>
        </w:tc>
        <w:tc>
          <w:tcPr>
            <w:tcW w:w="1474" w:type="dxa"/>
            <w:vAlign w:val="center"/>
          </w:tcPr>
          <w:p w14:paraId="7E305CEB">
            <w:pPr>
              <w:pStyle w:val="14"/>
            </w:pPr>
          </w:p>
        </w:tc>
        <w:tc>
          <w:tcPr>
            <w:tcW w:w="1474" w:type="dxa"/>
            <w:vAlign w:val="center"/>
          </w:tcPr>
          <w:p w14:paraId="28F455FF">
            <w:pPr>
              <w:pStyle w:val="14"/>
            </w:pPr>
          </w:p>
        </w:tc>
      </w:tr>
      <w:tr w14:paraId="24544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B7FC4">
            <w:pPr>
              <w:pStyle w:val="12"/>
            </w:pPr>
            <w:r>
              <w:t>2</w:t>
            </w:r>
          </w:p>
        </w:tc>
        <w:tc>
          <w:tcPr>
            <w:tcW w:w="3402" w:type="dxa"/>
            <w:vAlign w:val="center"/>
          </w:tcPr>
          <w:p w14:paraId="489C1497">
            <w:pPr>
              <w:pStyle w:val="13"/>
            </w:pPr>
            <w:r>
              <w:t>二、政府性基金预算拨款</w:t>
            </w:r>
          </w:p>
        </w:tc>
        <w:tc>
          <w:tcPr>
            <w:tcW w:w="1474" w:type="dxa"/>
            <w:vAlign w:val="center"/>
          </w:tcPr>
          <w:p w14:paraId="7524F693">
            <w:pPr>
              <w:pStyle w:val="14"/>
            </w:pPr>
          </w:p>
        </w:tc>
        <w:tc>
          <w:tcPr>
            <w:tcW w:w="3402" w:type="dxa"/>
            <w:vAlign w:val="center"/>
          </w:tcPr>
          <w:p w14:paraId="0C8D6CCF">
            <w:pPr>
              <w:pStyle w:val="13"/>
            </w:pPr>
            <w:r>
              <w:t>二、外交支出</w:t>
            </w:r>
          </w:p>
        </w:tc>
        <w:tc>
          <w:tcPr>
            <w:tcW w:w="1474" w:type="dxa"/>
            <w:vAlign w:val="center"/>
          </w:tcPr>
          <w:p w14:paraId="2047539B">
            <w:pPr>
              <w:pStyle w:val="14"/>
            </w:pPr>
          </w:p>
        </w:tc>
        <w:tc>
          <w:tcPr>
            <w:tcW w:w="1474" w:type="dxa"/>
            <w:vAlign w:val="center"/>
          </w:tcPr>
          <w:p w14:paraId="133C0396">
            <w:pPr>
              <w:pStyle w:val="14"/>
            </w:pPr>
          </w:p>
        </w:tc>
        <w:tc>
          <w:tcPr>
            <w:tcW w:w="1474" w:type="dxa"/>
            <w:vAlign w:val="center"/>
          </w:tcPr>
          <w:p w14:paraId="7DAF3D98">
            <w:pPr>
              <w:pStyle w:val="14"/>
            </w:pPr>
          </w:p>
        </w:tc>
        <w:tc>
          <w:tcPr>
            <w:tcW w:w="1474" w:type="dxa"/>
            <w:vAlign w:val="center"/>
          </w:tcPr>
          <w:p w14:paraId="404FF5AE">
            <w:pPr>
              <w:pStyle w:val="14"/>
            </w:pPr>
          </w:p>
        </w:tc>
      </w:tr>
      <w:tr w14:paraId="791E4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EF649">
            <w:pPr>
              <w:pStyle w:val="12"/>
            </w:pPr>
            <w:r>
              <w:t>3</w:t>
            </w:r>
          </w:p>
        </w:tc>
        <w:tc>
          <w:tcPr>
            <w:tcW w:w="3402" w:type="dxa"/>
            <w:vAlign w:val="center"/>
          </w:tcPr>
          <w:p w14:paraId="7454B31E">
            <w:pPr>
              <w:pStyle w:val="13"/>
            </w:pPr>
            <w:r>
              <w:t>三、国有资本经营预算拨款</w:t>
            </w:r>
          </w:p>
        </w:tc>
        <w:tc>
          <w:tcPr>
            <w:tcW w:w="1474" w:type="dxa"/>
            <w:vAlign w:val="center"/>
          </w:tcPr>
          <w:p w14:paraId="29706523">
            <w:pPr>
              <w:pStyle w:val="14"/>
            </w:pPr>
          </w:p>
        </w:tc>
        <w:tc>
          <w:tcPr>
            <w:tcW w:w="3402" w:type="dxa"/>
            <w:vAlign w:val="center"/>
          </w:tcPr>
          <w:p w14:paraId="306343C2">
            <w:pPr>
              <w:pStyle w:val="13"/>
            </w:pPr>
            <w:r>
              <w:t>三、国防支出</w:t>
            </w:r>
          </w:p>
        </w:tc>
        <w:tc>
          <w:tcPr>
            <w:tcW w:w="1474" w:type="dxa"/>
            <w:vAlign w:val="center"/>
          </w:tcPr>
          <w:p w14:paraId="2DE23435">
            <w:pPr>
              <w:pStyle w:val="14"/>
            </w:pPr>
          </w:p>
        </w:tc>
        <w:tc>
          <w:tcPr>
            <w:tcW w:w="1474" w:type="dxa"/>
            <w:vAlign w:val="center"/>
          </w:tcPr>
          <w:p w14:paraId="7268799B">
            <w:pPr>
              <w:pStyle w:val="14"/>
            </w:pPr>
          </w:p>
        </w:tc>
        <w:tc>
          <w:tcPr>
            <w:tcW w:w="1474" w:type="dxa"/>
            <w:vAlign w:val="center"/>
          </w:tcPr>
          <w:p w14:paraId="3621DBD9">
            <w:pPr>
              <w:pStyle w:val="14"/>
            </w:pPr>
          </w:p>
        </w:tc>
        <w:tc>
          <w:tcPr>
            <w:tcW w:w="1474" w:type="dxa"/>
            <w:vAlign w:val="center"/>
          </w:tcPr>
          <w:p w14:paraId="61C1F5AD">
            <w:pPr>
              <w:pStyle w:val="14"/>
            </w:pPr>
          </w:p>
        </w:tc>
      </w:tr>
      <w:tr w14:paraId="0B58A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AEA69">
            <w:pPr>
              <w:pStyle w:val="12"/>
            </w:pPr>
            <w:r>
              <w:t>4</w:t>
            </w:r>
          </w:p>
        </w:tc>
        <w:tc>
          <w:tcPr>
            <w:tcW w:w="3402" w:type="dxa"/>
            <w:vAlign w:val="center"/>
          </w:tcPr>
          <w:p w14:paraId="208F2BCF">
            <w:pPr>
              <w:pStyle w:val="13"/>
            </w:pPr>
          </w:p>
        </w:tc>
        <w:tc>
          <w:tcPr>
            <w:tcW w:w="1474" w:type="dxa"/>
            <w:vAlign w:val="center"/>
          </w:tcPr>
          <w:p w14:paraId="2201E07E">
            <w:pPr>
              <w:pStyle w:val="14"/>
            </w:pPr>
          </w:p>
        </w:tc>
        <w:tc>
          <w:tcPr>
            <w:tcW w:w="3402" w:type="dxa"/>
            <w:vAlign w:val="center"/>
          </w:tcPr>
          <w:p w14:paraId="119E588A">
            <w:pPr>
              <w:pStyle w:val="13"/>
            </w:pPr>
            <w:r>
              <w:t>四、公共安全支出</w:t>
            </w:r>
          </w:p>
        </w:tc>
        <w:tc>
          <w:tcPr>
            <w:tcW w:w="1474" w:type="dxa"/>
            <w:vAlign w:val="center"/>
          </w:tcPr>
          <w:p w14:paraId="35095F6F">
            <w:pPr>
              <w:pStyle w:val="14"/>
            </w:pPr>
          </w:p>
        </w:tc>
        <w:tc>
          <w:tcPr>
            <w:tcW w:w="1474" w:type="dxa"/>
            <w:vAlign w:val="center"/>
          </w:tcPr>
          <w:p w14:paraId="62CB7728">
            <w:pPr>
              <w:pStyle w:val="14"/>
            </w:pPr>
          </w:p>
        </w:tc>
        <w:tc>
          <w:tcPr>
            <w:tcW w:w="1474" w:type="dxa"/>
            <w:vAlign w:val="center"/>
          </w:tcPr>
          <w:p w14:paraId="5C35F740">
            <w:pPr>
              <w:pStyle w:val="14"/>
            </w:pPr>
          </w:p>
        </w:tc>
        <w:tc>
          <w:tcPr>
            <w:tcW w:w="1474" w:type="dxa"/>
            <w:vAlign w:val="center"/>
          </w:tcPr>
          <w:p w14:paraId="02176C10">
            <w:pPr>
              <w:pStyle w:val="14"/>
            </w:pPr>
          </w:p>
        </w:tc>
      </w:tr>
      <w:tr w14:paraId="0A2C2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D6006">
            <w:pPr>
              <w:pStyle w:val="12"/>
            </w:pPr>
            <w:r>
              <w:t>5</w:t>
            </w:r>
          </w:p>
        </w:tc>
        <w:tc>
          <w:tcPr>
            <w:tcW w:w="3402" w:type="dxa"/>
            <w:vAlign w:val="center"/>
          </w:tcPr>
          <w:p w14:paraId="770C9FC8">
            <w:pPr>
              <w:pStyle w:val="13"/>
            </w:pPr>
          </w:p>
        </w:tc>
        <w:tc>
          <w:tcPr>
            <w:tcW w:w="1474" w:type="dxa"/>
            <w:vAlign w:val="center"/>
          </w:tcPr>
          <w:p w14:paraId="67AD1FAC">
            <w:pPr>
              <w:pStyle w:val="14"/>
            </w:pPr>
          </w:p>
        </w:tc>
        <w:tc>
          <w:tcPr>
            <w:tcW w:w="3402" w:type="dxa"/>
            <w:vAlign w:val="center"/>
          </w:tcPr>
          <w:p w14:paraId="5197E1A2">
            <w:pPr>
              <w:pStyle w:val="13"/>
            </w:pPr>
            <w:r>
              <w:t>五、教育支出</w:t>
            </w:r>
          </w:p>
        </w:tc>
        <w:tc>
          <w:tcPr>
            <w:tcW w:w="1474" w:type="dxa"/>
            <w:vAlign w:val="center"/>
          </w:tcPr>
          <w:p w14:paraId="57DB911D">
            <w:pPr>
              <w:pStyle w:val="14"/>
            </w:pPr>
            <w:r>
              <w:t>2813.26</w:t>
            </w:r>
          </w:p>
        </w:tc>
        <w:tc>
          <w:tcPr>
            <w:tcW w:w="1474" w:type="dxa"/>
            <w:vAlign w:val="center"/>
          </w:tcPr>
          <w:p w14:paraId="2EB57DD3">
            <w:pPr>
              <w:pStyle w:val="14"/>
            </w:pPr>
            <w:r>
              <w:t>2813.26</w:t>
            </w:r>
          </w:p>
        </w:tc>
        <w:tc>
          <w:tcPr>
            <w:tcW w:w="1474" w:type="dxa"/>
            <w:vAlign w:val="center"/>
          </w:tcPr>
          <w:p w14:paraId="0DCFEB17">
            <w:pPr>
              <w:pStyle w:val="14"/>
            </w:pPr>
          </w:p>
        </w:tc>
        <w:tc>
          <w:tcPr>
            <w:tcW w:w="1474" w:type="dxa"/>
            <w:vAlign w:val="center"/>
          </w:tcPr>
          <w:p w14:paraId="3C836436">
            <w:pPr>
              <w:pStyle w:val="14"/>
            </w:pPr>
          </w:p>
        </w:tc>
      </w:tr>
      <w:tr w14:paraId="26DDF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4E5E4">
            <w:pPr>
              <w:pStyle w:val="12"/>
            </w:pPr>
            <w:r>
              <w:t>6</w:t>
            </w:r>
          </w:p>
        </w:tc>
        <w:tc>
          <w:tcPr>
            <w:tcW w:w="3402" w:type="dxa"/>
            <w:vAlign w:val="center"/>
          </w:tcPr>
          <w:p w14:paraId="493344DC">
            <w:pPr>
              <w:pStyle w:val="13"/>
            </w:pPr>
          </w:p>
        </w:tc>
        <w:tc>
          <w:tcPr>
            <w:tcW w:w="1474" w:type="dxa"/>
            <w:vAlign w:val="center"/>
          </w:tcPr>
          <w:p w14:paraId="792ACF61">
            <w:pPr>
              <w:pStyle w:val="14"/>
            </w:pPr>
          </w:p>
        </w:tc>
        <w:tc>
          <w:tcPr>
            <w:tcW w:w="3402" w:type="dxa"/>
            <w:vAlign w:val="center"/>
          </w:tcPr>
          <w:p w14:paraId="3C67F029">
            <w:pPr>
              <w:pStyle w:val="13"/>
            </w:pPr>
            <w:r>
              <w:t>六、科学技术支出</w:t>
            </w:r>
          </w:p>
        </w:tc>
        <w:tc>
          <w:tcPr>
            <w:tcW w:w="1474" w:type="dxa"/>
            <w:vAlign w:val="center"/>
          </w:tcPr>
          <w:p w14:paraId="04D1574D">
            <w:pPr>
              <w:pStyle w:val="14"/>
            </w:pPr>
          </w:p>
        </w:tc>
        <w:tc>
          <w:tcPr>
            <w:tcW w:w="1474" w:type="dxa"/>
            <w:vAlign w:val="center"/>
          </w:tcPr>
          <w:p w14:paraId="705E04D6">
            <w:pPr>
              <w:pStyle w:val="14"/>
            </w:pPr>
          </w:p>
        </w:tc>
        <w:tc>
          <w:tcPr>
            <w:tcW w:w="1474" w:type="dxa"/>
            <w:vAlign w:val="center"/>
          </w:tcPr>
          <w:p w14:paraId="2EFC83C7">
            <w:pPr>
              <w:pStyle w:val="14"/>
            </w:pPr>
          </w:p>
        </w:tc>
        <w:tc>
          <w:tcPr>
            <w:tcW w:w="1474" w:type="dxa"/>
            <w:vAlign w:val="center"/>
          </w:tcPr>
          <w:p w14:paraId="48F9BAE1">
            <w:pPr>
              <w:pStyle w:val="14"/>
            </w:pPr>
          </w:p>
        </w:tc>
      </w:tr>
      <w:tr w14:paraId="74CE6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01D76">
            <w:pPr>
              <w:pStyle w:val="12"/>
            </w:pPr>
            <w:r>
              <w:t>7</w:t>
            </w:r>
          </w:p>
        </w:tc>
        <w:tc>
          <w:tcPr>
            <w:tcW w:w="3402" w:type="dxa"/>
            <w:vAlign w:val="center"/>
          </w:tcPr>
          <w:p w14:paraId="2B8A3376">
            <w:pPr>
              <w:pStyle w:val="13"/>
            </w:pPr>
          </w:p>
        </w:tc>
        <w:tc>
          <w:tcPr>
            <w:tcW w:w="1474" w:type="dxa"/>
            <w:vAlign w:val="center"/>
          </w:tcPr>
          <w:p w14:paraId="6355C836">
            <w:pPr>
              <w:pStyle w:val="14"/>
            </w:pPr>
          </w:p>
        </w:tc>
        <w:tc>
          <w:tcPr>
            <w:tcW w:w="3402" w:type="dxa"/>
            <w:vAlign w:val="center"/>
          </w:tcPr>
          <w:p w14:paraId="0A37B56C">
            <w:pPr>
              <w:pStyle w:val="13"/>
            </w:pPr>
            <w:r>
              <w:t>七、文化旅游体育与传媒支出</w:t>
            </w:r>
          </w:p>
        </w:tc>
        <w:tc>
          <w:tcPr>
            <w:tcW w:w="1474" w:type="dxa"/>
            <w:vAlign w:val="center"/>
          </w:tcPr>
          <w:p w14:paraId="58D2037E">
            <w:pPr>
              <w:pStyle w:val="14"/>
            </w:pPr>
          </w:p>
        </w:tc>
        <w:tc>
          <w:tcPr>
            <w:tcW w:w="1474" w:type="dxa"/>
            <w:vAlign w:val="center"/>
          </w:tcPr>
          <w:p w14:paraId="52D3C0FA">
            <w:pPr>
              <w:pStyle w:val="14"/>
            </w:pPr>
          </w:p>
        </w:tc>
        <w:tc>
          <w:tcPr>
            <w:tcW w:w="1474" w:type="dxa"/>
            <w:vAlign w:val="center"/>
          </w:tcPr>
          <w:p w14:paraId="18105D17">
            <w:pPr>
              <w:pStyle w:val="14"/>
            </w:pPr>
          </w:p>
        </w:tc>
        <w:tc>
          <w:tcPr>
            <w:tcW w:w="1474" w:type="dxa"/>
            <w:vAlign w:val="center"/>
          </w:tcPr>
          <w:p w14:paraId="2F866D81">
            <w:pPr>
              <w:pStyle w:val="14"/>
            </w:pPr>
          </w:p>
        </w:tc>
      </w:tr>
      <w:tr w14:paraId="722F1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902CF">
            <w:pPr>
              <w:pStyle w:val="12"/>
            </w:pPr>
            <w:r>
              <w:t>8</w:t>
            </w:r>
          </w:p>
        </w:tc>
        <w:tc>
          <w:tcPr>
            <w:tcW w:w="3402" w:type="dxa"/>
            <w:vAlign w:val="center"/>
          </w:tcPr>
          <w:p w14:paraId="76C45A50">
            <w:pPr>
              <w:pStyle w:val="13"/>
            </w:pPr>
          </w:p>
        </w:tc>
        <w:tc>
          <w:tcPr>
            <w:tcW w:w="1474" w:type="dxa"/>
            <w:vAlign w:val="center"/>
          </w:tcPr>
          <w:p w14:paraId="433A6C4A">
            <w:pPr>
              <w:pStyle w:val="14"/>
            </w:pPr>
          </w:p>
        </w:tc>
        <w:tc>
          <w:tcPr>
            <w:tcW w:w="3402" w:type="dxa"/>
            <w:vAlign w:val="center"/>
          </w:tcPr>
          <w:p w14:paraId="16539995">
            <w:pPr>
              <w:pStyle w:val="13"/>
            </w:pPr>
            <w:r>
              <w:t>八、社会保障和就业支出</w:t>
            </w:r>
          </w:p>
        </w:tc>
        <w:tc>
          <w:tcPr>
            <w:tcW w:w="1474" w:type="dxa"/>
            <w:vAlign w:val="center"/>
          </w:tcPr>
          <w:p w14:paraId="107EC417">
            <w:pPr>
              <w:pStyle w:val="14"/>
            </w:pPr>
          </w:p>
        </w:tc>
        <w:tc>
          <w:tcPr>
            <w:tcW w:w="1474" w:type="dxa"/>
            <w:vAlign w:val="center"/>
          </w:tcPr>
          <w:p w14:paraId="71357B42">
            <w:pPr>
              <w:pStyle w:val="14"/>
            </w:pPr>
          </w:p>
        </w:tc>
        <w:tc>
          <w:tcPr>
            <w:tcW w:w="1474" w:type="dxa"/>
            <w:vAlign w:val="center"/>
          </w:tcPr>
          <w:p w14:paraId="061271A3">
            <w:pPr>
              <w:pStyle w:val="14"/>
            </w:pPr>
          </w:p>
        </w:tc>
        <w:tc>
          <w:tcPr>
            <w:tcW w:w="1474" w:type="dxa"/>
            <w:vAlign w:val="center"/>
          </w:tcPr>
          <w:p w14:paraId="46DE0FD6">
            <w:pPr>
              <w:pStyle w:val="14"/>
            </w:pPr>
          </w:p>
        </w:tc>
      </w:tr>
      <w:tr w14:paraId="1B29E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19CDB">
            <w:pPr>
              <w:pStyle w:val="12"/>
            </w:pPr>
            <w:r>
              <w:t>9</w:t>
            </w:r>
          </w:p>
        </w:tc>
        <w:tc>
          <w:tcPr>
            <w:tcW w:w="3402" w:type="dxa"/>
            <w:vAlign w:val="center"/>
          </w:tcPr>
          <w:p w14:paraId="33CD6B91">
            <w:pPr>
              <w:pStyle w:val="13"/>
            </w:pPr>
          </w:p>
        </w:tc>
        <w:tc>
          <w:tcPr>
            <w:tcW w:w="1474" w:type="dxa"/>
            <w:vAlign w:val="center"/>
          </w:tcPr>
          <w:p w14:paraId="6072F81F">
            <w:pPr>
              <w:pStyle w:val="14"/>
            </w:pPr>
          </w:p>
        </w:tc>
        <w:tc>
          <w:tcPr>
            <w:tcW w:w="3402" w:type="dxa"/>
            <w:vAlign w:val="center"/>
          </w:tcPr>
          <w:p w14:paraId="7A8B1E1B">
            <w:pPr>
              <w:pStyle w:val="13"/>
            </w:pPr>
            <w:r>
              <w:t>九、社会保险基金支出</w:t>
            </w:r>
          </w:p>
        </w:tc>
        <w:tc>
          <w:tcPr>
            <w:tcW w:w="1474" w:type="dxa"/>
            <w:vAlign w:val="center"/>
          </w:tcPr>
          <w:p w14:paraId="37079EB4">
            <w:pPr>
              <w:pStyle w:val="14"/>
            </w:pPr>
          </w:p>
        </w:tc>
        <w:tc>
          <w:tcPr>
            <w:tcW w:w="1474" w:type="dxa"/>
            <w:vAlign w:val="center"/>
          </w:tcPr>
          <w:p w14:paraId="11AC0D42">
            <w:pPr>
              <w:pStyle w:val="14"/>
            </w:pPr>
          </w:p>
        </w:tc>
        <w:tc>
          <w:tcPr>
            <w:tcW w:w="1474" w:type="dxa"/>
            <w:vAlign w:val="center"/>
          </w:tcPr>
          <w:p w14:paraId="412CBC9D">
            <w:pPr>
              <w:pStyle w:val="14"/>
            </w:pPr>
          </w:p>
        </w:tc>
        <w:tc>
          <w:tcPr>
            <w:tcW w:w="1474" w:type="dxa"/>
            <w:vAlign w:val="center"/>
          </w:tcPr>
          <w:p w14:paraId="6E5DC362">
            <w:pPr>
              <w:pStyle w:val="14"/>
            </w:pPr>
          </w:p>
        </w:tc>
      </w:tr>
      <w:tr w14:paraId="5C978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D09B6">
            <w:pPr>
              <w:pStyle w:val="12"/>
            </w:pPr>
            <w:r>
              <w:t>10</w:t>
            </w:r>
          </w:p>
        </w:tc>
        <w:tc>
          <w:tcPr>
            <w:tcW w:w="3402" w:type="dxa"/>
            <w:vAlign w:val="center"/>
          </w:tcPr>
          <w:p w14:paraId="64378EF1">
            <w:pPr>
              <w:pStyle w:val="13"/>
            </w:pPr>
          </w:p>
        </w:tc>
        <w:tc>
          <w:tcPr>
            <w:tcW w:w="1474" w:type="dxa"/>
            <w:vAlign w:val="center"/>
          </w:tcPr>
          <w:p w14:paraId="41CA3315">
            <w:pPr>
              <w:pStyle w:val="14"/>
            </w:pPr>
          </w:p>
        </w:tc>
        <w:tc>
          <w:tcPr>
            <w:tcW w:w="3402" w:type="dxa"/>
            <w:vAlign w:val="center"/>
          </w:tcPr>
          <w:p w14:paraId="7A09FA2B">
            <w:pPr>
              <w:pStyle w:val="13"/>
            </w:pPr>
            <w:r>
              <w:t>十、卫生健康支出</w:t>
            </w:r>
          </w:p>
        </w:tc>
        <w:tc>
          <w:tcPr>
            <w:tcW w:w="1474" w:type="dxa"/>
            <w:vAlign w:val="center"/>
          </w:tcPr>
          <w:p w14:paraId="0794E271">
            <w:pPr>
              <w:pStyle w:val="14"/>
            </w:pPr>
          </w:p>
        </w:tc>
        <w:tc>
          <w:tcPr>
            <w:tcW w:w="1474" w:type="dxa"/>
            <w:vAlign w:val="center"/>
          </w:tcPr>
          <w:p w14:paraId="041A8468">
            <w:pPr>
              <w:pStyle w:val="14"/>
            </w:pPr>
          </w:p>
        </w:tc>
        <w:tc>
          <w:tcPr>
            <w:tcW w:w="1474" w:type="dxa"/>
            <w:vAlign w:val="center"/>
          </w:tcPr>
          <w:p w14:paraId="41C47298">
            <w:pPr>
              <w:pStyle w:val="14"/>
            </w:pPr>
          </w:p>
        </w:tc>
        <w:tc>
          <w:tcPr>
            <w:tcW w:w="1474" w:type="dxa"/>
            <w:vAlign w:val="center"/>
          </w:tcPr>
          <w:p w14:paraId="2E8BE6CB">
            <w:pPr>
              <w:pStyle w:val="14"/>
            </w:pPr>
          </w:p>
        </w:tc>
      </w:tr>
      <w:tr w14:paraId="2780C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3FC93">
            <w:pPr>
              <w:pStyle w:val="12"/>
            </w:pPr>
            <w:r>
              <w:t>11</w:t>
            </w:r>
          </w:p>
        </w:tc>
        <w:tc>
          <w:tcPr>
            <w:tcW w:w="3402" w:type="dxa"/>
            <w:vAlign w:val="center"/>
          </w:tcPr>
          <w:p w14:paraId="4BB62187">
            <w:pPr>
              <w:pStyle w:val="13"/>
            </w:pPr>
          </w:p>
        </w:tc>
        <w:tc>
          <w:tcPr>
            <w:tcW w:w="1474" w:type="dxa"/>
            <w:vAlign w:val="center"/>
          </w:tcPr>
          <w:p w14:paraId="797FEE6D">
            <w:pPr>
              <w:pStyle w:val="14"/>
            </w:pPr>
          </w:p>
        </w:tc>
        <w:tc>
          <w:tcPr>
            <w:tcW w:w="3402" w:type="dxa"/>
            <w:vAlign w:val="center"/>
          </w:tcPr>
          <w:p w14:paraId="18CC5D29">
            <w:pPr>
              <w:pStyle w:val="13"/>
            </w:pPr>
            <w:r>
              <w:t>十一、节能环保支出</w:t>
            </w:r>
          </w:p>
        </w:tc>
        <w:tc>
          <w:tcPr>
            <w:tcW w:w="1474" w:type="dxa"/>
            <w:vAlign w:val="center"/>
          </w:tcPr>
          <w:p w14:paraId="70FE06EF">
            <w:pPr>
              <w:pStyle w:val="14"/>
            </w:pPr>
          </w:p>
        </w:tc>
        <w:tc>
          <w:tcPr>
            <w:tcW w:w="1474" w:type="dxa"/>
            <w:vAlign w:val="center"/>
          </w:tcPr>
          <w:p w14:paraId="4AE7A4D8">
            <w:pPr>
              <w:pStyle w:val="14"/>
            </w:pPr>
          </w:p>
        </w:tc>
        <w:tc>
          <w:tcPr>
            <w:tcW w:w="1474" w:type="dxa"/>
            <w:vAlign w:val="center"/>
          </w:tcPr>
          <w:p w14:paraId="02A42C3F">
            <w:pPr>
              <w:pStyle w:val="14"/>
            </w:pPr>
          </w:p>
        </w:tc>
        <w:tc>
          <w:tcPr>
            <w:tcW w:w="1474" w:type="dxa"/>
            <w:vAlign w:val="center"/>
          </w:tcPr>
          <w:p w14:paraId="5BB2911D">
            <w:pPr>
              <w:pStyle w:val="14"/>
            </w:pPr>
          </w:p>
        </w:tc>
      </w:tr>
      <w:tr w14:paraId="3D0AB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D5A99">
            <w:pPr>
              <w:pStyle w:val="12"/>
            </w:pPr>
            <w:r>
              <w:t>12</w:t>
            </w:r>
          </w:p>
        </w:tc>
        <w:tc>
          <w:tcPr>
            <w:tcW w:w="3402" w:type="dxa"/>
            <w:vAlign w:val="center"/>
          </w:tcPr>
          <w:p w14:paraId="1C1238BA">
            <w:pPr>
              <w:pStyle w:val="13"/>
            </w:pPr>
          </w:p>
        </w:tc>
        <w:tc>
          <w:tcPr>
            <w:tcW w:w="1474" w:type="dxa"/>
            <w:vAlign w:val="center"/>
          </w:tcPr>
          <w:p w14:paraId="1AA433DB">
            <w:pPr>
              <w:pStyle w:val="14"/>
            </w:pPr>
          </w:p>
        </w:tc>
        <w:tc>
          <w:tcPr>
            <w:tcW w:w="3402" w:type="dxa"/>
            <w:vAlign w:val="center"/>
          </w:tcPr>
          <w:p w14:paraId="2286E63B">
            <w:pPr>
              <w:pStyle w:val="13"/>
            </w:pPr>
            <w:r>
              <w:t>十二、城乡社区支出</w:t>
            </w:r>
          </w:p>
        </w:tc>
        <w:tc>
          <w:tcPr>
            <w:tcW w:w="1474" w:type="dxa"/>
            <w:vAlign w:val="center"/>
          </w:tcPr>
          <w:p w14:paraId="56A98782">
            <w:pPr>
              <w:pStyle w:val="14"/>
            </w:pPr>
          </w:p>
        </w:tc>
        <w:tc>
          <w:tcPr>
            <w:tcW w:w="1474" w:type="dxa"/>
            <w:vAlign w:val="center"/>
          </w:tcPr>
          <w:p w14:paraId="40AD3F89">
            <w:pPr>
              <w:pStyle w:val="14"/>
            </w:pPr>
          </w:p>
        </w:tc>
        <w:tc>
          <w:tcPr>
            <w:tcW w:w="1474" w:type="dxa"/>
            <w:vAlign w:val="center"/>
          </w:tcPr>
          <w:p w14:paraId="21DA3A4B">
            <w:pPr>
              <w:pStyle w:val="14"/>
            </w:pPr>
          </w:p>
        </w:tc>
        <w:tc>
          <w:tcPr>
            <w:tcW w:w="1474" w:type="dxa"/>
            <w:vAlign w:val="center"/>
          </w:tcPr>
          <w:p w14:paraId="6963D58E">
            <w:pPr>
              <w:pStyle w:val="14"/>
            </w:pPr>
          </w:p>
        </w:tc>
      </w:tr>
      <w:tr w14:paraId="221A0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7AA04">
            <w:pPr>
              <w:pStyle w:val="12"/>
            </w:pPr>
            <w:r>
              <w:t>13</w:t>
            </w:r>
          </w:p>
        </w:tc>
        <w:tc>
          <w:tcPr>
            <w:tcW w:w="3402" w:type="dxa"/>
            <w:vAlign w:val="center"/>
          </w:tcPr>
          <w:p w14:paraId="5301A0DA">
            <w:pPr>
              <w:pStyle w:val="13"/>
            </w:pPr>
          </w:p>
        </w:tc>
        <w:tc>
          <w:tcPr>
            <w:tcW w:w="1474" w:type="dxa"/>
            <w:vAlign w:val="center"/>
          </w:tcPr>
          <w:p w14:paraId="5D6FF74E">
            <w:pPr>
              <w:pStyle w:val="14"/>
            </w:pPr>
          </w:p>
        </w:tc>
        <w:tc>
          <w:tcPr>
            <w:tcW w:w="3402" w:type="dxa"/>
            <w:vAlign w:val="center"/>
          </w:tcPr>
          <w:p w14:paraId="0159E2B2">
            <w:pPr>
              <w:pStyle w:val="13"/>
            </w:pPr>
            <w:r>
              <w:t>十三、农林水支出</w:t>
            </w:r>
          </w:p>
        </w:tc>
        <w:tc>
          <w:tcPr>
            <w:tcW w:w="1474" w:type="dxa"/>
            <w:vAlign w:val="center"/>
          </w:tcPr>
          <w:p w14:paraId="02D1CCBD">
            <w:pPr>
              <w:pStyle w:val="14"/>
            </w:pPr>
          </w:p>
        </w:tc>
        <w:tc>
          <w:tcPr>
            <w:tcW w:w="1474" w:type="dxa"/>
            <w:vAlign w:val="center"/>
          </w:tcPr>
          <w:p w14:paraId="17148315">
            <w:pPr>
              <w:pStyle w:val="14"/>
            </w:pPr>
          </w:p>
        </w:tc>
        <w:tc>
          <w:tcPr>
            <w:tcW w:w="1474" w:type="dxa"/>
            <w:vAlign w:val="center"/>
          </w:tcPr>
          <w:p w14:paraId="5807F51E">
            <w:pPr>
              <w:pStyle w:val="14"/>
            </w:pPr>
          </w:p>
        </w:tc>
        <w:tc>
          <w:tcPr>
            <w:tcW w:w="1474" w:type="dxa"/>
            <w:vAlign w:val="center"/>
          </w:tcPr>
          <w:p w14:paraId="3851604D">
            <w:pPr>
              <w:pStyle w:val="14"/>
            </w:pPr>
          </w:p>
        </w:tc>
      </w:tr>
      <w:tr w14:paraId="71238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A0CE9">
            <w:pPr>
              <w:pStyle w:val="12"/>
            </w:pPr>
            <w:r>
              <w:t>14</w:t>
            </w:r>
          </w:p>
        </w:tc>
        <w:tc>
          <w:tcPr>
            <w:tcW w:w="3402" w:type="dxa"/>
            <w:vAlign w:val="center"/>
          </w:tcPr>
          <w:p w14:paraId="06327E2C">
            <w:pPr>
              <w:pStyle w:val="13"/>
            </w:pPr>
          </w:p>
        </w:tc>
        <w:tc>
          <w:tcPr>
            <w:tcW w:w="1474" w:type="dxa"/>
            <w:vAlign w:val="center"/>
          </w:tcPr>
          <w:p w14:paraId="661EF918">
            <w:pPr>
              <w:pStyle w:val="14"/>
            </w:pPr>
          </w:p>
        </w:tc>
        <w:tc>
          <w:tcPr>
            <w:tcW w:w="3402" w:type="dxa"/>
            <w:vAlign w:val="center"/>
          </w:tcPr>
          <w:p w14:paraId="78B60367">
            <w:pPr>
              <w:pStyle w:val="13"/>
            </w:pPr>
            <w:r>
              <w:t>十四、交通运输支出</w:t>
            </w:r>
          </w:p>
        </w:tc>
        <w:tc>
          <w:tcPr>
            <w:tcW w:w="1474" w:type="dxa"/>
            <w:vAlign w:val="center"/>
          </w:tcPr>
          <w:p w14:paraId="706CCF83">
            <w:pPr>
              <w:pStyle w:val="14"/>
            </w:pPr>
          </w:p>
        </w:tc>
        <w:tc>
          <w:tcPr>
            <w:tcW w:w="1474" w:type="dxa"/>
            <w:vAlign w:val="center"/>
          </w:tcPr>
          <w:p w14:paraId="69060D0D">
            <w:pPr>
              <w:pStyle w:val="14"/>
            </w:pPr>
          </w:p>
        </w:tc>
        <w:tc>
          <w:tcPr>
            <w:tcW w:w="1474" w:type="dxa"/>
            <w:vAlign w:val="center"/>
          </w:tcPr>
          <w:p w14:paraId="4A0DB77C">
            <w:pPr>
              <w:pStyle w:val="14"/>
            </w:pPr>
          </w:p>
        </w:tc>
        <w:tc>
          <w:tcPr>
            <w:tcW w:w="1474" w:type="dxa"/>
            <w:vAlign w:val="center"/>
          </w:tcPr>
          <w:p w14:paraId="1C41D2CE">
            <w:pPr>
              <w:pStyle w:val="14"/>
            </w:pPr>
          </w:p>
        </w:tc>
      </w:tr>
      <w:tr w14:paraId="5A8FF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788E8">
            <w:pPr>
              <w:pStyle w:val="12"/>
            </w:pPr>
            <w:r>
              <w:t>15</w:t>
            </w:r>
          </w:p>
        </w:tc>
        <w:tc>
          <w:tcPr>
            <w:tcW w:w="3402" w:type="dxa"/>
            <w:vAlign w:val="center"/>
          </w:tcPr>
          <w:p w14:paraId="347F381F">
            <w:pPr>
              <w:pStyle w:val="13"/>
            </w:pPr>
          </w:p>
        </w:tc>
        <w:tc>
          <w:tcPr>
            <w:tcW w:w="1474" w:type="dxa"/>
            <w:vAlign w:val="center"/>
          </w:tcPr>
          <w:p w14:paraId="694372FB">
            <w:pPr>
              <w:pStyle w:val="14"/>
            </w:pPr>
          </w:p>
        </w:tc>
        <w:tc>
          <w:tcPr>
            <w:tcW w:w="3402" w:type="dxa"/>
            <w:vAlign w:val="center"/>
          </w:tcPr>
          <w:p w14:paraId="37A4F0DC">
            <w:pPr>
              <w:pStyle w:val="13"/>
            </w:pPr>
            <w:r>
              <w:t>十五、资源勘探工业信息等支出</w:t>
            </w:r>
          </w:p>
        </w:tc>
        <w:tc>
          <w:tcPr>
            <w:tcW w:w="1474" w:type="dxa"/>
            <w:vAlign w:val="center"/>
          </w:tcPr>
          <w:p w14:paraId="0E5E5EEE">
            <w:pPr>
              <w:pStyle w:val="14"/>
            </w:pPr>
          </w:p>
        </w:tc>
        <w:tc>
          <w:tcPr>
            <w:tcW w:w="1474" w:type="dxa"/>
            <w:vAlign w:val="center"/>
          </w:tcPr>
          <w:p w14:paraId="24A23623">
            <w:pPr>
              <w:pStyle w:val="14"/>
            </w:pPr>
          </w:p>
        </w:tc>
        <w:tc>
          <w:tcPr>
            <w:tcW w:w="1474" w:type="dxa"/>
            <w:vAlign w:val="center"/>
          </w:tcPr>
          <w:p w14:paraId="42EB906D">
            <w:pPr>
              <w:pStyle w:val="14"/>
            </w:pPr>
          </w:p>
        </w:tc>
        <w:tc>
          <w:tcPr>
            <w:tcW w:w="1474" w:type="dxa"/>
            <w:vAlign w:val="center"/>
          </w:tcPr>
          <w:p w14:paraId="47012A84">
            <w:pPr>
              <w:pStyle w:val="14"/>
            </w:pPr>
          </w:p>
        </w:tc>
      </w:tr>
      <w:tr w14:paraId="0C15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F7DB2">
            <w:pPr>
              <w:pStyle w:val="12"/>
            </w:pPr>
            <w:r>
              <w:t>16</w:t>
            </w:r>
          </w:p>
        </w:tc>
        <w:tc>
          <w:tcPr>
            <w:tcW w:w="3402" w:type="dxa"/>
            <w:vAlign w:val="center"/>
          </w:tcPr>
          <w:p w14:paraId="10ECEADE">
            <w:pPr>
              <w:pStyle w:val="13"/>
            </w:pPr>
          </w:p>
        </w:tc>
        <w:tc>
          <w:tcPr>
            <w:tcW w:w="1474" w:type="dxa"/>
            <w:vAlign w:val="center"/>
          </w:tcPr>
          <w:p w14:paraId="07B73DB0">
            <w:pPr>
              <w:pStyle w:val="14"/>
            </w:pPr>
          </w:p>
        </w:tc>
        <w:tc>
          <w:tcPr>
            <w:tcW w:w="3402" w:type="dxa"/>
            <w:vAlign w:val="center"/>
          </w:tcPr>
          <w:p w14:paraId="40FBE1E0">
            <w:pPr>
              <w:pStyle w:val="13"/>
            </w:pPr>
            <w:r>
              <w:t>十六、商业服务业等支出</w:t>
            </w:r>
          </w:p>
        </w:tc>
        <w:tc>
          <w:tcPr>
            <w:tcW w:w="1474" w:type="dxa"/>
            <w:vAlign w:val="center"/>
          </w:tcPr>
          <w:p w14:paraId="5E44737A">
            <w:pPr>
              <w:pStyle w:val="14"/>
            </w:pPr>
          </w:p>
        </w:tc>
        <w:tc>
          <w:tcPr>
            <w:tcW w:w="1474" w:type="dxa"/>
            <w:vAlign w:val="center"/>
          </w:tcPr>
          <w:p w14:paraId="24BEB71E">
            <w:pPr>
              <w:pStyle w:val="14"/>
            </w:pPr>
          </w:p>
        </w:tc>
        <w:tc>
          <w:tcPr>
            <w:tcW w:w="1474" w:type="dxa"/>
            <w:vAlign w:val="center"/>
          </w:tcPr>
          <w:p w14:paraId="699309D0">
            <w:pPr>
              <w:pStyle w:val="14"/>
            </w:pPr>
          </w:p>
        </w:tc>
        <w:tc>
          <w:tcPr>
            <w:tcW w:w="1474" w:type="dxa"/>
            <w:vAlign w:val="center"/>
          </w:tcPr>
          <w:p w14:paraId="47BB7DB6">
            <w:pPr>
              <w:pStyle w:val="14"/>
            </w:pPr>
          </w:p>
        </w:tc>
      </w:tr>
      <w:tr w14:paraId="6F208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5FCA1">
            <w:pPr>
              <w:pStyle w:val="12"/>
            </w:pPr>
            <w:r>
              <w:t>17</w:t>
            </w:r>
          </w:p>
        </w:tc>
        <w:tc>
          <w:tcPr>
            <w:tcW w:w="3402" w:type="dxa"/>
            <w:vAlign w:val="center"/>
          </w:tcPr>
          <w:p w14:paraId="73463262">
            <w:pPr>
              <w:pStyle w:val="13"/>
            </w:pPr>
          </w:p>
        </w:tc>
        <w:tc>
          <w:tcPr>
            <w:tcW w:w="1474" w:type="dxa"/>
            <w:vAlign w:val="center"/>
          </w:tcPr>
          <w:p w14:paraId="01E2173E">
            <w:pPr>
              <w:pStyle w:val="14"/>
            </w:pPr>
          </w:p>
        </w:tc>
        <w:tc>
          <w:tcPr>
            <w:tcW w:w="3402" w:type="dxa"/>
            <w:vAlign w:val="center"/>
          </w:tcPr>
          <w:p w14:paraId="5925F02B">
            <w:pPr>
              <w:pStyle w:val="13"/>
            </w:pPr>
            <w:r>
              <w:t>十七、金融支出</w:t>
            </w:r>
          </w:p>
        </w:tc>
        <w:tc>
          <w:tcPr>
            <w:tcW w:w="1474" w:type="dxa"/>
            <w:vAlign w:val="center"/>
          </w:tcPr>
          <w:p w14:paraId="1AAAB5C4">
            <w:pPr>
              <w:pStyle w:val="14"/>
            </w:pPr>
          </w:p>
        </w:tc>
        <w:tc>
          <w:tcPr>
            <w:tcW w:w="1474" w:type="dxa"/>
            <w:vAlign w:val="center"/>
          </w:tcPr>
          <w:p w14:paraId="4E82D1AC">
            <w:pPr>
              <w:pStyle w:val="14"/>
            </w:pPr>
          </w:p>
        </w:tc>
        <w:tc>
          <w:tcPr>
            <w:tcW w:w="1474" w:type="dxa"/>
            <w:vAlign w:val="center"/>
          </w:tcPr>
          <w:p w14:paraId="2947D1BA">
            <w:pPr>
              <w:pStyle w:val="14"/>
            </w:pPr>
          </w:p>
        </w:tc>
        <w:tc>
          <w:tcPr>
            <w:tcW w:w="1474" w:type="dxa"/>
            <w:vAlign w:val="center"/>
          </w:tcPr>
          <w:p w14:paraId="373BF2E8">
            <w:pPr>
              <w:pStyle w:val="14"/>
            </w:pPr>
          </w:p>
        </w:tc>
      </w:tr>
      <w:tr w14:paraId="03481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05DFF">
            <w:pPr>
              <w:pStyle w:val="12"/>
            </w:pPr>
            <w:r>
              <w:t>18</w:t>
            </w:r>
          </w:p>
        </w:tc>
        <w:tc>
          <w:tcPr>
            <w:tcW w:w="3402" w:type="dxa"/>
            <w:vAlign w:val="center"/>
          </w:tcPr>
          <w:p w14:paraId="07AEA1E8">
            <w:pPr>
              <w:pStyle w:val="13"/>
            </w:pPr>
          </w:p>
        </w:tc>
        <w:tc>
          <w:tcPr>
            <w:tcW w:w="1474" w:type="dxa"/>
            <w:vAlign w:val="center"/>
          </w:tcPr>
          <w:p w14:paraId="0F2F2ED1">
            <w:pPr>
              <w:pStyle w:val="14"/>
            </w:pPr>
          </w:p>
        </w:tc>
        <w:tc>
          <w:tcPr>
            <w:tcW w:w="3402" w:type="dxa"/>
            <w:vAlign w:val="center"/>
          </w:tcPr>
          <w:p w14:paraId="492FEEEA">
            <w:pPr>
              <w:pStyle w:val="13"/>
            </w:pPr>
            <w:r>
              <w:t>十八、援助其他地区支出</w:t>
            </w:r>
          </w:p>
        </w:tc>
        <w:tc>
          <w:tcPr>
            <w:tcW w:w="1474" w:type="dxa"/>
            <w:vAlign w:val="center"/>
          </w:tcPr>
          <w:p w14:paraId="082D62B5">
            <w:pPr>
              <w:pStyle w:val="14"/>
            </w:pPr>
          </w:p>
        </w:tc>
        <w:tc>
          <w:tcPr>
            <w:tcW w:w="1474" w:type="dxa"/>
            <w:vAlign w:val="center"/>
          </w:tcPr>
          <w:p w14:paraId="5EDE5F1B">
            <w:pPr>
              <w:pStyle w:val="14"/>
            </w:pPr>
          </w:p>
        </w:tc>
        <w:tc>
          <w:tcPr>
            <w:tcW w:w="1474" w:type="dxa"/>
            <w:vAlign w:val="center"/>
          </w:tcPr>
          <w:p w14:paraId="699BDCBD">
            <w:pPr>
              <w:pStyle w:val="14"/>
            </w:pPr>
          </w:p>
        </w:tc>
        <w:tc>
          <w:tcPr>
            <w:tcW w:w="1474" w:type="dxa"/>
            <w:vAlign w:val="center"/>
          </w:tcPr>
          <w:p w14:paraId="51C17654">
            <w:pPr>
              <w:pStyle w:val="14"/>
            </w:pPr>
          </w:p>
        </w:tc>
      </w:tr>
      <w:tr w14:paraId="1B116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14275">
            <w:pPr>
              <w:pStyle w:val="12"/>
            </w:pPr>
            <w:r>
              <w:t>19</w:t>
            </w:r>
          </w:p>
        </w:tc>
        <w:tc>
          <w:tcPr>
            <w:tcW w:w="3402" w:type="dxa"/>
            <w:vAlign w:val="center"/>
          </w:tcPr>
          <w:p w14:paraId="2A0F60F0">
            <w:pPr>
              <w:pStyle w:val="13"/>
            </w:pPr>
          </w:p>
        </w:tc>
        <w:tc>
          <w:tcPr>
            <w:tcW w:w="1474" w:type="dxa"/>
            <w:vAlign w:val="center"/>
          </w:tcPr>
          <w:p w14:paraId="2A71E5D8">
            <w:pPr>
              <w:pStyle w:val="14"/>
            </w:pPr>
          </w:p>
        </w:tc>
        <w:tc>
          <w:tcPr>
            <w:tcW w:w="3402" w:type="dxa"/>
            <w:vAlign w:val="center"/>
          </w:tcPr>
          <w:p w14:paraId="34545610">
            <w:pPr>
              <w:pStyle w:val="13"/>
            </w:pPr>
            <w:r>
              <w:t>十九、自然资源海洋气象等支出</w:t>
            </w:r>
          </w:p>
        </w:tc>
        <w:tc>
          <w:tcPr>
            <w:tcW w:w="1474" w:type="dxa"/>
            <w:vAlign w:val="center"/>
          </w:tcPr>
          <w:p w14:paraId="6AC9A51E">
            <w:pPr>
              <w:pStyle w:val="14"/>
            </w:pPr>
          </w:p>
        </w:tc>
        <w:tc>
          <w:tcPr>
            <w:tcW w:w="1474" w:type="dxa"/>
            <w:vAlign w:val="center"/>
          </w:tcPr>
          <w:p w14:paraId="27BAB687">
            <w:pPr>
              <w:pStyle w:val="14"/>
            </w:pPr>
          </w:p>
        </w:tc>
        <w:tc>
          <w:tcPr>
            <w:tcW w:w="1474" w:type="dxa"/>
            <w:vAlign w:val="center"/>
          </w:tcPr>
          <w:p w14:paraId="411D0333">
            <w:pPr>
              <w:pStyle w:val="14"/>
            </w:pPr>
          </w:p>
        </w:tc>
        <w:tc>
          <w:tcPr>
            <w:tcW w:w="1474" w:type="dxa"/>
            <w:vAlign w:val="center"/>
          </w:tcPr>
          <w:p w14:paraId="0CC71D1A">
            <w:pPr>
              <w:pStyle w:val="14"/>
            </w:pPr>
          </w:p>
        </w:tc>
      </w:tr>
      <w:tr w14:paraId="61E0A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B4B50">
            <w:pPr>
              <w:pStyle w:val="12"/>
            </w:pPr>
            <w:r>
              <w:t>20</w:t>
            </w:r>
          </w:p>
        </w:tc>
        <w:tc>
          <w:tcPr>
            <w:tcW w:w="3402" w:type="dxa"/>
            <w:vAlign w:val="center"/>
          </w:tcPr>
          <w:p w14:paraId="0D6C5733">
            <w:pPr>
              <w:pStyle w:val="13"/>
            </w:pPr>
          </w:p>
        </w:tc>
        <w:tc>
          <w:tcPr>
            <w:tcW w:w="1474" w:type="dxa"/>
            <w:vAlign w:val="center"/>
          </w:tcPr>
          <w:p w14:paraId="252A4704">
            <w:pPr>
              <w:pStyle w:val="14"/>
            </w:pPr>
          </w:p>
        </w:tc>
        <w:tc>
          <w:tcPr>
            <w:tcW w:w="3402" w:type="dxa"/>
            <w:vAlign w:val="center"/>
          </w:tcPr>
          <w:p w14:paraId="0D7A7C64">
            <w:pPr>
              <w:pStyle w:val="13"/>
            </w:pPr>
            <w:r>
              <w:t>二十、住房保障支出</w:t>
            </w:r>
          </w:p>
        </w:tc>
        <w:tc>
          <w:tcPr>
            <w:tcW w:w="1474" w:type="dxa"/>
            <w:vAlign w:val="center"/>
          </w:tcPr>
          <w:p w14:paraId="11D0EB46">
            <w:pPr>
              <w:pStyle w:val="14"/>
            </w:pPr>
          </w:p>
        </w:tc>
        <w:tc>
          <w:tcPr>
            <w:tcW w:w="1474" w:type="dxa"/>
            <w:vAlign w:val="center"/>
          </w:tcPr>
          <w:p w14:paraId="3C30A41F">
            <w:pPr>
              <w:pStyle w:val="14"/>
            </w:pPr>
          </w:p>
        </w:tc>
        <w:tc>
          <w:tcPr>
            <w:tcW w:w="1474" w:type="dxa"/>
            <w:vAlign w:val="center"/>
          </w:tcPr>
          <w:p w14:paraId="2EBE8759">
            <w:pPr>
              <w:pStyle w:val="14"/>
            </w:pPr>
          </w:p>
        </w:tc>
        <w:tc>
          <w:tcPr>
            <w:tcW w:w="1474" w:type="dxa"/>
            <w:vAlign w:val="center"/>
          </w:tcPr>
          <w:p w14:paraId="4B9254F7">
            <w:pPr>
              <w:pStyle w:val="14"/>
            </w:pPr>
          </w:p>
        </w:tc>
      </w:tr>
      <w:tr w14:paraId="51859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CD6B9">
            <w:pPr>
              <w:pStyle w:val="12"/>
            </w:pPr>
            <w:r>
              <w:t>21</w:t>
            </w:r>
          </w:p>
        </w:tc>
        <w:tc>
          <w:tcPr>
            <w:tcW w:w="3402" w:type="dxa"/>
            <w:vAlign w:val="center"/>
          </w:tcPr>
          <w:p w14:paraId="10DDA05C">
            <w:pPr>
              <w:pStyle w:val="13"/>
            </w:pPr>
          </w:p>
        </w:tc>
        <w:tc>
          <w:tcPr>
            <w:tcW w:w="1474" w:type="dxa"/>
            <w:vAlign w:val="center"/>
          </w:tcPr>
          <w:p w14:paraId="0E3BA784">
            <w:pPr>
              <w:pStyle w:val="14"/>
            </w:pPr>
          </w:p>
        </w:tc>
        <w:tc>
          <w:tcPr>
            <w:tcW w:w="3402" w:type="dxa"/>
            <w:vAlign w:val="center"/>
          </w:tcPr>
          <w:p w14:paraId="6DC54105">
            <w:pPr>
              <w:pStyle w:val="13"/>
            </w:pPr>
            <w:r>
              <w:t>二十一、粮油物资储备支出</w:t>
            </w:r>
          </w:p>
        </w:tc>
        <w:tc>
          <w:tcPr>
            <w:tcW w:w="1474" w:type="dxa"/>
            <w:vAlign w:val="center"/>
          </w:tcPr>
          <w:p w14:paraId="57CB4ED4">
            <w:pPr>
              <w:pStyle w:val="14"/>
            </w:pPr>
          </w:p>
        </w:tc>
        <w:tc>
          <w:tcPr>
            <w:tcW w:w="1474" w:type="dxa"/>
            <w:vAlign w:val="center"/>
          </w:tcPr>
          <w:p w14:paraId="250A31F1">
            <w:pPr>
              <w:pStyle w:val="14"/>
            </w:pPr>
          </w:p>
        </w:tc>
        <w:tc>
          <w:tcPr>
            <w:tcW w:w="1474" w:type="dxa"/>
            <w:vAlign w:val="center"/>
          </w:tcPr>
          <w:p w14:paraId="20A170B9">
            <w:pPr>
              <w:pStyle w:val="14"/>
            </w:pPr>
          </w:p>
        </w:tc>
        <w:tc>
          <w:tcPr>
            <w:tcW w:w="1474" w:type="dxa"/>
            <w:vAlign w:val="center"/>
          </w:tcPr>
          <w:p w14:paraId="4FE28862">
            <w:pPr>
              <w:pStyle w:val="14"/>
            </w:pPr>
          </w:p>
        </w:tc>
      </w:tr>
      <w:tr w14:paraId="1D0EC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654A8">
            <w:pPr>
              <w:pStyle w:val="12"/>
            </w:pPr>
            <w:r>
              <w:t>22</w:t>
            </w:r>
          </w:p>
        </w:tc>
        <w:tc>
          <w:tcPr>
            <w:tcW w:w="3402" w:type="dxa"/>
            <w:vAlign w:val="center"/>
          </w:tcPr>
          <w:p w14:paraId="6DA9C53C">
            <w:pPr>
              <w:pStyle w:val="13"/>
            </w:pPr>
          </w:p>
        </w:tc>
        <w:tc>
          <w:tcPr>
            <w:tcW w:w="1474" w:type="dxa"/>
            <w:vAlign w:val="center"/>
          </w:tcPr>
          <w:p w14:paraId="0096724B">
            <w:pPr>
              <w:pStyle w:val="14"/>
            </w:pPr>
          </w:p>
        </w:tc>
        <w:tc>
          <w:tcPr>
            <w:tcW w:w="3402" w:type="dxa"/>
            <w:vAlign w:val="center"/>
          </w:tcPr>
          <w:p w14:paraId="028021A9">
            <w:pPr>
              <w:pStyle w:val="13"/>
            </w:pPr>
            <w:r>
              <w:t>二十二、国有资本经营预算支出</w:t>
            </w:r>
          </w:p>
        </w:tc>
        <w:tc>
          <w:tcPr>
            <w:tcW w:w="1474" w:type="dxa"/>
            <w:vAlign w:val="center"/>
          </w:tcPr>
          <w:p w14:paraId="1F3D7044">
            <w:pPr>
              <w:pStyle w:val="14"/>
            </w:pPr>
          </w:p>
        </w:tc>
        <w:tc>
          <w:tcPr>
            <w:tcW w:w="1474" w:type="dxa"/>
            <w:vAlign w:val="center"/>
          </w:tcPr>
          <w:p w14:paraId="6BBF9EF3">
            <w:pPr>
              <w:pStyle w:val="14"/>
            </w:pPr>
          </w:p>
        </w:tc>
        <w:tc>
          <w:tcPr>
            <w:tcW w:w="1474" w:type="dxa"/>
            <w:vAlign w:val="center"/>
          </w:tcPr>
          <w:p w14:paraId="3F71A131">
            <w:pPr>
              <w:pStyle w:val="14"/>
            </w:pPr>
          </w:p>
        </w:tc>
        <w:tc>
          <w:tcPr>
            <w:tcW w:w="1474" w:type="dxa"/>
            <w:vAlign w:val="center"/>
          </w:tcPr>
          <w:p w14:paraId="5858B167">
            <w:pPr>
              <w:pStyle w:val="14"/>
            </w:pPr>
          </w:p>
        </w:tc>
      </w:tr>
      <w:tr w14:paraId="00C03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6811A">
            <w:pPr>
              <w:pStyle w:val="12"/>
            </w:pPr>
            <w:r>
              <w:t>23</w:t>
            </w:r>
          </w:p>
        </w:tc>
        <w:tc>
          <w:tcPr>
            <w:tcW w:w="3402" w:type="dxa"/>
            <w:vAlign w:val="center"/>
          </w:tcPr>
          <w:p w14:paraId="3FFDFC40">
            <w:pPr>
              <w:pStyle w:val="13"/>
            </w:pPr>
          </w:p>
        </w:tc>
        <w:tc>
          <w:tcPr>
            <w:tcW w:w="1474" w:type="dxa"/>
            <w:vAlign w:val="center"/>
          </w:tcPr>
          <w:p w14:paraId="37C6D989">
            <w:pPr>
              <w:pStyle w:val="14"/>
            </w:pPr>
          </w:p>
        </w:tc>
        <w:tc>
          <w:tcPr>
            <w:tcW w:w="3402" w:type="dxa"/>
            <w:vAlign w:val="center"/>
          </w:tcPr>
          <w:p w14:paraId="697BD2D7">
            <w:pPr>
              <w:pStyle w:val="13"/>
            </w:pPr>
            <w:r>
              <w:t>二十三、灾害防治及应急管理支出</w:t>
            </w:r>
          </w:p>
        </w:tc>
        <w:tc>
          <w:tcPr>
            <w:tcW w:w="1474" w:type="dxa"/>
            <w:vAlign w:val="center"/>
          </w:tcPr>
          <w:p w14:paraId="514C4938">
            <w:pPr>
              <w:pStyle w:val="14"/>
            </w:pPr>
          </w:p>
        </w:tc>
        <w:tc>
          <w:tcPr>
            <w:tcW w:w="1474" w:type="dxa"/>
            <w:vAlign w:val="center"/>
          </w:tcPr>
          <w:p w14:paraId="39D282D5">
            <w:pPr>
              <w:pStyle w:val="14"/>
            </w:pPr>
          </w:p>
        </w:tc>
        <w:tc>
          <w:tcPr>
            <w:tcW w:w="1474" w:type="dxa"/>
            <w:vAlign w:val="center"/>
          </w:tcPr>
          <w:p w14:paraId="095FF399">
            <w:pPr>
              <w:pStyle w:val="14"/>
            </w:pPr>
          </w:p>
        </w:tc>
        <w:tc>
          <w:tcPr>
            <w:tcW w:w="1474" w:type="dxa"/>
            <w:vAlign w:val="center"/>
          </w:tcPr>
          <w:p w14:paraId="7B409703">
            <w:pPr>
              <w:pStyle w:val="14"/>
            </w:pPr>
          </w:p>
        </w:tc>
      </w:tr>
      <w:tr w14:paraId="4CC96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43DC0">
            <w:pPr>
              <w:pStyle w:val="12"/>
            </w:pPr>
            <w:r>
              <w:t>24</w:t>
            </w:r>
          </w:p>
        </w:tc>
        <w:tc>
          <w:tcPr>
            <w:tcW w:w="3402" w:type="dxa"/>
            <w:vAlign w:val="center"/>
          </w:tcPr>
          <w:p w14:paraId="1E4132F2">
            <w:pPr>
              <w:pStyle w:val="13"/>
            </w:pPr>
          </w:p>
        </w:tc>
        <w:tc>
          <w:tcPr>
            <w:tcW w:w="1474" w:type="dxa"/>
            <w:vAlign w:val="center"/>
          </w:tcPr>
          <w:p w14:paraId="37584D40">
            <w:pPr>
              <w:pStyle w:val="14"/>
            </w:pPr>
          </w:p>
        </w:tc>
        <w:tc>
          <w:tcPr>
            <w:tcW w:w="3402" w:type="dxa"/>
            <w:vAlign w:val="center"/>
          </w:tcPr>
          <w:p w14:paraId="1A8F64B9">
            <w:pPr>
              <w:pStyle w:val="13"/>
            </w:pPr>
            <w:r>
              <w:t>二十四、预备费</w:t>
            </w:r>
          </w:p>
        </w:tc>
        <w:tc>
          <w:tcPr>
            <w:tcW w:w="1474" w:type="dxa"/>
            <w:vAlign w:val="center"/>
          </w:tcPr>
          <w:p w14:paraId="08E304CB">
            <w:pPr>
              <w:pStyle w:val="14"/>
            </w:pPr>
          </w:p>
        </w:tc>
        <w:tc>
          <w:tcPr>
            <w:tcW w:w="1474" w:type="dxa"/>
            <w:vAlign w:val="center"/>
          </w:tcPr>
          <w:p w14:paraId="258D4925">
            <w:pPr>
              <w:pStyle w:val="14"/>
            </w:pPr>
          </w:p>
        </w:tc>
        <w:tc>
          <w:tcPr>
            <w:tcW w:w="1474" w:type="dxa"/>
            <w:vAlign w:val="center"/>
          </w:tcPr>
          <w:p w14:paraId="124FEFEC">
            <w:pPr>
              <w:pStyle w:val="14"/>
            </w:pPr>
          </w:p>
        </w:tc>
        <w:tc>
          <w:tcPr>
            <w:tcW w:w="1474" w:type="dxa"/>
            <w:vAlign w:val="center"/>
          </w:tcPr>
          <w:p w14:paraId="62A2FDF7">
            <w:pPr>
              <w:pStyle w:val="14"/>
            </w:pPr>
          </w:p>
        </w:tc>
      </w:tr>
      <w:tr w14:paraId="76134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6456C">
            <w:pPr>
              <w:pStyle w:val="12"/>
            </w:pPr>
            <w:r>
              <w:t>25</w:t>
            </w:r>
          </w:p>
        </w:tc>
        <w:tc>
          <w:tcPr>
            <w:tcW w:w="3402" w:type="dxa"/>
            <w:vAlign w:val="center"/>
          </w:tcPr>
          <w:p w14:paraId="5A81B245">
            <w:pPr>
              <w:pStyle w:val="13"/>
            </w:pPr>
          </w:p>
        </w:tc>
        <w:tc>
          <w:tcPr>
            <w:tcW w:w="1474" w:type="dxa"/>
            <w:vAlign w:val="center"/>
          </w:tcPr>
          <w:p w14:paraId="2448020C">
            <w:pPr>
              <w:pStyle w:val="14"/>
            </w:pPr>
          </w:p>
        </w:tc>
        <w:tc>
          <w:tcPr>
            <w:tcW w:w="3402" w:type="dxa"/>
            <w:vAlign w:val="center"/>
          </w:tcPr>
          <w:p w14:paraId="0801BCF8">
            <w:pPr>
              <w:pStyle w:val="13"/>
            </w:pPr>
            <w:r>
              <w:t>二十五、其他支出</w:t>
            </w:r>
          </w:p>
        </w:tc>
        <w:tc>
          <w:tcPr>
            <w:tcW w:w="1474" w:type="dxa"/>
            <w:vAlign w:val="center"/>
          </w:tcPr>
          <w:p w14:paraId="12009E62">
            <w:pPr>
              <w:pStyle w:val="14"/>
            </w:pPr>
          </w:p>
        </w:tc>
        <w:tc>
          <w:tcPr>
            <w:tcW w:w="1474" w:type="dxa"/>
            <w:vAlign w:val="center"/>
          </w:tcPr>
          <w:p w14:paraId="5C1F34E8">
            <w:pPr>
              <w:pStyle w:val="14"/>
            </w:pPr>
          </w:p>
        </w:tc>
        <w:tc>
          <w:tcPr>
            <w:tcW w:w="1474" w:type="dxa"/>
            <w:vAlign w:val="center"/>
          </w:tcPr>
          <w:p w14:paraId="1B6211C6">
            <w:pPr>
              <w:pStyle w:val="14"/>
            </w:pPr>
          </w:p>
        </w:tc>
        <w:tc>
          <w:tcPr>
            <w:tcW w:w="1474" w:type="dxa"/>
            <w:vAlign w:val="center"/>
          </w:tcPr>
          <w:p w14:paraId="351BEE7F">
            <w:pPr>
              <w:pStyle w:val="14"/>
            </w:pPr>
          </w:p>
        </w:tc>
      </w:tr>
      <w:tr w14:paraId="5A6C9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AD296">
            <w:pPr>
              <w:pStyle w:val="12"/>
            </w:pPr>
            <w:r>
              <w:t>26</w:t>
            </w:r>
          </w:p>
        </w:tc>
        <w:tc>
          <w:tcPr>
            <w:tcW w:w="3402" w:type="dxa"/>
            <w:vAlign w:val="center"/>
          </w:tcPr>
          <w:p w14:paraId="38704115">
            <w:pPr>
              <w:pStyle w:val="13"/>
            </w:pPr>
          </w:p>
        </w:tc>
        <w:tc>
          <w:tcPr>
            <w:tcW w:w="1474" w:type="dxa"/>
            <w:vAlign w:val="center"/>
          </w:tcPr>
          <w:p w14:paraId="57602CE8">
            <w:pPr>
              <w:pStyle w:val="14"/>
            </w:pPr>
          </w:p>
        </w:tc>
        <w:tc>
          <w:tcPr>
            <w:tcW w:w="3402" w:type="dxa"/>
            <w:vAlign w:val="center"/>
          </w:tcPr>
          <w:p w14:paraId="670C8DE5">
            <w:pPr>
              <w:pStyle w:val="13"/>
            </w:pPr>
            <w:r>
              <w:t>二十六、转移性支出</w:t>
            </w:r>
          </w:p>
        </w:tc>
        <w:tc>
          <w:tcPr>
            <w:tcW w:w="1474" w:type="dxa"/>
            <w:vAlign w:val="center"/>
          </w:tcPr>
          <w:p w14:paraId="7683BB01">
            <w:pPr>
              <w:pStyle w:val="14"/>
            </w:pPr>
          </w:p>
        </w:tc>
        <w:tc>
          <w:tcPr>
            <w:tcW w:w="1474" w:type="dxa"/>
            <w:vAlign w:val="center"/>
          </w:tcPr>
          <w:p w14:paraId="38247D2F">
            <w:pPr>
              <w:pStyle w:val="14"/>
            </w:pPr>
          </w:p>
        </w:tc>
        <w:tc>
          <w:tcPr>
            <w:tcW w:w="1474" w:type="dxa"/>
            <w:vAlign w:val="center"/>
          </w:tcPr>
          <w:p w14:paraId="71BAB4BB">
            <w:pPr>
              <w:pStyle w:val="14"/>
            </w:pPr>
          </w:p>
        </w:tc>
        <w:tc>
          <w:tcPr>
            <w:tcW w:w="1474" w:type="dxa"/>
            <w:vAlign w:val="center"/>
          </w:tcPr>
          <w:p w14:paraId="112E1286">
            <w:pPr>
              <w:pStyle w:val="14"/>
            </w:pPr>
          </w:p>
        </w:tc>
      </w:tr>
      <w:tr w14:paraId="43A66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78F0D">
            <w:pPr>
              <w:pStyle w:val="12"/>
            </w:pPr>
            <w:r>
              <w:t>27</w:t>
            </w:r>
          </w:p>
        </w:tc>
        <w:tc>
          <w:tcPr>
            <w:tcW w:w="3402" w:type="dxa"/>
            <w:vAlign w:val="center"/>
          </w:tcPr>
          <w:p w14:paraId="4925B829">
            <w:pPr>
              <w:pStyle w:val="13"/>
            </w:pPr>
          </w:p>
        </w:tc>
        <w:tc>
          <w:tcPr>
            <w:tcW w:w="1474" w:type="dxa"/>
            <w:vAlign w:val="center"/>
          </w:tcPr>
          <w:p w14:paraId="44D288BA">
            <w:pPr>
              <w:pStyle w:val="14"/>
            </w:pPr>
          </w:p>
        </w:tc>
        <w:tc>
          <w:tcPr>
            <w:tcW w:w="3402" w:type="dxa"/>
            <w:vAlign w:val="center"/>
          </w:tcPr>
          <w:p w14:paraId="661557FD">
            <w:pPr>
              <w:pStyle w:val="13"/>
            </w:pPr>
            <w:r>
              <w:t>二十七、债务还本支出</w:t>
            </w:r>
          </w:p>
        </w:tc>
        <w:tc>
          <w:tcPr>
            <w:tcW w:w="1474" w:type="dxa"/>
            <w:vAlign w:val="center"/>
          </w:tcPr>
          <w:p w14:paraId="45F2DBA5">
            <w:pPr>
              <w:pStyle w:val="14"/>
            </w:pPr>
          </w:p>
        </w:tc>
        <w:tc>
          <w:tcPr>
            <w:tcW w:w="1474" w:type="dxa"/>
            <w:vAlign w:val="center"/>
          </w:tcPr>
          <w:p w14:paraId="73678A4A">
            <w:pPr>
              <w:pStyle w:val="14"/>
            </w:pPr>
          </w:p>
        </w:tc>
        <w:tc>
          <w:tcPr>
            <w:tcW w:w="1474" w:type="dxa"/>
            <w:vAlign w:val="center"/>
          </w:tcPr>
          <w:p w14:paraId="68C40F38">
            <w:pPr>
              <w:pStyle w:val="14"/>
            </w:pPr>
          </w:p>
        </w:tc>
        <w:tc>
          <w:tcPr>
            <w:tcW w:w="1474" w:type="dxa"/>
            <w:vAlign w:val="center"/>
          </w:tcPr>
          <w:p w14:paraId="3A832336">
            <w:pPr>
              <w:pStyle w:val="14"/>
            </w:pPr>
          </w:p>
        </w:tc>
      </w:tr>
      <w:tr w14:paraId="03F40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4F7EA">
            <w:pPr>
              <w:pStyle w:val="12"/>
            </w:pPr>
            <w:r>
              <w:t>28</w:t>
            </w:r>
          </w:p>
        </w:tc>
        <w:tc>
          <w:tcPr>
            <w:tcW w:w="3402" w:type="dxa"/>
            <w:vAlign w:val="center"/>
          </w:tcPr>
          <w:p w14:paraId="18745584">
            <w:pPr>
              <w:pStyle w:val="13"/>
            </w:pPr>
          </w:p>
        </w:tc>
        <w:tc>
          <w:tcPr>
            <w:tcW w:w="1474" w:type="dxa"/>
            <w:vAlign w:val="center"/>
          </w:tcPr>
          <w:p w14:paraId="1057F960">
            <w:pPr>
              <w:pStyle w:val="14"/>
            </w:pPr>
          </w:p>
        </w:tc>
        <w:tc>
          <w:tcPr>
            <w:tcW w:w="3402" w:type="dxa"/>
            <w:vAlign w:val="center"/>
          </w:tcPr>
          <w:p w14:paraId="6F459250">
            <w:pPr>
              <w:pStyle w:val="13"/>
            </w:pPr>
            <w:r>
              <w:t>二十八、债务付息支出</w:t>
            </w:r>
          </w:p>
        </w:tc>
        <w:tc>
          <w:tcPr>
            <w:tcW w:w="1474" w:type="dxa"/>
            <w:vAlign w:val="center"/>
          </w:tcPr>
          <w:p w14:paraId="693D9E15">
            <w:pPr>
              <w:pStyle w:val="14"/>
            </w:pPr>
          </w:p>
        </w:tc>
        <w:tc>
          <w:tcPr>
            <w:tcW w:w="1474" w:type="dxa"/>
            <w:vAlign w:val="center"/>
          </w:tcPr>
          <w:p w14:paraId="56CEAA82">
            <w:pPr>
              <w:pStyle w:val="14"/>
            </w:pPr>
          </w:p>
        </w:tc>
        <w:tc>
          <w:tcPr>
            <w:tcW w:w="1474" w:type="dxa"/>
            <w:vAlign w:val="center"/>
          </w:tcPr>
          <w:p w14:paraId="2E4AFB48">
            <w:pPr>
              <w:pStyle w:val="14"/>
            </w:pPr>
          </w:p>
        </w:tc>
        <w:tc>
          <w:tcPr>
            <w:tcW w:w="1474" w:type="dxa"/>
            <w:vAlign w:val="center"/>
          </w:tcPr>
          <w:p w14:paraId="54D9A64B">
            <w:pPr>
              <w:pStyle w:val="14"/>
            </w:pPr>
          </w:p>
        </w:tc>
      </w:tr>
      <w:tr w14:paraId="1ED2E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53D22">
            <w:pPr>
              <w:pStyle w:val="12"/>
            </w:pPr>
            <w:r>
              <w:t>29</w:t>
            </w:r>
          </w:p>
        </w:tc>
        <w:tc>
          <w:tcPr>
            <w:tcW w:w="3402" w:type="dxa"/>
            <w:vAlign w:val="center"/>
          </w:tcPr>
          <w:p w14:paraId="0C1CE1E5">
            <w:pPr>
              <w:pStyle w:val="13"/>
            </w:pPr>
          </w:p>
        </w:tc>
        <w:tc>
          <w:tcPr>
            <w:tcW w:w="1474" w:type="dxa"/>
            <w:vAlign w:val="center"/>
          </w:tcPr>
          <w:p w14:paraId="4E2A038C">
            <w:pPr>
              <w:pStyle w:val="14"/>
            </w:pPr>
          </w:p>
        </w:tc>
        <w:tc>
          <w:tcPr>
            <w:tcW w:w="3402" w:type="dxa"/>
            <w:vAlign w:val="center"/>
          </w:tcPr>
          <w:p w14:paraId="22A71858">
            <w:pPr>
              <w:pStyle w:val="13"/>
            </w:pPr>
            <w:r>
              <w:t>二十九、债务发行费用支出</w:t>
            </w:r>
          </w:p>
        </w:tc>
        <w:tc>
          <w:tcPr>
            <w:tcW w:w="1474" w:type="dxa"/>
            <w:vAlign w:val="center"/>
          </w:tcPr>
          <w:p w14:paraId="6F25FE94">
            <w:pPr>
              <w:pStyle w:val="14"/>
            </w:pPr>
          </w:p>
        </w:tc>
        <w:tc>
          <w:tcPr>
            <w:tcW w:w="1474" w:type="dxa"/>
            <w:vAlign w:val="center"/>
          </w:tcPr>
          <w:p w14:paraId="42D52F0D">
            <w:pPr>
              <w:pStyle w:val="14"/>
            </w:pPr>
          </w:p>
        </w:tc>
        <w:tc>
          <w:tcPr>
            <w:tcW w:w="1474" w:type="dxa"/>
            <w:vAlign w:val="center"/>
          </w:tcPr>
          <w:p w14:paraId="4A5C7DD8">
            <w:pPr>
              <w:pStyle w:val="14"/>
            </w:pPr>
          </w:p>
        </w:tc>
        <w:tc>
          <w:tcPr>
            <w:tcW w:w="1474" w:type="dxa"/>
            <w:vAlign w:val="center"/>
          </w:tcPr>
          <w:p w14:paraId="3F3B36E5">
            <w:pPr>
              <w:pStyle w:val="14"/>
            </w:pPr>
          </w:p>
        </w:tc>
      </w:tr>
      <w:tr w14:paraId="25D31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070D0">
            <w:pPr>
              <w:pStyle w:val="12"/>
            </w:pPr>
            <w:r>
              <w:t>30</w:t>
            </w:r>
          </w:p>
        </w:tc>
        <w:tc>
          <w:tcPr>
            <w:tcW w:w="3402" w:type="dxa"/>
            <w:vAlign w:val="center"/>
          </w:tcPr>
          <w:p w14:paraId="1D1C8077">
            <w:pPr>
              <w:pStyle w:val="13"/>
            </w:pPr>
          </w:p>
        </w:tc>
        <w:tc>
          <w:tcPr>
            <w:tcW w:w="1474" w:type="dxa"/>
            <w:vAlign w:val="center"/>
          </w:tcPr>
          <w:p w14:paraId="4B4C18E8">
            <w:pPr>
              <w:pStyle w:val="14"/>
            </w:pPr>
          </w:p>
        </w:tc>
        <w:tc>
          <w:tcPr>
            <w:tcW w:w="3402" w:type="dxa"/>
            <w:vAlign w:val="center"/>
          </w:tcPr>
          <w:p w14:paraId="6955A583">
            <w:pPr>
              <w:pStyle w:val="13"/>
            </w:pPr>
            <w:r>
              <w:t>三十、抗疫特别国债安排的支出</w:t>
            </w:r>
          </w:p>
        </w:tc>
        <w:tc>
          <w:tcPr>
            <w:tcW w:w="1474" w:type="dxa"/>
            <w:vAlign w:val="center"/>
          </w:tcPr>
          <w:p w14:paraId="3964DCEF">
            <w:pPr>
              <w:pStyle w:val="14"/>
            </w:pPr>
          </w:p>
        </w:tc>
        <w:tc>
          <w:tcPr>
            <w:tcW w:w="1474" w:type="dxa"/>
            <w:vAlign w:val="center"/>
          </w:tcPr>
          <w:p w14:paraId="043EB884">
            <w:pPr>
              <w:pStyle w:val="14"/>
            </w:pPr>
          </w:p>
        </w:tc>
        <w:tc>
          <w:tcPr>
            <w:tcW w:w="1474" w:type="dxa"/>
            <w:vAlign w:val="center"/>
          </w:tcPr>
          <w:p w14:paraId="5C0CF86A">
            <w:pPr>
              <w:pStyle w:val="14"/>
            </w:pPr>
          </w:p>
        </w:tc>
        <w:tc>
          <w:tcPr>
            <w:tcW w:w="1474" w:type="dxa"/>
            <w:vAlign w:val="center"/>
          </w:tcPr>
          <w:p w14:paraId="78D56842">
            <w:pPr>
              <w:pStyle w:val="14"/>
            </w:pPr>
          </w:p>
        </w:tc>
      </w:tr>
      <w:tr w14:paraId="73C54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582B3">
            <w:pPr>
              <w:pStyle w:val="12"/>
            </w:pPr>
            <w:r>
              <w:t>31</w:t>
            </w:r>
          </w:p>
        </w:tc>
        <w:tc>
          <w:tcPr>
            <w:tcW w:w="3402" w:type="dxa"/>
            <w:vAlign w:val="center"/>
          </w:tcPr>
          <w:p w14:paraId="4412A0EF">
            <w:pPr>
              <w:pStyle w:val="13"/>
            </w:pPr>
          </w:p>
        </w:tc>
        <w:tc>
          <w:tcPr>
            <w:tcW w:w="1474" w:type="dxa"/>
            <w:vAlign w:val="center"/>
          </w:tcPr>
          <w:p w14:paraId="056E6258">
            <w:pPr>
              <w:pStyle w:val="14"/>
            </w:pPr>
          </w:p>
        </w:tc>
        <w:tc>
          <w:tcPr>
            <w:tcW w:w="3402" w:type="dxa"/>
            <w:vAlign w:val="center"/>
          </w:tcPr>
          <w:p w14:paraId="13DB8B9D">
            <w:pPr>
              <w:pStyle w:val="13"/>
            </w:pPr>
            <w:r>
              <w:t>三十一、人行科目</w:t>
            </w:r>
          </w:p>
        </w:tc>
        <w:tc>
          <w:tcPr>
            <w:tcW w:w="1474" w:type="dxa"/>
            <w:vAlign w:val="center"/>
          </w:tcPr>
          <w:p w14:paraId="0EB86B85">
            <w:pPr>
              <w:pStyle w:val="14"/>
            </w:pPr>
          </w:p>
        </w:tc>
        <w:tc>
          <w:tcPr>
            <w:tcW w:w="1474" w:type="dxa"/>
            <w:vAlign w:val="center"/>
          </w:tcPr>
          <w:p w14:paraId="6B18C127">
            <w:pPr>
              <w:pStyle w:val="14"/>
            </w:pPr>
          </w:p>
        </w:tc>
        <w:tc>
          <w:tcPr>
            <w:tcW w:w="1474" w:type="dxa"/>
            <w:vAlign w:val="center"/>
          </w:tcPr>
          <w:p w14:paraId="029BE732">
            <w:pPr>
              <w:pStyle w:val="14"/>
            </w:pPr>
          </w:p>
        </w:tc>
        <w:tc>
          <w:tcPr>
            <w:tcW w:w="1474" w:type="dxa"/>
            <w:vAlign w:val="center"/>
          </w:tcPr>
          <w:p w14:paraId="52707282">
            <w:pPr>
              <w:pStyle w:val="14"/>
            </w:pPr>
          </w:p>
        </w:tc>
      </w:tr>
      <w:tr w14:paraId="5859C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DD209">
            <w:pPr>
              <w:pStyle w:val="12"/>
            </w:pPr>
            <w:r>
              <w:t>32</w:t>
            </w:r>
          </w:p>
        </w:tc>
        <w:tc>
          <w:tcPr>
            <w:tcW w:w="3402" w:type="dxa"/>
            <w:vAlign w:val="center"/>
          </w:tcPr>
          <w:p w14:paraId="21E17156">
            <w:pPr>
              <w:pStyle w:val="15"/>
            </w:pPr>
            <w:r>
              <w:t>本年收入合计</w:t>
            </w:r>
          </w:p>
        </w:tc>
        <w:tc>
          <w:tcPr>
            <w:tcW w:w="1474" w:type="dxa"/>
            <w:vAlign w:val="center"/>
          </w:tcPr>
          <w:p w14:paraId="6D132142">
            <w:pPr>
              <w:pStyle w:val="16"/>
            </w:pPr>
            <w:r>
              <w:t>2784.32</w:t>
            </w:r>
          </w:p>
        </w:tc>
        <w:tc>
          <w:tcPr>
            <w:tcW w:w="3402" w:type="dxa"/>
            <w:vAlign w:val="center"/>
          </w:tcPr>
          <w:p w14:paraId="26D71F09">
            <w:pPr>
              <w:pStyle w:val="15"/>
            </w:pPr>
            <w:r>
              <w:t>本年支出合计</w:t>
            </w:r>
          </w:p>
        </w:tc>
        <w:tc>
          <w:tcPr>
            <w:tcW w:w="1474" w:type="dxa"/>
            <w:vAlign w:val="center"/>
          </w:tcPr>
          <w:p w14:paraId="0D9D668C">
            <w:pPr>
              <w:pStyle w:val="16"/>
            </w:pPr>
            <w:r>
              <w:t>2813.26</w:t>
            </w:r>
          </w:p>
        </w:tc>
        <w:tc>
          <w:tcPr>
            <w:tcW w:w="1474" w:type="dxa"/>
            <w:vAlign w:val="center"/>
          </w:tcPr>
          <w:p w14:paraId="385F559E">
            <w:pPr>
              <w:pStyle w:val="16"/>
            </w:pPr>
            <w:r>
              <w:t>2813.26</w:t>
            </w:r>
          </w:p>
        </w:tc>
        <w:tc>
          <w:tcPr>
            <w:tcW w:w="1474" w:type="dxa"/>
            <w:vAlign w:val="center"/>
          </w:tcPr>
          <w:p w14:paraId="57D2ACD0">
            <w:pPr>
              <w:pStyle w:val="16"/>
            </w:pPr>
          </w:p>
        </w:tc>
        <w:tc>
          <w:tcPr>
            <w:tcW w:w="1474" w:type="dxa"/>
            <w:vAlign w:val="center"/>
          </w:tcPr>
          <w:p w14:paraId="25F7762C">
            <w:pPr>
              <w:pStyle w:val="16"/>
            </w:pPr>
          </w:p>
        </w:tc>
      </w:tr>
      <w:tr w14:paraId="71547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9CCD2">
            <w:pPr>
              <w:pStyle w:val="12"/>
            </w:pPr>
            <w:r>
              <w:t>33</w:t>
            </w:r>
          </w:p>
        </w:tc>
        <w:tc>
          <w:tcPr>
            <w:tcW w:w="3402" w:type="dxa"/>
            <w:vAlign w:val="center"/>
          </w:tcPr>
          <w:p w14:paraId="5BE70BFA">
            <w:pPr>
              <w:pStyle w:val="13"/>
            </w:pPr>
            <w:r>
              <w:t>年初财政拨款结转和结余</w:t>
            </w:r>
          </w:p>
        </w:tc>
        <w:tc>
          <w:tcPr>
            <w:tcW w:w="1474" w:type="dxa"/>
            <w:vAlign w:val="center"/>
          </w:tcPr>
          <w:p w14:paraId="07C09D7D">
            <w:pPr>
              <w:pStyle w:val="14"/>
            </w:pPr>
            <w:r>
              <w:t>28.94</w:t>
            </w:r>
          </w:p>
        </w:tc>
        <w:tc>
          <w:tcPr>
            <w:tcW w:w="3402" w:type="dxa"/>
            <w:vAlign w:val="center"/>
          </w:tcPr>
          <w:p w14:paraId="12E219F3">
            <w:pPr>
              <w:pStyle w:val="13"/>
            </w:pPr>
            <w:r>
              <w:t>年末财政拨款结转和结余</w:t>
            </w:r>
          </w:p>
        </w:tc>
        <w:tc>
          <w:tcPr>
            <w:tcW w:w="1474" w:type="dxa"/>
            <w:vAlign w:val="center"/>
          </w:tcPr>
          <w:p w14:paraId="53C4B47B">
            <w:pPr>
              <w:pStyle w:val="14"/>
            </w:pPr>
          </w:p>
        </w:tc>
        <w:tc>
          <w:tcPr>
            <w:tcW w:w="1474" w:type="dxa"/>
            <w:vAlign w:val="center"/>
          </w:tcPr>
          <w:p w14:paraId="4B4D5265">
            <w:pPr>
              <w:pStyle w:val="14"/>
            </w:pPr>
          </w:p>
        </w:tc>
        <w:tc>
          <w:tcPr>
            <w:tcW w:w="1474" w:type="dxa"/>
            <w:vAlign w:val="center"/>
          </w:tcPr>
          <w:p w14:paraId="02610E3E">
            <w:pPr>
              <w:pStyle w:val="14"/>
            </w:pPr>
          </w:p>
        </w:tc>
        <w:tc>
          <w:tcPr>
            <w:tcW w:w="1474" w:type="dxa"/>
            <w:vAlign w:val="center"/>
          </w:tcPr>
          <w:p w14:paraId="08F433BF">
            <w:pPr>
              <w:pStyle w:val="14"/>
            </w:pPr>
          </w:p>
        </w:tc>
      </w:tr>
      <w:tr w14:paraId="64D4C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9AE72">
            <w:pPr>
              <w:pStyle w:val="12"/>
            </w:pPr>
            <w:r>
              <w:t>34</w:t>
            </w:r>
          </w:p>
        </w:tc>
        <w:tc>
          <w:tcPr>
            <w:tcW w:w="3402" w:type="dxa"/>
            <w:vAlign w:val="center"/>
          </w:tcPr>
          <w:p w14:paraId="6967C894">
            <w:pPr>
              <w:pStyle w:val="13"/>
            </w:pPr>
            <w:r>
              <w:t>一、一般公共预算拨款</w:t>
            </w:r>
          </w:p>
        </w:tc>
        <w:tc>
          <w:tcPr>
            <w:tcW w:w="1474" w:type="dxa"/>
            <w:vAlign w:val="center"/>
          </w:tcPr>
          <w:p w14:paraId="757B5246">
            <w:pPr>
              <w:pStyle w:val="14"/>
            </w:pPr>
            <w:r>
              <w:t>28.94</w:t>
            </w:r>
          </w:p>
        </w:tc>
        <w:tc>
          <w:tcPr>
            <w:tcW w:w="3402" w:type="dxa"/>
            <w:vAlign w:val="center"/>
          </w:tcPr>
          <w:p w14:paraId="1B529739">
            <w:pPr>
              <w:pStyle w:val="13"/>
            </w:pPr>
          </w:p>
        </w:tc>
        <w:tc>
          <w:tcPr>
            <w:tcW w:w="1474" w:type="dxa"/>
            <w:vAlign w:val="center"/>
          </w:tcPr>
          <w:p w14:paraId="7DE70774">
            <w:pPr>
              <w:pStyle w:val="14"/>
            </w:pPr>
          </w:p>
        </w:tc>
        <w:tc>
          <w:tcPr>
            <w:tcW w:w="1474" w:type="dxa"/>
            <w:vAlign w:val="center"/>
          </w:tcPr>
          <w:p w14:paraId="07D6BCAD">
            <w:pPr>
              <w:pStyle w:val="14"/>
            </w:pPr>
          </w:p>
        </w:tc>
        <w:tc>
          <w:tcPr>
            <w:tcW w:w="1474" w:type="dxa"/>
            <w:vAlign w:val="center"/>
          </w:tcPr>
          <w:p w14:paraId="25481636">
            <w:pPr>
              <w:pStyle w:val="14"/>
            </w:pPr>
          </w:p>
        </w:tc>
        <w:tc>
          <w:tcPr>
            <w:tcW w:w="1474" w:type="dxa"/>
            <w:vAlign w:val="center"/>
          </w:tcPr>
          <w:p w14:paraId="40968219">
            <w:pPr>
              <w:pStyle w:val="14"/>
            </w:pPr>
          </w:p>
        </w:tc>
      </w:tr>
      <w:tr w14:paraId="28789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2A0D8">
            <w:pPr>
              <w:pStyle w:val="12"/>
            </w:pPr>
            <w:r>
              <w:t>35</w:t>
            </w:r>
          </w:p>
        </w:tc>
        <w:tc>
          <w:tcPr>
            <w:tcW w:w="3402" w:type="dxa"/>
            <w:vAlign w:val="center"/>
          </w:tcPr>
          <w:p w14:paraId="593A2F7E">
            <w:pPr>
              <w:pStyle w:val="13"/>
            </w:pPr>
            <w:r>
              <w:t>二、政府性基金预算拨款</w:t>
            </w:r>
          </w:p>
        </w:tc>
        <w:tc>
          <w:tcPr>
            <w:tcW w:w="1474" w:type="dxa"/>
            <w:vAlign w:val="center"/>
          </w:tcPr>
          <w:p w14:paraId="2D690C48">
            <w:pPr>
              <w:pStyle w:val="14"/>
            </w:pPr>
          </w:p>
        </w:tc>
        <w:tc>
          <w:tcPr>
            <w:tcW w:w="3402" w:type="dxa"/>
            <w:vAlign w:val="center"/>
          </w:tcPr>
          <w:p w14:paraId="10E2DB69">
            <w:pPr>
              <w:pStyle w:val="13"/>
            </w:pPr>
          </w:p>
        </w:tc>
        <w:tc>
          <w:tcPr>
            <w:tcW w:w="1474" w:type="dxa"/>
            <w:vAlign w:val="center"/>
          </w:tcPr>
          <w:p w14:paraId="66756162">
            <w:pPr>
              <w:pStyle w:val="14"/>
            </w:pPr>
          </w:p>
        </w:tc>
        <w:tc>
          <w:tcPr>
            <w:tcW w:w="1474" w:type="dxa"/>
            <w:vAlign w:val="center"/>
          </w:tcPr>
          <w:p w14:paraId="049C0D54">
            <w:pPr>
              <w:pStyle w:val="14"/>
            </w:pPr>
          </w:p>
        </w:tc>
        <w:tc>
          <w:tcPr>
            <w:tcW w:w="1474" w:type="dxa"/>
            <w:vAlign w:val="center"/>
          </w:tcPr>
          <w:p w14:paraId="29B71D88">
            <w:pPr>
              <w:pStyle w:val="14"/>
            </w:pPr>
          </w:p>
        </w:tc>
        <w:tc>
          <w:tcPr>
            <w:tcW w:w="1474" w:type="dxa"/>
            <w:vAlign w:val="center"/>
          </w:tcPr>
          <w:p w14:paraId="19FB24EB">
            <w:pPr>
              <w:pStyle w:val="14"/>
            </w:pPr>
          </w:p>
        </w:tc>
      </w:tr>
      <w:tr w14:paraId="547F4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746DC">
            <w:pPr>
              <w:pStyle w:val="12"/>
            </w:pPr>
            <w:r>
              <w:t>36</w:t>
            </w:r>
          </w:p>
        </w:tc>
        <w:tc>
          <w:tcPr>
            <w:tcW w:w="3402" w:type="dxa"/>
            <w:vAlign w:val="center"/>
          </w:tcPr>
          <w:p w14:paraId="3CE6A557">
            <w:pPr>
              <w:pStyle w:val="13"/>
            </w:pPr>
            <w:r>
              <w:t>三、国有资本经营预算拨款</w:t>
            </w:r>
          </w:p>
        </w:tc>
        <w:tc>
          <w:tcPr>
            <w:tcW w:w="1474" w:type="dxa"/>
            <w:vAlign w:val="center"/>
          </w:tcPr>
          <w:p w14:paraId="24554073">
            <w:pPr>
              <w:pStyle w:val="14"/>
            </w:pPr>
          </w:p>
        </w:tc>
        <w:tc>
          <w:tcPr>
            <w:tcW w:w="3402" w:type="dxa"/>
            <w:vAlign w:val="center"/>
          </w:tcPr>
          <w:p w14:paraId="7EC831E4">
            <w:pPr>
              <w:pStyle w:val="13"/>
            </w:pPr>
          </w:p>
        </w:tc>
        <w:tc>
          <w:tcPr>
            <w:tcW w:w="1474" w:type="dxa"/>
            <w:vAlign w:val="center"/>
          </w:tcPr>
          <w:p w14:paraId="75F308A1">
            <w:pPr>
              <w:pStyle w:val="14"/>
            </w:pPr>
          </w:p>
        </w:tc>
        <w:tc>
          <w:tcPr>
            <w:tcW w:w="1474" w:type="dxa"/>
            <w:vAlign w:val="center"/>
          </w:tcPr>
          <w:p w14:paraId="457E96A5">
            <w:pPr>
              <w:pStyle w:val="14"/>
            </w:pPr>
          </w:p>
        </w:tc>
        <w:tc>
          <w:tcPr>
            <w:tcW w:w="1474" w:type="dxa"/>
            <w:vAlign w:val="center"/>
          </w:tcPr>
          <w:p w14:paraId="0F3D2DCF">
            <w:pPr>
              <w:pStyle w:val="14"/>
            </w:pPr>
          </w:p>
        </w:tc>
        <w:tc>
          <w:tcPr>
            <w:tcW w:w="1474" w:type="dxa"/>
            <w:vAlign w:val="center"/>
          </w:tcPr>
          <w:p w14:paraId="4834C050">
            <w:pPr>
              <w:pStyle w:val="14"/>
            </w:pPr>
          </w:p>
        </w:tc>
      </w:tr>
      <w:tr w14:paraId="2E121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DCE30">
            <w:pPr>
              <w:pStyle w:val="12"/>
            </w:pPr>
            <w:r>
              <w:t>37</w:t>
            </w:r>
          </w:p>
        </w:tc>
        <w:tc>
          <w:tcPr>
            <w:tcW w:w="3402" w:type="dxa"/>
            <w:vAlign w:val="center"/>
          </w:tcPr>
          <w:p w14:paraId="0DFE752C">
            <w:pPr>
              <w:pStyle w:val="15"/>
            </w:pPr>
            <w:r>
              <w:t>收入总计</w:t>
            </w:r>
          </w:p>
        </w:tc>
        <w:tc>
          <w:tcPr>
            <w:tcW w:w="1474" w:type="dxa"/>
            <w:vAlign w:val="center"/>
          </w:tcPr>
          <w:p w14:paraId="2FF69779">
            <w:pPr>
              <w:pStyle w:val="16"/>
            </w:pPr>
            <w:r>
              <w:t>2813.26</w:t>
            </w:r>
          </w:p>
        </w:tc>
        <w:tc>
          <w:tcPr>
            <w:tcW w:w="3402" w:type="dxa"/>
            <w:vAlign w:val="center"/>
          </w:tcPr>
          <w:p w14:paraId="34B6A3C2">
            <w:pPr>
              <w:pStyle w:val="15"/>
            </w:pPr>
            <w:r>
              <w:t>支出总计</w:t>
            </w:r>
          </w:p>
        </w:tc>
        <w:tc>
          <w:tcPr>
            <w:tcW w:w="1474" w:type="dxa"/>
            <w:vAlign w:val="center"/>
          </w:tcPr>
          <w:p w14:paraId="0B3B7114">
            <w:pPr>
              <w:pStyle w:val="16"/>
            </w:pPr>
            <w:r>
              <w:t>2813.26</w:t>
            </w:r>
          </w:p>
        </w:tc>
        <w:tc>
          <w:tcPr>
            <w:tcW w:w="1474" w:type="dxa"/>
            <w:vAlign w:val="center"/>
          </w:tcPr>
          <w:p w14:paraId="08279251">
            <w:pPr>
              <w:pStyle w:val="16"/>
            </w:pPr>
            <w:r>
              <w:t>2813.26</w:t>
            </w:r>
          </w:p>
        </w:tc>
        <w:tc>
          <w:tcPr>
            <w:tcW w:w="1474" w:type="dxa"/>
            <w:vAlign w:val="center"/>
          </w:tcPr>
          <w:p w14:paraId="77B6D85C">
            <w:pPr>
              <w:pStyle w:val="16"/>
            </w:pPr>
          </w:p>
        </w:tc>
        <w:tc>
          <w:tcPr>
            <w:tcW w:w="1474" w:type="dxa"/>
            <w:vAlign w:val="center"/>
          </w:tcPr>
          <w:p w14:paraId="1F009D80">
            <w:pPr>
              <w:pStyle w:val="16"/>
            </w:pPr>
          </w:p>
        </w:tc>
      </w:tr>
    </w:tbl>
    <w:p w14:paraId="01E1D463">
      <w:pPr>
        <w:sectPr>
          <w:pgSz w:w="16840" w:h="11900" w:orient="landscape"/>
          <w:pgMar w:top="1361" w:right="1020" w:bottom="1134" w:left="1020" w:header="720" w:footer="720" w:gutter="0"/>
          <w:cols w:space="720" w:num="1"/>
        </w:sectPr>
      </w:pPr>
    </w:p>
    <w:p w14:paraId="7A6542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D73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6A53B4">
            <w:pPr>
              <w:pStyle w:val="8"/>
            </w:pPr>
            <w:r>
              <w:t>360027隆尧县莲子镇校区</w:t>
            </w:r>
          </w:p>
        </w:tc>
        <w:tc>
          <w:tcPr>
            <w:tcW w:w="2551" w:type="dxa"/>
            <w:tcBorders>
              <w:top w:val="single" w:color="FFFFFF" w:sz="6" w:space="0"/>
              <w:left w:val="single" w:color="FFFFFF" w:sz="6" w:space="0"/>
              <w:right w:val="single" w:color="FFFFFF" w:sz="6" w:space="0"/>
            </w:tcBorders>
            <w:vAlign w:val="center"/>
          </w:tcPr>
          <w:p w14:paraId="5DD5ADF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6A51777">
            <w:pPr>
              <w:pStyle w:val="10"/>
            </w:pPr>
            <w:r>
              <w:t>单位：万元</w:t>
            </w:r>
          </w:p>
        </w:tc>
      </w:tr>
      <w:tr w14:paraId="4E96D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408D2420">
            <w:pPr>
              <w:pStyle w:val="11"/>
            </w:pPr>
            <w:r>
              <w:t>序号</w:t>
            </w:r>
          </w:p>
        </w:tc>
        <w:tc>
          <w:tcPr>
            <w:tcW w:w="5726" w:type="dxa"/>
            <w:gridSpan w:val="2"/>
            <w:vAlign w:val="center"/>
          </w:tcPr>
          <w:p w14:paraId="1C85A2FA">
            <w:pPr>
              <w:pStyle w:val="11"/>
            </w:pPr>
            <w:r>
              <w:t>功能分类科目</w:t>
            </w:r>
          </w:p>
        </w:tc>
        <w:tc>
          <w:tcPr>
            <w:tcW w:w="2551" w:type="dxa"/>
            <w:vMerge w:val="restart"/>
            <w:vAlign w:val="center"/>
          </w:tcPr>
          <w:p w14:paraId="5FE65FAF">
            <w:pPr>
              <w:pStyle w:val="11"/>
            </w:pPr>
            <w:r>
              <w:t>合计</w:t>
            </w:r>
          </w:p>
        </w:tc>
        <w:tc>
          <w:tcPr>
            <w:tcW w:w="2551" w:type="dxa"/>
            <w:vMerge w:val="restart"/>
            <w:vAlign w:val="center"/>
          </w:tcPr>
          <w:p w14:paraId="48C48C67">
            <w:pPr>
              <w:pStyle w:val="11"/>
            </w:pPr>
            <w:r>
              <w:t>基本支出</w:t>
            </w:r>
          </w:p>
        </w:tc>
        <w:tc>
          <w:tcPr>
            <w:tcW w:w="2551" w:type="dxa"/>
            <w:vMerge w:val="restart"/>
            <w:vAlign w:val="center"/>
          </w:tcPr>
          <w:p w14:paraId="1E69B92F">
            <w:pPr>
              <w:pStyle w:val="11"/>
            </w:pPr>
            <w:r>
              <w:t>项目支出</w:t>
            </w:r>
          </w:p>
        </w:tc>
      </w:tr>
      <w:tr w14:paraId="40815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F30B6"/>
        </w:tc>
        <w:tc>
          <w:tcPr>
            <w:tcW w:w="1191" w:type="dxa"/>
            <w:vAlign w:val="center"/>
          </w:tcPr>
          <w:p w14:paraId="6E1DBAFA">
            <w:pPr>
              <w:pStyle w:val="11"/>
            </w:pPr>
            <w:r>
              <w:t>科目编码</w:t>
            </w:r>
          </w:p>
        </w:tc>
        <w:tc>
          <w:tcPr>
            <w:tcW w:w="4535" w:type="dxa"/>
            <w:vAlign w:val="center"/>
          </w:tcPr>
          <w:p w14:paraId="6063382D">
            <w:pPr>
              <w:pStyle w:val="11"/>
            </w:pPr>
            <w:r>
              <w:t>科目名称</w:t>
            </w:r>
          </w:p>
        </w:tc>
        <w:tc>
          <w:tcPr>
            <w:tcW w:w="2551" w:type="dxa"/>
            <w:vMerge w:val="continue"/>
          </w:tcPr>
          <w:p w14:paraId="77877991"/>
        </w:tc>
        <w:tc>
          <w:tcPr>
            <w:tcW w:w="2551" w:type="dxa"/>
            <w:vMerge w:val="continue"/>
          </w:tcPr>
          <w:p w14:paraId="63C2DCB2"/>
        </w:tc>
        <w:tc>
          <w:tcPr>
            <w:tcW w:w="2551" w:type="dxa"/>
            <w:vMerge w:val="continue"/>
          </w:tcPr>
          <w:p w14:paraId="25FC5776"/>
        </w:tc>
      </w:tr>
      <w:tr w14:paraId="7321F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052B38BE">
            <w:pPr>
              <w:pStyle w:val="11"/>
            </w:pPr>
            <w:r>
              <w:t>栏次</w:t>
            </w:r>
          </w:p>
        </w:tc>
        <w:tc>
          <w:tcPr>
            <w:tcW w:w="1191" w:type="dxa"/>
            <w:vAlign w:val="center"/>
          </w:tcPr>
          <w:p w14:paraId="64863CB2">
            <w:pPr>
              <w:pStyle w:val="11"/>
            </w:pPr>
            <w:r>
              <w:t>1</w:t>
            </w:r>
          </w:p>
        </w:tc>
        <w:tc>
          <w:tcPr>
            <w:tcW w:w="4535" w:type="dxa"/>
            <w:vAlign w:val="center"/>
          </w:tcPr>
          <w:p w14:paraId="6F9C6A56">
            <w:pPr>
              <w:pStyle w:val="11"/>
            </w:pPr>
            <w:r>
              <w:t>2</w:t>
            </w:r>
          </w:p>
        </w:tc>
        <w:tc>
          <w:tcPr>
            <w:tcW w:w="2551" w:type="dxa"/>
            <w:vAlign w:val="center"/>
          </w:tcPr>
          <w:p w14:paraId="5ACB585A">
            <w:pPr>
              <w:pStyle w:val="11"/>
            </w:pPr>
            <w:r>
              <w:t>3</w:t>
            </w:r>
          </w:p>
        </w:tc>
        <w:tc>
          <w:tcPr>
            <w:tcW w:w="2551" w:type="dxa"/>
            <w:vAlign w:val="center"/>
          </w:tcPr>
          <w:p w14:paraId="3EEA2AF9">
            <w:pPr>
              <w:pStyle w:val="11"/>
            </w:pPr>
            <w:r>
              <w:t>4</w:t>
            </w:r>
          </w:p>
        </w:tc>
        <w:tc>
          <w:tcPr>
            <w:tcW w:w="2551" w:type="dxa"/>
            <w:vAlign w:val="center"/>
          </w:tcPr>
          <w:p w14:paraId="6A50CCD7">
            <w:pPr>
              <w:pStyle w:val="11"/>
            </w:pPr>
            <w:r>
              <w:t>5</w:t>
            </w:r>
          </w:p>
        </w:tc>
      </w:tr>
      <w:tr w14:paraId="1EAC3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18129">
            <w:pPr>
              <w:pStyle w:val="12"/>
            </w:pPr>
            <w:r>
              <w:t>1</w:t>
            </w:r>
          </w:p>
        </w:tc>
        <w:tc>
          <w:tcPr>
            <w:tcW w:w="1191" w:type="dxa"/>
            <w:vAlign w:val="center"/>
          </w:tcPr>
          <w:p w14:paraId="3BA1A0B3">
            <w:pPr>
              <w:pStyle w:val="17"/>
            </w:pPr>
          </w:p>
        </w:tc>
        <w:tc>
          <w:tcPr>
            <w:tcW w:w="4535" w:type="dxa"/>
            <w:vAlign w:val="center"/>
          </w:tcPr>
          <w:p w14:paraId="404E9A34">
            <w:pPr>
              <w:pStyle w:val="15"/>
            </w:pPr>
            <w:r>
              <w:t>合计</w:t>
            </w:r>
          </w:p>
        </w:tc>
        <w:tc>
          <w:tcPr>
            <w:tcW w:w="2551" w:type="dxa"/>
            <w:vAlign w:val="center"/>
          </w:tcPr>
          <w:p w14:paraId="1AAE5295">
            <w:pPr>
              <w:pStyle w:val="16"/>
            </w:pPr>
            <w:r>
              <w:t>2813.26</w:t>
            </w:r>
          </w:p>
        </w:tc>
        <w:tc>
          <w:tcPr>
            <w:tcW w:w="2551" w:type="dxa"/>
            <w:vAlign w:val="center"/>
          </w:tcPr>
          <w:p w14:paraId="56E9EC61">
            <w:pPr>
              <w:pStyle w:val="16"/>
            </w:pPr>
            <w:r>
              <w:t>2232.37</w:t>
            </w:r>
          </w:p>
        </w:tc>
        <w:tc>
          <w:tcPr>
            <w:tcW w:w="2551" w:type="dxa"/>
            <w:vAlign w:val="center"/>
          </w:tcPr>
          <w:p w14:paraId="5470EA78">
            <w:pPr>
              <w:pStyle w:val="16"/>
            </w:pPr>
            <w:r>
              <w:t>580.89</w:t>
            </w:r>
          </w:p>
        </w:tc>
      </w:tr>
      <w:tr w14:paraId="5C135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19ED6">
            <w:pPr>
              <w:pStyle w:val="12"/>
            </w:pPr>
            <w:r>
              <w:t>2</w:t>
            </w:r>
          </w:p>
        </w:tc>
        <w:tc>
          <w:tcPr>
            <w:tcW w:w="1191" w:type="dxa"/>
            <w:vAlign w:val="center"/>
          </w:tcPr>
          <w:p w14:paraId="180E9ED1">
            <w:pPr>
              <w:pStyle w:val="13"/>
            </w:pPr>
            <w:r>
              <w:t>205</w:t>
            </w:r>
          </w:p>
        </w:tc>
        <w:tc>
          <w:tcPr>
            <w:tcW w:w="4535" w:type="dxa"/>
            <w:vAlign w:val="center"/>
          </w:tcPr>
          <w:p w14:paraId="45E984DA">
            <w:pPr>
              <w:pStyle w:val="13"/>
            </w:pPr>
            <w:r>
              <w:t>教育支出</w:t>
            </w:r>
          </w:p>
        </w:tc>
        <w:tc>
          <w:tcPr>
            <w:tcW w:w="2551" w:type="dxa"/>
            <w:vAlign w:val="center"/>
          </w:tcPr>
          <w:p w14:paraId="2C86E146">
            <w:pPr>
              <w:pStyle w:val="14"/>
            </w:pPr>
            <w:r>
              <w:t>2813.26</w:t>
            </w:r>
          </w:p>
        </w:tc>
        <w:tc>
          <w:tcPr>
            <w:tcW w:w="2551" w:type="dxa"/>
            <w:vAlign w:val="center"/>
          </w:tcPr>
          <w:p w14:paraId="4BC2DA8C">
            <w:pPr>
              <w:pStyle w:val="14"/>
            </w:pPr>
            <w:r>
              <w:t>2232.37</w:t>
            </w:r>
          </w:p>
        </w:tc>
        <w:tc>
          <w:tcPr>
            <w:tcW w:w="2551" w:type="dxa"/>
            <w:vAlign w:val="center"/>
          </w:tcPr>
          <w:p w14:paraId="64C5BD4A">
            <w:pPr>
              <w:pStyle w:val="14"/>
            </w:pPr>
            <w:r>
              <w:t>580.89</w:t>
            </w:r>
          </w:p>
        </w:tc>
      </w:tr>
      <w:tr w14:paraId="48A99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E11E3">
            <w:pPr>
              <w:pStyle w:val="12"/>
            </w:pPr>
            <w:r>
              <w:t>3</w:t>
            </w:r>
          </w:p>
        </w:tc>
        <w:tc>
          <w:tcPr>
            <w:tcW w:w="1191" w:type="dxa"/>
            <w:vAlign w:val="center"/>
          </w:tcPr>
          <w:p w14:paraId="69FF4316">
            <w:pPr>
              <w:pStyle w:val="13"/>
            </w:pPr>
            <w:r>
              <w:t>20502</w:t>
            </w:r>
          </w:p>
        </w:tc>
        <w:tc>
          <w:tcPr>
            <w:tcW w:w="4535" w:type="dxa"/>
            <w:vAlign w:val="center"/>
          </w:tcPr>
          <w:p w14:paraId="11E3B3B4">
            <w:pPr>
              <w:pStyle w:val="13"/>
            </w:pPr>
            <w:r>
              <w:t>普通教育</w:t>
            </w:r>
          </w:p>
        </w:tc>
        <w:tc>
          <w:tcPr>
            <w:tcW w:w="2551" w:type="dxa"/>
            <w:vAlign w:val="center"/>
          </w:tcPr>
          <w:p w14:paraId="195B1384">
            <w:pPr>
              <w:pStyle w:val="14"/>
            </w:pPr>
            <w:r>
              <w:t>2813.26</w:t>
            </w:r>
          </w:p>
        </w:tc>
        <w:tc>
          <w:tcPr>
            <w:tcW w:w="2551" w:type="dxa"/>
            <w:vAlign w:val="center"/>
          </w:tcPr>
          <w:p w14:paraId="41C0CFC0">
            <w:pPr>
              <w:pStyle w:val="14"/>
            </w:pPr>
            <w:r>
              <w:t>2232.37</w:t>
            </w:r>
          </w:p>
        </w:tc>
        <w:tc>
          <w:tcPr>
            <w:tcW w:w="2551" w:type="dxa"/>
            <w:vAlign w:val="center"/>
          </w:tcPr>
          <w:p w14:paraId="204988A9">
            <w:pPr>
              <w:pStyle w:val="14"/>
            </w:pPr>
            <w:r>
              <w:t>580.89</w:t>
            </w:r>
          </w:p>
        </w:tc>
      </w:tr>
      <w:tr w14:paraId="28A88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FD9CC">
            <w:pPr>
              <w:pStyle w:val="12"/>
            </w:pPr>
            <w:r>
              <w:t>4</w:t>
            </w:r>
          </w:p>
        </w:tc>
        <w:tc>
          <w:tcPr>
            <w:tcW w:w="1191" w:type="dxa"/>
            <w:vAlign w:val="center"/>
          </w:tcPr>
          <w:p w14:paraId="781AEEA5">
            <w:pPr>
              <w:pStyle w:val="13"/>
            </w:pPr>
            <w:r>
              <w:t>2050201</w:t>
            </w:r>
          </w:p>
        </w:tc>
        <w:tc>
          <w:tcPr>
            <w:tcW w:w="4535" w:type="dxa"/>
            <w:vAlign w:val="center"/>
          </w:tcPr>
          <w:p w14:paraId="34B539FB">
            <w:pPr>
              <w:pStyle w:val="13"/>
            </w:pPr>
            <w:r>
              <w:t>学前教育</w:t>
            </w:r>
          </w:p>
        </w:tc>
        <w:tc>
          <w:tcPr>
            <w:tcW w:w="2551" w:type="dxa"/>
            <w:vAlign w:val="center"/>
          </w:tcPr>
          <w:p w14:paraId="76AFF2C0">
            <w:pPr>
              <w:pStyle w:val="14"/>
            </w:pPr>
            <w:r>
              <w:t>343.42</w:t>
            </w:r>
          </w:p>
        </w:tc>
        <w:tc>
          <w:tcPr>
            <w:tcW w:w="2551" w:type="dxa"/>
            <w:vAlign w:val="center"/>
          </w:tcPr>
          <w:p w14:paraId="713DABB3">
            <w:pPr>
              <w:pStyle w:val="14"/>
            </w:pPr>
          </w:p>
        </w:tc>
        <w:tc>
          <w:tcPr>
            <w:tcW w:w="2551" w:type="dxa"/>
            <w:vAlign w:val="center"/>
          </w:tcPr>
          <w:p w14:paraId="5C84AAE1">
            <w:pPr>
              <w:pStyle w:val="14"/>
            </w:pPr>
            <w:r>
              <w:t>343.42</w:t>
            </w:r>
          </w:p>
        </w:tc>
      </w:tr>
      <w:tr w14:paraId="4B5FF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4CA5E0">
            <w:pPr>
              <w:pStyle w:val="12"/>
            </w:pPr>
            <w:r>
              <w:t>5</w:t>
            </w:r>
          </w:p>
        </w:tc>
        <w:tc>
          <w:tcPr>
            <w:tcW w:w="1191" w:type="dxa"/>
            <w:vAlign w:val="center"/>
          </w:tcPr>
          <w:p w14:paraId="51F66A7D">
            <w:pPr>
              <w:pStyle w:val="13"/>
            </w:pPr>
            <w:r>
              <w:t>2050202</w:t>
            </w:r>
          </w:p>
        </w:tc>
        <w:tc>
          <w:tcPr>
            <w:tcW w:w="4535" w:type="dxa"/>
            <w:vAlign w:val="center"/>
          </w:tcPr>
          <w:p w14:paraId="0C547025">
            <w:pPr>
              <w:pStyle w:val="13"/>
            </w:pPr>
            <w:r>
              <w:t>小学教育</w:t>
            </w:r>
          </w:p>
        </w:tc>
        <w:tc>
          <w:tcPr>
            <w:tcW w:w="2551" w:type="dxa"/>
            <w:vAlign w:val="center"/>
          </w:tcPr>
          <w:p w14:paraId="567EADAB">
            <w:pPr>
              <w:pStyle w:val="14"/>
            </w:pPr>
            <w:r>
              <w:t>2469.84</w:t>
            </w:r>
          </w:p>
        </w:tc>
        <w:tc>
          <w:tcPr>
            <w:tcW w:w="2551" w:type="dxa"/>
            <w:vAlign w:val="center"/>
          </w:tcPr>
          <w:p w14:paraId="01C9B10A">
            <w:pPr>
              <w:pStyle w:val="14"/>
            </w:pPr>
            <w:r>
              <w:t>2232.37</w:t>
            </w:r>
          </w:p>
        </w:tc>
        <w:tc>
          <w:tcPr>
            <w:tcW w:w="2551" w:type="dxa"/>
            <w:vAlign w:val="center"/>
          </w:tcPr>
          <w:p w14:paraId="792BCDB0">
            <w:pPr>
              <w:pStyle w:val="14"/>
            </w:pPr>
            <w:r>
              <w:t>237.47</w:t>
            </w:r>
          </w:p>
        </w:tc>
      </w:tr>
    </w:tbl>
    <w:p w14:paraId="0F5F60D8">
      <w:pPr>
        <w:sectPr>
          <w:pgSz w:w="16840" w:h="11900" w:orient="landscape"/>
          <w:pgMar w:top="1361" w:right="1020" w:bottom="1134" w:left="1020" w:header="720" w:footer="720" w:gutter="0"/>
          <w:cols w:space="720" w:num="1"/>
        </w:sectPr>
      </w:pPr>
    </w:p>
    <w:p w14:paraId="77E1B9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3F0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CEC111">
            <w:pPr>
              <w:pStyle w:val="8"/>
            </w:pPr>
            <w:r>
              <w:t>360027隆尧县莲子镇校区</w:t>
            </w:r>
          </w:p>
        </w:tc>
        <w:tc>
          <w:tcPr>
            <w:tcW w:w="2551" w:type="dxa"/>
            <w:tcBorders>
              <w:top w:val="single" w:color="FFFFFF" w:sz="6" w:space="0"/>
              <w:left w:val="single" w:color="FFFFFF" w:sz="6" w:space="0"/>
              <w:right w:val="single" w:color="FFFFFF" w:sz="6" w:space="0"/>
            </w:tcBorders>
            <w:vAlign w:val="center"/>
          </w:tcPr>
          <w:p w14:paraId="742B774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B589CCD">
            <w:pPr>
              <w:pStyle w:val="10"/>
            </w:pPr>
            <w:r>
              <w:t>单位：万元</w:t>
            </w:r>
          </w:p>
        </w:tc>
      </w:tr>
      <w:tr w14:paraId="65133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C5356">
            <w:pPr>
              <w:pStyle w:val="11"/>
            </w:pPr>
            <w:r>
              <w:t>序号</w:t>
            </w:r>
          </w:p>
        </w:tc>
        <w:tc>
          <w:tcPr>
            <w:tcW w:w="5726" w:type="dxa"/>
            <w:gridSpan w:val="2"/>
            <w:vAlign w:val="center"/>
          </w:tcPr>
          <w:p w14:paraId="24B1F888">
            <w:pPr>
              <w:pStyle w:val="11"/>
            </w:pPr>
            <w:r>
              <w:t>支出部门经济分类科目</w:t>
            </w:r>
          </w:p>
        </w:tc>
        <w:tc>
          <w:tcPr>
            <w:tcW w:w="7653" w:type="dxa"/>
            <w:gridSpan w:val="3"/>
            <w:vAlign w:val="center"/>
          </w:tcPr>
          <w:p w14:paraId="712BF50E">
            <w:pPr>
              <w:pStyle w:val="11"/>
            </w:pPr>
            <w:r>
              <w:t>一般公共预算基本支出</w:t>
            </w:r>
          </w:p>
        </w:tc>
      </w:tr>
      <w:tr w14:paraId="539DF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24D2F1"/>
        </w:tc>
        <w:tc>
          <w:tcPr>
            <w:tcW w:w="1191" w:type="dxa"/>
            <w:vAlign w:val="center"/>
          </w:tcPr>
          <w:p w14:paraId="68C94B68">
            <w:pPr>
              <w:pStyle w:val="11"/>
            </w:pPr>
            <w:r>
              <w:t>科目编码</w:t>
            </w:r>
          </w:p>
        </w:tc>
        <w:tc>
          <w:tcPr>
            <w:tcW w:w="4535" w:type="dxa"/>
            <w:vAlign w:val="center"/>
          </w:tcPr>
          <w:p w14:paraId="528B6F8F">
            <w:pPr>
              <w:pStyle w:val="11"/>
            </w:pPr>
            <w:r>
              <w:t>科目名称</w:t>
            </w:r>
          </w:p>
        </w:tc>
        <w:tc>
          <w:tcPr>
            <w:tcW w:w="2551" w:type="dxa"/>
            <w:vAlign w:val="center"/>
          </w:tcPr>
          <w:p w14:paraId="0C3162DB">
            <w:pPr>
              <w:pStyle w:val="11"/>
            </w:pPr>
            <w:r>
              <w:t>合计</w:t>
            </w:r>
          </w:p>
        </w:tc>
        <w:tc>
          <w:tcPr>
            <w:tcW w:w="2551" w:type="dxa"/>
            <w:vAlign w:val="center"/>
          </w:tcPr>
          <w:p w14:paraId="44F6953B">
            <w:pPr>
              <w:pStyle w:val="11"/>
            </w:pPr>
            <w:r>
              <w:t>人员经费</w:t>
            </w:r>
          </w:p>
        </w:tc>
        <w:tc>
          <w:tcPr>
            <w:tcW w:w="2551" w:type="dxa"/>
            <w:vAlign w:val="center"/>
          </w:tcPr>
          <w:p w14:paraId="1FA12F3A">
            <w:pPr>
              <w:pStyle w:val="11"/>
            </w:pPr>
            <w:r>
              <w:t>公用经费</w:t>
            </w:r>
          </w:p>
        </w:tc>
      </w:tr>
      <w:tr w14:paraId="69570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02187F">
            <w:pPr>
              <w:pStyle w:val="11"/>
            </w:pPr>
            <w:r>
              <w:t>栏次</w:t>
            </w:r>
          </w:p>
        </w:tc>
        <w:tc>
          <w:tcPr>
            <w:tcW w:w="1191" w:type="dxa"/>
            <w:vAlign w:val="center"/>
          </w:tcPr>
          <w:p w14:paraId="413BDF92">
            <w:pPr>
              <w:pStyle w:val="11"/>
            </w:pPr>
            <w:r>
              <w:t>1</w:t>
            </w:r>
          </w:p>
        </w:tc>
        <w:tc>
          <w:tcPr>
            <w:tcW w:w="4535" w:type="dxa"/>
            <w:vAlign w:val="center"/>
          </w:tcPr>
          <w:p w14:paraId="108DC1AA">
            <w:pPr>
              <w:pStyle w:val="11"/>
            </w:pPr>
            <w:r>
              <w:t>2</w:t>
            </w:r>
          </w:p>
        </w:tc>
        <w:tc>
          <w:tcPr>
            <w:tcW w:w="2551" w:type="dxa"/>
            <w:vAlign w:val="center"/>
          </w:tcPr>
          <w:p w14:paraId="0F335712">
            <w:pPr>
              <w:pStyle w:val="11"/>
            </w:pPr>
            <w:r>
              <w:t>3</w:t>
            </w:r>
          </w:p>
        </w:tc>
        <w:tc>
          <w:tcPr>
            <w:tcW w:w="2551" w:type="dxa"/>
            <w:vAlign w:val="center"/>
          </w:tcPr>
          <w:p w14:paraId="27991416">
            <w:pPr>
              <w:pStyle w:val="11"/>
            </w:pPr>
            <w:r>
              <w:t>4</w:t>
            </w:r>
          </w:p>
        </w:tc>
        <w:tc>
          <w:tcPr>
            <w:tcW w:w="2551" w:type="dxa"/>
            <w:vAlign w:val="center"/>
          </w:tcPr>
          <w:p w14:paraId="449CF655">
            <w:pPr>
              <w:pStyle w:val="11"/>
            </w:pPr>
            <w:r>
              <w:t>5</w:t>
            </w:r>
          </w:p>
        </w:tc>
      </w:tr>
      <w:tr w14:paraId="3DD3B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CFE17">
            <w:pPr>
              <w:pStyle w:val="12"/>
            </w:pPr>
            <w:r>
              <w:t>1</w:t>
            </w:r>
          </w:p>
        </w:tc>
        <w:tc>
          <w:tcPr>
            <w:tcW w:w="1191" w:type="dxa"/>
            <w:vAlign w:val="center"/>
          </w:tcPr>
          <w:p w14:paraId="3433D1FC">
            <w:pPr>
              <w:pStyle w:val="17"/>
            </w:pPr>
          </w:p>
        </w:tc>
        <w:tc>
          <w:tcPr>
            <w:tcW w:w="4535" w:type="dxa"/>
            <w:vAlign w:val="center"/>
          </w:tcPr>
          <w:p w14:paraId="1B2FAC56">
            <w:pPr>
              <w:pStyle w:val="15"/>
            </w:pPr>
            <w:r>
              <w:t>合计</w:t>
            </w:r>
          </w:p>
        </w:tc>
        <w:tc>
          <w:tcPr>
            <w:tcW w:w="2551" w:type="dxa"/>
            <w:vAlign w:val="center"/>
          </w:tcPr>
          <w:p w14:paraId="27E81373">
            <w:pPr>
              <w:pStyle w:val="16"/>
            </w:pPr>
            <w:r>
              <w:t>2232.37</w:t>
            </w:r>
          </w:p>
        </w:tc>
        <w:tc>
          <w:tcPr>
            <w:tcW w:w="2551" w:type="dxa"/>
            <w:vAlign w:val="center"/>
          </w:tcPr>
          <w:p w14:paraId="71D16CC3">
            <w:pPr>
              <w:pStyle w:val="16"/>
            </w:pPr>
            <w:r>
              <w:t>2232.37</w:t>
            </w:r>
          </w:p>
        </w:tc>
        <w:tc>
          <w:tcPr>
            <w:tcW w:w="2551" w:type="dxa"/>
            <w:vAlign w:val="center"/>
          </w:tcPr>
          <w:p w14:paraId="352C9822">
            <w:pPr>
              <w:pStyle w:val="16"/>
            </w:pPr>
          </w:p>
        </w:tc>
      </w:tr>
      <w:tr w14:paraId="6D562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DB8A7">
            <w:pPr>
              <w:pStyle w:val="12"/>
            </w:pPr>
            <w:r>
              <w:t>2</w:t>
            </w:r>
          </w:p>
        </w:tc>
        <w:tc>
          <w:tcPr>
            <w:tcW w:w="1191" w:type="dxa"/>
            <w:vAlign w:val="center"/>
          </w:tcPr>
          <w:p w14:paraId="1EA8C1B6">
            <w:pPr>
              <w:pStyle w:val="13"/>
            </w:pPr>
            <w:r>
              <w:t>301</w:t>
            </w:r>
          </w:p>
        </w:tc>
        <w:tc>
          <w:tcPr>
            <w:tcW w:w="4535" w:type="dxa"/>
            <w:vAlign w:val="center"/>
          </w:tcPr>
          <w:p w14:paraId="741BF315">
            <w:pPr>
              <w:pStyle w:val="13"/>
            </w:pPr>
            <w:r>
              <w:t>工资福利支出</w:t>
            </w:r>
          </w:p>
        </w:tc>
        <w:tc>
          <w:tcPr>
            <w:tcW w:w="2551" w:type="dxa"/>
            <w:vAlign w:val="center"/>
          </w:tcPr>
          <w:p w14:paraId="2A9231B6">
            <w:pPr>
              <w:pStyle w:val="14"/>
            </w:pPr>
            <w:r>
              <w:t>2067.87</w:t>
            </w:r>
          </w:p>
        </w:tc>
        <w:tc>
          <w:tcPr>
            <w:tcW w:w="2551" w:type="dxa"/>
            <w:vAlign w:val="center"/>
          </w:tcPr>
          <w:p w14:paraId="0AA47296">
            <w:pPr>
              <w:pStyle w:val="14"/>
            </w:pPr>
            <w:r>
              <w:t>2067.87</w:t>
            </w:r>
          </w:p>
        </w:tc>
        <w:tc>
          <w:tcPr>
            <w:tcW w:w="2551" w:type="dxa"/>
            <w:vAlign w:val="center"/>
          </w:tcPr>
          <w:p w14:paraId="278495A8">
            <w:pPr>
              <w:pStyle w:val="14"/>
            </w:pPr>
          </w:p>
        </w:tc>
      </w:tr>
      <w:tr w14:paraId="04D5F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10915">
            <w:pPr>
              <w:pStyle w:val="12"/>
            </w:pPr>
            <w:r>
              <w:t>3</w:t>
            </w:r>
          </w:p>
        </w:tc>
        <w:tc>
          <w:tcPr>
            <w:tcW w:w="1191" w:type="dxa"/>
            <w:vAlign w:val="center"/>
          </w:tcPr>
          <w:p w14:paraId="6B4076B2">
            <w:pPr>
              <w:pStyle w:val="13"/>
            </w:pPr>
            <w:r>
              <w:t>30101</w:t>
            </w:r>
          </w:p>
        </w:tc>
        <w:tc>
          <w:tcPr>
            <w:tcW w:w="4535" w:type="dxa"/>
            <w:vAlign w:val="center"/>
          </w:tcPr>
          <w:p w14:paraId="4E970079">
            <w:pPr>
              <w:pStyle w:val="13"/>
            </w:pPr>
            <w:r>
              <w:t>基本工资</w:t>
            </w:r>
          </w:p>
        </w:tc>
        <w:tc>
          <w:tcPr>
            <w:tcW w:w="2551" w:type="dxa"/>
            <w:vAlign w:val="center"/>
          </w:tcPr>
          <w:p w14:paraId="433C7FD1">
            <w:pPr>
              <w:pStyle w:val="14"/>
            </w:pPr>
            <w:r>
              <w:t>976.35</w:t>
            </w:r>
          </w:p>
        </w:tc>
        <w:tc>
          <w:tcPr>
            <w:tcW w:w="2551" w:type="dxa"/>
            <w:vAlign w:val="center"/>
          </w:tcPr>
          <w:p w14:paraId="3782A38C">
            <w:pPr>
              <w:pStyle w:val="14"/>
            </w:pPr>
            <w:r>
              <w:t>976.35</w:t>
            </w:r>
          </w:p>
        </w:tc>
        <w:tc>
          <w:tcPr>
            <w:tcW w:w="2551" w:type="dxa"/>
            <w:vAlign w:val="center"/>
          </w:tcPr>
          <w:p w14:paraId="72729B69">
            <w:pPr>
              <w:pStyle w:val="14"/>
            </w:pPr>
          </w:p>
        </w:tc>
      </w:tr>
      <w:tr w14:paraId="19CD5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6F454">
            <w:pPr>
              <w:pStyle w:val="12"/>
            </w:pPr>
            <w:r>
              <w:t>4</w:t>
            </w:r>
          </w:p>
        </w:tc>
        <w:tc>
          <w:tcPr>
            <w:tcW w:w="1191" w:type="dxa"/>
            <w:vAlign w:val="center"/>
          </w:tcPr>
          <w:p w14:paraId="4E5EE97B">
            <w:pPr>
              <w:pStyle w:val="13"/>
            </w:pPr>
            <w:r>
              <w:t>30102</w:t>
            </w:r>
          </w:p>
        </w:tc>
        <w:tc>
          <w:tcPr>
            <w:tcW w:w="4535" w:type="dxa"/>
            <w:vAlign w:val="center"/>
          </w:tcPr>
          <w:p w14:paraId="2E7FCAE9">
            <w:pPr>
              <w:pStyle w:val="13"/>
            </w:pPr>
            <w:r>
              <w:t>津贴补贴</w:t>
            </w:r>
          </w:p>
        </w:tc>
        <w:tc>
          <w:tcPr>
            <w:tcW w:w="2551" w:type="dxa"/>
            <w:vAlign w:val="center"/>
          </w:tcPr>
          <w:p w14:paraId="6A1FC1CF">
            <w:pPr>
              <w:pStyle w:val="14"/>
            </w:pPr>
            <w:r>
              <w:t>94.68</w:t>
            </w:r>
          </w:p>
        </w:tc>
        <w:tc>
          <w:tcPr>
            <w:tcW w:w="2551" w:type="dxa"/>
            <w:vAlign w:val="center"/>
          </w:tcPr>
          <w:p w14:paraId="2A6D8737">
            <w:pPr>
              <w:pStyle w:val="14"/>
            </w:pPr>
            <w:r>
              <w:t>94.68</w:t>
            </w:r>
          </w:p>
        </w:tc>
        <w:tc>
          <w:tcPr>
            <w:tcW w:w="2551" w:type="dxa"/>
            <w:vAlign w:val="center"/>
          </w:tcPr>
          <w:p w14:paraId="1A78143D">
            <w:pPr>
              <w:pStyle w:val="14"/>
            </w:pPr>
          </w:p>
        </w:tc>
      </w:tr>
      <w:tr w14:paraId="35D57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E67C1">
            <w:pPr>
              <w:pStyle w:val="12"/>
            </w:pPr>
            <w:r>
              <w:t>5</w:t>
            </w:r>
          </w:p>
        </w:tc>
        <w:tc>
          <w:tcPr>
            <w:tcW w:w="1191" w:type="dxa"/>
            <w:vAlign w:val="center"/>
          </w:tcPr>
          <w:p w14:paraId="64574DC4">
            <w:pPr>
              <w:pStyle w:val="13"/>
            </w:pPr>
            <w:r>
              <w:t>30107</w:t>
            </w:r>
          </w:p>
        </w:tc>
        <w:tc>
          <w:tcPr>
            <w:tcW w:w="4535" w:type="dxa"/>
            <w:vAlign w:val="center"/>
          </w:tcPr>
          <w:p w14:paraId="2D214C2C">
            <w:pPr>
              <w:pStyle w:val="13"/>
            </w:pPr>
            <w:r>
              <w:t>绩效工资</w:t>
            </w:r>
          </w:p>
        </w:tc>
        <w:tc>
          <w:tcPr>
            <w:tcW w:w="2551" w:type="dxa"/>
            <w:vAlign w:val="center"/>
          </w:tcPr>
          <w:p w14:paraId="5A6C02DA">
            <w:pPr>
              <w:pStyle w:val="14"/>
            </w:pPr>
            <w:r>
              <w:t>553.54</w:t>
            </w:r>
          </w:p>
        </w:tc>
        <w:tc>
          <w:tcPr>
            <w:tcW w:w="2551" w:type="dxa"/>
            <w:vAlign w:val="center"/>
          </w:tcPr>
          <w:p w14:paraId="2852EB51">
            <w:pPr>
              <w:pStyle w:val="14"/>
            </w:pPr>
            <w:r>
              <w:t>553.54</w:t>
            </w:r>
          </w:p>
        </w:tc>
        <w:tc>
          <w:tcPr>
            <w:tcW w:w="2551" w:type="dxa"/>
            <w:vAlign w:val="center"/>
          </w:tcPr>
          <w:p w14:paraId="7F035C69">
            <w:pPr>
              <w:pStyle w:val="14"/>
            </w:pPr>
          </w:p>
        </w:tc>
      </w:tr>
      <w:tr w14:paraId="2A6ED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546CD">
            <w:pPr>
              <w:pStyle w:val="12"/>
            </w:pPr>
            <w:r>
              <w:t>6</w:t>
            </w:r>
          </w:p>
        </w:tc>
        <w:tc>
          <w:tcPr>
            <w:tcW w:w="1191" w:type="dxa"/>
            <w:vAlign w:val="center"/>
          </w:tcPr>
          <w:p w14:paraId="1EA13803">
            <w:pPr>
              <w:pStyle w:val="13"/>
            </w:pPr>
            <w:r>
              <w:t>30108</w:t>
            </w:r>
          </w:p>
        </w:tc>
        <w:tc>
          <w:tcPr>
            <w:tcW w:w="4535" w:type="dxa"/>
            <w:vAlign w:val="center"/>
          </w:tcPr>
          <w:p w14:paraId="679327FB">
            <w:pPr>
              <w:pStyle w:val="13"/>
            </w:pPr>
            <w:r>
              <w:t>机关事业单位基本养老保险缴费</w:t>
            </w:r>
          </w:p>
        </w:tc>
        <w:tc>
          <w:tcPr>
            <w:tcW w:w="2551" w:type="dxa"/>
            <w:vAlign w:val="center"/>
          </w:tcPr>
          <w:p w14:paraId="40617927">
            <w:pPr>
              <w:pStyle w:val="14"/>
            </w:pPr>
            <w:r>
              <w:t>195.24</w:t>
            </w:r>
          </w:p>
        </w:tc>
        <w:tc>
          <w:tcPr>
            <w:tcW w:w="2551" w:type="dxa"/>
            <w:vAlign w:val="center"/>
          </w:tcPr>
          <w:p w14:paraId="366E410C">
            <w:pPr>
              <w:pStyle w:val="14"/>
            </w:pPr>
            <w:r>
              <w:t>195.24</w:t>
            </w:r>
          </w:p>
        </w:tc>
        <w:tc>
          <w:tcPr>
            <w:tcW w:w="2551" w:type="dxa"/>
            <w:vAlign w:val="center"/>
          </w:tcPr>
          <w:p w14:paraId="6F3A604D">
            <w:pPr>
              <w:pStyle w:val="14"/>
            </w:pPr>
          </w:p>
        </w:tc>
      </w:tr>
      <w:tr w14:paraId="57045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BB306">
            <w:pPr>
              <w:pStyle w:val="12"/>
            </w:pPr>
            <w:r>
              <w:t>7</w:t>
            </w:r>
          </w:p>
        </w:tc>
        <w:tc>
          <w:tcPr>
            <w:tcW w:w="1191" w:type="dxa"/>
            <w:vAlign w:val="center"/>
          </w:tcPr>
          <w:p w14:paraId="06DE42C0">
            <w:pPr>
              <w:pStyle w:val="13"/>
            </w:pPr>
            <w:r>
              <w:t>30110</w:t>
            </w:r>
          </w:p>
        </w:tc>
        <w:tc>
          <w:tcPr>
            <w:tcW w:w="4535" w:type="dxa"/>
            <w:vAlign w:val="center"/>
          </w:tcPr>
          <w:p w14:paraId="0BC50723">
            <w:pPr>
              <w:pStyle w:val="13"/>
            </w:pPr>
            <w:r>
              <w:t>职工基本医疗保险缴费</w:t>
            </w:r>
          </w:p>
        </w:tc>
        <w:tc>
          <w:tcPr>
            <w:tcW w:w="2551" w:type="dxa"/>
            <w:vAlign w:val="center"/>
          </w:tcPr>
          <w:p w14:paraId="2C564C6C">
            <w:pPr>
              <w:pStyle w:val="14"/>
            </w:pPr>
            <w:r>
              <w:t>91.57</w:t>
            </w:r>
          </w:p>
        </w:tc>
        <w:tc>
          <w:tcPr>
            <w:tcW w:w="2551" w:type="dxa"/>
            <w:vAlign w:val="center"/>
          </w:tcPr>
          <w:p w14:paraId="5861C748">
            <w:pPr>
              <w:pStyle w:val="14"/>
            </w:pPr>
            <w:r>
              <w:t>91.57</w:t>
            </w:r>
          </w:p>
        </w:tc>
        <w:tc>
          <w:tcPr>
            <w:tcW w:w="2551" w:type="dxa"/>
            <w:vAlign w:val="center"/>
          </w:tcPr>
          <w:p w14:paraId="7E18BB39">
            <w:pPr>
              <w:pStyle w:val="14"/>
            </w:pPr>
          </w:p>
        </w:tc>
      </w:tr>
      <w:tr w14:paraId="354EA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EBAE4">
            <w:pPr>
              <w:pStyle w:val="12"/>
            </w:pPr>
            <w:r>
              <w:t>8</w:t>
            </w:r>
          </w:p>
        </w:tc>
        <w:tc>
          <w:tcPr>
            <w:tcW w:w="1191" w:type="dxa"/>
            <w:vAlign w:val="center"/>
          </w:tcPr>
          <w:p w14:paraId="29838A27">
            <w:pPr>
              <w:pStyle w:val="13"/>
            </w:pPr>
            <w:r>
              <w:t>30112</w:t>
            </w:r>
          </w:p>
        </w:tc>
        <w:tc>
          <w:tcPr>
            <w:tcW w:w="4535" w:type="dxa"/>
            <w:vAlign w:val="center"/>
          </w:tcPr>
          <w:p w14:paraId="371B3F13">
            <w:pPr>
              <w:pStyle w:val="13"/>
            </w:pPr>
            <w:r>
              <w:t>其他社会保障缴费</w:t>
            </w:r>
          </w:p>
        </w:tc>
        <w:tc>
          <w:tcPr>
            <w:tcW w:w="2551" w:type="dxa"/>
            <w:vAlign w:val="center"/>
          </w:tcPr>
          <w:p w14:paraId="23639C59">
            <w:pPr>
              <w:pStyle w:val="14"/>
            </w:pPr>
            <w:r>
              <w:t>5.46</w:t>
            </w:r>
          </w:p>
        </w:tc>
        <w:tc>
          <w:tcPr>
            <w:tcW w:w="2551" w:type="dxa"/>
            <w:vAlign w:val="center"/>
          </w:tcPr>
          <w:p w14:paraId="1534BC1E">
            <w:pPr>
              <w:pStyle w:val="14"/>
            </w:pPr>
            <w:r>
              <w:t>5.46</w:t>
            </w:r>
          </w:p>
        </w:tc>
        <w:tc>
          <w:tcPr>
            <w:tcW w:w="2551" w:type="dxa"/>
            <w:vAlign w:val="center"/>
          </w:tcPr>
          <w:p w14:paraId="22B4FC4C">
            <w:pPr>
              <w:pStyle w:val="14"/>
            </w:pPr>
          </w:p>
        </w:tc>
      </w:tr>
      <w:tr w14:paraId="5B79E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B1A5E">
            <w:pPr>
              <w:pStyle w:val="12"/>
            </w:pPr>
            <w:r>
              <w:t>9</w:t>
            </w:r>
          </w:p>
        </w:tc>
        <w:tc>
          <w:tcPr>
            <w:tcW w:w="1191" w:type="dxa"/>
            <w:vAlign w:val="center"/>
          </w:tcPr>
          <w:p w14:paraId="5969A9CB">
            <w:pPr>
              <w:pStyle w:val="13"/>
            </w:pPr>
            <w:r>
              <w:t>30113</w:t>
            </w:r>
          </w:p>
        </w:tc>
        <w:tc>
          <w:tcPr>
            <w:tcW w:w="4535" w:type="dxa"/>
            <w:vAlign w:val="center"/>
          </w:tcPr>
          <w:p w14:paraId="5B70799D">
            <w:pPr>
              <w:pStyle w:val="13"/>
            </w:pPr>
            <w:r>
              <w:t>住房公积金</w:t>
            </w:r>
          </w:p>
        </w:tc>
        <w:tc>
          <w:tcPr>
            <w:tcW w:w="2551" w:type="dxa"/>
            <w:vAlign w:val="center"/>
          </w:tcPr>
          <w:p w14:paraId="1BFAFB2F">
            <w:pPr>
              <w:pStyle w:val="14"/>
            </w:pPr>
            <w:r>
              <w:t>151.03</w:t>
            </w:r>
          </w:p>
        </w:tc>
        <w:tc>
          <w:tcPr>
            <w:tcW w:w="2551" w:type="dxa"/>
            <w:vAlign w:val="center"/>
          </w:tcPr>
          <w:p w14:paraId="49BEC3D2">
            <w:pPr>
              <w:pStyle w:val="14"/>
            </w:pPr>
            <w:r>
              <w:t>151.03</w:t>
            </w:r>
          </w:p>
        </w:tc>
        <w:tc>
          <w:tcPr>
            <w:tcW w:w="2551" w:type="dxa"/>
            <w:vAlign w:val="center"/>
          </w:tcPr>
          <w:p w14:paraId="250B6BD7">
            <w:pPr>
              <w:pStyle w:val="14"/>
            </w:pPr>
          </w:p>
        </w:tc>
      </w:tr>
      <w:tr w14:paraId="14675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23DB6">
            <w:pPr>
              <w:pStyle w:val="12"/>
            </w:pPr>
            <w:r>
              <w:t>10</w:t>
            </w:r>
          </w:p>
        </w:tc>
        <w:tc>
          <w:tcPr>
            <w:tcW w:w="1191" w:type="dxa"/>
            <w:vAlign w:val="center"/>
          </w:tcPr>
          <w:p w14:paraId="47855579">
            <w:pPr>
              <w:pStyle w:val="13"/>
            </w:pPr>
            <w:r>
              <w:t>303</w:t>
            </w:r>
          </w:p>
        </w:tc>
        <w:tc>
          <w:tcPr>
            <w:tcW w:w="4535" w:type="dxa"/>
            <w:vAlign w:val="center"/>
          </w:tcPr>
          <w:p w14:paraId="425F5EBD">
            <w:pPr>
              <w:pStyle w:val="13"/>
            </w:pPr>
            <w:r>
              <w:t>对个人和家庭的补助</w:t>
            </w:r>
          </w:p>
        </w:tc>
        <w:tc>
          <w:tcPr>
            <w:tcW w:w="2551" w:type="dxa"/>
            <w:vAlign w:val="center"/>
          </w:tcPr>
          <w:p w14:paraId="21FD13B6">
            <w:pPr>
              <w:pStyle w:val="14"/>
            </w:pPr>
            <w:r>
              <w:t>164.50</w:t>
            </w:r>
          </w:p>
        </w:tc>
        <w:tc>
          <w:tcPr>
            <w:tcW w:w="2551" w:type="dxa"/>
            <w:vAlign w:val="center"/>
          </w:tcPr>
          <w:p w14:paraId="449684BB">
            <w:pPr>
              <w:pStyle w:val="14"/>
            </w:pPr>
            <w:r>
              <w:t>164.50</w:t>
            </w:r>
          </w:p>
        </w:tc>
        <w:tc>
          <w:tcPr>
            <w:tcW w:w="2551" w:type="dxa"/>
            <w:vAlign w:val="center"/>
          </w:tcPr>
          <w:p w14:paraId="7EF53112">
            <w:pPr>
              <w:pStyle w:val="14"/>
            </w:pPr>
          </w:p>
        </w:tc>
      </w:tr>
      <w:tr w14:paraId="2A8B1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7526D">
            <w:pPr>
              <w:pStyle w:val="12"/>
            </w:pPr>
            <w:r>
              <w:t>11</w:t>
            </w:r>
          </w:p>
        </w:tc>
        <w:tc>
          <w:tcPr>
            <w:tcW w:w="1191" w:type="dxa"/>
            <w:vAlign w:val="center"/>
          </w:tcPr>
          <w:p w14:paraId="4E3E2B70">
            <w:pPr>
              <w:pStyle w:val="13"/>
            </w:pPr>
            <w:r>
              <w:t>30302</w:t>
            </w:r>
          </w:p>
        </w:tc>
        <w:tc>
          <w:tcPr>
            <w:tcW w:w="4535" w:type="dxa"/>
            <w:vAlign w:val="center"/>
          </w:tcPr>
          <w:p w14:paraId="0378EC6A">
            <w:pPr>
              <w:pStyle w:val="13"/>
            </w:pPr>
            <w:r>
              <w:t>退休费</w:t>
            </w:r>
          </w:p>
        </w:tc>
        <w:tc>
          <w:tcPr>
            <w:tcW w:w="2551" w:type="dxa"/>
            <w:vAlign w:val="center"/>
          </w:tcPr>
          <w:p w14:paraId="79318CC2">
            <w:pPr>
              <w:pStyle w:val="14"/>
            </w:pPr>
            <w:r>
              <w:t>154.42</w:t>
            </w:r>
          </w:p>
        </w:tc>
        <w:tc>
          <w:tcPr>
            <w:tcW w:w="2551" w:type="dxa"/>
            <w:vAlign w:val="center"/>
          </w:tcPr>
          <w:p w14:paraId="6D7C7991">
            <w:pPr>
              <w:pStyle w:val="14"/>
            </w:pPr>
            <w:r>
              <w:t>154.42</w:t>
            </w:r>
          </w:p>
        </w:tc>
        <w:tc>
          <w:tcPr>
            <w:tcW w:w="2551" w:type="dxa"/>
            <w:vAlign w:val="center"/>
          </w:tcPr>
          <w:p w14:paraId="19C1B60F">
            <w:pPr>
              <w:pStyle w:val="14"/>
            </w:pPr>
          </w:p>
        </w:tc>
      </w:tr>
      <w:tr w14:paraId="55719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ACDC1">
            <w:pPr>
              <w:pStyle w:val="12"/>
            </w:pPr>
            <w:r>
              <w:t>12</w:t>
            </w:r>
          </w:p>
        </w:tc>
        <w:tc>
          <w:tcPr>
            <w:tcW w:w="1191" w:type="dxa"/>
            <w:vAlign w:val="center"/>
          </w:tcPr>
          <w:p w14:paraId="242FB9E5">
            <w:pPr>
              <w:pStyle w:val="13"/>
            </w:pPr>
            <w:r>
              <w:t>30305</w:t>
            </w:r>
          </w:p>
        </w:tc>
        <w:tc>
          <w:tcPr>
            <w:tcW w:w="4535" w:type="dxa"/>
            <w:vAlign w:val="center"/>
          </w:tcPr>
          <w:p w14:paraId="1BDA5B09">
            <w:pPr>
              <w:pStyle w:val="13"/>
            </w:pPr>
            <w:r>
              <w:t>生活补助</w:t>
            </w:r>
          </w:p>
        </w:tc>
        <w:tc>
          <w:tcPr>
            <w:tcW w:w="2551" w:type="dxa"/>
            <w:vAlign w:val="center"/>
          </w:tcPr>
          <w:p w14:paraId="4A43C972">
            <w:pPr>
              <w:pStyle w:val="14"/>
            </w:pPr>
            <w:r>
              <w:t>10.08</w:t>
            </w:r>
          </w:p>
        </w:tc>
        <w:tc>
          <w:tcPr>
            <w:tcW w:w="2551" w:type="dxa"/>
            <w:vAlign w:val="center"/>
          </w:tcPr>
          <w:p w14:paraId="0AD3CA3B">
            <w:pPr>
              <w:pStyle w:val="14"/>
            </w:pPr>
            <w:r>
              <w:t>10.08</w:t>
            </w:r>
          </w:p>
        </w:tc>
        <w:tc>
          <w:tcPr>
            <w:tcW w:w="2551" w:type="dxa"/>
            <w:vAlign w:val="center"/>
          </w:tcPr>
          <w:p w14:paraId="6E8E27AA">
            <w:pPr>
              <w:pStyle w:val="14"/>
            </w:pPr>
          </w:p>
        </w:tc>
      </w:tr>
    </w:tbl>
    <w:p w14:paraId="0B2FB3E8">
      <w:pPr>
        <w:sectPr>
          <w:pgSz w:w="16840" w:h="11900" w:orient="landscape"/>
          <w:pgMar w:top="1361" w:right="1020" w:bottom="1134" w:left="1020" w:header="720" w:footer="720" w:gutter="0"/>
          <w:cols w:space="720" w:num="1"/>
        </w:sectPr>
      </w:pPr>
    </w:p>
    <w:p w14:paraId="74E7B7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E2C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C51184">
            <w:pPr>
              <w:pStyle w:val="8"/>
            </w:pPr>
            <w:r>
              <w:t>360027隆尧县莲子镇校区</w:t>
            </w:r>
          </w:p>
        </w:tc>
        <w:tc>
          <w:tcPr>
            <w:tcW w:w="2551" w:type="dxa"/>
            <w:tcBorders>
              <w:top w:val="single" w:color="FFFFFF" w:sz="6" w:space="0"/>
              <w:left w:val="single" w:color="FFFFFF" w:sz="6" w:space="0"/>
              <w:right w:val="single" w:color="FFFFFF" w:sz="6" w:space="0"/>
            </w:tcBorders>
            <w:vAlign w:val="center"/>
          </w:tcPr>
          <w:p w14:paraId="6AF1F91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12B9BEC">
            <w:pPr>
              <w:pStyle w:val="10"/>
            </w:pPr>
            <w:r>
              <w:t>单位：万元</w:t>
            </w:r>
          </w:p>
        </w:tc>
      </w:tr>
      <w:tr w14:paraId="085DB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46E96">
            <w:pPr>
              <w:pStyle w:val="11"/>
            </w:pPr>
            <w:r>
              <w:t>序号</w:t>
            </w:r>
          </w:p>
        </w:tc>
        <w:tc>
          <w:tcPr>
            <w:tcW w:w="5726" w:type="dxa"/>
            <w:gridSpan w:val="2"/>
            <w:vAlign w:val="center"/>
          </w:tcPr>
          <w:p w14:paraId="23C7D078">
            <w:pPr>
              <w:pStyle w:val="11"/>
            </w:pPr>
            <w:r>
              <w:t>功能分类科目</w:t>
            </w:r>
          </w:p>
        </w:tc>
        <w:tc>
          <w:tcPr>
            <w:tcW w:w="2551" w:type="dxa"/>
            <w:vMerge w:val="restart"/>
            <w:vAlign w:val="center"/>
          </w:tcPr>
          <w:p w14:paraId="208D7E51">
            <w:pPr>
              <w:pStyle w:val="11"/>
            </w:pPr>
            <w:r>
              <w:t>合计</w:t>
            </w:r>
          </w:p>
        </w:tc>
        <w:tc>
          <w:tcPr>
            <w:tcW w:w="2551" w:type="dxa"/>
            <w:vMerge w:val="restart"/>
            <w:vAlign w:val="center"/>
          </w:tcPr>
          <w:p w14:paraId="63348B26">
            <w:pPr>
              <w:pStyle w:val="11"/>
            </w:pPr>
            <w:r>
              <w:t>基本支出</w:t>
            </w:r>
          </w:p>
        </w:tc>
        <w:tc>
          <w:tcPr>
            <w:tcW w:w="2551" w:type="dxa"/>
            <w:vMerge w:val="restart"/>
            <w:vAlign w:val="center"/>
          </w:tcPr>
          <w:p w14:paraId="5905E1FC">
            <w:pPr>
              <w:pStyle w:val="11"/>
            </w:pPr>
            <w:r>
              <w:t>项目支出</w:t>
            </w:r>
          </w:p>
        </w:tc>
      </w:tr>
      <w:tr w14:paraId="3CB14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427FA0"/>
        </w:tc>
        <w:tc>
          <w:tcPr>
            <w:tcW w:w="1191" w:type="dxa"/>
            <w:vAlign w:val="center"/>
          </w:tcPr>
          <w:p w14:paraId="1A90BD2D">
            <w:pPr>
              <w:pStyle w:val="11"/>
            </w:pPr>
            <w:r>
              <w:t>科目编码</w:t>
            </w:r>
          </w:p>
        </w:tc>
        <w:tc>
          <w:tcPr>
            <w:tcW w:w="4535" w:type="dxa"/>
            <w:vAlign w:val="center"/>
          </w:tcPr>
          <w:p w14:paraId="35240A41">
            <w:pPr>
              <w:pStyle w:val="11"/>
            </w:pPr>
            <w:r>
              <w:t>科目名称</w:t>
            </w:r>
          </w:p>
        </w:tc>
        <w:tc>
          <w:tcPr>
            <w:tcW w:w="2551" w:type="dxa"/>
            <w:vMerge w:val="continue"/>
          </w:tcPr>
          <w:p w14:paraId="78DD4D87"/>
        </w:tc>
        <w:tc>
          <w:tcPr>
            <w:tcW w:w="2551" w:type="dxa"/>
            <w:vMerge w:val="continue"/>
          </w:tcPr>
          <w:p w14:paraId="5A519A3A"/>
        </w:tc>
        <w:tc>
          <w:tcPr>
            <w:tcW w:w="2551" w:type="dxa"/>
            <w:vMerge w:val="continue"/>
          </w:tcPr>
          <w:p w14:paraId="3BA2DE45"/>
        </w:tc>
      </w:tr>
      <w:tr w14:paraId="03926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C3CB0A">
            <w:pPr>
              <w:pStyle w:val="11"/>
            </w:pPr>
            <w:r>
              <w:t>栏次</w:t>
            </w:r>
          </w:p>
        </w:tc>
        <w:tc>
          <w:tcPr>
            <w:tcW w:w="1191" w:type="dxa"/>
            <w:vAlign w:val="center"/>
          </w:tcPr>
          <w:p w14:paraId="730DE822">
            <w:pPr>
              <w:pStyle w:val="11"/>
            </w:pPr>
            <w:r>
              <w:t>1</w:t>
            </w:r>
          </w:p>
        </w:tc>
        <w:tc>
          <w:tcPr>
            <w:tcW w:w="4535" w:type="dxa"/>
            <w:vAlign w:val="center"/>
          </w:tcPr>
          <w:p w14:paraId="3AE7964D">
            <w:pPr>
              <w:pStyle w:val="11"/>
            </w:pPr>
            <w:r>
              <w:t>2</w:t>
            </w:r>
          </w:p>
        </w:tc>
        <w:tc>
          <w:tcPr>
            <w:tcW w:w="2551" w:type="dxa"/>
            <w:vAlign w:val="center"/>
          </w:tcPr>
          <w:p w14:paraId="1ADA4E90">
            <w:pPr>
              <w:pStyle w:val="11"/>
            </w:pPr>
            <w:r>
              <w:t>3</w:t>
            </w:r>
          </w:p>
        </w:tc>
        <w:tc>
          <w:tcPr>
            <w:tcW w:w="2551" w:type="dxa"/>
            <w:vAlign w:val="center"/>
          </w:tcPr>
          <w:p w14:paraId="32CB54BC">
            <w:pPr>
              <w:pStyle w:val="11"/>
            </w:pPr>
            <w:r>
              <w:t>4</w:t>
            </w:r>
          </w:p>
        </w:tc>
        <w:tc>
          <w:tcPr>
            <w:tcW w:w="2551" w:type="dxa"/>
            <w:vAlign w:val="center"/>
          </w:tcPr>
          <w:p w14:paraId="1CD78AF9">
            <w:pPr>
              <w:pStyle w:val="11"/>
            </w:pPr>
            <w:r>
              <w:t>5</w:t>
            </w:r>
          </w:p>
        </w:tc>
      </w:tr>
      <w:tr w14:paraId="06B59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F9BB2">
            <w:pPr>
              <w:pStyle w:val="12"/>
            </w:pPr>
          </w:p>
        </w:tc>
        <w:tc>
          <w:tcPr>
            <w:tcW w:w="1191" w:type="dxa"/>
            <w:vAlign w:val="center"/>
          </w:tcPr>
          <w:p w14:paraId="6E84FEBB">
            <w:pPr>
              <w:pStyle w:val="13"/>
            </w:pPr>
          </w:p>
        </w:tc>
        <w:tc>
          <w:tcPr>
            <w:tcW w:w="4535" w:type="dxa"/>
            <w:vAlign w:val="center"/>
          </w:tcPr>
          <w:p w14:paraId="7EA21127">
            <w:pPr>
              <w:pStyle w:val="13"/>
            </w:pPr>
          </w:p>
        </w:tc>
        <w:tc>
          <w:tcPr>
            <w:tcW w:w="2551" w:type="dxa"/>
            <w:vAlign w:val="center"/>
          </w:tcPr>
          <w:p w14:paraId="5747DEB7">
            <w:pPr>
              <w:pStyle w:val="14"/>
            </w:pPr>
          </w:p>
        </w:tc>
        <w:tc>
          <w:tcPr>
            <w:tcW w:w="2551" w:type="dxa"/>
            <w:vAlign w:val="center"/>
          </w:tcPr>
          <w:p w14:paraId="7761214D">
            <w:pPr>
              <w:pStyle w:val="14"/>
            </w:pPr>
          </w:p>
        </w:tc>
        <w:tc>
          <w:tcPr>
            <w:tcW w:w="2551" w:type="dxa"/>
            <w:vAlign w:val="center"/>
          </w:tcPr>
          <w:p w14:paraId="3B365D74">
            <w:pPr>
              <w:pStyle w:val="14"/>
            </w:pPr>
          </w:p>
        </w:tc>
      </w:tr>
    </w:tbl>
    <w:p w14:paraId="3C54B0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BAC53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C6E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33B4D5">
            <w:pPr>
              <w:pStyle w:val="8"/>
            </w:pPr>
            <w:r>
              <w:t>360027隆尧县莲子镇校区</w:t>
            </w:r>
          </w:p>
        </w:tc>
        <w:tc>
          <w:tcPr>
            <w:tcW w:w="2551" w:type="dxa"/>
            <w:tcBorders>
              <w:top w:val="single" w:color="FFFFFF" w:sz="6" w:space="0"/>
              <w:left w:val="single" w:color="FFFFFF" w:sz="6" w:space="0"/>
              <w:right w:val="single" w:color="FFFFFF" w:sz="6" w:space="0"/>
            </w:tcBorders>
            <w:vAlign w:val="center"/>
          </w:tcPr>
          <w:p w14:paraId="496960B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37B8451">
            <w:pPr>
              <w:pStyle w:val="10"/>
            </w:pPr>
            <w:r>
              <w:t>单位：万元</w:t>
            </w:r>
          </w:p>
        </w:tc>
      </w:tr>
      <w:tr w14:paraId="4E576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EA6CBC">
            <w:pPr>
              <w:pStyle w:val="11"/>
            </w:pPr>
            <w:r>
              <w:t>序号</w:t>
            </w:r>
          </w:p>
        </w:tc>
        <w:tc>
          <w:tcPr>
            <w:tcW w:w="5726" w:type="dxa"/>
            <w:gridSpan w:val="2"/>
            <w:vAlign w:val="center"/>
          </w:tcPr>
          <w:p w14:paraId="083134F4">
            <w:pPr>
              <w:pStyle w:val="11"/>
            </w:pPr>
            <w:r>
              <w:t>功能分类科目</w:t>
            </w:r>
          </w:p>
        </w:tc>
        <w:tc>
          <w:tcPr>
            <w:tcW w:w="2551" w:type="dxa"/>
            <w:vMerge w:val="restart"/>
            <w:vAlign w:val="center"/>
          </w:tcPr>
          <w:p w14:paraId="43D13A8E">
            <w:pPr>
              <w:pStyle w:val="11"/>
            </w:pPr>
            <w:r>
              <w:t>合计</w:t>
            </w:r>
          </w:p>
        </w:tc>
        <w:tc>
          <w:tcPr>
            <w:tcW w:w="2551" w:type="dxa"/>
            <w:vMerge w:val="restart"/>
            <w:vAlign w:val="center"/>
          </w:tcPr>
          <w:p w14:paraId="4C0339A1">
            <w:pPr>
              <w:pStyle w:val="11"/>
            </w:pPr>
            <w:r>
              <w:t>基本支出</w:t>
            </w:r>
          </w:p>
        </w:tc>
        <w:tc>
          <w:tcPr>
            <w:tcW w:w="2551" w:type="dxa"/>
            <w:vMerge w:val="restart"/>
            <w:vAlign w:val="center"/>
          </w:tcPr>
          <w:p w14:paraId="393DE097">
            <w:pPr>
              <w:pStyle w:val="11"/>
            </w:pPr>
            <w:r>
              <w:t>项目支出</w:t>
            </w:r>
          </w:p>
        </w:tc>
      </w:tr>
      <w:tr w14:paraId="23FCB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495AA"/>
        </w:tc>
        <w:tc>
          <w:tcPr>
            <w:tcW w:w="1191" w:type="dxa"/>
            <w:vAlign w:val="center"/>
          </w:tcPr>
          <w:p w14:paraId="2BECE5FE">
            <w:pPr>
              <w:pStyle w:val="11"/>
            </w:pPr>
            <w:r>
              <w:t>科目编码</w:t>
            </w:r>
          </w:p>
        </w:tc>
        <w:tc>
          <w:tcPr>
            <w:tcW w:w="4535" w:type="dxa"/>
            <w:vAlign w:val="center"/>
          </w:tcPr>
          <w:p w14:paraId="24473966">
            <w:pPr>
              <w:pStyle w:val="11"/>
            </w:pPr>
            <w:r>
              <w:t>科目名称</w:t>
            </w:r>
          </w:p>
        </w:tc>
        <w:tc>
          <w:tcPr>
            <w:tcW w:w="2551" w:type="dxa"/>
            <w:vMerge w:val="continue"/>
          </w:tcPr>
          <w:p w14:paraId="11E6AED2"/>
        </w:tc>
        <w:tc>
          <w:tcPr>
            <w:tcW w:w="2551" w:type="dxa"/>
            <w:vMerge w:val="continue"/>
          </w:tcPr>
          <w:p w14:paraId="2A4322AE"/>
        </w:tc>
        <w:tc>
          <w:tcPr>
            <w:tcW w:w="2551" w:type="dxa"/>
            <w:vMerge w:val="continue"/>
          </w:tcPr>
          <w:p w14:paraId="0626F742"/>
        </w:tc>
      </w:tr>
      <w:tr w14:paraId="011A3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04E89">
            <w:pPr>
              <w:pStyle w:val="11"/>
            </w:pPr>
            <w:r>
              <w:t>栏次</w:t>
            </w:r>
          </w:p>
        </w:tc>
        <w:tc>
          <w:tcPr>
            <w:tcW w:w="1191" w:type="dxa"/>
            <w:vAlign w:val="center"/>
          </w:tcPr>
          <w:p w14:paraId="4D0F7077">
            <w:pPr>
              <w:pStyle w:val="11"/>
            </w:pPr>
            <w:r>
              <w:t>1</w:t>
            </w:r>
          </w:p>
        </w:tc>
        <w:tc>
          <w:tcPr>
            <w:tcW w:w="4535" w:type="dxa"/>
            <w:vAlign w:val="center"/>
          </w:tcPr>
          <w:p w14:paraId="5493751F">
            <w:pPr>
              <w:pStyle w:val="11"/>
            </w:pPr>
            <w:r>
              <w:t>2</w:t>
            </w:r>
          </w:p>
        </w:tc>
        <w:tc>
          <w:tcPr>
            <w:tcW w:w="2551" w:type="dxa"/>
            <w:vAlign w:val="center"/>
          </w:tcPr>
          <w:p w14:paraId="7D7045CC">
            <w:pPr>
              <w:pStyle w:val="11"/>
            </w:pPr>
            <w:r>
              <w:t>3</w:t>
            </w:r>
          </w:p>
        </w:tc>
        <w:tc>
          <w:tcPr>
            <w:tcW w:w="2551" w:type="dxa"/>
            <w:vAlign w:val="center"/>
          </w:tcPr>
          <w:p w14:paraId="2A3519B7">
            <w:pPr>
              <w:pStyle w:val="11"/>
            </w:pPr>
            <w:r>
              <w:t>4</w:t>
            </w:r>
          </w:p>
        </w:tc>
        <w:tc>
          <w:tcPr>
            <w:tcW w:w="2551" w:type="dxa"/>
            <w:vAlign w:val="center"/>
          </w:tcPr>
          <w:p w14:paraId="472057D9">
            <w:pPr>
              <w:pStyle w:val="11"/>
            </w:pPr>
            <w:r>
              <w:t>5</w:t>
            </w:r>
          </w:p>
        </w:tc>
      </w:tr>
      <w:tr w14:paraId="3BA8E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5BDF1">
            <w:pPr>
              <w:pStyle w:val="12"/>
            </w:pPr>
          </w:p>
        </w:tc>
        <w:tc>
          <w:tcPr>
            <w:tcW w:w="1191" w:type="dxa"/>
            <w:vAlign w:val="center"/>
          </w:tcPr>
          <w:p w14:paraId="66ABE520">
            <w:pPr>
              <w:pStyle w:val="13"/>
            </w:pPr>
          </w:p>
        </w:tc>
        <w:tc>
          <w:tcPr>
            <w:tcW w:w="4535" w:type="dxa"/>
            <w:vAlign w:val="center"/>
          </w:tcPr>
          <w:p w14:paraId="5CA3C94A">
            <w:pPr>
              <w:pStyle w:val="13"/>
            </w:pPr>
          </w:p>
        </w:tc>
        <w:tc>
          <w:tcPr>
            <w:tcW w:w="2551" w:type="dxa"/>
            <w:vAlign w:val="center"/>
          </w:tcPr>
          <w:p w14:paraId="669C52AB">
            <w:pPr>
              <w:pStyle w:val="14"/>
            </w:pPr>
          </w:p>
        </w:tc>
        <w:tc>
          <w:tcPr>
            <w:tcW w:w="2551" w:type="dxa"/>
            <w:vAlign w:val="center"/>
          </w:tcPr>
          <w:p w14:paraId="0F402839">
            <w:pPr>
              <w:pStyle w:val="14"/>
            </w:pPr>
          </w:p>
        </w:tc>
        <w:tc>
          <w:tcPr>
            <w:tcW w:w="2551" w:type="dxa"/>
            <w:vAlign w:val="center"/>
          </w:tcPr>
          <w:p w14:paraId="7639EDDF">
            <w:pPr>
              <w:pStyle w:val="14"/>
            </w:pPr>
          </w:p>
        </w:tc>
      </w:tr>
    </w:tbl>
    <w:p w14:paraId="66B9FF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AF1D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53A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8A43AA">
            <w:pPr>
              <w:pStyle w:val="8"/>
            </w:pPr>
            <w:r>
              <w:t>360027隆尧县莲子镇校区</w:t>
            </w:r>
          </w:p>
        </w:tc>
        <w:tc>
          <w:tcPr>
            <w:tcW w:w="2381" w:type="dxa"/>
            <w:tcBorders>
              <w:top w:val="single" w:color="FFFFFF" w:sz="6" w:space="0"/>
              <w:left w:val="single" w:color="FFFFFF" w:sz="6" w:space="0"/>
              <w:right w:val="single" w:color="FFFFFF" w:sz="6" w:space="0"/>
            </w:tcBorders>
            <w:vAlign w:val="center"/>
          </w:tcPr>
          <w:p w14:paraId="76342C32">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A99E7D9">
            <w:pPr>
              <w:pStyle w:val="10"/>
            </w:pPr>
            <w:r>
              <w:t>单位：万元</w:t>
            </w:r>
          </w:p>
        </w:tc>
      </w:tr>
      <w:tr w14:paraId="6440B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E4528">
            <w:pPr>
              <w:pStyle w:val="11"/>
            </w:pPr>
            <w:r>
              <w:t>序号</w:t>
            </w:r>
          </w:p>
        </w:tc>
        <w:tc>
          <w:tcPr>
            <w:tcW w:w="3798" w:type="dxa"/>
            <w:vMerge w:val="restart"/>
            <w:vAlign w:val="center"/>
          </w:tcPr>
          <w:p w14:paraId="7AC6592F">
            <w:pPr>
              <w:pStyle w:val="11"/>
            </w:pPr>
            <w:r>
              <w:t>项  目</w:t>
            </w:r>
          </w:p>
        </w:tc>
        <w:tc>
          <w:tcPr>
            <w:tcW w:w="9524" w:type="dxa"/>
            <w:gridSpan w:val="4"/>
            <w:vAlign w:val="center"/>
          </w:tcPr>
          <w:p w14:paraId="05DE2501">
            <w:pPr>
              <w:pStyle w:val="11"/>
            </w:pPr>
            <w:r>
              <w:t>资 金 性 质</w:t>
            </w:r>
          </w:p>
        </w:tc>
      </w:tr>
      <w:tr w14:paraId="239B6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113E67"/>
        </w:tc>
        <w:tc>
          <w:tcPr>
            <w:tcW w:w="3798" w:type="dxa"/>
            <w:vMerge w:val="continue"/>
          </w:tcPr>
          <w:p w14:paraId="56259277"/>
        </w:tc>
        <w:tc>
          <w:tcPr>
            <w:tcW w:w="2381" w:type="dxa"/>
            <w:vAlign w:val="center"/>
          </w:tcPr>
          <w:p w14:paraId="0A3F161E">
            <w:pPr>
              <w:pStyle w:val="11"/>
            </w:pPr>
            <w:r>
              <w:t>合计</w:t>
            </w:r>
          </w:p>
        </w:tc>
        <w:tc>
          <w:tcPr>
            <w:tcW w:w="2381" w:type="dxa"/>
            <w:vAlign w:val="center"/>
          </w:tcPr>
          <w:p w14:paraId="723EA901">
            <w:pPr>
              <w:pStyle w:val="11"/>
            </w:pPr>
            <w:r>
              <w:t>一般公共预算              财政拨款</w:t>
            </w:r>
          </w:p>
        </w:tc>
        <w:tc>
          <w:tcPr>
            <w:tcW w:w="2381" w:type="dxa"/>
            <w:vAlign w:val="center"/>
          </w:tcPr>
          <w:p w14:paraId="407D6E82">
            <w:pPr>
              <w:pStyle w:val="11"/>
            </w:pPr>
            <w:r>
              <w:t>政府性基金                  预算拨款</w:t>
            </w:r>
          </w:p>
        </w:tc>
        <w:tc>
          <w:tcPr>
            <w:tcW w:w="2381" w:type="dxa"/>
            <w:vAlign w:val="center"/>
          </w:tcPr>
          <w:p w14:paraId="49C32EA2">
            <w:pPr>
              <w:pStyle w:val="11"/>
            </w:pPr>
            <w:r>
              <w:t>国有资本经营              预算财政拨款</w:t>
            </w:r>
          </w:p>
        </w:tc>
      </w:tr>
      <w:tr w14:paraId="4A33A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4BD50B">
            <w:pPr>
              <w:pStyle w:val="11"/>
            </w:pPr>
            <w:r>
              <w:t>栏次</w:t>
            </w:r>
          </w:p>
        </w:tc>
        <w:tc>
          <w:tcPr>
            <w:tcW w:w="3798" w:type="dxa"/>
            <w:vAlign w:val="center"/>
          </w:tcPr>
          <w:p w14:paraId="625DA7BA">
            <w:pPr>
              <w:pStyle w:val="11"/>
            </w:pPr>
            <w:r>
              <w:t>1</w:t>
            </w:r>
          </w:p>
        </w:tc>
        <w:tc>
          <w:tcPr>
            <w:tcW w:w="2381" w:type="dxa"/>
            <w:vAlign w:val="center"/>
          </w:tcPr>
          <w:p w14:paraId="0735CA44">
            <w:pPr>
              <w:pStyle w:val="11"/>
            </w:pPr>
            <w:r>
              <w:t>2</w:t>
            </w:r>
          </w:p>
        </w:tc>
        <w:tc>
          <w:tcPr>
            <w:tcW w:w="2381" w:type="dxa"/>
            <w:vAlign w:val="center"/>
          </w:tcPr>
          <w:p w14:paraId="4B7DF5B2">
            <w:pPr>
              <w:pStyle w:val="11"/>
            </w:pPr>
            <w:r>
              <w:t>3</w:t>
            </w:r>
          </w:p>
        </w:tc>
        <w:tc>
          <w:tcPr>
            <w:tcW w:w="2381" w:type="dxa"/>
            <w:vAlign w:val="center"/>
          </w:tcPr>
          <w:p w14:paraId="4C66036C">
            <w:pPr>
              <w:pStyle w:val="11"/>
            </w:pPr>
            <w:r>
              <w:t>4</w:t>
            </w:r>
          </w:p>
        </w:tc>
        <w:tc>
          <w:tcPr>
            <w:tcW w:w="2381" w:type="dxa"/>
            <w:vAlign w:val="center"/>
          </w:tcPr>
          <w:p w14:paraId="3536EB35">
            <w:pPr>
              <w:pStyle w:val="11"/>
            </w:pPr>
            <w:r>
              <w:t>5</w:t>
            </w:r>
          </w:p>
        </w:tc>
      </w:tr>
      <w:tr w14:paraId="4AF77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BA86AE">
            <w:pPr>
              <w:pStyle w:val="12"/>
            </w:pPr>
          </w:p>
        </w:tc>
        <w:tc>
          <w:tcPr>
            <w:tcW w:w="3798" w:type="dxa"/>
            <w:vAlign w:val="center"/>
          </w:tcPr>
          <w:p w14:paraId="63DC0509">
            <w:pPr>
              <w:pStyle w:val="13"/>
            </w:pPr>
          </w:p>
        </w:tc>
        <w:tc>
          <w:tcPr>
            <w:tcW w:w="2381" w:type="dxa"/>
            <w:vAlign w:val="center"/>
          </w:tcPr>
          <w:p w14:paraId="4B2CD454">
            <w:pPr>
              <w:pStyle w:val="14"/>
            </w:pPr>
          </w:p>
        </w:tc>
        <w:tc>
          <w:tcPr>
            <w:tcW w:w="2381" w:type="dxa"/>
            <w:vAlign w:val="center"/>
          </w:tcPr>
          <w:p w14:paraId="005745E4">
            <w:pPr>
              <w:pStyle w:val="14"/>
            </w:pPr>
          </w:p>
        </w:tc>
        <w:tc>
          <w:tcPr>
            <w:tcW w:w="2381" w:type="dxa"/>
            <w:vAlign w:val="center"/>
          </w:tcPr>
          <w:p w14:paraId="41A43F10">
            <w:pPr>
              <w:pStyle w:val="14"/>
            </w:pPr>
          </w:p>
        </w:tc>
        <w:tc>
          <w:tcPr>
            <w:tcW w:w="2381" w:type="dxa"/>
            <w:vAlign w:val="center"/>
          </w:tcPr>
          <w:p w14:paraId="5041FEBE">
            <w:pPr>
              <w:pStyle w:val="14"/>
            </w:pPr>
          </w:p>
        </w:tc>
      </w:tr>
    </w:tbl>
    <w:p w14:paraId="4138853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3A9EF69">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隆尧县莲子镇校区2025年单位预算信息公开情况说明</w:t>
      </w:r>
    </w:p>
    <w:p w14:paraId="4B86283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按照《中华人民共和国预算法》、《地方预决算公开操作规程》和《关于进一步推进预算公开工作的实施意见》规定，现将隆尧县莲子镇校区2025年单位预算公开如下：</w:t>
      </w:r>
    </w:p>
    <w:p w14:paraId="3F6AA2A1">
      <w:pPr>
        <w:spacing w:before="10" w:after="10" w:line="240" w:lineRule="auto"/>
        <w:ind w:firstLine="640"/>
        <w:jc w:val="left"/>
        <w:outlineLvl w:val="5"/>
      </w:pPr>
      <w:r>
        <w:rPr>
          <w:rFonts w:ascii="黑体" w:hAnsi="黑体" w:eastAsia="黑体" w:cs="黑体"/>
          <w:color w:val="000000"/>
          <w:sz w:val="32"/>
        </w:rPr>
        <w:t>一、单位职责及机构设置情况</w:t>
      </w:r>
    </w:p>
    <w:p w14:paraId="411103F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94B990">
      <w:pPr>
        <w:pStyle w:val="18"/>
      </w:pPr>
      <w:r>
        <w:t>隆尧县莲子镇校区为隆尧县教育局下属二级单位，相当股级事业单位，单位类别为公益一类事业单位。贯彻落实基础教育的方针、政策，开展小学阶段教育教学工作，促进学生德、智、体、美、劳全面发展；负责学生安全教育和管理，确保学生身心健康；加强教师队伍建设和管理，为教育教学工作提供保障。严格定岗、定员、定编。</w:t>
      </w:r>
    </w:p>
    <w:p w14:paraId="0FAE2E8E">
      <w:pPr>
        <w:pStyle w:val="18"/>
      </w:pPr>
      <w:r>
        <w:t>隆尧县莲子镇校区事业编制173名</w:t>
      </w:r>
      <w:r>
        <w:rPr>
          <w:rFonts w:hint="eastAsia"/>
          <w:lang w:eastAsia="zh-CN"/>
        </w:rPr>
        <w:t>。</w:t>
      </w:r>
      <w:r>
        <w:t>其中，校长1名（正股级），副校长3名（副股级）；专职副书记1名（副股级），经费形式为财政性资金基本保证。</w:t>
      </w:r>
    </w:p>
    <w:p w14:paraId="4676208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8CE62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D42B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4FDB6B">
            <w:pPr>
              <w:pStyle w:val="11"/>
            </w:pPr>
            <w:r>
              <w:t>单位名称</w:t>
            </w:r>
          </w:p>
        </w:tc>
        <w:tc>
          <w:tcPr>
            <w:tcW w:w="1843" w:type="dxa"/>
            <w:vAlign w:val="center"/>
          </w:tcPr>
          <w:p w14:paraId="47AA52C8">
            <w:pPr>
              <w:pStyle w:val="11"/>
            </w:pPr>
            <w:r>
              <w:t>单位性质</w:t>
            </w:r>
          </w:p>
        </w:tc>
        <w:tc>
          <w:tcPr>
            <w:tcW w:w="2126" w:type="dxa"/>
            <w:vAlign w:val="center"/>
          </w:tcPr>
          <w:p w14:paraId="26355C99">
            <w:pPr>
              <w:pStyle w:val="11"/>
            </w:pPr>
            <w:r>
              <w:t>单位规格</w:t>
            </w:r>
          </w:p>
        </w:tc>
        <w:tc>
          <w:tcPr>
            <w:tcW w:w="3827" w:type="dxa"/>
            <w:vAlign w:val="center"/>
          </w:tcPr>
          <w:p w14:paraId="01C96E89">
            <w:pPr>
              <w:pStyle w:val="11"/>
            </w:pPr>
            <w:r>
              <w:t>经费保障形式</w:t>
            </w:r>
          </w:p>
        </w:tc>
      </w:tr>
      <w:tr w14:paraId="3E1E2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44BAAF8">
            <w:pPr>
              <w:pStyle w:val="13"/>
            </w:pPr>
            <w:r>
              <w:t>隆尧县莲子镇校区</w:t>
            </w:r>
          </w:p>
        </w:tc>
        <w:tc>
          <w:tcPr>
            <w:tcW w:w="1843" w:type="dxa"/>
            <w:vAlign w:val="center"/>
          </w:tcPr>
          <w:p w14:paraId="00DEE890">
            <w:pPr>
              <w:pStyle w:val="12"/>
            </w:pPr>
            <w:r>
              <w:t>事业</w:t>
            </w:r>
          </w:p>
        </w:tc>
        <w:tc>
          <w:tcPr>
            <w:tcW w:w="2126" w:type="dxa"/>
            <w:vAlign w:val="center"/>
          </w:tcPr>
          <w:p w14:paraId="53A0E31D">
            <w:pPr>
              <w:pStyle w:val="12"/>
            </w:pPr>
            <w:r>
              <w:t>股级</w:t>
            </w:r>
          </w:p>
        </w:tc>
        <w:tc>
          <w:tcPr>
            <w:tcW w:w="3827" w:type="dxa"/>
            <w:vAlign w:val="center"/>
          </w:tcPr>
          <w:p w14:paraId="72FC1568">
            <w:pPr>
              <w:pStyle w:val="12"/>
            </w:pPr>
            <w:r>
              <w:t>财政性资金基本保证</w:t>
            </w:r>
          </w:p>
        </w:tc>
      </w:tr>
    </w:tbl>
    <w:p w14:paraId="6567FE2C">
      <w:pPr>
        <w:spacing w:before="10" w:after="10" w:line="240" w:lineRule="auto"/>
        <w:ind w:firstLine="640"/>
        <w:jc w:val="left"/>
        <w:outlineLvl w:val="5"/>
      </w:pPr>
      <w:r>
        <w:rPr>
          <w:rFonts w:ascii="黑体" w:hAnsi="黑体" w:eastAsia="黑体" w:cs="黑体"/>
          <w:color w:val="000000"/>
          <w:sz w:val="32"/>
        </w:rPr>
        <w:t>二、单位预算安排的总体情况</w:t>
      </w:r>
    </w:p>
    <w:p w14:paraId="292363CD">
      <w:pPr>
        <w:pStyle w:val="19"/>
      </w:pPr>
      <w:r>
        <w:t>按照预算管理有关规定，目前我县部门预算的编制实行综合预算管理，即全部收入和支出都反映的预算中。隆尧县莲子镇校区的收支包含在部门预算中。</w:t>
      </w:r>
    </w:p>
    <w:p w14:paraId="0C9210E3">
      <w:pPr>
        <w:pStyle w:val="19"/>
      </w:pPr>
      <w:r>
        <w:t>1、收入说明</w:t>
      </w:r>
    </w:p>
    <w:p w14:paraId="77C3200E">
      <w:pPr>
        <w:pStyle w:val="19"/>
      </w:pPr>
      <w:r>
        <w:t>反映本部门当年全部收入。2025年预算收入2813.26万元，其中：一般公共预算收入2784.32万元，基金预算收入0万元，财政专户核拨收入0万元，其他来源收入（单位资金）0万元，上年结转28.94万元。</w:t>
      </w:r>
    </w:p>
    <w:p w14:paraId="1D50F321">
      <w:pPr>
        <w:pStyle w:val="19"/>
      </w:pPr>
      <w:r>
        <w:t>2、支出说明</w:t>
      </w:r>
    </w:p>
    <w:p w14:paraId="611A331D">
      <w:pPr>
        <w:pStyle w:val="19"/>
      </w:pPr>
      <w:r>
        <w:t>收支预算总表支出栏、基本支出表、项目支出表按经济分类和支出功能分类科目编制，反映隆尧县莲子镇校区年度部门预算中支出预算的总体情况。2025年支出预算2813.26万元，其中基本支出2232.37万元，项目支出580.89万元。主要为小学教育2469.84万元，学前教育343.42万元。</w:t>
      </w:r>
    </w:p>
    <w:p w14:paraId="3E2239AE">
      <w:pPr>
        <w:pStyle w:val="19"/>
      </w:pPr>
      <w:r>
        <w:t>3、比上年增减情况</w:t>
      </w:r>
    </w:p>
    <w:p w14:paraId="58FD695D">
      <w:pPr>
        <w:pStyle w:val="19"/>
      </w:pPr>
      <w:r>
        <w:t>2025年预算收支安排2813.26万元，2024年年初预算为2702.32万元，较2024年年初预算增加110.94万元，其中：基本支出增加205.74万元，项目支出增加5.2万元。</w:t>
      </w:r>
    </w:p>
    <w:p w14:paraId="32A823C6">
      <w:pPr>
        <w:spacing w:before="10" w:after="10" w:line="240" w:lineRule="auto"/>
        <w:ind w:firstLine="640"/>
        <w:jc w:val="left"/>
        <w:outlineLvl w:val="5"/>
      </w:pPr>
      <w:r>
        <w:rPr>
          <w:rFonts w:ascii="黑体" w:hAnsi="黑体" w:eastAsia="黑体" w:cs="黑体"/>
          <w:color w:val="000000"/>
          <w:sz w:val="32"/>
        </w:rPr>
        <w:t>三、机关运行经费安排情况</w:t>
      </w:r>
    </w:p>
    <w:p w14:paraId="3C341737">
      <w:pPr>
        <w:pStyle w:val="20"/>
      </w:pPr>
      <w:r>
        <w:t>我单位按学生安排公用经费，无机关运行经费。</w:t>
      </w:r>
    </w:p>
    <w:p w14:paraId="33A0290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FEBE458">
      <w:pPr>
        <w:pStyle w:val="21"/>
      </w:pPr>
      <w:r>
        <w:t>我单位未安排三公经费。</w:t>
      </w:r>
    </w:p>
    <w:p w14:paraId="1382E57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78D248">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1、冀财教[2023]154号/中央/义教经费/校舍安全保障/莲子镇校区莲子镇小学塑胶操场改造绩效目标表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D6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0A6D2">
            <w:pPr>
              <w:pStyle w:val="14"/>
            </w:pPr>
            <w:r>
              <w:t>单位：万元</w:t>
            </w:r>
          </w:p>
        </w:tc>
      </w:tr>
      <w:tr w14:paraId="2980B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1E850C">
            <w:pPr>
              <w:pStyle w:val="11"/>
            </w:pPr>
            <w:r>
              <w:t>项目编码</w:t>
            </w:r>
          </w:p>
        </w:tc>
        <w:tc>
          <w:tcPr>
            <w:tcW w:w="5103" w:type="dxa"/>
            <w:gridSpan w:val="2"/>
            <w:vAlign w:val="center"/>
          </w:tcPr>
          <w:p w14:paraId="092F7ECB">
            <w:pPr>
              <w:pStyle w:val="13"/>
            </w:pPr>
            <w:r>
              <w:t>13052524P000006112550</w:t>
            </w:r>
          </w:p>
        </w:tc>
        <w:tc>
          <w:tcPr>
            <w:tcW w:w="2835" w:type="dxa"/>
            <w:vAlign w:val="center"/>
          </w:tcPr>
          <w:p w14:paraId="2A2030D7">
            <w:pPr>
              <w:pStyle w:val="11"/>
            </w:pPr>
            <w:r>
              <w:t>项目名称</w:t>
            </w:r>
          </w:p>
        </w:tc>
        <w:tc>
          <w:tcPr>
            <w:tcW w:w="6095" w:type="dxa"/>
            <w:gridSpan w:val="3"/>
            <w:vAlign w:val="center"/>
          </w:tcPr>
          <w:p w14:paraId="01D1E7E9">
            <w:pPr>
              <w:pStyle w:val="13"/>
            </w:pPr>
            <w:r>
              <w:t>冀财教[2023]154号/中央/义教经费/校舍安全保障/莲子镇校区莲子镇小学塑胶操场改造</w:t>
            </w:r>
          </w:p>
        </w:tc>
      </w:tr>
      <w:tr w14:paraId="52283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8CCAA">
            <w:pPr>
              <w:pStyle w:val="11"/>
            </w:pPr>
            <w:r>
              <w:t>预算规模及资金用途</w:t>
            </w:r>
          </w:p>
        </w:tc>
        <w:tc>
          <w:tcPr>
            <w:tcW w:w="2268" w:type="dxa"/>
            <w:vAlign w:val="center"/>
          </w:tcPr>
          <w:p w14:paraId="710C3C2E">
            <w:pPr>
              <w:pStyle w:val="11"/>
            </w:pPr>
            <w:r>
              <w:t>预算数</w:t>
            </w:r>
          </w:p>
        </w:tc>
        <w:tc>
          <w:tcPr>
            <w:tcW w:w="2835" w:type="dxa"/>
            <w:vAlign w:val="center"/>
          </w:tcPr>
          <w:p w14:paraId="7C7F88A3">
            <w:pPr>
              <w:pStyle w:val="13"/>
            </w:pPr>
            <w:r>
              <w:t>28.94</w:t>
            </w:r>
          </w:p>
        </w:tc>
        <w:tc>
          <w:tcPr>
            <w:tcW w:w="2835" w:type="dxa"/>
            <w:vAlign w:val="center"/>
          </w:tcPr>
          <w:p w14:paraId="33EBA809">
            <w:pPr>
              <w:pStyle w:val="11"/>
            </w:pPr>
            <w:r>
              <w:t>其中：财政    资金</w:t>
            </w:r>
          </w:p>
        </w:tc>
        <w:tc>
          <w:tcPr>
            <w:tcW w:w="2551" w:type="dxa"/>
            <w:vAlign w:val="center"/>
          </w:tcPr>
          <w:p w14:paraId="29869187">
            <w:pPr>
              <w:pStyle w:val="13"/>
            </w:pPr>
            <w:r>
              <w:t>28.94</w:t>
            </w:r>
          </w:p>
        </w:tc>
        <w:tc>
          <w:tcPr>
            <w:tcW w:w="2268" w:type="dxa"/>
            <w:vAlign w:val="center"/>
          </w:tcPr>
          <w:p w14:paraId="6D6E2F0B">
            <w:pPr>
              <w:pStyle w:val="11"/>
            </w:pPr>
            <w:r>
              <w:t>其他资金</w:t>
            </w:r>
          </w:p>
        </w:tc>
        <w:tc>
          <w:tcPr>
            <w:tcW w:w="1276" w:type="dxa"/>
            <w:vAlign w:val="center"/>
          </w:tcPr>
          <w:p w14:paraId="465A3280">
            <w:pPr>
              <w:pStyle w:val="13"/>
            </w:pPr>
            <w:r>
              <w:t xml:space="preserve"> </w:t>
            </w:r>
          </w:p>
        </w:tc>
      </w:tr>
      <w:tr w14:paraId="329BC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3112B"/>
        </w:tc>
        <w:tc>
          <w:tcPr>
            <w:tcW w:w="14033" w:type="dxa"/>
            <w:gridSpan w:val="6"/>
            <w:vAlign w:val="center"/>
          </w:tcPr>
          <w:p w14:paraId="6494111E">
            <w:pPr>
              <w:pStyle w:val="13"/>
            </w:pPr>
            <w:r>
              <w:t>完成莲子镇小学透气性塑胶跑道、免填充型草坪足球场共计4220㎡；旗杆；主席台的改造，提升学校办学条件，改善学校办学面貌。</w:t>
            </w:r>
          </w:p>
        </w:tc>
      </w:tr>
      <w:tr w14:paraId="1465D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7D684">
            <w:pPr>
              <w:pStyle w:val="11"/>
            </w:pPr>
            <w:r>
              <w:t>资金支出计划（%）</w:t>
            </w:r>
          </w:p>
        </w:tc>
        <w:tc>
          <w:tcPr>
            <w:tcW w:w="5103" w:type="dxa"/>
            <w:gridSpan w:val="2"/>
            <w:vAlign w:val="center"/>
          </w:tcPr>
          <w:p w14:paraId="22F8E821">
            <w:pPr>
              <w:pStyle w:val="11"/>
            </w:pPr>
            <w:r>
              <w:t>3月底</w:t>
            </w:r>
          </w:p>
        </w:tc>
        <w:tc>
          <w:tcPr>
            <w:tcW w:w="2835" w:type="dxa"/>
            <w:vAlign w:val="center"/>
          </w:tcPr>
          <w:p w14:paraId="4A95F443">
            <w:pPr>
              <w:pStyle w:val="11"/>
            </w:pPr>
            <w:r>
              <w:t>6月底</w:t>
            </w:r>
          </w:p>
        </w:tc>
        <w:tc>
          <w:tcPr>
            <w:tcW w:w="2551" w:type="dxa"/>
            <w:vAlign w:val="center"/>
          </w:tcPr>
          <w:p w14:paraId="1D786093">
            <w:pPr>
              <w:pStyle w:val="11"/>
            </w:pPr>
            <w:r>
              <w:t>10月底</w:t>
            </w:r>
          </w:p>
        </w:tc>
        <w:tc>
          <w:tcPr>
            <w:tcW w:w="3544" w:type="dxa"/>
            <w:gridSpan w:val="2"/>
            <w:vAlign w:val="center"/>
          </w:tcPr>
          <w:p w14:paraId="528F2C77">
            <w:pPr>
              <w:pStyle w:val="11"/>
            </w:pPr>
            <w:r>
              <w:t>12月底</w:t>
            </w:r>
          </w:p>
        </w:tc>
      </w:tr>
      <w:tr w14:paraId="16EF8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43BBA8"/>
        </w:tc>
        <w:tc>
          <w:tcPr>
            <w:tcW w:w="5103" w:type="dxa"/>
            <w:gridSpan w:val="2"/>
            <w:vAlign w:val="center"/>
          </w:tcPr>
          <w:p w14:paraId="70152DAD">
            <w:pPr>
              <w:pStyle w:val="12"/>
            </w:pPr>
            <w:r>
              <w:t>50%</w:t>
            </w:r>
          </w:p>
        </w:tc>
        <w:tc>
          <w:tcPr>
            <w:tcW w:w="2835" w:type="dxa"/>
            <w:vAlign w:val="center"/>
          </w:tcPr>
          <w:p w14:paraId="7C3D48CC">
            <w:pPr>
              <w:pStyle w:val="12"/>
            </w:pPr>
            <w:r>
              <w:t>100%</w:t>
            </w:r>
          </w:p>
        </w:tc>
        <w:tc>
          <w:tcPr>
            <w:tcW w:w="2551" w:type="dxa"/>
            <w:vAlign w:val="center"/>
          </w:tcPr>
          <w:p w14:paraId="65D30328">
            <w:pPr>
              <w:pStyle w:val="12"/>
            </w:pPr>
            <w:r>
              <w:t>100%</w:t>
            </w:r>
          </w:p>
        </w:tc>
        <w:tc>
          <w:tcPr>
            <w:tcW w:w="3544" w:type="dxa"/>
            <w:gridSpan w:val="2"/>
            <w:vAlign w:val="center"/>
          </w:tcPr>
          <w:p w14:paraId="5ED4918C">
            <w:pPr>
              <w:pStyle w:val="12"/>
            </w:pPr>
            <w:r>
              <w:t>100%</w:t>
            </w:r>
          </w:p>
        </w:tc>
      </w:tr>
      <w:tr w14:paraId="53D1A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25813E">
            <w:pPr>
              <w:pStyle w:val="11"/>
            </w:pPr>
            <w:r>
              <w:t>绩效目标</w:t>
            </w:r>
          </w:p>
        </w:tc>
        <w:tc>
          <w:tcPr>
            <w:tcW w:w="14033" w:type="dxa"/>
            <w:gridSpan w:val="6"/>
            <w:vAlign w:val="center"/>
          </w:tcPr>
          <w:p w14:paraId="23BC5448">
            <w:pPr>
              <w:pStyle w:val="13"/>
            </w:pPr>
            <w:r>
              <w:t>1.完成莲子镇小学透气性塑胶跑道、免填充型草坪足球场共计4220㎡；旗杆；主席台的改造，提升学校办学条件，改善学校办学面貌。</w:t>
            </w:r>
          </w:p>
          <w:p w14:paraId="7E8BF94B">
            <w:pPr>
              <w:pStyle w:val="13"/>
            </w:pPr>
            <w:r>
              <w:t>2.按规定拨付专项资金28.94万元，资金拨付率达到100%。</w:t>
            </w:r>
          </w:p>
        </w:tc>
      </w:tr>
    </w:tbl>
    <w:p w14:paraId="1C28F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1F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1A570">
            <w:pPr>
              <w:pStyle w:val="11"/>
            </w:pPr>
            <w:r>
              <w:t>一级指标</w:t>
            </w:r>
          </w:p>
        </w:tc>
        <w:tc>
          <w:tcPr>
            <w:tcW w:w="2268" w:type="dxa"/>
            <w:vAlign w:val="center"/>
          </w:tcPr>
          <w:p w14:paraId="3AAC06B2">
            <w:pPr>
              <w:pStyle w:val="11"/>
            </w:pPr>
            <w:r>
              <w:t>二级指标</w:t>
            </w:r>
          </w:p>
        </w:tc>
        <w:tc>
          <w:tcPr>
            <w:tcW w:w="2835" w:type="dxa"/>
            <w:vAlign w:val="center"/>
          </w:tcPr>
          <w:p w14:paraId="628D7CEF">
            <w:pPr>
              <w:pStyle w:val="11"/>
            </w:pPr>
            <w:r>
              <w:t>三级指标</w:t>
            </w:r>
          </w:p>
        </w:tc>
        <w:tc>
          <w:tcPr>
            <w:tcW w:w="5386" w:type="dxa"/>
            <w:vAlign w:val="center"/>
          </w:tcPr>
          <w:p w14:paraId="6ECB6404">
            <w:pPr>
              <w:pStyle w:val="11"/>
            </w:pPr>
            <w:r>
              <w:t>绩效指标描述</w:t>
            </w:r>
          </w:p>
        </w:tc>
        <w:tc>
          <w:tcPr>
            <w:tcW w:w="2268" w:type="dxa"/>
            <w:vAlign w:val="center"/>
          </w:tcPr>
          <w:p w14:paraId="273C8CC4">
            <w:pPr>
              <w:pStyle w:val="11"/>
            </w:pPr>
            <w:r>
              <w:t>指标值</w:t>
            </w:r>
          </w:p>
        </w:tc>
        <w:tc>
          <w:tcPr>
            <w:tcW w:w="1276" w:type="dxa"/>
            <w:vAlign w:val="center"/>
          </w:tcPr>
          <w:p w14:paraId="3672B6B3">
            <w:pPr>
              <w:pStyle w:val="11"/>
            </w:pPr>
            <w:r>
              <w:t>指标值确定依据</w:t>
            </w:r>
          </w:p>
        </w:tc>
      </w:tr>
      <w:tr w14:paraId="30227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F1203">
            <w:pPr>
              <w:pStyle w:val="12"/>
            </w:pPr>
            <w:r>
              <w:t>产出指标</w:t>
            </w:r>
          </w:p>
        </w:tc>
        <w:tc>
          <w:tcPr>
            <w:tcW w:w="2268" w:type="dxa"/>
            <w:vAlign w:val="center"/>
          </w:tcPr>
          <w:p w14:paraId="61C83287">
            <w:pPr>
              <w:pStyle w:val="13"/>
            </w:pPr>
            <w:r>
              <w:t>数量指标</w:t>
            </w:r>
          </w:p>
        </w:tc>
        <w:tc>
          <w:tcPr>
            <w:tcW w:w="2835" w:type="dxa"/>
            <w:vAlign w:val="center"/>
          </w:tcPr>
          <w:p w14:paraId="630BC264">
            <w:pPr>
              <w:pStyle w:val="13"/>
            </w:pPr>
            <w:r>
              <w:t>塑胶操场改造</w:t>
            </w:r>
          </w:p>
        </w:tc>
        <w:tc>
          <w:tcPr>
            <w:tcW w:w="5386" w:type="dxa"/>
            <w:vAlign w:val="center"/>
          </w:tcPr>
          <w:p w14:paraId="58793A4D">
            <w:pPr>
              <w:pStyle w:val="13"/>
            </w:pPr>
            <w:r>
              <w:t>透气性塑胶跑道、免填充型草坪足球场</w:t>
            </w:r>
          </w:p>
        </w:tc>
        <w:tc>
          <w:tcPr>
            <w:tcW w:w="2268" w:type="dxa"/>
            <w:vAlign w:val="center"/>
          </w:tcPr>
          <w:p w14:paraId="05F5A8EC">
            <w:pPr>
              <w:pStyle w:val="13"/>
            </w:pPr>
            <w:r>
              <w:t>4220平方米</w:t>
            </w:r>
          </w:p>
        </w:tc>
        <w:tc>
          <w:tcPr>
            <w:tcW w:w="1276" w:type="dxa"/>
            <w:vAlign w:val="center"/>
          </w:tcPr>
          <w:p w14:paraId="4027BDFC">
            <w:pPr>
              <w:pStyle w:val="13"/>
            </w:pPr>
            <w:r>
              <w:t>项目规划</w:t>
            </w:r>
          </w:p>
        </w:tc>
      </w:tr>
      <w:tr w14:paraId="5D3E8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7BA00"/>
        </w:tc>
        <w:tc>
          <w:tcPr>
            <w:tcW w:w="2268" w:type="dxa"/>
            <w:vAlign w:val="center"/>
          </w:tcPr>
          <w:p w14:paraId="5AAEC194">
            <w:pPr>
              <w:pStyle w:val="13"/>
            </w:pPr>
            <w:r>
              <w:t>质量指标</w:t>
            </w:r>
          </w:p>
        </w:tc>
        <w:tc>
          <w:tcPr>
            <w:tcW w:w="2835" w:type="dxa"/>
            <w:vAlign w:val="center"/>
          </w:tcPr>
          <w:p w14:paraId="04DEBA59">
            <w:pPr>
              <w:pStyle w:val="13"/>
            </w:pPr>
            <w:r>
              <w:t>项目竣工验收合格率</w:t>
            </w:r>
          </w:p>
        </w:tc>
        <w:tc>
          <w:tcPr>
            <w:tcW w:w="5386" w:type="dxa"/>
            <w:vAlign w:val="center"/>
          </w:tcPr>
          <w:p w14:paraId="18C0126C">
            <w:pPr>
              <w:pStyle w:val="13"/>
            </w:pPr>
            <w:r>
              <w:t>项目改造质量达标率</w:t>
            </w:r>
          </w:p>
        </w:tc>
        <w:tc>
          <w:tcPr>
            <w:tcW w:w="2268" w:type="dxa"/>
            <w:vAlign w:val="center"/>
          </w:tcPr>
          <w:p w14:paraId="259176DB">
            <w:pPr>
              <w:pStyle w:val="13"/>
            </w:pPr>
            <w:r>
              <w:t>≥100%</w:t>
            </w:r>
          </w:p>
        </w:tc>
        <w:tc>
          <w:tcPr>
            <w:tcW w:w="1276" w:type="dxa"/>
            <w:vAlign w:val="center"/>
          </w:tcPr>
          <w:p w14:paraId="26BF95A9">
            <w:pPr>
              <w:pStyle w:val="13"/>
            </w:pPr>
            <w:r>
              <w:t>项目规划</w:t>
            </w:r>
          </w:p>
        </w:tc>
      </w:tr>
      <w:tr w14:paraId="5D0F7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58E84"/>
        </w:tc>
        <w:tc>
          <w:tcPr>
            <w:tcW w:w="2268" w:type="dxa"/>
            <w:vAlign w:val="center"/>
          </w:tcPr>
          <w:p w14:paraId="602B2C4E">
            <w:pPr>
              <w:pStyle w:val="13"/>
            </w:pPr>
            <w:r>
              <w:t>成本指标</w:t>
            </w:r>
          </w:p>
        </w:tc>
        <w:tc>
          <w:tcPr>
            <w:tcW w:w="2835" w:type="dxa"/>
            <w:vAlign w:val="center"/>
          </w:tcPr>
          <w:p w14:paraId="67CBE09D">
            <w:pPr>
              <w:pStyle w:val="13"/>
            </w:pPr>
            <w:r>
              <w:t>项目实际成本</w:t>
            </w:r>
          </w:p>
        </w:tc>
        <w:tc>
          <w:tcPr>
            <w:tcW w:w="5386" w:type="dxa"/>
            <w:vAlign w:val="center"/>
          </w:tcPr>
          <w:p w14:paraId="02E6EE91">
            <w:pPr>
              <w:pStyle w:val="13"/>
            </w:pPr>
            <w:r>
              <w:t>工程实际成本</w:t>
            </w:r>
          </w:p>
        </w:tc>
        <w:tc>
          <w:tcPr>
            <w:tcW w:w="2268" w:type="dxa"/>
            <w:vAlign w:val="center"/>
          </w:tcPr>
          <w:p w14:paraId="69EA1AE4">
            <w:pPr>
              <w:pStyle w:val="13"/>
            </w:pPr>
            <w:r>
              <w:t>28.94万元</w:t>
            </w:r>
          </w:p>
        </w:tc>
        <w:tc>
          <w:tcPr>
            <w:tcW w:w="1276" w:type="dxa"/>
            <w:vAlign w:val="center"/>
          </w:tcPr>
          <w:p w14:paraId="5676F551">
            <w:pPr>
              <w:pStyle w:val="13"/>
            </w:pPr>
            <w:r>
              <w:t>项目规划</w:t>
            </w:r>
          </w:p>
        </w:tc>
      </w:tr>
      <w:tr w14:paraId="0F184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CBAC0"/>
        </w:tc>
        <w:tc>
          <w:tcPr>
            <w:tcW w:w="2268" w:type="dxa"/>
            <w:vAlign w:val="center"/>
          </w:tcPr>
          <w:p w14:paraId="577B869A">
            <w:pPr>
              <w:pStyle w:val="13"/>
            </w:pPr>
            <w:r>
              <w:t>时效指标</w:t>
            </w:r>
          </w:p>
        </w:tc>
        <w:tc>
          <w:tcPr>
            <w:tcW w:w="2835" w:type="dxa"/>
            <w:vAlign w:val="center"/>
          </w:tcPr>
          <w:p w14:paraId="1AD28AC4">
            <w:pPr>
              <w:pStyle w:val="13"/>
            </w:pPr>
            <w:r>
              <w:t>预算执行率</w:t>
            </w:r>
          </w:p>
        </w:tc>
        <w:tc>
          <w:tcPr>
            <w:tcW w:w="5386" w:type="dxa"/>
            <w:vAlign w:val="center"/>
          </w:tcPr>
          <w:p w14:paraId="3B99F0C6">
            <w:pPr>
              <w:pStyle w:val="13"/>
            </w:pPr>
            <w:r>
              <w:t>按照工程时间进行资金支付</w:t>
            </w:r>
          </w:p>
        </w:tc>
        <w:tc>
          <w:tcPr>
            <w:tcW w:w="2268" w:type="dxa"/>
            <w:vAlign w:val="center"/>
          </w:tcPr>
          <w:p w14:paraId="3C4051D8">
            <w:pPr>
              <w:pStyle w:val="13"/>
            </w:pPr>
            <w:r>
              <w:t>≥95%</w:t>
            </w:r>
          </w:p>
        </w:tc>
        <w:tc>
          <w:tcPr>
            <w:tcW w:w="1276" w:type="dxa"/>
            <w:vAlign w:val="center"/>
          </w:tcPr>
          <w:p w14:paraId="3AB4CC23">
            <w:pPr>
              <w:pStyle w:val="13"/>
            </w:pPr>
            <w:r>
              <w:t>项目规划</w:t>
            </w:r>
          </w:p>
        </w:tc>
      </w:tr>
      <w:tr w14:paraId="4DB6C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823B62">
            <w:pPr>
              <w:pStyle w:val="12"/>
            </w:pPr>
            <w:r>
              <w:t>效益指标</w:t>
            </w:r>
          </w:p>
        </w:tc>
        <w:tc>
          <w:tcPr>
            <w:tcW w:w="2268" w:type="dxa"/>
            <w:vAlign w:val="center"/>
          </w:tcPr>
          <w:p w14:paraId="0931B508">
            <w:pPr>
              <w:pStyle w:val="13"/>
            </w:pPr>
            <w:r>
              <w:t>可持续影响指标</w:t>
            </w:r>
          </w:p>
        </w:tc>
        <w:tc>
          <w:tcPr>
            <w:tcW w:w="2835" w:type="dxa"/>
            <w:vAlign w:val="center"/>
          </w:tcPr>
          <w:p w14:paraId="24537C5C">
            <w:pPr>
              <w:pStyle w:val="13"/>
            </w:pPr>
            <w:r>
              <w:t>工程使用年限</w:t>
            </w:r>
          </w:p>
        </w:tc>
        <w:tc>
          <w:tcPr>
            <w:tcW w:w="5386" w:type="dxa"/>
            <w:vAlign w:val="center"/>
          </w:tcPr>
          <w:p w14:paraId="3BD915B4">
            <w:pPr>
              <w:pStyle w:val="13"/>
            </w:pPr>
            <w:r>
              <w:t>项目实施，有效改善教学环境</w:t>
            </w:r>
          </w:p>
        </w:tc>
        <w:tc>
          <w:tcPr>
            <w:tcW w:w="2268" w:type="dxa"/>
            <w:vAlign w:val="center"/>
          </w:tcPr>
          <w:p w14:paraId="7C8913AB">
            <w:pPr>
              <w:pStyle w:val="13"/>
            </w:pPr>
            <w:r>
              <w:t>6年</w:t>
            </w:r>
          </w:p>
        </w:tc>
        <w:tc>
          <w:tcPr>
            <w:tcW w:w="1276" w:type="dxa"/>
            <w:vAlign w:val="center"/>
          </w:tcPr>
          <w:p w14:paraId="5062516B">
            <w:pPr>
              <w:pStyle w:val="13"/>
            </w:pPr>
            <w:r>
              <w:t>项目规划</w:t>
            </w:r>
          </w:p>
        </w:tc>
      </w:tr>
      <w:tr w14:paraId="1C16C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9E042D">
            <w:pPr>
              <w:pStyle w:val="12"/>
            </w:pPr>
            <w:r>
              <w:t>满意度指标</w:t>
            </w:r>
          </w:p>
        </w:tc>
        <w:tc>
          <w:tcPr>
            <w:tcW w:w="2268" w:type="dxa"/>
            <w:vAlign w:val="center"/>
          </w:tcPr>
          <w:p w14:paraId="7E7E7601">
            <w:pPr>
              <w:pStyle w:val="13"/>
            </w:pPr>
            <w:r>
              <w:t>服务对象满意度指标</w:t>
            </w:r>
          </w:p>
        </w:tc>
        <w:tc>
          <w:tcPr>
            <w:tcW w:w="2835" w:type="dxa"/>
            <w:vAlign w:val="center"/>
          </w:tcPr>
          <w:p w14:paraId="26CC8A5B">
            <w:pPr>
              <w:pStyle w:val="13"/>
            </w:pPr>
            <w:r>
              <w:t>受益学生家长及调查满意度</w:t>
            </w:r>
          </w:p>
        </w:tc>
        <w:tc>
          <w:tcPr>
            <w:tcW w:w="5386" w:type="dxa"/>
            <w:vAlign w:val="center"/>
          </w:tcPr>
          <w:p w14:paraId="35806F3C">
            <w:pPr>
              <w:pStyle w:val="13"/>
            </w:pPr>
            <w:r>
              <w:t>学生、教师及家长对学校工作满意度情况</w:t>
            </w:r>
          </w:p>
        </w:tc>
        <w:tc>
          <w:tcPr>
            <w:tcW w:w="2268" w:type="dxa"/>
            <w:vAlign w:val="center"/>
          </w:tcPr>
          <w:p w14:paraId="0FEDC2E5">
            <w:pPr>
              <w:pStyle w:val="13"/>
            </w:pPr>
            <w:r>
              <w:t>≥95%</w:t>
            </w:r>
          </w:p>
        </w:tc>
        <w:tc>
          <w:tcPr>
            <w:tcW w:w="1276" w:type="dxa"/>
            <w:vAlign w:val="center"/>
          </w:tcPr>
          <w:p w14:paraId="574F3ACA">
            <w:pPr>
              <w:pStyle w:val="13"/>
            </w:pPr>
            <w:r>
              <w:t>项目规划</w:t>
            </w:r>
          </w:p>
        </w:tc>
      </w:tr>
    </w:tbl>
    <w:p w14:paraId="61289471">
      <w:pPr>
        <w:sectPr>
          <w:pgSz w:w="16840" w:h="11900" w:orient="landscape"/>
          <w:pgMar w:top="1361" w:right="1020" w:bottom="1134" w:left="1020" w:header="720" w:footer="720" w:gutter="0"/>
          <w:cols w:space="720" w:num="1"/>
        </w:sectPr>
      </w:pPr>
    </w:p>
    <w:p w14:paraId="4329BDBA">
      <w:pPr>
        <w:spacing w:before="0" w:after="0"/>
        <w:ind w:firstLine="560"/>
        <w:jc w:val="left"/>
        <w:outlineLvl w:val="9"/>
      </w:pPr>
      <w:r>
        <w:rPr>
          <w:rFonts w:ascii="方正仿宋_GBK" w:hAnsi="方正仿宋_GBK" w:eastAsia="方正仿宋_GBK" w:cs="方正仿宋_GBK"/>
          <w:b/>
          <w:color w:val="000000"/>
          <w:sz w:val="28"/>
        </w:rPr>
        <w:t>2、冀财教[2024]121号/中央/2025年学前发展资金/莲子镇校区学前教育幼儿资助绩效目标表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B3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60EB7">
            <w:pPr>
              <w:pStyle w:val="14"/>
            </w:pPr>
            <w:r>
              <w:t>单位：万元</w:t>
            </w:r>
          </w:p>
        </w:tc>
      </w:tr>
      <w:tr w14:paraId="66C39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B3C7C">
            <w:pPr>
              <w:pStyle w:val="11"/>
            </w:pPr>
            <w:r>
              <w:t>项目编码</w:t>
            </w:r>
          </w:p>
        </w:tc>
        <w:tc>
          <w:tcPr>
            <w:tcW w:w="5103" w:type="dxa"/>
            <w:gridSpan w:val="2"/>
            <w:vAlign w:val="center"/>
          </w:tcPr>
          <w:p w14:paraId="1B955B94">
            <w:pPr>
              <w:pStyle w:val="13"/>
            </w:pPr>
            <w:r>
              <w:t>13052525P00000210061F</w:t>
            </w:r>
          </w:p>
        </w:tc>
        <w:tc>
          <w:tcPr>
            <w:tcW w:w="2835" w:type="dxa"/>
            <w:vAlign w:val="center"/>
          </w:tcPr>
          <w:p w14:paraId="5275CFBD">
            <w:pPr>
              <w:pStyle w:val="11"/>
            </w:pPr>
            <w:r>
              <w:t>项目名称</w:t>
            </w:r>
          </w:p>
        </w:tc>
        <w:tc>
          <w:tcPr>
            <w:tcW w:w="6095" w:type="dxa"/>
            <w:gridSpan w:val="3"/>
            <w:vAlign w:val="center"/>
          </w:tcPr>
          <w:p w14:paraId="7B311048">
            <w:pPr>
              <w:pStyle w:val="13"/>
            </w:pPr>
            <w:r>
              <w:t>冀财教[2024]121号/中央/2025年学前发展资金/莲子镇校区学前教育幼儿资助</w:t>
            </w:r>
          </w:p>
        </w:tc>
      </w:tr>
      <w:tr w14:paraId="2F207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891D3">
            <w:pPr>
              <w:pStyle w:val="11"/>
            </w:pPr>
            <w:r>
              <w:t>预算规模及资金用途</w:t>
            </w:r>
          </w:p>
        </w:tc>
        <w:tc>
          <w:tcPr>
            <w:tcW w:w="2268" w:type="dxa"/>
            <w:vAlign w:val="center"/>
          </w:tcPr>
          <w:p w14:paraId="01FCF4E8">
            <w:pPr>
              <w:pStyle w:val="11"/>
            </w:pPr>
            <w:r>
              <w:t>预算数</w:t>
            </w:r>
          </w:p>
        </w:tc>
        <w:tc>
          <w:tcPr>
            <w:tcW w:w="2835" w:type="dxa"/>
            <w:vAlign w:val="center"/>
          </w:tcPr>
          <w:p w14:paraId="365CD729">
            <w:pPr>
              <w:pStyle w:val="13"/>
            </w:pPr>
            <w:r>
              <w:t>1.86</w:t>
            </w:r>
          </w:p>
        </w:tc>
        <w:tc>
          <w:tcPr>
            <w:tcW w:w="2835" w:type="dxa"/>
            <w:vAlign w:val="center"/>
          </w:tcPr>
          <w:p w14:paraId="5641F9C6">
            <w:pPr>
              <w:pStyle w:val="11"/>
            </w:pPr>
            <w:r>
              <w:t>其中：财政    资金</w:t>
            </w:r>
          </w:p>
        </w:tc>
        <w:tc>
          <w:tcPr>
            <w:tcW w:w="2551" w:type="dxa"/>
            <w:vAlign w:val="center"/>
          </w:tcPr>
          <w:p w14:paraId="7C695D11">
            <w:pPr>
              <w:pStyle w:val="13"/>
            </w:pPr>
            <w:r>
              <w:t>1.86</w:t>
            </w:r>
          </w:p>
        </w:tc>
        <w:tc>
          <w:tcPr>
            <w:tcW w:w="2268" w:type="dxa"/>
            <w:vAlign w:val="center"/>
          </w:tcPr>
          <w:p w14:paraId="64BE295F">
            <w:pPr>
              <w:pStyle w:val="11"/>
            </w:pPr>
            <w:r>
              <w:t>其他资金</w:t>
            </w:r>
          </w:p>
        </w:tc>
        <w:tc>
          <w:tcPr>
            <w:tcW w:w="1276" w:type="dxa"/>
            <w:vAlign w:val="center"/>
          </w:tcPr>
          <w:p w14:paraId="59A4B9DC">
            <w:pPr>
              <w:pStyle w:val="13"/>
            </w:pPr>
            <w:r>
              <w:t xml:space="preserve"> </w:t>
            </w:r>
          </w:p>
        </w:tc>
      </w:tr>
      <w:tr w14:paraId="33716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938BF"/>
        </w:tc>
        <w:tc>
          <w:tcPr>
            <w:tcW w:w="14033" w:type="dxa"/>
            <w:gridSpan w:val="6"/>
            <w:vAlign w:val="center"/>
          </w:tcPr>
          <w:p w14:paraId="767153BF">
            <w:pPr>
              <w:pStyle w:val="13"/>
            </w:pPr>
            <w:r>
              <w:t>保障落实建档立卡及家庭经济困难儿童资助所需资金，确保建档立卡等家庭经济困难幼儿优先获得资助，符合享受资助条件的学生应助尽助。</w:t>
            </w:r>
          </w:p>
        </w:tc>
      </w:tr>
      <w:tr w14:paraId="59B4E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56024">
            <w:pPr>
              <w:pStyle w:val="11"/>
            </w:pPr>
            <w:r>
              <w:t>资金支出计划（%）</w:t>
            </w:r>
          </w:p>
        </w:tc>
        <w:tc>
          <w:tcPr>
            <w:tcW w:w="5103" w:type="dxa"/>
            <w:gridSpan w:val="2"/>
            <w:vAlign w:val="center"/>
          </w:tcPr>
          <w:p w14:paraId="13BFD37D">
            <w:pPr>
              <w:pStyle w:val="11"/>
            </w:pPr>
            <w:r>
              <w:t>3月底</w:t>
            </w:r>
          </w:p>
        </w:tc>
        <w:tc>
          <w:tcPr>
            <w:tcW w:w="2835" w:type="dxa"/>
            <w:vAlign w:val="center"/>
          </w:tcPr>
          <w:p w14:paraId="751530F3">
            <w:pPr>
              <w:pStyle w:val="11"/>
            </w:pPr>
            <w:r>
              <w:t>6月底</w:t>
            </w:r>
          </w:p>
        </w:tc>
        <w:tc>
          <w:tcPr>
            <w:tcW w:w="2551" w:type="dxa"/>
            <w:vAlign w:val="center"/>
          </w:tcPr>
          <w:p w14:paraId="3169BED9">
            <w:pPr>
              <w:pStyle w:val="11"/>
            </w:pPr>
            <w:r>
              <w:t>10月底</w:t>
            </w:r>
          </w:p>
        </w:tc>
        <w:tc>
          <w:tcPr>
            <w:tcW w:w="3544" w:type="dxa"/>
            <w:gridSpan w:val="2"/>
            <w:vAlign w:val="center"/>
          </w:tcPr>
          <w:p w14:paraId="1BEB5CD2">
            <w:pPr>
              <w:pStyle w:val="11"/>
            </w:pPr>
            <w:r>
              <w:t>12月底</w:t>
            </w:r>
          </w:p>
        </w:tc>
      </w:tr>
      <w:tr w14:paraId="6142E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1079C"/>
        </w:tc>
        <w:tc>
          <w:tcPr>
            <w:tcW w:w="5103" w:type="dxa"/>
            <w:gridSpan w:val="2"/>
            <w:vAlign w:val="center"/>
          </w:tcPr>
          <w:p w14:paraId="069573B2">
            <w:pPr>
              <w:pStyle w:val="12"/>
            </w:pPr>
            <w:r>
              <w:t>25%</w:t>
            </w:r>
          </w:p>
        </w:tc>
        <w:tc>
          <w:tcPr>
            <w:tcW w:w="2835" w:type="dxa"/>
            <w:vAlign w:val="center"/>
          </w:tcPr>
          <w:p w14:paraId="451EDE9A">
            <w:pPr>
              <w:pStyle w:val="12"/>
            </w:pPr>
            <w:r>
              <w:t>50%</w:t>
            </w:r>
          </w:p>
        </w:tc>
        <w:tc>
          <w:tcPr>
            <w:tcW w:w="2551" w:type="dxa"/>
            <w:vAlign w:val="center"/>
          </w:tcPr>
          <w:p w14:paraId="26B931A4">
            <w:pPr>
              <w:pStyle w:val="12"/>
            </w:pPr>
            <w:r>
              <w:t>75%</w:t>
            </w:r>
          </w:p>
        </w:tc>
        <w:tc>
          <w:tcPr>
            <w:tcW w:w="3544" w:type="dxa"/>
            <w:gridSpan w:val="2"/>
            <w:vAlign w:val="center"/>
          </w:tcPr>
          <w:p w14:paraId="5592DBE2">
            <w:pPr>
              <w:pStyle w:val="12"/>
            </w:pPr>
            <w:r>
              <w:t>100%</w:t>
            </w:r>
          </w:p>
        </w:tc>
      </w:tr>
      <w:tr w14:paraId="29D0B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4D53F4">
            <w:pPr>
              <w:pStyle w:val="11"/>
            </w:pPr>
            <w:r>
              <w:t>绩效目标</w:t>
            </w:r>
          </w:p>
        </w:tc>
        <w:tc>
          <w:tcPr>
            <w:tcW w:w="14033" w:type="dxa"/>
            <w:gridSpan w:val="6"/>
            <w:vAlign w:val="center"/>
          </w:tcPr>
          <w:p w14:paraId="4D3538E3">
            <w:pPr>
              <w:pStyle w:val="13"/>
            </w:pPr>
            <w:r>
              <w:t>1.保障落实建档立卡及家庭经济困难儿童资助所需资金，确保建档立卡等家庭经济困难幼儿优先获得资助</w:t>
            </w:r>
          </w:p>
          <w:p w14:paraId="5CC6C071">
            <w:pPr>
              <w:pStyle w:val="13"/>
            </w:pPr>
            <w:r>
              <w:t>2.保证本年度资助经费足额落实到位，符合享受资助条件的学生应助尽助。</w:t>
            </w:r>
          </w:p>
        </w:tc>
      </w:tr>
    </w:tbl>
    <w:p w14:paraId="2030AD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33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EF728">
            <w:pPr>
              <w:pStyle w:val="11"/>
            </w:pPr>
            <w:r>
              <w:t>一级指标</w:t>
            </w:r>
          </w:p>
        </w:tc>
        <w:tc>
          <w:tcPr>
            <w:tcW w:w="2268" w:type="dxa"/>
            <w:vAlign w:val="center"/>
          </w:tcPr>
          <w:p w14:paraId="1B124B92">
            <w:pPr>
              <w:pStyle w:val="11"/>
            </w:pPr>
            <w:r>
              <w:t>二级指标</w:t>
            </w:r>
          </w:p>
        </w:tc>
        <w:tc>
          <w:tcPr>
            <w:tcW w:w="2835" w:type="dxa"/>
            <w:vAlign w:val="center"/>
          </w:tcPr>
          <w:p w14:paraId="103B3968">
            <w:pPr>
              <w:pStyle w:val="11"/>
            </w:pPr>
            <w:r>
              <w:t>三级指标</w:t>
            </w:r>
          </w:p>
        </w:tc>
        <w:tc>
          <w:tcPr>
            <w:tcW w:w="5386" w:type="dxa"/>
            <w:vAlign w:val="center"/>
          </w:tcPr>
          <w:p w14:paraId="4D35E4A7">
            <w:pPr>
              <w:pStyle w:val="11"/>
            </w:pPr>
            <w:r>
              <w:t>绩效指标描述</w:t>
            </w:r>
          </w:p>
        </w:tc>
        <w:tc>
          <w:tcPr>
            <w:tcW w:w="2268" w:type="dxa"/>
            <w:vAlign w:val="center"/>
          </w:tcPr>
          <w:p w14:paraId="0BD707FE">
            <w:pPr>
              <w:pStyle w:val="11"/>
            </w:pPr>
            <w:r>
              <w:t>指标值</w:t>
            </w:r>
          </w:p>
        </w:tc>
        <w:tc>
          <w:tcPr>
            <w:tcW w:w="1276" w:type="dxa"/>
            <w:vAlign w:val="center"/>
          </w:tcPr>
          <w:p w14:paraId="74F28495">
            <w:pPr>
              <w:pStyle w:val="11"/>
            </w:pPr>
            <w:r>
              <w:t>指标值确定依据</w:t>
            </w:r>
          </w:p>
        </w:tc>
      </w:tr>
      <w:tr w14:paraId="4DF6E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0C453">
            <w:pPr>
              <w:pStyle w:val="12"/>
            </w:pPr>
            <w:r>
              <w:t>产出指标</w:t>
            </w:r>
          </w:p>
        </w:tc>
        <w:tc>
          <w:tcPr>
            <w:tcW w:w="2268" w:type="dxa"/>
            <w:vAlign w:val="center"/>
          </w:tcPr>
          <w:p w14:paraId="4792E771">
            <w:pPr>
              <w:pStyle w:val="13"/>
            </w:pPr>
            <w:r>
              <w:t>数量指标</w:t>
            </w:r>
          </w:p>
        </w:tc>
        <w:tc>
          <w:tcPr>
            <w:tcW w:w="2835" w:type="dxa"/>
            <w:vAlign w:val="center"/>
          </w:tcPr>
          <w:p w14:paraId="4CE87308">
            <w:pPr>
              <w:pStyle w:val="13"/>
            </w:pPr>
            <w:r>
              <w:t>幼儿资助比例</w:t>
            </w:r>
          </w:p>
        </w:tc>
        <w:tc>
          <w:tcPr>
            <w:tcW w:w="5386" w:type="dxa"/>
            <w:vAlign w:val="center"/>
          </w:tcPr>
          <w:p w14:paraId="5FE3A1AE">
            <w:pPr>
              <w:pStyle w:val="13"/>
            </w:pPr>
            <w:r>
              <w:t>按学前适龄在园儿童10%测算</w:t>
            </w:r>
          </w:p>
        </w:tc>
        <w:tc>
          <w:tcPr>
            <w:tcW w:w="2268" w:type="dxa"/>
            <w:vAlign w:val="center"/>
          </w:tcPr>
          <w:p w14:paraId="3B35871E">
            <w:pPr>
              <w:pStyle w:val="13"/>
            </w:pPr>
            <w:r>
              <w:t>10%</w:t>
            </w:r>
          </w:p>
        </w:tc>
        <w:tc>
          <w:tcPr>
            <w:tcW w:w="1276" w:type="dxa"/>
            <w:vAlign w:val="center"/>
          </w:tcPr>
          <w:p w14:paraId="7824FBD3">
            <w:pPr>
              <w:pStyle w:val="13"/>
            </w:pPr>
            <w:r>
              <w:t>幼儿资助经费管理办法</w:t>
            </w:r>
          </w:p>
        </w:tc>
      </w:tr>
      <w:tr w14:paraId="46B4C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25F37"/>
        </w:tc>
        <w:tc>
          <w:tcPr>
            <w:tcW w:w="2268" w:type="dxa"/>
            <w:vAlign w:val="center"/>
          </w:tcPr>
          <w:p w14:paraId="7650C083">
            <w:pPr>
              <w:pStyle w:val="13"/>
            </w:pPr>
            <w:r>
              <w:t>质量指标</w:t>
            </w:r>
          </w:p>
        </w:tc>
        <w:tc>
          <w:tcPr>
            <w:tcW w:w="2835" w:type="dxa"/>
            <w:vAlign w:val="center"/>
          </w:tcPr>
          <w:p w14:paraId="7B60597A">
            <w:pPr>
              <w:pStyle w:val="13"/>
            </w:pPr>
            <w:r>
              <w:t>资助资金使用率</w:t>
            </w:r>
          </w:p>
        </w:tc>
        <w:tc>
          <w:tcPr>
            <w:tcW w:w="5386" w:type="dxa"/>
            <w:vAlign w:val="center"/>
          </w:tcPr>
          <w:p w14:paraId="6C96C39B">
            <w:pPr>
              <w:pStyle w:val="13"/>
            </w:pPr>
            <w:r>
              <w:t>符合享受资助条件的学生应助尽助</w:t>
            </w:r>
          </w:p>
        </w:tc>
        <w:tc>
          <w:tcPr>
            <w:tcW w:w="2268" w:type="dxa"/>
            <w:vAlign w:val="center"/>
          </w:tcPr>
          <w:p w14:paraId="5286DCC7">
            <w:pPr>
              <w:pStyle w:val="13"/>
            </w:pPr>
            <w:r>
              <w:t>≥100%</w:t>
            </w:r>
          </w:p>
        </w:tc>
        <w:tc>
          <w:tcPr>
            <w:tcW w:w="1276" w:type="dxa"/>
            <w:vAlign w:val="center"/>
          </w:tcPr>
          <w:p w14:paraId="6559E2CE">
            <w:pPr>
              <w:pStyle w:val="13"/>
            </w:pPr>
            <w:r>
              <w:t>幼儿资助经费管理办法</w:t>
            </w:r>
          </w:p>
        </w:tc>
      </w:tr>
      <w:tr w14:paraId="52A37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8F44B"/>
        </w:tc>
        <w:tc>
          <w:tcPr>
            <w:tcW w:w="2268" w:type="dxa"/>
            <w:vAlign w:val="center"/>
          </w:tcPr>
          <w:p w14:paraId="70CB77E7">
            <w:pPr>
              <w:pStyle w:val="13"/>
            </w:pPr>
            <w:r>
              <w:t>时效指标</w:t>
            </w:r>
          </w:p>
        </w:tc>
        <w:tc>
          <w:tcPr>
            <w:tcW w:w="2835" w:type="dxa"/>
            <w:vAlign w:val="center"/>
          </w:tcPr>
          <w:p w14:paraId="019CD9B7">
            <w:pPr>
              <w:pStyle w:val="13"/>
            </w:pPr>
            <w:r>
              <w:t>资金拨付率</w:t>
            </w:r>
          </w:p>
        </w:tc>
        <w:tc>
          <w:tcPr>
            <w:tcW w:w="5386" w:type="dxa"/>
            <w:vAlign w:val="center"/>
          </w:tcPr>
          <w:p w14:paraId="6EA8FE02">
            <w:pPr>
              <w:pStyle w:val="13"/>
            </w:pPr>
            <w:r>
              <w:t>所有项目资金支付进度</w:t>
            </w:r>
          </w:p>
        </w:tc>
        <w:tc>
          <w:tcPr>
            <w:tcW w:w="2268" w:type="dxa"/>
            <w:vAlign w:val="center"/>
          </w:tcPr>
          <w:p w14:paraId="4237501C">
            <w:pPr>
              <w:pStyle w:val="13"/>
            </w:pPr>
            <w:r>
              <w:t>≥100%</w:t>
            </w:r>
          </w:p>
        </w:tc>
        <w:tc>
          <w:tcPr>
            <w:tcW w:w="1276" w:type="dxa"/>
            <w:vAlign w:val="center"/>
          </w:tcPr>
          <w:p w14:paraId="7A70D7E2">
            <w:pPr>
              <w:pStyle w:val="13"/>
            </w:pPr>
            <w:r>
              <w:t>幼儿资助经费管理办法</w:t>
            </w:r>
          </w:p>
        </w:tc>
      </w:tr>
      <w:tr w14:paraId="50352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04663"/>
        </w:tc>
        <w:tc>
          <w:tcPr>
            <w:tcW w:w="2268" w:type="dxa"/>
            <w:vAlign w:val="center"/>
          </w:tcPr>
          <w:p w14:paraId="40823739">
            <w:pPr>
              <w:pStyle w:val="13"/>
            </w:pPr>
            <w:r>
              <w:t>成本指标</w:t>
            </w:r>
          </w:p>
        </w:tc>
        <w:tc>
          <w:tcPr>
            <w:tcW w:w="2835" w:type="dxa"/>
            <w:vAlign w:val="center"/>
          </w:tcPr>
          <w:p w14:paraId="78AFF1DF">
            <w:pPr>
              <w:pStyle w:val="13"/>
            </w:pPr>
            <w:r>
              <w:t>幼儿园生均成本</w:t>
            </w:r>
          </w:p>
        </w:tc>
        <w:tc>
          <w:tcPr>
            <w:tcW w:w="5386" w:type="dxa"/>
            <w:vAlign w:val="center"/>
          </w:tcPr>
          <w:p w14:paraId="0C66AD71">
            <w:pPr>
              <w:pStyle w:val="13"/>
            </w:pPr>
            <w:r>
              <w:t>按照幼儿园资助标准1000元/生/年</w:t>
            </w:r>
          </w:p>
        </w:tc>
        <w:tc>
          <w:tcPr>
            <w:tcW w:w="2268" w:type="dxa"/>
            <w:vAlign w:val="center"/>
          </w:tcPr>
          <w:p w14:paraId="05432246">
            <w:pPr>
              <w:pStyle w:val="13"/>
            </w:pPr>
            <w:r>
              <w:t>1000元</w:t>
            </w:r>
          </w:p>
        </w:tc>
        <w:tc>
          <w:tcPr>
            <w:tcW w:w="1276" w:type="dxa"/>
            <w:vAlign w:val="center"/>
          </w:tcPr>
          <w:p w14:paraId="666D8BFD">
            <w:pPr>
              <w:pStyle w:val="13"/>
            </w:pPr>
            <w:r>
              <w:t>幼儿资助经费管理办法</w:t>
            </w:r>
          </w:p>
        </w:tc>
      </w:tr>
      <w:tr w14:paraId="7B38B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E878B9">
            <w:pPr>
              <w:pStyle w:val="12"/>
            </w:pPr>
            <w:r>
              <w:t>效益指标</w:t>
            </w:r>
          </w:p>
        </w:tc>
        <w:tc>
          <w:tcPr>
            <w:tcW w:w="2268" w:type="dxa"/>
            <w:vAlign w:val="center"/>
          </w:tcPr>
          <w:p w14:paraId="1D6527DD">
            <w:pPr>
              <w:pStyle w:val="13"/>
            </w:pPr>
            <w:r>
              <w:t>可持续影响指标</w:t>
            </w:r>
          </w:p>
        </w:tc>
        <w:tc>
          <w:tcPr>
            <w:tcW w:w="2835" w:type="dxa"/>
            <w:vAlign w:val="center"/>
          </w:tcPr>
          <w:p w14:paraId="6632BA90">
            <w:pPr>
              <w:pStyle w:val="13"/>
            </w:pPr>
            <w:r>
              <w:t>幼儿园正常运转</w:t>
            </w:r>
          </w:p>
        </w:tc>
        <w:tc>
          <w:tcPr>
            <w:tcW w:w="5386" w:type="dxa"/>
            <w:vAlign w:val="center"/>
          </w:tcPr>
          <w:p w14:paraId="674DE02E">
            <w:pPr>
              <w:pStyle w:val="13"/>
            </w:pPr>
            <w:r>
              <w:t>幼儿受教育年限</w:t>
            </w:r>
          </w:p>
        </w:tc>
        <w:tc>
          <w:tcPr>
            <w:tcW w:w="2268" w:type="dxa"/>
            <w:vAlign w:val="center"/>
          </w:tcPr>
          <w:p w14:paraId="3EC8158D">
            <w:pPr>
              <w:pStyle w:val="13"/>
            </w:pPr>
            <w:r>
              <w:t>3年</w:t>
            </w:r>
          </w:p>
        </w:tc>
        <w:tc>
          <w:tcPr>
            <w:tcW w:w="1276" w:type="dxa"/>
            <w:vAlign w:val="center"/>
          </w:tcPr>
          <w:p w14:paraId="763CF991">
            <w:pPr>
              <w:pStyle w:val="13"/>
            </w:pPr>
            <w:r>
              <w:t>幼儿资助经费管理办法</w:t>
            </w:r>
          </w:p>
        </w:tc>
      </w:tr>
      <w:tr w14:paraId="4E86B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E5F380">
            <w:pPr>
              <w:pStyle w:val="12"/>
            </w:pPr>
            <w:r>
              <w:t>满意度指标</w:t>
            </w:r>
          </w:p>
        </w:tc>
        <w:tc>
          <w:tcPr>
            <w:tcW w:w="2268" w:type="dxa"/>
            <w:vAlign w:val="center"/>
          </w:tcPr>
          <w:p w14:paraId="102445A6">
            <w:pPr>
              <w:pStyle w:val="13"/>
            </w:pPr>
            <w:r>
              <w:t>服务对象满意度指标</w:t>
            </w:r>
          </w:p>
        </w:tc>
        <w:tc>
          <w:tcPr>
            <w:tcW w:w="2835" w:type="dxa"/>
            <w:vAlign w:val="center"/>
          </w:tcPr>
          <w:p w14:paraId="619A8485">
            <w:pPr>
              <w:pStyle w:val="13"/>
            </w:pPr>
            <w:r>
              <w:t>受益幼儿家长及调查满意度</w:t>
            </w:r>
          </w:p>
        </w:tc>
        <w:tc>
          <w:tcPr>
            <w:tcW w:w="5386" w:type="dxa"/>
            <w:vAlign w:val="center"/>
          </w:tcPr>
          <w:p w14:paraId="57A7A8FF">
            <w:pPr>
              <w:pStyle w:val="13"/>
            </w:pPr>
            <w:r>
              <w:t>学生、教师及家长对学校保教保育工作满意度情况</w:t>
            </w:r>
          </w:p>
        </w:tc>
        <w:tc>
          <w:tcPr>
            <w:tcW w:w="2268" w:type="dxa"/>
            <w:vAlign w:val="center"/>
          </w:tcPr>
          <w:p w14:paraId="33DD8849">
            <w:pPr>
              <w:pStyle w:val="13"/>
            </w:pPr>
            <w:r>
              <w:t>≥95%</w:t>
            </w:r>
          </w:p>
        </w:tc>
        <w:tc>
          <w:tcPr>
            <w:tcW w:w="1276" w:type="dxa"/>
            <w:vAlign w:val="center"/>
          </w:tcPr>
          <w:p w14:paraId="548CC4CB">
            <w:pPr>
              <w:pStyle w:val="13"/>
            </w:pPr>
            <w:r>
              <w:t>幼儿资助经费管理办法</w:t>
            </w:r>
          </w:p>
        </w:tc>
      </w:tr>
    </w:tbl>
    <w:p w14:paraId="798824B1">
      <w:pPr>
        <w:sectPr>
          <w:pgSz w:w="16840" w:h="11900" w:orient="landscape"/>
          <w:pgMar w:top="1361" w:right="1020" w:bottom="1134" w:left="1020" w:header="720" w:footer="720" w:gutter="0"/>
          <w:cols w:space="720" w:num="1"/>
        </w:sectPr>
      </w:pPr>
    </w:p>
    <w:p w14:paraId="6502C111">
      <w:pPr>
        <w:spacing w:before="0" w:after="0"/>
        <w:ind w:firstLine="560"/>
        <w:jc w:val="left"/>
        <w:outlineLvl w:val="9"/>
      </w:pPr>
      <w:r>
        <w:rPr>
          <w:rFonts w:ascii="方正仿宋_GBK" w:hAnsi="方正仿宋_GBK" w:eastAsia="方正仿宋_GBK" w:cs="方正仿宋_GBK"/>
          <w:b/>
          <w:color w:val="000000"/>
          <w:sz w:val="28"/>
        </w:rPr>
        <w:t>3、冀财教[2024]121号/中央/2025年学前教育发展/白家寨幼儿园新建保育房绩效目标表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1F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EB555">
            <w:pPr>
              <w:pStyle w:val="14"/>
            </w:pPr>
            <w:r>
              <w:t>单位：万元</w:t>
            </w:r>
          </w:p>
        </w:tc>
      </w:tr>
      <w:tr w14:paraId="3AB2F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4D67C6">
            <w:pPr>
              <w:pStyle w:val="11"/>
            </w:pPr>
            <w:r>
              <w:t>项目编码</w:t>
            </w:r>
          </w:p>
        </w:tc>
        <w:tc>
          <w:tcPr>
            <w:tcW w:w="5103" w:type="dxa"/>
            <w:gridSpan w:val="2"/>
            <w:vAlign w:val="center"/>
          </w:tcPr>
          <w:p w14:paraId="17E25641">
            <w:pPr>
              <w:pStyle w:val="13"/>
            </w:pPr>
            <w:r>
              <w:t>13052525P00876910012M</w:t>
            </w:r>
          </w:p>
        </w:tc>
        <w:tc>
          <w:tcPr>
            <w:tcW w:w="2835" w:type="dxa"/>
            <w:vAlign w:val="center"/>
          </w:tcPr>
          <w:p w14:paraId="3DFF9A84">
            <w:pPr>
              <w:pStyle w:val="11"/>
            </w:pPr>
            <w:r>
              <w:t>项目名称</w:t>
            </w:r>
          </w:p>
        </w:tc>
        <w:tc>
          <w:tcPr>
            <w:tcW w:w="6095" w:type="dxa"/>
            <w:gridSpan w:val="3"/>
            <w:vAlign w:val="center"/>
          </w:tcPr>
          <w:p w14:paraId="01F827DA">
            <w:pPr>
              <w:pStyle w:val="13"/>
            </w:pPr>
            <w:r>
              <w:t>冀财教[2024]121号/中央/2025年学前教育发展/白家寨幼儿园新建保育房</w:t>
            </w:r>
          </w:p>
        </w:tc>
      </w:tr>
      <w:tr w14:paraId="04BDA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4BAE5">
            <w:pPr>
              <w:pStyle w:val="11"/>
            </w:pPr>
            <w:r>
              <w:t>预算规模及资金用途</w:t>
            </w:r>
          </w:p>
        </w:tc>
        <w:tc>
          <w:tcPr>
            <w:tcW w:w="2268" w:type="dxa"/>
            <w:vAlign w:val="center"/>
          </w:tcPr>
          <w:p w14:paraId="5B49C746">
            <w:pPr>
              <w:pStyle w:val="11"/>
            </w:pPr>
            <w:r>
              <w:t>预算数</w:t>
            </w:r>
          </w:p>
        </w:tc>
        <w:tc>
          <w:tcPr>
            <w:tcW w:w="2835" w:type="dxa"/>
            <w:vAlign w:val="center"/>
          </w:tcPr>
          <w:p w14:paraId="772A6AF1">
            <w:pPr>
              <w:pStyle w:val="13"/>
            </w:pPr>
            <w:r>
              <w:t>198.00</w:t>
            </w:r>
          </w:p>
        </w:tc>
        <w:tc>
          <w:tcPr>
            <w:tcW w:w="2835" w:type="dxa"/>
            <w:vAlign w:val="center"/>
          </w:tcPr>
          <w:p w14:paraId="11E6EA16">
            <w:pPr>
              <w:pStyle w:val="11"/>
            </w:pPr>
            <w:r>
              <w:t>其中：财政    资金</w:t>
            </w:r>
          </w:p>
        </w:tc>
        <w:tc>
          <w:tcPr>
            <w:tcW w:w="2551" w:type="dxa"/>
            <w:vAlign w:val="center"/>
          </w:tcPr>
          <w:p w14:paraId="088BEC00">
            <w:pPr>
              <w:pStyle w:val="13"/>
            </w:pPr>
            <w:r>
              <w:t>198.00</w:t>
            </w:r>
          </w:p>
        </w:tc>
        <w:tc>
          <w:tcPr>
            <w:tcW w:w="2268" w:type="dxa"/>
            <w:vAlign w:val="center"/>
          </w:tcPr>
          <w:p w14:paraId="4564899F">
            <w:pPr>
              <w:pStyle w:val="11"/>
            </w:pPr>
            <w:r>
              <w:t>其他资金</w:t>
            </w:r>
          </w:p>
        </w:tc>
        <w:tc>
          <w:tcPr>
            <w:tcW w:w="1276" w:type="dxa"/>
            <w:vAlign w:val="center"/>
          </w:tcPr>
          <w:p w14:paraId="7FCD5F74">
            <w:pPr>
              <w:pStyle w:val="13"/>
            </w:pPr>
            <w:r>
              <w:t xml:space="preserve"> </w:t>
            </w:r>
          </w:p>
        </w:tc>
      </w:tr>
      <w:tr w14:paraId="64B8B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FB0E4"/>
        </w:tc>
        <w:tc>
          <w:tcPr>
            <w:tcW w:w="14033" w:type="dxa"/>
            <w:gridSpan w:val="6"/>
            <w:vAlign w:val="center"/>
          </w:tcPr>
          <w:p w14:paraId="2BD0E751">
            <w:pPr>
              <w:pStyle w:val="13"/>
            </w:pPr>
            <w:r>
              <w:t>为提升和改善隆尧县莲子镇校区白家寨幼儿园办园环境，保证辐射周边村所有幼儿入学率，提高幼儿园教学质量，</w:t>
            </w:r>
          </w:p>
        </w:tc>
      </w:tr>
      <w:tr w14:paraId="4B2A0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392AD">
            <w:pPr>
              <w:pStyle w:val="11"/>
            </w:pPr>
            <w:r>
              <w:t>资金支出计划（%）</w:t>
            </w:r>
          </w:p>
        </w:tc>
        <w:tc>
          <w:tcPr>
            <w:tcW w:w="5103" w:type="dxa"/>
            <w:gridSpan w:val="2"/>
            <w:vAlign w:val="center"/>
          </w:tcPr>
          <w:p w14:paraId="10D35215">
            <w:pPr>
              <w:pStyle w:val="11"/>
            </w:pPr>
            <w:r>
              <w:t>3月底</w:t>
            </w:r>
          </w:p>
        </w:tc>
        <w:tc>
          <w:tcPr>
            <w:tcW w:w="2835" w:type="dxa"/>
            <w:vAlign w:val="center"/>
          </w:tcPr>
          <w:p w14:paraId="1AC43FE1">
            <w:pPr>
              <w:pStyle w:val="11"/>
            </w:pPr>
            <w:r>
              <w:t>6月底</w:t>
            </w:r>
          </w:p>
        </w:tc>
        <w:tc>
          <w:tcPr>
            <w:tcW w:w="2551" w:type="dxa"/>
            <w:vAlign w:val="center"/>
          </w:tcPr>
          <w:p w14:paraId="4FA92747">
            <w:pPr>
              <w:pStyle w:val="11"/>
            </w:pPr>
            <w:r>
              <w:t>10月底</w:t>
            </w:r>
          </w:p>
        </w:tc>
        <w:tc>
          <w:tcPr>
            <w:tcW w:w="3544" w:type="dxa"/>
            <w:gridSpan w:val="2"/>
            <w:vAlign w:val="center"/>
          </w:tcPr>
          <w:p w14:paraId="2E11BC76">
            <w:pPr>
              <w:pStyle w:val="11"/>
            </w:pPr>
            <w:r>
              <w:t>12月底</w:t>
            </w:r>
          </w:p>
        </w:tc>
      </w:tr>
      <w:tr w14:paraId="75841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BBF35"/>
        </w:tc>
        <w:tc>
          <w:tcPr>
            <w:tcW w:w="5103" w:type="dxa"/>
            <w:gridSpan w:val="2"/>
            <w:vAlign w:val="center"/>
          </w:tcPr>
          <w:p w14:paraId="12134534">
            <w:pPr>
              <w:pStyle w:val="12"/>
            </w:pPr>
            <w:r>
              <w:t>25%</w:t>
            </w:r>
          </w:p>
        </w:tc>
        <w:tc>
          <w:tcPr>
            <w:tcW w:w="2835" w:type="dxa"/>
            <w:vAlign w:val="center"/>
          </w:tcPr>
          <w:p w14:paraId="64318415">
            <w:pPr>
              <w:pStyle w:val="12"/>
            </w:pPr>
            <w:r>
              <w:t>50%</w:t>
            </w:r>
          </w:p>
        </w:tc>
        <w:tc>
          <w:tcPr>
            <w:tcW w:w="2551" w:type="dxa"/>
            <w:vAlign w:val="center"/>
          </w:tcPr>
          <w:p w14:paraId="107790EC">
            <w:pPr>
              <w:pStyle w:val="12"/>
            </w:pPr>
            <w:r>
              <w:t>75%</w:t>
            </w:r>
          </w:p>
        </w:tc>
        <w:tc>
          <w:tcPr>
            <w:tcW w:w="3544" w:type="dxa"/>
            <w:gridSpan w:val="2"/>
            <w:vAlign w:val="center"/>
          </w:tcPr>
          <w:p w14:paraId="792E629B">
            <w:pPr>
              <w:pStyle w:val="12"/>
            </w:pPr>
            <w:r>
              <w:t>100%</w:t>
            </w:r>
          </w:p>
        </w:tc>
      </w:tr>
      <w:tr w14:paraId="5B444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6510D">
            <w:pPr>
              <w:pStyle w:val="11"/>
            </w:pPr>
            <w:r>
              <w:t>绩效目标</w:t>
            </w:r>
          </w:p>
        </w:tc>
        <w:tc>
          <w:tcPr>
            <w:tcW w:w="14033" w:type="dxa"/>
            <w:gridSpan w:val="6"/>
            <w:vAlign w:val="center"/>
          </w:tcPr>
          <w:p w14:paraId="27BC787F">
            <w:pPr>
              <w:pStyle w:val="13"/>
            </w:pPr>
            <w:r>
              <w:t>1.按规定拨付专项资金，资金支付率达到100%。</w:t>
            </w:r>
            <w:r>
              <w:tab/>
            </w:r>
            <w:r>
              <w:tab/>
            </w:r>
            <w:r>
              <w:tab/>
            </w:r>
            <w:r>
              <w:tab/>
            </w:r>
            <w:r>
              <w:tab/>
            </w:r>
          </w:p>
          <w:p w14:paraId="7C44B8D0">
            <w:pPr>
              <w:pStyle w:val="13"/>
            </w:pPr>
            <w:r>
              <w:t>2.为提升和改善隆尧县莲子镇校区白家寨幼儿园办园环境，保证辐射周边村所有幼儿入学率，提高幼儿园教学质量，</w:t>
            </w:r>
          </w:p>
        </w:tc>
      </w:tr>
    </w:tbl>
    <w:p w14:paraId="7A518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C2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43744">
            <w:pPr>
              <w:pStyle w:val="11"/>
            </w:pPr>
            <w:r>
              <w:t>一级指标</w:t>
            </w:r>
          </w:p>
        </w:tc>
        <w:tc>
          <w:tcPr>
            <w:tcW w:w="2268" w:type="dxa"/>
            <w:vAlign w:val="center"/>
          </w:tcPr>
          <w:p w14:paraId="2C316B85">
            <w:pPr>
              <w:pStyle w:val="11"/>
            </w:pPr>
            <w:r>
              <w:t>二级指标</w:t>
            </w:r>
          </w:p>
        </w:tc>
        <w:tc>
          <w:tcPr>
            <w:tcW w:w="2835" w:type="dxa"/>
            <w:vAlign w:val="center"/>
          </w:tcPr>
          <w:p w14:paraId="5F160271">
            <w:pPr>
              <w:pStyle w:val="11"/>
            </w:pPr>
            <w:r>
              <w:t>三级指标</w:t>
            </w:r>
          </w:p>
        </w:tc>
        <w:tc>
          <w:tcPr>
            <w:tcW w:w="5386" w:type="dxa"/>
            <w:vAlign w:val="center"/>
          </w:tcPr>
          <w:p w14:paraId="4E1E5429">
            <w:pPr>
              <w:pStyle w:val="11"/>
            </w:pPr>
            <w:r>
              <w:t>绩效指标描述</w:t>
            </w:r>
          </w:p>
        </w:tc>
        <w:tc>
          <w:tcPr>
            <w:tcW w:w="2268" w:type="dxa"/>
            <w:vAlign w:val="center"/>
          </w:tcPr>
          <w:p w14:paraId="356C7530">
            <w:pPr>
              <w:pStyle w:val="11"/>
            </w:pPr>
            <w:r>
              <w:t>指标值</w:t>
            </w:r>
          </w:p>
        </w:tc>
        <w:tc>
          <w:tcPr>
            <w:tcW w:w="1276" w:type="dxa"/>
            <w:vAlign w:val="center"/>
          </w:tcPr>
          <w:p w14:paraId="5DD8FFBC">
            <w:pPr>
              <w:pStyle w:val="11"/>
            </w:pPr>
            <w:r>
              <w:t>指标值确定依据</w:t>
            </w:r>
          </w:p>
        </w:tc>
      </w:tr>
      <w:tr w14:paraId="7956A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9A399">
            <w:pPr>
              <w:pStyle w:val="12"/>
            </w:pPr>
            <w:r>
              <w:t>产出指标</w:t>
            </w:r>
          </w:p>
        </w:tc>
        <w:tc>
          <w:tcPr>
            <w:tcW w:w="2268" w:type="dxa"/>
            <w:vAlign w:val="center"/>
          </w:tcPr>
          <w:p w14:paraId="5E82B889">
            <w:pPr>
              <w:pStyle w:val="13"/>
            </w:pPr>
            <w:r>
              <w:t>数量指标</w:t>
            </w:r>
          </w:p>
        </w:tc>
        <w:tc>
          <w:tcPr>
            <w:tcW w:w="2835" w:type="dxa"/>
            <w:vAlign w:val="center"/>
          </w:tcPr>
          <w:p w14:paraId="6C7F5FBE">
            <w:pPr>
              <w:pStyle w:val="13"/>
            </w:pPr>
            <w:r>
              <w:t>白家寨幼儿园新建保育房项目</w:t>
            </w:r>
          </w:p>
        </w:tc>
        <w:tc>
          <w:tcPr>
            <w:tcW w:w="5386" w:type="dxa"/>
            <w:vAlign w:val="center"/>
          </w:tcPr>
          <w:p w14:paraId="67617E71">
            <w:pPr>
              <w:pStyle w:val="13"/>
            </w:pPr>
            <w:r>
              <w:t>新建保育房</w:t>
            </w:r>
          </w:p>
        </w:tc>
        <w:tc>
          <w:tcPr>
            <w:tcW w:w="2268" w:type="dxa"/>
            <w:vAlign w:val="center"/>
          </w:tcPr>
          <w:p w14:paraId="1376D5A8">
            <w:pPr>
              <w:pStyle w:val="13"/>
            </w:pPr>
            <w:r>
              <w:t>1125平方米</w:t>
            </w:r>
          </w:p>
        </w:tc>
        <w:tc>
          <w:tcPr>
            <w:tcW w:w="1276" w:type="dxa"/>
            <w:vAlign w:val="center"/>
          </w:tcPr>
          <w:p w14:paraId="7D330390">
            <w:pPr>
              <w:pStyle w:val="13"/>
            </w:pPr>
            <w:r>
              <w:t>项目规划</w:t>
            </w:r>
          </w:p>
          <w:p w14:paraId="1CF42865">
            <w:pPr>
              <w:pStyle w:val="13"/>
            </w:pPr>
          </w:p>
        </w:tc>
      </w:tr>
      <w:tr w14:paraId="69EAC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8DA19"/>
        </w:tc>
        <w:tc>
          <w:tcPr>
            <w:tcW w:w="2268" w:type="dxa"/>
            <w:vAlign w:val="center"/>
          </w:tcPr>
          <w:p w14:paraId="062C9D18">
            <w:pPr>
              <w:pStyle w:val="13"/>
            </w:pPr>
            <w:r>
              <w:t>质量指标</w:t>
            </w:r>
          </w:p>
        </w:tc>
        <w:tc>
          <w:tcPr>
            <w:tcW w:w="2835" w:type="dxa"/>
            <w:vAlign w:val="center"/>
          </w:tcPr>
          <w:p w14:paraId="5CA11A60">
            <w:pPr>
              <w:pStyle w:val="13"/>
            </w:pPr>
            <w:r>
              <w:t>资金支付率</w:t>
            </w:r>
          </w:p>
        </w:tc>
        <w:tc>
          <w:tcPr>
            <w:tcW w:w="5386" w:type="dxa"/>
            <w:vAlign w:val="center"/>
          </w:tcPr>
          <w:p w14:paraId="74F73CA1">
            <w:pPr>
              <w:pStyle w:val="13"/>
            </w:pPr>
            <w:r>
              <w:t>按照序时进度完成资金支付</w:t>
            </w:r>
          </w:p>
        </w:tc>
        <w:tc>
          <w:tcPr>
            <w:tcW w:w="2268" w:type="dxa"/>
            <w:vAlign w:val="center"/>
          </w:tcPr>
          <w:p w14:paraId="69C5C92A">
            <w:pPr>
              <w:pStyle w:val="13"/>
            </w:pPr>
            <w:r>
              <w:t>≥100%</w:t>
            </w:r>
          </w:p>
        </w:tc>
        <w:tc>
          <w:tcPr>
            <w:tcW w:w="1276" w:type="dxa"/>
            <w:vAlign w:val="center"/>
          </w:tcPr>
          <w:p w14:paraId="7E5BBBD6">
            <w:pPr>
              <w:pStyle w:val="13"/>
            </w:pPr>
            <w:r>
              <w:t>项目规划</w:t>
            </w:r>
          </w:p>
          <w:p w14:paraId="0938DA92">
            <w:pPr>
              <w:pStyle w:val="13"/>
            </w:pPr>
          </w:p>
        </w:tc>
      </w:tr>
      <w:tr w14:paraId="1F2B3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B4DEE"/>
        </w:tc>
        <w:tc>
          <w:tcPr>
            <w:tcW w:w="2268" w:type="dxa"/>
            <w:vAlign w:val="center"/>
          </w:tcPr>
          <w:p w14:paraId="51C919AF">
            <w:pPr>
              <w:pStyle w:val="13"/>
            </w:pPr>
            <w:r>
              <w:t>时效指标</w:t>
            </w:r>
          </w:p>
        </w:tc>
        <w:tc>
          <w:tcPr>
            <w:tcW w:w="2835" w:type="dxa"/>
            <w:vAlign w:val="center"/>
          </w:tcPr>
          <w:p w14:paraId="730EEFDA">
            <w:pPr>
              <w:pStyle w:val="13"/>
            </w:pPr>
            <w:r>
              <w:t>项目竣工验收合格率</w:t>
            </w:r>
          </w:p>
        </w:tc>
        <w:tc>
          <w:tcPr>
            <w:tcW w:w="5386" w:type="dxa"/>
            <w:vAlign w:val="center"/>
          </w:tcPr>
          <w:p w14:paraId="359A1A7B">
            <w:pPr>
              <w:pStyle w:val="13"/>
            </w:pPr>
            <w:r>
              <w:t>项目改造质量达标率</w:t>
            </w:r>
          </w:p>
        </w:tc>
        <w:tc>
          <w:tcPr>
            <w:tcW w:w="2268" w:type="dxa"/>
            <w:vAlign w:val="center"/>
          </w:tcPr>
          <w:p w14:paraId="5A3E1A02">
            <w:pPr>
              <w:pStyle w:val="13"/>
            </w:pPr>
            <w:r>
              <w:t>≥100%</w:t>
            </w:r>
          </w:p>
        </w:tc>
        <w:tc>
          <w:tcPr>
            <w:tcW w:w="1276" w:type="dxa"/>
            <w:vAlign w:val="center"/>
          </w:tcPr>
          <w:p w14:paraId="4355BE87">
            <w:pPr>
              <w:pStyle w:val="13"/>
            </w:pPr>
            <w:r>
              <w:t>项目规划</w:t>
            </w:r>
          </w:p>
          <w:p w14:paraId="08C24CC2">
            <w:pPr>
              <w:pStyle w:val="13"/>
            </w:pPr>
          </w:p>
        </w:tc>
      </w:tr>
      <w:tr w14:paraId="47A2F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101FB"/>
        </w:tc>
        <w:tc>
          <w:tcPr>
            <w:tcW w:w="2268" w:type="dxa"/>
            <w:vAlign w:val="center"/>
          </w:tcPr>
          <w:p w14:paraId="0513BEFC">
            <w:pPr>
              <w:pStyle w:val="13"/>
            </w:pPr>
            <w:r>
              <w:t>成本指标</w:t>
            </w:r>
          </w:p>
        </w:tc>
        <w:tc>
          <w:tcPr>
            <w:tcW w:w="2835" w:type="dxa"/>
            <w:vAlign w:val="center"/>
          </w:tcPr>
          <w:p w14:paraId="19390493">
            <w:pPr>
              <w:pStyle w:val="13"/>
            </w:pPr>
            <w:r>
              <w:t>项目实际成本</w:t>
            </w:r>
          </w:p>
        </w:tc>
        <w:tc>
          <w:tcPr>
            <w:tcW w:w="5386" w:type="dxa"/>
            <w:vAlign w:val="center"/>
          </w:tcPr>
          <w:p w14:paraId="1F246A61">
            <w:pPr>
              <w:pStyle w:val="13"/>
            </w:pPr>
            <w:r>
              <w:t>附属用房维修，院落维修硬化等450000元</w:t>
            </w:r>
          </w:p>
        </w:tc>
        <w:tc>
          <w:tcPr>
            <w:tcW w:w="2268" w:type="dxa"/>
            <w:vAlign w:val="center"/>
          </w:tcPr>
          <w:p w14:paraId="1B1A0251">
            <w:pPr>
              <w:pStyle w:val="13"/>
            </w:pPr>
            <w:r>
              <w:t>1980000元</w:t>
            </w:r>
          </w:p>
        </w:tc>
        <w:tc>
          <w:tcPr>
            <w:tcW w:w="1276" w:type="dxa"/>
            <w:vAlign w:val="center"/>
          </w:tcPr>
          <w:p w14:paraId="2F8F374F">
            <w:pPr>
              <w:pStyle w:val="13"/>
            </w:pPr>
            <w:r>
              <w:t>项目规划</w:t>
            </w:r>
          </w:p>
          <w:p w14:paraId="201BAB3D">
            <w:pPr>
              <w:pStyle w:val="13"/>
            </w:pPr>
          </w:p>
        </w:tc>
      </w:tr>
      <w:tr w14:paraId="30959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BA248">
            <w:pPr>
              <w:pStyle w:val="12"/>
            </w:pPr>
            <w:r>
              <w:t>效益指标</w:t>
            </w:r>
          </w:p>
        </w:tc>
        <w:tc>
          <w:tcPr>
            <w:tcW w:w="2268" w:type="dxa"/>
            <w:vAlign w:val="center"/>
          </w:tcPr>
          <w:p w14:paraId="31CE9951">
            <w:pPr>
              <w:pStyle w:val="13"/>
            </w:pPr>
            <w:r>
              <w:t>可持续影响指标</w:t>
            </w:r>
          </w:p>
        </w:tc>
        <w:tc>
          <w:tcPr>
            <w:tcW w:w="2835" w:type="dxa"/>
            <w:vAlign w:val="center"/>
          </w:tcPr>
          <w:p w14:paraId="37BEAF92">
            <w:pPr>
              <w:pStyle w:val="13"/>
            </w:pPr>
            <w:r>
              <w:t>教育发展水平</w:t>
            </w:r>
          </w:p>
        </w:tc>
        <w:tc>
          <w:tcPr>
            <w:tcW w:w="5386" w:type="dxa"/>
            <w:vAlign w:val="center"/>
          </w:tcPr>
          <w:p w14:paraId="359CD3D2">
            <w:pPr>
              <w:pStyle w:val="13"/>
            </w:pPr>
            <w:r>
              <w:t>辖区内教育环境明显好转</w:t>
            </w:r>
          </w:p>
        </w:tc>
        <w:tc>
          <w:tcPr>
            <w:tcW w:w="2268" w:type="dxa"/>
            <w:vAlign w:val="center"/>
          </w:tcPr>
          <w:p w14:paraId="6249D9A9">
            <w:pPr>
              <w:pStyle w:val="13"/>
            </w:pPr>
            <w:r>
              <w:t>≥98%</w:t>
            </w:r>
          </w:p>
        </w:tc>
        <w:tc>
          <w:tcPr>
            <w:tcW w:w="1276" w:type="dxa"/>
            <w:vAlign w:val="center"/>
          </w:tcPr>
          <w:p w14:paraId="5F79C435">
            <w:pPr>
              <w:pStyle w:val="13"/>
            </w:pPr>
            <w:r>
              <w:t>项目规划</w:t>
            </w:r>
          </w:p>
        </w:tc>
      </w:tr>
      <w:tr w14:paraId="61093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95254"/>
        </w:tc>
        <w:tc>
          <w:tcPr>
            <w:tcW w:w="2268" w:type="dxa"/>
            <w:vAlign w:val="center"/>
          </w:tcPr>
          <w:p w14:paraId="58D5B491">
            <w:pPr>
              <w:pStyle w:val="13"/>
            </w:pPr>
            <w:r>
              <w:t>社会效益指标</w:t>
            </w:r>
          </w:p>
        </w:tc>
        <w:tc>
          <w:tcPr>
            <w:tcW w:w="2835" w:type="dxa"/>
            <w:vAlign w:val="center"/>
          </w:tcPr>
          <w:p w14:paraId="34F475B4">
            <w:pPr>
              <w:pStyle w:val="13"/>
            </w:pPr>
            <w:r>
              <w:t>校园环境</w:t>
            </w:r>
          </w:p>
        </w:tc>
        <w:tc>
          <w:tcPr>
            <w:tcW w:w="5386" w:type="dxa"/>
            <w:vAlign w:val="center"/>
          </w:tcPr>
          <w:p w14:paraId="1920512F">
            <w:pPr>
              <w:pStyle w:val="13"/>
            </w:pPr>
            <w:r>
              <w:t>办学条件和环境得到改善</w:t>
            </w:r>
          </w:p>
        </w:tc>
        <w:tc>
          <w:tcPr>
            <w:tcW w:w="2268" w:type="dxa"/>
            <w:vAlign w:val="center"/>
          </w:tcPr>
          <w:p w14:paraId="059E9E92">
            <w:pPr>
              <w:pStyle w:val="13"/>
            </w:pPr>
            <w:r>
              <w:t>≥95%</w:t>
            </w:r>
          </w:p>
        </w:tc>
        <w:tc>
          <w:tcPr>
            <w:tcW w:w="1276" w:type="dxa"/>
            <w:vAlign w:val="center"/>
          </w:tcPr>
          <w:p w14:paraId="4CBF1AE1">
            <w:pPr>
              <w:pStyle w:val="13"/>
            </w:pPr>
            <w:r>
              <w:t>项目规划</w:t>
            </w:r>
          </w:p>
        </w:tc>
      </w:tr>
      <w:tr w14:paraId="0A0B9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FE7C1F">
            <w:pPr>
              <w:pStyle w:val="12"/>
            </w:pPr>
            <w:r>
              <w:t>满意度指标</w:t>
            </w:r>
          </w:p>
        </w:tc>
        <w:tc>
          <w:tcPr>
            <w:tcW w:w="2268" w:type="dxa"/>
            <w:vAlign w:val="center"/>
          </w:tcPr>
          <w:p w14:paraId="520C97A3">
            <w:pPr>
              <w:pStyle w:val="13"/>
            </w:pPr>
            <w:r>
              <w:t>服务对象满意度指标</w:t>
            </w:r>
          </w:p>
        </w:tc>
        <w:tc>
          <w:tcPr>
            <w:tcW w:w="2835" w:type="dxa"/>
            <w:vAlign w:val="center"/>
          </w:tcPr>
          <w:p w14:paraId="6DD52FA8">
            <w:pPr>
              <w:pStyle w:val="13"/>
            </w:pPr>
            <w:r>
              <w:t>受益学生家长及调查满意度</w:t>
            </w:r>
          </w:p>
        </w:tc>
        <w:tc>
          <w:tcPr>
            <w:tcW w:w="5386" w:type="dxa"/>
            <w:vAlign w:val="center"/>
          </w:tcPr>
          <w:p w14:paraId="55E95E51">
            <w:pPr>
              <w:pStyle w:val="13"/>
            </w:pPr>
            <w:r>
              <w:t>学生、教师及家长对学校工作满意度情况</w:t>
            </w:r>
          </w:p>
        </w:tc>
        <w:tc>
          <w:tcPr>
            <w:tcW w:w="2268" w:type="dxa"/>
            <w:vAlign w:val="center"/>
          </w:tcPr>
          <w:p w14:paraId="56D4E811">
            <w:pPr>
              <w:pStyle w:val="13"/>
            </w:pPr>
            <w:r>
              <w:t>≥95%</w:t>
            </w:r>
          </w:p>
        </w:tc>
        <w:tc>
          <w:tcPr>
            <w:tcW w:w="1276" w:type="dxa"/>
            <w:vAlign w:val="center"/>
          </w:tcPr>
          <w:p w14:paraId="178D8C51">
            <w:pPr>
              <w:pStyle w:val="13"/>
            </w:pPr>
            <w:r>
              <w:t>项目规划</w:t>
            </w:r>
          </w:p>
        </w:tc>
      </w:tr>
    </w:tbl>
    <w:p w14:paraId="7AC808B0">
      <w:pPr>
        <w:sectPr>
          <w:pgSz w:w="16840" w:h="11900" w:orient="landscape"/>
          <w:pgMar w:top="1361" w:right="1020" w:bottom="1134" w:left="1020" w:header="720" w:footer="720" w:gutter="0"/>
          <w:cols w:space="720" w:num="1"/>
        </w:sectPr>
      </w:pPr>
    </w:p>
    <w:p w14:paraId="6760E671">
      <w:pPr>
        <w:spacing w:before="0" w:after="0"/>
        <w:ind w:firstLine="560"/>
        <w:jc w:val="left"/>
        <w:outlineLvl w:val="9"/>
      </w:pPr>
      <w:r>
        <w:rPr>
          <w:rFonts w:ascii="方正仿宋_GBK" w:hAnsi="方正仿宋_GBK" w:eastAsia="方正仿宋_GBK" w:cs="方正仿宋_GBK"/>
          <w:b/>
          <w:color w:val="000000"/>
          <w:sz w:val="28"/>
        </w:rPr>
        <w:t>4、冀财教[2024]121号/中央/2025年学前教育发展/滏河湾幼儿园吊顶等维修改造绩效目标表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EC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945C4">
            <w:pPr>
              <w:pStyle w:val="14"/>
            </w:pPr>
            <w:r>
              <w:t>单位：万元</w:t>
            </w:r>
          </w:p>
        </w:tc>
      </w:tr>
      <w:tr w14:paraId="09F2F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94B17">
            <w:pPr>
              <w:pStyle w:val="11"/>
            </w:pPr>
            <w:r>
              <w:t>项目编码</w:t>
            </w:r>
          </w:p>
        </w:tc>
        <w:tc>
          <w:tcPr>
            <w:tcW w:w="5103" w:type="dxa"/>
            <w:gridSpan w:val="2"/>
            <w:vAlign w:val="center"/>
          </w:tcPr>
          <w:p w14:paraId="08216DED">
            <w:pPr>
              <w:pStyle w:val="13"/>
            </w:pPr>
            <w:r>
              <w:t>13052525P008769100112</w:t>
            </w:r>
          </w:p>
        </w:tc>
        <w:tc>
          <w:tcPr>
            <w:tcW w:w="2835" w:type="dxa"/>
            <w:vAlign w:val="center"/>
          </w:tcPr>
          <w:p w14:paraId="0843DCC3">
            <w:pPr>
              <w:pStyle w:val="11"/>
            </w:pPr>
            <w:r>
              <w:t>项目名称</w:t>
            </w:r>
          </w:p>
        </w:tc>
        <w:tc>
          <w:tcPr>
            <w:tcW w:w="6095" w:type="dxa"/>
            <w:gridSpan w:val="3"/>
            <w:vAlign w:val="center"/>
          </w:tcPr>
          <w:p w14:paraId="3879C0F9">
            <w:pPr>
              <w:pStyle w:val="13"/>
            </w:pPr>
            <w:r>
              <w:t>冀财教[2024]121号/中央/2025年学前教育发展/滏河湾幼儿园吊顶等维修改造</w:t>
            </w:r>
          </w:p>
        </w:tc>
      </w:tr>
      <w:tr w14:paraId="28FC6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B4F35">
            <w:pPr>
              <w:pStyle w:val="11"/>
            </w:pPr>
            <w:r>
              <w:t>预算规模及资金用途</w:t>
            </w:r>
          </w:p>
        </w:tc>
        <w:tc>
          <w:tcPr>
            <w:tcW w:w="2268" w:type="dxa"/>
            <w:vAlign w:val="center"/>
          </w:tcPr>
          <w:p w14:paraId="4D889939">
            <w:pPr>
              <w:pStyle w:val="11"/>
            </w:pPr>
            <w:r>
              <w:t>预算数</w:t>
            </w:r>
          </w:p>
        </w:tc>
        <w:tc>
          <w:tcPr>
            <w:tcW w:w="2835" w:type="dxa"/>
            <w:vAlign w:val="center"/>
          </w:tcPr>
          <w:p w14:paraId="1B92DDF8">
            <w:pPr>
              <w:pStyle w:val="13"/>
            </w:pPr>
            <w:r>
              <w:t>55.53</w:t>
            </w:r>
          </w:p>
        </w:tc>
        <w:tc>
          <w:tcPr>
            <w:tcW w:w="2835" w:type="dxa"/>
            <w:vAlign w:val="center"/>
          </w:tcPr>
          <w:p w14:paraId="17B6D67F">
            <w:pPr>
              <w:pStyle w:val="11"/>
            </w:pPr>
            <w:r>
              <w:t>其中：财政    资金</w:t>
            </w:r>
          </w:p>
        </w:tc>
        <w:tc>
          <w:tcPr>
            <w:tcW w:w="2551" w:type="dxa"/>
            <w:vAlign w:val="center"/>
          </w:tcPr>
          <w:p w14:paraId="7E3E8A48">
            <w:pPr>
              <w:pStyle w:val="13"/>
            </w:pPr>
            <w:r>
              <w:t>55.53</w:t>
            </w:r>
          </w:p>
        </w:tc>
        <w:tc>
          <w:tcPr>
            <w:tcW w:w="2268" w:type="dxa"/>
            <w:vAlign w:val="center"/>
          </w:tcPr>
          <w:p w14:paraId="364C0D3E">
            <w:pPr>
              <w:pStyle w:val="11"/>
            </w:pPr>
            <w:r>
              <w:t>其他资金</w:t>
            </w:r>
          </w:p>
        </w:tc>
        <w:tc>
          <w:tcPr>
            <w:tcW w:w="1276" w:type="dxa"/>
            <w:vAlign w:val="center"/>
          </w:tcPr>
          <w:p w14:paraId="15D22D72">
            <w:pPr>
              <w:pStyle w:val="13"/>
            </w:pPr>
            <w:r>
              <w:t xml:space="preserve"> </w:t>
            </w:r>
          </w:p>
        </w:tc>
      </w:tr>
      <w:tr w14:paraId="2BD68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E7BB66"/>
        </w:tc>
        <w:tc>
          <w:tcPr>
            <w:tcW w:w="14033" w:type="dxa"/>
            <w:gridSpan w:val="6"/>
            <w:vAlign w:val="center"/>
          </w:tcPr>
          <w:p w14:paraId="7EB159BF">
            <w:pPr>
              <w:pStyle w:val="13"/>
            </w:pPr>
            <w:r>
              <w:t>为提升办园教学环境，改善幼儿学习环境，提高幼儿教学质量，达到美观适用标准，</w:t>
            </w:r>
          </w:p>
        </w:tc>
      </w:tr>
      <w:tr w14:paraId="0F679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DE8B3">
            <w:pPr>
              <w:pStyle w:val="11"/>
            </w:pPr>
            <w:r>
              <w:t>资金支出计划（%）</w:t>
            </w:r>
          </w:p>
        </w:tc>
        <w:tc>
          <w:tcPr>
            <w:tcW w:w="5103" w:type="dxa"/>
            <w:gridSpan w:val="2"/>
            <w:vAlign w:val="center"/>
          </w:tcPr>
          <w:p w14:paraId="70C448B9">
            <w:pPr>
              <w:pStyle w:val="11"/>
            </w:pPr>
            <w:r>
              <w:t>3月底</w:t>
            </w:r>
          </w:p>
        </w:tc>
        <w:tc>
          <w:tcPr>
            <w:tcW w:w="2835" w:type="dxa"/>
            <w:vAlign w:val="center"/>
          </w:tcPr>
          <w:p w14:paraId="32388E63">
            <w:pPr>
              <w:pStyle w:val="11"/>
            </w:pPr>
            <w:r>
              <w:t>6月底</w:t>
            </w:r>
          </w:p>
        </w:tc>
        <w:tc>
          <w:tcPr>
            <w:tcW w:w="2551" w:type="dxa"/>
            <w:vAlign w:val="center"/>
          </w:tcPr>
          <w:p w14:paraId="315986E2">
            <w:pPr>
              <w:pStyle w:val="11"/>
            </w:pPr>
            <w:r>
              <w:t>10月底</w:t>
            </w:r>
          </w:p>
        </w:tc>
        <w:tc>
          <w:tcPr>
            <w:tcW w:w="3544" w:type="dxa"/>
            <w:gridSpan w:val="2"/>
            <w:vAlign w:val="center"/>
          </w:tcPr>
          <w:p w14:paraId="16081424">
            <w:pPr>
              <w:pStyle w:val="11"/>
            </w:pPr>
            <w:r>
              <w:t>12月底</w:t>
            </w:r>
          </w:p>
        </w:tc>
      </w:tr>
      <w:tr w14:paraId="42B50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037D0B"/>
        </w:tc>
        <w:tc>
          <w:tcPr>
            <w:tcW w:w="5103" w:type="dxa"/>
            <w:gridSpan w:val="2"/>
            <w:vAlign w:val="center"/>
          </w:tcPr>
          <w:p w14:paraId="2E9B2CEA">
            <w:pPr>
              <w:pStyle w:val="12"/>
            </w:pPr>
            <w:r>
              <w:t>25%</w:t>
            </w:r>
          </w:p>
        </w:tc>
        <w:tc>
          <w:tcPr>
            <w:tcW w:w="2835" w:type="dxa"/>
            <w:vAlign w:val="center"/>
          </w:tcPr>
          <w:p w14:paraId="16D6C3C4">
            <w:pPr>
              <w:pStyle w:val="12"/>
            </w:pPr>
            <w:r>
              <w:t>50%</w:t>
            </w:r>
          </w:p>
        </w:tc>
        <w:tc>
          <w:tcPr>
            <w:tcW w:w="2551" w:type="dxa"/>
            <w:vAlign w:val="center"/>
          </w:tcPr>
          <w:p w14:paraId="71DAEE83">
            <w:pPr>
              <w:pStyle w:val="12"/>
            </w:pPr>
            <w:r>
              <w:t>75%</w:t>
            </w:r>
          </w:p>
        </w:tc>
        <w:tc>
          <w:tcPr>
            <w:tcW w:w="3544" w:type="dxa"/>
            <w:gridSpan w:val="2"/>
            <w:vAlign w:val="center"/>
          </w:tcPr>
          <w:p w14:paraId="7E419D29">
            <w:pPr>
              <w:pStyle w:val="12"/>
            </w:pPr>
            <w:r>
              <w:t>100%</w:t>
            </w:r>
          </w:p>
        </w:tc>
      </w:tr>
      <w:tr w14:paraId="1A3BF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6745E4">
            <w:pPr>
              <w:pStyle w:val="11"/>
            </w:pPr>
            <w:r>
              <w:t>绩效目标</w:t>
            </w:r>
          </w:p>
        </w:tc>
        <w:tc>
          <w:tcPr>
            <w:tcW w:w="14033" w:type="dxa"/>
            <w:gridSpan w:val="6"/>
            <w:vAlign w:val="center"/>
          </w:tcPr>
          <w:p w14:paraId="772B6719">
            <w:pPr>
              <w:pStyle w:val="13"/>
            </w:pPr>
            <w:r>
              <w:t>1.按规定拨付专项资金，资金支付率达到100%。</w:t>
            </w:r>
            <w:r>
              <w:tab/>
            </w:r>
            <w:r>
              <w:tab/>
            </w:r>
            <w:r>
              <w:tab/>
            </w:r>
            <w:r>
              <w:tab/>
            </w:r>
            <w:r>
              <w:tab/>
            </w:r>
          </w:p>
          <w:p w14:paraId="394501E7">
            <w:pPr>
              <w:pStyle w:val="13"/>
            </w:pPr>
            <w:r>
              <w:t>2.为提升办园教学环境，改善幼儿学习环境，提高幼儿教学质量，达到美观适用标准，</w:t>
            </w:r>
          </w:p>
        </w:tc>
      </w:tr>
    </w:tbl>
    <w:p w14:paraId="7B2243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E7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C93AE">
            <w:pPr>
              <w:pStyle w:val="11"/>
            </w:pPr>
            <w:r>
              <w:t>一级指标</w:t>
            </w:r>
          </w:p>
        </w:tc>
        <w:tc>
          <w:tcPr>
            <w:tcW w:w="2268" w:type="dxa"/>
            <w:vAlign w:val="center"/>
          </w:tcPr>
          <w:p w14:paraId="732E10F1">
            <w:pPr>
              <w:pStyle w:val="11"/>
            </w:pPr>
            <w:r>
              <w:t>二级指标</w:t>
            </w:r>
          </w:p>
        </w:tc>
        <w:tc>
          <w:tcPr>
            <w:tcW w:w="2835" w:type="dxa"/>
            <w:vAlign w:val="center"/>
          </w:tcPr>
          <w:p w14:paraId="0E9E55E7">
            <w:pPr>
              <w:pStyle w:val="11"/>
            </w:pPr>
            <w:r>
              <w:t>三级指标</w:t>
            </w:r>
          </w:p>
        </w:tc>
        <w:tc>
          <w:tcPr>
            <w:tcW w:w="5386" w:type="dxa"/>
            <w:vAlign w:val="center"/>
          </w:tcPr>
          <w:p w14:paraId="5F16A907">
            <w:pPr>
              <w:pStyle w:val="11"/>
            </w:pPr>
            <w:r>
              <w:t>绩效指标描述</w:t>
            </w:r>
          </w:p>
        </w:tc>
        <w:tc>
          <w:tcPr>
            <w:tcW w:w="2268" w:type="dxa"/>
            <w:vAlign w:val="center"/>
          </w:tcPr>
          <w:p w14:paraId="646315BA">
            <w:pPr>
              <w:pStyle w:val="11"/>
            </w:pPr>
            <w:r>
              <w:t>指标值</w:t>
            </w:r>
          </w:p>
        </w:tc>
        <w:tc>
          <w:tcPr>
            <w:tcW w:w="1276" w:type="dxa"/>
            <w:vAlign w:val="center"/>
          </w:tcPr>
          <w:p w14:paraId="69E40EFD">
            <w:pPr>
              <w:pStyle w:val="11"/>
            </w:pPr>
            <w:r>
              <w:t>指标值确定依据</w:t>
            </w:r>
          </w:p>
        </w:tc>
      </w:tr>
      <w:tr w14:paraId="5F2E9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1CC3D">
            <w:pPr>
              <w:pStyle w:val="12"/>
            </w:pPr>
            <w:r>
              <w:t>产出指标</w:t>
            </w:r>
          </w:p>
        </w:tc>
        <w:tc>
          <w:tcPr>
            <w:tcW w:w="2268" w:type="dxa"/>
            <w:vAlign w:val="center"/>
          </w:tcPr>
          <w:p w14:paraId="47EC3829">
            <w:pPr>
              <w:pStyle w:val="13"/>
            </w:pPr>
            <w:r>
              <w:t>数量指标</w:t>
            </w:r>
          </w:p>
        </w:tc>
        <w:tc>
          <w:tcPr>
            <w:tcW w:w="2835" w:type="dxa"/>
            <w:vAlign w:val="center"/>
          </w:tcPr>
          <w:p w14:paraId="0A0C6D79">
            <w:pPr>
              <w:pStyle w:val="13"/>
            </w:pPr>
            <w:r>
              <w:t>滏河湾幼儿园吊顶等维修改造项目</w:t>
            </w:r>
          </w:p>
        </w:tc>
        <w:tc>
          <w:tcPr>
            <w:tcW w:w="5386" w:type="dxa"/>
            <w:vAlign w:val="center"/>
          </w:tcPr>
          <w:p w14:paraId="141EA051">
            <w:pPr>
              <w:pStyle w:val="13"/>
            </w:pPr>
            <w:r>
              <w:t>整改消防管道、室内铺砖、墙面刮墙、集成吊顶等维修</w:t>
            </w:r>
          </w:p>
        </w:tc>
        <w:tc>
          <w:tcPr>
            <w:tcW w:w="2268" w:type="dxa"/>
            <w:vAlign w:val="center"/>
          </w:tcPr>
          <w:p w14:paraId="01A74BFF">
            <w:pPr>
              <w:pStyle w:val="13"/>
            </w:pPr>
            <w:r>
              <w:t>1项</w:t>
            </w:r>
          </w:p>
        </w:tc>
        <w:tc>
          <w:tcPr>
            <w:tcW w:w="1276" w:type="dxa"/>
            <w:vAlign w:val="center"/>
          </w:tcPr>
          <w:p w14:paraId="7F2FB811">
            <w:pPr>
              <w:pStyle w:val="13"/>
            </w:pPr>
            <w:r>
              <w:t>项目规划</w:t>
            </w:r>
          </w:p>
          <w:p w14:paraId="460105BA">
            <w:pPr>
              <w:pStyle w:val="13"/>
            </w:pPr>
          </w:p>
        </w:tc>
      </w:tr>
      <w:tr w14:paraId="44CDB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98564"/>
        </w:tc>
        <w:tc>
          <w:tcPr>
            <w:tcW w:w="2268" w:type="dxa"/>
            <w:vAlign w:val="center"/>
          </w:tcPr>
          <w:p w14:paraId="535494CD">
            <w:pPr>
              <w:pStyle w:val="13"/>
            </w:pPr>
            <w:r>
              <w:t>质量指标</w:t>
            </w:r>
          </w:p>
        </w:tc>
        <w:tc>
          <w:tcPr>
            <w:tcW w:w="2835" w:type="dxa"/>
            <w:vAlign w:val="center"/>
          </w:tcPr>
          <w:p w14:paraId="2C366D31">
            <w:pPr>
              <w:pStyle w:val="13"/>
            </w:pPr>
            <w:r>
              <w:t>资金支付率</w:t>
            </w:r>
          </w:p>
        </w:tc>
        <w:tc>
          <w:tcPr>
            <w:tcW w:w="5386" w:type="dxa"/>
            <w:vAlign w:val="center"/>
          </w:tcPr>
          <w:p w14:paraId="5D32237E">
            <w:pPr>
              <w:pStyle w:val="13"/>
            </w:pPr>
            <w:r>
              <w:t>按照序时进度完成资金支付</w:t>
            </w:r>
          </w:p>
        </w:tc>
        <w:tc>
          <w:tcPr>
            <w:tcW w:w="2268" w:type="dxa"/>
            <w:vAlign w:val="center"/>
          </w:tcPr>
          <w:p w14:paraId="2D457A7D">
            <w:pPr>
              <w:pStyle w:val="13"/>
            </w:pPr>
            <w:r>
              <w:t>≥100%</w:t>
            </w:r>
          </w:p>
        </w:tc>
        <w:tc>
          <w:tcPr>
            <w:tcW w:w="1276" w:type="dxa"/>
            <w:vAlign w:val="center"/>
          </w:tcPr>
          <w:p w14:paraId="4C5ED048">
            <w:pPr>
              <w:pStyle w:val="13"/>
            </w:pPr>
            <w:r>
              <w:t>项目规划</w:t>
            </w:r>
          </w:p>
          <w:p w14:paraId="5A05B704">
            <w:pPr>
              <w:pStyle w:val="13"/>
            </w:pPr>
          </w:p>
        </w:tc>
      </w:tr>
      <w:tr w14:paraId="23D26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28463"/>
        </w:tc>
        <w:tc>
          <w:tcPr>
            <w:tcW w:w="2268" w:type="dxa"/>
            <w:vAlign w:val="center"/>
          </w:tcPr>
          <w:p w14:paraId="10AAF24D">
            <w:pPr>
              <w:pStyle w:val="13"/>
            </w:pPr>
            <w:r>
              <w:t>时效指标</w:t>
            </w:r>
          </w:p>
        </w:tc>
        <w:tc>
          <w:tcPr>
            <w:tcW w:w="2835" w:type="dxa"/>
            <w:vAlign w:val="center"/>
          </w:tcPr>
          <w:p w14:paraId="4A19FC2E">
            <w:pPr>
              <w:pStyle w:val="13"/>
            </w:pPr>
            <w:r>
              <w:t>项目竣工验收合格率</w:t>
            </w:r>
          </w:p>
        </w:tc>
        <w:tc>
          <w:tcPr>
            <w:tcW w:w="5386" w:type="dxa"/>
            <w:vAlign w:val="center"/>
          </w:tcPr>
          <w:p w14:paraId="7B58B13B">
            <w:pPr>
              <w:pStyle w:val="13"/>
            </w:pPr>
            <w:r>
              <w:t>项目改造质量达标率</w:t>
            </w:r>
          </w:p>
        </w:tc>
        <w:tc>
          <w:tcPr>
            <w:tcW w:w="2268" w:type="dxa"/>
            <w:vAlign w:val="center"/>
          </w:tcPr>
          <w:p w14:paraId="0F6815E1">
            <w:pPr>
              <w:pStyle w:val="13"/>
            </w:pPr>
            <w:r>
              <w:t>≥100%</w:t>
            </w:r>
          </w:p>
        </w:tc>
        <w:tc>
          <w:tcPr>
            <w:tcW w:w="1276" w:type="dxa"/>
            <w:vAlign w:val="center"/>
          </w:tcPr>
          <w:p w14:paraId="16774B14">
            <w:pPr>
              <w:pStyle w:val="13"/>
            </w:pPr>
            <w:r>
              <w:t>项目规划</w:t>
            </w:r>
          </w:p>
          <w:p w14:paraId="20708CBE">
            <w:pPr>
              <w:pStyle w:val="13"/>
            </w:pPr>
          </w:p>
        </w:tc>
      </w:tr>
      <w:tr w14:paraId="6BE44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FDBC6"/>
        </w:tc>
        <w:tc>
          <w:tcPr>
            <w:tcW w:w="2268" w:type="dxa"/>
            <w:vAlign w:val="center"/>
          </w:tcPr>
          <w:p w14:paraId="2210596A">
            <w:pPr>
              <w:pStyle w:val="13"/>
            </w:pPr>
            <w:r>
              <w:t>成本指标</w:t>
            </w:r>
          </w:p>
        </w:tc>
        <w:tc>
          <w:tcPr>
            <w:tcW w:w="2835" w:type="dxa"/>
            <w:vAlign w:val="center"/>
          </w:tcPr>
          <w:p w14:paraId="26398B96">
            <w:pPr>
              <w:pStyle w:val="13"/>
            </w:pPr>
            <w:r>
              <w:t>项目实际成本</w:t>
            </w:r>
          </w:p>
        </w:tc>
        <w:tc>
          <w:tcPr>
            <w:tcW w:w="5386" w:type="dxa"/>
            <w:vAlign w:val="center"/>
          </w:tcPr>
          <w:p w14:paraId="67A5F163">
            <w:pPr>
              <w:pStyle w:val="13"/>
            </w:pPr>
            <w:r>
              <w:t>附属用房维修，院落维修硬化等450000元</w:t>
            </w:r>
          </w:p>
        </w:tc>
        <w:tc>
          <w:tcPr>
            <w:tcW w:w="2268" w:type="dxa"/>
            <w:vAlign w:val="center"/>
          </w:tcPr>
          <w:p w14:paraId="36E18DAA">
            <w:pPr>
              <w:pStyle w:val="13"/>
            </w:pPr>
            <w:r>
              <w:t>555300元</w:t>
            </w:r>
          </w:p>
        </w:tc>
        <w:tc>
          <w:tcPr>
            <w:tcW w:w="1276" w:type="dxa"/>
            <w:vAlign w:val="center"/>
          </w:tcPr>
          <w:p w14:paraId="50AB6461">
            <w:pPr>
              <w:pStyle w:val="13"/>
            </w:pPr>
            <w:r>
              <w:t>项目规划</w:t>
            </w:r>
          </w:p>
          <w:p w14:paraId="3EB25A95">
            <w:pPr>
              <w:pStyle w:val="13"/>
            </w:pPr>
          </w:p>
        </w:tc>
      </w:tr>
      <w:tr w14:paraId="531DF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BFFA2">
            <w:pPr>
              <w:pStyle w:val="12"/>
            </w:pPr>
            <w:r>
              <w:t>效益指标</w:t>
            </w:r>
          </w:p>
        </w:tc>
        <w:tc>
          <w:tcPr>
            <w:tcW w:w="2268" w:type="dxa"/>
            <w:vAlign w:val="center"/>
          </w:tcPr>
          <w:p w14:paraId="7005F76A">
            <w:pPr>
              <w:pStyle w:val="13"/>
            </w:pPr>
            <w:r>
              <w:t>可持续影响指标</w:t>
            </w:r>
          </w:p>
        </w:tc>
        <w:tc>
          <w:tcPr>
            <w:tcW w:w="2835" w:type="dxa"/>
            <w:vAlign w:val="center"/>
          </w:tcPr>
          <w:p w14:paraId="6243C92D">
            <w:pPr>
              <w:pStyle w:val="13"/>
            </w:pPr>
            <w:r>
              <w:t>学校办学环境提升</w:t>
            </w:r>
          </w:p>
        </w:tc>
        <w:tc>
          <w:tcPr>
            <w:tcW w:w="5386" w:type="dxa"/>
            <w:vAlign w:val="center"/>
          </w:tcPr>
          <w:p w14:paraId="712B5F33">
            <w:pPr>
              <w:pStyle w:val="13"/>
            </w:pPr>
            <w:r>
              <w:t>学校教学环境提升优化率</w:t>
            </w:r>
          </w:p>
        </w:tc>
        <w:tc>
          <w:tcPr>
            <w:tcW w:w="2268" w:type="dxa"/>
            <w:vAlign w:val="center"/>
          </w:tcPr>
          <w:p w14:paraId="6B5F12C6">
            <w:pPr>
              <w:pStyle w:val="13"/>
            </w:pPr>
            <w:r>
              <w:t>≥98%</w:t>
            </w:r>
          </w:p>
        </w:tc>
        <w:tc>
          <w:tcPr>
            <w:tcW w:w="1276" w:type="dxa"/>
            <w:vAlign w:val="center"/>
          </w:tcPr>
          <w:p w14:paraId="501FE2CE">
            <w:pPr>
              <w:pStyle w:val="13"/>
            </w:pPr>
            <w:r>
              <w:t>项目规划</w:t>
            </w:r>
          </w:p>
        </w:tc>
      </w:tr>
      <w:tr w14:paraId="1725D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67EE2"/>
        </w:tc>
        <w:tc>
          <w:tcPr>
            <w:tcW w:w="2268" w:type="dxa"/>
            <w:vAlign w:val="center"/>
          </w:tcPr>
          <w:p w14:paraId="703912C3">
            <w:pPr>
              <w:pStyle w:val="13"/>
            </w:pPr>
            <w:r>
              <w:t>可持续影响指标</w:t>
            </w:r>
          </w:p>
        </w:tc>
        <w:tc>
          <w:tcPr>
            <w:tcW w:w="2835" w:type="dxa"/>
            <w:vAlign w:val="center"/>
          </w:tcPr>
          <w:p w14:paraId="0BE58E77">
            <w:pPr>
              <w:pStyle w:val="13"/>
            </w:pPr>
            <w:r>
              <w:t>校园环境</w:t>
            </w:r>
          </w:p>
        </w:tc>
        <w:tc>
          <w:tcPr>
            <w:tcW w:w="5386" w:type="dxa"/>
            <w:vAlign w:val="center"/>
          </w:tcPr>
          <w:p w14:paraId="329B25F3">
            <w:pPr>
              <w:pStyle w:val="13"/>
            </w:pPr>
            <w:r>
              <w:t>办学条件和环境得到改善</w:t>
            </w:r>
          </w:p>
        </w:tc>
        <w:tc>
          <w:tcPr>
            <w:tcW w:w="2268" w:type="dxa"/>
            <w:vAlign w:val="center"/>
          </w:tcPr>
          <w:p w14:paraId="22721D1E">
            <w:pPr>
              <w:pStyle w:val="13"/>
            </w:pPr>
            <w:r>
              <w:t>≥95%</w:t>
            </w:r>
          </w:p>
        </w:tc>
        <w:tc>
          <w:tcPr>
            <w:tcW w:w="1276" w:type="dxa"/>
            <w:vAlign w:val="center"/>
          </w:tcPr>
          <w:p w14:paraId="5944B88C">
            <w:pPr>
              <w:pStyle w:val="13"/>
            </w:pPr>
            <w:r>
              <w:t>项目规划</w:t>
            </w:r>
          </w:p>
        </w:tc>
      </w:tr>
      <w:tr w14:paraId="2377C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8CCA40">
            <w:pPr>
              <w:pStyle w:val="12"/>
            </w:pPr>
            <w:r>
              <w:t>满意度指标</w:t>
            </w:r>
          </w:p>
        </w:tc>
        <w:tc>
          <w:tcPr>
            <w:tcW w:w="2268" w:type="dxa"/>
            <w:vAlign w:val="center"/>
          </w:tcPr>
          <w:p w14:paraId="629FB9A2">
            <w:pPr>
              <w:pStyle w:val="13"/>
            </w:pPr>
            <w:r>
              <w:t>服务对象满意度指标</w:t>
            </w:r>
          </w:p>
        </w:tc>
        <w:tc>
          <w:tcPr>
            <w:tcW w:w="2835" w:type="dxa"/>
            <w:vAlign w:val="center"/>
          </w:tcPr>
          <w:p w14:paraId="6167509A">
            <w:pPr>
              <w:pStyle w:val="13"/>
            </w:pPr>
            <w:r>
              <w:t>受益学生家长及调查满意度</w:t>
            </w:r>
          </w:p>
        </w:tc>
        <w:tc>
          <w:tcPr>
            <w:tcW w:w="5386" w:type="dxa"/>
            <w:vAlign w:val="center"/>
          </w:tcPr>
          <w:p w14:paraId="765BC2E1">
            <w:pPr>
              <w:pStyle w:val="13"/>
            </w:pPr>
            <w:r>
              <w:t>学生、教师及家长对学校工作满意度情况</w:t>
            </w:r>
          </w:p>
        </w:tc>
        <w:tc>
          <w:tcPr>
            <w:tcW w:w="2268" w:type="dxa"/>
            <w:vAlign w:val="center"/>
          </w:tcPr>
          <w:p w14:paraId="371B56D6">
            <w:pPr>
              <w:pStyle w:val="13"/>
            </w:pPr>
            <w:r>
              <w:t>≥95%</w:t>
            </w:r>
          </w:p>
        </w:tc>
        <w:tc>
          <w:tcPr>
            <w:tcW w:w="1276" w:type="dxa"/>
            <w:vAlign w:val="center"/>
          </w:tcPr>
          <w:p w14:paraId="73C5FD10">
            <w:pPr>
              <w:pStyle w:val="13"/>
            </w:pPr>
            <w:r>
              <w:t>项目规划</w:t>
            </w:r>
          </w:p>
        </w:tc>
      </w:tr>
    </w:tbl>
    <w:p w14:paraId="46546F24">
      <w:pPr>
        <w:sectPr>
          <w:pgSz w:w="16840" w:h="11900" w:orient="landscape"/>
          <w:pgMar w:top="1361" w:right="1020" w:bottom="1134" w:left="1020" w:header="720" w:footer="720" w:gutter="0"/>
          <w:cols w:space="720" w:num="1"/>
        </w:sectPr>
      </w:pPr>
    </w:p>
    <w:p w14:paraId="03E784EE">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5、冀财教[2024]123号/中央/2025年义教补助经费/白家寨小学公用经费绩效目标表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D0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827E8">
            <w:pPr>
              <w:pStyle w:val="14"/>
            </w:pPr>
            <w:r>
              <w:t>单位：万元</w:t>
            </w:r>
          </w:p>
        </w:tc>
      </w:tr>
      <w:tr w14:paraId="695ED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69031">
            <w:pPr>
              <w:pStyle w:val="11"/>
            </w:pPr>
            <w:r>
              <w:t>项目编码</w:t>
            </w:r>
          </w:p>
        </w:tc>
        <w:tc>
          <w:tcPr>
            <w:tcW w:w="5103" w:type="dxa"/>
            <w:gridSpan w:val="2"/>
            <w:vAlign w:val="center"/>
          </w:tcPr>
          <w:p w14:paraId="4F5F3B9D">
            <w:pPr>
              <w:pStyle w:val="13"/>
            </w:pPr>
            <w:r>
              <w:t>13052525P00000410037W</w:t>
            </w:r>
          </w:p>
        </w:tc>
        <w:tc>
          <w:tcPr>
            <w:tcW w:w="2835" w:type="dxa"/>
            <w:vAlign w:val="center"/>
          </w:tcPr>
          <w:p w14:paraId="5C9129DC">
            <w:pPr>
              <w:pStyle w:val="11"/>
            </w:pPr>
            <w:r>
              <w:t>项目名称</w:t>
            </w:r>
          </w:p>
        </w:tc>
        <w:tc>
          <w:tcPr>
            <w:tcW w:w="6095" w:type="dxa"/>
            <w:gridSpan w:val="3"/>
            <w:vAlign w:val="center"/>
          </w:tcPr>
          <w:p w14:paraId="7BF83AB0">
            <w:pPr>
              <w:pStyle w:val="13"/>
            </w:pPr>
            <w:r>
              <w:t>冀财教[2024]123号/中央/2025年义教补助经费/白家寨小学公用经费</w:t>
            </w:r>
          </w:p>
        </w:tc>
      </w:tr>
      <w:tr w14:paraId="15E9E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7D393">
            <w:pPr>
              <w:pStyle w:val="11"/>
            </w:pPr>
            <w:r>
              <w:t>预算规模及资金用途</w:t>
            </w:r>
          </w:p>
        </w:tc>
        <w:tc>
          <w:tcPr>
            <w:tcW w:w="2268" w:type="dxa"/>
            <w:vAlign w:val="center"/>
          </w:tcPr>
          <w:p w14:paraId="452E58FF">
            <w:pPr>
              <w:pStyle w:val="11"/>
            </w:pPr>
            <w:r>
              <w:t>预算数</w:t>
            </w:r>
          </w:p>
        </w:tc>
        <w:tc>
          <w:tcPr>
            <w:tcW w:w="2835" w:type="dxa"/>
            <w:vAlign w:val="center"/>
          </w:tcPr>
          <w:p w14:paraId="65B8F610">
            <w:pPr>
              <w:pStyle w:val="13"/>
            </w:pPr>
            <w:r>
              <w:t>25.33</w:t>
            </w:r>
          </w:p>
        </w:tc>
        <w:tc>
          <w:tcPr>
            <w:tcW w:w="2835" w:type="dxa"/>
            <w:vAlign w:val="center"/>
          </w:tcPr>
          <w:p w14:paraId="1E6FDABE">
            <w:pPr>
              <w:pStyle w:val="11"/>
            </w:pPr>
            <w:r>
              <w:t>其中：财政    资金</w:t>
            </w:r>
          </w:p>
        </w:tc>
        <w:tc>
          <w:tcPr>
            <w:tcW w:w="2551" w:type="dxa"/>
            <w:vAlign w:val="center"/>
          </w:tcPr>
          <w:p w14:paraId="0DF45CC9">
            <w:pPr>
              <w:pStyle w:val="13"/>
            </w:pPr>
            <w:r>
              <w:t>25.33</w:t>
            </w:r>
          </w:p>
        </w:tc>
        <w:tc>
          <w:tcPr>
            <w:tcW w:w="2268" w:type="dxa"/>
            <w:vAlign w:val="center"/>
          </w:tcPr>
          <w:p w14:paraId="51B7866A">
            <w:pPr>
              <w:pStyle w:val="11"/>
            </w:pPr>
            <w:r>
              <w:t>其他资金</w:t>
            </w:r>
          </w:p>
        </w:tc>
        <w:tc>
          <w:tcPr>
            <w:tcW w:w="1276" w:type="dxa"/>
            <w:vAlign w:val="center"/>
          </w:tcPr>
          <w:p w14:paraId="67FFDD9F">
            <w:pPr>
              <w:pStyle w:val="13"/>
            </w:pPr>
            <w:r>
              <w:t xml:space="preserve"> </w:t>
            </w:r>
          </w:p>
        </w:tc>
      </w:tr>
      <w:tr w14:paraId="4BDB9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3C7D66"/>
        </w:tc>
        <w:tc>
          <w:tcPr>
            <w:tcW w:w="14033" w:type="dxa"/>
            <w:gridSpan w:val="6"/>
            <w:vAlign w:val="center"/>
          </w:tcPr>
          <w:p w14:paraId="2CC53991">
            <w:pPr>
              <w:pStyle w:val="13"/>
            </w:pPr>
            <w:r>
              <w:t>保障义务教育学校正常运转，完成教育教学活动和其他日常工作任务等方面的费用支出。</w:t>
            </w:r>
          </w:p>
        </w:tc>
      </w:tr>
      <w:tr w14:paraId="7C5EB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3FBFD">
            <w:pPr>
              <w:pStyle w:val="11"/>
            </w:pPr>
            <w:r>
              <w:t>资金支出计划（%）</w:t>
            </w:r>
          </w:p>
        </w:tc>
        <w:tc>
          <w:tcPr>
            <w:tcW w:w="5103" w:type="dxa"/>
            <w:gridSpan w:val="2"/>
            <w:vAlign w:val="center"/>
          </w:tcPr>
          <w:p w14:paraId="144DD2B4">
            <w:pPr>
              <w:pStyle w:val="11"/>
            </w:pPr>
            <w:r>
              <w:t>3月底</w:t>
            </w:r>
          </w:p>
        </w:tc>
        <w:tc>
          <w:tcPr>
            <w:tcW w:w="2835" w:type="dxa"/>
            <w:vAlign w:val="center"/>
          </w:tcPr>
          <w:p w14:paraId="0B2EB4B7">
            <w:pPr>
              <w:pStyle w:val="11"/>
            </w:pPr>
            <w:r>
              <w:t>6月底</w:t>
            </w:r>
          </w:p>
        </w:tc>
        <w:tc>
          <w:tcPr>
            <w:tcW w:w="2551" w:type="dxa"/>
            <w:vAlign w:val="center"/>
          </w:tcPr>
          <w:p w14:paraId="0F62C526">
            <w:pPr>
              <w:pStyle w:val="11"/>
            </w:pPr>
            <w:r>
              <w:t>10月底</w:t>
            </w:r>
          </w:p>
        </w:tc>
        <w:tc>
          <w:tcPr>
            <w:tcW w:w="3544" w:type="dxa"/>
            <w:gridSpan w:val="2"/>
            <w:vAlign w:val="center"/>
          </w:tcPr>
          <w:p w14:paraId="44265C1A">
            <w:pPr>
              <w:pStyle w:val="11"/>
            </w:pPr>
            <w:r>
              <w:t>12月底</w:t>
            </w:r>
          </w:p>
        </w:tc>
      </w:tr>
      <w:tr w14:paraId="72CCB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7C96E"/>
        </w:tc>
        <w:tc>
          <w:tcPr>
            <w:tcW w:w="5103" w:type="dxa"/>
            <w:gridSpan w:val="2"/>
            <w:vAlign w:val="center"/>
          </w:tcPr>
          <w:p w14:paraId="4934A9AC">
            <w:pPr>
              <w:pStyle w:val="12"/>
            </w:pPr>
            <w:r>
              <w:t>25%</w:t>
            </w:r>
          </w:p>
        </w:tc>
        <w:tc>
          <w:tcPr>
            <w:tcW w:w="2835" w:type="dxa"/>
            <w:vAlign w:val="center"/>
          </w:tcPr>
          <w:p w14:paraId="4E49264C">
            <w:pPr>
              <w:pStyle w:val="12"/>
            </w:pPr>
            <w:r>
              <w:t>50%</w:t>
            </w:r>
          </w:p>
        </w:tc>
        <w:tc>
          <w:tcPr>
            <w:tcW w:w="2551" w:type="dxa"/>
            <w:vAlign w:val="center"/>
          </w:tcPr>
          <w:p w14:paraId="7DE0F3B2">
            <w:pPr>
              <w:pStyle w:val="12"/>
            </w:pPr>
            <w:r>
              <w:t>75%</w:t>
            </w:r>
          </w:p>
        </w:tc>
        <w:tc>
          <w:tcPr>
            <w:tcW w:w="3544" w:type="dxa"/>
            <w:gridSpan w:val="2"/>
            <w:vAlign w:val="center"/>
          </w:tcPr>
          <w:p w14:paraId="6EDE6DCF">
            <w:pPr>
              <w:pStyle w:val="12"/>
            </w:pPr>
            <w:r>
              <w:t>100%</w:t>
            </w:r>
          </w:p>
        </w:tc>
      </w:tr>
      <w:tr w14:paraId="027B3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4F81A">
            <w:pPr>
              <w:pStyle w:val="11"/>
            </w:pPr>
            <w:r>
              <w:t>绩效目标</w:t>
            </w:r>
          </w:p>
        </w:tc>
        <w:tc>
          <w:tcPr>
            <w:tcW w:w="14033" w:type="dxa"/>
            <w:gridSpan w:val="6"/>
            <w:vAlign w:val="center"/>
          </w:tcPr>
          <w:p w14:paraId="1E6900DE">
            <w:pPr>
              <w:pStyle w:val="13"/>
            </w:pPr>
            <w:r>
              <w:t>1.保障义务教育学校正常运转，完成教育教学活动和其他日常工作任务等方面的费用支出。</w:t>
            </w:r>
          </w:p>
          <w:p w14:paraId="7C69EC53">
            <w:pPr>
              <w:pStyle w:val="13"/>
            </w:pPr>
            <w:r>
              <w:t>2.按规定拨付公用经费资金25.33万元，资金拨付率达到100%。</w:t>
            </w:r>
          </w:p>
        </w:tc>
      </w:tr>
    </w:tbl>
    <w:p w14:paraId="3A66D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23"/>
        <w:gridCol w:w="2021"/>
      </w:tblGrid>
      <w:tr w14:paraId="331A2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A5643">
            <w:pPr>
              <w:pStyle w:val="11"/>
            </w:pPr>
            <w:r>
              <w:t>一级指标</w:t>
            </w:r>
          </w:p>
        </w:tc>
        <w:tc>
          <w:tcPr>
            <w:tcW w:w="2268" w:type="dxa"/>
            <w:vAlign w:val="center"/>
          </w:tcPr>
          <w:p w14:paraId="46107B6C">
            <w:pPr>
              <w:pStyle w:val="11"/>
            </w:pPr>
            <w:r>
              <w:t>二级指标</w:t>
            </w:r>
          </w:p>
        </w:tc>
        <w:tc>
          <w:tcPr>
            <w:tcW w:w="2835" w:type="dxa"/>
            <w:vAlign w:val="center"/>
          </w:tcPr>
          <w:p w14:paraId="67941ED5">
            <w:pPr>
              <w:pStyle w:val="11"/>
            </w:pPr>
            <w:r>
              <w:t>三级指标</w:t>
            </w:r>
          </w:p>
        </w:tc>
        <w:tc>
          <w:tcPr>
            <w:tcW w:w="5386" w:type="dxa"/>
            <w:vAlign w:val="center"/>
          </w:tcPr>
          <w:p w14:paraId="5CBA22F3">
            <w:pPr>
              <w:pStyle w:val="11"/>
            </w:pPr>
            <w:r>
              <w:t>绩效指标描述</w:t>
            </w:r>
          </w:p>
        </w:tc>
        <w:tc>
          <w:tcPr>
            <w:tcW w:w="1523" w:type="dxa"/>
            <w:vAlign w:val="center"/>
          </w:tcPr>
          <w:p w14:paraId="685C3A3C">
            <w:pPr>
              <w:pStyle w:val="11"/>
            </w:pPr>
            <w:r>
              <w:t>指标值</w:t>
            </w:r>
          </w:p>
        </w:tc>
        <w:tc>
          <w:tcPr>
            <w:tcW w:w="2021" w:type="dxa"/>
            <w:vAlign w:val="center"/>
          </w:tcPr>
          <w:p w14:paraId="3AE43AF5">
            <w:pPr>
              <w:pStyle w:val="11"/>
            </w:pPr>
            <w:r>
              <w:t>指标值确定依据</w:t>
            </w:r>
          </w:p>
        </w:tc>
      </w:tr>
      <w:tr w14:paraId="2B6BA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47B5A">
            <w:pPr>
              <w:pStyle w:val="12"/>
            </w:pPr>
            <w:r>
              <w:t>产出指标</w:t>
            </w:r>
          </w:p>
        </w:tc>
        <w:tc>
          <w:tcPr>
            <w:tcW w:w="2268" w:type="dxa"/>
            <w:vAlign w:val="center"/>
          </w:tcPr>
          <w:p w14:paraId="0227AB63">
            <w:pPr>
              <w:pStyle w:val="13"/>
            </w:pPr>
            <w:r>
              <w:t>数量指标</w:t>
            </w:r>
          </w:p>
        </w:tc>
        <w:tc>
          <w:tcPr>
            <w:tcW w:w="2835" w:type="dxa"/>
            <w:vAlign w:val="center"/>
          </w:tcPr>
          <w:p w14:paraId="1F85F71A">
            <w:pPr>
              <w:pStyle w:val="13"/>
            </w:pPr>
            <w:r>
              <w:t>生均拨款标准</w:t>
            </w:r>
          </w:p>
        </w:tc>
        <w:tc>
          <w:tcPr>
            <w:tcW w:w="5386" w:type="dxa"/>
            <w:vAlign w:val="center"/>
          </w:tcPr>
          <w:p w14:paraId="61724049">
            <w:pPr>
              <w:pStyle w:val="13"/>
            </w:pPr>
            <w:r>
              <w:t>小学生公用经费生均小学720元。取暖费140元/生/年，随班就读学生补助7000元/生</w:t>
            </w:r>
          </w:p>
        </w:tc>
        <w:tc>
          <w:tcPr>
            <w:tcW w:w="1523" w:type="dxa"/>
            <w:vAlign w:val="center"/>
          </w:tcPr>
          <w:p w14:paraId="656A312C">
            <w:pPr>
              <w:pStyle w:val="13"/>
            </w:pPr>
            <w:r>
              <w:t>840元</w:t>
            </w:r>
          </w:p>
        </w:tc>
        <w:tc>
          <w:tcPr>
            <w:tcW w:w="2021" w:type="dxa"/>
            <w:vAlign w:val="center"/>
          </w:tcPr>
          <w:p w14:paraId="4B26C445">
            <w:pPr>
              <w:pStyle w:val="13"/>
            </w:pPr>
            <w:r>
              <w:t>城乡义务教育公用经费管理办法</w:t>
            </w:r>
          </w:p>
        </w:tc>
      </w:tr>
      <w:tr w14:paraId="1AE1D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4EB4"/>
        </w:tc>
        <w:tc>
          <w:tcPr>
            <w:tcW w:w="2268" w:type="dxa"/>
            <w:vAlign w:val="center"/>
          </w:tcPr>
          <w:p w14:paraId="6B193CF6">
            <w:pPr>
              <w:pStyle w:val="13"/>
            </w:pPr>
            <w:r>
              <w:t>质量指标</w:t>
            </w:r>
          </w:p>
        </w:tc>
        <w:tc>
          <w:tcPr>
            <w:tcW w:w="2835" w:type="dxa"/>
            <w:vAlign w:val="center"/>
          </w:tcPr>
          <w:p w14:paraId="1F9306FA">
            <w:pPr>
              <w:pStyle w:val="13"/>
            </w:pPr>
            <w:r>
              <w:t>就读学生数</w:t>
            </w:r>
          </w:p>
        </w:tc>
        <w:tc>
          <w:tcPr>
            <w:tcW w:w="5386" w:type="dxa"/>
            <w:vAlign w:val="center"/>
          </w:tcPr>
          <w:p w14:paraId="6677CB90">
            <w:pPr>
              <w:pStyle w:val="13"/>
            </w:pPr>
            <w:r>
              <w:t>辐射区域内适龄学生人数</w:t>
            </w:r>
          </w:p>
        </w:tc>
        <w:tc>
          <w:tcPr>
            <w:tcW w:w="1523" w:type="dxa"/>
            <w:vAlign w:val="center"/>
          </w:tcPr>
          <w:p w14:paraId="4E562746">
            <w:pPr>
              <w:pStyle w:val="13"/>
            </w:pPr>
            <w:r>
              <w:t>≥376人</w:t>
            </w:r>
          </w:p>
        </w:tc>
        <w:tc>
          <w:tcPr>
            <w:tcW w:w="2021" w:type="dxa"/>
            <w:vAlign w:val="center"/>
          </w:tcPr>
          <w:p w14:paraId="073FDB3F">
            <w:pPr>
              <w:pStyle w:val="13"/>
            </w:pPr>
            <w:r>
              <w:t>城乡义务教育公用经费管理办法</w:t>
            </w:r>
          </w:p>
        </w:tc>
      </w:tr>
      <w:tr w14:paraId="3D2A0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4F626"/>
        </w:tc>
        <w:tc>
          <w:tcPr>
            <w:tcW w:w="2268" w:type="dxa"/>
            <w:vAlign w:val="center"/>
          </w:tcPr>
          <w:p w14:paraId="51A62039">
            <w:pPr>
              <w:pStyle w:val="13"/>
            </w:pPr>
            <w:r>
              <w:t>时效指标</w:t>
            </w:r>
          </w:p>
        </w:tc>
        <w:tc>
          <w:tcPr>
            <w:tcW w:w="2835" w:type="dxa"/>
            <w:vAlign w:val="center"/>
          </w:tcPr>
          <w:p w14:paraId="7F2A55CA">
            <w:pPr>
              <w:pStyle w:val="13"/>
            </w:pPr>
            <w:r>
              <w:t>预算执行率</w:t>
            </w:r>
          </w:p>
        </w:tc>
        <w:tc>
          <w:tcPr>
            <w:tcW w:w="5386" w:type="dxa"/>
            <w:vAlign w:val="center"/>
          </w:tcPr>
          <w:p w14:paraId="3C309C5C">
            <w:pPr>
              <w:pStyle w:val="13"/>
            </w:pPr>
            <w:r>
              <w:t>预算执行率≥98%</w:t>
            </w:r>
          </w:p>
        </w:tc>
        <w:tc>
          <w:tcPr>
            <w:tcW w:w="1523" w:type="dxa"/>
            <w:vAlign w:val="center"/>
          </w:tcPr>
          <w:p w14:paraId="4228A6AC">
            <w:pPr>
              <w:pStyle w:val="13"/>
            </w:pPr>
            <w:r>
              <w:t>≥98%</w:t>
            </w:r>
          </w:p>
        </w:tc>
        <w:tc>
          <w:tcPr>
            <w:tcW w:w="2021" w:type="dxa"/>
            <w:vAlign w:val="center"/>
          </w:tcPr>
          <w:p w14:paraId="27AE7902">
            <w:pPr>
              <w:pStyle w:val="13"/>
            </w:pPr>
            <w:r>
              <w:t>城乡义务教育公用经费管理办法</w:t>
            </w:r>
          </w:p>
        </w:tc>
      </w:tr>
      <w:tr w14:paraId="1430D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FCF6E"/>
        </w:tc>
        <w:tc>
          <w:tcPr>
            <w:tcW w:w="2268" w:type="dxa"/>
            <w:vAlign w:val="center"/>
          </w:tcPr>
          <w:p w14:paraId="48CC086E">
            <w:pPr>
              <w:pStyle w:val="13"/>
            </w:pPr>
            <w:r>
              <w:t>成本指标</w:t>
            </w:r>
          </w:p>
        </w:tc>
        <w:tc>
          <w:tcPr>
            <w:tcW w:w="2835" w:type="dxa"/>
            <w:vAlign w:val="center"/>
          </w:tcPr>
          <w:p w14:paraId="610B45CE">
            <w:pPr>
              <w:pStyle w:val="13"/>
            </w:pPr>
            <w:r>
              <w:t>义教经费支付完成率</w:t>
            </w:r>
          </w:p>
        </w:tc>
        <w:tc>
          <w:tcPr>
            <w:tcW w:w="5386" w:type="dxa"/>
            <w:vAlign w:val="center"/>
          </w:tcPr>
          <w:p w14:paraId="56988180">
            <w:pPr>
              <w:pStyle w:val="13"/>
            </w:pPr>
            <w:r>
              <w:t>按照序时进度完成资金支付</w:t>
            </w:r>
          </w:p>
        </w:tc>
        <w:tc>
          <w:tcPr>
            <w:tcW w:w="1523" w:type="dxa"/>
            <w:vAlign w:val="center"/>
          </w:tcPr>
          <w:p w14:paraId="1D1020A3">
            <w:pPr>
              <w:pStyle w:val="13"/>
            </w:pPr>
            <w:r>
              <w:t>100%</w:t>
            </w:r>
          </w:p>
        </w:tc>
        <w:tc>
          <w:tcPr>
            <w:tcW w:w="2021" w:type="dxa"/>
            <w:vAlign w:val="center"/>
          </w:tcPr>
          <w:p w14:paraId="61467401">
            <w:pPr>
              <w:pStyle w:val="13"/>
            </w:pPr>
            <w:r>
              <w:t>城乡义务教育公用经费管理办法</w:t>
            </w:r>
          </w:p>
        </w:tc>
      </w:tr>
      <w:tr w14:paraId="3C4FE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62AF4">
            <w:pPr>
              <w:pStyle w:val="12"/>
            </w:pPr>
            <w:r>
              <w:t>效益指标</w:t>
            </w:r>
          </w:p>
        </w:tc>
        <w:tc>
          <w:tcPr>
            <w:tcW w:w="2268" w:type="dxa"/>
            <w:vAlign w:val="center"/>
          </w:tcPr>
          <w:p w14:paraId="2508E1B8">
            <w:pPr>
              <w:pStyle w:val="13"/>
            </w:pPr>
            <w:r>
              <w:t>可持续影响指标</w:t>
            </w:r>
          </w:p>
        </w:tc>
        <w:tc>
          <w:tcPr>
            <w:tcW w:w="2835" w:type="dxa"/>
            <w:vAlign w:val="center"/>
          </w:tcPr>
          <w:p w14:paraId="6371014A">
            <w:pPr>
              <w:pStyle w:val="13"/>
            </w:pPr>
            <w:r>
              <w:t>学校运转得到提高</w:t>
            </w:r>
          </w:p>
        </w:tc>
        <w:tc>
          <w:tcPr>
            <w:tcW w:w="5386" w:type="dxa"/>
            <w:vAlign w:val="center"/>
          </w:tcPr>
          <w:p w14:paraId="2FE57BF0">
            <w:pPr>
              <w:pStyle w:val="13"/>
            </w:pPr>
            <w:r>
              <w:t>学生受教育年限</w:t>
            </w:r>
          </w:p>
        </w:tc>
        <w:tc>
          <w:tcPr>
            <w:tcW w:w="1523" w:type="dxa"/>
            <w:vAlign w:val="center"/>
          </w:tcPr>
          <w:p w14:paraId="47911EE2">
            <w:pPr>
              <w:pStyle w:val="13"/>
            </w:pPr>
            <w:r>
              <w:t>6年</w:t>
            </w:r>
          </w:p>
        </w:tc>
        <w:tc>
          <w:tcPr>
            <w:tcW w:w="2021" w:type="dxa"/>
            <w:vAlign w:val="center"/>
          </w:tcPr>
          <w:p w14:paraId="61FAA9E5">
            <w:pPr>
              <w:pStyle w:val="13"/>
            </w:pPr>
            <w:r>
              <w:t>城乡义务教育公用经费管理办法</w:t>
            </w:r>
          </w:p>
        </w:tc>
      </w:tr>
      <w:tr w14:paraId="72E21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089AC2">
            <w:pPr>
              <w:pStyle w:val="12"/>
            </w:pPr>
            <w:r>
              <w:t>满意度指标</w:t>
            </w:r>
          </w:p>
        </w:tc>
        <w:tc>
          <w:tcPr>
            <w:tcW w:w="2268" w:type="dxa"/>
            <w:vAlign w:val="center"/>
          </w:tcPr>
          <w:p w14:paraId="1D925E40">
            <w:pPr>
              <w:pStyle w:val="13"/>
            </w:pPr>
            <w:r>
              <w:t>服务对象满意度指标</w:t>
            </w:r>
          </w:p>
        </w:tc>
        <w:tc>
          <w:tcPr>
            <w:tcW w:w="2835" w:type="dxa"/>
            <w:vAlign w:val="center"/>
          </w:tcPr>
          <w:p w14:paraId="22A8189D">
            <w:pPr>
              <w:pStyle w:val="13"/>
            </w:pPr>
            <w:r>
              <w:t>服务对象满意度</w:t>
            </w:r>
          </w:p>
        </w:tc>
        <w:tc>
          <w:tcPr>
            <w:tcW w:w="5386" w:type="dxa"/>
            <w:vAlign w:val="center"/>
          </w:tcPr>
          <w:p w14:paraId="0CB3F4F8">
            <w:pPr>
              <w:pStyle w:val="13"/>
            </w:pPr>
            <w:r>
              <w:t>学校老师和学生满意度</w:t>
            </w:r>
          </w:p>
        </w:tc>
        <w:tc>
          <w:tcPr>
            <w:tcW w:w="1523" w:type="dxa"/>
            <w:vAlign w:val="center"/>
          </w:tcPr>
          <w:p w14:paraId="1B7A52D4">
            <w:pPr>
              <w:pStyle w:val="13"/>
            </w:pPr>
            <w:r>
              <w:t>≥95%</w:t>
            </w:r>
          </w:p>
        </w:tc>
        <w:tc>
          <w:tcPr>
            <w:tcW w:w="2021" w:type="dxa"/>
            <w:vAlign w:val="center"/>
          </w:tcPr>
          <w:p w14:paraId="07CF15DF">
            <w:pPr>
              <w:pStyle w:val="13"/>
            </w:pPr>
            <w:r>
              <w:t>城乡义务教育公用经费管理办法</w:t>
            </w:r>
          </w:p>
        </w:tc>
      </w:tr>
    </w:tbl>
    <w:p w14:paraId="57EAE0CB">
      <w:pPr>
        <w:sectPr>
          <w:pgSz w:w="16840" w:h="11900" w:orient="landscape"/>
          <w:pgMar w:top="1361" w:right="1020" w:bottom="1134" w:left="1020" w:header="720" w:footer="720" w:gutter="0"/>
          <w:cols w:space="720" w:num="1"/>
        </w:sectPr>
      </w:pPr>
    </w:p>
    <w:p w14:paraId="3B2D2B3B">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6、冀财教[2024]123号/中央/2025年义教补助经费/后辛庄小学公用经费绩效目标表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F4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EA0C9">
            <w:pPr>
              <w:pStyle w:val="14"/>
            </w:pPr>
            <w:r>
              <w:t>单位：万元</w:t>
            </w:r>
          </w:p>
        </w:tc>
      </w:tr>
      <w:tr w14:paraId="0A2D0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4E078">
            <w:pPr>
              <w:pStyle w:val="11"/>
            </w:pPr>
            <w:r>
              <w:t>项目编码</w:t>
            </w:r>
          </w:p>
        </w:tc>
        <w:tc>
          <w:tcPr>
            <w:tcW w:w="5103" w:type="dxa"/>
            <w:gridSpan w:val="2"/>
            <w:vAlign w:val="center"/>
          </w:tcPr>
          <w:p w14:paraId="41508475">
            <w:pPr>
              <w:pStyle w:val="13"/>
            </w:pPr>
            <w:r>
              <w:t>13052525P000004100413</w:t>
            </w:r>
          </w:p>
        </w:tc>
        <w:tc>
          <w:tcPr>
            <w:tcW w:w="2835" w:type="dxa"/>
            <w:vAlign w:val="center"/>
          </w:tcPr>
          <w:p w14:paraId="3E3CD2D1">
            <w:pPr>
              <w:pStyle w:val="11"/>
            </w:pPr>
            <w:r>
              <w:t>项目名称</w:t>
            </w:r>
          </w:p>
        </w:tc>
        <w:tc>
          <w:tcPr>
            <w:tcW w:w="6095" w:type="dxa"/>
            <w:gridSpan w:val="3"/>
            <w:vAlign w:val="center"/>
          </w:tcPr>
          <w:p w14:paraId="5925610E">
            <w:pPr>
              <w:pStyle w:val="13"/>
            </w:pPr>
            <w:r>
              <w:t>冀财教[2024]123号/中央/2025年义教补助经费/后辛庄小学公用经费</w:t>
            </w:r>
          </w:p>
        </w:tc>
      </w:tr>
      <w:tr w14:paraId="73506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BCCF6">
            <w:pPr>
              <w:pStyle w:val="11"/>
            </w:pPr>
            <w:r>
              <w:t>预算规模及资金用途</w:t>
            </w:r>
          </w:p>
        </w:tc>
        <w:tc>
          <w:tcPr>
            <w:tcW w:w="2268" w:type="dxa"/>
            <w:vAlign w:val="center"/>
          </w:tcPr>
          <w:p w14:paraId="1417959B">
            <w:pPr>
              <w:pStyle w:val="11"/>
            </w:pPr>
            <w:r>
              <w:t>预算数</w:t>
            </w:r>
          </w:p>
        </w:tc>
        <w:tc>
          <w:tcPr>
            <w:tcW w:w="2835" w:type="dxa"/>
            <w:vAlign w:val="center"/>
          </w:tcPr>
          <w:p w14:paraId="2755C902">
            <w:pPr>
              <w:pStyle w:val="13"/>
            </w:pPr>
            <w:r>
              <w:t>5.71</w:t>
            </w:r>
          </w:p>
        </w:tc>
        <w:tc>
          <w:tcPr>
            <w:tcW w:w="2835" w:type="dxa"/>
            <w:vAlign w:val="center"/>
          </w:tcPr>
          <w:p w14:paraId="54DCAD3E">
            <w:pPr>
              <w:pStyle w:val="11"/>
            </w:pPr>
            <w:r>
              <w:t>其中：财政    资金</w:t>
            </w:r>
          </w:p>
        </w:tc>
        <w:tc>
          <w:tcPr>
            <w:tcW w:w="2551" w:type="dxa"/>
            <w:vAlign w:val="center"/>
          </w:tcPr>
          <w:p w14:paraId="7AC83F04">
            <w:pPr>
              <w:pStyle w:val="13"/>
            </w:pPr>
            <w:r>
              <w:t>5.71</w:t>
            </w:r>
          </w:p>
        </w:tc>
        <w:tc>
          <w:tcPr>
            <w:tcW w:w="2268" w:type="dxa"/>
            <w:vAlign w:val="center"/>
          </w:tcPr>
          <w:p w14:paraId="1CB00720">
            <w:pPr>
              <w:pStyle w:val="11"/>
            </w:pPr>
            <w:r>
              <w:t>其他资金</w:t>
            </w:r>
          </w:p>
        </w:tc>
        <w:tc>
          <w:tcPr>
            <w:tcW w:w="1276" w:type="dxa"/>
            <w:vAlign w:val="center"/>
          </w:tcPr>
          <w:p w14:paraId="29DD86E2">
            <w:pPr>
              <w:pStyle w:val="13"/>
            </w:pPr>
            <w:r>
              <w:t xml:space="preserve"> </w:t>
            </w:r>
          </w:p>
        </w:tc>
      </w:tr>
      <w:tr w14:paraId="56ACA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275FF50D"/>
        </w:tc>
        <w:tc>
          <w:tcPr>
            <w:tcW w:w="14033" w:type="dxa"/>
            <w:gridSpan w:val="6"/>
            <w:vAlign w:val="center"/>
          </w:tcPr>
          <w:p w14:paraId="20783CF9">
            <w:pPr>
              <w:pStyle w:val="13"/>
            </w:pPr>
            <w:r>
              <w:t>保障义务教育学校正常运转，完成教育教学活动和其他日常工作任务等方面的费用支出。</w:t>
            </w:r>
          </w:p>
        </w:tc>
      </w:tr>
      <w:tr w14:paraId="2A6D0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7786D">
            <w:pPr>
              <w:pStyle w:val="11"/>
            </w:pPr>
            <w:r>
              <w:t>资金支出计划（%）</w:t>
            </w:r>
          </w:p>
        </w:tc>
        <w:tc>
          <w:tcPr>
            <w:tcW w:w="5103" w:type="dxa"/>
            <w:gridSpan w:val="2"/>
            <w:vAlign w:val="center"/>
          </w:tcPr>
          <w:p w14:paraId="58EAD4D4">
            <w:pPr>
              <w:pStyle w:val="11"/>
            </w:pPr>
            <w:r>
              <w:t>3月底</w:t>
            </w:r>
          </w:p>
        </w:tc>
        <w:tc>
          <w:tcPr>
            <w:tcW w:w="2835" w:type="dxa"/>
            <w:vAlign w:val="center"/>
          </w:tcPr>
          <w:p w14:paraId="3796B041">
            <w:pPr>
              <w:pStyle w:val="11"/>
            </w:pPr>
            <w:r>
              <w:t>6月底</w:t>
            </w:r>
          </w:p>
        </w:tc>
        <w:tc>
          <w:tcPr>
            <w:tcW w:w="2551" w:type="dxa"/>
            <w:vAlign w:val="center"/>
          </w:tcPr>
          <w:p w14:paraId="20C5C342">
            <w:pPr>
              <w:pStyle w:val="11"/>
            </w:pPr>
            <w:r>
              <w:t>10月底</w:t>
            </w:r>
          </w:p>
        </w:tc>
        <w:tc>
          <w:tcPr>
            <w:tcW w:w="3544" w:type="dxa"/>
            <w:gridSpan w:val="2"/>
            <w:vAlign w:val="center"/>
          </w:tcPr>
          <w:p w14:paraId="0769165E">
            <w:pPr>
              <w:pStyle w:val="11"/>
            </w:pPr>
            <w:r>
              <w:t>12月底</w:t>
            </w:r>
          </w:p>
        </w:tc>
      </w:tr>
      <w:tr w14:paraId="0D640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A2C3F9"/>
        </w:tc>
        <w:tc>
          <w:tcPr>
            <w:tcW w:w="5103" w:type="dxa"/>
            <w:gridSpan w:val="2"/>
            <w:vAlign w:val="center"/>
          </w:tcPr>
          <w:p w14:paraId="26E26844">
            <w:pPr>
              <w:pStyle w:val="12"/>
            </w:pPr>
            <w:r>
              <w:t>25%</w:t>
            </w:r>
          </w:p>
        </w:tc>
        <w:tc>
          <w:tcPr>
            <w:tcW w:w="2835" w:type="dxa"/>
            <w:vAlign w:val="center"/>
          </w:tcPr>
          <w:p w14:paraId="77441F03">
            <w:pPr>
              <w:pStyle w:val="12"/>
            </w:pPr>
            <w:r>
              <w:t>50%</w:t>
            </w:r>
          </w:p>
        </w:tc>
        <w:tc>
          <w:tcPr>
            <w:tcW w:w="2551" w:type="dxa"/>
            <w:vAlign w:val="center"/>
          </w:tcPr>
          <w:p w14:paraId="3C0F83E0">
            <w:pPr>
              <w:pStyle w:val="12"/>
            </w:pPr>
            <w:r>
              <w:t>75%</w:t>
            </w:r>
          </w:p>
        </w:tc>
        <w:tc>
          <w:tcPr>
            <w:tcW w:w="3544" w:type="dxa"/>
            <w:gridSpan w:val="2"/>
            <w:vAlign w:val="center"/>
          </w:tcPr>
          <w:p w14:paraId="20B7DC34">
            <w:pPr>
              <w:pStyle w:val="12"/>
            </w:pPr>
            <w:r>
              <w:t>100%</w:t>
            </w:r>
          </w:p>
        </w:tc>
      </w:tr>
      <w:tr w14:paraId="07A8E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8595B">
            <w:pPr>
              <w:pStyle w:val="11"/>
            </w:pPr>
            <w:r>
              <w:t>绩效目标</w:t>
            </w:r>
          </w:p>
        </w:tc>
        <w:tc>
          <w:tcPr>
            <w:tcW w:w="14033" w:type="dxa"/>
            <w:gridSpan w:val="6"/>
            <w:vAlign w:val="center"/>
          </w:tcPr>
          <w:p w14:paraId="421D3774">
            <w:pPr>
              <w:pStyle w:val="13"/>
            </w:pPr>
            <w:r>
              <w:t>1.保障义务教育学校正常运转，完成教育教学活动和其他日常工作任务等方面的费用支出。</w:t>
            </w:r>
          </w:p>
          <w:p w14:paraId="68237AEE">
            <w:pPr>
              <w:pStyle w:val="13"/>
            </w:pPr>
            <w:r>
              <w:t>2.按规定拨付公用经费资金5.712万元，资金拨付率达到100%。</w:t>
            </w:r>
          </w:p>
        </w:tc>
      </w:tr>
    </w:tbl>
    <w:p w14:paraId="3FCD4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14:paraId="7A6D7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16AD8">
            <w:pPr>
              <w:pStyle w:val="11"/>
            </w:pPr>
            <w:r>
              <w:t>一级指标</w:t>
            </w:r>
          </w:p>
        </w:tc>
        <w:tc>
          <w:tcPr>
            <w:tcW w:w="2268" w:type="dxa"/>
            <w:vAlign w:val="center"/>
          </w:tcPr>
          <w:p w14:paraId="6A762F5C">
            <w:pPr>
              <w:pStyle w:val="11"/>
            </w:pPr>
            <w:r>
              <w:t>二级指标</w:t>
            </w:r>
          </w:p>
        </w:tc>
        <w:tc>
          <w:tcPr>
            <w:tcW w:w="2835" w:type="dxa"/>
            <w:vAlign w:val="center"/>
          </w:tcPr>
          <w:p w14:paraId="71899124">
            <w:pPr>
              <w:pStyle w:val="11"/>
            </w:pPr>
            <w:r>
              <w:t>三级指标</w:t>
            </w:r>
          </w:p>
        </w:tc>
        <w:tc>
          <w:tcPr>
            <w:tcW w:w="5386" w:type="dxa"/>
            <w:vAlign w:val="center"/>
          </w:tcPr>
          <w:p w14:paraId="4FC349C7">
            <w:pPr>
              <w:pStyle w:val="11"/>
            </w:pPr>
            <w:r>
              <w:t>绩效指标描述</w:t>
            </w:r>
          </w:p>
        </w:tc>
        <w:tc>
          <w:tcPr>
            <w:tcW w:w="1598" w:type="dxa"/>
            <w:vAlign w:val="center"/>
          </w:tcPr>
          <w:p w14:paraId="35B03E54">
            <w:pPr>
              <w:pStyle w:val="11"/>
            </w:pPr>
            <w:r>
              <w:t>指标值</w:t>
            </w:r>
          </w:p>
        </w:tc>
        <w:tc>
          <w:tcPr>
            <w:tcW w:w="1946" w:type="dxa"/>
            <w:vAlign w:val="center"/>
          </w:tcPr>
          <w:p w14:paraId="0F26BE33">
            <w:pPr>
              <w:pStyle w:val="11"/>
            </w:pPr>
            <w:r>
              <w:t>指标值确定依据</w:t>
            </w:r>
          </w:p>
        </w:tc>
      </w:tr>
      <w:tr w14:paraId="026D9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08F85D26">
            <w:pPr>
              <w:pStyle w:val="12"/>
            </w:pPr>
            <w:r>
              <w:t>产出指标</w:t>
            </w:r>
          </w:p>
        </w:tc>
        <w:tc>
          <w:tcPr>
            <w:tcW w:w="2268" w:type="dxa"/>
            <w:vAlign w:val="center"/>
          </w:tcPr>
          <w:p w14:paraId="2DD34F20">
            <w:pPr>
              <w:pStyle w:val="13"/>
            </w:pPr>
            <w:r>
              <w:t>数量指标</w:t>
            </w:r>
          </w:p>
        </w:tc>
        <w:tc>
          <w:tcPr>
            <w:tcW w:w="2835" w:type="dxa"/>
            <w:vAlign w:val="center"/>
          </w:tcPr>
          <w:p w14:paraId="67DE7637">
            <w:pPr>
              <w:pStyle w:val="13"/>
            </w:pPr>
            <w:r>
              <w:t>生均拨款标准</w:t>
            </w:r>
          </w:p>
        </w:tc>
        <w:tc>
          <w:tcPr>
            <w:tcW w:w="5386" w:type="dxa"/>
            <w:vAlign w:val="center"/>
          </w:tcPr>
          <w:p w14:paraId="02CFEB04">
            <w:pPr>
              <w:pStyle w:val="13"/>
            </w:pPr>
            <w:r>
              <w:t>小学生公用经费生均小学720元。取暖费140元/生/年，随班就读学生补助7000元/生</w:t>
            </w:r>
          </w:p>
        </w:tc>
        <w:tc>
          <w:tcPr>
            <w:tcW w:w="1598" w:type="dxa"/>
            <w:vAlign w:val="center"/>
          </w:tcPr>
          <w:p w14:paraId="041F2409">
            <w:pPr>
              <w:pStyle w:val="13"/>
            </w:pPr>
            <w:r>
              <w:t>840元</w:t>
            </w:r>
          </w:p>
        </w:tc>
        <w:tc>
          <w:tcPr>
            <w:tcW w:w="1946" w:type="dxa"/>
            <w:vAlign w:val="center"/>
          </w:tcPr>
          <w:p w14:paraId="416766EB">
            <w:pPr>
              <w:pStyle w:val="13"/>
            </w:pPr>
            <w:r>
              <w:t>城乡义务教育公用经费管理办法</w:t>
            </w:r>
          </w:p>
        </w:tc>
      </w:tr>
      <w:tr w14:paraId="11808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5FC43"/>
        </w:tc>
        <w:tc>
          <w:tcPr>
            <w:tcW w:w="2268" w:type="dxa"/>
            <w:vAlign w:val="center"/>
          </w:tcPr>
          <w:p w14:paraId="62B590FA">
            <w:pPr>
              <w:pStyle w:val="13"/>
            </w:pPr>
            <w:r>
              <w:t>质量指标</w:t>
            </w:r>
          </w:p>
        </w:tc>
        <w:tc>
          <w:tcPr>
            <w:tcW w:w="2835" w:type="dxa"/>
            <w:vAlign w:val="center"/>
          </w:tcPr>
          <w:p w14:paraId="26344E93">
            <w:pPr>
              <w:pStyle w:val="13"/>
            </w:pPr>
            <w:r>
              <w:t>就读学生数</w:t>
            </w:r>
          </w:p>
        </w:tc>
        <w:tc>
          <w:tcPr>
            <w:tcW w:w="5386" w:type="dxa"/>
            <w:vAlign w:val="center"/>
          </w:tcPr>
          <w:p w14:paraId="4F70C605">
            <w:pPr>
              <w:pStyle w:val="13"/>
            </w:pPr>
            <w:r>
              <w:t>辐射区域内适龄学生人数</w:t>
            </w:r>
          </w:p>
        </w:tc>
        <w:tc>
          <w:tcPr>
            <w:tcW w:w="1598" w:type="dxa"/>
            <w:vAlign w:val="center"/>
          </w:tcPr>
          <w:p w14:paraId="02B3C46B">
            <w:pPr>
              <w:pStyle w:val="13"/>
            </w:pPr>
            <w:r>
              <w:t>≥20人</w:t>
            </w:r>
          </w:p>
        </w:tc>
        <w:tc>
          <w:tcPr>
            <w:tcW w:w="1946" w:type="dxa"/>
            <w:vAlign w:val="center"/>
          </w:tcPr>
          <w:p w14:paraId="557FFD1F">
            <w:pPr>
              <w:pStyle w:val="13"/>
            </w:pPr>
            <w:r>
              <w:t>城乡义务教育公用经费管理办法</w:t>
            </w:r>
          </w:p>
        </w:tc>
      </w:tr>
      <w:tr w14:paraId="794BA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A8FA"/>
        </w:tc>
        <w:tc>
          <w:tcPr>
            <w:tcW w:w="2268" w:type="dxa"/>
            <w:vAlign w:val="center"/>
          </w:tcPr>
          <w:p w14:paraId="0AEA0A29">
            <w:pPr>
              <w:pStyle w:val="13"/>
            </w:pPr>
            <w:r>
              <w:t>时效指标</w:t>
            </w:r>
          </w:p>
        </w:tc>
        <w:tc>
          <w:tcPr>
            <w:tcW w:w="2835" w:type="dxa"/>
            <w:vAlign w:val="center"/>
          </w:tcPr>
          <w:p w14:paraId="39133B37">
            <w:pPr>
              <w:pStyle w:val="13"/>
            </w:pPr>
            <w:r>
              <w:t>预算执行率</w:t>
            </w:r>
          </w:p>
        </w:tc>
        <w:tc>
          <w:tcPr>
            <w:tcW w:w="5386" w:type="dxa"/>
            <w:vAlign w:val="center"/>
          </w:tcPr>
          <w:p w14:paraId="3FBF9A49">
            <w:pPr>
              <w:pStyle w:val="13"/>
            </w:pPr>
            <w:r>
              <w:t>预算执行率≥98%</w:t>
            </w:r>
          </w:p>
        </w:tc>
        <w:tc>
          <w:tcPr>
            <w:tcW w:w="1598" w:type="dxa"/>
            <w:vAlign w:val="center"/>
          </w:tcPr>
          <w:p w14:paraId="137F2228">
            <w:pPr>
              <w:pStyle w:val="13"/>
            </w:pPr>
            <w:r>
              <w:t>≥98%</w:t>
            </w:r>
          </w:p>
        </w:tc>
        <w:tc>
          <w:tcPr>
            <w:tcW w:w="1946" w:type="dxa"/>
            <w:vAlign w:val="center"/>
          </w:tcPr>
          <w:p w14:paraId="72BA747B">
            <w:pPr>
              <w:pStyle w:val="13"/>
            </w:pPr>
            <w:r>
              <w:t>城乡义务教育公用经费管理办法</w:t>
            </w:r>
          </w:p>
        </w:tc>
      </w:tr>
      <w:tr w14:paraId="4A2FE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30784"/>
        </w:tc>
        <w:tc>
          <w:tcPr>
            <w:tcW w:w="2268" w:type="dxa"/>
            <w:vAlign w:val="center"/>
          </w:tcPr>
          <w:p w14:paraId="39A9922E">
            <w:pPr>
              <w:pStyle w:val="13"/>
            </w:pPr>
            <w:r>
              <w:t>成本指标</w:t>
            </w:r>
          </w:p>
        </w:tc>
        <w:tc>
          <w:tcPr>
            <w:tcW w:w="2835" w:type="dxa"/>
            <w:vAlign w:val="center"/>
          </w:tcPr>
          <w:p w14:paraId="5AAFCC67">
            <w:pPr>
              <w:pStyle w:val="13"/>
            </w:pPr>
            <w:r>
              <w:t>义教经费支付完成率</w:t>
            </w:r>
          </w:p>
        </w:tc>
        <w:tc>
          <w:tcPr>
            <w:tcW w:w="5386" w:type="dxa"/>
            <w:vAlign w:val="center"/>
          </w:tcPr>
          <w:p w14:paraId="380E62C9">
            <w:pPr>
              <w:pStyle w:val="13"/>
            </w:pPr>
            <w:r>
              <w:t>按照序时进度完成资金支付</w:t>
            </w:r>
          </w:p>
        </w:tc>
        <w:tc>
          <w:tcPr>
            <w:tcW w:w="1598" w:type="dxa"/>
            <w:vAlign w:val="center"/>
          </w:tcPr>
          <w:p w14:paraId="12D9B4C9">
            <w:pPr>
              <w:pStyle w:val="13"/>
            </w:pPr>
            <w:r>
              <w:t>100%</w:t>
            </w:r>
          </w:p>
        </w:tc>
        <w:tc>
          <w:tcPr>
            <w:tcW w:w="1946" w:type="dxa"/>
            <w:vAlign w:val="center"/>
          </w:tcPr>
          <w:p w14:paraId="34C0A284">
            <w:pPr>
              <w:pStyle w:val="13"/>
            </w:pPr>
            <w:r>
              <w:t>城乡义务教育公用经费管理办法</w:t>
            </w:r>
          </w:p>
        </w:tc>
      </w:tr>
      <w:tr w14:paraId="435C0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A69540">
            <w:pPr>
              <w:pStyle w:val="12"/>
            </w:pPr>
            <w:r>
              <w:t>效益指标</w:t>
            </w:r>
          </w:p>
        </w:tc>
        <w:tc>
          <w:tcPr>
            <w:tcW w:w="2268" w:type="dxa"/>
            <w:vAlign w:val="center"/>
          </w:tcPr>
          <w:p w14:paraId="4F0716C8">
            <w:pPr>
              <w:pStyle w:val="13"/>
            </w:pPr>
            <w:r>
              <w:t>生态效益指标</w:t>
            </w:r>
          </w:p>
        </w:tc>
        <w:tc>
          <w:tcPr>
            <w:tcW w:w="2835" w:type="dxa"/>
            <w:vAlign w:val="center"/>
          </w:tcPr>
          <w:p w14:paraId="58F131CB">
            <w:pPr>
              <w:pStyle w:val="13"/>
            </w:pPr>
            <w:r>
              <w:t>学校运转得到提高</w:t>
            </w:r>
          </w:p>
        </w:tc>
        <w:tc>
          <w:tcPr>
            <w:tcW w:w="5386" w:type="dxa"/>
            <w:vAlign w:val="center"/>
          </w:tcPr>
          <w:p w14:paraId="3DE477C2">
            <w:pPr>
              <w:pStyle w:val="13"/>
            </w:pPr>
            <w:r>
              <w:t>学生受教育年限</w:t>
            </w:r>
          </w:p>
        </w:tc>
        <w:tc>
          <w:tcPr>
            <w:tcW w:w="1598" w:type="dxa"/>
            <w:vAlign w:val="center"/>
          </w:tcPr>
          <w:p w14:paraId="6EA572E2">
            <w:pPr>
              <w:pStyle w:val="13"/>
            </w:pPr>
            <w:r>
              <w:t>6年</w:t>
            </w:r>
          </w:p>
        </w:tc>
        <w:tc>
          <w:tcPr>
            <w:tcW w:w="1946" w:type="dxa"/>
            <w:vAlign w:val="center"/>
          </w:tcPr>
          <w:p w14:paraId="385CE1DF">
            <w:pPr>
              <w:pStyle w:val="13"/>
            </w:pPr>
            <w:r>
              <w:t>城乡义务教育公用经费管理办法</w:t>
            </w:r>
          </w:p>
        </w:tc>
      </w:tr>
      <w:tr w14:paraId="7EDC1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ACC2F9">
            <w:pPr>
              <w:pStyle w:val="12"/>
            </w:pPr>
            <w:r>
              <w:t>满意度指标</w:t>
            </w:r>
          </w:p>
        </w:tc>
        <w:tc>
          <w:tcPr>
            <w:tcW w:w="2268" w:type="dxa"/>
            <w:vAlign w:val="center"/>
          </w:tcPr>
          <w:p w14:paraId="3AB89647">
            <w:pPr>
              <w:pStyle w:val="13"/>
            </w:pPr>
            <w:r>
              <w:t>服务对象满意度指标</w:t>
            </w:r>
          </w:p>
        </w:tc>
        <w:tc>
          <w:tcPr>
            <w:tcW w:w="2835" w:type="dxa"/>
            <w:vAlign w:val="center"/>
          </w:tcPr>
          <w:p w14:paraId="185B269B">
            <w:pPr>
              <w:pStyle w:val="13"/>
            </w:pPr>
            <w:r>
              <w:t>服务对象满意度</w:t>
            </w:r>
          </w:p>
        </w:tc>
        <w:tc>
          <w:tcPr>
            <w:tcW w:w="5386" w:type="dxa"/>
            <w:vAlign w:val="center"/>
          </w:tcPr>
          <w:p w14:paraId="78AFE7DF">
            <w:pPr>
              <w:pStyle w:val="13"/>
            </w:pPr>
            <w:r>
              <w:t>学校老师和学生满意度</w:t>
            </w:r>
          </w:p>
        </w:tc>
        <w:tc>
          <w:tcPr>
            <w:tcW w:w="1598" w:type="dxa"/>
            <w:vAlign w:val="center"/>
          </w:tcPr>
          <w:p w14:paraId="2A3CF115">
            <w:pPr>
              <w:pStyle w:val="13"/>
            </w:pPr>
            <w:r>
              <w:t>≥95%</w:t>
            </w:r>
          </w:p>
        </w:tc>
        <w:tc>
          <w:tcPr>
            <w:tcW w:w="1946" w:type="dxa"/>
            <w:vAlign w:val="center"/>
          </w:tcPr>
          <w:p w14:paraId="6A7936A4">
            <w:pPr>
              <w:pStyle w:val="13"/>
            </w:pPr>
            <w:r>
              <w:t>城乡义务教育公用经费管理办法</w:t>
            </w:r>
          </w:p>
        </w:tc>
      </w:tr>
    </w:tbl>
    <w:p w14:paraId="3710CF19">
      <w:pPr>
        <w:sectPr>
          <w:pgSz w:w="16840" w:h="11900" w:orient="landscape"/>
          <w:pgMar w:top="1361" w:right="1020" w:bottom="1134" w:left="1020" w:header="720" w:footer="720" w:gutter="0"/>
          <w:cols w:space="720" w:num="1"/>
        </w:sectPr>
      </w:pPr>
    </w:p>
    <w:p w14:paraId="239CB2C9">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7、冀财教[2024]123号/中央/2025年义教补助经费/莲子镇小学公用经费绩效目标表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FA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26014">
            <w:pPr>
              <w:pStyle w:val="14"/>
            </w:pPr>
            <w:r>
              <w:t>单位：万元</w:t>
            </w:r>
          </w:p>
        </w:tc>
      </w:tr>
      <w:tr w14:paraId="0FAEB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79992">
            <w:pPr>
              <w:pStyle w:val="11"/>
            </w:pPr>
            <w:r>
              <w:t>项目编码</w:t>
            </w:r>
          </w:p>
        </w:tc>
        <w:tc>
          <w:tcPr>
            <w:tcW w:w="5103" w:type="dxa"/>
            <w:gridSpan w:val="2"/>
            <w:vAlign w:val="center"/>
          </w:tcPr>
          <w:p w14:paraId="181FBD6A">
            <w:pPr>
              <w:pStyle w:val="13"/>
            </w:pPr>
            <w:r>
              <w:t>13052525P00000410038G</w:t>
            </w:r>
          </w:p>
        </w:tc>
        <w:tc>
          <w:tcPr>
            <w:tcW w:w="2835" w:type="dxa"/>
            <w:vAlign w:val="center"/>
          </w:tcPr>
          <w:p w14:paraId="66E8FB9B">
            <w:pPr>
              <w:pStyle w:val="11"/>
            </w:pPr>
            <w:r>
              <w:t>项目名称</w:t>
            </w:r>
          </w:p>
        </w:tc>
        <w:tc>
          <w:tcPr>
            <w:tcW w:w="6095" w:type="dxa"/>
            <w:gridSpan w:val="3"/>
            <w:vAlign w:val="center"/>
          </w:tcPr>
          <w:p w14:paraId="013DE45F">
            <w:pPr>
              <w:pStyle w:val="13"/>
            </w:pPr>
            <w:r>
              <w:t>冀财教[2024]123号/中央/2025年义教补助经费/莲子镇小学公用经费</w:t>
            </w:r>
          </w:p>
        </w:tc>
      </w:tr>
      <w:tr w14:paraId="2F6D4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D436B">
            <w:pPr>
              <w:pStyle w:val="11"/>
            </w:pPr>
            <w:r>
              <w:t>预算规模及资金用途</w:t>
            </w:r>
          </w:p>
        </w:tc>
        <w:tc>
          <w:tcPr>
            <w:tcW w:w="2268" w:type="dxa"/>
            <w:vAlign w:val="center"/>
          </w:tcPr>
          <w:p w14:paraId="43C924E8">
            <w:pPr>
              <w:pStyle w:val="11"/>
            </w:pPr>
            <w:r>
              <w:t>预算数</w:t>
            </w:r>
          </w:p>
        </w:tc>
        <w:tc>
          <w:tcPr>
            <w:tcW w:w="2835" w:type="dxa"/>
            <w:vAlign w:val="center"/>
          </w:tcPr>
          <w:p w14:paraId="74189800">
            <w:pPr>
              <w:pStyle w:val="13"/>
            </w:pPr>
            <w:r>
              <w:t>44.47</w:t>
            </w:r>
          </w:p>
        </w:tc>
        <w:tc>
          <w:tcPr>
            <w:tcW w:w="2835" w:type="dxa"/>
            <w:vAlign w:val="center"/>
          </w:tcPr>
          <w:p w14:paraId="48D45362">
            <w:pPr>
              <w:pStyle w:val="11"/>
            </w:pPr>
            <w:r>
              <w:t>其中：财政    资金</w:t>
            </w:r>
          </w:p>
        </w:tc>
        <w:tc>
          <w:tcPr>
            <w:tcW w:w="2551" w:type="dxa"/>
            <w:vAlign w:val="center"/>
          </w:tcPr>
          <w:p w14:paraId="2DE3995C">
            <w:pPr>
              <w:pStyle w:val="13"/>
            </w:pPr>
            <w:r>
              <w:t>44.47</w:t>
            </w:r>
          </w:p>
        </w:tc>
        <w:tc>
          <w:tcPr>
            <w:tcW w:w="2268" w:type="dxa"/>
            <w:vAlign w:val="center"/>
          </w:tcPr>
          <w:p w14:paraId="4DF4B9D2">
            <w:pPr>
              <w:pStyle w:val="11"/>
            </w:pPr>
            <w:r>
              <w:t>其他资金</w:t>
            </w:r>
          </w:p>
        </w:tc>
        <w:tc>
          <w:tcPr>
            <w:tcW w:w="1276" w:type="dxa"/>
            <w:vAlign w:val="center"/>
          </w:tcPr>
          <w:p w14:paraId="09FBA91B">
            <w:pPr>
              <w:pStyle w:val="13"/>
            </w:pPr>
            <w:r>
              <w:t xml:space="preserve"> </w:t>
            </w:r>
          </w:p>
        </w:tc>
      </w:tr>
      <w:tr w14:paraId="1E4C3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2EF9F"/>
        </w:tc>
        <w:tc>
          <w:tcPr>
            <w:tcW w:w="14033" w:type="dxa"/>
            <w:gridSpan w:val="6"/>
            <w:vAlign w:val="center"/>
          </w:tcPr>
          <w:p w14:paraId="6D987A1C">
            <w:pPr>
              <w:pStyle w:val="13"/>
            </w:pPr>
            <w:r>
              <w:t>保障义务教育学校正常运转，完成教育教学活动和其他日常工作任务等方面的费用支出。</w:t>
            </w:r>
          </w:p>
        </w:tc>
      </w:tr>
      <w:tr w14:paraId="44866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D1B0A">
            <w:pPr>
              <w:pStyle w:val="11"/>
            </w:pPr>
            <w:r>
              <w:t>资金支出计划（%）</w:t>
            </w:r>
          </w:p>
        </w:tc>
        <w:tc>
          <w:tcPr>
            <w:tcW w:w="5103" w:type="dxa"/>
            <w:gridSpan w:val="2"/>
            <w:vAlign w:val="center"/>
          </w:tcPr>
          <w:p w14:paraId="448C80A9">
            <w:pPr>
              <w:pStyle w:val="11"/>
            </w:pPr>
            <w:r>
              <w:t>3月底</w:t>
            </w:r>
          </w:p>
        </w:tc>
        <w:tc>
          <w:tcPr>
            <w:tcW w:w="2835" w:type="dxa"/>
            <w:vAlign w:val="center"/>
          </w:tcPr>
          <w:p w14:paraId="7D6DB5BF">
            <w:pPr>
              <w:pStyle w:val="11"/>
            </w:pPr>
            <w:r>
              <w:t>6月底</w:t>
            </w:r>
          </w:p>
        </w:tc>
        <w:tc>
          <w:tcPr>
            <w:tcW w:w="2551" w:type="dxa"/>
            <w:vAlign w:val="center"/>
          </w:tcPr>
          <w:p w14:paraId="01D745F6">
            <w:pPr>
              <w:pStyle w:val="11"/>
            </w:pPr>
            <w:r>
              <w:t>10月底</w:t>
            </w:r>
          </w:p>
        </w:tc>
        <w:tc>
          <w:tcPr>
            <w:tcW w:w="3544" w:type="dxa"/>
            <w:gridSpan w:val="2"/>
            <w:vAlign w:val="center"/>
          </w:tcPr>
          <w:p w14:paraId="65D5D645">
            <w:pPr>
              <w:pStyle w:val="11"/>
            </w:pPr>
            <w:r>
              <w:t>12月底</w:t>
            </w:r>
          </w:p>
        </w:tc>
      </w:tr>
      <w:tr w14:paraId="23824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D7DC17"/>
        </w:tc>
        <w:tc>
          <w:tcPr>
            <w:tcW w:w="5103" w:type="dxa"/>
            <w:gridSpan w:val="2"/>
            <w:vAlign w:val="center"/>
          </w:tcPr>
          <w:p w14:paraId="07090975">
            <w:pPr>
              <w:pStyle w:val="12"/>
            </w:pPr>
            <w:r>
              <w:t>25%</w:t>
            </w:r>
          </w:p>
        </w:tc>
        <w:tc>
          <w:tcPr>
            <w:tcW w:w="2835" w:type="dxa"/>
            <w:vAlign w:val="center"/>
          </w:tcPr>
          <w:p w14:paraId="54239215">
            <w:pPr>
              <w:pStyle w:val="12"/>
            </w:pPr>
            <w:r>
              <w:t>50%</w:t>
            </w:r>
          </w:p>
        </w:tc>
        <w:tc>
          <w:tcPr>
            <w:tcW w:w="2551" w:type="dxa"/>
            <w:vAlign w:val="center"/>
          </w:tcPr>
          <w:p w14:paraId="1DF5792B">
            <w:pPr>
              <w:pStyle w:val="12"/>
            </w:pPr>
            <w:r>
              <w:t>75%</w:t>
            </w:r>
          </w:p>
        </w:tc>
        <w:tc>
          <w:tcPr>
            <w:tcW w:w="3544" w:type="dxa"/>
            <w:gridSpan w:val="2"/>
            <w:vAlign w:val="center"/>
          </w:tcPr>
          <w:p w14:paraId="3248F55B">
            <w:pPr>
              <w:pStyle w:val="12"/>
            </w:pPr>
            <w:r>
              <w:t>100%</w:t>
            </w:r>
          </w:p>
        </w:tc>
      </w:tr>
      <w:tr w14:paraId="26850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CBE7E4">
            <w:pPr>
              <w:pStyle w:val="11"/>
            </w:pPr>
            <w:r>
              <w:t>绩效目标</w:t>
            </w:r>
          </w:p>
        </w:tc>
        <w:tc>
          <w:tcPr>
            <w:tcW w:w="14033" w:type="dxa"/>
            <w:gridSpan w:val="6"/>
            <w:vAlign w:val="center"/>
          </w:tcPr>
          <w:p w14:paraId="30AFE599">
            <w:pPr>
              <w:pStyle w:val="13"/>
            </w:pPr>
            <w:r>
              <w:t>1.保障义务教育学校正常运转，完成教育教学活动和其他日常工作任务等方面的费用支出。</w:t>
            </w:r>
          </w:p>
          <w:p w14:paraId="036A78A0">
            <w:pPr>
              <w:pStyle w:val="13"/>
            </w:pPr>
            <w:r>
              <w:t>2.按规定拨付公用经费资金44.469万元，资金拨付率达到100%。</w:t>
            </w:r>
          </w:p>
        </w:tc>
      </w:tr>
    </w:tbl>
    <w:p w14:paraId="0A3D0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178"/>
        <w:gridCol w:w="2366"/>
      </w:tblGrid>
      <w:tr w14:paraId="73E2F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15DA6">
            <w:pPr>
              <w:pStyle w:val="11"/>
            </w:pPr>
            <w:r>
              <w:t>一级指标</w:t>
            </w:r>
          </w:p>
        </w:tc>
        <w:tc>
          <w:tcPr>
            <w:tcW w:w="2268" w:type="dxa"/>
            <w:vAlign w:val="center"/>
          </w:tcPr>
          <w:p w14:paraId="21DA24E1">
            <w:pPr>
              <w:pStyle w:val="11"/>
            </w:pPr>
            <w:r>
              <w:t>二级指标</w:t>
            </w:r>
          </w:p>
        </w:tc>
        <w:tc>
          <w:tcPr>
            <w:tcW w:w="2835" w:type="dxa"/>
            <w:vAlign w:val="center"/>
          </w:tcPr>
          <w:p w14:paraId="5AA2D203">
            <w:pPr>
              <w:pStyle w:val="11"/>
            </w:pPr>
            <w:r>
              <w:t>三级指标</w:t>
            </w:r>
          </w:p>
        </w:tc>
        <w:tc>
          <w:tcPr>
            <w:tcW w:w="5386" w:type="dxa"/>
            <w:vAlign w:val="center"/>
          </w:tcPr>
          <w:p w14:paraId="01902807">
            <w:pPr>
              <w:pStyle w:val="11"/>
            </w:pPr>
            <w:r>
              <w:t>绩效指标描述</w:t>
            </w:r>
          </w:p>
        </w:tc>
        <w:tc>
          <w:tcPr>
            <w:tcW w:w="1178" w:type="dxa"/>
            <w:vAlign w:val="center"/>
          </w:tcPr>
          <w:p w14:paraId="4ED7E6A6">
            <w:pPr>
              <w:pStyle w:val="11"/>
            </w:pPr>
            <w:r>
              <w:t>指标值</w:t>
            </w:r>
          </w:p>
        </w:tc>
        <w:tc>
          <w:tcPr>
            <w:tcW w:w="2366" w:type="dxa"/>
            <w:vAlign w:val="center"/>
          </w:tcPr>
          <w:p w14:paraId="011F95A8">
            <w:pPr>
              <w:pStyle w:val="11"/>
            </w:pPr>
            <w:r>
              <w:t>指标值确定依据</w:t>
            </w:r>
          </w:p>
        </w:tc>
      </w:tr>
      <w:tr w14:paraId="179E9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BCA19">
            <w:pPr>
              <w:pStyle w:val="12"/>
            </w:pPr>
            <w:r>
              <w:t>产出指标</w:t>
            </w:r>
          </w:p>
        </w:tc>
        <w:tc>
          <w:tcPr>
            <w:tcW w:w="2268" w:type="dxa"/>
            <w:vAlign w:val="center"/>
          </w:tcPr>
          <w:p w14:paraId="66370339">
            <w:pPr>
              <w:pStyle w:val="13"/>
            </w:pPr>
            <w:r>
              <w:t>数量指标</w:t>
            </w:r>
          </w:p>
        </w:tc>
        <w:tc>
          <w:tcPr>
            <w:tcW w:w="2835" w:type="dxa"/>
            <w:vAlign w:val="center"/>
          </w:tcPr>
          <w:p w14:paraId="4E8772DF">
            <w:pPr>
              <w:pStyle w:val="13"/>
            </w:pPr>
            <w:r>
              <w:t>生均拨款标准</w:t>
            </w:r>
          </w:p>
        </w:tc>
        <w:tc>
          <w:tcPr>
            <w:tcW w:w="5386" w:type="dxa"/>
            <w:vAlign w:val="center"/>
          </w:tcPr>
          <w:p w14:paraId="4D8D6E5C">
            <w:pPr>
              <w:pStyle w:val="13"/>
            </w:pPr>
            <w:r>
              <w:t>小学生公用经费生均小学720元。取暖费140元/生/年，随班就读学生补助7000元/生</w:t>
            </w:r>
          </w:p>
        </w:tc>
        <w:tc>
          <w:tcPr>
            <w:tcW w:w="1178" w:type="dxa"/>
            <w:vAlign w:val="center"/>
          </w:tcPr>
          <w:p w14:paraId="6057CF09">
            <w:pPr>
              <w:pStyle w:val="13"/>
            </w:pPr>
            <w:r>
              <w:t>840元</w:t>
            </w:r>
          </w:p>
        </w:tc>
        <w:tc>
          <w:tcPr>
            <w:tcW w:w="2366" w:type="dxa"/>
            <w:vAlign w:val="center"/>
          </w:tcPr>
          <w:p w14:paraId="1405E8B6">
            <w:pPr>
              <w:pStyle w:val="13"/>
            </w:pPr>
            <w:r>
              <w:t>城乡义务教育公用经费管理办法</w:t>
            </w:r>
          </w:p>
        </w:tc>
      </w:tr>
      <w:tr w14:paraId="4D24C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EB896"/>
        </w:tc>
        <w:tc>
          <w:tcPr>
            <w:tcW w:w="2268" w:type="dxa"/>
            <w:vAlign w:val="center"/>
          </w:tcPr>
          <w:p w14:paraId="4E1480CB">
            <w:pPr>
              <w:pStyle w:val="13"/>
            </w:pPr>
            <w:r>
              <w:t>质量指标</w:t>
            </w:r>
          </w:p>
        </w:tc>
        <w:tc>
          <w:tcPr>
            <w:tcW w:w="2835" w:type="dxa"/>
            <w:vAlign w:val="center"/>
          </w:tcPr>
          <w:p w14:paraId="4894B5EE">
            <w:pPr>
              <w:pStyle w:val="13"/>
            </w:pPr>
            <w:r>
              <w:t>就读学生数</w:t>
            </w:r>
          </w:p>
        </w:tc>
        <w:tc>
          <w:tcPr>
            <w:tcW w:w="5386" w:type="dxa"/>
            <w:vAlign w:val="center"/>
          </w:tcPr>
          <w:p w14:paraId="7F4902BA">
            <w:pPr>
              <w:pStyle w:val="13"/>
            </w:pPr>
            <w:r>
              <w:t>辐射区域内适龄学生人数</w:t>
            </w:r>
          </w:p>
        </w:tc>
        <w:tc>
          <w:tcPr>
            <w:tcW w:w="1178" w:type="dxa"/>
            <w:vAlign w:val="center"/>
          </w:tcPr>
          <w:p w14:paraId="077D36ED">
            <w:pPr>
              <w:pStyle w:val="13"/>
            </w:pPr>
            <w:r>
              <w:t>≥719人</w:t>
            </w:r>
          </w:p>
        </w:tc>
        <w:tc>
          <w:tcPr>
            <w:tcW w:w="2366" w:type="dxa"/>
            <w:vAlign w:val="center"/>
          </w:tcPr>
          <w:p w14:paraId="65172CEE">
            <w:pPr>
              <w:pStyle w:val="13"/>
            </w:pPr>
            <w:r>
              <w:t>城乡义务教育公用经费管理办法</w:t>
            </w:r>
          </w:p>
        </w:tc>
      </w:tr>
      <w:tr w14:paraId="6D255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F2C8B"/>
        </w:tc>
        <w:tc>
          <w:tcPr>
            <w:tcW w:w="2268" w:type="dxa"/>
            <w:vAlign w:val="center"/>
          </w:tcPr>
          <w:p w14:paraId="7F17C428">
            <w:pPr>
              <w:pStyle w:val="13"/>
            </w:pPr>
            <w:r>
              <w:t>时效指标</w:t>
            </w:r>
          </w:p>
        </w:tc>
        <w:tc>
          <w:tcPr>
            <w:tcW w:w="2835" w:type="dxa"/>
            <w:vAlign w:val="center"/>
          </w:tcPr>
          <w:p w14:paraId="03651098">
            <w:pPr>
              <w:pStyle w:val="13"/>
            </w:pPr>
            <w:r>
              <w:t>预算执行率</w:t>
            </w:r>
          </w:p>
        </w:tc>
        <w:tc>
          <w:tcPr>
            <w:tcW w:w="5386" w:type="dxa"/>
            <w:vAlign w:val="center"/>
          </w:tcPr>
          <w:p w14:paraId="4879DF4E">
            <w:pPr>
              <w:pStyle w:val="13"/>
            </w:pPr>
            <w:r>
              <w:t>预算执行率≥98%</w:t>
            </w:r>
          </w:p>
        </w:tc>
        <w:tc>
          <w:tcPr>
            <w:tcW w:w="1178" w:type="dxa"/>
            <w:vAlign w:val="center"/>
          </w:tcPr>
          <w:p w14:paraId="71F92EC9">
            <w:pPr>
              <w:pStyle w:val="13"/>
            </w:pPr>
            <w:r>
              <w:t>≥98%</w:t>
            </w:r>
          </w:p>
        </w:tc>
        <w:tc>
          <w:tcPr>
            <w:tcW w:w="2366" w:type="dxa"/>
            <w:vAlign w:val="center"/>
          </w:tcPr>
          <w:p w14:paraId="6FAE3334">
            <w:pPr>
              <w:pStyle w:val="13"/>
            </w:pPr>
            <w:r>
              <w:t>城乡义务教育公用经费管理办法</w:t>
            </w:r>
          </w:p>
        </w:tc>
      </w:tr>
      <w:tr w14:paraId="7B0E8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E60B3"/>
        </w:tc>
        <w:tc>
          <w:tcPr>
            <w:tcW w:w="2268" w:type="dxa"/>
            <w:vAlign w:val="center"/>
          </w:tcPr>
          <w:p w14:paraId="4CCB9D6C">
            <w:pPr>
              <w:pStyle w:val="13"/>
            </w:pPr>
            <w:r>
              <w:t>成本指标</w:t>
            </w:r>
          </w:p>
        </w:tc>
        <w:tc>
          <w:tcPr>
            <w:tcW w:w="2835" w:type="dxa"/>
            <w:vAlign w:val="center"/>
          </w:tcPr>
          <w:p w14:paraId="4B034B7F">
            <w:pPr>
              <w:pStyle w:val="13"/>
            </w:pPr>
            <w:r>
              <w:t>义教经费支付完成率</w:t>
            </w:r>
          </w:p>
        </w:tc>
        <w:tc>
          <w:tcPr>
            <w:tcW w:w="5386" w:type="dxa"/>
            <w:vAlign w:val="center"/>
          </w:tcPr>
          <w:p w14:paraId="27A70794">
            <w:pPr>
              <w:pStyle w:val="13"/>
            </w:pPr>
            <w:r>
              <w:t>按照序时进度完成资金支付</w:t>
            </w:r>
          </w:p>
        </w:tc>
        <w:tc>
          <w:tcPr>
            <w:tcW w:w="1178" w:type="dxa"/>
            <w:vAlign w:val="center"/>
          </w:tcPr>
          <w:p w14:paraId="7B23BC6E">
            <w:pPr>
              <w:pStyle w:val="13"/>
            </w:pPr>
            <w:r>
              <w:t>100%</w:t>
            </w:r>
          </w:p>
        </w:tc>
        <w:tc>
          <w:tcPr>
            <w:tcW w:w="2366" w:type="dxa"/>
            <w:vAlign w:val="center"/>
          </w:tcPr>
          <w:p w14:paraId="64922A9A">
            <w:pPr>
              <w:pStyle w:val="13"/>
            </w:pPr>
            <w:r>
              <w:t>城乡义务教育公用经费管理办法</w:t>
            </w:r>
          </w:p>
        </w:tc>
      </w:tr>
      <w:tr w14:paraId="4E224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7A3BF">
            <w:pPr>
              <w:pStyle w:val="12"/>
            </w:pPr>
            <w:r>
              <w:t>效益指标</w:t>
            </w:r>
          </w:p>
        </w:tc>
        <w:tc>
          <w:tcPr>
            <w:tcW w:w="2268" w:type="dxa"/>
            <w:vAlign w:val="center"/>
          </w:tcPr>
          <w:p w14:paraId="26390898">
            <w:pPr>
              <w:pStyle w:val="13"/>
            </w:pPr>
            <w:r>
              <w:t>可持续影响指标</w:t>
            </w:r>
          </w:p>
        </w:tc>
        <w:tc>
          <w:tcPr>
            <w:tcW w:w="2835" w:type="dxa"/>
            <w:vAlign w:val="center"/>
          </w:tcPr>
          <w:p w14:paraId="28856AF9">
            <w:pPr>
              <w:pStyle w:val="13"/>
            </w:pPr>
            <w:r>
              <w:t>学校运转得到提高</w:t>
            </w:r>
          </w:p>
        </w:tc>
        <w:tc>
          <w:tcPr>
            <w:tcW w:w="5386" w:type="dxa"/>
            <w:vAlign w:val="center"/>
          </w:tcPr>
          <w:p w14:paraId="70D16FA7">
            <w:pPr>
              <w:pStyle w:val="13"/>
            </w:pPr>
            <w:r>
              <w:t>学生受教育年限</w:t>
            </w:r>
          </w:p>
        </w:tc>
        <w:tc>
          <w:tcPr>
            <w:tcW w:w="1178" w:type="dxa"/>
            <w:vAlign w:val="center"/>
          </w:tcPr>
          <w:p w14:paraId="6A11E233">
            <w:pPr>
              <w:pStyle w:val="13"/>
            </w:pPr>
            <w:r>
              <w:t>6年</w:t>
            </w:r>
          </w:p>
        </w:tc>
        <w:tc>
          <w:tcPr>
            <w:tcW w:w="2366" w:type="dxa"/>
            <w:vAlign w:val="center"/>
          </w:tcPr>
          <w:p w14:paraId="59C1AF41">
            <w:pPr>
              <w:pStyle w:val="13"/>
            </w:pPr>
            <w:r>
              <w:t>城乡义务教育公用经费管理办法</w:t>
            </w:r>
          </w:p>
        </w:tc>
      </w:tr>
      <w:tr w14:paraId="4B5C0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348DFF">
            <w:pPr>
              <w:pStyle w:val="12"/>
            </w:pPr>
            <w:r>
              <w:t>满意度指标</w:t>
            </w:r>
          </w:p>
        </w:tc>
        <w:tc>
          <w:tcPr>
            <w:tcW w:w="2268" w:type="dxa"/>
            <w:vAlign w:val="center"/>
          </w:tcPr>
          <w:p w14:paraId="24455406">
            <w:pPr>
              <w:pStyle w:val="13"/>
            </w:pPr>
            <w:r>
              <w:t>服务对象满意度指标</w:t>
            </w:r>
          </w:p>
        </w:tc>
        <w:tc>
          <w:tcPr>
            <w:tcW w:w="2835" w:type="dxa"/>
            <w:vAlign w:val="center"/>
          </w:tcPr>
          <w:p w14:paraId="7F25AA1A">
            <w:pPr>
              <w:pStyle w:val="13"/>
            </w:pPr>
            <w:r>
              <w:t>服务对象满意度</w:t>
            </w:r>
          </w:p>
        </w:tc>
        <w:tc>
          <w:tcPr>
            <w:tcW w:w="5386" w:type="dxa"/>
            <w:vAlign w:val="center"/>
          </w:tcPr>
          <w:p w14:paraId="132C94F9">
            <w:pPr>
              <w:pStyle w:val="13"/>
            </w:pPr>
            <w:r>
              <w:t>学校老师和学生满意度</w:t>
            </w:r>
          </w:p>
        </w:tc>
        <w:tc>
          <w:tcPr>
            <w:tcW w:w="1178" w:type="dxa"/>
            <w:vAlign w:val="center"/>
          </w:tcPr>
          <w:p w14:paraId="3977A0C2">
            <w:pPr>
              <w:pStyle w:val="13"/>
            </w:pPr>
            <w:r>
              <w:t>≥95%</w:t>
            </w:r>
          </w:p>
        </w:tc>
        <w:tc>
          <w:tcPr>
            <w:tcW w:w="2366" w:type="dxa"/>
            <w:vAlign w:val="center"/>
          </w:tcPr>
          <w:p w14:paraId="4E4AED87">
            <w:pPr>
              <w:pStyle w:val="13"/>
            </w:pPr>
            <w:r>
              <w:t>城乡义务教育公用经费管理办法</w:t>
            </w:r>
          </w:p>
        </w:tc>
      </w:tr>
    </w:tbl>
    <w:p w14:paraId="47B43632">
      <w:pPr>
        <w:sectPr>
          <w:pgSz w:w="16840" w:h="11900" w:orient="landscape"/>
          <w:pgMar w:top="1361" w:right="1020" w:bottom="1134" w:left="1020" w:header="720" w:footer="720" w:gutter="0"/>
          <w:cols w:space="720" w:num="1"/>
        </w:sectPr>
      </w:pPr>
    </w:p>
    <w:p w14:paraId="6571BDAD">
      <w:pPr>
        <w:spacing w:before="0" w:after="0"/>
        <w:ind w:firstLine="560"/>
        <w:jc w:val="left"/>
        <w:outlineLvl w:val="9"/>
      </w:pPr>
      <w:r>
        <w:rPr>
          <w:rFonts w:ascii="方正仿宋_GBK" w:hAnsi="方正仿宋_GBK" w:eastAsia="方正仿宋_GBK" w:cs="方正仿宋_GBK"/>
          <w:b/>
          <w:color w:val="000000"/>
          <w:sz w:val="28"/>
        </w:rPr>
        <w:t>8、冀财教[2024]123号/中央/2025年义教补助经费/南吴疃小学公用经费绩效目标表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5D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25960">
            <w:pPr>
              <w:pStyle w:val="14"/>
            </w:pPr>
            <w:r>
              <w:t>单位：万元</w:t>
            </w:r>
          </w:p>
        </w:tc>
      </w:tr>
      <w:tr w14:paraId="0192C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1D7FCA">
            <w:pPr>
              <w:pStyle w:val="11"/>
            </w:pPr>
            <w:r>
              <w:t>项目编码</w:t>
            </w:r>
          </w:p>
        </w:tc>
        <w:tc>
          <w:tcPr>
            <w:tcW w:w="5103" w:type="dxa"/>
            <w:gridSpan w:val="2"/>
            <w:vAlign w:val="center"/>
          </w:tcPr>
          <w:p w14:paraId="10E163E7">
            <w:pPr>
              <w:pStyle w:val="13"/>
            </w:pPr>
            <w:r>
              <w:t>13052525P00000410035M</w:t>
            </w:r>
          </w:p>
        </w:tc>
        <w:tc>
          <w:tcPr>
            <w:tcW w:w="2835" w:type="dxa"/>
            <w:vAlign w:val="center"/>
          </w:tcPr>
          <w:p w14:paraId="5B6688CF">
            <w:pPr>
              <w:pStyle w:val="11"/>
            </w:pPr>
            <w:r>
              <w:t>项目名称</w:t>
            </w:r>
          </w:p>
        </w:tc>
        <w:tc>
          <w:tcPr>
            <w:tcW w:w="6095" w:type="dxa"/>
            <w:gridSpan w:val="3"/>
            <w:vAlign w:val="center"/>
          </w:tcPr>
          <w:p w14:paraId="133F45FC">
            <w:pPr>
              <w:pStyle w:val="13"/>
            </w:pPr>
            <w:r>
              <w:t>冀财教[2024]123号/中央/2025年义教补助经费/南吴疃小学公用经费</w:t>
            </w:r>
          </w:p>
        </w:tc>
      </w:tr>
      <w:tr w14:paraId="2756C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80CB4">
            <w:pPr>
              <w:pStyle w:val="11"/>
            </w:pPr>
            <w:r>
              <w:t>预算规模及资金用途</w:t>
            </w:r>
          </w:p>
        </w:tc>
        <w:tc>
          <w:tcPr>
            <w:tcW w:w="2268" w:type="dxa"/>
            <w:vAlign w:val="center"/>
          </w:tcPr>
          <w:p w14:paraId="4319010F">
            <w:pPr>
              <w:pStyle w:val="11"/>
            </w:pPr>
            <w:r>
              <w:t>预算数</w:t>
            </w:r>
          </w:p>
        </w:tc>
        <w:tc>
          <w:tcPr>
            <w:tcW w:w="2835" w:type="dxa"/>
            <w:vAlign w:val="center"/>
          </w:tcPr>
          <w:p w14:paraId="64AA5834">
            <w:pPr>
              <w:pStyle w:val="13"/>
            </w:pPr>
            <w:r>
              <w:t>8.18</w:t>
            </w:r>
          </w:p>
        </w:tc>
        <w:tc>
          <w:tcPr>
            <w:tcW w:w="2835" w:type="dxa"/>
            <w:vAlign w:val="center"/>
          </w:tcPr>
          <w:p w14:paraId="4FD0F9C8">
            <w:pPr>
              <w:pStyle w:val="11"/>
            </w:pPr>
            <w:r>
              <w:t>其中：财政    资金</w:t>
            </w:r>
          </w:p>
        </w:tc>
        <w:tc>
          <w:tcPr>
            <w:tcW w:w="2551" w:type="dxa"/>
            <w:vAlign w:val="center"/>
          </w:tcPr>
          <w:p w14:paraId="75A4BDDC">
            <w:pPr>
              <w:pStyle w:val="13"/>
            </w:pPr>
            <w:r>
              <w:t>8.18</w:t>
            </w:r>
          </w:p>
        </w:tc>
        <w:tc>
          <w:tcPr>
            <w:tcW w:w="2268" w:type="dxa"/>
            <w:vAlign w:val="center"/>
          </w:tcPr>
          <w:p w14:paraId="6DC9F246">
            <w:pPr>
              <w:pStyle w:val="11"/>
            </w:pPr>
            <w:r>
              <w:t>其他资金</w:t>
            </w:r>
          </w:p>
        </w:tc>
        <w:tc>
          <w:tcPr>
            <w:tcW w:w="1276" w:type="dxa"/>
            <w:vAlign w:val="center"/>
          </w:tcPr>
          <w:p w14:paraId="1076492F">
            <w:pPr>
              <w:pStyle w:val="13"/>
            </w:pPr>
            <w:r>
              <w:t xml:space="preserve"> </w:t>
            </w:r>
          </w:p>
        </w:tc>
      </w:tr>
      <w:tr w14:paraId="1E6CD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93643F"/>
        </w:tc>
        <w:tc>
          <w:tcPr>
            <w:tcW w:w="14033" w:type="dxa"/>
            <w:gridSpan w:val="6"/>
            <w:vAlign w:val="center"/>
          </w:tcPr>
          <w:p w14:paraId="20BF8570">
            <w:pPr>
              <w:pStyle w:val="13"/>
            </w:pPr>
            <w:r>
              <w:t>保障义务教育学校正常运转，完成教育教学活动和其他日常工作任务等方面的费用支出。</w:t>
            </w:r>
          </w:p>
        </w:tc>
      </w:tr>
      <w:tr w14:paraId="3F454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5C44C">
            <w:pPr>
              <w:pStyle w:val="11"/>
            </w:pPr>
            <w:r>
              <w:t>资金支出计划（%）</w:t>
            </w:r>
          </w:p>
        </w:tc>
        <w:tc>
          <w:tcPr>
            <w:tcW w:w="5103" w:type="dxa"/>
            <w:gridSpan w:val="2"/>
            <w:vAlign w:val="center"/>
          </w:tcPr>
          <w:p w14:paraId="181F7B40">
            <w:pPr>
              <w:pStyle w:val="11"/>
            </w:pPr>
            <w:r>
              <w:t>3月底</w:t>
            </w:r>
          </w:p>
        </w:tc>
        <w:tc>
          <w:tcPr>
            <w:tcW w:w="2835" w:type="dxa"/>
            <w:vAlign w:val="center"/>
          </w:tcPr>
          <w:p w14:paraId="59847439">
            <w:pPr>
              <w:pStyle w:val="11"/>
            </w:pPr>
            <w:r>
              <w:t>6月底</w:t>
            </w:r>
          </w:p>
        </w:tc>
        <w:tc>
          <w:tcPr>
            <w:tcW w:w="2551" w:type="dxa"/>
            <w:vAlign w:val="center"/>
          </w:tcPr>
          <w:p w14:paraId="62D35F0D">
            <w:pPr>
              <w:pStyle w:val="11"/>
            </w:pPr>
            <w:r>
              <w:t>10月底</w:t>
            </w:r>
          </w:p>
        </w:tc>
        <w:tc>
          <w:tcPr>
            <w:tcW w:w="3544" w:type="dxa"/>
            <w:gridSpan w:val="2"/>
            <w:vAlign w:val="center"/>
          </w:tcPr>
          <w:p w14:paraId="607D3241">
            <w:pPr>
              <w:pStyle w:val="11"/>
            </w:pPr>
            <w:r>
              <w:t>12月底</w:t>
            </w:r>
          </w:p>
        </w:tc>
      </w:tr>
      <w:tr w14:paraId="2EC1B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1A3533"/>
        </w:tc>
        <w:tc>
          <w:tcPr>
            <w:tcW w:w="5103" w:type="dxa"/>
            <w:gridSpan w:val="2"/>
            <w:vAlign w:val="center"/>
          </w:tcPr>
          <w:p w14:paraId="505E8EF5">
            <w:pPr>
              <w:pStyle w:val="12"/>
            </w:pPr>
            <w:r>
              <w:t>25%</w:t>
            </w:r>
          </w:p>
        </w:tc>
        <w:tc>
          <w:tcPr>
            <w:tcW w:w="2835" w:type="dxa"/>
            <w:vAlign w:val="center"/>
          </w:tcPr>
          <w:p w14:paraId="67C22873">
            <w:pPr>
              <w:pStyle w:val="12"/>
            </w:pPr>
            <w:r>
              <w:t>50%</w:t>
            </w:r>
          </w:p>
        </w:tc>
        <w:tc>
          <w:tcPr>
            <w:tcW w:w="2551" w:type="dxa"/>
            <w:vAlign w:val="center"/>
          </w:tcPr>
          <w:p w14:paraId="64428B6E">
            <w:pPr>
              <w:pStyle w:val="12"/>
            </w:pPr>
            <w:r>
              <w:t>75%</w:t>
            </w:r>
          </w:p>
        </w:tc>
        <w:tc>
          <w:tcPr>
            <w:tcW w:w="3544" w:type="dxa"/>
            <w:gridSpan w:val="2"/>
            <w:vAlign w:val="center"/>
          </w:tcPr>
          <w:p w14:paraId="03A998BA">
            <w:pPr>
              <w:pStyle w:val="12"/>
            </w:pPr>
            <w:r>
              <w:t>100%</w:t>
            </w:r>
          </w:p>
        </w:tc>
      </w:tr>
      <w:tr w14:paraId="31C29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E6D1D">
            <w:pPr>
              <w:pStyle w:val="11"/>
            </w:pPr>
            <w:r>
              <w:t>绩效目标</w:t>
            </w:r>
          </w:p>
        </w:tc>
        <w:tc>
          <w:tcPr>
            <w:tcW w:w="14033" w:type="dxa"/>
            <w:gridSpan w:val="6"/>
            <w:vAlign w:val="center"/>
          </w:tcPr>
          <w:p w14:paraId="08EDD917">
            <w:pPr>
              <w:pStyle w:val="13"/>
            </w:pPr>
            <w:r>
              <w:t>1.保障义务教育学校正常运转，完成教育教学活动和其他日常工作任务等方面的费用支出。</w:t>
            </w:r>
          </w:p>
          <w:p w14:paraId="196F4027">
            <w:pPr>
              <w:pStyle w:val="13"/>
            </w:pPr>
            <w:r>
              <w:t>2.按规定拨付公用经费资金8.176万元，资金拨付率达到100%。</w:t>
            </w:r>
          </w:p>
        </w:tc>
      </w:tr>
    </w:tbl>
    <w:p w14:paraId="05DB2D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78"/>
        <w:gridCol w:w="2066"/>
      </w:tblGrid>
      <w:tr w14:paraId="542CD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4358E">
            <w:pPr>
              <w:pStyle w:val="11"/>
            </w:pPr>
            <w:r>
              <w:t>一级指标</w:t>
            </w:r>
          </w:p>
        </w:tc>
        <w:tc>
          <w:tcPr>
            <w:tcW w:w="2268" w:type="dxa"/>
            <w:vAlign w:val="center"/>
          </w:tcPr>
          <w:p w14:paraId="3156BE22">
            <w:pPr>
              <w:pStyle w:val="11"/>
            </w:pPr>
            <w:r>
              <w:t>二级指标</w:t>
            </w:r>
          </w:p>
        </w:tc>
        <w:tc>
          <w:tcPr>
            <w:tcW w:w="2835" w:type="dxa"/>
            <w:vAlign w:val="center"/>
          </w:tcPr>
          <w:p w14:paraId="40B5CBB9">
            <w:pPr>
              <w:pStyle w:val="11"/>
            </w:pPr>
            <w:r>
              <w:t>三级指标</w:t>
            </w:r>
          </w:p>
        </w:tc>
        <w:tc>
          <w:tcPr>
            <w:tcW w:w="5386" w:type="dxa"/>
            <w:vAlign w:val="center"/>
          </w:tcPr>
          <w:p w14:paraId="7E3FA180">
            <w:pPr>
              <w:pStyle w:val="11"/>
            </w:pPr>
            <w:r>
              <w:t>绩效指标描述</w:t>
            </w:r>
          </w:p>
        </w:tc>
        <w:tc>
          <w:tcPr>
            <w:tcW w:w="1478" w:type="dxa"/>
            <w:vAlign w:val="center"/>
          </w:tcPr>
          <w:p w14:paraId="397BA6DE">
            <w:pPr>
              <w:pStyle w:val="11"/>
            </w:pPr>
            <w:r>
              <w:t>指标值</w:t>
            </w:r>
          </w:p>
        </w:tc>
        <w:tc>
          <w:tcPr>
            <w:tcW w:w="2066" w:type="dxa"/>
            <w:vAlign w:val="center"/>
          </w:tcPr>
          <w:p w14:paraId="5163476B">
            <w:pPr>
              <w:pStyle w:val="11"/>
            </w:pPr>
            <w:r>
              <w:t>指标值确定依据</w:t>
            </w:r>
          </w:p>
        </w:tc>
      </w:tr>
      <w:tr w14:paraId="1FEC6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A4047">
            <w:pPr>
              <w:pStyle w:val="12"/>
            </w:pPr>
            <w:r>
              <w:t>产出指标</w:t>
            </w:r>
          </w:p>
        </w:tc>
        <w:tc>
          <w:tcPr>
            <w:tcW w:w="2268" w:type="dxa"/>
            <w:vAlign w:val="center"/>
          </w:tcPr>
          <w:p w14:paraId="04C1B9C4">
            <w:pPr>
              <w:pStyle w:val="13"/>
            </w:pPr>
            <w:r>
              <w:t>数量指标</w:t>
            </w:r>
          </w:p>
        </w:tc>
        <w:tc>
          <w:tcPr>
            <w:tcW w:w="2835" w:type="dxa"/>
            <w:vAlign w:val="center"/>
          </w:tcPr>
          <w:p w14:paraId="01846621">
            <w:pPr>
              <w:pStyle w:val="13"/>
            </w:pPr>
            <w:r>
              <w:t>生均拨款标准</w:t>
            </w:r>
          </w:p>
        </w:tc>
        <w:tc>
          <w:tcPr>
            <w:tcW w:w="5386" w:type="dxa"/>
            <w:vAlign w:val="center"/>
          </w:tcPr>
          <w:p w14:paraId="271F943C">
            <w:pPr>
              <w:pStyle w:val="13"/>
            </w:pPr>
            <w:r>
              <w:t>小学生公用经费生均小学720元。取暖费140元/生/年，随班就读学生补助7000元/生</w:t>
            </w:r>
          </w:p>
        </w:tc>
        <w:tc>
          <w:tcPr>
            <w:tcW w:w="1478" w:type="dxa"/>
            <w:vAlign w:val="center"/>
          </w:tcPr>
          <w:p w14:paraId="490111B0">
            <w:pPr>
              <w:pStyle w:val="13"/>
            </w:pPr>
            <w:r>
              <w:t>840元</w:t>
            </w:r>
          </w:p>
        </w:tc>
        <w:tc>
          <w:tcPr>
            <w:tcW w:w="2066" w:type="dxa"/>
            <w:vAlign w:val="center"/>
          </w:tcPr>
          <w:p w14:paraId="11D83C0B">
            <w:pPr>
              <w:pStyle w:val="13"/>
            </w:pPr>
            <w:r>
              <w:t>城乡义务教育公用经费管理办法</w:t>
            </w:r>
          </w:p>
        </w:tc>
      </w:tr>
      <w:tr w14:paraId="2D0D4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704A3"/>
        </w:tc>
        <w:tc>
          <w:tcPr>
            <w:tcW w:w="2268" w:type="dxa"/>
            <w:vAlign w:val="center"/>
          </w:tcPr>
          <w:p w14:paraId="697C968F">
            <w:pPr>
              <w:pStyle w:val="13"/>
            </w:pPr>
            <w:r>
              <w:t>质量指标</w:t>
            </w:r>
          </w:p>
        </w:tc>
        <w:tc>
          <w:tcPr>
            <w:tcW w:w="2835" w:type="dxa"/>
            <w:vAlign w:val="center"/>
          </w:tcPr>
          <w:p w14:paraId="6503710E">
            <w:pPr>
              <w:pStyle w:val="13"/>
            </w:pPr>
            <w:r>
              <w:t>就读学生数</w:t>
            </w:r>
          </w:p>
        </w:tc>
        <w:tc>
          <w:tcPr>
            <w:tcW w:w="5386" w:type="dxa"/>
            <w:vAlign w:val="center"/>
          </w:tcPr>
          <w:p w14:paraId="28340AF3">
            <w:pPr>
              <w:pStyle w:val="13"/>
            </w:pPr>
            <w:r>
              <w:t>辐射区域内适龄学生人数</w:t>
            </w:r>
          </w:p>
        </w:tc>
        <w:tc>
          <w:tcPr>
            <w:tcW w:w="1478" w:type="dxa"/>
            <w:vAlign w:val="center"/>
          </w:tcPr>
          <w:p w14:paraId="591EF03C">
            <w:pPr>
              <w:pStyle w:val="13"/>
            </w:pPr>
            <w:r>
              <w:t>≥116人</w:t>
            </w:r>
          </w:p>
        </w:tc>
        <w:tc>
          <w:tcPr>
            <w:tcW w:w="2066" w:type="dxa"/>
            <w:vAlign w:val="center"/>
          </w:tcPr>
          <w:p w14:paraId="67755620">
            <w:pPr>
              <w:pStyle w:val="13"/>
            </w:pPr>
            <w:r>
              <w:t>城乡义务教育公用经费管理办法</w:t>
            </w:r>
          </w:p>
        </w:tc>
      </w:tr>
      <w:tr w14:paraId="280CB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35300"/>
        </w:tc>
        <w:tc>
          <w:tcPr>
            <w:tcW w:w="2268" w:type="dxa"/>
            <w:vAlign w:val="center"/>
          </w:tcPr>
          <w:p w14:paraId="5939AD80">
            <w:pPr>
              <w:pStyle w:val="13"/>
            </w:pPr>
            <w:r>
              <w:t>时效指标</w:t>
            </w:r>
          </w:p>
        </w:tc>
        <w:tc>
          <w:tcPr>
            <w:tcW w:w="2835" w:type="dxa"/>
            <w:vAlign w:val="center"/>
          </w:tcPr>
          <w:p w14:paraId="7BDE30A5">
            <w:pPr>
              <w:pStyle w:val="13"/>
            </w:pPr>
            <w:r>
              <w:t>预算执行率</w:t>
            </w:r>
          </w:p>
        </w:tc>
        <w:tc>
          <w:tcPr>
            <w:tcW w:w="5386" w:type="dxa"/>
            <w:vAlign w:val="center"/>
          </w:tcPr>
          <w:p w14:paraId="732B4442">
            <w:pPr>
              <w:pStyle w:val="13"/>
            </w:pPr>
            <w:r>
              <w:t>预算执行率≥98%</w:t>
            </w:r>
          </w:p>
        </w:tc>
        <w:tc>
          <w:tcPr>
            <w:tcW w:w="1478" w:type="dxa"/>
            <w:vAlign w:val="center"/>
          </w:tcPr>
          <w:p w14:paraId="0210AF09">
            <w:pPr>
              <w:pStyle w:val="13"/>
            </w:pPr>
            <w:r>
              <w:t>≥98%</w:t>
            </w:r>
          </w:p>
        </w:tc>
        <w:tc>
          <w:tcPr>
            <w:tcW w:w="2066" w:type="dxa"/>
            <w:vAlign w:val="center"/>
          </w:tcPr>
          <w:p w14:paraId="27D93F49">
            <w:pPr>
              <w:pStyle w:val="13"/>
            </w:pPr>
            <w:r>
              <w:t>城乡义务教育公用经费管理办法</w:t>
            </w:r>
          </w:p>
        </w:tc>
      </w:tr>
      <w:tr w14:paraId="33091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DCE92"/>
        </w:tc>
        <w:tc>
          <w:tcPr>
            <w:tcW w:w="2268" w:type="dxa"/>
            <w:vAlign w:val="center"/>
          </w:tcPr>
          <w:p w14:paraId="48CDE52A">
            <w:pPr>
              <w:pStyle w:val="13"/>
            </w:pPr>
            <w:r>
              <w:t>成本指标</w:t>
            </w:r>
          </w:p>
        </w:tc>
        <w:tc>
          <w:tcPr>
            <w:tcW w:w="2835" w:type="dxa"/>
            <w:vAlign w:val="center"/>
          </w:tcPr>
          <w:p w14:paraId="0892B9E2">
            <w:pPr>
              <w:pStyle w:val="13"/>
            </w:pPr>
            <w:r>
              <w:t>义教经费支付完成率</w:t>
            </w:r>
          </w:p>
        </w:tc>
        <w:tc>
          <w:tcPr>
            <w:tcW w:w="5386" w:type="dxa"/>
            <w:vAlign w:val="center"/>
          </w:tcPr>
          <w:p w14:paraId="1FC45A9C">
            <w:pPr>
              <w:pStyle w:val="13"/>
            </w:pPr>
            <w:r>
              <w:t>按照序时进度完成资金支付</w:t>
            </w:r>
          </w:p>
        </w:tc>
        <w:tc>
          <w:tcPr>
            <w:tcW w:w="1478" w:type="dxa"/>
            <w:vAlign w:val="center"/>
          </w:tcPr>
          <w:p w14:paraId="75E9FA92">
            <w:pPr>
              <w:pStyle w:val="13"/>
            </w:pPr>
            <w:r>
              <w:t>100%</w:t>
            </w:r>
          </w:p>
        </w:tc>
        <w:tc>
          <w:tcPr>
            <w:tcW w:w="2066" w:type="dxa"/>
            <w:vAlign w:val="center"/>
          </w:tcPr>
          <w:p w14:paraId="497B1BB0">
            <w:pPr>
              <w:pStyle w:val="13"/>
            </w:pPr>
            <w:r>
              <w:t>城乡义务教育公用经费管理办法</w:t>
            </w:r>
          </w:p>
        </w:tc>
      </w:tr>
      <w:tr w14:paraId="68ED1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BA0A86">
            <w:pPr>
              <w:pStyle w:val="12"/>
            </w:pPr>
            <w:r>
              <w:t>效益指标</w:t>
            </w:r>
          </w:p>
        </w:tc>
        <w:tc>
          <w:tcPr>
            <w:tcW w:w="2268" w:type="dxa"/>
            <w:vAlign w:val="center"/>
          </w:tcPr>
          <w:p w14:paraId="68B02A98">
            <w:pPr>
              <w:pStyle w:val="13"/>
            </w:pPr>
            <w:r>
              <w:t>可持续影响指标</w:t>
            </w:r>
          </w:p>
        </w:tc>
        <w:tc>
          <w:tcPr>
            <w:tcW w:w="2835" w:type="dxa"/>
            <w:vAlign w:val="center"/>
          </w:tcPr>
          <w:p w14:paraId="7A9A495D">
            <w:pPr>
              <w:pStyle w:val="13"/>
            </w:pPr>
            <w:r>
              <w:t>学校运转得到提高</w:t>
            </w:r>
          </w:p>
        </w:tc>
        <w:tc>
          <w:tcPr>
            <w:tcW w:w="5386" w:type="dxa"/>
            <w:vAlign w:val="center"/>
          </w:tcPr>
          <w:p w14:paraId="2A3BB50D">
            <w:pPr>
              <w:pStyle w:val="13"/>
            </w:pPr>
            <w:r>
              <w:t>学生受教育年限</w:t>
            </w:r>
          </w:p>
        </w:tc>
        <w:tc>
          <w:tcPr>
            <w:tcW w:w="1478" w:type="dxa"/>
            <w:vAlign w:val="center"/>
          </w:tcPr>
          <w:p w14:paraId="482BD705">
            <w:pPr>
              <w:pStyle w:val="13"/>
            </w:pPr>
            <w:r>
              <w:t>6年</w:t>
            </w:r>
          </w:p>
        </w:tc>
        <w:tc>
          <w:tcPr>
            <w:tcW w:w="2066" w:type="dxa"/>
            <w:vAlign w:val="center"/>
          </w:tcPr>
          <w:p w14:paraId="33B20C97">
            <w:pPr>
              <w:pStyle w:val="13"/>
            </w:pPr>
            <w:r>
              <w:t>城乡义务教育公用经费管理办法</w:t>
            </w:r>
          </w:p>
        </w:tc>
      </w:tr>
      <w:tr w14:paraId="73BA4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7B8138">
            <w:pPr>
              <w:pStyle w:val="12"/>
            </w:pPr>
            <w:r>
              <w:t>满意度指标</w:t>
            </w:r>
          </w:p>
        </w:tc>
        <w:tc>
          <w:tcPr>
            <w:tcW w:w="2268" w:type="dxa"/>
            <w:vAlign w:val="center"/>
          </w:tcPr>
          <w:p w14:paraId="25AB525C">
            <w:pPr>
              <w:pStyle w:val="13"/>
            </w:pPr>
            <w:r>
              <w:t>服务对象满意度指标</w:t>
            </w:r>
          </w:p>
        </w:tc>
        <w:tc>
          <w:tcPr>
            <w:tcW w:w="2835" w:type="dxa"/>
            <w:vAlign w:val="center"/>
          </w:tcPr>
          <w:p w14:paraId="1BF9784B">
            <w:pPr>
              <w:pStyle w:val="13"/>
            </w:pPr>
            <w:r>
              <w:t>服务对象满意度</w:t>
            </w:r>
          </w:p>
        </w:tc>
        <w:tc>
          <w:tcPr>
            <w:tcW w:w="5386" w:type="dxa"/>
            <w:vAlign w:val="center"/>
          </w:tcPr>
          <w:p w14:paraId="294B899A">
            <w:pPr>
              <w:pStyle w:val="13"/>
            </w:pPr>
            <w:r>
              <w:t>学校老师和学生满意度</w:t>
            </w:r>
          </w:p>
        </w:tc>
        <w:tc>
          <w:tcPr>
            <w:tcW w:w="1478" w:type="dxa"/>
            <w:vAlign w:val="center"/>
          </w:tcPr>
          <w:p w14:paraId="615478ED">
            <w:pPr>
              <w:pStyle w:val="13"/>
            </w:pPr>
            <w:r>
              <w:t>≥95%</w:t>
            </w:r>
          </w:p>
        </w:tc>
        <w:tc>
          <w:tcPr>
            <w:tcW w:w="2066" w:type="dxa"/>
            <w:vAlign w:val="center"/>
          </w:tcPr>
          <w:p w14:paraId="32627956">
            <w:pPr>
              <w:pStyle w:val="13"/>
            </w:pPr>
            <w:r>
              <w:t>城乡义务教育公用经费管理办法</w:t>
            </w:r>
          </w:p>
        </w:tc>
      </w:tr>
    </w:tbl>
    <w:p w14:paraId="15CF224E">
      <w:pPr>
        <w:sectPr>
          <w:pgSz w:w="16840" w:h="11900" w:orient="landscape"/>
          <w:pgMar w:top="1361" w:right="1020" w:bottom="1134" w:left="1020" w:header="720" w:footer="720" w:gutter="0"/>
          <w:cols w:space="720" w:num="1"/>
        </w:sectPr>
      </w:pPr>
    </w:p>
    <w:p w14:paraId="54620F2D">
      <w:pPr>
        <w:spacing w:before="0" w:after="0"/>
        <w:ind w:firstLine="560"/>
        <w:jc w:val="left"/>
        <w:outlineLvl w:val="9"/>
      </w:pPr>
      <w:r>
        <w:rPr>
          <w:rFonts w:ascii="方正仿宋_GBK" w:hAnsi="方正仿宋_GBK" w:eastAsia="方正仿宋_GBK" w:cs="方正仿宋_GBK"/>
          <w:b/>
          <w:color w:val="000000"/>
          <w:sz w:val="28"/>
        </w:rPr>
        <w:t>9、冀财教[2024]123号/中央/2025年义教补助经费/任村小学公用经费绩效目标表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C7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39300">
            <w:pPr>
              <w:pStyle w:val="14"/>
            </w:pPr>
            <w:r>
              <w:t>单位：万元</w:t>
            </w:r>
          </w:p>
        </w:tc>
      </w:tr>
      <w:tr w14:paraId="5C194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D6843E">
            <w:pPr>
              <w:pStyle w:val="11"/>
            </w:pPr>
            <w:r>
              <w:t>项目编码</w:t>
            </w:r>
          </w:p>
        </w:tc>
        <w:tc>
          <w:tcPr>
            <w:tcW w:w="5103" w:type="dxa"/>
            <w:gridSpan w:val="2"/>
            <w:vAlign w:val="center"/>
          </w:tcPr>
          <w:p w14:paraId="78046095">
            <w:pPr>
              <w:pStyle w:val="13"/>
            </w:pPr>
            <w:r>
              <w:t>13052525P00000410040F</w:t>
            </w:r>
          </w:p>
        </w:tc>
        <w:tc>
          <w:tcPr>
            <w:tcW w:w="2835" w:type="dxa"/>
            <w:vAlign w:val="center"/>
          </w:tcPr>
          <w:p w14:paraId="6C311DDB">
            <w:pPr>
              <w:pStyle w:val="11"/>
            </w:pPr>
            <w:r>
              <w:t>项目名称</w:t>
            </w:r>
          </w:p>
        </w:tc>
        <w:tc>
          <w:tcPr>
            <w:tcW w:w="6095" w:type="dxa"/>
            <w:gridSpan w:val="3"/>
            <w:vAlign w:val="center"/>
          </w:tcPr>
          <w:p w14:paraId="672B8B93">
            <w:pPr>
              <w:pStyle w:val="13"/>
            </w:pPr>
            <w:r>
              <w:t>冀财教[2024]123号/中央/2025年义教补助经费/任村小学公用经费</w:t>
            </w:r>
          </w:p>
        </w:tc>
      </w:tr>
      <w:tr w14:paraId="2197F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EC027">
            <w:pPr>
              <w:pStyle w:val="11"/>
            </w:pPr>
            <w:r>
              <w:t>预算规模及资金用途</w:t>
            </w:r>
          </w:p>
        </w:tc>
        <w:tc>
          <w:tcPr>
            <w:tcW w:w="2268" w:type="dxa"/>
            <w:vAlign w:val="center"/>
          </w:tcPr>
          <w:p w14:paraId="26C68AD1">
            <w:pPr>
              <w:pStyle w:val="11"/>
            </w:pPr>
            <w:r>
              <w:t>预算数</w:t>
            </w:r>
          </w:p>
        </w:tc>
        <w:tc>
          <w:tcPr>
            <w:tcW w:w="2835" w:type="dxa"/>
            <w:vAlign w:val="center"/>
          </w:tcPr>
          <w:p w14:paraId="6D5A0B83">
            <w:pPr>
              <w:pStyle w:val="13"/>
            </w:pPr>
            <w:r>
              <w:t>6.55</w:t>
            </w:r>
          </w:p>
        </w:tc>
        <w:tc>
          <w:tcPr>
            <w:tcW w:w="2835" w:type="dxa"/>
            <w:vAlign w:val="center"/>
          </w:tcPr>
          <w:p w14:paraId="6D78B5BD">
            <w:pPr>
              <w:pStyle w:val="11"/>
            </w:pPr>
            <w:r>
              <w:t>其中：财政    资金</w:t>
            </w:r>
          </w:p>
        </w:tc>
        <w:tc>
          <w:tcPr>
            <w:tcW w:w="2551" w:type="dxa"/>
            <w:vAlign w:val="center"/>
          </w:tcPr>
          <w:p w14:paraId="6781384A">
            <w:pPr>
              <w:pStyle w:val="13"/>
            </w:pPr>
            <w:r>
              <w:t>6.55</w:t>
            </w:r>
          </w:p>
        </w:tc>
        <w:tc>
          <w:tcPr>
            <w:tcW w:w="2268" w:type="dxa"/>
            <w:vAlign w:val="center"/>
          </w:tcPr>
          <w:p w14:paraId="008E7786">
            <w:pPr>
              <w:pStyle w:val="11"/>
            </w:pPr>
            <w:r>
              <w:t>其他资金</w:t>
            </w:r>
          </w:p>
        </w:tc>
        <w:tc>
          <w:tcPr>
            <w:tcW w:w="1276" w:type="dxa"/>
            <w:vAlign w:val="center"/>
          </w:tcPr>
          <w:p w14:paraId="608C798C">
            <w:pPr>
              <w:pStyle w:val="13"/>
            </w:pPr>
            <w:r>
              <w:t xml:space="preserve"> </w:t>
            </w:r>
          </w:p>
        </w:tc>
      </w:tr>
      <w:tr w14:paraId="6A927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53ECE9"/>
        </w:tc>
        <w:tc>
          <w:tcPr>
            <w:tcW w:w="14033" w:type="dxa"/>
            <w:gridSpan w:val="6"/>
            <w:vAlign w:val="center"/>
          </w:tcPr>
          <w:p w14:paraId="2810C376">
            <w:pPr>
              <w:pStyle w:val="13"/>
            </w:pPr>
            <w:r>
              <w:t>保障义务教育学校正常运转，完成教育教学活动和其他日常工作任务等方面的费用支出。</w:t>
            </w:r>
          </w:p>
        </w:tc>
      </w:tr>
      <w:tr w14:paraId="0743A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96265">
            <w:pPr>
              <w:pStyle w:val="11"/>
            </w:pPr>
            <w:r>
              <w:t>资金支出计划（%）</w:t>
            </w:r>
          </w:p>
        </w:tc>
        <w:tc>
          <w:tcPr>
            <w:tcW w:w="5103" w:type="dxa"/>
            <w:gridSpan w:val="2"/>
            <w:vAlign w:val="center"/>
          </w:tcPr>
          <w:p w14:paraId="718618B6">
            <w:pPr>
              <w:pStyle w:val="11"/>
            </w:pPr>
            <w:r>
              <w:t>3月底</w:t>
            </w:r>
          </w:p>
        </w:tc>
        <w:tc>
          <w:tcPr>
            <w:tcW w:w="2835" w:type="dxa"/>
            <w:vAlign w:val="center"/>
          </w:tcPr>
          <w:p w14:paraId="398DBD7D">
            <w:pPr>
              <w:pStyle w:val="11"/>
            </w:pPr>
            <w:r>
              <w:t>6月底</w:t>
            </w:r>
          </w:p>
        </w:tc>
        <w:tc>
          <w:tcPr>
            <w:tcW w:w="2551" w:type="dxa"/>
            <w:vAlign w:val="center"/>
          </w:tcPr>
          <w:p w14:paraId="4DFA8663">
            <w:pPr>
              <w:pStyle w:val="11"/>
            </w:pPr>
            <w:r>
              <w:t>10月底</w:t>
            </w:r>
          </w:p>
        </w:tc>
        <w:tc>
          <w:tcPr>
            <w:tcW w:w="3544" w:type="dxa"/>
            <w:gridSpan w:val="2"/>
            <w:vAlign w:val="center"/>
          </w:tcPr>
          <w:p w14:paraId="65C7EC25">
            <w:pPr>
              <w:pStyle w:val="11"/>
            </w:pPr>
            <w:r>
              <w:t>12月底</w:t>
            </w:r>
          </w:p>
        </w:tc>
      </w:tr>
      <w:tr w14:paraId="5C801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718801E"/>
        </w:tc>
        <w:tc>
          <w:tcPr>
            <w:tcW w:w="5103" w:type="dxa"/>
            <w:gridSpan w:val="2"/>
            <w:vAlign w:val="center"/>
          </w:tcPr>
          <w:p w14:paraId="46FF0F5B">
            <w:pPr>
              <w:pStyle w:val="12"/>
            </w:pPr>
            <w:r>
              <w:t>25%</w:t>
            </w:r>
          </w:p>
        </w:tc>
        <w:tc>
          <w:tcPr>
            <w:tcW w:w="2835" w:type="dxa"/>
            <w:vAlign w:val="center"/>
          </w:tcPr>
          <w:p w14:paraId="179391A8">
            <w:pPr>
              <w:pStyle w:val="12"/>
            </w:pPr>
            <w:r>
              <w:t>50%</w:t>
            </w:r>
          </w:p>
        </w:tc>
        <w:tc>
          <w:tcPr>
            <w:tcW w:w="2551" w:type="dxa"/>
            <w:vAlign w:val="center"/>
          </w:tcPr>
          <w:p w14:paraId="0BC5B392">
            <w:pPr>
              <w:pStyle w:val="12"/>
            </w:pPr>
            <w:r>
              <w:t>75%</w:t>
            </w:r>
          </w:p>
        </w:tc>
        <w:tc>
          <w:tcPr>
            <w:tcW w:w="3544" w:type="dxa"/>
            <w:gridSpan w:val="2"/>
            <w:vAlign w:val="center"/>
          </w:tcPr>
          <w:p w14:paraId="0535C83E">
            <w:pPr>
              <w:pStyle w:val="12"/>
            </w:pPr>
            <w:r>
              <w:t>100%</w:t>
            </w:r>
          </w:p>
        </w:tc>
      </w:tr>
      <w:tr w14:paraId="60A52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852B9">
            <w:pPr>
              <w:pStyle w:val="11"/>
            </w:pPr>
            <w:r>
              <w:t>绩效目标</w:t>
            </w:r>
          </w:p>
        </w:tc>
        <w:tc>
          <w:tcPr>
            <w:tcW w:w="14033" w:type="dxa"/>
            <w:gridSpan w:val="6"/>
            <w:vAlign w:val="center"/>
          </w:tcPr>
          <w:p w14:paraId="69D2B45B">
            <w:pPr>
              <w:pStyle w:val="13"/>
            </w:pPr>
            <w:r>
              <w:t>1.保障义务教育学校正常运转，完成教育教学活动和其他日常工作任务等方面的费用支出。</w:t>
            </w:r>
          </w:p>
          <w:p w14:paraId="4EAB761A">
            <w:pPr>
              <w:pStyle w:val="13"/>
            </w:pPr>
            <w:r>
              <w:t>2.按规定拨付公用经费资金6.548万元，资金拨付率达到100%。</w:t>
            </w:r>
          </w:p>
        </w:tc>
      </w:tr>
    </w:tbl>
    <w:p w14:paraId="4686D1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28"/>
        <w:gridCol w:w="2216"/>
      </w:tblGrid>
      <w:tr w14:paraId="21B48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66F5B">
            <w:pPr>
              <w:pStyle w:val="11"/>
            </w:pPr>
            <w:r>
              <w:t>一级指标</w:t>
            </w:r>
          </w:p>
        </w:tc>
        <w:tc>
          <w:tcPr>
            <w:tcW w:w="2268" w:type="dxa"/>
            <w:vAlign w:val="center"/>
          </w:tcPr>
          <w:p w14:paraId="493128A3">
            <w:pPr>
              <w:pStyle w:val="11"/>
            </w:pPr>
            <w:r>
              <w:t>二级指标</w:t>
            </w:r>
          </w:p>
        </w:tc>
        <w:tc>
          <w:tcPr>
            <w:tcW w:w="2835" w:type="dxa"/>
            <w:vAlign w:val="center"/>
          </w:tcPr>
          <w:p w14:paraId="6CCE1B76">
            <w:pPr>
              <w:pStyle w:val="11"/>
            </w:pPr>
            <w:r>
              <w:t>三级指标</w:t>
            </w:r>
          </w:p>
        </w:tc>
        <w:tc>
          <w:tcPr>
            <w:tcW w:w="5386" w:type="dxa"/>
            <w:vAlign w:val="center"/>
          </w:tcPr>
          <w:p w14:paraId="7DF8BA46">
            <w:pPr>
              <w:pStyle w:val="11"/>
            </w:pPr>
            <w:r>
              <w:t>绩效指标描述</w:t>
            </w:r>
          </w:p>
        </w:tc>
        <w:tc>
          <w:tcPr>
            <w:tcW w:w="1328" w:type="dxa"/>
            <w:vAlign w:val="center"/>
          </w:tcPr>
          <w:p w14:paraId="27B8BD6C">
            <w:pPr>
              <w:pStyle w:val="11"/>
            </w:pPr>
            <w:r>
              <w:t>指标值</w:t>
            </w:r>
          </w:p>
        </w:tc>
        <w:tc>
          <w:tcPr>
            <w:tcW w:w="2216" w:type="dxa"/>
            <w:vAlign w:val="center"/>
          </w:tcPr>
          <w:p w14:paraId="09AD45C2">
            <w:pPr>
              <w:pStyle w:val="11"/>
            </w:pPr>
            <w:r>
              <w:t>指标值确定依据</w:t>
            </w:r>
          </w:p>
        </w:tc>
      </w:tr>
      <w:tr w14:paraId="54A30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396C0">
            <w:pPr>
              <w:pStyle w:val="12"/>
            </w:pPr>
            <w:r>
              <w:t>产出指标</w:t>
            </w:r>
          </w:p>
        </w:tc>
        <w:tc>
          <w:tcPr>
            <w:tcW w:w="2268" w:type="dxa"/>
            <w:vAlign w:val="center"/>
          </w:tcPr>
          <w:p w14:paraId="4EF72159">
            <w:pPr>
              <w:pStyle w:val="13"/>
            </w:pPr>
            <w:r>
              <w:t>数量指标</w:t>
            </w:r>
          </w:p>
        </w:tc>
        <w:tc>
          <w:tcPr>
            <w:tcW w:w="2835" w:type="dxa"/>
            <w:vAlign w:val="center"/>
          </w:tcPr>
          <w:p w14:paraId="542E65E0">
            <w:pPr>
              <w:pStyle w:val="13"/>
            </w:pPr>
            <w:r>
              <w:t>生均拨款标准</w:t>
            </w:r>
          </w:p>
        </w:tc>
        <w:tc>
          <w:tcPr>
            <w:tcW w:w="5386" w:type="dxa"/>
            <w:vAlign w:val="center"/>
          </w:tcPr>
          <w:p w14:paraId="738BAFEC">
            <w:pPr>
              <w:pStyle w:val="13"/>
            </w:pPr>
            <w:r>
              <w:t>小学生公用经费生均小学720元。取暖费140元/生/年，随班就读学生补助7000元/生</w:t>
            </w:r>
          </w:p>
        </w:tc>
        <w:tc>
          <w:tcPr>
            <w:tcW w:w="1328" w:type="dxa"/>
            <w:vAlign w:val="center"/>
          </w:tcPr>
          <w:p w14:paraId="2A2D6790">
            <w:pPr>
              <w:pStyle w:val="13"/>
            </w:pPr>
            <w:r>
              <w:t>840元</w:t>
            </w:r>
          </w:p>
        </w:tc>
        <w:tc>
          <w:tcPr>
            <w:tcW w:w="2216" w:type="dxa"/>
            <w:vAlign w:val="center"/>
          </w:tcPr>
          <w:p w14:paraId="27F11FCB">
            <w:pPr>
              <w:pStyle w:val="13"/>
            </w:pPr>
            <w:r>
              <w:t>城乡义务教育公用经费管理办法</w:t>
            </w:r>
          </w:p>
        </w:tc>
      </w:tr>
      <w:tr w14:paraId="434D2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FCC99"/>
        </w:tc>
        <w:tc>
          <w:tcPr>
            <w:tcW w:w="2268" w:type="dxa"/>
            <w:vAlign w:val="center"/>
          </w:tcPr>
          <w:p w14:paraId="63D55E38">
            <w:pPr>
              <w:pStyle w:val="13"/>
            </w:pPr>
            <w:r>
              <w:t>质量指标</w:t>
            </w:r>
          </w:p>
        </w:tc>
        <w:tc>
          <w:tcPr>
            <w:tcW w:w="2835" w:type="dxa"/>
            <w:vAlign w:val="center"/>
          </w:tcPr>
          <w:p w14:paraId="04B0D579">
            <w:pPr>
              <w:pStyle w:val="13"/>
            </w:pPr>
            <w:r>
              <w:t>就读学生数</w:t>
            </w:r>
          </w:p>
        </w:tc>
        <w:tc>
          <w:tcPr>
            <w:tcW w:w="5386" w:type="dxa"/>
            <w:vAlign w:val="center"/>
          </w:tcPr>
          <w:p w14:paraId="3622D4C9">
            <w:pPr>
              <w:pStyle w:val="13"/>
            </w:pPr>
            <w:r>
              <w:t>辐射区域内适龄学生人数</w:t>
            </w:r>
          </w:p>
        </w:tc>
        <w:tc>
          <w:tcPr>
            <w:tcW w:w="1328" w:type="dxa"/>
            <w:vAlign w:val="center"/>
          </w:tcPr>
          <w:p w14:paraId="225D583B">
            <w:pPr>
              <w:pStyle w:val="13"/>
            </w:pPr>
            <w:r>
              <w:t>≥70人</w:t>
            </w:r>
          </w:p>
        </w:tc>
        <w:tc>
          <w:tcPr>
            <w:tcW w:w="2216" w:type="dxa"/>
            <w:vAlign w:val="center"/>
          </w:tcPr>
          <w:p w14:paraId="6E63A829">
            <w:pPr>
              <w:pStyle w:val="13"/>
            </w:pPr>
            <w:r>
              <w:t>城乡义务教育公用经费管理办法</w:t>
            </w:r>
          </w:p>
        </w:tc>
      </w:tr>
      <w:tr w14:paraId="37E9B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AC018"/>
        </w:tc>
        <w:tc>
          <w:tcPr>
            <w:tcW w:w="2268" w:type="dxa"/>
            <w:vAlign w:val="center"/>
          </w:tcPr>
          <w:p w14:paraId="4D7F3676">
            <w:pPr>
              <w:pStyle w:val="13"/>
            </w:pPr>
            <w:r>
              <w:t>时效指标</w:t>
            </w:r>
          </w:p>
        </w:tc>
        <w:tc>
          <w:tcPr>
            <w:tcW w:w="2835" w:type="dxa"/>
            <w:vAlign w:val="center"/>
          </w:tcPr>
          <w:p w14:paraId="410BD35E">
            <w:pPr>
              <w:pStyle w:val="13"/>
            </w:pPr>
            <w:r>
              <w:t>预算执行率</w:t>
            </w:r>
          </w:p>
        </w:tc>
        <w:tc>
          <w:tcPr>
            <w:tcW w:w="5386" w:type="dxa"/>
            <w:vAlign w:val="center"/>
          </w:tcPr>
          <w:p w14:paraId="2EFE49CB">
            <w:pPr>
              <w:pStyle w:val="13"/>
            </w:pPr>
            <w:r>
              <w:t>预算执行率≥98%</w:t>
            </w:r>
          </w:p>
        </w:tc>
        <w:tc>
          <w:tcPr>
            <w:tcW w:w="1328" w:type="dxa"/>
            <w:vAlign w:val="center"/>
          </w:tcPr>
          <w:p w14:paraId="69BD6ED6">
            <w:pPr>
              <w:pStyle w:val="13"/>
            </w:pPr>
            <w:r>
              <w:t>≥98%</w:t>
            </w:r>
          </w:p>
        </w:tc>
        <w:tc>
          <w:tcPr>
            <w:tcW w:w="2216" w:type="dxa"/>
            <w:vAlign w:val="center"/>
          </w:tcPr>
          <w:p w14:paraId="5145694C">
            <w:pPr>
              <w:pStyle w:val="13"/>
            </w:pPr>
            <w:r>
              <w:t>城乡义务教育公用经费管理办法</w:t>
            </w:r>
          </w:p>
        </w:tc>
      </w:tr>
      <w:tr w14:paraId="2AD11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31BFF"/>
        </w:tc>
        <w:tc>
          <w:tcPr>
            <w:tcW w:w="2268" w:type="dxa"/>
            <w:vAlign w:val="center"/>
          </w:tcPr>
          <w:p w14:paraId="60AD0777">
            <w:pPr>
              <w:pStyle w:val="13"/>
            </w:pPr>
            <w:r>
              <w:t>成本指标</w:t>
            </w:r>
          </w:p>
        </w:tc>
        <w:tc>
          <w:tcPr>
            <w:tcW w:w="2835" w:type="dxa"/>
            <w:vAlign w:val="center"/>
          </w:tcPr>
          <w:p w14:paraId="28C59C54">
            <w:pPr>
              <w:pStyle w:val="13"/>
            </w:pPr>
            <w:r>
              <w:t>义教经费支付完成率</w:t>
            </w:r>
          </w:p>
        </w:tc>
        <w:tc>
          <w:tcPr>
            <w:tcW w:w="5386" w:type="dxa"/>
            <w:vAlign w:val="center"/>
          </w:tcPr>
          <w:p w14:paraId="45F7E240">
            <w:pPr>
              <w:pStyle w:val="13"/>
            </w:pPr>
            <w:r>
              <w:t>按照序时进度完成资金支付</w:t>
            </w:r>
          </w:p>
        </w:tc>
        <w:tc>
          <w:tcPr>
            <w:tcW w:w="1328" w:type="dxa"/>
            <w:vAlign w:val="center"/>
          </w:tcPr>
          <w:p w14:paraId="4F63E8FE">
            <w:pPr>
              <w:pStyle w:val="13"/>
            </w:pPr>
            <w:r>
              <w:t>100%</w:t>
            </w:r>
          </w:p>
        </w:tc>
        <w:tc>
          <w:tcPr>
            <w:tcW w:w="2216" w:type="dxa"/>
            <w:vAlign w:val="center"/>
          </w:tcPr>
          <w:p w14:paraId="36B6EF06">
            <w:pPr>
              <w:pStyle w:val="13"/>
            </w:pPr>
            <w:r>
              <w:t>城乡义务教育公用经费管理办法</w:t>
            </w:r>
          </w:p>
        </w:tc>
      </w:tr>
      <w:tr w14:paraId="5C68C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98587D">
            <w:pPr>
              <w:pStyle w:val="12"/>
            </w:pPr>
            <w:r>
              <w:t>效益指标</w:t>
            </w:r>
          </w:p>
        </w:tc>
        <w:tc>
          <w:tcPr>
            <w:tcW w:w="2268" w:type="dxa"/>
            <w:vAlign w:val="center"/>
          </w:tcPr>
          <w:p w14:paraId="5B53A760">
            <w:pPr>
              <w:pStyle w:val="13"/>
            </w:pPr>
            <w:r>
              <w:t>可持续影响指标</w:t>
            </w:r>
          </w:p>
        </w:tc>
        <w:tc>
          <w:tcPr>
            <w:tcW w:w="2835" w:type="dxa"/>
            <w:vAlign w:val="center"/>
          </w:tcPr>
          <w:p w14:paraId="37390D05">
            <w:pPr>
              <w:pStyle w:val="13"/>
            </w:pPr>
            <w:r>
              <w:t>学校运转得到提高</w:t>
            </w:r>
          </w:p>
        </w:tc>
        <w:tc>
          <w:tcPr>
            <w:tcW w:w="5386" w:type="dxa"/>
            <w:vAlign w:val="center"/>
          </w:tcPr>
          <w:p w14:paraId="6E7A3419">
            <w:pPr>
              <w:pStyle w:val="13"/>
            </w:pPr>
            <w:r>
              <w:t>学生受教育年限</w:t>
            </w:r>
          </w:p>
        </w:tc>
        <w:tc>
          <w:tcPr>
            <w:tcW w:w="1328" w:type="dxa"/>
            <w:vAlign w:val="center"/>
          </w:tcPr>
          <w:p w14:paraId="37742EF6">
            <w:pPr>
              <w:pStyle w:val="13"/>
            </w:pPr>
            <w:r>
              <w:t>6年</w:t>
            </w:r>
          </w:p>
        </w:tc>
        <w:tc>
          <w:tcPr>
            <w:tcW w:w="2216" w:type="dxa"/>
            <w:vAlign w:val="center"/>
          </w:tcPr>
          <w:p w14:paraId="4B1326C0">
            <w:pPr>
              <w:pStyle w:val="13"/>
            </w:pPr>
            <w:r>
              <w:t>城乡义务教育公用经费管理办法</w:t>
            </w:r>
          </w:p>
        </w:tc>
      </w:tr>
      <w:tr w14:paraId="1B7A4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48E92">
            <w:pPr>
              <w:pStyle w:val="12"/>
            </w:pPr>
            <w:r>
              <w:t>满意度指标</w:t>
            </w:r>
          </w:p>
        </w:tc>
        <w:tc>
          <w:tcPr>
            <w:tcW w:w="2268" w:type="dxa"/>
            <w:vAlign w:val="center"/>
          </w:tcPr>
          <w:p w14:paraId="39448BF5">
            <w:pPr>
              <w:pStyle w:val="13"/>
            </w:pPr>
            <w:r>
              <w:t>服务对象满意度指标</w:t>
            </w:r>
          </w:p>
        </w:tc>
        <w:tc>
          <w:tcPr>
            <w:tcW w:w="2835" w:type="dxa"/>
            <w:vAlign w:val="center"/>
          </w:tcPr>
          <w:p w14:paraId="6B886D18">
            <w:pPr>
              <w:pStyle w:val="13"/>
            </w:pPr>
            <w:r>
              <w:t>服务对象满意度</w:t>
            </w:r>
          </w:p>
        </w:tc>
        <w:tc>
          <w:tcPr>
            <w:tcW w:w="5386" w:type="dxa"/>
            <w:vAlign w:val="center"/>
          </w:tcPr>
          <w:p w14:paraId="09DE5672">
            <w:pPr>
              <w:pStyle w:val="13"/>
            </w:pPr>
            <w:r>
              <w:t>学校老师和学生满意度</w:t>
            </w:r>
          </w:p>
        </w:tc>
        <w:tc>
          <w:tcPr>
            <w:tcW w:w="1328" w:type="dxa"/>
            <w:vAlign w:val="center"/>
          </w:tcPr>
          <w:p w14:paraId="25712ECC">
            <w:pPr>
              <w:pStyle w:val="13"/>
            </w:pPr>
            <w:r>
              <w:t>≥95%</w:t>
            </w:r>
          </w:p>
        </w:tc>
        <w:tc>
          <w:tcPr>
            <w:tcW w:w="2216" w:type="dxa"/>
            <w:vAlign w:val="center"/>
          </w:tcPr>
          <w:p w14:paraId="58905637">
            <w:pPr>
              <w:pStyle w:val="13"/>
            </w:pPr>
            <w:r>
              <w:t>城乡义务教育公用经费管理办法</w:t>
            </w:r>
          </w:p>
        </w:tc>
      </w:tr>
    </w:tbl>
    <w:p w14:paraId="699894AD">
      <w:pPr>
        <w:sectPr>
          <w:pgSz w:w="16840" w:h="11900" w:orient="landscape"/>
          <w:pgMar w:top="1361" w:right="1020" w:bottom="1134" w:left="1020" w:header="720" w:footer="720" w:gutter="0"/>
          <w:cols w:space="720" w:num="1"/>
        </w:sectPr>
      </w:pPr>
    </w:p>
    <w:p w14:paraId="729DA85F">
      <w:pPr>
        <w:spacing w:before="0" w:after="0"/>
        <w:ind w:firstLine="560"/>
        <w:jc w:val="left"/>
        <w:outlineLvl w:val="9"/>
      </w:pPr>
      <w:r>
        <w:rPr>
          <w:rFonts w:ascii="方正仿宋_GBK" w:hAnsi="方正仿宋_GBK" w:eastAsia="方正仿宋_GBK" w:cs="方正仿宋_GBK"/>
          <w:b/>
          <w:color w:val="000000"/>
          <w:sz w:val="28"/>
        </w:rPr>
        <w:t>10、冀财教[2024]123号/中央/2025年义教补助经费/西店子小学公用经费绩效目标表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4E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276FB">
            <w:pPr>
              <w:pStyle w:val="14"/>
            </w:pPr>
            <w:r>
              <w:t>单位：万元</w:t>
            </w:r>
          </w:p>
        </w:tc>
      </w:tr>
      <w:tr w14:paraId="36990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0D4C74">
            <w:pPr>
              <w:pStyle w:val="11"/>
            </w:pPr>
            <w:r>
              <w:t>项目编码</w:t>
            </w:r>
          </w:p>
        </w:tc>
        <w:tc>
          <w:tcPr>
            <w:tcW w:w="5103" w:type="dxa"/>
            <w:gridSpan w:val="2"/>
            <w:vAlign w:val="center"/>
          </w:tcPr>
          <w:p w14:paraId="75BE5613">
            <w:pPr>
              <w:pStyle w:val="13"/>
            </w:pPr>
            <w:r>
              <w:t>13052525P000004100369</w:t>
            </w:r>
          </w:p>
        </w:tc>
        <w:tc>
          <w:tcPr>
            <w:tcW w:w="2835" w:type="dxa"/>
            <w:vAlign w:val="center"/>
          </w:tcPr>
          <w:p w14:paraId="63370FF8">
            <w:pPr>
              <w:pStyle w:val="11"/>
            </w:pPr>
            <w:r>
              <w:t>项目名称</w:t>
            </w:r>
          </w:p>
        </w:tc>
        <w:tc>
          <w:tcPr>
            <w:tcW w:w="6095" w:type="dxa"/>
            <w:gridSpan w:val="3"/>
            <w:vAlign w:val="center"/>
          </w:tcPr>
          <w:p w14:paraId="7A35E103">
            <w:pPr>
              <w:pStyle w:val="13"/>
            </w:pPr>
            <w:r>
              <w:t>冀财教[2024]123号/中央/2025年义教补助经费/西店子小学公用经费</w:t>
            </w:r>
          </w:p>
        </w:tc>
      </w:tr>
      <w:tr w14:paraId="4E940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89D79">
            <w:pPr>
              <w:pStyle w:val="11"/>
            </w:pPr>
            <w:r>
              <w:t>预算规模及资金用途</w:t>
            </w:r>
          </w:p>
        </w:tc>
        <w:tc>
          <w:tcPr>
            <w:tcW w:w="2268" w:type="dxa"/>
            <w:vAlign w:val="center"/>
          </w:tcPr>
          <w:p w14:paraId="73B97563">
            <w:pPr>
              <w:pStyle w:val="11"/>
            </w:pPr>
            <w:r>
              <w:t>预算数</w:t>
            </w:r>
          </w:p>
        </w:tc>
        <w:tc>
          <w:tcPr>
            <w:tcW w:w="2835" w:type="dxa"/>
            <w:vAlign w:val="center"/>
          </w:tcPr>
          <w:p w14:paraId="2BD7B354">
            <w:pPr>
              <w:pStyle w:val="13"/>
            </w:pPr>
            <w:r>
              <w:t>12.68</w:t>
            </w:r>
          </w:p>
        </w:tc>
        <w:tc>
          <w:tcPr>
            <w:tcW w:w="2835" w:type="dxa"/>
            <w:vAlign w:val="center"/>
          </w:tcPr>
          <w:p w14:paraId="69051CC6">
            <w:pPr>
              <w:pStyle w:val="11"/>
            </w:pPr>
            <w:r>
              <w:t>其中：财政    资金</w:t>
            </w:r>
          </w:p>
        </w:tc>
        <w:tc>
          <w:tcPr>
            <w:tcW w:w="2551" w:type="dxa"/>
            <w:vAlign w:val="center"/>
          </w:tcPr>
          <w:p w14:paraId="1C9C8A07">
            <w:pPr>
              <w:pStyle w:val="13"/>
            </w:pPr>
            <w:r>
              <w:t>12.68</w:t>
            </w:r>
          </w:p>
        </w:tc>
        <w:tc>
          <w:tcPr>
            <w:tcW w:w="2268" w:type="dxa"/>
            <w:vAlign w:val="center"/>
          </w:tcPr>
          <w:p w14:paraId="4DCCC6CF">
            <w:pPr>
              <w:pStyle w:val="11"/>
            </w:pPr>
            <w:r>
              <w:t>其他资金</w:t>
            </w:r>
          </w:p>
        </w:tc>
        <w:tc>
          <w:tcPr>
            <w:tcW w:w="1276" w:type="dxa"/>
            <w:vAlign w:val="center"/>
          </w:tcPr>
          <w:p w14:paraId="7401D199">
            <w:pPr>
              <w:pStyle w:val="13"/>
            </w:pPr>
            <w:r>
              <w:t xml:space="preserve"> </w:t>
            </w:r>
          </w:p>
        </w:tc>
      </w:tr>
      <w:tr w14:paraId="18D93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4652A9"/>
        </w:tc>
        <w:tc>
          <w:tcPr>
            <w:tcW w:w="14033" w:type="dxa"/>
            <w:gridSpan w:val="6"/>
            <w:vAlign w:val="center"/>
          </w:tcPr>
          <w:p w14:paraId="5444BE38">
            <w:pPr>
              <w:pStyle w:val="13"/>
            </w:pPr>
            <w:r>
              <w:t>保障义务教育学校正常运转，完成教育教学活动和其他日常工作任务等方面的费用支出。</w:t>
            </w:r>
          </w:p>
        </w:tc>
      </w:tr>
      <w:tr w14:paraId="31956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47D69">
            <w:pPr>
              <w:pStyle w:val="11"/>
            </w:pPr>
            <w:r>
              <w:t>资金支出计划（%）</w:t>
            </w:r>
          </w:p>
        </w:tc>
        <w:tc>
          <w:tcPr>
            <w:tcW w:w="5103" w:type="dxa"/>
            <w:gridSpan w:val="2"/>
            <w:vAlign w:val="center"/>
          </w:tcPr>
          <w:p w14:paraId="3734EBFE">
            <w:pPr>
              <w:pStyle w:val="11"/>
            </w:pPr>
            <w:r>
              <w:t>3月底</w:t>
            </w:r>
          </w:p>
        </w:tc>
        <w:tc>
          <w:tcPr>
            <w:tcW w:w="2835" w:type="dxa"/>
            <w:vAlign w:val="center"/>
          </w:tcPr>
          <w:p w14:paraId="27C9DF7F">
            <w:pPr>
              <w:pStyle w:val="11"/>
            </w:pPr>
            <w:r>
              <w:t>6月底</w:t>
            </w:r>
          </w:p>
        </w:tc>
        <w:tc>
          <w:tcPr>
            <w:tcW w:w="2551" w:type="dxa"/>
            <w:vAlign w:val="center"/>
          </w:tcPr>
          <w:p w14:paraId="2828E2E9">
            <w:pPr>
              <w:pStyle w:val="11"/>
            </w:pPr>
            <w:r>
              <w:t>10月底</w:t>
            </w:r>
          </w:p>
        </w:tc>
        <w:tc>
          <w:tcPr>
            <w:tcW w:w="3544" w:type="dxa"/>
            <w:gridSpan w:val="2"/>
            <w:vAlign w:val="center"/>
          </w:tcPr>
          <w:p w14:paraId="469E1B8B">
            <w:pPr>
              <w:pStyle w:val="11"/>
            </w:pPr>
            <w:r>
              <w:t>12月底</w:t>
            </w:r>
          </w:p>
        </w:tc>
      </w:tr>
      <w:tr w14:paraId="68832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BE046"/>
        </w:tc>
        <w:tc>
          <w:tcPr>
            <w:tcW w:w="5103" w:type="dxa"/>
            <w:gridSpan w:val="2"/>
            <w:vAlign w:val="center"/>
          </w:tcPr>
          <w:p w14:paraId="11AF220F">
            <w:pPr>
              <w:pStyle w:val="12"/>
            </w:pPr>
            <w:r>
              <w:t>25%</w:t>
            </w:r>
          </w:p>
        </w:tc>
        <w:tc>
          <w:tcPr>
            <w:tcW w:w="2835" w:type="dxa"/>
            <w:vAlign w:val="center"/>
          </w:tcPr>
          <w:p w14:paraId="38DAF621">
            <w:pPr>
              <w:pStyle w:val="12"/>
            </w:pPr>
            <w:r>
              <w:t>50%</w:t>
            </w:r>
          </w:p>
        </w:tc>
        <w:tc>
          <w:tcPr>
            <w:tcW w:w="2551" w:type="dxa"/>
            <w:vAlign w:val="center"/>
          </w:tcPr>
          <w:p w14:paraId="6726B3C4">
            <w:pPr>
              <w:pStyle w:val="12"/>
            </w:pPr>
            <w:r>
              <w:t>75%</w:t>
            </w:r>
          </w:p>
        </w:tc>
        <w:tc>
          <w:tcPr>
            <w:tcW w:w="3544" w:type="dxa"/>
            <w:gridSpan w:val="2"/>
            <w:vAlign w:val="center"/>
          </w:tcPr>
          <w:p w14:paraId="23E93D0F">
            <w:pPr>
              <w:pStyle w:val="12"/>
            </w:pPr>
            <w:r>
              <w:t>100%</w:t>
            </w:r>
          </w:p>
        </w:tc>
      </w:tr>
      <w:tr w14:paraId="5987A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7F196">
            <w:pPr>
              <w:pStyle w:val="11"/>
            </w:pPr>
            <w:r>
              <w:t>绩效目标</w:t>
            </w:r>
          </w:p>
        </w:tc>
        <w:tc>
          <w:tcPr>
            <w:tcW w:w="14033" w:type="dxa"/>
            <w:gridSpan w:val="6"/>
            <w:vAlign w:val="center"/>
          </w:tcPr>
          <w:p w14:paraId="33FC73F6">
            <w:pPr>
              <w:pStyle w:val="13"/>
            </w:pPr>
            <w:r>
              <w:t>1.保障义务教育学校正常运转，完成教育教学活动和其他日常工作任务等方面的费用支出。</w:t>
            </w:r>
          </w:p>
          <w:p w14:paraId="3206CADA">
            <w:pPr>
              <w:pStyle w:val="13"/>
            </w:pPr>
            <w:r>
              <w:t>2.按规定拨付公用经费资金12.681万元，资金拨付率达到100%。</w:t>
            </w:r>
          </w:p>
        </w:tc>
      </w:tr>
    </w:tbl>
    <w:p w14:paraId="39DF6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75BBF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A6A27">
            <w:pPr>
              <w:pStyle w:val="11"/>
            </w:pPr>
            <w:r>
              <w:t>一级指标</w:t>
            </w:r>
          </w:p>
        </w:tc>
        <w:tc>
          <w:tcPr>
            <w:tcW w:w="2268" w:type="dxa"/>
            <w:vAlign w:val="center"/>
          </w:tcPr>
          <w:p w14:paraId="4DB28EAB">
            <w:pPr>
              <w:pStyle w:val="11"/>
            </w:pPr>
            <w:r>
              <w:t>二级指标</w:t>
            </w:r>
          </w:p>
        </w:tc>
        <w:tc>
          <w:tcPr>
            <w:tcW w:w="2835" w:type="dxa"/>
            <w:vAlign w:val="center"/>
          </w:tcPr>
          <w:p w14:paraId="308FC01A">
            <w:pPr>
              <w:pStyle w:val="11"/>
            </w:pPr>
            <w:r>
              <w:t>三级指标</w:t>
            </w:r>
          </w:p>
        </w:tc>
        <w:tc>
          <w:tcPr>
            <w:tcW w:w="5386" w:type="dxa"/>
            <w:vAlign w:val="center"/>
          </w:tcPr>
          <w:p w14:paraId="41CA71C1">
            <w:pPr>
              <w:pStyle w:val="11"/>
            </w:pPr>
            <w:r>
              <w:t>绩效指标描述</w:t>
            </w:r>
          </w:p>
        </w:tc>
        <w:tc>
          <w:tcPr>
            <w:tcW w:w="1583" w:type="dxa"/>
            <w:vAlign w:val="center"/>
          </w:tcPr>
          <w:p w14:paraId="640A4E88">
            <w:pPr>
              <w:pStyle w:val="11"/>
            </w:pPr>
            <w:r>
              <w:t>指标值</w:t>
            </w:r>
          </w:p>
        </w:tc>
        <w:tc>
          <w:tcPr>
            <w:tcW w:w="1961" w:type="dxa"/>
            <w:vAlign w:val="center"/>
          </w:tcPr>
          <w:p w14:paraId="14F1D690">
            <w:pPr>
              <w:pStyle w:val="11"/>
            </w:pPr>
            <w:r>
              <w:t>指标值确定依据</w:t>
            </w:r>
          </w:p>
        </w:tc>
      </w:tr>
      <w:tr w14:paraId="34BD3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9C9B1">
            <w:pPr>
              <w:pStyle w:val="12"/>
            </w:pPr>
            <w:r>
              <w:t>产出指标</w:t>
            </w:r>
          </w:p>
        </w:tc>
        <w:tc>
          <w:tcPr>
            <w:tcW w:w="2268" w:type="dxa"/>
            <w:vAlign w:val="center"/>
          </w:tcPr>
          <w:p w14:paraId="7A6D4397">
            <w:pPr>
              <w:pStyle w:val="13"/>
            </w:pPr>
            <w:r>
              <w:t>数量指标</w:t>
            </w:r>
          </w:p>
        </w:tc>
        <w:tc>
          <w:tcPr>
            <w:tcW w:w="2835" w:type="dxa"/>
            <w:vAlign w:val="center"/>
          </w:tcPr>
          <w:p w14:paraId="369390F2">
            <w:pPr>
              <w:pStyle w:val="13"/>
            </w:pPr>
            <w:r>
              <w:t>生均拨款标准</w:t>
            </w:r>
          </w:p>
        </w:tc>
        <w:tc>
          <w:tcPr>
            <w:tcW w:w="5386" w:type="dxa"/>
            <w:vAlign w:val="center"/>
          </w:tcPr>
          <w:p w14:paraId="1EBB1113">
            <w:pPr>
              <w:pStyle w:val="13"/>
            </w:pPr>
            <w:r>
              <w:t>小学生公用经费生均小学720元。取暖费140元/生/年，随班就读学生补助7000元/生</w:t>
            </w:r>
          </w:p>
        </w:tc>
        <w:tc>
          <w:tcPr>
            <w:tcW w:w="1583" w:type="dxa"/>
            <w:vAlign w:val="center"/>
          </w:tcPr>
          <w:p w14:paraId="6D4434CB">
            <w:pPr>
              <w:pStyle w:val="13"/>
            </w:pPr>
            <w:r>
              <w:t>840元</w:t>
            </w:r>
          </w:p>
        </w:tc>
        <w:tc>
          <w:tcPr>
            <w:tcW w:w="1961" w:type="dxa"/>
            <w:vAlign w:val="center"/>
          </w:tcPr>
          <w:p w14:paraId="3D54CB02">
            <w:pPr>
              <w:pStyle w:val="13"/>
            </w:pPr>
            <w:r>
              <w:t>城乡义务教育公用经费管理办法</w:t>
            </w:r>
          </w:p>
        </w:tc>
      </w:tr>
      <w:tr w14:paraId="61791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2A83E"/>
        </w:tc>
        <w:tc>
          <w:tcPr>
            <w:tcW w:w="2268" w:type="dxa"/>
            <w:vAlign w:val="center"/>
          </w:tcPr>
          <w:p w14:paraId="293AEBBD">
            <w:pPr>
              <w:pStyle w:val="13"/>
            </w:pPr>
            <w:r>
              <w:t>质量指标</w:t>
            </w:r>
          </w:p>
        </w:tc>
        <w:tc>
          <w:tcPr>
            <w:tcW w:w="2835" w:type="dxa"/>
            <w:vAlign w:val="center"/>
          </w:tcPr>
          <w:p w14:paraId="57BD1FCD">
            <w:pPr>
              <w:pStyle w:val="13"/>
            </w:pPr>
            <w:r>
              <w:t>就读学生数</w:t>
            </w:r>
          </w:p>
        </w:tc>
        <w:tc>
          <w:tcPr>
            <w:tcW w:w="5386" w:type="dxa"/>
            <w:vAlign w:val="center"/>
          </w:tcPr>
          <w:p w14:paraId="4F93E647">
            <w:pPr>
              <w:pStyle w:val="13"/>
            </w:pPr>
            <w:r>
              <w:t>辐射区域内适龄学生人数</w:t>
            </w:r>
          </w:p>
        </w:tc>
        <w:tc>
          <w:tcPr>
            <w:tcW w:w="1583" w:type="dxa"/>
            <w:vAlign w:val="center"/>
          </w:tcPr>
          <w:p w14:paraId="3F57D65A">
            <w:pPr>
              <w:pStyle w:val="13"/>
            </w:pPr>
            <w:r>
              <w:t>≥222人</w:t>
            </w:r>
          </w:p>
        </w:tc>
        <w:tc>
          <w:tcPr>
            <w:tcW w:w="1961" w:type="dxa"/>
            <w:vAlign w:val="center"/>
          </w:tcPr>
          <w:p w14:paraId="0DE71405">
            <w:pPr>
              <w:pStyle w:val="13"/>
            </w:pPr>
            <w:r>
              <w:t>城乡义务教育公用经费管理办法</w:t>
            </w:r>
          </w:p>
        </w:tc>
      </w:tr>
      <w:tr w14:paraId="39D7F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242A9"/>
        </w:tc>
        <w:tc>
          <w:tcPr>
            <w:tcW w:w="2268" w:type="dxa"/>
            <w:vAlign w:val="center"/>
          </w:tcPr>
          <w:p w14:paraId="50F82AB6">
            <w:pPr>
              <w:pStyle w:val="13"/>
            </w:pPr>
            <w:r>
              <w:t>时效指标</w:t>
            </w:r>
          </w:p>
        </w:tc>
        <w:tc>
          <w:tcPr>
            <w:tcW w:w="2835" w:type="dxa"/>
            <w:vAlign w:val="center"/>
          </w:tcPr>
          <w:p w14:paraId="5E55826C">
            <w:pPr>
              <w:pStyle w:val="13"/>
            </w:pPr>
            <w:r>
              <w:t>预算执行率</w:t>
            </w:r>
          </w:p>
        </w:tc>
        <w:tc>
          <w:tcPr>
            <w:tcW w:w="5386" w:type="dxa"/>
            <w:vAlign w:val="center"/>
          </w:tcPr>
          <w:p w14:paraId="10D112FA">
            <w:pPr>
              <w:pStyle w:val="13"/>
            </w:pPr>
            <w:r>
              <w:t>预算执行率≥98%</w:t>
            </w:r>
          </w:p>
        </w:tc>
        <w:tc>
          <w:tcPr>
            <w:tcW w:w="1583" w:type="dxa"/>
            <w:vAlign w:val="center"/>
          </w:tcPr>
          <w:p w14:paraId="226AB316">
            <w:pPr>
              <w:pStyle w:val="13"/>
            </w:pPr>
            <w:r>
              <w:t>≥98%</w:t>
            </w:r>
          </w:p>
        </w:tc>
        <w:tc>
          <w:tcPr>
            <w:tcW w:w="1961" w:type="dxa"/>
            <w:vAlign w:val="center"/>
          </w:tcPr>
          <w:p w14:paraId="01CB37BF">
            <w:pPr>
              <w:pStyle w:val="13"/>
            </w:pPr>
            <w:r>
              <w:t>城乡义务教育公用经费管理办法</w:t>
            </w:r>
          </w:p>
        </w:tc>
      </w:tr>
      <w:tr w14:paraId="00076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38699"/>
        </w:tc>
        <w:tc>
          <w:tcPr>
            <w:tcW w:w="2268" w:type="dxa"/>
            <w:vAlign w:val="center"/>
          </w:tcPr>
          <w:p w14:paraId="37C914B0">
            <w:pPr>
              <w:pStyle w:val="13"/>
            </w:pPr>
            <w:r>
              <w:t>成本指标</w:t>
            </w:r>
          </w:p>
        </w:tc>
        <w:tc>
          <w:tcPr>
            <w:tcW w:w="2835" w:type="dxa"/>
            <w:vAlign w:val="center"/>
          </w:tcPr>
          <w:p w14:paraId="33571AAD">
            <w:pPr>
              <w:pStyle w:val="13"/>
            </w:pPr>
            <w:r>
              <w:t>义教经费支付完成率</w:t>
            </w:r>
          </w:p>
        </w:tc>
        <w:tc>
          <w:tcPr>
            <w:tcW w:w="5386" w:type="dxa"/>
            <w:vAlign w:val="center"/>
          </w:tcPr>
          <w:p w14:paraId="323380FA">
            <w:pPr>
              <w:pStyle w:val="13"/>
            </w:pPr>
            <w:r>
              <w:t>按照序时进度完成资金支付</w:t>
            </w:r>
          </w:p>
        </w:tc>
        <w:tc>
          <w:tcPr>
            <w:tcW w:w="1583" w:type="dxa"/>
            <w:vAlign w:val="center"/>
          </w:tcPr>
          <w:p w14:paraId="77C3AB53">
            <w:pPr>
              <w:pStyle w:val="13"/>
            </w:pPr>
            <w:r>
              <w:t>100%</w:t>
            </w:r>
          </w:p>
        </w:tc>
        <w:tc>
          <w:tcPr>
            <w:tcW w:w="1961" w:type="dxa"/>
            <w:vAlign w:val="center"/>
          </w:tcPr>
          <w:p w14:paraId="4522F8CC">
            <w:pPr>
              <w:pStyle w:val="13"/>
            </w:pPr>
            <w:r>
              <w:t>城乡义务教育公用经费管理办法</w:t>
            </w:r>
          </w:p>
        </w:tc>
      </w:tr>
      <w:tr w14:paraId="67937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5E6EA6">
            <w:pPr>
              <w:pStyle w:val="12"/>
            </w:pPr>
            <w:r>
              <w:t>效益指标</w:t>
            </w:r>
          </w:p>
        </w:tc>
        <w:tc>
          <w:tcPr>
            <w:tcW w:w="2268" w:type="dxa"/>
            <w:vAlign w:val="center"/>
          </w:tcPr>
          <w:p w14:paraId="171E3714">
            <w:pPr>
              <w:pStyle w:val="13"/>
            </w:pPr>
            <w:r>
              <w:t>可持续影响指标</w:t>
            </w:r>
          </w:p>
        </w:tc>
        <w:tc>
          <w:tcPr>
            <w:tcW w:w="2835" w:type="dxa"/>
            <w:vAlign w:val="center"/>
          </w:tcPr>
          <w:p w14:paraId="384AF817">
            <w:pPr>
              <w:pStyle w:val="13"/>
            </w:pPr>
            <w:r>
              <w:t>学校运转得到提高</w:t>
            </w:r>
          </w:p>
        </w:tc>
        <w:tc>
          <w:tcPr>
            <w:tcW w:w="5386" w:type="dxa"/>
            <w:vAlign w:val="center"/>
          </w:tcPr>
          <w:p w14:paraId="282B65C5">
            <w:pPr>
              <w:pStyle w:val="13"/>
            </w:pPr>
            <w:r>
              <w:t>学生受教育年限</w:t>
            </w:r>
          </w:p>
        </w:tc>
        <w:tc>
          <w:tcPr>
            <w:tcW w:w="1583" w:type="dxa"/>
            <w:vAlign w:val="center"/>
          </w:tcPr>
          <w:p w14:paraId="5B834E80">
            <w:pPr>
              <w:pStyle w:val="13"/>
            </w:pPr>
            <w:r>
              <w:t>6年</w:t>
            </w:r>
          </w:p>
        </w:tc>
        <w:tc>
          <w:tcPr>
            <w:tcW w:w="1961" w:type="dxa"/>
            <w:vAlign w:val="center"/>
          </w:tcPr>
          <w:p w14:paraId="2EFA4200">
            <w:pPr>
              <w:pStyle w:val="13"/>
            </w:pPr>
            <w:r>
              <w:t>城乡义务教育公用经费管理办法</w:t>
            </w:r>
          </w:p>
        </w:tc>
      </w:tr>
      <w:tr w14:paraId="17D74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84215E">
            <w:pPr>
              <w:pStyle w:val="12"/>
            </w:pPr>
            <w:r>
              <w:t>满意度指标</w:t>
            </w:r>
          </w:p>
        </w:tc>
        <w:tc>
          <w:tcPr>
            <w:tcW w:w="2268" w:type="dxa"/>
            <w:vAlign w:val="center"/>
          </w:tcPr>
          <w:p w14:paraId="243BCF73">
            <w:pPr>
              <w:pStyle w:val="13"/>
            </w:pPr>
            <w:r>
              <w:t>服务对象满意度指标</w:t>
            </w:r>
          </w:p>
        </w:tc>
        <w:tc>
          <w:tcPr>
            <w:tcW w:w="2835" w:type="dxa"/>
            <w:vAlign w:val="center"/>
          </w:tcPr>
          <w:p w14:paraId="0D00FEC7">
            <w:pPr>
              <w:pStyle w:val="13"/>
            </w:pPr>
            <w:r>
              <w:t>服务对象满意度</w:t>
            </w:r>
          </w:p>
        </w:tc>
        <w:tc>
          <w:tcPr>
            <w:tcW w:w="5386" w:type="dxa"/>
            <w:vAlign w:val="center"/>
          </w:tcPr>
          <w:p w14:paraId="2BE98678">
            <w:pPr>
              <w:pStyle w:val="13"/>
            </w:pPr>
            <w:r>
              <w:t>学校老师和学生满意度</w:t>
            </w:r>
          </w:p>
        </w:tc>
        <w:tc>
          <w:tcPr>
            <w:tcW w:w="1583" w:type="dxa"/>
            <w:vAlign w:val="center"/>
          </w:tcPr>
          <w:p w14:paraId="2CF52361">
            <w:pPr>
              <w:pStyle w:val="13"/>
            </w:pPr>
            <w:r>
              <w:t>≥95%</w:t>
            </w:r>
          </w:p>
        </w:tc>
        <w:tc>
          <w:tcPr>
            <w:tcW w:w="1961" w:type="dxa"/>
            <w:vAlign w:val="center"/>
          </w:tcPr>
          <w:p w14:paraId="1E784F49">
            <w:pPr>
              <w:pStyle w:val="13"/>
            </w:pPr>
            <w:r>
              <w:t>城乡义务教育公用经费管理办法</w:t>
            </w:r>
          </w:p>
        </w:tc>
      </w:tr>
    </w:tbl>
    <w:p w14:paraId="64E7E610">
      <w:pPr>
        <w:sectPr>
          <w:pgSz w:w="16840" w:h="11900" w:orient="landscape"/>
          <w:pgMar w:top="1361" w:right="1020" w:bottom="1134" w:left="1020" w:header="720" w:footer="720" w:gutter="0"/>
          <w:cols w:space="720" w:num="1"/>
        </w:sectPr>
      </w:pPr>
    </w:p>
    <w:p w14:paraId="48DCBFF2">
      <w:pPr>
        <w:spacing w:before="0" w:after="0"/>
        <w:ind w:firstLine="560"/>
        <w:jc w:val="left"/>
        <w:outlineLvl w:val="9"/>
      </w:pPr>
      <w:r>
        <w:rPr>
          <w:rFonts w:ascii="方正仿宋_GBK" w:hAnsi="方正仿宋_GBK" w:eastAsia="方正仿宋_GBK" w:cs="方正仿宋_GBK"/>
          <w:b/>
          <w:color w:val="000000"/>
          <w:sz w:val="28"/>
        </w:rPr>
        <w:t>11、冀财教[2024]123号/中央/2025年义教补助经费/西范小学公用经费绩效目标表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1B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00BE6">
            <w:pPr>
              <w:pStyle w:val="14"/>
            </w:pPr>
            <w:r>
              <w:t>单位：万元</w:t>
            </w:r>
          </w:p>
        </w:tc>
      </w:tr>
      <w:tr w14:paraId="309FD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FC1EA">
            <w:pPr>
              <w:pStyle w:val="11"/>
            </w:pPr>
            <w:r>
              <w:t>项目编码</w:t>
            </w:r>
          </w:p>
        </w:tc>
        <w:tc>
          <w:tcPr>
            <w:tcW w:w="5103" w:type="dxa"/>
            <w:gridSpan w:val="2"/>
            <w:vAlign w:val="center"/>
          </w:tcPr>
          <w:p w14:paraId="15FAE53D">
            <w:pPr>
              <w:pStyle w:val="13"/>
            </w:pPr>
            <w:r>
              <w:t>13052525P000004100394</w:t>
            </w:r>
          </w:p>
        </w:tc>
        <w:tc>
          <w:tcPr>
            <w:tcW w:w="2835" w:type="dxa"/>
            <w:vAlign w:val="center"/>
          </w:tcPr>
          <w:p w14:paraId="37368361">
            <w:pPr>
              <w:pStyle w:val="11"/>
            </w:pPr>
            <w:r>
              <w:t>项目名称</w:t>
            </w:r>
          </w:p>
        </w:tc>
        <w:tc>
          <w:tcPr>
            <w:tcW w:w="6095" w:type="dxa"/>
            <w:gridSpan w:val="3"/>
            <w:vAlign w:val="center"/>
          </w:tcPr>
          <w:p w14:paraId="37E04371">
            <w:pPr>
              <w:pStyle w:val="13"/>
            </w:pPr>
            <w:r>
              <w:t>冀财教[2024]123号/中央/2025年义教补助经费/西范小学公用经费</w:t>
            </w:r>
          </w:p>
        </w:tc>
      </w:tr>
      <w:tr w14:paraId="6E7DE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4A4F1">
            <w:pPr>
              <w:pStyle w:val="11"/>
            </w:pPr>
            <w:r>
              <w:t>预算规模及资金用途</w:t>
            </w:r>
          </w:p>
        </w:tc>
        <w:tc>
          <w:tcPr>
            <w:tcW w:w="2268" w:type="dxa"/>
            <w:vAlign w:val="center"/>
          </w:tcPr>
          <w:p w14:paraId="411C99EF">
            <w:pPr>
              <w:pStyle w:val="11"/>
            </w:pPr>
            <w:r>
              <w:t>预算数</w:t>
            </w:r>
          </w:p>
        </w:tc>
        <w:tc>
          <w:tcPr>
            <w:tcW w:w="2835" w:type="dxa"/>
            <w:vAlign w:val="center"/>
          </w:tcPr>
          <w:p w14:paraId="34D206B3">
            <w:pPr>
              <w:pStyle w:val="13"/>
            </w:pPr>
            <w:r>
              <w:t>31.97</w:t>
            </w:r>
          </w:p>
        </w:tc>
        <w:tc>
          <w:tcPr>
            <w:tcW w:w="2835" w:type="dxa"/>
            <w:vAlign w:val="center"/>
          </w:tcPr>
          <w:p w14:paraId="7B38F68F">
            <w:pPr>
              <w:pStyle w:val="11"/>
            </w:pPr>
            <w:r>
              <w:t>其中：财政    资金</w:t>
            </w:r>
          </w:p>
        </w:tc>
        <w:tc>
          <w:tcPr>
            <w:tcW w:w="2551" w:type="dxa"/>
            <w:vAlign w:val="center"/>
          </w:tcPr>
          <w:p w14:paraId="1B215010">
            <w:pPr>
              <w:pStyle w:val="13"/>
            </w:pPr>
            <w:r>
              <w:t>31.97</w:t>
            </w:r>
          </w:p>
        </w:tc>
        <w:tc>
          <w:tcPr>
            <w:tcW w:w="2268" w:type="dxa"/>
            <w:vAlign w:val="center"/>
          </w:tcPr>
          <w:p w14:paraId="7C98A76A">
            <w:pPr>
              <w:pStyle w:val="11"/>
            </w:pPr>
            <w:r>
              <w:t>其他资金</w:t>
            </w:r>
          </w:p>
        </w:tc>
        <w:tc>
          <w:tcPr>
            <w:tcW w:w="1276" w:type="dxa"/>
            <w:vAlign w:val="center"/>
          </w:tcPr>
          <w:p w14:paraId="54EDBE74">
            <w:pPr>
              <w:pStyle w:val="13"/>
            </w:pPr>
            <w:r>
              <w:t xml:space="preserve"> </w:t>
            </w:r>
          </w:p>
        </w:tc>
      </w:tr>
      <w:tr w14:paraId="467C5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E52D57"/>
        </w:tc>
        <w:tc>
          <w:tcPr>
            <w:tcW w:w="14033" w:type="dxa"/>
            <w:gridSpan w:val="6"/>
            <w:vAlign w:val="center"/>
          </w:tcPr>
          <w:p w14:paraId="1B42936C">
            <w:pPr>
              <w:pStyle w:val="13"/>
            </w:pPr>
            <w:r>
              <w:t>保障义务教育学校正常运转，完成教育教学活动和其他日常工作任务等方面的费用支出。</w:t>
            </w:r>
          </w:p>
        </w:tc>
      </w:tr>
      <w:tr w14:paraId="7B684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F3A56">
            <w:pPr>
              <w:pStyle w:val="11"/>
            </w:pPr>
            <w:r>
              <w:t>资金支出计划（%）</w:t>
            </w:r>
          </w:p>
        </w:tc>
        <w:tc>
          <w:tcPr>
            <w:tcW w:w="5103" w:type="dxa"/>
            <w:gridSpan w:val="2"/>
            <w:vAlign w:val="center"/>
          </w:tcPr>
          <w:p w14:paraId="6F8EEA6F">
            <w:pPr>
              <w:pStyle w:val="11"/>
            </w:pPr>
            <w:r>
              <w:t>3月底</w:t>
            </w:r>
          </w:p>
        </w:tc>
        <w:tc>
          <w:tcPr>
            <w:tcW w:w="2835" w:type="dxa"/>
            <w:vAlign w:val="center"/>
          </w:tcPr>
          <w:p w14:paraId="19D14E5F">
            <w:pPr>
              <w:pStyle w:val="11"/>
            </w:pPr>
            <w:r>
              <w:t>6月底</w:t>
            </w:r>
          </w:p>
        </w:tc>
        <w:tc>
          <w:tcPr>
            <w:tcW w:w="2551" w:type="dxa"/>
            <w:vAlign w:val="center"/>
          </w:tcPr>
          <w:p w14:paraId="12F2DE35">
            <w:pPr>
              <w:pStyle w:val="11"/>
            </w:pPr>
            <w:r>
              <w:t>10月底</w:t>
            </w:r>
          </w:p>
        </w:tc>
        <w:tc>
          <w:tcPr>
            <w:tcW w:w="3544" w:type="dxa"/>
            <w:gridSpan w:val="2"/>
            <w:vAlign w:val="center"/>
          </w:tcPr>
          <w:p w14:paraId="653EAFBC">
            <w:pPr>
              <w:pStyle w:val="11"/>
            </w:pPr>
            <w:r>
              <w:t>12月底</w:t>
            </w:r>
          </w:p>
        </w:tc>
      </w:tr>
      <w:tr w14:paraId="37618C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997F6"/>
        </w:tc>
        <w:tc>
          <w:tcPr>
            <w:tcW w:w="5103" w:type="dxa"/>
            <w:gridSpan w:val="2"/>
            <w:vAlign w:val="center"/>
          </w:tcPr>
          <w:p w14:paraId="0E770DE9">
            <w:pPr>
              <w:pStyle w:val="12"/>
            </w:pPr>
            <w:r>
              <w:t>25%</w:t>
            </w:r>
          </w:p>
        </w:tc>
        <w:tc>
          <w:tcPr>
            <w:tcW w:w="2835" w:type="dxa"/>
            <w:vAlign w:val="center"/>
          </w:tcPr>
          <w:p w14:paraId="11972E69">
            <w:pPr>
              <w:pStyle w:val="12"/>
            </w:pPr>
            <w:r>
              <w:t>50%</w:t>
            </w:r>
          </w:p>
        </w:tc>
        <w:tc>
          <w:tcPr>
            <w:tcW w:w="2551" w:type="dxa"/>
            <w:vAlign w:val="center"/>
          </w:tcPr>
          <w:p w14:paraId="03D5F553">
            <w:pPr>
              <w:pStyle w:val="12"/>
            </w:pPr>
            <w:r>
              <w:t>75%</w:t>
            </w:r>
          </w:p>
        </w:tc>
        <w:tc>
          <w:tcPr>
            <w:tcW w:w="3544" w:type="dxa"/>
            <w:gridSpan w:val="2"/>
            <w:vAlign w:val="center"/>
          </w:tcPr>
          <w:p w14:paraId="2458C0D3">
            <w:pPr>
              <w:pStyle w:val="12"/>
            </w:pPr>
            <w:r>
              <w:t>100%</w:t>
            </w:r>
          </w:p>
        </w:tc>
      </w:tr>
      <w:tr w14:paraId="4EA68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2EBF02">
            <w:pPr>
              <w:pStyle w:val="11"/>
            </w:pPr>
            <w:r>
              <w:t>绩效目标</w:t>
            </w:r>
          </w:p>
        </w:tc>
        <w:tc>
          <w:tcPr>
            <w:tcW w:w="14033" w:type="dxa"/>
            <w:gridSpan w:val="6"/>
            <w:vAlign w:val="center"/>
          </w:tcPr>
          <w:p w14:paraId="557EF255">
            <w:pPr>
              <w:pStyle w:val="13"/>
            </w:pPr>
            <w:r>
              <w:t>1.保障义务教育学校正常运转，完成教育教学活动和其他日常工作任务等方面的费用支出。</w:t>
            </w:r>
          </w:p>
          <w:p w14:paraId="091460F2">
            <w:pPr>
              <w:pStyle w:val="13"/>
            </w:pPr>
            <w:r>
              <w:t>2.按规定拨付公用经费资金31.974万元，资金拨付率达到100%。</w:t>
            </w:r>
          </w:p>
        </w:tc>
      </w:tr>
    </w:tbl>
    <w:p w14:paraId="2F35F2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28"/>
        <w:gridCol w:w="1916"/>
      </w:tblGrid>
      <w:tr w14:paraId="079CC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EA5F9">
            <w:pPr>
              <w:pStyle w:val="11"/>
            </w:pPr>
            <w:r>
              <w:t>一级指标</w:t>
            </w:r>
          </w:p>
        </w:tc>
        <w:tc>
          <w:tcPr>
            <w:tcW w:w="2268" w:type="dxa"/>
            <w:vAlign w:val="center"/>
          </w:tcPr>
          <w:p w14:paraId="5E4ED2F3">
            <w:pPr>
              <w:pStyle w:val="11"/>
            </w:pPr>
            <w:r>
              <w:t>二级指标</w:t>
            </w:r>
          </w:p>
        </w:tc>
        <w:tc>
          <w:tcPr>
            <w:tcW w:w="2835" w:type="dxa"/>
            <w:vAlign w:val="center"/>
          </w:tcPr>
          <w:p w14:paraId="05727471">
            <w:pPr>
              <w:pStyle w:val="11"/>
            </w:pPr>
            <w:r>
              <w:t>三级指标</w:t>
            </w:r>
          </w:p>
        </w:tc>
        <w:tc>
          <w:tcPr>
            <w:tcW w:w="5386" w:type="dxa"/>
            <w:vAlign w:val="center"/>
          </w:tcPr>
          <w:p w14:paraId="67C87A1D">
            <w:pPr>
              <w:pStyle w:val="11"/>
            </w:pPr>
            <w:r>
              <w:t>绩效指标描述</w:t>
            </w:r>
          </w:p>
        </w:tc>
        <w:tc>
          <w:tcPr>
            <w:tcW w:w="1628" w:type="dxa"/>
            <w:vAlign w:val="center"/>
          </w:tcPr>
          <w:p w14:paraId="320F7317">
            <w:pPr>
              <w:pStyle w:val="11"/>
            </w:pPr>
            <w:r>
              <w:t>指标值</w:t>
            </w:r>
          </w:p>
        </w:tc>
        <w:tc>
          <w:tcPr>
            <w:tcW w:w="1916" w:type="dxa"/>
            <w:vAlign w:val="center"/>
          </w:tcPr>
          <w:p w14:paraId="3E6710AB">
            <w:pPr>
              <w:pStyle w:val="11"/>
            </w:pPr>
            <w:r>
              <w:t>指标值确定依据</w:t>
            </w:r>
          </w:p>
        </w:tc>
      </w:tr>
      <w:tr w14:paraId="48D13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4CA7C">
            <w:pPr>
              <w:pStyle w:val="12"/>
            </w:pPr>
            <w:r>
              <w:t>产出指标</w:t>
            </w:r>
          </w:p>
        </w:tc>
        <w:tc>
          <w:tcPr>
            <w:tcW w:w="2268" w:type="dxa"/>
            <w:vAlign w:val="center"/>
          </w:tcPr>
          <w:p w14:paraId="3382C5C0">
            <w:pPr>
              <w:pStyle w:val="13"/>
            </w:pPr>
            <w:r>
              <w:t>数量指标</w:t>
            </w:r>
          </w:p>
        </w:tc>
        <w:tc>
          <w:tcPr>
            <w:tcW w:w="2835" w:type="dxa"/>
            <w:vAlign w:val="center"/>
          </w:tcPr>
          <w:p w14:paraId="3F3CBA47">
            <w:pPr>
              <w:pStyle w:val="13"/>
            </w:pPr>
            <w:r>
              <w:t>生均拨款标准</w:t>
            </w:r>
          </w:p>
        </w:tc>
        <w:tc>
          <w:tcPr>
            <w:tcW w:w="5386" w:type="dxa"/>
            <w:vAlign w:val="center"/>
          </w:tcPr>
          <w:p w14:paraId="54157118">
            <w:pPr>
              <w:pStyle w:val="13"/>
            </w:pPr>
            <w:r>
              <w:t>小学生公用经费生均小学720元。取暖费140元/生/年，随班就读学生补助7000元/生</w:t>
            </w:r>
          </w:p>
        </w:tc>
        <w:tc>
          <w:tcPr>
            <w:tcW w:w="1628" w:type="dxa"/>
            <w:vAlign w:val="center"/>
          </w:tcPr>
          <w:p w14:paraId="1D14F227">
            <w:pPr>
              <w:pStyle w:val="13"/>
            </w:pPr>
            <w:r>
              <w:t>840元</w:t>
            </w:r>
          </w:p>
        </w:tc>
        <w:tc>
          <w:tcPr>
            <w:tcW w:w="1916" w:type="dxa"/>
            <w:vAlign w:val="center"/>
          </w:tcPr>
          <w:p w14:paraId="65712680">
            <w:pPr>
              <w:pStyle w:val="13"/>
            </w:pPr>
            <w:r>
              <w:t>城乡义务教育公用经费管理办法</w:t>
            </w:r>
          </w:p>
        </w:tc>
      </w:tr>
      <w:tr w14:paraId="45710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AF92E"/>
        </w:tc>
        <w:tc>
          <w:tcPr>
            <w:tcW w:w="2268" w:type="dxa"/>
            <w:vAlign w:val="center"/>
          </w:tcPr>
          <w:p w14:paraId="5FCCD333">
            <w:pPr>
              <w:pStyle w:val="13"/>
            </w:pPr>
            <w:r>
              <w:t>质量指标</w:t>
            </w:r>
          </w:p>
        </w:tc>
        <w:tc>
          <w:tcPr>
            <w:tcW w:w="2835" w:type="dxa"/>
            <w:vAlign w:val="center"/>
          </w:tcPr>
          <w:p w14:paraId="4E90B675">
            <w:pPr>
              <w:pStyle w:val="13"/>
            </w:pPr>
            <w:r>
              <w:t>就读学生数</w:t>
            </w:r>
          </w:p>
        </w:tc>
        <w:tc>
          <w:tcPr>
            <w:tcW w:w="5386" w:type="dxa"/>
            <w:vAlign w:val="center"/>
          </w:tcPr>
          <w:p w14:paraId="6C5C3D6B">
            <w:pPr>
              <w:pStyle w:val="13"/>
            </w:pPr>
            <w:r>
              <w:t>辐射区域内适龄学生人数</w:t>
            </w:r>
          </w:p>
        </w:tc>
        <w:tc>
          <w:tcPr>
            <w:tcW w:w="1628" w:type="dxa"/>
            <w:vAlign w:val="center"/>
          </w:tcPr>
          <w:p w14:paraId="5BB9791B">
            <w:pPr>
              <w:pStyle w:val="13"/>
            </w:pPr>
            <w:r>
              <w:t>≥405人</w:t>
            </w:r>
          </w:p>
        </w:tc>
        <w:tc>
          <w:tcPr>
            <w:tcW w:w="1916" w:type="dxa"/>
            <w:vAlign w:val="center"/>
          </w:tcPr>
          <w:p w14:paraId="3DD3AFBE">
            <w:pPr>
              <w:pStyle w:val="13"/>
            </w:pPr>
            <w:r>
              <w:t>城乡义务教育公用经费管理办法</w:t>
            </w:r>
          </w:p>
        </w:tc>
      </w:tr>
      <w:tr w14:paraId="49926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78F08"/>
        </w:tc>
        <w:tc>
          <w:tcPr>
            <w:tcW w:w="2268" w:type="dxa"/>
            <w:vAlign w:val="center"/>
          </w:tcPr>
          <w:p w14:paraId="5F9C1E1E">
            <w:pPr>
              <w:pStyle w:val="13"/>
            </w:pPr>
            <w:r>
              <w:t>时效指标</w:t>
            </w:r>
          </w:p>
        </w:tc>
        <w:tc>
          <w:tcPr>
            <w:tcW w:w="2835" w:type="dxa"/>
            <w:vAlign w:val="center"/>
          </w:tcPr>
          <w:p w14:paraId="5D15F8E7">
            <w:pPr>
              <w:pStyle w:val="13"/>
            </w:pPr>
            <w:r>
              <w:t>预算执行率</w:t>
            </w:r>
          </w:p>
        </w:tc>
        <w:tc>
          <w:tcPr>
            <w:tcW w:w="5386" w:type="dxa"/>
            <w:vAlign w:val="center"/>
          </w:tcPr>
          <w:p w14:paraId="3FF347C1">
            <w:pPr>
              <w:pStyle w:val="13"/>
            </w:pPr>
            <w:r>
              <w:t>预算执行率≥98%</w:t>
            </w:r>
          </w:p>
        </w:tc>
        <w:tc>
          <w:tcPr>
            <w:tcW w:w="1628" w:type="dxa"/>
            <w:vAlign w:val="center"/>
          </w:tcPr>
          <w:p w14:paraId="3203C748">
            <w:pPr>
              <w:pStyle w:val="13"/>
            </w:pPr>
            <w:r>
              <w:t>≥98%</w:t>
            </w:r>
          </w:p>
        </w:tc>
        <w:tc>
          <w:tcPr>
            <w:tcW w:w="1916" w:type="dxa"/>
            <w:vAlign w:val="center"/>
          </w:tcPr>
          <w:p w14:paraId="65EE84A2">
            <w:pPr>
              <w:pStyle w:val="13"/>
            </w:pPr>
            <w:r>
              <w:t>城乡义务教育公用经费管理办法</w:t>
            </w:r>
          </w:p>
        </w:tc>
      </w:tr>
      <w:tr w14:paraId="048D1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59CE5"/>
        </w:tc>
        <w:tc>
          <w:tcPr>
            <w:tcW w:w="2268" w:type="dxa"/>
            <w:vAlign w:val="center"/>
          </w:tcPr>
          <w:p w14:paraId="6640B3C7">
            <w:pPr>
              <w:pStyle w:val="13"/>
            </w:pPr>
            <w:r>
              <w:t>成本指标</w:t>
            </w:r>
          </w:p>
        </w:tc>
        <w:tc>
          <w:tcPr>
            <w:tcW w:w="2835" w:type="dxa"/>
            <w:vAlign w:val="center"/>
          </w:tcPr>
          <w:p w14:paraId="0A4DD868">
            <w:pPr>
              <w:pStyle w:val="13"/>
            </w:pPr>
            <w:r>
              <w:t>义教经费支付完成率</w:t>
            </w:r>
          </w:p>
        </w:tc>
        <w:tc>
          <w:tcPr>
            <w:tcW w:w="5386" w:type="dxa"/>
            <w:vAlign w:val="center"/>
          </w:tcPr>
          <w:p w14:paraId="01E8AFF1">
            <w:pPr>
              <w:pStyle w:val="13"/>
            </w:pPr>
            <w:r>
              <w:t>按照序时进度完成资金支付</w:t>
            </w:r>
          </w:p>
        </w:tc>
        <w:tc>
          <w:tcPr>
            <w:tcW w:w="1628" w:type="dxa"/>
            <w:vAlign w:val="center"/>
          </w:tcPr>
          <w:p w14:paraId="437A9B34">
            <w:pPr>
              <w:pStyle w:val="13"/>
            </w:pPr>
            <w:r>
              <w:t>100%</w:t>
            </w:r>
          </w:p>
        </w:tc>
        <w:tc>
          <w:tcPr>
            <w:tcW w:w="1916" w:type="dxa"/>
            <w:vAlign w:val="center"/>
          </w:tcPr>
          <w:p w14:paraId="60B99C93">
            <w:pPr>
              <w:pStyle w:val="13"/>
            </w:pPr>
            <w:r>
              <w:t>城乡义务教育公用经费管理办法</w:t>
            </w:r>
          </w:p>
        </w:tc>
      </w:tr>
      <w:tr w14:paraId="70AD5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AE08F">
            <w:pPr>
              <w:pStyle w:val="12"/>
            </w:pPr>
            <w:r>
              <w:t>效益指标</w:t>
            </w:r>
          </w:p>
        </w:tc>
        <w:tc>
          <w:tcPr>
            <w:tcW w:w="2268" w:type="dxa"/>
            <w:vAlign w:val="center"/>
          </w:tcPr>
          <w:p w14:paraId="54C6BC11">
            <w:pPr>
              <w:pStyle w:val="13"/>
            </w:pPr>
            <w:r>
              <w:t>可持续影响指标</w:t>
            </w:r>
          </w:p>
        </w:tc>
        <w:tc>
          <w:tcPr>
            <w:tcW w:w="2835" w:type="dxa"/>
            <w:vAlign w:val="center"/>
          </w:tcPr>
          <w:p w14:paraId="0F98D0AE">
            <w:pPr>
              <w:pStyle w:val="13"/>
            </w:pPr>
            <w:r>
              <w:t>学校运转得到提高</w:t>
            </w:r>
          </w:p>
        </w:tc>
        <w:tc>
          <w:tcPr>
            <w:tcW w:w="5386" w:type="dxa"/>
            <w:vAlign w:val="center"/>
          </w:tcPr>
          <w:p w14:paraId="4A6F1B38">
            <w:pPr>
              <w:pStyle w:val="13"/>
            </w:pPr>
            <w:r>
              <w:t>学生受教育年限</w:t>
            </w:r>
          </w:p>
        </w:tc>
        <w:tc>
          <w:tcPr>
            <w:tcW w:w="1628" w:type="dxa"/>
            <w:vAlign w:val="center"/>
          </w:tcPr>
          <w:p w14:paraId="2B12258A">
            <w:pPr>
              <w:pStyle w:val="13"/>
            </w:pPr>
            <w:r>
              <w:t>6年</w:t>
            </w:r>
          </w:p>
        </w:tc>
        <w:tc>
          <w:tcPr>
            <w:tcW w:w="1916" w:type="dxa"/>
            <w:vAlign w:val="center"/>
          </w:tcPr>
          <w:p w14:paraId="659CFC55">
            <w:pPr>
              <w:pStyle w:val="13"/>
            </w:pPr>
            <w:r>
              <w:t>城乡义务教育公用经费管理办法</w:t>
            </w:r>
          </w:p>
        </w:tc>
      </w:tr>
      <w:tr w14:paraId="59FC9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BC5402">
            <w:pPr>
              <w:pStyle w:val="12"/>
            </w:pPr>
            <w:r>
              <w:t>满意度指标</w:t>
            </w:r>
          </w:p>
        </w:tc>
        <w:tc>
          <w:tcPr>
            <w:tcW w:w="2268" w:type="dxa"/>
            <w:vAlign w:val="center"/>
          </w:tcPr>
          <w:p w14:paraId="60CA8FAA">
            <w:pPr>
              <w:pStyle w:val="13"/>
            </w:pPr>
            <w:r>
              <w:t>服务对象满意度指标</w:t>
            </w:r>
          </w:p>
        </w:tc>
        <w:tc>
          <w:tcPr>
            <w:tcW w:w="2835" w:type="dxa"/>
            <w:vAlign w:val="center"/>
          </w:tcPr>
          <w:p w14:paraId="45B19119">
            <w:pPr>
              <w:pStyle w:val="13"/>
            </w:pPr>
            <w:r>
              <w:t>服务对象满意度</w:t>
            </w:r>
          </w:p>
        </w:tc>
        <w:tc>
          <w:tcPr>
            <w:tcW w:w="5386" w:type="dxa"/>
            <w:vAlign w:val="center"/>
          </w:tcPr>
          <w:p w14:paraId="4B78F52D">
            <w:pPr>
              <w:pStyle w:val="13"/>
            </w:pPr>
            <w:r>
              <w:t>学校老师和学生满意度</w:t>
            </w:r>
          </w:p>
        </w:tc>
        <w:tc>
          <w:tcPr>
            <w:tcW w:w="1628" w:type="dxa"/>
            <w:vAlign w:val="center"/>
          </w:tcPr>
          <w:p w14:paraId="5172BB92">
            <w:pPr>
              <w:pStyle w:val="13"/>
            </w:pPr>
            <w:r>
              <w:t>≥95%</w:t>
            </w:r>
          </w:p>
        </w:tc>
        <w:tc>
          <w:tcPr>
            <w:tcW w:w="1916" w:type="dxa"/>
            <w:vAlign w:val="center"/>
          </w:tcPr>
          <w:p w14:paraId="574FA4F2">
            <w:pPr>
              <w:pStyle w:val="13"/>
            </w:pPr>
            <w:r>
              <w:t>城乡义务教育公用经费管理办法</w:t>
            </w:r>
          </w:p>
        </w:tc>
      </w:tr>
    </w:tbl>
    <w:p w14:paraId="0BEEE590">
      <w:pPr>
        <w:sectPr>
          <w:pgSz w:w="16840" w:h="11900" w:orient="landscape"/>
          <w:pgMar w:top="1361" w:right="1020" w:bottom="1134" w:left="1020" w:header="720" w:footer="720" w:gutter="0"/>
          <w:cols w:space="720" w:num="1"/>
        </w:sectPr>
      </w:pPr>
    </w:p>
    <w:p w14:paraId="4A3C5998">
      <w:pPr>
        <w:spacing w:before="0" w:after="0"/>
        <w:ind w:firstLine="560"/>
        <w:jc w:val="left"/>
        <w:outlineLvl w:val="9"/>
      </w:pPr>
      <w:r>
        <w:rPr>
          <w:rFonts w:ascii="方正仿宋_GBK" w:hAnsi="方正仿宋_GBK" w:eastAsia="方正仿宋_GBK" w:cs="方正仿宋_GBK"/>
          <w:b/>
          <w:color w:val="000000"/>
          <w:sz w:val="28"/>
        </w:rPr>
        <w:t>12、冀财教[2024]123号/中央/2025年义教补助经费/校舍安全保障/白家寨小学房顶防水及教室地面维修绩效目标表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AF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0DB20">
            <w:pPr>
              <w:pStyle w:val="14"/>
            </w:pPr>
            <w:r>
              <w:t>单位：万元</w:t>
            </w:r>
          </w:p>
        </w:tc>
      </w:tr>
      <w:tr w14:paraId="2EDB4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0DEA45">
            <w:pPr>
              <w:pStyle w:val="11"/>
            </w:pPr>
            <w:r>
              <w:t>项目编码</w:t>
            </w:r>
          </w:p>
        </w:tc>
        <w:tc>
          <w:tcPr>
            <w:tcW w:w="5103" w:type="dxa"/>
            <w:gridSpan w:val="2"/>
            <w:vAlign w:val="center"/>
          </w:tcPr>
          <w:p w14:paraId="370BCF2E">
            <w:pPr>
              <w:pStyle w:val="13"/>
            </w:pPr>
            <w:r>
              <w:t>13052525P008762100241</w:t>
            </w:r>
          </w:p>
        </w:tc>
        <w:tc>
          <w:tcPr>
            <w:tcW w:w="2835" w:type="dxa"/>
            <w:vAlign w:val="center"/>
          </w:tcPr>
          <w:p w14:paraId="0699C005">
            <w:pPr>
              <w:pStyle w:val="11"/>
            </w:pPr>
            <w:r>
              <w:t>项目名称</w:t>
            </w:r>
          </w:p>
        </w:tc>
        <w:tc>
          <w:tcPr>
            <w:tcW w:w="6095" w:type="dxa"/>
            <w:gridSpan w:val="3"/>
            <w:vAlign w:val="center"/>
          </w:tcPr>
          <w:p w14:paraId="068898FB">
            <w:pPr>
              <w:pStyle w:val="13"/>
            </w:pPr>
            <w:r>
              <w:t>冀财教[2024]123号/中央/2025年义教补助经费/校舍安全保障/白家寨小学房顶防水及教室地面维修</w:t>
            </w:r>
          </w:p>
        </w:tc>
      </w:tr>
      <w:tr w14:paraId="06F00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50500">
            <w:pPr>
              <w:pStyle w:val="11"/>
            </w:pPr>
            <w:r>
              <w:t>预算规模及资金用途</w:t>
            </w:r>
          </w:p>
        </w:tc>
        <w:tc>
          <w:tcPr>
            <w:tcW w:w="2268" w:type="dxa"/>
            <w:vAlign w:val="center"/>
          </w:tcPr>
          <w:p w14:paraId="266A169A">
            <w:pPr>
              <w:pStyle w:val="11"/>
            </w:pPr>
            <w:r>
              <w:t>预算数</w:t>
            </w:r>
          </w:p>
        </w:tc>
        <w:tc>
          <w:tcPr>
            <w:tcW w:w="2835" w:type="dxa"/>
            <w:vAlign w:val="center"/>
          </w:tcPr>
          <w:p w14:paraId="4A6ABEC6">
            <w:pPr>
              <w:pStyle w:val="13"/>
            </w:pPr>
            <w:r>
              <w:t>14.70</w:t>
            </w:r>
          </w:p>
        </w:tc>
        <w:tc>
          <w:tcPr>
            <w:tcW w:w="2835" w:type="dxa"/>
            <w:vAlign w:val="center"/>
          </w:tcPr>
          <w:p w14:paraId="4A80B2F5">
            <w:pPr>
              <w:pStyle w:val="11"/>
            </w:pPr>
            <w:r>
              <w:t>其中：财政    资金</w:t>
            </w:r>
          </w:p>
        </w:tc>
        <w:tc>
          <w:tcPr>
            <w:tcW w:w="2551" w:type="dxa"/>
            <w:vAlign w:val="center"/>
          </w:tcPr>
          <w:p w14:paraId="5ED49FB6">
            <w:pPr>
              <w:pStyle w:val="13"/>
            </w:pPr>
            <w:r>
              <w:t>14.70</w:t>
            </w:r>
          </w:p>
        </w:tc>
        <w:tc>
          <w:tcPr>
            <w:tcW w:w="2268" w:type="dxa"/>
            <w:vAlign w:val="center"/>
          </w:tcPr>
          <w:p w14:paraId="7AD19C9E">
            <w:pPr>
              <w:pStyle w:val="11"/>
            </w:pPr>
            <w:r>
              <w:t>其他资金</w:t>
            </w:r>
          </w:p>
        </w:tc>
        <w:tc>
          <w:tcPr>
            <w:tcW w:w="1276" w:type="dxa"/>
            <w:vAlign w:val="center"/>
          </w:tcPr>
          <w:p w14:paraId="3F843987">
            <w:pPr>
              <w:pStyle w:val="13"/>
            </w:pPr>
            <w:r>
              <w:t xml:space="preserve"> </w:t>
            </w:r>
          </w:p>
        </w:tc>
      </w:tr>
      <w:tr w14:paraId="79BECD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97F7A"/>
        </w:tc>
        <w:tc>
          <w:tcPr>
            <w:tcW w:w="14033" w:type="dxa"/>
            <w:gridSpan w:val="6"/>
            <w:vAlign w:val="center"/>
          </w:tcPr>
          <w:p w14:paraId="23D14044">
            <w:pPr>
              <w:pStyle w:val="13"/>
            </w:pPr>
            <w:r>
              <w:t>为提升教学环境，改善学生学习环境，提高教学质量，根除教学隐患.</w:t>
            </w:r>
          </w:p>
        </w:tc>
      </w:tr>
      <w:tr w14:paraId="784AF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65897">
            <w:pPr>
              <w:pStyle w:val="11"/>
            </w:pPr>
            <w:r>
              <w:t>资金支出计划（%）</w:t>
            </w:r>
          </w:p>
        </w:tc>
        <w:tc>
          <w:tcPr>
            <w:tcW w:w="5103" w:type="dxa"/>
            <w:gridSpan w:val="2"/>
            <w:vAlign w:val="center"/>
          </w:tcPr>
          <w:p w14:paraId="78247EEB">
            <w:pPr>
              <w:pStyle w:val="11"/>
            </w:pPr>
            <w:r>
              <w:t>3月底</w:t>
            </w:r>
          </w:p>
        </w:tc>
        <w:tc>
          <w:tcPr>
            <w:tcW w:w="2835" w:type="dxa"/>
            <w:vAlign w:val="center"/>
          </w:tcPr>
          <w:p w14:paraId="404DDF11">
            <w:pPr>
              <w:pStyle w:val="11"/>
            </w:pPr>
            <w:r>
              <w:t>6月底</w:t>
            </w:r>
          </w:p>
        </w:tc>
        <w:tc>
          <w:tcPr>
            <w:tcW w:w="2551" w:type="dxa"/>
            <w:vAlign w:val="center"/>
          </w:tcPr>
          <w:p w14:paraId="3A608AE3">
            <w:pPr>
              <w:pStyle w:val="11"/>
            </w:pPr>
            <w:r>
              <w:t>10月底</w:t>
            </w:r>
          </w:p>
        </w:tc>
        <w:tc>
          <w:tcPr>
            <w:tcW w:w="3544" w:type="dxa"/>
            <w:gridSpan w:val="2"/>
            <w:vAlign w:val="center"/>
          </w:tcPr>
          <w:p w14:paraId="10183981">
            <w:pPr>
              <w:pStyle w:val="11"/>
            </w:pPr>
            <w:r>
              <w:t>12月底</w:t>
            </w:r>
          </w:p>
        </w:tc>
      </w:tr>
      <w:tr w14:paraId="7E64F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1C64D"/>
        </w:tc>
        <w:tc>
          <w:tcPr>
            <w:tcW w:w="5103" w:type="dxa"/>
            <w:gridSpan w:val="2"/>
            <w:vAlign w:val="center"/>
          </w:tcPr>
          <w:p w14:paraId="34A1EBBE">
            <w:pPr>
              <w:pStyle w:val="12"/>
            </w:pPr>
            <w:r>
              <w:t>25%</w:t>
            </w:r>
          </w:p>
        </w:tc>
        <w:tc>
          <w:tcPr>
            <w:tcW w:w="2835" w:type="dxa"/>
            <w:vAlign w:val="center"/>
          </w:tcPr>
          <w:p w14:paraId="214A6174">
            <w:pPr>
              <w:pStyle w:val="12"/>
            </w:pPr>
            <w:r>
              <w:t>50%</w:t>
            </w:r>
          </w:p>
        </w:tc>
        <w:tc>
          <w:tcPr>
            <w:tcW w:w="2551" w:type="dxa"/>
            <w:vAlign w:val="center"/>
          </w:tcPr>
          <w:p w14:paraId="0E20629F">
            <w:pPr>
              <w:pStyle w:val="12"/>
            </w:pPr>
            <w:r>
              <w:t>75%</w:t>
            </w:r>
          </w:p>
        </w:tc>
        <w:tc>
          <w:tcPr>
            <w:tcW w:w="3544" w:type="dxa"/>
            <w:gridSpan w:val="2"/>
            <w:vAlign w:val="center"/>
          </w:tcPr>
          <w:p w14:paraId="7105B34E">
            <w:pPr>
              <w:pStyle w:val="12"/>
            </w:pPr>
            <w:r>
              <w:t>100%</w:t>
            </w:r>
          </w:p>
        </w:tc>
      </w:tr>
      <w:tr w14:paraId="0D16A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B4CBE">
            <w:pPr>
              <w:pStyle w:val="11"/>
            </w:pPr>
            <w:r>
              <w:t>绩效目标</w:t>
            </w:r>
          </w:p>
        </w:tc>
        <w:tc>
          <w:tcPr>
            <w:tcW w:w="14033" w:type="dxa"/>
            <w:gridSpan w:val="6"/>
            <w:vAlign w:val="center"/>
          </w:tcPr>
          <w:p w14:paraId="0FA2B9E5">
            <w:pPr>
              <w:pStyle w:val="13"/>
            </w:pPr>
            <w:r>
              <w:t>1.按规定拨付专项资金，资金支付率达到100%。</w:t>
            </w:r>
            <w:r>
              <w:tab/>
            </w:r>
            <w:r>
              <w:tab/>
            </w:r>
            <w:r>
              <w:tab/>
            </w:r>
            <w:r>
              <w:tab/>
            </w:r>
            <w:r>
              <w:tab/>
            </w:r>
          </w:p>
          <w:p w14:paraId="0401C7C9">
            <w:pPr>
              <w:pStyle w:val="13"/>
            </w:pPr>
            <w:r>
              <w:t>2.为提升教学环境，改善学生学习环境，提高教学质量，根除教学隐患.</w:t>
            </w:r>
          </w:p>
        </w:tc>
      </w:tr>
    </w:tbl>
    <w:p w14:paraId="4781B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2E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ECC46">
            <w:pPr>
              <w:pStyle w:val="11"/>
            </w:pPr>
            <w:r>
              <w:t>一级指标</w:t>
            </w:r>
          </w:p>
        </w:tc>
        <w:tc>
          <w:tcPr>
            <w:tcW w:w="2268" w:type="dxa"/>
            <w:vAlign w:val="center"/>
          </w:tcPr>
          <w:p w14:paraId="195ADB61">
            <w:pPr>
              <w:pStyle w:val="11"/>
            </w:pPr>
            <w:r>
              <w:t>二级指标</w:t>
            </w:r>
          </w:p>
        </w:tc>
        <w:tc>
          <w:tcPr>
            <w:tcW w:w="2835" w:type="dxa"/>
            <w:vAlign w:val="center"/>
          </w:tcPr>
          <w:p w14:paraId="4063B48F">
            <w:pPr>
              <w:pStyle w:val="11"/>
            </w:pPr>
            <w:r>
              <w:t>三级指标</w:t>
            </w:r>
          </w:p>
        </w:tc>
        <w:tc>
          <w:tcPr>
            <w:tcW w:w="5386" w:type="dxa"/>
            <w:vAlign w:val="center"/>
          </w:tcPr>
          <w:p w14:paraId="1C35A729">
            <w:pPr>
              <w:pStyle w:val="11"/>
            </w:pPr>
            <w:r>
              <w:t>绩效指标描述</w:t>
            </w:r>
          </w:p>
        </w:tc>
        <w:tc>
          <w:tcPr>
            <w:tcW w:w="2268" w:type="dxa"/>
            <w:vAlign w:val="center"/>
          </w:tcPr>
          <w:p w14:paraId="0814A346">
            <w:pPr>
              <w:pStyle w:val="11"/>
            </w:pPr>
            <w:r>
              <w:t>指标值</w:t>
            </w:r>
          </w:p>
        </w:tc>
        <w:tc>
          <w:tcPr>
            <w:tcW w:w="1276" w:type="dxa"/>
            <w:vAlign w:val="center"/>
          </w:tcPr>
          <w:p w14:paraId="43DC7ED3">
            <w:pPr>
              <w:pStyle w:val="11"/>
            </w:pPr>
            <w:r>
              <w:t>指标值确定依据</w:t>
            </w:r>
          </w:p>
        </w:tc>
      </w:tr>
      <w:tr w14:paraId="28117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6D936">
            <w:pPr>
              <w:pStyle w:val="12"/>
            </w:pPr>
            <w:r>
              <w:t>产出指标</w:t>
            </w:r>
          </w:p>
        </w:tc>
        <w:tc>
          <w:tcPr>
            <w:tcW w:w="2268" w:type="dxa"/>
            <w:vAlign w:val="center"/>
          </w:tcPr>
          <w:p w14:paraId="6EB8D830">
            <w:pPr>
              <w:pStyle w:val="13"/>
            </w:pPr>
            <w:r>
              <w:t>数量指标</w:t>
            </w:r>
          </w:p>
        </w:tc>
        <w:tc>
          <w:tcPr>
            <w:tcW w:w="2835" w:type="dxa"/>
            <w:vAlign w:val="center"/>
          </w:tcPr>
          <w:p w14:paraId="5AD8BEBD">
            <w:pPr>
              <w:pStyle w:val="13"/>
            </w:pPr>
            <w:r>
              <w:t>白家寨小学房顶防水及教室地面维修</w:t>
            </w:r>
          </w:p>
        </w:tc>
        <w:tc>
          <w:tcPr>
            <w:tcW w:w="5386" w:type="dxa"/>
            <w:vAlign w:val="center"/>
          </w:tcPr>
          <w:p w14:paraId="1AD43DA9">
            <w:pPr>
              <w:pStyle w:val="13"/>
            </w:pPr>
            <w:r>
              <w:t>小学房顶防水及教室地面维修</w:t>
            </w:r>
          </w:p>
        </w:tc>
        <w:tc>
          <w:tcPr>
            <w:tcW w:w="2268" w:type="dxa"/>
            <w:vAlign w:val="center"/>
          </w:tcPr>
          <w:p w14:paraId="65DE5874">
            <w:pPr>
              <w:pStyle w:val="13"/>
            </w:pPr>
            <w:r>
              <w:t>1项</w:t>
            </w:r>
          </w:p>
        </w:tc>
        <w:tc>
          <w:tcPr>
            <w:tcW w:w="1276" w:type="dxa"/>
            <w:vAlign w:val="center"/>
          </w:tcPr>
          <w:p w14:paraId="10875EB3">
            <w:pPr>
              <w:pStyle w:val="13"/>
            </w:pPr>
            <w:r>
              <w:t>项目规划</w:t>
            </w:r>
          </w:p>
          <w:p w14:paraId="57FCEAC9">
            <w:pPr>
              <w:pStyle w:val="13"/>
            </w:pPr>
          </w:p>
        </w:tc>
      </w:tr>
      <w:tr w14:paraId="3E509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2C0E3"/>
        </w:tc>
        <w:tc>
          <w:tcPr>
            <w:tcW w:w="2268" w:type="dxa"/>
            <w:vAlign w:val="center"/>
          </w:tcPr>
          <w:p w14:paraId="1CD37325">
            <w:pPr>
              <w:pStyle w:val="13"/>
            </w:pPr>
            <w:r>
              <w:t>质量指标</w:t>
            </w:r>
          </w:p>
        </w:tc>
        <w:tc>
          <w:tcPr>
            <w:tcW w:w="2835" w:type="dxa"/>
            <w:vAlign w:val="center"/>
          </w:tcPr>
          <w:p w14:paraId="324FD361">
            <w:pPr>
              <w:pStyle w:val="13"/>
            </w:pPr>
            <w:r>
              <w:t>资金支付率</w:t>
            </w:r>
          </w:p>
        </w:tc>
        <w:tc>
          <w:tcPr>
            <w:tcW w:w="5386" w:type="dxa"/>
            <w:vAlign w:val="center"/>
          </w:tcPr>
          <w:p w14:paraId="577E1728">
            <w:pPr>
              <w:pStyle w:val="13"/>
            </w:pPr>
            <w:r>
              <w:t>按照序时进度完成资金支付</w:t>
            </w:r>
          </w:p>
        </w:tc>
        <w:tc>
          <w:tcPr>
            <w:tcW w:w="2268" w:type="dxa"/>
            <w:vAlign w:val="center"/>
          </w:tcPr>
          <w:p w14:paraId="67D731A2">
            <w:pPr>
              <w:pStyle w:val="13"/>
            </w:pPr>
            <w:r>
              <w:t>≥100%</w:t>
            </w:r>
          </w:p>
        </w:tc>
        <w:tc>
          <w:tcPr>
            <w:tcW w:w="1276" w:type="dxa"/>
            <w:vAlign w:val="center"/>
          </w:tcPr>
          <w:p w14:paraId="05B57EB1">
            <w:pPr>
              <w:pStyle w:val="13"/>
            </w:pPr>
            <w:r>
              <w:t>项目规划</w:t>
            </w:r>
          </w:p>
          <w:p w14:paraId="6BAF3C7C">
            <w:pPr>
              <w:pStyle w:val="13"/>
            </w:pPr>
          </w:p>
        </w:tc>
      </w:tr>
      <w:tr w14:paraId="15B0A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C1C7D"/>
        </w:tc>
        <w:tc>
          <w:tcPr>
            <w:tcW w:w="2268" w:type="dxa"/>
            <w:vAlign w:val="center"/>
          </w:tcPr>
          <w:p w14:paraId="6A21EA0A">
            <w:pPr>
              <w:pStyle w:val="13"/>
            </w:pPr>
            <w:r>
              <w:t>时效指标</w:t>
            </w:r>
          </w:p>
        </w:tc>
        <w:tc>
          <w:tcPr>
            <w:tcW w:w="2835" w:type="dxa"/>
            <w:vAlign w:val="center"/>
          </w:tcPr>
          <w:p w14:paraId="459CCD57">
            <w:pPr>
              <w:pStyle w:val="13"/>
            </w:pPr>
            <w:r>
              <w:t>项目竣工验收合格率</w:t>
            </w:r>
          </w:p>
        </w:tc>
        <w:tc>
          <w:tcPr>
            <w:tcW w:w="5386" w:type="dxa"/>
            <w:vAlign w:val="center"/>
          </w:tcPr>
          <w:p w14:paraId="3F6AFFC5">
            <w:pPr>
              <w:pStyle w:val="13"/>
            </w:pPr>
            <w:r>
              <w:t>项目改造质量达标率</w:t>
            </w:r>
          </w:p>
        </w:tc>
        <w:tc>
          <w:tcPr>
            <w:tcW w:w="2268" w:type="dxa"/>
            <w:vAlign w:val="center"/>
          </w:tcPr>
          <w:p w14:paraId="04BC5598">
            <w:pPr>
              <w:pStyle w:val="13"/>
            </w:pPr>
            <w:r>
              <w:t>≥100%</w:t>
            </w:r>
          </w:p>
        </w:tc>
        <w:tc>
          <w:tcPr>
            <w:tcW w:w="1276" w:type="dxa"/>
            <w:vAlign w:val="center"/>
          </w:tcPr>
          <w:p w14:paraId="080D824E">
            <w:pPr>
              <w:pStyle w:val="13"/>
            </w:pPr>
            <w:r>
              <w:t>项目规划</w:t>
            </w:r>
          </w:p>
          <w:p w14:paraId="228DAD46">
            <w:pPr>
              <w:pStyle w:val="13"/>
            </w:pPr>
          </w:p>
        </w:tc>
      </w:tr>
      <w:tr w14:paraId="300B1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C4A9"/>
        </w:tc>
        <w:tc>
          <w:tcPr>
            <w:tcW w:w="2268" w:type="dxa"/>
            <w:vAlign w:val="center"/>
          </w:tcPr>
          <w:p w14:paraId="4B37F30C">
            <w:pPr>
              <w:pStyle w:val="13"/>
            </w:pPr>
            <w:r>
              <w:t>成本指标</w:t>
            </w:r>
          </w:p>
        </w:tc>
        <w:tc>
          <w:tcPr>
            <w:tcW w:w="2835" w:type="dxa"/>
            <w:vAlign w:val="center"/>
          </w:tcPr>
          <w:p w14:paraId="2B9474F9">
            <w:pPr>
              <w:pStyle w:val="13"/>
            </w:pPr>
            <w:r>
              <w:t>项目实际成本</w:t>
            </w:r>
          </w:p>
        </w:tc>
        <w:tc>
          <w:tcPr>
            <w:tcW w:w="5386" w:type="dxa"/>
            <w:vAlign w:val="center"/>
          </w:tcPr>
          <w:p w14:paraId="32B19F15">
            <w:pPr>
              <w:pStyle w:val="13"/>
            </w:pPr>
            <w:r>
              <w:t>附属用房维修，院落维修硬化等450000元</w:t>
            </w:r>
          </w:p>
        </w:tc>
        <w:tc>
          <w:tcPr>
            <w:tcW w:w="2268" w:type="dxa"/>
            <w:vAlign w:val="center"/>
          </w:tcPr>
          <w:p w14:paraId="2B0A9CED">
            <w:pPr>
              <w:pStyle w:val="13"/>
            </w:pPr>
            <w:r>
              <w:t>147000元</w:t>
            </w:r>
          </w:p>
        </w:tc>
        <w:tc>
          <w:tcPr>
            <w:tcW w:w="1276" w:type="dxa"/>
            <w:vAlign w:val="center"/>
          </w:tcPr>
          <w:p w14:paraId="1FA44441">
            <w:pPr>
              <w:pStyle w:val="13"/>
            </w:pPr>
            <w:r>
              <w:t>项目规划</w:t>
            </w:r>
          </w:p>
          <w:p w14:paraId="237281AF">
            <w:pPr>
              <w:pStyle w:val="13"/>
            </w:pPr>
          </w:p>
        </w:tc>
      </w:tr>
      <w:tr w14:paraId="3A444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5EF51">
            <w:pPr>
              <w:pStyle w:val="12"/>
            </w:pPr>
            <w:r>
              <w:t>效益指标</w:t>
            </w:r>
          </w:p>
        </w:tc>
        <w:tc>
          <w:tcPr>
            <w:tcW w:w="2268" w:type="dxa"/>
            <w:vAlign w:val="center"/>
          </w:tcPr>
          <w:p w14:paraId="7DB2A5C2">
            <w:pPr>
              <w:pStyle w:val="13"/>
            </w:pPr>
            <w:r>
              <w:t>可持续影响指标</w:t>
            </w:r>
          </w:p>
        </w:tc>
        <w:tc>
          <w:tcPr>
            <w:tcW w:w="2835" w:type="dxa"/>
            <w:vAlign w:val="center"/>
          </w:tcPr>
          <w:p w14:paraId="57B8139E">
            <w:pPr>
              <w:pStyle w:val="13"/>
            </w:pPr>
            <w:r>
              <w:t>教育发展水平</w:t>
            </w:r>
          </w:p>
        </w:tc>
        <w:tc>
          <w:tcPr>
            <w:tcW w:w="5386" w:type="dxa"/>
            <w:vAlign w:val="center"/>
          </w:tcPr>
          <w:p w14:paraId="16373FAD">
            <w:pPr>
              <w:pStyle w:val="13"/>
            </w:pPr>
            <w:r>
              <w:t>辖区内教育环境明显好转</w:t>
            </w:r>
          </w:p>
        </w:tc>
        <w:tc>
          <w:tcPr>
            <w:tcW w:w="2268" w:type="dxa"/>
            <w:vAlign w:val="center"/>
          </w:tcPr>
          <w:p w14:paraId="5ACF7F3E">
            <w:pPr>
              <w:pStyle w:val="13"/>
            </w:pPr>
            <w:r>
              <w:t>≥98%</w:t>
            </w:r>
          </w:p>
        </w:tc>
        <w:tc>
          <w:tcPr>
            <w:tcW w:w="1276" w:type="dxa"/>
            <w:vAlign w:val="center"/>
          </w:tcPr>
          <w:p w14:paraId="3E492026">
            <w:pPr>
              <w:pStyle w:val="13"/>
            </w:pPr>
            <w:r>
              <w:t>项目规划</w:t>
            </w:r>
          </w:p>
        </w:tc>
      </w:tr>
      <w:tr w14:paraId="6C379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33322"/>
        </w:tc>
        <w:tc>
          <w:tcPr>
            <w:tcW w:w="2268" w:type="dxa"/>
            <w:vAlign w:val="center"/>
          </w:tcPr>
          <w:p w14:paraId="774E9E0E">
            <w:pPr>
              <w:pStyle w:val="13"/>
            </w:pPr>
            <w:r>
              <w:t>社会效益指标</w:t>
            </w:r>
          </w:p>
        </w:tc>
        <w:tc>
          <w:tcPr>
            <w:tcW w:w="2835" w:type="dxa"/>
            <w:vAlign w:val="center"/>
          </w:tcPr>
          <w:p w14:paraId="10759679">
            <w:pPr>
              <w:pStyle w:val="13"/>
            </w:pPr>
            <w:r>
              <w:t>校园环境</w:t>
            </w:r>
          </w:p>
        </w:tc>
        <w:tc>
          <w:tcPr>
            <w:tcW w:w="5386" w:type="dxa"/>
            <w:vAlign w:val="center"/>
          </w:tcPr>
          <w:p w14:paraId="39BD77F2">
            <w:pPr>
              <w:pStyle w:val="13"/>
            </w:pPr>
            <w:r>
              <w:t>办学条件和环境得到改善</w:t>
            </w:r>
          </w:p>
        </w:tc>
        <w:tc>
          <w:tcPr>
            <w:tcW w:w="2268" w:type="dxa"/>
            <w:vAlign w:val="center"/>
          </w:tcPr>
          <w:p w14:paraId="75083068">
            <w:pPr>
              <w:pStyle w:val="13"/>
            </w:pPr>
            <w:r>
              <w:t>≥95%</w:t>
            </w:r>
          </w:p>
        </w:tc>
        <w:tc>
          <w:tcPr>
            <w:tcW w:w="1276" w:type="dxa"/>
            <w:vAlign w:val="center"/>
          </w:tcPr>
          <w:p w14:paraId="7B378F56">
            <w:pPr>
              <w:pStyle w:val="13"/>
            </w:pPr>
            <w:r>
              <w:t>项目规划</w:t>
            </w:r>
          </w:p>
        </w:tc>
      </w:tr>
      <w:tr w14:paraId="7235E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6B7E27">
            <w:pPr>
              <w:pStyle w:val="12"/>
            </w:pPr>
            <w:r>
              <w:t>满意度指标</w:t>
            </w:r>
          </w:p>
        </w:tc>
        <w:tc>
          <w:tcPr>
            <w:tcW w:w="2268" w:type="dxa"/>
            <w:vAlign w:val="center"/>
          </w:tcPr>
          <w:p w14:paraId="4C1B0301">
            <w:pPr>
              <w:pStyle w:val="13"/>
            </w:pPr>
            <w:r>
              <w:t>服务对象满意度指标</w:t>
            </w:r>
          </w:p>
        </w:tc>
        <w:tc>
          <w:tcPr>
            <w:tcW w:w="2835" w:type="dxa"/>
            <w:vAlign w:val="center"/>
          </w:tcPr>
          <w:p w14:paraId="59D00EE0">
            <w:pPr>
              <w:pStyle w:val="13"/>
            </w:pPr>
            <w:r>
              <w:t>受益学生家长及调查满意度</w:t>
            </w:r>
          </w:p>
        </w:tc>
        <w:tc>
          <w:tcPr>
            <w:tcW w:w="5386" w:type="dxa"/>
            <w:vAlign w:val="center"/>
          </w:tcPr>
          <w:p w14:paraId="5F7B4B8A">
            <w:pPr>
              <w:pStyle w:val="13"/>
            </w:pPr>
            <w:r>
              <w:t>学生、教师及家长对学校工作满意度情况</w:t>
            </w:r>
          </w:p>
        </w:tc>
        <w:tc>
          <w:tcPr>
            <w:tcW w:w="2268" w:type="dxa"/>
            <w:vAlign w:val="center"/>
          </w:tcPr>
          <w:p w14:paraId="6B0D21ED">
            <w:pPr>
              <w:pStyle w:val="13"/>
            </w:pPr>
            <w:r>
              <w:t>≥95%</w:t>
            </w:r>
          </w:p>
        </w:tc>
        <w:tc>
          <w:tcPr>
            <w:tcW w:w="1276" w:type="dxa"/>
            <w:vAlign w:val="center"/>
          </w:tcPr>
          <w:p w14:paraId="2907CD23">
            <w:pPr>
              <w:pStyle w:val="13"/>
            </w:pPr>
            <w:r>
              <w:t>项目规划</w:t>
            </w:r>
          </w:p>
        </w:tc>
      </w:tr>
    </w:tbl>
    <w:p w14:paraId="345AE7AD">
      <w:pPr>
        <w:sectPr>
          <w:pgSz w:w="16840" w:h="11900" w:orient="landscape"/>
          <w:pgMar w:top="1361" w:right="1020" w:bottom="1134" w:left="1020" w:header="720" w:footer="720" w:gutter="0"/>
          <w:cols w:space="720" w:num="1"/>
        </w:sectPr>
      </w:pPr>
    </w:p>
    <w:p w14:paraId="0D92184A">
      <w:pPr>
        <w:spacing w:before="0" w:after="0"/>
        <w:ind w:firstLine="560"/>
        <w:jc w:val="left"/>
        <w:outlineLvl w:val="9"/>
      </w:pPr>
      <w:r>
        <w:rPr>
          <w:rFonts w:ascii="方正仿宋_GBK" w:hAnsi="方正仿宋_GBK" w:eastAsia="方正仿宋_GBK" w:cs="方正仿宋_GBK"/>
          <w:b/>
          <w:color w:val="000000"/>
          <w:sz w:val="28"/>
        </w:rPr>
        <w:t>13、冀财教[2024]123号/中央/2025年义教补助经费/综合奖补/莲子镇校区莲子镇小学公用经费绩效目标表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DF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089C5">
            <w:pPr>
              <w:pStyle w:val="14"/>
            </w:pPr>
            <w:r>
              <w:t>单位：万元</w:t>
            </w:r>
          </w:p>
        </w:tc>
      </w:tr>
      <w:tr w14:paraId="24E80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7BA8EA23">
            <w:pPr>
              <w:pStyle w:val="11"/>
            </w:pPr>
            <w:r>
              <w:t>项目编码</w:t>
            </w:r>
          </w:p>
        </w:tc>
        <w:tc>
          <w:tcPr>
            <w:tcW w:w="5103" w:type="dxa"/>
            <w:gridSpan w:val="2"/>
            <w:vAlign w:val="center"/>
          </w:tcPr>
          <w:p w14:paraId="6B5AC243">
            <w:pPr>
              <w:pStyle w:val="13"/>
            </w:pPr>
            <w:r>
              <w:t>13052525P008756102875</w:t>
            </w:r>
          </w:p>
        </w:tc>
        <w:tc>
          <w:tcPr>
            <w:tcW w:w="2835" w:type="dxa"/>
            <w:vAlign w:val="center"/>
          </w:tcPr>
          <w:p w14:paraId="7100BF78">
            <w:pPr>
              <w:pStyle w:val="11"/>
            </w:pPr>
            <w:r>
              <w:t>项目名称</w:t>
            </w:r>
          </w:p>
        </w:tc>
        <w:tc>
          <w:tcPr>
            <w:tcW w:w="6095" w:type="dxa"/>
            <w:gridSpan w:val="3"/>
            <w:vAlign w:val="center"/>
          </w:tcPr>
          <w:p w14:paraId="4C21C716">
            <w:pPr>
              <w:pStyle w:val="13"/>
            </w:pPr>
            <w:r>
              <w:t>冀财教[2024]123号/中央/2025年义教补助经费/综合奖补/莲子镇校区莲子镇小学公用经费</w:t>
            </w:r>
          </w:p>
        </w:tc>
      </w:tr>
      <w:tr w14:paraId="76C95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B5FCE">
            <w:pPr>
              <w:pStyle w:val="11"/>
            </w:pPr>
            <w:r>
              <w:t>预算规模及资金用途</w:t>
            </w:r>
          </w:p>
        </w:tc>
        <w:tc>
          <w:tcPr>
            <w:tcW w:w="2268" w:type="dxa"/>
            <w:vAlign w:val="center"/>
          </w:tcPr>
          <w:p w14:paraId="3AF8DE1B">
            <w:pPr>
              <w:pStyle w:val="11"/>
            </w:pPr>
            <w:r>
              <w:t>预算数</w:t>
            </w:r>
          </w:p>
        </w:tc>
        <w:tc>
          <w:tcPr>
            <w:tcW w:w="2835" w:type="dxa"/>
            <w:vAlign w:val="center"/>
          </w:tcPr>
          <w:p w14:paraId="05C1B441">
            <w:pPr>
              <w:pStyle w:val="13"/>
            </w:pPr>
            <w:r>
              <w:t>2.11</w:t>
            </w:r>
          </w:p>
        </w:tc>
        <w:tc>
          <w:tcPr>
            <w:tcW w:w="2835" w:type="dxa"/>
            <w:vAlign w:val="center"/>
          </w:tcPr>
          <w:p w14:paraId="50B12426">
            <w:pPr>
              <w:pStyle w:val="11"/>
            </w:pPr>
            <w:r>
              <w:t>其中：财政    资金</w:t>
            </w:r>
          </w:p>
        </w:tc>
        <w:tc>
          <w:tcPr>
            <w:tcW w:w="2551" w:type="dxa"/>
            <w:vAlign w:val="center"/>
          </w:tcPr>
          <w:p w14:paraId="1DB1CE8D">
            <w:pPr>
              <w:pStyle w:val="13"/>
            </w:pPr>
            <w:r>
              <w:t>2.11</w:t>
            </w:r>
          </w:p>
        </w:tc>
        <w:tc>
          <w:tcPr>
            <w:tcW w:w="2268" w:type="dxa"/>
            <w:vAlign w:val="center"/>
          </w:tcPr>
          <w:p w14:paraId="7E818BC8">
            <w:pPr>
              <w:pStyle w:val="11"/>
            </w:pPr>
            <w:r>
              <w:t>其他资金</w:t>
            </w:r>
          </w:p>
        </w:tc>
        <w:tc>
          <w:tcPr>
            <w:tcW w:w="1276" w:type="dxa"/>
            <w:vAlign w:val="center"/>
          </w:tcPr>
          <w:p w14:paraId="7B4BE810">
            <w:pPr>
              <w:pStyle w:val="13"/>
            </w:pPr>
            <w:r>
              <w:t xml:space="preserve"> </w:t>
            </w:r>
          </w:p>
        </w:tc>
      </w:tr>
      <w:tr w14:paraId="750B2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8C030D"/>
        </w:tc>
        <w:tc>
          <w:tcPr>
            <w:tcW w:w="14033" w:type="dxa"/>
            <w:gridSpan w:val="6"/>
            <w:vAlign w:val="center"/>
          </w:tcPr>
          <w:p w14:paraId="2E4F7857">
            <w:pPr>
              <w:pStyle w:val="13"/>
            </w:pPr>
            <w:r>
              <w:t>有效完成学校教学安全秩序，保障学校教学任务有效开展，满足学校正常教学需要。</w:t>
            </w:r>
          </w:p>
        </w:tc>
      </w:tr>
      <w:tr w14:paraId="6328C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14A59">
            <w:pPr>
              <w:pStyle w:val="11"/>
            </w:pPr>
            <w:r>
              <w:t>资金支出计划（%）</w:t>
            </w:r>
          </w:p>
        </w:tc>
        <w:tc>
          <w:tcPr>
            <w:tcW w:w="5103" w:type="dxa"/>
            <w:gridSpan w:val="2"/>
            <w:vAlign w:val="center"/>
          </w:tcPr>
          <w:p w14:paraId="0730045F">
            <w:pPr>
              <w:pStyle w:val="11"/>
            </w:pPr>
            <w:r>
              <w:t>3月底</w:t>
            </w:r>
          </w:p>
        </w:tc>
        <w:tc>
          <w:tcPr>
            <w:tcW w:w="2835" w:type="dxa"/>
            <w:vAlign w:val="center"/>
          </w:tcPr>
          <w:p w14:paraId="14072CD6">
            <w:pPr>
              <w:pStyle w:val="11"/>
            </w:pPr>
            <w:r>
              <w:t>6月底</w:t>
            </w:r>
          </w:p>
        </w:tc>
        <w:tc>
          <w:tcPr>
            <w:tcW w:w="2551" w:type="dxa"/>
            <w:vAlign w:val="center"/>
          </w:tcPr>
          <w:p w14:paraId="50A748BA">
            <w:pPr>
              <w:pStyle w:val="11"/>
            </w:pPr>
            <w:r>
              <w:t>10月底</w:t>
            </w:r>
          </w:p>
        </w:tc>
        <w:tc>
          <w:tcPr>
            <w:tcW w:w="3544" w:type="dxa"/>
            <w:gridSpan w:val="2"/>
            <w:vAlign w:val="center"/>
          </w:tcPr>
          <w:p w14:paraId="787052A9">
            <w:pPr>
              <w:pStyle w:val="11"/>
            </w:pPr>
            <w:r>
              <w:t>12月底</w:t>
            </w:r>
          </w:p>
        </w:tc>
      </w:tr>
      <w:tr w14:paraId="28363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4E24A"/>
        </w:tc>
        <w:tc>
          <w:tcPr>
            <w:tcW w:w="5103" w:type="dxa"/>
            <w:gridSpan w:val="2"/>
            <w:vAlign w:val="center"/>
          </w:tcPr>
          <w:p w14:paraId="3C1537A0">
            <w:pPr>
              <w:pStyle w:val="12"/>
            </w:pPr>
            <w:r>
              <w:t>25%</w:t>
            </w:r>
          </w:p>
        </w:tc>
        <w:tc>
          <w:tcPr>
            <w:tcW w:w="2835" w:type="dxa"/>
            <w:vAlign w:val="center"/>
          </w:tcPr>
          <w:p w14:paraId="16542299">
            <w:pPr>
              <w:pStyle w:val="12"/>
            </w:pPr>
            <w:r>
              <w:t>50%</w:t>
            </w:r>
          </w:p>
        </w:tc>
        <w:tc>
          <w:tcPr>
            <w:tcW w:w="2551" w:type="dxa"/>
            <w:vAlign w:val="center"/>
          </w:tcPr>
          <w:p w14:paraId="32321DEC">
            <w:pPr>
              <w:pStyle w:val="12"/>
            </w:pPr>
            <w:r>
              <w:t>75%</w:t>
            </w:r>
          </w:p>
        </w:tc>
        <w:tc>
          <w:tcPr>
            <w:tcW w:w="3544" w:type="dxa"/>
            <w:gridSpan w:val="2"/>
            <w:vAlign w:val="center"/>
          </w:tcPr>
          <w:p w14:paraId="6B2A6F8D">
            <w:pPr>
              <w:pStyle w:val="12"/>
            </w:pPr>
            <w:r>
              <w:t>100%</w:t>
            </w:r>
          </w:p>
        </w:tc>
      </w:tr>
      <w:tr w14:paraId="772D3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30A188">
            <w:pPr>
              <w:pStyle w:val="11"/>
            </w:pPr>
            <w:r>
              <w:t>绩效目标</w:t>
            </w:r>
          </w:p>
        </w:tc>
        <w:tc>
          <w:tcPr>
            <w:tcW w:w="14033" w:type="dxa"/>
            <w:gridSpan w:val="6"/>
            <w:vAlign w:val="center"/>
          </w:tcPr>
          <w:p w14:paraId="04B49E95">
            <w:pPr>
              <w:pStyle w:val="13"/>
            </w:pPr>
            <w:r>
              <w:t>1.按规定拨付公用经费资金，预算执行率100%。</w:t>
            </w:r>
          </w:p>
          <w:p w14:paraId="6E7F9E6A">
            <w:pPr>
              <w:pStyle w:val="13"/>
            </w:pPr>
            <w:r>
              <w:t>2.有效完成学校教学安全秩序，保障学校教学任务有效开展，满足学校正常教学需要。</w:t>
            </w:r>
          </w:p>
        </w:tc>
      </w:tr>
    </w:tbl>
    <w:p w14:paraId="528AA0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E7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5B217">
            <w:pPr>
              <w:pStyle w:val="11"/>
            </w:pPr>
            <w:r>
              <w:t>一级指标</w:t>
            </w:r>
          </w:p>
        </w:tc>
        <w:tc>
          <w:tcPr>
            <w:tcW w:w="2268" w:type="dxa"/>
            <w:vAlign w:val="center"/>
          </w:tcPr>
          <w:p w14:paraId="7ADBC992">
            <w:pPr>
              <w:pStyle w:val="11"/>
            </w:pPr>
            <w:r>
              <w:t>二级指标</w:t>
            </w:r>
          </w:p>
        </w:tc>
        <w:tc>
          <w:tcPr>
            <w:tcW w:w="2835" w:type="dxa"/>
            <w:vAlign w:val="center"/>
          </w:tcPr>
          <w:p w14:paraId="17F9726F">
            <w:pPr>
              <w:pStyle w:val="11"/>
            </w:pPr>
            <w:r>
              <w:t>三级指标</w:t>
            </w:r>
          </w:p>
        </w:tc>
        <w:tc>
          <w:tcPr>
            <w:tcW w:w="5386" w:type="dxa"/>
            <w:vAlign w:val="center"/>
          </w:tcPr>
          <w:p w14:paraId="3A576C64">
            <w:pPr>
              <w:pStyle w:val="11"/>
            </w:pPr>
            <w:r>
              <w:t>绩效指标描述</w:t>
            </w:r>
          </w:p>
        </w:tc>
        <w:tc>
          <w:tcPr>
            <w:tcW w:w="2268" w:type="dxa"/>
            <w:vAlign w:val="center"/>
          </w:tcPr>
          <w:p w14:paraId="3846D548">
            <w:pPr>
              <w:pStyle w:val="11"/>
            </w:pPr>
            <w:r>
              <w:t>指标值</w:t>
            </w:r>
          </w:p>
        </w:tc>
        <w:tc>
          <w:tcPr>
            <w:tcW w:w="1276" w:type="dxa"/>
            <w:vAlign w:val="center"/>
          </w:tcPr>
          <w:p w14:paraId="32B95B08">
            <w:pPr>
              <w:pStyle w:val="11"/>
            </w:pPr>
            <w:r>
              <w:t>指标值确定依据</w:t>
            </w:r>
          </w:p>
        </w:tc>
      </w:tr>
      <w:tr w14:paraId="2537A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BC145">
            <w:pPr>
              <w:pStyle w:val="12"/>
            </w:pPr>
            <w:r>
              <w:t>产出指标</w:t>
            </w:r>
          </w:p>
        </w:tc>
        <w:tc>
          <w:tcPr>
            <w:tcW w:w="2268" w:type="dxa"/>
            <w:vAlign w:val="center"/>
          </w:tcPr>
          <w:p w14:paraId="0076D556">
            <w:pPr>
              <w:pStyle w:val="13"/>
            </w:pPr>
            <w:r>
              <w:t>数量指标</w:t>
            </w:r>
          </w:p>
        </w:tc>
        <w:tc>
          <w:tcPr>
            <w:tcW w:w="2835" w:type="dxa"/>
            <w:vAlign w:val="center"/>
          </w:tcPr>
          <w:p w14:paraId="337616D9">
            <w:pPr>
              <w:pStyle w:val="13"/>
            </w:pPr>
            <w:r>
              <w:t>就读学生数</w:t>
            </w:r>
          </w:p>
        </w:tc>
        <w:tc>
          <w:tcPr>
            <w:tcW w:w="5386" w:type="dxa"/>
            <w:vAlign w:val="center"/>
          </w:tcPr>
          <w:p w14:paraId="1195DE9A">
            <w:pPr>
              <w:pStyle w:val="13"/>
            </w:pPr>
            <w:r>
              <w:t>辐射区域内适龄学生人数</w:t>
            </w:r>
          </w:p>
        </w:tc>
        <w:tc>
          <w:tcPr>
            <w:tcW w:w="2268" w:type="dxa"/>
            <w:vAlign w:val="center"/>
          </w:tcPr>
          <w:p w14:paraId="496D34BD">
            <w:pPr>
              <w:pStyle w:val="13"/>
            </w:pPr>
            <w:r>
              <w:t>702人</w:t>
            </w:r>
          </w:p>
        </w:tc>
        <w:tc>
          <w:tcPr>
            <w:tcW w:w="1276" w:type="dxa"/>
            <w:vAlign w:val="center"/>
          </w:tcPr>
          <w:p w14:paraId="7C15FF9F">
            <w:pPr>
              <w:pStyle w:val="13"/>
            </w:pPr>
            <w:r>
              <w:t>城乡义务教育公用经费管理办法</w:t>
            </w:r>
          </w:p>
        </w:tc>
      </w:tr>
      <w:tr w14:paraId="14387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03233"/>
        </w:tc>
        <w:tc>
          <w:tcPr>
            <w:tcW w:w="2268" w:type="dxa"/>
            <w:vAlign w:val="center"/>
          </w:tcPr>
          <w:p w14:paraId="291E22A6">
            <w:pPr>
              <w:pStyle w:val="13"/>
            </w:pPr>
            <w:r>
              <w:t>质量指标</w:t>
            </w:r>
          </w:p>
        </w:tc>
        <w:tc>
          <w:tcPr>
            <w:tcW w:w="2835" w:type="dxa"/>
            <w:vAlign w:val="center"/>
          </w:tcPr>
          <w:p w14:paraId="4B1495F4">
            <w:pPr>
              <w:pStyle w:val="13"/>
            </w:pPr>
            <w:r>
              <w:t>预算执行率</w:t>
            </w:r>
          </w:p>
        </w:tc>
        <w:tc>
          <w:tcPr>
            <w:tcW w:w="5386" w:type="dxa"/>
            <w:vAlign w:val="center"/>
          </w:tcPr>
          <w:p w14:paraId="2A0E319B">
            <w:pPr>
              <w:pStyle w:val="13"/>
            </w:pPr>
            <w:r>
              <w:t>预算执行率</w:t>
            </w:r>
          </w:p>
        </w:tc>
        <w:tc>
          <w:tcPr>
            <w:tcW w:w="2268" w:type="dxa"/>
            <w:vAlign w:val="center"/>
          </w:tcPr>
          <w:p w14:paraId="380B8403">
            <w:pPr>
              <w:pStyle w:val="13"/>
            </w:pPr>
            <w:r>
              <w:t>≥98%</w:t>
            </w:r>
          </w:p>
        </w:tc>
        <w:tc>
          <w:tcPr>
            <w:tcW w:w="1276" w:type="dxa"/>
            <w:vAlign w:val="center"/>
          </w:tcPr>
          <w:p w14:paraId="6F4821FA">
            <w:pPr>
              <w:pStyle w:val="13"/>
            </w:pPr>
            <w:r>
              <w:t>城乡义务教育公用经费管理办法</w:t>
            </w:r>
          </w:p>
        </w:tc>
      </w:tr>
      <w:tr w14:paraId="62A95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F23E9"/>
        </w:tc>
        <w:tc>
          <w:tcPr>
            <w:tcW w:w="2268" w:type="dxa"/>
            <w:vAlign w:val="center"/>
          </w:tcPr>
          <w:p w14:paraId="23720212">
            <w:pPr>
              <w:pStyle w:val="13"/>
            </w:pPr>
            <w:r>
              <w:t>时效指标</w:t>
            </w:r>
          </w:p>
        </w:tc>
        <w:tc>
          <w:tcPr>
            <w:tcW w:w="2835" w:type="dxa"/>
            <w:vAlign w:val="center"/>
          </w:tcPr>
          <w:p w14:paraId="5548A0C3">
            <w:pPr>
              <w:pStyle w:val="13"/>
            </w:pPr>
            <w:r>
              <w:t>义教经费支付完成率</w:t>
            </w:r>
          </w:p>
        </w:tc>
        <w:tc>
          <w:tcPr>
            <w:tcW w:w="5386" w:type="dxa"/>
            <w:vAlign w:val="center"/>
          </w:tcPr>
          <w:p w14:paraId="40FC7518">
            <w:pPr>
              <w:pStyle w:val="13"/>
            </w:pPr>
            <w:r>
              <w:t>按照序时进度完成资金支付</w:t>
            </w:r>
          </w:p>
        </w:tc>
        <w:tc>
          <w:tcPr>
            <w:tcW w:w="2268" w:type="dxa"/>
            <w:vAlign w:val="center"/>
          </w:tcPr>
          <w:p w14:paraId="1B7BC4B3">
            <w:pPr>
              <w:pStyle w:val="13"/>
            </w:pPr>
            <w:r>
              <w:t>≥100%</w:t>
            </w:r>
          </w:p>
        </w:tc>
        <w:tc>
          <w:tcPr>
            <w:tcW w:w="1276" w:type="dxa"/>
            <w:vAlign w:val="center"/>
          </w:tcPr>
          <w:p w14:paraId="29EDD079">
            <w:pPr>
              <w:pStyle w:val="13"/>
            </w:pPr>
            <w:r>
              <w:t>城乡义务教育公用经费管理办法</w:t>
            </w:r>
          </w:p>
        </w:tc>
      </w:tr>
      <w:tr w14:paraId="46FA8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64C75"/>
        </w:tc>
        <w:tc>
          <w:tcPr>
            <w:tcW w:w="2268" w:type="dxa"/>
            <w:vAlign w:val="center"/>
          </w:tcPr>
          <w:p w14:paraId="4FAB7234">
            <w:pPr>
              <w:pStyle w:val="13"/>
            </w:pPr>
            <w:r>
              <w:t>成本指标</w:t>
            </w:r>
          </w:p>
        </w:tc>
        <w:tc>
          <w:tcPr>
            <w:tcW w:w="2835" w:type="dxa"/>
            <w:vAlign w:val="center"/>
          </w:tcPr>
          <w:p w14:paraId="65D2B6AE">
            <w:pPr>
              <w:pStyle w:val="13"/>
            </w:pPr>
            <w:r>
              <w:t>生均拨款标准</w:t>
            </w:r>
          </w:p>
        </w:tc>
        <w:tc>
          <w:tcPr>
            <w:tcW w:w="5386" w:type="dxa"/>
            <w:vAlign w:val="center"/>
          </w:tcPr>
          <w:p w14:paraId="76606F9B">
            <w:pPr>
              <w:pStyle w:val="13"/>
            </w:pPr>
            <w:r>
              <w:t>小学：（基本标准720元、寄宿生300元、生活补助120元）/生/学年；特教、随班就读学生：标准7000元/生/学年</w:t>
            </w:r>
          </w:p>
        </w:tc>
        <w:tc>
          <w:tcPr>
            <w:tcW w:w="2268" w:type="dxa"/>
            <w:vAlign w:val="center"/>
          </w:tcPr>
          <w:p w14:paraId="20309674">
            <w:pPr>
              <w:pStyle w:val="13"/>
            </w:pPr>
            <w:r>
              <w:t>≥840元</w:t>
            </w:r>
          </w:p>
        </w:tc>
        <w:tc>
          <w:tcPr>
            <w:tcW w:w="1276" w:type="dxa"/>
            <w:vAlign w:val="center"/>
          </w:tcPr>
          <w:p w14:paraId="10116C74">
            <w:pPr>
              <w:pStyle w:val="13"/>
            </w:pPr>
            <w:r>
              <w:t>城乡义务教育公用经费管理办法</w:t>
            </w:r>
          </w:p>
        </w:tc>
      </w:tr>
      <w:tr w14:paraId="50111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E993AB">
            <w:pPr>
              <w:pStyle w:val="12"/>
            </w:pPr>
            <w:r>
              <w:t>效益指标</w:t>
            </w:r>
          </w:p>
        </w:tc>
        <w:tc>
          <w:tcPr>
            <w:tcW w:w="2268" w:type="dxa"/>
            <w:vAlign w:val="center"/>
          </w:tcPr>
          <w:p w14:paraId="12DA6EDD">
            <w:pPr>
              <w:pStyle w:val="13"/>
            </w:pPr>
            <w:r>
              <w:t>可持续影响指标</w:t>
            </w:r>
          </w:p>
        </w:tc>
        <w:tc>
          <w:tcPr>
            <w:tcW w:w="2835" w:type="dxa"/>
            <w:vAlign w:val="center"/>
          </w:tcPr>
          <w:p w14:paraId="1476B7B9">
            <w:pPr>
              <w:pStyle w:val="13"/>
            </w:pPr>
            <w:r>
              <w:t>学校稳定率</w:t>
            </w:r>
          </w:p>
        </w:tc>
        <w:tc>
          <w:tcPr>
            <w:tcW w:w="5386" w:type="dxa"/>
            <w:vAlign w:val="center"/>
          </w:tcPr>
          <w:p w14:paraId="5CEE5278">
            <w:pPr>
              <w:pStyle w:val="13"/>
            </w:pPr>
            <w:r>
              <w:t>维护学校稳定，保障学校正常教学秩序有效开展</w:t>
            </w:r>
          </w:p>
        </w:tc>
        <w:tc>
          <w:tcPr>
            <w:tcW w:w="2268" w:type="dxa"/>
            <w:vAlign w:val="center"/>
          </w:tcPr>
          <w:p w14:paraId="2598E0DB">
            <w:pPr>
              <w:pStyle w:val="13"/>
            </w:pPr>
            <w:r>
              <w:t>100%</w:t>
            </w:r>
          </w:p>
        </w:tc>
        <w:tc>
          <w:tcPr>
            <w:tcW w:w="1276" w:type="dxa"/>
            <w:vAlign w:val="center"/>
          </w:tcPr>
          <w:p w14:paraId="2F48D7B0">
            <w:pPr>
              <w:pStyle w:val="13"/>
            </w:pPr>
            <w:r>
              <w:t>城乡义务教育公用经费管理办法</w:t>
            </w:r>
          </w:p>
        </w:tc>
      </w:tr>
      <w:tr w14:paraId="70782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019F4">
            <w:pPr>
              <w:pStyle w:val="12"/>
            </w:pPr>
            <w:r>
              <w:t>满意度指标</w:t>
            </w:r>
          </w:p>
        </w:tc>
        <w:tc>
          <w:tcPr>
            <w:tcW w:w="2268" w:type="dxa"/>
            <w:vAlign w:val="center"/>
          </w:tcPr>
          <w:p w14:paraId="7782577E">
            <w:pPr>
              <w:pStyle w:val="13"/>
            </w:pPr>
            <w:r>
              <w:t>服务对象满意度指标</w:t>
            </w:r>
          </w:p>
        </w:tc>
        <w:tc>
          <w:tcPr>
            <w:tcW w:w="2835" w:type="dxa"/>
            <w:vAlign w:val="center"/>
          </w:tcPr>
          <w:p w14:paraId="09E768D8">
            <w:pPr>
              <w:pStyle w:val="13"/>
            </w:pPr>
            <w:r>
              <w:t>家长和学生满意度</w:t>
            </w:r>
          </w:p>
        </w:tc>
        <w:tc>
          <w:tcPr>
            <w:tcW w:w="5386" w:type="dxa"/>
            <w:vAlign w:val="center"/>
          </w:tcPr>
          <w:p w14:paraId="35040EBB">
            <w:pPr>
              <w:pStyle w:val="13"/>
            </w:pPr>
            <w:r>
              <w:t>家长和学生满意度</w:t>
            </w:r>
          </w:p>
        </w:tc>
        <w:tc>
          <w:tcPr>
            <w:tcW w:w="2268" w:type="dxa"/>
            <w:vAlign w:val="center"/>
          </w:tcPr>
          <w:p w14:paraId="54C933A0">
            <w:pPr>
              <w:pStyle w:val="13"/>
            </w:pPr>
            <w:r>
              <w:t>≥95%</w:t>
            </w:r>
          </w:p>
        </w:tc>
        <w:tc>
          <w:tcPr>
            <w:tcW w:w="1276" w:type="dxa"/>
            <w:vAlign w:val="center"/>
          </w:tcPr>
          <w:p w14:paraId="21C550AD">
            <w:pPr>
              <w:pStyle w:val="13"/>
            </w:pPr>
            <w:r>
              <w:t>问卷调查</w:t>
            </w:r>
          </w:p>
        </w:tc>
      </w:tr>
    </w:tbl>
    <w:p w14:paraId="6E761E02">
      <w:pPr>
        <w:sectPr>
          <w:pgSz w:w="16840" w:h="11900" w:orient="landscape"/>
          <w:pgMar w:top="1361" w:right="1020" w:bottom="1134" w:left="1020" w:header="720" w:footer="720" w:gutter="0"/>
          <w:cols w:space="720" w:num="1"/>
        </w:sectPr>
      </w:pPr>
    </w:p>
    <w:p w14:paraId="4EA76E7F">
      <w:pPr>
        <w:spacing w:before="0" w:after="0"/>
        <w:ind w:firstLine="560"/>
        <w:jc w:val="left"/>
        <w:outlineLvl w:val="9"/>
      </w:pPr>
      <w:r>
        <w:rPr>
          <w:rFonts w:ascii="方正仿宋_GBK" w:hAnsi="方正仿宋_GBK" w:eastAsia="方正仿宋_GBK" w:cs="方正仿宋_GBK"/>
          <w:b/>
          <w:color w:val="000000"/>
          <w:sz w:val="28"/>
        </w:rPr>
        <w:t>14、冀财教[2024]141号/省级/2025年义教补助经费/白家寨小学公用经费绩效目标表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5B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AB4ED">
            <w:pPr>
              <w:pStyle w:val="14"/>
            </w:pPr>
            <w:r>
              <w:t>单位：万元</w:t>
            </w:r>
          </w:p>
        </w:tc>
      </w:tr>
      <w:tr w14:paraId="49C9C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DEF37D">
            <w:pPr>
              <w:pStyle w:val="11"/>
            </w:pPr>
            <w:r>
              <w:t>项目编码</w:t>
            </w:r>
          </w:p>
        </w:tc>
        <w:tc>
          <w:tcPr>
            <w:tcW w:w="5103" w:type="dxa"/>
            <w:gridSpan w:val="2"/>
            <w:vAlign w:val="center"/>
          </w:tcPr>
          <w:p w14:paraId="3ECA4382">
            <w:pPr>
              <w:pStyle w:val="13"/>
            </w:pPr>
            <w:r>
              <w:t>13052525P00000410187H</w:t>
            </w:r>
          </w:p>
        </w:tc>
        <w:tc>
          <w:tcPr>
            <w:tcW w:w="2835" w:type="dxa"/>
            <w:vAlign w:val="center"/>
          </w:tcPr>
          <w:p w14:paraId="63E0AA3D">
            <w:pPr>
              <w:pStyle w:val="11"/>
            </w:pPr>
            <w:r>
              <w:t>项目名称</w:t>
            </w:r>
          </w:p>
        </w:tc>
        <w:tc>
          <w:tcPr>
            <w:tcW w:w="6095" w:type="dxa"/>
            <w:gridSpan w:val="3"/>
            <w:vAlign w:val="center"/>
          </w:tcPr>
          <w:p w14:paraId="29D0BBCA">
            <w:pPr>
              <w:pStyle w:val="13"/>
            </w:pPr>
            <w:r>
              <w:t>冀财教[2024]141号/省级/2025年义教补助经费/白家寨小学公用经费</w:t>
            </w:r>
          </w:p>
        </w:tc>
      </w:tr>
      <w:tr w14:paraId="361F0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55674">
            <w:pPr>
              <w:pStyle w:val="11"/>
            </w:pPr>
            <w:r>
              <w:t>预算规模及资金用途</w:t>
            </w:r>
          </w:p>
        </w:tc>
        <w:tc>
          <w:tcPr>
            <w:tcW w:w="2268" w:type="dxa"/>
            <w:vAlign w:val="center"/>
          </w:tcPr>
          <w:p w14:paraId="0DC3A8AE">
            <w:pPr>
              <w:pStyle w:val="11"/>
            </w:pPr>
            <w:r>
              <w:t>预算数</w:t>
            </w:r>
          </w:p>
        </w:tc>
        <w:tc>
          <w:tcPr>
            <w:tcW w:w="2835" w:type="dxa"/>
            <w:vAlign w:val="center"/>
          </w:tcPr>
          <w:p w14:paraId="4471369E">
            <w:pPr>
              <w:pStyle w:val="13"/>
            </w:pPr>
            <w:r>
              <w:t>10.01</w:t>
            </w:r>
          </w:p>
        </w:tc>
        <w:tc>
          <w:tcPr>
            <w:tcW w:w="2835" w:type="dxa"/>
            <w:vAlign w:val="center"/>
          </w:tcPr>
          <w:p w14:paraId="3636B729">
            <w:pPr>
              <w:pStyle w:val="11"/>
            </w:pPr>
            <w:r>
              <w:t>其中：财政    资金</w:t>
            </w:r>
          </w:p>
        </w:tc>
        <w:tc>
          <w:tcPr>
            <w:tcW w:w="2551" w:type="dxa"/>
            <w:vAlign w:val="center"/>
          </w:tcPr>
          <w:p w14:paraId="53532E76">
            <w:pPr>
              <w:pStyle w:val="13"/>
            </w:pPr>
            <w:r>
              <w:t>10.01</w:t>
            </w:r>
          </w:p>
        </w:tc>
        <w:tc>
          <w:tcPr>
            <w:tcW w:w="2268" w:type="dxa"/>
            <w:vAlign w:val="center"/>
          </w:tcPr>
          <w:p w14:paraId="576C9BE0">
            <w:pPr>
              <w:pStyle w:val="11"/>
            </w:pPr>
            <w:r>
              <w:t>其他资金</w:t>
            </w:r>
          </w:p>
        </w:tc>
        <w:tc>
          <w:tcPr>
            <w:tcW w:w="1276" w:type="dxa"/>
            <w:vAlign w:val="center"/>
          </w:tcPr>
          <w:p w14:paraId="184B374B">
            <w:pPr>
              <w:pStyle w:val="13"/>
            </w:pPr>
            <w:r>
              <w:t xml:space="preserve"> </w:t>
            </w:r>
          </w:p>
        </w:tc>
      </w:tr>
      <w:tr w14:paraId="7F95C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2BBD9"/>
        </w:tc>
        <w:tc>
          <w:tcPr>
            <w:tcW w:w="14033" w:type="dxa"/>
            <w:gridSpan w:val="6"/>
            <w:vAlign w:val="center"/>
          </w:tcPr>
          <w:p w14:paraId="0442312B">
            <w:pPr>
              <w:pStyle w:val="13"/>
            </w:pPr>
            <w:r>
              <w:t>保障义务教育学校正常运转，完成教育教学活动和其他日常工作任务等方面的费用支出。</w:t>
            </w:r>
          </w:p>
        </w:tc>
      </w:tr>
      <w:tr w14:paraId="57A9A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16D82">
            <w:pPr>
              <w:pStyle w:val="11"/>
            </w:pPr>
            <w:r>
              <w:t>资金支出计划（%）</w:t>
            </w:r>
          </w:p>
        </w:tc>
        <w:tc>
          <w:tcPr>
            <w:tcW w:w="5103" w:type="dxa"/>
            <w:gridSpan w:val="2"/>
            <w:vAlign w:val="center"/>
          </w:tcPr>
          <w:p w14:paraId="46F76C7C">
            <w:pPr>
              <w:pStyle w:val="11"/>
            </w:pPr>
            <w:r>
              <w:t>3月底</w:t>
            </w:r>
          </w:p>
        </w:tc>
        <w:tc>
          <w:tcPr>
            <w:tcW w:w="2835" w:type="dxa"/>
            <w:vAlign w:val="center"/>
          </w:tcPr>
          <w:p w14:paraId="6209D6CA">
            <w:pPr>
              <w:pStyle w:val="11"/>
            </w:pPr>
            <w:r>
              <w:t>6月底</w:t>
            </w:r>
          </w:p>
        </w:tc>
        <w:tc>
          <w:tcPr>
            <w:tcW w:w="2551" w:type="dxa"/>
            <w:vAlign w:val="center"/>
          </w:tcPr>
          <w:p w14:paraId="0279D392">
            <w:pPr>
              <w:pStyle w:val="11"/>
            </w:pPr>
            <w:r>
              <w:t>10月底</w:t>
            </w:r>
          </w:p>
        </w:tc>
        <w:tc>
          <w:tcPr>
            <w:tcW w:w="3544" w:type="dxa"/>
            <w:gridSpan w:val="2"/>
            <w:vAlign w:val="center"/>
          </w:tcPr>
          <w:p w14:paraId="4D1F39F2">
            <w:pPr>
              <w:pStyle w:val="11"/>
            </w:pPr>
            <w:r>
              <w:t>12月底</w:t>
            </w:r>
          </w:p>
        </w:tc>
      </w:tr>
      <w:tr w14:paraId="57D57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8E5C33"/>
        </w:tc>
        <w:tc>
          <w:tcPr>
            <w:tcW w:w="5103" w:type="dxa"/>
            <w:gridSpan w:val="2"/>
            <w:vAlign w:val="center"/>
          </w:tcPr>
          <w:p w14:paraId="18EB1C24">
            <w:pPr>
              <w:pStyle w:val="12"/>
            </w:pPr>
            <w:r>
              <w:t>25%</w:t>
            </w:r>
          </w:p>
        </w:tc>
        <w:tc>
          <w:tcPr>
            <w:tcW w:w="2835" w:type="dxa"/>
            <w:vAlign w:val="center"/>
          </w:tcPr>
          <w:p w14:paraId="7F4B7FCA">
            <w:pPr>
              <w:pStyle w:val="12"/>
            </w:pPr>
            <w:r>
              <w:t>50%</w:t>
            </w:r>
          </w:p>
        </w:tc>
        <w:tc>
          <w:tcPr>
            <w:tcW w:w="2551" w:type="dxa"/>
            <w:vAlign w:val="center"/>
          </w:tcPr>
          <w:p w14:paraId="0A4A7DB1">
            <w:pPr>
              <w:pStyle w:val="12"/>
            </w:pPr>
            <w:r>
              <w:t>75%</w:t>
            </w:r>
          </w:p>
        </w:tc>
        <w:tc>
          <w:tcPr>
            <w:tcW w:w="3544" w:type="dxa"/>
            <w:gridSpan w:val="2"/>
            <w:vAlign w:val="center"/>
          </w:tcPr>
          <w:p w14:paraId="4B79DCCA">
            <w:pPr>
              <w:pStyle w:val="12"/>
            </w:pPr>
            <w:r>
              <w:t>100%</w:t>
            </w:r>
          </w:p>
        </w:tc>
      </w:tr>
      <w:tr w14:paraId="6AF11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DAD65D">
            <w:pPr>
              <w:pStyle w:val="11"/>
            </w:pPr>
            <w:r>
              <w:t>绩效目标</w:t>
            </w:r>
          </w:p>
        </w:tc>
        <w:tc>
          <w:tcPr>
            <w:tcW w:w="14033" w:type="dxa"/>
            <w:gridSpan w:val="6"/>
            <w:vAlign w:val="center"/>
          </w:tcPr>
          <w:p w14:paraId="42966E26">
            <w:pPr>
              <w:pStyle w:val="13"/>
            </w:pPr>
            <w:r>
              <w:t>1.保障义务教育学校正常运转，完成教育教学活动和其他日常工作任务等方面的费用支出。</w:t>
            </w:r>
          </w:p>
          <w:p w14:paraId="31C6DE6A">
            <w:pPr>
              <w:pStyle w:val="13"/>
            </w:pPr>
            <w:r>
              <w:t>2.按规定拨付公用经费资金10.006万元，资金拨付率达到100%。</w:t>
            </w:r>
          </w:p>
        </w:tc>
      </w:tr>
    </w:tbl>
    <w:p w14:paraId="0EB349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14:paraId="61734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80F6C">
            <w:pPr>
              <w:pStyle w:val="11"/>
            </w:pPr>
            <w:r>
              <w:t>一级指标</w:t>
            </w:r>
          </w:p>
        </w:tc>
        <w:tc>
          <w:tcPr>
            <w:tcW w:w="2268" w:type="dxa"/>
            <w:vAlign w:val="center"/>
          </w:tcPr>
          <w:p w14:paraId="2E4647A8">
            <w:pPr>
              <w:pStyle w:val="11"/>
            </w:pPr>
            <w:r>
              <w:t>二级指标</w:t>
            </w:r>
          </w:p>
        </w:tc>
        <w:tc>
          <w:tcPr>
            <w:tcW w:w="2835" w:type="dxa"/>
            <w:vAlign w:val="center"/>
          </w:tcPr>
          <w:p w14:paraId="31C68E10">
            <w:pPr>
              <w:pStyle w:val="11"/>
            </w:pPr>
            <w:r>
              <w:t>三级指标</w:t>
            </w:r>
          </w:p>
        </w:tc>
        <w:tc>
          <w:tcPr>
            <w:tcW w:w="5386" w:type="dxa"/>
            <w:vAlign w:val="center"/>
          </w:tcPr>
          <w:p w14:paraId="6A09779C">
            <w:pPr>
              <w:pStyle w:val="11"/>
            </w:pPr>
            <w:r>
              <w:t>绩效指标描述</w:t>
            </w:r>
          </w:p>
        </w:tc>
        <w:tc>
          <w:tcPr>
            <w:tcW w:w="1643" w:type="dxa"/>
            <w:vAlign w:val="center"/>
          </w:tcPr>
          <w:p w14:paraId="34241599">
            <w:pPr>
              <w:pStyle w:val="11"/>
            </w:pPr>
            <w:r>
              <w:t>指标值</w:t>
            </w:r>
          </w:p>
        </w:tc>
        <w:tc>
          <w:tcPr>
            <w:tcW w:w="1901" w:type="dxa"/>
            <w:vAlign w:val="center"/>
          </w:tcPr>
          <w:p w14:paraId="26E535EC">
            <w:pPr>
              <w:pStyle w:val="11"/>
            </w:pPr>
            <w:r>
              <w:t>指标值确定依据</w:t>
            </w:r>
          </w:p>
        </w:tc>
      </w:tr>
      <w:tr w14:paraId="5C9BA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2344E">
            <w:pPr>
              <w:pStyle w:val="12"/>
            </w:pPr>
            <w:r>
              <w:t>产出指标</w:t>
            </w:r>
          </w:p>
        </w:tc>
        <w:tc>
          <w:tcPr>
            <w:tcW w:w="2268" w:type="dxa"/>
            <w:vAlign w:val="center"/>
          </w:tcPr>
          <w:p w14:paraId="4A4FFEF6">
            <w:pPr>
              <w:pStyle w:val="13"/>
            </w:pPr>
            <w:r>
              <w:t>数量指标</w:t>
            </w:r>
          </w:p>
        </w:tc>
        <w:tc>
          <w:tcPr>
            <w:tcW w:w="2835" w:type="dxa"/>
            <w:vAlign w:val="center"/>
          </w:tcPr>
          <w:p w14:paraId="4312CC39">
            <w:pPr>
              <w:pStyle w:val="13"/>
            </w:pPr>
            <w:r>
              <w:t>生均拨款标准</w:t>
            </w:r>
          </w:p>
        </w:tc>
        <w:tc>
          <w:tcPr>
            <w:tcW w:w="5386" w:type="dxa"/>
            <w:vAlign w:val="center"/>
          </w:tcPr>
          <w:p w14:paraId="2F800F83">
            <w:pPr>
              <w:pStyle w:val="13"/>
            </w:pPr>
            <w:r>
              <w:t>小学生公用经费生均小学720元。取暖费140元/生/年，随班就读学生补助7000元/生</w:t>
            </w:r>
          </w:p>
        </w:tc>
        <w:tc>
          <w:tcPr>
            <w:tcW w:w="1643" w:type="dxa"/>
            <w:vAlign w:val="center"/>
          </w:tcPr>
          <w:p w14:paraId="288B8586">
            <w:pPr>
              <w:pStyle w:val="13"/>
            </w:pPr>
            <w:r>
              <w:t>840元</w:t>
            </w:r>
          </w:p>
        </w:tc>
        <w:tc>
          <w:tcPr>
            <w:tcW w:w="1901" w:type="dxa"/>
            <w:vAlign w:val="center"/>
          </w:tcPr>
          <w:p w14:paraId="6828072E">
            <w:pPr>
              <w:pStyle w:val="13"/>
            </w:pPr>
            <w:r>
              <w:t>城乡义务教育公用经费管理办法</w:t>
            </w:r>
          </w:p>
        </w:tc>
      </w:tr>
      <w:tr w14:paraId="6DE22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BAACF"/>
        </w:tc>
        <w:tc>
          <w:tcPr>
            <w:tcW w:w="2268" w:type="dxa"/>
            <w:vAlign w:val="center"/>
          </w:tcPr>
          <w:p w14:paraId="442B8642">
            <w:pPr>
              <w:pStyle w:val="13"/>
            </w:pPr>
            <w:r>
              <w:t>质量指标</w:t>
            </w:r>
          </w:p>
        </w:tc>
        <w:tc>
          <w:tcPr>
            <w:tcW w:w="2835" w:type="dxa"/>
            <w:vAlign w:val="center"/>
          </w:tcPr>
          <w:p w14:paraId="30B7BCEB">
            <w:pPr>
              <w:pStyle w:val="13"/>
            </w:pPr>
            <w:r>
              <w:t>就读学生数</w:t>
            </w:r>
          </w:p>
        </w:tc>
        <w:tc>
          <w:tcPr>
            <w:tcW w:w="5386" w:type="dxa"/>
            <w:vAlign w:val="center"/>
          </w:tcPr>
          <w:p w14:paraId="532A06F9">
            <w:pPr>
              <w:pStyle w:val="13"/>
            </w:pPr>
            <w:r>
              <w:t>辐射区域内适龄学生人数</w:t>
            </w:r>
          </w:p>
        </w:tc>
        <w:tc>
          <w:tcPr>
            <w:tcW w:w="1643" w:type="dxa"/>
            <w:vAlign w:val="center"/>
          </w:tcPr>
          <w:p w14:paraId="77B5A0A0">
            <w:pPr>
              <w:pStyle w:val="13"/>
            </w:pPr>
            <w:r>
              <w:t>≥376人</w:t>
            </w:r>
          </w:p>
        </w:tc>
        <w:tc>
          <w:tcPr>
            <w:tcW w:w="1901" w:type="dxa"/>
            <w:vAlign w:val="center"/>
          </w:tcPr>
          <w:p w14:paraId="6AA3D644">
            <w:pPr>
              <w:pStyle w:val="13"/>
            </w:pPr>
            <w:r>
              <w:t>城乡义务教育公用经费管理办法</w:t>
            </w:r>
          </w:p>
        </w:tc>
      </w:tr>
      <w:tr w14:paraId="51797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93F8B"/>
        </w:tc>
        <w:tc>
          <w:tcPr>
            <w:tcW w:w="2268" w:type="dxa"/>
            <w:vAlign w:val="center"/>
          </w:tcPr>
          <w:p w14:paraId="190D7438">
            <w:pPr>
              <w:pStyle w:val="13"/>
            </w:pPr>
            <w:r>
              <w:t>时效指标</w:t>
            </w:r>
          </w:p>
        </w:tc>
        <w:tc>
          <w:tcPr>
            <w:tcW w:w="2835" w:type="dxa"/>
            <w:vAlign w:val="center"/>
          </w:tcPr>
          <w:p w14:paraId="11BDACB6">
            <w:pPr>
              <w:pStyle w:val="13"/>
            </w:pPr>
            <w:r>
              <w:t>预算执行率</w:t>
            </w:r>
          </w:p>
        </w:tc>
        <w:tc>
          <w:tcPr>
            <w:tcW w:w="5386" w:type="dxa"/>
            <w:vAlign w:val="center"/>
          </w:tcPr>
          <w:p w14:paraId="27414B2C">
            <w:pPr>
              <w:pStyle w:val="13"/>
            </w:pPr>
            <w:r>
              <w:t>预算执行率≥98%</w:t>
            </w:r>
          </w:p>
        </w:tc>
        <w:tc>
          <w:tcPr>
            <w:tcW w:w="1643" w:type="dxa"/>
            <w:vAlign w:val="center"/>
          </w:tcPr>
          <w:p w14:paraId="14184937">
            <w:pPr>
              <w:pStyle w:val="13"/>
            </w:pPr>
            <w:r>
              <w:t>≥98%</w:t>
            </w:r>
          </w:p>
        </w:tc>
        <w:tc>
          <w:tcPr>
            <w:tcW w:w="1901" w:type="dxa"/>
            <w:vAlign w:val="center"/>
          </w:tcPr>
          <w:p w14:paraId="08954B0A">
            <w:pPr>
              <w:pStyle w:val="13"/>
            </w:pPr>
            <w:r>
              <w:t>城乡义务教育公用经费管理办法</w:t>
            </w:r>
          </w:p>
        </w:tc>
      </w:tr>
      <w:tr w14:paraId="0E13D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41B0E"/>
        </w:tc>
        <w:tc>
          <w:tcPr>
            <w:tcW w:w="2268" w:type="dxa"/>
            <w:vAlign w:val="center"/>
          </w:tcPr>
          <w:p w14:paraId="54820C74">
            <w:pPr>
              <w:pStyle w:val="13"/>
            </w:pPr>
            <w:r>
              <w:t>成本指标</w:t>
            </w:r>
          </w:p>
        </w:tc>
        <w:tc>
          <w:tcPr>
            <w:tcW w:w="2835" w:type="dxa"/>
            <w:vAlign w:val="center"/>
          </w:tcPr>
          <w:p w14:paraId="18DF244F">
            <w:pPr>
              <w:pStyle w:val="13"/>
            </w:pPr>
            <w:r>
              <w:t>义教经费支付完成率</w:t>
            </w:r>
          </w:p>
        </w:tc>
        <w:tc>
          <w:tcPr>
            <w:tcW w:w="5386" w:type="dxa"/>
            <w:vAlign w:val="center"/>
          </w:tcPr>
          <w:p w14:paraId="49161540">
            <w:pPr>
              <w:pStyle w:val="13"/>
            </w:pPr>
            <w:r>
              <w:t>按照序时进度完成资金支付</w:t>
            </w:r>
          </w:p>
        </w:tc>
        <w:tc>
          <w:tcPr>
            <w:tcW w:w="1643" w:type="dxa"/>
            <w:vAlign w:val="center"/>
          </w:tcPr>
          <w:p w14:paraId="0A587A35">
            <w:pPr>
              <w:pStyle w:val="13"/>
            </w:pPr>
            <w:r>
              <w:t>100%</w:t>
            </w:r>
          </w:p>
        </w:tc>
        <w:tc>
          <w:tcPr>
            <w:tcW w:w="1901" w:type="dxa"/>
            <w:vAlign w:val="center"/>
          </w:tcPr>
          <w:p w14:paraId="5EEB54D4">
            <w:pPr>
              <w:pStyle w:val="13"/>
            </w:pPr>
            <w:r>
              <w:t>城乡义务教育公用经费管理办法</w:t>
            </w:r>
          </w:p>
        </w:tc>
      </w:tr>
      <w:tr w14:paraId="4376D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522BBA">
            <w:pPr>
              <w:pStyle w:val="12"/>
            </w:pPr>
            <w:r>
              <w:t>效益指标</w:t>
            </w:r>
          </w:p>
        </w:tc>
        <w:tc>
          <w:tcPr>
            <w:tcW w:w="2268" w:type="dxa"/>
            <w:vAlign w:val="center"/>
          </w:tcPr>
          <w:p w14:paraId="0CD67B43">
            <w:pPr>
              <w:pStyle w:val="13"/>
            </w:pPr>
            <w:r>
              <w:t>可持续影响指标</w:t>
            </w:r>
          </w:p>
        </w:tc>
        <w:tc>
          <w:tcPr>
            <w:tcW w:w="2835" w:type="dxa"/>
            <w:vAlign w:val="center"/>
          </w:tcPr>
          <w:p w14:paraId="6F4EB661">
            <w:pPr>
              <w:pStyle w:val="13"/>
            </w:pPr>
            <w:r>
              <w:t>学校运转得到提高</w:t>
            </w:r>
          </w:p>
        </w:tc>
        <w:tc>
          <w:tcPr>
            <w:tcW w:w="5386" w:type="dxa"/>
            <w:vAlign w:val="center"/>
          </w:tcPr>
          <w:p w14:paraId="4CEBE641">
            <w:pPr>
              <w:pStyle w:val="13"/>
            </w:pPr>
            <w:r>
              <w:t>学生受教育年限</w:t>
            </w:r>
          </w:p>
        </w:tc>
        <w:tc>
          <w:tcPr>
            <w:tcW w:w="1643" w:type="dxa"/>
            <w:vAlign w:val="center"/>
          </w:tcPr>
          <w:p w14:paraId="4CB930A3">
            <w:pPr>
              <w:pStyle w:val="13"/>
            </w:pPr>
            <w:r>
              <w:t>6年</w:t>
            </w:r>
          </w:p>
        </w:tc>
        <w:tc>
          <w:tcPr>
            <w:tcW w:w="1901" w:type="dxa"/>
            <w:vAlign w:val="center"/>
          </w:tcPr>
          <w:p w14:paraId="629B6453">
            <w:pPr>
              <w:pStyle w:val="13"/>
            </w:pPr>
            <w:r>
              <w:t>城乡义务教育公用经费管理办法</w:t>
            </w:r>
          </w:p>
        </w:tc>
      </w:tr>
      <w:tr w14:paraId="7EDDB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98A8B7">
            <w:pPr>
              <w:pStyle w:val="12"/>
            </w:pPr>
            <w:r>
              <w:t>满意度指标</w:t>
            </w:r>
          </w:p>
        </w:tc>
        <w:tc>
          <w:tcPr>
            <w:tcW w:w="2268" w:type="dxa"/>
            <w:vAlign w:val="center"/>
          </w:tcPr>
          <w:p w14:paraId="7C9867A5">
            <w:pPr>
              <w:pStyle w:val="13"/>
            </w:pPr>
            <w:r>
              <w:t>服务对象满意度指标</w:t>
            </w:r>
          </w:p>
        </w:tc>
        <w:tc>
          <w:tcPr>
            <w:tcW w:w="2835" w:type="dxa"/>
            <w:vAlign w:val="center"/>
          </w:tcPr>
          <w:p w14:paraId="24FF3764">
            <w:pPr>
              <w:pStyle w:val="13"/>
            </w:pPr>
            <w:r>
              <w:t>服务对象满意度</w:t>
            </w:r>
          </w:p>
        </w:tc>
        <w:tc>
          <w:tcPr>
            <w:tcW w:w="5386" w:type="dxa"/>
            <w:vAlign w:val="center"/>
          </w:tcPr>
          <w:p w14:paraId="3B678E73">
            <w:pPr>
              <w:pStyle w:val="13"/>
            </w:pPr>
            <w:r>
              <w:t>学校老师和学生满意度</w:t>
            </w:r>
          </w:p>
        </w:tc>
        <w:tc>
          <w:tcPr>
            <w:tcW w:w="1643" w:type="dxa"/>
            <w:vAlign w:val="center"/>
          </w:tcPr>
          <w:p w14:paraId="318221CC">
            <w:pPr>
              <w:pStyle w:val="13"/>
            </w:pPr>
            <w:r>
              <w:t>≥95%</w:t>
            </w:r>
          </w:p>
        </w:tc>
        <w:tc>
          <w:tcPr>
            <w:tcW w:w="1901" w:type="dxa"/>
            <w:vAlign w:val="center"/>
          </w:tcPr>
          <w:p w14:paraId="40B1C8AD">
            <w:pPr>
              <w:pStyle w:val="13"/>
            </w:pPr>
            <w:r>
              <w:t>城乡义务教育公用经费管理办法</w:t>
            </w:r>
          </w:p>
        </w:tc>
      </w:tr>
    </w:tbl>
    <w:p w14:paraId="21DA254C">
      <w:pPr>
        <w:sectPr>
          <w:pgSz w:w="16840" w:h="11900" w:orient="landscape"/>
          <w:pgMar w:top="1361" w:right="1020" w:bottom="1134" w:left="1020" w:header="720" w:footer="720" w:gutter="0"/>
          <w:cols w:space="720" w:num="1"/>
        </w:sectPr>
      </w:pPr>
    </w:p>
    <w:p w14:paraId="2500D1A8">
      <w:pPr>
        <w:spacing w:before="0" w:after="0"/>
        <w:ind w:firstLine="560"/>
        <w:jc w:val="left"/>
        <w:outlineLvl w:val="9"/>
      </w:pPr>
      <w:r>
        <w:rPr>
          <w:rFonts w:ascii="方正仿宋_GBK" w:hAnsi="方正仿宋_GBK" w:eastAsia="方正仿宋_GBK" w:cs="方正仿宋_GBK"/>
          <w:b/>
          <w:color w:val="000000"/>
          <w:sz w:val="28"/>
        </w:rPr>
        <w:t>15、冀财教[2024]141号/省级/2025年义教补助经费/后辛庄小学公用经费绩效目标表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21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93791">
            <w:pPr>
              <w:pStyle w:val="14"/>
            </w:pPr>
            <w:r>
              <w:t>单位：万元</w:t>
            </w:r>
          </w:p>
        </w:tc>
      </w:tr>
      <w:tr w14:paraId="266DC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ADEF20">
            <w:pPr>
              <w:pStyle w:val="11"/>
            </w:pPr>
            <w:r>
              <w:t>项目编码</w:t>
            </w:r>
          </w:p>
        </w:tc>
        <w:tc>
          <w:tcPr>
            <w:tcW w:w="5103" w:type="dxa"/>
            <w:gridSpan w:val="2"/>
            <w:vAlign w:val="center"/>
          </w:tcPr>
          <w:p w14:paraId="24944BC9">
            <w:pPr>
              <w:pStyle w:val="13"/>
            </w:pPr>
            <w:r>
              <w:t>13052525P00000410191P</w:t>
            </w:r>
          </w:p>
        </w:tc>
        <w:tc>
          <w:tcPr>
            <w:tcW w:w="2835" w:type="dxa"/>
            <w:vAlign w:val="center"/>
          </w:tcPr>
          <w:p w14:paraId="6FFE5EBF">
            <w:pPr>
              <w:pStyle w:val="11"/>
            </w:pPr>
            <w:r>
              <w:t>项目名称</w:t>
            </w:r>
          </w:p>
        </w:tc>
        <w:tc>
          <w:tcPr>
            <w:tcW w:w="6095" w:type="dxa"/>
            <w:gridSpan w:val="3"/>
            <w:vAlign w:val="center"/>
          </w:tcPr>
          <w:p w14:paraId="3B2B1476">
            <w:pPr>
              <w:pStyle w:val="13"/>
            </w:pPr>
            <w:r>
              <w:t>冀财教[2024]141号/省级/2025年义教补助经费/后辛庄小学公用经费</w:t>
            </w:r>
          </w:p>
        </w:tc>
      </w:tr>
      <w:tr w14:paraId="474B2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8BF3B">
            <w:pPr>
              <w:pStyle w:val="11"/>
            </w:pPr>
            <w:r>
              <w:t>预算规模及资金用途</w:t>
            </w:r>
          </w:p>
        </w:tc>
        <w:tc>
          <w:tcPr>
            <w:tcW w:w="2268" w:type="dxa"/>
            <w:vAlign w:val="center"/>
          </w:tcPr>
          <w:p w14:paraId="464900A3">
            <w:pPr>
              <w:pStyle w:val="11"/>
            </w:pPr>
            <w:r>
              <w:t>预算数</w:t>
            </w:r>
          </w:p>
        </w:tc>
        <w:tc>
          <w:tcPr>
            <w:tcW w:w="2835" w:type="dxa"/>
            <w:vAlign w:val="center"/>
          </w:tcPr>
          <w:p w14:paraId="7EE14FAA">
            <w:pPr>
              <w:pStyle w:val="13"/>
            </w:pPr>
            <w:r>
              <w:t>2.69</w:t>
            </w:r>
          </w:p>
        </w:tc>
        <w:tc>
          <w:tcPr>
            <w:tcW w:w="2835" w:type="dxa"/>
            <w:vAlign w:val="center"/>
          </w:tcPr>
          <w:p w14:paraId="25382AFC">
            <w:pPr>
              <w:pStyle w:val="11"/>
            </w:pPr>
            <w:r>
              <w:t>其中：财政    资金</w:t>
            </w:r>
          </w:p>
        </w:tc>
        <w:tc>
          <w:tcPr>
            <w:tcW w:w="2551" w:type="dxa"/>
            <w:vAlign w:val="center"/>
          </w:tcPr>
          <w:p w14:paraId="23117679">
            <w:pPr>
              <w:pStyle w:val="13"/>
            </w:pPr>
            <w:r>
              <w:t>2.69</w:t>
            </w:r>
          </w:p>
        </w:tc>
        <w:tc>
          <w:tcPr>
            <w:tcW w:w="2268" w:type="dxa"/>
            <w:vAlign w:val="center"/>
          </w:tcPr>
          <w:p w14:paraId="717E9042">
            <w:pPr>
              <w:pStyle w:val="11"/>
            </w:pPr>
            <w:r>
              <w:t>其他资金</w:t>
            </w:r>
          </w:p>
        </w:tc>
        <w:tc>
          <w:tcPr>
            <w:tcW w:w="1276" w:type="dxa"/>
            <w:vAlign w:val="center"/>
          </w:tcPr>
          <w:p w14:paraId="28F25080">
            <w:pPr>
              <w:pStyle w:val="13"/>
            </w:pPr>
            <w:r>
              <w:t xml:space="preserve"> </w:t>
            </w:r>
          </w:p>
        </w:tc>
      </w:tr>
      <w:tr w14:paraId="51B91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0E011"/>
        </w:tc>
        <w:tc>
          <w:tcPr>
            <w:tcW w:w="14033" w:type="dxa"/>
            <w:gridSpan w:val="6"/>
            <w:vAlign w:val="center"/>
          </w:tcPr>
          <w:p w14:paraId="01E381A9">
            <w:pPr>
              <w:pStyle w:val="13"/>
            </w:pPr>
            <w:r>
              <w:t>保障义务教育学校正常运转，完成教育教学活动和其他日常工作任务等方面的费用支出。</w:t>
            </w:r>
          </w:p>
        </w:tc>
      </w:tr>
      <w:tr w14:paraId="13603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A35A2">
            <w:pPr>
              <w:pStyle w:val="11"/>
            </w:pPr>
            <w:r>
              <w:t>资金支出计划（%）</w:t>
            </w:r>
          </w:p>
        </w:tc>
        <w:tc>
          <w:tcPr>
            <w:tcW w:w="5103" w:type="dxa"/>
            <w:gridSpan w:val="2"/>
            <w:vAlign w:val="center"/>
          </w:tcPr>
          <w:p w14:paraId="261DA290">
            <w:pPr>
              <w:pStyle w:val="11"/>
            </w:pPr>
            <w:r>
              <w:t>3月底</w:t>
            </w:r>
          </w:p>
        </w:tc>
        <w:tc>
          <w:tcPr>
            <w:tcW w:w="2835" w:type="dxa"/>
            <w:vAlign w:val="center"/>
          </w:tcPr>
          <w:p w14:paraId="488A31C2">
            <w:pPr>
              <w:pStyle w:val="11"/>
            </w:pPr>
            <w:r>
              <w:t>6月底</w:t>
            </w:r>
          </w:p>
        </w:tc>
        <w:tc>
          <w:tcPr>
            <w:tcW w:w="2551" w:type="dxa"/>
            <w:vAlign w:val="center"/>
          </w:tcPr>
          <w:p w14:paraId="2B1AEB4C">
            <w:pPr>
              <w:pStyle w:val="11"/>
            </w:pPr>
            <w:r>
              <w:t>10月底</w:t>
            </w:r>
          </w:p>
        </w:tc>
        <w:tc>
          <w:tcPr>
            <w:tcW w:w="3544" w:type="dxa"/>
            <w:gridSpan w:val="2"/>
            <w:vAlign w:val="center"/>
          </w:tcPr>
          <w:p w14:paraId="426D61BF">
            <w:pPr>
              <w:pStyle w:val="11"/>
            </w:pPr>
            <w:r>
              <w:t>12月底</w:t>
            </w:r>
          </w:p>
        </w:tc>
      </w:tr>
      <w:tr w14:paraId="362A6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53940B"/>
        </w:tc>
        <w:tc>
          <w:tcPr>
            <w:tcW w:w="5103" w:type="dxa"/>
            <w:gridSpan w:val="2"/>
            <w:vAlign w:val="center"/>
          </w:tcPr>
          <w:p w14:paraId="2646B1E0">
            <w:pPr>
              <w:pStyle w:val="12"/>
            </w:pPr>
            <w:r>
              <w:t>25%</w:t>
            </w:r>
          </w:p>
        </w:tc>
        <w:tc>
          <w:tcPr>
            <w:tcW w:w="2835" w:type="dxa"/>
            <w:vAlign w:val="center"/>
          </w:tcPr>
          <w:p w14:paraId="40A3073E">
            <w:pPr>
              <w:pStyle w:val="12"/>
            </w:pPr>
            <w:r>
              <w:t>50%</w:t>
            </w:r>
          </w:p>
        </w:tc>
        <w:tc>
          <w:tcPr>
            <w:tcW w:w="2551" w:type="dxa"/>
            <w:vAlign w:val="center"/>
          </w:tcPr>
          <w:p w14:paraId="78C8E716">
            <w:pPr>
              <w:pStyle w:val="12"/>
            </w:pPr>
            <w:r>
              <w:t>75%</w:t>
            </w:r>
          </w:p>
        </w:tc>
        <w:tc>
          <w:tcPr>
            <w:tcW w:w="3544" w:type="dxa"/>
            <w:gridSpan w:val="2"/>
            <w:vAlign w:val="center"/>
          </w:tcPr>
          <w:p w14:paraId="4FA5CD24">
            <w:pPr>
              <w:pStyle w:val="12"/>
            </w:pPr>
            <w:r>
              <w:t>100%</w:t>
            </w:r>
          </w:p>
        </w:tc>
      </w:tr>
      <w:tr w14:paraId="3CAF1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E8E28">
            <w:pPr>
              <w:pStyle w:val="11"/>
            </w:pPr>
            <w:r>
              <w:t>绩效目标</w:t>
            </w:r>
          </w:p>
        </w:tc>
        <w:tc>
          <w:tcPr>
            <w:tcW w:w="14033" w:type="dxa"/>
            <w:gridSpan w:val="6"/>
            <w:vAlign w:val="center"/>
          </w:tcPr>
          <w:p w14:paraId="684EE1CE">
            <w:pPr>
              <w:pStyle w:val="13"/>
            </w:pPr>
            <w:r>
              <w:t>1.保障义务教育学校正常运转，完成教育教学活动和其他日常工作任务等方面的费用支出。</w:t>
            </w:r>
          </w:p>
          <w:p w14:paraId="6F43DD94">
            <w:pPr>
              <w:pStyle w:val="13"/>
            </w:pPr>
            <w:r>
              <w:t>2.按规定拨付公用经费资金2.688万元，资金拨付率达到100%。</w:t>
            </w:r>
          </w:p>
        </w:tc>
      </w:tr>
    </w:tbl>
    <w:p w14:paraId="7AF92F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266B9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48EFB1D">
            <w:pPr>
              <w:pStyle w:val="11"/>
            </w:pPr>
            <w:r>
              <w:t>一级指标</w:t>
            </w:r>
          </w:p>
        </w:tc>
        <w:tc>
          <w:tcPr>
            <w:tcW w:w="2268" w:type="dxa"/>
            <w:vAlign w:val="center"/>
          </w:tcPr>
          <w:p w14:paraId="568FBE63">
            <w:pPr>
              <w:pStyle w:val="11"/>
            </w:pPr>
            <w:r>
              <w:t>二级指标</w:t>
            </w:r>
          </w:p>
        </w:tc>
        <w:tc>
          <w:tcPr>
            <w:tcW w:w="2835" w:type="dxa"/>
            <w:vAlign w:val="center"/>
          </w:tcPr>
          <w:p w14:paraId="4700CF4F">
            <w:pPr>
              <w:pStyle w:val="11"/>
            </w:pPr>
            <w:r>
              <w:t>三级指标</w:t>
            </w:r>
          </w:p>
        </w:tc>
        <w:tc>
          <w:tcPr>
            <w:tcW w:w="5386" w:type="dxa"/>
            <w:vAlign w:val="center"/>
          </w:tcPr>
          <w:p w14:paraId="6F8ED868">
            <w:pPr>
              <w:pStyle w:val="11"/>
            </w:pPr>
            <w:r>
              <w:t>绩效指标描述</w:t>
            </w:r>
          </w:p>
        </w:tc>
        <w:tc>
          <w:tcPr>
            <w:tcW w:w="1823" w:type="dxa"/>
            <w:vAlign w:val="center"/>
          </w:tcPr>
          <w:p w14:paraId="33D11929">
            <w:pPr>
              <w:pStyle w:val="11"/>
            </w:pPr>
            <w:r>
              <w:t>指标值</w:t>
            </w:r>
          </w:p>
        </w:tc>
        <w:tc>
          <w:tcPr>
            <w:tcW w:w="1721" w:type="dxa"/>
            <w:vAlign w:val="center"/>
          </w:tcPr>
          <w:p w14:paraId="3F0D6EA4">
            <w:pPr>
              <w:pStyle w:val="11"/>
            </w:pPr>
            <w:r>
              <w:t>指标值确定依据</w:t>
            </w:r>
          </w:p>
        </w:tc>
      </w:tr>
      <w:tr w14:paraId="4ED18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540B2">
            <w:pPr>
              <w:pStyle w:val="12"/>
            </w:pPr>
            <w:r>
              <w:t>产出指标</w:t>
            </w:r>
          </w:p>
        </w:tc>
        <w:tc>
          <w:tcPr>
            <w:tcW w:w="2268" w:type="dxa"/>
            <w:vAlign w:val="center"/>
          </w:tcPr>
          <w:p w14:paraId="0B227233">
            <w:pPr>
              <w:pStyle w:val="13"/>
            </w:pPr>
            <w:r>
              <w:t>数量指标</w:t>
            </w:r>
          </w:p>
        </w:tc>
        <w:tc>
          <w:tcPr>
            <w:tcW w:w="2835" w:type="dxa"/>
            <w:vAlign w:val="center"/>
          </w:tcPr>
          <w:p w14:paraId="77903440">
            <w:pPr>
              <w:pStyle w:val="13"/>
            </w:pPr>
            <w:r>
              <w:t>生均拨款标准</w:t>
            </w:r>
          </w:p>
        </w:tc>
        <w:tc>
          <w:tcPr>
            <w:tcW w:w="5386" w:type="dxa"/>
            <w:vAlign w:val="center"/>
          </w:tcPr>
          <w:p w14:paraId="324D6E47">
            <w:pPr>
              <w:pStyle w:val="13"/>
            </w:pPr>
            <w:r>
              <w:t>小学生公用经费生均小学720元。取暖费140元/生/年，随班就读学生补助7000元/生</w:t>
            </w:r>
          </w:p>
        </w:tc>
        <w:tc>
          <w:tcPr>
            <w:tcW w:w="1823" w:type="dxa"/>
            <w:vAlign w:val="center"/>
          </w:tcPr>
          <w:p w14:paraId="693B3870">
            <w:pPr>
              <w:pStyle w:val="13"/>
            </w:pPr>
            <w:r>
              <w:t>840元</w:t>
            </w:r>
          </w:p>
        </w:tc>
        <w:tc>
          <w:tcPr>
            <w:tcW w:w="1721" w:type="dxa"/>
            <w:vAlign w:val="center"/>
          </w:tcPr>
          <w:p w14:paraId="3966BF8E">
            <w:pPr>
              <w:pStyle w:val="13"/>
            </w:pPr>
            <w:r>
              <w:t>城乡义务教育公用经费管理办法</w:t>
            </w:r>
          </w:p>
        </w:tc>
      </w:tr>
      <w:tr w14:paraId="6528F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F23DC"/>
        </w:tc>
        <w:tc>
          <w:tcPr>
            <w:tcW w:w="2268" w:type="dxa"/>
            <w:vAlign w:val="center"/>
          </w:tcPr>
          <w:p w14:paraId="0D34707A">
            <w:pPr>
              <w:pStyle w:val="13"/>
            </w:pPr>
            <w:r>
              <w:t>质量指标</w:t>
            </w:r>
          </w:p>
        </w:tc>
        <w:tc>
          <w:tcPr>
            <w:tcW w:w="2835" w:type="dxa"/>
            <w:vAlign w:val="center"/>
          </w:tcPr>
          <w:p w14:paraId="17A112CF">
            <w:pPr>
              <w:pStyle w:val="13"/>
            </w:pPr>
            <w:r>
              <w:t>就读学生数</w:t>
            </w:r>
          </w:p>
        </w:tc>
        <w:tc>
          <w:tcPr>
            <w:tcW w:w="5386" w:type="dxa"/>
            <w:vAlign w:val="center"/>
          </w:tcPr>
          <w:p w14:paraId="4C17BF97">
            <w:pPr>
              <w:pStyle w:val="13"/>
            </w:pPr>
            <w:r>
              <w:t>辐射区域内适龄学生人数</w:t>
            </w:r>
          </w:p>
        </w:tc>
        <w:tc>
          <w:tcPr>
            <w:tcW w:w="1823" w:type="dxa"/>
            <w:vAlign w:val="center"/>
          </w:tcPr>
          <w:p w14:paraId="74BF3683">
            <w:pPr>
              <w:pStyle w:val="13"/>
            </w:pPr>
            <w:r>
              <w:t>≥20人</w:t>
            </w:r>
          </w:p>
        </w:tc>
        <w:tc>
          <w:tcPr>
            <w:tcW w:w="1721" w:type="dxa"/>
            <w:vAlign w:val="center"/>
          </w:tcPr>
          <w:p w14:paraId="1F3668FA">
            <w:pPr>
              <w:pStyle w:val="13"/>
            </w:pPr>
            <w:r>
              <w:t>城乡义务教育公用经费管理办法</w:t>
            </w:r>
          </w:p>
        </w:tc>
      </w:tr>
      <w:tr w14:paraId="5998C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C30E4"/>
        </w:tc>
        <w:tc>
          <w:tcPr>
            <w:tcW w:w="2268" w:type="dxa"/>
            <w:vAlign w:val="center"/>
          </w:tcPr>
          <w:p w14:paraId="2BB3505F">
            <w:pPr>
              <w:pStyle w:val="13"/>
            </w:pPr>
            <w:r>
              <w:t>时效指标</w:t>
            </w:r>
          </w:p>
        </w:tc>
        <w:tc>
          <w:tcPr>
            <w:tcW w:w="2835" w:type="dxa"/>
            <w:vAlign w:val="center"/>
          </w:tcPr>
          <w:p w14:paraId="520C8B85">
            <w:pPr>
              <w:pStyle w:val="13"/>
            </w:pPr>
            <w:r>
              <w:t>预算执行率</w:t>
            </w:r>
          </w:p>
        </w:tc>
        <w:tc>
          <w:tcPr>
            <w:tcW w:w="5386" w:type="dxa"/>
            <w:vAlign w:val="center"/>
          </w:tcPr>
          <w:p w14:paraId="6F9B44E6">
            <w:pPr>
              <w:pStyle w:val="13"/>
            </w:pPr>
            <w:r>
              <w:t>预算执行率≥98%</w:t>
            </w:r>
          </w:p>
        </w:tc>
        <w:tc>
          <w:tcPr>
            <w:tcW w:w="1823" w:type="dxa"/>
            <w:vAlign w:val="center"/>
          </w:tcPr>
          <w:p w14:paraId="52CFB8CB">
            <w:pPr>
              <w:pStyle w:val="13"/>
            </w:pPr>
            <w:r>
              <w:t>≥98%</w:t>
            </w:r>
          </w:p>
        </w:tc>
        <w:tc>
          <w:tcPr>
            <w:tcW w:w="1721" w:type="dxa"/>
            <w:vAlign w:val="center"/>
          </w:tcPr>
          <w:p w14:paraId="4106324D">
            <w:pPr>
              <w:pStyle w:val="13"/>
            </w:pPr>
            <w:r>
              <w:t>城乡义务教育公用经费管理办法</w:t>
            </w:r>
          </w:p>
        </w:tc>
      </w:tr>
      <w:tr w14:paraId="4D267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45168"/>
        </w:tc>
        <w:tc>
          <w:tcPr>
            <w:tcW w:w="2268" w:type="dxa"/>
            <w:vAlign w:val="center"/>
          </w:tcPr>
          <w:p w14:paraId="315EA6B6">
            <w:pPr>
              <w:pStyle w:val="13"/>
            </w:pPr>
            <w:r>
              <w:t>成本指标</w:t>
            </w:r>
          </w:p>
        </w:tc>
        <w:tc>
          <w:tcPr>
            <w:tcW w:w="2835" w:type="dxa"/>
            <w:vAlign w:val="center"/>
          </w:tcPr>
          <w:p w14:paraId="4F600E10">
            <w:pPr>
              <w:pStyle w:val="13"/>
            </w:pPr>
            <w:r>
              <w:t>义教经费支付完成率</w:t>
            </w:r>
          </w:p>
        </w:tc>
        <w:tc>
          <w:tcPr>
            <w:tcW w:w="5386" w:type="dxa"/>
            <w:vAlign w:val="center"/>
          </w:tcPr>
          <w:p w14:paraId="2B1D3337">
            <w:pPr>
              <w:pStyle w:val="13"/>
            </w:pPr>
            <w:r>
              <w:t>按照序时进度完成资金支付</w:t>
            </w:r>
          </w:p>
        </w:tc>
        <w:tc>
          <w:tcPr>
            <w:tcW w:w="1823" w:type="dxa"/>
            <w:vAlign w:val="center"/>
          </w:tcPr>
          <w:p w14:paraId="4400B19B">
            <w:pPr>
              <w:pStyle w:val="13"/>
            </w:pPr>
            <w:r>
              <w:t>100%</w:t>
            </w:r>
          </w:p>
        </w:tc>
        <w:tc>
          <w:tcPr>
            <w:tcW w:w="1721" w:type="dxa"/>
            <w:vAlign w:val="center"/>
          </w:tcPr>
          <w:p w14:paraId="62E52946">
            <w:pPr>
              <w:pStyle w:val="13"/>
            </w:pPr>
            <w:r>
              <w:t>城乡义务教育公用经费管理办法</w:t>
            </w:r>
          </w:p>
        </w:tc>
      </w:tr>
      <w:tr w14:paraId="08DD9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5D512">
            <w:pPr>
              <w:pStyle w:val="12"/>
            </w:pPr>
            <w:r>
              <w:t>效益指标</w:t>
            </w:r>
          </w:p>
        </w:tc>
        <w:tc>
          <w:tcPr>
            <w:tcW w:w="2268" w:type="dxa"/>
            <w:vAlign w:val="center"/>
          </w:tcPr>
          <w:p w14:paraId="2439DC98">
            <w:pPr>
              <w:pStyle w:val="13"/>
            </w:pPr>
            <w:r>
              <w:t>可持续影响指标</w:t>
            </w:r>
          </w:p>
        </w:tc>
        <w:tc>
          <w:tcPr>
            <w:tcW w:w="2835" w:type="dxa"/>
            <w:vAlign w:val="center"/>
          </w:tcPr>
          <w:p w14:paraId="4D7D53A1">
            <w:pPr>
              <w:pStyle w:val="13"/>
            </w:pPr>
            <w:r>
              <w:t>学校运转得到提高</w:t>
            </w:r>
          </w:p>
        </w:tc>
        <w:tc>
          <w:tcPr>
            <w:tcW w:w="5386" w:type="dxa"/>
            <w:vAlign w:val="center"/>
          </w:tcPr>
          <w:p w14:paraId="6064DF90">
            <w:pPr>
              <w:pStyle w:val="13"/>
            </w:pPr>
            <w:r>
              <w:t>学生受教育年限</w:t>
            </w:r>
          </w:p>
        </w:tc>
        <w:tc>
          <w:tcPr>
            <w:tcW w:w="1823" w:type="dxa"/>
            <w:vAlign w:val="center"/>
          </w:tcPr>
          <w:p w14:paraId="44A7FDA8">
            <w:pPr>
              <w:pStyle w:val="13"/>
            </w:pPr>
            <w:r>
              <w:t>6年</w:t>
            </w:r>
          </w:p>
        </w:tc>
        <w:tc>
          <w:tcPr>
            <w:tcW w:w="1721" w:type="dxa"/>
            <w:vAlign w:val="center"/>
          </w:tcPr>
          <w:p w14:paraId="6929F1BD">
            <w:pPr>
              <w:pStyle w:val="13"/>
            </w:pPr>
            <w:r>
              <w:t>城乡义务教育公用经费管理办法</w:t>
            </w:r>
          </w:p>
        </w:tc>
      </w:tr>
      <w:tr w14:paraId="22DA2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C87A4B">
            <w:pPr>
              <w:pStyle w:val="12"/>
            </w:pPr>
            <w:r>
              <w:t>满意度指标</w:t>
            </w:r>
          </w:p>
        </w:tc>
        <w:tc>
          <w:tcPr>
            <w:tcW w:w="2268" w:type="dxa"/>
            <w:vAlign w:val="center"/>
          </w:tcPr>
          <w:p w14:paraId="13470CF3">
            <w:pPr>
              <w:pStyle w:val="13"/>
            </w:pPr>
            <w:r>
              <w:t>服务对象满意度指标</w:t>
            </w:r>
          </w:p>
        </w:tc>
        <w:tc>
          <w:tcPr>
            <w:tcW w:w="2835" w:type="dxa"/>
            <w:vAlign w:val="center"/>
          </w:tcPr>
          <w:p w14:paraId="0496E593">
            <w:pPr>
              <w:pStyle w:val="13"/>
            </w:pPr>
            <w:r>
              <w:t>服务对象满意度</w:t>
            </w:r>
          </w:p>
        </w:tc>
        <w:tc>
          <w:tcPr>
            <w:tcW w:w="5386" w:type="dxa"/>
            <w:vAlign w:val="center"/>
          </w:tcPr>
          <w:p w14:paraId="067ECDF0">
            <w:pPr>
              <w:pStyle w:val="13"/>
            </w:pPr>
            <w:r>
              <w:t>学校老师和学生满意度</w:t>
            </w:r>
          </w:p>
        </w:tc>
        <w:tc>
          <w:tcPr>
            <w:tcW w:w="1823" w:type="dxa"/>
            <w:vAlign w:val="center"/>
          </w:tcPr>
          <w:p w14:paraId="1B638291">
            <w:pPr>
              <w:pStyle w:val="13"/>
            </w:pPr>
            <w:r>
              <w:t>≥95%</w:t>
            </w:r>
          </w:p>
        </w:tc>
        <w:tc>
          <w:tcPr>
            <w:tcW w:w="1721" w:type="dxa"/>
            <w:vAlign w:val="center"/>
          </w:tcPr>
          <w:p w14:paraId="44224FA8">
            <w:pPr>
              <w:pStyle w:val="13"/>
            </w:pPr>
            <w:r>
              <w:t>城乡义务教育公用经费管理办法</w:t>
            </w:r>
          </w:p>
        </w:tc>
      </w:tr>
    </w:tbl>
    <w:p w14:paraId="736FD76A">
      <w:pPr>
        <w:sectPr>
          <w:pgSz w:w="16840" w:h="11900" w:orient="landscape"/>
          <w:pgMar w:top="1361" w:right="1020" w:bottom="1134" w:left="1020" w:header="720" w:footer="720" w:gutter="0"/>
          <w:cols w:space="720" w:num="1"/>
        </w:sectPr>
      </w:pPr>
    </w:p>
    <w:p w14:paraId="69C1063B">
      <w:pPr>
        <w:spacing w:before="0" w:after="0"/>
        <w:ind w:firstLine="560"/>
        <w:jc w:val="left"/>
        <w:outlineLvl w:val="9"/>
      </w:pPr>
      <w:r>
        <w:rPr>
          <w:rFonts w:ascii="方正仿宋_GBK" w:hAnsi="方正仿宋_GBK" w:eastAsia="方正仿宋_GBK" w:cs="方正仿宋_GBK"/>
          <w:b/>
          <w:color w:val="000000"/>
          <w:sz w:val="28"/>
        </w:rPr>
        <w:t>16、冀财教[2024]141号/省级/2025年义教补助经费/莲子镇小学公用经费绩效目标表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B5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2D8B5">
            <w:pPr>
              <w:pStyle w:val="14"/>
            </w:pPr>
            <w:r>
              <w:t>单位：万元</w:t>
            </w:r>
          </w:p>
        </w:tc>
      </w:tr>
      <w:tr w14:paraId="6D336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62C899">
            <w:pPr>
              <w:pStyle w:val="11"/>
            </w:pPr>
            <w:r>
              <w:t>项目编码</w:t>
            </w:r>
          </w:p>
        </w:tc>
        <w:tc>
          <w:tcPr>
            <w:tcW w:w="5103" w:type="dxa"/>
            <w:gridSpan w:val="2"/>
            <w:vAlign w:val="center"/>
          </w:tcPr>
          <w:p w14:paraId="13502800">
            <w:pPr>
              <w:pStyle w:val="13"/>
            </w:pPr>
            <w:r>
              <w:t>13052525P00000410185A</w:t>
            </w:r>
          </w:p>
        </w:tc>
        <w:tc>
          <w:tcPr>
            <w:tcW w:w="2835" w:type="dxa"/>
            <w:vAlign w:val="center"/>
          </w:tcPr>
          <w:p w14:paraId="2DC7531B">
            <w:pPr>
              <w:pStyle w:val="11"/>
            </w:pPr>
            <w:r>
              <w:t>项目名称</w:t>
            </w:r>
          </w:p>
        </w:tc>
        <w:tc>
          <w:tcPr>
            <w:tcW w:w="6095" w:type="dxa"/>
            <w:gridSpan w:val="3"/>
            <w:vAlign w:val="center"/>
          </w:tcPr>
          <w:p w14:paraId="4CCBFFC7">
            <w:pPr>
              <w:pStyle w:val="13"/>
            </w:pPr>
            <w:r>
              <w:t>冀财教[2024]141号/省级/2025年义教补助经费/莲子镇小学公用经费</w:t>
            </w:r>
          </w:p>
        </w:tc>
      </w:tr>
      <w:tr w14:paraId="6B94E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F184D">
            <w:pPr>
              <w:pStyle w:val="11"/>
            </w:pPr>
            <w:r>
              <w:t>预算规模及资金用途</w:t>
            </w:r>
          </w:p>
        </w:tc>
        <w:tc>
          <w:tcPr>
            <w:tcW w:w="2268" w:type="dxa"/>
            <w:vAlign w:val="center"/>
          </w:tcPr>
          <w:p w14:paraId="23CD46EB">
            <w:pPr>
              <w:pStyle w:val="11"/>
            </w:pPr>
            <w:r>
              <w:t>预算数</w:t>
            </w:r>
          </w:p>
        </w:tc>
        <w:tc>
          <w:tcPr>
            <w:tcW w:w="2835" w:type="dxa"/>
            <w:vAlign w:val="center"/>
          </w:tcPr>
          <w:p w14:paraId="0CD20043">
            <w:pPr>
              <w:pStyle w:val="13"/>
            </w:pPr>
            <w:r>
              <w:t>19.58</w:t>
            </w:r>
          </w:p>
        </w:tc>
        <w:tc>
          <w:tcPr>
            <w:tcW w:w="2835" w:type="dxa"/>
            <w:vAlign w:val="center"/>
          </w:tcPr>
          <w:p w14:paraId="6F6E2ADD">
            <w:pPr>
              <w:pStyle w:val="11"/>
            </w:pPr>
            <w:r>
              <w:t>其中：财政    资金</w:t>
            </w:r>
          </w:p>
        </w:tc>
        <w:tc>
          <w:tcPr>
            <w:tcW w:w="2551" w:type="dxa"/>
            <w:vAlign w:val="center"/>
          </w:tcPr>
          <w:p w14:paraId="6E8453D0">
            <w:pPr>
              <w:pStyle w:val="13"/>
            </w:pPr>
            <w:r>
              <w:t>19.58</w:t>
            </w:r>
          </w:p>
        </w:tc>
        <w:tc>
          <w:tcPr>
            <w:tcW w:w="2268" w:type="dxa"/>
            <w:vAlign w:val="center"/>
          </w:tcPr>
          <w:p w14:paraId="51DB2291">
            <w:pPr>
              <w:pStyle w:val="11"/>
            </w:pPr>
            <w:r>
              <w:t>其他资金</w:t>
            </w:r>
          </w:p>
        </w:tc>
        <w:tc>
          <w:tcPr>
            <w:tcW w:w="1276" w:type="dxa"/>
            <w:vAlign w:val="center"/>
          </w:tcPr>
          <w:p w14:paraId="6F4F9B42">
            <w:pPr>
              <w:pStyle w:val="13"/>
            </w:pPr>
            <w:r>
              <w:t xml:space="preserve"> </w:t>
            </w:r>
          </w:p>
        </w:tc>
      </w:tr>
      <w:tr w14:paraId="7369D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E24B7"/>
        </w:tc>
        <w:tc>
          <w:tcPr>
            <w:tcW w:w="14033" w:type="dxa"/>
            <w:gridSpan w:val="6"/>
            <w:vAlign w:val="center"/>
          </w:tcPr>
          <w:p w14:paraId="6465BB47">
            <w:pPr>
              <w:pStyle w:val="13"/>
            </w:pPr>
            <w:r>
              <w:t>有效完成学校教学安全秩序，保障学校教学任务有效开展，满足学校正常教学需要。</w:t>
            </w:r>
          </w:p>
        </w:tc>
      </w:tr>
      <w:tr w14:paraId="1ABD0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56C56">
            <w:pPr>
              <w:pStyle w:val="11"/>
            </w:pPr>
            <w:r>
              <w:t>资金支出计划（%）</w:t>
            </w:r>
          </w:p>
        </w:tc>
        <w:tc>
          <w:tcPr>
            <w:tcW w:w="5103" w:type="dxa"/>
            <w:gridSpan w:val="2"/>
            <w:vAlign w:val="center"/>
          </w:tcPr>
          <w:p w14:paraId="5122D9A9">
            <w:pPr>
              <w:pStyle w:val="11"/>
            </w:pPr>
            <w:r>
              <w:t>3月底</w:t>
            </w:r>
          </w:p>
        </w:tc>
        <w:tc>
          <w:tcPr>
            <w:tcW w:w="2835" w:type="dxa"/>
            <w:vAlign w:val="center"/>
          </w:tcPr>
          <w:p w14:paraId="3EB38DF8">
            <w:pPr>
              <w:pStyle w:val="11"/>
            </w:pPr>
            <w:r>
              <w:t>6月底</w:t>
            </w:r>
          </w:p>
        </w:tc>
        <w:tc>
          <w:tcPr>
            <w:tcW w:w="2551" w:type="dxa"/>
            <w:vAlign w:val="center"/>
          </w:tcPr>
          <w:p w14:paraId="26B71549">
            <w:pPr>
              <w:pStyle w:val="11"/>
            </w:pPr>
            <w:r>
              <w:t>10月底</w:t>
            </w:r>
          </w:p>
        </w:tc>
        <w:tc>
          <w:tcPr>
            <w:tcW w:w="3544" w:type="dxa"/>
            <w:gridSpan w:val="2"/>
            <w:vAlign w:val="center"/>
          </w:tcPr>
          <w:p w14:paraId="15DA4614">
            <w:pPr>
              <w:pStyle w:val="11"/>
            </w:pPr>
            <w:r>
              <w:t>12月底</w:t>
            </w:r>
          </w:p>
        </w:tc>
      </w:tr>
      <w:tr w14:paraId="7B7C9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EA030"/>
        </w:tc>
        <w:tc>
          <w:tcPr>
            <w:tcW w:w="5103" w:type="dxa"/>
            <w:gridSpan w:val="2"/>
            <w:vAlign w:val="center"/>
          </w:tcPr>
          <w:p w14:paraId="19C5BE3B">
            <w:pPr>
              <w:pStyle w:val="12"/>
            </w:pPr>
            <w:r>
              <w:t>25%</w:t>
            </w:r>
          </w:p>
        </w:tc>
        <w:tc>
          <w:tcPr>
            <w:tcW w:w="2835" w:type="dxa"/>
            <w:vAlign w:val="center"/>
          </w:tcPr>
          <w:p w14:paraId="36C4E3D4">
            <w:pPr>
              <w:pStyle w:val="12"/>
            </w:pPr>
            <w:r>
              <w:t>50%</w:t>
            </w:r>
          </w:p>
        </w:tc>
        <w:tc>
          <w:tcPr>
            <w:tcW w:w="2551" w:type="dxa"/>
            <w:vAlign w:val="center"/>
          </w:tcPr>
          <w:p w14:paraId="69B77447">
            <w:pPr>
              <w:pStyle w:val="12"/>
            </w:pPr>
            <w:r>
              <w:t>75%</w:t>
            </w:r>
          </w:p>
        </w:tc>
        <w:tc>
          <w:tcPr>
            <w:tcW w:w="3544" w:type="dxa"/>
            <w:gridSpan w:val="2"/>
            <w:vAlign w:val="center"/>
          </w:tcPr>
          <w:p w14:paraId="20FE4F4C">
            <w:pPr>
              <w:pStyle w:val="12"/>
            </w:pPr>
            <w:r>
              <w:t>100%</w:t>
            </w:r>
          </w:p>
        </w:tc>
      </w:tr>
      <w:tr w14:paraId="71C49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4E50F">
            <w:pPr>
              <w:pStyle w:val="11"/>
            </w:pPr>
            <w:r>
              <w:t>绩效目标</w:t>
            </w:r>
          </w:p>
        </w:tc>
        <w:tc>
          <w:tcPr>
            <w:tcW w:w="14033" w:type="dxa"/>
            <w:gridSpan w:val="6"/>
            <w:vAlign w:val="center"/>
          </w:tcPr>
          <w:p w14:paraId="6297637C">
            <w:pPr>
              <w:pStyle w:val="13"/>
            </w:pPr>
            <w:r>
              <w:t>1.按规定拨付公用经费资金19.583万元，预算执行率100%。</w:t>
            </w:r>
          </w:p>
          <w:p w14:paraId="025F1BA4">
            <w:pPr>
              <w:pStyle w:val="13"/>
            </w:pPr>
            <w:r>
              <w:t>2.有效完成学校教学安全秩序，保障学校教学任务有效开展，满足学校正常教学需要。</w:t>
            </w:r>
          </w:p>
        </w:tc>
      </w:tr>
    </w:tbl>
    <w:p w14:paraId="4F0E11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43"/>
        <w:gridCol w:w="2201"/>
      </w:tblGrid>
      <w:tr w14:paraId="447C5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BD030">
            <w:pPr>
              <w:pStyle w:val="11"/>
            </w:pPr>
            <w:r>
              <w:t>一级指标</w:t>
            </w:r>
          </w:p>
        </w:tc>
        <w:tc>
          <w:tcPr>
            <w:tcW w:w="2268" w:type="dxa"/>
            <w:vAlign w:val="center"/>
          </w:tcPr>
          <w:p w14:paraId="7487A9EC">
            <w:pPr>
              <w:pStyle w:val="11"/>
            </w:pPr>
            <w:r>
              <w:t>二级指标</w:t>
            </w:r>
          </w:p>
        </w:tc>
        <w:tc>
          <w:tcPr>
            <w:tcW w:w="2835" w:type="dxa"/>
            <w:vAlign w:val="center"/>
          </w:tcPr>
          <w:p w14:paraId="62301AFA">
            <w:pPr>
              <w:pStyle w:val="11"/>
            </w:pPr>
            <w:r>
              <w:t>三级指标</w:t>
            </w:r>
          </w:p>
        </w:tc>
        <w:tc>
          <w:tcPr>
            <w:tcW w:w="5386" w:type="dxa"/>
            <w:vAlign w:val="center"/>
          </w:tcPr>
          <w:p w14:paraId="500739E0">
            <w:pPr>
              <w:pStyle w:val="11"/>
            </w:pPr>
            <w:r>
              <w:t>绩效指标描述</w:t>
            </w:r>
          </w:p>
        </w:tc>
        <w:tc>
          <w:tcPr>
            <w:tcW w:w="1343" w:type="dxa"/>
            <w:vAlign w:val="center"/>
          </w:tcPr>
          <w:p w14:paraId="4BC3F04E">
            <w:pPr>
              <w:pStyle w:val="11"/>
            </w:pPr>
            <w:r>
              <w:t>指标值</w:t>
            </w:r>
          </w:p>
        </w:tc>
        <w:tc>
          <w:tcPr>
            <w:tcW w:w="2201" w:type="dxa"/>
            <w:vAlign w:val="center"/>
          </w:tcPr>
          <w:p w14:paraId="338A3D06">
            <w:pPr>
              <w:pStyle w:val="11"/>
            </w:pPr>
            <w:r>
              <w:t>指标值确定依据</w:t>
            </w:r>
          </w:p>
        </w:tc>
      </w:tr>
      <w:tr w14:paraId="3BD7E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E2932">
            <w:pPr>
              <w:pStyle w:val="12"/>
            </w:pPr>
            <w:r>
              <w:t>产出指标</w:t>
            </w:r>
          </w:p>
        </w:tc>
        <w:tc>
          <w:tcPr>
            <w:tcW w:w="2268" w:type="dxa"/>
            <w:vAlign w:val="center"/>
          </w:tcPr>
          <w:p w14:paraId="2A5A576F">
            <w:pPr>
              <w:pStyle w:val="13"/>
            </w:pPr>
            <w:r>
              <w:t>数量指标</w:t>
            </w:r>
          </w:p>
        </w:tc>
        <w:tc>
          <w:tcPr>
            <w:tcW w:w="2835" w:type="dxa"/>
            <w:vAlign w:val="center"/>
          </w:tcPr>
          <w:p w14:paraId="0C82CD82">
            <w:pPr>
              <w:pStyle w:val="13"/>
            </w:pPr>
            <w:r>
              <w:t>生均拨款标准</w:t>
            </w:r>
          </w:p>
        </w:tc>
        <w:tc>
          <w:tcPr>
            <w:tcW w:w="5386" w:type="dxa"/>
            <w:vAlign w:val="center"/>
          </w:tcPr>
          <w:p w14:paraId="443EA4BE">
            <w:pPr>
              <w:pStyle w:val="13"/>
            </w:pPr>
            <w:r>
              <w:t>小学生公用经费生均小学720元。取暖费140元/生/年，随班就读学生补助7000元/生</w:t>
            </w:r>
          </w:p>
        </w:tc>
        <w:tc>
          <w:tcPr>
            <w:tcW w:w="1343" w:type="dxa"/>
            <w:vAlign w:val="center"/>
          </w:tcPr>
          <w:p w14:paraId="35D5F3F9">
            <w:pPr>
              <w:pStyle w:val="13"/>
            </w:pPr>
            <w:r>
              <w:t>840元</w:t>
            </w:r>
          </w:p>
        </w:tc>
        <w:tc>
          <w:tcPr>
            <w:tcW w:w="2201" w:type="dxa"/>
            <w:vAlign w:val="center"/>
          </w:tcPr>
          <w:p w14:paraId="35745FB2">
            <w:pPr>
              <w:pStyle w:val="13"/>
            </w:pPr>
            <w:r>
              <w:t>城乡义务教育公用经费管理办法</w:t>
            </w:r>
          </w:p>
        </w:tc>
      </w:tr>
      <w:tr w14:paraId="5082C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0A431"/>
        </w:tc>
        <w:tc>
          <w:tcPr>
            <w:tcW w:w="2268" w:type="dxa"/>
            <w:vAlign w:val="center"/>
          </w:tcPr>
          <w:p w14:paraId="0E0D9993">
            <w:pPr>
              <w:pStyle w:val="13"/>
            </w:pPr>
            <w:r>
              <w:t>质量指标</w:t>
            </w:r>
          </w:p>
        </w:tc>
        <w:tc>
          <w:tcPr>
            <w:tcW w:w="2835" w:type="dxa"/>
            <w:vAlign w:val="center"/>
          </w:tcPr>
          <w:p w14:paraId="138D07C2">
            <w:pPr>
              <w:pStyle w:val="13"/>
            </w:pPr>
            <w:r>
              <w:t>就读学生数</w:t>
            </w:r>
          </w:p>
        </w:tc>
        <w:tc>
          <w:tcPr>
            <w:tcW w:w="5386" w:type="dxa"/>
            <w:vAlign w:val="center"/>
          </w:tcPr>
          <w:p w14:paraId="0AA7E09B">
            <w:pPr>
              <w:pStyle w:val="13"/>
            </w:pPr>
            <w:r>
              <w:t>辐射区域内适龄学生人数</w:t>
            </w:r>
          </w:p>
        </w:tc>
        <w:tc>
          <w:tcPr>
            <w:tcW w:w="1343" w:type="dxa"/>
            <w:vAlign w:val="center"/>
          </w:tcPr>
          <w:p w14:paraId="20252D5E">
            <w:pPr>
              <w:pStyle w:val="13"/>
            </w:pPr>
            <w:r>
              <w:t>≥719人</w:t>
            </w:r>
          </w:p>
        </w:tc>
        <w:tc>
          <w:tcPr>
            <w:tcW w:w="2201" w:type="dxa"/>
            <w:vAlign w:val="center"/>
          </w:tcPr>
          <w:p w14:paraId="6940472C">
            <w:pPr>
              <w:pStyle w:val="13"/>
            </w:pPr>
            <w:r>
              <w:t>城乡义务教育公用经费管理办法</w:t>
            </w:r>
          </w:p>
        </w:tc>
      </w:tr>
      <w:tr w14:paraId="71EB4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9ED04"/>
        </w:tc>
        <w:tc>
          <w:tcPr>
            <w:tcW w:w="2268" w:type="dxa"/>
            <w:vAlign w:val="center"/>
          </w:tcPr>
          <w:p w14:paraId="639ACB85">
            <w:pPr>
              <w:pStyle w:val="13"/>
            </w:pPr>
            <w:r>
              <w:t>时效指标</w:t>
            </w:r>
          </w:p>
        </w:tc>
        <w:tc>
          <w:tcPr>
            <w:tcW w:w="2835" w:type="dxa"/>
            <w:vAlign w:val="center"/>
          </w:tcPr>
          <w:p w14:paraId="156C2F05">
            <w:pPr>
              <w:pStyle w:val="13"/>
            </w:pPr>
            <w:r>
              <w:t>预算执行率</w:t>
            </w:r>
          </w:p>
        </w:tc>
        <w:tc>
          <w:tcPr>
            <w:tcW w:w="5386" w:type="dxa"/>
            <w:vAlign w:val="center"/>
          </w:tcPr>
          <w:p w14:paraId="43CB32A0">
            <w:pPr>
              <w:pStyle w:val="13"/>
            </w:pPr>
            <w:r>
              <w:t>预算执行率≥98%</w:t>
            </w:r>
          </w:p>
        </w:tc>
        <w:tc>
          <w:tcPr>
            <w:tcW w:w="1343" w:type="dxa"/>
            <w:vAlign w:val="center"/>
          </w:tcPr>
          <w:p w14:paraId="484B34C2">
            <w:pPr>
              <w:pStyle w:val="13"/>
            </w:pPr>
            <w:r>
              <w:t>≥98%</w:t>
            </w:r>
          </w:p>
        </w:tc>
        <w:tc>
          <w:tcPr>
            <w:tcW w:w="2201" w:type="dxa"/>
            <w:vAlign w:val="center"/>
          </w:tcPr>
          <w:p w14:paraId="331333FD">
            <w:pPr>
              <w:pStyle w:val="13"/>
            </w:pPr>
            <w:r>
              <w:t>城乡义务教育公用经费管理办法</w:t>
            </w:r>
          </w:p>
        </w:tc>
      </w:tr>
      <w:tr w14:paraId="4F46D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E3000"/>
        </w:tc>
        <w:tc>
          <w:tcPr>
            <w:tcW w:w="2268" w:type="dxa"/>
            <w:vAlign w:val="center"/>
          </w:tcPr>
          <w:p w14:paraId="2840E018">
            <w:pPr>
              <w:pStyle w:val="13"/>
            </w:pPr>
            <w:r>
              <w:t>成本指标</w:t>
            </w:r>
          </w:p>
        </w:tc>
        <w:tc>
          <w:tcPr>
            <w:tcW w:w="2835" w:type="dxa"/>
            <w:vAlign w:val="center"/>
          </w:tcPr>
          <w:p w14:paraId="7FD3B4E3">
            <w:pPr>
              <w:pStyle w:val="13"/>
            </w:pPr>
            <w:r>
              <w:t>义教经费支付完成率</w:t>
            </w:r>
          </w:p>
        </w:tc>
        <w:tc>
          <w:tcPr>
            <w:tcW w:w="5386" w:type="dxa"/>
            <w:vAlign w:val="center"/>
          </w:tcPr>
          <w:p w14:paraId="305719AE">
            <w:pPr>
              <w:pStyle w:val="13"/>
            </w:pPr>
            <w:r>
              <w:t>按照序时进度完成资金支付</w:t>
            </w:r>
          </w:p>
        </w:tc>
        <w:tc>
          <w:tcPr>
            <w:tcW w:w="1343" w:type="dxa"/>
            <w:vAlign w:val="center"/>
          </w:tcPr>
          <w:p w14:paraId="3EB21EDC">
            <w:pPr>
              <w:pStyle w:val="13"/>
            </w:pPr>
            <w:r>
              <w:t>100%</w:t>
            </w:r>
          </w:p>
        </w:tc>
        <w:tc>
          <w:tcPr>
            <w:tcW w:w="2201" w:type="dxa"/>
            <w:vAlign w:val="center"/>
          </w:tcPr>
          <w:p w14:paraId="703E4DDA">
            <w:pPr>
              <w:pStyle w:val="13"/>
            </w:pPr>
            <w:r>
              <w:t>城乡义务教育公用经费管理办法</w:t>
            </w:r>
          </w:p>
        </w:tc>
      </w:tr>
      <w:tr w14:paraId="4DE6F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1AA3CA">
            <w:pPr>
              <w:pStyle w:val="12"/>
            </w:pPr>
            <w:r>
              <w:t>效益指标</w:t>
            </w:r>
          </w:p>
        </w:tc>
        <w:tc>
          <w:tcPr>
            <w:tcW w:w="2268" w:type="dxa"/>
            <w:vAlign w:val="center"/>
          </w:tcPr>
          <w:p w14:paraId="6CED0BCC">
            <w:pPr>
              <w:pStyle w:val="13"/>
            </w:pPr>
            <w:r>
              <w:t>可持续影响指标</w:t>
            </w:r>
          </w:p>
        </w:tc>
        <w:tc>
          <w:tcPr>
            <w:tcW w:w="2835" w:type="dxa"/>
            <w:vAlign w:val="center"/>
          </w:tcPr>
          <w:p w14:paraId="6B8E3BDA">
            <w:pPr>
              <w:pStyle w:val="13"/>
            </w:pPr>
            <w:r>
              <w:t>学校运转得到提高</w:t>
            </w:r>
          </w:p>
        </w:tc>
        <w:tc>
          <w:tcPr>
            <w:tcW w:w="5386" w:type="dxa"/>
            <w:vAlign w:val="center"/>
          </w:tcPr>
          <w:p w14:paraId="0344B379">
            <w:pPr>
              <w:pStyle w:val="13"/>
            </w:pPr>
            <w:r>
              <w:t>学生受教育年限</w:t>
            </w:r>
          </w:p>
        </w:tc>
        <w:tc>
          <w:tcPr>
            <w:tcW w:w="1343" w:type="dxa"/>
            <w:vAlign w:val="center"/>
          </w:tcPr>
          <w:p w14:paraId="6359D8A9">
            <w:pPr>
              <w:pStyle w:val="13"/>
            </w:pPr>
            <w:r>
              <w:t>6年</w:t>
            </w:r>
          </w:p>
        </w:tc>
        <w:tc>
          <w:tcPr>
            <w:tcW w:w="2201" w:type="dxa"/>
            <w:vAlign w:val="center"/>
          </w:tcPr>
          <w:p w14:paraId="27113573">
            <w:pPr>
              <w:pStyle w:val="13"/>
            </w:pPr>
            <w:r>
              <w:t>城乡义务教育公用经费管理办法</w:t>
            </w:r>
          </w:p>
        </w:tc>
      </w:tr>
      <w:tr w14:paraId="60280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E1324D">
            <w:pPr>
              <w:pStyle w:val="12"/>
            </w:pPr>
            <w:r>
              <w:t>满意度指标</w:t>
            </w:r>
          </w:p>
        </w:tc>
        <w:tc>
          <w:tcPr>
            <w:tcW w:w="2268" w:type="dxa"/>
            <w:vAlign w:val="center"/>
          </w:tcPr>
          <w:p w14:paraId="52786022">
            <w:pPr>
              <w:pStyle w:val="13"/>
            </w:pPr>
            <w:r>
              <w:t>服务对象满意度指标</w:t>
            </w:r>
          </w:p>
        </w:tc>
        <w:tc>
          <w:tcPr>
            <w:tcW w:w="2835" w:type="dxa"/>
            <w:vAlign w:val="center"/>
          </w:tcPr>
          <w:p w14:paraId="370636E0">
            <w:pPr>
              <w:pStyle w:val="13"/>
            </w:pPr>
            <w:r>
              <w:t>服务对象满意度</w:t>
            </w:r>
          </w:p>
        </w:tc>
        <w:tc>
          <w:tcPr>
            <w:tcW w:w="5386" w:type="dxa"/>
            <w:vAlign w:val="center"/>
          </w:tcPr>
          <w:p w14:paraId="027E557D">
            <w:pPr>
              <w:pStyle w:val="13"/>
            </w:pPr>
            <w:r>
              <w:t>学校老师和学生满意度</w:t>
            </w:r>
          </w:p>
        </w:tc>
        <w:tc>
          <w:tcPr>
            <w:tcW w:w="1343" w:type="dxa"/>
            <w:vAlign w:val="center"/>
          </w:tcPr>
          <w:p w14:paraId="43DD02F6">
            <w:pPr>
              <w:pStyle w:val="13"/>
            </w:pPr>
            <w:r>
              <w:t>≥95%</w:t>
            </w:r>
          </w:p>
        </w:tc>
        <w:tc>
          <w:tcPr>
            <w:tcW w:w="2201" w:type="dxa"/>
            <w:vAlign w:val="center"/>
          </w:tcPr>
          <w:p w14:paraId="6ECA59B5">
            <w:pPr>
              <w:pStyle w:val="13"/>
            </w:pPr>
            <w:r>
              <w:t>问卷调查</w:t>
            </w:r>
          </w:p>
        </w:tc>
      </w:tr>
    </w:tbl>
    <w:p w14:paraId="685EBE2E">
      <w:pPr>
        <w:sectPr>
          <w:pgSz w:w="16840" w:h="11900" w:orient="landscape"/>
          <w:pgMar w:top="1361" w:right="1020" w:bottom="1134" w:left="1020" w:header="720" w:footer="720" w:gutter="0"/>
          <w:cols w:space="720" w:num="1"/>
        </w:sectPr>
      </w:pPr>
    </w:p>
    <w:p w14:paraId="20CEC6D8">
      <w:pPr>
        <w:spacing w:before="0" w:after="0"/>
        <w:ind w:firstLine="560"/>
        <w:jc w:val="left"/>
        <w:outlineLvl w:val="9"/>
      </w:pPr>
      <w:r>
        <w:rPr>
          <w:rFonts w:ascii="方正仿宋_GBK" w:hAnsi="方正仿宋_GBK" w:eastAsia="方正仿宋_GBK" w:cs="方正仿宋_GBK"/>
          <w:b/>
          <w:color w:val="000000"/>
          <w:sz w:val="28"/>
        </w:rPr>
        <w:t>17、冀财教[2024]141号/省级/2025年义教补助经费/南吴疃小学公用经费</w:t>
      </w:r>
    </w:p>
    <w:p w14:paraId="34076FE1">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52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DF1E1">
            <w:pPr>
              <w:pStyle w:val="14"/>
            </w:pPr>
            <w:r>
              <w:t>单位：万元</w:t>
            </w:r>
          </w:p>
        </w:tc>
      </w:tr>
      <w:tr w14:paraId="4FC56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E0CE3C">
            <w:pPr>
              <w:pStyle w:val="11"/>
            </w:pPr>
            <w:r>
              <w:t>项目编码</w:t>
            </w:r>
          </w:p>
        </w:tc>
        <w:tc>
          <w:tcPr>
            <w:tcW w:w="5103" w:type="dxa"/>
            <w:gridSpan w:val="2"/>
            <w:vAlign w:val="center"/>
          </w:tcPr>
          <w:p w14:paraId="47C749E7">
            <w:pPr>
              <w:pStyle w:val="13"/>
            </w:pPr>
            <w:r>
              <w:t>13052525P00000410182F</w:t>
            </w:r>
          </w:p>
        </w:tc>
        <w:tc>
          <w:tcPr>
            <w:tcW w:w="2835" w:type="dxa"/>
            <w:vAlign w:val="center"/>
          </w:tcPr>
          <w:p w14:paraId="77FCF4F3">
            <w:pPr>
              <w:pStyle w:val="11"/>
            </w:pPr>
            <w:r>
              <w:t>项目名称</w:t>
            </w:r>
          </w:p>
        </w:tc>
        <w:tc>
          <w:tcPr>
            <w:tcW w:w="6095" w:type="dxa"/>
            <w:gridSpan w:val="3"/>
            <w:vAlign w:val="center"/>
          </w:tcPr>
          <w:p w14:paraId="45FCBFCE">
            <w:pPr>
              <w:pStyle w:val="13"/>
            </w:pPr>
            <w:r>
              <w:t>冀财教[2024]141号/省级/2025年义教补助经费/南吴疃小学公用经费</w:t>
            </w:r>
          </w:p>
          <w:p w14:paraId="6BB5B05A">
            <w:pPr>
              <w:pStyle w:val="13"/>
            </w:pPr>
          </w:p>
        </w:tc>
      </w:tr>
      <w:tr w14:paraId="053E8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ACD53">
            <w:pPr>
              <w:pStyle w:val="11"/>
            </w:pPr>
            <w:r>
              <w:t>预算规模及资金用途</w:t>
            </w:r>
          </w:p>
        </w:tc>
        <w:tc>
          <w:tcPr>
            <w:tcW w:w="2268" w:type="dxa"/>
            <w:vAlign w:val="center"/>
          </w:tcPr>
          <w:p w14:paraId="08F544DA">
            <w:pPr>
              <w:pStyle w:val="11"/>
            </w:pPr>
            <w:r>
              <w:t>预算数</w:t>
            </w:r>
          </w:p>
        </w:tc>
        <w:tc>
          <w:tcPr>
            <w:tcW w:w="2835" w:type="dxa"/>
            <w:vAlign w:val="center"/>
          </w:tcPr>
          <w:p w14:paraId="3FA7FB4C">
            <w:pPr>
              <w:pStyle w:val="13"/>
            </w:pPr>
            <w:r>
              <w:t>2.61</w:t>
            </w:r>
          </w:p>
        </w:tc>
        <w:tc>
          <w:tcPr>
            <w:tcW w:w="2835" w:type="dxa"/>
            <w:vAlign w:val="center"/>
          </w:tcPr>
          <w:p w14:paraId="5E4B1499">
            <w:pPr>
              <w:pStyle w:val="11"/>
            </w:pPr>
            <w:r>
              <w:t>其中：财政    资金</w:t>
            </w:r>
          </w:p>
        </w:tc>
        <w:tc>
          <w:tcPr>
            <w:tcW w:w="2551" w:type="dxa"/>
            <w:vAlign w:val="center"/>
          </w:tcPr>
          <w:p w14:paraId="0C3CEC2F">
            <w:pPr>
              <w:pStyle w:val="13"/>
            </w:pPr>
            <w:r>
              <w:t>2.61</w:t>
            </w:r>
          </w:p>
        </w:tc>
        <w:tc>
          <w:tcPr>
            <w:tcW w:w="2268" w:type="dxa"/>
            <w:vAlign w:val="center"/>
          </w:tcPr>
          <w:p w14:paraId="36C629EF">
            <w:pPr>
              <w:pStyle w:val="11"/>
            </w:pPr>
            <w:r>
              <w:t>其他资金</w:t>
            </w:r>
          </w:p>
        </w:tc>
        <w:tc>
          <w:tcPr>
            <w:tcW w:w="1276" w:type="dxa"/>
            <w:vAlign w:val="center"/>
          </w:tcPr>
          <w:p w14:paraId="1000946D">
            <w:pPr>
              <w:pStyle w:val="13"/>
            </w:pPr>
            <w:r>
              <w:t xml:space="preserve"> </w:t>
            </w:r>
          </w:p>
        </w:tc>
      </w:tr>
      <w:tr w14:paraId="369D5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6348DE"/>
        </w:tc>
        <w:tc>
          <w:tcPr>
            <w:tcW w:w="14033" w:type="dxa"/>
            <w:gridSpan w:val="6"/>
            <w:vAlign w:val="center"/>
          </w:tcPr>
          <w:p w14:paraId="1850C628">
            <w:pPr>
              <w:pStyle w:val="13"/>
            </w:pPr>
            <w:r>
              <w:t>保障义务教育学校正常运转，完成教育教学活动和其他日常工作任务等方面的费用支出。</w:t>
            </w:r>
          </w:p>
        </w:tc>
      </w:tr>
      <w:tr w14:paraId="1B6B2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C209F">
            <w:pPr>
              <w:pStyle w:val="11"/>
            </w:pPr>
            <w:r>
              <w:t>资金支出计划（%）</w:t>
            </w:r>
          </w:p>
        </w:tc>
        <w:tc>
          <w:tcPr>
            <w:tcW w:w="5103" w:type="dxa"/>
            <w:gridSpan w:val="2"/>
            <w:vAlign w:val="center"/>
          </w:tcPr>
          <w:p w14:paraId="18C1595B">
            <w:pPr>
              <w:pStyle w:val="11"/>
            </w:pPr>
            <w:r>
              <w:t>3月底</w:t>
            </w:r>
          </w:p>
        </w:tc>
        <w:tc>
          <w:tcPr>
            <w:tcW w:w="2835" w:type="dxa"/>
            <w:vAlign w:val="center"/>
          </w:tcPr>
          <w:p w14:paraId="2506F8AB">
            <w:pPr>
              <w:pStyle w:val="11"/>
            </w:pPr>
            <w:r>
              <w:t>6月底</w:t>
            </w:r>
          </w:p>
        </w:tc>
        <w:tc>
          <w:tcPr>
            <w:tcW w:w="2551" w:type="dxa"/>
            <w:vAlign w:val="center"/>
          </w:tcPr>
          <w:p w14:paraId="56ACE68A">
            <w:pPr>
              <w:pStyle w:val="11"/>
            </w:pPr>
            <w:r>
              <w:t>10月底</w:t>
            </w:r>
          </w:p>
        </w:tc>
        <w:tc>
          <w:tcPr>
            <w:tcW w:w="3544" w:type="dxa"/>
            <w:gridSpan w:val="2"/>
            <w:vAlign w:val="center"/>
          </w:tcPr>
          <w:p w14:paraId="5C0697D3">
            <w:pPr>
              <w:pStyle w:val="11"/>
            </w:pPr>
            <w:r>
              <w:t>12月底</w:t>
            </w:r>
          </w:p>
        </w:tc>
      </w:tr>
      <w:tr w14:paraId="46F21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96D28"/>
        </w:tc>
        <w:tc>
          <w:tcPr>
            <w:tcW w:w="5103" w:type="dxa"/>
            <w:gridSpan w:val="2"/>
            <w:vAlign w:val="center"/>
          </w:tcPr>
          <w:p w14:paraId="57A667ED">
            <w:pPr>
              <w:pStyle w:val="12"/>
            </w:pPr>
            <w:r>
              <w:t>25%</w:t>
            </w:r>
          </w:p>
        </w:tc>
        <w:tc>
          <w:tcPr>
            <w:tcW w:w="2835" w:type="dxa"/>
            <w:vAlign w:val="center"/>
          </w:tcPr>
          <w:p w14:paraId="3CCECCCA">
            <w:pPr>
              <w:pStyle w:val="12"/>
            </w:pPr>
            <w:r>
              <w:t>50%</w:t>
            </w:r>
          </w:p>
        </w:tc>
        <w:tc>
          <w:tcPr>
            <w:tcW w:w="2551" w:type="dxa"/>
            <w:vAlign w:val="center"/>
          </w:tcPr>
          <w:p w14:paraId="674E596C">
            <w:pPr>
              <w:pStyle w:val="12"/>
            </w:pPr>
            <w:r>
              <w:t>75%</w:t>
            </w:r>
          </w:p>
        </w:tc>
        <w:tc>
          <w:tcPr>
            <w:tcW w:w="3544" w:type="dxa"/>
            <w:gridSpan w:val="2"/>
            <w:vAlign w:val="center"/>
          </w:tcPr>
          <w:p w14:paraId="55D5D44E">
            <w:pPr>
              <w:pStyle w:val="12"/>
            </w:pPr>
            <w:r>
              <w:t>100%</w:t>
            </w:r>
          </w:p>
        </w:tc>
      </w:tr>
      <w:tr w14:paraId="6B0D9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ABCA52">
            <w:pPr>
              <w:pStyle w:val="11"/>
            </w:pPr>
            <w:r>
              <w:t>绩效目标</w:t>
            </w:r>
          </w:p>
        </w:tc>
        <w:tc>
          <w:tcPr>
            <w:tcW w:w="14033" w:type="dxa"/>
            <w:gridSpan w:val="6"/>
            <w:vAlign w:val="center"/>
          </w:tcPr>
          <w:p w14:paraId="2ABECE9A">
            <w:pPr>
              <w:pStyle w:val="13"/>
            </w:pPr>
            <w:r>
              <w:t>1.保障义务教育学校正常运转，完成教育教学活动和其他日常工作任务等方面的费用支出。</w:t>
            </w:r>
          </w:p>
          <w:p w14:paraId="3604F4FD">
            <w:pPr>
              <w:pStyle w:val="13"/>
            </w:pPr>
            <w:r>
              <w:t>2.按规定拨付公用经费资金2.612万元，资金拨付率达到100%。</w:t>
            </w:r>
          </w:p>
        </w:tc>
      </w:tr>
    </w:tbl>
    <w:p w14:paraId="3AAE8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78"/>
        <w:gridCol w:w="2066"/>
      </w:tblGrid>
      <w:tr w14:paraId="05DEE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AD704">
            <w:pPr>
              <w:pStyle w:val="11"/>
            </w:pPr>
            <w:r>
              <w:t>一级指标</w:t>
            </w:r>
          </w:p>
        </w:tc>
        <w:tc>
          <w:tcPr>
            <w:tcW w:w="2268" w:type="dxa"/>
            <w:vAlign w:val="center"/>
          </w:tcPr>
          <w:p w14:paraId="0AA171B7">
            <w:pPr>
              <w:pStyle w:val="11"/>
            </w:pPr>
            <w:r>
              <w:t>二级指标</w:t>
            </w:r>
          </w:p>
        </w:tc>
        <w:tc>
          <w:tcPr>
            <w:tcW w:w="2835" w:type="dxa"/>
            <w:vAlign w:val="center"/>
          </w:tcPr>
          <w:p w14:paraId="1C3C991D">
            <w:pPr>
              <w:pStyle w:val="11"/>
            </w:pPr>
            <w:r>
              <w:t>三级指标</w:t>
            </w:r>
          </w:p>
        </w:tc>
        <w:tc>
          <w:tcPr>
            <w:tcW w:w="5386" w:type="dxa"/>
            <w:vAlign w:val="center"/>
          </w:tcPr>
          <w:p w14:paraId="5BAB92E9">
            <w:pPr>
              <w:pStyle w:val="11"/>
            </w:pPr>
            <w:r>
              <w:t>绩效指标描述</w:t>
            </w:r>
          </w:p>
        </w:tc>
        <w:tc>
          <w:tcPr>
            <w:tcW w:w="1478" w:type="dxa"/>
            <w:vAlign w:val="center"/>
          </w:tcPr>
          <w:p w14:paraId="65CDAC30">
            <w:pPr>
              <w:pStyle w:val="11"/>
            </w:pPr>
            <w:r>
              <w:t>指标值</w:t>
            </w:r>
          </w:p>
        </w:tc>
        <w:tc>
          <w:tcPr>
            <w:tcW w:w="2066" w:type="dxa"/>
            <w:vAlign w:val="center"/>
          </w:tcPr>
          <w:p w14:paraId="150F2F30">
            <w:pPr>
              <w:pStyle w:val="11"/>
            </w:pPr>
            <w:r>
              <w:t>指标值确定依据</w:t>
            </w:r>
          </w:p>
        </w:tc>
      </w:tr>
      <w:tr w14:paraId="428B6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32017">
            <w:pPr>
              <w:pStyle w:val="12"/>
            </w:pPr>
            <w:r>
              <w:t>产出指标</w:t>
            </w:r>
          </w:p>
        </w:tc>
        <w:tc>
          <w:tcPr>
            <w:tcW w:w="2268" w:type="dxa"/>
            <w:vAlign w:val="center"/>
          </w:tcPr>
          <w:p w14:paraId="13BCB68E">
            <w:pPr>
              <w:pStyle w:val="13"/>
            </w:pPr>
            <w:r>
              <w:t>数量指标</w:t>
            </w:r>
          </w:p>
        </w:tc>
        <w:tc>
          <w:tcPr>
            <w:tcW w:w="2835" w:type="dxa"/>
            <w:vAlign w:val="center"/>
          </w:tcPr>
          <w:p w14:paraId="0620CE2E">
            <w:pPr>
              <w:pStyle w:val="13"/>
            </w:pPr>
            <w:r>
              <w:t>生均拨款标准</w:t>
            </w:r>
          </w:p>
        </w:tc>
        <w:tc>
          <w:tcPr>
            <w:tcW w:w="5386" w:type="dxa"/>
            <w:vAlign w:val="center"/>
          </w:tcPr>
          <w:p w14:paraId="1FCD3919">
            <w:pPr>
              <w:pStyle w:val="13"/>
            </w:pPr>
            <w:r>
              <w:t>小学生公用经费生均小学720元。取暖费140元/生/年，随班就读学生补助7000元/生</w:t>
            </w:r>
          </w:p>
        </w:tc>
        <w:tc>
          <w:tcPr>
            <w:tcW w:w="1478" w:type="dxa"/>
            <w:vAlign w:val="center"/>
          </w:tcPr>
          <w:p w14:paraId="0F158BCF">
            <w:pPr>
              <w:pStyle w:val="13"/>
            </w:pPr>
            <w:r>
              <w:t>840元</w:t>
            </w:r>
          </w:p>
        </w:tc>
        <w:tc>
          <w:tcPr>
            <w:tcW w:w="2066" w:type="dxa"/>
            <w:vAlign w:val="center"/>
          </w:tcPr>
          <w:p w14:paraId="667DF41A">
            <w:pPr>
              <w:pStyle w:val="13"/>
            </w:pPr>
            <w:r>
              <w:t>城乡义务教育公用经费管理办法</w:t>
            </w:r>
          </w:p>
        </w:tc>
      </w:tr>
      <w:tr w14:paraId="02446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6F896"/>
        </w:tc>
        <w:tc>
          <w:tcPr>
            <w:tcW w:w="2268" w:type="dxa"/>
            <w:vAlign w:val="center"/>
          </w:tcPr>
          <w:p w14:paraId="123CAB2B">
            <w:pPr>
              <w:pStyle w:val="13"/>
            </w:pPr>
            <w:r>
              <w:t>质量指标</w:t>
            </w:r>
          </w:p>
        </w:tc>
        <w:tc>
          <w:tcPr>
            <w:tcW w:w="2835" w:type="dxa"/>
            <w:vAlign w:val="center"/>
          </w:tcPr>
          <w:p w14:paraId="555B0CEF">
            <w:pPr>
              <w:pStyle w:val="13"/>
            </w:pPr>
            <w:r>
              <w:t>就读学生数</w:t>
            </w:r>
          </w:p>
        </w:tc>
        <w:tc>
          <w:tcPr>
            <w:tcW w:w="5386" w:type="dxa"/>
            <w:vAlign w:val="center"/>
          </w:tcPr>
          <w:p w14:paraId="788C3286">
            <w:pPr>
              <w:pStyle w:val="13"/>
            </w:pPr>
            <w:r>
              <w:t>辐射区域内适龄学生人数</w:t>
            </w:r>
          </w:p>
        </w:tc>
        <w:tc>
          <w:tcPr>
            <w:tcW w:w="1478" w:type="dxa"/>
            <w:vAlign w:val="center"/>
          </w:tcPr>
          <w:p w14:paraId="77D0E61F">
            <w:pPr>
              <w:pStyle w:val="13"/>
            </w:pPr>
            <w:r>
              <w:t>≥116人</w:t>
            </w:r>
          </w:p>
        </w:tc>
        <w:tc>
          <w:tcPr>
            <w:tcW w:w="2066" w:type="dxa"/>
            <w:vAlign w:val="center"/>
          </w:tcPr>
          <w:p w14:paraId="02750B7E">
            <w:pPr>
              <w:pStyle w:val="13"/>
            </w:pPr>
            <w:r>
              <w:t>城乡义务教育公用经费管理办法</w:t>
            </w:r>
          </w:p>
        </w:tc>
      </w:tr>
      <w:tr w14:paraId="6EC4D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D928F"/>
        </w:tc>
        <w:tc>
          <w:tcPr>
            <w:tcW w:w="2268" w:type="dxa"/>
            <w:vAlign w:val="center"/>
          </w:tcPr>
          <w:p w14:paraId="48E26858">
            <w:pPr>
              <w:pStyle w:val="13"/>
            </w:pPr>
            <w:r>
              <w:t>时效指标</w:t>
            </w:r>
          </w:p>
        </w:tc>
        <w:tc>
          <w:tcPr>
            <w:tcW w:w="2835" w:type="dxa"/>
            <w:vAlign w:val="center"/>
          </w:tcPr>
          <w:p w14:paraId="13F811F9">
            <w:pPr>
              <w:pStyle w:val="13"/>
            </w:pPr>
            <w:r>
              <w:t>预算执行率</w:t>
            </w:r>
          </w:p>
        </w:tc>
        <w:tc>
          <w:tcPr>
            <w:tcW w:w="5386" w:type="dxa"/>
            <w:vAlign w:val="center"/>
          </w:tcPr>
          <w:p w14:paraId="3B027D51">
            <w:pPr>
              <w:pStyle w:val="13"/>
            </w:pPr>
            <w:r>
              <w:t>预算执行率≥98%</w:t>
            </w:r>
          </w:p>
        </w:tc>
        <w:tc>
          <w:tcPr>
            <w:tcW w:w="1478" w:type="dxa"/>
            <w:vAlign w:val="center"/>
          </w:tcPr>
          <w:p w14:paraId="3643FAB6">
            <w:pPr>
              <w:pStyle w:val="13"/>
            </w:pPr>
            <w:r>
              <w:t>≥98%</w:t>
            </w:r>
          </w:p>
        </w:tc>
        <w:tc>
          <w:tcPr>
            <w:tcW w:w="2066" w:type="dxa"/>
            <w:vAlign w:val="center"/>
          </w:tcPr>
          <w:p w14:paraId="0BF8982B">
            <w:pPr>
              <w:pStyle w:val="13"/>
            </w:pPr>
            <w:r>
              <w:t>城乡义务教育公用经费管理办法</w:t>
            </w:r>
          </w:p>
        </w:tc>
      </w:tr>
      <w:tr w14:paraId="79F05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F4660"/>
        </w:tc>
        <w:tc>
          <w:tcPr>
            <w:tcW w:w="2268" w:type="dxa"/>
            <w:vAlign w:val="center"/>
          </w:tcPr>
          <w:p w14:paraId="5D43B4D5">
            <w:pPr>
              <w:pStyle w:val="13"/>
            </w:pPr>
            <w:r>
              <w:t>成本指标</w:t>
            </w:r>
          </w:p>
        </w:tc>
        <w:tc>
          <w:tcPr>
            <w:tcW w:w="2835" w:type="dxa"/>
            <w:vAlign w:val="center"/>
          </w:tcPr>
          <w:p w14:paraId="60A84B47">
            <w:pPr>
              <w:pStyle w:val="13"/>
            </w:pPr>
            <w:r>
              <w:t>义教经费支付完成率</w:t>
            </w:r>
          </w:p>
        </w:tc>
        <w:tc>
          <w:tcPr>
            <w:tcW w:w="5386" w:type="dxa"/>
            <w:vAlign w:val="center"/>
          </w:tcPr>
          <w:p w14:paraId="69514278">
            <w:pPr>
              <w:pStyle w:val="13"/>
            </w:pPr>
            <w:r>
              <w:t>按照序时进度完成资金支付</w:t>
            </w:r>
          </w:p>
        </w:tc>
        <w:tc>
          <w:tcPr>
            <w:tcW w:w="1478" w:type="dxa"/>
            <w:vAlign w:val="center"/>
          </w:tcPr>
          <w:p w14:paraId="18284C4C">
            <w:pPr>
              <w:pStyle w:val="13"/>
            </w:pPr>
            <w:r>
              <w:t>100%</w:t>
            </w:r>
          </w:p>
        </w:tc>
        <w:tc>
          <w:tcPr>
            <w:tcW w:w="2066" w:type="dxa"/>
            <w:vAlign w:val="center"/>
          </w:tcPr>
          <w:p w14:paraId="02181FA0">
            <w:pPr>
              <w:pStyle w:val="13"/>
            </w:pPr>
            <w:r>
              <w:t>城乡义务教育公用经费管理办法</w:t>
            </w:r>
          </w:p>
        </w:tc>
      </w:tr>
      <w:tr w14:paraId="70E2C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2FAB7D">
            <w:pPr>
              <w:pStyle w:val="12"/>
            </w:pPr>
            <w:r>
              <w:t>效益指标</w:t>
            </w:r>
          </w:p>
        </w:tc>
        <w:tc>
          <w:tcPr>
            <w:tcW w:w="2268" w:type="dxa"/>
            <w:vAlign w:val="center"/>
          </w:tcPr>
          <w:p w14:paraId="3EA7B139">
            <w:pPr>
              <w:pStyle w:val="13"/>
            </w:pPr>
            <w:r>
              <w:t>可持续影响指标</w:t>
            </w:r>
          </w:p>
        </w:tc>
        <w:tc>
          <w:tcPr>
            <w:tcW w:w="2835" w:type="dxa"/>
            <w:vAlign w:val="center"/>
          </w:tcPr>
          <w:p w14:paraId="483AC495">
            <w:pPr>
              <w:pStyle w:val="13"/>
            </w:pPr>
            <w:r>
              <w:t>学校运转得到提高</w:t>
            </w:r>
          </w:p>
        </w:tc>
        <w:tc>
          <w:tcPr>
            <w:tcW w:w="5386" w:type="dxa"/>
            <w:vAlign w:val="center"/>
          </w:tcPr>
          <w:p w14:paraId="6A1DB15F">
            <w:pPr>
              <w:pStyle w:val="13"/>
            </w:pPr>
            <w:r>
              <w:t>学生受教育年限</w:t>
            </w:r>
          </w:p>
        </w:tc>
        <w:tc>
          <w:tcPr>
            <w:tcW w:w="1478" w:type="dxa"/>
            <w:vAlign w:val="center"/>
          </w:tcPr>
          <w:p w14:paraId="13CDEE4E">
            <w:pPr>
              <w:pStyle w:val="13"/>
            </w:pPr>
            <w:r>
              <w:t>6年</w:t>
            </w:r>
          </w:p>
        </w:tc>
        <w:tc>
          <w:tcPr>
            <w:tcW w:w="2066" w:type="dxa"/>
            <w:vAlign w:val="center"/>
          </w:tcPr>
          <w:p w14:paraId="003DCC95">
            <w:pPr>
              <w:pStyle w:val="13"/>
            </w:pPr>
            <w:r>
              <w:t>城乡义务教育公用经费管理办法</w:t>
            </w:r>
          </w:p>
        </w:tc>
      </w:tr>
      <w:tr w14:paraId="4A1BC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CAC156">
            <w:pPr>
              <w:pStyle w:val="12"/>
            </w:pPr>
            <w:r>
              <w:t>满意度指标</w:t>
            </w:r>
          </w:p>
        </w:tc>
        <w:tc>
          <w:tcPr>
            <w:tcW w:w="2268" w:type="dxa"/>
            <w:vAlign w:val="center"/>
          </w:tcPr>
          <w:p w14:paraId="380E60E7">
            <w:pPr>
              <w:pStyle w:val="13"/>
            </w:pPr>
            <w:r>
              <w:t>服务对象满意度指标</w:t>
            </w:r>
          </w:p>
        </w:tc>
        <w:tc>
          <w:tcPr>
            <w:tcW w:w="2835" w:type="dxa"/>
            <w:vAlign w:val="center"/>
          </w:tcPr>
          <w:p w14:paraId="53B88550">
            <w:pPr>
              <w:pStyle w:val="13"/>
            </w:pPr>
            <w:r>
              <w:t>服务对象满意度</w:t>
            </w:r>
          </w:p>
        </w:tc>
        <w:tc>
          <w:tcPr>
            <w:tcW w:w="5386" w:type="dxa"/>
            <w:vAlign w:val="center"/>
          </w:tcPr>
          <w:p w14:paraId="0B811240">
            <w:pPr>
              <w:pStyle w:val="13"/>
            </w:pPr>
            <w:r>
              <w:t>学校老师和学生满意度</w:t>
            </w:r>
          </w:p>
        </w:tc>
        <w:tc>
          <w:tcPr>
            <w:tcW w:w="1478" w:type="dxa"/>
            <w:vAlign w:val="center"/>
          </w:tcPr>
          <w:p w14:paraId="5D9B2FE7">
            <w:pPr>
              <w:pStyle w:val="13"/>
            </w:pPr>
            <w:r>
              <w:t>≥95%</w:t>
            </w:r>
          </w:p>
        </w:tc>
        <w:tc>
          <w:tcPr>
            <w:tcW w:w="2066" w:type="dxa"/>
            <w:vAlign w:val="center"/>
          </w:tcPr>
          <w:p w14:paraId="44342B1A">
            <w:pPr>
              <w:pStyle w:val="13"/>
            </w:pPr>
            <w:r>
              <w:t>城乡义务教育公用经费管理办法</w:t>
            </w:r>
          </w:p>
        </w:tc>
      </w:tr>
    </w:tbl>
    <w:p w14:paraId="4DF42ED0">
      <w:pPr>
        <w:sectPr>
          <w:pgSz w:w="16840" w:h="11900" w:orient="landscape"/>
          <w:pgMar w:top="1361" w:right="1020" w:bottom="1134" w:left="1020" w:header="720" w:footer="720" w:gutter="0"/>
          <w:cols w:space="720" w:num="1"/>
        </w:sectPr>
      </w:pPr>
    </w:p>
    <w:p w14:paraId="52B1B434">
      <w:pPr>
        <w:spacing w:before="0" w:after="0"/>
        <w:ind w:firstLine="560"/>
        <w:jc w:val="left"/>
        <w:outlineLvl w:val="9"/>
      </w:pPr>
      <w:r>
        <w:rPr>
          <w:rFonts w:ascii="方正仿宋_GBK" w:hAnsi="方正仿宋_GBK" w:eastAsia="方正仿宋_GBK" w:cs="方正仿宋_GBK"/>
          <w:b/>
          <w:color w:val="000000"/>
          <w:sz w:val="28"/>
        </w:rPr>
        <w:t>18、冀财教[2024]141号/省级/2025年义教补助经费/任村小学公用经费绩效目标表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25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77AC7">
            <w:pPr>
              <w:pStyle w:val="14"/>
            </w:pPr>
            <w:r>
              <w:t>单位：万元</w:t>
            </w:r>
          </w:p>
        </w:tc>
      </w:tr>
      <w:tr w14:paraId="6C7B4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6477A">
            <w:pPr>
              <w:pStyle w:val="11"/>
            </w:pPr>
            <w:r>
              <w:t>项目编码</w:t>
            </w:r>
          </w:p>
        </w:tc>
        <w:tc>
          <w:tcPr>
            <w:tcW w:w="5103" w:type="dxa"/>
            <w:gridSpan w:val="2"/>
            <w:vAlign w:val="center"/>
          </w:tcPr>
          <w:p w14:paraId="657140CF">
            <w:pPr>
              <w:pStyle w:val="13"/>
            </w:pPr>
            <w:r>
              <w:t>13052525P000004101904</w:t>
            </w:r>
          </w:p>
        </w:tc>
        <w:tc>
          <w:tcPr>
            <w:tcW w:w="2835" w:type="dxa"/>
            <w:vAlign w:val="center"/>
          </w:tcPr>
          <w:p w14:paraId="4CE9ABA5">
            <w:pPr>
              <w:pStyle w:val="11"/>
            </w:pPr>
            <w:r>
              <w:t>项目名称</w:t>
            </w:r>
          </w:p>
        </w:tc>
        <w:tc>
          <w:tcPr>
            <w:tcW w:w="6095" w:type="dxa"/>
            <w:gridSpan w:val="3"/>
            <w:vAlign w:val="center"/>
          </w:tcPr>
          <w:p w14:paraId="7752CF5E">
            <w:pPr>
              <w:pStyle w:val="13"/>
            </w:pPr>
            <w:r>
              <w:t>冀财教[2024]141号/省级/2025年义教补助经费/任村小学公用经费</w:t>
            </w:r>
          </w:p>
        </w:tc>
      </w:tr>
      <w:tr w14:paraId="425D8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9DF5B">
            <w:pPr>
              <w:pStyle w:val="11"/>
            </w:pPr>
            <w:r>
              <w:t>预算规模及资金用途</w:t>
            </w:r>
          </w:p>
        </w:tc>
        <w:tc>
          <w:tcPr>
            <w:tcW w:w="2268" w:type="dxa"/>
            <w:vAlign w:val="center"/>
          </w:tcPr>
          <w:p w14:paraId="7F017B81">
            <w:pPr>
              <w:pStyle w:val="11"/>
            </w:pPr>
            <w:r>
              <w:t>预算数</w:t>
            </w:r>
          </w:p>
        </w:tc>
        <w:tc>
          <w:tcPr>
            <w:tcW w:w="2835" w:type="dxa"/>
            <w:vAlign w:val="center"/>
          </w:tcPr>
          <w:p w14:paraId="2B632794">
            <w:pPr>
              <w:pStyle w:val="13"/>
            </w:pPr>
            <w:r>
              <w:t>3.02</w:t>
            </w:r>
          </w:p>
        </w:tc>
        <w:tc>
          <w:tcPr>
            <w:tcW w:w="2835" w:type="dxa"/>
            <w:vAlign w:val="center"/>
          </w:tcPr>
          <w:p w14:paraId="1412DE23">
            <w:pPr>
              <w:pStyle w:val="11"/>
            </w:pPr>
            <w:r>
              <w:t>其中：财政    资金</w:t>
            </w:r>
          </w:p>
        </w:tc>
        <w:tc>
          <w:tcPr>
            <w:tcW w:w="2551" w:type="dxa"/>
            <w:vAlign w:val="center"/>
          </w:tcPr>
          <w:p w14:paraId="08B21B97">
            <w:pPr>
              <w:pStyle w:val="13"/>
            </w:pPr>
            <w:r>
              <w:t>3.02</w:t>
            </w:r>
          </w:p>
        </w:tc>
        <w:tc>
          <w:tcPr>
            <w:tcW w:w="2268" w:type="dxa"/>
            <w:vAlign w:val="center"/>
          </w:tcPr>
          <w:p w14:paraId="5469A080">
            <w:pPr>
              <w:pStyle w:val="11"/>
            </w:pPr>
            <w:r>
              <w:t>其他资金</w:t>
            </w:r>
          </w:p>
        </w:tc>
        <w:tc>
          <w:tcPr>
            <w:tcW w:w="1276" w:type="dxa"/>
            <w:vAlign w:val="center"/>
          </w:tcPr>
          <w:p w14:paraId="35484C76">
            <w:pPr>
              <w:pStyle w:val="13"/>
            </w:pPr>
            <w:r>
              <w:t xml:space="preserve"> </w:t>
            </w:r>
          </w:p>
        </w:tc>
      </w:tr>
      <w:tr w14:paraId="1694B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9F208C"/>
        </w:tc>
        <w:tc>
          <w:tcPr>
            <w:tcW w:w="14033" w:type="dxa"/>
            <w:gridSpan w:val="6"/>
            <w:vAlign w:val="center"/>
          </w:tcPr>
          <w:p w14:paraId="5EB317BB">
            <w:pPr>
              <w:pStyle w:val="13"/>
            </w:pPr>
            <w:r>
              <w:t>保障义务教育学校正常运转，完成教育教学活动和其他日常工作任务等方面的费用支出。</w:t>
            </w:r>
          </w:p>
        </w:tc>
      </w:tr>
      <w:tr w14:paraId="33CEC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31066B1E">
            <w:pPr>
              <w:pStyle w:val="11"/>
            </w:pPr>
            <w:r>
              <w:t>资金支出计划（%）</w:t>
            </w:r>
          </w:p>
        </w:tc>
        <w:tc>
          <w:tcPr>
            <w:tcW w:w="5103" w:type="dxa"/>
            <w:gridSpan w:val="2"/>
            <w:vAlign w:val="center"/>
          </w:tcPr>
          <w:p w14:paraId="494E5CF2">
            <w:pPr>
              <w:pStyle w:val="11"/>
            </w:pPr>
            <w:r>
              <w:t>3月底</w:t>
            </w:r>
          </w:p>
        </w:tc>
        <w:tc>
          <w:tcPr>
            <w:tcW w:w="2835" w:type="dxa"/>
            <w:vAlign w:val="center"/>
          </w:tcPr>
          <w:p w14:paraId="7A634EE3">
            <w:pPr>
              <w:pStyle w:val="11"/>
            </w:pPr>
            <w:r>
              <w:t>6月底</w:t>
            </w:r>
          </w:p>
        </w:tc>
        <w:tc>
          <w:tcPr>
            <w:tcW w:w="2551" w:type="dxa"/>
            <w:vAlign w:val="center"/>
          </w:tcPr>
          <w:p w14:paraId="3B61AA1A">
            <w:pPr>
              <w:pStyle w:val="11"/>
            </w:pPr>
            <w:r>
              <w:t>10月底</w:t>
            </w:r>
          </w:p>
        </w:tc>
        <w:tc>
          <w:tcPr>
            <w:tcW w:w="3544" w:type="dxa"/>
            <w:gridSpan w:val="2"/>
            <w:vAlign w:val="center"/>
          </w:tcPr>
          <w:p w14:paraId="6F787BA5">
            <w:pPr>
              <w:pStyle w:val="11"/>
            </w:pPr>
            <w:r>
              <w:t>12月底</w:t>
            </w:r>
          </w:p>
        </w:tc>
      </w:tr>
      <w:tr w14:paraId="7CB6D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B9FB4"/>
        </w:tc>
        <w:tc>
          <w:tcPr>
            <w:tcW w:w="5103" w:type="dxa"/>
            <w:gridSpan w:val="2"/>
            <w:vAlign w:val="center"/>
          </w:tcPr>
          <w:p w14:paraId="6563FB32">
            <w:pPr>
              <w:pStyle w:val="12"/>
            </w:pPr>
            <w:r>
              <w:t>25%</w:t>
            </w:r>
          </w:p>
        </w:tc>
        <w:tc>
          <w:tcPr>
            <w:tcW w:w="2835" w:type="dxa"/>
            <w:vAlign w:val="center"/>
          </w:tcPr>
          <w:p w14:paraId="0834EEF7">
            <w:pPr>
              <w:pStyle w:val="12"/>
            </w:pPr>
            <w:r>
              <w:t>50%</w:t>
            </w:r>
          </w:p>
        </w:tc>
        <w:tc>
          <w:tcPr>
            <w:tcW w:w="2551" w:type="dxa"/>
            <w:vAlign w:val="center"/>
          </w:tcPr>
          <w:p w14:paraId="2861D823">
            <w:pPr>
              <w:pStyle w:val="12"/>
            </w:pPr>
            <w:r>
              <w:t>75%</w:t>
            </w:r>
          </w:p>
        </w:tc>
        <w:tc>
          <w:tcPr>
            <w:tcW w:w="3544" w:type="dxa"/>
            <w:gridSpan w:val="2"/>
            <w:vAlign w:val="center"/>
          </w:tcPr>
          <w:p w14:paraId="411053F2">
            <w:pPr>
              <w:pStyle w:val="12"/>
            </w:pPr>
            <w:r>
              <w:t>100%</w:t>
            </w:r>
          </w:p>
        </w:tc>
      </w:tr>
      <w:tr w14:paraId="7A794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DB697F">
            <w:pPr>
              <w:pStyle w:val="11"/>
            </w:pPr>
            <w:r>
              <w:t>绩效目标</w:t>
            </w:r>
          </w:p>
        </w:tc>
        <w:tc>
          <w:tcPr>
            <w:tcW w:w="14033" w:type="dxa"/>
            <w:gridSpan w:val="6"/>
            <w:vAlign w:val="center"/>
          </w:tcPr>
          <w:p w14:paraId="620C2F3B">
            <w:pPr>
              <w:pStyle w:val="13"/>
            </w:pPr>
            <w:r>
              <w:t>1.保障义务教育学校正常运转，完成教育教学活动和其他日常工作任务等方面的费用支出。</w:t>
            </w:r>
          </w:p>
          <w:p w14:paraId="231DB7E0">
            <w:pPr>
              <w:pStyle w:val="13"/>
            </w:pPr>
            <w:r>
              <w:t>2.按规定拨付公用经费资金3.022万元，资金拨付率达到100%。</w:t>
            </w:r>
          </w:p>
        </w:tc>
      </w:tr>
    </w:tbl>
    <w:p w14:paraId="46361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53"/>
        <w:gridCol w:w="1991"/>
      </w:tblGrid>
      <w:tr w14:paraId="2900E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A61CE">
            <w:pPr>
              <w:pStyle w:val="11"/>
            </w:pPr>
            <w:r>
              <w:t>一级指标</w:t>
            </w:r>
          </w:p>
        </w:tc>
        <w:tc>
          <w:tcPr>
            <w:tcW w:w="2268" w:type="dxa"/>
            <w:vAlign w:val="center"/>
          </w:tcPr>
          <w:p w14:paraId="4B68EF5E">
            <w:pPr>
              <w:pStyle w:val="11"/>
            </w:pPr>
            <w:r>
              <w:t>二级指标</w:t>
            </w:r>
          </w:p>
        </w:tc>
        <w:tc>
          <w:tcPr>
            <w:tcW w:w="2835" w:type="dxa"/>
            <w:vAlign w:val="center"/>
          </w:tcPr>
          <w:p w14:paraId="39CDBD6F">
            <w:pPr>
              <w:pStyle w:val="11"/>
            </w:pPr>
            <w:r>
              <w:t>三级指标</w:t>
            </w:r>
          </w:p>
        </w:tc>
        <w:tc>
          <w:tcPr>
            <w:tcW w:w="5386" w:type="dxa"/>
            <w:vAlign w:val="center"/>
          </w:tcPr>
          <w:p w14:paraId="7B716C08">
            <w:pPr>
              <w:pStyle w:val="11"/>
            </w:pPr>
            <w:r>
              <w:t>绩效指标描述</w:t>
            </w:r>
          </w:p>
        </w:tc>
        <w:tc>
          <w:tcPr>
            <w:tcW w:w="1553" w:type="dxa"/>
            <w:vAlign w:val="center"/>
          </w:tcPr>
          <w:p w14:paraId="4B203DDF">
            <w:pPr>
              <w:pStyle w:val="11"/>
            </w:pPr>
            <w:r>
              <w:t>指标值</w:t>
            </w:r>
          </w:p>
        </w:tc>
        <w:tc>
          <w:tcPr>
            <w:tcW w:w="1991" w:type="dxa"/>
            <w:vAlign w:val="center"/>
          </w:tcPr>
          <w:p w14:paraId="24B8601D">
            <w:pPr>
              <w:pStyle w:val="11"/>
            </w:pPr>
            <w:r>
              <w:t>指标值确定依据</w:t>
            </w:r>
          </w:p>
        </w:tc>
      </w:tr>
      <w:tr w14:paraId="25767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BA0BA">
            <w:pPr>
              <w:pStyle w:val="12"/>
            </w:pPr>
            <w:r>
              <w:t>产出指标</w:t>
            </w:r>
          </w:p>
        </w:tc>
        <w:tc>
          <w:tcPr>
            <w:tcW w:w="2268" w:type="dxa"/>
            <w:vAlign w:val="center"/>
          </w:tcPr>
          <w:p w14:paraId="6E863F56">
            <w:pPr>
              <w:pStyle w:val="13"/>
            </w:pPr>
            <w:r>
              <w:t>数量指标</w:t>
            </w:r>
          </w:p>
        </w:tc>
        <w:tc>
          <w:tcPr>
            <w:tcW w:w="2835" w:type="dxa"/>
            <w:vAlign w:val="center"/>
          </w:tcPr>
          <w:p w14:paraId="00B3877C">
            <w:pPr>
              <w:pStyle w:val="13"/>
            </w:pPr>
            <w:r>
              <w:t>生均拨款标准</w:t>
            </w:r>
          </w:p>
        </w:tc>
        <w:tc>
          <w:tcPr>
            <w:tcW w:w="5386" w:type="dxa"/>
            <w:vAlign w:val="center"/>
          </w:tcPr>
          <w:p w14:paraId="25361000">
            <w:pPr>
              <w:pStyle w:val="13"/>
            </w:pPr>
            <w:r>
              <w:t>小学生公用经费生均小学720元。取暖费140元/生/年，随班就读学生补助7000元/生</w:t>
            </w:r>
          </w:p>
        </w:tc>
        <w:tc>
          <w:tcPr>
            <w:tcW w:w="1553" w:type="dxa"/>
            <w:vAlign w:val="center"/>
          </w:tcPr>
          <w:p w14:paraId="5ECFBD25">
            <w:pPr>
              <w:pStyle w:val="13"/>
            </w:pPr>
            <w:r>
              <w:t>840元</w:t>
            </w:r>
          </w:p>
        </w:tc>
        <w:tc>
          <w:tcPr>
            <w:tcW w:w="1991" w:type="dxa"/>
            <w:vAlign w:val="center"/>
          </w:tcPr>
          <w:p w14:paraId="1AB1E464">
            <w:pPr>
              <w:pStyle w:val="13"/>
            </w:pPr>
            <w:r>
              <w:t>城乡义务教育公用经费管理办法</w:t>
            </w:r>
          </w:p>
        </w:tc>
      </w:tr>
      <w:tr w14:paraId="2A126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1F33C"/>
        </w:tc>
        <w:tc>
          <w:tcPr>
            <w:tcW w:w="2268" w:type="dxa"/>
            <w:vAlign w:val="center"/>
          </w:tcPr>
          <w:p w14:paraId="6CFCF242">
            <w:pPr>
              <w:pStyle w:val="13"/>
            </w:pPr>
            <w:r>
              <w:t>质量指标</w:t>
            </w:r>
          </w:p>
        </w:tc>
        <w:tc>
          <w:tcPr>
            <w:tcW w:w="2835" w:type="dxa"/>
            <w:vAlign w:val="center"/>
          </w:tcPr>
          <w:p w14:paraId="1A25FFF4">
            <w:pPr>
              <w:pStyle w:val="13"/>
            </w:pPr>
            <w:r>
              <w:t>就读学生数</w:t>
            </w:r>
          </w:p>
        </w:tc>
        <w:tc>
          <w:tcPr>
            <w:tcW w:w="5386" w:type="dxa"/>
            <w:vAlign w:val="center"/>
          </w:tcPr>
          <w:p w14:paraId="384DD380">
            <w:pPr>
              <w:pStyle w:val="13"/>
            </w:pPr>
            <w:r>
              <w:t>辐射区域内适龄学生人数</w:t>
            </w:r>
          </w:p>
        </w:tc>
        <w:tc>
          <w:tcPr>
            <w:tcW w:w="1553" w:type="dxa"/>
            <w:vAlign w:val="center"/>
          </w:tcPr>
          <w:p w14:paraId="51D5D737">
            <w:pPr>
              <w:pStyle w:val="13"/>
            </w:pPr>
            <w:r>
              <w:t>≥70人</w:t>
            </w:r>
          </w:p>
        </w:tc>
        <w:tc>
          <w:tcPr>
            <w:tcW w:w="1991" w:type="dxa"/>
            <w:vAlign w:val="center"/>
          </w:tcPr>
          <w:p w14:paraId="7B7C5A94">
            <w:pPr>
              <w:pStyle w:val="13"/>
            </w:pPr>
            <w:r>
              <w:t>城乡义务教育公用经费管理办法</w:t>
            </w:r>
          </w:p>
        </w:tc>
      </w:tr>
      <w:tr w14:paraId="00C2D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4E735"/>
        </w:tc>
        <w:tc>
          <w:tcPr>
            <w:tcW w:w="2268" w:type="dxa"/>
            <w:vAlign w:val="center"/>
          </w:tcPr>
          <w:p w14:paraId="545E2F0A">
            <w:pPr>
              <w:pStyle w:val="13"/>
            </w:pPr>
            <w:r>
              <w:t>时效指标</w:t>
            </w:r>
          </w:p>
        </w:tc>
        <w:tc>
          <w:tcPr>
            <w:tcW w:w="2835" w:type="dxa"/>
            <w:vAlign w:val="center"/>
          </w:tcPr>
          <w:p w14:paraId="71B0998F">
            <w:pPr>
              <w:pStyle w:val="13"/>
            </w:pPr>
            <w:r>
              <w:t>预算执行率</w:t>
            </w:r>
          </w:p>
        </w:tc>
        <w:tc>
          <w:tcPr>
            <w:tcW w:w="5386" w:type="dxa"/>
            <w:vAlign w:val="center"/>
          </w:tcPr>
          <w:p w14:paraId="3A200B69">
            <w:pPr>
              <w:pStyle w:val="13"/>
            </w:pPr>
            <w:r>
              <w:t>预算执行率≥98%</w:t>
            </w:r>
          </w:p>
        </w:tc>
        <w:tc>
          <w:tcPr>
            <w:tcW w:w="1553" w:type="dxa"/>
            <w:vAlign w:val="center"/>
          </w:tcPr>
          <w:p w14:paraId="68214FFA">
            <w:pPr>
              <w:pStyle w:val="13"/>
            </w:pPr>
            <w:r>
              <w:t>≥98%</w:t>
            </w:r>
          </w:p>
        </w:tc>
        <w:tc>
          <w:tcPr>
            <w:tcW w:w="1991" w:type="dxa"/>
            <w:vAlign w:val="center"/>
          </w:tcPr>
          <w:p w14:paraId="29F01AE1">
            <w:pPr>
              <w:pStyle w:val="13"/>
            </w:pPr>
            <w:r>
              <w:t>城乡义务教育公用经费管理办法</w:t>
            </w:r>
          </w:p>
        </w:tc>
      </w:tr>
      <w:tr w14:paraId="3B133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BC2FD"/>
        </w:tc>
        <w:tc>
          <w:tcPr>
            <w:tcW w:w="2268" w:type="dxa"/>
            <w:vAlign w:val="center"/>
          </w:tcPr>
          <w:p w14:paraId="2054822A">
            <w:pPr>
              <w:pStyle w:val="13"/>
            </w:pPr>
            <w:r>
              <w:t>成本指标</w:t>
            </w:r>
          </w:p>
        </w:tc>
        <w:tc>
          <w:tcPr>
            <w:tcW w:w="2835" w:type="dxa"/>
            <w:vAlign w:val="center"/>
          </w:tcPr>
          <w:p w14:paraId="0A8484B0">
            <w:pPr>
              <w:pStyle w:val="13"/>
            </w:pPr>
            <w:r>
              <w:t>义教经费支付完成率</w:t>
            </w:r>
          </w:p>
        </w:tc>
        <w:tc>
          <w:tcPr>
            <w:tcW w:w="5386" w:type="dxa"/>
            <w:vAlign w:val="center"/>
          </w:tcPr>
          <w:p w14:paraId="26F59252">
            <w:pPr>
              <w:pStyle w:val="13"/>
            </w:pPr>
            <w:r>
              <w:t>按照序时进度完成资金支付</w:t>
            </w:r>
          </w:p>
        </w:tc>
        <w:tc>
          <w:tcPr>
            <w:tcW w:w="1553" w:type="dxa"/>
            <w:vAlign w:val="center"/>
          </w:tcPr>
          <w:p w14:paraId="06182FF9">
            <w:pPr>
              <w:pStyle w:val="13"/>
            </w:pPr>
            <w:r>
              <w:t>100%</w:t>
            </w:r>
          </w:p>
        </w:tc>
        <w:tc>
          <w:tcPr>
            <w:tcW w:w="1991" w:type="dxa"/>
            <w:vAlign w:val="center"/>
          </w:tcPr>
          <w:p w14:paraId="60687A83">
            <w:pPr>
              <w:pStyle w:val="13"/>
            </w:pPr>
            <w:r>
              <w:t>城乡义务教育公用经费管理办法</w:t>
            </w:r>
          </w:p>
        </w:tc>
      </w:tr>
      <w:tr w14:paraId="520FE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D7232">
            <w:pPr>
              <w:pStyle w:val="12"/>
            </w:pPr>
            <w:r>
              <w:t>效益指标</w:t>
            </w:r>
          </w:p>
        </w:tc>
        <w:tc>
          <w:tcPr>
            <w:tcW w:w="2268" w:type="dxa"/>
            <w:vAlign w:val="center"/>
          </w:tcPr>
          <w:p w14:paraId="48629B8B">
            <w:pPr>
              <w:pStyle w:val="13"/>
            </w:pPr>
            <w:r>
              <w:t>可持续影响指标</w:t>
            </w:r>
          </w:p>
        </w:tc>
        <w:tc>
          <w:tcPr>
            <w:tcW w:w="2835" w:type="dxa"/>
            <w:vAlign w:val="center"/>
          </w:tcPr>
          <w:p w14:paraId="69E33F85">
            <w:pPr>
              <w:pStyle w:val="13"/>
            </w:pPr>
            <w:r>
              <w:t>学校运转得到提高</w:t>
            </w:r>
          </w:p>
        </w:tc>
        <w:tc>
          <w:tcPr>
            <w:tcW w:w="5386" w:type="dxa"/>
            <w:vAlign w:val="center"/>
          </w:tcPr>
          <w:p w14:paraId="4547376E">
            <w:pPr>
              <w:pStyle w:val="13"/>
            </w:pPr>
            <w:r>
              <w:t>学生受教育年限</w:t>
            </w:r>
          </w:p>
        </w:tc>
        <w:tc>
          <w:tcPr>
            <w:tcW w:w="1553" w:type="dxa"/>
            <w:vAlign w:val="center"/>
          </w:tcPr>
          <w:p w14:paraId="0AC4A13E">
            <w:pPr>
              <w:pStyle w:val="13"/>
            </w:pPr>
            <w:r>
              <w:t>6年</w:t>
            </w:r>
          </w:p>
        </w:tc>
        <w:tc>
          <w:tcPr>
            <w:tcW w:w="1991" w:type="dxa"/>
            <w:vAlign w:val="center"/>
          </w:tcPr>
          <w:p w14:paraId="012D57FA">
            <w:pPr>
              <w:pStyle w:val="13"/>
            </w:pPr>
            <w:r>
              <w:t>城乡义务教育公用经费管理办法</w:t>
            </w:r>
          </w:p>
        </w:tc>
      </w:tr>
      <w:tr w14:paraId="2C11C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7A0610">
            <w:pPr>
              <w:pStyle w:val="12"/>
            </w:pPr>
            <w:r>
              <w:t>满意度指标</w:t>
            </w:r>
          </w:p>
        </w:tc>
        <w:tc>
          <w:tcPr>
            <w:tcW w:w="2268" w:type="dxa"/>
            <w:vAlign w:val="center"/>
          </w:tcPr>
          <w:p w14:paraId="1397FDBD">
            <w:pPr>
              <w:pStyle w:val="13"/>
            </w:pPr>
            <w:r>
              <w:t>服务对象满意度指标</w:t>
            </w:r>
          </w:p>
        </w:tc>
        <w:tc>
          <w:tcPr>
            <w:tcW w:w="2835" w:type="dxa"/>
            <w:vAlign w:val="center"/>
          </w:tcPr>
          <w:p w14:paraId="589C2BF2">
            <w:pPr>
              <w:pStyle w:val="13"/>
            </w:pPr>
            <w:r>
              <w:t>服务对象满意度</w:t>
            </w:r>
          </w:p>
        </w:tc>
        <w:tc>
          <w:tcPr>
            <w:tcW w:w="5386" w:type="dxa"/>
            <w:vAlign w:val="center"/>
          </w:tcPr>
          <w:p w14:paraId="219E429C">
            <w:pPr>
              <w:pStyle w:val="13"/>
            </w:pPr>
            <w:r>
              <w:t>学校老师和学生满意度</w:t>
            </w:r>
          </w:p>
        </w:tc>
        <w:tc>
          <w:tcPr>
            <w:tcW w:w="1553" w:type="dxa"/>
            <w:vAlign w:val="center"/>
          </w:tcPr>
          <w:p w14:paraId="087F3C55">
            <w:pPr>
              <w:pStyle w:val="13"/>
            </w:pPr>
            <w:r>
              <w:t>≥95%</w:t>
            </w:r>
          </w:p>
        </w:tc>
        <w:tc>
          <w:tcPr>
            <w:tcW w:w="1991" w:type="dxa"/>
            <w:vAlign w:val="center"/>
          </w:tcPr>
          <w:p w14:paraId="1F3F502F">
            <w:pPr>
              <w:pStyle w:val="13"/>
            </w:pPr>
            <w:r>
              <w:t>城乡义务教育公用经费管理办法</w:t>
            </w:r>
          </w:p>
        </w:tc>
      </w:tr>
    </w:tbl>
    <w:p w14:paraId="7AE5709E">
      <w:pPr>
        <w:sectPr>
          <w:pgSz w:w="16840" w:h="11900" w:orient="landscape"/>
          <w:pgMar w:top="1361" w:right="1020" w:bottom="1134" w:left="1020" w:header="720" w:footer="720" w:gutter="0"/>
          <w:cols w:space="720" w:num="1"/>
        </w:sectPr>
      </w:pPr>
    </w:p>
    <w:p w14:paraId="54FC9A00">
      <w:pPr>
        <w:spacing w:before="0" w:after="0"/>
        <w:ind w:firstLine="560"/>
        <w:jc w:val="left"/>
        <w:outlineLvl w:val="9"/>
      </w:pPr>
      <w:r>
        <w:rPr>
          <w:rFonts w:ascii="方正仿宋_GBK" w:hAnsi="方正仿宋_GBK" w:eastAsia="方正仿宋_GBK" w:cs="方正仿宋_GBK"/>
          <w:b/>
          <w:color w:val="000000"/>
          <w:sz w:val="28"/>
        </w:rPr>
        <w:t>19、冀财教[2024]141号/省级/2025年义教补助经费/西店子小学公用经费绩效目标表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5D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6E2B3">
            <w:pPr>
              <w:pStyle w:val="14"/>
            </w:pPr>
            <w:r>
              <w:t>单位：万元</w:t>
            </w:r>
          </w:p>
        </w:tc>
      </w:tr>
      <w:tr w14:paraId="4B7E2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DD1ED">
            <w:pPr>
              <w:pStyle w:val="11"/>
            </w:pPr>
            <w:r>
              <w:t>项目编码</w:t>
            </w:r>
          </w:p>
        </w:tc>
        <w:tc>
          <w:tcPr>
            <w:tcW w:w="5103" w:type="dxa"/>
            <w:gridSpan w:val="2"/>
            <w:vAlign w:val="center"/>
          </w:tcPr>
          <w:p w14:paraId="0A77D2A5">
            <w:pPr>
              <w:pStyle w:val="13"/>
            </w:pPr>
            <w:r>
              <w:t>13052525P00000410184N</w:t>
            </w:r>
          </w:p>
        </w:tc>
        <w:tc>
          <w:tcPr>
            <w:tcW w:w="2835" w:type="dxa"/>
            <w:vAlign w:val="center"/>
          </w:tcPr>
          <w:p w14:paraId="13FDE2A8">
            <w:pPr>
              <w:pStyle w:val="11"/>
            </w:pPr>
            <w:r>
              <w:t>项目名称</w:t>
            </w:r>
          </w:p>
        </w:tc>
        <w:tc>
          <w:tcPr>
            <w:tcW w:w="6095" w:type="dxa"/>
            <w:gridSpan w:val="3"/>
            <w:vAlign w:val="center"/>
          </w:tcPr>
          <w:p w14:paraId="29DE5D7D">
            <w:pPr>
              <w:pStyle w:val="13"/>
            </w:pPr>
            <w:r>
              <w:t>冀财教[2024]141号/省级/2025年义教补助经费/西店子小学公用经费</w:t>
            </w:r>
          </w:p>
        </w:tc>
      </w:tr>
      <w:tr w14:paraId="3901B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65FEF">
            <w:pPr>
              <w:pStyle w:val="11"/>
            </w:pPr>
            <w:r>
              <w:t>预算规模及资金用途</w:t>
            </w:r>
          </w:p>
        </w:tc>
        <w:tc>
          <w:tcPr>
            <w:tcW w:w="2268" w:type="dxa"/>
            <w:vAlign w:val="center"/>
          </w:tcPr>
          <w:p w14:paraId="728D245B">
            <w:pPr>
              <w:pStyle w:val="11"/>
            </w:pPr>
            <w:r>
              <w:t>预算数</w:t>
            </w:r>
          </w:p>
        </w:tc>
        <w:tc>
          <w:tcPr>
            <w:tcW w:w="2835" w:type="dxa"/>
            <w:vAlign w:val="center"/>
          </w:tcPr>
          <w:p w14:paraId="1BD9A1EE">
            <w:pPr>
              <w:pStyle w:val="13"/>
            </w:pPr>
            <w:r>
              <w:t>4.62</w:t>
            </w:r>
          </w:p>
        </w:tc>
        <w:tc>
          <w:tcPr>
            <w:tcW w:w="2835" w:type="dxa"/>
            <w:vAlign w:val="center"/>
          </w:tcPr>
          <w:p w14:paraId="272C74EC">
            <w:pPr>
              <w:pStyle w:val="11"/>
            </w:pPr>
            <w:r>
              <w:t>其中：财政    资金</w:t>
            </w:r>
          </w:p>
        </w:tc>
        <w:tc>
          <w:tcPr>
            <w:tcW w:w="2551" w:type="dxa"/>
            <w:vAlign w:val="center"/>
          </w:tcPr>
          <w:p w14:paraId="5325CC41">
            <w:pPr>
              <w:pStyle w:val="13"/>
            </w:pPr>
            <w:r>
              <w:t>4.62</w:t>
            </w:r>
          </w:p>
        </w:tc>
        <w:tc>
          <w:tcPr>
            <w:tcW w:w="2268" w:type="dxa"/>
            <w:vAlign w:val="center"/>
          </w:tcPr>
          <w:p w14:paraId="41B86EF1">
            <w:pPr>
              <w:pStyle w:val="11"/>
            </w:pPr>
            <w:r>
              <w:t>其他资金</w:t>
            </w:r>
          </w:p>
        </w:tc>
        <w:tc>
          <w:tcPr>
            <w:tcW w:w="1276" w:type="dxa"/>
            <w:vAlign w:val="center"/>
          </w:tcPr>
          <w:p w14:paraId="04B0CD9C">
            <w:pPr>
              <w:pStyle w:val="13"/>
            </w:pPr>
            <w:r>
              <w:t xml:space="preserve"> </w:t>
            </w:r>
          </w:p>
        </w:tc>
      </w:tr>
      <w:tr w14:paraId="286F4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F4C7A"/>
        </w:tc>
        <w:tc>
          <w:tcPr>
            <w:tcW w:w="14033" w:type="dxa"/>
            <w:gridSpan w:val="6"/>
            <w:vAlign w:val="center"/>
          </w:tcPr>
          <w:p w14:paraId="06227126">
            <w:pPr>
              <w:pStyle w:val="13"/>
            </w:pPr>
            <w:r>
              <w:t>保障义务教育学校正常运转，完成教育教学活动和其他日常工作任务等方面的费用支出。</w:t>
            </w:r>
          </w:p>
        </w:tc>
      </w:tr>
      <w:tr w14:paraId="73C6E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BC55E">
            <w:pPr>
              <w:pStyle w:val="11"/>
            </w:pPr>
            <w:r>
              <w:t>资金支出计划（%）</w:t>
            </w:r>
          </w:p>
        </w:tc>
        <w:tc>
          <w:tcPr>
            <w:tcW w:w="5103" w:type="dxa"/>
            <w:gridSpan w:val="2"/>
            <w:vAlign w:val="center"/>
          </w:tcPr>
          <w:p w14:paraId="646175B9">
            <w:pPr>
              <w:pStyle w:val="11"/>
            </w:pPr>
            <w:r>
              <w:t>3月底</w:t>
            </w:r>
          </w:p>
        </w:tc>
        <w:tc>
          <w:tcPr>
            <w:tcW w:w="2835" w:type="dxa"/>
            <w:vAlign w:val="center"/>
          </w:tcPr>
          <w:p w14:paraId="35FAB53B">
            <w:pPr>
              <w:pStyle w:val="11"/>
            </w:pPr>
            <w:r>
              <w:t>6月底</w:t>
            </w:r>
          </w:p>
        </w:tc>
        <w:tc>
          <w:tcPr>
            <w:tcW w:w="2551" w:type="dxa"/>
            <w:vAlign w:val="center"/>
          </w:tcPr>
          <w:p w14:paraId="061747B4">
            <w:pPr>
              <w:pStyle w:val="11"/>
            </w:pPr>
            <w:r>
              <w:t>10月底</w:t>
            </w:r>
          </w:p>
        </w:tc>
        <w:tc>
          <w:tcPr>
            <w:tcW w:w="3544" w:type="dxa"/>
            <w:gridSpan w:val="2"/>
            <w:vAlign w:val="center"/>
          </w:tcPr>
          <w:p w14:paraId="25D507E7">
            <w:pPr>
              <w:pStyle w:val="11"/>
            </w:pPr>
            <w:r>
              <w:t>12月底</w:t>
            </w:r>
          </w:p>
        </w:tc>
      </w:tr>
      <w:tr w14:paraId="37A2D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D329EF"/>
        </w:tc>
        <w:tc>
          <w:tcPr>
            <w:tcW w:w="5103" w:type="dxa"/>
            <w:gridSpan w:val="2"/>
            <w:vAlign w:val="center"/>
          </w:tcPr>
          <w:p w14:paraId="1BCE59B0">
            <w:pPr>
              <w:pStyle w:val="12"/>
            </w:pPr>
            <w:r>
              <w:t>25%</w:t>
            </w:r>
          </w:p>
        </w:tc>
        <w:tc>
          <w:tcPr>
            <w:tcW w:w="2835" w:type="dxa"/>
            <w:vAlign w:val="center"/>
          </w:tcPr>
          <w:p w14:paraId="4CED481B">
            <w:pPr>
              <w:pStyle w:val="12"/>
            </w:pPr>
            <w:r>
              <w:t>50%</w:t>
            </w:r>
          </w:p>
        </w:tc>
        <w:tc>
          <w:tcPr>
            <w:tcW w:w="2551" w:type="dxa"/>
            <w:vAlign w:val="center"/>
          </w:tcPr>
          <w:p w14:paraId="21FE6C63">
            <w:pPr>
              <w:pStyle w:val="12"/>
            </w:pPr>
            <w:r>
              <w:t>75%</w:t>
            </w:r>
          </w:p>
        </w:tc>
        <w:tc>
          <w:tcPr>
            <w:tcW w:w="3544" w:type="dxa"/>
            <w:gridSpan w:val="2"/>
            <w:vAlign w:val="center"/>
          </w:tcPr>
          <w:p w14:paraId="6C047009">
            <w:pPr>
              <w:pStyle w:val="12"/>
            </w:pPr>
            <w:r>
              <w:t>100%</w:t>
            </w:r>
          </w:p>
        </w:tc>
      </w:tr>
      <w:tr w14:paraId="00E2E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3E2386">
            <w:pPr>
              <w:pStyle w:val="11"/>
            </w:pPr>
            <w:r>
              <w:t>绩效目标</w:t>
            </w:r>
          </w:p>
        </w:tc>
        <w:tc>
          <w:tcPr>
            <w:tcW w:w="14033" w:type="dxa"/>
            <w:gridSpan w:val="6"/>
            <w:vAlign w:val="center"/>
          </w:tcPr>
          <w:p w14:paraId="7FD1E38B">
            <w:pPr>
              <w:pStyle w:val="13"/>
            </w:pPr>
            <w:r>
              <w:t>1.保障义务教育学校正常运转，完成教育教学活动和其他日常工作任务等方面的费用支出。</w:t>
            </w:r>
          </w:p>
          <w:p w14:paraId="19A79B22">
            <w:pPr>
              <w:pStyle w:val="13"/>
            </w:pPr>
            <w:r>
              <w:t>2.按规定拨付公用经费资金4.623万元，资金拨付率达到100%。</w:t>
            </w:r>
          </w:p>
        </w:tc>
      </w:tr>
    </w:tbl>
    <w:p w14:paraId="7CBAF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78"/>
        <w:gridCol w:w="2066"/>
      </w:tblGrid>
      <w:tr w14:paraId="7A8F9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0C166">
            <w:pPr>
              <w:pStyle w:val="11"/>
            </w:pPr>
            <w:r>
              <w:t>一级指标</w:t>
            </w:r>
          </w:p>
        </w:tc>
        <w:tc>
          <w:tcPr>
            <w:tcW w:w="2268" w:type="dxa"/>
            <w:vAlign w:val="center"/>
          </w:tcPr>
          <w:p w14:paraId="476C91A2">
            <w:pPr>
              <w:pStyle w:val="11"/>
            </w:pPr>
            <w:r>
              <w:t>二级指标</w:t>
            </w:r>
          </w:p>
        </w:tc>
        <w:tc>
          <w:tcPr>
            <w:tcW w:w="2835" w:type="dxa"/>
            <w:vAlign w:val="center"/>
          </w:tcPr>
          <w:p w14:paraId="37858717">
            <w:pPr>
              <w:pStyle w:val="11"/>
            </w:pPr>
            <w:r>
              <w:t>三级指标</w:t>
            </w:r>
          </w:p>
        </w:tc>
        <w:tc>
          <w:tcPr>
            <w:tcW w:w="5386" w:type="dxa"/>
            <w:vAlign w:val="center"/>
          </w:tcPr>
          <w:p w14:paraId="7DFD8C65">
            <w:pPr>
              <w:pStyle w:val="11"/>
            </w:pPr>
            <w:r>
              <w:t>绩效指标描述</w:t>
            </w:r>
          </w:p>
        </w:tc>
        <w:tc>
          <w:tcPr>
            <w:tcW w:w="1478" w:type="dxa"/>
            <w:vAlign w:val="center"/>
          </w:tcPr>
          <w:p w14:paraId="5BCD4290">
            <w:pPr>
              <w:pStyle w:val="11"/>
            </w:pPr>
            <w:r>
              <w:t>指标值</w:t>
            </w:r>
          </w:p>
        </w:tc>
        <w:tc>
          <w:tcPr>
            <w:tcW w:w="2066" w:type="dxa"/>
            <w:vAlign w:val="center"/>
          </w:tcPr>
          <w:p w14:paraId="62552CC1">
            <w:pPr>
              <w:pStyle w:val="11"/>
            </w:pPr>
            <w:r>
              <w:t>指标值确定依据</w:t>
            </w:r>
          </w:p>
        </w:tc>
      </w:tr>
      <w:tr w14:paraId="08611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E834C">
            <w:pPr>
              <w:pStyle w:val="12"/>
            </w:pPr>
            <w:r>
              <w:t>产出指标</w:t>
            </w:r>
          </w:p>
        </w:tc>
        <w:tc>
          <w:tcPr>
            <w:tcW w:w="2268" w:type="dxa"/>
            <w:vAlign w:val="center"/>
          </w:tcPr>
          <w:p w14:paraId="76040E17">
            <w:pPr>
              <w:pStyle w:val="13"/>
            </w:pPr>
            <w:r>
              <w:t>数量指标</w:t>
            </w:r>
          </w:p>
        </w:tc>
        <w:tc>
          <w:tcPr>
            <w:tcW w:w="2835" w:type="dxa"/>
            <w:vAlign w:val="center"/>
          </w:tcPr>
          <w:p w14:paraId="48DED82C">
            <w:pPr>
              <w:pStyle w:val="13"/>
            </w:pPr>
            <w:r>
              <w:t>生均拨款标准</w:t>
            </w:r>
          </w:p>
        </w:tc>
        <w:tc>
          <w:tcPr>
            <w:tcW w:w="5386" w:type="dxa"/>
            <w:vAlign w:val="center"/>
          </w:tcPr>
          <w:p w14:paraId="1D1637F9">
            <w:pPr>
              <w:pStyle w:val="13"/>
            </w:pPr>
            <w:r>
              <w:t>小学生公用经费生均小学720元。取暖费140元/生/年，随班就读学生补助7000元/生</w:t>
            </w:r>
          </w:p>
        </w:tc>
        <w:tc>
          <w:tcPr>
            <w:tcW w:w="1478" w:type="dxa"/>
            <w:vAlign w:val="center"/>
          </w:tcPr>
          <w:p w14:paraId="085C84D9">
            <w:pPr>
              <w:pStyle w:val="13"/>
            </w:pPr>
            <w:r>
              <w:t>840元</w:t>
            </w:r>
          </w:p>
        </w:tc>
        <w:tc>
          <w:tcPr>
            <w:tcW w:w="2066" w:type="dxa"/>
            <w:vAlign w:val="center"/>
          </w:tcPr>
          <w:p w14:paraId="5FCA09BB">
            <w:pPr>
              <w:pStyle w:val="13"/>
            </w:pPr>
            <w:r>
              <w:t>城乡义务教育公用经费管理办法</w:t>
            </w:r>
          </w:p>
        </w:tc>
      </w:tr>
      <w:tr w14:paraId="5E798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FB454"/>
        </w:tc>
        <w:tc>
          <w:tcPr>
            <w:tcW w:w="2268" w:type="dxa"/>
            <w:vAlign w:val="center"/>
          </w:tcPr>
          <w:p w14:paraId="31CD5220">
            <w:pPr>
              <w:pStyle w:val="13"/>
            </w:pPr>
            <w:r>
              <w:t>质量指标</w:t>
            </w:r>
          </w:p>
        </w:tc>
        <w:tc>
          <w:tcPr>
            <w:tcW w:w="2835" w:type="dxa"/>
            <w:vAlign w:val="center"/>
          </w:tcPr>
          <w:p w14:paraId="4944453E">
            <w:pPr>
              <w:pStyle w:val="13"/>
            </w:pPr>
            <w:r>
              <w:t>就读学生数</w:t>
            </w:r>
          </w:p>
        </w:tc>
        <w:tc>
          <w:tcPr>
            <w:tcW w:w="5386" w:type="dxa"/>
            <w:vAlign w:val="center"/>
          </w:tcPr>
          <w:p w14:paraId="68AC6B4C">
            <w:pPr>
              <w:pStyle w:val="13"/>
            </w:pPr>
            <w:r>
              <w:t>辐射区域内适龄学生人数</w:t>
            </w:r>
          </w:p>
        </w:tc>
        <w:tc>
          <w:tcPr>
            <w:tcW w:w="1478" w:type="dxa"/>
            <w:vAlign w:val="center"/>
          </w:tcPr>
          <w:p w14:paraId="44E52F5C">
            <w:pPr>
              <w:pStyle w:val="13"/>
            </w:pPr>
            <w:r>
              <w:t>≥222人</w:t>
            </w:r>
          </w:p>
        </w:tc>
        <w:tc>
          <w:tcPr>
            <w:tcW w:w="2066" w:type="dxa"/>
            <w:vAlign w:val="center"/>
          </w:tcPr>
          <w:p w14:paraId="777B8CF8">
            <w:pPr>
              <w:pStyle w:val="13"/>
            </w:pPr>
            <w:r>
              <w:t>城乡义务教育公用经费管理办法</w:t>
            </w:r>
          </w:p>
        </w:tc>
      </w:tr>
      <w:tr w14:paraId="2EB1B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46983"/>
        </w:tc>
        <w:tc>
          <w:tcPr>
            <w:tcW w:w="2268" w:type="dxa"/>
            <w:vAlign w:val="center"/>
          </w:tcPr>
          <w:p w14:paraId="5D7E3135">
            <w:pPr>
              <w:pStyle w:val="13"/>
            </w:pPr>
            <w:r>
              <w:t>时效指标</w:t>
            </w:r>
          </w:p>
        </w:tc>
        <w:tc>
          <w:tcPr>
            <w:tcW w:w="2835" w:type="dxa"/>
            <w:vAlign w:val="center"/>
          </w:tcPr>
          <w:p w14:paraId="1F86F25C">
            <w:pPr>
              <w:pStyle w:val="13"/>
            </w:pPr>
            <w:r>
              <w:t>预算执行率</w:t>
            </w:r>
          </w:p>
        </w:tc>
        <w:tc>
          <w:tcPr>
            <w:tcW w:w="5386" w:type="dxa"/>
            <w:vAlign w:val="center"/>
          </w:tcPr>
          <w:p w14:paraId="2648CFF0">
            <w:pPr>
              <w:pStyle w:val="13"/>
            </w:pPr>
            <w:r>
              <w:t>预算执行率≥98%</w:t>
            </w:r>
          </w:p>
        </w:tc>
        <w:tc>
          <w:tcPr>
            <w:tcW w:w="1478" w:type="dxa"/>
            <w:vAlign w:val="center"/>
          </w:tcPr>
          <w:p w14:paraId="0F7C284B">
            <w:pPr>
              <w:pStyle w:val="13"/>
            </w:pPr>
            <w:r>
              <w:t>≥98%</w:t>
            </w:r>
          </w:p>
        </w:tc>
        <w:tc>
          <w:tcPr>
            <w:tcW w:w="2066" w:type="dxa"/>
            <w:vAlign w:val="center"/>
          </w:tcPr>
          <w:p w14:paraId="49791AD6">
            <w:pPr>
              <w:pStyle w:val="13"/>
            </w:pPr>
            <w:r>
              <w:t>城乡义务教育公用经费管理办法</w:t>
            </w:r>
          </w:p>
        </w:tc>
      </w:tr>
      <w:tr w14:paraId="28B5C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C3A57"/>
        </w:tc>
        <w:tc>
          <w:tcPr>
            <w:tcW w:w="2268" w:type="dxa"/>
            <w:vAlign w:val="center"/>
          </w:tcPr>
          <w:p w14:paraId="47510162">
            <w:pPr>
              <w:pStyle w:val="13"/>
            </w:pPr>
            <w:r>
              <w:t>成本指标</w:t>
            </w:r>
          </w:p>
        </w:tc>
        <w:tc>
          <w:tcPr>
            <w:tcW w:w="2835" w:type="dxa"/>
            <w:vAlign w:val="center"/>
          </w:tcPr>
          <w:p w14:paraId="0D679B7F">
            <w:pPr>
              <w:pStyle w:val="13"/>
            </w:pPr>
            <w:r>
              <w:t>义教经费支付完成率</w:t>
            </w:r>
          </w:p>
        </w:tc>
        <w:tc>
          <w:tcPr>
            <w:tcW w:w="5386" w:type="dxa"/>
            <w:vAlign w:val="center"/>
          </w:tcPr>
          <w:p w14:paraId="2AD4F0C0">
            <w:pPr>
              <w:pStyle w:val="13"/>
            </w:pPr>
            <w:r>
              <w:t>按照序时进度完成资金支付</w:t>
            </w:r>
          </w:p>
        </w:tc>
        <w:tc>
          <w:tcPr>
            <w:tcW w:w="1478" w:type="dxa"/>
            <w:vAlign w:val="center"/>
          </w:tcPr>
          <w:p w14:paraId="0895E5CD">
            <w:pPr>
              <w:pStyle w:val="13"/>
            </w:pPr>
            <w:r>
              <w:t>100%</w:t>
            </w:r>
          </w:p>
        </w:tc>
        <w:tc>
          <w:tcPr>
            <w:tcW w:w="2066" w:type="dxa"/>
            <w:vAlign w:val="center"/>
          </w:tcPr>
          <w:p w14:paraId="7402EC0A">
            <w:pPr>
              <w:pStyle w:val="13"/>
            </w:pPr>
            <w:r>
              <w:t>城乡义务教育公用经费管理办法</w:t>
            </w:r>
          </w:p>
        </w:tc>
      </w:tr>
      <w:tr w14:paraId="62764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334C8E">
            <w:pPr>
              <w:pStyle w:val="12"/>
            </w:pPr>
            <w:r>
              <w:t>效益指标</w:t>
            </w:r>
          </w:p>
        </w:tc>
        <w:tc>
          <w:tcPr>
            <w:tcW w:w="2268" w:type="dxa"/>
            <w:vAlign w:val="center"/>
          </w:tcPr>
          <w:p w14:paraId="446FC1CC">
            <w:pPr>
              <w:pStyle w:val="13"/>
            </w:pPr>
            <w:r>
              <w:t>可持续影响指标</w:t>
            </w:r>
          </w:p>
        </w:tc>
        <w:tc>
          <w:tcPr>
            <w:tcW w:w="2835" w:type="dxa"/>
            <w:vAlign w:val="center"/>
          </w:tcPr>
          <w:p w14:paraId="0CEB6CB9">
            <w:pPr>
              <w:pStyle w:val="13"/>
            </w:pPr>
            <w:r>
              <w:t>学校运转得到提高</w:t>
            </w:r>
          </w:p>
        </w:tc>
        <w:tc>
          <w:tcPr>
            <w:tcW w:w="5386" w:type="dxa"/>
            <w:vAlign w:val="center"/>
          </w:tcPr>
          <w:p w14:paraId="043D0EF0">
            <w:pPr>
              <w:pStyle w:val="13"/>
            </w:pPr>
            <w:r>
              <w:t>学生受教育年限</w:t>
            </w:r>
          </w:p>
        </w:tc>
        <w:tc>
          <w:tcPr>
            <w:tcW w:w="1478" w:type="dxa"/>
            <w:vAlign w:val="center"/>
          </w:tcPr>
          <w:p w14:paraId="68DB0E32">
            <w:pPr>
              <w:pStyle w:val="13"/>
            </w:pPr>
            <w:r>
              <w:t>6年</w:t>
            </w:r>
          </w:p>
        </w:tc>
        <w:tc>
          <w:tcPr>
            <w:tcW w:w="2066" w:type="dxa"/>
            <w:vAlign w:val="center"/>
          </w:tcPr>
          <w:p w14:paraId="147340A4">
            <w:pPr>
              <w:pStyle w:val="13"/>
            </w:pPr>
            <w:r>
              <w:t>城乡义务教育公用经费管理办法</w:t>
            </w:r>
          </w:p>
        </w:tc>
      </w:tr>
      <w:tr w14:paraId="0507B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173E3E">
            <w:pPr>
              <w:pStyle w:val="12"/>
            </w:pPr>
            <w:r>
              <w:t>满意度指标</w:t>
            </w:r>
          </w:p>
        </w:tc>
        <w:tc>
          <w:tcPr>
            <w:tcW w:w="2268" w:type="dxa"/>
            <w:vAlign w:val="center"/>
          </w:tcPr>
          <w:p w14:paraId="2F3F3C68">
            <w:pPr>
              <w:pStyle w:val="13"/>
            </w:pPr>
            <w:r>
              <w:t>服务对象满意度指标</w:t>
            </w:r>
          </w:p>
        </w:tc>
        <w:tc>
          <w:tcPr>
            <w:tcW w:w="2835" w:type="dxa"/>
            <w:vAlign w:val="center"/>
          </w:tcPr>
          <w:p w14:paraId="1C4A6DF5">
            <w:pPr>
              <w:pStyle w:val="13"/>
            </w:pPr>
            <w:r>
              <w:t>服务对象满意度</w:t>
            </w:r>
          </w:p>
        </w:tc>
        <w:tc>
          <w:tcPr>
            <w:tcW w:w="5386" w:type="dxa"/>
            <w:vAlign w:val="center"/>
          </w:tcPr>
          <w:p w14:paraId="33B7A3CF">
            <w:pPr>
              <w:pStyle w:val="13"/>
            </w:pPr>
            <w:r>
              <w:t>学校老师和学生满意度</w:t>
            </w:r>
          </w:p>
        </w:tc>
        <w:tc>
          <w:tcPr>
            <w:tcW w:w="1478" w:type="dxa"/>
            <w:vAlign w:val="center"/>
          </w:tcPr>
          <w:p w14:paraId="29EC8F7A">
            <w:pPr>
              <w:pStyle w:val="13"/>
            </w:pPr>
            <w:r>
              <w:t>≥95%</w:t>
            </w:r>
          </w:p>
        </w:tc>
        <w:tc>
          <w:tcPr>
            <w:tcW w:w="2066" w:type="dxa"/>
            <w:vAlign w:val="center"/>
          </w:tcPr>
          <w:p w14:paraId="174851A2">
            <w:pPr>
              <w:pStyle w:val="13"/>
            </w:pPr>
            <w:r>
              <w:t>城乡义务教育公用经费管理办法</w:t>
            </w:r>
          </w:p>
        </w:tc>
      </w:tr>
    </w:tbl>
    <w:p w14:paraId="1E8FB182">
      <w:pPr>
        <w:sectPr>
          <w:pgSz w:w="16840" w:h="11900" w:orient="landscape"/>
          <w:pgMar w:top="1361" w:right="1020" w:bottom="1134" w:left="1020" w:header="720" w:footer="720" w:gutter="0"/>
          <w:cols w:space="720" w:num="1"/>
        </w:sectPr>
      </w:pPr>
    </w:p>
    <w:p w14:paraId="5914387A">
      <w:pPr>
        <w:spacing w:before="0" w:after="0"/>
        <w:ind w:firstLine="560"/>
        <w:jc w:val="left"/>
        <w:outlineLvl w:val="9"/>
      </w:pPr>
      <w:r>
        <w:rPr>
          <w:rFonts w:ascii="方正仿宋_GBK" w:hAnsi="方正仿宋_GBK" w:eastAsia="方正仿宋_GBK" w:cs="方正仿宋_GBK"/>
          <w:b/>
          <w:color w:val="000000"/>
          <w:sz w:val="28"/>
        </w:rPr>
        <w:t>20、冀财教[2024]141号/省级/2025年义教补助经费/西范小学公用经费绩效目标表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BC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F4FA4">
            <w:pPr>
              <w:pStyle w:val="14"/>
            </w:pPr>
            <w:r>
              <w:t>单位：万元</w:t>
            </w:r>
          </w:p>
        </w:tc>
      </w:tr>
      <w:tr w14:paraId="3C4EE8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263F58">
            <w:pPr>
              <w:pStyle w:val="11"/>
            </w:pPr>
            <w:r>
              <w:t>项目编码</w:t>
            </w:r>
          </w:p>
        </w:tc>
        <w:tc>
          <w:tcPr>
            <w:tcW w:w="5103" w:type="dxa"/>
            <w:gridSpan w:val="2"/>
            <w:vAlign w:val="center"/>
          </w:tcPr>
          <w:p w14:paraId="2854C755">
            <w:pPr>
              <w:pStyle w:val="13"/>
            </w:pPr>
            <w:r>
              <w:t>13052525P000004101885</w:t>
            </w:r>
          </w:p>
        </w:tc>
        <w:tc>
          <w:tcPr>
            <w:tcW w:w="2835" w:type="dxa"/>
            <w:vAlign w:val="center"/>
          </w:tcPr>
          <w:p w14:paraId="1E79656B">
            <w:pPr>
              <w:pStyle w:val="11"/>
            </w:pPr>
            <w:r>
              <w:t>项目名称</w:t>
            </w:r>
          </w:p>
        </w:tc>
        <w:tc>
          <w:tcPr>
            <w:tcW w:w="6095" w:type="dxa"/>
            <w:gridSpan w:val="3"/>
            <w:vAlign w:val="center"/>
          </w:tcPr>
          <w:p w14:paraId="49BE89A4">
            <w:pPr>
              <w:pStyle w:val="13"/>
            </w:pPr>
            <w:r>
              <w:t>冀财教[2024]141号/省级/2025年义教补助经费/西范小学公用经费</w:t>
            </w:r>
          </w:p>
        </w:tc>
      </w:tr>
      <w:tr w14:paraId="7864B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E169D">
            <w:pPr>
              <w:pStyle w:val="11"/>
            </w:pPr>
            <w:r>
              <w:t>预算规模及资金用途</w:t>
            </w:r>
          </w:p>
        </w:tc>
        <w:tc>
          <w:tcPr>
            <w:tcW w:w="2268" w:type="dxa"/>
            <w:vAlign w:val="center"/>
          </w:tcPr>
          <w:p w14:paraId="1C3CE4CB">
            <w:pPr>
              <w:pStyle w:val="11"/>
            </w:pPr>
            <w:r>
              <w:t>预算数</w:t>
            </w:r>
          </w:p>
        </w:tc>
        <w:tc>
          <w:tcPr>
            <w:tcW w:w="2835" w:type="dxa"/>
            <w:vAlign w:val="center"/>
          </w:tcPr>
          <w:p w14:paraId="2E30D0E6">
            <w:pPr>
              <w:pStyle w:val="13"/>
            </w:pPr>
            <w:r>
              <w:t>12.95</w:t>
            </w:r>
          </w:p>
        </w:tc>
        <w:tc>
          <w:tcPr>
            <w:tcW w:w="2835" w:type="dxa"/>
            <w:vAlign w:val="center"/>
          </w:tcPr>
          <w:p w14:paraId="26B70164">
            <w:pPr>
              <w:pStyle w:val="11"/>
            </w:pPr>
            <w:r>
              <w:t>其中：财政    资金</w:t>
            </w:r>
          </w:p>
        </w:tc>
        <w:tc>
          <w:tcPr>
            <w:tcW w:w="2551" w:type="dxa"/>
            <w:vAlign w:val="center"/>
          </w:tcPr>
          <w:p w14:paraId="2FA8A03C">
            <w:pPr>
              <w:pStyle w:val="13"/>
            </w:pPr>
            <w:r>
              <w:t>12.95</w:t>
            </w:r>
          </w:p>
        </w:tc>
        <w:tc>
          <w:tcPr>
            <w:tcW w:w="2268" w:type="dxa"/>
            <w:vAlign w:val="center"/>
          </w:tcPr>
          <w:p w14:paraId="10C6A2D5">
            <w:pPr>
              <w:pStyle w:val="11"/>
            </w:pPr>
            <w:r>
              <w:t>其他资金</w:t>
            </w:r>
          </w:p>
        </w:tc>
        <w:tc>
          <w:tcPr>
            <w:tcW w:w="1276" w:type="dxa"/>
            <w:vAlign w:val="center"/>
          </w:tcPr>
          <w:p w14:paraId="43371735">
            <w:pPr>
              <w:pStyle w:val="13"/>
            </w:pPr>
            <w:r>
              <w:t xml:space="preserve"> </w:t>
            </w:r>
          </w:p>
        </w:tc>
      </w:tr>
      <w:tr w14:paraId="5F6FA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1FD613"/>
        </w:tc>
        <w:tc>
          <w:tcPr>
            <w:tcW w:w="14033" w:type="dxa"/>
            <w:gridSpan w:val="6"/>
            <w:vAlign w:val="center"/>
          </w:tcPr>
          <w:p w14:paraId="7B787693">
            <w:pPr>
              <w:pStyle w:val="13"/>
            </w:pPr>
            <w:r>
              <w:t>保障义务教育学校正常运转，完成教育教学活动和其他日常工作任务等方面的费用支出。</w:t>
            </w:r>
          </w:p>
        </w:tc>
      </w:tr>
      <w:tr w14:paraId="79A1C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1F213">
            <w:pPr>
              <w:pStyle w:val="11"/>
            </w:pPr>
            <w:r>
              <w:t>资金支出计划（%）</w:t>
            </w:r>
          </w:p>
        </w:tc>
        <w:tc>
          <w:tcPr>
            <w:tcW w:w="5103" w:type="dxa"/>
            <w:gridSpan w:val="2"/>
            <w:vAlign w:val="center"/>
          </w:tcPr>
          <w:p w14:paraId="5261FC9C">
            <w:pPr>
              <w:pStyle w:val="11"/>
            </w:pPr>
            <w:r>
              <w:t>3月底</w:t>
            </w:r>
          </w:p>
        </w:tc>
        <w:tc>
          <w:tcPr>
            <w:tcW w:w="2835" w:type="dxa"/>
            <w:vAlign w:val="center"/>
          </w:tcPr>
          <w:p w14:paraId="24894BDC">
            <w:pPr>
              <w:pStyle w:val="11"/>
            </w:pPr>
            <w:r>
              <w:t>6月底</w:t>
            </w:r>
          </w:p>
        </w:tc>
        <w:tc>
          <w:tcPr>
            <w:tcW w:w="2551" w:type="dxa"/>
            <w:vAlign w:val="center"/>
          </w:tcPr>
          <w:p w14:paraId="5677914F">
            <w:pPr>
              <w:pStyle w:val="11"/>
            </w:pPr>
            <w:r>
              <w:t>10月底</w:t>
            </w:r>
          </w:p>
        </w:tc>
        <w:tc>
          <w:tcPr>
            <w:tcW w:w="3544" w:type="dxa"/>
            <w:gridSpan w:val="2"/>
            <w:vAlign w:val="center"/>
          </w:tcPr>
          <w:p w14:paraId="1023B51E">
            <w:pPr>
              <w:pStyle w:val="11"/>
            </w:pPr>
            <w:r>
              <w:t>12月底</w:t>
            </w:r>
          </w:p>
        </w:tc>
      </w:tr>
      <w:tr w14:paraId="52C98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69BEA4"/>
        </w:tc>
        <w:tc>
          <w:tcPr>
            <w:tcW w:w="5103" w:type="dxa"/>
            <w:gridSpan w:val="2"/>
            <w:vAlign w:val="center"/>
          </w:tcPr>
          <w:p w14:paraId="1FD9ABDF">
            <w:pPr>
              <w:pStyle w:val="12"/>
            </w:pPr>
            <w:r>
              <w:t>25%</w:t>
            </w:r>
          </w:p>
        </w:tc>
        <w:tc>
          <w:tcPr>
            <w:tcW w:w="2835" w:type="dxa"/>
            <w:vAlign w:val="center"/>
          </w:tcPr>
          <w:p w14:paraId="0E394984">
            <w:pPr>
              <w:pStyle w:val="12"/>
            </w:pPr>
            <w:r>
              <w:t>50%</w:t>
            </w:r>
          </w:p>
        </w:tc>
        <w:tc>
          <w:tcPr>
            <w:tcW w:w="2551" w:type="dxa"/>
            <w:vAlign w:val="center"/>
          </w:tcPr>
          <w:p w14:paraId="6418B71F">
            <w:pPr>
              <w:pStyle w:val="12"/>
            </w:pPr>
            <w:r>
              <w:t>75%</w:t>
            </w:r>
          </w:p>
        </w:tc>
        <w:tc>
          <w:tcPr>
            <w:tcW w:w="3544" w:type="dxa"/>
            <w:gridSpan w:val="2"/>
            <w:vAlign w:val="center"/>
          </w:tcPr>
          <w:p w14:paraId="49B81CC1">
            <w:pPr>
              <w:pStyle w:val="12"/>
            </w:pPr>
            <w:r>
              <w:t>100%</w:t>
            </w:r>
          </w:p>
        </w:tc>
      </w:tr>
      <w:tr w14:paraId="7BC7F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9E2D5">
            <w:pPr>
              <w:pStyle w:val="11"/>
            </w:pPr>
            <w:r>
              <w:t>绩效目标</w:t>
            </w:r>
          </w:p>
        </w:tc>
        <w:tc>
          <w:tcPr>
            <w:tcW w:w="14033" w:type="dxa"/>
            <w:gridSpan w:val="6"/>
            <w:vAlign w:val="center"/>
          </w:tcPr>
          <w:p w14:paraId="16F1C739">
            <w:pPr>
              <w:pStyle w:val="13"/>
            </w:pPr>
            <w:r>
              <w:t>1.保障义务教育学校正常运转，完成教育教学活动和其他日常工作任务等方面的费用支出。</w:t>
            </w:r>
          </w:p>
          <w:p w14:paraId="69AC9298">
            <w:pPr>
              <w:pStyle w:val="13"/>
            </w:pPr>
            <w:r>
              <w:t>2.按规定拨付公用经费资金12.946万元，资金拨付率达到100%。</w:t>
            </w:r>
          </w:p>
        </w:tc>
      </w:tr>
    </w:tbl>
    <w:p w14:paraId="787B1B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14:paraId="48A36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81F6B">
            <w:pPr>
              <w:pStyle w:val="11"/>
            </w:pPr>
            <w:r>
              <w:t>一级指标</w:t>
            </w:r>
          </w:p>
        </w:tc>
        <w:tc>
          <w:tcPr>
            <w:tcW w:w="2268" w:type="dxa"/>
            <w:vAlign w:val="center"/>
          </w:tcPr>
          <w:p w14:paraId="3F99F1FB">
            <w:pPr>
              <w:pStyle w:val="11"/>
            </w:pPr>
            <w:r>
              <w:t>二级指标</w:t>
            </w:r>
          </w:p>
        </w:tc>
        <w:tc>
          <w:tcPr>
            <w:tcW w:w="2835" w:type="dxa"/>
            <w:vAlign w:val="center"/>
          </w:tcPr>
          <w:p w14:paraId="04B4BD4F">
            <w:pPr>
              <w:pStyle w:val="11"/>
            </w:pPr>
            <w:r>
              <w:t>三级指标</w:t>
            </w:r>
          </w:p>
        </w:tc>
        <w:tc>
          <w:tcPr>
            <w:tcW w:w="5386" w:type="dxa"/>
            <w:vAlign w:val="center"/>
          </w:tcPr>
          <w:p w14:paraId="259FB0E5">
            <w:pPr>
              <w:pStyle w:val="11"/>
            </w:pPr>
            <w:r>
              <w:t>绩效指标描述</w:t>
            </w:r>
          </w:p>
        </w:tc>
        <w:tc>
          <w:tcPr>
            <w:tcW w:w="1718" w:type="dxa"/>
            <w:vAlign w:val="center"/>
          </w:tcPr>
          <w:p w14:paraId="55D4B6AB">
            <w:pPr>
              <w:pStyle w:val="11"/>
            </w:pPr>
            <w:r>
              <w:t>指标值</w:t>
            </w:r>
          </w:p>
        </w:tc>
        <w:tc>
          <w:tcPr>
            <w:tcW w:w="1826" w:type="dxa"/>
            <w:vAlign w:val="center"/>
          </w:tcPr>
          <w:p w14:paraId="0F5D0390">
            <w:pPr>
              <w:pStyle w:val="11"/>
            </w:pPr>
            <w:r>
              <w:t>指标值确定依据</w:t>
            </w:r>
          </w:p>
        </w:tc>
      </w:tr>
      <w:tr w14:paraId="53FA0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441C1">
            <w:pPr>
              <w:pStyle w:val="12"/>
            </w:pPr>
            <w:r>
              <w:t>产出指标</w:t>
            </w:r>
          </w:p>
        </w:tc>
        <w:tc>
          <w:tcPr>
            <w:tcW w:w="2268" w:type="dxa"/>
            <w:vAlign w:val="center"/>
          </w:tcPr>
          <w:p w14:paraId="54724FE0">
            <w:pPr>
              <w:pStyle w:val="13"/>
            </w:pPr>
            <w:r>
              <w:t>数量指标</w:t>
            </w:r>
          </w:p>
        </w:tc>
        <w:tc>
          <w:tcPr>
            <w:tcW w:w="2835" w:type="dxa"/>
            <w:vAlign w:val="center"/>
          </w:tcPr>
          <w:p w14:paraId="4C91EFB9">
            <w:pPr>
              <w:pStyle w:val="13"/>
            </w:pPr>
            <w:r>
              <w:t>生均拨款标准</w:t>
            </w:r>
          </w:p>
        </w:tc>
        <w:tc>
          <w:tcPr>
            <w:tcW w:w="5386" w:type="dxa"/>
            <w:vAlign w:val="center"/>
          </w:tcPr>
          <w:p w14:paraId="7470BC52">
            <w:pPr>
              <w:pStyle w:val="13"/>
            </w:pPr>
            <w:r>
              <w:t>小学生公用经费生均小学720元。取暖费140元/生/年，随班就读学生补助7000元/生</w:t>
            </w:r>
          </w:p>
        </w:tc>
        <w:tc>
          <w:tcPr>
            <w:tcW w:w="1718" w:type="dxa"/>
            <w:vAlign w:val="center"/>
          </w:tcPr>
          <w:p w14:paraId="03A38B56">
            <w:pPr>
              <w:pStyle w:val="13"/>
            </w:pPr>
            <w:r>
              <w:t>840元</w:t>
            </w:r>
          </w:p>
        </w:tc>
        <w:tc>
          <w:tcPr>
            <w:tcW w:w="1826" w:type="dxa"/>
            <w:vAlign w:val="center"/>
          </w:tcPr>
          <w:p w14:paraId="10C6088E">
            <w:pPr>
              <w:pStyle w:val="13"/>
            </w:pPr>
            <w:r>
              <w:t>城乡义务教育公用经费管理办法</w:t>
            </w:r>
          </w:p>
        </w:tc>
      </w:tr>
      <w:tr w14:paraId="6643C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BAF1E"/>
        </w:tc>
        <w:tc>
          <w:tcPr>
            <w:tcW w:w="2268" w:type="dxa"/>
            <w:vAlign w:val="center"/>
          </w:tcPr>
          <w:p w14:paraId="0AD85BD6">
            <w:pPr>
              <w:pStyle w:val="13"/>
            </w:pPr>
            <w:r>
              <w:t>质量指标</w:t>
            </w:r>
          </w:p>
        </w:tc>
        <w:tc>
          <w:tcPr>
            <w:tcW w:w="2835" w:type="dxa"/>
            <w:vAlign w:val="center"/>
          </w:tcPr>
          <w:p w14:paraId="233989DB">
            <w:pPr>
              <w:pStyle w:val="13"/>
            </w:pPr>
            <w:r>
              <w:t>就读学生数</w:t>
            </w:r>
          </w:p>
        </w:tc>
        <w:tc>
          <w:tcPr>
            <w:tcW w:w="5386" w:type="dxa"/>
            <w:vAlign w:val="center"/>
          </w:tcPr>
          <w:p w14:paraId="0AF7EAEC">
            <w:pPr>
              <w:pStyle w:val="13"/>
            </w:pPr>
            <w:r>
              <w:t>辐射区域内适龄学生人数</w:t>
            </w:r>
          </w:p>
        </w:tc>
        <w:tc>
          <w:tcPr>
            <w:tcW w:w="1718" w:type="dxa"/>
            <w:vAlign w:val="center"/>
          </w:tcPr>
          <w:p w14:paraId="12B2B8CA">
            <w:pPr>
              <w:pStyle w:val="13"/>
            </w:pPr>
            <w:r>
              <w:t>≥405人</w:t>
            </w:r>
          </w:p>
        </w:tc>
        <w:tc>
          <w:tcPr>
            <w:tcW w:w="1826" w:type="dxa"/>
            <w:vAlign w:val="center"/>
          </w:tcPr>
          <w:p w14:paraId="411447B3">
            <w:pPr>
              <w:pStyle w:val="13"/>
            </w:pPr>
            <w:r>
              <w:t>城乡义务教育公用经费管理办法</w:t>
            </w:r>
          </w:p>
        </w:tc>
      </w:tr>
      <w:tr w14:paraId="19E8A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C68CE"/>
        </w:tc>
        <w:tc>
          <w:tcPr>
            <w:tcW w:w="2268" w:type="dxa"/>
            <w:vAlign w:val="center"/>
          </w:tcPr>
          <w:p w14:paraId="5DBE0513">
            <w:pPr>
              <w:pStyle w:val="13"/>
            </w:pPr>
            <w:r>
              <w:t>时效指标</w:t>
            </w:r>
          </w:p>
        </w:tc>
        <w:tc>
          <w:tcPr>
            <w:tcW w:w="2835" w:type="dxa"/>
            <w:vAlign w:val="center"/>
          </w:tcPr>
          <w:p w14:paraId="448B0536">
            <w:pPr>
              <w:pStyle w:val="13"/>
            </w:pPr>
            <w:r>
              <w:t>预算执行率</w:t>
            </w:r>
          </w:p>
        </w:tc>
        <w:tc>
          <w:tcPr>
            <w:tcW w:w="5386" w:type="dxa"/>
            <w:vAlign w:val="center"/>
          </w:tcPr>
          <w:p w14:paraId="6BEA63BE">
            <w:pPr>
              <w:pStyle w:val="13"/>
            </w:pPr>
            <w:r>
              <w:t>预算执行率≥98%</w:t>
            </w:r>
          </w:p>
        </w:tc>
        <w:tc>
          <w:tcPr>
            <w:tcW w:w="1718" w:type="dxa"/>
            <w:vAlign w:val="center"/>
          </w:tcPr>
          <w:p w14:paraId="5FFCB0D2">
            <w:pPr>
              <w:pStyle w:val="13"/>
            </w:pPr>
            <w:r>
              <w:t>≥98%</w:t>
            </w:r>
          </w:p>
        </w:tc>
        <w:tc>
          <w:tcPr>
            <w:tcW w:w="1826" w:type="dxa"/>
            <w:vAlign w:val="center"/>
          </w:tcPr>
          <w:p w14:paraId="791D2A56">
            <w:pPr>
              <w:pStyle w:val="13"/>
            </w:pPr>
            <w:r>
              <w:t>城乡义务教育公用经费管理办法</w:t>
            </w:r>
          </w:p>
        </w:tc>
      </w:tr>
      <w:tr w14:paraId="044B3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55CD2999"/>
        </w:tc>
        <w:tc>
          <w:tcPr>
            <w:tcW w:w="2268" w:type="dxa"/>
            <w:vAlign w:val="center"/>
          </w:tcPr>
          <w:p w14:paraId="1E4CC304">
            <w:pPr>
              <w:pStyle w:val="13"/>
            </w:pPr>
            <w:r>
              <w:t>成本指标</w:t>
            </w:r>
          </w:p>
        </w:tc>
        <w:tc>
          <w:tcPr>
            <w:tcW w:w="2835" w:type="dxa"/>
            <w:vAlign w:val="center"/>
          </w:tcPr>
          <w:p w14:paraId="441C9037">
            <w:pPr>
              <w:pStyle w:val="13"/>
            </w:pPr>
            <w:r>
              <w:t>义教经费支付完成率</w:t>
            </w:r>
          </w:p>
        </w:tc>
        <w:tc>
          <w:tcPr>
            <w:tcW w:w="5386" w:type="dxa"/>
            <w:vAlign w:val="center"/>
          </w:tcPr>
          <w:p w14:paraId="574AE886">
            <w:pPr>
              <w:pStyle w:val="13"/>
            </w:pPr>
            <w:r>
              <w:t>按照序时进度完成资金支付</w:t>
            </w:r>
          </w:p>
        </w:tc>
        <w:tc>
          <w:tcPr>
            <w:tcW w:w="1718" w:type="dxa"/>
            <w:vAlign w:val="center"/>
          </w:tcPr>
          <w:p w14:paraId="6634F501">
            <w:pPr>
              <w:pStyle w:val="13"/>
            </w:pPr>
            <w:r>
              <w:t>100%</w:t>
            </w:r>
          </w:p>
        </w:tc>
        <w:tc>
          <w:tcPr>
            <w:tcW w:w="1826" w:type="dxa"/>
            <w:vAlign w:val="center"/>
          </w:tcPr>
          <w:p w14:paraId="1D91C242">
            <w:pPr>
              <w:pStyle w:val="13"/>
            </w:pPr>
            <w:r>
              <w:t>城乡义务教育公用经费管理办法</w:t>
            </w:r>
          </w:p>
        </w:tc>
      </w:tr>
      <w:tr w14:paraId="796A3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D0E87D">
            <w:pPr>
              <w:pStyle w:val="12"/>
            </w:pPr>
            <w:r>
              <w:t>效益指标</w:t>
            </w:r>
          </w:p>
        </w:tc>
        <w:tc>
          <w:tcPr>
            <w:tcW w:w="2268" w:type="dxa"/>
            <w:vAlign w:val="center"/>
          </w:tcPr>
          <w:p w14:paraId="00A598D2">
            <w:pPr>
              <w:pStyle w:val="13"/>
            </w:pPr>
            <w:r>
              <w:t>可持续影响指标</w:t>
            </w:r>
          </w:p>
        </w:tc>
        <w:tc>
          <w:tcPr>
            <w:tcW w:w="2835" w:type="dxa"/>
            <w:vAlign w:val="center"/>
          </w:tcPr>
          <w:p w14:paraId="5E037946">
            <w:pPr>
              <w:pStyle w:val="13"/>
            </w:pPr>
            <w:r>
              <w:t>学校运转得到提高</w:t>
            </w:r>
          </w:p>
        </w:tc>
        <w:tc>
          <w:tcPr>
            <w:tcW w:w="5386" w:type="dxa"/>
            <w:vAlign w:val="center"/>
          </w:tcPr>
          <w:p w14:paraId="45715F26">
            <w:pPr>
              <w:pStyle w:val="13"/>
            </w:pPr>
            <w:r>
              <w:t>学生受教育年限</w:t>
            </w:r>
          </w:p>
        </w:tc>
        <w:tc>
          <w:tcPr>
            <w:tcW w:w="1718" w:type="dxa"/>
            <w:vAlign w:val="center"/>
          </w:tcPr>
          <w:p w14:paraId="2A7DACAD">
            <w:pPr>
              <w:pStyle w:val="13"/>
            </w:pPr>
            <w:r>
              <w:t>6年</w:t>
            </w:r>
          </w:p>
        </w:tc>
        <w:tc>
          <w:tcPr>
            <w:tcW w:w="1826" w:type="dxa"/>
            <w:vAlign w:val="center"/>
          </w:tcPr>
          <w:p w14:paraId="4159A001">
            <w:pPr>
              <w:pStyle w:val="13"/>
            </w:pPr>
            <w:r>
              <w:t>城乡义务教育公用经费管理办法</w:t>
            </w:r>
          </w:p>
        </w:tc>
      </w:tr>
      <w:tr w14:paraId="7452F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BD8858">
            <w:pPr>
              <w:pStyle w:val="12"/>
            </w:pPr>
            <w:r>
              <w:t>满意度指标</w:t>
            </w:r>
          </w:p>
        </w:tc>
        <w:tc>
          <w:tcPr>
            <w:tcW w:w="2268" w:type="dxa"/>
            <w:vAlign w:val="center"/>
          </w:tcPr>
          <w:p w14:paraId="39AC87AC">
            <w:pPr>
              <w:pStyle w:val="13"/>
            </w:pPr>
            <w:r>
              <w:t>服务对象满意度指标</w:t>
            </w:r>
          </w:p>
        </w:tc>
        <w:tc>
          <w:tcPr>
            <w:tcW w:w="2835" w:type="dxa"/>
            <w:vAlign w:val="center"/>
          </w:tcPr>
          <w:p w14:paraId="2BA3C92F">
            <w:pPr>
              <w:pStyle w:val="13"/>
            </w:pPr>
            <w:r>
              <w:t>服务对象满意度</w:t>
            </w:r>
          </w:p>
        </w:tc>
        <w:tc>
          <w:tcPr>
            <w:tcW w:w="5386" w:type="dxa"/>
            <w:vAlign w:val="center"/>
          </w:tcPr>
          <w:p w14:paraId="2E611CD8">
            <w:pPr>
              <w:pStyle w:val="13"/>
            </w:pPr>
            <w:r>
              <w:t>学校老师和学生满意度</w:t>
            </w:r>
          </w:p>
        </w:tc>
        <w:tc>
          <w:tcPr>
            <w:tcW w:w="1718" w:type="dxa"/>
            <w:vAlign w:val="center"/>
          </w:tcPr>
          <w:p w14:paraId="149B204B">
            <w:pPr>
              <w:pStyle w:val="13"/>
            </w:pPr>
            <w:r>
              <w:t>≥95%</w:t>
            </w:r>
          </w:p>
        </w:tc>
        <w:tc>
          <w:tcPr>
            <w:tcW w:w="1826" w:type="dxa"/>
            <w:vAlign w:val="center"/>
          </w:tcPr>
          <w:p w14:paraId="6D031574">
            <w:pPr>
              <w:pStyle w:val="13"/>
            </w:pPr>
            <w:r>
              <w:t>城乡义务教育公用经费管理办法</w:t>
            </w:r>
          </w:p>
        </w:tc>
      </w:tr>
    </w:tbl>
    <w:p w14:paraId="603D9343">
      <w:pPr>
        <w:sectPr>
          <w:pgSz w:w="16840" w:h="11900" w:orient="landscape"/>
          <w:pgMar w:top="1361" w:right="1020" w:bottom="1134" w:left="1020" w:header="720" w:footer="720" w:gutter="0"/>
          <w:cols w:space="720" w:num="1"/>
        </w:sectPr>
      </w:pPr>
    </w:p>
    <w:p w14:paraId="6481B2F7">
      <w:pPr>
        <w:spacing w:before="0" w:after="0"/>
        <w:ind w:firstLine="560"/>
        <w:jc w:val="left"/>
        <w:outlineLvl w:val="9"/>
      </w:pPr>
      <w:r>
        <w:rPr>
          <w:rFonts w:ascii="方正仿宋_GBK" w:hAnsi="方正仿宋_GBK" w:eastAsia="方正仿宋_GBK" w:cs="方正仿宋_GBK"/>
          <w:b/>
          <w:color w:val="000000"/>
          <w:sz w:val="28"/>
        </w:rPr>
        <w:t>21、冀财教[2024]142号/省级/2025年学前发展资金/莲子镇校区学前教育公用经费绩效目标表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4E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3E547">
            <w:pPr>
              <w:pStyle w:val="14"/>
            </w:pPr>
            <w:r>
              <w:t>单位：万元</w:t>
            </w:r>
          </w:p>
        </w:tc>
      </w:tr>
      <w:tr w14:paraId="3E82F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063CB">
            <w:pPr>
              <w:pStyle w:val="11"/>
            </w:pPr>
            <w:r>
              <w:t>项目编码</w:t>
            </w:r>
          </w:p>
        </w:tc>
        <w:tc>
          <w:tcPr>
            <w:tcW w:w="5103" w:type="dxa"/>
            <w:gridSpan w:val="2"/>
            <w:vAlign w:val="center"/>
          </w:tcPr>
          <w:p w14:paraId="5CE68984">
            <w:pPr>
              <w:pStyle w:val="13"/>
            </w:pPr>
            <w:r>
              <w:t>13052525P008757100123</w:t>
            </w:r>
          </w:p>
        </w:tc>
        <w:tc>
          <w:tcPr>
            <w:tcW w:w="2835" w:type="dxa"/>
            <w:vAlign w:val="center"/>
          </w:tcPr>
          <w:p w14:paraId="78B6FD1F">
            <w:pPr>
              <w:pStyle w:val="11"/>
            </w:pPr>
            <w:r>
              <w:t>项目名称</w:t>
            </w:r>
          </w:p>
        </w:tc>
        <w:tc>
          <w:tcPr>
            <w:tcW w:w="6095" w:type="dxa"/>
            <w:gridSpan w:val="3"/>
            <w:vAlign w:val="center"/>
          </w:tcPr>
          <w:p w14:paraId="17231F8E">
            <w:pPr>
              <w:pStyle w:val="13"/>
            </w:pPr>
            <w:r>
              <w:t>冀财教[2024]142号/省级/2025年学前发展资金/莲子镇校区学前教育公用经费</w:t>
            </w:r>
          </w:p>
        </w:tc>
      </w:tr>
      <w:tr w14:paraId="56A10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7766A">
            <w:pPr>
              <w:pStyle w:val="11"/>
            </w:pPr>
            <w:r>
              <w:t>预算规模及资金用途</w:t>
            </w:r>
          </w:p>
        </w:tc>
        <w:tc>
          <w:tcPr>
            <w:tcW w:w="2268" w:type="dxa"/>
            <w:vAlign w:val="center"/>
          </w:tcPr>
          <w:p w14:paraId="043CF7FF">
            <w:pPr>
              <w:pStyle w:val="11"/>
            </w:pPr>
            <w:r>
              <w:t>预算数</w:t>
            </w:r>
          </w:p>
        </w:tc>
        <w:tc>
          <w:tcPr>
            <w:tcW w:w="2835" w:type="dxa"/>
            <w:vAlign w:val="center"/>
          </w:tcPr>
          <w:p w14:paraId="2AA73DF4">
            <w:pPr>
              <w:pStyle w:val="13"/>
            </w:pPr>
            <w:r>
              <w:t>5.85</w:t>
            </w:r>
          </w:p>
        </w:tc>
        <w:tc>
          <w:tcPr>
            <w:tcW w:w="2835" w:type="dxa"/>
            <w:vAlign w:val="center"/>
          </w:tcPr>
          <w:p w14:paraId="57512487">
            <w:pPr>
              <w:pStyle w:val="11"/>
            </w:pPr>
            <w:r>
              <w:t>其中：财政    资金</w:t>
            </w:r>
          </w:p>
        </w:tc>
        <w:tc>
          <w:tcPr>
            <w:tcW w:w="2551" w:type="dxa"/>
            <w:vAlign w:val="center"/>
          </w:tcPr>
          <w:p w14:paraId="33350FC4">
            <w:pPr>
              <w:pStyle w:val="13"/>
            </w:pPr>
            <w:r>
              <w:t>5.85</w:t>
            </w:r>
          </w:p>
        </w:tc>
        <w:tc>
          <w:tcPr>
            <w:tcW w:w="2268" w:type="dxa"/>
            <w:vAlign w:val="center"/>
          </w:tcPr>
          <w:p w14:paraId="4D2DCF03">
            <w:pPr>
              <w:pStyle w:val="11"/>
            </w:pPr>
            <w:r>
              <w:t>其他资金</w:t>
            </w:r>
          </w:p>
        </w:tc>
        <w:tc>
          <w:tcPr>
            <w:tcW w:w="1276" w:type="dxa"/>
            <w:vAlign w:val="center"/>
          </w:tcPr>
          <w:p w14:paraId="7DDDD62F">
            <w:pPr>
              <w:pStyle w:val="13"/>
            </w:pPr>
            <w:r>
              <w:t xml:space="preserve"> </w:t>
            </w:r>
          </w:p>
        </w:tc>
      </w:tr>
      <w:tr w14:paraId="43F33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3F83F2"/>
        </w:tc>
        <w:tc>
          <w:tcPr>
            <w:tcW w:w="14033" w:type="dxa"/>
            <w:gridSpan w:val="6"/>
            <w:vAlign w:val="center"/>
          </w:tcPr>
          <w:p w14:paraId="0D91F2B3">
            <w:pPr>
              <w:pStyle w:val="13"/>
            </w:pPr>
            <w:r>
              <w:t xml:space="preserve"> 保障幼儿园正常运转，完成教育教学活动和其他日常工作任务等方面的费用支出。</w:t>
            </w:r>
          </w:p>
        </w:tc>
      </w:tr>
      <w:tr w14:paraId="21A4B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ED099">
            <w:pPr>
              <w:pStyle w:val="11"/>
            </w:pPr>
            <w:r>
              <w:t>资金支出计划（%）</w:t>
            </w:r>
          </w:p>
        </w:tc>
        <w:tc>
          <w:tcPr>
            <w:tcW w:w="5103" w:type="dxa"/>
            <w:gridSpan w:val="2"/>
            <w:vAlign w:val="center"/>
          </w:tcPr>
          <w:p w14:paraId="1251E5D0">
            <w:pPr>
              <w:pStyle w:val="11"/>
            </w:pPr>
            <w:r>
              <w:t>3月底</w:t>
            </w:r>
          </w:p>
        </w:tc>
        <w:tc>
          <w:tcPr>
            <w:tcW w:w="2835" w:type="dxa"/>
            <w:vAlign w:val="center"/>
          </w:tcPr>
          <w:p w14:paraId="767205E7">
            <w:pPr>
              <w:pStyle w:val="11"/>
            </w:pPr>
            <w:r>
              <w:t>6月底</w:t>
            </w:r>
          </w:p>
        </w:tc>
        <w:tc>
          <w:tcPr>
            <w:tcW w:w="2551" w:type="dxa"/>
            <w:vAlign w:val="center"/>
          </w:tcPr>
          <w:p w14:paraId="747FC113">
            <w:pPr>
              <w:pStyle w:val="11"/>
            </w:pPr>
            <w:r>
              <w:t>10月底</w:t>
            </w:r>
          </w:p>
        </w:tc>
        <w:tc>
          <w:tcPr>
            <w:tcW w:w="3544" w:type="dxa"/>
            <w:gridSpan w:val="2"/>
            <w:vAlign w:val="center"/>
          </w:tcPr>
          <w:p w14:paraId="538C4653">
            <w:pPr>
              <w:pStyle w:val="11"/>
            </w:pPr>
            <w:r>
              <w:t>12月底</w:t>
            </w:r>
          </w:p>
        </w:tc>
      </w:tr>
      <w:tr w14:paraId="6637C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039442"/>
        </w:tc>
        <w:tc>
          <w:tcPr>
            <w:tcW w:w="5103" w:type="dxa"/>
            <w:gridSpan w:val="2"/>
            <w:vAlign w:val="center"/>
          </w:tcPr>
          <w:p w14:paraId="539519B7">
            <w:pPr>
              <w:pStyle w:val="12"/>
            </w:pPr>
            <w:r>
              <w:t>25%</w:t>
            </w:r>
          </w:p>
        </w:tc>
        <w:tc>
          <w:tcPr>
            <w:tcW w:w="2835" w:type="dxa"/>
            <w:vAlign w:val="center"/>
          </w:tcPr>
          <w:p w14:paraId="7DDA2269">
            <w:pPr>
              <w:pStyle w:val="12"/>
            </w:pPr>
            <w:r>
              <w:t>50%</w:t>
            </w:r>
          </w:p>
        </w:tc>
        <w:tc>
          <w:tcPr>
            <w:tcW w:w="2551" w:type="dxa"/>
            <w:vAlign w:val="center"/>
          </w:tcPr>
          <w:p w14:paraId="4695E185">
            <w:pPr>
              <w:pStyle w:val="12"/>
            </w:pPr>
            <w:r>
              <w:t>75%</w:t>
            </w:r>
          </w:p>
        </w:tc>
        <w:tc>
          <w:tcPr>
            <w:tcW w:w="3544" w:type="dxa"/>
            <w:gridSpan w:val="2"/>
            <w:vAlign w:val="center"/>
          </w:tcPr>
          <w:p w14:paraId="0EEB01DF">
            <w:pPr>
              <w:pStyle w:val="12"/>
            </w:pPr>
            <w:r>
              <w:t>100%</w:t>
            </w:r>
          </w:p>
        </w:tc>
      </w:tr>
      <w:tr w14:paraId="276EC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461C4">
            <w:pPr>
              <w:pStyle w:val="11"/>
            </w:pPr>
            <w:r>
              <w:t>绩效目标</w:t>
            </w:r>
          </w:p>
        </w:tc>
        <w:tc>
          <w:tcPr>
            <w:tcW w:w="14033" w:type="dxa"/>
            <w:gridSpan w:val="6"/>
            <w:vAlign w:val="center"/>
          </w:tcPr>
          <w:p w14:paraId="2B97CA2D">
            <w:pPr>
              <w:pStyle w:val="13"/>
            </w:pPr>
            <w:r>
              <w:t>1.按季度分批次拨付公用经费资金，资金拨付率达到100%。</w:t>
            </w:r>
          </w:p>
          <w:p w14:paraId="757BC287">
            <w:pPr>
              <w:pStyle w:val="13"/>
            </w:pPr>
            <w:r>
              <w:t>2. 保障幼儿园正常运转，完成教育教学活动和其他日常工作任务等方面的费用支出。</w:t>
            </w:r>
          </w:p>
        </w:tc>
      </w:tr>
    </w:tbl>
    <w:p w14:paraId="6A54EF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088"/>
        <w:gridCol w:w="2456"/>
      </w:tblGrid>
      <w:tr w14:paraId="26A96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935B2">
            <w:pPr>
              <w:pStyle w:val="11"/>
            </w:pPr>
            <w:r>
              <w:t>一级指标</w:t>
            </w:r>
          </w:p>
        </w:tc>
        <w:tc>
          <w:tcPr>
            <w:tcW w:w="2268" w:type="dxa"/>
            <w:vAlign w:val="center"/>
          </w:tcPr>
          <w:p w14:paraId="61E7AB98">
            <w:pPr>
              <w:pStyle w:val="11"/>
            </w:pPr>
            <w:r>
              <w:t>二级指标</w:t>
            </w:r>
          </w:p>
        </w:tc>
        <w:tc>
          <w:tcPr>
            <w:tcW w:w="2835" w:type="dxa"/>
            <w:vAlign w:val="center"/>
          </w:tcPr>
          <w:p w14:paraId="6A84740F">
            <w:pPr>
              <w:pStyle w:val="11"/>
            </w:pPr>
            <w:r>
              <w:t>三级指标</w:t>
            </w:r>
          </w:p>
        </w:tc>
        <w:tc>
          <w:tcPr>
            <w:tcW w:w="5386" w:type="dxa"/>
            <w:vAlign w:val="center"/>
          </w:tcPr>
          <w:p w14:paraId="0ACC7C5C">
            <w:pPr>
              <w:pStyle w:val="11"/>
            </w:pPr>
            <w:r>
              <w:t>绩效指标描述</w:t>
            </w:r>
          </w:p>
        </w:tc>
        <w:tc>
          <w:tcPr>
            <w:tcW w:w="1088" w:type="dxa"/>
            <w:vAlign w:val="center"/>
          </w:tcPr>
          <w:p w14:paraId="3FBA18F3">
            <w:pPr>
              <w:pStyle w:val="11"/>
            </w:pPr>
            <w:r>
              <w:t>指标值</w:t>
            </w:r>
          </w:p>
        </w:tc>
        <w:tc>
          <w:tcPr>
            <w:tcW w:w="2456" w:type="dxa"/>
            <w:vAlign w:val="center"/>
          </w:tcPr>
          <w:p w14:paraId="566B379F">
            <w:pPr>
              <w:pStyle w:val="11"/>
            </w:pPr>
            <w:r>
              <w:t>指标值确定依据</w:t>
            </w:r>
          </w:p>
        </w:tc>
      </w:tr>
      <w:tr w14:paraId="7FB76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90FBB">
            <w:pPr>
              <w:pStyle w:val="12"/>
            </w:pPr>
            <w:r>
              <w:t>产出指标</w:t>
            </w:r>
          </w:p>
        </w:tc>
        <w:tc>
          <w:tcPr>
            <w:tcW w:w="2268" w:type="dxa"/>
            <w:vAlign w:val="center"/>
          </w:tcPr>
          <w:p w14:paraId="7D999A78">
            <w:pPr>
              <w:pStyle w:val="13"/>
            </w:pPr>
            <w:r>
              <w:t>数量指标</w:t>
            </w:r>
          </w:p>
        </w:tc>
        <w:tc>
          <w:tcPr>
            <w:tcW w:w="2835" w:type="dxa"/>
            <w:vAlign w:val="center"/>
          </w:tcPr>
          <w:p w14:paraId="71AC6E4C">
            <w:pPr>
              <w:pStyle w:val="13"/>
            </w:pPr>
            <w:r>
              <w:t>适龄在园生</w:t>
            </w:r>
          </w:p>
        </w:tc>
        <w:tc>
          <w:tcPr>
            <w:tcW w:w="5386" w:type="dxa"/>
            <w:vAlign w:val="center"/>
          </w:tcPr>
          <w:p w14:paraId="4ABD9853">
            <w:pPr>
              <w:pStyle w:val="13"/>
            </w:pPr>
            <w:r>
              <w:t>适龄在园学生人数</w:t>
            </w:r>
          </w:p>
        </w:tc>
        <w:tc>
          <w:tcPr>
            <w:tcW w:w="1088" w:type="dxa"/>
            <w:vAlign w:val="center"/>
          </w:tcPr>
          <w:p w14:paraId="7B7EB58F">
            <w:pPr>
              <w:pStyle w:val="13"/>
            </w:pPr>
            <w:r>
              <w:t>390人</w:t>
            </w:r>
          </w:p>
        </w:tc>
        <w:tc>
          <w:tcPr>
            <w:tcW w:w="2456" w:type="dxa"/>
            <w:vAlign w:val="center"/>
          </w:tcPr>
          <w:p w14:paraId="7DC53A7C">
            <w:pPr>
              <w:pStyle w:val="13"/>
            </w:pPr>
            <w:r>
              <w:t>支持学前教育发展资金管理方法</w:t>
            </w:r>
          </w:p>
        </w:tc>
      </w:tr>
      <w:tr w14:paraId="094B9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4340A"/>
        </w:tc>
        <w:tc>
          <w:tcPr>
            <w:tcW w:w="2268" w:type="dxa"/>
            <w:vAlign w:val="center"/>
          </w:tcPr>
          <w:p w14:paraId="634EA4C3">
            <w:pPr>
              <w:pStyle w:val="13"/>
            </w:pPr>
            <w:r>
              <w:t>质量指标</w:t>
            </w:r>
          </w:p>
        </w:tc>
        <w:tc>
          <w:tcPr>
            <w:tcW w:w="2835" w:type="dxa"/>
            <w:vAlign w:val="center"/>
          </w:tcPr>
          <w:p w14:paraId="2CF28936">
            <w:pPr>
              <w:pStyle w:val="13"/>
            </w:pPr>
            <w:r>
              <w:t>预算控制率</w:t>
            </w:r>
          </w:p>
        </w:tc>
        <w:tc>
          <w:tcPr>
            <w:tcW w:w="5386" w:type="dxa"/>
            <w:vAlign w:val="center"/>
          </w:tcPr>
          <w:p w14:paraId="4CD36353">
            <w:pPr>
              <w:pStyle w:val="13"/>
            </w:pPr>
            <w:r>
              <w:t>预算执行</w:t>
            </w:r>
          </w:p>
        </w:tc>
        <w:tc>
          <w:tcPr>
            <w:tcW w:w="1088" w:type="dxa"/>
            <w:vAlign w:val="center"/>
          </w:tcPr>
          <w:p w14:paraId="488598D0">
            <w:pPr>
              <w:pStyle w:val="13"/>
            </w:pPr>
            <w:r>
              <w:t>≥95%</w:t>
            </w:r>
          </w:p>
        </w:tc>
        <w:tc>
          <w:tcPr>
            <w:tcW w:w="2456" w:type="dxa"/>
            <w:vAlign w:val="center"/>
          </w:tcPr>
          <w:p w14:paraId="39DDCFDE">
            <w:pPr>
              <w:pStyle w:val="13"/>
            </w:pPr>
            <w:r>
              <w:t>支持学前教育发展资金管理方法</w:t>
            </w:r>
          </w:p>
        </w:tc>
      </w:tr>
      <w:tr w14:paraId="06E71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17951"/>
        </w:tc>
        <w:tc>
          <w:tcPr>
            <w:tcW w:w="2268" w:type="dxa"/>
            <w:vAlign w:val="center"/>
          </w:tcPr>
          <w:p w14:paraId="05CF25A4">
            <w:pPr>
              <w:pStyle w:val="13"/>
            </w:pPr>
            <w:r>
              <w:t>时效指标</w:t>
            </w:r>
          </w:p>
        </w:tc>
        <w:tc>
          <w:tcPr>
            <w:tcW w:w="2835" w:type="dxa"/>
            <w:vAlign w:val="center"/>
          </w:tcPr>
          <w:p w14:paraId="65E6D484">
            <w:pPr>
              <w:pStyle w:val="13"/>
            </w:pPr>
            <w:r>
              <w:t>资金支付率</w:t>
            </w:r>
          </w:p>
        </w:tc>
        <w:tc>
          <w:tcPr>
            <w:tcW w:w="5386" w:type="dxa"/>
            <w:vAlign w:val="center"/>
          </w:tcPr>
          <w:p w14:paraId="754152CF">
            <w:pPr>
              <w:pStyle w:val="13"/>
            </w:pPr>
            <w:r>
              <w:t>按照序时进度完成资金支付</w:t>
            </w:r>
          </w:p>
        </w:tc>
        <w:tc>
          <w:tcPr>
            <w:tcW w:w="1088" w:type="dxa"/>
            <w:vAlign w:val="center"/>
          </w:tcPr>
          <w:p w14:paraId="2B786E7D">
            <w:pPr>
              <w:pStyle w:val="13"/>
            </w:pPr>
            <w:r>
              <w:t>≥100%</w:t>
            </w:r>
          </w:p>
        </w:tc>
        <w:tc>
          <w:tcPr>
            <w:tcW w:w="2456" w:type="dxa"/>
            <w:vAlign w:val="center"/>
          </w:tcPr>
          <w:p w14:paraId="2A67F6E9">
            <w:pPr>
              <w:pStyle w:val="13"/>
            </w:pPr>
            <w:r>
              <w:t>支持学前教育发展资金管理方法</w:t>
            </w:r>
          </w:p>
        </w:tc>
      </w:tr>
      <w:tr w14:paraId="3D9BE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45005"/>
        </w:tc>
        <w:tc>
          <w:tcPr>
            <w:tcW w:w="2268" w:type="dxa"/>
            <w:vAlign w:val="center"/>
          </w:tcPr>
          <w:p w14:paraId="36596A74">
            <w:pPr>
              <w:pStyle w:val="13"/>
            </w:pPr>
            <w:r>
              <w:t>成本指标</w:t>
            </w:r>
          </w:p>
        </w:tc>
        <w:tc>
          <w:tcPr>
            <w:tcW w:w="2835" w:type="dxa"/>
            <w:vAlign w:val="center"/>
          </w:tcPr>
          <w:p w14:paraId="33293950">
            <w:pPr>
              <w:pStyle w:val="13"/>
            </w:pPr>
            <w:r>
              <w:t>生均拨款标准</w:t>
            </w:r>
          </w:p>
        </w:tc>
        <w:tc>
          <w:tcPr>
            <w:tcW w:w="5386" w:type="dxa"/>
            <w:vAlign w:val="center"/>
          </w:tcPr>
          <w:p w14:paraId="46DAE028">
            <w:pPr>
              <w:pStyle w:val="13"/>
            </w:pPr>
            <w:r>
              <w:t>学前：（基本标准600元/生/学年）</w:t>
            </w:r>
          </w:p>
        </w:tc>
        <w:tc>
          <w:tcPr>
            <w:tcW w:w="1088" w:type="dxa"/>
            <w:vAlign w:val="center"/>
          </w:tcPr>
          <w:p w14:paraId="4B368972">
            <w:pPr>
              <w:pStyle w:val="13"/>
            </w:pPr>
            <w:r>
              <w:t>600元</w:t>
            </w:r>
          </w:p>
        </w:tc>
        <w:tc>
          <w:tcPr>
            <w:tcW w:w="2456" w:type="dxa"/>
            <w:vAlign w:val="center"/>
          </w:tcPr>
          <w:p w14:paraId="40A737B6">
            <w:pPr>
              <w:pStyle w:val="13"/>
            </w:pPr>
            <w:r>
              <w:t>支持学前教育发展资金管理方法</w:t>
            </w:r>
          </w:p>
        </w:tc>
      </w:tr>
      <w:tr w14:paraId="1C2CA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FA4060">
            <w:pPr>
              <w:pStyle w:val="12"/>
            </w:pPr>
            <w:r>
              <w:t>效益指标</w:t>
            </w:r>
          </w:p>
        </w:tc>
        <w:tc>
          <w:tcPr>
            <w:tcW w:w="2268" w:type="dxa"/>
            <w:vAlign w:val="center"/>
          </w:tcPr>
          <w:p w14:paraId="3BDD043B">
            <w:pPr>
              <w:pStyle w:val="13"/>
            </w:pPr>
            <w:r>
              <w:t>可持续影响指标</w:t>
            </w:r>
          </w:p>
        </w:tc>
        <w:tc>
          <w:tcPr>
            <w:tcW w:w="2835" w:type="dxa"/>
            <w:vAlign w:val="center"/>
          </w:tcPr>
          <w:p w14:paraId="0F200EC8">
            <w:pPr>
              <w:pStyle w:val="13"/>
            </w:pPr>
            <w:r>
              <w:t>学校运转得到提升</w:t>
            </w:r>
          </w:p>
        </w:tc>
        <w:tc>
          <w:tcPr>
            <w:tcW w:w="5386" w:type="dxa"/>
            <w:vAlign w:val="center"/>
          </w:tcPr>
          <w:p w14:paraId="45DD118C">
            <w:pPr>
              <w:pStyle w:val="13"/>
            </w:pPr>
            <w:r>
              <w:t>幼儿受教育年限</w:t>
            </w:r>
          </w:p>
        </w:tc>
        <w:tc>
          <w:tcPr>
            <w:tcW w:w="1088" w:type="dxa"/>
            <w:vAlign w:val="center"/>
          </w:tcPr>
          <w:p w14:paraId="2E2023A0">
            <w:pPr>
              <w:pStyle w:val="13"/>
            </w:pPr>
            <w:r>
              <w:t>3年</w:t>
            </w:r>
          </w:p>
        </w:tc>
        <w:tc>
          <w:tcPr>
            <w:tcW w:w="2456" w:type="dxa"/>
            <w:vAlign w:val="center"/>
          </w:tcPr>
          <w:p w14:paraId="575C57D0">
            <w:pPr>
              <w:pStyle w:val="13"/>
            </w:pPr>
            <w:r>
              <w:t>支持学前教育发展资金管理方法</w:t>
            </w:r>
          </w:p>
        </w:tc>
      </w:tr>
      <w:tr w14:paraId="0CD9C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2B9C12">
            <w:pPr>
              <w:pStyle w:val="12"/>
            </w:pPr>
            <w:r>
              <w:t>满意度指标</w:t>
            </w:r>
          </w:p>
        </w:tc>
        <w:tc>
          <w:tcPr>
            <w:tcW w:w="2268" w:type="dxa"/>
            <w:vAlign w:val="center"/>
          </w:tcPr>
          <w:p w14:paraId="715C414A">
            <w:pPr>
              <w:pStyle w:val="13"/>
            </w:pPr>
            <w:r>
              <w:t>服务对象满意度指标</w:t>
            </w:r>
          </w:p>
        </w:tc>
        <w:tc>
          <w:tcPr>
            <w:tcW w:w="2835" w:type="dxa"/>
            <w:vAlign w:val="center"/>
          </w:tcPr>
          <w:p w14:paraId="5C8CFC8B">
            <w:pPr>
              <w:pStyle w:val="13"/>
            </w:pPr>
            <w:r>
              <w:t>受益学生家长及调查满意度</w:t>
            </w:r>
          </w:p>
        </w:tc>
        <w:tc>
          <w:tcPr>
            <w:tcW w:w="5386" w:type="dxa"/>
            <w:vAlign w:val="center"/>
          </w:tcPr>
          <w:p w14:paraId="49FE2609">
            <w:pPr>
              <w:pStyle w:val="13"/>
            </w:pPr>
            <w:r>
              <w:t>学生、教师及家长对学校保教保育工作满意度情况</w:t>
            </w:r>
          </w:p>
        </w:tc>
        <w:tc>
          <w:tcPr>
            <w:tcW w:w="1088" w:type="dxa"/>
            <w:vAlign w:val="center"/>
          </w:tcPr>
          <w:p w14:paraId="572A4B2B">
            <w:pPr>
              <w:pStyle w:val="13"/>
            </w:pPr>
            <w:r>
              <w:t>≥95%</w:t>
            </w:r>
          </w:p>
        </w:tc>
        <w:tc>
          <w:tcPr>
            <w:tcW w:w="2456" w:type="dxa"/>
            <w:vAlign w:val="center"/>
          </w:tcPr>
          <w:p w14:paraId="29F789F4">
            <w:pPr>
              <w:pStyle w:val="13"/>
            </w:pPr>
            <w:r>
              <w:t>支持学前教育发展资金管理方法</w:t>
            </w:r>
          </w:p>
        </w:tc>
      </w:tr>
    </w:tbl>
    <w:p w14:paraId="2FCE9511">
      <w:pPr>
        <w:sectPr>
          <w:pgSz w:w="16840" w:h="11900" w:orient="landscape"/>
          <w:pgMar w:top="1361" w:right="1020" w:bottom="1134" w:left="1020" w:header="720" w:footer="720" w:gutter="0"/>
          <w:cols w:space="720" w:num="1"/>
        </w:sectPr>
      </w:pPr>
    </w:p>
    <w:p w14:paraId="00020095">
      <w:pPr>
        <w:spacing w:before="0" w:after="0"/>
        <w:ind w:firstLine="560"/>
        <w:jc w:val="left"/>
        <w:outlineLvl w:val="9"/>
      </w:pPr>
      <w:r>
        <w:rPr>
          <w:rFonts w:ascii="方正仿宋_GBK" w:hAnsi="方正仿宋_GBK" w:eastAsia="方正仿宋_GBK" w:cs="方正仿宋_GBK"/>
          <w:b/>
          <w:color w:val="000000"/>
          <w:sz w:val="28"/>
        </w:rPr>
        <w:t>22、冀财教[2024]142号/省级/2025年学前发展资金/莲子镇校区学前教育幼儿资助绩效目标表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9C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DD46E">
            <w:pPr>
              <w:pStyle w:val="14"/>
            </w:pPr>
            <w:r>
              <w:t>单位：万元</w:t>
            </w:r>
          </w:p>
        </w:tc>
      </w:tr>
      <w:tr w14:paraId="217E60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1E76FE">
            <w:pPr>
              <w:pStyle w:val="11"/>
            </w:pPr>
            <w:r>
              <w:t>项目编码</w:t>
            </w:r>
          </w:p>
        </w:tc>
        <w:tc>
          <w:tcPr>
            <w:tcW w:w="5103" w:type="dxa"/>
            <w:gridSpan w:val="2"/>
            <w:vAlign w:val="center"/>
          </w:tcPr>
          <w:p w14:paraId="067EBD64">
            <w:pPr>
              <w:pStyle w:val="13"/>
            </w:pPr>
            <w:r>
              <w:t>13052525P00000210076D</w:t>
            </w:r>
          </w:p>
        </w:tc>
        <w:tc>
          <w:tcPr>
            <w:tcW w:w="2835" w:type="dxa"/>
            <w:vAlign w:val="center"/>
          </w:tcPr>
          <w:p w14:paraId="2874D9F8">
            <w:pPr>
              <w:pStyle w:val="11"/>
            </w:pPr>
            <w:r>
              <w:t>项目名称</w:t>
            </w:r>
          </w:p>
        </w:tc>
        <w:tc>
          <w:tcPr>
            <w:tcW w:w="6095" w:type="dxa"/>
            <w:gridSpan w:val="3"/>
            <w:vAlign w:val="center"/>
          </w:tcPr>
          <w:p w14:paraId="174472B8">
            <w:pPr>
              <w:pStyle w:val="13"/>
            </w:pPr>
            <w:r>
              <w:t>冀财教[2024]142号/省级/2025年学前发展资金/莲子镇校区学前教育幼儿资助</w:t>
            </w:r>
          </w:p>
        </w:tc>
      </w:tr>
      <w:tr w14:paraId="16B96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0415A524">
            <w:pPr>
              <w:pStyle w:val="11"/>
            </w:pPr>
            <w:r>
              <w:t>预算规模及资金用途</w:t>
            </w:r>
          </w:p>
        </w:tc>
        <w:tc>
          <w:tcPr>
            <w:tcW w:w="2268" w:type="dxa"/>
            <w:vAlign w:val="center"/>
          </w:tcPr>
          <w:p w14:paraId="47F655AC">
            <w:pPr>
              <w:pStyle w:val="11"/>
            </w:pPr>
            <w:r>
              <w:t>预算数</w:t>
            </w:r>
          </w:p>
        </w:tc>
        <w:tc>
          <w:tcPr>
            <w:tcW w:w="2835" w:type="dxa"/>
            <w:vAlign w:val="center"/>
          </w:tcPr>
          <w:p w14:paraId="59334818">
            <w:pPr>
              <w:pStyle w:val="13"/>
            </w:pPr>
            <w:r>
              <w:t>0.62</w:t>
            </w:r>
          </w:p>
        </w:tc>
        <w:tc>
          <w:tcPr>
            <w:tcW w:w="2835" w:type="dxa"/>
            <w:vAlign w:val="center"/>
          </w:tcPr>
          <w:p w14:paraId="2403C5F1">
            <w:pPr>
              <w:pStyle w:val="11"/>
            </w:pPr>
            <w:r>
              <w:t>其中：财政    资金</w:t>
            </w:r>
          </w:p>
        </w:tc>
        <w:tc>
          <w:tcPr>
            <w:tcW w:w="2551" w:type="dxa"/>
            <w:vAlign w:val="center"/>
          </w:tcPr>
          <w:p w14:paraId="11DA2BF0">
            <w:pPr>
              <w:pStyle w:val="13"/>
            </w:pPr>
            <w:r>
              <w:t>0.62</w:t>
            </w:r>
          </w:p>
        </w:tc>
        <w:tc>
          <w:tcPr>
            <w:tcW w:w="2268" w:type="dxa"/>
            <w:vAlign w:val="center"/>
          </w:tcPr>
          <w:p w14:paraId="5EE6DC01">
            <w:pPr>
              <w:pStyle w:val="11"/>
            </w:pPr>
            <w:r>
              <w:t>其他资金</w:t>
            </w:r>
          </w:p>
        </w:tc>
        <w:tc>
          <w:tcPr>
            <w:tcW w:w="1276" w:type="dxa"/>
            <w:vAlign w:val="center"/>
          </w:tcPr>
          <w:p w14:paraId="07C102FA">
            <w:pPr>
              <w:pStyle w:val="13"/>
            </w:pPr>
            <w:r>
              <w:t xml:space="preserve"> </w:t>
            </w:r>
          </w:p>
        </w:tc>
      </w:tr>
      <w:tr w14:paraId="3BE20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63FA40"/>
        </w:tc>
        <w:tc>
          <w:tcPr>
            <w:tcW w:w="14033" w:type="dxa"/>
            <w:gridSpan w:val="6"/>
            <w:vAlign w:val="center"/>
          </w:tcPr>
          <w:p w14:paraId="78E59E54">
            <w:pPr>
              <w:pStyle w:val="13"/>
            </w:pPr>
            <w:r>
              <w:t>保障落实建档立卡及家庭经济困难儿童资助所需资金，确保建档立卡等家庭经济困难幼儿优先获得资助,符合享受资助条件的学生应助尽助。</w:t>
            </w:r>
          </w:p>
        </w:tc>
      </w:tr>
      <w:tr w14:paraId="00DF2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6873C">
            <w:pPr>
              <w:pStyle w:val="11"/>
            </w:pPr>
            <w:r>
              <w:t>资金支出计划（%）</w:t>
            </w:r>
          </w:p>
        </w:tc>
        <w:tc>
          <w:tcPr>
            <w:tcW w:w="5103" w:type="dxa"/>
            <w:gridSpan w:val="2"/>
            <w:vAlign w:val="center"/>
          </w:tcPr>
          <w:p w14:paraId="3E6D7E05">
            <w:pPr>
              <w:pStyle w:val="11"/>
            </w:pPr>
            <w:r>
              <w:t>3月底</w:t>
            </w:r>
          </w:p>
        </w:tc>
        <w:tc>
          <w:tcPr>
            <w:tcW w:w="2835" w:type="dxa"/>
            <w:vAlign w:val="center"/>
          </w:tcPr>
          <w:p w14:paraId="4FC34457">
            <w:pPr>
              <w:pStyle w:val="11"/>
            </w:pPr>
            <w:r>
              <w:t>6月底</w:t>
            </w:r>
          </w:p>
        </w:tc>
        <w:tc>
          <w:tcPr>
            <w:tcW w:w="2551" w:type="dxa"/>
            <w:vAlign w:val="center"/>
          </w:tcPr>
          <w:p w14:paraId="61C3DC47">
            <w:pPr>
              <w:pStyle w:val="11"/>
            </w:pPr>
            <w:r>
              <w:t>10月底</w:t>
            </w:r>
          </w:p>
        </w:tc>
        <w:tc>
          <w:tcPr>
            <w:tcW w:w="3544" w:type="dxa"/>
            <w:gridSpan w:val="2"/>
            <w:vAlign w:val="center"/>
          </w:tcPr>
          <w:p w14:paraId="4CF14B9A">
            <w:pPr>
              <w:pStyle w:val="11"/>
            </w:pPr>
            <w:r>
              <w:t>12月底</w:t>
            </w:r>
          </w:p>
        </w:tc>
      </w:tr>
      <w:tr w14:paraId="764CC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53EF3"/>
        </w:tc>
        <w:tc>
          <w:tcPr>
            <w:tcW w:w="5103" w:type="dxa"/>
            <w:gridSpan w:val="2"/>
            <w:vAlign w:val="center"/>
          </w:tcPr>
          <w:p w14:paraId="18F9AEC4">
            <w:pPr>
              <w:pStyle w:val="12"/>
            </w:pPr>
            <w:r>
              <w:t>25%</w:t>
            </w:r>
          </w:p>
        </w:tc>
        <w:tc>
          <w:tcPr>
            <w:tcW w:w="2835" w:type="dxa"/>
            <w:vAlign w:val="center"/>
          </w:tcPr>
          <w:p w14:paraId="374C5474">
            <w:pPr>
              <w:pStyle w:val="12"/>
            </w:pPr>
            <w:r>
              <w:t>50%</w:t>
            </w:r>
          </w:p>
        </w:tc>
        <w:tc>
          <w:tcPr>
            <w:tcW w:w="2551" w:type="dxa"/>
            <w:vAlign w:val="center"/>
          </w:tcPr>
          <w:p w14:paraId="25E20F6C">
            <w:pPr>
              <w:pStyle w:val="12"/>
            </w:pPr>
            <w:r>
              <w:t>75%</w:t>
            </w:r>
          </w:p>
        </w:tc>
        <w:tc>
          <w:tcPr>
            <w:tcW w:w="3544" w:type="dxa"/>
            <w:gridSpan w:val="2"/>
            <w:vAlign w:val="center"/>
          </w:tcPr>
          <w:p w14:paraId="49AC2736">
            <w:pPr>
              <w:pStyle w:val="12"/>
            </w:pPr>
            <w:r>
              <w:t>100%</w:t>
            </w:r>
          </w:p>
        </w:tc>
      </w:tr>
      <w:tr w14:paraId="06526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7EE1AF">
            <w:pPr>
              <w:pStyle w:val="11"/>
            </w:pPr>
            <w:r>
              <w:t>绩效目标</w:t>
            </w:r>
          </w:p>
        </w:tc>
        <w:tc>
          <w:tcPr>
            <w:tcW w:w="14033" w:type="dxa"/>
            <w:gridSpan w:val="6"/>
            <w:vAlign w:val="center"/>
          </w:tcPr>
          <w:p w14:paraId="63A9C10A">
            <w:pPr>
              <w:pStyle w:val="13"/>
            </w:pPr>
            <w:r>
              <w:t>1.保障落实建档立卡及家庭经济困难儿童资助所需资金，确保建档立卡等家庭经济困难幼儿优先获得资助</w:t>
            </w:r>
          </w:p>
          <w:p w14:paraId="2E78F26F">
            <w:pPr>
              <w:pStyle w:val="13"/>
            </w:pPr>
            <w:r>
              <w:t>2.保证本年度资助经费足额落实到位，符合享受资助条件的学生应助尽助。</w:t>
            </w:r>
          </w:p>
        </w:tc>
      </w:tr>
    </w:tbl>
    <w:p w14:paraId="5B2A31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3C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D1763">
            <w:pPr>
              <w:pStyle w:val="11"/>
            </w:pPr>
            <w:r>
              <w:t>一级指标</w:t>
            </w:r>
          </w:p>
        </w:tc>
        <w:tc>
          <w:tcPr>
            <w:tcW w:w="2268" w:type="dxa"/>
            <w:vAlign w:val="center"/>
          </w:tcPr>
          <w:p w14:paraId="4101D8B8">
            <w:pPr>
              <w:pStyle w:val="11"/>
            </w:pPr>
            <w:r>
              <w:t>二级指标</w:t>
            </w:r>
          </w:p>
        </w:tc>
        <w:tc>
          <w:tcPr>
            <w:tcW w:w="2835" w:type="dxa"/>
            <w:vAlign w:val="center"/>
          </w:tcPr>
          <w:p w14:paraId="77D550CB">
            <w:pPr>
              <w:pStyle w:val="11"/>
            </w:pPr>
            <w:r>
              <w:t>三级指标</w:t>
            </w:r>
          </w:p>
        </w:tc>
        <w:tc>
          <w:tcPr>
            <w:tcW w:w="5386" w:type="dxa"/>
            <w:vAlign w:val="center"/>
          </w:tcPr>
          <w:p w14:paraId="2880C480">
            <w:pPr>
              <w:pStyle w:val="11"/>
            </w:pPr>
            <w:r>
              <w:t>绩效指标描述</w:t>
            </w:r>
          </w:p>
        </w:tc>
        <w:tc>
          <w:tcPr>
            <w:tcW w:w="2268" w:type="dxa"/>
            <w:vAlign w:val="center"/>
          </w:tcPr>
          <w:p w14:paraId="26A93B69">
            <w:pPr>
              <w:pStyle w:val="11"/>
            </w:pPr>
            <w:r>
              <w:t>指标值</w:t>
            </w:r>
          </w:p>
        </w:tc>
        <w:tc>
          <w:tcPr>
            <w:tcW w:w="1276" w:type="dxa"/>
            <w:vAlign w:val="center"/>
          </w:tcPr>
          <w:p w14:paraId="4D67ADA3">
            <w:pPr>
              <w:pStyle w:val="11"/>
            </w:pPr>
            <w:r>
              <w:t>指标值确定依据</w:t>
            </w:r>
          </w:p>
        </w:tc>
      </w:tr>
      <w:tr w14:paraId="2D771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C019B">
            <w:pPr>
              <w:pStyle w:val="12"/>
            </w:pPr>
            <w:r>
              <w:t>产出指标</w:t>
            </w:r>
          </w:p>
        </w:tc>
        <w:tc>
          <w:tcPr>
            <w:tcW w:w="2268" w:type="dxa"/>
            <w:vAlign w:val="center"/>
          </w:tcPr>
          <w:p w14:paraId="43FDD2A1">
            <w:pPr>
              <w:pStyle w:val="13"/>
            </w:pPr>
            <w:r>
              <w:t>数量指标</w:t>
            </w:r>
          </w:p>
        </w:tc>
        <w:tc>
          <w:tcPr>
            <w:tcW w:w="2835" w:type="dxa"/>
            <w:vAlign w:val="center"/>
          </w:tcPr>
          <w:p w14:paraId="55D0BF55">
            <w:pPr>
              <w:pStyle w:val="13"/>
            </w:pPr>
            <w:r>
              <w:t>幼儿资助比例</w:t>
            </w:r>
          </w:p>
        </w:tc>
        <w:tc>
          <w:tcPr>
            <w:tcW w:w="5386" w:type="dxa"/>
            <w:vAlign w:val="center"/>
          </w:tcPr>
          <w:p w14:paraId="13C28684">
            <w:pPr>
              <w:pStyle w:val="13"/>
            </w:pPr>
            <w:r>
              <w:t>按学前适龄在园儿童10%测算</w:t>
            </w:r>
          </w:p>
        </w:tc>
        <w:tc>
          <w:tcPr>
            <w:tcW w:w="2268" w:type="dxa"/>
            <w:vAlign w:val="center"/>
          </w:tcPr>
          <w:p w14:paraId="3A17CF0F">
            <w:pPr>
              <w:pStyle w:val="13"/>
            </w:pPr>
            <w:r>
              <w:t>10%</w:t>
            </w:r>
          </w:p>
        </w:tc>
        <w:tc>
          <w:tcPr>
            <w:tcW w:w="1276" w:type="dxa"/>
            <w:vAlign w:val="center"/>
          </w:tcPr>
          <w:p w14:paraId="35A68ECE">
            <w:pPr>
              <w:pStyle w:val="13"/>
            </w:pPr>
            <w:r>
              <w:t>幼儿资助经费管理办法</w:t>
            </w:r>
          </w:p>
        </w:tc>
      </w:tr>
      <w:tr w14:paraId="06C84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385E2"/>
        </w:tc>
        <w:tc>
          <w:tcPr>
            <w:tcW w:w="2268" w:type="dxa"/>
            <w:vAlign w:val="center"/>
          </w:tcPr>
          <w:p w14:paraId="5D1B43E4">
            <w:pPr>
              <w:pStyle w:val="13"/>
            </w:pPr>
            <w:r>
              <w:t>质量指标</w:t>
            </w:r>
          </w:p>
        </w:tc>
        <w:tc>
          <w:tcPr>
            <w:tcW w:w="2835" w:type="dxa"/>
            <w:vAlign w:val="center"/>
          </w:tcPr>
          <w:p w14:paraId="6A62D8CE">
            <w:pPr>
              <w:pStyle w:val="13"/>
            </w:pPr>
            <w:r>
              <w:t>资助资金使用率</w:t>
            </w:r>
          </w:p>
        </w:tc>
        <w:tc>
          <w:tcPr>
            <w:tcW w:w="5386" w:type="dxa"/>
            <w:vAlign w:val="center"/>
          </w:tcPr>
          <w:p w14:paraId="6FC0EFE2">
            <w:pPr>
              <w:pStyle w:val="13"/>
            </w:pPr>
            <w:r>
              <w:t>符合享受资助条件的学生应助尽助</w:t>
            </w:r>
          </w:p>
        </w:tc>
        <w:tc>
          <w:tcPr>
            <w:tcW w:w="2268" w:type="dxa"/>
            <w:vAlign w:val="center"/>
          </w:tcPr>
          <w:p w14:paraId="64AF5ED1">
            <w:pPr>
              <w:pStyle w:val="13"/>
            </w:pPr>
            <w:r>
              <w:t>≥100%</w:t>
            </w:r>
          </w:p>
        </w:tc>
        <w:tc>
          <w:tcPr>
            <w:tcW w:w="1276" w:type="dxa"/>
            <w:vAlign w:val="center"/>
          </w:tcPr>
          <w:p w14:paraId="1A44CE6C">
            <w:pPr>
              <w:pStyle w:val="13"/>
            </w:pPr>
            <w:r>
              <w:t>幼儿资助经费管理办法</w:t>
            </w:r>
          </w:p>
        </w:tc>
      </w:tr>
      <w:tr w14:paraId="423BE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C6859"/>
        </w:tc>
        <w:tc>
          <w:tcPr>
            <w:tcW w:w="2268" w:type="dxa"/>
            <w:vAlign w:val="center"/>
          </w:tcPr>
          <w:p w14:paraId="53247951">
            <w:pPr>
              <w:pStyle w:val="13"/>
            </w:pPr>
            <w:r>
              <w:t>时效指标</w:t>
            </w:r>
          </w:p>
        </w:tc>
        <w:tc>
          <w:tcPr>
            <w:tcW w:w="2835" w:type="dxa"/>
            <w:vAlign w:val="center"/>
          </w:tcPr>
          <w:p w14:paraId="0D94DCC8">
            <w:pPr>
              <w:pStyle w:val="13"/>
            </w:pPr>
            <w:r>
              <w:t>资金拨付率</w:t>
            </w:r>
          </w:p>
        </w:tc>
        <w:tc>
          <w:tcPr>
            <w:tcW w:w="5386" w:type="dxa"/>
            <w:vAlign w:val="center"/>
          </w:tcPr>
          <w:p w14:paraId="14149A41">
            <w:pPr>
              <w:pStyle w:val="13"/>
            </w:pPr>
            <w:r>
              <w:t>所有项目资金支付进度</w:t>
            </w:r>
          </w:p>
        </w:tc>
        <w:tc>
          <w:tcPr>
            <w:tcW w:w="2268" w:type="dxa"/>
            <w:vAlign w:val="center"/>
          </w:tcPr>
          <w:p w14:paraId="3CF59159">
            <w:pPr>
              <w:pStyle w:val="13"/>
            </w:pPr>
            <w:r>
              <w:t>≥100%</w:t>
            </w:r>
          </w:p>
        </w:tc>
        <w:tc>
          <w:tcPr>
            <w:tcW w:w="1276" w:type="dxa"/>
            <w:vAlign w:val="center"/>
          </w:tcPr>
          <w:p w14:paraId="4A47E43E">
            <w:pPr>
              <w:pStyle w:val="13"/>
            </w:pPr>
            <w:r>
              <w:t>幼儿资助经费管理办法</w:t>
            </w:r>
          </w:p>
        </w:tc>
      </w:tr>
      <w:tr w14:paraId="185AB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47C4F"/>
        </w:tc>
        <w:tc>
          <w:tcPr>
            <w:tcW w:w="2268" w:type="dxa"/>
            <w:vAlign w:val="center"/>
          </w:tcPr>
          <w:p w14:paraId="1A6FC443">
            <w:pPr>
              <w:pStyle w:val="13"/>
            </w:pPr>
            <w:r>
              <w:t>成本指标</w:t>
            </w:r>
          </w:p>
        </w:tc>
        <w:tc>
          <w:tcPr>
            <w:tcW w:w="2835" w:type="dxa"/>
            <w:vAlign w:val="center"/>
          </w:tcPr>
          <w:p w14:paraId="43DE910C">
            <w:pPr>
              <w:pStyle w:val="13"/>
            </w:pPr>
            <w:r>
              <w:t>幼儿园生均成本</w:t>
            </w:r>
          </w:p>
        </w:tc>
        <w:tc>
          <w:tcPr>
            <w:tcW w:w="5386" w:type="dxa"/>
            <w:vAlign w:val="center"/>
          </w:tcPr>
          <w:p w14:paraId="733FFDCC">
            <w:pPr>
              <w:pStyle w:val="13"/>
            </w:pPr>
            <w:r>
              <w:t>按照幼儿园资助标准1000元/生/年</w:t>
            </w:r>
          </w:p>
        </w:tc>
        <w:tc>
          <w:tcPr>
            <w:tcW w:w="2268" w:type="dxa"/>
            <w:vAlign w:val="center"/>
          </w:tcPr>
          <w:p w14:paraId="58820003">
            <w:pPr>
              <w:pStyle w:val="13"/>
            </w:pPr>
            <w:r>
              <w:t>1000元</w:t>
            </w:r>
          </w:p>
        </w:tc>
        <w:tc>
          <w:tcPr>
            <w:tcW w:w="1276" w:type="dxa"/>
            <w:vAlign w:val="center"/>
          </w:tcPr>
          <w:p w14:paraId="69436081">
            <w:pPr>
              <w:pStyle w:val="13"/>
            </w:pPr>
            <w:r>
              <w:t>幼儿资助经费管理办法</w:t>
            </w:r>
          </w:p>
        </w:tc>
      </w:tr>
      <w:tr w14:paraId="5518A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E3F3AC">
            <w:pPr>
              <w:pStyle w:val="12"/>
            </w:pPr>
            <w:r>
              <w:t>效益指标</w:t>
            </w:r>
          </w:p>
        </w:tc>
        <w:tc>
          <w:tcPr>
            <w:tcW w:w="2268" w:type="dxa"/>
            <w:vAlign w:val="center"/>
          </w:tcPr>
          <w:p w14:paraId="0C7BAB61">
            <w:pPr>
              <w:pStyle w:val="13"/>
            </w:pPr>
            <w:r>
              <w:t>可持续影响指标</w:t>
            </w:r>
          </w:p>
        </w:tc>
        <w:tc>
          <w:tcPr>
            <w:tcW w:w="2835" w:type="dxa"/>
            <w:vAlign w:val="center"/>
          </w:tcPr>
          <w:p w14:paraId="590AB364">
            <w:pPr>
              <w:pStyle w:val="13"/>
            </w:pPr>
            <w:r>
              <w:t>幼儿园正常运转</w:t>
            </w:r>
          </w:p>
        </w:tc>
        <w:tc>
          <w:tcPr>
            <w:tcW w:w="5386" w:type="dxa"/>
            <w:vAlign w:val="center"/>
          </w:tcPr>
          <w:p w14:paraId="2330F608">
            <w:pPr>
              <w:pStyle w:val="13"/>
            </w:pPr>
            <w:r>
              <w:t>幼儿受教育年限</w:t>
            </w:r>
          </w:p>
        </w:tc>
        <w:tc>
          <w:tcPr>
            <w:tcW w:w="2268" w:type="dxa"/>
            <w:vAlign w:val="center"/>
          </w:tcPr>
          <w:p w14:paraId="6B00D62E">
            <w:pPr>
              <w:pStyle w:val="13"/>
            </w:pPr>
            <w:r>
              <w:t>3年</w:t>
            </w:r>
          </w:p>
        </w:tc>
        <w:tc>
          <w:tcPr>
            <w:tcW w:w="1276" w:type="dxa"/>
            <w:vAlign w:val="center"/>
          </w:tcPr>
          <w:p w14:paraId="260C4240">
            <w:pPr>
              <w:pStyle w:val="13"/>
            </w:pPr>
            <w:r>
              <w:t>幼儿资助经费管理办法</w:t>
            </w:r>
          </w:p>
        </w:tc>
      </w:tr>
      <w:tr w14:paraId="4FE05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95B7E">
            <w:pPr>
              <w:pStyle w:val="12"/>
            </w:pPr>
            <w:r>
              <w:t>满意度指标</w:t>
            </w:r>
          </w:p>
        </w:tc>
        <w:tc>
          <w:tcPr>
            <w:tcW w:w="2268" w:type="dxa"/>
            <w:vAlign w:val="center"/>
          </w:tcPr>
          <w:p w14:paraId="705AAC82">
            <w:pPr>
              <w:pStyle w:val="13"/>
            </w:pPr>
            <w:r>
              <w:t>服务对象满意度指标</w:t>
            </w:r>
          </w:p>
        </w:tc>
        <w:tc>
          <w:tcPr>
            <w:tcW w:w="2835" w:type="dxa"/>
            <w:vAlign w:val="center"/>
          </w:tcPr>
          <w:p w14:paraId="6EE0AA1A">
            <w:pPr>
              <w:pStyle w:val="13"/>
            </w:pPr>
            <w:r>
              <w:t>受益幼儿家长及调查满意度</w:t>
            </w:r>
          </w:p>
        </w:tc>
        <w:tc>
          <w:tcPr>
            <w:tcW w:w="5386" w:type="dxa"/>
            <w:vAlign w:val="center"/>
          </w:tcPr>
          <w:p w14:paraId="5F057619">
            <w:pPr>
              <w:pStyle w:val="13"/>
            </w:pPr>
            <w:r>
              <w:t>学生、教师及家长对学校保教保育工作满意度情况</w:t>
            </w:r>
          </w:p>
        </w:tc>
        <w:tc>
          <w:tcPr>
            <w:tcW w:w="2268" w:type="dxa"/>
            <w:vAlign w:val="center"/>
          </w:tcPr>
          <w:p w14:paraId="10D823E1">
            <w:pPr>
              <w:pStyle w:val="13"/>
            </w:pPr>
            <w:r>
              <w:t>≥95%</w:t>
            </w:r>
          </w:p>
        </w:tc>
        <w:tc>
          <w:tcPr>
            <w:tcW w:w="1276" w:type="dxa"/>
            <w:vAlign w:val="center"/>
          </w:tcPr>
          <w:p w14:paraId="76EABFA9">
            <w:pPr>
              <w:pStyle w:val="13"/>
            </w:pPr>
            <w:r>
              <w:t>幼儿资助经费管理办法</w:t>
            </w:r>
          </w:p>
        </w:tc>
      </w:tr>
    </w:tbl>
    <w:p w14:paraId="0788527F">
      <w:pPr>
        <w:sectPr>
          <w:pgSz w:w="16840" w:h="11900" w:orient="landscape"/>
          <w:pgMar w:top="1361" w:right="1020" w:bottom="1134" w:left="1020" w:header="720" w:footer="720" w:gutter="0"/>
          <w:cols w:space="720" w:num="1"/>
        </w:sectPr>
      </w:pPr>
    </w:p>
    <w:p w14:paraId="34D5A215">
      <w:pPr>
        <w:spacing w:before="0" w:after="0"/>
        <w:ind w:firstLine="560"/>
        <w:jc w:val="left"/>
        <w:outlineLvl w:val="9"/>
      </w:pPr>
      <w:r>
        <w:rPr>
          <w:rFonts w:ascii="方正仿宋_GBK" w:hAnsi="方正仿宋_GBK" w:eastAsia="方正仿宋_GBK" w:cs="方正仿宋_GBK"/>
          <w:b/>
          <w:color w:val="000000"/>
          <w:sz w:val="28"/>
        </w:rPr>
        <w:t>23、上年盘活/冀财教[2022]182号/省级/薄改与提升/白家寨小学塑胶操场改造绩效目标表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DE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2EA69">
            <w:pPr>
              <w:pStyle w:val="14"/>
            </w:pPr>
            <w:r>
              <w:t>单位：万元</w:t>
            </w:r>
          </w:p>
        </w:tc>
      </w:tr>
      <w:tr w14:paraId="22A1B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65DD6">
            <w:pPr>
              <w:pStyle w:val="11"/>
            </w:pPr>
            <w:r>
              <w:t>项目编码</w:t>
            </w:r>
          </w:p>
        </w:tc>
        <w:tc>
          <w:tcPr>
            <w:tcW w:w="5103" w:type="dxa"/>
            <w:gridSpan w:val="2"/>
            <w:vAlign w:val="center"/>
          </w:tcPr>
          <w:p w14:paraId="6CD556F2">
            <w:pPr>
              <w:pStyle w:val="13"/>
            </w:pPr>
            <w:r>
              <w:t>13052525P008756101893</w:t>
            </w:r>
          </w:p>
        </w:tc>
        <w:tc>
          <w:tcPr>
            <w:tcW w:w="2835" w:type="dxa"/>
            <w:vAlign w:val="center"/>
          </w:tcPr>
          <w:p w14:paraId="750EB63D">
            <w:pPr>
              <w:pStyle w:val="11"/>
            </w:pPr>
            <w:r>
              <w:t>项目名称</w:t>
            </w:r>
          </w:p>
        </w:tc>
        <w:tc>
          <w:tcPr>
            <w:tcW w:w="6095" w:type="dxa"/>
            <w:gridSpan w:val="3"/>
            <w:vAlign w:val="center"/>
          </w:tcPr>
          <w:p w14:paraId="4D1AA698">
            <w:pPr>
              <w:pStyle w:val="13"/>
            </w:pPr>
            <w:r>
              <w:t>上年盘活/冀财教[2022]182号/省级/薄改与提升/白家寨小学塑胶操场改造</w:t>
            </w:r>
          </w:p>
        </w:tc>
      </w:tr>
      <w:tr w14:paraId="2F14B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1E122">
            <w:pPr>
              <w:pStyle w:val="11"/>
            </w:pPr>
            <w:r>
              <w:t>预算规模及资金用途</w:t>
            </w:r>
          </w:p>
        </w:tc>
        <w:tc>
          <w:tcPr>
            <w:tcW w:w="2268" w:type="dxa"/>
            <w:vAlign w:val="center"/>
          </w:tcPr>
          <w:p w14:paraId="7049CC7B">
            <w:pPr>
              <w:pStyle w:val="11"/>
            </w:pPr>
            <w:r>
              <w:t>预算数</w:t>
            </w:r>
          </w:p>
        </w:tc>
        <w:tc>
          <w:tcPr>
            <w:tcW w:w="2835" w:type="dxa"/>
            <w:vAlign w:val="center"/>
          </w:tcPr>
          <w:p w14:paraId="07534F2A">
            <w:pPr>
              <w:pStyle w:val="13"/>
            </w:pPr>
            <w:r>
              <w:t>1.35</w:t>
            </w:r>
          </w:p>
        </w:tc>
        <w:tc>
          <w:tcPr>
            <w:tcW w:w="2835" w:type="dxa"/>
            <w:vAlign w:val="center"/>
          </w:tcPr>
          <w:p w14:paraId="351C36DA">
            <w:pPr>
              <w:pStyle w:val="11"/>
            </w:pPr>
            <w:r>
              <w:t>其中：财政    资金</w:t>
            </w:r>
          </w:p>
        </w:tc>
        <w:tc>
          <w:tcPr>
            <w:tcW w:w="2551" w:type="dxa"/>
            <w:vAlign w:val="center"/>
          </w:tcPr>
          <w:p w14:paraId="43A6E9B7">
            <w:pPr>
              <w:pStyle w:val="13"/>
            </w:pPr>
            <w:r>
              <w:t>1.35</w:t>
            </w:r>
          </w:p>
        </w:tc>
        <w:tc>
          <w:tcPr>
            <w:tcW w:w="2268" w:type="dxa"/>
            <w:vAlign w:val="center"/>
          </w:tcPr>
          <w:p w14:paraId="44DDEB0A">
            <w:pPr>
              <w:pStyle w:val="11"/>
            </w:pPr>
            <w:r>
              <w:t>其他资金</w:t>
            </w:r>
          </w:p>
        </w:tc>
        <w:tc>
          <w:tcPr>
            <w:tcW w:w="1276" w:type="dxa"/>
            <w:vAlign w:val="center"/>
          </w:tcPr>
          <w:p w14:paraId="193C02E1">
            <w:pPr>
              <w:pStyle w:val="13"/>
            </w:pPr>
            <w:r>
              <w:t xml:space="preserve"> </w:t>
            </w:r>
          </w:p>
        </w:tc>
      </w:tr>
      <w:tr w14:paraId="280FF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59466B"/>
        </w:tc>
        <w:tc>
          <w:tcPr>
            <w:tcW w:w="14033" w:type="dxa"/>
            <w:gridSpan w:val="6"/>
            <w:vAlign w:val="center"/>
          </w:tcPr>
          <w:p w14:paraId="52A8467B">
            <w:pPr>
              <w:pStyle w:val="13"/>
            </w:pPr>
            <w:r>
              <w:t>完成白家寨小学建塑胶跑940平方米、草坪3310平方米项目，提升学校办学条件，改善学校办学面貌。</w:t>
            </w:r>
          </w:p>
        </w:tc>
      </w:tr>
      <w:tr w14:paraId="2D71C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E1906">
            <w:pPr>
              <w:pStyle w:val="11"/>
            </w:pPr>
            <w:r>
              <w:t>资金支出计划（%）</w:t>
            </w:r>
          </w:p>
        </w:tc>
        <w:tc>
          <w:tcPr>
            <w:tcW w:w="5103" w:type="dxa"/>
            <w:gridSpan w:val="2"/>
            <w:vAlign w:val="center"/>
          </w:tcPr>
          <w:p w14:paraId="15C8A88D">
            <w:pPr>
              <w:pStyle w:val="11"/>
            </w:pPr>
            <w:r>
              <w:t>3月底</w:t>
            </w:r>
          </w:p>
        </w:tc>
        <w:tc>
          <w:tcPr>
            <w:tcW w:w="2835" w:type="dxa"/>
            <w:vAlign w:val="center"/>
          </w:tcPr>
          <w:p w14:paraId="0380411E">
            <w:pPr>
              <w:pStyle w:val="11"/>
            </w:pPr>
            <w:r>
              <w:t>6月底</w:t>
            </w:r>
          </w:p>
        </w:tc>
        <w:tc>
          <w:tcPr>
            <w:tcW w:w="2551" w:type="dxa"/>
            <w:vAlign w:val="center"/>
          </w:tcPr>
          <w:p w14:paraId="4B9C87BD">
            <w:pPr>
              <w:pStyle w:val="11"/>
            </w:pPr>
            <w:r>
              <w:t>10月底</w:t>
            </w:r>
          </w:p>
        </w:tc>
        <w:tc>
          <w:tcPr>
            <w:tcW w:w="3544" w:type="dxa"/>
            <w:gridSpan w:val="2"/>
            <w:vAlign w:val="center"/>
          </w:tcPr>
          <w:p w14:paraId="7A16752C">
            <w:pPr>
              <w:pStyle w:val="11"/>
            </w:pPr>
            <w:r>
              <w:t>12月底</w:t>
            </w:r>
          </w:p>
        </w:tc>
      </w:tr>
      <w:tr w14:paraId="51073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B009DE"/>
        </w:tc>
        <w:tc>
          <w:tcPr>
            <w:tcW w:w="5103" w:type="dxa"/>
            <w:gridSpan w:val="2"/>
            <w:vAlign w:val="center"/>
          </w:tcPr>
          <w:p w14:paraId="1B96BE6B">
            <w:pPr>
              <w:pStyle w:val="12"/>
            </w:pPr>
            <w:r>
              <w:t>100%</w:t>
            </w:r>
          </w:p>
        </w:tc>
        <w:tc>
          <w:tcPr>
            <w:tcW w:w="2835" w:type="dxa"/>
            <w:vAlign w:val="center"/>
          </w:tcPr>
          <w:p w14:paraId="5DA28B35">
            <w:pPr>
              <w:pStyle w:val="12"/>
            </w:pPr>
            <w:r>
              <w:t>100%</w:t>
            </w:r>
          </w:p>
        </w:tc>
        <w:tc>
          <w:tcPr>
            <w:tcW w:w="2551" w:type="dxa"/>
            <w:vAlign w:val="center"/>
          </w:tcPr>
          <w:p w14:paraId="22B4977E">
            <w:pPr>
              <w:pStyle w:val="12"/>
            </w:pPr>
            <w:r>
              <w:t>100%</w:t>
            </w:r>
          </w:p>
        </w:tc>
        <w:tc>
          <w:tcPr>
            <w:tcW w:w="3544" w:type="dxa"/>
            <w:gridSpan w:val="2"/>
            <w:vAlign w:val="center"/>
          </w:tcPr>
          <w:p w14:paraId="673218EB">
            <w:pPr>
              <w:pStyle w:val="12"/>
            </w:pPr>
            <w:r>
              <w:t>100%</w:t>
            </w:r>
          </w:p>
        </w:tc>
      </w:tr>
      <w:tr w14:paraId="25CD0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3BFD61">
            <w:pPr>
              <w:pStyle w:val="11"/>
            </w:pPr>
            <w:r>
              <w:t>绩效目标</w:t>
            </w:r>
          </w:p>
        </w:tc>
        <w:tc>
          <w:tcPr>
            <w:tcW w:w="14033" w:type="dxa"/>
            <w:gridSpan w:val="6"/>
            <w:vAlign w:val="center"/>
          </w:tcPr>
          <w:p w14:paraId="6DC18BB9">
            <w:pPr>
              <w:pStyle w:val="13"/>
            </w:pPr>
            <w:r>
              <w:t>1.按规定拨付专项资金13500元，资金拨付率达到100%。</w:t>
            </w:r>
          </w:p>
          <w:p w14:paraId="58A61A39">
            <w:pPr>
              <w:pStyle w:val="13"/>
            </w:pPr>
            <w:r>
              <w:t>2.完成白家寨小学建塑胶跑940平方米、草坪3310平方米项目，提升学校办学条件，改善学校办学面貌。</w:t>
            </w:r>
          </w:p>
        </w:tc>
      </w:tr>
    </w:tbl>
    <w:p w14:paraId="735D6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86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E7BC2">
            <w:pPr>
              <w:pStyle w:val="11"/>
            </w:pPr>
            <w:r>
              <w:t>一级指标</w:t>
            </w:r>
          </w:p>
        </w:tc>
        <w:tc>
          <w:tcPr>
            <w:tcW w:w="2268" w:type="dxa"/>
            <w:vAlign w:val="center"/>
          </w:tcPr>
          <w:p w14:paraId="68F45E0B">
            <w:pPr>
              <w:pStyle w:val="11"/>
            </w:pPr>
            <w:r>
              <w:t>二级指标</w:t>
            </w:r>
          </w:p>
        </w:tc>
        <w:tc>
          <w:tcPr>
            <w:tcW w:w="2835" w:type="dxa"/>
            <w:vAlign w:val="center"/>
          </w:tcPr>
          <w:p w14:paraId="604C0CED">
            <w:pPr>
              <w:pStyle w:val="11"/>
            </w:pPr>
            <w:r>
              <w:t>三级指标</w:t>
            </w:r>
          </w:p>
        </w:tc>
        <w:tc>
          <w:tcPr>
            <w:tcW w:w="5386" w:type="dxa"/>
            <w:vAlign w:val="center"/>
          </w:tcPr>
          <w:p w14:paraId="67988931">
            <w:pPr>
              <w:pStyle w:val="11"/>
            </w:pPr>
            <w:r>
              <w:t>绩效指标描述</w:t>
            </w:r>
          </w:p>
        </w:tc>
        <w:tc>
          <w:tcPr>
            <w:tcW w:w="2268" w:type="dxa"/>
            <w:vAlign w:val="center"/>
          </w:tcPr>
          <w:p w14:paraId="0D890F2D">
            <w:pPr>
              <w:pStyle w:val="11"/>
            </w:pPr>
            <w:r>
              <w:t>指标值</w:t>
            </w:r>
          </w:p>
        </w:tc>
        <w:tc>
          <w:tcPr>
            <w:tcW w:w="1276" w:type="dxa"/>
            <w:vAlign w:val="center"/>
          </w:tcPr>
          <w:p w14:paraId="434AD0E2">
            <w:pPr>
              <w:pStyle w:val="11"/>
            </w:pPr>
            <w:r>
              <w:t>指标值确定依据</w:t>
            </w:r>
          </w:p>
        </w:tc>
      </w:tr>
      <w:tr w14:paraId="37897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2A643">
            <w:pPr>
              <w:pStyle w:val="12"/>
            </w:pPr>
            <w:r>
              <w:t>产出指标</w:t>
            </w:r>
          </w:p>
        </w:tc>
        <w:tc>
          <w:tcPr>
            <w:tcW w:w="2268" w:type="dxa"/>
            <w:vAlign w:val="center"/>
          </w:tcPr>
          <w:p w14:paraId="1A726D0E">
            <w:pPr>
              <w:pStyle w:val="13"/>
            </w:pPr>
            <w:r>
              <w:t>数量指标</w:t>
            </w:r>
          </w:p>
        </w:tc>
        <w:tc>
          <w:tcPr>
            <w:tcW w:w="2835" w:type="dxa"/>
            <w:vAlign w:val="center"/>
          </w:tcPr>
          <w:p w14:paraId="56EFCB55">
            <w:pPr>
              <w:pStyle w:val="13"/>
            </w:pPr>
            <w:r>
              <w:t>新建塑胶跑道面积</w:t>
            </w:r>
          </w:p>
        </w:tc>
        <w:tc>
          <w:tcPr>
            <w:tcW w:w="5386" w:type="dxa"/>
            <w:vAlign w:val="center"/>
          </w:tcPr>
          <w:p w14:paraId="73B8F23B">
            <w:pPr>
              <w:pStyle w:val="13"/>
            </w:pPr>
            <w:r>
              <w:t>需建塑胶跑940平方米</w:t>
            </w:r>
          </w:p>
        </w:tc>
        <w:tc>
          <w:tcPr>
            <w:tcW w:w="2268" w:type="dxa"/>
            <w:vAlign w:val="center"/>
          </w:tcPr>
          <w:p w14:paraId="59B6DED8">
            <w:pPr>
              <w:pStyle w:val="13"/>
            </w:pPr>
            <w:r>
              <w:t>940平米</w:t>
            </w:r>
          </w:p>
        </w:tc>
        <w:tc>
          <w:tcPr>
            <w:tcW w:w="1276" w:type="dxa"/>
            <w:vAlign w:val="center"/>
          </w:tcPr>
          <w:p w14:paraId="32201264">
            <w:pPr>
              <w:pStyle w:val="13"/>
            </w:pPr>
            <w:r>
              <w:t>项目规划</w:t>
            </w:r>
          </w:p>
        </w:tc>
      </w:tr>
      <w:tr w14:paraId="5277E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FF5A4"/>
        </w:tc>
        <w:tc>
          <w:tcPr>
            <w:tcW w:w="2268" w:type="dxa"/>
            <w:vAlign w:val="center"/>
          </w:tcPr>
          <w:p w14:paraId="6A96A06A">
            <w:pPr>
              <w:pStyle w:val="13"/>
            </w:pPr>
            <w:r>
              <w:t>数量指标</w:t>
            </w:r>
          </w:p>
        </w:tc>
        <w:tc>
          <w:tcPr>
            <w:tcW w:w="2835" w:type="dxa"/>
            <w:vAlign w:val="center"/>
          </w:tcPr>
          <w:p w14:paraId="3EBA353E">
            <w:pPr>
              <w:pStyle w:val="13"/>
            </w:pPr>
            <w:r>
              <w:t>新建草坪面积</w:t>
            </w:r>
          </w:p>
        </w:tc>
        <w:tc>
          <w:tcPr>
            <w:tcW w:w="5386" w:type="dxa"/>
            <w:vAlign w:val="center"/>
          </w:tcPr>
          <w:p w14:paraId="580DD1AA">
            <w:pPr>
              <w:pStyle w:val="13"/>
            </w:pPr>
            <w:r>
              <w:t>需建草坪3310平方米</w:t>
            </w:r>
          </w:p>
        </w:tc>
        <w:tc>
          <w:tcPr>
            <w:tcW w:w="2268" w:type="dxa"/>
            <w:vAlign w:val="center"/>
          </w:tcPr>
          <w:p w14:paraId="1CC88B83">
            <w:pPr>
              <w:pStyle w:val="13"/>
            </w:pPr>
            <w:r>
              <w:t>3310平米</w:t>
            </w:r>
          </w:p>
        </w:tc>
        <w:tc>
          <w:tcPr>
            <w:tcW w:w="1276" w:type="dxa"/>
            <w:vAlign w:val="center"/>
          </w:tcPr>
          <w:p w14:paraId="537DA45A">
            <w:pPr>
              <w:pStyle w:val="13"/>
            </w:pPr>
            <w:r>
              <w:t>项目规划</w:t>
            </w:r>
          </w:p>
        </w:tc>
      </w:tr>
      <w:tr w14:paraId="13FAE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6E32F"/>
        </w:tc>
        <w:tc>
          <w:tcPr>
            <w:tcW w:w="2268" w:type="dxa"/>
            <w:vAlign w:val="center"/>
          </w:tcPr>
          <w:p w14:paraId="629B5C4D">
            <w:pPr>
              <w:pStyle w:val="13"/>
            </w:pPr>
            <w:r>
              <w:t>质量指标</w:t>
            </w:r>
          </w:p>
        </w:tc>
        <w:tc>
          <w:tcPr>
            <w:tcW w:w="2835" w:type="dxa"/>
            <w:vAlign w:val="center"/>
          </w:tcPr>
          <w:p w14:paraId="0F81C750">
            <w:pPr>
              <w:pStyle w:val="13"/>
            </w:pPr>
            <w:r>
              <w:t>工程实施验收合格率</w:t>
            </w:r>
          </w:p>
        </w:tc>
        <w:tc>
          <w:tcPr>
            <w:tcW w:w="5386" w:type="dxa"/>
            <w:vAlign w:val="center"/>
          </w:tcPr>
          <w:p w14:paraId="1078AC9E">
            <w:pPr>
              <w:pStyle w:val="13"/>
            </w:pPr>
            <w:r>
              <w:t>新建合格项目/全部新建项目*100%</w:t>
            </w:r>
          </w:p>
        </w:tc>
        <w:tc>
          <w:tcPr>
            <w:tcW w:w="2268" w:type="dxa"/>
            <w:vAlign w:val="center"/>
          </w:tcPr>
          <w:p w14:paraId="7923434E">
            <w:pPr>
              <w:pStyle w:val="13"/>
            </w:pPr>
            <w:r>
              <w:t>100%</w:t>
            </w:r>
          </w:p>
        </w:tc>
        <w:tc>
          <w:tcPr>
            <w:tcW w:w="1276" w:type="dxa"/>
            <w:vAlign w:val="center"/>
          </w:tcPr>
          <w:p w14:paraId="3C748D67">
            <w:pPr>
              <w:pStyle w:val="13"/>
            </w:pPr>
            <w:r>
              <w:t>项目规划</w:t>
            </w:r>
          </w:p>
        </w:tc>
      </w:tr>
      <w:tr w14:paraId="1A86D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07AA7"/>
        </w:tc>
        <w:tc>
          <w:tcPr>
            <w:tcW w:w="2268" w:type="dxa"/>
            <w:vAlign w:val="center"/>
          </w:tcPr>
          <w:p w14:paraId="086A561B">
            <w:pPr>
              <w:pStyle w:val="13"/>
            </w:pPr>
            <w:r>
              <w:t>时效指标</w:t>
            </w:r>
          </w:p>
        </w:tc>
        <w:tc>
          <w:tcPr>
            <w:tcW w:w="2835" w:type="dxa"/>
            <w:vAlign w:val="center"/>
          </w:tcPr>
          <w:p w14:paraId="64420761">
            <w:pPr>
              <w:pStyle w:val="13"/>
            </w:pPr>
            <w:r>
              <w:t>预算执行率</w:t>
            </w:r>
          </w:p>
        </w:tc>
        <w:tc>
          <w:tcPr>
            <w:tcW w:w="5386" w:type="dxa"/>
            <w:vAlign w:val="center"/>
          </w:tcPr>
          <w:p w14:paraId="77ADB3A1">
            <w:pPr>
              <w:pStyle w:val="13"/>
            </w:pPr>
            <w:r>
              <w:t>按照工程进度进行资金支付</w:t>
            </w:r>
          </w:p>
        </w:tc>
        <w:tc>
          <w:tcPr>
            <w:tcW w:w="2268" w:type="dxa"/>
            <w:vAlign w:val="center"/>
          </w:tcPr>
          <w:p w14:paraId="414F1FC1">
            <w:pPr>
              <w:pStyle w:val="13"/>
            </w:pPr>
            <w:r>
              <w:t>≥95%</w:t>
            </w:r>
          </w:p>
        </w:tc>
        <w:tc>
          <w:tcPr>
            <w:tcW w:w="1276" w:type="dxa"/>
            <w:vAlign w:val="center"/>
          </w:tcPr>
          <w:p w14:paraId="46293F4F">
            <w:pPr>
              <w:pStyle w:val="13"/>
            </w:pPr>
            <w:r>
              <w:t>项目规划</w:t>
            </w:r>
          </w:p>
        </w:tc>
      </w:tr>
      <w:tr w14:paraId="73FE6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34BAF"/>
        </w:tc>
        <w:tc>
          <w:tcPr>
            <w:tcW w:w="2268" w:type="dxa"/>
            <w:vAlign w:val="center"/>
          </w:tcPr>
          <w:p w14:paraId="46AA0017">
            <w:pPr>
              <w:pStyle w:val="13"/>
            </w:pPr>
            <w:r>
              <w:t>成本指标</w:t>
            </w:r>
          </w:p>
        </w:tc>
        <w:tc>
          <w:tcPr>
            <w:tcW w:w="2835" w:type="dxa"/>
            <w:vAlign w:val="center"/>
          </w:tcPr>
          <w:p w14:paraId="0F4F49CF">
            <w:pPr>
              <w:pStyle w:val="13"/>
            </w:pPr>
            <w:r>
              <w:t>项目实际成本</w:t>
            </w:r>
          </w:p>
        </w:tc>
        <w:tc>
          <w:tcPr>
            <w:tcW w:w="5386" w:type="dxa"/>
            <w:vAlign w:val="center"/>
          </w:tcPr>
          <w:p w14:paraId="3FE45CE4">
            <w:pPr>
              <w:pStyle w:val="13"/>
            </w:pPr>
            <w:r>
              <w:t>新建塑胶操场成本总价值</w:t>
            </w:r>
          </w:p>
        </w:tc>
        <w:tc>
          <w:tcPr>
            <w:tcW w:w="2268" w:type="dxa"/>
            <w:vAlign w:val="center"/>
          </w:tcPr>
          <w:p w14:paraId="0EF9F42E">
            <w:pPr>
              <w:pStyle w:val="13"/>
            </w:pPr>
            <w:r>
              <w:t>1.35万元</w:t>
            </w:r>
          </w:p>
        </w:tc>
        <w:tc>
          <w:tcPr>
            <w:tcW w:w="1276" w:type="dxa"/>
            <w:vAlign w:val="center"/>
          </w:tcPr>
          <w:p w14:paraId="3572A762">
            <w:pPr>
              <w:pStyle w:val="13"/>
            </w:pPr>
            <w:r>
              <w:t>项目规划</w:t>
            </w:r>
          </w:p>
        </w:tc>
      </w:tr>
      <w:tr w14:paraId="33D52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B140FC">
            <w:pPr>
              <w:pStyle w:val="12"/>
            </w:pPr>
            <w:r>
              <w:t>效益指标</w:t>
            </w:r>
          </w:p>
        </w:tc>
        <w:tc>
          <w:tcPr>
            <w:tcW w:w="2268" w:type="dxa"/>
            <w:vAlign w:val="center"/>
          </w:tcPr>
          <w:p w14:paraId="36D81D43">
            <w:pPr>
              <w:pStyle w:val="13"/>
            </w:pPr>
            <w:r>
              <w:t>可持续影响指标</w:t>
            </w:r>
          </w:p>
        </w:tc>
        <w:tc>
          <w:tcPr>
            <w:tcW w:w="2835" w:type="dxa"/>
            <w:vAlign w:val="center"/>
          </w:tcPr>
          <w:p w14:paraId="215C4230">
            <w:pPr>
              <w:pStyle w:val="13"/>
            </w:pPr>
            <w:r>
              <w:t>工程使用年限</w:t>
            </w:r>
          </w:p>
        </w:tc>
        <w:tc>
          <w:tcPr>
            <w:tcW w:w="5386" w:type="dxa"/>
            <w:vAlign w:val="center"/>
          </w:tcPr>
          <w:p w14:paraId="692733F0">
            <w:pPr>
              <w:pStyle w:val="13"/>
            </w:pPr>
            <w:r>
              <w:t>项目实施，有效改善教学环境</w:t>
            </w:r>
          </w:p>
        </w:tc>
        <w:tc>
          <w:tcPr>
            <w:tcW w:w="2268" w:type="dxa"/>
            <w:vAlign w:val="center"/>
          </w:tcPr>
          <w:p w14:paraId="485FD4E2">
            <w:pPr>
              <w:pStyle w:val="13"/>
            </w:pPr>
            <w:r>
              <w:t>6年</w:t>
            </w:r>
          </w:p>
        </w:tc>
        <w:tc>
          <w:tcPr>
            <w:tcW w:w="1276" w:type="dxa"/>
            <w:vAlign w:val="center"/>
          </w:tcPr>
          <w:p w14:paraId="08956579">
            <w:pPr>
              <w:pStyle w:val="13"/>
            </w:pPr>
            <w:r>
              <w:t>项目规划</w:t>
            </w:r>
          </w:p>
        </w:tc>
      </w:tr>
      <w:tr w14:paraId="2A50C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06BD07">
            <w:pPr>
              <w:pStyle w:val="12"/>
            </w:pPr>
            <w:r>
              <w:t>满意度指标</w:t>
            </w:r>
          </w:p>
        </w:tc>
        <w:tc>
          <w:tcPr>
            <w:tcW w:w="2268" w:type="dxa"/>
            <w:vAlign w:val="center"/>
          </w:tcPr>
          <w:p w14:paraId="629A776E">
            <w:pPr>
              <w:pStyle w:val="13"/>
            </w:pPr>
            <w:r>
              <w:t>服务对象满意度指标</w:t>
            </w:r>
          </w:p>
        </w:tc>
        <w:tc>
          <w:tcPr>
            <w:tcW w:w="2835" w:type="dxa"/>
            <w:vAlign w:val="center"/>
          </w:tcPr>
          <w:p w14:paraId="00519AD5">
            <w:pPr>
              <w:pStyle w:val="13"/>
            </w:pPr>
            <w:r>
              <w:t>受益学生家长及调查满意度</w:t>
            </w:r>
          </w:p>
        </w:tc>
        <w:tc>
          <w:tcPr>
            <w:tcW w:w="5386" w:type="dxa"/>
            <w:vAlign w:val="center"/>
          </w:tcPr>
          <w:p w14:paraId="36C31EFA">
            <w:pPr>
              <w:pStyle w:val="13"/>
            </w:pPr>
            <w:r>
              <w:t>反映满意的人数/调查人数*100%</w:t>
            </w:r>
          </w:p>
        </w:tc>
        <w:tc>
          <w:tcPr>
            <w:tcW w:w="2268" w:type="dxa"/>
            <w:vAlign w:val="center"/>
          </w:tcPr>
          <w:p w14:paraId="7D0B38EE">
            <w:pPr>
              <w:pStyle w:val="13"/>
            </w:pPr>
            <w:r>
              <w:t>≥95%</w:t>
            </w:r>
          </w:p>
        </w:tc>
        <w:tc>
          <w:tcPr>
            <w:tcW w:w="1276" w:type="dxa"/>
            <w:vAlign w:val="center"/>
          </w:tcPr>
          <w:p w14:paraId="75D3C090">
            <w:pPr>
              <w:pStyle w:val="13"/>
            </w:pPr>
            <w:r>
              <w:t>项目规划</w:t>
            </w:r>
          </w:p>
        </w:tc>
      </w:tr>
    </w:tbl>
    <w:p w14:paraId="0EA8ADC0">
      <w:pPr>
        <w:sectPr>
          <w:pgSz w:w="16840" w:h="11900" w:orient="landscape"/>
          <w:pgMar w:top="1361" w:right="1020" w:bottom="1134" w:left="1020" w:header="720" w:footer="720" w:gutter="0"/>
          <w:cols w:space="720" w:num="1"/>
        </w:sectPr>
      </w:pPr>
    </w:p>
    <w:p w14:paraId="35A824FB">
      <w:pPr>
        <w:spacing w:before="0" w:after="0"/>
        <w:ind w:firstLine="560"/>
        <w:jc w:val="left"/>
        <w:outlineLvl w:val="9"/>
      </w:pPr>
      <w:r>
        <w:rPr>
          <w:rFonts w:ascii="方正仿宋_GBK" w:hAnsi="方正仿宋_GBK" w:eastAsia="方正仿宋_GBK" w:cs="方正仿宋_GBK"/>
          <w:b/>
          <w:color w:val="000000"/>
          <w:sz w:val="28"/>
        </w:rPr>
        <w:t>24、县级配套/莲子镇校区学前教育幼儿资助绩效目标表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A9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E0B99">
            <w:pPr>
              <w:pStyle w:val="14"/>
            </w:pPr>
            <w:r>
              <w:t>单位：万元</w:t>
            </w:r>
          </w:p>
        </w:tc>
      </w:tr>
      <w:tr w14:paraId="2CE47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60A3D">
            <w:pPr>
              <w:pStyle w:val="11"/>
            </w:pPr>
            <w:r>
              <w:t>项目编码</w:t>
            </w:r>
          </w:p>
        </w:tc>
        <w:tc>
          <w:tcPr>
            <w:tcW w:w="5103" w:type="dxa"/>
            <w:gridSpan w:val="2"/>
            <w:vAlign w:val="center"/>
          </w:tcPr>
          <w:p w14:paraId="37053408">
            <w:pPr>
              <w:pStyle w:val="13"/>
            </w:pPr>
            <w:r>
              <w:t>13052525P000002100262</w:t>
            </w:r>
          </w:p>
        </w:tc>
        <w:tc>
          <w:tcPr>
            <w:tcW w:w="2835" w:type="dxa"/>
            <w:vAlign w:val="center"/>
          </w:tcPr>
          <w:p w14:paraId="622E163C">
            <w:pPr>
              <w:pStyle w:val="11"/>
            </w:pPr>
            <w:r>
              <w:t>项目名称</w:t>
            </w:r>
          </w:p>
        </w:tc>
        <w:tc>
          <w:tcPr>
            <w:tcW w:w="6095" w:type="dxa"/>
            <w:gridSpan w:val="3"/>
            <w:vAlign w:val="center"/>
          </w:tcPr>
          <w:p w14:paraId="5DC06DEB">
            <w:pPr>
              <w:pStyle w:val="13"/>
            </w:pPr>
            <w:r>
              <w:t>县级配套/莲子镇校区学前教育幼儿资助</w:t>
            </w:r>
          </w:p>
        </w:tc>
      </w:tr>
      <w:tr w14:paraId="27EF4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373A5">
            <w:pPr>
              <w:pStyle w:val="11"/>
            </w:pPr>
            <w:r>
              <w:t>预算规模及资金用途</w:t>
            </w:r>
          </w:p>
        </w:tc>
        <w:tc>
          <w:tcPr>
            <w:tcW w:w="2268" w:type="dxa"/>
            <w:vAlign w:val="center"/>
          </w:tcPr>
          <w:p w14:paraId="79AEBB4D">
            <w:pPr>
              <w:pStyle w:val="11"/>
            </w:pPr>
            <w:r>
              <w:t>预算数</w:t>
            </w:r>
          </w:p>
        </w:tc>
        <w:tc>
          <w:tcPr>
            <w:tcW w:w="2835" w:type="dxa"/>
            <w:vAlign w:val="center"/>
          </w:tcPr>
          <w:p w14:paraId="5375B7E0">
            <w:pPr>
              <w:pStyle w:val="13"/>
            </w:pPr>
            <w:r>
              <w:t>0.62</w:t>
            </w:r>
          </w:p>
        </w:tc>
        <w:tc>
          <w:tcPr>
            <w:tcW w:w="2835" w:type="dxa"/>
            <w:vAlign w:val="center"/>
          </w:tcPr>
          <w:p w14:paraId="0E433614">
            <w:pPr>
              <w:pStyle w:val="11"/>
            </w:pPr>
            <w:r>
              <w:t>其中：财政    资金</w:t>
            </w:r>
          </w:p>
        </w:tc>
        <w:tc>
          <w:tcPr>
            <w:tcW w:w="2551" w:type="dxa"/>
            <w:vAlign w:val="center"/>
          </w:tcPr>
          <w:p w14:paraId="5B9FD30E">
            <w:pPr>
              <w:pStyle w:val="13"/>
            </w:pPr>
            <w:r>
              <w:t>0.62</w:t>
            </w:r>
          </w:p>
        </w:tc>
        <w:tc>
          <w:tcPr>
            <w:tcW w:w="2268" w:type="dxa"/>
            <w:vAlign w:val="center"/>
          </w:tcPr>
          <w:p w14:paraId="1B917D43">
            <w:pPr>
              <w:pStyle w:val="11"/>
            </w:pPr>
            <w:r>
              <w:t>其他资金</w:t>
            </w:r>
          </w:p>
        </w:tc>
        <w:tc>
          <w:tcPr>
            <w:tcW w:w="1276" w:type="dxa"/>
            <w:vAlign w:val="center"/>
          </w:tcPr>
          <w:p w14:paraId="080F4CEB">
            <w:pPr>
              <w:pStyle w:val="13"/>
            </w:pPr>
            <w:r>
              <w:t xml:space="preserve"> </w:t>
            </w:r>
          </w:p>
        </w:tc>
      </w:tr>
      <w:tr w14:paraId="2EDF5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1A39C"/>
        </w:tc>
        <w:tc>
          <w:tcPr>
            <w:tcW w:w="14033" w:type="dxa"/>
            <w:gridSpan w:val="6"/>
            <w:vAlign w:val="center"/>
          </w:tcPr>
          <w:p w14:paraId="27CEA874">
            <w:pPr>
              <w:pStyle w:val="13"/>
            </w:pPr>
            <w:r>
              <w:t>保证本年度资助经费足额落实到位，符合享受资助条件的学生应助尽助。</w:t>
            </w:r>
          </w:p>
        </w:tc>
      </w:tr>
      <w:tr w14:paraId="42174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B7259">
            <w:pPr>
              <w:pStyle w:val="11"/>
            </w:pPr>
            <w:r>
              <w:t>资金支出计划（%）</w:t>
            </w:r>
          </w:p>
        </w:tc>
        <w:tc>
          <w:tcPr>
            <w:tcW w:w="5103" w:type="dxa"/>
            <w:gridSpan w:val="2"/>
            <w:vAlign w:val="center"/>
          </w:tcPr>
          <w:p w14:paraId="3438505E">
            <w:pPr>
              <w:pStyle w:val="11"/>
            </w:pPr>
            <w:r>
              <w:t>3月底</w:t>
            </w:r>
          </w:p>
        </w:tc>
        <w:tc>
          <w:tcPr>
            <w:tcW w:w="2835" w:type="dxa"/>
            <w:vAlign w:val="center"/>
          </w:tcPr>
          <w:p w14:paraId="58690451">
            <w:pPr>
              <w:pStyle w:val="11"/>
            </w:pPr>
            <w:r>
              <w:t>6月底</w:t>
            </w:r>
          </w:p>
        </w:tc>
        <w:tc>
          <w:tcPr>
            <w:tcW w:w="2551" w:type="dxa"/>
            <w:vAlign w:val="center"/>
          </w:tcPr>
          <w:p w14:paraId="6994A910">
            <w:pPr>
              <w:pStyle w:val="11"/>
            </w:pPr>
            <w:r>
              <w:t>10月底</w:t>
            </w:r>
          </w:p>
        </w:tc>
        <w:tc>
          <w:tcPr>
            <w:tcW w:w="3544" w:type="dxa"/>
            <w:gridSpan w:val="2"/>
            <w:vAlign w:val="center"/>
          </w:tcPr>
          <w:p w14:paraId="46E41030">
            <w:pPr>
              <w:pStyle w:val="11"/>
            </w:pPr>
            <w:r>
              <w:t>12月底</w:t>
            </w:r>
          </w:p>
        </w:tc>
      </w:tr>
      <w:tr w14:paraId="52071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545137"/>
        </w:tc>
        <w:tc>
          <w:tcPr>
            <w:tcW w:w="5103" w:type="dxa"/>
            <w:gridSpan w:val="2"/>
            <w:vAlign w:val="center"/>
          </w:tcPr>
          <w:p w14:paraId="1B59CE9C">
            <w:pPr>
              <w:pStyle w:val="12"/>
            </w:pPr>
            <w:r>
              <w:t>25%</w:t>
            </w:r>
          </w:p>
        </w:tc>
        <w:tc>
          <w:tcPr>
            <w:tcW w:w="2835" w:type="dxa"/>
            <w:vAlign w:val="center"/>
          </w:tcPr>
          <w:p w14:paraId="63D21851">
            <w:pPr>
              <w:pStyle w:val="12"/>
            </w:pPr>
            <w:r>
              <w:t>50%</w:t>
            </w:r>
          </w:p>
        </w:tc>
        <w:tc>
          <w:tcPr>
            <w:tcW w:w="2551" w:type="dxa"/>
            <w:vAlign w:val="center"/>
          </w:tcPr>
          <w:p w14:paraId="0E789B29">
            <w:pPr>
              <w:pStyle w:val="12"/>
            </w:pPr>
            <w:r>
              <w:t>75%</w:t>
            </w:r>
          </w:p>
        </w:tc>
        <w:tc>
          <w:tcPr>
            <w:tcW w:w="3544" w:type="dxa"/>
            <w:gridSpan w:val="2"/>
            <w:vAlign w:val="center"/>
          </w:tcPr>
          <w:p w14:paraId="32BFD81D">
            <w:pPr>
              <w:pStyle w:val="12"/>
            </w:pPr>
            <w:r>
              <w:t>100%</w:t>
            </w:r>
          </w:p>
        </w:tc>
      </w:tr>
      <w:tr w14:paraId="7D361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D1BB51">
            <w:pPr>
              <w:pStyle w:val="11"/>
            </w:pPr>
            <w:r>
              <w:t>绩效目标</w:t>
            </w:r>
          </w:p>
        </w:tc>
        <w:tc>
          <w:tcPr>
            <w:tcW w:w="14033" w:type="dxa"/>
            <w:gridSpan w:val="6"/>
            <w:vAlign w:val="center"/>
          </w:tcPr>
          <w:p w14:paraId="75F8FA37">
            <w:pPr>
              <w:pStyle w:val="13"/>
            </w:pPr>
            <w:r>
              <w:t>1.保证本年度资助经费足额落实到位，符合享受资助条件的学生应助尽助。</w:t>
            </w:r>
          </w:p>
          <w:p w14:paraId="4F64D2FC">
            <w:pPr>
              <w:pStyle w:val="13"/>
            </w:pPr>
            <w:r>
              <w:t>2.保障落实建档立卡及家庭经济困难儿童资助所需资金，确保建档立卡等家庭经济困难幼儿优先获得资助</w:t>
            </w:r>
            <w:r>
              <w:tab/>
            </w:r>
            <w:r>
              <w:tab/>
            </w:r>
            <w:r>
              <w:tab/>
            </w:r>
            <w:r>
              <w:tab/>
            </w:r>
            <w:r>
              <w:tab/>
            </w:r>
            <w:r>
              <w:tab/>
            </w:r>
          </w:p>
        </w:tc>
      </w:tr>
    </w:tbl>
    <w:p w14:paraId="79BD4D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FD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19912">
            <w:pPr>
              <w:pStyle w:val="11"/>
            </w:pPr>
            <w:r>
              <w:t>一级指标</w:t>
            </w:r>
          </w:p>
        </w:tc>
        <w:tc>
          <w:tcPr>
            <w:tcW w:w="2268" w:type="dxa"/>
            <w:vAlign w:val="center"/>
          </w:tcPr>
          <w:p w14:paraId="4F2BDF33">
            <w:pPr>
              <w:pStyle w:val="11"/>
            </w:pPr>
            <w:r>
              <w:t>二级指标</w:t>
            </w:r>
          </w:p>
        </w:tc>
        <w:tc>
          <w:tcPr>
            <w:tcW w:w="2835" w:type="dxa"/>
            <w:vAlign w:val="center"/>
          </w:tcPr>
          <w:p w14:paraId="01196B1E">
            <w:pPr>
              <w:pStyle w:val="11"/>
            </w:pPr>
            <w:r>
              <w:t>三级指标</w:t>
            </w:r>
          </w:p>
        </w:tc>
        <w:tc>
          <w:tcPr>
            <w:tcW w:w="5386" w:type="dxa"/>
            <w:vAlign w:val="center"/>
          </w:tcPr>
          <w:p w14:paraId="36FE6ED9">
            <w:pPr>
              <w:pStyle w:val="11"/>
            </w:pPr>
            <w:r>
              <w:t>绩效指标描述</w:t>
            </w:r>
          </w:p>
        </w:tc>
        <w:tc>
          <w:tcPr>
            <w:tcW w:w="2268" w:type="dxa"/>
            <w:vAlign w:val="center"/>
          </w:tcPr>
          <w:p w14:paraId="3EC77D14">
            <w:pPr>
              <w:pStyle w:val="11"/>
            </w:pPr>
            <w:r>
              <w:t>指标值</w:t>
            </w:r>
          </w:p>
        </w:tc>
        <w:tc>
          <w:tcPr>
            <w:tcW w:w="1276" w:type="dxa"/>
            <w:vAlign w:val="center"/>
          </w:tcPr>
          <w:p w14:paraId="16A09D04">
            <w:pPr>
              <w:pStyle w:val="11"/>
            </w:pPr>
            <w:r>
              <w:t>指标值确定依据</w:t>
            </w:r>
          </w:p>
        </w:tc>
      </w:tr>
      <w:tr w14:paraId="4893B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26159">
            <w:pPr>
              <w:pStyle w:val="12"/>
            </w:pPr>
            <w:r>
              <w:t>产出指标</w:t>
            </w:r>
          </w:p>
        </w:tc>
        <w:tc>
          <w:tcPr>
            <w:tcW w:w="2268" w:type="dxa"/>
            <w:vAlign w:val="center"/>
          </w:tcPr>
          <w:p w14:paraId="35C4D6F0">
            <w:pPr>
              <w:pStyle w:val="13"/>
            </w:pPr>
            <w:r>
              <w:t>数量指标</w:t>
            </w:r>
          </w:p>
        </w:tc>
        <w:tc>
          <w:tcPr>
            <w:tcW w:w="2835" w:type="dxa"/>
            <w:vAlign w:val="center"/>
          </w:tcPr>
          <w:p w14:paraId="4A82F133">
            <w:pPr>
              <w:pStyle w:val="13"/>
            </w:pPr>
            <w:r>
              <w:t>幼儿园资助标准</w:t>
            </w:r>
          </w:p>
        </w:tc>
        <w:tc>
          <w:tcPr>
            <w:tcW w:w="5386" w:type="dxa"/>
            <w:vAlign w:val="center"/>
          </w:tcPr>
          <w:p w14:paraId="292968F7">
            <w:pPr>
              <w:pStyle w:val="13"/>
            </w:pPr>
            <w:r>
              <w:t>按照幼儿园资助标准1000元/生/年</w:t>
            </w:r>
          </w:p>
        </w:tc>
        <w:tc>
          <w:tcPr>
            <w:tcW w:w="2268" w:type="dxa"/>
            <w:vAlign w:val="center"/>
          </w:tcPr>
          <w:p w14:paraId="4CD3A664">
            <w:pPr>
              <w:pStyle w:val="13"/>
            </w:pPr>
            <w:r>
              <w:t>1000元/生/年</w:t>
            </w:r>
          </w:p>
        </w:tc>
        <w:tc>
          <w:tcPr>
            <w:tcW w:w="1276" w:type="dxa"/>
            <w:vAlign w:val="center"/>
          </w:tcPr>
          <w:p w14:paraId="1AEDA01A">
            <w:pPr>
              <w:pStyle w:val="13"/>
            </w:pPr>
            <w:r>
              <w:t>幼儿资助经费管理办法</w:t>
            </w:r>
          </w:p>
        </w:tc>
      </w:tr>
      <w:tr w14:paraId="75DA7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F75D2"/>
        </w:tc>
        <w:tc>
          <w:tcPr>
            <w:tcW w:w="2268" w:type="dxa"/>
            <w:vAlign w:val="center"/>
          </w:tcPr>
          <w:p w14:paraId="7C7E03BC">
            <w:pPr>
              <w:pStyle w:val="13"/>
            </w:pPr>
            <w:r>
              <w:t>质量指标</w:t>
            </w:r>
          </w:p>
        </w:tc>
        <w:tc>
          <w:tcPr>
            <w:tcW w:w="2835" w:type="dxa"/>
            <w:vAlign w:val="center"/>
          </w:tcPr>
          <w:p w14:paraId="5563F226">
            <w:pPr>
              <w:pStyle w:val="13"/>
            </w:pPr>
            <w:r>
              <w:t>幼儿资助比例</w:t>
            </w:r>
          </w:p>
        </w:tc>
        <w:tc>
          <w:tcPr>
            <w:tcW w:w="5386" w:type="dxa"/>
            <w:vAlign w:val="center"/>
          </w:tcPr>
          <w:p w14:paraId="2D30A320">
            <w:pPr>
              <w:pStyle w:val="13"/>
            </w:pPr>
            <w:r>
              <w:t>按学前适龄在园儿童10%测算</w:t>
            </w:r>
          </w:p>
        </w:tc>
        <w:tc>
          <w:tcPr>
            <w:tcW w:w="2268" w:type="dxa"/>
            <w:vAlign w:val="center"/>
          </w:tcPr>
          <w:p w14:paraId="5F13E121">
            <w:pPr>
              <w:pStyle w:val="13"/>
            </w:pPr>
            <w:r>
              <w:t>≥100%</w:t>
            </w:r>
          </w:p>
        </w:tc>
        <w:tc>
          <w:tcPr>
            <w:tcW w:w="1276" w:type="dxa"/>
            <w:vAlign w:val="center"/>
          </w:tcPr>
          <w:p w14:paraId="6C75C5D9">
            <w:pPr>
              <w:pStyle w:val="13"/>
            </w:pPr>
            <w:r>
              <w:t>幼儿资助经费管理办法</w:t>
            </w:r>
          </w:p>
        </w:tc>
      </w:tr>
      <w:tr w14:paraId="66211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9000F"/>
        </w:tc>
        <w:tc>
          <w:tcPr>
            <w:tcW w:w="2268" w:type="dxa"/>
            <w:vAlign w:val="center"/>
          </w:tcPr>
          <w:p w14:paraId="37236459">
            <w:pPr>
              <w:pStyle w:val="13"/>
            </w:pPr>
            <w:r>
              <w:t>时效指标</w:t>
            </w:r>
          </w:p>
        </w:tc>
        <w:tc>
          <w:tcPr>
            <w:tcW w:w="2835" w:type="dxa"/>
            <w:vAlign w:val="center"/>
          </w:tcPr>
          <w:p w14:paraId="4D0D9A66">
            <w:pPr>
              <w:pStyle w:val="13"/>
            </w:pPr>
            <w:r>
              <w:t>学前教育资助制度落实情况</w:t>
            </w:r>
          </w:p>
        </w:tc>
        <w:tc>
          <w:tcPr>
            <w:tcW w:w="5386" w:type="dxa"/>
            <w:vAlign w:val="center"/>
          </w:tcPr>
          <w:p w14:paraId="4FC03617">
            <w:pPr>
              <w:pStyle w:val="13"/>
            </w:pPr>
            <w:r>
              <w:t>符合享受资助条件的学生应助尽助</w:t>
            </w:r>
          </w:p>
        </w:tc>
        <w:tc>
          <w:tcPr>
            <w:tcW w:w="2268" w:type="dxa"/>
            <w:vAlign w:val="center"/>
          </w:tcPr>
          <w:p w14:paraId="715596BE">
            <w:pPr>
              <w:pStyle w:val="13"/>
            </w:pPr>
            <w:r>
              <w:t>≥100%</w:t>
            </w:r>
          </w:p>
        </w:tc>
        <w:tc>
          <w:tcPr>
            <w:tcW w:w="1276" w:type="dxa"/>
            <w:vAlign w:val="center"/>
          </w:tcPr>
          <w:p w14:paraId="2AC3F2A0">
            <w:pPr>
              <w:pStyle w:val="13"/>
            </w:pPr>
            <w:r>
              <w:t>幼儿资助经费管理办法</w:t>
            </w:r>
          </w:p>
        </w:tc>
      </w:tr>
      <w:tr w14:paraId="326F4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44576"/>
        </w:tc>
        <w:tc>
          <w:tcPr>
            <w:tcW w:w="2268" w:type="dxa"/>
            <w:vAlign w:val="center"/>
          </w:tcPr>
          <w:p w14:paraId="41AD83D8">
            <w:pPr>
              <w:pStyle w:val="13"/>
            </w:pPr>
            <w:r>
              <w:t>成本指标</w:t>
            </w:r>
          </w:p>
        </w:tc>
        <w:tc>
          <w:tcPr>
            <w:tcW w:w="2835" w:type="dxa"/>
            <w:vAlign w:val="center"/>
          </w:tcPr>
          <w:p w14:paraId="3771F78C">
            <w:pPr>
              <w:pStyle w:val="13"/>
            </w:pPr>
            <w:r>
              <w:t>资金拨付率</w:t>
            </w:r>
          </w:p>
        </w:tc>
        <w:tc>
          <w:tcPr>
            <w:tcW w:w="5386" w:type="dxa"/>
            <w:vAlign w:val="center"/>
          </w:tcPr>
          <w:p w14:paraId="0400CC68">
            <w:pPr>
              <w:pStyle w:val="13"/>
            </w:pPr>
            <w:r>
              <w:t>所有项目资金支付进度</w:t>
            </w:r>
          </w:p>
        </w:tc>
        <w:tc>
          <w:tcPr>
            <w:tcW w:w="2268" w:type="dxa"/>
            <w:vAlign w:val="center"/>
          </w:tcPr>
          <w:p w14:paraId="58B07779">
            <w:pPr>
              <w:pStyle w:val="13"/>
            </w:pPr>
            <w:r>
              <w:t>100%</w:t>
            </w:r>
          </w:p>
        </w:tc>
        <w:tc>
          <w:tcPr>
            <w:tcW w:w="1276" w:type="dxa"/>
            <w:vAlign w:val="center"/>
          </w:tcPr>
          <w:p w14:paraId="2F95693B">
            <w:pPr>
              <w:pStyle w:val="13"/>
            </w:pPr>
            <w:r>
              <w:t>幼儿资助经费管理办法</w:t>
            </w:r>
          </w:p>
        </w:tc>
      </w:tr>
      <w:tr w14:paraId="2F5C6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012B7E">
            <w:pPr>
              <w:pStyle w:val="12"/>
            </w:pPr>
            <w:r>
              <w:t>效益指标</w:t>
            </w:r>
          </w:p>
        </w:tc>
        <w:tc>
          <w:tcPr>
            <w:tcW w:w="2268" w:type="dxa"/>
            <w:vAlign w:val="center"/>
          </w:tcPr>
          <w:p w14:paraId="1AAE1EAC">
            <w:pPr>
              <w:pStyle w:val="13"/>
            </w:pPr>
            <w:r>
              <w:t>可持续影响指标</w:t>
            </w:r>
          </w:p>
        </w:tc>
        <w:tc>
          <w:tcPr>
            <w:tcW w:w="2835" w:type="dxa"/>
            <w:vAlign w:val="center"/>
          </w:tcPr>
          <w:p w14:paraId="04A34C49">
            <w:pPr>
              <w:pStyle w:val="13"/>
            </w:pPr>
            <w:r>
              <w:t>幼儿园运转</w:t>
            </w:r>
          </w:p>
        </w:tc>
        <w:tc>
          <w:tcPr>
            <w:tcW w:w="5386" w:type="dxa"/>
            <w:vAlign w:val="center"/>
          </w:tcPr>
          <w:p w14:paraId="2F424D5B">
            <w:pPr>
              <w:pStyle w:val="13"/>
            </w:pPr>
            <w:r>
              <w:t>幼儿受教育年限</w:t>
            </w:r>
          </w:p>
        </w:tc>
        <w:tc>
          <w:tcPr>
            <w:tcW w:w="2268" w:type="dxa"/>
            <w:vAlign w:val="center"/>
          </w:tcPr>
          <w:p w14:paraId="4F1A7E15">
            <w:pPr>
              <w:pStyle w:val="13"/>
            </w:pPr>
            <w:r>
              <w:t>3年</w:t>
            </w:r>
          </w:p>
        </w:tc>
        <w:tc>
          <w:tcPr>
            <w:tcW w:w="1276" w:type="dxa"/>
            <w:vAlign w:val="center"/>
          </w:tcPr>
          <w:p w14:paraId="64FF672B">
            <w:pPr>
              <w:pStyle w:val="13"/>
            </w:pPr>
            <w:r>
              <w:t>幼儿资助经费管理办法</w:t>
            </w:r>
          </w:p>
        </w:tc>
      </w:tr>
      <w:tr w14:paraId="34D8B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3E56FE">
            <w:pPr>
              <w:pStyle w:val="12"/>
            </w:pPr>
            <w:r>
              <w:t>满意度指标</w:t>
            </w:r>
          </w:p>
        </w:tc>
        <w:tc>
          <w:tcPr>
            <w:tcW w:w="2268" w:type="dxa"/>
            <w:vAlign w:val="center"/>
          </w:tcPr>
          <w:p w14:paraId="3D552364">
            <w:pPr>
              <w:pStyle w:val="13"/>
            </w:pPr>
            <w:r>
              <w:t>服务对象满意度指标</w:t>
            </w:r>
          </w:p>
        </w:tc>
        <w:tc>
          <w:tcPr>
            <w:tcW w:w="2835" w:type="dxa"/>
            <w:vAlign w:val="center"/>
          </w:tcPr>
          <w:p w14:paraId="60A48F89">
            <w:pPr>
              <w:pStyle w:val="13"/>
            </w:pPr>
            <w:r>
              <w:t>受益幼儿家长及调查满意度</w:t>
            </w:r>
          </w:p>
        </w:tc>
        <w:tc>
          <w:tcPr>
            <w:tcW w:w="5386" w:type="dxa"/>
            <w:vAlign w:val="center"/>
          </w:tcPr>
          <w:p w14:paraId="5B9E4F0A">
            <w:pPr>
              <w:pStyle w:val="13"/>
            </w:pPr>
            <w:r>
              <w:t>学生、教师及家长对学校保教保育工作满意度情况</w:t>
            </w:r>
          </w:p>
        </w:tc>
        <w:tc>
          <w:tcPr>
            <w:tcW w:w="2268" w:type="dxa"/>
            <w:vAlign w:val="center"/>
          </w:tcPr>
          <w:p w14:paraId="413E82AD">
            <w:pPr>
              <w:pStyle w:val="13"/>
            </w:pPr>
            <w:r>
              <w:t>≥95%</w:t>
            </w:r>
          </w:p>
        </w:tc>
        <w:tc>
          <w:tcPr>
            <w:tcW w:w="1276" w:type="dxa"/>
            <w:vAlign w:val="center"/>
          </w:tcPr>
          <w:p w14:paraId="25A772DF">
            <w:pPr>
              <w:pStyle w:val="13"/>
            </w:pPr>
            <w:r>
              <w:t>幼儿资助经费管理办法</w:t>
            </w:r>
          </w:p>
        </w:tc>
      </w:tr>
    </w:tbl>
    <w:p w14:paraId="3839E4F0">
      <w:pPr>
        <w:sectPr>
          <w:pgSz w:w="16840" w:h="11900" w:orient="landscape"/>
          <w:pgMar w:top="1361" w:right="1020" w:bottom="1134" w:left="1020" w:header="720" w:footer="720" w:gutter="0"/>
          <w:cols w:space="720" w:num="1"/>
        </w:sectPr>
      </w:pPr>
    </w:p>
    <w:p w14:paraId="654FD171">
      <w:pPr>
        <w:spacing w:before="0" w:after="0"/>
        <w:ind w:firstLine="560"/>
        <w:jc w:val="left"/>
        <w:outlineLvl w:val="9"/>
      </w:pPr>
      <w:r>
        <w:rPr>
          <w:rFonts w:ascii="方正仿宋_GBK" w:hAnsi="方正仿宋_GBK" w:eastAsia="方正仿宋_GBK" w:cs="方正仿宋_GBK"/>
          <w:b/>
          <w:color w:val="000000"/>
          <w:sz w:val="28"/>
        </w:rPr>
        <w:t>25、县级资金/莲子镇校区幼儿园公用经费绩效目标表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A3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E5357">
            <w:pPr>
              <w:pStyle w:val="14"/>
            </w:pPr>
            <w:r>
              <w:t>单位：万元</w:t>
            </w:r>
          </w:p>
        </w:tc>
      </w:tr>
      <w:tr w14:paraId="39983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C4958">
            <w:pPr>
              <w:pStyle w:val="11"/>
            </w:pPr>
            <w:r>
              <w:t>项目编码</w:t>
            </w:r>
          </w:p>
        </w:tc>
        <w:tc>
          <w:tcPr>
            <w:tcW w:w="5103" w:type="dxa"/>
            <w:gridSpan w:val="2"/>
            <w:vAlign w:val="center"/>
          </w:tcPr>
          <w:p w14:paraId="5ACC969F">
            <w:pPr>
              <w:pStyle w:val="13"/>
            </w:pPr>
            <w:r>
              <w:t>13052524P00875610074D</w:t>
            </w:r>
          </w:p>
        </w:tc>
        <w:tc>
          <w:tcPr>
            <w:tcW w:w="2835" w:type="dxa"/>
            <w:vAlign w:val="center"/>
          </w:tcPr>
          <w:p w14:paraId="5AB4D8E7">
            <w:pPr>
              <w:pStyle w:val="11"/>
            </w:pPr>
            <w:r>
              <w:t>项目名称</w:t>
            </w:r>
          </w:p>
        </w:tc>
        <w:tc>
          <w:tcPr>
            <w:tcW w:w="6095" w:type="dxa"/>
            <w:gridSpan w:val="3"/>
            <w:vAlign w:val="center"/>
          </w:tcPr>
          <w:p w14:paraId="3B19EEB9">
            <w:pPr>
              <w:pStyle w:val="13"/>
            </w:pPr>
            <w:r>
              <w:t>县级资金/莲子镇校区幼儿园公用经费</w:t>
            </w:r>
          </w:p>
        </w:tc>
      </w:tr>
      <w:tr w14:paraId="0267E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D9E5A">
            <w:pPr>
              <w:pStyle w:val="11"/>
            </w:pPr>
            <w:r>
              <w:t>预算规模及资金用途</w:t>
            </w:r>
          </w:p>
        </w:tc>
        <w:tc>
          <w:tcPr>
            <w:tcW w:w="2268" w:type="dxa"/>
            <w:vAlign w:val="center"/>
          </w:tcPr>
          <w:p w14:paraId="1728A70E">
            <w:pPr>
              <w:pStyle w:val="11"/>
            </w:pPr>
            <w:r>
              <w:t>预算数</w:t>
            </w:r>
          </w:p>
        </w:tc>
        <w:tc>
          <w:tcPr>
            <w:tcW w:w="2835" w:type="dxa"/>
            <w:vAlign w:val="center"/>
          </w:tcPr>
          <w:p w14:paraId="4BF7EC19">
            <w:pPr>
              <w:pStyle w:val="13"/>
            </w:pPr>
            <w:r>
              <w:t>17.55</w:t>
            </w:r>
          </w:p>
        </w:tc>
        <w:tc>
          <w:tcPr>
            <w:tcW w:w="2835" w:type="dxa"/>
            <w:vAlign w:val="center"/>
          </w:tcPr>
          <w:p w14:paraId="202B0533">
            <w:pPr>
              <w:pStyle w:val="11"/>
            </w:pPr>
            <w:r>
              <w:t>其中：财政    资金</w:t>
            </w:r>
          </w:p>
        </w:tc>
        <w:tc>
          <w:tcPr>
            <w:tcW w:w="2551" w:type="dxa"/>
            <w:vAlign w:val="center"/>
          </w:tcPr>
          <w:p w14:paraId="140C4259">
            <w:pPr>
              <w:pStyle w:val="13"/>
            </w:pPr>
            <w:r>
              <w:t>17.55</w:t>
            </w:r>
          </w:p>
        </w:tc>
        <w:tc>
          <w:tcPr>
            <w:tcW w:w="2268" w:type="dxa"/>
            <w:vAlign w:val="center"/>
          </w:tcPr>
          <w:p w14:paraId="48C2A573">
            <w:pPr>
              <w:pStyle w:val="11"/>
            </w:pPr>
            <w:r>
              <w:t>其他资金</w:t>
            </w:r>
          </w:p>
        </w:tc>
        <w:tc>
          <w:tcPr>
            <w:tcW w:w="1276" w:type="dxa"/>
            <w:vAlign w:val="center"/>
          </w:tcPr>
          <w:p w14:paraId="0E6CF0DA">
            <w:pPr>
              <w:pStyle w:val="13"/>
            </w:pPr>
            <w:r>
              <w:t xml:space="preserve"> </w:t>
            </w:r>
          </w:p>
        </w:tc>
      </w:tr>
      <w:tr w14:paraId="75B9E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988066"/>
        </w:tc>
        <w:tc>
          <w:tcPr>
            <w:tcW w:w="14033" w:type="dxa"/>
            <w:gridSpan w:val="6"/>
            <w:vAlign w:val="center"/>
          </w:tcPr>
          <w:p w14:paraId="53FC520F">
            <w:pPr>
              <w:pStyle w:val="13"/>
            </w:pPr>
            <w:r>
              <w:t xml:space="preserve"> 保障幼儿园正常运转，完成教育教学活动和其他日常工作任务等方面的费用支出。</w:t>
            </w:r>
            <w:r>
              <w:tab/>
            </w:r>
          </w:p>
        </w:tc>
      </w:tr>
      <w:tr w14:paraId="567D8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CD575">
            <w:pPr>
              <w:pStyle w:val="11"/>
            </w:pPr>
            <w:r>
              <w:t>资金支出计划（%）</w:t>
            </w:r>
          </w:p>
        </w:tc>
        <w:tc>
          <w:tcPr>
            <w:tcW w:w="5103" w:type="dxa"/>
            <w:gridSpan w:val="2"/>
            <w:vAlign w:val="center"/>
          </w:tcPr>
          <w:p w14:paraId="04CB6091">
            <w:pPr>
              <w:pStyle w:val="11"/>
            </w:pPr>
            <w:r>
              <w:t>3月底</w:t>
            </w:r>
          </w:p>
        </w:tc>
        <w:tc>
          <w:tcPr>
            <w:tcW w:w="2835" w:type="dxa"/>
            <w:vAlign w:val="center"/>
          </w:tcPr>
          <w:p w14:paraId="1E757389">
            <w:pPr>
              <w:pStyle w:val="11"/>
            </w:pPr>
            <w:r>
              <w:t>6月底</w:t>
            </w:r>
          </w:p>
        </w:tc>
        <w:tc>
          <w:tcPr>
            <w:tcW w:w="2551" w:type="dxa"/>
            <w:vAlign w:val="center"/>
          </w:tcPr>
          <w:p w14:paraId="2B19DDC0">
            <w:pPr>
              <w:pStyle w:val="11"/>
            </w:pPr>
            <w:r>
              <w:t>10月底</w:t>
            </w:r>
          </w:p>
        </w:tc>
        <w:tc>
          <w:tcPr>
            <w:tcW w:w="3544" w:type="dxa"/>
            <w:gridSpan w:val="2"/>
            <w:vAlign w:val="center"/>
          </w:tcPr>
          <w:p w14:paraId="1938F228">
            <w:pPr>
              <w:pStyle w:val="11"/>
            </w:pPr>
            <w:r>
              <w:t>12月底</w:t>
            </w:r>
          </w:p>
        </w:tc>
      </w:tr>
      <w:tr w14:paraId="5B9DF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ED97B7"/>
        </w:tc>
        <w:tc>
          <w:tcPr>
            <w:tcW w:w="5103" w:type="dxa"/>
            <w:gridSpan w:val="2"/>
            <w:vAlign w:val="center"/>
          </w:tcPr>
          <w:p w14:paraId="36792748">
            <w:pPr>
              <w:pStyle w:val="12"/>
            </w:pPr>
            <w:r>
              <w:t>25%</w:t>
            </w:r>
          </w:p>
        </w:tc>
        <w:tc>
          <w:tcPr>
            <w:tcW w:w="2835" w:type="dxa"/>
            <w:vAlign w:val="center"/>
          </w:tcPr>
          <w:p w14:paraId="0FFB7B9A">
            <w:pPr>
              <w:pStyle w:val="12"/>
            </w:pPr>
            <w:r>
              <w:t>50%</w:t>
            </w:r>
          </w:p>
        </w:tc>
        <w:tc>
          <w:tcPr>
            <w:tcW w:w="2551" w:type="dxa"/>
            <w:vAlign w:val="center"/>
          </w:tcPr>
          <w:p w14:paraId="0346C5D6">
            <w:pPr>
              <w:pStyle w:val="12"/>
            </w:pPr>
            <w:r>
              <w:t>75%</w:t>
            </w:r>
          </w:p>
        </w:tc>
        <w:tc>
          <w:tcPr>
            <w:tcW w:w="3544" w:type="dxa"/>
            <w:gridSpan w:val="2"/>
            <w:vAlign w:val="center"/>
          </w:tcPr>
          <w:p w14:paraId="763CF9FF">
            <w:pPr>
              <w:pStyle w:val="12"/>
            </w:pPr>
            <w:r>
              <w:t>100%</w:t>
            </w:r>
          </w:p>
        </w:tc>
      </w:tr>
      <w:tr w14:paraId="1F40C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DE8A62">
            <w:pPr>
              <w:pStyle w:val="11"/>
            </w:pPr>
            <w:r>
              <w:t>绩效目标</w:t>
            </w:r>
          </w:p>
        </w:tc>
        <w:tc>
          <w:tcPr>
            <w:tcW w:w="14033" w:type="dxa"/>
            <w:gridSpan w:val="6"/>
            <w:vAlign w:val="center"/>
          </w:tcPr>
          <w:p w14:paraId="43FD6108">
            <w:pPr>
              <w:pStyle w:val="13"/>
            </w:pPr>
            <w:r>
              <w:t>1. 保障幼儿园正常运转，完成教育教学活动和其他日常工作任务等方面的费用支出。</w:t>
            </w:r>
            <w:r>
              <w:tab/>
            </w:r>
            <w:r>
              <w:tab/>
            </w:r>
            <w:r>
              <w:tab/>
            </w:r>
            <w:r>
              <w:tab/>
            </w:r>
            <w:r>
              <w:tab/>
            </w:r>
            <w:r>
              <w:tab/>
            </w:r>
          </w:p>
          <w:p w14:paraId="253ACFE5">
            <w:pPr>
              <w:pStyle w:val="13"/>
            </w:pPr>
          </w:p>
          <w:p w14:paraId="6ACCECFE">
            <w:pPr>
              <w:pStyle w:val="13"/>
            </w:pPr>
            <w:r>
              <w:t>2.按季度分批次拨付公用经费资金，资金拨付率达到100%。</w:t>
            </w:r>
            <w:r>
              <w:tab/>
            </w:r>
            <w:r>
              <w:tab/>
            </w:r>
            <w:r>
              <w:tab/>
            </w:r>
            <w:r>
              <w:tab/>
            </w:r>
            <w:r>
              <w:tab/>
            </w:r>
            <w:r>
              <w:tab/>
            </w:r>
          </w:p>
          <w:p w14:paraId="0324FCB9">
            <w:pPr>
              <w:pStyle w:val="13"/>
            </w:pPr>
          </w:p>
        </w:tc>
      </w:tr>
    </w:tbl>
    <w:p w14:paraId="12357E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11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75CE1">
            <w:pPr>
              <w:pStyle w:val="11"/>
            </w:pPr>
            <w:r>
              <w:t>一级指标</w:t>
            </w:r>
          </w:p>
        </w:tc>
        <w:tc>
          <w:tcPr>
            <w:tcW w:w="2268" w:type="dxa"/>
            <w:vAlign w:val="center"/>
          </w:tcPr>
          <w:p w14:paraId="58F75930">
            <w:pPr>
              <w:pStyle w:val="11"/>
            </w:pPr>
            <w:r>
              <w:t>二级指标</w:t>
            </w:r>
          </w:p>
        </w:tc>
        <w:tc>
          <w:tcPr>
            <w:tcW w:w="2835" w:type="dxa"/>
            <w:vAlign w:val="center"/>
          </w:tcPr>
          <w:p w14:paraId="4F5C00F8">
            <w:pPr>
              <w:pStyle w:val="11"/>
            </w:pPr>
            <w:r>
              <w:t>三级指标</w:t>
            </w:r>
          </w:p>
        </w:tc>
        <w:tc>
          <w:tcPr>
            <w:tcW w:w="5386" w:type="dxa"/>
            <w:vAlign w:val="center"/>
          </w:tcPr>
          <w:p w14:paraId="17696184">
            <w:pPr>
              <w:pStyle w:val="11"/>
            </w:pPr>
            <w:r>
              <w:t>绩效指标描述</w:t>
            </w:r>
          </w:p>
        </w:tc>
        <w:tc>
          <w:tcPr>
            <w:tcW w:w="2268" w:type="dxa"/>
            <w:vAlign w:val="center"/>
          </w:tcPr>
          <w:p w14:paraId="38F5F1BD">
            <w:pPr>
              <w:pStyle w:val="11"/>
            </w:pPr>
            <w:r>
              <w:t>指标值</w:t>
            </w:r>
          </w:p>
        </w:tc>
        <w:tc>
          <w:tcPr>
            <w:tcW w:w="1276" w:type="dxa"/>
            <w:vAlign w:val="center"/>
          </w:tcPr>
          <w:p w14:paraId="21089FB1">
            <w:pPr>
              <w:pStyle w:val="11"/>
            </w:pPr>
            <w:r>
              <w:t>指标值确定依据</w:t>
            </w:r>
          </w:p>
        </w:tc>
      </w:tr>
      <w:tr w14:paraId="79B18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2CCD2">
            <w:pPr>
              <w:pStyle w:val="12"/>
            </w:pPr>
            <w:r>
              <w:t>产出指标</w:t>
            </w:r>
          </w:p>
        </w:tc>
        <w:tc>
          <w:tcPr>
            <w:tcW w:w="2268" w:type="dxa"/>
            <w:vAlign w:val="center"/>
          </w:tcPr>
          <w:p w14:paraId="5E210549">
            <w:pPr>
              <w:pStyle w:val="13"/>
            </w:pPr>
            <w:r>
              <w:t>数量指标</w:t>
            </w:r>
          </w:p>
        </w:tc>
        <w:tc>
          <w:tcPr>
            <w:tcW w:w="2835" w:type="dxa"/>
            <w:vAlign w:val="center"/>
          </w:tcPr>
          <w:p w14:paraId="1C8C12D2">
            <w:pPr>
              <w:pStyle w:val="13"/>
            </w:pPr>
            <w:r>
              <w:t>适龄在园生</w:t>
            </w:r>
          </w:p>
        </w:tc>
        <w:tc>
          <w:tcPr>
            <w:tcW w:w="5386" w:type="dxa"/>
            <w:vAlign w:val="center"/>
          </w:tcPr>
          <w:p w14:paraId="32B3DB87">
            <w:pPr>
              <w:pStyle w:val="13"/>
            </w:pPr>
            <w:r>
              <w:t>适龄在园学生人数</w:t>
            </w:r>
          </w:p>
        </w:tc>
        <w:tc>
          <w:tcPr>
            <w:tcW w:w="2268" w:type="dxa"/>
            <w:vAlign w:val="center"/>
          </w:tcPr>
          <w:p w14:paraId="27A9092F">
            <w:pPr>
              <w:pStyle w:val="13"/>
            </w:pPr>
            <w:r>
              <w:t>390人</w:t>
            </w:r>
          </w:p>
        </w:tc>
        <w:tc>
          <w:tcPr>
            <w:tcW w:w="1276" w:type="dxa"/>
            <w:vAlign w:val="center"/>
          </w:tcPr>
          <w:p w14:paraId="039FE4F7">
            <w:pPr>
              <w:pStyle w:val="13"/>
            </w:pPr>
            <w:r>
              <w:t>支持学前教育发展县级资金管理方法</w:t>
            </w:r>
          </w:p>
        </w:tc>
      </w:tr>
      <w:tr w14:paraId="33C6F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A991D"/>
        </w:tc>
        <w:tc>
          <w:tcPr>
            <w:tcW w:w="2268" w:type="dxa"/>
            <w:vAlign w:val="center"/>
          </w:tcPr>
          <w:p w14:paraId="292BA17A">
            <w:pPr>
              <w:pStyle w:val="13"/>
            </w:pPr>
            <w:r>
              <w:t>质量指标</w:t>
            </w:r>
          </w:p>
        </w:tc>
        <w:tc>
          <w:tcPr>
            <w:tcW w:w="2835" w:type="dxa"/>
            <w:vAlign w:val="center"/>
          </w:tcPr>
          <w:p w14:paraId="3E7D1926">
            <w:pPr>
              <w:pStyle w:val="13"/>
            </w:pPr>
            <w:r>
              <w:t>预算控制率</w:t>
            </w:r>
          </w:p>
        </w:tc>
        <w:tc>
          <w:tcPr>
            <w:tcW w:w="5386" w:type="dxa"/>
            <w:vAlign w:val="center"/>
          </w:tcPr>
          <w:p w14:paraId="7D26544D">
            <w:pPr>
              <w:pStyle w:val="13"/>
            </w:pPr>
            <w:r>
              <w:t>预算执行</w:t>
            </w:r>
          </w:p>
        </w:tc>
        <w:tc>
          <w:tcPr>
            <w:tcW w:w="2268" w:type="dxa"/>
            <w:vAlign w:val="center"/>
          </w:tcPr>
          <w:p w14:paraId="3F267A06">
            <w:pPr>
              <w:pStyle w:val="13"/>
            </w:pPr>
            <w:r>
              <w:t>≥95%</w:t>
            </w:r>
          </w:p>
        </w:tc>
        <w:tc>
          <w:tcPr>
            <w:tcW w:w="1276" w:type="dxa"/>
            <w:vAlign w:val="center"/>
          </w:tcPr>
          <w:p w14:paraId="4407259F">
            <w:pPr>
              <w:pStyle w:val="13"/>
            </w:pPr>
            <w:r>
              <w:t>支持学前教育发展县级资金管理方法</w:t>
            </w:r>
          </w:p>
        </w:tc>
      </w:tr>
      <w:tr w14:paraId="568CE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74B37"/>
        </w:tc>
        <w:tc>
          <w:tcPr>
            <w:tcW w:w="2268" w:type="dxa"/>
            <w:vAlign w:val="center"/>
          </w:tcPr>
          <w:p w14:paraId="74509AD0">
            <w:pPr>
              <w:pStyle w:val="13"/>
            </w:pPr>
            <w:r>
              <w:t>时效指标</w:t>
            </w:r>
          </w:p>
        </w:tc>
        <w:tc>
          <w:tcPr>
            <w:tcW w:w="2835" w:type="dxa"/>
            <w:vAlign w:val="center"/>
          </w:tcPr>
          <w:p w14:paraId="2AAEB470">
            <w:pPr>
              <w:pStyle w:val="13"/>
            </w:pPr>
            <w:r>
              <w:t>资金支付率</w:t>
            </w:r>
          </w:p>
        </w:tc>
        <w:tc>
          <w:tcPr>
            <w:tcW w:w="5386" w:type="dxa"/>
            <w:vAlign w:val="center"/>
          </w:tcPr>
          <w:p w14:paraId="3273EA3E">
            <w:pPr>
              <w:pStyle w:val="13"/>
            </w:pPr>
            <w:r>
              <w:t>按照序时进度完成资金支付</w:t>
            </w:r>
          </w:p>
        </w:tc>
        <w:tc>
          <w:tcPr>
            <w:tcW w:w="2268" w:type="dxa"/>
            <w:vAlign w:val="center"/>
          </w:tcPr>
          <w:p w14:paraId="67409B08">
            <w:pPr>
              <w:pStyle w:val="13"/>
            </w:pPr>
            <w:r>
              <w:t>100%</w:t>
            </w:r>
          </w:p>
        </w:tc>
        <w:tc>
          <w:tcPr>
            <w:tcW w:w="1276" w:type="dxa"/>
            <w:vAlign w:val="center"/>
          </w:tcPr>
          <w:p w14:paraId="5602E357">
            <w:pPr>
              <w:pStyle w:val="13"/>
            </w:pPr>
            <w:r>
              <w:t>支持学前教育发展县级资金管理方法</w:t>
            </w:r>
          </w:p>
        </w:tc>
      </w:tr>
      <w:tr w14:paraId="418D7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58B70"/>
        </w:tc>
        <w:tc>
          <w:tcPr>
            <w:tcW w:w="2268" w:type="dxa"/>
            <w:vAlign w:val="center"/>
          </w:tcPr>
          <w:p w14:paraId="6C4FFA9B">
            <w:pPr>
              <w:pStyle w:val="13"/>
            </w:pPr>
            <w:r>
              <w:t>成本指标</w:t>
            </w:r>
          </w:p>
        </w:tc>
        <w:tc>
          <w:tcPr>
            <w:tcW w:w="2835" w:type="dxa"/>
            <w:vAlign w:val="center"/>
          </w:tcPr>
          <w:p w14:paraId="24E2C904">
            <w:pPr>
              <w:pStyle w:val="13"/>
            </w:pPr>
            <w:r>
              <w:t>生均拨款标准</w:t>
            </w:r>
          </w:p>
        </w:tc>
        <w:tc>
          <w:tcPr>
            <w:tcW w:w="5386" w:type="dxa"/>
            <w:vAlign w:val="center"/>
          </w:tcPr>
          <w:p w14:paraId="05354F10">
            <w:pPr>
              <w:pStyle w:val="13"/>
            </w:pPr>
            <w:r>
              <w:t>学前：（基本标准600元/生/学年）</w:t>
            </w:r>
          </w:p>
        </w:tc>
        <w:tc>
          <w:tcPr>
            <w:tcW w:w="2268" w:type="dxa"/>
            <w:vAlign w:val="center"/>
          </w:tcPr>
          <w:p w14:paraId="7D0A084E">
            <w:pPr>
              <w:pStyle w:val="13"/>
            </w:pPr>
            <w:r>
              <w:t>175500元</w:t>
            </w:r>
          </w:p>
        </w:tc>
        <w:tc>
          <w:tcPr>
            <w:tcW w:w="1276" w:type="dxa"/>
            <w:vAlign w:val="center"/>
          </w:tcPr>
          <w:p w14:paraId="54BB2685">
            <w:pPr>
              <w:pStyle w:val="13"/>
            </w:pPr>
            <w:r>
              <w:t>支持学前教育发展县级资金管理方法</w:t>
            </w:r>
          </w:p>
        </w:tc>
      </w:tr>
      <w:tr w14:paraId="30074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9EB217">
            <w:pPr>
              <w:pStyle w:val="12"/>
            </w:pPr>
            <w:r>
              <w:t>效益指标</w:t>
            </w:r>
          </w:p>
        </w:tc>
        <w:tc>
          <w:tcPr>
            <w:tcW w:w="2268" w:type="dxa"/>
            <w:vAlign w:val="center"/>
          </w:tcPr>
          <w:p w14:paraId="17D12529">
            <w:pPr>
              <w:pStyle w:val="13"/>
            </w:pPr>
            <w:r>
              <w:t>可持续影响指标</w:t>
            </w:r>
          </w:p>
        </w:tc>
        <w:tc>
          <w:tcPr>
            <w:tcW w:w="2835" w:type="dxa"/>
            <w:vAlign w:val="center"/>
          </w:tcPr>
          <w:p w14:paraId="2EAE21EC">
            <w:pPr>
              <w:pStyle w:val="13"/>
            </w:pPr>
            <w:r>
              <w:t>学校运转得到提升</w:t>
            </w:r>
          </w:p>
        </w:tc>
        <w:tc>
          <w:tcPr>
            <w:tcW w:w="5386" w:type="dxa"/>
            <w:vAlign w:val="center"/>
          </w:tcPr>
          <w:p w14:paraId="3AB060A7">
            <w:pPr>
              <w:pStyle w:val="13"/>
            </w:pPr>
            <w:r>
              <w:t>幼儿受教育年限</w:t>
            </w:r>
          </w:p>
        </w:tc>
        <w:tc>
          <w:tcPr>
            <w:tcW w:w="2268" w:type="dxa"/>
            <w:vAlign w:val="center"/>
          </w:tcPr>
          <w:p w14:paraId="2D020ED4">
            <w:pPr>
              <w:pStyle w:val="13"/>
            </w:pPr>
            <w:r>
              <w:t>3年</w:t>
            </w:r>
          </w:p>
        </w:tc>
        <w:tc>
          <w:tcPr>
            <w:tcW w:w="1276" w:type="dxa"/>
            <w:vAlign w:val="center"/>
          </w:tcPr>
          <w:p w14:paraId="6C9C3419">
            <w:pPr>
              <w:pStyle w:val="13"/>
            </w:pPr>
            <w:r>
              <w:t>支持学前教育发展县级资金管理方法</w:t>
            </w:r>
          </w:p>
        </w:tc>
      </w:tr>
      <w:tr w14:paraId="695F5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207C1">
            <w:pPr>
              <w:pStyle w:val="12"/>
            </w:pPr>
            <w:r>
              <w:t>满意度指标</w:t>
            </w:r>
          </w:p>
        </w:tc>
        <w:tc>
          <w:tcPr>
            <w:tcW w:w="2268" w:type="dxa"/>
            <w:vAlign w:val="center"/>
          </w:tcPr>
          <w:p w14:paraId="33C79B5A">
            <w:pPr>
              <w:pStyle w:val="13"/>
            </w:pPr>
            <w:r>
              <w:t>服务对象满意度指标</w:t>
            </w:r>
          </w:p>
        </w:tc>
        <w:tc>
          <w:tcPr>
            <w:tcW w:w="2835" w:type="dxa"/>
            <w:vAlign w:val="center"/>
          </w:tcPr>
          <w:p w14:paraId="450946D4">
            <w:pPr>
              <w:pStyle w:val="13"/>
            </w:pPr>
            <w:r>
              <w:t>受益学生家长及调查满意度</w:t>
            </w:r>
          </w:p>
        </w:tc>
        <w:tc>
          <w:tcPr>
            <w:tcW w:w="5386" w:type="dxa"/>
            <w:vAlign w:val="center"/>
          </w:tcPr>
          <w:p w14:paraId="1C2351DF">
            <w:pPr>
              <w:pStyle w:val="13"/>
            </w:pPr>
            <w:r>
              <w:t>学生、教师及家长对学校保教保育工作满意度情况</w:t>
            </w:r>
          </w:p>
        </w:tc>
        <w:tc>
          <w:tcPr>
            <w:tcW w:w="2268" w:type="dxa"/>
            <w:vAlign w:val="center"/>
          </w:tcPr>
          <w:p w14:paraId="1BBCB5E3">
            <w:pPr>
              <w:pStyle w:val="13"/>
            </w:pPr>
            <w:r>
              <w:t>≥95%</w:t>
            </w:r>
          </w:p>
        </w:tc>
        <w:tc>
          <w:tcPr>
            <w:tcW w:w="1276" w:type="dxa"/>
            <w:vAlign w:val="center"/>
          </w:tcPr>
          <w:p w14:paraId="2ADD305C">
            <w:pPr>
              <w:pStyle w:val="13"/>
            </w:pPr>
            <w:r>
              <w:t>支持学前教育发展县级资金管理方法</w:t>
            </w:r>
          </w:p>
        </w:tc>
      </w:tr>
    </w:tbl>
    <w:p w14:paraId="0AC60400">
      <w:pPr>
        <w:sectPr>
          <w:pgSz w:w="16840" w:h="11900" w:orient="landscape"/>
          <w:pgMar w:top="1361" w:right="1020" w:bottom="1134" w:left="1020" w:header="720" w:footer="720" w:gutter="0"/>
          <w:cols w:space="720" w:num="1"/>
        </w:sectPr>
      </w:pPr>
    </w:p>
    <w:p w14:paraId="4DC0BFFA">
      <w:pPr>
        <w:spacing w:before="0" w:after="0"/>
        <w:ind w:firstLine="560"/>
        <w:jc w:val="left"/>
        <w:outlineLvl w:val="9"/>
      </w:pPr>
      <w:r>
        <w:rPr>
          <w:rFonts w:ascii="方正仿宋_GBK" w:hAnsi="方正仿宋_GBK" w:eastAsia="方正仿宋_GBK" w:cs="方正仿宋_GBK"/>
          <w:b/>
          <w:color w:val="000000"/>
          <w:sz w:val="28"/>
        </w:rPr>
        <w:t>26、学前专项经费/莲子镇校区绩效目标表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CD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26C1A9">
            <w:pPr>
              <w:pStyle w:val="14"/>
            </w:pPr>
            <w:r>
              <w:t>单位：万元</w:t>
            </w:r>
          </w:p>
        </w:tc>
      </w:tr>
      <w:tr w14:paraId="360AE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60F32">
            <w:pPr>
              <w:pStyle w:val="11"/>
            </w:pPr>
            <w:r>
              <w:t>项目编码</w:t>
            </w:r>
          </w:p>
        </w:tc>
        <w:tc>
          <w:tcPr>
            <w:tcW w:w="5103" w:type="dxa"/>
            <w:gridSpan w:val="2"/>
            <w:vAlign w:val="center"/>
          </w:tcPr>
          <w:p w14:paraId="4A2437EE">
            <w:pPr>
              <w:pStyle w:val="13"/>
            </w:pPr>
            <w:r>
              <w:t>13052525P00875610045U</w:t>
            </w:r>
          </w:p>
        </w:tc>
        <w:tc>
          <w:tcPr>
            <w:tcW w:w="2835" w:type="dxa"/>
            <w:vAlign w:val="center"/>
          </w:tcPr>
          <w:p w14:paraId="4174EF22">
            <w:pPr>
              <w:pStyle w:val="11"/>
            </w:pPr>
            <w:r>
              <w:t>项目名称</w:t>
            </w:r>
          </w:p>
        </w:tc>
        <w:tc>
          <w:tcPr>
            <w:tcW w:w="6095" w:type="dxa"/>
            <w:gridSpan w:val="3"/>
            <w:vAlign w:val="center"/>
          </w:tcPr>
          <w:p w14:paraId="434103BE">
            <w:pPr>
              <w:pStyle w:val="13"/>
            </w:pPr>
            <w:r>
              <w:t>学前专项经费/莲子镇校区</w:t>
            </w:r>
          </w:p>
        </w:tc>
      </w:tr>
      <w:tr w14:paraId="0E979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2222A">
            <w:pPr>
              <w:pStyle w:val="11"/>
            </w:pPr>
            <w:r>
              <w:t>预算规模及资金用途</w:t>
            </w:r>
          </w:p>
        </w:tc>
        <w:tc>
          <w:tcPr>
            <w:tcW w:w="2268" w:type="dxa"/>
            <w:vAlign w:val="center"/>
          </w:tcPr>
          <w:p w14:paraId="39CF5C6C">
            <w:pPr>
              <w:pStyle w:val="11"/>
            </w:pPr>
            <w:r>
              <w:t>预算数</w:t>
            </w:r>
          </w:p>
        </w:tc>
        <w:tc>
          <w:tcPr>
            <w:tcW w:w="2835" w:type="dxa"/>
            <w:vAlign w:val="center"/>
          </w:tcPr>
          <w:p w14:paraId="164FC1E6">
            <w:pPr>
              <w:pStyle w:val="13"/>
            </w:pPr>
            <w:r>
              <w:t>63.39</w:t>
            </w:r>
          </w:p>
        </w:tc>
        <w:tc>
          <w:tcPr>
            <w:tcW w:w="2835" w:type="dxa"/>
            <w:vAlign w:val="center"/>
          </w:tcPr>
          <w:p w14:paraId="2FD6E085">
            <w:pPr>
              <w:pStyle w:val="11"/>
            </w:pPr>
            <w:r>
              <w:t>其中：财政    资金</w:t>
            </w:r>
          </w:p>
        </w:tc>
        <w:tc>
          <w:tcPr>
            <w:tcW w:w="2551" w:type="dxa"/>
            <w:vAlign w:val="center"/>
          </w:tcPr>
          <w:p w14:paraId="5F11A46D">
            <w:pPr>
              <w:pStyle w:val="13"/>
            </w:pPr>
            <w:r>
              <w:t>63.39</w:t>
            </w:r>
          </w:p>
        </w:tc>
        <w:tc>
          <w:tcPr>
            <w:tcW w:w="2268" w:type="dxa"/>
            <w:vAlign w:val="center"/>
          </w:tcPr>
          <w:p w14:paraId="3B34C3CC">
            <w:pPr>
              <w:pStyle w:val="11"/>
            </w:pPr>
            <w:r>
              <w:t>其他资金</w:t>
            </w:r>
          </w:p>
        </w:tc>
        <w:tc>
          <w:tcPr>
            <w:tcW w:w="1276" w:type="dxa"/>
            <w:vAlign w:val="center"/>
          </w:tcPr>
          <w:p w14:paraId="7D2506BF">
            <w:pPr>
              <w:pStyle w:val="13"/>
            </w:pPr>
            <w:r>
              <w:t xml:space="preserve"> </w:t>
            </w:r>
          </w:p>
        </w:tc>
      </w:tr>
      <w:tr w14:paraId="4EC70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44694"/>
        </w:tc>
        <w:tc>
          <w:tcPr>
            <w:tcW w:w="14033" w:type="dxa"/>
            <w:gridSpan w:val="6"/>
            <w:vAlign w:val="center"/>
          </w:tcPr>
          <w:p w14:paraId="1BE4E467">
            <w:pPr>
              <w:pStyle w:val="13"/>
            </w:pPr>
            <w:r>
              <w:t>按预算要求完成2025年度学前教学任务提升及教学质量提高</w:t>
            </w:r>
          </w:p>
        </w:tc>
      </w:tr>
      <w:tr w14:paraId="3C2DB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FD6C1">
            <w:pPr>
              <w:pStyle w:val="11"/>
            </w:pPr>
            <w:r>
              <w:t>资金支出计划（%）</w:t>
            </w:r>
          </w:p>
        </w:tc>
        <w:tc>
          <w:tcPr>
            <w:tcW w:w="5103" w:type="dxa"/>
            <w:gridSpan w:val="2"/>
            <w:vAlign w:val="center"/>
          </w:tcPr>
          <w:p w14:paraId="78574217">
            <w:pPr>
              <w:pStyle w:val="11"/>
            </w:pPr>
            <w:r>
              <w:t>3月底</w:t>
            </w:r>
          </w:p>
        </w:tc>
        <w:tc>
          <w:tcPr>
            <w:tcW w:w="2835" w:type="dxa"/>
            <w:vAlign w:val="center"/>
          </w:tcPr>
          <w:p w14:paraId="43D251F3">
            <w:pPr>
              <w:pStyle w:val="11"/>
            </w:pPr>
            <w:r>
              <w:t>6月底</w:t>
            </w:r>
          </w:p>
        </w:tc>
        <w:tc>
          <w:tcPr>
            <w:tcW w:w="2551" w:type="dxa"/>
            <w:vAlign w:val="center"/>
          </w:tcPr>
          <w:p w14:paraId="622C4B8F">
            <w:pPr>
              <w:pStyle w:val="11"/>
            </w:pPr>
            <w:r>
              <w:t>10月底</w:t>
            </w:r>
          </w:p>
        </w:tc>
        <w:tc>
          <w:tcPr>
            <w:tcW w:w="3544" w:type="dxa"/>
            <w:gridSpan w:val="2"/>
            <w:vAlign w:val="center"/>
          </w:tcPr>
          <w:p w14:paraId="4146383C">
            <w:pPr>
              <w:pStyle w:val="11"/>
            </w:pPr>
            <w:r>
              <w:t>12月底</w:t>
            </w:r>
          </w:p>
        </w:tc>
      </w:tr>
      <w:tr w14:paraId="44ED9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7C168"/>
        </w:tc>
        <w:tc>
          <w:tcPr>
            <w:tcW w:w="5103" w:type="dxa"/>
            <w:gridSpan w:val="2"/>
            <w:vAlign w:val="center"/>
          </w:tcPr>
          <w:p w14:paraId="28F4536F">
            <w:pPr>
              <w:pStyle w:val="12"/>
            </w:pPr>
            <w:r>
              <w:t>25%</w:t>
            </w:r>
          </w:p>
        </w:tc>
        <w:tc>
          <w:tcPr>
            <w:tcW w:w="2835" w:type="dxa"/>
            <w:vAlign w:val="center"/>
          </w:tcPr>
          <w:p w14:paraId="145703A8">
            <w:pPr>
              <w:pStyle w:val="12"/>
            </w:pPr>
            <w:r>
              <w:t>50%</w:t>
            </w:r>
          </w:p>
        </w:tc>
        <w:tc>
          <w:tcPr>
            <w:tcW w:w="2551" w:type="dxa"/>
            <w:vAlign w:val="center"/>
          </w:tcPr>
          <w:p w14:paraId="7239B4B2">
            <w:pPr>
              <w:pStyle w:val="12"/>
            </w:pPr>
            <w:r>
              <w:t>75%</w:t>
            </w:r>
          </w:p>
        </w:tc>
        <w:tc>
          <w:tcPr>
            <w:tcW w:w="3544" w:type="dxa"/>
            <w:gridSpan w:val="2"/>
            <w:vAlign w:val="center"/>
          </w:tcPr>
          <w:p w14:paraId="06322E5E">
            <w:pPr>
              <w:pStyle w:val="12"/>
            </w:pPr>
            <w:r>
              <w:t>100%</w:t>
            </w:r>
          </w:p>
        </w:tc>
      </w:tr>
      <w:tr w14:paraId="2D93C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D7524C">
            <w:pPr>
              <w:pStyle w:val="11"/>
            </w:pPr>
            <w:r>
              <w:t>绩效目标</w:t>
            </w:r>
          </w:p>
        </w:tc>
        <w:tc>
          <w:tcPr>
            <w:tcW w:w="14033" w:type="dxa"/>
            <w:gridSpan w:val="6"/>
            <w:vAlign w:val="center"/>
          </w:tcPr>
          <w:p w14:paraId="4581D4CC">
            <w:pPr>
              <w:pStyle w:val="13"/>
            </w:pPr>
            <w:r>
              <w:t>1.按上缴财政序时进度完成公立幼儿园保育费支出。</w:t>
            </w:r>
          </w:p>
          <w:p w14:paraId="42D1B5E2">
            <w:pPr>
              <w:pStyle w:val="13"/>
            </w:pPr>
            <w:r>
              <w:t>2.按预算要求完成2025年度学前教学任务提升及教学质量提高</w:t>
            </w:r>
          </w:p>
          <w:p w14:paraId="5F9DC642">
            <w:pPr>
              <w:pStyle w:val="13"/>
            </w:pPr>
            <w:r>
              <w:t>3.按要求完成公立幼儿园保育费按月/季度上缴财政。</w:t>
            </w:r>
          </w:p>
        </w:tc>
      </w:tr>
    </w:tbl>
    <w:p w14:paraId="64859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78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2B12E">
            <w:pPr>
              <w:pStyle w:val="11"/>
            </w:pPr>
            <w:r>
              <w:t>一级指标</w:t>
            </w:r>
          </w:p>
        </w:tc>
        <w:tc>
          <w:tcPr>
            <w:tcW w:w="2268" w:type="dxa"/>
            <w:vAlign w:val="center"/>
          </w:tcPr>
          <w:p w14:paraId="349ADCD1">
            <w:pPr>
              <w:pStyle w:val="11"/>
            </w:pPr>
            <w:r>
              <w:t>二级指标</w:t>
            </w:r>
          </w:p>
        </w:tc>
        <w:tc>
          <w:tcPr>
            <w:tcW w:w="2835" w:type="dxa"/>
            <w:vAlign w:val="center"/>
          </w:tcPr>
          <w:p w14:paraId="4A8327EC">
            <w:pPr>
              <w:pStyle w:val="11"/>
            </w:pPr>
            <w:r>
              <w:t>三级指标</w:t>
            </w:r>
          </w:p>
        </w:tc>
        <w:tc>
          <w:tcPr>
            <w:tcW w:w="5386" w:type="dxa"/>
            <w:vAlign w:val="center"/>
          </w:tcPr>
          <w:p w14:paraId="4579DD5E">
            <w:pPr>
              <w:pStyle w:val="11"/>
            </w:pPr>
            <w:r>
              <w:t>绩效指标描述</w:t>
            </w:r>
          </w:p>
        </w:tc>
        <w:tc>
          <w:tcPr>
            <w:tcW w:w="2268" w:type="dxa"/>
            <w:vAlign w:val="center"/>
          </w:tcPr>
          <w:p w14:paraId="7D388998">
            <w:pPr>
              <w:pStyle w:val="11"/>
            </w:pPr>
            <w:r>
              <w:t>指标值</w:t>
            </w:r>
          </w:p>
        </w:tc>
        <w:tc>
          <w:tcPr>
            <w:tcW w:w="1276" w:type="dxa"/>
            <w:vAlign w:val="center"/>
          </w:tcPr>
          <w:p w14:paraId="5DC40E24">
            <w:pPr>
              <w:pStyle w:val="11"/>
            </w:pPr>
            <w:r>
              <w:t>指标值确定依据</w:t>
            </w:r>
          </w:p>
        </w:tc>
      </w:tr>
      <w:tr w14:paraId="6ED60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F81F4">
            <w:pPr>
              <w:pStyle w:val="12"/>
            </w:pPr>
            <w:r>
              <w:t>产出指标</w:t>
            </w:r>
          </w:p>
        </w:tc>
        <w:tc>
          <w:tcPr>
            <w:tcW w:w="2268" w:type="dxa"/>
            <w:vAlign w:val="center"/>
          </w:tcPr>
          <w:p w14:paraId="0EDBD78A">
            <w:pPr>
              <w:pStyle w:val="13"/>
            </w:pPr>
            <w:r>
              <w:t>数量指标</w:t>
            </w:r>
          </w:p>
        </w:tc>
        <w:tc>
          <w:tcPr>
            <w:tcW w:w="2835" w:type="dxa"/>
            <w:vAlign w:val="center"/>
          </w:tcPr>
          <w:p w14:paraId="639249E4">
            <w:pPr>
              <w:pStyle w:val="13"/>
            </w:pPr>
            <w:r>
              <w:t>适龄在园生</w:t>
            </w:r>
          </w:p>
        </w:tc>
        <w:tc>
          <w:tcPr>
            <w:tcW w:w="5386" w:type="dxa"/>
            <w:vAlign w:val="center"/>
          </w:tcPr>
          <w:p w14:paraId="5BB9E210">
            <w:pPr>
              <w:pStyle w:val="13"/>
            </w:pPr>
            <w:r>
              <w:t>适龄在园学生人数</w:t>
            </w:r>
          </w:p>
        </w:tc>
        <w:tc>
          <w:tcPr>
            <w:tcW w:w="2268" w:type="dxa"/>
            <w:vAlign w:val="center"/>
          </w:tcPr>
          <w:p w14:paraId="361F233B">
            <w:pPr>
              <w:pStyle w:val="13"/>
            </w:pPr>
            <w:r>
              <w:t>365人</w:t>
            </w:r>
          </w:p>
        </w:tc>
        <w:tc>
          <w:tcPr>
            <w:tcW w:w="1276" w:type="dxa"/>
            <w:vAlign w:val="center"/>
          </w:tcPr>
          <w:p w14:paraId="3772799B">
            <w:pPr>
              <w:pStyle w:val="13"/>
            </w:pPr>
            <w:r>
              <w:t>年度工作计划</w:t>
            </w:r>
          </w:p>
        </w:tc>
      </w:tr>
      <w:tr w14:paraId="6F0B8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08E2E"/>
        </w:tc>
        <w:tc>
          <w:tcPr>
            <w:tcW w:w="2268" w:type="dxa"/>
            <w:vAlign w:val="center"/>
          </w:tcPr>
          <w:p w14:paraId="43A90608">
            <w:pPr>
              <w:pStyle w:val="13"/>
            </w:pPr>
            <w:r>
              <w:t>质量指标</w:t>
            </w:r>
          </w:p>
        </w:tc>
        <w:tc>
          <w:tcPr>
            <w:tcW w:w="2835" w:type="dxa"/>
            <w:vAlign w:val="center"/>
          </w:tcPr>
          <w:p w14:paraId="040F43EB">
            <w:pPr>
              <w:pStyle w:val="13"/>
            </w:pPr>
            <w:r>
              <w:t>按月上缴财政完成率</w:t>
            </w:r>
          </w:p>
        </w:tc>
        <w:tc>
          <w:tcPr>
            <w:tcW w:w="5386" w:type="dxa"/>
            <w:vAlign w:val="center"/>
          </w:tcPr>
          <w:p w14:paraId="54F5DDDD">
            <w:pPr>
              <w:pStyle w:val="13"/>
            </w:pPr>
            <w:r>
              <w:t>按月完成公立幼儿园保育费上缴财政</w:t>
            </w:r>
          </w:p>
        </w:tc>
        <w:tc>
          <w:tcPr>
            <w:tcW w:w="2268" w:type="dxa"/>
            <w:vAlign w:val="center"/>
          </w:tcPr>
          <w:p w14:paraId="65EC0A6E">
            <w:pPr>
              <w:pStyle w:val="13"/>
            </w:pPr>
            <w:r>
              <w:t>100%</w:t>
            </w:r>
          </w:p>
        </w:tc>
        <w:tc>
          <w:tcPr>
            <w:tcW w:w="1276" w:type="dxa"/>
            <w:vAlign w:val="center"/>
          </w:tcPr>
          <w:p w14:paraId="2CFD60AA">
            <w:pPr>
              <w:pStyle w:val="13"/>
            </w:pPr>
            <w:r>
              <w:t>年度工作计划</w:t>
            </w:r>
          </w:p>
        </w:tc>
      </w:tr>
      <w:tr w14:paraId="45F98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C76E7"/>
        </w:tc>
        <w:tc>
          <w:tcPr>
            <w:tcW w:w="2268" w:type="dxa"/>
            <w:vAlign w:val="center"/>
          </w:tcPr>
          <w:p w14:paraId="7A143DFB">
            <w:pPr>
              <w:pStyle w:val="13"/>
            </w:pPr>
            <w:r>
              <w:t>时效指标</w:t>
            </w:r>
          </w:p>
        </w:tc>
        <w:tc>
          <w:tcPr>
            <w:tcW w:w="2835" w:type="dxa"/>
            <w:vAlign w:val="center"/>
          </w:tcPr>
          <w:p w14:paraId="4EF6B947">
            <w:pPr>
              <w:pStyle w:val="13"/>
            </w:pPr>
            <w:r>
              <w:t>资金支付率</w:t>
            </w:r>
          </w:p>
        </w:tc>
        <w:tc>
          <w:tcPr>
            <w:tcW w:w="5386" w:type="dxa"/>
            <w:vAlign w:val="center"/>
          </w:tcPr>
          <w:p w14:paraId="665E360E">
            <w:pPr>
              <w:pStyle w:val="13"/>
            </w:pPr>
            <w:r>
              <w:t>按照上缴财政进度完成公立幼儿园保育费支付</w:t>
            </w:r>
          </w:p>
        </w:tc>
        <w:tc>
          <w:tcPr>
            <w:tcW w:w="2268" w:type="dxa"/>
            <w:vAlign w:val="center"/>
          </w:tcPr>
          <w:p w14:paraId="2B106AF5">
            <w:pPr>
              <w:pStyle w:val="13"/>
            </w:pPr>
            <w:r>
              <w:t>100%</w:t>
            </w:r>
          </w:p>
        </w:tc>
        <w:tc>
          <w:tcPr>
            <w:tcW w:w="1276" w:type="dxa"/>
            <w:vAlign w:val="center"/>
          </w:tcPr>
          <w:p w14:paraId="1D072888">
            <w:pPr>
              <w:pStyle w:val="13"/>
            </w:pPr>
            <w:r>
              <w:t>年度工作计划</w:t>
            </w:r>
          </w:p>
        </w:tc>
      </w:tr>
      <w:tr w14:paraId="3954B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2B6F4"/>
        </w:tc>
        <w:tc>
          <w:tcPr>
            <w:tcW w:w="2268" w:type="dxa"/>
            <w:vAlign w:val="center"/>
          </w:tcPr>
          <w:p w14:paraId="390D90A1">
            <w:pPr>
              <w:pStyle w:val="13"/>
            </w:pPr>
            <w:r>
              <w:t>成本指标</w:t>
            </w:r>
          </w:p>
        </w:tc>
        <w:tc>
          <w:tcPr>
            <w:tcW w:w="2835" w:type="dxa"/>
            <w:vAlign w:val="center"/>
          </w:tcPr>
          <w:p w14:paraId="4AA26ACA">
            <w:pPr>
              <w:pStyle w:val="13"/>
            </w:pPr>
            <w:r>
              <w:t>公办幼儿园保育费收费标准</w:t>
            </w:r>
          </w:p>
        </w:tc>
        <w:tc>
          <w:tcPr>
            <w:tcW w:w="5386" w:type="dxa"/>
            <w:vAlign w:val="center"/>
          </w:tcPr>
          <w:p w14:paraId="7080B910">
            <w:pPr>
              <w:pStyle w:val="13"/>
            </w:pPr>
            <w:r>
              <w:t>农村示范园170元/月/生、农村一类园150元/月/生、农村二类园130元/月/生</w:t>
            </w:r>
          </w:p>
        </w:tc>
        <w:tc>
          <w:tcPr>
            <w:tcW w:w="2268" w:type="dxa"/>
            <w:vAlign w:val="center"/>
          </w:tcPr>
          <w:p w14:paraId="09C1B07A">
            <w:pPr>
              <w:pStyle w:val="13"/>
            </w:pPr>
            <w:r>
              <w:t>100%</w:t>
            </w:r>
          </w:p>
        </w:tc>
        <w:tc>
          <w:tcPr>
            <w:tcW w:w="1276" w:type="dxa"/>
            <w:vAlign w:val="center"/>
          </w:tcPr>
          <w:p w14:paraId="26EF22CB">
            <w:pPr>
              <w:pStyle w:val="13"/>
            </w:pPr>
            <w:r>
              <w:t>年度工作计划</w:t>
            </w:r>
          </w:p>
        </w:tc>
      </w:tr>
      <w:tr w14:paraId="32BE2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4C1F81">
            <w:pPr>
              <w:pStyle w:val="12"/>
            </w:pPr>
            <w:r>
              <w:t>效益指标</w:t>
            </w:r>
          </w:p>
        </w:tc>
        <w:tc>
          <w:tcPr>
            <w:tcW w:w="2268" w:type="dxa"/>
            <w:vAlign w:val="center"/>
          </w:tcPr>
          <w:p w14:paraId="65903242">
            <w:pPr>
              <w:pStyle w:val="13"/>
            </w:pPr>
            <w:r>
              <w:t>可持续影响指标</w:t>
            </w:r>
          </w:p>
        </w:tc>
        <w:tc>
          <w:tcPr>
            <w:tcW w:w="2835" w:type="dxa"/>
            <w:vAlign w:val="center"/>
          </w:tcPr>
          <w:p w14:paraId="059DD4EA">
            <w:pPr>
              <w:pStyle w:val="13"/>
            </w:pPr>
            <w:r>
              <w:t>幼儿园办园能力提升</w:t>
            </w:r>
          </w:p>
        </w:tc>
        <w:tc>
          <w:tcPr>
            <w:tcW w:w="5386" w:type="dxa"/>
            <w:vAlign w:val="center"/>
          </w:tcPr>
          <w:p w14:paraId="1CB3E93C">
            <w:pPr>
              <w:pStyle w:val="13"/>
            </w:pPr>
            <w:r>
              <w:t>幼儿园办园能力提升情况及教育教学工作等开展的情况</w:t>
            </w:r>
          </w:p>
        </w:tc>
        <w:tc>
          <w:tcPr>
            <w:tcW w:w="2268" w:type="dxa"/>
            <w:vAlign w:val="center"/>
          </w:tcPr>
          <w:p w14:paraId="44362707">
            <w:pPr>
              <w:pStyle w:val="13"/>
            </w:pPr>
            <w:r>
              <w:t>≥100%</w:t>
            </w:r>
          </w:p>
        </w:tc>
        <w:tc>
          <w:tcPr>
            <w:tcW w:w="1276" w:type="dxa"/>
            <w:vAlign w:val="center"/>
          </w:tcPr>
          <w:p w14:paraId="630EA829">
            <w:pPr>
              <w:pStyle w:val="13"/>
            </w:pPr>
            <w:r>
              <w:t>年度工作计划</w:t>
            </w:r>
          </w:p>
        </w:tc>
      </w:tr>
      <w:tr w14:paraId="2CEEB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2F7D7F">
            <w:pPr>
              <w:pStyle w:val="12"/>
            </w:pPr>
            <w:r>
              <w:t>满意度指标</w:t>
            </w:r>
          </w:p>
        </w:tc>
        <w:tc>
          <w:tcPr>
            <w:tcW w:w="2268" w:type="dxa"/>
            <w:vAlign w:val="center"/>
          </w:tcPr>
          <w:p w14:paraId="54D71AFB">
            <w:pPr>
              <w:pStyle w:val="13"/>
            </w:pPr>
            <w:r>
              <w:t>服务对象满意度指标</w:t>
            </w:r>
          </w:p>
        </w:tc>
        <w:tc>
          <w:tcPr>
            <w:tcW w:w="2835" w:type="dxa"/>
            <w:vAlign w:val="center"/>
          </w:tcPr>
          <w:p w14:paraId="4EE8A061">
            <w:pPr>
              <w:pStyle w:val="13"/>
            </w:pPr>
            <w:r>
              <w:t>受益学生家长及调查满意度</w:t>
            </w:r>
          </w:p>
        </w:tc>
        <w:tc>
          <w:tcPr>
            <w:tcW w:w="5386" w:type="dxa"/>
            <w:vAlign w:val="center"/>
          </w:tcPr>
          <w:p w14:paraId="08AA4DAB">
            <w:pPr>
              <w:pStyle w:val="13"/>
            </w:pPr>
            <w:r>
              <w:t>幼儿、教师及家长对学校保教保育工作满意度情况</w:t>
            </w:r>
          </w:p>
        </w:tc>
        <w:tc>
          <w:tcPr>
            <w:tcW w:w="2268" w:type="dxa"/>
            <w:vAlign w:val="center"/>
          </w:tcPr>
          <w:p w14:paraId="0FA09258">
            <w:pPr>
              <w:pStyle w:val="13"/>
            </w:pPr>
            <w:r>
              <w:t>≥95%</w:t>
            </w:r>
          </w:p>
        </w:tc>
        <w:tc>
          <w:tcPr>
            <w:tcW w:w="1276" w:type="dxa"/>
            <w:vAlign w:val="center"/>
          </w:tcPr>
          <w:p w14:paraId="43C76523">
            <w:pPr>
              <w:pStyle w:val="13"/>
            </w:pPr>
            <w:r>
              <w:t>年度工作计划</w:t>
            </w:r>
          </w:p>
        </w:tc>
      </w:tr>
    </w:tbl>
    <w:p w14:paraId="6167E339">
      <w:pPr>
        <w:sectPr>
          <w:pgSz w:w="16840" w:h="11900" w:orient="landscape"/>
          <w:pgMar w:top="1361" w:right="1020" w:bottom="1134" w:left="1020" w:header="720" w:footer="720" w:gutter="0"/>
          <w:cols w:space="720" w:num="1"/>
        </w:sectPr>
      </w:pPr>
    </w:p>
    <w:p w14:paraId="1FB4137F">
      <w:pPr>
        <w:spacing w:before="10" w:after="10" w:line="240" w:lineRule="auto"/>
        <w:ind w:firstLine="640"/>
        <w:jc w:val="left"/>
        <w:outlineLvl w:val="5"/>
      </w:pPr>
      <w:r>
        <w:rPr>
          <w:rFonts w:ascii="黑体" w:hAnsi="黑体" w:eastAsia="黑体" w:cs="黑体"/>
          <w:color w:val="000000"/>
          <w:sz w:val="32"/>
        </w:rPr>
        <w:t>六、政府采购预算情况</w:t>
      </w:r>
    </w:p>
    <w:p w14:paraId="185FBB9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07A0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E387D64">
            <w:pPr>
              <w:pStyle w:val="8"/>
            </w:pPr>
            <w:r>
              <w:t>360027隆尧县莲子镇校区</w:t>
            </w:r>
          </w:p>
        </w:tc>
        <w:tc>
          <w:tcPr>
            <w:tcW w:w="7712" w:type="dxa"/>
            <w:gridSpan w:val="8"/>
            <w:tcBorders>
              <w:top w:val="single" w:color="FFFFFF" w:sz="6" w:space="0"/>
              <w:left w:val="single" w:color="FFFFFF" w:sz="6" w:space="0"/>
              <w:right w:val="single" w:color="FFFFFF" w:sz="6" w:space="0"/>
            </w:tcBorders>
            <w:vAlign w:val="center"/>
          </w:tcPr>
          <w:p w14:paraId="3D3F3E9E">
            <w:pPr>
              <w:pStyle w:val="22"/>
            </w:pPr>
            <w:r>
              <w:t>单位：万元</w:t>
            </w:r>
          </w:p>
        </w:tc>
      </w:tr>
      <w:tr w14:paraId="5CAD8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9C61848">
            <w:pPr>
              <w:pStyle w:val="11"/>
            </w:pPr>
            <w:r>
              <w:t>政府采购项目来源</w:t>
            </w:r>
          </w:p>
        </w:tc>
        <w:tc>
          <w:tcPr>
            <w:tcW w:w="1134" w:type="dxa"/>
            <w:vMerge w:val="restart"/>
            <w:vAlign w:val="center"/>
          </w:tcPr>
          <w:p w14:paraId="0CDA4E96">
            <w:pPr>
              <w:pStyle w:val="11"/>
            </w:pPr>
            <w:r>
              <w:t>采购物品名称</w:t>
            </w:r>
          </w:p>
        </w:tc>
        <w:tc>
          <w:tcPr>
            <w:tcW w:w="1134" w:type="dxa"/>
            <w:vMerge w:val="restart"/>
            <w:vAlign w:val="center"/>
          </w:tcPr>
          <w:p w14:paraId="5FE6472B">
            <w:pPr>
              <w:pStyle w:val="11"/>
            </w:pPr>
            <w:r>
              <w:t>政府采购目录序号</w:t>
            </w:r>
          </w:p>
        </w:tc>
        <w:tc>
          <w:tcPr>
            <w:tcW w:w="709" w:type="dxa"/>
            <w:vMerge w:val="restart"/>
            <w:vAlign w:val="center"/>
          </w:tcPr>
          <w:p w14:paraId="762C24C1">
            <w:pPr>
              <w:pStyle w:val="11"/>
            </w:pPr>
            <w:r>
              <w:t>计量  单位</w:t>
            </w:r>
          </w:p>
        </w:tc>
        <w:tc>
          <w:tcPr>
            <w:tcW w:w="850" w:type="dxa"/>
            <w:vMerge w:val="restart"/>
            <w:vAlign w:val="center"/>
          </w:tcPr>
          <w:p w14:paraId="17585866">
            <w:pPr>
              <w:pStyle w:val="11"/>
            </w:pPr>
            <w:r>
              <w:t>数量</w:t>
            </w:r>
          </w:p>
        </w:tc>
        <w:tc>
          <w:tcPr>
            <w:tcW w:w="850" w:type="dxa"/>
            <w:vMerge w:val="restart"/>
            <w:vAlign w:val="center"/>
          </w:tcPr>
          <w:p w14:paraId="5331A731">
            <w:pPr>
              <w:pStyle w:val="11"/>
            </w:pPr>
            <w:r>
              <w:t>单价</w:t>
            </w:r>
          </w:p>
        </w:tc>
        <w:tc>
          <w:tcPr>
            <w:tcW w:w="6748" w:type="dxa"/>
            <w:gridSpan w:val="7"/>
            <w:vAlign w:val="center"/>
          </w:tcPr>
          <w:p w14:paraId="3C619A69">
            <w:pPr>
              <w:pStyle w:val="11"/>
            </w:pPr>
            <w:r>
              <w:t>政府采购金额（当年部门预算安排资金）</w:t>
            </w:r>
          </w:p>
        </w:tc>
        <w:tc>
          <w:tcPr>
            <w:tcW w:w="964" w:type="dxa"/>
            <w:vMerge w:val="restart"/>
            <w:vAlign w:val="center"/>
          </w:tcPr>
          <w:p w14:paraId="2F39B5A3">
            <w:pPr>
              <w:pStyle w:val="11"/>
            </w:pPr>
            <w:r>
              <w:t>2025年  预留中  小微企  业份额</w:t>
            </w:r>
          </w:p>
        </w:tc>
      </w:tr>
      <w:tr w14:paraId="478EF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76DC2E8">
            <w:pPr>
              <w:pStyle w:val="11"/>
            </w:pPr>
            <w:r>
              <w:t>项目名称</w:t>
            </w:r>
          </w:p>
        </w:tc>
        <w:tc>
          <w:tcPr>
            <w:tcW w:w="964" w:type="dxa"/>
            <w:vAlign w:val="center"/>
          </w:tcPr>
          <w:p w14:paraId="48FC6BCC">
            <w:pPr>
              <w:pStyle w:val="11"/>
            </w:pPr>
            <w:r>
              <w:t>预算    资金</w:t>
            </w:r>
          </w:p>
        </w:tc>
        <w:tc>
          <w:tcPr>
            <w:tcW w:w="1134" w:type="dxa"/>
            <w:vMerge w:val="continue"/>
          </w:tcPr>
          <w:p w14:paraId="1B70502B"/>
        </w:tc>
        <w:tc>
          <w:tcPr>
            <w:tcW w:w="1134" w:type="dxa"/>
            <w:vMerge w:val="continue"/>
          </w:tcPr>
          <w:p w14:paraId="0BA8FAE7"/>
        </w:tc>
        <w:tc>
          <w:tcPr>
            <w:tcW w:w="709" w:type="dxa"/>
            <w:vMerge w:val="continue"/>
          </w:tcPr>
          <w:p w14:paraId="3D89ACF4"/>
        </w:tc>
        <w:tc>
          <w:tcPr>
            <w:tcW w:w="850" w:type="dxa"/>
            <w:vMerge w:val="continue"/>
          </w:tcPr>
          <w:p w14:paraId="004727E0"/>
        </w:tc>
        <w:tc>
          <w:tcPr>
            <w:tcW w:w="850" w:type="dxa"/>
            <w:vMerge w:val="continue"/>
          </w:tcPr>
          <w:p w14:paraId="4D79055B"/>
        </w:tc>
        <w:tc>
          <w:tcPr>
            <w:tcW w:w="964" w:type="dxa"/>
            <w:vAlign w:val="center"/>
          </w:tcPr>
          <w:p w14:paraId="384CF95E">
            <w:pPr>
              <w:pStyle w:val="11"/>
            </w:pPr>
            <w:r>
              <w:t>合计</w:t>
            </w:r>
          </w:p>
        </w:tc>
        <w:tc>
          <w:tcPr>
            <w:tcW w:w="964" w:type="dxa"/>
            <w:vAlign w:val="center"/>
          </w:tcPr>
          <w:p w14:paraId="47B8F762">
            <w:pPr>
              <w:pStyle w:val="11"/>
            </w:pPr>
            <w:r>
              <w:t>一般公共预算拨款</w:t>
            </w:r>
          </w:p>
        </w:tc>
        <w:tc>
          <w:tcPr>
            <w:tcW w:w="964" w:type="dxa"/>
            <w:vAlign w:val="center"/>
          </w:tcPr>
          <w:p w14:paraId="4FA90159">
            <w:pPr>
              <w:pStyle w:val="11"/>
            </w:pPr>
            <w:r>
              <w:t>基金预算拨款</w:t>
            </w:r>
          </w:p>
        </w:tc>
        <w:tc>
          <w:tcPr>
            <w:tcW w:w="964" w:type="dxa"/>
            <w:vAlign w:val="center"/>
          </w:tcPr>
          <w:p w14:paraId="4BFE43F6">
            <w:pPr>
              <w:pStyle w:val="11"/>
            </w:pPr>
            <w:r>
              <w:t>国有资本经营预算拨款</w:t>
            </w:r>
          </w:p>
        </w:tc>
        <w:tc>
          <w:tcPr>
            <w:tcW w:w="964" w:type="dxa"/>
            <w:vAlign w:val="center"/>
          </w:tcPr>
          <w:p w14:paraId="3948FCB4">
            <w:pPr>
              <w:pStyle w:val="11"/>
            </w:pPr>
            <w:r>
              <w:t>财政专户核拨</w:t>
            </w:r>
          </w:p>
        </w:tc>
        <w:tc>
          <w:tcPr>
            <w:tcW w:w="964" w:type="dxa"/>
            <w:vAlign w:val="center"/>
          </w:tcPr>
          <w:p w14:paraId="73D01FC6">
            <w:pPr>
              <w:pStyle w:val="11"/>
            </w:pPr>
            <w:r>
              <w:t>单位    资金</w:t>
            </w:r>
          </w:p>
        </w:tc>
        <w:tc>
          <w:tcPr>
            <w:tcW w:w="964" w:type="dxa"/>
            <w:vAlign w:val="center"/>
          </w:tcPr>
          <w:p w14:paraId="5F513DBB">
            <w:pPr>
              <w:pStyle w:val="11"/>
            </w:pPr>
            <w:r>
              <w:t>上年结转结余</w:t>
            </w:r>
          </w:p>
        </w:tc>
        <w:tc>
          <w:tcPr>
            <w:tcW w:w="964" w:type="dxa"/>
            <w:vMerge w:val="continue"/>
          </w:tcPr>
          <w:p w14:paraId="587F9289"/>
        </w:tc>
      </w:tr>
      <w:tr w14:paraId="5168D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74E068">
            <w:pPr>
              <w:pStyle w:val="15"/>
            </w:pPr>
            <w:r>
              <w:t>合  计</w:t>
            </w:r>
          </w:p>
        </w:tc>
        <w:tc>
          <w:tcPr>
            <w:tcW w:w="964" w:type="dxa"/>
            <w:vAlign w:val="center"/>
          </w:tcPr>
          <w:p w14:paraId="3A5A6C1A">
            <w:pPr>
              <w:pStyle w:val="16"/>
            </w:pPr>
          </w:p>
        </w:tc>
        <w:tc>
          <w:tcPr>
            <w:tcW w:w="1134" w:type="dxa"/>
            <w:vAlign w:val="center"/>
          </w:tcPr>
          <w:p w14:paraId="24164D5E">
            <w:pPr>
              <w:pStyle w:val="17"/>
            </w:pPr>
          </w:p>
        </w:tc>
        <w:tc>
          <w:tcPr>
            <w:tcW w:w="1134" w:type="dxa"/>
            <w:vAlign w:val="center"/>
          </w:tcPr>
          <w:p w14:paraId="7423F1A7">
            <w:pPr>
              <w:pStyle w:val="17"/>
            </w:pPr>
          </w:p>
        </w:tc>
        <w:tc>
          <w:tcPr>
            <w:tcW w:w="709" w:type="dxa"/>
            <w:vAlign w:val="center"/>
          </w:tcPr>
          <w:p w14:paraId="41CB7E24">
            <w:pPr>
              <w:pStyle w:val="15"/>
            </w:pPr>
          </w:p>
        </w:tc>
        <w:tc>
          <w:tcPr>
            <w:tcW w:w="850" w:type="dxa"/>
            <w:vAlign w:val="center"/>
          </w:tcPr>
          <w:p w14:paraId="453E8C29">
            <w:pPr>
              <w:pStyle w:val="16"/>
            </w:pPr>
          </w:p>
        </w:tc>
        <w:tc>
          <w:tcPr>
            <w:tcW w:w="850" w:type="dxa"/>
            <w:vAlign w:val="center"/>
          </w:tcPr>
          <w:p w14:paraId="24843870">
            <w:pPr>
              <w:pStyle w:val="16"/>
            </w:pPr>
          </w:p>
        </w:tc>
        <w:tc>
          <w:tcPr>
            <w:tcW w:w="964" w:type="dxa"/>
            <w:vAlign w:val="center"/>
          </w:tcPr>
          <w:p w14:paraId="36D94A80">
            <w:pPr>
              <w:pStyle w:val="16"/>
            </w:pPr>
            <w:r>
              <w:t>7.67</w:t>
            </w:r>
          </w:p>
        </w:tc>
        <w:tc>
          <w:tcPr>
            <w:tcW w:w="964" w:type="dxa"/>
            <w:vAlign w:val="center"/>
          </w:tcPr>
          <w:p w14:paraId="1772EE9B">
            <w:pPr>
              <w:pStyle w:val="16"/>
            </w:pPr>
            <w:r>
              <w:t>7.67</w:t>
            </w:r>
          </w:p>
        </w:tc>
        <w:tc>
          <w:tcPr>
            <w:tcW w:w="964" w:type="dxa"/>
            <w:vAlign w:val="center"/>
          </w:tcPr>
          <w:p w14:paraId="62F48B2B">
            <w:pPr>
              <w:pStyle w:val="16"/>
            </w:pPr>
          </w:p>
        </w:tc>
        <w:tc>
          <w:tcPr>
            <w:tcW w:w="964" w:type="dxa"/>
            <w:vAlign w:val="center"/>
          </w:tcPr>
          <w:p w14:paraId="175576B3">
            <w:pPr>
              <w:pStyle w:val="16"/>
            </w:pPr>
          </w:p>
        </w:tc>
        <w:tc>
          <w:tcPr>
            <w:tcW w:w="964" w:type="dxa"/>
            <w:vAlign w:val="center"/>
          </w:tcPr>
          <w:p w14:paraId="3EB7B71D">
            <w:pPr>
              <w:pStyle w:val="16"/>
            </w:pPr>
          </w:p>
        </w:tc>
        <w:tc>
          <w:tcPr>
            <w:tcW w:w="964" w:type="dxa"/>
            <w:vAlign w:val="center"/>
          </w:tcPr>
          <w:p w14:paraId="2ECD2848">
            <w:pPr>
              <w:pStyle w:val="16"/>
            </w:pPr>
          </w:p>
        </w:tc>
        <w:tc>
          <w:tcPr>
            <w:tcW w:w="964" w:type="dxa"/>
            <w:vAlign w:val="center"/>
          </w:tcPr>
          <w:p w14:paraId="3D14BF81">
            <w:pPr>
              <w:pStyle w:val="16"/>
            </w:pPr>
          </w:p>
        </w:tc>
        <w:tc>
          <w:tcPr>
            <w:tcW w:w="964" w:type="dxa"/>
            <w:vAlign w:val="center"/>
          </w:tcPr>
          <w:p w14:paraId="22ABF56F">
            <w:pPr>
              <w:pStyle w:val="16"/>
            </w:pPr>
            <w:r>
              <w:t>7.67</w:t>
            </w:r>
          </w:p>
        </w:tc>
      </w:tr>
      <w:tr w14:paraId="13C5F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8016E2">
            <w:pPr>
              <w:pStyle w:val="15"/>
            </w:pPr>
            <w:r>
              <w:t>隆尧县莲子镇校区小计</w:t>
            </w:r>
          </w:p>
        </w:tc>
        <w:tc>
          <w:tcPr>
            <w:tcW w:w="964" w:type="dxa"/>
            <w:vAlign w:val="center"/>
          </w:tcPr>
          <w:p w14:paraId="6EC8163F">
            <w:pPr>
              <w:pStyle w:val="16"/>
            </w:pPr>
          </w:p>
        </w:tc>
        <w:tc>
          <w:tcPr>
            <w:tcW w:w="1134" w:type="dxa"/>
            <w:vAlign w:val="center"/>
          </w:tcPr>
          <w:p w14:paraId="1A26351D">
            <w:pPr>
              <w:pStyle w:val="17"/>
            </w:pPr>
          </w:p>
        </w:tc>
        <w:tc>
          <w:tcPr>
            <w:tcW w:w="1134" w:type="dxa"/>
            <w:vAlign w:val="center"/>
          </w:tcPr>
          <w:p w14:paraId="70C6D19C">
            <w:pPr>
              <w:pStyle w:val="17"/>
            </w:pPr>
          </w:p>
        </w:tc>
        <w:tc>
          <w:tcPr>
            <w:tcW w:w="709" w:type="dxa"/>
            <w:vAlign w:val="center"/>
          </w:tcPr>
          <w:p w14:paraId="45F50AB1">
            <w:pPr>
              <w:pStyle w:val="15"/>
            </w:pPr>
          </w:p>
        </w:tc>
        <w:tc>
          <w:tcPr>
            <w:tcW w:w="850" w:type="dxa"/>
            <w:vAlign w:val="center"/>
          </w:tcPr>
          <w:p w14:paraId="26285812">
            <w:pPr>
              <w:pStyle w:val="16"/>
            </w:pPr>
          </w:p>
        </w:tc>
        <w:tc>
          <w:tcPr>
            <w:tcW w:w="850" w:type="dxa"/>
            <w:vAlign w:val="center"/>
          </w:tcPr>
          <w:p w14:paraId="12B96046">
            <w:pPr>
              <w:pStyle w:val="16"/>
            </w:pPr>
          </w:p>
        </w:tc>
        <w:tc>
          <w:tcPr>
            <w:tcW w:w="964" w:type="dxa"/>
            <w:vAlign w:val="center"/>
          </w:tcPr>
          <w:p w14:paraId="1F4BAAB3">
            <w:pPr>
              <w:pStyle w:val="16"/>
            </w:pPr>
            <w:r>
              <w:t>7.67</w:t>
            </w:r>
          </w:p>
        </w:tc>
        <w:tc>
          <w:tcPr>
            <w:tcW w:w="964" w:type="dxa"/>
            <w:vAlign w:val="center"/>
          </w:tcPr>
          <w:p w14:paraId="69C826E2">
            <w:pPr>
              <w:pStyle w:val="16"/>
            </w:pPr>
            <w:r>
              <w:t>7.67</w:t>
            </w:r>
          </w:p>
        </w:tc>
        <w:tc>
          <w:tcPr>
            <w:tcW w:w="964" w:type="dxa"/>
            <w:vAlign w:val="center"/>
          </w:tcPr>
          <w:p w14:paraId="26ACC3F9">
            <w:pPr>
              <w:pStyle w:val="16"/>
            </w:pPr>
          </w:p>
        </w:tc>
        <w:tc>
          <w:tcPr>
            <w:tcW w:w="964" w:type="dxa"/>
            <w:vAlign w:val="center"/>
          </w:tcPr>
          <w:p w14:paraId="31919370">
            <w:pPr>
              <w:pStyle w:val="16"/>
            </w:pPr>
          </w:p>
        </w:tc>
        <w:tc>
          <w:tcPr>
            <w:tcW w:w="964" w:type="dxa"/>
            <w:vAlign w:val="center"/>
          </w:tcPr>
          <w:p w14:paraId="18254605">
            <w:pPr>
              <w:pStyle w:val="16"/>
            </w:pPr>
          </w:p>
        </w:tc>
        <w:tc>
          <w:tcPr>
            <w:tcW w:w="964" w:type="dxa"/>
            <w:vAlign w:val="center"/>
          </w:tcPr>
          <w:p w14:paraId="3E6FF61B">
            <w:pPr>
              <w:pStyle w:val="16"/>
            </w:pPr>
          </w:p>
        </w:tc>
        <w:tc>
          <w:tcPr>
            <w:tcW w:w="964" w:type="dxa"/>
            <w:vAlign w:val="center"/>
          </w:tcPr>
          <w:p w14:paraId="59679BA7">
            <w:pPr>
              <w:pStyle w:val="16"/>
            </w:pPr>
          </w:p>
        </w:tc>
        <w:tc>
          <w:tcPr>
            <w:tcW w:w="964" w:type="dxa"/>
            <w:vAlign w:val="center"/>
          </w:tcPr>
          <w:p w14:paraId="194BD623">
            <w:pPr>
              <w:pStyle w:val="16"/>
            </w:pPr>
            <w:r>
              <w:t>7.67</w:t>
            </w:r>
          </w:p>
        </w:tc>
      </w:tr>
      <w:tr w14:paraId="7404F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A2E548">
            <w:pPr>
              <w:pStyle w:val="13"/>
            </w:pPr>
            <w:r>
              <w:t>冀财教[2024]123号/中央/2025年义教补助经费/白家寨小学公用经费</w:t>
            </w:r>
          </w:p>
        </w:tc>
        <w:tc>
          <w:tcPr>
            <w:tcW w:w="964" w:type="dxa"/>
            <w:vAlign w:val="center"/>
          </w:tcPr>
          <w:p w14:paraId="5346F11F">
            <w:pPr>
              <w:pStyle w:val="14"/>
            </w:pPr>
            <w:r>
              <w:t>25.33</w:t>
            </w:r>
          </w:p>
        </w:tc>
        <w:tc>
          <w:tcPr>
            <w:tcW w:w="1134" w:type="dxa"/>
            <w:vAlign w:val="center"/>
          </w:tcPr>
          <w:p w14:paraId="5065D4C1">
            <w:pPr>
              <w:pStyle w:val="13"/>
            </w:pPr>
            <w:r>
              <w:t>空调机</w:t>
            </w:r>
          </w:p>
        </w:tc>
        <w:tc>
          <w:tcPr>
            <w:tcW w:w="1134" w:type="dxa"/>
            <w:vAlign w:val="center"/>
          </w:tcPr>
          <w:p w14:paraId="55D7EB58">
            <w:pPr>
              <w:pStyle w:val="13"/>
            </w:pPr>
            <w:r>
              <w:t>A02061804</w:t>
            </w:r>
          </w:p>
        </w:tc>
        <w:tc>
          <w:tcPr>
            <w:tcW w:w="709" w:type="dxa"/>
            <w:vAlign w:val="center"/>
          </w:tcPr>
          <w:p w14:paraId="32D36378">
            <w:pPr>
              <w:pStyle w:val="12"/>
            </w:pPr>
            <w:r>
              <w:t>台</w:t>
            </w:r>
          </w:p>
        </w:tc>
        <w:tc>
          <w:tcPr>
            <w:tcW w:w="850" w:type="dxa"/>
            <w:vAlign w:val="center"/>
          </w:tcPr>
          <w:p w14:paraId="690435E9">
            <w:pPr>
              <w:pStyle w:val="14"/>
            </w:pPr>
            <w:r>
              <w:t>1</w:t>
            </w:r>
          </w:p>
        </w:tc>
        <w:tc>
          <w:tcPr>
            <w:tcW w:w="850" w:type="dxa"/>
            <w:vAlign w:val="center"/>
          </w:tcPr>
          <w:p w14:paraId="096B3C83">
            <w:pPr>
              <w:pStyle w:val="14"/>
            </w:pPr>
            <w:r>
              <w:t>0.52</w:t>
            </w:r>
          </w:p>
        </w:tc>
        <w:tc>
          <w:tcPr>
            <w:tcW w:w="964" w:type="dxa"/>
            <w:vAlign w:val="center"/>
          </w:tcPr>
          <w:p w14:paraId="23B88957">
            <w:pPr>
              <w:pStyle w:val="14"/>
            </w:pPr>
            <w:r>
              <w:t>0.52</w:t>
            </w:r>
          </w:p>
        </w:tc>
        <w:tc>
          <w:tcPr>
            <w:tcW w:w="964" w:type="dxa"/>
            <w:vAlign w:val="center"/>
          </w:tcPr>
          <w:p w14:paraId="16963BCF">
            <w:pPr>
              <w:pStyle w:val="14"/>
            </w:pPr>
            <w:r>
              <w:t>0.52</w:t>
            </w:r>
          </w:p>
        </w:tc>
        <w:tc>
          <w:tcPr>
            <w:tcW w:w="964" w:type="dxa"/>
            <w:vAlign w:val="center"/>
          </w:tcPr>
          <w:p w14:paraId="1B3B8928">
            <w:pPr>
              <w:pStyle w:val="14"/>
            </w:pPr>
          </w:p>
        </w:tc>
        <w:tc>
          <w:tcPr>
            <w:tcW w:w="964" w:type="dxa"/>
            <w:vAlign w:val="center"/>
          </w:tcPr>
          <w:p w14:paraId="5445118E">
            <w:pPr>
              <w:pStyle w:val="14"/>
            </w:pPr>
          </w:p>
        </w:tc>
        <w:tc>
          <w:tcPr>
            <w:tcW w:w="964" w:type="dxa"/>
            <w:vAlign w:val="center"/>
          </w:tcPr>
          <w:p w14:paraId="73877AAD">
            <w:pPr>
              <w:pStyle w:val="14"/>
            </w:pPr>
          </w:p>
        </w:tc>
        <w:tc>
          <w:tcPr>
            <w:tcW w:w="964" w:type="dxa"/>
            <w:vAlign w:val="center"/>
          </w:tcPr>
          <w:p w14:paraId="1589378E">
            <w:pPr>
              <w:pStyle w:val="14"/>
            </w:pPr>
          </w:p>
        </w:tc>
        <w:tc>
          <w:tcPr>
            <w:tcW w:w="964" w:type="dxa"/>
            <w:vAlign w:val="center"/>
          </w:tcPr>
          <w:p w14:paraId="74DD6971">
            <w:pPr>
              <w:pStyle w:val="14"/>
            </w:pPr>
          </w:p>
        </w:tc>
        <w:tc>
          <w:tcPr>
            <w:tcW w:w="964" w:type="dxa"/>
            <w:vAlign w:val="center"/>
          </w:tcPr>
          <w:p w14:paraId="56F080B1">
            <w:pPr>
              <w:pStyle w:val="14"/>
            </w:pPr>
            <w:r>
              <w:t>0.52</w:t>
            </w:r>
          </w:p>
        </w:tc>
      </w:tr>
      <w:tr w14:paraId="55880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EA969D">
            <w:pPr>
              <w:pStyle w:val="13"/>
            </w:pPr>
            <w:r>
              <w:t>冀财教[2024]123号/中央/2025年义教补助经费/白家寨小学公用经费</w:t>
            </w:r>
          </w:p>
        </w:tc>
        <w:tc>
          <w:tcPr>
            <w:tcW w:w="964" w:type="dxa"/>
            <w:vAlign w:val="center"/>
          </w:tcPr>
          <w:p w14:paraId="400D0EC6">
            <w:pPr>
              <w:pStyle w:val="14"/>
            </w:pPr>
            <w:r>
              <w:t>25.33</w:t>
            </w:r>
          </w:p>
        </w:tc>
        <w:tc>
          <w:tcPr>
            <w:tcW w:w="1134" w:type="dxa"/>
            <w:vAlign w:val="center"/>
          </w:tcPr>
          <w:p w14:paraId="4FDF631D">
            <w:pPr>
              <w:pStyle w:val="13"/>
            </w:pPr>
            <w:r>
              <w:t>书柜</w:t>
            </w:r>
          </w:p>
        </w:tc>
        <w:tc>
          <w:tcPr>
            <w:tcW w:w="1134" w:type="dxa"/>
            <w:vAlign w:val="center"/>
          </w:tcPr>
          <w:p w14:paraId="35097146">
            <w:pPr>
              <w:pStyle w:val="13"/>
            </w:pPr>
            <w:r>
              <w:t>A05010501</w:t>
            </w:r>
          </w:p>
        </w:tc>
        <w:tc>
          <w:tcPr>
            <w:tcW w:w="709" w:type="dxa"/>
            <w:vAlign w:val="center"/>
          </w:tcPr>
          <w:p w14:paraId="1FD8CD64">
            <w:pPr>
              <w:pStyle w:val="12"/>
            </w:pPr>
            <w:r>
              <w:t>组</w:t>
            </w:r>
          </w:p>
        </w:tc>
        <w:tc>
          <w:tcPr>
            <w:tcW w:w="850" w:type="dxa"/>
            <w:vAlign w:val="center"/>
          </w:tcPr>
          <w:p w14:paraId="4B5D3961">
            <w:pPr>
              <w:pStyle w:val="14"/>
            </w:pPr>
            <w:r>
              <w:t>30</w:t>
            </w:r>
          </w:p>
        </w:tc>
        <w:tc>
          <w:tcPr>
            <w:tcW w:w="850" w:type="dxa"/>
            <w:vAlign w:val="center"/>
          </w:tcPr>
          <w:p w14:paraId="0DEAB928">
            <w:pPr>
              <w:pStyle w:val="14"/>
            </w:pPr>
            <w:r>
              <w:t>0.05</w:t>
            </w:r>
          </w:p>
        </w:tc>
        <w:tc>
          <w:tcPr>
            <w:tcW w:w="964" w:type="dxa"/>
            <w:vAlign w:val="center"/>
          </w:tcPr>
          <w:p w14:paraId="5D9BA2BA">
            <w:pPr>
              <w:pStyle w:val="14"/>
            </w:pPr>
            <w:r>
              <w:t>1.43</w:t>
            </w:r>
          </w:p>
        </w:tc>
        <w:tc>
          <w:tcPr>
            <w:tcW w:w="964" w:type="dxa"/>
            <w:vAlign w:val="center"/>
          </w:tcPr>
          <w:p w14:paraId="37D23AC9">
            <w:pPr>
              <w:pStyle w:val="14"/>
            </w:pPr>
            <w:r>
              <w:t>1.43</w:t>
            </w:r>
          </w:p>
        </w:tc>
        <w:tc>
          <w:tcPr>
            <w:tcW w:w="964" w:type="dxa"/>
            <w:vAlign w:val="center"/>
          </w:tcPr>
          <w:p w14:paraId="6EA3817C">
            <w:pPr>
              <w:pStyle w:val="14"/>
            </w:pPr>
          </w:p>
        </w:tc>
        <w:tc>
          <w:tcPr>
            <w:tcW w:w="964" w:type="dxa"/>
            <w:vAlign w:val="center"/>
          </w:tcPr>
          <w:p w14:paraId="5EEE3C29">
            <w:pPr>
              <w:pStyle w:val="14"/>
            </w:pPr>
          </w:p>
        </w:tc>
        <w:tc>
          <w:tcPr>
            <w:tcW w:w="964" w:type="dxa"/>
            <w:vAlign w:val="center"/>
          </w:tcPr>
          <w:p w14:paraId="70AEEAAA">
            <w:pPr>
              <w:pStyle w:val="14"/>
            </w:pPr>
          </w:p>
        </w:tc>
        <w:tc>
          <w:tcPr>
            <w:tcW w:w="964" w:type="dxa"/>
            <w:vAlign w:val="center"/>
          </w:tcPr>
          <w:p w14:paraId="534B2E37">
            <w:pPr>
              <w:pStyle w:val="14"/>
            </w:pPr>
          </w:p>
        </w:tc>
        <w:tc>
          <w:tcPr>
            <w:tcW w:w="964" w:type="dxa"/>
            <w:vAlign w:val="center"/>
          </w:tcPr>
          <w:p w14:paraId="0ED8A066">
            <w:pPr>
              <w:pStyle w:val="14"/>
            </w:pPr>
          </w:p>
        </w:tc>
        <w:tc>
          <w:tcPr>
            <w:tcW w:w="964" w:type="dxa"/>
            <w:vAlign w:val="center"/>
          </w:tcPr>
          <w:p w14:paraId="08DEC237">
            <w:pPr>
              <w:pStyle w:val="14"/>
            </w:pPr>
            <w:r>
              <w:t>1.43</w:t>
            </w:r>
          </w:p>
        </w:tc>
      </w:tr>
      <w:tr w14:paraId="3BFB2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754D478">
            <w:pPr>
              <w:pStyle w:val="13"/>
            </w:pPr>
            <w:r>
              <w:t>冀财教[2024]123号/中央/2025年义教补助经费/白家寨小学公用经费</w:t>
            </w:r>
          </w:p>
        </w:tc>
        <w:tc>
          <w:tcPr>
            <w:tcW w:w="964" w:type="dxa"/>
            <w:vAlign w:val="center"/>
          </w:tcPr>
          <w:p w14:paraId="1D648CA2">
            <w:pPr>
              <w:pStyle w:val="14"/>
            </w:pPr>
            <w:r>
              <w:t>25.33</w:t>
            </w:r>
          </w:p>
        </w:tc>
        <w:tc>
          <w:tcPr>
            <w:tcW w:w="1134" w:type="dxa"/>
            <w:vAlign w:val="center"/>
          </w:tcPr>
          <w:p w14:paraId="58352947">
            <w:pPr>
              <w:pStyle w:val="13"/>
            </w:pPr>
            <w:r>
              <w:t>书柜</w:t>
            </w:r>
          </w:p>
        </w:tc>
        <w:tc>
          <w:tcPr>
            <w:tcW w:w="1134" w:type="dxa"/>
            <w:vAlign w:val="center"/>
          </w:tcPr>
          <w:p w14:paraId="4E59C2A4">
            <w:pPr>
              <w:pStyle w:val="13"/>
            </w:pPr>
            <w:r>
              <w:t>A05010501</w:t>
            </w:r>
          </w:p>
        </w:tc>
        <w:tc>
          <w:tcPr>
            <w:tcW w:w="709" w:type="dxa"/>
            <w:vAlign w:val="center"/>
          </w:tcPr>
          <w:p w14:paraId="208BD6B7">
            <w:pPr>
              <w:pStyle w:val="12"/>
            </w:pPr>
            <w:r>
              <w:t>组</w:t>
            </w:r>
          </w:p>
        </w:tc>
        <w:tc>
          <w:tcPr>
            <w:tcW w:w="850" w:type="dxa"/>
            <w:vAlign w:val="center"/>
          </w:tcPr>
          <w:p w14:paraId="2432698C">
            <w:pPr>
              <w:pStyle w:val="14"/>
            </w:pPr>
            <w:r>
              <w:t>2</w:t>
            </w:r>
          </w:p>
        </w:tc>
        <w:tc>
          <w:tcPr>
            <w:tcW w:w="850" w:type="dxa"/>
            <w:vAlign w:val="center"/>
          </w:tcPr>
          <w:p w14:paraId="2D3F17BF">
            <w:pPr>
              <w:pStyle w:val="14"/>
            </w:pPr>
            <w:r>
              <w:t>0.04</w:t>
            </w:r>
          </w:p>
        </w:tc>
        <w:tc>
          <w:tcPr>
            <w:tcW w:w="964" w:type="dxa"/>
            <w:vAlign w:val="center"/>
          </w:tcPr>
          <w:p w14:paraId="712F9260">
            <w:pPr>
              <w:pStyle w:val="14"/>
            </w:pPr>
            <w:r>
              <w:t>0.08</w:t>
            </w:r>
          </w:p>
        </w:tc>
        <w:tc>
          <w:tcPr>
            <w:tcW w:w="964" w:type="dxa"/>
            <w:vAlign w:val="center"/>
          </w:tcPr>
          <w:p w14:paraId="38CFE12C">
            <w:pPr>
              <w:pStyle w:val="14"/>
            </w:pPr>
            <w:r>
              <w:t>0.08</w:t>
            </w:r>
          </w:p>
        </w:tc>
        <w:tc>
          <w:tcPr>
            <w:tcW w:w="964" w:type="dxa"/>
            <w:vAlign w:val="center"/>
          </w:tcPr>
          <w:p w14:paraId="52FE7B0D">
            <w:pPr>
              <w:pStyle w:val="14"/>
            </w:pPr>
          </w:p>
        </w:tc>
        <w:tc>
          <w:tcPr>
            <w:tcW w:w="964" w:type="dxa"/>
            <w:vAlign w:val="center"/>
          </w:tcPr>
          <w:p w14:paraId="56A14665">
            <w:pPr>
              <w:pStyle w:val="14"/>
            </w:pPr>
          </w:p>
        </w:tc>
        <w:tc>
          <w:tcPr>
            <w:tcW w:w="964" w:type="dxa"/>
            <w:vAlign w:val="center"/>
          </w:tcPr>
          <w:p w14:paraId="1D3B5328">
            <w:pPr>
              <w:pStyle w:val="14"/>
            </w:pPr>
          </w:p>
        </w:tc>
        <w:tc>
          <w:tcPr>
            <w:tcW w:w="964" w:type="dxa"/>
            <w:vAlign w:val="center"/>
          </w:tcPr>
          <w:p w14:paraId="13CE1AE4">
            <w:pPr>
              <w:pStyle w:val="14"/>
            </w:pPr>
          </w:p>
        </w:tc>
        <w:tc>
          <w:tcPr>
            <w:tcW w:w="964" w:type="dxa"/>
            <w:vAlign w:val="center"/>
          </w:tcPr>
          <w:p w14:paraId="44776CD9">
            <w:pPr>
              <w:pStyle w:val="14"/>
            </w:pPr>
          </w:p>
        </w:tc>
        <w:tc>
          <w:tcPr>
            <w:tcW w:w="964" w:type="dxa"/>
            <w:vAlign w:val="center"/>
          </w:tcPr>
          <w:p w14:paraId="0B4F793A">
            <w:pPr>
              <w:pStyle w:val="14"/>
            </w:pPr>
            <w:r>
              <w:t>0.08</w:t>
            </w:r>
          </w:p>
        </w:tc>
      </w:tr>
      <w:tr w14:paraId="10F1F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FFF37A">
            <w:pPr>
              <w:pStyle w:val="13"/>
            </w:pPr>
            <w:r>
              <w:t>冀财教[2024]123号/中央/2025年义教补助经费/莲子镇小学公用经费</w:t>
            </w:r>
          </w:p>
        </w:tc>
        <w:tc>
          <w:tcPr>
            <w:tcW w:w="964" w:type="dxa"/>
            <w:vAlign w:val="center"/>
          </w:tcPr>
          <w:p w14:paraId="28CF634B">
            <w:pPr>
              <w:pStyle w:val="14"/>
            </w:pPr>
            <w:r>
              <w:t>44.47</w:t>
            </w:r>
          </w:p>
        </w:tc>
        <w:tc>
          <w:tcPr>
            <w:tcW w:w="1134" w:type="dxa"/>
            <w:vAlign w:val="center"/>
          </w:tcPr>
          <w:p w14:paraId="47C0E17C">
            <w:pPr>
              <w:pStyle w:val="13"/>
            </w:pPr>
            <w:r>
              <w:t>A4 黑白打印机</w:t>
            </w:r>
          </w:p>
        </w:tc>
        <w:tc>
          <w:tcPr>
            <w:tcW w:w="1134" w:type="dxa"/>
            <w:vAlign w:val="center"/>
          </w:tcPr>
          <w:p w14:paraId="33319AA3">
            <w:pPr>
              <w:pStyle w:val="13"/>
            </w:pPr>
            <w:r>
              <w:t>A02021003</w:t>
            </w:r>
          </w:p>
        </w:tc>
        <w:tc>
          <w:tcPr>
            <w:tcW w:w="709" w:type="dxa"/>
            <w:vAlign w:val="center"/>
          </w:tcPr>
          <w:p w14:paraId="020045E7">
            <w:pPr>
              <w:pStyle w:val="12"/>
            </w:pPr>
            <w:r>
              <w:t>台</w:t>
            </w:r>
          </w:p>
        </w:tc>
        <w:tc>
          <w:tcPr>
            <w:tcW w:w="850" w:type="dxa"/>
            <w:vAlign w:val="center"/>
          </w:tcPr>
          <w:p w14:paraId="6C8C7205">
            <w:pPr>
              <w:pStyle w:val="14"/>
            </w:pPr>
            <w:r>
              <w:t>2</w:t>
            </w:r>
          </w:p>
        </w:tc>
        <w:tc>
          <w:tcPr>
            <w:tcW w:w="850" w:type="dxa"/>
            <w:vAlign w:val="center"/>
          </w:tcPr>
          <w:p w14:paraId="749CC598">
            <w:pPr>
              <w:pStyle w:val="14"/>
            </w:pPr>
            <w:r>
              <w:t>0.18</w:t>
            </w:r>
          </w:p>
        </w:tc>
        <w:tc>
          <w:tcPr>
            <w:tcW w:w="964" w:type="dxa"/>
            <w:vAlign w:val="center"/>
          </w:tcPr>
          <w:p w14:paraId="1B48524D">
            <w:pPr>
              <w:pStyle w:val="14"/>
            </w:pPr>
            <w:r>
              <w:t>0.36</w:t>
            </w:r>
          </w:p>
        </w:tc>
        <w:tc>
          <w:tcPr>
            <w:tcW w:w="964" w:type="dxa"/>
            <w:vAlign w:val="center"/>
          </w:tcPr>
          <w:p w14:paraId="160139C8">
            <w:pPr>
              <w:pStyle w:val="14"/>
            </w:pPr>
            <w:r>
              <w:t>0.36</w:t>
            </w:r>
          </w:p>
        </w:tc>
        <w:tc>
          <w:tcPr>
            <w:tcW w:w="964" w:type="dxa"/>
            <w:vAlign w:val="center"/>
          </w:tcPr>
          <w:p w14:paraId="21177DEC">
            <w:pPr>
              <w:pStyle w:val="14"/>
            </w:pPr>
          </w:p>
        </w:tc>
        <w:tc>
          <w:tcPr>
            <w:tcW w:w="964" w:type="dxa"/>
            <w:vAlign w:val="center"/>
          </w:tcPr>
          <w:p w14:paraId="0A516F53">
            <w:pPr>
              <w:pStyle w:val="14"/>
            </w:pPr>
          </w:p>
        </w:tc>
        <w:tc>
          <w:tcPr>
            <w:tcW w:w="964" w:type="dxa"/>
            <w:vAlign w:val="center"/>
          </w:tcPr>
          <w:p w14:paraId="5ABDFFDF">
            <w:pPr>
              <w:pStyle w:val="14"/>
            </w:pPr>
          </w:p>
        </w:tc>
        <w:tc>
          <w:tcPr>
            <w:tcW w:w="964" w:type="dxa"/>
            <w:vAlign w:val="center"/>
          </w:tcPr>
          <w:p w14:paraId="3F8B5B9C">
            <w:pPr>
              <w:pStyle w:val="14"/>
            </w:pPr>
          </w:p>
        </w:tc>
        <w:tc>
          <w:tcPr>
            <w:tcW w:w="964" w:type="dxa"/>
            <w:vAlign w:val="center"/>
          </w:tcPr>
          <w:p w14:paraId="3BBF3CE6">
            <w:pPr>
              <w:pStyle w:val="14"/>
            </w:pPr>
          </w:p>
        </w:tc>
        <w:tc>
          <w:tcPr>
            <w:tcW w:w="964" w:type="dxa"/>
            <w:vAlign w:val="center"/>
          </w:tcPr>
          <w:p w14:paraId="34F93AC2">
            <w:pPr>
              <w:pStyle w:val="14"/>
            </w:pPr>
            <w:r>
              <w:t>0.36</w:t>
            </w:r>
          </w:p>
        </w:tc>
      </w:tr>
      <w:tr w14:paraId="5F042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C60127">
            <w:pPr>
              <w:pStyle w:val="13"/>
            </w:pPr>
            <w:r>
              <w:t>冀财教[2024]123号/中央/2025年义教补助经费/莲子镇小学公用经费</w:t>
            </w:r>
          </w:p>
        </w:tc>
        <w:tc>
          <w:tcPr>
            <w:tcW w:w="964" w:type="dxa"/>
            <w:vAlign w:val="center"/>
          </w:tcPr>
          <w:p w14:paraId="6C316CEB">
            <w:pPr>
              <w:pStyle w:val="14"/>
            </w:pPr>
            <w:r>
              <w:t>44.47</w:t>
            </w:r>
          </w:p>
        </w:tc>
        <w:tc>
          <w:tcPr>
            <w:tcW w:w="1134" w:type="dxa"/>
            <w:vAlign w:val="center"/>
          </w:tcPr>
          <w:p w14:paraId="42231D54">
            <w:pPr>
              <w:pStyle w:val="13"/>
            </w:pPr>
            <w:r>
              <w:t>空调机</w:t>
            </w:r>
          </w:p>
        </w:tc>
        <w:tc>
          <w:tcPr>
            <w:tcW w:w="1134" w:type="dxa"/>
            <w:vAlign w:val="center"/>
          </w:tcPr>
          <w:p w14:paraId="52625576">
            <w:pPr>
              <w:pStyle w:val="13"/>
            </w:pPr>
            <w:r>
              <w:t>A02061804</w:t>
            </w:r>
          </w:p>
        </w:tc>
        <w:tc>
          <w:tcPr>
            <w:tcW w:w="709" w:type="dxa"/>
            <w:vAlign w:val="center"/>
          </w:tcPr>
          <w:p w14:paraId="697D0ECD">
            <w:pPr>
              <w:pStyle w:val="12"/>
            </w:pPr>
            <w:r>
              <w:t>台</w:t>
            </w:r>
          </w:p>
        </w:tc>
        <w:tc>
          <w:tcPr>
            <w:tcW w:w="850" w:type="dxa"/>
            <w:vAlign w:val="center"/>
          </w:tcPr>
          <w:p w14:paraId="2A3CA078">
            <w:pPr>
              <w:pStyle w:val="14"/>
            </w:pPr>
            <w:r>
              <w:t>20</w:t>
            </w:r>
          </w:p>
        </w:tc>
        <w:tc>
          <w:tcPr>
            <w:tcW w:w="850" w:type="dxa"/>
            <w:vAlign w:val="center"/>
          </w:tcPr>
          <w:p w14:paraId="2C47B2B7">
            <w:pPr>
              <w:pStyle w:val="14"/>
            </w:pPr>
            <w:r>
              <w:t>0.24</w:t>
            </w:r>
          </w:p>
        </w:tc>
        <w:tc>
          <w:tcPr>
            <w:tcW w:w="964" w:type="dxa"/>
            <w:vAlign w:val="center"/>
          </w:tcPr>
          <w:p w14:paraId="2A5F6593">
            <w:pPr>
              <w:pStyle w:val="14"/>
            </w:pPr>
            <w:r>
              <w:t>4.80</w:t>
            </w:r>
          </w:p>
        </w:tc>
        <w:tc>
          <w:tcPr>
            <w:tcW w:w="964" w:type="dxa"/>
            <w:vAlign w:val="center"/>
          </w:tcPr>
          <w:p w14:paraId="1A2598DC">
            <w:pPr>
              <w:pStyle w:val="14"/>
            </w:pPr>
            <w:r>
              <w:t>4.80</w:t>
            </w:r>
          </w:p>
        </w:tc>
        <w:tc>
          <w:tcPr>
            <w:tcW w:w="964" w:type="dxa"/>
            <w:vAlign w:val="center"/>
          </w:tcPr>
          <w:p w14:paraId="0F2B487B">
            <w:pPr>
              <w:pStyle w:val="14"/>
            </w:pPr>
          </w:p>
        </w:tc>
        <w:tc>
          <w:tcPr>
            <w:tcW w:w="964" w:type="dxa"/>
            <w:vAlign w:val="center"/>
          </w:tcPr>
          <w:p w14:paraId="00AE5E9E">
            <w:pPr>
              <w:pStyle w:val="14"/>
            </w:pPr>
          </w:p>
        </w:tc>
        <w:tc>
          <w:tcPr>
            <w:tcW w:w="964" w:type="dxa"/>
            <w:vAlign w:val="center"/>
          </w:tcPr>
          <w:p w14:paraId="42D75FF5">
            <w:pPr>
              <w:pStyle w:val="14"/>
            </w:pPr>
          </w:p>
        </w:tc>
        <w:tc>
          <w:tcPr>
            <w:tcW w:w="964" w:type="dxa"/>
            <w:vAlign w:val="center"/>
          </w:tcPr>
          <w:p w14:paraId="4C5B38CC">
            <w:pPr>
              <w:pStyle w:val="14"/>
            </w:pPr>
          </w:p>
        </w:tc>
        <w:tc>
          <w:tcPr>
            <w:tcW w:w="964" w:type="dxa"/>
            <w:vAlign w:val="center"/>
          </w:tcPr>
          <w:p w14:paraId="6E398A48">
            <w:pPr>
              <w:pStyle w:val="14"/>
            </w:pPr>
          </w:p>
        </w:tc>
        <w:tc>
          <w:tcPr>
            <w:tcW w:w="964" w:type="dxa"/>
            <w:vAlign w:val="center"/>
          </w:tcPr>
          <w:p w14:paraId="344B0D7A">
            <w:pPr>
              <w:pStyle w:val="14"/>
            </w:pPr>
            <w:r>
              <w:t>4.80</w:t>
            </w:r>
          </w:p>
        </w:tc>
      </w:tr>
      <w:tr w14:paraId="23FD6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054DA1">
            <w:pPr>
              <w:pStyle w:val="13"/>
            </w:pPr>
            <w:r>
              <w:t>冀财教[2024]123号/中央/2025年义教补助经费/西店子小学公用经费</w:t>
            </w:r>
          </w:p>
        </w:tc>
        <w:tc>
          <w:tcPr>
            <w:tcW w:w="964" w:type="dxa"/>
            <w:vAlign w:val="center"/>
          </w:tcPr>
          <w:p w14:paraId="66E3A461">
            <w:pPr>
              <w:pStyle w:val="14"/>
            </w:pPr>
            <w:r>
              <w:t>12.68</w:t>
            </w:r>
          </w:p>
        </w:tc>
        <w:tc>
          <w:tcPr>
            <w:tcW w:w="1134" w:type="dxa"/>
            <w:vAlign w:val="center"/>
          </w:tcPr>
          <w:p w14:paraId="314BDA8B">
            <w:pPr>
              <w:pStyle w:val="13"/>
            </w:pPr>
            <w:r>
              <w:t>空调机</w:t>
            </w:r>
          </w:p>
        </w:tc>
        <w:tc>
          <w:tcPr>
            <w:tcW w:w="1134" w:type="dxa"/>
            <w:vAlign w:val="center"/>
          </w:tcPr>
          <w:p w14:paraId="1B088771">
            <w:pPr>
              <w:pStyle w:val="13"/>
            </w:pPr>
            <w:r>
              <w:t>A02061804</w:t>
            </w:r>
          </w:p>
        </w:tc>
        <w:tc>
          <w:tcPr>
            <w:tcW w:w="709" w:type="dxa"/>
            <w:vAlign w:val="center"/>
          </w:tcPr>
          <w:p w14:paraId="5BF81D74">
            <w:pPr>
              <w:pStyle w:val="12"/>
            </w:pPr>
            <w:r>
              <w:t>台</w:t>
            </w:r>
          </w:p>
        </w:tc>
        <w:tc>
          <w:tcPr>
            <w:tcW w:w="850" w:type="dxa"/>
            <w:vAlign w:val="center"/>
          </w:tcPr>
          <w:p w14:paraId="0F42D629">
            <w:pPr>
              <w:pStyle w:val="14"/>
            </w:pPr>
            <w:r>
              <w:t>1</w:t>
            </w:r>
          </w:p>
        </w:tc>
        <w:tc>
          <w:tcPr>
            <w:tcW w:w="850" w:type="dxa"/>
            <w:vAlign w:val="center"/>
          </w:tcPr>
          <w:p w14:paraId="3BF0821C">
            <w:pPr>
              <w:pStyle w:val="14"/>
            </w:pPr>
            <w:r>
              <w:t>0.24</w:t>
            </w:r>
          </w:p>
        </w:tc>
        <w:tc>
          <w:tcPr>
            <w:tcW w:w="964" w:type="dxa"/>
            <w:vAlign w:val="center"/>
          </w:tcPr>
          <w:p w14:paraId="2806A5C8">
            <w:pPr>
              <w:pStyle w:val="14"/>
            </w:pPr>
            <w:r>
              <w:t>0.24</w:t>
            </w:r>
          </w:p>
        </w:tc>
        <w:tc>
          <w:tcPr>
            <w:tcW w:w="964" w:type="dxa"/>
            <w:vAlign w:val="center"/>
          </w:tcPr>
          <w:p w14:paraId="6042EFF5">
            <w:pPr>
              <w:pStyle w:val="14"/>
            </w:pPr>
            <w:r>
              <w:t>0.24</w:t>
            </w:r>
          </w:p>
        </w:tc>
        <w:tc>
          <w:tcPr>
            <w:tcW w:w="964" w:type="dxa"/>
            <w:vAlign w:val="center"/>
          </w:tcPr>
          <w:p w14:paraId="63FF729E">
            <w:pPr>
              <w:pStyle w:val="14"/>
            </w:pPr>
          </w:p>
        </w:tc>
        <w:tc>
          <w:tcPr>
            <w:tcW w:w="964" w:type="dxa"/>
            <w:vAlign w:val="center"/>
          </w:tcPr>
          <w:p w14:paraId="5D62DBE9">
            <w:pPr>
              <w:pStyle w:val="14"/>
            </w:pPr>
          </w:p>
        </w:tc>
        <w:tc>
          <w:tcPr>
            <w:tcW w:w="964" w:type="dxa"/>
            <w:vAlign w:val="center"/>
          </w:tcPr>
          <w:p w14:paraId="3A1390BE">
            <w:pPr>
              <w:pStyle w:val="14"/>
            </w:pPr>
          </w:p>
        </w:tc>
        <w:tc>
          <w:tcPr>
            <w:tcW w:w="964" w:type="dxa"/>
            <w:vAlign w:val="center"/>
          </w:tcPr>
          <w:p w14:paraId="183A8077">
            <w:pPr>
              <w:pStyle w:val="14"/>
            </w:pPr>
          </w:p>
        </w:tc>
        <w:tc>
          <w:tcPr>
            <w:tcW w:w="964" w:type="dxa"/>
            <w:vAlign w:val="center"/>
          </w:tcPr>
          <w:p w14:paraId="602B133B">
            <w:pPr>
              <w:pStyle w:val="14"/>
            </w:pPr>
          </w:p>
        </w:tc>
        <w:tc>
          <w:tcPr>
            <w:tcW w:w="964" w:type="dxa"/>
            <w:vAlign w:val="center"/>
          </w:tcPr>
          <w:p w14:paraId="333279B4">
            <w:pPr>
              <w:pStyle w:val="14"/>
            </w:pPr>
            <w:r>
              <w:t>0.24</w:t>
            </w:r>
          </w:p>
        </w:tc>
      </w:tr>
      <w:tr w14:paraId="69CE6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119C99">
            <w:pPr>
              <w:pStyle w:val="13"/>
            </w:pPr>
            <w:r>
              <w:t>冀财教[2024]123号/中央/2025年义教补助经费/西范小学公用经费</w:t>
            </w:r>
          </w:p>
        </w:tc>
        <w:tc>
          <w:tcPr>
            <w:tcW w:w="964" w:type="dxa"/>
            <w:vAlign w:val="center"/>
          </w:tcPr>
          <w:p w14:paraId="5AD2E787">
            <w:pPr>
              <w:pStyle w:val="14"/>
            </w:pPr>
            <w:r>
              <w:t>31.97</w:t>
            </w:r>
          </w:p>
        </w:tc>
        <w:tc>
          <w:tcPr>
            <w:tcW w:w="1134" w:type="dxa"/>
            <w:vAlign w:val="center"/>
          </w:tcPr>
          <w:p w14:paraId="56A3DFD0">
            <w:pPr>
              <w:pStyle w:val="13"/>
            </w:pPr>
            <w:r>
              <w:t>空调机</w:t>
            </w:r>
          </w:p>
        </w:tc>
        <w:tc>
          <w:tcPr>
            <w:tcW w:w="1134" w:type="dxa"/>
            <w:vAlign w:val="center"/>
          </w:tcPr>
          <w:p w14:paraId="29ACAD73">
            <w:pPr>
              <w:pStyle w:val="13"/>
            </w:pPr>
            <w:r>
              <w:t>A02061804</w:t>
            </w:r>
          </w:p>
        </w:tc>
        <w:tc>
          <w:tcPr>
            <w:tcW w:w="709" w:type="dxa"/>
            <w:vAlign w:val="center"/>
          </w:tcPr>
          <w:p w14:paraId="18E686FA">
            <w:pPr>
              <w:pStyle w:val="12"/>
            </w:pPr>
            <w:r>
              <w:t>台</w:t>
            </w:r>
          </w:p>
        </w:tc>
        <w:tc>
          <w:tcPr>
            <w:tcW w:w="850" w:type="dxa"/>
            <w:vAlign w:val="center"/>
          </w:tcPr>
          <w:p w14:paraId="046E5902">
            <w:pPr>
              <w:pStyle w:val="14"/>
            </w:pPr>
            <w:r>
              <w:t>1</w:t>
            </w:r>
          </w:p>
        </w:tc>
        <w:tc>
          <w:tcPr>
            <w:tcW w:w="850" w:type="dxa"/>
            <w:vAlign w:val="center"/>
          </w:tcPr>
          <w:p w14:paraId="6F49C181">
            <w:pPr>
              <w:pStyle w:val="14"/>
            </w:pPr>
            <w:r>
              <w:t>0.24</w:t>
            </w:r>
          </w:p>
        </w:tc>
        <w:tc>
          <w:tcPr>
            <w:tcW w:w="964" w:type="dxa"/>
            <w:vAlign w:val="center"/>
          </w:tcPr>
          <w:p w14:paraId="390EF850">
            <w:pPr>
              <w:pStyle w:val="14"/>
            </w:pPr>
            <w:r>
              <w:t>0.24</w:t>
            </w:r>
          </w:p>
        </w:tc>
        <w:tc>
          <w:tcPr>
            <w:tcW w:w="964" w:type="dxa"/>
            <w:vAlign w:val="center"/>
          </w:tcPr>
          <w:p w14:paraId="52BE3384">
            <w:pPr>
              <w:pStyle w:val="14"/>
            </w:pPr>
            <w:r>
              <w:t>0.24</w:t>
            </w:r>
          </w:p>
        </w:tc>
        <w:tc>
          <w:tcPr>
            <w:tcW w:w="964" w:type="dxa"/>
            <w:vAlign w:val="center"/>
          </w:tcPr>
          <w:p w14:paraId="09B9F95B">
            <w:pPr>
              <w:pStyle w:val="14"/>
            </w:pPr>
          </w:p>
        </w:tc>
        <w:tc>
          <w:tcPr>
            <w:tcW w:w="964" w:type="dxa"/>
            <w:vAlign w:val="center"/>
          </w:tcPr>
          <w:p w14:paraId="5105181D">
            <w:pPr>
              <w:pStyle w:val="14"/>
            </w:pPr>
          </w:p>
        </w:tc>
        <w:tc>
          <w:tcPr>
            <w:tcW w:w="964" w:type="dxa"/>
            <w:vAlign w:val="center"/>
          </w:tcPr>
          <w:p w14:paraId="4AAC4BBE">
            <w:pPr>
              <w:pStyle w:val="14"/>
            </w:pPr>
          </w:p>
        </w:tc>
        <w:tc>
          <w:tcPr>
            <w:tcW w:w="964" w:type="dxa"/>
            <w:vAlign w:val="center"/>
          </w:tcPr>
          <w:p w14:paraId="6B05EF16">
            <w:pPr>
              <w:pStyle w:val="14"/>
            </w:pPr>
          </w:p>
        </w:tc>
        <w:tc>
          <w:tcPr>
            <w:tcW w:w="964" w:type="dxa"/>
            <w:vAlign w:val="center"/>
          </w:tcPr>
          <w:p w14:paraId="27980596">
            <w:pPr>
              <w:pStyle w:val="14"/>
            </w:pPr>
          </w:p>
        </w:tc>
        <w:tc>
          <w:tcPr>
            <w:tcW w:w="964" w:type="dxa"/>
            <w:vAlign w:val="center"/>
          </w:tcPr>
          <w:p w14:paraId="4AE85389">
            <w:pPr>
              <w:pStyle w:val="14"/>
            </w:pPr>
            <w:r>
              <w:t>0.24</w:t>
            </w:r>
          </w:p>
        </w:tc>
      </w:tr>
    </w:tbl>
    <w:p w14:paraId="70D9360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5E847C">
      <w:pPr>
        <w:spacing w:before="0" w:after="0"/>
        <w:ind w:firstLine="640"/>
        <w:jc w:val="left"/>
        <w:outlineLvl w:val="9"/>
      </w:pPr>
      <w:r>
        <w:rPr>
          <w:rFonts w:ascii="Times New Roman" w:hAnsi="Times New Roman" w:eastAsia="方正仿宋_GBK" w:cs="Times New Roman"/>
          <w:color w:val="000000"/>
          <w:sz w:val="32"/>
        </w:rPr>
        <w:t xml:space="preserve"> </w:t>
      </w:r>
    </w:p>
    <w:p w14:paraId="7499FF63">
      <w:pPr>
        <w:spacing w:before="10" w:after="10" w:line="240" w:lineRule="auto"/>
        <w:ind w:firstLine="640"/>
        <w:jc w:val="left"/>
        <w:outlineLvl w:val="5"/>
      </w:pPr>
      <w:r>
        <w:rPr>
          <w:rFonts w:ascii="黑体" w:hAnsi="黑体" w:eastAsia="黑体" w:cs="黑体"/>
          <w:color w:val="000000"/>
          <w:sz w:val="32"/>
        </w:rPr>
        <w:t>七、国有资产信息</w:t>
      </w:r>
    </w:p>
    <w:p w14:paraId="00192DE7">
      <w:pPr>
        <w:spacing w:before="0" w:after="0" w:line="500" w:lineRule="exact"/>
        <w:ind w:firstLine="560"/>
        <w:jc w:val="left"/>
        <w:outlineLvl w:val="9"/>
      </w:pPr>
      <w:r>
        <w:rPr>
          <w:rFonts w:ascii="Times New Roman" w:hAnsi="Times New Roman" w:eastAsia="方正仿宋_GBK" w:cs="Times New Roman"/>
          <w:b w:val="0"/>
          <w:color w:val="000000"/>
          <w:sz w:val="28"/>
        </w:rPr>
        <w:t>隆尧县莲子镇校区上年末固定资产金额为2008.97万元（详见下表）。本年度拟购置固定资产总额为210.49万元，已按要求列入政府采购预算，详见政府采购预算表。</w:t>
      </w:r>
    </w:p>
    <w:p w14:paraId="6CA7A28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E811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045B5A9">
            <w:pPr>
              <w:pStyle w:val="8"/>
            </w:pPr>
            <w:r>
              <w:t>360027隆尧县莲子镇校区</w:t>
            </w:r>
          </w:p>
        </w:tc>
        <w:tc>
          <w:tcPr>
            <w:tcW w:w="5670" w:type="dxa"/>
            <w:gridSpan w:val="2"/>
            <w:tcBorders>
              <w:top w:val="single" w:color="FFFFFF" w:sz="6" w:space="0"/>
              <w:left w:val="single" w:color="FFFFFF" w:sz="6" w:space="0"/>
              <w:right w:val="single" w:color="FFFFFF" w:sz="6" w:space="0"/>
            </w:tcBorders>
            <w:vAlign w:val="center"/>
          </w:tcPr>
          <w:p w14:paraId="7C05B425">
            <w:pPr>
              <w:pStyle w:val="10"/>
            </w:pPr>
            <w:r>
              <w:t>截止时间：2024-12-31</w:t>
            </w:r>
          </w:p>
        </w:tc>
      </w:tr>
      <w:tr w14:paraId="6C2A1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vAlign w:val="center"/>
          </w:tcPr>
          <w:p w14:paraId="74DC8537">
            <w:pPr>
              <w:pStyle w:val="11"/>
            </w:pPr>
            <w:r>
              <w:t>项   目</w:t>
            </w:r>
          </w:p>
        </w:tc>
        <w:tc>
          <w:tcPr>
            <w:tcW w:w="2835" w:type="dxa"/>
            <w:vAlign w:val="center"/>
          </w:tcPr>
          <w:p w14:paraId="266CFE44">
            <w:pPr>
              <w:pStyle w:val="11"/>
            </w:pPr>
            <w:r>
              <w:t>数量</w:t>
            </w:r>
          </w:p>
        </w:tc>
        <w:tc>
          <w:tcPr>
            <w:tcW w:w="2835" w:type="dxa"/>
            <w:vAlign w:val="center"/>
          </w:tcPr>
          <w:p w14:paraId="5B2BABD3">
            <w:pPr>
              <w:pStyle w:val="11"/>
            </w:pPr>
            <w:r>
              <w:t>价值（金额单位：万元）</w:t>
            </w:r>
          </w:p>
        </w:tc>
      </w:tr>
      <w:tr w14:paraId="580E9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D291A4">
            <w:pPr>
              <w:pStyle w:val="13"/>
            </w:pPr>
            <w:r>
              <w:t>资产总额</w:t>
            </w:r>
          </w:p>
        </w:tc>
        <w:tc>
          <w:tcPr>
            <w:tcW w:w="2835" w:type="dxa"/>
            <w:vAlign w:val="center"/>
          </w:tcPr>
          <w:p w14:paraId="4C3916D1">
            <w:pPr>
              <w:pStyle w:val="12"/>
            </w:pPr>
          </w:p>
        </w:tc>
        <w:tc>
          <w:tcPr>
            <w:tcW w:w="2835" w:type="dxa"/>
            <w:vAlign w:val="center"/>
          </w:tcPr>
          <w:p w14:paraId="644A3DF6">
            <w:pPr>
              <w:pStyle w:val="14"/>
            </w:pPr>
            <w:r>
              <w:t>2008.97</w:t>
            </w:r>
          </w:p>
        </w:tc>
      </w:tr>
      <w:tr w14:paraId="4A1E2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F4EAF3">
            <w:pPr>
              <w:pStyle w:val="13"/>
            </w:pPr>
            <w:r>
              <w:t>1、房屋（平方米）</w:t>
            </w:r>
          </w:p>
        </w:tc>
        <w:tc>
          <w:tcPr>
            <w:tcW w:w="2835" w:type="dxa"/>
            <w:vAlign w:val="center"/>
          </w:tcPr>
          <w:p w14:paraId="2238E21F">
            <w:pPr>
              <w:pStyle w:val="12"/>
            </w:pPr>
            <w:r>
              <w:t>10304.14</w:t>
            </w:r>
          </w:p>
        </w:tc>
        <w:tc>
          <w:tcPr>
            <w:tcW w:w="2835" w:type="dxa"/>
            <w:vAlign w:val="center"/>
          </w:tcPr>
          <w:p w14:paraId="1D7FD6CA">
            <w:pPr>
              <w:pStyle w:val="14"/>
            </w:pPr>
            <w:r>
              <w:t>1007.24</w:t>
            </w:r>
          </w:p>
        </w:tc>
      </w:tr>
      <w:tr w14:paraId="1E71B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F2FB05">
            <w:pPr>
              <w:pStyle w:val="13"/>
            </w:pPr>
            <w:r>
              <w:t>　　其中：办公用房（平方米）</w:t>
            </w:r>
          </w:p>
        </w:tc>
        <w:tc>
          <w:tcPr>
            <w:tcW w:w="2835" w:type="dxa"/>
            <w:vAlign w:val="center"/>
          </w:tcPr>
          <w:p w14:paraId="03B80140">
            <w:pPr>
              <w:pStyle w:val="12"/>
            </w:pPr>
          </w:p>
        </w:tc>
        <w:tc>
          <w:tcPr>
            <w:tcW w:w="2835" w:type="dxa"/>
            <w:vAlign w:val="center"/>
          </w:tcPr>
          <w:p w14:paraId="02A06D5E">
            <w:pPr>
              <w:pStyle w:val="14"/>
            </w:pPr>
          </w:p>
        </w:tc>
      </w:tr>
      <w:tr w14:paraId="1E702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4301E2">
            <w:pPr>
              <w:pStyle w:val="13"/>
            </w:pPr>
            <w:r>
              <w:t>2、车辆（台、辆）</w:t>
            </w:r>
          </w:p>
        </w:tc>
        <w:tc>
          <w:tcPr>
            <w:tcW w:w="2835" w:type="dxa"/>
            <w:vAlign w:val="center"/>
          </w:tcPr>
          <w:p w14:paraId="13E7986E">
            <w:pPr>
              <w:pStyle w:val="12"/>
            </w:pPr>
          </w:p>
        </w:tc>
        <w:tc>
          <w:tcPr>
            <w:tcW w:w="2835" w:type="dxa"/>
            <w:vAlign w:val="center"/>
          </w:tcPr>
          <w:p w14:paraId="68AF348C">
            <w:pPr>
              <w:pStyle w:val="14"/>
            </w:pPr>
          </w:p>
        </w:tc>
      </w:tr>
      <w:tr w14:paraId="248C6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6775E1">
            <w:pPr>
              <w:pStyle w:val="13"/>
            </w:pPr>
            <w:r>
              <w:t>3、单价在20万元以上的设备</w:t>
            </w:r>
          </w:p>
        </w:tc>
        <w:tc>
          <w:tcPr>
            <w:tcW w:w="2835" w:type="dxa"/>
            <w:vAlign w:val="center"/>
          </w:tcPr>
          <w:p w14:paraId="0217FE81">
            <w:pPr>
              <w:pStyle w:val="12"/>
            </w:pPr>
          </w:p>
        </w:tc>
        <w:tc>
          <w:tcPr>
            <w:tcW w:w="2835" w:type="dxa"/>
            <w:vAlign w:val="center"/>
          </w:tcPr>
          <w:p w14:paraId="7A56C630">
            <w:pPr>
              <w:pStyle w:val="14"/>
            </w:pPr>
          </w:p>
        </w:tc>
      </w:tr>
      <w:tr w14:paraId="54356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2F0AB2">
            <w:pPr>
              <w:pStyle w:val="13"/>
            </w:pPr>
            <w:r>
              <w:t>4、其他固定资产</w:t>
            </w:r>
          </w:p>
        </w:tc>
        <w:tc>
          <w:tcPr>
            <w:tcW w:w="2835" w:type="dxa"/>
            <w:vAlign w:val="center"/>
          </w:tcPr>
          <w:p w14:paraId="278C1F46">
            <w:pPr>
              <w:pStyle w:val="12"/>
            </w:pPr>
            <w:r>
              <w:t>89254</w:t>
            </w:r>
          </w:p>
        </w:tc>
        <w:tc>
          <w:tcPr>
            <w:tcW w:w="2835" w:type="dxa"/>
            <w:vAlign w:val="center"/>
          </w:tcPr>
          <w:p w14:paraId="6BE67449">
            <w:pPr>
              <w:pStyle w:val="14"/>
            </w:pPr>
            <w:r>
              <w:t>1001.73</w:t>
            </w:r>
          </w:p>
        </w:tc>
      </w:tr>
    </w:tbl>
    <w:p w14:paraId="768B9885">
      <w:pPr>
        <w:spacing w:before="0" w:after="0"/>
        <w:ind w:firstLine="640"/>
        <w:jc w:val="left"/>
        <w:outlineLvl w:val="9"/>
      </w:pPr>
      <w:r>
        <w:rPr>
          <w:rFonts w:ascii="Times New Roman" w:hAnsi="Times New Roman" w:eastAsia="方正仿宋_GBK" w:cs="Times New Roman"/>
          <w:color w:val="000000"/>
          <w:sz w:val="32"/>
        </w:rPr>
        <w:t xml:space="preserve"> </w:t>
      </w:r>
    </w:p>
    <w:p w14:paraId="5F216CF6">
      <w:pPr>
        <w:spacing w:before="10" w:after="10" w:line="240" w:lineRule="auto"/>
        <w:ind w:firstLine="640"/>
        <w:jc w:val="left"/>
        <w:outlineLvl w:val="5"/>
      </w:pPr>
      <w:r>
        <w:rPr>
          <w:rFonts w:ascii="黑体" w:hAnsi="黑体" w:eastAsia="黑体" w:cs="黑体"/>
          <w:color w:val="000000"/>
          <w:sz w:val="32"/>
        </w:rPr>
        <w:t>八、名词解释</w:t>
      </w:r>
    </w:p>
    <w:p w14:paraId="61CD77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38447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4A3C9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3F20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391BB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ECE0A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C290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67385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49B4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01B4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5B7DC0">
      <w:pPr>
        <w:spacing w:before="10" w:after="10" w:line="240" w:lineRule="auto"/>
        <w:ind w:firstLine="640"/>
        <w:jc w:val="left"/>
        <w:outlineLvl w:val="5"/>
      </w:pPr>
      <w:r>
        <w:rPr>
          <w:rFonts w:ascii="黑体" w:hAnsi="黑体" w:eastAsia="黑体" w:cs="黑体"/>
          <w:color w:val="000000"/>
          <w:sz w:val="32"/>
        </w:rPr>
        <w:t>九、其他需要说明的事项</w:t>
      </w:r>
    </w:p>
    <w:p w14:paraId="76DA14D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1283B06">
      <w:pPr>
        <w:spacing w:before="0" w:after="0"/>
        <w:ind w:firstLine="0"/>
        <w:jc w:val="center"/>
        <w:outlineLvl w:val="3"/>
      </w:pPr>
      <w:bookmarkStart w:id="27" w:name="_Toc_4_4_0000000047"/>
      <w:r>
        <w:rPr>
          <w:rFonts w:ascii="方正小标宋_GBK" w:hAnsi="方正小标宋_GBK" w:eastAsia="方正小标宋_GBK" w:cs="方正小标宋_GBK"/>
          <w:b w:val="0"/>
          <w:color w:val="000000"/>
          <w:sz w:val="44"/>
        </w:rPr>
        <w:t>二十七、隆尧县教师发展中心收支预算</w:t>
      </w:r>
      <w:bookmarkEnd w:id="27"/>
    </w:p>
    <w:p w14:paraId="7EDA59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67E7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58BB93">
            <w:pPr>
              <w:pStyle w:val="8"/>
            </w:pPr>
            <w:r>
              <w:t>360028隆尧县教师发展中心</w:t>
            </w:r>
          </w:p>
        </w:tc>
        <w:tc>
          <w:tcPr>
            <w:tcW w:w="2126" w:type="dxa"/>
            <w:tcBorders>
              <w:top w:val="single" w:color="FFFFFF" w:sz="6" w:space="0"/>
              <w:left w:val="single" w:color="FFFFFF" w:sz="6" w:space="0"/>
              <w:right w:val="single" w:color="FFFFFF" w:sz="6" w:space="0"/>
            </w:tcBorders>
            <w:vAlign w:val="center"/>
          </w:tcPr>
          <w:p w14:paraId="78CB642C">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F84ACA6">
            <w:pPr>
              <w:pStyle w:val="10"/>
            </w:pPr>
            <w:r>
              <w:t>单位：万元</w:t>
            </w:r>
          </w:p>
        </w:tc>
      </w:tr>
      <w:tr w14:paraId="13918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F2E8A6">
            <w:pPr>
              <w:pStyle w:val="11"/>
            </w:pPr>
            <w:r>
              <w:t>序号</w:t>
            </w:r>
          </w:p>
        </w:tc>
        <w:tc>
          <w:tcPr>
            <w:tcW w:w="6661" w:type="dxa"/>
            <w:gridSpan w:val="2"/>
            <w:vAlign w:val="center"/>
          </w:tcPr>
          <w:p w14:paraId="2966474A">
            <w:pPr>
              <w:pStyle w:val="11"/>
            </w:pPr>
            <w:r>
              <w:t>收入</w:t>
            </w:r>
          </w:p>
        </w:tc>
        <w:tc>
          <w:tcPr>
            <w:tcW w:w="6661" w:type="dxa"/>
            <w:gridSpan w:val="2"/>
            <w:vAlign w:val="center"/>
          </w:tcPr>
          <w:p w14:paraId="0DB77DBA">
            <w:pPr>
              <w:pStyle w:val="11"/>
            </w:pPr>
            <w:r>
              <w:t>支出</w:t>
            </w:r>
          </w:p>
        </w:tc>
      </w:tr>
      <w:tr w14:paraId="180B5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3FF923"/>
        </w:tc>
        <w:tc>
          <w:tcPr>
            <w:tcW w:w="4535" w:type="dxa"/>
            <w:vAlign w:val="center"/>
          </w:tcPr>
          <w:p w14:paraId="7EF074A5">
            <w:pPr>
              <w:pStyle w:val="11"/>
            </w:pPr>
            <w:r>
              <w:t>项  目</w:t>
            </w:r>
          </w:p>
        </w:tc>
        <w:tc>
          <w:tcPr>
            <w:tcW w:w="2126" w:type="dxa"/>
            <w:vAlign w:val="center"/>
          </w:tcPr>
          <w:p w14:paraId="0CE2CC06">
            <w:pPr>
              <w:pStyle w:val="11"/>
            </w:pPr>
            <w:r>
              <w:t>预算数</w:t>
            </w:r>
          </w:p>
        </w:tc>
        <w:tc>
          <w:tcPr>
            <w:tcW w:w="4535" w:type="dxa"/>
            <w:vAlign w:val="center"/>
          </w:tcPr>
          <w:p w14:paraId="0BD4EB6C">
            <w:pPr>
              <w:pStyle w:val="11"/>
            </w:pPr>
            <w:r>
              <w:t>项  目</w:t>
            </w:r>
          </w:p>
        </w:tc>
        <w:tc>
          <w:tcPr>
            <w:tcW w:w="2126" w:type="dxa"/>
            <w:vAlign w:val="center"/>
          </w:tcPr>
          <w:p w14:paraId="6FE83773">
            <w:pPr>
              <w:pStyle w:val="11"/>
            </w:pPr>
            <w:r>
              <w:t>预算数</w:t>
            </w:r>
          </w:p>
        </w:tc>
      </w:tr>
      <w:tr w14:paraId="3866D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0E573F">
            <w:pPr>
              <w:pStyle w:val="11"/>
            </w:pPr>
            <w:r>
              <w:t>栏次</w:t>
            </w:r>
          </w:p>
        </w:tc>
        <w:tc>
          <w:tcPr>
            <w:tcW w:w="4535" w:type="dxa"/>
            <w:vAlign w:val="center"/>
          </w:tcPr>
          <w:p w14:paraId="0162F105">
            <w:pPr>
              <w:pStyle w:val="11"/>
            </w:pPr>
            <w:r>
              <w:t>1</w:t>
            </w:r>
          </w:p>
        </w:tc>
        <w:tc>
          <w:tcPr>
            <w:tcW w:w="2126" w:type="dxa"/>
            <w:vAlign w:val="center"/>
          </w:tcPr>
          <w:p w14:paraId="05BE8705">
            <w:pPr>
              <w:pStyle w:val="11"/>
            </w:pPr>
            <w:r>
              <w:t>2</w:t>
            </w:r>
          </w:p>
        </w:tc>
        <w:tc>
          <w:tcPr>
            <w:tcW w:w="4535" w:type="dxa"/>
            <w:vAlign w:val="center"/>
          </w:tcPr>
          <w:p w14:paraId="2F325B7E">
            <w:pPr>
              <w:pStyle w:val="11"/>
            </w:pPr>
            <w:r>
              <w:t>3</w:t>
            </w:r>
          </w:p>
        </w:tc>
        <w:tc>
          <w:tcPr>
            <w:tcW w:w="2126" w:type="dxa"/>
            <w:vAlign w:val="center"/>
          </w:tcPr>
          <w:p w14:paraId="7BBCDFA2">
            <w:pPr>
              <w:pStyle w:val="11"/>
            </w:pPr>
            <w:r>
              <w:t>4</w:t>
            </w:r>
          </w:p>
        </w:tc>
      </w:tr>
      <w:tr w14:paraId="1B7A5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B7910">
            <w:pPr>
              <w:pStyle w:val="12"/>
            </w:pPr>
            <w:r>
              <w:t>1</w:t>
            </w:r>
          </w:p>
        </w:tc>
        <w:tc>
          <w:tcPr>
            <w:tcW w:w="4535" w:type="dxa"/>
            <w:vAlign w:val="center"/>
          </w:tcPr>
          <w:p w14:paraId="2AABFF85">
            <w:pPr>
              <w:pStyle w:val="13"/>
            </w:pPr>
            <w:r>
              <w:t>一、一般公共预算拨款收入</w:t>
            </w:r>
          </w:p>
        </w:tc>
        <w:tc>
          <w:tcPr>
            <w:tcW w:w="2126" w:type="dxa"/>
            <w:vAlign w:val="center"/>
          </w:tcPr>
          <w:p w14:paraId="1F633E14">
            <w:pPr>
              <w:pStyle w:val="14"/>
            </w:pPr>
            <w:r>
              <w:t>965.88</w:t>
            </w:r>
          </w:p>
        </w:tc>
        <w:tc>
          <w:tcPr>
            <w:tcW w:w="4535" w:type="dxa"/>
            <w:vAlign w:val="center"/>
          </w:tcPr>
          <w:p w14:paraId="7612ED06">
            <w:pPr>
              <w:pStyle w:val="13"/>
            </w:pPr>
            <w:r>
              <w:t>一、一般公共服务支出</w:t>
            </w:r>
          </w:p>
        </w:tc>
        <w:tc>
          <w:tcPr>
            <w:tcW w:w="2126" w:type="dxa"/>
            <w:vAlign w:val="center"/>
          </w:tcPr>
          <w:p w14:paraId="7C03B07F">
            <w:pPr>
              <w:pStyle w:val="14"/>
            </w:pPr>
          </w:p>
        </w:tc>
      </w:tr>
      <w:tr w14:paraId="56C14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C5F04">
            <w:pPr>
              <w:pStyle w:val="12"/>
            </w:pPr>
            <w:r>
              <w:t>2</w:t>
            </w:r>
          </w:p>
        </w:tc>
        <w:tc>
          <w:tcPr>
            <w:tcW w:w="4535" w:type="dxa"/>
            <w:vAlign w:val="center"/>
          </w:tcPr>
          <w:p w14:paraId="4EE6FD9B">
            <w:pPr>
              <w:pStyle w:val="13"/>
            </w:pPr>
            <w:r>
              <w:t>二、政府性基金预算拨款收入</w:t>
            </w:r>
          </w:p>
        </w:tc>
        <w:tc>
          <w:tcPr>
            <w:tcW w:w="2126" w:type="dxa"/>
            <w:vAlign w:val="center"/>
          </w:tcPr>
          <w:p w14:paraId="0F97315C">
            <w:pPr>
              <w:pStyle w:val="14"/>
            </w:pPr>
          </w:p>
        </w:tc>
        <w:tc>
          <w:tcPr>
            <w:tcW w:w="4535" w:type="dxa"/>
            <w:vAlign w:val="center"/>
          </w:tcPr>
          <w:p w14:paraId="13A3EAE9">
            <w:pPr>
              <w:pStyle w:val="13"/>
            </w:pPr>
            <w:r>
              <w:t>二、外交支出</w:t>
            </w:r>
          </w:p>
        </w:tc>
        <w:tc>
          <w:tcPr>
            <w:tcW w:w="2126" w:type="dxa"/>
            <w:vAlign w:val="center"/>
          </w:tcPr>
          <w:p w14:paraId="2F614246">
            <w:pPr>
              <w:pStyle w:val="14"/>
            </w:pPr>
          </w:p>
        </w:tc>
      </w:tr>
      <w:tr w14:paraId="69ECA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DC7DA">
            <w:pPr>
              <w:pStyle w:val="12"/>
            </w:pPr>
            <w:r>
              <w:t>3</w:t>
            </w:r>
          </w:p>
        </w:tc>
        <w:tc>
          <w:tcPr>
            <w:tcW w:w="4535" w:type="dxa"/>
            <w:vAlign w:val="center"/>
          </w:tcPr>
          <w:p w14:paraId="11E53289">
            <w:pPr>
              <w:pStyle w:val="13"/>
            </w:pPr>
            <w:r>
              <w:t>三、国有资本经营预算拨款收入</w:t>
            </w:r>
          </w:p>
        </w:tc>
        <w:tc>
          <w:tcPr>
            <w:tcW w:w="2126" w:type="dxa"/>
            <w:vAlign w:val="center"/>
          </w:tcPr>
          <w:p w14:paraId="448B7234">
            <w:pPr>
              <w:pStyle w:val="14"/>
            </w:pPr>
          </w:p>
        </w:tc>
        <w:tc>
          <w:tcPr>
            <w:tcW w:w="4535" w:type="dxa"/>
            <w:vAlign w:val="center"/>
          </w:tcPr>
          <w:p w14:paraId="2B7CFC51">
            <w:pPr>
              <w:pStyle w:val="13"/>
            </w:pPr>
            <w:r>
              <w:t>三、国防支出</w:t>
            </w:r>
          </w:p>
        </w:tc>
        <w:tc>
          <w:tcPr>
            <w:tcW w:w="2126" w:type="dxa"/>
            <w:vAlign w:val="center"/>
          </w:tcPr>
          <w:p w14:paraId="768FADB5">
            <w:pPr>
              <w:pStyle w:val="14"/>
            </w:pPr>
          </w:p>
        </w:tc>
      </w:tr>
      <w:tr w14:paraId="28C33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1E8D7">
            <w:pPr>
              <w:pStyle w:val="12"/>
            </w:pPr>
            <w:r>
              <w:t>4</w:t>
            </w:r>
          </w:p>
        </w:tc>
        <w:tc>
          <w:tcPr>
            <w:tcW w:w="4535" w:type="dxa"/>
            <w:vAlign w:val="center"/>
          </w:tcPr>
          <w:p w14:paraId="5B72B0B7">
            <w:pPr>
              <w:pStyle w:val="13"/>
            </w:pPr>
            <w:r>
              <w:t>四、财政专户管理资金收入</w:t>
            </w:r>
          </w:p>
        </w:tc>
        <w:tc>
          <w:tcPr>
            <w:tcW w:w="2126" w:type="dxa"/>
            <w:vAlign w:val="center"/>
          </w:tcPr>
          <w:p w14:paraId="482E2058">
            <w:pPr>
              <w:pStyle w:val="14"/>
            </w:pPr>
            <w:r>
              <w:t>174.62</w:t>
            </w:r>
          </w:p>
        </w:tc>
        <w:tc>
          <w:tcPr>
            <w:tcW w:w="4535" w:type="dxa"/>
            <w:vAlign w:val="center"/>
          </w:tcPr>
          <w:p w14:paraId="09834917">
            <w:pPr>
              <w:pStyle w:val="13"/>
            </w:pPr>
            <w:r>
              <w:t>四、公共安全支出</w:t>
            </w:r>
          </w:p>
        </w:tc>
        <w:tc>
          <w:tcPr>
            <w:tcW w:w="2126" w:type="dxa"/>
            <w:vAlign w:val="center"/>
          </w:tcPr>
          <w:p w14:paraId="5F485D52">
            <w:pPr>
              <w:pStyle w:val="14"/>
            </w:pPr>
          </w:p>
        </w:tc>
      </w:tr>
      <w:tr w14:paraId="7EB96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F8DCC">
            <w:pPr>
              <w:pStyle w:val="12"/>
            </w:pPr>
            <w:r>
              <w:t>5</w:t>
            </w:r>
          </w:p>
        </w:tc>
        <w:tc>
          <w:tcPr>
            <w:tcW w:w="4535" w:type="dxa"/>
            <w:vAlign w:val="center"/>
          </w:tcPr>
          <w:p w14:paraId="6157444B">
            <w:pPr>
              <w:pStyle w:val="13"/>
            </w:pPr>
            <w:r>
              <w:t>五、单位资金</w:t>
            </w:r>
          </w:p>
        </w:tc>
        <w:tc>
          <w:tcPr>
            <w:tcW w:w="2126" w:type="dxa"/>
            <w:vAlign w:val="center"/>
          </w:tcPr>
          <w:p w14:paraId="050735AB">
            <w:pPr>
              <w:pStyle w:val="14"/>
            </w:pPr>
          </w:p>
        </w:tc>
        <w:tc>
          <w:tcPr>
            <w:tcW w:w="4535" w:type="dxa"/>
            <w:vAlign w:val="center"/>
          </w:tcPr>
          <w:p w14:paraId="7CDB5A14">
            <w:pPr>
              <w:pStyle w:val="13"/>
            </w:pPr>
            <w:r>
              <w:t>五、教育支出</w:t>
            </w:r>
          </w:p>
        </w:tc>
        <w:tc>
          <w:tcPr>
            <w:tcW w:w="2126" w:type="dxa"/>
            <w:vAlign w:val="center"/>
          </w:tcPr>
          <w:p w14:paraId="57FDA31F">
            <w:pPr>
              <w:pStyle w:val="14"/>
            </w:pPr>
            <w:r>
              <w:t>1019.74</w:t>
            </w:r>
          </w:p>
        </w:tc>
      </w:tr>
      <w:tr w14:paraId="31199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CF59E">
            <w:pPr>
              <w:pStyle w:val="12"/>
            </w:pPr>
            <w:r>
              <w:t>6</w:t>
            </w:r>
          </w:p>
        </w:tc>
        <w:tc>
          <w:tcPr>
            <w:tcW w:w="4535" w:type="dxa"/>
            <w:vAlign w:val="center"/>
          </w:tcPr>
          <w:p w14:paraId="186BEE9A">
            <w:pPr>
              <w:pStyle w:val="13"/>
            </w:pPr>
          </w:p>
        </w:tc>
        <w:tc>
          <w:tcPr>
            <w:tcW w:w="2126" w:type="dxa"/>
            <w:vAlign w:val="center"/>
          </w:tcPr>
          <w:p w14:paraId="22EF4070">
            <w:pPr>
              <w:pStyle w:val="14"/>
            </w:pPr>
          </w:p>
        </w:tc>
        <w:tc>
          <w:tcPr>
            <w:tcW w:w="4535" w:type="dxa"/>
            <w:vAlign w:val="center"/>
          </w:tcPr>
          <w:p w14:paraId="0ECBE8F9">
            <w:pPr>
              <w:pStyle w:val="13"/>
            </w:pPr>
            <w:r>
              <w:t>六、科学技术支出</w:t>
            </w:r>
          </w:p>
        </w:tc>
        <w:tc>
          <w:tcPr>
            <w:tcW w:w="2126" w:type="dxa"/>
            <w:vAlign w:val="center"/>
          </w:tcPr>
          <w:p w14:paraId="601A5906">
            <w:pPr>
              <w:pStyle w:val="14"/>
            </w:pPr>
          </w:p>
        </w:tc>
      </w:tr>
      <w:tr w14:paraId="60791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35ADF">
            <w:pPr>
              <w:pStyle w:val="12"/>
            </w:pPr>
            <w:r>
              <w:t>7</w:t>
            </w:r>
          </w:p>
        </w:tc>
        <w:tc>
          <w:tcPr>
            <w:tcW w:w="4535" w:type="dxa"/>
            <w:vAlign w:val="center"/>
          </w:tcPr>
          <w:p w14:paraId="52626F42">
            <w:pPr>
              <w:pStyle w:val="13"/>
            </w:pPr>
          </w:p>
        </w:tc>
        <w:tc>
          <w:tcPr>
            <w:tcW w:w="2126" w:type="dxa"/>
            <w:vAlign w:val="center"/>
          </w:tcPr>
          <w:p w14:paraId="51DC20C6">
            <w:pPr>
              <w:pStyle w:val="14"/>
            </w:pPr>
          </w:p>
        </w:tc>
        <w:tc>
          <w:tcPr>
            <w:tcW w:w="4535" w:type="dxa"/>
            <w:vAlign w:val="center"/>
          </w:tcPr>
          <w:p w14:paraId="73873645">
            <w:pPr>
              <w:pStyle w:val="13"/>
            </w:pPr>
            <w:r>
              <w:t>七、文化旅游体育与传媒支出</w:t>
            </w:r>
          </w:p>
        </w:tc>
        <w:tc>
          <w:tcPr>
            <w:tcW w:w="2126" w:type="dxa"/>
            <w:vAlign w:val="center"/>
          </w:tcPr>
          <w:p w14:paraId="4A4FAD5C">
            <w:pPr>
              <w:pStyle w:val="14"/>
            </w:pPr>
          </w:p>
        </w:tc>
      </w:tr>
      <w:tr w14:paraId="5F16A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D9F04">
            <w:pPr>
              <w:pStyle w:val="12"/>
            </w:pPr>
            <w:r>
              <w:t>8</w:t>
            </w:r>
          </w:p>
        </w:tc>
        <w:tc>
          <w:tcPr>
            <w:tcW w:w="4535" w:type="dxa"/>
            <w:vAlign w:val="center"/>
          </w:tcPr>
          <w:p w14:paraId="0278D0D3">
            <w:pPr>
              <w:pStyle w:val="13"/>
            </w:pPr>
          </w:p>
        </w:tc>
        <w:tc>
          <w:tcPr>
            <w:tcW w:w="2126" w:type="dxa"/>
            <w:vAlign w:val="center"/>
          </w:tcPr>
          <w:p w14:paraId="46A8E89D">
            <w:pPr>
              <w:pStyle w:val="14"/>
            </w:pPr>
          </w:p>
        </w:tc>
        <w:tc>
          <w:tcPr>
            <w:tcW w:w="4535" w:type="dxa"/>
            <w:vAlign w:val="center"/>
          </w:tcPr>
          <w:p w14:paraId="585EC9F7">
            <w:pPr>
              <w:pStyle w:val="13"/>
            </w:pPr>
            <w:r>
              <w:t>八、社会保障和就业支出</w:t>
            </w:r>
          </w:p>
        </w:tc>
        <w:tc>
          <w:tcPr>
            <w:tcW w:w="2126" w:type="dxa"/>
            <w:vAlign w:val="center"/>
          </w:tcPr>
          <w:p w14:paraId="37874FA4">
            <w:pPr>
              <w:pStyle w:val="14"/>
            </w:pPr>
            <w:r>
              <w:t>83.12</w:t>
            </w:r>
          </w:p>
        </w:tc>
      </w:tr>
      <w:tr w14:paraId="3C426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8AC27">
            <w:pPr>
              <w:pStyle w:val="12"/>
            </w:pPr>
            <w:r>
              <w:t>9</w:t>
            </w:r>
          </w:p>
        </w:tc>
        <w:tc>
          <w:tcPr>
            <w:tcW w:w="4535" w:type="dxa"/>
            <w:vAlign w:val="center"/>
          </w:tcPr>
          <w:p w14:paraId="2CDA4565">
            <w:pPr>
              <w:pStyle w:val="13"/>
            </w:pPr>
          </w:p>
        </w:tc>
        <w:tc>
          <w:tcPr>
            <w:tcW w:w="2126" w:type="dxa"/>
            <w:vAlign w:val="center"/>
          </w:tcPr>
          <w:p w14:paraId="14D2C6E2">
            <w:pPr>
              <w:pStyle w:val="14"/>
            </w:pPr>
          </w:p>
        </w:tc>
        <w:tc>
          <w:tcPr>
            <w:tcW w:w="4535" w:type="dxa"/>
            <w:vAlign w:val="center"/>
          </w:tcPr>
          <w:p w14:paraId="1166E24B">
            <w:pPr>
              <w:pStyle w:val="13"/>
            </w:pPr>
            <w:r>
              <w:t>九、社会保险基金支出</w:t>
            </w:r>
          </w:p>
        </w:tc>
        <w:tc>
          <w:tcPr>
            <w:tcW w:w="2126" w:type="dxa"/>
            <w:vAlign w:val="center"/>
          </w:tcPr>
          <w:p w14:paraId="7FC58703">
            <w:pPr>
              <w:pStyle w:val="14"/>
            </w:pPr>
          </w:p>
        </w:tc>
      </w:tr>
      <w:tr w14:paraId="266C9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B3613">
            <w:pPr>
              <w:pStyle w:val="12"/>
            </w:pPr>
            <w:r>
              <w:t>10</w:t>
            </w:r>
          </w:p>
        </w:tc>
        <w:tc>
          <w:tcPr>
            <w:tcW w:w="4535" w:type="dxa"/>
            <w:vAlign w:val="center"/>
          </w:tcPr>
          <w:p w14:paraId="6D453363">
            <w:pPr>
              <w:pStyle w:val="13"/>
            </w:pPr>
          </w:p>
        </w:tc>
        <w:tc>
          <w:tcPr>
            <w:tcW w:w="2126" w:type="dxa"/>
            <w:vAlign w:val="center"/>
          </w:tcPr>
          <w:p w14:paraId="6AC97A3A">
            <w:pPr>
              <w:pStyle w:val="14"/>
            </w:pPr>
          </w:p>
        </w:tc>
        <w:tc>
          <w:tcPr>
            <w:tcW w:w="4535" w:type="dxa"/>
            <w:vAlign w:val="center"/>
          </w:tcPr>
          <w:p w14:paraId="406DAED9">
            <w:pPr>
              <w:pStyle w:val="13"/>
            </w:pPr>
            <w:r>
              <w:t>十、卫生健康支出</w:t>
            </w:r>
          </w:p>
        </w:tc>
        <w:tc>
          <w:tcPr>
            <w:tcW w:w="2126" w:type="dxa"/>
            <w:vAlign w:val="center"/>
          </w:tcPr>
          <w:p w14:paraId="069424A0">
            <w:pPr>
              <w:pStyle w:val="14"/>
            </w:pPr>
            <w:r>
              <w:t>37.64</w:t>
            </w:r>
          </w:p>
        </w:tc>
      </w:tr>
      <w:tr w14:paraId="5F28B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C7E1E">
            <w:pPr>
              <w:pStyle w:val="12"/>
            </w:pPr>
            <w:r>
              <w:t>11</w:t>
            </w:r>
          </w:p>
        </w:tc>
        <w:tc>
          <w:tcPr>
            <w:tcW w:w="4535" w:type="dxa"/>
            <w:vAlign w:val="center"/>
          </w:tcPr>
          <w:p w14:paraId="3AA5F0A8">
            <w:pPr>
              <w:pStyle w:val="13"/>
            </w:pPr>
          </w:p>
        </w:tc>
        <w:tc>
          <w:tcPr>
            <w:tcW w:w="2126" w:type="dxa"/>
            <w:vAlign w:val="center"/>
          </w:tcPr>
          <w:p w14:paraId="508ECB7F">
            <w:pPr>
              <w:pStyle w:val="14"/>
            </w:pPr>
          </w:p>
        </w:tc>
        <w:tc>
          <w:tcPr>
            <w:tcW w:w="4535" w:type="dxa"/>
            <w:vAlign w:val="center"/>
          </w:tcPr>
          <w:p w14:paraId="4D4C98D5">
            <w:pPr>
              <w:pStyle w:val="13"/>
            </w:pPr>
            <w:r>
              <w:t>十一、节能环保支出</w:t>
            </w:r>
          </w:p>
        </w:tc>
        <w:tc>
          <w:tcPr>
            <w:tcW w:w="2126" w:type="dxa"/>
            <w:vAlign w:val="center"/>
          </w:tcPr>
          <w:p w14:paraId="6AD26665">
            <w:pPr>
              <w:pStyle w:val="14"/>
            </w:pPr>
          </w:p>
        </w:tc>
      </w:tr>
      <w:tr w14:paraId="76B1D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146D9">
            <w:pPr>
              <w:pStyle w:val="12"/>
            </w:pPr>
            <w:r>
              <w:t>12</w:t>
            </w:r>
          </w:p>
        </w:tc>
        <w:tc>
          <w:tcPr>
            <w:tcW w:w="4535" w:type="dxa"/>
            <w:vAlign w:val="center"/>
          </w:tcPr>
          <w:p w14:paraId="7E4408C9">
            <w:pPr>
              <w:pStyle w:val="13"/>
            </w:pPr>
          </w:p>
        </w:tc>
        <w:tc>
          <w:tcPr>
            <w:tcW w:w="2126" w:type="dxa"/>
            <w:vAlign w:val="center"/>
          </w:tcPr>
          <w:p w14:paraId="31A13C7B">
            <w:pPr>
              <w:pStyle w:val="14"/>
            </w:pPr>
          </w:p>
        </w:tc>
        <w:tc>
          <w:tcPr>
            <w:tcW w:w="4535" w:type="dxa"/>
            <w:vAlign w:val="center"/>
          </w:tcPr>
          <w:p w14:paraId="4C6ED2A3">
            <w:pPr>
              <w:pStyle w:val="13"/>
            </w:pPr>
            <w:r>
              <w:t>十二、城乡社区支出</w:t>
            </w:r>
          </w:p>
        </w:tc>
        <w:tc>
          <w:tcPr>
            <w:tcW w:w="2126" w:type="dxa"/>
            <w:vAlign w:val="center"/>
          </w:tcPr>
          <w:p w14:paraId="61C0D70C">
            <w:pPr>
              <w:pStyle w:val="14"/>
            </w:pPr>
          </w:p>
        </w:tc>
      </w:tr>
      <w:tr w14:paraId="5F1D7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68D32">
            <w:pPr>
              <w:pStyle w:val="12"/>
            </w:pPr>
            <w:r>
              <w:t>13</w:t>
            </w:r>
          </w:p>
        </w:tc>
        <w:tc>
          <w:tcPr>
            <w:tcW w:w="4535" w:type="dxa"/>
            <w:vAlign w:val="center"/>
          </w:tcPr>
          <w:p w14:paraId="2C199BDE">
            <w:pPr>
              <w:pStyle w:val="13"/>
            </w:pPr>
          </w:p>
        </w:tc>
        <w:tc>
          <w:tcPr>
            <w:tcW w:w="2126" w:type="dxa"/>
            <w:vAlign w:val="center"/>
          </w:tcPr>
          <w:p w14:paraId="1632BDCB">
            <w:pPr>
              <w:pStyle w:val="14"/>
            </w:pPr>
          </w:p>
        </w:tc>
        <w:tc>
          <w:tcPr>
            <w:tcW w:w="4535" w:type="dxa"/>
            <w:vAlign w:val="center"/>
          </w:tcPr>
          <w:p w14:paraId="248312EE">
            <w:pPr>
              <w:pStyle w:val="13"/>
            </w:pPr>
            <w:r>
              <w:t>十三、农林水支出</w:t>
            </w:r>
          </w:p>
        </w:tc>
        <w:tc>
          <w:tcPr>
            <w:tcW w:w="2126" w:type="dxa"/>
            <w:vAlign w:val="center"/>
          </w:tcPr>
          <w:p w14:paraId="16EC828E">
            <w:pPr>
              <w:pStyle w:val="14"/>
            </w:pPr>
          </w:p>
        </w:tc>
      </w:tr>
      <w:tr w14:paraId="7C095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2C37E">
            <w:pPr>
              <w:pStyle w:val="12"/>
            </w:pPr>
            <w:r>
              <w:t>14</w:t>
            </w:r>
          </w:p>
        </w:tc>
        <w:tc>
          <w:tcPr>
            <w:tcW w:w="4535" w:type="dxa"/>
            <w:vAlign w:val="center"/>
          </w:tcPr>
          <w:p w14:paraId="50967D14">
            <w:pPr>
              <w:pStyle w:val="13"/>
            </w:pPr>
          </w:p>
        </w:tc>
        <w:tc>
          <w:tcPr>
            <w:tcW w:w="2126" w:type="dxa"/>
            <w:vAlign w:val="center"/>
          </w:tcPr>
          <w:p w14:paraId="0523A61D">
            <w:pPr>
              <w:pStyle w:val="14"/>
            </w:pPr>
          </w:p>
        </w:tc>
        <w:tc>
          <w:tcPr>
            <w:tcW w:w="4535" w:type="dxa"/>
            <w:vAlign w:val="center"/>
          </w:tcPr>
          <w:p w14:paraId="4F86A365">
            <w:pPr>
              <w:pStyle w:val="13"/>
            </w:pPr>
            <w:r>
              <w:t>十四、交通运输支出</w:t>
            </w:r>
          </w:p>
        </w:tc>
        <w:tc>
          <w:tcPr>
            <w:tcW w:w="2126" w:type="dxa"/>
            <w:vAlign w:val="center"/>
          </w:tcPr>
          <w:p w14:paraId="70C840E5">
            <w:pPr>
              <w:pStyle w:val="14"/>
            </w:pPr>
          </w:p>
        </w:tc>
      </w:tr>
      <w:tr w14:paraId="29A2A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116AA">
            <w:pPr>
              <w:pStyle w:val="12"/>
            </w:pPr>
            <w:r>
              <w:t>15</w:t>
            </w:r>
          </w:p>
        </w:tc>
        <w:tc>
          <w:tcPr>
            <w:tcW w:w="4535" w:type="dxa"/>
            <w:vAlign w:val="center"/>
          </w:tcPr>
          <w:p w14:paraId="3552F149">
            <w:pPr>
              <w:pStyle w:val="13"/>
            </w:pPr>
          </w:p>
        </w:tc>
        <w:tc>
          <w:tcPr>
            <w:tcW w:w="2126" w:type="dxa"/>
            <w:vAlign w:val="center"/>
          </w:tcPr>
          <w:p w14:paraId="2DD866BD">
            <w:pPr>
              <w:pStyle w:val="14"/>
            </w:pPr>
          </w:p>
        </w:tc>
        <w:tc>
          <w:tcPr>
            <w:tcW w:w="4535" w:type="dxa"/>
            <w:vAlign w:val="center"/>
          </w:tcPr>
          <w:p w14:paraId="138BF496">
            <w:pPr>
              <w:pStyle w:val="13"/>
            </w:pPr>
            <w:r>
              <w:t>十五、资源勘探工业信息等支出</w:t>
            </w:r>
          </w:p>
        </w:tc>
        <w:tc>
          <w:tcPr>
            <w:tcW w:w="2126" w:type="dxa"/>
            <w:vAlign w:val="center"/>
          </w:tcPr>
          <w:p w14:paraId="0C03E79B">
            <w:pPr>
              <w:pStyle w:val="14"/>
            </w:pPr>
          </w:p>
        </w:tc>
      </w:tr>
      <w:tr w14:paraId="25D0B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4B4EA">
            <w:pPr>
              <w:pStyle w:val="12"/>
            </w:pPr>
            <w:r>
              <w:t>16</w:t>
            </w:r>
          </w:p>
        </w:tc>
        <w:tc>
          <w:tcPr>
            <w:tcW w:w="4535" w:type="dxa"/>
            <w:vAlign w:val="center"/>
          </w:tcPr>
          <w:p w14:paraId="6EAEFC17">
            <w:pPr>
              <w:pStyle w:val="13"/>
            </w:pPr>
          </w:p>
        </w:tc>
        <w:tc>
          <w:tcPr>
            <w:tcW w:w="2126" w:type="dxa"/>
            <w:vAlign w:val="center"/>
          </w:tcPr>
          <w:p w14:paraId="35CEA6CD">
            <w:pPr>
              <w:pStyle w:val="14"/>
            </w:pPr>
          </w:p>
        </w:tc>
        <w:tc>
          <w:tcPr>
            <w:tcW w:w="4535" w:type="dxa"/>
            <w:vAlign w:val="center"/>
          </w:tcPr>
          <w:p w14:paraId="420641B1">
            <w:pPr>
              <w:pStyle w:val="13"/>
            </w:pPr>
            <w:r>
              <w:t>十六、商业服务业等支出</w:t>
            </w:r>
          </w:p>
        </w:tc>
        <w:tc>
          <w:tcPr>
            <w:tcW w:w="2126" w:type="dxa"/>
            <w:vAlign w:val="center"/>
          </w:tcPr>
          <w:p w14:paraId="3E539F20">
            <w:pPr>
              <w:pStyle w:val="14"/>
            </w:pPr>
          </w:p>
        </w:tc>
      </w:tr>
      <w:tr w14:paraId="65673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5FA71">
            <w:pPr>
              <w:pStyle w:val="12"/>
            </w:pPr>
            <w:r>
              <w:t>17</w:t>
            </w:r>
          </w:p>
        </w:tc>
        <w:tc>
          <w:tcPr>
            <w:tcW w:w="4535" w:type="dxa"/>
            <w:vAlign w:val="center"/>
          </w:tcPr>
          <w:p w14:paraId="0AF140FC">
            <w:pPr>
              <w:pStyle w:val="13"/>
            </w:pPr>
          </w:p>
        </w:tc>
        <w:tc>
          <w:tcPr>
            <w:tcW w:w="2126" w:type="dxa"/>
            <w:vAlign w:val="center"/>
          </w:tcPr>
          <w:p w14:paraId="766DF3BA">
            <w:pPr>
              <w:pStyle w:val="14"/>
            </w:pPr>
          </w:p>
        </w:tc>
        <w:tc>
          <w:tcPr>
            <w:tcW w:w="4535" w:type="dxa"/>
            <w:vAlign w:val="center"/>
          </w:tcPr>
          <w:p w14:paraId="6D8C8916">
            <w:pPr>
              <w:pStyle w:val="13"/>
            </w:pPr>
            <w:r>
              <w:t>十七、金融支出</w:t>
            </w:r>
          </w:p>
        </w:tc>
        <w:tc>
          <w:tcPr>
            <w:tcW w:w="2126" w:type="dxa"/>
            <w:vAlign w:val="center"/>
          </w:tcPr>
          <w:p w14:paraId="5C0ADEC5">
            <w:pPr>
              <w:pStyle w:val="14"/>
            </w:pPr>
          </w:p>
        </w:tc>
      </w:tr>
      <w:tr w14:paraId="1F66E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28A76">
            <w:pPr>
              <w:pStyle w:val="12"/>
            </w:pPr>
            <w:r>
              <w:t>18</w:t>
            </w:r>
          </w:p>
        </w:tc>
        <w:tc>
          <w:tcPr>
            <w:tcW w:w="4535" w:type="dxa"/>
            <w:vAlign w:val="center"/>
          </w:tcPr>
          <w:p w14:paraId="793DAE06">
            <w:pPr>
              <w:pStyle w:val="13"/>
            </w:pPr>
          </w:p>
        </w:tc>
        <w:tc>
          <w:tcPr>
            <w:tcW w:w="2126" w:type="dxa"/>
            <w:vAlign w:val="center"/>
          </w:tcPr>
          <w:p w14:paraId="1D137954">
            <w:pPr>
              <w:pStyle w:val="14"/>
            </w:pPr>
          </w:p>
        </w:tc>
        <w:tc>
          <w:tcPr>
            <w:tcW w:w="4535" w:type="dxa"/>
            <w:vAlign w:val="center"/>
          </w:tcPr>
          <w:p w14:paraId="7D278C0F">
            <w:pPr>
              <w:pStyle w:val="13"/>
            </w:pPr>
            <w:r>
              <w:t>十八、援助其他地区支出</w:t>
            </w:r>
          </w:p>
        </w:tc>
        <w:tc>
          <w:tcPr>
            <w:tcW w:w="2126" w:type="dxa"/>
            <w:vAlign w:val="center"/>
          </w:tcPr>
          <w:p w14:paraId="5FA04975">
            <w:pPr>
              <w:pStyle w:val="14"/>
            </w:pPr>
          </w:p>
        </w:tc>
      </w:tr>
      <w:tr w14:paraId="0C06F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1C65B">
            <w:pPr>
              <w:pStyle w:val="12"/>
            </w:pPr>
            <w:r>
              <w:t>19</w:t>
            </w:r>
          </w:p>
        </w:tc>
        <w:tc>
          <w:tcPr>
            <w:tcW w:w="4535" w:type="dxa"/>
            <w:vAlign w:val="center"/>
          </w:tcPr>
          <w:p w14:paraId="127F4BE0">
            <w:pPr>
              <w:pStyle w:val="13"/>
            </w:pPr>
          </w:p>
        </w:tc>
        <w:tc>
          <w:tcPr>
            <w:tcW w:w="2126" w:type="dxa"/>
            <w:vAlign w:val="center"/>
          </w:tcPr>
          <w:p w14:paraId="0BD6BBEA">
            <w:pPr>
              <w:pStyle w:val="14"/>
            </w:pPr>
          </w:p>
        </w:tc>
        <w:tc>
          <w:tcPr>
            <w:tcW w:w="4535" w:type="dxa"/>
            <w:vAlign w:val="center"/>
          </w:tcPr>
          <w:p w14:paraId="440F16F1">
            <w:pPr>
              <w:pStyle w:val="13"/>
            </w:pPr>
            <w:r>
              <w:t>十九、自然资源海洋气象等支出</w:t>
            </w:r>
          </w:p>
        </w:tc>
        <w:tc>
          <w:tcPr>
            <w:tcW w:w="2126" w:type="dxa"/>
            <w:vAlign w:val="center"/>
          </w:tcPr>
          <w:p w14:paraId="484D8A6F">
            <w:pPr>
              <w:pStyle w:val="14"/>
            </w:pPr>
          </w:p>
        </w:tc>
      </w:tr>
      <w:tr w14:paraId="1BF3E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9F1C2">
            <w:pPr>
              <w:pStyle w:val="12"/>
            </w:pPr>
            <w:r>
              <w:t>20</w:t>
            </w:r>
          </w:p>
        </w:tc>
        <w:tc>
          <w:tcPr>
            <w:tcW w:w="4535" w:type="dxa"/>
            <w:vAlign w:val="center"/>
          </w:tcPr>
          <w:p w14:paraId="755946F1">
            <w:pPr>
              <w:pStyle w:val="13"/>
            </w:pPr>
          </w:p>
        </w:tc>
        <w:tc>
          <w:tcPr>
            <w:tcW w:w="2126" w:type="dxa"/>
            <w:vAlign w:val="center"/>
          </w:tcPr>
          <w:p w14:paraId="2EA84FC4">
            <w:pPr>
              <w:pStyle w:val="14"/>
            </w:pPr>
          </w:p>
        </w:tc>
        <w:tc>
          <w:tcPr>
            <w:tcW w:w="4535" w:type="dxa"/>
            <w:vAlign w:val="center"/>
          </w:tcPr>
          <w:p w14:paraId="31508F15">
            <w:pPr>
              <w:pStyle w:val="13"/>
            </w:pPr>
            <w:r>
              <w:t>二十、住房保障支出</w:t>
            </w:r>
          </w:p>
        </w:tc>
        <w:tc>
          <w:tcPr>
            <w:tcW w:w="2126" w:type="dxa"/>
            <w:vAlign w:val="center"/>
          </w:tcPr>
          <w:p w14:paraId="6A1024CC">
            <w:pPr>
              <w:pStyle w:val="14"/>
            </w:pPr>
          </w:p>
        </w:tc>
      </w:tr>
      <w:tr w14:paraId="50691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D9C0E">
            <w:pPr>
              <w:pStyle w:val="12"/>
            </w:pPr>
            <w:r>
              <w:t>21</w:t>
            </w:r>
          </w:p>
        </w:tc>
        <w:tc>
          <w:tcPr>
            <w:tcW w:w="4535" w:type="dxa"/>
            <w:vAlign w:val="center"/>
          </w:tcPr>
          <w:p w14:paraId="1AC1204A">
            <w:pPr>
              <w:pStyle w:val="13"/>
            </w:pPr>
          </w:p>
        </w:tc>
        <w:tc>
          <w:tcPr>
            <w:tcW w:w="2126" w:type="dxa"/>
            <w:vAlign w:val="center"/>
          </w:tcPr>
          <w:p w14:paraId="1363A110">
            <w:pPr>
              <w:pStyle w:val="14"/>
            </w:pPr>
          </w:p>
        </w:tc>
        <w:tc>
          <w:tcPr>
            <w:tcW w:w="4535" w:type="dxa"/>
            <w:vAlign w:val="center"/>
          </w:tcPr>
          <w:p w14:paraId="2379174B">
            <w:pPr>
              <w:pStyle w:val="13"/>
            </w:pPr>
            <w:r>
              <w:t>二十一、粮油物资储备支出</w:t>
            </w:r>
          </w:p>
        </w:tc>
        <w:tc>
          <w:tcPr>
            <w:tcW w:w="2126" w:type="dxa"/>
            <w:vAlign w:val="center"/>
          </w:tcPr>
          <w:p w14:paraId="3916B4AD">
            <w:pPr>
              <w:pStyle w:val="14"/>
            </w:pPr>
          </w:p>
        </w:tc>
      </w:tr>
      <w:tr w14:paraId="71DDE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E0FC5">
            <w:pPr>
              <w:pStyle w:val="12"/>
            </w:pPr>
            <w:r>
              <w:t>22</w:t>
            </w:r>
          </w:p>
        </w:tc>
        <w:tc>
          <w:tcPr>
            <w:tcW w:w="4535" w:type="dxa"/>
            <w:vAlign w:val="center"/>
          </w:tcPr>
          <w:p w14:paraId="34447E72">
            <w:pPr>
              <w:pStyle w:val="13"/>
            </w:pPr>
          </w:p>
        </w:tc>
        <w:tc>
          <w:tcPr>
            <w:tcW w:w="2126" w:type="dxa"/>
            <w:vAlign w:val="center"/>
          </w:tcPr>
          <w:p w14:paraId="2CBEBD43">
            <w:pPr>
              <w:pStyle w:val="14"/>
            </w:pPr>
          </w:p>
        </w:tc>
        <w:tc>
          <w:tcPr>
            <w:tcW w:w="4535" w:type="dxa"/>
            <w:vAlign w:val="center"/>
          </w:tcPr>
          <w:p w14:paraId="608D7AD4">
            <w:pPr>
              <w:pStyle w:val="13"/>
            </w:pPr>
            <w:r>
              <w:t>二十二、国有资本经营预算支出</w:t>
            </w:r>
          </w:p>
        </w:tc>
        <w:tc>
          <w:tcPr>
            <w:tcW w:w="2126" w:type="dxa"/>
            <w:vAlign w:val="center"/>
          </w:tcPr>
          <w:p w14:paraId="5657F584">
            <w:pPr>
              <w:pStyle w:val="14"/>
            </w:pPr>
          </w:p>
        </w:tc>
      </w:tr>
      <w:tr w14:paraId="1C0D5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F13E7">
            <w:pPr>
              <w:pStyle w:val="12"/>
            </w:pPr>
            <w:r>
              <w:t>23</w:t>
            </w:r>
          </w:p>
        </w:tc>
        <w:tc>
          <w:tcPr>
            <w:tcW w:w="4535" w:type="dxa"/>
            <w:vAlign w:val="center"/>
          </w:tcPr>
          <w:p w14:paraId="63C38872">
            <w:pPr>
              <w:pStyle w:val="13"/>
            </w:pPr>
          </w:p>
        </w:tc>
        <w:tc>
          <w:tcPr>
            <w:tcW w:w="2126" w:type="dxa"/>
            <w:vAlign w:val="center"/>
          </w:tcPr>
          <w:p w14:paraId="6911BAC4">
            <w:pPr>
              <w:pStyle w:val="14"/>
            </w:pPr>
          </w:p>
        </w:tc>
        <w:tc>
          <w:tcPr>
            <w:tcW w:w="4535" w:type="dxa"/>
            <w:vAlign w:val="center"/>
          </w:tcPr>
          <w:p w14:paraId="5EE170C1">
            <w:pPr>
              <w:pStyle w:val="13"/>
            </w:pPr>
            <w:r>
              <w:t>二十三、灾害防治及应急管理支出</w:t>
            </w:r>
          </w:p>
        </w:tc>
        <w:tc>
          <w:tcPr>
            <w:tcW w:w="2126" w:type="dxa"/>
            <w:vAlign w:val="center"/>
          </w:tcPr>
          <w:p w14:paraId="036AA486">
            <w:pPr>
              <w:pStyle w:val="14"/>
            </w:pPr>
          </w:p>
        </w:tc>
      </w:tr>
      <w:tr w14:paraId="0A5A0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CD1B1">
            <w:pPr>
              <w:pStyle w:val="12"/>
            </w:pPr>
            <w:r>
              <w:t>24</w:t>
            </w:r>
          </w:p>
        </w:tc>
        <w:tc>
          <w:tcPr>
            <w:tcW w:w="4535" w:type="dxa"/>
            <w:vAlign w:val="center"/>
          </w:tcPr>
          <w:p w14:paraId="5A2FC2C6">
            <w:pPr>
              <w:pStyle w:val="13"/>
            </w:pPr>
          </w:p>
        </w:tc>
        <w:tc>
          <w:tcPr>
            <w:tcW w:w="2126" w:type="dxa"/>
            <w:vAlign w:val="center"/>
          </w:tcPr>
          <w:p w14:paraId="420BE6C4">
            <w:pPr>
              <w:pStyle w:val="14"/>
            </w:pPr>
          </w:p>
        </w:tc>
        <w:tc>
          <w:tcPr>
            <w:tcW w:w="4535" w:type="dxa"/>
            <w:vAlign w:val="center"/>
          </w:tcPr>
          <w:p w14:paraId="7DB97D9E">
            <w:pPr>
              <w:pStyle w:val="13"/>
            </w:pPr>
            <w:r>
              <w:t>二十四、预备费</w:t>
            </w:r>
          </w:p>
        </w:tc>
        <w:tc>
          <w:tcPr>
            <w:tcW w:w="2126" w:type="dxa"/>
            <w:vAlign w:val="center"/>
          </w:tcPr>
          <w:p w14:paraId="1B1A1DB2">
            <w:pPr>
              <w:pStyle w:val="14"/>
            </w:pPr>
          </w:p>
        </w:tc>
      </w:tr>
      <w:tr w14:paraId="5BFD5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48346">
            <w:pPr>
              <w:pStyle w:val="12"/>
            </w:pPr>
            <w:r>
              <w:t>25</w:t>
            </w:r>
          </w:p>
        </w:tc>
        <w:tc>
          <w:tcPr>
            <w:tcW w:w="4535" w:type="dxa"/>
            <w:vAlign w:val="center"/>
          </w:tcPr>
          <w:p w14:paraId="73918AB1">
            <w:pPr>
              <w:pStyle w:val="13"/>
            </w:pPr>
          </w:p>
        </w:tc>
        <w:tc>
          <w:tcPr>
            <w:tcW w:w="2126" w:type="dxa"/>
            <w:vAlign w:val="center"/>
          </w:tcPr>
          <w:p w14:paraId="583C789D">
            <w:pPr>
              <w:pStyle w:val="14"/>
            </w:pPr>
          </w:p>
        </w:tc>
        <w:tc>
          <w:tcPr>
            <w:tcW w:w="4535" w:type="dxa"/>
            <w:vAlign w:val="center"/>
          </w:tcPr>
          <w:p w14:paraId="3C8B592E">
            <w:pPr>
              <w:pStyle w:val="13"/>
            </w:pPr>
            <w:r>
              <w:t>二十五、其他支出</w:t>
            </w:r>
          </w:p>
        </w:tc>
        <w:tc>
          <w:tcPr>
            <w:tcW w:w="2126" w:type="dxa"/>
            <w:vAlign w:val="center"/>
          </w:tcPr>
          <w:p w14:paraId="3873FFE2">
            <w:pPr>
              <w:pStyle w:val="14"/>
            </w:pPr>
          </w:p>
        </w:tc>
      </w:tr>
      <w:tr w14:paraId="3C324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B930A">
            <w:pPr>
              <w:pStyle w:val="12"/>
            </w:pPr>
            <w:r>
              <w:t>26</w:t>
            </w:r>
          </w:p>
        </w:tc>
        <w:tc>
          <w:tcPr>
            <w:tcW w:w="4535" w:type="dxa"/>
            <w:vAlign w:val="center"/>
          </w:tcPr>
          <w:p w14:paraId="6D2FCE9C">
            <w:pPr>
              <w:pStyle w:val="13"/>
            </w:pPr>
          </w:p>
        </w:tc>
        <w:tc>
          <w:tcPr>
            <w:tcW w:w="2126" w:type="dxa"/>
            <w:vAlign w:val="center"/>
          </w:tcPr>
          <w:p w14:paraId="2E2326C5">
            <w:pPr>
              <w:pStyle w:val="14"/>
            </w:pPr>
          </w:p>
        </w:tc>
        <w:tc>
          <w:tcPr>
            <w:tcW w:w="4535" w:type="dxa"/>
            <w:vAlign w:val="center"/>
          </w:tcPr>
          <w:p w14:paraId="2FF0EA57">
            <w:pPr>
              <w:pStyle w:val="13"/>
            </w:pPr>
            <w:r>
              <w:t>二十六、转移性支出</w:t>
            </w:r>
          </w:p>
        </w:tc>
        <w:tc>
          <w:tcPr>
            <w:tcW w:w="2126" w:type="dxa"/>
            <w:vAlign w:val="center"/>
          </w:tcPr>
          <w:p w14:paraId="7E5AEAE1">
            <w:pPr>
              <w:pStyle w:val="14"/>
            </w:pPr>
          </w:p>
        </w:tc>
      </w:tr>
      <w:tr w14:paraId="1E9ED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F79F2">
            <w:pPr>
              <w:pStyle w:val="12"/>
            </w:pPr>
            <w:r>
              <w:t>27</w:t>
            </w:r>
          </w:p>
        </w:tc>
        <w:tc>
          <w:tcPr>
            <w:tcW w:w="4535" w:type="dxa"/>
            <w:vAlign w:val="center"/>
          </w:tcPr>
          <w:p w14:paraId="584DDCC1">
            <w:pPr>
              <w:pStyle w:val="13"/>
            </w:pPr>
          </w:p>
        </w:tc>
        <w:tc>
          <w:tcPr>
            <w:tcW w:w="2126" w:type="dxa"/>
            <w:vAlign w:val="center"/>
          </w:tcPr>
          <w:p w14:paraId="58F52EE4">
            <w:pPr>
              <w:pStyle w:val="14"/>
            </w:pPr>
          </w:p>
        </w:tc>
        <w:tc>
          <w:tcPr>
            <w:tcW w:w="4535" w:type="dxa"/>
            <w:vAlign w:val="center"/>
          </w:tcPr>
          <w:p w14:paraId="0F8F827C">
            <w:pPr>
              <w:pStyle w:val="13"/>
            </w:pPr>
            <w:r>
              <w:t>二十七、债务还本支出</w:t>
            </w:r>
          </w:p>
        </w:tc>
        <w:tc>
          <w:tcPr>
            <w:tcW w:w="2126" w:type="dxa"/>
            <w:vAlign w:val="center"/>
          </w:tcPr>
          <w:p w14:paraId="087DD323">
            <w:pPr>
              <w:pStyle w:val="14"/>
            </w:pPr>
          </w:p>
        </w:tc>
      </w:tr>
      <w:tr w14:paraId="048DB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FBA32">
            <w:pPr>
              <w:pStyle w:val="12"/>
            </w:pPr>
            <w:r>
              <w:t>28</w:t>
            </w:r>
          </w:p>
        </w:tc>
        <w:tc>
          <w:tcPr>
            <w:tcW w:w="4535" w:type="dxa"/>
            <w:vAlign w:val="center"/>
          </w:tcPr>
          <w:p w14:paraId="043079E3">
            <w:pPr>
              <w:pStyle w:val="13"/>
            </w:pPr>
          </w:p>
        </w:tc>
        <w:tc>
          <w:tcPr>
            <w:tcW w:w="2126" w:type="dxa"/>
            <w:vAlign w:val="center"/>
          </w:tcPr>
          <w:p w14:paraId="1CFD7BF6">
            <w:pPr>
              <w:pStyle w:val="14"/>
            </w:pPr>
          </w:p>
        </w:tc>
        <w:tc>
          <w:tcPr>
            <w:tcW w:w="4535" w:type="dxa"/>
            <w:vAlign w:val="center"/>
          </w:tcPr>
          <w:p w14:paraId="2C0ED762">
            <w:pPr>
              <w:pStyle w:val="13"/>
            </w:pPr>
            <w:r>
              <w:t>二十八、债务付息支出</w:t>
            </w:r>
          </w:p>
        </w:tc>
        <w:tc>
          <w:tcPr>
            <w:tcW w:w="2126" w:type="dxa"/>
            <w:vAlign w:val="center"/>
          </w:tcPr>
          <w:p w14:paraId="5173AEA5">
            <w:pPr>
              <w:pStyle w:val="14"/>
            </w:pPr>
          </w:p>
        </w:tc>
      </w:tr>
      <w:tr w14:paraId="0876F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4BCDC">
            <w:pPr>
              <w:pStyle w:val="12"/>
            </w:pPr>
            <w:r>
              <w:t>29</w:t>
            </w:r>
          </w:p>
        </w:tc>
        <w:tc>
          <w:tcPr>
            <w:tcW w:w="4535" w:type="dxa"/>
            <w:vAlign w:val="center"/>
          </w:tcPr>
          <w:p w14:paraId="4F216FFA">
            <w:pPr>
              <w:pStyle w:val="13"/>
            </w:pPr>
          </w:p>
        </w:tc>
        <w:tc>
          <w:tcPr>
            <w:tcW w:w="2126" w:type="dxa"/>
            <w:vAlign w:val="center"/>
          </w:tcPr>
          <w:p w14:paraId="1EFF3678">
            <w:pPr>
              <w:pStyle w:val="14"/>
            </w:pPr>
          </w:p>
        </w:tc>
        <w:tc>
          <w:tcPr>
            <w:tcW w:w="4535" w:type="dxa"/>
            <w:vAlign w:val="center"/>
          </w:tcPr>
          <w:p w14:paraId="461E24F5">
            <w:pPr>
              <w:pStyle w:val="13"/>
            </w:pPr>
            <w:r>
              <w:t>二十九、债务发行费用支出</w:t>
            </w:r>
          </w:p>
        </w:tc>
        <w:tc>
          <w:tcPr>
            <w:tcW w:w="2126" w:type="dxa"/>
            <w:vAlign w:val="center"/>
          </w:tcPr>
          <w:p w14:paraId="14917FFB">
            <w:pPr>
              <w:pStyle w:val="14"/>
            </w:pPr>
          </w:p>
        </w:tc>
      </w:tr>
      <w:tr w14:paraId="3BF5D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9B7A1">
            <w:pPr>
              <w:pStyle w:val="12"/>
            </w:pPr>
            <w:r>
              <w:t>30</w:t>
            </w:r>
          </w:p>
        </w:tc>
        <w:tc>
          <w:tcPr>
            <w:tcW w:w="4535" w:type="dxa"/>
            <w:vAlign w:val="center"/>
          </w:tcPr>
          <w:p w14:paraId="180720C5">
            <w:pPr>
              <w:pStyle w:val="13"/>
            </w:pPr>
          </w:p>
        </w:tc>
        <w:tc>
          <w:tcPr>
            <w:tcW w:w="2126" w:type="dxa"/>
            <w:vAlign w:val="center"/>
          </w:tcPr>
          <w:p w14:paraId="0D0F4470">
            <w:pPr>
              <w:pStyle w:val="14"/>
            </w:pPr>
          </w:p>
        </w:tc>
        <w:tc>
          <w:tcPr>
            <w:tcW w:w="4535" w:type="dxa"/>
            <w:vAlign w:val="center"/>
          </w:tcPr>
          <w:p w14:paraId="2A800FEA">
            <w:pPr>
              <w:pStyle w:val="13"/>
            </w:pPr>
            <w:r>
              <w:t>三十、抗疫特别国债安排的支出</w:t>
            </w:r>
          </w:p>
        </w:tc>
        <w:tc>
          <w:tcPr>
            <w:tcW w:w="2126" w:type="dxa"/>
            <w:vAlign w:val="center"/>
          </w:tcPr>
          <w:p w14:paraId="3D776D23">
            <w:pPr>
              <w:pStyle w:val="14"/>
            </w:pPr>
          </w:p>
        </w:tc>
      </w:tr>
      <w:tr w14:paraId="4C9E8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30849">
            <w:pPr>
              <w:pStyle w:val="12"/>
            </w:pPr>
            <w:r>
              <w:t>31</w:t>
            </w:r>
          </w:p>
        </w:tc>
        <w:tc>
          <w:tcPr>
            <w:tcW w:w="4535" w:type="dxa"/>
            <w:vAlign w:val="center"/>
          </w:tcPr>
          <w:p w14:paraId="35CDEF36">
            <w:pPr>
              <w:pStyle w:val="13"/>
            </w:pPr>
          </w:p>
        </w:tc>
        <w:tc>
          <w:tcPr>
            <w:tcW w:w="2126" w:type="dxa"/>
            <w:vAlign w:val="center"/>
          </w:tcPr>
          <w:p w14:paraId="1C287DF4">
            <w:pPr>
              <w:pStyle w:val="14"/>
            </w:pPr>
          </w:p>
        </w:tc>
        <w:tc>
          <w:tcPr>
            <w:tcW w:w="4535" w:type="dxa"/>
            <w:vAlign w:val="center"/>
          </w:tcPr>
          <w:p w14:paraId="34818CEC">
            <w:pPr>
              <w:pStyle w:val="13"/>
            </w:pPr>
            <w:r>
              <w:t>三十一、人行科目</w:t>
            </w:r>
          </w:p>
        </w:tc>
        <w:tc>
          <w:tcPr>
            <w:tcW w:w="2126" w:type="dxa"/>
            <w:vAlign w:val="center"/>
          </w:tcPr>
          <w:p w14:paraId="185DE9C7">
            <w:pPr>
              <w:pStyle w:val="14"/>
            </w:pPr>
          </w:p>
        </w:tc>
      </w:tr>
      <w:tr w14:paraId="3CC4D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C6C5E">
            <w:pPr>
              <w:pStyle w:val="12"/>
            </w:pPr>
            <w:r>
              <w:t>32</w:t>
            </w:r>
          </w:p>
        </w:tc>
        <w:tc>
          <w:tcPr>
            <w:tcW w:w="4535" w:type="dxa"/>
            <w:vAlign w:val="center"/>
          </w:tcPr>
          <w:p w14:paraId="64CCEAF7">
            <w:pPr>
              <w:pStyle w:val="15"/>
            </w:pPr>
            <w:r>
              <w:t>本年收入合计</w:t>
            </w:r>
          </w:p>
        </w:tc>
        <w:tc>
          <w:tcPr>
            <w:tcW w:w="2126" w:type="dxa"/>
            <w:vAlign w:val="center"/>
          </w:tcPr>
          <w:p w14:paraId="174759A8">
            <w:pPr>
              <w:pStyle w:val="16"/>
            </w:pPr>
            <w:r>
              <w:t>1140.50</w:t>
            </w:r>
          </w:p>
        </w:tc>
        <w:tc>
          <w:tcPr>
            <w:tcW w:w="4535" w:type="dxa"/>
            <w:vAlign w:val="center"/>
          </w:tcPr>
          <w:p w14:paraId="5A599FB1">
            <w:pPr>
              <w:pStyle w:val="15"/>
            </w:pPr>
            <w:r>
              <w:t>本年支出合计</w:t>
            </w:r>
          </w:p>
        </w:tc>
        <w:tc>
          <w:tcPr>
            <w:tcW w:w="2126" w:type="dxa"/>
            <w:vAlign w:val="center"/>
          </w:tcPr>
          <w:p w14:paraId="26C82257">
            <w:pPr>
              <w:pStyle w:val="16"/>
            </w:pPr>
            <w:r>
              <w:t>1140.50</w:t>
            </w:r>
          </w:p>
        </w:tc>
      </w:tr>
      <w:tr w14:paraId="5962F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F47AC">
            <w:pPr>
              <w:pStyle w:val="12"/>
            </w:pPr>
            <w:r>
              <w:t>33</w:t>
            </w:r>
          </w:p>
        </w:tc>
        <w:tc>
          <w:tcPr>
            <w:tcW w:w="4535" w:type="dxa"/>
            <w:vAlign w:val="center"/>
          </w:tcPr>
          <w:p w14:paraId="4F6FFF6F">
            <w:pPr>
              <w:pStyle w:val="13"/>
            </w:pPr>
            <w:r>
              <w:t>上年结转结余</w:t>
            </w:r>
          </w:p>
        </w:tc>
        <w:tc>
          <w:tcPr>
            <w:tcW w:w="2126" w:type="dxa"/>
            <w:vAlign w:val="center"/>
          </w:tcPr>
          <w:p w14:paraId="76D52AB9">
            <w:pPr>
              <w:pStyle w:val="14"/>
            </w:pPr>
          </w:p>
        </w:tc>
        <w:tc>
          <w:tcPr>
            <w:tcW w:w="4535" w:type="dxa"/>
            <w:vAlign w:val="center"/>
          </w:tcPr>
          <w:p w14:paraId="5A1E12AD">
            <w:pPr>
              <w:pStyle w:val="13"/>
            </w:pPr>
            <w:r>
              <w:t>年终结转结余</w:t>
            </w:r>
          </w:p>
        </w:tc>
        <w:tc>
          <w:tcPr>
            <w:tcW w:w="2126" w:type="dxa"/>
            <w:vAlign w:val="center"/>
          </w:tcPr>
          <w:p w14:paraId="50D8811B">
            <w:pPr>
              <w:pStyle w:val="14"/>
            </w:pPr>
          </w:p>
        </w:tc>
      </w:tr>
      <w:tr w14:paraId="4793C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FB1D9">
            <w:pPr>
              <w:pStyle w:val="12"/>
            </w:pPr>
            <w:r>
              <w:t>34</w:t>
            </w:r>
          </w:p>
        </w:tc>
        <w:tc>
          <w:tcPr>
            <w:tcW w:w="4535" w:type="dxa"/>
            <w:vAlign w:val="center"/>
          </w:tcPr>
          <w:p w14:paraId="55D68260">
            <w:pPr>
              <w:pStyle w:val="15"/>
            </w:pPr>
            <w:r>
              <w:t>收入总计</w:t>
            </w:r>
          </w:p>
        </w:tc>
        <w:tc>
          <w:tcPr>
            <w:tcW w:w="2126" w:type="dxa"/>
            <w:vAlign w:val="center"/>
          </w:tcPr>
          <w:p w14:paraId="324119E6">
            <w:pPr>
              <w:pStyle w:val="16"/>
            </w:pPr>
            <w:r>
              <w:t>1140.50</w:t>
            </w:r>
          </w:p>
        </w:tc>
        <w:tc>
          <w:tcPr>
            <w:tcW w:w="4535" w:type="dxa"/>
            <w:vAlign w:val="center"/>
          </w:tcPr>
          <w:p w14:paraId="3C047201">
            <w:pPr>
              <w:pStyle w:val="15"/>
            </w:pPr>
            <w:r>
              <w:t>支出总计</w:t>
            </w:r>
          </w:p>
        </w:tc>
        <w:tc>
          <w:tcPr>
            <w:tcW w:w="2126" w:type="dxa"/>
            <w:vAlign w:val="center"/>
          </w:tcPr>
          <w:p w14:paraId="67BBBD33">
            <w:pPr>
              <w:pStyle w:val="16"/>
            </w:pPr>
            <w:r>
              <w:t>1140.50</w:t>
            </w:r>
          </w:p>
        </w:tc>
      </w:tr>
    </w:tbl>
    <w:p w14:paraId="4EBF7E18">
      <w:pPr>
        <w:sectPr>
          <w:pgSz w:w="16840" w:h="11900" w:orient="landscape"/>
          <w:pgMar w:top="1361" w:right="1020" w:bottom="1134" w:left="1020" w:header="720" w:footer="720" w:gutter="0"/>
          <w:cols w:space="720" w:num="1"/>
        </w:sectPr>
      </w:pPr>
    </w:p>
    <w:p w14:paraId="0925D7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8F4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81FE79">
            <w:pPr>
              <w:pStyle w:val="8"/>
            </w:pPr>
            <w:r>
              <w:t>360028隆尧县教师发展中心</w:t>
            </w:r>
          </w:p>
        </w:tc>
        <w:tc>
          <w:tcPr>
            <w:tcW w:w="3402" w:type="dxa"/>
            <w:gridSpan w:val="3"/>
            <w:tcBorders>
              <w:top w:val="single" w:color="FFFFFF" w:sz="6" w:space="0"/>
              <w:left w:val="single" w:color="FFFFFF" w:sz="6" w:space="0"/>
              <w:right w:val="single" w:color="FFFFFF" w:sz="6" w:space="0"/>
            </w:tcBorders>
            <w:vAlign w:val="center"/>
          </w:tcPr>
          <w:p w14:paraId="321ED51E">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2C30E7F">
            <w:pPr>
              <w:pStyle w:val="10"/>
            </w:pPr>
            <w:r>
              <w:t>单位：万元</w:t>
            </w:r>
          </w:p>
        </w:tc>
      </w:tr>
      <w:tr w14:paraId="2A846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C27735">
            <w:pPr>
              <w:pStyle w:val="11"/>
            </w:pPr>
            <w:r>
              <w:t>序号</w:t>
            </w:r>
          </w:p>
        </w:tc>
        <w:tc>
          <w:tcPr>
            <w:tcW w:w="2551" w:type="dxa"/>
            <w:gridSpan w:val="2"/>
            <w:vAlign w:val="center"/>
          </w:tcPr>
          <w:p w14:paraId="5373C236">
            <w:pPr>
              <w:pStyle w:val="11"/>
            </w:pPr>
            <w:r>
              <w:t>功能分类科目</w:t>
            </w:r>
          </w:p>
        </w:tc>
        <w:tc>
          <w:tcPr>
            <w:tcW w:w="1134" w:type="dxa"/>
            <w:vMerge w:val="restart"/>
            <w:vAlign w:val="center"/>
          </w:tcPr>
          <w:p w14:paraId="375A5B73">
            <w:pPr>
              <w:pStyle w:val="11"/>
            </w:pPr>
            <w:r>
              <w:t>合计</w:t>
            </w:r>
          </w:p>
        </w:tc>
        <w:tc>
          <w:tcPr>
            <w:tcW w:w="9072" w:type="dxa"/>
            <w:gridSpan w:val="8"/>
            <w:vAlign w:val="center"/>
          </w:tcPr>
          <w:p w14:paraId="18FA7C40">
            <w:pPr>
              <w:pStyle w:val="11"/>
            </w:pPr>
            <w:r>
              <w:t>本年收入</w:t>
            </w:r>
          </w:p>
        </w:tc>
        <w:tc>
          <w:tcPr>
            <w:tcW w:w="1134" w:type="dxa"/>
            <w:vMerge w:val="restart"/>
            <w:vAlign w:val="center"/>
          </w:tcPr>
          <w:p w14:paraId="7C6834AE">
            <w:pPr>
              <w:pStyle w:val="11"/>
            </w:pPr>
            <w:r>
              <w:t>上年结转</w:t>
            </w:r>
          </w:p>
        </w:tc>
      </w:tr>
      <w:tr w14:paraId="029A2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DB2426"/>
        </w:tc>
        <w:tc>
          <w:tcPr>
            <w:tcW w:w="992" w:type="dxa"/>
            <w:vAlign w:val="center"/>
          </w:tcPr>
          <w:p w14:paraId="5DEA5904">
            <w:pPr>
              <w:pStyle w:val="11"/>
            </w:pPr>
            <w:r>
              <w:t>科目    编码</w:t>
            </w:r>
          </w:p>
        </w:tc>
        <w:tc>
          <w:tcPr>
            <w:tcW w:w="1559" w:type="dxa"/>
            <w:vAlign w:val="center"/>
          </w:tcPr>
          <w:p w14:paraId="6D034B98">
            <w:pPr>
              <w:pStyle w:val="11"/>
            </w:pPr>
            <w:r>
              <w:t>科目名称</w:t>
            </w:r>
          </w:p>
        </w:tc>
        <w:tc>
          <w:tcPr>
            <w:tcW w:w="1134" w:type="dxa"/>
            <w:vMerge w:val="continue"/>
          </w:tcPr>
          <w:p w14:paraId="692AD8B6"/>
        </w:tc>
        <w:tc>
          <w:tcPr>
            <w:tcW w:w="1134" w:type="dxa"/>
            <w:vAlign w:val="center"/>
          </w:tcPr>
          <w:p w14:paraId="1537D42C">
            <w:pPr>
              <w:pStyle w:val="11"/>
            </w:pPr>
            <w:r>
              <w:t>小计</w:t>
            </w:r>
          </w:p>
        </w:tc>
        <w:tc>
          <w:tcPr>
            <w:tcW w:w="1134" w:type="dxa"/>
            <w:vAlign w:val="center"/>
          </w:tcPr>
          <w:p w14:paraId="6C0CA24B">
            <w:pPr>
              <w:pStyle w:val="11"/>
            </w:pPr>
            <w:r>
              <w:t>财政拨款 收入</w:t>
            </w:r>
          </w:p>
        </w:tc>
        <w:tc>
          <w:tcPr>
            <w:tcW w:w="1134" w:type="dxa"/>
            <w:vAlign w:val="center"/>
          </w:tcPr>
          <w:p w14:paraId="68ADEDF9">
            <w:pPr>
              <w:pStyle w:val="11"/>
            </w:pPr>
            <w:r>
              <w:t>财政专户 收入</w:t>
            </w:r>
          </w:p>
        </w:tc>
        <w:tc>
          <w:tcPr>
            <w:tcW w:w="1134" w:type="dxa"/>
            <w:vAlign w:val="center"/>
          </w:tcPr>
          <w:p w14:paraId="72F93302">
            <w:pPr>
              <w:pStyle w:val="11"/>
            </w:pPr>
            <w:r>
              <w:t>事业收入</w:t>
            </w:r>
          </w:p>
        </w:tc>
        <w:tc>
          <w:tcPr>
            <w:tcW w:w="1134" w:type="dxa"/>
            <w:vAlign w:val="center"/>
          </w:tcPr>
          <w:p w14:paraId="4CBE618C">
            <w:pPr>
              <w:pStyle w:val="11"/>
            </w:pPr>
            <w:r>
              <w:t>经营收入</w:t>
            </w:r>
          </w:p>
        </w:tc>
        <w:tc>
          <w:tcPr>
            <w:tcW w:w="1134" w:type="dxa"/>
            <w:vAlign w:val="center"/>
          </w:tcPr>
          <w:p w14:paraId="404B4BEC">
            <w:pPr>
              <w:pStyle w:val="11"/>
            </w:pPr>
            <w:r>
              <w:t>上级补助收入</w:t>
            </w:r>
          </w:p>
        </w:tc>
        <w:tc>
          <w:tcPr>
            <w:tcW w:w="1134" w:type="dxa"/>
            <w:vAlign w:val="center"/>
          </w:tcPr>
          <w:p w14:paraId="06D3FB69">
            <w:pPr>
              <w:pStyle w:val="11"/>
            </w:pPr>
            <w:r>
              <w:t>附属单位上缴收入</w:t>
            </w:r>
          </w:p>
        </w:tc>
        <w:tc>
          <w:tcPr>
            <w:tcW w:w="1134" w:type="dxa"/>
            <w:vAlign w:val="center"/>
          </w:tcPr>
          <w:p w14:paraId="283B015D">
            <w:pPr>
              <w:pStyle w:val="11"/>
            </w:pPr>
            <w:r>
              <w:t>其他收入</w:t>
            </w:r>
          </w:p>
        </w:tc>
        <w:tc>
          <w:tcPr>
            <w:tcW w:w="1134" w:type="dxa"/>
            <w:vMerge w:val="continue"/>
          </w:tcPr>
          <w:p w14:paraId="5D68D028"/>
        </w:tc>
      </w:tr>
      <w:tr w14:paraId="10C26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7F1B07">
            <w:pPr>
              <w:pStyle w:val="11"/>
            </w:pPr>
            <w:r>
              <w:t>栏次</w:t>
            </w:r>
          </w:p>
        </w:tc>
        <w:tc>
          <w:tcPr>
            <w:tcW w:w="992" w:type="dxa"/>
            <w:vAlign w:val="center"/>
          </w:tcPr>
          <w:p w14:paraId="2D78056E">
            <w:pPr>
              <w:pStyle w:val="11"/>
            </w:pPr>
            <w:r>
              <w:t>1</w:t>
            </w:r>
          </w:p>
        </w:tc>
        <w:tc>
          <w:tcPr>
            <w:tcW w:w="1559" w:type="dxa"/>
            <w:vAlign w:val="center"/>
          </w:tcPr>
          <w:p w14:paraId="44F925C3">
            <w:pPr>
              <w:pStyle w:val="11"/>
            </w:pPr>
            <w:r>
              <w:t>2</w:t>
            </w:r>
          </w:p>
        </w:tc>
        <w:tc>
          <w:tcPr>
            <w:tcW w:w="1134" w:type="dxa"/>
            <w:vAlign w:val="center"/>
          </w:tcPr>
          <w:p w14:paraId="4860CE47">
            <w:pPr>
              <w:pStyle w:val="11"/>
            </w:pPr>
            <w:r>
              <w:t>3</w:t>
            </w:r>
          </w:p>
        </w:tc>
        <w:tc>
          <w:tcPr>
            <w:tcW w:w="1134" w:type="dxa"/>
            <w:vAlign w:val="center"/>
          </w:tcPr>
          <w:p w14:paraId="3FFD3FCD">
            <w:pPr>
              <w:pStyle w:val="11"/>
            </w:pPr>
            <w:r>
              <w:t>4</w:t>
            </w:r>
          </w:p>
        </w:tc>
        <w:tc>
          <w:tcPr>
            <w:tcW w:w="1134" w:type="dxa"/>
            <w:vAlign w:val="center"/>
          </w:tcPr>
          <w:p w14:paraId="7ED21461">
            <w:pPr>
              <w:pStyle w:val="11"/>
            </w:pPr>
            <w:r>
              <w:t>5</w:t>
            </w:r>
          </w:p>
        </w:tc>
        <w:tc>
          <w:tcPr>
            <w:tcW w:w="1134" w:type="dxa"/>
            <w:vAlign w:val="center"/>
          </w:tcPr>
          <w:p w14:paraId="3E30EBFA">
            <w:pPr>
              <w:pStyle w:val="11"/>
            </w:pPr>
            <w:r>
              <w:t>6</w:t>
            </w:r>
          </w:p>
        </w:tc>
        <w:tc>
          <w:tcPr>
            <w:tcW w:w="1134" w:type="dxa"/>
            <w:vAlign w:val="center"/>
          </w:tcPr>
          <w:p w14:paraId="0F5712FB">
            <w:pPr>
              <w:pStyle w:val="11"/>
            </w:pPr>
            <w:r>
              <w:t>7</w:t>
            </w:r>
          </w:p>
        </w:tc>
        <w:tc>
          <w:tcPr>
            <w:tcW w:w="1134" w:type="dxa"/>
            <w:vAlign w:val="center"/>
          </w:tcPr>
          <w:p w14:paraId="0CBCC053">
            <w:pPr>
              <w:pStyle w:val="11"/>
            </w:pPr>
            <w:r>
              <w:t>8</w:t>
            </w:r>
          </w:p>
        </w:tc>
        <w:tc>
          <w:tcPr>
            <w:tcW w:w="1134" w:type="dxa"/>
            <w:vAlign w:val="center"/>
          </w:tcPr>
          <w:p w14:paraId="4C9613FF">
            <w:pPr>
              <w:pStyle w:val="11"/>
            </w:pPr>
            <w:r>
              <w:t>9</w:t>
            </w:r>
          </w:p>
        </w:tc>
        <w:tc>
          <w:tcPr>
            <w:tcW w:w="1134" w:type="dxa"/>
            <w:vAlign w:val="center"/>
          </w:tcPr>
          <w:p w14:paraId="7B6C6BB6">
            <w:pPr>
              <w:pStyle w:val="11"/>
            </w:pPr>
            <w:r>
              <w:t>10</w:t>
            </w:r>
          </w:p>
        </w:tc>
        <w:tc>
          <w:tcPr>
            <w:tcW w:w="1134" w:type="dxa"/>
            <w:vAlign w:val="center"/>
          </w:tcPr>
          <w:p w14:paraId="796EB4E7">
            <w:pPr>
              <w:pStyle w:val="11"/>
            </w:pPr>
            <w:r>
              <w:t>11</w:t>
            </w:r>
          </w:p>
        </w:tc>
        <w:tc>
          <w:tcPr>
            <w:tcW w:w="1134" w:type="dxa"/>
            <w:vAlign w:val="center"/>
          </w:tcPr>
          <w:p w14:paraId="5581A9D9">
            <w:pPr>
              <w:pStyle w:val="11"/>
            </w:pPr>
            <w:r>
              <w:t>12</w:t>
            </w:r>
          </w:p>
        </w:tc>
      </w:tr>
      <w:tr w14:paraId="3A55F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4D359F">
            <w:pPr>
              <w:pStyle w:val="12"/>
            </w:pPr>
            <w:r>
              <w:t>1</w:t>
            </w:r>
          </w:p>
        </w:tc>
        <w:tc>
          <w:tcPr>
            <w:tcW w:w="992" w:type="dxa"/>
            <w:vAlign w:val="center"/>
          </w:tcPr>
          <w:p w14:paraId="39066EB6">
            <w:pPr>
              <w:pStyle w:val="17"/>
            </w:pPr>
          </w:p>
        </w:tc>
        <w:tc>
          <w:tcPr>
            <w:tcW w:w="1559" w:type="dxa"/>
            <w:vAlign w:val="center"/>
          </w:tcPr>
          <w:p w14:paraId="041D795C">
            <w:pPr>
              <w:pStyle w:val="15"/>
            </w:pPr>
            <w:r>
              <w:t>合计</w:t>
            </w:r>
          </w:p>
        </w:tc>
        <w:tc>
          <w:tcPr>
            <w:tcW w:w="1134" w:type="dxa"/>
            <w:vAlign w:val="center"/>
          </w:tcPr>
          <w:p w14:paraId="43B6C19D">
            <w:pPr>
              <w:pStyle w:val="16"/>
            </w:pPr>
            <w:r>
              <w:t>1140.50</w:t>
            </w:r>
          </w:p>
        </w:tc>
        <w:tc>
          <w:tcPr>
            <w:tcW w:w="1134" w:type="dxa"/>
            <w:vAlign w:val="center"/>
          </w:tcPr>
          <w:p w14:paraId="1BCCCF83">
            <w:pPr>
              <w:pStyle w:val="16"/>
            </w:pPr>
            <w:r>
              <w:t>1140.50</w:t>
            </w:r>
          </w:p>
        </w:tc>
        <w:tc>
          <w:tcPr>
            <w:tcW w:w="1134" w:type="dxa"/>
            <w:vAlign w:val="center"/>
          </w:tcPr>
          <w:p w14:paraId="7BCB3A28">
            <w:pPr>
              <w:pStyle w:val="16"/>
            </w:pPr>
            <w:r>
              <w:t>965.88</w:t>
            </w:r>
          </w:p>
        </w:tc>
        <w:tc>
          <w:tcPr>
            <w:tcW w:w="1134" w:type="dxa"/>
            <w:vAlign w:val="center"/>
          </w:tcPr>
          <w:p w14:paraId="02E950C1">
            <w:pPr>
              <w:pStyle w:val="16"/>
            </w:pPr>
            <w:r>
              <w:t>174.62</w:t>
            </w:r>
          </w:p>
        </w:tc>
        <w:tc>
          <w:tcPr>
            <w:tcW w:w="1134" w:type="dxa"/>
            <w:vAlign w:val="center"/>
          </w:tcPr>
          <w:p w14:paraId="017DDE87">
            <w:pPr>
              <w:pStyle w:val="16"/>
            </w:pPr>
          </w:p>
        </w:tc>
        <w:tc>
          <w:tcPr>
            <w:tcW w:w="1134" w:type="dxa"/>
            <w:vAlign w:val="center"/>
          </w:tcPr>
          <w:p w14:paraId="6558F96C">
            <w:pPr>
              <w:pStyle w:val="16"/>
            </w:pPr>
          </w:p>
        </w:tc>
        <w:tc>
          <w:tcPr>
            <w:tcW w:w="1134" w:type="dxa"/>
            <w:vAlign w:val="center"/>
          </w:tcPr>
          <w:p w14:paraId="0026082B">
            <w:pPr>
              <w:pStyle w:val="16"/>
            </w:pPr>
          </w:p>
        </w:tc>
        <w:tc>
          <w:tcPr>
            <w:tcW w:w="1134" w:type="dxa"/>
            <w:vAlign w:val="center"/>
          </w:tcPr>
          <w:p w14:paraId="127D74BC">
            <w:pPr>
              <w:pStyle w:val="16"/>
            </w:pPr>
          </w:p>
        </w:tc>
        <w:tc>
          <w:tcPr>
            <w:tcW w:w="1134" w:type="dxa"/>
            <w:vAlign w:val="center"/>
          </w:tcPr>
          <w:p w14:paraId="1877D6DC">
            <w:pPr>
              <w:pStyle w:val="16"/>
            </w:pPr>
          </w:p>
        </w:tc>
        <w:tc>
          <w:tcPr>
            <w:tcW w:w="1134" w:type="dxa"/>
            <w:vAlign w:val="center"/>
          </w:tcPr>
          <w:p w14:paraId="1F718390">
            <w:pPr>
              <w:pStyle w:val="16"/>
            </w:pPr>
          </w:p>
        </w:tc>
      </w:tr>
      <w:tr w14:paraId="68412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A5848A">
            <w:pPr>
              <w:pStyle w:val="12"/>
            </w:pPr>
            <w:r>
              <w:t>2</w:t>
            </w:r>
          </w:p>
        </w:tc>
        <w:tc>
          <w:tcPr>
            <w:tcW w:w="992" w:type="dxa"/>
            <w:vAlign w:val="center"/>
          </w:tcPr>
          <w:p w14:paraId="14600CBD">
            <w:pPr>
              <w:pStyle w:val="13"/>
            </w:pPr>
            <w:r>
              <w:t>205</w:t>
            </w:r>
          </w:p>
        </w:tc>
        <w:tc>
          <w:tcPr>
            <w:tcW w:w="1559" w:type="dxa"/>
            <w:vAlign w:val="center"/>
          </w:tcPr>
          <w:p w14:paraId="65FAC334">
            <w:pPr>
              <w:pStyle w:val="13"/>
            </w:pPr>
            <w:r>
              <w:t>教育支出</w:t>
            </w:r>
          </w:p>
        </w:tc>
        <w:tc>
          <w:tcPr>
            <w:tcW w:w="1134" w:type="dxa"/>
            <w:vAlign w:val="center"/>
          </w:tcPr>
          <w:p w14:paraId="2957CDF8">
            <w:pPr>
              <w:pStyle w:val="14"/>
            </w:pPr>
            <w:r>
              <w:t>1019.74</w:t>
            </w:r>
          </w:p>
        </w:tc>
        <w:tc>
          <w:tcPr>
            <w:tcW w:w="1134" w:type="dxa"/>
            <w:vAlign w:val="center"/>
          </w:tcPr>
          <w:p w14:paraId="578B8CA0">
            <w:pPr>
              <w:pStyle w:val="14"/>
            </w:pPr>
            <w:r>
              <w:t>1019.74</w:t>
            </w:r>
          </w:p>
        </w:tc>
        <w:tc>
          <w:tcPr>
            <w:tcW w:w="1134" w:type="dxa"/>
            <w:vAlign w:val="center"/>
          </w:tcPr>
          <w:p w14:paraId="0FA08540">
            <w:pPr>
              <w:pStyle w:val="14"/>
            </w:pPr>
            <w:r>
              <w:t>845.12</w:t>
            </w:r>
          </w:p>
        </w:tc>
        <w:tc>
          <w:tcPr>
            <w:tcW w:w="1134" w:type="dxa"/>
            <w:vAlign w:val="center"/>
          </w:tcPr>
          <w:p w14:paraId="3CADCBED">
            <w:pPr>
              <w:pStyle w:val="14"/>
            </w:pPr>
            <w:r>
              <w:t>174.62</w:t>
            </w:r>
          </w:p>
        </w:tc>
        <w:tc>
          <w:tcPr>
            <w:tcW w:w="1134" w:type="dxa"/>
            <w:vAlign w:val="center"/>
          </w:tcPr>
          <w:p w14:paraId="0C766777">
            <w:pPr>
              <w:pStyle w:val="14"/>
            </w:pPr>
          </w:p>
        </w:tc>
        <w:tc>
          <w:tcPr>
            <w:tcW w:w="1134" w:type="dxa"/>
            <w:vAlign w:val="center"/>
          </w:tcPr>
          <w:p w14:paraId="3C474B04">
            <w:pPr>
              <w:pStyle w:val="14"/>
            </w:pPr>
          </w:p>
        </w:tc>
        <w:tc>
          <w:tcPr>
            <w:tcW w:w="1134" w:type="dxa"/>
            <w:vAlign w:val="center"/>
          </w:tcPr>
          <w:p w14:paraId="5E90ACFA">
            <w:pPr>
              <w:pStyle w:val="14"/>
            </w:pPr>
          </w:p>
        </w:tc>
        <w:tc>
          <w:tcPr>
            <w:tcW w:w="1134" w:type="dxa"/>
            <w:vAlign w:val="center"/>
          </w:tcPr>
          <w:p w14:paraId="6DCB299A">
            <w:pPr>
              <w:pStyle w:val="14"/>
            </w:pPr>
          </w:p>
        </w:tc>
        <w:tc>
          <w:tcPr>
            <w:tcW w:w="1134" w:type="dxa"/>
            <w:vAlign w:val="center"/>
          </w:tcPr>
          <w:p w14:paraId="0FF0789A">
            <w:pPr>
              <w:pStyle w:val="14"/>
            </w:pPr>
          </w:p>
        </w:tc>
        <w:tc>
          <w:tcPr>
            <w:tcW w:w="1134" w:type="dxa"/>
            <w:vAlign w:val="center"/>
          </w:tcPr>
          <w:p w14:paraId="01DD4C7B">
            <w:pPr>
              <w:pStyle w:val="14"/>
            </w:pPr>
          </w:p>
        </w:tc>
      </w:tr>
      <w:tr w14:paraId="7A762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AF83B7">
            <w:pPr>
              <w:pStyle w:val="12"/>
            </w:pPr>
            <w:r>
              <w:t>3</w:t>
            </w:r>
          </w:p>
        </w:tc>
        <w:tc>
          <w:tcPr>
            <w:tcW w:w="992" w:type="dxa"/>
            <w:vAlign w:val="center"/>
          </w:tcPr>
          <w:p w14:paraId="36583DE5">
            <w:pPr>
              <w:pStyle w:val="13"/>
            </w:pPr>
            <w:r>
              <w:t>20502</w:t>
            </w:r>
          </w:p>
        </w:tc>
        <w:tc>
          <w:tcPr>
            <w:tcW w:w="1559" w:type="dxa"/>
            <w:vAlign w:val="center"/>
          </w:tcPr>
          <w:p w14:paraId="09445CBA">
            <w:pPr>
              <w:pStyle w:val="13"/>
            </w:pPr>
            <w:r>
              <w:t>普通教育</w:t>
            </w:r>
          </w:p>
        </w:tc>
        <w:tc>
          <w:tcPr>
            <w:tcW w:w="1134" w:type="dxa"/>
            <w:vAlign w:val="center"/>
          </w:tcPr>
          <w:p w14:paraId="0556C2DE">
            <w:pPr>
              <w:pStyle w:val="14"/>
            </w:pPr>
            <w:r>
              <w:t>97.01</w:t>
            </w:r>
          </w:p>
        </w:tc>
        <w:tc>
          <w:tcPr>
            <w:tcW w:w="1134" w:type="dxa"/>
            <w:vAlign w:val="center"/>
          </w:tcPr>
          <w:p w14:paraId="79B4CD94">
            <w:pPr>
              <w:pStyle w:val="14"/>
            </w:pPr>
            <w:r>
              <w:t>97.01</w:t>
            </w:r>
          </w:p>
        </w:tc>
        <w:tc>
          <w:tcPr>
            <w:tcW w:w="1134" w:type="dxa"/>
            <w:vAlign w:val="center"/>
          </w:tcPr>
          <w:p w14:paraId="3047CE4C">
            <w:pPr>
              <w:pStyle w:val="14"/>
            </w:pPr>
            <w:r>
              <w:t>97.01</w:t>
            </w:r>
          </w:p>
        </w:tc>
        <w:tc>
          <w:tcPr>
            <w:tcW w:w="1134" w:type="dxa"/>
            <w:vAlign w:val="center"/>
          </w:tcPr>
          <w:p w14:paraId="57E1EB89">
            <w:pPr>
              <w:pStyle w:val="14"/>
            </w:pPr>
          </w:p>
        </w:tc>
        <w:tc>
          <w:tcPr>
            <w:tcW w:w="1134" w:type="dxa"/>
            <w:vAlign w:val="center"/>
          </w:tcPr>
          <w:p w14:paraId="1238DB6A">
            <w:pPr>
              <w:pStyle w:val="14"/>
            </w:pPr>
          </w:p>
        </w:tc>
        <w:tc>
          <w:tcPr>
            <w:tcW w:w="1134" w:type="dxa"/>
            <w:vAlign w:val="center"/>
          </w:tcPr>
          <w:p w14:paraId="10C40887">
            <w:pPr>
              <w:pStyle w:val="14"/>
            </w:pPr>
          </w:p>
        </w:tc>
        <w:tc>
          <w:tcPr>
            <w:tcW w:w="1134" w:type="dxa"/>
            <w:vAlign w:val="center"/>
          </w:tcPr>
          <w:p w14:paraId="1DDA1918">
            <w:pPr>
              <w:pStyle w:val="14"/>
            </w:pPr>
          </w:p>
        </w:tc>
        <w:tc>
          <w:tcPr>
            <w:tcW w:w="1134" w:type="dxa"/>
            <w:vAlign w:val="center"/>
          </w:tcPr>
          <w:p w14:paraId="7DA2252E">
            <w:pPr>
              <w:pStyle w:val="14"/>
            </w:pPr>
          </w:p>
        </w:tc>
        <w:tc>
          <w:tcPr>
            <w:tcW w:w="1134" w:type="dxa"/>
            <w:vAlign w:val="center"/>
          </w:tcPr>
          <w:p w14:paraId="31781BFD">
            <w:pPr>
              <w:pStyle w:val="14"/>
            </w:pPr>
          </w:p>
        </w:tc>
        <w:tc>
          <w:tcPr>
            <w:tcW w:w="1134" w:type="dxa"/>
            <w:vAlign w:val="center"/>
          </w:tcPr>
          <w:p w14:paraId="63DC56EC">
            <w:pPr>
              <w:pStyle w:val="14"/>
            </w:pPr>
          </w:p>
        </w:tc>
      </w:tr>
      <w:tr w14:paraId="317F0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0E023B">
            <w:pPr>
              <w:pStyle w:val="12"/>
            </w:pPr>
            <w:r>
              <w:t>4</w:t>
            </w:r>
          </w:p>
        </w:tc>
        <w:tc>
          <w:tcPr>
            <w:tcW w:w="992" w:type="dxa"/>
            <w:vAlign w:val="center"/>
          </w:tcPr>
          <w:p w14:paraId="4F7B5D8F">
            <w:pPr>
              <w:pStyle w:val="13"/>
            </w:pPr>
            <w:r>
              <w:t>2050202</w:t>
            </w:r>
          </w:p>
        </w:tc>
        <w:tc>
          <w:tcPr>
            <w:tcW w:w="1559" w:type="dxa"/>
            <w:vAlign w:val="center"/>
          </w:tcPr>
          <w:p w14:paraId="0AACF858">
            <w:pPr>
              <w:pStyle w:val="13"/>
            </w:pPr>
            <w:r>
              <w:t>小学教育</w:t>
            </w:r>
          </w:p>
        </w:tc>
        <w:tc>
          <w:tcPr>
            <w:tcW w:w="1134" w:type="dxa"/>
            <w:vAlign w:val="center"/>
          </w:tcPr>
          <w:p w14:paraId="7DDD2744">
            <w:pPr>
              <w:pStyle w:val="14"/>
            </w:pPr>
            <w:r>
              <w:t>97.01</w:t>
            </w:r>
          </w:p>
        </w:tc>
        <w:tc>
          <w:tcPr>
            <w:tcW w:w="1134" w:type="dxa"/>
            <w:vAlign w:val="center"/>
          </w:tcPr>
          <w:p w14:paraId="33BF4F77">
            <w:pPr>
              <w:pStyle w:val="14"/>
            </w:pPr>
            <w:r>
              <w:t>97.01</w:t>
            </w:r>
          </w:p>
        </w:tc>
        <w:tc>
          <w:tcPr>
            <w:tcW w:w="1134" w:type="dxa"/>
            <w:vAlign w:val="center"/>
          </w:tcPr>
          <w:p w14:paraId="2C1AD1D7">
            <w:pPr>
              <w:pStyle w:val="14"/>
            </w:pPr>
            <w:r>
              <w:t>97.01</w:t>
            </w:r>
          </w:p>
        </w:tc>
        <w:tc>
          <w:tcPr>
            <w:tcW w:w="1134" w:type="dxa"/>
            <w:vAlign w:val="center"/>
          </w:tcPr>
          <w:p w14:paraId="31A5DDDC">
            <w:pPr>
              <w:pStyle w:val="14"/>
            </w:pPr>
          </w:p>
        </w:tc>
        <w:tc>
          <w:tcPr>
            <w:tcW w:w="1134" w:type="dxa"/>
            <w:vAlign w:val="center"/>
          </w:tcPr>
          <w:p w14:paraId="075F1F99">
            <w:pPr>
              <w:pStyle w:val="14"/>
            </w:pPr>
          </w:p>
        </w:tc>
        <w:tc>
          <w:tcPr>
            <w:tcW w:w="1134" w:type="dxa"/>
            <w:vAlign w:val="center"/>
          </w:tcPr>
          <w:p w14:paraId="773B06A2">
            <w:pPr>
              <w:pStyle w:val="14"/>
            </w:pPr>
          </w:p>
        </w:tc>
        <w:tc>
          <w:tcPr>
            <w:tcW w:w="1134" w:type="dxa"/>
            <w:vAlign w:val="center"/>
          </w:tcPr>
          <w:p w14:paraId="46325056">
            <w:pPr>
              <w:pStyle w:val="14"/>
            </w:pPr>
          </w:p>
        </w:tc>
        <w:tc>
          <w:tcPr>
            <w:tcW w:w="1134" w:type="dxa"/>
            <w:vAlign w:val="center"/>
          </w:tcPr>
          <w:p w14:paraId="4F49FB4D">
            <w:pPr>
              <w:pStyle w:val="14"/>
            </w:pPr>
          </w:p>
        </w:tc>
        <w:tc>
          <w:tcPr>
            <w:tcW w:w="1134" w:type="dxa"/>
            <w:vAlign w:val="center"/>
          </w:tcPr>
          <w:p w14:paraId="1E555629">
            <w:pPr>
              <w:pStyle w:val="14"/>
            </w:pPr>
          </w:p>
        </w:tc>
        <w:tc>
          <w:tcPr>
            <w:tcW w:w="1134" w:type="dxa"/>
            <w:vAlign w:val="center"/>
          </w:tcPr>
          <w:p w14:paraId="3EBFB1DE">
            <w:pPr>
              <w:pStyle w:val="14"/>
            </w:pPr>
          </w:p>
        </w:tc>
      </w:tr>
      <w:tr w14:paraId="70851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579922">
            <w:pPr>
              <w:pStyle w:val="12"/>
            </w:pPr>
            <w:r>
              <w:t>5</w:t>
            </w:r>
          </w:p>
        </w:tc>
        <w:tc>
          <w:tcPr>
            <w:tcW w:w="992" w:type="dxa"/>
            <w:vAlign w:val="center"/>
          </w:tcPr>
          <w:p w14:paraId="1F5BF670">
            <w:pPr>
              <w:pStyle w:val="13"/>
            </w:pPr>
            <w:r>
              <w:t>20508</w:t>
            </w:r>
          </w:p>
        </w:tc>
        <w:tc>
          <w:tcPr>
            <w:tcW w:w="1559" w:type="dxa"/>
            <w:vAlign w:val="center"/>
          </w:tcPr>
          <w:p w14:paraId="49ECDF3D">
            <w:pPr>
              <w:pStyle w:val="13"/>
            </w:pPr>
            <w:r>
              <w:t>进修及培训</w:t>
            </w:r>
          </w:p>
        </w:tc>
        <w:tc>
          <w:tcPr>
            <w:tcW w:w="1134" w:type="dxa"/>
            <w:vAlign w:val="center"/>
          </w:tcPr>
          <w:p w14:paraId="151318BD">
            <w:pPr>
              <w:pStyle w:val="14"/>
            </w:pPr>
            <w:r>
              <w:t>922.73</w:t>
            </w:r>
          </w:p>
        </w:tc>
        <w:tc>
          <w:tcPr>
            <w:tcW w:w="1134" w:type="dxa"/>
            <w:vAlign w:val="center"/>
          </w:tcPr>
          <w:p w14:paraId="61D7E91D">
            <w:pPr>
              <w:pStyle w:val="14"/>
            </w:pPr>
            <w:r>
              <w:t>922.73</w:t>
            </w:r>
          </w:p>
        </w:tc>
        <w:tc>
          <w:tcPr>
            <w:tcW w:w="1134" w:type="dxa"/>
            <w:vAlign w:val="center"/>
          </w:tcPr>
          <w:p w14:paraId="579F8888">
            <w:pPr>
              <w:pStyle w:val="14"/>
            </w:pPr>
            <w:r>
              <w:t>748.11</w:t>
            </w:r>
          </w:p>
        </w:tc>
        <w:tc>
          <w:tcPr>
            <w:tcW w:w="1134" w:type="dxa"/>
            <w:vAlign w:val="center"/>
          </w:tcPr>
          <w:p w14:paraId="74F2FEFF">
            <w:pPr>
              <w:pStyle w:val="14"/>
            </w:pPr>
            <w:r>
              <w:t>174.62</w:t>
            </w:r>
          </w:p>
        </w:tc>
        <w:tc>
          <w:tcPr>
            <w:tcW w:w="1134" w:type="dxa"/>
            <w:vAlign w:val="center"/>
          </w:tcPr>
          <w:p w14:paraId="70CE1CA4">
            <w:pPr>
              <w:pStyle w:val="14"/>
            </w:pPr>
          </w:p>
        </w:tc>
        <w:tc>
          <w:tcPr>
            <w:tcW w:w="1134" w:type="dxa"/>
            <w:vAlign w:val="center"/>
          </w:tcPr>
          <w:p w14:paraId="51608791">
            <w:pPr>
              <w:pStyle w:val="14"/>
            </w:pPr>
          </w:p>
        </w:tc>
        <w:tc>
          <w:tcPr>
            <w:tcW w:w="1134" w:type="dxa"/>
            <w:vAlign w:val="center"/>
          </w:tcPr>
          <w:p w14:paraId="784BD46F">
            <w:pPr>
              <w:pStyle w:val="14"/>
            </w:pPr>
          </w:p>
        </w:tc>
        <w:tc>
          <w:tcPr>
            <w:tcW w:w="1134" w:type="dxa"/>
            <w:vAlign w:val="center"/>
          </w:tcPr>
          <w:p w14:paraId="3AFC8103">
            <w:pPr>
              <w:pStyle w:val="14"/>
            </w:pPr>
          </w:p>
        </w:tc>
        <w:tc>
          <w:tcPr>
            <w:tcW w:w="1134" w:type="dxa"/>
            <w:vAlign w:val="center"/>
          </w:tcPr>
          <w:p w14:paraId="60FDC1D2">
            <w:pPr>
              <w:pStyle w:val="14"/>
            </w:pPr>
          </w:p>
        </w:tc>
        <w:tc>
          <w:tcPr>
            <w:tcW w:w="1134" w:type="dxa"/>
            <w:vAlign w:val="center"/>
          </w:tcPr>
          <w:p w14:paraId="75BDF62E">
            <w:pPr>
              <w:pStyle w:val="14"/>
            </w:pPr>
          </w:p>
        </w:tc>
      </w:tr>
      <w:tr w14:paraId="15312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58BBF1">
            <w:pPr>
              <w:pStyle w:val="12"/>
            </w:pPr>
            <w:r>
              <w:t>6</w:t>
            </w:r>
          </w:p>
        </w:tc>
        <w:tc>
          <w:tcPr>
            <w:tcW w:w="992" w:type="dxa"/>
            <w:vAlign w:val="center"/>
          </w:tcPr>
          <w:p w14:paraId="1108E326">
            <w:pPr>
              <w:pStyle w:val="13"/>
            </w:pPr>
            <w:r>
              <w:t>2050801</w:t>
            </w:r>
          </w:p>
        </w:tc>
        <w:tc>
          <w:tcPr>
            <w:tcW w:w="1559" w:type="dxa"/>
            <w:vAlign w:val="center"/>
          </w:tcPr>
          <w:p w14:paraId="28E5CC14">
            <w:pPr>
              <w:pStyle w:val="13"/>
            </w:pPr>
            <w:r>
              <w:t>教师进修</w:t>
            </w:r>
          </w:p>
        </w:tc>
        <w:tc>
          <w:tcPr>
            <w:tcW w:w="1134" w:type="dxa"/>
            <w:vAlign w:val="center"/>
          </w:tcPr>
          <w:p w14:paraId="3CBDF702">
            <w:pPr>
              <w:pStyle w:val="14"/>
            </w:pPr>
            <w:r>
              <w:t>922.73</w:t>
            </w:r>
          </w:p>
        </w:tc>
        <w:tc>
          <w:tcPr>
            <w:tcW w:w="1134" w:type="dxa"/>
            <w:vAlign w:val="center"/>
          </w:tcPr>
          <w:p w14:paraId="3AABC3E9">
            <w:pPr>
              <w:pStyle w:val="14"/>
            </w:pPr>
            <w:r>
              <w:t>922.73</w:t>
            </w:r>
          </w:p>
        </w:tc>
        <w:tc>
          <w:tcPr>
            <w:tcW w:w="1134" w:type="dxa"/>
            <w:vAlign w:val="center"/>
          </w:tcPr>
          <w:p w14:paraId="24A6C941">
            <w:pPr>
              <w:pStyle w:val="14"/>
            </w:pPr>
            <w:r>
              <w:t>748.11</w:t>
            </w:r>
          </w:p>
        </w:tc>
        <w:tc>
          <w:tcPr>
            <w:tcW w:w="1134" w:type="dxa"/>
            <w:vAlign w:val="center"/>
          </w:tcPr>
          <w:p w14:paraId="1AFE32D8">
            <w:pPr>
              <w:pStyle w:val="14"/>
            </w:pPr>
            <w:r>
              <w:t>174.62</w:t>
            </w:r>
          </w:p>
        </w:tc>
        <w:tc>
          <w:tcPr>
            <w:tcW w:w="1134" w:type="dxa"/>
            <w:vAlign w:val="center"/>
          </w:tcPr>
          <w:p w14:paraId="5BD4D5A9">
            <w:pPr>
              <w:pStyle w:val="14"/>
            </w:pPr>
          </w:p>
        </w:tc>
        <w:tc>
          <w:tcPr>
            <w:tcW w:w="1134" w:type="dxa"/>
            <w:vAlign w:val="center"/>
          </w:tcPr>
          <w:p w14:paraId="338785DB">
            <w:pPr>
              <w:pStyle w:val="14"/>
            </w:pPr>
          </w:p>
        </w:tc>
        <w:tc>
          <w:tcPr>
            <w:tcW w:w="1134" w:type="dxa"/>
            <w:vAlign w:val="center"/>
          </w:tcPr>
          <w:p w14:paraId="52EF0EB6">
            <w:pPr>
              <w:pStyle w:val="14"/>
            </w:pPr>
          </w:p>
        </w:tc>
        <w:tc>
          <w:tcPr>
            <w:tcW w:w="1134" w:type="dxa"/>
            <w:vAlign w:val="center"/>
          </w:tcPr>
          <w:p w14:paraId="5A88ED0B">
            <w:pPr>
              <w:pStyle w:val="14"/>
            </w:pPr>
          </w:p>
        </w:tc>
        <w:tc>
          <w:tcPr>
            <w:tcW w:w="1134" w:type="dxa"/>
            <w:vAlign w:val="center"/>
          </w:tcPr>
          <w:p w14:paraId="245A757A">
            <w:pPr>
              <w:pStyle w:val="14"/>
            </w:pPr>
          </w:p>
        </w:tc>
        <w:tc>
          <w:tcPr>
            <w:tcW w:w="1134" w:type="dxa"/>
            <w:vAlign w:val="center"/>
          </w:tcPr>
          <w:p w14:paraId="36AA60BD">
            <w:pPr>
              <w:pStyle w:val="14"/>
            </w:pPr>
          </w:p>
        </w:tc>
      </w:tr>
      <w:tr w14:paraId="6EAAD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03ED1D">
            <w:pPr>
              <w:pStyle w:val="12"/>
            </w:pPr>
            <w:r>
              <w:t>7</w:t>
            </w:r>
          </w:p>
        </w:tc>
        <w:tc>
          <w:tcPr>
            <w:tcW w:w="992" w:type="dxa"/>
            <w:vAlign w:val="center"/>
          </w:tcPr>
          <w:p w14:paraId="4B43EBEF">
            <w:pPr>
              <w:pStyle w:val="13"/>
            </w:pPr>
            <w:r>
              <w:t>208</w:t>
            </w:r>
          </w:p>
        </w:tc>
        <w:tc>
          <w:tcPr>
            <w:tcW w:w="1559" w:type="dxa"/>
            <w:vAlign w:val="center"/>
          </w:tcPr>
          <w:p w14:paraId="004CBC73">
            <w:pPr>
              <w:pStyle w:val="13"/>
            </w:pPr>
            <w:r>
              <w:t>社会保障和就业支出</w:t>
            </w:r>
          </w:p>
        </w:tc>
        <w:tc>
          <w:tcPr>
            <w:tcW w:w="1134" w:type="dxa"/>
            <w:vAlign w:val="center"/>
          </w:tcPr>
          <w:p w14:paraId="1735176A">
            <w:pPr>
              <w:pStyle w:val="14"/>
            </w:pPr>
            <w:r>
              <w:t>83.12</w:t>
            </w:r>
          </w:p>
        </w:tc>
        <w:tc>
          <w:tcPr>
            <w:tcW w:w="1134" w:type="dxa"/>
            <w:vAlign w:val="center"/>
          </w:tcPr>
          <w:p w14:paraId="1F6F1E89">
            <w:pPr>
              <w:pStyle w:val="14"/>
            </w:pPr>
            <w:r>
              <w:t>83.12</w:t>
            </w:r>
          </w:p>
        </w:tc>
        <w:tc>
          <w:tcPr>
            <w:tcW w:w="1134" w:type="dxa"/>
            <w:vAlign w:val="center"/>
          </w:tcPr>
          <w:p w14:paraId="2A27021D">
            <w:pPr>
              <w:pStyle w:val="14"/>
            </w:pPr>
            <w:r>
              <w:t>83.12</w:t>
            </w:r>
          </w:p>
        </w:tc>
        <w:tc>
          <w:tcPr>
            <w:tcW w:w="1134" w:type="dxa"/>
            <w:vAlign w:val="center"/>
          </w:tcPr>
          <w:p w14:paraId="2FA60560">
            <w:pPr>
              <w:pStyle w:val="14"/>
            </w:pPr>
          </w:p>
        </w:tc>
        <w:tc>
          <w:tcPr>
            <w:tcW w:w="1134" w:type="dxa"/>
            <w:vAlign w:val="center"/>
          </w:tcPr>
          <w:p w14:paraId="07751EB5">
            <w:pPr>
              <w:pStyle w:val="14"/>
            </w:pPr>
          </w:p>
        </w:tc>
        <w:tc>
          <w:tcPr>
            <w:tcW w:w="1134" w:type="dxa"/>
            <w:vAlign w:val="center"/>
          </w:tcPr>
          <w:p w14:paraId="380D2344">
            <w:pPr>
              <w:pStyle w:val="14"/>
            </w:pPr>
          </w:p>
        </w:tc>
        <w:tc>
          <w:tcPr>
            <w:tcW w:w="1134" w:type="dxa"/>
            <w:vAlign w:val="center"/>
          </w:tcPr>
          <w:p w14:paraId="62E24BB6">
            <w:pPr>
              <w:pStyle w:val="14"/>
            </w:pPr>
          </w:p>
        </w:tc>
        <w:tc>
          <w:tcPr>
            <w:tcW w:w="1134" w:type="dxa"/>
            <w:vAlign w:val="center"/>
          </w:tcPr>
          <w:p w14:paraId="27DF476C">
            <w:pPr>
              <w:pStyle w:val="14"/>
            </w:pPr>
          </w:p>
        </w:tc>
        <w:tc>
          <w:tcPr>
            <w:tcW w:w="1134" w:type="dxa"/>
            <w:vAlign w:val="center"/>
          </w:tcPr>
          <w:p w14:paraId="20CA91AA">
            <w:pPr>
              <w:pStyle w:val="14"/>
            </w:pPr>
          </w:p>
        </w:tc>
        <w:tc>
          <w:tcPr>
            <w:tcW w:w="1134" w:type="dxa"/>
            <w:vAlign w:val="center"/>
          </w:tcPr>
          <w:p w14:paraId="6C49E07F">
            <w:pPr>
              <w:pStyle w:val="14"/>
            </w:pPr>
          </w:p>
        </w:tc>
      </w:tr>
      <w:tr w14:paraId="33DB5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B35161">
            <w:pPr>
              <w:pStyle w:val="12"/>
            </w:pPr>
            <w:r>
              <w:t>8</w:t>
            </w:r>
          </w:p>
        </w:tc>
        <w:tc>
          <w:tcPr>
            <w:tcW w:w="992" w:type="dxa"/>
            <w:vAlign w:val="center"/>
          </w:tcPr>
          <w:p w14:paraId="699568C7">
            <w:pPr>
              <w:pStyle w:val="13"/>
            </w:pPr>
            <w:r>
              <w:t>20805</w:t>
            </w:r>
          </w:p>
        </w:tc>
        <w:tc>
          <w:tcPr>
            <w:tcW w:w="1559" w:type="dxa"/>
            <w:vAlign w:val="center"/>
          </w:tcPr>
          <w:p w14:paraId="270A0F0C">
            <w:pPr>
              <w:pStyle w:val="13"/>
            </w:pPr>
            <w:r>
              <w:t>行政事业单位养老支出</w:t>
            </w:r>
          </w:p>
        </w:tc>
        <w:tc>
          <w:tcPr>
            <w:tcW w:w="1134" w:type="dxa"/>
            <w:vAlign w:val="center"/>
          </w:tcPr>
          <w:p w14:paraId="272C1ED0">
            <w:pPr>
              <w:pStyle w:val="14"/>
            </w:pPr>
            <w:r>
              <w:t>83.12</w:t>
            </w:r>
          </w:p>
        </w:tc>
        <w:tc>
          <w:tcPr>
            <w:tcW w:w="1134" w:type="dxa"/>
            <w:vAlign w:val="center"/>
          </w:tcPr>
          <w:p w14:paraId="060D8412">
            <w:pPr>
              <w:pStyle w:val="14"/>
            </w:pPr>
            <w:r>
              <w:t>83.12</w:t>
            </w:r>
          </w:p>
        </w:tc>
        <w:tc>
          <w:tcPr>
            <w:tcW w:w="1134" w:type="dxa"/>
            <w:vAlign w:val="center"/>
          </w:tcPr>
          <w:p w14:paraId="09CDD449">
            <w:pPr>
              <w:pStyle w:val="14"/>
            </w:pPr>
            <w:r>
              <w:t>83.12</w:t>
            </w:r>
          </w:p>
        </w:tc>
        <w:tc>
          <w:tcPr>
            <w:tcW w:w="1134" w:type="dxa"/>
            <w:vAlign w:val="center"/>
          </w:tcPr>
          <w:p w14:paraId="6602649D">
            <w:pPr>
              <w:pStyle w:val="14"/>
            </w:pPr>
          </w:p>
        </w:tc>
        <w:tc>
          <w:tcPr>
            <w:tcW w:w="1134" w:type="dxa"/>
            <w:vAlign w:val="center"/>
          </w:tcPr>
          <w:p w14:paraId="022630FD">
            <w:pPr>
              <w:pStyle w:val="14"/>
            </w:pPr>
          </w:p>
        </w:tc>
        <w:tc>
          <w:tcPr>
            <w:tcW w:w="1134" w:type="dxa"/>
            <w:vAlign w:val="center"/>
          </w:tcPr>
          <w:p w14:paraId="211B3EC8">
            <w:pPr>
              <w:pStyle w:val="14"/>
            </w:pPr>
          </w:p>
        </w:tc>
        <w:tc>
          <w:tcPr>
            <w:tcW w:w="1134" w:type="dxa"/>
            <w:vAlign w:val="center"/>
          </w:tcPr>
          <w:p w14:paraId="10B86883">
            <w:pPr>
              <w:pStyle w:val="14"/>
            </w:pPr>
          </w:p>
        </w:tc>
        <w:tc>
          <w:tcPr>
            <w:tcW w:w="1134" w:type="dxa"/>
            <w:vAlign w:val="center"/>
          </w:tcPr>
          <w:p w14:paraId="4785AC4B">
            <w:pPr>
              <w:pStyle w:val="14"/>
            </w:pPr>
          </w:p>
        </w:tc>
        <w:tc>
          <w:tcPr>
            <w:tcW w:w="1134" w:type="dxa"/>
            <w:vAlign w:val="center"/>
          </w:tcPr>
          <w:p w14:paraId="22EB91D2">
            <w:pPr>
              <w:pStyle w:val="14"/>
            </w:pPr>
          </w:p>
        </w:tc>
        <w:tc>
          <w:tcPr>
            <w:tcW w:w="1134" w:type="dxa"/>
            <w:vAlign w:val="center"/>
          </w:tcPr>
          <w:p w14:paraId="3EF0A78F">
            <w:pPr>
              <w:pStyle w:val="14"/>
            </w:pPr>
          </w:p>
        </w:tc>
      </w:tr>
      <w:tr w14:paraId="60A0A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EB200A">
            <w:pPr>
              <w:pStyle w:val="12"/>
            </w:pPr>
            <w:r>
              <w:t>9</w:t>
            </w:r>
          </w:p>
        </w:tc>
        <w:tc>
          <w:tcPr>
            <w:tcW w:w="992" w:type="dxa"/>
            <w:vAlign w:val="center"/>
          </w:tcPr>
          <w:p w14:paraId="79629873">
            <w:pPr>
              <w:pStyle w:val="13"/>
            </w:pPr>
            <w:r>
              <w:t>2080505</w:t>
            </w:r>
          </w:p>
        </w:tc>
        <w:tc>
          <w:tcPr>
            <w:tcW w:w="1559" w:type="dxa"/>
            <w:vAlign w:val="center"/>
          </w:tcPr>
          <w:p w14:paraId="7B7AF14D">
            <w:pPr>
              <w:pStyle w:val="13"/>
            </w:pPr>
            <w:r>
              <w:t>机关事业单位基本养老保险缴费支出</w:t>
            </w:r>
          </w:p>
        </w:tc>
        <w:tc>
          <w:tcPr>
            <w:tcW w:w="1134" w:type="dxa"/>
            <w:vAlign w:val="center"/>
          </w:tcPr>
          <w:p w14:paraId="6F0DCA0D">
            <w:pPr>
              <w:pStyle w:val="14"/>
            </w:pPr>
            <w:r>
              <w:t>83.12</w:t>
            </w:r>
          </w:p>
        </w:tc>
        <w:tc>
          <w:tcPr>
            <w:tcW w:w="1134" w:type="dxa"/>
            <w:vAlign w:val="center"/>
          </w:tcPr>
          <w:p w14:paraId="5EBE6350">
            <w:pPr>
              <w:pStyle w:val="14"/>
            </w:pPr>
            <w:r>
              <w:t>83.12</w:t>
            </w:r>
          </w:p>
        </w:tc>
        <w:tc>
          <w:tcPr>
            <w:tcW w:w="1134" w:type="dxa"/>
            <w:vAlign w:val="center"/>
          </w:tcPr>
          <w:p w14:paraId="64E61173">
            <w:pPr>
              <w:pStyle w:val="14"/>
            </w:pPr>
            <w:r>
              <w:t>83.12</w:t>
            </w:r>
          </w:p>
        </w:tc>
        <w:tc>
          <w:tcPr>
            <w:tcW w:w="1134" w:type="dxa"/>
            <w:vAlign w:val="center"/>
          </w:tcPr>
          <w:p w14:paraId="5E143567">
            <w:pPr>
              <w:pStyle w:val="14"/>
            </w:pPr>
          </w:p>
        </w:tc>
        <w:tc>
          <w:tcPr>
            <w:tcW w:w="1134" w:type="dxa"/>
            <w:vAlign w:val="center"/>
          </w:tcPr>
          <w:p w14:paraId="2414EFD9">
            <w:pPr>
              <w:pStyle w:val="14"/>
            </w:pPr>
          </w:p>
        </w:tc>
        <w:tc>
          <w:tcPr>
            <w:tcW w:w="1134" w:type="dxa"/>
            <w:vAlign w:val="center"/>
          </w:tcPr>
          <w:p w14:paraId="7319F565">
            <w:pPr>
              <w:pStyle w:val="14"/>
            </w:pPr>
          </w:p>
        </w:tc>
        <w:tc>
          <w:tcPr>
            <w:tcW w:w="1134" w:type="dxa"/>
            <w:vAlign w:val="center"/>
          </w:tcPr>
          <w:p w14:paraId="1524EB6A">
            <w:pPr>
              <w:pStyle w:val="14"/>
            </w:pPr>
          </w:p>
        </w:tc>
        <w:tc>
          <w:tcPr>
            <w:tcW w:w="1134" w:type="dxa"/>
            <w:vAlign w:val="center"/>
          </w:tcPr>
          <w:p w14:paraId="34A34F23">
            <w:pPr>
              <w:pStyle w:val="14"/>
            </w:pPr>
          </w:p>
        </w:tc>
        <w:tc>
          <w:tcPr>
            <w:tcW w:w="1134" w:type="dxa"/>
            <w:vAlign w:val="center"/>
          </w:tcPr>
          <w:p w14:paraId="10A9E88A">
            <w:pPr>
              <w:pStyle w:val="14"/>
            </w:pPr>
          </w:p>
        </w:tc>
        <w:tc>
          <w:tcPr>
            <w:tcW w:w="1134" w:type="dxa"/>
            <w:vAlign w:val="center"/>
          </w:tcPr>
          <w:p w14:paraId="01464D87">
            <w:pPr>
              <w:pStyle w:val="14"/>
            </w:pPr>
          </w:p>
        </w:tc>
      </w:tr>
      <w:tr w14:paraId="77159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EB4530">
            <w:pPr>
              <w:pStyle w:val="12"/>
            </w:pPr>
            <w:r>
              <w:t>10</w:t>
            </w:r>
          </w:p>
        </w:tc>
        <w:tc>
          <w:tcPr>
            <w:tcW w:w="992" w:type="dxa"/>
            <w:vAlign w:val="center"/>
          </w:tcPr>
          <w:p w14:paraId="5A351C3E">
            <w:pPr>
              <w:pStyle w:val="13"/>
            </w:pPr>
            <w:r>
              <w:t>210</w:t>
            </w:r>
          </w:p>
        </w:tc>
        <w:tc>
          <w:tcPr>
            <w:tcW w:w="1559" w:type="dxa"/>
            <w:vAlign w:val="center"/>
          </w:tcPr>
          <w:p w14:paraId="71707FA3">
            <w:pPr>
              <w:pStyle w:val="13"/>
            </w:pPr>
            <w:r>
              <w:t>卫生健康支出</w:t>
            </w:r>
          </w:p>
        </w:tc>
        <w:tc>
          <w:tcPr>
            <w:tcW w:w="1134" w:type="dxa"/>
            <w:vAlign w:val="center"/>
          </w:tcPr>
          <w:p w14:paraId="79E5942D">
            <w:pPr>
              <w:pStyle w:val="14"/>
            </w:pPr>
            <w:r>
              <w:t>37.64</w:t>
            </w:r>
          </w:p>
        </w:tc>
        <w:tc>
          <w:tcPr>
            <w:tcW w:w="1134" w:type="dxa"/>
            <w:vAlign w:val="center"/>
          </w:tcPr>
          <w:p w14:paraId="2AAEC118">
            <w:pPr>
              <w:pStyle w:val="14"/>
            </w:pPr>
            <w:r>
              <w:t>37.64</w:t>
            </w:r>
          </w:p>
        </w:tc>
        <w:tc>
          <w:tcPr>
            <w:tcW w:w="1134" w:type="dxa"/>
            <w:vAlign w:val="center"/>
          </w:tcPr>
          <w:p w14:paraId="745C91F3">
            <w:pPr>
              <w:pStyle w:val="14"/>
            </w:pPr>
            <w:r>
              <w:t>37.64</w:t>
            </w:r>
          </w:p>
        </w:tc>
        <w:tc>
          <w:tcPr>
            <w:tcW w:w="1134" w:type="dxa"/>
            <w:vAlign w:val="center"/>
          </w:tcPr>
          <w:p w14:paraId="7AAABEC1">
            <w:pPr>
              <w:pStyle w:val="14"/>
            </w:pPr>
          </w:p>
        </w:tc>
        <w:tc>
          <w:tcPr>
            <w:tcW w:w="1134" w:type="dxa"/>
            <w:vAlign w:val="center"/>
          </w:tcPr>
          <w:p w14:paraId="79F70691">
            <w:pPr>
              <w:pStyle w:val="14"/>
            </w:pPr>
          </w:p>
        </w:tc>
        <w:tc>
          <w:tcPr>
            <w:tcW w:w="1134" w:type="dxa"/>
            <w:vAlign w:val="center"/>
          </w:tcPr>
          <w:p w14:paraId="5DEF068A">
            <w:pPr>
              <w:pStyle w:val="14"/>
            </w:pPr>
          </w:p>
        </w:tc>
        <w:tc>
          <w:tcPr>
            <w:tcW w:w="1134" w:type="dxa"/>
            <w:vAlign w:val="center"/>
          </w:tcPr>
          <w:p w14:paraId="518F87D9">
            <w:pPr>
              <w:pStyle w:val="14"/>
            </w:pPr>
          </w:p>
        </w:tc>
        <w:tc>
          <w:tcPr>
            <w:tcW w:w="1134" w:type="dxa"/>
            <w:vAlign w:val="center"/>
          </w:tcPr>
          <w:p w14:paraId="4C462C1E">
            <w:pPr>
              <w:pStyle w:val="14"/>
            </w:pPr>
          </w:p>
        </w:tc>
        <w:tc>
          <w:tcPr>
            <w:tcW w:w="1134" w:type="dxa"/>
            <w:vAlign w:val="center"/>
          </w:tcPr>
          <w:p w14:paraId="67C83B8C">
            <w:pPr>
              <w:pStyle w:val="14"/>
            </w:pPr>
          </w:p>
        </w:tc>
        <w:tc>
          <w:tcPr>
            <w:tcW w:w="1134" w:type="dxa"/>
            <w:vAlign w:val="center"/>
          </w:tcPr>
          <w:p w14:paraId="1BED919F">
            <w:pPr>
              <w:pStyle w:val="14"/>
            </w:pPr>
          </w:p>
        </w:tc>
      </w:tr>
      <w:tr w14:paraId="1C970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06D961">
            <w:pPr>
              <w:pStyle w:val="12"/>
            </w:pPr>
            <w:r>
              <w:t>11</w:t>
            </w:r>
          </w:p>
        </w:tc>
        <w:tc>
          <w:tcPr>
            <w:tcW w:w="992" w:type="dxa"/>
            <w:vAlign w:val="center"/>
          </w:tcPr>
          <w:p w14:paraId="4C0DF97D">
            <w:pPr>
              <w:pStyle w:val="13"/>
            </w:pPr>
            <w:r>
              <w:t>21011</w:t>
            </w:r>
          </w:p>
        </w:tc>
        <w:tc>
          <w:tcPr>
            <w:tcW w:w="1559" w:type="dxa"/>
            <w:vAlign w:val="center"/>
          </w:tcPr>
          <w:p w14:paraId="1E50BBD1">
            <w:pPr>
              <w:pStyle w:val="13"/>
            </w:pPr>
            <w:r>
              <w:t>行政事业单位医疗</w:t>
            </w:r>
          </w:p>
        </w:tc>
        <w:tc>
          <w:tcPr>
            <w:tcW w:w="1134" w:type="dxa"/>
            <w:vAlign w:val="center"/>
          </w:tcPr>
          <w:p w14:paraId="37596051">
            <w:pPr>
              <w:pStyle w:val="14"/>
            </w:pPr>
            <w:r>
              <w:t>37.64</w:t>
            </w:r>
          </w:p>
        </w:tc>
        <w:tc>
          <w:tcPr>
            <w:tcW w:w="1134" w:type="dxa"/>
            <w:vAlign w:val="center"/>
          </w:tcPr>
          <w:p w14:paraId="73844417">
            <w:pPr>
              <w:pStyle w:val="14"/>
            </w:pPr>
            <w:r>
              <w:t>37.64</w:t>
            </w:r>
          </w:p>
        </w:tc>
        <w:tc>
          <w:tcPr>
            <w:tcW w:w="1134" w:type="dxa"/>
            <w:vAlign w:val="center"/>
          </w:tcPr>
          <w:p w14:paraId="6C50E7D6">
            <w:pPr>
              <w:pStyle w:val="14"/>
            </w:pPr>
            <w:r>
              <w:t>37.64</w:t>
            </w:r>
          </w:p>
        </w:tc>
        <w:tc>
          <w:tcPr>
            <w:tcW w:w="1134" w:type="dxa"/>
            <w:vAlign w:val="center"/>
          </w:tcPr>
          <w:p w14:paraId="6B1F2869">
            <w:pPr>
              <w:pStyle w:val="14"/>
            </w:pPr>
          </w:p>
        </w:tc>
        <w:tc>
          <w:tcPr>
            <w:tcW w:w="1134" w:type="dxa"/>
            <w:vAlign w:val="center"/>
          </w:tcPr>
          <w:p w14:paraId="062B2441">
            <w:pPr>
              <w:pStyle w:val="14"/>
            </w:pPr>
          </w:p>
        </w:tc>
        <w:tc>
          <w:tcPr>
            <w:tcW w:w="1134" w:type="dxa"/>
            <w:vAlign w:val="center"/>
          </w:tcPr>
          <w:p w14:paraId="056D81EC">
            <w:pPr>
              <w:pStyle w:val="14"/>
            </w:pPr>
          </w:p>
        </w:tc>
        <w:tc>
          <w:tcPr>
            <w:tcW w:w="1134" w:type="dxa"/>
            <w:vAlign w:val="center"/>
          </w:tcPr>
          <w:p w14:paraId="75512CA7">
            <w:pPr>
              <w:pStyle w:val="14"/>
            </w:pPr>
          </w:p>
        </w:tc>
        <w:tc>
          <w:tcPr>
            <w:tcW w:w="1134" w:type="dxa"/>
            <w:vAlign w:val="center"/>
          </w:tcPr>
          <w:p w14:paraId="11311DAF">
            <w:pPr>
              <w:pStyle w:val="14"/>
            </w:pPr>
          </w:p>
        </w:tc>
        <w:tc>
          <w:tcPr>
            <w:tcW w:w="1134" w:type="dxa"/>
            <w:vAlign w:val="center"/>
          </w:tcPr>
          <w:p w14:paraId="74965649">
            <w:pPr>
              <w:pStyle w:val="14"/>
            </w:pPr>
          </w:p>
        </w:tc>
        <w:tc>
          <w:tcPr>
            <w:tcW w:w="1134" w:type="dxa"/>
            <w:vAlign w:val="center"/>
          </w:tcPr>
          <w:p w14:paraId="76DF3673">
            <w:pPr>
              <w:pStyle w:val="14"/>
            </w:pPr>
          </w:p>
        </w:tc>
      </w:tr>
      <w:tr w14:paraId="02C33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37B9F5">
            <w:pPr>
              <w:pStyle w:val="12"/>
            </w:pPr>
            <w:r>
              <w:t>12</w:t>
            </w:r>
          </w:p>
        </w:tc>
        <w:tc>
          <w:tcPr>
            <w:tcW w:w="992" w:type="dxa"/>
            <w:vAlign w:val="center"/>
          </w:tcPr>
          <w:p w14:paraId="58E3DE33">
            <w:pPr>
              <w:pStyle w:val="13"/>
            </w:pPr>
            <w:r>
              <w:t>2101102</w:t>
            </w:r>
          </w:p>
        </w:tc>
        <w:tc>
          <w:tcPr>
            <w:tcW w:w="1559" w:type="dxa"/>
            <w:vAlign w:val="center"/>
          </w:tcPr>
          <w:p w14:paraId="0A7C459D">
            <w:pPr>
              <w:pStyle w:val="13"/>
            </w:pPr>
            <w:r>
              <w:t>事业单位医疗</w:t>
            </w:r>
          </w:p>
        </w:tc>
        <w:tc>
          <w:tcPr>
            <w:tcW w:w="1134" w:type="dxa"/>
            <w:vAlign w:val="center"/>
          </w:tcPr>
          <w:p w14:paraId="051EE979">
            <w:pPr>
              <w:pStyle w:val="14"/>
            </w:pPr>
            <w:r>
              <w:t>37.64</w:t>
            </w:r>
          </w:p>
        </w:tc>
        <w:tc>
          <w:tcPr>
            <w:tcW w:w="1134" w:type="dxa"/>
            <w:vAlign w:val="center"/>
          </w:tcPr>
          <w:p w14:paraId="38A6DFCF">
            <w:pPr>
              <w:pStyle w:val="14"/>
            </w:pPr>
            <w:r>
              <w:t>37.64</w:t>
            </w:r>
          </w:p>
        </w:tc>
        <w:tc>
          <w:tcPr>
            <w:tcW w:w="1134" w:type="dxa"/>
            <w:vAlign w:val="center"/>
          </w:tcPr>
          <w:p w14:paraId="2D544B5E">
            <w:pPr>
              <w:pStyle w:val="14"/>
            </w:pPr>
            <w:r>
              <w:t>37.64</w:t>
            </w:r>
          </w:p>
        </w:tc>
        <w:tc>
          <w:tcPr>
            <w:tcW w:w="1134" w:type="dxa"/>
            <w:vAlign w:val="center"/>
          </w:tcPr>
          <w:p w14:paraId="6DC758C8">
            <w:pPr>
              <w:pStyle w:val="14"/>
            </w:pPr>
          </w:p>
        </w:tc>
        <w:tc>
          <w:tcPr>
            <w:tcW w:w="1134" w:type="dxa"/>
            <w:vAlign w:val="center"/>
          </w:tcPr>
          <w:p w14:paraId="34C86F33">
            <w:pPr>
              <w:pStyle w:val="14"/>
            </w:pPr>
          </w:p>
        </w:tc>
        <w:tc>
          <w:tcPr>
            <w:tcW w:w="1134" w:type="dxa"/>
            <w:vAlign w:val="center"/>
          </w:tcPr>
          <w:p w14:paraId="101E8796">
            <w:pPr>
              <w:pStyle w:val="14"/>
            </w:pPr>
          </w:p>
        </w:tc>
        <w:tc>
          <w:tcPr>
            <w:tcW w:w="1134" w:type="dxa"/>
            <w:vAlign w:val="center"/>
          </w:tcPr>
          <w:p w14:paraId="15FB325B">
            <w:pPr>
              <w:pStyle w:val="14"/>
            </w:pPr>
          </w:p>
        </w:tc>
        <w:tc>
          <w:tcPr>
            <w:tcW w:w="1134" w:type="dxa"/>
            <w:vAlign w:val="center"/>
          </w:tcPr>
          <w:p w14:paraId="30672896">
            <w:pPr>
              <w:pStyle w:val="14"/>
            </w:pPr>
          </w:p>
        </w:tc>
        <w:tc>
          <w:tcPr>
            <w:tcW w:w="1134" w:type="dxa"/>
            <w:vAlign w:val="center"/>
          </w:tcPr>
          <w:p w14:paraId="1E63851E">
            <w:pPr>
              <w:pStyle w:val="14"/>
            </w:pPr>
          </w:p>
        </w:tc>
        <w:tc>
          <w:tcPr>
            <w:tcW w:w="1134" w:type="dxa"/>
            <w:vAlign w:val="center"/>
          </w:tcPr>
          <w:p w14:paraId="4DE2DE7F">
            <w:pPr>
              <w:pStyle w:val="14"/>
            </w:pPr>
          </w:p>
        </w:tc>
      </w:tr>
    </w:tbl>
    <w:p w14:paraId="3D5B402D">
      <w:pPr>
        <w:sectPr>
          <w:pgSz w:w="16840" w:h="11900" w:orient="landscape"/>
          <w:pgMar w:top="1361" w:right="1020" w:bottom="1134" w:left="1020" w:header="720" w:footer="720" w:gutter="0"/>
          <w:cols w:space="720" w:num="1"/>
        </w:sectPr>
      </w:pPr>
    </w:p>
    <w:p w14:paraId="1139D2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A4CB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ECC94F">
            <w:pPr>
              <w:pStyle w:val="8"/>
            </w:pPr>
            <w:r>
              <w:t>360028隆尧县教师发展中心</w:t>
            </w:r>
          </w:p>
        </w:tc>
        <w:tc>
          <w:tcPr>
            <w:tcW w:w="2722" w:type="dxa"/>
            <w:gridSpan w:val="2"/>
            <w:tcBorders>
              <w:top w:val="single" w:color="FFFFFF" w:sz="6" w:space="0"/>
              <w:left w:val="single" w:color="FFFFFF" w:sz="6" w:space="0"/>
              <w:right w:val="single" w:color="FFFFFF" w:sz="6" w:space="0"/>
            </w:tcBorders>
            <w:vAlign w:val="center"/>
          </w:tcPr>
          <w:p w14:paraId="1BAC078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0E59BDF">
            <w:pPr>
              <w:pStyle w:val="10"/>
            </w:pPr>
            <w:r>
              <w:t>单位：万元</w:t>
            </w:r>
          </w:p>
        </w:tc>
      </w:tr>
      <w:tr w14:paraId="77382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7CCAD">
            <w:pPr>
              <w:pStyle w:val="11"/>
            </w:pPr>
            <w:r>
              <w:t>序号</w:t>
            </w:r>
          </w:p>
        </w:tc>
        <w:tc>
          <w:tcPr>
            <w:tcW w:w="5527" w:type="dxa"/>
            <w:gridSpan w:val="2"/>
            <w:vAlign w:val="center"/>
          </w:tcPr>
          <w:p w14:paraId="0229504D">
            <w:pPr>
              <w:pStyle w:val="11"/>
            </w:pPr>
            <w:r>
              <w:t>功能分类科目</w:t>
            </w:r>
          </w:p>
        </w:tc>
        <w:tc>
          <w:tcPr>
            <w:tcW w:w="1361" w:type="dxa"/>
            <w:vMerge w:val="restart"/>
            <w:vAlign w:val="center"/>
          </w:tcPr>
          <w:p w14:paraId="7408E73B">
            <w:pPr>
              <w:pStyle w:val="11"/>
            </w:pPr>
            <w:r>
              <w:t>合计</w:t>
            </w:r>
          </w:p>
        </w:tc>
        <w:tc>
          <w:tcPr>
            <w:tcW w:w="1361" w:type="dxa"/>
            <w:vMerge w:val="restart"/>
            <w:vAlign w:val="center"/>
          </w:tcPr>
          <w:p w14:paraId="7920884F">
            <w:pPr>
              <w:pStyle w:val="11"/>
            </w:pPr>
            <w:r>
              <w:t>基本支出</w:t>
            </w:r>
          </w:p>
        </w:tc>
        <w:tc>
          <w:tcPr>
            <w:tcW w:w="1361" w:type="dxa"/>
            <w:vMerge w:val="restart"/>
            <w:vAlign w:val="center"/>
          </w:tcPr>
          <w:p w14:paraId="61ED4F76">
            <w:pPr>
              <w:pStyle w:val="11"/>
            </w:pPr>
            <w:r>
              <w:t>项目支出</w:t>
            </w:r>
          </w:p>
        </w:tc>
        <w:tc>
          <w:tcPr>
            <w:tcW w:w="1361" w:type="dxa"/>
            <w:vMerge w:val="restart"/>
            <w:vAlign w:val="center"/>
          </w:tcPr>
          <w:p w14:paraId="2D961395">
            <w:pPr>
              <w:pStyle w:val="11"/>
            </w:pPr>
            <w:r>
              <w:t>经营支出</w:t>
            </w:r>
          </w:p>
        </w:tc>
        <w:tc>
          <w:tcPr>
            <w:tcW w:w="1361" w:type="dxa"/>
            <w:vMerge w:val="restart"/>
            <w:vAlign w:val="center"/>
          </w:tcPr>
          <w:p w14:paraId="76F8F2F0">
            <w:pPr>
              <w:pStyle w:val="11"/>
            </w:pPr>
            <w:r>
              <w:t>上解上级     支出</w:t>
            </w:r>
          </w:p>
        </w:tc>
        <w:tc>
          <w:tcPr>
            <w:tcW w:w="1361" w:type="dxa"/>
            <w:vMerge w:val="restart"/>
            <w:vAlign w:val="center"/>
          </w:tcPr>
          <w:p w14:paraId="45E5E444">
            <w:pPr>
              <w:pStyle w:val="11"/>
            </w:pPr>
            <w:r>
              <w:t>对附属单位补助支出</w:t>
            </w:r>
          </w:p>
        </w:tc>
      </w:tr>
      <w:tr w14:paraId="0BF58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EF6AD7"/>
        </w:tc>
        <w:tc>
          <w:tcPr>
            <w:tcW w:w="992" w:type="dxa"/>
            <w:vAlign w:val="center"/>
          </w:tcPr>
          <w:p w14:paraId="46D8B233">
            <w:pPr>
              <w:pStyle w:val="11"/>
            </w:pPr>
            <w:r>
              <w:t>科目    编码</w:t>
            </w:r>
          </w:p>
        </w:tc>
        <w:tc>
          <w:tcPr>
            <w:tcW w:w="4535" w:type="dxa"/>
            <w:vAlign w:val="center"/>
          </w:tcPr>
          <w:p w14:paraId="20C6418D">
            <w:pPr>
              <w:pStyle w:val="11"/>
            </w:pPr>
            <w:r>
              <w:t>科目名称</w:t>
            </w:r>
          </w:p>
        </w:tc>
        <w:tc>
          <w:tcPr>
            <w:tcW w:w="1361" w:type="dxa"/>
            <w:vMerge w:val="continue"/>
          </w:tcPr>
          <w:p w14:paraId="0F295E73"/>
        </w:tc>
        <w:tc>
          <w:tcPr>
            <w:tcW w:w="1361" w:type="dxa"/>
            <w:vMerge w:val="continue"/>
          </w:tcPr>
          <w:p w14:paraId="68B885BA"/>
        </w:tc>
        <w:tc>
          <w:tcPr>
            <w:tcW w:w="1361" w:type="dxa"/>
            <w:vMerge w:val="continue"/>
          </w:tcPr>
          <w:p w14:paraId="76D4B892"/>
        </w:tc>
        <w:tc>
          <w:tcPr>
            <w:tcW w:w="1361" w:type="dxa"/>
            <w:vMerge w:val="continue"/>
          </w:tcPr>
          <w:p w14:paraId="654FD5FB"/>
        </w:tc>
        <w:tc>
          <w:tcPr>
            <w:tcW w:w="1361" w:type="dxa"/>
            <w:vMerge w:val="continue"/>
          </w:tcPr>
          <w:p w14:paraId="648F79E0"/>
        </w:tc>
        <w:tc>
          <w:tcPr>
            <w:tcW w:w="1361" w:type="dxa"/>
            <w:vMerge w:val="continue"/>
          </w:tcPr>
          <w:p w14:paraId="48FEA706"/>
        </w:tc>
      </w:tr>
      <w:tr w14:paraId="5D396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2F64F8">
            <w:pPr>
              <w:pStyle w:val="11"/>
            </w:pPr>
            <w:r>
              <w:t>栏次</w:t>
            </w:r>
          </w:p>
        </w:tc>
        <w:tc>
          <w:tcPr>
            <w:tcW w:w="992" w:type="dxa"/>
            <w:vAlign w:val="center"/>
          </w:tcPr>
          <w:p w14:paraId="1AB932AB">
            <w:pPr>
              <w:pStyle w:val="11"/>
            </w:pPr>
            <w:r>
              <w:t>1</w:t>
            </w:r>
          </w:p>
        </w:tc>
        <w:tc>
          <w:tcPr>
            <w:tcW w:w="4535" w:type="dxa"/>
            <w:vAlign w:val="center"/>
          </w:tcPr>
          <w:p w14:paraId="1DE52817">
            <w:pPr>
              <w:pStyle w:val="11"/>
            </w:pPr>
            <w:r>
              <w:t>2</w:t>
            </w:r>
          </w:p>
        </w:tc>
        <w:tc>
          <w:tcPr>
            <w:tcW w:w="1361" w:type="dxa"/>
            <w:vAlign w:val="center"/>
          </w:tcPr>
          <w:p w14:paraId="000D9614">
            <w:pPr>
              <w:pStyle w:val="11"/>
            </w:pPr>
            <w:r>
              <w:t>3</w:t>
            </w:r>
          </w:p>
        </w:tc>
        <w:tc>
          <w:tcPr>
            <w:tcW w:w="1361" w:type="dxa"/>
            <w:vAlign w:val="center"/>
          </w:tcPr>
          <w:p w14:paraId="7F8F2C7E">
            <w:pPr>
              <w:pStyle w:val="11"/>
            </w:pPr>
            <w:r>
              <w:t>4</w:t>
            </w:r>
          </w:p>
        </w:tc>
        <w:tc>
          <w:tcPr>
            <w:tcW w:w="1361" w:type="dxa"/>
            <w:vAlign w:val="center"/>
          </w:tcPr>
          <w:p w14:paraId="7BD6CBC1">
            <w:pPr>
              <w:pStyle w:val="11"/>
            </w:pPr>
            <w:r>
              <w:t>5</w:t>
            </w:r>
          </w:p>
        </w:tc>
        <w:tc>
          <w:tcPr>
            <w:tcW w:w="1361" w:type="dxa"/>
            <w:vAlign w:val="center"/>
          </w:tcPr>
          <w:p w14:paraId="2743BA34">
            <w:pPr>
              <w:pStyle w:val="11"/>
            </w:pPr>
            <w:r>
              <w:t>6</w:t>
            </w:r>
          </w:p>
        </w:tc>
        <w:tc>
          <w:tcPr>
            <w:tcW w:w="1361" w:type="dxa"/>
            <w:vAlign w:val="center"/>
          </w:tcPr>
          <w:p w14:paraId="2B7E9B29">
            <w:pPr>
              <w:pStyle w:val="11"/>
            </w:pPr>
            <w:r>
              <w:t>7</w:t>
            </w:r>
          </w:p>
        </w:tc>
        <w:tc>
          <w:tcPr>
            <w:tcW w:w="1361" w:type="dxa"/>
            <w:vAlign w:val="center"/>
          </w:tcPr>
          <w:p w14:paraId="6D6BCAC1">
            <w:pPr>
              <w:pStyle w:val="11"/>
            </w:pPr>
            <w:r>
              <w:t>8</w:t>
            </w:r>
          </w:p>
        </w:tc>
      </w:tr>
      <w:tr w14:paraId="41EB2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24292">
            <w:pPr>
              <w:pStyle w:val="12"/>
            </w:pPr>
            <w:r>
              <w:t>1</w:t>
            </w:r>
          </w:p>
        </w:tc>
        <w:tc>
          <w:tcPr>
            <w:tcW w:w="992" w:type="dxa"/>
            <w:vAlign w:val="center"/>
          </w:tcPr>
          <w:p w14:paraId="530E2606">
            <w:pPr>
              <w:pStyle w:val="17"/>
            </w:pPr>
          </w:p>
        </w:tc>
        <w:tc>
          <w:tcPr>
            <w:tcW w:w="4535" w:type="dxa"/>
            <w:vAlign w:val="center"/>
          </w:tcPr>
          <w:p w14:paraId="206684D0">
            <w:pPr>
              <w:pStyle w:val="15"/>
            </w:pPr>
            <w:r>
              <w:t>合计</w:t>
            </w:r>
          </w:p>
        </w:tc>
        <w:tc>
          <w:tcPr>
            <w:tcW w:w="1361" w:type="dxa"/>
            <w:vAlign w:val="center"/>
          </w:tcPr>
          <w:p w14:paraId="799ED4F1">
            <w:pPr>
              <w:pStyle w:val="16"/>
            </w:pPr>
            <w:r>
              <w:t>1140.50</w:t>
            </w:r>
          </w:p>
        </w:tc>
        <w:tc>
          <w:tcPr>
            <w:tcW w:w="1361" w:type="dxa"/>
            <w:vAlign w:val="center"/>
          </w:tcPr>
          <w:p w14:paraId="78BE21C9">
            <w:pPr>
              <w:pStyle w:val="16"/>
            </w:pPr>
            <w:r>
              <w:t>952.88</w:t>
            </w:r>
          </w:p>
        </w:tc>
        <w:tc>
          <w:tcPr>
            <w:tcW w:w="1361" w:type="dxa"/>
            <w:vAlign w:val="center"/>
          </w:tcPr>
          <w:p w14:paraId="0FF7075F">
            <w:pPr>
              <w:pStyle w:val="16"/>
            </w:pPr>
            <w:r>
              <w:t>187.62</w:t>
            </w:r>
          </w:p>
        </w:tc>
        <w:tc>
          <w:tcPr>
            <w:tcW w:w="1361" w:type="dxa"/>
            <w:vAlign w:val="center"/>
          </w:tcPr>
          <w:p w14:paraId="68944BFF">
            <w:pPr>
              <w:pStyle w:val="16"/>
            </w:pPr>
          </w:p>
        </w:tc>
        <w:tc>
          <w:tcPr>
            <w:tcW w:w="1361" w:type="dxa"/>
            <w:vAlign w:val="center"/>
          </w:tcPr>
          <w:p w14:paraId="5F345022">
            <w:pPr>
              <w:pStyle w:val="16"/>
            </w:pPr>
          </w:p>
        </w:tc>
        <w:tc>
          <w:tcPr>
            <w:tcW w:w="1361" w:type="dxa"/>
            <w:vAlign w:val="center"/>
          </w:tcPr>
          <w:p w14:paraId="4BA222A4">
            <w:pPr>
              <w:pStyle w:val="16"/>
            </w:pPr>
          </w:p>
        </w:tc>
      </w:tr>
      <w:tr w14:paraId="683DD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1DDADC7">
            <w:pPr>
              <w:pStyle w:val="12"/>
            </w:pPr>
            <w:r>
              <w:t>2</w:t>
            </w:r>
          </w:p>
        </w:tc>
        <w:tc>
          <w:tcPr>
            <w:tcW w:w="992" w:type="dxa"/>
            <w:vAlign w:val="center"/>
          </w:tcPr>
          <w:p w14:paraId="77BD3EC3">
            <w:pPr>
              <w:pStyle w:val="13"/>
            </w:pPr>
            <w:r>
              <w:t>205</w:t>
            </w:r>
          </w:p>
        </w:tc>
        <w:tc>
          <w:tcPr>
            <w:tcW w:w="4535" w:type="dxa"/>
            <w:vAlign w:val="center"/>
          </w:tcPr>
          <w:p w14:paraId="45D85282">
            <w:pPr>
              <w:pStyle w:val="13"/>
            </w:pPr>
            <w:r>
              <w:t>教育支出</w:t>
            </w:r>
          </w:p>
        </w:tc>
        <w:tc>
          <w:tcPr>
            <w:tcW w:w="1361" w:type="dxa"/>
            <w:vAlign w:val="center"/>
          </w:tcPr>
          <w:p w14:paraId="335066AF">
            <w:pPr>
              <w:pStyle w:val="14"/>
            </w:pPr>
            <w:r>
              <w:t>1019.74</w:t>
            </w:r>
          </w:p>
        </w:tc>
        <w:tc>
          <w:tcPr>
            <w:tcW w:w="1361" w:type="dxa"/>
            <w:vAlign w:val="center"/>
          </w:tcPr>
          <w:p w14:paraId="0DACD035">
            <w:pPr>
              <w:pStyle w:val="14"/>
            </w:pPr>
            <w:r>
              <w:t>832.12</w:t>
            </w:r>
          </w:p>
        </w:tc>
        <w:tc>
          <w:tcPr>
            <w:tcW w:w="1361" w:type="dxa"/>
            <w:vAlign w:val="center"/>
          </w:tcPr>
          <w:p w14:paraId="15F37ABC">
            <w:pPr>
              <w:pStyle w:val="14"/>
            </w:pPr>
            <w:r>
              <w:t>187.62</w:t>
            </w:r>
          </w:p>
        </w:tc>
        <w:tc>
          <w:tcPr>
            <w:tcW w:w="1361" w:type="dxa"/>
            <w:vAlign w:val="center"/>
          </w:tcPr>
          <w:p w14:paraId="55B759C3">
            <w:pPr>
              <w:pStyle w:val="14"/>
            </w:pPr>
          </w:p>
        </w:tc>
        <w:tc>
          <w:tcPr>
            <w:tcW w:w="1361" w:type="dxa"/>
            <w:vAlign w:val="center"/>
          </w:tcPr>
          <w:p w14:paraId="501CAFDA">
            <w:pPr>
              <w:pStyle w:val="14"/>
            </w:pPr>
          </w:p>
        </w:tc>
        <w:tc>
          <w:tcPr>
            <w:tcW w:w="1361" w:type="dxa"/>
            <w:vAlign w:val="center"/>
          </w:tcPr>
          <w:p w14:paraId="551146ED">
            <w:pPr>
              <w:pStyle w:val="14"/>
            </w:pPr>
          </w:p>
        </w:tc>
      </w:tr>
      <w:tr w14:paraId="6D43A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381C0">
            <w:pPr>
              <w:pStyle w:val="12"/>
            </w:pPr>
            <w:r>
              <w:t>3</w:t>
            </w:r>
          </w:p>
        </w:tc>
        <w:tc>
          <w:tcPr>
            <w:tcW w:w="992" w:type="dxa"/>
            <w:vAlign w:val="center"/>
          </w:tcPr>
          <w:p w14:paraId="2C9DFAB2">
            <w:pPr>
              <w:pStyle w:val="13"/>
            </w:pPr>
            <w:r>
              <w:t>20502</w:t>
            </w:r>
          </w:p>
        </w:tc>
        <w:tc>
          <w:tcPr>
            <w:tcW w:w="4535" w:type="dxa"/>
            <w:vAlign w:val="center"/>
          </w:tcPr>
          <w:p w14:paraId="13074579">
            <w:pPr>
              <w:pStyle w:val="13"/>
            </w:pPr>
            <w:r>
              <w:t>普通教育</w:t>
            </w:r>
          </w:p>
        </w:tc>
        <w:tc>
          <w:tcPr>
            <w:tcW w:w="1361" w:type="dxa"/>
            <w:vAlign w:val="center"/>
          </w:tcPr>
          <w:p w14:paraId="1A2DFB85">
            <w:pPr>
              <w:pStyle w:val="14"/>
            </w:pPr>
            <w:r>
              <w:t>97.01</w:t>
            </w:r>
          </w:p>
        </w:tc>
        <w:tc>
          <w:tcPr>
            <w:tcW w:w="1361" w:type="dxa"/>
            <w:vAlign w:val="center"/>
          </w:tcPr>
          <w:p w14:paraId="34C2DAE2">
            <w:pPr>
              <w:pStyle w:val="14"/>
            </w:pPr>
            <w:r>
              <w:t>97.01</w:t>
            </w:r>
          </w:p>
        </w:tc>
        <w:tc>
          <w:tcPr>
            <w:tcW w:w="1361" w:type="dxa"/>
            <w:vAlign w:val="center"/>
          </w:tcPr>
          <w:p w14:paraId="04B70850">
            <w:pPr>
              <w:pStyle w:val="14"/>
            </w:pPr>
          </w:p>
        </w:tc>
        <w:tc>
          <w:tcPr>
            <w:tcW w:w="1361" w:type="dxa"/>
            <w:vAlign w:val="center"/>
          </w:tcPr>
          <w:p w14:paraId="2C112B07">
            <w:pPr>
              <w:pStyle w:val="14"/>
            </w:pPr>
          </w:p>
        </w:tc>
        <w:tc>
          <w:tcPr>
            <w:tcW w:w="1361" w:type="dxa"/>
            <w:vAlign w:val="center"/>
          </w:tcPr>
          <w:p w14:paraId="287D94F6">
            <w:pPr>
              <w:pStyle w:val="14"/>
            </w:pPr>
          </w:p>
        </w:tc>
        <w:tc>
          <w:tcPr>
            <w:tcW w:w="1361" w:type="dxa"/>
            <w:vAlign w:val="center"/>
          </w:tcPr>
          <w:p w14:paraId="4367B27A">
            <w:pPr>
              <w:pStyle w:val="14"/>
            </w:pPr>
          </w:p>
        </w:tc>
      </w:tr>
      <w:tr w14:paraId="2E670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D23DFD">
            <w:pPr>
              <w:pStyle w:val="12"/>
            </w:pPr>
            <w:r>
              <w:t>4</w:t>
            </w:r>
          </w:p>
        </w:tc>
        <w:tc>
          <w:tcPr>
            <w:tcW w:w="992" w:type="dxa"/>
            <w:vAlign w:val="center"/>
          </w:tcPr>
          <w:p w14:paraId="1169FA7E">
            <w:pPr>
              <w:pStyle w:val="13"/>
            </w:pPr>
            <w:r>
              <w:t>2050202</w:t>
            </w:r>
          </w:p>
        </w:tc>
        <w:tc>
          <w:tcPr>
            <w:tcW w:w="4535" w:type="dxa"/>
            <w:vAlign w:val="center"/>
          </w:tcPr>
          <w:p w14:paraId="2948958B">
            <w:pPr>
              <w:pStyle w:val="13"/>
            </w:pPr>
            <w:r>
              <w:t>小学教育</w:t>
            </w:r>
          </w:p>
        </w:tc>
        <w:tc>
          <w:tcPr>
            <w:tcW w:w="1361" w:type="dxa"/>
            <w:vAlign w:val="center"/>
          </w:tcPr>
          <w:p w14:paraId="31C5BF93">
            <w:pPr>
              <w:pStyle w:val="14"/>
            </w:pPr>
            <w:r>
              <w:t>97.01</w:t>
            </w:r>
          </w:p>
        </w:tc>
        <w:tc>
          <w:tcPr>
            <w:tcW w:w="1361" w:type="dxa"/>
            <w:vAlign w:val="center"/>
          </w:tcPr>
          <w:p w14:paraId="7E653DAB">
            <w:pPr>
              <w:pStyle w:val="14"/>
            </w:pPr>
            <w:r>
              <w:t>97.01</w:t>
            </w:r>
          </w:p>
        </w:tc>
        <w:tc>
          <w:tcPr>
            <w:tcW w:w="1361" w:type="dxa"/>
            <w:vAlign w:val="center"/>
          </w:tcPr>
          <w:p w14:paraId="52F42375">
            <w:pPr>
              <w:pStyle w:val="14"/>
            </w:pPr>
          </w:p>
        </w:tc>
        <w:tc>
          <w:tcPr>
            <w:tcW w:w="1361" w:type="dxa"/>
            <w:vAlign w:val="center"/>
          </w:tcPr>
          <w:p w14:paraId="07DC446F">
            <w:pPr>
              <w:pStyle w:val="14"/>
            </w:pPr>
          </w:p>
        </w:tc>
        <w:tc>
          <w:tcPr>
            <w:tcW w:w="1361" w:type="dxa"/>
            <w:vAlign w:val="center"/>
          </w:tcPr>
          <w:p w14:paraId="46FBBF0D">
            <w:pPr>
              <w:pStyle w:val="14"/>
            </w:pPr>
          </w:p>
        </w:tc>
        <w:tc>
          <w:tcPr>
            <w:tcW w:w="1361" w:type="dxa"/>
            <w:vAlign w:val="center"/>
          </w:tcPr>
          <w:p w14:paraId="06077E09">
            <w:pPr>
              <w:pStyle w:val="14"/>
            </w:pPr>
          </w:p>
        </w:tc>
      </w:tr>
      <w:tr w14:paraId="47365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428DA77">
            <w:pPr>
              <w:pStyle w:val="12"/>
            </w:pPr>
            <w:r>
              <w:t>5</w:t>
            </w:r>
          </w:p>
        </w:tc>
        <w:tc>
          <w:tcPr>
            <w:tcW w:w="992" w:type="dxa"/>
            <w:vAlign w:val="center"/>
          </w:tcPr>
          <w:p w14:paraId="28B25571">
            <w:pPr>
              <w:pStyle w:val="13"/>
            </w:pPr>
            <w:r>
              <w:t>20508</w:t>
            </w:r>
          </w:p>
        </w:tc>
        <w:tc>
          <w:tcPr>
            <w:tcW w:w="4535" w:type="dxa"/>
            <w:vAlign w:val="center"/>
          </w:tcPr>
          <w:p w14:paraId="4FD59915">
            <w:pPr>
              <w:pStyle w:val="13"/>
            </w:pPr>
            <w:r>
              <w:t>进修及培训</w:t>
            </w:r>
          </w:p>
        </w:tc>
        <w:tc>
          <w:tcPr>
            <w:tcW w:w="1361" w:type="dxa"/>
            <w:vAlign w:val="center"/>
          </w:tcPr>
          <w:p w14:paraId="3C3D7899">
            <w:pPr>
              <w:pStyle w:val="14"/>
            </w:pPr>
            <w:r>
              <w:t>922.73</w:t>
            </w:r>
          </w:p>
        </w:tc>
        <w:tc>
          <w:tcPr>
            <w:tcW w:w="1361" w:type="dxa"/>
            <w:vAlign w:val="center"/>
          </w:tcPr>
          <w:p w14:paraId="2BFE6428">
            <w:pPr>
              <w:pStyle w:val="14"/>
            </w:pPr>
            <w:r>
              <w:t>735.11</w:t>
            </w:r>
          </w:p>
        </w:tc>
        <w:tc>
          <w:tcPr>
            <w:tcW w:w="1361" w:type="dxa"/>
            <w:vAlign w:val="center"/>
          </w:tcPr>
          <w:p w14:paraId="68B2F9FC">
            <w:pPr>
              <w:pStyle w:val="14"/>
            </w:pPr>
            <w:r>
              <w:t>187.62</w:t>
            </w:r>
          </w:p>
        </w:tc>
        <w:tc>
          <w:tcPr>
            <w:tcW w:w="1361" w:type="dxa"/>
            <w:vAlign w:val="center"/>
          </w:tcPr>
          <w:p w14:paraId="509498DD">
            <w:pPr>
              <w:pStyle w:val="14"/>
            </w:pPr>
          </w:p>
        </w:tc>
        <w:tc>
          <w:tcPr>
            <w:tcW w:w="1361" w:type="dxa"/>
            <w:vAlign w:val="center"/>
          </w:tcPr>
          <w:p w14:paraId="55A0CD57">
            <w:pPr>
              <w:pStyle w:val="14"/>
            </w:pPr>
          </w:p>
        </w:tc>
        <w:tc>
          <w:tcPr>
            <w:tcW w:w="1361" w:type="dxa"/>
            <w:vAlign w:val="center"/>
          </w:tcPr>
          <w:p w14:paraId="5AEBA4D5">
            <w:pPr>
              <w:pStyle w:val="14"/>
            </w:pPr>
          </w:p>
        </w:tc>
      </w:tr>
      <w:tr w14:paraId="0B93A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CB157">
            <w:pPr>
              <w:pStyle w:val="12"/>
            </w:pPr>
            <w:r>
              <w:t>6</w:t>
            </w:r>
          </w:p>
        </w:tc>
        <w:tc>
          <w:tcPr>
            <w:tcW w:w="992" w:type="dxa"/>
            <w:vAlign w:val="center"/>
          </w:tcPr>
          <w:p w14:paraId="4106F81F">
            <w:pPr>
              <w:pStyle w:val="13"/>
            </w:pPr>
            <w:r>
              <w:t>2050801</w:t>
            </w:r>
          </w:p>
        </w:tc>
        <w:tc>
          <w:tcPr>
            <w:tcW w:w="4535" w:type="dxa"/>
            <w:vAlign w:val="center"/>
          </w:tcPr>
          <w:p w14:paraId="07B36D85">
            <w:pPr>
              <w:pStyle w:val="13"/>
            </w:pPr>
            <w:r>
              <w:t>教师进修</w:t>
            </w:r>
          </w:p>
        </w:tc>
        <w:tc>
          <w:tcPr>
            <w:tcW w:w="1361" w:type="dxa"/>
            <w:vAlign w:val="center"/>
          </w:tcPr>
          <w:p w14:paraId="07A0FCC1">
            <w:pPr>
              <w:pStyle w:val="14"/>
            </w:pPr>
            <w:r>
              <w:t>922.73</w:t>
            </w:r>
          </w:p>
        </w:tc>
        <w:tc>
          <w:tcPr>
            <w:tcW w:w="1361" w:type="dxa"/>
            <w:vAlign w:val="center"/>
          </w:tcPr>
          <w:p w14:paraId="2D013683">
            <w:pPr>
              <w:pStyle w:val="14"/>
            </w:pPr>
            <w:r>
              <w:t>735.11</w:t>
            </w:r>
          </w:p>
        </w:tc>
        <w:tc>
          <w:tcPr>
            <w:tcW w:w="1361" w:type="dxa"/>
            <w:vAlign w:val="center"/>
          </w:tcPr>
          <w:p w14:paraId="4AFDD88A">
            <w:pPr>
              <w:pStyle w:val="14"/>
            </w:pPr>
            <w:r>
              <w:t>187.62</w:t>
            </w:r>
          </w:p>
        </w:tc>
        <w:tc>
          <w:tcPr>
            <w:tcW w:w="1361" w:type="dxa"/>
            <w:vAlign w:val="center"/>
          </w:tcPr>
          <w:p w14:paraId="5F8B9725">
            <w:pPr>
              <w:pStyle w:val="14"/>
            </w:pPr>
          </w:p>
        </w:tc>
        <w:tc>
          <w:tcPr>
            <w:tcW w:w="1361" w:type="dxa"/>
            <w:vAlign w:val="center"/>
          </w:tcPr>
          <w:p w14:paraId="0CBBCBA9">
            <w:pPr>
              <w:pStyle w:val="14"/>
            </w:pPr>
          </w:p>
        </w:tc>
        <w:tc>
          <w:tcPr>
            <w:tcW w:w="1361" w:type="dxa"/>
            <w:vAlign w:val="center"/>
          </w:tcPr>
          <w:p w14:paraId="516CF1BF">
            <w:pPr>
              <w:pStyle w:val="14"/>
            </w:pPr>
          </w:p>
        </w:tc>
      </w:tr>
      <w:tr w14:paraId="251AA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35A22AD">
            <w:pPr>
              <w:pStyle w:val="12"/>
            </w:pPr>
            <w:r>
              <w:t>7</w:t>
            </w:r>
          </w:p>
        </w:tc>
        <w:tc>
          <w:tcPr>
            <w:tcW w:w="992" w:type="dxa"/>
            <w:vAlign w:val="center"/>
          </w:tcPr>
          <w:p w14:paraId="5BA82B22">
            <w:pPr>
              <w:pStyle w:val="13"/>
            </w:pPr>
            <w:r>
              <w:t>208</w:t>
            </w:r>
          </w:p>
        </w:tc>
        <w:tc>
          <w:tcPr>
            <w:tcW w:w="4535" w:type="dxa"/>
            <w:vAlign w:val="center"/>
          </w:tcPr>
          <w:p w14:paraId="6BA6D5EB">
            <w:pPr>
              <w:pStyle w:val="13"/>
            </w:pPr>
            <w:r>
              <w:t>社会保障和就业支出</w:t>
            </w:r>
          </w:p>
        </w:tc>
        <w:tc>
          <w:tcPr>
            <w:tcW w:w="1361" w:type="dxa"/>
            <w:vAlign w:val="center"/>
          </w:tcPr>
          <w:p w14:paraId="0B426982">
            <w:pPr>
              <w:pStyle w:val="14"/>
            </w:pPr>
            <w:r>
              <w:t>83.12</w:t>
            </w:r>
          </w:p>
        </w:tc>
        <w:tc>
          <w:tcPr>
            <w:tcW w:w="1361" w:type="dxa"/>
            <w:vAlign w:val="center"/>
          </w:tcPr>
          <w:p w14:paraId="10D03263">
            <w:pPr>
              <w:pStyle w:val="14"/>
            </w:pPr>
            <w:r>
              <w:t>83.12</w:t>
            </w:r>
          </w:p>
        </w:tc>
        <w:tc>
          <w:tcPr>
            <w:tcW w:w="1361" w:type="dxa"/>
            <w:vAlign w:val="center"/>
          </w:tcPr>
          <w:p w14:paraId="20907F51">
            <w:pPr>
              <w:pStyle w:val="14"/>
            </w:pPr>
          </w:p>
        </w:tc>
        <w:tc>
          <w:tcPr>
            <w:tcW w:w="1361" w:type="dxa"/>
            <w:vAlign w:val="center"/>
          </w:tcPr>
          <w:p w14:paraId="4637FD50">
            <w:pPr>
              <w:pStyle w:val="14"/>
            </w:pPr>
          </w:p>
        </w:tc>
        <w:tc>
          <w:tcPr>
            <w:tcW w:w="1361" w:type="dxa"/>
            <w:vAlign w:val="center"/>
          </w:tcPr>
          <w:p w14:paraId="66AFF1FF">
            <w:pPr>
              <w:pStyle w:val="14"/>
            </w:pPr>
          </w:p>
        </w:tc>
        <w:tc>
          <w:tcPr>
            <w:tcW w:w="1361" w:type="dxa"/>
            <w:vAlign w:val="center"/>
          </w:tcPr>
          <w:p w14:paraId="1E335365">
            <w:pPr>
              <w:pStyle w:val="14"/>
            </w:pPr>
          </w:p>
        </w:tc>
      </w:tr>
      <w:tr w14:paraId="20216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F57FF">
            <w:pPr>
              <w:pStyle w:val="12"/>
            </w:pPr>
            <w:r>
              <w:t>8</w:t>
            </w:r>
          </w:p>
        </w:tc>
        <w:tc>
          <w:tcPr>
            <w:tcW w:w="992" w:type="dxa"/>
            <w:vAlign w:val="center"/>
          </w:tcPr>
          <w:p w14:paraId="74605E1E">
            <w:pPr>
              <w:pStyle w:val="13"/>
            </w:pPr>
            <w:r>
              <w:t>20805</w:t>
            </w:r>
          </w:p>
        </w:tc>
        <w:tc>
          <w:tcPr>
            <w:tcW w:w="4535" w:type="dxa"/>
            <w:vAlign w:val="center"/>
          </w:tcPr>
          <w:p w14:paraId="6DEC0557">
            <w:pPr>
              <w:pStyle w:val="13"/>
            </w:pPr>
            <w:r>
              <w:t>行政事业单位养老支出</w:t>
            </w:r>
          </w:p>
        </w:tc>
        <w:tc>
          <w:tcPr>
            <w:tcW w:w="1361" w:type="dxa"/>
            <w:vAlign w:val="center"/>
          </w:tcPr>
          <w:p w14:paraId="661ED6F2">
            <w:pPr>
              <w:pStyle w:val="14"/>
            </w:pPr>
            <w:r>
              <w:t>83.12</w:t>
            </w:r>
          </w:p>
        </w:tc>
        <w:tc>
          <w:tcPr>
            <w:tcW w:w="1361" w:type="dxa"/>
            <w:vAlign w:val="center"/>
          </w:tcPr>
          <w:p w14:paraId="2447C364">
            <w:pPr>
              <w:pStyle w:val="14"/>
            </w:pPr>
            <w:r>
              <w:t>83.12</w:t>
            </w:r>
          </w:p>
        </w:tc>
        <w:tc>
          <w:tcPr>
            <w:tcW w:w="1361" w:type="dxa"/>
            <w:vAlign w:val="center"/>
          </w:tcPr>
          <w:p w14:paraId="2EC273DE">
            <w:pPr>
              <w:pStyle w:val="14"/>
            </w:pPr>
          </w:p>
        </w:tc>
        <w:tc>
          <w:tcPr>
            <w:tcW w:w="1361" w:type="dxa"/>
            <w:vAlign w:val="center"/>
          </w:tcPr>
          <w:p w14:paraId="73346AD2">
            <w:pPr>
              <w:pStyle w:val="14"/>
            </w:pPr>
          </w:p>
        </w:tc>
        <w:tc>
          <w:tcPr>
            <w:tcW w:w="1361" w:type="dxa"/>
            <w:vAlign w:val="center"/>
          </w:tcPr>
          <w:p w14:paraId="179A2ABC">
            <w:pPr>
              <w:pStyle w:val="14"/>
            </w:pPr>
          </w:p>
        </w:tc>
        <w:tc>
          <w:tcPr>
            <w:tcW w:w="1361" w:type="dxa"/>
            <w:vAlign w:val="center"/>
          </w:tcPr>
          <w:p w14:paraId="0618004B">
            <w:pPr>
              <w:pStyle w:val="14"/>
            </w:pPr>
          </w:p>
        </w:tc>
      </w:tr>
      <w:tr w14:paraId="6EEAF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D56B0C7">
            <w:pPr>
              <w:pStyle w:val="12"/>
            </w:pPr>
            <w:r>
              <w:t>9</w:t>
            </w:r>
          </w:p>
        </w:tc>
        <w:tc>
          <w:tcPr>
            <w:tcW w:w="992" w:type="dxa"/>
            <w:vAlign w:val="center"/>
          </w:tcPr>
          <w:p w14:paraId="6EF59D9B">
            <w:pPr>
              <w:pStyle w:val="13"/>
            </w:pPr>
            <w:r>
              <w:t>2080505</w:t>
            </w:r>
          </w:p>
        </w:tc>
        <w:tc>
          <w:tcPr>
            <w:tcW w:w="4535" w:type="dxa"/>
            <w:vAlign w:val="center"/>
          </w:tcPr>
          <w:p w14:paraId="15EA49DC">
            <w:pPr>
              <w:pStyle w:val="13"/>
            </w:pPr>
            <w:r>
              <w:t>机关事业单位基本养老保险缴费支出</w:t>
            </w:r>
          </w:p>
        </w:tc>
        <w:tc>
          <w:tcPr>
            <w:tcW w:w="1361" w:type="dxa"/>
            <w:vAlign w:val="center"/>
          </w:tcPr>
          <w:p w14:paraId="27E52D62">
            <w:pPr>
              <w:pStyle w:val="14"/>
            </w:pPr>
            <w:r>
              <w:t>83.12</w:t>
            </w:r>
          </w:p>
        </w:tc>
        <w:tc>
          <w:tcPr>
            <w:tcW w:w="1361" w:type="dxa"/>
            <w:vAlign w:val="center"/>
          </w:tcPr>
          <w:p w14:paraId="1EC63A0D">
            <w:pPr>
              <w:pStyle w:val="14"/>
            </w:pPr>
            <w:r>
              <w:t>83.12</w:t>
            </w:r>
          </w:p>
        </w:tc>
        <w:tc>
          <w:tcPr>
            <w:tcW w:w="1361" w:type="dxa"/>
            <w:vAlign w:val="center"/>
          </w:tcPr>
          <w:p w14:paraId="17937DCF">
            <w:pPr>
              <w:pStyle w:val="14"/>
            </w:pPr>
          </w:p>
        </w:tc>
        <w:tc>
          <w:tcPr>
            <w:tcW w:w="1361" w:type="dxa"/>
            <w:vAlign w:val="center"/>
          </w:tcPr>
          <w:p w14:paraId="29B70E7D">
            <w:pPr>
              <w:pStyle w:val="14"/>
            </w:pPr>
          </w:p>
        </w:tc>
        <w:tc>
          <w:tcPr>
            <w:tcW w:w="1361" w:type="dxa"/>
            <w:vAlign w:val="center"/>
          </w:tcPr>
          <w:p w14:paraId="3896E836">
            <w:pPr>
              <w:pStyle w:val="14"/>
            </w:pPr>
          </w:p>
        </w:tc>
        <w:tc>
          <w:tcPr>
            <w:tcW w:w="1361" w:type="dxa"/>
            <w:vAlign w:val="center"/>
          </w:tcPr>
          <w:p w14:paraId="3F985083">
            <w:pPr>
              <w:pStyle w:val="14"/>
            </w:pPr>
          </w:p>
        </w:tc>
      </w:tr>
      <w:tr w14:paraId="310F8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1945581">
            <w:pPr>
              <w:pStyle w:val="12"/>
            </w:pPr>
            <w:r>
              <w:t>10</w:t>
            </w:r>
          </w:p>
        </w:tc>
        <w:tc>
          <w:tcPr>
            <w:tcW w:w="992" w:type="dxa"/>
            <w:vAlign w:val="center"/>
          </w:tcPr>
          <w:p w14:paraId="52E36DC9">
            <w:pPr>
              <w:pStyle w:val="13"/>
            </w:pPr>
            <w:r>
              <w:t>210</w:t>
            </w:r>
          </w:p>
        </w:tc>
        <w:tc>
          <w:tcPr>
            <w:tcW w:w="4535" w:type="dxa"/>
            <w:vAlign w:val="center"/>
          </w:tcPr>
          <w:p w14:paraId="642DE79C">
            <w:pPr>
              <w:pStyle w:val="13"/>
            </w:pPr>
            <w:r>
              <w:t>卫生健康支出</w:t>
            </w:r>
          </w:p>
        </w:tc>
        <w:tc>
          <w:tcPr>
            <w:tcW w:w="1361" w:type="dxa"/>
            <w:vAlign w:val="center"/>
          </w:tcPr>
          <w:p w14:paraId="3007488E">
            <w:pPr>
              <w:pStyle w:val="14"/>
            </w:pPr>
            <w:r>
              <w:t>37.64</w:t>
            </w:r>
          </w:p>
        </w:tc>
        <w:tc>
          <w:tcPr>
            <w:tcW w:w="1361" w:type="dxa"/>
            <w:vAlign w:val="center"/>
          </w:tcPr>
          <w:p w14:paraId="07304388">
            <w:pPr>
              <w:pStyle w:val="14"/>
            </w:pPr>
            <w:r>
              <w:t>37.64</w:t>
            </w:r>
          </w:p>
        </w:tc>
        <w:tc>
          <w:tcPr>
            <w:tcW w:w="1361" w:type="dxa"/>
            <w:vAlign w:val="center"/>
          </w:tcPr>
          <w:p w14:paraId="42ECA849">
            <w:pPr>
              <w:pStyle w:val="14"/>
            </w:pPr>
          </w:p>
        </w:tc>
        <w:tc>
          <w:tcPr>
            <w:tcW w:w="1361" w:type="dxa"/>
            <w:vAlign w:val="center"/>
          </w:tcPr>
          <w:p w14:paraId="7BE12B3A">
            <w:pPr>
              <w:pStyle w:val="14"/>
            </w:pPr>
          </w:p>
        </w:tc>
        <w:tc>
          <w:tcPr>
            <w:tcW w:w="1361" w:type="dxa"/>
            <w:vAlign w:val="center"/>
          </w:tcPr>
          <w:p w14:paraId="06B278D3">
            <w:pPr>
              <w:pStyle w:val="14"/>
            </w:pPr>
          </w:p>
        </w:tc>
        <w:tc>
          <w:tcPr>
            <w:tcW w:w="1361" w:type="dxa"/>
            <w:vAlign w:val="center"/>
          </w:tcPr>
          <w:p w14:paraId="1F12CEE5">
            <w:pPr>
              <w:pStyle w:val="14"/>
            </w:pPr>
          </w:p>
        </w:tc>
      </w:tr>
      <w:tr w14:paraId="29048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2726D">
            <w:pPr>
              <w:pStyle w:val="12"/>
            </w:pPr>
            <w:r>
              <w:t>11</w:t>
            </w:r>
          </w:p>
        </w:tc>
        <w:tc>
          <w:tcPr>
            <w:tcW w:w="992" w:type="dxa"/>
            <w:vAlign w:val="center"/>
          </w:tcPr>
          <w:p w14:paraId="3C60A24B">
            <w:pPr>
              <w:pStyle w:val="13"/>
            </w:pPr>
            <w:r>
              <w:t>21011</w:t>
            </w:r>
          </w:p>
        </w:tc>
        <w:tc>
          <w:tcPr>
            <w:tcW w:w="4535" w:type="dxa"/>
            <w:vAlign w:val="center"/>
          </w:tcPr>
          <w:p w14:paraId="08313C16">
            <w:pPr>
              <w:pStyle w:val="13"/>
            </w:pPr>
            <w:r>
              <w:t>行政事业单位医疗</w:t>
            </w:r>
          </w:p>
        </w:tc>
        <w:tc>
          <w:tcPr>
            <w:tcW w:w="1361" w:type="dxa"/>
            <w:vAlign w:val="center"/>
          </w:tcPr>
          <w:p w14:paraId="3B173CDE">
            <w:pPr>
              <w:pStyle w:val="14"/>
            </w:pPr>
            <w:r>
              <w:t>37.64</w:t>
            </w:r>
          </w:p>
        </w:tc>
        <w:tc>
          <w:tcPr>
            <w:tcW w:w="1361" w:type="dxa"/>
            <w:vAlign w:val="center"/>
          </w:tcPr>
          <w:p w14:paraId="23A4677B">
            <w:pPr>
              <w:pStyle w:val="14"/>
            </w:pPr>
            <w:r>
              <w:t>37.64</w:t>
            </w:r>
          </w:p>
        </w:tc>
        <w:tc>
          <w:tcPr>
            <w:tcW w:w="1361" w:type="dxa"/>
            <w:vAlign w:val="center"/>
          </w:tcPr>
          <w:p w14:paraId="407C3EA3">
            <w:pPr>
              <w:pStyle w:val="14"/>
            </w:pPr>
          </w:p>
        </w:tc>
        <w:tc>
          <w:tcPr>
            <w:tcW w:w="1361" w:type="dxa"/>
            <w:vAlign w:val="center"/>
          </w:tcPr>
          <w:p w14:paraId="2F0629EB">
            <w:pPr>
              <w:pStyle w:val="14"/>
            </w:pPr>
          </w:p>
        </w:tc>
        <w:tc>
          <w:tcPr>
            <w:tcW w:w="1361" w:type="dxa"/>
            <w:vAlign w:val="center"/>
          </w:tcPr>
          <w:p w14:paraId="051ED61B">
            <w:pPr>
              <w:pStyle w:val="14"/>
            </w:pPr>
          </w:p>
        </w:tc>
        <w:tc>
          <w:tcPr>
            <w:tcW w:w="1361" w:type="dxa"/>
            <w:vAlign w:val="center"/>
          </w:tcPr>
          <w:p w14:paraId="358D8C4A">
            <w:pPr>
              <w:pStyle w:val="14"/>
            </w:pPr>
          </w:p>
        </w:tc>
      </w:tr>
      <w:tr w14:paraId="73231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96EF7F7">
            <w:pPr>
              <w:pStyle w:val="12"/>
            </w:pPr>
            <w:r>
              <w:t>12</w:t>
            </w:r>
          </w:p>
        </w:tc>
        <w:tc>
          <w:tcPr>
            <w:tcW w:w="992" w:type="dxa"/>
            <w:vAlign w:val="center"/>
          </w:tcPr>
          <w:p w14:paraId="291129E5">
            <w:pPr>
              <w:pStyle w:val="13"/>
            </w:pPr>
            <w:r>
              <w:t>2101102</w:t>
            </w:r>
          </w:p>
        </w:tc>
        <w:tc>
          <w:tcPr>
            <w:tcW w:w="4535" w:type="dxa"/>
            <w:vAlign w:val="center"/>
          </w:tcPr>
          <w:p w14:paraId="3EB0DB22">
            <w:pPr>
              <w:pStyle w:val="13"/>
            </w:pPr>
            <w:r>
              <w:t>事业单位医疗</w:t>
            </w:r>
          </w:p>
        </w:tc>
        <w:tc>
          <w:tcPr>
            <w:tcW w:w="1361" w:type="dxa"/>
            <w:vAlign w:val="center"/>
          </w:tcPr>
          <w:p w14:paraId="22A41012">
            <w:pPr>
              <w:pStyle w:val="14"/>
            </w:pPr>
            <w:r>
              <w:t>37.64</w:t>
            </w:r>
          </w:p>
        </w:tc>
        <w:tc>
          <w:tcPr>
            <w:tcW w:w="1361" w:type="dxa"/>
            <w:vAlign w:val="center"/>
          </w:tcPr>
          <w:p w14:paraId="0CD6067C">
            <w:pPr>
              <w:pStyle w:val="14"/>
            </w:pPr>
            <w:r>
              <w:t>37.64</w:t>
            </w:r>
          </w:p>
        </w:tc>
        <w:tc>
          <w:tcPr>
            <w:tcW w:w="1361" w:type="dxa"/>
            <w:vAlign w:val="center"/>
          </w:tcPr>
          <w:p w14:paraId="41E77CF1">
            <w:pPr>
              <w:pStyle w:val="14"/>
            </w:pPr>
          </w:p>
        </w:tc>
        <w:tc>
          <w:tcPr>
            <w:tcW w:w="1361" w:type="dxa"/>
            <w:vAlign w:val="center"/>
          </w:tcPr>
          <w:p w14:paraId="207CFBD9">
            <w:pPr>
              <w:pStyle w:val="14"/>
            </w:pPr>
          </w:p>
        </w:tc>
        <w:tc>
          <w:tcPr>
            <w:tcW w:w="1361" w:type="dxa"/>
            <w:vAlign w:val="center"/>
          </w:tcPr>
          <w:p w14:paraId="720A2BA0">
            <w:pPr>
              <w:pStyle w:val="14"/>
            </w:pPr>
          </w:p>
        </w:tc>
        <w:tc>
          <w:tcPr>
            <w:tcW w:w="1361" w:type="dxa"/>
            <w:vAlign w:val="center"/>
          </w:tcPr>
          <w:p w14:paraId="14057B24">
            <w:pPr>
              <w:pStyle w:val="14"/>
            </w:pPr>
          </w:p>
        </w:tc>
      </w:tr>
    </w:tbl>
    <w:p w14:paraId="1238D911">
      <w:pPr>
        <w:sectPr>
          <w:pgSz w:w="16840" w:h="11900" w:orient="landscape"/>
          <w:pgMar w:top="1361" w:right="1020" w:bottom="1134" w:left="1020" w:header="720" w:footer="720" w:gutter="0"/>
          <w:cols w:space="720" w:num="1"/>
        </w:sectPr>
      </w:pPr>
    </w:p>
    <w:p w14:paraId="191D0B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CB40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75B534">
            <w:pPr>
              <w:pStyle w:val="8"/>
            </w:pPr>
            <w:r>
              <w:t>360028隆尧县教师发展中心</w:t>
            </w:r>
          </w:p>
        </w:tc>
        <w:tc>
          <w:tcPr>
            <w:tcW w:w="3402" w:type="dxa"/>
            <w:tcBorders>
              <w:top w:val="single" w:color="FFFFFF" w:sz="6" w:space="0"/>
              <w:left w:val="single" w:color="FFFFFF" w:sz="6" w:space="0"/>
              <w:right w:val="single" w:color="FFFFFF" w:sz="6" w:space="0"/>
            </w:tcBorders>
            <w:vAlign w:val="center"/>
          </w:tcPr>
          <w:p w14:paraId="46052B02">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125352B">
            <w:pPr>
              <w:pStyle w:val="10"/>
            </w:pPr>
            <w:r>
              <w:t>单位：万元</w:t>
            </w:r>
          </w:p>
        </w:tc>
      </w:tr>
      <w:tr w14:paraId="27C23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18EDF6">
            <w:pPr>
              <w:pStyle w:val="11"/>
            </w:pPr>
            <w:r>
              <w:t>序号</w:t>
            </w:r>
          </w:p>
        </w:tc>
        <w:tc>
          <w:tcPr>
            <w:tcW w:w="4876" w:type="dxa"/>
            <w:gridSpan w:val="2"/>
            <w:vAlign w:val="center"/>
          </w:tcPr>
          <w:p w14:paraId="1AD3D861">
            <w:pPr>
              <w:pStyle w:val="11"/>
            </w:pPr>
            <w:r>
              <w:t>收入</w:t>
            </w:r>
          </w:p>
        </w:tc>
        <w:tc>
          <w:tcPr>
            <w:tcW w:w="9298" w:type="dxa"/>
            <w:gridSpan w:val="5"/>
            <w:vAlign w:val="center"/>
          </w:tcPr>
          <w:p w14:paraId="5E7F9F7C">
            <w:pPr>
              <w:pStyle w:val="11"/>
            </w:pPr>
            <w:r>
              <w:t>支出</w:t>
            </w:r>
          </w:p>
        </w:tc>
      </w:tr>
      <w:tr w14:paraId="1D623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B4F0AD"/>
        </w:tc>
        <w:tc>
          <w:tcPr>
            <w:tcW w:w="3402" w:type="dxa"/>
            <w:vAlign w:val="center"/>
          </w:tcPr>
          <w:p w14:paraId="1806B39A">
            <w:pPr>
              <w:pStyle w:val="11"/>
            </w:pPr>
            <w:r>
              <w:t>项  目</w:t>
            </w:r>
          </w:p>
        </w:tc>
        <w:tc>
          <w:tcPr>
            <w:tcW w:w="1474" w:type="dxa"/>
            <w:vAlign w:val="center"/>
          </w:tcPr>
          <w:p w14:paraId="146BFCF0">
            <w:pPr>
              <w:pStyle w:val="11"/>
            </w:pPr>
            <w:r>
              <w:t>金额</w:t>
            </w:r>
          </w:p>
        </w:tc>
        <w:tc>
          <w:tcPr>
            <w:tcW w:w="3402" w:type="dxa"/>
            <w:vAlign w:val="center"/>
          </w:tcPr>
          <w:p w14:paraId="6E4BEC68">
            <w:pPr>
              <w:pStyle w:val="11"/>
            </w:pPr>
            <w:r>
              <w:t>项  目</w:t>
            </w:r>
          </w:p>
        </w:tc>
        <w:tc>
          <w:tcPr>
            <w:tcW w:w="1474" w:type="dxa"/>
            <w:vAlign w:val="center"/>
          </w:tcPr>
          <w:p w14:paraId="5E91EA6D">
            <w:pPr>
              <w:pStyle w:val="11"/>
            </w:pPr>
            <w:r>
              <w:t>合计</w:t>
            </w:r>
          </w:p>
        </w:tc>
        <w:tc>
          <w:tcPr>
            <w:tcW w:w="1474" w:type="dxa"/>
            <w:vAlign w:val="center"/>
          </w:tcPr>
          <w:p w14:paraId="5D4FD44B">
            <w:pPr>
              <w:pStyle w:val="11"/>
            </w:pPr>
            <w:r>
              <w:t>一般公共预算财政拨款</w:t>
            </w:r>
          </w:p>
        </w:tc>
        <w:tc>
          <w:tcPr>
            <w:tcW w:w="1474" w:type="dxa"/>
            <w:vAlign w:val="center"/>
          </w:tcPr>
          <w:p w14:paraId="6B3C39D2">
            <w:pPr>
              <w:pStyle w:val="11"/>
            </w:pPr>
            <w:r>
              <w:t>政府性基金预算财政    拨款</w:t>
            </w:r>
          </w:p>
        </w:tc>
        <w:tc>
          <w:tcPr>
            <w:tcW w:w="1474" w:type="dxa"/>
            <w:vAlign w:val="center"/>
          </w:tcPr>
          <w:p w14:paraId="020C392D">
            <w:pPr>
              <w:pStyle w:val="11"/>
            </w:pPr>
            <w:r>
              <w:t>国有资本经营预算财政拨款</w:t>
            </w:r>
          </w:p>
        </w:tc>
      </w:tr>
      <w:tr w14:paraId="4A6B6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54FE6E">
            <w:pPr>
              <w:pStyle w:val="11"/>
            </w:pPr>
            <w:r>
              <w:t>栏次</w:t>
            </w:r>
          </w:p>
        </w:tc>
        <w:tc>
          <w:tcPr>
            <w:tcW w:w="3402" w:type="dxa"/>
            <w:vAlign w:val="center"/>
          </w:tcPr>
          <w:p w14:paraId="02AE6D59">
            <w:pPr>
              <w:pStyle w:val="11"/>
            </w:pPr>
            <w:r>
              <w:t>1</w:t>
            </w:r>
          </w:p>
        </w:tc>
        <w:tc>
          <w:tcPr>
            <w:tcW w:w="1474" w:type="dxa"/>
            <w:vAlign w:val="center"/>
          </w:tcPr>
          <w:p w14:paraId="160FB7C1">
            <w:pPr>
              <w:pStyle w:val="11"/>
            </w:pPr>
            <w:r>
              <w:t>2</w:t>
            </w:r>
          </w:p>
        </w:tc>
        <w:tc>
          <w:tcPr>
            <w:tcW w:w="3402" w:type="dxa"/>
            <w:vAlign w:val="center"/>
          </w:tcPr>
          <w:p w14:paraId="6ECEB24B">
            <w:pPr>
              <w:pStyle w:val="11"/>
            </w:pPr>
            <w:r>
              <w:t>3</w:t>
            </w:r>
          </w:p>
        </w:tc>
        <w:tc>
          <w:tcPr>
            <w:tcW w:w="1474" w:type="dxa"/>
            <w:vAlign w:val="center"/>
          </w:tcPr>
          <w:p w14:paraId="3E5AE9F7">
            <w:pPr>
              <w:pStyle w:val="11"/>
            </w:pPr>
            <w:r>
              <w:t>4</w:t>
            </w:r>
          </w:p>
        </w:tc>
        <w:tc>
          <w:tcPr>
            <w:tcW w:w="1474" w:type="dxa"/>
            <w:vAlign w:val="center"/>
          </w:tcPr>
          <w:p w14:paraId="4FDE7304">
            <w:pPr>
              <w:pStyle w:val="11"/>
            </w:pPr>
            <w:r>
              <w:t>5</w:t>
            </w:r>
          </w:p>
        </w:tc>
        <w:tc>
          <w:tcPr>
            <w:tcW w:w="1474" w:type="dxa"/>
            <w:vAlign w:val="center"/>
          </w:tcPr>
          <w:p w14:paraId="786E1AFE">
            <w:pPr>
              <w:pStyle w:val="11"/>
            </w:pPr>
            <w:r>
              <w:t>6</w:t>
            </w:r>
          </w:p>
        </w:tc>
        <w:tc>
          <w:tcPr>
            <w:tcW w:w="1474" w:type="dxa"/>
            <w:vAlign w:val="center"/>
          </w:tcPr>
          <w:p w14:paraId="6FA2A9CB">
            <w:pPr>
              <w:pStyle w:val="11"/>
            </w:pPr>
            <w:r>
              <w:t>7</w:t>
            </w:r>
          </w:p>
        </w:tc>
      </w:tr>
      <w:tr w14:paraId="33471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E004B">
            <w:pPr>
              <w:pStyle w:val="12"/>
            </w:pPr>
            <w:r>
              <w:t>1</w:t>
            </w:r>
          </w:p>
        </w:tc>
        <w:tc>
          <w:tcPr>
            <w:tcW w:w="3402" w:type="dxa"/>
            <w:vAlign w:val="center"/>
          </w:tcPr>
          <w:p w14:paraId="1CE6C071">
            <w:pPr>
              <w:pStyle w:val="13"/>
            </w:pPr>
            <w:r>
              <w:t>一、一般公共预算拨款</w:t>
            </w:r>
          </w:p>
        </w:tc>
        <w:tc>
          <w:tcPr>
            <w:tcW w:w="1474" w:type="dxa"/>
            <w:vAlign w:val="center"/>
          </w:tcPr>
          <w:p w14:paraId="72167112">
            <w:pPr>
              <w:pStyle w:val="14"/>
            </w:pPr>
            <w:r>
              <w:t>965.88</w:t>
            </w:r>
          </w:p>
        </w:tc>
        <w:tc>
          <w:tcPr>
            <w:tcW w:w="3402" w:type="dxa"/>
            <w:vAlign w:val="center"/>
          </w:tcPr>
          <w:p w14:paraId="2B9AFE00">
            <w:pPr>
              <w:pStyle w:val="13"/>
            </w:pPr>
            <w:r>
              <w:t>一、一般公共服务支出</w:t>
            </w:r>
          </w:p>
        </w:tc>
        <w:tc>
          <w:tcPr>
            <w:tcW w:w="1474" w:type="dxa"/>
            <w:vAlign w:val="center"/>
          </w:tcPr>
          <w:p w14:paraId="2B0B09CD">
            <w:pPr>
              <w:pStyle w:val="14"/>
            </w:pPr>
          </w:p>
        </w:tc>
        <w:tc>
          <w:tcPr>
            <w:tcW w:w="1474" w:type="dxa"/>
            <w:vAlign w:val="center"/>
          </w:tcPr>
          <w:p w14:paraId="23EDC2DE">
            <w:pPr>
              <w:pStyle w:val="14"/>
            </w:pPr>
          </w:p>
        </w:tc>
        <w:tc>
          <w:tcPr>
            <w:tcW w:w="1474" w:type="dxa"/>
            <w:vAlign w:val="center"/>
          </w:tcPr>
          <w:p w14:paraId="5D893845">
            <w:pPr>
              <w:pStyle w:val="14"/>
            </w:pPr>
          </w:p>
        </w:tc>
        <w:tc>
          <w:tcPr>
            <w:tcW w:w="1474" w:type="dxa"/>
            <w:vAlign w:val="center"/>
          </w:tcPr>
          <w:p w14:paraId="625F5FF9">
            <w:pPr>
              <w:pStyle w:val="14"/>
            </w:pPr>
          </w:p>
        </w:tc>
      </w:tr>
      <w:tr w14:paraId="1C4AC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EEEA3">
            <w:pPr>
              <w:pStyle w:val="12"/>
            </w:pPr>
            <w:r>
              <w:t>2</w:t>
            </w:r>
          </w:p>
        </w:tc>
        <w:tc>
          <w:tcPr>
            <w:tcW w:w="3402" w:type="dxa"/>
            <w:vAlign w:val="center"/>
          </w:tcPr>
          <w:p w14:paraId="2E73EDB9">
            <w:pPr>
              <w:pStyle w:val="13"/>
            </w:pPr>
            <w:r>
              <w:t>二、政府性基金预算拨款</w:t>
            </w:r>
          </w:p>
        </w:tc>
        <w:tc>
          <w:tcPr>
            <w:tcW w:w="1474" w:type="dxa"/>
            <w:vAlign w:val="center"/>
          </w:tcPr>
          <w:p w14:paraId="4781F57C">
            <w:pPr>
              <w:pStyle w:val="14"/>
            </w:pPr>
          </w:p>
        </w:tc>
        <w:tc>
          <w:tcPr>
            <w:tcW w:w="3402" w:type="dxa"/>
            <w:vAlign w:val="center"/>
          </w:tcPr>
          <w:p w14:paraId="77A79F66">
            <w:pPr>
              <w:pStyle w:val="13"/>
            </w:pPr>
            <w:r>
              <w:t>二、外交支出</w:t>
            </w:r>
          </w:p>
        </w:tc>
        <w:tc>
          <w:tcPr>
            <w:tcW w:w="1474" w:type="dxa"/>
            <w:vAlign w:val="center"/>
          </w:tcPr>
          <w:p w14:paraId="32A790A6">
            <w:pPr>
              <w:pStyle w:val="14"/>
            </w:pPr>
          </w:p>
        </w:tc>
        <w:tc>
          <w:tcPr>
            <w:tcW w:w="1474" w:type="dxa"/>
            <w:vAlign w:val="center"/>
          </w:tcPr>
          <w:p w14:paraId="0E910A25">
            <w:pPr>
              <w:pStyle w:val="14"/>
            </w:pPr>
          </w:p>
        </w:tc>
        <w:tc>
          <w:tcPr>
            <w:tcW w:w="1474" w:type="dxa"/>
            <w:vAlign w:val="center"/>
          </w:tcPr>
          <w:p w14:paraId="2180A464">
            <w:pPr>
              <w:pStyle w:val="14"/>
            </w:pPr>
          </w:p>
        </w:tc>
        <w:tc>
          <w:tcPr>
            <w:tcW w:w="1474" w:type="dxa"/>
            <w:vAlign w:val="center"/>
          </w:tcPr>
          <w:p w14:paraId="1F9EB24F">
            <w:pPr>
              <w:pStyle w:val="14"/>
            </w:pPr>
          </w:p>
        </w:tc>
      </w:tr>
      <w:tr w14:paraId="6810A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B93C6">
            <w:pPr>
              <w:pStyle w:val="12"/>
            </w:pPr>
            <w:r>
              <w:t>3</w:t>
            </w:r>
          </w:p>
        </w:tc>
        <w:tc>
          <w:tcPr>
            <w:tcW w:w="3402" w:type="dxa"/>
            <w:vAlign w:val="center"/>
          </w:tcPr>
          <w:p w14:paraId="0FC1DFD0">
            <w:pPr>
              <w:pStyle w:val="13"/>
            </w:pPr>
            <w:r>
              <w:t>三、国有资本经营预算拨款</w:t>
            </w:r>
          </w:p>
        </w:tc>
        <w:tc>
          <w:tcPr>
            <w:tcW w:w="1474" w:type="dxa"/>
            <w:vAlign w:val="center"/>
          </w:tcPr>
          <w:p w14:paraId="06DF9A77">
            <w:pPr>
              <w:pStyle w:val="14"/>
            </w:pPr>
          </w:p>
        </w:tc>
        <w:tc>
          <w:tcPr>
            <w:tcW w:w="3402" w:type="dxa"/>
            <w:vAlign w:val="center"/>
          </w:tcPr>
          <w:p w14:paraId="7FD0C603">
            <w:pPr>
              <w:pStyle w:val="13"/>
            </w:pPr>
            <w:r>
              <w:t>三、国防支出</w:t>
            </w:r>
          </w:p>
        </w:tc>
        <w:tc>
          <w:tcPr>
            <w:tcW w:w="1474" w:type="dxa"/>
            <w:vAlign w:val="center"/>
          </w:tcPr>
          <w:p w14:paraId="0170D34D">
            <w:pPr>
              <w:pStyle w:val="14"/>
            </w:pPr>
          </w:p>
        </w:tc>
        <w:tc>
          <w:tcPr>
            <w:tcW w:w="1474" w:type="dxa"/>
            <w:vAlign w:val="center"/>
          </w:tcPr>
          <w:p w14:paraId="2C2F8530">
            <w:pPr>
              <w:pStyle w:val="14"/>
            </w:pPr>
          </w:p>
        </w:tc>
        <w:tc>
          <w:tcPr>
            <w:tcW w:w="1474" w:type="dxa"/>
            <w:vAlign w:val="center"/>
          </w:tcPr>
          <w:p w14:paraId="0077EF20">
            <w:pPr>
              <w:pStyle w:val="14"/>
            </w:pPr>
          </w:p>
        </w:tc>
        <w:tc>
          <w:tcPr>
            <w:tcW w:w="1474" w:type="dxa"/>
            <w:vAlign w:val="center"/>
          </w:tcPr>
          <w:p w14:paraId="7C1D0EC5">
            <w:pPr>
              <w:pStyle w:val="14"/>
            </w:pPr>
          </w:p>
        </w:tc>
      </w:tr>
      <w:tr w14:paraId="23758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92164">
            <w:pPr>
              <w:pStyle w:val="12"/>
            </w:pPr>
            <w:r>
              <w:t>4</w:t>
            </w:r>
          </w:p>
        </w:tc>
        <w:tc>
          <w:tcPr>
            <w:tcW w:w="3402" w:type="dxa"/>
            <w:vAlign w:val="center"/>
          </w:tcPr>
          <w:p w14:paraId="75E58CBA">
            <w:pPr>
              <w:pStyle w:val="13"/>
            </w:pPr>
          </w:p>
        </w:tc>
        <w:tc>
          <w:tcPr>
            <w:tcW w:w="1474" w:type="dxa"/>
            <w:vAlign w:val="center"/>
          </w:tcPr>
          <w:p w14:paraId="11FB15D6">
            <w:pPr>
              <w:pStyle w:val="14"/>
            </w:pPr>
          </w:p>
        </w:tc>
        <w:tc>
          <w:tcPr>
            <w:tcW w:w="3402" w:type="dxa"/>
            <w:vAlign w:val="center"/>
          </w:tcPr>
          <w:p w14:paraId="73AF3F4D">
            <w:pPr>
              <w:pStyle w:val="13"/>
            </w:pPr>
            <w:r>
              <w:t>四、公共安全支出</w:t>
            </w:r>
          </w:p>
        </w:tc>
        <w:tc>
          <w:tcPr>
            <w:tcW w:w="1474" w:type="dxa"/>
            <w:vAlign w:val="center"/>
          </w:tcPr>
          <w:p w14:paraId="3E35725D">
            <w:pPr>
              <w:pStyle w:val="14"/>
            </w:pPr>
          </w:p>
        </w:tc>
        <w:tc>
          <w:tcPr>
            <w:tcW w:w="1474" w:type="dxa"/>
            <w:vAlign w:val="center"/>
          </w:tcPr>
          <w:p w14:paraId="681B6872">
            <w:pPr>
              <w:pStyle w:val="14"/>
            </w:pPr>
          </w:p>
        </w:tc>
        <w:tc>
          <w:tcPr>
            <w:tcW w:w="1474" w:type="dxa"/>
            <w:vAlign w:val="center"/>
          </w:tcPr>
          <w:p w14:paraId="196A5798">
            <w:pPr>
              <w:pStyle w:val="14"/>
            </w:pPr>
          </w:p>
        </w:tc>
        <w:tc>
          <w:tcPr>
            <w:tcW w:w="1474" w:type="dxa"/>
            <w:vAlign w:val="center"/>
          </w:tcPr>
          <w:p w14:paraId="784C8801">
            <w:pPr>
              <w:pStyle w:val="14"/>
            </w:pPr>
          </w:p>
        </w:tc>
      </w:tr>
      <w:tr w14:paraId="66941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CD2F4">
            <w:pPr>
              <w:pStyle w:val="12"/>
            </w:pPr>
            <w:r>
              <w:t>5</w:t>
            </w:r>
          </w:p>
        </w:tc>
        <w:tc>
          <w:tcPr>
            <w:tcW w:w="3402" w:type="dxa"/>
            <w:vAlign w:val="center"/>
          </w:tcPr>
          <w:p w14:paraId="50ACD5ED">
            <w:pPr>
              <w:pStyle w:val="13"/>
            </w:pPr>
          </w:p>
        </w:tc>
        <w:tc>
          <w:tcPr>
            <w:tcW w:w="1474" w:type="dxa"/>
            <w:vAlign w:val="center"/>
          </w:tcPr>
          <w:p w14:paraId="38724496">
            <w:pPr>
              <w:pStyle w:val="14"/>
            </w:pPr>
          </w:p>
        </w:tc>
        <w:tc>
          <w:tcPr>
            <w:tcW w:w="3402" w:type="dxa"/>
            <w:vAlign w:val="center"/>
          </w:tcPr>
          <w:p w14:paraId="5EFC2E9F">
            <w:pPr>
              <w:pStyle w:val="13"/>
            </w:pPr>
            <w:r>
              <w:t>五、教育支出</w:t>
            </w:r>
          </w:p>
        </w:tc>
        <w:tc>
          <w:tcPr>
            <w:tcW w:w="1474" w:type="dxa"/>
            <w:vAlign w:val="center"/>
          </w:tcPr>
          <w:p w14:paraId="6FCAEBEA">
            <w:pPr>
              <w:pStyle w:val="14"/>
            </w:pPr>
            <w:r>
              <w:t>845.12</w:t>
            </w:r>
          </w:p>
        </w:tc>
        <w:tc>
          <w:tcPr>
            <w:tcW w:w="1474" w:type="dxa"/>
            <w:vAlign w:val="center"/>
          </w:tcPr>
          <w:p w14:paraId="3727A3FB">
            <w:pPr>
              <w:pStyle w:val="14"/>
            </w:pPr>
            <w:r>
              <w:t>845.12</w:t>
            </w:r>
          </w:p>
        </w:tc>
        <w:tc>
          <w:tcPr>
            <w:tcW w:w="1474" w:type="dxa"/>
            <w:vAlign w:val="center"/>
          </w:tcPr>
          <w:p w14:paraId="1ED01E2C">
            <w:pPr>
              <w:pStyle w:val="14"/>
            </w:pPr>
          </w:p>
        </w:tc>
        <w:tc>
          <w:tcPr>
            <w:tcW w:w="1474" w:type="dxa"/>
            <w:vAlign w:val="center"/>
          </w:tcPr>
          <w:p w14:paraId="6B615670">
            <w:pPr>
              <w:pStyle w:val="14"/>
            </w:pPr>
          </w:p>
        </w:tc>
      </w:tr>
      <w:tr w14:paraId="4B744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247AC">
            <w:pPr>
              <w:pStyle w:val="12"/>
            </w:pPr>
            <w:r>
              <w:t>6</w:t>
            </w:r>
          </w:p>
        </w:tc>
        <w:tc>
          <w:tcPr>
            <w:tcW w:w="3402" w:type="dxa"/>
            <w:vAlign w:val="center"/>
          </w:tcPr>
          <w:p w14:paraId="39C877F6">
            <w:pPr>
              <w:pStyle w:val="13"/>
            </w:pPr>
          </w:p>
        </w:tc>
        <w:tc>
          <w:tcPr>
            <w:tcW w:w="1474" w:type="dxa"/>
            <w:vAlign w:val="center"/>
          </w:tcPr>
          <w:p w14:paraId="0997B970">
            <w:pPr>
              <w:pStyle w:val="14"/>
            </w:pPr>
          </w:p>
        </w:tc>
        <w:tc>
          <w:tcPr>
            <w:tcW w:w="3402" w:type="dxa"/>
            <w:vAlign w:val="center"/>
          </w:tcPr>
          <w:p w14:paraId="195267F6">
            <w:pPr>
              <w:pStyle w:val="13"/>
            </w:pPr>
            <w:r>
              <w:t>六、科学技术支出</w:t>
            </w:r>
          </w:p>
        </w:tc>
        <w:tc>
          <w:tcPr>
            <w:tcW w:w="1474" w:type="dxa"/>
            <w:vAlign w:val="center"/>
          </w:tcPr>
          <w:p w14:paraId="6A972ED2">
            <w:pPr>
              <w:pStyle w:val="14"/>
            </w:pPr>
          </w:p>
        </w:tc>
        <w:tc>
          <w:tcPr>
            <w:tcW w:w="1474" w:type="dxa"/>
            <w:vAlign w:val="center"/>
          </w:tcPr>
          <w:p w14:paraId="0027C592">
            <w:pPr>
              <w:pStyle w:val="14"/>
            </w:pPr>
          </w:p>
        </w:tc>
        <w:tc>
          <w:tcPr>
            <w:tcW w:w="1474" w:type="dxa"/>
            <w:vAlign w:val="center"/>
          </w:tcPr>
          <w:p w14:paraId="616CD9F4">
            <w:pPr>
              <w:pStyle w:val="14"/>
            </w:pPr>
          </w:p>
        </w:tc>
        <w:tc>
          <w:tcPr>
            <w:tcW w:w="1474" w:type="dxa"/>
            <w:vAlign w:val="center"/>
          </w:tcPr>
          <w:p w14:paraId="36A9692B">
            <w:pPr>
              <w:pStyle w:val="14"/>
            </w:pPr>
          </w:p>
        </w:tc>
      </w:tr>
      <w:tr w14:paraId="2C255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E97E0">
            <w:pPr>
              <w:pStyle w:val="12"/>
            </w:pPr>
            <w:r>
              <w:t>7</w:t>
            </w:r>
          </w:p>
        </w:tc>
        <w:tc>
          <w:tcPr>
            <w:tcW w:w="3402" w:type="dxa"/>
            <w:vAlign w:val="center"/>
          </w:tcPr>
          <w:p w14:paraId="1360DD39">
            <w:pPr>
              <w:pStyle w:val="13"/>
            </w:pPr>
          </w:p>
        </w:tc>
        <w:tc>
          <w:tcPr>
            <w:tcW w:w="1474" w:type="dxa"/>
            <w:vAlign w:val="center"/>
          </w:tcPr>
          <w:p w14:paraId="2A5452A4">
            <w:pPr>
              <w:pStyle w:val="14"/>
            </w:pPr>
          </w:p>
        </w:tc>
        <w:tc>
          <w:tcPr>
            <w:tcW w:w="3402" w:type="dxa"/>
            <w:vAlign w:val="center"/>
          </w:tcPr>
          <w:p w14:paraId="1C22B20D">
            <w:pPr>
              <w:pStyle w:val="13"/>
            </w:pPr>
            <w:r>
              <w:t>七、文化旅游体育与传媒支出</w:t>
            </w:r>
          </w:p>
        </w:tc>
        <w:tc>
          <w:tcPr>
            <w:tcW w:w="1474" w:type="dxa"/>
            <w:vAlign w:val="center"/>
          </w:tcPr>
          <w:p w14:paraId="47A3AAB9">
            <w:pPr>
              <w:pStyle w:val="14"/>
            </w:pPr>
          </w:p>
        </w:tc>
        <w:tc>
          <w:tcPr>
            <w:tcW w:w="1474" w:type="dxa"/>
            <w:vAlign w:val="center"/>
          </w:tcPr>
          <w:p w14:paraId="635D30C6">
            <w:pPr>
              <w:pStyle w:val="14"/>
            </w:pPr>
          </w:p>
        </w:tc>
        <w:tc>
          <w:tcPr>
            <w:tcW w:w="1474" w:type="dxa"/>
            <w:vAlign w:val="center"/>
          </w:tcPr>
          <w:p w14:paraId="75223D44">
            <w:pPr>
              <w:pStyle w:val="14"/>
            </w:pPr>
          </w:p>
        </w:tc>
        <w:tc>
          <w:tcPr>
            <w:tcW w:w="1474" w:type="dxa"/>
            <w:vAlign w:val="center"/>
          </w:tcPr>
          <w:p w14:paraId="0CAA679F">
            <w:pPr>
              <w:pStyle w:val="14"/>
            </w:pPr>
          </w:p>
        </w:tc>
      </w:tr>
      <w:tr w14:paraId="7BFBD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60992">
            <w:pPr>
              <w:pStyle w:val="12"/>
            </w:pPr>
            <w:r>
              <w:t>8</w:t>
            </w:r>
          </w:p>
        </w:tc>
        <w:tc>
          <w:tcPr>
            <w:tcW w:w="3402" w:type="dxa"/>
            <w:vAlign w:val="center"/>
          </w:tcPr>
          <w:p w14:paraId="05312B64">
            <w:pPr>
              <w:pStyle w:val="13"/>
            </w:pPr>
          </w:p>
        </w:tc>
        <w:tc>
          <w:tcPr>
            <w:tcW w:w="1474" w:type="dxa"/>
            <w:vAlign w:val="center"/>
          </w:tcPr>
          <w:p w14:paraId="2C3F25CE">
            <w:pPr>
              <w:pStyle w:val="14"/>
            </w:pPr>
          </w:p>
        </w:tc>
        <w:tc>
          <w:tcPr>
            <w:tcW w:w="3402" w:type="dxa"/>
            <w:vAlign w:val="center"/>
          </w:tcPr>
          <w:p w14:paraId="5F756179">
            <w:pPr>
              <w:pStyle w:val="13"/>
            </w:pPr>
            <w:r>
              <w:t>八、社会保障和就业支出</w:t>
            </w:r>
          </w:p>
        </w:tc>
        <w:tc>
          <w:tcPr>
            <w:tcW w:w="1474" w:type="dxa"/>
            <w:vAlign w:val="center"/>
          </w:tcPr>
          <w:p w14:paraId="4AD346F8">
            <w:pPr>
              <w:pStyle w:val="14"/>
            </w:pPr>
            <w:r>
              <w:t>83.12</w:t>
            </w:r>
          </w:p>
        </w:tc>
        <w:tc>
          <w:tcPr>
            <w:tcW w:w="1474" w:type="dxa"/>
            <w:vAlign w:val="center"/>
          </w:tcPr>
          <w:p w14:paraId="4BF888B6">
            <w:pPr>
              <w:pStyle w:val="14"/>
            </w:pPr>
            <w:r>
              <w:t>83.12</w:t>
            </w:r>
          </w:p>
        </w:tc>
        <w:tc>
          <w:tcPr>
            <w:tcW w:w="1474" w:type="dxa"/>
            <w:vAlign w:val="center"/>
          </w:tcPr>
          <w:p w14:paraId="3AB9ECC0">
            <w:pPr>
              <w:pStyle w:val="14"/>
            </w:pPr>
          </w:p>
        </w:tc>
        <w:tc>
          <w:tcPr>
            <w:tcW w:w="1474" w:type="dxa"/>
            <w:vAlign w:val="center"/>
          </w:tcPr>
          <w:p w14:paraId="2EAACA09">
            <w:pPr>
              <w:pStyle w:val="14"/>
            </w:pPr>
          </w:p>
        </w:tc>
      </w:tr>
      <w:tr w14:paraId="073FE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EF648">
            <w:pPr>
              <w:pStyle w:val="12"/>
            </w:pPr>
            <w:r>
              <w:t>9</w:t>
            </w:r>
          </w:p>
        </w:tc>
        <w:tc>
          <w:tcPr>
            <w:tcW w:w="3402" w:type="dxa"/>
            <w:vAlign w:val="center"/>
          </w:tcPr>
          <w:p w14:paraId="342C103A">
            <w:pPr>
              <w:pStyle w:val="13"/>
            </w:pPr>
          </w:p>
        </w:tc>
        <w:tc>
          <w:tcPr>
            <w:tcW w:w="1474" w:type="dxa"/>
            <w:vAlign w:val="center"/>
          </w:tcPr>
          <w:p w14:paraId="2F9D5316">
            <w:pPr>
              <w:pStyle w:val="14"/>
            </w:pPr>
          </w:p>
        </w:tc>
        <w:tc>
          <w:tcPr>
            <w:tcW w:w="3402" w:type="dxa"/>
            <w:vAlign w:val="center"/>
          </w:tcPr>
          <w:p w14:paraId="223FF6BA">
            <w:pPr>
              <w:pStyle w:val="13"/>
            </w:pPr>
            <w:r>
              <w:t>九、社会保险基金支出</w:t>
            </w:r>
          </w:p>
        </w:tc>
        <w:tc>
          <w:tcPr>
            <w:tcW w:w="1474" w:type="dxa"/>
            <w:vAlign w:val="center"/>
          </w:tcPr>
          <w:p w14:paraId="738E65B7">
            <w:pPr>
              <w:pStyle w:val="14"/>
            </w:pPr>
          </w:p>
        </w:tc>
        <w:tc>
          <w:tcPr>
            <w:tcW w:w="1474" w:type="dxa"/>
            <w:vAlign w:val="center"/>
          </w:tcPr>
          <w:p w14:paraId="0EDD459B">
            <w:pPr>
              <w:pStyle w:val="14"/>
            </w:pPr>
          </w:p>
        </w:tc>
        <w:tc>
          <w:tcPr>
            <w:tcW w:w="1474" w:type="dxa"/>
            <w:vAlign w:val="center"/>
          </w:tcPr>
          <w:p w14:paraId="39008938">
            <w:pPr>
              <w:pStyle w:val="14"/>
            </w:pPr>
          </w:p>
        </w:tc>
        <w:tc>
          <w:tcPr>
            <w:tcW w:w="1474" w:type="dxa"/>
            <w:vAlign w:val="center"/>
          </w:tcPr>
          <w:p w14:paraId="2F68E85A">
            <w:pPr>
              <w:pStyle w:val="14"/>
            </w:pPr>
          </w:p>
        </w:tc>
      </w:tr>
      <w:tr w14:paraId="115A0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E79C9">
            <w:pPr>
              <w:pStyle w:val="12"/>
            </w:pPr>
            <w:r>
              <w:t>10</w:t>
            </w:r>
          </w:p>
        </w:tc>
        <w:tc>
          <w:tcPr>
            <w:tcW w:w="3402" w:type="dxa"/>
            <w:vAlign w:val="center"/>
          </w:tcPr>
          <w:p w14:paraId="7572EB6D">
            <w:pPr>
              <w:pStyle w:val="13"/>
            </w:pPr>
          </w:p>
        </w:tc>
        <w:tc>
          <w:tcPr>
            <w:tcW w:w="1474" w:type="dxa"/>
            <w:vAlign w:val="center"/>
          </w:tcPr>
          <w:p w14:paraId="7F8A58E2">
            <w:pPr>
              <w:pStyle w:val="14"/>
            </w:pPr>
          </w:p>
        </w:tc>
        <w:tc>
          <w:tcPr>
            <w:tcW w:w="3402" w:type="dxa"/>
            <w:vAlign w:val="center"/>
          </w:tcPr>
          <w:p w14:paraId="5EBC5FBC">
            <w:pPr>
              <w:pStyle w:val="13"/>
            </w:pPr>
            <w:r>
              <w:t>十、卫生健康支出</w:t>
            </w:r>
          </w:p>
        </w:tc>
        <w:tc>
          <w:tcPr>
            <w:tcW w:w="1474" w:type="dxa"/>
            <w:vAlign w:val="center"/>
          </w:tcPr>
          <w:p w14:paraId="487EEDFA">
            <w:pPr>
              <w:pStyle w:val="14"/>
            </w:pPr>
            <w:r>
              <w:t>37.64</w:t>
            </w:r>
          </w:p>
        </w:tc>
        <w:tc>
          <w:tcPr>
            <w:tcW w:w="1474" w:type="dxa"/>
            <w:vAlign w:val="center"/>
          </w:tcPr>
          <w:p w14:paraId="2C0A3F0B">
            <w:pPr>
              <w:pStyle w:val="14"/>
            </w:pPr>
            <w:r>
              <w:t>37.64</w:t>
            </w:r>
          </w:p>
        </w:tc>
        <w:tc>
          <w:tcPr>
            <w:tcW w:w="1474" w:type="dxa"/>
            <w:vAlign w:val="center"/>
          </w:tcPr>
          <w:p w14:paraId="7F4A00FA">
            <w:pPr>
              <w:pStyle w:val="14"/>
            </w:pPr>
          </w:p>
        </w:tc>
        <w:tc>
          <w:tcPr>
            <w:tcW w:w="1474" w:type="dxa"/>
            <w:vAlign w:val="center"/>
          </w:tcPr>
          <w:p w14:paraId="449BF4D5">
            <w:pPr>
              <w:pStyle w:val="14"/>
            </w:pPr>
          </w:p>
        </w:tc>
      </w:tr>
      <w:tr w14:paraId="5E419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2F79B">
            <w:pPr>
              <w:pStyle w:val="12"/>
            </w:pPr>
            <w:r>
              <w:t>11</w:t>
            </w:r>
          </w:p>
        </w:tc>
        <w:tc>
          <w:tcPr>
            <w:tcW w:w="3402" w:type="dxa"/>
            <w:vAlign w:val="center"/>
          </w:tcPr>
          <w:p w14:paraId="73186BE5">
            <w:pPr>
              <w:pStyle w:val="13"/>
            </w:pPr>
          </w:p>
        </w:tc>
        <w:tc>
          <w:tcPr>
            <w:tcW w:w="1474" w:type="dxa"/>
            <w:vAlign w:val="center"/>
          </w:tcPr>
          <w:p w14:paraId="7B9ADD0B">
            <w:pPr>
              <w:pStyle w:val="14"/>
            </w:pPr>
          </w:p>
        </w:tc>
        <w:tc>
          <w:tcPr>
            <w:tcW w:w="3402" w:type="dxa"/>
            <w:vAlign w:val="center"/>
          </w:tcPr>
          <w:p w14:paraId="53845E22">
            <w:pPr>
              <w:pStyle w:val="13"/>
            </w:pPr>
            <w:r>
              <w:t>十一、节能环保支出</w:t>
            </w:r>
          </w:p>
        </w:tc>
        <w:tc>
          <w:tcPr>
            <w:tcW w:w="1474" w:type="dxa"/>
            <w:vAlign w:val="center"/>
          </w:tcPr>
          <w:p w14:paraId="6CEA8208">
            <w:pPr>
              <w:pStyle w:val="14"/>
            </w:pPr>
          </w:p>
        </w:tc>
        <w:tc>
          <w:tcPr>
            <w:tcW w:w="1474" w:type="dxa"/>
            <w:vAlign w:val="center"/>
          </w:tcPr>
          <w:p w14:paraId="02D73574">
            <w:pPr>
              <w:pStyle w:val="14"/>
            </w:pPr>
          </w:p>
        </w:tc>
        <w:tc>
          <w:tcPr>
            <w:tcW w:w="1474" w:type="dxa"/>
            <w:vAlign w:val="center"/>
          </w:tcPr>
          <w:p w14:paraId="0751D465">
            <w:pPr>
              <w:pStyle w:val="14"/>
            </w:pPr>
          </w:p>
        </w:tc>
        <w:tc>
          <w:tcPr>
            <w:tcW w:w="1474" w:type="dxa"/>
            <w:vAlign w:val="center"/>
          </w:tcPr>
          <w:p w14:paraId="522F131C">
            <w:pPr>
              <w:pStyle w:val="14"/>
            </w:pPr>
          </w:p>
        </w:tc>
      </w:tr>
      <w:tr w14:paraId="03897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CD3E9">
            <w:pPr>
              <w:pStyle w:val="12"/>
            </w:pPr>
            <w:r>
              <w:t>12</w:t>
            </w:r>
          </w:p>
        </w:tc>
        <w:tc>
          <w:tcPr>
            <w:tcW w:w="3402" w:type="dxa"/>
            <w:vAlign w:val="center"/>
          </w:tcPr>
          <w:p w14:paraId="1F18471D">
            <w:pPr>
              <w:pStyle w:val="13"/>
            </w:pPr>
          </w:p>
        </w:tc>
        <w:tc>
          <w:tcPr>
            <w:tcW w:w="1474" w:type="dxa"/>
            <w:vAlign w:val="center"/>
          </w:tcPr>
          <w:p w14:paraId="3AC92AF6">
            <w:pPr>
              <w:pStyle w:val="14"/>
            </w:pPr>
          </w:p>
        </w:tc>
        <w:tc>
          <w:tcPr>
            <w:tcW w:w="3402" w:type="dxa"/>
            <w:vAlign w:val="center"/>
          </w:tcPr>
          <w:p w14:paraId="160EB629">
            <w:pPr>
              <w:pStyle w:val="13"/>
            </w:pPr>
            <w:r>
              <w:t>十二、城乡社区支出</w:t>
            </w:r>
          </w:p>
        </w:tc>
        <w:tc>
          <w:tcPr>
            <w:tcW w:w="1474" w:type="dxa"/>
            <w:vAlign w:val="center"/>
          </w:tcPr>
          <w:p w14:paraId="213695FA">
            <w:pPr>
              <w:pStyle w:val="14"/>
            </w:pPr>
          </w:p>
        </w:tc>
        <w:tc>
          <w:tcPr>
            <w:tcW w:w="1474" w:type="dxa"/>
            <w:vAlign w:val="center"/>
          </w:tcPr>
          <w:p w14:paraId="0C7580BA">
            <w:pPr>
              <w:pStyle w:val="14"/>
            </w:pPr>
          </w:p>
        </w:tc>
        <w:tc>
          <w:tcPr>
            <w:tcW w:w="1474" w:type="dxa"/>
            <w:vAlign w:val="center"/>
          </w:tcPr>
          <w:p w14:paraId="231B09FA">
            <w:pPr>
              <w:pStyle w:val="14"/>
            </w:pPr>
          </w:p>
        </w:tc>
        <w:tc>
          <w:tcPr>
            <w:tcW w:w="1474" w:type="dxa"/>
            <w:vAlign w:val="center"/>
          </w:tcPr>
          <w:p w14:paraId="3798559B">
            <w:pPr>
              <w:pStyle w:val="14"/>
            </w:pPr>
          </w:p>
        </w:tc>
      </w:tr>
      <w:tr w14:paraId="59E27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9C592">
            <w:pPr>
              <w:pStyle w:val="12"/>
            </w:pPr>
            <w:r>
              <w:t>13</w:t>
            </w:r>
          </w:p>
        </w:tc>
        <w:tc>
          <w:tcPr>
            <w:tcW w:w="3402" w:type="dxa"/>
            <w:vAlign w:val="center"/>
          </w:tcPr>
          <w:p w14:paraId="6CD81770">
            <w:pPr>
              <w:pStyle w:val="13"/>
            </w:pPr>
          </w:p>
        </w:tc>
        <w:tc>
          <w:tcPr>
            <w:tcW w:w="1474" w:type="dxa"/>
            <w:vAlign w:val="center"/>
          </w:tcPr>
          <w:p w14:paraId="0A9AA162">
            <w:pPr>
              <w:pStyle w:val="14"/>
            </w:pPr>
          </w:p>
        </w:tc>
        <w:tc>
          <w:tcPr>
            <w:tcW w:w="3402" w:type="dxa"/>
            <w:vAlign w:val="center"/>
          </w:tcPr>
          <w:p w14:paraId="7C886D2A">
            <w:pPr>
              <w:pStyle w:val="13"/>
            </w:pPr>
            <w:r>
              <w:t>十三、农林水支出</w:t>
            </w:r>
          </w:p>
        </w:tc>
        <w:tc>
          <w:tcPr>
            <w:tcW w:w="1474" w:type="dxa"/>
            <w:vAlign w:val="center"/>
          </w:tcPr>
          <w:p w14:paraId="56209CED">
            <w:pPr>
              <w:pStyle w:val="14"/>
            </w:pPr>
          </w:p>
        </w:tc>
        <w:tc>
          <w:tcPr>
            <w:tcW w:w="1474" w:type="dxa"/>
            <w:vAlign w:val="center"/>
          </w:tcPr>
          <w:p w14:paraId="5BE6AAC2">
            <w:pPr>
              <w:pStyle w:val="14"/>
            </w:pPr>
          </w:p>
        </w:tc>
        <w:tc>
          <w:tcPr>
            <w:tcW w:w="1474" w:type="dxa"/>
            <w:vAlign w:val="center"/>
          </w:tcPr>
          <w:p w14:paraId="7C4C492F">
            <w:pPr>
              <w:pStyle w:val="14"/>
            </w:pPr>
          </w:p>
        </w:tc>
        <w:tc>
          <w:tcPr>
            <w:tcW w:w="1474" w:type="dxa"/>
            <w:vAlign w:val="center"/>
          </w:tcPr>
          <w:p w14:paraId="3267E3F2">
            <w:pPr>
              <w:pStyle w:val="14"/>
            </w:pPr>
          </w:p>
        </w:tc>
      </w:tr>
      <w:tr w14:paraId="29159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59902">
            <w:pPr>
              <w:pStyle w:val="12"/>
            </w:pPr>
            <w:r>
              <w:t>14</w:t>
            </w:r>
          </w:p>
        </w:tc>
        <w:tc>
          <w:tcPr>
            <w:tcW w:w="3402" w:type="dxa"/>
            <w:vAlign w:val="center"/>
          </w:tcPr>
          <w:p w14:paraId="05B043FE">
            <w:pPr>
              <w:pStyle w:val="13"/>
            </w:pPr>
          </w:p>
        </w:tc>
        <w:tc>
          <w:tcPr>
            <w:tcW w:w="1474" w:type="dxa"/>
            <w:vAlign w:val="center"/>
          </w:tcPr>
          <w:p w14:paraId="007DA76B">
            <w:pPr>
              <w:pStyle w:val="14"/>
            </w:pPr>
          </w:p>
        </w:tc>
        <w:tc>
          <w:tcPr>
            <w:tcW w:w="3402" w:type="dxa"/>
            <w:vAlign w:val="center"/>
          </w:tcPr>
          <w:p w14:paraId="66746C4D">
            <w:pPr>
              <w:pStyle w:val="13"/>
            </w:pPr>
            <w:r>
              <w:t>十四、交通运输支出</w:t>
            </w:r>
          </w:p>
        </w:tc>
        <w:tc>
          <w:tcPr>
            <w:tcW w:w="1474" w:type="dxa"/>
            <w:vAlign w:val="center"/>
          </w:tcPr>
          <w:p w14:paraId="45B88AB1">
            <w:pPr>
              <w:pStyle w:val="14"/>
            </w:pPr>
          </w:p>
        </w:tc>
        <w:tc>
          <w:tcPr>
            <w:tcW w:w="1474" w:type="dxa"/>
            <w:vAlign w:val="center"/>
          </w:tcPr>
          <w:p w14:paraId="64160DEA">
            <w:pPr>
              <w:pStyle w:val="14"/>
            </w:pPr>
          </w:p>
        </w:tc>
        <w:tc>
          <w:tcPr>
            <w:tcW w:w="1474" w:type="dxa"/>
            <w:vAlign w:val="center"/>
          </w:tcPr>
          <w:p w14:paraId="40D43B21">
            <w:pPr>
              <w:pStyle w:val="14"/>
            </w:pPr>
          </w:p>
        </w:tc>
        <w:tc>
          <w:tcPr>
            <w:tcW w:w="1474" w:type="dxa"/>
            <w:vAlign w:val="center"/>
          </w:tcPr>
          <w:p w14:paraId="1BE73892">
            <w:pPr>
              <w:pStyle w:val="14"/>
            </w:pPr>
          </w:p>
        </w:tc>
      </w:tr>
      <w:tr w14:paraId="476C7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93FC5">
            <w:pPr>
              <w:pStyle w:val="12"/>
            </w:pPr>
            <w:r>
              <w:t>15</w:t>
            </w:r>
          </w:p>
        </w:tc>
        <w:tc>
          <w:tcPr>
            <w:tcW w:w="3402" w:type="dxa"/>
            <w:vAlign w:val="center"/>
          </w:tcPr>
          <w:p w14:paraId="76A305C9">
            <w:pPr>
              <w:pStyle w:val="13"/>
            </w:pPr>
          </w:p>
        </w:tc>
        <w:tc>
          <w:tcPr>
            <w:tcW w:w="1474" w:type="dxa"/>
            <w:vAlign w:val="center"/>
          </w:tcPr>
          <w:p w14:paraId="43873C92">
            <w:pPr>
              <w:pStyle w:val="14"/>
            </w:pPr>
          </w:p>
        </w:tc>
        <w:tc>
          <w:tcPr>
            <w:tcW w:w="3402" w:type="dxa"/>
            <w:vAlign w:val="center"/>
          </w:tcPr>
          <w:p w14:paraId="0F26A901">
            <w:pPr>
              <w:pStyle w:val="13"/>
            </w:pPr>
            <w:r>
              <w:t>十五、资源勘探工业信息等支出</w:t>
            </w:r>
          </w:p>
        </w:tc>
        <w:tc>
          <w:tcPr>
            <w:tcW w:w="1474" w:type="dxa"/>
            <w:vAlign w:val="center"/>
          </w:tcPr>
          <w:p w14:paraId="61E87E41">
            <w:pPr>
              <w:pStyle w:val="14"/>
            </w:pPr>
          </w:p>
        </w:tc>
        <w:tc>
          <w:tcPr>
            <w:tcW w:w="1474" w:type="dxa"/>
            <w:vAlign w:val="center"/>
          </w:tcPr>
          <w:p w14:paraId="202B6B11">
            <w:pPr>
              <w:pStyle w:val="14"/>
            </w:pPr>
          </w:p>
        </w:tc>
        <w:tc>
          <w:tcPr>
            <w:tcW w:w="1474" w:type="dxa"/>
            <w:vAlign w:val="center"/>
          </w:tcPr>
          <w:p w14:paraId="0164E9CD">
            <w:pPr>
              <w:pStyle w:val="14"/>
            </w:pPr>
          </w:p>
        </w:tc>
        <w:tc>
          <w:tcPr>
            <w:tcW w:w="1474" w:type="dxa"/>
            <w:vAlign w:val="center"/>
          </w:tcPr>
          <w:p w14:paraId="7BD08637">
            <w:pPr>
              <w:pStyle w:val="14"/>
            </w:pPr>
          </w:p>
        </w:tc>
      </w:tr>
      <w:tr w14:paraId="2C36B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61856">
            <w:pPr>
              <w:pStyle w:val="12"/>
            </w:pPr>
            <w:r>
              <w:t>16</w:t>
            </w:r>
          </w:p>
        </w:tc>
        <w:tc>
          <w:tcPr>
            <w:tcW w:w="3402" w:type="dxa"/>
            <w:vAlign w:val="center"/>
          </w:tcPr>
          <w:p w14:paraId="4A919F28">
            <w:pPr>
              <w:pStyle w:val="13"/>
            </w:pPr>
          </w:p>
        </w:tc>
        <w:tc>
          <w:tcPr>
            <w:tcW w:w="1474" w:type="dxa"/>
            <w:vAlign w:val="center"/>
          </w:tcPr>
          <w:p w14:paraId="0BCD05C2">
            <w:pPr>
              <w:pStyle w:val="14"/>
            </w:pPr>
          </w:p>
        </w:tc>
        <w:tc>
          <w:tcPr>
            <w:tcW w:w="3402" w:type="dxa"/>
            <w:vAlign w:val="center"/>
          </w:tcPr>
          <w:p w14:paraId="640144DF">
            <w:pPr>
              <w:pStyle w:val="13"/>
            </w:pPr>
            <w:r>
              <w:t>十六、商业服务业等支出</w:t>
            </w:r>
          </w:p>
        </w:tc>
        <w:tc>
          <w:tcPr>
            <w:tcW w:w="1474" w:type="dxa"/>
            <w:vAlign w:val="center"/>
          </w:tcPr>
          <w:p w14:paraId="033EC66A">
            <w:pPr>
              <w:pStyle w:val="14"/>
            </w:pPr>
          </w:p>
        </w:tc>
        <w:tc>
          <w:tcPr>
            <w:tcW w:w="1474" w:type="dxa"/>
            <w:vAlign w:val="center"/>
          </w:tcPr>
          <w:p w14:paraId="69AAE576">
            <w:pPr>
              <w:pStyle w:val="14"/>
            </w:pPr>
          </w:p>
        </w:tc>
        <w:tc>
          <w:tcPr>
            <w:tcW w:w="1474" w:type="dxa"/>
            <w:vAlign w:val="center"/>
          </w:tcPr>
          <w:p w14:paraId="17E8DB45">
            <w:pPr>
              <w:pStyle w:val="14"/>
            </w:pPr>
          </w:p>
        </w:tc>
        <w:tc>
          <w:tcPr>
            <w:tcW w:w="1474" w:type="dxa"/>
            <w:vAlign w:val="center"/>
          </w:tcPr>
          <w:p w14:paraId="5ED10FC9">
            <w:pPr>
              <w:pStyle w:val="14"/>
            </w:pPr>
          </w:p>
        </w:tc>
      </w:tr>
      <w:tr w14:paraId="4F909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14A3B">
            <w:pPr>
              <w:pStyle w:val="12"/>
            </w:pPr>
            <w:r>
              <w:t>17</w:t>
            </w:r>
          </w:p>
        </w:tc>
        <w:tc>
          <w:tcPr>
            <w:tcW w:w="3402" w:type="dxa"/>
            <w:vAlign w:val="center"/>
          </w:tcPr>
          <w:p w14:paraId="5DDCD1BF">
            <w:pPr>
              <w:pStyle w:val="13"/>
            </w:pPr>
          </w:p>
        </w:tc>
        <w:tc>
          <w:tcPr>
            <w:tcW w:w="1474" w:type="dxa"/>
            <w:vAlign w:val="center"/>
          </w:tcPr>
          <w:p w14:paraId="0227BED2">
            <w:pPr>
              <w:pStyle w:val="14"/>
            </w:pPr>
          </w:p>
        </w:tc>
        <w:tc>
          <w:tcPr>
            <w:tcW w:w="3402" w:type="dxa"/>
            <w:vAlign w:val="center"/>
          </w:tcPr>
          <w:p w14:paraId="6B43D06E">
            <w:pPr>
              <w:pStyle w:val="13"/>
            </w:pPr>
            <w:r>
              <w:t>十七、金融支出</w:t>
            </w:r>
          </w:p>
        </w:tc>
        <w:tc>
          <w:tcPr>
            <w:tcW w:w="1474" w:type="dxa"/>
            <w:vAlign w:val="center"/>
          </w:tcPr>
          <w:p w14:paraId="3CCDEB47">
            <w:pPr>
              <w:pStyle w:val="14"/>
            </w:pPr>
          </w:p>
        </w:tc>
        <w:tc>
          <w:tcPr>
            <w:tcW w:w="1474" w:type="dxa"/>
            <w:vAlign w:val="center"/>
          </w:tcPr>
          <w:p w14:paraId="15141868">
            <w:pPr>
              <w:pStyle w:val="14"/>
            </w:pPr>
          </w:p>
        </w:tc>
        <w:tc>
          <w:tcPr>
            <w:tcW w:w="1474" w:type="dxa"/>
            <w:vAlign w:val="center"/>
          </w:tcPr>
          <w:p w14:paraId="2433B978">
            <w:pPr>
              <w:pStyle w:val="14"/>
            </w:pPr>
          </w:p>
        </w:tc>
        <w:tc>
          <w:tcPr>
            <w:tcW w:w="1474" w:type="dxa"/>
            <w:vAlign w:val="center"/>
          </w:tcPr>
          <w:p w14:paraId="6C3C9C89">
            <w:pPr>
              <w:pStyle w:val="14"/>
            </w:pPr>
          </w:p>
        </w:tc>
      </w:tr>
      <w:tr w14:paraId="38CF6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A69B6">
            <w:pPr>
              <w:pStyle w:val="12"/>
            </w:pPr>
            <w:r>
              <w:t>18</w:t>
            </w:r>
          </w:p>
        </w:tc>
        <w:tc>
          <w:tcPr>
            <w:tcW w:w="3402" w:type="dxa"/>
            <w:vAlign w:val="center"/>
          </w:tcPr>
          <w:p w14:paraId="178D27BA">
            <w:pPr>
              <w:pStyle w:val="13"/>
            </w:pPr>
          </w:p>
        </w:tc>
        <w:tc>
          <w:tcPr>
            <w:tcW w:w="1474" w:type="dxa"/>
            <w:vAlign w:val="center"/>
          </w:tcPr>
          <w:p w14:paraId="58AB945B">
            <w:pPr>
              <w:pStyle w:val="14"/>
            </w:pPr>
          </w:p>
        </w:tc>
        <w:tc>
          <w:tcPr>
            <w:tcW w:w="3402" w:type="dxa"/>
            <w:vAlign w:val="center"/>
          </w:tcPr>
          <w:p w14:paraId="0B2CFD6B">
            <w:pPr>
              <w:pStyle w:val="13"/>
            </w:pPr>
            <w:r>
              <w:t>十八、援助其他地区支出</w:t>
            </w:r>
          </w:p>
        </w:tc>
        <w:tc>
          <w:tcPr>
            <w:tcW w:w="1474" w:type="dxa"/>
            <w:vAlign w:val="center"/>
          </w:tcPr>
          <w:p w14:paraId="0DEB440F">
            <w:pPr>
              <w:pStyle w:val="14"/>
            </w:pPr>
          </w:p>
        </w:tc>
        <w:tc>
          <w:tcPr>
            <w:tcW w:w="1474" w:type="dxa"/>
            <w:vAlign w:val="center"/>
          </w:tcPr>
          <w:p w14:paraId="6FCBE62D">
            <w:pPr>
              <w:pStyle w:val="14"/>
            </w:pPr>
          </w:p>
        </w:tc>
        <w:tc>
          <w:tcPr>
            <w:tcW w:w="1474" w:type="dxa"/>
            <w:vAlign w:val="center"/>
          </w:tcPr>
          <w:p w14:paraId="721150FC">
            <w:pPr>
              <w:pStyle w:val="14"/>
            </w:pPr>
          </w:p>
        </w:tc>
        <w:tc>
          <w:tcPr>
            <w:tcW w:w="1474" w:type="dxa"/>
            <w:vAlign w:val="center"/>
          </w:tcPr>
          <w:p w14:paraId="3F7FE793">
            <w:pPr>
              <w:pStyle w:val="14"/>
            </w:pPr>
          </w:p>
        </w:tc>
      </w:tr>
      <w:tr w14:paraId="06E8F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01F410A">
            <w:pPr>
              <w:pStyle w:val="12"/>
            </w:pPr>
            <w:r>
              <w:t>19</w:t>
            </w:r>
          </w:p>
        </w:tc>
        <w:tc>
          <w:tcPr>
            <w:tcW w:w="3402" w:type="dxa"/>
            <w:vAlign w:val="center"/>
          </w:tcPr>
          <w:p w14:paraId="4510F660">
            <w:pPr>
              <w:pStyle w:val="13"/>
            </w:pPr>
          </w:p>
        </w:tc>
        <w:tc>
          <w:tcPr>
            <w:tcW w:w="1474" w:type="dxa"/>
            <w:vAlign w:val="center"/>
          </w:tcPr>
          <w:p w14:paraId="0F524866">
            <w:pPr>
              <w:pStyle w:val="14"/>
            </w:pPr>
          </w:p>
        </w:tc>
        <w:tc>
          <w:tcPr>
            <w:tcW w:w="3402" w:type="dxa"/>
            <w:vAlign w:val="center"/>
          </w:tcPr>
          <w:p w14:paraId="77CDDE2C">
            <w:pPr>
              <w:pStyle w:val="13"/>
            </w:pPr>
            <w:r>
              <w:t>十九、自然资源海洋气象等支出</w:t>
            </w:r>
          </w:p>
        </w:tc>
        <w:tc>
          <w:tcPr>
            <w:tcW w:w="1474" w:type="dxa"/>
            <w:vAlign w:val="center"/>
          </w:tcPr>
          <w:p w14:paraId="4626ACEF">
            <w:pPr>
              <w:pStyle w:val="14"/>
            </w:pPr>
          </w:p>
        </w:tc>
        <w:tc>
          <w:tcPr>
            <w:tcW w:w="1474" w:type="dxa"/>
            <w:vAlign w:val="center"/>
          </w:tcPr>
          <w:p w14:paraId="3011FAAA">
            <w:pPr>
              <w:pStyle w:val="14"/>
            </w:pPr>
          </w:p>
        </w:tc>
        <w:tc>
          <w:tcPr>
            <w:tcW w:w="1474" w:type="dxa"/>
            <w:vAlign w:val="center"/>
          </w:tcPr>
          <w:p w14:paraId="7FD5F9EA">
            <w:pPr>
              <w:pStyle w:val="14"/>
            </w:pPr>
          </w:p>
        </w:tc>
        <w:tc>
          <w:tcPr>
            <w:tcW w:w="1474" w:type="dxa"/>
            <w:vAlign w:val="center"/>
          </w:tcPr>
          <w:p w14:paraId="2B6F905E">
            <w:pPr>
              <w:pStyle w:val="14"/>
            </w:pPr>
          </w:p>
        </w:tc>
      </w:tr>
      <w:tr w14:paraId="52BBD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D117B">
            <w:pPr>
              <w:pStyle w:val="12"/>
            </w:pPr>
            <w:r>
              <w:t>20</w:t>
            </w:r>
          </w:p>
        </w:tc>
        <w:tc>
          <w:tcPr>
            <w:tcW w:w="3402" w:type="dxa"/>
            <w:vAlign w:val="center"/>
          </w:tcPr>
          <w:p w14:paraId="41CAC74F">
            <w:pPr>
              <w:pStyle w:val="13"/>
            </w:pPr>
          </w:p>
        </w:tc>
        <w:tc>
          <w:tcPr>
            <w:tcW w:w="1474" w:type="dxa"/>
            <w:vAlign w:val="center"/>
          </w:tcPr>
          <w:p w14:paraId="177D0322">
            <w:pPr>
              <w:pStyle w:val="14"/>
            </w:pPr>
          </w:p>
        </w:tc>
        <w:tc>
          <w:tcPr>
            <w:tcW w:w="3402" w:type="dxa"/>
            <w:vAlign w:val="center"/>
          </w:tcPr>
          <w:p w14:paraId="5B0537F8">
            <w:pPr>
              <w:pStyle w:val="13"/>
            </w:pPr>
            <w:r>
              <w:t>二十、住房保障支出</w:t>
            </w:r>
          </w:p>
        </w:tc>
        <w:tc>
          <w:tcPr>
            <w:tcW w:w="1474" w:type="dxa"/>
            <w:vAlign w:val="center"/>
          </w:tcPr>
          <w:p w14:paraId="199CF63E">
            <w:pPr>
              <w:pStyle w:val="14"/>
            </w:pPr>
          </w:p>
        </w:tc>
        <w:tc>
          <w:tcPr>
            <w:tcW w:w="1474" w:type="dxa"/>
            <w:vAlign w:val="center"/>
          </w:tcPr>
          <w:p w14:paraId="3403CBA4">
            <w:pPr>
              <w:pStyle w:val="14"/>
            </w:pPr>
          </w:p>
        </w:tc>
        <w:tc>
          <w:tcPr>
            <w:tcW w:w="1474" w:type="dxa"/>
            <w:vAlign w:val="center"/>
          </w:tcPr>
          <w:p w14:paraId="136DC651">
            <w:pPr>
              <w:pStyle w:val="14"/>
            </w:pPr>
          </w:p>
        </w:tc>
        <w:tc>
          <w:tcPr>
            <w:tcW w:w="1474" w:type="dxa"/>
            <w:vAlign w:val="center"/>
          </w:tcPr>
          <w:p w14:paraId="06B98F01">
            <w:pPr>
              <w:pStyle w:val="14"/>
            </w:pPr>
          </w:p>
        </w:tc>
      </w:tr>
      <w:tr w14:paraId="0AECC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2038B">
            <w:pPr>
              <w:pStyle w:val="12"/>
            </w:pPr>
            <w:r>
              <w:t>21</w:t>
            </w:r>
          </w:p>
        </w:tc>
        <w:tc>
          <w:tcPr>
            <w:tcW w:w="3402" w:type="dxa"/>
            <w:vAlign w:val="center"/>
          </w:tcPr>
          <w:p w14:paraId="6FF84987">
            <w:pPr>
              <w:pStyle w:val="13"/>
            </w:pPr>
          </w:p>
        </w:tc>
        <w:tc>
          <w:tcPr>
            <w:tcW w:w="1474" w:type="dxa"/>
            <w:vAlign w:val="center"/>
          </w:tcPr>
          <w:p w14:paraId="1B6EC836">
            <w:pPr>
              <w:pStyle w:val="14"/>
            </w:pPr>
          </w:p>
        </w:tc>
        <w:tc>
          <w:tcPr>
            <w:tcW w:w="3402" w:type="dxa"/>
            <w:vAlign w:val="center"/>
          </w:tcPr>
          <w:p w14:paraId="2F166AE4">
            <w:pPr>
              <w:pStyle w:val="13"/>
            </w:pPr>
            <w:r>
              <w:t>二十一、粮油物资储备支出</w:t>
            </w:r>
          </w:p>
        </w:tc>
        <w:tc>
          <w:tcPr>
            <w:tcW w:w="1474" w:type="dxa"/>
            <w:vAlign w:val="center"/>
          </w:tcPr>
          <w:p w14:paraId="202DD6E6">
            <w:pPr>
              <w:pStyle w:val="14"/>
            </w:pPr>
          </w:p>
        </w:tc>
        <w:tc>
          <w:tcPr>
            <w:tcW w:w="1474" w:type="dxa"/>
            <w:vAlign w:val="center"/>
          </w:tcPr>
          <w:p w14:paraId="145402AE">
            <w:pPr>
              <w:pStyle w:val="14"/>
            </w:pPr>
          </w:p>
        </w:tc>
        <w:tc>
          <w:tcPr>
            <w:tcW w:w="1474" w:type="dxa"/>
            <w:vAlign w:val="center"/>
          </w:tcPr>
          <w:p w14:paraId="1D1C5D45">
            <w:pPr>
              <w:pStyle w:val="14"/>
            </w:pPr>
          </w:p>
        </w:tc>
        <w:tc>
          <w:tcPr>
            <w:tcW w:w="1474" w:type="dxa"/>
            <w:vAlign w:val="center"/>
          </w:tcPr>
          <w:p w14:paraId="53F534F2">
            <w:pPr>
              <w:pStyle w:val="14"/>
            </w:pPr>
          </w:p>
        </w:tc>
      </w:tr>
      <w:tr w14:paraId="45EFB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E4C0B">
            <w:pPr>
              <w:pStyle w:val="12"/>
            </w:pPr>
            <w:r>
              <w:t>22</w:t>
            </w:r>
          </w:p>
        </w:tc>
        <w:tc>
          <w:tcPr>
            <w:tcW w:w="3402" w:type="dxa"/>
            <w:vAlign w:val="center"/>
          </w:tcPr>
          <w:p w14:paraId="5C33BF11">
            <w:pPr>
              <w:pStyle w:val="13"/>
            </w:pPr>
          </w:p>
        </w:tc>
        <w:tc>
          <w:tcPr>
            <w:tcW w:w="1474" w:type="dxa"/>
            <w:vAlign w:val="center"/>
          </w:tcPr>
          <w:p w14:paraId="7AE7BF71">
            <w:pPr>
              <w:pStyle w:val="14"/>
            </w:pPr>
          </w:p>
        </w:tc>
        <w:tc>
          <w:tcPr>
            <w:tcW w:w="3402" w:type="dxa"/>
            <w:vAlign w:val="center"/>
          </w:tcPr>
          <w:p w14:paraId="4B60811F">
            <w:pPr>
              <w:pStyle w:val="13"/>
            </w:pPr>
            <w:r>
              <w:t>二十二、国有资本经营预算支出</w:t>
            </w:r>
          </w:p>
        </w:tc>
        <w:tc>
          <w:tcPr>
            <w:tcW w:w="1474" w:type="dxa"/>
            <w:vAlign w:val="center"/>
          </w:tcPr>
          <w:p w14:paraId="27C7CA19">
            <w:pPr>
              <w:pStyle w:val="14"/>
            </w:pPr>
          </w:p>
        </w:tc>
        <w:tc>
          <w:tcPr>
            <w:tcW w:w="1474" w:type="dxa"/>
            <w:vAlign w:val="center"/>
          </w:tcPr>
          <w:p w14:paraId="4A5A11D3">
            <w:pPr>
              <w:pStyle w:val="14"/>
            </w:pPr>
          </w:p>
        </w:tc>
        <w:tc>
          <w:tcPr>
            <w:tcW w:w="1474" w:type="dxa"/>
            <w:vAlign w:val="center"/>
          </w:tcPr>
          <w:p w14:paraId="1AA5AA8A">
            <w:pPr>
              <w:pStyle w:val="14"/>
            </w:pPr>
          </w:p>
        </w:tc>
        <w:tc>
          <w:tcPr>
            <w:tcW w:w="1474" w:type="dxa"/>
            <w:vAlign w:val="center"/>
          </w:tcPr>
          <w:p w14:paraId="7FCABCDC">
            <w:pPr>
              <w:pStyle w:val="14"/>
            </w:pPr>
          </w:p>
        </w:tc>
      </w:tr>
      <w:tr w14:paraId="04A06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85F4C">
            <w:pPr>
              <w:pStyle w:val="12"/>
            </w:pPr>
            <w:r>
              <w:t>23</w:t>
            </w:r>
          </w:p>
        </w:tc>
        <w:tc>
          <w:tcPr>
            <w:tcW w:w="3402" w:type="dxa"/>
            <w:vAlign w:val="center"/>
          </w:tcPr>
          <w:p w14:paraId="6138381B">
            <w:pPr>
              <w:pStyle w:val="13"/>
            </w:pPr>
          </w:p>
        </w:tc>
        <w:tc>
          <w:tcPr>
            <w:tcW w:w="1474" w:type="dxa"/>
            <w:vAlign w:val="center"/>
          </w:tcPr>
          <w:p w14:paraId="44421B96">
            <w:pPr>
              <w:pStyle w:val="14"/>
            </w:pPr>
          </w:p>
        </w:tc>
        <w:tc>
          <w:tcPr>
            <w:tcW w:w="3402" w:type="dxa"/>
            <w:vAlign w:val="center"/>
          </w:tcPr>
          <w:p w14:paraId="3AC01663">
            <w:pPr>
              <w:pStyle w:val="13"/>
            </w:pPr>
            <w:r>
              <w:t>二十三、灾害防治及应急管理支出</w:t>
            </w:r>
          </w:p>
        </w:tc>
        <w:tc>
          <w:tcPr>
            <w:tcW w:w="1474" w:type="dxa"/>
            <w:vAlign w:val="center"/>
          </w:tcPr>
          <w:p w14:paraId="0259AD25">
            <w:pPr>
              <w:pStyle w:val="14"/>
            </w:pPr>
          </w:p>
        </w:tc>
        <w:tc>
          <w:tcPr>
            <w:tcW w:w="1474" w:type="dxa"/>
            <w:vAlign w:val="center"/>
          </w:tcPr>
          <w:p w14:paraId="5E445AC1">
            <w:pPr>
              <w:pStyle w:val="14"/>
            </w:pPr>
          </w:p>
        </w:tc>
        <w:tc>
          <w:tcPr>
            <w:tcW w:w="1474" w:type="dxa"/>
            <w:vAlign w:val="center"/>
          </w:tcPr>
          <w:p w14:paraId="7D35780E">
            <w:pPr>
              <w:pStyle w:val="14"/>
            </w:pPr>
          </w:p>
        </w:tc>
        <w:tc>
          <w:tcPr>
            <w:tcW w:w="1474" w:type="dxa"/>
            <w:vAlign w:val="center"/>
          </w:tcPr>
          <w:p w14:paraId="25B56C44">
            <w:pPr>
              <w:pStyle w:val="14"/>
            </w:pPr>
          </w:p>
        </w:tc>
      </w:tr>
      <w:tr w14:paraId="42418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7F949">
            <w:pPr>
              <w:pStyle w:val="12"/>
            </w:pPr>
            <w:r>
              <w:t>24</w:t>
            </w:r>
          </w:p>
        </w:tc>
        <w:tc>
          <w:tcPr>
            <w:tcW w:w="3402" w:type="dxa"/>
            <w:vAlign w:val="center"/>
          </w:tcPr>
          <w:p w14:paraId="389CE71B">
            <w:pPr>
              <w:pStyle w:val="13"/>
            </w:pPr>
          </w:p>
        </w:tc>
        <w:tc>
          <w:tcPr>
            <w:tcW w:w="1474" w:type="dxa"/>
            <w:vAlign w:val="center"/>
          </w:tcPr>
          <w:p w14:paraId="0137040A">
            <w:pPr>
              <w:pStyle w:val="14"/>
            </w:pPr>
          </w:p>
        </w:tc>
        <w:tc>
          <w:tcPr>
            <w:tcW w:w="3402" w:type="dxa"/>
            <w:vAlign w:val="center"/>
          </w:tcPr>
          <w:p w14:paraId="04591F84">
            <w:pPr>
              <w:pStyle w:val="13"/>
            </w:pPr>
            <w:r>
              <w:t>二十四、预备费</w:t>
            </w:r>
          </w:p>
        </w:tc>
        <w:tc>
          <w:tcPr>
            <w:tcW w:w="1474" w:type="dxa"/>
            <w:vAlign w:val="center"/>
          </w:tcPr>
          <w:p w14:paraId="4586BD2C">
            <w:pPr>
              <w:pStyle w:val="14"/>
            </w:pPr>
          </w:p>
        </w:tc>
        <w:tc>
          <w:tcPr>
            <w:tcW w:w="1474" w:type="dxa"/>
            <w:vAlign w:val="center"/>
          </w:tcPr>
          <w:p w14:paraId="20EA2510">
            <w:pPr>
              <w:pStyle w:val="14"/>
            </w:pPr>
          </w:p>
        </w:tc>
        <w:tc>
          <w:tcPr>
            <w:tcW w:w="1474" w:type="dxa"/>
            <w:vAlign w:val="center"/>
          </w:tcPr>
          <w:p w14:paraId="054F8FB3">
            <w:pPr>
              <w:pStyle w:val="14"/>
            </w:pPr>
          </w:p>
        </w:tc>
        <w:tc>
          <w:tcPr>
            <w:tcW w:w="1474" w:type="dxa"/>
            <w:vAlign w:val="center"/>
          </w:tcPr>
          <w:p w14:paraId="6878B552">
            <w:pPr>
              <w:pStyle w:val="14"/>
            </w:pPr>
          </w:p>
        </w:tc>
      </w:tr>
      <w:tr w14:paraId="4124A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1C1CA">
            <w:pPr>
              <w:pStyle w:val="12"/>
            </w:pPr>
            <w:r>
              <w:t>25</w:t>
            </w:r>
          </w:p>
        </w:tc>
        <w:tc>
          <w:tcPr>
            <w:tcW w:w="3402" w:type="dxa"/>
            <w:vAlign w:val="center"/>
          </w:tcPr>
          <w:p w14:paraId="1D6DAA90">
            <w:pPr>
              <w:pStyle w:val="13"/>
            </w:pPr>
          </w:p>
        </w:tc>
        <w:tc>
          <w:tcPr>
            <w:tcW w:w="1474" w:type="dxa"/>
            <w:vAlign w:val="center"/>
          </w:tcPr>
          <w:p w14:paraId="04673F80">
            <w:pPr>
              <w:pStyle w:val="14"/>
            </w:pPr>
          </w:p>
        </w:tc>
        <w:tc>
          <w:tcPr>
            <w:tcW w:w="3402" w:type="dxa"/>
            <w:vAlign w:val="center"/>
          </w:tcPr>
          <w:p w14:paraId="7E1E357A">
            <w:pPr>
              <w:pStyle w:val="13"/>
            </w:pPr>
            <w:r>
              <w:t>二十五、其他支出</w:t>
            </w:r>
          </w:p>
        </w:tc>
        <w:tc>
          <w:tcPr>
            <w:tcW w:w="1474" w:type="dxa"/>
            <w:vAlign w:val="center"/>
          </w:tcPr>
          <w:p w14:paraId="5510C632">
            <w:pPr>
              <w:pStyle w:val="14"/>
            </w:pPr>
          </w:p>
        </w:tc>
        <w:tc>
          <w:tcPr>
            <w:tcW w:w="1474" w:type="dxa"/>
            <w:vAlign w:val="center"/>
          </w:tcPr>
          <w:p w14:paraId="5A4BFDF3">
            <w:pPr>
              <w:pStyle w:val="14"/>
            </w:pPr>
          </w:p>
        </w:tc>
        <w:tc>
          <w:tcPr>
            <w:tcW w:w="1474" w:type="dxa"/>
            <w:vAlign w:val="center"/>
          </w:tcPr>
          <w:p w14:paraId="1943761F">
            <w:pPr>
              <w:pStyle w:val="14"/>
            </w:pPr>
          </w:p>
        </w:tc>
        <w:tc>
          <w:tcPr>
            <w:tcW w:w="1474" w:type="dxa"/>
            <w:vAlign w:val="center"/>
          </w:tcPr>
          <w:p w14:paraId="1F7C4B07">
            <w:pPr>
              <w:pStyle w:val="14"/>
            </w:pPr>
          </w:p>
        </w:tc>
      </w:tr>
      <w:tr w14:paraId="3F1DE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85436AC">
            <w:pPr>
              <w:pStyle w:val="12"/>
            </w:pPr>
            <w:r>
              <w:t>26</w:t>
            </w:r>
          </w:p>
        </w:tc>
        <w:tc>
          <w:tcPr>
            <w:tcW w:w="3402" w:type="dxa"/>
            <w:vAlign w:val="center"/>
          </w:tcPr>
          <w:p w14:paraId="03D1C9D9">
            <w:pPr>
              <w:pStyle w:val="13"/>
            </w:pPr>
          </w:p>
        </w:tc>
        <w:tc>
          <w:tcPr>
            <w:tcW w:w="1474" w:type="dxa"/>
            <w:vAlign w:val="center"/>
          </w:tcPr>
          <w:p w14:paraId="7706D71A">
            <w:pPr>
              <w:pStyle w:val="14"/>
            </w:pPr>
          </w:p>
        </w:tc>
        <w:tc>
          <w:tcPr>
            <w:tcW w:w="3402" w:type="dxa"/>
            <w:vAlign w:val="center"/>
          </w:tcPr>
          <w:p w14:paraId="3469D645">
            <w:pPr>
              <w:pStyle w:val="13"/>
            </w:pPr>
            <w:r>
              <w:t>二十六、转移性支出</w:t>
            </w:r>
          </w:p>
        </w:tc>
        <w:tc>
          <w:tcPr>
            <w:tcW w:w="1474" w:type="dxa"/>
            <w:vAlign w:val="center"/>
          </w:tcPr>
          <w:p w14:paraId="048BA707">
            <w:pPr>
              <w:pStyle w:val="14"/>
            </w:pPr>
          </w:p>
        </w:tc>
        <w:tc>
          <w:tcPr>
            <w:tcW w:w="1474" w:type="dxa"/>
            <w:vAlign w:val="center"/>
          </w:tcPr>
          <w:p w14:paraId="1E89C627">
            <w:pPr>
              <w:pStyle w:val="14"/>
            </w:pPr>
          </w:p>
        </w:tc>
        <w:tc>
          <w:tcPr>
            <w:tcW w:w="1474" w:type="dxa"/>
            <w:vAlign w:val="center"/>
          </w:tcPr>
          <w:p w14:paraId="6DD571FD">
            <w:pPr>
              <w:pStyle w:val="14"/>
            </w:pPr>
          </w:p>
        </w:tc>
        <w:tc>
          <w:tcPr>
            <w:tcW w:w="1474" w:type="dxa"/>
            <w:vAlign w:val="center"/>
          </w:tcPr>
          <w:p w14:paraId="628AE313">
            <w:pPr>
              <w:pStyle w:val="14"/>
            </w:pPr>
          </w:p>
        </w:tc>
      </w:tr>
      <w:tr w14:paraId="3AAA3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8F0EF">
            <w:pPr>
              <w:pStyle w:val="12"/>
            </w:pPr>
            <w:r>
              <w:t>27</w:t>
            </w:r>
          </w:p>
        </w:tc>
        <w:tc>
          <w:tcPr>
            <w:tcW w:w="3402" w:type="dxa"/>
            <w:vAlign w:val="center"/>
          </w:tcPr>
          <w:p w14:paraId="6696A4AA">
            <w:pPr>
              <w:pStyle w:val="13"/>
            </w:pPr>
          </w:p>
        </w:tc>
        <w:tc>
          <w:tcPr>
            <w:tcW w:w="1474" w:type="dxa"/>
            <w:vAlign w:val="center"/>
          </w:tcPr>
          <w:p w14:paraId="68A626A8">
            <w:pPr>
              <w:pStyle w:val="14"/>
            </w:pPr>
          </w:p>
        </w:tc>
        <w:tc>
          <w:tcPr>
            <w:tcW w:w="3402" w:type="dxa"/>
            <w:vAlign w:val="center"/>
          </w:tcPr>
          <w:p w14:paraId="3197DCAC">
            <w:pPr>
              <w:pStyle w:val="13"/>
            </w:pPr>
            <w:r>
              <w:t>二十七、债务还本支出</w:t>
            </w:r>
          </w:p>
        </w:tc>
        <w:tc>
          <w:tcPr>
            <w:tcW w:w="1474" w:type="dxa"/>
            <w:vAlign w:val="center"/>
          </w:tcPr>
          <w:p w14:paraId="49F55CD3">
            <w:pPr>
              <w:pStyle w:val="14"/>
            </w:pPr>
          </w:p>
        </w:tc>
        <w:tc>
          <w:tcPr>
            <w:tcW w:w="1474" w:type="dxa"/>
            <w:vAlign w:val="center"/>
          </w:tcPr>
          <w:p w14:paraId="5B27CEA1">
            <w:pPr>
              <w:pStyle w:val="14"/>
            </w:pPr>
          </w:p>
        </w:tc>
        <w:tc>
          <w:tcPr>
            <w:tcW w:w="1474" w:type="dxa"/>
            <w:vAlign w:val="center"/>
          </w:tcPr>
          <w:p w14:paraId="071DF8EB">
            <w:pPr>
              <w:pStyle w:val="14"/>
            </w:pPr>
          </w:p>
        </w:tc>
        <w:tc>
          <w:tcPr>
            <w:tcW w:w="1474" w:type="dxa"/>
            <w:vAlign w:val="center"/>
          </w:tcPr>
          <w:p w14:paraId="2903AC3A">
            <w:pPr>
              <w:pStyle w:val="14"/>
            </w:pPr>
          </w:p>
        </w:tc>
      </w:tr>
      <w:tr w14:paraId="3DFBA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C0D27">
            <w:pPr>
              <w:pStyle w:val="12"/>
            </w:pPr>
            <w:r>
              <w:t>28</w:t>
            </w:r>
          </w:p>
        </w:tc>
        <w:tc>
          <w:tcPr>
            <w:tcW w:w="3402" w:type="dxa"/>
            <w:vAlign w:val="center"/>
          </w:tcPr>
          <w:p w14:paraId="47BCB1CE">
            <w:pPr>
              <w:pStyle w:val="13"/>
            </w:pPr>
          </w:p>
        </w:tc>
        <w:tc>
          <w:tcPr>
            <w:tcW w:w="1474" w:type="dxa"/>
            <w:vAlign w:val="center"/>
          </w:tcPr>
          <w:p w14:paraId="065B5588">
            <w:pPr>
              <w:pStyle w:val="14"/>
            </w:pPr>
          </w:p>
        </w:tc>
        <w:tc>
          <w:tcPr>
            <w:tcW w:w="3402" w:type="dxa"/>
            <w:vAlign w:val="center"/>
          </w:tcPr>
          <w:p w14:paraId="3A8DFD3F">
            <w:pPr>
              <w:pStyle w:val="13"/>
            </w:pPr>
            <w:r>
              <w:t>二十八、债务付息支出</w:t>
            </w:r>
          </w:p>
        </w:tc>
        <w:tc>
          <w:tcPr>
            <w:tcW w:w="1474" w:type="dxa"/>
            <w:vAlign w:val="center"/>
          </w:tcPr>
          <w:p w14:paraId="47BFA806">
            <w:pPr>
              <w:pStyle w:val="14"/>
            </w:pPr>
          </w:p>
        </w:tc>
        <w:tc>
          <w:tcPr>
            <w:tcW w:w="1474" w:type="dxa"/>
            <w:vAlign w:val="center"/>
          </w:tcPr>
          <w:p w14:paraId="2067976C">
            <w:pPr>
              <w:pStyle w:val="14"/>
            </w:pPr>
          </w:p>
        </w:tc>
        <w:tc>
          <w:tcPr>
            <w:tcW w:w="1474" w:type="dxa"/>
            <w:vAlign w:val="center"/>
          </w:tcPr>
          <w:p w14:paraId="2C6BB684">
            <w:pPr>
              <w:pStyle w:val="14"/>
            </w:pPr>
          </w:p>
        </w:tc>
        <w:tc>
          <w:tcPr>
            <w:tcW w:w="1474" w:type="dxa"/>
            <w:vAlign w:val="center"/>
          </w:tcPr>
          <w:p w14:paraId="096409CE">
            <w:pPr>
              <w:pStyle w:val="14"/>
            </w:pPr>
          </w:p>
        </w:tc>
      </w:tr>
      <w:tr w14:paraId="5BE6F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B93E4">
            <w:pPr>
              <w:pStyle w:val="12"/>
            </w:pPr>
            <w:r>
              <w:t>29</w:t>
            </w:r>
          </w:p>
        </w:tc>
        <w:tc>
          <w:tcPr>
            <w:tcW w:w="3402" w:type="dxa"/>
            <w:vAlign w:val="center"/>
          </w:tcPr>
          <w:p w14:paraId="0EFC1F53">
            <w:pPr>
              <w:pStyle w:val="13"/>
            </w:pPr>
          </w:p>
        </w:tc>
        <w:tc>
          <w:tcPr>
            <w:tcW w:w="1474" w:type="dxa"/>
            <w:vAlign w:val="center"/>
          </w:tcPr>
          <w:p w14:paraId="192C9295">
            <w:pPr>
              <w:pStyle w:val="14"/>
            </w:pPr>
          </w:p>
        </w:tc>
        <w:tc>
          <w:tcPr>
            <w:tcW w:w="3402" w:type="dxa"/>
            <w:vAlign w:val="center"/>
          </w:tcPr>
          <w:p w14:paraId="576C166D">
            <w:pPr>
              <w:pStyle w:val="13"/>
            </w:pPr>
            <w:r>
              <w:t>二十九、债务发行费用支出</w:t>
            </w:r>
          </w:p>
        </w:tc>
        <w:tc>
          <w:tcPr>
            <w:tcW w:w="1474" w:type="dxa"/>
            <w:vAlign w:val="center"/>
          </w:tcPr>
          <w:p w14:paraId="2A302192">
            <w:pPr>
              <w:pStyle w:val="14"/>
            </w:pPr>
          </w:p>
        </w:tc>
        <w:tc>
          <w:tcPr>
            <w:tcW w:w="1474" w:type="dxa"/>
            <w:vAlign w:val="center"/>
          </w:tcPr>
          <w:p w14:paraId="2993E1C2">
            <w:pPr>
              <w:pStyle w:val="14"/>
            </w:pPr>
          </w:p>
        </w:tc>
        <w:tc>
          <w:tcPr>
            <w:tcW w:w="1474" w:type="dxa"/>
            <w:vAlign w:val="center"/>
          </w:tcPr>
          <w:p w14:paraId="47CE0D2C">
            <w:pPr>
              <w:pStyle w:val="14"/>
            </w:pPr>
          </w:p>
        </w:tc>
        <w:tc>
          <w:tcPr>
            <w:tcW w:w="1474" w:type="dxa"/>
            <w:vAlign w:val="center"/>
          </w:tcPr>
          <w:p w14:paraId="493B0933">
            <w:pPr>
              <w:pStyle w:val="14"/>
            </w:pPr>
          </w:p>
        </w:tc>
      </w:tr>
      <w:tr w14:paraId="473BC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6A0A4">
            <w:pPr>
              <w:pStyle w:val="12"/>
            </w:pPr>
            <w:r>
              <w:t>30</w:t>
            </w:r>
          </w:p>
        </w:tc>
        <w:tc>
          <w:tcPr>
            <w:tcW w:w="3402" w:type="dxa"/>
            <w:vAlign w:val="center"/>
          </w:tcPr>
          <w:p w14:paraId="46ECE6FC">
            <w:pPr>
              <w:pStyle w:val="13"/>
            </w:pPr>
          </w:p>
        </w:tc>
        <w:tc>
          <w:tcPr>
            <w:tcW w:w="1474" w:type="dxa"/>
            <w:vAlign w:val="center"/>
          </w:tcPr>
          <w:p w14:paraId="1B5B8491">
            <w:pPr>
              <w:pStyle w:val="14"/>
            </w:pPr>
          </w:p>
        </w:tc>
        <w:tc>
          <w:tcPr>
            <w:tcW w:w="3402" w:type="dxa"/>
            <w:vAlign w:val="center"/>
          </w:tcPr>
          <w:p w14:paraId="31E6F053">
            <w:pPr>
              <w:pStyle w:val="13"/>
            </w:pPr>
            <w:r>
              <w:t>三十、抗疫特别国债安排的支出</w:t>
            </w:r>
          </w:p>
        </w:tc>
        <w:tc>
          <w:tcPr>
            <w:tcW w:w="1474" w:type="dxa"/>
            <w:vAlign w:val="center"/>
          </w:tcPr>
          <w:p w14:paraId="711EEAA4">
            <w:pPr>
              <w:pStyle w:val="14"/>
            </w:pPr>
          </w:p>
        </w:tc>
        <w:tc>
          <w:tcPr>
            <w:tcW w:w="1474" w:type="dxa"/>
            <w:vAlign w:val="center"/>
          </w:tcPr>
          <w:p w14:paraId="42ED0DAF">
            <w:pPr>
              <w:pStyle w:val="14"/>
            </w:pPr>
          </w:p>
        </w:tc>
        <w:tc>
          <w:tcPr>
            <w:tcW w:w="1474" w:type="dxa"/>
            <w:vAlign w:val="center"/>
          </w:tcPr>
          <w:p w14:paraId="3BCB76B1">
            <w:pPr>
              <w:pStyle w:val="14"/>
            </w:pPr>
          </w:p>
        </w:tc>
        <w:tc>
          <w:tcPr>
            <w:tcW w:w="1474" w:type="dxa"/>
            <w:vAlign w:val="center"/>
          </w:tcPr>
          <w:p w14:paraId="7C7DC2EA">
            <w:pPr>
              <w:pStyle w:val="14"/>
            </w:pPr>
          </w:p>
        </w:tc>
      </w:tr>
      <w:tr w14:paraId="236C5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22A9F">
            <w:pPr>
              <w:pStyle w:val="12"/>
            </w:pPr>
            <w:r>
              <w:t>31</w:t>
            </w:r>
          </w:p>
        </w:tc>
        <w:tc>
          <w:tcPr>
            <w:tcW w:w="3402" w:type="dxa"/>
            <w:vAlign w:val="center"/>
          </w:tcPr>
          <w:p w14:paraId="657AAD51">
            <w:pPr>
              <w:pStyle w:val="13"/>
            </w:pPr>
          </w:p>
        </w:tc>
        <w:tc>
          <w:tcPr>
            <w:tcW w:w="1474" w:type="dxa"/>
            <w:vAlign w:val="center"/>
          </w:tcPr>
          <w:p w14:paraId="3D39E13A">
            <w:pPr>
              <w:pStyle w:val="14"/>
            </w:pPr>
          </w:p>
        </w:tc>
        <w:tc>
          <w:tcPr>
            <w:tcW w:w="3402" w:type="dxa"/>
            <w:vAlign w:val="center"/>
          </w:tcPr>
          <w:p w14:paraId="50697F67">
            <w:pPr>
              <w:pStyle w:val="13"/>
            </w:pPr>
            <w:r>
              <w:t>三十一、人行科目</w:t>
            </w:r>
          </w:p>
        </w:tc>
        <w:tc>
          <w:tcPr>
            <w:tcW w:w="1474" w:type="dxa"/>
            <w:vAlign w:val="center"/>
          </w:tcPr>
          <w:p w14:paraId="309D1606">
            <w:pPr>
              <w:pStyle w:val="14"/>
            </w:pPr>
          </w:p>
        </w:tc>
        <w:tc>
          <w:tcPr>
            <w:tcW w:w="1474" w:type="dxa"/>
            <w:vAlign w:val="center"/>
          </w:tcPr>
          <w:p w14:paraId="75A3D666">
            <w:pPr>
              <w:pStyle w:val="14"/>
            </w:pPr>
          </w:p>
        </w:tc>
        <w:tc>
          <w:tcPr>
            <w:tcW w:w="1474" w:type="dxa"/>
            <w:vAlign w:val="center"/>
          </w:tcPr>
          <w:p w14:paraId="58E5F8E6">
            <w:pPr>
              <w:pStyle w:val="14"/>
            </w:pPr>
          </w:p>
        </w:tc>
        <w:tc>
          <w:tcPr>
            <w:tcW w:w="1474" w:type="dxa"/>
            <w:vAlign w:val="center"/>
          </w:tcPr>
          <w:p w14:paraId="266CDEA3">
            <w:pPr>
              <w:pStyle w:val="14"/>
            </w:pPr>
          </w:p>
        </w:tc>
      </w:tr>
      <w:tr w14:paraId="4AC64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A6DB7">
            <w:pPr>
              <w:pStyle w:val="12"/>
            </w:pPr>
            <w:r>
              <w:t>32</w:t>
            </w:r>
          </w:p>
        </w:tc>
        <w:tc>
          <w:tcPr>
            <w:tcW w:w="3402" w:type="dxa"/>
            <w:vAlign w:val="center"/>
          </w:tcPr>
          <w:p w14:paraId="242A5B7C">
            <w:pPr>
              <w:pStyle w:val="15"/>
            </w:pPr>
            <w:r>
              <w:t>本年收入合计</w:t>
            </w:r>
          </w:p>
        </w:tc>
        <w:tc>
          <w:tcPr>
            <w:tcW w:w="1474" w:type="dxa"/>
            <w:vAlign w:val="center"/>
          </w:tcPr>
          <w:p w14:paraId="256F3AFA">
            <w:pPr>
              <w:pStyle w:val="16"/>
            </w:pPr>
            <w:r>
              <w:t>965.88</w:t>
            </w:r>
          </w:p>
        </w:tc>
        <w:tc>
          <w:tcPr>
            <w:tcW w:w="3402" w:type="dxa"/>
            <w:vAlign w:val="center"/>
          </w:tcPr>
          <w:p w14:paraId="46D0E0E3">
            <w:pPr>
              <w:pStyle w:val="15"/>
            </w:pPr>
            <w:r>
              <w:t>本年支出合计</w:t>
            </w:r>
          </w:p>
        </w:tc>
        <w:tc>
          <w:tcPr>
            <w:tcW w:w="1474" w:type="dxa"/>
            <w:vAlign w:val="center"/>
          </w:tcPr>
          <w:p w14:paraId="4B419BCF">
            <w:pPr>
              <w:pStyle w:val="16"/>
            </w:pPr>
            <w:r>
              <w:t>965.88</w:t>
            </w:r>
          </w:p>
        </w:tc>
        <w:tc>
          <w:tcPr>
            <w:tcW w:w="1474" w:type="dxa"/>
            <w:vAlign w:val="center"/>
          </w:tcPr>
          <w:p w14:paraId="7AF8A7F2">
            <w:pPr>
              <w:pStyle w:val="16"/>
            </w:pPr>
            <w:r>
              <w:t>965.88</w:t>
            </w:r>
          </w:p>
        </w:tc>
        <w:tc>
          <w:tcPr>
            <w:tcW w:w="1474" w:type="dxa"/>
            <w:vAlign w:val="center"/>
          </w:tcPr>
          <w:p w14:paraId="645AA6F4">
            <w:pPr>
              <w:pStyle w:val="16"/>
            </w:pPr>
          </w:p>
        </w:tc>
        <w:tc>
          <w:tcPr>
            <w:tcW w:w="1474" w:type="dxa"/>
            <w:vAlign w:val="center"/>
          </w:tcPr>
          <w:p w14:paraId="64DF4E0C">
            <w:pPr>
              <w:pStyle w:val="16"/>
            </w:pPr>
          </w:p>
        </w:tc>
      </w:tr>
      <w:tr w14:paraId="04000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EF9F9">
            <w:pPr>
              <w:pStyle w:val="12"/>
            </w:pPr>
            <w:r>
              <w:t>33</w:t>
            </w:r>
          </w:p>
        </w:tc>
        <w:tc>
          <w:tcPr>
            <w:tcW w:w="3402" w:type="dxa"/>
            <w:vAlign w:val="center"/>
          </w:tcPr>
          <w:p w14:paraId="7CEB4B2B">
            <w:pPr>
              <w:pStyle w:val="13"/>
            </w:pPr>
            <w:r>
              <w:t>年初财政拨款结转和结余</w:t>
            </w:r>
          </w:p>
        </w:tc>
        <w:tc>
          <w:tcPr>
            <w:tcW w:w="1474" w:type="dxa"/>
            <w:vAlign w:val="center"/>
          </w:tcPr>
          <w:p w14:paraId="0932F95B">
            <w:pPr>
              <w:pStyle w:val="14"/>
            </w:pPr>
          </w:p>
        </w:tc>
        <w:tc>
          <w:tcPr>
            <w:tcW w:w="3402" w:type="dxa"/>
            <w:vAlign w:val="center"/>
          </w:tcPr>
          <w:p w14:paraId="0094A2AD">
            <w:pPr>
              <w:pStyle w:val="13"/>
            </w:pPr>
            <w:r>
              <w:t>年末财政拨款结转和结余</w:t>
            </w:r>
          </w:p>
        </w:tc>
        <w:tc>
          <w:tcPr>
            <w:tcW w:w="1474" w:type="dxa"/>
            <w:vAlign w:val="center"/>
          </w:tcPr>
          <w:p w14:paraId="340B9602">
            <w:pPr>
              <w:pStyle w:val="14"/>
            </w:pPr>
          </w:p>
        </w:tc>
        <w:tc>
          <w:tcPr>
            <w:tcW w:w="1474" w:type="dxa"/>
            <w:vAlign w:val="center"/>
          </w:tcPr>
          <w:p w14:paraId="5819051B">
            <w:pPr>
              <w:pStyle w:val="14"/>
            </w:pPr>
          </w:p>
        </w:tc>
        <w:tc>
          <w:tcPr>
            <w:tcW w:w="1474" w:type="dxa"/>
            <w:vAlign w:val="center"/>
          </w:tcPr>
          <w:p w14:paraId="76E05263">
            <w:pPr>
              <w:pStyle w:val="14"/>
            </w:pPr>
          </w:p>
        </w:tc>
        <w:tc>
          <w:tcPr>
            <w:tcW w:w="1474" w:type="dxa"/>
            <w:vAlign w:val="center"/>
          </w:tcPr>
          <w:p w14:paraId="6EB9148C">
            <w:pPr>
              <w:pStyle w:val="14"/>
            </w:pPr>
          </w:p>
        </w:tc>
      </w:tr>
      <w:tr w14:paraId="532B4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14C40">
            <w:pPr>
              <w:pStyle w:val="12"/>
            </w:pPr>
            <w:r>
              <w:t>34</w:t>
            </w:r>
          </w:p>
        </w:tc>
        <w:tc>
          <w:tcPr>
            <w:tcW w:w="3402" w:type="dxa"/>
            <w:vAlign w:val="center"/>
          </w:tcPr>
          <w:p w14:paraId="1F888CBD">
            <w:pPr>
              <w:pStyle w:val="13"/>
            </w:pPr>
            <w:r>
              <w:t>一、一般公共预算拨款</w:t>
            </w:r>
          </w:p>
        </w:tc>
        <w:tc>
          <w:tcPr>
            <w:tcW w:w="1474" w:type="dxa"/>
            <w:vAlign w:val="center"/>
          </w:tcPr>
          <w:p w14:paraId="3A987B80">
            <w:pPr>
              <w:pStyle w:val="14"/>
            </w:pPr>
          </w:p>
        </w:tc>
        <w:tc>
          <w:tcPr>
            <w:tcW w:w="3402" w:type="dxa"/>
            <w:vAlign w:val="center"/>
          </w:tcPr>
          <w:p w14:paraId="178217FE">
            <w:pPr>
              <w:pStyle w:val="13"/>
            </w:pPr>
          </w:p>
        </w:tc>
        <w:tc>
          <w:tcPr>
            <w:tcW w:w="1474" w:type="dxa"/>
            <w:vAlign w:val="center"/>
          </w:tcPr>
          <w:p w14:paraId="20B8A821">
            <w:pPr>
              <w:pStyle w:val="14"/>
            </w:pPr>
          </w:p>
        </w:tc>
        <w:tc>
          <w:tcPr>
            <w:tcW w:w="1474" w:type="dxa"/>
            <w:vAlign w:val="center"/>
          </w:tcPr>
          <w:p w14:paraId="09AC27E4">
            <w:pPr>
              <w:pStyle w:val="14"/>
            </w:pPr>
          </w:p>
        </w:tc>
        <w:tc>
          <w:tcPr>
            <w:tcW w:w="1474" w:type="dxa"/>
            <w:vAlign w:val="center"/>
          </w:tcPr>
          <w:p w14:paraId="68CB35CC">
            <w:pPr>
              <w:pStyle w:val="14"/>
            </w:pPr>
          </w:p>
        </w:tc>
        <w:tc>
          <w:tcPr>
            <w:tcW w:w="1474" w:type="dxa"/>
            <w:vAlign w:val="center"/>
          </w:tcPr>
          <w:p w14:paraId="0E63D5A4">
            <w:pPr>
              <w:pStyle w:val="14"/>
            </w:pPr>
          </w:p>
        </w:tc>
      </w:tr>
      <w:tr w14:paraId="2239A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37563">
            <w:pPr>
              <w:pStyle w:val="12"/>
            </w:pPr>
            <w:r>
              <w:t>35</w:t>
            </w:r>
          </w:p>
        </w:tc>
        <w:tc>
          <w:tcPr>
            <w:tcW w:w="3402" w:type="dxa"/>
            <w:vAlign w:val="center"/>
          </w:tcPr>
          <w:p w14:paraId="22AB4671">
            <w:pPr>
              <w:pStyle w:val="13"/>
            </w:pPr>
            <w:r>
              <w:t>二、政府性基金预算拨款</w:t>
            </w:r>
          </w:p>
        </w:tc>
        <w:tc>
          <w:tcPr>
            <w:tcW w:w="1474" w:type="dxa"/>
            <w:vAlign w:val="center"/>
          </w:tcPr>
          <w:p w14:paraId="4FC2DC61">
            <w:pPr>
              <w:pStyle w:val="14"/>
            </w:pPr>
          </w:p>
        </w:tc>
        <w:tc>
          <w:tcPr>
            <w:tcW w:w="3402" w:type="dxa"/>
            <w:vAlign w:val="center"/>
          </w:tcPr>
          <w:p w14:paraId="58F0764A">
            <w:pPr>
              <w:pStyle w:val="13"/>
            </w:pPr>
          </w:p>
        </w:tc>
        <w:tc>
          <w:tcPr>
            <w:tcW w:w="1474" w:type="dxa"/>
            <w:vAlign w:val="center"/>
          </w:tcPr>
          <w:p w14:paraId="5653A17A">
            <w:pPr>
              <w:pStyle w:val="14"/>
            </w:pPr>
          </w:p>
        </w:tc>
        <w:tc>
          <w:tcPr>
            <w:tcW w:w="1474" w:type="dxa"/>
            <w:vAlign w:val="center"/>
          </w:tcPr>
          <w:p w14:paraId="6A71440B">
            <w:pPr>
              <w:pStyle w:val="14"/>
            </w:pPr>
          </w:p>
        </w:tc>
        <w:tc>
          <w:tcPr>
            <w:tcW w:w="1474" w:type="dxa"/>
            <w:vAlign w:val="center"/>
          </w:tcPr>
          <w:p w14:paraId="089ADEFF">
            <w:pPr>
              <w:pStyle w:val="14"/>
            </w:pPr>
          </w:p>
        </w:tc>
        <w:tc>
          <w:tcPr>
            <w:tcW w:w="1474" w:type="dxa"/>
            <w:vAlign w:val="center"/>
          </w:tcPr>
          <w:p w14:paraId="6D5C4535">
            <w:pPr>
              <w:pStyle w:val="14"/>
            </w:pPr>
          </w:p>
        </w:tc>
      </w:tr>
      <w:tr w14:paraId="5528A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3BF37">
            <w:pPr>
              <w:pStyle w:val="12"/>
            </w:pPr>
            <w:r>
              <w:t>36</w:t>
            </w:r>
          </w:p>
        </w:tc>
        <w:tc>
          <w:tcPr>
            <w:tcW w:w="3402" w:type="dxa"/>
            <w:vAlign w:val="center"/>
          </w:tcPr>
          <w:p w14:paraId="45F5FB31">
            <w:pPr>
              <w:pStyle w:val="13"/>
            </w:pPr>
            <w:r>
              <w:t>三、国有资本经营预算拨款</w:t>
            </w:r>
          </w:p>
        </w:tc>
        <w:tc>
          <w:tcPr>
            <w:tcW w:w="1474" w:type="dxa"/>
            <w:vAlign w:val="center"/>
          </w:tcPr>
          <w:p w14:paraId="6A31EC6D">
            <w:pPr>
              <w:pStyle w:val="14"/>
            </w:pPr>
          </w:p>
        </w:tc>
        <w:tc>
          <w:tcPr>
            <w:tcW w:w="3402" w:type="dxa"/>
            <w:vAlign w:val="center"/>
          </w:tcPr>
          <w:p w14:paraId="314DBAA4">
            <w:pPr>
              <w:pStyle w:val="13"/>
            </w:pPr>
          </w:p>
        </w:tc>
        <w:tc>
          <w:tcPr>
            <w:tcW w:w="1474" w:type="dxa"/>
            <w:vAlign w:val="center"/>
          </w:tcPr>
          <w:p w14:paraId="7377B320">
            <w:pPr>
              <w:pStyle w:val="14"/>
            </w:pPr>
          </w:p>
        </w:tc>
        <w:tc>
          <w:tcPr>
            <w:tcW w:w="1474" w:type="dxa"/>
            <w:vAlign w:val="center"/>
          </w:tcPr>
          <w:p w14:paraId="76C617D5">
            <w:pPr>
              <w:pStyle w:val="14"/>
            </w:pPr>
          </w:p>
        </w:tc>
        <w:tc>
          <w:tcPr>
            <w:tcW w:w="1474" w:type="dxa"/>
            <w:vAlign w:val="center"/>
          </w:tcPr>
          <w:p w14:paraId="6D95F1D5">
            <w:pPr>
              <w:pStyle w:val="14"/>
            </w:pPr>
          </w:p>
        </w:tc>
        <w:tc>
          <w:tcPr>
            <w:tcW w:w="1474" w:type="dxa"/>
            <w:vAlign w:val="center"/>
          </w:tcPr>
          <w:p w14:paraId="4317FED4">
            <w:pPr>
              <w:pStyle w:val="14"/>
            </w:pPr>
          </w:p>
        </w:tc>
      </w:tr>
      <w:tr w14:paraId="2A187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A669D">
            <w:pPr>
              <w:pStyle w:val="12"/>
            </w:pPr>
            <w:r>
              <w:t>37</w:t>
            </w:r>
          </w:p>
        </w:tc>
        <w:tc>
          <w:tcPr>
            <w:tcW w:w="3402" w:type="dxa"/>
            <w:vAlign w:val="center"/>
          </w:tcPr>
          <w:p w14:paraId="51CB4ADE">
            <w:pPr>
              <w:pStyle w:val="15"/>
            </w:pPr>
            <w:r>
              <w:t>收入总计</w:t>
            </w:r>
          </w:p>
        </w:tc>
        <w:tc>
          <w:tcPr>
            <w:tcW w:w="1474" w:type="dxa"/>
            <w:vAlign w:val="center"/>
          </w:tcPr>
          <w:p w14:paraId="2433904C">
            <w:pPr>
              <w:pStyle w:val="16"/>
            </w:pPr>
            <w:r>
              <w:t>965.88</w:t>
            </w:r>
          </w:p>
        </w:tc>
        <w:tc>
          <w:tcPr>
            <w:tcW w:w="3402" w:type="dxa"/>
            <w:vAlign w:val="center"/>
          </w:tcPr>
          <w:p w14:paraId="6B28FBDA">
            <w:pPr>
              <w:pStyle w:val="15"/>
            </w:pPr>
            <w:r>
              <w:t>支出总计</w:t>
            </w:r>
          </w:p>
        </w:tc>
        <w:tc>
          <w:tcPr>
            <w:tcW w:w="1474" w:type="dxa"/>
            <w:vAlign w:val="center"/>
          </w:tcPr>
          <w:p w14:paraId="05D7E8C0">
            <w:pPr>
              <w:pStyle w:val="16"/>
            </w:pPr>
            <w:r>
              <w:t>965.88</w:t>
            </w:r>
          </w:p>
        </w:tc>
        <w:tc>
          <w:tcPr>
            <w:tcW w:w="1474" w:type="dxa"/>
            <w:vAlign w:val="center"/>
          </w:tcPr>
          <w:p w14:paraId="7B1639AE">
            <w:pPr>
              <w:pStyle w:val="16"/>
            </w:pPr>
            <w:r>
              <w:t>965.88</w:t>
            </w:r>
          </w:p>
        </w:tc>
        <w:tc>
          <w:tcPr>
            <w:tcW w:w="1474" w:type="dxa"/>
            <w:vAlign w:val="center"/>
          </w:tcPr>
          <w:p w14:paraId="4E2D9A78">
            <w:pPr>
              <w:pStyle w:val="16"/>
            </w:pPr>
          </w:p>
        </w:tc>
        <w:tc>
          <w:tcPr>
            <w:tcW w:w="1474" w:type="dxa"/>
            <w:vAlign w:val="center"/>
          </w:tcPr>
          <w:p w14:paraId="04473C45">
            <w:pPr>
              <w:pStyle w:val="16"/>
            </w:pPr>
          </w:p>
        </w:tc>
      </w:tr>
    </w:tbl>
    <w:p w14:paraId="526B42BC">
      <w:pPr>
        <w:sectPr>
          <w:pgSz w:w="16840" w:h="11900" w:orient="landscape"/>
          <w:pgMar w:top="1361" w:right="1020" w:bottom="1134" w:left="1020" w:header="720" w:footer="720" w:gutter="0"/>
          <w:cols w:space="720" w:num="1"/>
        </w:sectPr>
      </w:pPr>
    </w:p>
    <w:p w14:paraId="37C407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9C5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944994">
            <w:pPr>
              <w:pStyle w:val="8"/>
            </w:pPr>
            <w:r>
              <w:t>360028隆尧县教师发展中心</w:t>
            </w:r>
          </w:p>
        </w:tc>
        <w:tc>
          <w:tcPr>
            <w:tcW w:w="2551" w:type="dxa"/>
            <w:tcBorders>
              <w:top w:val="single" w:color="FFFFFF" w:sz="6" w:space="0"/>
              <w:left w:val="single" w:color="FFFFFF" w:sz="6" w:space="0"/>
              <w:right w:val="single" w:color="FFFFFF" w:sz="6" w:space="0"/>
            </w:tcBorders>
            <w:vAlign w:val="center"/>
          </w:tcPr>
          <w:p w14:paraId="7085216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387B806">
            <w:pPr>
              <w:pStyle w:val="10"/>
            </w:pPr>
            <w:r>
              <w:t>单位：万元</w:t>
            </w:r>
          </w:p>
        </w:tc>
      </w:tr>
      <w:tr w14:paraId="0C7CC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035B4">
            <w:pPr>
              <w:pStyle w:val="11"/>
            </w:pPr>
            <w:r>
              <w:t>序号</w:t>
            </w:r>
          </w:p>
        </w:tc>
        <w:tc>
          <w:tcPr>
            <w:tcW w:w="5726" w:type="dxa"/>
            <w:gridSpan w:val="2"/>
            <w:vAlign w:val="center"/>
          </w:tcPr>
          <w:p w14:paraId="1FFF15C6">
            <w:pPr>
              <w:pStyle w:val="11"/>
            </w:pPr>
            <w:r>
              <w:t>功能分类科目</w:t>
            </w:r>
          </w:p>
        </w:tc>
        <w:tc>
          <w:tcPr>
            <w:tcW w:w="2551" w:type="dxa"/>
            <w:vMerge w:val="restart"/>
            <w:vAlign w:val="center"/>
          </w:tcPr>
          <w:p w14:paraId="1C17B93F">
            <w:pPr>
              <w:pStyle w:val="11"/>
            </w:pPr>
            <w:r>
              <w:t>合计</w:t>
            </w:r>
          </w:p>
        </w:tc>
        <w:tc>
          <w:tcPr>
            <w:tcW w:w="2551" w:type="dxa"/>
            <w:vMerge w:val="restart"/>
            <w:vAlign w:val="center"/>
          </w:tcPr>
          <w:p w14:paraId="4770B874">
            <w:pPr>
              <w:pStyle w:val="11"/>
            </w:pPr>
            <w:r>
              <w:t>基本支出</w:t>
            </w:r>
          </w:p>
        </w:tc>
        <w:tc>
          <w:tcPr>
            <w:tcW w:w="2551" w:type="dxa"/>
            <w:vMerge w:val="restart"/>
            <w:vAlign w:val="center"/>
          </w:tcPr>
          <w:p w14:paraId="490DFA32">
            <w:pPr>
              <w:pStyle w:val="11"/>
            </w:pPr>
            <w:r>
              <w:t>项目支出</w:t>
            </w:r>
          </w:p>
        </w:tc>
      </w:tr>
      <w:tr w14:paraId="5663D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1D4B91"/>
        </w:tc>
        <w:tc>
          <w:tcPr>
            <w:tcW w:w="1191" w:type="dxa"/>
            <w:vAlign w:val="center"/>
          </w:tcPr>
          <w:p w14:paraId="35B4EFAF">
            <w:pPr>
              <w:pStyle w:val="11"/>
            </w:pPr>
            <w:r>
              <w:t>科目编码</w:t>
            </w:r>
          </w:p>
        </w:tc>
        <w:tc>
          <w:tcPr>
            <w:tcW w:w="4535" w:type="dxa"/>
            <w:vAlign w:val="center"/>
          </w:tcPr>
          <w:p w14:paraId="55035B0A">
            <w:pPr>
              <w:pStyle w:val="11"/>
            </w:pPr>
            <w:r>
              <w:t>科目名称</w:t>
            </w:r>
          </w:p>
        </w:tc>
        <w:tc>
          <w:tcPr>
            <w:tcW w:w="2551" w:type="dxa"/>
            <w:vMerge w:val="continue"/>
          </w:tcPr>
          <w:p w14:paraId="417E81A5"/>
        </w:tc>
        <w:tc>
          <w:tcPr>
            <w:tcW w:w="2551" w:type="dxa"/>
            <w:vMerge w:val="continue"/>
          </w:tcPr>
          <w:p w14:paraId="3AD52B34"/>
        </w:tc>
        <w:tc>
          <w:tcPr>
            <w:tcW w:w="2551" w:type="dxa"/>
            <w:vMerge w:val="continue"/>
          </w:tcPr>
          <w:p w14:paraId="4CBFDC69"/>
        </w:tc>
      </w:tr>
      <w:tr w14:paraId="262F3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F6E4B7">
            <w:pPr>
              <w:pStyle w:val="11"/>
            </w:pPr>
            <w:r>
              <w:t>栏次</w:t>
            </w:r>
          </w:p>
        </w:tc>
        <w:tc>
          <w:tcPr>
            <w:tcW w:w="1191" w:type="dxa"/>
            <w:vAlign w:val="center"/>
          </w:tcPr>
          <w:p w14:paraId="75AB7E7D">
            <w:pPr>
              <w:pStyle w:val="11"/>
            </w:pPr>
            <w:r>
              <w:t>1</w:t>
            </w:r>
          </w:p>
        </w:tc>
        <w:tc>
          <w:tcPr>
            <w:tcW w:w="4535" w:type="dxa"/>
            <w:vAlign w:val="center"/>
          </w:tcPr>
          <w:p w14:paraId="11BF646C">
            <w:pPr>
              <w:pStyle w:val="11"/>
            </w:pPr>
            <w:r>
              <w:t>2</w:t>
            </w:r>
          </w:p>
        </w:tc>
        <w:tc>
          <w:tcPr>
            <w:tcW w:w="2551" w:type="dxa"/>
            <w:vAlign w:val="center"/>
          </w:tcPr>
          <w:p w14:paraId="6A764092">
            <w:pPr>
              <w:pStyle w:val="11"/>
            </w:pPr>
            <w:r>
              <w:t>3</w:t>
            </w:r>
          </w:p>
        </w:tc>
        <w:tc>
          <w:tcPr>
            <w:tcW w:w="2551" w:type="dxa"/>
            <w:vAlign w:val="center"/>
          </w:tcPr>
          <w:p w14:paraId="1564DFBC">
            <w:pPr>
              <w:pStyle w:val="11"/>
            </w:pPr>
            <w:r>
              <w:t>4</w:t>
            </w:r>
          </w:p>
        </w:tc>
        <w:tc>
          <w:tcPr>
            <w:tcW w:w="2551" w:type="dxa"/>
            <w:vAlign w:val="center"/>
          </w:tcPr>
          <w:p w14:paraId="526279C1">
            <w:pPr>
              <w:pStyle w:val="11"/>
            </w:pPr>
            <w:r>
              <w:t>5</w:t>
            </w:r>
          </w:p>
        </w:tc>
      </w:tr>
      <w:tr w14:paraId="15DDF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90772">
            <w:pPr>
              <w:pStyle w:val="12"/>
            </w:pPr>
            <w:r>
              <w:t>1</w:t>
            </w:r>
          </w:p>
        </w:tc>
        <w:tc>
          <w:tcPr>
            <w:tcW w:w="1191" w:type="dxa"/>
            <w:vAlign w:val="center"/>
          </w:tcPr>
          <w:p w14:paraId="2E08C853">
            <w:pPr>
              <w:pStyle w:val="17"/>
            </w:pPr>
          </w:p>
        </w:tc>
        <w:tc>
          <w:tcPr>
            <w:tcW w:w="4535" w:type="dxa"/>
            <w:vAlign w:val="center"/>
          </w:tcPr>
          <w:p w14:paraId="31B2A91B">
            <w:pPr>
              <w:pStyle w:val="15"/>
            </w:pPr>
            <w:r>
              <w:t>合计</w:t>
            </w:r>
          </w:p>
        </w:tc>
        <w:tc>
          <w:tcPr>
            <w:tcW w:w="2551" w:type="dxa"/>
            <w:vAlign w:val="center"/>
          </w:tcPr>
          <w:p w14:paraId="5CB939BE">
            <w:pPr>
              <w:pStyle w:val="16"/>
            </w:pPr>
            <w:r>
              <w:t>965.88</w:t>
            </w:r>
          </w:p>
        </w:tc>
        <w:tc>
          <w:tcPr>
            <w:tcW w:w="2551" w:type="dxa"/>
            <w:vAlign w:val="center"/>
          </w:tcPr>
          <w:p w14:paraId="1CF2364D">
            <w:pPr>
              <w:pStyle w:val="16"/>
            </w:pPr>
            <w:r>
              <w:t>952.88</w:t>
            </w:r>
          </w:p>
        </w:tc>
        <w:tc>
          <w:tcPr>
            <w:tcW w:w="2551" w:type="dxa"/>
            <w:vAlign w:val="center"/>
          </w:tcPr>
          <w:p w14:paraId="688826EE">
            <w:pPr>
              <w:pStyle w:val="16"/>
            </w:pPr>
            <w:r>
              <w:t>13.00</w:t>
            </w:r>
          </w:p>
        </w:tc>
      </w:tr>
      <w:tr w14:paraId="17B14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1C4B0">
            <w:pPr>
              <w:pStyle w:val="12"/>
            </w:pPr>
            <w:r>
              <w:t>2</w:t>
            </w:r>
          </w:p>
        </w:tc>
        <w:tc>
          <w:tcPr>
            <w:tcW w:w="1191" w:type="dxa"/>
            <w:vAlign w:val="center"/>
          </w:tcPr>
          <w:p w14:paraId="4605AF54">
            <w:pPr>
              <w:pStyle w:val="13"/>
            </w:pPr>
            <w:r>
              <w:t>205</w:t>
            </w:r>
          </w:p>
        </w:tc>
        <w:tc>
          <w:tcPr>
            <w:tcW w:w="4535" w:type="dxa"/>
            <w:vAlign w:val="center"/>
          </w:tcPr>
          <w:p w14:paraId="451DFC76">
            <w:pPr>
              <w:pStyle w:val="13"/>
            </w:pPr>
            <w:r>
              <w:t>教育支出</w:t>
            </w:r>
          </w:p>
        </w:tc>
        <w:tc>
          <w:tcPr>
            <w:tcW w:w="2551" w:type="dxa"/>
            <w:vAlign w:val="center"/>
          </w:tcPr>
          <w:p w14:paraId="646939CF">
            <w:pPr>
              <w:pStyle w:val="14"/>
            </w:pPr>
            <w:r>
              <w:t>845.12</w:t>
            </w:r>
          </w:p>
        </w:tc>
        <w:tc>
          <w:tcPr>
            <w:tcW w:w="2551" w:type="dxa"/>
            <w:vAlign w:val="center"/>
          </w:tcPr>
          <w:p w14:paraId="4993838C">
            <w:pPr>
              <w:pStyle w:val="14"/>
            </w:pPr>
            <w:r>
              <w:t>832.12</w:t>
            </w:r>
          </w:p>
        </w:tc>
        <w:tc>
          <w:tcPr>
            <w:tcW w:w="2551" w:type="dxa"/>
            <w:vAlign w:val="center"/>
          </w:tcPr>
          <w:p w14:paraId="6BB0537F">
            <w:pPr>
              <w:pStyle w:val="14"/>
            </w:pPr>
            <w:r>
              <w:t>13.00</w:t>
            </w:r>
          </w:p>
        </w:tc>
      </w:tr>
      <w:tr w14:paraId="08A91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351BD">
            <w:pPr>
              <w:pStyle w:val="12"/>
            </w:pPr>
            <w:r>
              <w:t>3</w:t>
            </w:r>
          </w:p>
        </w:tc>
        <w:tc>
          <w:tcPr>
            <w:tcW w:w="1191" w:type="dxa"/>
            <w:vAlign w:val="center"/>
          </w:tcPr>
          <w:p w14:paraId="1BFBF1C0">
            <w:pPr>
              <w:pStyle w:val="13"/>
            </w:pPr>
            <w:r>
              <w:t>20502</w:t>
            </w:r>
          </w:p>
        </w:tc>
        <w:tc>
          <w:tcPr>
            <w:tcW w:w="4535" w:type="dxa"/>
            <w:vAlign w:val="center"/>
          </w:tcPr>
          <w:p w14:paraId="4A50FE48">
            <w:pPr>
              <w:pStyle w:val="13"/>
            </w:pPr>
            <w:r>
              <w:t>普通教育</w:t>
            </w:r>
          </w:p>
        </w:tc>
        <w:tc>
          <w:tcPr>
            <w:tcW w:w="2551" w:type="dxa"/>
            <w:vAlign w:val="center"/>
          </w:tcPr>
          <w:p w14:paraId="53AAEA95">
            <w:pPr>
              <w:pStyle w:val="14"/>
            </w:pPr>
            <w:r>
              <w:t>97.01</w:t>
            </w:r>
          </w:p>
        </w:tc>
        <w:tc>
          <w:tcPr>
            <w:tcW w:w="2551" w:type="dxa"/>
            <w:vAlign w:val="center"/>
          </w:tcPr>
          <w:p w14:paraId="54EA84A2">
            <w:pPr>
              <w:pStyle w:val="14"/>
            </w:pPr>
            <w:r>
              <w:t>97.01</w:t>
            </w:r>
          </w:p>
        </w:tc>
        <w:tc>
          <w:tcPr>
            <w:tcW w:w="2551" w:type="dxa"/>
            <w:vAlign w:val="center"/>
          </w:tcPr>
          <w:p w14:paraId="2AB520F5">
            <w:pPr>
              <w:pStyle w:val="14"/>
            </w:pPr>
          </w:p>
        </w:tc>
      </w:tr>
      <w:tr w14:paraId="356FF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E3C0B">
            <w:pPr>
              <w:pStyle w:val="12"/>
            </w:pPr>
            <w:r>
              <w:t>4</w:t>
            </w:r>
          </w:p>
        </w:tc>
        <w:tc>
          <w:tcPr>
            <w:tcW w:w="1191" w:type="dxa"/>
            <w:vAlign w:val="center"/>
          </w:tcPr>
          <w:p w14:paraId="3550A20D">
            <w:pPr>
              <w:pStyle w:val="13"/>
            </w:pPr>
            <w:r>
              <w:t>2050202</w:t>
            </w:r>
          </w:p>
        </w:tc>
        <w:tc>
          <w:tcPr>
            <w:tcW w:w="4535" w:type="dxa"/>
            <w:vAlign w:val="center"/>
          </w:tcPr>
          <w:p w14:paraId="6FA23532">
            <w:pPr>
              <w:pStyle w:val="13"/>
            </w:pPr>
            <w:r>
              <w:t>小学教育</w:t>
            </w:r>
          </w:p>
        </w:tc>
        <w:tc>
          <w:tcPr>
            <w:tcW w:w="2551" w:type="dxa"/>
            <w:vAlign w:val="center"/>
          </w:tcPr>
          <w:p w14:paraId="0C4AC404">
            <w:pPr>
              <w:pStyle w:val="14"/>
            </w:pPr>
            <w:r>
              <w:t>97.01</w:t>
            </w:r>
          </w:p>
        </w:tc>
        <w:tc>
          <w:tcPr>
            <w:tcW w:w="2551" w:type="dxa"/>
            <w:vAlign w:val="center"/>
          </w:tcPr>
          <w:p w14:paraId="1EC35423">
            <w:pPr>
              <w:pStyle w:val="14"/>
            </w:pPr>
            <w:r>
              <w:t>97.01</w:t>
            </w:r>
          </w:p>
        </w:tc>
        <w:tc>
          <w:tcPr>
            <w:tcW w:w="2551" w:type="dxa"/>
            <w:vAlign w:val="center"/>
          </w:tcPr>
          <w:p w14:paraId="56AC91F3">
            <w:pPr>
              <w:pStyle w:val="14"/>
            </w:pPr>
          </w:p>
        </w:tc>
      </w:tr>
      <w:tr w14:paraId="17A4F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49526">
            <w:pPr>
              <w:pStyle w:val="12"/>
            </w:pPr>
            <w:r>
              <w:t>5</w:t>
            </w:r>
          </w:p>
        </w:tc>
        <w:tc>
          <w:tcPr>
            <w:tcW w:w="1191" w:type="dxa"/>
            <w:vAlign w:val="center"/>
          </w:tcPr>
          <w:p w14:paraId="0F09D7ED">
            <w:pPr>
              <w:pStyle w:val="13"/>
            </w:pPr>
            <w:r>
              <w:t>20508</w:t>
            </w:r>
          </w:p>
        </w:tc>
        <w:tc>
          <w:tcPr>
            <w:tcW w:w="4535" w:type="dxa"/>
            <w:vAlign w:val="center"/>
          </w:tcPr>
          <w:p w14:paraId="0A28FC11">
            <w:pPr>
              <w:pStyle w:val="13"/>
            </w:pPr>
            <w:r>
              <w:t>进修及培训</w:t>
            </w:r>
          </w:p>
        </w:tc>
        <w:tc>
          <w:tcPr>
            <w:tcW w:w="2551" w:type="dxa"/>
            <w:vAlign w:val="center"/>
          </w:tcPr>
          <w:p w14:paraId="569BC89F">
            <w:pPr>
              <w:pStyle w:val="14"/>
            </w:pPr>
            <w:r>
              <w:t>748.11</w:t>
            </w:r>
          </w:p>
        </w:tc>
        <w:tc>
          <w:tcPr>
            <w:tcW w:w="2551" w:type="dxa"/>
            <w:vAlign w:val="center"/>
          </w:tcPr>
          <w:p w14:paraId="68393E34">
            <w:pPr>
              <w:pStyle w:val="14"/>
            </w:pPr>
            <w:r>
              <w:t>735.11</w:t>
            </w:r>
          </w:p>
        </w:tc>
        <w:tc>
          <w:tcPr>
            <w:tcW w:w="2551" w:type="dxa"/>
            <w:vAlign w:val="center"/>
          </w:tcPr>
          <w:p w14:paraId="777E3C15">
            <w:pPr>
              <w:pStyle w:val="14"/>
            </w:pPr>
            <w:r>
              <w:t>13.00</w:t>
            </w:r>
          </w:p>
        </w:tc>
      </w:tr>
      <w:tr w14:paraId="7A94C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E8AD9">
            <w:pPr>
              <w:pStyle w:val="12"/>
            </w:pPr>
            <w:r>
              <w:t>6</w:t>
            </w:r>
          </w:p>
        </w:tc>
        <w:tc>
          <w:tcPr>
            <w:tcW w:w="1191" w:type="dxa"/>
            <w:vAlign w:val="center"/>
          </w:tcPr>
          <w:p w14:paraId="63784A02">
            <w:pPr>
              <w:pStyle w:val="13"/>
            </w:pPr>
            <w:r>
              <w:t>2050801</w:t>
            </w:r>
          </w:p>
        </w:tc>
        <w:tc>
          <w:tcPr>
            <w:tcW w:w="4535" w:type="dxa"/>
            <w:vAlign w:val="center"/>
          </w:tcPr>
          <w:p w14:paraId="32E68A0D">
            <w:pPr>
              <w:pStyle w:val="13"/>
            </w:pPr>
            <w:r>
              <w:t>教师进修</w:t>
            </w:r>
          </w:p>
        </w:tc>
        <w:tc>
          <w:tcPr>
            <w:tcW w:w="2551" w:type="dxa"/>
            <w:vAlign w:val="center"/>
          </w:tcPr>
          <w:p w14:paraId="4541B257">
            <w:pPr>
              <w:pStyle w:val="14"/>
            </w:pPr>
            <w:r>
              <w:t>748.11</w:t>
            </w:r>
          </w:p>
        </w:tc>
        <w:tc>
          <w:tcPr>
            <w:tcW w:w="2551" w:type="dxa"/>
            <w:vAlign w:val="center"/>
          </w:tcPr>
          <w:p w14:paraId="50F509F8">
            <w:pPr>
              <w:pStyle w:val="14"/>
            </w:pPr>
            <w:r>
              <w:t>735.11</w:t>
            </w:r>
          </w:p>
        </w:tc>
        <w:tc>
          <w:tcPr>
            <w:tcW w:w="2551" w:type="dxa"/>
            <w:vAlign w:val="center"/>
          </w:tcPr>
          <w:p w14:paraId="1699728B">
            <w:pPr>
              <w:pStyle w:val="14"/>
            </w:pPr>
            <w:r>
              <w:t>13.00</w:t>
            </w:r>
          </w:p>
        </w:tc>
      </w:tr>
      <w:tr w14:paraId="0D3C9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40B9B">
            <w:pPr>
              <w:pStyle w:val="12"/>
            </w:pPr>
            <w:r>
              <w:t>7</w:t>
            </w:r>
          </w:p>
        </w:tc>
        <w:tc>
          <w:tcPr>
            <w:tcW w:w="1191" w:type="dxa"/>
            <w:vAlign w:val="center"/>
          </w:tcPr>
          <w:p w14:paraId="2C79ADCE">
            <w:pPr>
              <w:pStyle w:val="13"/>
            </w:pPr>
            <w:r>
              <w:t>208</w:t>
            </w:r>
          </w:p>
        </w:tc>
        <w:tc>
          <w:tcPr>
            <w:tcW w:w="4535" w:type="dxa"/>
            <w:vAlign w:val="center"/>
          </w:tcPr>
          <w:p w14:paraId="5B4F265B">
            <w:pPr>
              <w:pStyle w:val="13"/>
            </w:pPr>
            <w:r>
              <w:t>社会保障和就业支出</w:t>
            </w:r>
          </w:p>
        </w:tc>
        <w:tc>
          <w:tcPr>
            <w:tcW w:w="2551" w:type="dxa"/>
            <w:vAlign w:val="center"/>
          </w:tcPr>
          <w:p w14:paraId="4795CAC0">
            <w:pPr>
              <w:pStyle w:val="14"/>
            </w:pPr>
            <w:r>
              <w:t>83.12</w:t>
            </w:r>
          </w:p>
        </w:tc>
        <w:tc>
          <w:tcPr>
            <w:tcW w:w="2551" w:type="dxa"/>
            <w:vAlign w:val="center"/>
          </w:tcPr>
          <w:p w14:paraId="5D26D45D">
            <w:pPr>
              <w:pStyle w:val="14"/>
            </w:pPr>
            <w:r>
              <w:t>83.12</w:t>
            </w:r>
          </w:p>
        </w:tc>
        <w:tc>
          <w:tcPr>
            <w:tcW w:w="2551" w:type="dxa"/>
            <w:vAlign w:val="center"/>
          </w:tcPr>
          <w:p w14:paraId="4332FC31">
            <w:pPr>
              <w:pStyle w:val="14"/>
            </w:pPr>
          </w:p>
        </w:tc>
      </w:tr>
      <w:tr w14:paraId="0D8AE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8E028">
            <w:pPr>
              <w:pStyle w:val="12"/>
            </w:pPr>
            <w:r>
              <w:t>8</w:t>
            </w:r>
          </w:p>
        </w:tc>
        <w:tc>
          <w:tcPr>
            <w:tcW w:w="1191" w:type="dxa"/>
            <w:vAlign w:val="center"/>
          </w:tcPr>
          <w:p w14:paraId="3A00C02C">
            <w:pPr>
              <w:pStyle w:val="13"/>
            </w:pPr>
            <w:r>
              <w:t>20805</w:t>
            </w:r>
          </w:p>
        </w:tc>
        <w:tc>
          <w:tcPr>
            <w:tcW w:w="4535" w:type="dxa"/>
            <w:vAlign w:val="center"/>
          </w:tcPr>
          <w:p w14:paraId="19EAE10B">
            <w:pPr>
              <w:pStyle w:val="13"/>
            </w:pPr>
            <w:r>
              <w:t>行政事业单位养老支出</w:t>
            </w:r>
          </w:p>
        </w:tc>
        <w:tc>
          <w:tcPr>
            <w:tcW w:w="2551" w:type="dxa"/>
            <w:vAlign w:val="center"/>
          </w:tcPr>
          <w:p w14:paraId="4E5C5948">
            <w:pPr>
              <w:pStyle w:val="14"/>
            </w:pPr>
            <w:r>
              <w:t>83.12</w:t>
            </w:r>
          </w:p>
        </w:tc>
        <w:tc>
          <w:tcPr>
            <w:tcW w:w="2551" w:type="dxa"/>
            <w:vAlign w:val="center"/>
          </w:tcPr>
          <w:p w14:paraId="4F4BCAD9">
            <w:pPr>
              <w:pStyle w:val="14"/>
            </w:pPr>
            <w:r>
              <w:t>83.12</w:t>
            </w:r>
          </w:p>
        </w:tc>
        <w:tc>
          <w:tcPr>
            <w:tcW w:w="2551" w:type="dxa"/>
            <w:vAlign w:val="center"/>
          </w:tcPr>
          <w:p w14:paraId="7DE47A1A">
            <w:pPr>
              <w:pStyle w:val="14"/>
            </w:pPr>
          </w:p>
        </w:tc>
      </w:tr>
      <w:tr w14:paraId="05D6B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FAF5C">
            <w:pPr>
              <w:pStyle w:val="12"/>
            </w:pPr>
            <w:r>
              <w:t>9</w:t>
            </w:r>
          </w:p>
        </w:tc>
        <w:tc>
          <w:tcPr>
            <w:tcW w:w="1191" w:type="dxa"/>
            <w:vAlign w:val="center"/>
          </w:tcPr>
          <w:p w14:paraId="22F5C174">
            <w:pPr>
              <w:pStyle w:val="13"/>
            </w:pPr>
            <w:r>
              <w:t>2080505</w:t>
            </w:r>
          </w:p>
        </w:tc>
        <w:tc>
          <w:tcPr>
            <w:tcW w:w="4535" w:type="dxa"/>
            <w:vAlign w:val="center"/>
          </w:tcPr>
          <w:p w14:paraId="5C3F9433">
            <w:pPr>
              <w:pStyle w:val="13"/>
            </w:pPr>
            <w:r>
              <w:t>机关事业单位基本养老保险缴费支出</w:t>
            </w:r>
          </w:p>
        </w:tc>
        <w:tc>
          <w:tcPr>
            <w:tcW w:w="2551" w:type="dxa"/>
            <w:vAlign w:val="center"/>
          </w:tcPr>
          <w:p w14:paraId="7D796827">
            <w:pPr>
              <w:pStyle w:val="14"/>
            </w:pPr>
            <w:r>
              <w:t>83.12</w:t>
            </w:r>
          </w:p>
        </w:tc>
        <w:tc>
          <w:tcPr>
            <w:tcW w:w="2551" w:type="dxa"/>
            <w:vAlign w:val="center"/>
          </w:tcPr>
          <w:p w14:paraId="1F94F191">
            <w:pPr>
              <w:pStyle w:val="14"/>
            </w:pPr>
            <w:r>
              <w:t>83.12</w:t>
            </w:r>
          </w:p>
        </w:tc>
        <w:tc>
          <w:tcPr>
            <w:tcW w:w="2551" w:type="dxa"/>
            <w:vAlign w:val="center"/>
          </w:tcPr>
          <w:p w14:paraId="3260DB28">
            <w:pPr>
              <w:pStyle w:val="14"/>
            </w:pPr>
          </w:p>
        </w:tc>
      </w:tr>
      <w:tr w14:paraId="42954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20981">
            <w:pPr>
              <w:pStyle w:val="12"/>
            </w:pPr>
            <w:r>
              <w:t>10</w:t>
            </w:r>
          </w:p>
        </w:tc>
        <w:tc>
          <w:tcPr>
            <w:tcW w:w="1191" w:type="dxa"/>
            <w:vAlign w:val="center"/>
          </w:tcPr>
          <w:p w14:paraId="64731088">
            <w:pPr>
              <w:pStyle w:val="13"/>
            </w:pPr>
            <w:r>
              <w:t>210</w:t>
            </w:r>
          </w:p>
        </w:tc>
        <w:tc>
          <w:tcPr>
            <w:tcW w:w="4535" w:type="dxa"/>
            <w:vAlign w:val="center"/>
          </w:tcPr>
          <w:p w14:paraId="516065B9">
            <w:pPr>
              <w:pStyle w:val="13"/>
            </w:pPr>
            <w:r>
              <w:t>卫生健康支出</w:t>
            </w:r>
          </w:p>
        </w:tc>
        <w:tc>
          <w:tcPr>
            <w:tcW w:w="2551" w:type="dxa"/>
            <w:vAlign w:val="center"/>
          </w:tcPr>
          <w:p w14:paraId="34B3DC38">
            <w:pPr>
              <w:pStyle w:val="14"/>
            </w:pPr>
            <w:r>
              <w:t>37.64</w:t>
            </w:r>
          </w:p>
        </w:tc>
        <w:tc>
          <w:tcPr>
            <w:tcW w:w="2551" w:type="dxa"/>
            <w:vAlign w:val="center"/>
          </w:tcPr>
          <w:p w14:paraId="76BE9687">
            <w:pPr>
              <w:pStyle w:val="14"/>
            </w:pPr>
            <w:r>
              <w:t>37.64</w:t>
            </w:r>
          </w:p>
        </w:tc>
        <w:tc>
          <w:tcPr>
            <w:tcW w:w="2551" w:type="dxa"/>
            <w:vAlign w:val="center"/>
          </w:tcPr>
          <w:p w14:paraId="051606DD">
            <w:pPr>
              <w:pStyle w:val="14"/>
            </w:pPr>
          </w:p>
        </w:tc>
      </w:tr>
      <w:tr w14:paraId="753FF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7740A">
            <w:pPr>
              <w:pStyle w:val="12"/>
            </w:pPr>
            <w:r>
              <w:t>11</w:t>
            </w:r>
          </w:p>
        </w:tc>
        <w:tc>
          <w:tcPr>
            <w:tcW w:w="1191" w:type="dxa"/>
            <w:vAlign w:val="center"/>
          </w:tcPr>
          <w:p w14:paraId="4A996BE7">
            <w:pPr>
              <w:pStyle w:val="13"/>
            </w:pPr>
            <w:r>
              <w:t>21011</w:t>
            </w:r>
          </w:p>
        </w:tc>
        <w:tc>
          <w:tcPr>
            <w:tcW w:w="4535" w:type="dxa"/>
            <w:vAlign w:val="center"/>
          </w:tcPr>
          <w:p w14:paraId="2A40C682">
            <w:pPr>
              <w:pStyle w:val="13"/>
            </w:pPr>
            <w:r>
              <w:t>行政事业单位医疗</w:t>
            </w:r>
          </w:p>
        </w:tc>
        <w:tc>
          <w:tcPr>
            <w:tcW w:w="2551" w:type="dxa"/>
            <w:vAlign w:val="center"/>
          </w:tcPr>
          <w:p w14:paraId="7C930042">
            <w:pPr>
              <w:pStyle w:val="14"/>
            </w:pPr>
            <w:r>
              <w:t>37.64</w:t>
            </w:r>
          </w:p>
        </w:tc>
        <w:tc>
          <w:tcPr>
            <w:tcW w:w="2551" w:type="dxa"/>
            <w:vAlign w:val="center"/>
          </w:tcPr>
          <w:p w14:paraId="059C4E59">
            <w:pPr>
              <w:pStyle w:val="14"/>
            </w:pPr>
            <w:r>
              <w:t>37.64</w:t>
            </w:r>
          </w:p>
        </w:tc>
        <w:tc>
          <w:tcPr>
            <w:tcW w:w="2551" w:type="dxa"/>
            <w:vAlign w:val="center"/>
          </w:tcPr>
          <w:p w14:paraId="521741A0">
            <w:pPr>
              <w:pStyle w:val="14"/>
            </w:pPr>
          </w:p>
        </w:tc>
      </w:tr>
      <w:tr w14:paraId="63A04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192DB">
            <w:pPr>
              <w:pStyle w:val="12"/>
            </w:pPr>
            <w:r>
              <w:t>12</w:t>
            </w:r>
          </w:p>
        </w:tc>
        <w:tc>
          <w:tcPr>
            <w:tcW w:w="1191" w:type="dxa"/>
            <w:vAlign w:val="center"/>
          </w:tcPr>
          <w:p w14:paraId="5515AD34">
            <w:pPr>
              <w:pStyle w:val="13"/>
            </w:pPr>
            <w:r>
              <w:t>2101102</w:t>
            </w:r>
          </w:p>
        </w:tc>
        <w:tc>
          <w:tcPr>
            <w:tcW w:w="4535" w:type="dxa"/>
            <w:vAlign w:val="center"/>
          </w:tcPr>
          <w:p w14:paraId="7DBD23B8">
            <w:pPr>
              <w:pStyle w:val="13"/>
            </w:pPr>
            <w:r>
              <w:t>事业单位医疗</w:t>
            </w:r>
          </w:p>
        </w:tc>
        <w:tc>
          <w:tcPr>
            <w:tcW w:w="2551" w:type="dxa"/>
            <w:vAlign w:val="center"/>
          </w:tcPr>
          <w:p w14:paraId="3E168E9D">
            <w:pPr>
              <w:pStyle w:val="14"/>
            </w:pPr>
            <w:r>
              <w:t>37.64</w:t>
            </w:r>
          </w:p>
        </w:tc>
        <w:tc>
          <w:tcPr>
            <w:tcW w:w="2551" w:type="dxa"/>
            <w:vAlign w:val="center"/>
          </w:tcPr>
          <w:p w14:paraId="4AEE93F5">
            <w:pPr>
              <w:pStyle w:val="14"/>
            </w:pPr>
            <w:r>
              <w:t>37.64</w:t>
            </w:r>
          </w:p>
        </w:tc>
        <w:tc>
          <w:tcPr>
            <w:tcW w:w="2551" w:type="dxa"/>
            <w:vAlign w:val="center"/>
          </w:tcPr>
          <w:p w14:paraId="63BB3519">
            <w:pPr>
              <w:pStyle w:val="14"/>
            </w:pPr>
          </w:p>
        </w:tc>
      </w:tr>
    </w:tbl>
    <w:p w14:paraId="234B38EC">
      <w:pPr>
        <w:sectPr>
          <w:pgSz w:w="16840" w:h="11900" w:orient="landscape"/>
          <w:pgMar w:top="1361" w:right="1020" w:bottom="1134" w:left="1020" w:header="720" w:footer="720" w:gutter="0"/>
          <w:cols w:space="720" w:num="1"/>
        </w:sectPr>
      </w:pPr>
    </w:p>
    <w:p w14:paraId="4FA9DB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61A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F1817D">
            <w:pPr>
              <w:pStyle w:val="8"/>
            </w:pPr>
            <w:r>
              <w:t>360028隆尧县教师发展中心</w:t>
            </w:r>
          </w:p>
        </w:tc>
        <w:tc>
          <w:tcPr>
            <w:tcW w:w="2551" w:type="dxa"/>
            <w:tcBorders>
              <w:top w:val="single" w:color="FFFFFF" w:sz="6" w:space="0"/>
              <w:left w:val="single" w:color="FFFFFF" w:sz="6" w:space="0"/>
              <w:right w:val="single" w:color="FFFFFF" w:sz="6" w:space="0"/>
            </w:tcBorders>
            <w:vAlign w:val="center"/>
          </w:tcPr>
          <w:p w14:paraId="05696F9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878516F">
            <w:pPr>
              <w:pStyle w:val="10"/>
            </w:pPr>
            <w:r>
              <w:t>单位：万元</w:t>
            </w:r>
          </w:p>
        </w:tc>
      </w:tr>
      <w:tr w14:paraId="7A635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42406">
            <w:pPr>
              <w:pStyle w:val="11"/>
            </w:pPr>
            <w:r>
              <w:t>序号</w:t>
            </w:r>
          </w:p>
        </w:tc>
        <w:tc>
          <w:tcPr>
            <w:tcW w:w="5726" w:type="dxa"/>
            <w:gridSpan w:val="2"/>
            <w:vAlign w:val="center"/>
          </w:tcPr>
          <w:p w14:paraId="6DE555DD">
            <w:pPr>
              <w:pStyle w:val="11"/>
            </w:pPr>
            <w:r>
              <w:t>支出部门经济分类科目</w:t>
            </w:r>
          </w:p>
        </w:tc>
        <w:tc>
          <w:tcPr>
            <w:tcW w:w="7653" w:type="dxa"/>
            <w:gridSpan w:val="3"/>
            <w:vAlign w:val="center"/>
          </w:tcPr>
          <w:p w14:paraId="14ACA246">
            <w:pPr>
              <w:pStyle w:val="11"/>
            </w:pPr>
            <w:r>
              <w:t>一般公共预算基本支出</w:t>
            </w:r>
          </w:p>
        </w:tc>
      </w:tr>
      <w:tr w14:paraId="0DF9F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FAFC2F"/>
        </w:tc>
        <w:tc>
          <w:tcPr>
            <w:tcW w:w="1191" w:type="dxa"/>
            <w:vAlign w:val="center"/>
          </w:tcPr>
          <w:p w14:paraId="5250DD93">
            <w:pPr>
              <w:pStyle w:val="11"/>
            </w:pPr>
            <w:r>
              <w:t>科目编码</w:t>
            </w:r>
          </w:p>
        </w:tc>
        <w:tc>
          <w:tcPr>
            <w:tcW w:w="4535" w:type="dxa"/>
            <w:vAlign w:val="center"/>
          </w:tcPr>
          <w:p w14:paraId="5F10CB00">
            <w:pPr>
              <w:pStyle w:val="11"/>
            </w:pPr>
            <w:r>
              <w:t>科目名称</w:t>
            </w:r>
          </w:p>
        </w:tc>
        <w:tc>
          <w:tcPr>
            <w:tcW w:w="2551" w:type="dxa"/>
            <w:vAlign w:val="center"/>
          </w:tcPr>
          <w:p w14:paraId="7CA31597">
            <w:pPr>
              <w:pStyle w:val="11"/>
            </w:pPr>
            <w:r>
              <w:t>合计</w:t>
            </w:r>
          </w:p>
        </w:tc>
        <w:tc>
          <w:tcPr>
            <w:tcW w:w="2551" w:type="dxa"/>
            <w:vAlign w:val="center"/>
          </w:tcPr>
          <w:p w14:paraId="2F477280">
            <w:pPr>
              <w:pStyle w:val="11"/>
            </w:pPr>
            <w:r>
              <w:t>人员经费</w:t>
            </w:r>
          </w:p>
        </w:tc>
        <w:tc>
          <w:tcPr>
            <w:tcW w:w="2551" w:type="dxa"/>
            <w:vAlign w:val="center"/>
          </w:tcPr>
          <w:p w14:paraId="158E242D">
            <w:pPr>
              <w:pStyle w:val="11"/>
            </w:pPr>
            <w:r>
              <w:t>公用经费</w:t>
            </w:r>
          </w:p>
        </w:tc>
      </w:tr>
      <w:tr w14:paraId="61033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2BC28">
            <w:pPr>
              <w:pStyle w:val="11"/>
            </w:pPr>
            <w:r>
              <w:t>栏次</w:t>
            </w:r>
          </w:p>
        </w:tc>
        <w:tc>
          <w:tcPr>
            <w:tcW w:w="1191" w:type="dxa"/>
            <w:vAlign w:val="center"/>
          </w:tcPr>
          <w:p w14:paraId="6E0C2846">
            <w:pPr>
              <w:pStyle w:val="11"/>
            </w:pPr>
            <w:r>
              <w:t>1</w:t>
            </w:r>
          </w:p>
        </w:tc>
        <w:tc>
          <w:tcPr>
            <w:tcW w:w="4535" w:type="dxa"/>
            <w:vAlign w:val="center"/>
          </w:tcPr>
          <w:p w14:paraId="259A6271">
            <w:pPr>
              <w:pStyle w:val="11"/>
            </w:pPr>
            <w:r>
              <w:t>2</w:t>
            </w:r>
          </w:p>
        </w:tc>
        <w:tc>
          <w:tcPr>
            <w:tcW w:w="2551" w:type="dxa"/>
            <w:vAlign w:val="center"/>
          </w:tcPr>
          <w:p w14:paraId="7995202B">
            <w:pPr>
              <w:pStyle w:val="11"/>
            </w:pPr>
            <w:r>
              <w:t>3</w:t>
            </w:r>
          </w:p>
        </w:tc>
        <w:tc>
          <w:tcPr>
            <w:tcW w:w="2551" w:type="dxa"/>
            <w:vAlign w:val="center"/>
          </w:tcPr>
          <w:p w14:paraId="39955919">
            <w:pPr>
              <w:pStyle w:val="11"/>
            </w:pPr>
            <w:r>
              <w:t>4</w:t>
            </w:r>
          </w:p>
        </w:tc>
        <w:tc>
          <w:tcPr>
            <w:tcW w:w="2551" w:type="dxa"/>
            <w:vAlign w:val="center"/>
          </w:tcPr>
          <w:p w14:paraId="223434A7">
            <w:pPr>
              <w:pStyle w:val="11"/>
            </w:pPr>
            <w:r>
              <w:t>5</w:t>
            </w:r>
          </w:p>
        </w:tc>
      </w:tr>
      <w:tr w14:paraId="2EF61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0CD49">
            <w:pPr>
              <w:pStyle w:val="12"/>
            </w:pPr>
            <w:r>
              <w:t>1</w:t>
            </w:r>
          </w:p>
        </w:tc>
        <w:tc>
          <w:tcPr>
            <w:tcW w:w="1191" w:type="dxa"/>
            <w:vAlign w:val="center"/>
          </w:tcPr>
          <w:p w14:paraId="7934E14B">
            <w:pPr>
              <w:pStyle w:val="17"/>
            </w:pPr>
          </w:p>
        </w:tc>
        <w:tc>
          <w:tcPr>
            <w:tcW w:w="4535" w:type="dxa"/>
            <w:vAlign w:val="center"/>
          </w:tcPr>
          <w:p w14:paraId="5DA678C8">
            <w:pPr>
              <w:pStyle w:val="15"/>
            </w:pPr>
            <w:r>
              <w:t>合计</w:t>
            </w:r>
          </w:p>
        </w:tc>
        <w:tc>
          <w:tcPr>
            <w:tcW w:w="2551" w:type="dxa"/>
            <w:vAlign w:val="center"/>
          </w:tcPr>
          <w:p w14:paraId="02172218">
            <w:pPr>
              <w:pStyle w:val="16"/>
            </w:pPr>
            <w:r>
              <w:t>952.88</w:t>
            </w:r>
          </w:p>
        </w:tc>
        <w:tc>
          <w:tcPr>
            <w:tcW w:w="2551" w:type="dxa"/>
            <w:vAlign w:val="center"/>
          </w:tcPr>
          <w:p w14:paraId="3B1ACE3D">
            <w:pPr>
              <w:pStyle w:val="16"/>
            </w:pPr>
            <w:r>
              <w:t>938.88</w:t>
            </w:r>
          </w:p>
        </w:tc>
        <w:tc>
          <w:tcPr>
            <w:tcW w:w="2551" w:type="dxa"/>
            <w:vAlign w:val="center"/>
          </w:tcPr>
          <w:p w14:paraId="69100AA4">
            <w:pPr>
              <w:pStyle w:val="16"/>
            </w:pPr>
            <w:r>
              <w:t>14.00</w:t>
            </w:r>
          </w:p>
        </w:tc>
      </w:tr>
      <w:tr w14:paraId="1CACB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A28AD">
            <w:pPr>
              <w:pStyle w:val="12"/>
            </w:pPr>
            <w:r>
              <w:t>2</w:t>
            </w:r>
          </w:p>
        </w:tc>
        <w:tc>
          <w:tcPr>
            <w:tcW w:w="1191" w:type="dxa"/>
            <w:vAlign w:val="center"/>
          </w:tcPr>
          <w:p w14:paraId="0154368B">
            <w:pPr>
              <w:pStyle w:val="13"/>
            </w:pPr>
            <w:r>
              <w:t>301</w:t>
            </w:r>
          </w:p>
        </w:tc>
        <w:tc>
          <w:tcPr>
            <w:tcW w:w="4535" w:type="dxa"/>
            <w:vAlign w:val="center"/>
          </w:tcPr>
          <w:p w14:paraId="3C2807D0">
            <w:pPr>
              <w:pStyle w:val="13"/>
            </w:pPr>
            <w:r>
              <w:t>工资福利支出</w:t>
            </w:r>
          </w:p>
        </w:tc>
        <w:tc>
          <w:tcPr>
            <w:tcW w:w="2551" w:type="dxa"/>
            <w:vAlign w:val="center"/>
          </w:tcPr>
          <w:p w14:paraId="052E5ABD">
            <w:pPr>
              <w:pStyle w:val="14"/>
            </w:pPr>
            <w:r>
              <w:t>900.15</w:t>
            </w:r>
          </w:p>
        </w:tc>
        <w:tc>
          <w:tcPr>
            <w:tcW w:w="2551" w:type="dxa"/>
            <w:vAlign w:val="center"/>
          </w:tcPr>
          <w:p w14:paraId="69751AE6">
            <w:pPr>
              <w:pStyle w:val="14"/>
            </w:pPr>
            <w:r>
              <w:t>900.15</w:t>
            </w:r>
          </w:p>
        </w:tc>
        <w:tc>
          <w:tcPr>
            <w:tcW w:w="2551" w:type="dxa"/>
            <w:vAlign w:val="center"/>
          </w:tcPr>
          <w:p w14:paraId="4343628C">
            <w:pPr>
              <w:pStyle w:val="14"/>
            </w:pPr>
          </w:p>
        </w:tc>
      </w:tr>
      <w:tr w14:paraId="22193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6C772">
            <w:pPr>
              <w:pStyle w:val="12"/>
            </w:pPr>
            <w:r>
              <w:t>3</w:t>
            </w:r>
          </w:p>
        </w:tc>
        <w:tc>
          <w:tcPr>
            <w:tcW w:w="1191" w:type="dxa"/>
            <w:vAlign w:val="center"/>
          </w:tcPr>
          <w:p w14:paraId="418CC57E">
            <w:pPr>
              <w:pStyle w:val="13"/>
            </w:pPr>
            <w:r>
              <w:t>30101</w:t>
            </w:r>
          </w:p>
        </w:tc>
        <w:tc>
          <w:tcPr>
            <w:tcW w:w="4535" w:type="dxa"/>
            <w:vAlign w:val="center"/>
          </w:tcPr>
          <w:p w14:paraId="4B52B3E8">
            <w:pPr>
              <w:pStyle w:val="13"/>
            </w:pPr>
            <w:r>
              <w:t>基本工资</w:t>
            </w:r>
          </w:p>
        </w:tc>
        <w:tc>
          <w:tcPr>
            <w:tcW w:w="2551" w:type="dxa"/>
            <w:vAlign w:val="center"/>
          </w:tcPr>
          <w:p w14:paraId="4D6E5B6A">
            <w:pPr>
              <w:pStyle w:val="14"/>
            </w:pPr>
            <w:r>
              <w:t>438.49</w:t>
            </w:r>
          </w:p>
        </w:tc>
        <w:tc>
          <w:tcPr>
            <w:tcW w:w="2551" w:type="dxa"/>
            <w:vAlign w:val="center"/>
          </w:tcPr>
          <w:p w14:paraId="74E888D2">
            <w:pPr>
              <w:pStyle w:val="14"/>
            </w:pPr>
            <w:r>
              <w:t>438.49</w:t>
            </w:r>
          </w:p>
        </w:tc>
        <w:tc>
          <w:tcPr>
            <w:tcW w:w="2551" w:type="dxa"/>
            <w:vAlign w:val="center"/>
          </w:tcPr>
          <w:p w14:paraId="5084C017">
            <w:pPr>
              <w:pStyle w:val="14"/>
            </w:pPr>
          </w:p>
        </w:tc>
      </w:tr>
      <w:tr w14:paraId="7FFF4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AB6BF">
            <w:pPr>
              <w:pStyle w:val="12"/>
            </w:pPr>
            <w:r>
              <w:t>4</w:t>
            </w:r>
          </w:p>
        </w:tc>
        <w:tc>
          <w:tcPr>
            <w:tcW w:w="1191" w:type="dxa"/>
            <w:vAlign w:val="center"/>
          </w:tcPr>
          <w:p w14:paraId="180D3A90">
            <w:pPr>
              <w:pStyle w:val="13"/>
            </w:pPr>
            <w:r>
              <w:t>30102</w:t>
            </w:r>
          </w:p>
        </w:tc>
        <w:tc>
          <w:tcPr>
            <w:tcW w:w="4535" w:type="dxa"/>
            <w:vAlign w:val="center"/>
          </w:tcPr>
          <w:p w14:paraId="034EB19A">
            <w:pPr>
              <w:pStyle w:val="13"/>
            </w:pPr>
            <w:r>
              <w:t>津贴补贴</w:t>
            </w:r>
          </w:p>
        </w:tc>
        <w:tc>
          <w:tcPr>
            <w:tcW w:w="2551" w:type="dxa"/>
            <w:vAlign w:val="center"/>
          </w:tcPr>
          <w:p w14:paraId="41352BF1">
            <w:pPr>
              <w:pStyle w:val="14"/>
            </w:pPr>
            <w:r>
              <w:t>10.66</w:t>
            </w:r>
          </w:p>
        </w:tc>
        <w:tc>
          <w:tcPr>
            <w:tcW w:w="2551" w:type="dxa"/>
            <w:vAlign w:val="center"/>
          </w:tcPr>
          <w:p w14:paraId="08775882">
            <w:pPr>
              <w:pStyle w:val="14"/>
            </w:pPr>
            <w:r>
              <w:t>10.66</w:t>
            </w:r>
          </w:p>
        </w:tc>
        <w:tc>
          <w:tcPr>
            <w:tcW w:w="2551" w:type="dxa"/>
            <w:vAlign w:val="center"/>
          </w:tcPr>
          <w:p w14:paraId="21FD2141">
            <w:pPr>
              <w:pStyle w:val="14"/>
            </w:pPr>
          </w:p>
        </w:tc>
      </w:tr>
      <w:tr w14:paraId="3DCA0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EF8E3">
            <w:pPr>
              <w:pStyle w:val="12"/>
            </w:pPr>
            <w:r>
              <w:t>5</w:t>
            </w:r>
          </w:p>
        </w:tc>
        <w:tc>
          <w:tcPr>
            <w:tcW w:w="1191" w:type="dxa"/>
            <w:vAlign w:val="center"/>
          </w:tcPr>
          <w:p w14:paraId="46E54693">
            <w:pPr>
              <w:pStyle w:val="13"/>
            </w:pPr>
            <w:r>
              <w:t>30103</w:t>
            </w:r>
          </w:p>
        </w:tc>
        <w:tc>
          <w:tcPr>
            <w:tcW w:w="4535" w:type="dxa"/>
            <w:vAlign w:val="center"/>
          </w:tcPr>
          <w:p w14:paraId="27A153EA">
            <w:pPr>
              <w:pStyle w:val="13"/>
            </w:pPr>
            <w:r>
              <w:t>奖金</w:t>
            </w:r>
          </w:p>
        </w:tc>
        <w:tc>
          <w:tcPr>
            <w:tcW w:w="2551" w:type="dxa"/>
            <w:vAlign w:val="center"/>
          </w:tcPr>
          <w:p w14:paraId="31656FF3">
            <w:pPr>
              <w:pStyle w:val="14"/>
            </w:pPr>
            <w:r>
              <w:t>30.24</w:t>
            </w:r>
          </w:p>
        </w:tc>
        <w:tc>
          <w:tcPr>
            <w:tcW w:w="2551" w:type="dxa"/>
            <w:vAlign w:val="center"/>
          </w:tcPr>
          <w:p w14:paraId="731257C3">
            <w:pPr>
              <w:pStyle w:val="14"/>
            </w:pPr>
            <w:r>
              <w:t>30.24</w:t>
            </w:r>
          </w:p>
        </w:tc>
        <w:tc>
          <w:tcPr>
            <w:tcW w:w="2551" w:type="dxa"/>
            <w:vAlign w:val="center"/>
          </w:tcPr>
          <w:p w14:paraId="347C74A6">
            <w:pPr>
              <w:pStyle w:val="14"/>
            </w:pPr>
          </w:p>
        </w:tc>
      </w:tr>
      <w:tr w14:paraId="279F3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8FFF6">
            <w:pPr>
              <w:pStyle w:val="12"/>
            </w:pPr>
            <w:r>
              <w:t>6</w:t>
            </w:r>
          </w:p>
        </w:tc>
        <w:tc>
          <w:tcPr>
            <w:tcW w:w="1191" w:type="dxa"/>
            <w:vAlign w:val="center"/>
          </w:tcPr>
          <w:p w14:paraId="318CC32B">
            <w:pPr>
              <w:pStyle w:val="13"/>
            </w:pPr>
            <w:r>
              <w:t>30107</w:t>
            </w:r>
          </w:p>
        </w:tc>
        <w:tc>
          <w:tcPr>
            <w:tcW w:w="4535" w:type="dxa"/>
            <w:vAlign w:val="center"/>
          </w:tcPr>
          <w:p w14:paraId="40E97611">
            <w:pPr>
              <w:pStyle w:val="13"/>
            </w:pPr>
            <w:r>
              <w:t>绩效工资</w:t>
            </w:r>
          </w:p>
        </w:tc>
        <w:tc>
          <w:tcPr>
            <w:tcW w:w="2551" w:type="dxa"/>
            <w:vAlign w:val="center"/>
          </w:tcPr>
          <w:p w14:paraId="6F38993C">
            <w:pPr>
              <w:pStyle w:val="14"/>
            </w:pPr>
            <w:r>
              <w:t>200.63</w:t>
            </w:r>
          </w:p>
        </w:tc>
        <w:tc>
          <w:tcPr>
            <w:tcW w:w="2551" w:type="dxa"/>
            <w:vAlign w:val="center"/>
          </w:tcPr>
          <w:p w14:paraId="337CAFAF">
            <w:pPr>
              <w:pStyle w:val="14"/>
            </w:pPr>
            <w:r>
              <w:t>200.63</w:t>
            </w:r>
          </w:p>
        </w:tc>
        <w:tc>
          <w:tcPr>
            <w:tcW w:w="2551" w:type="dxa"/>
            <w:vAlign w:val="center"/>
          </w:tcPr>
          <w:p w14:paraId="75CC31B7">
            <w:pPr>
              <w:pStyle w:val="14"/>
            </w:pPr>
          </w:p>
        </w:tc>
      </w:tr>
      <w:tr w14:paraId="41A52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D690D">
            <w:pPr>
              <w:pStyle w:val="12"/>
            </w:pPr>
            <w:r>
              <w:t>7</w:t>
            </w:r>
          </w:p>
        </w:tc>
        <w:tc>
          <w:tcPr>
            <w:tcW w:w="1191" w:type="dxa"/>
            <w:vAlign w:val="center"/>
          </w:tcPr>
          <w:p w14:paraId="3F9A83A8">
            <w:pPr>
              <w:pStyle w:val="13"/>
            </w:pPr>
            <w:r>
              <w:t>30108</w:t>
            </w:r>
          </w:p>
        </w:tc>
        <w:tc>
          <w:tcPr>
            <w:tcW w:w="4535" w:type="dxa"/>
            <w:vAlign w:val="center"/>
          </w:tcPr>
          <w:p w14:paraId="18662810">
            <w:pPr>
              <w:pStyle w:val="13"/>
            </w:pPr>
            <w:r>
              <w:t>机关事业单位基本养老保险缴费</w:t>
            </w:r>
          </w:p>
        </w:tc>
        <w:tc>
          <w:tcPr>
            <w:tcW w:w="2551" w:type="dxa"/>
            <w:vAlign w:val="center"/>
          </w:tcPr>
          <w:p w14:paraId="022F7314">
            <w:pPr>
              <w:pStyle w:val="14"/>
            </w:pPr>
            <w:r>
              <w:t>83.12</w:t>
            </w:r>
          </w:p>
        </w:tc>
        <w:tc>
          <w:tcPr>
            <w:tcW w:w="2551" w:type="dxa"/>
            <w:vAlign w:val="center"/>
          </w:tcPr>
          <w:p w14:paraId="3C52F4A7">
            <w:pPr>
              <w:pStyle w:val="14"/>
            </w:pPr>
            <w:r>
              <w:t>83.12</w:t>
            </w:r>
          </w:p>
        </w:tc>
        <w:tc>
          <w:tcPr>
            <w:tcW w:w="2551" w:type="dxa"/>
            <w:vAlign w:val="center"/>
          </w:tcPr>
          <w:p w14:paraId="3A66D6CC">
            <w:pPr>
              <w:pStyle w:val="14"/>
            </w:pPr>
          </w:p>
        </w:tc>
      </w:tr>
      <w:tr w14:paraId="5DDC6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7E365">
            <w:pPr>
              <w:pStyle w:val="12"/>
            </w:pPr>
            <w:r>
              <w:t>8</w:t>
            </w:r>
          </w:p>
        </w:tc>
        <w:tc>
          <w:tcPr>
            <w:tcW w:w="1191" w:type="dxa"/>
            <w:vAlign w:val="center"/>
          </w:tcPr>
          <w:p w14:paraId="16349996">
            <w:pPr>
              <w:pStyle w:val="13"/>
            </w:pPr>
            <w:r>
              <w:t>30110</w:t>
            </w:r>
          </w:p>
        </w:tc>
        <w:tc>
          <w:tcPr>
            <w:tcW w:w="4535" w:type="dxa"/>
            <w:vAlign w:val="center"/>
          </w:tcPr>
          <w:p w14:paraId="1A842895">
            <w:pPr>
              <w:pStyle w:val="13"/>
            </w:pPr>
            <w:r>
              <w:t>职工基本医疗保险缴费</w:t>
            </w:r>
          </w:p>
        </w:tc>
        <w:tc>
          <w:tcPr>
            <w:tcW w:w="2551" w:type="dxa"/>
            <w:vAlign w:val="center"/>
          </w:tcPr>
          <w:p w14:paraId="2468382F">
            <w:pPr>
              <w:pStyle w:val="14"/>
            </w:pPr>
            <w:r>
              <w:t>37.64</w:t>
            </w:r>
          </w:p>
        </w:tc>
        <w:tc>
          <w:tcPr>
            <w:tcW w:w="2551" w:type="dxa"/>
            <w:vAlign w:val="center"/>
          </w:tcPr>
          <w:p w14:paraId="5912AAF7">
            <w:pPr>
              <w:pStyle w:val="14"/>
            </w:pPr>
            <w:r>
              <w:t>37.64</w:t>
            </w:r>
          </w:p>
        </w:tc>
        <w:tc>
          <w:tcPr>
            <w:tcW w:w="2551" w:type="dxa"/>
            <w:vAlign w:val="center"/>
          </w:tcPr>
          <w:p w14:paraId="57B42504">
            <w:pPr>
              <w:pStyle w:val="14"/>
            </w:pPr>
          </w:p>
        </w:tc>
      </w:tr>
      <w:tr w14:paraId="0FA5A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25832">
            <w:pPr>
              <w:pStyle w:val="12"/>
            </w:pPr>
            <w:r>
              <w:t>9</w:t>
            </w:r>
          </w:p>
        </w:tc>
        <w:tc>
          <w:tcPr>
            <w:tcW w:w="1191" w:type="dxa"/>
            <w:vAlign w:val="center"/>
          </w:tcPr>
          <w:p w14:paraId="3AC4562E">
            <w:pPr>
              <w:pStyle w:val="13"/>
            </w:pPr>
            <w:r>
              <w:t>30112</w:t>
            </w:r>
          </w:p>
        </w:tc>
        <w:tc>
          <w:tcPr>
            <w:tcW w:w="4535" w:type="dxa"/>
            <w:vAlign w:val="center"/>
          </w:tcPr>
          <w:p w14:paraId="10EE94C0">
            <w:pPr>
              <w:pStyle w:val="13"/>
            </w:pPr>
            <w:r>
              <w:t>其他社会保障缴费</w:t>
            </w:r>
          </w:p>
        </w:tc>
        <w:tc>
          <w:tcPr>
            <w:tcW w:w="2551" w:type="dxa"/>
            <w:vAlign w:val="center"/>
          </w:tcPr>
          <w:p w14:paraId="199EB163">
            <w:pPr>
              <w:pStyle w:val="14"/>
            </w:pPr>
            <w:r>
              <w:t>2.36</w:t>
            </w:r>
          </w:p>
        </w:tc>
        <w:tc>
          <w:tcPr>
            <w:tcW w:w="2551" w:type="dxa"/>
            <w:vAlign w:val="center"/>
          </w:tcPr>
          <w:p w14:paraId="31986C66">
            <w:pPr>
              <w:pStyle w:val="14"/>
            </w:pPr>
            <w:r>
              <w:t>2.36</w:t>
            </w:r>
          </w:p>
        </w:tc>
        <w:tc>
          <w:tcPr>
            <w:tcW w:w="2551" w:type="dxa"/>
            <w:vAlign w:val="center"/>
          </w:tcPr>
          <w:p w14:paraId="2491288A">
            <w:pPr>
              <w:pStyle w:val="14"/>
            </w:pPr>
          </w:p>
        </w:tc>
      </w:tr>
      <w:tr w14:paraId="43DF3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4DC63">
            <w:pPr>
              <w:pStyle w:val="12"/>
            </w:pPr>
            <w:r>
              <w:t>10</w:t>
            </w:r>
          </w:p>
        </w:tc>
        <w:tc>
          <w:tcPr>
            <w:tcW w:w="1191" w:type="dxa"/>
            <w:vAlign w:val="center"/>
          </w:tcPr>
          <w:p w14:paraId="13DC62C3">
            <w:pPr>
              <w:pStyle w:val="13"/>
            </w:pPr>
            <w:r>
              <w:t>30113</w:t>
            </w:r>
          </w:p>
        </w:tc>
        <w:tc>
          <w:tcPr>
            <w:tcW w:w="4535" w:type="dxa"/>
            <w:vAlign w:val="center"/>
          </w:tcPr>
          <w:p w14:paraId="3F200531">
            <w:pPr>
              <w:pStyle w:val="13"/>
            </w:pPr>
            <w:r>
              <w:t>住房公积金</w:t>
            </w:r>
          </w:p>
        </w:tc>
        <w:tc>
          <w:tcPr>
            <w:tcW w:w="2551" w:type="dxa"/>
            <w:vAlign w:val="center"/>
          </w:tcPr>
          <w:p w14:paraId="454090E3">
            <w:pPr>
              <w:pStyle w:val="14"/>
            </w:pPr>
            <w:r>
              <w:t>97.01</w:t>
            </w:r>
          </w:p>
        </w:tc>
        <w:tc>
          <w:tcPr>
            <w:tcW w:w="2551" w:type="dxa"/>
            <w:vAlign w:val="center"/>
          </w:tcPr>
          <w:p w14:paraId="220C3009">
            <w:pPr>
              <w:pStyle w:val="14"/>
            </w:pPr>
            <w:r>
              <w:t>97.01</w:t>
            </w:r>
          </w:p>
        </w:tc>
        <w:tc>
          <w:tcPr>
            <w:tcW w:w="2551" w:type="dxa"/>
            <w:vAlign w:val="center"/>
          </w:tcPr>
          <w:p w14:paraId="68B168C5">
            <w:pPr>
              <w:pStyle w:val="14"/>
            </w:pPr>
          </w:p>
        </w:tc>
      </w:tr>
      <w:tr w14:paraId="6FD52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2E402">
            <w:pPr>
              <w:pStyle w:val="12"/>
            </w:pPr>
            <w:r>
              <w:t>11</w:t>
            </w:r>
          </w:p>
        </w:tc>
        <w:tc>
          <w:tcPr>
            <w:tcW w:w="1191" w:type="dxa"/>
            <w:vAlign w:val="center"/>
          </w:tcPr>
          <w:p w14:paraId="09418829">
            <w:pPr>
              <w:pStyle w:val="13"/>
            </w:pPr>
            <w:r>
              <w:t>302</w:t>
            </w:r>
          </w:p>
        </w:tc>
        <w:tc>
          <w:tcPr>
            <w:tcW w:w="4535" w:type="dxa"/>
            <w:vAlign w:val="center"/>
          </w:tcPr>
          <w:p w14:paraId="4654D627">
            <w:pPr>
              <w:pStyle w:val="13"/>
            </w:pPr>
            <w:r>
              <w:t>商品和服务支出</w:t>
            </w:r>
          </w:p>
        </w:tc>
        <w:tc>
          <w:tcPr>
            <w:tcW w:w="2551" w:type="dxa"/>
            <w:vAlign w:val="center"/>
          </w:tcPr>
          <w:p w14:paraId="7B04800F">
            <w:pPr>
              <w:pStyle w:val="14"/>
            </w:pPr>
            <w:r>
              <w:t>14.00</w:t>
            </w:r>
          </w:p>
        </w:tc>
        <w:tc>
          <w:tcPr>
            <w:tcW w:w="2551" w:type="dxa"/>
            <w:vAlign w:val="center"/>
          </w:tcPr>
          <w:p w14:paraId="2AA73397">
            <w:pPr>
              <w:pStyle w:val="14"/>
            </w:pPr>
          </w:p>
        </w:tc>
        <w:tc>
          <w:tcPr>
            <w:tcW w:w="2551" w:type="dxa"/>
            <w:vAlign w:val="center"/>
          </w:tcPr>
          <w:p w14:paraId="4F6028BA">
            <w:pPr>
              <w:pStyle w:val="14"/>
            </w:pPr>
            <w:r>
              <w:t>14.00</w:t>
            </w:r>
          </w:p>
        </w:tc>
      </w:tr>
      <w:tr w14:paraId="67815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DAFF7">
            <w:pPr>
              <w:pStyle w:val="12"/>
            </w:pPr>
            <w:r>
              <w:t>12</w:t>
            </w:r>
          </w:p>
        </w:tc>
        <w:tc>
          <w:tcPr>
            <w:tcW w:w="1191" w:type="dxa"/>
            <w:vAlign w:val="center"/>
          </w:tcPr>
          <w:p w14:paraId="18BFE1C5">
            <w:pPr>
              <w:pStyle w:val="13"/>
            </w:pPr>
            <w:r>
              <w:t>30201</w:t>
            </w:r>
          </w:p>
        </w:tc>
        <w:tc>
          <w:tcPr>
            <w:tcW w:w="4535" w:type="dxa"/>
            <w:vAlign w:val="center"/>
          </w:tcPr>
          <w:p w14:paraId="65C63D0C">
            <w:pPr>
              <w:pStyle w:val="13"/>
            </w:pPr>
            <w:r>
              <w:t>办公费</w:t>
            </w:r>
          </w:p>
        </w:tc>
        <w:tc>
          <w:tcPr>
            <w:tcW w:w="2551" w:type="dxa"/>
            <w:vAlign w:val="center"/>
          </w:tcPr>
          <w:p w14:paraId="63297C24">
            <w:pPr>
              <w:pStyle w:val="14"/>
            </w:pPr>
            <w:r>
              <w:t>1.15</w:t>
            </w:r>
          </w:p>
        </w:tc>
        <w:tc>
          <w:tcPr>
            <w:tcW w:w="2551" w:type="dxa"/>
            <w:vAlign w:val="center"/>
          </w:tcPr>
          <w:p w14:paraId="51B09325">
            <w:pPr>
              <w:pStyle w:val="14"/>
            </w:pPr>
          </w:p>
        </w:tc>
        <w:tc>
          <w:tcPr>
            <w:tcW w:w="2551" w:type="dxa"/>
            <w:vAlign w:val="center"/>
          </w:tcPr>
          <w:p w14:paraId="3C694826">
            <w:pPr>
              <w:pStyle w:val="14"/>
            </w:pPr>
            <w:r>
              <w:t>1.15</w:t>
            </w:r>
          </w:p>
        </w:tc>
      </w:tr>
      <w:tr w14:paraId="72399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A859E">
            <w:pPr>
              <w:pStyle w:val="12"/>
            </w:pPr>
            <w:r>
              <w:t>13</w:t>
            </w:r>
          </w:p>
        </w:tc>
        <w:tc>
          <w:tcPr>
            <w:tcW w:w="1191" w:type="dxa"/>
            <w:vAlign w:val="center"/>
          </w:tcPr>
          <w:p w14:paraId="227D37B4">
            <w:pPr>
              <w:pStyle w:val="13"/>
            </w:pPr>
            <w:r>
              <w:t>30206</w:t>
            </w:r>
          </w:p>
        </w:tc>
        <w:tc>
          <w:tcPr>
            <w:tcW w:w="4535" w:type="dxa"/>
            <w:vAlign w:val="center"/>
          </w:tcPr>
          <w:p w14:paraId="373E1B15">
            <w:pPr>
              <w:pStyle w:val="13"/>
            </w:pPr>
            <w:r>
              <w:t>电费</w:t>
            </w:r>
          </w:p>
        </w:tc>
        <w:tc>
          <w:tcPr>
            <w:tcW w:w="2551" w:type="dxa"/>
            <w:vAlign w:val="center"/>
          </w:tcPr>
          <w:p w14:paraId="760FCC67">
            <w:pPr>
              <w:pStyle w:val="14"/>
            </w:pPr>
            <w:r>
              <w:t>8.00</w:t>
            </w:r>
          </w:p>
        </w:tc>
        <w:tc>
          <w:tcPr>
            <w:tcW w:w="2551" w:type="dxa"/>
            <w:vAlign w:val="center"/>
          </w:tcPr>
          <w:p w14:paraId="08A80A91">
            <w:pPr>
              <w:pStyle w:val="14"/>
            </w:pPr>
          </w:p>
        </w:tc>
        <w:tc>
          <w:tcPr>
            <w:tcW w:w="2551" w:type="dxa"/>
            <w:vAlign w:val="center"/>
          </w:tcPr>
          <w:p w14:paraId="10ED2CBB">
            <w:pPr>
              <w:pStyle w:val="14"/>
            </w:pPr>
            <w:r>
              <w:t>8.00</w:t>
            </w:r>
          </w:p>
        </w:tc>
      </w:tr>
      <w:tr w14:paraId="10F16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5F5FF">
            <w:pPr>
              <w:pStyle w:val="12"/>
            </w:pPr>
            <w:r>
              <w:t>14</w:t>
            </w:r>
          </w:p>
        </w:tc>
        <w:tc>
          <w:tcPr>
            <w:tcW w:w="1191" w:type="dxa"/>
            <w:vAlign w:val="center"/>
          </w:tcPr>
          <w:p w14:paraId="4B440F19">
            <w:pPr>
              <w:pStyle w:val="13"/>
            </w:pPr>
            <w:r>
              <w:t>30207</w:t>
            </w:r>
          </w:p>
        </w:tc>
        <w:tc>
          <w:tcPr>
            <w:tcW w:w="4535" w:type="dxa"/>
            <w:vAlign w:val="center"/>
          </w:tcPr>
          <w:p w14:paraId="1D972CD8">
            <w:pPr>
              <w:pStyle w:val="13"/>
            </w:pPr>
            <w:r>
              <w:t>邮电费</w:t>
            </w:r>
          </w:p>
        </w:tc>
        <w:tc>
          <w:tcPr>
            <w:tcW w:w="2551" w:type="dxa"/>
            <w:vAlign w:val="center"/>
          </w:tcPr>
          <w:p w14:paraId="6D635A0B">
            <w:pPr>
              <w:pStyle w:val="14"/>
            </w:pPr>
            <w:r>
              <w:t>2.00</w:t>
            </w:r>
          </w:p>
        </w:tc>
        <w:tc>
          <w:tcPr>
            <w:tcW w:w="2551" w:type="dxa"/>
            <w:vAlign w:val="center"/>
          </w:tcPr>
          <w:p w14:paraId="756E46F0">
            <w:pPr>
              <w:pStyle w:val="14"/>
            </w:pPr>
          </w:p>
        </w:tc>
        <w:tc>
          <w:tcPr>
            <w:tcW w:w="2551" w:type="dxa"/>
            <w:vAlign w:val="center"/>
          </w:tcPr>
          <w:p w14:paraId="4FF982C4">
            <w:pPr>
              <w:pStyle w:val="14"/>
            </w:pPr>
            <w:r>
              <w:t>2.00</w:t>
            </w:r>
          </w:p>
        </w:tc>
      </w:tr>
      <w:tr w14:paraId="409BA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FA031">
            <w:pPr>
              <w:pStyle w:val="12"/>
            </w:pPr>
            <w:r>
              <w:t>15</w:t>
            </w:r>
          </w:p>
        </w:tc>
        <w:tc>
          <w:tcPr>
            <w:tcW w:w="1191" w:type="dxa"/>
            <w:vAlign w:val="center"/>
          </w:tcPr>
          <w:p w14:paraId="57815C6D">
            <w:pPr>
              <w:pStyle w:val="13"/>
            </w:pPr>
            <w:r>
              <w:t>30228</w:t>
            </w:r>
          </w:p>
        </w:tc>
        <w:tc>
          <w:tcPr>
            <w:tcW w:w="4535" w:type="dxa"/>
            <w:vAlign w:val="center"/>
          </w:tcPr>
          <w:p w14:paraId="55932495">
            <w:pPr>
              <w:pStyle w:val="13"/>
            </w:pPr>
            <w:r>
              <w:t>工会经费</w:t>
            </w:r>
          </w:p>
        </w:tc>
        <w:tc>
          <w:tcPr>
            <w:tcW w:w="2551" w:type="dxa"/>
            <w:vAlign w:val="center"/>
          </w:tcPr>
          <w:p w14:paraId="19DF0E39">
            <w:pPr>
              <w:pStyle w:val="14"/>
            </w:pPr>
            <w:r>
              <w:t>1.14</w:t>
            </w:r>
          </w:p>
        </w:tc>
        <w:tc>
          <w:tcPr>
            <w:tcW w:w="2551" w:type="dxa"/>
            <w:vAlign w:val="center"/>
          </w:tcPr>
          <w:p w14:paraId="645D2B3D">
            <w:pPr>
              <w:pStyle w:val="14"/>
            </w:pPr>
          </w:p>
        </w:tc>
        <w:tc>
          <w:tcPr>
            <w:tcW w:w="2551" w:type="dxa"/>
            <w:vAlign w:val="center"/>
          </w:tcPr>
          <w:p w14:paraId="46764533">
            <w:pPr>
              <w:pStyle w:val="14"/>
            </w:pPr>
            <w:r>
              <w:t>1.14</w:t>
            </w:r>
          </w:p>
        </w:tc>
      </w:tr>
      <w:tr w14:paraId="43B74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23980">
            <w:pPr>
              <w:pStyle w:val="12"/>
            </w:pPr>
            <w:r>
              <w:t>16</w:t>
            </w:r>
          </w:p>
        </w:tc>
        <w:tc>
          <w:tcPr>
            <w:tcW w:w="1191" w:type="dxa"/>
            <w:vAlign w:val="center"/>
          </w:tcPr>
          <w:p w14:paraId="7668CC82">
            <w:pPr>
              <w:pStyle w:val="13"/>
            </w:pPr>
            <w:r>
              <w:t>30229</w:t>
            </w:r>
          </w:p>
        </w:tc>
        <w:tc>
          <w:tcPr>
            <w:tcW w:w="4535" w:type="dxa"/>
            <w:vAlign w:val="center"/>
          </w:tcPr>
          <w:p w14:paraId="4155715F">
            <w:pPr>
              <w:pStyle w:val="13"/>
            </w:pPr>
            <w:r>
              <w:t>福利费</w:t>
            </w:r>
          </w:p>
        </w:tc>
        <w:tc>
          <w:tcPr>
            <w:tcW w:w="2551" w:type="dxa"/>
            <w:vAlign w:val="center"/>
          </w:tcPr>
          <w:p w14:paraId="14204F11">
            <w:pPr>
              <w:pStyle w:val="14"/>
            </w:pPr>
            <w:r>
              <w:t>1.14</w:t>
            </w:r>
          </w:p>
        </w:tc>
        <w:tc>
          <w:tcPr>
            <w:tcW w:w="2551" w:type="dxa"/>
            <w:vAlign w:val="center"/>
          </w:tcPr>
          <w:p w14:paraId="7BCD22FB">
            <w:pPr>
              <w:pStyle w:val="14"/>
            </w:pPr>
          </w:p>
        </w:tc>
        <w:tc>
          <w:tcPr>
            <w:tcW w:w="2551" w:type="dxa"/>
            <w:vAlign w:val="center"/>
          </w:tcPr>
          <w:p w14:paraId="1B5FFFE6">
            <w:pPr>
              <w:pStyle w:val="14"/>
            </w:pPr>
            <w:r>
              <w:t>1.14</w:t>
            </w:r>
          </w:p>
        </w:tc>
      </w:tr>
      <w:tr w14:paraId="6758B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A1D2E">
            <w:pPr>
              <w:pStyle w:val="12"/>
            </w:pPr>
            <w:r>
              <w:t>17</w:t>
            </w:r>
          </w:p>
        </w:tc>
        <w:tc>
          <w:tcPr>
            <w:tcW w:w="1191" w:type="dxa"/>
            <w:vAlign w:val="center"/>
          </w:tcPr>
          <w:p w14:paraId="73050426">
            <w:pPr>
              <w:pStyle w:val="13"/>
            </w:pPr>
            <w:r>
              <w:t>30299</w:t>
            </w:r>
          </w:p>
        </w:tc>
        <w:tc>
          <w:tcPr>
            <w:tcW w:w="4535" w:type="dxa"/>
            <w:vAlign w:val="center"/>
          </w:tcPr>
          <w:p w14:paraId="51383B04">
            <w:pPr>
              <w:pStyle w:val="13"/>
            </w:pPr>
            <w:r>
              <w:t>其他商品和服务支出</w:t>
            </w:r>
          </w:p>
        </w:tc>
        <w:tc>
          <w:tcPr>
            <w:tcW w:w="2551" w:type="dxa"/>
            <w:vAlign w:val="center"/>
          </w:tcPr>
          <w:p w14:paraId="117EC7A6">
            <w:pPr>
              <w:pStyle w:val="14"/>
            </w:pPr>
            <w:r>
              <w:t>0.57</w:t>
            </w:r>
          </w:p>
        </w:tc>
        <w:tc>
          <w:tcPr>
            <w:tcW w:w="2551" w:type="dxa"/>
            <w:vAlign w:val="center"/>
          </w:tcPr>
          <w:p w14:paraId="18BE0327">
            <w:pPr>
              <w:pStyle w:val="14"/>
            </w:pPr>
          </w:p>
        </w:tc>
        <w:tc>
          <w:tcPr>
            <w:tcW w:w="2551" w:type="dxa"/>
            <w:vAlign w:val="center"/>
          </w:tcPr>
          <w:p w14:paraId="08DED1DD">
            <w:pPr>
              <w:pStyle w:val="14"/>
            </w:pPr>
            <w:r>
              <w:t>0.57</w:t>
            </w:r>
          </w:p>
        </w:tc>
      </w:tr>
      <w:tr w14:paraId="52BFB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CD221">
            <w:pPr>
              <w:pStyle w:val="12"/>
            </w:pPr>
            <w:r>
              <w:t>18</w:t>
            </w:r>
          </w:p>
        </w:tc>
        <w:tc>
          <w:tcPr>
            <w:tcW w:w="1191" w:type="dxa"/>
            <w:vAlign w:val="center"/>
          </w:tcPr>
          <w:p w14:paraId="354CB005">
            <w:pPr>
              <w:pStyle w:val="13"/>
            </w:pPr>
            <w:r>
              <w:t>303</w:t>
            </w:r>
          </w:p>
        </w:tc>
        <w:tc>
          <w:tcPr>
            <w:tcW w:w="4535" w:type="dxa"/>
            <w:vAlign w:val="center"/>
          </w:tcPr>
          <w:p w14:paraId="5841486E">
            <w:pPr>
              <w:pStyle w:val="13"/>
            </w:pPr>
            <w:r>
              <w:t>对个人和家庭的补助</w:t>
            </w:r>
          </w:p>
        </w:tc>
        <w:tc>
          <w:tcPr>
            <w:tcW w:w="2551" w:type="dxa"/>
            <w:vAlign w:val="center"/>
          </w:tcPr>
          <w:p w14:paraId="2D6B6878">
            <w:pPr>
              <w:pStyle w:val="14"/>
            </w:pPr>
            <w:r>
              <w:t>38.74</w:t>
            </w:r>
          </w:p>
        </w:tc>
        <w:tc>
          <w:tcPr>
            <w:tcW w:w="2551" w:type="dxa"/>
            <w:vAlign w:val="center"/>
          </w:tcPr>
          <w:p w14:paraId="713E3E3A">
            <w:pPr>
              <w:pStyle w:val="14"/>
            </w:pPr>
            <w:r>
              <w:t>38.74</w:t>
            </w:r>
          </w:p>
        </w:tc>
        <w:tc>
          <w:tcPr>
            <w:tcW w:w="2551" w:type="dxa"/>
            <w:vAlign w:val="center"/>
          </w:tcPr>
          <w:p w14:paraId="255ED056">
            <w:pPr>
              <w:pStyle w:val="14"/>
            </w:pPr>
          </w:p>
        </w:tc>
      </w:tr>
      <w:tr w14:paraId="5D29F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5FECB">
            <w:pPr>
              <w:pStyle w:val="12"/>
            </w:pPr>
            <w:r>
              <w:t>19</w:t>
            </w:r>
          </w:p>
        </w:tc>
        <w:tc>
          <w:tcPr>
            <w:tcW w:w="1191" w:type="dxa"/>
            <w:vAlign w:val="center"/>
          </w:tcPr>
          <w:p w14:paraId="15DDFBAF">
            <w:pPr>
              <w:pStyle w:val="13"/>
            </w:pPr>
            <w:r>
              <w:t>30302</w:t>
            </w:r>
          </w:p>
        </w:tc>
        <w:tc>
          <w:tcPr>
            <w:tcW w:w="4535" w:type="dxa"/>
            <w:vAlign w:val="center"/>
          </w:tcPr>
          <w:p w14:paraId="2BD212E1">
            <w:pPr>
              <w:pStyle w:val="13"/>
            </w:pPr>
            <w:r>
              <w:t>退休费</w:t>
            </w:r>
          </w:p>
        </w:tc>
        <w:tc>
          <w:tcPr>
            <w:tcW w:w="2551" w:type="dxa"/>
            <w:vAlign w:val="center"/>
          </w:tcPr>
          <w:p w14:paraId="7AAB29F3">
            <w:pPr>
              <w:pStyle w:val="14"/>
            </w:pPr>
            <w:r>
              <w:t>34.06</w:t>
            </w:r>
          </w:p>
        </w:tc>
        <w:tc>
          <w:tcPr>
            <w:tcW w:w="2551" w:type="dxa"/>
            <w:vAlign w:val="center"/>
          </w:tcPr>
          <w:p w14:paraId="750035F4">
            <w:pPr>
              <w:pStyle w:val="14"/>
            </w:pPr>
            <w:r>
              <w:t>34.06</w:t>
            </w:r>
          </w:p>
        </w:tc>
        <w:tc>
          <w:tcPr>
            <w:tcW w:w="2551" w:type="dxa"/>
            <w:vAlign w:val="center"/>
          </w:tcPr>
          <w:p w14:paraId="230277FE">
            <w:pPr>
              <w:pStyle w:val="14"/>
            </w:pPr>
          </w:p>
        </w:tc>
      </w:tr>
      <w:tr w14:paraId="4945E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CAB46">
            <w:pPr>
              <w:pStyle w:val="12"/>
            </w:pPr>
            <w:r>
              <w:t>20</w:t>
            </w:r>
          </w:p>
        </w:tc>
        <w:tc>
          <w:tcPr>
            <w:tcW w:w="1191" w:type="dxa"/>
            <w:vAlign w:val="center"/>
          </w:tcPr>
          <w:p w14:paraId="7CC1BCC5">
            <w:pPr>
              <w:pStyle w:val="13"/>
            </w:pPr>
            <w:r>
              <w:t>30305</w:t>
            </w:r>
          </w:p>
        </w:tc>
        <w:tc>
          <w:tcPr>
            <w:tcW w:w="4535" w:type="dxa"/>
            <w:vAlign w:val="center"/>
          </w:tcPr>
          <w:p w14:paraId="7BF6B678">
            <w:pPr>
              <w:pStyle w:val="13"/>
            </w:pPr>
            <w:r>
              <w:t>生活补助</w:t>
            </w:r>
          </w:p>
        </w:tc>
        <w:tc>
          <w:tcPr>
            <w:tcW w:w="2551" w:type="dxa"/>
            <w:vAlign w:val="center"/>
          </w:tcPr>
          <w:p w14:paraId="5382DD5F">
            <w:pPr>
              <w:pStyle w:val="14"/>
            </w:pPr>
            <w:r>
              <w:t>4.68</w:t>
            </w:r>
          </w:p>
        </w:tc>
        <w:tc>
          <w:tcPr>
            <w:tcW w:w="2551" w:type="dxa"/>
            <w:vAlign w:val="center"/>
          </w:tcPr>
          <w:p w14:paraId="68031E69">
            <w:pPr>
              <w:pStyle w:val="14"/>
            </w:pPr>
            <w:r>
              <w:t>4.68</w:t>
            </w:r>
          </w:p>
        </w:tc>
        <w:tc>
          <w:tcPr>
            <w:tcW w:w="2551" w:type="dxa"/>
            <w:vAlign w:val="center"/>
          </w:tcPr>
          <w:p w14:paraId="2110552A">
            <w:pPr>
              <w:pStyle w:val="14"/>
            </w:pPr>
          </w:p>
        </w:tc>
      </w:tr>
    </w:tbl>
    <w:p w14:paraId="5E610B69">
      <w:pPr>
        <w:sectPr>
          <w:pgSz w:w="16840" w:h="11900" w:orient="landscape"/>
          <w:pgMar w:top="1361" w:right="1020" w:bottom="1134" w:left="1020" w:header="720" w:footer="720" w:gutter="0"/>
          <w:cols w:space="720" w:num="1"/>
        </w:sectPr>
      </w:pPr>
    </w:p>
    <w:p w14:paraId="354209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AED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084334">
            <w:pPr>
              <w:pStyle w:val="8"/>
            </w:pPr>
            <w:r>
              <w:t>360028隆尧县教师发展中心</w:t>
            </w:r>
          </w:p>
        </w:tc>
        <w:tc>
          <w:tcPr>
            <w:tcW w:w="2551" w:type="dxa"/>
            <w:tcBorders>
              <w:top w:val="single" w:color="FFFFFF" w:sz="6" w:space="0"/>
              <w:left w:val="single" w:color="FFFFFF" w:sz="6" w:space="0"/>
              <w:right w:val="single" w:color="FFFFFF" w:sz="6" w:space="0"/>
            </w:tcBorders>
            <w:vAlign w:val="center"/>
          </w:tcPr>
          <w:p w14:paraId="04A85EC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1C9A14">
            <w:pPr>
              <w:pStyle w:val="10"/>
            </w:pPr>
            <w:r>
              <w:t>单位：万元</w:t>
            </w:r>
          </w:p>
        </w:tc>
      </w:tr>
      <w:tr w14:paraId="4ED1A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DBC9C8">
            <w:pPr>
              <w:pStyle w:val="11"/>
            </w:pPr>
            <w:r>
              <w:t>序号</w:t>
            </w:r>
          </w:p>
        </w:tc>
        <w:tc>
          <w:tcPr>
            <w:tcW w:w="5726" w:type="dxa"/>
            <w:gridSpan w:val="2"/>
            <w:vAlign w:val="center"/>
          </w:tcPr>
          <w:p w14:paraId="78ECEF6D">
            <w:pPr>
              <w:pStyle w:val="11"/>
            </w:pPr>
            <w:r>
              <w:t>功能分类科目</w:t>
            </w:r>
          </w:p>
        </w:tc>
        <w:tc>
          <w:tcPr>
            <w:tcW w:w="2551" w:type="dxa"/>
            <w:vMerge w:val="restart"/>
            <w:vAlign w:val="center"/>
          </w:tcPr>
          <w:p w14:paraId="6D5011BB">
            <w:pPr>
              <w:pStyle w:val="11"/>
            </w:pPr>
            <w:r>
              <w:t>合计</w:t>
            </w:r>
          </w:p>
        </w:tc>
        <w:tc>
          <w:tcPr>
            <w:tcW w:w="2551" w:type="dxa"/>
            <w:vMerge w:val="restart"/>
            <w:vAlign w:val="center"/>
          </w:tcPr>
          <w:p w14:paraId="1AB13376">
            <w:pPr>
              <w:pStyle w:val="11"/>
            </w:pPr>
            <w:r>
              <w:t>基本支出</w:t>
            </w:r>
          </w:p>
        </w:tc>
        <w:tc>
          <w:tcPr>
            <w:tcW w:w="2551" w:type="dxa"/>
            <w:vMerge w:val="restart"/>
            <w:vAlign w:val="center"/>
          </w:tcPr>
          <w:p w14:paraId="632A0588">
            <w:pPr>
              <w:pStyle w:val="11"/>
            </w:pPr>
            <w:r>
              <w:t>项目支出</w:t>
            </w:r>
          </w:p>
        </w:tc>
      </w:tr>
      <w:tr w14:paraId="31F72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C22D0"/>
        </w:tc>
        <w:tc>
          <w:tcPr>
            <w:tcW w:w="1191" w:type="dxa"/>
            <w:vAlign w:val="center"/>
          </w:tcPr>
          <w:p w14:paraId="38F16F1F">
            <w:pPr>
              <w:pStyle w:val="11"/>
            </w:pPr>
            <w:r>
              <w:t>科目编码</w:t>
            </w:r>
          </w:p>
        </w:tc>
        <w:tc>
          <w:tcPr>
            <w:tcW w:w="4535" w:type="dxa"/>
            <w:vAlign w:val="center"/>
          </w:tcPr>
          <w:p w14:paraId="56B178B8">
            <w:pPr>
              <w:pStyle w:val="11"/>
            </w:pPr>
            <w:r>
              <w:t>科目名称</w:t>
            </w:r>
          </w:p>
        </w:tc>
        <w:tc>
          <w:tcPr>
            <w:tcW w:w="2551" w:type="dxa"/>
            <w:vMerge w:val="continue"/>
          </w:tcPr>
          <w:p w14:paraId="702DBF88"/>
        </w:tc>
        <w:tc>
          <w:tcPr>
            <w:tcW w:w="2551" w:type="dxa"/>
            <w:vMerge w:val="continue"/>
          </w:tcPr>
          <w:p w14:paraId="2EC1FF0E"/>
        </w:tc>
        <w:tc>
          <w:tcPr>
            <w:tcW w:w="2551" w:type="dxa"/>
            <w:vMerge w:val="continue"/>
          </w:tcPr>
          <w:p w14:paraId="7B9002E6"/>
        </w:tc>
      </w:tr>
      <w:tr w14:paraId="08FF0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F6BF0">
            <w:pPr>
              <w:pStyle w:val="11"/>
            </w:pPr>
            <w:r>
              <w:t>栏次</w:t>
            </w:r>
          </w:p>
        </w:tc>
        <w:tc>
          <w:tcPr>
            <w:tcW w:w="1191" w:type="dxa"/>
            <w:vAlign w:val="center"/>
          </w:tcPr>
          <w:p w14:paraId="106C4BCF">
            <w:pPr>
              <w:pStyle w:val="11"/>
            </w:pPr>
            <w:r>
              <w:t>1</w:t>
            </w:r>
          </w:p>
        </w:tc>
        <w:tc>
          <w:tcPr>
            <w:tcW w:w="4535" w:type="dxa"/>
            <w:vAlign w:val="center"/>
          </w:tcPr>
          <w:p w14:paraId="02BCAC88">
            <w:pPr>
              <w:pStyle w:val="11"/>
            </w:pPr>
            <w:r>
              <w:t>2</w:t>
            </w:r>
          </w:p>
        </w:tc>
        <w:tc>
          <w:tcPr>
            <w:tcW w:w="2551" w:type="dxa"/>
            <w:vAlign w:val="center"/>
          </w:tcPr>
          <w:p w14:paraId="4B1064B2">
            <w:pPr>
              <w:pStyle w:val="11"/>
            </w:pPr>
            <w:r>
              <w:t>3</w:t>
            </w:r>
          </w:p>
        </w:tc>
        <w:tc>
          <w:tcPr>
            <w:tcW w:w="2551" w:type="dxa"/>
            <w:vAlign w:val="center"/>
          </w:tcPr>
          <w:p w14:paraId="0912AAEE">
            <w:pPr>
              <w:pStyle w:val="11"/>
            </w:pPr>
            <w:r>
              <w:t>4</w:t>
            </w:r>
          </w:p>
        </w:tc>
        <w:tc>
          <w:tcPr>
            <w:tcW w:w="2551" w:type="dxa"/>
            <w:vAlign w:val="center"/>
          </w:tcPr>
          <w:p w14:paraId="69CFD11A">
            <w:pPr>
              <w:pStyle w:val="11"/>
            </w:pPr>
            <w:r>
              <w:t>5</w:t>
            </w:r>
          </w:p>
        </w:tc>
      </w:tr>
      <w:tr w14:paraId="3A3F3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548C5">
            <w:pPr>
              <w:pStyle w:val="12"/>
            </w:pPr>
          </w:p>
        </w:tc>
        <w:tc>
          <w:tcPr>
            <w:tcW w:w="1191" w:type="dxa"/>
            <w:vAlign w:val="center"/>
          </w:tcPr>
          <w:p w14:paraId="255D3E45">
            <w:pPr>
              <w:pStyle w:val="13"/>
            </w:pPr>
          </w:p>
        </w:tc>
        <w:tc>
          <w:tcPr>
            <w:tcW w:w="4535" w:type="dxa"/>
            <w:vAlign w:val="center"/>
          </w:tcPr>
          <w:p w14:paraId="0F9F6208">
            <w:pPr>
              <w:pStyle w:val="13"/>
            </w:pPr>
          </w:p>
        </w:tc>
        <w:tc>
          <w:tcPr>
            <w:tcW w:w="2551" w:type="dxa"/>
            <w:vAlign w:val="center"/>
          </w:tcPr>
          <w:p w14:paraId="399E8945">
            <w:pPr>
              <w:pStyle w:val="14"/>
            </w:pPr>
          </w:p>
        </w:tc>
        <w:tc>
          <w:tcPr>
            <w:tcW w:w="2551" w:type="dxa"/>
            <w:vAlign w:val="center"/>
          </w:tcPr>
          <w:p w14:paraId="2FBF75CF">
            <w:pPr>
              <w:pStyle w:val="14"/>
            </w:pPr>
          </w:p>
        </w:tc>
        <w:tc>
          <w:tcPr>
            <w:tcW w:w="2551" w:type="dxa"/>
            <w:vAlign w:val="center"/>
          </w:tcPr>
          <w:p w14:paraId="3508732C">
            <w:pPr>
              <w:pStyle w:val="14"/>
            </w:pPr>
          </w:p>
        </w:tc>
      </w:tr>
    </w:tbl>
    <w:p w14:paraId="2E6A33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DFF81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A49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8C0118">
            <w:pPr>
              <w:pStyle w:val="8"/>
            </w:pPr>
            <w:r>
              <w:t>360028隆尧县教师发展中心</w:t>
            </w:r>
          </w:p>
        </w:tc>
        <w:tc>
          <w:tcPr>
            <w:tcW w:w="2551" w:type="dxa"/>
            <w:tcBorders>
              <w:top w:val="single" w:color="FFFFFF" w:sz="6" w:space="0"/>
              <w:left w:val="single" w:color="FFFFFF" w:sz="6" w:space="0"/>
              <w:right w:val="single" w:color="FFFFFF" w:sz="6" w:space="0"/>
            </w:tcBorders>
            <w:vAlign w:val="center"/>
          </w:tcPr>
          <w:p w14:paraId="133770A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50084DE">
            <w:pPr>
              <w:pStyle w:val="10"/>
            </w:pPr>
            <w:r>
              <w:t>单位：万元</w:t>
            </w:r>
          </w:p>
        </w:tc>
      </w:tr>
      <w:tr w14:paraId="185D5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1EDE5">
            <w:pPr>
              <w:pStyle w:val="11"/>
            </w:pPr>
            <w:r>
              <w:t>序号</w:t>
            </w:r>
          </w:p>
        </w:tc>
        <w:tc>
          <w:tcPr>
            <w:tcW w:w="5726" w:type="dxa"/>
            <w:gridSpan w:val="2"/>
            <w:vAlign w:val="center"/>
          </w:tcPr>
          <w:p w14:paraId="3C644ED0">
            <w:pPr>
              <w:pStyle w:val="11"/>
            </w:pPr>
            <w:r>
              <w:t>功能分类科目</w:t>
            </w:r>
          </w:p>
        </w:tc>
        <w:tc>
          <w:tcPr>
            <w:tcW w:w="2551" w:type="dxa"/>
            <w:vMerge w:val="restart"/>
            <w:vAlign w:val="center"/>
          </w:tcPr>
          <w:p w14:paraId="183C27A0">
            <w:pPr>
              <w:pStyle w:val="11"/>
            </w:pPr>
            <w:r>
              <w:t>合计</w:t>
            </w:r>
          </w:p>
        </w:tc>
        <w:tc>
          <w:tcPr>
            <w:tcW w:w="2551" w:type="dxa"/>
            <w:vMerge w:val="restart"/>
            <w:vAlign w:val="center"/>
          </w:tcPr>
          <w:p w14:paraId="6784AAE3">
            <w:pPr>
              <w:pStyle w:val="11"/>
            </w:pPr>
            <w:r>
              <w:t>基本支出</w:t>
            </w:r>
          </w:p>
        </w:tc>
        <w:tc>
          <w:tcPr>
            <w:tcW w:w="2551" w:type="dxa"/>
            <w:vMerge w:val="restart"/>
            <w:vAlign w:val="center"/>
          </w:tcPr>
          <w:p w14:paraId="4E101C58">
            <w:pPr>
              <w:pStyle w:val="11"/>
            </w:pPr>
            <w:r>
              <w:t>项目支出</w:t>
            </w:r>
          </w:p>
        </w:tc>
      </w:tr>
      <w:tr w14:paraId="0113C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166CA8"/>
        </w:tc>
        <w:tc>
          <w:tcPr>
            <w:tcW w:w="1191" w:type="dxa"/>
            <w:vAlign w:val="center"/>
          </w:tcPr>
          <w:p w14:paraId="29E4F47C">
            <w:pPr>
              <w:pStyle w:val="11"/>
            </w:pPr>
            <w:r>
              <w:t>科目编码</w:t>
            </w:r>
          </w:p>
        </w:tc>
        <w:tc>
          <w:tcPr>
            <w:tcW w:w="4535" w:type="dxa"/>
            <w:vAlign w:val="center"/>
          </w:tcPr>
          <w:p w14:paraId="34AD91DE">
            <w:pPr>
              <w:pStyle w:val="11"/>
            </w:pPr>
            <w:r>
              <w:t>科目名称</w:t>
            </w:r>
          </w:p>
        </w:tc>
        <w:tc>
          <w:tcPr>
            <w:tcW w:w="2551" w:type="dxa"/>
            <w:vMerge w:val="continue"/>
          </w:tcPr>
          <w:p w14:paraId="09F5F988"/>
        </w:tc>
        <w:tc>
          <w:tcPr>
            <w:tcW w:w="2551" w:type="dxa"/>
            <w:vMerge w:val="continue"/>
          </w:tcPr>
          <w:p w14:paraId="0D722996"/>
        </w:tc>
        <w:tc>
          <w:tcPr>
            <w:tcW w:w="2551" w:type="dxa"/>
            <w:vMerge w:val="continue"/>
          </w:tcPr>
          <w:p w14:paraId="11740B8A"/>
        </w:tc>
      </w:tr>
      <w:tr w14:paraId="4EBB4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430F5D">
            <w:pPr>
              <w:pStyle w:val="11"/>
            </w:pPr>
            <w:r>
              <w:t>栏次</w:t>
            </w:r>
          </w:p>
        </w:tc>
        <w:tc>
          <w:tcPr>
            <w:tcW w:w="1191" w:type="dxa"/>
            <w:vAlign w:val="center"/>
          </w:tcPr>
          <w:p w14:paraId="500FB3E8">
            <w:pPr>
              <w:pStyle w:val="11"/>
            </w:pPr>
            <w:r>
              <w:t>1</w:t>
            </w:r>
          </w:p>
        </w:tc>
        <w:tc>
          <w:tcPr>
            <w:tcW w:w="4535" w:type="dxa"/>
            <w:vAlign w:val="center"/>
          </w:tcPr>
          <w:p w14:paraId="5E192F88">
            <w:pPr>
              <w:pStyle w:val="11"/>
            </w:pPr>
            <w:r>
              <w:t>2</w:t>
            </w:r>
          </w:p>
        </w:tc>
        <w:tc>
          <w:tcPr>
            <w:tcW w:w="2551" w:type="dxa"/>
            <w:vAlign w:val="center"/>
          </w:tcPr>
          <w:p w14:paraId="462FB06B">
            <w:pPr>
              <w:pStyle w:val="11"/>
            </w:pPr>
            <w:r>
              <w:t>3</w:t>
            </w:r>
          </w:p>
        </w:tc>
        <w:tc>
          <w:tcPr>
            <w:tcW w:w="2551" w:type="dxa"/>
            <w:vAlign w:val="center"/>
          </w:tcPr>
          <w:p w14:paraId="2C47512F">
            <w:pPr>
              <w:pStyle w:val="11"/>
            </w:pPr>
            <w:r>
              <w:t>4</w:t>
            </w:r>
          </w:p>
        </w:tc>
        <w:tc>
          <w:tcPr>
            <w:tcW w:w="2551" w:type="dxa"/>
            <w:vAlign w:val="center"/>
          </w:tcPr>
          <w:p w14:paraId="1B038EBD">
            <w:pPr>
              <w:pStyle w:val="11"/>
            </w:pPr>
            <w:r>
              <w:t>5</w:t>
            </w:r>
          </w:p>
        </w:tc>
      </w:tr>
      <w:tr w14:paraId="42191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749A5">
            <w:pPr>
              <w:pStyle w:val="12"/>
            </w:pPr>
          </w:p>
        </w:tc>
        <w:tc>
          <w:tcPr>
            <w:tcW w:w="1191" w:type="dxa"/>
            <w:vAlign w:val="center"/>
          </w:tcPr>
          <w:p w14:paraId="135327CC">
            <w:pPr>
              <w:pStyle w:val="13"/>
            </w:pPr>
          </w:p>
        </w:tc>
        <w:tc>
          <w:tcPr>
            <w:tcW w:w="4535" w:type="dxa"/>
            <w:vAlign w:val="center"/>
          </w:tcPr>
          <w:p w14:paraId="3EA579E8">
            <w:pPr>
              <w:pStyle w:val="13"/>
            </w:pPr>
          </w:p>
        </w:tc>
        <w:tc>
          <w:tcPr>
            <w:tcW w:w="2551" w:type="dxa"/>
            <w:vAlign w:val="center"/>
          </w:tcPr>
          <w:p w14:paraId="51C78CE8">
            <w:pPr>
              <w:pStyle w:val="14"/>
            </w:pPr>
          </w:p>
        </w:tc>
        <w:tc>
          <w:tcPr>
            <w:tcW w:w="2551" w:type="dxa"/>
            <w:vAlign w:val="center"/>
          </w:tcPr>
          <w:p w14:paraId="6DCF362C">
            <w:pPr>
              <w:pStyle w:val="14"/>
            </w:pPr>
          </w:p>
        </w:tc>
        <w:tc>
          <w:tcPr>
            <w:tcW w:w="2551" w:type="dxa"/>
            <w:vAlign w:val="center"/>
          </w:tcPr>
          <w:p w14:paraId="11C85B19">
            <w:pPr>
              <w:pStyle w:val="14"/>
            </w:pPr>
          </w:p>
        </w:tc>
      </w:tr>
    </w:tbl>
    <w:p w14:paraId="154E6C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290C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D80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97818A">
            <w:pPr>
              <w:pStyle w:val="8"/>
            </w:pPr>
            <w:r>
              <w:t>360028隆尧县教师发展中心</w:t>
            </w:r>
          </w:p>
        </w:tc>
        <w:tc>
          <w:tcPr>
            <w:tcW w:w="2381" w:type="dxa"/>
            <w:tcBorders>
              <w:top w:val="single" w:color="FFFFFF" w:sz="6" w:space="0"/>
              <w:left w:val="single" w:color="FFFFFF" w:sz="6" w:space="0"/>
              <w:right w:val="single" w:color="FFFFFF" w:sz="6" w:space="0"/>
            </w:tcBorders>
            <w:vAlign w:val="center"/>
          </w:tcPr>
          <w:p w14:paraId="473D50A7">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E063C9B">
            <w:pPr>
              <w:pStyle w:val="10"/>
            </w:pPr>
            <w:r>
              <w:t>单位：万元</w:t>
            </w:r>
          </w:p>
        </w:tc>
      </w:tr>
      <w:tr w14:paraId="12652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65A47">
            <w:pPr>
              <w:pStyle w:val="11"/>
            </w:pPr>
            <w:r>
              <w:t>序号</w:t>
            </w:r>
          </w:p>
        </w:tc>
        <w:tc>
          <w:tcPr>
            <w:tcW w:w="3798" w:type="dxa"/>
            <w:vMerge w:val="restart"/>
            <w:vAlign w:val="center"/>
          </w:tcPr>
          <w:p w14:paraId="7F4A5A0F">
            <w:pPr>
              <w:pStyle w:val="11"/>
            </w:pPr>
            <w:r>
              <w:t>项  目</w:t>
            </w:r>
          </w:p>
        </w:tc>
        <w:tc>
          <w:tcPr>
            <w:tcW w:w="9524" w:type="dxa"/>
            <w:gridSpan w:val="4"/>
            <w:vAlign w:val="center"/>
          </w:tcPr>
          <w:p w14:paraId="633A0AAD">
            <w:pPr>
              <w:pStyle w:val="11"/>
            </w:pPr>
            <w:r>
              <w:t>资 金 性 质</w:t>
            </w:r>
          </w:p>
        </w:tc>
      </w:tr>
      <w:tr w14:paraId="62F0E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0B0A4E"/>
        </w:tc>
        <w:tc>
          <w:tcPr>
            <w:tcW w:w="3798" w:type="dxa"/>
            <w:vMerge w:val="continue"/>
          </w:tcPr>
          <w:p w14:paraId="78D6A290"/>
        </w:tc>
        <w:tc>
          <w:tcPr>
            <w:tcW w:w="2381" w:type="dxa"/>
            <w:vAlign w:val="center"/>
          </w:tcPr>
          <w:p w14:paraId="0842DA0F">
            <w:pPr>
              <w:pStyle w:val="11"/>
            </w:pPr>
            <w:r>
              <w:t>合计</w:t>
            </w:r>
          </w:p>
        </w:tc>
        <w:tc>
          <w:tcPr>
            <w:tcW w:w="2381" w:type="dxa"/>
            <w:vAlign w:val="center"/>
          </w:tcPr>
          <w:p w14:paraId="376FB35D">
            <w:pPr>
              <w:pStyle w:val="11"/>
            </w:pPr>
            <w:r>
              <w:t>一般公共预算              财政拨款</w:t>
            </w:r>
          </w:p>
        </w:tc>
        <w:tc>
          <w:tcPr>
            <w:tcW w:w="2381" w:type="dxa"/>
            <w:vAlign w:val="center"/>
          </w:tcPr>
          <w:p w14:paraId="5A6DC8EE">
            <w:pPr>
              <w:pStyle w:val="11"/>
            </w:pPr>
            <w:r>
              <w:t>政府性基金                  预算拨款</w:t>
            </w:r>
          </w:p>
        </w:tc>
        <w:tc>
          <w:tcPr>
            <w:tcW w:w="2381" w:type="dxa"/>
            <w:vAlign w:val="center"/>
          </w:tcPr>
          <w:p w14:paraId="2C3616DC">
            <w:pPr>
              <w:pStyle w:val="11"/>
            </w:pPr>
            <w:r>
              <w:t>国有资本经营              预算财政拨款</w:t>
            </w:r>
          </w:p>
        </w:tc>
      </w:tr>
      <w:tr w14:paraId="5A9EC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9773A6">
            <w:pPr>
              <w:pStyle w:val="11"/>
            </w:pPr>
            <w:r>
              <w:t>栏次</w:t>
            </w:r>
          </w:p>
        </w:tc>
        <w:tc>
          <w:tcPr>
            <w:tcW w:w="3798" w:type="dxa"/>
            <w:vAlign w:val="center"/>
          </w:tcPr>
          <w:p w14:paraId="20F726AF">
            <w:pPr>
              <w:pStyle w:val="11"/>
            </w:pPr>
            <w:r>
              <w:t>1</w:t>
            </w:r>
          </w:p>
        </w:tc>
        <w:tc>
          <w:tcPr>
            <w:tcW w:w="2381" w:type="dxa"/>
            <w:vAlign w:val="center"/>
          </w:tcPr>
          <w:p w14:paraId="1D1C6CD7">
            <w:pPr>
              <w:pStyle w:val="11"/>
            </w:pPr>
            <w:r>
              <w:t>2</w:t>
            </w:r>
          </w:p>
        </w:tc>
        <w:tc>
          <w:tcPr>
            <w:tcW w:w="2381" w:type="dxa"/>
            <w:vAlign w:val="center"/>
          </w:tcPr>
          <w:p w14:paraId="76B35C76">
            <w:pPr>
              <w:pStyle w:val="11"/>
            </w:pPr>
            <w:r>
              <w:t>3</w:t>
            </w:r>
          </w:p>
        </w:tc>
        <w:tc>
          <w:tcPr>
            <w:tcW w:w="2381" w:type="dxa"/>
            <w:vAlign w:val="center"/>
          </w:tcPr>
          <w:p w14:paraId="6BC92CFB">
            <w:pPr>
              <w:pStyle w:val="11"/>
            </w:pPr>
            <w:r>
              <w:t>4</w:t>
            </w:r>
          </w:p>
        </w:tc>
        <w:tc>
          <w:tcPr>
            <w:tcW w:w="2381" w:type="dxa"/>
            <w:vAlign w:val="center"/>
          </w:tcPr>
          <w:p w14:paraId="5FF983A6">
            <w:pPr>
              <w:pStyle w:val="11"/>
            </w:pPr>
            <w:r>
              <w:t>5</w:t>
            </w:r>
          </w:p>
        </w:tc>
      </w:tr>
      <w:tr w14:paraId="4E266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C7A8FD">
            <w:pPr>
              <w:pStyle w:val="12"/>
            </w:pPr>
          </w:p>
        </w:tc>
        <w:tc>
          <w:tcPr>
            <w:tcW w:w="3798" w:type="dxa"/>
            <w:vAlign w:val="center"/>
          </w:tcPr>
          <w:p w14:paraId="08866395">
            <w:pPr>
              <w:pStyle w:val="13"/>
            </w:pPr>
          </w:p>
        </w:tc>
        <w:tc>
          <w:tcPr>
            <w:tcW w:w="2381" w:type="dxa"/>
            <w:vAlign w:val="center"/>
          </w:tcPr>
          <w:p w14:paraId="3675A4CE">
            <w:pPr>
              <w:pStyle w:val="14"/>
            </w:pPr>
          </w:p>
        </w:tc>
        <w:tc>
          <w:tcPr>
            <w:tcW w:w="2381" w:type="dxa"/>
            <w:vAlign w:val="center"/>
          </w:tcPr>
          <w:p w14:paraId="64866CD9">
            <w:pPr>
              <w:pStyle w:val="14"/>
            </w:pPr>
          </w:p>
        </w:tc>
        <w:tc>
          <w:tcPr>
            <w:tcW w:w="2381" w:type="dxa"/>
            <w:vAlign w:val="center"/>
          </w:tcPr>
          <w:p w14:paraId="5A8ACCA7">
            <w:pPr>
              <w:pStyle w:val="14"/>
            </w:pPr>
          </w:p>
        </w:tc>
        <w:tc>
          <w:tcPr>
            <w:tcW w:w="2381" w:type="dxa"/>
            <w:vAlign w:val="center"/>
          </w:tcPr>
          <w:p w14:paraId="713646F3">
            <w:pPr>
              <w:pStyle w:val="14"/>
            </w:pPr>
          </w:p>
        </w:tc>
      </w:tr>
    </w:tbl>
    <w:p w14:paraId="79DEDEC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960A5E8">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隆尧县教师发展中心2025年单位预算信息公开情况说明</w:t>
      </w:r>
    </w:p>
    <w:p w14:paraId="0384E00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按照《中华人民共和国预算法》、《地方预决算公开操作规程》和《关于进一步推进预算公开工作的实施意见》规定，现将隆尧县教师发展中心2025年单位预算公开如下：</w:t>
      </w:r>
    </w:p>
    <w:p w14:paraId="118CC66E">
      <w:pPr>
        <w:spacing w:before="10" w:after="10" w:line="240" w:lineRule="auto"/>
        <w:ind w:firstLine="640"/>
        <w:jc w:val="left"/>
        <w:outlineLvl w:val="5"/>
      </w:pPr>
      <w:r>
        <w:rPr>
          <w:rFonts w:ascii="黑体" w:hAnsi="黑体" w:eastAsia="黑体" w:cs="黑体"/>
          <w:color w:val="000000"/>
          <w:sz w:val="32"/>
        </w:rPr>
        <w:t>一、单位职责及机构设置情况</w:t>
      </w:r>
    </w:p>
    <w:p w14:paraId="7190556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75AF51D">
      <w:pPr>
        <w:pStyle w:val="18"/>
      </w:pPr>
      <w:r>
        <w:t>（一）在职教师培训、培养。组织实施中小学、幼儿园教师和校（园）长的继续教育；完成教育局安排的校（园）长培训：为中小学、幼儿园开展校本培训提供指导和服务。负责对中小学、幼儿园教师年度培训考核的组织管理。</w:t>
      </w:r>
    </w:p>
    <w:p w14:paraId="5FE25381">
      <w:pPr>
        <w:pStyle w:val="18"/>
      </w:pPr>
      <w:r>
        <w:t>（二）教师资格定期注册，做好教师资格定期注册的组织、协调和服务</w:t>
      </w:r>
    </w:p>
    <w:p w14:paraId="1137599B">
      <w:pPr>
        <w:pStyle w:val="18"/>
      </w:pPr>
      <w:r>
        <w:t>（三）开展教育科学研究，开展教育科研、教学研究和教改实验。</w:t>
      </w:r>
    </w:p>
    <w:p w14:paraId="053AA188">
      <w:pPr>
        <w:pStyle w:val="18"/>
      </w:pPr>
      <w:r>
        <w:t>（四）促进教师专业发展。发挥教师专业化发展学校总校的作用，实施好组织、协调、统筹工作；为构建终身教育体系提供必要的场所、设施、设备和资源。</w:t>
      </w:r>
    </w:p>
    <w:p w14:paraId="045989BB">
      <w:pPr>
        <w:pStyle w:val="18"/>
      </w:pPr>
      <w:r>
        <w:t>（五）促进教师教育信息化建设。承担我县教师远程教育的规划、实施和管理，指导中小学、幼儿园教师开展现代信息技术在教学中的应用；做好教学仪器的装备、管理和使用。</w:t>
      </w:r>
    </w:p>
    <w:p w14:paraId="25066491">
      <w:pPr>
        <w:pStyle w:val="18"/>
      </w:pPr>
      <w:r>
        <w:t>（六）为教师发展出谋划策。开展我县教育改革与发展重大课题研究和教师队伍建设研究，为教育局制定政策提供服务。</w:t>
      </w:r>
    </w:p>
    <w:p w14:paraId="1B2C62FB">
      <w:pPr>
        <w:pStyle w:val="18"/>
      </w:pPr>
      <w:r>
        <w:t>（七）开展在职学历教育，依托开放教育和奥鹏教育平台，做好在职人员学历教育的宣传、招生、管理等工作，为提高县域人口素质服务。</w:t>
      </w:r>
    </w:p>
    <w:p w14:paraId="1B620E62">
      <w:pPr>
        <w:pStyle w:val="18"/>
      </w:pPr>
      <w:r>
        <w:t>（八）教师发展中心属于中小学系列办学体制。</w:t>
      </w:r>
    </w:p>
    <w:p w14:paraId="1C8EFF09">
      <w:pPr>
        <w:pStyle w:val="18"/>
      </w:pPr>
      <w:r>
        <w:t>机构设置：根据上述职责，教师发展中心设7个内设机构：分别是办公室、总务处、教研部、教科研部、教育技术部、教师培训部，电大工作站。</w:t>
      </w:r>
    </w:p>
    <w:p w14:paraId="36D206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BC095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C091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9FCBC2">
            <w:pPr>
              <w:pStyle w:val="11"/>
            </w:pPr>
            <w:r>
              <w:t>单位名称</w:t>
            </w:r>
          </w:p>
        </w:tc>
        <w:tc>
          <w:tcPr>
            <w:tcW w:w="1843" w:type="dxa"/>
            <w:vAlign w:val="center"/>
          </w:tcPr>
          <w:p w14:paraId="18D8AFE4">
            <w:pPr>
              <w:pStyle w:val="11"/>
            </w:pPr>
            <w:r>
              <w:t>单位性质</w:t>
            </w:r>
          </w:p>
        </w:tc>
        <w:tc>
          <w:tcPr>
            <w:tcW w:w="2126" w:type="dxa"/>
            <w:vAlign w:val="center"/>
          </w:tcPr>
          <w:p w14:paraId="7AF1581F">
            <w:pPr>
              <w:pStyle w:val="11"/>
            </w:pPr>
            <w:r>
              <w:t>单位规格</w:t>
            </w:r>
          </w:p>
        </w:tc>
        <w:tc>
          <w:tcPr>
            <w:tcW w:w="3827" w:type="dxa"/>
            <w:vAlign w:val="center"/>
          </w:tcPr>
          <w:p w14:paraId="790758FD">
            <w:pPr>
              <w:pStyle w:val="11"/>
            </w:pPr>
            <w:r>
              <w:t>经费保障形式</w:t>
            </w:r>
          </w:p>
        </w:tc>
      </w:tr>
      <w:tr w14:paraId="467D0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C0236F7">
            <w:pPr>
              <w:pStyle w:val="13"/>
            </w:pPr>
            <w:r>
              <w:t>隆尧县教师发展中心</w:t>
            </w:r>
          </w:p>
        </w:tc>
        <w:tc>
          <w:tcPr>
            <w:tcW w:w="1843" w:type="dxa"/>
            <w:vAlign w:val="center"/>
          </w:tcPr>
          <w:p w14:paraId="795907B6">
            <w:pPr>
              <w:pStyle w:val="12"/>
            </w:pPr>
            <w:r>
              <w:t>事业</w:t>
            </w:r>
          </w:p>
        </w:tc>
        <w:tc>
          <w:tcPr>
            <w:tcW w:w="2126" w:type="dxa"/>
            <w:vAlign w:val="center"/>
          </w:tcPr>
          <w:p w14:paraId="4384732F">
            <w:pPr>
              <w:pStyle w:val="12"/>
            </w:pPr>
            <w:r>
              <w:t>正科级</w:t>
            </w:r>
          </w:p>
        </w:tc>
        <w:tc>
          <w:tcPr>
            <w:tcW w:w="3827" w:type="dxa"/>
            <w:vAlign w:val="center"/>
          </w:tcPr>
          <w:p w14:paraId="0500A566">
            <w:pPr>
              <w:pStyle w:val="12"/>
            </w:pPr>
            <w:r>
              <w:t>财政性资金基本保证</w:t>
            </w:r>
          </w:p>
        </w:tc>
      </w:tr>
    </w:tbl>
    <w:p w14:paraId="352C56C1">
      <w:pPr>
        <w:spacing w:before="10" w:after="10" w:line="240" w:lineRule="auto"/>
        <w:ind w:firstLine="640"/>
        <w:jc w:val="left"/>
        <w:outlineLvl w:val="5"/>
      </w:pPr>
      <w:r>
        <w:rPr>
          <w:rFonts w:ascii="黑体" w:hAnsi="黑体" w:eastAsia="黑体" w:cs="黑体"/>
          <w:color w:val="000000"/>
          <w:sz w:val="32"/>
        </w:rPr>
        <w:t>二、单位预算安排的总体情况</w:t>
      </w:r>
    </w:p>
    <w:p w14:paraId="70F0F942">
      <w:pPr>
        <w:pStyle w:val="19"/>
      </w:pPr>
      <w:r>
        <w:t>隆尧县教师发展中心</w:t>
      </w:r>
    </w:p>
    <w:p w14:paraId="1C3CBF72">
      <w:pPr>
        <w:pStyle w:val="19"/>
      </w:pPr>
      <w:r>
        <w:t>2025年部门预算信息公开情况说明</w:t>
      </w:r>
    </w:p>
    <w:p w14:paraId="11100873">
      <w:pPr>
        <w:pStyle w:val="19"/>
      </w:pPr>
      <w:r>
        <w:t>按照《预算法》、《地方预决算公开操作规程》和《河北省省级预算公开办法》规定，现将隆尧县教师发展中心2025年部门预算公开如下：</w:t>
      </w:r>
    </w:p>
    <w:p w14:paraId="774620D6">
      <w:pPr>
        <w:pStyle w:val="19"/>
      </w:pPr>
      <w:r>
        <w:t>一、部门职责及机构设置情况</w:t>
      </w:r>
    </w:p>
    <w:p w14:paraId="6D424796">
      <w:pPr>
        <w:pStyle w:val="19"/>
      </w:pPr>
      <w:r>
        <w:t>部门职责：主要职责（一）在职教师培训、培养。组织实施中小学、幼儿园教师和校（园）长的继续教育；完成教育局安排的校（园）长培训：为中小学、幼儿园开展校本培训提供指导和服务。负责对中小学、幼儿园教师年度培训考核的组织管理。</w:t>
      </w:r>
    </w:p>
    <w:p w14:paraId="42EFEADA">
      <w:pPr>
        <w:pStyle w:val="19"/>
      </w:pPr>
      <w:r>
        <w:t>（二）教师资格定期注册，做好教师资格定期注册的组织、协调和服务</w:t>
      </w:r>
    </w:p>
    <w:p w14:paraId="23B9B5CC">
      <w:pPr>
        <w:pStyle w:val="19"/>
      </w:pPr>
      <w:r>
        <w:t>（三）开展教育科学研究，开展教育科研、教学研究和教改实验。</w:t>
      </w:r>
    </w:p>
    <w:p w14:paraId="571030BE">
      <w:pPr>
        <w:pStyle w:val="19"/>
      </w:pPr>
      <w:r>
        <w:t>（四）促进教师专业发展。发挥教师专业化发展学校总校的作用，实施好组织、协调、统筹工作；为构建终身教育体系提供必要的场所、设施、设备和资源。</w:t>
      </w:r>
    </w:p>
    <w:p w14:paraId="3A5EFCE2">
      <w:pPr>
        <w:pStyle w:val="19"/>
      </w:pPr>
      <w:r>
        <w:t>（五）促进教师教育信息化建设。承担我县教师远程教育的规划、实施和管理，指导中小学、幼儿园教师开展现代信息技术在教学中的应用；做好教学仪器的装备、管理和使用。</w:t>
      </w:r>
    </w:p>
    <w:p w14:paraId="641739CD">
      <w:pPr>
        <w:pStyle w:val="19"/>
      </w:pPr>
      <w:r>
        <w:t>（六）为教师发展出谋划策。开展我县教育改革与发展重大课题研究和教师队伍建设研究，为教育局制定政策提供服务。</w:t>
      </w:r>
    </w:p>
    <w:p w14:paraId="4A326D64">
      <w:pPr>
        <w:pStyle w:val="19"/>
      </w:pPr>
      <w:r>
        <w:t>（七）开展在职学历教育，依托开放教育和奥鹏教育平台，做好在职人员学历教育的宣传、招生、管理等工作，为提高县域人口素质服务。</w:t>
      </w:r>
    </w:p>
    <w:p w14:paraId="3AB338DD">
      <w:pPr>
        <w:pStyle w:val="19"/>
      </w:pPr>
      <w:r>
        <w:t>（八）教师发展中心属于中小学系列办学体制。</w:t>
      </w:r>
    </w:p>
    <w:p w14:paraId="2B6B568D">
      <w:pPr>
        <w:pStyle w:val="19"/>
      </w:pPr>
      <w:r>
        <w:t>机构设置：根据上述职责，教师发展中心设7个内设机构：分别是办公室、总务处、教研部、教科研部、教育技术部、教师培训部，电大工作站。</w:t>
      </w:r>
    </w:p>
    <w:p w14:paraId="710D3A64">
      <w:pPr>
        <w:pStyle w:val="19"/>
      </w:pPr>
      <w:r>
        <w:t>二、部门预算安排的总体情况</w:t>
      </w:r>
    </w:p>
    <w:p w14:paraId="709698D6">
      <w:pPr>
        <w:pStyle w:val="19"/>
      </w:pPr>
      <w:r>
        <w:t>按照预算管理有关规定，目前我省部门预算的编制实行综合预算管理，即全部收入和支出都反映的预算中。隆尧县教师发展中心的收支包含在部门预算中。</w:t>
      </w:r>
    </w:p>
    <w:p w14:paraId="6B68B10B">
      <w:pPr>
        <w:pStyle w:val="19"/>
      </w:pPr>
      <w:r>
        <w:t>1、收入说明</w:t>
      </w:r>
    </w:p>
    <w:p w14:paraId="5F06F243">
      <w:pPr>
        <w:pStyle w:val="19"/>
      </w:pPr>
      <w:r>
        <w:t>反映本单位当年全部收入。2025年预算收入1140.5万元，其中：一般公共预算收入965.88万元，基金预算收入0万元，财政专户核拨收入174.62万元，其他来源收入0万元。</w:t>
      </w:r>
    </w:p>
    <w:p w14:paraId="1C5AFC7F">
      <w:pPr>
        <w:pStyle w:val="19"/>
      </w:pPr>
      <w:r>
        <w:t>2、支出说明</w:t>
      </w:r>
    </w:p>
    <w:p w14:paraId="4D0071E4">
      <w:pPr>
        <w:pStyle w:val="19"/>
      </w:pPr>
      <w:r>
        <w:t>收支预算总表支出栏、基本支出表、项目支出表按经济分类和支出功能分类科目编制，反映隆尧县教师发展中心年度部门预算中支出预算的总体情况。2025年部门支出预算为1140.5万元，其中基本支出952.88万元，包括人员经费938.88万元和日常公用经费14万元；项目支出187.62万元，主要为中小学继续教育专项经费60万元；电大培训费专项经费114.62万元；中小学继续教育教师培训费13万元。</w:t>
      </w:r>
    </w:p>
    <w:p w14:paraId="6549E12A">
      <w:pPr>
        <w:pStyle w:val="19"/>
      </w:pPr>
      <w:r>
        <w:t>3、比上年增减情况</w:t>
      </w:r>
    </w:p>
    <w:p w14:paraId="35933434">
      <w:pPr>
        <w:pStyle w:val="19"/>
      </w:pPr>
      <w:r>
        <w:t>2025年部门预算收支安排1140.5万元，较2024年增加131.22万元，其中：基本支出增加143.86万元，主要是人员经费增加所至；项目支出减少12.64万元，主要为本年度电大培训费专项经费减少所至。</w:t>
      </w:r>
    </w:p>
    <w:p w14:paraId="0364AA3B">
      <w:pPr>
        <w:pStyle w:val="19"/>
      </w:pPr>
      <w:r>
        <w:t>三、机关运行经费安排情况</w:t>
      </w:r>
    </w:p>
    <w:p w14:paraId="23894A91">
      <w:pPr>
        <w:pStyle w:val="19"/>
      </w:pPr>
      <w:r>
        <w:t>2025年，我部门机关运行经费共计安排14万元，主要用于保证单位正常运转的办公支出。</w:t>
      </w:r>
    </w:p>
    <w:p w14:paraId="0A979077">
      <w:pPr>
        <w:pStyle w:val="19"/>
      </w:pPr>
      <w:r>
        <w:t>四、财政拨款“三公”经费预算情况及增减变化原因</w:t>
      </w:r>
    </w:p>
    <w:p w14:paraId="7708DA67">
      <w:pPr>
        <w:pStyle w:val="19"/>
      </w:pPr>
      <w:r>
        <w:t>2025年，我部门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14:paraId="7DB2F921">
      <w:pPr>
        <w:spacing w:before="10" w:after="10" w:line="240" w:lineRule="auto"/>
        <w:ind w:firstLine="640"/>
        <w:jc w:val="left"/>
        <w:outlineLvl w:val="5"/>
      </w:pPr>
      <w:r>
        <w:rPr>
          <w:rFonts w:ascii="黑体" w:hAnsi="黑体" w:eastAsia="黑体" w:cs="黑体"/>
          <w:color w:val="000000"/>
          <w:sz w:val="32"/>
        </w:rPr>
        <w:t>三、机关运行经费安排情况</w:t>
      </w:r>
    </w:p>
    <w:p w14:paraId="0A236419">
      <w:pPr>
        <w:pStyle w:val="20"/>
      </w:pPr>
      <w:r>
        <w:t>2025年，我单位机关运行经费共计安排14万元，主要用于保证单位正常运转的办公支出。</w:t>
      </w:r>
    </w:p>
    <w:p w14:paraId="4714ABE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2BB5793">
      <w:pPr>
        <w:pStyle w:val="21"/>
      </w:pPr>
      <w:r>
        <w:t>2025年，我单位未安排三公经费。</w:t>
      </w:r>
    </w:p>
    <w:p w14:paraId="4F0A3FC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2C0C5CC">
      <w:pPr>
        <w:spacing w:before="0" w:after="0"/>
        <w:ind w:firstLine="560"/>
        <w:jc w:val="left"/>
        <w:outlineLvl w:val="9"/>
      </w:pPr>
      <w:r>
        <w:rPr>
          <w:rFonts w:ascii="方正仿宋_GBK" w:hAnsi="方正仿宋_GBK" w:eastAsia="方正仿宋_GBK" w:cs="方正仿宋_GBK"/>
          <w:b/>
          <w:color w:val="000000"/>
          <w:sz w:val="28"/>
        </w:rPr>
        <w:t>1、电大培训费专项经费/教师发展中心绩效目标表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67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4D302">
            <w:pPr>
              <w:pStyle w:val="14"/>
            </w:pPr>
            <w:r>
              <w:t>单位：万元</w:t>
            </w:r>
          </w:p>
        </w:tc>
      </w:tr>
      <w:tr w14:paraId="0157D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44C361">
            <w:pPr>
              <w:pStyle w:val="11"/>
            </w:pPr>
            <w:r>
              <w:t>项目编码</w:t>
            </w:r>
          </w:p>
        </w:tc>
        <w:tc>
          <w:tcPr>
            <w:tcW w:w="5103" w:type="dxa"/>
            <w:gridSpan w:val="2"/>
            <w:vAlign w:val="center"/>
          </w:tcPr>
          <w:p w14:paraId="1ECCAA8A">
            <w:pPr>
              <w:pStyle w:val="13"/>
            </w:pPr>
            <w:r>
              <w:t>13052525P008756102199</w:t>
            </w:r>
          </w:p>
        </w:tc>
        <w:tc>
          <w:tcPr>
            <w:tcW w:w="2835" w:type="dxa"/>
            <w:vAlign w:val="center"/>
          </w:tcPr>
          <w:p w14:paraId="2C633DB4">
            <w:pPr>
              <w:pStyle w:val="11"/>
            </w:pPr>
            <w:r>
              <w:t>项目名称</w:t>
            </w:r>
          </w:p>
        </w:tc>
        <w:tc>
          <w:tcPr>
            <w:tcW w:w="6095" w:type="dxa"/>
            <w:gridSpan w:val="3"/>
            <w:vAlign w:val="center"/>
          </w:tcPr>
          <w:p w14:paraId="41E69770">
            <w:pPr>
              <w:pStyle w:val="13"/>
            </w:pPr>
            <w:r>
              <w:t>电大培训费专项经费/教师发展中心</w:t>
            </w:r>
          </w:p>
        </w:tc>
      </w:tr>
      <w:tr w14:paraId="49A07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A76AC">
            <w:pPr>
              <w:pStyle w:val="11"/>
            </w:pPr>
            <w:r>
              <w:t>预算规模及资金用途</w:t>
            </w:r>
          </w:p>
        </w:tc>
        <w:tc>
          <w:tcPr>
            <w:tcW w:w="2268" w:type="dxa"/>
            <w:vAlign w:val="center"/>
          </w:tcPr>
          <w:p w14:paraId="274975E0">
            <w:pPr>
              <w:pStyle w:val="11"/>
            </w:pPr>
            <w:r>
              <w:t>预算数</w:t>
            </w:r>
          </w:p>
        </w:tc>
        <w:tc>
          <w:tcPr>
            <w:tcW w:w="2835" w:type="dxa"/>
            <w:vAlign w:val="center"/>
          </w:tcPr>
          <w:p w14:paraId="1B9CFEA7">
            <w:pPr>
              <w:pStyle w:val="13"/>
            </w:pPr>
            <w:r>
              <w:t>114.62</w:t>
            </w:r>
          </w:p>
        </w:tc>
        <w:tc>
          <w:tcPr>
            <w:tcW w:w="2835" w:type="dxa"/>
            <w:vAlign w:val="center"/>
          </w:tcPr>
          <w:p w14:paraId="0790455C">
            <w:pPr>
              <w:pStyle w:val="11"/>
            </w:pPr>
            <w:r>
              <w:t>其中：财政    资金</w:t>
            </w:r>
          </w:p>
        </w:tc>
        <w:tc>
          <w:tcPr>
            <w:tcW w:w="2551" w:type="dxa"/>
            <w:vAlign w:val="center"/>
          </w:tcPr>
          <w:p w14:paraId="6CBAAC22">
            <w:pPr>
              <w:pStyle w:val="13"/>
            </w:pPr>
            <w:r>
              <w:t>114.62</w:t>
            </w:r>
          </w:p>
        </w:tc>
        <w:tc>
          <w:tcPr>
            <w:tcW w:w="2268" w:type="dxa"/>
            <w:vAlign w:val="center"/>
          </w:tcPr>
          <w:p w14:paraId="24D9308C">
            <w:pPr>
              <w:pStyle w:val="11"/>
            </w:pPr>
            <w:r>
              <w:t>其他资金</w:t>
            </w:r>
          </w:p>
        </w:tc>
        <w:tc>
          <w:tcPr>
            <w:tcW w:w="1276" w:type="dxa"/>
            <w:vAlign w:val="center"/>
          </w:tcPr>
          <w:p w14:paraId="477B9DC2">
            <w:pPr>
              <w:pStyle w:val="13"/>
            </w:pPr>
            <w:r>
              <w:t xml:space="preserve"> </w:t>
            </w:r>
          </w:p>
        </w:tc>
      </w:tr>
      <w:tr w14:paraId="6DAA0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C2E5B8"/>
        </w:tc>
        <w:tc>
          <w:tcPr>
            <w:tcW w:w="14033" w:type="dxa"/>
            <w:gridSpan w:val="6"/>
            <w:vAlign w:val="center"/>
          </w:tcPr>
          <w:p w14:paraId="37D08180">
            <w:pPr>
              <w:pStyle w:val="13"/>
            </w:pPr>
            <w:r>
              <w:t>用于上缴电大管理费，电大工作和培训。</w:t>
            </w:r>
          </w:p>
        </w:tc>
      </w:tr>
      <w:tr w14:paraId="5268A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F3115">
            <w:pPr>
              <w:pStyle w:val="11"/>
            </w:pPr>
            <w:r>
              <w:t>资金支出计划（%）</w:t>
            </w:r>
          </w:p>
        </w:tc>
        <w:tc>
          <w:tcPr>
            <w:tcW w:w="5103" w:type="dxa"/>
            <w:gridSpan w:val="2"/>
            <w:vAlign w:val="center"/>
          </w:tcPr>
          <w:p w14:paraId="046C090F">
            <w:pPr>
              <w:pStyle w:val="11"/>
            </w:pPr>
            <w:r>
              <w:t>3月底</w:t>
            </w:r>
          </w:p>
        </w:tc>
        <w:tc>
          <w:tcPr>
            <w:tcW w:w="2835" w:type="dxa"/>
            <w:vAlign w:val="center"/>
          </w:tcPr>
          <w:p w14:paraId="3BD601F8">
            <w:pPr>
              <w:pStyle w:val="11"/>
            </w:pPr>
            <w:r>
              <w:t>6月底</w:t>
            </w:r>
          </w:p>
        </w:tc>
        <w:tc>
          <w:tcPr>
            <w:tcW w:w="2551" w:type="dxa"/>
            <w:vAlign w:val="center"/>
          </w:tcPr>
          <w:p w14:paraId="1E95F0EF">
            <w:pPr>
              <w:pStyle w:val="11"/>
            </w:pPr>
            <w:r>
              <w:t>10月底</w:t>
            </w:r>
          </w:p>
        </w:tc>
        <w:tc>
          <w:tcPr>
            <w:tcW w:w="3544" w:type="dxa"/>
            <w:gridSpan w:val="2"/>
            <w:vAlign w:val="center"/>
          </w:tcPr>
          <w:p w14:paraId="090F6951">
            <w:pPr>
              <w:pStyle w:val="11"/>
            </w:pPr>
            <w:r>
              <w:t>12月底</w:t>
            </w:r>
          </w:p>
        </w:tc>
      </w:tr>
      <w:tr w14:paraId="153D3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48FDB"/>
        </w:tc>
        <w:tc>
          <w:tcPr>
            <w:tcW w:w="5103" w:type="dxa"/>
            <w:gridSpan w:val="2"/>
            <w:vAlign w:val="center"/>
          </w:tcPr>
          <w:p w14:paraId="7501FF1B">
            <w:pPr>
              <w:pStyle w:val="12"/>
            </w:pPr>
            <w:r>
              <w:t>25%</w:t>
            </w:r>
          </w:p>
        </w:tc>
        <w:tc>
          <w:tcPr>
            <w:tcW w:w="2835" w:type="dxa"/>
            <w:vAlign w:val="center"/>
          </w:tcPr>
          <w:p w14:paraId="2A33F324">
            <w:pPr>
              <w:pStyle w:val="12"/>
            </w:pPr>
            <w:r>
              <w:t>25%</w:t>
            </w:r>
          </w:p>
        </w:tc>
        <w:tc>
          <w:tcPr>
            <w:tcW w:w="2551" w:type="dxa"/>
            <w:vAlign w:val="center"/>
          </w:tcPr>
          <w:p w14:paraId="0280838F">
            <w:pPr>
              <w:pStyle w:val="12"/>
            </w:pPr>
            <w:r>
              <w:t>25%</w:t>
            </w:r>
          </w:p>
        </w:tc>
        <w:tc>
          <w:tcPr>
            <w:tcW w:w="3544" w:type="dxa"/>
            <w:gridSpan w:val="2"/>
            <w:vAlign w:val="center"/>
          </w:tcPr>
          <w:p w14:paraId="7CD10DB4">
            <w:pPr>
              <w:pStyle w:val="12"/>
            </w:pPr>
            <w:r>
              <w:t>25%</w:t>
            </w:r>
          </w:p>
        </w:tc>
      </w:tr>
      <w:tr w14:paraId="5986C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F242AC">
            <w:pPr>
              <w:pStyle w:val="11"/>
            </w:pPr>
            <w:r>
              <w:t>绩效目标</w:t>
            </w:r>
          </w:p>
        </w:tc>
        <w:tc>
          <w:tcPr>
            <w:tcW w:w="14033" w:type="dxa"/>
            <w:gridSpan w:val="6"/>
            <w:vAlign w:val="center"/>
          </w:tcPr>
          <w:p w14:paraId="24628B2F">
            <w:pPr>
              <w:pStyle w:val="13"/>
            </w:pPr>
            <w:r>
              <w:t>1.上缴电大学费114.62万元，用于电大工作和培训。</w:t>
            </w:r>
            <w:r>
              <w:tab/>
            </w:r>
            <w:r>
              <w:tab/>
            </w:r>
            <w:r>
              <w:tab/>
            </w:r>
          </w:p>
        </w:tc>
      </w:tr>
    </w:tbl>
    <w:p w14:paraId="033A88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FF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0733A05">
            <w:pPr>
              <w:pStyle w:val="11"/>
            </w:pPr>
            <w:r>
              <w:t>一级指标</w:t>
            </w:r>
          </w:p>
        </w:tc>
        <w:tc>
          <w:tcPr>
            <w:tcW w:w="2268" w:type="dxa"/>
            <w:vAlign w:val="center"/>
          </w:tcPr>
          <w:p w14:paraId="095C86A0">
            <w:pPr>
              <w:pStyle w:val="11"/>
            </w:pPr>
            <w:r>
              <w:t>二级指标</w:t>
            </w:r>
          </w:p>
        </w:tc>
        <w:tc>
          <w:tcPr>
            <w:tcW w:w="2835" w:type="dxa"/>
            <w:vAlign w:val="center"/>
          </w:tcPr>
          <w:p w14:paraId="681B43DE">
            <w:pPr>
              <w:pStyle w:val="11"/>
            </w:pPr>
            <w:r>
              <w:t>三级指标</w:t>
            </w:r>
          </w:p>
        </w:tc>
        <w:tc>
          <w:tcPr>
            <w:tcW w:w="5386" w:type="dxa"/>
            <w:vAlign w:val="center"/>
          </w:tcPr>
          <w:p w14:paraId="15BC6E09">
            <w:pPr>
              <w:pStyle w:val="11"/>
            </w:pPr>
            <w:r>
              <w:t>绩效指标描述</w:t>
            </w:r>
          </w:p>
        </w:tc>
        <w:tc>
          <w:tcPr>
            <w:tcW w:w="2268" w:type="dxa"/>
            <w:vAlign w:val="center"/>
          </w:tcPr>
          <w:p w14:paraId="603390D9">
            <w:pPr>
              <w:pStyle w:val="11"/>
            </w:pPr>
            <w:r>
              <w:t>指标值</w:t>
            </w:r>
          </w:p>
        </w:tc>
        <w:tc>
          <w:tcPr>
            <w:tcW w:w="1276" w:type="dxa"/>
            <w:vAlign w:val="center"/>
          </w:tcPr>
          <w:p w14:paraId="0386440F">
            <w:pPr>
              <w:pStyle w:val="11"/>
            </w:pPr>
            <w:r>
              <w:t>指标值确定依据</w:t>
            </w:r>
          </w:p>
        </w:tc>
      </w:tr>
      <w:tr w14:paraId="1A60C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85C13">
            <w:pPr>
              <w:pStyle w:val="12"/>
            </w:pPr>
            <w:r>
              <w:t>产出指标</w:t>
            </w:r>
          </w:p>
        </w:tc>
        <w:tc>
          <w:tcPr>
            <w:tcW w:w="2268" w:type="dxa"/>
            <w:vAlign w:val="center"/>
          </w:tcPr>
          <w:p w14:paraId="68A69FE6">
            <w:pPr>
              <w:pStyle w:val="13"/>
            </w:pPr>
            <w:r>
              <w:t>数量指标</w:t>
            </w:r>
          </w:p>
        </w:tc>
        <w:tc>
          <w:tcPr>
            <w:tcW w:w="2835" w:type="dxa"/>
            <w:vAlign w:val="center"/>
          </w:tcPr>
          <w:p w14:paraId="458C890D">
            <w:pPr>
              <w:pStyle w:val="13"/>
            </w:pPr>
            <w:r>
              <w:t>电大招生人数</w:t>
            </w:r>
          </w:p>
        </w:tc>
        <w:tc>
          <w:tcPr>
            <w:tcW w:w="5386" w:type="dxa"/>
            <w:vAlign w:val="center"/>
          </w:tcPr>
          <w:p w14:paraId="3B11A128">
            <w:pPr>
              <w:pStyle w:val="13"/>
            </w:pPr>
            <w:r>
              <w:t>电大招生人数</w:t>
            </w:r>
          </w:p>
        </w:tc>
        <w:tc>
          <w:tcPr>
            <w:tcW w:w="2268" w:type="dxa"/>
            <w:vAlign w:val="center"/>
          </w:tcPr>
          <w:p w14:paraId="79F13F2F">
            <w:pPr>
              <w:pStyle w:val="13"/>
            </w:pPr>
            <w:r>
              <w:t>≥200人</w:t>
            </w:r>
          </w:p>
        </w:tc>
        <w:tc>
          <w:tcPr>
            <w:tcW w:w="1276" w:type="dxa"/>
            <w:vAlign w:val="center"/>
          </w:tcPr>
          <w:p w14:paraId="578CF750">
            <w:pPr>
              <w:pStyle w:val="13"/>
            </w:pPr>
            <w:r>
              <w:t>年度工作计划</w:t>
            </w:r>
          </w:p>
        </w:tc>
      </w:tr>
      <w:tr w14:paraId="71A00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9EE00"/>
        </w:tc>
        <w:tc>
          <w:tcPr>
            <w:tcW w:w="2268" w:type="dxa"/>
            <w:vAlign w:val="center"/>
          </w:tcPr>
          <w:p w14:paraId="02B7EAB0">
            <w:pPr>
              <w:pStyle w:val="13"/>
            </w:pPr>
            <w:r>
              <w:t>质量指标</w:t>
            </w:r>
          </w:p>
        </w:tc>
        <w:tc>
          <w:tcPr>
            <w:tcW w:w="2835" w:type="dxa"/>
            <w:vAlign w:val="center"/>
          </w:tcPr>
          <w:p w14:paraId="512E72F9">
            <w:pPr>
              <w:pStyle w:val="13"/>
            </w:pPr>
            <w:r>
              <w:t>电大学员过关率</w:t>
            </w:r>
          </w:p>
        </w:tc>
        <w:tc>
          <w:tcPr>
            <w:tcW w:w="5386" w:type="dxa"/>
            <w:vAlign w:val="center"/>
          </w:tcPr>
          <w:p w14:paraId="44110727">
            <w:pPr>
              <w:pStyle w:val="13"/>
            </w:pPr>
            <w:r>
              <w:t>电大学员过关率</w:t>
            </w:r>
          </w:p>
        </w:tc>
        <w:tc>
          <w:tcPr>
            <w:tcW w:w="2268" w:type="dxa"/>
            <w:vAlign w:val="center"/>
          </w:tcPr>
          <w:p w14:paraId="494EDA41">
            <w:pPr>
              <w:pStyle w:val="13"/>
            </w:pPr>
            <w:r>
              <w:t>≥98%</w:t>
            </w:r>
          </w:p>
        </w:tc>
        <w:tc>
          <w:tcPr>
            <w:tcW w:w="1276" w:type="dxa"/>
            <w:vAlign w:val="center"/>
          </w:tcPr>
          <w:p w14:paraId="26D1EE19">
            <w:pPr>
              <w:pStyle w:val="13"/>
            </w:pPr>
            <w:r>
              <w:t>年度工作计划</w:t>
            </w:r>
          </w:p>
        </w:tc>
      </w:tr>
      <w:tr w14:paraId="199E0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6475A"/>
        </w:tc>
        <w:tc>
          <w:tcPr>
            <w:tcW w:w="2268" w:type="dxa"/>
            <w:vAlign w:val="center"/>
          </w:tcPr>
          <w:p w14:paraId="4B21A187">
            <w:pPr>
              <w:pStyle w:val="13"/>
            </w:pPr>
            <w:r>
              <w:t>时效指标</w:t>
            </w:r>
          </w:p>
        </w:tc>
        <w:tc>
          <w:tcPr>
            <w:tcW w:w="2835" w:type="dxa"/>
            <w:vAlign w:val="center"/>
          </w:tcPr>
          <w:p w14:paraId="54F133F4">
            <w:pPr>
              <w:pStyle w:val="13"/>
            </w:pPr>
            <w:r>
              <w:t>电大招生完成率</w:t>
            </w:r>
          </w:p>
        </w:tc>
        <w:tc>
          <w:tcPr>
            <w:tcW w:w="5386" w:type="dxa"/>
            <w:vAlign w:val="center"/>
          </w:tcPr>
          <w:p w14:paraId="74893125">
            <w:pPr>
              <w:pStyle w:val="13"/>
            </w:pPr>
            <w:r>
              <w:t>电大招生完成率</w:t>
            </w:r>
          </w:p>
        </w:tc>
        <w:tc>
          <w:tcPr>
            <w:tcW w:w="2268" w:type="dxa"/>
            <w:vAlign w:val="center"/>
          </w:tcPr>
          <w:p w14:paraId="01AF57A2">
            <w:pPr>
              <w:pStyle w:val="13"/>
            </w:pPr>
            <w:r>
              <w:t>≥100%</w:t>
            </w:r>
          </w:p>
        </w:tc>
        <w:tc>
          <w:tcPr>
            <w:tcW w:w="1276" w:type="dxa"/>
            <w:vAlign w:val="center"/>
          </w:tcPr>
          <w:p w14:paraId="329BFBC0">
            <w:pPr>
              <w:pStyle w:val="13"/>
            </w:pPr>
            <w:r>
              <w:t>年度工作计划</w:t>
            </w:r>
          </w:p>
        </w:tc>
      </w:tr>
      <w:tr w14:paraId="2B39A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9A834"/>
        </w:tc>
        <w:tc>
          <w:tcPr>
            <w:tcW w:w="2268" w:type="dxa"/>
            <w:vAlign w:val="center"/>
          </w:tcPr>
          <w:p w14:paraId="59B1776B">
            <w:pPr>
              <w:pStyle w:val="13"/>
            </w:pPr>
            <w:r>
              <w:t>成本指标</w:t>
            </w:r>
          </w:p>
        </w:tc>
        <w:tc>
          <w:tcPr>
            <w:tcW w:w="2835" w:type="dxa"/>
            <w:vAlign w:val="center"/>
          </w:tcPr>
          <w:p w14:paraId="70090903">
            <w:pPr>
              <w:pStyle w:val="13"/>
            </w:pPr>
            <w:r>
              <w:t>学员人均费用</w:t>
            </w:r>
          </w:p>
        </w:tc>
        <w:tc>
          <w:tcPr>
            <w:tcW w:w="5386" w:type="dxa"/>
            <w:vAlign w:val="center"/>
          </w:tcPr>
          <w:p w14:paraId="59B15C75">
            <w:pPr>
              <w:pStyle w:val="13"/>
            </w:pPr>
            <w:r>
              <w:t>学员人均费用</w:t>
            </w:r>
          </w:p>
        </w:tc>
        <w:tc>
          <w:tcPr>
            <w:tcW w:w="2268" w:type="dxa"/>
            <w:vAlign w:val="center"/>
          </w:tcPr>
          <w:p w14:paraId="018DB74B">
            <w:pPr>
              <w:pStyle w:val="13"/>
            </w:pPr>
            <w:r>
              <w:t>≥2000元</w:t>
            </w:r>
          </w:p>
        </w:tc>
        <w:tc>
          <w:tcPr>
            <w:tcW w:w="1276" w:type="dxa"/>
            <w:vAlign w:val="center"/>
          </w:tcPr>
          <w:p w14:paraId="00C0EE73">
            <w:pPr>
              <w:pStyle w:val="13"/>
            </w:pPr>
            <w:r>
              <w:t>年度工作计划</w:t>
            </w:r>
          </w:p>
        </w:tc>
      </w:tr>
      <w:tr w14:paraId="6AE0D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B1B67">
            <w:pPr>
              <w:pStyle w:val="12"/>
            </w:pPr>
            <w:r>
              <w:t>效益指标</w:t>
            </w:r>
          </w:p>
        </w:tc>
        <w:tc>
          <w:tcPr>
            <w:tcW w:w="2268" w:type="dxa"/>
            <w:vAlign w:val="center"/>
          </w:tcPr>
          <w:p w14:paraId="1F577823">
            <w:pPr>
              <w:pStyle w:val="13"/>
            </w:pPr>
            <w:r>
              <w:t>经济效益指标</w:t>
            </w:r>
          </w:p>
        </w:tc>
        <w:tc>
          <w:tcPr>
            <w:tcW w:w="2835" w:type="dxa"/>
            <w:vAlign w:val="center"/>
          </w:tcPr>
          <w:p w14:paraId="687964E4">
            <w:pPr>
              <w:pStyle w:val="13"/>
            </w:pPr>
            <w:r>
              <w:t>培训工作经济效益提升</w:t>
            </w:r>
          </w:p>
        </w:tc>
        <w:tc>
          <w:tcPr>
            <w:tcW w:w="5386" w:type="dxa"/>
            <w:vAlign w:val="center"/>
          </w:tcPr>
          <w:p w14:paraId="72628CB7">
            <w:pPr>
              <w:pStyle w:val="13"/>
            </w:pPr>
            <w:r>
              <w:t>培训工作经济效益提升</w:t>
            </w:r>
          </w:p>
        </w:tc>
        <w:tc>
          <w:tcPr>
            <w:tcW w:w="2268" w:type="dxa"/>
            <w:vAlign w:val="center"/>
          </w:tcPr>
          <w:p w14:paraId="3BA3ECDC">
            <w:pPr>
              <w:pStyle w:val="13"/>
            </w:pPr>
            <w:r>
              <w:t>≥98%</w:t>
            </w:r>
          </w:p>
        </w:tc>
        <w:tc>
          <w:tcPr>
            <w:tcW w:w="1276" w:type="dxa"/>
            <w:vAlign w:val="center"/>
          </w:tcPr>
          <w:p w14:paraId="4FB17DA1">
            <w:pPr>
              <w:pStyle w:val="13"/>
            </w:pPr>
            <w:r>
              <w:t>年度工作计划</w:t>
            </w:r>
          </w:p>
        </w:tc>
      </w:tr>
      <w:tr w14:paraId="59631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EBD96"/>
        </w:tc>
        <w:tc>
          <w:tcPr>
            <w:tcW w:w="2268" w:type="dxa"/>
            <w:vAlign w:val="center"/>
          </w:tcPr>
          <w:p w14:paraId="79EA5078">
            <w:pPr>
              <w:pStyle w:val="13"/>
            </w:pPr>
            <w:r>
              <w:t>社会效益指标</w:t>
            </w:r>
          </w:p>
        </w:tc>
        <w:tc>
          <w:tcPr>
            <w:tcW w:w="2835" w:type="dxa"/>
            <w:vAlign w:val="center"/>
          </w:tcPr>
          <w:p w14:paraId="189BBDA8">
            <w:pPr>
              <w:pStyle w:val="13"/>
            </w:pPr>
            <w:r>
              <w:t>提升干部职工学历</w:t>
            </w:r>
          </w:p>
        </w:tc>
        <w:tc>
          <w:tcPr>
            <w:tcW w:w="5386" w:type="dxa"/>
            <w:vAlign w:val="center"/>
          </w:tcPr>
          <w:p w14:paraId="2589950C">
            <w:pPr>
              <w:pStyle w:val="13"/>
            </w:pPr>
            <w:r>
              <w:t>学历提升率</w:t>
            </w:r>
          </w:p>
        </w:tc>
        <w:tc>
          <w:tcPr>
            <w:tcW w:w="2268" w:type="dxa"/>
            <w:vAlign w:val="center"/>
          </w:tcPr>
          <w:p w14:paraId="7FCCC2EC">
            <w:pPr>
              <w:pStyle w:val="13"/>
            </w:pPr>
            <w:r>
              <w:t>≥80%</w:t>
            </w:r>
          </w:p>
        </w:tc>
        <w:tc>
          <w:tcPr>
            <w:tcW w:w="1276" w:type="dxa"/>
            <w:vAlign w:val="center"/>
          </w:tcPr>
          <w:p w14:paraId="2CEA0128">
            <w:pPr>
              <w:pStyle w:val="13"/>
            </w:pPr>
            <w:r>
              <w:t>年度工作计划</w:t>
            </w:r>
          </w:p>
        </w:tc>
      </w:tr>
      <w:tr w14:paraId="11FDF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DC3CE"/>
        </w:tc>
        <w:tc>
          <w:tcPr>
            <w:tcW w:w="2268" w:type="dxa"/>
            <w:vAlign w:val="center"/>
          </w:tcPr>
          <w:p w14:paraId="4E158CED">
            <w:pPr>
              <w:pStyle w:val="13"/>
            </w:pPr>
            <w:r>
              <w:t>生态效益指标</w:t>
            </w:r>
          </w:p>
        </w:tc>
        <w:tc>
          <w:tcPr>
            <w:tcW w:w="2835" w:type="dxa"/>
            <w:vAlign w:val="center"/>
          </w:tcPr>
          <w:p w14:paraId="12DC23A8">
            <w:pPr>
              <w:pStyle w:val="13"/>
            </w:pPr>
            <w:r>
              <w:t>教育环境</w:t>
            </w:r>
          </w:p>
        </w:tc>
        <w:tc>
          <w:tcPr>
            <w:tcW w:w="5386" w:type="dxa"/>
            <w:vAlign w:val="center"/>
          </w:tcPr>
          <w:p w14:paraId="7351BDF2">
            <w:pPr>
              <w:pStyle w:val="13"/>
            </w:pPr>
            <w:r>
              <w:t>改善我县教育师资环境</w:t>
            </w:r>
          </w:p>
        </w:tc>
        <w:tc>
          <w:tcPr>
            <w:tcW w:w="2268" w:type="dxa"/>
            <w:vAlign w:val="center"/>
          </w:tcPr>
          <w:p w14:paraId="0A95D1D9">
            <w:pPr>
              <w:pStyle w:val="13"/>
            </w:pPr>
            <w:r>
              <w:t>≥90%</w:t>
            </w:r>
          </w:p>
        </w:tc>
        <w:tc>
          <w:tcPr>
            <w:tcW w:w="1276" w:type="dxa"/>
            <w:vAlign w:val="center"/>
          </w:tcPr>
          <w:p w14:paraId="051C510F">
            <w:pPr>
              <w:pStyle w:val="13"/>
            </w:pPr>
            <w:r>
              <w:t>年度工作计划</w:t>
            </w:r>
          </w:p>
        </w:tc>
      </w:tr>
      <w:tr w14:paraId="3AB63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1CFB5"/>
        </w:tc>
        <w:tc>
          <w:tcPr>
            <w:tcW w:w="2268" w:type="dxa"/>
            <w:vAlign w:val="center"/>
          </w:tcPr>
          <w:p w14:paraId="3B519A7D">
            <w:pPr>
              <w:pStyle w:val="13"/>
            </w:pPr>
            <w:r>
              <w:t>可持续影响指标</w:t>
            </w:r>
          </w:p>
        </w:tc>
        <w:tc>
          <w:tcPr>
            <w:tcW w:w="2835" w:type="dxa"/>
            <w:vAlign w:val="center"/>
          </w:tcPr>
          <w:p w14:paraId="76174135">
            <w:pPr>
              <w:pStyle w:val="13"/>
            </w:pPr>
            <w:r>
              <w:t>培训效果影响程度</w:t>
            </w:r>
          </w:p>
        </w:tc>
        <w:tc>
          <w:tcPr>
            <w:tcW w:w="5386" w:type="dxa"/>
            <w:vAlign w:val="center"/>
          </w:tcPr>
          <w:p w14:paraId="0AD8D627">
            <w:pPr>
              <w:pStyle w:val="13"/>
            </w:pPr>
            <w:r>
              <w:t>培训效果影响率</w:t>
            </w:r>
          </w:p>
        </w:tc>
        <w:tc>
          <w:tcPr>
            <w:tcW w:w="2268" w:type="dxa"/>
            <w:vAlign w:val="center"/>
          </w:tcPr>
          <w:p w14:paraId="4ABB9B17">
            <w:pPr>
              <w:pStyle w:val="13"/>
            </w:pPr>
            <w:r>
              <w:t>≥80%</w:t>
            </w:r>
          </w:p>
        </w:tc>
        <w:tc>
          <w:tcPr>
            <w:tcW w:w="1276" w:type="dxa"/>
            <w:vAlign w:val="center"/>
          </w:tcPr>
          <w:p w14:paraId="1F8B0CF6">
            <w:pPr>
              <w:pStyle w:val="13"/>
            </w:pPr>
            <w:r>
              <w:t>年度工作计划</w:t>
            </w:r>
          </w:p>
        </w:tc>
      </w:tr>
      <w:tr w14:paraId="1B2BC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0F628D">
            <w:pPr>
              <w:pStyle w:val="12"/>
            </w:pPr>
            <w:r>
              <w:t>满意度指标</w:t>
            </w:r>
          </w:p>
        </w:tc>
        <w:tc>
          <w:tcPr>
            <w:tcW w:w="2268" w:type="dxa"/>
            <w:vAlign w:val="center"/>
          </w:tcPr>
          <w:p w14:paraId="02DBF886">
            <w:pPr>
              <w:pStyle w:val="13"/>
            </w:pPr>
            <w:r>
              <w:t>服务对象满意度指标</w:t>
            </w:r>
          </w:p>
        </w:tc>
        <w:tc>
          <w:tcPr>
            <w:tcW w:w="2835" w:type="dxa"/>
            <w:vAlign w:val="center"/>
          </w:tcPr>
          <w:p w14:paraId="1FDD181D">
            <w:pPr>
              <w:pStyle w:val="13"/>
            </w:pPr>
            <w:r>
              <w:t>学员满意度</w:t>
            </w:r>
          </w:p>
        </w:tc>
        <w:tc>
          <w:tcPr>
            <w:tcW w:w="5386" w:type="dxa"/>
            <w:vAlign w:val="center"/>
          </w:tcPr>
          <w:p w14:paraId="51823944">
            <w:pPr>
              <w:pStyle w:val="13"/>
            </w:pPr>
            <w:r>
              <w:t>学员满意情况</w:t>
            </w:r>
          </w:p>
        </w:tc>
        <w:tc>
          <w:tcPr>
            <w:tcW w:w="2268" w:type="dxa"/>
            <w:vAlign w:val="center"/>
          </w:tcPr>
          <w:p w14:paraId="4B1108D5">
            <w:pPr>
              <w:pStyle w:val="13"/>
            </w:pPr>
            <w:r>
              <w:t>≥98%</w:t>
            </w:r>
          </w:p>
        </w:tc>
        <w:tc>
          <w:tcPr>
            <w:tcW w:w="1276" w:type="dxa"/>
            <w:vAlign w:val="center"/>
          </w:tcPr>
          <w:p w14:paraId="37F0F00F">
            <w:pPr>
              <w:pStyle w:val="13"/>
            </w:pPr>
            <w:r>
              <w:t>问卷调查</w:t>
            </w:r>
          </w:p>
        </w:tc>
      </w:tr>
    </w:tbl>
    <w:p w14:paraId="2E61D50D">
      <w:pPr>
        <w:sectPr>
          <w:pgSz w:w="16840" w:h="11900" w:orient="landscape"/>
          <w:pgMar w:top="1361" w:right="1020" w:bottom="1134" w:left="1020" w:header="720" w:footer="720" w:gutter="0"/>
          <w:cols w:space="720" w:num="1"/>
        </w:sectPr>
      </w:pPr>
    </w:p>
    <w:p w14:paraId="3288EAF0">
      <w:pPr>
        <w:spacing w:before="0" w:after="0"/>
        <w:ind w:firstLine="560"/>
        <w:jc w:val="left"/>
        <w:outlineLvl w:val="9"/>
      </w:pPr>
      <w:r>
        <w:rPr>
          <w:rFonts w:ascii="方正仿宋_GBK" w:hAnsi="方正仿宋_GBK" w:eastAsia="方正仿宋_GBK" w:cs="方正仿宋_GBK"/>
          <w:b/>
          <w:color w:val="000000"/>
          <w:sz w:val="28"/>
        </w:rPr>
        <w:t>2、教师发展中心培训费绩效目标表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11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4E644">
            <w:pPr>
              <w:pStyle w:val="14"/>
            </w:pPr>
            <w:r>
              <w:t>单位：万元</w:t>
            </w:r>
          </w:p>
        </w:tc>
      </w:tr>
      <w:tr w14:paraId="74C29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731B0F">
            <w:pPr>
              <w:pStyle w:val="11"/>
            </w:pPr>
            <w:r>
              <w:t>项目编码</w:t>
            </w:r>
          </w:p>
        </w:tc>
        <w:tc>
          <w:tcPr>
            <w:tcW w:w="5103" w:type="dxa"/>
            <w:gridSpan w:val="2"/>
            <w:vAlign w:val="center"/>
          </w:tcPr>
          <w:p w14:paraId="2EABA7CA">
            <w:pPr>
              <w:pStyle w:val="13"/>
            </w:pPr>
            <w:r>
              <w:t>13052524P00875610027W</w:t>
            </w:r>
          </w:p>
        </w:tc>
        <w:tc>
          <w:tcPr>
            <w:tcW w:w="2835" w:type="dxa"/>
            <w:vAlign w:val="center"/>
          </w:tcPr>
          <w:p w14:paraId="3EA43034">
            <w:pPr>
              <w:pStyle w:val="11"/>
            </w:pPr>
            <w:r>
              <w:t>项目名称</w:t>
            </w:r>
          </w:p>
        </w:tc>
        <w:tc>
          <w:tcPr>
            <w:tcW w:w="6095" w:type="dxa"/>
            <w:gridSpan w:val="3"/>
            <w:vAlign w:val="center"/>
          </w:tcPr>
          <w:p w14:paraId="00C34845">
            <w:pPr>
              <w:pStyle w:val="13"/>
            </w:pPr>
            <w:r>
              <w:t>教师发展中心培训费</w:t>
            </w:r>
          </w:p>
        </w:tc>
      </w:tr>
      <w:tr w14:paraId="26103F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1C2EB">
            <w:pPr>
              <w:pStyle w:val="11"/>
            </w:pPr>
            <w:r>
              <w:t>预算规模及资金用途</w:t>
            </w:r>
          </w:p>
        </w:tc>
        <w:tc>
          <w:tcPr>
            <w:tcW w:w="2268" w:type="dxa"/>
            <w:vAlign w:val="center"/>
          </w:tcPr>
          <w:p w14:paraId="69E5DC83">
            <w:pPr>
              <w:pStyle w:val="11"/>
            </w:pPr>
            <w:r>
              <w:t>预算数</w:t>
            </w:r>
          </w:p>
        </w:tc>
        <w:tc>
          <w:tcPr>
            <w:tcW w:w="2835" w:type="dxa"/>
            <w:vAlign w:val="center"/>
          </w:tcPr>
          <w:p w14:paraId="5B6CB9E0">
            <w:pPr>
              <w:pStyle w:val="13"/>
            </w:pPr>
            <w:r>
              <w:t>13.00</w:t>
            </w:r>
          </w:p>
        </w:tc>
        <w:tc>
          <w:tcPr>
            <w:tcW w:w="2835" w:type="dxa"/>
            <w:vAlign w:val="center"/>
          </w:tcPr>
          <w:p w14:paraId="6557BC58">
            <w:pPr>
              <w:pStyle w:val="11"/>
            </w:pPr>
            <w:r>
              <w:t>其中：财政    资金</w:t>
            </w:r>
          </w:p>
        </w:tc>
        <w:tc>
          <w:tcPr>
            <w:tcW w:w="2551" w:type="dxa"/>
            <w:vAlign w:val="center"/>
          </w:tcPr>
          <w:p w14:paraId="6345903D">
            <w:pPr>
              <w:pStyle w:val="13"/>
            </w:pPr>
            <w:r>
              <w:t>13.00</w:t>
            </w:r>
          </w:p>
        </w:tc>
        <w:tc>
          <w:tcPr>
            <w:tcW w:w="2268" w:type="dxa"/>
            <w:vAlign w:val="center"/>
          </w:tcPr>
          <w:p w14:paraId="74E12B3F">
            <w:pPr>
              <w:pStyle w:val="11"/>
            </w:pPr>
            <w:r>
              <w:t>其他资金</w:t>
            </w:r>
          </w:p>
        </w:tc>
        <w:tc>
          <w:tcPr>
            <w:tcW w:w="1276" w:type="dxa"/>
            <w:vAlign w:val="center"/>
          </w:tcPr>
          <w:p w14:paraId="1544A04C">
            <w:pPr>
              <w:pStyle w:val="13"/>
            </w:pPr>
            <w:r>
              <w:t xml:space="preserve"> </w:t>
            </w:r>
          </w:p>
        </w:tc>
      </w:tr>
      <w:tr w14:paraId="2FD17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4AC69E"/>
        </w:tc>
        <w:tc>
          <w:tcPr>
            <w:tcW w:w="14033" w:type="dxa"/>
            <w:gridSpan w:val="6"/>
            <w:vAlign w:val="center"/>
          </w:tcPr>
          <w:p w14:paraId="5A20E5AB">
            <w:pPr>
              <w:pStyle w:val="13"/>
            </w:pPr>
            <w:r>
              <w:t>安排教师发展中心经费，用于中小学教师培训。</w:t>
            </w:r>
          </w:p>
        </w:tc>
      </w:tr>
      <w:tr w14:paraId="5DC05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466B3">
            <w:pPr>
              <w:pStyle w:val="11"/>
            </w:pPr>
            <w:r>
              <w:t>资金支出计划（%）</w:t>
            </w:r>
          </w:p>
        </w:tc>
        <w:tc>
          <w:tcPr>
            <w:tcW w:w="5103" w:type="dxa"/>
            <w:gridSpan w:val="2"/>
            <w:vAlign w:val="center"/>
          </w:tcPr>
          <w:p w14:paraId="528852D7">
            <w:pPr>
              <w:pStyle w:val="11"/>
            </w:pPr>
            <w:r>
              <w:t>3月底</w:t>
            </w:r>
          </w:p>
        </w:tc>
        <w:tc>
          <w:tcPr>
            <w:tcW w:w="2835" w:type="dxa"/>
            <w:vAlign w:val="center"/>
          </w:tcPr>
          <w:p w14:paraId="4DE3B43B">
            <w:pPr>
              <w:pStyle w:val="11"/>
            </w:pPr>
            <w:r>
              <w:t>6月底</w:t>
            </w:r>
          </w:p>
        </w:tc>
        <w:tc>
          <w:tcPr>
            <w:tcW w:w="2551" w:type="dxa"/>
            <w:vAlign w:val="center"/>
          </w:tcPr>
          <w:p w14:paraId="6028C3C5">
            <w:pPr>
              <w:pStyle w:val="11"/>
            </w:pPr>
            <w:r>
              <w:t>10月底</w:t>
            </w:r>
          </w:p>
        </w:tc>
        <w:tc>
          <w:tcPr>
            <w:tcW w:w="3544" w:type="dxa"/>
            <w:gridSpan w:val="2"/>
            <w:vAlign w:val="center"/>
          </w:tcPr>
          <w:p w14:paraId="163ED3D8">
            <w:pPr>
              <w:pStyle w:val="11"/>
            </w:pPr>
            <w:r>
              <w:t>12月底</w:t>
            </w:r>
          </w:p>
        </w:tc>
      </w:tr>
      <w:tr w14:paraId="6D461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D4304"/>
        </w:tc>
        <w:tc>
          <w:tcPr>
            <w:tcW w:w="5103" w:type="dxa"/>
            <w:gridSpan w:val="2"/>
            <w:vAlign w:val="center"/>
          </w:tcPr>
          <w:p w14:paraId="6310BFD2">
            <w:pPr>
              <w:pStyle w:val="12"/>
            </w:pPr>
            <w:r>
              <w:t>25%</w:t>
            </w:r>
          </w:p>
        </w:tc>
        <w:tc>
          <w:tcPr>
            <w:tcW w:w="2835" w:type="dxa"/>
            <w:vAlign w:val="center"/>
          </w:tcPr>
          <w:p w14:paraId="3BC35A32">
            <w:pPr>
              <w:pStyle w:val="12"/>
            </w:pPr>
            <w:r>
              <w:t>25%</w:t>
            </w:r>
          </w:p>
        </w:tc>
        <w:tc>
          <w:tcPr>
            <w:tcW w:w="2551" w:type="dxa"/>
            <w:vAlign w:val="center"/>
          </w:tcPr>
          <w:p w14:paraId="31E92848">
            <w:pPr>
              <w:pStyle w:val="12"/>
            </w:pPr>
            <w:r>
              <w:t>25%</w:t>
            </w:r>
          </w:p>
        </w:tc>
        <w:tc>
          <w:tcPr>
            <w:tcW w:w="3544" w:type="dxa"/>
            <w:gridSpan w:val="2"/>
            <w:vAlign w:val="center"/>
          </w:tcPr>
          <w:p w14:paraId="2C3C64B1">
            <w:pPr>
              <w:pStyle w:val="12"/>
            </w:pPr>
            <w:r>
              <w:t>25%</w:t>
            </w:r>
          </w:p>
        </w:tc>
      </w:tr>
      <w:tr w14:paraId="51926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640FA2">
            <w:pPr>
              <w:pStyle w:val="11"/>
            </w:pPr>
            <w:r>
              <w:t>绩效目标</w:t>
            </w:r>
          </w:p>
        </w:tc>
        <w:tc>
          <w:tcPr>
            <w:tcW w:w="14033" w:type="dxa"/>
            <w:gridSpan w:val="6"/>
            <w:vAlign w:val="center"/>
          </w:tcPr>
          <w:p w14:paraId="33F46641">
            <w:pPr>
              <w:pStyle w:val="13"/>
            </w:pPr>
            <w:r>
              <w:t xml:space="preserve">1.预算安排教师发展中心经费13万元，用于中小学教师培训。 </w:t>
            </w:r>
            <w:r>
              <w:tab/>
            </w:r>
            <w:r>
              <w:tab/>
            </w:r>
            <w:r>
              <w:tab/>
            </w:r>
            <w:r>
              <w:tab/>
            </w:r>
            <w:r>
              <w:tab/>
            </w:r>
          </w:p>
        </w:tc>
      </w:tr>
    </w:tbl>
    <w:p w14:paraId="49C95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EB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A9840">
            <w:pPr>
              <w:pStyle w:val="11"/>
            </w:pPr>
            <w:r>
              <w:t>一级指标</w:t>
            </w:r>
          </w:p>
        </w:tc>
        <w:tc>
          <w:tcPr>
            <w:tcW w:w="2268" w:type="dxa"/>
            <w:vAlign w:val="center"/>
          </w:tcPr>
          <w:p w14:paraId="14B2D794">
            <w:pPr>
              <w:pStyle w:val="11"/>
            </w:pPr>
            <w:r>
              <w:t>二级指标</w:t>
            </w:r>
          </w:p>
        </w:tc>
        <w:tc>
          <w:tcPr>
            <w:tcW w:w="2835" w:type="dxa"/>
            <w:vAlign w:val="center"/>
          </w:tcPr>
          <w:p w14:paraId="7ED8AE42">
            <w:pPr>
              <w:pStyle w:val="11"/>
            </w:pPr>
            <w:r>
              <w:t>三级指标</w:t>
            </w:r>
          </w:p>
        </w:tc>
        <w:tc>
          <w:tcPr>
            <w:tcW w:w="5386" w:type="dxa"/>
            <w:vAlign w:val="center"/>
          </w:tcPr>
          <w:p w14:paraId="39F1A4A7">
            <w:pPr>
              <w:pStyle w:val="11"/>
            </w:pPr>
            <w:r>
              <w:t>绩效指标描述</w:t>
            </w:r>
          </w:p>
        </w:tc>
        <w:tc>
          <w:tcPr>
            <w:tcW w:w="2268" w:type="dxa"/>
            <w:vAlign w:val="center"/>
          </w:tcPr>
          <w:p w14:paraId="5DE311F5">
            <w:pPr>
              <w:pStyle w:val="11"/>
            </w:pPr>
            <w:r>
              <w:t>指标值</w:t>
            </w:r>
          </w:p>
        </w:tc>
        <w:tc>
          <w:tcPr>
            <w:tcW w:w="1276" w:type="dxa"/>
            <w:vAlign w:val="center"/>
          </w:tcPr>
          <w:p w14:paraId="12511ED7">
            <w:pPr>
              <w:pStyle w:val="11"/>
            </w:pPr>
            <w:r>
              <w:t>指标值确定依据</w:t>
            </w:r>
          </w:p>
        </w:tc>
      </w:tr>
      <w:tr w14:paraId="37912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F7AC8">
            <w:pPr>
              <w:pStyle w:val="12"/>
            </w:pPr>
            <w:r>
              <w:t>产出指标</w:t>
            </w:r>
          </w:p>
        </w:tc>
        <w:tc>
          <w:tcPr>
            <w:tcW w:w="2268" w:type="dxa"/>
            <w:vAlign w:val="center"/>
          </w:tcPr>
          <w:p w14:paraId="13A07C3D">
            <w:pPr>
              <w:pStyle w:val="13"/>
            </w:pPr>
            <w:r>
              <w:t>数量指标</w:t>
            </w:r>
          </w:p>
        </w:tc>
        <w:tc>
          <w:tcPr>
            <w:tcW w:w="2835" w:type="dxa"/>
            <w:vAlign w:val="center"/>
          </w:tcPr>
          <w:p w14:paraId="3F74DDC7">
            <w:pPr>
              <w:pStyle w:val="13"/>
            </w:pPr>
            <w:r>
              <w:t>名师工作室</w:t>
            </w:r>
          </w:p>
        </w:tc>
        <w:tc>
          <w:tcPr>
            <w:tcW w:w="5386" w:type="dxa"/>
            <w:vAlign w:val="center"/>
          </w:tcPr>
          <w:p w14:paraId="2017DE3E">
            <w:pPr>
              <w:pStyle w:val="13"/>
            </w:pPr>
            <w:r>
              <w:t>名师工作室人数</w:t>
            </w:r>
          </w:p>
        </w:tc>
        <w:tc>
          <w:tcPr>
            <w:tcW w:w="2268" w:type="dxa"/>
            <w:vAlign w:val="center"/>
          </w:tcPr>
          <w:p w14:paraId="763A79D7">
            <w:pPr>
              <w:pStyle w:val="13"/>
            </w:pPr>
            <w:r>
              <w:t>≥60人</w:t>
            </w:r>
          </w:p>
        </w:tc>
        <w:tc>
          <w:tcPr>
            <w:tcW w:w="1276" w:type="dxa"/>
            <w:vAlign w:val="center"/>
          </w:tcPr>
          <w:p w14:paraId="7233F926">
            <w:pPr>
              <w:pStyle w:val="13"/>
            </w:pPr>
            <w:r>
              <w:t>中小学教师培训管理办法</w:t>
            </w:r>
          </w:p>
        </w:tc>
      </w:tr>
      <w:tr w14:paraId="66B48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AFC8B"/>
        </w:tc>
        <w:tc>
          <w:tcPr>
            <w:tcW w:w="2268" w:type="dxa"/>
            <w:vAlign w:val="center"/>
          </w:tcPr>
          <w:p w14:paraId="3829B8D2">
            <w:pPr>
              <w:pStyle w:val="13"/>
            </w:pPr>
            <w:r>
              <w:t>质量指标</w:t>
            </w:r>
          </w:p>
        </w:tc>
        <w:tc>
          <w:tcPr>
            <w:tcW w:w="2835" w:type="dxa"/>
            <w:vAlign w:val="center"/>
          </w:tcPr>
          <w:p w14:paraId="3A896D2C">
            <w:pPr>
              <w:pStyle w:val="13"/>
            </w:pPr>
            <w:r>
              <w:t>培训任务完成情况</w:t>
            </w:r>
          </w:p>
        </w:tc>
        <w:tc>
          <w:tcPr>
            <w:tcW w:w="5386" w:type="dxa"/>
            <w:vAlign w:val="center"/>
          </w:tcPr>
          <w:p w14:paraId="313FEA7B">
            <w:pPr>
              <w:pStyle w:val="13"/>
            </w:pPr>
            <w:r>
              <w:t>培训任务完成率</w:t>
            </w:r>
          </w:p>
        </w:tc>
        <w:tc>
          <w:tcPr>
            <w:tcW w:w="2268" w:type="dxa"/>
            <w:vAlign w:val="center"/>
          </w:tcPr>
          <w:p w14:paraId="6E615487">
            <w:pPr>
              <w:pStyle w:val="13"/>
            </w:pPr>
            <w:r>
              <w:t>≥99%</w:t>
            </w:r>
          </w:p>
        </w:tc>
        <w:tc>
          <w:tcPr>
            <w:tcW w:w="1276" w:type="dxa"/>
            <w:vAlign w:val="center"/>
          </w:tcPr>
          <w:p w14:paraId="69D2646D">
            <w:pPr>
              <w:pStyle w:val="13"/>
            </w:pPr>
            <w:r>
              <w:t>中小学教师培训管理办法</w:t>
            </w:r>
          </w:p>
        </w:tc>
      </w:tr>
      <w:tr w14:paraId="535A6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F6D96"/>
        </w:tc>
        <w:tc>
          <w:tcPr>
            <w:tcW w:w="2268" w:type="dxa"/>
            <w:vAlign w:val="center"/>
          </w:tcPr>
          <w:p w14:paraId="58141236">
            <w:pPr>
              <w:pStyle w:val="13"/>
            </w:pPr>
            <w:r>
              <w:t>时效指标</w:t>
            </w:r>
          </w:p>
        </w:tc>
        <w:tc>
          <w:tcPr>
            <w:tcW w:w="2835" w:type="dxa"/>
            <w:vAlign w:val="center"/>
          </w:tcPr>
          <w:p w14:paraId="11A79D72">
            <w:pPr>
              <w:pStyle w:val="13"/>
            </w:pPr>
            <w:r>
              <w:t>培训计划按期完成率</w:t>
            </w:r>
          </w:p>
        </w:tc>
        <w:tc>
          <w:tcPr>
            <w:tcW w:w="5386" w:type="dxa"/>
            <w:vAlign w:val="center"/>
          </w:tcPr>
          <w:p w14:paraId="01CE68D3">
            <w:pPr>
              <w:pStyle w:val="13"/>
            </w:pPr>
            <w:r>
              <w:t>按期完成的培训计划占总培训计划的比率</w:t>
            </w:r>
          </w:p>
        </w:tc>
        <w:tc>
          <w:tcPr>
            <w:tcW w:w="2268" w:type="dxa"/>
            <w:vAlign w:val="center"/>
          </w:tcPr>
          <w:p w14:paraId="771C1EB9">
            <w:pPr>
              <w:pStyle w:val="13"/>
            </w:pPr>
            <w:r>
              <w:t>≥95%</w:t>
            </w:r>
          </w:p>
        </w:tc>
        <w:tc>
          <w:tcPr>
            <w:tcW w:w="1276" w:type="dxa"/>
            <w:vAlign w:val="center"/>
          </w:tcPr>
          <w:p w14:paraId="4B7D15AB">
            <w:pPr>
              <w:pStyle w:val="13"/>
            </w:pPr>
            <w:r>
              <w:t>中小学教师培训管理办法</w:t>
            </w:r>
          </w:p>
        </w:tc>
      </w:tr>
      <w:tr w14:paraId="4A5B6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3D59F"/>
        </w:tc>
        <w:tc>
          <w:tcPr>
            <w:tcW w:w="2268" w:type="dxa"/>
            <w:vAlign w:val="center"/>
          </w:tcPr>
          <w:p w14:paraId="1B2FE78A">
            <w:pPr>
              <w:pStyle w:val="13"/>
            </w:pPr>
            <w:r>
              <w:t>成本指标</w:t>
            </w:r>
          </w:p>
        </w:tc>
        <w:tc>
          <w:tcPr>
            <w:tcW w:w="2835" w:type="dxa"/>
            <w:vAlign w:val="center"/>
          </w:tcPr>
          <w:p w14:paraId="6486B565">
            <w:pPr>
              <w:pStyle w:val="13"/>
            </w:pPr>
            <w:r>
              <w:t>经费投入</w:t>
            </w:r>
          </w:p>
        </w:tc>
        <w:tc>
          <w:tcPr>
            <w:tcW w:w="5386" w:type="dxa"/>
            <w:vAlign w:val="center"/>
          </w:tcPr>
          <w:p w14:paraId="14E3C2E2">
            <w:pPr>
              <w:pStyle w:val="13"/>
            </w:pPr>
            <w:r>
              <w:t>中小学继续教育教师培训费经费</w:t>
            </w:r>
          </w:p>
        </w:tc>
        <w:tc>
          <w:tcPr>
            <w:tcW w:w="2268" w:type="dxa"/>
            <w:vAlign w:val="center"/>
          </w:tcPr>
          <w:p w14:paraId="7A032468">
            <w:pPr>
              <w:pStyle w:val="13"/>
            </w:pPr>
            <w:r>
              <w:t>≥13万元</w:t>
            </w:r>
          </w:p>
        </w:tc>
        <w:tc>
          <w:tcPr>
            <w:tcW w:w="1276" w:type="dxa"/>
            <w:vAlign w:val="center"/>
          </w:tcPr>
          <w:p w14:paraId="174618E1">
            <w:pPr>
              <w:pStyle w:val="13"/>
            </w:pPr>
            <w:r>
              <w:t>中小学教师培训管理办法</w:t>
            </w:r>
          </w:p>
        </w:tc>
      </w:tr>
      <w:tr w14:paraId="4D76D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C40A6">
            <w:pPr>
              <w:pStyle w:val="12"/>
            </w:pPr>
            <w:r>
              <w:t>效益指标</w:t>
            </w:r>
          </w:p>
        </w:tc>
        <w:tc>
          <w:tcPr>
            <w:tcW w:w="2268" w:type="dxa"/>
            <w:vAlign w:val="center"/>
          </w:tcPr>
          <w:p w14:paraId="52E45348">
            <w:pPr>
              <w:pStyle w:val="13"/>
            </w:pPr>
            <w:r>
              <w:t>经济效益指标</w:t>
            </w:r>
          </w:p>
        </w:tc>
        <w:tc>
          <w:tcPr>
            <w:tcW w:w="2835" w:type="dxa"/>
            <w:vAlign w:val="center"/>
          </w:tcPr>
          <w:p w14:paraId="41AE9170">
            <w:pPr>
              <w:pStyle w:val="13"/>
            </w:pPr>
            <w:r>
              <w:t>参训教师合格率达标</w:t>
            </w:r>
          </w:p>
        </w:tc>
        <w:tc>
          <w:tcPr>
            <w:tcW w:w="5386" w:type="dxa"/>
            <w:vAlign w:val="center"/>
          </w:tcPr>
          <w:p w14:paraId="5D0C2FC7">
            <w:pPr>
              <w:pStyle w:val="13"/>
            </w:pPr>
            <w:r>
              <w:t>参训教师合格率达标</w:t>
            </w:r>
          </w:p>
        </w:tc>
        <w:tc>
          <w:tcPr>
            <w:tcW w:w="2268" w:type="dxa"/>
            <w:vAlign w:val="center"/>
          </w:tcPr>
          <w:p w14:paraId="7AD77B42">
            <w:pPr>
              <w:pStyle w:val="13"/>
            </w:pPr>
            <w:r>
              <w:t>≥100%</w:t>
            </w:r>
          </w:p>
        </w:tc>
        <w:tc>
          <w:tcPr>
            <w:tcW w:w="1276" w:type="dxa"/>
            <w:vAlign w:val="center"/>
          </w:tcPr>
          <w:p w14:paraId="181AFB81">
            <w:pPr>
              <w:pStyle w:val="13"/>
            </w:pPr>
            <w:r>
              <w:t>中小学教师培训管理办法</w:t>
            </w:r>
          </w:p>
        </w:tc>
      </w:tr>
      <w:tr w14:paraId="1B876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1BE1BE97"/>
        </w:tc>
        <w:tc>
          <w:tcPr>
            <w:tcW w:w="2268" w:type="dxa"/>
            <w:vAlign w:val="center"/>
          </w:tcPr>
          <w:p w14:paraId="09B7DAAB">
            <w:pPr>
              <w:pStyle w:val="13"/>
            </w:pPr>
            <w:r>
              <w:t>社会效益指标</w:t>
            </w:r>
          </w:p>
        </w:tc>
        <w:tc>
          <w:tcPr>
            <w:tcW w:w="2835" w:type="dxa"/>
            <w:vAlign w:val="center"/>
          </w:tcPr>
          <w:p w14:paraId="29B308FA">
            <w:pPr>
              <w:pStyle w:val="13"/>
            </w:pPr>
            <w:r>
              <w:t>受训学员上岗率</w:t>
            </w:r>
          </w:p>
        </w:tc>
        <w:tc>
          <w:tcPr>
            <w:tcW w:w="5386" w:type="dxa"/>
            <w:vAlign w:val="center"/>
          </w:tcPr>
          <w:p w14:paraId="63B0D0DC">
            <w:pPr>
              <w:pStyle w:val="13"/>
            </w:pPr>
            <w:r>
              <w:t>业务培训后学员数量占学员总数量的比率</w:t>
            </w:r>
          </w:p>
        </w:tc>
        <w:tc>
          <w:tcPr>
            <w:tcW w:w="2268" w:type="dxa"/>
            <w:vAlign w:val="center"/>
          </w:tcPr>
          <w:p w14:paraId="2A23D208">
            <w:pPr>
              <w:pStyle w:val="13"/>
            </w:pPr>
            <w:r>
              <w:t>≥90%</w:t>
            </w:r>
          </w:p>
        </w:tc>
        <w:tc>
          <w:tcPr>
            <w:tcW w:w="1276" w:type="dxa"/>
            <w:vAlign w:val="center"/>
          </w:tcPr>
          <w:p w14:paraId="1B6962F2">
            <w:pPr>
              <w:pStyle w:val="13"/>
            </w:pPr>
            <w:r>
              <w:t>中小学教师培训管理办法</w:t>
            </w:r>
          </w:p>
        </w:tc>
      </w:tr>
      <w:tr w14:paraId="15648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C846D"/>
        </w:tc>
        <w:tc>
          <w:tcPr>
            <w:tcW w:w="2268" w:type="dxa"/>
            <w:vAlign w:val="center"/>
          </w:tcPr>
          <w:p w14:paraId="0DC85BE9">
            <w:pPr>
              <w:pStyle w:val="13"/>
            </w:pPr>
            <w:r>
              <w:t>生态效益指标</w:t>
            </w:r>
          </w:p>
        </w:tc>
        <w:tc>
          <w:tcPr>
            <w:tcW w:w="2835" w:type="dxa"/>
            <w:vAlign w:val="center"/>
          </w:tcPr>
          <w:p w14:paraId="2EA7B506">
            <w:pPr>
              <w:pStyle w:val="13"/>
            </w:pPr>
            <w:r>
              <w:t>教育师资环境</w:t>
            </w:r>
          </w:p>
        </w:tc>
        <w:tc>
          <w:tcPr>
            <w:tcW w:w="5386" w:type="dxa"/>
            <w:vAlign w:val="center"/>
          </w:tcPr>
          <w:p w14:paraId="5DEADF30">
            <w:pPr>
              <w:pStyle w:val="13"/>
            </w:pPr>
            <w:r>
              <w:t>教育师资环境有所改善</w:t>
            </w:r>
          </w:p>
        </w:tc>
        <w:tc>
          <w:tcPr>
            <w:tcW w:w="2268" w:type="dxa"/>
            <w:vAlign w:val="center"/>
          </w:tcPr>
          <w:p w14:paraId="0952161A">
            <w:pPr>
              <w:pStyle w:val="13"/>
            </w:pPr>
            <w:r>
              <w:t>≥95%</w:t>
            </w:r>
          </w:p>
        </w:tc>
        <w:tc>
          <w:tcPr>
            <w:tcW w:w="1276" w:type="dxa"/>
            <w:vAlign w:val="center"/>
          </w:tcPr>
          <w:p w14:paraId="67ADEEC4">
            <w:pPr>
              <w:pStyle w:val="13"/>
            </w:pPr>
            <w:r>
              <w:t>中小学教师培训管理办法</w:t>
            </w:r>
          </w:p>
        </w:tc>
      </w:tr>
      <w:tr w14:paraId="14CE5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2159"/>
        </w:tc>
        <w:tc>
          <w:tcPr>
            <w:tcW w:w="2268" w:type="dxa"/>
            <w:vAlign w:val="center"/>
          </w:tcPr>
          <w:p w14:paraId="38BA6607">
            <w:pPr>
              <w:pStyle w:val="13"/>
            </w:pPr>
            <w:r>
              <w:t>可持续影响指标</w:t>
            </w:r>
          </w:p>
        </w:tc>
        <w:tc>
          <w:tcPr>
            <w:tcW w:w="2835" w:type="dxa"/>
            <w:vAlign w:val="center"/>
          </w:tcPr>
          <w:p w14:paraId="47B80D5D">
            <w:pPr>
              <w:pStyle w:val="13"/>
            </w:pPr>
            <w:r>
              <w:t>激励教师工作积极性</w:t>
            </w:r>
          </w:p>
        </w:tc>
        <w:tc>
          <w:tcPr>
            <w:tcW w:w="5386" w:type="dxa"/>
            <w:vAlign w:val="center"/>
          </w:tcPr>
          <w:p w14:paraId="263705D2">
            <w:pPr>
              <w:pStyle w:val="13"/>
            </w:pPr>
            <w:r>
              <w:t>提升教师在教育教学工作的积极性</w:t>
            </w:r>
          </w:p>
        </w:tc>
        <w:tc>
          <w:tcPr>
            <w:tcW w:w="2268" w:type="dxa"/>
            <w:vAlign w:val="center"/>
          </w:tcPr>
          <w:p w14:paraId="71D47AC1">
            <w:pPr>
              <w:pStyle w:val="13"/>
            </w:pPr>
            <w:r>
              <w:t>≥98%</w:t>
            </w:r>
          </w:p>
        </w:tc>
        <w:tc>
          <w:tcPr>
            <w:tcW w:w="1276" w:type="dxa"/>
            <w:vAlign w:val="center"/>
          </w:tcPr>
          <w:p w14:paraId="72939E0F">
            <w:pPr>
              <w:pStyle w:val="13"/>
            </w:pPr>
            <w:r>
              <w:t>中小学教师培训管理办法</w:t>
            </w:r>
          </w:p>
        </w:tc>
      </w:tr>
      <w:tr w14:paraId="06390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142E42">
            <w:pPr>
              <w:pStyle w:val="12"/>
            </w:pPr>
            <w:r>
              <w:t>满意度指标</w:t>
            </w:r>
          </w:p>
        </w:tc>
        <w:tc>
          <w:tcPr>
            <w:tcW w:w="2268" w:type="dxa"/>
            <w:vAlign w:val="center"/>
          </w:tcPr>
          <w:p w14:paraId="25808EB2">
            <w:pPr>
              <w:pStyle w:val="13"/>
            </w:pPr>
            <w:r>
              <w:t>服务对象满意度指标</w:t>
            </w:r>
          </w:p>
        </w:tc>
        <w:tc>
          <w:tcPr>
            <w:tcW w:w="2835" w:type="dxa"/>
            <w:vAlign w:val="center"/>
          </w:tcPr>
          <w:p w14:paraId="67C9AFA1">
            <w:pPr>
              <w:pStyle w:val="13"/>
            </w:pPr>
            <w:r>
              <w:t>培训教师满意度</w:t>
            </w:r>
          </w:p>
        </w:tc>
        <w:tc>
          <w:tcPr>
            <w:tcW w:w="5386" w:type="dxa"/>
            <w:vAlign w:val="center"/>
          </w:tcPr>
          <w:p w14:paraId="4F3A0BAD">
            <w:pPr>
              <w:pStyle w:val="13"/>
            </w:pPr>
            <w:r>
              <w:t>培训教师满意度</w:t>
            </w:r>
          </w:p>
        </w:tc>
        <w:tc>
          <w:tcPr>
            <w:tcW w:w="2268" w:type="dxa"/>
            <w:vAlign w:val="center"/>
          </w:tcPr>
          <w:p w14:paraId="1ED2C9F3">
            <w:pPr>
              <w:pStyle w:val="13"/>
            </w:pPr>
            <w:r>
              <w:t>≥98%</w:t>
            </w:r>
          </w:p>
        </w:tc>
        <w:tc>
          <w:tcPr>
            <w:tcW w:w="1276" w:type="dxa"/>
            <w:vAlign w:val="center"/>
          </w:tcPr>
          <w:p w14:paraId="6E99ACD1">
            <w:pPr>
              <w:pStyle w:val="13"/>
            </w:pPr>
            <w:r>
              <w:t>问卷调查</w:t>
            </w:r>
          </w:p>
        </w:tc>
      </w:tr>
    </w:tbl>
    <w:p w14:paraId="2003351E">
      <w:pPr>
        <w:sectPr>
          <w:pgSz w:w="16840" w:h="11900" w:orient="landscape"/>
          <w:pgMar w:top="1361" w:right="1020" w:bottom="1134" w:left="1020" w:header="720" w:footer="720" w:gutter="0"/>
          <w:cols w:space="720" w:num="1"/>
        </w:sectPr>
      </w:pPr>
    </w:p>
    <w:p w14:paraId="0B34AEE1">
      <w:pPr>
        <w:spacing w:before="0" w:after="0"/>
        <w:ind w:firstLine="560"/>
        <w:jc w:val="left"/>
        <w:outlineLvl w:val="9"/>
      </w:pPr>
      <w:r>
        <w:rPr>
          <w:rFonts w:ascii="方正仿宋_GBK" w:hAnsi="方正仿宋_GBK" w:eastAsia="方正仿宋_GBK" w:cs="方正仿宋_GBK"/>
          <w:b/>
          <w:color w:val="000000"/>
          <w:sz w:val="28"/>
        </w:rPr>
        <w:t>3、中小学继续教育费训费/教师发展中心绩效目标表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70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88E6B">
            <w:pPr>
              <w:pStyle w:val="14"/>
            </w:pPr>
            <w:r>
              <w:t>单位：万元</w:t>
            </w:r>
          </w:p>
        </w:tc>
      </w:tr>
      <w:tr w14:paraId="6B6D0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19EB33">
            <w:pPr>
              <w:pStyle w:val="11"/>
            </w:pPr>
            <w:r>
              <w:t>项目编码</w:t>
            </w:r>
          </w:p>
        </w:tc>
        <w:tc>
          <w:tcPr>
            <w:tcW w:w="5103" w:type="dxa"/>
            <w:gridSpan w:val="2"/>
            <w:vAlign w:val="center"/>
          </w:tcPr>
          <w:p w14:paraId="3974A8B6">
            <w:pPr>
              <w:pStyle w:val="13"/>
            </w:pPr>
            <w:r>
              <w:t>13052525P00875610218M</w:t>
            </w:r>
          </w:p>
        </w:tc>
        <w:tc>
          <w:tcPr>
            <w:tcW w:w="2835" w:type="dxa"/>
            <w:vAlign w:val="center"/>
          </w:tcPr>
          <w:p w14:paraId="1AFB825D">
            <w:pPr>
              <w:pStyle w:val="11"/>
            </w:pPr>
            <w:r>
              <w:t>项目名称</w:t>
            </w:r>
          </w:p>
        </w:tc>
        <w:tc>
          <w:tcPr>
            <w:tcW w:w="6095" w:type="dxa"/>
            <w:gridSpan w:val="3"/>
            <w:vAlign w:val="center"/>
          </w:tcPr>
          <w:p w14:paraId="64439555">
            <w:pPr>
              <w:pStyle w:val="13"/>
            </w:pPr>
            <w:r>
              <w:t>中小学继续教育费训费/教师发展中心</w:t>
            </w:r>
          </w:p>
        </w:tc>
      </w:tr>
      <w:tr w14:paraId="3A346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9BCE0">
            <w:pPr>
              <w:pStyle w:val="11"/>
            </w:pPr>
            <w:r>
              <w:t>预算规模及资金用途</w:t>
            </w:r>
          </w:p>
        </w:tc>
        <w:tc>
          <w:tcPr>
            <w:tcW w:w="2268" w:type="dxa"/>
            <w:vAlign w:val="center"/>
          </w:tcPr>
          <w:p w14:paraId="0E5423E3">
            <w:pPr>
              <w:pStyle w:val="11"/>
            </w:pPr>
            <w:r>
              <w:t>预算数</w:t>
            </w:r>
          </w:p>
        </w:tc>
        <w:tc>
          <w:tcPr>
            <w:tcW w:w="2835" w:type="dxa"/>
            <w:vAlign w:val="center"/>
          </w:tcPr>
          <w:p w14:paraId="14EC8594">
            <w:pPr>
              <w:pStyle w:val="13"/>
            </w:pPr>
            <w:r>
              <w:t>60.00</w:t>
            </w:r>
          </w:p>
        </w:tc>
        <w:tc>
          <w:tcPr>
            <w:tcW w:w="2835" w:type="dxa"/>
            <w:vAlign w:val="center"/>
          </w:tcPr>
          <w:p w14:paraId="012B30E6">
            <w:pPr>
              <w:pStyle w:val="11"/>
            </w:pPr>
            <w:r>
              <w:t>其中：财政    资金</w:t>
            </w:r>
          </w:p>
        </w:tc>
        <w:tc>
          <w:tcPr>
            <w:tcW w:w="2551" w:type="dxa"/>
            <w:vAlign w:val="center"/>
          </w:tcPr>
          <w:p w14:paraId="39C4123D">
            <w:pPr>
              <w:pStyle w:val="13"/>
            </w:pPr>
            <w:r>
              <w:t>60.00</w:t>
            </w:r>
          </w:p>
        </w:tc>
        <w:tc>
          <w:tcPr>
            <w:tcW w:w="2268" w:type="dxa"/>
            <w:vAlign w:val="center"/>
          </w:tcPr>
          <w:p w14:paraId="24203BF4">
            <w:pPr>
              <w:pStyle w:val="11"/>
            </w:pPr>
            <w:r>
              <w:t>其他资金</w:t>
            </w:r>
          </w:p>
        </w:tc>
        <w:tc>
          <w:tcPr>
            <w:tcW w:w="1276" w:type="dxa"/>
            <w:vAlign w:val="center"/>
          </w:tcPr>
          <w:p w14:paraId="5E7D88EF">
            <w:pPr>
              <w:pStyle w:val="13"/>
            </w:pPr>
            <w:r>
              <w:t xml:space="preserve"> </w:t>
            </w:r>
          </w:p>
        </w:tc>
      </w:tr>
      <w:tr w14:paraId="31A08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EBD2D2"/>
        </w:tc>
        <w:tc>
          <w:tcPr>
            <w:tcW w:w="14033" w:type="dxa"/>
            <w:gridSpan w:val="6"/>
            <w:vAlign w:val="center"/>
          </w:tcPr>
          <w:p w14:paraId="2A363DFF">
            <w:pPr>
              <w:pStyle w:val="13"/>
            </w:pPr>
            <w:r>
              <w:t>中小学继续教育教师培训费。</w:t>
            </w:r>
          </w:p>
        </w:tc>
      </w:tr>
      <w:tr w14:paraId="1FC85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1F7F2">
            <w:pPr>
              <w:pStyle w:val="11"/>
            </w:pPr>
            <w:r>
              <w:t>资金支出计划（%）</w:t>
            </w:r>
          </w:p>
        </w:tc>
        <w:tc>
          <w:tcPr>
            <w:tcW w:w="5103" w:type="dxa"/>
            <w:gridSpan w:val="2"/>
            <w:vAlign w:val="center"/>
          </w:tcPr>
          <w:p w14:paraId="1E33DE9B">
            <w:pPr>
              <w:pStyle w:val="11"/>
            </w:pPr>
            <w:r>
              <w:t>3月底</w:t>
            </w:r>
          </w:p>
        </w:tc>
        <w:tc>
          <w:tcPr>
            <w:tcW w:w="2835" w:type="dxa"/>
            <w:vAlign w:val="center"/>
          </w:tcPr>
          <w:p w14:paraId="6261C6DF">
            <w:pPr>
              <w:pStyle w:val="11"/>
            </w:pPr>
            <w:r>
              <w:t>6月底</w:t>
            </w:r>
          </w:p>
        </w:tc>
        <w:tc>
          <w:tcPr>
            <w:tcW w:w="2551" w:type="dxa"/>
            <w:vAlign w:val="center"/>
          </w:tcPr>
          <w:p w14:paraId="49589E77">
            <w:pPr>
              <w:pStyle w:val="11"/>
            </w:pPr>
            <w:r>
              <w:t>10月底</w:t>
            </w:r>
          </w:p>
        </w:tc>
        <w:tc>
          <w:tcPr>
            <w:tcW w:w="3544" w:type="dxa"/>
            <w:gridSpan w:val="2"/>
            <w:vAlign w:val="center"/>
          </w:tcPr>
          <w:p w14:paraId="512BFF53">
            <w:pPr>
              <w:pStyle w:val="11"/>
            </w:pPr>
            <w:r>
              <w:t>12月底</w:t>
            </w:r>
          </w:p>
        </w:tc>
      </w:tr>
      <w:tr w14:paraId="189E6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09EA8"/>
        </w:tc>
        <w:tc>
          <w:tcPr>
            <w:tcW w:w="5103" w:type="dxa"/>
            <w:gridSpan w:val="2"/>
            <w:vAlign w:val="center"/>
          </w:tcPr>
          <w:p w14:paraId="57A81E4D">
            <w:pPr>
              <w:pStyle w:val="12"/>
            </w:pPr>
            <w:r>
              <w:t xml:space="preserve"> </w:t>
            </w:r>
          </w:p>
        </w:tc>
        <w:tc>
          <w:tcPr>
            <w:tcW w:w="2835" w:type="dxa"/>
            <w:vAlign w:val="center"/>
          </w:tcPr>
          <w:p w14:paraId="5478B6DA">
            <w:pPr>
              <w:pStyle w:val="12"/>
            </w:pPr>
            <w:r>
              <w:t>50%</w:t>
            </w:r>
          </w:p>
        </w:tc>
        <w:tc>
          <w:tcPr>
            <w:tcW w:w="2551" w:type="dxa"/>
            <w:vAlign w:val="center"/>
          </w:tcPr>
          <w:p w14:paraId="1DB421C6">
            <w:pPr>
              <w:pStyle w:val="12"/>
            </w:pPr>
            <w:r>
              <w:t>50%</w:t>
            </w:r>
          </w:p>
        </w:tc>
        <w:tc>
          <w:tcPr>
            <w:tcW w:w="3544" w:type="dxa"/>
            <w:gridSpan w:val="2"/>
            <w:vAlign w:val="center"/>
          </w:tcPr>
          <w:p w14:paraId="038FEF9C">
            <w:pPr>
              <w:pStyle w:val="12"/>
            </w:pPr>
            <w:r>
              <w:t xml:space="preserve"> </w:t>
            </w:r>
          </w:p>
        </w:tc>
      </w:tr>
      <w:tr w14:paraId="3B070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787F8C">
            <w:pPr>
              <w:pStyle w:val="11"/>
            </w:pPr>
            <w:r>
              <w:t>绩效目标</w:t>
            </w:r>
          </w:p>
        </w:tc>
        <w:tc>
          <w:tcPr>
            <w:tcW w:w="14033" w:type="dxa"/>
            <w:gridSpan w:val="6"/>
            <w:vAlign w:val="center"/>
          </w:tcPr>
          <w:p w14:paraId="47A2E716">
            <w:pPr>
              <w:pStyle w:val="13"/>
            </w:pPr>
            <w:r>
              <w:t>1.完成中小学继续教育教师培训</w:t>
            </w:r>
          </w:p>
        </w:tc>
      </w:tr>
    </w:tbl>
    <w:p w14:paraId="2F9586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56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4E16C">
            <w:pPr>
              <w:pStyle w:val="11"/>
            </w:pPr>
            <w:r>
              <w:t>一级指标</w:t>
            </w:r>
          </w:p>
        </w:tc>
        <w:tc>
          <w:tcPr>
            <w:tcW w:w="2268" w:type="dxa"/>
            <w:vAlign w:val="center"/>
          </w:tcPr>
          <w:p w14:paraId="1B2649A6">
            <w:pPr>
              <w:pStyle w:val="11"/>
            </w:pPr>
            <w:r>
              <w:t>二级指标</w:t>
            </w:r>
          </w:p>
        </w:tc>
        <w:tc>
          <w:tcPr>
            <w:tcW w:w="2835" w:type="dxa"/>
            <w:vAlign w:val="center"/>
          </w:tcPr>
          <w:p w14:paraId="40637AF7">
            <w:pPr>
              <w:pStyle w:val="11"/>
            </w:pPr>
            <w:r>
              <w:t>三级指标</w:t>
            </w:r>
          </w:p>
        </w:tc>
        <w:tc>
          <w:tcPr>
            <w:tcW w:w="5386" w:type="dxa"/>
            <w:vAlign w:val="center"/>
          </w:tcPr>
          <w:p w14:paraId="467AA991">
            <w:pPr>
              <w:pStyle w:val="11"/>
            </w:pPr>
            <w:r>
              <w:t>绩效指标描述</w:t>
            </w:r>
          </w:p>
        </w:tc>
        <w:tc>
          <w:tcPr>
            <w:tcW w:w="2268" w:type="dxa"/>
            <w:vAlign w:val="center"/>
          </w:tcPr>
          <w:p w14:paraId="3FD4A407">
            <w:pPr>
              <w:pStyle w:val="11"/>
            </w:pPr>
            <w:r>
              <w:t>指标值</w:t>
            </w:r>
          </w:p>
        </w:tc>
        <w:tc>
          <w:tcPr>
            <w:tcW w:w="1276" w:type="dxa"/>
            <w:vAlign w:val="center"/>
          </w:tcPr>
          <w:p w14:paraId="79C05C60">
            <w:pPr>
              <w:pStyle w:val="11"/>
            </w:pPr>
            <w:r>
              <w:t>指标值确定依据</w:t>
            </w:r>
          </w:p>
        </w:tc>
      </w:tr>
      <w:tr w14:paraId="295F5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C436E">
            <w:pPr>
              <w:pStyle w:val="12"/>
            </w:pPr>
            <w:r>
              <w:t>产出指标</w:t>
            </w:r>
          </w:p>
        </w:tc>
        <w:tc>
          <w:tcPr>
            <w:tcW w:w="2268" w:type="dxa"/>
            <w:vAlign w:val="center"/>
          </w:tcPr>
          <w:p w14:paraId="2FD61AAA">
            <w:pPr>
              <w:pStyle w:val="13"/>
            </w:pPr>
            <w:r>
              <w:t>数量指标</w:t>
            </w:r>
          </w:p>
        </w:tc>
        <w:tc>
          <w:tcPr>
            <w:tcW w:w="2835" w:type="dxa"/>
            <w:vAlign w:val="center"/>
          </w:tcPr>
          <w:p w14:paraId="7A51040C">
            <w:pPr>
              <w:pStyle w:val="13"/>
            </w:pPr>
            <w:r>
              <w:t>新录用教师培训</w:t>
            </w:r>
          </w:p>
        </w:tc>
        <w:tc>
          <w:tcPr>
            <w:tcW w:w="5386" w:type="dxa"/>
            <w:vAlign w:val="center"/>
          </w:tcPr>
          <w:p w14:paraId="7735555A">
            <w:pPr>
              <w:pStyle w:val="13"/>
            </w:pPr>
            <w:r>
              <w:t>新录用教师人数</w:t>
            </w:r>
          </w:p>
        </w:tc>
        <w:tc>
          <w:tcPr>
            <w:tcW w:w="2268" w:type="dxa"/>
            <w:vAlign w:val="center"/>
          </w:tcPr>
          <w:p w14:paraId="75423BB6">
            <w:pPr>
              <w:pStyle w:val="13"/>
            </w:pPr>
            <w:r>
              <w:t>≥180人</w:t>
            </w:r>
          </w:p>
        </w:tc>
        <w:tc>
          <w:tcPr>
            <w:tcW w:w="1276" w:type="dxa"/>
            <w:vAlign w:val="center"/>
          </w:tcPr>
          <w:p w14:paraId="3AE11296">
            <w:pPr>
              <w:pStyle w:val="13"/>
            </w:pPr>
            <w:r>
              <w:t>中小学教师培训管理办法</w:t>
            </w:r>
          </w:p>
        </w:tc>
      </w:tr>
      <w:tr w14:paraId="1D86D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D33FD"/>
        </w:tc>
        <w:tc>
          <w:tcPr>
            <w:tcW w:w="2268" w:type="dxa"/>
            <w:vAlign w:val="center"/>
          </w:tcPr>
          <w:p w14:paraId="3ADCB43A">
            <w:pPr>
              <w:pStyle w:val="13"/>
            </w:pPr>
            <w:r>
              <w:t>质量指标</w:t>
            </w:r>
          </w:p>
        </w:tc>
        <w:tc>
          <w:tcPr>
            <w:tcW w:w="2835" w:type="dxa"/>
            <w:vAlign w:val="center"/>
          </w:tcPr>
          <w:p w14:paraId="0D9F31A8">
            <w:pPr>
              <w:pStyle w:val="13"/>
            </w:pPr>
            <w:r>
              <w:t>培训任务完成情况</w:t>
            </w:r>
          </w:p>
        </w:tc>
        <w:tc>
          <w:tcPr>
            <w:tcW w:w="5386" w:type="dxa"/>
            <w:vAlign w:val="center"/>
          </w:tcPr>
          <w:p w14:paraId="46B68D83">
            <w:pPr>
              <w:pStyle w:val="13"/>
            </w:pPr>
            <w:r>
              <w:t>培训任务完成率</w:t>
            </w:r>
          </w:p>
        </w:tc>
        <w:tc>
          <w:tcPr>
            <w:tcW w:w="2268" w:type="dxa"/>
            <w:vAlign w:val="center"/>
          </w:tcPr>
          <w:p w14:paraId="544019D5">
            <w:pPr>
              <w:pStyle w:val="13"/>
            </w:pPr>
            <w:r>
              <w:t>≥99%</w:t>
            </w:r>
          </w:p>
        </w:tc>
        <w:tc>
          <w:tcPr>
            <w:tcW w:w="1276" w:type="dxa"/>
            <w:vAlign w:val="center"/>
          </w:tcPr>
          <w:p w14:paraId="372C9E2D">
            <w:pPr>
              <w:pStyle w:val="13"/>
            </w:pPr>
            <w:r>
              <w:t>中小学教师培训管理办法</w:t>
            </w:r>
          </w:p>
        </w:tc>
      </w:tr>
      <w:tr w14:paraId="1CCA3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DF4B2"/>
        </w:tc>
        <w:tc>
          <w:tcPr>
            <w:tcW w:w="2268" w:type="dxa"/>
            <w:vAlign w:val="center"/>
          </w:tcPr>
          <w:p w14:paraId="79674DB4">
            <w:pPr>
              <w:pStyle w:val="13"/>
            </w:pPr>
            <w:r>
              <w:t>时效指标</w:t>
            </w:r>
          </w:p>
        </w:tc>
        <w:tc>
          <w:tcPr>
            <w:tcW w:w="2835" w:type="dxa"/>
            <w:vAlign w:val="center"/>
          </w:tcPr>
          <w:p w14:paraId="481C026D">
            <w:pPr>
              <w:pStyle w:val="13"/>
            </w:pPr>
            <w:r>
              <w:t>培训时间</w:t>
            </w:r>
          </w:p>
        </w:tc>
        <w:tc>
          <w:tcPr>
            <w:tcW w:w="5386" w:type="dxa"/>
            <w:vAlign w:val="center"/>
          </w:tcPr>
          <w:p w14:paraId="7F2C590F">
            <w:pPr>
              <w:pStyle w:val="13"/>
            </w:pPr>
            <w:r>
              <w:t>2025年1月-12月</w:t>
            </w:r>
          </w:p>
        </w:tc>
        <w:tc>
          <w:tcPr>
            <w:tcW w:w="2268" w:type="dxa"/>
            <w:vAlign w:val="center"/>
          </w:tcPr>
          <w:p w14:paraId="61117588">
            <w:pPr>
              <w:pStyle w:val="13"/>
            </w:pPr>
            <w:r>
              <w:t>≥30天</w:t>
            </w:r>
          </w:p>
        </w:tc>
        <w:tc>
          <w:tcPr>
            <w:tcW w:w="1276" w:type="dxa"/>
            <w:vAlign w:val="center"/>
          </w:tcPr>
          <w:p w14:paraId="0DFC6936">
            <w:pPr>
              <w:pStyle w:val="13"/>
            </w:pPr>
            <w:r>
              <w:t>中小学教师培训管理办法</w:t>
            </w:r>
          </w:p>
        </w:tc>
      </w:tr>
      <w:tr w14:paraId="0A9AD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0B011"/>
        </w:tc>
        <w:tc>
          <w:tcPr>
            <w:tcW w:w="2268" w:type="dxa"/>
            <w:vAlign w:val="center"/>
          </w:tcPr>
          <w:p w14:paraId="0B388258">
            <w:pPr>
              <w:pStyle w:val="13"/>
            </w:pPr>
            <w:r>
              <w:t>成本指标</w:t>
            </w:r>
          </w:p>
        </w:tc>
        <w:tc>
          <w:tcPr>
            <w:tcW w:w="2835" w:type="dxa"/>
            <w:vAlign w:val="center"/>
          </w:tcPr>
          <w:p w14:paraId="1DCC73AD">
            <w:pPr>
              <w:pStyle w:val="13"/>
            </w:pPr>
            <w:r>
              <w:t>经费投入</w:t>
            </w:r>
          </w:p>
        </w:tc>
        <w:tc>
          <w:tcPr>
            <w:tcW w:w="5386" w:type="dxa"/>
            <w:vAlign w:val="center"/>
          </w:tcPr>
          <w:p w14:paraId="30ED8D2C">
            <w:pPr>
              <w:pStyle w:val="13"/>
            </w:pPr>
            <w:r>
              <w:t>中小学继续教育教师培训费支出</w:t>
            </w:r>
          </w:p>
        </w:tc>
        <w:tc>
          <w:tcPr>
            <w:tcW w:w="2268" w:type="dxa"/>
            <w:vAlign w:val="center"/>
          </w:tcPr>
          <w:p w14:paraId="6EC80BE1">
            <w:pPr>
              <w:pStyle w:val="13"/>
            </w:pPr>
            <w:r>
              <w:t>≥60万元</w:t>
            </w:r>
          </w:p>
        </w:tc>
        <w:tc>
          <w:tcPr>
            <w:tcW w:w="1276" w:type="dxa"/>
            <w:vAlign w:val="center"/>
          </w:tcPr>
          <w:p w14:paraId="4925A6BF">
            <w:pPr>
              <w:pStyle w:val="13"/>
            </w:pPr>
            <w:r>
              <w:t>中小学教师培训管理办法</w:t>
            </w:r>
          </w:p>
        </w:tc>
      </w:tr>
      <w:tr w14:paraId="47FD6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FDB40">
            <w:pPr>
              <w:pStyle w:val="12"/>
            </w:pPr>
            <w:r>
              <w:t>效益指标</w:t>
            </w:r>
          </w:p>
        </w:tc>
        <w:tc>
          <w:tcPr>
            <w:tcW w:w="2268" w:type="dxa"/>
            <w:vAlign w:val="center"/>
          </w:tcPr>
          <w:p w14:paraId="43A6F1DE">
            <w:pPr>
              <w:pStyle w:val="13"/>
            </w:pPr>
            <w:r>
              <w:t>经济效益指标</w:t>
            </w:r>
          </w:p>
        </w:tc>
        <w:tc>
          <w:tcPr>
            <w:tcW w:w="2835" w:type="dxa"/>
            <w:vAlign w:val="center"/>
          </w:tcPr>
          <w:p w14:paraId="3397BE31">
            <w:pPr>
              <w:pStyle w:val="13"/>
            </w:pPr>
            <w:r>
              <w:t>参训教师合格率达标</w:t>
            </w:r>
          </w:p>
        </w:tc>
        <w:tc>
          <w:tcPr>
            <w:tcW w:w="5386" w:type="dxa"/>
            <w:vAlign w:val="center"/>
          </w:tcPr>
          <w:p w14:paraId="31C6E98F">
            <w:pPr>
              <w:pStyle w:val="13"/>
            </w:pPr>
            <w:r>
              <w:t>参训教师合格率达标</w:t>
            </w:r>
          </w:p>
        </w:tc>
        <w:tc>
          <w:tcPr>
            <w:tcW w:w="2268" w:type="dxa"/>
            <w:vAlign w:val="center"/>
          </w:tcPr>
          <w:p w14:paraId="35D799F0">
            <w:pPr>
              <w:pStyle w:val="13"/>
            </w:pPr>
            <w:r>
              <w:t>≥100%</w:t>
            </w:r>
          </w:p>
        </w:tc>
        <w:tc>
          <w:tcPr>
            <w:tcW w:w="1276" w:type="dxa"/>
            <w:vAlign w:val="center"/>
          </w:tcPr>
          <w:p w14:paraId="2E3F9350">
            <w:pPr>
              <w:pStyle w:val="13"/>
            </w:pPr>
            <w:r>
              <w:t>中小学教师培训管理办法</w:t>
            </w:r>
          </w:p>
        </w:tc>
      </w:tr>
      <w:tr w14:paraId="7159A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63FFB"/>
        </w:tc>
        <w:tc>
          <w:tcPr>
            <w:tcW w:w="2268" w:type="dxa"/>
            <w:vAlign w:val="center"/>
          </w:tcPr>
          <w:p w14:paraId="3D6E9396">
            <w:pPr>
              <w:pStyle w:val="13"/>
            </w:pPr>
            <w:r>
              <w:t>社会效益指标</w:t>
            </w:r>
          </w:p>
        </w:tc>
        <w:tc>
          <w:tcPr>
            <w:tcW w:w="2835" w:type="dxa"/>
            <w:vAlign w:val="center"/>
          </w:tcPr>
          <w:p w14:paraId="620BC2A8">
            <w:pPr>
              <w:pStyle w:val="13"/>
            </w:pPr>
            <w:r>
              <w:t>参训教师教育教学能力提高</w:t>
            </w:r>
          </w:p>
        </w:tc>
        <w:tc>
          <w:tcPr>
            <w:tcW w:w="5386" w:type="dxa"/>
            <w:vAlign w:val="center"/>
          </w:tcPr>
          <w:p w14:paraId="0140F352">
            <w:pPr>
              <w:pStyle w:val="13"/>
            </w:pPr>
            <w:r>
              <w:t>参训教师教育教学能力提高</w:t>
            </w:r>
          </w:p>
        </w:tc>
        <w:tc>
          <w:tcPr>
            <w:tcW w:w="2268" w:type="dxa"/>
            <w:vAlign w:val="center"/>
          </w:tcPr>
          <w:p w14:paraId="7705369E">
            <w:pPr>
              <w:pStyle w:val="13"/>
            </w:pPr>
            <w:r>
              <w:t>≥98%</w:t>
            </w:r>
          </w:p>
          <w:p w14:paraId="172BE507">
            <w:pPr>
              <w:pStyle w:val="13"/>
            </w:pPr>
          </w:p>
        </w:tc>
        <w:tc>
          <w:tcPr>
            <w:tcW w:w="1276" w:type="dxa"/>
            <w:vAlign w:val="center"/>
          </w:tcPr>
          <w:p w14:paraId="28E23345">
            <w:pPr>
              <w:pStyle w:val="13"/>
            </w:pPr>
            <w:r>
              <w:t>中小学教师培训管理办法</w:t>
            </w:r>
          </w:p>
        </w:tc>
      </w:tr>
      <w:tr w14:paraId="59820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B78DA"/>
        </w:tc>
        <w:tc>
          <w:tcPr>
            <w:tcW w:w="2268" w:type="dxa"/>
            <w:vAlign w:val="center"/>
          </w:tcPr>
          <w:p w14:paraId="2D17DC0D">
            <w:pPr>
              <w:pStyle w:val="13"/>
            </w:pPr>
            <w:r>
              <w:t>生态效益指标</w:t>
            </w:r>
          </w:p>
        </w:tc>
        <w:tc>
          <w:tcPr>
            <w:tcW w:w="2835" w:type="dxa"/>
            <w:vAlign w:val="center"/>
          </w:tcPr>
          <w:p w14:paraId="1CD54DBA">
            <w:pPr>
              <w:pStyle w:val="13"/>
            </w:pPr>
            <w:r>
              <w:t>教育师资环境</w:t>
            </w:r>
          </w:p>
        </w:tc>
        <w:tc>
          <w:tcPr>
            <w:tcW w:w="5386" w:type="dxa"/>
            <w:vAlign w:val="center"/>
          </w:tcPr>
          <w:p w14:paraId="62F707CC">
            <w:pPr>
              <w:pStyle w:val="13"/>
            </w:pPr>
            <w:r>
              <w:t>教育师资环境有所改善</w:t>
            </w:r>
          </w:p>
        </w:tc>
        <w:tc>
          <w:tcPr>
            <w:tcW w:w="2268" w:type="dxa"/>
            <w:vAlign w:val="center"/>
          </w:tcPr>
          <w:p w14:paraId="06DD1B41">
            <w:pPr>
              <w:pStyle w:val="13"/>
            </w:pPr>
            <w:r>
              <w:t>≥95%</w:t>
            </w:r>
          </w:p>
          <w:p w14:paraId="71D347DC">
            <w:pPr>
              <w:pStyle w:val="13"/>
            </w:pPr>
          </w:p>
        </w:tc>
        <w:tc>
          <w:tcPr>
            <w:tcW w:w="1276" w:type="dxa"/>
            <w:vAlign w:val="center"/>
          </w:tcPr>
          <w:p w14:paraId="4E9173E8">
            <w:pPr>
              <w:pStyle w:val="13"/>
            </w:pPr>
            <w:r>
              <w:t>中小学教师培训管理办法</w:t>
            </w:r>
            <w:r>
              <w:tab/>
            </w:r>
          </w:p>
          <w:p w14:paraId="2BCCD060">
            <w:pPr>
              <w:pStyle w:val="13"/>
            </w:pPr>
          </w:p>
        </w:tc>
      </w:tr>
      <w:tr w14:paraId="6BD6F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1E2A2"/>
        </w:tc>
        <w:tc>
          <w:tcPr>
            <w:tcW w:w="2268" w:type="dxa"/>
            <w:vAlign w:val="center"/>
          </w:tcPr>
          <w:p w14:paraId="47A40EEB">
            <w:pPr>
              <w:pStyle w:val="13"/>
            </w:pPr>
            <w:r>
              <w:t>可持续影响指标</w:t>
            </w:r>
          </w:p>
        </w:tc>
        <w:tc>
          <w:tcPr>
            <w:tcW w:w="2835" w:type="dxa"/>
            <w:vAlign w:val="center"/>
          </w:tcPr>
          <w:p w14:paraId="3759166B">
            <w:pPr>
              <w:pStyle w:val="13"/>
            </w:pPr>
            <w:r>
              <w:t>激励教师工作积极性</w:t>
            </w:r>
          </w:p>
        </w:tc>
        <w:tc>
          <w:tcPr>
            <w:tcW w:w="5386" w:type="dxa"/>
            <w:vAlign w:val="center"/>
          </w:tcPr>
          <w:p w14:paraId="267546B4">
            <w:pPr>
              <w:pStyle w:val="13"/>
            </w:pPr>
            <w:r>
              <w:t>提升教师在教育教学工作中积极性</w:t>
            </w:r>
          </w:p>
        </w:tc>
        <w:tc>
          <w:tcPr>
            <w:tcW w:w="2268" w:type="dxa"/>
            <w:vAlign w:val="center"/>
          </w:tcPr>
          <w:p w14:paraId="7123BA01">
            <w:pPr>
              <w:pStyle w:val="13"/>
            </w:pPr>
            <w:r>
              <w:t>≥98%</w:t>
            </w:r>
          </w:p>
          <w:p w14:paraId="1958E068">
            <w:pPr>
              <w:pStyle w:val="13"/>
            </w:pPr>
          </w:p>
        </w:tc>
        <w:tc>
          <w:tcPr>
            <w:tcW w:w="1276" w:type="dxa"/>
            <w:vAlign w:val="center"/>
          </w:tcPr>
          <w:p w14:paraId="1CDB06B7">
            <w:pPr>
              <w:pStyle w:val="13"/>
            </w:pPr>
            <w:r>
              <w:t>中小学教师培训管理办法</w:t>
            </w:r>
            <w:r>
              <w:tab/>
            </w:r>
          </w:p>
          <w:p w14:paraId="3F7026C4">
            <w:pPr>
              <w:pStyle w:val="13"/>
            </w:pPr>
          </w:p>
        </w:tc>
      </w:tr>
      <w:tr w14:paraId="1A527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5E1027">
            <w:pPr>
              <w:pStyle w:val="12"/>
            </w:pPr>
            <w:r>
              <w:t>满意度指标</w:t>
            </w:r>
          </w:p>
        </w:tc>
        <w:tc>
          <w:tcPr>
            <w:tcW w:w="2268" w:type="dxa"/>
            <w:vAlign w:val="center"/>
          </w:tcPr>
          <w:p w14:paraId="1CC45C2D">
            <w:pPr>
              <w:pStyle w:val="13"/>
            </w:pPr>
            <w:r>
              <w:t>服务对象满意度指标</w:t>
            </w:r>
          </w:p>
        </w:tc>
        <w:tc>
          <w:tcPr>
            <w:tcW w:w="2835" w:type="dxa"/>
            <w:vAlign w:val="center"/>
          </w:tcPr>
          <w:p w14:paraId="778DD1D5">
            <w:pPr>
              <w:pStyle w:val="13"/>
            </w:pPr>
            <w:r>
              <w:t>满意率</w:t>
            </w:r>
          </w:p>
        </w:tc>
        <w:tc>
          <w:tcPr>
            <w:tcW w:w="5386" w:type="dxa"/>
            <w:vAlign w:val="center"/>
          </w:tcPr>
          <w:p w14:paraId="1931FC3C">
            <w:pPr>
              <w:pStyle w:val="13"/>
            </w:pPr>
            <w:r>
              <w:t>教师和学校满意率</w:t>
            </w:r>
          </w:p>
        </w:tc>
        <w:tc>
          <w:tcPr>
            <w:tcW w:w="2268" w:type="dxa"/>
            <w:vAlign w:val="center"/>
          </w:tcPr>
          <w:p w14:paraId="21E5FD20">
            <w:pPr>
              <w:pStyle w:val="13"/>
            </w:pPr>
            <w:r>
              <w:t>≥98%</w:t>
            </w:r>
          </w:p>
          <w:p w14:paraId="07F7ABAB">
            <w:pPr>
              <w:pStyle w:val="13"/>
            </w:pPr>
          </w:p>
        </w:tc>
        <w:tc>
          <w:tcPr>
            <w:tcW w:w="1276" w:type="dxa"/>
            <w:vAlign w:val="center"/>
          </w:tcPr>
          <w:p w14:paraId="4D9C009E">
            <w:pPr>
              <w:pStyle w:val="13"/>
            </w:pPr>
            <w:r>
              <w:t>问卷调查</w:t>
            </w:r>
          </w:p>
        </w:tc>
      </w:tr>
    </w:tbl>
    <w:p w14:paraId="09A14F26">
      <w:pPr>
        <w:sectPr>
          <w:pgSz w:w="16840" w:h="11900" w:orient="landscape"/>
          <w:pgMar w:top="1361" w:right="1020" w:bottom="1134" w:left="1020" w:header="720" w:footer="720" w:gutter="0"/>
          <w:cols w:space="720" w:num="1"/>
        </w:sectPr>
      </w:pPr>
    </w:p>
    <w:p w14:paraId="59890A05">
      <w:pPr>
        <w:spacing w:before="10" w:after="10" w:line="240" w:lineRule="auto"/>
        <w:ind w:firstLine="640"/>
        <w:jc w:val="left"/>
        <w:outlineLvl w:val="5"/>
      </w:pPr>
      <w:r>
        <w:rPr>
          <w:rFonts w:ascii="黑体" w:hAnsi="黑体" w:eastAsia="黑体" w:cs="黑体"/>
          <w:color w:val="000000"/>
          <w:sz w:val="32"/>
        </w:rPr>
        <w:t>六、政府采购预算情况</w:t>
      </w:r>
    </w:p>
    <w:p w14:paraId="05F5693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A263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CE86413">
            <w:pPr>
              <w:pStyle w:val="8"/>
            </w:pPr>
            <w:r>
              <w:t>360028隆尧县教师发展中心</w:t>
            </w:r>
          </w:p>
        </w:tc>
        <w:tc>
          <w:tcPr>
            <w:tcW w:w="7712" w:type="dxa"/>
            <w:gridSpan w:val="8"/>
            <w:tcBorders>
              <w:top w:val="single" w:color="FFFFFF" w:sz="6" w:space="0"/>
              <w:left w:val="single" w:color="FFFFFF" w:sz="6" w:space="0"/>
              <w:right w:val="single" w:color="FFFFFF" w:sz="6" w:space="0"/>
            </w:tcBorders>
            <w:vAlign w:val="center"/>
          </w:tcPr>
          <w:p w14:paraId="43C2F808">
            <w:pPr>
              <w:pStyle w:val="22"/>
            </w:pPr>
            <w:r>
              <w:t>单位：万元</w:t>
            </w:r>
          </w:p>
        </w:tc>
      </w:tr>
      <w:tr w14:paraId="1CC7A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61FAD1F">
            <w:pPr>
              <w:pStyle w:val="11"/>
            </w:pPr>
            <w:r>
              <w:t>政府采购项目来源</w:t>
            </w:r>
          </w:p>
        </w:tc>
        <w:tc>
          <w:tcPr>
            <w:tcW w:w="1134" w:type="dxa"/>
            <w:vMerge w:val="restart"/>
            <w:vAlign w:val="center"/>
          </w:tcPr>
          <w:p w14:paraId="1DC0B788">
            <w:pPr>
              <w:pStyle w:val="11"/>
            </w:pPr>
            <w:r>
              <w:t>采购物品名称</w:t>
            </w:r>
          </w:p>
        </w:tc>
        <w:tc>
          <w:tcPr>
            <w:tcW w:w="1134" w:type="dxa"/>
            <w:vMerge w:val="restart"/>
            <w:vAlign w:val="center"/>
          </w:tcPr>
          <w:p w14:paraId="48136FCD">
            <w:pPr>
              <w:pStyle w:val="11"/>
            </w:pPr>
            <w:r>
              <w:t>政府采购目录序号</w:t>
            </w:r>
          </w:p>
        </w:tc>
        <w:tc>
          <w:tcPr>
            <w:tcW w:w="709" w:type="dxa"/>
            <w:vMerge w:val="restart"/>
            <w:vAlign w:val="center"/>
          </w:tcPr>
          <w:p w14:paraId="0F34186E">
            <w:pPr>
              <w:pStyle w:val="11"/>
            </w:pPr>
            <w:r>
              <w:t>计量  单位</w:t>
            </w:r>
          </w:p>
        </w:tc>
        <w:tc>
          <w:tcPr>
            <w:tcW w:w="850" w:type="dxa"/>
            <w:vMerge w:val="restart"/>
            <w:vAlign w:val="center"/>
          </w:tcPr>
          <w:p w14:paraId="31B14243">
            <w:pPr>
              <w:pStyle w:val="11"/>
            </w:pPr>
            <w:r>
              <w:t>数量</w:t>
            </w:r>
          </w:p>
        </w:tc>
        <w:tc>
          <w:tcPr>
            <w:tcW w:w="850" w:type="dxa"/>
            <w:vMerge w:val="restart"/>
            <w:vAlign w:val="center"/>
          </w:tcPr>
          <w:p w14:paraId="6B32ED94">
            <w:pPr>
              <w:pStyle w:val="11"/>
            </w:pPr>
            <w:r>
              <w:t>单价</w:t>
            </w:r>
          </w:p>
        </w:tc>
        <w:tc>
          <w:tcPr>
            <w:tcW w:w="6748" w:type="dxa"/>
            <w:gridSpan w:val="7"/>
            <w:vAlign w:val="center"/>
          </w:tcPr>
          <w:p w14:paraId="3D570E24">
            <w:pPr>
              <w:pStyle w:val="11"/>
            </w:pPr>
            <w:r>
              <w:t>政府采购金额（当年部门预算安排资金）</w:t>
            </w:r>
          </w:p>
        </w:tc>
        <w:tc>
          <w:tcPr>
            <w:tcW w:w="964" w:type="dxa"/>
            <w:vMerge w:val="restart"/>
            <w:vAlign w:val="center"/>
          </w:tcPr>
          <w:p w14:paraId="100BFF7F">
            <w:pPr>
              <w:pStyle w:val="11"/>
            </w:pPr>
            <w:r>
              <w:t>2025年  预留中  小微企  业份额</w:t>
            </w:r>
          </w:p>
        </w:tc>
      </w:tr>
      <w:tr w14:paraId="29660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876FE0E">
            <w:pPr>
              <w:pStyle w:val="11"/>
            </w:pPr>
            <w:r>
              <w:t>项目名称</w:t>
            </w:r>
          </w:p>
        </w:tc>
        <w:tc>
          <w:tcPr>
            <w:tcW w:w="964" w:type="dxa"/>
            <w:vAlign w:val="center"/>
          </w:tcPr>
          <w:p w14:paraId="0D029730">
            <w:pPr>
              <w:pStyle w:val="11"/>
            </w:pPr>
            <w:r>
              <w:t>预算    资金</w:t>
            </w:r>
          </w:p>
        </w:tc>
        <w:tc>
          <w:tcPr>
            <w:tcW w:w="1134" w:type="dxa"/>
            <w:vMerge w:val="continue"/>
          </w:tcPr>
          <w:p w14:paraId="5C6EB169"/>
        </w:tc>
        <w:tc>
          <w:tcPr>
            <w:tcW w:w="1134" w:type="dxa"/>
            <w:vMerge w:val="continue"/>
          </w:tcPr>
          <w:p w14:paraId="47062842"/>
        </w:tc>
        <w:tc>
          <w:tcPr>
            <w:tcW w:w="709" w:type="dxa"/>
            <w:vMerge w:val="continue"/>
          </w:tcPr>
          <w:p w14:paraId="5AE9D843"/>
        </w:tc>
        <w:tc>
          <w:tcPr>
            <w:tcW w:w="850" w:type="dxa"/>
            <w:vMerge w:val="continue"/>
          </w:tcPr>
          <w:p w14:paraId="22BB96A6"/>
        </w:tc>
        <w:tc>
          <w:tcPr>
            <w:tcW w:w="850" w:type="dxa"/>
            <w:vMerge w:val="continue"/>
          </w:tcPr>
          <w:p w14:paraId="52A64C33"/>
        </w:tc>
        <w:tc>
          <w:tcPr>
            <w:tcW w:w="964" w:type="dxa"/>
            <w:vAlign w:val="center"/>
          </w:tcPr>
          <w:p w14:paraId="542FD7BA">
            <w:pPr>
              <w:pStyle w:val="11"/>
            </w:pPr>
            <w:r>
              <w:t>合计</w:t>
            </w:r>
          </w:p>
        </w:tc>
        <w:tc>
          <w:tcPr>
            <w:tcW w:w="964" w:type="dxa"/>
            <w:vAlign w:val="center"/>
          </w:tcPr>
          <w:p w14:paraId="0A81E81A">
            <w:pPr>
              <w:pStyle w:val="11"/>
            </w:pPr>
            <w:r>
              <w:t>一般公共预算拨款</w:t>
            </w:r>
          </w:p>
        </w:tc>
        <w:tc>
          <w:tcPr>
            <w:tcW w:w="964" w:type="dxa"/>
            <w:vAlign w:val="center"/>
          </w:tcPr>
          <w:p w14:paraId="58EA8D39">
            <w:pPr>
              <w:pStyle w:val="11"/>
            </w:pPr>
            <w:r>
              <w:t>基金预算拨款</w:t>
            </w:r>
          </w:p>
        </w:tc>
        <w:tc>
          <w:tcPr>
            <w:tcW w:w="964" w:type="dxa"/>
            <w:vAlign w:val="center"/>
          </w:tcPr>
          <w:p w14:paraId="008D2E1C">
            <w:pPr>
              <w:pStyle w:val="11"/>
            </w:pPr>
            <w:r>
              <w:t>国有资本经营预算拨款</w:t>
            </w:r>
          </w:p>
        </w:tc>
        <w:tc>
          <w:tcPr>
            <w:tcW w:w="964" w:type="dxa"/>
            <w:vAlign w:val="center"/>
          </w:tcPr>
          <w:p w14:paraId="67D3C5DE">
            <w:pPr>
              <w:pStyle w:val="11"/>
            </w:pPr>
            <w:r>
              <w:t>财政专户核拨</w:t>
            </w:r>
          </w:p>
        </w:tc>
        <w:tc>
          <w:tcPr>
            <w:tcW w:w="964" w:type="dxa"/>
            <w:vAlign w:val="center"/>
          </w:tcPr>
          <w:p w14:paraId="6DE3C444">
            <w:pPr>
              <w:pStyle w:val="11"/>
            </w:pPr>
            <w:r>
              <w:t>单位    资金</w:t>
            </w:r>
          </w:p>
        </w:tc>
        <w:tc>
          <w:tcPr>
            <w:tcW w:w="964" w:type="dxa"/>
            <w:vAlign w:val="center"/>
          </w:tcPr>
          <w:p w14:paraId="6B959477">
            <w:pPr>
              <w:pStyle w:val="11"/>
            </w:pPr>
            <w:r>
              <w:t>上年结转结余</w:t>
            </w:r>
          </w:p>
        </w:tc>
        <w:tc>
          <w:tcPr>
            <w:tcW w:w="964" w:type="dxa"/>
            <w:vMerge w:val="continue"/>
          </w:tcPr>
          <w:p w14:paraId="17A67DD7"/>
        </w:tc>
      </w:tr>
      <w:tr w14:paraId="7917A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89295D">
            <w:pPr>
              <w:pStyle w:val="15"/>
            </w:pPr>
            <w:r>
              <w:t>合  计</w:t>
            </w:r>
          </w:p>
        </w:tc>
        <w:tc>
          <w:tcPr>
            <w:tcW w:w="964" w:type="dxa"/>
            <w:vAlign w:val="center"/>
          </w:tcPr>
          <w:p w14:paraId="3B1516E0">
            <w:pPr>
              <w:pStyle w:val="16"/>
            </w:pPr>
          </w:p>
        </w:tc>
        <w:tc>
          <w:tcPr>
            <w:tcW w:w="1134" w:type="dxa"/>
            <w:vAlign w:val="center"/>
          </w:tcPr>
          <w:p w14:paraId="5C4DEBA4">
            <w:pPr>
              <w:pStyle w:val="17"/>
            </w:pPr>
          </w:p>
        </w:tc>
        <w:tc>
          <w:tcPr>
            <w:tcW w:w="1134" w:type="dxa"/>
            <w:vAlign w:val="center"/>
          </w:tcPr>
          <w:p w14:paraId="4309346F">
            <w:pPr>
              <w:pStyle w:val="17"/>
            </w:pPr>
          </w:p>
        </w:tc>
        <w:tc>
          <w:tcPr>
            <w:tcW w:w="709" w:type="dxa"/>
            <w:vAlign w:val="center"/>
          </w:tcPr>
          <w:p w14:paraId="14323ACC">
            <w:pPr>
              <w:pStyle w:val="15"/>
            </w:pPr>
          </w:p>
        </w:tc>
        <w:tc>
          <w:tcPr>
            <w:tcW w:w="850" w:type="dxa"/>
            <w:vAlign w:val="center"/>
          </w:tcPr>
          <w:p w14:paraId="5282C5E7">
            <w:pPr>
              <w:pStyle w:val="16"/>
            </w:pPr>
          </w:p>
        </w:tc>
        <w:tc>
          <w:tcPr>
            <w:tcW w:w="850" w:type="dxa"/>
            <w:vAlign w:val="center"/>
          </w:tcPr>
          <w:p w14:paraId="15605A06">
            <w:pPr>
              <w:pStyle w:val="16"/>
            </w:pPr>
          </w:p>
        </w:tc>
        <w:tc>
          <w:tcPr>
            <w:tcW w:w="964" w:type="dxa"/>
            <w:vAlign w:val="center"/>
          </w:tcPr>
          <w:p w14:paraId="041B0675">
            <w:pPr>
              <w:pStyle w:val="16"/>
            </w:pPr>
            <w:r>
              <w:t>3.10</w:t>
            </w:r>
          </w:p>
        </w:tc>
        <w:tc>
          <w:tcPr>
            <w:tcW w:w="964" w:type="dxa"/>
            <w:vAlign w:val="center"/>
          </w:tcPr>
          <w:p w14:paraId="4865F5C3">
            <w:pPr>
              <w:pStyle w:val="16"/>
            </w:pPr>
          </w:p>
        </w:tc>
        <w:tc>
          <w:tcPr>
            <w:tcW w:w="964" w:type="dxa"/>
            <w:vAlign w:val="center"/>
          </w:tcPr>
          <w:p w14:paraId="2678E3CD">
            <w:pPr>
              <w:pStyle w:val="16"/>
            </w:pPr>
          </w:p>
        </w:tc>
        <w:tc>
          <w:tcPr>
            <w:tcW w:w="964" w:type="dxa"/>
            <w:vAlign w:val="center"/>
          </w:tcPr>
          <w:p w14:paraId="4A92A29F">
            <w:pPr>
              <w:pStyle w:val="16"/>
            </w:pPr>
          </w:p>
        </w:tc>
        <w:tc>
          <w:tcPr>
            <w:tcW w:w="964" w:type="dxa"/>
            <w:vAlign w:val="center"/>
          </w:tcPr>
          <w:p w14:paraId="42C08686">
            <w:pPr>
              <w:pStyle w:val="16"/>
            </w:pPr>
            <w:r>
              <w:t>3.10</w:t>
            </w:r>
          </w:p>
        </w:tc>
        <w:tc>
          <w:tcPr>
            <w:tcW w:w="964" w:type="dxa"/>
            <w:vAlign w:val="center"/>
          </w:tcPr>
          <w:p w14:paraId="05BAE9C5">
            <w:pPr>
              <w:pStyle w:val="16"/>
            </w:pPr>
          </w:p>
        </w:tc>
        <w:tc>
          <w:tcPr>
            <w:tcW w:w="964" w:type="dxa"/>
            <w:vAlign w:val="center"/>
          </w:tcPr>
          <w:p w14:paraId="1BD35964">
            <w:pPr>
              <w:pStyle w:val="16"/>
            </w:pPr>
          </w:p>
        </w:tc>
        <w:tc>
          <w:tcPr>
            <w:tcW w:w="964" w:type="dxa"/>
            <w:vAlign w:val="center"/>
          </w:tcPr>
          <w:p w14:paraId="7C051584">
            <w:pPr>
              <w:pStyle w:val="16"/>
            </w:pPr>
            <w:r>
              <w:t>3.10</w:t>
            </w:r>
          </w:p>
        </w:tc>
      </w:tr>
      <w:tr w14:paraId="66E9A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E3AA18">
            <w:pPr>
              <w:pStyle w:val="15"/>
            </w:pPr>
            <w:r>
              <w:t>隆尧县教师发展中心小计</w:t>
            </w:r>
          </w:p>
        </w:tc>
        <w:tc>
          <w:tcPr>
            <w:tcW w:w="964" w:type="dxa"/>
            <w:vAlign w:val="center"/>
          </w:tcPr>
          <w:p w14:paraId="1368096B">
            <w:pPr>
              <w:pStyle w:val="16"/>
            </w:pPr>
          </w:p>
        </w:tc>
        <w:tc>
          <w:tcPr>
            <w:tcW w:w="1134" w:type="dxa"/>
            <w:vAlign w:val="center"/>
          </w:tcPr>
          <w:p w14:paraId="5373E834">
            <w:pPr>
              <w:pStyle w:val="17"/>
            </w:pPr>
          </w:p>
        </w:tc>
        <w:tc>
          <w:tcPr>
            <w:tcW w:w="1134" w:type="dxa"/>
            <w:vAlign w:val="center"/>
          </w:tcPr>
          <w:p w14:paraId="42BC9531">
            <w:pPr>
              <w:pStyle w:val="17"/>
            </w:pPr>
          </w:p>
        </w:tc>
        <w:tc>
          <w:tcPr>
            <w:tcW w:w="709" w:type="dxa"/>
            <w:vAlign w:val="center"/>
          </w:tcPr>
          <w:p w14:paraId="455E3B69">
            <w:pPr>
              <w:pStyle w:val="15"/>
            </w:pPr>
          </w:p>
        </w:tc>
        <w:tc>
          <w:tcPr>
            <w:tcW w:w="850" w:type="dxa"/>
            <w:vAlign w:val="center"/>
          </w:tcPr>
          <w:p w14:paraId="418834BA">
            <w:pPr>
              <w:pStyle w:val="16"/>
            </w:pPr>
          </w:p>
        </w:tc>
        <w:tc>
          <w:tcPr>
            <w:tcW w:w="850" w:type="dxa"/>
            <w:vAlign w:val="center"/>
          </w:tcPr>
          <w:p w14:paraId="51717F85">
            <w:pPr>
              <w:pStyle w:val="16"/>
            </w:pPr>
          </w:p>
        </w:tc>
        <w:tc>
          <w:tcPr>
            <w:tcW w:w="964" w:type="dxa"/>
            <w:vAlign w:val="center"/>
          </w:tcPr>
          <w:p w14:paraId="67F1D5FE">
            <w:pPr>
              <w:pStyle w:val="16"/>
            </w:pPr>
            <w:r>
              <w:t>3.10</w:t>
            </w:r>
          </w:p>
        </w:tc>
        <w:tc>
          <w:tcPr>
            <w:tcW w:w="964" w:type="dxa"/>
            <w:vAlign w:val="center"/>
          </w:tcPr>
          <w:p w14:paraId="22589FEB">
            <w:pPr>
              <w:pStyle w:val="16"/>
            </w:pPr>
          </w:p>
        </w:tc>
        <w:tc>
          <w:tcPr>
            <w:tcW w:w="964" w:type="dxa"/>
            <w:vAlign w:val="center"/>
          </w:tcPr>
          <w:p w14:paraId="21269B23">
            <w:pPr>
              <w:pStyle w:val="16"/>
            </w:pPr>
          </w:p>
        </w:tc>
        <w:tc>
          <w:tcPr>
            <w:tcW w:w="964" w:type="dxa"/>
            <w:vAlign w:val="center"/>
          </w:tcPr>
          <w:p w14:paraId="7FC2293E">
            <w:pPr>
              <w:pStyle w:val="16"/>
            </w:pPr>
          </w:p>
        </w:tc>
        <w:tc>
          <w:tcPr>
            <w:tcW w:w="964" w:type="dxa"/>
            <w:vAlign w:val="center"/>
          </w:tcPr>
          <w:p w14:paraId="0D73C723">
            <w:pPr>
              <w:pStyle w:val="16"/>
            </w:pPr>
            <w:r>
              <w:t>3.10</w:t>
            </w:r>
          </w:p>
        </w:tc>
        <w:tc>
          <w:tcPr>
            <w:tcW w:w="964" w:type="dxa"/>
            <w:vAlign w:val="center"/>
          </w:tcPr>
          <w:p w14:paraId="4B3EB235">
            <w:pPr>
              <w:pStyle w:val="16"/>
            </w:pPr>
          </w:p>
        </w:tc>
        <w:tc>
          <w:tcPr>
            <w:tcW w:w="964" w:type="dxa"/>
            <w:vAlign w:val="center"/>
          </w:tcPr>
          <w:p w14:paraId="5F4A72D9">
            <w:pPr>
              <w:pStyle w:val="16"/>
            </w:pPr>
          </w:p>
        </w:tc>
        <w:tc>
          <w:tcPr>
            <w:tcW w:w="964" w:type="dxa"/>
            <w:vAlign w:val="center"/>
          </w:tcPr>
          <w:p w14:paraId="617730A1">
            <w:pPr>
              <w:pStyle w:val="16"/>
            </w:pPr>
            <w:r>
              <w:t>3.10</w:t>
            </w:r>
          </w:p>
        </w:tc>
      </w:tr>
      <w:tr w14:paraId="2D138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F8DDD0">
            <w:pPr>
              <w:pStyle w:val="13"/>
            </w:pPr>
            <w:r>
              <w:t>电大培训费专项经费/教师发展中心</w:t>
            </w:r>
          </w:p>
        </w:tc>
        <w:tc>
          <w:tcPr>
            <w:tcW w:w="964" w:type="dxa"/>
            <w:vAlign w:val="center"/>
          </w:tcPr>
          <w:p w14:paraId="26275662">
            <w:pPr>
              <w:pStyle w:val="14"/>
            </w:pPr>
            <w:r>
              <w:t>114.62</w:t>
            </w:r>
          </w:p>
        </w:tc>
        <w:tc>
          <w:tcPr>
            <w:tcW w:w="1134" w:type="dxa"/>
            <w:vAlign w:val="center"/>
          </w:tcPr>
          <w:p w14:paraId="074F9BD9">
            <w:pPr>
              <w:pStyle w:val="13"/>
            </w:pPr>
            <w:r>
              <w:t>台式计算机</w:t>
            </w:r>
          </w:p>
        </w:tc>
        <w:tc>
          <w:tcPr>
            <w:tcW w:w="1134" w:type="dxa"/>
            <w:vAlign w:val="center"/>
          </w:tcPr>
          <w:p w14:paraId="341C91B0">
            <w:pPr>
              <w:pStyle w:val="13"/>
            </w:pPr>
            <w:r>
              <w:t>A02010105</w:t>
            </w:r>
          </w:p>
        </w:tc>
        <w:tc>
          <w:tcPr>
            <w:tcW w:w="709" w:type="dxa"/>
            <w:vAlign w:val="center"/>
          </w:tcPr>
          <w:p w14:paraId="349A0AC1">
            <w:pPr>
              <w:pStyle w:val="12"/>
            </w:pPr>
            <w:r>
              <w:t>台</w:t>
            </w:r>
          </w:p>
        </w:tc>
        <w:tc>
          <w:tcPr>
            <w:tcW w:w="850" w:type="dxa"/>
            <w:vAlign w:val="center"/>
          </w:tcPr>
          <w:p w14:paraId="563B00BE">
            <w:pPr>
              <w:pStyle w:val="14"/>
            </w:pPr>
            <w:r>
              <w:t>4</w:t>
            </w:r>
          </w:p>
        </w:tc>
        <w:tc>
          <w:tcPr>
            <w:tcW w:w="850" w:type="dxa"/>
            <w:vAlign w:val="center"/>
          </w:tcPr>
          <w:p w14:paraId="28055F21">
            <w:pPr>
              <w:pStyle w:val="14"/>
            </w:pPr>
            <w:r>
              <w:t>0.45</w:t>
            </w:r>
          </w:p>
        </w:tc>
        <w:tc>
          <w:tcPr>
            <w:tcW w:w="964" w:type="dxa"/>
            <w:vAlign w:val="center"/>
          </w:tcPr>
          <w:p w14:paraId="339207A4">
            <w:pPr>
              <w:pStyle w:val="14"/>
            </w:pPr>
            <w:r>
              <w:t>1.80</w:t>
            </w:r>
          </w:p>
        </w:tc>
        <w:tc>
          <w:tcPr>
            <w:tcW w:w="964" w:type="dxa"/>
            <w:vAlign w:val="center"/>
          </w:tcPr>
          <w:p w14:paraId="2CFDF9AB">
            <w:pPr>
              <w:pStyle w:val="14"/>
            </w:pPr>
          </w:p>
        </w:tc>
        <w:tc>
          <w:tcPr>
            <w:tcW w:w="964" w:type="dxa"/>
            <w:vAlign w:val="center"/>
          </w:tcPr>
          <w:p w14:paraId="018C6BE4">
            <w:pPr>
              <w:pStyle w:val="14"/>
            </w:pPr>
          </w:p>
        </w:tc>
        <w:tc>
          <w:tcPr>
            <w:tcW w:w="964" w:type="dxa"/>
            <w:vAlign w:val="center"/>
          </w:tcPr>
          <w:p w14:paraId="28561EA7">
            <w:pPr>
              <w:pStyle w:val="14"/>
            </w:pPr>
          </w:p>
        </w:tc>
        <w:tc>
          <w:tcPr>
            <w:tcW w:w="964" w:type="dxa"/>
            <w:vAlign w:val="center"/>
          </w:tcPr>
          <w:p w14:paraId="1406023E">
            <w:pPr>
              <w:pStyle w:val="14"/>
            </w:pPr>
            <w:r>
              <w:t>1.80</w:t>
            </w:r>
          </w:p>
        </w:tc>
        <w:tc>
          <w:tcPr>
            <w:tcW w:w="964" w:type="dxa"/>
            <w:vAlign w:val="center"/>
          </w:tcPr>
          <w:p w14:paraId="311ECD08">
            <w:pPr>
              <w:pStyle w:val="14"/>
            </w:pPr>
          </w:p>
        </w:tc>
        <w:tc>
          <w:tcPr>
            <w:tcW w:w="964" w:type="dxa"/>
            <w:vAlign w:val="center"/>
          </w:tcPr>
          <w:p w14:paraId="486CA53F">
            <w:pPr>
              <w:pStyle w:val="14"/>
            </w:pPr>
          </w:p>
        </w:tc>
        <w:tc>
          <w:tcPr>
            <w:tcW w:w="964" w:type="dxa"/>
            <w:vAlign w:val="center"/>
          </w:tcPr>
          <w:p w14:paraId="6A59DFD4">
            <w:pPr>
              <w:pStyle w:val="14"/>
            </w:pPr>
            <w:r>
              <w:t>1.80</w:t>
            </w:r>
          </w:p>
        </w:tc>
      </w:tr>
      <w:tr w14:paraId="78E42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E803C3">
            <w:pPr>
              <w:pStyle w:val="13"/>
            </w:pPr>
            <w:r>
              <w:t>电大培训费专项经费/教师发展中心</w:t>
            </w:r>
          </w:p>
        </w:tc>
        <w:tc>
          <w:tcPr>
            <w:tcW w:w="964" w:type="dxa"/>
            <w:vAlign w:val="center"/>
          </w:tcPr>
          <w:p w14:paraId="51427BD3">
            <w:pPr>
              <w:pStyle w:val="14"/>
            </w:pPr>
            <w:r>
              <w:t>114.62</w:t>
            </w:r>
          </w:p>
        </w:tc>
        <w:tc>
          <w:tcPr>
            <w:tcW w:w="1134" w:type="dxa"/>
            <w:vAlign w:val="center"/>
          </w:tcPr>
          <w:p w14:paraId="1A0068EF">
            <w:pPr>
              <w:pStyle w:val="13"/>
            </w:pPr>
            <w:r>
              <w:t>便携式计算机</w:t>
            </w:r>
          </w:p>
        </w:tc>
        <w:tc>
          <w:tcPr>
            <w:tcW w:w="1134" w:type="dxa"/>
            <w:vAlign w:val="center"/>
          </w:tcPr>
          <w:p w14:paraId="6D38BD81">
            <w:pPr>
              <w:pStyle w:val="13"/>
            </w:pPr>
            <w:r>
              <w:t>A02010108</w:t>
            </w:r>
          </w:p>
        </w:tc>
        <w:tc>
          <w:tcPr>
            <w:tcW w:w="709" w:type="dxa"/>
            <w:vAlign w:val="center"/>
          </w:tcPr>
          <w:p w14:paraId="58D76D9B">
            <w:pPr>
              <w:pStyle w:val="12"/>
            </w:pPr>
            <w:r>
              <w:t>台</w:t>
            </w:r>
          </w:p>
        </w:tc>
        <w:tc>
          <w:tcPr>
            <w:tcW w:w="850" w:type="dxa"/>
            <w:vAlign w:val="center"/>
          </w:tcPr>
          <w:p w14:paraId="69816795">
            <w:pPr>
              <w:pStyle w:val="14"/>
            </w:pPr>
            <w:r>
              <w:t>1</w:t>
            </w:r>
          </w:p>
        </w:tc>
        <w:tc>
          <w:tcPr>
            <w:tcW w:w="850" w:type="dxa"/>
            <w:vAlign w:val="center"/>
          </w:tcPr>
          <w:p w14:paraId="7FC5DBBB">
            <w:pPr>
              <w:pStyle w:val="14"/>
            </w:pPr>
            <w:r>
              <w:t>0.60</w:t>
            </w:r>
          </w:p>
        </w:tc>
        <w:tc>
          <w:tcPr>
            <w:tcW w:w="964" w:type="dxa"/>
            <w:vAlign w:val="center"/>
          </w:tcPr>
          <w:p w14:paraId="16C86FC9">
            <w:pPr>
              <w:pStyle w:val="14"/>
            </w:pPr>
            <w:r>
              <w:t>0.60</w:t>
            </w:r>
          </w:p>
        </w:tc>
        <w:tc>
          <w:tcPr>
            <w:tcW w:w="964" w:type="dxa"/>
            <w:vAlign w:val="center"/>
          </w:tcPr>
          <w:p w14:paraId="3A6C2BF9">
            <w:pPr>
              <w:pStyle w:val="14"/>
            </w:pPr>
          </w:p>
        </w:tc>
        <w:tc>
          <w:tcPr>
            <w:tcW w:w="964" w:type="dxa"/>
            <w:vAlign w:val="center"/>
          </w:tcPr>
          <w:p w14:paraId="648C77C3">
            <w:pPr>
              <w:pStyle w:val="14"/>
            </w:pPr>
          </w:p>
        </w:tc>
        <w:tc>
          <w:tcPr>
            <w:tcW w:w="964" w:type="dxa"/>
            <w:vAlign w:val="center"/>
          </w:tcPr>
          <w:p w14:paraId="708503C1">
            <w:pPr>
              <w:pStyle w:val="14"/>
            </w:pPr>
          </w:p>
        </w:tc>
        <w:tc>
          <w:tcPr>
            <w:tcW w:w="964" w:type="dxa"/>
            <w:vAlign w:val="center"/>
          </w:tcPr>
          <w:p w14:paraId="6E9ED692">
            <w:pPr>
              <w:pStyle w:val="14"/>
            </w:pPr>
            <w:r>
              <w:t>0.60</w:t>
            </w:r>
          </w:p>
        </w:tc>
        <w:tc>
          <w:tcPr>
            <w:tcW w:w="964" w:type="dxa"/>
            <w:vAlign w:val="center"/>
          </w:tcPr>
          <w:p w14:paraId="471FD47B">
            <w:pPr>
              <w:pStyle w:val="14"/>
            </w:pPr>
          </w:p>
        </w:tc>
        <w:tc>
          <w:tcPr>
            <w:tcW w:w="964" w:type="dxa"/>
            <w:vAlign w:val="center"/>
          </w:tcPr>
          <w:p w14:paraId="728EF6D8">
            <w:pPr>
              <w:pStyle w:val="14"/>
            </w:pPr>
          </w:p>
        </w:tc>
        <w:tc>
          <w:tcPr>
            <w:tcW w:w="964" w:type="dxa"/>
            <w:vAlign w:val="center"/>
          </w:tcPr>
          <w:p w14:paraId="71DCA5C1">
            <w:pPr>
              <w:pStyle w:val="14"/>
            </w:pPr>
            <w:r>
              <w:t>0.60</w:t>
            </w:r>
          </w:p>
        </w:tc>
      </w:tr>
      <w:tr w14:paraId="37681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8FC2C77">
            <w:pPr>
              <w:pStyle w:val="13"/>
            </w:pPr>
            <w:r>
              <w:t>电大培训费专项经费/教师发展中心</w:t>
            </w:r>
          </w:p>
        </w:tc>
        <w:tc>
          <w:tcPr>
            <w:tcW w:w="964" w:type="dxa"/>
            <w:vAlign w:val="center"/>
          </w:tcPr>
          <w:p w14:paraId="647F4C30">
            <w:pPr>
              <w:pStyle w:val="14"/>
            </w:pPr>
            <w:r>
              <w:t>114.62</w:t>
            </w:r>
          </w:p>
        </w:tc>
        <w:tc>
          <w:tcPr>
            <w:tcW w:w="1134" w:type="dxa"/>
            <w:vAlign w:val="center"/>
          </w:tcPr>
          <w:p w14:paraId="5E13EE88">
            <w:pPr>
              <w:pStyle w:val="13"/>
            </w:pPr>
            <w:r>
              <w:t>多功能一体机</w:t>
            </w:r>
          </w:p>
        </w:tc>
        <w:tc>
          <w:tcPr>
            <w:tcW w:w="1134" w:type="dxa"/>
            <w:vAlign w:val="center"/>
          </w:tcPr>
          <w:p w14:paraId="13CB64DF">
            <w:pPr>
              <w:pStyle w:val="13"/>
            </w:pPr>
            <w:r>
              <w:t>A02020400</w:t>
            </w:r>
          </w:p>
        </w:tc>
        <w:tc>
          <w:tcPr>
            <w:tcW w:w="709" w:type="dxa"/>
            <w:vAlign w:val="center"/>
          </w:tcPr>
          <w:p w14:paraId="14262DA4">
            <w:pPr>
              <w:pStyle w:val="12"/>
            </w:pPr>
            <w:r>
              <w:t>台</w:t>
            </w:r>
          </w:p>
        </w:tc>
        <w:tc>
          <w:tcPr>
            <w:tcW w:w="850" w:type="dxa"/>
            <w:vAlign w:val="center"/>
          </w:tcPr>
          <w:p w14:paraId="0385EF32">
            <w:pPr>
              <w:pStyle w:val="14"/>
            </w:pPr>
            <w:r>
              <w:t>1</w:t>
            </w:r>
          </w:p>
        </w:tc>
        <w:tc>
          <w:tcPr>
            <w:tcW w:w="850" w:type="dxa"/>
            <w:vAlign w:val="center"/>
          </w:tcPr>
          <w:p w14:paraId="4A561242">
            <w:pPr>
              <w:pStyle w:val="14"/>
            </w:pPr>
            <w:r>
              <w:t>0.25</w:t>
            </w:r>
          </w:p>
        </w:tc>
        <w:tc>
          <w:tcPr>
            <w:tcW w:w="964" w:type="dxa"/>
            <w:vAlign w:val="center"/>
          </w:tcPr>
          <w:p w14:paraId="4FCC2FCA">
            <w:pPr>
              <w:pStyle w:val="14"/>
            </w:pPr>
            <w:r>
              <w:t>0.25</w:t>
            </w:r>
          </w:p>
        </w:tc>
        <w:tc>
          <w:tcPr>
            <w:tcW w:w="964" w:type="dxa"/>
            <w:vAlign w:val="center"/>
          </w:tcPr>
          <w:p w14:paraId="192FD123">
            <w:pPr>
              <w:pStyle w:val="14"/>
            </w:pPr>
          </w:p>
        </w:tc>
        <w:tc>
          <w:tcPr>
            <w:tcW w:w="964" w:type="dxa"/>
            <w:vAlign w:val="center"/>
          </w:tcPr>
          <w:p w14:paraId="064DFD74">
            <w:pPr>
              <w:pStyle w:val="14"/>
            </w:pPr>
          </w:p>
        </w:tc>
        <w:tc>
          <w:tcPr>
            <w:tcW w:w="964" w:type="dxa"/>
            <w:vAlign w:val="center"/>
          </w:tcPr>
          <w:p w14:paraId="68529A8D">
            <w:pPr>
              <w:pStyle w:val="14"/>
            </w:pPr>
          </w:p>
        </w:tc>
        <w:tc>
          <w:tcPr>
            <w:tcW w:w="964" w:type="dxa"/>
            <w:vAlign w:val="center"/>
          </w:tcPr>
          <w:p w14:paraId="60AF8253">
            <w:pPr>
              <w:pStyle w:val="14"/>
            </w:pPr>
            <w:r>
              <w:t>0.25</w:t>
            </w:r>
          </w:p>
        </w:tc>
        <w:tc>
          <w:tcPr>
            <w:tcW w:w="964" w:type="dxa"/>
            <w:vAlign w:val="center"/>
          </w:tcPr>
          <w:p w14:paraId="5FEB9AE0">
            <w:pPr>
              <w:pStyle w:val="14"/>
            </w:pPr>
          </w:p>
        </w:tc>
        <w:tc>
          <w:tcPr>
            <w:tcW w:w="964" w:type="dxa"/>
            <w:vAlign w:val="center"/>
          </w:tcPr>
          <w:p w14:paraId="07583462">
            <w:pPr>
              <w:pStyle w:val="14"/>
            </w:pPr>
          </w:p>
        </w:tc>
        <w:tc>
          <w:tcPr>
            <w:tcW w:w="964" w:type="dxa"/>
            <w:vAlign w:val="center"/>
          </w:tcPr>
          <w:p w14:paraId="7054098C">
            <w:pPr>
              <w:pStyle w:val="14"/>
            </w:pPr>
            <w:r>
              <w:t>0.25</w:t>
            </w:r>
          </w:p>
        </w:tc>
      </w:tr>
      <w:tr w14:paraId="76E16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489B80">
            <w:pPr>
              <w:pStyle w:val="13"/>
            </w:pPr>
            <w:r>
              <w:t>电大培训费专项经费/教师发展中心</w:t>
            </w:r>
          </w:p>
        </w:tc>
        <w:tc>
          <w:tcPr>
            <w:tcW w:w="964" w:type="dxa"/>
            <w:vAlign w:val="center"/>
          </w:tcPr>
          <w:p w14:paraId="0F04B50A">
            <w:pPr>
              <w:pStyle w:val="14"/>
            </w:pPr>
            <w:r>
              <w:t>114.62</w:t>
            </w:r>
          </w:p>
        </w:tc>
        <w:tc>
          <w:tcPr>
            <w:tcW w:w="1134" w:type="dxa"/>
            <w:vAlign w:val="center"/>
          </w:tcPr>
          <w:p w14:paraId="4AC08A43">
            <w:pPr>
              <w:pStyle w:val="13"/>
            </w:pPr>
            <w:r>
              <w:t>文件柜</w:t>
            </w:r>
          </w:p>
        </w:tc>
        <w:tc>
          <w:tcPr>
            <w:tcW w:w="1134" w:type="dxa"/>
            <w:vAlign w:val="center"/>
          </w:tcPr>
          <w:p w14:paraId="67BCE787">
            <w:pPr>
              <w:pStyle w:val="13"/>
            </w:pPr>
            <w:r>
              <w:t>A05010502</w:t>
            </w:r>
          </w:p>
        </w:tc>
        <w:tc>
          <w:tcPr>
            <w:tcW w:w="709" w:type="dxa"/>
            <w:vAlign w:val="center"/>
          </w:tcPr>
          <w:p w14:paraId="1AB10451">
            <w:pPr>
              <w:pStyle w:val="12"/>
            </w:pPr>
            <w:r>
              <w:t>组</w:t>
            </w:r>
          </w:p>
        </w:tc>
        <w:tc>
          <w:tcPr>
            <w:tcW w:w="850" w:type="dxa"/>
            <w:vAlign w:val="center"/>
          </w:tcPr>
          <w:p w14:paraId="46E2B291">
            <w:pPr>
              <w:pStyle w:val="14"/>
            </w:pPr>
            <w:r>
              <w:t>10</w:t>
            </w:r>
          </w:p>
        </w:tc>
        <w:tc>
          <w:tcPr>
            <w:tcW w:w="850" w:type="dxa"/>
            <w:vAlign w:val="center"/>
          </w:tcPr>
          <w:p w14:paraId="2884A592">
            <w:pPr>
              <w:pStyle w:val="14"/>
            </w:pPr>
            <w:r>
              <w:t>0.05</w:t>
            </w:r>
          </w:p>
        </w:tc>
        <w:tc>
          <w:tcPr>
            <w:tcW w:w="964" w:type="dxa"/>
            <w:vAlign w:val="center"/>
          </w:tcPr>
          <w:p w14:paraId="1B8868B6">
            <w:pPr>
              <w:pStyle w:val="14"/>
            </w:pPr>
            <w:r>
              <w:t>0.45</w:t>
            </w:r>
          </w:p>
        </w:tc>
        <w:tc>
          <w:tcPr>
            <w:tcW w:w="964" w:type="dxa"/>
            <w:vAlign w:val="center"/>
          </w:tcPr>
          <w:p w14:paraId="2202C897">
            <w:pPr>
              <w:pStyle w:val="14"/>
            </w:pPr>
          </w:p>
        </w:tc>
        <w:tc>
          <w:tcPr>
            <w:tcW w:w="964" w:type="dxa"/>
            <w:vAlign w:val="center"/>
          </w:tcPr>
          <w:p w14:paraId="0A785544">
            <w:pPr>
              <w:pStyle w:val="14"/>
            </w:pPr>
          </w:p>
        </w:tc>
        <w:tc>
          <w:tcPr>
            <w:tcW w:w="964" w:type="dxa"/>
            <w:vAlign w:val="center"/>
          </w:tcPr>
          <w:p w14:paraId="564C99B1">
            <w:pPr>
              <w:pStyle w:val="14"/>
            </w:pPr>
          </w:p>
        </w:tc>
        <w:tc>
          <w:tcPr>
            <w:tcW w:w="964" w:type="dxa"/>
            <w:vAlign w:val="center"/>
          </w:tcPr>
          <w:p w14:paraId="2E2D058C">
            <w:pPr>
              <w:pStyle w:val="14"/>
            </w:pPr>
            <w:r>
              <w:t>0.45</w:t>
            </w:r>
          </w:p>
        </w:tc>
        <w:tc>
          <w:tcPr>
            <w:tcW w:w="964" w:type="dxa"/>
            <w:vAlign w:val="center"/>
          </w:tcPr>
          <w:p w14:paraId="489702AA">
            <w:pPr>
              <w:pStyle w:val="14"/>
            </w:pPr>
          </w:p>
        </w:tc>
        <w:tc>
          <w:tcPr>
            <w:tcW w:w="964" w:type="dxa"/>
            <w:vAlign w:val="center"/>
          </w:tcPr>
          <w:p w14:paraId="746EA877">
            <w:pPr>
              <w:pStyle w:val="14"/>
            </w:pPr>
          </w:p>
        </w:tc>
        <w:tc>
          <w:tcPr>
            <w:tcW w:w="964" w:type="dxa"/>
            <w:vAlign w:val="center"/>
          </w:tcPr>
          <w:p w14:paraId="4315E35B">
            <w:pPr>
              <w:pStyle w:val="14"/>
            </w:pPr>
            <w:r>
              <w:t>0.45</w:t>
            </w:r>
          </w:p>
        </w:tc>
      </w:tr>
    </w:tbl>
    <w:p w14:paraId="4833C29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C214F8">
      <w:pPr>
        <w:spacing w:before="0" w:after="0"/>
        <w:ind w:firstLine="640"/>
        <w:jc w:val="left"/>
        <w:outlineLvl w:val="9"/>
      </w:pPr>
      <w:r>
        <w:rPr>
          <w:rFonts w:ascii="Times New Roman" w:hAnsi="Times New Roman" w:eastAsia="方正仿宋_GBK" w:cs="Times New Roman"/>
          <w:color w:val="000000"/>
          <w:sz w:val="32"/>
        </w:rPr>
        <w:t xml:space="preserve"> </w:t>
      </w:r>
    </w:p>
    <w:p w14:paraId="66A18B57">
      <w:pPr>
        <w:spacing w:before="10" w:after="10" w:line="240" w:lineRule="auto"/>
        <w:ind w:firstLine="640"/>
        <w:jc w:val="left"/>
        <w:outlineLvl w:val="5"/>
      </w:pPr>
      <w:r>
        <w:rPr>
          <w:rFonts w:ascii="黑体" w:hAnsi="黑体" w:eastAsia="黑体" w:cs="黑体"/>
          <w:color w:val="000000"/>
          <w:sz w:val="32"/>
        </w:rPr>
        <w:t>七、国有资产信息</w:t>
      </w:r>
    </w:p>
    <w:p w14:paraId="1B122060">
      <w:pPr>
        <w:spacing w:before="0" w:after="0" w:line="500" w:lineRule="exact"/>
        <w:ind w:firstLine="560"/>
        <w:jc w:val="left"/>
        <w:outlineLvl w:val="9"/>
      </w:pPr>
      <w:r>
        <w:rPr>
          <w:rFonts w:ascii="Times New Roman" w:hAnsi="Times New Roman" w:eastAsia="方正仿宋_GBK" w:cs="Times New Roman"/>
          <w:b w:val="0"/>
          <w:color w:val="000000"/>
          <w:sz w:val="28"/>
        </w:rPr>
        <w:t>隆尧县教师发展中心上年末固定资产金额为191.91万元（详见下表）。本年度拟购置固定资产总额为15.62万元，已按要求列入政府采购预算，详见政府采购预算表。</w:t>
      </w:r>
    </w:p>
    <w:p w14:paraId="6A6D93C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D792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3331782">
            <w:pPr>
              <w:pStyle w:val="8"/>
            </w:pPr>
            <w:r>
              <w:t>360028隆尧县教师发展中心</w:t>
            </w:r>
          </w:p>
        </w:tc>
        <w:tc>
          <w:tcPr>
            <w:tcW w:w="5670" w:type="dxa"/>
            <w:gridSpan w:val="2"/>
            <w:tcBorders>
              <w:top w:val="single" w:color="FFFFFF" w:sz="6" w:space="0"/>
              <w:left w:val="single" w:color="FFFFFF" w:sz="6" w:space="0"/>
              <w:right w:val="single" w:color="FFFFFF" w:sz="6" w:space="0"/>
            </w:tcBorders>
            <w:vAlign w:val="center"/>
          </w:tcPr>
          <w:p w14:paraId="7EBD0A62">
            <w:pPr>
              <w:pStyle w:val="10"/>
            </w:pPr>
            <w:r>
              <w:t>截止时间：2024-12-31</w:t>
            </w:r>
          </w:p>
        </w:tc>
      </w:tr>
      <w:tr w14:paraId="73982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D9E4CD3">
            <w:pPr>
              <w:pStyle w:val="11"/>
            </w:pPr>
            <w:r>
              <w:t>项   目</w:t>
            </w:r>
          </w:p>
        </w:tc>
        <w:tc>
          <w:tcPr>
            <w:tcW w:w="2835" w:type="dxa"/>
            <w:vAlign w:val="center"/>
          </w:tcPr>
          <w:p w14:paraId="1673D573">
            <w:pPr>
              <w:pStyle w:val="11"/>
            </w:pPr>
            <w:r>
              <w:t>数量</w:t>
            </w:r>
          </w:p>
        </w:tc>
        <w:tc>
          <w:tcPr>
            <w:tcW w:w="2835" w:type="dxa"/>
            <w:vAlign w:val="center"/>
          </w:tcPr>
          <w:p w14:paraId="235D2004">
            <w:pPr>
              <w:pStyle w:val="11"/>
            </w:pPr>
            <w:r>
              <w:t>价值（金额单位：万元）</w:t>
            </w:r>
          </w:p>
        </w:tc>
      </w:tr>
      <w:tr w14:paraId="13332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E56239">
            <w:pPr>
              <w:pStyle w:val="13"/>
            </w:pPr>
            <w:r>
              <w:t>资产总额</w:t>
            </w:r>
          </w:p>
        </w:tc>
        <w:tc>
          <w:tcPr>
            <w:tcW w:w="2835" w:type="dxa"/>
            <w:vAlign w:val="center"/>
          </w:tcPr>
          <w:p w14:paraId="28FEB9ED">
            <w:pPr>
              <w:pStyle w:val="12"/>
            </w:pPr>
          </w:p>
        </w:tc>
        <w:tc>
          <w:tcPr>
            <w:tcW w:w="2835" w:type="dxa"/>
            <w:vAlign w:val="center"/>
          </w:tcPr>
          <w:p w14:paraId="77B41548">
            <w:pPr>
              <w:pStyle w:val="14"/>
            </w:pPr>
            <w:r>
              <w:t>191.91</w:t>
            </w:r>
          </w:p>
        </w:tc>
      </w:tr>
      <w:tr w14:paraId="11D11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0D17D9">
            <w:pPr>
              <w:pStyle w:val="13"/>
            </w:pPr>
            <w:r>
              <w:t>1、房屋（平方米）</w:t>
            </w:r>
          </w:p>
        </w:tc>
        <w:tc>
          <w:tcPr>
            <w:tcW w:w="2835" w:type="dxa"/>
            <w:vAlign w:val="center"/>
          </w:tcPr>
          <w:p w14:paraId="2361B84A">
            <w:pPr>
              <w:pStyle w:val="12"/>
            </w:pPr>
          </w:p>
        </w:tc>
        <w:tc>
          <w:tcPr>
            <w:tcW w:w="2835" w:type="dxa"/>
            <w:vAlign w:val="center"/>
          </w:tcPr>
          <w:p w14:paraId="15882443">
            <w:pPr>
              <w:pStyle w:val="14"/>
            </w:pPr>
          </w:p>
        </w:tc>
      </w:tr>
      <w:tr w14:paraId="79198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3C522B">
            <w:pPr>
              <w:pStyle w:val="13"/>
            </w:pPr>
            <w:r>
              <w:t>　　其中：办公用房（平方米）</w:t>
            </w:r>
          </w:p>
        </w:tc>
        <w:tc>
          <w:tcPr>
            <w:tcW w:w="2835" w:type="dxa"/>
            <w:vAlign w:val="center"/>
          </w:tcPr>
          <w:p w14:paraId="69642BDB">
            <w:pPr>
              <w:pStyle w:val="12"/>
            </w:pPr>
          </w:p>
        </w:tc>
        <w:tc>
          <w:tcPr>
            <w:tcW w:w="2835" w:type="dxa"/>
            <w:vAlign w:val="center"/>
          </w:tcPr>
          <w:p w14:paraId="79A2FC3F">
            <w:pPr>
              <w:pStyle w:val="14"/>
            </w:pPr>
          </w:p>
        </w:tc>
      </w:tr>
      <w:tr w14:paraId="0F26E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35C9B2">
            <w:pPr>
              <w:pStyle w:val="13"/>
            </w:pPr>
            <w:r>
              <w:t>2、车辆（台、辆）</w:t>
            </w:r>
          </w:p>
        </w:tc>
        <w:tc>
          <w:tcPr>
            <w:tcW w:w="2835" w:type="dxa"/>
            <w:vAlign w:val="center"/>
          </w:tcPr>
          <w:p w14:paraId="42DB3645">
            <w:pPr>
              <w:pStyle w:val="12"/>
            </w:pPr>
          </w:p>
        </w:tc>
        <w:tc>
          <w:tcPr>
            <w:tcW w:w="2835" w:type="dxa"/>
            <w:vAlign w:val="center"/>
          </w:tcPr>
          <w:p w14:paraId="2D902483">
            <w:pPr>
              <w:pStyle w:val="14"/>
            </w:pPr>
          </w:p>
        </w:tc>
      </w:tr>
      <w:tr w14:paraId="20DD6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DD0B50">
            <w:pPr>
              <w:pStyle w:val="13"/>
            </w:pPr>
            <w:r>
              <w:t>3、单价在20万元以上的设备</w:t>
            </w:r>
          </w:p>
        </w:tc>
        <w:tc>
          <w:tcPr>
            <w:tcW w:w="2835" w:type="dxa"/>
            <w:vAlign w:val="center"/>
          </w:tcPr>
          <w:p w14:paraId="4A1F5028">
            <w:pPr>
              <w:pStyle w:val="12"/>
            </w:pPr>
          </w:p>
        </w:tc>
        <w:tc>
          <w:tcPr>
            <w:tcW w:w="2835" w:type="dxa"/>
            <w:vAlign w:val="center"/>
          </w:tcPr>
          <w:p w14:paraId="1970AB63">
            <w:pPr>
              <w:pStyle w:val="14"/>
            </w:pPr>
          </w:p>
        </w:tc>
      </w:tr>
      <w:tr w14:paraId="582B1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3B0AEE">
            <w:pPr>
              <w:pStyle w:val="13"/>
            </w:pPr>
            <w:r>
              <w:t>4、其他固定资产</w:t>
            </w:r>
          </w:p>
        </w:tc>
        <w:tc>
          <w:tcPr>
            <w:tcW w:w="2835" w:type="dxa"/>
            <w:vAlign w:val="center"/>
          </w:tcPr>
          <w:p w14:paraId="2B657CFB">
            <w:pPr>
              <w:pStyle w:val="12"/>
            </w:pPr>
            <w:r>
              <w:t>862</w:t>
            </w:r>
          </w:p>
        </w:tc>
        <w:tc>
          <w:tcPr>
            <w:tcW w:w="2835" w:type="dxa"/>
            <w:vAlign w:val="center"/>
          </w:tcPr>
          <w:p w14:paraId="0367C11E">
            <w:pPr>
              <w:pStyle w:val="14"/>
            </w:pPr>
            <w:r>
              <w:t>191.91</w:t>
            </w:r>
          </w:p>
        </w:tc>
      </w:tr>
    </w:tbl>
    <w:p w14:paraId="4AFC200E">
      <w:pPr>
        <w:spacing w:before="0" w:after="0"/>
        <w:ind w:firstLine="640"/>
        <w:jc w:val="left"/>
        <w:outlineLvl w:val="9"/>
      </w:pPr>
      <w:r>
        <w:rPr>
          <w:rFonts w:ascii="Times New Roman" w:hAnsi="Times New Roman" w:eastAsia="方正仿宋_GBK" w:cs="Times New Roman"/>
          <w:color w:val="000000"/>
          <w:sz w:val="32"/>
        </w:rPr>
        <w:t xml:space="preserve"> </w:t>
      </w:r>
    </w:p>
    <w:p w14:paraId="1D4184B8">
      <w:pPr>
        <w:spacing w:before="10" w:after="10" w:line="240" w:lineRule="auto"/>
        <w:ind w:firstLine="640"/>
        <w:jc w:val="left"/>
        <w:outlineLvl w:val="5"/>
      </w:pPr>
      <w:r>
        <w:rPr>
          <w:rFonts w:ascii="黑体" w:hAnsi="黑体" w:eastAsia="黑体" w:cs="黑体"/>
          <w:color w:val="000000"/>
          <w:sz w:val="32"/>
        </w:rPr>
        <w:t>八、名词解释</w:t>
      </w:r>
    </w:p>
    <w:p w14:paraId="067845A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0EACE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B7D7E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026CA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7BE13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4160D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8CB05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7DC6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B0BA6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87062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ACBB55">
      <w:pPr>
        <w:spacing w:before="10" w:after="10" w:line="240" w:lineRule="auto"/>
        <w:ind w:firstLine="640"/>
        <w:jc w:val="left"/>
        <w:outlineLvl w:val="5"/>
      </w:pPr>
      <w:r>
        <w:rPr>
          <w:rFonts w:ascii="黑体" w:hAnsi="黑体" w:eastAsia="黑体" w:cs="黑体"/>
          <w:color w:val="000000"/>
          <w:sz w:val="32"/>
        </w:rPr>
        <w:t>九、其他需要说明的事项</w:t>
      </w:r>
    </w:p>
    <w:p w14:paraId="6404F46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37C78B8">
      <w:pPr>
        <w:spacing w:before="0" w:after="0"/>
        <w:ind w:firstLine="0"/>
        <w:jc w:val="center"/>
        <w:outlineLvl w:val="3"/>
      </w:pPr>
      <w:bookmarkStart w:id="28" w:name="_Toc_4_4_0000000048"/>
      <w:r>
        <w:rPr>
          <w:rFonts w:ascii="方正小标宋_GBK" w:hAnsi="方正小标宋_GBK" w:eastAsia="方正小标宋_GBK" w:cs="方正小标宋_GBK"/>
          <w:b w:val="0"/>
          <w:color w:val="000000"/>
          <w:sz w:val="44"/>
        </w:rPr>
        <w:t>二十八、隆尧县实验幼儿园收支预算</w:t>
      </w:r>
      <w:bookmarkEnd w:id="28"/>
    </w:p>
    <w:p w14:paraId="0D8BAB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6AD8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E09E6D">
            <w:pPr>
              <w:pStyle w:val="8"/>
            </w:pPr>
            <w:r>
              <w:t>360029隆尧县实验幼儿园</w:t>
            </w:r>
          </w:p>
        </w:tc>
        <w:tc>
          <w:tcPr>
            <w:tcW w:w="2126" w:type="dxa"/>
            <w:tcBorders>
              <w:top w:val="single" w:color="FFFFFF" w:sz="6" w:space="0"/>
              <w:left w:val="single" w:color="FFFFFF" w:sz="6" w:space="0"/>
              <w:right w:val="single" w:color="FFFFFF" w:sz="6" w:space="0"/>
            </w:tcBorders>
            <w:vAlign w:val="center"/>
          </w:tcPr>
          <w:p w14:paraId="55F764B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72C6DC0">
            <w:pPr>
              <w:pStyle w:val="10"/>
            </w:pPr>
            <w:r>
              <w:t>单位：万元</w:t>
            </w:r>
          </w:p>
        </w:tc>
      </w:tr>
      <w:tr w14:paraId="46009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AAAD9">
            <w:pPr>
              <w:pStyle w:val="11"/>
            </w:pPr>
            <w:r>
              <w:t>序号</w:t>
            </w:r>
          </w:p>
        </w:tc>
        <w:tc>
          <w:tcPr>
            <w:tcW w:w="6661" w:type="dxa"/>
            <w:gridSpan w:val="2"/>
            <w:vAlign w:val="center"/>
          </w:tcPr>
          <w:p w14:paraId="2B499619">
            <w:pPr>
              <w:pStyle w:val="11"/>
            </w:pPr>
            <w:r>
              <w:t>收入</w:t>
            </w:r>
          </w:p>
        </w:tc>
        <w:tc>
          <w:tcPr>
            <w:tcW w:w="6661" w:type="dxa"/>
            <w:gridSpan w:val="2"/>
            <w:vAlign w:val="center"/>
          </w:tcPr>
          <w:p w14:paraId="4990AD59">
            <w:pPr>
              <w:pStyle w:val="11"/>
            </w:pPr>
            <w:r>
              <w:t>支出</w:t>
            </w:r>
          </w:p>
        </w:tc>
      </w:tr>
      <w:tr w14:paraId="7B906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0C8361"/>
        </w:tc>
        <w:tc>
          <w:tcPr>
            <w:tcW w:w="4535" w:type="dxa"/>
            <w:vAlign w:val="center"/>
          </w:tcPr>
          <w:p w14:paraId="369D3D6C">
            <w:pPr>
              <w:pStyle w:val="11"/>
            </w:pPr>
            <w:r>
              <w:t>项  目</w:t>
            </w:r>
          </w:p>
        </w:tc>
        <w:tc>
          <w:tcPr>
            <w:tcW w:w="2126" w:type="dxa"/>
            <w:vAlign w:val="center"/>
          </w:tcPr>
          <w:p w14:paraId="7BA4DEEA">
            <w:pPr>
              <w:pStyle w:val="11"/>
            </w:pPr>
            <w:r>
              <w:t>预算数</w:t>
            </w:r>
          </w:p>
        </w:tc>
        <w:tc>
          <w:tcPr>
            <w:tcW w:w="4535" w:type="dxa"/>
            <w:vAlign w:val="center"/>
          </w:tcPr>
          <w:p w14:paraId="31D0EB24">
            <w:pPr>
              <w:pStyle w:val="11"/>
            </w:pPr>
            <w:r>
              <w:t>项  目</w:t>
            </w:r>
          </w:p>
        </w:tc>
        <w:tc>
          <w:tcPr>
            <w:tcW w:w="2126" w:type="dxa"/>
            <w:vAlign w:val="center"/>
          </w:tcPr>
          <w:p w14:paraId="26CB4443">
            <w:pPr>
              <w:pStyle w:val="11"/>
            </w:pPr>
            <w:r>
              <w:t>预算数</w:t>
            </w:r>
          </w:p>
        </w:tc>
      </w:tr>
      <w:tr w14:paraId="6B5A1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B80F6">
            <w:pPr>
              <w:pStyle w:val="11"/>
            </w:pPr>
            <w:r>
              <w:t>栏次</w:t>
            </w:r>
          </w:p>
        </w:tc>
        <w:tc>
          <w:tcPr>
            <w:tcW w:w="4535" w:type="dxa"/>
            <w:vAlign w:val="center"/>
          </w:tcPr>
          <w:p w14:paraId="0342D7FC">
            <w:pPr>
              <w:pStyle w:val="11"/>
            </w:pPr>
            <w:r>
              <w:t>1</w:t>
            </w:r>
          </w:p>
        </w:tc>
        <w:tc>
          <w:tcPr>
            <w:tcW w:w="2126" w:type="dxa"/>
            <w:vAlign w:val="center"/>
          </w:tcPr>
          <w:p w14:paraId="59EA6142">
            <w:pPr>
              <w:pStyle w:val="11"/>
            </w:pPr>
            <w:r>
              <w:t>2</w:t>
            </w:r>
          </w:p>
        </w:tc>
        <w:tc>
          <w:tcPr>
            <w:tcW w:w="4535" w:type="dxa"/>
            <w:vAlign w:val="center"/>
          </w:tcPr>
          <w:p w14:paraId="1DA134AD">
            <w:pPr>
              <w:pStyle w:val="11"/>
            </w:pPr>
            <w:r>
              <w:t>3</w:t>
            </w:r>
          </w:p>
        </w:tc>
        <w:tc>
          <w:tcPr>
            <w:tcW w:w="2126" w:type="dxa"/>
            <w:vAlign w:val="center"/>
          </w:tcPr>
          <w:p w14:paraId="75B40B3A">
            <w:pPr>
              <w:pStyle w:val="11"/>
            </w:pPr>
            <w:r>
              <w:t>4</w:t>
            </w:r>
          </w:p>
        </w:tc>
      </w:tr>
      <w:tr w14:paraId="25451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F659E">
            <w:pPr>
              <w:pStyle w:val="12"/>
            </w:pPr>
            <w:r>
              <w:t>1</w:t>
            </w:r>
          </w:p>
        </w:tc>
        <w:tc>
          <w:tcPr>
            <w:tcW w:w="4535" w:type="dxa"/>
            <w:vAlign w:val="center"/>
          </w:tcPr>
          <w:p w14:paraId="24E7262F">
            <w:pPr>
              <w:pStyle w:val="13"/>
            </w:pPr>
            <w:r>
              <w:t>一、一般公共预算拨款收入</w:t>
            </w:r>
          </w:p>
        </w:tc>
        <w:tc>
          <w:tcPr>
            <w:tcW w:w="2126" w:type="dxa"/>
            <w:vAlign w:val="center"/>
          </w:tcPr>
          <w:p w14:paraId="7D24ED58">
            <w:pPr>
              <w:pStyle w:val="14"/>
            </w:pPr>
            <w:r>
              <w:t>242.20</w:t>
            </w:r>
          </w:p>
        </w:tc>
        <w:tc>
          <w:tcPr>
            <w:tcW w:w="4535" w:type="dxa"/>
            <w:vAlign w:val="center"/>
          </w:tcPr>
          <w:p w14:paraId="570DE9E1">
            <w:pPr>
              <w:pStyle w:val="13"/>
            </w:pPr>
            <w:r>
              <w:t>一、一般公共服务支出</w:t>
            </w:r>
          </w:p>
        </w:tc>
        <w:tc>
          <w:tcPr>
            <w:tcW w:w="2126" w:type="dxa"/>
            <w:vAlign w:val="center"/>
          </w:tcPr>
          <w:p w14:paraId="5E00231E">
            <w:pPr>
              <w:pStyle w:val="14"/>
            </w:pPr>
          </w:p>
        </w:tc>
      </w:tr>
      <w:tr w14:paraId="709E3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20FA4">
            <w:pPr>
              <w:pStyle w:val="12"/>
            </w:pPr>
            <w:r>
              <w:t>2</w:t>
            </w:r>
          </w:p>
        </w:tc>
        <w:tc>
          <w:tcPr>
            <w:tcW w:w="4535" w:type="dxa"/>
            <w:vAlign w:val="center"/>
          </w:tcPr>
          <w:p w14:paraId="2A2723A1">
            <w:pPr>
              <w:pStyle w:val="13"/>
            </w:pPr>
            <w:r>
              <w:t>二、政府性基金预算拨款收入</w:t>
            </w:r>
          </w:p>
        </w:tc>
        <w:tc>
          <w:tcPr>
            <w:tcW w:w="2126" w:type="dxa"/>
            <w:vAlign w:val="center"/>
          </w:tcPr>
          <w:p w14:paraId="2E9476DE">
            <w:pPr>
              <w:pStyle w:val="14"/>
            </w:pPr>
          </w:p>
        </w:tc>
        <w:tc>
          <w:tcPr>
            <w:tcW w:w="4535" w:type="dxa"/>
            <w:vAlign w:val="center"/>
          </w:tcPr>
          <w:p w14:paraId="1C519146">
            <w:pPr>
              <w:pStyle w:val="13"/>
            </w:pPr>
            <w:r>
              <w:t>二、外交支出</w:t>
            </w:r>
          </w:p>
        </w:tc>
        <w:tc>
          <w:tcPr>
            <w:tcW w:w="2126" w:type="dxa"/>
            <w:vAlign w:val="center"/>
          </w:tcPr>
          <w:p w14:paraId="7D75CDC9">
            <w:pPr>
              <w:pStyle w:val="14"/>
            </w:pPr>
          </w:p>
        </w:tc>
      </w:tr>
      <w:tr w14:paraId="0B0B9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7F8B0">
            <w:pPr>
              <w:pStyle w:val="12"/>
            </w:pPr>
            <w:r>
              <w:t>3</w:t>
            </w:r>
          </w:p>
        </w:tc>
        <w:tc>
          <w:tcPr>
            <w:tcW w:w="4535" w:type="dxa"/>
            <w:vAlign w:val="center"/>
          </w:tcPr>
          <w:p w14:paraId="0D83484D">
            <w:pPr>
              <w:pStyle w:val="13"/>
            </w:pPr>
            <w:r>
              <w:t>三、国有资本经营预算拨款收入</w:t>
            </w:r>
          </w:p>
        </w:tc>
        <w:tc>
          <w:tcPr>
            <w:tcW w:w="2126" w:type="dxa"/>
            <w:vAlign w:val="center"/>
          </w:tcPr>
          <w:p w14:paraId="42185F29">
            <w:pPr>
              <w:pStyle w:val="14"/>
            </w:pPr>
          </w:p>
        </w:tc>
        <w:tc>
          <w:tcPr>
            <w:tcW w:w="4535" w:type="dxa"/>
            <w:vAlign w:val="center"/>
          </w:tcPr>
          <w:p w14:paraId="0B49BF6B">
            <w:pPr>
              <w:pStyle w:val="13"/>
            </w:pPr>
            <w:r>
              <w:t>三、国防支出</w:t>
            </w:r>
          </w:p>
        </w:tc>
        <w:tc>
          <w:tcPr>
            <w:tcW w:w="2126" w:type="dxa"/>
            <w:vAlign w:val="center"/>
          </w:tcPr>
          <w:p w14:paraId="0EFD1FDE">
            <w:pPr>
              <w:pStyle w:val="14"/>
            </w:pPr>
          </w:p>
        </w:tc>
      </w:tr>
      <w:tr w14:paraId="38BB7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91C3A">
            <w:pPr>
              <w:pStyle w:val="12"/>
            </w:pPr>
            <w:r>
              <w:t>4</w:t>
            </w:r>
          </w:p>
        </w:tc>
        <w:tc>
          <w:tcPr>
            <w:tcW w:w="4535" w:type="dxa"/>
            <w:vAlign w:val="center"/>
          </w:tcPr>
          <w:p w14:paraId="5EEE3B9A">
            <w:pPr>
              <w:pStyle w:val="13"/>
            </w:pPr>
            <w:r>
              <w:t>四、财政专户管理资金收入</w:t>
            </w:r>
          </w:p>
        </w:tc>
        <w:tc>
          <w:tcPr>
            <w:tcW w:w="2126" w:type="dxa"/>
            <w:vAlign w:val="center"/>
          </w:tcPr>
          <w:p w14:paraId="0560728A">
            <w:pPr>
              <w:pStyle w:val="14"/>
            </w:pPr>
          </w:p>
        </w:tc>
        <w:tc>
          <w:tcPr>
            <w:tcW w:w="4535" w:type="dxa"/>
            <w:vAlign w:val="center"/>
          </w:tcPr>
          <w:p w14:paraId="505A354E">
            <w:pPr>
              <w:pStyle w:val="13"/>
            </w:pPr>
            <w:r>
              <w:t>四、公共安全支出</w:t>
            </w:r>
          </w:p>
        </w:tc>
        <w:tc>
          <w:tcPr>
            <w:tcW w:w="2126" w:type="dxa"/>
            <w:vAlign w:val="center"/>
          </w:tcPr>
          <w:p w14:paraId="4543D5E7">
            <w:pPr>
              <w:pStyle w:val="14"/>
            </w:pPr>
          </w:p>
        </w:tc>
      </w:tr>
      <w:tr w14:paraId="2A4B7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237FC">
            <w:pPr>
              <w:pStyle w:val="12"/>
            </w:pPr>
            <w:r>
              <w:t>5</w:t>
            </w:r>
          </w:p>
        </w:tc>
        <w:tc>
          <w:tcPr>
            <w:tcW w:w="4535" w:type="dxa"/>
            <w:vAlign w:val="center"/>
          </w:tcPr>
          <w:p w14:paraId="181AA93E">
            <w:pPr>
              <w:pStyle w:val="13"/>
            </w:pPr>
            <w:r>
              <w:t>五、单位资金</w:t>
            </w:r>
          </w:p>
        </w:tc>
        <w:tc>
          <w:tcPr>
            <w:tcW w:w="2126" w:type="dxa"/>
            <w:vAlign w:val="center"/>
          </w:tcPr>
          <w:p w14:paraId="1BAEC487">
            <w:pPr>
              <w:pStyle w:val="14"/>
            </w:pPr>
          </w:p>
        </w:tc>
        <w:tc>
          <w:tcPr>
            <w:tcW w:w="4535" w:type="dxa"/>
            <w:vAlign w:val="center"/>
          </w:tcPr>
          <w:p w14:paraId="66927F81">
            <w:pPr>
              <w:pStyle w:val="13"/>
            </w:pPr>
            <w:r>
              <w:t>五、教育支出</w:t>
            </w:r>
          </w:p>
        </w:tc>
        <w:tc>
          <w:tcPr>
            <w:tcW w:w="2126" w:type="dxa"/>
            <w:vAlign w:val="center"/>
          </w:tcPr>
          <w:p w14:paraId="743FC701">
            <w:pPr>
              <w:pStyle w:val="14"/>
            </w:pPr>
            <w:r>
              <w:t>242.20</w:t>
            </w:r>
          </w:p>
        </w:tc>
      </w:tr>
      <w:tr w14:paraId="5F342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74785">
            <w:pPr>
              <w:pStyle w:val="12"/>
            </w:pPr>
            <w:r>
              <w:t>6</w:t>
            </w:r>
          </w:p>
        </w:tc>
        <w:tc>
          <w:tcPr>
            <w:tcW w:w="4535" w:type="dxa"/>
            <w:vAlign w:val="center"/>
          </w:tcPr>
          <w:p w14:paraId="41CD500F">
            <w:pPr>
              <w:pStyle w:val="13"/>
            </w:pPr>
          </w:p>
        </w:tc>
        <w:tc>
          <w:tcPr>
            <w:tcW w:w="2126" w:type="dxa"/>
            <w:vAlign w:val="center"/>
          </w:tcPr>
          <w:p w14:paraId="35539017">
            <w:pPr>
              <w:pStyle w:val="14"/>
            </w:pPr>
          </w:p>
        </w:tc>
        <w:tc>
          <w:tcPr>
            <w:tcW w:w="4535" w:type="dxa"/>
            <w:vAlign w:val="center"/>
          </w:tcPr>
          <w:p w14:paraId="2B83C540">
            <w:pPr>
              <w:pStyle w:val="13"/>
            </w:pPr>
            <w:r>
              <w:t>六、科学技术支出</w:t>
            </w:r>
          </w:p>
        </w:tc>
        <w:tc>
          <w:tcPr>
            <w:tcW w:w="2126" w:type="dxa"/>
            <w:vAlign w:val="center"/>
          </w:tcPr>
          <w:p w14:paraId="616B0DDC">
            <w:pPr>
              <w:pStyle w:val="14"/>
            </w:pPr>
          </w:p>
        </w:tc>
      </w:tr>
      <w:tr w14:paraId="5979A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609E8">
            <w:pPr>
              <w:pStyle w:val="12"/>
            </w:pPr>
            <w:r>
              <w:t>7</w:t>
            </w:r>
          </w:p>
        </w:tc>
        <w:tc>
          <w:tcPr>
            <w:tcW w:w="4535" w:type="dxa"/>
            <w:vAlign w:val="center"/>
          </w:tcPr>
          <w:p w14:paraId="69D6ACB1">
            <w:pPr>
              <w:pStyle w:val="13"/>
            </w:pPr>
          </w:p>
        </w:tc>
        <w:tc>
          <w:tcPr>
            <w:tcW w:w="2126" w:type="dxa"/>
            <w:vAlign w:val="center"/>
          </w:tcPr>
          <w:p w14:paraId="0C528711">
            <w:pPr>
              <w:pStyle w:val="14"/>
            </w:pPr>
          </w:p>
        </w:tc>
        <w:tc>
          <w:tcPr>
            <w:tcW w:w="4535" w:type="dxa"/>
            <w:vAlign w:val="center"/>
          </w:tcPr>
          <w:p w14:paraId="65396C31">
            <w:pPr>
              <w:pStyle w:val="13"/>
            </w:pPr>
            <w:r>
              <w:t>七、文化旅游体育与传媒支出</w:t>
            </w:r>
          </w:p>
        </w:tc>
        <w:tc>
          <w:tcPr>
            <w:tcW w:w="2126" w:type="dxa"/>
            <w:vAlign w:val="center"/>
          </w:tcPr>
          <w:p w14:paraId="4AEA0584">
            <w:pPr>
              <w:pStyle w:val="14"/>
            </w:pPr>
          </w:p>
        </w:tc>
      </w:tr>
      <w:tr w14:paraId="21088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B5D60">
            <w:pPr>
              <w:pStyle w:val="12"/>
            </w:pPr>
            <w:r>
              <w:t>8</w:t>
            </w:r>
          </w:p>
        </w:tc>
        <w:tc>
          <w:tcPr>
            <w:tcW w:w="4535" w:type="dxa"/>
            <w:vAlign w:val="center"/>
          </w:tcPr>
          <w:p w14:paraId="02A44862">
            <w:pPr>
              <w:pStyle w:val="13"/>
            </w:pPr>
          </w:p>
        </w:tc>
        <w:tc>
          <w:tcPr>
            <w:tcW w:w="2126" w:type="dxa"/>
            <w:vAlign w:val="center"/>
          </w:tcPr>
          <w:p w14:paraId="7848349F">
            <w:pPr>
              <w:pStyle w:val="14"/>
            </w:pPr>
          </w:p>
        </w:tc>
        <w:tc>
          <w:tcPr>
            <w:tcW w:w="4535" w:type="dxa"/>
            <w:vAlign w:val="center"/>
          </w:tcPr>
          <w:p w14:paraId="3D93011E">
            <w:pPr>
              <w:pStyle w:val="13"/>
            </w:pPr>
            <w:r>
              <w:t>八、社会保障和就业支出</w:t>
            </w:r>
          </w:p>
        </w:tc>
        <w:tc>
          <w:tcPr>
            <w:tcW w:w="2126" w:type="dxa"/>
            <w:vAlign w:val="center"/>
          </w:tcPr>
          <w:p w14:paraId="4B0A8CD4">
            <w:pPr>
              <w:pStyle w:val="14"/>
            </w:pPr>
          </w:p>
        </w:tc>
      </w:tr>
      <w:tr w14:paraId="69A01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66683">
            <w:pPr>
              <w:pStyle w:val="12"/>
            </w:pPr>
            <w:r>
              <w:t>9</w:t>
            </w:r>
          </w:p>
        </w:tc>
        <w:tc>
          <w:tcPr>
            <w:tcW w:w="4535" w:type="dxa"/>
            <w:vAlign w:val="center"/>
          </w:tcPr>
          <w:p w14:paraId="442ACAAD">
            <w:pPr>
              <w:pStyle w:val="13"/>
            </w:pPr>
          </w:p>
        </w:tc>
        <w:tc>
          <w:tcPr>
            <w:tcW w:w="2126" w:type="dxa"/>
            <w:vAlign w:val="center"/>
          </w:tcPr>
          <w:p w14:paraId="4CE4B857">
            <w:pPr>
              <w:pStyle w:val="14"/>
            </w:pPr>
          </w:p>
        </w:tc>
        <w:tc>
          <w:tcPr>
            <w:tcW w:w="4535" w:type="dxa"/>
            <w:vAlign w:val="center"/>
          </w:tcPr>
          <w:p w14:paraId="4DD361DA">
            <w:pPr>
              <w:pStyle w:val="13"/>
            </w:pPr>
            <w:r>
              <w:t>九、社会保险基金支出</w:t>
            </w:r>
          </w:p>
        </w:tc>
        <w:tc>
          <w:tcPr>
            <w:tcW w:w="2126" w:type="dxa"/>
            <w:vAlign w:val="center"/>
          </w:tcPr>
          <w:p w14:paraId="31481861">
            <w:pPr>
              <w:pStyle w:val="14"/>
            </w:pPr>
          </w:p>
        </w:tc>
      </w:tr>
      <w:tr w14:paraId="04985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7F275">
            <w:pPr>
              <w:pStyle w:val="12"/>
            </w:pPr>
            <w:r>
              <w:t>10</w:t>
            </w:r>
          </w:p>
        </w:tc>
        <w:tc>
          <w:tcPr>
            <w:tcW w:w="4535" w:type="dxa"/>
            <w:vAlign w:val="center"/>
          </w:tcPr>
          <w:p w14:paraId="24FA218C">
            <w:pPr>
              <w:pStyle w:val="13"/>
            </w:pPr>
          </w:p>
        </w:tc>
        <w:tc>
          <w:tcPr>
            <w:tcW w:w="2126" w:type="dxa"/>
            <w:vAlign w:val="center"/>
          </w:tcPr>
          <w:p w14:paraId="0DC83929">
            <w:pPr>
              <w:pStyle w:val="14"/>
            </w:pPr>
          </w:p>
        </w:tc>
        <w:tc>
          <w:tcPr>
            <w:tcW w:w="4535" w:type="dxa"/>
            <w:vAlign w:val="center"/>
          </w:tcPr>
          <w:p w14:paraId="16235E44">
            <w:pPr>
              <w:pStyle w:val="13"/>
            </w:pPr>
            <w:r>
              <w:t>十、卫生健康支出</w:t>
            </w:r>
          </w:p>
        </w:tc>
        <w:tc>
          <w:tcPr>
            <w:tcW w:w="2126" w:type="dxa"/>
            <w:vAlign w:val="center"/>
          </w:tcPr>
          <w:p w14:paraId="6D3CCA44">
            <w:pPr>
              <w:pStyle w:val="14"/>
            </w:pPr>
          </w:p>
        </w:tc>
      </w:tr>
      <w:tr w14:paraId="669F6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A065B">
            <w:pPr>
              <w:pStyle w:val="12"/>
            </w:pPr>
            <w:r>
              <w:t>11</w:t>
            </w:r>
          </w:p>
        </w:tc>
        <w:tc>
          <w:tcPr>
            <w:tcW w:w="4535" w:type="dxa"/>
            <w:vAlign w:val="center"/>
          </w:tcPr>
          <w:p w14:paraId="57B93919">
            <w:pPr>
              <w:pStyle w:val="13"/>
            </w:pPr>
          </w:p>
        </w:tc>
        <w:tc>
          <w:tcPr>
            <w:tcW w:w="2126" w:type="dxa"/>
            <w:vAlign w:val="center"/>
          </w:tcPr>
          <w:p w14:paraId="50E67B49">
            <w:pPr>
              <w:pStyle w:val="14"/>
            </w:pPr>
          </w:p>
        </w:tc>
        <w:tc>
          <w:tcPr>
            <w:tcW w:w="4535" w:type="dxa"/>
            <w:vAlign w:val="center"/>
          </w:tcPr>
          <w:p w14:paraId="46A0D34E">
            <w:pPr>
              <w:pStyle w:val="13"/>
            </w:pPr>
            <w:r>
              <w:t>十一、节能环保支出</w:t>
            </w:r>
          </w:p>
        </w:tc>
        <w:tc>
          <w:tcPr>
            <w:tcW w:w="2126" w:type="dxa"/>
            <w:vAlign w:val="center"/>
          </w:tcPr>
          <w:p w14:paraId="7F13EFE8">
            <w:pPr>
              <w:pStyle w:val="14"/>
            </w:pPr>
          </w:p>
        </w:tc>
      </w:tr>
      <w:tr w14:paraId="09E52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2E5A0">
            <w:pPr>
              <w:pStyle w:val="12"/>
            </w:pPr>
            <w:r>
              <w:t>12</w:t>
            </w:r>
          </w:p>
        </w:tc>
        <w:tc>
          <w:tcPr>
            <w:tcW w:w="4535" w:type="dxa"/>
            <w:vAlign w:val="center"/>
          </w:tcPr>
          <w:p w14:paraId="296DE2BE">
            <w:pPr>
              <w:pStyle w:val="13"/>
            </w:pPr>
          </w:p>
        </w:tc>
        <w:tc>
          <w:tcPr>
            <w:tcW w:w="2126" w:type="dxa"/>
            <w:vAlign w:val="center"/>
          </w:tcPr>
          <w:p w14:paraId="53C0A3B4">
            <w:pPr>
              <w:pStyle w:val="14"/>
            </w:pPr>
          </w:p>
        </w:tc>
        <w:tc>
          <w:tcPr>
            <w:tcW w:w="4535" w:type="dxa"/>
            <w:vAlign w:val="center"/>
          </w:tcPr>
          <w:p w14:paraId="612485D4">
            <w:pPr>
              <w:pStyle w:val="13"/>
            </w:pPr>
            <w:r>
              <w:t>十二、城乡社区支出</w:t>
            </w:r>
          </w:p>
        </w:tc>
        <w:tc>
          <w:tcPr>
            <w:tcW w:w="2126" w:type="dxa"/>
            <w:vAlign w:val="center"/>
          </w:tcPr>
          <w:p w14:paraId="040CD4DC">
            <w:pPr>
              <w:pStyle w:val="14"/>
            </w:pPr>
          </w:p>
        </w:tc>
      </w:tr>
      <w:tr w14:paraId="44E81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CC487">
            <w:pPr>
              <w:pStyle w:val="12"/>
            </w:pPr>
            <w:r>
              <w:t>13</w:t>
            </w:r>
          </w:p>
        </w:tc>
        <w:tc>
          <w:tcPr>
            <w:tcW w:w="4535" w:type="dxa"/>
            <w:vAlign w:val="center"/>
          </w:tcPr>
          <w:p w14:paraId="6F0EB872">
            <w:pPr>
              <w:pStyle w:val="13"/>
            </w:pPr>
          </w:p>
        </w:tc>
        <w:tc>
          <w:tcPr>
            <w:tcW w:w="2126" w:type="dxa"/>
            <w:vAlign w:val="center"/>
          </w:tcPr>
          <w:p w14:paraId="052ACB79">
            <w:pPr>
              <w:pStyle w:val="14"/>
            </w:pPr>
          </w:p>
        </w:tc>
        <w:tc>
          <w:tcPr>
            <w:tcW w:w="4535" w:type="dxa"/>
            <w:vAlign w:val="center"/>
          </w:tcPr>
          <w:p w14:paraId="7E0A7062">
            <w:pPr>
              <w:pStyle w:val="13"/>
            </w:pPr>
            <w:r>
              <w:t>十三、农林水支出</w:t>
            </w:r>
          </w:p>
        </w:tc>
        <w:tc>
          <w:tcPr>
            <w:tcW w:w="2126" w:type="dxa"/>
            <w:vAlign w:val="center"/>
          </w:tcPr>
          <w:p w14:paraId="70FE59C5">
            <w:pPr>
              <w:pStyle w:val="14"/>
            </w:pPr>
          </w:p>
        </w:tc>
      </w:tr>
      <w:tr w14:paraId="4C0D5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8D104">
            <w:pPr>
              <w:pStyle w:val="12"/>
            </w:pPr>
            <w:r>
              <w:t>14</w:t>
            </w:r>
          </w:p>
        </w:tc>
        <w:tc>
          <w:tcPr>
            <w:tcW w:w="4535" w:type="dxa"/>
            <w:vAlign w:val="center"/>
          </w:tcPr>
          <w:p w14:paraId="22787389">
            <w:pPr>
              <w:pStyle w:val="13"/>
            </w:pPr>
          </w:p>
        </w:tc>
        <w:tc>
          <w:tcPr>
            <w:tcW w:w="2126" w:type="dxa"/>
            <w:vAlign w:val="center"/>
          </w:tcPr>
          <w:p w14:paraId="433ABDDB">
            <w:pPr>
              <w:pStyle w:val="14"/>
            </w:pPr>
          </w:p>
        </w:tc>
        <w:tc>
          <w:tcPr>
            <w:tcW w:w="4535" w:type="dxa"/>
            <w:vAlign w:val="center"/>
          </w:tcPr>
          <w:p w14:paraId="38C52479">
            <w:pPr>
              <w:pStyle w:val="13"/>
            </w:pPr>
            <w:r>
              <w:t>十四、交通运输支出</w:t>
            </w:r>
          </w:p>
        </w:tc>
        <w:tc>
          <w:tcPr>
            <w:tcW w:w="2126" w:type="dxa"/>
            <w:vAlign w:val="center"/>
          </w:tcPr>
          <w:p w14:paraId="759B4A7A">
            <w:pPr>
              <w:pStyle w:val="14"/>
            </w:pPr>
          </w:p>
        </w:tc>
      </w:tr>
      <w:tr w14:paraId="4DB78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6AA94">
            <w:pPr>
              <w:pStyle w:val="12"/>
            </w:pPr>
            <w:r>
              <w:t>15</w:t>
            </w:r>
          </w:p>
        </w:tc>
        <w:tc>
          <w:tcPr>
            <w:tcW w:w="4535" w:type="dxa"/>
            <w:vAlign w:val="center"/>
          </w:tcPr>
          <w:p w14:paraId="7957CCEC">
            <w:pPr>
              <w:pStyle w:val="13"/>
            </w:pPr>
          </w:p>
        </w:tc>
        <w:tc>
          <w:tcPr>
            <w:tcW w:w="2126" w:type="dxa"/>
            <w:vAlign w:val="center"/>
          </w:tcPr>
          <w:p w14:paraId="3E3616B5">
            <w:pPr>
              <w:pStyle w:val="14"/>
            </w:pPr>
          </w:p>
        </w:tc>
        <w:tc>
          <w:tcPr>
            <w:tcW w:w="4535" w:type="dxa"/>
            <w:vAlign w:val="center"/>
          </w:tcPr>
          <w:p w14:paraId="693F4C74">
            <w:pPr>
              <w:pStyle w:val="13"/>
            </w:pPr>
            <w:r>
              <w:t>十五、资源勘探工业信息等支出</w:t>
            </w:r>
          </w:p>
        </w:tc>
        <w:tc>
          <w:tcPr>
            <w:tcW w:w="2126" w:type="dxa"/>
            <w:vAlign w:val="center"/>
          </w:tcPr>
          <w:p w14:paraId="33EE86F8">
            <w:pPr>
              <w:pStyle w:val="14"/>
            </w:pPr>
          </w:p>
        </w:tc>
      </w:tr>
      <w:tr w14:paraId="2FEFA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53D8F">
            <w:pPr>
              <w:pStyle w:val="12"/>
            </w:pPr>
            <w:r>
              <w:t>16</w:t>
            </w:r>
          </w:p>
        </w:tc>
        <w:tc>
          <w:tcPr>
            <w:tcW w:w="4535" w:type="dxa"/>
            <w:vAlign w:val="center"/>
          </w:tcPr>
          <w:p w14:paraId="7C4272D7">
            <w:pPr>
              <w:pStyle w:val="13"/>
            </w:pPr>
          </w:p>
        </w:tc>
        <w:tc>
          <w:tcPr>
            <w:tcW w:w="2126" w:type="dxa"/>
            <w:vAlign w:val="center"/>
          </w:tcPr>
          <w:p w14:paraId="286EC05A">
            <w:pPr>
              <w:pStyle w:val="14"/>
            </w:pPr>
          </w:p>
        </w:tc>
        <w:tc>
          <w:tcPr>
            <w:tcW w:w="4535" w:type="dxa"/>
            <w:vAlign w:val="center"/>
          </w:tcPr>
          <w:p w14:paraId="5BA6EEDF">
            <w:pPr>
              <w:pStyle w:val="13"/>
            </w:pPr>
            <w:r>
              <w:t>十六、商业服务业等支出</w:t>
            </w:r>
          </w:p>
        </w:tc>
        <w:tc>
          <w:tcPr>
            <w:tcW w:w="2126" w:type="dxa"/>
            <w:vAlign w:val="center"/>
          </w:tcPr>
          <w:p w14:paraId="6CCDFFE9">
            <w:pPr>
              <w:pStyle w:val="14"/>
            </w:pPr>
          </w:p>
        </w:tc>
      </w:tr>
      <w:tr w14:paraId="4FB21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919B2">
            <w:pPr>
              <w:pStyle w:val="12"/>
            </w:pPr>
            <w:r>
              <w:t>17</w:t>
            </w:r>
          </w:p>
        </w:tc>
        <w:tc>
          <w:tcPr>
            <w:tcW w:w="4535" w:type="dxa"/>
            <w:vAlign w:val="center"/>
          </w:tcPr>
          <w:p w14:paraId="6014FE15">
            <w:pPr>
              <w:pStyle w:val="13"/>
            </w:pPr>
          </w:p>
        </w:tc>
        <w:tc>
          <w:tcPr>
            <w:tcW w:w="2126" w:type="dxa"/>
            <w:vAlign w:val="center"/>
          </w:tcPr>
          <w:p w14:paraId="140DBC6E">
            <w:pPr>
              <w:pStyle w:val="14"/>
            </w:pPr>
          </w:p>
        </w:tc>
        <w:tc>
          <w:tcPr>
            <w:tcW w:w="4535" w:type="dxa"/>
            <w:vAlign w:val="center"/>
          </w:tcPr>
          <w:p w14:paraId="5F94D71F">
            <w:pPr>
              <w:pStyle w:val="13"/>
            </w:pPr>
            <w:r>
              <w:t>十七、金融支出</w:t>
            </w:r>
          </w:p>
        </w:tc>
        <w:tc>
          <w:tcPr>
            <w:tcW w:w="2126" w:type="dxa"/>
            <w:vAlign w:val="center"/>
          </w:tcPr>
          <w:p w14:paraId="0AB569D5">
            <w:pPr>
              <w:pStyle w:val="14"/>
            </w:pPr>
          </w:p>
        </w:tc>
      </w:tr>
      <w:tr w14:paraId="7FF82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B656D">
            <w:pPr>
              <w:pStyle w:val="12"/>
            </w:pPr>
            <w:r>
              <w:t>18</w:t>
            </w:r>
          </w:p>
        </w:tc>
        <w:tc>
          <w:tcPr>
            <w:tcW w:w="4535" w:type="dxa"/>
            <w:vAlign w:val="center"/>
          </w:tcPr>
          <w:p w14:paraId="2B834DF6">
            <w:pPr>
              <w:pStyle w:val="13"/>
            </w:pPr>
          </w:p>
        </w:tc>
        <w:tc>
          <w:tcPr>
            <w:tcW w:w="2126" w:type="dxa"/>
            <w:vAlign w:val="center"/>
          </w:tcPr>
          <w:p w14:paraId="48B2538F">
            <w:pPr>
              <w:pStyle w:val="14"/>
            </w:pPr>
          </w:p>
        </w:tc>
        <w:tc>
          <w:tcPr>
            <w:tcW w:w="4535" w:type="dxa"/>
            <w:vAlign w:val="center"/>
          </w:tcPr>
          <w:p w14:paraId="39EBA5CA">
            <w:pPr>
              <w:pStyle w:val="13"/>
            </w:pPr>
            <w:r>
              <w:t>十八、援助其他地区支出</w:t>
            </w:r>
          </w:p>
        </w:tc>
        <w:tc>
          <w:tcPr>
            <w:tcW w:w="2126" w:type="dxa"/>
            <w:vAlign w:val="center"/>
          </w:tcPr>
          <w:p w14:paraId="063B5606">
            <w:pPr>
              <w:pStyle w:val="14"/>
            </w:pPr>
          </w:p>
        </w:tc>
      </w:tr>
      <w:tr w14:paraId="28797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A501F">
            <w:pPr>
              <w:pStyle w:val="12"/>
            </w:pPr>
            <w:r>
              <w:t>19</w:t>
            </w:r>
          </w:p>
        </w:tc>
        <w:tc>
          <w:tcPr>
            <w:tcW w:w="4535" w:type="dxa"/>
            <w:vAlign w:val="center"/>
          </w:tcPr>
          <w:p w14:paraId="392B43B8">
            <w:pPr>
              <w:pStyle w:val="13"/>
            </w:pPr>
          </w:p>
        </w:tc>
        <w:tc>
          <w:tcPr>
            <w:tcW w:w="2126" w:type="dxa"/>
            <w:vAlign w:val="center"/>
          </w:tcPr>
          <w:p w14:paraId="41D8231D">
            <w:pPr>
              <w:pStyle w:val="14"/>
            </w:pPr>
          </w:p>
        </w:tc>
        <w:tc>
          <w:tcPr>
            <w:tcW w:w="4535" w:type="dxa"/>
            <w:vAlign w:val="center"/>
          </w:tcPr>
          <w:p w14:paraId="555B51D2">
            <w:pPr>
              <w:pStyle w:val="13"/>
            </w:pPr>
            <w:r>
              <w:t>十九、自然资源海洋气象等支出</w:t>
            </w:r>
          </w:p>
        </w:tc>
        <w:tc>
          <w:tcPr>
            <w:tcW w:w="2126" w:type="dxa"/>
            <w:vAlign w:val="center"/>
          </w:tcPr>
          <w:p w14:paraId="006046B6">
            <w:pPr>
              <w:pStyle w:val="14"/>
            </w:pPr>
          </w:p>
        </w:tc>
      </w:tr>
      <w:tr w14:paraId="2CF28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FC8F3">
            <w:pPr>
              <w:pStyle w:val="12"/>
            </w:pPr>
            <w:r>
              <w:t>20</w:t>
            </w:r>
          </w:p>
        </w:tc>
        <w:tc>
          <w:tcPr>
            <w:tcW w:w="4535" w:type="dxa"/>
            <w:vAlign w:val="center"/>
          </w:tcPr>
          <w:p w14:paraId="424B2DCD">
            <w:pPr>
              <w:pStyle w:val="13"/>
            </w:pPr>
          </w:p>
        </w:tc>
        <w:tc>
          <w:tcPr>
            <w:tcW w:w="2126" w:type="dxa"/>
            <w:vAlign w:val="center"/>
          </w:tcPr>
          <w:p w14:paraId="2A476C09">
            <w:pPr>
              <w:pStyle w:val="14"/>
            </w:pPr>
          </w:p>
        </w:tc>
        <w:tc>
          <w:tcPr>
            <w:tcW w:w="4535" w:type="dxa"/>
            <w:vAlign w:val="center"/>
          </w:tcPr>
          <w:p w14:paraId="4E9C1575">
            <w:pPr>
              <w:pStyle w:val="13"/>
            </w:pPr>
            <w:r>
              <w:t>二十、住房保障支出</w:t>
            </w:r>
          </w:p>
        </w:tc>
        <w:tc>
          <w:tcPr>
            <w:tcW w:w="2126" w:type="dxa"/>
            <w:vAlign w:val="center"/>
          </w:tcPr>
          <w:p w14:paraId="51A97910">
            <w:pPr>
              <w:pStyle w:val="14"/>
            </w:pPr>
          </w:p>
        </w:tc>
      </w:tr>
      <w:tr w14:paraId="725A0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ABA54">
            <w:pPr>
              <w:pStyle w:val="12"/>
            </w:pPr>
            <w:r>
              <w:t>21</w:t>
            </w:r>
          </w:p>
        </w:tc>
        <w:tc>
          <w:tcPr>
            <w:tcW w:w="4535" w:type="dxa"/>
            <w:vAlign w:val="center"/>
          </w:tcPr>
          <w:p w14:paraId="625DDC22">
            <w:pPr>
              <w:pStyle w:val="13"/>
            </w:pPr>
          </w:p>
        </w:tc>
        <w:tc>
          <w:tcPr>
            <w:tcW w:w="2126" w:type="dxa"/>
            <w:vAlign w:val="center"/>
          </w:tcPr>
          <w:p w14:paraId="39BD97D7">
            <w:pPr>
              <w:pStyle w:val="14"/>
            </w:pPr>
          </w:p>
        </w:tc>
        <w:tc>
          <w:tcPr>
            <w:tcW w:w="4535" w:type="dxa"/>
            <w:vAlign w:val="center"/>
          </w:tcPr>
          <w:p w14:paraId="489DACCC">
            <w:pPr>
              <w:pStyle w:val="13"/>
            </w:pPr>
            <w:r>
              <w:t>二十一、粮油物资储备支出</w:t>
            </w:r>
          </w:p>
        </w:tc>
        <w:tc>
          <w:tcPr>
            <w:tcW w:w="2126" w:type="dxa"/>
            <w:vAlign w:val="center"/>
          </w:tcPr>
          <w:p w14:paraId="02C30F9E">
            <w:pPr>
              <w:pStyle w:val="14"/>
            </w:pPr>
          </w:p>
        </w:tc>
      </w:tr>
      <w:tr w14:paraId="04153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71AB6">
            <w:pPr>
              <w:pStyle w:val="12"/>
            </w:pPr>
            <w:r>
              <w:t>22</w:t>
            </w:r>
          </w:p>
        </w:tc>
        <w:tc>
          <w:tcPr>
            <w:tcW w:w="4535" w:type="dxa"/>
            <w:vAlign w:val="center"/>
          </w:tcPr>
          <w:p w14:paraId="052F32F7">
            <w:pPr>
              <w:pStyle w:val="13"/>
            </w:pPr>
          </w:p>
        </w:tc>
        <w:tc>
          <w:tcPr>
            <w:tcW w:w="2126" w:type="dxa"/>
            <w:vAlign w:val="center"/>
          </w:tcPr>
          <w:p w14:paraId="7E680FDE">
            <w:pPr>
              <w:pStyle w:val="14"/>
            </w:pPr>
          </w:p>
        </w:tc>
        <w:tc>
          <w:tcPr>
            <w:tcW w:w="4535" w:type="dxa"/>
            <w:vAlign w:val="center"/>
          </w:tcPr>
          <w:p w14:paraId="26514714">
            <w:pPr>
              <w:pStyle w:val="13"/>
            </w:pPr>
            <w:r>
              <w:t>二十二、国有资本经营预算支出</w:t>
            </w:r>
          </w:p>
        </w:tc>
        <w:tc>
          <w:tcPr>
            <w:tcW w:w="2126" w:type="dxa"/>
            <w:vAlign w:val="center"/>
          </w:tcPr>
          <w:p w14:paraId="493BC2D3">
            <w:pPr>
              <w:pStyle w:val="14"/>
            </w:pPr>
          </w:p>
        </w:tc>
      </w:tr>
      <w:tr w14:paraId="5FD5C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6E36B">
            <w:pPr>
              <w:pStyle w:val="12"/>
            </w:pPr>
            <w:r>
              <w:t>23</w:t>
            </w:r>
          </w:p>
        </w:tc>
        <w:tc>
          <w:tcPr>
            <w:tcW w:w="4535" w:type="dxa"/>
            <w:vAlign w:val="center"/>
          </w:tcPr>
          <w:p w14:paraId="07921036">
            <w:pPr>
              <w:pStyle w:val="13"/>
            </w:pPr>
          </w:p>
        </w:tc>
        <w:tc>
          <w:tcPr>
            <w:tcW w:w="2126" w:type="dxa"/>
            <w:vAlign w:val="center"/>
          </w:tcPr>
          <w:p w14:paraId="59D78875">
            <w:pPr>
              <w:pStyle w:val="14"/>
            </w:pPr>
          </w:p>
        </w:tc>
        <w:tc>
          <w:tcPr>
            <w:tcW w:w="4535" w:type="dxa"/>
            <w:vAlign w:val="center"/>
          </w:tcPr>
          <w:p w14:paraId="04DF6030">
            <w:pPr>
              <w:pStyle w:val="13"/>
            </w:pPr>
            <w:r>
              <w:t>二十三、灾害防治及应急管理支出</w:t>
            </w:r>
          </w:p>
        </w:tc>
        <w:tc>
          <w:tcPr>
            <w:tcW w:w="2126" w:type="dxa"/>
            <w:vAlign w:val="center"/>
          </w:tcPr>
          <w:p w14:paraId="4AF5E7FC">
            <w:pPr>
              <w:pStyle w:val="14"/>
            </w:pPr>
          </w:p>
        </w:tc>
      </w:tr>
      <w:tr w14:paraId="01F52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E5936">
            <w:pPr>
              <w:pStyle w:val="12"/>
            </w:pPr>
            <w:r>
              <w:t>24</w:t>
            </w:r>
          </w:p>
        </w:tc>
        <w:tc>
          <w:tcPr>
            <w:tcW w:w="4535" w:type="dxa"/>
            <w:vAlign w:val="center"/>
          </w:tcPr>
          <w:p w14:paraId="6BBD07E7">
            <w:pPr>
              <w:pStyle w:val="13"/>
            </w:pPr>
          </w:p>
        </w:tc>
        <w:tc>
          <w:tcPr>
            <w:tcW w:w="2126" w:type="dxa"/>
            <w:vAlign w:val="center"/>
          </w:tcPr>
          <w:p w14:paraId="0A281EC9">
            <w:pPr>
              <w:pStyle w:val="14"/>
            </w:pPr>
          </w:p>
        </w:tc>
        <w:tc>
          <w:tcPr>
            <w:tcW w:w="4535" w:type="dxa"/>
            <w:vAlign w:val="center"/>
          </w:tcPr>
          <w:p w14:paraId="14398057">
            <w:pPr>
              <w:pStyle w:val="13"/>
            </w:pPr>
            <w:r>
              <w:t>二十四、预备费</w:t>
            </w:r>
          </w:p>
        </w:tc>
        <w:tc>
          <w:tcPr>
            <w:tcW w:w="2126" w:type="dxa"/>
            <w:vAlign w:val="center"/>
          </w:tcPr>
          <w:p w14:paraId="1989A2B4">
            <w:pPr>
              <w:pStyle w:val="14"/>
            </w:pPr>
          </w:p>
        </w:tc>
      </w:tr>
      <w:tr w14:paraId="4248B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69F30">
            <w:pPr>
              <w:pStyle w:val="12"/>
            </w:pPr>
            <w:r>
              <w:t>25</w:t>
            </w:r>
          </w:p>
        </w:tc>
        <w:tc>
          <w:tcPr>
            <w:tcW w:w="4535" w:type="dxa"/>
            <w:vAlign w:val="center"/>
          </w:tcPr>
          <w:p w14:paraId="3E365481">
            <w:pPr>
              <w:pStyle w:val="13"/>
            </w:pPr>
          </w:p>
        </w:tc>
        <w:tc>
          <w:tcPr>
            <w:tcW w:w="2126" w:type="dxa"/>
            <w:vAlign w:val="center"/>
          </w:tcPr>
          <w:p w14:paraId="059F694A">
            <w:pPr>
              <w:pStyle w:val="14"/>
            </w:pPr>
          </w:p>
        </w:tc>
        <w:tc>
          <w:tcPr>
            <w:tcW w:w="4535" w:type="dxa"/>
            <w:vAlign w:val="center"/>
          </w:tcPr>
          <w:p w14:paraId="6479577E">
            <w:pPr>
              <w:pStyle w:val="13"/>
            </w:pPr>
            <w:r>
              <w:t>二十五、其他支出</w:t>
            </w:r>
          </w:p>
        </w:tc>
        <w:tc>
          <w:tcPr>
            <w:tcW w:w="2126" w:type="dxa"/>
            <w:vAlign w:val="center"/>
          </w:tcPr>
          <w:p w14:paraId="71C9B273">
            <w:pPr>
              <w:pStyle w:val="14"/>
            </w:pPr>
          </w:p>
        </w:tc>
      </w:tr>
      <w:tr w14:paraId="60456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7DD71">
            <w:pPr>
              <w:pStyle w:val="12"/>
            </w:pPr>
            <w:r>
              <w:t>26</w:t>
            </w:r>
          </w:p>
        </w:tc>
        <w:tc>
          <w:tcPr>
            <w:tcW w:w="4535" w:type="dxa"/>
            <w:vAlign w:val="center"/>
          </w:tcPr>
          <w:p w14:paraId="2B09EB1E">
            <w:pPr>
              <w:pStyle w:val="13"/>
            </w:pPr>
          </w:p>
        </w:tc>
        <w:tc>
          <w:tcPr>
            <w:tcW w:w="2126" w:type="dxa"/>
            <w:vAlign w:val="center"/>
          </w:tcPr>
          <w:p w14:paraId="459A42A0">
            <w:pPr>
              <w:pStyle w:val="14"/>
            </w:pPr>
          </w:p>
        </w:tc>
        <w:tc>
          <w:tcPr>
            <w:tcW w:w="4535" w:type="dxa"/>
            <w:vAlign w:val="center"/>
          </w:tcPr>
          <w:p w14:paraId="4BC1CC63">
            <w:pPr>
              <w:pStyle w:val="13"/>
            </w:pPr>
            <w:r>
              <w:t>二十六、转移性支出</w:t>
            </w:r>
          </w:p>
        </w:tc>
        <w:tc>
          <w:tcPr>
            <w:tcW w:w="2126" w:type="dxa"/>
            <w:vAlign w:val="center"/>
          </w:tcPr>
          <w:p w14:paraId="425D9285">
            <w:pPr>
              <w:pStyle w:val="14"/>
            </w:pPr>
          </w:p>
        </w:tc>
      </w:tr>
      <w:tr w14:paraId="50153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B7337">
            <w:pPr>
              <w:pStyle w:val="12"/>
            </w:pPr>
            <w:r>
              <w:t>27</w:t>
            </w:r>
          </w:p>
        </w:tc>
        <w:tc>
          <w:tcPr>
            <w:tcW w:w="4535" w:type="dxa"/>
            <w:vAlign w:val="center"/>
          </w:tcPr>
          <w:p w14:paraId="10A121CF">
            <w:pPr>
              <w:pStyle w:val="13"/>
            </w:pPr>
          </w:p>
        </w:tc>
        <w:tc>
          <w:tcPr>
            <w:tcW w:w="2126" w:type="dxa"/>
            <w:vAlign w:val="center"/>
          </w:tcPr>
          <w:p w14:paraId="4C15371C">
            <w:pPr>
              <w:pStyle w:val="14"/>
            </w:pPr>
          </w:p>
        </w:tc>
        <w:tc>
          <w:tcPr>
            <w:tcW w:w="4535" w:type="dxa"/>
            <w:vAlign w:val="center"/>
          </w:tcPr>
          <w:p w14:paraId="10816529">
            <w:pPr>
              <w:pStyle w:val="13"/>
            </w:pPr>
            <w:r>
              <w:t>二十七、债务还本支出</w:t>
            </w:r>
          </w:p>
        </w:tc>
        <w:tc>
          <w:tcPr>
            <w:tcW w:w="2126" w:type="dxa"/>
            <w:vAlign w:val="center"/>
          </w:tcPr>
          <w:p w14:paraId="656AC5EC">
            <w:pPr>
              <w:pStyle w:val="14"/>
            </w:pPr>
          </w:p>
        </w:tc>
      </w:tr>
      <w:tr w14:paraId="2753E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0BA70">
            <w:pPr>
              <w:pStyle w:val="12"/>
            </w:pPr>
            <w:r>
              <w:t>28</w:t>
            </w:r>
          </w:p>
        </w:tc>
        <w:tc>
          <w:tcPr>
            <w:tcW w:w="4535" w:type="dxa"/>
            <w:vAlign w:val="center"/>
          </w:tcPr>
          <w:p w14:paraId="57C70448">
            <w:pPr>
              <w:pStyle w:val="13"/>
            </w:pPr>
          </w:p>
        </w:tc>
        <w:tc>
          <w:tcPr>
            <w:tcW w:w="2126" w:type="dxa"/>
            <w:vAlign w:val="center"/>
          </w:tcPr>
          <w:p w14:paraId="1B389B14">
            <w:pPr>
              <w:pStyle w:val="14"/>
            </w:pPr>
          </w:p>
        </w:tc>
        <w:tc>
          <w:tcPr>
            <w:tcW w:w="4535" w:type="dxa"/>
            <w:vAlign w:val="center"/>
          </w:tcPr>
          <w:p w14:paraId="1EB90B2F">
            <w:pPr>
              <w:pStyle w:val="13"/>
            </w:pPr>
            <w:r>
              <w:t>二十八、债务付息支出</w:t>
            </w:r>
          </w:p>
        </w:tc>
        <w:tc>
          <w:tcPr>
            <w:tcW w:w="2126" w:type="dxa"/>
            <w:vAlign w:val="center"/>
          </w:tcPr>
          <w:p w14:paraId="3C97E186">
            <w:pPr>
              <w:pStyle w:val="14"/>
            </w:pPr>
          </w:p>
        </w:tc>
      </w:tr>
      <w:tr w14:paraId="3B9C4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A405B">
            <w:pPr>
              <w:pStyle w:val="12"/>
            </w:pPr>
            <w:r>
              <w:t>29</w:t>
            </w:r>
          </w:p>
        </w:tc>
        <w:tc>
          <w:tcPr>
            <w:tcW w:w="4535" w:type="dxa"/>
            <w:vAlign w:val="center"/>
          </w:tcPr>
          <w:p w14:paraId="5455B219">
            <w:pPr>
              <w:pStyle w:val="13"/>
            </w:pPr>
          </w:p>
        </w:tc>
        <w:tc>
          <w:tcPr>
            <w:tcW w:w="2126" w:type="dxa"/>
            <w:vAlign w:val="center"/>
          </w:tcPr>
          <w:p w14:paraId="63C6AA07">
            <w:pPr>
              <w:pStyle w:val="14"/>
            </w:pPr>
          </w:p>
        </w:tc>
        <w:tc>
          <w:tcPr>
            <w:tcW w:w="4535" w:type="dxa"/>
            <w:vAlign w:val="center"/>
          </w:tcPr>
          <w:p w14:paraId="04BA225E">
            <w:pPr>
              <w:pStyle w:val="13"/>
            </w:pPr>
            <w:r>
              <w:t>二十九、债务发行费用支出</w:t>
            </w:r>
          </w:p>
        </w:tc>
        <w:tc>
          <w:tcPr>
            <w:tcW w:w="2126" w:type="dxa"/>
            <w:vAlign w:val="center"/>
          </w:tcPr>
          <w:p w14:paraId="4F789BB0">
            <w:pPr>
              <w:pStyle w:val="14"/>
            </w:pPr>
          </w:p>
        </w:tc>
      </w:tr>
      <w:tr w14:paraId="62D23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3E2F4">
            <w:pPr>
              <w:pStyle w:val="12"/>
            </w:pPr>
            <w:r>
              <w:t>30</w:t>
            </w:r>
          </w:p>
        </w:tc>
        <w:tc>
          <w:tcPr>
            <w:tcW w:w="4535" w:type="dxa"/>
            <w:vAlign w:val="center"/>
          </w:tcPr>
          <w:p w14:paraId="7EB4C472">
            <w:pPr>
              <w:pStyle w:val="13"/>
            </w:pPr>
          </w:p>
        </w:tc>
        <w:tc>
          <w:tcPr>
            <w:tcW w:w="2126" w:type="dxa"/>
            <w:vAlign w:val="center"/>
          </w:tcPr>
          <w:p w14:paraId="514A4E77">
            <w:pPr>
              <w:pStyle w:val="14"/>
            </w:pPr>
          </w:p>
        </w:tc>
        <w:tc>
          <w:tcPr>
            <w:tcW w:w="4535" w:type="dxa"/>
            <w:vAlign w:val="center"/>
          </w:tcPr>
          <w:p w14:paraId="7C32369E">
            <w:pPr>
              <w:pStyle w:val="13"/>
            </w:pPr>
            <w:r>
              <w:t>三十、抗疫特别国债安排的支出</w:t>
            </w:r>
          </w:p>
        </w:tc>
        <w:tc>
          <w:tcPr>
            <w:tcW w:w="2126" w:type="dxa"/>
            <w:vAlign w:val="center"/>
          </w:tcPr>
          <w:p w14:paraId="2D3894AB">
            <w:pPr>
              <w:pStyle w:val="14"/>
            </w:pPr>
          </w:p>
        </w:tc>
      </w:tr>
      <w:tr w14:paraId="58CEB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C255A">
            <w:pPr>
              <w:pStyle w:val="12"/>
            </w:pPr>
            <w:r>
              <w:t>31</w:t>
            </w:r>
          </w:p>
        </w:tc>
        <w:tc>
          <w:tcPr>
            <w:tcW w:w="4535" w:type="dxa"/>
            <w:vAlign w:val="center"/>
          </w:tcPr>
          <w:p w14:paraId="08CFD630">
            <w:pPr>
              <w:pStyle w:val="13"/>
            </w:pPr>
          </w:p>
        </w:tc>
        <w:tc>
          <w:tcPr>
            <w:tcW w:w="2126" w:type="dxa"/>
            <w:vAlign w:val="center"/>
          </w:tcPr>
          <w:p w14:paraId="65DCB959">
            <w:pPr>
              <w:pStyle w:val="14"/>
            </w:pPr>
          </w:p>
        </w:tc>
        <w:tc>
          <w:tcPr>
            <w:tcW w:w="4535" w:type="dxa"/>
            <w:vAlign w:val="center"/>
          </w:tcPr>
          <w:p w14:paraId="30B5DC79">
            <w:pPr>
              <w:pStyle w:val="13"/>
            </w:pPr>
            <w:r>
              <w:t>三十一、人行科目</w:t>
            </w:r>
          </w:p>
        </w:tc>
        <w:tc>
          <w:tcPr>
            <w:tcW w:w="2126" w:type="dxa"/>
            <w:vAlign w:val="center"/>
          </w:tcPr>
          <w:p w14:paraId="4698FF71">
            <w:pPr>
              <w:pStyle w:val="14"/>
            </w:pPr>
          </w:p>
        </w:tc>
      </w:tr>
      <w:tr w14:paraId="7CC30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2024B">
            <w:pPr>
              <w:pStyle w:val="12"/>
            </w:pPr>
            <w:r>
              <w:t>32</w:t>
            </w:r>
          </w:p>
        </w:tc>
        <w:tc>
          <w:tcPr>
            <w:tcW w:w="4535" w:type="dxa"/>
            <w:vAlign w:val="center"/>
          </w:tcPr>
          <w:p w14:paraId="43B8B17E">
            <w:pPr>
              <w:pStyle w:val="15"/>
            </w:pPr>
            <w:r>
              <w:t>本年收入合计</w:t>
            </w:r>
          </w:p>
        </w:tc>
        <w:tc>
          <w:tcPr>
            <w:tcW w:w="2126" w:type="dxa"/>
            <w:vAlign w:val="center"/>
          </w:tcPr>
          <w:p w14:paraId="5E48A5A7">
            <w:pPr>
              <w:pStyle w:val="16"/>
            </w:pPr>
            <w:r>
              <w:t>242.20</w:t>
            </w:r>
          </w:p>
        </w:tc>
        <w:tc>
          <w:tcPr>
            <w:tcW w:w="4535" w:type="dxa"/>
            <w:vAlign w:val="center"/>
          </w:tcPr>
          <w:p w14:paraId="3ED2C569">
            <w:pPr>
              <w:pStyle w:val="15"/>
            </w:pPr>
            <w:r>
              <w:t>本年支出合计</w:t>
            </w:r>
          </w:p>
        </w:tc>
        <w:tc>
          <w:tcPr>
            <w:tcW w:w="2126" w:type="dxa"/>
            <w:vAlign w:val="center"/>
          </w:tcPr>
          <w:p w14:paraId="61AEE314">
            <w:pPr>
              <w:pStyle w:val="16"/>
            </w:pPr>
            <w:r>
              <w:t>242.20</w:t>
            </w:r>
          </w:p>
        </w:tc>
      </w:tr>
      <w:tr w14:paraId="7C84F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3E412">
            <w:pPr>
              <w:pStyle w:val="12"/>
            </w:pPr>
            <w:r>
              <w:t>33</w:t>
            </w:r>
          </w:p>
        </w:tc>
        <w:tc>
          <w:tcPr>
            <w:tcW w:w="4535" w:type="dxa"/>
            <w:vAlign w:val="center"/>
          </w:tcPr>
          <w:p w14:paraId="61260864">
            <w:pPr>
              <w:pStyle w:val="13"/>
            </w:pPr>
            <w:r>
              <w:t>上年结转结余</w:t>
            </w:r>
          </w:p>
        </w:tc>
        <w:tc>
          <w:tcPr>
            <w:tcW w:w="2126" w:type="dxa"/>
            <w:vAlign w:val="center"/>
          </w:tcPr>
          <w:p w14:paraId="7DB7EC1E">
            <w:pPr>
              <w:pStyle w:val="14"/>
            </w:pPr>
          </w:p>
        </w:tc>
        <w:tc>
          <w:tcPr>
            <w:tcW w:w="4535" w:type="dxa"/>
            <w:vAlign w:val="center"/>
          </w:tcPr>
          <w:p w14:paraId="278FFF46">
            <w:pPr>
              <w:pStyle w:val="13"/>
            </w:pPr>
            <w:r>
              <w:t>年终结转结余</w:t>
            </w:r>
          </w:p>
        </w:tc>
        <w:tc>
          <w:tcPr>
            <w:tcW w:w="2126" w:type="dxa"/>
            <w:vAlign w:val="center"/>
          </w:tcPr>
          <w:p w14:paraId="4913ECDE">
            <w:pPr>
              <w:pStyle w:val="14"/>
            </w:pPr>
          </w:p>
        </w:tc>
      </w:tr>
      <w:tr w14:paraId="32D07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7EC2A">
            <w:pPr>
              <w:pStyle w:val="12"/>
            </w:pPr>
            <w:r>
              <w:t>34</w:t>
            </w:r>
          </w:p>
        </w:tc>
        <w:tc>
          <w:tcPr>
            <w:tcW w:w="4535" w:type="dxa"/>
            <w:vAlign w:val="center"/>
          </w:tcPr>
          <w:p w14:paraId="6EACD76D">
            <w:pPr>
              <w:pStyle w:val="15"/>
            </w:pPr>
            <w:r>
              <w:t>收入总计</w:t>
            </w:r>
          </w:p>
        </w:tc>
        <w:tc>
          <w:tcPr>
            <w:tcW w:w="2126" w:type="dxa"/>
            <w:vAlign w:val="center"/>
          </w:tcPr>
          <w:p w14:paraId="221758A1">
            <w:pPr>
              <w:pStyle w:val="16"/>
            </w:pPr>
            <w:r>
              <w:t>242.20</w:t>
            </w:r>
          </w:p>
        </w:tc>
        <w:tc>
          <w:tcPr>
            <w:tcW w:w="4535" w:type="dxa"/>
            <w:vAlign w:val="center"/>
          </w:tcPr>
          <w:p w14:paraId="298184D3">
            <w:pPr>
              <w:pStyle w:val="15"/>
            </w:pPr>
            <w:r>
              <w:t>支出总计</w:t>
            </w:r>
          </w:p>
        </w:tc>
        <w:tc>
          <w:tcPr>
            <w:tcW w:w="2126" w:type="dxa"/>
            <w:vAlign w:val="center"/>
          </w:tcPr>
          <w:p w14:paraId="0BCF7D17">
            <w:pPr>
              <w:pStyle w:val="16"/>
            </w:pPr>
            <w:r>
              <w:t>242.20</w:t>
            </w:r>
          </w:p>
        </w:tc>
      </w:tr>
    </w:tbl>
    <w:p w14:paraId="1F67994B">
      <w:pPr>
        <w:sectPr>
          <w:pgSz w:w="16840" w:h="11900" w:orient="landscape"/>
          <w:pgMar w:top="1361" w:right="1020" w:bottom="1134" w:left="1020" w:header="720" w:footer="720" w:gutter="0"/>
          <w:cols w:space="720" w:num="1"/>
        </w:sectPr>
      </w:pPr>
    </w:p>
    <w:p w14:paraId="5EAFFC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A5E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C3A69F">
            <w:pPr>
              <w:pStyle w:val="8"/>
            </w:pPr>
            <w:r>
              <w:t>360029隆尧县实验幼儿园</w:t>
            </w:r>
          </w:p>
        </w:tc>
        <w:tc>
          <w:tcPr>
            <w:tcW w:w="3402" w:type="dxa"/>
            <w:gridSpan w:val="3"/>
            <w:tcBorders>
              <w:top w:val="single" w:color="FFFFFF" w:sz="6" w:space="0"/>
              <w:left w:val="single" w:color="FFFFFF" w:sz="6" w:space="0"/>
              <w:right w:val="single" w:color="FFFFFF" w:sz="6" w:space="0"/>
            </w:tcBorders>
            <w:vAlign w:val="center"/>
          </w:tcPr>
          <w:p w14:paraId="0E436AC7">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1A53454">
            <w:pPr>
              <w:pStyle w:val="10"/>
            </w:pPr>
            <w:r>
              <w:t>单位：万元</w:t>
            </w:r>
          </w:p>
        </w:tc>
      </w:tr>
      <w:tr w14:paraId="21C28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F2A255">
            <w:pPr>
              <w:pStyle w:val="11"/>
            </w:pPr>
            <w:r>
              <w:t>序号</w:t>
            </w:r>
          </w:p>
        </w:tc>
        <w:tc>
          <w:tcPr>
            <w:tcW w:w="2551" w:type="dxa"/>
            <w:gridSpan w:val="2"/>
            <w:vAlign w:val="center"/>
          </w:tcPr>
          <w:p w14:paraId="1D1083DE">
            <w:pPr>
              <w:pStyle w:val="11"/>
            </w:pPr>
            <w:r>
              <w:t>功能分类科目</w:t>
            </w:r>
          </w:p>
        </w:tc>
        <w:tc>
          <w:tcPr>
            <w:tcW w:w="1134" w:type="dxa"/>
            <w:vMerge w:val="restart"/>
            <w:vAlign w:val="center"/>
          </w:tcPr>
          <w:p w14:paraId="00860A3D">
            <w:pPr>
              <w:pStyle w:val="11"/>
            </w:pPr>
            <w:r>
              <w:t>合计</w:t>
            </w:r>
          </w:p>
        </w:tc>
        <w:tc>
          <w:tcPr>
            <w:tcW w:w="9072" w:type="dxa"/>
            <w:gridSpan w:val="8"/>
            <w:vAlign w:val="center"/>
          </w:tcPr>
          <w:p w14:paraId="16C80F43">
            <w:pPr>
              <w:pStyle w:val="11"/>
            </w:pPr>
            <w:r>
              <w:t>本年收入</w:t>
            </w:r>
          </w:p>
        </w:tc>
        <w:tc>
          <w:tcPr>
            <w:tcW w:w="1134" w:type="dxa"/>
            <w:vMerge w:val="restart"/>
            <w:vAlign w:val="center"/>
          </w:tcPr>
          <w:p w14:paraId="7F3394D4">
            <w:pPr>
              <w:pStyle w:val="11"/>
            </w:pPr>
            <w:r>
              <w:t>上年结转</w:t>
            </w:r>
          </w:p>
        </w:tc>
      </w:tr>
      <w:tr w14:paraId="752B3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A4EB0B"/>
        </w:tc>
        <w:tc>
          <w:tcPr>
            <w:tcW w:w="992" w:type="dxa"/>
            <w:vAlign w:val="center"/>
          </w:tcPr>
          <w:p w14:paraId="1EE5659C">
            <w:pPr>
              <w:pStyle w:val="11"/>
            </w:pPr>
            <w:r>
              <w:t>科目    编码</w:t>
            </w:r>
          </w:p>
        </w:tc>
        <w:tc>
          <w:tcPr>
            <w:tcW w:w="1559" w:type="dxa"/>
            <w:vAlign w:val="center"/>
          </w:tcPr>
          <w:p w14:paraId="2C5E9477">
            <w:pPr>
              <w:pStyle w:val="11"/>
            </w:pPr>
            <w:r>
              <w:t>科目名称</w:t>
            </w:r>
          </w:p>
        </w:tc>
        <w:tc>
          <w:tcPr>
            <w:tcW w:w="1134" w:type="dxa"/>
            <w:vMerge w:val="continue"/>
          </w:tcPr>
          <w:p w14:paraId="63FFDD62"/>
        </w:tc>
        <w:tc>
          <w:tcPr>
            <w:tcW w:w="1134" w:type="dxa"/>
            <w:vAlign w:val="center"/>
          </w:tcPr>
          <w:p w14:paraId="47F2ECD2">
            <w:pPr>
              <w:pStyle w:val="11"/>
            </w:pPr>
            <w:r>
              <w:t>小计</w:t>
            </w:r>
          </w:p>
        </w:tc>
        <w:tc>
          <w:tcPr>
            <w:tcW w:w="1134" w:type="dxa"/>
            <w:vAlign w:val="center"/>
          </w:tcPr>
          <w:p w14:paraId="0113357C">
            <w:pPr>
              <w:pStyle w:val="11"/>
            </w:pPr>
            <w:r>
              <w:t>财政拨款 收入</w:t>
            </w:r>
          </w:p>
        </w:tc>
        <w:tc>
          <w:tcPr>
            <w:tcW w:w="1134" w:type="dxa"/>
            <w:vAlign w:val="center"/>
          </w:tcPr>
          <w:p w14:paraId="0FF5E4A4">
            <w:pPr>
              <w:pStyle w:val="11"/>
            </w:pPr>
            <w:r>
              <w:t>财政专户 收入</w:t>
            </w:r>
          </w:p>
        </w:tc>
        <w:tc>
          <w:tcPr>
            <w:tcW w:w="1134" w:type="dxa"/>
            <w:vAlign w:val="center"/>
          </w:tcPr>
          <w:p w14:paraId="3AB4A732">
            <w:pPr>
              <w:pStyle w:val="11"/>
            </w:pPr>
            <w:r>
              <w:t>事业收入</w:t>
            </w:r>
          </w:p>
        </w:tc>
        <w:tc>
          <w:tcPr>
            <w:tcW w:w="1134" w:type="dxa"/>
            <w:vAlign w:val="center"/>
          </w:tcPr>
          <w:p w14:paraId="7A7894D5">
            <w:pPr>
              <w:pStyle w:val="11"/>
            </w:pPr>
            <w:r>
              <w:t>经营收入</w:t>
            </w:r>
          </w:p>
        </w:tc>
        <w:tc>
          <w:tcPr>
            <w:tcW w:w="1134" w:type="dxa"/>
            <w:vAlign w:val="center"/>
          </w:tcPr>
          <w:p w14:paraId="70DB5124">
            <w:pPr>
              <w:pStyle w:val="11"/>
            </w:pPr>
            <w:r>
              <w:t>上级补助收入</w:t>
            </w:r>
          </w:p>
        </w:tc>
        <w:tc>
          <w:tcPr>
            <w:tcW w:w="1134" w:type="dxa"/>
            <w:vAlign w:val="center"/>
          </w:tcPr>
          <w:p w14:paraId="2520C5DA">
            <w:pPr>
              <w:pStyle w:val="11"/>
            </w:pPr>
            <w:r>
              <w:t>附属单位上缴收入</w:t>
            </w:r>
          </w:p>
        </w:tc>
        <w:tc>
          <w:tcPr>
            <w:tcW w:w="1134" w:type="dxa"/>
            <w:vAlign w:val="center"/>
          </w:tcPr>
          <w:p w14:paraId="06DD9AF8">
            <w:pPr>
              <w:pStyle w:val="11"/>
            </w:pPr>
            <w:r>
              <w:t>其他收入</w:t>
            </w:r>
          </w:p>
        </w:tc>
        <w:tc>
          <w:tcPr>
            <w:tcW w:w="1134" w:type="dxa"/>
            <w:vMerge w:val="continue"/>
          </w:tcPr>
          <w:p w14:paraId="635FDE84"/>
        </w:tc>
      </w:tr>
      <w:tr w14:paraId="3BB81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12EF73">
            <w:pPr>
              <w:pStyle w:val="11"/>
            </w:pPr>
            <w:r>
              <w:t>栏次</w:t>
            </w:r>
          </w:p>
        </w:tc>
        <w:tc>
          <w:tcPr>
            <w:tcW w:w="992" w:type="dxa"/>
            <w:vAlign w:val="center"/>
          </w:tcPr>
          <w:p w14:paraId="6A6019F1">
            <w:pPr>
              <w:pStyle w:val="11"/>
            </w:pPr>
            <w:r>
              <w:t>1</w:t>
            </w:r>
          </w:p>
        </w:tc>
        <w:tc>
          <w:tcPr>
            <w:tcW w:w="1559" w:type="dxa"/>
            <w:vAlign w:val="center"/>
          </w:tcPr>
          <w:p w14:paraId="6B794A31">
            <w:pPr>
              <w:pStyle w:val="11"/>
            </w:pPr>
            <w:r>
              <w:t>2</w:t>
            </w:r>
          </w:p>
        </w:tc>
        <w:tc>
          <w:tcPr>
            <w:tcW w:w="1134" w:type="dxa"/>
            <w:vAlign w:val="center"/>
          </w:tcPr>
          <w:p w14:paraId="704671CA">
            <w:pPr>
              <w:pStyle w:val="11"/>
            </w:pPr>
            <w:r>
              <w:t>3</w:t>
            </w:r>
          </w:p>
        </w:tc>
        <w:tc>
          <w:tcPr>
            <w:tcW w:w="1134" w:type="dxa"/>
            <w:vAlign w:val="center"/>
          </w:tcPr>
          <w:p w14:paraId="3D991DDE">
            <w:pPr>
              <w:pStyle w:val="11"/>
            </w:pPr>
            <w:r>
              <w:t>4</w:t>
            </w:r>
          </w:p>
        </w:tc>
        <w:tc>
          <w:tcPr>
            <w:tcW w:w="1134" w:type="dxa"/>
            <w:vAlign w:val="center"/>
          </w:tcPr>
          <w:p w14:paraId="096A45FE">
            <w:pPr>
              <w:pStyle w:val="11"/>
            </w:pPr>
            <w:r>
              <w:t>5</w:t>
            </w:r>
          </w:p>
        </w:tc>
        <w:tc>
          <w:tcPr>
            <w:tcW w:w="1134" w:type="dxa"/>
            <w:vAlign w:val="center"/>
          </w:tcPr>
          <w:p w14:paraId="444704DF">
            <w:pPr>
              <w:pStyle w:val="11"/>
            </w:pPr>
            <w:r>
              <w:t>6</w:t>
            </w:r>
          </w:p>
        </w:tc>
        <w:tc>
          <w:tcPr>
            <w:tcW w:w="1134" w:type="dxa"/>
            <w:vAlign w:val="center"/>
          </w:tcPr>
          <w:p w14:paraId="36E4952E">
            <w:pPr>
              <w:pStyle w:val="11"/>
            </w:pPr>
            <w:r>
              <w:t>7</w:t>
            </w:r>
          </w:p>
        </w:tc>
        <w:tc>
          <w:tcPr>
            <w:tcW w:w="1134" w:type="dxa"/>
            <w:vAlign w:val="center"/>
          </w:tcPr>
          <w:p w14:paraId="3088185E">
            <w:pPr>
              <w:pStyle w:val="11"/>
            </w:pPr>
            <w:r>
              <w:t>8</w:t>
            </w:r>
          </w:p>
        </w:tc>
        <w:tc>
          <w:tcPr>
            <w:tcW w:w="1134" w:type="dxa"/>
            <w:vAlign w:val="center"/>
          </w:tcPr>
          <w:p w14:paraId="008CF423">
            <w:pPr>
              <w:pStyle w:val="11"/>
            </w:pPr>
            <w:r>
              <w:t>9</w:t>
            </w:r>
          </w:p>
        </w:tc>
        <w:tc>
          <w:tcPr>
            <w:tcW w:w="1134" w:type="dxa"/>
            <w:vAlign w:val="center"/>
          </w:tcPr>
          <w:p w14:paraId="224D685E">
            <w:pPr>
              <w:pStyle w:val="11"/>
            </w:pPr>
            <w:r>
              <w:t>10</w:t>
            </w:r>
          </w:p>
        </w:tc>
        <w:tc>
          <w:tcPr>
            <w:tcW w:w="1134" w:type="dxa"/>
            <w:vAlign w:val="center"/>
          </w:tcPr>
          <w:p w14:paraId="54E8C8A3">
            <w:pPr>
              <w:pStyle w:val="11"/>
            </w:pPr>
            <w:r>
              <w:t>11</w:t>
            </w:r>
          </w:p>
        </w:tc>
        <w:tc>
          <w:tcPr>
            <w:tcW w:w="1134" w:type="dxa"/>
            <w:vAlign w:val="center"/>
          </w:tcPr>
          <w:p w14:paraId="508F0B61">
            <w:pPr>
              <w:pStyle w:val="11"/>
            </w:pPr>
            <w:r>
              <w:t>12</w:t>
            </w:r>
          </w:p>
        </w:tc>
      </w:tr>
      <w:tr w14:paraId="1A50C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A732C4">
            <w:pPr>
              <w:pStyle w:val="12"/>
            </w:pPr>
            <w:r>
              <w:t>1</w:t>
            </w:r>
          </w:p>
        </w:tc>
        <w:tc>
          <w:tcPr>
            <w:tcW w:w="992" w:type="dxa"/>
            <w:vAlign w:val="center"/>
          </w:tcPr>
          <w:p w14:paraId="1736C09E">
            <w:pPr>
              <w:pStyle w:val="17"/>
            </w:pPr>
          </w:p>
        </w:tc>
        <w:tc>
          <w:tcPr>
            <w:tcW w:w="1559" w:type="dxa"/>
            <w:vAlign w:val="center"/>
          </w:tcPr>
          <w:p w14:paraId="73ECBB1E">
            <w:pPr>
              <w:pStyle w:val="15"/>
            </w:pPr>
            <w:r>
              <w:t>合计</w:t>
            </w:r>
          </w:p>
        </w:tc>
        <w:tc>
          <w:tcPr>
            <w:tcW w:w="1134" w:type="dxa"/>
            <w:vAlign w:val="center"/>
          </w:tcPr>
          <w:p w14:paraId="7954049F">
            <w:pPr>
              <w:pStyle w:val="16"/>
            </w:pPr>
            <w:r>
              <w:t>242.20</w:t>
            </w:r>
          </w:p>
        </w:tc>
        <w:tc>
          <w:tcPr>
            <w:tcW w:w="1134" w:type="dxa"/>
            <w:vAlign w:val="center"/>
          </w:tcPr>
          <w:p w14:paraId="22E20D61">
            <w:pPr>
              <w:pStyle w:val="16"/>
            </w:pPr>
            <w:r>
              <w:t>242.20</w:t>
            </w:r>
          </w:p>
        </w:tc>
        <w:tc>
          <w:tcPr>
            <w:tcW w:w="1134" w:type="dxa"/>
            <w:vAlign w:val="center"/>
          </w:tcPr>
          <w:p w14:paraId="4582E5CC">
            <w:pPr>
              <w:pStyle w:val="16"/>
            </w:pPr>
            <w:r>
              <w:t>242.20</w:t>
            </w:r>
          </w:p>
        </w:tc>
        <w:tc>
          <w:tcPr>
            <w:tcW w:w="1134" w:type="dxa"/>
            <w:vAlign w:val="center"/>
          </w:tcPr>
          <w:p w14:paraId="7FE96803">
            <w:pPr>
              <w:pStyle w:val="16"/>
            </w:pPr>
          </w:p>
        </w:tc>
        <w:tc>
          <w:tcPr>
            <w:tcW w:w="1134" w:type="dxa"/>
            <w:vAlign w:val="center"/>
          </w:tcPr>
          <w:p w14:paraId="4109F0A8">
            <w:pPr>
              <w:pStyle w:val="16"/>
            </w:pPr>
          </w:p>
        </w:tc>
        <w:tc>
          <w:tcPr>
            <w:tcW w:w="1134" w:type="dxa"/>
            <w:vAlign w:val="center"/>
          </w:tcPr>
          <w:p w14:paraId="094D4009">
            <w:pPr>
              <w:pStyle w:val="16"/>
            </w:pPr>
          </w:p>
        </w:tc>
        <w:tc>
          <w:tcPr>
            <w:tcW w:w="1134" w:type="dxa"/>
            <w:vAlign w:val="center"/>
          </w:tcPr>
          <w:p w14:paraId="3610750F">
            <w:pPr>
              <w:pStyle w:val="16"/>
            </w:pPr>
          </w:p>
        </w:tc>
        <w:tc>
          <w:tcPr>
            <w:tcW w:w="1134" w:type="dxa"/>
            <w:vAlign w:val="center"/>
          </w:tcPr>
          <w:p w14:paraId="38E4B5A7">
            <w:pPr>
              <w:pStyle w:val="16"/>
            </w:pPr>
          </w:p>
        </w:tc>
        <w:tc>
          <w:tcPr>
            <w:tcW w:w="1134" w:type="dxa"/>
            <w:vAlign w:val="center"/>
          </w:tcPr>
          <w:p w14:paraId="3B4B4902">
            <w:pPr>
              <w:pStyle w:val="16"/>
            </w:pPr>
          </w:p>
        </w:tc>
        <w:tc>
          <w:tcPr>
            <w:tcW w:w="1134" w:type="dxa"/>
            <w:vAlign w:val="center"/>
          </w:tcPr>
          <w:p w14:paraId="427BDAAF">
            <w:pPr>
              <w:pStyle w:val="16"/>
            </w:pPr>
          </w:p>
        </w:tc>
      </w:tr>
      <w:tr w14:paraId="40055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66CD63F2">
            <w:pPr>
              <w:pStyle w:val="12"/>
            </w:pPr>
            <w:r>
              <w:t>2</w:t>
            </w:r>
          </w:p>
        </w:tc>
        <w:tc>
          <w:tcPr>
            <w:tcW w:w="992" w:type="dxa"/>
            <w:vAlign w:val="center"/>
          </w:tcPr>
          <w:p w14:paraId="3C25FE07">
            <w:pPr>
              <w:pStyle w:val="13"/>
            </w:pPr>
            <w:r>
              <w:t>205</w:t>
            </w:r>
          </w:p>
        </w:tc>
        <w:tc>
          <w:tcPr>
            <w:tcW w:w="1559" w:type="dxa"/>
            <w:vAlign w:val="center"/>
          </w:tcPr>
          <w:p w14:paraId="61E36824">
            <w:pPr>
              <w:pStyle w:val="13"/>
            </w:pPr>
            <w:r>
              <w:t>教育支出</w:t>
            </w:r>
          </w:p>
        </w:tc>
        <w:tc>
          <w:tcPr>
            <w:tcW w:w="1134" w:type="dxa"/>
            <w:vAlign w:val="center"/>
          </w:tcPr>
          <w:p w14:paraId="170F0104">
            <w:pPr>
              <w:pStyle w:val="14"/>
            </w:pPr>
            <w:r>
              <w:t>242.20</w:t>
            </w:r>
          </w:p>
        </w:tc>
        <w:tc>
          <w:tcPr>
            <w:tcW w:w="1134" w:type="dxa"/>
            <w:vAlign w:val="center"/>
          </w:tcPr>
          <w:p w14:paraId="4B0523B8">
            <w:pPr>
              <w:pStyle w:val="14"/>
            </w:pPr>
            <w:r>
              <w:t>242.20</w:t>
            </w:r>
          </w:p>
        </w:tc>
        <w:tc>
          <w:tcPr>
            <w:tcW w:w="1134" w:type="dxa"/>
            <w:vAlign w:val="center"/>
          </w:tcPr>
          <w:p w14:paraId="07EED0F2">
            <w:pPr>
              <w:pStyle w:val="14"/>
            </w:pPr>
            <w:r>
              <w:t>242.20</w:t>
            </w:r>
          </w:p>
        </w:tc>
        <w:tc>
          <w:tcPr>
            <w:tcW w:w="1134" w:type="dxa"/>
            <w:vAlign w:val="center"/>
          </w:tcPr>
          <w:p w14:paraId="77BF087E">
            <w:pPr>
              <w:pStyle w:val="14"/>
            </w:pPr>
          </w:p>
        </w:tc>
        <w:tc>
          <w:tcPr>
            <w:tcW w:w="1134" w:type="dxa"/>
            <w:vAlign w:val="center"/>
          </w:tcPr>
          <w:p w14:paraId="3ABAA8DE">
            <w:pPr>
              <w:pStyle w:val="14"/>
            </w:pPr>
          </w:p>
        </w:tc>
        <w:tc>
          <w:tcPr>
            <w:tcW w:w="1134" w:type="dxa"/>
            <w:vAlign w:val="center"/>
          </w:tcPr>
          <w:p w14:paraId="529C8583">
            <w:pPr>
              <w:pStyle w:val="14"/>
            </w:pPr>
          </w:p>
        </w:tc>
        <w:tc>
          <w:tcPr>
            <w:tcW w:w="1134" w:type="dxa"/>
            <w:vAlign w:val="center"/>
          </w:tcPr>
          <w:p w14:paraId="70F04F29">
            <w:pPr>
              <w:pStyle w:val="14"/>
            </w:pPr>
          </w:p>
        </w:tc>
        <w:tc>
          <w:tcPr>
            <w:tcW w:w="1134" w:type="dxa"/>
            <w:vAlign w:val="center"/>
          </w:tcPr>
          <w:p w14:paraId="7CF20970">
            <w:pPr>
              <w:pStyle w:val="14"/>
            </w:pPr>
          </w:p>
        </w:tc>
        <w:tc>
          <w:tcPr>
            <w:tcW w:w="1134" w:type="dxa"/>
            <w:vAlign w:val="center"/>
          </w:tcPr>
          <w:p w14:paraId="11484E19">
            <w:pPr>
              <w:pStyle w:val="14"/>
            </w:pPr>
          </w:p>
        </w:tc>
        <w:tc>
          <w:tcPr>
            <w:tcW w:w="1134" w:type="dxa"/>
            <w:vAlign w:val="center"/>
          </w:tcPr>
          <w:p w14:paraId="100295DC">
            <w:pPr>
              <w:pStyle w:val="14"/>
            </w:pPr>
          </w:p>
        </w:tc>
      </w:tr>
      <w:tr w14:paraId="25E93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749EF4">
            <w:pPr>
              <w:pStyle w:val="12"/>
            </w:pPr>
            <w:r>
              <w:t>3</w:t>
            </w:r>
          </w:p>
        </w:tc>
        <w:tc>
          <w:tcPr>
            <w:tcW w:w="992" w:type="dxa"/>
            <w:vAlign w:val="center"/>
          </w:tcPr>
          <w:p w14:paraId="2112CBA9">
            <w:pPr>
              <w:pStyle w:val="13"/>
            </w:pPr>
            <w:r>
              <w:t>20502</w:t>
            </w:r>
          </w:p>
        </w:tc>
        <w:tc>
          <w:tcPr>
            <w:tcW w:w="1559" w:type="dxa"/>
            <w:vAlign w:val="center"/>
          </w:tcPr>
          <w:p w14:paraId="35A12DD3">
            <w:pPr>
              <w:pStyle w:val="13"/>
            </w:pPr>
            <w:r>
              <w:t>普通教育</w:t>
            </w:r>
          </w:p>
        </w:tc>
        <w:tc>
          <w:tcPr>
            <w:tcW w:w="1134" w:type="dxa"/>
            <w:vAlign w:val="center"/>
          </w:tcPr>
          <w:p w14:paraId="24C6FFC0">
            <w:pPr>
              <w:pStyle w:val="14"/>
            </w:pPr>
            <w:r>
              <w:t>242.20</w:t>
            </w:r>
          </w:p>
        </w:tc>
        <w:tc>
          <w:tcPr>
            <w:tcW w:w="1134" w:type="dxa"/>
            <w:vAlign w:val="center"/>
          </w:tcPr>
          <w:p w14:paraId="033EA515">
            <w:pPr>
              <w:pStyle w:val="14"/>
            </w:pPr>
            <w:r>
              <w:t>242.20</w:t>
            </w:r>
          </w:p>
        </w:tc>
        <w:tc>
          <w:tcPr>
            <w:tcW w:w="1134" w:type="dxa"/>
            <w:vAlign w:val="center"/>
          </w:tcPr>
          <w:p w14:paraId="2CA8BE7B">
            <w:pPr>
              <w:pStyle w:val="14"/>
            </w:pPr>
            <w:r>
              <w:t>242.20</w:t>
            </w:r>
          </w:p>
        </w:tc>
        <w:tc>
          <w:tcPr>
            <w:tcW w:w="1134" w:type="dxa"/>
            <w:vAlign w:val="center"/>
          </w:tcPr>
          <w:p w14:paraId="1EFAB162">
            <w:pPr>
              <w:pStyle w:val="14"/>
            </w:pPr>
          </w:p>
        </w:tc>
        <w:tc>
          <w:tcPr>
            <w:tcW w:w="1134" w:type="dxa"/>
            <w:vAlign w:val="center"/>
          </w:tcPr>
          <w:p w14:paraId="141C9A49">
            <w:pPr>
              <w:pStyle w:val="14"/>
            </w:pPr>
          </w:p>
        </w:tc>
        <w:tc>
          <w:tcPr>
            <w:tcW w:w="1134" w:type="dxa"/>
            <w:vAlign w:val="center"/>
          </w:tcPr>
          <w:p w14:paraId="031E6691">
            <w:pPr>
              <w:pStyle w:val="14"/>
            </w:pPr>
          </w:p>
        </w:tc>
        <w:tc>
          <w:tcPr>
            <w:tcW w:w="1134" w:type="dxa"/>
            <w:vAlign w:val="center"/>
          </w:tcPr>
          <w:p w14:paraId="60F36FFE">
            <w:pPr>
              <w:pStyle w:val="14"/>
            </w:pPr>
          </w:p>
        </w:tc>
        <w:tc>
          <w:tcPr>
            <w:tcW w:w="1134" w:type="dxa"/>
            <w:vAlign w:val="center"/>
          </w:tcPr>
          <w:p w14:paraId="35DFA666">
            <w:pPr>
              <w:pStyle w:val="14"/>
            </w:pPr>
          </w:p>
        </w:tc>
        <w:tc>
          <w:tcPr>
            <w:tcW w:w="1134" w:type="dxa"/>
            <w:vAlign w:val="center"/>
          </w:tcPr>
          <w:p w14:paraId="0E37AAB6">
            <w:pPr>
              <w:pStyle w:val="14"/>
            </w:pPr>
          </w:p>
        </w:tc>
        <w:tc>
          <w:tcPr>
            <w:tcW w:w="1134" w:type="dxa"/>
            <w:vAlign w:val="center"/>
          </w:tcPr>
          <w:p w14:paraId="731F0171">
            <w:pPr>
              <w:pStyle w:val="14"/>
            </w:pPr>
          </w:p>
        </w:tc>
      </w:tr>
      <w:tr w14:paraId="0E76F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3B0D49">
            <w:pPr>
              <w:pStyle w:val="12"/>
            </w:pPr>
            <w:r>
              <w:t>4</w:t>
            </w:r>
          </w:p>
        </w:tc>
        <w:tc>
          <w:tcPr>
            <w:tcW w:w="992" w:type="dxa"/>
            <w:vAlign w:val="center"/>
          </w:tcPr>
          <w:p w14:paraId="285C5C4F">
            <w:pPr>
              <w:pStyle w:val="13"/>
            </w:pPr>
            <w:r>
              <w:t>2050201</w:t>
            </w:r>
          </w:p>
        </w:tc>
        <w:tc>
          <w:tcPr>
            <w:tcW w:w="1559" w:type="dxa"/>
            <w:vAlign w:val="center"/>
          </w:tcPr>
          <w:p w14:paraId="2FC91F3E">
            <w:pPr>
              <w:pStyle w:val="13"/>
            </w:pPr>
            <w:r>
              <w:t>学前教育</w:t>
            </w:r>
          </w:p>
        </w:tc>
        <w:tc>
          <w:tcPr>
            <w:tcW w:w="1134" w:type="dxa"/>
            <w:vAlign w:val="center"/>
          </w:tcPr>
          <w:p w14:paraId="1407C1DD">
            <w:pPr>
              <w:pStyle w:val="14"/>
            </w:pPr>
            <w:r>
              <w:t>242.20</w:t>
            </w:r>
          </w:p>
        </w:tc>
        <w:tc>
          <w:tcPr>
            <w:tcW w:w="1134" w:type="dxa"/>
            <w:vAlign w:val="center"/>
          </w:tcPr>
          <w:p w14:paraId="12B6DA65">
            <w:pPr>
              <w:pStyle w:val="14"/>
            </w:pPr>
            <w:r>
              <w:t>242.20</w:t>
            </w:r>
          </w:p>
        </w:tc>
        <w:tc>
          <w:tcPr>
            <w:tcW w:w="1134" w:type="dxa"/>
            <w:vAlign w:val="center"/>
          </w:tcPr>
          <w:p w14:paraId="4674F249">
            <w:pPr>
              <w:pStyle w:val="14"/>
            </w:pPr>
            <w:r>
              <w:t>242.20</w:t>
            </w:r>
          </w:p>
        </w:tc>
        <w:tc>
          <w:tcPr>
            <w:tcW w:w="1134" w:type="dxa"/>
            <w:vAlign w:val="center"/>
          </w:tcPr>
          <w:p w14:paraId="0616ED53">
            <w:pPr>
              <w:pStyle w:val="14"/>
            </w:pPr>
          </w:p>
        </w:tc>
        <w:tc>
          <w:tcPr>
            <w:tcW w:w="1134" w:type="dxa"/>
            <w:vAlign w:val="center"/>
          </w:tcPr>
          <w:p w14:paraId="59B0348F">
            <w:pPr>
              <w:pStyle w:val="14"/>
            </w:pPr>
          </w:p>
        </w:tc>
        <w:tc>
          <w:tcPr>
            <w:tcW w:w="1134" w:type="dxa"/>
            <w:vAlign w:val="center"/>
          </w:tcPr>
          <w:p w14:paraId="77AE8363">
            <w:pPr>
              <w:pStyle w:val="14"/>
            </w:pPr>
          </w:p>
        </w:tc>
        <w:tc>
          <w:tcPr>
            <w:tcW w:w="1134" w:type="dxa"/>
            <w:vAlign w:val="center"/>
          </w:tcPr>
          <w:p w14:paraId="319F3746">
            <w:pPr>
              <w:pStyle w:val="14"/>
            </w:pPr>
          </w:p>
        </w:tc>
        <w:tc>
          <w:tcPr>
            <w:tcW w:w="1134" w:type="dxa"/>
            <w:vAlign w:val="center"/>
          </w:tcPr>
          <w:p w14:paraId="7F44001F">
            <w:pPr>
              <w:pStyle w:val="14"/>
            </w:pPr>
          </w:p>
        </w:tc>
        <w:tc>
          <w:tcPr>
            <w:tcW w:w="1134" w:type="dxa"/>
            <w:vAlign w:val="center"/>
          </w:tcPr>
          <w:p w14:paraId="431E3FA7">
            <w:pPr>
              <w:pStyle w:val="14"/>
            </w:pPr>
          </w:p>
        </w:tc>
        <w:tc>
          <w:tcPr>
            <w:tcW w:w="1134" w:type="dxa"/>
            <w:vAlign w:val="center"/>
          </w:tcPr>
          <w:p w14:paraId="57D5B185">
            <w:pPr>
              <w:pStyle w:val="14"/>
            </w:pPr>
          </w:p>
        </w:tc>
      </w:tr>
    </w:tbl>
    <w:p w14:paraId="54FC42BD">
      <w:pPr>
        <w:sectPr>
          <w:pgSz w:w="16840" w:h="11900" w:orient="landscape"/>
          <w:pgMar w:top="1361" w:right="1020" w:bottom="1134" w:left="1020" w:header="720" w:footer="720" w:gutter="0"/>
          <w:cols w:space="720" w:num="1"/>
        </w:sectPr>
      </w:pPr>
    </w:p>
    <w:p w14:paraId="3B2CAD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300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5D4A41">
            <w:pPr>
              <w:pStyle w:val="8"/>
            </w:pPr>
            <w:r>
              <w:t>360029隆尧县实验幼儿园</w:t>
            </w:r>
          </w:p>
        </w:tc>
        <w:tc>
          <w:tcPr>
            <w:tcW w:w="2722" w:type="dxa"/>
            <w:gridSpan w:val="2"/>
            <w:tcBorders>
              <w:top w:val="single" w:color="FFFFFF" w:sz="6" w:space="0"/>
              <w:left w:val="single" w:color="FFFFFF" w:sz="6" w:space="0"/>
              <w:right w:val="single" w:color="FFFFFF" w:sz="6" w:space="0"/>
            </w:tcBorders>
            <w:vAlign w:val="center"/>
          </w:tcPr>
          <w:p w14:paraId="797AE369">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E98A559">
            <w:pPr>
              <w:pStyle w:val="10"/>
            </w:pPr>
            <w:r>
              <w:t>单位：万元</w:t>
            </w:r>
          </w:p>
        </w:tc>
      </w:tr>
      <w:tr w14:paraId="49398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D42EA3">
            <w:pPr>
              <w:pStyle w:val="11"/>
            </w:pPr>
            <w:r>
              <w:t>序号</w:t>
            </w:r>
          </w:p>
        </w:tc>
        <w:tc>
          <w:tcPr>
            <w:tcW w:w="5527" w:type="dxa"/>
            <w:gridSpan w:val="2"/>
            <w:vAlign w:val="center"/>
          </w:tcPr>
          <w:p w14:paraId="74C86D57">
            <w:pPr>
              <w:pStyle w:val="11"/>
            </w:pPr>
            <w:r>
              <w:t>功能分类科目</w:t>
            </w:r>
          </w:p>
        </w:tc>
        <w:tc>
          <w:tcPr>
            <w:tcW w:w="1361" w:type="dxa"/>
            <w:vMerge w:val="restart"/>
            <w:vAlign w:val="center"/>
          </w:tcPr>
          <w:p w14:paraId="6985A535">
            <w:pPr>
              <w:pStyle w:val="11"/>
            </w:pPr>
            <w:r>
              <w:t>合计</w:t>
            </w:r>
          </w:p>
        </w:tc>
        <w:tc>
          <w:tcPr>
            <w:tcW w:w="1361" w:type="dxa"/>
            <w:vMerge w:val="restart"/>
            <w:vAlign w:val="center"/>
          </w:tcPr>
          <w:p w14:paraId="1D269008">
            <w:pPr>
              <w:pStyle w:val="11"/>
            </w:pPr>
            <w:r>
              <w:t>基本支出</w:t>
            </w:r>
          </w:p>
        </w:tc>
        <w:tc>
          <w:tcPr>
            <w:tcW w:w="1361" w:type="dxa"/>
            <w:vMerge w:val="restart"/>
            <w:vAlign w:val="center"/>
          </w:tcPr>
          <w:p w14:paraId="2E538A56">
            <w:pPr>
              <w:pStyle w:val="11"/>
            </w:pPr>
            <w:r>
              <w:t>项目支出</w:t>
            </w:r>
          </w:p>
        </w:tc>
        <w:tc>
          <w:tcPr>
            <w:tcW w:w="1361" w:type="dxa"/>
            <w:vMerge w:val="restart"/>
            <w:vAlign w:val="center"/>
          </w:tcPr>
          <w:p w14:paraId="040284D7">
            <w:pPr>
              <w:pStyle w:val="11"/>
            </w:pPr>
            <w:r>
              <w:t>经营支出</w:t>
            </w:r>
          </w:p>
        </w:tc>
        <w:tc>
          <w:tcPr>
            <w:tcW w:w="1361" w:type="dxa"/>
            <w:vMerge w:val="restart"/>
            <w:vAlign w:val="center"/>
          </w:tcPr>
          <w:p w14:paraId="6B95D3FC">
            <w:pPr>
              <w:pStyle w:val="11"/>
            </w:pPr>
            <w:r>
              <w:t>上解上级     支出</w:t>
            </w:r>
          </w:p>
        </w:tc>
        <w:tc>
          <w:tcPr>
            <w:tcW w:w="1361" w:type="dxa"/>
            <w:vMerge w:val="restart"/>
            <w:vAlign w:val="center"/>
          </w:tcPr>
          <w:p w14:paraId="09AB1372">
            <w:pPr>
              <w:pStyle w:val="11"/>
            </w:pPr>
            <w:r>
              <w:t>对附属单位补助支出</w:t>
            </w:r>
          </w:p>
        </w:tc>
      </w:tr>
      <w:tr w14:paraId="23CB3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A695CC"/>
        </w:tc>
        <w:tc>
          <w:tcPr>
            <w:tcW w:w="992" w:type="dxa"/>
            <w:vAlign w:val="center"/>
          </w:tcPr>
          <w:p w14:paraId="73F54D8C">
            <w:pPr>
              <w:pStyle w:val="11"/>
            </w:pPr>
            <w:r>
              <w:t>科目    编码</w:t>
            </w:r>
          </w:p>
        </w:tc>
        <w:tc>
          <w:tcPr>
            <w:tcW w:w="4535" w:type="dxa"/>
            <w:vAlign w:val="center"/>
          </w:tcPr>
          <w:p w14:paraId="1D678403">
            <w:pPr>
              <w:pStyle w:val="11"/>
            </w:pPr>
            <w:r>
              <w:t>科目名称</w:t>
            </w:r>
          </w:p>
        </w:tc>
        <w:tc>
          <w:tcPr>
            <w:tcW w:w="1361" w:type="dxa"/>
            <w:vMerge w:val="continue"/>
          </w:tcPr>
          <w:p w14:paraId="7EA2B5B5"/>
        </w:tc>
        <w:tc>
          <w:tcPr>
            <w:tcW w:w="1361" w:type="dxa"/>
            <w:vMerge w:val="continue"/>
          </w:tcPr>
          <w:p w14:paraId="76347D2C"/>
        </w:tc>
        <w:tc>
          <w:tcPr>
            <w:tcW w:w="1361" w:type="dxa"/>
            <w:vMerge w:val="continue"/>
          </w:tcPr>
          <w:p w14:paraId="5E8C86AA"/>
        </w:tc>
        <w:tc>
          <w:tcPr>
            <w:tcW w:w="1361" w:type="dxa"/>
            <w:vMerge w:val="continue"/>
          </w:tcPr>
          <w:p w14:paraId="62BDDAE8"/>
        </w:tc>
        <w:tc>
          <w:tcPr>
            <w:tcW w:w="1361" w:type="dxa"/>
            <w:vMerge w:val="continue"/>
          </w:tcPr>
          <w:p w14:paraId="43766EDE"/>
        </w:tc>
        <w:tc>
          <w:tcPr>
            <w:tcW w:w="1361" w:type="dxa"/>
            <w:vMerge w:val="continue"/>
          </w:tcPr>
          <w:p w14:paraId="71B70202"/>
        </w:tc>
      </w:tr>
      <w:tr w14:paraId="23FCD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CB90F">
            <w:pPr>
              <w:pStyle w:val="11"/>
            </w:pPr>
            <w:r>
              <w:t>栏次</w:t>
            </w:r>
          </w:p>
        </w:tc>
        <w:tc>
          <w:tcPr>
            <w:tcW w:w="992" w:type="dxa"/>
            <w:vAlign w:val="center"/>
          </w:tcPr>
          <w:p w14:paraId="6EB5E703">
            <w:pPr>
              <w:pStyle w:val="11"/>
            </w:pPr>
            <w:r>
              <w:t>1</w:t>
            </w:r>
          </w:p>
        </w:tc>
        <w:tc>
          <w:tcPr>
            <w:tcW w:w="4535" w:type="dxa"/>
            <w:vAlign w:val="center"/>
          </w:tcPr>
          <w:p w14:paraId="73479379">
            <w:pPr>
              <w:pStyle w:val="11"/>
            </w:pPr>
            <w:r>
              <w:t>2</w:t>
            </w:r>
          </w:p>
        </w:tc>
        <w:tc>
          <w:tcPr>
            <w:tcW w:w="1361" w:type="dxa"/>
            <w:vAlign w:val="center"/>
          </w:tcPr>
          <w:p w14:paraId="6E74FCF7">
            <w:pPr>
              <w:pStyle w:val="11"/>
            </w:pPr>
            <w:r>
              <w:t>3</w:t>
            </w:r>
          </w:p>
        </w:tc>
        <w:tc>
          <w:tcPr>
            <w:tcW w:w="1361" w:type="dxa"/>
            <w:vAlign w:val="center"/>
          </w:tcPr>
          <w:p w14:paraId="52429579">
            <w:pPr>
              <w:pStyle w:val="11"/>
            </w:pPr>
            <w:r>
              <w:t>4</w:t>
            </w:r>
          </w:p>
        </w:tc>
        <w:tc>
          <w:tcPr>
            <w:tcW w:w="1361" w:type="dxa"/>
            <w:vAlign w:val="center"/>
          </w:tcPr>
          <w:p w14:paraId="41D0610E">
            <w:pPr>
              <w:pStyle w:val="11"/>
            </w:pPr>
            <w:r>
              <w:t>5</w:t>
            </w:r>
          </w:p>
        </w:tc>
        <w:tc>
          <w:tcPr>
            <w:tcW w:w="1361" w:type="dxa"/>
            <w:vAlign w:val="center"/>
          </w:tcPr>
          <w:p w14:paraId="60786DC6">
            <w:pPr>
              <w:pStyle w:val="11"/>
            </w:pPr>
            <w:r>
              <w:t>6</w:t>
            </w:r>
          </w:p>
        </w:tc>
        <w:tc>
          <w:tcPr>
            <w:tcW w:w="1361" w:type="dxa"/>
            <w:vAlign w:val="center"/>
          </w:tcPr>
          <w:p w14:paraId="6F43377D">
            <w:pPr>
              <w:pStyle w:val="11"/>
            </w:pPr>
            <w:r>
              <w:t>7</w:t>
            </w:r>
          </w:p>
        </w:tc>
        <w:tc>
          <w:tcPr>
            <w:tcW w:w="1361" w:type="dxa"/>
            <w:vAlign w:val="center"/>
          </w:tcPr>
          <w:p w14:paraId="1F75341A">
            <w:pPr>
              <w:pStyle w:val="11"/>
            </w:pPr>
            <w:r>
              <w:t>8</w:t>
            </w:r>
          </w:p>
        </w:tc>
      </w:tr>
      <w:tr w14:paraId="4B73B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A0A2C">
            <w:pPr>
              <w:pStyle w:val="12"/>
            </w:pPr>
            <w:r>
              <w:t>1</w:t>
            </w:r>
          </w:p>
        </w:tc>
        <w:tc>
          <w:tcPr>
            <w:tcW w:w="992" w:type="dxa"/>
            <w:vAlign w:val="center"/>
          </w:tcPr>
          <w:p w14:paraId="78EFF5CC">
            <w:pPr>
              <w:pStyle w:val="17"/>
            </w:pPr>
          </w:p>
        </w:tc>
        <w:tc>
          <w:tcPr>
            <w:tcW w:w="4535" w:type="dxa"/>
            <w:vAlign w:val="center"/>
          </w:tcPr>
          <w:p w14:paraId="2EB6EE56">
            <w:pPr>
              <w:pStyle w:val="15"/>
            </w:pPr>
            <w:r>
              <w:t>合计</w:t>
            </w:r>
          </w:p>
        </w:tc>
        <w:tc>
          <w:tcPr>
            <w:tcW w:w="1361" w:type="dxa"/>
            <w:vAlign w:val="center"/>
          </w:tcPr>
          <w:p w14:paraId="5BBAD31E">
            <w:pPr>
              <w:pStyle w:val="16"/>
            </w:pPr>
            <w:r>
              <w:t>242.20</w:t>
            </w:r>
          </w:p>
        </w:tc>
        <w:tc>
          <w:tcPr>
            <w:tcW w:w="1361" w:type="dxa"/>
            <w:vAlign w:val="center"/>
          </w:tcPr>
          <w:p w14:paraId="3D34F960">
            <w:pPr>
              <w:pStyle w:val="16"/>
            </w:pPr>
            <w:r>
              <w:t>242.20</w:t>
            </w:r>
          </w:p>
        </w:tc>
        <w:tc>
          <w:tcPr>
            <w:tcW w:w="1361" w:type="dxa"/>
            <w:vAlign w:val="center"/>
          </w:tcPr>
          <w:p w14:paraId="240983A8">
            <w:pPr>
              <w:pStyle w:val="16"/>
            </w:pPr>
          </w:p>
        </w:tc>
        <w:tc>
          <w:tcPr>
            <w:tcW w:w="1361" w:type="dxa"/>
            <w:vAlign w:val="center"/>
          </w:tcPr>
          <w:p w14:paraId="62F8FAC9">
            <w:pPr>
              <w:pStyle w:val="16"/>
            </w:pPr>
          </w:p>
        </w:tc>
        <w:tc>
          <w:tcPr>
            <w:tcW w:w="1361" w:type="dxa"/>
            <w:vAlign w:val="center"/>
          </w:tcPr>
          <w:p w14:paraId="0BCF3AB4">
            <w:pPr>
              <w:pStyle w:val="16"/>
            </w:pPr>
          </w:p>
        </w:tc>
        <w:tc>
          <w:tcPr>
            <w:tcW w:w="1361" w:type="dxa"/>
            <w:vAlign w:val="center"/>
          </w:tcPr>
          <w:p w14:paraId="13DFAA79">
            <w:pPr>
              <w:pStyle w:val="16"/>
            </w:pPr>
          </w:p>
        </w:tc>
      </w:tr>
      <w:tr w14:paraId="4EEB9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2050ED7">
            <w:pPr>
              <w:pStyle w:val="12"/>
            </w:pPr>
            <w:r>
              <w:t>2</w:t>
            </w:r>
          </w:p>
        </w:tc>
        <w:tc>
          <w:tcPr>
            <w:tcW w:w="992" w:type="dxa"/>
            <w:vAlign w:val="center"/>
          </w:tcPr>
          <w:p w14:paraId="060183D0">
            <w:pPr>
              <w:pStyle w:val="13"/>
            </w:pPr>
            <w:r>
              <w:t>205</w:t>
            </w:r>
          </w:p>
        </w:tc>
        <w:tc>
          <w:tcPr>
            <w:tcW w:w="4535" w:type="dxa"/>
            <w:vAlign w:val="center"/>
          </w:tcPr>
          <w:p w14:paraId="7D10204E">
            <w:pPr>
              <w:pStyle w:val="13"/>
            </w:pPr>
            <w:r>
              <w:t>教育支出</w:t>
            </w:r>
          </w:p>
        </w:tc>
        <w:tc>
          <w:tcPr>
            <w:tcW w:w="1361" w:type="dxa"/>
            <w:vAlign w:val="center"/>
          </w:tcPr>
          <w:p w14:paraId="44E100E5">
            <w:pPr>
              <w:pStyle w:val="14"/>
            </w:pPr>
            <w:r>
              <w:t>242.20</w:t>
            </w:r>
          </w:p>
        </w:tc>
        <w:tc>
          <w:tcPr>
            <w:tcW w:w="1361" w:type="dxa"/>
            <w:vAlign w:val="center"/>
          </w:tcPr>
          <w:p w14:paraId="36961CC3">
            <w:pPr>
              <w:pStyle w:val="14"/>
            </w:pPr>
            <w:r>
              <w:t>242.20</w:t>
            </w:r>
          </w:p>
        </w:tc>
        <w:tc>
          <w:tcPr>
            <w:tcW w:w="1361" w:type="dxa"/>
            <w:vAlign w:val="center"/>
          </w:tcPr>
          <w:p w14:paraId="7FBF1C30">
            <w:pPr>
              <w:pStyle w:val="14"/>
            </w:pPr>
          </w:p>
        </w:tc>
        <w:tc>
          <w:tcPr>
            <w:tcW w:w="1361" w:type="dxa"/>
            <w:vAlign w:val="center"/>
          </w:tcPr>
          <w:p w14:paraId="237B00E0">
            <w:pPr>
              <w:pStyle w:val="14"/>
            </w:pPr>
          </w:p>
        </w:tc>
        <w:tc>
          <w:tcPr>
            <w:tcW w:w="1361" w:type="dxa"/>
            <w:vAlign w:val="center"/>
          </w:tcPr>
          <w:p w14:paraId="1E76CBD6">
            <w:pPr>
              <w:pStyle w:val="14"/>
            </w:pPr>
          </w:p>
        </w:tc>
        <w:tc>
          <w:tcPr>
            <w:tcW w:w="1361" w:type="dxa"/>
            <w:vAlign w:val="center"/>
          </w:tcPr>
          <w:p w14:paraId="6AFC2BBD">
            <w:pPr>
              <w:pStyle w:val="14"/>
            </w:pPr>
          </w:p>
        </w:tc>
      </w:tr>
      <w:tr w14:paraId="738D4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72A4656">
            <w:pPr>
              <w:pStyle w:val="12"/>
            </w:pPr>
            <w:r>
              <w:t>3</w:t>
            </w:r>
          </w:p>
        </w:tc>
        <w:tc>
          <w:tcPr>
            <w:tcW w:w="992" w:type="dxa"/>
            <w:vAlign w:val="center"/>
          </w:tcPr>
          <w:p w14:paraId="6FEEB0E1">
            <w:pPr>
              <w:pStyle w:val="13"/>
            </w:pPr>
            <w:r>
              <w:t>20502</w:t>
            </w:r>
          </w:p>
        </w:tc>
        <w:tc>
          <w:tcPr>
            <w:tcW w:w="4535" w:type="dxa"/>
            <w:vAlign w:val="center"/>
          </w:tcPr>
          <w:p w14:paraId="3C77D2D3">
            <w:pPr>
              <w:pStyle w:val="13"/>
            </w:pPr>
            <w:r>
              <w:t>普通教育</w:t>
            </w:r>
          </w:p>
        </w:tc>
        <w:tc>
          <w:tcPr>
            <w:tcW w:w="1361" w:type="dxa"/>
            <w:vAlign w:val="center"/>
          </w:tcPr>
          <w:p w14:paraId="20F7FB36">
            <w:pPr>
              <w:pStyle w:val="14"/>
            </w:pPr>
            <w:r>
              <w:t>242.20</w:t>
            </w:r>
          </w:p>
        </w:tc>
        <w:tc>
          <w:tcPr>
            <w:tcW w:w="1361" w:type="dxa"/>
            <w:vAlign w:val="center"/>
          </w:tcPr>
          <w:p w14:paraId="788608C8">
            <w:pPr>
              <w:pStyle w:val="14"/>
            </w:pPr>
            <w:r>
              <w:t>242.20</w:t>
            </w:r>
          </w:p>
        </w:tc>
        <w:tc>
          <w:tcPr>
            <w:tcW w:w="1361" w:type="dxa"/>
            <w:vAlign w:val="center"/>
          </w:tcPr>
          <w:p w14:paraId="384E5E73">
            <w:pPr>
              <w:pStyle w:val="14"/>
            </w:pPr>
          </w:p>
        </w:tc>
        <w:tc>
          <w:tcPr>
            <w:tcW w:w="1361" w:type="dxa"/>
            <w:vAlign w:val="center"/>
          </w:tcPr>
          <w:p w14:paraId="0E9A3338">
            <w:pPr>
              <w:pStyle w:val="14"/>
            </w:pPr>
          </w:p>
        </w:tc>
        <w:tc>
          <w:tcPr>
            <w:tcW w:w="1361" w:type="dxa"/>
            <w:vAlign w:val="center"/>
          </w:tcPr>
          <w:p w14:paraId="38B5F9E2">
            <w:pPr>
              <w:pStyle w:val="14"/>
            </w:pPr>
          </w:p>
        </w:tc>
        <w:tc>
          <w:tcPr>
            <w:tcW w:w="1361" w:type="dxa"/>
            <w:vAlign w:val="center"/>
          </w:tcPr>
          <w:p w14:paraId="74E01BEF">
            <w:pPr>
              <w:pStyle w:val="14"/>
            </w:pPr>
          </w:p>
        </w:tc>
      </w:tr>
      <w:tr w14:paraId="3AB55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51E50">
            <w:pPr>
              <w:pStyle w:val="12"/>
            </w:pPr>
            <w:r>
              <w:t>4</w:t>
            </w:r>
          </w:p>
        </w:tc>
        <w:tc>
          <w:tcPr>
            <w:tcW w:w="992" w:type="dxa"/>
            <w:vAlign w:val="center"/>
          </w:tcPr>
          <w:p w14:paraId="351E6AEE">
            <w:pPr>
              <w:pStyle w:val="13"/>
            </w:pPr>
            <w:r>
              <w:t>2050201</w:t>
            </w:r>
          </w:p>
        </w:tc>
        <w:tc>
          <w:tcPr>
            <w:tcW w:w="4535" w:type="dxa"/>
            <w:vAlign w:val="center"/>
          </w:tcPr>
          <w:p w14:paraId="33DB879C">
            <w:pPr>
              <w:pStyle w:val="13"/>
            </w:pPr>
            <w:r>
              <w:t>学前教育</w:t>
            </w:r>
          </w:p>
        </w:tc>
        <w:tc>
          <w:tcPr>
            <w:tcW w:w="1361" w:type="dxa"/>
            <w:vAlign w:val="center"/>
          </w:tcPr>
          <w:p w14:paraId="5449D409">
            <w:pPr>
              <w:pStyle w:val="14"/>
            </w:pPr>
            <w:r>
              <w:t>242.20</w:t>
            </w:r>
          </w:p>
        </w:tc>
        <w:tc>
          <w:tcPr>
            <w:tcW w:w="1361" w:type="dxa"/>
            <w:vAlign w:val="center"/>
          </w:tcPr>
          <w:p w14:paraId="594AFD8E">
            <w:pPr>
              <w:pStyle w:val="14"/>
            </w:pPr>
            <w:r>
              <w:t>242.20</w:t>
            </w:r>
          </w:p>
        </w:tc>
        <w:tc>
          <w:tcPr>
            <w:tcW w:w="1361" w:type="dxa"/>
            <w:vAlign w:val="center"/>
          </w:tcPr>
          <w:p w14:paraId="26049784">
            <w:pPr>
              <w:pStyle w:val="14"/>
            </w:pPr>
          </w:p>
        </w:tc>
        <w:tc>
          <w:tcPr>
            <w:tcW w:w="1361" w:type="dxa"/>
            <w:vAlign w:val="center"/>
          </w:tcPr>
          <w:p w14:paraId="15AD675F">
            <w:pPr>
              <w:pStyle w:val="14"/>
            </w:pPr>
          </w:p>
        </w:tc>
        <w:tc>
          <w:tcPr>
            <w:tcW w:w="1361" w:type="dxa"/>
            <w:vAlign w:val="center"/>
          </w:tcPr>
          <w:p w14:paraId="7E0DCFCB">
            <w:pPr>
              <w:pStyle w:val="14"/>
            </w:pPr>
          </w:p>
        </w:tc>
        <w:tc>
          <w:tcPr>
            <w:tcW w:w="1361" w:type="dxa"/>
            <w:vAlign w:val="center"/>
          </w:tcPr>
          <w:p w14:paraId="2020D132">
            <w:pPr>
              <w:pStyle w:val="14"/>
            </w:pPr>
          </w:p>
        </w:tc>
      </w:tr>
    </w:tbl>
    <w:p w14:paraId="5AD65CC2">
      <w:pPr>
        <w:sectPr>
          <w:pgSz w:w="16840" w:h="11900" w:orient="landscape"/>
          <w:pgMar w:top="1361" w:right="1020" w:bottom="1134" w:left="1020" w:header="720" w:footer="720" w:gutter="0"/>
          <w:cols w:space="720" w:num="1"/>
        </w:sectPr>
      </w:pPr>
    </w:p>
    <w:p w14:paraId="403539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902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204B9B">
            <w:pPr>
              <w:pStyle w:val="8"/>
            </w:pPr>
            <w:r>
              <w:t>360029隆尧县实验幼儿园</w:t>
            </w:r>
          </w:p>
        </w:tc>
        <w:tc>
          <w:tcPr>
            <w:tcW w:w="3402" w:type="dxa"/>
            <w:tcBorders>
              <w:top w:val="single" w:color="FFFFFF" w:sz="6" w:space="0"/>
              <w:left w:val="single" w:color="FFFFFF" w:sz="6" w:space="0"/>
              <w:right w:val="single" w:color="FFFFFF" w:sz="6" w:space="0"/>
            </w:tcBorders>
            <w:vAlign w:val="center"/>
          </w:tcPr>
          <w:p w14:paraId="218D8AB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39BC971">
            <w:pPr>
              <w:pStyle w:val="10"/>
            </w:pPr>
            <w:r>
              <w:t>单位：万元</w:t>
            </w:r>
          </w:p>
        </w:tc>
      </w:tr>
      <w:tr w14:paraId="21209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774EB">
            <w:pPr>
              <w:pStyle w:val="11"/>
            </w:pPr>
            <w:r>
              <w:t>序号</w:t>
            </w:r>
          </w:p>
        </w:tc>
        <w:tc>
          <w:tcPr>
            <w:tcW w:w="4876" w:type="dxa"/>
            <w:gridSpan w:val="2"/>
            <w:vAlign w:val="center"/>
          </w:tcPr>
          <w:p w14:paraId="51617087">
            <w:pPr>
              <w:pStyle w:val="11"/>
            </w:pPr>
            <w:r>
              <w:t>收入</w:t>
            </w:r>
          </w:p>
        </w:tc>
        <w:tc>
          <w:tcPr>
            <w:tcW w:w="9298" w:type="dxa"/>
            <w:gridSpan w:val="5"/>
            <w:vAlign w:val="center"/>
          </w:tcPr>
          <w:p w14:paraId="76E52CD5">
            <w:pPr>
              <w:pStyle w:val="11"/>
            </w:pPr>
            <w:r>
              <w:t>支出</w:t>
            </w:r>
          </w:p>
        </w:tc>
      </w:tr>
      <w:tr w14:paraId="393BA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BF4693"/>
        </w:tc>
        <w:tc>
          <w:tcPr>
            <w:tcW w:w="3402" w:type="dxa"/>
            <w:vAlign w:val="center"/>
          </w:tcPr>
          <w:p w14:paraId="79B9D0DC">
            <w:pPr>
              <w:pStyle w:val="11"/>
            </w:pPr>
            <w:r>
              <w:t>项  目</w:t>
            </w:r>
          </w:p>
        </w:tc>
        <w:tc>
          <w:tcPr>
            <w:tcW w:w="1474" w:type="dxa"/>
            <w:vAlign w:val="center"/>
          </w:tcPr>
          <w:p w14:paraId="52D49D6A">
            <w:pPr>
              <w:pStyle w:val="11"/>
            </w:pPr>
            <w:r>
              <w:t>金额</w:t>
            </w:r>
          </w:p>
        </w:tc>
        <w:tc>
          <w:tcPr>
            <w:tcW w:w="3402" w:type="dxa"/>
            <w:vAlign w:val="center"/>
          </w:tcPr>
          <w:p w14:paraId="04509841">
            <w:pPr>
              <w:pStyle w:val="11"/>
            </w:pPr>
            <w:r>
              <w:t>项  目</w:t>
            </w:r>
          </w:p>
        </w:tc>
        <w:tc>
          <w:tcPr>
            <w:tcW w:w="1474" w:type="dxa"/>
            <w:vAlign w:val="center"/>
          </w:tcPr>
          <w:p w14:paraId="54B08015">
            <w:pPr>
              <w:pStyle w:val="11"/>
            </w:pPr>
            <w:r>
              <w:t>合计</w:t>
            </w:r>
          </w:p>
        </w:tc>
        <w:tc>
          <w:tcPr>
            <w:tcW w:w="1474" w:type="dxa"/>
            <w:vAlign w:val="center"/>
          </w:tcPr>
          <w:p w14:paraId="3826B9EA">
            <w:pPr>
              <w:pStyle w:val="11"/>
            </w:pPr>
            <w:r>
              <w:t>一般公共预算财政拨款</w:t>
            </w:r>
          </w:p>
        </w:tc>
        <w:tc>
          <w:tcPr>
            <w:tcW w:w="1474" w:type="dxa"/>
            <w:vAlign w:val="center"/>
          </w:tcPr>
          <w:p w14:paraId="7F137E4C">
            <w:pPr>
              <w:pStyle w:val="11"/>
            </w:pPr>
            <w:r>
              <w:t>政府性基金预算财政    拨款</w:t>
            </w:r>
          </w:p>
        </w:tc>
        <w:tc>
          <w:tcPr>
            <w:tcW w:w="1474" w:type="dxa"/>
            <w:vAlign w:val="center"/>
          </w:tcPr>
          <w:p w14:paraId="0AD4FEE7">
            <w:pPr>
              <w:pStyle w:val="11"/>
            </w:pPr>
            <w:r>
              <w:t>国有资本经营预算财政拨款</w:t>
            </w:r>
          </w:p>
        </w:tc>
      </w:tr>
      <w:tr w14:paraId="5AE7E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8210AD">
            <w:pPr>
              <w:pStyle w:val="11"/>
            </w:pPr>
            <w:r>
              <w:t>栏次</w:t>
            </w:r>
          </w:p>
        </w:tc>
        <w:tc>
          <w:tcPr>
            <w:tcW w:w="3402" w:type="dxa"/>
            <w:vAlign w:val="center"/>
          </w:tcPr>
          <w:p w14:paraId="7BAB8D26">
            <w:pPr>
              <w:pStyle w:val="11"/>
            </w:pPr>
            <w:r>
              <w:t>1</w:t>
            </w:r>
          </w:p>
        </w:tc>
        <w:tc>
          <w:tcPr>
            <w:tcW w:w="1474" w:type="dxa"/>
            <w:vAlign w:val="center"/>
          </w:tcPr>
          <w:p w14:paraId="6671CEB7">
            <w:pPr>
              <w:pStyle w:val="11"/>
            </w:pPr>
            <w:r>
              <w:t>2</w:t>
            </w:r>
          </w:p>
        </w:tc>
        <w:tc>
          <w:tcPr>
            <w:tcW w:w="3402" w:type="dxa"/>
            <w:vAlign w:val="center"/>
          </w:tcPr>
          <w:p w14:paraId="57CBC631">
            <w:pPr>
              <w:pStyle w:val="11"/>
            </w:pPr>
            <w:r>
              <w:t>3</w:t>
            </w:r>
          </w:p>
        </w:tc>
        <w:tc>
          <w:tcPr>
            <w:tcW w:w="1474" w:type="dxa"/>
            <w:vAlign w:val="center"/>
          </w:tcPr>
          <w:p w14:paraId="7B846D50">
            <w:pPr>
              <w:pStyle w:val="11"/>
            </w:pPr>
            <w:r>
              <w:t>4</w:t>
            </w:r>
          </w:p>
        </w:tc>
        <w:tc>
          <w:tcPr>
            <w:tcW w:w="1474" w:type="dxa"/>
            <w:vAlign w:val="center"/>
          </w:tcPr>
          <w:p w14:paraId="3DB6B28E">
            <w:pPr>
              <w:pStyle w:val="11"/>
            </w:pPr>
            <w:r>
              <w:t>5</w:t>
            </w:r>
          </w:p>
        </w:tc>
        <w:tc>
          <w:tcPr>
            <w:tcW w:w="1474" w:type="dxa"/>
            <w:vAlign w:val="center"/>
          </w:tcPr>
          <w:p w14:paraId="681D9D6D">
            <w:pPr>
              <w:pStyle w:val="11"/>
            </w:pPr>
            <w:r>
              <w:t>6</w:t>
            </w:r>
          </w:p>
        </w:tc>
        <w:tc>
          <w:tcPr>
            <w:tcW w:w="1474" w:type="dxa"/>
            <w:vAlign w:val="center"/>
          </w:tcPr>
          <w:p w14:paraId="7892BD61">
            <w:pPr>
              <w:pStyle w:val="11"/>
            </w:pPr>
            <w:r>
              <w:t>7</w:t>
            </w:r>
          </w:p>
        </w:tc>
      </w:tr>
      <w:tr w14:paraId="17ECC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AB1BA">
            <w:pPr>
              <w:pStyle w:val="12"/>
            </w:pPr>
            <w:r>
              <w:t>1</w:t>
            </w:r>
          </w:p>
        </w:tc>
        <w:tc>
          <w:tcPr>
            <w:tcW w:w="3402" w:type="dxa"/>
            <w:vAlign w:val="center"/>
          </w:tcPr>
          <w:p w14:paraId="1E9E665B">
            <w:pPr>
              <w:pStyle w:val="13"/>
            </w:pPr>
            <w:r>
              <w:t>一、一般公共预算拨款</w:t>
            </w:r>
          </w:p>
        </w:tc>
        <w:tc>
          <w:tcPr>
            <w:tcW w:w="1474" w:type="dxa"/>
            <w:vAlign w:val="center"/>
          </w:tcPr>
          <w:p w14:paraId="7E845C99">
            <w:pPr>
              <w:pStyle w:val="14"/>
            </w:pPr>
            <w:r>
              <w:t>242.20</w:t>
            </w:r>
          </w:p>
        </w:tc>
        <w:tc>
          <w:tcPr>
            <w:tcW w:w="3402" w:type="dxa"/>
            <w:vAlign w:val="center"/>
          </w:tcPr>
          <w:p w14:paraId="00360AB1">
            <w:pPr>
              <w:pStyle w:val="13"/>
            </w:pPr>
            <w:r>
              <w:t>一、一般公共服务支出</w:t>
            </w:r>
          </w:p>
        </w:tc>
        <w:tc>
          <w:tcPr>
            <w:tcW w:w="1474" w:type="dxa"/>
            <w:vAlign w:val="center"/>
          </w:tcPr>
          <w:p w14:paraId="6C943983">
            <w:pPr>
              <w:pStyle w:val="14"/>
            </w:pPr>
          </w:p>
        </w:tc>
        <w:tc>
          <w:tcPr>
            <w:tcW w:w="1474" w:type="dxa"/>
            <w:vAlign w:val="center"/>
          </w:tcPr>
          <w:p w14:paraId="4E920772">
            <w:pPr>
              <w:pStyle w:val="14"/>
            </w:pPr>
          </w:p>
        </w:tc>
        <w:tc>
          <w:tcPr>
            <w:tcW w:w="1474" w:type="dxa"/>
            <w:vAlign w:val="center"/>
          </w:tcPr>
          <w:p w14:paraId="216BB4F9">
            <w:pPr>
              <w:pStyle w:val="14"/>
            </w:pPr>
          </w:p>
        </w:tc>
        <w:tc>
          <w:tcPr>
            <w:tcW w:w="1474" w:type="dxa"/>
            <w:vAlign w:val="center"/>
          </w:tcPr>
          <w:p w14:paraId="0A61283D">
            <w:pPr>
              <w:pStyle w:val="14"/>
            </w:pPr>
          </w:p>
        </w:tc>
      </w:tr>
      <w:tr w14:paraId="33CC7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55E26">
            <w:pPr>
              <w:pStyle w:val="12"/>
            </w:pPr>
            <w:r>
              <w:t>2</w:t>
            </w:r>
          </w:p>
        </w:tc>
        <w:tc>
          <w:tcPr>
            <w:tcW w:w="3402" w:type="dxa"/>
            <w:vAlign w:val="center"/>
          </w:tcPr>
          <w:p w14:paraId="465DADD6">
            <w:pPr>
              <w:pStyle w:val="13"/>
            </w:pPr>
            <w:r>
              <w:t>二、政府性基金预算拨款</w:t>
            </w:r>
          </w:p>
        </w:tc>
        <w:tc>
          <w:tcPr>
            <w:tcW w:w="1474" w:type="dxa"/>
            <w:vAlign w:val="center"/>
          </w:tcPr>
          <w:p w14:paraId="50EA0132">
            <w:pPr>
              <w:pStyle w:val="14"/>
            </w:pPr>
          </w:p>
        </w:tc>
        <w:tc>
          <w:tcPr>
            <w:tcW w:w="3402" w:type="dxa"/>
            <w:vAlign w:val="center"/>
          </w:tcPr>
          <w:p w14:paraId="37634AE0">
            <w:pPr>
              <w:pStyle w:val="13"/>
            </w:pPr>
            <w:r>
              <w:t>二、外交支出</w:t>
            </w:r>
          </w:p>
        </w:tc>
        <w:tc>
          <w:tcPr>
            <w:tcW w:w="1474" w:type="dxa"/>
            <w:vAlign w:val="center"/>
          </w:tcPr>
          <w:p w14:paraId="7CA7C751">
            <w:pPr>
              <w:pStyle w:val="14"/>
            </w:pPr>
          </w:p>
        </w:tc>
        <w:tc>
          <w:tcPr>
            <w:tcW w:w="1474" w:type="dxa"/>
            <w:vAlign w:val="center"/>
          </w:tcPr>
          <w:p w14:paraId="184E55FA">
            <w:pPr>
              <w:pStyle w:val="14"/>
            </w:pPr>
          </w:p>
        </w:tc>
        <w:tc>
          <w:tcPr>
            <w:tcW w:w="1474" w:type="dxa"/>
            <w:vAlign w:val="center"/>
          </w:tcPr>
          <w:p w14:paraId="1631CA4A">
            <w:pPr>
              <w:pStyle w:val="14"/>
            </w:pPr>
          </w:p>
        </w:tc>
        <w:tc>
          <w:tcPr>
            <w:tcW w:w="1474" w:type="dxa"/>
            <w:vAlign w:val="center"/>
          </w:tcPr>
          <w:p w14:paraId="4C0F3AD0">
            <w:pPr>
              <w:pStyle w:val="14"/>
            </w:pPr>
          </w:p>
        </w:tc>
      </w:tr>
      <w:tr w14:paraId="47F48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D0EA3">
            <w:pPr>
              <w:pStyle w:val="12"/>
            </w:pPr>
            <w:r>
              <w:t>3</w:t>
            </w:r>
          </w:p>
        </w:tc>
        <w:tc>
          <w:tcPr>
            <w:tcW w:w="3402" w:type="dxa"/>
            <w:vAlign w:val="center"/>
          </w:tcPr>
          <w:p w14:paraId="529F75D2">
            <w:pPr>
              <w:pStyle w:val="13"/>
            </w:pPr>
            <w:r>
              <w:t>三、国有资本经营预算拨款</w:t>
            </w:r>
          </w:p>
        </w:tc>
        <w:tc>
          <w:tcPr>
            <w:tcW w:w="1474" w:type="dxa"/>
            <w:vAlign w:val="center"/>
          </w:tcPr>
          <w:p w14:paraId="4A0311B1">
            <w:pPr>
              <w:pStyle w:val="14"/>
            </w:pPr>
          </w:p>
        </w:tc>
        <w:tc>
          <w:tcPr>
            <w:tcW w:w="3402" w:type="dxa"/>
            <w:vAlign w:val="center"/>
          </w:tcPr>
          <w:p w14:paraId="0CDA52CE">
            <w:pPr>
              <w:pStyle w:val="13"/>
            </w:pPr>
            <w:r>
              <w:t>三、国防支出</w:t>
            </w:r>
          </w:p>
        </w:tc>
        <w:tc>
          <w:tcPr>
            <w:tcW w:w="1474" w:type="dxa"/>
            <w:vAlign w:val="center"/>
          </w:tcPr>
          <w:p w14:paraId="36906E26">
            <w:pPr>
              <w:pStyle w:val="14"/>
            </w:pPr>
          </w:p>
        </w:tc>
        <w:tc>
          <w:tcPr>
            <w:tcW w:w="1474" w:type="dxa"/>
            <w:vAlign w:val="center"/>
          </w:tcPr>
          <w:p w14:paraId="5F4F2D8F">
            <w:pPr>
              <w:pStyle w:val="14"/>
            </w:pPr>
          </w:p>
        </w:tc>
        <w:tc>
          <w:tcPr>
            <w:tcW w:w="1474" w:type="dxa"/>
            <w:vAlign w:val="center"/>
          </w:tcPr>
          <w:p w14:paraId="74C8AE30">
            <w:pPr>
              <w:pStyle w:val="14"/>
            </w:pPr>
          </w:p>
        </w:tc>
        <w:tc>
          <w:tcPr>
            <w:tcW w:w="1474" w:type="dxa"/>
            <w:vAlign w:val="center"/>
          </w:tcPr>
          <w:p w14:paraId="451CB158">
            <w:pPr>
              <w:pStyle w:val="14"/>
            </w:pPr>
          </w:p>
        </w:tc>
      </w:tr>
      <w:tr w14:paraId="34901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3F32F">
            <w:pPr>
              <w:pStyle w:val="12"/>
            </w:pPr>
            <w:r>
              <w:t>4</w:t>
            </w:r>
          </w:p>
        </w:tc>
        <w:tc>
          <w:tcPr>
            <w:tcW w:w="3402" w:type="dxa"/>
            <w:vAlign w:val="center"/>
          </w:tcPr>
          <w:p w14:paraId="571E440D">
            <w:pPr>
              <w:pStyle w:val="13"/>
            </w:pPr>
          </w:p>
        </w:tc>
        <w:tc>
          <w:tcPr>
            <w:tcW w:w="1474" w:type="dxa"/>
            <w:vAlign w:val="center"/>
          </w:tcPr>
          <w:p w14:paraId="166EBD35">
            <w:pPr>
              <w:pStyle w:val="14"/>
            </w:pPr>
          </w:p>
        </w:tc>
        <w:tc>
          <w:tcPr>
            <w:tcW w:w="3402" w:type="dxa"/>
            <w:vAlign w:val="center"/>
          </w:tcPr>
          <w:p w14:paraId="0181BEF4">
            <w:pPr>
              <w:pStyle w:val="13"/>
            </w:pPr>
            <w:r>
              <w:t>四、公共安全支出</w:t>
            </w:r>
          </w:p>
        </w:tc>
        <w:tc>
          <w:tcPr>
            <w:tcW w:w="1474" w:type="dxa"/>
            <w:vAlign w:val="center"/>
          </w:tcPr>
          <w:p w14:paraId="7050BD27">
            <w:pPr>
              <w:pStyle w:val="14"/>
            </w:pPr>
          </w:p>
        </w:tc>
        <w:tc>
          <w:tcPr>
            <w:tcW w:w="1474" w:type="dxa"/>
            <w:vAlign w:val="center"/>
          </w:tcPr>
          <w:p w14:paraId="0D663ED6">
            <w:pPr>
              <w:pStyle w:val="14"/>
            </w:pPr>
          </w:p>
        </w:tc>
        <w:tc>
          <w:tcPr>
            <w:tcW w:w="1474" w:type="dxa"/>
            <w:vAlign w:val="center"/>
          </w:tcPr>
          <w:p w14:paraId="7E86CAD4">
            <w:pPr>
              <w:pStyle w:val="14"/>
            </w:pPr>
          </w:p>
        </w:tc>
        <w:tc>
          <w:tcPr>
            <w:tcW w:w="1474" w:type="dxa"/>
            <w:vAlign w:val="center"/>
          </w:tcPr>
          <w:p w14:paraId="6B4A9138">
            <w:pPr>
              <w:pStyle w:val="14"/>
            </w:pPr>
          </w:p>
        </w:tc>
      </w:tr>
      <w:tr w14:paraId="3F28E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8EDED">
            <w:pPr>
              <w:pStyle w:val="12"/>
            </w:pPr>
            <w:r>
              <w:t>5</w:t>
            </w:r>
          </w:p>
        </w:tc>
        <w:tc>
          <w:tcPr>
            <w:tcW w:w="3402" w:type="dxa"/>
            <w:vAlign w:val="center"/>
          </w:tcPr>
          <w:p w14:paraId="0D730930">
            <w:pPr>
              <w:pStyle w:val="13"/>
            </w:pPr>
          </w:p>
        </w:tc>
        <w:tc>
          <w:tcPr>
            <w:tcW w:w="1474" w:type="dxa"/>
            <w:vAlign w:val="center"/>
          </w:tcPr>
          <w:p w14:paraId="279CB194">
            <w:pPr>
              <w:pStyle w:val="14"/>
            </w:pPr>
          </w:p>
        </w:tc>
        <w:tc>
          <w:tcPr>
            <w:tcW w:w="3402" w:type="dxa"/>
            <w:vAlign w:val="center"/>
          </w:tcPr>
          <w:p w14:paraId="76605166">
            <w:pPr>
              <w:pStyle w:val="13"/>
            </w:pPr>
            <w:r>
              <w:t>五、教育支出</w:t>
            </w:r>
          </w:p>
        </w:tc>
        <w:tc>
          <w:tcPr>
            <w:tcW w:w="1474" w:type="dxa"/>
            <w:vAlign w:val="center"/>
          </w:tcPr>
          <w:p w14:paraId="4667B152">
            <w:pPr>
              <w:pStyle w:val="14"/>
            </w:pPr>
            <w:r>
              <w:t>242.20</w:t>
            </w:r>
          </w:p>
        </w:tc>
        <w:tc>
          <w:tcPr>
            <w:tcW w:w="1474" w:type="dxa"/>
            <w:vAlign w:val="center"/>
          </w:tcPr>
          <w:p w14:paraId="0A0C8B9D">
            <w:pPr>
              <w:pStyle w:val="14"/>
            </w:pPr>
            <w:r>
              <w:t>242.20</w:t>
            </w:r>
          </w:p>
        </w:tc>
        <w:tc>
          <w:tcPr>
            <w:tcW w:w="1474" w:type="dxa"/>
            <w:vAlign w:val="center"/>
          </w:tcPr>
          <w:p w14:paraId="179378F9">
            <w:pPr>
              <w:pStyle w:val="14"/>
            </w:pPr>
          </w:p>
        </w:tc>
        <w:tc>
          <w:tcPr>
            <w:tcW w:w="1474" w:type="dxa"/>
            <w:vAlign w:val="center"/>
          </w:tcPr>
          <w:p w14:paraId="4C6EE59A">
            <w:pPr>
              <w:pStyle w:val="14"/>
            </w:pPr>
          </w:p>
        </w:tc>
      </w:tr>
      <w:tr w14:paraId="37D14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FCE79">
            <w:pPr>
              <w:pStyle w:val="12"/>
            </w:pPr>
            <w:r>
              <w:t>6</w:t>
            </w:r>
          </w:p>
        </w:tc>
        <w:tc>
          <w:tcPr>
            <w:tcW w:w="3402" w:type="dxa"/>
            <w:vAlign w:val="center"/>
          </w:tcPr>
          <w:p w14:paraId="64809AF1">
            <w:pPr>
              <w:pStyle w:val="13"/>
            </w:pPr>
          </w:p>
        </w:tc>
        <w:tc>
          <w:tcPr>
            <w:tcW w:w="1474" w:type="dxa"/>
            <w:vAlign w:val="center"/>
          </w:tcPr>
          <w:p w14:paraId="08C6B3E2">
            <w:pPr>
              <w:pStyle w:val="14"/>
            </w:pPr>
          </w:p>
        </w:tc>
        <w:tc>
          <w:tcPr>
            <w:tcW w:w="3402" w:type="dxa"/>
            <w:vAlign w:val="center"/>
          </w:tcPr>
          <w:p w14:paraId="3C8B44AD">
            <w:pPr>
              <w:pStyle w:val="13"/>
            </w:pPr>
            <w:r>
              <w:t>六、科学技术支出</w:t>
            </w:r>
          </w:p>
        </w:tc>
        <w:tc>
          <w:tcPr>
            <w:tcW w:w="1474" w:type="dxa"/>
            <w:vAlign w:val="center"/>
          </w:tcPr>
          <w:p w14:paraId="31FED9C5">
            <w:pPr>
              <w:pStyle w:val="14"/>
            </w:pPr>
          </w:p>
        </w:tc>
        <w:tc>
          <w:tcPr>
            <w:tcW w:w="1474" w:type="dxa"/>
            <w:vAlign w:val="center"/>
          </w:tcPr>
          <w:p w14:paraId="396AF232">
            <w:pPr>
              <w:pStyle w:val="14"/>
            </w:pPr>
          </w:p>
        </w:tc>
        <w:tc>
          <w:tcPr>
            <w:tcW w:w="1474" w:type="dxa"/>
            <w:vAlign w:val="center"/>
          </w:tcPr>
          <w:p w14:paraId="13D154DF">
            <w:pPr>
              <w:pStyle w:val="14"/>
            </w:pPr>
          </w:p>
        </w:tc>
        <w:tc>
          <w:tcPr>
            <w:tcW w:w="1474" w:type="dxa"/>
            <w:vAlign w:val="center"/>
          </w:tcPr>
          <w:p w14:paraId="5F29CC07">
            <w:pPr>
              <w:pStyle w:val="14"/>
            </w:pPr>
          </w:p>
        </w:tc>
      </w:tr>
      <w:tr w14:paraId="5A336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AE8BA">
            <w:pPr>
              <w:pStyle w:val="12"/>
            </w:pPr>
            <w:r>
              <w:t>7</w:t>
            </w:r>
          </w:p>
        </w:tc>
        <w:tc>
          <w:tcPr>
            <w:tcW w:w="3402" w:type="dxa"/>
            <w:vAlign w:val="center"/>
          </w:tcPr>
          <w:p w14:paraId="6E53543C">
            <w:pPr>
              <w:pStyle w:val="13"/>
            </w:pPr>
          </w:p>
        </w:tc>
        <w:tc>
          <w:tcPr>
            <w:tcW w:w="1474" w:type="dxa"/>
            <w:vAlign w:val="center"/>
          </w:tcPr>
          <w:p w14:paraId="2D53581F">
            <w:pPr>
              <w:pStyle w:val="14"/>
            </w:pPr>
          </w:p>
        </w:tc>
        <w:tc>
          <w:tcPr>
            <w:tcW w:w="3402" w:type="dxa"/>
            <w:vAlign w:val="center"/>
          </w:tcPr>
          <w:p w14:paraId="66281E94">
            <w:pPr>
              <w:pStyle w:val="13"/>
            </w:pPr>
            <w:r>
              <w:t>七、文化旅游体育与传媒支出</w:t>
            </w:r>
          </w:p>
        </w:tc>
        <w:tc>
          <w:tcPr>
            <w:tcW w:w="1474" w:type="dxa"/>
            <w:vAlign w:val="center"/>
          </w:tcPr>
          <w:p w14:paraId="61212C95">
            <w:pPr>
              <w:pStyle w:val="14"/>
            </w:pPr>
          </w:p>
        </w:tc>
        <w:tc>
          <w:tcPr>
            <w:tcW w:w="1474" w:type="dxa"/>
            <w:vAlign w:val="center"/>
          </w:tcPr>
          <w:p w14:paraId="3DC8C3E3">
            <w:pPr>
              <w:pStyle w:val="14"/>
            </w:pPr>
          </w:p>
        </w:tc>
        <w:tc>
          <w:tcPr>
            <w:tcW w:w="1474" w:type="dxa"/>
            <w:vAlign w:val="center"/>
          </w:tcPr>
          <w:p w14:paraId="383C585E">
            <w:pPr>
              <w:pStyle w:val="14"/>
            </w:pPr>
          </w:p>
        </w:tc>
        <w:tc>
          <w:tcPr>
            <w:tcW w:w="1474" w:type="dxa"/>
            <w:vAlign w:val="center"/>
          </w:tcPr>
          <w:p w14:paraId="0B9BC9BF">
            <w:pPr>
              <w:pStyle w:val="14"/>
            </w:pPr>
          </w:p>
        </w:tc>
      </w:tr>
      <w:tr w14:paraId="249F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D7E5C">
            <w:pPr>
              <w:pStyle w:val="12"/>
            </w:pPr>
            <w:r>
              <w:t>8</w:t>
            </w:r>
          </w:p>
        </w:tc>
        <w:tc>
          <w:tcPr>
            <w:tcW w:w="3402" w:type="dxa"/>
            <w:vAlign w:val="center"/>
          </w:tcPr>
          <w:p w14:paraId="141790D7">
            <w:pPr>
              <w:pStyle w:val="13"/>
            </w:pPr>
          </w:p>
        </w:tc>
        <w:tc>
          <w:tcPr>
            <w:tcW w:w="1474" w:type="dxa"/>
            <w:vAlign w:val="center"/>
          </w:tcPr>
          <w:p w14:paraId="6F1FCFA9">
            <w:pPr>
              <w:pStyle w:val="14"/>
            </w:pPr>
          </w:p>
        </w:tc>
        <w:tc>
          <w:tcPr>
            <w:tcW w:w="3402" w:type="dxa"/>
            <w:vAlign w:val="center"/>
          </w:tcPr>
          <w:p w14:paraId="01ED82AE">
            <w:pPr>
              <w:pStyle w:val="13"/>
            </w:pPr>
            <w:r>
              <w:t>八、社会保障和就业支出</w:t>
            </w:r>
          </w:p>
        </w:tc>
        <w:tc>
          <w:tcPr>
            <w:tcW w:w="1474" w:type="dxa"/>
            <w:vAlign w:val="center"/>
          </w:tcPr>
          <w:p w14:paraId="1A4CE29E">
            <w:pPr>
              <w:pStyle w:val="14"/>
            </w:pPr>
          </w:p>
        </w:tc>
        <w:tc>
          <w:tcPr>
            <w:tcW w:w="1474" w:type="dxa"/>
            <w:vAlign w:val="center"/>
          </w:tcPr>
          <w:p w14:paraId="00517174">
            <w:pPr>
              <w:pStyle w:val="14"/>
            </w:pPr>
          </w:p>
        </w:tc>
        <w:tc>
          <w:tcPr>
            <w:tcW w:w="1474" w:type="dxa"/>
            <w:vAlign w:val="center"/>
          </w:tcPr>
          <w:p w14:paraId="2412714A">
            <w:pPr>
              <w:pStyle w:val="14"/>
            </w:pPr>
          </w:p>
        </w:tc>
        <w:tc>
          <w:tcPr>
            <w:tcW w:w="1474" w:type="dxa"/>
            <w:vAlign w:val="center"/>
          </w:tcPr>
          <w:p w14:paraId="200433E1">
            <w:pPr>
              <w:pStyle w:val="14"/>
            </w:pPr>
          </w:p>
        </w:tc>
      </w:tr>
      <w:tr w14:paraId="22F6C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282C2">
            <w:pPr>
              <w:pStyle w:val="12"/>
            </w:pPr>
            <w:r>
              <w:t>9</w:t>
            </w:r>
          </w:p>
        </w:tc>
        <w:tc>
          <w:tcPr>
            <w:tcW w:w="3402" w:type="dxa"/>
            <w:vAlign w:val="center"/>
          </w:tcPr>
          <w:p w14:paraId="3F9CF567">
            <w:pPr>
              <w:pStyle w:val="13"/>
            </w:pPr>
          </w:p>
        </w:tc>
        <w:tc>
          <w:tcPr>
            <w:tcW w:w="1474" w:type="dxa"/>
            <w:vAlign w:val="center"/>
          </w:tcPr>
          <w:p w14:paraId="6B77AFF6">
            <w:pPr>
              <w:pStyle w:val="14"/>
            </w:pPr>
          </w:p>
        </w:tc>
        <w:tc>
          <w:tcPr>
            <w:tcW w:w="3402" w:type="dxa"/>
            <w:vAlign w:val="center"/>
          </w:tcPr>
          <w:p w14:paraId="571C3526">
            <w:pPr>
              <w:pStyle w:val="13"/>
            </w:pPr>
            <w:r>
              <w:t>九、社会保险基金支出</w:t>
            </w:r>
          </w:p>
        </w:tc>
        <w:tc>
          <w:tcPr>
            <w:tcW w:w="1474" w:type="dxa"/>
            <w:vAlign w:val="center"/>
          </w:tcPr>
          <w:p w14:paraId="4D5E5442">
            <w:pPr>
              <w:pStyle w:val="14"/>
            </w:pPr>
          </w:p>
        </w:tc>
        <w:tc>
          <w:tcPr>
            <w:tcW w:w="1474" w:type="dxa"/>
            <w:vAlign w:val="center"/>
          </w:tcPr>
          <w:p w14:paraId="31DED5E1">
            <w:pPr>
              <w:pStyle w:val="14"/>
            </w:pPr>
          </w:p>
        </w:tc>
        <w:tc>
          <w:tcPr>
            <w:tcW w:w="1474" w:type="dxa"/>
            <w:vAlign w:val="center"/>
          </w:tcPr>
          <w:p w14:paraId="67550873">
            <w:pPr>
              <w:pStyle w:val="14"/>
            </w:pPr>
          </w:p>
        </w:tc>
        <w:tc>
          <w:tcPr>
            <w:tcW w:w="1474" w:type="dxa"/>
            <w:vAlign w:val="center"/>
          </w:tcPr>
          <w:p w14:paraId="4B1217B0">
            <w:pPr>
              <w:pStyle w:val="14"/>
            </w:pPr>
          </w:p>
        </w:tc>
      </w:tr>
      <w:tr w14:paraId="16715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37B91">
            <w:pPr>
              <w:pStyle w:val="12"/>
            </w:pPr>
            <w:r>
              <w:t>10</w:t>
            </w:r>
          </w:p>
        </w:tc>
        <w:tc>
          <w:tcPr>
            <w:tcW w:w="3402" w:type="dxa"/>
            <w:vAlign w:val="center"/>
          </w:tcPr>
          <w:p w14:paraId="48BDA1DE">
            <w:pPr>
              <w:pStyle w:val="13"/>
            </w:pPr>
          </w:p>
        </w:tc>
        <w:tc>
          <w:tcPr>
            <w:tcW w:w="1474" w:type="dxa"/>
            <w:vAlign w:val="center"/>
          </w:tcPr>
          <w:p w14:paraId="54B783C0">
            <w:pPr>
              <w:pStyle w:val="14"/>
            </w:pPr>
          </w:p>
        </w:tc>
        <w:tc>
          <w:tcPr>
            <w:tcW w:w="3402" w:type="dxa"/>
            <w:vAlign w:val="center"/>
          </w:tcPr>
          <w:p w14:paraId="36A88E15">
            <w:pPr>
              <w:pStyle w:val="13"/>
            </w:pPr>
            <w:r>
              <w:t>十、卫生健康支出</w:t>
            </w:r>
          </w:p>
        </w:tc>
        <w:tc>
          <w:tcPr>
            <w:tcW w:w="1474" w:type="dxa"/>
            <w:vAlign w:val="center"/>
          </w:tcPr>
          <w:p w14:paraId="49E47145">
            <w:pPr>
              <w:pStyle w:val="14"/>
            </w:pPr>
          </w:p>
        </w:tc>
        <w:tc>
          <w:tcPr>
            <w:tcW w:w="1474" w:type="dxa"/>
            <w:vAlign w:val="center"/>
          </w:tcPr>
          <w:p w14:paraId="2115C4BE">
            <w:pPr>
              <w:pStyle w:val="14"/>
            </w:pPr>
          </w:p>
        </w:tc>
        <w:tc>
          <w:tcPr>
            <w:tcW w:w="1474" w:type="dxa"/>
            <w:vAlign w:val="center"/>
          </w:tcPr>
          <w:p w14:paraId="3DFE03B9">
            <w:pPr>
              <w:pStyle w:val="14"/>
            </w:pPr>
          </w:p>
        </w:tc>
        <w:tc>
          <w:tcPr>
            <w:tcW w:w="1474" w:type="dxa"/>
            <w:vAlign w:val="center"/>
          </w:tcPr>
          <w:p w14:paraId="6C1A4408">
            <w:pPr>
              <w:pStyle w:val="14"/>
            </w:pPr>
          </w:p>
        </w:tc>
      </w:tr>
      <w:tr w14:paraId="40326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B2814">
            <w:pPr>
              <w:pStyle w:val="12"/>
            </w:pPr>
            <w:r>
              <w:t>11</w:t>
            </w:r>
          </w:p>
        </w:tc>
        <w:tc>
          <w:tcPr>
            <w:tcW w:w="3402" w:type="dxa"/>
            <w:vAlign w:val="center"/>
          </w:tcPr>
          <w:p w14:paraId="656A592E">
            <w:pPr>
              <w:pStyle w:val="13"/>
            </w:pPr>
          </w:p>
        </w:tc>
        <w:tc>
          <w:tcPr>
            <w:tcW w:w="1474" w:type="dxa"/>
            <w:vAlign w:val="center"/>
          </w:tcPr>
          <w:p w14:paraId="34C66452">
            <w:pPr>
              <w:pStyle w:val="14"/>
            </w:pPr>
          </w:p>
        </w:tc>
        <w:tc>
          <w:tcPr>
            <w:tcW w:w="3402" w:type="dxa"/>
            <w:vAlign w:val="center"/>
          </w:tcPr>
          <w:p w14:paraId="7D3A908F">
            <w:pPr>
              <w:pStyle w:val="13"/>
            </w:pPr>
            <w:r>
              <w:t>十一、节能环保支出</w:t>
            </w:r>
          </w:p>
        </w:tc>
        <w:tc>
          <w:tcPr>
            <w:tcW w:w="1474" w:type="dxa"/>
            <w:vAlign w:val="center"/>
          </w:tcPr>
          <w:p w14:paraId="605BE764">
            <w:pPr>
              <w:pStyle w:val="14"/>
            </w:pPr>
          </w:p>
        </w:tc>
        <w:tc>
          <w:tcPr>
            <w:tcW w:w="1474" w:type="dxa"/>
            <w:vAlign w:val="center"/>
          </w:tcPr>
          <w:p w14:paraId="482784C9">
            <w:pPr>
              <w:pStyle w:val="14"/>
            </w:pPr>
          </w:p>
        </w:tc>
        <w:tc>
          <w:tcPr>
            <w:tcW w:w="1474" w:type="dxa"/>
            <w:vAlign w:val="center"/>
          </w:tcPr>
          <w:p w14:paraId="2C945EFC">
            <w:pPr>
              <w:pStyle w:val="14"/>
            </w:pPr>
          </w:p>
        </w:tc>
        <w:tc>
          <w:tcPr>
            <w:tcW w:w="1474" w:type="dxa"/>
            <w:vAlign w:val="center"/>
          </w:tcPr>
          <w:p w14:paraId="30378706">
            <w:pPr>
              <w:pStyle w:val="14"/>
            </w:pPr>
          </w:p>
        </w:tc>
      </w:tr>
      <w:tr w14:paraId="1D2EF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C7499">
            <w:pPr>
              <w:pStyle w:val="12"/>
            </w:pPr>
            <w:r>
              <w:t>12</w:t>
            </w:r>
          </w:p>
        </w:tc>
        <w:tc>
          <w:tcPr>
            <w:tcW w:w="3402" w:type="dxa"/>
            <w:vAlign w:val="center"/>
          </w:tcPr>
          <w:p w14:paraId="2315F5D0">
            <w:pPr>
              <w:pStyle w:val="13"/>
            </w:pPr>
          </w:p>
        </w:tc>
        <w:tc>
          <w:tcPr>
            <w:tcW w:w="1474" w:type="dxa"/>
            <w:vAlign w:val="center"/>
          </w:tcPr>
          <w:p w14:paraId="2CEA6A37">
            <w:pPr>
              <w:pStyle w:val="14"/>
            </w:pPr>
          </w:p>
        </w:tc>
        <w:tc>
          <w:tcPr>
            <w:tcW w:w="3402" w:type="dxa"/>
            <w:vAlign w:val="center"/>
          </w:tcPr>
          <w:p w14:paraId="54DD102A">
            <w:pPr>
              <w:pStyle w:val="13"/>
            </w:pPr>
            <w:r>
              <w:t>十二、城乡社区支出</w:t>
            </w:r>
          </w:p>
        </w:tc>
        <w:tc>
          <w:tcPr>
            <w:tcW w:w="1474" w:type="dxa"/>
            <w:vAlign w:val="center"/>
          </w:tcPr>
          <w:p w14:paraId="6B0CD7AA">
            <w:pPr>
              <w:pStyle w:val="14"/>
            </w:pPr>
          </w:p>
        </w:tc>
        <w:tc>
          <w:tcPr>
            <w:tcW w:w="1474" w:type="dxa"/>
            <w:vAlign w:val="center"/>
          </w:tcPr>
          <w:p w14:paraId="1A20E046">
            <w:pPr>
              <w:pStyle w:val="14"/>
            </w:pPr>
          </w:p>
        </w:tc>
        <w:tc>
          <w:tcPr>
            <w:tcW w:w="1474" w:type="dxa"/>
            <w:vAlign w:val="center"/>
          </w:tcPr>
          <w:p w14:paraId="38DFB3DA">
            <w:pPr>
              <w:pStyle w:val="14"/>
            </w:pPr>
          </w:p>
        </w:tc>
        <w:tc>
          <w:tcPr>
            <w:tcW w:w="1474" w:type="dxa"/>
            <w:vAlign w:val="center"/>
          </w:tcPr>
          <w:p w14:paraId="5D59CF1A">
            <w:pPr>
              <w:pStyle w:val="14"/>
            </w:pPr>
          </w:p>
        </w:tc>
      </w:tr>
      <w:tr w14:paraId="3DE23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B4E8B">
            <w:pPr>
              <w:pStyle w:val="12"/>
            </w:pPr>
            <w:r>
              <w:t>13</w:t>
            </w:r>
          </w:p>
        </w:tc>
        <w:tc>
          <w:tcPr>
            <w:tcW w:w="3402" w:type="dxa"/>
            <w:vAlign w:val="center"/>
          </w:tcPr>
          <w:p w14:paraId="0C53FD14">
            <w:pPr>
              <w:pStyle w:val="13"/>
            </w:pPr>
          </w:p>
        </w:tc>
        <w:tc>
          <w:tcPr>
            <w:tcW w:w="1474" w:type="dxa"/>
            <w:vAlign w:val="center"/>
          </w:tcPr>
          <w:p w14:paraId="47298251">
            <w:pPr>
              <w:pStyle w:val="14"/>
            </w:pPr>
          </w:p>
        </w:tc>
        <w:tc>
          <w:tcPr>
            <w:tcW w:w="3402" w:type="dxa"/>
            <w:vAlign w:val="center"/>
          </w:tcPr>
          <w:p w14:paraId="37C30E52">
            <w:pPr>
              <w:pStyle w:val="13"/>
            </w:pPr>
            <w:r>
              <w:t>十三、农林水支出</w:t>
            </w:r>
          </w:p>
        </w:tc>
        <w:tc>
          <w:tcPr>
            <w:tcW w:w="1474" w:type="dxa"/>
            <w:vAlign w:val="center"/>
          </w:tcPr>
          <w:p w14:paraId="0DC252BB">
            <w:pPr>
              <w:pStyle w:val="14"/>
            </w:pPr>
          </w:p>
        </w:tc>
        <w:tc>
          <w:tcPr>
            <w:tcW w:w="1474" w:type="dxa"/>
            <w:vAlign w:val="center"/>
          </w:tcPr>
          <w:p w14:paraId="5E4C5CE7">
            <w:pPr>
              <w:pStyle w:val="14"/>
            </w:pPr>
          </w:p>
        </w:tc>
        <w:tc>
          <w:tcPr>
            <w:tcW w:w="1474" w:type="dxa"/>
            <w:vAlign w:val="center"/>
          </w:tcPr>
          <w:p w14:paraId="5871CB6D">
            <w:pPr>
              <w:pStyle w:val="14"/>
            </w:pPr>
          </w:p>
        </w:tc>
        <w:tc>
          <w:tcPr>
            <w:tcW w:w="1474" w:type="dxa"/>
            <w:vAlign w:val="center"/>
          </w:tcPr>
          <w:p w14:paraId="33766547">
            <w:pPr>
              <w:pStyle w:val="14"/>
            </w:pPr>
          </w:p>
        </w:tc>
      </w:tr>
      <w:tr w14:paraId="5166A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678BE">
            <w:pPr>
              <w:pStyle w:val="12"/>
            </w:pPr>
            <w:r>
              <w:t>14</w:t>
            </w:r>
          </w:p>
        </w:tc>
        <w:tc>
          <w:tcPr>
            <w:tcW w:w="3402" w:type="dxa"/>
            <w:vAlign w:val="center"/>
          </w:tcPr>
          <w:p w14:paraId="05673CBA">
            <w:pPr>
              <w:pStyle w:val="13"/>
            </w:pPr>
          </w:p>
        </w:tc>
        <w:tc>
          <w:tcPr>
            <w:tcW w:w="1474" w:type="dxa"/>
            <w:vAlign w:val="center"/>
          </w:tcPr>
          <w:p w14:paraId="48B37B0D">
            <w:pPr>
              <w:pStyle w:val="14"/>
            </w:pPr>
          </w:p>
        </w:tc>
        <w:tc>
          <w:tcPr>
            <w:tcW w:w="3402" w:type="dxa"/>
            <w:vAlign w:val="center"/>
          </w:tcPr>
          <w:p w14:paraId="0FADE02F">
            <w:pPr>
              <w:pStyle w:val="13"/>
            </w:pPr>
            <w:r>
              <w:t>十四、交通运输支出</w:t>
            </w:r>
          </w:p>
        </w:tc>
        <w:tc>
          <w:tcPr>
            <w:tcW w:w="1474" w:type="dxa"/>
            <w:vAlign w:val="center"/>
          </w:tcPr>
          <w:p w14:paraId="7A83B86D">
            <w:pPr>
              <w:pStyle w:val="14"/>
            </w:pPr>
          </w:p>
        </w:tc>
        <w:tc>
          <w:tcPr>
            <w:tcW w:w="1474" w:type="dxa"/>
            <w:vAlign w:val="center"/>
          </w:tcPr>
          <w:p w14:paraId="5670BE1E">
            <w:pPr>
              <w:pStyle w:val="14"/>
            </w:pPr>
          </w:p>
        </w:tc>
        <w:tc>
          <w:tcPr>
            <w:tcW w:w="1474" w:type="dxa"/>
            <w:vAlign w:val="center"/>
          </w:tcPr>
          <w:p w14:paraId="2DE564C3">
            <w:pPr>
              <w:pStyle w:val="14"/>
            </w:pPr>
          </w:p>
        </w:tc>
        <w:tc>
          <w:tcPr>
            <w:tcW w:w="1474" w:type="dxa"/>
            <w:vAlign w:val="center"/>
          </w:tcPr>
          <w:p w14:paraId="470E333D">
            <w:pPr>
              <w:pStyle w:val="14"/>
            </w:pPr>
          </w:p>
        </w:tc>
      </w:tr>
      <w:tr w14:paraId="5F951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57719">
            <w:pPr>
              <w:pStyle w:val="12"/>
            </w:pPr>
            <w:r>
              <w:t>15</w:t>
            </w:r>
          </w:p>
        </w:tc>
        <w:tc>
          <w:tcPr>
            <w:tcW w:w="3402" w:type="dxa"/>
            <w:vAlign w:val="center"/>
          </w:tcPr>
          <w:p w14:paraId="566CB394">
            <w:pPr>
              <w:pStyle w:val="13"/>
            </w:pPr>
          </w:p>
        </w:tc>
        <w:tc>
          <w:tcPr>
            <w:tcW w:w="1474" w:type="dxa"/>
            <w:vAlign w:val="center"/>
          </w:tcPr>
          <w:p w14:paraId="3366075F">
            <w:pPr>
              <w:pStyle w:val="14"/>
            </w:pPr>
          </w:p>
        </w:tc>
        <w:tc>
          <w:tcPr>
            <w:tcW w:w="3402" w:type="dxa"/>
            <w:vAlign w:val="center"/>
          </w:tcPr>
          <w:p w14:paraId="3183090C">
            <w:pPr>
              <w:pStyle w:val="13"/>
            </w:pPr>
            <w:r>
              <w:t>十五、资源勘探工业信息等支出</w:t>
            </w:r>
          </w:p>
        </w:tc>
        <w:tc>
          <w:tcPr>
            <w:tcW w:w="1474" w:type="dxa"/>
            <w:vAlign w:val="center"/>
          </w:tcPr>
          <w:p w14:paraId="53052683">
            <w:pPr>
              <w:pStyle w:val="14"/>
            </w:pPr>
          </w:p>
        </w:tc>
        <w:tc>
          <w:tcPr>
            <w:tcW w:w="1474" w:type="dxa"/>
            <w:vAlign w:val="center"/>
          </w:tcPr>
          <w:p w14:paraId="08C52EFB">
            <w:pPr>
              <w:pStyle w:val="14"/>
            </w:pPr>
          </w:p>
        </w:tc>
        <w:tc>
          <w:tcPr>
            <w:tcW w:w="1474" w:type="dxa"/>
            <w:vAlign w:val="center"/>
          </w:tcPr>
          <w:p w14:paraId="3B787284">
            <w:pPr>
              <w:pStyle w:val="14"/>
            </w:pPr>
          </w:p>
        </w:tc>
        <w:tc>
          <w:tcPr>
            <w:tcW w:w="1474" w:type="dxa"/>
            <w:vAlign w:val="center"/>
          </w:tcPr>
          <w:p w14:paraId="1DB11810">
            <w:pPr>
              <w:pStyle w:val="14"/>
            </w:pPr>
          </w:p>
        </w:tc>
      </w:tr>
      <w:tr w14:paraId="44C39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19B72">
            <w:pPr>
              <w:pStyle w:val="12"/>
            </w:pPr>
            <w:r>
              <w:t>16</w:t>
            </w:r>
          </w:p>
        </w:tc>
        <w:tc>
          <w:tcPr>
            <w:tcW w:w="3402" w:type="dxa"/>
            <w:vAlign w:val="center"/>
          </w:tcPr>
          <w:p w14:paraId="0A22D550">
            <w:pPr>
              <w:pStyle w:val="13"/>
            </w:pPr>
          </w:p>
        </w:tc>
        <w:tc>
          <w:tcPr>
            <w:tcW w:w="1474" w:type="dxa"/>
            <w:vAlign w:val="center"/>
          </w:tcPr>
          <w:p w14:paraId="3868EF69">
            <w:pPr>
              <w:pStyle w:val="14"/>
            </w:pPr>
          </w:p>
        </w:tc>
        <w:tc>
          <w:tcPr>
            <w:tcW w:w="3402" w:type="dxa"/>
            <w:vAlign w:val="center"/>
          </w:tcPr>
          <w:p w14:paraId="5BA93091">
            <w:pPr>
              <w:pStyle w:val="13"/>
            </w:pPr>
            <w:r>
              <w:t>十六、商业服务业等支出</w:t>
            </w:r>
          </w:p>
        </w:tc>
        <w:tc>
          <w:tcPr>
            <w:tcW w:w="1474" w:type="dxa"/>
            <w:vAlign w:val="center"/>
          </w:tcPr>
          <w:p w14:paraId="5D06BE8D">
            <w:pPr>
              <w:pStyle w:val="14"/>
            </w:pPr>
          </w:p>
        </w:tc>
        <w:tc>
          <w:tcPr>
            <w:tcW w:w="1474" w:type="dxa"/>
            <w:vAlign w:val="center"/>
          </w:tcPr>
          <w:p w14:paraId="11F6AC3B">
            <w:pPr>
              <w:pStyle w:val="14"/>
            </w:pPr>
          </w:p>
        </w:tc>
        <w:tc>
          <w:tcPr>
            <w:tcW w:w="1474" w:type="dxa"/>
            <w:vAlign w:val="center"/>
          </w:tcPr>
          <w:p w14:paraId="7C57594A">
            <w:pPr>
              <w:pStyle w:val="14"/>
            </w:pPr>
          </w:p>
        </w:tc>
        <w:tc>
          <w:tcPr>
            <w:tcW w:w="1474" w:type="dxa"/>
            <w:vAlign w:val="center"/>
          </w:tcPr>
          <w:p w14:paraId="553A0747">
            <w:pPr>
              <w:pStyle w:val="14"/>
            </w:pPr>
          </w:p>
        </w:tc>
      </w:tr>
      <w:tr w14:paraId="08CF7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8C21B">
            <w:pPr>
              <w:pStyle w:val="12"/>
            </w:pPr>
            <w:r>
              <w:t>17</w:t>
            </w:r>
          </w:p>
        </w:tc>
        <w:tc>
          <w:tcPr>
            <w:tcW w:w="3402" w:type="dxa"/>
            <w:vAlign w:val="center"/>
          </w:tcPr>
          <w:p w14:paraId="63657A85">
            <w:pPr>
              <w:pStyle w:val="13"/>
            </w:pPr>
          </w:p>
        </w:tc>
        <w:tc>
          <w:tcPr>
            <w:tcW w:w="1474" w:type="dxa"/>
            <w:vAlign w:val="center"/>
          </w:tcPr>
          <w:p w14:paraId="01021D06">
            <w:pPr>
              <w:pStyle w:val="14"/>
            </w:pPr>
          </w:p>
        </w:tc>
        <w:tc>
          <w:tcPr>
            <w:tcW w:w="3402" w:type="dxa"/>
            <w:vAlign w:val="center"/>
          </w:tcPr>
          <w:p w14:paraId="3FBEB2D1">
            <w:pPr>
              <w:pStyle w:val="13"/>
            </w:pPr>
            <w:r>
              <w:t>十七、金融支出</w:t>
            </w:r>
          </w:p>
        </w:tc>
        <w:tc>
          <w:tcPr>
            <w:tcW w:w="1474" w:type="dxa"/>
            <w:vAlign w:val="center"/>
          </w:tcPr>
          <w:p w14:paraId="1BA76091">
            <w:pPr>
              <w:pStyle w:val="14"/>
            </w:pPr>
          </w:p>
        </w:tc>
        <w:tc>
          <w:tcPr>
            <w:tcW w:w="1474" w:type="dxa"/>
            <w:vAlign w:val="center"/>
          </w:tcPr>
          <w:p w14:paraId="21EF8CD8">
            <w:pPr>
              <w:pStyle w:val="14"/>
            </w:pPr>
          </w:p>
        </w:tc>
        <w:tc>
          <w:tcPr>
            <w:tcW w:w="1474" w:type="dxa"/>
            <w:vAlign w:val="center"/>
          </w:tcPr>
          <w:p w14:paraId="023A3E84">
            <w:pPr>
              <w:pStyle w:val="14"/>
            </w:pPr>
          </w:p>
        </w:tc>
        <w:tc>
          <w:tcPr>
            <w:tcW w:w="1474" w:type="dxa"/>
            <w:vAlign w:val="center"/>
          </w:tcPr>
          <w:p w14:paraId="4C28BAEE">
            <w:pPr>
              <w:pStyle w:val="14"/>
            </w:pPr>
          </w:p>
        </w:tc>
      </w:tr>
      <w:tr w14:paraId="4C8B4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806E4">
            <w:pPr>
              <w:pStyle w:val="12"/>
            </w:pPr>
            <w:r>
              <w:t>18</w:t>
            </w:r>
          </w:p>
        </w:tc>
        <w:tc>
          <w:tcPr>
            <w:tcW w:w="3402" w:type="dxa"/>
            <w:vAlign w:val="center"/>
          </w:tcPr>
          <w:p w14:paraId="5F8DFD7C">
            <w:pPr>
              <w:pStyle w:val="13"/>
            </w:pPr>
          </w:p>
        </w:tc>
        <w:tc>
          <w:tcPr>
            <w:tcW w:w="1474" w:type="dxa"/>
            <w:vAlign w:val="center"/>
          </w:tcPr>
          <w:p w14:paraId="61B02E9B">
            <w:pPr>
              <w:pStyle w:val="14"/>
            </w:pPr>
          </w:p>
        </w:tc>
        <w:tc>
          <w:tcPr>
            <w:tcW w:w="3402" w:type="dxa"/>
            <w:vAlign w:val="center"/>
          </w:tcPr>
          <w:p w14:paraId="325EE27A">
            <w:pPr>
              <w:pStyle w:val="13"/>
            </w:pPr>
            <w:r>
              <w:t>十八、援助其他地区支出</w:t>
            </w:r>
          </w:p>
        </w:tc>
        <w:tc>
          <w:tcPr>
            <w:tcW w:w="1474" w:type="dxa"/>
            <w:vAlign w:val="center"/>
          </w:tcPr>
          <w:p w14:paraId="3CCA6065">
            <w:pPr>
              <w:pStyle w:val="14"/>
            </w:pPr>
          </w:p>
        </w:tc>
        <w:tc>
          <w:tcPr>
            <w:tcW w:w="1474" w:type="dxa"/>
            <w:vAlign w:val="center"/>
          </w:tcPr>
          <w:p w14:paraId="61E258DE">
            <w:pPr>
              <w:pStyle w:val="14"/>
            </w:pPr>
          </w:p>
        </w:tc>
        <w:tc>
          <w:tcPr>
            <w:tcW w:w="1474" w:type="dxa"/>
            <w:vAlign w:val="center"/>
          </w:tcPr>
          <w:p w14:paraId="55288269">
            <w:pPr>
              <w:pStyle w:val="14"/>
            </w:pPr>
          </w:p>
        </w:tc>
        <w:tc>
          <w:tcPr>
            <w:tcW w:w="1474" w:type="dxa"/>
            <w:vAlign w:val="center"/>
          </w:tcPr>
          <w:p w14:paraId="249C9772">
            <w:pPr>
              <w:pStyle w:val="14"/>
            </w:pPr>
          </w:p>
        </w:tc>
      </w:tr>
      <w:tr w14:paraId="548A3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67C1E">
            <w:pPr>
              <w:pStyle w:val="12"/>
            </w:pPr>
            <w:r>
              <w:t>19</w:t>
            </w:r>
          </w:p>
        </w:tc>
        <w:tc>
          <w:tcPr>
            <w:tcW w:w="3402" w:type="dxa"/>
            <w:vAlign w:val="center"/>
          </w:tcPr>
          <w:p w14:paraId="39806F80">
            <w:pPr>
              <w:pStyle w:val="13"/>
            </w:pPr>
          </w:p>
        </w:tc>
        <w:tc>
          <w:tcPr>
            <w:tcW w:w="1474" w:type="dxa"/>
            <w:vAlign w:val="center"/>
          </w:tcPr>
          <w:p w14:paraId="7AF7B9BE">
            <w:pPr>
              <w:pStyle w:val="14"/>
            </w:pPr>
          </w:p>
        </w:tc>
        <w:tc>
          <w:tcPr>
            <w:tcW w:w="3402" w:type="dxa"/>
            <w:vAlign w:val="center"/>
          </w:tcPr>
          <w:p w14:paraId="71C82431">
            <w:pPr>
              <w:pStyle w:val="13"/>
            </w:pPr>
            <w:r>
              <w:t>十九、自然资源海洋气象等支出</w:t>
            </w:r>
          </w:p>
        </w:tc>
        <w:tc>
          <w:tcPr>
            <w:tcW w:w="1474" w:type="dxa"/>
            <w:vAlign w:val="center"/>
          </w:tcPr>
          <w:p w14:paraId="5A594153">
            <w:pPr>
              <w:pStyle w:val="14"/>
            </w:pPr>
          </w:p>
        </w:tc>
        <w:tc>
          <w:tcPr>
            <w:tcW w:w="1474" w:type="dxa"/>
            <w:vAlign w:val="center"/>
          </w:tcPr>
          <w:p w14:paraId="15E530E6">
            <w:pPr>
              <w:pStyle w:val="14"/>
            </w:pPr>
          </w:p>
        </w:tc>
        <w:tc>
          <w:tcPr>
            <w:tcW w:w="1474" w:type="dxa"/>
            <w:vAlign w:val="center"/>
          </w:tcPr>
          <w:p w14:paraId="007DA1C5">
            <w:pPr>
              <w:pStyle w:val="14"/>
            </w:pPr>
          </w:p>
        </w:tc>
        <w:tc>
          <w:tcPr>
            <w:tcW w:w="1474" w:type="dxa"/>
            <w:vAlign w:val="center"/>
          </w:tcPr>
          <w:p w14:paraId="4595B68E">
            <w:pPr>
              <w:pStyle w:val="14"/>
            </w:pPr>
          </w:p>
        </w:tc>
      </w:tr>
      <w:tr w14:paraId="0B527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2D3F6">
            <w:pPr>
              <w:pStyle w:val="12"/>
            </w:pPr>
            <w:r>
              <w:t>20</w:t>
            </w:r>
          </w:p>
        </w:tc>
        <w:tc>
          <w:tcPr>
            <w:tcW w:w="3402" w:type="dxa"/>
            <w:vAlign w:val="center"/>
          </w:tcPr>
          <w:p w14:paraId="1EA6F0EB">
            <w:pPr>
              <w:pStyle w:val="13"/>
            </w:pPr>
          </w:p>
        </w:tc>
        <w:tc>
          <w:tcPr>
            <w:tcW w:w="1474" w:type="dxa"/>
            <w:vAlign w:val="center"/>
          </w:tcPr>
          <w:p w14:paraId="6188FA13">
            <w:pPr>
              <w:pStyle w:val="14"/>
            </w:pPr>
          </w:p>
        </w:tc>
        <w:tc>
          <w:tcPr>
            <w:tcW w:w="3402" w:type="dxa"/>
            <w:vAlign w:val="center"/>
          </w:tcPr>
          <w:p w14:paraId="78AAB47A">
            <w:pPr>
              <w:pStyle w:val="13"/>
            </w:pPr>
            <w:r>
              <w:t>二十、住房保障支出</w:t>
            </w:r>
          </w:p>
        </w:tc>
        <w:tc>
          <w:tcPr>
            <w:tcW w:w="1474" w:type="dxa"/>
            <w:vAlign w:val="center"/>
          </w:tcPr>
          <w:p w14:paraId="4BF10720">
            <w:pPr>
              <w:pStyle w:val="14"/>
            </w:pPr>
          </w:p>
        </w:tc>
        <w:tc>
          <w:tcPr>
            <w:tcW w:w="1474" w:type="dxa"/>
            <w:vAlign w:val="center"/>
          </w:tcPr>
          <w:p w14:paraId="175A3324">
            <w:pPr>
              <w:pStyle w:val="14"/>
            </w:pPr>
          </w:p>
        </w:tc>
        <w:tc>
          <w:tcPr>
            <w:tcW w:w="1474" w:type="dxa"/>
            <w:vAlign w:val="center"/>
          </w:tcPr>
          <w:p w14:paraId="7E6D2573">
            <w:pPr>
              <w:pStyle w:val="14"/>
            </w:pPr>
          </w:p>
        </w:tc>
        <w:tc>
          <w:tcPr>
            <w:tcW w:w="1474" w:type="dxa"/>
            <w:vAlign w:val="center"/>
          </w:tcPr>
          <w:p w14:paraId="2E0D530C">
            <w:pPr>
              <w:pStyle w:val="14"/>
            </w:pPr>
          </w:p>
        </w:tc>
      </w:tr>
      <w:tr w14:paraId="2F203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BE3BE">
            <w:pPr>
              <w:pStyle w:val="12"/>
            </w:pPr>
            <w:r>
              <w:t>21</w:t>
            </w:r>
          </w:p>
        </w:tc>
        <w:tc>
          <w:tcPr>
            <w:tcW w:w="3402" w:type="dxa"/>
            <w:vAlign w:val="center"/>
          </w:tcPr>
          <w:p w14:paraId="42ABD207">
            <w:pPr>
              <w:pStyle w:val="13"/>
            </w:pPr>
          </w:p>
        </w:tc>
        <w:tc>
          <w:tcPr>
            <w:tcW w:w="1474" w:type="dxa"/>
            <w:vAlign w:val="center"/>
          </w:tcPr>
          <w:p w14:paraId="1A49BEFF">
            <w:pPr>
              <w:pStyle w:val="14"/>
            </w:pPr>
          </w:p>
        </w:tc>
        <w:tc>
          <w:tcPr>
            <w:tcW w:w="3402" w:type="dxa"/>
            <w:vAlign w:val="center"/>
          </w:tcPr>
          <w:p w14:paraId="56C8EC40">
            <w:pPr>
              <w:pStyle w:val="13"/>
            </w:pPr>
            <w:r>
              <w:t>二十一、粮油物资储备支出</w:t>
            </w:r>
          </w:p>
        </w:tc>
        <w:tc>
          <w:tcPr>
            <w:tcW w:w="1474" w:type="dxa"/>
            <w:vAlign w:val="center"/>
          </w:tcPr>
          <w:p w14:paraId="07B5BF45">
            <w:pPr>
              <w:pStyle w:val="14"/>
            </w:pPr>
          </w:p>
        </w:tc>
        <w:tc>
          <w:tcPr>
            <w:tcW w:w="1474" w:type="dxa"/>
            <w:vAlign w:val="center"/>
          </w:tcPr>
          <w:p w14:paraId="58A591BF">
            <w:pPr>
              <w:pStyle w:val="14"/>
            </w:pPr>
          </w:p>
        </w:tc>
        <w:tc>
          <w:tcPr>
            <w:tcW w:w="1474" w:type="dxa"/>
            <w:vAlign w:val="center"/>
          </w:tcPr>
          <w:p w14:paraId="23DF0E01">
            <w:pPr>
              <w:pStyle w:val="14"/>
            </w:pPr>
          </w:p>
        </w:tc>
        <w:tc>
          <w:tcPr>
            <w:tcW w:w="1474" w:type="dxa"/>
            <w:vAlign w:val="center"/>
          </w:tcPr>
          <w:p w14:paraId="1C1FA92B">
            <w:pPr>
              <w:pStyle w:val="14"/>
            </w:pPr>
          </w:p>
        </w:tc>
      </w:tr>
      <w:tr w14:paraId="1057C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CC68E">
            <w:pPr>
              <w:pStyle w:val="12"/>
            </w:pPr>
            <w:r>
              <w:t>22</w:t>
            </w:r>
          </w:p>
        </w:tc>
        <w:tc>
          <w:tcPr>
            <w:tcW w:w="3402" w:type="dxa"/>
            <w:vAlign w:val="center"/>
          </w:tcPr>
          <w:p w14:paraId="4025F4B3">
            <w:pPr>
              <w:pStyle w:val="13"/>
            </w:pPr>
          </w:p>
        </w:tc>
        <w:tc>
          <w:tcPr>
            <w:tcW w:w="1474" w:type="dxa"/>
            <w:vAlign w:val="center"/>
          </w:tcPr>
          <w:p w14:paraId="7032A451">
            <w:pPr>
              <w:pStyle w:val="14"/>
            </w:pPr>
          </w:p>
        </w:tc>
        <w:tc>
          <w:tcPr>
            <w:tcW w:w="3402" w:type="dxa"/>
            <w:vAlign w:val="center"/>
          </w:tcPr>
          <w:p w14:paraId="65AE7962">
            <w:pPr>
              <w:pStyle w:val="13"/>
            </w:pPr>
            <w:r>
              <w:t>二十二、国有资本经营预算支出</w:t>
            </w:r>
          </w:p>
        </w:tc>
        <w:tc>
          <w:tcPr>
            <w:tcW w:w="1474" w:type="dxa"/>
            <w:vAlign w:val="center"/>
          </w:tcPr>
          <w:p w14:paraId="0C722E92">
            <w:pPr>
              <w:pStyle w:val="14"/>
            </w:pPr>
          </w:p>
        </w:tc>
        <w:tc>
          <w:tcPr>
            <w:tcW w:w="1474" w:type="dxa"/>
            <w:vAlign w:val="center"/>
          </w:tcPr>
          <w:p w14:paraId="735B63BC">
            <w:pPr>
              <w:pStyle w:val="14"/>
            </w:pPr>
          </w:p>
        </w:tc>
        <w:tc>
          <w:tcPr>
            <w:tcW w:w="1474" w:type="dxa"/>
            <w:vAlign w:val="center"/>
          </w:tcPr>
          <w:p w14:paraId="66ABBCF5">
            <w:pPr>
              <w:pStyle w:val="14"/>
            </w:pPr>
          </w:p>
        </w:tc>
        <w:tc>
          <w:tcPr>
            <w:tcW w:w="1474" w:type="dxa"/>
            <w:vAlign w:val="center"/>
          </w:tcPr>
          <w:p w14:paraId="6A386B89">
            <w:pPr>
              <w:pStyle w:val="14"/>
            </w:pPr>
          </w:p>
        </w:tc>
      </w:tr>
      <w:tr w14:paraId="53759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4AA24">
            <w:pPr>
              <w:pStyle w:val="12"/>
            </w:pPr>
            <w:r>
              <w:t>23</w:t>
            </w:r>
          </w:p>
        </w:tc>
        <w:tc>
          <w:tcPr>
            <w:tcW w:w="3402" w:type="dxa"/>
            <w:vAlign w:val="center"/>
          </w:tcPr>
          <w:p w14:paraId="456119F9">
            <w:pPr>
              <w:pStyle w:val="13"/>
            </w:pPr>
          </w:p>
        </w:tc>
        <w:tc>
          <w:tcPr>
            <w:tcW w:w="1474" w:type="dxa"/>
            <w:vAlign w:val="center"/>
          </w:tcPr>
          <w:p w14:paraId="11E175E6">
            <w:pPr>
              <w:pStyle w:val="14"/>
            </w:pPr>
          </w:p>
        </w:tc>
        <w:tc>
          <w:tcPr>
            <w:tcW w:w="3402" w:type="dxa"/>
            <w:vAlign w:val="center"/>
          </w:tcPr>
          <w:p w14:paraId="1ED36220">
            <w:pPr>
              <w:pStyle w:val="13"/>
            </w:pPr>
            <w:r>
              <w:t>二十三、灾害防治及应急管理支出</w:t>
            </w:r>
          </w:p>
        </w:tc>
        <w:tc>
          <w:tcPr>
            <w:tcW w:w="1474" w:type="dxa"/>
            <w:vAlign w:val="center"/>
          </w:tcPr>
          <w:p w14:paraId="774D2B43">
            <w:pPr>
              <w:pStyle w:val="14"/>
            </w:pPr>
          </w:p>
        </w:tc>
        <w:tc>
          <w:tcPr>
            <w:tcW w:w="1474" w:type="dxa"/>
            <w:vAlign w:val="center"/>
          </w:tcPr>
          <w:p w14:paraId="0DFE30DC">
            <w:pPr>
              <w:pStyle w:val="14"/>
            </w:pPr>
          </w:p>
        </w:tc>
        <w:tc>
          <w:tcPr>
            <w:tcW w:w="1474" w:type="dxa"/>
            <w:vAlign w:val="center"/>
          </w:tcPr>
          <w:p w14:paraId="533C5F47">
            <w:pPr>
              <w:pStyle w:val="14"/>
            </w:pPr>
          </w:p>
        </w:tc>
        <w:tc>
          <w:tcPr>
            <w:tcW w:w="1474" w:type="dxa"/>
            <w:vAlign w:val="center"/>
          </w:tcPr>
          <w:p w14:paraId="065E13E0">
            <w:pPr>
              <w:pStyle w:val="14"/>
            </w:pPr>
          </w:p>
        </w:tc>
      </w:tr>
      <w:tr w14:paraId="1BE6F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1C993">
            <w:pPr>
              <w:pStyle w:val="12"/>
            </w:pPr>
            <w:r>
              <w:t>24</w:t>
            </w:r>
          </w:p>
        </w:tc>
        <w:tc>
          <w:tcPr>
            <w:tcW w:w="3402" w:type="dxa"/>
            <w:vAlign w:val="center"/>
          </w:tcPr>
          <w:p w14:paraId="2F6BA122">
            <w:pPr>
              <w:pStyle w:val="13"/>
            </w:pPr>
          </w:p>
        </w:tc>
        <w:tc>
          <w:tcPr>
            <w:tcW w:w="1474" w:type="dxa"/>
            <w:vAlign w:val="center"/>
          </w:tcPr>
          <w:p w14:paraId="0FBC40A1">
            <w:pPr>
              <w:pStyle w:val="14"/>
            </w:pPr>
          </w:p>
        </w:tc>
        <w:tc>
          <w:tcPr>
            <w:tcW w:w="3402" w:type="dxa"/>
            <w:vAlign w:val="center"/>
          </w:tcPr>
          <w:p w14:paraId="1B19554B">
            <w:pPr>
              <w:pStyle w:val="13"/>
            </w:pPr>
            <w:r>
              <w:t>二十四、预备费</w:t>
            </w:r>
          </w:p>
        </w:tc>
        <w:tc>
          <w:tcPr>
            <w:tcW w:w="1474" w:type="dxa"/>
            <w:vAlign w:val="center"/>
          </w:tcPr>
          <w:p w14:paraId="282914F9">
            <w:pPr>
              <w:pStyle w:val="14"/>
            </w:pPr>
          </w:p>
        </w:tc>
        <w:tc>
          <w:tcPr>
            <w:tcW w:w="1474" w:type="dxa"/>
            <w:vAlign w:val="center"/>
          </w:tcPr>
          <w:p w14:paraId="271ACE5D">
            <w:pPr>
              <w:pStyle w:val="14"/>
            </w:pPr>
          </w:p>
        </w:tc>
        <w:tc>
          <w:tcPr>
            <w:tcW w:w="1474" w:type="dxa"/>
            <w:vAlign w:val="center"/>
          </w:tcPr>
          <w:p w14:paraId="05F4607F">
            <w:pPr>
              <w:pStyle w:val="14"/>
            </w:pPr>
          </w:p>
        </w:tc>
        <w:tc>
          <w:tcPr>
            <w:tcW w:w="1474" w:type="dxa"/>
            <w:vAlign w:val="center"/>
          </w:tcPr>
          <w:p w14:paraId="216862CB">
            <w:pPr>
              <w:pStyle w:val="14"/>
            </w:pPr>
          </w:p>
        </w:tc>
      </w:tr>
      <w:tr w14:paraId="4929A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0495E">
            <w:pPr>
              <w:pStyle w:val="12"/>
            </w:pPr>
            <w:r>
              <w:t>25</w:t>
            </w:r>
          </w:p>
        </w:tc>
        <w:tc>
          <w:tcPr>
            <w:tcW w:w="3402" w:type="dxa"/>
            <w:vAlign w:val="center"/>
          </w:tcPr>
          <w:p w14:paraId="78C5A99F">
            <w:pPr>
              <w:pStyle w:val="13"/>
            </w:pPr>
          </w:p>
        </w:tc>
        <w:tc>
          <w:tcPr>
            <w:tcW w:w="1474" w:type="dxa"/>
            <w:vAlign w:val="center"/>
          </w:tcPr>
          <w:p w14:paraId="211FBB44">
            <w:pPr>
              <w:pStyle w:val="14"/>
            </w:pPr>
          </w:p>
        </w:tc>
        <w:tc>
          <w:tcPr>
            <w:tcW w:w="3402" w:type="dxa"/>
            <w:vAlign w:val="center"/>
          </w:tcPr>
          <w:p w14:paraId="4A5083D7">
            <w:pPr>
              <w:pStyle w:val="13"/>
            </w:pPr>
            <w:r>
              <w:t>二十五、其他支出</w:t>
            </w:r>
          </w:p>
        </w:tc>
        <w:tc>
          <w:tcPr>
            <w:tcW w:w="1474" w:type="dxa"/>
            <w:vAlign w:val="center"/>
          </w:tcPr>
          <w:p w14:paraId="0B2544A4">
            <w:pPr>
              <w:pStyle w:val="14"/>
            </w:pPr>
          </w:p>
        </w:tc>
        <w:tc>
          <w:tcPr>
            <w:tcW w:w="1474" w:type="dxa"/>
            <w:vAlign w:val="center"/>
          </w:tcPr>
          <w:p w14:paraId="4A7142C8">
            <w:pPr>
              <w:pStyle w:val="14"/>
            </w:pPr>
          </w:p>
        </w:tc>
        <w:tc>
          <w:tcPr>
            <w:tcW w:w="1474" w:type="dxa"/>
            <w:vAlign w:val="center"/>
          </w:tcPr>
          <w:p w14:paraId="0B328B86">
            <w:pPr>
              <w:pStyle w:val="14"/>
            </w:pPr>
          </w:p>
        </w:tc>
        <w:tc>
          <w:tcPr>
            <w:tcW w:w="1474" w:type="dxa"/>
            <w:vAlign w:val="center"/>
          </w:tcPr>
          <w:p w14:paraId="66A7F365">
            <w:pPr>
              <w:pStyle w:val="14"/>
            </w:pPr>
          </w:p>
        </w:tc>
      </w:tr>
      <w:tr w14:paraId="6218B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D68A5">
            <w:pPr>
              <w:pStyle w:val="12"/>
            </w:pPr>
            <w:r>
              <w:t>26</w:t>
            </w:r>
          </w:p>
        </w:tc>
        <w:tc>
          <w:tcPr>
            <w:tcW w:w="3402" w:type="dxa"/>
            <w:vAlign w:val="center"/>
          </w:tcPr>
          <w:p w14:paraId="44C3B29A">
            <w:pPr>
              <w:pStyle w:val="13"/>
            </w:pPr>
          </w:p>
        </w:tc>
        <w:tc>
          <w:tcPr>
            <w:tcW w:w="1474" w:type="dxa"/>
            <w:vAlign w:val="center"/>
          </w:tcPr>
          <w:p w14:paraId="2566FA5D">
            <w:pPr>
              <w:pStyle w:val="14"/>
            </w:pPr>
          </w:p>
        </w:tc>
        <w:tc>
          <w:tcPr>
            <w:tcW w:w="3402" w:type="dxa"/>
            <w:vAlign w:val="center"/>
          </w:tcPr>
          <w:p w14:paraId="70C1AB43">
            <w:pPr>
              <w:pStyle w:val="13"/>
            </w:pPr>
            <w:r>
              <w:t>二十六、转移性支出</w:t>
            </w:r>
          </w:p>
        </w:tc>
        <w:tc>
          <w:tcPr>
            <w:tcW w:w="1474" w:type="dxa"/>
            <w:vAlign w:val="center"/>
          </w:tcPr>
          <w:p w14:paraId="06741886">
            <w:pPr>
              <w:pStyle w:val="14"/>
            </w:pPr>
          </w:p>
        </w:tc>
        <w:tc>
          <w:tcPr>
            <w:tcW w:w="1474" w:type="dxa"/>
            <w:vAlign w:val="center"/>
          </w:tcPr>
          <w:p w14:paraId="5C4B1579">
            <w:pPr>
              <w:pStyle w:val="14"/>
            </w:pPr>
          </w:p>
        </w:tc>
        <w:tc>
          <w:tcPr>
            <w:tcW w:w="1474" w:type="dxa"/>
            <w:vAlign w:val="center"/>
          </w:tcPr>
          <w:p w14:paraId="03E65AC4">
            <w:pPr>
              <w:pStyle w:val="14"/>
            </w:pPr>
          </w:p>
        </w:tc>
        <w:tc>
          <w:tcPr>
            <w:tcW w:w="1474" w:type="dxa"/>
            <w:vAlign w:val="center"/>
          </w:tcPr>
          <w:p w14:paraId="547CC34E">
            <w:pPr>
              <w:pStyle w:val="14"/>
            </w:pPr>
          </w:p>
        </w:tc>
      </w:tr>
      <w:tr w14:paraId="142BF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F1028">
            <w:pPr>
              <w:pStyle w:val="12"/>
            </w:pPr>
            <w:r>
              <w:t>27</w:t>
            </w:r>
          </w:p>
        </w:tc>
        <w:tc>
          <w:tcPr>
            <w:tcW w:w="3402" w:type="dxa"/>
            <w:vAlign w:val="center"/>
          </w:tcPr>
          <w:p w14:paraId="1A2150F8">
            <w:pPr>
              <w:pStyle w:val="13"/>
            </w:pPr>
          </w:p>
        </w:tc>
        <w:tc>
          <w:tcPr>
            <w:tcW w:w="1474" w:type="dxa"/>
            <w:vAlign w:val="center"/>
          </w:tcPr>
          <w:p w14:paraId="0EF06FB3">
            <w:pPr>
              <w:pStyle w:val="14"/>
            </w:pPr>
          </w:p>
        </w:tc>
        <w:tc>
          <w:tcPr>
            <w:tcW w:w="3402" w:type="dxa"/>
            <w:vAlign w:val="center"/>
          </w:tcPr>
          <w:p w14:paraId="148FAD53">
            <w:pPr>
              <w:pStyle w:val="13"/>
            </w:pPr>
            <w:r>
              <w:t>二十七、债务还本支出</w:t>
            </w:r>
          </w:p>
        </w:tc>
        <w:tc>
          <w:tcPr>
            <w:tcW w:w="1474" w:type="dxa"/>
            <w:vAlign w:val="center"/>
          </w:tcPr>
          <w:p w14:paraId="6A45F630">
            <w:pPr>
              <w:pStyle w:val="14"/>
            </w:pPr>
          </w:p>
        </w:tc>
        <w:tc>
          <w:tcPr>
            <w:tcW w:w="1474" w:type="dxa"/>
            <w:vAlign w:val="center"/>
          </w:tcPr>
          <w:p w14:paraId="3A234535">
            <w:pPr>
              <w:pStyle w:val="14"/>
            </w:pPr>
          </w:p>
        </w:tc>
        <w:tc>
          <w:tcPr>
            <w:tcW w:w="1474" w:type="dxa"/>
            <w:vAlign w:val="center"/>
          </w:tcPr>
          <w:p w14:paraId="6671DE60">
            <w:pPr>
              <w:pStyle w:val="14"/>
            </w:pPr>
          </w:p>
        </w:tc>
        <w:tc>
          <w:tcPr>
            <w:tcW w:w="1474" w:type="dxa"/>
            <w:vAlign w:val="center"/>
          </w:tcPr>
          <w:p w14:paraId="35CFDD9B">
            <w:pPr>
              <w:pStyle w:val="14"/>
            </w:pPr>
          </w:p>
        </w:tc>
      </w:tr>
      <w:tr w14:paraId="0D167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6844B">
            <w:pPr>
              <w:pStyle w:val="12"/>
            </w:pPr>
            <w:r>
              <w:t>28</w:t>
            </w:r>
          </w:p>
        </w:tc>
        <w:tc>
          <w:tcPr>
            <w:tcW w:w="3402" w:type="dxa"/>
            <w:vAlign w:val="center"/>
          </w:tcPr>
          <w:p w14:paraId="4C036FE3">
            <w:pPr>
              <w:pStyle w:val="13"/>
            </w:pPr>
          </w:p>
        </w:tc>
        <w:tc>
          <w:tcPr>
            <w:tcW w:w="1474" w:type="dxa"/>
            <w:vAlign w:val="center"/>
          </w:tcPr>
          <w:p w14:paraId="13ECB54E">
            <w:pPr>
              <w:pStyle w:val="14"/>
            </w:pPr>
          </w:p>
        </w:tc>
        <w:tc>
          <w:tcPr>
            <w:tcW w:w="3402" w:type="dxa"/>
            <w:vAlign w:val="center"/>
          </w:tcPr>
          <w:p w14:paraId="4A92B984">
            <w:pPr>
              <w:pStyle w:val="13"/>
            </w:pPr>
            <w:r>
              <w:t>二十八、债务付息支出</w:t>
            </w:r>
          </w:p>
        </w:tc>
        <w:tc>
          <w:tcPr>
            <w:tcW w:w="1474" w:type="dxa"/>
            <w:vAlign w:val="center"/>
          </w:tcPr>
          <w:p w14:paraId="66246099">
            <w:pPr>
              <w:pStyle w:val="14"/>
            </w:pPr>
          </w:p>
        </w:tc>
        <w:tc>
          <w:tcPr>
            <w:tcW w:w="1474" w:type="dxa"/>
            <w:vAlign w:val="center"/>
          </w:tcPr>
          <w:p w14:paraId="7E6C530A">
            <w:pPr>
              <w:pStyle w:val="14"/>
            </w:pPr>
          </w:p>
        </w:tc>
        <w:tc>
          <w:tcPr>
            <w:tcW w:w="1474" w:type="dxa"/>
            <w:vAlign w:val="center"/>
          </w:tcPr>
          <w:p w14:paraId="3285EA63">
            <w:pPr>
              <w:pStyle w:val="14"/>
            </w:pPr>
          </w:p>
        </w:tc>
        <w:tc>
          <w:tcPr>
            <w:tcW w:w="1474" w:type="dxa"/>
            <w:vAlign w:val="center"/>
          </w:tcPr>
          <w:p w14:paraId="7BB20B54">
            <w:pPr>
              <w:pStyle w:val="14"/>
            </w:pPr>
          </w:p>
        </w:tc>
      </w:tr>
      <w:tr w14:paraId="67EC6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13A0E">
            <w:pPr>
              <w:pStyle w:val="12"/>
            </w:pPr>
            <w:r>
              <w:t>29</w:t>
            </w:r>
          </w:p>
        </w:tc>
        <w:tc>
          <w:tcPr>
            <w:tcW w:w="3402" w:type="dxa"/>
            <w:vAlign w:val="center"/>
          </w:tcPr>
          <w:p w14:paraId="57F21C4B">
            <w:pPr>
              <w:pStyle w:val="13"/>
            </w:pPr>
          </w:p>
        </w:tc>
        <w:tc>
          <w:tcPr>
            <w:tcW w:w="1474" w:type="dxa"/>
            <w:vAlign w:val="center"/>
          </w:tcPr>
          <w:p w14:paraId="72C63AFD">
            <w:pPr>
              <w:pStyle w:val="14"/>
            </w:pPr>
          </w:p>
        </w:tc>
        <w:tc>
          <w:tcPr>
            <w:tcW w:w="3402" w:type="dxa"/>
            <w:vAlign w:val="center"/>
          </w:tcPr>
          <w:p w14:paraId="5B349E93">
            <w:pPr>
              <w:pStyle w:val="13"/>
            </w:pPr>
            <w:r>
              <w:t>二十九、债务发行费用支出</w:t>
            </w:r>
          </w:p>
        </w:tc>
        <w:tc>
          <w:tcPr>
            <w:tcW w:w="1474" w:type="dxa"/>
            <w:vAlign w:val="center"/>
          </w:tcPr>
          <w:p w14:paraId="6039FADB">
            <w:pPr>
              <w:pStyle w:val="14"/>
            </w:pPr>
          </w:p>
        </w:tc>
        <w:tc>
          <w:tcPr>
            <w:tcW w:w="1474" w:type="dxa"/>
            <w:vAlign w:val="center"/>
          </w:tcPr>
          <w:p w14:paraId="3FB1EDA1">
            <w:pPr>
              <w:pStyle w:val="14"/>
            </w:pPr>
          </w:p>
        </w:tc>
        <w:tc>
          <w:tcPr>
            <w:tcW w:w="1474" w:type="dxa"/>
            <w:vAlign w:val="center"/>
          </w:tcPr>
          <w:p w14:paraId="24EA529A">
            <w:pPr>
              <w:pStyle w:val="14"/>
            </w:pPr>
          </w:p>
        </w:tc>
        <w:tc>
          <w:tcPr>
            <w:tcW w:w="1474" w:type="dxa"/>
            <w:vAlign w:val="center"/>
          </w:tcPr>
          <w:p w14:paraId="32B712D8">
            <w:pPr>
              <w:pStyle w:val="14"/>
            </w:pPr>
          </w:p>
        </w:tc>
      </w:tr>
      <w:tr w14:paraId="3ED9A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CE59F">
            <w:pPr>
              <w:pStyle w:val="12"/>
            </w:pPr>
            <w:r>
              <w:t>30</w:t>
            </w:r>
          </w:p>
        </w:tc>
        <w:tc>
          <w:tcPr>
            <w:tcW w:w="3402" w:type="dxa"/>
            <w:vAlign w:val="center"/>
          </w:tcPr>
          <w:p w14:paraId="71D6D032">
            <w:pPr>
              <w:pStyle w:val="13"/>
            </w:pPr>
          </w:p>
        </w:tc>
        <w:tc>
          <w:tcPr>
            <w:tcW w:w="1474" w:type="dxa"/>
            <w:vAlign w:val="center"/>
          </w:tcPr>
          <w:p w14:paraId="2FAFF47B">
            <w:pPr>
              <w:pStyle w:val="14"/>
            </w:pPr>
          </w:p>
        </w:tc>
        <w:tc>
          <w:tcPr>
            <w:tcW w:w="3402" w:type="dxa"/>
            <w:vAlign w:val="center"/>
          </w:tcPr>
          <w:p w14:paraId="163B54DF">
            <w:pPr>
              <w:pStyle w:val="13"/>
            </w:pPr>
            <w:r>
              <w:t>三十、抗疫特别国债安排的支出</w:t>
            </w:r>
          </w:p>
        </w:tc>
        <w:tc>
          <w:tcPr>
            <w:tcW w:w="1474" w:type="dxa"/>
            <w:vAlign w:val="center"/>
          </w:tcPr>
          <w:p w14:paraId="60CE0C2B">
            <w:pPr>
              <w:pStyle w:val="14"/>
            </w:pPr>
          </w:p>
        </w:tc>
        <w:tc>
          <w:tcPr>
            <w:tcW w:w="1474" w:type="dxa"/>
            <w:vAlign w:val="center"/>
          </w:tcPr>
          <w:p w14:paraId="293659D0">
            <w:pPr>
              <w:pStyle w:val="14"/>
            </w:pPr>
          </w:p>
        </w:tc>
        <w:tc>
          <w:tcPr>
            <w:tcW w:w="1474" w:type="dxa"/>
            <w:vAlign w:val="center"/>
          </w:tcPr>
          <w:p w14:paraId="054F5A1D">
            <w:pPr>
              <w:pStyle w:val="14"/>
            </w:pPr>
          </w:p>
        </w:tc>
        <w:tc>
          <w:tcPr>
            <w:tcW w:w="1474" w:type="dxa"/>
            <w:vAlign w:val="center"/>
          </w:tcPr>
          <w:p w14:paraId="624F4DE4">
            <w:pPr>
              <w:pStyle w:val="14"/>
            </w:pPr>
          </w:p>
        </w:tc>
      </w:tr>
      <w:tr w14:paraId="60CEC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74FE3">
            <w:pPr>
              <w:pStyle w:val="12"/>
            </w:pPr>
            <w:r>
              <w:t>31</w:t>
            </w:r>
          </w:p>
        </w:tc>
        <w:tc>
          <w:tcPr>
            <w:tcW w:w="3402" w:type="dxa"/>
            <w:vAlign w:val="center"/>
          </w:tcPr>
          <w:p w14:paraId="56944EB9">
            <w:pPr>
              <w:pStyle w:val="13"/>
            </w:pPr>
          </w:p>
        </w:tc>
        <w:tc>
          <w:tcPr>
            <w:tcW w:w="1474" w:type="dxa"/>
            <w:vAlign w:val="center"/>
          </w:tcPr>
          <w:p w14:paraId="1737B363">
            <w:pPr>
              <w:pStyle w:val="14"/>
            </w:pPr>
          </w:p>
        </w:tc>
        <w:tc>
          <w:tcPr>
            <w:tcW w:w="3402" w:type="dxa"/>
            <w:vAlign w:val="center"/>
          </w:tcPr>
          <w:p w14:paraId="77B79F1A">
            <w:pPr>
              <w:pStyle w:val="13"/>
            </w:pPr>
            <w:r>
              <w:t>三十一、人行科目</w:t>
            </w:r>
          </w:p>
        </w:tc>
        <w:tc>
          <w:tcPr>
            <w:tcW w:w="1474" w:type="dxa"/>
            <w:vAlign w:val="center"/>
          </w:tcPr>
          <w:p w14:paraId="68BA79EB">
            <w:pPr>
              <w:pStyle w:val="14"/>
            </w:pPr>
          </w:p>
        </w:tc>
        <w:tc>
          <w:tcPr>
            <w:tcW w:w="1474" w:type="dxa"/>
            <w:vAlign w:val="center"/>
          </w:tcPr>
          <w:p w14:paraId="049F958D">
            <w:pPr>
              <w:pStyle w:val="14"/>
            </w:pPr>
          </w:p>
        </w:tc>
        <w:tc>
          <w:tcPr>
            <w:tcW w:w="1474" w:type="dxa"/>
            <w:vAlign w:val="center"/>
          </w:tcPr>
          <w:p w14:paraId="6034D808">
            <w:pPr>
              <w:pStyle w:val="14"/>
            </w:pPr>
          </w:p>
        </w:tc>
        <w:tc>
          <w:tcPr>
            <w:tcW w:w="1474" w:type="dxa"/>
            <w:vAlign w:val="center"/>
          </w:tcPr>
          <w:p w14:paraId="79401F24">
            <w:pPr>
              <w:pStyle w:val="14"/>
            </w:pPr>
          </w:p>
        </w:tc>
      </w:tr>
      <w:tr w14:paraId="1BA4F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583F0">
            <w:pPr>
              <w:pStyle w:val="12"/>
            </w:pPr>
            <w:r>
              <w:t>32</w:t>
            </w:r>
          </w:p>
        </w:tc>
        <w:tc>
          <w:tcPr>
            <w:tcW w:w="3402" w:type="dxa"/>
            <w:vAlign w:val="center"/>
          </w:tcPr>
          <w:p w14:paraId="7010145F">
            <w:pPr>
              <w:pStyle w:val="15"/>
            </w:pPr>
            <w:r>
              <w:t>本年收入合计</w:t>
            </w:r>
          </w:p>
        </w:tc>
        <w:tc>
          <w:tcPr>
            <w:tcW w:w="1474" w:type="dxa"/>
            <w:vAlign w:val="center"/>
          </w:tcPr>
          <w:p w14:paraId="70BD9C1D">
            <w:pPr>
              <w:pStyle w:val="16"/>
            </w:pPr>
            <w:r>
              <w:t>242.20</w:t>
            </w:r>
          </w:p>
        </w:tc>
        <w:tc>
          <w:tcPr>
            <w:tcW w:w="3402" w:type="dxa"/>
            <w:vAlign w:val="center"/>
          </w:tcPr>
          <w:p w14:paraId="7607B73C">
            <w:pPr>
              <w:pStyle w:val="15"/>
            </w:pPr>
            <w:r>
              <w:t>本年支出合计</w:t>
            </w:r>
          </w:p>
        </w:tc>
        <w:tc>
          <w:tcPr>
            <w:tcW w:w="1474" w:type="dxa"/>
            <w:vAlign w:val="center"/>
          </w:tcPr>
          <w:p w14:paraId="32F2CC4E">
            <w:pPr>
              <w:pStyle w:val="16"/>
            </w:pPr>
            <w:r>
              <w:t>242.20</w:t>
            </w:r>
          </w:p>
        </w:tc>
        <w:tc>
          <w:tcPr>
            <w:tcW w:w="1474" w:type="dxa"/>
            <w:vAlign w:val="center"/>
          </w:tcPr>
          <w:p w14:paraId="6ECC0A74">
            <w:pPr>
              <w:pStyle w:val="16"/>
            </w:pPr>
            <w:r>
              <w:t>242.20</w:t>
            </w:r>
          </w:p>
        </w:tc>
        <w:tc>
          <w:tcPr>
            <w:tcW w:w="1474" w:type="dxa"/>
            <w:vAlign w:val="center"/>
          </w:tcPr>
          <w:p w14:paraId="68490525">
            <w:pPr>
              <w:pStyle w:val="16"/>
            </w:pPr>
          </w:p>
        </w:tc>
        <w:tc>
          <w:tcPr>
            <w:tcW w:w="1474" w:type="dxa"/>
            <w:vAlign w:val="center"/>
          </w:tcPr>
          <w:p w14:paraId="35EB42D2">
            <w:pPr>
              <w:pStyle w:val="16"/>
            </w:pPr>
          </w:p>
        </w:tc>
      </w:tr>
      <w:tr w14:paraId="3D043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272C6">
            <w:pPr>
              <w:pStyle w:val="12"/>
            </w:pPr>
            <w:r>
              <w:t>33</w:t>
            </w:r>
          </w:p>
        </w:tc>
        <w:tc>
          <w:tcPr>
            <w:tcW w:w="3402" w:type="dxa"/>
            <w:vAlign w:val="center"/>
          </w:tcPr>
          <w:p w14:paraId="0D9A8E10">
            <w:pPr>
              <w:pStyle w:val="13"/>
            </w:pPr>
            <w:r>
              <w:t>年初财政拨款结转和结余</w:t>
            </w:r>
          </w:p>
        </w:tc>
        <w:tc>
          <w:tcPr>
            <w:tcW w:w="1474" w:type="dxa"/>
            <w:vAlign w:val="center"/>
          </w:tcPr>
          <w:p w14:paraId="02647999">
            <w:pPr>
              <w:pStyle w:val="14"/>
            </w:pPr>
          </w:p>
        </w:tc>
        <w:tc>
          <w:tcPr>
            <w:tcW w:w="3402" w:type="dxa"/>
            <w:vAlign w:val="center"/>
          </w:tcPr>
          <w:p w14:paraId="254C2710">
            <w:pPr>
              <w:pStyle w:val="13"/>
            </w:pPr>
            <w:r>
              <w:t>年末财政拨款结转和结余</w:t>
            </w:r>
          </w:p>
        </w:tc>
        <w:tc>
          <w:tcPr>
            <w:tcW w:w="1474" w:type="dxa"/>
            <w:vAlign w:val="center"/>
          </w:tcPr>
          <w:p w14:paraId="38EF9D15">
            <w:pPr>
              <w:pStyle w:val="14"/>
            </w:pPr>
          </w:p>
        </w:tc>
        <w:tc>
          <w:tcPr>
            <w:tcW w:w="1474" w:type="dxa"/>
            <w:vAlign w:val="center"/>
          </w:tcPr>
          <w:p w14:paraId="6352B471">
            <w:pPr>
              <w:pStyle w:val="14"/>
            </w:pPr>
          </w:p>
        </w:tc>
        <w:tc>
          <w:tcPr>
            <w:tcW w:w="1474" w:type="dxa"/>
            <w:vAlign w:val="center"/>
          </w:tcPr>
          <w:p w14:paraId="1C68CD77">
            <w:pPr>
              <w:pStyle w:val="14"/>
            </w:pPr>
          </w:p>
        </w:tc>
        <w:tc>
          <w:tcPr>
            <w:tcW w:w="1474" w:type="dxa"/>
            <w:vAlign w:val="center"/>
          </w:tcPr>
          <w:p w14:paraId="36D8C9F0">
            <w:pPr>
              <w:pStyle w:val="14"/>
            </w:pPr>
          </w:p>
        </w:tc>
      </w:tr>
      <w:tr w14:paraId="66CA0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3D0EF">
            <w:pPr>
              <w:pStyle w:val="12"/>
            </w:pPr>
            <w:r>
              <w:t>34</w:t>
            </w:r>
          </w:p>
        </w:tc>
        <w:tc>
          <w:tcPr>
            <w:tcW w:w="3402" w:type="dxa"/>
            <w:vAlign w:val="center"/>
          </w:tcPr>
          <w:p w14:paraId="39AC683B">
            <w:pPr>
              <w:pStyle w:val="13"/>
            </w:pPr>
            <w:r>
              <w:t>一、一般公共预算拨款</w:t>
            </w:r>
          </w:p>
        </w:tc>
        <w:tc>
          <w:tcPr>
            <w:tcW w:w="1474" w:type="dxa"/>
            <w:vAlign w:val="center"/>
          </w:tcPr>
          <w:p w14:paraId="724F3E09">
            <w:pPr>
              <w:pStyle w:val="14"/>
            </w:pPr>
          </w:p>
        </w:tc>
        <w:tc>
          <w:tcPr>
            <w:tcW w:w="3402" w:type="dxa"/>
            <w:vAlign w:val="center"/>
          </w:tcPr>
          <w:p w14:paraId="1C5C9297">
            <w:pPr>
              <w:pStyle w:val="13"/>
            </w:pPr>
          </w:p>
        </w:tc>
        <w:tc>
          <w:tcPr>
            <w:tcW w:w="1474" w:type="dxa"/>
            <w:vAlign w:val="center"/>
          </w:tcPr>
          <w:p w14:paraId="6F0D4B50">
            <w:pPr>
              <w:pStyle w:val="14"/>
            </w:pPr>
          </w:p>
        </w:tc>
        <w:tc>
          <w:tcPr>
            <w:tcW w:w="1474" w:type="dxa"/>
            <w:vAlign w:val="center"/>
          </w:tcPr>
          <w:p w14:paraId="495D4309">
            <w:pPr>
              <w:pStyle w:val="14"/>
            </w:pPr>
          </w:p>
        </w:tc>
        <w:tc>
          <w:tcPr>
            <w:tcW w:w="1474" w:type="dxa"/>
            <w:vAlign w:val="center"/>
          </w:tcPr>
          <w:p w14:paraId="4B588DB2">
            <w:pPr>
              <w:pStyle w:val="14"/>
            </w:pPr>
          </w:p>
        </w:tc>
        <w:tc>
          <w:tcPr>
            <w:tcW w:w="1474" w:type="dxa"/>
            <w:vAlign w:val="center"/>
          </w:tcPr>
          <w:p w14:paraId="2A83EFAD">
            <w:pPr>
              <w:pStyle w:val="14"/>
            </w:pPr>
          </w:p>
        </w:tc>
      </w:tr>
      <w:tr w14:paraId="04D57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32A91">
            <w:pPr>
              <w:pStyle w:val="12"/>
            </w:pPr>
            <w:r>
              <w:t>35</w:t>
            </w:r>
          </w:p>
        </w:tc>
        <w:tc>
          <w:tcPr>
            <w:tcW w:w="3402" w:type="dxa"/>
            <w:vAlign w:val="center"/>
          </w:tcPr>
          <w:p w14:paraId="4C981C9F">
            <w:pPr>
              <w:pStyle w:val="13"/>
            </w:pPr>
            <w:r>
              <w:t>二、政府性基金预算拨款</w:t>
            </w:r>
          </w:p>
        </w:tc>
        <w:tc>
          <w:tcPr>
            <w:tcW w:w="1474" w:type="dxa"/>
            <w:vAlign w:val="center"/>
          </w:tcPr>
          <w:p w14:paraId="7536C934">
            <w:pPr>
              <w:pStyle w:val="14"/>
            </w:pPr>
          </w:p>
        </w:tc>
        <w:tc>
          <w:tcPr>
            <w:tcW w:w="3402" w:type="dxa"/>
            <w:vAlign w:val="center"/>
          </w:tcPr>
          <w:p w14:paraId="1B8A1EEC">
            <w:pPr>
              <w:pStyle w:val="13"/>
            </w:pPr>
          </w:p>
        </w:tc>
        <w:tc>
          <w:tcPr>
            <w:tcW w:w="1474" w:type="dxa"/>
            <w:vAlign w:val="center"/>
          </w:tcPr>
          <w:p w14:paraId="3470E957">
            <w:pPr>
              <w:pStyle w:val="14"/>
            </w:pPr>
          </w:p>
        </w:tc>
        <w:tc>
          <w:tcPr>
            <w:tcW w:w="1474" w:type="dxa"/>
            <w:vAlign w:val="center"/>
          </w:tcPr>
          <w:p w14:paraId="1CCA8BC6">
            <w:pPr>
              <w:pStyle w:val="14"/>
            </w:pPr>
          </w:p>
        </w:tc>
        <w:tc>
          <w:tcPr>
            <w:tcW w:w="1474" w:type="dxa"/>
            <w:vAlign w:val="center"/>
          </w:tcPr>
          <w:p w14:paraId="41A882A2">
            <w:pPr>
              <w:pStyle w:val="14"/>
            </w:pPr>
          </w:p>
        </w:tc>
        <w:tc>
          <w:tcPr>
            <w:tcW w:w="1474" w:type="dxa"/>
            <w:vAlign w:val="center"/>
          </w:tcPr>
          <w:p w14:paraId="04CED9CC">
            <w:pPr>
              <w:pStyle w:val="14"/>
            </w:pPr>
          </w:p>
        </w:tc>
      </w:tr>
      <w:tr w14:paraId="1EF3D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83541">
            <w:pPr>
              <w:pStyle w:val="12"/>
            </w:pPr>
            <w:r>
              <w:t>36</w:t>
            </w:r>
          </w:p>
        </w:tc>
        <w:tc>
          <w:tcPr>
            <w:tcW w:w="3402" w:type="dxa"/>
            <w:vAlign w:val="center"/>
          </w:tcPr>
          <w:p w14:paraId="06DB9DF3">
            <w:pPr>
              <w:pStyle w:val="13"/>
            </w:pPr>
            <w:r>
              <w:t>三、国有资本经营预算拨款</w:t>
            </w:r>
          </w:p>
        </w:tc>
        <w:tc>
          <w:tcPr>
            <w:tcW w:w="1474" w:type="dxa"/>
            <w:vAlign w:val="center"/>
          </w:tcPr>
          <w:p w14:paraId="50FAE73F">
            <w:pPr>
              <w:pStyle w:val="14"/>
            </w:pPr>
          </w:p>
        </w:tc>
        <w:tc>
          <w:tcPr>
            <w:tcW w:w="3402" w:type="dxa"/>
            <w:vAlign w:val="center"/>
          </w:tcPr>
          <w:p w14:paraId="7D03566E">
            <w:pPr>
              <w:pStyle w:val="13"/>
            </w:pPr>
          </w:p>
        </w:tc>
        <w:tc>
          <w:tcPr>
            <w:tcW w:w="1474" w:type="dxa"/>
            <w:vAlign w:val="center"/>
          </w:tcPr>
          <w:p w14:paraId="156DC84C">
            <w:pPr>
              <w:pStyle w:val="14"/>
            </w:pPr>
          </w:p>
        </w:tc>
        <w:tc>
          <w:tcPr>
            <w:tcW w:w="1474" w:type="dxa"/>
            <w:vAlign w:val="center"/>
          </w:tcPr>
          <w:p w14:paraId="27960896">
            <w:pPr>
              <w:pStyle w:val="14"/>
            </w:pPr>
          </w:p>
        </w:tc>
        <w:tc>
          <w:tcPr>
            <w:tcW w:w="1474" w:type="dxa"/>
            <w:vAlign w:val="center"/>
          </w:tcPr>
          <w:p w14:paraId="54E29814">
            <w:pPr>
              <w:pStyle w:val="14"/>
            </w:pPr>
          </w:p>
        </w:tc>
        <w:tc>
          <w:tcPr>
            <w:tcW w:w="1474" w:type="dxa"/>
            <w:vAlign w:val="center"/>
          </w:tcPr>
          <w:p w14:paraId="198BABDC">
            <w:pPr>
              <w:pStyle w:val="14"/>
            </w:pPr>
          </w:p>
        </w:tc>
      </w:tr>
      <w:tr w14:paraId="10A37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19F98">
            <w:pPr>
              <w:pStyle w:val="12"/>
            </w:pPr>
            <w:r>
              <w:t>37</w:t>
            </w:r>
          </w:p>
        </w:tc>
        <w:tc>
          <w:tcPr>
            <w:tcW w:w="3402" w:type="dxa"/>
            <w:vAlign w:val="center"/>
          </w:tcPr>
          <w:p w14:paraId="72FDEAE5">
            <w:pPr>
              <w:pStyle w:val="15"/>
            </w:pPr>
            <w:r>
              <w:t>收入总计</w:t>
            </w:r>
          </w:p>
        </w:tc>
        <w:tc>
          <w:tcPr>
            <w:tcW w:w="1474" w:type="dxa"/>
            <w:vAlign w:val="center"/>
          </w:tcPr>
          <w:p w14:paraId="256FAF2B">
            <w:pPr>
              <w:pStyle w:val="16"/>
            </w:pPr>
            <w:r>
              <w:t>242.20</w:t>
            </w:r>
          </w:p>
        </w:tc>
        <w:tc>
          <w:tcPr>
            <w:tcW w:w="3402" w:type="dxa"/>
            <w:vAlign w:val="center"/>
          </w:tcPr>
          <w:p w14:paraId="0D7D698C">
            <w:pPr>
              <w:pStyle w:val="15"/>
            </w:pPr>
            <w:r>
              <w:t>支出总计</w:t>
            </w:r>
          </w:p>
        </w:tc>
        <w:tc>
          <w:tcPr>
            <w:tcW w:w="1474" w:type="dxa"/>
            <w:vAlign w:val="center"/>
          </w:tcPr>
          <w:p w14:paraId="6E5DCF7B">
            <w:pPr>
              <w:pStyle w:val="16"/>
            </w:pPr>
            <w:r>
              <w:t>242.20</w:t>
            </w:r>
          </w:p>
        </w:tc>
        <w:tc>
          <w:tcPr>
            <w:tcW w:w="1474" w:type="dxa"/>
            <w:vAlign w:val="center"/>
          </w:tcPr>
          <w:p w14:paraId="0D2E60C8">
            <w:pPr>
              <w:pStyle w:val="16"/>
            </w:pPr>
            <w:r>
              <w:t>242.20</w:t>
            </w:r>
          </w:p>
        </w:tc>
        <w:tc>
          <w:tcPr>
            <w:tcW w:w="1474" w:type="dxa"/>
            <w:vAlign w:val="center"/>
          </w:tcPr>
          <w:p w14:paraId="5F301D69">
            <w:pPr>
              <w:pStyle w:val="16"/>
            </w:pPr>
          </w:p>
        </w:tc>
        <w:tc>
          <w:tcPr>
            <w:tcW w:w="1474" w:type="dxa"/>
            <w:vAlign w:val="center"/>
          </w:tcPr>
          <w:p w14:paraId="3DC9CB39">
            <w:pPr>
              <w:pStyle w:val="16"/>
            </w:pPr>
          </w:p>
        </w:tc>
      </w:tr>
    </w:tbl>
    <w:p w14:paraId="1F7FD056">
      <w:pPr>
        <w:sectPr>
          <w:pgSz w:w="16840" w:h="11900" w:orient="landscape"/>
          <w:pgMar w:top="1361" w:right="1020" w:bottom="1134" w:left="1020" w:header="720" w:footer="720" w:gutter="0"/>
          <w:cols w:space="720" w:num="1"/>
        </w:sectPr>
      </w:pPr>
    </w:p>
    <w:p w14:paraId="4E534F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735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A467D3">
            <w:pPr>
              <w:pStyle w:val="8"/>
            </w:pPr>
            <w:r>
              <w:t>360029隆尧县实验幼儿园</w:t>
            </w:r>
          </w:p>
        </w:tc>
        <w:tc>
          <w:tcPr>
            <w:tcW w:w="2551" w:type="dxa"/>
            <w:tcBorders>
              <w:top w:val="single" w:color="FFFFFF" w:sz="6" w:space="0"/>
              <w:left w:val="single" w:color="FFFFFF" w:sz="6" w:space="0"/>
              <w:right w:val="single" w:color="FFFFFF" w:sz="6" w:space="0"/>
            </w:tcBorders>
            <w:vAlign w:val="center"/>
          </w:tcPr>
          <w:p w14:paraId="7D18A03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49876B9">
            <w:pPr>
              <w:pStyle w:val="10"/>
            </w:pPr>
            <w:r>
              <w:t>单位：万元</w:t>
            </w:r>
          </w:p>
        </w:tc>
      </w:tr>
      <w:tr w14:paraId="7723D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9038B6">
            <w:pPr>
              <w:pStyle w:val="11"/>
            </w:pPr>
            <w:r>
              <w:t>序号</w:t>
            </w:r>
          </w:p>
        </w:tc>
        <w:tc>
          <w:tcPr>
            <w:tcW w:w="5726" w:type="dxa"/>
            <w:gridSpan w:val="2"/>
            <w:vAlign w:val="center"/>
          </w:tcPr>
          <w:p w14:paraId="2D39A087">
            <w:pPr>
              <w:pStyle w:val="11"/>
            </w:pPr>
            <w:r>
              <w:t>功能分类科目</w:t>
            </w:r>
          </w:p>
        </w:tc>
        <w:tc>
          <w:tcPr>
            <w:tcW w:w="2551" w:type="dxa"/>
            <w:vMerge w:val="restart"/>
            <w:vAlign w:val="center"/>
          </w:tcPr>
          <w:p w14:paraId="2820D716">
            <w:pPr>
              <w:pStyle w:val="11"/>
            </w:pPr>
            <w:r>
              <w:t>合计</w:t>
            </w:r>
          </w:p>
        </w:tc>
        <w:tc>
          <w:tcPr>
            <w:tcW w:w="2551" w:type="dxa"/>
            <w:vMerge w:val="restart"/>
            <w:vAlign w:val="center"/>
          </w:tcPr>
          <w:p w14:paraId="2CC090C5">
            <w:pPr>
              <w:pStyle w:val="11"/>
            </w:pPr>
            <w:r>
              <w:t>基本支出</w:t>
            </w:r>
          </w:p>
        </w:tc>
        <w:tc>
          <w:tcPr>
            <w:tcW w:w="2551" w:type="dxa"/>
            <w:vMerge w:val="restart"/>
            <w:vAlign w:val="center"/>
          </w:tcPr>
          <w:p w14:paraId="0E8D7143">
            <w:pPr>
              <w:pStyle w:val="11"/>
            </w:pPr>
            <w:r>
              <w:t>项目支出</w:t>
            </w:r>
          </w:p>
        </w:tc>
      </w:tr>
      <w:tr w14:paraId="7DE7F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7BF29C"/>
        </w:tc>
        <w:tc>
          <w:tcPr>
            <w:tcW w:w="1191" w:type="dxa"/>
            <w:vAlign w:val="center"/>
          </w:tcPr>
          <w:p w14:paraId="41908C19">
            <w:pPr>
              <w:pStyle w:val="11"/>
            </w:pPr>
            <w:r>
              <w:t>科目编码</w:t>
            </w:r>
          </w:p>
        </w:tc>
        <w:tc>
          <w:tcPr>
            <w:tcW w:w="4535" w:type="dxa"/>
            <w:vAlign w:val="center"/>
          </w:tcPr>
          <w:p w14:paraId="2B440944">
            <w:pPr>
              <w:pStyle w:val="11"/>
            </w:pPr>
            <w:r>
              <w:t>科目名称</w:t>
            </w:r>
          </w:p>
        </w:tc>
        <w:tc>
          <w:tcPr>
            <w:tcW w:w="2551" w:type="dxa"/>
            <w:vMerge w:val="continue"/>
          </w:tcPr>
          <w:p w14:paraId="5712C9EB"/>
        </w:tc>
        <w:tc>
          <w:tcPr>
            <w:tcW w:w="2551" w:type="dxa"/>
            <w:vMerge w:val="continue"/>
          </w:tcPr>
          <w:p w14:paraId="0AD840C1"/>
        </w:tc>
        <w:tc>
          <w:tcPr>
            <w:tcW w:w="2551" w:type="dxa"/>
            <w:vMerge w:val="continue"/>
          </w:tcPr>
          <w:p w14:paraId="1467CCFA"/>
        </w:tc>
      </w:tr>
      <w:tr w14:paraId="6ABBB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7B9EBC">
            <w:pPr>
              <w:pStyle w:val="11"/>
            </w:pPr>
            <w:r>
              <w:t>栏次</w:t>
            </w:r>
          </w:p>
        </w:tc>
        <w:tc>
          <w:tcPr>
            <w:tcW w:w="1191" w:type="dxa"/>
            <w:vAlign w:val="center"/>
          </w:tcPr>
          <w:p w14:paraId="5FED0581">
            <w:pPr>
              <w:pStyle w:val="11"/>
            </w:pPr>
            <w:r>
              <w:t>1</w:t>
            </w:r>
          </w:p>
        </w:tc>
        <w:tc>
          <w:tcPr>
            <w:tcW w:w="4535" w:type="dxa"/>
            <w:vAlign w:val="center"/>
          </w:tcPr>
          <w:p w14:paraId="73635850">
            <w:pPr>
              <w:pStyle w:val="11"/>
            </w:pPr>
            <w:r>
              <w:t>2</w:t>
            </w:r>
          </w:p>
        </w:tc>
        <w:tc>
          <w:tcPr>
            <w:tcW w:w="2551" w:type="dxa"/>
            <w:vAlign w:val="center"/>
          </w:tcPr>
          <w:p w14:paraId="542FC093">
            <w:pPr>
              <w:pStyle w:val="11"/>
            </w:pPr>
            <w:r>
              <w:t>3</w:t>
            </w:r>
          </w:p>
        </w:tc>
        <w:tc>
          <w:tcPr>
            <w:tcW w:w="2551" w:type="dxa"/>
            <w:vAlign w:val="center"/>
          </w:tcPr>
          <w:p w14:paraId="76044DD6">
            <w:pPr>
              <w:pStyle w:val="11"/>
            </w:pPr>
            <w:r>
              <w:t>4</w:t>
            </w:r>
          </w:p>
        </w:tc>
        <w:tc>
          <w:tcPr>
            <w:tcW w:w="2551" w:type="dxa"/>
            <w:vAlign w:val="center"/>
          </w:tcPr>
          <w:p w14:paraId="39964F9B">
            <w:pPr>
              <w:pStyle w:val="11"/>
            </w:pPr>
            <w:r>
              <w:t>5</w:t>
            </w:r>
          </w:p>
        </w:tc>
      </w:tr>
      <w:tr w14:paraId="07788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E15CD">
            <w:pPr>
              <w:pStyle w:val="12"/>
            </w:pPr>
            <w:r>
              <w:t>1</w:t>
            </w:r>
          </w:p>
        </w:tc>
        <w:tc>
          <w:tcPr>
            <w:tcW w:w="1191" w:type="dxa"/>
            <w:vAlign w:val="center"/>
          </w:tcPr>
          <w:p w14:paraId="56983582">
            <w:pPr>
              <w:pStyle w:val="17"/>
            </w:pPr>
          </w:p>
        </w:tc>
        <w:tc>
          <w:tcPr>
            <w:tcW w:w="4535" w:type="dxa"/>
            <w:vAlign w:val="center"/>
          </w:tcPr>
          <w:p w14:paraId="074D0123">
            <w:pPr>
              <w:pStyle w:val="15"/>
            </w:pPr>
            <w:r>
              <w:t>合计</w:t>
            </w:r>
          </w:p>
        </w:tc>
        <w:tc>
          <w:tcPr>
            <w:tcW w:w="2551" w:type="dxa"/>
            <w:vAlign w:val="center"/>
          </w:tcPr>
          <w:p w14:paraId="72F1480D">
            <w:pPr>
              <w:pStyle w:val="16"/>
            </w:pPr>
            <w:r>
              <w:t>242.20</w:t>
            </w:r>
          </w:p>
        </w:tc>
        <w:tc>
          <w:tcPr>
            <w:tcW w:w="2551" w:type="dxa"/>
            <w:vAlign w:val="center"/>
          </w:tcPr>
          <w:p w14:paraId="70A80C45">
            <w:pPr>
              <w:pStyle w:val="16"/>
            </w:pPr>
            <w:r>
              <w:t>242.20</w:t>
            </w:r>
          </w:p>
        </w:tc>
        <w:tc>
          <w:tcPr>
            <w:tcW w:w="2551" w:type="dxa"/>
            <w:vAlign w:val="center"/>
          </w:tcPr>
          <w:p w14:paraId="503F908C">
            <w:pPr>
              <w:pStyle w:val="16"/>
            </w:pPr>
          </w:p>
        </w:tc>
      </w:tr>
      <w:tr w14:paraId="088F0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408C2">
            <w:pPr>
              <w:pStyle w:val="12"/>
            </w:pPr>
            <w:r>
              <w:t>2</w:t>
            </w:r>
          </w:p>
        </w:tc>
        <w:tc>
          <w:tcPr>
            <w:tcW w:w="1191" w:type="dxa"/>
            <w:vAlign w:val="center"/>
          </w:tcPr>
          <w:p w14:paraId="5ED02E02">
            <w:pPr>
              <w:pStyle w:val="13"/>
            </w:pPr>
            <w:r>
              <w:t>205</w:t>
            </w:r>
          </w:p>
        </w:tc>
        <w:tc>
          <w:tcPr>
            <w:tcW w:w="4535" w:type="dxa"/>
            <w:vAlign w:val="center"/>
          </w:tcPr>
          <w:p w14:paraId="69EE499D">
            <w:pPr>
              <w:pStyle w:val="13"/>
            </w:pPr>
            <w:r>
              <w:t>教育支出</w:t>
            </w:r>
          </w:p>
        </w:tc>
        <w:tc>
          <w:tcPr>
            <w:tcW w:w="2551" w:type="dxa"/>
            <w:vAlign w:val="center"/>
          </w:tcPr>
          <w:p w14:paraId="0B929CB6">
            <w:pPr>
              <w:pStyle w:val="14"/>
            </w:pPr>
            <w:r>
              <w:t>242.20</w:t>
            </w:r>
          </w:p>
        </w:tc>
        <w:tc>
          <w:tcPr>
            <w:tcW w:w="2551" w:type="dxa"/>
            <w:vAlign w:val="center"/>
          </w:tcPr>
          <w:p w14:paraId="18D784BB">
            <w:pPr>
              <w:pStyle w:val="14"/>
            </w:pPr>
            <w:r>
              <w:t>242.20</w:t>
            </w:r>
          </w:p>
        </w:tc>
        <w:tc>
          <w:tcPr>
            <w:tcW w:w="2551" w:type="dxa"/>
            <w:vAlign w:val="center"/>
          </w:tcPr>
          <w:p w14:paraId="3D1B767C">
            <w:pPr>
              <w:pStyle w:val="14"/>
            </w:pPr>
          </w:p>
        </w:tc>
      </w:tr>
      <w:tr w14:paraId="75283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C0F77">
            <w:pPr>
              <w:pStyle w:val="12"/>
            </w:pPr>
            <w:r>
              <w:t>3</w:t>
            </w:r>
          </w:p>
        </w:tc>
        <w:tc>
          <w:tcPr>
            <w:tcW w:w="1191" w:type="dxa"/>
            <w:vAlign w:val="center"/>
          </w:tcPr>
          <w:p w14:paraId="1386D748">
            <w:pPr>
              <w:pStyle w:val="13"/>
            </w:pPr>
            <w:r>
              <w:t>20502</w:t>
            </w:r>
          </w:p>
        </w:tc>
        <w:tc>
          <w:tcPr>
            <w:tcW w:w="4535" w:type="dxa"/>
            <w:vAlign w:val="center"/>
          </w:tcPr>
          <w:p w14:paraId="03A96C49">
            <w:pPr>
              <w:pStyle w:val="13"/>
            </w:pPr>
            <w:r>
              <w:t>普通教育</w:t>
            </w:r>
          </w:p>
        </w:tc>
        <w:tc>
          <w:tcPr>
            <w:tcW w:w="2551" w:type="dxa"/>
            <w:vAlign w:val="center"/>
          </w:tcPr>
          <w:p w14:paraId="4B581211">
            <w:pPr>
              <w:pStyle w:val="14"/>
            </w:pPr>
            <w:r>
              <w:t>242.20</w:t>
            </w:r>
          </w:p>
        </w:tc>
        <w:tc>
          <w:tcPr>
            <w:tcW w:w="2551" w:type="dxa"/>
            <w:vAlign w:val="center"/>
          </w:tcPr>
          <w:p w14:paraId="6C74DDC0">
            <w:pPr>
              <w:pStyle w:val="14"/>
            </w:pPr>
            <w:r>
              <w:t>242.20</w:t>
            </w:r>
          </w:p>
        </w:tc>
        <w:tc>
          <w:tcPr>
            <w:tcW w:w="2551" w:type="dxa"/>
            <w:vAlign w:val="center"/>
          </w:tcPr>
          <w:p w14:paraId="4EDD55C4">
            <w:pPr>
              <w:pStyle w:val="14"/>
            </w:pPr>
          </w:p>
        </w:tc>
      </w:tr>
      <w:tr w14:paraId="18007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9DE29">
            <w:pPr>
              <w:pStyle w:val="12"/>
            </w:pPr>
            <w:r>
              <w:t>4</w:t>
            </w:r>
          </w:p>
        </w:tc>
        <w:tc>
          <w:tcPr>
            <w:tcW w:w="1191" w:type="dxa"/>
            <w:vAlign w:val="center"/>
          </w:tcPr>
          <w:p w14:paraId="78AED766">
            <w:pPr>
              <w:pStyle w:val="13"/>
            </w:pPr>
            <w:r>
              <w:t>2050201</w:t>
            </w:r>
          </w:p>
        </w:tc>
        <w:tc>
          <w:tcPr>
            <w:tcW w:w="4535" w:type="dxa"/>
            <w:vAlign w:val="center"/>
          </w:tcPr>
          <w:p w14:paraId="2879781C">
            <w:pPr>
              <w:pStyle w:val="13"/>
            </w:pPr>
            <w:r>
              <w:t>学前教育</w:t>
            </w:r>
          </w:p>
        </w:tc>
        <w:tc>
          <w:tcPr>
            <w:tcW w:w="2551" w:type="dxa"/>
            <w:vAlign w:val="center"/>
          </w:tcPr>
          <w:p w14:paraId="5ACD6363">
            <w:pPr>
              <w:pStyle w:val="14"/>
            </w:pPr>
            <w:r>
              <w:t>242.20</w:t>
            </w:r>
          </w:p>
        </w:tc>
        <w:tc>
          <w:tcPr>
            <w:tcW w:w="2551" w:type="dxa"/>
            <w:vAlign w:val="center"/>
          </w:tcPr>
          <w:p w14:paraId="5C8050ED">
            <w:pPr>
              <w:pStyle w:val="14"/>
            </w:pPr>
            <w:r>
              <w:t>242.20</w:t>
            </w:r>
          </w:p>
        </w:tc>
        <w:tc>
          <w:tcPr>
            <w:tcW w:w="2551" w:type="dxa"/>
            <w:vAlign w:val="center"/>
          </w:tcPr>
          <w:p w14:paraId="4D40ABA1">
            <w:pPr>
              <w:pStyle w:val="14"/>
            </w:pPr>
          </w:p>
        </w:tc>
      </w:tr>
    </w:tbl>
    <w:p w14:paraId="2D4B66BF">
      <w:pPr>
        <w:sectPr>
          <w:pgSz w:w="16840" w:h="11900" w:orient="landscape"/>
          <w:pgMar w:top="1361" w:right="1020" w:bottom="1134" w:left="1020" w:header="720" w:footer="720" w:gutter="0"/>
          <w:cols w:space="720" w:num="1"/>
        </w:sectPr>
      </w:pPr>
    </w:p>
    <w:p w14:paraId="01AD03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D66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E046BE">
            <w:pPr>
              <w:pStyle w:val="8"/>
            </w:pPr>
            <w:r>
              <w:t>360029隆尧县实验幼儿园</w:t>
            </w:r>
          </w:p>
        </w:tc>
        <w:tc>
          <w:tcPr>
            <w:tcW w:w="2551" w:type="dxa"/>
            <w:tcBorders>
              <w:top w:val="single" w:color="FFFFFF" w:sz="6" w:space="0"/>
              <w:left w:val="single" w:color="FFFFFF" w:sz="6" w:space="0"/>
              <w:right w:val="single" w:color="FFFFFF" w:sz="6" w:space="0"/>
            </w:tcBorders>
            <w:vAlign w:val="center"/>
          </w:tcPr>
          <w:p w14:paraId="1106699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A434598">
            <w:pPr>
              <w:pStyle w:val="10"/>
            </w:pPr>
            <w:r>
              <w:t>单位：万元</w:t>
            </w:r>
          </w:p>
        </w:tc>
      </w:tr>
      <w:tr w14:paraId="2C019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A133F">
            <w:pPr>
              <w:pStyle w:val="11"/>
            </w:pPr>
            <w:r>
              <w:t>序号</w:t>
            </w:r>
          </w:p>
        </w:tc>
        <w:tc>
          <w:tcPr>
            <w:tcW w:w="5726" w:type="dxa"/>
            <w:gridSpan w:val="2"/>
            <w:vAlign w:val="center"/>
          </w:tcPr>
          <w:p w14:paraId="1C9E19A6">
            <w:pPr>
              <w:pStyle w:val="11"/>
            </w:pPr>
            <w:r>
              <w:t>支出部门经济分类科目</w:t>
            </w:r>
          </w:p>
        </w:tc>
        <w:tc>
          <w:tcPr>
            <w:tcW w:w="7653" w:type="dxa"/>
            <w:gridSpan w:val="3"/>
            <w:vAlign w:val="center"/>
          </w:tcPr>
          <w:p w14:paraId="53217D3C">
            <w:pPr>
              <w:pStyle w:val="11"/>
            </w:pPr>
            <w:r>
              <w:t>一般公共预算基本支出</w:t>
            </w:r>
          </w:p>
        </w:tc>
      </w:tr>
      <w:tr w14:paraId="62EA3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04C2C"/>
        </w:tc>
        <w:tc>
          <w:tcPr>
            <w:tcW w:w="1191" w:type="dxa"/>
            <w:vAlign w:val="center"/>
          </w:tcPr>
          <w:p w14:paraId="00EFCEED">
            <w:pPr>
              <w:pStyle w:val="11"/>
            </w:pPr>
            <w:r>
              <w:t>科目编码</w:t>
            </w:r>
          </w:p>
        </w:tc>
        <w:tc>
          <w:tcPr>
            <w:tcW w:w="4535" w:type="dxa"/>
            <w:vAlign w:val="center"/>
          </w:tcPr>
          <w:p w14:paraId="07B274A3">
            <w:pPr>
              <w:pStyle w:val="11"/>
            </w:pPr>
            <w:r>
              <w:t>科目名称</w:t>
            </w:r>
          </w:p>
        </w:tc>
        <w:tc>
          <w:tcPr>
            <w:tcW w:w="2551" w:type="dxa"/>
            <w:vAlign w:val="center"/>
          </w:tcPr>
          <w:p w14:paraId="702B6173">
            <w:pPr>
              <w:pStyle w:val="11"/>
            </w:pPr>
            <w:r>
              <w:t>合计</w:t>
            </w:r>
          </w:p>
        </w:tc>
        <w:tc>
          <w:tcPr>
            <w:tcW w:w="2551" w:type="dxa"/>
            <w:vAlign w:val="center"/>
          </w:tcPr>
          <w:p w14:paraId="51977194">
            <w:pPr>
              <w:pStyle w:val="11"/>
            </w:pPr>
            <w:r>
              <w:t>人员经费</w:t>
            </w:r>
          </w:p>
        </w:tc>
        <w:tc>
          <w:tcPr>
            <w:tcW w:w="2551" w:type="dxa"/>
            <w:vAlign w:val="center"/>
          </w:tcPr>
          <w:p w14:paraId="101E75AE">
            <w:pPr>
              <w:pStyle w:val="11"/>
            </w:pPr>
            <w:r>
              <w:t>公用经费</w:t>
            </w:r>
          </w:p>
        </w:tc>
      </w:tr>
      <w:tr w14:paraId="6C9AB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809D9">
            <w:pPr>
              <w:pStyle w:val="11"/>
            </w:pPr>
            <w:r>
              <w:t>栏次</w:t>
            </w:r>
          </w:p>
        </w:tc>
        <w:tc>
          <w:tcPr>
            <w:tcW w:w="1191" w:type="dxa"/>
            <w:vAlign w:val="center"/>
          </w:tcPr>
          <w:p w14:paraId="32C271D0">
            <w:pPr>
              <w:pStyle w:val="11"/>
            </w:pPr>
            <w:r>
              <w:t>1</w:t>
            </w:r>
          </w:p>
        </w:tc>
        <w:tc>
          <w:tcPr>
            <w:tcW w:w="4535" w:type="dxa"/>
            <w:vAlign w:val="center"/>
          </w:tcPr>
          <w:p w14:paraId="4A6C8817">
            <w:pPr>
              <w:pStyle w:val="11"/>
            </w:pPr>
            <w:r>
              <w:t>2</w:t>
            </w:r>
          </w:p>
        </w:tc>
        <w:tc>
          <w:tcPr>
            <w:tcW w:w="2551" w:type="dxa"/>
            <w:vAlign w:val="center"/>
          </w:tcPr>
          <w:p w14:paraId="66B145A7">
            <w:pPr>
              <w:pStyle w:val="11"/>
            </w:pPr>
            <w:r>
              <w:t>3</w:t>
            </w:r>
          </w:p>
        </w:tc>
        <w:tc>
          <w:tcPr>
            <w:tcW w:w="2551" w:type="dxa"/>
            <w:vAlign w:val="center"/>
          </w:tcPr>
          <w:p w14:paraId="39F6A5AA">
            <w:pPr>
              <w:pStyle w:val="11"/>
            </w:pPr>
            <w:r>
              <w:t>4</w:t>
            </w:r>
          </w:p>
        </w:tc>
        <w:tc>
          <w:tcPr>
            <w:tcW w:w="2551" w:type="dxa"/>
            <w:vAlign w:val="center"/>
          </w:tcPr>
          <w:p w14:paraId="5CF5D34A">
            <w:pPr>
              <w:pStyle w:val="11"/>
            </w:pPr>
            <w:r>
              <w:t>5</w:t>
            </w:r>
          </w:p>
        </w:tc>
      </w:tr>
      <w:tr w14:paraId="1382B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4D08F">
            <w:pPr>
              <w:pStyle w:val="12"/>
            </w:pPr>
            <w:r>
              <w:t>1</w:t>
            </w:r>
          </w:p>
        </w:tc>
        <w:tc>
          <w:tcPr>
            <w:tcW w:w="1191" w:type="dxa"/>
            <w:vAlign w:val="center"/>
          </w:tcPr>
          <w:p w14:paraId="1A5A95D9">
            <w:pPr>
              <w:pStyle w:val="17"/>
            </w:pPr>
          </w:p>
        </w:tc>
        <w:tc>
          <w:tcPr>
            <w:tcW w:w="4535" w:type="dxa"/>
            <w:vAlign w:val="center"/>
          </w:tcPr>
          <w:p w14:paraId="394216A3">
            <w:pPr>
              <w:pStyle w:val="15"/>
            </w:pPr>
            <w:r>
              <w:t>合计</w:t>
            </w:r>
          </w:p>
        </w:tc>
        <w:tc>
          <w:tcPr>
            <w:tcW w:w="2551" w:type="dxa"/>
            <w:vAlign w:val="center"/>
          </w:tcPr>
          <w:p w14:paraId="596FB976">
            <w:pPr>
              <w:pStyle w:val="16"/>
            </w:pPr>
            <w:r>
              <w:t>242.20</w:t>
            </w:r>
          </w:p>
        </w:tc>
        <w:tc>
          <w:tcPr>
            <w:tcW w:w="2551" w:type="dxa"/>
            <w:vAlign w:val="center"/>
          </w:tcPr>
          <w:p w14:paraId="215DC51F">
            <w:pPr>
              <w:pStyle w:val="16"/>
            </w:pPr>
            <w:r>
              <w:t>242.20</w:t>
            </w:r>
          </w:p>
        </w:tc>
        <w:tc>
          <w:tcPr>
            <w:tcW w:w="2551" w:type="dxa"/>
            <w:vAlign w:val="center"/>
          </w:tcPr>
          <w:p w14:paraId="5A43A842">
            <w:pPr>
              <w:pStyle w:val="16"/>
            </w:pPr>
          </w:p>
        </w:tc>
      </w:tr>
      <w:tr w14:paraId="65705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E2536">
            <w:pPr>
              <w:pStyle w:val="12"/>
            </w:pPr>
            <w:r>
              <w:t>2</w:t>
            </w:r>
          </w:p>
        </w:tc>
        <w:tc>
          <w:tcPr>
            <w:tcW w:w="1191" w:type="dxa"/>
            <w:vAlign w:val="center"/>
          </w:tcPr>
          <w:p w14:paraId="147F660F">
            <w:pPr>
              <w:pStyle w:val="13"/>
            </w:pPr>
            <w:r>
              <w:t>301</w:t>
            </w:r>
          </w:p>
        </w:tc>
        <w:tc>
          <w:tcPr>
            <w:tcW w:w="4535" w:type="dxa"/>
            <w:vAlign w:val="center"/>
          </w:tcPr>
          <w:p w14:paraId="6FBA7950">
            <w:pPr>
              <w:pStyle w:val="13"/>
            </w:pPr>
            <w:r>
              <w:t>工资福利支出</w:t>
            </w:r>
          </w:p>
        </w:tc>
        <w:tc>
          <w:tcPr>
            <w:tcW w:w="2551" w:type="dxa"/>
            <w:vAlign w:val="center"/>
          </w:tcPr>
          <w:p w14:paraId="7AEEAC61">
            <w:pPr>
              <w:pStyle w:val="14"/>
            </w:pPr>
            <w:r>
              <w:t>242.20</w:t>
            </w:r>
          </w:p>
        </w:tc>
        <w:tc>
          <w:tcPr>
            <w:tcW w:w="2551" w:type="dxa"/>
            <w:vAlign w:val="center"/>
          </w:tcPr>
          <w:p w14:paraId="3DC04F13">
            <w:pPr>
              <w:pStyle w:val="14"/>
            </w:pPr>
            <w:r>
              <w:t>242.20</w:t>
            </w:r>
          </w:p>
        </w:tc>
        <w:tc>
          <w:tcPr>
            <w:tcW w:w="2551" w:type="dxa"/>
            <w:vAlign w:val="center"/>
          </w:tcPr>
          <w:p w14:paraId="6EE3CF45">
            <w:pPr>
              <w:pStyle w:val="14"/>
            </w:pPr>
          </w:p>
        </w:tc>
      </w:tr>
      <w:tr w14:paraId="57E09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FB650">
            <w:pPr>
              <w:pStyle w:val="12"/>
            </w:pPr>
            <w:r>
              <w:t>3</w:t>
            </w:r>
          </w:p>
        </w:tc>
        <w:tc>
          <w:tcPr>
            <w:tcW w:w="1191" w:type="dxa"/>
            <w:vAlign w:val="center"/>
          </w:tcPr>
          <w:p w14:paraId="66A8F49B">
            <w:pPr>
              <w:pStyle w:val="13"/>
            </w:pPr>
            <w:r>
              <w:t>30101</w:t>
            </w:r>
          </w:p>
        </w:tc>
        <w:tc>
          <w:tcPr>
            <w:tcW w:w="4535" w:type="dxa"/>
            <w:vAlign w:val="center"/>
          </w:tcPr>
          <w:p w14:paraId="51BCB764">
            <w:pPr>
              <w:pStyle w:val="13"/>
            </w:pPr>
            <w:r>
              <w:t>基本工资</w:t>
            </w:r>
          </w:p>
        </w:tc>
        <w:tc>
          <w:tcPr>
            <w:tcW w:w="2551" w:type="dxa"/>
            <w:vAlign w:val="center"/>
          </w:tcPr>
          <w:p w14:paraId="06945045">
            <w:pPr>
              <w:pStyle w:val="14"/>
            </w:pPr>
            <w:r>
              <w:t>107.20</w:t>
            </w:r>
          </w:p>
        </w:tc>
        <w:tc>
          <w:tcPr>
            <w:tcW w:w="2551" w:type="dxa"/>
            <w:vAlign w:val="center"/>
          </w:tcPr>
          <w:p w14:paraId="6F720699">
            <w:pPr>
              <w:pStyle w:val="14"/>
            </w:pPr>
            <w:r>
              <w:t>107.20</w:t>
            </w:r>
          </w:p>
        </w:tc>
        <w:tc>
          <w:tcPr>
            <w:tcW w:w="2551" w:type="dxa"/>
            <w:vAlign w:val="center"/>
          </w:tcPr>
          <w:p w14:paraId="133D6EF6">
            <w:pPr>
              <w:pStyle w:val="14"/>
            </w:pPr>
          </w:p>
        </w:tc>
      </w:tr>
      <w:tr w14:paraId="778E7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75831">
            <w:pPr>
              <w:pStyle w:val="12"/>
            </w:pPr>
            <w:r>
              <w:t>4</w:t>
            </w:r>
          </w:p>
        </w:tc>
        <w:tc>
          <w:tcPr>
            <w:tcW w:w="1191" w:type="dxa"/>
            <w:vAlign w:val="center"/>
          </w:tcPr>
          <w:p w14:paraId="43D56FA7">
            <w:pPr>
              <w:pStyle w:val="13"/>
            </w:pPr>
            <w:r>
              <w:t>30102</w:t>
            </w:r>
          </w:p>
        </w:tc>
        <w:tc>
          <w:tcPr>
            <w:tcW w:w="4535" w:type="dxa"/>
            <w:vAlign w:val="center"/>
          </w:tcPr>
          <w:p w14:paraId="4130E0D1">
            <w:pPr>
              <w:pStyle w:val="13"/>
            </w:pPr>
            <w:r>
              <w:t>津贴补贴</w:t>
            </w:r>
          </w:p>
        </w:tc>
        <w:tc>
          <w:tcPr>
            <w:tcW w:w="2551" w:type="dxa"/>
            <w:vAlign w:val="center"/>
          </w:tcPr>
          <w:p w14:paraId="328B4311">
            <w:pPr>
              <w:pStyle w:val="14"/>
            </w:pPr>
            <w:r>
              <w:t>4.08</w:t>
            </w:r>
          </w:p>
        </w:tc>
        <w:tc>
          <w:tcPr>
            <w:tcW w:w="2551" w:type="dxa"/>
            <w:vAlign w:val="center"/>
          </w:tcPr>
          <w:p w14:paraId="161F658D">
            <w:pPr>
              <w:pStyle w:val="14"/>
            </w:pPr>
            <w:r>
              <w:t>4.08</w:t>
            </w:r>
          </w:p>
        </w:tc>
        <w:tc>
          <w:tcPr>
            <w:tcW w:w="2551" w:type="dxa"/>
            <w:vAlign w:val="center"/>
          </w:tcPr>
          <w:p w14:paraId="788A2AC4">
            <w:pPr>
              <w:pStyle w:val="14"/>
            </w:pPr>
          </w:p>
        </w:tc>
      </w:tr>
      <w:tr w14:paraId="02BEE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AA6EE85">
            <w:pPr>
              <w:pStyle w:val="12"/>
            </w:pPr>
            <w:r>
              <w:t>5</w:t>
            </w:r>
          </w:p>
        </w:tc>
        <w:tc>
          <w:tcPr>
            <w:tcW w:w="1191" w:type="dxa"/>
            <w:vAlign w:val="center"/>
          </w:tcPr>
          <w:p w14:paraId="3641AD90">
            <w:pPr>
              <w:pStyle w:val="13"/>
            </w:pPr>
            <w:r>
              <w:t>30107</w:t>
            </w:r>
          </w:p>
        </w:tc>
        <w:tc>
          <w:tcPr>
            <w:tcW w:w="4535" w:type="dxa"/>
            <w:vAlign w:val="center"/>
          </w:tcPr>
          <w:p w14:paraId="347363BF">
            <w:pPr>
              <w:pStyle w:val="13"/>
            </w:pPr>
            <w:r>
              <w:t>绩效工资</w:t>
            </w:r>
          </w:p>
        </w:tc>
        <w:tc>
          <w:tcPr>
            <w:tcW w:w="2551" w:type="dxa"/>
            <w:vAlign w:val="center"/>
          </w:tcPr>
          <w:p w14:paraId="005E03C4">
            <w:pPr>
              <w:pStyle w:val="14"/>
            </w:pPr>
            <w:r>
              <w:t>69.60</w:t>
            </w:r>
          </w:p>
        </w:tc>
        <w:tc>
          <w:tcPr>
            <w:tcW w:w="2551" w:type="dxa"/>
            <w:vAlign w:val="center"/>
          </w:tcPr>
          <w:p w14:paraId="7BCC5C4E">
            <w:pPr>
              <w:pStyle w:val="14"/>
            </w:pPr>
            <w:r>
              <w:t>69.60</w:t>
            </w:r>
          </w:p>
        </w:tc>
        <w:tc>
          <w:tcPr>
            <w:tcW w:w="2551" w:type="dxa"/>
            <w:vAlign w:val="center"/>
          </w:tcPr>
          <w:p w14:paraId="48FEA11D">
            <w:pPr>
              <w:pStyle w:val="14"/>
            </w:pPr>
          </w:p>
        </w:tc>
      </w:tr>
      <w:tr w14:paraId="10811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91BB2">
            <w:pPr>
              <w:pStyle w:val="12"/>
            </w:pPr>
            <w:r>
              <w:t>6</w:t>
            </w:r>
          </w:p>
        </w:tc>
        <w:tc>
          <w:tcPr>
            <w:tcW w:w="1191" w:type="dxa"/>
            <w:vAlign w:val="center"/>
          </w:tcPr>
          <w:p w14:paraId="06508F75">
            <w:pPr>
              <w:pStyle w:val="13"/>
            </w:pPr>
            <w:r>
              <w:t>30108</w:t>
            </w:r>
          </w:p>
        </w:tc>
        <w:tc>
          <w:tcPr>
            <w:tcW w:w="4535" w:type="dxa"/>
            <w:vAlign w:val="center"/>
          </w:tcPr>
          <w:p w14:paraId="51B02E77">
            <w:pPr>
              <w:pStyle w:val="13"/>
            </w:pPr>
            <w:r>
              <w:t>机关事业单位基本养老保险缴费</w:t>
            </w:r>
          </w:p>
        </w:tc>
        <w:tc>
          <w:tcPr>
            <w:tcW w:w="2551" w:type="dxa"/>
            <w:vAlign w:val="center"/>
          </w:tcPr>
          <w:p w14:paraId="517856C2">
            <w:pPr>
              <w:pStyle w:val="14"/>
            </w:pPr>
            <w:r>
              <w:t>28.51</w:t>
            </w:r>
          </w:p>
        </w:tc>
        <w:tc>
          <w:tcPr>
            <w:tcW w:w="2551" w:type="dxa"/>
            <w:vAlign w:val="center"/>
          </w:tcPr>
          <w:p w14:paraId="1C329B98">
            <w:pPr>
              <w:pStyle w:val="14"/>
            </w:pPr>
            <w:r>
              <w:t>28.51</w:t>
            </w:r>
          </w:p>
        </w:tc>
        <w:tc>
          <w:tcPr>
            <w:tcW w:w="2551" w:type="dxa"/>
            <w:vAlign w:val="center"/>
          </w:tcPr>
          <w:p w14:paraId="1594D1CF">
            <w:pPr>
              <w:pStyle w:val="14"/>
            </w:pPr>
          </w:p>
        </w:tc>
      </w:tr>
      <w:tr w14:paraId="4C464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E950C">
            <w:pPr>
              <w:pStyle w:val="12"/>
            </w:pPr>
            <w:r>
              <w:t>7</w:t>
            </w:r>
          </w:p>
        </w:tc>
        <w:tc>
          <w:tcPr>
            <w:tcW w:w="1191" w:type="dxa"/>
            <w:vAlign w:val="center"/>
          </w:tcPr>
          <w:p w14:paraId="244F003D">
            <w:pPr>
              <w:pStyle w:val="13"/>
            </w:pPr>
            <w:r>
              <w:t>30110</w:t>
            </w:r>
          </w:p>
        </w:tc>
        <w:tc>
          <w:tcPr>
            <w:tcW w:w="4535" w:type="dxa"/>
            <w:vAlign w:val="center"/>
          </w:tcPr>
          <w:p w14:paraId="41885330">
            <w:pPr>
              <w:pStyle w:val="13"/>
            </w:pPr>
            <w:r>
              <w:t>职工基本医疗保险缴费</w:t>
            </w:r>
          </w:p>
        </w:tc>
        <w:tc>
          <w:tcPr>
            <w:tcW w:w="2551" w:type="dxa"/>
            <w:vAlign w:val="center"/>
          </w:tcPr>
          <w:p w14:paraId="072E11BD">
            <w:pPr>
              <w:pStyle w:val="14"/>
            </w:pPr>
            <w:r>
              <w:t>13.58</w:t>
            </w:r>
          </w:p>
        </w:tc>
        <w:tc>
          <w:tcPr>
            <w:tcW w:w="2551" w:type="dxa"/>
            <w:vAlign w:val="center"/>
          </w:tcPr>
          <w:p w14:paraId="3400C429">
            <w:pPr>
              <w:pStyle w:val="14"/>
            </w:pPr>
            <w:r>
              <w:t>13.58</w:t>
            </w:r>
          </w:p>
        </w:tc>
        <w:tc>
          <w:tcPr>
            <w:tcW w:w="2551" w:type="dxa"/>
            <w:vAlign w:val="center"/>
          </w:tcPr>
          <w:p w14:paraId="0D7639F9">
            <w:pPr>
              <w:pStyle w:val="14"/>
            </w:pPr>
          </w:p>
        </w:tc>
      </w:tr>
      <w:tr w14:paraId="6932B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70A31">
            <w:pPr>
              <w:pStyle w:val="12"/>
            </w:pPr>
            <w:r>
              <w:t>8</w:t>
            </w:r>
          </w:p>
        </w:tc>
        <w:tc>
          <w:tcPr>
            <w:tcW w:w="1191" w:type="dxa"/>
            <w:vAlign w:val="center"/>
          </w:tcPr>
          <w:p w14:paraId="1A764589">
            <w:pPr>
              <w:pStyle w:val="13"/>
            </w:pPr>
            <w:r>
              <w:t>30112</w:t>
            </w:r>
          </w:p>
        </w:tc>
        <w:tc>
          <w:tcPr>
            <w:tcW w:w="4535" w:type="dxa"/>
            <w:vAlign w:val="center"/>
          </w:tcPr>
          <w:p w14:paraId="20F866E9">
            <w:pPr>
              <w:pStyle w:val="13"/>
            </w:pPr>
            <w:r>
              <w:t>其他社会保障缴费</w:t>
            </w:r>
          </w:p>
        </w:tc>
        <w:tc>
          <w:tcPr>
            <w:tcW w:w="2551" w:type="dxa"/>
            <w:vAlign w:val="center"/>
          </w:tcPr>
          <w:p w14:paraId="2F52A859">
            <w:pPr>
              <w:pStyle w:val="14"/>
            </w:pPr>
            <w:r>
              <w:t>0.87</w:t>
            </w:r>
          </w:p>
        </w:tc>
        <w:tc>
          <w:tcPr>
            <w:tcW w:w="2551" w:type="dxa"/>
            <w:vAlign w:val="center"/>
          </w:tcPr>
          <w:p w14:paraId="2852277A">
            <w:pPr>
              <w:pStyle w:val="14"/>
            </w:pPr>
            <w:r>
              <w:t>0.87</w:t>
            </w:r>
          </w:p>
        </w:tc>
        <w:tc>
          <w:tcPr>
            <w:tcW w:w="2551" w:type="dxa"/>
            <w:vAlign w:val="center"/>
          </w:tcPr>
          <w:p w14:paraId="2B675578">
            <w:pPr>
              <w:pStyle w:val="14"/>
            </w:pPr>
          </w:p>
        </w:tc>
      </w:tr>
      <w:tr w14:paraId="6F666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E6502">
            <w:pPr>
              <w:pStyle w:val="12"/>
            </w:pPr>
            <w:r>
              <w:t>9</w:t>
            </w:r>
          </w:p>
        </w:tc>
        <w:tc>
          <w:tcPr>
            <w:tcW w:w="1191" w:type="dxa"/>
            <w:vAlign w:val="center"/>
          </w:tcPr>
          <w:p w14:paraId="06AF6460">
            <w:pPr>
              <w:pStyle w:val="13"/>
            </w:pPr>
            <w:r>
              <w:t>30113</w:t>
            </w:r>
          </w:p>
        </w:tc>
        <w:tc>
          <w:tcPr>
            <w:tcW w:w="4535" w:type="dxa"/>
            <w:vAlign w:val="center"/>
          </w:tcPr>
          <w:p w14:paraId="64B30B9F">
            <w:pPr>
              <w:pStyle w:val="13"/>
            </w:pPr>
            <w:r>
              <w:t>住房公积金</w:t>
            </w:r>
          </w:p>
        </w:tc>
        <w:tc>
          <w:tcPr>
            <w:tcW w:w="2551" w:type="dxa"/>
            <w:vAlign w:val="center"/>
          </w:tcPr>
          <w:p w14:paraId="1004D979">
            <w:pPr>
              <w:pStyle w:val="14"/>
            </w:pPr>
            <w:r>
              <w:t>18.35</w:t>
            </w:r>
          </w:p>
        </w:tc>
        <w:tc>
          <w:tcPr>
            <w:tcW w:w="2551" w:type="dxa"/>
            <w:vAlign w:val="center"/>
          </w:tcPr>
          <w:p w14:paraId="47166AC7">
            <w:pPr>
              <w:pStyle w:val="14"/>
            </w:pPr>
            <w:r>
              <w:t>18.35</w:t>
            </w:r>
          </w:p>
        </w:tc>
        <w:tc>
          <w:tcPr>
            <w:tcW w:w="2551" w:type="dxa"/>
            <w:vAlign w:val="center"/>
          </w:tcPr>
          <w:p w14:paraId="6E1CE610">
            <w:pPr>
              <w:pStyle w:val="14"/>
            </w:pPr>
          </w:p>
        </w:tc>
      </w:tr>
    </w:tbl>
    <w:p w14:paraId="21B4460F">
      <w:pPr>
        <w:sectPr>
          <w:pgSz w:w="16840" w:h="11900" w:orient="landscape"/>
          <w:pgMar w:top="1361" w:right="1020" w:bottom="1134" w:left="1020" w:header="720" w:footer="720" w:gutter="0"/>
          <w:cols w:space="720" w:num="1"/>
        </w:sectPr>
      </w:pPr>
    </w:p>
    <w:p w14:paraId="261CDD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464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347F51">
            <w:pPr>
              <w:pStyle w:val="8"/>
            </w:pPr>
            <w:r>
              <w:t>360029隆尧县实验幼儿园</w:t>
            </w:r>
          </w:p>
        </w:tc>
        <w:tc>
          <w:tcPr>
            <w:tcW w:w="2551" w:type="dxa"/>
            <w:tcBorders>
              <w:top w:val="single" w:color="FFFFFF" w:sz="6" w:space="0"/>
              <w:left w:val="single" w:color="FFFFFF" w:sz="6" w:space="0"/>
              <w:right w:val="single" w:color="FFFFFF" w:sz="6" w:space="0"/>
            </w:tcBorders>
            <w:vAlign w:val="center"/>
          </w:tcPr>
          <w:p w14:paraId="48D6C39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DF90819">
            <w:pPr>
              <w:pStyle w:val="10"/>
            </w:pPr>
            <w:r>
              <w:t>单位：万元</w:t>
            </w:r>
          </w:p>
        </w:tc>
      </w:tr>
      <w:tr w14:paraId="3E9DD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BA3F9">
            <w:pPr>
              <w:pStyle w:val="11"/>
            </w:pPr>
            <w:r>
              <w:t>序号</w:t>
            </w:r>
          </w:p>
        </w:tc>
        <w:tc>
          <w:tcPr>
            <w:tcW w:w="5726" w:type="dxa"/>
            <w:gridSpan w:val="2"/>
            <w:vAlign w:val="center"/>
          </w:tcPr>
          <w:p w14:paraId="3F6CA1BF">
            <w:pPr>
              <w:pStyle w:val="11"/>
            </w:pPr>
            <w:r>
              <w:t>功能分类科目</w:t>
            </w:r>
          </w:p>
        </w:tc>
        <w:tc>
          <w:tcPr>
            <w:tcW w:w="2551" w:type="dxa"/>
            <w:vMerge w:val="restart"/>
            <w:vAlign w:val="center"/>
          </w:tcPr>
          <w:p w14:paraId="2434A3F0">
            <w:pPr>
              <w:pStyle w:val="11"/>
            </w:pPr>
            <w:r>
              <w:t>合计</w:t>
            </w:r>
          </w:p>
        </w:tc>
        <w:tc>
          <w:tcPr>
            <w:tcW w:w="2551" w:type="dxa"/>
            <w:vMerge w:val="restart"/>
            <w:vAlign w:val="center"/>
          </w:tcPr>
          <w:p w14:paraId="0FC95F1F">
            <w:pPr>
              <w:pStyle w:val="11"/>
            </w:pPr>
            <w:r>
              <w:t>基本支出</w:t>
            </w:r>
          </w:p>
        </w:tc>
        <w:tc>
          <w:tcPr>
            <w:tcW w:w="2551" w:type="dxa"/>
            <w:vMerge w:val="restart"/>
            <w:vAlign w:val="center"/>
          </w:tcPr>
          <w:p w14:paraId="274AD43A">
            <w:pPr>
              <w:pStyle w:val="11"/>
            </w:pPr>
            <w:r>
              <w:t>项目支出</w:t>
            </w:r>
          </w:p>
        </w:tc>
      </w:tr>
      <w:tr w14:paraId="78069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1A038"/>
        </w:tc>
        <w:tc>
          <w:tcPr>
            <w:tcW w:w="1191" w:type="dxa"/>
            <w:vAlign w:val="center"/>
          </w:tcPr>
          <w:p w14:paraId="3C4BAF45">
            <w:pPr>
              <w:pStyle w:val="11"/>
            </w:pPr>
            <w:r>
              <w:t>科目编码</w:t>
            </w:r>
          </w:p>
        </w:tc>
        <w:tc>
          <w:tcPr>
            <w:tcW w:w="4535" w:type="dxa"/>
            <w:vAlign w:val="center"/>
          </w:tcPr>
          <w:p w14:paraId="00AD067D">
            <w:pPr>
              <w:pStyle w:val="11"/>
            </w:pPr>
            <w:r>
              <w:t>科目名称</w:t>
            </w:r>
          </w:p>
        </w:tc>
        <w:tc>
          <w:tcPr>
            <w:tcW w:w="2551" w:type="dxa"/>
            <w:vMerge w:val="continue"/>
          </w:tcPr>
          <w:p w14:paraId="15DA3505"/>
        </w:tc>
        <w:tc>
          <w:tcPr>
            <w:tcW w:w="2551" w:type="dxa"/>
            <w:vMerge w:val="continue"/>
          </w:tcPr>
          <w:p w14:paraId="251F51D2"/>
        </w:tc>
        <w:tc>
          <w:tcPr>
            <w:tcW w:w="2551" w:type="dxa"/>
            <w:vMerge w:val="continue"/>
          </w:tcPr>
          <w:p w14:paraId="2B1EC84C"/>
        </w:tc>
      </w:tr>
      <w:tr w14:paraId="21721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9CADF">
            <w:pPr>
              <w:pStyle w:val="11"/>
            </w:pPr>
            <w:r>
              <w:t>栏次</w:t>
            </w:r>
          </w:p>
        </w:tc>
        <w:tc>
          <w:tcPr>
            <w:tcW w:w="1191" w:type="dxa"/>
            <w:vAlign w:val="center"/>
          </w:tcPr>
          <w:p w14:paraId="50A2040B">
            <w:pPr>
              <w:pStyle w:val="11"/>
            </w:pPr>
            <w:r>
              <w:t>1</w:t>
            </w:r>
          </w:p>
        </w:tc>
        <w:tc>
          <w:tcPr>
            <w:tcW w:w="4535" w:type="dxa"/>
            <w:vAlign w:val="center"/>
          </w:tcPr>
          <w:p w14:paraId="671771AE">
            <w:pPr>
              <w:pStyle w:val="11"/>
            </w:pPr>
            <w:r>
              <w:t>2</w:t>
            </w:r>
          </w:p>
        </w:tc>
        <w:tc>
          <w:tcPr>
            <w:tcW w:w="2551" w:type="dxa"/>
            <w:vAlign w:val="center"/>
          </w:tcPr>
          <w:p w14:paraId="2216B172">
            <w:pPr>
              <w:pStyle w:val="11"/>
            </w:pPr>
            <w:r>
              <w:t>3</w:t>
            </w:r>
          </w:p>
        </w:tc>
        <w:tc>
          <w:tcPr>
            <w:tcW w:w="2551" w:type="dxa"/>
            <w:vAlign w:val="center"/>
          </w:tcPr>
          <w:p w14:paraId="79F247F7">
            <w:pPr>
              <w:pStyle w:val="11"/>
            </w:pPr>
            <w:r>
              <w:t>4</w:t>
            </w:r>
          </w:p>
        </w:tc>
        <w:tc>
          <w:tcPr>
            <w:tcW w:w="2551" w:type="dxa"/>
            <w:vAlign w:val="center"/>
          </w:tcPr>
          <w:p w14:paraId="07D6F4D6">
            <w:pPr>
              <w:pStyle w:val="11"/>
            </w:pPr>
            <w:r>
              <w:t>5</w:t>
            </w:r>
          </w:p>
        </w:tc>
      </w:tr>
      <w:tr w14:paraId="07B30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C629C">
            <w:pPr>
              <w:pStyle w:val="12"/>
            </w:pPr>
          </w:p>
        </w:tc>
        <w:tc>
          <w:tcPr>
            <w:tcW w:w="1191" w:type="dxa"/>
            <w:vAlign w:val="center"/>
          </w:tcPr>
          <w:p w14:paraId="058F6BB0">
            <w:pPr>
              <w:pStyle w:val="13"/>
            </w:pPr>
          </w:p>
        </w:tc>
        <w:tc>
          <w:tcPr>
            <w:tcW w:w="4535" w:type="dxa"/>
            <w:vAlign w:val="center"/>
          </w:tcPr>
          <w:p w14:paraId="66B7F8BB">
            <w:pPr>
              <w:pStyle w:val="13"/>
            </w:pPr>
          </w:p>
        </w:tc>
        <w:tc>
          <w:tcPr>
            <w:tcW w:w="2551" w:type="dxa"/>
            <w:vAlign w:val="center"/>
          </w:tcPr>
          <w:p w14:paraId="6B4CECFC">
            <w:pPr>
              <w:pStyle w:val="14"/>
            </w:pPr>
          </w:p>
        </w:tc>
        <w:tc>
          <w:tcPr>
            <w:tcW w:w="2551" w:type="dxa"/>
            <w:vAlign w:val="center"/>
          </w:tcPr>
          <w:p w14:paraId="0E628853">
            <w:pPr>
              <w:pStyle w:val="14"/>
            </w:pPr>
          </w:p>
        </w:tc>
        <w:tc>
          <w:tcPr>
            <w:tcW w:w="2551" w:type="dxa"/>
            <w:vAlign w:val="center"/>
          </w:tcPr>
          <w:p w14:paraId="20B5C472">
            <w:pPr>
              <w:pStyle w:val="14"/>
            </w:pPr>
          </w:p>
        </w:tc>
      </w:tr>
    </w:tbl>
    <w:p w14:paraId="441091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EF4E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0E1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4FBF4E">
            <w:pPr>
              <w:pStyle w:val="8"/>
            </w:pPr>
            <w:r>
              <w:t>360029隆尧县实验幼儿园</w:t>
            </w:r>
          </w:p>
        </w:tc>
        <w:tc>
          <w:tcPr>
            <w:tcW w:w="2551" w:type="dxa"/>
            <w:tcBorders>
              <w:top w:val="single" w:color="FFFFFF" w:sz="6" w:space="0"/>
              <w:left w:val="single" w:color="FFFFFF" w:sz="6" w:space="0"/>
              <w:right w:val="single" w:color="FFFFFF" w:sz="6" w:space="0"/>
            </w:tcBorders>
            <w:vAlign w:val="center"/>
          </w:tcPr>
          <w:p w14:paraId="6C39497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8E0A719">
            <w:pPr>
              <w:pStyle w:val="10"/>
            </w:pPr>
            <w:r>
              <w:t>单位：万元</w:t>
            </w:r>
          </w:p>
        </w:tc>
      </w:tr>
      <w:tr w14:paraId="4C699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4A8C37">
            <w:pPr>
              <w:pStyle w:val="11"/>
            </w:pPr>
            <w:r>
              <w:t>序号</w:t>
            </w:r>
          </w:p>
        </w:tc>
        <w:tc>
          <w:tcPr>
            <w:tcW w:w="5726" w:type="dxa"/>
            <w:gridSpan w:val="2"/>
            <w:vAlign w:val="center"/>
          </w:tcPr>
          <w:p w14:paraId="47659F74">
            <w:pPr>
              <w:pStyle w:val="11"/>
            </w:pPr>
            <w:r>
              <w:t>功能分类科目</w:t>
            </w:r>
          </w:p>
        </w:tc>
        <w:tc>
          <w:tcPr>
            <w:tcW w:w="2551" w:type="dxa"/>
            <w:vMerge w:val="restart"/>
            <w:vAlign w:val="center"/>
          </w:tcPr>
          <w:p w14:paraId="3A40A6B0">
            <w:pPr>
              <w:pStyle w:val="11"/>
            </w:pPr>
            <w:r>
              <w:t>合计</w:t>
            </w:r>
          </w:p>
        </w:tc>
        <w:tc>
          <w:tcPr>
            <w:tcW w:w="2551" w:type="dxa"/>
            <w:vMerge w:val="restart"/>
            <w:vAlign w:val="center"/>
          </w:tcPr>
          <w:p w14:paraId="740B6D80">
            <w:pPr>
              <w:pStyle w:val="11"/>
            </w:pPr>
            <w:r>
              <w:t>基本支出</w:t>
            </w:r>
          </w:p>
        </w:tc>
        <w:tc>
          <w:tcPr>
            <w:tcW w:w="2551" w:type="dxa"/>
            <w:vMerge w:val="restart"/>
            <w:vAlign w:val="center"/>
          </w:tcPr>
          <w:p w14:paraId="39090A6A">
            <w:pPr>
              <w:pStyle w:val="11"/>
            </w:pPr>
            <w:r>
              <w:t>项目支出</w:t>
            </w:r>
          </w:p>
        </w:tc>
      </w:tr>
      <w:tr w14:paraId="51E61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A798A3"/>
        </w:tc>
        <w:tc>
          <w:tcPr>
            <w:tcW w:w="1191" w:type="dxa"/>
            <w:vAlign w:val="center"/>
          </w:tcPr>
          <w:p w14:paraId="1C5084D3">
            <w:pPr>
              <w:pStyle w:val="11"/>
            </w:pPr>
            <w:r>
              <w:t>科目编码</w:t>
            </w:r>
          </w:p>
        </w:tc>
        <w:tc>
          <w:tcPr>
            <w:tcW w:w="4535" w:type="dxa"/>
            <w:vAlign w:val="center"/>
          </w:tcPr>
          <w:p w14:paraId="546F9FDD">
            <w:pPr>
              <w:pStyle w:val="11"/>
            </w:pPr>
            <w:r>
              <w:t>科目名称</w:t>
            </w:r>
          </w:p>
        </w:tc>
        <w:tc>
          <w:tcPr>
            <w:tcW w:w="2551" w:type="dxa"/>
            <w:vMerge w:val="continue"/>
          </w:tcPr>
          <w:p w14:paraId="0F0ACF2C"/>
        </w:tc>
        <w:tc>
          <w:tcPr>
            <w:tcW w:w="2551" w:type="dxa"/>
            <w:vMerge w:val="continue"/>
          </w:tcPr>
          <w:p w14:paraId="6EE897C9"/>
        </w:tc>
        <w:tc>
          <w:tcPr>
            <w:tcW w:w="2551" w:type="dxa"/>
            <w:vMerge w:val="continue"/>
          </w:tcPr>
          <w:p w14:paraId="07506C7D"/>
        </w:tc>
      </w:tr>
      <w:tr w14:paraId="799CA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73024">
            <w:pPr>
              <w:pStyle w:val="11"/>
            </w:pPr>
            <w:r>
              <w:t>栏次</w:t>
            </w:r>
          </w:p>
        </w:tc>
        <w:tc>
          <w:tcPr>
            <w:tcW w:w="1191" w:type="dxa"/>
            <w:vAlign w:val="center"/>
          </w:tcPr>
          <w:p w14:paraId="7BBE771D">
            <w:pPr>
              <w:pStyle w:val="11"/>
            </w:pPr>
            <w:r>
              <w:t>1</w:t>
            </w:r>
          </w:p>
        </w:tc>
        <w:tc>
          <w:tcPr>
            <w:tcW w:w="4535" w:type="dxa"/>
            <w:vAlign w:val="center"/>
          </w:tcPr>
          <w:p w14:paraId="661509D3">
            <w:pPr>
              <w:pStyle w:val="11"/>
            </w:pPr>
            <w:r>
              <w:t>2</w:t>
            </w:r>
          </w:p>
        </w:tc>
        <w:tc>
          <w:tcPr>
            <w:tcW w:w="2551" w:type="dxa"/>
            <w:vAlign w:val="center"/>
          </w:tcPr>
          <w:p w14:paraId="4F0851D6">
            <w:pPr>
              <w:pStyle w:val="11"/>
            </w:pPr>
            <w:r>
              <w:t>3</w:t>
            </w:r>
          </w:p>
        </w:tc>
        <w:tc>
          <w:tcPr>
            <w:tcW w:w="2551" w:type="dxa"/>
            <w:vAlign w:val="center"/>
          </w:tcPr>
          <w:p w14:paraId="190982E7">
            <w:pPr>
              <w:pStyle w:val="11"/>
            </w:pPr>
            <w:r>
              <w:t>4</w:t>
            </w:r>
          </w:p>
        </w:tc>
        <w:tc>
          <w:tcPr>
            <w:tcW w:w="2551" w:type="dxa"/>
            <w:vAlign w:val="center"/>
          </w:tcPr>
          <w:p w14:paraId="42EE088D">
            <w:pPr>
              <w:pStyle w:val="11"/>
            </w:pPr>
            <w:r>
              <w:t>5</w:t>
            </w:r>
          </w:p>
        </w:tc>
      </w:tr>
      <w:tr w14:paraId="6A0BB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BB0D9">
            <w:pPr>
              <w:pStyle w:val="12"/>
            </w:pPr>
          </w:p>
        </w:tc>
        <w:tc>
          <w:tcPr>
            <w:tcW w:w="1191" w:type="dxa"/>
            <w:vAlign w:val="center"/>
          </w:tcPr>
          <w:p w14:paraId="138113CD">
            <w:pPr>
              <w:pStyle w:val="13"/>
            </w:pPr>
          </w:p>
        </w:tc>
        <w:tc>
          <w:tcPr>
            <w:tcW w:w="4535" w:type="dxa"/>
            <w:vAlign w:val="center"/>
          </w:tcPr>
          <w:p w14:paraId="724E6A6C">
            <w:pPr>
              <w:pStyle w:val="13"/>
            </w:pPr>
          </w:p>
        </w:tc>
        <w:tc>
          <w:tcPr>
            <w:tcW w:w="2551" w:type="dxa"/>
            <w:vAlign w:val="center"/>
          </w:tcPr>
          <w:p w14:paraId="00305BA9">
            <w:pPr>
              <w:pStyle w:val="14"/>
            </w:pPr>
          </w:p>
        </w:tc>
        <w:tc>
          <w:tcPr>
            <w:tcW w:w="2551" w:type="dxa"/>
            <w:vAlign w:val="center"/>
          </w:tcPr>
          <w:p w14:paraId="3BC7D81E">
            <w:pPr>
              <w:pStyle w:val="14"/>
            </w:pPr>
          </w:p>
        </w:tc>
        <w:tc>
          <w:tcPr>
            <w:tcW w:w="2551" w:type="dxa"/>
            <w:vAlign w:val="center"/>
          </w:tcPr>
          <w:p w14:paraId="49A2648B">
            <w:pPr>
              <w:pStyle w:val="14"/>
            </w:pPr>
          </w:p>
        </w:tc>
      </w:tr>
    </w:tbl>
    <w:p w14:paraId="52AC2B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09C4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F0A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88ABC3">
            <w:pPr>
              <w:pStyle w:val="8"/>
            </w:pPr>
            <w:r>
              <w:t>360029隆尧县实验幼儿园</w:t>
            </w:r>
          </w:p>
        </w:tc>
        <w:tc>
          <w:tcPr>
            <w:tcW w:w="2381" w:type="dxa"/>
            <w:tcBorders>
              <w:top w:val="single" w:color="FFFFFF" w:sz="6" w:space="0"/>
              <w:left w:val="single" w:color="FFFFFF" w:sz="6" w:space="0"/>
              <w:right w:val="single" w:color="FFFFFF" w:sz="6" w:space="0"/>
            </w:tcBorders>
            <w:vAlign w:val="center"/>
          </w:tcPr>
          <w:p w14:paraId="2B5EEB1E">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AC7DF48">
            <w:pPr>
              <w:pStyle w:val="10"/>
            </w:pPr>
            <w:r>
              <w:t>单位：万元</w:t>
            </w:r>
          </w:p>
        </w:tc>
      </w:tr>
      <w:tr w14:paraId="2DE00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EDC47">
            <w:pPr>
              <w:pStyle w:val="11"/>
            </w:pPr>
            <w:r>
              <w:t>序号</w:t>
            </w:r>
          </w:p>
        </w:tc>
        <w:tc>
          <w:tcPr>
            <w:tcW w:w="3798" w:type="dxa"/>
            <w:vMerge w:val="restart"/>
            <w:vAlign w:val="center"/>
          </w:tcPr>
          <w:p w14:paraId="334E70B5">
            <w:pPr>
              <w:pStyle w:val="11"/>
            </w:pPr>
            <w:r>
              <w:t>项  目</w:t>
            </w:r>
          </w:p>
        </w:tc>
        <w:tc>
          <w:tcPr>
            <w:tcW w:w="9524" w:type="dxa"/>
            <w:gridSpan w:val="4"/>
            <w:vAlign w:val="center"/>
          </w:tcPr>
          <w:p w14:paraId="01181931">
            <w:pPr>
              <w:pStyle w:val="11"/>
            </w:pPr>
            <w:r>
              <w:t>资 金 性 质</w:t>
            </w:r>
          </w:p>
        </w:tc>
      </w:tr>
      <w:tr w14:paraId="2E0D0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96A6A0"/>
        </w:tc>
        <w:tc>
          <w:tcPr>
            <w:tcW w:w="3798" w:type="dxa"/>
            <w:vMerge w:val="continue"/>
          </w:tcPr>
          <w:p w14:paraId="3395DAFE"/>
        </w:tc>
        <w:tc>
          <w:tcPr>
            <w:tcW w:w="2381" w:type="dxa"/>
            <w:vAlign w:val="center"/>
          </w:tcPr>
          <w:p w14:paraId="7BC5ABCD">
            <w:pPr>
              <w:pStyle w:val="11"/>
            </w:pPr>
            <w:r>
              <w:t>合计</w:t>
            </w:r>
          </w:p>
        </w:tc>
        <w:tc>
          <w:tcPr>
            <w:tcW w:w="2381" w:type="dxa"/>
            <w:vAlign w:val="center"/>
          </w:tcPr>
          <w:p w14:paraId="6EDBB208">
            <w:pPr>
              <w:pStyle w:val="11"/>
            </w:pPr>
            <w:r>
              <w:t>一般公共预算              财政拨款</w:t>
            </w:r>
          </w:p>
        </w:tc>
        <w:tc>
          <w:tcPr>
            <w:tcW w:w="2381" w:type="dxa"/>
            <w:vAlign w:val="center"/>
          </w:tcPr>
          <w:p w14:paraId="0C63E876">
            <w:pPr>
              <w:pStyle w:val="11"/>
            </w:pPr>
            <w:r>
              <w:t>政府性基金                  预算拨款</w:t>
            </w:r>
          </w:p>
        </w:tc>
        <w:tc>
          <w:tcPr>
            <w:tcW w:w="2381" w:type="dxa"/>
            <w:vAlign w:val="center"/>
          </w:tcPr>
          <w:p w14:paraId="6DBCF2DA">
            <w:pPr>
              <w:pStyle w:val="11"/>
            </w:pPr>
            <w:r>
              <w:t>国有资本经营              预算财政拨款</w:t>
            </w:r>
          </w:p>
        </w:tc>
      </w:tr>
      <w:tr w14:paraId="6F1ED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D15D0F">
            <w:pPr>
              <w:pStyle w:val="11"/>
            </w:pPr>
            <w:r>
              <w:t>栏次</w:t>
            </w:r>
          </w:p>
        </w:tc>
        <w:tc>
          <w:tcPr>
            <w:tcW w:w="3798" w:type="dxa"/>
            <w:vAlign w:val="center"/>
          </w:tcPr>
          <w:p w14:paraId="1DF4020F">
            <w:pPr>
              <w:pStyle w:val="11"/>
            </w:pPr>
            <w:r>
              <w:t>1</w:t>
            </w:r>
          </w:p>
        </w:tc>
        <w:tc>
          <w:tcPr>
            <w:tcW w:w="2381" w:type="dxa"/>
            <w:vAlign w:val="center"/>
          </w:tcPr>
          <w:p w14:paraId="55CDB5B0">
            <w:pPr>
              <w:pStyle w:val="11"/>
            </w:pPr>
            <w:r>
              <w:t>2</w:t>
            </w:r>
          </w:p>
        </w:tc>
        <w:tc>
          <w:tcPr>
            <w:tcW w:w="2381" w:type="dxa"/>
            <w:vAlign w:val="center"/>
          </w:tcPr>
          <w:p w14:paraId="43E2A9E9">
            <w:pPr>
              <w:pStyle w:val="11"/>
            </w:pPr>
            <w:r>
              <w:t>3</w:t>
            </w:r>
          </w:p>
        </w:tc>
        <w:tc>
          <w:tcPr>
            <w:tcW w:w="2381" w:type="dxa"/>
            <w:vAlign w:val="center"/>
          </w:tcPr>
          <w:p w14:paraId="2DE638BF">
            <w:pPr>
              <w:pStyle w:val="11"/>
            </w:pPr>
            <w:r>
              <w:t>4</w:t>
            </w:r>
          </w:p>
        </w:tc>
        <w:tc>
          <w:tcPr>
            <w:tcW w:w="2381" w:type="dxa"/>
            <w:vAlign w:val="center"/>
          </w:tcPr>
          <w:p w14:paraId="772D26B9">
            <w:pPr>
              <w:pStyle w:val="11"/>
            </w:pPr>
            <w:r>
              <w:t>5</w:t>
            </w:r>
          </w:p>
        </w:tc>
      </w:tr>
      <w:tr w14:paraId="5CBF9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14AAB6">
            <w:pPr>
              <w:pStyle w:val="12"/>
            </w:pPr>
          </w:p>
        </w:tc>
        <w:tc>
          <w:tcPr>
            <w:tcW w:w="3798" w:type="dxa"/>
            <w:vAlign w:val="center"/>
          </w:tcPr>
          <w:p w14:paraId="07FA4E45">
            <w:pPr>
              <w:pStyle w:val="13"/>
            </w:pPr>
          </w:p>
        </w:tc>
        <w:tc>
          <w:tcPr>
            <w:tcW w:w="2381" w:type="dxa"/>
            <w:vAlign w:val="center"/>
          </w:tcPr>
          <w:p w14:paraId="1B87C0D3">
            <w:pPr>
              <w:pStyle w:val="14"/>
            </w:pPr>
          </w:p>
        </w:tc>
        <w:tc>
          <w:tcPr>
            <w:tcW w:w="2381" w:type="dxa"/>
            <w:vAlign w:val="center"/>
          </w:tcPr>
          <w:p w14:paraId="41D1A305">
            <w:pPr>
              <w:pStyle w:val="14"/>
            </w:pPr>
          </w:p>
        </w:tc>
        <w:tc>
          <w:tcPr>
            <w:tcW w:w="2381" w:type="dxa"/>
            <w:vAlign w:val="center"/>
          </w:tcPr>
          <w:p w14:paraId="79242004">
            <w:pPr>
              <w:pStyle w:val="14"/>
            </w:pPr>
          </w:p>
        </w:tc>
        <w:tc>
          <w:tcPr>
            <w:tcW w:w="2381" w:type="dxa"/>
            <w:vAlign w:val="center"/>
          </w:tcPr>
          <w:p w14:paraId="3E14FF35">
            <w:pPr>
              <w:pStyle w:val="14"/>
            </w:pPr>
          </w:p>
        </w:tc>
      </w:tr>
    </w:tbl>
    <w:p w14:paraId="5F6B82F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9EDF1E7">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隆尧县实验幼儿园2025年单位预算信息公开情况说明</w:t>
      </w:r>
    </w:p>
    <w:p w14:paraId="40AD8F3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按照《中华人民共和国预算法》、《地方预决算公开操作规程》和《关于进一步推进预算公开工作的实施意见》规定，现将隆尧县实验幼儿园2025年单位预算公开如下：</w:t>
      </w:r>
    </w:p>
    <w:p w14:paraId="2418B38F">
      <w:pPr>
        <w:spacing w:before="10" w:after="10" w:line="240" w:lineRule="auto"/>
        <w:ind w:firstLine="640"/>
        <w:jc w:val="left"/>
        <w:outlineLvl w:val="5"/>
      </w:pPr>
      <w:r>
        <w:rPr>
          <w:rFonts w:ascii="黑体" w:hAnsi="黑体" w:eastAsia="黑体" w:cs="黑体"/>
          <w:color w:val="000000"/>
          <w:sz w:val="32"/>
        </w:rPr>
        <w:t>一、单位职责及机构设置情况</w:t>
      </w:r>
    </w:p>
    <w:p w14:paraId="7D48A7B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ECA108F">
      <w:pPr>
        <w:pStyle w:val="18"/>
      </w:pPr>
      <w:r>
        <w:rPr>
          <w:rFonts w:hint="eastAsia"/>
        </w:rPr>
        <w:t>实验幼儿园：隆尧县县直幼儿园为隆尧教育局所属相当股级事业单位，单位类别为公益二类事业单位。县直幼儿园事业编制15名。其中，园长1名（正股级），副园长2名（副股级）；经费形式为财政性资金基本保证。主要职责：开展学龄前幼儿保育和教育工作，促进幼儿身心健康和德、智、体、美全面发展。</w:t>
      </w:r>
    </w:p>
    <w:p w14:paraId="2924AC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F1C7B8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9540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88E29B">
            <w:pPr>
              <w:pStyle w:val="11"/>
            </w:pPr>
            <w:r>
              <w:t>单位名称</w:t>
            </w:r>
          </w:p>
        </w:tc>
        <w:tc>
          <w:tcPr>
            <w:tcW w:w="1843" w:type="dxa"/>
            <w:vAlign w:val="center"/>
          </w:tcPr>
          <w:p w14:paraId="6425CA83">
            <w:pPr>
              <w:pStyle w:val="11"/>
            </w:pPr>
            <w:r>
              <w:t>单位性质</w:t>
            </w:r>
          </w:p>
        </w:tc>
        <w:tc>
          <w:tcPr>
            <w:tcW w:w="2126" w:type="dxa"/>
            <w:vAlign w:val="center"/>
          </w:tcPr>
          <w:p w14:paraId="55C25D55">
            <w:pPr>
              <w:pStyle w:val="11"/>
            </w:pPr>
            <w:r>
              <w:t>单位规格</w:t>
            </w:r>
          </w:p>
        </w:tc>
        <w:tc>
          <w:tcPr>
            <w:tcW w:w="3827" w:type="dxa"/>
            <w:vAlign w:val="center"/>
          </w:tcPr>
          <w:p w14:paraId="6F5AB756">
            <w:pPr>
              <w:pStyle w:val="11"/>
            </w:pPr>
            <w:r>
              <w:t>经费保障形式</w:t>
            </w:r>
          </w:p>
        </w:tc>
      </w:tr>
      <w:tr w14:paraId="18820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9C6EA42">
            <w:pPr>
              <w:pStyle w:val="13"/>
            </w:pPr>
            <w:r>
              <w:t>隆尧县实验幼儿园</w:t>
            </w:r>
          </w:p>
        </w:tc>
        <w:tc>
          <w:tcPr>
            <w:tcW w:w="1843" w:type="dxa"/>
            <w:vAlign w:val="center"/>
          </w:tcPr>
          <w:p w14:paraId="73B32E20">
            <w:pPr>
              <w:pStyle w:val="12"/>
            </w:pPr>
            <w:r>
              <w:t>事业</w:t>
            </w:r>
          </w:p>
        </w:tc>
        <w:tc>
          <w:tcPr>
            <w:tcW w:w="2126" w:type="dxa"/>
            <w:vAlign w:val="center"/>
          </w:tcPr>
          <w:p w14:paraId="753CBF96">
            <w:pPr>
              <w:pStyle w:val="12"/>
            </w:pPr>
            <w:r>
              <w:t>股级</w:t>
            </w:r>
          </w:p>
        </w:tc>
        <w:tc>
          <w:tcPr>
            <w:tcW w:w="3827" w:type="dxa"/>
            <w:vAlign w:val="center"/>
          </w:tcPr>
          <w:p w14:paraId="6299B997">
            <w:pPr>
              <w:pStyle w:val="12"/>
            </w:pPr>
            <w:r>
              <w:t>财政性资金基本保证</w:t>
            </w:r>
          </w:p>
        </w:tc>
      </w:tr>
    </w:tbl>
    <w:p w14:paraId="60326C15">
      <w:pPr>
        <w:spacing w:before="10" w:after="10" w:line="240" w:lineRule="auto"/>
        <w:ind w:firstLine="640"/>
        <w:jc w:val="left"/>
        <w:outlineLvl w:val="5"/>
      </w:pPr>
      <w:r>
        <w:rPr>
          <w:rFonts w:ascii="黑体" w:hAnsi="黑体" w:eastAsia="黑体" w:cs="黑体"/>
          <w:color w:val="000000"/>
          <w:sz w:val="32"/>
        </w:rPr>
        <w:t>二、单位预算安排的总体情况</w:t>
      </w:r>
    </w:p>
    <w:p w14:paraId="03421A93">
      <w:pPr>
        <w:pStyle w:val="19"/>
      </w:pPr>
      <w:r>
        <w:t>按照预算管理有关规定，目前我校单位预算的编制实行综合预算管理，即全部收入和支出都反映的预算中。隆尧县实验幼儿园的收支包含在单位预算中。</w:t>
      </w:r>
    </w:p>
    <w:p w14:paraId="529CC07B">
      <w:pPr>
        <w:pStyle w:val="19"/>
      </w:pPr>
      <w:r>
        <w:t>1、收入说明</w:t>
      </w:r>
    </w:p>
    <w:p w14:paraId="7D2D7473">
      <w:pPr>
        <w:pStyle w:val="19"/>
      </w:pPr>
      <w:r>
        <w:t>反映本单位当年全部收入。2025年预算收入242.20万元，其中：一般公共预算收入242.20万元，基金预算收入0元，财政专户管理资金收入0元，其他来源收入0元。</w:t>
      </w:r>
    </w:p>
    <w:p w14:paraId="0F28810E">
      <w:pPr>
        <w:pStyle w:val="19"/>
      </w:pPr>
      <w:r>
        <w:t>2、支出说明</w:t>
      </w:r>
    </w:p>
    <w:p w14:paraId="3C593623">
      <w:pPr>
        <w:pStyle w:val="19"/>
      </w:pPr>
      <w:r>
        <w:t>收支预算总表支出栏、基本支出表、项目支出表按经济分类和支出功能分类科目编制，反映隆尧县实验幼儿园年度单位预算中支出预算的总体情况。2025年单位支出预算为242.20万元，其中基本支出242.20万元、项目支出0万元。</w:t>
      </w:r>
    </w:p>
    <w:p w14:paraId="626C07B9">
      <w:pPr>
        <w:pStyle w:val="19"/>
      </w:pPr>
      <w:r>
        <w:t>3、比上年增减情况</w:t>
      </w:r>
    </w:p>
    <w:p w14:paraId="696E149B">
      <w:pPr>
        <w:pStyle w:val="19"/>
      </w:pPr>
      <w:r>
        <w:t>2025年预算收支安排242.20万元，较2024年预算减少16.96万元，其中基本支出减少16.96万元。</w:t>
      </w:r>
    </w:p>
    <w:p w14:paraId="5AE648BC">
      <w:pPr>
        <w:spacing w:before="10" w:after="10" w:line="240" w:lineRule="auto"/>
        <w:ind w:firstLine="640"/>
        <w:jc w:val="left"/>
        <w:outlineLvl w:val="5"/>
      </w:pPr>
      <w:r>
        <w:rPr>
          <w:rFonts w:ascii="黑体" w:hAnsi="黑体" w:eastAsia="黑体" w:cs="黑体"/>
          <w:color w:val="000000"/>
          <w:sz w:val="32"/>
        </w:rPr>
        <w:t>三、机关运行经费安排情况</w:t>
      </w:r>
    </w:p>
    <w:p w14:paraId="5967E090">
      <w:pPr>
        <w:pStyle w:val="20"/>
      </w:pPr>
      <w:r>
        <w:t>我单位按学生安排公用经费，无机关运行经费。</w:t>
      </w:r>
    </w:p>
    <w:p w14:paraId="1641FBC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31BE371">
      <w:pPr>
        <w:pStyle w:val="21"/>
      </w:pPr>
      <w:r>
        <w:t>我单位未安排三公经费。</w:t>
      </w:r>
    </w:p>
    <w:p w14:paraId="52C6223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87E2FAC">
      <w:pPr>
        <w:spacing w:before="10" w:after="10" w:line="240" w:lineRule="auto"/>
        <w:ind w:firstLine="640"/>
        <w:jc w:val="left"/>
        <w:outlineLvl w:val="5"/>
      </w:pPr>
      <w:r>
        <w:rPr>
          <w:rFonts w:ascii="黑体" w:hAnsi="黑体" w:eastAsia="黑体" w:cs="黑体"/>
          <w:color w:val="000000"/>
          <w:sz w:val="32"/>
        </w:rPr>
        <w:t>六、政府采购预算情况</w:t>
      </w:r>
    </w:p>
    <w:p w14:paraId="28F5003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5153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0846782">
            <w:pPr>
              <w:pStyle w:val="8"/>
            </w:pPr>
            <w:r>
              <w:t>360029隆尧县实验幼儿园</w:t>
            </w:r>
          </w:p>
        </w:tc>
        <w:tc>
          <w:tcPr>
            <w:tcW w:w="7712" w:type="dxa"/>
            <w:gridSpan w:val="8"/>
            <w:tcBorders>
              <w:top w:val="single" w:color="FFFFFF" w:sz="6" w:space="0"/>
              <w:left w:val="single" w:color="FFFFFF" w:sz="6" w:space="0"/>
              <w:right w:val="single" w:color="FFFFFF" w:sz="6" w:space="0"/>
            </w:tcBorders>
            <w:vAlign w:val="center"/>
          </w:tcPr>
          <w:p w14:paraId="34D158AC">
            <w:pPr>
              <w:pStyle w:val="22"/>
            </w:pPr>
            <w:r>
              <w:t>单位：万元</w:t>
            </w:r>
          </w:p>
        </w:tc>
      </w:tr>
      <w:tr w14:paraId="51626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275BB84">
            <w:pPr>
              <w:pStyle w:val="11"/>
            </w:pPr>
            <w:r>
              <w:t>政府采购项目来源</w:t>
            </w:r>
          </w:p>
        </w:tc>
        <w:tc>
          <w:tcPr>
            <w:tcW w:w="1134" w:type="dxa"/>
            <w:vMerge w:val="restart"/>
            <w:vAlign w:val="center"/>
          </w:tcPr>
          <w:p w14:paraId="6BFA7D0F">
            <w:pPr>
              <w:pStyle w:val="11"/>
            </w:pPr>
            <w:r>
              <w:t>采购物品名称</w:t>
            </w:r>
          </w:p>
        </w:tc>
        <w:tc>
          <w:tcPr>
            <w:tcW w:w="1134" w:type="dxa"/>
            <w:vMerge w:val="restart"/>
            <w:vAlign w:val="center"/>
          </w:tcPr>
          <w:p w14:paraId="1E7A5132">
            <w:pPr>
              <w:pStyle w:val="11"/>
            </w:pPr>
            <w:r>
              <w:t>政府采购目录序号</w:t>
            </w:r>
          </w:p>
        </w:tc>
        <w:tc>
          <w:tcPr>
            <w:tcW w:w="709" w:type="dxa"/>
            <w:vMerge w:val="restart"/>
            <w:vAlign w:val="center"/>
          </w:tcPr>
          <w:p w14:paraId="444E0FC3">
            <w:pPr>
              <w:pStyle w:val="11"/>
            </w:pPr>
            <w:r>
              <w:t>计量  单位</w:t>
            </w:r>
          </w:p>
        </w:tc>
        <w:tc>
          <w:tcPr>
            <w:tcW w:w="850" w:type="dxa"/>
            <w:vMerge w:val="restart"/>
            <w:vAlign w:val="center"/>
          </w:tcPr>
          <w:p w14:paraId="402C7647">
            <w:pPr>
              <w:pStyle w:val="11"/>
            </w:pPr>
            <w:r>
              <w:t>数量</w:t>
            </w:r>
          </w:p>
        </w:tc>
        <w:tc>
          <w:tcPr>
            <w:tcW w:w="850" w:type="dxa"/>
            <w:vMerge w:val="restart"/>
            <w:vAlign w:val="center"/>
          </w:tcPr>
          <w:p w14:paraId="3E132DBF">
            <w:pPr>
              <w:pStyle w:val="11"/>
            </w:pPr>
            <w:r>
              <w:t>单价</w:t>
            </w:r>
          </w:p>
        </w:tc>
        <w:tc>
          <w:tcPr>
            <w:tcW w:w="6748" w:type="dxa"/>
            <w:gridSpan w:val="7"/>
            <w:vAlign w:val="center"/>
          </w:tcPr>
          <w:p w14:paraId="0F46DED7">
            <w:pPr>
              <w:pStyle w:val="11"/>
            </w:pPr>
            <w:r>
              <w:t>政府采购金额（当年部门预算安排资金）</w:t>
            </w:r>
          </w:p>
        </w:tc>
        <w:tc>
          <w:tcPr>
            <w:tcW w:w="964" w:type="dxa"/>
            <w:vMerge w:val="restart"/>
            <w:vAlign w:val="center"/>
          </w:tcPr>
          <w:p w14:paraId="567B7E67">
            <w:pPr>
              <w:pStyle w:val="11"/>
            </w:pPr>
            <w:r>
              <w:t>2025年  预留中  小微企  业份额</w:t>
            </w:r>
          </w:p>
        </w:tc>
      </w:tr>
      <w:tr w14:paraId="2663B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6E22A81">
            <w:pPr>
              <w:pStyle w:val="11"/>
            </w:pPr>
            <w:r>
              <w:t>项目名称</w:t>
            </w:r>
          </w:p>
        </w:tc>
        <w:tc>
          <w:tcPr>
            <w:tcW w:w="964" w:type="dxa"/>
            <w:vAlign w:val="center"/>
          </w:tcPr>
          <w:p w14:paraId="5EE6A5E2">
            <w:pPr>
              <w:pStyle w:val="11"/>
            </w:pPr>
            <w:r>
              <w:t>预算    资金</w:t>
            </w:r>
          </w:p>
        </w:tc>
        <w:tc>
          <w:tcPr>
            <w:tcW w:w="1134" w:type="dxa"/>
            <w:vMerge w:val="continue"/>
          </w:tcPr>
          <w:p w14:paraId="230248F6"/>
        </w:tc>
        <w:tc>
          <w:tcPr>
            <w:tcW w:w="1134" w:type="dxa"/>
            <w:vMerge w:val="continue"/>
          </w:tcPr>
          <w:p w14:paraId="290A0478"/>
        </w:tc>
        <w:tc>
          <w:tcPr>
            <w:tcW w:w="709" w:type="dxa"/>
            <w:vMerge w:val="continue"/>
          </w:tcPr>
          <w:p w14:paraId="56863596"/>
        </w:tc>
        <w:tc>
          <w:tcPr>
            <w:tcW w:w="850" w:type="dxa"/>
            <w:vMerge w:val="continue"/>
          </w:tcPr>
          <w:p w14:paraId="4951D7DC"/>
        </w:tc>
        <w:tc>
          <w:tcPr>
            <w:tcW w:w="850" w:type="dxa"/>
            <w:vMerge w:val="continue"/>
          </w:tcPr>
          <w:p w14:paraId="5C120D51"/>
        </w:tc>
        <w:tc>
          <w:tcPr>
            <w:tcW w:w="964" w:type="dxa"/>
            <w:vAlign w:val="center"/>
          </w:tcPr>
          <w:p w14:paraId="6861D9A4">
            <w:pPr>
              <w:pStyle w:val="11"/>
            </w:pPr>
            <w:r>
              <w:t>合计</w:t>
            </w:r>
          </w:p>
        </w:tc>
        <w:tc>
          <w:tcPr>
            <w:tcW w:w="964" w:type="dxa"/>
            <w:vAlign w:val="center"/>
          </w:tcPr>
          <w:p w14:paraId="3EBB4A5E">
            <w:pPr>
              <w:pStyle w:val="11"/>
            </w:pPr>
            <w:r>
              <w:t>一般公共预算拨款</w:t>
            </w:r>
          </w:p>
        </w:tc>
        <w:tc>
          <w:tcPr>
            <w:tcW w:w="964" w:type="dxa"/>
            <w:vAlign w:val="center"/>
          </w:tcPr>
          <w:p w14:paraId="6958C5CF">
            <w:pPr>
              <w:pStyle w:val="11"/>
            </w:pPr>
            <w:r>
              <w:t>基金预算拨款</w:t>
            </w:r>
          </w:p>
        </w:tc>
        <w:tc>
          <w:tcPr>
            <w:tcW w:w="964" w:type="dxa"/>
            <w:vAlign w:val="center"/>
          </w:tcPr>
          <w:p w14:paraId="6F19E574">
            <w:pPr>
              <w:pStyle w:val="11"/>
            </w:pPr>
            <w:r>
              <w:t>国有资本经营预算拨款</w:t>
            </w:r>
          </w:p>
        </w:tc>
        <w:tc>
          <w:tcPr>
            <w:tcW w:w="964" w:type="dxa"/>
            <w:vAlign w:val="center"/>
          </w:tcPr>
          <w:p w14:paraId="02A21551">
            <w:pPr>
              <w:pStyle w:val="11"/>
            </w:pPr>
            <w:r>
              <w:t>财政专户核拨</w:t>
            </w:r>
          </w:p>
        </w:tc>
        <w:tc>
          <w:tcPr>
            <w:tcW w:w="964" w:type="dxa"/>
            <w:vAlign w:val="center"/>
          </w:tcPr>
          <w:p w14:paraId="272ABB99">
            <w:pPr>
              <w:pStyle w:val="11"/>
            </w:pPr>
            <w:r>
              <w:t>单位    资金</w:t>
            </w:r>
          </w:p>
        </w:tc>
        <w:tc>
          <w:tcPr>
            <w:tcW w:w="964" w:type="dxa"/>
            <w:vAlign w:val="center"/>
          </w:tcPr>
          <w:p w14:paraId="07687120">
            <w:pPr>
              <w:pStyle w:val="11"/>
            </w:pPr>
            <w:r>
              <w:t>上年结转结余</w:t>
            </w:r>
          </w:p>
        </w:tc>
        <w:tc>
          <w:tcPr>
            <w:tcW w:w="964" w:type="dxa"/>
            <w:vMerge w:val="continue"/>
          </w:tcPr>
          <w:p w14:paraId="7FB52B18"/>
        </w:tc>
      </w:tr>
      <w:tr w14:paraId="1EEEA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3988C6">
            <w:pPr>
              <w:pStyle w:val="13"/>
            </w:pPr>
          </w:p>
        </w:tc>
        <w:tc>
          <w:tcPr>
            <w:tcW w:w="964" w:type="dxa"/>
            <w:vAlign w:val="center"/>
          </w:tcPr>
          <w:p w14:paraId="79DBFF96">
            <w:pPr>
              <w:pStyle w:val="14"/>
            </w:pPr>
          </w:p>
        </w:tc>
        <w:tc>
          <w:tcPr>
            <w:tcW w:w="1134" w:type="dxa"/>
            <w:vAlign w:val="center"/>
          </w:tcPr>
          <w:p w14:paraId="0F2ECF27">
            <w:pPr>
              <w:pStyle w:val="13"/>
            </w:pPr>
          </w:p>
        </w:tc>
        <w:tc>
          <w:tcPr>
            <w:tcW w:w="1134" w:type="dxa"/>
            <w:vAlign w:val="center"/>
          </w:tcPr>
          <w:p w14:paraId="58C97E36">
            <w:pPr>
              <w:pStyle w:val="13"/>
            </w:pPr>
          </w:p>
        </w:tc>
        <w:tc>
          <w:tcPr>
            <w:tcW w:w="709" w:type="dxa"/>
            <w:vAlign w:val="center"/>
          </w:tcPr>
          <w:p w14:paraId="6DBD6F4C">
            <w:pPr>
              <w:pStyle w:val="12"/>
            </w:pPr>
          </w:p>
        </w:tc>
        <w:tc>
          <w:tcPr>
            <w:tcW w:w="850" w:type="dxa"/>
            <w:vAlign w:val="center"/>
          </w:tcPr>
          <w:p w14:paraId="4047EB38">
            <w:pPr>
              <w:pStyle w:val="14"/>
            </w:pPr>
          </w:p>
        </w:tc>
        <w:tc>
          <w:tcPr>
            <w:tcW w:w="850" w:type="dxa"/>
            <w:vAlign w:val="center"/>
          </w:tcPr>
          <w:p w14:paraId="2A997D4B">
            <w:pPr>
              <w:pStyle w:val="14"/>
            </w:pPr>
          </w:p>
        </w:tc>
        <w:tc>
          <w:tcPr>
            <w:tcW w:w="964" w:type="dxa"/>
            <w:vAlign w:val="center"/>
          </w:tcPr>
          <w:p w14:paraId="271732F6">
            <w:pPr>
              <w:pStyle w:val="14"/>
            </w:pPr>
          </w:p>
        </w:tc>
        <w:tc>
          <w:tcPr>
            <w:tcW w:w="964" w:type="dxa"/>
            <w:vAlign w:val="center"/>
          </w:tcPr>
          <w:p w14:paraId="4F3BB10A">
            <w:pPr>
              <w:pStyle w:val="14"/>
            </w:pPr>
          </w:p>
        </w:tc>
        <w:tc>
          <w:tcPr>
            <w:tcW w:w="964" w:type="dxa"/>
            <w:vAlign w:val="center"/>
          </w:tcPr>
          <w:p w14:paraId="13626BCA">
            <w:pPr>
              <w:pStyle w:val="14"/>
            </w:pPr>
          </w:p>
        </w:tc>
        <w:tc>
          <w:tcPr>
            <w:tcW w:w="964" w:type="dxa"/>
            <w:vAlign w:val="center"/>
          </w:tcPr>
          <w:p w14:paraId="59B21894">
            <w:pPr>
              <w:pStyle w:val="14"/>
            </w:pPr>
          </w:p>
        </w:tc>
        <w:tc>
          <w:tcPr>
            <w:tcW w:w="964" w:type="dxa"/>
            <w:vAlign w:val="center"/>
          </w:tcPr>
          <w:p w14:paraId="03A844C5">
            <w:pPr>
              <w:pStyle w:val="14"/>
            </w:pPr>
          </w:p>
        </w:tc>
        <w:tc>
          <w:tcPr>
            <w:tcW w:w="964" w:type="dxa"/>
            <w:vAlign w:val="center"/>
          </w:tcPr>
          <w:p w14:paraId="4BF04CB1">
            <w:pPr>
              <w:pStyle w:val="14"/>
            </w:pPr>
          </w:p>
        </w:tc>
        <w:tc>
          <w:tcPr>
            <w:tcW w:w="964" w:type="dxa"/>
            <w:vAlign w:val="center"/>
          </w:tcPr>
          <w:p w14:paraId="52BEEBBF">
            <w:pPr>
              <w:pStyle w:val="14"/>
            </w:pPr>
          </w:p>
        </w:tc>
        <w:tc>
          <w:tcPr>
            <w:tcW w:w="964" w:type="dxa"/>
            <w:vAlign w:val="center"/>
          </w:tcPr>
          <w:p w14:paraId="2AEEB177">
            <w:pPr>
              <w:pStyle w:val="14"/>
            </w:pPr>
          </w:p>
        </w:tc>
      </w:tr>
    </w:tbl>
    <w:p w14:paraId="69A708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DCFD1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B47CF2">
      <w:pPr>
        <w:spacing w:before="0" w:after="0"/>
        <w:ind w:firstLine="640"/>
        <w:jc w:val="left"/>
        <w:outlineLvl w:val="9"/>
      </w:pPr>
      <w:r>
        <w:rPr>
          <w:rFonts w:ascii="Times New Roman" w:hAnsi="Times New Roman" w:eastAsia="方正仿宋_GBK" w:cs="Times New Roman"/>
          <w:color w:val="000000"/>
          <w:sz w:val="32"/>
        </w:rPr>
        <w:t xml:space="preserve"> </w:t>
      </w:r>
    </w:p>
    <w:p w14:paraId="25505334">
      <w:pPr>
        <w:spacing w:before="10" w:after="10" w:line="240" w:lineRule="auto"/>
        <w:ind w:firstLine="640"/>
        <w:jc w:val="left"/>
        <w:outlineLvl w:val="5"/>
      </w:pPr>
      <w:r>
        <w:rPr>
          <w:rFonts w:ascii="黑体" w:hAnsi="黑体" w:eastAsia="黑体" w:cs="黑体"/>
          <w:color w:val="000000"/>
          <w:sz w:val="32"/>
        </w:rPr>
        <w:t>七、国有资产信息</w:t>
      </w:r>
    </w:p>
    <w:p w14:paraId="0AEDCD6E">
      <w:pPr>
        <w:spacing w:before="0" w:after="0" w:line="500" w:lineRule="exact"/>
        <w:ind w:firstLine="560"/>
        <w:jc w:val="left"/>
        <w:outlineLvl w:val="9"/>
      </w:pPr>
      <w:r>
        <w:rPr>
          <w:rFonts w:ascii="Times New Roman" w:hAnsi="Times New Roman" w:eastAsia="方正仿宋_GBK" w:cs="Times New Roman"/>
          <w:b w:val="0"/>
          <w:color w:val="000000"/>
          <w:sz w:val="28"/>
        </w:rPr>
        <w:t>隆尧县实验幼儿园上年末固定资产金额为</w:t>
      </w:r>
      <w:r>
        <w:rPr>
          <w:rFonts w:ascii="Times New Roman" w:hAnsi="Times New Roman" w:eastAsia="方正仿宋_GBK" w:cs="Times New Roman"/>
          <w:b w:val="0"/>
          <w:color w:val="auto"/>
          <w:sz w:val="28"/>
        </w:rPr>
        <w:t>925.00万</w:t>
      </w:r>
      <w:r>
        <w:rPr>
          <w:rFonts w:ascii="Times New Roman" w:hAnsi="Times New Roman" w:eastAsia="方正仿宋_GBK" w:cs="Times New Roman"/>
          <w:b w:val="0"/>
          <w:color w:val="000000"/>
          <w:sz w:val="28"/>
        </w:rPr>
        <w:t>元（详见下表）。本年度拟购置固定资产总额为0.00万元，已按要求列入政府采购预算，详见政府采购预算表。</w:t>
      </w:r>
    </w:p>
    <w:p w14:paraId="622B17C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769E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D3F7A06">
            <w:pPr>
              <w:pStyle w:val="8"/>
            </w:pPr>
            <w:r>
              <w:t>360029隆尧县实验幼儿园</w:t>
            </w:r>
          </w:p>
        </w:tc>
        <w:tc>
          <w:tcPr>
            <w:tcW w:w="5670" w:type="dxa"/>
            <w:gridSpan w:val="2"/>
            <w:tcBorders>
              <w:top w:val="single" w:color="FFFFFF" w:sz="6" w:space="0"/>
              <w:left w:val="single" w:color="FFFFFF" w:sz="6" w:space="0"/>
              <w:right w:val="single" w:color="FFFFFF" w:sz="6" w:space="0"/>
            </w:tcBorders>
            <w:vAlign w:val="center"/>
          </w:tcPr>
          <w:p w14:paraId="2BE5C07E">
            <w:pPr>
              <w:pStyle w:val="10"/>
            </w:pPr>
            <w:r>
              <w:t>截止时间：2024-12-31</w:t>
            </w:r>
          </w:p>
        </w:tc>
      </w:tr>
      <w:tr w14:paraId="0C3E0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FB3076D">
            <w:pPr>
              <w:pStyle w:val="11"/>
            </w:pPr>
            <w:r>
              <w:t>项   目</w:t>
            </w:r>
          </w:p>
        </w:tc>
        <w:tc>
          <w:tcPr>
            <w:tcW w:w="2835" w:type="dxa"/>
            <w:vAlign w:val="center"/>
          </w:tcPr>
          <w:p w14:paraId="7A3CEDFB">
            <w:pPr>
              <w:pStyle w:val="11"/>
            </w:pPr>
            <w:r>
              <w:t>数量</w:t>
            </w:r>
          </w:p>
        </w:tc>
        <w:tc>
          <w:tcPr>
            <w:tcW w:w="2835" w:type="dxa"/>
            <w:vAlign w:val="center"/>
          </w:tcPr>
          <w:p w14:paraId="490E8C93">
            <w:pPr>
              <w:pStyle w:val="11"/>
            </w:pPr>
            <w:r>
              <w:t>价值（金额单位：万元）</w:t>
            </w:r>
          </w:p>
        </w:tc>
      </w:tr>
      <w:tr w14:paraId="6A226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60C0E9">
            <w:pPr>
              <w:pStyle w:val="13"/>
            </w:pPr>
            <w:r>
              <w:t>资产总额</w:t>
            </w:r>
          </w:p>
        </w:tc>
        <w:tc>
          <w:tcPr>
            <w:tcW w:w="2835" w:type="dxa"/>
            <w:vAlign w:val="center"/>
          </w:tcPr>
          <w:p w14:paraId="06406BF8">
            <w:pPr>
              <w:pStyle w:val="12"/>
            </w:pPr>
          </w:p>
        </w:tc>
        <w:tc>
          <w:tcPr>
            <w:tcW w:w="2835" w:type="dxa"/>
            <w:vAlign w:val="center"/>
          </w:tcPr>
          <w:p w14:paraId="16CCC482">
            <w:pPr>
              <w:pStyle w:val="14"/>
            </w:pPr>
            <w:r>
              <w:t>925.00</w:t>
            </w:r>
          </w:p>
        </w:tc>
      </w:tr>
      <w:tr w14:paraId="2A464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A04229">
            <w:pPr>
              <w:pStyle w:val="13"/>
            </w:pPr>
            <w:r>
              <w:t>1、房屋（平方米）</w:t>
            </w:r>
          </w:p>
        </w:tc>
        <w:tc>
          <w:tcPr>
            <w:tcW w:w="2835" w:type="dxa"/>
            <w:vAlign w:val="center"/>
          </w:tcPr>
          <w:p w14:paraId="36B81B0C">
            <w:pPr>
              <w:pStyle w:val="12"/>
            </w:pPr>
            <w:r>
              <w:t>3567</w:t>
            </w:r>
          </w:p>
        </w:tc>
        <w:tc>
          <w:tcPr>
            <w:tcW w:w="2835" w:type="dxa"/>
            <w:vAlign w:val="center"/>
          </w:tcPr>
          <w:p w14:paraId="4943629E">
            <w:pPr>
              <w:pStyle w:val="14"/>
            </w:pPr>
            <w:r>
              <w:t>887.72</w:t>
            </w:r>
          </w:p>
        </w:tc>
      </w:tr>
      <w:tr w14:paraId="48A8F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B07FEC">
            <w:pPr>
              <w:pStyle w:val="13"/>
            </w:pPr>
            <w:r>
              <w:t>　　其中：办公用房（平方米）</w:t>
            </w:r>
          </w:p>
        </w:tc>
        <w:tc>
          <w:tcPr>
            <w:tcW w:w="2835" w:type="dxa"/>
            <w:vAlign w:val="center"/>
          </w:tcPr>
          <w:p w14:paraId="5025FCFB">
            <w:pPr>
              <w:pStyle w:val="12"/>
            </w:pPr>
            <w:r>
              <w:t>800</w:t>
            </w:r>
          </w:p>
        </w:tc>
        <w:tc>
          <w:tcPr>
            <w:tcW w:w="2835" w:type="dxa"/>
            <w:vAlign w:val="center"/>
          </w:tcPr>
          <w:p w14:paraId="6434050B">
            <w:pPr>
              <w:pStyle w:val="14"/>
            </w:pPr>
            <w:r>
              <w:t>196.51</w:t>
            </w:r>
          </w:p>
        </w:tc>
      </w:tr>
      <w:tr w14:paraId="31D9C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A2BF9F">
            <w:pPr>
              <w:pStyle w:val="13"/>
            </w:pPr>
            <w:r>
              <w:t>2、车辆（台、辆）</w:t>
            </w:r>
          </w:p>
        </w:tc>
        <w:tc>
          <w:tcPr>
            <w:tcW w:w="2835" w:type="dxa"/>
            <w:vAlign w:val="center"/>
          </w:tcPr>
          <w:p w14:paraId="2DAACF34">
            <w:pPr>
              <w:pStyle w:val="12"/>
            </w:pPr>
          </w:p>
        </w:tc>
        <w:tc>
          <w:tcPr>
            <w:tcW w:w="2835" w:type="dxa"/>
            <w:vAlign w:val="center"/>
          </w:tcPr>
          <w:p w14:paraId="1D3895F6">
            <w:pPr>
              <w:pStyle w:val="14"/>
            </w:pPr>
          </w:p>
        </w:tc>
      </w:tr>
      <w:tr w14:paraId="1CD62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14:paraId="310815F6">
            <w:pPr>
              <w:pStyle w:val="13"/>
            </w:pPr>
            <w:r>
              <w:t>3、单价在20万元以上的设备</w:t>
            </w:r>
          </w:p>
        </w:tc>
        <w:tc>
          <w:tcPr>
            <w:tcW w:w="2835" w:type="dxa"/>
            <w:vAlign w:val="center"/>
          </w:tcPr>
          <w:p w14:paraId="4880E093">
            <w:pPr>
              <w:pStyle w:val="12"/>
            </w:pPr>
          </w:p>
        </w:tc>
        <w:tc>
          <w:tcPr>
            <w:tcW w:w="2835" w:type="dxa"/>
            <w:vAlign w:val="center"/>
          </w:tcPr>
          <w:p w14:paraId="382B5D1A">
            <w:pPr>
              <w:pStyle w:val="14"/>
            </w:pPr>
          </w:p>
        </w:tc>
      </w:tr>
      <w:tr w14:paraId="6246F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15CDC9">
            <w:pPr>
              <w:pStyle w:val="13"/>
            </w:pPr>
            <w:r>
              <w:t>4、其他固定资产</w:t>
            </w:r>
          </w:p>
        </w:tc>
        <w:tc>
          <w:tcPr>
            <w:tcW w:w="2835" w:type="dxa"/>
            <w:vAlign w:val="center"/>
          </w:tcPr>
          <w:p w14:paraId="39E27BD4">
            <w:pPr>
              <w:pStyle w:val="12"/>
            </w:pPr>
            <w:r>
              <w:t>38</w:t>
            </w:r>
          </w:p>
        </w:tc>
        <w:tc>
          <w:tcPr>
            <w:tcW w:w="2835" w:type="dxa"/>
            <w:vAlign w:val="center"/>
          </w:tcPr>
          <w:p w14:paraId="7ED79557">
            <w:pPr>
              <w:pStyle w:val="14"/>
            </w:pPr>
            <w:r>
              <w:t>37.28</w:t>
            </w:r>
          </w:p>
        </w:tc>
      </w:tr>
    </w:tbl>
    <w:p w14:paraId="481F3158">
      <w:pPr>
        <w:spacing w:before="0" w:after="0"/>
        <w:ind w:firstLine="640"/>
        <w:jc w:val="left"/>
        <w:outlineLvl w:val="9"/>
      </w:pPr>
      <w:r>
        <w:rPr>
          <w:rFonts w:ascii="Times New Roman" w:hAnsi="Times New Roman" w:eastAsia="方正仿宋_GBK" w:cs="Times New Roman"/>
          <w:color w:val="000000"/>
          <w:sz w:val="32"/>
        </w:rPr>
        <w:t xml:space="preserve"> </w:t>
      </w:r>
    </w:p>
    <w:p w14:paraId="4A8E6804">
      <w:pPr>
        <w:spacing w:before="10" w:after="10" w:line="240" w:lineRule="auto"/>
        <w:ind w:firstLine="640"/>
        <w:jc w:val="left"/>
        <w:outlineLvl w:val="5"/>
      </w:pPr>
      <w:r>
        <w:rPr>
          <w:rFonts w:ascii="黑体" w:hAnsi="黑体" w:eastAsia="黑体" w:cs="黑体"/>
          <w:color w:val="000000"/>
          <w:sz w:val="32"/>
        </w:rPr>
        <w:t>八、名词解释</w:t>
      </w:r>
    </w:p>
    <w:p w14:paraId="48FFDA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48946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B201A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9E4F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4661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E451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65876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49C56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F78C29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95DF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25389D">
      <w:pPr>
        <w:spacing w:before="10" w:after="10" w:line="240" w:lineRule="auto"/>
        <w:ind w:firstLine="640"/>
        <w:jc w:val="left"/>
        <w:outlineLvl w:val="5"/>
      </w:pPr>
      <w:r>
        <w:rPr>
          <w:rFonts w:ascii="黑体" w:hAnsi="黑体" w:eastAsia="黑体" w:cs="黑体"/>
          <w:color w:val="000000"/>
          <w:sz w:val="32"/>
        </w:rPr>
        <w:t>九、其他需要说明的事项</w:t>
      </w:r>
    </w:p>
    <w:p w14:paraId="48AB49F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07B8FE0">
      <w:pPr>
        <w:spacing w:before="0" w:after="0"/>
        <w:ind w:firstLine="0"/>
        <w:jc w:val="center"/>
        <w:outlineLvl w:val="3"/>
      </w:pPr>
      <w:bookmarkStart w:id="29" w:name="_Toc_4_4_0000000049"/>
      <w:r>
        <w:rPr>
          <w:rFonts w:ascii="方正小标宋_GBK" w:hAnsi="方正小标宋_GBK" w:eastAsia="方正小标宋_GBK" w:cs="方正小标宋_GBK"/>
          <w:b w:val="0"/>
          <w:color w:val="000000"/>
          <w:sz w:val="44"/>
        </w:rPr>
        <w:t>二十九、隆尧县第二实验小学收支预算</w:t>
      </w:r>
      <w:bookmarkEnd w:id="29"/>
    </w:p>
    <w:p w14:paraId="11494B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CD18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DAFED2">
            <w:pPr>
              <w:pStyle w:val="8"/>
            </w:pPr>
            <w:r>
              <w:t>360030隆尧县第二实验小学</w:t>
            </w:r>
          </w:p>
        </w:tc>
        <w:tc>
          <w:tcPr>
            <w:tcW w:w="2126" w:type="dxa"/>
            <w:tcBorders>
              <w:top w:val="single" w:color="FFFFFF" w:sz="6" w:space="0"/>
              <w:left w:val="single" w:color="FFFFFF" w:sz="6" w:space="0"/>
              <w:right w:val="single" w:color="FFFFFF" w:sz="6" w:space="0"/>
            </w:tcBorders>
            <w:vAlign w:val="center"/>
          </w:tcPr>
          <w:p w14:paraId="7B222E7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3629968">
            <w:pPr>
              <w:pStyle w:val="10"/>
            </w:pPr>
            <w:r>
              <w:t>单位：万元</w:t>
            </w:r>
          </w:p>
        </w:tc>
      </w:tr>
      <w:tr w14:paraId="46BC4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A3530">
            <w:pPr>
              <w:pStyle w:val="11"/>
            </w:pPr>
            <w:r>
              <w:t>序号</w:t>
            </w:r>
          </w:p>
        </w:tc>
        <w:tc>
          <w:tcPr>
            <w:tcW w:w="6661" w:type="dxa"/>
            <w:gridSpan w:val="2"/>
            <w:vAlign w:val="center"/>
          </w:tcPr>
          <w:p w14:paraId="7E45DCF7">
            <w:pPr>
              <w:pStyle w:val="11"/>
            </w:pPr>
            <w:r>
              <w:t>收入</w:t>
            </w:r>
          </w:p>
        </w:tc>
        <w:tc>
          <w:tcPr>
            <w:tcW w:w="6661" w:type="dxa"/>
            <w:gridSpan w:val="2"/>
            <w:vAlign w:val="center"/>
          </w:tcPr>
          <w:p w14:paraId="43710FB2">
            <w:pPr>
              <w:pStyle w:val="11"/>
            </w:pPr>
            <w:r>
              <w:t>支出</w:t>
            </w:r>
          </w:p>
        </w:tc>
      </w:tr>
      <w:tr w14:paraId="414EB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04F620"/>
        </w:tc>
        <w:tc>
          <w:tcPr>
            <w:tcW w:w="4535" w:type="dxa"/>
            <w:vAlign w:val="center"/>
          </w:tcPr>
          <w:p w14:paraId="240E4E7E">
            <w:pPr>
              <w:pStyle w:val="11"/>
            </w:pPr>
            <w:r>
              <w:t>项  目</w:t>
            </w:r>
          </w:p>
        </w:tc>
        <w:tc>
          <w:tcPr>
            <w:tcW w:w="2126" w:type="dxa"/>
            <w:vAlign w:val="center"/>
          </w:tcPr>
          <w:p w14:paraId="1D4BC45E">
            <w:pPr>
              <w:pStyle w:val="11"/>
            </w:pPr>
            <w:r>
              <w:t>预算数</w:t>
            </w:r>
          </w:p>
        </w:tc>
        <w:tc>
          <w:tcPr>
            <w:tcW w:w="4535" w:type="dxa"/>
            <w:vAlign w:val="center"/>
          </w:tcPr>
          <w:p w14:paraId="2F874069">
            <w:pPr>
              <w:pStyle w:val="11"/>
            </w:pPr>
            <w:r>
              <w:t>项  目</w:t>
            </w:r>
          </w:p>
        </w:tc>
        <w:tc>
          <w:tcPr>
            <w:tcW w:w="2126" w:type="dxa"/>
            <w:vAlign w:val="center"/>
          </w:tcPr>
          <w:p w14:paraId="5FFA106C">
            <w:pPr>
              <w:pStyle w:val="11"/>
            </w:pPr>
            <w:r>
              <w:t>预算数</w:t>
            </w:r>
          </w:p>
        </w:tc>
      </w:tr>
      <w:tr w14:paraId="6253B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755EAB">
            <w:pPr>
              <w:pStyle w:val="11"/>
            </w:pPr>
            <w:r>
              <w:t>栏次</w:t>
            </w:r>
          </w:p>
        </w:tc>
        <w:tc>
          <w:tcPr>
            <w:tcW w:w="4535" w:type="dxa"/>
            <w:vAlign w:val="center"/>
          </w:tcPr>
          <w:p w14:paraId="45E0ED79">
            <w:pPr>
              <w:pStyle w:val="11"/>
            </w:pPr>
            <w:r>
              <w:t>1</w:t>
            </w:r>
          </w:p>
        </w:tc>
        <w:tc>
          <w:tcPr>
            <w:tcW w:w="2126" w:type="dxa"/>
            <w:vAlign w:val="center"/>
          </w:tcPr>
          <w:p w14:paraId="7FA83BEE">
            <w:pPr>
              <w:pStyle w:val="11"/>
            </w:pPr>
            <w:r>
              <w:t>2</w:t>
            </w:r>
          </w:p>
        </w:tc>
        <w:tc>
          <w:tcPr>
            <w:tcW w:w="4535" w:type="dxa"/>
            <w:vAlign w:val="center"/>
          </w:tcPr>
          <w:p w14:paraId="5AF3036F">
            <w:pPr>
              <w:pStyle w:val="11"/>
            </w:pPr>
            <w:r>
              <w:t>3</w:t>
            </w:r>
          </w:p>
        </w:tc>
        <w:tc>
          <w:tcPr>
            <w:tcW w:w="2126" w:type="dxa"/>
            <w:vAlign w:val="center"/>
          </w:tcPr>
          <w:p w14:paraId="2D6E1224">
            <w:pPr>
              <w:pStyle w:val="11"/>
            </w:pPr>
            <w:r>
              <w:t>4</w:t>
            </w:r>
          </w:p>
        </w:tc>
      </w:tr>
      <w:tr w14:paraId="330F6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AC154">
            <w:pPr>
              <w:pStyle w:val="12"/>
            </w:pPr>
            <w:r>
              <w:t>1</w:t>
            </w:r>
          </w:p>
        </w:tc>
        <w:tc>
          <w:tcPr>
            <w:tcW w:w="4535" w:type="dxa"/>
            <w:vAlign w:val="center"/>
          </w:tcPr>
          <w:p w14:paraId="5A47D3FB">
            <w:pPr>
              <w:pStyle w:val="13"/>
            </w:pPr>
            <w:r>
              <w:t>一、一般公共预算拨款收入</w:t>
            </w:r>
          </w:p>
        </w:tc>
        <w:tc>
          <w:tcPr>
            <w:tcW w:w="2126" w:type="dxa"/>
            <w:vAlign w:val="center"/>
          </w:tcPr>
          <w:p w14:paraId="682AA374">
            <w:pPr>
              <w:pStyle w:val="14"/>
            </w:pPr>
            <w:r>
              <w:t>1910.76</w:t>
            </w:r>
          </w:p>
        </w:tc>
        <w:tc>
          <w:tcPr>
            <w:tcW w:w="4535" w:type="dxa"/>
            <w:vAlign w:val="center"/>
          </w:tcPr>
          <w:p w14:paraId="1C98B949">
            <w:pPr>
              <w:pStyle w:val="13"/>
            </w:pPr>
            <w:r>
              <w:t>一、一般公共服务支出</w:t>
            </w:r>
          </w:p>
        </w:tc>
        <w:tc>
          <w:tcPr>
            <w:tcW w:w="2126" w:type="dxa"/>
            <w:vAlign w:val="center"/>
          </w:tcPr>
          <w:p w14:paraId="34F54773">
            <w:pPr>
              <w:pStyle w:val="14"/>
            </w:pPr>
          </w:p>
        </w:tc>
      </w:tr>
      <w:tr w14:paraId="723C8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D09E8">
            <w:pPr>
              <w:pStyle w:val="12"/>
            </w:pPr>
            <w:r>
              <w:t>2</w:t>
            </w:r>
          </w:p>
        </w:tc>
        <w:tc>
          <w:tcPr>
            <w:tcW w:w="4535" w:type="dxa"/>
            <w:vAlign w:val="center"/>
          </w:tcPr>
          <w:p w14:paraId="6AC576F4">
            <w:pPr>
              <w:pStyle w:val="13"/>
            </w:pPr>
            <w:r>
              <w:t>二、政府性基金预算拨款收入</w:t>
            </w:r>
          </w:p>
        </w:tc>
        <w:tc>
          <w:tcPr>
            <w:tcW w:w="2126" w:type="dxa"/>
            <w:vAlign w:val="center"/>
          </w:tcPr>
          <w:p w14:paraId="440BE68B">
            <w:pPr>
              <w:pStyle w:val="14"/>
            </w:pPr>
          </w:p>
        </w:tc>
        <w:tc>
          <w:tcPr>
            <w:tcW w:w="4535" w:type="dxa"/>
            <w:vAlign w:val="center"/>
          </w:tcPr>
          <w:p w14:paraId="0DCAD209">
            <w:pPr>
              <w:pStyle w:val="13"/>
            </w:pPr>
            <w:r>
              <w:t>二、外交支出</w:t>
            </w:r>
          </w:p>
        </w:tc>
        <w:tc>
          <w:tcPr>
            <w:tcW w:w="2126" w:type="dxa"/>
            <w:vAlign w:val="center"/>
          </w:tcPr>
          <w:p w14:paraId="461B485E">
            <w:pPr>
              <w:pStyle w:val="14"/>
            </w:pPr>
          </w:p>
        </w:tc>
      </w:tr>
      <w:tr w14:paraId="74859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78F27">
            <w:pPr>
              <w:pStyle w:val="12"/>
            </w:pPr>
            <w:r>
              <w:t>3</w:t>
            </w:r>
          </w:p>
        </w:tc>
        <w:tc>
          <w:tcPr>
            <w:tcW w:w="4535" w:type="dxa"/>
            <w:vAlign w:val="center"/>
          </w:tcPr>
          <w:p w14:paraId="6609D86A">
            <w:pPr>
              <w:pStyle w:val="13"/>
            </w:pPr>
            <w:r>
              <w:t>三、国有资本经营预算拨款收入</w:t>
            </w:r>
          </w:p>
        </w:tc>
        <w:tc>
          <w:tcPr>
            <w:tcW w:w="2126" w:type="dxa"/>
            <w:vAlign w:val="center"/>
          </w:tcPr>
          <w:p w14:paraId="428F3958">
            <w:pPr>
              <w:pStyle w:val="14"/>
            </w:pPr>
          </w:p>
        </w:tc>
        <w:tc>
          <w:tcPr>
            <w:tcW w:w="4535" w:type="dxa"/>
            <w:vAlign w:val="center"/>
          </w:tcPr>
          <w:p w14:paraId="249EFB89">
            <w:pPr>
              <w:pStyle w:val="13"/>
            </w:pPr>
            <w:r>
              <w:t>三、国防支出</w:t>
            </w:r>
          </w:p>
        </w:tc>
        <w:tc>
          <w:tcPr>
            <w:tcW w:w="2126" w:type="dxa"/>
            <w:vAlign w:val="center"/>
          </w:tcPr>
          <w:p w14:paraId="2AD21AFB">
            <w:pPr>
              <w:pStyle w:val="14"/>
            </w:pPr>
          </w:p>
        </w:tc>
      </w:tr>
      <w:tr w14:paraId="2DD01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F7B96">
            <w:pPr>
              <w:pStyle w:val="12"/>
            </w:pPr>
            <w:r>
              <w:t>4</w:t>
            </w:r>
          </w:p>
        </w:tc>
        <w:tc>
          <w:tcPr>
            <w:tcW w:w="4535" w:type="dxa"/>
            <w:vAlign w:val="center"/>
          </w:tcPr>
          <w:p w14:paraId="58B23898">
            <w:pPr>
              <w:pStyle w:val="13"/>
            </w:pPr>
            <w:r>
              <w:t>四、财政专户管理资金收入</w:t>
            </w:r>
          </w:p>
        </w:tc>
        <w:tc>
          <w:tcPr>
            <w:tcW w:w="2126" w:type="dxa"/>
            <w:vAlign w:val="center"/>
          </w:tcPr>
          <w:p w14:paraId="1B97D660">
            <w:pPr>
              <w:pStyle w:val="14"/>
            </w:pPr>
          </w:p>
        </w:tc>
        <w:tc>
          <w:tcPr>
            <w:tcW w:w="4535" w:type="dxa"/>
            <w:vAlign w:val="center"/>
          </w:tcPr>
          <w:p w14:paraId="783C9F2E">
            <w:pPr>
              <w:pStyle w:val="13"/>
            </w:pPr>
            <w:r>
              <w:t>四、公共安全支出</w:t>
            </w:r>
          </w:p>
        </w:tc>
        <w:tc>
          <w:tcPr>
            <w:tcW w:w="2126" w:type="dxa"/>
            <w:vAlign w:val="center"/>
          </w:tcPr>
          <w:p w14:paraId="195AAA9F">
            <w:pPr>
              <w:pStyle w:val="14"/>
            </w:pPr>
          </w:p>
        </w:tc>
      </w:tr>
      <w:tr w14:paraId="01890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D7672">
            <w:pPr>
              <w:pStyle w:val="12"/>
            </w:pPr>
            <w:r>
              <w:t>5</w:t>
            </w:r>
          </w:p>
        </w:tc>
        <w:tc>
          <w:tcPr>
            <w:tcW w:w="4535" w:type="dxa"/>
            <w:vAlign w:val="center"/>
          </w:tcPr>
          <w:p w14:paraId="3DD47178">
            <w:pPr>
              <w:pStyle w:val="13"/>
            </w:pPr>
            <w:r>
              <w:t>五、单位资金</w:t>
            </w:r>
          </w:p>
        </w:tc>
        <w:tc>
          <w:tcPr>
            <w:tcW w:w="2126" w:type="dxa"/>
            <w:vAlign w:val="center"/>
          </w:tcPr>
          <w:p w14:paraId="49553510">
            <w:pPr>
              <w:pStyle w:val="14"/>
            </w:pPr>
          </w:p>
        </w:tc>
        <w:tc>
          <w:tcPr>
            <w:tcW w:w="4535" w:type="dxa"/>
            <w:vAlign w:val="center"/>
          </w:tcPr>
          <w:p w14:paraId="7007120C">
            <w:pPr>
              <w:pStyle w:val="13"/>
            </w:pPr>
            <w:r>
              <w:t>五、教育支出</w:t>
            </w:r>
          </w:p>
        </w:tc>
        <w:tc>
          <w:tcPr>
            <w:tcW w:w="2126" w:type="dxa"/>
            <w:vAlign w:val="center"/>
          </w:tcPr>
          <w:p w14:paraId="2B76B9C0">
            <w:pPr>
              <w:pStyle w:val="14"/>
            </w:pPr>
            <w:r>
              <w:t>2063.33</w:t>
            </w:r>
          </w:p>
        </w:tc>
      </w:tr>
      <w:tr w14:paraId="29C2A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C629E">
            <w:pPr>
              <w:pStyle w:val="12"/>
            </w:pPr>
            <w:r>
              <w:t>6</w:t>
            </w:r>
          </w:p>
        </w:tc>
        <w:tc>
          <w:tcPr>
            <w:tcW w:w="4535" w:type="dxa"/>
            <w:vAlign w:val="center"/>
          </w:tcPr>
          <w:p w14:paraId="359EB5A7">
            <w:pPr>
              <w:pStyle w:val="13"/>
            </w:pPr>
          </w:p>
        </w:tc>
        <w:tc>
          <w:tcPr>
            <w:tcW w:w="2126" w:type="dxa"/>
            <w:vAlign w:val="center"/>
          </w:tcPr>
          <w:p w14:paraId="6DC6AA0D">
            <w:pPr>
              <w:pStyle w:val="14"/>
            </w:pPr>
          </w:p>
        </w:tc>
        <w:tc>
          <w:tcPr>
            <w:tcW w:w="4535" w:type="dxa"/>
            <w:vAlign w:val="center"/>
          </w:tcPr>
          <w:p w14:paraId="4EB5E020">
            <w:pPr>
              <w:pStyle w:val="13"/>
            </w:pPr>
            <w:r>
              <w:t>六、科学技术支出</w:t>
            </w:r>
          </w:p>
        </w:tc>
        <w:tc>
          <w:tcPr>
            <w:tcW w:w="2126" w:type="dxa"/>
            <w:vAlign w:val="center"/>
          </w:tcPr>
          <w:p w14:paraId="7061D462">
            <w:pPr>
              <w:pStyle w:val="14"/>
            </w:pPr>
          </w:p>
        </w:tc>
      </w:tr>
      <w:tr w14:paraId="6ECF2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5C0DA">
            <w:pPr>
              <w:pStyle w:val="12"/>
            </w:pPr>
            <w:r>
              <w:t>7</w:t>
            </w:r>
          </w:p>
        </w:tc>
        <w:tc>
          <w:tcPr>
            <w:tcW w:w="4535" w:type="dxa"/>
            <w:vAlign w:val="center"/>
          </w:tcPr>
          <w:p w14:paraId="0BC647A3">
            <w:pPr>
              <w:pStyle w:val="13"/>
            </w:pPr>
          </w:p>
        </w:tc>
        <w:tc>
          <w:tcPr>
            <w:tcW w:w="2126" w:type="dxa"/>
            <w:vAlign w:val="center"/>
          </w:tcPr>
          <w:p w14:paraId="205E0FFB">
            <w:pPr>
              <w:pStyle w:val="14"/>
            </w:pPr>
          </w:p>
        </w:tc>
        <w:tc>
          <w:tcPr>
            <w:tcW w:w="4535" w:type="dxa"/>
            <w:vAlign w:val="center"/>
          </w:tcPr>
          <w:p w14:paraId="5FFDC4F1">
            <w:pPr>
              <w:pStyle w:val="13"/>
            </w:pPr>
            <w:r>
              <w:t>七、文化旅游体育与传媒支出</w:t>
            </w:r>
          </w:p>
        </w:tc>
        <w:tc>
          <w:tcPr>
            <w:tcW w:w="2126" w:type="dxa"/>
            <w:vAlign w:val="center"/>
          </w:tcPr>
          <w:p w14:paraId="0E563B69">
            <w:pPr>
              <w:pStyle w:val="14"/>
            </w:pPr>
          </w:p>
        </w:tc>
      </w:tr>
      <w:tr w14:paraId="32D5C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778CF">
            <w:pPr>
              <w:pStyle w:val="12"/>
            </w:pPr>
            <w:r>
              <w:t>8</w:t>
            </w:r>
          </w:p>
        </w:tc>
        <w:tc>
          <w:tcPr>
            <w:tcW w:w="4535" w:type="dxa"/>
            <w:vAlign w:val="center"/>
          </w:tcPr>
          <w:p w14:paraId="5481AF2A">
            <w:pPr>
              <w:pStyle w:val="13"/>
            </w:pPr>
          </w:p>
        </w:tc>
        <w:tc>
          <w:tcPr>
            <w:tcW w:w="2126" w:type="dxa"/>
            <w:vAlign w:val="center"/>
          </w:tcPr>
          <w:p w14:paraId="1B536C76">
            <w:pPr>
              <w:pStyle w:val="14"/>
            </w:pPr>
          </w:p>
        </w:tc>
        <w:tc>
          <w:tcPr>
            <w:tcW w:w="4535" w:type="dxa"/>
            <w:vAlign w:val="center"/>
          </w:tcPr>
          <w:p w14:paraId="4FBE66E9">
            <w:pPr>
              <w:pStyle w:val="13"/>
            </w:pPr>
            <w:r>
              <w:t>八、社会保障和就业支出</w:t>
            </w:r>
          </w:p>
        </w:tc>
        <w:tc>
          <w:tcPr>
            <w:tcW w:w="2126" w:type="dxa"/>
            <w:vAlign w:val="center"/>
          </w:tcPr>
          <w:p w14:paraId="705768E8">
            <w:pPr>
              <w:pStyle w:val="14"/>
            </w:pPr>
          </w:p>
        </w:tc>
      </w:tr>
      <w:tr w14:paraId="4A229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C67B8">
            <w:pPr>
              <w:pStyle w:val="12"/>
            </w:pPr>
            <w:r>
              <w:t>9</w:t>
            </w:r>
          </w:p>
        </w:tc>
        <w:tc>
          <w:tcPr>
            <w:tcW w:w="4535" w:type="dxa"/>
            <w:vAlign w:val="center"/>
          </w:tcPr>
          <w:p w14:paraId="41E4C18D">
            <w:pPr>
              <w:pStyle w:val="13"/>
            </w:pPr>
          </w:p>
        </w:tc>
        <w:tc>
          <w:tcPr>
            <w:tcW w:w="2126" w:type="dxa"/>
            <w:vAlign w:val="center"/>
          </w:tcPr>
          <w:p w14:paraId="777C0676">
            <w:pPr>
              <w:pStyle w:val="14"/>
            </w:pPr>
          </w:p>
        </w:tc>
        <w:tc>
          <w:tcPr>
            <w:tcW w:w="4535" w:type="dxa"/>
            <w:vAlign w:val="center"/>
          </w:tcPr>
          <w:p w14:paraId="655E821E">
            <w:pPr>
              <w:pStyle w:val="13"/>
            </w:pPr>
            <w:r>
              <w:t>九、社会保险基金支出</w:t>
            </w:r>
          </w:p>
        </w:tc>
        <w:tc>
          <w:tcPr>
            <w:tcW w:w="2126" w:type="dxa"/>
            <w:vAlign w:val="center"/>
          </w:tcPr>
          <w:p w14:paraId="364C3325">
            <w:pPr>
              <w:pStyle w:val="14"/>
            </w:pPr>
          </w:p>
        </w:tc>
      </w:tr>
      <w:tr w14:paraId="1BC35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F2936">
            <w:pPr>
              <w:pStyle w:val="12"/>
            </w:pPr>
            <w:r>
              <w:t>10</w:t>
            </w:r>
          </w:p>
        </w:tc>
        <w:tc>
          <w:tcPr>
            <w:tcW w:w="4535" w:type="dxa"/>
            <w:vAlign w:val="center"/>
          </w:tcPr>
          <w:p w14:paraId="66E0C94C">
            <w:pPr>
              <w:pStyle w:val="13"/>
            </w:pPr>
          </w:p>
        </w:tc>
        <w:tc>
          <w:tcPr>
            <w:tcW w:w="2126" w:type="dxa"/>
            <w:vAlign w:val="center"/>
          </w:tcPr>
          <w:p w14:paraId="3126DB01">
            <w:pPr>
              <w:pStyle w:val="14"/>
            </w:pPr>
          </w:p>
        </w:tc>
        <w:tc>
          <w:tcPr>
            <w:tcW w:w="4535" w:type="dxa"/>
            <w:vAlign w:val="center"/>
          </w:tcPr>
          <w:p w14:paraId="79CC98F8">
            <w:pPr>
              <w:pStyle w:val="13"/>
            </w:pPr>
            <w:r>
              <w:t>十、卫生健康支出</w:t>
            </w:r>
          </w:p>
        </w:tc>
        <w:tc>
          <w:tcPr>
            <w:tcW w:w="2126" w:type="dxa"/>
            <w:vAlign w:val="center"/>
          </w:tcPr>
          <w:p w14:paraId="07D47A07">
            <w:pPr>
              <w:pStyle w:val="14"/>
            </w:pPr>
          </w:p>
        </w:tc>
      </w:tr>
      <w:tr w14:paraId="6220A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9F82A">
            <w:pPr>
              <w:pStyle w:val="12"/>
            </w:pPr>
            <w:r>
              <w:t>11</w:t>
            </w:r>
          </w:p>
        </w:tc>
        <w:tc>
          <w:tcPr>
            <w:tcW w:w="4535" w:type="dxa"/>
            <w:vAlign w:val="center"/>
          </w:tcPr>
          <w:p w14:paraId="32A220FB">
            <w:pPr>
              <w:pStyle w:val="13"/>
            </w:pPr>
          </w:p>
        </w:tc>
        <w:tc>
          <w:tcPr>
            <w:tcW w:w="2126" w:type="dxa"/>
            <w:vAlign w:val="center"/>
          </w:tcPr>
          <w:p w14:paraId="051DF886">
            <w:pPr>
              <w:pStyle w:val="14"/>
            </w:pPr>
          </w:p>
        </w:tc>
        <w:tc>
          <w:tcPr>
            <w:tcW w:w="4535" w:type="dxa"/>
            <w:vAlign w:val="center"/>
          </w:tcPr>
          <w:p w14:paraId="4FEA56C2">
            <w:pPr>
              <w:pStyle w:val="13"/>
            </w:pPr>
            <w:r>
              <w:t>十一、节能环保支出</w:t>
            </w:r>
          </w:p>
        </w:tc>
        <w:tc>
          <w:tcPr>
            <w:tcW w:w="2126" w:type="dxa"/>
            <w:vAlign w:val="center"/>
          </w:tcPr>
          <w:p w14:paraId="6474283A">
            <w:pPr>
              <w:pStyle w:val="14"/>
            </w:pPr>
          </w:p>
        </w:tc>
      </w:tr>
      <w:tr w14:paraId="53B4C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81276">
            <w:pPr>
              <w:pStyle w:val="12"/>
            </w:pPr>
            <w:r>
              <w:t>12</w:t>
            </w:r>
          </w:p>
        </w:tc>
        <w:tc>
          <w:tcPr>
            <w:tcW w:w="4535" w:type="dxa"/>
            <w:vAlign w:val="center"/>
          </w:tcPr>
          <w:p w14:paraId="5415D0E0">
            <w:pPr>
              <w:pStyle w:val="13"/>
            </w:pPr>
          </w:p>
        </w:tc>
        <w:tc>
          <w:tcPr>
            <w:tcW w:w="2126" w:type="dxa"/>
            <w:vAlign w:val="center"/>
          </w:tcPr>
          <w:p w14:paraId="2363C833">
            <w:pPr>
              <w:pStyle w:val="14"/>
            </w:pPr>
          </w:p>
        </w:tc>
        <w:tc>
          <w:tcPr>
            <w:tcW w:w="4535" w:type="dxa"/>
            <w:vAlign w:val="center"/>
          </w:tcPr>
          <w:p w14:paraId="6E28AD76">
            <w:pPr>
              <w:pStyle w:val="13"/>
            </w:pPr>
            <w:r>
              <w:t>十二、城乡社区支出</w:t>
            </w:r>
          </w:p>
        </w:tc>
        <w:tc>
          <w:tcPr>
            <w:tcW w:w="2126" w:type="dxa"/>
            <w:vAlign w:val="center"/>
          </w:tcPr>
          <w:p w14:paraId="029D31A9">
            <w:pPr>
              <w:pStyle w:val="14"/>
            </w:pPr>
          </w:p>
        </w:tc>
      </w:tr>
      <w:tr w14:paraId="08B1C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7CA62">
            <w:pPr>
              <w:pStyle w:val="12"/>
            </w:pPr>
            <w:r>
              <w:t>13</w:t>
            </w:r>
          </w:p>
        </w:tc>
        <w:tc>
          <w:tcPr>
            <w:tcW w:w="4535" w:type="dxa"/>
            <w:vAlign w:val="center"/>
          </w:tcPr>
          <w:p w14:paraId="38CC4BB2">
            <w:pPr>
              <w:pStyle w:val="13"/>
            </w:pPr>
          </w:p>
        </w:tc>
        <w:tc>
          <w:tcPr>
            <w:tcW w:w="2126" w:type="dxa"/>
            <w:vAlign w:val="center"/>
          </w:tcPr>
          <w:p w14:paraId="3A5EA345">
            <w:pPr>
              <w:pStyle w:val="14"/>
            </w:pPr>
          </w:p>
        </w:tc>
        <w:tc>
          <w:tcPr>
            <w:tcW w:w="4535" w:type="dxa"/>
            <w:vAlign w:val="center"/>
          </w:tcPr>
          <w:p w14:paraId="119562BD">
            <w:pPr>
              <w:pStyle w:val="13"/>
            </w:pPr>
            <w:r>
              <w:t>十三、农林水支出</w:t>
            </w:r>
          </w:p>
        </w:tc>
        <w:tc>
          <w:tcPr>
            <w:tcW w:w="2126" w:type="dxa"/>
            <w:vAlign w:val="center"/>
          </w:tcPr>
          <w:p w14:paraId="0E6D1A90">
            <w:pPr>
              <w:pStyle w:val="14"/>
            </w:pPr>
          </w:p>
        </w:tc>
      </w:tr>
      <w:tr w14:paraId="622E4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AD6E4">
            <w:pPr>
              <w:pStyle w:val="12"/>
            </w:pPr>
            <w:r>
              <w:t>14</w:t>
            </w:r>
          </w:p>
        </w:tc>
        <w:tc>
          <w:tcPr>
            <w:tcW w:w="4535" w:type="dxa"/>
            <w:vAlign w:val="center"/>
          </w:tcPr>
          <w:p w14:paraId="061B074E">
            <w:pPr>
              <w:pStyle w:val="13"/>
            </w:pPr>
          </w:p>
        </w:tc>
        <w:tc>
          <w:tcPr>
            <w:tcW w:w="2126" w:type="dxa"/>
            <w:vAlign w:val="center"/>
          </w:tcPr>
          <w:p w14:paraId="4DFE4B3E">
            <w:pPr>
              <w:pStyle w:val="14"/>
            </w:pPr>
          </w:p>
        </w:tc>
        <w:tc>
          <w:tcPr>
            <w:tcW w:w="4535" w:type="dxa"/>
            <w:vAlign w:val="center"/>
          </w:tcPr>
          <w:p w14:paraId="390FCC9E">
            <w:pPr>
              <w:pStyle w:val="13"/>
            </w:pPr>
            <w:r>
              <w:t>十四、交通运输支出</w:t>
            </w:r>
          </w:p>
        </w:tc>
        <w:tc>
          <w:tcPr>
            <w:tcW w:w="2126" w:type="dxa"/>
            <w:vAlign w:val="center"/>
          </w:tcPr>
          <w:p w14:paraId="78C949B1">
            <w:pPr>
              <w:pStyle w:val="14"/>
            </w:pPr>
          </w:p>
        </w:tc>
      </w:tr>
      <w:tr w14:paraId="438EE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DEB78">
            <w:pPr>
              <w:pStyle w:val="12"/>
            </w:pPr>
            <w:r>
              <w:t>15</w:t>
            </w:r>
          </w:p>
        </w:tc>
        <w:tc>
          <w:tcPr>
            <w:tcW w:w="4535" w:type="dxa"/>
            <w:vAlign w:val="center"/>
          </w:tcPr>
          <w:p w14:paraId="3434F979">
            <w:pPr>
              <w:pStyle w:val="13"/>
            </w:pPr>
          </w:p>
        </w:tc>
        <w:tc>
          <w:tcPr>
            <w:tcW w:w="2126" w:type="dxa"/>
            <w:vAlign w:val="center"/>
          </w:tcPr>
          <w:p w14:paraId="65C8877B">
            <w:pPr>
              <w:pStyle w:val="14"/>
            </w:pPr>
          </w:p>
        </w:tc>
        <w:tc>
          <w:tcPr>
            <w:tcW w:w="4535" w:type="dxa"/>
            <w:vAlign w:val="center"/>
          </w:tcPr>
          <w:p w14:paraId="1F90B9A1">
            <w:pPr>
              <w:pStyle w:val="13"/>
            </w:pPr>
            <w:r>
              <w:t>十五、资源勘探工业信息等支出</w:t>
            </w:r>
          </w:p>
        </w:tc>
        <w:tc>
          <w:tcPr>
            <w:tcW w:w="2126" w:type="dxa"/>
            <w:vAlign w:val="center"/>
          </w:tcPr>
          <w:p w14:paraId="3982DDD2">
            <w:pPr>
              <w:pStyle w:val="14"/>
            </w:pPr>
          </w:p>
        </w:tc>
      </w:tr>
      <w:tr w14:paraId="5977E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2499D">
            <w:pPr>
              <w:pStyle w:val="12"/>
            </w:pPr>
            <w:r>
              <w:t>16</w:t>
            </w:r>
          </w:p>
        </w:tc>
        <w:tc>
          <w:tcPr>
            <w:tcW w:w="4535" w:type="dxa"/>
            <w:vAlign w:val="center"/>
          </w:tcPr>
          <w:p w14:paraId="2AC8F8EF">
            <w:pPr>
              <w:pStyle w:val="13"/>
            </w:pPr>
          </w:p>
        </w:tc>
        <w:tc>
          <w:tcPr>
            <w:tcW w:w="2126" w:type="dxa"/>
            <w:vAlign w:val="center"/>
          </w:tcPr>
          <w:p w14:paraId="7F45213F">
            <w:pPr>
              <w:pStyle w:val="14"/>
            </w:pPr>
          </w:p>
        </w:tc>
        <w:tc>
          <w:tcPr>
            <w:tcW w:w="4535" w:type="dxa"/>
            <w:vAlign w:val="center"/>
          </w:tcPr>
          <w:p w14:paraId="01B136DB">
            <w:pPr>
              <w:pStyle w:val="13"/>
            </w:pPr>
            <w:r>
              <w:t>十六、商业服务业等支出</w:t>
            </w:r>
          </w:p>
        </w:tc>
        <w:tc>
          <w:tcPr>
            <w:tcW w:w="2126" w:type="dxa"/>
            <w:vAlign w:val="center"/>
          </w:tcPr>
          <w:p w14:paraId="4F803D19">
            <w:pPr>
              <w:pStyle w:val="14"/>
            </w:pPr>
          </w:p>
        </w:tc>
      </w:tr>
      <w:tr w14:paraId="06905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3E887">
            <w:pPr>
              <w:pStyle w:val="12"/>
            </w:pPr>
            <w:r>
              <w:t>17</w:t>
            </w:r>
          </w:p>
        </w:tc>
        <w:tc>
          <w:tcPr>
            <w:tcW w:w="4535" w:type="dxa"/>
            <w:vAlign w:val="center"/>
          </w:tcPr>
          <w:p w14:paraId="346378E3">
            <w:pPr>
              <w:pStyle w:val="13"/>
            </w:pPr>
          </w:p>
        </w:tc>
        <w:tc>
          <w:tcPr>
            <w:tcW w:w="2126" w:type="dxa"/>
            <w:vAlign w:val="center"/>
          </w:tcPr>
          <w:p w14:paraId="16C6C351">
            <w:pPr>
              <w:pStyle w:val="14"/>
            </w:pPr>
          </w:p>
        </w:tc>
        <w:tc>
          <w:tcPr>
            <w:tcW w:w="4535" w:type="dxa"/>
            <w:vAlign w:val="center"/>
          </w:tcPr>
          <w:p w14:paraId="7E35CE50">
            <w:pPr>
              <w:pStyle w:val="13"/>
            </w:pPr>
            <w:r>
              <w:t>十七、金融支出</w:t>
            </w:r>
          </w:p>
        </w:tc>
        <w:tc>
          <w:tcPr>
            <w:tcW w:w="2126" w:type="dxa"/>
            <w:vAlign w:val="center"/>
          </w:tcPr>
          <w:p w14:paraId="69CF82A5">
            <w:pPr>
              <w:pStyle w:val="14"/>
            </w:pPr>
          </w:p>
        </w:tc>
      </w:tr>
      <w:tr w14:paraId="38608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DD00C">
            <w:pPr>
              <w:pStyle w:val="12"/>
            </w:pPr>
            <w:r>
              <w:t>18</w:t>
            </w:r>
          </w:p>
        </w:tc>
        <w:tc>
          <w:tcPr>
            <w:tcW w:w="4535" w:type="dxa"/>
            <w:vAlign w:val="center"/>
          </w:tcPr>
          <w:p w14:paraId="19432B11">
            <w:pPr>
              <w:pStyle w:val="13"/>
            </w:pPr>
          </w:p>
        </w:tc>
        <w:tc>
          <w:tcPr>
            <w:tcW w:w="2126" w:type="dxa"/>
            <w:vAlign w:val="center"/>
          </w:tcPr>
          <w:p w14:paraId="662875C7">
            <w:pPr>
              <w:pStyle w:val="14"/>
            </w:pPr>
          </w:p>
        </w:tc>
        <w:tc>
          <w:tcPr>
            <w:tcW w:w="4535" w:type="dxa"/>
            <w:vAlign w:val="center"/>
          </w:tcPr>
          <w:p w14:paraId="29F9560C">
            <w:pPr>
              <w:pStyle w:val="13"/>
            </w:pPr>
            <w:r>
              <w:t>十八、援助其他地区支出</w:t>
            </w:r>
          </w:p>
        </w:tc>
        <w:tc>
          <w:tcPr>
            <w:tcW w:w="2126" w:type="dxa"/>
            <w:vAlign w:val="center"/>
          </w:tcPr>
          <w:p w14:paraId="2FC52810">
            <w:pPr>
              <w:pStyle w:val="14"/>
            </w:pPr>
          </w:p>
        </w:tc>
      </w:tr>
      <w:tr w14:paraId="12B74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F8CBD">
            <w:pPr>
              <w:pStyle w:val="12"/>
            </w:pPr>
            <w:r>
              <w:t>19</w:t>
            </w:r>
          </w:p>
        </w:tc>
        <w:tc>
          <w:tcPr>
            <w:tcW w:w="4535" w:type="dxa"/>
            <w:vAlign w:val="center"/>
          </w:tcPr>
          <w:p w14:paraId="2A5AE6B2">
            <w:pPr>
              <w:pStyle w:val="13"/>
            </w:pPr>
          </w:p>
        </w:tc>
        <w:tc>
          <w:tcPr>
            <w:tcW w:w="2126" w:type="dxa"/>
            <w:vAlign w:val="center"/>
          </w:tcPr>
          <w:p w14:paraId="38DDB3F8">
            <w:pPr>
              <w:pStyle w:val="14"/>
            </w:pPr>
          </w:p>
        </w:tc>
        <w:tc>
          <w:tcPr>
            <w:tcW w:w="4535" w:type="dxa"/>
            <w:vAlign w:val="center"/>
          </w:tcPr>
          <w:p w14:paraId="4BE62803">
            <w:pPr>
              <w:pStyle w:val="13"/>
            </w:pPr>
            <w:r>
              <w:t>十九、自然资源海洋气象等支出</w:t>
            </w:r>
          </w:p>
        </w:tc>
        <w:tc>
          <w:tcPr>
            <w:tcW w:w="2126" w:type="dxa"/>
            <w:vAlign w:val="center"/>
          </w:tcPr>
          <w:p w14:paraId="10E627BA">
            <w:pPr>
              <w:pStyle w:val="14"/>
            </w:pPr>
          </w:p>
        </w:tc>
      </w:tr>
      <w:tr w14:paraId="12CEE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582A8">
            <w:pPr>
              <w:pStyle w:val="12"/>
            </w:pPr>
            <w:r>
              <w:t>20</w:t>
            </w:r>
          </w:p>
        </w:tc>
        <w:tc>
          <w:tcPr>
            <w:tcW w:w="4535" w:type="dxa"/>
            <w:vAlign w:val="center"/>
          </w:tcPr>
          <w:p w14:paraId="4DBD2392">
            <w:pPr>
              <w:pStyle w:val="13"/>
            </w:pPr>
          </w:p>
        </w:tc>
        <w:tc>
          <w:tcPr>
            <w:tcW w:w="2126" w:type="dxa"/>
            <w:vAlign w:val="center"/>
          </w:tcPr>
          <w:p w14:paraId="5F4CD8B6">
            <w:pPr>
              <w:pStyle w:val="14"/>
            </w:pPr>
          </w:p>
        </w:tc>
        <w:tc>
          <w:tcPr>
            <w:tcW w:w="4535" w:type="dxa"/>
            <w:vAlign w:val="center"/>
          </w:tcPr>
          <w:p w14:paraId="07C11F04">
            <w:pPr>
              <w:pStyle w:val="13"/>
            </w:pPr>
            <w:r>
              <w:t>二十、住房保障支出</w:t>
            </w:r>
          </w:p>
        </w:tc>
        <w:tc>
          <w:tcPr>
            <w:tcW w:w="2126" w:type="dxa"/>
            <w:vAlign w:val="center"/>
          </w:tcPr>
          <w:p w14:paraId="19099C36">
            <w:pPr>
              <w:pStyle w:val="14"/>
            </w:pPr>
          </w:p>
        </w:tc>
      </w:tr>
      <w:tr w14:paraId="35B46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1BD67">
            <w:pPr>
              <w:pStyle w:val="12"/>
            </w:pPr>
            <w:r>
              <w:t>21</w:t>
            </w:r>
          </w:p>
        </w:tc>
        <w:tc>
          <w:tcPr>
            <w:tcW w:w="4535" w:type="dxa"/>
            <w:vAlign w:val="center"/>
          </w:tcPr>
          <w:p w14:paraId="58F9D7D0">
            <w:pPr>
              <w:pStyle w:val="13"/>
            </w:pPr>
          </w:p>
        </w:tc>
        <w:tc>
          <w:tcPr>
            <w:tcW w:w="2126" w:type="dxa"/>
            <w:vAlign w:val="center"/>
          </w:tcPr>
          <w:p w14:paraId="4ED71582">
            <w:pPr>
              <w:pStyle w:val="14"/>
            </w:pPr>
          </w:p>
        </w:tc>
        <w:tc>
          <w:tcPr>
            <w:tcW w:w="4535" w:type="dxa"/>
            <w:vAlign w:val="center"/>
          </w:tcPr>
          <w:p w14:paraId="6EA9F0B6">
            <w:pPr>
              <w:pStyle w:val="13"/>
            </w:pPr>
            <w:r>
              <w:t>二十一、粮油物资储备支出</w:t>
            </w:r>
          </w:p>
        </w:tc>
        <w:tc>
          <w:tcPr>
            <w:tcW w:w="2126" w:type="dxa"/>
            <w:vAlign w:val="center"/>
          </w:tcPr>
          <w:p w14:paraId="44390B2D">
            <w:pPr>
              <w:pStyle w:val="14"/>
            </w:pPr>
          </w:p>
        </w:tc>
      </w:tr>
      <w:tr w14:paraId="4AC8B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0F196">
            <w:pPr>
              <w:pStyle w:val="12"/>
            </w:pPr>
            <w:r>
              <w:t>22</w:t>
            </w:r>
          </w:p>
        </w:tc>
        <w:tc>
          <w:tcPr>
            <w:tcW w:w="4535" w:type="dxa"/>
            <w:vAlign w:val="center"/>
          </w:tcPr>
          <w:p w14:paraId="691DAAFB">
            <w:pPr>
              <w:pStyle w:val="13"/>
            </w:pPr>
          </w:p>
        </w:tc>
        <w:tc>
          <w:tcPr>
            <w:tcW w:w="2126" w:type="dxa"/>
            <w:vAlign w:val="center"/>
          </w:tcPr>
          <w:p w14:paraId="68440F1E">
            <w:pPr>
              <w:pStyle w:val="14"/>
            </w:pPr>
          </w:p>
        </w:tc>
        <w:tc>
          <w:tcPr>
            <w:tcW w:w="4535" w:type="dxa"/>
            <w:vAlign w:val="center"/>
          </w:tcPr>
          <w:p w14:paraId="12D4ACF8">
            <w:pPr>
              <w:pStyle w:val="13"/>
            </w:pPr>
            <w:r>
              <w:t>二十二、国有资本经营预算支出</w:t>
            </w:r>
          </w:p>
        </w:tc>
        <w:tc>
          <w:tcPr>
            <w:tcW w:w="2126" w:type="dxa"/>
            <w:vAlign w:val="center"/>
          </w:tcPr>
          <w:p w14:paraId="25D50CB9">
            <w:pPr>
              <w:pStyle w:val="14"/>
            </w:pPr>
          </w:p>
        </w:tc>
      </w:tr>
      <w:tr w14:paraId="43F13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75B74">
            <w:pPr>
              <w:pStyle w:val="12"/>
            </w:pPr>
            <w:r>
              <w:t>23</w:t>
            </w:r>
          </w:p>
        </w:tc>
        <w:tc>
          <w:tcPr>
            <w:tcW w:w="4535" w:type="dxa"/>
            <w:vAlign w:val="center"/>
          </w:tcPr>
          <w:p w14:paraId="0AD0B8C2">
            <w:pPr>
              <w:pStyle w:val="13"/>
            </w:pPr>
          </w:p>
        </w:tc>
        <w:tc>
          <w:tcPr>
            <w:tcW w:w="2126" w:type="dxa"/>
            <w:vAlign w:val="center"/>
          </w:tcPr>
          <w:p w14:paraId="771075C3">
            <w:pPr>
              <w:pStyle w:val="14"/>
            </w:pPr>
          </w:p>
        </w:tc>
        <w:tc>
          <w:tcPr>
            <w:tcW w:w="4535" w:type="dxa"/>
            <w:vAlign w:val="center"/>
          </w:tcPr>
          <w:p w14:paraId="4C734F2C">
            <w:pPr>
              <w:pStyle w:val="13"/>
            </w:pPr>
            <w:r>
              <w:t>二十三、灾害防治及应急管理支出</w:t>
            </w:r>
          </w:p>
        </w:tc>
        <w:tc>
          <w:tcPr>
            <w:tcW w:w="2126" w:type="dxa"/>
            <w:vAlign w:val="center"/>
          </w:tcPr>
          <w:p w14:paraId="61BCD778">
            <w:pPr>
              <w:pStyle w:val="14"/>
            </w:pPr>
          </w:p>
        </w:tc>
      </w:tr>
      <w:tr w14:paraId="3B2A7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48D56">
            <w:pPr>
              <w:pStyle w:val="12"/>
            </w:pPr>
            <w:r>
              <w:t>24</w:t>
            </w:r>
          </w:p>
        </w:tc>
        <w:tc>
          <w:tcPr>
            <w:tcW w:w="4535" w:type="dxa"/>
            <w:vAlign w:val="center"/>
          </w:tcPr>
          <w:p w14:paraId="2C11D665">
            <w:pPr>
              <w:pStyle w:val="13"/>
            </w:pPr>
          </w:p>
        </w:tc>
        <w:tc>
          <w:tcPr>
            <w:tcW w:w="2126" w:type="dxa"/>
            <w:vAlign w:val="center"/>
          </w:tcPr>
          <w:p w14:paraId="3E7DFEBA">
            <w:pPr>
              <w:pStyle w:val="14"/>
            </w:pPr>
          </w:p>
        </w:tc>
        <w:tc>
          <w:tcPr>
            <w:tcW w:w="4535" w:type="dxa"/>
            <w:vAlign w:val="center"/>
          </w:tcPr>
          <w:p w14:paraId="7F389730">
            <w:pPr>
              <w:pStyle w:val="13"/>
            </w:pPr>
            <w:r>
              <w:t>二十四、预备费</w:t>
            </w:r>
          </w:p>
        </w:tc>
        <w:tc>
          <w:tcPr>
            <w:tcW w:w="2126" w:type="dxa"/>
            <w:vAlign w:val="center"/>
          </w:tcPr>
          <w:p w14:paraId="75B6827C">
            <w:pPr>
              <w:pStyle w:val="14"/>
            </w:pPr>
          </w:p>
        </w:tc>
      </w:tr>
      <w:tr w14:paraId="7C7F4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2BC65">
            <w:pPr>
              <w:pStyle w:val="12"/>
            </w:pPr>
            <w:r>
              <w:t>25</w:t>
            </w:r>
          </w:p>
        </w:tc>
        <w:tc>
          <w:tcPr>
            <w:tcW w:w="4535" w:type="dxa"/>
            <w:vAlign w:val="center"/>
          </w:tcPr>
          <w:p w14:paraId="320452B2">
            <w:pPr>
              <w:pStyle w:val="13"/>
            </w:pPr>
          </w:p>
        </w:tc>
        <w:tc>
          <w:tcPr>
            <w:tcW w:w="2126" w:type="dxa"/>
            <w:vAlign w:val="center"/>
          </w:tcPr>
          <w:p w14:paraId="111F2D7E">
            <w:pPr>
              <w:pStyle w:val="14"/>
            </w:pPr>
          </w:p>
        </w:tc>
        <w:tc>
          <w:tcPr>
            <w:tcW w:w="4535" w:type="dxa"/>
            <w:vAlign w:val="center"/>
          </w:tcPr>
          <w:p w14:paraId="10185210">
            <w:pPr>
              <w:pStyle w:val="13"/>
            </w:pPr>
            <w:r>
              <w:t>二十五、其他支出</w:t>
            </w:r>
          </w:p>
        </w:tc>
        <w:tc>
          <w:tcPr>
            <w:tcW w:w="2126" w:type="dxa"/>
            <w:vAlign w:val="center"/>
          </w:tcPr>
          <w:p w14:paraId="76671C37">
            <w:pPr>
              <w:pStyle w:val="14"/>
            </w:pPr>
          </w:p>
        </w:tc>
      </w:tr>
      <w:tr w14:paraId="04E79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109FA">
            <w:pPr>
              <w:pStyle w:val="12"/>
            </w:pPr>
            <w:r>
              <w:t>26</w:t>
            </w:r>
          </w:p>
        </w:tc>
        <w:tc>
          <w:tcPr>
            <w:tcW w:w="4535" w:type="dxa"/>
            <w:vAlign w:val="center"/>
          </w:tcPr>
          <w:p w14:paraId="6132AD78">
            <w:pPr>
              <w:pStyle w:val="13"/>
            </w:pPr>
          </w:p>
        </w:tc>
        <w:tc>
          <w:tcPr>
            <w:tcW w:w="2126" w:type="dxa"/>
            <w:vAlign w:val="center"/>
          </w:tcPr>
          <w:p w14:paraId="257B69E2">
            <w:pPr>
              <w:pStyle w:val="14"/>
            </w:pPr>
          </w:p>
        </w:tc>
        <w:tc>
          <w:tcPr>
            <w:tcW w:w="4535" w:type="dxa"/>
            <w:vAlign w:val="center"/>
          </w:tcPr>
          <w:p w14:paraId="395D28A8">
            <w:pPr>
              <w:pStyle w:val="13"/>
            </w:pPr>
            <w:r>
              <w:t>二十六、转移性支出</w:t>
            </w:r>
          </w:p>
        </w:tc>
        <w:tc>
          <w:tcPr>
            <w:tcW w:w="2126" w:type="dxa"/>
            <w:vAlign w:val="center"/>
          </w:tcPr>
          <w:p w14:paraId="24DCD6D2">
            <w:pPr>
              <w:pStyle w:val="14"/>
            </w:pPr>
          </w:p>
        </w:tc>
      </w:tr>
      <w:tr w14:paraId="18786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8F5FF">
            <w:pPr>
              <w:pStyle w:val="12"/>
            </w:pPr>
            <w:r>
              <w:t>27</w:t>
            </w:r>
          </w:p>
        </w:tc>
        <w:tc>
          <w:tcPr>
            <w:tcW w:w="4535" w:type="dxa"/>
            <w:vAlign w:val="center"/>
          </w:tcPr>
          <w:p w14:paraId="3D362212">
            <w:pPr>
              <w:pStyle w:val="13"/>
            </w:pPr>
          </w:p>
        </w:tc>
        <w:tc>
          <w:tcPr>
            <w:tcW w:w="2126" w:type="dxa"/>
            <w:vAlign w:val="center"/>
          </w:tcPr>
          <w:p w14:paraId="3711906E">
            <w:pPr>
              <w:pStyle w:val="14"/>
            </w:pPr>
          </w:p>
        </w:tc>
        <w:tc>
          <w:tcPr>
            <w:tcW w:w="4535" w:type="dxa"/>
            <w:vAlign w:val="center"/>
          </w:tcPr>
          <w:p w14:paraId="21415FEC">
            <w:pPr>
              <w:pStyle w:val="13"/>
            </w:pPr>
            <w:r>
              <w:t>二十七、债务还本支出</w:t>
            </w:r>
          </w:p>
        </w:tc>
        <w:tc>
          <w:tcPr>
            <w:tcW w:w="2126" w:type="dxa"/>
            <w:vAlign w:val="center"/>
          </w:tcPr>
          <w:p w14:paraId="3039004D">
            <w:pPr>
              <w:pStyle w:val="14"/>
            </w:pPr>
          </w:p>
        </w:tc>
      </w:tr>
      <w:tr w14:paraId="350C3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B53C1">
            <w:pPr>
              <w:pStyle w:val="12"/>
            </w:pPr>
            <w:r>
              <w:t>28</w:t>
            </w:r>
          </w:p>
        </w:tc>
        <w:tc>
          <w:tcPr>
            <w:tcW w:w="4535" w:type="dxa"/>
            <w:vAlign w:val="center"/>
          </w:tcPr>
          <w:p w14:paraId="2B300DC1">
            <w:pPr>
              <w:pStyle w:val="13"/>
            </w:pPr>
          </w:p>
        </w:tc>
        <w:tc>
          <w:tcPr>
            <w:tcW w:w="2126" w:type="dxa"/>
            <w:vAlign w:val="center"/>
          </w:tcPr>
          <w:p w14:paraId="13892EB1">
            <w:pPr>
              <w:pStyle w:val="14"/>
            </w:pPr>
          </w:p>
        </w:tc>
        <w:tc>
          <w:tcPr>
            <w:tcW w:w="4535" w:type="dxa"/>
            <w:vAlign w:val="center"/>
          </w:tcPr>
          <w:p w14:paraId="6B9E58EB">
            <w:pPr>
              <w:pStyle w:val="13"/>
            </w:pPr>
            <w:r>
              <w:t>二十八、债务付息支出</w:t>
            </w:r>
          </w:p>
        </w:tc>
        <w:tc>
          <w:tcPr>
            <w:tcW w:w="2126" w:type="dxa"/>
            <w:vAlign w:val="center"/>
          </w:tcPr>
          <w:p w14:paraId="11227773">
            <w:pPr>
              <w:pStyle w:val="14"/>
            </w:pPr>
          </w:p>
        </w:tc>
      </w:tr>
      <w:tr w14:paraId="5A084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94D94">
            <w:pPr>
              <w:pStyle w:val="12"/>
            </w:pPr>
            <w:r>
              <w:t>29</w:t>
            </w:r>
          </w:p>
        </w:tc>
        <w:tc>
          <w:tcPr>
            <w:tcW w:w="4535" w:type="dxa"/>
            <w:vAlign w:val="center"/>
          </w:tcPr>
          <w:p w14:paraId="22302928">
            <w:pPr>
              <w:pStyle w:val="13"/>
            </w:pPr>
          </w:p>
        </w:tc>
        <w:tc>
          <w:tcPr>
            <w:tcW w:w="2126" w:type="dxa"/>
            <w:vAlign w:val="center"/>
          </w:tcPr>
          <w:p w14:paraId="34916E3F">
            <w:pPr>
              <w:pStyle w:val="14"/>
            </w:pPr>
          </w:p>
        </w:tc>
        <w:tc>
          <w:tcPr>
            <w:tcW w:w="4535" w:type="dxa"/>
            <w:vAlign w:val="center"/>
          </w:tcPr>
          <w:p w14:paraId="73A38FC7">
            <w:pPr>
              <w:pStyle w:val="13"/>
            </w:pPr>
            <w:r>
              <w:t>二十九、债务发行费用支出</w:t>
            </w:r>
          </w:p>
        </w:tc>
        <w:tc>
          <w:tcPr>
            <w:tcW w:w="2126" w:type="dxa"/>
            <w:vAlign w:val="center"/>
          </w:tcPr>
          <w:p w14:paraId="4D7EFE55">
            <w:pPr>
              <w:pStyle w:val="14"/>
            </w:pPr>
          </w:p>
        </w:tc>
      </w:tr>
      <w:tr w14:paraId="7E8A4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8C725">
            <w:pPr>
              <w:pStyle w:val="12"/>
            </w:pPr>
            <w:r>
              <w:t>30</w:t>
            </w:r>
          </w:p>
        </w:tc>
        <w:tc>
          <w:tcPr>
            <w:tcW w:w="4535" w:type="dxa"/>
            <w:vAlign w:val="center"/>
          </w:tcPr>
          <w:p w14:paraId="611A428E">
            <w:pPr>
              <w:pStyle w:val="13"/>
            </w:pPr>
          </w:p>
        </w:tc>
        <w:tc>
          <w:tcPr>
            <w:tcW w:w="2126" w:type="dxa"/>
            <w:vAlign w:val="center"/>
          </w:tcPr>
          <w:p w14:paraId="2B905C27">
            <w:pPr>
              <w:pStyle w:val="14"/>
            </w:pPr>
          </w:p>
        </w:tc>
        <w:tc>
          <w:tcPr>
            <w:tcW w:w="4535" w:type="dxa"/>
            <w:vAlign w:val="center"/>
          </w:tcPr>
          <w:p w14:paraId="0B54FF97">
            <w:pPr>
              <w:pStyle w:val="13"/>
            </w:pPr>
            <w:r>
              <w:t>三十、抗疫特别国债安排的支出</w:t>
            </w:r>
          </w:p>
        </w:tc>
        <w:tc>
          <w:tcPr>
            <w:tcW w:w="2126" w:type="dxa"/>
            <w:vAlign w:val="center"/>
          </w:tcPr>
          <w:p w14:paraId="1289CC22">
            <w:pPr>
              <w:pStyle w:val="14"/>
            </w:pPr>
          </w:p>
        </w:tc>
      </w:tr>
      <w:tr w14:paraId="6E32B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37F9E">
            <w:pPr>
              <w:pStyle w:val="12"/>
            </w:pPr>
            <w:r>
              <w:t>31</w:t>
            </w:r>
          </w:p>
        </w:tc>
        <w:tc>
          <w:tcPr>
            <w:tcW w:w="4535" w:type="dxa"/>
            <w:vAlign w:val="center"/>
          </w:tcPr>
          <w:p w14:paraId="0610EF10">
            <w:pPr>
              <w:pStyle w:val="13"/>
            </w:pPr>
          </w:p>
        </w:tc>
        <w:tc>
          <w:tcPr>
            <w:tcW w:w="2126" w:type="dxa"/>
            <w:vAlign w:val="center"/>
          </w:tcPr>
          <w:p w14:paraId="0EE242EF">
            <w:pPr>
              <w:pStyle w:val="14"/>
            </w:pPr>
          </w:p>
        </w:tc>
        <w:tc>
          <w:tcPr>
            <w:tcW w:w="4535" w:type="dxa"/>
            <w:vAlign w:val="center"/>
          </w:tcPr>
          <w:p w14:paraId="2C19EFD9">
            <w:pPr>
              <w:pStyle w:val="13"/>
            </w:pPr>
            <w:r>
              <w:t>三十一、人行科目</w:t>
            </w:r>
          </w:p>
        </w:tc>
        <w:tc>
          <w:tcPr>
            <w:tcW w:w="2126" w:type="dxa"/>
            <w:vAlign w:val="center"/>
          </w:tcPr>
          <w:p w14:paraId="63AC32FF">
            <w:pPr>
              <w:pStyle w:val="14"/>
            </w:pPr>
          </w:p>
        </w:tc>
      </w:tr>
      <w:tr w14:paraId="2227D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7235B">
            <w:pPr>
              <w:pStyle w:val="12"/>
            </w:pPr>
            <w:r>
              <w:t>32</w:t>
            </w:r>
          </w:p>
        </w:tc>
        <w:tc>
          <w:tcPr>
            <w:tcW w:w="4535" w:type="dxa"/>
            <w:vAlign w:val="center"/>
          </w:tcPr>
          <w:p w14:paraId="2EE262E5">
            <w:pPr>
              <w:pStyle w:val="15"/>
            </w:pPr>
            <w:r>
              <w:t>本年收入合计</w:t>
            </w:r>
          </w:p>
        </w:tc>
        <w:tc>
          <w:tcPr>
            <w:tcW w:w="2126" w:type="dxa"/>
            <w:vAlign w:val="center"/>
          </w:tcPr>
          <w:p w14:paraId="1E27B8D2">
            <w:pPr>
              <w:pStyle w:val="16"/>
            </w:pPr>
            <w:r>
              <w:t>1910.76</w:t>
            </w:r>
          </w:p>
        </w:tc>
        <w:tc>
          <w:tcPr>
            <w:tcW w:w="4535" w:type="dxa"/>
            <w:vAlign w:val="center"/>
          </w:tcPr>
          <w:p w14:paraId="53D4B445">
            <w:pPr>
              <w:pStyle w:val="15"/>
            </w:pPr>
            <w:r>
              <w:t>本年支出合计</w:t>
            </w:r>
          </w:p>
        </w:tc>
        <w:tc>
          <w:tcPr>
            <w:tcW w:w="2126" w:type="dxa"/>
            <w:vAlign w:val="center"/>
          </w:tcPr>
          <w:p w14:paraId="356BB4D4">
            <w:pPr>
              <w:pStyle w:val="16"/>
            </w:pPr>
            <w:r>
              <w:t>2063.33</w:t>
            </w:r>
          </w:p>
        </w:tc>
      </w:tr>
      <w:tr w14:paraId="30E3D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C47F6">
            <w:pPr>
              <w:pStyle w:val="12"/>
            </w:pPr>
            <w:r>
              <w:t>33</w:t>
            </w:r>
          </w:p>
        </w:tc>
        <w:tc>
          <w:tcPr>
            <w:tcW w:w="4535" w:type="dxa"/>
            <w:vAlign w:val="center"/>
          </w:tcPr>
          <w:p w14:paraId="40B82375">
            <w:pPr>
              <w:pStyle w:val="13"/>
            </w:pPr>
            <w:r>
              <w:t>上年结转结余</w:t>
            </w:r>
          </w:p>
        </w:tc>
        <w:tc>
          <w:tcPr>
            <w:tcW w:w="2126" w:type="dxa"/>
            <w:vAlign w:val="center"/>
          </w:tcPr>
          <w:p w14:paraId="0327FD1B">
            <w:pPr>
              <w:pStyle w:val="14"/>
            </w:pPr>
            <w:r>
              <w:t>152.57</w:t>
            </w:r>
          </w:p>
        </w:tc>
        <w:tc>
          <w:tcPr>
            <w:tcW w:w="4535" w:type="dxa"/>
            <w:vAlign w:val="center"/>
          </w:tcPr>
          <w:p w14:paraId="2A857E4E">
            <w:pPr>
              <w:pStyle w:val="13"/>
            </w:pPr>
            <w:r>
              <w:t>年终结转结余</w:t>
            </w:r>
          </w:p>
        </w:tc>
        <w:tc>
          <w:tcPr>
            <w:tcW w:w="2126" w:type="dxa"/>
            <w:vAlign w:val="center"/>
          </w:tcPr>
          <w:p w14:paraId="0D008035">
            <w:pPr>
              <w:pStyle w:val="14"/>
            </w:pPr>
          </w:p>
        </w:tc>
      </w:tr>
      <w:tr w14:paraId="03F01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FFAE9">
            <w:pPr>
              <w:pStyle w:val="12"/>
            </w:pPr>
            <w:r>
              <w:t>34</w:t>
            </w:r>
          </w:p>
        </w:tc>
        <w:tc>
          <w:tcPr>
            <w:tcW w:w="4535" w:type="dxa"/>
            <w:vAlign w:val="center"/>
          </w:tcPr>
          <w:p w14:paraId="51977540">
            <w:pPr>
              <w:pStyle w:val="15"/>
            </w:pPr>
            <w:r>
              <w:t>收入总计</w:t>
            </w:r>
          </w:p>
        </w:tc>
        <w:tc>
          <w:tcPr>
            <w:tcW w:w="2126" w:type="dxa"/>
            <w:vAlign w:val="center"/>
          </w:tcPr>
          <w:p w14:paraId="1058A0CB">
            <w:pPr>
              <w:pStyle w:val="16"/>
            </w:pPr>
            <w:r>
              <w:t>2063.33</w:t>
            </w:r>
          </w:p>
        </w:tc>
        <w:tc>
          <w:tcPr>
            <w:tcW w:w="4535" w:type="dxa"/>
            <w:vAlign w:val="center"/>
          </w:tcPr>
          <w:p w14:paraId="71B79706">
            <w:pPr>
              <w:pStyle w:val="15"/>
            </w:pPr>
            <w:r>
              <w:t>支出总计</w:t>
            </w:r>
          </w:p>
        </w:tc>
        <w:tc>
          <w:tcPr>
            <w:tcW w:w="2126" w:type="dxa"/>
            <w:vAlign w:val="center"/>
          </w:tcPr>
          <w:p w14:paraId="710D76FE">
            <w:pPr>
              <w:pStyle w:val="16"/>
            </w:pPr>
            <w:r>
              <w:t>2063.33</w:t>
            </w:r>
          </w:p>
        </w:tc>
      </w:tr>
    </w:tbl>
    <w:p w14:paraId="39AE8A8D">
      <w:pPr>
        <w:sectPr>
          <w:pgSz w:w="16840" w:h="11900" w:orient="landscape"/>
          <w:pgMar w:top="1361" w:right="1020" w:bottom="1134" w:left="1020" w:header="720" w:footer="720" w:gutter="0"/>
          <w:cols w:space="720" w:num="1"/>
        </w:sectPr>
      </w:pPr>
    </w:p>
    <w:p w14:paraId="5CB6EA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1A0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D15F5E">
            <w:pPr>
              <w:pStyle w:val="8"/>
            </w:pPr>
            <w:r>
              <w:t>360030隆尧县第二实验小学</w:t>
            </w:r>
          </w:p>
        </w:tc>
        <w:tc>
          <w:tcPr>
            <w:tcW w:w="3402" w:type="dxa"/>
            <w:gridSpan w:val="3"/>
            <w:tcBorders>
              <w:top w:val="single" w:color="FFFFFF" w:sz="6" w:space="0"/>
              <w:left w:val="single" w:color="FFFFFF" w:sz="6" w:space="0"/>
              <w:right w:val="single" w:color="FFFFFF" w:sz="6" w:space="0"/>
            </w:tcBorders>
            <w:vAlign w:val="center"/>
          </w:tcPr>
          <w:p w14:paraId="7229B64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C355F2A">
            <w:pPr>
              <w:pStyle w:val="10"/>
            </w:pPr>
            <w:r>
              <w:t>单位：万元</w:t>
            </w:r>
          </w:p>
        </w:tc>
      </w:tr>
      <w:tr w14:paraId="13752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F071E3">
            <w:pPr>
              <w:pStyle w:val="11"/>
            </w:pPr>
            <w:r>
              <w:t>序号</w:t>
            </w:r>
          </w:p>
        </w:tc>
        <w:tc>
          <w:tcPr>
            <w:tcW w:w="2551" w:type="dxa"/>
            <w:gridSpan w:val="2"/>
            <w:vAlign w:val="center"/>
          </w:tcPr>
          <w:p w14:paraId="0280F297">
            <w:pPr>
              <w:pStyle w:val="11"/>
            </w:pPr>
            <w:r>
              <w:t>功能分类科目</w:t>
            </w:r>
          </w:p>
        </w:tc>
        <w:tc>
          <w:tcPr>
            <w:tcW w:w="1134" w:type="dxa"/>
            <w:vMerge w:val="restart"/>
            <w:vAlign w:val="center"/>
          </w:tcPr>
          <w:p w14:paraId="58D3B49F">
            <w:pPr>
              <w:pStyle w:val="11"/>
            </w:pPr>
            <w:r>
              <w:t>合计</w:t>
            </w:r>
          </w:p>
        </w:tc>
        <w:tc>
          <w:tcPr>
            <w:tcW w:w="9072" w:type="dxa"/>
            <w:gridSpan w:val="8"/>
            <w:vAlign w:val="center"/>
          </w:tcPr>
          <w:p w14:paraId="498D8AB5">
            <w:pPr>
              <w:pStyle w:val="11"/>
            </w:pPr>
            <w:r>
              <w:t>本年收入</w:t>
            </w:r>
          </w:p>
        </w:tc>
        <w:tc>
          <w:tcPr>
            <w:tcW w:w="1134" w:type="dxa"/>
            <w:vMerge w:val="restart"/>
            <w:vAlign w:val="center"/>
          </w:tcPr>
          <w:p w14:paraId="33BEB9CE">
            <w:pPr>
              <w:pStyle w:val="11"/>
            </w:pPr>
            <w:r>
              <w:t>上年结转</w:t>
            </w:r>
          </w:p>
        </w:tc>
      </w:tr>
      <w:tr w14:paraId="4611E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0A0AB6"/>
        </w:tc>
        <w:tc>
          <w:tcPr>
            <w:tcW w:w="992" w:type="dxa"/>
            <w:vAlign w:val="center"/>
          </w:tcPr>
          <w:p w14:paraId="1E2D8AC7">
            <w:pPr>
              <w:pStyle w:val="11"/>
            </w:pPr>
            <w:r>
              <w:t>科目    编码</w:t>
            </w:r>
          </w:p>
        </w:tc>
        <w:tc>
          <w:tcPr>
            <w:tcW w:w="1559" w:type="dxa"/>
            <w:vAlign w:val="center"/>
          </w:tcPr>
          <w:p w14:paraId="3F49A3CF">
            <w:pPr>
              <w:pStyle w:val="11"/>
            </w:pPr>
            <w:r>
              <w:t>科目名称</w:t>
            </w:r>
          </w:p>
        </w:tc>
        <w:tc>
          <w:tcPr>
            <w:tcW w:w="1134" w:type="dxa"/>
            <w:vMerge w:val="continue"/>
          </w:tcPr>
          <w:p w14:paraId="3033F41C"/>
        </w:tc>
        <w:tc>
          <w:tcPr>
            <w:tcW w:w="1134" w:type="dxa"/>
            <w:vAlign w:val="center"/>
          </w:tcPr>
          <w:p w14:paraId="79327CB0">
            <w:pPr>
              <w:pStyle w:val="11"/>
            </w:pPr>
            <w:r>
              <w:t>小计</w:t>
            </w:r>
          </w:p>
        </w:tc>
        <w:tc>
          <w:tcPr>
            <w:tcW w:w="1134" w:type="dxa"/>
            <w:vAlign w:val="center"/>
          </w:tcPr>
          <w:p w14:paraId="5DF9A888">
            <w:pPr>
              <w:pStyle w:val="11"/>
            </w:pPr>
            <w:r>
              <w:t>财政拨款 收入</w:t>
            </w:r>
          </w:p>
        </w:tc>
        <w:tc>
          <w:tcPr>
            <w:tcW w:w="1134" w:type="dxa"/>
            <w:vAlign w:val="center"/>
          </w:tcPr>
          <w:p w14:paraId="1BC4615C">
            <w:pPr>
              <w:pStyle w:val="11"/>
            </w:pPr>
            <w:r>
              <w:t>财政专户 收入</w:t>
            </w:r>
          </w:p>
        </w:tc>
        <w:tc>
          <w:tcPr>
            <w:tcW w:w="1134" w:type="dxa"/>
            <w:vAlign w:val="center"/>
          </w:tcPr>
          <w:p w14:paraId="340685B7">
            <w:pPr>
              <w:pStyle w:val="11"/>
            </w:pPr>
            <w:r>
              <w:t>事业收入</w:t>
            </w:r>
          </w:p>
        </w:tc>
        <w:tc>
          <w:tcPr>
            <w:tcW w:w="1134" w:type="dxa"/>
            <w:vAlign w:val="center"/>
          </w:tcPr>
          <w:p w14:paraId="171EF7E0">
            <w:pPr>
              <w:pStyle w:val="11"/>
            </w:pPr>
            <w:r>
              <w:t>经营收入</w:t>
            </w:r>
          </w:p>
        </w:tc>
        <w:tc>
          <w:tcPr>
            <w:tcW w:w="1134" w:type="dxa"/>
            <w:vAlign w:val="center"/>
          </w:tcPr>
          <w:p w14:paraId="3609A670">
            <w:pPr>
              <w:pStyle w:val="11"/>
            </w:pPr>
            <w:r>
              <w:t>上级补助收入</w:t>
            </w:r>
          </w:p>
        </w:tc>
        <w:tc>
          <w:tcPr>
            <w:tcW w:w="1134" w:type="dxa"/>
            <w:vAlign w:val="center"/>
          </w:tcPr>
          <w:p w14:paraId="16409148">
            <w:pPr>
              <w:pStyle w:val="11"/>
            </w:pPr>
            <w:r>
              <w:t>附属单位上缴收入</w:t>
            </w:r>
          </w:p>
        </w:tc>
        <w:tc>
          <w:tcPr>
            <w:tcW w:w="1134" w:type="dxa"/>
            <w:vAlign w:val="center"/>
          </w:tcPr>
          <w:p w14:paraId="22788B2F">
            <w:pPr>
              <w:pStyle w:val="11"/>
            </w:pPr>
            <w:r>
              <w:t>其他收入</w:t>
            </w:r>
          </w:p>
        </w:tc>
        <w:tc>
          <w:tcPr>
            <w:tcW w:w="1134" w:type="dxa"/>
            <w:vMerge w:val="continue"/>
          </w:tcPr>
          <w:p w14:paraId="0E69C10D"/>
        </w:tc>
      </w:tr>
      <w:tr w14:paraId="3D502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99B6B0">
            <w:pPr>
              <w:pStyle w:val="11"/>
            </w:pPr>
            <w:r>
              <w:t>栏次</w:t>
            </w:r>
          </w:p>
        </w:tc>
        <w:tc>
          <w:tcPr>
            <w:tcW w:w="992" w:type="dxa"/>
            <w:vAlign w:val="center"/>
          </w:tcPr>
          <w:p w14:paraId="71416CA3">
            <w:pPr>
              <w:pStyle w:val="11"/>
            </w:pPr>
            <w:r>
              <w:t>1</w:t>
            </w:r>
          </w:p>
        </w:tc>
        <w:tc>
          <w:tcPr>
            <w:tcW w:w="1559" w:type="dxa"/>
            <w:vAlign w:val="center"/>
          </w:tcPr>
          <w:p w14:paraId="169C530F">
            <w:pPr>
              <w:pStyle w:val="11"/>
            </w:pPr>
            <w:r>
              <w:t>2</w:t>
            </w:r>
          </w:p>
        </w:tc>
        <w:tc>
          <w:tcPr>
            <w:tcW w:w="1134" w:type="dxa"/>
            <w:vAlign w:val="center"/>
          </w:tcPr>
          <w:p w14:paraId="5255BD72">
            <w:pPr>
              <w:pStyle w:val="11"/>
            </w:pPr>
            <w:r>
              <w:t>3</w:t>
            </w:r>
          </w:p>
        </w:tc>
        <w:tc>
          <w:tcPr>
            <w:tcW w:w="1134" w:type="dxa"/>
            <w:vAlign w:val="center"/>
          </w:tcPr>
          <w:p w14:paraId="1767907F">
            <w:pPr>
              <w:pStyle w:val="11"/>
            </w:pPr>
            <w:r>
              <w:t>4</w:t>
            </w:r>
          </w:p>
        </w:tc>
        <w:tc>
          <w:tcPr>
            <w:tcW w:w="1134" w:type="dxa"/>
            <w:vAlign w:val="center"/>
          </w:tcPr>
          <w:p w14:paraId="45E480F5">
            <w:pPr>
              <w:pStyle w:val="11"/>
            </w:pPr>
            <w:r>
              <w:t>5</w:t>
            </w:r>
          </w:p>
        </w:tc>
        <w:tc>
          <w:tcPr>
            <w:tcW w:w="1134" w:type="dxa"/>
            <w:vAlign w:val="center"/>
          </w:tcPr>
          <w:p w14:paraId="624A02EC">
            <w:pPr>
              <w:pStyle w:val="11"/>
            </w:pPr>
            <w:r>
              <w:t>6</w:t>
            </w:r>
          </w:p>
        </w:tc>
        <w:tc>
          <w:tcPr>
            <w:tcW w:w="1134" w:type="dxa"/>
            <w:vAlign w:val="center"/>
          </w:tcPr>
          <w:p w14:paraId="60E82123">
            <w:pPr>
              <w:pStyle w:val="11"/>
            </w:pPr>
            <w:r>
              <w:t>7</w:t>
            </w:r>
          </w:p>
        </w:tc>
        <w:tc>
          <w:tcPr>
            <w:tcW w:w="1134" w:type="dxa"/>
            <w:vAlign w:val="center"/>
          </w:tcPr>
          <w:p w14:paraId="780DF5D2">
            <w:pPr>
              <w:pStyle w:val="11"/>
            </w:pPr>
            <w:r>
              <w:t>8</w:t>
            </w:r>
          </w:p>
        </w:tc>
        <w:tc>
          <w:tcPr>
            <w:tcW w:w="1134" w:type="dxa"/>
            <w:vAlign w:val="center"/>
          </w:tcPr>
          <w:p w14:paraId="597DDC75">
            <w:pPr>
              <w:pStyle w:val="11"/>
            </w:pPr>
            <w:r>
              <w:t>9</w:t>
            </w:r>
          </w:p>
        </w:tc>
        <w:tc>
          <w:tcPr>
            <w:tcW w:w="1134" w:type="dxa"/>
            <w:vAlign w:val="center"/>
          </w:tcPr>
          <w:p w14:paraId="0627B1D9">
            <w:pPr>
              <w:pStyle w:val="11"/>
            </w:pPr>
            <w:r>
              <w:t>10</w:t>
            </w:r>
          </w:p>
        </w:tc>
        <w:tc>
          <w:tcPr>
            <w:tcW w:w="1134" w:type="dxa"/>
            <w:vAlign w:val="center"/>
          </w:tcPr>
          <w:p w14:paraId="157EAF41">
            <w:pPr>
              <w:pStyle w:val="11"/>
            </w:pPr>
            <w:r>
              <w:t>11</w:t>
            </w:r>
          </w:p>
        </w:tc>
        <w:tc>
          <w:tcPr>
            <w:tcW w:w="1134" w:type="dxa"/>
            <w:vAlign w:val="center"/>
          </w:tcPr>
          <w:p w14:paraId="4AFD4F0D">
            <w:pPr>
              <w:pStyle w:val="11"/>
            </w:pPr>
            <w:r>
              <w:t>12</w:t>
            </w:r>
          </w:p>
        </w:tc>
      </w:tr>
      <w:tr w14:paraId="4E892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FF26A">
            <w:pPr>
              <w:pStyle w:val="12"/>
            </w:pPr>
            <w:r>
              <w:t>1</w:t>
            </w:r>
          </w:p>
        </w:tc>
        <w:tc>
          <w:tcPr>
            <w:tcW w:w="992" w:type="dxa"/>
            <w:vAlign w:val="center"/>
          </w:tcPr>
          <w:p w14:paraId="69AD0173">
            <w:pPr>
              <w:pStyle w:val="17"/>
            </w:pPr>
          </w:p>
        </w:tc>
        <w:tc>
          <w:tcPr>
            <w:tcW w:w="1559" w:type="dxa"/>
            <w:vAlign w:val="center"/>
          </w:tcPr>
          <w:p w14:paraId="7F43F1B5">
            <w:pPr>
              <w:pStyle w:val="15"/>
            </w:pPr>
            <w:r>
              <w:t>合计</w:t>
            </w:r>
          </w:p>
        </w:tc>
        <w:tc>
          <w:tcPr>
            <w:tcW w:w="1134" w:type="dxa"/>
            <w:vAlign w:val="center"/>
          </w:tcPr>
          <w:p w14:paraId="590F5326">
            <w:pPr>
              <w:pStyle w:val="16"/>
            </w:pPr>
            <w:r>
              <w:t>2063.33</w:t>
            </w:r>
          </w:p>
        </w:tc>
        <w:tc>
          <w:tcPr>
            <w:tcW w:w="1134" w:type="dxa"/>
            <w:vAlign w:val="center"/>
          </w:tcPr>
          <w:p w14:paraId="00DD4692">
            <w:pPr>
              <w:pStyle w:val="16"/>
            </w:pPr>
            <w:r>
              <w:t>1910.76</w:t>
            </w:r>
          </w:p>
        </w:tc>
        <w:tc>
          <w:tcPr>
            <w:tcW w:w="1134" w:type="dxa"/>
            <w:vAlign w:val="center"/>
          </w:tcPr>
          <w:p w14:paraId="32E07A92">
            <w:pPr>
              <w:pStyle w:val="16"/>
            </w:pPr>
            <w:r>
              <w:t>1910.76</w:t>
            </w:r>
          </w:p>
        </w:tc>
        <w:tc>
          <w:tcPr>
            <w:tcW w:w="1134" w:type="dxa"/>
            <w:vAlign w:val="center"/>
          </w:tcPr>
          <w:p w14:paraId="77F2AEF6">
            <w:pPr>
              <w:pStyle w:val="16"/>
            </w:pPr>
          </w:p>
        </w:tc>
        <w:tc>
          <w:tcPr>
            <w:tcW w:w="1134" w:type="dxa"/>
            <w:vAlign w:val="center"/>
          </w:tcPr>
          <w:p w14:paraId="1C4E0F80">
            <w:pPr>
              <w:pStyle w:val="16"/>
            </w:pPr>
          </w:p>
        </w:tc>
        <w:tc>
          <w:tcPr>
            <w:tcW w:w="1134" w:type="dxa"/>
            <w:vAlign w:val="center"/>
          </w:tcPr>
          <w:p w14:paraId="3D66751A">
            <w:pPr>
              <w:pStyle w:val="16"/>
            </w:pPr>
          </w:p>
        </w:tc>
        <w:tc>
          <w:tcPr>
            <w:tcW w:w="1134" w:type="dxa"/>
            <w:vAlign w:val="center"/>
          </w:tcPr>
          <w:p w14:paraId="00DE7CDB">
            <w:pPr>
              <w:pStyle w:val="16"/>
            </w:pPr>
          </w:p>
        </w:tc>
        <w:tc>
          <w:tcPr>
            <w:tcW w:w="1134" w:type="dxa"/>
            <w:vAlign w:val="center"/>
          </w:tcPr>
          <w:p w14:paraId="50C145F0">
            <w:pPr>
              <w:pStyle w:val="16"/>
            </w:pPr>
          </w:p>
        </w:tc>
        <w:tc>
          <w:tcPr>
            <w:tcW w:w="1134" w:type="dxa"/>
            <w:vAlign w:val="center"/>
          </w:tcPr>
          <w:p w14:paraId="38A172F7">
            <w:pPr>
              <w:pStyle w:val="16"/>
            </w:pPr>
          </w:p>
        </w:tc>
        <w:tc>
          <w:tcPr>
            <w:tcW w:w="1134" w:type="dxa"/>
            <w:vAlign w:val="center"/>
          </w:tcPr>
          <w:p w14:paraId="0BD18420">
            <w:pPr>
              <w:pStyle w:val="16"/>
            </w:pPr>
            <w:r>
              <w:t>152.57</w:t>
            </w:r>
          </w:p>
        </w:tc>
      </w:tr>
      <w:tr w14:paraId="44EAD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D1E0CC">
            <w:pPr>
              <w:pStyle w:val="12"/>
            </w:pPr>
            <w:r>
              <w:t>2</w:t>
            </w:r>
          </w:p>
        </w:tc>
        <w:tc>
          <w:tcPr>
            <w:tcW w:w="992" w:type="dxa"/>
            <w:vAlign w:val="center"/>
          </w:tcPr>
          <w:p w14:paraId="0A3EF67C">
            <w:pPr>
              <w:pStyle w:val="13"/>
            </w:pPr>
            <w:r>
              <w:t>205</w:t>
            </w:r>
          </w:p>
        </w:tc>
        <w:tc>
          <w:tcPr>
            <w:tcW w:w="1559" w:type="dxa"/>
            <w:vAlign w:val="center"/>
          </w:tcPr>
          <w:p w14:paraId="6AD5F6D4">
            <w:pPr>
              <w:pStyle w:val="13"/>
            </w:pPr>
            <w:r>
              <w:t>教育支出</w:t>
            </w:r>
          </w:p>
        </w:tc>
        <w:tc>
          <w:tcPr>
            <w:tcW w:w="1134" w:type="dxa"/>
            <w:vAlign w:val="center"/>
          </w:tcPr>
          <w:p w14:paraId="0643FA1D">
            <w:pPr>
              <w:pStyle w:val="14"/>
            </w:pPr>
            <w:r>
              <w:t>2063.33</w:t>
            </w:r>
          </w:p>
        </w:tc>
        <w:tc>
          <w:tcPr>
            <w:tcW w:w="1134" w:type="dxa"/>
            <w:vAlign w:val="center"/>
          </w:tcPr>
          <w:p w14:paraId="5C0C7D42">
            <w:pPr>
              <w:pStyle w:val="14"/>
            </w:pPr>
            <w:r>
              <w:t>1910.76</w:t>
            </w:r>
          </w:p>
        </w:tc>
        <w:tc>
          <w:tcPr>
            <w:tcW w:w="1134" w:type="dxa"/>
            <w:vAlign w:val="center"/>
          </w:tcPr>
          <w:p w14:paraId="7300403D">
            <w:pPr>
              <w:pStyle w:val="14"/>
            </w:pPr>
            <w:r>
              <w:t>1910.76</w:t>
            </w:r>
          </w:p>
        </w:tc>
        <w:tc>
          <w:tcPr>
            <w:tcW w:w="1134" w:type="dxa"/>
            <w:vAlign w:val="center"/>
          </w:tcPr>
          <w:p w14:paraId="386670CB">
            <w:pPr>
              <w:pStyle w:val="14"/>
            </w:pPr>
          </w:p>
        </w:tc>
        <w:tc>
          <w:tcPr>
            <w:tcW w:w="1134" w:type="dxa"/>
            <w:vAlign w:val="center"/>
          </w:tcPr>
          <w:p w14:paraId="47F6A0E2">
            <w:pPr>
              <w:pStyle w:val="14"/>
            </w:pPr>
          </w:p>
        </w:tc>
        <w:tc>
          <w:tcPr>
            <w:tcW w:w="1134" w:type="dxa"/>
            <w:vAlign w:val="center"/>
          </w:tcPr>
          <w:p w14:paraId="5CADB880">
            <w:pPr>
              <w:pStyle w:val="14"/>
            </w:pPr>
          </w:p>
        </w:tc>
        <w:tc>
          <w:tcPr>
            <w:tcW w:w="1134" w:type="dxa"/>
            <w:vAlign w:val="center"/>
          </w:tcPr>
          <w:p w14:paraId="54C95FBA">
            <w:pPr>
              <w:pStyle w:val="14"/>
            </w:pPr>
          </w:p>
        </w:tc>
        <w:tc>
          <w:tcPr>
            <w:tcW w:w="1134" w:type="dxa"/>
            <w:vAlign w:val="center"/>
          </w:tcPr>
          <w:p w14:paraId="293AB971">
            <w:pPr>
              <w:pStyle w:val="14"/>
            </w:pPr>
          </w:p>
        </w:tc>
        <w:tc>
          <w:tcPr>
            <w:tcW w:w="1134" w:type="dxa"/>
            <w:vAlign w:val="center"/>
          </w:tcPr>
          <w:p w14:paraId="25957E5E">
            <w:pPr>
              <w:pStyle w:val="14"/>
            </w:pPr>
          </w:p>
        </w:tc>
        <w:tc>
          <w:tcPr>
            <w:tcW w:w="1134" w:type="dxa"/>
            <w:vAlign w:val="center"/>
          </w:tcPr>
          <w:p w14:paraId="18E47E15">
            <w:pPr>
              <w:pStyle w:val="14"/>
            </w:pPr>
            <w:r>
              <w:t>152.57</w:t>
            </w:r>
          </w:p>
        </w:tc>
      </w:tr>
      <w:tr w14:paraId="6050A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12325A">
            <w:pPr>
              <w:pStyle w:val="12"/>
            </w:pPr>
            <w:r>
              <w:t>3</w:t>
            </w:r>
          </w:p>
        </w:tc>
        <w:tc>
          <w:tcPr>
            <w:tcW w:w="992" w:type="dxa"/>
            <w:vAlign w:val="center"/>
          </w:tcPr>
          <w:p w14:paraId="59535152">
            <w:pPr>
              <w:pStyle w:val="13"/>
            </w:pPr>
            <w:r>
              <w:t>20502</w:t>
            </w:r>
          </w:p>
        </w:tc>
        <w:tc>
          <w:tcPr>
            <w:tcW w:w="1559" w:type="dxa"/>
            <w:vAlign w:val="center"/>
          </w:tcPr>
          <w:p w14:paraId="067A8FB4">
            <w:pPr>
              <w:pStyle w:val="13"/>
            </w:pPr>
            <w:r>
              <w:t>普通教育</w:t>
            </w:r>
          </w:p>
        </w:tc>
        <w:tc>
          <w:tcPr>
            <w:tcW w:w="1134" w:type="dxa"/>
            <w:vAlign w:val="center"/>
          </w:tcPr>
          <w:p w14:paraId="23769826">
            <w:pPr>
              <w:pStyle w:val="14"/>
            </w:pPr>
            <w:r>
              <w:t>2063.33</w:t>
            </w:r>
          </w:p>
        </w:tc>
        <w:tc>
          <w:tcPr>
            <w:tcW w:w="1134" w:type="dxa"/>
            <w:vAlign w:val="center"/>
          </w:tcPr>
          <w:p w14:paraId="552F2676">
            <w:pPr>
              <w:pStyle w:val="14"/>
            </w:pPr>
            <w:r>
              <w:t>1910.76</w:t>
            </w:r>
          </w:p>
        </w:tc>
        <w:tc>
          <w:tcPr>
            <w:tcW w:w="1134" w:type="dxa"/>
            <w:vAlign w:val="center"/>
          </w:tcPr>
          <w:p w14:paraId="49DB0378">
            <w:pPr>
              <w:pStyle w:val="14"/>
            </w:pPr>
            <w:r>
              <w:t>1910.76</w:t>
            </w:r>
          </w:p>
        </w:tc>
        <w:tc>
          <w:tcPr>
            <w:tcW w:w="1134" w:type="dxa"/>
            <w:vAlign w:val="center"/>
          </w:tcPr>
          <w:p w14:paraId="6EB5886A">
            <w:pPr>
              <w:pStyle w:val="14"/>
            </w:pPr>
          </w:p>
        </w:tc>
        <w:tc>
          <w:tcPr>
            <w:tcW w:w="1134" w:type="dxa"/>
            <w:vAlign w:val="center"/>
          </w:tcPr>
          <w:p w14:paraId="2143C583">
            <w:pPr>
              <w:pStyle w:val="14"/>
            </w:pPr>
          </w:p>
        </w:tc>
        <w:tc>
          <w:tcPr>
            <w:tcW w:w="1134" w:type="dxa"/>
            <w:vAlign w:val="center"/>
          </w:tcPr>
          <w:p w14:paraId="6D4AD3C3">
            <w:pPr>
              <w:pStyle w:val="14"/>
            </w:pPr>
          </w:p>
        </w:tc>
        <w:tc>
          <w:tcPr>
            <w:tcW w:w="1134" w:type="dxa"/>
            <w:vAlign w:val="center"/>
          </w:tcPr>
          <w:p w14:paraId="35325519">
            <w:pPr>
              <w:pStyle w:val="14"/>
            </w:pPr>
          </w:p>
        </w:tc>
        <w:tc>
          <w:tcPr>
            <w:tcW w:w="1134" w:type="dxa"/>
            <w:vAlign w:val="center"/>
          </w:tcPr>
          <w:p w14:paraId="30C74CE0">
            <w:pPr>
              <w:pStyle w:val="14"/>
            </w:pPr>
          </w:p>
        </w:tc>
        <w:tc>
          <w:tcPr>
            <w:tcW w:w="1134" w:type="dxa"/>
            <w:vAlign w:val="center"/>
          </w:tcPr>
          <w:p w14:paraId="2F4D580E">
            <w:pPr>
              <w:pStyle w:val="14"/>
            </w:pPr>
          </w:p>
        </w:tc>
        <w:tc>
          <w:tcPr>
            <w:tcW w:w="1134" w:type="dxa"/>
            <w:vAlign w:val="center"/>
          </w:tcPr>
          <w:p w14:paraId="4AB05314">
            <w:pPr>
              <w:pStyle w:val="14"/>
            </w:pPr>
            <w:r>
              <w:t>152.57</w:t>
            </w:r>
          </w:p>
        </w:tc>
      </w:tr>
      <w:tr w14:paraId="3D7C6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7664F2">
            <w:pPr>
              <w:pStyle w:val="12"/>
            </w:pPr>
            <w:r>
              <w:t>4</w:t>
            </w:r>
          </w:p>
        </w:tc>
        <w:tc>
          <w:tcPr>
            <w:tcW w:w="992" w:type="dxa"/>
            <w:vAlign w:val="center"/>
          </w:tcPr>
          <w:p w14:paraId="4E0DA18D">
            <w:pPr>
              <w:pStyle w:val="13"/>
            </w:pPr>
            <w:r>
              <w:t>2050202</w:t>
            </w:r>
          </w:p>
        </w:tc>
        <w:tc>
          <w:tcPr>
            <w:tcW w:w="1559" w:type="dxa"/>
            <w:vAlign w:val="center"/>
          </w:tcPr>
          <w:p w14:paraId="56E486B5">
            <w:pPr>
              <w:pStyle w:val="13"/>
            </w:pPr>
            <w:r>
              <w:t>小学教育</w:t>
            </w:r>
          </w:p>
        </w:tc>
        <w:tc>
          <w:tcPr>
            <w:tcW w:w="1134" w:type="dxa"/>
            <w:vAlign w:val="center"/>
          </w:tcPr>
          <w:p w14:paraId="3E89689A">
            <w:pPr>
              <w:pStyle w:val="14"/>
            </w:pPr>
            <w:r>
              <w:t>2063.33</w:t>
            </w:r>
          </w:p>
        </w:tc>
        <w:tc>
          <w:tcPr>
            <w:tcW w:w="1134" w:type="dxa"/>
            <w:vAlign w:val="center"/>
          </w:tcPr>
          <w:p w14:paraId="7487B7C2">
            <w:pPr>
              <w:pStyle w:val="14"/>
            </w:pPr>
            <w:r>
              <w:t>1910.76</w:t>
            </w:r>
          </w:p>
        </w:tc>
        <w:tc>
          <w:tcPr>
            <w:tcW w:w="1134" w:type="dxa"/>
            <w:vAlign w:val="center"/>
          </w:tcPr>
          <w:p w14:paraId="18948562">
            <w:pPr>
              <w:pStyle w:val="14"/>
            </w:pPr>
            <w:r>
              <w:t>1910.76</w:t>
            </w:r>
          </w:p>
        </w:tc>
        <w:tc>
          <w:tcPr>
            <w:tcW w:w="1134" w:type="dxa"/>
            <w:vAlign w:val="center"/>
          </w:tcPr>
          <w:p w14:paraId="0A23E709">
            <w:pPr>
              <w:pStyle w:val="14"/>
            </w:pPr>
          </w:p>
        </w:tc>
        <w:tc>
          <w:tcPr>
            <w:tcW w:w="1134" w:type="dxa"/>
            <w:vAlign w:val="center"/>
          </w:tcPr>
          <w:p w14:paraId="3E399E6C">
            <w:pPr>
              <w:pStyle w:val="14"/>
            </w:pPr>
          </w:p>
        </w:tc>
        <w:tc>
          <w:tcPr>
            <w:tcW w:w="1134" w:type="dxa"/>
            <w:vAlign w:val="center"/>
          </w:tcPr>
          <w:p w14:paraId="7232A239">
            <w:pPr>
              <w:pStyle w:val="14"/>
            </w:pPr>
          </w:p>
        </w:tc>
        <w:tc>
          <w:tcPr>
            <w:tcW w:w="1134" w:type="dxa"/>
            <w:vAlign w:val="center"/>
          </w:tcPr>
          <w:p w14:paraId="76BDBC31">
            <w:pPr>
              <w:pStyle w:val="14"/>
            </w:pPr>
          </w:p>
        </w:tc>
        <w:tc>
          <w:tcPr>
            <w:tcW w:w="1134" w:type="dxa"/>
            <w:vAlign w:val="center"/>
          </w:tcPr>
          <w:p w14:paraId="31C1EE00">
            <w:pPr>
              <w:pStyle w:val="14"/>
            </w:pPr>
          </w:p>
        </w:tc>
        <w:tc>
          <w:tcPr>
            <w:tcW w:w="1134" w:type="dxa"/>
            <w:vAlign w:val="center"/>
          </w:tcPr>
          <w:p w14:paraId="0D61CB46">
            <w:pPr>
              <w:pStyle w:val="14"/>
            </w:pPr>
          </w:p>
        </w:tc>
        <w:tc>
          <w:tcPr>
            <w:tcW w:w="1134" w:type="dxa"/>
            <w:vAlign w:val="center"/>
          </w:tcPr>
          <w:p w14:paraId="41926720">
            <w:pPr>
              <w:pStyle w:val="14"/>
            </w:pPr>
            <w:r>
              <w:t>152.57</w:t>
            </w:r>
          </w:p>
        </w:tc>
      </w:tr>
    </w:tbl>
    <w:p w14:paraId="249A9743">
      <w:pPr>
        <w:sectPr>
          <w:pgSz w:w="16840" w:h="11900" w:orient="landscape"/>
          <w:pgMar w:top="1361" w:right="1020" w:bottom="1134" w:left="1020" w:header="720" w:footer="720" w:gutter="0"/>
          <w:cols w:space="720" w:num="1"/>
        </w:sectPr>
      </w:pPr>
    </w:p>
    <w:p w14:paraId="156E74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C38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2704DA">
            <w:pPr>
              <w:pStyle w:val="8"/>
            </w:pPr>
            <w:r>
              <w:t>360030隆尧县第二实验小学</w:t>
            </w:r>
          </w:p>
        </w:tc>
        <w:tc>
          <w:tcPr>
            <w:tcW w:w="2722" w:type="dxa"/>
            <w:gridSpan w:val="2"/>
            <w:tcBorders>
              <w:top w:val="single" w:color="FFFFFF" w:sz="6" w:space="0"/>
              <w:left w:val="single" w:color="FFFFFF" w:sz="6" w:space="0"/>
              <w:right w:val="single" w:color="FFFFFF" w:sz="6" w:space="0"/>
            </w:tcBorders>
            <w:vAlign w:val="center"/>
          </w:tcPr>
          <w:p w14:paraId="767F54B7">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35DF8C3">
            <w:pPr>
              <w:pStyle w:val="10"/>
            </w:pPr>
            <w:r>
              <w:t>单位：万元</w:t>
            </w:r>
          </w:p>
        </w:tc>
      </w:tr>
      <w:tr w14:paraId="2A5B0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4F5869">
            <w:pPr>
              <w:pStyle w:val="11"/>
            </w:pPr>
            <w:r>
              <w:t>序号</w:t>
            </w:r>
          </w:p>
        </w:tc>
        <w:tc>
          <w:tcPr>
            <w:tcW w:w="5527" w:type="dxa"/>
            <w:gridSpan w:val="2"/>
            <w:vAlign w:val="center"/>
          </w:tcPr>
          <w:p w14:paraId="10A208EF">
            <w:pPr>
              <w:pStyle w:val="11"/>
            </w:pPr>
            <w:r>
              <w:t>功能分类科目</w:t>
            </w:r>
          </w:p>
        </w:tc>
        <w:tc>
          <w:tcPr>
            <w:tcW w:w="1361" w:type="dxa"/>
            <w:vMerge w:val="restart"/>
            <w:vAlign w:val="center"/>
          </w:tcPr>
          <w:p w14:paraId="63DE7D8F">
            <w:pPr>
              <w:pStyle w:val="11"/>
            </w:pPr>
            <w:r>
              <w:t>合计</w:t>
            </w:r>
          </w:p>
        </w:tc>
        <w:tc>
          <w:tcPr>
            <w:tcW w:w="1361" w:type="dxa"/>
            <w:vMerge w:val="restart"/>
            <w:vAlign w:val="center"/>
          </w:tcPr>
          <w:p w14:paraId="75C4754E">
            <w:pPr>
              <w:pStyle w:val="11"/>
            </w:pPr>
            <w:r>
              <w:t>基本支出</w:t>
            </w:r>
          </w:p>
        </w:tc>
        <w:tc>
          <w:tcPr>
            <w:tcW w:w="1361" w:type="dxa"/>
            <w:vMerge w:val="restart"/>
            <w:vAlign w:val="center"/>
          </w:tcPr>
          <w:p w14:paraId="21756C58">
            <w:pPr>
              <w:pStyle w:val="11"/>
            </w:pPr>
            <w:r>
              <w:t>项目支出</w:t>
            </w:r>
          </w:p>
        </w:tc>
        <w:tc>
          <w:tcPr>
            <w:tcW w:w="1361" w:type="dxa"/>
            <w:vMerge w:val="restart"/>
            <w:vAlign w:val="center"/>
          </w:tcPr>
          <w:p w14:paraId="2BC5AF5B">
            <w:pPr>
              <w:pStyle w:val="11"/>
            </w:pPr>
            <w:r>
              <w:t>经营支出</w:t>
            </w:r>
          </w:p>
        </w:tc>
        <w:tc>
          <w:tcPr>
            <w:tcW w:w="1361" w:type="dxa"/>
            <w:vMerge w:val="restart"/>
            <w:vAlign w:val="center"/>
          </w:tcPr>
          <w:p w14:paraId="5F7D6DE3">
            <w:pPr>
              <w:pStyle w:val="11"/>
            </w:pPr>
            <w:r>
              <w:t>上解上级     支出</w:t>
            </w:r>
          </w:p>
        </w:tc>
        <w:tc>
          <w:tcPr>
            <w:tcW w:w="1361" w:type="dxa"/>
            <w:vMerge w:val="restart"/>
            <w:vAlign w:val="center"/>
          </w:tcPr>
          <w:p w14:paraId="4DA49397">
            <w:pPr>
              <w:pStyle w:val="11"/>
            </w:pPr>
            <w:r>
              <w:t>对附属单位补助支出</w:t>
            </w:r>
          </w:p>
        </w:tc>
      </w:tr>
      <w:tr w14:paraId="60FA6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1E1F6"/>
        </w:tc>
        <w:tc>
          <w:tcPr>
            <w:tcW w:w="992" w:type="dxa"/>
            <w:vAlign w:val="center"/>
          </w:tcPr>
          <w:p w14:paraId="482B059C">
            <w:pPr>
              <w:pStyle w:val="11"/>
            </w:pPr>
            <w:r>
              <w:t>科目    编码</w:t>
            </w:r>
          </w:p>
        </w:tc>
        <w:tc>
          <w:tcPr>
            <w:tcW w:w="4535" w:type="dxa"/>
            <w:vAlign w:val="center"/>
          </w:tcPr>
          <w:p w14:paraId="796DB306">
            <w:pPr>
              <w:pStyle w:val="11"/>
            </w:pPr>
            <w:r>
              <w:t>科目名称</w:t>
            </w:r>
          </w:p>
        </w:tc>
        <w:tc>
          <w:tcPr>
            <w:tcW w:w="1361" w:type="dxa"/>
            <w:vMerge w:val="continue"/>
          </w:tcPr>
          <w:p w14:paraId="53A7F0A2"/>
        </w:tc>
        <w:tc>
          <w:tcPr>
            <w:tcW w:w="1361" w:type="dxa"/>
            <w:vMerge w:val="continue"/>
          </w:tcPr>
          <w:p w14:paraId="64C0C8F2"/>
        </w:tc>
        <w:tc>
          <w:tcPr>
            <w:tcW w:w="1361" w:type="dxa"/>
            <w:vMerge w:val="continue"/>
          </w:tcPr>
          <w:p w14:paraId="37A8EA05"/>
        </w:tc>
        <w:tc>
          <w:tcPr>
            <w:tcW w:w="1361" w:type="dxa"/>
            <w:vMerge w:val="continue"/>
          </w:tcPr>
          <w:p w14:paraId="01BFFEBA"/>
        </w:tc>
        <w:tc>
          <w:tcPr>
            <w:tcW w:w="1361" w:type="dxa"/>
            <w:vMerge w:val="continue"/>
          </w:tcPr>
          <w:p w14:paraId="5732E4D6"/>
        </w:tc>
        <w:tc>
          <w:tcPr>
            <w:tcW w:w="1361" w:type="dxa"/>
            <w:vMerge w:val="continue"/>
          </w:tcPr>
          <w:p w14:paraId="61065BE7"/>
        </w:tc>
      </w:tr>
      <w:tr w14:paraId="01D74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E50976">
            <w:pPr>
              <w:pStyle w:val="11"/>
            </w:pPr>
            <w:r>
              <w:t>栏次</w:t>
            </w:r>
          </w:p>
        </w:tc>
        <w:tc>
          <w:tcPr>
            <w:tcW w:w="992" w:type="dxa"/>
            <w:vAlign w:val="center"/>
          </w:tcPr>
          <w:p w14:paraId="43F17DEE">
            <w:pPr>
              <w:pStyle w:val="11"/>
            </w:pPr>
            <w:r>
              <w:t>1</w:t>
            </w:r>
          </w:p>
        </w:tc>
        <w:tc>
          <w:tcPr>
            <w:tcW w:w="4535" w:type="dxa"/>
            <w:vAlign w:val="center"/>
          </w:tcPr>
          <w:p w14:paraId="702748D5">
            <w:pPr>
              <w:pStyle w:val="11"/>
            </w:pPr>
            <w:r>
              <w:t>2</w:t>
            </w:r>
          </w:p>
        </w:tc>
        <w:tc>
          <w:tcPr>
            <w:tcW w:w="1361" w:type="dxa"/>
            <w:vAlign w:val="center"/>
          </w:tcPr>
          <w:p w14:paraId="0FAF2C71">
            <w:pPr>
              <w:pStyle w:val="11"/>
            </w:pPr>
            <w:r>
              <w:t>3</w:t>
            </w:r>
          </w:p>
        </w:tc>
        <w:tc>
          <w:tcPr>
            <w:tcW w:w="1361" w:type="dxa"/>
            <w:vAlign w:val="center"/>
          </w:tcPr>
          <w:p w14:paraId="63C4E79E">
            <w:pPr>
              <w:pStyle w:val="11"/>
            </w:pPr>
            <w:r>
              <w:t>4</w:t>
            </w:r>
          </w:p>
        </w:tc>
        <w:tc>
          <w:tcPr>
            <w:tcW w:w="1361" w:type="dxa"/>
            <w:vAlign w:val="center"/>
          </w:tcPr>
          <w:p w14:paraId="2DCE9D36">
            <w:pPr>
              <w:pStyle w:val="11"/>
            </w:pPr>
            <w:r>
              <w:t>5</w:t>
            </w:r>
          </w:p>
        </w:tc>
        <w:tc>
          <w:tcPr>
            <w:tcW w:w="1361" w:type="dxa"/>
            <w:vAlign w:val="center"/>
          </w:tcPr>
          <w:p w14:paraId="6227DE72">
            <w:pPr>
              <w:pStyle w:val="11"/>
            </w:pPr>
            <w:r>
              <w:t>6</w:t>
            </w:r>
          </w:p>
        </w:tc>
        <w:tc>
          <w:tcPr>
            <w:tcW w:w="1361" w:type="dxa"/>
            <w:vAlign w:val="center"/>
          </w:tcPr>
          <w:p w14:paraId="5E0717A2">
            <w:pPr>
              <w:pStyle w:val="11"/>
            </w:pPr>
            <w:r>
              <w:t>7</w:t>
            </w:r>
          </w:p>
        </w:tc>
        <w:tc>
          <w:tcPr>
            <w:tcW w:w="1361" w:type="dxa"/>
            <w:vAlign w:val="center"/>
          </w:tcPr>
          <w:p w14:paraId="7A8CF34E">
            <w:pPr>
              <w:pStyle w:val="11"/>
            </w:pPr>
            <w:r>
              <w:t>8</w:t>
            </w:r>
          </w:p>
        </w:tc>
      </w:tr>
      <w:tr w14:paraId="3EA72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8882D">
            <w:pPr>
              <w:pStyle w:val="12"/>
            </w:pPr>
            <w:r>
              <w:t>1</w:t>
            </w:r>
          </w:p>
        </w:tc>
        <w:tc>
          <w:tcPr>
            <w:tcW w:w="992" w:type="dxa"/>
            <w:vAlign w:val="center"/>
          </w:tcPr>
          <w:p w14:paraId="7CA14F1B">
            <w:pPr>
              <w:pStyle w:val="17"/>
            </w:pPr>
          </w:p>
        </w:tc>
        <w:tc>
          <w:tcPr>
            <w:tcW w:w="4535" w:type="dxa"/>
            <w:vAlign w:val="center"/>
          </w:tcPr>
          <w:p w14:paraId="35025F69">
            <w:pPr>
              <w:pStyle w:val="15"/>
            </w:pPr>
            <w:r>
              <w:t>合计</w:t>
            </w:r>
          </w:p>
        </w:tc>
        <w:tc>
          <w:tcPr>
            <w:tcW w:w="1361" w:type="dxa"/>
            <w:vAlign w:val="center"/>
          </w:tcPr>
          <w:p w14:paraId="12A4E4C7">
            <w:pPr>
              <w:pStyle w:val="16"/>
            </w:pPr>
            <w:r>
              <w:t>2063.33</w:t>
            </w:r>
          </w:p>
        </w:tc>
        <w:tc>
          <w:tcPr>
            <w:tcW w:w="1361" w:type="dxa"/>
            <w:vAlign w:val="center"/>
          </w:tcPr>
          <w:p w14:paraId="64052180">
            <w:pPr>
              <w:pStyle w:val="16"/>
            </w:pPr>
            <w:r>
              <w:t>1370.45</w:t>
            </w:r>
          </w:p>
        </w:tc>
        <w:tc>
          <w:tcPr>
            <w:tcW w:w="1361" w:type="dxa"/>
            <w:vAlign w:val="center"/>
          </w:tcPr>
          <w:p w14:paraId="1C4A3BFA">
            <w:pPr>
              <w:pStyle w:val="16"/>
            </w:pPr>
            <w:r>
              <w:t>692.88</w:t>
            </w:r>
          </w:p>
        </w:tc>
        <w:tc>
          <w:tcPr>
            <w:tcW w:w="1361" w:type="dxa"/>
            <w:vAlign w:val="center"/>
          </w:tcPr>
          <w:p w14:paraId="17F4EBD2">
            <w:pPr>
              <w:pStyle w:val="16"/>
            </w:pPr>
          </w:p>
        </w:tc>
        <w:tc>
          <w:tcPr>
            <w:tcW w:w="1361" w:type="dxa"/>
            <w:vAlign w:val="center"/>
          </w:tcPr>
          <w:p w14:paraId="3234C580">
            <w:pPr>
              <w:pStyle w:val="16"/>
            </w:pPr>
          </w:p>
        </w:tc>
        <w:tc>
          <w:tcPr>
            <w:tcW w:w="1361" w:type="dxa"/>
            <w:vAlign w:val="center"/>
          </w:tcPr>
          <w:p w14:paraId="5921A108">
            <w:pPr>
              <w:pStyle w:val="16"/>
            </w:pPr>
          </w:p>
        </w:tc>
      </w:tr>
      <w:tr w14:paraId="0D7C1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23CF1">
            <w:pPr>
              <w:pStyle w:val="12"/>
            </w:pPr>
            <w:r>
              <w:t>2</w:t>
            </w:r>
          </w:p>
        </w:tc>
        <w:tc>
          <w:tcPr>
            <w:tcW w:w="992" w:type="dxa"/>
            <w:vAlign w:val="center"/>
          </w:tcPr>
          <w:p w14:paraId="63AB8013">
            <w:pPr>
              <w:pStyle w:val="13"/>
            </w:pPr>
            <w:r>
              <w:t>205</w:t>
            </w:r>
          </w:p>
        </w:tc>
        <w:tc>
          <w:tcPr>
            <w:tcW w:w="4535" w:type="dxa"/>
            <w:vAlign w:val="center"/>
          </w:tcPr>
          <w:p w14:paraId="59231A2D">
            <w:pPr>
              <w:pStyle w:val="13"/>
            </w:pPr>
            <w:r>
              <w:t>教育支出</w:t>
            </w:r>
          </w:p>
        </w:tc>
        <w:tc>
          <w:tcPr>
            <w:tcW w:w="1361" w:type="dxa"/>
            <w:vAlign w:val="center"/>
          </w:tcPr>
          <w:p w14:paraId="00AA5CE9">
            <w:pPr>
              <w:pStyle w:val="14"/>
            </w:pPr>
            <w:r>
              <w:t>2063.33</w:t>
            </w:r>
          </w:p>
        </w:tc>
        <w:tc>
          <w:tcPr>
            <w:tcW w:w="1361" w:type="dxa"/>
            <w:vAlign w:val="center"/>
          </w:tcPr>
          <w:p w14:paraId="6415ADC7">
            <w:pPr>
              <w:pStyle w:val="14"/>
            </w:pPr>
            <w:r>
              <w:t>1370.45</w:t>
            </w:r>
          </w:p>
        </w:tc>
        <w:tc>
          <w:tcPr>
            <w:tcW w:w="1361" w:type="dxa"/>
            <w:vAlign w:val="center"/>
          </w:tcPr>
          <w:p w14:paraId="28031444">
            <w:pPr>
              <w:pStyle w:val="14"/>
            </w:pPr>
            <w:r>
              <w:t>692.88</w:t>
            </w:r>
          </w:p>
        </w:tc>
        <w:tc>
          <w:tcPr>
            <w:tcW w:w="1361" w:type="dxa"/>
            <w:vAlign w:val="center"/>
          </w:tcPr>
          <w:p w14:paraId="1E30D3DF">
            <w:pPr>
              <w:pStyle w:val="14"/>
            </w:pPr>
          </w:p>
        </w:tc>
        <w:tc>
          <w:tcPr>
            <w:tcW w:w="1361" w:type="dxa"/>
            <w:vAlign w:val="center"/>
          </w:tcPr>
          <w:p w14:paraId="15AC1F04">
            <w:pPr>
              <w:pStyle w:val="14"/>
            </w:pPr>
          </w:p>
        </w:tc>
        <w:tc>
          <w:tcPr>
            <w:tcW w:w="1361" w:type="dxa"/>
            <w:vAlign w:val="center"/>
          </w:tcPr>
          <w:p w14:paraId="50E523E7">
            <w:pPr>
              <w:pStyle w:val="14"/>
            </w:pPr>
          </w:p>
        </w:tc>
      </w:tr>
      <w:tr w14:paraId="3538F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74147">
            <w:pPr>
              <w:pStyle w:val="12"/>
            </w:pPr>
            <w:r>
              <w:t>3</w:t>
            </w:r>
          </w:p>
        </w:tc>
        <w:tc>
          <w:tcPr>
            <w:tcW w:w="992" w:type="dxa"/>
            <w:vAlign w:val="center"/>
          </w:tcPr>
          <w:p w14:paraId="6CC3A674">
            <w:pPr>
              <w:pStyle w:val="13"/>
            </w:pPr>
            <w:r>
              <w:t>20502</w:t>
            </w:r>
          </w:p>
        </w:tc>
        <w:tc>
          <w:tcPr>
            <w:tcW w:w="4535" w:type="dxa"/>
            <w:vAlign w:val="center"/>
          </w:tcPr>
          <w:p w14:paraId="01ED6411">
            <w:pPr>
              <w:pStyle w:val="13"/>
            </w:pPr>
            <w:r>
              <w:t>普通教育</w:t>
            </w:r>
          </w:p>
        </w:tc>
        <w:tc>
          <w:tcPr>
            <w:tcW w:w="1361" w:type="dxa"/>
            <w:vAlign w:val="center"/>
          </w:tcPr>
          <w:p w14:paraId="0D636F5C">
            <w:pPr>
              <w:pStyle w:val="14"/>
            </w:pPr>
            <w:r>
              <w:t>2063.33</w:t>
            </w:r>
          </w:p>
        </w:tc>
        <w:tc>
          <w:tcPr>
            <w:tcW w:w="1361" w:type="dxa"/>
            <w:vAlign w:val="center"/>
          </w:tcPr>
          <w:p w14:paraId="0AFED4AB">
            <w:pPr>
              <w:pStyle w:val="14"/>
            </w:pPr>
            <w:r>
              <w:t>1370.45</w:t>
            </w:r>
          </w:p>
        </w:tc>
        <w:tc>
          <w:tcPr>
            <w:tcW w:w="1361" w:type="dxa"/>
            <w:vAlign w:val="center"/>
          </w:tcPr>
          <w:p w14:paraId="64AEF032">
            <w:pPr>
              <w:pStyle w:val="14"/>
            </w:pPr>
            <w:r>
              <w:t>692.88</w:t>
            </w:r>
          </w:p>
        </w:tc>
        <w:tc>
          <w:tcPr>
            <w:tcW w:w="1361" w:type="dxa"/>
            <w:vAlign w:val="center"/>
          </w:tcPr>
          <w:p w14:paraId="48766F00">
            <w:pPr>
              <w:pStyle w:val="14"/>
            </w:pPr>
          </w:p>
        </w:tc>
        <w:tc>
          <w:tcPr>
            <w:tcW w:w="1361" w:type="dxa"/>
            <w:vAlign w:val="center"/>
          </w:tcPr>
          <w:p w14:paraId="027ED0DB">
            <w:pPr>
              <w:pStyle w:val="14"/>
            </w:pPr>
          </w:p>
        </w:tc>
        <w:tc>
          <w:tcPr>
            <w:tcW w:w="1361" w:type="dxa"/>
            <w:vAlign w:val="center"/>
          </w:tcPr>
          <w:p w14:paraId="670D2D2D">
            <w:pPr>
              <w:pStyle w:val="14"/>
            </w:pPr>
          </w:p>
        </w:tc>
      </w:tr>
      <w:tr w14:paraId="47115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0EFB7">
            <w:pPr>
              <w:pStyle w:val="12"/>
            </w:pPr>
            <w:r>
              <w:t>4</w:t>
            </w:r>
          </w:p>
        </w:tc>
        <w:tc>
          <w:tcPr>
            <w:tcW w:w="992" w:type="dxa"/>
            <w:vAlign w:val="center"/>
          </w:tcPr>
          <w:p w14:paraId="48035B58">
            <w:pPr>
              <w:pStyle w:val="13"/>
            </w:pPr>
            <w:r>
              <w:t>2050202</w:t>
            </w:r>
          </w:p>
        </w:tc>
        <w:tc>
          <w:tcPr>
            <w:tcW w:w="4535" w:type="dxa"/>
            <w:vAlign w:val="center"/>
          </w:tcPr>
          <w:p w14:paraId="5FD5B6A5">
            <w:pPr>
              <w:pStyle w:val="13"/>
            </w:pPr>
            <w:r>
              <w:t>小学教育</w:t>
            </w:r>
          </w:p>
        </w:tc>
        <w:tc>
          <w:tcPr>
            <w:tcW w:w="1361" w:type="dxa"/>
            <w:vAlign w:val="center"/>
          </w:tcPr>
          <w:p w14:paraId="08055B10">
            <w:pPr>
              <w:pStyle w:val="14"/>
            </w:pPr>
            <w:r>
              <w:t>2063.33</w:t>
            </w:r>
          </w:p>
        </w:tc>
        <w:tc>
          <w:tcPr>
            <w:tcW w:w="1361" w:type="dxa"/>
            <w:vAlign w:val="center"/>
          </w:tcPr>
          <w:p w14:paraId="3C73E68E">
            <w:pPr>
              <w:pStyle w:val="14"/>
            </w:pPr>
            <w:r>
              <w:t>1370.45</w:t>
            </w:r>
          </w:p>
        </w:tc>
        <w:tc>
          <w:tcPr>
            <w:tcW w:w="1361" w:type="dxa"/>
            <w:vAlign w:val="center"/>
          </w:tcPr>
          <w:p w14:paraId="050F1082">
            <w:pPr>
              <w:pStyle w:val="14"/>
            </w:pPr>
            <w:r>
              <w:t>692.88</w:t>
            </w:r>
          </w:p>
        </w:tc>
        <w:tc>
          <w:tcPr>
            <w:tcW w:w="1361" w:type="dxa"/>
            <w:vAlign w:val="center"/>
          </w:tcPr>
          <w:p w14:paraId="393D2BB9">
            <w:pPr>
              <w:pStyle w:val="14"/>
            </w:pPr>
          </w:p>
        </w:tc>
        <w:tc>
          <w:tcPr>
            <w:tcW w:w="1361" w:type="dxa"/>
            <w:vAlign w:val="center"/>
          </w:tcPr>
          <w:p w14:paraId="11AFDA0D">
            <w:pPr>
              <w:pStyle w:val="14"/>
            </w:pPr>
          </w:p>
        </w:tc>
        <w:tc>
          <w:tcPr>
            <w:tcW w:w="1361" w:type="dxa"/>
            <w:vAlign w:val="center"/>
          </w:tcPr>
          <w:p w14:paraId="37B0A794">
            <w:pPr>
              <w:pStyle w:val="14"/>
            </w:pPr>
          </w:p>
        </w:tc>
      </w:tr>
    </w:tbl>
    <w:p w14:paraId="1662BAEA">
      <w:pPr>
        <w:sectPr>
          <w:pgSz w:w="16840" w:h="11900" w:orient="landscape"/>
          <w:pgMar w:top="1361" w:right="1020" w:bottom="1134" w:left="1020" w:header="720" w:footer="720" w:gutter="0"/>
          <w:cols w:space="720" w:num="1"/>
        </w:sectPr>
      </w:pPr>
    </w:p>
    <w:p w14:paraId="561171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E04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5D6C43">
            <w:pPr>
              <w:pStyle w:val="8"/>
            </w:pPr>
            <w:r>
              <w:t>360030隆尧县第二实验小学</w:t>
            </w:r>
          </w:p>
        </w:tc>
        <w:tc>
          <w:tcPr>
            <w:tcW w:w="3402" w:type="dxa"/>
            <w:tcBorders>
              <w:top w:val="single" w:color="FFFFFF" w:sz="6" w:space="0"/>
              <w:left w:val="single" w:color="FFFFFF" w:sz="6" w:space="0"/>
              <w:right w:val="single" w:color="FFFFFF" w:sz="6" w:space="0"/>
            </w:tcBorders>
            <w:vAlign w:val="center"/>
          </w:tcPr>
          <w:p w14:paraId="37041B57">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3956CE3">
            <w:pPr>
              <w:pStyle w:val="10"/>
            </w:pPr>
            <w:r>
              <w:t>单位：万元</w:t>
            </w:r>
          </w:p>
        </w:tc>
      </w:tr>
      <w:tr w14:paraId="6F626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E8335">
            <w:pPr>
              <w:pStyle w:val="11"/>
            </w:pPr>
            <w:r>
              <w:t>序号</w:t>
            </w:r>
          </w:p>
        </w:tc>
        <w:tc>
          <w:tcPr>
            <w:tcW w:w="4876" w:type="dxa"/>
            <w:gridSpan w:val="2"/>
            <w:vAlign w:val="center"/>
          </w:tcPr>
          <w:p w14:paraId="7FD940A9">
            <w:pPr>
              <w:pStyle w:val="11"/>
            </w:pPr>
            <w:r>
              <w:t>收入</w:t>
            </w:r>
          </w:p>
        </w:tc>
        <w:tc>
          <w:tcPr>
            <w:tcW w:w="9298" w:type="dxa"/>
            <w:gridSpan w:val="5"/>
            <w:vAlign w:val="center"/>
          </w:tcPr>
          <w:p w14:paraId="0715534D">
            <w:pPr>
              <w:pStyle w:val="11"/>
            </w:pPr>
            <w:r>
              <w:t>支出</w:t>
            </w:r>
          </w:p>
        </w:tc>
      </w:tr>
      <w:tr w14:paraId="2151E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2A07A"/>
        </w:tc>
        <w:tc>
          <w:tcPr>
            <w:tcW w:w="3402" w:type="dxa"/>
            <w:vAlign w:val="center"/>
          </w:tcPr>
          <w:p w14:paraId="2642EE89">
            <w:pPr>
              <w:pStyle w:val="11"/>
            </w:pPr>
            <w:r>
              <w:t>项  目</w:t>
            </w:r>
          </w:p>
        </w:tc>
        <w:tc>
          <w:tcPr>
            <w:tcW w:w="1474" w:type="dxa"/>
            <w:vAlign w:val="center"/>
          </w:tcPr>
          <w:p w14:paraId="1FF5242E">
            <w:pPr>
              <w:pStyle w:val="11"/>
            </w:pPr>
            <w:r>
              <w:t>金额</w:t>
            </w:r>
          </w:p>
        </w:tc>
        <w:tc>
          <w:tcPr>
            <w:tcW w:w="3402" w:type="dxa"/>
            <w:vAlign w:val="center"/>
          </w:tcPr>
          <w:p w14:paraId="79E95C1D">
            <w:pPr>
              <w:pStyle w:val="11"/>
            </w:pPr>
            <w:r>
              <w:t>项  目</w:t>
            </w:r>
          </w:p>
        </w:tc>
        <w:tc>
          <w:tcPr>
            <w:tcW w:w="1474" w:type="dxa"/>
            <w:vAlign w:val="center"/>
          </w:tcPr>
          <w:p w14:paraId="2860AD0F">
            <w:pPr>
              <w:pStyle w:val="11"/>
            </w:pPr>
            <w:r>
              <w:t>合计</w:t>
            </w:r>
          </w:p>
        </w:tc>
        <w:tc>
          <w:tcPr>
            <w:tcW w:w="1474" w:type="dxa"/>
            <w:vAlign w:val="center"/>
          </w:tcPr>
          <w:p w14:paraId="150B4FA9">
            <w:pPr>
              <w:pStyle w:val="11"/>
            </w:pPr>
            <w:r>
              <w:t>一般公共预算财政拨款</w:t>
            </w:r>
          </w:p>
        </w:tc>
        <w:tc>
          <w:tcPr>
            <w:tcW w:w="1474" w:type="dxa"/>
            <w:vAlign w:val="center"/>
          </w:tcPr>
          <w:p w14:paraId="1C464872">
            <w:pPr>
              <w:pStyle w:val="11"/>
            </w:pPr>
            <w:r>
              <w:t>政府性基金预算财政    拨款</w:t>
            </w:r>
          </w:p>
        </w:tc>
        <w:tc>
          <w:tcPr>
            <w:tcW w:w="1474" w:type="dxa"/>
            <w:vAlign w:val="center"/>
          </w:tcPr>
          <w:p w14:paraId="47FB0501">
            <w:pPr>
              <w:pStyle w:val="11"/>
            </w:pPr>
            <w:r>
              <w:t>国有资本经营预算财政拨款</w:t>
            </w:r>
          </w:p>
        </w:tc>
      </w:tr>
      <w:tr w14:paraId="62FED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00C51F">
            <w:pPr>
              <w:pStyle w:val="11"/>
            </w:pPr>
            <w:r>
              <w:t>栏次</w:t>
            </w:r>
          </w:p>
        </w:tc>
        <w:tc>
          <w:tcPr>
            <w:tcW w:w="3402" w:type="dxa"/>
            <w:vAlign w:val="center"/>
          </w:tcPr>
          <w:p w14:paraId="7FD4F53B">
            <w:pPr>
              <w:pStyle w:val="11"/>
            </w:pPr>
            <w:r>
              <w:t>1</w:t>
            </w:r>
          </w:p>
        </w:tc>
        <w:tc>
          <w:tcPr>
            <w:tcW w:w="1474" w:type="dxa"/>
            <w:vAlign w:val="center"/>
          </w:tcPr>
          <w:p w14:paraId="705BA86E">
            <w:pPr>
              <w:pStyle w:val="11"/>
            </w:pPr>
            <w:r>
              <w:t>2</w:t>
            </w:r>
          </w:p>
        </w:tc>
        <w:tc>
          <w:tcPr>
            <w:tcW w:w="3402" w:type="dxa"/>
            <w:vAlign w:val="center"/>
          </w:tcPr>
          <w:p w14:paraId="5EE8B5F8">
            <w:pPr>
              <w:pStyle w:val="11"/>
            </w:pPr>
            <w:r>
              <w:t>3</w:t>
            </w:r>
          </w:p>
        </w:tc>
        <w:tc>
          <w:tcPr>
            <w:tcW w:w="1474" w:type="dxa"/>
            <w:vAlign w:val="center"/>
          </w:tcPr>
          <w:p w14:paraId="561EB5C8">
            <w:pPr>
              <w:pStyle w:val="11"/>
            </w:pPr>
            <w:r>
              <w:t>4</w:t>
            </w:r>
          </w:p>
        </w:tc>
        <w:tc>
          <w:tcPr>
            <w:tcW w:w="1474" w:type="dxa"/>
            <w:vAlign w:val="center"/>
          </w:tcPr>
          <w:p w14:paraId="023C908C">
            <w:pPr>
              <w:pStyle w:val="11"/>
            </w:pPr>
            <w:r>
              <w:t>5</w:t>
            </w:r>
          </w:p>
        </w:tc>
        <w:tc>
          <w:tcPr>
            <w:tcW w:w="1474" w:type="dxa"/>
            <w:vAlign w:val="center"/>
          </w:tcPr>
          <w:p w14:paraId="6CCD61AA">
            <w:pPr>
              <w:pStyle w:val="11"/>
            </w:pPr>
            <w:r>
              <w:t>6</w:t>
            </w:r>
          </w:p>
        </w:tc>
        <w:tc>
          <w:tcPr>
            <w:tcW w:w="1474" w:type="dxa"/>
            <w:vAlign w:val="center"/>
          </w:tcPr>
          <w:p w14:paraId="04060D98">
            <w:pPr>
              <w:pStyle w:val="11"/>
            </w:pPr>
            <w:r>
              <w:t>7</w:t>
            </w:r>
          </w:p>
        </w:tc>
      </w:tr>
      <w:tr w14:paraId="48240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6D0F5">
            <w:pPr>
              <w:pStyle w:val="12"/>
            </w:pPr>
            <w:r>
              <w:t>1</w:t>
            </w:r>
          </w:p>
        </w:tc>
        <w:tc>
          <w:tcPr>
            <w:tcW w:w="3402" w:type="dxa"/>
            <w:vAlign w:val="center"/>
          </w:tcPr>
          <w:p w14:paraId="7C4B1816">
            <w:pPr>
              <w:pStyle w:val="13"/>
            </w:pPr>
            <w:r>
              <w:t>一、一般公共预算拨款</w:t>
            </w:r>
          </w:p>
        </w:tc>
        <w:tc>
          <w:tcPr>
            <w:tcW w:w="1474" w:type="dxa"/>
            <w:vAlign w:val="center"/>
          </w:tcPr>
          <w:p w14:paraId="1DEFEF63">
            <w:pPr>
              <w:pStyle w:val="14"/>
            </w:pPr>
            <w:r>
              <w:t>1910.76</w:t>
            </w:r>
          </w:p>
        </w:tc>
        <w:tc>
          <w:tcPr>
            <w:tcW w:w="3402" w:type="dxa"/>
            <w:vAlign w:val="center"/>
          </w:tcPr>
          <w:p w14:paraId="5522618C">
            <w:pPr>
              <w:pStyle w:val="13"/>
            </w:pPr>
            <w:r>
              <w:t>一、一般公共服务支出</w:t>
            </w:r>
          </w:p>
        </w:tc>
        <w:tc>
          <w:tcPr>
            <w:tcW w:w="1474" w:type="dxa"/>
            <w:vAlign w:val="center"/>
          </w:tcPr>
          <w:p w14:paraId="16AA99D8">
            <w:pPr>
              <w:pStyle w:val="14"/>
            </w:pPr>
          </w:p>
        </w:tc>
        <w:tc>
          <w:tcPr>
            <w:tcW w:w="1474" w:type="dxa"/>
            <w:vAlign w:val="center"/>
          </w:tcPr>
          <w:p w14:paraId="17CCBD7A">
            <w:pPr>
              <w:pStyle w:val="14"/>
            </w:pPr>
          </w:p>
        </w:tc>
        <w:tc>
          <w:tcPr>
            <w:tcW w:w="1474" w:type="dxa"/>
            <w:vAlign w:val="center"/>
          </w:tcPr>
          <w:p w14:paraId="013834C2">
            <w:pPr>
              <w:pStyle w:val="14"/>
            </w:pPr>
          </w:p>
        </w:tc>
        <w:tc>
          <w:tcPr>
            <w:tcW w:w="1474" w:type="dxa"/>
            <w:vAlign w:val="center"/>
          </w:tcPr>
          <w:p w14:paraId="1D1A6796">
            <w:pPr>
              <w:pStyle w:val="14"/>
            </w:pPr>
          </w:p>
        </w:tc>
      </w:tr>
      <w:tr w14:paraId="1DE51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D4030">
            <w:pPr>
              <w:pStyle w:val="12"/>
            </w:pPr>
            <w:r>
              <w:t>2</w:t>
            </w:r>
          </w:p>
        </w:tc>
        <w:tc>
          <w:tcPr>
            <w:tcW w:w="3402" w:type="dxa"/>
            <w:vAlign w:val="center"/>
          </w:tcPr>
          <w:p w14:paraId="00BE78BA">
            <w:pPr>
              <w:pStyle w:val="13"/>
            </w:pPr>
            <w:r>
              <w:t>二、政府性基金预算拨款</w:t>
            </w:r>
          </w:p>
        </w:tc>
        <w:tc>
          <w:tcPr>
            <w:tcW w:w="1474" w:type="dxa"/>
            <w:vAlign w:val="center"/>
          </w:tcPr>
          <w:p w14:paraId="1EC8DCD8">
            <w:pPr>
              <w:pStyle w:val="14"/>
            </w:pPr>
          </w:p>
        </w:tc>
        <w:tc>
          <w:tcPr>
            <w:tcW w:w="3402" w:type="dxa"/>
            <w:vAlign w:val="center"/>
          </w:tcPr>
          <w:p w14:paraId="516C33AC">
            <w:pPr>
              <w:pStyle w:val="13"/>
            </w:pPr>
            <w:r>
              <w:t>二、外交支出</w:t>
            </w:r>
          </w:p>
        </w:tc>
        <w:tc>
          <w:tcPr>
            <w:tcW w:w="1474" w:type="dxa"/>
            <w:vAlign w:val="center"/>
          </w:tcPr>
          <w:p w14:paraId="61BFA706">
            <w:pPr>
              <w:pStyle w:val="14"/>
            </w:pPr>
          </w:p>
        </w:tc>
        <w:tc>
          <w:tcPr>
            <w:tcW w:w="1474" w:type="dxa"/>
            <w:vAlign w:val="center"/>
          </w:tcPr>
          <w:p w14:paraId="6FDB6B34">
            <w:pPr>
              <w:pStyle w:val="14"/>
            </w:pPr>
          </w:p>
        </w:tc>
        <w:tc>
          <w:tcPr>
            <w:tcW w:w="1474" w:type="dxa"/>
            <w:vAlign w:val="center"/>
          </w:tcPr>
          <w:p w14:paraId="1B51D421">
            <w:pPr>
              <w:pStyle w:val="14"/>
            </w:pPr>
          </w:p>
        </w:tc>
        <w:tc>
          <w:tcPr>
            <w:tcW w:w="1474" w:type="dxa"/>
            <w:vAlign w:val="center"/>
          </w:tcPr>
          <w:p w14:paraId="4DA635A5">
            <w:pPr>
              <w:pStyle w:val="14"/>
            </w:pPr>
          </w:p>
        </w:tc>
      </w:tr>
      <w:tr w14:paraId="36135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24347">
            <w:pPr>
              <w:pStyle w:val="12"/>
            </w:pPr>
            <w:r>
              <w:t>3</w:t>
            </w:r>
          </w:p>
        </w:tc>
        <w:tc>
          <w:tcPr>
            <w:tcW w:w="3402" w:type="dxa"/>
            <w:vAlign w:val="center"/>
          </w:tcPr>
          <w:p w14:paraId="538C7D1F">
            <w:pPr>
              <w:pStyle w:val="13"/>
            </w:pPr>
            <w:r>
              <w:t>三、国有资本经营预算拨款</w:t>
            </w:r>
          </w:p>
        </w:tc>
        <w:tc>
          <w:tcPr>
            <w:tcW w:w="1474" w:type="dxa"/>
            <w:vAlign w:val="center"/>
          </w:tcPr>
          <w:p w14:paraId="75D7C720">
            <w:pPr>
              <w:pStyle w:val="14"/>
            </w:pPr>
          </w:p>
        </w:tc>
        <w:tc>
          <w:tcPr>
            <w:tcW w:w="3402" w:type="dxa"/>
            <w:vAlign w:val="center"/>
          </w:tcPr>
          <w:p w14:paraId="7B129BB2">
            <w:pPr>
              <w:pStyle w:val="13"/>
            </w:pPr>
            <w:r>
              <w:t>三、国防支出</w:t>
            </w:r>
          </w:p>
        </w:tc>
        <w:tc>
          <w:tcPr>
            <w:tcW w:w="1474" w:type="dxa"/>
            <w:vAlign w:val="center"/>
          </w:tcPr>
          <w:p w14:paraId="047F15FC">
            <w:pPr>
              <w:pStyle w:val="14"/>
            </w:pPr>
          </w:p>
        </w:tc>
        <w:tc>
          <w:tcPr>
            <w:tcW w:w="1474" w:type="dxa"/>
            <w:vAlign w:val="center"/>
          </w:tcPr>
          <w:p w14:paraId="12D218C5">
            <w:pPr>
              <w:pStyle w:val="14"/>
            </w:pPr>
          </w:p>
        </w:tc>
        <w:tc>
          <w:tcPr>
            <w:tcW w:w="1474" w:type="dxa"/>
            <w:vAlign w:val="center"/>
          </w:tcPr>
          <w:p w14:paraId="39531861">
            <w:pPr>
              <w:pStyle w:val="14"/>
            </w:pPr>
          </w:p>
        </w:tc>
        <w:tc>
          <w:tcPr>
            <w:tcW w:w="1474" w:type="dxa"/>
            <w:vAlign w:val="center"/>
          </w:tcPr>
          <w:p w14:paraId="5C33C9F4">
            <w:pPr>
              <w:pStyle w:val="14"/>
            </w:pPr>
          </w:p>
        </w:tc>
      </w:tr>
      <w:tr w14:paraId="57396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EF8A3">
            <w:pPr>
              <w:pStyle w:val="12"/>
            </w:pPr>
            <w:r>
              <w:t>4</w:t>
            </w:r>
          </w:p>
        </w:tc>
        <w:tc>
          <w:tcPr>
            <w:tcW w:w="3402" w:type="dxa"/>
            <w:vAlign w:val="center"/>
          </w:tcPr>
          <w:p w14:paraId="7DC85A28">
            <w:pPr>
              <w:pStyle w:val="13"/>
            </w:pPr>
          </w:p>
        </w:tc>
        <w:tc>
          <w:tcPr>
            <w:tcW w:w="1474" w:type="dxa"/>
            <w:vAlign w:val="center"/>
          </w:tcPr>
          <w:p w14:paraId="5BC13360">
            <w:pPr>
              <w:pStyle w:val="14"/>
            </w:pPr>
          </w:p>
        </w:tc>
        <w:tc>
          <w:tcPr>
            <w:tcW w:w="3402" w:type="dxa"/>
            <w:vAlign w:val="center"/>
          </w:tcPr>
          <w:p w14:paraId="19E10AC1">
            <w:pPr>
              <w:pStyle w:val="13"/>
            </w:pPr>
            <w:r>
              <w:t>四、公共安全支出</w:t>
            </w:r>
          </w:p>
        </w:tc>
        <w:tc>
          <w:tcPr>
            <w:tcW w:w="1474" w:type="dxa"/>
            <w:vAlign w:val="center"/>
          </w:tcPr>
          <w:p w14:paraId="2695A25C">
            <w:pPr>
              <w:pStyle w:val="14"/>
            </w:pPr>
          </w:p>
        </w:tc>
        <w:tc>
          <w:tcPr>
            <w:tcW w:w="1474" w:type="dxa"/>
            <w:vAlign w:val="center"/>
          </w:tcPr>
          <w:p w14:paraId="5F99C884">
            <w:pPr>
              <w:pStyle w:val="14"/>
            </w:pPr>
          </w:p>
        </w:tc>
        <w:tc>
          <w:tcPr>
            <w:tcW w:w="1474" w:type="dxa"/>
            <w:vAlign w:val="center"/>
          </w:tcPr>
          <w:p w14:paraId="2C84B97E">
            <w:pPr>
              <w:pStyle w:val="14"/>
            </w:pPr>
          </w:p>
        </w:tc>
        <w:tc>
          <w:tcPr>
            <w:tcW w:w="1474" w:type="dxa"/>
            <w:vAlign w:val="center"/>
          </w:tcPr>
          <w:p w14:paraId="426EAA68">
            <w:pPr>
              <w:pStyle w:val="14"/>
            </w:pPr>
          </w:p>
        </w:tc>
      </w:tr>
      <w:tr w14:paraId="2C757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6A4FC">
            <w:pPr>
              <w:pStyle w:val="12"/>
            </w:pPr>
            <w:r>
              <w:t>5</w:t>
            </w:r>
          </w:p>
        </w:tc>
        <w:tc>
          <w:tcPr>
            <w:tcW w:w="3402" w:type="dxa"/>
            <w:vAlign w:val="center"/>
          </w:tcPr>
          <w:p w14:paraId="4128BC7C">
            <w:pPr>
              <w:pStyle w:val="13"/>
            </w:pPr>
          </w:p>
        </w:tc>
        <w:tc>
          <w:tcPr>
            <w:tcW w:w="1474" w:type="dxa"/>
            <w:vAlign w:val="center"/>
          </w:tcPr>
          <w:p w14:paraId="7DFCCAFD">
            <w:pPr>
              <w:pStyle w:val="14"/>
            </w:pPr>
          </w:p>
        </w:tc>
        <w:tc>
          <w:tcPr>
            <w:tcW w:w="3402" w:type="dxa"/>
            <w:vAlign w:val="center"/>
          </w:tcPr>
          <w:p w14:paraId="5E85A367">
            <w:pPr>
              <w:pStyle w:val="13"/>
            </w:pPr>
            <w:r>
              <w:t>五、教育支出</w:t>
            </w:r>
          </w:p>
        </w:tc>
        <w:tc>
          <w:tcPr>
            <w:tcW w:w="1474" w:type="dxa"/>
            <w:vAlign w:val="center"/>
          </w:tcPr>
          <w:p w14:paraId="560B1AAB">
            <w:pPr>
              <w:pStyle w:val="14"/>
            </w:pPr>
            <w:r>
              <w:t>2063.33</w:t>
            </w:r>
          </w:p>
        </w:tc>
        <w:tc>
          <w:tcPr>
            <w:tcW w:w="1474" w:type="dxa"/>
            <w:vAlign w:val="center"/>
          </w:tcPr>
          <w:p w14:paraId="14A6FADB">
            <w:pPr>
              <w:pStyle w:val="14"/>
            </w:pPr>
            <w:r>
              <w:t>2063.33</w:t>
            </w:r>
          </w:p>
        </w:tc>
        <w:tc>
          <w:tcPr>
            <w:tcW w:w="1474" w:type="dxa"/>
            <w:vAlign w:val="center"/>
          </w:tcPr>
          <w:p w14:paraId="0AFE6DB0">
            <w:pPr>
              <w:pStyle w:val="14"/>
            </w:pPr>
          </w:p>
        </w:tc>
        <w:tc>
          <w:tcPr>
            <w:tcW w:w="1474" w:type="dxa"/>
            <w:vAlign w:val="center"/>
          </w:tcPr>
          <w:p w14:paraId="0CD13733">
            <w:pPr>
              <w:pStyle w:val="14"/>
            </w:pPr>
          </w:p>
        </w:tc>
      </w:tr>
      <w:tr w14:paraId="441F0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8BE2037">
            <w:pPr>
              <w:pStyle w:val="12"/>
            </w:pPr>
            <w:r>
              <w:t>6</w:t>
            </w:r>
          </w:p>
        </w:tc>
        <w:tc>
          <w:tcPr>
            <w:tcW w:w="3402" w:type="dxa"/>
            <w:vAlign w:val="center"/>
          </w:tcPr>
          <w:p w14:paraId="1E0EC1EF">
            <w:pPr>
              <w:pStyle w:val="13"/>
            </w:pPr>
          </w:p>
        </w:tc>
        <w:tc>
          <w:tcPr>
            <w:tcW w:w="1474" w:type="dxa"/>
            <w:vAlign w:val="center"/>
          </w:tcPr>
          <w:p w14:paraId="08C15045">
            <w:pPr>
              <w:pStyle w:val="14"/>
            </w:pPr>
          </w:p>
        </w:tc>
        <w:tc>
          <w:tcPr>
            <w:tcW w:w="3402" w:type="dxa"/>
            <w:vAlign w:val="center"/>
          </w:tcPr>
          <w:p w14:paraId="6210C0BE">
            <w:pPr>
              <w:pStyle w:val="13"/>
            </w:pPr>
            <w:r>
              <w:t>六、科学技术支出</w:t>
            </w:r>
          </w:p>
        </w:tc>
        <w:tc>
          <w:tcPr>
            <w:tcW w:w="1474" w:type="dxa"/>
            <w:vAlign w:val="center"/>
          </w:tcPr>
          <w:p w14:paraId="01F0D555">
            <w:pPr>
              <w:pStyle w:val="14"/>
            </w:pPr>
          </w:p>
        </w:tc>
        <w:tc>
          <w:tcPr>
            <w:tcW w:w="1474" w:type="dxa"/>
            <w:vAlign w:val="center"/>
          </w:tcPr>
          <w:p w14:paraId="7192A8A0">
            <w:pPr>
              <w:pStyle w:val="14"/>
            </w:pPr>
          </w:p>
        </w:tc>
        <w:tc>
          <w:tcPr>
            <w:tcW w:w="1474" w:type="dxa"/>
            <w:vAlign w:val="center"/>
          </w:tcPr>
          <w:p w14:paraId="69A1C483">
            <w:pPr>
              <w:pStyle w:val="14"/>
            </w:pPr>
          </w:p>
        </w:tc>
        <w:tc>
          <w:tcPr>
            <w:tcW w:w="1474" w:type="dxa"/>
            <w:vAlign w:val="center"/>
          </w:tcPr>
          <w:p w14:paraId="6D24D992">
            <w:pPr>
              <w:pStyle w:val="14"/>
            </w:pPr>
          </w:p>
        </w:tc>
      </w:tr>
      <w:tr w14:paraId="2708D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50CDA">
            <w:pPr>
              <w:pStyle w:val="12"/>
            </w:pPr>
            <w:r>
              <w:t>7</w:t>
            </w:r>
          </w:p>
        </w:tc>
        <w:tc>
          <w:tcPr>
            <w:tcW w:w="3402" w:type="dxa"/>
            <w:vAlign w:val="center"/>
          </w:tcPr>
          <w:p w14:paraId="5FA05563">
            <w:pPr>
              <w:pStyle w:val="13"/>
            </w:pPr>
          </w:p>
        </w:tc>
        <w:tc>
          <w:tcPr>
            <w:tcW w:w="1474" w:type="dxa"/>
            <w:vAlign w:val="center"/>
          </w:tcPr>
          <w:p w14:paraId="17785910">
            <w:pPr>
              <w:pStyle w:val="14"/>
            </w:pPr>
          </w:p>
        </w:tc>
        <w:tc>
          <w:tcPr>
            <w:tcW w:w="3402" w:type="dxa"/>
            <w:vAlign w:val="center"/>
          </w:tcPr>
          <w:p w14:paraId="65F5BAC2">
            <w:pPr>
              <w:pStyle w:val="13"/>
            </w:pPr>
            <w:r>
              <w:t>七、文化旅游体育与传媒支出</w:t>
            </w:r>
          </w:p>
        </w:tc>
        <w:tc>
          <w:tcPr>
            <w:tcW w:w="1474" w:type="dxa"/>
            <w:vAlign w:val="center"/>
          </w:tcPr>
          <w:p w14:paraId="575170B4">
            <w:pPr>
              <w:pStyle w:val="14"/>
            </w:pPr>
          </w:p>
        </w:tc>
        <w:tc>
          <w:tcPr>
            <w:tcW w:w="1474" w:type="dxa"/>
            <w:vAlign w:val="center"/>
          </w:tcPr>
          <w:p w14:paraId="4F46D4B1">
            <w:pPr>
              <w:pStyle w:val="14"/>
            </w:pPr>
          </w:p>
        </w:tc>
        <w:tc>
          <w:tcPr>
            <w:tcW w:w="1474" w:type="dxa"/>
            <w:vAlign w:val="center"/>
          </w:tcPr>
          <w:p w14:paraId="55055D6C">
            <w:pPr>
              <w:pStyle w:val="14"/>
            </w:pPr>
          </w:p>
        </w:tc>
        <w:tc>
          <w:tcPr>
            <w:tcW w:w="1474" w:type="dxa"/>
            <w:vAlign w:val="center"/>
          </w:tcPr>
          <w:p w14:paraId="4A9C85FC">
            <w:pPr>
              <w:pStyle w:val="14"/>
            </w:pPr>
          </w:p>
        </w:tc>
      </w:tr>
      <w:tr w14:paraId="0D1DA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AA2A5">
            <w:pPr>
              <w:pStyle w:val="12"/>
            </w:pPr>
            <w:r>
              <w:t>8</w:t>
            </w:r>
          </w:p>
        </w:tc>
        <w:tc>
          <w:tcPr>
            <w:tcW w:w="3402" w:type="dxa"/>
            <w:vAlign w:val="center"/>
          </w:tcPr>
          <w:p w14:paraId="7932917A">
            <w:pPr>
              <w:pStyle w:val="13"/>
            </w:pPr>
          </w:p>
        </w:tc>
        <w:tc>
          <w:tcPr>
            <w:tcW w:w="1474" w:type="dxa"/>
            <w:vAlign w:val="center"/>
          </w:tcPr>
          <w:p w14:paraId="2994D0DA">
            <w:pPr>
              <w:pStyle w:val="14"/>
            </w:pPr>
          </w:p>
        </w:tc>
        <w:tc>
          <w:tcPr>
            <w:tcW w:w="3402" w:type="dxa"/>
            <w:vAlign w:val="center"/>
          </w:tcPr>
          <w:p w14:paraId="08AD8308">
            <w:pPr>
              <w:pStyle w:val="13"/>
            </w:pPr>
            <w:r>
              <w:t>八、社会保障和就业支出</w:t>
            </w:r>
          </w:p>
        </w:tc>
        <w:tc>
          <w:tcPr>
            <w:tcW w:w="1474" w:type="dxa"/>
            <w:vAlign w:val="center"/>
          </w:tcPr>
          <w:p w14:paraId="585F5800">
            <w:pPr>
              <w:pStyle w:val="14"/>
            </w:pPr>
          </w:p>
        </w:tc>
        <w:tc>
          <w:tcPr>
            <w:tcW w:w="1474" w:type="dxa"/>
            <w:vAlign w:val="center"/>
          </w:tcPr>
          <w:p w14:paraId="5E99408A">
            <w:pPr>
              <w:pStyle w:val="14"/>
            </w:pPr>
          </w:p>
        </w:tc>
        <w:tc>
          <w:tcPr>
            <w:tcW w:w="1474" w:type="dxa"/>
            <w:vAlign w:val="center"/>
          </w:tcPr>
          <w:p w14:paraId="54AFC026">
            <w:pPr>
              <w:pStyle w:val="14"/>
            </w:pPr>
          </w:p>
        </w:tc>
        <w:tc>
          <w:tcPr>
            <w:tcW w:w="1474" w:type="dxa"/>
            <w:vAlign w:val="center"/>
          </w:tcPr>
          <w:p w14:paraId="1A4D3DAB">
            <w:pPr>
              <w:pStyle w:val="14"/>
            </w:pPr>
          </w:p>
        </w:tc>
      </w:tr>
      <w:tr w14:paraId="1D183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2A4B8">
            <w:pPr>
              <w:pStyle w:val="12"/>
            </w:pPr>
            <w:r>
              <w:t>9</w:t>
            </w:r>
          </w:p>
        </w:tc>
        <w:tc>
          <w:tcPr>
            <w:tcW w:w="3402" w:type="dxa"/>
            <w:vAlign w:val="center"/>
          </w:tcPr>
          <w:p w14:paraId="33217604">
            <w:pPr>
              <w:pStyle w:val="13"/>
            </w:pPr>
          </w:p>
        </w:tc>
        <w:tc>
          <w:tcPr>
            <w:tcW w:w="1474" w:type="dxa"/>
            <w:vAlign w:val="center"/>
          </w:tcPr>
          <w:p w14:paraId="5B637E80">
            <w:pPr>
              <w:pStyle w:val="14"/>
            </w:pPr>
          </w:p>
        </w:tc>
        <w:tc>
          <w:tcPr>
            <w:tcW w:w="3402" w:type="dxa"/>
            <w:vAlign w:val="center"/>
          </w:tcPr>
          <w:p w14:paraId="55A0B8F3">
            <w:pPr>
              <w:pStyle w:val="13"/>
            </w:pPr>
            <w:r>
              <w:t>九、社会保险基金支出</w:t>
            </w:r>
          </w:p>
        </w:tc>
        <w:tc>
          <w:tcPr>
            <w:tcW w:w="1474" w:type="dxa"/>
            <w:vAlign w:val="center"/>
          </w:tcPr>
          <w:p w14:paraId="7094CB94">
            <w:pPr>
              <w:pStyle w:val="14"/>
            </w:pPr>
          </w:p>
        </w:tc>
        <w:tc>
          <w:tcPr>
            <w:tcW w:w="1474" w:type="dxa"/>
            <w:vAlign w:val="center"/>
          </w:tcPr>
          <w:p w14:paraId="5C25092D">
            <w:pPr>
              <w:pStyle w:val="14"/>
            </w:pPr>
          </w:p>
        </w:tc>
        <w:tc>
          <w:tcPr>
            <w:tcW w:w="1474" w:type="dxa"/>
            <w:vAlign w:val="center"/>
          </w:tcPr>
          <w:p w14:paraId="6F030492">
            <w:pPr>
              <w:pStyle w:val="14"/>
            </w:pPr>
          </w:p>
        </w:tc>
        <w:tc>
          <w:tcPr>
            <w:tcW w:w="1474" w:type="dxa"/>
            <w:vAlign w:val="center"/>
          </w:tcPr>
          <w:p w14:paraId="31449D6E">
            <w:pPr>
              <w:pStyle w:val="14"/>
            </w:pPr>
          </w:p>
        </w:tc>
      </w:tr>
      <w:tr w14:paraId="1AEB3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0AEB7C0">
            <w:pPr>
              <w:pStyle w:val="12"/>
            </w:pPr>
            <w:r>
              <w:t>10</w:t>
            </w:r>
          </w:p>
        </w:tc>
        <w:tc>
          <w:tcPr>
            <w:tcW w:w="3402" w:type="dxa"/>
            <w:vAlign w:val="center"/>
          </w:tcPr>
          <w:p w14:paraId="78CB4729">
            <w:pPr>
              <w:pStyle w:val="13"/>
            </w:pPr>
          </w:p>
        </w:tc>
        <w:tc>
          <w:tcPr>
            <w:tcW w:w="1474" w:type="dxa"/>
            <w:vAlign w:val="center"/>
          </w:tcPr>
          <w:p w14:paraId="34A3FE15">
            <w:pPr>
              <w:pStyle w:val="14"/>
            </w:pPr>
          </w:p>
        </w:tc>
        <w:tc>
          <w:tcPr>
            <w:tcW w:w="3402" w:type="dxa"/>
            <w:vAlign w:val="center"/>
          </w:tcPr>
          <w:p w14:paraId="78FDA3D0">
            <w:pPr>
              <w:pStyle w:val="13"/>
            </w:pPr>
            <w:r>
              <w:t>十、卫生健康支出</w:t>
            </w:r>
          </w:p>
        </w:tc>
        <w:tc>
          <w:tcPr>
            <w:tcW w:w="1474" w:type="dxa"/>
            <w:vAlign w:val="center"/>
          </w:tcPr>
          <w:p w14:paraId="473FBFE0">
            <w:pPr>
              <w:pStyle w:val="14"/>
            </w:pPr>
          </w:p>
        </w:tc>
        <w:tc>
          <w:tcPr>
            <w:tcW w:w="1474" w:type="dxa"/>
            <w:vAlign w:val="center"/>
          </w:tcPr>
          <w:p w14:paraId="2D975EC4">
            <w:pPr>
              <w:pStyle w:val="14"/>
            </w:pPr>
          </w:p>
        </w:tc>
        <w:tc>
          <w:tcPr>
            <w:tcW w:w="1474" w:type="dxa"/>
            <w:vAlign w:val="center"/>
          </w:tcPr>
          <w:p w14:paraId="602F0F6C">
            <w:pPr>
              <w:pStyle w:val="14"/>
            </w:pPr>
          </w:p>
        </w:tc>
        <w:tc>
          <w:tcPr>
            <w:tcW w:w="1474" w:type="dxa"/>
            <w:vAlign w:val="center"/>
          </w:tcPr>
          <w:p w14:paraId="35D6A42F">
            <w:pPr>
              <w:pStyle w:val="14"/>
            </w:pPr>
          </w:p>
        </w:tc>
      </w:tr>
      <w:tr w14:paraId="34112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75C2F">
            <w:pPr>
              <w:pStyle w:val="12"/>
            </w:pPr>
            <w:r>
              <w:t>11</w:t>
            </w:r>
          </w:p>
        </w:tc>
        <w:tc>
          <w:tcPr>
            <w:tcW w:w="3402" w:type="dxa"/>
            <w:vAlign w:val="center"/>
          </w:tcPr>
          <w:p w14:paraId="21A9108B">
            <w:pPr>
              <w:pStyle w:val="13"/>
            </w:pPr>
          </w:p>
        </w:tc>
        <w:tc>
          <w:tcPr>
            <w:tcW w:w="1474" w:type="dxa"/>
            <w:vAlign w:val="center"/>
          </w:tcPr>
          <w:p w14:paraId="2E1B2AAF">
            <w:pPr>
              <w:pStyle w:val="14"/>
            </w:pPr>
          </w:p>
        </w:tc>
        <w:tc>
          <w:tcPr>
            <w:tcW w:w="3402" w:type="dxa"/>
            <w:vAlign w:val="center"/>
          </w:tcPr>
          <w:p w14:paraId="102CB591">
            <w:pPr>
              <w:pStyle w:val="13"/>
            </w:pPr>
            <w:r>
              <w:t>十一、节能环保支出</w:t>
            </w:r>
          </w:p>
        </w:tc>
        <w:tc>
          <w:tcPr>
            <w:tcW w:w="1474" w:type="dxa"/>
            <w:vAlign w:val="center"/>
          </w:tcPr>
          <w:p w14:paraId="65F69FE4">
            <w:pPr>
              <w:pStyle w:val="14"/>
            </w:pPr>
          </w:p>
        </w:tc>
        <w:tc>
          <w:tcPr>
            <w:tcW w:w="1474" w:type="dxa"/>
            <w:vAlign w:val="center"/>
          </w:tcPr>
          <w:p w14:paraId="25EABC93">
            <w:pPr>
              <w:pStyle w:val="14"/>
            </w:pPr>
          </w:p>
        </w:tc>
        <w:tc>
          <w:tcPr>
            <w:tcW w:w="1474" w:type="dxa"/>
            <w:vAlign w:val="center"/>
          </w:tcPr>
          <w:p w14:paraId="11F6A65B">
            <w:pPr>
              <w:pStyle w:val="14"/>
            </w:pPr>
          </w:p>
        </w:tc>
        <w:tc>
          <w:tcPr>
            <w:tcW w:w="1474" w:type="dxa"/>
            <w:vAlign w:val="center"/>
          </w:tcPr>
          <w:p w14:paraId="30948266">
            <w:pPr>
              <w:pStyle w:val="14"/>
            </w:pPr>
          </w:p>
        </w:tc>
      </w:tr>
      <w:tr w14:paraId="4789D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29833">
            <w:pPr>
              <w:pStyle w:val="12"/>
            </w:pPr>
            <w:r>
              <w:t>12</w:t>
            </w:r>
          </w:p>
        </w:tc>
        <w:tc>
          <w:tcPr>
            <w:tcW w:w="3402" w:type="dxa"/>
            <w:vAlign w:val="center"/>
          </w:tcPr>
          <w:p w14:paraId="43870665">
            <w:pPr>
              <w:pStyle w:val="13"/>
            </w:pPr>
          </w:p>
        </w:tc>
        <w:tc>
          <w:tcPr>
            <w:tcW w:w="1474" w:type="dxa"/>
            <w:vAlign w:val="center"/>
          </w:tcPr>
          <w:p w14:paraId="5769E758">
            <w:pPr>
              <w:pStyle w:val="14"/>
            </w:pPr>
          </w:p>
        </w:tc>
        <w:tc>
          <w:tcPr>
            <w:tcW w:w="3402" w:type="dxa"/>
            <w:vAlign w:val="center"/>
          </w:tcPr>
          <w:p w14:paraId="4C84BF6B">
            <w:pPr>
              <w:pStyle w:val="13"/>
            </w:pPr>
            <w:r>
              <w:t>十二、城乡社区支出</w:t>
            </w:r>
          </w:p>
        </w:tc>
        <w:tc>
          <w:tcPr>
            <w:tcW w:w="1474" w:type="dxa"/>
            <w:vAlign w:val="center"/>
          </w:tcPr>
          <w:p w14:paraId="229C6A03">
            <w:pPr>
              <w:pStyle w:val="14"/>
            </w:pPr>
          </w:p>
        </w:tc>
        <w:tc>
          <w:tcPr>
            <w:tcW w:w="1474" w:type="dxa"/>
            <w:vAlign w:val="center"/>
          </w:tcPr>
          <w:p w14:paraId="5C5D2FF2">
            <w:pPr>
              <w:pStyle w:val="14"/>
            </w:pPr>
          </w:p>
        </w:tc>
        <w:tc>
          <w:tcPr>
            <w:tcW w:w="1474" w:type="dxa"/>
            <w:vAlign w:val="center"/>
          </w:tcPr>
          <w:p w14:paraId="39A65B0B">
            <w:pPr>
              <w:pStyle w:val="14"/>
            </w:pPr>
          </w:p>
        </w:tc>
        <w:tc>
          <w:tcPr>
            <w:tcW w:w="1474" w:type="dxa"/>
            <w:vAlign w:val="center"/>
          </w:tcPr>
          <w:p w14:paraId="05EFBDE1">
            <w:pPr>
              <w:pStyle w:val="14"/>
            </w:pPr>
          </w:p>
        </w:tc>
      </w:tr>
      <w:tr w14:paraId="1C6F4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E13D6">
            <w:pPr>
              <w:pStyle w:val="12"/>
            </w:pPr>
            <w:r>
              <w:t>13</w:t>
            </w:r>
          </w:p>
        </w:tc>
        <w:tc>
          <w:tcPr>
            <w:tcW w:w="3402" w:type="dxa"/>
            <w:vAlign w:val="center"/>
          </w:tcPr>
          <w:p w14:paraId="1D1EAA03">
            <w:pPr>
              <w:pStyle w:val="13"/>
            </w:pPr>
          </w:p>
        </w:tc>
        <w:tc>
          <w:tcPr>
            <w:tcW w:w="1474" w:type="dxa"/>
            <w:vAlign w:val="center"/>
          </w:tcPr>
          <w:p w14:paraId="29DB64B4">
            <w:pPr>
              <w:pStyle w:val="14"/>
            </w:pPr>
          </w:p>
        </w:tc>
        <w:tc>
          <w:tcPr>
            <w:tcW w:w="3402" w:type="dxa"/>
            <w:vAlign w:val="center"/>
          </w:tcPr>
          <w:p w14:paraId="0ED9A33E">
            <w:pPr>
              <w:pStyle w:val="13"/>
            </w:pPr>
            <w:r>
              <w:t>十三、农林水支出</w:t>
            </w:r>
          </w:p>
        </w:tc>
        <w:tc>
          <w:tcPr>
            <w:tcW w:w="1474" w:type="dxa"/>
            <w:vAlign w:val="center"/>
          </w:tcPr>
          <w:p w14:paraId="73F6958A">
            <w:pPr>
              <w:pStyle w:val="14"/>
            </w:pPr>
          </w:p>
        </w:tc>
        <w:tc>
          <w:tcPr>
            <w:tcW w:w="1474" w:type="dxa"/>
            <w:vAlign w:val="center"/>
          </w:tcPr>
          <w:p w14:paraId="6CA75CB5">
            <w:pPr>
              <w:pStyle w:val="14"/>
            </w:pPr>
          </w:p>
        </w:tc>
        <w:tc>
          <w:tcPr>
            <w:tcW w:w="1474" w:type="dxa"/>
            <w:vAlign w:val="center"/>
          </w:tcPr>
          <w:p w14:paraId="03C0B74F">
            <w:pPr>
              <w:pStyle w:val="14"/>
            </w:pPr>
          </w:p>
        </w:tc>
        <w:tc>
          <w:tcPr>
            <w:tcW w:w="1474" w:type="dxa"/>
            <w:vAlign w:val="center"/>
          </w:tcPr>
          <w:p w14:paraId="12636A8A">
            <w:pPr>
              <w:pStyle w:val="14"/>
            </w:pPr>
          </w:p>
        </w:tc>
      </w:tr>
      <w:tr w14:paraId="2D96C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2F625B7">
            <w:pPr>
              <w:pStyle w:val="12"/>
            </w:pPr>
            <w:r>
              <w:t>14</w:t>
            </w:r>
          </w:p>
        </w:tc>
        <w:tc>
          <w:tcPr>
            <w:tcW w:w="3402" w:type="dxa"/>
            <w:vAlign w:val="center"/>
          </w:tcPr>
          <w:p w14:paraId="5866EF18">
            <w:pPr>
              <w:pStyle w:val="13"/>
            </w:pPr>
          </w:p>
        </w:tc>
        <w:tc>
          <w:tcPr>
            <w:tcW w:w="1474" w:type="dxa"/>
            <w:vAlign w:val="center"/>
          </w:tcPr>
          <w:p w14:paraId="709D16F6">
            <w:pPr>
              <w:pStyle w:val="14"/>
            </w:pPr>
          </w:p>
        </w:tc>
        <w:tc>
          <w:tcPr>
            <w:tcW w:w="3402" w:type="dxa"/>
            <w:vAlign w:val="center"/>
          </w:tcPr>
          <w:p w14:paraId="4B3C4E6D">
            <w:pPr>
              <w:pStyle w:val="13"/>
            </w:pPr>
            <w:r>
              <w:t>十四、交通运输支出</w:t>
            </w:r>
          </w:p>
        </w:tc>
        <w:tc>
          <w:tcPr>
            <w:tcW w:w="1474" w:type="dxa"/>
            <w:vAlign w:val="center"/>
          </w:tcPr>
          <w:p w14:paraId="54933F2D">
            <w:pPr>
              <w:pStyle w:val="14"/>
            </w:pPr>
          </w:p>
        </w:tc>
        <w:tc>
          <w:tcPr>
            <w:tcW w:w="1474" w:type="dxa"/>
            <w:vAlign w:val="center"/>
          </w:tcPr>
          <w:p w14:paraId="72BB1AA8">
            <w:pPr>
              <w:pStyle w:val="14"/>
            </w:pPr>
          </w:p>
        </w:tc>
        <w:tc>
          <w:tcPr>
            <w:tcW w:w="1474" w:type="dxa"/>
            <w:vAlign w:val="center"/>
          </w:tcPr>
          <w:p w14:paraId="4862BE5C">
            <w:pPr>
              <w:pStyle w:val="14"/>
            </w:pPr>
          </w:p>
        </w:tc>
        <w:tc>
          <w:tcPr>
            <w:tcW w:w="1474" w:type="dxa"/>
            <w:vAlign w:val="center"/>
          </w:tcPr>
          <w:p w14:paraId="216C1E7C">
            <w:pPr>
              <w:pStyle w:val="14"/>
            </w:pPr>
          </w:p>
        </w:tc>
      </w:tr>
      <w:tr w14:paraId="590EC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00C45">
            <w:pPr>
              <w:pStyle w:val="12"/>
            </w:pPr>
            <w:r>
              <w:t>15</w:t>
            </w:r>
          </w:p>
        </w:tc>
        <w:tc>
          <w:tcPr>
            <w:tcW w:w="3402" w:type="dxa"/>
            <w:vAlign w:val="center"/>
          </w:tcPr>
          <w:p w14:paraId="4252EB66">
            <w:pPr>
              <w:pStyle w:val="13"/>
            </w:pPr>
          </w:p>
        </w:tc>
        <w:tc>
          <w:tcPr>
            <w:tcW w:w="1474" w:type="dxa"/>
            <w:vAlign w:val="center"/>
          </w:tcPr>
          <w:p w14:paraId="5A984618">
            <w:pPr>
              <w:pStyle w:val="14"/>
            </w:pPr>
          </w:p>
        </w:tc>
        <w:tc>
          <w:tcPr>
            <w:tcW w:w="3402" w:type="dxa"/>
            <w:vAlign w:val="center"/>
          </w:tcPr>
          <w:p w14:paraId="753E2725">
            <w:pPr>
              <w:pStyle w:val="13"/>
            </w:pPr>
            <w:r>
              <w:t>十五、资源勘探工业信息等支出</w:t>
            </w:r>
          </w:p>
        </w:tc>
        <w:tc>
          <w:tcPr>
            <w:tcW w:w="1474" w:type="dxa"/>
            <w:vAlign w:val="center"/>
          </w:tcPr>
          <w:p w14:paraId="56CECCB3">
            <w:pPr>
              <w:pStyle w:val="14"/>
            </w:pPr>
          </w:p>
        </w:tc>
        <w:tc>
          <w:tcPr>
            <w:tcW w:w="1474" w:type="dxa"/>
            <w:vAlign w:val="center"/>
          </w:tcPr>
          <w:p w14:paraId="022ECF8D">
            <w:pPr>
              <w:pStyle w:val="14"/>
            </w:pPr>
          </w:p>
        </w:tc>
        <w:tc>
          <w:tcPr>
            <w:tcW w:w="1474" w:type="dxa"/>
            <w:vAlign w:val="center"/>
          </w:tcPr>
          <w:p w14:paraId="5E1932CA">
            <w:pPr>
              <w:pStyle w:val="14"/>
            </w:pPr>
          </w:p>
        </w:tc>
        <w:tc>
          <w:tcPr>
            <w:tcW w:w="1474" w:type="dxa"/>
            <w:vAlign w:val="center"/>
          </w:tcPr>
          <w:p w14:paraId="5B03D396">
            <w:pPr>
              <w:pStyle w:val="14"/>
            </w:pPr>
          </w:p>
        </w:tc>
      </w:tr>
      <w:tr w14:paraId="6A740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A7FF9">
            <w:pPr>
              <w:pStyle w:val="12"/>
            </w:pPr>
            <w:r>
              <w:t>16</w:t>
            </w:r>
          </w:p>
        </w:tc>
        <w:tc>
          <w:tcPr>
            <w:tcW w:w="3402" w:type="dxa"/>
            <w:vAlign w:val="center"/>
          </w:tcPr>
          <w:p w14:paraId="70AF00EC">
            <w:pPr>
              <w:pStyle w:val="13"/>
            </w:pPr>
          </w:p>
        </w:tc>
        <w:tc>
          <w:tcPr>
            <w:tcW w:w="1474" w:type="dxa"/>
            <w:vAlign w:val="center"/>
          </w:tcPr>
          <w:p w14:paraId="05A646CD">
            <w:pPr>
              <w:pStyle w:val="14"/>
            </w:pPr>
          </w:p>
        </w:tc>
        <w:tc>
          <w:tcPr>
            <w:tcW w:w="3402" w:type="dxa"/>
            <w:vAlign w:val="center"/>
          </w:tcPr>
          <w:p w14:paraId="0C6B6E9A">
            <w:pPr>
              <w:pStyle w:val="13"/>
            </w:pPr>
            <w:r>
              <w:t>十六、商业服务业等支出</w:t>
            </w:r>
          </w:p>
        </w:tc>
        <w:tc>
          <w:tcPr>
            <w:tcW w:w="1474" w:type="dxa"/>
            <w:vAlign w:val="center"/>
          </w:tcPr>
          <w:p w14:paraId="3E0FDB9E">
            <w:pPr>
              <w:pStyle w:val="14"/>
            </w:pPr>
          </w:p>
        </w:tc>
        <w:tc>
          <w:tcPr>
            <w:tcW w:w="1474" w:type="dxa"/>
            <w:vAlign w:val="center"/>
          </w:tcPr>
          <w:p w14:paraId="7798ED55">
            <w:pPr>
              <w:pStyle w:val="14"/>
            </w:pPr>
          </w:p>
        </w:tc>
        <w:tc>
          <w:tcPr>
            <w:tcW w:w="1474" w:type="dxa"/>
            <w:vAlign w:val="center"/>
          </w:tcPr>
          <w:p w14:paraId="5CDE153E">
            <w:pPr>
              <w:pStyle w:val="14"/>
            </w:pPr>
          </w:p>
        </w:tc>
        <w:tc>
          <w:tcPr>
            <w:tcW w:w="1474" w:type="dxa"/>
            <w:vAlign w:val="center"/>
          </w:tcPr>
          <w:p w14:paraId="3C275C4C">
            <w:pPr>
              <w:pStyle w:val="14"/>
            </w:pPr>
          </w:p>
        </w:tc>
      </w:tr>
      <w:tr w14:paraId="4F87D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3AE78">
            <w:pPr>
              <w:pStyle w:val="12"/>
            </w:pPr>
            <w:r>
              <w:t>17</w:t>
            </w:r>
          </w:p>
        </w:tc>
        <w:tc>
          <w:tcPr>
            <w:tcW w:w="3402" w:type="dxa"/>
            <w:vAlign w:val="center"/>
          </w:tcPr>
          <w:p w14:paraId="2FA363A1">
            <w:pPr>
              <w:pStyle w:val="13"/>
            </w:pPr>
          </w:p>
        </w:tc>
        <w:tc>
          <w:tcPr>
            <w:tcW w:w="1474" w:type="dxa"/>
            <w:vAlign w:val="center"/>
          </w:tcPr>
          <w:p w14:paraId="03C81DE8">
            <w:pPr>
              <w:pStyle w:val="14"/>
            </w:pPr>
          </w:p>
        </w:tc>
        <w:tc>
          <w:tcPr>
            <w:tcW w:w="3402" w:type="dxa"/>
            <w:vAlign w:val="center"/>
          </w:tcPr>
          <w:p w14:paraId="688DFF85">
            <w:pPr>
              <w:pStyle w:val="13"/>
            </w:pPr>
            <w:r>
              <w:t>十七、金融支出</w:t>
            </w:r>
          </w:p>
        </w:tc>
        <w:tc>
          <w:tcPr>
            <w:tcW w:w="1474" w:type="dxa"/>
            <w:vAlign w:val="center"/>
          </w:tcPr>
          <w:p w14:paraId="294B47AF">
            <w:pPr>
              <w:pStyle w:val="14"/>
            </w:pPr>
          </w:p>
        </w:tc>
        <w:tc>
          <w:tcPr>
            <w:tcW w:w="1474" w:type="dxa"/>
            <w:vAlign w:val="center"/>
          </w:tcPr>
          <w:p w14:paraId="1F6C3E4B">
            <w:pPr>
              <w:pStyle w:val="14"/>
            </w:pPr>
          </w:p>
        </w:tc>
        <w:tc>
          <w:tcPr>
            <w:tcW w:w="1474" w:type="dxa"/>
            <w:vAlign w:val="center"/>
          </w:tcPr>
          <w:p w14:paraId="223ECAFD">
            <w:pPr>
              <w:pStyle w:val="14"/>
            </w:pPr>
          </w:p>
        </w:tc>
        <w:tc>
          <w:tcPr>
            <w:tcW w:w="1474" w:type="dxa"/>
            <w:vAlign w:val="center"/>
          </w:tcPr>
          <w:p w14:paraId="62FE136F">
            <w:pPr>
              <w:pStyle w:val="14"/>
            </w:pPr>
          </w:p>
        </w:tc>
      </w:tr>
      <w:tr w14:paraId="3F8D6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18AAA">
            <w:pPr>
              <w:pStyle w:val="12"/>
            </w:pPr>
            <w:r>
              <w:t>18</w:t>
            </w:r>
          </w:p>
        </w:tc>
        <w:tc>
          <w:tcPr>
            <w:tcW w:w="3402" w:type="dxa"/>
            <w:vAlign w:val="center"/>
          </w:tcPr>
          <w:p w14:paraId="3557C10A">
            <w:pPr>
              <w:pStyle w:val="13"/>
            </w:pPr>
          </w:p>
        </w:tc>
        <w:tc>
          <w:tcPr>
            <w:tcW w:w="1474" w:type="dxa"/>
            <w:vAlign w:val="center"/>
          </w:tcPr>
          <w:p w14:paraId="54BD0BB6">
            <w:pPr>
              <w:pStyle w:val="14"/>
            </w:pPr>
          </w:p>
        </w:tc>
        <w:tc>
          <w:tcPr>
            <w:tcW w:w="3402" w:type="dxa"/>
            <w:vAlign w:val="center"/>
          </w:tcPr>
          <w:p w14:paraId="16CE2118">
            <w:pPr>
              <w:pStyle w:val="13"/>
            </w:pPr>
            <w:r>
              <w:t>十八、援助其他地区支出</w:t>
            </w:r>
          </w:p>
        </w:tc>
        <w:tc>
          <w:tcPr>
            <w:tcW w:w="1474" w:type="dxa"/>
            <w:vAlign w:val="center"/>
          </w:tcPr>
          <w:p w14:paraId="71F313B0">
            <w:pPr>
              <w:pStyle w:val="14"/>
            </w:pPr>
          </w:p>
        </w:tc>
        <w:tc>
          <w:tcPr>
            <w:tcW w:w="1474" w:type="dxa"/>
            <w:vAlign w:val="center"/>
          </w:tcPr>
          <w:p w14:paraId="7C883557">
            <w:pPr>
              <w:pStyle w:val="14"/>
            </w:pPr>
          </w:p>
        </w:tc>
        <w:tc>
          <w:tcPr>
            <w:tcW w:w="1474" w:type="dxa"/>
            <w:vAlign w:val="center"/>
          </w:tcPr>
          <w:p w14:paraId="4BB9CF64">
            <w:pPr>
              <w:pStyle w:val="14"/>
            </w:pPr>
          </w:p>
        </w:tc>
        <w:tc>
          <w:tcPr>
            <w:tcW w:w="1474" w:type="dxa"/>
            <w:vAlign w:val="center"/>
          </w:tcPr>
          <w:p w14:paraId="12C1E22D">
            <w:pPr>
              <w:pStyle w:val="14"/>
            </w:pPr>
          </w:p>
        </w:tc>
      </w:tr>
      <w:tr w14:paraId="40FE4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DE5A2">
            <w:pPr>
              <w:pStyle w:val="12"/>
            </w:pPr>
            <w:r>
              <w:t>19</w:t>
            </w:r>
          </w:p>
        </w:tc>
        <w:tc>
          <w:tcPr>
            <w:tcW w:w="3402" w:type="dxa"/>
            <w:vAlign w:val="center"/>
          </w:tcPr>
          <w:p w14:paraId="31FFC4A5">
            <w:pPr>
              <w:pStyle w:val="13"/>
            </w:pPr>
          </w:p>
        </w:tc>
        <w:tc>
          <w:tcPr>
            <w:tcW w:w="1474" w:type="dxa"/>
            <w:vAlign w:val="center"/>
          </w:tcPr>
          <w:p w14:paraId="7746931F">
            <w:pPr>
              <w:pStyle w:val="14"/>
            </w:pPr>
          </w:p>
        </w:tc>
        <w:tc>
          <w:tcPr>
            <w:tcW w:w="3402" w:type="dxa"/>
            <w:vAlign w:val="center"/>
          </w:tcPr>
          <w:p w14:paraId="5D32A954">
            <w:pPr>
              <w:pStyle w:val="13"/>
            </w:pPr>
            <w:r>
              <w:t>十九、自然资源海洋气象等支出</w:t>
            </w:r>
          </w:p>
        </w:tc>
        <w:tc>
          <w:tcPr>
            <w:tcW w:w="1474" w:type="dxa"/>
            <w:vAlign w:val="center"/>
          </w:tcPr>
          <w:p w14:paraId="03B86E97">
            <w:pPr>
              <w:pStyle w:val="14"/>
            </w:pPr>
          </w:p>
        </w:tc>
        <w:tc>
          <w:tcPr>
            <w:tcW w:w="1474" w:type="dxa"/>
            <w:vAlign w:val="center"/>
          </w:tcPr>
          <w:p w14:paraId="05F292B8">
            <w:pPr>
              <w:pStyle w:val="14"/>
            </w:pPr>
          </w:p>
        </w:tc>
        <w:tc>
          <w:tcPr>
            <w:tcW w:w="1474" w:type="dxa"/>
            <w:vAlign w:val="center"/>
          </w:tcPr>
          <w:p w14:paraId="7CB641D9">
            <w:pPr>
              <w:pStyle w:val="14"/>
            </w:pPr>
          </w:p>
        </w:tc>
        <w:tc>
          <w:tcPr>
            <w:tcW w:w="1474" w:type="dxa"/>
            <w:vAlign w:val="center"/>
          </w:tcPr>
          <w:p w14:paraId="262CF809">
            <w:pPr>
              <w:pStyle w:val="14"/>
            </w:pPr>
          </w:p>
        </w:tc>
      </w:tr>
      <w:tr w14:paraId="08272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C754079">
            <w:pPr>
              <w:pStyle w:val="12"/>
            </w:pPr>
            <w:r>
              <w:t>20</w:t>
            </w:r>
          </w:p>
        </w:tc>
        <w:tc>
          <w:tcPr>
            <w:tcW w:w="3402" w:type="dxa"/>
            <w:vAlign w:val="center"/>
          </w:tcPr>
          <w:p w14:paraId="2648507B">
            <w:pPr>
              <w:pStyle w:val="13"/>
            </w:pPr>
          </w:p>
        </w:tc>
        <w:tc>
          <w:tcPr>
            <w:tcW w:w="1474" w:type="dxa"/>
            <w:vAlign w:val="center"/>
          </w:tcPr>
          <w:p w14:paraId="61EFC0C9">
            <w:pPr>
              <w:pStyle w:val="14"/>
            </w:pPr>
          </w:p>
        </w:tc>
        <w:tc>
          <w:tcPr>
            <w:tcW w:w="3402" w:type="dxa"/>
            <w:vAlign w:val="center"/>
          </w:tcPr>
          <w:p w14:paraId="2ADF51F9">
            <w:pPr>
              <w:pStyle w:val="13"/>
            </w:pPr>
            <w:r>
              <w:t>二十、住房保障支出</w:t>
            </w:r>
          </w:p>
        </w:tc>
        <w:tc>
          <w:tcPr>
            <w:tcW w:w="1474" w:type="dxa"/>
            <w:vAlign w:val="center"/>
          </w:tcPr>
          <w:p w14:paraId="6942A38F">
            <w:pPr>
              <w:pStyle w:val="14"/>
            </w:pPr>
          </w:p>
        </w:tc>
        <w:tc>
          <w:tcPr>
            <w:tcW w:w="1474" w:type="dxa"/>
            <w:vAlign w:val="center"/>
          </w:tcPr>
          <w:p w14:paraId="787ACE0D">
            <w:pPr>
              <w:pStyle w:val="14"/>
            </w:pPr>
          </w:p>
        </w:tc>
        <w:tc>
          <w:tcPr>
            <w:tcW w:w="1474" w:type="dxa"/>
            <w:vAlign w:val="center"/>
          </w:tcPr>
          <w:p w14:paraId="189DD925">
            <w:pPr>
              <w:pStyle w:val="14"/>
            </w:pPr>
          </w:p>
        </w:tc>
        <w:tc>
          <w:tcPr>
            <w:tcW w:w="1474" w:type="dxa"/>
            <w:vAlign w:val="center"/>
          </w:tcPr>
          <w:p w14:paraId="6B5A8899">
            <w:pPr>
              <w:pStyle w:val="14"/>
            </w:pPr>
          </w:p>
        </w:tc>
      </w:tr>
      <w:tr w14:paraId="41F9A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C6A8F">
            <w:pPr>
              <w:pStyle w:val="12"/>
            </w:pPr>
            <w:r>
              <w:t>21</w:t>
            </w:r>
          </w:p>
        </w:tc>
        <w:tc>
          <w:tcPr>
            <w:tcW w:w="3402" w:type="dxa"/>
            <w:vAlign w:val="center"/>
          </w:tcPr>
          <w:p w14:paraId="7D1ACD64">
            <w:pPr>
              <w:pStyle w:val="13"/>
            </w:pPr>
          </w:p>
        </w:tc>
        <w:tc>
          <w:tcPr>
            <w:tcW w:w="1474" w:type="dxa"/>
            <w:vAlign w:val="center"/>
          </w:tcPr>
          <w:p w14:paraId="7291EAE4">
            <w:pPr>
              <w:pStyle w:val="14"/>
            </w:pPr>
          </w:p>
        </w:tc>
        <w:tc>
          <w:tcPr>
            <w:tcW w:w="3402" w:type="dxa"/>
            <w:vAlign w:val="center"/>
          </w:tcPr>
          <w:p w14:paraId="43281B6D">
            <w:pPr>
              <w:pStyle w:val="13"/>
            </w:pPr>
            <w:r>
              <w:t>二十一、粮油物资储备支出</w:t>
            </w:r>
          </w:p>
        </w:tc>
        <w:tc>
          <w:tcPr>
            <w:tcW w:w="1474" w:type="dxa"/>
            <w:vAlign w:val="center"/>
          </w:tcPr>
          <w:p w14:paraId="56EA20DB">
            <w:pPr>
              <w:pStyle w:val="14"/>
            </w:pPr>
          </w:p>
        </w:tc>
        <w:tc>
          <w:tcPr>
            <w:tcW w:w="1474" w:type="dxa"/>
            <w:vAlign w:val="center"/>
          </w:tcPr>
          <w:p w14:paraId="35959669">
            <w:pPr>
              <w:pStyle w:val="14"/>
            </w:pPr>
          </w:p>
        </w:tc>
        <w:tc>
          <w:tcPr>
            <w:tcW w:w="1474" w:type="dxa"/>
            <w:vAlign w:val="center"/>
          </w:tcPr>
          <w:p w14:paraId="5ADA0E3F">
            <w:pPr>
              <w:pStyle w:val="14"/>
            </w:pPr>
          </w:p>
        </w:tc>
        <w:tc>
          <w:tcPr>
            <w:tcW w:w="1474" w:type="dxa"/>
            <w:vAlign w:val="center"/>
          </w:tcPr>
          <w:p w14:paraId="4528F272">
            <w:pPr>
              <w:pStyle w:val="14"/>
            </w:pPr>
          </w:p>
        </w:tc>
      </w:tr>
      <w:tr w14:paraId="45FDA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BE0E443">
            <w:pPr>
              <w:pStyle w:val="12"/>
            </w:pPr>
            <w:r>
              <w:t>22</w:t>
            </w:r>
          </w:p>
        </w:tc>
        <w:tc>
          <w:tcPr>
            <w:tcW w:w="3402" w:type="dxa"/>
            <w:vAlign w:val="center"/>
          </w:tcPr>
          <w:p w14:paraId="14722937">
            <w:pPr>
              <w:pStyle w:val="13"/>
            </w:pPr>
          </w:p>
        </w:tc>
        <w:tc>
          <w:tcPr>
            <w:tcW w:w="1474" w:type="dxa"/>
            <w:vAlign w:val="center"/>
          </w:tcPr>
          <w:p w14:paraId="402FE2A0">
            <w:pPr>
              <w:pStyle w:val="14"/>
            </w:pPr>
          </w:p>
        </w:tc>
        <w:tc>
          <w:tcPr>
            <w:tcW w:w="3402" w:type="dxa"/>
            <w:vAlign w:val="center"/>
          </w:tcPr>
          <w:p w14:paraId="1DA736BE">
            <w:pPr>
              <w:pStyle w:val="13"/>
            </w:pPr>
            <w:r>
              <w:t>二十二、国有资本经营预算支出</w:t>
            </w:r>
          </w:p>
        </w:tc>
        <w:tc>
          <w:tcPr>
            <w:tcW w:w="1474" w:type="dxa"/>
            <w:vAlign w:val="center"/>
          </w:tcPr>
          <w:p w14:paraId="64FAA99F">
            <w:pPr>
              <w:pStyle w:val="14"/>
            </w:pPr>
          </w:p>
        </w:tc>
        <w:tc>
          <w:tcPr>
            <w:tcW w:w="1474" w:type="dxa"/>
            <w:vAlign w:val="center"/>
          </w:tcPr>
          <w:p w14:paraId="78D33B67">
            <w:pPr>
              <w:pStyle w:val="14"/>
            </w:pPr>
          </w:p>
        </w:tc>
        <w:tc>
          <w:tcPr>
            <w:tcW w:w="1474" w:type="dxa"/>
            <w:vAlign w:val="center"/>
          </w:tcPr>
          <w:p w14:paraId="04681AA1">
            <w:pPr>
              <w:pStyle w:val="14"/>
            </w:pPr>
          </w:p>
        </w:tc>
        <w:tc>
          <w:tcPr>
            <w:tcW w:w="1474" w:type="dxa"/>
            <w:vAlign w:val="center"/>
          </w:tcPr>
          <w:p w14:paraId="3115FDF9">
            <w:pPr>
              <w:pStyle w:val="14"/>
            </w:pPr>
          </w:p>
        </w:tc>
      </w:tr>
      <w:tr w14:paraId="34B98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B90DFBA">
            <w:pPr>
              <w:pStyle w:val="12"/>
            </w:pPr>
            <w:r>
              <w:t>23</w:t>
            </w:r>
          </w:p>
        </w:tc>
        <w:tc>
          <w:tcPr>
            <w:tcW w:w="3402" w:type="dxa"/>
            <w:vAlign w:val="center"/>
          </w:tcPr>
          <w:p w14:paraId="713CE93D">
            <w:pPr>
              <w:pStyle w:val="13"/>
            </w:pPr>
          </w:p>
        </w:tc>
        <w:tc>
          <w:tcPr>
            <w:tcW w:w="1474" w:type="dxa"/>
            <w:vAlign w:val="center"/>
          </w:tcPr>
          <w:p w14:paraId="5AA5DFCD">
            <w:pPr>
              <w:pStyle w:val="14"/>
            </w:pPr>
          </w:p>
        </w:tc>
        <w:tc>
          <w:tcPr>
            <w:tcW w:w="3402" w:type="dxa"/>
            <w:vAlign w:val="center"/>
          </w:tcPr>
          <w:p w14:paraId="5073DBAB">
            <w:pPr>
              <w:pStyle w:val="13"/>
            </w:pPr>
            <w:r>
              <w:t>二十三、灾害防治及应急管理支出</w:t>
            </w:r>
          </w:p>
        </w:tc>
        <w:tc>
          <w:tcPr>
            <w:tcW w:w="1474" w:type="dxa"/>
            <w:vAlign w:val="center"/>
          </w:tcPr>
          <w:p w14:paraId="07E2F51F">
            <w:pPr>
              <w:pStyle w:val="14"/>
            </w:pPr>
          </w:p>
        </w:tc>
        <w:tc>
          <w:tcPr>
            <w:tcW w:w="1474" w:type="dxa"/>
            <w:vAlign w:val="center"/>
          </w:tcPr>
          <w:p w14:paraId="1463115B">
            <w:pPr>
              <w:pStyle w:val="14"/>
            </w:pPr>
          </w:p>
        </w:tc>
        <w:tc>
          <w:tcPr>
            <w:tcW w:w="1474" w:type="dxa"/>
            <w:vAlign w:val="center"/>
          </w:tcPr>
          <w:p w14:paraId="5E4A5426">
            <w:pPr>
              <w:pStyle w:val="14"/>
            </w:pPr>
          </w:p>
        </w:tc>
        <w:tc>
          <w:tcPr>
            <w:tcW w:w="1474" w:type="dxa"/>
            <w:vAlign w:val="center"/>
          </w:tcPr>
          <w:p w14:paraId="6EE7E794">
            <w:pPr>
              <w:pStyle w:val="14"/>
            </w:pPr>
          </w:p>
        </w:tc>
      </w:tr>
      <w:tr w14:paraId="79FF7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C37AA">
            <w:pPr>
              <w:pStyle w:val="12"/>
            </w:pPr>
            <w:r>
              <w:t>24</w:t>
            </w:r>
          </w:p>
        </w:tc>
        <w:tc>
          <w:tcPr>
            <w:tcW w:w="3402" w:type="dxa"/>
            <w:vAlign w:val="center"/>
          </w:tcPr>
          <w:p w14:paraId="2FDA9C60">
            <w:pPr>
              <w:pStyle w:val="13"/>
            </w:pPr>
          </w:p>
        </w:tc>
        <w:tc>
          <w:tcPr>
            <w:tcW w:w="1474" w:type="dxa"/>
            <w:vAlign w:val="center"/>
          </w:tcPr>
          <w:p w14:paraId="604344C5">
            <w:pPr>
              <w:pStyle w:val="14"/>
            </w:pPr>
          </w:p>
        </w:tc>
        <w:tc>
          <w:tcPr>
            <w:tcW w:w="3402" w:type="dxa"/>
            <w:vAlign w:val="center"/>
          </w:tcPr>
          <w:p w14:paraId="4EC953B2">
            <w:pPr>
              <w:pStyle w:val="13"/>
            </w:pPr>
            <w:r>
              <w:t>二十四、预备费</w:t>
            </w:r>
          </w:p>
        </w:tc>
        <w:tc>
          <w:tcPr>
            <w:tcW w:w="1474" w:type="dxa"/>
            <w:vAlign w:val="center"/>
          </w:tcPr>
          <w:p w14:paraId="36CBAD04">
            <w:pPr>
              <w:pStyle w:val="14"/>
            </w:pPr>
          </w:p>
        </w:tc>
        <w:tc>
          <w:tcPr>
            <w:tcW w:w="1474" w:type="dxa"/>
            <w:vAlign w:val="center"/>
          </w:tcPr>
          <w:p w14:paraId="67348D2D">
            <w:pPr>
              <w:pStyle w:val="14"/>
            </w:pPr>
          </w:p>
        </w:tc>
        <w:tc>
          <w:tcPr>
            <w:tcW w:w="1474" w:type="dxa"/>
            <w:vAlign w:val="center"/>
          </w:tcPr>
          <w:p w14:paraId="24704939">
            <w:pPr>
              <w:pStyle w:val="14"/>
            </w:pPr>
          </w:p>
        </w:tc>
        <w:tc>
          <w:tcPr>
            <w:tcW w:w="1474" w:type="dxa"/>
            <w:vAlign w:val="center"/>
          </w:tcPr>
          <w:p w14:paraId="37FEB5A6">
            <w:pPr>
              <w:pStyle w:val="14"/>
            </w:pPr>
          </w:p>
        </w:tc>
      </w:tr>
      <w:tr w14:paraId="01DD6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ADE70">
            <w:pPr>
              <w:pStyle w:val="12"/>
            </w:pPr>
            <w:r>
              <w:t>25</w:t>
            </w:r>
          </w:p>
        </w:tc>
        <w:tc>
          <w:tcPr>
            <w:tcW w:w="3402" w:type="dxa"/>
            <w:vAlign w:val="center"/>
          </w:tcPr>
          <w:p w14:paraId="68667EB9">
            <w:pPr>
              <w:pStyle w:val="13"/>
            </w:pPr>
          </w:p>
        </w:tc>
        <w:tc>
          <w:tcPr>
            <w:tcW w:w="1474" w:type="dxa"/>
            <w:vAlign w:val="center"/>
          </w:tcPr>
          <w:p w14:paraId="783DE8BA">
            <w:pPr>
              <w:pStyle w:val="14"/>
            </w:pPr>
          </w:p>
        </w:tc>
        <w:tc>
          <w:tcPr>
            <w:tcW w:w="3402" w:type="dxa"/>
            <w:vAlign w:val="center"/>
          </w:tcPr>
          <w:p w14:paraId="1930C5BE">
            <w:pPr>
              <w:pStyle w:val="13"/>
            </w:pPr>
            <w:r>
              <w:t>二十五、其他支出</w:t>
            </w:r>
          </w:p>
        </w:tc>
        <w:tc>
          <w:tcPr>
            <w:tcW w:w="1474" w:type="dxa"/>
            <w:vAlign w:val="center"/>
          </w:tcPr>
          <w:p w14:paraId="612E3BC4">
            <w:pPr>
              <w:pStyle w:val="14"/>
            </w:pPr>
          </w:p>
        </w:tc>
        <w:tc>
          <w:tcPr>
            <w:tcW w:w="1474" w:type="dxa"/>
            <w:vAlign w:val="center"/>
          </w:tcPr>
          <w:p w14:paraId="3A325601">
            <w:pPr>
              <w:pStyle w:val="14"/>
            </w:pPr>
          </w:p>
        </w:tc>
        <w:tc>
          <w:tcPr>
            <w:tcW w:w="1474" w:type="dxa"/>
            <w:vAlign w:val="center"/>
          </w:tcPr>
          <w:p w14:paraId="410160DC">
            <w:pPr>
              <w:pStyle w:val="14"/>
            </w:pPr>
          </w:p>
        </w:tc>
        <w:tc>
          <w:tcPr>
            <w:tcW w:w="1474" w:type="dxa"/>
            <w:vAlign w:val="center"/>
          </w:tcPr>
          <w:p w14:paraId="2A6AEC86">
            <w:pPr>
              <w:pStyle w:val="14"/>
            </w:pPr>
          </w:p>
        </w:tc>
      </w:tr>
      <w:tr w14:paraId="53C35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CBBA5">
            <w:pPr>
              <w:pStyle w:val="12"/>
            </w:pPr>
            <w:r>
              <w:t>26</w:t>
            </w:r>
          </w:p>
        </w:tc>
        <w:tc>
          <w:tcPr>
            <w:tcW w:w="3402" w:type="dxa"/>
            <w:vAlign w:val="center"/>
          </w:tcPr>
          <w:p w14:paraId="6ED1641C">
            <w:pPr>
              <w:pStyle w:val="13"/>
            </w:pPr>
          </w:p>
        </w:tc>
        <w:tc>
          <w:tcPr>
            <w:tcW w:w="1474" w:type="dxa"/>
            <w:vAlign w:val="center"/>
          </w:tcPr>
          <w:p w14:paraId="6AB266A6">
            <w:pPr>
              <w:pStyle w:val="14"/>
            </w:pPr>
          </w:p>
        </w:tc>
        <w:tc>
          <w:tcPr>
            <w:tcW w:w="3402" w:type="dxa"/>
            <w:vAlign w:val="center"/>
          </w:tcPr>
          <w:p w14:paraId="2577217F">
            <w:pPr>
              <w:pStyle w:val="13"/>
            </w:pPr>
            <w:r>
              <w:t>二十六、转移性支出</w:t>
            </w:r>
          </w:p>
        </w:tc>
        <w:tc>
          <w:tcPr>
            <w:tcW w:w="1474" w:type="dxa"/>
            <w:vAlign w:val="center"/>
          </w:tcPr>
          <w:p w14:paraId="577E5832">
            <w:pPr>
              <w:pStyle w:val="14"/>
            </w:pPr>
          </w:p>
        </w:tc>
        <w:tc>
          <w:tcPr>
            <w:tcW w:w="1474" w:type="dxa"/>
            <w:vAlign w:val="center"/>
          </w:tcPr>
          <w:p w14:paraId="0DC3B367">
            <w:pPr>
              <w:pStyle w:val="14"/>
            </w:pPr>
          </w:p>
        </w:tc>
        <w:tc>
          <w:tcPr>
            <w:tcW w:w="1474" w:type="dxa"/>
            <w:vAlign w:val="center"/>
          </w:tcPr>
          <w:p w14:paraId="7FE7D5E7">
            <w:pPr>
              <w:pStyle w:val="14"/>
            </w:pPr>
          </w:p>
        </w:tc>
        <w:tc>
          <w:tcPr>
            <w:tcW w:w="1474" w:type="dxa"/>
            <w:vAlign w:val="center"/>
          </w:tcPr>
          <w:p w14:paraId="08E58168">
            <w:pPr>
              <w:pStyle w:val="14"/>
            </w:pPr>
          </w:p>
        </w:tc>
      </w:tr>
      <w:tr w14:paraId="61B92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4D1D3">
            <w:pPr>
              <w:pStyle w:val="12"/>
            </w:pPr>
            <w:r>
              <w:t>27</w:t>
            </w:r>
          </w:p>
        </w:tc>
        <w:tc>
          <w:tcPr>
            <w:tcW w:w="3402" w:type="dxa"/>
            <w:vAlign w:val="center"/>
          </w:tcPr>
          <w:p w14:paraId="062E8D45">
            <w:pPr>
              <w:pStyle w:val="13"/>
            </w:pPr>
          </w:p>
        </w:tc>
        <w:tc>
          <w:tcPr>
            <w:tcW w:w="1474" w:type="dxa"/>
            <w:vAlign w:val="center"/>
          </w:tcPr>
          <w:p w14:paraId="6790D516">
            <w:pPr>
              <w:pStyle w:val="14"/>
            </w:pPr>
          </w:p>
        </w:tc>
        <w:tc>
          <w:tcPr>
            <w:tcW w:w="3402" w:type="dxa"/>
            <w:vAlign w:val="center"/>
          </w:tcPr>
          <w:p w14:paraId="0A50239D">
            <w:pPr>
              <w:pStyle w:val="13"/>
            </w:pPr>
            <w:r>
              <w:t>二十七、债务还本支出</w:t>
            </w:r>
          </w:p>
        </w:tc>
        <w:tc>
          <w:tcPr>
            <w:tcW w:w="1474" w:type="dxa"/>
            <w:vAlign w:val="center"/>
          </w:tcPr>
          <w:p w14:paraId="39356D65">
            <w:pPr>
              <w:pStyle w:val="14"/>
            </w:pPr>
          </w:p>
        </w:tc>
        <w:tc>
          <w:tcPr>
            <w:tcW w:w="1474" w:type="dxa"/>
            <w:vAlign w:val="center"/>
          </w:tcPr>
          <w:p w14:paraId="30556687">
            <w:pPr>
              <w:pStyle w:val="14"/>
            </w:pPr>
          </w:p>
        </w:tc>
        <w:tc>
          <w:tcPr>
            <w:tcW w:w="1474" w:type="dxa"/>
            <w:vAlign w:val="center"/>
          </w:tcPr>
          <w:p w14:paraId="064D25D8">
            <w:pPr>
              <w:pStyle w:val="14"/>
            </w:pPr>
          </w:p>
        </w:tc>
        <w:tc>
          <w:tcPr>
            <w:tcW w:w="1474" w:type="dxa"/>
            <w:vAlign w:val="center"/>
          </w:tcPr>
          <w:p w14:paraId="5AC7AECC">
            <w:pPr>
              <w:pStyle w:val="14"/>
            </w:pPr>
          </w:p>
        </w:tc>
      </w:tr>
      <w:tr w14:paraId="14844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E2B23">
            <w:pPr>
              <w:pStyle w:val="12"/>
            </w:pPr>
            <w:r>
              <w:t>28</w:t>
            </w:r>
          </w:p>
        </w:tc>
        <w:tc>
          <w:tcPr>
            <w:tcW w:w="3402" w:type="dxa"/>
            <w:vAlign w:val="center"/>
          </w:tcPr>
          <w:p w14:paraId="39E1D5D9">
            <w:pPr>
              <w:pStyle w:val="13"/>
            </w:pPr>
          </w:p>
        </w:tc>
        <w:tc>
          <w:tcPr>
            <w:tcW w:w="1474" w:type="dxa"/>
            <w:vAlign w:val="center"/>
          </w:tcPr>
          <w:p w14:paraId="35F11BFB">
            <w:pPr>
              <w:pStyle w:val="14"/>
            </w:pPr>
          </w:p>
        </w:tc>
        <w:tc>
          <w:tcPr>
            <w:tcW w:w="3402" w:type="dxa"/>
            <w:vAlign w:val="center"/>
          </w:tcPr>
          <w:p w14:paraId="2FD41A73">
            <w:pPr>
              <w:pStyle w:val="13"/>
            </w:pPr>
            <w:r>
              <w:t>二十八、债务付息支出</w:t>
            </w:r>
          </w:p>
        </w:tc>
        <w:tc>
          <w:tcPr>
            <w:tcW w:w="1474" w:type="dxa"/>
            <w:vAlign w:val="center"/>
          </w:tcPr>
          <w:p w14:paraId="18770E2B">
            <w:pPr>
              <w:pStyle w:val="14"/>
            </w:pPr>
          </w:p>
        </w:tc>
        <w:tc>
          <w:tcPr>
            <w:tcW w:w="1474" w:type="dxa"/>
            <w:vAlign w:val="center"/>
          </w:tcPr>
          <w:p w14:paraId="71F20C3B">
            <w:pPr>
              <w:pStyle w:val="14"/>
            </w:pPr>
          </w:p>
        </w:tc>
        <w:tc>
          <w:tcPr>
            <w:tcW w:w="1474" w:type="dxa"/>
            <w:vAlign w:val="center"/>
          </w:tcPr>
          <w:p w14:paraId="1D68F0AB">
            <w:pPr>
              <w:pStyle w:val="14"/>
            </w:pPr>
          </w:p>
        </w:tc>
        <w:tc>
          <w:tcPr>
            <w:tcW w:w="1474" w:type="dxa"/>
            <w:vAlign w:val="center"/>
          </w:tcPr>
          <w:p w14:paraId="1860EC1D">
            <w:pPr>
              <w:pStyle w:val="14"/>
            </w:pPr>
          </w:p>
        </w:tc>
      </w:tr>
      <w:tr w14:paraId="0BD64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E892E">
            <w:pPr>
              <w:pStyle w:val="12"/>
            </w:pPr>
            <w:r>
              <w:t>29</w:t>
            </w:r>
          </w:p>
        </w:tc>
        <w:tc>
          <w:tcPr>
            <w:tcW w:w="3402" w:type="dxa"/>
            <w:vAlign w:val="center"/>
          </w:tcPr>
          <w:p w14:paraId="6980651B">
            <w:pPr>
              <w:pStyle w:val="13"/>
            </w:pPr>
          </w:p>
        </w:tc>
        <w:tc>
          <w:tcPr>
            <w:tcW w:w="1474" w:type="dxa"/>
            <w:vAlign w:val="center"/>
          </w:tcPr>
          <w:p w14:paraId="1323847E">
            <w:pPr>
              <w:pStyle w:val="14"/>
            </w:pPr>
          </w:p>
        </w:tc>
        <w:tc>
          <w:tcPr>
            <w:tcW w:w="3402" w:type="dxa"/>
            <w:vAlign w:val="center"/>
          </w:tcPr>
          <w:p w14:paraId="5ED94C05">
            <w:pPr>
              <w:pStyle w:val="13"/>
            </w:pPr>
            <w:r>
              <w:t>二十九、债务发行费用支出</w:t>
            </w:r>
          </w:p>
        </w:tc>
        <w:tc>
          <w:tcPr>
            <w:tcW w:w="1474" w:type="dxa"/>
            <w:vAlign w:val="center"/>
          </w:tcPr>
          <w:p w14:paraId="1D423305">
            <w:pPr>
              <w:pStyle w:val="14"/>
            </w:pPr>
          </w:p>
        </w:tc>
        <w:tc>
          <w:tcPr>
            <w:tcW w:w="1474" w:type="dxa"/>
            <w:vAlign w:val="center"/>
          </w:tcPr>
          <w:p w14:paraId="5064056E">
            <w:pPr>
              <w:pStyle w:val="14"/>
            </w:pPr>
          </w:p>
        </w:tc>
        <w:tc>
          <w:tcPr>
            <w:tcW w:w="1474" w:type="dxa"/>
            <w:vAlign w:val="center"/>
          </w:tcPr>
          <w:p w14:paraId="18AF3C98">
            <w:pPr>
              <w:pStyle w:val="14"/>
            </w:pPr>
          </w:p>
        </w:tc>
        <w:tc>
          <w:tcPr>
            <w:tcW w:w="1474" w:type="dxa"/>
            <w:vAlign w:val="center"/>
          </w:tcPr>
          <w:p w14:paraId="62A5ACCD">
            <w:pPr>
              <w:pStyle w:val="14"/>
            </w:pPr>
          </w:p>
        </w:tc>
      </w:tr>
      <w:tr w14:paraId="612B2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269A2">
            <w:pPr>
              <w:pStyle w:val="12"/>
            </w:pPr>
            <w:r>
              <w:t>30</w:t>
            </w:r>
          </w:p>
        </w:tc>
        <w:tc>
          <w:tcPr>
            <w:tcW w:w="3402" w:type="dxa"/>
            <w:vAlign w:val="center"/>
          </w:tcPr>
          <w:p w14:paraId="7EFDE3BA">
            <w:pPr>
              <w:pStyle w:val="13"/>
            </w:pPr>
          </w:p>
        </w:tc>
        <w:tc>
          <w:tcPr>
            <w:tcW w:w="1474" w:type="dxa"/>
            <w:vAlign w:val="center"/>
          </w:tcPr>
          <w:p w14:paraId="11FAB7AC">
            <w:pPr>
              <w:pStyle w:val="14"/>
            </w:pPr>
          </w:p>
        </w:tc>
        <w:tc>
          <w:tcPr>
            <w:tcW w:w="3402" w:type="dxa"/>
            <w:vAlign w:val="center"/>
          </w:tcPr>
          <w:p w14:paraId="217D1603">
            <w:pPr>
              <w:pStyle w:val="13"/>
            </w:pPr>
            <w:r>
              <w:t>三十、抗疫特别国债安排的支出</w:t>
            </w:r>
          </w:p>
        </w:tc>
        <w:tc>
          <w:tcPr>
            <w:tcW w:w="1474" w:type="dxa"/>
            <w:vAlign w:val="center"/>
          </w:tcPr>
          <w:p w14:paraId="3299BE51">
            <w:pPr>
              <w:pStyle w:val="14"/>
            </w:pPr>
          </w:p>
        </w:tc>
        <w:tc>
          <w:tcPr>
            <w:tcW w:w="1474" w:type="dxa"/>
            <w:vAlign w:val="center"/>
          </w:tcPr>
          <w:p w14:paraId="561A34AD">
            <w:pPr>
              <w:pStyle w:val="14"/>
            </w:pPr>
          </w:p>
        </w:tc>
        <w:tc>
          <w:tcPr>
            <w:tcW w:w="1474" w:type="dxa"/>
            <w:vAlign w:val="center"/>
          </w:tcPr>
          <w:p w14:paraId="08F31A69">
            <w:pPr>
              <w:pStyle w:val="14"/>
            </w:pPr>
          </w:p>
        </w:tc>
        <w:tc>
          <w:tcPr>
            <w:tcW w:w="1474" w:type="dxa"/>
            <w:vAlign w:val="center"/>
          </w:tcPr>
          <w:p w14:paraId="05C6C7C4">
            <w:pPr>
              <w:pStyle w:val="14"/>
            </w:pPr>
          </w:p>
        </w:tc>
      </w:tr>
      <w:tr w14:paraId="5B380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5A9C4">
            <w:pPr>
              <w:pStyle w:val="12"/>
            </w:pPr>
            <w:r>
              <w:t>31</w:t>
            </w:r>
          </w:p>
        </w:tc>
        <w:tc>
          <w:tcPr>
            <w:tcW w:w="3402" w:type="dxa"/>
            <w:vAlign w:val="center"/>
          </w:tcPr>
          <w:p w14:paraId="7355DB63">
            <w:pPr>
              <w:pStyle w:val="13"/>
            </w:pPr>
          </w:p>
        </w:tc>
        <w:tc>
          <w:tcPr>
            <w:tcW w:w="1474" w:type="dxa"/>
            <w:vAlign w:val="center"/>
          </w:tcPr>
          <w:p w14:paraId="7CF49879">
            <w:pPr>
              <w:pStyle w:val="14"/>
            </w:pPr>
          </w:p>
        </w:tc>
        <w:tc>
          <w:tcPr>
            <w:tcW w:w="3402" w:type="dxa"/>
            <w:vAlign w:val="center"/>
          </w:tcPr>
          <w:p w14:paraId="372A2598">
            <w:pPr>
              <w:pStyle w:val="13"/>
            </w:pPr>
            <w:r>
              <w:t>三十一、人行科目</w:t>
            </w:r>
          </w:p>
        </w:tc>
        <w:tc>
          <w:tcPr>
            <w:tcW w:w="1474" w:type="dxa"/>
            <w:vAlign w:val="center"/>
          </w:tcPr>
          <w:p w14:paraId="28005D1F">
            <w:pPr>
              <w:pStyle w:val="14"/>
            </w:pPr>
          </w:p>
        </w:tc>
        <w:tc>
          <w:tcPr>
            <w:tcW w:w="1474" w:type="dxa"/>
            <w:vAlign w:val="center"/>
          </w:tcPr>
          <w:p w14:paraId="16A25F13">
            <w:pPr>
              <w:pStyle w:val="14"/>
            </w:pPr>
          </w:p>
        </w:tc>
        <w:tc>
          <w:tcPr>
            <w:tcW w:w="1474" w:type="dxa"/>
            <w:vAlign w:val="center"/>
          </w:tcPr>
          <w:p w14:paraId="2488229C">
            <w:pPr>
              <w:pStyle w:val="14"/>
            </w:pPr>
          </w:p>
        </w:tc>
        <w:tc>
          <w:tcPr>
            <w:tcW w:w="1474" w:type="dxa"/>
            <w:vAlign w:val="center"/>
          </w:tcPr>
          <w:p w14:paraId="03D4B22E">
            <w:pPr>
              <w:pStyle w:val="14"/>
            </w:pPr>
          </w:p>
        </w:tc>
      </w:tr>
      <w:tr w14:paraId="3AAA6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E40E3">
            <w:pPr>
              <w:pStyle w:val="12"/>
            </w:pPr>
            <w:r>
              <w:t>32</w:t>
            </w:r>
          </w:p>
        </w:tc>
        <w:tc>
          <w:tcPr>
            <w:tcW w:w="3402" w:type="dxa"/>
            <w:vAlign w:val="center"/>
          </w:tcPr>
          <w:p w14:paraId="2AE98E37">
            <w:pPr>
              <w:pStyle w:val="15"/>
            </w:pPr>
            <w:r>
              <w:t>本年收入合计</w:t>
            </w:r>
          </w:p>
        </w:tc>
        <w:tc>
          <w:tcPr>
            <w:tcW w:w="1474" w:type="dxa"/>
            <w:vAlign w:val="center"/>
          </w:tcPr>
          <w:p w14:paraId="4BE6B7EA">
            <w:pPr>
              <w:pStyle w:val="16"/>
            </w:pPr>
            <w:r>
              <w:t>1910.76</w:t>
            </w:r>
          </w:p>
        </w:tc>
        <w:tc>
          <w:tcPr>
            <w:tcW w:w="3402" w:type="dxa"/>
            <w:vAlign w:val="center"/>
          </w:tcPr>
          <w:p w14:paraId="2FBA7738">
            <w:pPr>
              <w:pStyle w:val="15"/>
            </w:pPr>
            <w:r>
              <w:t>本年支出合计</w:t>
            </w:r>
          </w:p>
        </w:tc>
        <w:tc>
          <w:tcPr>
            <w:tcW w:w="1474" w:type="dxa"/>
            <w:vAlign w:val="center"/>
          </w:tcPr>
          <w:p w14:paraId="01906704">
            <w:pPr>
              <w:pStyle w:val="16"/>
            </w:pPr>
            <w:r>
              <w:t>2063.33</w:t>
            </w:r>
          </w:p>
        </w:tc>
        <w:tc>
          <w:tcPr>
            <w:tcW w:w="1474" w:type="dxa"/>
            <w:vAlign w:val="center"/>
          </w:tcPr>
          <w:p w14:paraId="7DB473F5">
            <w:pPr>
              <w:pStyle w:val="16"/>
            </w:pPr>
            <w:r>
              <w:t>2063.33</w:t>
            </w:r>
          </w:p>
        </w:tc>
        <w:tc>
          <w:tcPr>
            <w:tcW w:w="1474" w:type="dxa"/>
            <w:vAlign w:val="center"/>
          </w:tcPr>
          <w:p w14:paraId="7CA61F19">
            <w:pPr>
              <w:pStyle w:val="16"/>
            </w:pPr>
          </w:p>
        </w:tc>
        <w:tc>
          <w:tcPr>
            <w:tcW w:w="1474" w:type="dxa"/>
            <w:vAlign w:val="center"/>
          </w:tcPr>
          <w:p w14:paraId="10395907">
            <w:pPr>
              <w:pStyle w:val="16"/>
            </w:pPr>
          </w:p>
        </w:tc>
      </w:tr>
      <w:tr w14:paraId="34AA4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4250A">
            <w:pPr>
              <w:pStyle w:val="12"/>
            </w:pPr>
            <w:r>
              <w:t>33</w:t>
            </w:r>
          </w:p>
        </w:tc>
        <w:tc>
          <w:tcPr>
            <w:tcW w:w="3402" w:type="dxa"/>
            <w:vAlign w:val="center"/>
          </w:tcPr>
          <w:p w14:paraId="4A1C2A2D">
            <w:pPr>
              <w:pStyle w:val="13"/>
            </w:pPr>
            <w:r>
              <w:t>年初财政拨款结转和结余</w:t>
            </w:r>
          </w:p>
        </w:tc>
        <w:tc>
          <w:tcPr>
            <w:tcW w:w="1474" w:type="dxa"/>
            <w:vAlign w:val="center"/>
          </w:tcPr>
          <w:p w14:paraId="5E577901">
            <w:pPr>
              <w:pStyle w:val="14"/>
            </w:pPr>
            <w:r>
              <w:t>152.57</w:t>
            </w:r>
          </w:p>
        </w:tc>
        <w:tc>
          <w:tcPr>
            <w:tcW w:w="3402" w:type="dxa"/>
            <w:vAlign w:val="center"/>
          </w:tcPr>
          <w:p w14:paraId="27EF7AC8">
            <w:pPr>
              <w:pStyle w:val="13"/>
            </w:pPr>
            <w:r>
              <w:t>年末财政拨款结转和结余</w:t>
            </w:r>
          </w:p>
        </w:tc>
        <w:tc>
          <w:tcPr>
            <w:tcW w:w="1474" w:type="dxa"/>
            <w:vAlign w:val="center"/>
          </w:tcPr>
          <w:p w14:paraId="3E121A53">
            <w:pPr>
              <w:pStyle w:val="14"/>
            </w:pPr>
          </w:p>
        </w:tc>
        <w:tc>
          <w:tcPr>
            <w:tcW w:w="1474" w:type="dxa"/>
            <w:vAlign w:val="center"/>
          </w:tcPr>
          <w:p w14:paraId="5BBF2F92">
            <w:pPr>
              <w:pStyle w:val="14"/>
            </w:pPr>
          </w:p>
        </w:tc>
        <w:tc>
          <w:tcPr>
            <w:tcW w:w="1474" w:type="dxa"/>
            <w:vAlign w:val="center"/>
          </w:tcPr>
          <w:p w14:paraId="67A0D139">
            <w:pPr>
              <w:pStyle w:val="14"/>
            </w:pPr>
          </w:p>
        </w:tc>
        <w:tc>
          <w:tcPr>
            <w:tcW w:w="1474" w:type="dxa"/>
            <w:vAlign w:val="center"/>
          </w:tcPr>
          <w:p w14:paraId="008AF566">
            <w:pPr>
              <w:pStyle w:val="14"/>
            </w:pPr>
          </w:p>
        </w:tc>
      </w:tr>
      <w:tr w14:paraId="2FA58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81A43">
            <w:pPr>
              <w:pStyle w:val="12"/>
            </w:pPr>
            <w:r>
              <w:t>34</w:t>
            </w:r>
          </w:p>
        </w:tc>
        <w:tc>
          <w:tcPr>
            <w:tcW w:w="3402" w:type="dxa"/>
            <w:vAlign w:val="center"/>
          </w:tcPr>
          <w:p w14:paraId="0EAF738A">
            <w:pPr>
              <w:pStyle w:val="13"/>
            </w:pPr>
            <w:r>
              <w:t>一、一般公共预算拨款</w:t>
            </w:r>
          </w:p>
        </w:tc>
        <w:tc>
          <w:tcPr>
            <w:tcW w:w="1474" w:type="dxa"/>
            <w:vAlign w:val="center"/>
          </w:tcPr>
          <w:p w14:paraId="2DDF35E0">
            <w:pPr>
              <w:pStyle w:val="14"/>
            </w:pPr>
            <w:r>
              <w:t>152.57</w:t>
            </w:r>
          </w:p>
        </w:tc>
        <w:tc>
          <w:tcPr>
            <w:tcW w:w="3402" w:type="dxa"/>
            <w:vAlign w:val="center"/>
          </w:tcPr>
          <w:p w14:paraId="253989BF">
            <w:pPr>
              <w:pStyle w:val="13"/>
            </w:pPr>
          </w:p>
        </w:tc>
        <w:tc>
          <w:tcPr>
            <w:tcW w:w="1474" w:type="dxa"/>
            <w:vAlign w:val="center"/>
          </w:tcPr>
          <w:p w14:paraId="38D1D918">
            <w:pPr>
              <w:pStyle w:val="14"/>
            </w:pPr>
          </w:p>
        </w:tc>
        <w:tc>
          <w:tcPr>
            <w:tcW w:w="1474" w:type="dxa"/>
            <w:vAlign w:val="center"/>
          </w:tcPr>
          <w:p w14:paraId="7D6E6333">
            <w:pPr>
              <w:pStyle w:val="14"/>
            </w:pPr>
          </w:p>
        </w:tc>
        <w:tc>
          <w:tcPr>
            <w:tcW w:w="1474" w:type="dxa"/>
            <w:vAlign w:val="center"/>
          </w:tcPr>
          <w:p w14:paraId="48CC21BC">
            <w:pPr>
              <w:pStyle w:val="14"/>
            </w:pPr>
          </w:p>
        </w:tc>
        <w:tc>
          <w:tcPr>
            <w:tcW w:w="1474" w:type="dxa"/>
            <w:vAlign w:val="center"/>
          </w:tcPr>
          <w:p w14:paraId="6EA142DF">
            <w:pPr>
              <w:pStyle w:val="14"/>
            </w:pPr>
          </w:p>
        </w:tc>
      </w:tr>
      <w:tr w14:paraId="0D352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B5FD2B">
            <w:pPr>
              <w:pStyle w:val="12"/>
            </w:pPr>
            <w:r>
              <w:t>35</w:t>
            </w:r>
          </w:p>
        </w:tc>
        <w:tc>
          <w:tcPr>
            <w:tcW w:w="3402" w:type="dxa"/>
            <w:vAlign w:val="center"/>
          </w:tcPr>
          <w:p w14:paraId="6F52BEF4">
            <w:pPr>
              <w:pStyle w:val="13"/>
            </w:pPr>
            <w:r>
              <w:t>二、政府性基金预算拨款</w:t>
            </w:r>
          </w:p>
        </w:tc>
        <w:tc>
          <w:tcPr>
            <w:tcW w:w="1474" w:type="dxa"/>
            <w:vAlign w:val="center"/>
          </w:tcPr>
          <w:p w14:paraId="7A16B5B2">
            <w:pPr>
              <w:pStyle w:val="14"/>
            </w:pPr>
          </w:p>
        </w:tc>
        <w:tc>
          <w:tcPr>
            <w:tcW w:w="3402" w:type="dxa"/>
            <w:vAlign w:val="center"/>
          </w:tcPr>
          <w:p w14:paraId="03E62558">
            <w:pPr>
              <w:pStyle w:val="13"/>
            </w:pPr>
          </w:p>
        </w:tc>
        <w:tc>
          <w:tcPr>
            <w:tcW w:w="1474" w:type="dxa"/>
            <w:vAlign w:val="center"/>
          </w:tcPr>
          <w:p w14:paraId="658AB7C1">
            <w:pPr>
              <w:pStyle w:val="14"/>
            </w:pPr>
          </w:p>
        </w:tc>
        <w:tc>
          <w:tcPr>
            <w:tcW w:w="1474" w:type="dxa"/>
            <w:vAlign w:val="center"/>
          </w:tcPr>
          <w:p w14:paraId="683BC2F6">
            <w:pPr>
              <w:pStyle w:val="14"/>
            </w:pPr>
          </w:p>
        </w:tc>
        <w:tc>
          <w:tcPr>
            <w:tcW w:w="1474" w:type="dxa"/>
            <w:vAlign w:val="center"/>
          </w:tcPr>
          <w:p w14:paraId="3802E00B">
            <w:pPr>
              <w:pStyle w:val="14"/>
            </w:pPr>
          </w:p>
        </w:tc>
        <w:tc>
          <w:tcPr>
            <w:tcW w:w="1474" w:type="dxa"/>
            <w:vAlign w:val="center"/>
          </w:tcPr>
          <w:p w14:paraId="461667B9">
            <w:pPr>
              <w:pStyle w:val="14"/>
            </w:pPr>
          </w:p>
        </w:tc>
      </w:tr>
      <w:tr w14:paraId="60DBA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CD88C">
            <w:pPr>
              <w:pStyle w:val="12"/>
            </w:pPr>
            <w:r>
              <w:t>36</w:t>
            </w:r>
          </w:p>
        </w:tc>
        <w:tc>
          <w:tcPr>
            <w:tcW w:w="3402" w:type="dxa"/>
            <w:vAlign w:val="center"/>
          </w:tcPr>
          <w:p w14:paraId="4D7B1CC1">
            <w:pPr>
              <w:pStyle w:val="13"/>
            </w:pPr>
            <w:r>
              <w:t>三、国有资本经营预算拨款</w:t>
            </w:r>
          </w:p>
        </w:tc>
        <w:tc>
          <w:tcPr>
            <w:tcW w:w="1474" w:type="dxa"/>
            <w:vAlign w:val="center"/>
          </w:tcPr>
          <w:p w14:paraId="24505246">
            <w:pPr>
              <w:pStyle w:val="14"/>
            </w:pPr>
          </w:p>
        </w:tc>
        <w:tc>
          <w:tcPr>
            <w:tcW w:w="3402" w:type="dxa"/>
            <w:vAlign w:val="center"/>
          </w:tcPr>
          <w:p w14:paraId="7B0741F8">
            <w:pPr>
              <w:pStyle w:val="13"/>
            </w:pPr>
          </w:p>
        </w:tc>
        <w:tc>
          <w:tcPr>
            <w:tcW w:w="1474" w:type="dxa"/>
            <w:vAlign w:val="center"/>
          </w:tcPr>
          <w:p w14:paraId="5275D28B">
            <w:pPr>
              <w:pStyle w:val="14"/>
            </w:pPr>
          </w:p>
        </w:tc>
        <w:tc>
          <w:tcPr>
            <w:tcW w:w="1474" w:type="dxa"/>
            <w:vAlign w:val="center"/>
          </w:tcPr>
          <w:p w14:paraId="79D04B29">
            <w:pPr>
              <w:pStyle w:val="14"/>
            </w:pPr>
          </w:p>
        </w:tc>
        <w:tc>
          <w:tcPr>
            <w:tcW w:w="1474" w:type="dxa"/>
            <w:vAlign w:val="center"/>
          </w:tcPr>
          <w:p w14:paraId="3A87DE74">
            <w:pPr>
              <w:pStyle w:val="14"/>
            </w:pPr>
          </w:p>
        </w:tc>
        <w:tc>
          <w:tcPr>
            <w:tcW w:w="1474" w:type="dxa"/>
            <w:vAlign w:val="center"/>
          </w:tcPr>
          <w:p w14:paraId="3156DA99">
            <w:pPr>
              <w:pStyle w:val="14"/>
            </w:pPr>
          </w:p>
        </w:tc>
      </w:tr>
      <w:tr w14:paraId="0CF2D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794D5">
            <w:pPr>
              <w:pStyle w:val="12"/>
            </w:pPr>
            <w:r>
              <w:t>37</w:t>
            </w:r>
          </w:p>
        </w:tc>
        <w:tc>
          <w:tcPr>
            <w:tcW w:w="3402" w:type="dxa"/>
            <w:vAlign w:val="center"/>
          </w:tcPr>
          <w:p w14:paraId="4CBC5AE5">
            <w:pPr>
              <w:pStyle w:val="15"/>
            </w:pPr>
            <w:r>
              <w:t>收入总计</w:t>
            </w:r>
          </w:p>
        </w:tc>
        <w:tc>
          <w:tcPr>
            <w:tcW w:w="1474" w:type="dxa"/>
            <w:vAlign w:val="center"/>
          </w:tcPr>
          <w:p w14:paraId="5752F64D">
            <w:pPr>
              <w:pStyle w:val="16"/>
            </w:pPr>
            <w:r>
              <w:t>2063.33</w:t>
            </w:r>
          </w:p>
        </w:tc>
        <w:tc>
          <w:tcPr>
            <w:tcW w:w="3402" w:type="dxa"/>
            <w:vAlign w:val="center"/>
          </w:tcPr>
          <w:p w14:paraId="61AE0CBD">
            <w:pPr>
              <w:pStyle w:val="15"/>
            </w:pPr>
            <w:r>
              <w:t>支出总计</w:t>
            </w:r>
          </w:p>
        </w:tc>
        <w:tc>
          <w:tcPr>
            <w:tcW w:w="1474" w:type="dxa"/>
            <w:vAlign w:val="center"/>
          </w:tcPr>
          <w:p w14:paraId="40ECFD75">
            <w:pPr>
              <w:pStyle w:val="16"/>
            </w:pPr>
            <w:r>
              <w:t>2063.33</w:t>
            </w:r>
          </w:p>
        </w:tc>
        <w:tc>
          <w:tcPr>
            <w:tcW w:w="1474" w:type="dxa"/>
            <w:vAlign w:val="center"/>
          </w:tcPr>
          <w:p w14:paraId="35AFF90A">
            <w:pPr>
              <w:pStyle w:val="16"/>
            </w:pPr>
            <w:r>
              <w:t>2063.33</w:t>
            </w:r>
          </w:p>
        </w:tc>
        <w:tc>
          <w:tcPr>
            <w:tcW w:w="1474" w:type="dxa"/>
            <w:vAlign w:val="center"/>
          </w:tcPr>
          <w:p w14:paraId="6068E07A">
            <w:pPr>
              <w:pStyle w:val="16"/>
            </w:pPr>
          </w:p>
        </w:tc>
        <w:tc>
          <w:tcPr>
            <w:tcW w:w="1474" w:type="dxa"/>
            <w:vAlign w:val="center"/>
          </w:tcPr>
          <w:p w14:paraId="4261CC5A">
            <w:pPr>
              <w:pStyle w:val="16"/>
            </w:pPr>
          </w:p>
        </w:tc>
      </w:tr>
    </w:tbl>
    <w:p w14:paraId="1F0C7D00">
      <w:pPr>
        <w:sectPr>
          <w:pgSz w:w="16840" w:h="11900" w:orient="landscape"/>
          <w:pgMar w:top="1361" w:right="1020" w:bottom="1134" w:left="1020" w:header="720" w:footer="720" w:gutter="0"/>
          <w:cols w:space="720" w:num="1"/>
        </w:sectPr>
      </w:pPr>
    </w:p>
    <w:p w14:paraId="4F4195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C33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B58D3B">
            <w:pPr>
              <w:pStyle w:val="8"/>
            </w:pPr>
            <w:r>
              <w:t>360030隆尧县第二实验小学</w:t>
            </w:r>
          </w:p>
        </w:tc>
        <w:tc>
          <w:tcPr>
            <w:tcW w:w="2551" w:type="dxa"/>
            <w:tcBorders>
              <w:top w:val="single" w:color="FFFFFF" w:sz="6" w:space="0"/>
              <w:left w:val="single" w:color="FFFFFF" w:sz="6" w:space="0"/>
              <w:right w:val="single" w:color="FFFFFF" w:sz="6" w:space="0"/>
            </w:tcBorders>
            <w:vAlign w:val="center"/>
          </w:tcPr>
          <w:p w14:paraId="0CDBD42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C4BB59A">
            <w:pPr>
              <w:pStyle w:val="10"/>
            </w:pPr>
            <w:r>
              <w:t>单位：万元</w:t>
            </w:r>
          </w:p>
        </w:tc>
      </w:tr>
      <w:tr w14:paraId="562B7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4A91BE">
            <w:pPr>
              <w:pStyle w:val="11"/>
            </w:pPr>
            <w:r>
              <w:t>序号</w:t>
            </w:r>
          </w:p>
        </w:tc>
        <w:tc>
          <w:tcPr>
            <w:tcW w:w="5726" w:type="dxa"/>
            <w:gridSpan w:val="2"/>
            <w:vAlign w:val="center"/>
          </w:tcPr>
          <w:p w14:paraId="139FB0E2">
            <w:pPr>
              <w:pStyle w:val="11"/>
            </w:pPr>
            <w:r>
              <w:t>功能分类科目</w:t>
            </w:r>
          </w:p>
        </w:tc>
        <w:tc>
          <w:tcPr>
            <w:tcW w:w="2551" w:type="dxa"/>
            <w:vMerge w:val="restart"/>
            <w:vAlign w:val="center"/>
          </w:tcPr>
          <w:p w14:paraId="13F331A6">
            <w:pPr>
              <w:pStyle w:val="11"/>
            </w:pPr>
            <w:r>
              <w:t>合计</w:t>
            </w:r>
          </w:p>
        </w:tc>
        <w:tc>
          <w:tcPr>
            <w:tcW w:w="2551" w:type="dxa"/>
            <w:vMerge w:val="restart"/>
            <w:vAlign w:val="center"/>
          </w:tcPr>
          <w:p w14:paraId="1ED816DF">
            <w:pPr>
              <w:pStyle w:val="11"/>
            </w:pPr>
            <w:r>
              <w:t>基本支出</w:t>
            </w:r>
          </w:p>
        </w:tc>
        <w:tc>
          <w:tcPr>
            <w:tcW w:w="2551" w:type="dxa"/>
            <w:vMerge w:val="restart"/>
            <w:vAlign w:val="center"/>
          </w:tcPr>
          <w:p w14:paraId="57EBA07F">
            <w:pPr>
              <w:pStyle w:val="11"/>
            </w:pPr>
            <w:r>
              <w:t>项目支出</w:t>
            </w:r>
          </w:p>
        </w:tc>
      </w:tr>
      <w:tr w14:paraId="22D4A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845829"/>
        </w:tc>
        <w:tc>
          <w:tcPr>
            <w:tcW w:w="1191" w:type="dxa"/>
            <w:vAlign w:val="center"/>
          </w:tcPr>
          <w:p w14:paraId="1CCEABA6">
            <w:pPr>
              <w:pStyle w:val="11"/>
            </w:pPr>
            <w:r>
              <w:t>科目编码</w:t>
            </w:r>
          </w:p>
        </w:tc>
        <w:tc>
          <w:tcPr>
            <w:tcW w:w="4535" w:type="dxa"/>
            <w:vAlign w:val="center"/>
          </w:tcPr>
          <w:p w14:paraId="42BBA1A6">
            <w:pPr>
              <w:pStyle w:val="11"/>
            </w:pPr>
            <w:r>
              <w:t>科目名称</w:t>
            </w:r>
          </w:p>
        </w:tc>
        <w:tc>
          <w:tcPr>
            <w:tcW w:w="2551" w:type="dxa"/>
            <w:vMerge w:val="continue"/>
          </w:tcPr>
          <w:p w14:paraId="361F98A9"/>
        </w:tc>
        <w:tc>
          <w:tcPr>
            <w:tcW w:w="2551" w:type="dxa"/>
            <w:vMerge w:val="continue"/>
          </w:tcPr>
          <w:p w14:paraId="313B297C"/>
        </w:tc>
        <w:tc>
          <w:tcPr>
            <w:tcW w:w="2551" w:type="dxa"/>
            <w:vMerge w:val="continue"/>
          </w:tcPr>
          <w:p w14:paraId="108E8B1E"/>
        </w:tc>
      </w:tr>
      <w:tr w14:paraId="5807D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E438B1">
            <w:pPr>
              <w:pStyle w:val="11"/>
            </w:pPr>
            <w:r>
              <w:t>栏次</w:t>
            </w:r>
          </w:p>
        </w:tc>
        <w:tc>
          <w:tcPr>
            <w:tcW w:w="1191" w:type="dxa"/>
            <w:vAlign w:val="center"/>
          </w:tcPr>
          <w:p w14:paraId="62C0821C">
            <w:pPr>
              <w:pStyle w:val="11"/>
            </w:pPr>
            <w:r>
              <w:t>1</w:t>
            </w:r>
          </w:p>
        </w:tc>
        <w:tc>
          <w:tcPr>
            <w:tcW w:w="4535" w:type="dxa"/>
            <w:vAlign w:val="center"/>
          </w:tcPr>
          <w:p w14:paraId="5EC47971">
            <w:pPr>
              <w:pStyle w:val="11"/>
            </w:pPr>
            <w:r>
              <w:t>2</w:t>
            </w:r>
          </w:p>
        </w:tc>
        <w:tc>
          <w:tcPr>
            <w:tcW w:w="2551" w:type="dxa"/>
            <w:vAlign w:val="center"/>
          </w:tcPr>
          <w:p w14:paraId="099C4ACC">
            <w:pPr>
              <w:pStyle w:val="11"/>
            </w:pPr>
            <w:r>
              <w:t>3</w:t>
            </w:r>
          </w:p>
        </w:tc>
        <w:tc>
          <w:tcPr>
            <w:tcW w:w="2551" w:type="dxa"/>
            <w:vAlign w:val="center"/>
          </w:tcPr>
          <w:p w14:paraId="064C25EC">
            <w:pPr>
              <w:pStyle w:val="11"/>
            </w:pPr>
            <w:r>
              <w:t>4</w:t>
            </w:r>
          </w:p>
        </w:tc>
        <w:tc>
          <w:tcPr>
            <w:tcW w:w="2551" w:type="dxa"/>
            <w:vAlign w:val="center"/>
          </w:tcPr>
          <w:p w14:paraId="5ECD2F0C">
            <w:pPr>
              <w:pStyle w:val="11"/>
            </w:pPr>
            <w:r>
              <w:t>5</w:t>
            </w:r>
          </w:p>
        </w:tc>
      </w:tr>
      <w:tr w14:paraId="01756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C43B1">
            <w:pPr>
              <w:pStyle w:val="12"/>
            </w:pPr>
            <w:r>
              <w:t>1</w:t>
            </w:r>
          </w:p>
        </w:tc>
        <w:tc>
          <w:tcPr>
            <w:tcW w:w="1191" w:type="dxa"/>
            <w:vAlign w:val="center"/>
          </w:tcPr>
          <w:p w14:paraId="69B2150B">
            <w:pPr>
              <w:pStyle w:val="17"/>
            </w:pPr>
          </w:p>
        </w:tc>
        <w:tc>
          <w:tcPr>
            <w:tcW w:w="4535" w:type="dxa"/>
            <w:vAlign w:val="center"/>
          </w:tcPr>
          <w:p w14:paraId="68E84E97">
            <w:pPr>
              <w:pStyle w:val="15"/>
            </w:pPr>
            <w:r>
              <w:t>合计</w:t>
            </w:r>
          </w:p>
        </w:tc>
        <w:tc>
          <w:tcPr>
            <w:tcW w:w="2551" w:type="dxa"/>
            <w:vAlign w:val="center"/>
          </w:tcPr>
          <w:p w14:paraId="76A612F7">
            <w:pPr>
              <w:pStyle w:val="16"/>
            </w:pPr>
            <w:r>
              <w:t>2063.33</w:t>
            </w:r>
          </w:p>
        </w:tc>
        <w:tc>
          <w:tcPr>
            <w:tcW w:w="2551" w:type="dxa"/>
            <w:vAlign w:val="center"/>
          </w:tcPr>
          <w:p w14:paraId="0997D3C4">
            <w:pPr>
              <w:pStyle w:val="16"/>
            </w:pPr>
            <w:r>
              <w:t>1370.45</w:t>
            </w:r>
          </w:p>
        </w:tc>
        <w:tc>
          <w:tcPr>
            <w:tcW w:w="2551" w:type="dxa"/>
            <w:vAlign w:val="center"/>
          </w:tcPr>
          <w:p w14:paraId="32FF1A14">
            <w:pPr>
              <w:pStyle w:val="16"/>
            </w:pPr>
            <w:r>
              <w:t>692.88</w:t>
            </w:r>
          </w:p>
        </w:tc>
      </w:tr>
      <w:tr w14:paraId="3CDDC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9E7DB">
            <w:pPr>
              <w:pStyle w:val="12"/>
            </w:pPr>
            <w:r>
              <w:t>2</w:t>
            </w:r>
          </w:p>
        </w:tc>
        <w:tc>
          <w:tcPr>
            <w:tcW w:w="1191" w:type="dxa"/>
            <w:vAlign w:val="center"/>
          </w:tcPr>
          <w:p w14:paraId="052CD343">
            <w:pPr>
              <w:pStyle w:val="13"/>
            </w:pPr>
            <w:r>
              <w:t>205</w:t>
            </w:r>
          </w:p>
        </w:tc>
        <w:tc>
          <w:tcPr>
            <w:tcW w:w="4535" w:type="dxa"/>
            <w:vAlign w:val="center"/>
          </w:tcPr>
          <w:p w14:paraId="59D49C96">
            <w:pPr>
              <w:pStyle w:val="13"/>
            </w:pPr>
            <w:r>
              <w:t>教育支出</w:t>
            </w:r>
          </w:p>
        </w:tc>
        <w:tc>
          <w:tcPr>
            <w:tcW w:w="2551" w:type="dxa"/>
            <w:vAlign w:val="center"/>
          </w:tcPr>
          <w:p w14:paraId="3C5715A3">
            <w:pPr>
              <w:pStyle w:val="14"/>
            </w:pPr>
            <w:r>
              <w:t>2063.33</w:t>
            </w:r>
          </w:p>
        </w:tc>
        <w:tc>
          <w:tcPr>
            <w:tcW w:w="2551" w:type="dxa"/>
            <w:vAlign w:val="center"/>
          </w:tcPr>
          <w:p w14:paraId="51285E66">
            <w:pPr>
              <w:pStyle w:val="14"/>
            </w:pPr>
            <w:r>
              <w:t>1370.45</w:t>
            </w:r>
          </w:p>
        </w:tc>
        <w:tc>
          <w:tcPr>
            <w:tcW w:w="2551" w:type="dxa"/>
            <w:vAlign w:val="center"/>
          </w:tcPr>
          <w:p w14:paraId="5CD56E00">
            <w:pPr>
              <w:pStyle w:val="14"/>
            </w:pPr>
            <w:r>
              <w:t>692.88</w:t>
            </w:r>
          </w:p>
        </w:tc>
      </w:tr>
      <w:tr w14:paraId="3328E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AD2F8">
            <w:pPr>
              <w:pStyle w:val="12"/>
            </w:pPr>
            <w:r>
              <w:t>3</w:t>
            </w:r>
          </w:p>
        </w:tc>
        <w:tc>
          <w:tcPr>
            <w:tcW w:w="1191" w:type="dxa"/>
            <w:vAlign w:val="center"/>
          </w:tcPr>
          <w:p w14:paraId="1496ED19">
            <w:pPr>
              <w:pStyle w:val="13"/>
            </w:pPr>
            <w:r>
              <w:t>20502</w:t>
            </w:r>
          </w:p>
        </w:tc>
        <w:tc>
          <w:tcPr>
            <w:tcW w:w="4535" w:type="dxa"/>
            <w:vAlign w:val="center"/>
          </w:tcPr>
          <w:p w14:paraId="586FC378">
            <w:pPr>
              <w:pStyle w:val="13"/>
            </w:pPr>
            <w:r>
              <w:t>普通教育</w:t>
            </w:r>
          </w:p>
        </w:tc>
        <w:tc>
          <w:tcPr>
            <w:tcW w:w="2551" w:type="dxa"/>
            <w:vAlign w:val="center"/>
          </w:tcPr>
          <w:p w14:paraId="5FA79A1F">
            <w:pPr>
              <w:pStyle w:val="14"/>
            </w:pPr>
            <w:r>
              <w:t>2063.33</w:t>
            </w:r>
          </w:p>
        </w:tc>
        <w:tc>
          <w:tcPr>
            <w:tcW w:w="2551" w:type="dxa"/>
            <w:vAlign w:val="center"/>
          </w:tcPr>
          <w:p w14:paraId="209801A2">
            <w:pPr>
              <w:pStyle w:val="14"/>
            </w:pPr>
            <w:r>
              <w:t>1370.45</w:t>
            </w:r>
          </w:p>
        </w:tc>
        <w:tc>
          <w:tcPr>
            <w:tcW w:w="2551" w:type="dxa"/>
            <w:vAlign w:val="center"/>
          </w:tcPr>
          <w:p w14:paraId="10DB6D5D">
            <w:pPr>
              <w:pStyle w:val="14"/>
            </w:pPr>
            <w:r>
              <w:t>692.88</w:t>
            </w:r>
          </w:p>
        </w:tc>
      </w:tr>
      <w:tr w14:paraId="3311E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C714F">
            <w:pPr>
              <w:pStyle w:val="12"/>
            </w:pPr>
            <w:r>
              <w:t>4</w:t>
            </w:r>
          </w:p>
        </w:tc>
        <w:tc>
          <w:tcPr>
            <w:tcW w:w="1191" w:type="dxa"/>
            <w:vAlign w:val="center"/>
          </w:tcPr>
          <w:p w14:paraId="5A4306F0">
            <w:pPr>
              <w:pStyle w:val="13"/>
            </w:pPr>
            <w:r>
              <w:t>2050202</w:t>
            </w:r>
          </w:p>
        </w:tc>
        <w:tc>
          <w:tcPr>
            <w:tcW w:w="4535" w:type="dxa"/>
            <w:vAlign w:val="center"/>
          </w:tcPr>
          <w:p w14:paraId="14386686">
            <w:pPr>
              <w:pStyle w:val="13"/>
            </w:pPr>
            <w:r>
              <w:t>小学教育</w:t>
            </w:r>
          </w:p>
        </w:tc>
        <w:tc>
          <w:tcPr>
            <w:tcW w:w="2551" w:type="dxa"/>
            <w:vAlign w:val="center"/>
          </w:tcPr>
          <w:p w14:paraId="33B93233">
            <w:pPr>
              <w:pStyle w:val="14"/>
            </w:pPr>
            <w:r>
              <w:t>2063.33</w:t>
            </w:r>
          </w:p>
        </w:tc>
        <w:tc>
          <w:tcPr>
            <w:tcW w:w="2551" w:type="dxa"/>
            <w:vAlign w:val="center"/>
          </w:tcPr>
          <w:p w14:paraId="5F8EEC30">
            <w:pPr>
              <w:pStyle w:val="14"/>
            </w:pPr>
            <w:r>
              <w:t>1370.45</w:t>
            </w:r>
          </w:p>
        </w:tc>
        <w:tc>
          <w:tcPr>
            <w:tcW w:w="2551" w:type="dxa"/>
            <w:vAlign w:val="center"/>
          </w:tcPr>
          <w:p w14:paraId="23F0EA48">
            <w:pPr>
              <w:pStyle w:val="14"/>
            </w:pPr>
            <w:r>
              <w:t>692.88</w:t>
            </w:r>
          </w:p>
        </w:tc>
      </w:tr>
    </w:tbl>
    <w:p w14:paraId="419A2DE0">
      <w:pPr>
        <w:sectPr>
          <w:pgSz w:w="16840" w:h="11900" w:orient="landscape"/>
          <w:pgMar w:top="1361" w:right="1020" w:bottom="1134" w:left="1020" w:header="720" w:footer="720" w:gutter="0"/>
          <w:cols w:space="720" w:num="1"/>
        </w:sectPr>
      </w:pPr>
    </w:p>
    <w:p w14:paraId="47F16B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164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D20EC3">
            <w:pPr>
              <w:pStyle w:val="8"/>
            </w:pPr>
            <w:r>
              <w:t>360030隆尧县第二实验小学</w:t>
            </w:r>
          </w:p>
        </w:tc>
        <w:tc>
          <w:tcPr>
            <w:tcW w:w="2551" w:type="dxa"/>
            <w:tcBorders>
              <w:top w:val="single" w:color="FFFFFF" w:sz="6" w:space="0"/>
              <w:left w:val="single" w:color="FFFFFF" w:sz="6" w:space="0"/>
              <w:right w:val="single" w:color="FFFFFF" w:sz="6" w:space="0"/>
            </w:tcBorders>
            <w:vAlign w:val="center"/>
          </w:tcPr>
          <w:p w14:paraId="1630DA4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30B1031">
            <w:pPr>
              <w:pStyle w:val="10"/>
            </w:pPr>
            <w:r>
              <w:t>单位：万元</w:t>
            </w:r>
          </w:p>
        </w:tc>
      </w:tr>
      <w:tr w14:paraId="55668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C9C31">
            <w:pPr>
              <w:pStyle w:val="11"/>
            </w:pPr>
            <w:r>
              <w:t>序号</w:t>
            </w:r>
          </w:p>
        </w:tc>
        <w:tc>
          <w:tcPr>
            <w:tcW w:w="5726" w:type="dxa"/>
            <w:gridSpan w:val="2"/>
            <w:vAlign w:val="center"/>
          </w:tcPr>
          <w:p w14:paraId="144F8D83">
            <w:pPr>
              <w:pStyle w:val="11"/>
            </w:pPr>
            <w:r>
              <w:t>支出部门经济分类科目</w:t>
            </w:r>
          </w:p>
        </w:tc>
        <w:tc>
          <w:tcPr>
            <w:tcW w:w="7653" w:type="dxa"/>
            <w:gridSpan w:val="3"/>
            <w:vAlign w:val="center"/>
          </w:tcPr>
          <w:p w14:paraId="1A79989C">
            <w:pPr>
              <w:pStyle w:val="11"/>
            </w:pPr>
            <w:r>
              <w:t>一般公共预算基本支出</w:t>
            </w:r>
          </w:p>
        </w:tc>
      </w:tr>
      <w:tr w14:paraId="1F531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05053"/>
        </w:tc>
        <w:tc>
          <w:tcPr>
            <w:tcW w:w="1191" w:type="dxa"/>
            <w:vAlign w:val="center"/>
          </w:tcPr>
          <w:p w14:paraId="27BCD36C">
            <w:pPr>
              <w:pStyle w:val="11"/>
            </w:pPr>
            <w:r>
              <w:t>科目编码</w:t>
            </w:r>
          </w:p>
        </w:tc>
        <w:tc>
          <w:tcPr>
            <w:tcW w:w="4535" w:type="dxa"/>
            <w:vAlign w:val="center"/>
          </w:tcPr>
          <w:p w14:paraId="3BBBCF7E">
            <w:pPr>
              <w:pStyle w:val="11"/>
            </w:pPr>
            <w:r>
              <w:t>科目名称</w:t>
            </w:r>
          </w:p>
        </w:tc>
        <w:tc>
          <w:tcPr>
            <w:tcW w:w="2551" w:type="dxa"/>
            <w:vAlign w:val="center"/>
          </w:tcPr>
          <w:p w14:paraId="111A4E4D">
            <w:pPr>
              <w:pStyle w:val="11"/>
            </w:pPr>
            <w:r>
              <w:t>合计</w:t>
            </w:r>
          </w:p>
        </w:tc>
        <w:tc>
          <w:tcPr>
            <w:tcW w:w="2551" w:type="dxa"/>
            <w:vAlign w:val="center"/>
          </w:tcPr>
          <w:p w14:paraId="2E67711D">
            <w:pPr>
              <w:pStyle w:val="11"/>
            </w:pPr>
            <w:r>
              <w:t>人员经费</w:t>
            </w:r>
          </w:p>
        </w:tc>
        <w:tc>
          <w:tcPr>
            <w:tcW w:w="2551" w:type="dxa"/>
            <w:vAlign w:val="center"/>
          </w:tcPr>
          <w:p w14:paraId="73EB615E">
            <w:pPr>
              <w:pStyle w:val="11"/>
            </w:pPr>
            <w:r>
              <w:t>公用经费</w:t>
            </w:r>
          </w:p>
        </w:tc>
      </w:tr>
      <w:tr w14:paraId="51683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2A4819">
            <w:pPr>
              <w:pStyle w:val="11"/>
            </w:pPr>
            <w:r>
              <w:t>栏次</w:t>
            </w:r>
          </w:p>
        </w:tc>
        <w:tc>
          <w:tcPr>
            <w:tcW w:w="1191" w:type="dxa"/>
            <w:vAlign w:val="center"/>
          </w:tcPr>
          <w:p w14:paraId="55F60735">
            <w:pPr>
              <w:pStyle w:val="11"/>
            </w:pPr>
            <w:r>
              <w:t>1</w:t>
            </w:r>
          </w:p>
        </w:tc>
        <w:tc>
          <w:tcPr>
            <w:tcW w:w="4535" w:type="dxa"/>
            <w:vAlign w:val="center"/>
          </w:tcPr>
          <w:p w14:paraId="3813963B">
            <w:pPr>
              <w:pStyle w:val="11"/>
            </w:pPr>
            <w:r>
              <w:t>2</w:t>
            </w:r>
          </w:p>
        </w:tc>
        <w:tc>
          <w:tcPr>
            <w:tcW w:w="2551" w:type="dxa"/>
            <w:vAlign w:val="center"/>
          </w:tcPr>
          <w:p w14:paraId="6BF020B6">
            <w:pPr>
              <w:pStyle w:val="11"/>
            </w:pPr>
            <w:r>
              <w:t>3</w:t>
            </w:r>
          </w:p>
        </w:tc>
        <w:tc>
          <w:tcPr>
            <w:tcW w:w="2551" w:type="dxa"/>
            <w:vAlign w:val="center"/>
          </w:tcPr>
          <w:p w14:paraId="51BB1923">
            <w:pPr>
              <w:pStyle w:val="11"/>
            </w:pPr>
            <w:r>
              <w:t>4</w:t>
            </w:r>
          </w:p>
        </w:tc>
        <w:tc>
          <w:tcPr>
            <w:tcW w:w="2551" w:type="dxa"/>
            <w:vAlign w:val="center"/>
          </w:tcPr>
          <w:p w14:paraId="0749D6A0">
            <w:pPr>
              <w:pStyle w:val="11"/>
            </w:pPr>
            <w:r>
              <w:t>5</w:t>
            </w:r>
          </w:p>
        </w:tc>
      </w:tr>
      <w:tr w14:paraId="2D94B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FC9BF">
            <w:pPr>
              <w:pStyle w:val="12"/>
            </w:pPr>
            <w:r>
              <w:t>1</w:t>
            </w:r>
          </w:p>
        </w:tc>
        <w:tc>
          <w:tcPr>
            <w:tcW w:w="1191" w:type="dxa"/>
            <w:vAlign w:val="center"/>
          </w:tcPr>
          <w:p w14:paraId="1E012460">
            <w:pPr>
              <w:pStyle w:val="17"/>
            </w:pPr>
          </w:p>
        </w:tc>
        <w:tc>
          <w:tcPr>
            <w:tcW w:w="4535" w:type="dxa"/>
            <w:vAlign w:val="center"/>
          </w:tcPr>
          <w:p w14:paraId="52E561DA">
            <w:pPr>
              <w:pStyle w:val="15"/>
            </w:pPr>
            <w:r>
              <w:t>合计</w:t>
            </w:r>
          </w:p>
        </w:tc>
        <w:tc>
          <w:tcPr>
            <w:tcW w:w="2551" w:type="dxa"/>
            <w:vAlign w:val="center"/>
          </w:tcPr>
          <w:p w14:paraId="5B2D54E7">
            <w:pPr>
              <w:pStyle w:val="16"/>
            </w:pPr>
            <w:r>
              <w:t>1370.45</w:t>
            </w:r>
          </w:p>
        </w:tc>
        <w:tc>
          <w:tcPr>
            <w:tcW w:w="2551" w:type="dxa"/>
            <w:vAlign w:val="center"/>
          </w:tcPr>
          <w:p w14:paraId="5741D452">
            <w:pPr>
              <w:pStyle w:val="16"/>
            </w:pPr>
            <w:r>
              <w:t>1370.45</w:t>
            </w:r>
          </w:p>
        </w:tc>
        <w:tc>
          <w:tcPr>
            <w:tcW w:w="2551" w:type="dxa"/>
            <w:vAlign w:val="center"/>
          </w:tcPr>
          <w:p w14:paraId="43316E1A">
            <w:pPr>
              <w:pStyle w:val="16"/>
            </w:pPr>
          </w:p>
        </w:tc>
      </w:tr>
      <w:tr w14:paraId="60AFC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51283">
            <w:pPr>
              <w:pStyle w:val="12"/>
            </w:pPr>
            <w:r>
              <w:t>2</w:t>
            </w:r>
          </w:p>
        </w:tc>
        <w:tc>
          <w:tcPr>
            <w:tcW w:w="1191" w:type="dxa"/>
            <w:vAlign w:val="center"/>
          </w:tcPr>
          <w:p w14:paraId="06EA0826">
            <w:pPr>
              <w:pStyle w:val="13"/>
            </w:pPr>
            <w:r>
              <w:t>301</w:t>
            </w:r>
          </w:p>
        </w:tc>
        <w:tc>
          <w:tcPr>
            <w:tcW w:w="4535" w:type="dxa"/>
            <w:vAlign w:val="center"/>
          </w:tcPr>
          <w:p w14:paraId="3A950BCF">
            <w:pPr>
              <w:pStyle w:val="13"/>
            </w:pPr>
            <w:r>
              <w:t>工资福利支出</w:t>
            </w:r>
          </w:p>
        </w:tc>
        <w:tc>
          <w:tcPr>
            <w:tcW w:w="2551" w:type="dxa"/>
            <w:vAlign w:val="center"/>
          </w:tcPr>
          <w:p w14:paraId="59CD7595">
            <w:pPr>
              <w:pStyle w:val="14"/>
            </w:pPr>
            <w:r>
              <w:t>1366.05</w:t>
            </w:r>
          </w:p>
        </w:tc>
        <w:tc>
          <w:tcPr>
            <w:tcW w:w="2551" w:type="dxa"/>
            <w:vAlign w:val="center"/>
          </w:tcPr>
          <w:p w14:paraId="7296D406">
            <w:pPr>
              <w:pStyle w:val="14"/>
            </w:pPr>
            <w:r>
              <w:t>1366.05</w:t>
            </w:r>
          </w:p>
        </w:tc>
        <w:tc>
          <w:tcPr>
            <w:tcW w:w="2551" w:type="dxa"/>
            <w:vAlign w:val="center"/>
          </w:tcPr>
          <w:p w14:paraId="3E3A356F">
            <w:pPr>
              <w:pStyle w:val="14"/>
            </w:pPr>
          </w:p>
        </w:tc>
      </w:tr>
      <w:tr w14:paraId="631B5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84108">
            <w:pPr>
              <w:pStyle w:val="12"/>
            </w:pPr>
            <w:r>
              <w:t>3</w:t>
            </w:r>
          </w:p>
        </w:tc>
        <w:tc>
          <w:tcPr>
            <w:tcW w:w="1191" w:type="dxa"/>
            <w:vAlign w:val="center"/>
          </w:tcPr>
          <w:p w14:paraId="566D7C5B">
            <w:pPr>
              <w:pStyle w:val="13"/>
            </w:pPr>
            <w:r>
              <w:t>30101</w:t>
            </w:r>
          </w:p>
        </w:tc>
        <w:tc>
          <w:tcPr>
            <w:tcW w:w="4535" w:type="dxa"/>
            <w:vAlign w:val="center"/>
          </w:tcPr>
          <w:p w14:paraId="71FFAA27">
            <w:pPr>
              <w:pStyle w:val="13"/>
            </w:pPr>
            <w:r>
              <w:t>基本工资</w:t>
            </w:r>
          </w:p>
        </w:tc>
        <w:tc>
          <w:tcPr>
            <w:tcW w:w="2551" w:type="dxa"/>
            <w:vAlign w:val="center"/>
          </w:tcPr>
          <w:p w14:paraId="2C006DD8">
            <w:pPr>
              <w:pStyle w:val="14"/>
            </w:pPr>
            <w:r>
              <w:t>679.60</w:t>
            </w:r>
          </w:p>
        </w:tc>
        <w:tc>
          <w:tcPr>
            <w:tcW w:w="2551" w:type="dxa"/>
            <w:vAlign w:val="center"/>
          </w:tcPr>
          <w:p w14:paraId="072363BF">
            <w:pPr>
              <w:pStyle w:val="14"/>
            </w:pPr>
            <w:r>
              <w:t>679.60</w:t>
            </w:r>
          </w:p>
        </w:tc>
        <w:tc>
          <w:tcPr>
            <w:tcW w:w="2551" w:type="dxa"/>
            <w:vAlign w:val="center"/>
          </w:tcPr>
          <w:p w14:paraId="27EE652D">
            <w:pPr>
              <w:pStyle w:val="14"/>
            </w:pPr>
          </w:p>
        </w:tc>
      </w:tr>
      <w:tr w14:paraId="4DEC0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847EC">
            <w:pPr>
              <w:pStyle w:val="12"/>
            </w:pPr>
            <w:r>
              <w:t>4</w:t>
            </w:r>
          </w:p>
        </w:tc>
        <w:tc>
          <w:tcPr>
            <w:tcW w:w="1191" w:type="dxa"/>
            <w:vAlign w:val="center"/>
          </w:tcPr>
          <w:p w14:paraId="2BBABB78">
            <w:pPr>
              <w:pStyle w:val="13"/>
            </w:pPr>
            <w:r>
              <w:t>30102</w:t>
            </w:r>
          </w:p>
        </w:tc>
        <w:tc>
          <w:tcPr>
            <w:tcW w:w="4535" w:type="dxa"/>
            <w:vAlign w:val="center"/>
          </w:tcPr>
          <w:p w14:paraId="192CC44C">
            <w:pPr>
              <w:pStyle w:val="13"/>
            </w:pPr>
            <w:r>
              <w:t>津贴补贴</w:t>
            </w:r>
          </w:p>
        </w:tc>
        <w:tc>
          <w:tcPr>
            <w:tcW w:w="2551" w:type="dxa"/>
            <w:vAlign w:val="center"/>
          </w:tcPr>
          <w:p w14:paraId="424D7FE6">
            <w:pPr>
              <w:pStyle w:val="14"/>
            </w:pPr>
            <w:r>
              <w:t>20.59</w:t>
            </w:r>
          </w:p>
        </w:tc>
        <w:tc>
          <w:tcPr>
            <w:tcW w:w="2551" w:type="dxa"/>
            <w:vAlign w:val="center"/>
          </w:tcPr>
          <w:p w14:paraId="6FEEDA9D">
            <w:pPr>
              <w:pStyle w:val="14"/>
            </w:pPr>
            <w:r>
              <w:t>20.59</w:t>
            </w:r>
          </w:p>
        </w:tc>
        <w:tc>
          <w:tcPr>
            <w:tcW w:w="2551" w:type="dxa"/>
            <w:vAlign w:val="center"/>
          </w:tcPr>
          <w:p w14:paraId="7394917B">
            <w:pPr>
              <w:pStyle w:val="14"/>
            </w:pPr>
          </w:p>
        </w:tc>
      </w:tr>
      <w:tr w14:paraId="399F5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5DDED">
            <w:pPr>
              <w:pStyle w:val="12"/>
            </w:pPr>
            <w:r>
              <w:t>5</w:t>
            </w:r>
          </w:p>
        </w:tc>
        <w:tc>
          <w:tcPr>
            <w:tcW w:w="1191" w:type="dxa"/>
            <w:vAlign w:val="center"/>
          </w:tcPr>
          <w:p w14:paraId="569B8F72">
            <w:pPr>
              <w:pStyle w:val="13"/>
            </w:pPr>
            <w:r>
              <w:t>30107</w:t>
            </w:r>
          </w:p>
        </w:tc>
        <w:tc>
          <w:tcPr>
            <w:tcW w:w="4535" w:type="dxa"/>
            <w:vAlign w:val="center"/>
          </w:tcPr>
          <w:p w14:paraId="475EF0E3">
            <w:pPr>
              <w:pStyle w:val="13"/>
            </w:pPr>
            <w:r>
              <w:t>绩效工资</w:t>
            </w:r>
          </w:p>
        </w:tc>
        <w:tc>
          <w:tcPr>
            <w:tcW w:w="2551" w:type="dxa"/>
            <w:vAlign w:val="center"/>
          </w:tcPr>
          <w:p w14:paraId="3078939C">
            <w:pPr>
              <w:pStyle w:val="14"/>
            </w:pPr>
            <w:r>
              <w:t>381.57</w:t>
            </w:r>
          </w:p>
        </w:tc>
        <w:tc>
          <w:tcPr>
            <w:tcW w:w="2551" w:type="dxa"/>
            <w:vAlign w:val="center"/>
          </w:tcPr>
          <w:p w14:paraId="213A9206">
            <w:pPr>
              <w:pStyle w:val="14"/>
            </w:pPr>
            <w:r>
              <w:t>381.57</w:t>
            </w:r>
          </w:p>
        </w:tc>
        <w:tc>
          <w:tcPr>
            <w:tcW w:w="2551" w:type="dxa"/>
            <w:vAlign w:val="center"/>
          </w:tcPr>
          <w:p w14:paraId="22393D7E">
            <w:pPr>
              <w:pStyle w:val="14"/>
            </w:pPr>
          </w:p>
        </w:tc>
      </w:tr>
      <w:tr w14:paraId="6E5CB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6DAE8">
            <w:pPr>
              <w:pStyle w:val="12"/>
            </w:pPr>
            <w:r>
              <w:t>6</w:t>
            </w:r>
          </w:p>
        </w:tc>
        <w:tc>
          <w:tcPr>
            <w:tcW w:w="1191" w:type="dxa"/>
            <w:vAlign w:val="center"/>
          </w:tcPr>
          <w:p w14:paraId="38088D80">
            <w:pPr>
              <w:pStyle w:val="13"/>
            </w:pPr>
            <w:r>
              <w:t>30108</w:t>
            </w:r>
          </w:p>
        </w:tc>
        <w:tc>
          <w:tcPr>
            <w:tcW w:w="4535" w:type="dxa"/>
            <w:vAlign w:val="center"/>
          </w:tcPr>
          <w:p w14:paraId="0B28657B">
            <w:pPr>
              <w:pStyle w:val="13"/>
            </w:pPr>
            <w:r>
              <w:t>机关事业单位基本养老保险缴费</w:t>
            </w:r>
          </w:p>
        </w:tc>
        <w:tc>
          <w:tcPr>
            <w:tcW w:w="2551" w:type="dxa"/>
            <w:vAlign w:val="center"/>
          </w:tcPr>
          <w:p w14:paraId="20788610">
            <w:pPr>
              <w:pStyle w:val="14"/>
            </w:pPr>
            <w:r>
              <w:t>152.70</w:t>
            </w:r>
          </w:p>
        </w:tc>
        <w:tc>
          <w:tcPr>
            <w:tcW w:w="2551" w:type="dxa"/>
            <w:vAlign w:val="center"/>
          </w:tcPr>
          <w:p w14:paraId="0F13DCAA">
            <w:pPr>
              <w:pStyle w:val="14"/>
            </w:pPr>
            <w:r>
              <w:t>152.70</w:t>
            </w:r>
          </w:p>
        </w:tc>
        <w:tc>
          <w:tcPr>
            <w:tcW w:w="2551" w:type="dxa"/>
            <w:vAlign w:val="center"/>
          </w:tcPr>
          <w:p w14:paraId="102198F2">
            <w:pPr>
              <w:pStyle w:val="14"/>
            </w:pPr>
          </w:p>
        </w:tc>
      </w:tr>
      <w:tr w14:paraId="094C6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C77FD">
            <w:pPr>
              <w:pStyle w:val="12"/>
            </w:pPr>
            <w:r>
              <w:t>7</w:t>
            </w:r>
          </w:p>
        </w:tc>
        <w:tc>
          <w:tcPr>
            <w:tcW w:w="1191" w:type="dxa"/>
            <w:vAlign w:val="center"/>
          </w:tcPr>
          <w:p w14:paraId="29B7AF19">
            <w:pPr>
              <w:pStyle w:val="13"/>
            </w:pPr>
            <w:r>
              <w:t>30110</w:t>
            </w:r>
          </w:p>
        </w:tc>
        <w:tc>
          <w:tcPr>
            <w:tcW w:w="4535" w:type="dxa"/>
            <w:vAlign w:val="center"/>
          </w:tcPr>
          <w:p w14:paraId="1EF79D15">
            <w:pPr>
              <w:pStyle w:val="13"/>
            </w:pPr>
            <w:r>
              <w:t>职工基本医疗保险缴费</w:t>
            </w:r>
          </w:p>
        </w:tc>
        <w:tc>
          <w:tcPr>
            <w:tcW w:w="2551" w:type="dxa"/>
            <w:vAlign w:val="center"/>
          </w:tcPr>
          <w:p w14:paraId="6E9E7D28">
            <w:pPr>
              <w:pStyle w:val="14"/>
            </w:pPr>
            <w:r>
              <w:t>71.67</w:t>
            </w:r>
          </w:p>
        </w:tc>
        <w:tc>
          <w:tcPr>
            <w:tcW w:w="2551" w:type="dxa"/>
            <w:vAlign w:val="center"/>
          </w:tcPr>
          <w:p w14:paraId="0DA6A2CF">
            <w:pPr>
              <w:pStyle w:val="14"/>
            </w:pPr>
            <w:r>
              <w:t>71.67</w:t>
            </w:r>
          </w:p>
        </w:tc>
        <w:tc>
          <w:tcPr>
            <w:tcW w:w="2551" w:type="dxa"/>
            <w:vAlign w:val="center"/>
          </w:tcPr>
          <w:p w14:paraId="6E4A5E95">
            <w:pPr>
              <w:pStyle w:val="14"/>
            </w:pPr>
          </w:p>
        </w:tc>
      </w:tr>
      <w:tr w14:paraId="626E0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0720F">
            <w:pPr>
              <w:pStyle w:val="12"/>
            </w:pPr>
            <w:r>
              <w:t>8</w:t>
            </w:r>
          </w:p>
        </w:tc>
        <w:tc>
          <w:tcPr>
            <w:tcW w:w="1191" w:type="dxa"/>
            <w:vAlign w:val="center"/>
          </w:tcPr>
          <w:p w14:paraId="5091D0A1">
            <w:pPr>
              <w:pStyle w:val="13"/>
            </w:pPr>
            <w:r>
              <w:t>30112</w:t>
            </w:r>
          </w:p>
        </w:tc>
        <w:tc>
          <w:tcPr>
            <w:tcW w:w="4535" w:type="dxa"/>
            <w:vAlign w:val="center"/>
          </w:tcPr>
          <w:p w14:paraId="3661CB5A">
            <w:pPr>
              <w:pStyle w:val="13"/>
            </w:pPr>
            <w:r>
              <w:t>其他社会保障缴费</w:t>
            </w:r>
          </w:p>
        </w:tc>
        <w:tc>
          <w:tcPr>
            <w:tcW w:w="2551" w:type="dxa"/>
            <w:vAlign w:val="center"/>
          </w:tcPr>
          <w:p w14:paraId="433F030E">
            <w:pPr>
              <w:pStyle w:val="14"/>
            </w:pPr>
            <w:r>
              <w:t>4.26</w:t>
            </w:r>
          </w:p>
        </w:tc>
        <w:tc>
          <w:tcPr>
            <w:tcW w:w="2551" w:type="dxa"/>
            <w:vAlign w:val="center"/>
          </w:tcPr>
          <w:p w14:paraId="2660DC61">
            <w:pPr>
              <w:pStyle w:val="14"/>
            </w:pPr>
            <w:r>
              <w:t>4.26</w:t>
            </w:r>
          </w:p>
        </w:tc>
        <w:tc>
          <w:tcPr>
            <w:tcW w:w="2551" w:type="dxa"/>
            <w:vAlign w:val="center"/>
          </w:tcPr>
          <w:p w14:paraId="5936CC7C">
            <w:pPr>
              <w:pStyle w:val="14"/>
            </w:pPr>
          </w:p>
        </w:tc>
      </w:tr>
      <w:tr w14:paraId="0A856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0BD53">
            <w:pPr>
              <w:pStyle w:val="12"/>
            </w:pPr>
            <w:r>
              <w:t>9</w:t>
            </w:r>
          </w:p>
        </w:tc>
        <w:tc>
          <w:tcPr>
            <w:tcW w:w="1191" w:type="dxa"/>
            <w:vAlign w:val="center"/>
          </w:tcPr>
          <w:p w14:paraId="6300746B">
            <w:pPr>
              <w:pStyle w:val="13"/>
            </w:pPr>
            <w:r>
              <w:t>30113</w:t>
            </w:r>
          </w:p>
        </w:tc>
        <w:tc>
          <w:tcPr>
            <w:tcW w:w="4535" w:type="dxa"/>
            <w:vAlign w:val="center"/>
          </w:tcPr>
          <w:p w14:paraId="26123003">
            <w:pPr>
              <w:pStyle w:val="13"/>
            </w:pPr>
            <w:r>
              <w:t>住房公积金</w:t>
            </w:r>
          </w:p>
        </w:tc>
        <w:tc>
          <w:tcPr>
            <w:tcW w:w="2551" w:type="dxa"/>
            <w:vAlign w:val="center"/>
          </w:tcPr>
          <w:p w14:paraId="15BE3131">
            <w:pPr>
              <w:pStyle w:val="14"/>
            </w:pPr>
            <w:r>
              <w:t>55.67</w:t>
            </w:r>
          </w:p>
        </w:tc>
        <w:tc>
          <w:tcPr>
            <w:tcW w:w="2551" w:type="dxa"/>
            <w:vAlign w:val="center"/>
          </w:tcPr>
          <w:p w14:paraId="68F14334">
            <w:pPr>
              <w:pStyle w:val="14"/>
            </w:pPr>
            <w:r>
              <w:t>55.67</w:t>
            </w:r>
          </w:p>
        </w:tc>
        <w:tc>
          <w:tcPr>
            <w:tcW w:w="2551" w:type="dxa"/>
            <w:vAlign w:val="center"/>
          </w:tcPr>
          <w:p w14:paraId="497A10D9">
            <w:pPr>
              <w:pStyle w:val="14"/>
            </w:pPr>
          </w:p>
        </w:tc>
      </w:tr>
      <w:tr w14:paraId="3F506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0D25C">
            <w:pPr>
              <w:pStyle w:val="12"/>
            </w:pPr>
            <w:r>
              <w:t>10</w:t>
            </w:r>
          </w:p>
        </w:tc>
        <w:tc>
          <w:tcPr>
            <w:tcW w:w="1191" w:type="dxa"/>
            <w:vAlign w:val="center"/>
          </w:tcPr>
          <w:p w14:paraId="7454EC48">
            <w:pPr>
              <w:pStyle w:val="13"/>
            </w:pPr>
            <w:r>
              <w:t>303</w:t>
            </w:r>
          </w:p>
        </w:tc>
        <w:tc>
          <w:tcPr>
            <w:tcW w:w="4535" w:type="dxa"/>
            <w:vAlign w:val="center"/>
          </w:tcPr>
          <w:p w14:paraId="1F4E2A32">
            <w:pPr>
              <w:pStyle w:val="13"/>
            </w:pPr>
            <w:r>
              <w:t>对个人和家庭的补助</w:t>
            </w:r>
          </w:p>
        </w:tc>
        <w:tc>
          <w:tcPr>
            <w:tcW w:w="2551" w:type="dxa"/>
            <w:vAlign w:val="center"/>
          </w:tcPr>
          <w:p w14:paraId="4705EA34">
            <w:pPr>
              <w:pStyle w:val="14"/>
            </w:pPr>
            <w:r>
              <w:t>4.40</w:t>
            </w:r>
          </w:p>
        </w:tc>
        <w:tc>
          <w:tcPr>
            <w:tcW w:w="2551" w:type="dxa"/>
            <w:vAlign w:val="center"/>
          </w:tcPr>
          <w:p w14:paraId="34A29118">
            <w:pPr>
              <w:pStyle w:val="14"/>
            </w:pPr>
            <w:r>
              <w:t>4.40</w:t>
            </w:r>
          </w:p>
        </w:tc>
        <w:tc>
          <w:tcPr>
            <w:tcW w:w="2551" w:type="dxa"/>
            <w:vAlign w:val="center"/>
          </w:tcPr>
          <w:p w14:paraId="531EA749">
            <w:pPr>
              <w:pStyle w:val="14"/>
            </w:pPr>
          </w:p>
        </w:tc>
      </w:tr>
      <w:tr w14:paraId="3B246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5F665">
            <w:pPr>
              <w:pStyle w:val="12"/>
            </w:pPr>
            <w:r>
              <w:t>11</w:t>
            </w:r>
          </w:p>
        </w:tc>
        <w:tc>
          <w:tcPr>
            <w:tcW w:w="1191" w:type="dxa"/>
            <w:vAlign w:val="center"/>
          </w:tcPr>
          <w:p w14:paraId="1133E163">
            <w:pPr>
              <w:pStyle w:val="13"/>
            </w:pPr>
            <w:r>
              <w:t>30302</w:t>
            </w:r>
          </w:p>
        </w:tc>
        <w:tc>
          <w:tcPr>
            <w:tcW w:w="4535" w:type="dxa"/>
            <w:vAlign w:val="center"/>
          </w:tcPr>
          <w:p w14:paraId="225BECFF">
            <w:pPr>
              <w:pStyle w:val="13"/>
            </w:pPr>
            <w:r>
              <w:t>退休费</w:t>
            </w:r>
          </w:p>
        </w:tc>
        <w:tc>
          <w:tcPr>
            <w:tcW w:w="2551" w:type="dxa"/>
            <w:vAlign w:val="center"/>
          </w:tcPr>
          <w:p w14:paraId="297B2522">
            <w:pPr>
              <w:pStyle w:val="14"/>
            </w:pPr>
            <w:r>
              <w:t>4.40</w:t>
            </w:r>
          </w:p>
        </w:tc>
        <w:tc>
          <w:tcPr>
            <w:tcW w:w="2551" w:type="dxa"/>
            <w:vAlign w:val="center"/>
          </w:tcPr>
          <w:p w14:paraId="251D09DE">
            <w:pPr>
              <w:pStyle w:val="14"/>
            </w:pPr>
            <w:r>
              <w:t>4.40</w:t>
            </w:r>
          </w:p>
        </w:tc>
        <w:tc>
          <w:tcPr>
            <w:tcW w:w="2551" w:type="dxa"/>
            <w:vAlign w:val="center"/>
          </w:tcPr>
          <w:p w14:paraId="3367EF9C">
            <w:pPr>
              <w:pStyle w:val="14"/>
            </w:pPr>
          </w:p>
        </w:tc>
      </w:tr>
    </w:tbl>
    <w:p w14:paraId="0E1BCE9B">
      <w:pPr>
        <w:sectPr>
          <w:pgSz w:w="16840" w:h="11900" w:orient="landscape"/>
          <w:pgMar w:top="1361" w:right="1020" w:bottom="1134" w:left="1020" w:header="720" w:footer="720" w:gutter="0"/>
          <w:cols w:space="720" w:num="1"/>
        </w:sectPr>
      </w:pPr>
    </w:p>
    <w:p w14:paraId="1DDB8C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C96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F30033">
            <w:pPr>
              <w:pStyle w:val="8"/>
            </w:pPr>
            <w:r>
              <w:t>360030隆尧县第二实验小学</w:t>
            </w:r>
          </w:p>
        </w:tc>
        <w:tc>
          <w:tcPr>
            <w:tcW w:w="2551" w:type="dxa"/>
            <w:tcBorders>
              <w:top w:val="single" w:color="FFFFFF" w:sz="6" w:space="0"/>
              <w:left w:val="single" w:color="FFFFFF" w:sz="6" w:space="0"/>
              <w:right w:val="single" w:color="FFFFFF" w:sz="6" w:space="0"/>
            </w:tcBorders>
            <w:vAlign w:val="center"/>
          </w:tcPr>
          <w:p w14:paraId="08CD512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E713D42">
            <w:pPr>
              <w:pStyle w:val="10"/>
            </w:pPr>
            <w:r>
              <w:t>单位：万元</w:t>
            </w:r>
          </w:p>
        </w:tc>
      </w:tr>
      <w:tr w14:paraId="1FE1C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95348">
            <w:pPr>
              <w:pStyle w:val="11"/>
            </w:pPr>
            <w:r>
              <w:t>序号</w:t>
            </w:r>
          </w:p>
        </w:tc>
        <w:tc>
          <w:tcPr>
            <w:tcW w:w="5726" w:type="dxa"/>
            <w:gridSpan w:val="2"/>
            <w:vAlign w:val="center"/>
          </w:tcPr>
          <w:p w14:paraId="2924D670">
            <w:pPr>
              <w:pStyle w:val="11"/>
            </w:pPr>
            <w:r>
              <w:t>功能分类科目</w:t>
            </w:r>
          </w:p>
        </w:tc>
        <w:tc>
          <w:tcPr>
            <w:tcW w:w="2551" w:type="dxa"/>
            <w:vMerge w:val="restart"/>
            <w:vAlign w:val="center"/>
          </w:tcPr>
          <w:p w14:paraId="4E1AA73F">
            <w:pPr>
              <w:pStyle w:val="11"/>
            </w:pPr>
            <w:r>
              <w:t>合计</w:t>
            </w:r>
          </w:p>
        </w:tc>
        <w:tc>
          <w:tcPr>
            <w:tcW w:w="2551" w:type="dxa"/>
            <w:vMerge w:val="restart"/>
            <w:vAlign w:val="center"/>
          </w:tcPr>
          <w:p w14:paraId="69FB46E6">
            <w:pPr>
              <w:pStyle w:val="11"/>
            </w:pPr>
            <w:r>
              <w:t>基本支出</w:t>
            </w:r>
          </w:p>
        </w:tc>
        <w:tc>
          <w:tcPr>
            <w:tcW w:w="2551" w:type="dxa"/>
            <w:vMerge w:val="restart"/>
            <w:vAlign w:val="center"/>
          </w:tcPr>
          <w:p w14:paraId="63DF2140">
            <w:pPr>
              <w:pStyle w:val="11"/>
            </w:pPr>
            <w:r>
              <w:t>项目支出</w:t>
            </w:r>
          </w:p>
        </w:tc>
      </w:tr>
      <w:tr w14:paraId="4E4D7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378332"/>
        </w:tc>
        <w:tc>
          <w:tcPr>
            <w:tcW w:w="1191" w:type="dxa"/>
            <w:vAlign w:val="center"/>
          </w:tcPr>
          <w:p w14:paraId="055D9942">
            <w:pPr>
              <w:pStyle w:val="11"/>
            </w:pPr>
            <w:r>
              <w:t>科目编码</w:t>
            </w:r>
          </w:p>
        </w:tc>
        <w:tc>
          <w:tcPr>
            <w:tcW w:w="4535" w:type="dxa"/>
            <w:vAlign w:val="center"/>
          </w:tcPr>
          <w:p w14:paraId="178AEBC4">
            <w:pPr>
              <w:pStyle w:val="11"/>
            </w:pPr>
            <w:r>
              <w:t>科目名称</w:t>
            </w:r>
          </w:p>
        </w:tc>
        <w:tc>
          <w:tcPr>
            <w:tcW w:w="2551" w:type="dxa"/>
            <w:vMerge w:val="continue"/>
          </w:tcPr>
          <w:p w14:paraId="31367B01"/>
        </w:tc>
        <w:tc>
          <w:tcPr>
            <w:tcW w:w="2551" w:type="dxa"/>
            <w:vMerge w:val="continue"/>
          </w:tcPr>
          <w:p w14:paraId="25B79009"/>
        </w:tc>
        <w:tc>
          <w:tcPr>
            <w:tcW w:w="2551" w:type="dxa"/>
            <w:vMerge w:val="continue"/>
          </w:tcPr>
          <w:p w14:paraId="5D5581D5"/>
        </w:tc>
      </w:tr>
      <w:tr w14:paraId="7526A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BE77A">
            <w:pPr>
              <w:pStyle w:val="11"/>
            </w:pPr>
            <w:r>
              <w:t>栏次</w:t>
            </w:r>
          </w:p>
        </w:tc>
        <w:tc>
          <w:tcPr>
            <w:tcW w:w="1191" w:type="dxa"/>
            <w:vAlign w:val="center"/>
          </w:tcPr>
          <w:p w14:paraId="2E6F0B9B">
            <w:pPr>
              <w:pStyle w:val="11"/>
            </w:pPr>
            <w:r>
              <w:t>1</w:t>
            </w:r>
          </w:p>
        </w:tc>
        <w:tc>
          <w:tcPr>
            <w:tcW w:w="4535" w:type="dxa"/>
            <w:vAlign w:val="center"/>
          </w:tcPr>
          <w:p w14:paraId="7AD05D67">
            <w:pPr>
              <w:pStyle w:val="11"/>
            </w:pPr>
            <w:r>
              <w:t>2</w:t>
            </w:r>
          </w:p>
        </w:tc>
        <w:tc>
          <w:tcPr>
            <w:tcW w:w="2551" w:type="dxa"/>
            <w:vAlign w:val="center"/>
          </w:tcPr>
          <w:p w14:paraId="489CE6B7">
            <w:pPr>
              <w:pStyle w:val="11"/>
            </w:pPr>
            <w:r>
              <w:t>3</w:t>
            </w:r>
          </w:p>
        </w:tc>
        <w:tc>
          <w:tcPr>
            <w:tcW w:w="2551" w:type="dxa"/>
            <w:vAlign w:val="center"/>
          </w:tcPr>
          <w:p w14:paraId="0E572F66">
            <w:pPr>
              <w:pStyle w:val="11"/>
            </w:pPr>
            <w:r>
              <w:t>4</w:t>
            </w:r>
          </w:p>
        </w:tc>
        <w:tc>
          <w:tcPr>
            <w:tcW w:w="2551" w:type="dxa"/>
            <w:vAlign w:val="center"/>
          </w:tcPr>
          <w:p w14:paraId="09FA5E74">
            <w:pPr>
              <w:pStyle w:val="11"/>
            </w:pPr>
            <w:r>
              <w:t>5</w:t>
            </w:r>
          </w:p>
        </w:tc>
      </w:tr>
      <w:tr w14:paraId="1E0BB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5FDF4">
            <w:pPr>
              <w:pStyle w:val="12"/>
            </w:pPr>
          </w:p>
        </w:tc>
        <w:tc>
          <w:tcPr>
            <w:tcW w:w="1191" w:type="dxa"/>
            <w:vAlign w:val="center"/>
          </w:tcPr>
          <w:p w14:paraId="70F6E017">
            <w:pPr>
              <w:pStyle w:val="13"/>
            </w:pPr>
          </w:p>
        </w:tc>
        <w:tc>
          <w:tcPr>
            <w:tcW w:w="4535" w:type="dxa"/>
            <w:vAlign w:val="center"/>
          </w:tcPr>
          <w:p w14:paraId="73ADB95D">
            <w:pPr>
              <w:pStyle w:val="13"/>
            </w:pPr>
          </w:p>
        </w:tc>
        <w:tc>
          <w:tcPr>
            <w:tcW w:w="2551" w:type="dxa"/>
            <w:vAlign w:val="center"/>
          </w:tcPr>
          <w:p w14:paraId="7A89B4CE">
            <w:pPr>
              <w:pStyle w:val="14"/>
            </w:pPr>
          </w:p>
        </w:tc>
        <w:tc>
          <w:tcPr>
            <w:tcW w:w="2551" w:type="dxa"/>
            <w:vAlign w:val="center"/>
          </w:tcPr>
          <w:p w14:paraId="3A17E7A3">
            <w:pPr>
              <w:pStyle w:val="14"/>
            </w:pPr>
          </w:p>
        </w:tc>
        <w:tc>
          <w:tcPr>
            <w:tcW w:w="2551" w:type="dxa"/>
            <w:vAlign w:val="center"/>
          </w:tcPr>
          <w:p w14:paraId="56F150CA">
            <w:pPr>
              <w:pStyle w:val="14"/>
            </w:pPr>
          </w:p>
        </w:tc>
      </w:tr>
    </w:tbl>
    <w:p w14:paraId="254B2A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BE03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D1D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565C85">
            <w:pPr>
              <w:pStyle w:val="8"/>
            </w:pPr>
            <w:r>
              <w:t>360030隆尧县第二实验小学</w:t>
            </w:r>
          </w:p>
        </w:tc>
        <w:tc>
          <w:tcPr>
            <w:tcW w:w="2551" w:type="dxa"/>
            <w:tcBorders>
              <w:top w:val="single" w:color="FFFFFF" w:sz="6" w:space="0"/>
              <w:left w:val="single" w:color="FFFFFF" w:sz="6" w:space="0"/>
              <w:right w:val="single" w:color="FFFFFF" w:sz="6" w:space="0"/>
            </w:tcBorders>
            <w:vAlign w:val="center"/>
          </w:tcPr>
          <w:p w14:paraId="5267520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9CE5A0D">
            <w:pPr>
              <w:pStyle w:val="10"/>
            </w:pPr>
            <w:r>
              <w:t>单位：万元</w:t>
            </w:r>
          </w:p>
        </w:tc>
      </w:tr>
      <w:tr w14:paraId="34E84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F52AB7">
            <w:pPr>
              <w:pStyle w:val="11"/>
            </w:pPr>
            <w:r>
              <w:t>序号</w:t>
            </w:r>
          </w:p>
        </w:tc>
        <w:tc>
          <w:tcPr>
            <w:tcW w:w="5726" w:type="dxa"/>
            <w:gridSpan w:val="2"/>
            <w:vAlign w:val="center"/>
          </w:tcPr>
          <w:p w14:paraId="43B05B31">
            <w:pPr>
              <w:pStyle w:val="11"/>
            </w:pPr>
            <w:r>
              <w:t>功能分类科目</w:t>
            </w:r>
          </w:p>
        </w:tc>
        <w:tc>
          <w:tcPr>
            <w:tcW w:w="2551" w:type="dxa"/>
            <w:vMerge w:val="restart"/>
            <w:vAlign w:val="center"/>
          </w:tcPr>
          <w:p w14:paraId="1ABEC696">
            <w:pPr>
              <w:pStyle w:val="11"/>
            </w:pPr>
            <w:r>
              <w:t>合计</w:t>
            </w:r>
          </w:p>
        </w:tc>
        <w:tc>
          <w:tcPr>
            <w:tcW w:w="2551" w:type="dxa"/>
            <w:vMerge w:val="restart"/>
            <w:vAlign w:val="center"/>
          </w:tcPr>
          <w:p w14:paraId="4C313EC8">
            <w:pPr>
              <w:pStyle w:val="11"/>
            </w:pPr>
            <w:r>
              <w:t>基本支出</w:t>
            </w:r>
          </w:p>
        </w:tc>
        <w:tc>
          <w:tcPr>
            <w:tcW w:w="2551" w:type="dxa"/>
            <w:vMerge w:val="restart"/>
            <w:vAlign w:val="center"/>
          </w:tcPr>
          <w:p w14:paraId="43E53D7D">
            <w:pPr>
              <w:pStyle w:val="11"/>
            </w:pPr>
            <w:r>
              <w:t>项目支出</w:t>
            </w:r>
          </w:p>
        </w:tc>
      </w:tr>
      <w:tr w14:paraId="10E68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30D555"/>
        </w:tc>
        <w:tc>
          <w:tcPr>
            <w:tcW w:w="1191" w:type="dxa"/>
            <w:vAlign w:val="center"/>
          </w:tcPr>
          <w:p w14:paraId="098D57FC">
            <w:pPr>
              <w:pStyle w:val="11"/>
            </w:pPr>
            <w:r>
              <w:t>科目编码</w:t>
            </w:r>
          </w:p>
        </w:tc>
        <w:tc>
          <w:tcPr>
            <w:tcW w:w="4535" w:type="dxa"/>
            <w:vAlign w:val="center"/>
          </w:tcPr>
          <w:p w14:paraId="3CF6F03C">
            <w:pPr>
              <w:pStyle w:val="11"/>
            </w:pPr>
            <w:r>
              <w:t>科目名称</w:t>
            </w:r>
          </w:p>
        </w:tc>
        <w:tc>
          <w:tcPr>
            <w:tcW w:w="2551" w:type="dxa"/>
            <w:vMerge w:val="continue"/>
          </w:tcPr>
          <w:p w14:paraId="6B179DFC"/>
        </w:tc>
        <w:tc>
          <w:tcPr>
            <w:tcW w:w="2551" w:type="dxa"/>
            <w:vMerge w:val="continue"/>
          </w:tcPr>
          <w:p w14:paraId="6B662B33"/>
        </w:tc>
        <w:tc>
          <w:tcPr>
            <w:tcW w:w="2551" w:type="dxa"/>
            <w:vMerge w:val="continue"/>
          </w:tcPr>
          <w:p w14:paraId="28A21617"/>
        </w:tc>
      </w:tr>
      <w:tr w14:paraId="058D7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B47713">
            <w:pPr>
              <w:pStyle w:val="11"/>
            </w:pPr>
            <w:r>
              <w:t>栏次</w:t>
            </w:r>
          </w:p>
        </w:tc>
        <w:tc>
          <w:tcPr>
            <w:tcW w:w="1191" w:type="dxa"/>
            <w:vAlign w:val="center"/>
          </w:tcPr>
          <w:p w14:paraId="15348CE5">
            <w:pPr>
              <w:pStyle w:val="11"/>
            </w:pPr>
            <w:r>
              <w:t>1</w:t>
            </w:r>
          </w:p>
        </w:tc>
        <w:tc>
          <w:tcPr>
            <w:tcW w:w="4535" w:type="dxa"/>
            <w:vAlign w:val="center"/>
          </w:tcPr>
          <w:p w14:paraId="13F0A5E0">
            <w:pPr>
              <w:pStyle w:val="11"/>
            </w:pPr>
            <w:r>
              <w:t>2</w:t>
            </w:r>
          </w:p>
        </w:tc>
        <w:tc>
          <w:tcPr>
            <w:tcW w:w="2551" w:type="dxa"/>
            <w:vAlign w:val="center"/>
          </w:tcPr>
          <w:p w14:paraId="19787BFA">
            <w:pPr>
              <w:pStyle w:val="11"/>
            </w:pPr>
            <w:r>
              <w:t>3</w:t>
            </w:r>
          </w:p>
        </w:tc>
        <w:tc>
          <w:tcPr>
            <w:tcW w:w="2551" w:type="dxa"/>
            <w:vAlign w:val="center"/>
          </w:tcPr>
          <w:p w14:paraId="7BEF45F7">
            <w:pPr>
              <w:pStyle w:val="11"/>
            </w:pPr>
            <w:r>
              <w:t>4</w:t>
            </w:r>
          </w:p>
        </w:tc>
        <w:tc>
          <w:tcPr>
            <w:tcW w:w="2551" w:type="dxa"/>
            <w:vAlign w:val="center"/>
          </w:tcPr>
          <w:p w14:paraId="3918C874">
            <w:pPr>
              <w:pStyle w:val="11"/>
            </w:pPr>
            <w:r>
              <w:t>5</w:t>
            </w:r>
          </w:p>
        </w:tc>
      </w:tr>
      <w:tr w14:paraId="32C8F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E38B7">
            <w:pPr>
              <w:pStyle w:val="12"/>
            </w:pPr>
          </w:p>
        </w:tc>
        <w:tc>
          <w:tcPr>
            <w:tcW w:w="1191" w:type="dxa"/>
            <w:vAlign w:val="center"/>
          </w:tcPr>
          <w:p w14:paraId="2778DD6D">
            <w:pPr>
              <w:pStyle w:val="13"/>
            </w:pPr>
          </w:p>
        </w:tc>
        <w:tc>
          <w:tcPr>
            <w:tcW w:w="4535" w:type="dxa"/>
            <w:vAlign w:val="center"/>
          </w:tcPr>
          <w:p w14:paraId="7524EB63">
            <w:pPr>
              <w:pStyle w:val="13"/>
            </w:pPr>
          </w:p>
        </w:tc>
        <w:tc>
          <w:tcPr>
            <w:tcW w:w="2551" w:type="dxa"/>
            <w:vAlign w:val="center"/>
          </w:tcPr>
          <w:p w14:paraId="1BC3C734">
            <w:pPr>
              <w:pStyle w:val="14"/>
            </w:pPr>
          </w:p>
        </w:tc>
        <w:tc>
          <w:tcPr>
            <w:tcW w:w="2551" w:type="dxa"/>
            <w:vAlign w:val="center"/>
          </w:tcPr>
          <w:p w14:paraId="39E0054A">
            <w:pPr>
              <w:pStyle w:val="14"/>
            </w:pPr>
          </w:p>
        </w:tc>
        <w:tc>
          <w:tcPr>
            <w:tcW w:w="2551" w:type="dxa"/>
            <w:vAlign w:val="center"/>
          </w:tcPr>
          <w:p w14:paraId="21A25080">
            <w:pPr>
              <w:pStyle w:val="14"/>
            </w:pPr>
          </w:p>
        </w:tc>
      </w:tr>
    </w:tbl>
    <w:p w14:paraId="051DEC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CF6E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AF4F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6B7B5F">
            <w:pPr>
              <w:pStyle w:val="8"/>
            </w:pPr>
            <w:r>
              <w:t>360030隆尧县第二实验小学</w:t>
            </w:r>
          </w:p>
        </w:tc>
        <w:tc>
          <w:tcPr>
            <w:tcW w:w="2381" w:type="dxa"/>
            <w:tcBorders>
              <w:top w:val="single" w:color="FFFFFF" w:sz="6" w:space="0"/>
              <w:left w:val="single" w:color="FFFFFF" w:sz="6" w:space="0"/>
              <w:right w:val="single" w:color="FFFFFF" w:sz="6" w:space="0"/>
            </w:tcBorders>
            <w:vAlign w:val="center"/>
          </w:tcPr>
          <w:p w14:paraId="03507868">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C50A680">
            <w:pPr>
              <w:pStyle w:val="10"/>
            </w:pPr>
            <w:r>
              <w:t>单位：万元</w:t>
            </w:r>
          </w:p>
        </w:tc>
      </w:tr>
      <w:tr w14:paraId="1DFBD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1517FC">
            <w:pPr>
              <w:pStyle w:val="11"/>
            </w:pPr>
            <w:r>
              <w:t>序号</w:t>
            </w:r>
          </w:p>
        </w:tc>
        <w:tc>
          <w:tcPr>
            <w:tcW w:w="3798" w:type="dxa"/>
            <w:vMerge w:val="restart"/>
            <w:vAlign w:val="center"/>
          </w:tcPr>
          <w:p w14:paraId="1E9F0C41">
            <w:pPr>
              <w:pStyle w:val="11"/>
            </w:pPr>
            <w:r>
              <w:t>项  目</w:t>
            </w:r>
          </w:p>
        </w:tc>
        <w:tc>
          <w:tcPr>
            <w:tcW w:w="9524" w:type="dxa"/>
            <w:gridSpan w:val="4"/>
            <w:vAlign w:val="center"/>
          </w:tcPr>
          <w:p w14:paraId="08293458">
            <w:pPr>
              <w:pStyle w:val="11"/>
            </w:pPr>
            <w:r>
              <w:t>资 金 性 质</w:t>
            </w:r>
          </w:p>
        </w:tc>
      </w:tr>
      <w:tr w14:paraId="058A8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1FA23B"/>
        </w:tc>
        <w:tc>
          <w:tcPr>
            <w:tcW w:w="3798" w:type="dxa"/>
            <w:vMerge w:val="continue"/>
          </w:tcPr>
          <w:p w14:paraId="23CFDF66"/>
        </w:tc>
        <w:tc>
          <w:tcPr>
            <w:tcW w:w="2381" w:type="dxa"/>
            <w:vAlign w:val="center"/>
          </w:tcPr>
          <w:p w14:paraId="13B2FC3C">
            <w:pPr>
              <w:pStyle w:val="11"/>
            </w:pPr>
            <w:r>
              <w:t>合计</w:t>
            </w:r>
          </w:p>
        </w:tc>
        <w:tc>
          <w:tcPr>
            <w:tcW w:w="2381" w:type="dxa"/>
            <w:vAlign w:val="center"/>
          </w:tcPr>
          <w:p w14:paraId="5BE26AF5">
            <w:pPr>
              <w:pStyle w:val="11"/>
            </w:pPr>
            <w:r>
              <w:t>一般公共预算              财政拨款</w:t>
            </w:r>
          </w:p>
        </w:tc>
        <w:tc>
          <w:tcPr>
            <w:tcW w:w="2381" w:type="dxa"/>
            <w:vAlign w:val="center"/>
          </w:tcPr>
          <w:p w14:paraId="118CA914">
            <w:pPr>
              <w:pStyle w:val="11"/>
            </w:pPr>
            <w:r>
              <w:t>政府性基金                  预算拨款</w:t>
            </w:r>
          </w:p>
        </w:tc>
        <w:tc>
          <w:tcPr>
            <w:tcW w:w="2381" w:type="dxa"/>
            <w:vAlign w:val="center"/>
          </w:tcPr>
          <w:p w14:paraId="399367F0">
            <w:pPr>
              <w:pStyle w:val="11"/>
            </w:pPr>
            <w:r>
              <w:t>国有资本经营              预算财政拨款</w:t>
            </w:r>
          </w:p>
        </w:tc>
      </w:tr>
      <w:tr w14:paraId="5C97F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B1A20F">
            <w:pPr>
              <w:pStyle w:val="11"/>
            </w:pPr>
            <w:r>
              <w:t>栏次</w:t>
            </w:r>
          </w:p>
        </w:tc>
        <w:tc>
          <w:tcPr>
            <w:tcW w:w="3798" w:type="dxa"/>
            <w:vAlign w:val="center"/>
          </w:tcPr>
          <w:p w14:paraId="642F6C5B">
            <w:pPr>
              <w:pStyle w:val="11"/>
            </w:pPr>
            <w:r>
              <w:t>1</w:t>
            </w:r>
          </w:p>
        </w:tc>
        <w:tc>
          <w:tcPr>
            <w:tcW w:w="2381" w:type="dxa"/>
            <w:vAlign w:val="center"/>
          </w:tcPr>
          <w:p w14:paraId="11D76A8F">
            <w:pPr>
              <w:pStyle w:val="11"/>
            </w:pPr>
            <w:r>
              <w:t>2</w:t>
            </w:r>
          </w:p>
        </w:tc>
        <w:tc>
          <w:tcPr>
            <w:tcW w:w="2381" w:type="dxa"/>
            <w:vAlign w:val="center"/>
          </w:tcPr>
          <w:p w14:paraId="788D03CD">
            <w:pPr>
              <w:pStyle w:val="11"/>
            </w:pPr>
            <w:r>
              <w:t>3</w:t>
            </w:r>
          </w:p>
        </w:tc>
        <w:tc>
          <w:tcPr>
            <w:tcW w:w="2381" w:type="dxa"/>
            <w:vAlign w:val="center"/>
          </w:tcPr>
          <w:p w14:paraId="711A96BD">
            <w:pPr>
              <w:pStyle w:val="11"/>
            </w:pPr>
            <w:r>
              <w:t>4</w:t>
            </w:r>
          </w:p>
        </w:tc>
        <w:tc>
          <w:tcPr>
            <w:tcW w:w="2381" w:type="dxa"/>
            <w:vAlign w:val="center"/>
          </w:tcPr>
          <w:p w14:paraId="55517961">
            <w:pPr>
              <w:pStyle w:val="11"/>
            </w:pPr>
            <w:r>
              <w:t>5</w:t>
            </w:r>
          </w:p>
        </w:tc>
      </w:tr>
      <w:tr w14:paraId="59C25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95EC53">
            <w:pPr>
              <w:pStyle w:val="12"/>
            </w:pPr>
          </w:p>
        </w:tc>
        <w:tc>
          <w:tcPr>
            <w:tcW w:w="3798" w:type="dxa"/>
            <w:vAlign w:val="center"/>
          </w:tcPr>
          <w:p w14:paraId="2E9688E2">
            <w:pPr>
              <w:pStyle w:val="13"/>
            </w:pPr>
          </w:p>
        </w:tc>
        <w:tc>
          <w:tcPr>
            <w:tcW w:w="2381" w:type="dxa"/>
            <w:vAlign w:val="center"/>
          </w:tcPr>
          <w:p w14:paraId="37DBBA9E">
            <w:pPr>
              <w:pStyle w:val="14"/>
            </w:pPr>
          </w:p>
        </w:tc>
        <w:tc>
          <w:tcPr>
            <w:tcW w:w="2381" w:type="dxa"/>
            <w:vAlign w:val="center"/>
          </w:tcPr>
          <w:p w14:paraId="214CDBC2">
            <w:pPr>
              <w:pStyle w:val="14"/>
            </w:pPr>
          </w:p>
        </w:tc>
        <w:tc>
          <w:tcPr>
            <w:tcW w:w="2381" w:type="dxa"/>
            <w:vAlign w:val="center"/>
          </w:tcPr>
          <w:p w14:paraId="39048113">
            <w:pPr>
              <w:pStyle w:val="14"/>
            </w:pPr>
          </w:p>
        </w:tc>
        <w:tc>
          <w:tcPr>
            <w:tcW w:w="2381" w:type="dxa"/>
            <w:vAlign w:val="center"/>
          </w:tcPr>
          <w:p w14:paraId="3BEF7DC9">
            <w:pPr>
              <w:pStyle w:val="14"/>
            </w:pPr>
          </w:p>
        </w:tc>
      </w:tr>
    </w:tbl>
    <w:p w14:paraId="011F17D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3DB963C">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隆尧县第二实验小学2025年单位预算信息公开情况说明</w:t>
      </w:r>
    </w:p>
    <w:p w14:paraId="00BF2E6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按照《中华人民共和国预算法》、《地方预决算公开操作规程》和《关于进一步推进预算公开工作的实施意见》规定，现将隆尧县第二实验小学2025年单位预算公开如下：</w:t>
      </w:r>
    </w:p>
    <w:p w14:paraId="384596C4">
      <w:pPr>
        <w:spacing w:before="10" w:after="10" w:line="240" w:lineRule="auto"/>
        <w:ind w:firstLine="640"/>
        <w:jc w:val="left"/>
        <w:outlineLvl w:val="5"/>
      </w:pPr>
      <w:r>
        <w:rPr>
          <w:rFonts w:ascii="黑体" w:hAnsi="黑体" w:eastAsia="黑体" w:cs="黑体"/>
          <w:color w:val="000000"/>
          <w:sz w:val="32"/>
        </w:rPr>
        <w:t>一、单位职责及机构设置情况</w:t>
      </w:r>
    </w:p>
    <w:p w14:paraId="0DB1A3B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5BA102B">
      <w:pPr>
        <w:pStyle w:val="18"/>
      </w:pPr>
      <w:r>
        <w:t>贯彻落实基础教育的方针、政策，开展小学阶段教育教学工作，促进学生德、智、体、美、劳全面发展；负责学生安全教育和管理，确保学生身心健康；加强教师队伍建设和管理，为教育教学工作提供保障。</w:t>
      </w:r>
    </w:p>
    <w:p w14:paraId="628F7E06">
      <w:pPr>
        <w:pStyle w:val="18"/>
      </w:pPr>
      <w:r>
        <w:t>隆尧县第二实验小学事业编制134名．其中，校长1名（正股级），副校长3名（副股级）；经费形式为财政性资金基本保证。</w:t>
      </w:r>
    </w:p>
    <w:p w14:paraId="28D63C5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64DC8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9F3C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5DA5C4">
            <w:pPr>
              <w:pStyle w:val="11"/>
            </w:pPr>
            <w:r>
              <w:t>单位名称</w:t>
            </w:r>
          </w:p>
        </w:tc>
        <w:tc>
          <w:tcPr>
            <w:tcW w:w="1843" w:type="dxa"/>
            <w:vAlign w:val="center"/>
          </w:tcPr>
          <w:p w14:paraId="64BBBA01">
            <w:pPr>
              <w:pStyle w:val="11"/>
            </w:pPr>
            <w:r>
              <w:t>单位性质</w:t>
            </w:r>
          </w:p>
        </w:tc>
        <w:tc>
          <w:tcPr>
            <w:tcW w:w="2126" w:type="dxa"/>
            <w:vAlign w:val="center"/>
          </w:tcPr>
          <w:p w14:paraId="7BE6832F">
            <w:pPr>
              <w:pStyle w:val="11"/>
            </w:pPr>
            <w:r>
              <w:t>单位规格</w:t>
            </w:r>
          </w:p>
        </w:tc>
        <w:tc>
          <w:tcPr>
            <w:tcW w:w="3827" w:type="dxa"/>
            <w:vAlign w:val="center"/>
          </w:tcPr>
          <w:p w14:paraId="2423D4C4">
            <w:pPr>
              <w:pStyle w:val="11"/>
            </w:pPr>
            <w:r>
              <w:t>经费保障形式</w:t>
            </w:r>
          </w:p>
        </w:tc>
      </w:tr>
      <w:tr w14:paraId="166D6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8C18420">
            <w:pPr>
              <w:pStyle w:val="13"/>
            </w:pPr>
            <w:r>
              <w:t>隆尧县第二实验小学</w:t>
            </w:r>
          </w:p>
        </w:tc>
        <w:tc>
          <w:tcPr>
            <w:tcW w:w="1843" w:type="dxa"/>
            <w:vAlign w:val="center"/>
          </w:tcPr>
          <w:p w14:paraId="0E66D06D">
            <w:pPr>
              <w:pStyle w:val="12"/>
            </w:pPr>
            <w:r>
              <w:t>事业</w:t>
            </w:r>
          </w:p>
        </w:tc>
        <w:tc>
          <w:tcPr>
            <w:tcW w:w="2126" w:type="dxa"/>
            <w:vAlign w:val="center"/>
          </w:tcPr>
          <w:p w14:paraId="381908EF">
            <w:pPr>
              <w:pStyle w:val="12"/>
            </w:pPr>
            <w:r>
              <w:t>股级</w:t>
            </w:r>
          </w:p>
        </w:tc>
        <w:tc>
          <w:tcPr>
            <w:tcW w:w="3827" w:type="dxa"/>
            <w:vAlign w:val="center"/>
          </w:tcPr>
          <w:p w14:paraId="1D6AD088">
            <w:pPr>
              <w:pStyle w:val="12"/>
            </w:pPr>
            <w:r>
              <w:t>财政性资金基本保证</w:t>
            </w:r>
          </w:p>
        </w:tc>
      </w:tr>
    </w:tbl>
    <w:p w14:paraId="271111DE">
      <w:pPr>
        <w:spacing w:before="10" w:after="10" w:line="240" w:lineRule="auto"/>
        <w:ind w:firstLine="640"/>
        <w:jc w:val="left"/>
        <w:outlineLvl w:val="5"/>
      </w:pPr>
      <w:r>
        <w:rPr>
          <w:rFonts w:ascii="黑体" w:hAnsi="黑体" w:eastAsia="黑体" w:cs="黑体"/>
          <w:color w:val="000000"/>
          <w:sz w:val="32"/>
        </w:rPr>
        <w:t>二、单位预算安排的总体情况</w:t>
      </w:r>
    </w:p>
    <w:p w14:paraId="1BC779AF">
      <w:pPr>
        <w:pStyle w:val="19"/>
      </w:pPr>
      <w:r>
        <w:t>按照预算管理有关规定，目前我校单位预算的编制实行综合预算管理，即全部收入和支出都反映的预算中。隆尧县第二实验小学的收支包含在单位预算中。</w:t>
      </w:r>
    </w:p>
    <w:p w14:paraId="7E48DAC2">
      <w:pPr>
        <w:pStyle w:val="19"/>
      </w:pPr>
      <w:r>
        <w:t>1、收入说明</w:t>
      </w:r>
    </w:p>
    <w:p w14:paraId="714A56EC">
      <w:pPr>
        <w:pStyle w:val="19"/>
      </w:pPr>
      <w:r>
        <w:t>反映本单位当年全部收入。2025年预算收入2063.33万元，其中：一般公共预算收入1910.76万元，基金预算收入0万元，基金预算收入0万元，国有资本经营预算收入0万元，财政专户拨收入0万元，单位资金收入0万元，上年结转结余152.57万元。</w:t>
      </w:r>
    </w:p>
    <w:p w14:paraId="5EBC9D75">
      <w:pPr>
        <w:pStyle w:val="19"/>
      </w:pPr>
      <w:r>
        <w:t>2、支出说明</w:t>
      </w:r>
    </w:p>
    <w:p w14:paraId="415E08CB">
      <w:pPr>
        <w:pStyle w:val="19"/>
      </w:pPr>
      <w:r>
        <w:t>收支预算总表支出栏、基本支出表、项目支出表按经济分类和支出功能分类科目编制，反映隆尧县第二实验小学年度单位预算中支出预算的总体情况。2025年单位支出预算为2063.33万元，其中基本支出1370.45万元、项目支出692.88万元。主要为小学教育2063.33万元。</w:t>
      </w:r>
    </w:p>
    <w:p w14:paraId="6196B156">
      <w:pPr>
        <w:pStyle w:val="19"/>
      </w:pPr>
      <w:r>
        <w:t>3、比上年增减情况</w:t>
      </w:r>
    </w:p>
    <w:p w14:paraId="3333705A">
      <w:pPr>
        <w:pStyle w:val="19"/>
      </w:pPr>
      <w:r>
        <w:t>2025年部门预算收支安排2063.33万元，较2024年预算减少157.8万元，其中基本支出减少47.09万元，项目支出减少110.71万元.</w:t>
      </w:r>
    </w:p>
    <w:p w14:paraId="596EDF19">
      <w:pPr>
        <w:spacing w:before="10" w:after="10" w:line="240" w:lineRule="auto"/>
        <w:ind w:firstLine="640"/>
        <w:jc w:val="left"/>
        <w:outlineLvl w:val="5"/>
      </w:pPr>
      <w:r>
        <w:rPr>
          <w:rFonts w:ascii="黑体" w:hAnsi="黑体" w:eastAsia="黑体" w:cs="黑体"/>
          <w:color w:val="000000"/>
          <w:sz w:val="32"/>
        </w:rPr>
        <w:t>三、机关运行经费安排情况</w:t>
      </w:r>
    </w:p>
    <w:p w14:paraId="467B7ABE">
      <w:pPr>
        <w:pStyle w:val="20"/>
      </w:pPr>
      <w:r>
        <w:t>2025年我单位按学生安排公用经费，无机关运行经费。</w:t>
      </w:r>
    </w:p>
    <w:p w14:paraId="397F3B2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F5CD02D">
      <w:pPr>
        <w:pStyle w:val="21"/>
      </w:pPr>
      <w:r>
        <w:t>2025年我单位未安排三公经费。</w:t>
      </w:r>
    </w:p>
    <w:p w14:paraId="5B6C387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239068C">
      <w:pPr>
        <w:spacing w:before="0" w:after="0"/>
        <w:ind w:firstLine="560"/>
        <w:jc w:val="left"/>
        <w:outlineLvl w:val="9"/>
      </w:pPr>
      <w:r>
        <w:rPr>
          <w:rFonts w:ascii="方正仿宋_GBK" w:hAnsi="方正仿宋_GBK" w:eastAsia="方正仿宋_GBK" w:cs="方正仿宋_GBK"/>
          <w:b/>
          <w:color w:val="000000"/>
          <w:sz w:val="28"/>
        </w:rPr>
        <w:t>1、冀财教[2023]154号/中央/义教经费/校舍安全保障/第二实验小学楼体外墙维修及粉刷绩效目标表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90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9D31B">
            <w:pPr>
              <w:pStyle w:val="14"/>
            </w:pPr>
            <w:r>
              <w:t>单位：万元</w:t>
            </w:r>
          </w:p>
        </w:tc>
      </w:tr>
      <w:tr w14:paraId="369FF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49282">
            <w:pPr>
              <w:pStyle w:val="11"/>
            </w:pPr>
            <w:r>
              <w:t>项目编码</w:t>
            </w:r>
          </w:p>
        </w:tc>
        <w:tc>
          <w:tcPr>
            <w:tcW w:w="5103" w:type="dxa"/>
            <w:gridSpan w:val="2"/>
            <w:vAlign w:val="center"/>
          </w:tcPr>
          <w:p w14:paraId="5B4C0AF0">
            <w:pPr>
              <w:pStyle w:val="13"/>
            </w:pPr>
            <w:r>
              <w:t>13052524P00000611258T</w:t>
            </w:r>
          </w:p>
        </w:tc>
        <w:tc>
          <w:tcPr>
            <w:tcW w:w="2835" w:type="dxa"/>
            <w:vAlign w:val="center"/>
          </w:tcPr>
          <w:p w14:paraId="5E85C7ED">
            <w:pPr>
              <w:pStyle w:val="11"/>
            </w:pPr>
            <w:r>
              <w:t>项目名称</w:t>
            </w:r>
          </w:p>
        </w:tc>
        <w:tc>
          <w:tcPr>
            <w:tcW w:w="6095" w:type="dxa"/>
            <w:gridSpan w:val="3"/>
            <w:vAlign w:val="center"/>
          </w:tcPr>
          <w:p w14:paraId="20417303">
            <w:pPr>
              <w:pStyle w:val="13"/>
            </w:pPr>
            <w:r>
              <w:t>冀财教[2023]154号/中央/义教经费/校舍安全保障/第二实验小学楼体外墙维修及粉刷</w:t>
            </w:r>
          </w:p>
        </w:tc>
      </w:tr>
      <w:tr w14:paraId="702A7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C135A">
            <w:pPr>
              <w:pStyle w:val="11"/>
            </w:pPr>
            <w:r>
              <w:t>预算规模及资金用途</w:t>
            </w:r>
          </w:p>
        </w:tc>
        <w:tc>
          <w:tcPr>
            <w:tcW w:w="2268" w:type="dxa"/>
            <w:vAlign w:val="center"/>
          </w:tcPr>
          <w:p w14:paraId="17DCFB41">
            <w:pPr>
              <w:pStyle w:val="11"/>
            </w:pPr>
            <w:r>
              <w:t>预算数</w:t>
            </w:r>
          </w:p>
        </w:tc>
        <w:tc>
          <w:tcPr>
            <w:tcW w:w="2835" w:type="dxa"/>
            <w:vAlign w:val="center"/>
          </w:tcPr>
          <w:p w14:paraId="41CD15F3">
            <w:pPr>
              <w:pStyle w:val="13"/>
            </w:pPr>
            <w:r>
              <w:t>42.56</w:t>
            </w:r>
          </w:p>
        </w:tc>
        <w:tc>
          <w:tcPr>
            <w:tcW w:w="2835" w:type="dxa"/>
            <w:vAlign w:val="center"/>
          </w:tcPr>
          <w:p w14:paraId="7B52A9D0">
            <w:pPr>
              <w:pStyle w:val="11"/>
            </w:pPr>
            <w:r>
              <w:t>其中：财政    资金</w:t>
            </w:r>
          </w:p>
        </w:tc>
        <w:tc>
          <w:tcPr>
            <w:tcW w:w="2551" w:type="dxa"/>
            <w:vAlign w:val="center"/>
          </w:tcPr>
          <w:p w14:paraId="735C74AE">
            <w:pPr>
              <w:pStyle w:val="13"/>
            </w:pPr>
            <w:r>
              <w:t>42.56</w:t>
            </w:r>
          </w:p>
        </w:tc>
        <w:tc>
          <w:tcPr>
            <w:tcW w:w="2268" w:type="dxa"/>
            <w:vAlign w:val="center"/>
          </w:tcPr>
          <w:p w14:paraId="627B0534">
            <w:pPr>
              <w:pStyle w:val="11"/>
            </w:pPr>
            <w:r>
              <w:t>其他资金</w:t>
            </w:r>
          </w:p>
        </w:tc>
        <w:tc>
          <w:tcPr>
            <w:tcW w:w="1276" w:type="dxa"/>
            <w:vAlign w:val="center"/>
          </w:tcPr>
          <w:p w14:paraId="356C8E36">
            <w:pPr>
              <w:pStyle w:val="13"/>
            </w:pPr>
            <w:r>
              <w:t xml:space="preserve"> </w:t>
            </w:r>
          </w:p>
        </w:tc>
      </w:tr>
      <w:tr w14:paraId="6843C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6E518F"/>
        </w:tc>
        <w:tc>
          <w:tcPr>
            <w:tcW w:w="14033" w:type="dxa"/>
            <w:gridSpan w:val="6"/>
            <w:vAlign w:val="center"/>
          </w:tcPr>
          <w:p w14:paraId="17E7B8DC">
            <w:pPr>
              <w:pStyle w:val="13"/>
            </w:pPr>
            <w:r>
              <w:t>按时完成隆尧县第二实验小学教学楼宿舍楼餐厅综合楼外墙维修粉刷及玻璃幕改造工程，提高师生学习工作环境，提升安全指数</w:t>
            </w:r>
          </w:p>
        </w:tc>
      </w:tr>
      <w:tr w14:paraId="68E16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FEE32">
            <w:pPr>
              <w:pStyle w:val="11"/>
            </w:pPr>
            <w:r>
              <w:t>资金支出计划（%）</w:t>
            </w:r>
          </w:p>
        </w:tc>
        <w:tc>
          <w:tcPr>
            <w:tcW w:w="5103" w:type="dxa"/>
            <w:gridSpan w:val="2"/>
            <w:vAlign w:val="center"/>
          </w:tcPr>
          <w:p w14:paraId="11C9580E">
            <w:pPr>
              <w:pStyle w:val="11"/>
            </w:pPr>
            <w:r>
              <w:t>3月底</w:t>
            </w:r>
          </w:p>
        </w:tc>
        <w:tc>
          <w:tcPr>
            <w:tcW w:w="2835" w:type="dxa"/>
            <w:vAlign w:val="center"/>
          </w:tcPr>
          <w:p w14:paraId="3AEBF2BC">
            <w:pPr>
              <w:pStyle w:val="11"/>
            </w:pPr>
            <w:r>
              <w:t>6月底</w:t>
            </w:r>
          </w:p>
        </w:tc>
        <w:tc>
          <w:tcPr>
            <w:tcW w:w="2551" w:type="dxa"/>
            <w:vAlign w:val="center"/>
          </w:tcPr>
          <w:p w14:paraId="3A7A3AF6">
            <w:pPr>
              <w:pStyle w:val="11"/>
            </w:pPr>
            <w:r>
              <w:t>10月底</w:t>
            </w:r>
          </w:p>
        </w:tc>
        <w:tc>
          <w:tcPr>
            <w:tcW w:w="3544" w:type="dxa"/>
            <w:gridSpan w:val="2"/>
            <w:vAlign w:val="center"/>
          </w:tcPr>
          <w:p w14:paraId="4691F808">
            <w:pPr>
              <w:pStyle w:val="11"/>
            </w:pPr>
            <w:r>
              <w:t>12月底</w:t>
            </w:r>
          </w:p>
        </w:tc>
      </w:tr>
      <w:tr w14:paraId="11173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F81D7"/>
        </w:tc>
        <w:tc>
          <w:tcPr>
            <w:tcW w:w="5103" w:type="dxa"/>
            <w:gridSpan w:val="2"/>
            <w:vAlign w:val="center"/>
          </w:tcPr>
          <w:p w14:paraId="36CC600D">
            <w:pPr>
              <w:pStyle w:val="12"/>
            </w:pPr>
            <w:r>
              <w:t>35%</w:t>
            </w:r>
          </w:p>
        </w:tc>
        <w:tc>
          <w:tcPr>
            <w:tcW w:w="2835" w:type="dxa"/>
            <w:vAlign w:val="center"/>
          </w:tcPr>
          <w:p w14:paraId="0DEAE37E">
            <w:pPr>
              <w:pStyle w:val="12"/>
            </w:pPr>
            <w:r>
              <w:t>70%</w:t>
            </w:r>
          </w:p>
        </w:tc>
        <w:tc>
          <w:tcPr>
            <w:tcW w:w="2551" w:type="dxa"/>
            <w:vAlign w:val="center"/>
          </w:tcPr>
          <w:p w14:paraId="2D3A2458">
            <w:pPr>
              <w:pStyle w:val="12"/>
            </w:pPr>
            <w:r>
              <w:t>100%</w:t>
            </w:r>
          </w:p>
        </w:tc>
        <w:tc>
          <w:tcPr>
            <w:tcW w:w="3544" w:type="dxa"/>
            <w:gridSpan w:val="2"/>
            <w:vAlign w:val="center"/>
          </w:tcPr>
          <w:p w14:paraId="48218B4B">
            <w:pPr>
              <w:pStyle w:val="12"/>
            </w:pPr>
            <w:r>
              <w:t>110000000%</w:t>
            </w:r>
          </w:p>
        </w:tc>
      </w:tr>
      <w:tr w14:paraId="1AB65A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C10878">
            <w:pPr>
              <w:pStyle w:val="11"/>
            </w:pPr>
            <w:r>
              <w:t>绩效目标</w:t>
            </w:r>
          </w:p>
        </w:tc>
        <w:tc>
          <w:tcPr>
            <w:tcW w:w="14033" w:type="dxa"/>
            <w:gridSpan w:val="6"/>
            <w:vAlign w:val="center"/>
          </w:tcPr>
          <w:p w14:paraId="28AE3E9F">
            <w:pPr>
              <w:pStyle w:val="13"/>
            </w:pPr>
            <w:r>
              <w:t>1.按时完成隆尧县第二实验小学教学楼宿舍楼餐厅综合楼外墙维修粉刷及玻璃幕改造工程，提高师生学习工作环境，提升安全指数</w:t>
            </w:r>
          </w:p>
          <w:p w14:paraId="6D6889C5">
            <w:pPr>
              <w:pStyle w:val="13"/>
            </w:pPr>
            <w:r>
              <w:t>2.按照工程进度及时支付工程款</w:t>
            </w:r>
          </w:p>
        </w:tc>
      </w:tr>
    </w:tbl>
    <w:p w14:paraId="69E032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9D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6BA9D">
            <w:pPr>
              <w:pStyle w:val="11"/>
            </w:pPr>
            <w:r>
              <w:t>一级指标</w:t>
            </w:r>
          </w:p>
        </w:tc>
        <w:tc>
          <w:tcPr>
            <w:tcW w:w="2268" w:type="dxa"/>
            <w:vAlign w:val="center"/>
          </w:tcPr>
          <w:p w14:paraId="2F6E9C70">
            <w:pPr>
              <w:pStyle w:val="11"/>
            </w:pPr>
            <w:r>
              <w:t>二级指标</w:t>
            </w:r>
          </w:p>
        </w:tc>
        <w:tc>
          <w:tcPr>
            <w:tcW w:w="2835" w:type="dxa"/>
            <w:vAlign w:val="center"/>
          </w:tcPr>
          <w:p w14:paraId="648B4BD0">
            <w:pPr>
              <w:pStyle w:val="11"/>
            </w:pPr>
            <w:r>
              <w:t>三级指标</w:t>
            </w:r>
          </w:p>
        </w:tc>
        <w:tc>
          <w:tcPr>
            <w:tcW w:w="5386" w:type="dxa"/>
            <w:vAlign w:val="center"/>
          </w:tcPr>
          <w:p w14:paraId="7D0361F3">
            <w:pPr>
              <w:pStyle w:val="11"/>
            </w:pPr>
            <w:r>
              <w:t>绩效指标描述</w:t>
            </w:r>
          </w:p>
        </w:tc>
        <w:tc>
          <w:tcPr>
            <w:tcW w:w="2268" w:type="dxa"/>
            <w:vAlign w:val="center"/>
          </w:tcPr>
          <w:p w14:paraId="77CD1633">
            <w:pPr>
              <w:pStyle w:val="11"/>
            </w:pPr>
            <w:r>
              <w:t>指标值</w:t>
            </w:r>
          </w:p>
        </w:tc>
        <w:tc>
          <w:tcPr>
            <w:tcW w:w="1276" w:type="dxa"/>
            <w:vAlign w:val="center"/>
          </w:tcPr>
          <w:p w14:paraId="1D551D53">
            <w:pPr>
              <w:pStyle w:val="11"/>
            </w:pPr>
            <w:r>
              <w:t>指标值确定依据</w:t>
            </w:r>
          </w:p>
        </w:tc>
      </w:tr>
      <w:tr w14:paraId="43D95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A8056">
            <w:pPr>
              <w:pStyle w:val="12"/>
            </w:pPr>
            <w:r>
              <w:t>产出指标</w:t>
            </w:r>
          </w:p>
        </w:tc>
        <w:tc>
          <w:tcPr>
            <w:tcW w:w="2268" w:type="dxa"/>
            <w:vAlign w:val="center"/>
          </w:tcPr>
          <w:p w14:paraId="08D19AB8">
            <w:pPr>
              <w:pStyle w:val="13"/>
            </w:pPr>
            <w:r>
              <w:t>数量指标</w:t>
            </w:r>
          </w:p>
        </w:tc>
        <w:tc>
          <w:tcPr>
            <w:tcW w:w="2835" w:type="dxa"/>
            <w:vAlign w:val="center"/>
          </w:tcPr>
          <w:p w14:paraId="798123EA">
            <w:pPr>
              <w:pStyle w:val="13"/>
            </w:pPr>
            <w:r>
              <w:t>外墙维修粉刷及玻璃幕改造工程完成率</w:t>
            </w:r>
          </w:p>
        </w:tc>
        <w:tc>
          <w:tcPr>
            <w:tcW w:w="5386" w:type="dxa"/>
            <w:vAlign w:val="center"/>
          </w:tcPr>
          <w:p w14:paraId="1F8AAEBF">
            <w:pPr>
              <w:pStyle w:val="13"/>
            </w:pPr>
            <w:r>
              <w:t>按照合同规定的时间完成</w:t>
            </w:r>
          </w:p>
        </w:tc>
        <w:tc>
          <w:tcPr>
            <w:tcW w:w="2268" w:type="dxa"/>
            <w:vAlign w:val="center"/>
          </w:tcPr>
          <w:p w14:paraId="07AC549E">
            <w:pPr>
              <w:pStyle w:val="13"/>
            </w:pPr>
            <w:r>
              <w:t>100%</w:t>
            </w:r>
          </w:p>
        </w:tc>
        <w:tc>
          <w:tcPr>
            <w:tcW w:w="1276" w:type="dxa"/>
            <w:vAlign w:val="center"/>
          </w:tcPr>
          <w:p w14:paraId="61C52AD9">
            <w:pPr>
              <w:pStyle w:val="13"/>
            </w:pPr>
            <w:r>
              <w:t>年度工作计划</w:t>
            </w:r>
          </w:p>
        </w:tc>
      </w:tr>
      <w:tr w14:paraId="4DCE9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BE143"/>
        </w:tc>
        <w:tc>
          <w:tcPr>
            <w:tcW w:w="2268" w:type="dxa"/>
            <w:vAlign w:val="center"/>
          </w:tcPr>
          <w:p w14:paraId="27385CD3">
            <w:pPr>
              <w:pStyle w:val="13"/>
            </w:pPr>
            <w:r>
              <w:t>质量指标</w:t>
            </w:r>
          </w:p>
        </w:tc>
        <w:tc>
          <w:tcPr>
            <w:tcW w:w="2835" w:type="dxa"/>
            <w:vAlign w:val="center"/>
          </w:tcPr>
          <w:p w14:paraId="22EEF248">
            <w:pPr>
              <w:pStyle w:val="13"/>
            </w:pPr>
            <w:r>
              <w:t>外墙维修粉刷及玻璃幕改造工程验收合格率</w:t>
            </w:r>
          </w:p>
        </w:tc>
        <w:tc>
          <w:tcPr>
            <w:tcW w:w="5386" w:type="dxa"/>
            <w:vAlign w:val="center"/>
          </w:tcPr>
          <w:p w14:paraId="22C22EB8">
            <w:pPr>
              <w:pStyle w:val="13"/>
            </w:pPr>
            <w:r>
              <w:t>工程验收合格率</w:t>
            </w:r>
          </w:p>
        </w:tc>
        <w:tc>
          <w:tcPr>
            <w:tcW w:w="2268" w:type="dxa"/>
            <w:vAlign w:val="center"/>
          </w:tcPr>
          <w:p w14:paraId="4141DB9D">
            <w:pPr>
              <w:pStyle w:val="13"/>
            </w:pPr>
            <w:r>
              <w:t>100%</w:t>
            </w:r>
          </w:p>
        </w:tc>
        <w:tc>
          <w:tcPr>
            <w:tcW w:w="1276" w:type="dxa"/>
            <w:vAlign w:val="center"/>
          </w:tcPr>
          <w:p w14:paraId="27AC4625">
            <w:pPr>
              <w:pStyle w:val="13"/>
            </w:pPr>
            <w:r>
              <w:t>年度工作计划</w:t>
            </w:r>
          </w:p>
        </w:tc>
      </w:tr>
      <w:tr w14:paraId="048B9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0EB19"/>
        </w:tc>
        <w:tc>
          <w:tcPr>
            <w:tcW w:w="2268" w:type="dxa"/>
            <w:vAlign w:val="center"/>
          </w:tcPr>
          <w:p w14:paraId="149DEEB3">
            <w:pPr>
              <w:pStyle w:val="13"/>
            </w:pPr>
            <w:r>
              <w:t>时效指标</w:t>
            </w:r>
          </w:p>
        </w:tc>
        <w:tc>
          <w:tcPr>
            <w:tcW w:w="2835" w:type="dxa"/>
            <w:vAlign w:val="center"/>
          </w:tcPr>
          <w:p w14:paraId="30B7DC44">
            <w:pPr>
              <w:pStyle w:val="13"/>
            </w:pPr>
            <w:r>
              <w:t>资金支付进度</w:t>
            </w:r>
          </w:p>
        </w:tc>
        <w:tc>
          <w:tcPr>
            <w:tcW w:w="5386" w:type="dxa"/>
            <w:vAlign w:val="center"/>
          </w:tcPr>
          <w:p w14:paraId="6E0468F4">
            <w:pPr>
              <w:pStyle w:val="13"/>
            </w:pPr>
            <w:r>
              <w:t>规定时间内完成率</w:t>
            </w:r>
          </w:p>
        </w:tc>
        <w:tc>
          <w:tcPr>
            <w:tcW w:w="2268" w:type="dxa"/>
            <w:vAlign w:val="center"/>
          </w:tcPr>
          <w:p w14:paraId="29F1F08A">
            <w:pPr>
              <w:pStyle w:val="13"/>
            </w:pPr>
            <w:r>
              <w:t>100%</w:t>
            </w:r>
          </w:p>
        </w:tc>
        <w:tc>
          <w:tcPr>
            <w:tcW w:w="1276" w:type="dxa"/>
            <w:vAlign w:val="center"/>
          </w:tcPr>
          <w:p w14:paraId="6A47D9E0">
            <w:pPr>
              <w:pStyle w:val="13"/>
            </w:pPr>
            <w:r>
              <w:t>年度工作计划</w:t>
            </w:r>
          </w:p>
        </w:tc>
      </w:tr>
      <w:tr w14:paraId="49476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EBEF0"/>
        </w:tc>
        <w:tc>
          <w:tcPr>
            <w:tcW w:w="2268" w:type="dxa"/>
            <w:vAlign w:val="center"/>
          </w:tcPr>
          <w:p w14:paraId="2DFA3A9A">
            <w:pPr>
              <w:pStyle w:val="13"/>
            </w:pPr>
            <w:r>
              <w:t>成本指标</w:t>
            </w:r>
          </w:p>
        </w:tc>
        <w:tc>
          <w:tcPr>
            <w:tcW w:w="2835" w:type="dxa"/>
            <w:vAlign w:val="center"/>
          </w:tcPr>
          <w:p w14:paraId="4F01C1C7">
            <w:pPr>
              <w:pStyle w:val="13"/>
            </w:pPr>
            <w:r>
              <w:t>工程实际成本</w:t>
            </w:r>
          </w:p>
        </w:tc>
        <w:tc>
          <w:tcPr>
            <w:tcW w:w="5386" w:type="dxa"/>
            <w:vAlign w:val="center"/>
          </w:tcPr>
          <w:p w14:paraId="31168206">
            <w:pPr>
              <w:pStyle w:val="13"/>
            </w:pPr>
            <w:r>
              <w:t>工程实际成本</w:t>
            </w:r>
          </w:p>
        </w:tc>
        <w:tc>
          <w:tcPr>
            <w:tcW w:w="2268" w:type="dxa"/>
            <w:vAlign w:val="center"/>
          </w:tcPr>
          <w:p w14:paraId="19703835">
            <w:pPr>
              <w:pStyle w:val="13"/>
            </w:pPr>
            <w:r>
              <w:t>&lt;105.11万元</w:t>
            </w:r>
          </w:p>
        </w:tc>
        <w:tc>
          <w:tcPr>
            <w:tcW w:w="1276" w:type="dxa"/>
            <w:vAlign w:val="center"/>
          </w:tcPr>
          <w:p w14:paraId="4020CC27">
            <w:pPr>
              <w:pStyle w:val="13"/>
            </w:pPr>
            <w:r>
              <w:t>年度工作计划</w:t>
            </w:r>
          </w:p>
        </w:tc>
      </w:tr>
      <w:tr w14:paraId="1FE1F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4D0EE1">
            <w:pPr>
              <w:pStyle w:val="12"/>
            </w:pPr>
            <w:r>
              <w:t>效益指标</w:t>
            </w:r>
          </w:p>
        </w:tc>
        <w:tc>
          <w:tcPr>
            <w:tcW w:w="2268" w:type="dxa"/>
            <w:vAlign w:val="center"/>
          </w:tcPr>
          <w:p w14:paraId="1BD304DB">
            <w:pPr>
              <w:pStyle w:val="13"/>
            </w:pPr>
            <w:r>
              <w:t>社会效益指标</w:t>
            </w:r>
          </w:p>
        </w:tc>
        <w:tc>
          <w:tcPr>
            <w:tcW w:w="2835" w:type="dxa"/>
            <w:vAlign w:val="center"/>
          </w:tcPr>
          <w:p w14:paraId="78CDD607">
            <w:pPr>
              <w:pStyle w:val="13"/>
            </w:pPr>
            <w:r>
              <w:t>使用年限</w:t>
            </w:r>
          </w:p>
        </w:tc>
        <w:tc>
          <w:tcPr>
            <w:tcW w:w="5386" w:type="dxa"/>
            <w:vAlign w:val="center"/>
          </w:tcPr>
          <w:p w14:paraId="4D3982C1">
            <w:pPr>
              <w:pStyle w:val="13"/>
            </w:pPr>
            <w:r>
              <w:t>达到合同要求的使用年限</w:t>
            </w:r>
          </w:p>
        </w:tc>
        <w:tc>
          <w:tcPr>
            <w:tcW w:w="2268" w:type="dxa"/>
            <w:vAlign w:val="center"/>
          </w:tcPr>
          <w:p w14:paraId="1F95EAF1">
            <w:pPr>
              <w:pStyle w:val="13"/>
            </w:pPr>
            <w:r>
              <w:t>≥5年</w:t>
            </w:r>
          </w:p>
        </w:tc>
        <w:tc>
          <w:tcPr>
            <w:tcW w:w="1276" w:type="dxa"/>
            <w:vAlign w:val="center"/>
          </w:tcPr>
          <w:p w14:paraId="35B32604">
            <w:pPr>
              <w:pStyle w:val="13"/>
            </w:pPr>
            <w:r>
              <w:t>年度工作计划</w:t>
            </w:r>
          </w:p>
        </w:tc>
      </w:tr>
      <w:tr w14:paraId="0E29A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3CB7FE">
            <w:pPr>
              <w:pStyle w:val="12"/>
            </w:pPr>
            <w:r>
              <w:t>满意度指标</w:t>
            </w:r>
          </w:p>
        </w:tc>
        <w:tc>
          <w:tcPr>
            <w:tcW w:w="2268" w:type="dxa"/>
            <w:vAlign w:val="center"/>
          </w:tcPr>
          <w:p w14:paraId="3C21472F">
            <w:pPr>
              <w:pStyle w:val="13"/>
            </w:pPr>
            <w:r>
              <w:t>服务对象满意度指标</w:t>
            </w:r>
          </w:p>
        </w:tc>
        <w:tc>
          <w:tcPr>
            <w:tcW w:w="2835" w:type="dxa"/>
            <w:vAlign w:val="center"/>
          </w:tcPr>
          <w:p w14:paraId="7D24CDA7">
            <w:pPr>
              <w:pStyle w:val="13"/>
            </w:pPr>
            <w:r>
              <w:t>师生对学习生活环境的满意度</w:t>
            </w:r>
          </w:p>
        </w:tc>
        <w:tc>
          <w:tcPr>
            <w:tcW w:w="5386" w:type="dxa"/>
            <w:vAlign w:val="center"/>
          </w:tcPr>
          <w:p w14:paraId="5733388F">
            <w:pPr>
              <w:pStyle w:val="13"/>
            </w:pPr>
            <w:r>
              <w:t>师生对学习生活环境的满意度</w:t>
            </w:r>
          </w:p>
        </w:tc>
        <w:tc>
          <w:tcPr>
            <w:tcW w:w="2268" w:type="dxa"/>
            <w:vAlign w:val="center"/>
          </w:tcPr>
          <w:p w14:paraId="7EFBFE2F">
            <w:pPr>
              <w:pStyle w:val="13"/>
            </w:pPr>
            <w:r>
              <w:t>≥98%</w:t>
            </w:r>
          </w:p>
        </w:tc>
        <w:tc>
          <w:tcPr>
            <w:tcW w:w="1276" w:type="dxa"/>
            <w:vAlign w:val="center"/>
          </w:tcPr>
          <w:p w14:paraId="4245FA02">
            <w:pPr>
              <w:pStyle w:val="13"/>
            </w:pPr>
            <w:r>
              <w:t>年度工作计划</w:t>
            </w:r>
          </w:p>
        </w:tc>
      </w:tr>
    </w:tbl>
    <w:p w14:paraId="4160578F">
      <w:pPr>
        <w:sectPr>
          <w:pgSz w:w="16840" w:h="11900" w:orient="landscape"/>
          <w:pgMar w:top="1361" w:right="1020" w:bottom="1134" w:left="1020" w:header="720" w:footer="720" w:gutter="0"/>
          <w:cols w:space="720" w:num="1"/>
        </w:sectPr>
      </w:pPr>
    </w:p>
    <w:p w14:paraId="5D0682FD">
      <w:pPr>
        <w:spacing w:before="0" w:after="0"/>
        <w:ind w:firstLine="560"/>
        <w:jc w:val="left"/>
        <w:outlineLvl w:val="9"/>
      </w:pPr>
      <w:r>
        <w:rPr>
          <w:rFonts w:ascii="方正仿宋_GBK" w:hAnsi="方正仿宋_GBK" w:eastAsia="方正仿宋_GBK" w:cs="方正仿宋_GBK"/>
          <w:b/>
          <w:color w:val="000000"/>
          <w:sz w:val="28"/>
        </w:rPr>
        <w:t>2、冀财教[2023]163号/省级/2024年义教补助资金/校舍安全保障/第二实验小学供暖系统改造项目绩效目标表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C3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73695">
            <w:pPr>
              <w:pStyle w:val="14"/>
            </w:pPr>
            <w:r>
              <w:t>单位：万元</w:t>
            </w:r>
          </w:p>
        </w:tc>
      </w:tr>
      <w:tr w14:paraId="72712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151CB7">
            <w:pPr>
              <w:pStyle w:val="11"/>
            </w:pPr>
            <w:r>
              <w:t>项目编码</w:t>
            </w:r>
          </w:p>
        </w:tc>
        <w:tc>
          <w:tcPr>
            <w:tcW w:w="5103" w:type="dxa"/>
            <w:gridSpan w:val="2"/>
            <w:vAlign w:val="center"/>
          </w:tcPr>
          <w:p w14:paraId="09BBC397">
            <w:pPr>
              <w:pStyle w:val="13"/>
            </w:pPr>
            <w:r>
              <w:t>13052524P00000611268N</w:t>
            </w:r>
          </w:p>
        </w:tc>
        <w:tc>
          <w:tcPr>
            <w:tcW w:w="2835" w:type="dxa"/>
            <w:vAlign w:val="center"/>
          </w:tcPr>
          <w:p w14:paraId="380BCB2E">
            <w:pPr>
              <w:pStyle w:val="11"/>
            </w:pPr>
            <w:r>
              <w:t>项目名称</w:t>
            </w:r>
          </w:p>
        </w:tc>
        <w:tc>
          <w:tcPr>
            <w:tcW w:w="6095" w:type="dxa"/>
            <w:gridSpan w:val="3"/>
            <w:vAlign w:val="center"/>
          </w:tcPr>
          <w:p w14:paraId="0E58BF8F">
            <w:pPr>
              <w:pStyle w:val="13"/>
            </w:pPr>
            <w:r>
              <w:t>冀财教[2023]163号/省级/2024年义教补助资金/校舍安全保障/第二实验小学供暖系统改造项目</w:t>
            </w:r>
          </w:p>
        </w:tc>
      </w:tr>
      <w:tr w14:paraId="4EB38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8CADC">
            <w:pPr>
              <w:pStyle w:val="11"/>
            </w:pPr>
            <w:r>
              <w:t>预算规模及资金用途</w:t>
            </w:r>
          </w:p>
        </w:tc>
        <w:tc>
          <w:tcPr>
            <w:tcW w:w="2268" w:type="dxa"/>
            <w:vAlign w:val="center"/>
          </w:tcPr>
          <w:p w14:paraId="72F23C23">
            <w:pPr>
              <w:pStyle w:val="11"/>
            </w:pPr>
            <w:r>
              <w:t>预算数</w:t>
            </w:r>
          </w:p>
        </w:tc>
        <w:tc>
          <w:tcPr>
            <w:tcW w:w="2835" w:type="dxa"/>
            <w:vAlign w:val="center"/>
          </w:tcPr>
          <w:p w14:paraId="4BB9E570">
            <w:pPr>
              <w:pStyle w:val="13"/>
            </w:pPr>
            <w:r>
              <w:t>85.15</w:t>
            </w:r>
          </w:p>
        </w:tc>
        <w:tc>
          <w:tcPr>
            <w:tcW w:w="2835" w:type="dxa"/>
            <w:vAlign w:val="center"/>
          </w:tcPr>
          <w:p w14:paraId="7304258A">
            <w:pPr>
              <w:pStyle w:val="11"/>
            </w:pPr>
            <w:r>
              <w:t>其中：财政    资金</w:t>
            </w:r>
          </w:p>
        </w:tc>
        <w:tc>
          <w:tcPr>
            <w:tcW w:w="2551" w:type="dxa"/>
            <w:vAlign w:val="center"/>
          </w:tcPr>
          <w:p w14:paraId="1F18ABA0">
            <w:pPr>
              <w:pStyle w:val="13"/>
            </w:pPr>
            <w:r>
              <w:t>85.15</w:t>
            </w:r>
          </w:p>
        </w:tc>
        <w:tc>
          <w:tcPr>
            <w:tcW w:w="2268" w:type="dxa"/>
            <w:vAlign w:val="center"/>
          </w:tcPr>
          <w:p w14:paraId="3A315EBC">
            <w:pPr>
              <w:pStyle w:val="11"/>
            </w:pPr>
            <w:r>
              <w:t>其他资金</w:t>
            </w:r>
          </w:p>
        </w:tc>
        <w:tc>
          <w:tcPr>
            <w:tcW w:w="1276" w:type="dxa"/>
            <w:vAlign w:val="center"/>
          </w:tcPr>
          <w:p w14:paraId="29033CB6">
            <w:pPr>
              <w:pStyle w:val="13"/>
            </w:pPr>
            <w:r>
              <w:t xml:space="preserve"> </w:t>
            </w:r>
          </w:p>
        </w:tc>
      </w:tr>
      <w:tr w14:paraId="78F7B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930DCE"/>
        </w:tc>
        <w:tc>
          <w:tcPr>
            <w:tcW w:w="14033" w:type="dxa"/>
            <w:gridSpan w:val="6"/>
            <w:vAlign w:val="center"/>
          </w:tcPr>
          <w:p w14:paraId="008DB5FA">
            <w:pPr>
              <w:pStyle w:val="13"/>
            </w:pPr>
            <w:r>
              <w:t>用于学校供暖系统改造</w:t>
            </w:r>
          </w:p>
        </w:tc>
      </w:tr>
      <w:tr w14:paraId="54C70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910FE">
            <w:pPr>
              <w:pStyle w:val="11"/>
            </w:pPr>
            <w:r>
              <w:t>资金支出计划（%）</w:t>
            </w:r>
          </w:p>
        </w:tc>
        <w:tc>
          <w:tcPr>
            <w:tcW w:w="5103" w:type="dxa"/>
            <w:gridSpan w:val="2"/>
            <w:vAlign w:val="center"/>
          </w:tcPr>
          <w:p w14:paraId="6D1BB20B">
            <w:pPr>
              <w:pStyle w:val="11"/>
            </w:pPr>
            <w:r>
              <w:t>3月底</w:t>
            </w:r>
          </w:p>
        </w:tc>
        <w:tc>
          <w:tcPr>
            <w:tcW w:w="2835" w:type="dxa"/>
            <w:vAlign w:val="center"/>
          </w:tcPr>
          <w:p w14:paraId="3DC9A377">
            <w:pPr>
              <w:pStyle w:val="11"/>
            </w:pPr>
            <w:r>
              <w:t>6月底</w:t>
            </w:r>
          </w:p>
        </w:tc>
        <w:tc>
          <w:tcPr>
            <w:tcW w:w="2551" w:type="dxa"/>
            <w:vAlign w:val="center"/>
          </w:tcPr>
          <w:p w14:paraId="6789F813">
            <w:pPr>
              <w:pStyle w:val="11"/>
            </w:pPr>
            <w:r>
              <w:t>10月底</w:t>
            </w:r>
          </w:p>
        </w:tc>
        <w:tc>
          <w:tcPr>
            <w:tcW w:w="3544" w:type="dxa"/>
            <w:gridSpan w:val="2"/>
            <w:vAlign w:val="center"/>
          </w:tcPr>
          <w:p w14:paraId="51799001">
            <w:pPr>
              <w:pStyle w:val="11"/>
            </w:pPr>
            <w:r>
              <w:t>12月底</w:t>
            </w:r>
          </w:p>
        </w:tc>
      </w:tr>
      <w:tr w14:paraId="17DD6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654BF"/>
        </w:tc>
        <w:tc>
          <w:tcPr>
            <w:tcW w:w="5103" w:type="dxa"/>
            <w:gridSpan w:val="2"/>
            <w:vAlign w:val="center"/>
          </w:tcPr>
          <w:p w14:paraId="41DA5C6C">
            <w:pPr>
              <w:pStyle w:val="12"/>
            </w:pPr>
            <w:r>
              <w:t xml:space="preserve"> </w:t>
            </w:r>
          </w:p>
        </w:tc>
        <w:tc>
          <w:tcPr>
            <w:tcW w:w="2835" w:type="dxa"/>
            <w:vAlign w:val="center"/>
          </w:tcPr>
          <w:p w14:paraId="24E9FEFF">
            <w:pPr>
              <w:pStyle w:val="12"/>
            </w:pPr>
            <w:r>
              <w:t>100%</w:t>
            </w:r>
          </w:p>
        </w:tc>
        <w:tc>
          <w:tcPr>
            <w:tcW w:w="2551" w:type="dxa"/>
            <w:vAlign w:val="center"/>
          </w:tcPr>
          <w:p w14:paraId="04ADEC09">
            <w:pPr>
              <w:pStyle w:val="12"/>
            </w:pPr>
            <w:r>
              <w:t>100%</w:t>
            </w:r>
          </w:p>
        </w:tc>
        <w:tc>
          <w:tcPr>
            <w:tcW w:w="3544" w:type="dxa"/>
            <w:gridSpan w:val="2"/>
            <w:vAlign w:val="center"/>
          </w:tcPr>
          <w:p w14:paraId="1984D29E">
            <w:pPr>
              <w:pStyle w:val="12"/>
            </w:pPr>
            <w:r>
              <w:t>100%</w:t>
            </w:r>
          </w:p>
        </w:tc>
      </w:tr>
      <w:tr w14:paraId="26F6F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32223">
            <w:pPr>
              <w:pStyle w:val="11"/>
            </w:pPr>
            <w:r>
              <w:t>绩效目标</w:t>
            </w:r>
          </w:p>
        </w:tc>
        <w:tc>
          <w:tcPr>
            <w:tcW w:w="14033" w:type="dxa"/>
            <w:gridSpan w:val="6"/>
            <w:vAlign w:val="center"/>
          </w:tcPr>
          <w:p w14:paraId="6BBD6257">
            <w:pPr>
              <w:pStyle w:val="13"/>
            </w:pPr>
            <w:r>
              <w:t>1.按时完成隆尧县第二实验小学供暖系统改造工程，提高师生学习工作环境。</w:t>
            </w:r>
          </w:p>
          <w:p w14:paraId="78751061">
            <w:pPr>
              <w:pStyle w:val="13"/>
            </w:pPr>
            <w:r>
              <w:t>2.按照工程进度及时支付工程款</w:t>
            </w:r>
          </w:p>
        </w:tc>
      </w:tr>
    </w:tbl>
    <w:p w14:paraId="7F8EE6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A5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1A729">
            <w:pPr>
              <w:pStyle w:val="11"/>
            </w:pPr>
            <w:r>
              <w:t>一级指标</w:t>
            </w:r>
          </w:p>
        </w:tc>
        <w:tc>
          <w:tcPr>
            <w:tcW w:w="2268" w:type="dxa"/>
            <w:vAlign w:val="center"/>
          </w:tcPr>
          <w:p w14:paraId="19A69224">
            <w:pPr>
              <w:pStyle w:val="11"/>
            </w:pPr>
            <w:r>
              <w:t>二级指标</w:t>
            </w:r>
          </w:p>
        </w:tc>
        <w:tc>
          <w:tcPr>
            <w:tcW w:w="2835" w:type="dxa"/>
            <w:vAlign w:val="center"/>
          </w:tcPr>
          <w:p w14:paraId="5DF193B5">
            <w:pPr>
              <w:pStyle w:val="11"/>
            </w:pPr>
            <w:r>
              <w:t>三级指标</w:t>
            </w:r>
          </w:p>
        </w:tc>
        <w:tc>
          <w:tcPr>
            <w:tcW w:w="5386" w:type="dxa"/>
            <w:vAlign w:val="center"/>
          </w:tcPr>
          <w:p w14:paraId="2D43BBA0">
            <w:pPr>
              <w:pStyle w:val="11"/>
            </w:pPr>
            <w:r>
              <w:t>绩效指标描述</w:t>
            </w:r>
          </w:p>
        </w:tc>
        <w:tc>
          <w:tcPr>
            <w:tcW w:w="2268" w:type="dxa"/>
            <w:vAlign w:val="center"/>
          </w:tcPr>
          <w:p w14:paraId="10A07EA3">
            <w:pPr>
              <w:pStyle w:val="11"/>
            </w:pPr>
            <w:r>
              <w:t>指标值</w:t>
            </w:r>
          </w:p>
        </w:tc>
        <w:tc>
          <w:tcPr>
            <w:tcW w:w="1276" w:type="dxa"/>
            <w:vAlign w:val="center"/>
          </w:tcPr>
          <w:p w14:paraId="4B587D7E">
            <w:pPr>
              <w:pStyle w:val="11"/>
            </w:pPr>
            <w:r>
              <w:t>指标值确定依据</w:t>
            </w:r>
          </w:p>
        </w:tc>
      </w:tr>
      <w:tr w14:paraId="68E12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B5B9B">
            <w:pPr>
              <w:pStyle w:val="12"/>
            </w:pPr>
            <w:r>
              <w:t>产出指标</w:t>
            </w:r>
          </w:p>
        </w:tc>
        <w:tc>
          <w:tcPr>
            <w:tcW w:w="2268" w:type="dxa"/>
            <w:vAlign w:val="center"/>
          </w:tcPr>
          <w:p w14:paraId="418BCBB1">
            <w:pPr>
              <w:pStyle w:val="13"/>
            </w:pPr>
            <w:r>
              <w:t>数量指标</w:t>
            </w:r>
          </w:p>
        </w:tc>
        <w:tc>
          <w:tcPr>
            <w:tcW w:w="2835" w:type="dxa"/>
            <w:vAlign w:val="center"/>
          </w:tcPr>
          <w:p w14:paraId="27DC5D88">
            <w:pPr>
              <w:pStyle w:val="13"/>
            </w:pPr>
            <w:r>
              <w:t>供暖系统改造</w:t>
            </w:r>
          </w:p>
        </w:tc>
        <w:tc>
          <w:tcPr>
            <w:tcW w:w="5386" w:type="dxa"/>
            <w:vAlign w:val="center"/>
          </w:tcPr>
          <w:p w14:paraId="2E6733BD">
            <w:pPr>
              <w:pStyle w:val="13"/>
            </w:pPr>
            <w:r>
              <w:t>按照合同规定的时间完成</w:t>
            </w:r>
          </w:p>
        </w:tc>
        <w:tc>
          <w:tcPr>
            <w:tcW w:w="2268" w:type="dxa"/>
            <w:vAlign w:val="center"/>
          </w:tcPr>
          <w:p w14:paraId="280E2BAB">
            <w:pPr>
              <w:pStyle w:val="13"/>
            </w:pPr>
            <w:r>
              <w:t>100%</w:t>
            </w:r>
          </w:p>
        </w:tc>
        <w:tc>
          <w:tcPr>
            <w:tcW w:w="1276" w:type="dxa"/>
            <w:vAlign w:val="center"/>
          </w:tcPr>
          <w:p w14:paraId="54D7CD0E">
            <w:pPr>
              <w:pStyle w:val="13"/>
            </w:pPr>
            <w:r>
              <w:t>年度工作计划</w:t>
            </w:r>
          </w:p>
        </w:tc>
      </w:tr>
      <w:tr w14:paraId="20C13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3C9AA"/>
        </w:tc>
        <w:tc>
          <w:tcPr>
            <w:tcW w:w="2268" w:type="dxa"/>
            <w:vAlign w:val="center"/>
          </w:tcPr>
          <w:p w14:paraId="6929D577">
            <w:pPr>
              <w:pStyle w:val="13"/>
            </w:pPr>
            <w:r>
              <w:t>质量指标</w:t>
            </w:r>
          </w:p>
        </w:tc>
        <w:tc>
          <w:tcPr>
            <w:tcW w:w="2835" w:type="dxa"/>
            <w:vAlign w:val="center"/>
          </w:tcPr>
          <w:p w14:paraId="0F78650F">
            <w:pPr>
              <w:pStyle w:val="13"/>
            </w:pPr>
            <w:r>
              <w:t>供暖系统改造</w:t>
            </w:r>
          </w:p>
        </w:tc>
        <w:tc>
          <w:tcPr>
            <w:tcW w:w="5386" w:type="dxa"/>
            <w:vAlign w:val="center"/>
          </w:tcPr>
          <w:p w14:paraId="63EE8713">
            <w:pPr>
              <w:pStyle w:val="13"/>
            </w:pPr>
            <w:r>
              <w:t>工程验收合格率</w:t>
            </w:r>
          </w:p>
        </w:tc>
        <w:tc>
          <w:tcPr>
            <w:tcW w:w="2268" w:type="dxa"/>
            <w:vAlign w:val="center"/>
          </w:tcPr>
          <w:p w14:paraId="0A7E2898">
            <w:pPr>
              <w:pStyle w:val="13"/>
            </w:pPr>
            <w:r>
              <w:t>100%</w:t>
            </w:r>
          </w:p>
        </w:tc>
        <w:tc>
          <w:tcPr>
            <w:tcW w:w="1276" w:type="dxa"/>
            <w:vAlign w:val="center"/>
          </w:tcPr>
          <w:p w14:paraId="32BA44A5">
            <w:pPr>
              <w:pStyle w:val="13"/>
            </w:pPr>
            <w:r>
              <w:t>年度工作计划</w:t>
            </w:r>
          </w:p>
        </w:tc>
      </w:tr>
      <w:tr w14:paraId="3C039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C4A41"/>
        </w:tc>
        <w:tc>
          <w:tcPr>
            <w:tcW w:w="2268" w:type="dxa"/>
            <w:vAlign w:val="center"/>
          </w:tcPr>
          <w:p w14:paraId="1B77245F">
            <w:pPr>
              <w:pStyle w:val="13"/>
            </w:pPr>
            <w:r>
              <w:t>时效指标</w:t>
            </w:r>
          </w:p>
        </w:tc>
        <w:tc>
          <w:tcPr>
            <w:tcW w:w="2835" w:type="dxa"/>
            <w:vAlign w:val="center"/>
          </w:tcPr>
          <w:p w14:paraId="0EF61AF4">
            <w:pPr>
              <w:pStyle w:val="13"/>
            </w:pPr>
            <w:r>
              <w:t>资金支付进度</w:t>
            </w:r>
          </w:p>
        </w:tc>
        <w:tc>
          <w:tcPr>
            <w:tcW w:w="5386" w:type="dxa"/>
            <w:vAlign w:val="center"/>
          </w:tcPr>
          <w:p w14:paraId="2A303894">
            <w:pPr>
              <w:pStyle w:val="13"/>
            </w:pPr>
            <w:r>
              <w:t>规定时间内完成率</w:t>
            </w:r>
          </w:p>
        </w:tc>
        <w:tc>
          <w:tcPr>
            <w:tcW w:w="2268" w:type="dxa"/>
            <w:vAlign w:val="center"/>
          </w:tcPr>
          <w:p w14:paraId="399B62FA">
            <w:pPr>
              <w:pStyle w:val="13"/>
            </w:pPr>
            <w:r>
              <w:t>100%</w:t>
            </w:r>
          </w:p>
        </w:tc>
        <w:tc>
          <w:tcPr>
            <w:tcW w:w="1276" w:type="dxa"/>
            <w:vAlign w:val="center"/>
          </w:tcPr>
          <w:p w14:paraId="48A93975">
            <w:pPr>
              <w:pStyle w:val="13"/>
            </w:pPr>
            <w:r>
              <w:t>年度工作计划</w:t>
            </w:r>
          </w:p>
        </w:tc>
      </w:tr>
      <w:tr w14:paraId="643FA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3835B"/>
        </w:tc>
        <w:tc>
          <w:tcPr>
            <w:tcW w:w="2268" w:type="dxa"/>
            <w:vAlign w:val="center"/>
          </w:tcPr>
          <w:p w14:paraId="38E3F76E">
            <w:pPr>
              <w:pStyle w:val="13"/>
            </w:pPr>
            <w:r>
              <w:t>成本指标</w:t>
            </w:r>
          </w:p>
        </w:tc>
        <w:tc>
          <w:tcPr>
            <w:tcW w:w="2835" w:type="dxa"/>
            <w:vAlign w:val="center"/>
          </w:tcPr>
          <w:p w14:paraId="5F0164B9">
            <w:pPr>
              <w:pStyle w:val="13"/>
            </w:pPr>
            <w:r>
              <w:t>工程实际成本</w:t>
            </w:r>
          </w:p>
        </w:tc>
        <w:tc>
          <w:tcPr>
            <w:tcW w:w="5386" w:type="dxa"/>
            <w:vAlign w:val="center"/>
          </w:tcPr>
          <w:p w14:paraId="646315BF">
            <w:pPr>
              <w:pStyle w:val="13"/>
            </w:pPr>
            <w:r>
              <w:t>工程实际成本</w:t>
            </w:r>
          </w:p>
        </w:tc>
        <w:tc>
          <w:tcPr>
            <w:tcW w:w="2268" w:type="dxa"/>
            <w:vAlign w:val="center"/>
          </w:tcPr>
          <w:p w14:paraId="1E861ECD">
            <w:pPr>
              <w:pStyle w:val="13"/>
            </w:pPr>
            <w:r>
              <w:t>≤290万元</w:t>
            </w:r>
          </w:p>
        </w:tc>
        <w:tc>
          <w:tcPr>
            <w:tcW w:w="1276" w:type="dxa"/>
            <w:vAlign w:val="center"/>
          </w:tcPr>
          <w:p w14:paraId="63F2BE00">
            <w:pPr>
              <w:pStyle w:val="13"/>
            </w:pPr>
            <w:r>
              <w:t>年度工作计划</w:t>
            </w:r>
          </w:p>
        </w:tc>
      </w:tr>
      <w:tr w14:paraId="2A978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CFDD91">
            <w:pPr>
              <w:pStyle w:val="12"/>
            </w:pPr>
            <w:r>
              <w:t>效益指标</w:t>
            </w:r>
          </w:p>
        </w:tc>
        <w:tc>
          <w:tcPr>
            <w:tcW w:w="2268" w:type="dxa"/>
            <w:vAlign w:val="center"/>
          </w:tcPr>
          <w:p w14:paraId="1BC5D069">
            <w:pPr>
              <w:pStyle w:val="13"/>
            </w:pPr>
            <w:r>
              <w:t>可持续影响指标</w:t>
            </w:r>
          </w:p>
        </w:tc>
        <w:tc>
          <w:tcPr>
            <w:tcW w:w="2835" w:type="dxa"/>
            <w:vAlign w:val="center"/>
          </w:tcPr>
          <w:p w14:paraId="281CB829">
            <w:pPr>
              <w:pStyle w:val="13"/>
            </w:pPr>
            <w:r>
              <w:t>使用年限</w:t>
            </w:r>
          </w:p>
        </w:tc>
        <w:tc>
          <w:tcPr>
            <w:tcW w:w="5386" w:type="dxa"/>
            <w:vAlign w:val="center"/>
          </w:tcPr>
          <w:p w14:paraId="0E36420C">
            <w:pPr>
              <w:pStyle w:val="13"/>
            </w:pPr>
            <w:r>
              <w:t>达到合同要求的使用年限</w:t>
            </w:r>
          </w:p>
        </w:tc>
        <w:tc>
          <w:tcPr>
            <w:tcW w:w="2268" w:type="dxa"/>
            <w:vAlign w:val="center"/>
          </w:tcPr>
          <w:p w14:paraId="26CA5477">
            <w:pPr>
              <w:pStyle w:val="13"/>
            </w:pPr>
            <w:r>
              <w:t>≥5年</w:t>
            </w:r>
          </w:p>
        </w:tc>
        <w:tc>
          <w:tcPr>
            <w:tcW w:w="1276" w:type="dxa"/>
            <w:vAlign w:val="center"/>
          </w:tcPr>
          <w:p w14:paraId="4F06ED5C">
            <w:pPr>
              <w:pStyle w:val="13"/>
            </w:pPr>
            <w:r>
              <w:t>年度工作计划</w:t>
            </w:r>
          </w:p>
        </w:tc>
      </w:tr>
      <w:tr w14:paraId="62803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26A5A">
            <w:pPr>
              <w:pStyle w:val="12"/>
            </w:pPr>
            <w:r>
              <w:t>满意度指标</w:t>
            </w:r>
          </w:p>
        </w:tc>
        <w:tc>
          <w:tcPr>
            <w:tcW w:w="2268" w:type="dxa"/>
            <w:vAlign w:val="center"/>
          </w:tcPr>
          <w:p w14:paraId="0A158868">
            <w:pPr>
              <w:pStyle w:val="13"/>
            </w:pPr>
            <w:r>
              <w:t>服务对象满意度指标</w:t>
            </w:r>
          </w:p>
        </w:tc>
        <w:tc>
          <w:tcPr>
            <w:tcW w:w="2835" w:type="dxa"/>
            <w:vAlign w:val="center"/>
          </w:tcPr>
          <w:p w14:paraId="501BDAA7">
            <w:pPr>
              <w:pStyle w:val="13"/>
            </w:pPr>
            <w:r>
              <w:t>师生对学习生活环境的满意度</w:t>
            </w:r>
          </w:p>
        </w:tc>
        <w:tc>
          <w:tcPr>
            <w:tcW w:w="5386" w:type="dxa"/>
            <w:vAlign w:val="center"/>
          </w:tcPr>
          <w:p w14:paraId="00881AE0">
            <w:pPr>
              <w:pStyle w:val="13"/>
            </w:pPr>
            <w:r>
              <w:t>师生对学习生活环境的满意度</w:t>
            </w:r>
          </w:p>
        </w:tc>
        <w:tc>
          <w:tcPr>
            <w:tcW w:w="2268" w:type="dxa"/>
            <w:vAlign w:val="center"/>
          </w:tcPr>
          <w:p w14:paraId="4AD09CD3">
            <w:pPr>
              <w:pStyle w:val="13"/>
            </w:pPr>
            <w:r>
              <w:t>≥98%</w:t>
            </w:r>
          </w:p>
        </w:tc>
        <w:tc>
          <w:tcPr>
            <w:tcW w:w="1276" w:type="dxa"/>
            <w:vAlign w:val="center"/>
          </w:tcPr>
          <w:p w14:paraId="327D43B3">
            <w:pPr>
              <w:pStyle w:val="13"/>
            </w:pPr>
            <w:r>
              <w:t>年度工作计划</w:t>
            </w:r>
          </w:p>
        </w:tc>
      </w:tr>
    </w:tbl>
    <w:p w14:paraId="7D052307">
      <w:pPr>
        <w:sectPr>
          <w:pgSz w:w="16840" w:h="11900" w:orient="landscape"/>
          <w:pgMar w:top="1361" w:right="1020" w:bottom="1134" w:left="1020" w:header="720" w:footer="720" w:gutter="0"/>
          <w:cols w:space="720" w:num="1"/>
        </w:sectPr>
      </w:pPr>
    </w:p>
    <w:p w14:paraId="7A9B21B1">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3、冀财教[2024]123号/中央/2025年义教补助经费/第二实验小学公用经费绩效目标表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FC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18628">
            <w:pPr>
              <w:pStyle w:val="14"/>
            </w:pPr>
            <w:r>
              <w:t>单位：万元</w:t>
            </w:r>
          </w:p>
        </w:tc>
      </w:tr>
      <w:tr w14:paraId="0774C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CD66C">
            <w:pPr>
              <w:pStyle w:val="11"/>
            </w:pPr>
            <w:r>
              <w:t>项目编码</w:t>
            </w:r>
          </w:p>
        </w:tc>
        <w:tc>
          <w:tcPr>
            <w:tcW w:w="5103" w:type="dxa"/>
            <w:gridSpan w:val="2"/>
            <w:vAlign w:val="center"/>
          </w:tcPr>
          <w:p w14:paraId="3CA2A016">
            <w:pPr>
              <w:pStyle w:val="13"/>
            </w:pPr>
            <w:r>
              <w:t>13052525P00000410055D</w:t>
            </w:r>
          </w:p>
        </w:tc>
        <w:tc>
          <w:tcPr>
            <w:tcW w:w="2835" w:type="dxa"/>
            <w:vAlign w:val="center"/>
          </w:tcPr>
          <w:p w14:paraId="608D3B6C">
            <w:pPr>
              <w:pStyle w:val="11"/>
            </w:pPr>
            <w:r>
              <w:t>项目名称</w:t>
            </w:r>
          </w:p>
        </w:tc>
        <w:tc>
          <w:tcPr>
            <w:tcW w:w="6095" w:type="dxa"/>
            <w:gridSpan w:val="3"/>
            <w:vAlign w:val="center"/>
          </w:tcPr>
          <w:p w14:paraId="645E162D">
            <w:pPr>
              <w:pStyle w:val="13"/>
            </w:pPr>
            <w:r>
              <w:t>冀财教[2024]123号/中央/2025年义教补助经费/第二实验小学公用经费</w:t>
            </w:r>
          </w:p>
        </w:tc>
      </w:tr>
      <w:tr w14:paraId="1B534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47D91">
            <w:pPr>
              <w:pStyle w:val="11"/>
            </w:pPr>
            <w:r>
              <w:t>预算规模及资金用途</w:t>
            </w:r>
          </w:p>
        </w:tc>
        <w:tc>
          <w:tcPr>
            <w:tcW w:w="2268" w:type="dxa"/>
            <w:vAlign w:val="center"/>
          </w:tcPr>
          <w:p w14:paraId="00930EF8">
            <w:pPr>
              <w:pStyle w:val="11"/>
            </w:pPr>
            <w:r>
              <w:t>预算数</w:t>
            </w:r>
          </w:p>
        </w:tc>
        <w:tc>
          <w:tcPr>
            <w:tcW w:w="2835" w:type="dxa"/>
            <w:vAlign w:val="center"/>
          </w:tcPr>
          <w:p w14:paraId="1942A506">
            <w:pPr>
              <w:pStyle w:val="13"/>
            </w:pPr>
            <w:r>
              <w:t>206.39</w:t>
            </w:r>
          </w:p>
        </w:tc>
        <w:tc>
          <w:tcPr>
            <w:tcW w:w="2835" w:type="dxa"/>
            <w:vAlign w:val="center"/>
          </w:tcPr>
          <w:p w14:paraId="60A2D61D">
            <w:pPr>
              <w:pStyle w:val="11"/>
            </w:pPr>
            <w:r>
              <w:t>其中：财政    资金</w:t>
            </w:r>
          </w:p>
        </w:tc>
        <w:tc>
          <w:tcPr>
            <w:tcW w:w="2551" w:type="dxa"/>
            <w:vAlign w:val="center"/>
          </w:tcPr>
          <w:p w14:paraId="5067BCA8">
            <w:pPr>
              <w:pStyle w:val="13"/>
            </w:pPr>
            <w:r>
              <w:t>206.39</w:t>
            </w:r>
          </w:p>
        </w:tc>
        <w:tc>
          <w:tcPr>
            <w:tcW w:w="2268" w:type="dxa"/>
            <w:vAlign w:val="center"/>
          </w:tcPr>
          <w:p w14:paraId="2BFEB5DC">
            <w:pPr>
              <w:pStyle w:val="11"/>
            </w:pPr>
            <w:r>
              <w:t>其他资金</w:t>
            </w:r>
          </w:p>
        </w:tc>
        <w:tc>
          <w:tcPr>
            <w:tcW w:w="1276" w:type="dxa"/>
            <w:vAlign w:val="center"/>
          </w:tcPr>
          <w:p w14:paraId="77582220">
            <w:pPr>
              <w:pStyle w:val="13"/>
            </w:pPr>
            <w:r>
              <w:t xml:space="preserve"> </w:t>
            </w:r>
          </w:p>
        </w:tc>
      </w:tr>
      <w:tr w14:paraId="7D1FF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EB6C5"/>
        </w:tc>
        <w:tc>
          <w:tcPr>
            <w:tcW w:w="14033" w:type="dxa"/>
            <w:gridSpan w:val="6"/>
            <w:vAlign w:val="center"/>
          </w:tcPr>
          <w:p w14:paraId="22FA943C">
            <w:pPr>
              <w:pStyle w:val="13"/>
            </w:pPr>
            <w:r>
              <w:t>保障义务教育学校正常运转，完成教育教学活动和其他日常工作任务等方面的费用支出。</w:t>
            </w:r>
            <w:r>
              <w:tab/>
            </w:r>
            <w:r>
              <w:tab/>
            </w:r>
            <w:r>
              <w:tab/>
            </w:r>
            <w:r>
              <w:tab/>
            </w:r>
            <w:r>
              <w:tab/>
            </w:r>
            <w:r>
              <w:tab/>
            </w:r>
          </w:p>
          <w:p w14:paraId="5F4F807F">
            <w:pPr>
              <w:pStyle w:val="13"/>
            </w:pPr>
          </w:p>
        </w:tc>
      </w:tr>
      <w:tr w14:paraId="7F16C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F5C8A">
            <w:pPr>
              <w:pStyle w:val="11"/>
            </w:pPr>
            <w:r>
              <w:t>资金支出计划（%）</w:t>
            </w:r>
          </w:p>
        </w:tc>
        <w:tc>
          <w:tcPr>
            <w:tcW w:w="5103" w:type="dxa"/>
            <w:gridSpan w:val="2"/>
            <w:vAlign w:val="center"/>
          </w:tcPr>
          <w:p w14:paraId="10E3F169">
            <w:pPr>
              <w:pStyle w:val="11"/>
            </w:pPr>
            <w:r>
              <w:t>3月底</w:t>
            </w:r>
          </w:p>
        </w:tc>
        <w:tc>
          <w:tcPr>
            <w:tcW w:w="2835" w:type="dxa"/>
            <w:vAlign w:val="center"/>
          </w:tcPr>
          <w:p w14:paraId="6B316458">
            <w:pPr>
              <w:pStyle w:val="11"/>
            </w:pPr>
            <w:r>
              <w:t>6月底</w:t>
            </w:r>
          </w:p>
        </w:tc>
        <w:tc>
          <w:tcPr>
            <w:tcW w:w="2551" w:type="dxa"/>
            <w:vAlign w:val="center"/>
          </w:tcPr>
          <w:p w14:paraId="3436F9F8">
            <w:pPr>
              <w:pStyle w:val="11"/>
            </w:pPr>
            <w:r>
              <w:t>10月底</w:t>
            </w:r>
          </w:p>
        </w:tc>
        <w:tc>
          <w:tcPr>
            <w:tcW w:w="3544" w:type="dxa"/>
            <w:gridSpan w:val="2"/>
            <w:vAlign w:val="center"/>
          </w:tcPr>
          <w:p w14:paraId="1B5FF7EB">
            <w:pPr>
              <w:pStyle w:val="11"/>
            </w:pPr>
            <w:r>
              <w:t>12月底</w:t>
            </w:r>
          </w:p>
        </w:tc>
      </w:tr>
      <w:tr w14:paraId="0BB8E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463C80"/>
        </w:tc>
        <w:tc>
          <w:tcPr>
            <w:tcW w:w="5103" w:type="dxa"/>
            <w:gridSpan w:val="2"/>
            <w:vAlign w:val="center"/>
          </w:tcPr>
          <w:p w14:paraId="1DED2852">
            <w:pPr>
              <w:pStyle w:val="12"/>
            </w:pPr>
            <w:r>
              <w:t>25%</w:t>
            </w:r>
          </w:p>
        </w:tc>
        <w:tc>
          <w:tcPr>
            <w:tcW w:w="2835" w:type="dxa"/>
            <w:vAlign w:val="center"/>
          </w:tcPr>
          <w:p w14:paraId="11ED6A62">
            <w:pPr>
              <w:pStyle w:val="12"/>
            </w:pPr>
            <w:r>
              <w:t>50%</w:t>
            </w:r>
          </w:p>
        </w:tc>
        <w:tc>
          <w:tcPr>
            <w:tcW w:w="2551" w:type="dxa"/>
            <w:vAlign w:val="center"/>
          </w:tcPr>
          <w:p w14:paraId="124E92D6">
            <w:pPr>
              <w:pStyle w:val="12"/>
            </w:pPr>
            <w:r>
              <w:t>75%</w:t>
            </w:r>
          </w:p>
        </w:tc>
        <w:tc>
          <w:tcPr>
            <w:tcW w:w="3544" w:type="dxa"/>
            <w:gridSpan w:val="2"/>
            <w:vAlign w:val="center"/>
          </w:tcPr>
          <w:p w14:paraId="36AAB040">
            <w:pPr>
              <w:pStyle w:val="12"/>
            </w:pPr>
            <w:r>
              <w:t>100%</w:t>
            </w:r>
          </w:p>
        </w:tc>
      </w:tr>
      <w:tr w14:paraId="3CC6E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CAD58C">
            <w:pPr>
              <w:pStyle w:val="11"/>
            </w:pPr>
            <w:r>
              <w:t>绩效目标</w:t>
            </w:r>
          </w:p>
        </w:tc>
        <w:tc>
          <w:tcPr>
            <w:tcW w:w="14033" w:type="dxa"/>
            <w:gridSpan w:val="6"/>
            <w:vAlign w:val="center"/>
          </w:tcPr>
          <w:p w14:paraId="117A2CB9">
            <w:pPr>
              <w:pStyle w:val="13"/>
            </w:pPr>
            <w:r>
              <w:t>1.保障义务教育学校正常运转，完成教育教学活动和其他日常工作任务等方面的费用支出。</w:t>
            </w:r>
            <w:r>
              <w:tab/>
            </w:r>
            <w:r>
              <w:tab/>
            </w:r>
            <w:r>
              <w:tab/>
            </w:r>
            <w:r>
              <w:tab/>
            </w:r>
            <w:r>
              <w:tab/>
            </w:r>
            <w:r>
              <w:tab/>
            </w:r>
          </w:p>
          <w:p w14:paraId="6D92CE49">
            <w:pPr>
              <w:pStyle w:val="13"/>
            </w:pPr>
          </w:p>
          <w:p w14:paraId="004AA3F1">
            <w:pPr>
              <w:pStyle w:val="13"/>
            </w:pPr>
            <w:r>
              <w:t>2.按时完成资金拨款和支付</w:t>
            </w:r>
          </w:p>
        </w:tc>
      </w:tr>
    </w:tbl>
    <w:p w14:paraId="297A9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53C06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77046">
            <w:pPr>
              <w:pStyle w:val="11"/>
            </w:pPr>
            <w:r>
              <w:t>一级指标</w:t>
            </w:r>
          </w:p>
        </w:tc>
        <w:tc>
          <w:tcPr>
            <w:tcW w:w="2268" w:type="dxa"/>
            <w:vAlign w:val="center"/>
          </w:tcPr>
          <w:p w14:paraId="17386A93">
            <w:pPr>
              <w:pStyle w:val="11"/>
            </w:pPr>
            <w:r>
              <w:t>二级指标</w:t>
            </w:r>
          </w:p>
        </w:tc>
        <w:tc>
          <w:tcPr>
            <w:tcW w:w="2835" w:type="dxa"/>
            <w:vAlign w:val="center"/>
          </w:tcPr>
          <w:p w14:paraId="1053AAE4">
            <w:pPr>
              <w:pStyle w:val="11"/>
            </w:pPr>
            <w:r>
              <w:t>三级指标</w:t>
            </w:r>
          </w:p>
        </w:tc>
        <w:tc>
          <w:tcPr>
            <w:tcW w:w="5386" w:type="dxa"/>
            <w:vAlign w:val="center"/>
          </w:tcPr>
          <w:p w14:paraId="179B1843">
            <w:pPr>
              <w:pStyle w:val="11"/>
            </w:pPr>
            <w:r>
              <w:t>绩效指标描述</w:t>
            </w:r>
          </w:p>
        </w:tc>
        <w:tc>
          <w:tcPr>
            <w:tcW w:w="1583" w:type="dxa"/>
            <w:vAlign w:val="center"/>
          </w:tcPr>
          <w:p w14:paraId="56466338">
            <w:pPr>
              <w:pStyle w:val="11"/>
            </w:pPr>
            <w:r>
              <w:t>指标值</w:t>
            </w:r>
          </w:p>
        </w:tc>
        <w:tc>
          <w:tcPr>
            <w:tcW w:w="1961" w:type="dxa"/>
            <w:vAlign w:val="center"/>
          </w:tcPr>
          <w:p w14:paraId="5C129795">
            <w:pPr>
              <w:pStyle w:val="11"/>
            </w:pPr>
            <w:r>
              <w:t>指标值确定依据</w:t>
            </w:r>
          </w:p>
        </w:tc>
      </w:tr>
      <w:tr w14:paraId="1CEEC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57F2C">
            <w:pPr>
              <w:pStyle w:val="12"/>
            </w:pPr>
            <w:r>
              <w:t>产出指标</w:t>
            </w:r>
          </w:p>
        </w:tc>
        <w:tc>
          <w:tcPr>
            <w:tcW w:w="2268" w:type="dxa"/>
            <w:vAlign w:val="center"/>
          </w:tcPr>
          <w:p w14:paraId="172FB682">
            <w:pPr>
              <w:pStyle w:val="13"/>
            </w:pPr>
            <w:r>
              <w:t>数量指标</w:t>
            </w:r>
          </w:p>
        </w:tc>
        <w:tc>
          <w:tcPr>
            <w:tcW w:w="2835" w:type="dxa"/>
            <w:vAlign w:val="center"/>
          </w:tcPr>
          <w:p w14:paraId="3CA5A0BE">
            <w:pPr>
              <w:pStyle w:val="13"/>
            </w:pPr>
            <w:r>
              <w:t>适龄在校生</w:t>
            </w:r>
          </w:p>
        </w:tc>
        <w:tc>
          <w:tcPr>
            <w:tcW w:w="5386" w:type="dxa"/>
            <w:vAlign w:val="center"/>
          </w:tcPr>
          <w:p w14:paraId="40BF845C">
            <w:pPr>
              <w:pStyle w:val="13"/>
            </w:pPr>
            <w:r>
              <w:t>适龄在校就读学生人数</w:t>
            </w:r>
          </w:p>
        </w:tc>
        <w:tc>
          <w:tcPr>
            <w:tcW w:w="1583" w:type="dxa"/>
            <w:vAlign w:val="center"/>
          </w:tcPr>
          <w:p w14:paraId="0BD326D7">
            <w:pPr>
              <w:pStyle w:val="13"/>
            </w:pPr>
            <w:r>
              <w:t>3150人</w:t>
            </w:r>
          </w:p>
        </w:tc>
        <w:tc>
          <w:tcPr>
            <w:tcW w:w="1961" w:type="dxa"/>
            <w:vAlign w:val="center"/>
          </w:tcPr>
          <w:p w14:paraId="03B9AEA8">
            <w:pPr>
              <w:pStyle w:val="13"/>
            </w:pPr>
            <w:r>
              <w:t>城乡义务教育公用经费管理办法</w:t>
            </w:r>
          </w:p>
        </w:tc>
      </w:tr>
      <w:tr w14:paraId="55C8C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9B4FA"/>
        </w:tc>
        <w:tc>
          <w:tcPr>
            <w:tcW w:w="2268" w:type="dxa"/>
            <w:vAlign w:val="center"/>
          </w:tcPr>
          <w:p w14:paraId="1B3EC40C">
            <w:pPr>
              <w:pStyle w:val="13"/>
            </w:pPr>
            <w:r>
              <w:t>质量指标</w:t>
            </w:r>
          </w:p>
        </w:tc>
        <w:tc>
          <w:tcPr>
            <w:tcW w:w="2835" w:type="dxa"/>
            <w:vAlign w:val="center"/>
          </w:tcPr>
          <w:p w14:paraId="0FCF7BBD">
            <w:pPr>
              <w:pStyle w:val="13"/>
            </w:pPr>
            <w:r>
              <w:t>公用经费拨付完成率</w:t>
            </w:r>
          </w:p>
        </w:tc>
        <w:tc>
          <w:tcPr>
            <w:tcW w:w="5386" w:type="dxa"/>
            <w:vAlign w:val="center"/>
          </w:tcPr>
          <w:p w14:paraId="22122BFC">
            <w:pPr>
              <w:pStyle w:val="13"/>
            </w:pPr>
            <w:r>
              <w:t>公用经费拨付完成率达到需时进度</w:t>
            </w:r>
          </w:p>
        </w:tc>
        <w:tc>
          <w:tcPr>
            <w:tcW w:w="1583" w:type="dxa"/>
            <w:vAlign w:val="center"/>
          </w:tcPr>
          <w:p w14:paraId="74FF8130">
            <w:pPr>
              <w:pStyle w:val="13"/>
            </w:pPr>
            <w:r>
              <w:t>100%</w:t>
            </w:r>
          </w:p>
        </w:tc>
        <w:tc>
          <w:tcPr>
            <w:tcW w:w="1961" w:type="dxa"/>
            <w:vAlign w:val="center"/>
          </w:tcPr>
          <w:p w14:paraId="7DB1777B">
            <w:pPr>
              <w:pStyle w:val="13"/>
            </w:pPr>
            <w:r>
              <w:t>城乡义务教育公用经费管理办法</w:t>
            </w:r>
          </w:p>
        </w:tc>
      </w:tr>
      <w:tr w14:paraId="6D270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55EA6"/>
        </w:tc>
        <w:tc>
          <w:tcPr>
            <w:tcW w:w="2268" w:type="dxa"/>
            <w:vAlign w:val="center"/>
          </w:tcPr>
          <w:p w14:paraId="04ACF38F">
            <w:pPr>
              <w:pStyle w:val="13"/>
            </w:pPr>
            <w:r>
              <w:t>时效指标</w:t>
            </w:r>
          </w:p>
        </w:tc>
        <w:tc>
          <w:tcPr>
            <w:tcW w:w="2835" w:type="dxa"/>
            <w:vAlign w:val="center"/>
          </w:tcPr>
          <w:p w14:paraId="49C4E4C2">
            <w:pPr>
              <w:pStyle w:val="13"/>
            </w:pPr>
            <w:r>
              <w:t>义教经费支付完成率</w:t>
            </w:r>
          </w:p>
        </w:tc>
        <w:tc>
          <w:tcPr>
            <w:tcW w:w="5386" w:type="dxa"/>
            <w:vAlign w:val="center"/>
          </w:tcPr>
          <w:p w14:paraId="4B7CD783">
            <w:pPr>
              <w:pStyle w:val="13"/>
            </w:pPr>
            <w:r>
              <w:t>按照序时进度完成资金支付</w:t>
            </w:r>
          </w:p>
        </w:tc>
        <w:tc>
          <w:tcPr>
            <w:tcW w:w="1583" w:type="dxa"/>
            <w:vAlign w:val="center"/>
          </w:tcPr>
          <w:p w14:paraId="4557375A">
            <w:pPr>
              <w:pStyle w:val="13"/>
            </w:pPr>
            <w:r>
              <w:t>100%</w:t>
            </w:r>
          </w:p>
        </w:tc>
        <w:tc>
          <w:tcPr>
            <w:tcW w:w="1961" w:type="dxa"/>
            <w:vAlign w:val="center"/>
          </w:tcPr>
          <w:p w14:paraId="381C8772">
            <w:pPr>
              <w:pStyle w:val="13"/>
            </w:pPr>
            <w:r>
              <w:t>城乡义务教育公用经费管理办法</w:t>
            </w:r>
          </w:p>
        </w:tc>
      </w:tr>
      <w:tr w14:paraId="64498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528B9"/>
        </w:tc>
        <w:tc>
          <w:tcPr>
            <w:tcW w:w="2268" w:type="dxa"/>
            <w:vAlign w:val="center"/>
          </w:tcPr>
          <w:p w14:paraId="689D31CF">
            <w:pPr>
              <w:pStyle w:val="13"/>
            </w:pPr>
            <w:r>
              <w:t>成本指标</w:t>
            </w:r>
          </w:p>
        </w:tc>
        <w:tc>
          <w:tcPr>
            <w:tcW w:w="2835" w:type="dxa"/>
            <w:vAlign w:val="center"/>
          </w:tcPr>
          <w:p w14:paraId="77E05AFA">
            <w:pPr>
              <w:pStyle w:val="13"/>
            </w:pPr>
            <w:r>
              <w:t>生均拨款标准</w:t>
            </w:r>
          </w:p>
        </w:tc>
        <w:tc>
          <w:tcPr>
            <w:tcW w:w="5386" w:type="dxa"/>
            <w:vAlign w:val="center"/>
          </w:tcPr>
          <w:p w14:paraId="29249074">
            <w:pPr>
              <w:pStyle w:val="13"/>
            </w:pPr>
            <w:r>
              <w:t>小学：（基本标准720元、寄宿生300元、生活补助120元）/生/学年；</w:t>
            </w:r>
          </w:p>
        </w:tc>
        <w:tc>
          <w:tcPr>
            <w:tcW w:w="1583" w:type="dxa"/>
            <w:vAlign w:val="center"/>
          </w:tcPr>
          <w:p w14:paraId="68BE00CA">
            <w:pPr>
              <w:pStyle w:val="13"/>
            </w:pPr>
            <w:r>
              <w:t>1140元</w:t>
            </w:r>
          </w:p>
        </w:tc>
        <w:tc>
          <w:tcPr>
            <w:tcW w:w="1961" w:type="dxa"/>
            <w:vAlign w:val="center"/>
          </w:tcPr>
          <w:p w14:paraId="485036F8">
            <w:pPr>
              <w:pStyle w:val="13"/>
            </w:pPr>
            <w:r>
              <w:t>城乡义务教育公用经费管理办法</w:t>
            </w:r>
          </w:p>
        </w:tc>
      </w:tr>
      <w:tr w14:paraId="08CA3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214AC">
            <w:pPr>
              <w:pStyle w:val="12"/>
            </w:pPr>
            <w:r>
              <w:t>效益指标</w:t>
            </w:r>
          </w:p>
        </w:tc>
        <w:tc>
          <w:tcPr>
            <w:tcW w:w="2268" w:type="dxa"/>
            <w:vAlign w:val="center"/>
          </w:tcPr>
          <w:p w14:paraId="4B4999CF">
            <w:pPr>
              <w:pStyle w:val="13"/>
            </w:pPr>
            <w:r>
              <w:t>社会效益指标</w:t>
            </w:r>
          </w:p>
        </w:tc>
        <w:tc>
          <w:tcPr>
            <w:tcW w:w="2835" w:type="dxa"/>
            <w:vAlign w:val="center"/>
          </w:tcPr>
          <w:p w14:paraId="0766A406">
            <w:pPr>
              <w:pStyle w:val="13"/>
            </w:pPr>
            <w:r>
              <w:t>学校稳定率</w:t>
            </w:r>
          </w:p>
        </w:tc>
        <w:tc>
          <w:tcPr>
            <w:tcW w:w="5386" w:type="dxa"/>
            <w:vAlign w:val="center"/>
          </w:tcPr>
          <w:p w14:paraId="321ACAF5">
            <w:pPr>
              <w:pStyle w:val="13"/>
            </w:pPr>
            <w:r>
              <w:t>维护学校稳定，保障学生就读巩固率</w:t>
            </w:r>
          </w:p>
        </w:tc>
        <w:tc>
          <w:tcPr>
            <w:tcW w:w="1583" w:type="dxa"/>
            <w:vAlign w:val="center"/>
          </w:tcPr>
          <w:p w14:paraId="569921FD">
            <w:pPr>
              <w:pStyle w:val="13"/>
            </w:pPr>
            <w:r>
              <w:t>99.5%</w:t>
            </w:r>
          </w:p>
        </w:tc>
        <w:tc>
          <w:tcPr>
            <w:tcW w:w="1961" w:type="dxa"/>
            <w:vAlign w:val="center"/>
          </w:tcPr>
          <w:p w14:paraId="6F60DECF">
            <w:pPr>
              <w:pStyle w:val="13"/>
            </w:pPr>
            <w:r>
              <w:t>城乡义务教育公用经费管理办法</w:t>
            </w:r>
          </w:p>
        </w:tc>
      </w:tr>
      <w:tr w14:paraId="2E9B6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3BAE5"/>
        </w:tc>
        <w:tc>
          <w:tcPr>
            <w:tcW w:w="2268" w:type="dxa"/>
            <w:vAlign w:val="center"/>
          </w:tcPr>
          <w:p w14:paraId="40D8489B">
            <w:pPr>
              <w:pStyle w:val="13"/>
            </w:pPr>
            <w:r>
              <w:t>可持续影响指标</w:t>
            </w:r>
          </w:p>
        </w:tc>
        <w:tc>
          <w:tcPr>
            <w:tcW w:w="2835" w:type="dxa"/>
            <w:vAlign w:val="center"/>
          </w:tcPr>
          <w:p w14:paraId="2F83A30E">
            <w:pPr>
              <w:pStyle w:val="13"/>
            </w:pPr>
            <w:r>
              <w:t>有效缓解就读学生家庭负担</w:t>
            </w:r>
          </w:p>
        </w:tc>
        <w:tc>
          <w:tcPr>
            <w:tcW w:w="5386" w:type="dxa"/>
            <w:vAlign w:val="center"/>
          </w:tcPr>
          <w:p w14:paraId="0465ECC9">
            <w:pPr>
              <w:pStyle w:val="13"/>
            </w:pPr>
            <w:r>
              <w:t>减轻在校学生家庭负担</w:t>
            </w:r>
          </w:p>
        </w:tc>
        <w:tc>
          <w:tcPr>
            <w:tcW w:w="1583" w:type="dxa"/>
            <w:vAlign w:val="center"/>
          </w:tcPr>
          <w:p w14:paraId="0F72F230">
            <w:pPr>
              <w:pStyle w:val="13"/>
            </w:pPr>
            <w:r>
              <w:t>1年</w:t>
            </w:r>
          </w:p>
        </w:tc>
        <w:tc>
          <w:tcPr>
            <w:tcW w:w="1961" w:type="dxa"/>
            <w:vAlign w:val="center"/>
          </w:tcPr>
          <w:p w14:paraId="07594CBA">
            <w:pPr>
              <w:pStyle w:val="13"/>
            </w:pPr>
            <w:r>
              <w:t>城乡义务教育公用经费管理办法</w:t>
            </w:r>
          </w:p>
        </w:tc>
      </w:tr>
      <w:tr w14:paraId="5E1D6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57C7BF">
            <w:pPr>
              <w:pStyle w:val="12"/>
            </w:pPr>
            <w:r>
              <w:t>满意度指标</w:t>
            </w:r>
          </w:p>
        </w:tc>
        <w:tc>
          <w:tcPr>
            <w:tcW w:w="2268" w:type="dxa"/>
            <w:vAlign w:val="center"/>
          </w:tcPr>
          <w:p w14:paraId="50A87F49">
            <w:pPr>
              <w:pStyle w:val="13"/>
            </w:pPr>
            <w:r>
              <w:t>服务对象满意度指标</w:t>
            </w:r>
          </w:p>
        </w:tc>
        <w:tc>
          <w:tcPr>
            <w:tcW w:w="2835" w:type="dxa"/>
            <w:vAlign w:val="center"/>
          </w:tcPr>
          <w:p w14:paraId="6B510E48">
            <w:pPr>
              <w:pStyle w:val="13"/>
            </w:pPr>
            <w:r>
              <w:t>服务对象满意度</w:t>
            </w:r>
          </w:p>
        </w:tc>
        <w:tc>
          <w:tcPr>
            <w:tcW w:w="5386" w:type="dxa"/>
            <w:vAlign w:val="center"/>
          </w:tcPr>
          <w:p w14:paraId="2DC0F5B5">
            <w:pPr>
              <w:pStyle w:val="13"/>
            </w:pPr>
            <w:r>
              <w:t>学校老师和学生满意度</w:t>
            </w:r>
          </w:p>
        </w:tc>
        <w:tc>
          <w:tcPr>
            <w:tcW w:w="1583" w:type="dxa"/>
            <w:vAlign w:val="center"/>
          </w:tcPr>
          <w:p w14:paraId="1EBA5C1A">
            <w:pPr>
              <w:pStyle w:val="13"/>
            </w:pPr>
            <w:r>
              <w:t>98%</w:t>
            </w:r>
          </w:p>
          <w:p w14:paraId="39D74599">
            <w:pPr>
              <w:pStyle w:val="13"/>
            </w:pPr>
          </w:p>
        </w:tc>
        <w:tc>
          <w:tcPr>
            <w:tcW w:w="1961" w:type="dxa"/>
            <w:vAlign w:val="center"/>
          </w:tcPr>
          <w:p w14:paraId="78331CF5">
            <w:pPr>
              <w:pStyle w:val="13"/>
            </w:pPr>
            <w:r>
              <w:t>城乡义务教育公用经费管理办法</w:t>
            </w:r>
          </w:p>
        </w:tc>
      </w:tr>
    </w:tbl>
    <w:p w14:paraId="77C37544">
      <w:pPr>
        <w:sectPr>
          <w:pgSz w:w="16840" w:h="11900" w:orient="landscape"/>
          <w:pgMar w:top="1361" w:right="1020" w:bottom="1134" w:left="1020" w:header="720" w:footer="720" w:gutter="0"/>
          <w:cols w:space="720" w:num="1"/>
        </w:sectPr>
      </w:pPr>
    </w:p>
    <w:p w14:paraId="391875B9">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4、冀财教[2024]123号/中央/2025年义教补助经费/校舍安全保障/第二实验小学防水维修绩效目标表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6A0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938F1">
            <w:pPr>
              <w:pStyle w:val="14"/>
            </w:pPr>
            <w:r>
              <w:t>单位：万元</w:t>
            </w:r>
          </w:p>
        </w:tc>
      </w:tr>
      <w:tr w14:paraId="0C1ED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C5FF98">
            <w:pPr>
              <w:pStyle w:val="11"/>
            </w:pPr>
            <w:r>
              <w:t>项目编码</w:t>
            </w:r>
          </w:p>
        </w:tc>
        <w:tc>
          <w:tcPr>
            <w:tcW w:w="5103" w:type="dxa"/>
            <w:gridSpan w:val="2"/>
            <w:vAlign w:val="center"/>
          </w:tcPr>
          <w:p w14:paraId="3E8320F8">
            <w:pPr>
              <w:pStyle w:val="13"/>
            </w:pPr>
            <w:r>
              <w:t>13052525P00876210009B</w:t>
            </w:r>
          </w:p>
        </w:tc>
        <w:tc>
          <w:tcPr>
            <w:tcW w:w="2835" w:type="dxa"/>
            <w:vAlign w:val="center"/>
          </w:tcPr>
          <w:p w14:paraId="4ED69190">
            <w:pPr>
              <w:pStyle w:val="11"/>
            </w:pPr>
            <w:r>
              <w:t>项目名称</w:t>
            </w:r>
          </w:p>
        </w:tc>
        <w:tc>
          <w:tcPr>
            <w:tcW w:w="6095" w:type="dxa"/>
            <w:gridSpan w:val="3"/>
            <w:vAlign w:val="center"/>
          </w:tcPr>
          <w:p w14:paraId="3CEADA57">
            <w:pPr>
              <w:pStyle w:val="13"/>
            </w:pPr>
            <w:r>
              <w:t>冀财教[2024]123号/中央/2025年义教补助经费/校舍安全保障/第二实验小学防水维修</w:t>
            </w:r>
          </w:p>
        </w:tc>
      </w:tr>
      <w:tr w14:paraId="63E94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A7651">
            <w:pPr>
              <w:pStyle w:val="11"/>
            </w:pPr>
            <w:r>
              <w:t>预算规模及资金用途</w:t>
            </w:r>
          </w:p>
        </w:tc>
        <w:tc>
          <w:tcPr>
            <w:tcW w:w="2268" w:type="dxa"/>
            <w:vAlign w:val="center"/>
          </w:tcPr>
          <w:p w14:paraId="24819B16">
            <w:pPr>
              <w:pStyle w:val="11"/>
            </w:pPr>
            <w:r>
              <w:t>预算数</w:t>
            </w:r>
          </w:p>
        </w:tc>
        <w:tc>
          <w:tcPr>
            <w:tcW w:w="2835" w:type="dxa"/>
            <w:vAlign w:val="center"/>
          </w:tcPr>
          <w:p w14:paraId="7562CCED">
            <w:pPr>
              <w:pStyle w:val="13"/>
            </w:pPr>
            <w:r>
              <w:t>42.00</w:t>
            </w:r>
          </w:p>
        </w:tc>
        <w:tc>
          <w:tcPr>
            <w:tcW w:w="2835" w:type="dxa"/>
            <w:vAlign w:val="center"/>
          </w:tcPr>
          <w:p w14:paraId="4F090DD0">
            <w:pPr>
              <w:pStyle w:val="11"/>
            </w:pPr>
            <w:r>
              <w:t>其中：财政    资金</w:t>
            </w:r>
          </w:p>
        </w:tc>
        <w:tc>
          <w:tcPr>
            <w:tcW w:w="2551" w:type="dxa"/>
            <w:vAlign w:val="center"/>
          </w:tcPr>
          <w:p w14:paraId="6A121935">
            <w:pPr>
              <w:pStyle w:val="13"/>
            </w:pPr>
            <w:r>
              <w:t>42.00</w:t>
            </w:r>
          </w:p>
        </w:tc>
        <w:tc>
          <w:tcPr>
            <w:tcW w:w="2268" w:type="dxa"/>
            <w:vAlign w:val="center"/>
          </w:tcPr>
          <w:p w14:paraId="0B26D2E6">
            <w:pPr>
              <w:pStyle w:val="11"/>
            </w:pPr>
            <w:r>
              <w:t>其他资金</w:t>
            </w:r>
          </w:p>
        </w:tc>
        <w:tc>
          <w:tcPr>
            <w:tcW w:w="1276" w:type="dxa"/>
            <w:vAlign w:val="center"/>
          </w:tcPr>
          <w:p w14:paraId="2C9346C3">
            <w:pPr>
              <w:pStyle w:val="13"/>
            </w:pPr>
            <w:r>
              <w:t xml:space="preserve"> </w:t>
            </w:r>
          </w:p>
        </w:tc>
      </w:tr>
      <w:tr w14:paraId="1D0D7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F86C15"/>
        </w:tc>
        <w:tc>
          <w:tcPr>
            <w:tcW w:w="14033" w:type="dxa"/>
            <w:gridSpan w:val="6"/>
            <w:vAlign w:val="center"/>
          </w:tcPr>
          <w:p w14:paraId="7AB00476">
            <w:pPr>
              <w:pStyle w:val="13"/>
            </w:pPr>
            <w:r>
              <w:t>按时完成第二实验小学防水维修工程，提高师生学习工作环境，提升安全指数</w:t>
            </w:r>
            <w:r>
              <w:tab/>
            </w:r>
            <w:r>
              <w:tab/>
            </w:r>
            <w:r>
              <w:tab/>
            </w:r>
            <w:r>
              <w:tab/>
            </w:r>
            <w:r>
              <w:tab/>
            </w:r>
            <w:r>
              <w:tab/>
            </w:r>
          </w:p>
          <w:p w14:paraId="2C63186B">
            <w:pPr>
              <w:pStyle w:val="13"/>
            </w:pPr>
          </w:p>
        </w:tc>
      </w:tr>
      <w:tr w14:paraId="46834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0BDF4">
            <w:pPr>
              <w:pStyle w:val="11"/>
            </w:pPr>
            <w:r>
              <w:t>资金支出计划（%）</w:t>
            </w:r>
          </w:p>
        </w:tc>
        <w:tc>
          <w:tcPr>
            <w:tcW w:w="5103" w:type="dxa"/>
            <w:gridSpan w:val="2"/>
            <w:vAlign w:val="center"/>
          </w:tcPr>
          <w:p w14:paraId="54E09227">
            <w:pPr>
              <w:pStyle w:val="11"/>
            </w:pPr>
            <w:r>
              <w:t>3月底</w:t>
            </w:r>
          </w:p>
        </w:tc>
        <w:tc>
          <w:tcPr>
            <w:tcW w:w="2835" w:type="dxa"/>
            <w:vAlign w:val="center"/>
          </w:tcPr>
          <w:p w14:paraId="5BA2E1D5">
            <w:pPr>
              <w:pStyle w:val="11"/>
            </w:pPr>
            <w:r>
              <w:t>6月底</w:t>
            </w:r>
          </w:p>
        </w:tc>
        <w:tc>
          <w:tcPr>
            <w:tcW w:w="2551" w:type="dxa"/>
            <w:vAlign w:val="center"/>
          </w:tcPr>
          <w:p w14:paraId="4B6F2E66">
            <w:pPr>
              <w:pStyle w:val="11"/>
            </w:pPr>
            <w:r>
              <w:t>10月底</w:t>
            </w:r>
          </w:p>
        </w:tc>
        <w:tc>
          <w:tcPr>
            <w:tcW w:w="3544" w:type="dxa"/>
            <w:gridSpan w:val="2"/>
            <w:vAlign w:val="center"/>
          </w:tcPr>
          <w:p w14:paraId="46ECDFC3">
            <w:pPr>
              <w:pStyle w:val="11"/>
            </w:pPr>
            <w:r>
              <w:t>12月底</w:t>
            </w:r>
          </w:p>
        </w:tc>
      </w:tr>
      <w:tr w14:paraId="26450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08F57B51"/>
        </w:tc>
        <w:tc>
          <w:tcPr>
            <w:tcW w:w="5103" w:type="dxa"/>
            <w:gridSpan w:val="2"/>
            <w:vAlign w:val="center"/>
          </w:tcPr>
          <w:p w14:paraId="7D013ABE">
            <w:pPr>
              <w:pStyle w:val="12"/>
            </w:pPr>
            <w:r>
              <w:t xml:space="preserve"> </w:t>
            </w:r>
          </w:p>
        </w:tc>
        <w:tc>
          <w:tcPr>
            <w:tcW w:w="2835" w:type="dxa"/>
            <w:vAlign w:val="center"/>
          </w:tcPr>
          <w:p w14:paraId="3A69CC66">
            <w:pPr>
              <w:pStyle w:val="12"/>
            </w:pPr>
            <w:r>
              <w:t>80%</w:t>
            </w:r>
          </w:p>
        </w:tc>
        <w:tc>
          <w:tcPr>
            <w:tcW w:w="2551" w:type="dxa"/>
            <w:vAlign w:val="center"/>
          </w:tcPr>
          <w:p w14:paraId="0AEE6D19">
            <w:pPr>
              <w:pStyle w:val="12"/>
            </w:pPr>
            <w:r>
              <w:t>100%</w:t>
            </w:r>
          </w:p>
        </w:tc>
        <w:tc>
          <w:tcPr>
            <w:tcW w:w="3544" w:type="dxa"/>
            <w:gridSpan w:val="2"/>
            <w:vAlign w:val="center"/>
          </w:tcPr>
          <w:p w14:paraId="464513C7">
            <w:pPr>
              <w:pStyle w:val="12"/>
            </w:pPr>
            <w:r>
              <w:t xml:space="preserve"> </w:t>
            </w:r>
          </w:p>
        </w:tc>
      </w:tr>
      <w:tr w14:paraId="14FE9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6F367">
            <w:pPr>
              <w:pStyle w:val="11"/>
            </w:pPr>
            <w:r>
              <w:t>绩效目标</w:t>
            </w:r>
          </w:p>
        </w:tc>
        <w:tc>
          <w:tcPr>
            <w:tcW w:w="14033" w:type="dxa"/>
            <w:gridSpan w:val="6"/>
            <w:vAlign w:val="center"/>
          </w:tcPr>
          <w:p w14:paraId="457CD0AD">
            <w:pPr>
              <w:pStyle w:val="13"/>
            </w:pPr>
            <w:r>
              <w:t>1.按时完成第二实验小学防水维修工程，提高师生学习工作环境，提升安全指数</w:t>
            </w:r>
          </w:p>
          <w:p w14:paraId="07EF4FB7">
            <w:pPr>
              <w:pStyle w:val="13"/>
            </w:pPr>
            <w:r>
              <w:t>2.按照工程进度及时支付工程款</w:t>
            </w:r>
          </w:p>
        </w:tc>
      </w:tr>
    </w:tbl>
    <w:p w14:paraId="614B8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2A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21926">
            <w:pPr>
              <w:pStyle w:val="11"/>
            </w:pPr>
            <w:r>
              <w:t>一级指标</w:t>
            </w:r>
          </w:p>
        </w:tc>
        <w:tc>
          <w:tcPr>
            <w:tcW w:w="2268" w:type="dxa"/>
            <w:vAlign w:val="center"/>
          </w:tcPr>
          <w:p w14:paraId="4E5D848D">
            <w:pPr>
              <w:pStyle w:val="11"/>
            </w:pPr>
            <w:r>
              <w:t>二级指标</w:t>
            </w:r>
          </w:p>
        </w:tc>
        <w:tc>
          <w:tcPr>
            <w:tcW w:w="2835" w:type="dxa"/>
            <w:vAlign w:val="center"/>
          </w:tcPr>
          <w:p w14:paraId="79427D7A">
            <w:pPr>
              <w:pStyle w:val="11"/>
            </w:pPr>
            <w:r>
              <w:t>三级指标</w:t>
            </w:r>
          </w:p>
        </w:tc>
        <w:tc>
          <w:tcPr>
            <w:tcW w:w="5386" w:type="dxa"/>
            <w:vAlign w:val="center"/>
          </w:tcPr>
          <w:p w14:paraId="7C62B27C">
            <w:pPr>
              <w:pStyle w:val="11"/>
            </w:pPr>
            <w:r>
              <w:t>绩效指标描述</w:t>
            </w:r>
          </w:p>
        </w:tc>
        <w:tc>
          <w:tcPr>
            <w:tcW w:w="2268" w:type="dxa"/>
            <w:vAlign w:val="center"/>
          </w:tcPr>
          <w:p w14:paraId="39368447">
            <w:pPr>
              <w:pStyle w:val="11"/>
            </w:pPr>
            <w:r>
              <w:t>指标值</w:t>
            </w:r>
          </w:p>
        </w:tc>
        <w:tc>
          <w:tcPr>
            <w:tcW w:w="1276" w:type="dxa"/>
            <w:vAlign w:val="center"/>
          </w:tcPr>
          <w:p w14:paraId="41CD5044">
            <w:pPr>
              <w:pStyle w:val="11"/>
            </w:pPr>
            <w:r>
              <w:t>指标值确定依据</w:t>
            </w:r>
          </w:p>
        </w:tc>
      </w:tr>
      <w:tr w14:paraId="4A8EE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C9B52">
            <w:pPr>
              <w:pStyle w:val="12"/>
            </w:pPr>
            <w:r>
              <w:t>产出指标</w:t>
            </w:r>
          </w:p>
        </w:tc>
        <w:tc>
          <w:tcPr>
            <w:tcW w:w="2268" w:type="dxa"/>
            <w:vAlign w:val="center"/>
          </w:tcPr>
          <w:p w14:paraId="5D5D8F3F">
            <w:pPr>
              <w:pStyle w:val="13"/>
            </w:pPr>
            <w:r>
              <w:t>数量指标</w:t>
            </w:r>
          </w:p>
        </w:tc>
        <w:tc>
          <w:tcPr>
            <w:tcW w:w="2835" w:type="dxa"/>
            <w:vAlign w:val="center"/>
          </w:tcPr>
          <w:p w14:paraId="34D415AD">
            <w:pPr>
              <w:pStyle w:val="13"/>
            </w:pPr>
            <w:r>
              <w:t>防水维修工程完成率</w:t>
            </w:r>
          </w:p>
        </w:tc>
        <w:tc>
          <w:tcPr>
            <w:tcW w:w="5386" w:type="dxa"/>
            <w:vAlign w:val="center"/>
          </w:tcPr>
          <w:p w14:paraId="4486B61E">
            <w:pPr>
              <w:pStyle w:val="13"/>
            </w:pPr>
            <w:r>
              <w:t>按照合同规定的时间完成</w:t>
            </w:r>
          </w:p>
        </w:tc>
        <w:tc>
          <w:tcPr>
            <w:tcW w:w="2268" w:type="dxa"/>
            <w:vAlign w:val="center"/>
          </w:tcPr>
          <w:p w14:paraId="64C76684">
            <w:pPr>
              <w:pStyle w:val="13"/>
            </w:pPr>
            <w:r>
              <w:t>100%</w:t>
            </w:r>
          </w:p>
        </w:tc>
        <w:tc>
          <w:tcPr>
            <w:tcW w:w="1276" w:type="dxa"/>
            <w:vAlign w:val="center"/>
          </w:tcPr>
          <w:p w14:paraId="5E672BB1">
            <w:pPr>
              <w:pStyle w:val="13"/>
            </w:pPr>
            <w:r>
              <w:t>年度工作计划</w:t>
            </w:r>
          </w:p>
        </w:tc>
      </w:tr>
      <w:tr w14:paraId="038F4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41C3B"/>
        </w:tc>
        <w:tc>
          <w:tcPr>
            <w:tcW w:w="2268" w:type="dxa"/>
            <w:vAlign w:val="center"/>
          </w:tcPr>
          <w:p w14:paraId="14F141E7">
            <w:pPr>
              <w:pStyle w:val="13"/>
            </w:pPr>
            <w:r>
              <w:t>质量指标</w:t>
            </w:r>
          </w:p>
        </w:tc>
        <w:tc>
          <w:tcPr>
            <w:tcW w:w="2835" w:type="dxa"/>
            <w:vAlign w:val="center"/>
          </w:tcPr>
          <w:p w14:paraId="31B24723">
            <w:pPr>
              <w:pStyle w:val="13"/>
            </w:pPr>
            <w:r>
              <w:t>防水维修工程验收合格率</w:t>
            </w:r>
          </w:p>
        </w:tc>
        <w:tc>
          <w:tcPr>
            <w:tcW w:w="5386" w:type="dxa"/>
            <w:vAlign w:val="center"/>
          </w:tcPr>
          <w:p w14:paraId="3F2365FF">
            <w:pPr>
              <w:pStyle w:val="13"/>
            </w:pPr>
            <w:r>
              <w:t>工程验收合格率</w:t>
            </w:r>
          </w:p>
        </w:tc>
        <w:tc>
          <w:tcPr>
            <w:tcW w:w="2268" w:type="dxa"/>
            <w:vAlign w:val="center"/>
          </w:tcPr>
          <w:p w14:paraId="4F6F38E4">
            <w:pPr>
              <w:pStyle w:val="13"/>
            </w:pPr>
            <w:r>
              <w:t>100%</w:t>
            </w:r>
          </w:p>
        </w:tc>
        <w:tc>
          <w:tcPr>
            <w:tcW w:w="1276" w:type="dxa"/>
            <w:vAlign w:val="center"/>
          </w:tcPr>
          <w:p w14:paraId="5DE170D3">
            <w:pPr>
              <w:pStyle w:val="13"/>
            </w:pPr>
            <w:r>
              <w:t>年度工作计划</w:t>
            </w:r>
          </w:p>
        </w:tc>
      </w:tr>
      <w:tr w14:paraId="25014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DAE4C"/>
        </w:tc>
        <w:tc>
          <w:tcPr>
            <w:tcW w:w="2268" w:type="dxa"/>
            <w:vAlign w:val="center"/>
          </w:tcPr>
          <w:p w14:paraId="3D9775F2">
            <w:pPr>
              <w:pStyle w:val="13"/>
            </w:pPr>
            <w:r>
              <w:t>时效指标</w:t>
            </w:r>
          </w:p>
        </w:tc>
        <w:tc>
          <w:tcPr>
            <w:tcW w:w="2835" w:type="dxa"/>
            <w:vAlign w:val="center"/>
          </w:tcPr>
          <w:p w14:paraId="0D6D7F27">
            <w:pPr>
              <w:pStyle w:val="13"/>
            </w:pPr>
            <w:r>
              <w:t>资金支付进度</w:t>
            </w:r>
          </w:p>
        </w:tc>
        <w:tc>
          <w:tcPr>
            <w:tcW w:w="5386" w:type="dxa"/>
            <w:vAlign w:val="center"/>
          </w:tcPr>
          <w:p w14:paraId="03EEA229">
            <w:pPr>
              <w:pStyle w:val="13"/>
            </w:pPr>
            <w:r>
              <w:t>规定时间内完成率</w:t>
            </w:r>
          </w:p>
        </w:tc>
        <w:tc>
          <w:tcPr>
            <w:tcW w:w="2268" w:type="dxa"/>
            <w:vAlign w:val="center"/>
          </w:tcPr>
          <w:p w14:paraId="6BB7462C">
            <w:pPr>
              <w:pStyle w:val="13"/>
            </w:pPr>
            <w:r>
              <w:t>100%</w:t>
            </w:r>
          </w:p>
        </w:tc>
        <w:tc>
          <w:tcPr>
            <w:tcW w:w="1276" w:type="dxa"/>
            <w:vAlign w:val="center"/>
          </w:tcPr>
          <w:p w14:paraId="3D52DDDE">
            <w:pPr>
              <w:pStyle w:val="13"/>
            </w:pPr>
            <w:r>
              <w:t>年度工作计划</w:t>
            </w:r>
          </w:p>
        </w:tc>
      </w:tr>
      <w:tr w14:paraId="014BC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B9AA1"/>
        </w:tc>
        <w:tc>
          <w:tcPr>
            <w:tcW w:w="2268" w:type="dxa"/>
            <w:vAlign w:val="center"/>
          </w:tcPr>
          <w:p w14:paraId="16793124">
            <w:pPr>
              <w:pStyle w:val="13"/>
            </w:pPr>
            <w:r>
              <w:t>成本指标</w:t>
            </w:r>
          </w:p>
        </w:tc>
        <w:tc>
          <w:tcPr>
            <w:tcW w:w="2835" w:type="dxa"/>
            <w:vAlign w:val="center"/>
          </w:tcPr>
          <w:p w14:paraId="7AF4BB69">
            <w:pPr>
              <w:pStyle w:val="13"/>
            </w:pPr>
            <w:r>
              <w:t>工程实际成本</w:t>
            </w:r>
          </w:p>
        </w:tc>
        <w:tc>
          <w:tcPr>
            <w:tcW w:w="5386" w:type="dxa"/>
            <w:vAlign w:val="center"/>
          </w:tcPr>
          <w:p w14:paraId="727B1574">
            <w:pPr>
              <w:pStyle w:val="13"/>
            </w:pPr>
            <w:r>
              <w:t>工程实际成本</w:t>
            </w:r>
          </w:p>
        </w:tc>
        <w:tc>
          <w:tcPr>
            <w:tcW w:w="2268" w:type="dxa"/>
            <w:vAlign w:val="center"/>
          </w:tcPr>
          <w:p w14:paraId="5D2A9F9A">
            <w:pPr>
              <w:pStyle w:val="13"/>
            </w:pPr>
            <w:r>
              <w:t>≤42万元</w:t>
            </w:r>
          </w:p>
        </w:tc>
        <w:tc>
          <w:tcPr>
            <w:tcW w:w="1276" w:type="dxa"/>
            <w:vAlign w:val="center"/>
          </w:tcPr>
          <w:p w14:paraId="15FB3F01">
            <w:pPr>
              <w:pStyle w:val="13"/>
            </w:pPr>
            <w:r>
              <w:t>年度工作计划</w:t>
            </w:r>
          </w:p>
        </w:tc>
      </w:tr>
      <w:tr w14:paraId="3EFD2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5EF37">
            <w:pPr>
              <w:pStyle w:val="12"/>
            </w:pPr>
            <w:r>
              <w:t>效益指标</w:t>
            </w:r>
          </w:p>
        </w:tc>
        <w:tc>
          <w:tcPr>
            <w:tcW w:w="2268" w:type="dxa"/>
            <w:vAlign w:val="center"/>
          </w:tcPr>
          <w:p w14:paraId="03ADAA0D">
            <w:pPr>
              <w:pStyle w:val="13"/>
            </w:pPr>
            <w:r>
              <w:t>社会效益指标</w:t>
            </w:r>
          </w:p>
        </w:tc>
        <w:tc>
          <w:tcPr>
            <w:tcW w:w="2835" w:type="dxa"/>
            <w:vAlign w:val="center"/>
          </w:tcPr>
          <w:p w14:paraId="37F7EB67">
            <w:pPr>
              <w:pStyle w:val="13"/>
            </w:pPr>
            <w:r>
              <w:t>辐射区域</w:t>
            </w:r>
          </w:p>
        </w:tc>
        <w:tc>
          <w:tcPr>
            <w:tcW w:w="5386" w:type="dxa"/>
            <w:vAlign w:val="center"/>
          </w:tcPr>
          <w:p w14:paraId="0B8CB230">
            <w:pPr>
              <w:pStyle w:val="13"/>
            </w:pPr>
            <w:r>
              <w:t>达到辐射区域的百分比</w:t>
            </w:r>
          </w:p>
        </w:tc>
        <w:tc>
          <w:tcPr>
            <w:tcW w:w="2268" w:type="dxa"/>
            <w:vAlign w:val="center"/>
          </w:tcPr>
          <w:p w14:paraId="0EBFBCE2">
            <w:pPr>
              <w:pStyle w:val="13"/>
            </w:pPr>
            <w:r>
              <w:t>100%</w:t>
            </w:r>
          </w:p>
        </w:tc>
        <w:tc>
          <w:tcPr>
            <w:tcW w:w="1276" w:type="dxa"/>
            <w:vAlign w:val="center"/>
          </w:tcPr>
          <w:p w14:paraId="7BEC7FFA">
            <w:pPr>
              <w:pStyle w:val="13"/>
            </w:pPr>
            <w:r>
              <w:t>年度工作计划</w:t>
            </w:r>
          </w:p>
        </w:tc>
      </w:tr>
      <w:tr w14:paraId="3594B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6606E"/>
        </w:tc>
        <w:tc>
          <w:tcPr>
            <w:tcW w:w="2268" w:type="dxa"/>
            <w:vAlign w:val="center"/>
          </w:tcPr>
          <w:p w14:paraId="6364EA1E">
            <w:pPr>
              <w:pStyle w:val="13"/>
            </w:pPr>
            <w:r>
              <w:t>可持续影响指标</w:t>
            </w:r>
          </w:p>
        </w:tc>
        <w:tc>
          <w:tcPr>
            <w:tcW w:w="2835" w:type="dxa"/>
            <w:vAlign w:val="center"/>
          </w:tcPr>
          <w:p w14:paraId="46F3E5FF">
            <w:pPr>
              <w:pStyle w:val="13"/>
            </w:pPr>
            <w:r>
              <w:t>使用年限</w:t>
            </w:r>
          </w:p>
        </w:tc>
        <w:tc>
          <w:tcPr>
            <w:tcW w:w="5386" w:type="dxa"/>
            <w:vAlign w:val="center"/>
          </w:tcPr>
          <w:p w14:paraId="783B0FED">
            <w:pPr>
              <w:pStyle w:val="13"/>
            </w:pPr>
            <w:r>
              <w:t>达到合同要求的使用年限</w:t>
            </w:r>
          </w:p>
        </w:tc>
        <w:tc>
          <w:tcPr>
            <w:tcW w:w="2268" w:type="dxa"/>
            <w:vAlign w:val="center"/>
          </w:tcPr>
          <w:p w14:paraId="693B8DB8">
            <w:pPr>
              <w:pStyle w:val="13"/>
            </w:pPr>
            <w:r>
              <w:t>≥5年</w:t>
            </w:r>
          </w:p>
        </w:tc>
        <w:tc>
          <w:tcPr>
            <w:tcW w:w="1276" w:type="dxa"/>
            <w:vAlign w:val="center"/>
          </w:tcPr>
          <w:p w14:paraId="1531F7E2">
            <w:pPr>
              <w:pStyle w:val="13"/>
            </w:pPr>
            <w:r>
              <w:t>年度工作计划</w:t>
            </w:r>
          </w:p>
        </w:tc>
      </w:tr>
      <w:tr w14:paraId="7EC16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B3320">
            <w:pPr>
              <w:pStyle w:val="12"/>
            </w:pPr>
            <w:r>
              <w:t>满意度指标</w:t>
            </w:r>
          </w:p>
        </w:tc>
        <w:tc>
          <w:tcPr>
            <w:tcW w:w="2268" w:type="dxa"/>
            <w:vAlign w:val="center"/>
          </w:tcPr>
          <w:p w14:paraId="144BF180">
            <w:pPr>
              <w:pStyle w:val="13"/>
            </w:pPr>
            <w:r>
              <w:t>服务对象满意度指标</w:t>
            </w:r>
          </w:p>
        </w:tc>
        <w:tc>
          <w:tcPr>
            <w:tcW w:w="2835" w:type="dxa"/>
            <w:vAlign w:val="center"/>
          </w:tcPr>
          <w:p w14:paraId="45CD2288">
            <w:pPr>
              <w:pStyle w:val="13"/>
            </w:pPr>
            <w:r>
              <w:t>师生对学习生活环境的满意度</w:t>
            </w:r>
          </w:p>
        </w:tc>
        <w:tc>
          <w:tcPr>
            <w:tcW w:w="5386" w:type="dxa"/>
            <w:vAlign w:val="center"/>
          </w:tcPr>
          <w:p w14:paraId="79373BB8">
            <w:pPr>
              <w:pStyle w:val="13"/>
            </w:pPr>
            <w:r>
              <w:t>师生对学习生活环境的满意度</w:t>
            </w:r>
          </w:p>
        </w:tc>
        <w:tc>
          <w:tcPr>
            <w:tcW w:w="2268" w:type="dxa"/>
            <w:vAlign w:val="center"/>
          </w:tcPr>
          <w:p w14:paraId="43E10444">
            <w:pPr>
              <w:pStyle w:val="13"/>
            </w:pPr>
            <w:r>
              <w:t>≥98%</w:t>
            </w:r>
          </w:p>
        </w:tc>
        <w:tc>
          <w:tcPr>
            <w:tcW w:w="1276" w:type="dxa"/>
            <w:vAlign w:val="center"/>
          </w:tcPr>
          <w:p w14:paraId="1AC97642">
            <w:pPr>
              <w:pStyle w:val="13"/>
            </w:pPr>
            <w:r>
              <w:t>调查问卷</w:t>
            </w:r>
          </w:p>
        </w:tc>
      </w:tr>
    </w:tbl>
    <w:p w14:paraId="36301336">
      <w:pPr>
        <w:sectPr>
          <w:pgSz w:w="16840" w:h="11900" w:orient="landscape"/>
          <w:pgMar w:top="1361" w:right="1020" w:bottom="1134" w:left="1020" w:header="720" w:footer="720" w:gutter="0"/>
          <w:cols w:space="720" w:num="1"/>
        </w:sectPr>
      </w:pPr>
    </w:p>
    <w:p w14:paraId="65F37A07">
      <w:pPr>
        <w:spacing w:before="0" w:after="0"/>
        <w:ind w:firstLine="560"/>
        <w:jc w:val="left"/>
        <w:outlineLvl w:val="9"/>
      </w:pPr>
      <w:r>
        <w:rPr>
          <w:rFonts w:ascii="方正仿宋_GBK" w:hAnsi="方正仿宋_GBK" w:eastAsia="方正仿宋_GBK" w:cs="方正仿宋_GBK"/>
          <w:b/>
          <w:color w:val="000000"/>
          <w:sz w:val="28"/>
        </w:rPr>
        <w:t>5、冀财教[2024]123号/中央/2025年义教补助经费/校舍安全保障/第二实验小学线路改造、门窗维修及宿舍门更换绩效目标表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E4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52205">
            <w:pPr>
              <w:pStyle w:val="14"/>
            </w:pPr>
            <w:r>
              <w:t>单位：万元</w:t>
            </w:r>
          </w:p>
        </w:tc>
      </w:tr>
      <w:tr w14:paraId="6142E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36DAC">
            <w:pPr>
              <w:pStyle w:val="11"/>
            </w:pPr>
            <w:r>
              <w:t>项目编码</w:t>
            </w:r>
          </w:p>
        </w:tc>
        <w:tc>
          <w:tcPr>
            <w:tcW w:w="5103" w:type="dxa"/>
            <w:gridSpan w:val="2"/>
            <w:vAlign w:val="center"/>
          </w:tcPr>
          <w:p w14:paraId="02C25D4F">
            <w:pPr>
              <w:pStyle w:val="13"/>
            </w:pPr>
            <w:r>
              <w:t>13052525P00876210010N</w:t>
            </w:r>
          </w:p>
        </w:tc>
        <w:tc>
          <w:tcPr>
            <w:tcW w:w="2835" w:type="dxa"/>
            <w:vAlign w:val="center"/>
          </w:tcPr>
          <w:p w14:paraId="72D67886">
            <w:pPr>
              <w:pStyle w:val="11"/>
            </w:pPr>
            <w:r>
              <w:t>项目名称</w:t>
            </w:r>
          </w:p>
        </w:tc>
        <w:tc>
          <w:tcPr>
            <w:tcW w:w="6095" w:type="dxa"/>
            <w:gridSpan w:val="3"/>
            <w:vAlign w:val="center"/>
          </w:tcPr>
          <w:p w14:paraId="6AFE3697">
            <w:pPr>
              <w:pStyle w:val="13"/>
            </w:pPr>
            <w:r>
              <w:t>冀财教[2024]123号/中央/2025年义教补助经费/校舍安全保障/第二实验小学线路改造、门窗维修及宿舍门更换</w:t>
            </w:r>
          </w:p>
        </w:tc>
      </w:tr>
      <w:tr w14:paraId="5AF8B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A9DDC">
            <w:pPr>
              <w:pStyle w:val="11"/>
            </w:pPr>
            <w:r>
              <w:t>预算规模及资金用途</w:t>
            </w:r>
          </w:p>
        </w:tc>
        <w:tc>
          <w:tcPr>
            <w:tcW w:w="2268" w:type="dxa"/>
            <w:vAlign w:val="center"/>
          </w:tcPr>
          <w:p w14:paraId="5663FC3F">
            <w:pPr>
              <w:pStyle w:val="11"/>
            </w:pPr>
            <w:r>
              <w:t>预算数</w:t>
            </w:r>
          </w:p>
        </w:tc>
        <w:tc>
          <w:tcPr>
            <w:tcW w:w="2835" w:type="dxa"/>
            <w:vAlign w:val="center"/>
          </w:tcPr>
          <w:p w14:paraId="60843262">
            <w:pPr>
              <w:pStyle w:val="13"/>
            </w:pPr>
            <w:r>
              <w:t>28.00</w:t>
            </w:r>
          </w:p>
        </w:tc>
        <w:tc>
          <w:tcPr>
            <w:tcW w:w="2835" w:type="dxa"/>
            <w:vAlign w:val="center"/>
          </w:tcPr>
          <w:p w14:paraId="0BD87A48">
            <w:pPr>
              <w:pStyle w:val="11"/>
            </w:pPr>
            <w:r>
              <w:t>其中：财政    资金</w:t>
            </w:r>
          </w:p>
        </w:tc>
        <w:tc>
          <w:tcPr>
            <w:tcW w:w="2551" w:type="dxa"/>
            <w:vAlign w:val="center"/>
          </w:tcPr>
          <w:p w14:paraId="719FED0E">
            <w:pPr>
              <w:pStyle w:val="13"/>
            </w:pPr>
            <w:r>
              <w:t>28.00</w:t>
            </w:r>
          </w:p>
        </w:tc>
        <w:tc>
          <w:tcPr>
            <w:tcW w:w="2268" w:type="dxa"/>
            <w:vAlign w:val="center"/>
          </w:tcPr>
          <w:p w14:paraId="68C4CEC3">
            <w:pPr>
              <w:pStyle w:val="11"/>
            </w:pPr>
            <w:r>
              <w:t>其他资金</w:t>
            </w:r>
          </w:p>
        </w:tc>
        <w:tc>
          <w:tcPr>
            <w:tcW w:w="1276" w:type="dxa"/>
            <w:vAlign w:val="center"/>
          </w:tcPr>
          <w:p w14:paraId="47CD3473">
            <w:pPr>
              <w:pStyle w:val="13"/>
            </w:pPr>
            <w:r>
              <w:t xml:space="preserve"> </w:t>
            </w:r>
          </w:p>
        </w:tc>
      </w:tr>
      <w:tr w14:paraId="63F22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C935B3"/>
        </w:tc>
        <w:tc>
          <w:tcPr>
            <w:tcW w:w="14033" w:type="dxa"/>
            <w:gridSpan w:val="6"/>
            <w:vAlign w:val="center"/>
          </w:tcPr>
          <w:p w14:paraId="51F1012D">
            <w:pPr>
              <w:pStyle w:val="13"/>
            </w:pPr>
            <w:r>
              <w:t>按时完成隆尧县第二实验小学线路改造、门窗维修及宿舍门更换项目改造工程，提高师生学习工作环境，提升安全指数</w:t>
            </w:r>
            <w:r>
              <w:tab/>
            </w:r>
            <w:r>
              <w:tab/>
            </w:r>
            <w:r>
              <w:tab/>
            </w:r>
            <w:r>
              <w:tab/>
            </w:r>
            <w:r>
              <w:tab/>
            </w:r>
            <w:r>
              <w:tab/>
            </w:r>
          </w:p>
          <w:p w14:paraId="1AA48690">
            <w:pPr>
              <w:pStyle w:val="13"/>
            </w:pPr>
          </w:p>
        </w:tc>
      </w:tr>
      <w:tr w14:paraId="758EF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AADB7">
            <w:pPr>
              <w:pStyle w:val="11"/>
            </w:pPr>
            <w:r>
              <w:t>资金支出计划（%）</w:t>
            </w:r>
          </w:p>
        </w:tc>
        <w:tc>
          <w:tcPr>
            <w:tcW w:w="5103" w:type="dxa"/>
            <w:gridSpan w:val="2"/>
            <w:vAlign w:val="center"/>
          </w:tcPr>
          <w:p w14:paraId="6D9DDB2C">
            <w:pPr>
              <w:pStyle w:val="11"/>
            </w:pPr>
            <w:r>
              <w:t>3月底</w:t>
            </w:r>
          </w:p>
        </w:tc>
        <w:tc>
          <w:tcPr>
            <w:tcW w:w="2835" w:type="dxa"/>
            <w:vAlign w:val="center"/>
          </w:tcPr>
          <w:p w14:paraId="79E62134">
            <w:pPr>
              <w:pStyle w:val="11"/>
            </w:pPr>
            <w:r>
              <w:t>6月底</w:t>
            </w:r>
          </w:p>
        </w:tc>
        <w:tc>
          <w:tcPr>
            <w:tcW w:w="2551" w:type="dxa"/>
            <w:vAlign w:val="center"/>
          </w:tcPr>
          <w:p w14:paraId="2E87066C">
            <w:pPr>
              <w:pStyle w:val="11"/>
            </w:pPr>
            <w:r>
              <w:t>10月底</w:t>
            </w:r>
          </w:p>
        </w:tc>
        <w:tc>
          <w:tcPr>
            <w:tcW w:w="3544" w:type="dxa"/>
            <w:gridSpan w:val="2"/>
            <w:vAlign w:val="center"/>
          </w:tcPr>
          <w:p w14:paraId="5756F7D6">
            <w:pPr>
              <w:pStyle w:val="11"/>
            </w:pPr>
            <w:r>
              <w:t>12月底</w:t>
            </w:r>
          </w:p>
        </w:tc>
      </w:tr>
      <w:tr w14:paraId="5558B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D406CD"/>
        </w:tc>
        <w:tc>
          <w:tcPr>
            <w:tcW w:w="5103" w:type="dxa"/>
            <w:gridSpan w:val="2"/>
            <w:vAlign w:val="center"/>
          </w:tcPr>
          <w:p w14:paraId="41DA11F2">
            <w:pPr>
              <w:pStyle w:val="12"/>
            </w:pPr>
            <w:r>
              <w:t xml:space="preserve"> </w:t>
            </w:r>
          </w:p>
        </w:tc>
        <w:tc>
          <w:tcPr>
            <w:tcW w:w="2835" w:type="dxa"/>
            <w:vAlign w:val="center"/>
          </w:tcPr>
          <w:p w14:paraId="4C3FDBDC">
            <w:pPr>
              <w:pStyle w:val="12"/>
            </w:pPr>
            <w:r>
              <w:t>80%</w:t>
            </w:r>
          </w:p>
        </w:tc>
        <w:tc>
          <w:tcPr>
            <w:tcW w:w="2551" w:type="dxa"/>
            <w:vAlign w:val="center"/>
          </w:tcPr>
          <w:p w14:paraId="021D5F97">
            <w:pPr>
              <w:pStyle w:val="12"/>
            </w:pPr>
            <w:r>
              <w:t>100%</w:t>
            </w:r>
          </w:p>
        </w:tc>
        <w:tc>
          <w:tcPr>
            <w:tcW w:w="3544" w:type="dxa"/>
            <w:gridSpan w:val="2"/>
            <w:vAlign w:val="center"/>
          </w:tcPr>
          <w:p w14:paraId="5A5C9A0E">
            <w:pPr>
              <w:pStyle w:val="12"/>
            </w:pPr>
            <w:r>
              <w:t xml:space="preserve"> </w:t>
            </w:r>
          </w:p>
        </w:tc>
      </w:tr>
      <w:tr w14:paraId="22C9A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7C3D7">
            <w:pPr>
              <w:pStyle w:val="11"/>
            </w:pPr>
            <w:r>
              <w:t>绩效目标</w:t>
            </w:r>
          </w:p>
        </w:tc>
        <w:tc>
          <w:tcPr>
            <w:tcW w:w="14033" w:type="dxa"/>
            <w:gridSpan w:val="6"/>
            <w:vAlign w:val="center"/>
          </w:tcPr>
          <w:p w14:paraId="6D21414D">
            <w:pPr>
              <w:pStyle w:val="13"/>
            </w:pPr>
            <w:r>
              <w:t>1.按时完成隆尧县第二实验小学教学楼宿舍楼餐厅综合楼外墙维修粉刷及玻璃幕改造工程，提高师生学习工作环境，提升安全指数</w:t>
            </w:r>
          </w:p>
          <w:p w14:paraId="0269C22E">
            <w:pPr>
              <w:pStyle w:val="13"/>
            </w:pPr>
            <w:r>
              <w:t>2.按照工程进度及时支付工程款</w:t>
            </w:r>
          </w:p>
        </w:tc>
      </w:tr>
    </w:tbl>
    <w:p w14:paraId="5603E0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0F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B83AC">
            <w:pPr>
              <w:pStyle w:val="11"/>
            </w:pPr>
            <w:r>
              <w:t>一级指标</w:t>
            </w:r>
          </w:p>
        </w:tc>
        <w:tc>
          <w:tcPr>
            <w:tcW w:w="2268" w:type="dxa"/>
            <w:vAlign w:val="center"/>
          </w:tcPr>
          <w:p w14:paraId="77BACEEB">
            <w:pPr>
              <w:pStyle w:val="11"/>
            </w:pPr>
            <w:r>
              <w:t>二级指标</w:t>
            </w:r>
          </w:p>
        </w:tc>
        <w:tc>
          <w:tcPr>
            <w:tcW w:w="2835" w:type="dxa"/>
            <w:vAlign w:val="center"/>
          </w:tcPr>
          <w:p w14:paraId="2A931DB8">
            <w:pPr>
              <w:pStyle w:val="11"/>
            </w:pPr>
            <w:r>
              <w:t>三级指标</w:t>
            </w:r>
          </w:p>
        </w:tc>
        <w:tc>
          <w:tcPr>
            <w:tcW w:w="5386" w:type="dxa"/>
            <w:vAlign w:val="center"/>
          </w:tcPr>
          <w:p w14:paraId="742BC583">
            <w:pPr>
              <w:pStyle w:val="11"/>
            </w:pPr>
            <w:r>
              <w:t>绩效指标描述</w:t>
            </w:r>
          </w:p>
        </w:tc>
        <w:tc>
          <w:tcPr>
            <w:tcW w:w="2268" w:type="dxa"/>
            <w:vAlign w:val="center"/>
          </w:tcPr>
          <w:p w14:paraId="36F692B5">
            <w:pPr>
              <w:pStyle w:val="11"/>
            </w:pPr>
            <w:r>
              <w:t>指标值</w:t>
            </w:r>
          </w:p>
        </w:tc>
        <w:tc>
          <w:tcPr>
            <w:tcW w:w="1276" w:type="dxa"/>
            <w:vAlign w:val="center"/>
          </w:tcPr>
          <w:p w14:paraId="59307CC9">
            <w:pPr>
              <w:pStyle w:val="11"/>
            </w:pPr>
            <w:r>
              <w:t>指标值确定依据</w:t>
            </w:r>
          </w:p>
        </w:tc>
      </w:tr>
      <w:tr w14:paraId="77205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A4CA5">
            <w:pPr>
              <w:pStyle w:val="12"/>
            </w:pPr>
            <w:r>
              <w:t>产出指标</w:t>
            </w:r>
          </w:p>
        </w:tc>
        <w:tc>
          <w:tcPr>
            <w:tcW w:w="2268" w:type="dxa"/>
            <w:vAlign w:val="center"/>
          </w:tcPr>
          <w:p w14:paraId="5EB5E751">
            <w:pPr>
              <w:pStyle w:val="13"/>
            </w:pPr>
            <w:r>
              <w:t>数量指标</w:t>
            </w:r>
          </w:p>
        </w:tc>
        <w:tc>
          <w:tcPr>
            <w:tcW w:w="2835" w:type="dxa"/>
            <w:vAlign w:val="center"/>
          </w:tcPr>
          <w:p w14:paraId="599E3BC1">
            <w:pPr>
              <w:pStyle w:val="13"/>
            </w:pPr>
            <w:r>
              <w:t>线路改造、门窗维修及宿舍门更换工程完成率</w:t>
            </w:r>
          </w:p>
        </w:tc>
        <w:tc>
          <w:tcPr>
            <w:tcW w:w="5386" w:type="dxa"/>
            <w:vAlign w:val="center"/>
          </w:tcPr>
          <w:p w14:paraId="1422A354">
            <w:pPr>
              <w:pStyle w:val="13"/>
            </w:pPr>
            <w:r>
              <w:t>按照合同规定的时间完成</w:t>
            </w:r>
          </w:p>
        </w:tc>
        <w:tc>
          <w:tcPr>
            <w:tcW w:w="2268" w:type="dxa"/>
            <w:vAlign w:val="center"/>
          </w:tcPr>
          <w:p w14:paraId="10909F37">
            <w:pPr>
              <w:pStyle w:val="13"/>
            </w:pPr>
            <w:r>
              <w:t>100%</w:t>
            </w:r>
          </w:p>
        </w:tc>
        <w:tc>
          <w:tcPr>
            <w:tcW w:w="1276" w:type="dxa"/>
            <w:vAlign w:val="center"/>
          </w:tcPr>
          <w:p w14:paraId="176CA148">
            <w:pPr>
              <w:pStyle w:val="13"/>
            </w:pPr>
            <w:r>
              <w:t>年度工作计划</w:t>
            </w:r>
          </w:p>
        </w:tc>
      </w:tr>
      <w:tr w14:paraId="61E46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8A940"/>
        </w:tc>
        <w:tc>
          <w:tcPr>
            <w:tcW w:w="2268" w:type="dxa"/>
            <w:vAlign w:val="center"/>
          </w:tcPr>
          <w:p w14:paraId="019C8D86">
            <w:pPr>
              <w:pStyle w:val="13"/>
            </w:pPr>
            <w:r>
              <w:t>质量指标</w:t>
            </w:r>
          </w:p>
        </w:tc>
        <w:tc>
          <w:tcPr>
            <w:tcW w:w="2835" w:type="dxa"/>
            <w:vAlign w:val="center"/>
          </w:tcPr>
          <w:p w14:paraId="48F3164E">
            <w:pPr>
              <w:pStyle w:val="13"/>
            </w:pPr>
            <w:r>
              <w:t>线路改造、门窗维修及宿舍门更换工程验收合格率</w:t>
            </w:r>
          </w:p>
        </w:tc>
        <w:tc>
          <w:tcPr>
            <w:tcW w:w="5386" w:type="dxa"/>
            <w:vAlign w:val="center"/>
          </w:tcPr>
          <w:p w14:paraId="312B4CC5">
            <w:pPr>
              <w:pStyle w:val="13"/>
            </w:pPr>
            <w:r>
              <w:t>工程验收合格率</w:t>
            </w:r>
          </w:p>
        </w:tc>
        <w:tc>
          <w:tcPr>
            <w:tcW w:w="2268" w:type="dxa"/>
            <w:vAlign w:val="center"/>
          </w:tcPr>
          <w:p w14:paraId="69C2B289">
            <w:pPr>
              <w:pStyle w:val="13"/>
            </w:pPr>
            <w:r>
              <w:t>100%</w:t>
            </w:r>
          </w:p>
        </w:tc>
        <w:tc>
          <w:tcPr>
            <w:tcW w:w="1276" w:type="dxa"/>
            <w:vAlign w:val="center"/>
          </w:tcPr>
          <w:p w14:paraId="79EACCD2">
            <w:pPr>
              <w:pStyle w:val="13"/>
            </w:pPr>
            <w:r>
              <w:t>年度工作计划</w:t>
            </w:r>
          </w:p>
        </w:tc>
      </w:tr>
      <w:tr w14:paraId="0719F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E24B0"/>
        </w:tc>
        <w:tc>
          <w:tcPr>
            <w:tcW w:w="2268" w:type="dxa"/>
            <w:vAlign w:val="center"/>
          </w:tcPr>
          <w:p w14:paraId="305CC215">
            <w:pPr>
              <w:pStyle w:val="13"/>
            </w:pPr>
            <w:r>
              <w:t>时效指标</w:t>
            </w:r>
          </w:p>
        </w:tc>
        <w:tc>
          <w:tcPr>
            <w:tcW w:w="2835" w:type="dxa"/>
            <w:vAlign w:val="center"/>
          </w:tcPr>
          <w:p w14:paraId="4776752C">
            <w:pPr>
              <w:pStyle w:val="13"/>
            </w:pPr>
            <w:r>
              <w:t>资金支付进度</w:t>
            </w:r>
          </w:p>
        </w:tc>
        <w:tc>
          <w:tcPr>
            <w:tcW w:w="5386" w:type="dxa"/>
            <w:vAlign w:val="center"/>
          </w:tcPr>
          <w:p w14:paraId="0F6C5D1E">
            <w:pPr>
              <w:pStyle w:val="13"/>
            </w:pPr>
            <w:r>
              <w:t>规定时间内完成率</w:t>
            </w:r>
          </w:p>
        </w:tc>
        <w:tc>
          <w:tcPr>
            <w:tcW w:w="2268" w:type="dxa"/>
            <w:vAlign w:val="center"/>
          </w:tcPr>
          <w:p w14:paraId="15C941AE">
            <w:pPr>
              <w:pStyle w:val="13"/>
            </w:pPr>
            <w:r>
              <w:t>100%</w:t>
            </w:r>
          </w:p>
        </w:tc>
        <w:tc>
          <w:tcPr>
            <w:tcW w:w="1276" w:type="dxa"/>
            <w:vAlign w:val="center"/>
          </w:tcPr>
          <w:p w14:paraId="1EBFA0B9">
            <w:pPr>
              <w:pStyle w:val="13"/>
            </w:pPr>
            <w:r>
              <w:t>年度工作计划</w:t>
            </w:r>
          </w:p>
        </w:tc>
      </w:tr>
      <w:tr w14:paraId="12D98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0518D"/>
        </w:tc>
        <w:tc>
          <w:tcPr>
            <w:tcW w:w="2268" w:type="dxa"/>
            <w:vAlign w:val="center"/>
          </w:tcPr>
          <w:p w14:paraId="73BA249F">
            <w:pPr>
              <w:pStyle w:val="13"/>
            </w:pPr>
            <w:r>
              <w:t>成本指标</w:t>
            </w:r>
          </w:p>
        </w:tc>
        <w:tc>
          <w:tcPr>
            <w:tcW w:w="2835" w:type="dxa"/>
            <w:vAlign w:val="center"/>
          </w:tcPr>
          <w:p w14:paraId="41F7C6E9">
            <w:pPr>
              <w:pStyle w:val="13"/>
            </w:pPr>
            <w:r>
              <w:t>工程实际成本</w:t>
            </w:r>
          </w:p>
        </w:tc>
        <w:tc>
          <w:tcPr>
            <w:tcW w:w="5386" w:type="dxa"/>
            <w:vAlign w:val="center"/>
          </w:tcPr>
          <w:p w14:paraId="0ACE2891">
            <w:pPr>
              <w:pStyle w:val="13"/>
            </w:pPr>
            <w:r>
              <w:t>工程实际成本</w:t>
            </w:r>
          </w:p>
        </w:tc>
        <w:tc>
          <w:tcPr>
            <w:tcW w:w="2268" w:type="dxa"/>
            <w:vAlign w:val="center"/>
          </w:tcPr>
          <w:p w14:paraId="0E81FEB5">
            <w:pPr>
              <w:pStyle w:val="13"/>
            </w:pPr>
            <w:r>
              <w:t>≤28万元</w:t>
            </w:r>
          </w:p>
        </w:tc>
        <w:tc>
          <w:tcPr>
            <w:tcW w:w="1276" w:type="dxa"/>
            <w:vAlign w:val="center"/>
          </w:tcPr>
          <w:p w14:paraId="3C6091BF">
            <w:pPr>
              <w:pStyle w:val="13"/>
            </w:pPr>
            <w:r>
              <w:t>年度工作计划</w:t>
            </w:r>
          </w:p>
        </w:tc>
      </w:tr>
      <w:tr w14:paraId="184DC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E700F">
            <w:pPr>
              <w:pStyle w:val="12"/>
            </w:pPr>
            <w:r>
              <w:t>效益指标</w:t>
            </w:r>
          </w:p>
        </w:tc>
        <w:tc>
          <w:tcPr>
            <w:tcW w:w="2268" w:type="dxa"/>
            <w:vAlign w:val="center"/>
          </w:tcPr>
          <w:p w14:paraId="090A97F6">
            <w:pPr>
              <w:pStyle w:val="13"/>
            </w:pPr>
            <w:r>
              <w:t>社会效益指标</w:t>
            </w:r>
          </w:p>
        </w:tc>
        <w:tc>
          <w:tcPr>
            <w:tcW w:w="2835" w:type="dxa"/>
            <w:vAlign w:val="center"/>
          </w:tcPr>
          <w:p w14:paraId="36382CE7">
            <w:pPr>
              <w:pStyle w:val="13"/>
            </w:pPr>
            <w:r>
              <w:t>产生的社会覆盖面</w:t>
            </w:r>
          </w:p>
        </w:tc>
        <w:tc>
          <w:tcPr>
            <w:tcW w:w="5386" w:type="dxa"/>
            <w:vAlign w:val="center"/>
          </w:tcPr>
          <w:p w14:paraId="6886BAFB">
            <w:pPr>
              <w:pStyle w:val="13"/>
            </w:pPr>
            <w:r>
              <w:t>覆盖的学生数</w:t>
            </w:r>
          </w:p>
        </w:tc>
        <w:tc>
          <w:tcPr>
            <w:tcW w:w="2268" w:type="dxa"/>
            <w:vAlign w:val="center"/>
          </w:tcPr>
          <w:p w14:paraId="48AFC643">
            <w:pPr>
              <w:pStyle w:val="13"/>
            </w:pPr>
            <w:r>
              <w:t>≥3000人</w:t>
            </w:r>
          </w:p>
        </w:tc>
        <w:tc>
          <w:tcPr>
            <w:tcW w:w="1276" w:type="dxa"/>
            <w:vAlign w:val="center"/>
          </w:tcPr>
          <w:p w14:paraId="4CFC1803">
            <w:pPr>
              <w:pStyle w:val="13"/>
            </w:pPr>
            <w:r>
              <w:t>年度工作计划</w:t>
            </w:r>
          </w:p>
        </w:tc>
      </w:tr>
      <w:tr w14:paraId="0F2B1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FD3C4"/>
        </w:tc>
        <w:tc>
          <w:tcPr>
            <w:tcW w:w="2268" w:type="dxa"/>
            <w:vAlign w:val="center"/>
          </w:tcPr>
          <w:p w14:paraId="27B1659E">
            <w:pPr>
              <w:pStyle w:val="13"/>
            </w:pPr>
            <w:r>
              <w:t>可持续影响指标</w:t>
            </w:r>
          </w:p>
        </w:tc>
        <w:tc>
          <w:tcPr>
            <w:tcW w:w="2835" w:type="dxa"/>
            <w:vAlign w:val="center"/>
          </w:tcPr>
          <w:p w14:paraId="2F3381F6">
            <w:pPr>
              <w:pStyle w:val="13"/>
            </w:pPr>
            <w:r>
              <w:t>工程可持续年限</w:t>
            </w:r>
          </w:p>
        </w:tc>
        <w:tc>
          <w:tcPr>
            <w:tcW w:w="5386" w:type="dxa"/>
            <w:vAlign w:val="center"/>
          </w:tcPr>
          <w:p w14:paraId="34E391B3">
            <w:pPr>
              <w:pStyle w:val="13"/>
            </w:pPr>
            <w:r>
              <w:t>达到合同要求的使用年限</w:t>
            </w:r>
          </w:p>
        </w:tc>
        <w:tc>
          <w:tcPr>
            <w:tcW w:w="2268" w:type="dxa"/>
            <w:vAlign w:val="center"/>
          </w:tcPr>
          <w:p w14:paraId="205BD638">
            <w:pPr>
              <w:pStyle w:val="13"/>
            </w:pPr>
            <w:r>
              <w:t>≥10年</w:t>
            </w:r>
          </w:p>
        </w:tc>
        <w:tc>
          <w:tcPr>
            <w:tcW w:w="1276" w:type="dxa"/>
            <w:vAlign w:val="center"/>
          </w:tcPr>
          <w:p w14:paraId="3D58F633">
            <w:pPr>
              <w:pStyle w:val="13"/>
            </w:pPr>
            <w:r>
              <w:t>年度工作计划</w:t>
            </w:r>
          </w:p>
        </w:tc>
      </w:tr>
      <w:tr w14:paraId="3344C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0943BC">
            <w:pPr>
              <w:pStyle w:val="12"/>
            </w:pPr>
            <w:r>
              <w:t>满意度指标</w:t>
            </w:r>
          </w:p>
        </w:tc>
        <w:tc>
          <w:tcPr>
            <w:tcW w:w="2268" w:type="dxa"/>
            <w:vAlign w:val="center"/>
          </w:tcPr>
          <w:p w14:paraId="41E8EBF2">
            <w:pPr>
              <w:pStyle w:val="13"/>
            </w:pPr>
            <w:r>
              <w:t>服务对象满意度指标</w:t>
            </w:r>
          </w:p>
        </w:tc>
        <w:tc>
          <w:tcPr>
            <w:tcW w:w="2835" w:type="dxa"/>
            <w:vAlign w:val="center"/>
          </w:tcPr>
          <w:p w14:paraId="7BAB93B5">
            <w:pPr>
              <w:pStyle w:val="13"/>
            </w:pPr>
            <w:r>
              <w:t>师生对学习生活环境的满意度</w:t>
            </w:r>
          </w:p>
        </w:tc>
        <w:tc>
          <w:tcPr>
            <w:tcW w:w="5386" w:type="dxa"/>
            <w:vAlign w:val="center"/>
          </w:tcPr>
          <w:p w14:paraId="61C7CBCD">
            <w:pPr>
              <w:pStyle w:val="13"/>
            </w:pPr>
            <w:r>
              <w:t>师生对学习生活环境的满意度</w:t>
            </w:r>
          </w:p>
        </w:tc>
        <w:tc>
          <w:tcPr>
            <w:tcW w:w="2268" w:type="dxa"/>
            <w:vAlign w:val="center"/>
          </w:tcPr>
          <w:p w14:paraId="40271B76">
            <w:pPr>
              <w:pStyle w:val="13"/>
            </w:pPr>
            <w:r>
              <w:t>≥95%</w:t>
            </w:r>
          </w:p>
        </w:tc>
        <w:tc>
          <w:tcPr>
            <w:tcW w:w="1276" w:type="dxa"/>
            <w:vAlign w:val="center"/>
          </w:tcPr>
          <w:p w14:paraId="1D7CBCAC">
            <w:pPr>
              <w:pStyle w:val="13"/>
            </w:pPr>
            <w:r>
              <w:t>调查问卷</w:t>
            </w:r>
          </w:p>
        </w:tc>
      </w:tr>
    </w:tbl>
    <w:p w14:paraId="1C4321B3">
      <w:pPr>
        <w:sectPr>
          <w:pgSz w:w="16840" w:h="11900" w:orient="landscape"/>
          <w:pgMar w:top="1361" w:right="1020" w:bottom="1134" w:left="1020" w:header="720" w:footer="720" w:gutter="0"/>
          <w:cols w:space="720" w:num="1"/>
        </w:sectPr>
      </w:pPr>
    </w:p>
    <w:p w14:paraId="5F5D9C8D">
      <w:pPr>
        <w:spacing w:before="0" w:after="0"/>
        <w:ind w:firstLine="560"/>
        <w:jc w:val="left"/>
        <w:outlineLvl w:val="9"/>
      </w:pPr>
      <w:r>
        <w:rPr>
          <w:rFonts w:ascii="方正仿宋_GBK" w:hAnsi="方正仿宋_GBK" w:eastAsia="方正仿宋_GBK" w:cs="方正仿宋_GBK"/>
          <w:b/>
          <w:color w:val="000000"/>
          <w:sz w:val="28"/>
        </w:rPr>
        <w:t>6、冀财教[2024]123号/中央/2025年义教补助经费/综合奖补/第二实验小学公用经费绩效目标表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0D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8BF2F">
            <w:pPr>
              <w:pStyle w:val="14"/>
            </w:pPr>
            <w:r>
              <w:t>单位：万元</w:t>
            </w:r>
          </w:p>
        </w:tc>
      </w:tr>
      <w:tr w14:paraId="43951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74584">
            <w:pPr>
              <w:pStyle w:val="11"/>
            </w:pPr>
            <w:r>
              <w:t>项目编码</w:t>
            </w:r>
          </w:p>
        </w:tc>
        <w:tc>
          <w:tcPr>
            <w:tcW w:w="5103" w:type="dxa"/>
            <w:gridSpan w:val="2"/>
            <w:vAlign w:val="center"/>
          </w:tcPr>
          <w:p w14:paraId="27CDC470">
            <w:pPr>
              <w:pStyle w:val="13"/>
            </w:pPr>
            <w:r>
              <w:t>13052525P00875610233B</w:t>
            </w:r>
          </w:p>
        </w:tc>
        <w:tc>
          <w:tcPr>
            <w:tcW w:w="2835" w:type="dxa"/>
            <w:vAlign w:val="center"/>
          </w:tcPr>
          <w:p w14:paraId="2BB4034D">
            <w:pPr>
              <w:pStyle w:val="11"/>
            </w:pPr>
            <w:r>
              <w:t>项目名称</w:t>
            </w:r>
          </w:p>
        </w:tc>
        <w:tc>
          <w:tcPr>
            <w:tcW w:w="6095" w:type="dxa"/>
            <w:gridSpan w:val="3"/>
            <w:vAlign w:val="center"/>
          </w:tcPr>
          <w:p w14:paraId="346803DF">
            <w:pPr>
              <w:pStyle w:val="13"/>
            </w:pPr>
            <w:r>
              <w:t>冀财教[2024]123号/中央/2025年义教补助经费/综合奖补/第二实验小学公用经费</w:t>
            </w:r>
          </w:p>
        </w:tc>
      </w:tr>
      <w:tr w14:paraId="24BD3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FE44F">
            <w:pPr>
              <w:pStyle w:val="11"/>
            </w:pPr>
            <w:r>
              <w:t>预算规模及资金用途</w:t>
            </w:r>
          </w:p>
        </w:tc>
        <w:tc>
          <w:tcPr>
            <w:tcW w:w="2268" w:type="dxa"/>
            <w:vAlign w:val="center"/>
          </w:tcPr>
          <w:p w14:paraId="556DEA03">
            <w:pPr>
              <w:pStyle w:val="11"/>
            </w:pPr>
            <w:r>
              <w:t>预算数</w:t>
            </w:r>
          </w:p>
        </w:tc>
        <w:tc>
          <w:tcPr>
            <w:tcW w:w="2835" w:type="dxa"/>
            <w:vAlign w:val="center"/>
          </w:tcPr>
          <w:p w14:paraId="7701AB4B">
            <w:pPr>
              <w:pStyle w:val="13"/>
            </w:pPr>
            <w:r>
              <w:t>26.76</w:t>
            </w:r>
          </w:p>
        </w:tc>
        <w:tc>
          <w:tcPr>
            <w:tcW w:w="2835" w:type="dxa"/>
            <w:vAlign w:val="center"/>
          </w:tcPr>
          <w:p w14:paraId="7FFAB432">
            <w:pPr>
              <w:pStyle w:val="11"/>
            </w:pPr>
            <w:r>
              <w:t>其中：财政    资金</w:t>
            </w:r>
          </w:p>
        </w:tc>
        <w:tc>
          <w:tcPr>
            <w:tcW w:w="2551" w:type="dxa"/>
            <w:vAlign w:val="center"/>
          </w:tcPr>
          <w:p w14:paraId="0E3BEF30">
            <w:pPr>
              <w:pStyle w:val="13"/>
            </w:pPr>
            <w:r>
              <w:t>26.76</w:t>
            </w:r>
          </w:p>
        </w:tc>
        <w:tc>
          <w:tcPr>
            <w:tcW w:w="2268" w:type="dxa"/>
            <w:vAlign w:val="center"/>
          </w:tcPr>
          <w:p w14:paraId="493F6DD1">
            <w:pPr>
              <w:pStyle w:val="11"/>
            </w:pPr>
            <w:r>
              <w:t>其他资金</w:t>
            </w:r>
          </w:p>
        </w:tc>
        <w:tc>
          <w:tcPr>
            <w:tcW w:w="1276" w:type="dxa"/>
            <w:vAlign w:val="center"/>
          </w:tcPr>
          <w:p w14:paraId="727E6EFF">
            <w:pPr>
              <w:pStyle w:val="13"/>
            </w:pPr>
            <w:r>
              <w:t xml:space="preserve"> </w:t>
            </w:r>
          </w:p>
        </w:tc>
      </w:tr>
      <w:tr w14:paraId="34644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B8AE74"/>
        </w:tc>
        <w:tc>
          <w:tcPr>
            <w:tcW w:w="14033" w:type="dxa"/>
            <w:gridSpan w:val="6"/>
            <w:vAlign w:val="center"/>
          </w:tcPr>
          <w:p w14:paraId="0190FC60">
            <w:pPr>
              <w:pStyle w:val="13"/>
            </w:pPr>
            <w:r>
              <w:t>"保障义务教育学校正常运转，完成教育教学活动和其他日常工作任务等方面的费用支出。</w:t>
            </w:r>
            <w:r>
              <w:tab/>
            </w:r>
            <w:r>
              <w:tab/>
            </w:r>
            <w:r>
              <w:tab/>
            </w:r>
            <w:r>
              <w:tab/>
            </w:r>
            <w:r>
              <w:tab/>
            </w:r>
            <w:r>
              <w:tab/>
            </w:r>
          </w:p>
        </w:tc>
      </w:tr>
      <w:tr w14:paraId="23653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65781">
            <w:pPr>
              <w:pStyle w:val="11"/>
            </w:pPr>
            <w:r>
              <w:t>资金支出计划（%）</w:t>
            </w:r>
          </w:p>
        </w:tc>
        <w:tc>
          <w:tcPr>
            <w:tcW w:w="5103" w:type="dxa"/>
            <w:gridSpan w:val="2"/>
            <w:vAlign w:val="center"/>
          </w:tcPr>
          <w:p w14:paraId="599603C1">
            <w:pPr>
              <w:pStyle w:val="11"/>
            </w:pPr>
            <w:r>
              <w:t>3月底</w:t>
            </w:r>
          </w:p>
        </w:tc>
        <w:tc>
          <w:tcPr>
            <w:tcW w:w="2835" w:type="dxa"/>
            <w:vAlign w:val="center"/>
          </w:tcPr>
          <w:p w14:paraId="1A9A43B5">
            <w:pPr>
              <w:pStyle w:val="11"/>
            </w:pPr>
            <w:r>
              <w:t>6月底</w:t>
            </w:r>
          </w:p>
        </w:tc>
        <w:tc>
          <w:tcPr>
            <w:tcW w:w="2551" w:type="dxa"/>
            <w:vAlign w:val="center"/>
          </w:tcPr>
          <w:p w14:paraId="34618D27">
            <w:pPr>
              <w:pStyle w:val="11"/>
            </w:pPr>
            <w:r>
              <w:t>10月底</w:t>
            </w:r>
          </w:p>
        </w:tc>
        <w:tc>
          <w:tcPr>
            <w:tcW w:w="3544" w:type="dxa"/>
            <w:gridSpan w:val="2"/>
            <w:vAlign w:val="center"/>
          </w:tcPr>
          <w:p w14:paraId="3920DD49">
            <w:pPr>
              <w:pStyle w:val="11"/>
            </w:pPr>
            <w:r>
              <w:t>12月底</w:t>
            </w:r>
          </w:p>
        </w:tc>
      </w:tr>
      <w:tr w14:paraId="303F3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E83FEA"/>
        </w:tc>
        <w:tc>
          <w:tcPr>
            <w:tcW w:w="5103" w:type="dxa"/>
            <w:gridSpan w:val="2"/>
            <w:vAlign w:val="center"/>
          </w:tcPr>
          <w:p w14:paraId="2A3FC21A">
            <w:pPr>
              <w:pStyle w:val="12"/>
            </w:pPr>
            <w:r>
              <w:t xml:space="preserve"> </w:t>
            </w:r>
          </w:p>
        </w:tc>
        <w:tc>
          <w:tcPr>
            <w:tcW w:w="2835" w:type="dxa"/>
            <w:vAlign w:val="center"/>
          </w:tcPr>
          <w:p w14:paraId="627BADE4">
            <w:pPr>
              <w:pStyle w:val="12"/>
            </w:pPr>
            <w:r>
              <w:t>80%</w:t>
            </w:r>
          </w:p>
        </w:tc>
        <w:tc>
          <w:tcPr>
            <w:tcW w:w="2551" w:type="dxa"/>
            <w:vAlign w:val="center"/>
          </w:tcPr>
          <w:p w14:paraId="0670C175">
            <w:pPr>
              <w:pStyle w:val="12"/>
            </w:pPr>
            <w:r>
              <w:t>100%</w:t>
            </w:r>
          </w:p>
        </w:tc>
        <w:tc>
          <w:tcPr>
            <w:tcW w:w="3544" w:type="dxa"/>
            <w:gridSpan w:val="2"/>
            <w:vAlign w:val="center"/>
          </w:tcPr>
          <w:p w14:paraId="437F49C5">
            <w:pPr>
              <w:pStyle w:val="12"/>
            </w:pPr>
            <w:r>
              <w:t xml:space="preserve"> </w:t>
            </w:r>
          </w:p>
        </w:tc>
      </w:tr>
      <w:tr w14:paraId="7F7E8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A8F6C8">
            <w:pPr>
              <w:pStyle w:val="11"/>
            </w:pPr>
            <w:r>
              <w:t>绩效目标</w:t>
            </w:r>
          </w:p>
        </w:tc>
        <w:tc>
          <w:tcPr>
            <w:tcW w:w="14033" w:type="dxa"/>
            <w:gridSpan w:val="6"/>
            <w:vAlign w:val="center"/>
          </w:tcPr>
          <w:p w14:paraId="0355D806">
            <w:pPr>
              <w:pStyle w:val="13"/>
            </w:pPr>
            <w:r>
              <w:t>1.按时完成资金拨款和支付</w:t>
            </w:r>
            <w:r>
              <w:tab/>
            </w:r>
            <w:r>
              <w:tab/>
            </w:r>
          </w:p>
          <w:p w14:paraId="2E57905C">
            <w:pPr>
              <w:pStyle w:val="13"/>
            </w:pPr>
            <w:r>
              <w:t>2.保障义务教育学校正常运转，完成教育教学活动和其他日常工作任务等方面的费用支出。</w:t>
            </w:r>
            <w:r>
              <w:tab/>
            </w:r>
            <w:r>
              <w:tab/>
            </w:r>
            <w:r>
              <w:tab/>
            </w:r>
            <w:r>
              <w:tab/>
            </w:r>
            <w:r>
              <w:tab/>
            </w:r>
            <w:r>
              <w:tab/>
            </w:r>
          </w:p>
          <w:p w14:paraId="0D99A30B">
            <w:pPr>
              <w:pStyle w:val="13"/>
            </w:pPr>
            <w:r>
              <w:tab/>
            </w:r>
            <w:r>
              <w:tab/>
            </w:r>
            <w:r>
              <w:tab/>
            </w:r>
            <w:r>
              <w:tab/>
            </w:r>
          </w:p>
        </w:tc>
      </w:tr>
    </w:tbl>
    <w:p w14:paraId="22C782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CE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1BD75">
            <w:pPr>
              <w:pStyle w:val="11"/>
            </w:pPr>
            <w:r>
              <w:t>一级指标</w:t>
            </w:r>
          </w:p>
        </w:tc>
        <w:tc>
          <w:tcPr>
            <w:tcW w:w="2268" w:type="dxa"/>
            <w:vAlign w:val="center"/>
          </w:tcPr>
          <w:p w14:paraId="1E49D992">
            <w:pPr>
              <w:pStyle w:val="11"/>
            </w:pPr>
            <w:r>
              <w:t>二级指标</w:t>
            </w:r>
          </w:p>
        </w:tc>
        <w:tc>
          <w:tcPr>
            <w:tcW w:w="2835" w:type="dxa"/>
            <w:vAlign w:val="center"/>
          </w:tcPr>
          <w:p w14:paraId="0B990E6B">
            <w:pPr>
              <w:pStyle w:val="11"/>
            </w:pPr>
            <w:r>
              <w:t>三级指标</w:t>
            </w:r>
          </w:p>
        </w:tc>
        <w:tc>
          <w:tcPr>
            <w:tcW w:w="5386" w:type="dxa"/>
            <w:vAlign w:val="center"/>
          </w:tcPr>
          <w:p w14:paraId="4AFF24F9">
            <w:pPr>
              <w:pStyle w:val="11"/>
            </w:pPr>
            <w:r>
              <w:t>绩效指标描述</w:t>
            </w:r>
          </w:p>
        </w:tc>
        <w:tc>
          <w:tcPr>
            <w:tcW w:w="2268" w:type="dxa"/>
            <w:vAlign w:val="center"/>
          </w:tcPr>
          <w:p w14:paraId="321588CE">
            <w:pPr>
              <w:pStyle w:val="11"/>
            </w:pPr>
            <w:r>
              <w:t>指标值</w:t>
            </w:r>
          </w:p>
        </w:tc>
        <w:tc>
          <w:tcPr>
            <w:tcW w:w="1276" w:type="dxa"/>
            <w:vAlign w:val="center"/>
          </w:tcPr>
          <w:p w14:paraId="003516F4">
            <w:pPr>
              <w:pStyle w:val="11"/>
            </w:pPr>
            <w:r>
              <w:t>指标值确定依据</w:t>
            </w:r>
          </w:p>
        </w:tc>
      </w:tr>
      <w:tr w14:paraId="48F51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73E0A">
            <w:pPr>
              <w:pStyle w:val="12"/>
            </w:pPr>
            <w:r>
              <w:t>产出指标</w:t>
            </w:r>
          </w:p>
        </w:tc>
        <w:tc>
          <w:tcPr>
            <w:tcW w:w="2268" w:type="dxa"/>
            <w:vAlign w:val="center"/>
          </w:tcPr>
          <w:p w14:paraId="7986DC77">
            <w:pPr>
              <w:pStyle w:val="13"/>
            </w:pPr>
            <w:r>
              <w:t>数量指标</w:t>
            </w:r>
          </w:p>
        </w:tc>
        <w:tc>
          <w:tcPr>
            <w:tcW w:w="2835" w:type="dxa"/>
            <w:vAlign w:val="center"/>
          </w:tcPr>
          <w:p w14:paraId="3CF33FD5">
            <w:pPr>
              <w:pStyle w:val="13"/>
            </w:pPr>
            <w:r>
              <w:t>适龄在校生</w:t>
            </w:r>
          </w:p>
        </w:tc>
        <w:tc>
          <w:tcPr>
            <w:tcW w:w="5386" w:type="dxa"/>
            <w:vAlign w:val="center"/>
          </w:tcPr>
          <w:p w14:paraId="669FEF3E">
            <w:pPr>
              <w:pStyle w:val="13"/>
            </w:pPr>
            <w:r>
              <w:t>适龄在校就读学生人数</w:t>
            </w:r>
          </w:p>
        </w:tc>
        <w:tc>
          <w:tcPr>
            <w:tcW w:w="2268" w:type="dxa"/>
            <w:vAlign w:val="center"/>
          </w:tcPr>
          <w:p w14:paraId="6B131064">
            <w:pPr>
              <w:pStyle w:val="13"/>
            </w:pPr>
            <w:r>
              <w:t>3150人</w:t>
            </w:r>
          </w:p>
        </w:tc>
        <w:tc>
          <w:tcPr>
            <w:tcW w:w="1276" w:type="dxa"/>
            <w:vAlign w:val="center"/>
          </w:tcPr>
          <w:p w14:paraId="39151C00">
            <w:pPr>
              <w:pStyle w:val="13"/>
            </w:pPr>
            <w:r>
              <w:t>年度工作计划</w:t>
            </w:r>
          </w:p>
        </w:tc>
      </w:tr>
      <w:tr w14:paraId="776D3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65895"/>
        </w:tc>
        <w:tc>
          <w:tcPr>
            <w:tcW w:w="2268" w:type="dxa"/>
            <w:vAlign w:val="center"/>
          </w:tcPr>
          <w:p w14:paraId="3A7C056E">
            <w:pPr>
              <w:pStyle w:val="13"/>
            </w:pPr>
            <w:r>
              <w:t>质量指标</w:t>
            </w:r>
          </w:p>
        </w:tc>
        <w:tc>
          <w:tcPr>
            <w:tcW w:w="2835" w:type="dxa"/>
            <w:vAlign w:val="center"/>
          </w:tcPr>
          <w:p w14:paraId="57181058">
            <w:pPr>
              <w:pStyle w:val="13"/>
            </w:pPr>
            <w:r>
              <w:t>公用经费拨付完成率</w:t>
            </w:r>
          </w:p>
        </w:tc>
        <w:tc>
          <w:tcPr>
            <w:tcW w:w="5386" w:type="dxa"/>
            <w:vAlign w:val="center"/>
          </w:tcPr>
          <w:p w14:paraId="411E4827">
            <w:pPr>
              <w:pStyle w:val="13"/>
            </w:pPr>
            <w:r>
              <w:t>公用经费拨付完成率达到需时进度</w:t>
            </w:r>
          </w:p>
        </w:tc>
        <w:tc>
          <w:tcPr>
            <w:tcW w:w="2268" w:type="dxa"/>
            <w:vAlign w:val="center"/>
          </w:tcPr>
          <w:p w14:paraId="66909258">
            <w:pPr>
              <w:pStyle w:val="13"/>
            </w:pPr>
            <w:r>
              <w:t>100%</w:t>
            </w:r>
          </w:p>
        </w:tc>
        <w:tc>
          <w:tcPr>
            <w:tcW w:w="1276" w:type="dxa"/>
            <w:vAlign w:val="center"/>
          </w:tcPr>
          <w:p w14:paraId="71EB3B20">
            <w:pPr>
              <w:pStyle w:val="13"/>
            </w:pPr>
            <w:r>
              <w:t>年度工作计划</w:t>
            </w:r>
          </w:p>
        </w:tc>
      </w:tr>
      <w:tr w14:paraId="51432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3C242"/>
        </w:tc>
        <w:tc>
          <w:tcPr>
            <w:tcW w:w="2268" w:type="dxa"/>
            <w:vAlign w:val="center"/>
          </w:tcPr>
          <w:p w14:paraId="78F6C85C">
            <w:pPr>
              <w:pStyle w:val="13"/>
            </w:pPr>
            <w:r>
              <w:t>时效指标</w:t>
            </w:r>
          </w:p>
        </w:tc>
        <w:tc>
          <w:tcPr>
            <w:tcW w:w="2835" w:type="dxa"/>
            <w:vAlign w:val="center"/>
          </w:tcPr>
          <w:p w14:paraId="6F2B4A9A">
            <w:pPr>
              <w:pStyle w:val="13"/>
            </w:pPr>
            <w:r>
              <w:t>义教经费支付完成率</w:t>
            </w:r>
          </w:p>
        </w:tc>
        <w:tc>
          <w:tcPr>
            <w:tcW w:w="5386" w:type="dxa"/>
            <w:vAlign w:val="center"/>
          </w:tcPr>
          <w:p w14:paraId="3F70C3DA">
            <w:pPr>
              <w:pStyle w:val="13"/>
            </w:pPr>
            <w:r>
              <w:t>按照序时进度完成资金支付</w:t>
            </w:r>
          </w:p>
        </w:tc>
        <w:tc>
          <w:tcPr>
            <w:tcW w:w="2268" w:type="dxa"/>
            <w:vAlign w:val="center"/>
          </w:tcPr>
          <w:p w14:paraId="2E6C8B27">
            <w:pPr>
              <w:pStyle w:val="13"/>
            </w:pPr>
            <w:r>
              <w:t>100%</w:t>
            </w:r>
          </w:p>
        </w:tc>
        <w:tc>
          <w:tcPr>
            <w:tcW w:w="1276" w:type="dxa"/>
            <w:vAlign w:val="center"/>
          </w:tcPr>
          <w:p w14:paraId="56621674">
            <w:pPr>
              <w:pStyle w:val="13"/>
            </w:pPr>
            <w:r>
              <w:t>年度工作计划</w:t>
            </w:r>
          </w:p>
        </w:tc>
      </w:tr>
      <w:tr w14:paraId="649EE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3A9B3"/>
        </w:tc>
        <w:tc>
          <w:tcPr>
            <w:tcW w:w="2268" w:type="dxa"/>
            <w:vAlign w:val="center"/>
          </w:tcPr>
          <w:p w14:paraId="470254F6">
            <w:pPr>
              <w:pStyle w:val="13"/>
            </w:pPr>
            <w:r>
              <w:t>成本指标</w:t>
            </w:r>
          </w:p>
        </w:tc>
        <w:tc>
          <w:tcPr>
            <w:tcW w:w="2835" w:type="dxa"/>
            <w:vAlign w:val="center"/>
          </w:tcPr>
          <w:p w14:paraId="18712817">
            <w:pPr>
              <w:pStyle w:val="13"/>
            </w:pPr>
            <w:r>
              <w:t>生均拨款标准</w:t>
            </w:r>
          </w:p>
        </w:tc>
        <w:tc>
          <w:tcPr>
            <w:tcW w:w="5386" w:type="dxa"/>
            <w:vAlign w:val="center"/>
          </w:tcPr>
          <w:p w14:paraId="675BF641">
            <w:pPr>
              <w:pStyle w:val="13"/>
            </w:pPr>
            <w:r>
              <w:t>小学：（基本标准720元、寄宿生300元、生活补助120元）/生/学年；</w:t>
            </w:r>
          </w:p>
        </w:tc>
        <w:tc>
          <w:tcPr>
            <w:tcW w:w="2268" w:type="dxa"/>
            <w:vAlign w:val="center"/>
          </w:tcPr>
          <w:p w14:paraId="33C4AEA7">
            <w:pPr>
              <w:pStyle w:val="13"/>
            </w:pPr>
            <w:r>
              <w:t>1140元</w:t>
            </w:r>
          </w:p>
        </w:tc>
        <w:tc>
          <w:tcPr>
            <w:tcW w:w="1276" w:type="dxa"/>
            <w:vAlign w:val="center"/>
          </w:tcPr>
          <w:p w14:paraId="546E539E">
            <w:pPr>
              <w:pStyle w:val="13"/>
            </w:pPr>
            <w:r>
              <w:t>年度工作计划</w:t>
            </w:r>
          </w:p>
        </w:tc>
      </w:tr>
      <w:tr w14:paraId="04736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1D6DD">
            <w:pPr>
              <w:pStyle w:val="12"/>
            </w:pPr>
            <w:r>
              <w:t>效益指标</w:t>
            </w:r>
          </w:p>
        </w:tc>
        <w:tc>
          <w:tcPr>
            <w:tcW w:w="2268" w:type="dxa"/>
            <w:vAlign w:val="center"/>
          </w:tcPr>
          <w:p w14:paraId="63FB6E26">
            <w:pPr>
              <w:pStyle w:val="13"/>
            </w:pPr>
            <w:r>
              <w:t>社会效益指标</w:t>
            </w:r>
          </w:p>
        </w:tc>
        <w:tc>
          <w:tcPr>
            <w:tcW w:w="2835" w:type="dxa"/>
            <w:vAlign w:val="center"/>
          </w:tcPr>
          <w:p w14:paraId="2A7A3101">
            <w:pPr>
              <w:pStyle w:val="13"/>
            </w:pPr>
            <w:r>
              <w:t>学校稳定率</w:t>
            </w:r>
          </w:p>
        </w:tc>
        <w:tc>
          <w:tcPr>
            <w:tcW w:w="5386" w:type="dxa"/>
            <w:vAlign w:val="center"/>
          </w:tcPr>
          <w:p w14:paraId="4A4D201C">
            <w:pPr>
              <w:pStyle w:val="13"/>
            </w:pPr>
            <w:r>
              <w:t>维护学校稳定，保障学生就读巩固率</w:t>
            </w:r>
          </w:p>
        </w:tc>
        <w:tc>
          <w:tcPr>
            <w:tcW w:w="2268" w:type="dxa"/>
            <w:vAlign w:val="center"/>
          </w:tcPr>
          <w:p w14:paraId="04B6D4D6">
            <w:pPr>
              <w:pStyle w:val="13"/>
            </w:pPr>
            <w:r>
              <w:t>99.5%</w:t>
            </w:r>
          </w:p>
        </w:tc>
        <w:tc>
          <w:tcPr>
            <w:tcW w:w="1276" w:type="dxa"/>
            <w:vAlign w:val="center"/>
          </w:tcPr>
          <w:p w14:paraId="388650E4">
            <w:pPr>
              <w:pStyle w:val="13"/>
            </w:pPr>
            <w:r>
              <w:t>年度工作计划</w:t>
            </w:r>
          </w:p>
        </w:tc>
      </w:tr>
      <w:tr w14:paraId="70737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EDEFE"/>
        </w:tc>
        <w:tc>
          <w:tcPr>
            <w:tcW w:w="2268" w:type="dxa"/>
            <w:vAlign w:val="center"/>
          </w:tcPr>
          <w:p w14:paraId="110DCAEC">
            <w:pPr>
              <w:pStyle w:val="13"/>
            </w:pPr>
            <w:r>
              <w:t>可持续影响指标</w:t>
            </w:r>
          </w:p>
        </w:tc>
        <w:tc>
          <w:tcPr>
            <w:tcW w:w="2835" w:type="dxa"/>
            <w:vAlign w:val="center"/>
          </w:tcPr>
          <w:p w14:paraId="0D470E8F">
            <w:pPr>
              <w:pStyle w:val="13"/>
            </w:pPr>
            <w:r>
              <w:t>有效缓解就读学生家庭负担</w:t>
            </w:r>
          </w:p>
        </w:tc>
        <w:tc>
          <w:tcPr>
            <w:tcW w:w="5386" w:type="dxa"/>
            <w:vAlign w:val="center"/>
          </w:tcPr>
          <w:p w14:paraId="0F2BACAB">
            <w:pPr>
              <w:pStyle w:val="13"/>
            </w:pPr>
            <w:r>
              <w:t>减轻在校学生家庭负担</w:t>
            </w:r>
          </w:p>
        </w:tc>
        <w:tc>
          <w:tcPr>
            <w:tcW w:w="2268" w:type="dxa"/>
            <w:vAlign w:val="center"/>
          </w:tcPr>
          <w:p w14:paraId="06F7A03C">
            <w:pPr>
              <w:pStyle w:val="13"/>
            </w:pPr>
            <w:r>
              <w:t>1年</w:t>
            </w:r>
          </w:p>
        </w:tc>
        <w:tc>
          <w:tcPr>
            <w:tcW w:w="1276" w:type="dxa"/>
            <w:vAlign w:val="center"/>
          </w:tcPr>
          <w:p w14:paraId="06528659">
            <w:pPr>
              <w:pStyle w:val="13"/>
            </w:pPr>
            <w:r>
              <w:t>年度工作计划</w:t>
            </w:r>
          </w:p>
        </w:tc>
      </w:tr>
      <w:tr w14:paraId="5530F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4BEF84">
            <w:pPr>
              <w:pStyle w:val="12"/>
            </w:pPr>
            <w:r>
              <w:t>满意度指标</w:t>
            </w:r>
          </w:p>
        </w:tc>
        <w:tc>
          <w:tcPr>
            <w:tcW w:w="2268" w:type="dxa"/>
            <w:vAlign w:val="center"/>
          </w:tcPr>
          <w:p w14:paraId="770687A0">
            <w:pPr>
              <w:pStyle w:val="13"/>
            </w:pPr>
            <w:r>
              <w:t>服务对象满意度指标</w:t>
            </w:r>
          </w:p>
        </w:tc>
        <w:tc>
          <w:tcPr>
            <w:tcW w:w="2835" w:type="dxa"/>
            <w:vAlign w:val="center"/>
          </w:tcPr>
          <w:p w14:paraId="01AC7BD1">
            <w:pPr>
              <w:pStyle w:val="13"/>
            </w:pPr>
            <w:r>
              <w:t>服务对象满意度</w:t>
            </w:r>
          </w:p>
        </w:tc>
        <w:tc>
          <w:tcPr>
            <w:tcW w:w="5386" w:type="dxa"/>
            <w:vAlign w:val="center"/>
          </w:tcPr>
          <w:p w14:paraId="186FAFC3">
            <w:pPr>
              <w:pStyle w:val="13"/>
            </w:pPr>
            <w:r>
              <w:t>学校老师和学生满意度</w:t>
            </w:r>
          </w:p>
        </w:tc>
        <w:tc>
          <w:tcPr>
            <w:tcW w:w="2268" w:type="dxa"/>
            <w:vAlign w:val="center"/>
          </w:tcPr>
          <w:p w14:paraId="357F98D0">
            <w:pPr>
              <w:pStyle w:val="13"/>
            </w:pPr>
            <w:r>
              <w:t>≥98%</w:t>
            </w:r>
          </w:p>
        </w:tc>
        <w:tc>
          <w:tcPr>
            <w:tcW w:w="1276" w:type="dxa"/>
            <w:vAlign w:val="center"/>
          </w:tcPr>
          <w:p w14:paraId="75F7A5D5">
            <w:pPr>
              <w:pStyle w:val="13"/>
            </w:pPr>
            <w:r>
              <w:t>调查问卷</w:t>
            </w:r>
          </w:p>
        </w:tc>
      </w:tr>
    </w:tbl>
    <w:p w14:paraId="7D926463">
      <w:pPr>
        <w:sectPr>
          <w:pgSz w:w="16840" w:h="11900" w:orient="landscape"/>
          <w:pgMar w:top="1361" w:right="1020" w:bottom="1134" w:left="1020" w:header="720" w:footer="720" w:gutter="0"/>
          <w:cols w:space="720" w:num="1"/>
        </w:sectPr>
      </w:pPr>
    </w:p>
    <w:p w14:paraId="4EF4E781">
      <w:pPr>
        <w:spacing w:before="0" w:after="0"/>
        <w:ind w:firstLine="560"/>
        <w:jc w:val="left"/>
        <w:outlineLvl w:val="9"/>
      </w:pPr>
      <w:r>
        <w:rPr>
          <w:rFonts w:ascii="方正仿宋_GBK" w:hAnsi="方正仿宋_GBK" w:eastAsia="方正仿宋_GBK" w:cs="方正仿宋_GBK"/>
          <w:b/>
          <w:color w:val="000000"/>
          <w:sz w:val="28"/>
        </w:rPr>
        <w:t>7、冀财教[2024]123号/中央/2025年义教补助经费/综合奖补/第二实验小学空调购置绩效目标表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F3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DE3C1">
            <w:pPr>
              <w:pStyle w:val="14"/>
            </w:pPr>
            <w:r>
              <w:t>单位：万元</w:t>
            </w:r>
          </w:p>
        </w:tc>
      </w:tr>
      <w:tr w14:paraId="597B7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E06EC3">
            <w:pPr>
              <w:pStyle w:val="11"/>
            </w:pPr>
            <w:r>
              <w:t>项目编码</w:t>
            </w:r>
          </w:p>
        </w:tc>
        <w:tc>
          <w:tcPr>
            <w:tcW w:w="5103" w:type="dxa"/>
            <w:gridSpan w:val="2"/>
            <w:vAlign w:val="center"/>
          </w:tcPr>
          <w:p w14:paraId="192E4D83">
            <w:pPr>
              <w:pStyle w:val="13"/>
            </w:pPr>
            <w:r>
              <w:t>13052525P008756102314</w:t>
            </w:r>
          </w:p>
        </w:tc>
        <w:tc>
          <w:tcPr>
            <w:tcW w:w="2835" w:type="dxa"/>
            <w:vAlign w:val="center"/>
          </w:tcPr>
          <w:p w14:paraId="25E02820">
            <w:pPr>
              <w:pStyle w:val="11"/>
            </w:pPr>
            <w:r>
              <w:t>项目名称</w:t>
            </w:r>
          </w:p>
        </w:tc>
        <w:tc>
          <w:tcPr>
            <w:tcW w:w="6095" w:type="dxa"/>
            <w:gridSpan w:val="3"/>
            <w:vAlign w:val="center"/>
          </w:tcPr>
          <w:p w14:paraId="0B29D589">
            <w:pPr>
              <w:pStyle w:val="13"/>
            </w:pPr>
            <w:r>
              <w:t>冀财教[2024]123号/中央/2025年义教补助经费/综合奖补/第二实验小学空调购置</w:t>
            </w:r>
          </w:p>
        </w:tc>
      </w:tr>
      <w:tr w14:paraId="29466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7B50E">
            <w:pPr>
              <w:pStyle w:val="11"/>
            </w:pPr>
            <w:r>
              <w:t>预算规模及资金用途</w:t>
            </w:r>
          </w:p>
        </w:tc>
        <w:tc>
          <w:tcPr>
            <w:tcW w:w="2268" w:type="dxa"/>
            <w:vAlign w:val="center"/>
          </w:tcPr>
          <w:p w14:paraId="6785FD5D">
            <w:pPr>
              <w:pStyle w:val="11"/>
            </w:pPr>
            <w:r>
              <w:t>预算数</w:t>
            </w:r>
          </w:p>
        </w:tc>
        <w:tc>
          <w:tcPr>
            <w:tcW w:w="2835" w:type="dxa"/>
            <w:vAlign w:val="center"/>
          </w:tcPr>
          <w:p w14:paraId="196450CB">
            <w:pPr>
              <w:pStyle w:val="13"/>
            </w:pPr>
            <w:r>
              <w:t>27.50</w:t>
            </w:r>
          </w:p>
        </w:tc>
        <w:tc>
          <w:tcPr>
            <w:tcW w:w="2835" w:type="dxa"/>
            <w:vAlign w:val="center"/>
          </w:tcPr>
          <w:p w14:paraId="5C323380">
            <w:pPr>
              <w:pStyle w:val="11"/>
            </w:pPr>
            <w:r>
              <w:t>其中：财政    资金</w:t>
            </w:r>
          </w:p>
        </w:tc>
        <w:tc>
          <w:tcPr>
            <w:tcW w:w="2551" w:type="dxa"/>
            <w:vAlign w:val="center"/>
          </w:tcPr>
          <w:p w14:paraId="7182DEBC">
            <w:pPr>
              <w:pStyle w:val="13"/>
            </w:pPr>
            <w:r>
              <w:t>27.50</w:t>
            </w:r>
          </w:p>
        </w:tc>
        <w:tc>
          <w:tcPr>
            <w:tcW w:w="2268" w:type="dxa"/>
            <w:vAlign w:val="center"/>
          </w:tcPr>
          <w:p w14:paraId="6F0E7364">
            <w:pPr>
              <w:pStyle w:val="11"/>
            </w:pPr>
            <w:r>
              <w:t>其他资金</w:t>
            </w:r>
          </w:p>
        </w:tc>
        <w:tc>
          <w:tcPr>
            <w:tcW w:w="1276" w:type="dxa"/>
            <w:vAlign w:val="center"/>
          </w:tcPr>
          <w:p w14:paraId="572211D6">
            <w:pPr>
              <w:pStyle w:val="13"/>
            </w:pPr>
            <w:r>
              <w:t xml:space="preserve"> </w:t>
            </w:r>
          </w:p>
        </w:tc>
      </w:tr>
      <w:tr w14:paraId="795E2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0E175"/>
        </w:tc>
        <w:tc>
          <w:tcPr>
            <w:tcW w:w="14033" w:type="dxa"/>
            <w:gridSpan w:val="6"/>
            <w:vAlign w:val="center"/>
          </w:tcPr>
          <w:p w14:paraId="4DC214FF">
            <w:pPr>
              <w:pStyle w:val="13"/>
            </w:pPr>
            <w:r>
              <w:t>按时完成隆尧县第二实验小学空调购置工作，提高师生学习工作环境，提升满意度</w:t>
            </w:r>
            <w:r>
              <w:tab/>
            </w:r>
            <w:r>
              <w:tab/>
            </w:r>
            <w:r>
              <w:tab/>
            </w:r>
            <w:r>
              <w:tab/>
            </w:r>
            <w:r>
              <w:tab/>
            </w:r>
            <w:r>
              <w:tab/>
            </w:r>
          </w:p>
          <w:p w14:paraId="52EAF9DD">
            <w:pPr>
              <w:pStyle w:val="13"/>
            </w:pPr>
          </w:p>
        </w:tc>
      </w:tr>
      <w:tr w14:paraId="55253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42093">
            <w:pPr>
              <w:pStyle w:val="11"/>
            </w:pPr>
            <w:r>
              <w:t>资金支出计划（%）</w:t>
            </w:r>
          </w:p>
        </w:tc>
        <w:tc>
          <w:tcPr>
            <w:tcW w:w="5103" w:type="dxa"/>
            <w:gridSpan w:val="2"/>
            <w:vAlign w:val="center"/>
          </w:tcPr>
          <w:p w14:paraId="34C1A7DE">
            <w:pPr>
              <w:pStyle w:val="11"/>
            </w:pPr>
            <w:r>
              <w:t>3月底</w:t>
            </w:r>
          </w:p>
        </w:tc>
        <w:tc>
          <w:tcPr>
            <w:tcW w:w="2835" w:type="dxa"/>
            <w:vAlign w:val="center"/>
          </w:tcPr>
          <w:p w14:paraId="5E9C33DA">
            <w:pPr>
              <w:pStyle w:val="11"/>
            </w:pPr>
            <w:r>
              <w:t>6月底</w:t>
            </w:r>
          </w:p>
        </w:tc>
        <w:tc>
          <w:tcPr>
            <w:tcW w:w="2551" w:type="dxa"/>
            <w:vAlign w:val="center"/>
          </w:tcPr>
          <w:p w14:paraId="7A35861B">
            <w:pPr>
              <w:pStyle w:val="11"/>
            </w:pPr>
            <w:r>
              <w:t>10月底</w:t>
            </w:r>
          </w:p>
        </w:tc>
        <w:tc>
          <w:tcPr>
            <w:tcW w:w="3544" w:type="dxa"/>
            <w:gridSpan w:val="2"/>
            <w:vAlign w:val="center"/>
          </w:tcPr>
          <w:p w14:paraId="41D98D81">
            <w:pPr>
              <w:pStyle w:val="11"/>
            </w:pPr>
            <w:r>
              <w:t>12月底</w:t>
            </w:r>
          </w:p>
        </w:tc>
      </w:tr>
      <w:tr w14:paraId="0761E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2B70C9"/>
        </w:tc>
        <w:tc>
          <w:tcPr>
            <w:tcW w:w="5103" w:type="dxa"/>
            <w:gridSpan w:val="2"/>
            <w:vAlign w:val="center"/>
          </w:tcPr>
          <w:p w14:paraId="55A5BE8F">
            <w:pPr>
              <w:pStyle w:val="12"/>
            </w:pPr>
            <w:r>
              <w:t xml:space="preserve"> </w:t>
            </w:r>
          </w:p>
        </w:tc>
        <w:tc>
          <w:tcPr>
            <w:tcW w:w="2835" w:type="dxa"/>
            <w:vAlign w:val="center"/>
          </w:tcPr>
          <w:p w14:paraId="759C1D6C">
            <w:pPr>
              <w:pStyle w:val="12"/>
            </w:pPr>
            <w:r>
              <w:t>80%</w:t>
            </w:r>
          </w:p>
        </w:tc>
        <w:tc>
          <w:tcPr>
            <w:tcW w:w="2551" w:type="dxa"/>
            <w:vAlign w:val="center"/>
          </w:tcPr>
          <w:p w14:paraId="55B5CB9C">
            <w:pPr>
              <w:pStyle w:val="12"/>
            </w:pPr>
            <w:r>
              <w:t>100%</w:t>
            </w:r>
          </w:p>
        </w:tc>
        <w:tc>
          <w:tcPr>
            <w:tcW w:w="3544" w:type="dxa"/>
            <w:gridSpan w:val="2"/>
            <w:vAlign w:val="center"/>
          </w:tcPr>
          <w:p w14:paraId="7D0D8809">
            <w:pPr>
              <w:pStyle w:val="12"/>
            </w:pPr>
            <w:r>
              <w:t xml:space="preserve"> </w:t>
            </w:r>
          </w:p>
        </w:tc>
      </w:tr>
      <w:tr w14:paraId="1DAA1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BA449">
            <w:pPr>
              <w:pStyle w:val="11"/>
            </w:pPr>
            <w:r>
              <w:t>绩效目标</w:t>
            </w:r>
          </w:p>
        </w:tc>
        <w:tc>
          <w:tcPr>
            <w:tcW w:w="14033" w:type="dxa"/>
            <w:gridSpan w:val="6"/>
            <w:vAlign w:val="center"/>
          </w:tcPr>
          <w:p w14:paraId="7C687178">
            <w:pPr>
              <w:pStyle w:val="13"/>
            </w:pPr>
            <w:r>
              <w:t>1.按时完成隆尧县第二实验小学空调购置工作，提高师生学习工作环境，提升满意度</w:t>
            </w:r>
          </w:p>
          <w:p w14:paraId="11C0FCC6">
            <w:pPr>
              <w:pStyle w:val="13"/>
            </w:pPr>
            <w:r>
              <w:t>2.按照进度及时支付工程款</w:t>
            </w:r>
          </w:p>
        </w:tc>
      </w:tr>
    </w:tbl>
    <w:p w14:paraId="5EFF1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14:paraId="2D4A1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C72E5">
            <w:pPr>
              <w:pStyle w:val="11"/>
            </w:pPr>
            <w:r>
              <w:t>一级指标</w:t>
            </w:r>
          </w:p>
        </w:tc>
        <w:tc>
          <w:tcPr>
            <w:tcW w:w="2268" w:type="dxa"/>
            <w:vAlign w:val="center"/>
          </w:tcPr>
          <w:p w14:paraId="17A07940">
            <w:pPr>
              <w:pStyle w:val="11"/>
            </w:pPr>
            <w:r>
              <w:t>二级指标</w:t>
            </w:r>
          </w:p>
        </w:tc>
        <w:tc>
          <w:tcPr>
            <w:tcW w:w="2835" w:type="dxa"/>
            <w:vAlign w:val="center"/>
          </w:tcPr>
          <w:p w14:paraId="44C0D3DF">
            <w:pPr>
              <w:pStyle w:val="11"/>
            </w:pPr>
            <w:r>
              <w:t>三级指标</w:t>
            </w:r>
          </w:p>
        </w:tc>
        <w:tc>
          <w:tcPr>
            <w:tcW w:w="5386" w:type="dxa"/>
            <w:vAlign w:val="center"/>
          </w:tcPr>
          <w:p w14:paraId="2450F843">
            <w:pPr>
              <w:pStyle w:val="11"/>
            </w:pPr>
            <w:r>
              <w:t>绩效指标描述</w:t>
            </w:r>
          </w:p>
        </w:tc>
        <w:tc>
          <w:tcPr>
            <w:tcW w:w="1718" w:type="dxa"/>
            <w:vAlign w:val="center"/>
          </w:tcPr>
          <w:p w14:paraId="2BB4FE6B">
            <w:pPr>
              <w:pStyle w:val="11"/>
            </w:pPr>
            <w:r>
              <w:t>指标值</w:t>
            </w:r>
          </w:p>
        </w:tc>
        <w:tc>
          <w:tcPr>
            <w:tcW w:w="1826" w:type="dxa"/>
            <w:vAlign w:val="center"/>
          </w:tcPr>
          <w:p w14:paraId="4D84E3AD">
            <w:pPr>
              <w:pStyle w:val="11"/>
            </w:pPr>
            <w:r>
              <w:t>指标值确定依据</w:t>
            </w:r>
          </w:p>
        </w:tc>
      </w:tr>
      <w:tr w14:paraId="3A663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EA78B">
            <w:pPr>
              <w:pStyle w:val="12"/>
            </w:pPr>
            <w:r>
              <w:t>产出指标</w:t>
            </w:r>
          </w:p>
        </w:tc>
        <w:tc>
          <w:tcPr>
            <w:tcW w:w="2268" w:type="dxa"/>
            <w:vAlign w:val="center"/>
          </w:tcPr>
          <w:p w14:paraId="637D0D13">
            <w:pPr>
              <w:pStyle w:val="13"/>
            </w:pPr>
            <w:r>
              <w:t>数量指标</w:t>
            </w:r>
          </w:p>
        </w:tc>
        <w:tc>
          <w:tcPr>
            <w:tcW w:w="2835" w:type="dxa"/>
            <w:vAlign w:val="center"/>
          </w:tcPr>
          <w:p w14:paraId="06D6AB40">
            <w:pPr>
              <w:pStyle w:val="13"/>
            </w:pPr>
            <w:r>
              <w:t>完成50台空调的购置工作</w:t>
            </w:r>
          </w:p>
        </w:tc>
        <w:tc>
          <w:tcPr>
            <w:tcW w:w="5386" w:type="dxa"/>
            <w:vAlign w:val="center"/>
          </w:tcPr>
          <w:p w14:paraId="70F86E7D">
            <w:pPr>
              <w:pStyle w:val="13"/>
            </w:pPr>
            <w:r>
              <w:t>按照合同规定的时间完成</w:t>
            </w:r>
          </w:p>
        </w:tc>
        <w:tc>
          <w:tcPr>
            <w:tcW w:w="1718" w:type="dxa"/>
            <w:vAlign w:val="center"/>
          </w:tcPr>
          <w:p w14:paraId="3C2C43F8">
            <w:pPr>
              <w:pStyle w:val="13"/>
            </w:pPr>
            <w:r>
              <w:t>100%</w:t>
            </w:r>
          </w:p>
        </w:tc>
        <w:tc>
          <w:tcPr>
            <w:tcW w:w="1826" w:type="dxa"/>
            <w:vAlign w:val="center"/>
          </w:tcPr>
          <w:p w14:paraId="369AE201">
            <w:pPr>
              <w:pStyle w:val="13"/>
            </w:pPr>
            <w:r>
              <w:t>年度工作计划</w:t>
            </w:r>
          </w:p>
        </w:tc>
      </w:tr>
      <w:tr w14:paraId="45070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99D7D"/>
        </w:tc>
        <w:tc>
          <w:tcPr>
            <w:tcW w:w="2268" w:type="dxa"/>
            <w:vAlign w:val="center"/>
          </w:tcPr>
          <w:p w14:paraId="711DEE19">
            <w:pPr>
              <w:pStyle w:val="13"/>
            </w:pPr>
            <w:r>
              <w:t>质量指标</w:t>
            </w:r>
          </w:p>
        </w:tc>
        <w:tc>
          <w:tcPr>
            <w:tcW w:w="2835" w:type="dxa"/>
            <w:vAlign w:val="center"/>
          </w:tcPr>
          <w:p w14:paraId="71D88BC7">
            <w:pPr>
              <w:pStyle w:val="13"/>
            </w:pPr>
            <w:r>
              <w:t>50台空调质量验收</w:t>
            </w:r>
          </w:p>
        </w:tc>
        <w:tc>
          <w:tcPr>
            <w:tcW w:w="5386" w:type="dxa"/>
            <w:vAlign w:val="center"/>
          </w:tcPr>
          <w:p w14:paraId="0EA10A12">
            <w:pPr>
              <w:pStyle w:val="13"/>
            </w:pPr>
            <w:r>
              <w:t>项目验收合格率</w:t>
            </w:r>
          </w:p>
        </w:tc>
        <w:tc>
          <w:tcPr>
            <w:tcW w:w="1718" w:type="dxa"/>
            <w:vAlign w:val="center"/>
          </w:tcPr>
          <w:p w14:paraId="5853D86C">
            <w:pPr>
              <w:pStyle w:val="13"/>
            </w:pPr>
            <w:r>
              <w:t>100%</w:t>
            </w:r>
          </w:p>
        </w:tc>
        <w:tc>
          <w:tcPr>
            <w:tcW w:w="1826" w:type="dxa"/>
            <w:vAlign w:val="center"/>
          </w:tcPr>
          <w:p w14:paraId="34315E8F">
            <w:pPr>
              <w:pStyle w:val="13"/>
            </w:pPr>
            <w:r>
              <w:t>年度工作计划</w:t>
            </w:r>
          </w:p>
        </w:tc>
      </w:tr>
      <w:tr w14:paraId="20FC3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9B087"/>
        </w:tc>
        <w:tc>
          <w:tcPr>
            <w:tcW w:w="2268" w:type="dxa"/>
            <w:vAlign w:val="center"/>
          </w:tcPr>
          <w:p w14:paraId="75E049F1">
            <w:pPr>
              <w:pStyle w:val="13"/>
            </w:pPr>
            <w:r>
              <w:t>时效指标</w:t>
            </w:r>
          </w:p>
        </w:tc>
        <w:tc>
          <w:tcPr>
            <w:tcW w:w="2835" w:type="dxa"/>
            <w:vAlign w:val="center"/>
          </w:tcPr>
          <w:p w14:paraId="01304D61">
            <w:pPr>
              <w:pStyle w:val="13"/>
            </w:pPr>
            <w:r>
              <w:t>资金支付进度</w:t>
            </w:r>
          </w:p>
        </w:tc>
        <w:tc>
          <w:tcPr>
            <w:tcW w:w="5386" w:type="dxa"/>
            <w:vAlign w:val="center"/>
          </w:tcPr>
          <w:p w14:paraId="7C40CB1D">
            <w:pPr>
              <w:pStyle w:val="13"/>
            </w:pPr>
            <w:r>
              <w:t>规定时间内完成率</w:t>
            </w:r>
          </w:p>
        </w:tc>
        <w:tc>
          <w:tcPr>
            <w:tcW w:w="1718" w:type="dxa"/>
            <w:vAlign w:val="center"/>
          </w:tcPr>
          <w:p w14:paraId="46B20129">
            <w:pPr>
              <w:pStyle w:val="13"/>
            </w:pPr>
            <w:r>
              <w:t>100%</w:t>
            </w:r>
          </w:p>
        </w:tc>
        <w:tc>
          <w:tcPr>
            <w:tcW w:w="1826" w:type="dxa"/>
            <w:vAlign w:val="center"/>
          </w:tcPr>
          <w:p w14:paraId="6D2C1967">
            <w:pPr>
              <w:pStyle w:val="13"/>
            </w:pPr>
            <w:r>
              <w:t>年度工作计划</w:t>
            </w:r>
          </w:p>
        </w:tc>
      </w:tr>
      <w:tr w14:paraId="7EA50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0FE25"/>
        </w:tc>
        <w:tc>
          <w:tcPr>
            <w:tcW w:w="2268" w:type="dxa"/>
            <w:vAlign w:val="center"/>
          </w:tcPr>
          <w:p w14:paraId="461314A8">
            <w:pPr>
              <w:pStyle w:val="13"/>
            </w:pPr>
            <w:r>
              <w:t>成本指标</w:t>
            </w:r>
          </w:p>
        </w:tc>
        <w:tc>
          <w:tcPr>
            <w:tcW w:w="2835" w:type="dxa"/>
            <w:vAlign w:val="center"/>
          </w:tcPr>
          <w:p w14:paraId="53D1B30E">
            <w:pPr>
              <w:pStyle w:val="13"/>
            </w:pPr>
            <w:r>
              <w:t>50台空调控制成本</w:t>
            </w:r>
          </w:p>
        </w:tc>
        <w:tc>
          <w:tcPr>
            <w:tcW w:w="5386" w:type="dxa"/>
            <w:vAlign w:val="center"/>
          </w:tcPr>
          <w:p w14:paraId="5CE3CF80">
            <w:pPr>
              <w:pStyle w:val="13"/>
            </w:pPr>
            <w:r>
              <w:t>实际成本</w:t>
            </w:r>
          </w:p>
        </w:tc>
        <w:tc>
          <w:tcPr>
            <w:tcW w:w="1718" w:type="dxa"/>
            <w:vAlign w:val="center"/>
          </w:tcPr>
          <w:p w14:paraId="40BABBBA">
            <w:pPr>
              <w:pStyle w:val="13"/>
            </w:pPr>
            <w:r>
              <w:t>≤27.5万元</w:t>
            </w:r>
          </w:p>
        </w:tc>
        <w:tc>
          <w:tcPr>
            <w:tcW w:w="1826" w:type="dxa"/>
            <w:vAlign w:val="center"/>
          </w:tcPr>
          <w:p w14:paraId="3C7A0229">
            <w:pPr>
              <w:pStyle w:val="13"/>
            </w:pPr>
            <w:r>
              <w:t>行业标准成本</w:t>
            </w:r>
          </w:p>
        </w:tc>
      </w:tr>
      <w:tr w14:paraId="19AA9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58041">
            <w:pPr>
              <w:pStyle w:val="12"/>
            </w:pPr>
            <w:r>
              <w:t>效益指标</w:t>
            </w:r>
          </w:p>
        </w:tc>
        <w:tc>
          <w:tcPr>
            <w:tcW w:w="2268" w:type="dxa"/>
            <w:vAlign w:val="center"/>
          </w:tcPr>
          <w:p w14:paraId="6CF1F797">
            <w:pPr>
              <w:pStyle w:val="13"/>
            </w:pPr>
            <w:r>
              <w:t>经济效益指标</w:t>
            </w:r>
          </w:p>
        </w:tc>
        <w:tc>
          <w:tcPr>
            <w:tcW w:w="2835" w:type="dxa"/>
            <w:vAlign w:val="center"/>
          </w:tcPr>
          <w:p w14:paraId="11E38009">
            <w:pPr>
              <w:pStyle w:val="13"/>
            </w:pPr>
            <w:r>
              <w:t>使用年限</w:t>
            </w:r>
          </w:p>
        </w:tc>
        <w:tc>
          <w:tcPr>
            <w:tcW w:w="5386" w:type="dxa"/>
            <w:vAlign w:val="center"/>
          </w:tcPr>
          <w:p w14:paraId="4C87A77D">
            <w:pPr>
              <w:pStyle w:val="13"/>
            </w:pPr>
            <w:r>
              <w:t>达到合同要求的使用年限</w:t>
            </w:r>
          </w:p>
        </w:tc>
        <w:tc>
          <w:tcPr>
            <w:tcW w:w="1718" w:type="dxa"/>
            <w:vAlign w:val="center"/>
          </w:tcPr>
          <w:p w14:paraId="6801A9BD">
            <w:pPr>
              <w:pStyle w:val="13"/>
            </w:pPr>
            <w:r>
              <w:t>10年</w:t>
            </w:r>
          </w:p>
        </w:tc>
        <w:tc>
          <w:tcPr>
            <w:tcW w:w="1826" w:type="dxa"/>
            <w:vAlign w:val="center"/>
          </w:tcPr>
          <w:p w14:paraId="51CA5CD2">
            <w:pPr>
              <w:pStyle w:val="13"/>
            </w:pPr>
            <w:r>
              <w:t>行业质量要求</w:t>
            </w:r>
          </w:p>
        </w:tc>
      </w:tr>
      <w:tr w14:paraId="1BFC5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62F00"/>
        </w:tc>
        <w:tc>
          <w:tcPr>
            <w:tcW w:w="2268" w:type="dxa"/>
            <w:vAlign w:val="center"/>
          </w:tcPr>
          <w:p w14:paraId="48EE9838">
            <w:pPr>
              <w:pStyle w:val="13"/>
            </w:pPr>
            <w:r>
              <w:t>社会效益指标</w:t>
            </w:r>
          </w:p>
        </w:tc>
        <w:tc>
          <w:tcPr>
            <w:tcW w:w="2835" w:type="dxa"/>
            <w:vAlign w:val="center"/>
          </w:tcPr>
          <w:p w14:paraId="66D0DF3A">
            <w:pPr>
              <w:pStyle w:val="13"/>
            </w:pPr>
            <w:r>
              <w:t>优化广大师生学习环境，</w:t>
            </w:r>
          </w:p>
        </w:tc>
        <w:tc>
          <w:tcPr>
            <w:tcW w:w="5386" w:type="dxa"/>
            <w:vAlign w:val="center"/>
          </w:tcPr>
          <w:p w14:paraId="5970D057">
            <w:pPr>
              <w:pStyle w:val="13"/>
            </w:pPr>
            <w:r>
              <w:t>满足3000名师生学习需要</w:t>
            </w:r>
          </w:p>
        </w:tc>
        <w:tc>
          <w:tcPr>
            <w:tcW w:w="1718" w:type="dxa"/>
            <w:vAlign w:val="center"/>
          </w:tcPr>
          <w:p w14:paraId="407B876A">
            <w:pPr>
              <w:pStyle w:val="13"/>
            </w:pPr>
            <w:r>
              <w:t>≥3000人</w:t>
            </w:r>
          </w:p>
        </w:tc>
        <w:tc>
          <w:tcPr>
            <w:tcW w:w="1826" w:type="dxa"/>
            <w:vAlign w:val="center"/>
          </w:tcPr>
          <w:p w14:paraId="189C79D5">
            <w:pPr>
              <w:pStyle w:val="13"/>
            </w:pPr>
            <w:r>
              <w:t>年度工作计划</w:t>
            </w:r>
          </w:p>
        </w:tc>
      </w:tr>
      <w:tr w14:paraId="54A8A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BEAAC"/>
        </w:tc>
        <w:tc>
          <w:tcPr>
            <w:tcW w:w="2268" w:type="dxa"/>
            <w:vAlign w:val="center"/>
          </w:tcPr>
          <w:p w14:paraId="441426CE">
            <w:pPr>
              <w:pStyle w:val="13"/>
            </w:pPr>
            <w:r>
              <w:t>生态效益指标</w:t>
            </w:r>
          </w:p>
        </w:tc>
        <w:tc>
          <w:tcPr>
            <w:tcW w:w="2835" w:type="dxa"/>
            <w:vAlign w:val="center"/>
          </w:tcPr>
          <w:p w14:paraId="4560C94A">
            <w:pPr>
              <w:pStyle w:val="13"/>
            </w:pPr>
            <w:r>
              <w:t>达到环保要求</w:t>
            </w:r>
          </w:p>
        </w:tc>
        <w:tc>
          <w:tcPr>
            <w:tcW w:w="5386" w:type="dxa"/>
            <w:vAlign w:val="center"/>
          </w:tcPr>
          <w:p w14:paraId="07CA2819">
            <w:pPr>
              <w:pStyle w:val="13"/>
            </w:pPr>
            <w:r>
              <w:t>高效低耗产品比例</w:t>
            </w:r>
          </w:p>
        </w:tc>
        <w:tc>
          <w:tcPr>
            <w:tcW w:w="1718" w:type="dxa"/>
            <w:vAlign w:val="center"/>
          </w:tcPr>
          <w:p w14:paraId="3CEE90F4">
            <w:pPr>
              <w:pStyle w:val="13"/>
            </w:pPr>
            <w:r>
              <w:t>≥100%</w:t>
            </w:r>
          </w:p>
        </w:tc>
        <w:tc>
          <w:tcPr>
            <w:tcW w:w="1826" w:type="dxa"/>
            <w:vAlign w:val="center"/>
          </w:tcPr>
          <w:p w14:paraId="5A418E50">
            <w:pPr>
              <w:pStyle w:val="13"/>
            </w:pPr>
            <w:r>
              <w:t>行业质量标准</w:t>
            </w:r>
          </w:p>
        </w:tc>
      </w:tr>
      <w:tr w14:paraId="2152E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5B8A9"/>
        </w:tc>
        <w:tc>
          <w:tcPr>
            <w:tcW w:w="2268" w:type="dxa"/>
            <w:vAlign w:val="center"/>
          </w:tcPr>
          <w:p w14:paraId="6F79E4A4">
            <w:pPr>
              <w:pStyle w:val="13"/>
            </w:pPr>
            <w:r>
              <w:t>可持续影响指标</w:t>
            </w:r>
          </w:p>
        </w:tc>
        <w:tc>
          <w:tcPr>
            <w:tcW w:w="2835" w:type="dxa"/>
            <w:vAlign w:val="center"/>
          </w:tcPr>
          <w:p w14:paraId="35875E8A">
            <w:pPr>
              <w:pStyle w:val="13"/>
            </w:pPr>
            <w:r>
              <w:t>使用效益持续时间</w:t>
            </w:r>
          </w:p>
        </w:tc>
        <w:tc>
          <w:tcPr>
            <w:tcW w:w="5386" w:type="dxa"/>
            <w:vAlign w:val="center"/>
          </w:tcPr>
          <w:p w14:paraId="12355A73">
            <w:pPr>
              <w:pStyle w:val="13"/>
            </w:pPr>
            <w:r>
              <w:t>使用效果持续时间长</w:t>
            </w:r>
          </w:p>
        </w:tc>
        <w:tc>
          <w:tcPr>
            <w:tcW w:w="1718" w:type="dxa"/>
            <w:vAlign w:val="center"/>
          </w:tcPr>
          <w:p w14:paraId="17D546C1">
            <w:pPr>
              <w:pStyle w:val="13"/>
            </w:pPr>
            <w:r>
              <w:t>≥10年</w:t>
            </w:r>
          </w:p>
        </w:tc>
        <w:tc>
          <w:tcPr>
            <w:tcW w:w="1826" w:type="dxa"/>
            <w:vAlign w:val="center"/>
          </w:tcPr>
          <w:p w14:paraId="3044C5C8">
            <w:pPr>
              <w:pStyle w:val="13"/>
            </w:pPr>
            <w:r>
              <w:t>行业质量标准</w:t>
            </w:r>
          </w:p>
        </w:tc>
      </w:tr>
      <w:tr w14:paraId="2DDCB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D502F0">
            <w:pPr>
              <w:pStyle w:val="12"/>
            </w:pPr>
            <w:r>
              <w:t>满意度指标</w:t>
            </w:r>
          </w:p>
        </w:tc>
        <w:tc>
          <w:tcPr>
            <w:tcW w:w="2268" w:type="dxa"/>
            <w:vAlign w:val="center"/>
          </w:tcPr>
          <w:p w14:paraId="689F1CD6">
            <w:pPr>
              <w:pStyle w:val="13"/>
            </w:pPr>
            <w:r>
              <w:t>服务对象满意度指标</w:t>
            </w:r>
          </w:p>
        </w:tc>
        <w:tc>
          <w:tcPr>
            <w:tcW w:w="2835" w:type="dxa"/>
            <w:vAlign w:val="center"/>
          </w:tcPr>
          <w:p w14:paraId="667956D7">
            <w:pPr>
              <w:pStyle w:val="13"/>
            </w:pPr>
            <w:r>
              <w:t>师生对学习生活环境的满意度</w:t>
            </w:r>
          </w:p>
        </w:tc>
        <w:tc>
          <w:tcPr>
            <w:tcW w:w="5386" w:type="dxa"/>
            <w:vAlign w:val="center"/>
          </w:tcPr>
          <w:p w14:paraId="7C5DEF05">
            <w:pPr>
              <w:pStyle w:val="13"/>
            </w:pPr>
            <w:r>
              <w:t>师生对学习生活环境的满意度</w:t>
            </w:r>
          </w:p>
        </w:tc>
        <w:tc>
          <w:tcPr>
            <w:tcW w:w="1718" w:type="dxa"/>
            <w:vAlign w:val="center"/>
          </w:tcPr>
          <w:p w14:paraId="22789451">
            <w:pPr>
              <w:pStyle w:val="13"/>
            </w:pPr>
            <w:r>
              <w:t>≥100%</w:t>
            </w:r>
          </w:p>
        </w:tc>
        <w:tc>
          <w:tcPr>
            <w:tcW w:w="1826" w:type="dxa"/>
            <w:vAlign w:val="center"/>
          </w:tcPr>
          <w:p w14:paraId="46F0C1DA">
            <w:pPr>
              <w:pStyle w:val="13"/>
            </w:pPr>
            <w:r>
              <w:t>年度工作计划</w:t>
            </w:r>
          </w:p>
        </w:tc>
      </w:tr>
    </w:tbl>
    <w:p w14:paraId="0B5FB961">
      <w:pPr>
        <w:sectPr>
          <w:pgSz w:w="16840" w:h="11900" w:orient="landscape"/>
          <w:pgMar w:top="1361" w:right="1020" w:bottom="1134" w:left="1020" w:header="720" w:footer="720" w:gutter="0"/>
          <w:cols w:space="720" w:num="1"/>
        </w:sectPr>
      </w:pPr>
    </w:p>
    <w:p w14:paraId="467416CC">
      <w:pPr>
        <w:spacing w:before="0" w:after="0"/>
        <w:ind w:firstLine="560"/>
        <w:jc w:val="left"/>
        <w:outlineLvl w:val="9"/>
      </w:pPr>
      <w:r>
        <w:rPr>
          <w:rFonts w:ascii="方正仿宋_GBK" w:hAnsi="方正仿宋_GBK" w:eastAsia="方正仿宋_GBK" w:cs="方正仿宋_GBK"/>
          <w:b/>
          <w:color w:val="000000"/>
          <w:sz w:val="28"/>
        </w:rPr>
        <w:t>8、冀财教[2024]123号/中央/2025年义教补助经费/综合奖补/第二实验小学双回路电源高设备提升绩效目标表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75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637BF">
            <w:pPr>
              <w:pStyle w:val="14"/>
            </w:pPr>
            <w:r>
              <w:t>单位：万元</w:t>
            </w:r>
          </w:p>
        </w:tc>
      </w:tr>
      <w:tr w14:paraId="52BDA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143F04">
            <w:pPr>
              <w:pStyle w:val="11"/>
            </w:pPr>
            <w:r>
              <w:t>项目编码</w:t>
            </w:r>
          </w:p>
        </w:tc>
        <w:tc>
          <w:tcPr>
            <w:tcW w:w="5103" w:type="dxa"/>
            <w:gridSpan w:val="2"/>
            <w:vAlign w:val="center"/>
          </w:tcPr>
          <w:p w14:paraId="753134C0">
            <w:pPr>
              <w:pStyle w:val="13"/>
            </w:pPr>
            <w:r>
              <w:t>13052525P00875610232P</w:t>
            </w:r>
          </w:p>
        </w:tc>
        <w:tc>
          <w:tcPr>
            <w:tcW w:w="2835" w:type="dxa"/>
            <w:vAlign w:val="center"/>
          </w:tcPr>
          <w:p w14:paraId="67E1D0B1">
            <w:pPr>
              <w:pStyle w:val="11"/>
            </w:pPr>
            <w:r>
              <w:t>项目名称</w:t>
            </w:r>
          </w:p>
        </w:tc>
        <w:tc>
          <w:tcPr>
            <w:tcW w:w="6095" w:type="dxa"/>
            <w:gridSpan w:val="3"/>
            <w:vAlign w:val="center"/>
          </w:tcPr>
          <w:p w14:paraId="05D9C5A6">
            <w:pPr>
              <w:pStyle w:val="13"/>
            </w:pPr>
            <w:r>
              <w:t>冀财教[2024]123号/中央/2025年义教补助经费/综合奖补/第二实验小学双回路电源高设备提升</w:t>
            </w:r>
          </w:p>
        </w:tc>
      </w:tr>
      <w:tr w14:paraId="1BACD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A2FA7">
            <w:pPr>
              <w:pStyle w:val="11"/>
            </w:pPr>
            <w:r>
              <w:t>预算规模及资金用途</w:t>
            </w:r>
          </w:p>
        </w:tc>
        <w:tc>
          <w:tcPr>
            <w:tcW w:w="2268" w:type="dxa"/>
            <w:vAlign w:val="center"/>
          </w:tcPr>
          <w:p w14:paraId="57377ECA">
            <w:pPr>
              <w:pStyle w:val="11"/>
            </w:pPr>
            <w:r>
              <w:t>预算数</w:t>
            </w:r>
          </w:p>
        </w:tc>
        <w:tc>
          <w:tcPr>
            <w:tcW w:w="2835" w:type="dxa"/>
            <w:vAlign w:val="center"/>
          </w:tcPr>
          <w:p w14:paraId="619A0B35">
            <w:pPr>
              <w:pStyle w:val="13"/>
            </w:pPr>
            <w:r>
              <w:t>18.00</w:t>
            </w:r>
          </w:p>
        </w:tc>
        <w:tc>
          <w:tcPr>
            <w:tcW w:w="2835" w:type="dxa"/>
            <w:vAlign w:val="center"/>
          </w:tcPr>
          <w:p w14:paraId="7AC6D0D2">
            <w:pPr>
              <w:pStyle w:val="11"/>
            </w:pPr>
            <w:r>
              <w:t>其中：财政    资金</w:t>
            </w:r>
          </w:p>
        </w:tc>
        <w:tc>
          <w:tcPr>
            <w:tcW w:w="2551" w:type="dxa"/>
            <w:vAlign w:val="center"/>
          </w:tcPr>
          <w:p w14:paraId="534C204B">
            <w:pPr>
              <w:pStyle w:val="13"/>
            </w:pPr>
            <w:r>
              <w:t>18.00</w:t>
            </w:r>
          </w:p>
        </w:tc>
        <w:tc>
          <w:tcPr>
            <w:tcW w:w="2268" w:type="dxa"/>
            <w:vAlign w:val="center"/>
          </w:tcPr>
          <w:p w14:paraId="48E9B44E">
            <w:pPr>
              <w:pStyle w:val="11"/>
            </w:pPr>
            <w:r>
              <w:t>其他资金</w:t>
            </w:r>
          </w:p>
        </w:tc>
        <w:tc>
          <w:tcPr>
            <w:tcW w:w="1276" w:type="dxa"/>
            <w:vAlign w:val="center"/>
          </w:tcPr>
          <w:p w14:paraId="1714E423">
            <w:pPr>
              <w:pStyle w:val="13"/>
            </w:pPr>
            <w:r>
              <w:t xml:space="preserve"> </w:t>
            </w:r>
          </w:p>
        </w:tc>
      </w:tr>
      <w:tr w14:paraId="7D48B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CE56CB"/>
        </w:tc>
        <w:tc>
          <w:tcPr>
            <w:tcW w:w="14033" w:type="dxa"/>
            <w:gridSpan w:val="6"/>
            <w:vAlign w:val="center"/>
          </w:tcPr>
          <w:p w14:paraId="7F290D2E">
            <w:pPr>
              <w:pStyle w:val="13"/>
            </w:pPr>
            <w:r>
              <w:t>按时完成第二实验小学防水维修工程，提高师生学习工作环境，提升安全指数</w:t>
            </w:r>
            <w:r>
              <w:tab/>
            </w:r>
            <w:r>
              <w:tab/>
            </w:r>
            <w:r>
              <w:tab/>
            </w:r>
            <w:r>
              <w:tab/>
            </w:r>
            <w:r>
              <w:tab/>
            </w:r>
            <w:r>
              <w:tab/>
            </w:r>
          </w:p>
          <w:p w14:paraId="2A23433B">
            <w:pPr>
              <w:pStyle w:val="13"/>
            </w:pPr>
          </w:p>
        </w:tc>
      </w:tr>
      <w:tr w14:paraId="06C60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C388B">
            <w:pPr>
              <w:pStyle w:val="11"/>
            </w:pPr>
            <w:r>
              <w:t>资金支出计划（%）</w:t>
            </w:r>
          </w:p>
        </w:tc>
        <w:tc>
          <w:tcPr>
            <w:tcW w:w="5103" w:type="dxa"/>
            <w:gridSpan w:val="2"/>
            <w:vAlign w:val="center"/>
          </w:tcPr>
          <w:p w14:paraId="4121CAC3">
            <w:pPr>
              <w:pStyle w:val="11"/>
            </w:pPr>
            <w:r>
              <w:t>3月底</w:t>
            </w:r>
          </w:p>
        </w:tc>
        <w:tc>
          <w:tcPr>
            <w:tcW w:w="2835" w:type="dxa"/>
            <w:vAlign w:val="center"/>
          </w:tcPr>
          <w:p w14:paraId="0ADCA4BF">
            <w:pPr>
              <w:pStyle w:val="11"/>
            </w:pPr>
            <w:r>
              <w:t>6月底</w:t>
            </w:r>
          </w:p>
        </w:tc>
        <w:tc>
          <w:tcPr>
            <w:tcW w:w="2551" w:type="dxa"/>
            <w:vAlign w:val="center"/>
          </w:tcPr>
          <w:p w14:paraId="0B4A0E95">
            <w:pPr>
              <w:pStyle w:val="11"/>
            </w:pPr>
            <w:r>
              <w:t>10月底</w:t>
            </w:r>
          </w:p>
        </w:tc>
        <w:tc>
          <w:tcPr>
            <w:tcW w:w="3544" w:type="dxa"/>
            <w:gridSpan w:val="2"/>
            <w:vAlign w:val="center"/>
          </w:tcPr>
          <w:p w14:paraId="10092E5F">
            <w:pPr>
              <w:pStyle w:val="11"/>
            </w:pPr>
            <w:r>
              <w:t>12月底</w:t>
            </w:r>
          </w:p>
        </w:tc>
      </w:tr>
      <w:tr w14:paraId="5D1CA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0FB38"/>
        </w:tc>
        <w:tc>
          <w:tcPr>
            <w:tcW w:w="5103" w:type="dxa"/>
            <w:gridSpan w:val="2"/>
            <w:vAlign w:val="center"/>
          </w:tcPr>
          <w:p w14:paraId="5C28D062">
            <w:pPr>
              <w:pStyle w:val="12"/>
            </w:pPr>
            <w:r>
              <w:t xml:space="preserve"> </w:t>
            </w:r>
          </w:p>
        </w:tc>
        <w:tc>
          <w:tcPr>
            <w:tcW w:w="2835" w:type="dxa"/>
            <w:vAlign w:val="center"/>
          </w:tcPr>
          <w:p w14:paraId="2950F357">
            <w:pPr>
              <w:pStyle w:val="12"/>
            </w:pPr>
            <w:r>
              <w:t>80%</w:t>
            </w:r>
          </w:p>
        </w:tc>
        <w:tc>
          <w:tcPr>
            <w:tcW w:w="2551" w:type="dxa"/>
            <w:vAlign w:val="center"/>
          </w:tcPr>
          <w:p w14:paraId="173BDFC0">
            <w:pPr>
              <w:pStyle w:val="12"/>
            </w:pPr>
            <w:r>
              <w:t>100%</w:t>
            </w:r>
          </w:p>
        </w:tc>
        <w:tc>
          <w:tcPr>
            <w:tcW w:w="3544" w:type="dxa"/>
            <w:gridSpan w:val="2"/>
            <w:vAlign w:val="center"/>
          </w:tcPr>
          <w:p w14:paraId="40195EC4">
            <w:pPr>
              <w:pStyle w:val="12"/>
            </w:pPr>
            <w:r>
              <w:t xml:space="preserve"> </w:t>
            </w:r>
          </w:p>
        </w:tc>
      </w:tr>
      <w:tr w14:paraId="1ADB4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C4EE6">
            <w:pPr>
              <w:pStyle w:val="11"/>
            </w:pPr>
            <w:r>
              <w:t>绩效目标</w:t>
            </w:r>
          </w:p>
        </w:tc>
        <w:tc>
          <w:tcPr>
            <w:tcW w:w="14033" w:type="dxa"/>
            <w:gridSpan w:val="6"/>
            <w:vAlign w:val="center"/>
          </w:tcPr>
          <w:p w14:paraId="063E1267">
            <w:pPr>
              <w:pStyle w:val="13"/>
            </w:pPr>
            <w:r>
              <w:t>1.按时完成第二实验小学双回路电源设备提升工程，提高师生学习工作环境，提升安全指数</w:t>
            </w:r>
          </w:p>
          <w:p w14:paraId="5E9F4719">
            <w:pPr>
              <w:pStyle w:val="13"/>
            </w:pPr>
            <w:r>
              <w:t>2.按照工程进度及时支付工程款</w:t>
            </w:r>
          </w:p>
        </w:tc>
      </w:tr>
    </w:tbl>
    <w:p w14:paraId="33DD4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15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626A8">
            <w:pPr>
              <w:pStyle w:val="11"/>
            </w:pPr>
            <w:r>
              <w:t>一级指标</w:t>
            </w:r>
          </w:p>
        </w:tc>
        <w:tc>
          <w:tcPr>
            <w:tcW w:w="2268" w:type="dxa"/>
            <w:vAlign w:val="center"/>
          </w:tcPr>
          <w:p w14:paraId="16DB751C">
            <w:pPr>
              <w:pStyle w:val="11"/>
            </w:pPr>
            <w:r>
              <w:t>二级指标</w:t>
            </w:r>
          </w:p>
        </w:tc>
        <w:tc>
          <w:tcPr>
            <w:tcW w:w="2835" w:type="dxa"/>
            <w:vAlign w:val="center"/>
          </w:tcPr>
          <w:p w14:paraId="0D7DD42F">
            <w:pPr>
              <w:pStyle w:val="11"/>
            </w:pPr>
            <w:r>
              <w:t>三级指标</w:t>
            </w:r>
          </w:p>
        </w:tc>
        <w:tc>
          <w:tcPr>
            <w:tcW w:w="5386" w:type="dxa"/>
            <w:vAlign w:val="center"/>
          </w:tcPr>
          <w:p w14:paraId="44E56DCB">
            <w:pPr>
              <w:pStyle w:val="11"/>
            </w:pPr>
            <w:r>
              <w:t>绩效指标描述</w:t>
            </w:r>
          </w:p>
        </w:tc>
        <w:tc>
          <w:tcPr>
            <w:tcW w:w="2268" w:type="dxa"/>
            <w:vAlign w:val="center"/>
          </w:tcPr>
          <w:p w14:paraId="26C74EA7">
            <w:pPr>
              <w:pStyle w:val="11"/>
            </w:pPr>
            <w:r>
              <w:t>指标值</w:t>
            </w:r>
          </w:p>
        </w:tc>
        <w:tc>
          <w:tcPr>
            <w:tcW w:w="1276" w:type="dxa"/>
            <w:vAlign w:val="center"/>
          </w:tcPr>
          <w:p w14:paraId="58ED4BB8">
            <w:pPr>
              <w:pStyle w:val="11"/>
            </w:pPr>
            <w:r>
              <w:t>指标值确定依据</w:t>
            </w:r>
          </w:p>
        </w:tc>
      </w:tr>
      <w:tr w14:paraId="2FA78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CD34F">
            <w:pPr>
              <w:pStyle w:val="12"/>
            </w:pPr>
            <w:r>
              <w:t>产出指标</w:t>
            </w:r>
          </w:p>
        </w:tc>
        <w:tc>
          <w:tcPr>
            <w:tcW w:w="2268" w:type="dxa"/>
            <w:vAlign w:val="center"/>
          </w:tcPr>
          <w:p w14:paraId="69BCD985">
            <w:pPr>
              <w:pStyle w:val="13"/>
            </w:pPr>
            <w:r>
              <w:t>数量指标</w:t>
            </w:r>
          </w:p>
        </w:tc>
        <w:tc>
          <w:tcPr>
            <w:tcW w:w="2835" w:type="dxa"/>
            <w:vAlign w:val="center"/>
          </w:tcPr>
          <w:p w14:paraId="7FBFB4F7">
            <w:pPr>
              <w:pStyle w:val="13"/>
            </w:pPr>
            <w:r>
              <w:t>双回路电源供电设备提升改造工程完成率</w:t>
            </w:r>
          </w:p>
        </w:tc>
        <w:tc>
          <w:tcPr>
            <w:tcW w:w="5386" w:type="dxa"/>
            <w:vAlign w:val="center"/>
          </w:tcPr>
          <w:p w14:paraId="3D1B87F5">
            <w:pPr>
              <w:pStyle w:val="13"/>
            </w:pPr>
            <w:r>
              <w:t>按照合同规定的时间完成</w:t>
            </w:r>
          </w:p>
        </w:tc>
        <w:tc>
          <w:tcPr>
            <w:tcW w:w="2268" w:type="dxa"/>
            <w:vAlign w:val="center"/>
          </w:tcPr>
          <w:p w14:paraId="61C428FA">
            <w:pPr>
              <w:pStyle w:val="13"/>
            </w:pPr>
            <w:r>
              <w:t>100%</w:t>
            </w:r>
          </w:p>
        </w:tc>
        <w:tc>
          <w:tcPr>
            <w:tcW w:w="1276" w:type="dxa"/>
            <w:vAlign w:val="center"/>
          </w:tcPr>
          <w:p w14:paraId="30E37808">
            <w:pPr>
              <w:pStyle w:val="13"/>
            </w:pPr>
            <w:r>
              <w:t>年度工作计划</w:t>
            </w:r>
          </w:p>
        </w:tc>
      </w:tr>
      <w:tr w14:paraId="7E9DF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65C4E"/>
        </w:tc>
        <w:tc>
          <w:tcPr>
            <w:tcW w:w="2268" w:type="dxa"/>
            <w:vAlign w:val="center"/>
          </w:tcPr>
          <w:p w14:paraId="76C16431">
            <w:pPr>
              <w:pStyle w:val="13"/>
            </w:pPr>
            <w:r>
              <w:t>质量指标</w:t>
            </w:r>
          </w:p>
        </w:tc>
        <w:tc>
          <w:tcPr>
            <w:tcW w:w="2835" w:type="dxa"/>
            <w:vAlign w:val="center"/>
          </w:tcPr>
          <w:p w14:paraId="5CABD73E">
            <w:pPr>
              <w:pStyle w:val="13"/>
            </w:pPr>
            <w:r>
              <w:t>双回路电源供电设备改造工程验收合格率</w:t>
            </w:r>
          </w:p>
        </w:tc>
        <w:tc>
          <w:tcPr>
            <w:tcW w:w="5386" w:type="dxa"/>
            <w:vAlign w:val="center"/>
          </w:tcPr>
          <w:p w14:paraId="4A32AEB3">
            <w:pPr>
              <w:pStyle w:val="13"/>
            </w:pPr>
            <w:r>
              <w:t>工程验收合格率</w:t>
            </w:r>
          </w:p>
        </w:tc>
        <w:tc>
          <w:tcPr>
            <w:tcW w:w="2268" w:type="dxa"/>
            <w:vAlign w:val="center"/>
          </w:tcPr>
          <w:p w14:paraId="3FEF4C98">
            <w:pPr>
              <w:pStyle w:val="13"/>
            </w:pPr>
            <w:r>
              <w:t>100%</w:t>
            </w:r>
          </w:p>
        </w:tc>
        <w:tc>
          <w:tcPr>
            <w:tcW w:w="1276" w:type="dxa"/>
            <w:vAlign w:val="center"/>
          </w:tcPr>
          <w:p w14:paraId="59D1744C">
            <w:pPr>
              <w:pStyle w:val="13"/>
            </w:pPr>
            <w:r>
              <w:t>年度工作计划</w:t>
            </w:r>
          </w:p>
        </w:tc>
      </w:tr>
      <w:tr w14:paraId="11AC7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8668E"/>
        </w:tc>
        <w:tc>
          <w:tcPr>
            <w:tcW w:w="2268" w:type="dxa"/>
            <w:vAlign w:val="center"/>
          </w:tcPr>
          <w:p w14:paraId="6D0A8605">
            <w:pPr>
              <w:pStyle w:val="13"/>
            </w:pPr>
            <w:r>
              <w:t>时效指标</w:t>
            </w:r>
          </w:p>
        </w:tc>
        <w:tc>
          <w:tcPr>
            <w:tcW w:w="2835" w:type="dxa"/>
            <w:vAlign w:val="center"/>
          </w:tcPr>
          <w:p w14:paraId="2B208F79">
            <w:pPr>
              <w:pStyle w:val="13"/>
            </w:pPr>
            <w:r>
              <w:t>资金支付进度</w:t>
            </w:r>
          </w:p>
        </w:tc>
        <w:tc>
          <w:tcPr>
            <w:tcW w:w="5386" w:type="dxa"/>
            <w:vAlign w:val="center"/>
          </w:tcPr>
          <w:p w14:paraId="489F92D0">
            <w:pPr>
              <w:pStyle w:val="13"/>
            </w:pPr>
            <w:r>
              <w:t>规定时间内完成率</w:t>
            </w:r>
          </w:p>
        </w:tc>
        <w:tc>
          <w:tcPr>
            <w:tcW w:w="2268" w:type="dxa"/>
            <w:vAlign w:val="center"/>
          </w:tcPr>
          <w:p w14:paraId="5C8AE25B">
            <w:pPr>
              <w:pStyle w:val="13"/>
            </w:pPr>
            <w:r>
              <w:t>100%</w:t>
            </w:r>
          </w:p>
        </w:tc>
        <w:tc>
          <w:tcPr>
            <w:tcW w:w="1276" w:type="dxa"/>
            <w:vAlign w:val="center"/>
          </w:tcPr>
          <w:p w14:paraId="7F5DE0DE">
            <w:pPr>
              <w:pStyle w:val="13"/>
            </w:pPr>
            <w:r>
              <w:t>年度工作计划</w:t>
            </w:r>
          </w:p>
        </w:tc>
      </w:tr>
      <w:tr w14:paraId="66107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6229A"/>
        </w:tc>
        <w:tc>
          <w:tcPr>
            <w:tcW w:w="2268" w:type="dxa"/>
            <w:vAlign w:val="center"/>
          </w:tcPr>
          <w:p w14:paraId="60687D2A">
            <w:pPr>
              <w:pStyle w:val="13"/>
            </w:pPr>
            <w:r>
              <w:t>成本指标</w:t>
            </w:r>
          </w:p>
        </w:tc>
        <w:tc>
          <w:tcPr>
            <w:tcW w:w="2835" w:type="dxa"/>
            <w:vAlign w:val="center"/>
          </w:tcPr>
          <w:p w14:paraId="3D011668">
            <w:pPr>
              <w:pStyle w:val="13"/>
            </w:pPr>
            <w:r>
              <w:t>工程实际成本</w:t>
            </w:r>
          </w:p>
        </w:tc>
        <w:tc>
          <w:tcPr>
            <w:tcW w:w="5386" w:type="dxa"/>
            <w:vAlign w:val="center"/>
          </w:tcPr>
          <w:p w14:paraId="2B74DF13">
            <w:pPr>
              <w:pStyle w:val="13"/>
            </w:pPr>
            <w:r>
              <w:t>工程实际成本</w:t>
            </w:r>
          </w:p>
        </w:tc>
        <w:tc>
          <w:tcPr>
            <w:tcW w:w="2268" w:type="dxa"/>
            <w:vAlign w:val="center"/>
          </w:tcPr>
          <w:p w14:paraId="636357B0">
            <w:pPr>
              <w:pStyle w:val="13"/>
            </w:pPr>
            <w:r>
              <w:t>≤18万元</w:t>
            </w:r>
          </w:p>
        </w:tc>
        <w:tc>
          <w:tcPr>
            <w:tcW w:w="1276" w:type="dxa"/>
            <w:vAlign w:val="center"/>
          </w:tcPr>
          <w:p w14:paraId="74431E90">
            <w:pPr>
              <w:pStyle w:val="13"/>
            </w:pPr>
            <w:r>
              <w:t>年度工作计划</w:t>
            </w:r>
          </w:p>
        </w:tc>
      </w:tr>
      <w:tr w14:paraId="3D917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29316">
            <w:pPr>
              <w:pStyle w:val="12"/>
            </w:pPr>
            <w:r>
              <w:t>效益指标</w:t>
            </w:r>
          </w:p>
        </w:tc>
        <w:tc>
          <w:tcPr>
            <w:tcW w:w="2268" w:type="dxa"/>
            <w:vAlign w:val="center"/>
          </w:tcPr>
          <w:p w14:paraId="2217BE84">
            <w:pPr>
              <w:pStyle w:val="13"/>
            </w:pPr>
            <w:r>
              <w:t>社会效益指标</w:t>
            </w:r>
          </w:p>
        </w:tc>
        <w:tc>
          <w:tcPr>
            <w:tcW w:w="2835" w:type="dxa"/>
            <w:vAlign w:val="center"/>
          </w:tcPr>
          <w:p w14:paraId="59C0C2AF">
            <w:pPr>
              <w:pStyle w:val="13"/>
            </w:pPr>
            <w:r>
              <w:t>社会效益覆盖面</w:t>
            </w:r>
          </w:p>
        </w:tc>
        <w:tc>
          <w:tcPr>
            <w:tcW w:w="5386" w:type="dxa"/>
            <w:vAlign w:val="center"/>
          </w:tcPr>
          <w:p w14:paraId="1BB4A320">
            <w:pPr>
              <w:pStyle w:val="13"/>
            </w:pPr>
            <w:r>
              <w:t>受益学生人数</w:t>
            </w:r>
          </w:p>
        </w:tc>
        <w:tc>
          <w:tcPr>
            <w:tcW w:w="2268" w:type="dxa"/>
            <w:vAlign w:val="center"/>
          </w:tcPr>
          <w:p w14:paraId="0A46AC34">
            <w:pPr>
              <w:pStyle w:val="13"/>
            </w:pPr>
            <w:r>
              <w:t>≥3000人</w:t>
            </w:r>
          </w:p>
        </w:tc>
        <w:tc>
          <w:tcPr>
            <w:tcW w:w="1276" w:type="dxa"/>
            <w:vAlign w:val="center"/>
          </w:tcPr>
          <w:p w14:paraId="6687C17A">
            <w:pPr>
              <w:pStyle w:val="13"/>
            </w:pPr>
            <w:r>
              <w:t>年度工作计划</w:t>
            </w:r>
          </w:p>
        </w:tc>
      </w:tr>
      <w:tr w14:paraId="0C2A4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952C9"/>
        </w:tc>
        <w:tc>
          <w:tcPr>
            <w:tcW w:w="2268" w:type="dxa"/>
            <w:vAlign w:val="center"/>
          </w:tcPr>
          <w:p w14:paraId="36D9301A">
            <w:pPr>
              <w:pStyle w:val="13"/>
            </w:pPr>
            <w:r>
              <w:t>可持续影响指标</w:t>
            </w:r>
          </w:p>
        </w:tc>
        <w:tc>
          <w:tcPr>
            <w:tcW w:w="2835" w:type="dxa"/>
            <w:vAlign w:val="center"/>
          </w:tcPr>
          <w:p w14:paraId="60E89BBE">
            <w:pPr>
              <w:pStyle w:val="13"/>
            </w:pPr>
            <w:r>
              <w:t>使用年限</w:t>
            </w:r>
          </w:p>
        </w:tc>
        <w:tc>
          <w:tcPr>
            <w:tcW w:w="5386" w:type="dxa"/>
            <w:vAlign w:val="center"/>
          </w:tcPr>
          <w:p w14:paraId="4CAB53AE">
            <w:pPr>
              <w:pStyle w:val="13"/>
            </w:pPr>
            <w:r>
              <w:t>达到合同要求的使用年限</w:t>
            </w:r>
          </w:p>
        </w:tc>
        <w:tc>
          <w:tcPr>
            <w:tcW w:w="2268" w:type="dxa"/>
            <w:vAlign w:val="center"/>
          </w:tcPr>
          <w:p w14:paraId="2464A98B">
            <w:pPr>
              <w:pStyle w:val="13"/>
            </w:pPr>
            <w:r>
              <w:t>≥20年</w:t>
            </w:r>
          </w:p>
        </w:tc>
        <w:tc>
          <w:tcPr>
            <w:tcW w:w="1276" w:type="dxa"/>
            <w:vAlign w:val="center"/>
          </w:tcPr>
          <w:p w14:paraId="355F9C8D">
            <w:pPr>
              <w:pStyle w:val="13"/>
            </w:pPr>
            <w:r>
              <w:t>年度工作计划</w:t>
            </w:r>
          </w:p>
        </w:tc>
      </w:tr>
      <w:tr w14:paraId="01296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928414">
            <w:pPr>
              <w:pStyle w:val="12"/>
            </w:pPr>
            <w:r>
              <w:t>满意度指标</w:t>
            </w:r>
          </w:p>
        </w:tc>
        <w:tc>
          <w:tcPr>
            <w:tcW w:w="2268" w:type="dxa"/>
            <w:vAlign w:val="center"/>
          </w:tcPr>
          <w:p w14:paraId="03279144">
            <w:pPr>
              <w:pStyle w:val="13"/>
            </w:pPr>
            <w:r>
              <w:t>服务对象满意度指标</w:t>
            </w:r>
          </w:p>
        </w:tc>
        <w:tc>
          <w:tcPr>
            <w:tcW w:w="2835" w:type="dxa"/>
            <w:vAlign w:val="center"/>
          </w:tcPr>
          <w:p w14:paraId="3B36ABCF">
            <w:pPr>
              <w:pStyle w:val="13"/>
            </w:pPr>
            <w:r>
              <w:t>师生对学习生活环境的满意度</w:t>
            </w:r>
          </w:p>
        </w:tc>
        <w:tc>
          <w:tcPr>
            <w:tcW w:w="5386" w:type="dxa"/>
            <w:vAlign w:val="center"/>
          </w:tcPr>
          <w:p w14:paraId="6099B5F8">
            <w:pPr>
              <w:pStyle w:val="13"/>
            </w:pPr>
            <w:r>
              <w:t>师生对学习生活环境的满意度</w:t>
            </w:r>
          </w:p>
        </w:tc>
        <w:tc>
          <w:tcPr>
            <w:tcW w:w="2268" w:type="dxa"/>
            <w:vAlign w:val="center"/>
          </w:tcPr>
          <w:p w14:paraId="08887C94">
            <w:pPr>
              <w:pStyle w:val="13"/>
            </w:pPr>
            <w:r>
              <w:t>≥95%</w:t>
            </w:r>
          </w:p>
        </w:tc>
        <w:tc>
          <w:tcPr>
            <w:tcW w:w="1276" w:type="dxa"/>
            <w:vAlign w:val="center"/>
          </w:tcPr>
          <w:p w14:paraId="3F53DC55">
            <w:pPr>
              <w:pStyle w:val="13"/>
            </w:pPr>
            <w:r>
              <w:t>调查问卷</w:t>
            </w:r>
          </w:p>
        </w:tc>
      </w:tr>
    </w:tbl>
    <w:p w14:paraId="69978E14">
      <w:pPr>
        <w:sectPr>
          <w:pgSz w:w="16840" w:h="11900" w:orient="landscape"/>
          <w:pgMar w:top="1361" w:right="1020" w:bottom="1134" w:left="1020" w:header="720" w:footer="720" w:gutter="0"/>
          <w:cols w:space="720" w:num="1"/>
        </w:sectPr>
      </w:pPr>
    </w:p>
    <w:p w14:paraId="3C5EF2C6">
      <w:pPr>
        <w:spacing w:before="0" w:after="0"/>
        <w:ind w:firstLine="560"/>
        <w:jc w:val="left"/>
        <w:outlineLvl w:val="9"/>
      </w:pPr>
      <w:r>
        <w:rPr>
          <w:rFonts w:ascii="方正仿宋_GBK" w:hAnsi="方正仿宋_GBK" w:eastAsia="方正仿宋_GBK" w:cs="方正仿宋_GBK"/>
          <w:b/>
          <w:color w:val="000000"/>
          <w:sz w:val="28"/>
        </w:rPr>
        <w:t>9、冀财教[2024]141号/省级/2025年义教补助经费/第二实验小学公用经费绩效目标表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8DB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99054">
            <w:pPr>
              <w:pStyle w:val="14"/>
            </w:pPr>
            <w:r>
              <w:t>单位：万元</w:t>
            </w:r>
          </w:p>
        </w:tc>
      </w:tr>
      <w:tr w14:paraId="456A3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617CD">
            <w:pPr>
              <w:pStyle w:val="11"/>
            </w:pPr>
            <w:r>
              <w:t>项目编码</w:t>
            </w:r>
          </w:p>
        </w:tc>
        <w:tc>
          <w:tcPr>
            <w:tcW w:w="5103" w:type="dxa"/>
            <w:gridSpan w:val="2"/>
            <w:vAlign w:val="center"/>
          </w:tcPr>
          <w:p w14:paraId="4B90821C">
            <w:pPr>
              <w:pStyle w:val="13"/>
            </w:pPr>
            <w:r>
              <w:t>13052525P00000410133P</w:t>
            </w:r>
          </w:p>
        </w:tc>
        <w:tc>
          <w:tcPr>
            <w:tcW w:w="2835" w:type="dxa"/>
            <w:vAlign w:val="center"/>
          </w:tcPr>
          <w:p w14:paraId="6686B8B2">
            <w:pPr>
              <w:pStyle w:val="11"/>
            </w:pPr>
            <w:r>
              <w:t>项目名称</w:t>
            </w:r>
          </w:p>
        </w:tc>
        <w:tc>
          <w:tcPr>
            <w:tcW w:w="6095" w:type="dxa"/>
            <w:gridSpan w:val="3"/>
            <w:vAlign w:val="center"/>
          </w:tcPr>
          <w:p w14:paraId="71F297AE">
            <w:pPr>
              <w:pStyle w:val="13"/>
            </w:pPr>
            <w:r>
              <w:t>冀财教[2024]141号/省级/2025年义教补助经费/第二实验小学公用经费</w:t>
            </w:r>
          </w:p>
        </w:tc>
      </w:tr>
      <w:tr w14:paraId="63875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8DE73">
            <w:pPr>
              <w:pStyle w:val="11"/>
            </w:pPr>
            <w:r>
              <w:t>预算规模及资金用途</w:t>
            </w:r>
          </w:p>
        </w:tc>
        <w:tc>
          <w:tcPr>
            <w:tcW w:w="2268" w:type="dxa"/>
            <w:vAlign w:val="center"/>
          </w:tcPr>
          <w:p w14:paraId="00FB6707">
            <w:pPr>
              <w:pStyle w:val="11"/>
            </w:pPr>
            <w:r>
              <w:t>预算数</w:t>
            </w:r>
          </w:p>
        </w:tc>
        <w:tc>
          <w:tcPr>
            <w:tcW w:w="2835" w:type="dxa"/>
            <w:vAlign w:val="center"/>
          </w:tcPr>
          <w:p w14:paraId="461AACA7">
            <w:pPr>
              <w:pStyle w:val="13"/>
            </w:pPr>
            <w:r>
              <w:t>127.37</w:t>
            </w:r>
          </w:p>
        </w:tc>
        <w:tc>
          <w:tcPr>
            <w:tcW w:w="2835" w:type="dxa"/>
            <w:vAlign w:val="center"/>
          </w:tcPr>
          <w:p w14:paraId="7D056E68">
            <w:pPr>
              <w:pStyle w:val="11"/>
            </w:pPr>
            <w:r>
              <w:t>其中：财政    资金</w:t>
            </w:r>
          </w:p>
        </w:tc>
        <w:tc>
          <w:tcPr>
            <w:tcW w:w="2551" w:type="dxa"/>
            <w:vAlign w:val="center"/>
          </w:tcPr>
          <w:p w14:paraId="04D51368">
            <w:pPr>
              <w:pStyle w:val="13"/>
            </w:pPr>
            <w:r>
              <w:t>127.37</w:t>
            </w:r>
          </w:p>
        </w:tc>
        <w:tc>
          <w:tcPr>
            <w:tcW w:w="2268" w:type="dxa"/>
            <w:vAlign w:val="center"/>
          </w:tcPr>
          <w:p w14:paraId="3D270A02">
            <w:pPr>
              <w:pStyle w:val="11"/>
            </w:pPr>
            <w:r>
              <w:t>其他资金</w:t>
            </w:r>
          </w:p>
        </w:tc>
        <w:tc>
          <w:tcPr>
            <w:tcW w:w="1276" w:type="dxa"/>
            <w:vAlign w:val="center"/>
          </w:tcPr>
          <w:p w14:paraId="0C87C556">
            <w:pPr>
              <w:pStyle w:val="13"/>
            </w:pPr>
            <w:r>
              <w:t xml:space="preserve"> </w:t>
            </w:r>
          </w:p>
        </w:tc>
      </w:tr>
      <w:tr w14:paraId="6FD07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9AF7D"/>
        </w:tc>
        <w:tc>
          <w:tcPr>
            <w:tcW w:w="14033" w:type="dxa"/>
            <w:gridSpan w:val="6"/>
            <w:vAlign w:val="center"/>
          </w:tcPr>
          <w:p w14:paraId="6524F897">
            <w:pPr>
              <w:pStyle w:val="13"/>
            </w:pPr>
            <w:r>
              <w:t>保障义务教育学校正常运转，完成教育教学活动和其他日常工作任务等方面的费用支出。</w:t>
            </w:r>
            <w:r>
              <w:tab/>
            </w:r>
            <w:r>
              <w:tab/>
            </w:r>
            <w:r>
              <w:tab/>
            </w:r>
            <w:r>
              <w:tab/>
            </w:r>
            <w:r>
              <w:tab/>
            </w:r>
            <w:r>
              <w:tab/>
            </w:r>
          </w:p>
          <w:p w14:paraId="2240E2BC">
            <w:pPr>
              <w:pStyle w:val="13"/>
            </w:pPr>
          </w:p>
        </w:tc>
      </w:tr>
      <w:tr w14:paraId="6E6E4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2E90C">
            <w:pPr>
              <w:pStyle w:val="11"/>
            </w:pPr>
            <w:r>
              <w:t>资金支出计划（%）</w:t>
            </w:r>
          </w:p>
        </w:tc>
        <w:tc>
          <w:tcPr>
            <w:tcW w:w="5103" w:type="dxa"/>
            <w:gridSpan w:val="2"/>
            <w:vAlign w:val="center"/>
          </w:tcPr>
          <w:p w14:paraId="54B34BD2">
            <w:pPr>
              <w:pStyle w:val="11"/>
            </w:pPr>
            <w:r>
              <w:t>3月底</w:t>
            </w:r>
          </w:p>
        </w:tc>
        <w:tc>
          <w:tcPr>
            <w:tcW w:w="2835" w:type="dxa"/>
            <w:vAlign w:val="center"/>
          </w:tcPr>
          <w:p w14:paraId="7A83D989">
            <w:pPr>
              <w:pStyle w:val="11"/>
            </w:pPr>
            <w:r>
              <w:t>6月底</w:t>
            </w:r>
          </w:p>
        </w:tc>
        <w:tc>
          <w:tcPr>
            <w:tcW w:w="2551" w:type="dxa"/>
            <w:vAlign w:val="center"/>
          </w:tcPr>
          <w:p w14:paraId="4E21A107">
            <w:pPr>
              <w:pStyle w:val="11"/>
            </w:pPr>
            <w:r>
              <w:t>10月底</w:t>
            </w:r>
          </w:p>
        </w:tc>
        <w:tc>
          <w:tcPr>
            <w:tcW w:w="3544" w:type="dxa"/>
            <w:gridSpan w:val="2"/>
            <w:vAlign w:val="center"/>
          </w:tcPr>
          <w:p w14:paraId="52CD1929">
            <w:pPr>
              <w:pStyle w:val="11"/>
            </w:pPr>
            <w:r>
              <w:t>12月底</w:t>
            </w:r>
          </w:p>
        </w:tc>
      </w:tr>
      <w:tr w14:paraId="230D5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0C5690"/>
        </w:tc>
        <w:tc>
          <w:tcPr>
            <w:tcW w:w="5103" w:type="dxa"/>
            <w:gridSpan w:val="2"/>
            <w:vAlign w:val="center"/>
          </w:tcPr>
          <w:p w14:paraId="1AE77008">
            <w:pPr>
              <w:pStyle w:val="12"/>
            </w:pPr>
            <w:r>
              <w:t>25%</w:t>
            </w:r>
          </w:p>
        </w:tc>
        <w:tc>
          <w:tcPr>
            <w:tcW w:w="2835" w:type="dxa"/>
            <w:vAlign w:val="center"/>
          </w:tcPr>
          <w:p w14:paraId="32C8C478">
            <w:pPr>
              <w:pStyle w:val="12"/>
            </w:pPr>
            <w:r>
              <w:t>50%</w:t>
            </w:r>
          </w:p>
        </w:tc>
        <w:tc>
          <w:tcPr>
            <w:tcW w:w="2551" w:type="dxa"/>
            <w:vAlign w:val="center"/>
          </w:tcPr>
          <w:p w14:paraId="2639477C">
            <w:pPr>
              <w:pStyle w:val="12"/>
            </w:pPr>
            <w:r>
              <w:t>75%</w:t>
            </w:r>
          </w:p>
        </w:tc>
        <w:tc>
          <w:tcPr>
            <w:tcW w:w="3544" w:type="dxa"/>
            <w:gridSpan w:val="2"/>
            <w:vAlign w:val="center"/>
          </w:tcPr>
          <w:p w14:paraId="68322A4D">
            <w:pPr>
              <w:pStyle w:val="12"/>
            </w:pPr>
            <w:r>
              <w:t>100%</w:t>
            </w:r>
          </w:p>
        </w:tc>
      </w:tr>
      <w:tr w14:paraId="213E3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CE7357">
            <w:pPr>
              <w:pStyle w:val="11"/>
            </w:pPr>
            <w:r>
              <w:t>绩效目标</w:t>
            </w:r>
          </w:p>
        </w:tc>
        <w:tc>
          <w:tcPr>
            <w:tcW w:w="14033" w:type="dxa"/>
            <w:gridSpan w:val="6"/>
            <w:vAlign w:val="center"/>
          </w:tcPr>
          <w:p w14:paraId="2506DED1">
            <w:pPr>
              <w:pStyle w:val="13"/>
            </w:pPr>
            <w:r>
              <w:t>1.保障义务教育学校正常运转，完成教育教学活动和其他日常工作任务等方面的费用支出。</w:t>
            </w:r>
            <w:r>
              <w:tab/>
            </w:r>
            <w:r>
              <w:tab/>
            </w:r>
            <w:r>
              <w:tab/>
            </w:r>
            <w:r>
              <w:tab/>
            </w:r>
            <w:r>
              <w:tab/>
            </w:r>
            <w:r>
              <w:tab/>
            </w:r>
          </w:p>
          <w:p w14:paraId="1676693D">
            <w:pPr>
              <w:pStyle w:val="13"/>
            </w:pPr>
          </w:p>
          <w:p w14:paraId="4D43F7D6">
            <w:pPr>
              <w:pStyle w:val="13"/>
            </w:pPr>
            <w:r>
              <w:t>2.按照序时进度拨付使用资金</w:t>
            </w:r>
          </w:p>
        </w:tc>
      </w:tr>
    </w:tbl>
    <w:p w14:paraId="1D5F7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97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6629C">
            <w:pPr>
              <w:pStyle w:val="11"/>
            </w:pPr>
            <w:r>
              <w:t>一级指标</w:t>
            </w:r>
          </w:p>
        </w:tc>
        <w:tc>
          <w:tcPr>
            <w:tcW w:w="2268" w:type="dxa"/>
            <w:vAlign w:val="center"/>
          </w:tcPr>
          <w:p w14:paraId="11D993E0">
            <w:pPr>
              <w:pStyle w:val="11"/>
            </w:pPr>
            <w:r>
              <w:t>二级指标</w:t>
            </w:r>
          </w:p>
        </w:tc>
        <w:tc>
          <w:tcPr>
            <w:tcW w:w="2835" w:type="dxa"/>
            <w:vAlign w:val="center"/>
          </w:tcPr>
          <w:p w14:paraId="2C4123D1">
            <w:pPr>
              <w:pStyle w:val="11"/>
            </w:pPr>
            <w:r>
              <w:t>三级指标</w:t>
            </w:r>
          </w:p>
        </w:tc>
        <w:tc>
          <w:tcPr>
            <w:tcW w:w="5386" w:type="dxa"/>
            <w:vAlign w:val="center"/>
          </w:tcPr>
          <w:p w14:paraId="1A83F53D">
            <w:pPr>
              <w:pStyle w:val="11"/>
            </w:pPr>
            <w:r>
              <w:t>绩效指标描述</w:t>
            </w:r>
          </w:p>
        </w:tc>
        <w:tc>
          <w:tcPr>
            <w:tcW w:w="2268" w:type="dxa"/>
            <w:vAlign w:val="center"/>
          </w:tcPr>
          <w:p w14:paraId="2A2AF294">
            <w:pPr>
              <w:pStyle w:val="11"/>
            </w:pPr>
            <w:r>
              <w:t>指标值</w:t>
            </w:r>
          </w:p>
        </w:tc>
        <w:tc>
          <w:tcPr>
            <w:tcW w:w="1276" w:type="dxa"/>
            <w:vAlign w:val="center"/>
          </w:tcPr>
          <w:p w14:paraId="10A2C547">
            <w:pPr>
              <w:pStyle w:val="11"/>
            </w:pPr>
            <w:r>
              <w:t>指标值确定依据</w:t>
            </w:r>
          </w:p>
        </w:tc>
      </w:tr>
      <w:tr w14:paraId="6161B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FBDE8">
            <w:pPr>
              <w:pStyle w:val="12"/>
            </w:pPr>
            <w:r>
              <w:t>产出指标</w:t>
            </w:r>
          </w:p>
        </w:tc>
        <w:tc>
          <w:tcPr>
            <w:tcW w:w="2268" w:type="dxa"/>
            <w:vAlign w:val="center"/>
          </w:tcPr>
          <w:p w14:paraId="219B6FC6">
            <w:pPr>
              <w:pStyle w:val="13"/>
            </w:pPr>
            <w:r>
              <w:t>数量指标</w:t>
            </w:r>
          </w:p>
        </w:tc>
        <w:tc>
          <w:tcPr>
            <w:tcW w:w="2835" w:type="dxa"/>
            <w:vAlign w:val="center"/>
          </w:tcPr>
          <w:p w14:paraId="2239C6DD">
            <w:pPr>
              <w:pStyle w:val="13"/>
            </w:pPr>
            <w:r>
              <w:t>适龄在校生</w:t>
            </w:r>
          </w:p>
        </w:tc>
        <w:tc>
          <w:tcPr>
            <w:tcW w:w="5386" w:type="dxa"/>
            <w:vAlign w:val="center"/>
          </w:tcPr>
          <w:p w14:paraId="3AA54231">
            <w:pPr>
              <w:pStyle w:val="13"/>
            </w:pPr>
            <w:r>
              <w:t>适龄在校就读学生人数</w:t>
            </w:r>
          </w:p>
        </w:tc>
        <w:tc>
          <w:tcPr>
            <w:tcW w:w="2268" w:type="dxa"/>
            <w:vAlign w:val="center"/>
          </w:tcPr>
          <w:p w14:paraId="1A35DA45">
            <w:pPr>
              <w:pStyle w:val="13"/>
            </w:pPr>
            <w:r>
              <w:t>3150人</w:t>
            </w:r>
          </w:p>
        </w:tc>
        <w:tc>
          <w:tcPr>
            <w:tcW w:w="1276" w:type="dxa"/>
            <w:vAlign w:val="center"/>
          </w:tcPr>
          <w:p w14:paraId="7F46E0F5">
            <w:pPr>
              <w:pStyle w:val="13"/>
            </w:pPr>
            <w:r>
              <w:t>城乡义务教育公用经费管理办法</w:t>
            </w:r>
          </w:p>
        </w:tc>
      </w:tr>
      <w:tr w14:paraId="23A26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2FC6F"/>
        </w:tc>
        <w:tc>
          <w:tcPr>
            <w:tcW w:w="2268" w:type="dxa"/>
            <w:vAlign w:val="center"/>
          </w:tcPr>
          <w:p w14:paraId="2E4062D3">
            <w:pPr>
              <w:pStyle w:val="13"/>
            </w:pPr>
            <w:r>
              <w:t>质量指标</w:t>
            </w:r>
          </w:p>
        </w:tc>
        <w:tc>
          <w:tcPr>
            <w:tcW w:w="2835" w:type="dxa"/>
            <w:vAlign w:val="center"/>
          </w:tcPr>
          <w:p w14:paraId="67F15BA8">
            <w:pPr>
              <w:pStyle w:val="13"/>
            </w:pPr>
            <w:r>
              <w:t>公用经费拨付完成率</w:t>
            </w:r>
          </w:p>
        </w:tc>
        <w:tc>
          <w:tcPr>
            <w:tcW w:w="5386" w:type="dxa"/>
            <w:vAlign w:val="center"/>
          </w:tcPr>
          <w:p w14:paraId="1B9AB6B0">
            <w:pPr>
              <w:pStyle w:val="13"/>
            </w:pPr>
            <w:r>
              <w:t>公用经费拨付完成率达到需时进度</w:t>
            </w:r>
          </w:p>
        </w:tc>
        <w:tc>
          <w:tcPr>
            <w:tcW w:w="2268" w:type="dxa"/>
            <w:vAlign w:val="center"/>
          </w:tcPr>
          <w:p w14:paraId="5DDC2328">
            <w:pPr>
              <w:pStyle w:val="13"/>
            </w:pPr>
            <w:r>
              <w:t>100%</w:t>
            </w:r>
          </w:p>
          <w:p w14:paraId="3E22BB69">
            <w:pPr>
              <w:pStyle w:val="13"/>
            </w:pPr>
          </w:p>
        </w:tc>
        <w:tc>
          <w:tcPr>
            <w:tcW w:w="1276" w:type="dxa"/>
            <w:vAlign w:val="center"/>
          </w:tcPr>
          <w:p w14:paraId="4BF22085">
            <w:pPr>
              <w:pStyle w:val="13"/>
            </w:pPr>
            <w:r>
              <w:t>城乡义务教育公用经费管理办法</w:t>
            </w:r>
          </w:p>
        </w:tc>
      </w:tr>
      <w:tr w14:paraId="5F7A9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A4075"/>
        </w:tc>
        <w:tc>
          <w:tcPr>
            <w:tcW w:w="2268" w:type="dxa"/>
            <w:vAlign w:val="center"/>
          </w:tcPr>
          <w:p w14:paraId="5F0310E9">
            <w:pPr>
              <w:pStyle w:val="13"/>
            </w:pPr>
            <w:r>
              <w:t>时效指标</w:t>
            </w:r>
          </w:p>
        </w:tc>
        <w:tc>
          <w:tcPr>
            <w:tcW w:w="2835" w:type="dxa"/>
            <w:vAlign w:val="center"/>
          </w:tcPr>
          <w:p w14:paraId="03642D62">
            <w:pPr>
              <w:pStyle w:val="13"/>
            </w:pPr>
            <w:r>
              <w:t>义教经费支付完成率</w:t>
            </w:r>
          </w:p>
        </w:tc>
        <w:tc>
          <w:tcPr>
            <w:tcW w:w="5386" w:type="dxa"/>
            <w:vAlign w:val="center"/>
          </w:tcPr>
          <w:p w14:paraId="79D26CB1">
            <w:pPr>
              <w:pStyle w:val="13"/>
            </w:pPr>
            <w:r>
              <w:t>按照序时进度完成资金支付</w:t>
            </w:r>
          </w:p>
        </w:tc>
        <w:tc>
          <w:tcPr>
            <w:tcW w:w="2268" w:type="dxa"/>
            <w:vAlign w:val="center"/>
          </w:tcPr>
          <w:p w14:paraId="0637837C">
            <w:pPr>
              <w:pStyle w:val="13"/>
            </w:pPr>
            <w:r>
              <w:t>100%</w:t>
            </w:r>
          </w:p>
        </w:tc>
        <w:tc>
          <w:tcPr>
            <w:tcW w:w="1276" w:type="dxa"/>
            <w:vAlign w:val="center"/>
          </w:tcPr>
          <w:p w14:paraId="79B98F39">
            <w:pPr>
              <w:pStyle w:val="13"/>
            </w:pPr>
            <w:r>
              <w:t>城乡义务教育公用经费管理办法</w:t>
            </w:r>
          </w:p>
        </w:tc>
      </w:tr>
      <w:tr w14:paraId="2AC71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75E72"/>
        </w:tc>
        <w:tc>
          <w:tcPr>
            <w:tcW w:w="2268" w:type="dxa"/>
            <w:vAlign w:val="center"/>
          </w:tcPr>
          <w:p w14:paraId="33D96810">
            <w:pPr>
              <w:pStyle w:val="13"/>
            </w:pPr>
            <w:r>
              <w:t>成本指标</w:t>
            </w:r>
          </w:p>
        </w:tc>
        <w:tc>
          <w:tcPr>
            <w:tcW w:w="2835" w:type="dxa"/>
            <w:vAlign w:val="center"/>
          </w:tcPr>
          <w:p w14:paraId="26B908D3">
            <w:pPr>
              <w:pStyle w:val="13"/>
            </w:pPr>
            <w:r>
              <w:t>生均拨款标准</w:t>
            </w:r>
          </w:p>
        </w:tc>
        <w:tc>
          <w:tcPr>
            <w:tcW w:w="5386" w:type="dxa"/>
            <w:vAlign w:val="center"/>
          </w:tcPr>
          <w:p w14:paraId="5FF81778">
            <w:pPr>
              <w:pStyle w:val="13"/>
            </w:pPr>
            <w:r>
              <w:t>小学：（基本标准720元、寄宿生300元、生活补助120元）/生/学年；特教、随班就读学生：标准7000元/生/学年</w:t>
            </w:r>
          </w:p>
        </w:tc>
        <w:tc>
          <w:tcPr>
            <w:tcW w:w="2268" w:type="dxa"/>
            <w:vAlign w:val="center"/>
          </w:tcPr>
          <w:p w14:paraId="38AE359A">
            <w:pPr>
              <w:pStyle w:val="13"/>
            </w:pPr>
            <w:r>
              <w:t>1140元</w:t>
            </w:r>
          </w:p>
        </w:tc>
        <w:tc>
          <w:tcPr>
            <w:tcW w:w="1276" w:type="dxa"/>
            <w:vAlign w:val="center"/>
          </w:tcPr>
          <w:p w14:paraId="380541ED">
            <w:pPr>
              <w:pStyle w:val="13"/>
            </w:pPr>
            <w:r>
              <w:t>城乡义务教育公用经费管理办法</w:t>
            </w:r>
          </w:p>
        </w:tc>
      </w:tr>
      <w:tr w14:paraId="1090D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5713D">
            <w:pPr>
              <w:pStyle w:val="12"/>
            </w:pPr>
            <w:r>
              <w:t>效益指标</w:t>
            </w:r>
          </w:p>
        </w:tc>
        <w:tc>
          <w:tcPr>
            <w:tcW w:w="2268" w:type="dxa"/>
            <w:vAlign w:val="center"/>
          </w:tcPr>
          <w:p w14:paraId="63F7CBEC">
            <w:pPr>
              <w:pStyle w:val="13"/>
            </w:pPr>
            <w:r>
              <w:t>社会效益指标</w:t>
            </w:r>
          </w:p>
        </w:tc>
        <w:tc>
          <w:tcPr>
            <w:tcW w:w="2835" w:type="dxa"/>
            <w:vAlign w:val="center"/>
          </w:tcPr>
          <w:p w14:paraId="270AFE1C">
            <w:pPr>
              <w:pStyle w:val="13"/>
            </w:pPr>
            <w:r>
              <w:t>学校稳定率</w:t>
            </w:r>
          </w:p>
        </w:tc>
        <w:tc>
          <w:tcPr>
            <w:tcW w:w="5386" w:type="dxa"/>
            <w:vAlign w:val="center"/>
          </w:tcPr>
          <w:p w14:paraId="7C3BA42A">
            <w:pPr>
              <w:pStyle w:val="13"/>
            </w:pPr>
            <w:r>
              <w:t>维护学校稳定，保障学生就读巩固率</w:t>
            </w:r>
          </w:p>
        </w:tc>
        <w:tc>
          <w:tcPr>
            <w:tcW w:w="2268" w:type="dxa"/>
            <w:vAlign w:val="center"/>
          </w:tcPr>
          <w:p w14:paraId="35FE0E7E">
            <w:pPr>
              <w:pStyle w:val="13"/>
            </w:pPr>
            <w:r>
              <w:t>≥99%</w:t>
            </w:r>
          </w:p>
        </w:tc>
        <w:tc>
          <w:tcPr>
            <w:tcW w:w="1276" w:type="dxa"/>
            <w:vAlign w:val="center"/>
          </w:tcPr>
          <w:p w14:paraId="31911F32">
            <w:pPr>
              <w:pStyle w:val="13"/>
            </w:pPr>
            <w:r>
              <w:t>城乡义务教育公用经费管理办法</w:t>
            </w:r>
          </w:p>
        </w:tc>
      </w:tr>
      <w:tr w14:paraId="25652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75388"/>
        </w:tc>
        <w:tc>
          <w:tcPr>
            <w:tcW w:w="2268" w:type="dxa"/>
            <w:vAlign w:val="center"/>
          </w:tcPr>
          <w:p w14:paraId="7A9FA1EE">
            <w:pPr>
              <w:pStyle w:val="13"/>
            </w:pPr>
            <w:r>
              <w:t>可持续影响指标</w:t>
            </w:r>
          </w:p>
        </w:tc>
        <w:tc>
          <w:tcPr>
            <w:tcW w:w="2835" w:type="dxa"/>
            <w:vAlign w:val="center"/>
          </w:tcPr>
          <w:p w14:paraId="4BFDAF12">
            <w:pPr>
              <w:pStyle w:val="13"/>
            </w:pPr>
            <w:r>
              <w:t>效果持续时间</w:t>
            </w:r>
          </w:p>
        </w:tc>
        <w:tc>
          <w:tcPr>
            <w:tcW w:w="5386" w:type="dxa"/>
            <w:vAlign w:val="center"/>
          </w:tcPr>
          <w:p w14:paraId="25188F73">
            <w:pPr>
              <w:pStyle w:val="13"/>
            </w:pPr>
            <w:r>
              <w:t>效果持续时间</w:t>
            </w:r>
          </w:p>
        </w:tc>
        <w:tc>
          <w:tcPr>
            <w:tcW w:w="2268" w:type="dxa"/>
            <w:vAlign w:val="center"/>
          </w:tcPr>
          <w:p w14:paraId="08D5990D">
            <w:pPr>
              <w:pStyle w:val="13"/>
            </w:pPr>
            <w:r>
              <w:t>≥1年</w:t>
            </w:r>
          </w:p>
        </w:tc>
        <w:tc>
          <w:tcPr>
            <w:tcW w:w="1276" w:type="dxa"/>
            <w:vAlign w:val="center"/>
          </w:tcPr>
          <w:p w14:paraId="448F0E07">
            <w:pPr>
              <w:pStyle w:val="13"/>
            </w:pPr>
            <w:r>
              <w:t>城乡义务教育公用经费管理办法</w:t>
            </w:r>
          </w:p>
        </w:tc>
      </w:tr>
      <w:tr w14:paraId="7942B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03DB4C">
            <w:pPr>
              <w:pStyle w:val="12"/>
            </w:pPr>
            <w:r>
              <w:t>满意度指标</w:t>
            </w:r>
          </w:p>
        </w:tc>
        <w:tc>
          <w:tcPr>
            <w:tcW w:w="2268" w:type="dxa"/>
            <w:vAlign w:val="center"/>
          </w:tcPr>
          <w:p w14:paraId="6E135FBA">
            <w:pPr>
              <w:pStyle w:val="13"/>
            </w:pPr>
            <w:r>
              <w:t>服务对象满意度指标</w:t>
            </w:r>
          </w:p>
        </w:tc>
        <w:tc>
          <w:tcPr>
            <w:tcW w:w="2835" w:type="dxa"/>
            <w:vAlign w:val="center"/>
          </w:tcPr>
          <w:p w14:paraId="378208A2">
            <w:pPr>
              <w:pStyle w:val="13"/>
            </w:pPr>
            <w:r>
              <w:t>服务对象满意度</w:t>
            </w:r>
          </w:p>
        </w:tc>
        <w:tc>
          <w:tcPr>
            <w:tcW w:w="5386" w:type="dxa"/>
            <w:vAlign w:val="center"/>
          </w:tcPr>
          <w:p w14:paraId="0285C674">
            <w:pPr>
              <w:pStyle w:val="13"/>
            </w:pPr>
            <w:r>
              <w:t>学校老师和学生满意度</w:t>
            </w:r>
          </w:p>
        </w:tc>
        <w:tc>
          <w:tcPr>
            <w:tcW w:w="2268" w:type="dxa"/>
            <w:vAlign w:val="center"/>
          </w:tcPr>
          <w:p w14:paraId="5D8E1515">
            <w:pPr>
              <w:pStyle w:val="13"/>
            </w:pPr>
            <w:r>
              <w:t>≥98%</w:t>
            </w:r>
          </w:p>
          <w:p w14:paraId="0A8C36E3">
            <w:pPr>
              <w:pStyle w:val="13"/>
            </w:pPr>
          </w:p>
        </w:tc>
        <w:tc>
          <w:tcPr>
            <w:tcW w:w="1276" w:type="dxa"/>
            <w:vAlign w:val="center"/>
          </w:tcPr>
          <w:p w14:paraId="24199A29">
            <w:pPr>
              <w:pStyle w:val="13"/>
            </w:pPr>
            <w:r>
              <w:t>城乡义务教育公用经费管理办法</w:t>
            </w:r>
          </w:p>
        </w:tc>
      </w:tr>
    </w:tbl>
    <w:p w14:paraId="2D1BD254">
      <w:pPr>
        <w:sectPr>
          <w:pgSz w:w="16840" w:h="11900" w:orient="landscape"/>
          <w:pgMar w:top="1361" w:right="1020" w:bottom="1134" w:left="1020" w:header="720" w:footer="720" w:gutter="0"/>
          <w:cols w:space="720" w:num="1"/>
        </w:sectPr>
      </w:pPr>
    </w:p>
    <w:p w14:paraId="0E1667AB">
      <w:pPr>
        <w:spacing w:before="0" w:after="0"/>
        <w:ind w:firstLine="560"/>
        <w:jc w:val="left"/>
        <w:outlineLvl w:val="9"/>
      </w:pPr>
      <w:r>
        <w:rPr>
          <w:rFonts w:ascii="方正仿宋_GBK" w:hAnsi="方正仿宋_GBK" w:eastAsia="方正仿宋_GBK" w:cs="方正仿宋_GBK"/>
          <w:b/>
          <w:color w:val="000000"/>
          <w:sz w:val="28"/>
        </w:rPr>
        <w:t>10、冀财教[2024]67号/中央/2024年义教经费/校舍安全/隆尧县第二实验小学教学楼玻璃幕墙维修改造</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A2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D86E5">
            <w:pPr>
              <w:pStyle w:val="14"/>
            </w:pPr>
            <w:r>
              <w:t>单位：万元</w:t>
            </w:r>
          </w:p>
        </w:tc>
      </w:tr>
      <w:tr w14:paraId="019EF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EDE6A">
            <w:pPr>
              <w:pStyle w:val="11"/>
            </w:pPr>
            <w:r>
              <w:t>项目编码</w:t>
            </w:r>
          </w:p>
        </w:tc>
        <w:tc>
          <w:tcPr>
            <w:tcW w:w="5103" w:type="dxa"/>
            <w:gridSpan w:val="2"/>
            <w:vAlign w:val="center"/>
          </w:tcPr>
          <w:p w14:paraId="59F7594A">
            <w:pPr>
              <w:pStyle w:val="13"/>
            </w:pPr>
            <w:r>
              <w:t>13052524P000006113075</w:t>
            </w:r>
          </w:p>
        </w:tc>
        <w:tc>
          <w:tcPr>
            <w:tcW w:w="2835" w:type="dxa"/>
            <w:vAlign w:val="center"/>
          </w:tcPr>
          <w:p w14:paraId="334D8B88">
            <w:pPr>
              <w:pStyle w:val="11"/>
            </w:pPr>
            <w:r>
              <w:t>项目名称</w:t>
            </w:r>
          </w:p>
        </w:tc>
        <w:tc>
          <w:tcPr>
            <w:tcW w:w="6095" w:type="dxa"/>
            <w:gridSpan w:val="3"/>
            <w:vAlign w:val="center"/>
          </w:tcPr>
          <w:p w14:paraId="3FA56B54">
            <w:pPr>
              <w:pStyle w:val="13"/>
            </w:pPr>
            <w:r>
              <w:t>冀财教[2024]67号/中央/2024年义教经费/校舍安全/隆尧县第二实验小学教学楼玻璃幕墙维修改造</w:t>
            </w:r>
            <w:r>
              <w:tab/>
            </w:r>
          </w:p>
        </w:tc>
      </w:tr>
      <w:tr w14:paraId="1C3BC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3F85C">
            <w:pPr>
              <w:pStyle w:val="11"/>
            </w:pPr>
            <w:r>
              <w:t>预算规模及资金用途</w:t>
            </w:r>
          </w:p>
        </w:tc>
        <w:tc>
          <w:tcPr>
            <w:tcW w:w="2268" w:type="dxa"/>
            <w:vAlign w:val="center"/>
          </w:tcPr>
          <w:p w14:paraId="4234F20C">
            <w:pPr>
              <w:pStyle w:val="11"/>
            </w:pPr>
            <w:r>
              <w:t>预算数</w:t>
            </w:r>
          </w:p>
        </w:tc>
        <w:tc>
          <w:tcPr>
            <w:tcW w:w="2835" w:type="dxa"/>
            <w:vAlign w:val="center"/>
          </w:tcPr>
          <w:p w14:paraId="2D4C5BF5">
            <w:pPr>
              <w:pStyle w:val="13"/>
            </w:pPr>
            <w:r>
              <w:t>24.86</w:t>
            </w:r>
          </w:p>
        </w:tc>
        <w:tc>
          <w:tcPr>
            <w:tcW w:w="2835" w:type="dxa"/>
            <w:vAlign w:val="center"/>
          </w:tcPr>
          <w:p w14:paraId="15CA1A23">
            <w:pPr>
              <w:pStyle w:val="11"/>
            </w:pPr>
            <w:r>
              <w:t>其中：财政    资金</w:t>
            </w:r>
          </w:p>
        </w:tc>
        <w:tc>
          <w:tcPr>
            <w:tcW w:w="2551" w:type="dxa"/>
            <w:vAlign w:val="center"/>
          </w:tcPr>
          <w:p w14:paraId="5A673C5C">
            <w:pPr>
              <w:pStyle w:val="13"/>
            </w:pPr>
            <w:r>
              <w:t>24.86</w:t>
            </w:r>
          </w:p>
        </w:tc>
        <w:tc>
          <w:tcPr>
            <w:tcW w:w="2268" w:type="dxa"/>
            <w:vAlign w:val="center"/>
          </w:tcPr>
          <w:p w14:paraId="71EF658A">
            <w:pPr>
              <w:pStyle w:val="11"/>
            </w:pPr>
            <w:r>
              <w:t>其他资金</w:t>
            </w:r>
          </w:p>
        </w:tc>
        <w:tc>
          <w:tcPr>
            <w:tcW w:w="1276" w:type="dxa"/>
            <w:vAlign w:val="center"/>
          </w:tcPr>
          <w:p w14:paraId="3743A2CC">
            <w:pPr>
              <w:pStyle w:val="13"/>
            </w:pPr>
            <w:r>
              <w:t xml:space="preserve"> </w:t>
            </w:r>
          </w:p>
        </w:tc>
      </w:tr>
      <w:tr w14:paraId="72F39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3ED65A"/>
        </w:tc>
        <w:tc>
          <w:tcPr>
            <w:tcW w:w="14033" w:type="dxa"/>
            <w:gridSpan w:val="6"/>
            <w:vAlign w:val="center"/>
          </w:tcPr>
          <w:p w14:paraId="293F3F25">
            <w:pPr>
              <w:pStyle w:val="13"/>
            </w:pPr>
            <w:r>
              <w:t>改善就学条件，提升学校形象，保障义务教育阶段教学安全，创造良好的校园环境。</w:t>
            </w:r>
          </w:p>
        </w:tc>
      </w:tr>
      <w:tr w14:paraId="1A727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4ED1B">
            <w:pPr>
              <w:pStyle w:val="11"/>
            </w:pPr>
            <w:r>
              <w:t>资金支出计划（%）</w:t>
            </w:r>
          </w:p>
        </w:tc>
        <w:tc>
          <w:tcPr>
            <w:tcW w:w="5103" w:type="dxa"/>
            <w:gridSpan w:val="2"/>
            <w:vAlign w:val="center"/>
          </w:tcPr>
          <w:p w14:paraId="0EB01316">
            <w:pPr>
              <w:pStyle w:val="11"/>
            </w:pPr>
            <w:r>
              <w:t>3月底</w:t>
            </w:r>
          </w:p>
        </w:tc>
        <w:tc>
          <w:tcPr>
            <w:tcW w:w="2835" w:type="dxa"/>
            <w:vAlign w:val="center"/>
          </w:tcPr>
          <w:p w14:paraId="5D3EE4AE">
            <w:pPr>
              <w:pStyle w:val="11"/>
            </w:pPr>
            <w:r>
              <w:t>6月底</w:t>
            </w:r>
          </w:p>
        </w:tc>
        <w:tc>
          <w:tcPr>
            <w:tcW w:w="2551" w:type="dxa"/>
            <w:vAlign w:val="center"/>
          </w:tcPr>
          <w:p w14:paraId="772858BA">
            <w:pPr>
              <w:pStyle w:val="11"/>
            </w:pPr>
            <w:r>
              <w:t>10月底</w:t>
            </w:r>
          </w:p>
        </w:tc>
        <w:tc>
          <w:tcPr>
            <w:tcW w:w="3544" w:type="dxa"/>
            <w:gridSpan w:val="2"/>
            <w:vAlign w:val="center"/>
          </w:tcPr>
          <w:p w14:paraId="74A6D9F5">
            <w:pPr>
              <w:pStyle w:val="11"/>
            </w:pPr>
            <w:r>
              <w:t>12月底</w:t>
            </w:r>
          </w:p>
        </w:tc>
      </w:tr>
      <w:tr w14:paraId="06A97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6D9AB"/>
        </w:tc>
        <w:tc>
          <w:tcPr>
            <w:tcW w:w="5103" w:type="dxa"/>
            <w:gridSpan w:val="2"/>
            <w:vAlign w:val="center"/>
          </w:tcPr>
          <w:p w14:paraId="0FD4334F">
            <w:pPr>
              <w:pStyle w:val="12"/>
            </w:pPr>
            <w:r>
              <w:t>35%</w:t>
            </w:r>
          </w:p>
        </w:tc>
        <w:tc>
          <w:tcPr>
            <w:tcW w:w="2835" w:type="dxa"/>
            <w:vAlign w:val="center"/>
          </w:tcPr>
          <w:p w14:paraId="72537AE0">
            <w:pPr>
              <w:pStyle w:val="12"/>
            </w:pPr>
            <w:r>
              <w:t>70%</w:t>
            </w:r>
          </w:p>
        </w:tc>
        <w:tc>
          <w:tcPr>
            <w:tcW w:w="2551" w:type="dxa"/>
            <w:vAlign w:val="center"/>
          </w:tcPr>
          <w:p w14:paraId="122A51BE">
            <w:pPr>
              <w:pStyle w:val="12"/>
            </w:pPr>
            <w:r>
              <w:t>100%</w:t>
            </w:r>
          </w:p>
        </w:tc>
        <w:tc>
          <w:tcPr>
            <w:tcW w:w="3544" w:type="dxa"/>
            <w:gridSpan w:val="2"/>
            <w:vAlign w:val="center"/>
          </w:tcPr>
          <w:p w14:paraId="57AC5883">
            <w:pPr>
              <w:pStyle w:val="12"/>
            </w:pPr>
            <w:r>
              <w:t>100%</w:t>
            </w:r>
          </w:p>
        </w:tc>
      </w:tr>
      <w:tr w14:paraId="70D3B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EC8C4A">
            <w:pPr>
              <w:pStyle w:val="11"/>
            </w:pPr>
            <w:r>
              <w:t>绩效目标</w:t>
            </w:r>
          </w:p>
        </w:tc>
        <w:tc>
          <w:tcPr>
            <w:tcW w:w="14033" w:type="dxa"/>
            <w:gridSpan w:val="6"/>
            <w:vAlign w:val="center"/>
          </w:tcPr>
          <w:p w14:paraId="4912DC6C">
            <w:pPr>
              <w:pStyle w:val="13"/>
            </w:pPr>
            <w:r>
              <w:t>1.改善就学条件，提升学校形象，保障义务教育阶段教学安全，创造良好的校园环境。</w:t>
            </w:r>
          </w:p>
          <w:p w14:paraId="796E2E3F">
            <w:pPr>
              <w:pStyle w:val="13"/>
            </w:pPr>
            <w:r>
              <w:t>2.项目需资金25万元，资金拨付率达到100%。</w:t>
            </w:r>
          </w:p>
        </w:tc>
      </w:tr>
    </w:tbl>
    <w:p w14:paraId="06C90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17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47679">
            <w:pPr>
              <w:pStyle w:val="11"/>
            </w:pPr>
            <w:r>
              <w:t>一级指标</w:t>
            </w:r>
          </w:p>
        </w:tc>
        <w:tc>
          <w:tcPr>
            <w:tcW w:w="2268" w:type="dxa"/>
            <w:vAlign w:val="center"/>
          </w:tcPr>
          <w:p w14:paraId="41CCDD2D">
            <w:pPr>
              <w:pStyle w:val="11"/>
            </w:pPr>
            <w:r>
              <w:t>二级指标</w:t>
            </w:r>
          </w:p>
        </w:tc>
        <w:tc>
          <w:tcPr>
            <w:tcW w:w="2835" w:type="dxa"/>
            <w:vAlign w:val="center"/>
          </w:tcPr>
          <w:p w14:paraId="31A78224">
            <w:pPr>
              <w:pStyle w:val="11"/>
            </w:pPr>
            <w:r>
              <w:t>三级指标</w:t>
            </w:r>
          </w:p>
        </w:tc>
        <w:tc>
          <w:tcPr>
            <w:tcW w:w="5386" w:type="dxa"/>
            <w:vAlign w:val="center"/>
          </w:tcPr>
          <w:p w14:paraId="146B2D29">
            <w:pPr>
              <w:pStyle w:val="11"/>
            </w:pPr>
            <w:r>
              <w:t>绩效指标描述</w:t>
            </w:r>
          </w:p>
        </w:tc>
        <w:tc>
          <w:tcPr>
            <w:tcW w:w="2268" w:type="dxa"/>
            <w:vAlign w:val="center"/>
          </w:tcPr>
          <w:p w14:paraId="0FB6F290">
            <w:pPr>
              <w:pStyle w:val="11"/>
            </w:pPr>
            <w:r>
              <w:t>指标值</w:t>
            </w:r>
          </w:p>
        </w:tc>
        <w:tc>
          <w:tcPr>
            <w:tcW w:w="1276" w:type="dxa"/>
            <w:vAlign w:val="center"/>
          </w:tcPr>
          <w:p w14:paraId="614A6B86">
            <w:pPr>
              <w:pStyle w:val="11"/>
            </w:pPr>
            <w:r>
              <w:t>指标值确定依据</w:t>
            </w:r>
          </w:p>
        </w:tc>
      </w:tr>
      <w:tr w14:paraId="7E4BD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94686">
            <w:pPr>
              <w:pStyle w:val="12"/>
            </w:pPr>
            <w:r>
              <w:t>产出指标</w:t>
            </w:r>
          </w:p>
        </w:tc>
        <w:tc>
          <w:tcPr>
            <w:tcW w:w="2268" w:type="dxa"/>
            <w:vAlign w:val="center"/>
          </w:tcPr>
          <w:p w14:paraId="0415D119">
            <w:pPr>
              <w:pStyle w:val="13"/>
            </w:pPr>
            <w:r>
              <w:t>数量指标</w:t>
            </w:r>
          </w:p>
        </w:tc>
        <w:tc>
          <w:tcPr>
            <w:tcW w:w="2835" w:type="dxa"/>
            <w:vAlign w:val="center"/>
          </w:tcPr>
          <w:p w14:paraId="10BEF8EA">
            <w:pPr>
              <w:pStyle w:val="13"/>
            </w:pPr>
            <w:r>
              <w:t>实验二小维修改造</w:t>
            </w:r>
          </w:p>
        </w:tc>
        <w:tc>
          <w:tcPr>
            <w:tcW w:w="5386" w:type="dxa"/>
            <w:vAlign w:val="center"/>
          </w:tcPr>
          <w:p w14:paraId="480F92DD">
            <w:pPr>
              <w:pStyle w:val="13"/>
            </w:pPr>
            <w:r>
              <w:t>教学楼玻璃幕墙维修改造</w:t>
            </w:r>
          </w:p>
        </w:tc>
        <w:tc>
          <w:tcPr>
            <w:tcW w:w="2268" w:type="dxa"/>
            <w:vAlign w:val="center"/>
          </w:tcPr>
          <w:p w14:paraId="6369A04F">
            <w:pPr>
              <w:pStyle w:val="13"/>
            </w:pPr>
            <w:r>
              <w:t>1项</w:t>
            </w:r>
          </w:p>
        </w:tc>
        <w:tc>
          <w:tcPr>
            <w:tcW w:w="1276" w:type="dxa"/>
            <w:vAlign w:val="center"/>
          </w:tcPr>
          <w:p w14:paraId="7C79FD75">
            <w:pPr>
              <w:pStyle w:val="13"/>
            </w:pPr>
            <w:r>
              <w:t>项目规划</w:t>
            </w:r>
          </w:p>
        </w:tc>
      </w:tr>
      <w:tr w14:paraId="46727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97E41"/>
        </w:tc>
        <w:tc>
          <w:tcPr>
            <w:tcW w:w="2268" w:type="dxa"/>
            <w:vAlign w:val="center"/>
          </w:tcPr>
          <w:p w14:paraId="01967E14">
            <w:pPr>
              <w:pStyle w:val="13"/>
            </w:pPr>
            <w:r>
              <w:t>质量指标</w:t>
            </w:r>
          </w:p>
        </w:tc>
        <w:tc>
          <w:tcPr>
            <w:tcW w:w="2835" w:type="dxa"/>
            <w:vAlign w:val="center"/>
          </w:tcPr>
          <w:p w14:paraId="6E3D8850">
            <w:pPr>
              <w:pStyle w:val="13"/>
            </w:pPr>
            <w:r>
              <w:t>工程实施验收合格率</w:t>
            </w:r>
          </w:p>
        </w:tc>
        <w:tc>
          <w:tcPr>
            <w:tcW w:w="5386" w:type="dxa"/>
            <w:vAlign w:val="center"/>
          </w:tcPr>
          <w:p w14:paraId="74670F60">
            <w:pPr>
              <w:pStyle w:val="13"/>
            </w:pPr>
            <w:r>
              <w:t>申报程序的合规，项目实施及资金使用符合项目规划</w:t>
            </w:r>
          </w:p>
        </w:tc>
        <w:tc>
          <w:tcPr>
            <w:tcW w:w="2268" w:type="dxa"/>
            <w:vAlign w:val="center"/>
          </w:tcPr>
          <w:p w14:paraId="51F76C1C">
            <w:pPr>
              <w:pStyle w:val="13"/>
            </w:pPr>
            <w:r>
              <w:t>≤100%</w:t>
            </w:r>
          </w:p>
        </w:tc>
        <w:tc>
          <w:tcPr>
            <w:tcW w:w="1276" w:type="dxa"/>
            <w:vAlign w:val="center"/>
          </w:tcPr>
          <w:p w14:paraId="44399950">
            <w:pPr>
              <w:pStyle w:val="13"/>
            </w:pPr>
            <w:r>
              <w:t>项目规划</w:t>
            </w:r>
          </w:p>
        </w:tc>
      </w:tr>
      <w:tr w14:paraId="0F77E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F07AB"/>
        </w:tc>
        <w:tc>
          <w:tcPr>
            <w:tcW w:w="2268" w:type="dxa"/>
            <w:vAlign w:val="center"/>
          </w:tcPr>
          <w:p w14:paraId="0450028D">
            <w:pPr>
              <w:pStyle w:val="13"/>
            </w:pPr>
            <w:r>
              <w:t>时效指标</w:t>
            </w:r>
          </w:p>
        </w:tc>
        <w:tc>
          <w:tcPr>
            <w:tcW w:w="2835" w:type="dxa"/>
            <w:vAlign w:val="center"/>
          </w:tcPr>
          <w:p w14:paraId="6132A7C7">
            <w:pPr>
              <w:pStyle w:val="13"/>
            </w:pPr>
            <w:r>
              <w:t>资金支付率</w:t>
            </w:r>
          </w:p>
        </w:tc>
        <w:tc>
          <w:tcPr>
            <w:tcW w:w="5386" w:type="dxa"/>
            <w:vAlign w:val="center"/>
          </w:tcPr>
          <w:p w14:paraId="72827D15">
            <w:pPr>
              <w:pStyle w:val="13"/>
            </w:pPr>
            <w:r>
              <w:t>按照序时进度完成资金支付</w:t>
            </w:r>
          </w:p>
        </w:tc>
        <w:tc>
          <w:tcPr>
            <w:tcW w:w="2268" w:type="dxa"/>
            <w:vAlign w:val="center"/>
          </w:tcPr>
          <w:p w14:paraId="1CF3B06F">
            <w:pPr>
              <w:pStyle w:val="13"/>
            </w:pPr>
            <w:r>
              <w:t>≥100%</w:t>
            </w:r>
          </w:p>
        </w:tc>
        <w:tc>
          <w:tcPr>
            <w:tcW w:w="1276" w:type="dxa"/>
            <w:vAlign w:val="center"/>
          </w:tcPr>
          <w:p w14:paraId="499BBA1D">
            <w:pPr>
              <w:pStyle w:val="13"/>
            </w:pPr>
            <w:r>
              <w:t>项目规划</w:t>
            </w:r>
          </w:p>
        </w:tc>
      </w:tr>
      <w:tr w14:paraId="4F373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30E993">
            <w:pPr>
              <w:pStyle w:val="12"/>
            </w:pPr>
            <w:r>
              <w:t>效益指标</w:t>
            </w:r>
          </w:p>
        </w:tc>
        <w:tc>
          <w:tcPr>
            <w:tcW w:w="2268" w:type="dxa"/>
            <w:vAlign w:val="center"/>
          </w:tcPr>
          <w:p w14:paraId="3CB1B858">
            <w:pPr>
              <w:pStyle w:val="13"/>
            </w:pPr>
            <w:r>
              <w:t>可持续影响指标</w:t>
            </w:r>
          </w:p>
        </w:tc>
        <w:tc>
          <w:tcPr>
            <w:tcW w:w="2835" w:type="dxa"/>
            <w:vAlign w:val="center"/>
          </w:tcPr>
          <w:p w14:paraId="3431E4C2">
            <w:pPr>
              <w:pStyle w:val="13"/>
            </w:pPr>
            <w:r>
              <w:t>学校办学环境提升</w:t>
            </w:r>
          </w:p>
        </w:tc>
        <w:tc>
          <w:tcPr>
            <w:tcW w:w="5386" w:type="dxa"/>
            <w:vAlign w:val="center"/>
          </w:tcPr>
          <w:p w14:paraId="0C449C67">
            <w:pPr>
              <w:pStyle w:val="13"/>
            </w:pPr>
            <w:r>
              <w:t>学校教学环境提升优化率</w:t>
            </w:r>
          </w:p>
        </w:tc>
        <w:tc>
          <w:tcPr>
            <w:tcW w:w="2268" w:type="dxa"/>
            <w:vAlign w:val="center"/>
          </w:tcPr>
          <w:p w14:paraId="3B042A11">
            <w:pPr>
              <w:pStyle w:val="13"/>
            </w:pPr>
            <w:r>
              <w:t>≤100%</w:t>
            </w:r>
          </w:p>
        </w:tc>
        <w:tc>
          <w:tcPr>
            <w:tcW w:w="1276" w:type="dxa"/>
            <w:vAlign w:val="center"/>
          </w:tcPr>
          <w:p w14:paraId="1D011AA8">
            <w:pPr>
              <w:pStyle w:val="13"/>
            </w:pPr>
            <w:r>
              <w:t>项目规划</w:t>
            </w:r>
          </w:p>
        </w:tc>
      </w:tr>
      <w:tr w14:paraId="0708C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3EBF1">
            <w:pPr>
              <w:pStyle w:val="12"/>
            </w:pPr>
            <w:r>
              <w:t>满意度指标</w:t>
            </w:r>
          </w:p>
        </w:tc>
        <w:tc>
          <w:tcPr>
            <w:tcW w:w="2268" w:type="dxa"/>
            <w:vAlign w:val="center"/>
          </w:tcPr>
          <w:p w14:paraId="061091A2">
            <w:pPr>
              <w:pStyle w:val="13"/>
            </w:pPr>
            <w:r>
              <w:t>服务对象满意度指标</w:t>
            </w:r>
          </w:p>
        </w:tc>
        <w:tc>
          <w:tcPr>
            <w:tcW w:w="2835" w:type="dxa"/>
            <w:vAlign w:val="center"/>
          </w:tcPr>
          <w:p w14:paraId="4EDEC680">
            <w:pPr>
              <w:pStyle w:val="13"/>
            </w:pPr>
            <w:r>
              <w:t>受益学生家长及调查满意度</w:t>
            </w:r>
          </w:p>
        </w:tc>
        <w:tc>
          <w:tcPr>
            <w:tcW w:w="5386" w:type="dxa"/>
            <w:vAlign w:val="center"/>
          </w:tcPr>
          <w:p w14:paraId="62187189">
            <w:pPr>
              <w:pStyle w:val="13"/>
            </w:pPr>
            <w:r>
              <w:t>学生、教师及家长对学校教学环境满意度情况</w:t>
            </w:r>
          </w:p>
        </w:tc>
        <w:tc>
          <w:tcPr>
            <w:tcW w:w="2268" w:type="dxa"/>
            <w:vAlign w:val="center"/>
          </w:tcPr>
          <w:p w14:paraId="0B7FC1CF">
            <w:pPr>
              <w:pStyle w:val="13"/>
            </w:pPr>
            <w:r>
              <w:t>≥95%</w:t>
            </w:r>
          </w:p>
        </w:tc>
        <w:tc>
          <w:tcPr>
            <w:tcW w:w="1276" w:type="dxa"/>
            <w:vAlign w:val="center"/>
          </w:tcPr>
          <w:p w14:paraId="325EAF36">
            <w:pPr>
              <w:pStyle w:val="13"/>
            </w:pPr>
            <w:r>
              <w:t>项目规划</w:t>
            </w:r>
          </w:p>
        </w:tc>
      </w:tr>
    </w:tbl>
    <w:p w14:paraId="3324607B">
      <w:pPr>
        <w:sectPr>
          <w:pgSz w:w="16840" w:h="11900" w:orient="landscape"/>
          <w:pgMar w:top="1361" w:right="1020" w:bottom="1134" w:left="1020" w:header="720" w:footer="720" w:gutter="0"/>
          <w:cols w:space="720" w:num="1"/>
        </w:sectPr>
      </w:pPr>
    </w:p>
    <w:p w14:paraId="0845D903">
      <w:pPr>
        <w:spacing w:before="0" w:after="0"/>
        <w:ind w:firstLine="560"/>
        <w:jc w:val="left"/>
        <w:outlineLvl w:val="9"/>
      </w:pPr>
      <w:r>
        <w:rPr>
          <w:rFonts w:ascii="方正仿宋_GBK" w:hAnsi="方正仿宋_GBK" w:eastAsia="方正仿宋_GBK" w:cs="方正仿宋_GBK"/>
          <w:b/>
          <w:color w:val="000000"/>
          <w:sz w:val="28"/>
        </w:rPr>
        <w:t>11、上年盘活/冀财教[2023]154号/中央/义教经费/校舍安全保障/第二实验小学楼体外墙维修及粉刷绩效目标表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8A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D2F6A">
            <w:pPr>
              <w:pStyle w:val="14"/>
            </w:pPr>
            <w:r>
              <w:t>单位：万元</w:t>
            </w:r>
          </w:p>
        </w:tc>
      </w:tr>
      <w:tr w14:paraId="62217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121C52">
            <w:pPr>
              <w:pStyle w:val="11"/>
            </w:pPr>
            <w:r>
              <w:t>项目编码</w:t>
            </w:r>
          </w:p>
        </w:tc>
        <w:tc>
          <w:tcPr>
            <w:tcW w:w="5103" w:type="dxa"/>
            <w:gridSpan w:val="2"/>
            <w:vAlign w:val="center"/>
          </w:tcPr>
          <w:p w14:paraId="4601B870">
            <w:pPr>
              <w:pStyle w:val="13"/>
            </w:pPr>
            <w:r>
              <w:t>13052525P008756101551</w:t>
            </w:r>
          </w:p>
        </w:tc>
        <w:tc>
          <w:tcPr>
            <w:tcW w:w="2835" w:type="dxa"/>
            <w:vAlign w:val="center"/>
          </w:tcPr>
          <w:p w14:paraId="68659A7D">
            <w:pPr>
              <w:pStyle w:val="11"/>
            </w:pPr>
            <w:r>
              <w:t>项目名称</w:t>
            </w:r>
          </w:p>
        </w:tc>
        <w:tc>
          <w:tcPr>
            <w:tcW w:w="6095" w:type="dxa"/>
            <w:gridSpan w:val="3"/>
            <w:vAlign w:val="center"/>
          </w:tcPr>
          <w:p w14:paraId="1F694D3B">
            <w:pPr>
              <w:pStyle w:val="13"/>
            </w:pPr>
            <w:r>
              <w:t>上年盘活/冀财教[2023]154号/中央/义教经费/校舍安全保障/第二实验小学楼体外墙维修及粉刷</w:t>
            </w:r>
          </w:p>
        </w:tc>
      </w:tr>
      <w:tr w14:paraId="0E475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B8D19">
            <w:pPr>
              <w:pStyle w:val="11"/>
            </w:pPr>
            <w:r>
              <w:t>预算规模及资金用途</w:t>
            </w:r>
          </w:p>
        </w:tc>
        <w:tc>
          <w:tcPr>
            <w:tcW w:w="2268" w:type="dxa"/>
            <w:vAlign w:val="center"/>
          </w:tcPr>
          <w:p w14:paraId="231EC175">
            <w:pPr>
              <w:pStyle w:val="11"/>
            </w:pPr>
            <w:r>
              <w:t>预算数</w:t>
            </w:r>
          </w:p>
        </w:tc>
        <w:tc>
          <w:tcPr>
            <w:tcW w:w="2835" w:type="dxa"/>
            <w:vAlign w:val="center"/>
          </w:tcPr>
          <w:p w14:paraId="0E3234FD">
            <w:pPr>
              <w:pStyle w:val="13"/>
            </w:pPr>
            <w:r>
              <w:t>62.56</w:t>
            </w:r>
          </w:p>
        </w:tc>
        <w:tc>
          <w:tcPr>
            <w:tcW w:w="2835" w:type="dxa"/>
            <w:vAlign w:val="center"/>
          </w:tcPr>
          <w:p w14:paraId="1F6499A8">
            <w:pPr>
              <w:pStyle w:val="11"/>
            </w:pPr>
            <w:r>
              <w:t>其中：财政    资金</w:t>
            </w:r>
          </w:p>
        </w:tc>
        <w:tc>
          <w:tcPr>
            <w:tcW w:w="2551" w:type="dxa"/>
            <w:vAlign w:val="center"/>
          </w:tcPr>
          <w:p w14:paraId="323355CB">
            <w:pPr>
              <w:pStyle w:val="13"/>
            </w:pPr>
            <w:r>
              <w:t>62.56</w:t>
            </w:r>
          </w:p>
        </w:tc>
        <w:tc>
          <w:tcPr>
            <w:tcW w:w="2268" w:type="dxa"/>
            <w:vAlign w:val="center"/>
          </w:tcPr>
          <w:p w14:paraId="0B6D4B91">
            <w:pPr>
              <w:pStyle w:val="11"/>
            </w:pPr>
            <w:r>
              <w:t>其他资金</w:t>
            </w:r>
          </w:p>
        </w:tc>
        <w:tc>
          <w:tcPr>
            <w:tcW w:w="1276" w:type="dxa"/>
            <w:vAlign w:val="center"/>
          </w:tcPr>
          <w:p w14:paraId="054B8BDD">
            <w:pPr>
              <w:pStyle w:val="13"/>
            </w:pPr>
            <w:r>
              <w:t xml:space="preserve"> </w:t>
            </w:r>
          </w:p>
        </w:tc>
      </w:tr>
      <w:tr w14:paraId="4AE8C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1F9276"/>
        </w:tc>
        <w:tc>
          <w:tcPr>
            <w:tcW w:w="14033" w:type="dxa"/>
            <w:gridSpan w:val="6"/>
            <w:vAlign w:val="center"/>
          </w:tcPr>
          <w:p w14:paraId="21EB5C18">
            <w:pPr>
              <w:pStyle w:val="13"/>
            </w:pPr>
            <w:r>
              <w:t>按照工程进度及时支付工程款</w:t>
            </w:r>
          </w:p>
        </w:tc>
      </w:tr>
      <w:tr w14:paraId="3CE93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8952F">
            <w:pPr>
              <w:pStyle w:val="11"/>
            </w:pPr>
            <w:r>
              <w:t>资金支出计划（%）</w:t>
            </w:r>
          </w:p>
        </w:tc>
        <w:tc>
          <w:tcPr>
            <w:tcW w:w="5103" w:type="dxa"/>
            <w:gridSpan w:val="2"/>
            <w:vAlign w:val="center"/>
          </w:tcPr>
          <w:p w14:paraId="32935032">
            <w:pPr>
              <w:pStyle w:val="11"/>
            </w:pPr>
            <w:r>
              <w:t>3月底</w:t>
            </w:r>
          </w:p>
        </w:tc>
        <w:tc>
          <w:tcPr>
            <w:tcW w:w="2835" w:type="dxa"/>
            <w:vAlign w:val="center"/>
          </w:tcPr>
          <w:p w14:paraId="6B20FA04">
            <w:pPr>
              <w:pStyle w:val="11"/>
            </w:pPr>
            <w:r>
              <w:t>6月底</w:t>
            </w:r>
          </w:p>
        </w:tc>
        <w:tc>
          <w:tcPr>
            <w:tcW w:w="2551" w:type="dxa"/>
            <w:vAlign w:val="center"/>
          </w:tcPr>
          <w:p w14:paraId="3CF3D94B">
            <w:pPr>
              <w:pStyle w:val="11"/>
            </w:pPr>
            <w:r>
              <w:t>10月底</w:t>
            </w:r>
          </w:p>
        </w:tc>
        <w:tc>
          <w:tcPr>
            <w:tcW w:w="3544" w:type="dxa"/>
            <w:gridSpan w:val="2"/>
            <w:vAlign w:val="center"/>
          </w:tcPr>
          <w:p w14:paraId="49434153">
            <w:pPr>
              <w:pStyle w:val="11"/>
            </w:pPr>
            <w:r>
              <w:t>12月底</w:t>
            </w:r>
          </w:p>
        </w:tc>
      </w:tr>
      <w:tr w14:paraId="4D05B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46323"/>
        </w:tc>
        <w:tc>
          <w:tcPr>
            <w:tcW w:w="5103" w:type="dxa"/>
            <w:gridSpan w:val="2"/>
            <w:vAlign w:val="center"/>
          </w:tcPr>
          <w:p w14:paraId="74E70022">
            <w:pPr>
              <w:pStyle w:val="12"/>
            </w:pPr>
            <w:r>
              <w:t xml:space="preserve"> </w:t>
            </w:r>
          </w:p>
        </w:tc>
        <w:tc>
          <w:tcPr>
            <w:tcW w:w="2835" w:type="dxa"/>
            <w:vAlign w:val="center"/>
          </w:tcPr>
          <w:p w14:paraId="66259EA2">
            <w:pPr>
              <w:pStyle w:val="12"/>
            </w:pPr>
            <w:r>
              <w:t>100%</w:t>
            </w:r>
          </w:p>
        </w:tc>
        <w:tc>
          <w:tcPr>
            <w:tcW w:w="2551" w:type="dxa"/>
            <w:vAlign w:val="center"/>
          </w:tcPr>
          <w:p w14:paraId="40C037FB">
            <w:pPr>
              <w:pStyle w:val="12"/>
            </w:pPr>
            <w:r>
              <w:t>100%</w:t>
            </w:r>
          </w:p>
        </w:tc>
        <w:tc>
          <w:tcPr>
            <w:tcW w:w="3544" w:type="dxa"/>
            <w:gridSpan w:val="2"/>
            <w:vAlign w:val="center"/>
          </w:tcPr>
          <w:p w14:paraId="533D5892">
            <w:pPr>
              <w:pStyle w:val="12"/>
            </w:pPr>
            <w:r>
              <w:t>100%</w:t>
            </w:r>
          </w:p>
        </w:tc>
      </w:tr>
      <w:tr w14:paraId="789C5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5BD5B">
            <w:pPr>
              <w:pStyle w:val="11"/>
            </w:pPr>
            <w:r>
              <w:t>绩效目标</w:t>
            </w:r>
          </w:p>
        </w:tc>
        <w:tc>
          <w:tcPr>
            <w:tcW w:w="14033" w:type="dxa"/>
            <w:gridSpan w:val="6"/>
            <w:vAlign w:val="center"/>
          </w:tcPr>
          <w:p w14:paraId="2D950E1F">
            <w:pPr>
              <w:pStyle w:val="13"/>
            </w:pPr>
            <w:r>
              <w:t>1.按照工程进度及时支付工程款</w:t>
            </w:r>
          </w:p>
          <w:p w14:paraId="23DD8010">
            <w:pPr>
              <w:pStyle w:val="13"/>
            </w:pPr>
            <w:r>
              <w:t>2.按时完成隆尧县第二实验小学教学楼宿舍楼餐厅综合楼外墙维修粉刷及玻璃幕改造工程，提高师生学习工作环境，提升安全指数</w:t>
            </w:r>
          </w:p>
        </w:tc>
      </w:tr>
    </w:tbl>
    <w:p w14:paraId="0E269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D1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42E35">
            <w:pPr>
              <w:pStyle w:val="11"/>
            </w:pPr>
            <w:r>
              <w:t>一级指标</w:t>
            </w:r>
          </w:p>
        </w:tc>
        <w:tc>
          <w:tcPr>
            <w:tcW w:w="2268" w:type="dxa"/>
            <w:vAlign w:val="center"/>
          </w:tcPr>
          <w:p w14:paraId="6F14E73E">
            <w:pPr>
              <w:pStyle w:val="11"/>
            </w:pPr>
            <w:r>
              <w:t>二级指标</w:t>
            </w:r>
          </w:p>
        </w:tc>
        <w:tc>
          <w:tcPr>
            <w:tcW w:w="2835" w:type="dxa"/>
            <w:vAlign w:val="center"/>
          </w:tcPr>
          <w:p w14:paraId="1509EA55">
            <w:pPr>
              <w:pStyle w:val="11"/>
            </w:pPr>
            <w:r>
              <w:t>三级指标</w:t>
            </w:r>
          </w:p>
        </w:tc>
        <w:tc>
          <w:tcPr>
            <w:tcW w:w="5386" w:type="dxa"/>
            <w:vAlign w:val="center"/>
          </w:tcPr>
          <w:p w14:paraId="605E7514">
            <w:pPr>
              <w:pStyle w:val="11"/>
            </w:pPr>
            <w:r>
              <w:t>绩效指标描述</w:t>
            </w:r>
          </w:p>
        </w:tc>
        <w:tc>
          <w:tcPr>
            <w:tcW w:w="2268" w:type="dxa"/>
            <w:vAlign w:val="center"/>
          </w:tcPr>
          <w:p w14:paraId="6C3F0E62">
            <w:pPr>
              <w:pStyle w:val="11"/>
            </w:pPr>
            <w:r>
              <w:t>指标值</w:t>
            </w:r>
          </w:p>
        </w:tc>
        <w:tc>
          <w:tcPr>
            <w:tcW w:w="1276" w:type="dxa"/>
            <w:vAlign w:val="center"/>
          </w:tcPr>
          <w:p w14:paraId="73C1B8B2">
            <w:pPr>
              <w:pStyle w:val="11"/>
            </w:pPr>
            <w:r>
              <w:t>指标值确定依据</w:t>
            </w:r>
          </w:p>
        </w:tc>
      </w:tr>
      <w:tr w14:paraId="36045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5A986">
            <w:pPr>
              <w:pStyle w:val="12"/>
            </w:pPr>
            <w:r>
              <w:t>产出指标</w:t>
            </w:r>
          </w:p>
        </w:tc>
        <w:tc>
          <w:tcPr>
            <w:tcW w:w="2268" w:type="dxa"/>
            <w:vAlign w:val="center"/>
          </w:tcPr>
          <w:p w14:paraId="48682699">
            <w:pPr>
              <w:pStyle w:val="13"/>
            </w:pPr>
            <w:r>
              <w:t>数量指标</w:t>
            </w:r>
          </w:p>
        </w:tc>
        <w:tc>
          <w:tcPr>
            <w:tcW w:w="2835" w:type="dxa"/>
            <w:vAlign w:val="center"/>
          </w:tcPr>
          <w:p w14:paraId="4CBBDEDB">
            <w:pPr>
              <w:pStyle w:val="13"/>
            </w:pPr>
            <w:r>
              <w:t>外墙维修粉刷及玻璃幕改造工程完成率</w:t>
            </w:r>
          </w:p>
        </w:tc>
        <w:tc>
          <w:tcPr>
            <w:tcW w:w="5386" w:type="dxa"/>
            <w:vAlign w:val="center"/>
          </w:tcPr>
          <w:p w14:paraId="20156441">
            <w:pPr>
              <w:pStyle w:val="13"/>
            </w:pPr>
            <w:r>
              <w:t>按照合同规定的时间完成</w:t>
            </w:r>
          </w:p>
        </w:tc>
        <w:tc>
          <w:tcPr>
            <w:tcW w:w="2268" w:type="dxa"/>
            <w:vAlign w:val="center"/>
          </w:tcPr>
          <w:p w14:paraId="24A0EAF8">
            <w:pPr>
              <w:pStyle w:val="13"/>
            </w:pPr>
            <w:r>
              <w:t>100%</w:t>
            </w:r>
          </w:p>
        </w:tc>
        <w:tc>
          <w:tcPr>
            <w:tcW w:w="1276" w:type="dxa"/>
            <w:vAlign w:val="center"/>
          </w:tcPr>
          <w:p w14:paraId="5144B0F7">
            <w:pPr>
              <w:pStyle w:val="13"/>
            </w:pPr>
            <w:r>
              <w:t>年度工作计划</w:t>
            </w:r>
          </w:p>
        </w:tc>
      </w:tr>
      <w:tr w14:paraId="68A7B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8012A"/>
        </w:tc>
        <w:tc>
          <w:tcPr>
            <w:tcW w:w="2268" w:type="dxa"/>
            <w:vAlign w:val="center"/>
          </w:tcPr>
          <w:p w14:paraId="1160A08E">
            <w:pPr>
              <w:pStyle w:val="13"/>
            </w:pPr>
            <w:r>
              <w:t>质量指标</w:t>
            </w:r>
          </w:p>
        </w:tc>
        <w:tc>
          <w:tcPr>
            <w:tcW w:w="2835" w:type="dxa"/>
            <w:vAlign w:val="center"/>
          </w:tcPr>
          <w:p w14:paraId="020CB9A0">
            <w:pPr>
              <w:pStyle w:val="13"/>
            </w:pPr>
            <w:r>
              <w:t>外墙维修粉刷及玻璃幕改造工程验收合格率</w:t>
            </w:r>
          </w:p>
        </w:tc>
        <w:tc>
          <w:tcPr>
            <w:tcW w:w="5386" w:type="dxa"/>
            <w:vAlign w:val="center"/>
          </w:tcPr>
          <w:p w14:paraId="64E360F1">
            <w:pPr>
              <w:pStyle w:val="13"/>
            </w:pPr>
            <w:r>
              <w:t>工程验收合格率</w:t>
            </w:r>
          </w:p>
        </w:tc>
        <w:tc>
          <w:tcPr>
            <w:tcW w:w="2268" w:type="dxa"/>
            <w:vAlign w:val="center"/>
          </w:tcPr>
          <w:p w14:paraId="66418093">
            <w:pPr>
              <w:pStyle w:val="13"/>
            </w:pPr>
            <w:r>
              <w:t>100%</w:t>
            </w:r>
          </w:p>
        </w:tc>
        <w:tc>
          <w:tcPr>
            <w:tcW w:w="1276" w:type="dxa"/>
            <w:vAlign w:val="center"/>
          </w:tcPr>
          <w:p w14:paraId="0AA9B19F">
            <w:pPr>
              <w:pStyle w:val="13"/>
            </w:pPr>
            <w:r>
              <w:t>年度工作计划</w:t>
            </w:r>
          </w:p>
        </w:tc>
      </w:tr>
      <w:tr w14:paraId="5E02B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1F397"/>
        </w:tc>
        <w:tc>
          <w:tcPr>
            <w:tcW w:w="2268" w:type="dxa"/>
            <w:vAlign w:val="center"/>
          </w:tcPr>
          <w:p w14:paraId="51A12B31">
            <w:pPr>
              <w:pStyle w:val="13"/>
            </w:pPr>
            <w:r>
              <w:t>时效指标</w:t>
            </w:r>
          </w:p>
        </w:tc>
        <w:tc>
          <w:tcPr>
            <w:tcW w:w="2835" w:type="dxa"/>
            <w:vAlign w:val="center"/>
          </w:tcPr>
          <w:p w14:paraId="474FC7A1">
            <w:pPr>
              <w:pStyle w:val="13"/>
            </w:pPr>
            <w:r>
              <w:t>资金支付进度</w:t>
            </w:r>
          </w:p>
        </w:tc>
        <w:tc>
          <w:tcPr>
            <w:tcW w:w="5386" w:type="dxa"/>
            <w:vAlign w:val="center"/>
          </w:tcPr>
          <w:p w14:paraId="64B1BA68">
            <w:pPr>
              <w:pStyle w:val="13"/>
            </w:pPr>
            <w:r>
              <w:t>规定时间内完成率</w:t>
            </w:r>
          </w:p>
        </w:tc>
        <w:tc>
          <w:tcPr>
            <w:tcW w:w="2268" w:type="dxa"/>
            <w:vAlign w:val="center"/>
          </w:tcPr>
          <w:p w14:paraId="081C2628">
            <w:pPr>
              <w:pStyle w:val="13"/>
            </w:pPr>
            <w:r>
              <w:t>100%</w:t>
            </w:r>
          </w:p>
        </w:tc>
        <w:tc>
          <w:tcPr>
            <w:tcW w:w="1276" w:type="dxa"/>
            <w:vAlign w:val="center"/>
          </w:tcPr>
          <w:p w14:paraId="5557B7DE">
            <w:pPr>
              <w:pStyle w:val="13"/>
            </w:pPr>
            <w:r>
              <w:t>年度工作计划</w:t>
            </w:r>
          </w:p>
        </w:tc>
      </w:tr>
      <w:tr w14:paraId="440C5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7F4DF"/>
        </w:tc>
        <w:tc>
          <w:tcPr>
            <w:tcW w:w="2268" w:type="dxa"/>
            <w:vAlign w:val="center"/>
          </w:tcPr>
          <w:p w14:paraId="5D403377">
            <w:pPr>
              <w:pStyle w:val="13"/>
            </w:pPr>
            <w:r>
              <w:t>成本指标</w:t>
            </w:r>
          </w:p>
        </w:tc>
        <w:tc>
          <w:tcPr>
            <w:tcW w:w="2835" w:type="dxa"/>
            <w:vAlign w:val="center"/>
          </w:tcPr>
          <w:p w14:paraId="0E0EFA3B">
            <w:pPr>
              <w:pStyle w:val="13"/>
            </w:pPr>
            <w:r>
              <w:t>工程实际成本</w:t>
            </w:r>
          </w:p>
        </w:tc>
        <w:tc>
          <w:tcPr>
            <w:tcW w:w="5386" w:type="dxa"/>
            <w:vAlign w:val="center"/>
          </w:tcPr>
          <w:p w14:paraId="27BA6181">
            <w:pPr>
              <w:pStyle w:val="13"/>
            </w:pPr>
            <w:r>
              <w:t>工程实际成本</w:t>
            </w:r>
          </w:p>
        </w:tc>
        <w:tc>
          <w:tcPr>
            <w:tcW w:w="2268" w:type="dxa"/>
            <w:vAlign w:val="center"/>
          </w:tcPr>
          <w:p w14:paraId="246773B7">
            <w:pPr>
              <w:pStyle w:val="13"/>
            </w:pPr>
            <w:r>
              <w:t>110万元</w:t>
            </w:r>
          </w:p>
        </w:tc>
        <w:tc>
          <w:tcPr>
            <w:tcW w:w="1276" w:type="dxa"/>
            <w:vAlign w:val="center"/>
          </w:tcPr>
          <w:p w14:paraId="3F0A9708">
            <w:pPr>
              <w:pStyle w:val="13"/>
            </w:pPr>
            <w:r>
              <w:t>年度工作计划</w:t>
            </w:r>
          </w:p>
        </w:tc>
      </w:tr>
      <w:tr w14:paraId="24247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4ED7C1">
            <w:pPr>
              <w:pStyle w:val="12"/>
            </w:pPr>
            <w:r>
              <w:t>效益指标</w:t>
            </w:r>
          </w:p>
        </w:tc>
        <w:tc>
          <w:tcPr>
            <w:tcW w:w="2268" w:type="dxa"/>
            <w:vAlign w:val="center"/>
          </w:tcPr>
          <w:p w14:paraId="433FE8B7">
            <w:pPr>
              <w:pStyle w:val="13"/>
            </w:pPr>
            <w:r>
              <w:t>社会效益指标</w:t>
            </w:r>
          </w:p>
        </w:tc>
        <w:tc>
          <w:tcPr>
            <w:tcW w:w="2835" w:type="dxa"/>
            <w:vAlign w:val="center"/>
          </w:tcPr>
          <w:p w14:paraId="588DA39D">
            <w:pPr>
              <w:pStyle w:val="13"/>
            </w:pPr>
            <w:r>
              <w:t>使用年限</w:t>
            </w:r>
          </w:p>
        </w:tc>
        <w:tc>
          <w:tcPr>
            <w:tcW w:w="5386" w:type="dxa"/>
            <w:vAlign w:val="center"/>
          </w:tcPr>
          <w:p w14:paraId="24D7CA6F">
            <w:pPr>
              <w:pStyle w:val="13"/>
            </w:pPr>
            <w:r>
              <w:t>达到合同要求的使用年限</w:t>
            </w:r>
          </w:p>
        </w:tc>
        <w:tc>
          <w:tcPr>
            <w:tcW w:w="2268" w:type="dxa"/>
            <w:vAlign w:val="center"/>
          </w:tcPr>
          <w:p w14:paraId="3CCAD80A">
            <w:pPr>
              <w:pStyle w:val="13"/>
            </w:pPr>
            <w:r>
              <w:t>≥5年</w:t>
            </w:r>
          </w:p>
        </w:tc>
        <w:tc>
          <w:tcPr>
            <w:tcW w:w="1276" w:type="dxa"/>
            <w:vAlign w:val="center"/>
          </w:tcPr>
          <w:p w14:paraId="62E9301E">
            <w:pPr>
              <w:pStyle w:val="13"/>
            </w:pPr>
            <w:r>
              <w:t>年度工作计划</w:t>
            </w:r>
          </w:p>
        </w:tc>
      </w:tr>
      <w:tr w14:paraId="1DF7D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198526">
            <w:pPr>
              <w:pStyle w:val="12"/>
            </w:pPr>
            <w:r>
              <w:t>满意度指标</w:t>
            </w:r>
          </w:p>
        </w:tc>
        <w:tc>
          <w:tcPr>
            <w:tcW w:w="2268" w:type="dxa"/>
            <w:vAlign w:val="center"/>
          </w:tcPr>
          <w:p w14:paraId="3233E3A1">
            <w:pPr>
              <w:pStyle w:val="13"/>
            </w:pPr>
            <w:r>
              <w:t>服务对象满意度指标</w:t>
            </w:r>
          </w:p>
        </w:tc>
        <w:tc>
          <w:tcPr>
            <w:tcW w:w="2835" w:type="dxa"/>
            <w:vAlign w:val="center"/>
          </w:tcPr>
          <w:p w14:paraId="761458D5">
            <w:pPr>
              <w:pStyle w:val="13"/>
            </w:pPr>
            <w:r>
              <w:t>师生对学习生活环境的满意度</w:t>
            </w:r>
          </w:p>
        </w:tc>
        <w:tc>
          <w:tcPr>
            <w:tcW w:w="5386" w:type="dxa"/>
            <w:vAlign w:val="center"/>
          </w:tcPr>
          <w:p w14:paraId="2531B684">
            <w:pPr>
              <w:pStyle w:val="13"/>
            </w:pPr>
            <w:r>
              <w:t>师生对学习生活环境的满意度</w:t>
            </w:r>
          </w:p>
        </w:tc>
        <w:tc>
          <w:tcPr>
            <w:tcW w:w="2268" w:type="dxa"/>
            <w:vAlign w:val="center"/>
          </w:tcPr>
          <w:p w14:paraId="560FA3F7">
            <w:pPr>
              <w:pStyle w:val="13"/>
            </w:pPr>
            <w:r>
              <w:t>≥98%</w:t>
            </w:r>
          </w:p>
        </w:tc>
        <w:tc>
          <w:tcPr>
            <w:tcW w:w="1276" w:type="dxa"/>
            <w:vAlign w:val="center"/>
          </w:tcPr>
          <w:p w14:paraId="60DF4698">
            <w:pPr>
              <w:pStyle w:val="13"/>
            </w:pPr>
            <w:r>
              <w:t>年度工作计划</w:t>
            </w:r>
          </w:p>
        </w:tc>
      </w:tr>
    </w:tbl>
    <w:p w14:paraId="6C16D916">
      <w:pPr>
        <w:sectPr>
          <w:pgSz w:w="16840" w:h="11900" w:orient="landscape"/>
          <w:pgMar w:top="1361" w:right="1020" w:bottom="1134" w:left="1020" w:header="720" w:footer="720" w:gutter="0"/>
          <w:cols w:space="720" w:num="1"/>
        </w:sectPr>
      </w:pPr>
    </w:p>
    <w:p w14:paraId="0A5A37BC">
      <w:pPr>
        <w:spacing w:before="0" w:after="0"/>
        <w:ind w:firstLine="560"/>
        <w:jc w:val="left"/>
        <w:outlineLvl w:val="9"/>
      </w:pPr>
      <w:r>
        <w:rPr>
          <w:rFonts w:ascii="方正仿宋_GBK" w:hAnsi="方正仿宋_GBK" w:eastAsia="方正仿宋_GBK" w:cs="方正仿宋_GBK"/>
          <w:b/>
          <w:color w:val="000000"/>
          <w:sz w:val="28"/>
        </w:rPr>
        <w:t>12、上年盘活/冀财教[2023]59号/中央/义教经费/规范民办学校奖补/实验二小消防水池泵房及附属管道绩效目标表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5E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64AD7">
            <w:pPr>
              <w:pStyle w:val="14"/>
            </w:pPr>
            <w:r>
              <w:t>单位：万元</w:t>
            </w:r>
          </w:p>
        </w:tc>
      </w:tr>
      <w:tr w14:paraId="632C1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F2B948">
            <w:pPr>
              <w:pStyle w:val="11"/>
            </w:pPr>
            <w:r>
              <w:t>项目编码</w:t>
            </w:r>
          </w:p>
        </w:tc>
        <w:tc>
          <w:tcPr>
            <w:tcW w:w="5103" w:type="dxa"/>
            <w:gridSpan w:val="2"/>
            <w:vAlign w:val="center"/>
          </w:tcPr>
          <w:p w14:paraId="24090FFC">
            <w:pPr>
              <w:pStyle w:val="13"/>
            </w:pPr>
            <w:r>
              <w:t>13052525P00875610188F</w:t>
            </w:r>
          </w:p>
        </w:tc>
        <w:tc>
          <w:tcPr>
            <w:tcW w:w="2835" w:type="dxa"/>
            <w:vAlign w:val="center"/>
          </w:tcPr>
          <w:p w14:paraId="3C769859">
            <w:pPr>
              <w:pStyle w:val="11"/>
            </w:pPr>
            <w:r>
              <w:t>项目名称</w:t>
            </w:r>
          </w:p>
        </w:tc>
        <w:tc>
          <w:tcPr>
            <w:tcW w:w="6095" w:type="dxa"/>
            <w:gridSpan w:val="3"/>
            <w:vAlign w:val="center"/>
          </w:tcPr>
          <w:p w14:paraId="43C93E07">
            <w:pPr>
              <w:pStyle w:val="13"/>
            </w:pPr>
            <w:r>
              <w:t>上年盘活/冀财教[2023]59号/中央/义教经费/规范民办学校奖补/实验二小消防水池泵房及附属管道</w:t>
            </w:r>
          </w:p>
        </w:tc>
      </w:tr>
      <w:tr w14:paraId="20FEF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27B45">
            <w:pPr>
              <w:pStyle w:val="11"/>
            </w:pPr>
            <w:r>
              <w:t>预算规模及资金用途</w:t>
            </w:r>
          </w:p>
        </w:tc>
        <w:tc>
          <w:tcPr>
            <w:tcW w:w="2268" w:type="dxa"/>
            <w:vAlign w:val="center"/>
          </w:tcPr>
          <w:p w14:paraId="1423E029">
            <w:pPr>
              <w:pStyle w:val="11"/>
            </w:pPr>
            <w:r>
              <w:t>预算数</w:t>
            </w:r>
          </w:p>
        </w:tc>
        <w:tc>
          <w:tcPr>
            <w:tcW w:w="2835" w:type="dxa"/>
            <w:vAlign w:val="center"/>
          </w:tcPr>
          <w:p w14:paraId="4219675C">
            <w:pPr>
              <w:pStyle w:val="13"/>
            </w:pPr>
            <w:r>
              <w:t>1.73</w:t>
            </w:r>
          </w:p>
        </w:tc>
        <w:tc>
          <w:tcPr>
            <w:tcW w:w="2835" w:type="dxa"/>
            <w:vAlign w:val="center"/>
          </w:tcPr>
          <w:p w14:paraId="746491C7">
            <w:pPr>
              <w:pStyle w:val="11"/>
            </w:pPr>
            <w:r>
              <w:t>其中：财政    资金</w:t>
            </w:r>
          </w:p>
        </w:tc>
        <w:tc>
          <w:tcPr>
            <w:tcW w:w="2551" w:type="dxa"/>
            <w:vAlign w:val="center"/>
          </w:tcPr>
          <w:p w14:paraId="66E0B91A">
            <w:pPr>
              <w:pStyle w:val="13"/>
            </w:pPr>
            <w:r>
              <w:t>1.73</w:t>
            </w:r>
          </w:p>
        </w:tc>
        <w:tc>
          <w:tcPr>
            <w:tcW w:w="2268" w:type="dxa"/>
            <w:vAlign w:val="center"/>
          </w:tcPr>
          <w:p w14:paraId="04C33D02">
            <w:pPr>
              <w:pStyle w:val="11"/>
            </w:pPr>
            <w:r>
              <w:t>其他资金</w:t>
            </w:r>
          </w:p>
        </w:tc>
        <w:tc>
          <w:tcPr>
            <w:tcW w:w="1276" w:type="dxa"/>
            <w:vAlign w:val="center"/>
          </w:tcPr>
          <w:p w14:paraId="3066911E">
            <w:pPr>
              <w:pStyle w:val="13"/>
            </w:pPr>
            <w:r>
              <w:t xml:space="preserve"> </w:t>
            </w:r>
          </w:p>
        </w:tc>
      </w:tr>
      <w:tr w14:paraId="03DAD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31C662"/>
        </w:tc>
        <w:tc>
          <w:tcPr>
            <w:tcW w:w="14033" w:type="dxa"/>
            <w:gridSpan w:val="6"/>
            <w:vAlign w:val="center"/>
          </w:tcPr>
          <w:p w14:paraId="598B42C2">
            <w:pPr>
              <w:pStyle w:val="13"/>
            </w:pPr>
            <w:r>
              <w:t>按照项目工程进度及时支付资金。</w:t>
            </w:r>
          </w:p>
        </w:tc>
      </w:tr>
      <w:tr w14:paraId="39347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2F54D">
            <w:pPr>
              <w:pStyle w:val="11"/>
            </w:pPr>
            <w:r>
              <w:t>资金支出计划（%）</w:t>
            </w:r>
          </w:p>
        </w:tc>
        <w:tc>
          <w:tcPr>
            <w:tcW w:w="5103" w:type="dxa"/>
            <w:gridSpan w:val="2"/>
            <w:vAlign w:val="center"/>
          </w:tcPr>
          <w:p w14:paraId="299DE70E">
            <w:pPr>
              <w:pStyle w:val="11"/>
            </w:pPr>
            <w:r>
              <w:t>3月底</w:t>
            </w:r>
          </w:p>
        </w:tc>
        <w:tc>
          <w:tcPr>
            <w:tcW w:w="2835" w:type="dxa"/>
            <w:vAlign w:val="center"/>
          </w:tcPr>
          <w:p w14:paraId="3B649CB3">
            <w:pPr>
              <w:pStyle w:val="11"/>
            </w:pPr>
            <w:r>
              <w:t>6月底</w:t>
            </w:r>
          </w:p>
        </w:tc>
        <w:tc>
          <w:tcPr>
            <w:tcW w:w="2551" w:type="dxa"/>
            <w:vAlign w:val="center"/>
          </w:tcPr>
          <w:p w14:paraId="4B08DA67">
            <w:pPr>
              <w:pStyle w:val="11"/>
            </w:pPr>
            <w:r>
              <w:t>10月底</w:t>
            </w:r>
          </w:p>
        </w:tc>
        <w:tc>
          <w:tcPr>
            <w:tcW w:w="3544" w:type="dxa"/>
            <w:gridSpan w:val="2"/>
            <w:vAlign w:val="center"/>
          </w:tcPr>
          <w:p w14:paraId="34B5778C">
            <w:pPr>
              <w:pStyle w:val="11"/>
            </w:pPr>
            <w:r>
              <w:t>12月底</w:t>
            </w:r>
          </w:p>
        </w:tc>
      </w:tr>
      <w:tr w14:paraId="46C23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D0BD68"/>
        </w:tc>
        <w:tc>
          <w:tcPr>
            <w:tcW w:w="5103" w:type="dxa"/>
            <w:gridSpan w:val="2"/>
            <w:vAlign w:val="center"/>
          </w:tcPr>
          <w:p w14:paraId="5AD557D7">
            <w:pPr>
              <w:pStyle w:val="12"/>
            </w:pPr>
            <w:r>
              <w:t xml:space="preserve"> </w:t>
            </w:r>
          </w:p>
        </w:tc>
        <w:tc>
          <w:tcPr>
            <w:tcW w:w="2835" w:type="dxa"/>
            <w:vAlign w:val="center"/>
          </w:tcPr>
          <w:p w14:paraId="6CBFD264">
            <w:pPr>
              <w:pStyle w:val="12"/>
            </w:pPr>
            <w:r>
              <w:t>100%</w:t>
            </w:r>
          </w:p>
        </w:tc>
        <w:tc>
          <w:tcPr>
            <w:tcW w:w="2551" w:type="dxa"/>
            <w:vAlign w:val="center"/>
          </w:tcPr>
          <w:p w14:paraId="5A9BAF8E">
            <w:pPr>
              <w:pStyle w:val="12"/>
            </w:pPr>
            <w:r>
              <w:t>100%</w:t>
            </w:r>
          </w:p>
        </w:tc>
        <w:tc>
          <w:tcPr>
            <w:tcW w:w="3544" w:type="dxa"/>
            <w:gridSpan w:val="2"/>
            <w:vAlign w:val="center"/>
          </w:tcPr>
          <w:p w14:paraId="3C693DA8">
            <w:pPr>
              <w:pStyle w:val="12"/>
            </w:pPr>
            <w:r>
              <w:t>100%</w:t>
            </w:r>
          </w:p>
        </w:tc>
      </w:tr>
      <w:tr w14:paraId="55754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7D6B2">
            <w:pPr>
              <w:pStyle w:val="11"/>
            </w:pPr>
            <w:r>
              <w:t>绩效目标</w:t>
            </w:r>
          </w:p>
        </w:tc>
        <w:tc>
          <w:tcPr>
            <w:tcW w:w="14033" w:type="dxa"/>
            <w:gridSpan w:val="6"/>
            <w:vAlign w:val="center"/>
          </w:tcPr>
          <w:p w14:paraId="16DA22EC">
            <w:pPr>
              <w:pStyle w:val="13"/>
            </w:pPr>
            <w:r>
              <w:t>1.按照项目工程进度及时支付资金。</w:t>
            </w:r>
          </w:p>
          <w:p w14:paraId="1BE13274">
            <w:pPr>
              <w:pStyle w:val="13"/>
            </w:pPr>
            <w:r>
              <w:t>2.按时完成第二实验小学消防水池泵房及附属管道维修改造工程，保障学校消防安全，提升学生学习生活环境。</w:t>
            </w:r>
            <w:r>
              <w:tab/>
            </w:r>
            <w:r>
              <w:tab/>
            </w:r>
            <w:r>
              <w:tab/>
            </w:r>
            <w:r>
              <w:tab/>
            </w:r>
            <w:r>
              <w:tab/>
            </w:r>
            <w:r>
              <w:tab/>
            </w:r>
          </w:p>
          <w:p w14:paraId="06D20C06">
            <w:pPr>
              <w:pStyle w:val="13"/>
            </w:pPr>
          </w:p>
        </w:tc>
      </w:tr>
    </w:tbl>
    <w:p w14:paraId="695E8D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4C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D275DA">
            <w:pPr>
              <w:pStyle w:val="11"/>
            </w:pPr>
            <w:r>
              <w:t>一级指标</w:t>
            </w:r>
          </w:p>
        </w:tc>
        <w:tc>
          <w:tcPr>
            <w:tcW w:w="2268" w:type="dxa"/>
            <w:vAlign w:val="center"/>
          </w:tcPr>
          <w:p w14:paraId="04F1B288">
            <w:pPr>
              <w:pStyle w:val="11"/>
            </w:pPr>
            <w:r>
              <w:t>二级指标</w:t>
            </w:r>
          </w:p>
        </w:tc>
        <w:tc>
          <w:tcPr>
            <w:tcW w:w="2835" w:type="dxa"/>
            <w:vAlign w:val="center"/>
          </w:tcPr>
          <w:p w14:paraId="52612E42">
            <w:pPr>
              <w:pStyle w:val="11"/>
            </w:pPr>
            <w:r>
              <w:t>三级指标</w:t>
            </w:r>
          </w:p>
        </w:tc>
        <w:tc>
          <w:tcPr>
            <w:tcW w:w="5386" w:type="dxa"/>
            <w:vAlign w:val="center"/>
          </w:tcPr>
          <w:p w14:paraId="439957EE">
            <w:pPr>
              <w:pStyle w:val="11"/>
            </w:pPr>
            <w:r>
              <w:t>绩效指标描述</w:t>
            </w:r>
          </w:p>
        </w:tc>
        <w:tc>
          <w:tcPr>
            <w:tcW w:w="2268" w:type="dxa"/>
            <w:vAlign w:val="center"/>
          </w:tcPr>
          <w:p w14:paraId="24A609F8">
            <w:pPr>
              <w:pStyle w:val="11"/>
            </w:pPr>
            <w:r>
              <w:t>指标值</w:t>
            </w:r>
          </w:p>
        </w:tc>
        <w:tc>
          <w:tcPr>
            <w:tcW w:w="1276" w:type="dxa"/>
            <w:vAlign w:val="center"/>
          </w:tcPr>
          <w:p w14:paraId="22AB410A">
            <w:pPr>
              <w:pStyle w:val="11"/>
            </w:pPr>
            <w:r>
              <w:t>指标值确定依据</w:t>
            </w:r>
          </w:p>
        </w:tc>
      </w:tr>
      <w:tr w14:paraId="5FF27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E60BE">
            <w:pPr>
              <w:pStyle w:val="12"/>
            </w:pPr>
            <w:r>
              <w:t>产出指标</w:t>
            </w:r>
          </w:p>
        </w:tc>
        <w:tc>
          <w:tcPr>
            <w:tcW w:w="2268" w:type="dxa"/>
            <w:vAlign w:val="center"/>
          </w:tcPr>
          <w:p w14:paraId="618D709A">
            <w:pPr>
              <w:pStyle w:val="13"/>
            </w:pPr>
            <w:r>
              <w:t>数量指标</w:t>
            </w:r>
          </w:p>
        </w:tc>
        <w:tc>
          <w:tcPr>
            <w:tcW w:w="2835" w:type="dxa"/>
            <w:vAlign w:val="center"/>
          </w:tcPr>
          <w:p w14:paraId="331F407C">
            <w:pPr>
              <w:pStyle w:val="13"/>
            </w:pPr>
            <w:r>
              <w:t>消防设施维修改造完成率</w:t>
            </w:r>
          </w:p>
        </w:tc>
        <w:tc>
          <w:tcPr>
            <w:tcW w:w="5386" w:type="dxa"/>
            <w:vAlign w:val="center"/>
          </w:tcPr>
          <w:p w14:paraId="277E6335">
            <w:pPr>
              <w:pStyle w:val="13"/>
            </w:pPr>
            <w:r>
              <w:t>规定期间内完成消防设施改造工程</w:t>
            </w:r>
          </w:p>
        </w:tc>
        <w:tc>
          <w:tcPr>
            <w:tcW w:w="2268" w:type="dxa"/>
            <w:vAlign w:val="center"/>
          </w:tcPr>
          <w:p w14:paraId="1C4F1D5F">
            <w:pPr>
              <w:pStyle w:val="13"/>
            </w:pPr>
            <w:r>
              <w:t>100%</w:t>
            </w:r>
          </w:p>
        </w:tc>
        <w:tc>
          <w:tcPr>
            <w:tcW w:w="1276" w:type="dxa"/>
            <w:vAlign w:val="center"/>
          </w:tcPr>
          <w:p w14:paraId="54ECC705">
            <w:pPr>
              <w:pStyle w:val="13"/>
            </w:pPr>
            <w:r>
              <w:t>项目规划</w:t>
            </w:r>
          </w:p>
        </w:tc>
      </w:tr>
      <w:tr w14:paraId="3A823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42099"/>
        </w:tc>
        <w:tc>
          <w:tcPr>
            <w:tcW w:w="2268" w:type="dxa"/>
            <w:vAlign w:val="center"/>
          </w:tcPr>
          <w:p w14:paraId="5843843F">
            <w:pPr>
              <w:pStyle w:val="13"/>
            </w:pPr>
            <w:r>
              <w:t>质量指标</w:t>
            </w:r>
          </w:p>
        </w:tc>
        <w:tc>
          <w:tcPr>
            <w:tcW w:w="2835" w:type="dxa"/>
            <w:vAlign w:val="center"/>
          </w:tcPr>
          <w:p w14:paraId="1C0C3FF1">
            <w:pPr>
              <w:pStyle w:val="13"/>
            </w:pPr>
            <w:r>
              <w:t>消防设施维修改造工程验收合格率</w:t>
            </w:r>
          </w:p>
        </w:tc>
        <w:tc>
          <w:tcPr>
            <w:tcW w:w="5386" w:type="dxa"/>
            <w:vAlign w:val="center"/>
          </w:tcPr>
          <w:p w14:paraId="3DE31D78">
            <w:pPr>
              <w:pStyle w:val="13"/>
            </w:pPr>
            <w:r>
              <w:t>消防设施维修改造工程合格率</w:t>
            </w:r>
          </w:p>
        </w:tc>
        <w:tc>
          <w:tcPr>
            <w:tcW w:w="2268" w:type="dxa"/>
            <w:vAlign w:val="center"/>
          </w:tcPr>
          <w:p w14:paraId="033D7FB5">
            <w:pPr>
              <w:pStyle w:val="13"/>
            </w:pPr>
            <w:r>
              <w:t>100%</w:t>
            </w:r>
          </w:p>
        </w:tc>
        <w:tc>
          <w:tcPr>
            <w:tcW w:w="1276" w:type="dxa"/>
            <w:vAlign w:val="center"/>
          </w:tcPr>
          <w:p w14:paraId="65715BF2">
            <w:pPr>
              <w:pStyle w:val="13"/>
            </w:pPr>
            <w:r>
              <w:t>项目规划</w:t>
            </w:r>
          </w:p>
        </w:tc>
      </w:tr>
      <w:tr w14:paraId="29140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E6DD8"/>
        </w:tc>
        <w:tc>
          <w:tcPr>
            <w:tcW w:w="2268" w:type="dxa"/>
            <w:vAlign w:val="center"/>
          </w:tcPr>
          <w:p w14:paraId="3F804E42">
            <w:pPr>
              <w:pStyle w:val="13"/>
            </w:pPr>
            <w:r>
              <w:t>时效指标</w:t>
            </w:r>
          </w:p>
        </w:tc>
        <w:tc>
          <w:tcPr>
            <w:tcW w:w="2835" w:type="dxa"/>
            <w:vAlign w:val="center"/>
          </w:tcPr>
          <w:p w14:paraId="542F8044">
            <w:pPr>
              <w:pStyle w:val="13"/>
            </w:pPr>
            <w:r>
              <w:t>工程任务完成及时率</w:t>
            </w:r>
          </w:p>
        </w:tc>
        <w:tc>
          <w:tcPr>
            <w:tcW w:w="5386" w:type="dxa"/>
            <w:vAlign w:val="center"/>
          </w:tcPr>
          <w:p w14:paraId="25EF792F">
            <w:pPr>
              <w:pStyle w:val="13"/>
            </w:pPr>
            <w:r>
              <w:t>规定期间内完成</w:t>
            </w:r>
          </w:p>
        </w:tc>
        <w:tc>
          <w:tcPr>
            <w:tcW w:w="2268" w:type="dxa"/>
            <w:vAlign w:val="center"/>
          </w:tcPr>
          <w:p w14:paraId="443570CB">
            <w:pPr>
              <w:pStyle w:val="13"/>
            </w:pPr>
            <w:r>
              <w:t>规定期间内</w:t>
            </w:r>
          </w:p>
        </w:tc>
        <w:tc>
          <w:tcPr>
            <w:tcW w:w="1276" w:type="dxa"/>
            <w:vAlign w:val="center"/>
          </w:tcPr>
          <w:p w14:paraId="2E70D7E5">
            <w:pPr>
              <w:pStyle w:val="13"/>
            </w:pPr>
            <w:r>
              <w:t>项目规划</w:t>
            </w:r>
          </w:p>
        </w:tc>
      </w:tr>
      <w:tr w14:paraId="699AD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0CF35"/>
        </w:tc>
        <w:tc>
          <w:tcPr>
            <w:tcW w:w="2268" w:type="dxa"/>
            <w:vAlign w:val="center"/>
          </w:tcPr>
          <w:p w14:paraId="25FF6F5D">
            <w:pPr>
              <w:pStyle w:val="13"/>
            </w:pPr>
            <w:r>
              <w:t>成本指标</w:t>
            </w:r>
          </w:p>
        </w:tc>
        <w:tc>
          <w:tcPr>
            <w:tcW w:w="2835" w:type="dxa"/>
            <w:vAlign w:val="center"/>
          </w:tcPr>
          <w:p w14:paraId="6BC982EA">
            <w:pPr>
              <w:pStyle w:val="13"/>
            </w:pPr>
            <w:r>
              <w:t>项目实际成本</w:t>
            </w:r>
          </w:p>
        </w:tc>
        <w:tc>
          <w:tcPr>
            <w:tcW w:w="5386" w:type="dxa"/>
            <w:vAlign w:val="center"/>
          </w:tcPr>
          <w:p w14:paraId="5261D4F4">
            <w:pPr>
              <w:pStyle w:val="13"/>
            </w:pPr>
            <w:r>
              <w:t>项目实际成本</w:t>
            </w:r>
          </w:p>
        </w:tc>
        <w:tc>
          <w:tcPr>
            <w:tcW w:w="2268" w:type="dxa"/>
            <w:vAlign w:val="center"/>
          </w:tcPr>
          <w:p w14:paraId="4A2D0CF3">
            <w:pPr>
              <w:pStyle w:val="13"/>
            </w:pPr>
            <w:r>
              <w:t>≤1.73万元</w:t>
            </w:r>
          </w:p>
        </w:tc>
        <w:tc>
          <w:tcPr>
            <w:tcW w:w="1276" w:type="dxa"/>
            <w:vAlign w:val="center"/>
          </w:tcPr>
          <w:p w14:paraId="7C3F1EFF">
            <w:pPr>
              <w:pStyle w:val="13"/>
            </w:pPr>
            <w:r>
              <w:t>项目规划</w:t>
            </w:r>
          </w:p>
        </w:tc>
      </w:tr>
      <w:tr w14:paraId="554AE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EB5DD">
            <w:pPr>
              <w:pStyle w:val="12"/>
            </w:pPr>
            <w:r>
              <w:t>效益指标</w:t>
            </w:r>
          </w:p>
        </w:tc>
        <w:tc>
          <w:tcPr>
            <w:tcW w:w="2268" w:type="dxa"/>
            <w:vAlign w:val="center"/>
          </w:tcPr>
          <w:p w14:paraId="479F357A">
            <w:pPr>
              <w:pStyle w:val="13"/>
            </w:pPr>
            <w:r>
              <w:t>可持续影响指标</w:t>
            </w:r>
          </w:p>
        </w:tc>
        <w:tc>
          <w:tcPr>
            <w:tcW w:w="2835" w:type="dxa"/>
            <w:vAlign w:val="center"/>
          </w:tcPr>
          <w:p w14:paraId="5C1D608A">
            <w:pPr>
              <w:pStyle w:val="13"/>
            </w:pPr>
            <w:r>
              <w:t>保障学校消防安全，提升学生学习生活环境。</w:t>
            </w:r>
          </w:p>
        </w:tc>
        <w:tc>
          <w:tcPr>
            <w:tcW w:w="5386" w:type="dxa"/>
            <w:vAlign w:val="center"/>
          </w:tcPr>
          <w:p w14:paraId="396781B0">
            <w:pPr>
              <w:pStyle w:val="13"/>
            </w:pPr>
            <w:r>
              <w:t>保障学校消防安全，提升学生学习生活环境。</w:t>
            </w:r>
          </w:p>
        </w:tc>
        <w:tc>
          <w:tcPr>
            <w:tcW w:w="2268" w:type="dxa"/>
            <w:vAlign w:val="center"/>
          </w:tcPr>
          <w:p w14:paraId="1E2E3731">
            <w:pPr>
              <w:pStyle w:val="13"/>
            </w:pPr>
            <w:r>
              <w:t>持续提高</w:t>
            </w:r>
          </w:p>
        </w:tc>
        <w:tc>
          <w:tcPr>
            <w:tcW w:w="1276" w:type="dxa"/>
            <w:vAlign w:val="center"/>
          </w:tcPr>
          <w:p w14:paraId="49BED919">
            <w:pPr>
              <w:pStyle w:val="13"/>
            </w:pPr>
            <w:r>
              <w:t>项目规划</w:t>
            </w:r>
          </w:p>
        </w:tc>
      </w:tr>
      <w:tr w14:paraId="6FEA9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33DED9">
            <w:pPr>
              <w:pStyle w:val="12"/>
            </w:pPr>
            <w:r>
              <w:t>满意度指标</w:t>
            </w:r>
          </w:p>
        </w:tc>
        <w:tc>
          <w:tcPr>
            <w:tcW w:w="2268" w:type="dxa"/>
            <w:vAlign w:val="center"/>
          </w:tcPr>
          <w:p w14:paraId="05C58210">
            <w:pPr>
              <w:pStyle w:val="13"/>
            </w:pPr>
            <w:r>
              <w:t>服务对象满意度指标</w:t>
            </w:r>
          </w:p>
        </w:tc>
        <w:tc>
          <w:tcPr>
            <w:tcW w:w="2835" w:type="dxa"/>
            <w:vAlign w:val="center"/>
          </w:tcPr>
          <w:p w14:paraId="105452FA">
            <w:pPr>
              <w:pStyle w:val="13"/>
            </w:pPr>
            <w:r>
              <w:t>学生对学习生活环境满意度</w:t>
            </w:r>
          </w:p>
        </w:tc>
        <w:tc>
          <w:tcPr>
            <w:tcW w:w="5386" w:type="dxa"/>
            <w:vAlign w:val="center"/>
          </w:tcPr>
          <w:p w14:paraId="07F9EED9">
            <w:pPr>
              <w:pStyle w:val="13"/>
            </w:pPr>
            <w:r>
              <w:t>学生学习生活环境满意度</w:t>
            </w:r>
          </w:p>
        </w:tc>
        <w:tc>
          <w:tcPr>
            <w:tcW w:w="2268" w:type="dxa"/>
            <w:vAlign w:val="center"/>
          </w:tcPr>
          <w:p w14:paraId="43A7D4FD">
            <w:pPr>
              <w:pStyle w:val="13"/>
            </w:pPr>
            <w:r>
              <w:t>≥95%</w:t>
            </w:r>
          </w:p>
        </w:tc>
        <w:tc>
          <w:tcPr>
            <w:tcW w:w="1276" w:type="dxa"/>
            <w:vAlign w:val="center"/>
          </w:tcPr>
          <w:p w14:paraId="3A199EFF">
            <w:pPr>
              <w:pStyle w:val="13"/>
            </w:pPr>
            <w:r>
              <w:t>项目规划</w:t>
            </w:r>
          </w:p>
        </w:tc>
      </w:tr>
    </w:tbl>
    <w:p w14:paraId="75C15067">
      <w:pPr>
        <w:sectPr>
          <w:pgSz w:w="16840" w:h="11900" w:orient="landscape"/>
          <w:pgMar w:top="1361" w:right="1020" w:bottom="1134" w:left="1020" w:header="720" w:footer="720" w:gutter="0"/>
          <w:cols w:space="720" w:num="1"/>
        </w:sectPr>
      </w:pPr>
    </w:p>
    <w:p w14:paraId="6AFA967B">
      <w:pPr>
        <w:spacing w:before="10" w:after="10" w:line="240" w:lineRule="auto"/>
        <w:ind w:firstLine="640"/>
        <w:jc w:val="left"/>
        <w:outlineLvl w:val="5"/>
      </w:pPr>
      <w:r>
        <w:rPr>
          <w:rFonts w:ascii="黑体" w:hAnsi="黑体" w:eastAsia="黑体" w:cs="黑体"/>
          <w:color w:val="000000"/>
          <w:sz w:val="32"/>
        </w:rPr>
        <w:t>六、政府采购预算情况</w:t>
      </w:r>
    </w:p>
    <w:p w14:paraId="1A69DD5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602E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B4BBD7E">
            <w:pPr>
              <w:pStyle w:val="8"/>
            </w:pPr>
            <w:r>
              <w:t>360030隆尧县第二实验小学</w:t>
            </w:r>
          </w:p>
        </w:tc>
        <w:tc>
          <w:tcPr>
            <w:tcW w:w="7712" w:type="dxa"/>
            <w:gridSpan w:val="8"/>
            <w:tcBorders>
              <w:top w:val="single" w:color="FFFFFF" w:sz="6" w:space="0"/>
              <w:left w:val="single" w:color="FFFFFF" w:sz="6" w:space="0"/>
              <w:right w:val="single" w:color="FFFFFF" w:sz="6" w:space="0"/>
            </w:tcBorders>
            <w:vAlign w:val="center"/>
          </w:tcPr>
          <w:p w14:paraId="65DA9A07">
            <w:pPr>
              <w:pStyle w:val="22"/>
            </w:pPr>
            <w:r>
              <w:t>单位：万元</w:t>
            </w:r>
          </w:p>
        </w:tc>
      </w:tr>
      <w:tr w14:paraId="6A93D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15EA264">
            <w:pPr>
              <w:pStyle w:val="11"/>
            </w:pPr>
            <w:r>
              <w:t>政府采购项目来源</w:t>
            </w:r>
          </w:p>
        </w:tc>
        <w:tc>
          <w:tcPr>
            <w:tcW w:w="1134" w:type="dxa"/>
            <w:vMerge w:val="restart"/>
            <w:vAlign w:val="center"/>
          </w:tcPr>
          <w:p w14:paraId="0D1BAE8D">
            <w:pPr>
              <w:pStyle w:val="11"/>
            </w:pPr>
            <w:r>
              <w:t>采购物品名称</w:t>
            </w:r>
          </w:p>
        </w:tc>
        <w:tc>
          <w:tcPr>
            <w:tcW w:w="1134" w:type="dxa"/>
            <w:vMerge w:val="restart"/>
            <w:vAlign w:val="center"/>
          </w:tcPr>
          <w:p w14:paraId="34B0F301">
            <w:pPr>
              <w:pStyle w:val="11"/>
            </w:pPr>
            <w:r>
              <w:t>政府采购目录序号</w:t>
            </w:r>
          </w:p>
        </w:tc>
        <w:tc>
          <w:tcPr>
            <w:tcW w:w="709" w:type="dxa"/>
            <w:vMerge w:val="restart"/>
            <w:vAlign w:val="center"/>
          </w:tcPr>
          <w:p w14:paraId="4D4D3207">
            <w:pPr>
              <w:pStyle w:val="11"/>
            </w:pPr>
            <w:r>
              <w:t>计量  单位</w:t>
            </w:r>
          </w:p>
        </w:tc>
        <w:tc>
          <w:tcPr>
            <w:tcW w:w="850" w:type="dxa"/>
            <w:vMerge w:val="restart"/>
            <w:vAlign w:val="center"/>
          </w:tcPr>
          <w:p w14:paraId="498CD944">
            <w:pPr>
              <w:pStyle w:val="11"/>
            </w:pPr>
            <w:r>
              <w:t>数量</w:t>
            </w:r>
          </w:p>
        </w:tc>
        <w:tc>
          <w:tcPr>
            <w:tcW w:w="850" w:type="dxa"/>
            <w:vMerge w:val="restart"/>
            <w:vAlign w:val="center"/>
          </w:tcPr>
          <w:p w14:paraId="7C7F303C">
            <w:pPr>
              <w:pStyle w:val="11"/>
            </w:pPr>
            <w:r>
              <w:t>单价</w:t>
            </w:r>
          </w:p>
        </w:tc>
        <w:tc>
          <w:tcPr>
            <w:tcW w:w="6748" w:type="dxa"/>
            <w:gridSpan w:val="7"/>
            <w:vAlign w:val="center"/>
          </w:tcPr>
          <w:p w14:paraId="34DE9714">
            <w:pPr>
              <w:pStyle w:val="11"/>
            </w:pPr>
            <w:r>
              <w:t>政府采购金额（当年部门预算安排资金）</w:t>
            </w:r>
          </w:p>
        </w:tc>
        <w:tc>
          <w:tcPr>
            <w:tcW w:w="964" w:type="dxa"/>
            <w:vMerge w:val="restart"/>
            <w:vAlign w:val="center"/>
          </w:tcPr>
          <w:p w14:paraId="31D3A9C8">
            <w:pPr>
              <w:pStyle w:val="11"/>
            </w:pPr>
            <w:r>
              <w:t>2025年  预留中  小微企  业份额</w:t>
            </w:r>
          </w:p>
        </w:tc>
      </w:tr>
      <w:tr w14:paraId="71F14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0D1871B">
            <w:pPr>
              <w:pStyle w:val="11"/>
            </w:pPr>
            <w:r>
              <w:t>项目名称</w:t>
            </w:r>
          </w:p>
        </w:tc>
        <w:tc>
          <w:tcPr>
            <w:tcW w:w="964" w:type="dxa"/>
            <w:vAlign w:val="center"/>
          </w:tcPr>
          <w:p w14:paraId="3E6876FB">
            <w:pPr>
              <w:pStyle w:val="11"/>
            </w:pPr>
            <w:r>
              <w:t>预算    资金</w:t>
            </w:r>
          </w:p>
        </w:tc>
        <w:tc>
          <w:tcPr>
            <w:tcW w:w="1134" w:type="dxa"/>
            <w:vMerge w:val="continue"/>
          </w:tcPr>
          <w:p w14:paraId="06A6A7D8"/>
        </w:tc>
        <w:tc>
          <w:tcPr>
            <w:tcW w:w="1134" w:type="dxa"/>
            <w:vMerge w:val="continue"/>
          </w:tcPr>
          <w:p w14:paraId="68255AB9"/>
        </w:tc>
        <w:tc>
          <w:tcPr>
            <w:tcW w:w="709" w:type="dxa"/>
            <w:vMerge w:val="continue"/>
          </w:tcPr>
          <w:p w14:paraId="662FBDC2"/>
        </w:tc>
        <w:tc>
          <w:tcPr>
            <w:tcW w:w="850" w:type="dxa"/>
            <w:vMerge w:val="continue"/>
          </w:tcPr>
          <w:p w14:paraId="5405F9FD"/>
        </w:tc>
        <w:tc>
          <w:tcPr>
            <w:tcW w:w="850" w:type="dxa"/>
            <w:vMerge w:val="continue"/>
          </w:tcPr>
          <w:p w14:paraId="745E2CEE"/>
        </w:tc>
        <w:tc>
          <w:tcPr>
            <w:tcW w:w="964" w:type="dxa"/>
            <w:vAlign w:val="center"/>
          </w:tcPr>
          <w:p w14:paraId="58F4FE84">
            <w:pPr>
              <w:pStyle w:val="11"/>
            </w:pPr>
            <w:r>
              <w:t>合计</w:t>
            </w:r>
          </w:p>
        </w:tc>
        <w:tc>
          <w:tcPr>
            <w:tcW w:w="964" w:type="dxa"/>
            <w:vAlign w:val="center"/>
          </w:tcPr>
          <w:p w14:paraId="15092B1B">
            <w:pPr>
              <w:pStyle w:val="11"/>
            </w:pPr>
            <w:r>
              <w:t>一般公共预算拨款</w:t>
            </w:r>
          </w:p>
        </w:tc>
        <w:tc>
          <w:tcPr>
            <w:tcW w:w="964" w:type="dxa"/>
            <w:vAlign w:val="center"/>
          </w:tcPr>
          <w:p w14:paraId="5871B3A3">
            <w:pPr>
              <w:pStyle w:val="11"/>
            </w:pPr>
            <w:r>
              <w:t>基金预算拨款</w:t>
            </w:r>
          </w:p>
        </w:tc>
        <w:tc>
          <w:tcPr>
            <w:tcW w:w="964" w:type="dxa"/>
            <w:vAlign w:val="center"/>
          </w:tcPr>
          <w:p w14:paraId="0986B992">
            <w:pPr>
              <w:pStyle w:val="11"/>
            </w:pPr>
            <w:r>
              <w:t>国有资本经营预算拨款</w:t>
            </w:r>
          </w:p>
        </w:tc>
        <w:tc>
          <w:tcPr>
            <w:tcW w:w="964" w:type="dxa"/>
            <w:vAlign w:val="center"/>
          </w:tcPr>
          <w:p w14:paraId="251A1572">
            <w:pPr>
              <w:pStyle w:val="11"/>
            </w:pPr>
            <w:r>
              <w:t>财政专户核拨</w:t>
            </w:r>
          </w:p>
        </w:tc>
        <w:tc>
          <w:tcPr>
            <w:tcW w:w="964" w:type="dxa"/>
            <w:vAlign w:val="center"/>
          </w:tcPr>
          <w:p w14:paraId="388DC91A">
            <w:pPr>
              <w:pStyle w:val="11"/>
            </w:pPr>
            <w:r>
              <w:t>单位    资金</w:t>
            </w:r>
          </w:p>
        </w:tc>
        <w:tc>
          <w:tcPr>
            <w:tcW w:w="964" w:type="dxa"/>
            <w:vAlign w:val="center"/>
          </w:tcPr>
          <w:p w14:paraId="714B5C60">
            <w:pPr>
              <w:pStyle w:val="11"/>
            </w:pPr>
            <w:r>
              <w:t>上年结转结余</w:t>
            </w:r>
          </w:p>
        </w:tc>
        <w:tc>
          <w:tcPr>
            <w:tcW w:w="964" w:type="dxa"/>
            <w:vMerge w:val="continue"/>
          </w:tcPr>
          <w:p w14:paraId="2B541250"/>
        </w:tc>
      </w:tr>
      <w:tr w14:paraId="1DD60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32E1BE6B">
            <w:pPr>
              <w:pStyle w:val="15"/>
            </w:pPr>
            <w:r>
              <w:t>合  计</w:t>
            </w:r>
          </w:p>
        </w:tc>
        <w:tc>
          <w:tcPr>
            <w:tcW w:w="964" w:type="dxa"/>
            <w:vAlign w:val="center"/>
          </w:tcPr>
          <w:p w14:paraId="6EDE34FD">
            <w:pPr>
              <w:pStyle w:val="16"/>
            </w:pPr>
          </w:p>
        </w:tc>
        <w:tc>
          <w:tcPr>
            <w:tcW w:w="1134" w:type="dxa"/>
            <w:vAlign w:val="center"/>
          </w:tcPr>
          <w:p w14:paraId="494DBCD9">
            <w:pPr>
              <w:pStyle w:val="17"/>
            </w:pPr>
          </w:p>
        </w:tc>
        <w:tc>
          <w:tcPr>
            <w:tcW w:w="1134" w:type="dxa"/>
            <w:vAlign w:val="center"/>
          </w:tcPr>
          <w:p w14:paraId="2B685D52">
            <w:pPr>
              <w:pStyle w:val="17"/>
            </w:pPr>
          </w:p>
        </w:tc>
        <w:tc>
          <w:tcPr>
            <w:tcW w:w="709" w:type="dxa"/>
            <w:vAlign w:val="center"/>
          </w:tcPr>
          <w:p w14:paraId="0336F9FE">
            <w:pPr>
              <w:pStyle w:val="15"/>
            </w:pPr>
          </w:p>
        </w:tc>
        <w:tc>
          <w:tcPr>
            <w:tcW w:w="850" w:type="dxa"/>
            <w:vAlign w:val="center"/>
          </w:tcPr>
          <w:p w14:paraId="490AC7F2">
            <w:pPr>
              <w:pStyle w:val="16"/>
            </w:pPr>
          </w:p>
        </w:tc>
        <w:tc>
          <w:tcPr>
            <w:tcW w:w="850" w:type="dxa"/>
            <w:vAlign w:val="center"/>
          </w:tcPr>
          <w:p w14:paraId="1F1345D4">
            <w:pPr>
              <w:pStyle w:val="16"/>
            </w:pPr>
          </w:p>
        </w:tc>
        <w:tc>
          <w:tcPr>
            <w:tcW w:w="964" w:type="dxa"/>
            <w:vAlign w:val="center"/>
          </w:tcPr>
          <w:p w14:paraId="4D9DE602">
            <w:pPr>
              <w:pStyle w:val="16"/>
            </w:pPr>
            <w:r>
              <w:t>4.89</w:t>
            </w:r>
          </w:p>
        </w:tc>
        <w:tc>
          <w:tcPr>
            <w:tcW w:w="964" w:type="dxa"/>
            <w:vAlign w:val="center"/>
          </w:tcPr>
          <w:p w14:paraId="41E2510F">
            <w:pPr>
              <w:pStyle w:val="16"/>
            </w:pPr>
            <w:r>
              <w:t>4.89</w:t>
            </w:r>
          </w:p>
        </w:tc>
        <w:tc>
          <w:tcPr>
            <w:tcW w:w="964" w:type="dxa"/>
            <w:vAlign w:val="center"/>
          </w:tcPr>
          <w:p w14:paraId="33B26820">
            <w:pPr>
              <w:pStyle w:val="16"/>
            </w:pPr>
          </w:p>
        </w:tc>
        <w:tc>
          <w:tcPr>
            <w:tcW w:w="964" w:type="dxa"/>
            <w:vAlign w:val="center"/>
          </w:tcPr>
          <w:p w14:paraId="55579AC8">
            <w:pPr>
              <w:pStyle w:val="16"/>
            </w:pPr>
          </w:p>
        </w:tc>
        <w:tc>
          <w:tcPr>
            <w:tcW w:w="964" w:type="dxa"/>
            <w:vAlign w:val="center"/>
          </w:tcPr>
          <w:p w14:paraId="1B15044F">
            <w:pPr>
              <w:pStyle w:val="16"/>
            </w:pPr>
          </w:p>
        </w:tc>
        <w:tc>
          <w:tcPr>
            <w:tcW w:w="964" w:type="dxa"/>
            <w:vAlign w:val="center"/>
          </w:tcPr>
          <w:p w14:paraId="6B2B4522">
            <w:pPr>
              <w:pStyle w:val="16"/>
            </w:pPr>
          </w:p>
        </w:tc>
        <w:tc>
          <w:tcPr>
            <w:tcW w:w="964" w:type="dxa"/>
            <w:vAlign w:val="center"/>
          </w:tcPr>
          <w:p w14:paraId="385B0293">
            <w:pPr>
              <w:pStyle w:val="16"/>
            </w:pPr>
          </w:p>
        </w:tc>
        <w:tc>
          <w:tcPr>
            <w:tcW w:w="964" w:type="dxa"/>
            <w:vAlign w:val="center"/>
          </w:tcPr>
          <w:p w14:paraId="62DEC749">
            <w:pPr>
              <w:pStyle w:val="16"/>
            </w:pPr>
            <w:r>
              <w:t>4.89</w:t>
            </w:r>
          </w:p>
        </w:tc>
      </w:tr>
      <w:tr w14:paraId="5F9B1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F70D3F">
            <w:pPr>
              <w:pStyle w:val="15"/>
            </w:pPr>
            <w:r>
              <w:t>隆尧县第二实验小学小计</w:t>
            </w:r>
          </w:p>
        </w:tc>
        <w:tc>
          <w:tcPr>
            <w:tcW w:w="964" w:type="dxa"/>
            <w:vAlign w:val="center"/>
          </w:tcPr>
          <w:p w14:paraId="096C50BF">
            <w:pPr>
              <w:pStyle w:val="16"/>
            </w:pPr>
          </w:p>
        </w:tc>
        <w:tc>
          <w:tcPr>
            <w:tcW w:w="1134" w:type="dxa"/>
            <w:vAlign w:val="center"/>
          </w:tcPr>
          <w:p w14:paraId="0FCE1690">
            <w:pPr>
              <w:pStyle w:val="17"/>
            </w:pPr>
          </w:p>
        </w:tc>
        <w:tc>
          <w:tcPr>
            <w:tcW w:w="1134" w:type="dxa"/>
            <w:vAlign w:val="center"/>
          </w:tcPr>
          <w:p w14:paraId="3272AC76">
            <w:pPr>
              <w:pStyle w:val="17"/>
            </w:pPr>
          </w:p>
        </w:tc>
        <w:tc>
          <w:tcPr>
            <w:tcW w:w="709" w:type="dxa"/>
            <w:vAlign w:val="center"/>
          </w:tcPr>
          <w:p w14:paraId="06B6BB07">
            <w:pPr>
              <w:pStyle w:val="15"/>
            </w:pPr>
          </w:p>
        </w:tc>
        <w:tc>
          <w:tcPr>
            <w:tcW w:w="850" w:type="dxa"/>
            <w:vAlign w:val="center"/>
          </w:tcPr>
          <w:p w14:paraId="228F5E05">
            <w:pPr>
              <w:pStyle w:val="16"/>
            </w:pPr>
          </w:p>
        </w:tc>
        <w:tc>
          <w:tcPr>
            <w:tcW w:w="850" w:type="dxa"/>
            <w:vAlign w:val="center"/>
          </w:tcPr>
          <w:p w14:paraId="1F1FD568">
            <w:pPr>
              <w:pStyle w:val="16"/>
            </w:pPr>
          </w:p>
        </w:tc>
        <w:tc>
          <w:tcPr>
            <w:tcW w:w="964" w:type="dxa"/>
            <w:vAlign w:val="center"/>
          </w:tcPr>
          <w:p w14:paraId="26C41D93">
            <w:pPr>
              <w:pStyle w:val="16"/>
            </w:pPr>
            <w:r>
              <w:t>4.89</w:t>
            </w:r>
          </w:p>
        </w:tc>
        <w:tc>
          <w:tcPr>
            <w:tcW w:w="964" w:type="dxa"/>
            <w:vAlign w:val="center"/>
          </w:tcPr>
          <w:p w14:paraId="3A65611E">
            <w:pPr>
              <w:pStyle w:val="16"/>
            </w:pPr>
            <w:r>
              <w:t>4.89</w:t>
            </w:r>
          </w:p>
        </w:tc>
        <w:tc>
          <w:tcPr>
            <w:tcW w:w="964" w:type="dxa"/>
            <w:vAlign w:val="center"/>
          </w:tcPr>
          <w:p w14:paraId="3479A3A9">
            <w:pPr>
              <w:pStyle w:val="16"/>
            </w:pPr>
          </w:p>
        </w:tc>
        <w:tc>
          <w:tcPr>
            <w:tcW w:w="964" w:type="dxa"/>
            <w:vAlign w:val="center"/>
          </w:tcPr>
          <w:p w14:paraId="0D20FC1A">
            <w:pPr>
              <w:pStyle w:val="16"/>
            </w:pPr>
          </w:p>
        </w:tc>
        <w:tc>
          <w:tcPr>
            <w:tcW w:w="964" w:type="dxa"/>
            <w:vAlign w:val="center"/>
          </w:tcPr>
          <w:p w14:paraId="7791C7EC">
            <w:pPr>
              <w:pStyle w:val="16"/>
            </w:pPr>
          </w:p>
        </w:tc>
        <w:tc>
          <w:tcPr>
            <w:tcW w:w="964" w:type="dxa"/>
            <w:vAlign w:val="center"/>
          </w:tcPr>
          <w:p w14:paraId="4EDD346B">
            <w:pPr>
              <w:pStyle w:val="16"/>
            </w:pPr>
          </w:p>
        </w:tc>
        <w:tc>
          <w:tcPr>
            <w:tcW w:w="964" w:type="dxa"/>
            <w:vAlign w:val="center"/>
          </w:tcPr>
          <w:p w14:paraId="4888EA80">
            <w:pPr>
              <w:pStyle w:val="16"/>
            </w:pPr>
          </w:p>
        </w:tc>
        <w:tc>
          <w:tcPr>
            <w:tcW w:w="964" w:type="dxa"/>
            <w:vAlign w:val="center"/>
          </w:tcPr>
          <w:p w14:paraId="595723EA">
            <w:pPr>
              <w:pStyle w:val="16"/>
            </w:pPr>
            <w:r>
              <w:t>4.89</w:t>
            </w:r>
          </w:p>
        </w:tc>
      </w:tr>
      <w:tr w14:paraId="7BA38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A03D22">
            <w:pPr>
              <w:pStyle w:val="13"/>
            </w:pPr>
            <w:r>
              <w:t>冀财教[2024]141号/省级/2025年义教补助经费/第二实验小学公用经费</w:t>
            </w:r>
          </w:p>
        </w:tc>
        <w:tc>
          <w:tcPr>
            <w:tcW w:w="964" w:type="dxa"/>
            <w:vAlign w:val="center"/>
          </w:tcPr>
          <w:p w14:paraId="560227A6">
            <w:pPr>
              <w:pStyle w:val="14"/>
            </w:pPr>
            <w:r>
              <w:t>127.37</w:t>
            </w:r>
          </w:p>
        </w:tc>
        <w:tc>
          <w:tcPr>
            <w:tcW w:w="1134" w:type="dxa"/>
            <w:vAlign w:val="center"/>
          </w:tcPr>
          <w:p w14:paraId="34A3E150">
            <w:pPr>
              <w:pStyle w:val="13"/>
            </w:pPr>
            <w:r>
              <w:t>多功能一体机</w:t>
            </w:r>
          </w:p>
        </w:tc>
        <w:tc>
          <w:tcPr>
            <w:tcW w:w="1134" w:type="dxa"/>
            <w:vAlign w:val="center"/>
          </w:tcPr>
          <w:p w14:paraId="17CA2AF2">
            <w:pPr>
              <w:pStyle w:val="13"/>
            </w:pPr>
            <w:r>
              <w:t>A02020400</w:t>
            </w:r>
          </w:p>
        </w:tc>
        <w:tc>
          <w:tcPr>
            <w:tcW w:w="709" w:type="dxa"/>
            <w:vAlign w:val="center"/>
          </w:tcPr>
          <w:p w14:paraId="699FB499">
            <w:pPr>
              <w:pStyle w:val="12"/>
            </w:pPr>
            <w:r>
              <w:t>台</w:t>
            </w:r>
          </w:p>
        </w:tc>
        <w:tc>
          <w:tcPr>
            <w:tcW w:w="850" w:type="dxa"/>
            <w:vAlign w:val="center"/>
          </w:tcPr>
          <w:p w14:paraId="2DD1C327">
            <w:pPr>
              <w:pStyle w:val="14"/>
            </w:pPr>
            <w:r>
              <w:t>1</w:t>
            </w:r>
          </w:p>
        </w:tc>
        <w:tc>
          <w:tcPr>
            <w:tcW w:w="850" w:type="dxa"/>
            <w:vAlign w:val="center"/>
          </w:tcPr>
          <w:p w14:paraId="77C5B2F8">
            <w:pPr>
              <w:pStyle w:val="14"/>
            </w:pPr>
            <w:r>
              <w:t>1.89</w:t>
            </w:r>
          </w:p>
        </w:tc>
        <w:tc>
          <w:tcPr>
            <w:tcW w:w="964" w:type="dxa"/>
            <w:vAlign w:val="center"/>
          </w:tcPr>
          <w:p w14:paraId="3D2E5D16">
            <w:pPr>
              <w:pStyle w:val="14"/>
            </w:pPr>
            <w:r>
              <w:t>1.89</w:t>
            </w:r>
          </w:p>
        </w:tc>
        <w:tc>
          <w:tcPr>
            <w:tcW w:w="964" w:type="dxa"/>
            <w:vAlign w:val="center"/>
          </w:tcPr>
          <w:p w14:paraId="25F18C5C">
            <w:pPr>
              <w:pStyle w:val="14"/>
            </w:pPr>
            <w:r>
              <w:t>1.89</w:t>
            </w:r>
          </w:p>
        </w:tc>
        <w:tc>
          <w:tcPr>
            <w:tcW w:w="964" w:type="dxa"/>
            <w:vAlign w:val="center"/>
          </w:tcPr>
          <w:p w14:paraId="678F08FC">
            <w:pPr>
              <w:pStyle w:val="14"/>
            </w:pPr>
          </w:p>
        </w:tc>
        <w:tc>
          <w:tcPr>
            <w:tcW w:w="964" w:type="dxa"/>
            <w:vAlign w:val="center"/>
          </w:tcPr>
          <w:p w14:paraId="5E3FF626">
            <w:pPr>
              <w:pStyle w:val="14"/>
            </w:pPr>
          </w:p>
        </w:tc>
        <w:tc>
          <w:tcPr>
            <w:tcW w:w="964" w:type="dxa"/>
            <w:vAlign w:val="center"/>
          </w:tcPr>
          <w:p w14:paraId="2CD05C98">
            <w:pPr>
              <w:pStyle w:val="14"/>
            </w:pPr>
          </w:p>
        </w:tc>
        <w:tc>
          <w:tcPr>
            <w:tcW w:w="964" w:type="dxa"/>
            <w:vAlign w:val="center"/>
          </w:tcPr>
          <w:p w14:paraId="54ABB033">
            <w:pPr>
              <w:pStyle w:val="14"/>
            </w:pPr>
          </w:p>
        </w:tc>
        <w:tc>
          <w:tcPr>
            <w:tcW w:w="964" w:type="dxa"/>
            <w:vAlign w:val="center"/>
          </w:tcPr>
          <w:p w14:paraId="79634CE9">
            <w:pPr>
              <w:pStyle w:val="14"/>
            </w:pPr>
          </w:p>
        </w:tc>
        <w:tc>
          <w:tcPr>
            <w:tcW w:w="964" w:type="dxa"/>
            <w:vAlign w:val="center"/>
          </w:tcPr>
          <w:p w14:paraId="2B832C72">
            <w:pPr>
              <w:pStyle w:val="14"/>
            </w:pPr>
            <w:r>
              <w:t>1.89</w:t>
            </w:r>
          </w:p>
        </w:tc>
      </w:tr>
      <w:tr w14:paraId="3B506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48EFB4">
            <w:pPr>
              <w:pStyle w:val="13"/>
            </w:pPr>
            <w:r>
              <w:t>冀财教[2024]141号/省级/2025年义教补助经费/第二实验小学公用经费</w:t>
            </w:r>
          </w:p>
        </w:tc>
        <w:tc>
          <w:tcPr>
            <w:tcW w:w="964" w:type="dxa"/>
            <w:vAlign w:val="center"/>
          </w:tcPr>
          <w:p w14:paraId="30D4847D">
            <w:pPr>
              <w:pStyle w:val="14"/>
            </w:pPr>
            <w:r>
              <w:t>127.37</w:t>
            </w:r>
          </w:p>
        </w:tc>
        <w:tc>
          <w:tcPr>
            <w:tcW w:w="1134" w:type="dxa"/>
            <w:vAlign w:val="center"/>
          </w:tcPr>
          <w:p w14:paraId="49FD7A1A">
            <w:pPr>
              <w:pStyle w:val="13"/>
            </w:pPr>
            <w:r>
              <w:t>空调机</w:t>
            </w:r>
          </w:p>
        </w:tc>
        <w:tc>
          <w:tcPr>
            <w:tcW w:w="1134" w:type="dxa"/>
            <w:vAlign w:val="center"/>
          </w:tcPr>
          <w:p w14:paraId="026ECDAE">
            <w:pPr>
              <w:pStyle w:val="13"/>
            </w:pPr>
            <w:r>
              <w:t>A02061804</w:t>
            </w:r>
          </w:p>
        </w:tc>
        <w:tc>
          <w:tcPr>
            <w:tcW w:w="709" w:type="dxa"/>
            <w:vAlign w:val="center"/>
          </w:tcPr>
          <w:p w14:paraId="79EE707C">
            <w:pPr>
              <w:pStyle w:val="12"/>
            </w:pPr>
            <w:r>
              <w:t>台</w:t>
            </w:r>
          </w:p>
        </w:tc>
        <w:tc>
          <w:tcPr>
            <w:tcW w:w="850" w:type="dxa"/>
            <w:vAlign w:val="center"/>
          </w:tcPr>
          <w:p w14:paraId="32331207">
            <w:pPr>
              <w:pStyle w:val="14"/>
            </w:pPr>
            <w:r>
              <w:t>5</w:t>
            </w:r>
          </w:p>
        </w:tc>
        <w:tc>
          <w:tcPr>
            <w:tcW w:w="850" w:type="dxa"/>
            <w:vAlign w:val="center"/>
          </w:tcPr>
          <w:p w14:paraId="0852CABD">
            <w:pPr>
              <w:pStyle w:val="14"/>
            </w:pPr>
            <w:r>
              <w:t>0.60</w:t>
            </w:r>
          </w:p>
        </w:tc>
        <w:tc>
          <w:tcPr>
            <w:tcW w:w="964" w:type="dxa"/>
            <w:vAlign w:val="center"/>
          </w:tcPr>
          <w:p w14:paraId="29EF9F97">
            <w:pPr>
              <w:pStyle w:val="14"/>
            </w:pPr>
            <w:r>
              <w:t>3.00</w:t>
            </w:r>
          </w:p>
        </w:tc>
        <w:tc>
          <w:tcPr>
            <w:tcW w:w="964" w:type="dxa"/>
            <w:vAlign w:val="center"/>
          </w:tcPr>
          <w:p w14:paraId="3DA157A0">
            <w:pPr>
              <w:pStyle w:val="14"/>
            </w:pPr>
            <w:r>
              <w:t>3.00</w:t>
            </w:r>
          </w:p>
        </w:tc>
        <w:tc>
          <w:tcPr>
            <w:tcW w:w="964" w:type="dxa"/>
            <w:vAlign w:val="center"/>
          </w:tcPr>
          <w:p w14:paraId="23F979A6">
            <w:pPr>
              <w:pStyle w:val="14"/>
            </w:pPr>
          </w:p>
        </w:tc>
        <w:tc>
          <w:tcPr>
            <w:tcW w:w="964" w:type="dxa"/>
            <w:vAlign w:val="center"/>
          </w:tcPr>
          <w:p w14:paraId="4501A6A6">
            <w:pPr>
              <w:pStyle w:val="14"/>
            </w:pPr>
          </w:p>
        </w:tc>
        <w:tc>
          <w:tcPr>
            <w:tcW w:w="964" w:type="dxa"/>
            <w:vAlign w:val="center"/>
          </w:tcPr>
          <w:p w14:paraId="2D6F4E29">
            <w:pPr>
              <w:pStyle w:val="14"/>
            </w:pPr>
          </w:p>
        </w:tc>
        <w:tc>
          <w:tcPr>
            <w:tcW w:w="964" w:type="dxa"/>
            <w:vAlign w:val="center"/>
          </w:tcPr>
          <w:p w14:paraId="55DA2E6C">
            <w:pPr>
              <w:pStyle w:val="14"/>
            </w:pPr>
          </w:p>
        </w:tc>
        <w:tc>
          <w:tcPr>
            <w:tcW w:w="964" w:type="dxa"/>
            <w:vAlign w:val="center"/>
          </w:tcPr>
          <w:p w14:paraId="3FADAD02">
            <w:pPr>
              <w:pStyle w:val="14"/>
            </w:pPr>
          </w:p>
        </w:tc>
        <w:tc>
          <w:tcPr>
            <w:tcW w:w="964" w:type="dxa"/>
            <w:vAlign w:val="center"/>
          </w:tcPr>
          <w:p w14:paraId="5C4629AE">
            <w:pPr>
              <w:pStyle w:val="14"/>
            </w:pPr>
            <w:r>
              <w:t>3.00</w:t>
            </w:r>
          </w:p>
        </w:tc>
      </w:tr>
    </w:tbl>
    <w:p w14:paraId="51F28F6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7DA9AA">
      <w:pPr>
        <w:spacing w:before="0" w:after="0"/>
        <w:ind w:firstLine="640"/>
        <w:jc w:val="left"/>
        <w:outlineLvl w:val="9"/>
      </w:pPr>
      <w:r>
        <w:rPr>
          <w:rFonts w:ascii="Times New Roman" w:hAnsi="Times New Roman" w:eastAsia="方正仿宋_GBK" w:cs="Times New Roman"/>
          <w:color w:val="000000"/>
          <w:sz w:val="32"/>
        </w:rPr>
        <w:t xml:space="preserve"> </w:t>
      </w:r>
    </w:p>
    <w:p w14:paraId="48D96EE4">
      <w:pPr>
        <w:spacing w:before="10" w:after="10" w:line="240" w:lineRule="auto"/>
        <w:ind w:firstLine="640"/>
        <w:jc w:val="left"/>
        <w:outlineLvl w:val="5"/>
      </w:pPr>
      <w:r>
        <w:rPr>
          <w:rFonts w:ascii="黑体" w:hAnsi="黑体" w:eastAsia="黑体" w:cs="黑体"/>
          <w:color w:val="000000"/>
          <w:sz w:val="32"/>
        </w:rPr>
        <w:t>七、国有资产信息</w:t>
      </w:r>
    </w:p>
    <w:p w14:paraId="3EA31B69">
      <w:pPr>
        <w:spacing w:before="0" w:after="0" w:line="500" w:lineRule="exact"/>
        <w:ind w:firstLine="560"/>
        <w:jc w:val="left"/>
        <w:outlineLvl w:val="9"/>
      </w:pPr>
      <w:r>
        <w:rPr>
          <w:rFonts w:ascii="Times New Roman" w:hAnsi="Times New Roman" w:eastAsia="方正仿宋_GBK" w:cs="Times New Roman"/>
          <w:b w:val="0"/>
          <w:color w:val="000000"/>
          <w:sz w:val="28"/>
        </w:rPr>
        <w:t>隆尧县第二实验小学上年末固定资产金额为4015.88万元（详见下表）。本年度拟购置固定资产总额为65.30万元，已按要求列入政府采购预算，详见政府采购预算表。</w:t>
      </w:r>
    </w:p>
    <w:p w14:paraId="05F79A7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0DAF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A130481">
            <w:pPr>
              <w:pStyle w:val="8"/>
            </w:pPr>
            <w:r>
              <w:t>360030隆尧县第二实验小学</w:t>
            </w:r>
          </w:p>
        </w:tc>
        <w:tc>
          <w:tcPr>
            <w:tcW w:w="5670" w:type="dxa"/>
            <w:gridSpan w:val="2"/>
            <w:tcBorders>
              <w:top w:val="single" w:color="FFFFFF" w:sz="6" w:space="0"/>
              <w:left w:val="single" w:color="FFFFFF" w:sz="6" w:space="0"/>
              <w:right w:val="single" w:color="FFFFFF" w:sz="6" w:space="0"/>
            </w:tcBorders>
            <w:vAlign w:val="center"/>
          </w:tcPr>
          <w:p w14:paraId="20149E3C">
            <w:pPr>
              <w:pStyle w:val="10"/>
            </w:pPr>
            <w:r>
              <w:t>截止时间：2024-12-31</w:t>
            </w:r>
          </w:p>
        </w:tc>
      </w:tr>
      <w:tr w14:paraId="44838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A842AA5">
            <w:pPr>
              <w:pStyle w:val="11"/>
            </w:pPr>
            <w:r>
              <w:t>项   目</w:t>
            </w:r>
          </w:p>
        </w:tc>
        <w:tc>
          <w:tcPr>
            <w:tcW w:w="2835" w:type="dxa"/>
            <w:vAlign w:val="center"/>
          </w:tcPr>
          <w:p w14:paraId="49D042A9">
            <w:pPr>
              <w:pStyle w:val="11"/>
            </w:pPr>
            <w:r>
              <w:t>数量</w:t>
            </w:r>
          </w:p>
        </w:tc>
        <w:tc>
          <w:tcPr>
            <w:tcW w:w="2835" w:type="dxa"/>
            <w:vAlign w:val="center"/>
          </w:tcPr>
          <w:p w14:paraId="7BF492FD">
            <w:pPr>
              <w:pStyle w:val="11"/>
            </w:pPr>
            <w:r>
              <w:t>价值（金额单位：万元）</w:t>
            </w:r>
          </w:p>
        </w:tc>
      </w:tr>
      <w:tr w14:paraId="2ADAE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BC2C5C">
            <w:pPr>
              <w:pStyle w:val="13"/>
            </w:pPr>
            <w:r>
              <w:t>资产总额</w:t>
            </w:r>
          </w:p>
        </w:tc>
        <w:tc>
          <w:tcPr>
            <w:tcW w:w="2835" w:type="dxa"/>
            <w:vAlign w:val="center"/>
          </w:tcPr>
          <w:p w14:paraId="0D62A34E">
            <w:pPr>
              <w:pStyle w:val="12"/>
            </w:pPr>
          </w:p>
        </w:tc>
        <w:tc>
          <w:tcPr>
            <w:tcW w:w="2835" w:type="dxa"/>
            <w:vAlign w:val="center"/>
          </w:tcPr>
          <w:p w14:paraId="466FA4AD">
            <w:pPr>
              <w:pStyle w:val="14"/>
            </w:pPr>
            <w:r>
              <w:t>4015.88</w:t>
            </w:r>
          </w:p>
        </w:tc>
      </w:tr>
      <w:tr w14:paraId="5155E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DADD2F">
            <w:pPr>
              <w:pStyle w:val="13"/>
            </w:pPr>
            <w:r>
              <w:t>1、房屋（平方米）</w:t>
            </w:r>
          </w:p>
        </w:tc>
        <w:tc>
          <w:tcPr>
            <w:tcW w:w="2835" w:type="dxa"/>
            <w:vAlign w:val="center"/>
          </w:tcPr>
          <w:p w14:paraId="22F431C6">
            <w:pPr>
              <w:pStyle w:val="12"/>
            </w:pPr>
            <w:r>
              <w:t>31548</w:t>
            </w:r>
          </w:p>
        </w:tc>
        <w:tc>
          <w:tcPr>
            <w:tcW w:w="2835" w:type="dxa"/>
            <w:vAlign w:val="center"/>
          </w:tcPr>
          <w:p w14:paraId="210AFA25">
            <w:pPr>
              <w:pStyle w:val="14"/>
            </w:pPr>
            <w:r>
              <w:t>2960.29</w:t>
            </w:r>
          </w:p>
        </w:tc>
      </w:tr>
      <w:tr w14:paraId="358A4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F7FE95">
            <w:pPr>
              <w:pStyle w:val="13"/>
            </w:pPr>
            <w:r>
              <w:t>　　其中：办公用房（平方米）</w:t>
            </w:r>
          </w:p>
        </w:tc>
        <w:tc>
          <w:tcPr>
            <w:tcW w:w="2835" w:type="dxa"/>
            <w:vAlign w:val="center"/>
          </w:tcPr>
          <w:p w14:paraId="0B27D6D7">
            <w:pPr>
              <w:pStyle w:val="12"/>
            </w:pPr>
            <w:r>
              <w:t>10000</w:t>
            </w:r>
          </w:p>
        </w:tc>
        <w:tc>
          <w:tcPr>
            <w:tcW w:w="2835" w:type="dxa"/>
            <w:vAlign w:val="center"/>
          </w:tcPr>
          <w:p w14:paraId="750D25E1">
            <w:pPr>
              <w:pStyle w:val="14"/>
            </w:pPr>
            <w:r>
              <w:t>878.11</w:t>
            </w:r>
          </w:p>
        </w:tc>
      </w:tr>
      <w:tr w14:paraId="05F16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6782B9">
            <w:pPr>
              <w:pStyle w:val="13"/>
            </w:pPr>
            <w:r>
              <w:t>2、车辆（台、辆）</w:t>
            </w:r>
          </w:p>
        </w:tc>
        <w:tc>
          <w:tcPr>
            <w:tcW w:w="2835" w:type="dxa"/>
            <w:vAlign w:val="center"/>
          </w:tcPr>
          <w:p w14:paraId="24ED9260">
            <w:pPr>
              <w:pStyle w:val="12"/>
            </w:pPr>
          </w:p>
        </w:tc>
        <w:tc>
          <w:tcPr>
            <w:tcW w:w="2835" w:type="dxa"/>
            <w:vAlign w:val="center"/>
          </w:tcPr>
          <w:p w14:paraId="6F2EE0EF">
            <w:pPr>
              <w:pStyle w:val="14"/>
            </w:pPr>
          </w:p>
        </w:tc>
      </w:tr>
      <w:tr w14:paraId="6AC0B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72EE05">
            <w:pPr>
              <w:pStyle w:val="13"/>
            </w:pPr>
            <w:r>
              <w:t>3、单价在20万元以上的设备</w:t>
            </w:r>
          </w:p>
        </w:tc>
        <w:tc>
          <w:tcPr>
            <w:tcW w:w="2835" w:type="dxa"/>
            <w:vAlign w:val="center"/>
          </w:tcPr>
          <w:p w14:paraId="450134BA">
            <w:pPr>
              <w:pStyle w:val="12"/>
            </w:pPr>
          </w:p>
        </w:tc>
        <w:tc>
          <w:tcPr>
            <w:tcW w:w="2835" w:type="dxa"/>
            <w:vAlign w:val="center"/>
          </w:tcPr>
          <w:p w14:paraId="6873778A">
            <w:pPr>
              <w:pStyle w:val="14"/>
            </w:pPr>
          </w:p>
        </w:tc>
      </w:tr>
      <w:tr w14:paraId="69ACE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459858">
            <w:pPr>
              <w:pStyle w:val="13"/>
            </w:pPr>
            <w:r>
              <w:t>4、其他固定资产</w:t>
            </w:r>
          </w:p>
        </w:tc>
        <w:tc>
          <w:tcPr>
            <w:tcW w:w="2835" w:type="dxa"/>
            <w:vAlign w:val="center"/>
          </w:tcPr>
          <w:p w14:paraId="18D51A20">
            <w:pPr>
              <w:pStyle w:val="12"/>
            </w:pPr>
            <w:r>
              <w:t>41</w:t>
            </w:r>
          </w:p>
        </w:tc>
        <w:tc>
          <w:tcPr>
            <w:tcW w:w="2835" w:type="dxa"/>
            <w:vAlign w:val="center"/>
          </w:tcPr>
          <w:p w14:paraId="6895FCC7">
            <w:pPr>
              <w:pStyle w:val="14"/>
            </w:pPr>
            <w:r>
              <w:t>1055.59</w:t>
            </w:r>
          </w:p>
        </w:tc>
      </w:tr>
    </w:tbl>
    <w:p w14:paraId="0C6C58BB">
      <w:pPr>
        <w:spacing w:before="0" w:after="0"/>
        <w:ind w:firstLine="640"/>
        <w:jc w:val="left"/>
        <w:outlineLvl w:val="9"/>
      </w:pPr>
      <w:r>
        <w:rPr>
          <w:rFonts w:ascii="Times New Roman" w:hAnsi="Times New Roman" w:eastAsia="方正仿宋_GBK" w:cs="Times New Roman"/>
          <w:color w:val="000000"/>
          <w:sz w:val="32"/>
        </w:rPr>
        <w:t xml:space="preserve"> </w:t>
      </w:r>
    </w:p>
    <w:p w14:paraId="6CD047A9">
      <w:pPr>
        <w:spacing w:before="10" w:after="10" w:line="240" w:lineRule="auto"/>
        <w:ind w:firstLine="640"/>
        <w:jc w:val="left"/>
        <w:outlineLvl w:val="5"/>
      </w:pPr>
      <w:r>
        <w:rPr>
          <w:rFonts w:ascii="黑体" w:hAnsi="黑体" w:eastAsia="黑体" w:cs="黑体"/>
          <w:color w:val="000000"/>
          <w:sz w:val="32"/>
        </w:rPr>
        <w:t>八、名词解释</w:t>
      </w:r>
    </w:p>
    <w:p w14:paraId="2E9479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16A65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EB44A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777D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C77BC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4115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29C1C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37507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8D46D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20049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2F6939">
      <w:pPr>
        <w:spacing w:before="10" w:after="10" w:line="240" w:lineRule="auto"/>
        <w:ind w:firstLine="640"/>
        <w:jc w:val="left"/>
        <w:outlineLvl w:val="5"/>
      </w:pPr>
      <w:r>
        <w:rPr>
          <w:rFonts w:ascii="黑体" w:hAnsi="黑体" w:eastAsia="黑体" w:cs="黑体"/>
          <w:color w:val="000000"/>
          <w:sz w:val="32"/>
        </w:rPr>
        <w:t>九、其他需要说明的事项</w:t>
      </w:r>
    </w:p>
    <w:p w14:paraId="74697A4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8B256F">
      <w:pPr>
        <w:spacing w:before="0" w:after="0"/>
        <w:ind w:firstLine="0"/>
        <w:jc w:val="center"/>
        <w:outlineLvl w:val="3"/>
      </w:pPr>
      <w:bookmarkStart w:id="30" w:name="_Toc_4_4_0000000050"/>
      <w:r>
        <w:rPr>
          <w:rFonts w:ascii="方正小标宋_GBK" w:hAnsi="方正小标宋_GBK" w:eastAsia="方正小标宋_GBK" w:cs="方正小标宋_GBK"/>
          <w:b w:val="0"/>
          <w:color w:val="000000"/>
          <w:sz w:val="44"/>
        </w:rPr>
        <w:t>三十、隆尧县北楼中学收支预算</w:t>
      </w:r>
      <w:bookmarkEnd w:id="30"/>
    </w:p>
    <w:p w14:paraId="6E8708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015D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23F9B9A">
            <w:pPr>
              <w:pStyle w:val="8"/>
            </w:pPr>
            <w:r>
              <w:t>360031隆尧县北楼中学</w:t>
            </w:r>
          </w:p>
        </w:tc>
        <w:tc>
          <w:tcPr>
            <w:tcW w:w="2126" w:type="dxa"/>
            <w:tcBorders>
              <w:top w:val="single" w:color="FFFFFF" w:sz="6" w:space="0"/>
              <w:left w:val="single" w:color="FFFFFF" w:sz="6" w:space="0"/>
              <w:right w:val="single" w:color="FFFFFF" w:sz="6" w:space="0"/>
            </w:tcBorders>
            <w:vAlign w:val="center"/>
          </w:tcPr>
          <w:p w14:paraId="5E7F692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603F1E9">
            <w:pPr>
              <w:pStyle w:val="10"/>
            </w:pPr>
            <w:r>
              <w:t>单位：万元</w:t>
            </w:r>
          </w:p>
        </w:tc>
      </w:tr>
      <w:tr w14:paraId="4751B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D0DE8">
            <w:pPr>
              <w:pStyle w:val="11"/>
            </w:pPr>
            <w:r>
              <w:t>序号</w:t>
            </w:r>
          </w:p>
        </w:tc>
        <w:tc>
          <w:tcPr>
            <w:tcW w:w="6661" w:type="dxa"/>
            <w:gridSpan w:val="2"/>
            <w:vAlign w:val="center"/>
          </w:tcPr>
          <w:p w14:paraId="38633134">
            <w:pPr>
              <w:pStyle w:val="11"/>
            </w:pPr>
            <w:r>
              <w:t>收入</w:t>
            </w:r>
          </w:p>
        </w:tc>
        <w:tc>
          <w:tcPr>
            <w:tcW w:w="6661" w:type="dxa"/>
            <w:gridSpan w:val="2"/>
            <w:vAlign w:val="center"/>
          </w:tcPr>
          <w:p w14:paraId="3165C028">
            <w:pPr>
              <w:pStyle w:val="11"/>
            </w:pPr>
            <w:r>
              <w:t>支出</w:t>
            </w:r>
          </w:p>
        </w:tc>
      </w:tr>
      <w:tr w14:paraId="02A5C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CC2002"/>
        </w:tc>
        <w:tc>
          <w:tcPr>
            <w:tcW w:w="4535" w:type="dxa"/>
            <w:vAlign w:val="center"/>
          </w:tcPr>
          <w:p w14:paraId="641F3375">
            <w:pPr>
              <w:pStyle w:val="11"/>
            </w:pPr>
            <w:r>
              <w:t>项  目</w:t>
            </w:r>
          </w:p>
        </w:tc>
        <w:tc>
          <w:tcPr>
            <w:tcW w:w="2126" w:type="dxa"/>
            <w:vAlign w:val="center"/>
          </w:tcPr>
          <w:p w14:paraId="20F2B1B9">
            <w:pPr>
              <w:pStyle w:val="11"/>
            </w:pPr>
            <w:r>
              <w:t>预算数</w:t>
            </w:r>
          </w:p>
        </w:tc>
        <w:tc>
          <w:tcPr>
            <w:tcW w:w="4535" w:type="dxa"/>
            <w:vAlign w:val="center"/>
          </w:tcPr>
          <w:p w14:paraId="621FF745">
            <w:pPr>
              <w:pStyle w:val="11"/>
            </w:pPr>
            <w:r>
              <w:t>项  目</w:t>
            </w:r>
          </w:p>
        </w:tc>
        <w:tc>
          <w:tcPr>
            <w:tcW w:w="2126" w:type="dxa"/>
            <w:vAlign w:val="center"/>
          </w:tcPr>
          <w:p w14:paraId="616A2E83">
            <w:pPr>
              <w:pStyle w:val="11"/>
            </w:pPr>
            <w:r>
              <w:t>预算数</w:t>
            </w:r>
          </w:p>
        </w:tc>
      </w:tr>
      <w:tr w14:paraId="7307F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6B77CC">
            <w:pPr>
              <w:pStyle w:val="11"/>
            </w:pPr>
            <w:r>
              <w:t>栏次</w:t>
            </w:r>
          </w:p>
        </w:tc>
        <w:tc>
          <w:tcPr>
            <w:tcW w:w="4535" w:type="dxa"/>
            <w:vAlign w:val="center"/>
          </w:tcPr>
          <w:p w14:paraId="66E56BC1">
            <w:pPr>
              <w:pStyle w:val="11"/>
            </w:pPr>
            <w:r>
              <w:t>1</w:t>
            </w:r>
          </w:p>
        </w:tc>
        <w:tc>
          <w:tcPr>
            <w:tcW w:w="2126" w:type="dxa"/>
            <w:vAlign w:val="center"/>
          </w:tcPr>
          <w:p w14:paraId="313A4D67">
            <w:pPr>
              <w:pStyle w:val="11"/>
            </w:pPr>
            <w:r>
              <w:t>2</w:t>
            </w:r>
          </w:p>
        </w:tc>
        <w:tc>
          <w:tcPr>
            <w:tcW w:w="4535" w:type="dxa"/>
            <w:vAlign w:val="center"/>
          </w:tcPr>
          <w:p w14:paraId="2E447AD2">
            <w:pPr>
              <w:pStyle w:val="11"/>
            </w:pPr>
            <w:r>
              <w:t>3</w:t>
            </w:r>
          </w:p>
        </w:tc>
        <w:tc>
          <w:tcPr>
            <w:tcW w:w="2126" w:type="dxa"/>
            <w:vAlign w:val="center"/>
          </w:tcPr>
          <w:p w14:paraId="24B22267">
            <w:pPr>
              <w:pStyle w:val="11"/>
            </w:pPr>
            <w:r>
              <w:t>4</w:t>
            </w:r>
          </w:p>
        </w:tc>
      </w:tr>
      <w:tr w14:paraId="636AD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479E0">
            <w:pPr>
              <w:pStyle w:val="12"/>
            </w:pPr>
            <w:r>
              <w:t>1</w:t>
            </w:r>
          </w:p>
        </w:tc>
        <w:tc>
          <w:tcPr>
            <w:tcW w:w="4535" w:type="dxa"/>
            <w:vAlign w:val="center"/>
          </w:tcPr>
          <w:p w14:paraId="7C503413">
            <w:pPr>
              <w:pStyle w:val="13"/>
            </w:pPr>
            <w:r>
              <w:t>一、一般公共预算拨款收入</w:t>
            </w:r>
          </w:p>
        </w:tc>
        <w:tc>
          <w:tcPr>
            <w:tcW w:w="2126" w:type="dxa"/>
            <w:vAlign w:val="center"/>
          </w:tcPr>
          <w:p w14:paraId="24B8E28D">
            <w:pPr>
              <w:pStyle w:val="14"/>
            </w:pPr>
            <w:r>
              <w:t>964.97</w:t>
            </w:r>
          </w:p>
        </w:tc>
        <w:tc>
          <w:tcPr>
            <w:tcW w:w="4535" w:type="dxa"/>
            <w:vAlign w:val="center"/>
          </w:tcPr>
          <w:p w14:paraId="2439E65C">
            <w:pPr>
              <w:pStyle w:val="13"/>
            </w:pPr>
            <w:r>
              <w:t>一、一般公共服务支出</w:t>
            </w:r>
          </w:p>
        </w:tc>
        <w:tc>
          <w:tcPr>
            <w:tcW w:w="2126" w:type="dxa"/>
            <w:vAlign w:val="center"/>
          </w:tcPr>
          <w:p w14:paraId="467090AC">
            <w:pPr>
              <w:pStyle w:val="14"/>
            </w:pPr>
          </w:p>
        </w:tc>
      </w:tr>
      <w:tr w14:paraId="2AFEA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3C92F">
            <w:pPr>
              <w:pStyle w:val="12"/>
            </w:pPr>
            <w:r>
              <w:t>2</w:t>
            </w:r>
          </w:p>
        </w:tc>
        <w:tc>
          <w:tcPr>
            <w:tcW w:w="4535" w:type="dxa"/>
            <w:vAlign w:val="center"/>
          </w:tcPr>
          <w:p w14:paraId="48CCC0FB">
            <w:pPr>
              <w:pStyle w:val="13"/>
            </w:pPr>
            <w:r>
              <w:t>二、政府性基金预算拨款收入</w:t>
            </w:r>
          </w:p>
        </w:tc>
        <w:tc>
          <w:tcPr>
            <w:tcW w:w="2126" w:type="dxa"/>
            <w:vAlign w:val="center"/>
          </w:tcPr>
          <w:p w14:paraId="71F58A8A">
            <w:pPr>
              <w:pStyle w:val="14"/>
            </w:pPr>
          </w:p>
        </w:tc>
        <w:tc>
          <w:tcPr>
            <w:tcW w:w="4535" w:type="dxa"/>
            <w:vAlign w:val="center"/>
          </w:tcPr>
          <w:p w14:paraId="440AE236">
            <w:pPr>
              <w:pStyle w:val="13"/>
            </w:pPr>
            <w:r>
              <w:t>二、外交支出</w:t>
            </w:r>
          </w:p>
        </w:tc>
        <w:tc>
          <w:tcPr>
            <w:tcW w:w="2126" w:type="dxa"/>
            <w:vAlign w:val="center"/>
          </w:tcPr>
          <w:p w14:paraId="2D3DBFBE">
            <w:pPr>
              <w:pStyle w:val="14"/>
            </w:pPr>
          </w:p>
        </w:tc>
      </w:tr>
      <w:tr w14:paraId="13EC2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2D038">
            <w:pPr>
              <w:pStyle w:val="12"/>
            </w:pPr>
            <w:r>
              <w:t>3</w:t>
            </w:r>
          </w:p>
        </w:tc>
        <w:tc>
          <w:tcPr>
            <w:tcW w:w="4535" w:type="dxa"/>
            <w:vAlign w:val="center"/>
          </w:tcPr>
          <w:p w14:paraId="15BBFAB1">
            <w:pPr>
              <w:pStyle w:val="13"/>
            </w:pPr>
            <w:r>
              <w:t>三、国有资本经营预算拨款收入</w:t>
            </w:r>
          </w:p>
        </w:tc>
        <w:tc>
          <w:tcPr>
            <w:tcW w:w="2126" w:type="dxa"/>
            <w:vAlign w:val="center"/>
          </w:tcPr>
          <w:p w14:paraId="6DA2C123">
            <w:pPr>
              <w:pStyle w:val="14"/>
            </w:pPr>
          </w:p>
        </w:tc>
        <w:tc>
          <w:tcPr>
            <w:tcW w:w="4535" w:type="dxa"/>
            <w:vAlign w:val="center"/>
          </w:tcPr>
          <w:p w14:paraId="79F122FF">
            <w:pPr>
              <w:pStyle w:val="13"/>
            </w:pPr>
            <w:r>
              <w:t>三、国防支出</w:t>
            </w:r>
          </w:p>
        </w:tc>
        <w:tc>
          <w:tcPr>
            <w:tcW w:w="2126" w:type="dxa"/>
            <w:vAlign w:val="center"/>
          </w:tcPr>
          <w:p w14:paraId="0F38C217">
            <w:pPr>
              <w:pStyle w:val="14"/>
            </w:pPr>
          </w:p>
        </w:tc>
      </w:tr>
      <w:tr w14:paraId="1AF87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573A0">
            <w:pPr>
              <w:pStyle w:val="12"/>
            </w:pPr>
            <w:r>
              <w:t>4</w:t>
            </w:r>
          </w:p>
        </w:tc>
        <w:tc>
          <w:tcPr>
            <w:tcW w:w="4535" w:type="dxa"/>
            <w:vAlign w:val="center"/>
          </w:tcPr>
          <w:p w14:paraId="2930AA88">
            <w:pPr>
              <w:pStyle w:val="13"/>
            </w:pPr>
            <w:r>
              <w:t>四、财政专户管理资金收入</w:t>
            </w:r>
          </w:p>
        </w:tc>
        <w:tc>
          <w:tcPr>
            <w:tcW w:w="2126" w:type="dxa"/>
            <w:vAlign w:val="center"/>
          </w:tcPr>
          <w:p w14:paraId="5651B92F">
            <w:pPr>
              <w:pStyle w:val="14"/>
            </w:pPr>
          </w:p>
        </w:tc>
        <w:tc>
          <w:tcPr>
            <w:tcW w:w="4535" w:type="dxa"/>
            <w:vAlign w:val="center"/>
          </w:tcPr>
          <w:p w14:paraId="05B58DC8">
            <w:pPr>
              <w:pStyle w:val="13"/>
            </w:pPr>
            <w:r>
              <w:t>四、公共安全支出</w:t>
            </w:r>
          </w:p>
        </w:tc>
        <w:tc>
          <w:tcPr>
            <w:tcW w:w="2126" w:type="dxa"/>
            <w:vAlign w:val="center"/>
          </w:tcPr>
          <w:p w14:paraId="72B2F171">
            <w:pPr>
              <w:pStyle w:val="14"/>
            </w:pPr>
          </w:p>
        </w:tc>
      </w:tr>
      <w:tr w14:paraId="3A1C3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AC46D">
            <w:pPr>
              <w:pStyle w:val="12"/>
            </w:pPr>
            <w:r>
              <w:t>5</w:t>
            </w:r>
          </w:p>
        </w:tc>
        <w:tc>
          <w:tcPr>
            <w:tcW w:w="4535" w:type="dxa"/>
            <w:vAlign w:val="center"/>
          </w:tcPr>
          <w:p w14:paraId="3D70D303">
            <w:pPr>
              <w:pStyle w:val="13"/>
            </w:pPr>
            <w:r>
              <w:t>五、单位资金</w:t>
            </w:r>
          </w:p>
        </w:tc>
        <w:tc>
          <w:tcPr>
            <w:tcW w:w="2126" w:type="dxa"/>
            <w:vAlign w:val="center"/>
          </w:tcPr>
          <w:p w14:paraId="2002FAB8">
            <w:pPr>
              <w:pStyle w:val="14"/>
            </w:pPr>
          </w:p>
        </w:tc>
        <w:tc>
          <w:tcPr>
            <w:tcW w:w="4535" w:type="dxa"/>
            <w:vAlign w:val="center"/>
          </w:tcPr>
          <w:p w14:paraId="59FFA300">
            <w:pPr>
              <w:pStyle w:val="13"/>
            </w:pPr>
            <w:r>
              <w:t>五、教育支出</w:t>
            </w:r>
          </w:p>
        </w:tc>
        <w:tc>
          <w:tcPr>
            <w:tcW w:w="2126" w:type="dxa"/>
            <w:vAlign w:val="center"/>
          </w:tcPr>
          <w:p w14:paraId="7FC956A2">
            <w:pPr>
              <w:pStyle w:val="14"/>
            </w:pPr>
            <w:r>
              <w:t>964.97</w:t>
            </w:r>
          </w:p>
        </w:tc>
      </w:tr>
      <w:tr w14:paraId="454C5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29A28">
            <w:pPr>
              <w:pStyle w:val="12"/>
            </w:pPr>
            <w:r>
              <w:t>6</w:t>
            </w:r>
          </w:p>
        </w:tc>
        <w:tc>
          <w:tcPr>
            <w:tcW w:w="4535" w:type="dxa"/>
            <w:vAlign w:val="center"/>
          </w:tcPr>
          <w:p w14:paraId="574C2693">
            <w:pPr>
              <w:pStyle w:val="13"/>
            </w:pPr>
          </w:p>
        </w:tc>
        <w:tc>
          <w:tcPr>
            <w:tcW w:w="2126" w:type="dxa"/>
            <w:vAlign w:val="center"/>
          </w:tcPr>
          <w:p w14:paraId="6FC36C85">
            <w:pPr>
              <w:pStyle w:val="14"/>
            </w:pPr>
          </w:p>
        </w:tc>
        <w:tc>
          <w:tcPr>
            <w:tcW w:w="4535" w:type="dxa"/>
            <w:vAlign w:val="center"/>
          </w:tcPr>
          <w:p w14:paraId="28D8CBFA">
            <w:pPr>
              <w:pStyle w:val="13"/>
            </w:pPr>
            <w:r>
              <w:t>六、科学技术支出</w:t>
            </w:r>
          </w:p>
        </w:tc>
        <w:tc>
          <w:tcPr>
            <w:tcW w:w="2126" w:type="dxa"/>
            <w:vAlign w:val="center"/>
          </w:tcPr>
          <w:p w14:paraId="39F7F4B9">
            <w:pPr>
              <w:pStyle w:val="14"/>
            </w:pPr>
          </w:p>
        </w:tc>
      </w:tr>
      <w:tr w14:paraId="74DCF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CBA3C">
            <w:pPr>
              <w:pStyle w:val="12"/>
            </w:pPr>
            <w:r>
              <w:t>7</w:t>
            </w:r>
          </w:p>
        </w:tc>
        <w:tc>
          <w:tcPr>
            <w:tcW w:w="4535" w:type="dxa"/>
            <w:vAlign w:val="center"/>
          </w:tcPr>
          <w:p w14:paraId="352FDEB7">
            <w:pPr>
              <w:pStyle w:val="13"/>
            </w:pPr>
          </w:p>
        </w:tc>
        <w:tc>
          <w:tcPr>
            <w:tcW w:w="2126" w:type="dxa"/>
            <w:vAlign w:val="center"/>
          </w:tcPr>
          <w:p w14:paraId="68F04845">
            <w:pPr>
              <w:pStyle w:val="14"/>
            </w:pPr>
          </w:p>
        </w:tc>
        <w:tc>
          <w:tcPr>
            <w:tcW w:w="4535" w:type="dxa"/>
            <w:vAlign w:val="center"/>
          </w:tcPr>
          <w:p w14:paraId="3D06E941">
            <w:pPr>
              <w:pStyle w:val="13"/>
            </w:pPr>
            <w:r>
              <w:t>七、文化旅游体育与传媒支出</w:t>
            </w:r>
          </w:p>
        </w:tc>
        <w:tc>
          <w:tcPr>
            <w:tcW w:w="2126" w:type="dxa"/>
            <w:vAlign w:val="center"/>
          </w:tcPr>
          <w:p w14:paraId="3E220AF6">
            <w:pPr>
              <w:pStyle w:val="14"/>
            </w:pPr>
          </w:p>
        </w:tc>
      </w:tr>
      <w:tr w14:paraId="74AAE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68277">
            <w:pPr>
              <w:pStyle w:val="12"/>
            </w:pPr>
            <w:r>
              <w:t>8</w:t>
            </w:r>
          </w:p>
        </w:tc>
        <w:tc>
          <w:tcPr>
            <w:tcW w:w="4535" w:type="dxa"/>
            <w:vAlign w:val="center"/>
          </w:tcPr>
          <w:p w14:paraId="4ADA0993">
            <w:pPr>
              <w:pStyle w:val="13"/>
            </w:pPr>
          </w:p>
        </w:tc>
        <w:tc>
          <w:tcPr>
            <w:tcW w:w="2126" w:type="dxa"/>
            <w:vAlign w:val="center"/>
          </w:tcPr>
          <w:p w14:paraId="30A376D5">
            <w:pPr>
              <w:pStyle w:val="14"/>
            </w:pPr>
          </w:p>
        </w:tc>
        <w:tc>
          <w:tcPr>
            <w:tcW w:w="4535" w:type="dxa"/>
            <w:vAlign w:val="center"/>
          </w:tcPr>
          <w:p w14:paraId="32E2D50D">
            <w:pPr>
              <w:pStyle w:val="13"/>
            </w:pPr>
            <w:r>
              <w:t>八、社会保障和就业支出</w:t>
            </w:r>
          </w:p>
        </w:tc>
        <w:tc>
          <w:tcPr>
            <w:tcW w:w="2126" w:type="dxa"/>
            <w:vAlign w:val="center"/>
          </w:tcPr>
          <w:p w14:paraId="372A0334">
            <w:pPr>
              <w:pStyle w:val="14"/>
            </w:pPr>
          </w:p>
        </w:tc>
      </w:tr>
      <w:tr w14:paraId="24ADF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ED6E9">
            <w:pPr>
              <w:pStyle w:val="12"/>
            </w:pPr>
            <w:r>
              <w:t>9</w:t>
            </w:r>
          </w:p>
        </w:tc>
        <w:tc>
          <w:tcPr>
            <w:tcW w:w="4535" w:type="dxa"/>
            <w:vAlign w:val="center"/>
          </w:tcPr>
          <w:p w14:paraId="0FA03E2F">
            <w:pPr>
              <w:pStyle w:val="13"/>
            </w:pPr>
          </w:p>
        </w:tc>
        <w:tc>
          <w:tcPr>
            <w:tcW w:w="2126" w:type="dxa"/>
            <w:vAlign w:val="center"/>
          </w:tcPr>
          <w:p w14:paraId="1BC9BD8D">
            <w:pPr>
              <w:pStyle w:val="14"/>
            </w:pPr>
          </w:p>
        </w:tc>
        <w:tc>
          <w:tcPr>
            <w:tcW w:w="4535" w:type="dxa"/>
            <w:vAlign w:val="center"/>
          </w:tcPr>
          <w:p w14:paraId="05ACD9E9">
            <w:pPr>
              <w:pStyle w:val="13"/>
            </w:pPr>
            <w:r>
              <w:t>九、社会保险基金支出</w:t>
            </w:r>
          </w:p>
        </w:tc>
        <w:tc>
          <w:tcPr>
            <w:tcW w:w="2126" w:type="dxa"/>
            <w:vAlign w:val="center"/>
          </w:tcPr>
          <w:p w14:paraId="30BE2807">
            <w:pPr>
              <w:pStyle w:val="14"/>
            </w:pPr>
          </w:p>
        </w:tc>
      </w:tr>
      <w:tr w14:paraId="2D7EC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D1EB0">
            <w:pPr>
              <w:pStyle w:val="12"/>
            </w:pPr>
            <w:r>
              <w:t>10</w:t>
            </w:r>
          </w:p>
        </w:tc>
        <w:tc>
          <w:tcPr>
            <w:tcW w:w="4535" w:type="dxa"/>
            <w:vAlign w:val="center"/>
          </w:tcPr>
          <w:p w14:paraId="2B0E373C">
            <w:pPr>
              <w:pStyle w:val="13"/>
            </w:pPr>
          </w:p>
        </w:tc>
        <w:tc>
          <w:tcPr>
            <w:tcW w:w="2126" w:type="dxa"/>
            <w:vAlign w:val="center"/>
          </w:tcPr>
          <w:p w14:paraId="1458630C">
            <w:pPr>
              <w:pStyle w:val="14"/>
            </w:pPr>
          </w:p>
        </w:tc>
        <w:tc>
          <w:tcPr>
            <w:tcW w:w="4535" w:type="dxa"/>
            <w:vAlign w:val="center"/>
          </w:tcPr>
          <w:p w14:paraId="46F190F1">
            <w:pPr>
              <w:pStyle w:val="13"/>
            </w:pPr>
            <w:r>
              <w:t>十、卫生健康支出</w:t>
            </w:r>
          </w:p>
        </w:tc>
        <w:tc>
          <w:tcPr>
            <w:tcW w:w="2126" w:type="dxa"/>
            <w:vAlign w:val="center"/>
          </w:tcPr>
          <w:p w14:paraId="768FDFEA">
            <w:pPr>
              <w:pStyle w:val="14"/>
            </w:pPr>
          </w:p>
        </w:tc>
      </w:tr>
      <w:tr w14:paraId="66DFE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ED66B">
            <w:pPr>
              <w:pStyle w:val="12"/>
            </w:pPr>
            <w:r>
              <w:t>11</w:t>
            </w:r>
          </w:p>
        </w:tc>
        <w:tc>
          <w:tcPr>
            <w:tcW w:w="4535" w:type="dxa"/>
            <w:vAlign w:val="center"/>
          </w:tcPr>
          <w:p w14:paraId="157583BA">
            <w:pPr>
              <w:pStyle w:val="13"/>
            </w:pPr>
          </w:p>
        </w:tc>
        <w:tc>
          <w:tcPr>
            <w:tcW w:w="2126" w:type="dxa"/>
            <w:vAlign w:val="center"/>
          </w:tcPr>
          <w:p w14:paraId="607D454D">
            <w:pPr>
              <w:pStyle w:val="14"/>
            </w:pPr>
          </w:p>
        </w:tc>
        <w:tc>
          <w:tcPr>
            <w:tcW w:w="4535" w:type="dxa"/>
            <w:vAlign w:val="center"/>
          </w:tcPr>
          <w:p w14:paraId="10F09FB6">
            <w:pPr>
              <w:pStyle w:val="13"/>
            </w:pPr>
            <w:r>
              <w:t>十一、节能环保支出</w:t>
            </w:r>
          </w:p>
        </w:tc>
        <w:tc>
          <w:tcPr>
            <w:tcW w:w="2126" w:type="dxa"/>
            <w:vAlign w:val="center"/>
          </w:tcPr>
          <w:p w14:paraId="3384392C">
            <w:pPr>
              <w:pStyle w:val="14"/>
            </w:pPr>
          </w:p>
        </w:tc>
      </w:tr>
      <w:tr w14:paraId="02113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AC60B">
            <w:pPr>
              <w:pStyle w:val="12"/>
            </w:pPr>
            <w:r>
              <w:t>12</w:t>
            </w:r>
          </w:p>
        </w:tc>
        <w:tc>
          <w:tcPr>
            <w:tcW w:w="4535" w:type="dxa"/>
            <w:vAlign w:val="center"/>
          </w:tcPr>
          <w:p w14:paraId="43068A18">
            <w:pPr>
              <w:pStyle w:val="13"/>
            </w:pPr>
          </w:p>
        </w:tc>
        <w:tc>
          <w:tcPr>
            <w:tcW w:w="2126" w:type="dxa"/>
            <w:vAlign w:val="center"/>
          </w:tcPr>
          <w:p w14:paraId="7DD5A91A">
            <w:pPr>
              <w:pStyle w:val="14"/>
            </w:pPr>
          </w:p>
        </w:tc>
        <w:tc>
          <w:tcPr>
            <w:tcW w:w="4535" w:type="dxa"/>
            <w:vAlign w:val="center"/>
          </w:tcPr>
          <w:p w14:paraId="3011CA7C">
            <w:pPr>
              <w:pStyle w:val="13"/>
            </w:pPr>
            <w:r>
              <w:t>十二、城乡社区支出</w:t>
            </w:r>
          </w:p>
        </w:tc>
        <w:tc>
          <w:tcPr>
            <w:tcW w:w="2126" w:type="dxa"/>
            <w:vAlign w:val="center"/>
          </w:tcPr>
          <w:p w14:paraId="59CBEFBA">
            <w:pPr>
              <w:pStyle w:val="14"/>
            </w:pPr>
          </w:p>
        </w:tc>
      </w:tr>
      <w:tr w14:paraId="39724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ACD9A">
            <w:pPr>
              <w:pStyle w:val="12"/>
            </w:pPr>
            <w:r>
              <w:t>13</w:t>
            </w:r>
          </w:p>
        </w:tc>
        <w:tc>
          <w:tcPr>
            <w:tcW w:w="4535" w:type="dxa"/>
            <w:vAlign w:val="center"/>
          </w:tcPr>
          <w:p w14:paraId="3CB746D9">
            <w:pPr>
              <w:pStyle w:val="13"/>
            </w:pPr>
          </w:p>
        </w:tc>
        <w:tc>
          <w:tcPr>
            <w:tcW w:w="2126" w:type="dxa"/>
            <w:vAlign w:val="center"/>
          </w:tcPr>
          <w:p w14:paraId="5A966C33">
            <w:pPr>
              <w:pStyle w:val="14"/>
            </w:pPr>
          </w:p>
        </w:tc>
        <w:tc>
          <w:tcPr>
            <w:tcW w:w="4535" w:type="dxa"/>
            <w:vAlign w:val="center"/>
          </w:tcPr>
          <w:p w14:paraId="60537123">
            <w:pPr>
              <w:pStyle w:val="13"/>
            </w:pPr>
            <w:r>
              <w:t>十三、农林水支出</w:t>
            </w:r>
          </w:p>
        </w:tc>
        <w:tc>
          <w:tcPr>
            <w:tcW w:w="2126" w:type="dxa"/>
            <w:vAlign w:val="center"/>
          </w:tcPr>
          <w:p w14:paraId="383DE120">
            <w:pPr>
              <w:pStyle w:val="14"/>
            </w:pPr>
          </w:p>
        </w:tc>
      </w:tr>
      <w:tr w14:paraId="671D4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48EA7">
            <w:pPr>
              <w:pStyle w:val="12"/>
            </w:pPr>
            <w:r>
              <w:t>14</w:t>
            </w:r>
          </w:p>
        </w:tc>
        <w:tc>
          <w:tcPr>
            <w:tcW w:w="4535" w:type="dxa"/>
            <w:vAlign w:val="center"/>
          </w:tcPr>
          <w:p w14:paraId="5274A471">
            <w:pPr>
              <w:pStyle w:val="13"/>
            </w:pPr>
          </w:p>
        </w:tc>
        <w:tc>
          <w:tcPr>
            <w:tcW w:w="2126" w:type="dxa"/>
            <w:vAlign w:val="center"/>
          </w:tcPr>
          <w:p w14:paraId="602D355D">
            <w:pPr>
              <w:pStyle w:val="14"/>
            </w:pPr>
          </w:p>
        </w:tc>
        <w:tc>
          <w:tcPr>
            <w:tcW w:w="4535" w:type="dxa"/>
            <w:vAlign w:val="center"/>
          </w:tcPr>
          <w:p w14:paraId="79BCB0B1">
            <w:pPr>
              <w:pStyle w:val="13"/>
            </w:pPr>
            <w:r>
              <w:t>十四、交通运输支出</w:t>
            </w:r>
          </w:p>
        </w:tc>
        <w:tc>
          <w:tcPr>
            <w:tcW w:w="2126" w:type="dxa"/>
            <w:vAlign w:val="center"/>
          </w:tcPr>
          <w:p w14:paraId="2C3CABFE">
            <w:pPr>
              <w:pStyle w:val="14"/>
            </w:pPr>
          </w:p>
        </w:tc>
      </w:tr>
      <w:tr w14:paraId="0A22F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684E1">
            <w:pPr>
              <w:pStyle w:val="12"/>
            </w:pPr>
            <w:r>
              <w:t>15</w:t>
            </w:r>
          </w:p>
        </w:tc>
        <w:tc>
          <w:tcPr>
            <w:tcW w:w="4535" w:type="dxa"/>
            <w:vAlign w:val="center"/>
          </w:tcPr>
          <w:p w14:paraId="1D5E08DC">
            <w:pPr>
              <w:pStyle w:val="13"/>
            </w:pPr>
          </w:p>
        </w:tc>
        <w:tc>
          <w:tcPr>
            <w:tcW w:w="2126" w:type="dxa"/>
            <w:vAlign w:val="center"/>
          </w:tcPr>
          <w:p w14:paraId="63F8A35F">
            <w:pPr>
              <w:pStyle w:val="14"/>
            </w:pPr>
          </w:p>
        </w:tc>
        <w:tc>
          <w:tcPr>
            <w:tcW w:w="4535" w:type="dxa"/>
            <w:vAlign w:val="center"/>
          </w:tcPr>
          <w:p w14:paraId="2B3C6944">
            <w:pPr>
              <w:pStyle w:val="13"/>
            </w:pPr>
            <w:r>
              <w:t>十五、资源勘探工业信息等支出</w:t>
            </w:r>
          </w:p>
        </w:tc>
        <w:tc>
          <w:tcPr>
            <w:tcW w:w="2126" w:type="dxa"/>
            <w:vAlign w:val="center"/>
          </w:tcPr>
          <w:p w14:paraId="6504AD59">
            <w:pPr>
              <w:pStyle w:val="14"/>
            </w:pPr>
          </w:p>
        </w:tc>
      </w:tr>
      <w:tr w14:paraId="60C45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7C88C">
            <w:pPr>
              <w:pStyle w:val="12"/>
            </w:pPr>
            <w:r>
              <w:t>16</w:t>
            </w:r>
          </w:p>
        </w:tc>
        <w:tc>
          <w:tcPr>
            <w:tcW w:w="4535" w:type="dxa"/>
            <w:vAlign w:val="center"/>
          </w:tcPr>
          <w:p w14:paraId="395F992B">
            <w:pPr>
              <w:pStyle w:val="13"/>
            </w:pPr>
          </w:p>
        </w:tc>
        <w:tc>
          <w:tcPr>
            <w:tcW w:w="2126" w:type="dxa"/>
            <w:vAlign w:val="center"/>
          </w:tcPr>
          <w:p w14:paraId="60F130CB">
            <w:pPr>
              <w:pStyle w:val="14"/>
            </w:pPr>
          </w:p>
        </w:tc>
        <w:tc>
          <w:tcPr>
            <w:tcW w:w="4535" w:type="dxa"/>
            <w:vAlign w:val="center"/>
          </w:tcPr>
          <w:p w14:paraId="10D3DD5B">
            <w:pPr>
              <w:pStyle w:val="13"/>
            </w:pPr>
            <w:r>
              <w:t>十六、商业服务业等支出</w:t>
            </w:r>
          </w:p>
        </w:tc>
        <w:tc>
          <w:tcPr>
            <w:tcW w:w="2126" w:type="dxa"/>
            <w:vAlign w:val="center"/>
          </w:tcPr>
          <w:p w14:paraId="688AD59A">
            <w:pPr>
              <w:pStyle w:val="14"/>
            </w:pPr>
          </w:p>
        </w:tc>
      </w:tr>
      <w:tr w14:paraId="7DE69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9263E">
            <w:pPr>
              <w:pStyle w:val="12"/>
            </w:pPr>
            <w:r>
              <w:t>17</w:t>
            </w:r>
          </w:p>
        </w:tc>
        <w:tc>
          <w:tcPr>
            <w:tcW w:w="4535" w:type="dxa"/>
            <w:vAlign w:val="center"/>
          </w:tcPr>
          <w:p w14:paraId="60BEF0F1">
            <w:pPr>
              <w:pStyle w:val="13"/>
            </w:pPr>
          </w:p>
        </w:tc>
        <w:tc>
          <w:tcPr>
            <w:tcW w:w="2126" w:type="dxa"/>
            <w:vAlign w:val="center"/>
          </w:tcPr>
          <w:p w14:paraId="7006F41B">
            <w:pPr>
              <w:pStyle w:val="14"/>
            </w:pPr>
          </w:p>
        </w:tc>
        <w:tc>
          <w:tcPr>
            <w:tcW w:w="4535" w:type="dxa"/>
            <w:vAlign w:val="center"/>
          </w:tcPr>
          <w:p w14:paraId="51FFEB17">
            <w:pPr>
              <w:pStyle w:val="13"/>
            </w:pPr>
            <w:r>
              <w:t>十七、金融支出</w:t>
            </w:r>
          </w:p>
        </w:tc>
        <w:tc>
          <w:tcPr>
            <w:tcW w:w="2126" w:type="dxa"/>
            <w:vAlign w:val="center"/>
          </w:tcPr>
          <w:p w14:paraId="6A7457AD">
            <w:pPr>
              <w:pStyle w:val="14"/>
            </w:pPr>
          </w:p>
        </w:tc>
      </w:tr>
      <w:tr w14:paraId="0BE13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FB5A0">
            <w:pPr>
              <w:pStyle w:val="12"/>
            </w:pPr>
            <w:r>
              <w:t>18</w:t>
            </w:r>
          </w:p>
        </w:tc>
        <w:tc>
          <w:tcPr>
            <w:tcW w:w="4535" w:type="dxa"/>
            <w:vAlign w:val="center"/>
          </w:tcPr>
          <w:p w14:paraId="2CA5D63E">
            <w:pPr>
              <w:pStyle w:val="13"/>
            </w:pPr>
          </w:p>
        </w:tc>
        <w:tc>
          <w:tcPr>
            <w:tcW w:w="2126" w:type="dxa"/>
            <w:vAlign w:val="center"/>
          </w:tcPr>
          <w:p w14:paraId="60C471F6">
            <w:pPr>
              <w:pStyle w:val="14"/>
            </w:pPr>
          </w:p>
        </w:tc>
        <w:tc>
          <w:tcPr>
            <w:tcW w:w="4535" w:type="dxa"/>
            <w:vAlign w:val="center"/>
          </w:tcPr>
          <w:p w14:paraId="08C5E936">
            <w:pPr>
              <w:pStyle w:val="13"/>
            </w:pPr>
            <w:r>
              <w:t>十八、援助其他地区支出</w:t>
            </w:r>
          </w:p>
        </w:tc>
        <w:tc>
          <w:tcPr>
            <w:tcW w:w="2126" w:type="dxa"/>
            <w:vAlign w:val="center"/>
          </w:tcPr>
          <w:p w14:paraId="27849F21">
            <w:pPr>
              <w:pStyle w:val="14"/>
            </w:pPr>
          </w:p>
        </w:tc>
      </w:tr>
      <w:tr w14:paraId="50900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DEE42">
            <w:pPr>
              <w:pStyle w:val="12"/>
            </w:pPr>
            <w:r>
              <w:t>19</w:t>
            </w:r>
          </w:p>
        </w:tc>
        <w:tc>
          <w:tcPr>
            <w:tcW w:w="4535" w:type="dxa"/>
            <w:vAlign w:val="center"/>
          </w:tcPr>
          <w:p w14:paraId="6E76D20E">
            <w:pPr>
              <w:pStyle w:val="13"/>
            </w:pPr>
          </w:p>
        </w:tc>
        <w:tc>
          <w:tcPr>
            <w:tcW w:w="2126" w:type="dxa"/>
            <w:vAlign w:val="center"/>
          </w:tcPr>
          <w:p w14:paraId="094D9951">
            <w:pPr>
              <w:pStyle w:val="14"/>
            </w:pPr>
          </w:p>
        </w:tc>
        <w:tc>
          <w:tcPr>
            <w:tcW w:w="4535" w:type="dxa"/>
            <w:vAlign w:val="center"/>
          </w:tcPr>
          <w:p w14:paraId="480A1582">
            <w:pPr>
              <w:pStyle w:val="13"/>
            </w:pPr>
            <w:r>
              <w:t>十九、自然资源海洋气象等支出</w:t>
            </w:r>
          </w:p>
        </w:tc>
        <w:tc>
          <w:tcPr>
            <w:tcW w:w="2126" w:type="dxa"/>
            <w:vAlign w:val="center"/>
          </w:tcPr>
          <w:p w14:paraId="734E8C55">
            <w:pPr>
              <w:pStyle w:val="14"/>
            </w:pPr>
          </w:p>
        </w:tc>
      </w:tr>
      <w:tr w14:paraId="289FB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B5412">
            <w:pPr>
              <w:pStyle w:val="12"/>
            </w:pPr>
            <w:r>
              <w:t>20</w:t>
            </w:r>
          </w:p>
        </w:tc>
        <w:tc>
          <w:tcPr>
            <w:tcW w:w="4535" w:type="dxa"/>
            <w:vAlign w:val="center"/>
          </w:tcPr>
          <w:p w14:paraId="09FCB0D2">
            <w:pPr>
              <w:pStyle w:val="13"/>
            </w:pPr>
          </w:p>
        </w:tc>
        <w:tc>
          <w:tcPr>
            <w:tcW w:w="2126" w:type="dxa"/>
            <w:vAlign w:val="center"/>
          </w:tcPr>
          <w:p w14:paraId="388528B9">
            <w:pPr>
              <w:pStyle w:val="14"/>
            </w:pPr>
          </w:p>
        </w:tc>
        <w:tc>
          <w:tcPr>
            <w:tcW w:w="4535" w:type="dxa"/>
            <w:vAlign w:val="center"/>
          </w:tcPr>
          <w:p w14:paraId="0A27B4E3">
            <w:pPr>
              <w:pStyle w:val="13"/>
            </w:pPr>
            <w:r>
              <w:t>二十、住房保障支出</w:t>
            </w:r>
          </w:p>
        </w:tc>
        <w:tc>
          <w:tcPr>
            <w:tcW w:w="2126" w:type="dxa"/>
            <w:vAlign w:val="center"/>
          </w:tcPr>
          <w:p w14:paraId="2A228E09">
            <w:pPr>
              <w:pStyle w:val="14"/>
            </w:pPr>
          </w:p>
        </w:tc>
      </w:tr>
      <w:tr w14:paraId="4E882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B1DA7A9">
            <w:pPr>
              <w:pStyle w:val="12"/>
            </w:pPr>
            <w:r>
              <w:t>21</w:t>
            </w:r>
          </w:p>
        </w:tc>
        <w:tc>
          <w:tcPr>
            <w:tcW w:w="4535" w:type="dxa"/>
            <w:vAlign w:val="center"/>
          </w:tcPr>
          <w:p w14:paraId="0F3EDEBA">
            <w:pPr>
              <w:pStyle w:val="13"/>
            </w:pPr>
          </w:p>
        </w:tc>
        <w:tc>
          <w:tcPr>
            <w:tcW w:w="2126" w:type="dxa"/>
            <w:vAlign w:val="center"/>
          </w:tcPr>
          <w:p w14:paraId="5BB541EE">
            <w:pPr>
              <w:pStyle w:val="14"/>
            </w:pPr>
          </w:p>
        </w:tc>
        <w:tc>
          <w:tcPr>
            <w:tcW w:w="4535" w:type="dxa"/>
            <w:vAlign w:val="center"/>
          </w:tcPr>
          <w:p w14:paraId="5C399694">
            <w:pPr>
              <w:pStyle w:val="13"/>
            </w:pPr>
            <w:r>
              <w:t>二十一、粮油物资储备支出</w:t>
            </w:r>
          </w:p>
        </w:tc>
        <w:tc>
          <w:tcPr>
            <w:tcW w:w="2126" w:type="dxa"/>
            <w:vAlign w:val="center"/>
          </w:tcPr>
          <w:p w14:paraId="4B712DA9">
            <w:pPr>
              <w:pStyle w:val="14"/>
            </w:pPr>
          </w:p>
        </w:tc>
      </w:tr>
      <w:tr w14:paraId="3CB06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84EAF">
            <w:pPr>
              <w:pStyle w:val="12"/>
            </w:pPr>
            <w:r>
              <w:t>22</w:t>
            </w:r>
          </w:p>
        </w:tc>
        <w:tc>
          <w:tcPr>
            <w:tcW w:w="4535" w:type="dxa"/>
            <w:vAlign w:val="center"/>
          </w:tcPr>
          <w:p w14:paraId="60C2B406">
            <w:pPr>
              <w:pStyle w:val="13"/>
            </w:pPr>
          </w:p>
        </w:tc>
        <w:tc>
          <w:tcPr>
            <w:tcW w:w="2126" w:type="dxa"/>
            <w:vAlign w:val="center"/>
          </w:tcPr>
          <w:p w14:paraId="5E3237BD">
            <w:pPr>
              <w:pStyle w:val="14"/>
            </w:pPr>
          </w:p>
        </w:tc>
        <w:tc>
          <w:tcPr>
            <w:tcW w:w="4535" w:type="dxa"/>
            <w:vAlign w:val="center"/>
          </w:tcPr>
          <w:p w14:paraId="09B1D4DD">
            <w:pPr>
              <w:pStyle w:val="13"/>
            </w:pPr>
            <w:r>
              <w:t>二十二、国有资本经营预算支出</w:t>
            </w:r>
          </w:p>
        </w:tc>
        <w:tc>
          <w:tcPr>
            <w:tcW w:w="2126" w:type="dxa"/>
            <w:vAlign w:val="center"/>
          </w:tcPr>
          <w:p w14:paraId="08B2C99C">
            <w:pPr>
              <w:pStyle w:val="14"/>
            </w:pPr>
          </w:p>
        </w:tc>
      </w:tr>
      <w:tr w14:paraId="06EAC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CAB01">
            <w:pPr>
              <w:pStyle w:val="12"/>
            </w:pPr>
            <w:r>
              <w:t>23</w:t>
            </w:r>
          </w:p>
        </w:tc>
        <w:tc>
          <w:tcPr>
            <w:tcW w:w="4535" w:type="dxa"/>
            <w:vAlign w:val="center"/>
          </w:tcPr>
          <w:p w14:paraId="60F0A571">
            <w:pPr>
              <w:pStyle w:val="13"/>
            </w:pPr>
          </w:p>
        </w:tc>
        <w:tc>
          <w:tcPr>
            <w:tcW w:w="2126" w:type="dxa"/>
            <w:vAlign w:val="center"/>
          </w:tcPr>
          <w:p w14:paraId="7F990EA6">
            <w:pPr>
              <w:pStyle w:val="14"/>
            </w:pPr>
          </w:p>
        </w:tc>
        <w:tc>
          <w:tcPr>
            <w:tcW w:w="4535" w:type="dxa"/>
            <w:vAlign w:val="center"/>
          </w:tcPr>
          <w:p w14:paraId="7CA3DE06">
            <w:pPr>
              <w:pStyle w:val="13"/>
            </w:pPr>
            <w:r>
              <w:t>二十三、灾害防治及应急管理支出</w:t>
            </w:r>
          </w:p>
        </w:tc>
        <w:tc>
          <w:tcPr>
            <w:tcW w:w="2126" w:type="dxa"/>
            <w:vAlign w:val="center"/>
          </w:tcPr>
          <w:p w14:paraId="03F498D9">
            <w:pPr>
              <w:pStyle w:val="14"/>
            </w:pPr>
          </w:p>
        </w:tc>
      </w:tr>
      <w:tr w14:paraId="3936E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2FE96A6">
            <w:pPr>
              <w:pStyle w:val="12"/>
            </w:pPr>
            <w:r>
              <w:t>24</w:t>
            </w:r>
          </w:p>
        </w:tc>
        <w:tc>
          <w:tcPr>
            <w:tcW w:w="4535" w:type="dxa"/>
            <w:vAlign w:val="center"/>
          </w:tcPr>
          <w:p w14:paraId="16E0BAE6">
            <w:pPr>
              <w:pStyle w:val="13"/>
            </w:pPr>
          </w:p>
        </w:tc>
        <w:tc>
          <w:tcPr>
            <w:tcW w:w="2126" w:type="dxa"/>
            <w:vAlign w:val="center"/>
          </w:tcPr>
          <w:p w14:paraId="4681D0AC">
            <w:pPr>
              <w:pStyle w:val="14"/>
            </w:pPr>
          </w:p>
        </w:tc>
        <w:tc>
          <w:tcPr>
            <w:tcW w:w="4535" w:type="dxa"/>
            <w:vAlign w:val="center"/>
          </w:tcPr>
          <w:p w14:paraId="573BC700">
            <w:pPr>
              <w:pStyle w:val="13"/>
            </w:pPr>
            <w:r>
              <w:t>二十四、预备费</w:t>
            </w:r>
          </w:p>
        </w:tc>
        <w:tc>
          <w:tcPr>
            <w:tcW w:w="2126" w:type="dxa"/>
            <w:vAlign w:val="center"/>
          </w:tcPr>
          <w:p w14:paraId="7A76ED28">
            <w:pPr>
              <w:pStyle w:val="14"/>
            </w:pPr>
          </w:p>
        </w:tc>
      </w:tr>
      <w:tr w14:paraId="202ED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CCA54">
            <w:pPr>
              <w:pStyle w:val="12"/>
            </w:pPr>
            <w:r>
              <w:t>25</w:t>
            </w:r>
          </w:p>
        </w:tc>
        <w:tc>
          <w:tcPr>
            <w:tcW w:w="4535" w:type="dxa"/>
            <w:vAlign w:val="center"/>
          </w:tcPr>
          <w:p w14:paraId="4C1A759B">
            <w:pPr>
              <w:pStyle w:val="13"/>
            </w:pPr>
          </w:p>
        </w:tc>
        <w:tc>
          <w:tcPr>
            <w:tcW w:w="2126" w:type="dxa"/>
            <w:vAlign w:val="center"/>
          </w:tcPr>
          <w:p w14:paraId="3F350ACF">
            <w:pPr>
              <w:pStyle w:val="14"/>
            </w:pPr>
          </w:p>
        </w:tc>
        <w:tc>
          <w:tcPr>
            <w:tcW w:w="4535" w:type="dxa"/>
            <w:vAlign w:val="center"/>
          </w:tcPr>
          <w:p w14:paraId="551062E2">
            <w:pPr>
              <w:pStyle w:val="13"/>
            </w:pPr>
            <w:r>
              <w:t>二十五、其他支出</w:t>
            </w:r>
          </w:p>
        </w:tc>
        <w:tc>
          <w:tcPr>
            <w:tcW w:w="2126" w:type="dxa"/>
            <w:vAlign w:val="center"/>
          </w:tcPr>
          <w:p w14:paraId="5B0A5F32">
            <w:pPr>
              <w:pStyle w:val="14"/>
            </w:pPr>
          </w:p>
        </w:tc>
      </w:tr>
      <w:tr w14:paraId="655D5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0FF79">
            <w:pPr>
              <w:pStyle w:val="12"/>
            </w:pPr>
            <w:r>
              <w:t>26</w:t>
            </w:r>
          </w:p>
        </w:tc>
        <w:tc>
          <w:tcPr>
            <w:tcW w:w="4535" w:type="dxa"/>
            <w:vAlign w:val="center"/>
          </w:tcPr>
          <w:p w14:paraId="1C0E7A7E">
            <w:pPr>
              <w:pStyle w:val="13"/>
            </w:pPr>
          </w:p>
        </w:tc>
        <w:tc>
          <w:tcPr>
            <w:tcW w:w="2126" w:type="dxa"/>
            <w:vAlign w:val="center"/>
          </w:tcPr>
          <w:p w14:paraId="311DCF5B">
            <w:pPr>
              <w:pStyle w:val="14"/>
            </w:pPr>
          </w:p>
        </w:tc>
        <w:tc>
          <w:tcPr>
            <w:tcW w:w="4535" w:type="dxa"/>
            <w:vAlign w:val="center"/>
          </w:tcPr>
          <w:p w14:paraId="06FC47D7">
            <w:pPr>
              <w:pStyle w:val="13"/>
            </w:pPr>
            <w:r>
              <w:t>二十六、转移性支出</w:t>
            </w:r>
          </w:p>
        </w:tc>
        <w:tc>
          <w:tcPr>
            <w:tcW w:w="2126" w:type="dxa"/>
            <w:vAlign w:val="center"/>
          </w:tcPr>
          <w:p w14:paraId="1447EA6C">
            <w:pPr>
              <w:pStyle w:val="14"/>
            </w:pPr>
          </w:p>
        </w:tc>
      </w:tr>
      <w:tr w14:paraId="0D420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2963D">
            <w:pPr>
              <w:pStyle w:val="12"/>
            </w:pPr>
            <w:r>
              <w:t>27</w:t>
            </w:r>
          </w:p>
        </w:tc>
        <w:tc>
          <w:tcPr>
            <w:tcW w:w="4535" w:type="dxa"/>
            <w:vAlign w:val="center"/>
          </w:tcPr>
          <w:p w14:paraId="19FCCE58">
            <w:pPr>
              <w:pStyle w:val="13"/>
            </w:pPr>
          </w:p>
        </w:tc>
        <w:tc>
          <w:tcPr>
            <w:tcW w:w="2126" w:type="dxa"/>
            <w:vAlign w:val="center"/>
          </w:tcPr>
          <w:p w14:paraId="24768629">
            <w:pPr>
              <w:pStyle w:val="14"/>
            </w:pPr>
          </w:p>
        </w:tc>
        <w:tc>
          <w:tcPr>
            <w:tcW w:w="4535" w:type="dxa"/>
            <w:vAlign w:val="center"/>
          </w:tcPr>
          <w:p w14:paraId="010973D6">
            <w:pPr>
              <w:pStyle w:val="13"/>
            </w:pPr>
            <w:r>
              <w:t>二十七、债务还本支出</w:t>
            </w:r>
          </w:p>
        </w:tc>
        <w:tc>
          <w:tcPr>
            <w:tcW w:w="2126" w:type="dxa"/>
            <w:vAlign w:val="center"/>
          </w:tcPr>
          <w:p w14:paraId="138C4EB4">
            <w:pPr>
              <w:pStyle w:val="14"/>
            </w:pPr>
          </w:p>
        </w:tc>
      </w:tr>
      <w:tr w14:paraId="2F715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0B2EC">
            <w:pPr>
              <w:pStyle w:val="12"/>
            </w:pPr>
            <w:r>
              <w:t>28</w:t>
            </w:r>
          </w:p>
        </w:tc>
        <w:tc>
          <w:tcPr>
            <w:tcW w:w="4535" w:type="dxa"/>
            <w:vAlign w:val="center"/>
          </w:tcPr>
          <w:p w14:paraId="0DF22C2A">
            <w:pPr>
              <w:pStyle w:val="13"/>
            </w:pPr>
          </w:p>
        </w:tc>
        <w:tc>
          <w:tcPr>
            <w:tcW w:w="2126" w:type="dxa"/>
            <w:vAlign w:val="center"/>
          </w:tcPr>
          <w:p w14:paraId="34E80F44">
            <w:pPr>
              <w:pStyle w:val="14"/>
            </w:pPr>
          </w:p>
        </w:tc>
        <w:tc>
          <w:tcPr>
            <w:tcW w:w="4535" w:type="dxa"/>
            <w:vAlign w:val="center"/>
          </w:tcPr>
          <w:p w14:paraId="7CD9C492">
            <w:pPr>
              <w:pStyle w:val="13"/>
            </w:pPr>
            <w:r>
              <w:t>二十八、债务付息支出</w:t>
            </w:r>
          </w:p>
        </w:tc>
        <w:tc>
          <w:tcPr>
            <w:tcW w:w="2126" w:type="dxa"/>
            <w:vAlign w:val="center"/>
          </w:tcPr>
          <w:p w14:paraId="7B313C1B">
            <w:pPr>
              <w:pStyle w:val="14"/>
            </w:pPr>
          </w:p>
        </w:tc>
      </w:tr>
      <w:tr w14:paraId="6D098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E894FD4">
            <w:pPr>
              <w:pStyle w:val="12"/>
            </w:pPr>
            <w:r>
              <w:t>29</w:t>
            </w:r>
          </w:p>
        </w:tc>
        <w:tc>
          <w:tcPr>
            <w:tcW w:w="4535" w:type="dxa"/>
            <w:vAlign w:val="center"/>
          </w:tcPr>
          <w:p w14:paraId="30B6ACCC">
            <w:pPr>
              <w:pStyle w:val="13"/>
            </w:pPr>
          </w:p>
        </w:tc>
        <w:tc>
          <w:tcPr>
            <w:tcW w:w="2126" w:type="dxa"/>
            <w:vAlign w:val="center"/>
          </w:tcPr>
          <w:p w14:paraId="59015BA8">
            <w:pPr>
              <w:pStyle w:val="14"/>
            </w:pPr>
          </w:p>
        </w:tc>
        <w:tc>
          <w:tcPr>
            <w:tcW w:w="4535" w:type="dxa"/>
            <w:vAlign w:val="center"/>
          </w:tcPr>
          <w:p w14:paraId="608BE144">
            <w:pPr>
              <w:pStyle w:val="13"/>
            </w:pPr>
            <w:r>
              <w:t>二十九、债务发行费用支出</w:t>
            </w:r>
          </w:p>
        </w:tc>
        <w:tc>
          <w:tcPr>
            <w:tcW w:w="2126" w:type="dxa"/>
            <w:vAlign w:val="center"/>
          </w:tcPr>
          <w:p w14:paraId="1846170F">
            <w:pPr>
              <w:pStyle w:val="14"/>
            </w:pPr>
          </w:p>
        </w:tc>
      </w:tr>
      <w:tr w14:paraId="5C907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B1F47">
            <w:pPr>
              <w:pStyle w:val="12"/>
            </w:pPr>
            <w:r>
              <w:t>30</w:t>
            </w:r>
          </w:p>
        </w:tc>
        <w:tc>
          <w:tcPr>
            <w:tcW w:w="4535" w:type="dxa"/>
            <w:vAlign w:val="center"/>
          </w:tcPr>
          <w:p w14:paraId="37506FD3">
            <w:pPr>
              <w:pStyle w:val="13"/>
            </w:pPr>
          </w:p>
        </w:tc>
        <w:tc>
          <w:tcPr>
            <w:tcW w:w="2126" w:type="dxa"/>
            <w:vAlign w:val="center"/>
          </w:tcPr>
          <w:p w14:paraId="4A5073E6">
            <w:pPr>
              <w:pStyle w:val="14"/>
            </w:pPr>
          </w:p>
        </w:tc>
        <w:tc>
          <w:tcPr>
            <w:tcW w:w="4535" w:type="dxa"/>
            <w:vAlign w:val="center"/>
          </w:tcPr>
          <w:p w14:paraId="06A3A72C">
            <w:pPr>
              <w:pStyle w:val="13"/>
            </w:pPr>
            <w:r>
              <w:t>三十、抗疫特别国债安排的支出</w:t>
            </w:r>
          </w:p>
        </w:tc>
        <w:tc>
          <w:tcPr>
            <w:tcW w:w="2126" w:type="dxa"/>
            <w:vAlign w:val="center"/>
          </w:tcPr>
          <w:p w14:paraId="02E637D1">
            <w:pPr>
              <w:pStyle w:val="14"/>
            </w:pPr>
          </w:p>
        </w:tc>
      </w:tr>
      <w:tr w14:paraId="3FB4A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BED17">
            <w:pPr>
              <w:pStyle w:val="12"/>
            </w:pPr>
            <w:r>
              <w:t>31</w:t>
            </w:r>
          </w:p>
        </w:tc>
        <w:tc>
          <w:tcPr>
            <w:tcW w:w="4535" w:type="dxa"/>
            <w:vAlign w:val="center"/>
          </w:tcPr>
          <w:p w14:paraId="67784BE8">
            <w:pPr>
              <w:pStyle w:val="13"/>
            </w:pPr>
          </w:p>
        </w:tc>
        <w:tc>
          <w:tcPr>
            <w:tcW w:w="2126" w:type="dxa"/>
            <w:vAlign w:val="center"/>
          </w:tcPr>
          <w:p w14:paraId="1E95A44F">
            <w:pPr>
              <w:pStyle w:val="14"/>
            </w:pPr>
          </w:p>
        </w:tc>
        <w:tc>
          <w:tcPr>
            <w:tcW w:w="4535" w:type="dxa"/>
            <w:vAlign w:val="center"/>
          </w:tcPr>
          <w:p w14:paraId="549B72D4">
            <w:pPr>
              <w:pStyle w:val="13"/>
            </w:pPr>
            <w:r>
              <w:t>三十一、人行科目</w:t>
            </w:r>
          </w:p>
        </w:tc>
        <w:tc>
          <w:tcPr>
            <w:tcW w:w="2126" w:type="dxa"/>
            <w:vAlign w:val="center"/>
          </w:tcPr>
          <w:p w14:paraId="6944E729">
            <w:pPr>
              <w:pStyle w:val="14"/>
            </w:pPr>
          </w:p>
        </w:tc>
      </w:tr>
      <w:tr w14:paraId="26DB5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8D03B">
            <w:pPr>
              <w:pStyle w:val="12"/>
            </w:pPr>
            <w:r>
              <w:t>32</w:t>
            </w:r>
          </w:p>
        </w:tc>
        <w:tc>
          <w:tcPr>
            <w:tcW w:w="4535" w:type="dxa"/>
            <w:vAlign w:val="center"/>
          </w:tcPr>
          <w:p w14:paraId="0F789303">
            <w:pPr>
              <w:pStyle w:val="15"/>
            </w:pPr>
            <w:r>
              <w:t>本年收入合计</w:t>
            </w:r>
          </w:p>
        </w:tc>
        <w:tc>
          <w:tcPr>
            <w:tcW w:w="2126" w:type="dxa"/>
            <w:vAlign w:val="center"/>
          </w:tcPr>
          <w:p w14:paraId="676F0CEE">
            <w:pPr>
              <w:pStyle w:val="16"/>
            </w:pPr>
            <w:r>
              <w:t>964.97</w:t>
            </w:r>
          </w:p>
        </w:tc>
        <w:tc>
          <w:tcPr>
            <w:tcW w:w="4535" w:type="dxa"/>
            <w:vAlign w:val="center"/>
          </w:tcPr>
          <w:p w14:paraId="7B77FDF7">
            <w:pPr>
              <w:pStyle w:val="15"/>
            </w:pPr>
            <w:r>
              <w:t>本年支出合计</w:t>
            </w:r>
          </w:p>
        </w:tc>
        <w:tc>
          <w:tcPr>
            <w:tcW w:w="2126" w:type="dxa"/>
            <w:vAlign w:val="center"/>
          </w:tcPr>
          <w:p w14:paraId="5F5AC660">
            <w:pPr>
              <w:pStyle w:val="16"/>
            </w:pPr>
            <w:r>
              <w:t>964.97</w:t>
            </w:r>
          </w:p>
        </w:tc>
      </w:tr>
      <w:tr w14:paraId="3C9B4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C2B70">
            <w:pPr>
              <w:pStyle w:val="12"/>
            </w:pPr>
            <w:r>
              <w:t>33</w:t>
            </w:r>
          </w:p>
        </w:tc>
        <w:tc>
          <w:tcPr>
            <w:tcW w:w="4535" w:type="dxa"/>
            <w:vAlign w:val="center"/>
          </w:tcPr>
          <w:p w14:paraId="516F6849">
            <w:pPr>
              <w:pStyle w:val="13"/>
            </w:pPr>
            <w:r>
              <w:t>上年结转结余</w:t>
            </w:r>
          </w:p>
        </w:tc>
        <w:tc>
          <w:tcPr>
            <w:tcW w:w="2126" w:type="dxa"/>
            <w:vAlign w:val="center"/>
          </w:tcPr>
          <w:p w14:paraId="4F203380">
            <w:pPr>
              <w:pStyle w:val="14"/>
            </w:pPr>
          </w:p>
        </w:tc>
        <w:tc>
          <w:tcPr>
            <w:tcW w:w="4535" w:type="dxa"/>
            <w:vAlign w:val="center"/>
          </w:tcPr>
          <w:p w14:paraId="4F589A05">
            <w:pPr>
              <w:pStyle w:val="13"/>
            </w:pPr>
            <w:r>
              <w:t>年终结转结余</w:t>
            </w:r>
          </w:p>
        </w:tc>
        <w:tc>
          <w:tcPr>
            <w:tcW w:w="2126" w:type="dxa"/>
            <w:vAlign w:val="center"/>
          </w:tcPr>
          <w:p w14:paraId="4E7EC5CB">
            <w:pPr>
              <w:pStyle w:val="14"/>
            </w:pPr>
          </w:p>
        </w:tc>
      </w:tr>
      <w:tr w14:paraId="5C9F4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38E8E">
            <w:pPr>
              <w:pStyle w:val="12"/>
            </w:pPr>
            <w:r>
              <w:t>34</w:t>
            </w:r>
          </w:p>
        </w:tc>
        <w:tc>
          <w:tcPr>
            <w:tcW w:w="4535" w:type="dxa"/>
            <w:vAlign w:val="center"/>
          </w:tcPr>
          <w:p w14:paraId="6E16FDD8">
            <w:pPr>
              <w:pStyle w:val="15"/>
            </w:pPr>
            <w:r>
              <w:t>收入总计</w:t>
            </w:r>
          </w:p>
        </w:tc>
        <w:tc>
          <w:tcPr>
            <w:tcW w:w="2126" w:type="dxa"/>
            <w:vAlign w:val="center"/>
          </w:tcPr>
          <w:p w14:paraId="747D2619">
            <w:pPr>
              <w:pStyle w:val="16"/>
            </w:pPr>
            <w:r>
              <w:t>964.97</w:t>
            </w:r>
          </w:p>
        </w:tc>
        <w:tc>
          <w:tcPr>
            <w:tcW w:w="4535" w:type="dxa"/>
            <w:vAlign w:val="center"/>
          </w:tcPr>
          <w:p w14:paraId="4C6EF2D1">
            <w:pPr>
              <w:pStyle w:val="15"/>
            </w:pPr>
            <w:r>
              <w:t>支出总计</w:t>
            </w:r>
          </w:p>
        </w:tc>
        <w:tc>
          <w:tcPr>
            <w:tcW w:w="2126" w:type="dxa"/>
            <w:vAlign w:val="center"/>
          </w:tcPr>
          <w:p w14:paraId="50F84168">
            <w:pPr>
              <w:pStyle w:val="16"/>
            </w:pPr>
            <w:r>
              <w:t>964.97</w:t>
            </w:r>
          </w:p>
        </w:tc>
      </w:tr>
    </w:tbl>
    <w:p w14:paraId="50934D54">
      <w:pPr>
        <w:sectPr>
          <w:pgSz w:w="16840" w:h="11900" w:orient="landscape"/>
          <w:pgMar w:top="1361" w:right="1020" w:bottom="1134" w:left="1020" w:header="720" w:footer="720" w:gutter="0"/>
          <w:cols w:space="720" w:num="1"/>
        </w:sectPr>
      </w:pPr>
    </w:p>
    <w:p w14:paraId="7C4071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7EF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C302FD">
            <w:pPr>
              <w:pStyle w:val="8"/>
            </w:pPr>
            <w:r>
              <w:t>360031隆尧县北楼中学</w:t>
            </w:r>
          </w:p>
        </w:tc>
        <w:tc>
          <w:tcPr>
            <w:tcW w:w="3402" w:type="dxa"/>
            <w:gridSpan w:val="3"/>
            <w:tcBorders>
              <w:top w:val="single" w:color="FFFFFF" w:sz="6" w:space="0"/>
              <w:left w:val="single" w:color="FFFFFF" w:sz="6" w:space="0"/>
              <w:right w:val="single" w:color="FFFFFF" w:sz="6" w:space="0"/>
            </w:tcBorders>
            <w:vAlign w:val="center"/>
          </w:tcPr>
          <w:p w14:paraId="3C128C1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096D520">
            <w:pPr>
              <w:pStyle w:val="10"/>
            </w:pPr>
            <w:r>
              <w:t>单位：万元</w:t>
            </w:r>
          </w:p>
        </w:tc>
      </w:tr>
      <w:tr w14:paraId="63980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327D7F">
            <w:pPr>
              <w:pStyle w:val="11"/>
            </w:pPr>
            <w:r>
              <w:t>序号</w:t>
            </w:r>
          </w:p>
        </w:tc>
        <w:tc>
          <w:tcPr>
            <w:tcW w:w="2551" w:type="dxa"/>
            <w:gridSpan w:val="2"/>
            <w:vAlign w:val="center"/>
          </w:tcPr>
          <w:p w14:paraId="6A7C6726">
            <w:pPr>
              <w:pStyle w:val="11"/>
            </w:pPr>
            <w:r>
              <w:t>功能分类科目</w:t>
            </w:r>
          </w:p>
        </w:tc>
        <w:tc>
          <w:tcPr>
            <w:tcW w:w="1134" w:type="dxa"/>
            <w:vMerge w:val="restart"/>
            <w:vAlign w:val="center"/>
          </w:tcPr>
          <w:p w14:paraId="6365A58C">
            <w:pPr>
              <w:pStyle w:val="11"/>
            </w:pPr>
            <w:r>
              <w:t>合计</w:t>
            </w:r>
          </w:p>
        </w:tc>
        <w:tc>
          <w:tcPr>
            <w:tcW w:w="9072" w:type="dxa"/>
            <w:gridSpan w:val="8"/>
            <w:vAlign w:val="center"/>
          </w:tcPr>
          <w:p w14:paraId="028A5683">
            <w:pPr>
              <w:pStyle w:val="11"/>
            </w:pPr>
            <w:r>
              <w:t>本年收入</w:t>
            </w:r>
          </w:p>
        </w:tc>
        <w:tc>
          <w:tcPr>
            <w:tcW w:w="1134" w:type="dxa"/>
            <w:vMerge w:val="restart"/>
            <w:vAlign w:val="center"/>
          </w:tcPr>
          <w:p w14:paraId="3EAED8E5">
            <w:pPr>
              <w:pStyle w:val="11"/>
            </w:pPr>
            <w:r>
              <w:t>上年结转</w:t>
            </w:r>
          </w:p>
        </w:tc>
      </w:tr>
      <w:tr w14:paraId="11BB3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929EA3"/>
        </w:tc>
        <w:tc>
          <w:tcPr>
            <w:tcW w:w="992" w:type="dxa"/>
            <w:vAlign w:val="center"/>
          </w:tcPr>
          <w:p w14:paraId="75D5BCF7">
            <w:pPr>
              <w:pStyle w:val="11"/>
            </w:pPr>
            <w:r>
              <w:t>科目    编码</w:t>
            </w:r>
          </w:p>
        </w:tc>
        <w:tc>
          <w:tcPr>
            <w:tcW w:w="1559" w:type="dxa"/>
            <w:vAlign w:val="center"/>
          </w:tcPr>
          <w:p w14:paraId="67554935">
            <w:pPr>
              <w:pStyle w:val="11"/>
            </w:pPr>
            <w:r>
              <w:t>科目名称</w:t>
            </w:r>
          </w:p>
        </w:tc>
        <w:tc>
          <w:tcPr>
            <w:tcW w:w="1134" w:type="dxa"/>
            <w:vMerge w:val="continue"/>
          </w:tcPr>
          <w:p w14:paraId="08997C82"/>
        </w:tc>
        <w:tc>
          <w:tcPr>
            <w:tcW w:w="1134" w:type="dxa"/>
            <w:vAlign w:val="center"/>
          </w:tcPr>
          <w:p w14:paraId="0541E019">
            <w:pPr>
              <w:pStyle w:val="11"/>
            </w:pPr>
            <w:r>
              <w:t>小计</w:t>
            </w:r>
          </w:p>
        </w:tc>
        <w:tc>
          <w:tcPr>
            <w:tcW w:w="1134" w:type="dxa"/>
            <w:vAlign w:val="center"/>
          </w:tcPr>
          <w:p w14:paraId="5D35490D">
            <w:pPr>
              <w:pStyle w:val="11"/>
            </w:pPr>
            <w:r>
              <w:t>财政拨款 收入</w:t>
            </w:r>
          </w:p>
        </w:tc>
        <w:tc>
          <w:tcPr>
            <w:tcW w:w="1134" w:type="dxa"/>
            <w:vAlign w:val="center"/>
          </w:tcPr>
          <w:p w14:paraId="37672BA5">
            <w:pPr>
              <w:pStyle w:val="11"/>
            </w:pPr>
            <w:r>
              <w:t>财政专户 收入</w:t>
            </w:r>
          </w:p>
        </w:tc>
        <w:tc>
          <w:tcPr>
            <w:tcW w:w="1134" w:type="dxa"/>
            <w:vAlign w:val="center"/>
          </w:tcPr>
          <w:p w14:paraId="6F38F158">
            <w:pPr>
              <w:pStyle w:val="11"/>
            </w:pPr>
            <w:r>
              <w:t>事业收入</w:t>
            </w:r>
          </w:p>
        </w:tc>
        <w:tc>
          <w:tcPr>
            <w:tcW w:w="1134" w:type="dxa"/>
            <w:vAlign w:val="center"/>
          </w:tcPr>
          <w:p w14:paraId="1B197D20">
            <w:pPr>
              <w:pStyle w:val="11"/>
            </w:pPr>
            <w:r>
              <w:t>经营收入</w:t>
            </w:r>
          </w:p>
        </w:tc>
        <w:tc>
          <w:tcPr>
            <w:tcW w:w="1134" w:type="dxa"/>
            <w:vAlign w:val="center"/>
          </w:tcPr>
          <w:p w14:paraId="18CF045B">
            <w:pPr>
              <w:pStyle w:val="11"/>
            </w:pPr>
            <w:r>
              <w:t>上级补助收入</w:t>
            </w:r>
          </w:p>
        </w:tc>
        <w:tc>
          <w:tcPr>
            <w:tcW w:w="1134" w:type="dxa"/>
            <w:vAlign w:val="center"/>
          </w:tcPr>
          <w:p w14:paraId="63B46340">
            <w:pPr>
              <w:pStyle w:val="11"/>
            </w:pPr>
            <w:r>
              <w:t>附属单位上缴收入</w:t>
            </w:r>
          </w:p>
        </w:tc>
        <w:tc>
          <w:tcPr>
            <w:tcW w:w="1134" w:type="dxa"/>
            <w:vAlign w:val="center"/>
          </w:tcPr>
          <w:p w14:paraId="443874B3">
            <w:pPr>
              <w:pStyle w:val="11"/>
            </w:pPr>
            <w:r>
              <w:t>其他收入</w:t>
            </w:r>
          </w:p>
        </w:tc>
        <w:tc>
          <w:tcPr>
            <w:tcW w:w="1134" w:type="dxa"/>
            <w:vMerge w:val="continue"/>
          </w:tcPr>
          <w:p w14:paraId="39396A09"/>
        </w:tc>
      </w:tr>
      <w:tr w14:paraId="749B7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65A6F2">
            <w:pPr>
              <w:pStyle w:val="11"/>
            </w:pPr>
            <w:r>
              <w:t>栏次</w:t>
            </w:r>
          </w:p>
        </w:tc>
        <w:tc>
          <w:tcPr>
            <w:tcW w:w="992" w:type="dxa"/>
            <w:vAlign w:val="center"/>
          </w:tcPr>
          <w:p w14:paraId="388E6EE3">
            <w:pPr>
              <w:pStyle w:val="11"/>
            </w:pPr>
            <w:r>
              <w:t>1</w:t>
            </w:r>
          </w:p>
        </w:tc>
        <w:tc>
          <w:tcPr>
            <w:tcW w:w="1559" w:type="dxa"/>
            <w:vAlign w:val="center"/>
          </w:tcPr>
          <w:p w14:paraId="5879F409">
            <w:pPr>
              <w:pStyle w:val="11"/>
            </w:pPr>
            <w:r>
              <w:t>2</w:t>
            </w:r>
          </w:p>
        </w:tc>
        <w:tc>
          <w:tcPr>
            <w:tcW w:w="1134" w:type="dxa"/>
            <w:vAlign w:val="center"/>
          </w:tcPr>
          <w:p w14:paraId="2C733DAE">
            <w:pPr>
              <w:pStyle w:val="11"/>
            </w:pPr>
            <w:r>
              <w:t>3</w:t>
            </w:r>
          </w:p>
        </w:tc>
        <w:tc>
          <w:tcPr>
            <w:tcW w:w="1134" w:type="dxa"/>
            <w:vAlign w:val="center"/>
          </w:tcPr>
          <w:p w14:paraId="297DC11E">
            <w:pPr>
              <w:pStyle w:val="11"/>
            </w:pPr>
            <w:r>
              <w:t>4</w:t>
            </w:r>
          </w:p>
        </w:tc>
        <w:tc>
          <w:tcPr>
            <w:tcW w:w="1134" w:type="dxa"/>
            <w:vAlign w:val="center"/>
          </w:tcPr>
          <w:p w14:paraId="3891478C">
            <w:pPr>
              <w:pStyle w:val="11"/>
            </w:pPr>
            <w:r>
              <w:t>5</w:t>
            </w:r>
          </w:p>
        </w:tc>
        <w:tc>
          <w:tcPr>
            <w:tcW w:w="1134" w:type="dxa"/>
            <w:vAlign w:val="center"/>
          </w:tcPr>
          <w:p w14:paraId="3F27975D">
            <w:pPr>
              <w:pStyle w:val="11"/>
            </w:pPr>
            <w:r>
              <w:t>6</w:t>
            </w:r>
          </w:p>
        </w:tc>
        <w:tc>
          <w:tcPr>
            <w:tcW w:w="1134" w:type="dxa"/>
            <w:vAlign w:val="center"/>
          </w:tcPr>
          <w:p w14:paraId="561DA747">
            <w:pPr>
              <w:pStyle w:val="11"/>
            </w:pPr>
            <w:r>
              <w:t>7</w:t>
            </w:r>
          </w:p>
        </w:tc>
        <w:tc>
          <w:tcPr>
            <w:tcW w:w="1134" w:type="dxa"/>
            <w:vAlign w:val="center"/>
          </w:tcPr>
          <w:p w14:paraId="5B1336C0">
            <w:pPr>
              <w:pStyle w:val="11"/>
            </w:pPr>
            <w:r>
              <w:t>8</w:t>
            </w:r>
          </w:p>
        </w:tc>
        <w:tc>
          <w:tcPr>
            <w:tcW w:w="1134" w:type="dxa"/>
            <w:vAlign w:val="center"/>
          </w:tcPr>
          <w:p w14:paraId="1E6280C5">
            <w:pPr>
              <w:pStyle w:val="11"/>
            </w:pPr>
            <w:r>
              <w:t>9</w:t>
            </w:r>
          </w:p>
        </w:tc>
        <w:tc>
          <w:tcPr>
            <w:tcW w:w="1134" w:type="dxa"/>
            <w:vAlign w:val="center"/>
          </w:tcPr>
          <w:p w14:paraId="68845D4F">
            <w:pPr>
              <w:pStyle w:val="11"/>
            </w:pPr>
            <w:r>
              <w:t>10</w:t>
            </w:r>
          </w:p>
        </w:tc>
        <w:tc>
          <w:tcPr>
            <w:tcW w:w="1134" w:type="dxa"/>
            <w:vAlign w:val="center"/>
          </w:tcPr>
          <w:p w14:paraId="4CC217B7">
            <w:pPr>
              <w:pStyle w:val="11"/>
            </w:pPr>
            <w:r>
              <w:t>11</w:t>
            </w:r>
          </w:p>
        </w:tc>
        <w:tc>
          <w:tcPr>
            <w:tcW w:w="1134" w:type="dxa"/>
            <w:vAlign w:val="center"/>
          </w:tcPr>
          <w:p w14:paraId="397C6C58">
            <w:pPr>
              <w:pStyle w:val="11"/>
            </w:pPr>
            <w:r>
              <w:t>12</w:t>
            </w:r>
          </w:p>
        </w:tc>
      </w:tr>
      <w:tr w14:paraId="4D58F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37FA17">
            <w:pPr>
              <w:pStyle w:val="12"/>
            </w:pPr>
            <w:r>
              <w:t>1</w:t>
            </w:r>
          </w:p>
        </w:tc>
        <w:tc>
          <w:tcPr>
            <w:tcW w:w="992" w:type="dxa"/>
            <w:vAlign w:val="center"/>
          </w:tcPr>
          <w:p w14:paraId="0C84840D">
            <w:pPr>
              <w:pStyle w:val="17"/>
            </w:pPr>
          </w:p>
        </w:tc>
        <w:tc>
          <w:tcPr>
            <w:tcW w:w="1559" w:type="dxa"/>
            <w:vAlign w:val="center"/>
          </w:tcPr>
          <w:p w14:paraId="06A27857">
            <w:pPr>
              <w:pStyle w:val="15"/>
            </w:pPr>
            <w:r>
              <w:t>合计</w:t>
            </w:r>
          </w:p>
        </w:tc>
        <w:tc>
          <w:tcPr>
            <w:tcW w:w="1134" w:type="dxa"/>
            <w:vAlign w:val="center"/>
          </w:tcPr>
          <w:p w14:paraId="42125803">
            <w:pPr>
              <w:pStyle w:val="16"/>
            </w:pPr>
            <w:r>
              <w:t>964.97</w:t>
            </w:r>
          </w:p>
        </w:tc>
        <w:tc>
          <w:tcPr>
            <w:tcW w:w="1134" w:type="dxa"/>
            <w:vAlign w:val="center"/>
          </w:tcPr>
          <w:p w14:paraId="29978D81">
            <w:pPr>
              <w:pStyle w:val="16"/>
            </w:pPr>
            <w:r>
              <w:t>964.97</w:t>
            </w:r>
          </w:p>
        </w:tc>
        <w:tc>
          <w:tcPr>
            <w:tcW w:w="1134" w:type="dxa"/>
            <w:vAlign w:val="center"/>
          </w:tcPr>
          <w:p w14:paraId="74829181">
            <w:pPr>
              <w:pStyle w:val="16"/>
            </w:pPr>
            <w:r>
              <w:t>964.97</w:t>
            </w:r>
          </w:p>
        </w:tc>
        <w:tc>
          <w:tcPr>
            <w:tcW w:w="1134" w:type="dxa"/>
            <w:vAlign w:val="center"/>
          </w:tcPr>
          <w:p w14:paraId="5511A285">
            <w:pPr>
              <w:pStyle w:val="16"/>
            </w:pPr>
          </w:p>
        </w:tc>
        <w:tc>
          <w:tcPr>
            <w:tcW w:w="1134" w:type="dxa"/>
            <w:vAlign w:val="center"/>
          </w:tcPr>
          <w:p w14:paraId="49512504">
            <w:pPr>
              <w:pStyle w:val="16"/>
            </w:pPr>
          </w:p>
        </w:tc>
        <w:tc>
          <w:tcPr>
            <w:tcW w:w="1134" w:type="dxa"/>
            <w:vAlign w:val="center"/>
          </w:tcPr>
          <w:p w14:paraId="18E0838F">
            <w:pPr>
              <w:pStyle w:val="16"/>
            </w:pPr>
          </w:p>
        </w:tc>
        <w:tc>
          <w:tcPr>
            <w:tcW w:w="1134" w:type="dxa"/>
            <w:vAlign w:val="center"/>
          </w:tcPr>
          <w:p w14:paraId="6B332135">
            <w:pPr>
              <w:pStyle w:val="16"/>
            </w:pPr>
          </w:p>
        </w:tc>
        <w:tc>
          <w:tcPr>
            <w:tcW w:w="1134" w:type="dxa"/>
            <w:vAlign w:val="center"/>
          </w:tcPr>
          <w:p w14:paraId="51A38BE1">
            <w:pPr>
              <w:pStyle w:val="16"/>
            </w:pPr>
          </w:p>
        </w:tc>
        <w:tc>
          <w:tcPr>
            <w:tcW w:w="1134" w:type="dxa"/>
            <w:vAlign w:val="center"/>
          </w:tcPr>
          <w:p w14:paraId="5CD4CAE9">
            <w:pPr>
              <w:pStyle w:val="16"/>
            </w:pPr>
          </w:p>
        </w:tc>
        <w:tc>
          <w:tcPr>
            <w:tcW w:w="1134" w:type="dxa"/>
            <w:vAlign w:val="center"/>
          </w:tcPr>
          <w:p w14:paraId="5707990E">
            <w:pPr>
              <w:pStyle w:val="16"/>
            </w:pPr>
          </w:p>
        </w:tc>
      </w:tr>
      <w:tr w14:paraId="081AB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67A6A7">
            <w:pPr>
              <w:pStyle w:val="12"/>
            </w:pPr>
            <w:r>
              <w:t>2</w:t>
            </w:r>
          </w:p>
        </w:tc>
        <w:tc>
          <w:tcPr>
            <w:tcW w:w="992" w:type="dxa"/>
            <w:vAlign w:val="center"/>
          </w:tcPr>
          <w:p w14:paraId="491EB21A">
            <w:pPr>
              <w:pStyle w:val="13"/>
            </w:pPr>
            <w:r>
              <w:t>205</w:t>
            </w:r>
          </w:p>
        </w:tc>
        <w:tc>
          <w:tcPr>
            <w:tcW w:w="1559" w:type="dxa"/>
            <w:vAlign w:val="center"/>
          </w:tcPr>
          <w:p w14:paraId="49B8D4CD">
            <w:pPr>
              <w:pStyle w:val="13"/>
            </w:pPr>
            <w:r>
              <w:t>教育支出</w:t>
            </w:r>
          </w:p>
        </w:tc>
        <w:tc>
          <w:tcPr>
            <w:tcW w:w="1134" w:type="dxa"/>
            <w:vAlign w:val="center"/>
          </w:tcPr>
          <w:p w14:paraId="34BF8588">
            <w:pPr>
              <w:pStyle w:val="14"/>
            </w:pPr>
            <w:r>
              <w:t>964.97</w:t>
            </w:r>
          </w:p>
        </w:tc>
        <w:tc>
          <w:tcPr>
            <w:tcW w:w="1134" w:type="dxa"/>
            <w:vAlign w:val="center"/>
          </w:tcPr>
          <w:p w14:paraId="4AD97FBD">
            <w:pPr>
              <w:pStyle w:val="14"/>
            </w:pPr>
            <w:r>
              <w:t>964.97</w:t>
            </w:r>
          </w:p>
        </w:tc>
        <w:tc>
          <w:tcPr>
            <w:tcW w:w="1134" w:type="dxa"/>
            <w:vAlign w:val="center"/>
          </w:tcPr>
          <w:p w14:paraId="1C83D0CE">
            <w:pPr>
              <w:pStyle w:val="14"/>
            </w:pPr>
            <w:r>
              <w:t>964.97</w:t>
            </w:r>
          </w:p>
        </w:tc>
        <w:tc>
          <w:tcPr>
            <w:tcW w:w="1134" w:type="dxa"/>
            <w:vAlign w:val="center"/>
          </w:tcPr>
          <w:p w14:paraId="04FB8D75">
            <w:pPr>
              <w:pStyle w:val="14"/>
            </w:pPr>
          </w:p>
        </w:tc>
        <w:tc>
          <w:tcPr>
            <w:tcW w:w="1134" w:type="dxa"/>
            <w:vAlign w:val="center"/>
          </w:tcPr>
          <w:p w14:paraId="086E8193">
            <w:pPr>
              <w:pStyle w:val="14"/>
            </w:pPr>
          </w:p>
        </w:tc>
        <w:tc>
          <w:tcPr>
            <w:tcW w:w="1134" w:type="dxa"/>
            <w:vAlign w:val="center"/>
          </w:tcPr>
          <w:p w14:paraId="57E23B46">
            <w:pPr>
              <w:pStyle w:val="14"/>
            </w:pPr>
          </w:p>
        </w:tc>
        <w:tc>
          <w:tcPr>
            <w:tcW w:w="1134" w:type="dxa"/>
            <w:vAlign w:val="center"/>
          </w:tcPr>
          <w:p w14:paraId="2629AC9E">
            <w:pPr>
              <w:pStyle w:val="14"/>
            </w:pPr>
          </w:p>
        </w:tc>
        <w:tc>
          <w:tcPr>
            <w:tcW w:w="1134" w:type="dxa"/>
            <w:vAlign w:val="center"/>
          </w:tcPr>
          <w:p w14:paraId="4B034589">
            <w:pPr>
              <w:pStyle w:val="14"/>
            </w:pPr>
          </w:p>
        </w:tc>
        <w:tc>
          <w:tcPr>
            <w:tcW w:w="1134" w:type="dxa"/>
            <w:vAlign w:val="center"/>
          </w:tcPr>
          <w:p w14:paraId="268AFEA7">
            <w:pPr>
              <w:pStyle w:val="14"/>
            </w:pPr>
          </w:p>
        </w:tc>
        <w:tc>
          <w:tcPr>
            <w:tcW w:w="1134" w:type="dxa"/>
            <w:vAlign w:val="center"/>
          </w:tcPr>
          <w:p w14:paraId="21AEB4A2">
            <w:pPr>
              <w:pStyle w:val="14"/>
            </w:pPr>
          </w:p>
        </w:tc>
      </w:tr>
      <w:tr w14:paraId="7D589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20209D">
            <w:pPr>
              <w:pStyle w:val="12"/>
            </w:pPr>
            <w:r>
              <w:t>3</w:t>
            </w:r>
          </w:p>
        </w:tc>
        <w:tc>
          <w:tcPr>
            <w:tcW w:w="992" w:type="dxa"/>
            <w:vAlign w:val="center"/>
          </w:tcPr>
          <w:p w14:paraId="5FFBA751">
            <w:pPr>
              <w:pStyle w:val="13"/>
            </w:pPr>
            <w:r>
              <w:t>20502</w:t>
            </w:r>
          </w:p>
        </w:tc>
        <w:tc>
          <w:tcPr>
            <w:tcW w:w="1559" w:type="dxa"/>
            <w:vAlign w:val="center"/>
          </w:tcPr>
          <w:p w14:paraId="45CC4D29">
            <w:pPr>
              <w:pStyle w:val="13"/>
            </w:pPr>
            <w:r>
              <w:t>普通教育</w:t>
            </w:r>
          </w:p>
        </w:tc>
        <w:tc>
          <w:tcPr>
            <w:tcW w:w="1134" w:type="dxa"/>
            <w:vAlign w:val="center"/>
          </w:tcPr>
          <w:p w14:paraId="47187EF0">
            <w:pPr>
              <w:pStyle w:val="14"/>
            </w:pPr>
            <w:r>
              <w:t>964.97</w:t>
            </w:r>
          </w:p>
        </w:tc>
        <w:tc>
          <w:tcPr>
            <w:tcW w:w="1134" w:type="dxa"/>
            <w:vAlign w:val="center"/>
          </w:tcPr>
          <w:p w14:paraId="7A88D972">
            <w:pPr>
              <w:pStyle w:val="14"/>
            </w:pPr>
            <w:r>
              <w:t>964.97</w:t>
            </w:r>
          </w:p>
        </w:tc>
        <w:tc>
          <w:tcPr>
            <w:tcW w:w="1134" w:type="dxa"/>
            <w:vAlign w:val="center"/>
          </w:tcPr>
          <w:p w14:paraId="480FE7CF">
            <w:pPr>
              <w:pStyle w:val="14"/>
            </w:pPr>
            <w:r>
              <w:t>964.97</w:t>
            </w:r>
          </w:p>
        </w:tc>
        <w:tc>
          <w:tcPr>
            <w:tcW w:w="1134" w:type="dxa"/>
            <w:vAlign w:val="center"/>
          </w:tcPr>
          <w:p w14:paraId="33987F9D">
            <w:pPr>
              <w:pStyle w:val="14"/>
            </w:pPr>
          </w:p>
        </w:tc>
        <w:tc>
          <w:tcPr>
            <w:tcW w:w="1134" w:type="dxa"/>
            <w:vAlign w:val="center"/>
          </w:tcPr>
          <w:p w14:paraId="3D0C815E">
            <w:pPr>
              <w:pStyle w:val="14"/>
            </w:pPr>
          </w:p>
        </w:tc>
        <w:tc>
          <w:tcPr>
            <w:tcW w:w="1134" w:type="dxa"/>
            <w:vAlign w:val="center"/>
          </w:tcPr>
          <w:p w14:paraId="74468CEA">
            <w:pPr>
              <w:pStyle w:val="14"/>
            </w:pPr>
          </w:p>
        </w:tc>
        <w:tc>
          <w:tcPr>
            <w:tcW w:w="1134" w:type="dxa"/>
            <w:vAlign w:val="center"/>
          </w:tcPr>
          <w:p w14:paraId="4EC8CB0B">
            <w:pPr>
              <w:pStyle w:val="14"/>
            </w:pPr>
          </w:p>
        </w:tc>
        <w:tc>
          <w:tcPr>
            <w:tcW w:w="1134" w:type="dxa"/>
            <w:vAlign w:val="center"/>
          </w:tcPr>
          <w:p w14:paraId="39CE95DE">
            <w:pPr>
              <w:pStyle w:val="14"/>
            </w:pPr>
          </w:p>
        </w:tc>
        <w:tc>
          <w:tcPr>
            <w:tcW w:w="1134" w:type="dxa"/>
            <w:vAlign w:val="center"/>
          </w:tcPr>
          <w:p w14:paraId="1A06E6D6">
            <w:pPr>
              <w:pStyle w:val="14"/>
            </w:pPr>
          </w:p>
        </w:tc>
        <w:tc>
          <w:tcPr>
            <w:tcW w:w="1134" w:type="dxa"/>
            <w:vAlign w:val="center"/>
          </w:tcPr>
          <w:p w14:paraId="58BE0440">
            <w:pPr>
              <w:pStyle w:val="14"/>
            </w:pPr>
          </w:p>
        </w:tc>
      </w:tr>
      <w:tr w14:paraId="7DD61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6E3056">
            <w:pPr>
              <w:pStyle w:val="12"/>
            </w:pPr>
            <w:r>
              <w:t>4</w:t>
            </w:r>
          </w:p>
        </w:tc>
        <w:tc>
          <w:tcPr>
            <w:tcW w:w="992" w:type="dxa"/>
            <w:vAlign w:val="center"/>
          </w:tcPr>
          <w:p w14:paraId="4F8AA3CE">
            <w:pPr>
              <w:pStyle w:val="13"/>
            </w:pPr>
            <w:r>
              <w:t>2050203</w:t>
            </w:r>
          </w:p>
        </w:tc>
        <w:tc>
          <w:tcPr>
            <w:tcW w:w="1559" w:type="dxa"/>
            <w:vAlign w:val="center"/>
          </w:tcPr>
          <w:p w14:paraId="3F974FC6">
            <w:pPr>
              <w:pStyle w:val="13"/>
            </w:pPr>
            <w:r>
              <w:t>初中教育</w:t>
            </w:r>
          </w:p>
        </w:tc>
        <w:tc>
          <w:tcPr>
            <w:tcW w:w="1134" w:type="dxa"/>
            <w:vAlign w:val="center"/>
          </w:tcPr>
          <w:p w14:paraId="6E659071">
            <w:pPr>
              <w:pStyle w:val="14"/>
            </w:pPr>
            <w:r>
              <w:t>964.97</w:t>
            </w:r>
          </w:p>
        </w:tc>
        <w:tc>
          <w:tcPr>
            <w:tcW w:w="1134" w:type="dxa"/>
            <w:vAlign w:val="center"/>
          </w:tcPr>
          <w:p w14:paraId="471534A3">
            <w:pPr>
              <w:pStyle w:val="14"/>
            </w:pPr>
            <w:r>
              <w:t>964.97</w:t>
            </w:r>
          </w:p>
        </w:tc>
        <w:tc>
          <w:tcPr>
            <w:tcW w:w="1134" w:type="dxa"/>
            <w:vAlign w:val="center"/>
          </w:tcPr>
          <w:p w14:paraId="6997D761">
            <w:pPr>
              <w:pStyle w:val="14"/>
            </w:pPr>
            <w:r>
              <w:t>964.97</w:t>
            </w:r>
          </w:p>
        </w:tc>
        <w:tc>
          <w:tcPr>
            <w:tcW w:w="1134" w:type="dxa"/>
            <w:vAlign w:val="center"/>
          </w:tcPr>
          <w:p w14:paraId="6D9F5DD5">
            <w:pPr>
              <w:pStyle w:val="14"/>
            </w:pPr>
          </w:p>
        </w:tc>
        <w:tc>
          <w:tcPr>
            <w:tcW w:w="1134" w:type="dxa"/>
            <w:vAlign w:val="center"/>
          </w:tcPr>
          <w:p w14:paraId="531ADB15">
            <w:pPr>
              <w:pStyle w:val="14"/>
            </w:pPr>
          </w:p>
        </w:tc>
        <w:tc>
          <w:tcPr>
            <w:tcW w:w="1134" w:type="dxa"/>
            <w:vAlign w:val="center"/>
          </w:tcPr>
          <w:p w14:paraId="67E5BF8D">
            <w:pPr>
              <w:pStyle w:val="14"/>
            </w:pPr>
          </w:p>
        </w:tc>
        <w:tc>
          <w:tcPr>
            <w:tcW w:w="1134" w:type="dxa"/>
            <w:vAlign w:val="center"/>
          </w:tcPr>
          <w:p w14:paraId="054BE2F8">
            <w:pPr>
              <w:pStyle w:val="14"/>
            </w:pPr>
          </w:p>
        </w:tc>
        <w:tc>
          <w:tcPr>
            <w:tcW w:w="1134" w:type="dxa"/>
            <w:vAlign w:val="center"/>
          </w:tcPr>
          <w:p w14:paraId="75495BA3">
            <w:pPr>
              <w:pStyle w:val="14"/>
            </w:pPr>
          </w:p>
        </w:tc>
        <w:tc>
          <w:tcPr>
            <w:tcW w:w="1134" w:type="dxa"/>
            <w:vAlign w:val="center"/>
          </w:tcPr>
          <w:p w14:paraId="4EA0EAD2">
            <w:pPr>
              <w:pStyle w:val="14"/>
            </w:pPr>
          </w:p>
        </w:tc>
        <w:tc>
          <w:tcPr>
            <w:tcW w:w="1134" w:type="dxa"/>
            <w:vAlign w:val="center"/>
          </w:tcPr>
          <w:p w14:paraId="49036B29">
            <w:pPr>
              <w:pStyle w:val="14"/>
            </w:pPr>
          </w:p>
        </w:tc>
      </w:tr>
    </w:tbl>
    <w:p w14:paraId="66EEFB4E">
      <w:pPr>
        <w:sectPr>
          <w:pgSz w:w="16840" w:h="11900" w:orient="landscape"/>
          <w:pgMar w:top="1361" w:right="1020" w:bottom="1134" w:left="1020" w:header="720" w:footer="720" w:gutter="0"/>
          <w:cols w:space="720" w:num="1"/>
        </w:sectPr>
      </w:pPr>
    </w:p>
    <w:p w14:paraId="5979A9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006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C1F5FF">
            <w:pPr>
              <w:pStyle w:val="8"/>
            </w:pPr>
            <w:r>
              <w:t>360031隆尧县北楼中学</w:t>
            </w:r>
          </w:p>
        </w:tc>
        <w:tc>
          <w:tcPr>
            <w:tcW w:w="2722" w:type="dxa"/>
            <w:gridSpan w:val="2"/>
            <w:tcBorders>
              <w:top w:val="single" w:color="FFFFFF" w:sz="6" w:space="0"/>
              <w:left w:val="single" w:color="FFFFFF" w:sz="6" w:space="0"/>
              <w:right w:val="single" w:color="FFFFFF" w:sz="6" w:space="0"/>
            </w:tcBorders>
            <w:vAlign w:val="center"/>
          </w:tcPr>
          <w:p w14:paraId="620CFFE6">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4403430">
            <w:pPr>
              <w:pStyle w:val="10"/>
            </w:pPr>
            <w:r>
              <w:t>单位：万元</w:t>
            </w:r>
          </w:p>
        </w:tc>
      </w:tr>
      <w:tr w14:paraId="2F4E5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4E5758">
            <w:pPr>
              <w:pStyle w:val="11"/>
            </w:pPr>
            <w:r>
              <w:t>序号</w:t>
            </w:r>
          </w:p>
        </w:tc>
        <w:tc>
          <w:tcPr>
            <w:tcW w:w="5527" w:type="dxa"/>
            <w:gridSpan w:val="2"/>
            <w:vAlign w:val="center"/>
          </w:tcPr>
          <w:p w14:paraId="18590ADB">
            <w:pPr>
              <w:pStyle w:val="11"/>
            </w:pPr>
            <w:r>
              <w:t>功能分类科目</w:t>
            </w:r>
          </w:p>
        </w:tc>
        <w:tc>
          <w:tcPr>
            <w:tcW w:w="1361" w:type="dxa"/>
            <w:vMerge w:val="restart"/>
            <w:vAlign w:val="center"/>
          </w:tcPr>
          <w:p w14:paraId="04B6EF1B">
            <w:pPr>
              <w:pStyle w:val="11"/>
            </w:pPr>
            <w:r>
              <w:t>合计</w:t>
            </w:r>
          </w:p>
        </w:tc>
        <w:tc>
          <w:tcPr>
            <w:tcW w:w="1361" w:type="dxa"/>
            <w:vMerge w:val="restart"/>
            <w:vAlign w:val="center"/>
          </w:tcPr>
          <w:p w14:paraId="440DCF12">
            <w:pPr>
              <w:pStyle w:val="11"/>
            </w:pPr>
            <w:r>
              <w:t>基本支出</w:t>
            </w:r>
          </w:p>
        </w:tc>
        <w:tc>
          <w:tcPr>
            <w:tcW w:w="1361" w:type="dxa"/>
            <w:vMerge w:val="restart"/>
            <w:vAlign w:val="center"/>
          </w:tcPr>
          <w:p w14:paraId="6B5C0AFF">
            <w:pPr>
              <w:pStyle w:val="11"/>
            </w:pPr>
            <w:r>
              <w:t>项目支出</w:t>
            </w:r>
          </w:p>
        </w:tc>
        <w:tc>
          <w:tcPr>
            <w:tcW w:w="1361" w:type="dxa"/>
            <w:vMerge w:val="restart"/>
            <w:vAlign w:val="center"/>
          </w:tcPr>
          <w:p w14:paraId="768A8F44">
            <w:pPr>
              <w:pStyle w:val="11"/>
            </w:pPr>
            <w:r>
              <w:t>经营支出</w:t>
            </w:r>
          </w:p>
        </w:tc>
        <w:tc>
          <w:tcPr>
            <w:tcW w:w="1361" w:type="dxa"/>
            <w:vMerge w:val="restart"/>
            <w:vAlign w:val="center"/>
          </w:tcPr>
          <w:p w14:paraId="5934C5E7">
            <w:pPr>
              <w:pStyle w:val="11"/>
            </w:pPr>
            <w:r>
              <w:t>上解上级     支出</w:t>
            </w:r>
          </w:p>
        </w:tc>
        <w:tc>
          <w:tcPr>
            <w:tcW w:w="1361" w:type="dxa"/>
            <w:vMerge w:val="restart"/>
            <w:vAlign w:val="center"/>
          </w:tcPr>
          <w:p w14:paraId="006EAEF6">
            <w:pPr>
              <w:pStyle w:val="11"/>
            </w:pPr>
            <w:r>
              <w:t>对附属单位补助支出</w:t>
            </w:r>
          </w:p>
        </w:tc>
      </w:tr>
      <w:tr w14:paraId="616BE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948FBB"/>
        </w:tc>
        <w:tc>
          <w:tcPr>
            <w:tcW w:w="992" w:type="dxa"/>
            <w:vAlign w:val="center"/>
          </w:tcPr>
          <w:p w14:paraId="1A925C00">
            <w:pPr>
              <w:pStyle w:val="11"/>
            </w:pPr>
            <w:r>
              <w:t>科目    编码</w:t>
            </w:r>
          </w:p>
        </w:tc>
        <w:tc>
          <w:tcPr>
            <w:tcW w:w="4535" w:type="dxa"/>
            <w:vAlign w:val="center"/>
          </w:tcPr>
          <w:p w14:paraId="469969B6">
            <w:pPr>
              <w:pStyle w:val="11"/>
            </w:pPr>
            <w:r>
              <w:t>科目名称</w:t>
            </w:r>
          </w:p>
        </w:tc>
        <w:tc>
          <w:tcPr>
            <w:tcW w:w="1361" w:type="dxa"/>
            <w:vMerge w:val="continue"/>
          </w:tcPr>
          <w:p w14:paraId="4CCA2D3C"/>
        </w:tc>
        <w:tc>
          <w:tcPr>
            <w:tcW w:w="1361" w:type="dxa"/>
            <w:vMerge w:val="continue"/>
          </w:tcPr>
          <w:p w14:paraId="4C44072E"/>
        </w:tc>
        <w:tc>
          <w:tcPr>
            <w:tcW w:w="1361" w:type="dxa"/>
            <w:vMerge w:val="continue"/>
          </w:tcPr>
          <w:p w14:paraId="1A9F7090"/>
        </w:tc>
        <w:tc>
          <w:tcPr>
            <w:tcW w:w="1361" w:type="dxa"/>
            <w:vMerge w:val="continue"/>
          </w:tcPr>
          <w:p w14:paraId="25AFD4B2"/>
        </w:tc>
        <w:tc>
          <w:tcPr>
            <w:tcW w:w="1361" w:type="dxa"/>
            <w:vMerge w:val="continue"/>
          </w:tcPr>
          <w:p w14:paraId="52E0F8CF"/>
        </w:tc>
        <w:tc>
          <w:tcPr>
            <w:tcW w:w="1361" w:type="dxa"/>
            <w:vMerge w:val="continue"/>
          </w:tcPr>
          <w:p w14:paraId="6B62D327"/>
        </w:tc>
      </w:tr>
      <w:tr w14:paraId="1870B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8D6E0">
            <w:pPr>
              <w:pStyle w:val="11"/>
            </w:pPr>
            <w:r>
              <w:t>栏次</w:t>
            </w:r>
          </w:p>
        </w:tc>
        <w:tc>
          <w:tcPr>
            <w:tcW w:w="992" w:type="dxa"/>
            <w:vAlign w:val="center"/>
          </w:tcPr>
          <w:p w14:paraId="2DA326A9">
            <w:pPr>
              <w:pStyle w:val="11"/>
            </w:pPr>
            <w:r>
              <w:t>1</w:t>
            </w:r>
          </w:p>
        </w:tc>
        <w:tc>
          <w:tcPr>
            <w:tcW w:w="4535" w:type="dxa"/>
            <w:vAlign w:val="center"/>
          </w:tcPr>
          <w:p w14:paraId="5847EE62">
            <w:pPr>
              <w:pStyle w:val="11"/>
            </w:pPr>
            <w:r>
              <w:t>2</w:t>
            </w:r>
          </w:p>
        </w:tc>
        <w:tc>
          <w:tcPr>
            <w:tcW w:w="1361" w:type="dxa"/>
            <w:vAlign w:val="center"/>
          </w:tcPr>
          <w:p w14:paraId="56AD0B65">
            <w:pPr>
              <w:pStyle w:val="11"/>
            </w:pPr>
            <w:r>
              <w:t>3</w:t>
            </w:r>
          </w:p>
        </w:tc>
        <w:tc>
          <w:tcPr>
            <w:tcW w:w="1361" w:type="dxa"/>
            <w:vAlign w:val="center"/>
          </w:tcPr>
          <w:p w14:paraId="16D47A56">
            <w:pPr>
              <w:pStyle w:val="11"/>
            </w:pPr>
            <w:r>
              <w:t>4</w:t>
            </w:r>
          </w:p>
        </w:tc>
        <w:tc>
          <w:tcPr>
            <w:tcW w:w="1361" w:type="dxa"/>
            <w:vAlign w:val="center"/>
          </w:tcPr>
          <w:p w14:paraId="6FABB41D">
            <w:pPr>
              <w:pStyle w:val="11"/>
            </w:pPr>
            <w:r>
              <w:t>5</w:t>
            </w:r>
          </w:p>
        </w:tc>
        <w:tc>
          <w:tcPr>
            <w:tcW w:w="1361" w:type="dxa"/>
            <w:vAlign w:val="center"/>
          </w:tcPr>
          <w:p w14:paraId="2C54F19B">
            <w:pPr>
              <w:pStyle w:val="11"/>
            </w:pPr>
            <w:r>
              <w:t>6</w:t>
            </w:r>
          </w:p>
        </w:tc>
        <w:tc>
          <w:tcPr>
            <w:tcW w:w="1361" w:type="dxa"/>
            <w:vAlign w:val="center"/>
          </w:tcPr>
          <w:p w14:paraId="47ED7E8E">
            <w:pPr>
              <w:pStyle w:val="11"/>
            </w:pPr>
            <w:r>
              <w:t>7</w:t>
            </w:r>
          </w:p>
        </w:tc>
        <w:tc>
          <w:tcPr>
            <w:tcW w:w="1361" w:type="dxa"/>
            <w:vAlign w:val="center"/>
          </w:tcPr>
          <w:p w14:paraId="5819F07F">
            <w:pPr>
              <w:pStyle w:val="11"/>
            </w:pPr>
            <w:r>
              <w:t>8</w:t>
            </w:r>
          </w:p>
        </w:tc>
      </w:tr>
      <w:tr w14:paraId="7A09D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0EF5F">
            <w:pPr>
              <w:pStyle w:val="12"/>
            </w:pPr>
            <w:r>
              <w:t>1</w:t>
            </w:r>
          </w:p>
        </w:tc>
        <w:tc>
          <w:tcPr>
            <w:tcW w:w="992" w:type="dxa"/>
            <w:vAlign w:val="center"/>
          </w:tcPr>
          <w:p w14:paraId="74D0FAAF">
            <w:pPr>
              <w:pStyle w:val="17"/>
            </w:pPr>
          </w:p>
        </w:tc>
        <w:tc>
          <w:tcPr>
            <w:tcW w:w="4535" w:type="dxa"/>
            <w:vAlign w:val="center"/>
          </w:tcPr>
          <w:p w14:paraId="7A6B7197">
            <w:pPr>
              <w:pStyle w:val="15"/>
            </w:pPr>
            <w:r>
              <w:t>合计</w:t>
            </w:r>
          </w:p>
        </w:tc>
        <w:tc>
          <w:tcPr>
            <w:tcW w:w="1361" w:type="dxa"/>
            <w:vAlign w:val="center"/>
          </w:tcPr>
          <w:p w14:paraId="4E3F71DD">
            <w:pPr>
              <w:pStyle w:val="16"/>
            </w:pPr>
            <w:r>
              <w:t>964.97</w:t>
            </w:r>
          </w:p>
        </w:tc>
        <w:tc>
          <w:tcPr>
            <w:tcW w:w="1361" w:type="dxa"/>
            <w:vAlign w:val="center"/>
          </w:tcPr>
          <w:p w14:paraId="1C948C2C">
            <w:pPr>
              <w:pStyle w:val="16"/>
            </w:pPr>
            <w:r>
              <w:t>774.47</w:t>
            </w:r>
          </w:p>
        </w:tc>
        <w:tc>
          <w:tcPr>
            <w:tcW w:w="1361" w:type="dxa"/>
            <w:vAlign w:val="center"/>
          </w:tcPr>
          <w:p w14:paraId="51DD6FF3">
            <w:pPr>
              <w:pStyle w:val="16"/>
            </w:pPr>
            <w:r>
              <w:t>190.49</w:t>
            </w:r>
          </w:p>
        </w:tc>
        <w:tc>
          <w:tcPr>
            <w:tcW w:w="1361" w:type="dxa"/>
            <w:vAlign w:val="center"/>
          </w:tcPr>
          <w:p w14:paraId="1AB82F8F">
            <w:pPr>
              <w:pStyle w:val="16"/>
            </w:pPr>
          </w:p>
        </w:tc>
        <w:tc>
          <w:tcPr>
            <w:tcW w:w="1361" w:type="dxa"/>
            <w:vAlign w:val="center"/>
          </w:tcPr>
          <w:p w14:paraId="588DEFC0">
            <w:pPr>
              <w:pStyle w:val="16"/>
            </w:pPr>
          </w:p>
        </w:tc>
        <w:tc>
          <w:tcPr>
            <w:tcW w:w="1361" w:type="dxa"/>
            <w:vAlign w:val="center"/>
          </w:tcPr>
          <w:p w14:paraId="64B04466">
            <w:pPr>
              <w:pStyle w:val="16"/>
            </w:pPr>
          </w:p>
        </w:tc>
      </w:tr>
      <w:tr w14:paraId="5C8B4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3D0F0">
            <w:pPr>
              <w:pStyle w:val="12"/>
            </w:pPr>
            <w:r>
              <w:t>2</w:t>
            </w:r>
          </w:p>
        </w:tc>
        <w:tc>
          <w:tcPr>
            <w:tcW w:w="992" w:type="dxa"/>
            <w:vAlign w:val="center"/>
          </w:tcPr>
          <w:p w14:paraId="70C16620">
            <w:pPr>
              <w:pStyle w:val="13"/>
            </w:pPr>
            <w:r>
              <w:t>205</w:t>
            </w:r>
          </w:p>
        </w:tc>
        <w:tc>
          <w:tcPr>
            <w:tcW w:w="4535" w:type="dxa"/>
            <w:vAlign w:val="center"/>
          </w:tcPr>
          <w:p w14:paraId="7C46ED3B">
            <w:pPr>
              <w:pStyle w:val="13"/>
            </w:pPr>
            <w:r>
              <w:t>教育支出</w:t>
            </w:r>
          </w:p>
        </w:tc>
        <w:tc>
          <w:tcPr>
            <w:tcW w:w="1361" w:type="dxa"/>
            <w:vAlign w:val="center"/>
          </w:tcPr>
          <w:p w14:paraId="32A67C8E">
            <w:pPr>
              <w:pStyle w:val="14"/>
            </w:pPr>
            <w:r>
              <w:t>964.97</w:t>
            </w:r>
          </w:p>
        </w:tc>
        <w:tc>
          <w:tcPr>
            <w:tcW w:w="1361" w:type="dxa"/>
            <w:vAlign w:val="center"/>
          </w:tcPr>
          <w:p w14:paraId="36BF80E7">
            <w:pPr>
              <w:pStyle w:val="14"/>
            </w:pPr>
            <w:r>
              <w:t>774.47</w:t>
            </w:r>
          </w:p>
        </w:tc>
        <w:tc>
          <w:tcPr>
            <w:tcW w:w="1361" w:type="dxa"/>
            <w:vAlign w:val="center"/>
          </w:tcPr>
          <w:p w14:paraId="53E38B7A">
            <w:pPr>
              <w:pStyle w:val="14"/>
            </w:pPr>
            <w:r>
              <w:t>190.49</w:t>
            </w:r>
          </w:p>
        </w:tc>
        <w:tc>
          <w:tcPr>
            <w:tcW w:w="1361" w:type="dxa"/>
            <w:vAlign w:val="center"/>
          </w:tcPr>
          <w:p w14:paraId="2017CB5D">
            <w:pPr>
              <w:pStyle w:val="14"/>
            </w:pPr>
          </w:p>
        </w:tc>
        <w:tc>
          <w:tcPr>
            <w:tcW w:w="1361" w:type="dxa"/>
            <w:vAlign w:val="center"/>
          </w:tcPr>
          <w:p w14:paraId="2A528645">
            <w:pPr>
              <w:pStyle w:val="14"/>
            </w:pPr>
          </w:p>
        </w:tc>
        <w:tc>
          <w:tcPr>
            <w:tcW w:w="1361" w:type="dxa"/>
            <w:vAlign w:val="center"/>
          </w:tcPr>
          <w:p w14:paraId="2564D21B">
            <w:pPr>
              <w:pStyle w:val="14"/>
            </w:pPr>
          </w:p>
        </w:tc>
      </w:tr>
      <w:tr w14:paraId="438D4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CDF56">
            <w:pPr>
              <w:pStyle w:val="12"/>
            </w:pPr>
            <w:r>
              <w:t>3</w:t>
            </w:r>
          </w:p>
        </w:tc>
        <w:tc>
          <w:tcPr>
            <w:tcW w:w="992" w:type="dxa"/>
            <w:vAlign w:val="center"/>
          </w:tcPr>
          <w:p w14:paraId="3683A3E7">
            <w:pPr>
              <w:pStyle w:val="13"/>
            </w:pPr>
            <w:r>
              <w:t>20502</w:t>
            </w:r>
          </w:p>
        </w:tc>
        <w:tc>
          <w:tcPr>
            <w:tcW w:w="4535" w:type="dxa"/>
            <w:vAlign w:val="center"/>
          </w:tcPr>
          <w:p w14:paraId="4AA795E1">
            <w:pPr>
              <w:pStyle w:val="13"/>
            </w:pPr>
            <w:r>
              <w:t>普通教育</w:t>
            </w:r>
          </w:p>
        </w:tc>
        <w:tc>
          <w:tcPr>
            <w:tcW w:w="1361" w:type="dxa"/>
            <w:vAlign w:val="center"/>
          </w:tcPr>
          <w:p w14:paraId="1CA54670">
            <w:pPr>
              <w:pStyle w:val="14"/>
            </w:pPr>
            <w:r>
              <w:t>964.97</w:t>
            </w:r>
          </w:p>
        </w:tc>
        <w:tc>
          <w:tcPr>
            <w:tcW w:w="1361" w:type="dxa"/>
            <w:vAlign w:val="center"/>
          </w:tcPr>
          <w:p w14:paraId="41BE1886">
            <w:pPr>
              <w:pStyle w:val="14"/>
            </w:pPr>
            <w:r>
              <w:t>774.47</w:t>
            </w:r>
          </w:p>
        </w:tc>
        <w:tc>
          <w:tcPr>
            <w:tcW w:w="1361" w:type="dxa"/>
            <w:vAlign w:val="center"/>
          </w:tcPr>
          <w:p w14:paraId="7DE21DE8">
            <w:pPr>
              <w:pStyle w:val="14"/>
            </w:pPr>
            <w:r>
              <w:t>190.49</w:t>
            </w:r>
          </w:p>
        </w:tc>
        <w:tc>
          <w:tcPr>
            <w:tcW w:w="1361" w:type="dxa"/>
            <w:vAlign w:val="center"/>
          </w:tcPr>
          <w:p w14:paraId="73ED31E5">
            <w:pPr>
              <w:pStyle w:val="14"/>
            </w:pPr>
          </w:p>
        </w:tc>
        <w:tc>
          <w:tcPr>
            <w:tcW w:w="1361" w:type="dxa"/>
            <w:vAlign w:val="center"/>
          </w:tcPr>
          <w:p w14:paraId="5F5CD801">
            <w:pPr>
              <w:pStyle w:val="14"/>
            </w:pPr>
          </w:p>
        </w:tc>
        <w:tc>
          <w:tcPr>
            <w:tcW w:w="1361" w:type="dxa"/>
            <w:vAlign w:val="center"/>
          </w:tcPr>
          <w:p w14:paraId="479CF07F">
            <w:pPr>
              <w:pStyle w:val="14"/>
            </w:pPr>
          </w:p>
        </w:tc>
      </w:tr>
      <w:tr w14:paraId="40C80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3956C">
            <w:pPr>
              <w:pStyle w:val="12"/>
            </w:pPr>
            <w:r>
              <w:t>4</w:t>
            </w:r>
          </w:p>
        </w:tc>
        <w:tc>
          <w:tcPr>
            <w:tcW w:w="992" w:type="dxa"/>
            <w:vAlign w:val="center"/>
          </w:tcPr>
          <w:p w14:paraId="4CC4E4BD">
            <w:pPr>
              <w:pStyle w:val="13"/>
            </w:pPr>
            <w:r>
              <w:t>2050203</w:t>
            </w:r>
          </w:p>
        </w:tc>
        <w:tc>
          <w:tcPr>
            <w:tcW w:w="4535" w:type="dxa"/>
            <w:vAlign w:val="center"/>
          </w:tcPr>
          <w:p w14:paraId="18F4D167">
            <w:pPr>
              <w:pStyle w:val="13"/>
            </w:pPr>
            <w:r>
              <w:t>初中教育</w:t>
            </w:r>
          </w:p>
        </w:tc>
        <w:tc>
          <w:tcPr>
            <w:tcW w:w="1361" w:type="dxa"/>
            <w:vAlign w:val="center"/>
          </w:tcPr>
          <w:p w14:paraId="635C6BA9">
            <w:pPr>
              <w:pStyle w:val="14"/>
            </w:pPr>
            <w:r>
              <w:t>964.97</w:t>
            </w:r>
          </w:p>
        </w:tc>
        <w:tc>
          <w:tcPr>
            <w:tcW w:w="1361" w:type="dxa"/>
            <w:vAlign w:val="center"/>
          </w:tcPr>
          <w:p w14:paraId="761AF936">
            <w:pPr>
              <w:pStyle w:val="14"/>
            </w:pPr>
            <w:r>
              <w:t>774.47</w:t>
            </w:r>
          </w:p>
        </w:tc>
        <w:tc>
          <w:tcPr>
            <w:tcW w:w="1361" w:type="dxa"/>
            <w:vAlign w:val="center"/>
          </w:tcPr>
          <w:p w14:paraId="247E0CCC">
            <w:pPr>
              <w:pStyle w:val="14"/>
            </w:pPr>
            <w:r>
              <w:t>190.49</w:t>
            </w:r>
          </w:p>
        </w:tc>
        <w:tc>
          <w:tcPr>
            <w:tcW w:w="1361" w:type="dxa"/>
            <w:vAlign w:val="center"/>
          </w:tcPr>
          <w:p w14:paraId="297CB485">
            <w:pPr>
              <w:pStyle w:val="14"/>
            </w:pPr>
          </w:p>
        </w:tc>
        <w:tc>
          <w:tcPr>
            <w:tcW w:w="1361" w:type="dxa"/>
            <w:vAlign w:val="center"/>
          </w:tcPr>
          <w:p w14:paraId="578D281E">
            <w:pPr>
              <w:pStyle w:val="14"/>
            </w:pPr>
          </w:p>
        </w:tc>
        <w:tc>
          <w:tcPr>
            <w:tcW w:w="1361" w:type="dxa"/>
            <w:vAlign w:val="center"/>
          </w:tcPr>
          <w:p w14:paraId="2F4CBA18">
            <w:pPr>
              <w:pStyle w:val="14"/>
            </w:pPr>
          </w:p>
        </w:tc>
      </w:tr>
    </w:tbl>
    <w:p w14:paraId="6EAB04A6">
      <w:pPr>
        <w:sectPr>
          <w:pgSz w:w="16840" w:h="11900" w:orient="landscape"/>
          <w:pgMar w:top="1361" w:right="1020" w:bottom="1134" w:left="1020" w:header="720" w:footer="720" w:gutter="0"/>
          <w:cols w:space="720" w:num="1"/>
        </w:sectPr>
      </w:pPr>
    </w:p>
    <w:p w14:paraId="72AF71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AB8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51464B">
            <w:pPr>
              <w:pStyle w:val="8"/>
            </w:pPr>
            <w:r>
              <w:t>360031隆尧县北楼中学</w:t>
            </w:r>
          </w:p>
        </w:tc>
        <w:tc>
          <w:tcPr>
            <w:tcW w:w="3402" w:type="dxa"/>
            <w:tcBorders>
              <w:top w:val="single" w:color="FFFFFF" w:sz="6" w:space="0"/>
              <w:left w:val="single" w:color="FFFFFF" w:sz="6" w:space="0"/>
              <w:right w:val="single" w:color="FFFFFF" w:sz="6" w:space="0"/>
            </w:tcBorders>
            <w:vAlign w:val="center"/>
          </w:tcPr>
          <w:p w14:paraId="421AB19C">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3EF527A">
            <w:pPr>
              <w:pStyle w:val="10"/>
            </w:pPr>
            <w:r>
              <w:t>单位：万元</w:t>
            </w:r>
          </w:p>
        </w:tc>
      </w:tr>
      <w:tr w14:paraId="0CF1F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D90B3">
            <w:pPr>
              <w:pStyle w:val="11"/>
            </w:pPr>
            <w:r>
              <w:t>序号</w:t>
            </w:r>
          </w:p>
        </w:tc>
        <w:tc>
          <w:tcPr>
            <w:tcW w:w="4876" w:type="dxa"/>
            <w:gridSpan w:val="2"/>
            <w:vAlign w:val="center"/>
          </w:tcPr>
          <w:p w14:paraId="79B56880">
            <w:pPr>
              <w:pStyle w:val="11"/>
            </w:pPr>
            <w:r>
              <w:t>收入</w:t>
            </w:r>
          </w:p>
        </w:tc>
        <w:tc>
          <w:tcPr>
            <w:tcW w:w="9298" w:type="dxa"/>
            <w:gridSpan w:val="5"/>
            <w:vAlign w:val="center"/>
          </w:tcPr>
          <w:p w14:paraId="5780A384">
            <w:pPr>
              <w:pStyle w:val="11"/>
            </w:pPr>
            <w:r>
              <w:t>支出</w:t>
            </w:r>
          </w:p>
        </w:tc>
      </w:tr>
      <w:tr w14:paraId="1592E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83C328"/>
        </w:tc>
        <w:tc>
          <w:tcPr>
            <w:tcW w:w="3402" w:type="dxa"/>
            <w:vAlign w:val="center"/>
          </w:tcPr>
          <w:p w14:paraId="45903152">
            <w:pPr>
              <w:pStyle w:val="11"/>
            </w:pPr>
            <w:r>
              <w:t>项  目</w:t>
            </w:r>
          </w:p>
        </w:tc>
        <w:tc>
          <w:tcPr>
            <w:tcW w:w="1474" w:type="dxa"/>
            <w:vAlign w:val="center"/>
          </w:tcPr>
          <w:p w14:paraId="31DD535A">
            <w:pPr>
              <w:pStyle w:val="11"/>
            </w:pPr>
            <w:r>
              <w:t>金额</w:t>
            </w:r>
          </w:p>
        </w:tc>
        <w:tc>
          <w:tcPr>
            <w:tcW w:w="3402" w:type="dxa"/>
            <w:vAlign w:val="center"/>
          </w:tcPr>
          <w:p w14:paraId="169AB15B">
            <w:pPr>
              <w:pStyle w:val="11"/>
            </w:pPr>
            <w:r>
              <w:t>项  目</w:t>
            </w:r>
          </w:p>
        </w:tc>
        <w:tc>
          <w:tcPr>
            <w:tcW w:w="1474" w:type="dxa"/>
            <w:vAlign w:val="center"/>
          </w:tcPr>
          <w:p w14:paraId="67B71F9F">
            <w:pPr>
              <w:pStyle w:val="11"/>
            </w:pPr>
            <w:r>
              <w:t>合计</w:t>
            </w:r>
          </w:p>
        </w:tc>
        <w:tc>
          <w:tcPr>
            <w:tcW w:w="1474" w:type="dxa"/>
            <w:vAlign w:val="center"/>
          </w:tcPr>
          <w:p w14:paraId="76C99FA2">
            <w:pPr>
              <w:pStyle w:val="11"/>
            </w:pPr>
            <w:r>
              <w:t>一般公共预算财政拨款</w:t>
            </w:r>
          </w:p>
        </w:tc>
        <w:tc>
          <w:tcPr>
            <w:tcW w:w="1474" w:type="dxa"/>
            <w:vAlign w:val="center"/>
          </w:tcPr>
          <w:p w14:paraId="3A275758">
            <w:pPr>
              <w:pStyle w:val="11"/>
            </w:pPr>
            <w:r>
              <w:t>政府性基金预算财政    拨款</w:t>
            </w:r>
          </w:p>
        </w:tc>
        <w:tc>
          <w:tcPr>
            <w:tcW w:w="1474" w:type="dxa"/>
            <w:vAlign w:val="center"/>
          </w:tcPr>
          <w:p w14:paraId="22B3B116">
            <w:pPr>
              <w:pStyle w:val="11"/>
            </w:pPr>
            <w:r>
              <w:t>国有资本经营预算财政拨款</w:t>
            </w:r>
          </w:p>
        </w:tc>
      </w:tr>
      <w:tr w14:paraId="09DEC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12E1DD">
            <w:pPr>
              <w:pStyle w:val="11"/>
            </w:pPr>
            <w:r>
              <w:t>栏次</w:t>
            </w:r>
          </w:p>
        </w:tc>
        <w:tc>
          <w:tcPr>
            <w:tcW w:w="3402" w:type="dxa"/>
            <w:vAlign w:val="center"/>
          </w:tcPr>
          <w:p w14:paraId="701B9C9D">
            <w:pPr>
              <w:pStyle w:val="11"/>
            </w:pPr>
            <w:r>
              <w:t>1</w:t>
            </w:r>
          </w:p>
        </w:tc>
        <w:tc>
          <w:tcPr>
            <w:tcW w:w="1474" w:type="dxa"/>
            <w:vAlign w:val="center"/>
          </w:tcPr>
          <w:p w14:paraId="5583EBBC">
            <w:pPr>
              <w:pStyle w:val="11"/>
            </w:pPr>
            <w:r>
              <w:t>2</w:t>
            </w:r>
          </w:p>
        </w:tc>
        <w:tc>
          <w:tcPr>
            <w:tcW w:w="3402" w:type="dxa"/>
            <w:vAlign w:val="center"/>
          </w:tcPr>
          <w:p w14:paraId="78A0FF72">
            <w:pPr>
              <w:pStyle w:val="11"/>
            </w:pPr>
            <w:r>
              <w:t>3</w:t>
            </w:r>
          </w:p>
        </w:tc>
        <w:tc>
          <w:tcPr>
            <w:tcW w:w="1474" w:type="dxa"/>
            <w:vAlign w:val="center"/>
          </w:tcPr>
          <w:p w14:paraId="19AC0C19">
            <w:pPr>
              <w:pStyle w:val="11"/>
            </w:pPr>
            <w:r>
              <w:t>4</w:t>
            </w:r>
          </w:p>
        </w:tc>
        <w:tc>
          <w:tcPr>
            <w:tcW w:w="1474" w:type="dxa"/>
            <w:vAlign w:val="center"/>
          </w:tcPr>
          <w:p w14:paraId="0F606CFD">
            <w:pPr>
              <w:pStyle w:val="11"/>
            </w:pPr>
            <w:r>
              <w:t>5</w:t>
            </w:r>
          </w:p>
        </w:tc>
        <w:tc>
          <w:tcPr>
            <w:tcW w:w="1474" w:type="dxa"/>
            <w:vAlign w:val="center"/>
          </w:tcPr>
          <w:p w14:paraId="0EF4BDBE">
            <w:pPr>
              <w:pStyle w:val="11"/>
            </w:pPr>
            <w:r>
              <w:t>6</w:t>
            </w:r>
          </w:p>
        </w:tc>
        <w:tc>
          <w:tcPr>
            <w:tcW w:w="1474" w:type="dxa"/>
            <w:vAlign w:val="center"/>
          </w:tcPr>
          <w:p w14:paraId="33D805B6">
            <w:pPr>
              <w:pStyle w:val="11"/>
            </w:pPr>
            <w:r>
              <w:t>7</w:t>
            </w:r>
          </w:p>
        </w:tc>
      </w:tr>
      <w:tr w14:paraId="4BC26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45014">
            <w:pPr>
              <w:pStyle w:val="12"/>
            </w:pPr>
            <w:r>
              <w:t>1</w:t>
            </w:r>
          </w:p>
        </w:tc>
        <w:tc>
          <w:tcPr>
            <w:tcW w:w="3402" w:type="dxa"/>
            <w:vAlign w:val="center"/>
          </w:tcPr>
          <w:p w14:paraId="6DD850F0">
            <w:pPr>
              <w:pStyle w:val="13"/>
            </w:pPr>
            <w:r>
              <w:t>一、一般公共预算拨款</w:t>
            </w:r>
          </w:p>
        </w:tc>
        <w:tc>
          <w:tcPr>
            <w:tcW w:w="1474" w:type="dxa"/>
            <w:vAlign w:val="center"/>
          </w:tcPr>
          <w:p w14:paraId="60474BA5">
            <w:pPr>
              <w:pStyle w:val="14"/>
            </w:pPr>
            <w:r>
              <w:t>964.97</w:t>
            </w:r>
          </w:p>
        </w:tc>
        <w:tc>
          <w:tcPr>
            <w:tcW w:w="3402" w:type="dxa"/>
            <w:vAlign w:val="center"/>
          </w:tcPr>
          <w:p w14:paraId="5DF636F1">
            <w:pPr>
              <w:pStyle w:val="13"/>
            </w:pPr>
            <w:r>
              <w:t>一、一般公共服务支出</w:t>
            </w:r>
          </w:p>
        </w:tc>
        <w:tc>
          <w:tcPr>
            <w:tcW w:w="1474" w:type="dxa"/>
            <w:vAlign w:val="center"/>
          </w:tcPr>
          <w:p w14:paraId="529B2A08">
            <w:pPr>
              <w:pStyle w:val="14"/>
            </w:pPr>
          </w:p>
        </w:tc>
        <w:tc>
          <w:tcPr>
            <w:tcW w:w="1474" w:type="dxa"/>
            <w:vAlign w:val="center"/>
          </w:tcPr>
          <w:p w14:paraId="5C87069E">
            <w:pPr>
              <w:pStyle w:val="14"/>
            </w:pPr>
          </w:p>
        </w:tc>
        <w:tc>
          <w:tcPr>
            <w:tcW w:w="1474" w:type="dxa"/>
            <w:vAlign w:val="center"/>
          </w:tcPr>
          <w:p w14:paraId="1A794C27">
            <w:pPr>
              <w:pStyle w:val="14"/>
            </w:pPr>
          </w:p>
        </w:tc>
        <w:tc>
          <w:tcPr>
            <w:tcW w:w="1474" w:type="dxa"/>
            <w:vAlign w:val="center"/>
          </w:tcPr>
          <w:p w14:paraId="72F0EEA4">
            <w:pPr>
              <w:pStyle w:val="14"/>
            </w:pPr>
          </w:p>
        </w:tc>
      </w:tr>
      <w:tr w14:paraId="74771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76E7D">
            <w:pPr>
              <w:pStyle w:val="12"/>
            </w:pPr>
            <w:r>
              <w:t>2</w:t>
            </w:r>
          </w:p>
        </w:tc>
        <w:tc>
          <w:tcPr>
            <w:tcW w:w="3402" w:type="dxa"/>
            <w:vAlign w:val="center"/>
          </w:tcPr>
          <w:p w14:paraId="38ACF9BB">
            <w:pPr>
              <w:pStyle w:val="13"/>
            </w:pPr>
            <w:r>
              <w:t>二、政府性基金预算拨款</w:t>
            </w:r>
          </w:p>
        </w:tc>
        <w:tc>
          <w:tcPr>
            <w:tcW w:w="1474" w:type="dxa"/>
            <w:vAlign w:val="center"/>
          </w:tcPr>
          <w:p w14:paraId="2542278F">
            <w:pPr>
              <w:pStyle w:val="14"/>
            </w:pPr>
          </w:p>
        </w:tc>
        <w:tc>
          <w:tcPr>
            <w:tcW w:w="3402" w:type="dxa"/>
            <w:vAlign w:val="center"/>
          </w:tcPr>
          <w:p w14:paraId="7B4D91F3">
            <w:pPr>
              <w:pStyle w:val="13"/>
            </w:pPr>
            <w:r>
              <w:t>二、外交支出</w:t>
            </w:r>
          </w:p>
        </w:tc>
        <w:tc>
          <w:tcPr>
            <w:tcW w:w="1474" w:type="dxa"/>
            <w:vAlign w:val="center"/>
          </w:tcPr>
          <w:p w14:paraId="022FE420">
            <w:pPr>
              <w:pStyle w:val="14"/>
            </w:pPr>
          </w:p>
        </w:tc>
        <w:tc>
          <w:tcPr>
            <w:tcW w:w="1474" w:type="dxa"/>
            <w:vAlign w:val="center"/>
          </w:tcPr>
          <w:p w14:paraId="1E8AF747">
            <w:pPr>
              <w:pStyle w:val="14"/>
            </w:pPr>
          </w:p>
        </w:tc>
        <w:tc>
          <w:tcPr>
            <w:tcW w:w="1474" w:type="dxa"/>
            <w:vAlign w:val="center"/>
          </w:tcPr>
          <w:p w14:paraId="12135D98">
            <w:pPr>
              <w:pStyle w:val="14"/>
            </w:pPr>
          </w:p>
        </w:tc>
        <w:tc>
          <w:tcPr>
            <w:tcW w:w="1474" w:type="dxa"/>
            <w:vAlign w:val="center"/>
          </w:tcPr>
          <w:p w14:paraId="2A54DF6A">
            <w:pPr>
              <w:pStyle w:val="14"/>
            </w:pPr>
          </w:p>
        </w:tc>
      </w:tr>
      <w:tr w14:paraId="40540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C000D">
            <w:pPr>
              <w:pStyle w:val="12"/>
            </w:pPr>
            <w:r>
              <w:t>3</w:t>
            </w:r>
          </w:p>
        </w:tc>
        <w:tc>
          <w:tcPr>
            <w:tcW w:w="3402" w:type="dxa"/>
            <w:vAlign w:val="center"/>
          </w:tcPr>
          <w:p w14:paraId="7F589F1D">
            <w:pPr>
              <w:pStyle w:val="13"/>
            </w:pPr>
            <w:r>
              <w:t>三、国有资本经营预算拨款</w:t>
            </w:r>
          </w:p>
        </w:tc>
        <w:tc>
          <w:tcPr>
            <w:tcW w:w="1474" w:type="dxa"/>
            <w:vAlign w:val="center"/>
          </w:tcPr>
          <w:p w14:paraId="1ADBDAE0">
            <w:pPr>
              <w:pStyle w:val="14"/>
            </w:pPr>
          </w:p>
        </w:tc>
        <w:tc>
          <w:tcPr>
            <w:tcW w:w="3402" w:type="dxa"/>
            <w:vAlign w:val="center"/>
          </w:tcPr>
          <w:p w14:paraId="3F2E8752">
            <w:pPr>
              <w:pStyle w:val="13"/>
            </w:pPr>
            <w:r>
              <w:t>三、国防支出</w:t>
            </w:r>
          </w:p>
        </w:tc>
        <w:tc>
          <w:tcPr>
            <w:tcW w:w="1474" w:type="dxa"/>
            <w:vAlign w:val="center"/>
          </w:tcPr>
          <w:p w14:paraId="5761849C">
            <w:pPr>
              <w:pStyle w:val="14"/>
            </w:pPr>
          </w:p>
        </w:tc>
        <w:tc>
          <w:tcPr>
            <w:tcW w:w="1474" w:type="dxa"/>
            <w:vAlign w:val="center"/>
          </w:tcPr>
          <w:p w14:paraId="63022190">
            <w:pPr>
              <w:pStyle w:val="14"/>
            </w:pPr>
          </w:p>
        </w:tc>
        <w:tc>
          <w:tcPr>
            <w:tcW w:w="1474" w:type="dxa"/>
            <w:vAlign w:val="center"/>
          </w:tcPr>
          <w:p w14:paraId="58E570A3">
            <w:pPr>
              <w:pStyle w:val="14"/>
            </w:pPr>
          </w:p>
        </w:tc>
        <w:tc>
          <w:tcPr>
            <w:tcW w:w="1474" w:type="dxa"/>
            <w:vAlign w:val="center"/>
          </w:tcPr>
          <w:p w14:paraId="30DE0A8D">
            <w:pPr>
              <w:pStyle w:val="14"/>
            </w:pPr>
          </w:p>
        </w:tc>
      </w:tr>
      <w:tr w14:paraId="5B075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1E257">
            <w:pPr>
              <w:pStyle w:val="12"/>
            </w:pPr>
            <w:r>
              <w:t>4</w:t>
            </w:r>
          </w:p>
        </w:tc>
        <w:tc>
          <w:tcPr>
            <w:tcW w:w="3402" w:type="dxa"/>
            <w:vAlign w:val="center"/>
          </w:tcPr>
          <w:p w14:paraId="1BB72812">
            <w:pPr>
              <w:pStyle w:val="13"/>
            </w:pPr>
          </w:p>
        </w:tc>
        <w:tc>
          <w:tcPr>
            <w:tcW w:w="1474" w:type="dxa"/>
            <w:vAlign w:val="center"/>
          </w:tcPr>
          <w:p w14:paraId="74EA40C3">
            <w:pPr>
              <w:pStyle w:val="14"/>
            </w:pPr>
          </w:p>
        </w:tc>
        <w:tc>
          <w:tcPr>
            <w:tcW w:w="3402" w:type="dxa"/>
            <w:vAlign w:val="center"/>
          </w:tcPr>
          <w:p w14:paraId="204CFEA8">
            <w:pPr>
              <w:pStyle w:val="13"/>
            </w:pPr>
            <w:r>
              <w:t>四、公共安全支出</w:t>
            </w:r>
          </w:p>
        </w:tc>
        <w:tc>
          <w:tcPr>
            <w:tcW w:w="1474" w:type="dxa"/>
            <w:vAlign w:val="center"/>
          </w:tcPr>
          <w:p w14:paraId="11354973">
            <w:pPr>
              <w:pStyle w:val="14"/>
            </w:pPr>
          </w:p>
        </w:tc>
        <w:tc>
          <w:tcPr>
            <w:tcW w:w="1474" w:type="dxa"/>
            <w:vAlign w:val="center"/>
          </w:tcPr>
          <w:p w14:paraId="70D16105">
            <w:pPr>
              <w:pStyle w:val="14"/>
            </w:pPr>
          </w:p>
        </w:tc>
        <w:tc>
          <w:tcPr>
            <w:tcW w:w="1474" w:type="dxa"/>
            <w:vAlign w:val="center"/>
          </w:tcPr>
          <w:p w14:paraId="6EED1D88">
            <w:pPr>
              <w:pStyle w:val="14"/>
            </w:pPr>
          </w:p>
        </w:tc>
        <w:tc>
          <w:tcPr>
            <w:tcW w:w="1474" w:type="dxa"/>
            <w:vAlign w:val="center"/>
          </w:tcPr>
          <w:p w14:paraId="69BA63DD">
            <w:pPr>
              <w:pStyle w:val="14"/>
            </w:pPr>
          </w:p>
        </w:tc>
      </w:tr>
      <w:tr w14:paraId="1C228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52A30">
            <w:pPr>
              <w:pStyle w:val="12"/>
            </w:pPr>
            <w:r>
              <w:t>5</w:t>
            </w:r>
          </w:p>
        </w:tc>
        <w:tc>
          <w:tcPr>
            <w:tcW w:w="3402" w:type="dxa"/>
            <w:vAlign w:val="center"/>
          </w:tcPr>
          <w:p w14:paraId="1D9EBEED">
            <w:pPr>
              <w:pStyle w:val="13"/>
            </w:pPr>
          </w:p>
        </w:tc>
        <w:tc>
          <w:tcPr>
            <w:tcW w:w="1474" w:type="dxa"/>
            <w:vAlign w:val="center"/>
          </w:tcPr>
          <w:p w14:paraId="6DC2DAB9">
            <w:pPr>
              <w:pStyle w:val="14"/>
            </w:pPr>
          </w:p>
        </w:tc>
        <w:tc>
          <w:tcPr>
            <w:tcW w:w="3402" w:type="dxa"/>
            <w:vAlign w:val="center"/>
          </w:tcPr>
          <w:p w14:paraId="0B3C7C70">
            <w:pPr>
              <w:pStyle w:val="13"/>
            </w:pPr>
            <w:r>
              <w:t>五、教育支出</w:t>
            </w:r>
          </w:p>
        </w:tc>
        <w:tc>
          <w:tcPr>
            <w:tcW w:w="1474" w:type="dxa"/>
            <w:vAlign w:val="center"/>
          </w:tcPr>
          <w:p w14:paraId="4FFF5604">
            <w:pPr>
              <w:pStyle w:val="14"/>
            </w:pPr>
            <w:r>
              <w:t>964.97</w:t>
            </w:r>
          </w:p>
        </w:tc>
        <w:tc>
          <w:tcPr>
            <w:tcW w:w="1474" w:type="dxa"/>
            <w:vAlign w:val="center"/>
          </w:tcPr>
          <w:p w14:paraId="5F35088E">
            <w:pPr>
              <w:pStyle w:val="14"/>
            </w:pPr>
            <w:r>
              <w:t>964.97</w:t>
            </w:r>
          </w:p>
        </w:tc>
        <w:tc>
          <w:tcPr>
            <w:tcW w:w="1474" w:type="dxa"/>
            <w:vAlign w:val="center"/>
          </w:tcPr>
          <w:p w14:paraId="349CDCCF">
            <w:pPr>
              <w:pStyle w:val="14"/>
            </w:pPr>
          </w:p>
        </w:tc>
        <w:tc>
          <w:tcPr>
            <w:tcW w:w="1474" w:type="dxa"/>
            <w:vAlign w:val="center"/>
          </w:tcPr>
          <w:p w14:paraId="634E271A">
            <w:pPr>
              <w:pStyle w:val="14"/>
            </w:pPr>
          </w:p>
        </w:tc>
      </w:tr>
      <w:tr w14:paraId="530CA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377B7">
            <w:pPr>
              <w:pStyle w:val="12"/>
            </w:pPr>
            <w:r>
              <w:t>6</w:t>
            </w:r>
          </w:p>
        </w:tc>
        <w:tc>
          <w:tcPr>
            <w:tcW w:w="3402" w:type="dxa"/>
            <w:vAlign w:val="center"/>
          </w:tcPr>
          <w:p w14:paraId="417753DC">
            <w:pPr>
              <w:pStyle w:val="13"/>
            </w:pPr>
          </w:p>
        </w:tc>
        <w:tc>
          <w:tcPr>
            <w:tcW w:w="1474" w:type="dxa"/>
            <w:vAlign w:val="center"/>
          </w:tcPr>
          <w:p w14:paraId="6D88A97A">
            <w:pPr>
              <w:pStyle w:val="14"/>
            </w:pPr>
          </w:p>
        </w:tc>
        <w:tc>
          <w:tcPr>
            <w:tcW w:w="3402" w:type="dxa"/>
            <w:vAlign w:val="center"/>
          </w:tcPr>
          <w:p w14:paraId="726CCE14">
            <w:pPr>
              <w:pStyle w:val="13"/>
            </w:pPr>
            <w:r>
              <w:t>六、科学技术支出</w:t>
            </w:r>
          </w:p>
        </w:tc>
        <w:tc>
          <w:tcPr>
            <w:tcW w:w="1474" w:type="dxa"/>
            <w:vAlign w:val="center"/>
          </w:tcPr>
          <w:p w14:paraId="48DE8EA5">
            <w:pPr>
              <w:pStyle w:val="14"/>
            </w:pPr>
          </w:p>
        </w:tc>
        <w:tc>
          <w:tcPr>
            <w:tcW w:w="1474" w:type="dxa"/>
            <w:vAlign w:val="center"/>
          </w:tcPr>
          <w:p w14:paraId="57783875">
            <w:pPr>
              <w:pStyle w:val="14"/>
            </w:pPr>
          </w:p>
        </w:tc>
        <w:tc>
          <w:tcPr>
            <w:tcW w:w="1474" w:type="dxa"/>
            <w:vAlign w:val="center"/>
          </w:tcPr>
          <w:p w14:paraId="14F394B8">
            <w:pPr>
              <w:pStyle w:val="14"/>
            </w:pPr>
          </w:p>
        </w:tc>
        <w:tc>
          <w:tcPr>
            <w:tcW w:w="1474" w:type="dxa"/>
            <w:vAlign w:val="center"/>
          </w:tcPr>
          <w:p w14:paraId="4C2F2137">
            <w:pPr>
              <w:pStyle w:val="14"/>
            </w:pPr>
          </w:p>
        </w:tc>
      </w:tr>
      <w:tr w14:paraId="4FD36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361A5">
            <w:pPr>
              <w:pStyle w:val="12"/>
            </w:pPr>
            <w:r>
              <w:t>7</w:t>
            </w:r>
          </w:p>
        </w:tc>
        <w:tc>
          <w:tcPr>
            <w:tcW w:w="3402" w:type="dxa"/>
            <w:vAlign w:val="center"/>
          </w:tcPr>
          <w:p w14:paraId="39676AFB">
            <w:pPr>
              <w:pStyle w:val="13"/>
            </w:pPr>
          </w:p>
        </w:tc>
        <w:tc>
          <w:tcPr>
            <w:tcW w:w="1474" w:type="dxa"/>
            <w:vAlign w:val="center"/>
          </w:tcPr>
          <w:p w14:paraId="3D1661C2">
            <w:pPr>
              <w:pStyle w:val="14"/>
            </w:pPr>
          </w:p>
        </w:tc>
        <w:tc>
          <w:tcPr>
            <w:tcW w:w="3402" w:type="dxa"/>
            <w:vAlign w:val="center"/>
          </w:tcPr>
          <w:p w14:paraId="14713A6D">
            <w:pPr>
              <w:pStyle w:val="13"/>
            </w:pPr>
            <w:r>
              <w:t>七、文化旅游体育与传媒支出</w:t>
            </w:r>
          </w:p>
        </w:tc>
        <w:tc>
          <w:tcPr>
            <w:tcW w:w="1474" w:type="dxa"/>
            <w:vAlign w:val="center"/>
          </w:tcPr>
          <w:p w14:paraId="405B1960">
            <w:pPr>
              <w:pStyle w:val="14"/>
            </w:pPr>
          </w:p>
        </w:tc>
        <w:tc>
          <w:tcPr>
            <w:tcW w:w="1474" w:type="dxa"/>
            <w:vAlign w:val="center"/>
          </w:tcPr>
          <w:p w14:paraId="5D46F701">
            <w:pPr>
              <w:pStyle w:val="14"/>
            </w:pPr>
          </w:p>
        </w:tc>
        <w:tc>
          <w:tcPr>
            <w:tcW w:w="1474" w:type="dxa"/>
            <w:vAlign w:val="center"/>
          </w:tcPr>
          <w:p w14:paraId="67FDE0C7">
            <w:pPr>
              <w:pStyle w:val="14"/>
            </w:pPr>
          </w:p>
        </w:tc>
        <w:tc>
          <w:tcPr>
            <w:tcW w:w="1474" w:type="dxa"/>
            <w:vAlign w:val="center"/>
          </w:tcPr>
          <w:p w14:paraId="40A05DAC">
            <w:pPr>
              <w:pStyle w:val="14"/>
            </w:pPr>
          </w:p>
        </w:tc>
      </w:tr>
      <w:tr w14:paraId="77824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C5F1B">
            <w:pPr>
              <w:pStyle w:val="12"/>
            </w:pPr>
            <w:r>
              <w:t>8</w:t>
            </w:r>
          </w:p>
        </w:tc>
        <w:tc>
          <w:tcPr>
            <w:tcW w:w="3402" w:type="dxa"/>
            <w:vAlign w:val="center"/>
          </w:tcPr>
          <w:p w14:paraId="2657164B">
            <w:pPr>
              <w:pStyle w:val="13"/>
            </w:pPr>
          </w:p>
        </w:tc>
        <w:tc>
          <w:tcPr>
            <w:tcW w:w="1474" w:type="dxa"/>
            <w:vAlign w:val="center"/>
          </w:tcPr>
          <w:p w14:paraId="4B81A875">
            <w:pPr>
              <w:pStyle w:val="14"/>
            </w:pPr>
          </w:p>
        </w:tc>
        <w:tc>
          <w:tcPr>
            <w:tcW w:w="3402" w:type="dxa"/>
            <w:vAlign w:val="center"/>
          </w:tcPr>
          <w:p w14:paraId="7F40922D">
            <w:pPr>
              <w:pStyle w:val="13"/>
            </w:pPr>
            <w:r>
              <w:t>八、社会保障和就业支出</w:t>
            </w:r>
          </w:p>
        </w:tc>
        <w:tc>
          <w:tcPr>
            <w:tcW w:w="1474" w:type="dxa"/>
            <w:vAlign w:val="center"/>
          </w:tcPr>
          <w:p w14:paraId="4A3AB8AF">
            <w:pPr>
              <w:pStyle w:val="14"/>
            </w:pPr>
          </w:p>
        </w:tc>
        <w:tc>
          <w:tcPr>
            <w:tcW w:w="1474" w:type="dxa"/>
            <w:vAlign w:val="center"/>
          </w:tcPr>
          <w:p w14:paraId="739CD6E9">
            <w:pPr>
              <w:pStyle w:val="14"/>
            </w:pPr>
          </w:p>
        </w:tc>
        <w:tc>
          <w:tcPr>
            <w:tcW w:w="1474" w:type="dxa"/>
            <w:vAlign w:val="center"/>
          </w:tcPr>
          <w:p w14:paraId="6E990EC1">
            <w:pPr>
              <w:pStyle w:val="14"/>
            </w:pPr>
          </w:p>
        </w:tc>
        <w:tc>
          <w:tcPr>
            <w:tcW w:w="1474" w:type="dxa"/>
            <w:vAlign w:val="center"/>
          </w:tcPr>
          <w:p w14:paraId="2655FE30">
            <w:pPr>
              <w:pStyle w:val="14"/>
            </w:pPr>
          </w:p>
        </w:tc>
      </w:tr>
      <w:tr w14:paraId="77C24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AC994">
            <w:pPr>
              <w:pStyle w:val="12"/>
            </w:pPr>
            <w:r>
              <w:t>9</w:t>
            </w:r>
          </w:p>
        </w:tc>
        <w:tc>
          <w:tcPr>
            <w:tcW w:w="3402" w:type="dxa"/>
            <w:vAlign w:val="center"/>
          </w:tcPr>
          <w:p w14:paraId="14D5C9B2">
            <w:pPr>
              <w:pStyle w:val="13"/>
            </w:pPr>
          </w:p>
        </w:tc>
        <w:tc>
          <w:tcPr>
            <w:tcW w:w="1474" w:type="dxa"/>
            <w:vAlign w:val="center"/>
          </w:tcPr>
          <w:p w14:paraId="3F0C2F64">
            <w:pPr>
              <w:pStyle w:val="14"/>
            </w:pPr>
          </w:p>
        </w:tc>
        <w:tc>
          <w:tcPr>
            <w:tcW w:w="3402" w:type="dxa"/>
            <w:vAlign w:val="center"/>
          </w:tcPr>
          <w:p w14:paraId="742BEDD6">
            <w:pPr>
              <w:pStyle w:val="13"/>
            </w:pPr>
            <w:r>
              <w:t>九、社会保险基金支出</w:t>
            </w:r>
          </w:p>
        </w:tc>
        <w:tc>
          <w:tcPr>
            <w:tcW w:w="1474" w:type="dxa"/>
            <w:vAlign w:val="center"/>
          </w:tcPr>
          <w:p w14:paraId="36D67B5A">
            <w:pPr>
              <w:pStyle w:val="14"/>
            </w:pPr>
          </w:p>
        </w:tc>
        <w:tc>
          <w:tcPr>
            <w:tcW w:w="1474" w:type="dxa"/>
            <w:vAlign w:val="center"/>
          </w:tcPr>
          <w:p w14:paraId="64132BB9">
            <w:pPr>
              <w:pStyle w:val="14"/>
            </w:pPr>
          </w:p>
        </w:tc>
        <w:tc>
          <w:tcPr>
            <w:tcW w:w="1474" w:type="dxa"/>
            <w:vAlign w:val="center"/>
          </w:tcPr>
          <w:p w14:paraId="6EE9A4B0">
            <w:pPr>
              <w:pStyle w:val="14"/>
            </w:pPr>
          </w:p>
        </w:tc>
        <w:tc>
          <w:tcPr>
            <w:tcW w:w="1474" w:type="dxa"/>
            <w:vAlign w:val="center"/>
          </w:tcPr>
          <w:p w14:paraId="208AE511">
            <w:pPr>
              <w:pStyle w:val="14"/>
            </w:pPr>
          </w:p>
        </w:tc>
      </w:tr>
      <w:tr w14:paraId="5F454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A4E20">
            <w:pPr>
              <w:pStyle w:val="12"/>
            </w:pPr>
            <w:r>
              <w:t>10</w:t>
            </w:r>
          </w:p>
        </w:tc>
        <w:tc>
          <w:tcPr>
            <w:tcW w:w="3402" w:type="dxa"/>
            <w:vAlign w:val="center"/>
          </w:tcPr>
          <w:p w14:paraId="42D04310">
            <w:pPr>
              <w:pStyle w:val="13"/>
            </w:pPr>
          </w:p>
        </w:tc>
        <w:tc>
          <w:tcPr>
            <w:tcW w:w="1474" w:type="dxa"/>
            <w:vAlign w:val="center"/>
          </w:tcPr>
          <w:p w14:paraId="1B29D7A0">
            <w:pPr>
              <w:pStyle w:val="14"/>
            </w:pPr>
          </w:p>
        </w:tc>
        <w:tc>
          <w:tcPr>
            <w:tcW w:w="3402" w:type="dxa"/>
            <w:vAlign w:val="center"/>
          </w:tcPr>
          <w:p w14:paraId="2C133B59">
            <w:pPr>
              <w:pStyle w:val="13"/>
            </w:pPr>
            <w:r>
              <w:t>十、卫生健康支出</w:t>
            </w:r>
          </w:p>
        </w:tc>
        <w:tc>
          <w:tcPr>
            <w:tcW w:w="1474" w:type="dxa"/>
            <w:vAlign w:val="center"/>
          </w:tcPr>
          <w:p w14:paraId="2CA6E418">
            <w:pPr>
              <w:pStyle w:val="14"/>
            </w:pPr>
          </w:p>
        </w:tc>
        <w:tc>
          <w:tcPr>
            <w:tcW w:w="1474" w:type="dxa"/>
            <w:vAlign w:val="center"/>
          </w:tcPr>
          <w:p w14:paraId="5A781A6A">
            <w:pPr>
              <w:pStyle w:val="14"/>
            </w:pPr>
          </w:p>
        </w:tc>
        <w:tc>
          <w:tcPr>
            <w:tcW w:w="1474" w:type="dxa"/>
            <w:vAlign w:val="center"/>
          </w:tcPr>
          <w:p w14:paraId="35E590A8">
            <w:pPr>
              <w:pStyle w:val="14"/>
            </w:pPr>
          </w:p>
        </w:tc>
        <w:tc>
          <w:tcPr>
            <w:tcW w:w="1474" w:type="dxa"/>
            <w:vAlign w:val="center"/>
          </w:tcPr>
          <w:p w14:paraId="77E7922C">
            <w:pPr>
              <w:pStyle w:val="14"/>
            </w:pPr>
          </w:p>
        </w:tc>
      </w:tr>
      <w:tr w14:paraId="11DD8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5ED9C">
            <w:pPr>
              <w:pStyle w:val="12"/>
            </w:pPr>
            <w:r>
              <w:t>11</w:t>
            </w:r>
          </w:p>
        </w:tc>
        <w:tc>
          <w:tcPr>
            <w:tcW w:w="3402" w:type="dxa"/>
            <w:vAlign w:val="center"/>
          </w:tcPr>
          <w:p w14:paraId="2C059E33">
            <w:pPr>
              <w:pStyle w:val="13"/>
            </w:pPr>
          </w:p>
        </w:tc>
        <w:tc>
          <w:tcPr>
            <w:tcW w:w="1474" w:type="dxa"/>
            <w:vAlign w:val="center"/>
          </w:tcPr>
          <w:p w14:paraId="31A3AA35">
            <w:pPr>
              <w:pStyle w:val="14"/>
            </w:pPr>
          </w:p>
        </w:tc>
        <w:tc>
          <w:tcPr>
            <w:tcW w:w="3402" w:type="dxa"/>
            <w:vAlign w:val="center"/>
          </w:tcPr>
          <w:p w14:paraId="0411F90A">
            <w:pPr>
              <w:pStyle w:val="13"/>
            </w:pPr>
            <w:r>
              <w:t>十一、节能环保支出</w:t>
            </w:r>
          </w:p>
        </w:tc>
        <w:tc>
          <w:tcPr>
            <w:tcW w:w="1474" w:type="dxa"/>
            <w:vAlign w:val="center"/>
          </w:tcPr>
          <w:p w14:paraId="2AEFB388">
            <w:pPr>
              <w:pStyle w:val="14"/>
            </w:pPr>
          </w:p>
        </w:tc>
        <w:tc>
          <w:tcPr>
            <w:tcW w:w="1474" w:type="dxa"/>
            <w:vAlign w:val="center"/>
          </w:tcPr>
          <w:p w14:paraId="27FC1700">
            <w:pPr>
              <w:pStyle w:val="14"/>
            </w:pPr>
          </w:p>
        </w:tc>
        <w:tc>
          <w:tcPr>
            <w:tcW w:w="1474" w:type="dxa"/>
            <w:vAlign w:val="center"/>
          </w:tcPr>
          <w:p w14:paraId="60E81E13">
            <w:pPr>
              <w:pStyle w:val="14"/>
            </w:pPr>
          </w:p>
        </w:tc>
        <w:tc>
          <w:tcPr>
            <w:tcW w:w="1474" w:type="dxa"/>
            <w:vAlign w:val="center"/>
          </w:tcPr>
          <w:p w14:paraId="2EB0CF34">
            <w:pPr>
              <w:pStyle w:val="14"/>
            </w:pPr>
          </w:p>
        </w:tc>
      </w:tr>
      <w:tr w14:paraId="7CD78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5743D">
            <w:pPr>
              <w:pStyle w:val="12"/>
            </w:pPr>
            <w:r>
              <w:t>12</w:t>
            </w:r>
          </w:p>
        </w:tc>
        <w:tc>
          <w:tcPr>
            <w:tcW w:w="3402" w:type="dxa"/>
            <w:vAlign w:val="center"/>
          </w:tcPr>
          <w:p w14:paraId="069BD2B1">
            <w:pPr>
              <w:pStyle w:val="13"/>
            </w:pPr>
          </w:p>
        </w:tc>
        <w:tc>
          <w:tcPr>
            <w:tcW w:w="1474" w:type="dxa"/>
            <w:vAlign w:val="center"/>
          </w:tcPr>
          <w:p w14:paraId="56A8C929">
            <w:pPr>
              <w:pStyle w:val="14"/>
            </w:pPr>
          </w:p>
        </w:tc>
        <w:tc>
          <w:tcPr>
            <w:tcW w:w="3402" w:type="dxa"/>
            <w:vAlign w:val="center"/>
          </w:tcPr>
          <w:p w14:paraId="1260FEF1">
            <w:pPr>
              <w:pStyle w:val="13"/>
            </w:pPr>
            <w:r>
              <w:t>十二、城乡社区支出</w:t>
            </w:r>
          </w:p>
        </w:tc>
        <w:tc>
          <w:tcPr>
            <w:tcW w:w="1474" w:type="dxa"/>
            <w:vAlign w:val="center"/>
          </w:tcPr>
          <w:p w14:paraId="39FA4228">
            <w:pPr>
              <w:pStyle w:val="14"/>
            </w:pPr>
          </w:p>
        </w:tc>
        <w:tc>
          <w:tcPr>
            <w:tcW w:w="1474" w:type="dxa"/>
            <w:vAlign w:val="center"/>
          </w:tcPr>
          <w:p w14:paraId="2295ADB8">
            <w:pPr>
              <w:pStyle w:val="14"/>
            </w:pPr>
          </w:p>
        </w:tc>
        <w:tc>
          <w:tcPr>
            <w:tcW w:w="1474" w:type="dxa"/>
            <w:vAlign w:val="center"/>
          </w:tcPr>
          <w:p w14:paraId="03A85B17">
            <w:pPr>
              <w:pStyle w:val="14"/>
            </w:pPr>
          </w:p>
        </w:tc>
        <w:tc>
          <w:tcPr>
            <w:tcW w:w="1474" w:type="dxa"/>
            <w:vAlign w:val="center"/>
          </w:tcPr>
          <w:p w14:paraId="165BBBA3">
            <w:pPr>
              <w:pStyle w:val="14"/>
            </w:pPr>
          </w:p>
        </w:tc>
      </w:tr>
      <w:tr w14:paraId="00508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732D5">
            <w:pPr>
              <w:pStyle w:val="12"/>
            </w:pPr>
            <w:r>
              <w:t>13</w:t>
            </w:r>
          </w:p>
        </w:tc>
        <w:tc>
          <w:tcPr>
            <w:tcW w:w="3402" w:type="dxa"/>
            <w:vAlign w:val="center"/>
          </w:tcPr>
          <w:p w14:paraId="6B8D072E">
            <w:pPr>
              <w:pStyle w:val="13"/>
            </w:pPr>
          </w:p>
        </w:tc>
        <w:tc>
          <w:tcPr>
            <w:tcW w:w="1474" w:type="dxa"/>
            <w:vAlign w:val="center"/>
          </w:tcPr>
          <w:p w14:paraId="7FEE9726">
            <w:pPr>
              <w:pStyle w:val="14"/>
            </w:pPr>
          </w:p>
        </w:tc>
        <w:tc>
          <w:tcPr>
            <w:tcW w:w="3402" w:type="dxa"/>
            <w:vAlign w:val="center"/>
          </w:tcPr>
          <w:p w14:paraId="43F7D504">
            <w:pPr>
              <w:pStyle w:val="13"/>
            </w:pPr>
            <w:r>
              <w:t>十三、农林水支出</w:t>
            </w:r>
          </w:p>
        </w:tc>
        <w:tc>
          <w:tcPr>
            <w:tcW w:w="1474" w:type="dxa"/>
            <w:vAlign w:val="center"/>
          </w:tcPr>
          <w:p w14:paraId="62CF0AD3">
            <w:pPr>
              <w:pStyle w:val="14"/>
            </w:pPr>
          </w:p>
        </w:tc>
        <w:tc>
          <w:tcPr>
            <w:tcW w:w="1474" w:type="dxa"/>
            <w:vAlign w:val="center"/>
          </w:tcPr>
          <w:p w14:paraId="7784353A">
            <w:pPr>
              <w:pStyle w:val="14"/>
            </w:pPr>
          </w:p>
        </w:tc>
        <w:tc>
          <w:tcPr>
            <w:tcW w:w="1474" w:type="dxa"/>
            <w:vAlign w:val="center"/>
          </w:tcPr>
          <w:p w14:paraId="6B04C9A2">
            <w:pPr>
              <w:pStyle w:val="14"/>
            </w:pPr>
          </w:p>
        </w:tc>
        <w:tc>
          <w:tcPr>
            <w:tcW w:w="1474" w:type="dxa"/>
            <w:vAlign w:val="center"/>
          </w:tcPr>
          <w:p w14:paraId="0979F562">
            <w:pPr>
              <w:pStyle w:val="14"/>
            </w:pPr>
          </w:p>
        </w:tc>
      </w:tr>
      <w:tr w14:paraId="04098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A1908">
            <w:pPr>
              <w:pStyle w:val="12"/>
            </w:pPr>
            <w:r>
              <w:t>14</w:t>
            </w:r>
          </w:p>
        </w:tc>
        <w:tc>
          <w:tcPr>
            <w:tcW w:w="3402" w:type="dxa"/>
            <w:vAlign w:val="center"/>
          </w:tcPr>
          <w:p w14:paraId="30CBF4E8">
            <w:pPr>
              <w:pStyle w:val="13"/>
            </w:pPr>
          </w:p>
        </w:tc>
        <w:tc>
          <w:tcPr>
            <w:tcW w:w="1474" w:type="dxa"/>
            <w:vAlign w:val="center"/>
          </w:tcPr>
          <w:p w14:paraId="0CD73B44">
            <w:pPr>
              <w:pStyle w:val="14"/>
            </w:pPr>
          </w:p>
        </w:tc>
        <w:tc>
          <w:tcPr>
            <w:tcW w:w="3402" w:type="dxa"/>
            <w:vAlign w:val="center"/>
          </w:tcPr>
          <w:p w14:paraId="7F1F2B08">
            <w:pPr>
              <w:pStyle w:val="13"/>
            </w:pPr>
            <w:r>
              <w:t>十四、交通运输支出</w:t>
            </w:r>
          </w:p>
        </w:tc>
        <w:tc>
          <w:tcPr>
            <w:tcW w:w="1474" w:type="dxa"/>
            <w:vAlign w:val="center"/>
          </w:tcPr>
          <w:p w14:paraId="5BF2023F">
            <w:pPr>
              <w:pStyle w:val="14"/>
            </w:pPr>
          </w:p>
        </w:tc>
        <w:tc>
          <w:tcPr>
            <w:tcW w:w="1474" w:type="dxa"/>
            <w:vAlign w:val="center"/>
          </w:tcPr>
          <w:p w14:paraId="3A46174E">
            <w:pPr>
              <w:pStyle w:val="14"/>
            </w:pPr>
          </w:p>
        </w:tc>
        <w:tc>
          <w:tcPr>
            <w:tcW w:w="1474" w:type="dxa"/>
            <w:vAlign w:val="center"/>
          </w:tcPr>
          <w:p w14:paraId="088F0BB4">
            <w:pPr>
              <w:pStyle w:val="14"/>
            </w:pPr>
          </w:p>
        </w:tc>
        <w:tc>
          <w:tcPr>
            <w:tcW w:w="1474" w:type="dxa"/>
            <w:vAlign w:val="center"/>
          </w:tcPr>
          <w:p w14:paraId="5E4D3A43">
            <w:pPr>
              <w:pStyle w:val="14"/>
            </w:pPr>
          </w:p>
        </w:tc>
      </w:tr>
      <w:tr w14:paraId="3432C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4674D">
            <w:pPr>
              <w:pStyle w:val="12"/>
            </w:pPr>
            <w:r>
              <w:t>15</w:t>
            </w:r>
          </w:p>
        </w:tc>
        <w:tc>
          <w:tcPr>
            <w:tcW w:w="3402" w:type="dxa"/>
            <w:vAlign w:val="center"/>
          </w:tcPr>
          <w:p w14:paraId="1AE22476">
            <w:pPr>
              <w:pStyle w:val="13"/>
            </w:pPr>
          </w:p>
        </w:tc>
        <w:tc>
          <w:tcPr>
            <w:tcW w:w="1474" w:type="dxa"/>
            <w:vAlign w:val="center"/>
          </w:tcPr>
          <w:p w14:paraId="0D1E3B10">
            <w:pPr>
              <w:pStyle w:val="14"/>
            </w:pPr>
          </w:p>
        </w:tc>
        <w:tc>
          <w:tcPr>
            <w:tcW w:w="3402" w:type="dxa"/>
            <w:vAlign w:val="center"/>
          </w:tcPr>
          <w:p w14:paraId="34AFB86B">
            <w:pPr>
              <w:pStyle w:val="13"/>
            </w:pPr>
            <w:r>
              <w:t>十五、资源勘探工业信息等支出</w:t>
            </w:r>
          </w:p>
        </w:tc>
        <w:tc>
          <w:tcPr>
            <w:tcW w:w="1474" w:type="dxa"/>
            <w:vAlign w:val="center"/>
          </w:tcPr>
          <w:p w14:paraId="2211E416">
            <w:pPr>
              <w:pStyle w:val="14"/>
            </w:pPr>
          </w:p>
        </w:tc>
        <w:tc>
          <w:tcPr>
            <w:tcW w:w="1474" w:type="dxa"/>
            <w:vAlign w:val="center"/>
          </w:tcPr>
          <w:p w14:paraId="691DFCC4">
            <w:pPr>
              <w:pStyle w:val="14"/>
            </w:pPr>
          </w:p>
        </w:tc>
        <w:tc>
          <w:tcPr>
            <w:tcW w:w="1474" w:type="dxa"/>
            <w:vAlign w:val="center"/>
          </w:tcPr>
          <w:p w14:paraId="7CD1FEDD">
            <w:pPr>
              <w:pStyle w:val="14"/>
            </w:pPr>
          </w:p>
        </w:tc>
        <w:tc>
          <w:tcPr>
            <w:tcW w:w="1474" w:type="dxa"/>
            <w:vAlign w:val="center"/>
          </w:tcPr>
          <w:p w14:paraId="2007C11F">
            <w:pPr>
              <w:pStyle w:val="14"/>
            </w:pPr>
          </w:p>
        </w:tc>
      </w:tr>
      <w:tr w14:paraId="5F369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7B226">
            <w:pPr>
              <w:pStyle w:val="12"/>
            </w:pPr>
            <w:r>
              <w:t>16</w:t>
            </w:r>
          </w:p>
        </w:tc>
        <w:tc>
          <w:tcPr>
            <w:tcW w:w="3402" w:type="dxa"/>
            <w:vAlign w:val="center"/>
          </w:tcPr>
          <w:p w14:paraId="0A41162B">
            <w:pPr>
              <w:pStyle w:val="13"/>
            </w:pPr>
          </w:p>
        </w:tc>
        <w:tc>
          <w:tcPr>
            <w:tcW w:w="1474" w:type="dxa"/>
            <w:vAlign w:val="center"/>
          </w:tcPr>
          <w:p w14:paraId="5033A57A">
            <w:pPr>
              <w:pStyle w:val="14"/>
            </w:pPr>
          </w:p>
        </w:tc>
        <w:tc>
          <w:tcPr>
            <w:tcW w:w="3402" w:type="dxa"/>
            <w:vAlign w:val="center"/>
          </w:tcPr>
          <w:p w14:paraId="68833551">
            <w:pPr>
              <w:pStyle w:val="13"/>
            </w:pPr>
            <w:r>
              <w:t>十六、商业服务业等支出</w:t>
            </w:r>
          </w:p>
        </w:tc>
        <w:tc>
          <w:tcPr>
            <w:tcW w:w="1474" w:type="dxa"/>
            <w:vAlign w:val="center"/>
          </w:tcPr>
          <w:p w14:paraId="06F18F14">
            <w:pPr>
              <w:pStyle w:val="14"/>
            </w:pPr>
          </w:p>
        </w:tc>
        <w:tc>
          <w:tcPr>
            <w:tcW w:w="1474" w:type="dxa"/>
            <w:vAlign w:val="center"/>
          </w:tcPr>
          <w:p w14:paraId="516E7B8B">
            <w:pPr>
              <w:pStyle w:val="14"/>
            </w:pPr>
          </w:p>
        </w:tc>
        <w:tc>
          <w:tcPr>
            <w:tcW w:w="1474" w:type="dxa"/>
            <w:vAlign w:val="center"/>
          </w:tcPr>
          <w:p w14:paraId="1B1EECC2">
            <w:pPr>
              <w:pStyle w:val="14"/>
            </w:pPr>
          </w:p>
        </w:tc>
        <w:tc>
          <w:tcPr>
            <w:tcW w:w="1474" w:type="dxa"/>
            <w:vAlign w:val="center"/>
          </w:tcPr>
          <w:p w14:paraId="042E934E">
            <w:pPr>
              <w:pStyle w:val="14"/>
            </w:pPr>
          </w:p>
        </w:tc>
      </w:tr>
      <w:tr w14:paraId="5EFFD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E9036">
            <w:pPr>
              <w:pStyle w:val="12"/>
            </w:pPr>
            <w:r>
              <w:t>17</w:t>
            </w:r>
          </w:p>
        </w:tc>
        <w:tc>
          <w:tcPr>
            <w:tcW w:w="3402" w:type="dxa"/>
            <w:vAlign w:val="center"/>
          </w:tcPr>
          <w:p w14:paraId="544A8AA4">
            <w:pPr>
              <w:pStyle w:val="13"/>
            </w:pPr>
          </w:p>
        </w:tc>
        <w:tc>
          <w:tcPr>
            <w:tcW w:w="1474" w:type="dxa"/>
            <w:vAlign w:val="center"/>
          </w:tcPr>
          <w:p w14:paraId="74D37A71">
            <w:pPr>
              <w:pStyle w:val="14"/>
            </w:pPr>
          </w:p>
        </w:tc>
        <w:tc>
          <w:tcPr>
            <w:tcW w:w="3402" w:type="dxa"/>
            <w:vAlign w:val="center"/>
          </w:tcPr>
          <w:p w14:paraId="674D7148">
            <w:pPr>
              <w:pStyle w:val="13"/>
            </w:pPr>
            <w:r>
              <w:t>十七、金融支出</w:t>
            </w:r>
          </w:p>
        </w:tc>
        <w:tc>
          <w:tcPr>
            <w:tcW w:w="1474" w:type="dxa"/>
            <w:vAlign w:val="center"/>
          </w:tcPr>
          <w:p w14:paraId="088C6BE5">
            <w:pPr>
              <w:pStyle w:val="14"/>
            </w:pPr>
          </w:p>
        </w:tc>
        <w:tc>
          <w:tcPr>
            <w:tcW w:w="1474" w:type="dxa"/>
            <w:vAlign w:val="center"/>
          </w:tcPr>
          <w:p w14:paraId="20D42824">
            <w:pPr>
              <w:pStyle w:val="14"/>
            </w:pPr>
          </w:p>
        </w:tc>
        <w:tc>
          <w:tcPr>
            <w:tcW w:w="1474" w:type="dxa"/>
            <w:vAlign w:val="center"/>
          </w:tcPr>
          <w:p w14:paraId="08E3C29D">
            <w:pPr>
              <w:pStyle w:val="14"/>
            </w:pPr>
          </w:p>
        </w:tc>
        <w:tc>
          <w:tcPr>
            <w:tcW w:w="1474" w:type="dxa"/>
            <w:vAlign w:val="center"/>
          </w:tcPr>
          <w:p w14:paraId="50FE2394">
            <w:pPr>
              <w:pStyle w:val="14"/>
            </w:pPr>
          </w:p>
        </w:tc>
      </w:tr>
      <w:tr w14:paraId="7E82D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C82C1">
            <w:pPr>
              <w:pStyle w:val="12"/>
            </w:pPr>
            <w:r>
              <w:t>18</w:t>
            </w:r>
          </w:p>
        </w:tc>
        <w:tc>
          <w:tcPr>
            <w:tcW w:w="3402" w:type="dxa"/>
            <w:vAlign w:val="center"/>
          </w:tcPr>
          <w:p w14:paraId="2C6381BE">
            <w:pPr>
              <w:pStyle w:val="13"/>
            </w:pPr>
          </w:p>
        </w:tc>
        <w:tc>
          <w:tcPr>
            <w:tcW w:w="1474" w:type="dxa"/>
            <w:vAlign w:val="center"/>
          </w:tcPr>
          <w:p w14:paraId="683F8CF2">
            <w:pPr>
              <w:pStyle w:val="14"/>
            </w:pPr>
          </w:p>
        </w:tc>
        <w:tc>
          <w:tcPr>
            <w:tcW w:w="3402" w:type="dxa"/>
            <w:vAlign w:val="center"/>
          </w:tcPr>
          <w:p w14:paraId="3FFDA185">
            <w:pPr>
              <w:pStyle w:val="13"/>
            </w:pPr>
            <w:r>
              <w:t>十八、援助其他地区支出</w:t>
            </w:r>
          </w:p>
        </w:tc>
        <w:tc>
          <w:tcPr>
            <w:tcW w:w="1474" w:type="dxa"/>
            <w:vAlign w:val="center"/>
          </w:tcPr>
          <w:p w14:paraId="17419EB1">
            <w:pPr>
              <w:pStyle w:val="14"/>
            </w:pPr>
          </w:p>
        </w:tc>
        <w:tc>
          <w:tcPr>
            <w:tcW w:w="1474" w:type="dxa"/>
            <w:vAlign w:val="center"/>
          </w:tcPr>
          <w:p w14:paraId="7E1D307B">
            <w:pPr>
              <w:pStyle w:val="14"/>
            </w:pPr>
          </w:p>
        </w:tc>
        <w:tc>
          <w:tcPr>
            <w:tcW w:w="1474" w:type="dxa"/>
            <w:vAlign w:val="center"/>
          </w:tcPr>
          <w:p w14:paraId="47E06F50">
            <w:pPr>
              <w:pStyle w:val="14"/>
            </w:pPr>
          </w:p>
        </w:tc>
        <w:tc>
          <w:tcPr>
            <w:tcW w:w="1474" w:type="dxa"/>
            <w:vAlign w:val="center"/>
          </w:tcPr>
          <w:p w14:paraId="2211C29A">
            <w:pPr>
              <w:pStyle w:val="14"/>
            </w:pPr>
          </w:p>
        </w:tc>
      </w:tr>
      <w:tr w14:paraId="08868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E5A26">
            <w:pPr>
              <w:pStyle w:val="12"/>
            </w:pPr>
            <w:r>
              <w:t>19</w:t>
            </w:r>
          </w:p>
        </w:tc>
        <w:tc>
          <w:tcPr>
            <w:tcW w:w="3402" w:type="dxa"/>
            <w:vAlign w:val="center"/>
          </w:tcPr>
          <w:p w14:paraId="22DF56EE">
            <w:pPr>
              <w:pStyle w:val="13"/>
            </w:pPr>
          </w:p>
        </w:tc>
        <w:tc>
          <w:tcPr>
            <w:tcW w:w="1474" w:type="dxa"/>
            <w:vAlign w:val="center"/>
          </w:tcPr>
          <w:p w14:paraId="016A102F">
            <w:pPr>
              <w:pStyle w:val="14"/>
            </w:pPr>
          </w:p>
        </w:tc>
        <w:tc>
          <w:tcPr>
            <w:tcW w:w="3402" w:type="dxa"/>
            <w:vAlign w:val="center"/>
          </w:tcPr>
          <w:p w14:paraId="0D01536D">
            <w:pPr>
              <w:pStyle w:val="13"/>
            </w:pPr>
            <w:r>
              <w:t>十九、自然资源海洋气象等支出</w:t>
            </w:r>
          </w:p>
        </w:tc>
        <w:tc>
          <w:tcPr>
            <w:tcW w:w="1474" w:type="dxa"/>
            <w:vAlign w:val="center"/>
          </w:tcPr>
          <w:p w14:paraId="095D1D36">
            <w:pPr>
              <w:pStyle w:val="14"/>
            </w:pPr>
          </w:p>
        </w:tc>
        <w:tc>
          <w:tcPr>
            <w:tcW w:w="1474" w:type="dxa"/>
            <w:vAlign w:val="center"/>
          </w:tcPr>
          <w:p w14:paraId="4E39A880">
            <w:pPr>
              <w:pStyle w:val="14"/>
            </w:pPr>
          </w:p>
        </w:tc>
        <w:tc>
          <w:tcPr>
            <w:tcW w:w="1474" w:type="dxa"/>
            <w:vAlign w:val="center"/>
          </w:tcPr>
          <w:p w14:paraId="100BD594">
            <w:pPr>
              <w:pStyle w:val="14"/>
            </w:pPr>
          </w:p>
        </w:tc>
        <w:tc>
          <w:tcPr>
            <w:tcW w:w="1474" w:type="dxa"/>
            <w:vAlign w:val="center"/>
          </w:tcPr>
          <w:p w14:paraId="050D4309">
            <w:pPr>
              <w:pStyle w:val="14"/>
            </w:pPr>
          </w:p>
        </w:tc>
      </w:tr>
      <w:tr w14:paraId="576CD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BA05B">
            <w:pPr>
              <w:pStyle w:val="12"/>
            </w:pPr>
            <w:r>
              <w:t>20</w:t>
            </w:r>
          </w:p>
        </w:tc>
        <w:tc>
          <w:tcPr>
            <w:tcW w:w="3402" w:type="dxa"/>
            <w:vAlign w:val="center"/>
          </w:tcPr>
          <w:p w14:paraId="6437B41F">
            <w:pPr>
              <w:pStyle w:val="13"/>
            </w:pPr>
          </w:p>
        </w:tc>
        <w:tc>
          <w:tcPr>
            <w:tcW w:w="1474" w:type="dxa"/>
            <w:vAlign w:val="center"/>
          </w:tcPr>
          <w:p w14:paraId="76B8325D">
            <w:pPr>
              <w:pStyle w:val="14"/>
            </w:pPr>
          </w:p>
        </w:tc>
        <w:tc>
          <w:tcPr>
            <w:tcW w:w="3402" w:type="dxa"/>
            <w:vAlign w:val="center"/>
          </w:tcPr>
          <w:p w14:paraId="5D1942D4">
            <w:pPr>
              <w:pStyle w:val="13"/>
            </w:pPr>
            <w:r>
              <w:t>二十、住房保障支出</w:t>
            </w:r>
          </w:p>
        </w:tc>
        <w:tc>
          <w:tcPr>
            <w:tcW w:w="1474" w:type="dxa"/>
            <w:vAlign w:val="center"/>
          </w:tcPr>
          <w:p w14:paraId="616DDEA3">
            <w:pPr>
              <w:pStyle w:val="14"/>
            </w:pPr>
          </w:p>
        </w:tc>
        <w:tc>
          <w:tcPr>
            <w:tcW w:w="1474" w:type="dxa"/>
            <w:vAlign w:val="center"/>
          </w:tcPr>
          <w:p w14:paraId="0EECD2D3">
            <w:pPr>
              <w:pStyle w:val="14"/>
            </w:pPr>
          </w:p>
        </w:tc>
        <w:tc>
          <w:tcPr>
            <w:tcW w:w="1474" w:type="dxa"/>
            <w:vAlign w:val="center"/>
          </w:tcPr>
          <w:p w14:paraId="3851C91F">
            <w:pPr>
              <w:pStyle w:val="14"/>
            </w:pPr>
          </w:p>
        </w:tc>
        <w:tc>
          <w:tcPr>
            <w:tcW w:w="1474" w:type="dxa"/>
            <w:vAlign w:val="center"/>
          </w:tcPr>
          <w:p w14:paraId="1057F870">
            <w:pPr>
              <w:pStyle w:val="14"/>
            </w:pPr>
          </w:p>
        </w:tc>
      </w:tr>
      <w:tr w14:paraId="56C1F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B7C58">
            <w:pPr>
              <w:pStyle w:val="12"/>
            </w:pPr>
            <w:r>
              <w:t>21</w:t>
            </w:r>
          </w:p>
        </w:tc>
        <w:tc>
          <w:tcPr>
            <w:tcW w:w="3402" w:type="dxa"/>
            <w:vAlign w:val="center"/>
          </w:tcPr>
          <w:p w14:paraId="7AAFB855">
            <w:pPr>
              <w:pStyle w:val="13"/>
            </w:pPr>
          </w:p>
        </w:tc>
        <w:tc>
          <w:tcPr>
            <w:tcW w:w="1474" w:type="dxa"/>
            <w:vAlign w:val="center"/>
          </w:tcPr>
          <w:p w14:paraId="2C8734D8">
            <w:pPr>
              <w:pStyle w:val="14"/>
            </w:pPr>
          </w:p>
        </w:tc>
        <w:tc>
          <w:tcPr>
            <w:tcW w:w="3402" w:type="dxa"/>
            <w:vAlign w:val="center"/>
          </w:tcPr>
          <w:p w14:paraId="4F8AF92B">
            <w:pPr>
              <w:pStyle w:val="13"/>
            </w:pPr>
            <w:r>
              <w:t>二十一、粮油物资储备支出</w:t>
            </w:r>
          </w:p>
        </w:tc>
        <w:tc>
          <w:tcPr>
            <w:tcW w:w="1474" w:type="dxa"/>
            <w:vAlign w:val="center"/>
          </w:tcPr>
          <w:p w14:paraId="4BB94124">
            <w:pPr>
              <w:pStyle w:val="14"/>
            </w:pPr>
          </w:p>
        </w:tc>
        <w:tc>
          <w:tcPr>
            <w:tcW w:w="1474" w:type="dxa"/>
            <w:vAlign w:val="center"/>
          </w:tcPr>
          <w:p w14:paraId="21284EC6">
            <w:pPr>
              <w:pStyle w:val="14"/>
            </w:pPr>
          </w:p>
        </w:tc>
        <w:tc>
          <w:tcPr>
            <w:tcW w:w="1474" w:type="dxa"/>
            <w:vAlign w:val="center"/>
          </w:tcPr>
          <w:p w14:paraId="72756DC2">
            <w:pPr>
              <w:pStyle w:val="14"/>
            </w:pPr>
          </w:p>
        </w:tc>
        <w:tc>
          <w:tcPr>
            <w:tcW w:w="1474" w:type="dxa"/>
            <w:vAlign w:val="center"/>
          </w:tcPr>
          <w:p w14:paraId="7ACE0C22">
            <w:pPr>
              <w:pStyle w:val="14"/>
            </w:pPr>
          </w:p>
        </w:tc>
      </w:tr>
      <w:tr w14:paraId="37608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48473">
            <w:pPr>
              <w:pStyle w:val="12"/>
            </w:pPr>
            <w:r>
              <w:t>22</w:t>
            </w:r>
          </w:p>
        </w:tc>
        <w:tc>
          <w:tcPr>
            <w:tcW w:w="3402" w:type="dxa"/>
            <w:vAlign w:val="center"/>
          </w:tcPr>
          <w:p w14:paraId="20525603">
            <w:pPr>
              <w:pStyle w:val="13"/>
            </w:pPr>
          </w:p>
        </w:tc>
        <w:tc>
          <w:tcPr>
            <w:tcW w:w="1474" w:type="dxa"/>
            <w:vAlign w:val="center"/>
          </w:tcPr>
          <w:p w14:paraId="31CE11A5">
            <w:pPr>
              <w:pStyle w:val="14"/>
            </w:pPr>
          </w:p>
        </w:tc>
        <w:tc>
          <w:tcPr>
            <w:tcW w:w="3402" w:type="dxa"/>
            <w:vAlign w:val="center"/>
          </w:tcPr>
          <w:p w14:paraId="401C7E1E">
            <w:pPr>
              <w:pStyle w:val="13"/>
            </w:pPr>
            <w:r>
              <w:t>二十二、国有资本经营预算支出</w:t>
            </w:r>
          </w:p>
        </w:tc>
        <w:tc>
          <w:tcPr>
            <w:tcW w:w="1474" w:type="dxa"/>
            <w:vAlign w:val="center"/>
          </w:tcPr>
          <w:p w14:paraId="0D7ABE85">
            <w:pPr>
              <w:pStyle w:val="14"/>
            </w:pPr>
          </w:p>
        </w:tc>
        <w:tc>
          <w:tcPr>
            <w:tcW w:w="1474" w:type="dxa"/>
            <w:vAlign w:val="center"/>
          </w:tcPr>
          <w:p w14:paraId="72DBE355">
            <w:pPr>
              <w:pStyle w:val="14"/>
            </w:pPr>
          </w:p>
        </w:tc>
        <w:tc>
          <w:tcPr>
            <w:tcW w:w="1474" w:type="dxa"/>
            <w:vAlign w:val="center"/>
          </w:tcPr>
          <w:p w14:paraId="13B6E308">
            <w:pPr>
              <w:pStyle w:val="14"/>
            </w:pPr>
          </w:p>
        </w:tc>
        <w:tc>
          <w:tcPr>
            <w:tcW w:w="1474" w:type="dxa"/>
            <w:vAlign w:val="center"/>
          </w:tcPr>
          <w:p w14:paraId="21CD21D4">
            <w:pPr>
              <w:pStyle w:val="14"/>
            </w:pPr>
          </w:p>
        </w:tc>
      </w:tr>
      <w:tr w14:paraId="6AE7E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241DE">
            <w:pPr>
              <w:pStyle w:val="12"/>
            </w:pPr>
            <w:r>
              <w:t>23</w:t>
            </w:r>
          </w:p>
        </w:tc>
        <w:tc>
          <w:tcPr>
            <w:tcW w:w="3402" w:type="dxa"/>
            <w:vAlign w:val="center"/>
          </w:tcPr>
          <w:p w14:paraId="21F244E0">
            <w:pPr>
              <w:pStyle w:val="13"/>
            </w:pPr>
          </w:p>
        </w:tc>
        <w:tc>
          <w:tcPr>
            <w:tcW w:w="1474" w:type="dxa"/>
            <w:vAlign w:val="center"/>
          </w:tcPr>
          <w:p w14:paraId="69EDD22A">
            <w:pPr>
              <w:pStyle w:val="14"/>
            </w:pPr>
          </w:p>
        </w:tc>
        <w:tc>
          <w:tcPr>
            <w:tcW w:w="3402" w:type="dxa"/>
            <w:vAlign w:val="center"/>
          </w:tcPr>
          <w:p w14:paraId="2702F17E">
            <w:pPr>
              <w:pStyle w:val="13"/>
            </w:pPr>
            <w:r>
              <w:t>二十三、灾害防治及应急管理支出</w:t>
            </w:r>
          </w:p>
        </w:tc>
        <w:tc>
          <w:tcPr>
            <w:tcW w:w="1474" w:type="dxa"/>
            <w:vAlign w:val="center"/>
          </w:tcPr>
          <w:p w14:paraId="609DE5C8">
            <w:pPr>
              <w:pStyle w:val="14"/>
            </w:pPr>
          </w:p>
        </w:tc>
        <w:tc>
          <w:tcPr>
            <w:tcW w:w="1474" w:type="dxa"/>
            <w:vAlign w:val="center"/>
          </w:tcPr>
          <w:p w14:paraId="2A9A48C8">
            <w:pPr>
              <w:pStyle w:val="14"/>
            </w:pPr>
          </w:p>
        </w:tc>
        <w:tc>
          <w:tcPr>
            <w:tcW w:w="1474" w:type="dxa"/>
            <w:vAlign w:val="center"/>
          </w:tcPr>
          <w:p w14:paraId="1B838ADA">
            <w:pPr>
              <w:pStyle w:val="14"/>
            </w:pPr>
          </w:p>
        </w:tc>
        <w:tc>
          <w:tcPr>
            <w:tcW w:w="1474" w:type="dxa"/>
            <w:vAlign w:val="center"/>
          </w:tcPr>
          <w:p w14:paraId="3915095D">
            <w:pPr>
              <w:pStyle w:val="14"/>
            </w:pPr>
          </w:p>
        </w:tc>
      </w:tr>
      <w:tr w14:paraId="02B55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325F4">
            <w:pPr>
              <w:pStyle w:val="12"/>
            </w:pPr>
            <w:r>
              <w:t>24</w:t>
            </w:r>
          </w:p>
        </w:tc>
        <w:tc>
          <w:tcPr>
            <w:tcW w:w="3402" w:type="dxa"/>
            <w:vAlign w:val="center"/>
          </w:tcPr>
          <w:p w14:paraId="0448E19A">
            <w:pPr>
              <w:pStyle w:val="13"/>
            </w:pPr>
          </w:p>
        </w:tc>
        <w:tc>
          <w:tcPr>
            <w:tcW w:w="1474" w:type="dxa"/>
            <w:vAlign w:val="center"/>
          </w:tcPr>
          <w:p w14:paraId="0F2862BB">
            <w:pPr>
              <w:pStyle w:val="14"/>
            </w:pPr>
          </w:p>
        </w:tc>
        <w:tc>
          <w:tcPr>
            <w:tcW w:w="3402" w:type="dxa"/>
            <w:vAlign w:val="center"/>
          </w:tcPr>
          <w:p w14:paraId="6354AEE2">
            <w:pPr>
              <w:pStyle w:val="13"/>
            </w:pPr>
            <w:r>
              <w:t>二十四、预备费</w:t>
            </w:r>
          </w:p>
        </w:tc>
        <w:tc>
          <w:tcPr>
            <w:tcW w:w="1474" w:type="dxa"/>
            <w:vAlign w:val="center"/>
          </w:tcPr>
          <w:p w14:paraId="107BC143">
            <w:pPr>
              <w:pStyle w:val="14"/>
            </w:pPr>
          </w:p>
        </w:tc>
        <w:tc>
          <w:tcPr>
            <w:tcW w:w="1474" w:type="dxa"/>
            <w:vAlign w:val="center"/>
          </w:tcPr>
          <w:p w14:paraId="52632C41">
            <w:pPr>
              <w:pStyle w:val="14"/>
            </w:pPr>
          </w:p>
        </w:tc>
        <w:tc>
          <w:tcPr>
            <w:tcW w:w="1474" w:type="dxa"/>
            <w:vAlign w:val="center"/>
          </w:tcPr>
          <w:p w14:paraId="4A7A1E33">
            <w:pPr>
              <w:pStyle w:val="14"/>
            </w:pPr>
          </w:p>
        </w:tc>
        <w:tc>
          <w:tcPr>
            <w:tcW w:w="1474" w:type="dxa"/>
            <w:vAlign w:val="center"/>
          </w:tcPr>
          <w:p w14:paraId="2F8F754C">
            <w:pPr>
              <w:pStyle w:val="14"/>
            </w:pPr>
          </w:p>
        </w:tc>
      </w:tr>
      <w:tr w14:paraId="39C03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CBA6A">
            <w:pPr>
              <w:pStyle w:val="12"/>
            </w:pPr>
            <w:r>
              <w:t>25</w:t>
            </w:r>
          </w:p>
        </w:tc>
        <w:tc>
          <w:tcPr>
            <w:tcW w:w="3402" w:type="dxa"/>
            <w:vAlign w:val="center"/>
          </w:tcPr>
          <w:p w14:paraId="7D4345CE">
            <w:pPr>
              <w:pStyle w:val="13"/>
            </w:pPr>
          </w:p>
        </w:tc>
        <w:tc>
          <w:tcPr>
            <w:tcW w:w="1474" w:type="dxa"/>
            <w:vAlign w:val="center"/>
          </w:tcPr>
          <w:p w14:paraId="43301690">
            <w:pPr>
              <w:pStyle w:val="14"/>
            </w:pPr>
          </w:p>
        </w:tc>
        <w:tc>
          <w:tcPr>
            <w:tcW w:w="3402" w:type="dxa"/>
            <w:vAlign w:val="center"/>
          </w:tcPr>
          <w:p w14:paraId="52A354E7">
            <w:pPr>
              <w:pStyle w:val="13"/>
            </w:pPr>
            <w:r>
              <w:t>二十五、其他支出</w:t>
            </w:r>
          </w:p>
        </w:tc>
        <w:tc>
          <w:tcPr>
            <w:tcW w:w="1474" w:type="dxa"/>
            <w:vAlign w:val="center"/>
          </w:tcPr>
          <w:p w14:paraId="3E0359AF">
            <w:pPr>
              <w:pStyle w:val="14"/>
            </w:pPr>
          </w:p>
        </w:tc>
        <w:tc>
          <w:tcPr>
            <w:tcW w:w="1474" w:type="dxa"/>
            <w:vAlign w:val="center"/>
          </w:tcPr>
          <w:p w14:paraId="74B9D347">
            <w:pPr>
              <w:pStyle w:val="14"/>
            </w:pPr>
          </w:p>
        </w:tc>
        <w:tc>
          <w:tcPr>
            <w:tcW w:w="1474" w:type="dxa"/>
            <w:vAlign w:val="center"/>
          </w:tcPr>
          <w:p w14:paraId="644407A9">
            <w:pPr>
              <w:pStyle w:val="14"/>
            </w:pPr>
          </w:p>
        </w:tc>
        <w:tc>
          <w:tcPr>
            <w:tcW w:w="1474" w:type="dxa"/>
            <w:vAlign w:val="center"/>
          </w:tcPr>
          <w:p w14:paraId="7BBE75B4">
            <w:pPr>
              <w:pStyle w:val="14"/>
            </w:pPr>
          </w:p>
        </w:tc>
      </w:tr>
      <w:tr w14:paraId="6ED1A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D020E">
            <w:pPr>
              <w:pStyle w:val="12"/>
            </w:pPr>
            <w:r>
              <w:t>26</w:t>
            </w:r>
          </w:p>
        </w:tc>
        <w:tc>
          <w:tcPr>
            <w:tcW w:w="3402" w:type="dxa"/>
            <w:vAlign w:val="center"/>
          </w:tcPr>
          <w:p w14:paraId="06B1F61F">
            <w:pPr>
              <w:pStyle w:val="13"/>
            </w:pPr>
          </w:p>
        </w:tc>
        <w:tc>
          <w:tcPr>
            <w:tcW w:w="1474" w:type="dxa"/>
            <w:vAlign w:val="center"/>
          </w:tcPr>
          <w:p w14:paraId="5041C31C">
            <w:pPr>
              <w:pStyle w:val="14"/>
            </w:pPr>
          </w:p>
        </w:tc>
        <w:tc>
          <w:tcPr>
            <w:tcW w:w="3402" w:type="dxa"/>
            <w:vAlign w:val="center"/>
          </w:tcPr>
          <w:p w14:paraId="0EB4341F">
            <w:pPr>
              <w:pStyle w:val="13"/>
            </w:pPr>
            <w:r>
              <w:t>二十六、转移性支出</w:t>
            </w:r>
          </w:p>
        </w:tc>
        <w:tc>
          <w:tcPr>
            <w:tcW w:w="1474" w:type="dxa"/>
            <w:vAlign w:val="center"/>
          </w:tcPr>
          <w:p w14:paraId="2509C604">
            <w:pPr>
              <w:pStyle w:val="14"/>
            </w:pPr>
          </w:p>
        </w:tc>
        <w:tc>
          <w:tcPr>
            <w:tcW w:w="1474" w:type="dxa"/>
            <w:vAlign w:val="center"/>
          </w:tcPr>
          <w:p w14:paraId="4431D69E">
            <w:pPr>
              <w:pStyle w:val="14"/>
            </w:pPr>
          </w:p>
        </w:tc>
        <w:tc>
          <w:tcPr>
            <w:tcW w:w="1474" w:type="dxa"/>
            <w:vAlign w:val="center"/>
          </w:tcPr>
          <w:p w14:paraId="68538F5A">
            <w:pPr>
              <w:pStyle w:val="14"/>
            </w:pPr>
          </w:p>
        </w:tc>
        <w:tc>
          <w:tcPr>
            <w:tcW w:w="1474" w:type="dxa"/>
            <w:vAlign w:val="center"/>
          </w:tcPr>
          <w:p w14:paraId="0A85E236">
            <w:pPr>
              <w:pStyle w:val="14"/>
            </w:pPr>
          </w:p>
        </w:tc>
      </w:tr>
      <w:tr w14:paraId="54509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A846A">
            <w:pPr>
              <w:pStyle w:val="12"/>
            </w:pPr>
            <w:r>
              <w:t>27</w:t>
            </w:r>
          </w:p>
        </w:tc>
        <w:tc>
          <w:tcPr>
            <w:tcW w:w="3402" w:type="dxa"/>
            <w:vAlign w:val="center"/>
          </w:tcPr>
          <w:p w14:paraId="5BADA63A">
            <w:pPr>
              <w:pStyle w:val="13"/>
            </w:pPr>
          </w:p>
        </w:tc>
        <w:tc>
          <w:tcPr>
            <w:tcW w:w="1474" w:type="dxa"/>
            <w:vAlign w:val="center"/>
          </w:tcPr>
          <w:p w14:paraId="1D2621CF">
            <w:pPr>
              <w:pStyle w:val="14"/>
            </w:pPr>
          </w:p>
        </w:tc>
        <w:tc>
          <w:tcPr>
            <w:tcW w:w="3402" w:type="dxa"/>
            <w:vAlign w:val="center"/>
          </w:tcPr>
          <w:p w14:paraId="30EF2F7D">
            <w:pPr>
              <w:pStyle w:val="13"/>
            </w:pPr>
            <w:r>
              <w:t>二十七、债务还本支出</w:t>
            </w:r>
          </w:p>
        </w:tc>
        <w:tc>
          <w:tcPr>
            <w:tcW w:w="1474" w:type="dxa"/>
            <w:vAlign w:val="center"/>
          </w:tcPr>
          <w:p w14:paraId="7B6E746C">
            <w:pPr>
              <w:pStyle w:val="14"/>
            </w:pPr>
          </w:p>
        </w:tc>
        <w:tc>
          <w:tcPr>
            <w:tcW w:w="1474" w:type="dxa"/>
            <w:vAlign w:val="center"/>
          </w:tcPr>
          <w:p w14:paraId="43DC61BA">
            <w:pPr>
              <w:pStyle w:val="14"/>
            </w:pPr>
          </w:p>
        </w:tc>
        <w:tc>
          <w:tcPr>
            <w:tcW w:w="1474" w:type="dxa"/>
            <w:vAlign w:val="center"/>
          </w:tcPr>
          <w:p w14:paraId="430EDAB4">
            <w:pPr>
              <w:pStyle w:val="14"/>
            </w:pPr>
          </w:p>
        </w:tc>
        <w:tc>
          <w:tcPr>
            <w:tcW w:w="1474" w:type="dxa"/>
            <w:vAlign w:val="center"/>
          </w:tcPr>
          <w:p w14:paraId="49DE5DB9">
            <w:pPr>
              <w:pStyle w:val="14"/>
            </w:pPr>
          </w:p>
        </w:tc>
      </w:tr>
      <w:tr w14:paraId="1D695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386CD">
            <w:pPr>
              <w:pStyle w:val="12"/>
            </w:pPr>
            <w:r>
              <w:t>28</w:t>
            </w:r>
          </w:p>
        </w:tc>
        <w:tc>
          <w:tcPr>
            <w:tcW w:w="3402" w:type="dxa"/>
            <w:vAlign w:val="center"/>
          </w:tcPr>
          <w:p w14:paraId="72BDFEB8">
            <w:pPr>
              <w:pStyle w:val="13"/>
            </w:pPr>
          </w:p>
        </w:tc>
        <w:tc>
          <w:tcPr>
            <w:tcW w:w="1474" w:type="dxa"/>
            <w:vAlign w:val="center"/>
          </w:tcPr>
          <w:p w14:paraId="6F305BE1">
            <w:pPr>
              <w:pStyle w:val="14"/>
            </w:pPr>
          </w:p>
        </w:tc>
        <w:tc>
          <w:tcPr>
            <w:tcW w:w="3402" w:type="dxa"/>
            <w:vAlign w:val="center"/>
          </w:tcPr>
          <w:p w14:paraId="4E9A066D">
            <w:pPr>
              <w:pStyle w:val="13"/>
            </w:pPr>
            <w:r>
              <w:t>二十八、债务付息支出</w:t>
            </w:r>
          </w:p>
        </w:tc>
        <w:tc>
          <w:tcPr>
            <w:tcW w:w="1474" w:type="dxa"/>
            <w:vAlign w:val="center"/>
          </w:tcPr>
          <w:p w14:paraId="630D3F7A">
            <w:pPr>
              <w:pStyle w:val="14"/>
            </w:pPr>
          </w:p>
        </w:tc>
        <w:tc>
          <w:tcPr>
            <w:tcW w:w="1474" w:type="dxa"/>
            <w:vAlign w:val="center"/>
          </w:tcPr>
          <w:p w14:paraId="4BF8EE9F">
            <w:pPr>
              <w:pStyle w:val="14"/>
            </w:pPr>
          </w:p>
        </w:tc>
        <w:tc>
          <w:tcPr>
            <w:tcW w:w="1474" w:type="dxa"/>
            <w:vAlign w:val="center"/>
          </w:tcPr>
          <w:p w14:paraId="3FB2E3A9">
            <w:pPr>
              <w:pStyle w:val="14"/>
            </w:pPr>
          </w:p>
        </w:tc>
        <w:tc>
          <w:tcPr>
            <w:tcW w:w="1474" w:type="dxa"/>
            <w:vAlign w:val="center"/>
          </w:tcPr>
          <w:p w14:paraId="5CE9C041">
            <w:pPr>
              <w:pStyle w:val="14"/>
            </w:pPr>
          </w:p>
        </w:tc>
      </w:tr>
      <w:tr w14:paraId="176CD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0A530">
            <w:pPr>
              <w:pStyle w:val="12"/>
            </w:pPr>
            <w:r>
              <w:t>29</w:t>
            </w:r>
          </w:p>
        </w:tc>
        <w:tc>
          <w:tcPr>
            <w:tcW w:w="3402" w:type="dxa"/>
            <w:vAlign w:val="center"/>
          </w:tcPr>
          <w:p w14:paraId="1DC4A196">
            <w:pPr>
              <w:pStyle w:val="13"/>
            </w:pPr>
          </w:p>
        </w:tc>
        <w:tc>
          <w:tcPr>
            <w:tcW w:w="1474" w:type="dxa"/>
            <w:vAlign w:val="center"/>
          </w:tcPr>
          <w:p w14:paraId="3CA3DD2A">
            <w:pPr>
              <w:pStyle w:val="14"/>
            </w:pPr>
          </w:p>
        </w:tc>
        <w:tc>
          <w:tcPr>
            <w:tcW w:w="3402" w:type="dxa"/>
            <w:vAlign w:val="center"/>
          </w:tcPr>
          <w:p w14:paraId="444E880E">
            <w:pPr>
              <w:pStyle w:val="13"/>
            </w:pPr>
            <w:r>
              <w:t>二十九、债务发行费用支出</w:t>
            </w:r>
          </w:p>
        </w:tc>
        <w:tc>
          <w:tcPr>
            <w:tcW w:w="1474" w:type="dxa"/>
            <w:vAlign w:val="center"/>
          </w:tcPr>
          <w:p w14:paraId="74FBE462">
            <w:pPr>
              <w:pStyle w:val="14"/>
            </w:pPr>
          </w:p>
        </w:tc>
        <w:tc>
          <w:tcPr>
            <w:tcW w:w="1474" w:type="dxa"/>
            <w:vAlign w:val="center"/>
          </w:tcPr>
          <w:p w14:paraId="020C512B">
            <w:pPr>
              <w:pStyle w:val="14"/>
            </w:pPr>
          </w:p>
        </w:tc>
        <w:tc>
          <w:tcPr>
            <w:tcW w:w="1474" w:type="dxa"/>
            <w:vAlign w:val="center"/>
          </w:tcPr>
          <w:p w14:paraId="1C30F906">
            <w:pPr>
              <w:pStyle w:val="14"/>
            </w:pPr>
          </w:p>
        </w:tc>
        <w:tc>
          <w:tcPr>
            <w:tcW w:w="1474" w:type="dxa"/>
            <w:vAlign w:val="center"/>
          </w:tcPr>
          <w:p w14:paraId="7F19FB71">
            <w:pPr>
              <w:pStyle w:val="14"/>
            </w:pPr>
          </w:p>
        </w:tc>
      </w:tr>
      <w:tr w14:paraId="223A8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3ABAA">
            <w:pPr>
              <w:pStyle w:val="12"/>
            </w:pPr>
            <w:r>
              <w:t>30</w:t>
            </w:r>
          </w:p>
        </w:tc>
        <w:tc>
          <w:tcPr>
            <w:tcW w:w="3402" w:type="dxa"/>
            <w:vAlign w:val="center"/>
          </w:tcPr>
          <w:p w14:paraId="5C7AAACB">
            <w:pPr>
              <w:pStyle w:val="13"/>
            </w:pPr>
          </w:p>
        </w:tc>
        <w:tc>
          <w:tcPr>
            <w:tcW w:w="1474" w:type="dxa"/>
            <w:vAlign w:val="center"/>
          </w:tcPr>
          <w:p w14:paraId="51177C14">
            <w:pPr>
              <w:pStyle w:val="14"/>
            </w:pPr>
          </w:p>
        </w:tc>
        <w:tc>
          <w:tcPr>
            <w:tcW w:w="3402" w:type="dxa"/>
            <w:vAlign w:val="center"/>
          </w:tcPr>
          <w:p w14:paraId="402C6D63">
            <w:pPr>
              <w:pStyle w:val="13"/>
            </w:pPr>
            <w:r>
              <w:t>三十、抗疫特别国债安排的支出</w:t>
            </w:r>
          </w:p>
        </w:tc>
        <w:tc>
          <w:tcPr>
            <w:tcW w:w="1474" w:type="dxa"/>
            <w:vAlign w:val="center"/>
          </w:tcPr>
          <w:p w14:paraId="4AC043D1">
            <w:pPr>
              <w:pStyle w:val="14"/>
            </w:pPr>
          </w:p>
        </w:tc>
        <w:tc>
          <w:tcPr>
            <w:tcW w:w="1474" w:type="dxa"/>
            <w:vAlign w:val="center"/>
          </w:tcPr>
          <w:p w14:paraId="7C232906">
            <w:pPr>
              <w:pStyle w:val="14"/>
            </w:pPr>
          </w:p>
        </w:tc>
        <w:tc>
          <w:tcPr>
            <w:tcW w:w="1474" w:type="dxa"/>
            <w:vAlign w:val="center"/>
          </w:tcPr>
          <w:p w14:paraId="4E5259E2">
            <w:pPr>
              <w:pStyle w:val="14"/>
            </w:pPr>
          </w:p>
        </w:tc>
        <w:tc>
          <w:tcPr>
            <w:tcW w:w="1474" w:type="dxa"/>
            <w:vAlign w:val="center"/>
          </w:tcPr>
          <w:p w14:paraId="2695B288">
            <w:pPr>
              <w:pStyle w:val="14"/>
            </w:pPr>
          </w:p>
        </w:tc>
      </w:tr>
      <w:tr w14:paraId="1C61E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E704B">
            <w:pPr>
              <w:pStyle w:val="12"/>
            </w:pPr>
            <w:r>
              <w:t>31</w:t>
            </w:r>
          </w:p>
        </w:tc>
        <w:tc>
          <w:tcPr>
            <w:tcW w:w="3402" w:type="dxa"/>
            <w:vAlign w:val="center"/>
          </w:tcPr>
          <w:p w14:paraId="6137053C">
            <w:pPr>
              <w:pStyle w:val="13"/>
            </w:pPr>
          </w:p>
        </w:tc>
        <w:tc>
          <w:tcPr>
            <w:tcW w:w="1474" w:type="dxa"/>
            <w:vAlign w:val="center"/>
          </w:tcPr>
          <w:p w14:paraId="20CB6785">
            <w:pPr>
              <w:pStyle w:val="14"/>
            </w:pPr>
          </w:p>
        </w:tc>
        <w:tc>
          <w:tcPr>
            <w:tcW w:w="3402" w:type="dxa"/>
            <w:vAlign w:val="center"/>
          </w:tcPr>
          <w:p w14:paraId="34CFBF60">
            <w:pPr>
              <w:pStyle w:val="13"/>
            </w:pPr>
            <w:r>
              <w:t>三十一、人行科目</w:t>
            </w:r>
          </w:p>
        </w:tc>
        <w:tc>
          <w:tcPr>
            <w:tcW w:w="1474" w:type="dxa"/>
            <w:vAlign w:val="center"/>
          </w:tcPr>
          <w:p w14:paraId="45D032EC">
            <w:pPr>
              <w:pStyle w:val="14"/>
            </w:pPr>
          </w:p>
        </w:tc>
        <w:tc>
          <w:tcPr>
            <w:tcW w:w="1474" w:type="dxa"/>
            <w:vAlign w:val="center"/>
          </w:tcPr>
          <w:p w14:paraId="611112E4">
            <w:pPr>
              <w:pStyle w:val="14"/>
            </w:pPr>
          </w:p>
        </w:tc>
        <w:tc>
          <w:tcPr>
            <w:tcW w:w="1474" w:type="dxa"/>
            <w:vAlign w:val="center"/>
          </w:tcPr>
          <w:p w14:paraId="4E4BEB79">
            <w:pPr>
              <w:pStyle w:val="14"/>
            </w:pPr>
          </w:p>
        </w:tc>
        <w:tc>
          <w:tcPr>
            <w:tcW w:w="1474" w:type="dxa"/>
            <w:vAlign w:val="center"/>
          </w:tcPr>
          <w:p w14:paraId="6C123077">
            <w:pPr>
              <w:pStyle w:val="14"/>
            </w:pPr>
          </w:p>
        </w:tc>
      </w:tr>
      <w:tr w14:paraId="19064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F35AF">
            <w:pPr>
              <w:pStyle w:val="12"/>
            </w:pPr>
            <w:r>
              <w:t>32</w:t>
            </w:r>
          </w:p>
        </w:tc>
        <w:tc>
          <w:tcPr>
            <w:tcW w:w="3402" w:type="dxa"/>
            <w:vAlign w:val="center"/>
          </w:tcPr>
          <w:p w14:paraId="410DCA08">
            <w:pPr>
              <w:pStyle w:val="15"/>
            </w:pPr>
            <w:r>
              <w:t>本年收入合计</w:t>
            </w:r>
          </w:p>
        </w:tc>
        <w:tc>
          <w:tcPr>
            <w:tcW w:w="1474" w:type="dxa"/>
            <w:vAlign w:val="center"/>
          </w:tcPr>
          <w:p w14:paraId="3A561314">
            <w:pPr>
              <w:pStyle w:val="16"/>
            </w:pPr>
            <w:r>
              <w:t>964.97</w:t>
            </w:r>
          </w:p>
        </w:tc>
        <w:tc>
          <w:tcPr>
            <w:tcW w:w="3402" w:type="dxa"/>
            <w:vAlign w:val="center"/>
          </w:tcPr>
          <w:p w14:paraId="412A000A">
            <w:pPr>
              <w:pStyle w:val="15"/>
            </w:pPr>
            <w:r>
              <w:t>本年支出合计</w:t>
            </w:r>
          </w:p>
        </w:tc>
        <w:tc>
          <w:tcPr>
            <w:tcW w:w="1474" w:type="dxa"/>
            <w:vAlign w:val="center"/>
          </w:tcPr>
          <w:p w14:paraId="2D7C514A">
            <w:pPr>
              <w:pStyle w:val="16"/>
            </w:pPr>
            <w:r>
              <w:t>964.97</w:t>
            </w:r>
          </w:p>
        </w:tc>
        <w:tc>
          <w:tcPr>
            <w:tcW w:w="1474" w:type="dxa"/>
            <w:vAlign w:val="center"/>
          </w:tcPr>
          <w:p w14:paraId="320165A8">
            <w:pPr>
              <w:pStyle w:val="16"/>
            </w:pPr>
            <w:r>
              <w:t>964.97</w:t>
            </w:r>
          </w:p>
        </w:tc>
        <w:tc>
          <w:tcPr>
            <w:tcW w:w="1474" w:type="dxa"/>
            <w:vAlign w:val="center"/>
          </w:tcPr>
          <w:p w14:paraId="68ECB68D">
            <w:pPr>
              <w:pStyle w:val="16"/>
            </w:pPr>
          </w:p>
        </w:tc>
        <w:tc>
          <w:tcPr>
            <w:tcW w:w="1474" w:type="dxa"/>
            <w:vAlign w:val="center"/>
          </w:tcPr>
          <w:p w14:paraId="2E7D75A1">
            <w:pPr>
              <w:pStyle w:val="16"/>
            </w:pPr>
          </w:p>
        </w:tc>
      </w:tr>
      <w:tr w14:paraId="1DDB1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EF3F4">
            <w:pPr>
              <w:pStyle w:val="12"/>
            </w:pPr>
            <w:r>
              <w:t>33</w:t>
            </w:r>
          </w:p>
        </w:tc>
        <w:tc>
          <w:tcPr>
            <w:tcW w:w="3402" w:type="dxa"/>
            <w:vAlign w:val="center"/>
          </w:tcPr>
          <w:p w14:paraId="15565CAC">
            <w:pPr>
              <w:pStyle w:val="13"/>
            </w:pPr>
            <w:r>
              <w:t>年初财政拨款结转和结余</w:t>
            </w:r>
          </w:p>
        </w:tc>
        <w:tc>
          <w:tcPr>
            <w:tcW w:w="1474" w:type="dxa"/>
            <w:vAlign w:val="center"/>
          </w:tcPr>
          <w:p w14:paraId="76A6600F">
            <w:pPr>
              <w:pStyle w:val="14"/>
            </w:pPr>
          </w:p>
        </w:tc>
        <w:tc>
          <w:tcPr>
            <w:tcW w:w="3402" w:type="dxa"/>
            <w:vAlign w:val="center"/>
          </w:tcPr>
          <w:p w14:paraId="38D2CE42">
            <w:pPr>
              <w:pStyle w:val="13"/>
            </w:pPr>
            <w:r>
              <w:t>年末财政拨款结转和结余</w:t>
            </w:r>
          </w:p>
        </w:tc>
        <w:tc>
          <w:tcPr>
            <w:tcW w:w="1474" w:type="dxa"/>
            <w:vAlign w:val="center"/>
          </w:tcPr>
          <w:p w14:paraId="4C2677B7">
            <w:pPr>
              <w:pStyle w:val="14"/>
            </w:pPr>
          </w:p>
        </w:tc>
        <w:tc>
          <w:tcPr>
            <w:tcW w:w="1474" w:type="dxa"/>
            <w:vAlign w:val="center"/>
          </w:tcPr>
          <w:p w14:paraId="47925B24">
            <w:pPr>
              <w:pStyle w:val="14"/>
            </w:pPr>
          </w:p>
        </w:tc>
        <w:tc>
          <w:tcPr>
            <w:tcW w:w="1474" w:type="dxa"/>
            <w:vAlign w:val="center"/>
          </w:tcPr>
          <w:p w14:paraId="04C2BEBC">
            <w:pPr>
              <w:pStyle w:val="14"/>
            </w:pPr>
          </w:p>
        </w:tc>
        <w:tc>
          <w:tcPr>
            <w:tcW w:w="1474" w:type="dxa"/>
            <w:vAlign w:val="center"/>
          </w:tcPr>
          <w:p w14:paraId="1EFD66FE">
            <w:pPr>
              <w:pStyle w:val="14"/>
            </w:pPr>
          </w:p>
        </w:tc>
      </w:tr>
      <w:tr w14:paraId="093ED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3B783">
            <w:pPr>
              <w:pStyle w:val="12"/>
            </w:pPr>
            <w:r>
              <w:t>34</w:t>
            </w:r>
          </w:p>
        </w:tc>
        <w:tc>
          <w:tcPr>
            <w:tcW w:w="3402" w:type="dxa"/>
            <w:vAlign w:val="center"/>
          </w:tcPr>
          <w:p w14:paraId="3A4872D2">
            <w:pPr>
              <w:pStyle w:val="13"/>
            </w:pPr>
            <w:r>
              <w:t>一、一般公共预算拨款</w:t>
            </w:r>
          </w:p>
        </w:tc>
        <w:tc>
          <w:tcPr>
            <w:tcW w:w="1474" w:type="dxa"/>
            <w:vAlign w:val="center"/>
          </w:tcPr>
          <w:p w14:paraId="3A74F47D">
            <w:pPr>
              <w:pStyle w:val="14"/>
            </w:pPr>
          </w:p>
        </w:tc>
        <w:tc>
          <w:tcPr>
            <w:tcW w:w="3402" w:type="dxa"/>
            <w:vAlign w:val="center"/>
          </w:tcPr>
          <w:p w14:paraId="7C115D03">
            <w:pPr>
              <w:pStyle w:val="13"/>
            </w:pPr>
          </w:p>
        </w:tc>
        <w:tc>
          <w:tcPr>
            <w:tcW w:w="1474" w:type="dxa"/>
            <w:vAlign w:val="center"/>
          </w:tcPr>
          <w:p w14:paraId="34058782">
            <w:pPr>
              <w:pStyle w:val="14"/>
            </w:pPr>
          </w:p>
        </w:tc>
        <w:tc>
          <w:tcPr>
            <w:tcW w:w="1474" w:type="dxa"/>
            <w:vAlign w:val="center"/>
          </w:tcPr>
          <w:p w14:paraId="741F48AA">
            <w:pPr>
              <w:pStyle w:val="14"/>
            </w:pPr>
          </w:p>
        </w:tc>
        <w:tc>
          <w:tcPr>
            <w:tcW w:w="1474" w:type="dxa"/>
            <w:vAlign w:val="center"/>
          </w:tcPr>
          <w:p w14:paraId="7917C82A">
            <w:pPr>
              <w:pStyle w:val="14"/>
            </w:pPr>
          </w:p>
        </w:tc>
        <w:tc>
          <w:tcPr>
            <w:tcW w:w="1474" w:type="dxa"/>
            <w:vAlign w:val="center"/>
          </w:tcPr>
          <w:p w14:paraId="2C034A64">
            <w:pPr>
              <w:pStyle w:val="14"/>
            </w:pPr>
          </w:p>
        </w:tc>
      </w:tr>
      <w:tr w14:paraId="3D495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656D3">
            <w:pPr>
              <w:pStyle w:val="12"/>
            </w:pPr>
            <w:r>
              <w:t>35</w:t>
            </w:r>
          </w:p>
        </w:tc>
        <w:tc>
          <w:tcPr>
            <w:tcW w:w="3402" w:type="dxa"/>
            <w:vAlign w:val="center"/>
          </w:tcPr>
          <w:p w14:paraId="215A58EC">
            <w:pPr>
              <w:pStyle w:val="13"/>
            </w:pPr>
            <w:r>
              <w:t>二、政府性基金预算拨款</w:t>
            </w:r>
          </w:p>
        </w:tc>
        <w:tc>
          <w:tcPr>
            <w:tcW w:w="1474" w:type="dxa"/>
            <w:vAlign w:val="center"/>
          </w:tcPr>
          <w:p w14:paraId="403C2C7D">
            <w:pPr>
              <w:pStyle w:val="14"/>
            </w:pPr>
          </w:p>
        </w:tc>
        <w:tc>
          <w:tcPr>
            <w:tcW w:w="3402" w:type="dxa"/>
            <w:vAlign w:val="center"/>
          </w:tcPr>
          <w:p w14:paraId="423F1187">
            <w:pPr>
              <w:pStyle w:val="13"/>
            </w:pPr>
          </w:p>
        </w:tc>
        <w:tc>
          <w:tcPr>
            <w:tcW w:w="1474" w:type="dxa"/>
            <w:vAlign w:val="center"/>
          </w:tcPr>
          <w:p w14:paraId="68527F75">
            <w:pPr>
              <w:pStyle w:val="14"/>
            </w:pPr>
          </w:p>
        </w:tc>
        <w:tc>
          <w:tcPr>
            <w:tcW w:w="1474" w:type="dxa"/>
            <w:vAlign w:val="center"/>
          </w:tcPr>
          <w:p w14:paraId="3FD0F74C">
            <w:pPr>
              <w:pStyle w:val="14"/>
            </w:pPr>
          </w:p>
        </w:tc>
        <w:tc>
          <w:tcPr>
            <w:tcW w:w="1474" w:type="dxa"/>
            <w:vAlign w:val="center"/>
          </w:tcPr>
          <w:p w14:paraId="0025EB36">
            <w:pPr>
              <w:pStyle w:val="14"/>
            </w:pPr>
          </w:p>
        </w:tc>
        <w:tc>
          <w:tcPr>
            <w:tcW w:w="1474" w:type="dxa"/>
            <w:vAlign w:val="center"/>
          </w:tcPr>
          <w:p w14:paraId="3D1B790B">
            <w:pPr>
              <w:pStyle w:val="14"/>
            </w:pPr>
          </w:p>
        </w:tc>
      </w:tr>
      <w:tr w14:paraId="07490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BF731">
            <w:pPr>
              <w:pStyle w:val="12"/>
            </w:pPr>
            <w:r>
              <w:t>36</w:t>
            </w:r>
          </w:p>
        </w:tc>
        <w:tc>
          <w:tcPr>
            <w:tcW w:w="3402" w:type="dxa"/>
            <w:vAlign w:val="center"/>
          </w:tcPr>
          <w:p w14:paraId="3BEC96D9">
            <w:pPr>
              <w:pStyle w:val="13"/>
            </w:pPr>
            <w:r>
              <w:t>三、国有资本经营预算拨款</w:t>
            </w:r>
          </w:p>
        </w:tc>
        <w:tc>
          <w:tcPr>
            <w:tcW w:w="1474" w:type="dxa"/>
            <w:vAlign w:val="center"/>
          </w:tcPr>
          <w:p w14:paraId="30576B77">
            <w:pPr>
              <w:pStyle w:val="14"/>
            </w:pPr>
          </w:p>
        </w:tc>
        <w:tc>
          <w:tcPr>
            <w:tcW w:w="3402" w:type="dxa"/>
            <w:vAlign w:val="center"/>
          </w:tcPr>
          <w:p w14:paraId="7F6871B7">
            <w:pPr>
              <w:pStyle w:val="13"/>
            </w:pPr>
          </w:p>
        </w:tc>
        <w:tc>
          <w:tcPr>
            <w:tcW w:w="1474" w:type="dxa"/>
            <w:vAlign w:val="center"/>
          </w:tcPr>
          <w:p w14:paraId="66CAA3F3">
            <w:pPr>
              <w:pStyle w:val="14"/>
            </w:pPr>
          </w:p>
        </w:tc>
        <w:tc>
          <w:tcPr>
            <w:tcW w:w="1474" w:type="dxa"/>
            <w:vAlign w:val="center"/>
          </w:tcPr>
          <w:p w14:paraId="6DB186DB">
            <w:pPr>
              <w:pStyle w:val="14"/>
            </w:pPr>
          </w:p>
        </w:tc>
        <w:tc>
          <w:tcPr>
            <w:tcW w:w="1474" w:type="dxa"/>
            <w:vAlign w:val="center"/>
          </w:tcPr>
          <w:p w14:paraId="1D7FE8DD">
            <w:pPr>
              <w:pStyle w:val="14"/>
            </w:pPr>
          </w:p>
        </w:tc>
        <w:tc>
          <w:tcPr>
            <w:tcW w:w="1474" w:type="dxa"/>
            <w:vAlign w:val="center"/>
          </w:tcPr>
          <w:p w14:paraId="5991DE05">
            <w:pPr>
              <w:pStyle w:val="14"/>
            </w:pPr>
          </w:p>
        </w:tc>
      </w:tr>
      <w:tr w14:paraId="5D81C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EBCC3">
            <w:pPr>
              <w:pStyle w:val="12"/>
            </w:pPr>
            <w:r>
              <w:t>37</w:t>
            </w:r>
          </w:p>
        </w:tc>
        <w:tc>
          <w:tcPr>
            <w:tcW w:w="3402" w:type="dxa"/>
            <w:vAlign w:val="center"/>
          </w:tcPr>
          <w:p w14:paraId="1C63AF82">
            <w:pPr>
              <w:pStyle w:val="15"/>
            </w:pPr>
            <w:r>
              <w:t>收入总计</w:t>
            </w:r>
          </w:p>
        </w:tc>
        <w:tc>
          <w:tcPr>
            <w:tcW w:w="1474" w:type="dxa"/>
            <w:vAlign w:val="center"/>
          </w:tcPr>
          <w:p w14:paraId="2656D7D4">
            <w:pPr>
              <w:pStyle w:val="16"/>
            </w:pPr>
            <w:r>
              <w:t>964.97</w:t>
            </w:r>
          </w:p>
        </w:tc>
        <w:tc>
          <w:tcPr>
            <w:tcW w:w="3402" w:type="dxa"/>
            <w:vAlign w:val="center"/>
          </w:tcPr>
          <w:p w14:paraId="27E5FFED">
            <w:pPr>
              <w:pStyle w:val="15"/>
            </w:pPr>
            <w:r>
              <w:t>支出总计</w:t>
            </w:r>
          </w:p>
        </w:tc>
        <w:tc>
          <w:tcPr>
            <w:tcW w:w="1474" w:type="dxa"/>
            <w:vAlign w:val="center"/>
          </w:tcPr>
          <w:p w14:paraId="54B0282B">
            <w:pPr>
              <w:pStyle w:val="16"/>
            </w:pPr>
            <w:r>
              <w:t>964.97</w:t>
            </w:r>
          </w:p>
        </w:tc>
        <w:tc>
          <w:tcPr>
            <w:tcW w:w="1474" w:type="dxa"/>
            <w:vAlign w:val="center"/>
          </w:tcPr>
          <w:p w14:paraId="42E7F530">
            <w:pPr>
              <w:pStyle w:val="16"/>
            </w:pPr>
            <w:r>
              <w:t>964.97</w:t>
            </w:r>
          </w:p>
        </w:tc>
        <w:tc>
          <w:tcPr>
            <w:tcW w:w="1474" w:type="dxa"/>
            <w:vAlign w:val="center"/>
          </w:tcPr>
          <w:p w14:paraId="5EA63CA2">
            <w:pPr>
              <w:pStyle w:val="16"/>
            </w:pPr>
          </w:p>
        </w:tc>
        <w:tc>
          <w:tcPr>
            <w:tcW w:w="1474" w:type="dxa"/>
            <w:vAlign w:val="center"/>
          </w:tcPr>
          <w:p w14:paraId="1906E998">
            <w:pPr>
              <w:pStyle w:val="16"/>
            </w:pPr>
          </w:p>
        </w:tc>
      </w:tr>
    </w:tbl>
    <w:p w14:paraId="483E9FD4">
      <w:pPr>
        <w:sectPr>
          <w:pgSz w:w="16840" w:h="11900" w:orient="landscape"/>
          <w:pgMar w:top="1361" w:right="1020" w:bottom="1134" w:left="1020" w:header="720" w:footer="720" w:gutter="0"/>
          <w:cols w:space="720" w:num="1"/>
        </w:sectPr>
      </w:pPr>
    </w:p>
    <w:p w14:paraId="17DD6C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333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3FB0F9">
            <w:pPr>
              <w:pStyle w:val="8"/>
            </w:pPr>
            <w:r>
              <w:t>360031隆尧县北楼中学</w:t>
            </w:r>
          </w:p>
        </w:tc>
        <w:tc>
          <w:tcPr>
            <w:tcW w:w="2551" w:type="dxa"/>
            <w:tcBorders>
              <w:top w:val="single" w:color="FFFFFF" w:sz="6" w:space="0"/>
              <w:left w:val="single" w:color="FFFFFF" w:sz="6" w:space="0"/>
              <w:right w:val="single" w:color="FFFFFF" w:sz="6" w:space="0"/>
            </w:tcBorders>
            <w:vAlign w:val="center"/>
          </w:tcPr>
          <w:p w14:paraId="27057A1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4F9C651">
            <w:pPr>
              <w:pStyle w:val="10"/>
            </w:pPr>
            <w:r>
              <w:t>单位：万元</w:t>
            </w:r>
          </w:p>
        </w:tc>
      </w:tr>
      <w:tr w14:paraId="26370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721DAA">
            <w:pPr>
              <w:pStyle w:val="11"/>
            </w:pPr>
            <w:r>
              <w:t>序号</w:t>
            </w:r>
          </w:p>
        </w:tc>
        <w:tc>
          <w:tcPr>
            <w:tcW w:w="5726" w:type="dxa"/>
            <w:gridSpan w:val="2"/>
            <w:vAlign w:val="center"/>
          </w:tcPr>
          <w:p w14:paraId="14B148D3">
            <w:pPr>
              <w:pStyle w:val="11"/>
            </w:pPr>
            <w:r>
              <w:t>功能分类科目</w:t>
            </w:r>
          </w:p>
        </w:tc>
        <w:tc>
          <w:tcPr>
            <w:tcW w:w="2551" w:type="dxa"/>
            <w:vMerge w:val="restart"/>
            <w:vAlign w:val="center"/>
          </w:tcPr>
          <w:p w14:paraId="72C77E73">
            <w:pPr>
              <w:pStyle w:val="11"/>
            </w:pPr>
            <w:r>
              <w:t>合计</w:t>
            </w:r>
          </w:p>
        </w:tc>
        <w:tc>
          <w:tcPr>
            <w:tcW w:w="2551" w:type="dxa"/>
            <w:vMerge w:val="restart"/>
            <w:vAlign w:val="center"/>
          </w:tcPr>
          <w:p w14:paraId="30DCF419">
            <w:pPr>
              <w:pStyle w:val="11"/>
            </w:pPr>
            <w:r>
              <w:t>基本支出</w:t>
            </w:r>
          </w:p>
        </w:tc>
        <w:tc>
          <w:tcPr>
            <w:tcW w:w="2551" w:type="dxa"/>
            <w:vMerge w:val="restart"/>
            <w:vAlign w:val="center"/>
          </w:tcPr>
          <w:p w14:paraId="55D038F5">
            <w:pPr>
              <w:pStyle w:val="11"/>
            </w:pPr>
            <w:r>
              <w:t>项目支出</w:t>
            </w:r>
          </w:p>
        </w:tc>
      </w:tr>
      <w:tr w14:paraId="72D30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15396B"/>
        </w:tc>
        <w:tc>
          <w:tcPr>
            <w:tcW w:w="1191" w:type="dxa"/>
            <w:vAlign w:val="center"/>
          </w:tcPr>
          <w:p w14:paraId="646A183D">
            <w:pPr>
              <w:pStyle w:val="11"/>
            </w:pPr>
            <w:r>
              <w:t>科目编码</w:t>
            </w:r>
          </w:p>
        </w:tc>
        <w:tc>
          <w:tcPr>
            <w:tcW w:w="4535" w:type="dxa"/>
            <w:vAlign w:val="center"/>
          </w:tcPr>
          <w:p w14:paraId="7694F276">
            <w:pPr>
              <w:pStyle w:val="11"/>
            </w:pPr>
            <w:r>
              <w:t>科目名称</w:t>
            </w:r>
          </w:p>
        </w:tc>
        <w:tc>
          <w:tcPr>
            <w:tcW w:w="2551" w:type="dxa"/>
            <w:vMerge w:val="continue"/>
          </w:tcPr>
          <w:p w14:paraId="111B9609"/>
        </w:tc>
        <w:tc>
          <w:tcPr>
            <w:tcW w:w="2551" w:type="dxa"/>
            <w:vMerge w:val="continue"/>
          </w:tcPr>
          <w:p w14:paraId="6F9466DD"/>
        </w:tc>
        <w:tc>
          <w:tcPr>
            <w:tcW w:w="2551" w:type="dxa"/>
            <w:vMerge w:val="continue"/>
          </w:tcPr>
          <w:p w14:paraId="5C33BAB8"/>
        </w:tc>
      </w:tr>
      <w:tr w14:paraId="0EF2D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8B9C8C">
            <w:pPr>
              <w:pStyle w:val="11"/>
            </w:pPr>
            <w:r>
              <w:t>栏次</w:t>
            </w:r>
          </w:p>
        </w:tc>
        <w:tc>
          <w:tcPr>
            <w:tcW w:w="1191" w:type="dxa"/>
            <w:vAlign w:val="center"/>
          </w:tcPr>
          <w:p w14:paraId="4192478E">
            <w:pPr>
              <w:pStyle w:val="11"/>
            </w:pPr>
            <w:r>
              <w:t>1</w:t>
            </w:r>
          </w:p>
        </w:tc>
        <w:tc>
          <w:tcPr>
            <w:tcW w:w="4535" w:type="dxa"/>
            <w:vAlign w:val="center"/>
          </w:tcPr>
          <w:p w14:paraId="51376501">
            <w:pPr>
              <w:pStyle w:val="11"/>
            </w:pPr>
            <w:r>
              <w:t>2</w:t>
            </w:r>
          </w:p>
        </w:tc>
        <w:tc>
          <w:tcPr>
            <w:tcW w:w="2551" w:type="dxa"/>
            <w:vAlign w:val="center"/>
          </w:tcPr>
          <w:p w14:paraId="23FBD8A5">
            <w:pPr>
              <w:pStyle w:val="11"/>
            </w:pPr>
            <w:r>
              <w:t>3</w:t>
            </w:r>
          </w:p>
        </w:tc>
        <w:tc>
          <w:tcPr>
            <w:tcW w:w="2551" w:type="dxa"/>
            <w:vAlign w:val="center"/>
          </w:tcPr>
          <w:p w14:paraId="1A8694B1">
            <w:pPr>
              <w:pStyle w:val="11"/>
            </w:pPr>
            <w:r>
              <w:t>4</w:t>
            </w:r>
          </w:p>
        </w:tc>
        <w:tc>
          <w:tcPr>
            <w:tcW w:w="2551" w:type="dxa"/>
            <w:vAlign w:val="center"/>
          </w:tcPr>
          <w:p w14:paraId="7F9D84F2">
            <w:pPr>
              <w:pStyle w:val="11"/>
            </w:pPr>
            <w:r>
              <w:t>5</w:t>
            </w:r>
          </w:p>
        </w:tc>
      </w:tr>
      <w:tr w14:paraId="24DF3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1E8A0">
            <w:pPr>
              <w:pStyle w:val="12"/>
            </w:pPr>
            <w:r>
              <w:t>1</w:t>
            </w:r>
          </w:p>
        </w:tc>
        <w:tc>
          <w:tcPr>
            <w:tcW w:w="1191" w:type="dxa"/>
            <w:vAlign w:val="center"/>
          </w:tcPr>
          <w:p w14:paraId="1FC86A4B">
            <w:pPr>
              <w:pStyle w:val="17"/>
            </w:pPr>
          </w:p>
        </w:tc>
        <w:tc>
          <w:tcPr>
            <w:tcW w:w="4535" w:type="dxa"/>
            <w:vAlign w:val="center"/>
          </w:tcPr>
          <w:p w14:paraId="47AA4FDE">
            <w:pPr>
              <w:pStyle w:val="15"/>
            </w:pPr>
            <w:r>
              <w:t>合计</w:t>
            </w:r>
          </w:p>
        </w:tc>
        <w:tc>
          <w:tcPr>
            <w:tcW w:w="2551" w:type="dxa"/>
            <w:vAlign w:val="center"/>
          </w:tcPr>
          <w:p w14:paraId="248C8C00">
            <w:pPr>
              <w:pStyle w:val="16"/>
            </w:pPr>
            <w:r>
              <w:t>964.97</w:t>
            </w:r>
          </w:p>
        </w:tc>
        <w:tc>
          <w:tcPr>
            <w:tcW w:w="2551" w:type="dxa"/>
            <w:vAlign w:val="center"/>
          </w:tcPr>
          <w:p w14:paraId="078A88D5">
            <w:pPr>
              <w:pStyle w:val="16"/>
            </w:pPr>
            <w:r>
              <w:t>774.47</w:t>
            </w:r>
          </w:p>
        </w:tc>
        <w:tc>
          <w:tcPr>
            <w:tcW w:w="2551" w:type="dxa"/>
            <w:vAlign w:val="center"/>
          </w:tcPr>
          <w:p w14:paraId="02608A0E">
            <w:pPr>
              <w:pStyle w:val="16"/>
            </w:pPr>
            <w:r>
              <w:t>190.49</w:t>
            </w:r>
          </w:p>
        </w:tc>
      </w:tr>
      <w:tr w14:paraId="28C84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39435">
            <w:pPr>
              <w:pStyle w:val="12"/>
            </w:pPr>
            <w:r>
              <w:t>2</w:t>
            </w:r>
          </w:p>
        </w:tc>
        <w:tc>
          <w:tcPr>
            <w:tcW w:w="1191" w:type="dxa"/>
            <w:vAlign w:val="center"/>
          </w:tcPr>
          <w:p w14:paraId="62DD1F95">
            <w:pPr>
              <w:pStyle w:val="13"/>
            </w:pPr>
            <w:r>
              <w:t>205</w:t>
            </w:r>
          </w:p>
        </w:tc>
        <w:tc>
          <w:tcPr>
            <w:tcW w:w="4535" w:type="dxa"/>
            <w:vAlign w:val="center"/>
          </w:tcPr>
          <w:p w14:paraId="21B2E66A">
            <w:pPr>
              <w:pStyle w:val="13"/>
            </w:pPr>
            <w:r>
              <w:t>教育支出</w:t>
            </w:r>
          </w:p>
        </w:tc>
        <w:tc>
          <w:tcPr>
            <w:tcW w:w="2551" w:type="dxa"/>
            <w:vAlign w:val="center"/>
          </w:tcPr>
          <w:p w14:paraId="2E8DE327">
            <w:pPr>
              <w:pStyle w:val="14"/>
            </w:pPr>
            <w:r>
              <w:t>964.97</w:t>
            </w:r>
          </w:p>
        </w:tc>
        <w:tc>
          <w:tcPr>
            <w:tcW w:w="2551" w:type="dxa"/>
            <w:vAlign w:val="center"/>
          </w:tcPr>
          <w:p w14:paraId="70A3E787">
            <w:pPr>
              <w:pStyle w:val="14"/>
            </w:pPr>
            <w:r>
              <w:t>774.47</w:t>
            </w:r>
          </w:p>
        </w:tc>
        <w:tc>
          <w:tcPr>
            <w:tcW w:w="2551" w:type="dxa"/>
            <w:vAlign w:val="center"/>
          </w:tcPr>
          <w:p w14:paraId="4758AD0A">
            <w:pPr>
              <w:pStyle w:val="14"/>
            </w:pPr>
            <w:r>
              <w:t>190.49</w:t>
            </w:r>
          </w:p>
        </w:tc>
      </w:tr>
      <w:tr w14:paraId="7C1CA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15CB3">
            <w:pPr>
              <w:pStyle w:val="12"/>
            </w:pPr>
            <w:r>
              <w:t>3</w:t>
            </w:r>
          </w:p>
        </w:tc>
        <w:tc>
          <w:tcPr>
            <w:tcW w:w="1191" w:type="dxa"/>
            <w:vAlign w:val="center"/>
          </w:tcPr>
          <w:p w14:paraId="5D042642">
            <w:pPr>
              <w:pStyle w:val="13"/>
            </w:pPr>
            <w:r>
              <w:t>20502</w:t>
            </w:r>
          </w:p>
        </w:tc>
        <w:tc>
          <w:tcPr>
            <w:tcW w:w="4535" w:type="dxa"/>
            <w:vAlign w:val="center"/>
          </w:tcPr>
          <w:p w14:paraId="539AF385">
            <w:pPr>
              <w:pStyle w:val="13"/>
            </w:pPr>
            <w:r>
              <w:t>普通教育</w:t>
            </w:r>
          </w:p>
        </w:tc>
        <w:tc>
          <w:tcPr>
            <w:tcW w:w="2551" w:type="dxa"/>
            <w:vAlign w:val="center"/>
          </w:tcPr>
          <w:p w14:paraId="05619B60">
            <w:pPr>
              <w:pStyle w:val="14"/>
            </w:pPr>
            <w:r>
              <w:t>964.97</w:t>
            </w:r>
          </w:p>
        </w:tc>
        <w:tc>
          <w:tcPr>
            <w:tcW w:w="2551" w:type="dxa"/>
            <w:vAlign w:val="center"/>
          </w:tcPr>
          <w:p w14:paraId="6FD2888E">
            <w:pPr>
              <w:pStyle w:val="14"/>
            </w:pPr>
            <w:r>
              <w:t>774.47</w:t>
            </w:r>
          </w:p>
        </w:tc>
        <w:tc>
          <w:tcPr>
            <w:tcW w:w="2551" w:type="dxa"/>
            <w:vAlign w:val="center"/>
          </w:tcPr>
          <w:p w14:paraId="5DA124FD">
            <w:pPr>
              <w:pStyle w:val="14"/>
            </w:pPr>
            <w:r>
              <w:t>190.49</w:t>
            </w:r>
          </w:p>
        </w:tc>
      </w:tr>
      <w:tr w14:paraId="6B66F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62BB7">
            <w:pPr>
              <w:pStyle w:val="12"/>
            </w:pPr>
            <w:r>
              <w:t>4</w:t>
            </w:r>
          </w:p>
        </w:tc>
        <w:tc>
          <w:tcPr>
            <w:tcW w:w="1191" w:type="dxa"/>
            <w:vAlign w:val="center"/>
          </w:tcPr>
          <w:p w14:paraId="4A1C8F1C">
            <w:pPr>
              <w:pStyle w:val="13"/>
            </w:pPr>
            <w:r>
              <w:t>2050203</w:t>
            </w:r>
          </w:p>
        </w:tc>
        <w:tc>
          <w:tcPr>
            <w:tcW w:w="4535" w:type="dxa"/>
            <w:vAlign w:val="center"/>
          </w:tcPr>
          <w:p w14:paraId="3C7AB2C3">
            <w:pPr>
              <w:pStyle w:val="13"/>
            </w:pPr>
            <w:r>
              <w:t>初中教育</w:t>
            </w:r>
          </w:p>
        </w:tc>
        <w:tc>
          <w:tcPr>
            <w:tcW w:w="2551" w:type="dxa"/>
            <w:vAlign w:val="center"/>
          </w:tcPr>
          <w:p w14:paraId="0F2CBA81">
            <w:pPr>
              <w:pStyle w:val="14"/>
            </w:pPr>
            <w:r>
              <w:t>964.97</w:t>
            </w:r>
          </w:p>
        </w:tc>
        <w:tc>
          <w:tcPr>
            <w:tcW w:w="2551" w:type="dxa"/>
            <w:vAlign w:val="center"/>
          </w:tcPr>
          <w:p w14:paraId="4818E42E">
            <w:pPr>
              <w:pStyle w:val="14"/>
            </w:pPr>
            <w:r>
              <w:t>774.47</w:t>
            </w:r>
          </w:p>
        </w:tc>
        <w:tc>
          <w:tcPr>
            <w:tcW w:w="2551" w:type="dxa"/>
            <w:vAlign w:val="center"/>
          </w:tcPr>
          <w:p w14:paraId="56390F21">
            <w:pPr>
              <w:pStyle w:val="14"/>
            </w:pPr>
            <w:r>
              <w:t>190.49</w:t>
            </w:r>
          </w:p>
        </w:tc>
      </w:tr>
    </w:tbl>
    <w:p w14:paraId="21A5D13A">
      <w:pPr>
        <w:sectPr>
          <w:pgSz w:w="16840" w:h="11900" w:orient="landscape"/>
          <w:pgMar w:top="1361" w:right="1020" w:bottom="1134" w:left="1020" w:header="720" w:footer="720" w:gutter="0"/>
          <w:cols w:space="720" w:num="1"/>
        </w:sectPr>
      </w:pPr>
    </w:p>
    <w:p w14:paraId="6877A3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CEE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F865F8">
            <w:pPr>
              <w:pStyle w:val="8"/>
            </w:pPr>
            <w:r>
              <w:t>360031隆尧县北楼中学</w:t>
            </w:r>
          </w:p>
        </w:tc>
        <w:tc>
          <w:tcPr>
            <w:tcW w:w="2551" w:type="dxa"/>
            <w:tcBorders>
              <w:top w:val="single" w:color="FFFFFF" w:sz="6" w:space="0"/>
              <w:left w:val="single" w:color="FFFFFF" w:sz="6" w:space="0"/>
              <w:right w:val="single" w:color="FFFFFF" w:sz="6" w:space="0"/>
            </w:tcBorders>
            <w:vAlign w:val="center"/>
          </w:tcPr>
          <w:p w14:paraId="6EEAB67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7DF71A5">
            <w:pPr>
              <w:pStyle w:val="10"/>
            </w:pPr>
            <w:r>
              <w:t>单位：万元</w:t>
            </w:r>
          </w:p>
        </w:tc>
      </w:tr>
      <w:tr w14:paraId="22301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5037C0">
            <w:pPr>
              <w:pStyle w:val="11"/>
            </w:pPr>
            <w:r>
              <w:t>序号</w:t>
            </w:r>
          </w:p>
        </w:tc>
        <w:tc>
          <w:tcPr>
            <w:tcW w:w="5726" w:type="dxa"/>
            <w:gridSpan w:val="2"/>
            <w:vAlign w:val="center"/>
          </w:tcPr>
          <w:p w14:paraId="7E2FF773">
            <w:pPr>
              <w:pStyle w:val="11"/>
            </w:pPr>
            <w:r>
              <w:t>支出部门经济分类科目</w:t>
            </w:r>
          </w:p>
        </w:tc>
        <w:tc>
          <w:tcPr>
            <w:tcW w:w="7653" w:type="dxa"/>
            <w:gridSpan w:val="3"/>
            <w:vAlign w:val="center"/>
          </w:tcPr>
          <w:p w14:paraId="49283400">
            <w:pPr>
              <w:pStyle w:val="11"/>
            </w:pPr>
            <w:r>
              <w:t>一般公共预算基本支出</w:t>
            </w:r>
          </w:p>
        </w:tc>
      </w:tr>
      <w:tr w14:paraId="495BF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918B0"/>
        </w:tc>
        <w:tc>
          <w:tcPr>
            <w:tcW w:w="1191" w:type="dxa"/>
            <w:vAlign w:val="center"/>
          </w:tcPr>
          <w:p w14:paraId="5B06F8A5">
            <w:pPr>
              <w:pStyle w:val="11"/>
            </w:pPr>
            <w:r>
              <w:t>科目编码</w:t>
            </w:r>
          </w:p>
        </w:tc>
        <w:tc>
          <w:tcPr>
            <w:tcW w:w="4535" w:type="dxa"/>
            <w:vAlign w:val="center"/>
          </w:tcPr>
          <w:p w14:paraId="034C345B">
            <w:pPr>
              <w:pStyle w:val="11"/>
            </w:pPr>
            <w:r>
              <w:t>科目名称</w:t>
            </w:r>
          </w:p>
        </w:tc>
        <w:tc>
          <w:tcPr>
            <w:tcW w:w="2551" w:type="dxa"/>
            <w:vAlign w:val="center"/>
          </w:tcPr>
          <w:p w14:paraId="45A1FE25">
            <w:pPr>
              <w:pStyle w:val="11"/>
            </w:pPr>
            <w:r>
              <w:t>合计</w:t>
            </w:r>
          </w:p>
        </w:tc>
        <w:tc>
          <w:tcPr>
            <w:tcW w:w="2551" w:type="dxa"/>
            <w:vAlign w:val="center"/>
          </w:tcPr>
          <w:p w14:paraId="7B2600A2">
            <w:pPr>
              <w:pStyle w:val="11"/>
            </w:pPr>
            <w:r>
              <w:t>人员经费</w:t>
            </w:r>
          </w:p>
        </w:tc>
        <w:tc>
          <w:tcPr>
            <w:tcW w:w="2551" w:type="dxa"/>
            <w:vAlign w:val="center"/>
          </w:tcPr>
          <w:p w14:paraId="5A223E52">
            <w:pPr>
              <w:pStyle w:val="11"/>
            </w:pPr>
            <w:r>
              <w:t>公用经费</w:t>
            </w:r>
          </w:p>
        </w:tc>
      </w:tr>
      <w:tr w14:paraId="55115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19FABF">
            <w:pPr>
              <w:pStyle w:val="11"/>
            </w:pPr>
            <w:r>
              <w:t>栏次</w:t>
            </w:r>
          </w:p>
        </w:tc>
        <w:tc>
          <w:tcPr>
            <w:tcW w:w="1191" w:type="dxa"/>
            <w:vAlign w:val="center"/>
          </w:tcPr>
          <w:p w14:paraId="1B5ED56F">
            <w:pPr>
              <w:pStyle w:val="11"/>
            </w:pPr>
            <w:r>
              <w:t>1</w:t>
            </w:r>
          </w:p>
        </w:tc>
        <w:tc>
          <w:tcPr>
            <w:tcW w:w="4535" w:type="dxa"/>
            <w:vAlign w:val="center"/>
          </w:tcPr>
          <w:p w14:paraId="22B7CD66">
            <w:pPr>
              <w:pStyle w:val="11"/>
            </w:pPr>
            <w:r>
              <w:t>2</w:t>
            </w:r>
          </w:p>
        </w:tc>
        <w:tc>
          <w:tcPr>
            <w:tcW w:w="2551" w:type="dxa"/>
            <w:vAlign w:val="center"/>
          </w:tcPr>
          <w:p w14:paraId="4E9257D3">
            <w:pPr>
              <w:pStyle w:val="11"/>
            </w:pPr>
            <w:r>
              <w:t>3</w:t>
            </w:r>
          </w:p>
        </w:tc>
        <w:tc>
          <w:tcPr>
            <w:tcW w:w="2551" w:type="dxa"/>
            <w:vAlign w:val="center"/>
          </w:tcPr>
          <w:p w14:paraId="511863B0">
            <w:pPr>
              <w:pStyle w:val="11"/>
            </w:pPr>
            <w:r>
              <w:t>4</w:t>
            </w:r>
          </w:p>
        </w:tc>
        <w:tc>
          <w:tcPr>
            <w:tcW w:w="2551" w:type="dxa"/>
            <w:vAlign w:val="center"/>
          </w:tcPr>
          <w:p w14:paraId="30F9766B">
            <w:pPr>
              <w:pStyle w:val="11"/>
            </w:pPr>
            <w:r>
              <w:t>5</w:t>
            </w:r>
          </w:p>
        </w:tc>
      </w:tr>
      <w:tr w14:paraId="65D11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780D6">
            <w:pPr>
              <w:pStyle w:val="12"/>
            </w:pPr>
            <w:r>
              <w:t>1</w:t>
            </w:r>
          </w:p>
        </w:tc>
        <w:tc>
          <w:tcPr>
            <w:tcW w:w="1191" w:type="dxa"/>
            <w:vAlign w:val="center"/>
          </w:tcPr>
          <w:p w14:paraId="7C5B9329">
            <w:pPr>
              <w:pStyle w:val="17"/>
            </w:pPr>
          </w:p>
        </w:tc>
        <w:tc>
          <w:tcPr>
            <w:tcW w:w="4535" w:type="dxa"/>
            <w:vAlign w:val="center"/>
          </w:tcPr>
          <w:p w14:paraId="7C9290B1">
            <w:pPr>
              <w:pStyle w:val="15"/>
            </w:pPr>
            <w:r>
              <w:t>合计</w:t>
            </w:r>
          </w:p>
        </w:tc>
        <w:tc>
          <w:tcPr>
            <w:tcW w:w="2551" w:type="dxa"/>
            <w:vAlign w:val="center"/>
          </w:tcPr>
          <w:p w14:paraId="24650B66">
            <w:pPr>
              <w:pStyle w:val="16"/>
            </w:pPr>
            <w:r>
              <w:t>774.47</w:t>
            </w:r>
          </w:p>
        </w:tc>
        <w:tc>
          <w:tcPr>
            <w:tcW w:w="2551" w:type="dxa"/>
            <w:vAlign w:val="center"/>
          </w:tcPr>
          <w:p w14:paraId="37250563">
            <w:pPr>
              <w:pStyle w:val="16"/>
            </w:pPr>
            <w:r>
              <w:t>774.47</w:t>
            </w:r>
          </w:p>
        </w:tc>
        <w:tc>
          <w:tcPr>
            <w:tcW w:w="2551" w:type="dxa"/>
            <w:vAlign w:val="center"/>
          </w:tcPr>
          <w:p w14:paraId="110ECF86">
            <w:pPr>
              <w:pStyle w:val="16"/>
            </w:pPr>
          </w:p>
        </w:tc>
      </w:tr>
      <w:tr w14:paraId="413C7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2896B">
            <w:pPr>
              <w:pStyle w:val="12"/>
            </w:pPr>
            <w:r>
              <w:t>2</w:t>
            </w:r>
          </w:p>
        </w:tc>
        <w:tc>
          <w:tcPr>
            <w:tcW w:w="1191" w:type="dxa"/>
            <w:vAlign w:val="center"/>
          </w:tcPr>
          <w:p w14:paraId="5D32C61D">
            <w:pPr>
              <w:pStyle w:val="13"/>
            </w:pPr>
            <w:r>
              <w:t>301</w:t>
            </w:r>
          </w:p>
        </w:tc>
        <w:tc>
          <w:tcPr>
            <w:tcW w:w="4535" w:type="dxa"/>
            <w:vAlign w:val="center"/>
          </w:tcPr>
          <w:p w14:paraId="1A2280E4">
            <w:pPr>
              <w:pStyle w:val="13"/>
            </w:pPr>
            <w:r>
              <w:t>工资福利支出</w:t>
            </w:r>
          </w:p>
        </w:tc>
        <w:tc>
          <w:tcPr>
            <w:tcW w:w="2551" w:type="dxa"/>
            <w:vAlign w:val="center"/>
          </w:tcPr>
          <w:p w14:paraId="0A26DE69">
            <w:pPr>
              <w:pStyle w:val="14"/>
            </w:pPr>
            <w:r>
              <w:t>759.67</w:t>
            </w:r>
          </w:p>
        </w:tc>
        <w:tc>
          <w:tcPr>
            <w:tcW w:w="2551" w:type="dxa"/>
            <w:vAlign w:val="center"/>
          </w:tcPr>
          <w:p w14:paraId="66CDAFDB">
            <w:pPr>
              <w:pStyle w:val="14"/>
            </w:pPr>
            <w:r>
              <w:t>759.67</w:t>
            </w:r>
          </w:p>
        </w:tc>
        <w:tc>
          <w:tcPr>
            <w:tcW w:w="2551" w:type="dxa"/>
            <w:vAlign w:val="center"/>
          </w:tcPr>
          <w:p w14:paraId="020A339E">
            <w:pPr>
              <w:pStyle w:val="14"/>
            </w:pPr>
          </w:p>
        </w:tc>
      </w:tr>
      <w:tr w14:paraId="6E908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1E051">
            <w:pPr>
              <w:pStyle w:val="12"/>
            </w:pPr>
            <w:r>
              <w:t>3</w:t>
            </w:r>
          </w:p>
        </w:tc>
        <w:tc>
          <w:tcPr>
            <w:tcW w:w="1191" w:type="dxa"/>
            <w:vAlign w:val="center"/>
          </w:tcPr>
          <w:p w14:paraId="3AA7AD2A">
            <w:pPr>
              <w:pStyle w:val="13"/>
            </w:pPr>
            <w:r>
              <w:t>30101</w:t>
            </w:r>
          </w:p>
        </w:tc>
        <w:tc>
          <w:tcPr>
            <w:tcW w:w="4535" w:type="dxa"/>
            <w:vAlign w:val="center"/>
          </w:tcPr>
          <w:p w14:paraId="4D28A06A">
            <w:pPr>
              <w:pStyle w:val="13"/>
            </w:pPr>
            <w:r>
              <w:t>基本工资</w:t>
            </w:r>
          </w:p>
        </w:tc>
        <w:tc>
          <w:tcPr>
            <w:tcW w:w="2551" w:type="dxa"/>
            <w:vAlign w:val="center"/>
          </w:tcPr>
          <w:p w14:paraId="22730DAC">
            <w:pPr>
              <w:pStyle w:val="14"/>
            </w:pPr>
            <w:r>
              <w:t>364.14</w:t>
            </w:r>
          </w:p>
        </w:tc>
        <w:tc>
          <w:tcPr>
            <w:tcW w:w="2551" w:type="dxa"/>
            <w:vAlign w:val="center"/>
          </w:tcPr>
          <w:p w14:paraId="1512A94A">
            <w:pPr>
              <w:pStyle w:val="14"/>
            </w:pPr>
            <w:r>
              <w:t>364.14</w:t>
            </w:r>
          </w:p>
        </w:tc>
        <w:tc>
          <w:tcPr>
            <w:tcW w:w="2551" w:type="dxa"/>
            <w:vAlign w:val="center"/>
          </w:tcPr>
          <w:p w14:paraId="76777B92">
            <w:pPr>
              <w:pStyle w:val="14"/>
            </w:pPr>
          </w:p>
        </w:tc>
      </w:tr>
      <w:tr w14:paraId="6FB9F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1C956">
            <w:pPr>
              <w:pStyle w:val="12"/>
            </w:pPr>
            <w:r>
              <w:t>4</w:t>
            </w:r>
          </w:p>
        </w:tc>
        <w:tc>
          <w:tcPr>
            <w:tcW w:w="1191" w:type="dxa"/>
            <w:vAlign w:val="center"/>
          </w:tcPr>
          <w:p w14:paraId="6BC402B4">
            <w:pPr>
              <w:pStyle w:val="13"/>
            </w:pPr>
            <w:r>
              <w:t>30102</w:t>
            </w:r>
          </w:p>
        </w:tc>
        <w:tc>
          <w:tcPr>
            <w:tcW w:w="4535" w:type="dxa"/>
            <w:vAlign w:val="center"/>
          </w:tcPr>
          <w:p w14:paraId="460D6E5E">
            <w:pPr>
              <w:pStyle w:val="13"/>
            </w:pPr>
            <w:r>
              <w:t>津贴补贴</w:t>
            </w:r>
          </w:p>
        </w:tc>
        <w:tc>
          <w:tcPr>
            <w:tcW w:w="2551" w:type="dxa"/>
            <w:vAlign w:val="center"/>
          </w:tcPr>
          <w:p w14:paraId="217B4798">
            <w:pPr>
              <w:pStyle w:val="14"/>
            </w:pPr>
            <w:r>
              <w:t>34.32</w:t>
            </w:r>
          </w:p>
        </w:tc>
        <w:tc>
          <w:tcPr>
            <w:tcW w:w="2551" w:type="dxa"/>
            <w:vAlign w:val="center"/>
          </w:tcPr>
          <w:p w14:paraId="65CA4490">
            <w:pPr>
              <w:pStyle w:val="14"/>
            </w:pPr>
            <w:r>
              <w:t>34.32</w:t>
            </w:r>
          </w:p>
        </w:tc>
        <w:tc>
          <w:tcPr>
            <w:tcW w:w="2551" w:type="dxa"/>
            <w:vAlign w:val="center"/>
          </w:tcPr>
          <w:p w14:paraId="79E65528">
            <w:pPr>
              <w:pStyle w:val="14"/>
            </w:pPr>
          </w:p>
        </w:tc>
      </w:tr>
      <w:tr w14:paraId="21050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7A587">
            <w:pPr>
              <w:pStyle w:val="12"/>
            </w:pPr>
            <w:r>
              <w:t>5</w:t>
            </w:r>
          </w:p>
        </w:tc>
        <w:tc>
          <w:tcPr>
            <w:tcW w:w="1191" w:type="dxa"/>
            <w:vAlign w:val="center"/>
          </w:tcPr>
          <w:p w14:paraId="0520BB02">
            <w:pPr>
              <w:pStyle w:val="13"/>
            </w:pPr>
            <w:r>
              <w:t>30107</w:t>
            </w:r>
          </w:p>
        </w:tc>
        <w:tc>
          <w:tcPr>
            <w:tcW w:w="4535" w:type="dxa"/>
            <w:vAlign w:val="center"/>
          </w:tcPr>
          <w:p w14:paraId="77AD6DA7">
            <w:pPr>
              <w:pStyle w:val="13"/>
            </w:pPr>
            <w:r>
              <w:t>绩效工资</w:t>
            </w:r>
          </w:p>
        </w:tc>
        <w:tc>
          <w:tcPr>
            <w:tcW w:w="2551" w:type="dxa"/>
            <w:vAlign w:val="center"/>
          </w:tcPr>
          <w:p w14:paraId="5CB7BB52">
            <w:pPr>
              <w:pStyle w:val="14"/>
            </w:pPr>
            <w:r>
              <w:t>199.38</w:t>
            </w:r>
          </w:p>
        </w:tc>
        <w:tc>
          <w:tcPr>
            <w:tcW w:w="2551" w:type="dxa"/>
            <w:vAlign w:val="center"/>
          </w:tcPr>
          <w:p w14:paraId="055E4DDB">
            <w:pPr>
              <w:pStyle w:val="14"/>
            </w:pPr>
            <w:r>
              <w:t>199.38</w:t>
            </w:r>
          </w:p>
        </w:tc>
        <w:tc>
          <w:tcPr>
            <w:tcW w:w="2551" w:type="dxa"/>
            <w:vAlign w:val="center"/>
          </w:tcPr>
          <w:p w14:paraId="52CC1D94">
            <w:pPr>
              <w:pStyle w:val="14"/>
            </w:pPr>
          </w:p>
        </w:tc>
      </w:tr>
      <w:tr w14:paraId="0CAF0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84CEC">
            <w:pPr>
              <w:pStyle w:val="12"/>
            </w:pPr>
            <w:r>
              <w:t>6</w:t>
            </w:r>
          </w:p>
        </w:tc>
        <w:tc>
          <w:tcPr>
            <w:tcW w:w="1191" w:type="dxa"/>
            <w:vAlign w:val="center"/>
          </w:tcPr>
          <w:p w14:paraId="7C5F73A9">
            <w:pPr>
              <w:pStyle w:val="13"/>
            </w:pPr>
            <w:r>
              <w:t>30108</w:t>
            </w:r>
          </w:p>
        </w:tc>
        <w:tc>
          <w:tcPr>
            <w:tcW w:w="4535" w:type="dxa"/>
            <w:vAlign w:val="center"/>
          </w:tcPr>
          <w:p w14:paraId="164A35B3">
            <w:pPr>
              <w:pStyle w:val="13"/>
            </w:pPr>
            <w:r>
              <w:t>机关事业单位基本养老保险缴费</w:t>
            </w:r>
          </w:p>
        </w:tc>
        <w:tc>
          <w:tcPr>
            <w:tcW w:w="2551" w:type="dxa"/>
            <w:vAlign w:val="center"/>
          </w:tcPr>
          <w:p w14:paraId="2B94A970">
            <w:pPr>
              <w:pStyle w:val="14"/>
            </w:pPr>
            <w:r>
              <w:t>75.42</w:t>
            </w:r>
          </w:p>
        </w:tc>
        <w:tc>
          <w:tcPr>
            <w:tcW w:w="2551" w:type="dxa"/>
            <w:vAlign w:val="center"/>
          </w:tcPr>
          <w:p w14:paraId="2438CF47">
            <w:pPr>
              <w:pStyle w:val="14"/>
            </w:pPr>
            <w:r>
              <w:t>75.42</w:t>
            </w:r>
          </w:p>
        </w:tc>
        <w:tc>
          <w:tcPr>
            <w:tcW w:w="2551" w:type="dxa"/>
            <w:vAlign w:val="center"/>
          </w:tcPr>
          <w:p w14:paraId="65150DB9">
            <w:pPr>
              <w:pStyle w:val="14"/>
            </w:pPr>
          </w:p>
        </w:tc>
      </w:tr>
      <w:tr w14:paraId="2E8D3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34D17">
            <w:pPr>
              <w:pStyle w:val="12"/>
            </w:pPr>
            <w:r>
              <w:t>7</w:t>
            </w:r>
          </w:p>
        </w:tc>
        <w:tc>
          <w:tcPr>
            <w:tcW w:w="1191" w:type="dxa"/>
            <w:vAlign w:val="center"/>
          </w:tcPr>
          <w:p w14:paraId="21E89063">
            <w:pPr>
              <w:pStyle w:val="13"/>
            </w:pPr>
            <w:r>
              <w:t>30110</w:t>
            </w:r>
          </w:p>
        </w:tc>
        <w:tc>
          <w:tcPr>
            <w:tcW w:w="4535" w:type="dxa"/>
            <w:vAlign w:val="center"/>
          </w:tcPr>
          <w:p w14:paraId="39423CA2">
            <w:pPr>
              <w:pStyle w:val="13"/>
            </w:pPr>
            <w:r>
              <w:t>职工基本医疗保险缴费</w:t>
            </w:r>
          </w:p>
        </w:tc>
        <w:tc>
          <w:tcPr>
            <w:tcW w:w="2551" w:type="dxa"/>
            <w:vAlign w:val="center"/>
          </w:tcPr>
          <w:p w14:paraId="0FB1F62A">
            <w:pPr>
              <w:pStyle w:val="14"/>
            </w:pPr>
            <w:r>
              <w:t>35.36</w:t>
            </w:r>
          </w:p>
        </w:tc>
        <w:tc>
          <w:tcPr>
            <w:tcW w:w="2551" w:type="dxa"/>
            <w:vAlign w:val="center"/>
          </w:tcPr>
          <w:p w14:paraId="150F4A44">
            <w:pPr>
              <w:pStyle w:val="14"/>
            </w:pPr>
            <w:r>
              <w:t>35.36</w:t>
            </w:r>
          </w:p>
        </w:tc>
        <w:tc>
          <w:tcPr>
            <w:tcW w:w="2551" w:type="dxa"/>
            <w:vAlign w:val="center"/>
          </w:tcPr>
          <w:p w14:paraId="6D3F1303">
            <w:pPr>
              <w:pStyle w:val="14"/>
            </w:pPr>
          </w:p>
        </w:tc>
      </w:tr>
      <w:tr w14:paraId="08753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EA3F8">
            <w:pPr>
              <w:pStyle w:val="12"/>
            </w:pPr>
            <w:r>
              <w:t>8</w:t>
            </w:r>
          </w:p>
        </w:tc>
        <w:tc>
          <w:tcPr>
            <w:tcW w:w="1191" w:type="dxa"/>
            <w:vAlign w:val="center"/>
          </w:tcPr>
          <w:p w14:paraId="302EAD5C">
            <w:pPr>
              <w:pStyle w:val="13"/>
            </w:pPr>
            <w:r>
              <w:t>30112</w:t>
            </w:r>
          </w:p>
        </w:tc>
        <w:tc>
          <w:tcPr>
            <w:tcW w:w="4535" w:type="dxa"/>
            <w:vAlign w:val="center"/>
          </w:tcPr>
          <w:p w14:paraId="27FA2D2D">
            <w:pPr>
              <w:pStyle w:val="13"/>
            </w:pPr>
            <w:r>
              <w:t>其他社会保障缴费</w:t>
            </w:r>
          </w:p>
        </w:tc>
        <w:tc>
          <w:tcPr>
            <w:tcW w:w="2551" w:type="dxa"/>
            <w:vAlign w:val="center"/>
          </w:tcPr>
          <w:p w14:paraId="1EA83E0B">
            <w:pPr>
              <w:pStyle w:val="14"/>
            </w:pPr>
            <w:r>
              <w:t>21.32</w:t>
            </w:r>
          </w:p>
        </w:tc>
        <w:tc>
          <w:tcPr>
            <w:tcW w:w="2551" w:type="dxa"/>
            <w:vAlign w:val="center"/>
          </w:tcPr>
          <w:p w14:paraId="40929450">
            <w:pPr>
              <w:pStyle w:val="14"/>
            </w:pPr>
            <w:r>
              <w:t>21.32</w:t>
            </w:r>
          </w:p>
        </w:tc>
        <w:tc>
          <w:tcPr>
            <w:tcW w:w="2551" w:type="dxa"/>
            <w:vAlign w:val="center"/>
          </w:tcPr>
          <w:p w14:paraId="13FDAF7B">
            <w:pPr>
              <w:pStyle w:val="14"/>
            </w:pPr>
          </w:p>
        </w:tc>
      </w:tr>
      <w:tr w14:paraId="32F9B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CFE85">
            <w:pPr>
              <w:pStyle w:val="12"/>
            </w:pPr>
            <w:r>
              <w:t>9</w:t>
            </w:r>
          </w:p>
        </w:tc>
        <w:tc>
          <w:tcPr>
            <w:tcW w:w="1191" w:type="dxa"/>
            <w:vAlign w:val="center"/>
          </w:tcPr>
          <w:p w14:paraId="03E286A8">
            <w:pPr>
              <w:pStyle w:val="13"/>
            </w:pPr>
            <w:r>
              <w:t>30113</w:t>
            </w:r>
          </w:p>
        </w:tc>
        <w:tc>
          <w:tcPr>
            <w:tcW w:w="4535" w:type="dxa"/>
            <w:vAlign w:val="center"/>
          </w:tcPr>
          <w:p w14:paraId="398A4987">
            <w:pPr>
              <w:pStyle w:val="13"/>
            </w:pPr>
            <w:r>
              <w:t>住房公积金</w:t>
            </w:r>
          </w:p>
        </w:tc>
        <w:tc>
          <w:tcPr>
            <w:tcW w:w="2551" w:type="dxa"/>
            <w:vAlign w:val="center"/>
          </w:tcPr>
          <w:p w14:paraId="464A5D4C">
            <w:pPr>
              <w:pStyle w:val="14"/>
            </w:pPr>
            <w:r>
              <w:t>29.73</w:t>
            </w:r>
          </w:p>
        </w:tc>
        <w:tc>
          <w:tcPr>
            <w:tcW w:w="2551" w:type="dxa"/>
            <w:vAlign w:val="center"/>
          </w:tcPr>
          <w:p w14:paraId="60F06BCD">
            <w:pPr>
              <w:pStyle w:val="14"/>
            </w:pPr>
            <w:r>
              <w:t>29.73</w:t>
            </w:r>
          </w:p>
        </w:tc>
        <w:tc>
          <w:tcPr>
            <w:tcW w:w="2551" w:type="dxa"/>
            <w:vAlign w:val="center"/>
          </w:tcPr>
          <w:p w14:paraId="73C3EBE1">
            <w:pPr>
              <w:pStyle w:val="14"/>
            </w:pPr>
          </w:p>
        </w:tc>
      </w:tr>
      <w:tr w14:paraId="3C873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119FE">
            <w:pPr>
              <w:pStyle w:val="12"/>
            </w:pPr>
            <w:r>
              <w:t>10</w:t>
            </w:r>
          </w:p>
        </w:tc>
        <w:tc>
          <w:tcPr>
            <w:tcW w:w="1191" w:type="dxa"/>
            <w:vAlign w:val="center"/>
          </w:tcPr>
          <w:p w14:paraId="0C668072">
            <w:pPr>
              <w:pStyle w:val="13"/>
            </w:pPr>
            <w:r>
              <w:t>303</w:t>
            </w:r>
          </w:p>
        </w:tc>
        <w:tc>
          <w:tcPr>
            <w:tcW w:w="4535" w:type="dxa"/>
            <w:vAlign w:val="center"/>
          </w:tcPr>
          <w:p w14:paraId="30E8223F">
            <w:pPr>
              <w:pStyle w:val="13"/>
            </w:pPr>
            <w:r>
              <w:t>对个人和家庭的补助</w:t>
            </w:r>
          </w:p>
        </w:tc>
        <w:tc>
          <w:tcPr>
            <w:tcW w:w="2551" w:type="dxa"/>
            <w:vAlign w:val="center"/>
          </w:tcPr>
          <w:p w14:paraId="081A2CE3">
            <w:pPr>
              <w:pStyle w:val="14"/>
            </w:pPr>
            <w:r>
              <w:t>14.81</w:t>
            </w:r>
          </w:p>
        </w:tc>
        <w:tc>
          <w:tcPr>
            <w:tcW w:w="2551" w:type="dxa"/>
            <w:vAlign w:val="center"/>
          </w:tcPr>
          <w:p w14:paraId="4474C808">
            <w:pPr>
              <w:pStyle w:val="14"/>
            </w:pPr>
            <w:r>
              <w:t>14.81</w:t>
            </w:r>
          </w:p>
        </w:tc>
        <w:tc>
          <w:tcPr>
            <w:tcW w:w="2551" w:type="dxa"/>
            <w:vAlign w:val="center"/>
          </w:tcPr>
          <w:p w14:paraId="7CC19B7E">
            <w:pPr>
              <w:pStyle w:val="14"/>
            </w:pPr>
          </w:p>
        </w:tc>
      </w:tr>
      <w:tr w14:paraId="73FE2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9DBDE">
            <w:pPr>
              <w:pStyle w:val="12"/>
            </w:pPr>
            <w:r>
              <w:t>11</w:t>
            </w:r>
          </w:p>
        </w:tc>
        <w:tc>
          <w:tcPr>
            <w:tcW w:w="1191" w:type="dxa"/>
            <w:vAlign w:val="center"/>
          </w:tcPr>
          <w:p w14:paraId="2EF71AD1">
            <w:pPr>
              <w:pStyle w:val="13"/>
            </w:pPr>
            <w:r>
              <w:t>30302</w:t>
            </w:r>
          </w:p>
        </w:tc>
        <w:tc>
          <w:tcPr>
            <w:tcW w:w="4535" w:type="dxa"/>
            <w:vAlign w:val="center"/>
          </w:tcPr>
          <w:p w14:paraId="6E058BF4">
            <w:pPr>
              <w:pStyle w:val="13"/>
            </w:pPr>
            <w:r>
              <w:t>退休费</w:t>
            </w:r>
          </w:p>
        </w:tc>
        <w:tc>
          <w:tcPr>
            <w:tcW w:w="2551" w:type="dxa"/>
            <w:vAlign w:val="center"/>
          </w:tcPr>
          <w:p w14:paraId="1A642BFC">
            <w:pPr>
              <w:pStyle w:val="14"/>
            </w:pPr>
            <w:r>
              <w:t>14.81</w:t>
            </w:r>
          </w:p>
        </w:tc>
        <w:tc>
          <w:tcPr>
            <w:tcW w:w="2551" w:type="dxa"/>
            <w:vAlign w:val="center"/>
          </w:tcPr>
          <w:p w14:paraId="6DB00BC5">
            <w:pPr>
              <w:pStyle w:val="14"/>
            </w:pPr>
            <w:r>
              <w:t>14.81</w:t>
            </w:r>
          </w:p>
        </w:tc>
        <w:tc>
          <w:tcPr>
            <w:tcW w:w="2551" w:type="dxa"/>
            <w:vAlign w:val="center"/>
          </w:tcPr>
          <w:p w14:paraId="5A8137C5">
            <w:pPr>
              <w:pStyle w:val="14"/>
            </w:pPr>
          </w:p>
        </w:tc>
      </w:tr>
    </w:tbl>
    <w:p w14:paraId="2FC6B0C2">
      <w:pPr>
        <w:sectPr>
          <w:pgSz w:w="16840" w:h="11900" w:orient="landscape"/>
          <w:pgMar w:top="1361" w:right="1020" w:bottom="1134" w:left="1020" w:header="720" w:footer="720" w:gutter="0"/>
          <w:cols w:space="720" w:num="1"/>
        </w:sectPr>
      </w:pPr>
    </w:p>
    <w:p w14:paraId="1AA99A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093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CFBB3E">
            <w:pPr>
              <w:pStyle w:val="8"/>
            </w:pPr>
            <w:r>
              <w:t>360031隆尧县北楼中学</w:t>
            </w:r>
          </w:p>
        </w:tc>
        <w:tc>
          <w:tcPr>
            <w:tcW w:w="2551" w:type="dxa"/>
            <w:tcBorders>
              <w:top w:val="single" w:color="FFFFFF" w:sz="6" w:space="0"/>
              <w:left w:val="single" w:color="FFFFFF" w:sz="6" w:space="0"/>
              <w:right w:val="single" w:color="FFFFFF" w:sz="6" w:space="0"/>
            </w:tcBorders>
            <w:vAlign w:val="center"/>
          </w:tcPr>
          <w:p w14:paraId="34DB858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804134C">
            <w:pPr>
              <w:pStyle w:val="10"/>
            </w:pPr>
            <w:r>
              <w:t>单位：万元</w:t>
            </w:r>
          </w:p>
        </w:tc>
      </w:tr>
      <w:tr w14:paraId="6A716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A5CFA3">
            <w:pPr>
              <w:pStyle w:val="11"/>
            </w:pPr>
            <w:r>
              <w:t>序号</w:t>
            </w:r>
          </w:p>
        </w:tc>
        <w:tc>
          <w:tcPr>
            <w:tcW w:w="5726" w:type="dxa"/>
            <w:gridSpan w:val="2"/>
            <w:vAlign w:val="center"/>
          </w:tcPr>
          <w:p w14:paraId="29291EAB">
            <w:pPr>
              <w:pStyle w:val="11"/>
            </w:pPr>
            <w:r>
              <w:t>功能分类科目</w:t>
            </w:r>
          </w:p>
        </w:tc>
        <w:tc>
          <w:tcPr>
            <w:tcW w:w="2551" w:type="dxa"/>
            <w:vMerge w:val="restart"/>
            <w:vAlign w:val="center"/>
          </w:tcPr>
          <w:p w14:paraId="19B223E8">
            <w:pPr>
              <w:pStyle w:val="11"/>
            </w:pPr>
            <w:r>
              <w:t>合计</w:t>
            </w:r>
          </w:p>
        </w:tc>
        <w:tc>
          <w:tcPr>
            <w:tcW w:w="2551" w:type="dxa"/>
            <w:vMerge w:val="restart"/>
            <w:vAlign w:val="center"/>
          </w:tcPr>
          <w:p w14:paraId="7A6D08BA">
            <w:pPr>
              <w:pStyle w:val="11"/>
            </w:pPr>
            <w:r>
              <w:t>基本支出</w:t>
            </w:r>
          </w:p>
        </w:tc>
        <w:tc>
          <w:tcPr>
            <w:tcW w:w="2551" w:type="dxa"/>
            <w:vMerge w:val="restart"/>
            <w:vAlign w:val="center"/>
          </w:tcPr>
          <w:p w14:paraId="6657F90D">
            <w:pPr>
              <w:pStyle w:val="11"/>
            </w:pPr>
            <w:r>
              <w:t>项目支出</w:t>
            </w:r>
          </w:p>
        </w:tc>
      </w:tr>
      <w:tr w14:paraId="55591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E6A840"/>
        </w:tc>
        <w:tc>
          <w:tcPr>
            <w:tcW w:w="1191" w:type="dxa"/>
            <w:vAlign w:val="center"/>
          </w:tcPr>
          <w:p w14:paraId="41705EA7">
            <w:pPr>
              <w:pStyle w:val="11"/>
            </w:pPr>
            <w:r>
              <w:t>科目编码</w:t>
            </w:r>
          </w:p>
        </w:tc>
        <w:tc>
          <w:tcPr>
            <w:tcW w:w="4535" w:type="dxa"/>
            <w:vAlign w:val="center"/>
          </w:tcPr>
          <w:p w14:paraId="05B6FC6D">
            <w:pPr>
              <w:pStyle w:val="11"/>
            </w:pPr>
            <w:r>
              <w:t>科目名称</w:t>
            </w:r>
          </w:p>
        </w:tc>
        <w:tc>
          <w:tcPr>
            <w:tcW w:w="2551" w:type="dxa"/>
            <w:vMerge w:val="continue"/>
          </w:tcPr>
          <w:p w14:paraId="29AE89FB"/>
        </w:tc>
        <w:tc>
          <w:tcPr>
            <w:tcW w:w="2551" w:type="dxa"/>
            <w:vMerge w:val="continue"/>
          </w:tcPr>
          <w:p w14:paraId="45206EC3"/>
        </w:tc>
        <w:tc>
          <w:tcPr>
            <w:tcW w:w="2551" w:type="dxa"/>
            <w:vMerge w:val="continue"/>
          </w:tcPr>
          <w:p w14:paraId="4D54950F"/>
        </w:tc>
      </w:tr>
      <w:tr w14:paraId="59AB5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A3F924">
            <w:pPr>
              <w:pStyle w:val="11"/>
            </w:pPr>
            <w:r>
              <w:t>栏次</w:t>
            </w:r>
          </w:p>
        </w:tc>
        <w:tc>
          <w:tcPr>
            <w:tcW w:w="1191" w:type="dxa"/>
            <w:vAlign w:val="center"/>
          </w:tcPr>
          <w:p w14:paraId="1156143E">
            <w:pPr>
              <w:pStyle w:val="11"/>
            </w:pPr>
            <w:r>
              <w:t>1</w:t>
            </w:r>
          </w:p>
        </w:tc>
        <w:tc>
          <w:tcPr>
            <w:tcW w:w="4535" w:type="dxa"/>
            <w:vAlign w:val="center"/>
          </w:tcPr>
          <w:p w14:paraId="1866DEEB">
            <w:pPr>
              <w:pStyle w:val="11"/>
            </w:pPr>
            <w:r>
              <w:t>2</w:t>
            </w:r>
          </w:p>
        </w:tc>
        <w:tc>
          <w:tcPr>
            <w:tcW w:w="2551" w:type="dxa"/>
            <w:vAlign w:val="center"/>
          </w:tcPr>
          <w:p w14:paraId="2BA5DBAC">
            <w:pPr>
              <w:pStyle w:val="11"/>
            </w:pPr>
            <w:r>
              <w:t>3</w:t>
            </w:r>
          </w:p>
        </w:tc>
        <w:tc>
          <w:tcPr>
            <w:tcW w:w="2551" w:type="dxa"/>
            <w:vAlign w:val="center"/>
          </w:tcPr>
          <w:p w14:paraId="0CC81A65">
            <w:pPr>
              <w:pStyle w:val="11"/>
            </w:pPr>
            <w:r>
              <w:t>4</w:t>
            </w:r>
          </w:p>
        </w:tc>
        <w:tc>
          <w:tcPr>
            <w:tcW w:w="2551" w:type="dxa"/>
            <w:vAlign w:val="center"/>
          </w:tcPr>
          <w:p w14:paraId="188AFBBB">
            <w:pPr>
              <w:pStyle w:val="11"/>
            </w:pPr>
            <w:r>
              <w:t>5</w:t>
            </w:r>
          </w:p>
        </w:tc>
      </w:tr>
      <w:tr w14:paraId="7F609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61D9B">
            <w:pPr>
              <w:pStyle w:val="12"/>
            </w:pPr>
          </w:p>
        </w:tc>
        <w:tc>
          <w:tcPr>
            <w:tcW w:w="1191" w:type="dxa"/>
            <w:vAlign w:val="center"/>
          </w:tcPr>
          <w:p w14:paraId="203CD610">
            <w:pPr>
              <w:pStyle w:val="13"/>
            </w:pPr>
          </w:p>
        </w:tc>
        <w:tc>
          <w:tcPr>
            <w:tcW w:w="4535" w:type="dxa"/>
            <w:vAlign w:val="center"/>
          </w:tcPr>
          <w:p w14:paraId="58436D5C">
            <w:pPr>
              <w:pStyle w:val="13"/>
            </w:pPr>
          </w:p>
        </w:tc>
        <w:tc>
          <w:tcPr>
            <w:tcW w:w="2551" w:type="dxa"/>
            <w:vAlign w:val="center"/>
          </w:tcPr>
          <w:p w14:paraId="2A0E3425">
            <w:pPr>
              <w:pStyle w:val="14"/>
            </w:pPr>
          </w:p>
        </w:tc>
        <w:tc>
          <w:tcPr>
            <w:tcW w:w="2551" w:type="dxa"/>
            <w:vAlign w:val="center"/>
          </w:tcPr>
          <w:p w14:paraId="697258FA">
            <w:pPr>
              <w:pStyle w:val="14"/>
            </w:pPr>
          </w:p>
        </w:tc>
        <w:tc>
          <w:tcPr>
            <w:tcW w:w="2551" w:type="dxa"/>
            <w:vAlign w:val="center"/>
          </w:tcPr>
          <w:p w14:paraId="68984C09">
            <w:pPr>
              <w:pStyle w:val="14"/>
            </w:pPr>
          </w:p>
        </w:tc>
      </w:tr>
    </w:tbl>
    <w:p w14:paraId="20E55C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2536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527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730762">
            <w:pPr>
              <w:pStyle w:val="8"/>
            </w:pPr>
            <w:r>
              <w:t>360031隆尧县北楼中学</w:t>
            </w:r>
          </w:p>
        </w:tc>
        <w:tc>
          <w:tcPr>
            <w:tcW w:w="2551" w:type="dxa"/>
            <w:tcBorders>
              <w:top w:val="single" w:color="FFFFFF" w:sz="6" w:space="0"/>
              <w:left w:val="single" w:color="FFFFFF" w:sz="6" w:space="0"/>
              <w:right w:val="single" w:color="FFFFFF" w:sz="6" w:space="0"/>
            </w:tcBorders>
            <w:vAlign w:val="center"/>
          </w:tcPr>
          <w:p w14:paraId="4CDCB8C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9B61D01">
            <w:pPr>
              <w:pStyle w:val="10"/>
            </w:pPr>
            <w:r>
              <w:t>单位：万元</w:t>
            </w:r>
          </w:p>
        </w:tc>
      </w:tr>
      <w:tr w14:paraId="700EF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A516B9">
            <w:pPr>
              <w:pStyle w:val="11"/>
            </w:pPr>
            <w:r>
              <w:t>序号</w:t>
            </w:r>
          </w:p>
        </w:tc>
        <w:tc>
          <w:tcPr>
            <w:tcW w:w="5726" w:type="dxa"/>
            <w:gridSpan w:val="2"/>
            <w:vAlign w:val="center"/>
          </w:tcPr>
          <w:p w14:paraId="0074B742">
            <w:pPr>
              <w:pStyle w:val="11"/>
            </w:pPr>
            <w:r>
              <w:t>功能分类科目</w:t>
            </w:r>
          </w:p>
        </w:tc>
        <w:tc>
          <w:tcPr>
            <w:tcW w:w="2551" w:type="dxa"/>
            <w:vMerge w:val="restart"/>
            <w:vAlign w:val="center"/>
          </w:tcPr>
          <w:p w14:paraId="76A40AFB">
            <w:pPr>
              <w:pStyle w:val="11"/>
            </w:pPr>
            <w:r>
              <w:t>合计</w:t>
            </w:r>
          </w:p>
        </w:tc>
        <w:tc>
          <w:tcPr>
            <w:tcW w:w="2551" w:type="dxa"/>
            <w:vMerge w:val="restart"/>
            <w:vAlign w:val="center"/>
          </w:tcPr>
          <w:p w14:paraId="6F60775D">
            <w:pPr>
              <w:pStyle w:val="11"/>
            </w:pPr>
            <w:r>
              <w:t>基本支出</w:t>
            </w:r>
          </w:p>
        </w:tc>
        <w:tc>
          <w:tcPr>
            <w:tcW w:w="2551" w:type="dxa"/>
            <w:vMerge w:val="restart"/>
            <w:vAlign w:val="center"/>
          </w:tcPr>
          <w:p w14:paraId="4FF51417">
            <w:pPr>
              <w:pStyle w:val="11"/>
            </w:pPr>
            <w:r>
              <w:t>项目支出</w:t>
            </w:r>
          </w:p>
        </w:tc>
      </w:tr>
      <w:tr w14:paraId="254B3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80A84"/>
        </w:tc>
        <w:tc>
          <w:tcPr>
            <w:tcW w:w="1191" w:type="dxa"/>
            <w:vAlign w:val="center"/>
          </w:tcPr>
          <w:p w14:paraId="6F103A3A">
            <w:pPr>
              <w:pStyle w:val="11"/>
            </w:pPr>
            <w:r>
              <w:t>科目编码</w:t>
            </w:r>
          </w:p>
        </w:tc>
        <w:tc>
          <w:tcPr>
            <w:tcW w:w="4535" w:type="dxa"/>
            <w:vAlign w:val="center"/>
          </w:tcPr>
          <w:p w14:paraId="79B11C17">
            <w:pPr>
              <w:pStyle w:val="11"/>
            </w:pPr>
            <w:r>
              <w:t>科目名称</w:t>
            </w:r>
          </w:p>
        </w:tc>
        <w:tc>
          <w:tcPr>
            <w:tcW w:w="2551" w:type="dxa"/>
            <w:vMerge w:val="continue"/>
          </w:tcPr>
          <w:p w14:paraId="5F858EC4"/>
        </w:tc>
        <w:tc>
          <w:tcPr>
            <w:tcW w:w="2551" w:type="dxa"/>
            <w:vMerge w:val="continue"/>
          </w:tcPr>
          <w:p w14:paraId="54757A3D"/>
        </w:tc>
        <w:tc>
          <w:tcPr>
            <w:tcW w:w="2551" w:type="dxa"/>
            <w:vMerge w:val="continue"/>
          </w:tcPr>
          <w:p w14:paraId="17472BEC"/>
        </w:tc>
      </w:tr>
      <w:tr w14:paraId="4EBB1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5CF74">
            <w:pPr>
              <w:pStyle w:val="11"/>
            </w:pPr>
            <w:r>
              <w:t>栏次</w:t>
            </w:r>
          </w:p>
        </w:tc>
        <w:tc>
          <w:tcPr>
            <w:tcW w:w="1191" w:type="dxa"/>
            <w:vAlign w:val="center"/>
          </w:tcPr>
          <w:p w14:paraId="032EEF0F">
            <w:pPr>
              <w:pStyle w:val="11"/>
            </w:pPr>
            <w:r>
              <w:t>1</w:t>
            </w:r>
          </w:p>
        </w:tc>
        <w:tc>
          <w:tcPr>
            <w:tcW w:w="4535" w:type="dxa"/>
            <w:vAlign w:val="center"/>
          </w:tcPr>
          <w:p w14:paraId="476893B7">
            <w:pPr>
              <w:pStyle w:val="11"/>
            </w:pPr>
            <w:r>
              <w:t>2</w:t>
            </w:r>
          </w:p>
        </w:tc>
        <w:tc>
          <w:tcPr>
            <w:tcW w:w="2551" w:type="dxa"/>
            <w:vAlign w:val="center"/>
          </w:tcPr>
          <w:p w14:paraId="3B1ED4C9">
            <w:pPr>
              <w:pStyle w:val="11"/>
            </w:pPr>
            <w:r>
              <w:t>3</w:t>
            </w:r>
          </w:p>
        </w:tc>
        <w:tc>
          <w:tcPr>
            <w:tcW w:w="2551" w:type="dxa"/>
            <w:vAlign w:val="center"/>
          </w:tcPr>
          <w:p w14:paraId="409CB5C2">
            <w:pPr>
              <w:pStyle w:val="11"/>
            </w:pPr>
            <w:r>
              <w:t>4</w:t>
            </w:r>
          </w:p>
        </w:tc>
        <w:tc>
          <w:tcPr>
            <w:tcW w:w="2551" w:type="dxa"/>
            <w:vAlign w:val="center"/>
          </w:tcPr>
          <w:p w14:paraId="7B181450">
            <w:pPr>
              <w:pStyle w:val="11"/>
            </w:pPr>
            <w:r>
              <w:t>5</w:t>
            </w:r>
          </w:p>
        </w:tc>
      </w:tr>
      <w:tr w14:paraId="45E4B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13564">
            <w:pPr>
              <w:pStyle w:val="12"/>
            </w:pPr>
          </w:p>
        </w:tc>
        <w:tc>
          <w:tcPr>
            <w:tcW w:w="1191" w:type="dxa"/>
            <w:vAlign w:val="center"/>
          </w:tcPr>
          <w:p w14:paraId="46885ED2">
            <w:pPr>
              <w:pStyle w:val="13"/>
            </w:pPr>
          </w:p>
        </w:tc>
        <w:tc>
          <w:tcPr>
            <w:tcW w:w="4535" w:type="dxa"/>
            <w:vAlign w:val="center"/>
          </w:tcPr>
          <w:p w14:paraId="719C83FD">
            <w:pPr>
              <w:pStyle w:val="13"/>
            </w:pPr>
          </w:p>
        </w:tc>
        <w:tc>
          <w:tcPr>
            <w:tcW w:w="2551" w:type="dxa"/>
            <w:vAlign w:val="center"/>
          </w:tcPr>
          <w:p w14:paraId="248BE283">
            <w:pPr>
              <w:pStyle w:val="14"/>
            </w:pPr>
          </w:p>
        </w:tc>
        <w:tc>
          <w:tcPr>
            <w:tcW w:w="2551" w:type="dxa"/>
            <w:vAlign w:val="center"/>
          </w:tcPr>
          <w:p w14:paraId="5628721F">
            <w:pPr>
              <w:pStyle w:val="14"/>
            </w:pPr>
          </w:p>
        </w:tc>
        <w:tc>
          <w:tcPr>
            <w:tcW w:w="2551" w:type="dxa"/>
            <w:vAlign w:val="center"/>
          </w:tcPr>
          <w:p w14:paraId="0016395F">
            <w:pPr>
              <w:pStyle w:val="14"/>
            </w:pPr>
          </w:p>
        </w:tc>
      </w:tr>
    </w:tbl>
    <w:p w14:paraId="40F417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B674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F3C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47D818">
            <w:pPr>
              <w:pStyle w:val="8"/>
            </w:pPr>
            <w:r>
              <w:t>360031隆尧县北楼中学</w:t>
            </w:r>
          </w:p>
        </w:tc>
        <w:tc>
          <w:tcPr>
            <w:tcW w:w="2381" w:type="dxa"/>
            <w:tcBorders>
              <w:top w:val="single" w:color="FFFFFF" w:sz="6" w:space="0"/>
              <w:left w:val="single" w:color="FFFFFF" w:sz="6" w:space="0"/>
              <w:right w:val="single" w:color="FFFFFF" w:sz="6" w:space="0"/>
            </w:tcBorders>
            <w:vAlign w:val="center"/>
          </w:tcPr>
          <w:p w14:paraId="5CE44C59">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3050207">
            <w:pPr>
              <w:pStyle w:val="10"/>
            </w:pPr>
            <w:r>
              <w:t>单位：万元</w:t>
            </w:r>
          </w:p>
        </w:tc>
      </w:tr>
      <w:tr w14:paraId="3324D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50A376">
            <w:pPr>
              <w:pStyle w:val="11"/>
            </w:pPr>
            <w:r>
              <w:t>序号</w:t>
            </w:r>
          </w:p>
        </w:tc>
        <w:tc>
          <w:tcPr>
            <w:tcW w:w="3798" w:type="dxa"/>
            <w:vMerge w:val="restart"/>
            <w:vAlign w:val="center"/>
          </w:tcPr>
          <w:p w14:paraId="49D4C7CE">
            <w:pPr>
              <w:pStyle w:val="11"/>
            </w:pPr>
            <w:r>
              <w:t>项  目</w:t>
            </w:r>
          </w:p>
        </w:tc>
        <w:tc>
          <w:tcPr>
            <w:tcW w:w="9524" w:type="dxa"/>
            <w:gridSpan w:val="4"/>
            <w:vAlign w:val="center"/>
          </w:tcPr>
          <w:p w14:paraId="250842A7">
            <w:pPr>
              <w:pStyle w:val="11"/>
            </w:pPr>
            <w:r>
              <w:t>资 金 性 质</w:t>
            </w:r>
          </w:p>
        </w:tc>
      </w:tr>
      <w:tr w14:paraId="2BC5A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93E353"/>
        </w:tc>
        <w:tc>
          <w:tcPr>
            <w:tcW w:w="3798" w:type="dxa"/>
            <w:vMerge w:val="continue"/>
          </w:tcPr>
          <w:p w14:paraId="146A7F1D"/>
        </w:tc>
        <w:tc>
          <w:tcPr>
            <w:tcW w:w="2381" w:type="dxa"/>
            <w:vAlign w:val="center"/>
          </w:tcPr>
          <w:p w14:paraId="5F33CDBE">
            <w:pPr>
              <w:pStyle w:val="11"/>
            </w:pPr>
            <w:r>
              <w:t>合计</w:t>
            </w:r>
          </w:p>
        </w:tc>
        <w:tc>
          <w:tcPr>
            <w:tcW w:w="2381" w:type="dxa"/>
            <w:vAlign w:val="center"/>
          </w:tcPr>
          <w:p w14:paraId="46589DFE">
            <w:pPr>
              <w:pStyle w:val="11"/>
            </w:pPr>
            <w:r>
              <w:t>一般公共预算              财政拨款</w:t>
            </w:r>
          </w:p>
        </w:tc>
        <w:tc>
          <w:tcPr>
            <w:tcW w:w="2381" w:type="dxa"/>
            <w:vAlign w:val="center"/>
          </w:tcPr>
          <w:p w14:paraId="04AB09EF">
            <w:pPr>
              <w:pStyle w:val="11"/>
            </w:pPr>
            <w:r>
              <w:t>政府性基金                  预算拨款</w:t>
            </w:r>
          </w:p>
        </w:tc>
        <w:tc>
          <w:tcPr>
            <w:tcW w:w="2381" w:type="dxa"/>
            <w:vAlign w:val="center"/>
          </w:tcPr>
          <w:p w14:paraId="2ED66F27">
            <w:pPr>
              <w:pStyle w:val="11"/>
            </w:pPr>
            <w:r>
              <w:t>国有资本经营              预算财政拨款</w:t>
            </w:r>
          </w:p>
        </w:tc>
      </w:tr>
      <w:tr w14:paraId="2CCE9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AC5EA1">
            <w:pPr>
              <w:pStyle w:val="11"/>
            </w:pPr>
            <w:r>
              <w:t>栏次</w:t>
            </w:r>
          </w:p>
        </w:tc>
        <w:tc>
          <w:tcPr>
            <w:tcW w:w="3798" w:type="dxa"/>
            <w:vAlign w:val="center"/>
          </w:tcPr>
          <w:p w14:paraId="44681997">
            <w:pPr>
              <w:pStyle w:val="11"/>
            </w:pPr>
            <w:r>
              <w:t>1</w:t>
            </w:r>
          </w:p>
        </w:tc>
        <w:tc>
          <w:tcPr>
            <w:tcW w:w="2381" w:type="dxa"/>
            <w:vAlign w:val="center"/>
          </w:tcPr>
          <w:p w14:paraId="7EF592B3">
            <w:pPr>
              <w:pStyle w:val="11"/>
            </w:pPr>
            <w:r>
              <w:t>2</w:t>
            </w:r>
          </w:p>
        </w:tc>
        <w:tc>
          <w:tcPr>
            <w:tcW w:w="2381" w:type="dxa"/>
            <w:vAlign w:val="center"/>
          </w:tcPr>
          <w:p w14:paraId="2776A255">
            <w:pPr>
              <w:pStyle w:val="11"/>
            </w:pPr>
            <w:r>
              <w:t>3</w:t>
            </w:r>
          </w:p>
        </w:tc>
        <w:tc>
          <w:tcPr>
            <w:tcW w:w="2381" w:type="dxa"/>
            <w:vAlign w:val="center"/>
          </w:tcPr>
          <w:p w14:paraId="39361E15">
            <w:pPr>
              <w:pStyle w:val="11"/>
            </w:pPr>
            <w:r>
              <w:t>4</w:t>
            </w:r>
          </w:p>
        </w:tc>
        <w:tc>
          <w:tcPr>
            <w:tcW w:w="2381" w:type="dxa"/>
            <w:vAlign w:val="center"/>
          </w:tcPr>
          <w:p w14:paraId="5BB871D0">
            <w:pPr>
              <w:pStyle w:val="11"/>
            </w:pPr>
            <w:r>
              <w:t>5</w:t>
            </w:r>
          </w:p>
        </w:tc>
      </w:tr>
      <w:tr w14:paraId="4716E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415632">
            <w:pPr>
              <w:pStyle w:val="12"/>
            </w:pPr>
          </w:p>
        </w:tc>
        <w:tc>
          <w:tcPr>
            <w:tcW w:w="3798" w:type="dxa"/>
            <w:vAlign w:val="center"/>
          </w:tcPr>
          <w:p w14:paraId="704E85D2">
            <w:pPr>
              <w:pStyle w:val="13"/>
            </w:pPr>
          </w:p>
        </w:tc>
        <w:tc>
          <w:tcPr>
            <w:tcW w:w="2381" w:type="dxa"/>
            <w:vAlign w:val="center"/>
          </w:tcPr>
          <w:p w14:paraId="12E76145">
            <w:pPr>
              <w:pStyle w:val="14"/>
            </w:pPr>
          </w:p>
        </w:tc>
        <w:tc>
          <w:tcPr>
            <w:tcW w:w="2381" w:type="dxa"/>
            <w:vAlign w:val="center"/>
          </w:tcPr>
          <w:p w14:paraId="1B3D32FC">
            <w:pPr>
              <w:pStyle w:val="14"/>
            </w:pPr>
          </w:p>
        </w:tc>
        <w:tc>
          <w:tcPr>
            <w:tcW w:w="2381" w:type="dxa"/>
            <w:vAlign w:val="center"/>
          </w:tcPr>
          <w:p w14:paraId="25DCB30F">
            <w:pPr>
              <w:pStyle w:val="14"/>
            </w:pPr>
          </w:p>
        </w:tc>
        <w:tc>
          <w:tcPr>
            <w:tcW w:w="2381" w:type="dxa"/>
            <w:vAlign w:val="center"/>
          </w:tcPr>
          <w:p w14:paraId="6882652D">
            <w:pPr>
              <w:pStyle w:val="14"/>
            </w:pPr>
          </w:p>
        </w:tc>
      </w:tr>
    </w:tbl>
    <w:p w14:paraId="4AFFAEE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07C926C">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隆尧县北楼中学2025年单位预算信息公开情况说明</w:t>
      </w:r>
    </w:p>
    <w:p w14:paraId="5F2F50E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按照《中华人民共和国预算法》、《地方预决算公开操作规程》和《关于进一步推进预算公开工作的实施意见》规定，现将隆尧县北楼中学2025年单位预算公开如下：</w:t>
      </w:r>
    </w:p>
    <w:p w14:paraId="1FC29001">
      <w:pPr>
        <w:spacing w:before="10" w:after="10" w:line="240" w:lineRule="auto"/>
        <w:ind w:firstLine="640"/>
        <w:jc w:val="left"/>
        <w:outlineLvl w:val="5"/>
      </w:pPr>
      <w:r>
        <w:rPr>
          <w:rFonts w:ascii="黑体" w:hAnsi="黑体" w:eastAsia="黑体" w:cs="黑体"/>
          <w:color w:val="000000"/>
          <w:sz w:val="32"/>
        </w:rPr>
        <w:t>一、单位职责及机构设置情况</w:t>
      </w:r>
    </w:p>
    <w:p w14:paraId="5477B9F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B8F064F">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1A8EAAF8">
      <w:pPr>
        <w:pStyle w:val="18"/>
      </w:pPr>
      <w:r>
        <w:t>隆尧县北楼中学事业编制64名．其中，校长1名（正股级），副校长3名（副股级）；经费形式为财政性资金基本保证。</w:t>
      </w:r>
    </w:p>
    <w:p w14:paraId="6E996DC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2BB2E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36CB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512B10">
            <w:pPr>
              <w:pStyle w:val="11"/>
            </w:pPr>
            <w:r>
              <w:t>单位名称</w:t>
            </w:r>
          </w:p>
        </w:tc>
        <w:tc>
          <w:tcPr>
            <w:tcW w:w="1843" w:type="dxa"/>
            <w:vAlign w:val="center"/>
          </w:tcPr>
          <w:p w14:paraId="3DE7C165">
            <w:pPr>
              <w:pStyle w:val="11"/>
            </w:pPr>
            <w:r>
              <w:t>单位性质</w:t>
            </w:r>
          </w:p>
        </w:tc>
        <w:tc>
          <w:tcPr>
            <w:tcW w:w="2126" w:type="dxa"/>
            <w:vAlign w:val="center"/>
          </w:tcPr>
          <w:p w14:paraId="440AC8F4">
            <w:pPr>
              <w:pStyle w:val="11"/>
            </w:pPr>
            <w:r>
              <w:t>单位规格</w:t>
            </w:r>
          </w:p>
        </w:tc>
        <w:tc>
          <w:tcPr>
            <w:tcW w:w="3827" w:type="dxa"/>
            <w:vAlign w:val="center"/>
          </w:tcPr>
          <w:p w14:paraId="5D9C3F01">
            <w:pPr>
              <w:pStyle w:val="11"/>
            </w:pPr>
            <w:r>
              <w:t>经费保障形式</w:t>
            </w:r>
          </w:p>
        </w:tc>
      </w:tr>
      <w:tr w14:paraId="0A8D1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AD8A377">
            <w:pPr>
              <w:pStyle w:val="13"/>
            </w:pPr>
            <w:r>
              <w:t>隆尧县北楼中学</w:t>
            </w:r>
          </w:p>
        </w:tc>
        <w:tc>
          <w:tcPr>
            <w:tcW w:w="1843" w:type="dxa"/>
            <w:vAlign w:val="center"/>
          </w:tcPr>
          <w:p w14:paraId="053FD4C8">
            <w:pPr>
              <w:pStyle w:val="12"/>
            </w:pPr>
            <w:r>
              <w:t>事业</w:t>
            </w:r>
          </w:p>
        </w:tc>
        <w:tc>
          <w:tcPr>
            <w:tcW w:w="2126" w:type="dxa"/>
            <w:vAlign w:val="center"/>
          </w:tcPr>
          <w:p w14:paraId="0D0B54B0">
            <w:pPr>
              <w:pStyle w:val="12"/>
            </w:pPr>
            <w:r>
              <w:t>股级</w:t>
            </w:r>
          </w:p>
        </w:tc>
        <w:tc>
          <w:tcPr>
            <w:tcW w:w="3827" w:type="dxa"/>
            <w:vAlign w:val="center"/>
          </w:tcPr>
          <w:p w14:paraId="1FC58CB6">
            <w:pPr>
              <w:pStyle w:val="12"/>
            </w:pPr>
            <w:r>
              <w:t>财政性资金基本保证</w:t>
            </w:r>
          </w:p>
        </w:tc>
      </w:tr>
    </w:tbl>
    <w:p w14:paraId="0AD77BFB">
      <w:pPr>
        <w:spacing w:before="10" w:after="10" w:line="240" w:lineRule="auto"/>
        <w:ind w:firstLine="640"/>
        <w:jc w:val="left"/>
        <w:outlineLvl w:val="5"/>
      </w:pPr>
      <w:r>
        <w:rPr>
          <w:rFonts w:ascii="黑体" w:hAnsi="黑体" w:eastAsia="黑体" w:cs="黑体"/>
          <w:color w:val="000000"/>
          <w:sz w:val="32"/>
        </w:rPr>
        <w:t>二、单位预算安排的总体情况</w:t>
      </w:r>
    </w:p>
    <w:p w14:paraId="7B49A073">
      <w:pPr>
        <w:pStyle w:val="19"/>
      </w:pPr>
      <w:r>
        <w:t>按照预算管理有关规定，目前我校单位预算的编制实行综合预算管理，即全部收入和支出都反映的预算中。隆尧县北楼中学的收支包含在单位预算中。</w:t>
      </w:r>
    </w:p>
    <w:p w14:paraId="09EE7A43">
      <w:pPr>
        <w:pStyle w:val="19"/>
      </w:pPr>
      <w:r>
        <w:t>1、收入说明</w:t>
      </w:r>
    </w:p>
    <w:p w14:paraId="7FF6C136">
      <w:pPr>
        <w:pStyle w:val="19"/>
      </w:pPr>
      <w:r>
        <w:t>反映本单位当年全部收入。2025年预算收入964.97万元，其中：一般公共预算收入964.97万元，基金预算收入0元，财政专户管理资金收入0元，单位资金收入0元。</w:t>
      </w:r>
    </w:p>
    <w:p w14:paraId="67E32245">
      <w:pPr>
        <w:pStyle w:val="19"/>
      </w:pPr>
      <w:r>
        <w:t>2、支出说明</w:t>
      </w:r>
    </w:p>
    <w:p w14:paraId="52607687">
      <w:pPr>
        <w:pStyle w:val="19"/>
      </w:pPr>
      <w:r>
        <w:t>收支预算总表支出栏、基本支出表、项目支出表按经济分类和支出功能分类科目编制，反映隆尧县北楼中学年度单位预算中支出预算的总体情况。2025年单位支出预算为964.97万元，其中基本支出774.47万元项目支出190.49万元。主要为初中教育964.97万元。</w:t>
      </w:r>
    </w:p>
    <w:p w14:paraId="6F319DC8">
      <w:pPr>
        <w:pStyle w:val="19"/>
      </w:pPr>
      <w:r>
        <w:t>3、比上年增减情况</w:t>
      </w:r>
    </w:p>
    <w:p w14:paraId="2B314EF3">
      <w:pPr>
        <w:pStyle w:val="19"/>
      </w:pPr>
      <w:r>
        <w:t>2025年部门预算收支安排964.97万元，比上年减少190.91万元。其中基本支出增加41.61万元，项目支出减少232.53万元。</w:t>
      </w:r>
    </w:p>
    <w:p w14:paraId="2F680DAC">
      <w:pPr>
        <w:spacing w:before="10" w:after="10" w:line="240" w:lineRule="auto"/>
        <w:ind w:firstLine="640"/>
        <w:jc w:val="left"/>
        <w:outlineLvl w:val="5"/>
      </w:pPr>
      <w:r>
        <w:rPr>
          <w:rFonts w:ascii="黑体" w:hAnsi="黑体" w:eastAsia="黑体" w:cs="黑体"/>
          <w:color w:val="000000"/>
          <w:sz w:val="32"/>
        </w:rPr>
        <w:t>三、机关运行经费安排情况</w:t>
      </w:r>
    </w:p>
    <w:p w14:paraId="11C84112">
      <w:pPr>
        <w:pStyle w:val="20"/>
      </w:pPr>
      <w:r>
        <w:t>2025年，我单位按学生安排公用经费，无机关运行经费。</w:t>
      </w:r>
    </w:p>
    <w:p w14:paraId="475CF9C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3B62CD">
      <w:pPr>
        <w:pStyle w:val="21"/>
      </w:pPr>
      <w:r>
        <w:t>2025年，我单位未安排三公经费</w:t>
      </w:r>
    </w:p>
    <w:p w14:paraId="5D5C7CA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8FBD57E">
      <w:pPr>
        <w:spacing w:before="0" w:after="0"/>
        <w:ind w:firstLine="560"/>
        <w:jc w:val="left"/>
        <w:outlineLvl w:val="9"/>
      </w:pPr>
      <w:r>
        <w:rPr>
          <w:rFonts w:ascii="方正仿宋_GBK" w:hAnsi="方正仿宋_GBK" w:eastAsia="方正仿宋_GBK" w:cs="方正仿宋_GBK"/>
          <w:b/>
          <w:color w:val="000000"/>
          <w:sz w:val="28"/>
        </w:rPr>
        <w:t>1、冀财教[2024]123号/中央/2025年义教补助经费/北楼中学公用经费绩效目标表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A4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2C2E1">
            <w:pPr>
              <w:pStyle w:val="14"/>
            </w:pPr>
            <w:r>
              <w:t>单位：万元</w:t>
            </w:r>
          </w:p>
        </w:tc>
      </w:tr>
      <w:tr w14:paraId="3B5C1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60F74">
            <w:pPr>
              <w:pStyle w:val="11"/>
            </w:pPr>
            <w:r>
              <w:t>项目编码</w:t>
            </w:r>
          </w:p>
        </w:tc>
        <w:tc>
          <w:tcPr>
            <w:tcW w:w="5103" w:type="dxa"/>
            <w:gridSpan w:val="2"/>
            <w:vAlign w:val="center"/>
          </w:tcPr>
          <w:p w14:paraId="4FA0641C">
            <w:pPr>
              <w:pStyle w:val="13"/>
            </w:pPr>
            <w:r>
              <w:t>13052525P000004100490</w:t>
            </w:r>
          </w:p>
        </w:tc>
        <w:tc>
          <w:tcPr>
            <w:tcW w:w="2835" w:type="dxa"/>
            <w:vAlign w:val="center"/>
          </w:tcPr>
          <w:p w14:paraId="49313E2C">
            <w:pPr>
              <w:pStyle w:val="11"/>
            </w:pPr>
            <w:r>
              <w:t>项目名称</w:t>
            </w:r>
          </w:p>
        </w:tc>
        <w:tc>
          <w:tcPr>
            <w:tcW w:w="6095" w:type="dxa"/>
            <w:gridSpan w:val="3"/>
            <w:vAlign w:val="center"/>
          </w:tcPr>
          <w:p w14:paraId="69454DB8">
            <w:pPr>
              <w:pStyle w:val="13"/>
            </w:pPr>
            <w:r>
              <w:t>冀财教[2024]123号/中央/2025年义教补助经费/北楼中学公用经费</w:t>
            </w:r>
          </w:p>
        </w:tc>
      </w:tr>
      <w:tr w14:paraId="48502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489B7">
            <w:pPr>
              <w:pStyle w:val="11"/>
            </w:pPr>
            <w:r>
              <w:t>预算规模及资金用途</w:t>
            </w:r>
          </w:p>
        </w:tc>
        <w:tc>
          <w:tcPr>
            <w:tcW w:w="2268" w:type="dxa"/>
            <w:vAlign w:val="center"/>
          </w:tcPr>
          <w:p w14:paraId="0B9E1DBB">
            <w:pPr>
              <w:pStyle w:val="11"/>
            </w:pPr>
            <w:r>
              <w:t>预算数</w:t>
            </w:r>
          </w:p>
        </w:tc>
        <w:tc>
          <w:tcPr>
            <w:tcW w:w="2835" w:type="dxa"/>
            <w:vAlign w:val="center"/>
          </w:tcPr>
          <w:p w14:paraId="5A906ECC">
            <w:pPr>
              <w:pStyle w:val="13"/>
            </w:pPr>
            <w:r>
              <w:t>84.84</w:t>
            </w:r>
          </w:p>
        </w:tc>
        <w:tc>
          <w:tcPr>
            <w:tcW w:w="2835" w:type="dxa"/>
            <w:vAlign w:val="center"/>
          </w:tcPr>
          <w:p w14:paraId="21C275AD">
            <w:pPr>
              <w:pStyle w:val="11"/>
            </w:pPr>
            <w:r>
              <w:t>其中：财政    资金</w:t>
            </w:r>
          </w:p>
        </w:tc>
        <w:tc>
          <w:tcPr>
            <w:tcW w:w="2551" w:type="dxa"/>
            <w:vAlign w:val="center"/>
          </w:tcPr>
          <w:p w14:paraId="41682562">
            <w:pPr>
              <w:pStyle w:val="13"/>
            </w:pPr>
            <w:r>
              <w:t>84.84</w:t>
            </w:r>
          </w:p>
        </w:tc>
        <w:tc>
          <w:tcPr>
            <w:tcW w:w="2268" w:type="dxa"/>
            <w:vAlign w:val="center"/>
          </w:tcPr>
          <w:p w14:paraId="5C2FF067">
            <w:pPr>
              <w:pStyle w:val="11"/>
            </w:pPr>
            <w:r>
              <w:t>其他资金</w:t>
            </w:r>
          </w:p>
        </w:tc>
        <w:tc>
          <w:tcPr>
            <w:tcW w:w="1276" w:type="dxa"/>
            <w:vAlign w:val="center"/>
          </w:tcPr>
          <w:p w14:paraId="1B9493DE">
            <w:pPr>
              <w:pStyle w:val="13"/>
            </w:pPr>
            <w:r>
              <w:t xml:space="preserve"> </w:t>
            </w:r>
          </w:p>
        </w:tc>
      </w:tr>
      <w:tr w14:paraId="2449A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1FF283"/>
        </w:tc>
        <w:tc>
          <w:tcPr>
            <w:tcW w:w="14033" w:type="dxa"/>
            <w:gridSpan w:val="6"/>
            <w:vAlign w:val="center"/>
          </w:tcPr>
          <w:p w14:paraId="3E51D40D">
            <w:pPr>
              <w:pStyle w:val="13"/>
            </w:pPr>
            <w:r>
              <w:t>保障义务教育学校正常运转，全面贯彻党的教育方针，办人民满意的教育，高质量、高标准完成教育教学活动和其他日常工作任务等方面的费用支出。</w:t>
            </w:r>
          </w:p>
        </w:tc>
      </w:tr>
      <w:tr w14:paraId="22543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D90F2">
            <w:pPr>
              <w:pStyle w:val="11"/>
            </w:pPr>
            <w:r>
              <w:t>资金支出计划（%）</w:t>
            </w:r>
          </w:p>
        </w:tc>
        <w:tc>
          <w:tcPr>
            <w:tcW w:w="5103" w:type="dxa"/>
            <w:gridSpan w:val="2"/>
            <w:vAlign w:val="center"/>
          </w:tcPr>
          <w:p w14:paraId="55091FAB">
            <w:pPr>
              <w:pStyle w:val="11"/>
            </w:pPr>
            <w:r>
              <w:t>3月底</w:t>
            </w:r>
          </w:p>
        </w:tc>
        <w:tc>
          <w:tcPr>
            <w:tcW w:w="2835" w:type="dxa"/>
            <w:vAlign w:val="center"/>
          </w:tcPr>
          <w:p w14:paraId="0703B00E">
            <w:pPr>
              <w:pStyle w:val="11"/>
            </w:pPr>
            <w:r>
              <w:t>6月底</w:t>
            </w:r>
          </w:p>
        </w:tc>
        <w:tc>
          <w:tcPr>
            <w:tcW w:w="2551" w:type="dxa"/>
            <w:vAlign w:val="center"/>
          </w:tcPr>
          <w:p w14:paraId="06A0FAD5">
            <w:pPr>
              <w:pStyle w:val="11"/>
            </w:pPr>
            <w:r>
              <w:t>10月底</w:t>
            </w:r>
          </w:p>
        </w:tc>
        <w:tc>
          <w:tcPr>
            <w:tcW w:w="3544" w:type="dxa"/>
            <w:gridSpan w:val="2"/>
            <w:vAlign w:val="center"/>
          </w:tcPr>
          <w:p w14:paraId="4DC404F1">
            <w:pPr>
              <w:pStyle w:val="11"/>
            </w:pPr>
            <w:r>
              <w:t>12月底</w:t>
            </w:r>
          </w:p>
        </w:tc>
      </w:tr>
      <w:tr w14:paraId="2C93F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159E2"/>
        </w:tc>
        <w:tc>
          <w:tcPr>
            <w:tcW w:w="5103" w:type="dxa"/>
            <w:gridSpan w:val="2"/>
            <w:vAlign w:val="center"/>
          </w:tcPr>
          <w:p w14:paraId="3870A7DA">
            <w:pPr>
              <w:pStyle w:val="12"/>
            </w:pPr>
            <w:r>
              <w:t>25%</w:t>
            </w:r>
          </w:p>
        </w:tc>
        <w:tc>
          <w:tcPr>
            <w:tcW w:w="2835" w:type="dxa"/>
            <w:vAlign w:val="center"/>
          </w:tcPr>
          <w:p w14:paraId="16200F10">
            <w:pPr>
              <w:pStyle w:val="12"/>
            </w:pPr>
            <w:r>
              <w:t>50%</w:t>
            </w:r>
          </w:p>
        </w:tc>
        <w:tc>
          <w:tcPr>
            <w:tcW w:w="2551" w:type="dxa"/>
            <w:vAlign w:val="center"/>
          </w:tcPr>
          <w:p w14:paraId="5622945A">
            <w:pPr>
              <w:pStyle w:val="12"/>
            </w:pPr>
            <w:r>
              <w:t>75%</w:t>
            </w:r>
          </w:p>
        </w:tc>
        <w:tc>
          <w:tcPr>
            <w:tcW w:w="3544" w:type="dxa"/>
            <w:gridSpan w:val="2"/>
            <w:vAlign w:val="center"/>
          </w:tcPr>
          <w:p w14:paraId="6E2808C9">
            <w:pPr>
              <w:pStyle w:val="12"/>
            </w:pPr>
            <w:r>
              <w:t>100%</w:t>
            </w:r>
          </w:p>
        </w:tc>
      </w:tr>
      <w:tr w14:paraId="5D206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322A1">
            <w:pPr>
              <w:pStyle w:val="11"/>
            </w:pPr>
            <w:r>
              <w:t>绩效目标</w:t>
            </w:r>
          </w:p>
        </w:tc>
        <w:tc>
          <w:tcPr>
            <w:tcW w:w="14033" w:type="dxa"/>
            <w:gridSpan w:val="6"/>
            <w:vAlign w:val="center"/>
          </w:tcPr>
          <w:p w14:paraId="72FEE9A2">
            <w:pPr>
              <w:pStyle w:val="13"/>
            </w:pPr>
            <w:r>
              <w:t>1.按规定拨付公用经费资金848380元，资金拨付率达到100%。</w:t>
            </w:r>
          </w:p>
          <w:p w14:paraId="544FB429">
            <w:pPr>
              <w:pStyle w:val="13"/>
            </w:pPr>
            <w:r>
              <w:t>2.保障义务教育学校正常运转，全面贯彻党的教育方针，办人民满意的教育，高质量、高标准完成教育教学活动和其他日常工作任务等方面的费用支出。</w:t>
            </w:r>
          </w:p>
        </w:tc>
      </w:tr>
    </w:tbl>
    <w:p w14:paraId="543B89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28"/>
        <w:gridCol w:w="1916"/>
      </w:tblGrid>
      <w:tr w14:paraId="7AEAE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767E5">
            <w:pPr>
              <w:pStyle w:val="11"/>
            </w:pPr>
            <w:r>
              <w:t>一级指标</w:t>
            </w:r>
          </w:p>
        </w:tc>
        <w:tc>
          <w:tcPr>
            <w:tcW w:w="2268" w:type="dxa"/>
            <w:vAlign w:val="center"/>
          </w:tcPr>
          <w:p w14:paraId="0C2E8942">
            <w:pPr>
              <w:pStyle w:val="11"/>
            </w:pPr>
            <w:r>
              <w:t>二级指标</w:t>
            </w:r>
          </w:p>
        </w:tc>
        <w:tc>
          <w:tcPr>
            <w:tcW w:w="2835" w:type="dxa"/>
            <w:vAlign w:val="center"/>
          </w:tcPr>
          <w:p w14:paraId="79B292EC">
            <w:pPr>
              <w:pStyle w:val="11"/>
            </w:pPr>
            <w:r>
              <w:t>三级指标</w:t>
            </w:r>
          </w:p>
        </w:tc>
        <w:tc>
          <w:tcPr>
            <w:tcW w:w="5386" w:type="dxa"/>
            <w:vAlign w:val="center"/>
          </w:tcPr>
          <w:p w14:paraId="1BEAE03B">
            <w:pPr>
              <w:pStyle w:val="11"/>
            </w:pPr>
            <w:r>
              <w:t>绩效指标描述</w:t>
            </w:r>
          </w:p>
        </w:tc>
        <w:tc>
          <w:tcPr>
            <w:tcW w:w="1628" w:type="dxa"/>
            <w:vAlign w:val="center"/>
          </w:tcPr>
          <w:p w14:paraId="399F8E3C">
            <w:pPr>
              <w:pStyle w:val="11"/>
            </w:pPr>
            <w:r>
              <w:t>指标值</w:t>
            </w:r>
          </w:p>
        </w:tc>
        <w:tc>
          <w:tcPr>
            <w:tcW w:w="1916" w:type="dxa"/>
            <w:vAlign w:val="center"/>
          </w:tcPr>
          <w:p w14:paraId="037DFE16">
            <w:pPr>
              <w:pStyle w:val="11"/>
            </w:pPr>
            <w:r>
              <w:t>指标值确定依据</w:t>
            </w:r>
          </w:p>
        </w:tc>
      </w:tr>
      <w:tr w14:paraId="19732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4A06E">
            <w:pPr>
              <w:pStyle w:val="12"/>
            </w:pPr>
            <w:r>
              <w:t>产出指标</w:t>
            </w:r>
          </w:p>
        </w:tc>
        <w:tc>
          <w:tcPr>
            <w:tcW w:w="2268" w:type="dxa"/>
            <w:vAlign w:val="center"/>
          </w:tcPr>
          <w:p w14:paraId="32AADEAC">
            <w:pPr>
              <w:pStyle w:val="13"/>
            </w:pPr>
            <w:r>
              <w:t>数量指标</w:t>
            </w:r>
          </w:p>
        </w:tc>
        <w:tc>
          <w:tcPr>
            <w:tcW w:w="2835" w:type="dxa"/>
            <w:vAlign w:val="center"/>
          </w:tcPr>
          <w:p w14:paraId="7B3E614E">
            <w:pPr>
              <w:pStyle w:val="13"/>
            </w:pPr>
            <w:r>
              <w:t>适龄在校生</w:t>
            </w:r>
          </w:p>
        </w:tc>
        <w:tc>
          <w:tcPr>
            <w:tcW w:w="5386" w:type="dxa"/>
            <w:vAlign w:val="center"/>
          </w:tcPr>
          <w:p w14:paraId="3B6E2591">
            <w:pPr>
              <w:pStyle w:val="13"/>
            </w:pPr>
            <w:r>
              <w:t>适龄在校就读学生人数</w:t>
            </w:r>
          </w:p>
        </w:tc>
        <w:tc>
          <w:tcPr>
            <w:tcW w:w="1628" w:type="dxa"/>
            <w:vAlign w:val="center"/>
          </w:tcPr>
          <w:p w14:paraId="38DE6BA4">
            <w:pPr>
              <w:pStyle w:val="13"/>
            </w:pPr>
            <w:r>
              <w:t>901人</w:t>
            </w:r>
          </w:p>
        </w:tc>
        <w:tc>
          <w:tcPr>
            <w:tcW w:w="1916" w:type="dxa"/>
            <w:vAlign w:val="center"/>
          </w:tcPr>
          <w:p w14:paraId="228D2FA6">
            <w:pPr>
              <w:pStyle w:val="13"/>
            </w:pPr>
            <w:r>
              <w:t>城乡义务教育公用经费管理办法</w:t>
            </w:r>
          </w:p>
        </w:tc>
      </w:tr>
      <w:tr w14:paraId="76D3E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448B9"/>
        </w:tc>
        <w:tc>
          <w:tcPr>
            <w:tcW w:w="2268" w:type="dxa"/>
            <w:vAlign w:val="center"/>
          </w:tcPr>
          <w:p w14:paraId="0D9E53D2">
            <w:pPr>
              <w:pStyle w:val="13"/>
            </w:pPr>
            <w:r>
              <w:t>质量指标</w:t>
            </w:r>
          </w:p>
        </w:tc>
        <w:tc>
          <w:tcPr>
            <w:tcW w:w="2835" w:type="dxa"/>
            <w:vAlign w:val="center"/>
          </w:tcPr>
          <w:p w14:paraId="29A9D3E7">
            <w:pPr>
              <w:pStyle w:val="13"/>
            </w:pPr>
            <w:r>
              <w:t>预算控制率</w:t>
            </w:r>
          </w:p>
        </w:tc>
        <w:tc>
          <w:tcPr>
            <w:tcW w:w="5386" w:type="dxa"/>
            <w:vAlign w:val="center"/>
          </w:tcPr>
          <w:p w14:paraId="6FF15262">
            <w:pPr>
              <w:pStyle w:val="13"/>
            </w:pPr>
            <w:r>
              <w:t>预算执行率</w:t>
            </w:r>
          </w:p>
        </w:tc>
        <w:tc>
          <w:tcPr>
            <w:tcW w:w="1628" w:type="dxa"/>
            <w:vAlign w:val="center"/>
          </w:tcPr>
          <w:p w14:paraId="2DC46638">
            <w:pPr>
              <w:pStyle w:val="13"/>
            </w:pPr>
            <w:r>
              <w:t>≥95%</w:t>
            </w:r>
          </w:p>
        </w:tc>
        <w:tc>
          <w:tcPr>
            <w:tcW w:w="1916" w:type="dxa"/>
            <w:vAlign w:val="center"/>
          </w:tcPr>
          <w:p w14:paraId="0BBF2B9F">
            <w:pPr>
              <w:pStyle w:val="13"/>
            </w:pPr>
            <w:r>
              <w:t>城乡义务教育公用经费管理办法</w:t>
            </w:r>
          </w:p>
        </w:tc>
      </w:tr>
      <w:tr w14:paraId="1ADFE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4056A"/>
        </w:tc>
        <w:tc>
          <w:tcPr>
            <w:tcW w:w="2268" w:type="dxa"/>
            <w:vAlign w:val="center"/>
          </w:tcPr>
          <w:p w14:paraId="1449CAB7">
            <w:pPr>
              <w:pStyle w:val="13"/>
            </w:pPr>
            <w:r>
              <w:t>时效指标</w:t>
            </w:r>
          </w:p>
        </w:tc>
        <w:tc>
          <w:tcPr>
            <w:tcW w:w="2835" w:type="dxa"/>
            <w:vAlign w:val="center"/>
          </w:tcPr>
          <w:p w14:paraId="6822BA44">
            <w:pPr>
              <w:pStyle w:val="13"/>
            </w:pPr>
            <w:r>
              <w:t>资金支付率</w:t>
            </w:r>
          </w:p>
        </w:tc>
        <w:tc>
          <w:tcPr>
            <w:tcW w:w="5386" w:type="dxa"/>
            <w:vAlign w:val="center"/>
          </w:tcPr>
          <w:p w14:paraId="4E72888B">
            <w:pPr>
              <w:pStyle w:val="13"/>
            </w:pPr>
            <w:r>
              <w:t>按照序时进度完成资金支付</w:t>
            </w:r>
          </w:p>
        </w:tc>
        <w:tc>
          <w:tcPr>
            <w:tcW w:w="1628" w:type="dxa"/>
            <w:vAlign w:val="center"/>
          </w:tcPr>
          <w:p w14:paraId="0D863E21">
            <w:pPr>
              <w:pStyle w:val="13"/>
            </w:pPr>
            <w:r>
              <w:t>100%</w:t>
            </w:r>
          </w:p>
        </w:tc>
        <w:tc>
          <w:tcPr>
            <w:tcW w:w="1916" w:type="dxa"/>
            <w:vAlign w:val="center"/>
          </w:tcPr>
          <w:p w14:paraId="64C04A56">
            <w:pPr>
              <w:pStyle w:val="13"/>
            </w:pPr>
            <w:r>
              <w:t>城乡义务教育公用经费管理办法</w:t>
            </w:r>
          </w:p>
        </w:tc>
      </w:tr>
      <w:tr w14:paraId="7A237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59BA"/>
        </w:tc>
        <w:tc>
          <w:tcPr>
            <w:tcW w:w="2268" w:type="dxa"/>
            <w:vAlign w:val="center"/>
          </w:tcPr>
          <w:p w14:paraId="0D9A4746">
            <w:pPr>
              <w:pStyle w:val="13"/>
            </w:pPr>
            <w:r>
              <w:t>成本指标</w:t>
            </w:r>
          </w:p>
        </w:tc>
        <w:tc>
          <w:tcPr>
            <w:tcW w:w="2835" w:type="dxa"/>
            <w:vAlign w:val="center"/>
          </w:tcPr>
          <w:p w14:paraId="341199DC">
            <w:pPr>
              <w:pStyle w:val="13"/>
            </w:pPr>
            <w:r>
              <w:t>生均拨款标准</w:t>
            </w:r>
          </w:p>
        </w:tc>
        <w:tc>
          <w:tcPr>
            <w:tcW w:w="5386" w:type="dxa"/>
            <w:vAlign w:val="center"/>
          </w:tcPr>
          <w:p w14:paraId="2103A11E">
            <w:pPr>
              <w:pStyle w:val="13"/>
            </w:pPr>
            <w:r>
              <w:t>初中生均补助年标准</w:t>
            </w:r>
          </w:p>
        </w:tc>
        <w:tc>
          <w:tcPr>
            <w:tcW w:w="1628" w:type="dxa"/>
            <w:vAlign w:val="center"/>
          </w:tcPr>
          <w:p w14:paraId="6C193E27">
            <w:pPr>
              <w:pStyle w:val="13"/>
            </w:pPr>
            <w:r>
              <w:t>1360元</w:t>
            </w:r>
          </w:p>
        </w:tc>
        <w:tc>
          <w:tcPr>
            <w:tcW w:w="1916" w:type="dxa"/>
            <w:vAlign w:val="center"/>
          </w:tcPr>
          <w:p w14:paraId="31807212">
            <w:pPr>
              <w:pStyle w:val="13"/>
            </w:pPr>
            <w:r>
              <w:t>城乡义务教育公用经费管理办法</w:t>
            </w:r>
          </w:p>
        </w:tc>
      </w:tr>
      <w:tr w14:paraId="73289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83A39"/>
        </w:tc>
        <w:tc>
          <w:tcPr>
            <w:tcW w:w="2268" w:type="dxa"/>
            <w:vAlign w:val="center"/>
          </w:tcPr>
          <w:p w14:paraId="234B78AB">
            <w:pPr>
              <w:pStyle w:val="13"/>
            </w:pPr>
            <w:r>
              <w:t>成本指标</w:t>
            </w:r>
          </w:p>
        </w:tc>
        <w:tc>
          <w:tcPr>
            <w:tcW w:w="2835" w:type="dxa"/>
            <w:vAlign w:val="center"/>
          </w:tcPr>
          <w:p w14:paraId="572D37A9">
            <w:pPr>
              <w:pStyle w:val="13"/>
            </w:pPr>
            <w:r>
              <w:t>生均拨款标准</w:t>
            </w:r>
          </w:p>
        </w:tc>
        <w:tc>
          <w:tcPr>
            <w:tcW w:w="5386" w:type="dxa"/>
            <w:vAlign w:val="center"/>
          </w:tcPr>
          <w:p w14:paraId="714751CE">
            <w:pPr>
              <w:pStyle w:val="13"/>
            </w:pPr>
            <w:r>
              <w:t>初中生均补助年标准</w:t>
            </w:r>
          </w:p>
        </w:tc>
        <w:tc>
          <w:tcPr>
            <w:tcW w:w="1628" w:type="dxa"/>
            <w:vAlign w:val="center"/>
          </w:tcPr>
          <w:p w14:paraId="78428481">
            <w:pPr>
              <w:pStyle w:val="13"/>
            </w:pPr>
            <w:r>
              <w:t>7000元</w:t>
            </w:r>
          </w:p>
        </w:tc>
        <w:tc>
          <w:tcPr>
            <w:tcW w:w="1916" w:type="dxa"/>
            <w:vAlign w:val="center"/>
          </w:tcPr>
          <w:p w14:paraId="1C89703C">
            <w:pPr>
              <w:pStyle w:val="13"/>
            </w:pPr>
            <w:r>
              <w:t>城乡义务教育公用经费管理办法</w:t>
            </w:r>
          </w:p>
        </w:tc>
      </w:tr>
      <w:tr w14:paraId="42F12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EA9D88">
            <w:pPr>
              <w:pStyle w:val="12"/>
            </w:pPr>
            <w:r>
              <w:t>效益指标</w:t>
            </w:r>
          </w:p>
        </w:tc>
        <w:tc>
          <w:tcPr>
            <w:tcW w:w="2268" w:type="dxa"/>
            <w:vAlign w:val="center"/>
          </w:tcPr>
          <w:p w14:paraId="7057F0FE">
            <w:pPr>
              <w:pStyle w:val="13"/>
            </w:pPr>
            <w:r>
              <w:t>社会效益指标</w:t>
            </w:r>
          </w:p>
        </w:tc>
        <w:tc>
          <w:tcPr>
            <w:tcW w:w="2835" w:type="dxa"/>
            <w:vAlign w:val="center"/>
          </w:tcPr>
          <w:p w14:paraId="000B4681">
            <w:pPr>
              <w:pStyle w:val="13"/>
            </w:pPr>
            <w:r>
              <w:t>学校日常运转正常</w:t>
            </w:r>
          </w:p>
        </w:tc>
        <w:tc>
          <w:tcPr>
            <w:tcW w:w="5386" w:type="dxa"/>
            <w:vAlign w:val="center"/>
          </w:tcPr>
          <w:p w14:paraId="65D01CFA">
            <w:pPr>
              <w:pStyle w:val="13"/>
            </w:pPr>
            <w:r>
              <w:t>学生受教育年限</w:t>
            </w:r>
          </w:p>
        </w:tc>
        <w:tc>
          <w:tcPr>
            <w:tcW w:w="1628" w:type="dxa"/>
            <w:vAlign w:val="center"/>
          </w:tcPr>
          <w:p w14:paraId="6E592CE8">
            <w:pPr>
              <w:pStyle w:val="13"/>
            </w:pPr>
            <w:r>
              <w:t>3年</w:t>
            </w:r>
          </w:p>
        </w:tc>
        <w:tc>
          <w:tcPr>
            <w:tcW w:w="1916" w:type="dxa"/>
            <w:vAlign w:val="center"/>
          </w:tcPr>
          <w:p w14:paraId="0F97F978">
            <w:pPr>
              <w:pStyle w:val="13"/>
            </w:pPr>
            <w:r>
              <w:t>城乡义务教育公用经费管理办法</w:t>
            </w:r>
          </w:p>
        </w:tc>
      </w:tr>
      <w:tr w14:paraId="0ED85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7AE48">
            <w:pPr>
              <w:pStyle w:val="12"/>
            </w:pPr>
            <w:r>
              <w:t>满意度指标</w:t>
            </w:r>
          </w:p>
        </w:tc>
        <w:tc>
          <w:tcPr>
            <w:tcW w:w="2268" w:type="dxa"/>
            <w:vAlign w:val="center"/>
          </w:tcPr>
          <w:p w14:paraId="5154325A">
            <w:pPr>
              <w:pStyle w:val="13"/>
            </w:pPr>
            <w:r>
              <w:t>服务对象满意度指标</w:t>
            </w:r>
          </w:p>
        </w:tc>
        <w:tc>
          <w:tcPr>
            <w:tcW w:w="2835" w:type="dxa"/>
            <w:vAlign w:val="center"/>
          </w:tcPr>
          <w:p w14:paraId="3A52A173">
            <w:pPr>
              <w:pStyle w:val="13"/>
            </w:pPr>
            <w:r>
              <w:t>受益学生家长及调查满意度</w:t>
            </w:r>
          </w:p>
        </w:tc>
        <w:tc>
          <w:tcPr>
            <w:tcW w:w="5386" w:type="dxa"/>
            <w:vAlign w:val="center"/>
          </w:tcPr>
          <w:p w14:paraId="7D5A67A9">
            <w:pPr>
              <w:pStyle w:val="13"/>
            </w:pPr>
            <w:r>
              <w:t>学生、教师及家长对学校教育教学工作满意度情况</w:t>
            </w:r>
          </w:p>
        </w:tc>
        <w:tc>
          <w:tcPr>
            <w:tcW w:w="1628" w:type="dxa"/>
            <w:vAlign w:val="center"/>
          </w:tcPr>
          <w:p w14:paraId="3A856D45">
            <w:pPr>
              <w:pStyle w:val="13"/>
            </w:pPr>
            <w:r>
              <w:t>≥95%</w:t>
            </w:r>
          </w:p>
        </w:tc>
        <w:tc>
          <w:tcPr>
            <w:tcW w:w="1916" w:type="dxa"/>
            <w:vAlign w:val="center"/>
          </w:tcPr>
          <w:p w14:paraId="2B21786E">
            <w:pPr>
              <w:pStyle w:val="13"/>
            </w:pPr>
            <w:r>
              <w:t>城乡义务教育公用经费管理办法</w:t>
            </w:r>
          </w:p>
        </w:tc>
      </w:tr>
    </w:tbl>
    <w:p w14:paraId="30743577">
      <w:pPr>
        <w:sectPr>
          <w:pgSz w:w="16840" w:h="11900" w:orient="landscape"/>
          <w:pgMar w:top="1361" w:right="1020" w:bottom="1134" w:left="1020" w:header="720" w:footer="720" w:gutter="0"/>
          <w:cols w:space="720" w:num="1"/>
        </w:sectPr>
      </w:pPr>
    </w:p>
    <w:p w14:paraId="4897A3E7">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2、冀财教[2024]123号/中央/2025年义教补助经费/校舍安全保障/北楼中学厕所改造绩效目标表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D5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D3BF8">
            <w:pPr>
              <w:pStyle w:val="14"/>
            </w:pPr>
            <w:r>
              <w:t>单位：万元</w:t>
            </w:r>
          </w:p>
        </w:tc>
      </w:tr>
      <w:tr w14:paraId="2E7BC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FF0D7A">
            <w:pPr>
              <w:pStyle w:val="11"/>
            </w:pPr>
            <w:r>
              <w:t>项目编码</w:t>
            </w:r>
          </w:p>
        </w:tc>
        <w:tc>
          <w:tcPr>
            <w:tcW w:w="5103" w:type="dxa"/>
            <w:gridSpan w:val="2"/>
            <w:vAlign w:val="center"/>
          </w:tcPr>
          <w:p w14:paraId="31ACEAB1">
            <w:pPr>
              <w:pStyle w:val="13"/>
            </w:pPr>
            <w:r>
              <w:t>13052525P00876210006G</w:t>
            </w:r>
          </w:p>
        </w:tc>
        <w:tc>
          <w:tcPr>
            <w:tcW w:w="2835" w:type="dxa"/>
            <w:vAlign w:val="center"/>
          </w:tcPr>
          <w:p w14:paraId="68AF094A">
            <w:pPr>
              <w:pStyle w:val="11"/>
            </w:pPr>
            <w:r>
              <w:t>项目名称</w:t>
            </w:r>
          </w:p>
        </w:tc>
        <w:tc>
          <w:tcPr>
            <w:tcW w:w="6095" w:type="dxa"/>
            <w:gridSpan w:val="3"/>
            <w:vAlign w:val="center"/>
          </w:tcPr>
          <w:p w14:paraId="16C667FB">
            <w:pPr>
              <w:pStyle w:val="13"/>
            </w:pPr>
            <w:r>
              <w:t>冀财教[2024]123号/中央/2025年义教补助经费/校舍安全保障/北楼中学厕所改造</w:t>
            </w:r>
          </w:p>
        </w:tc>
      </w:tr>
      <w:tr w14:paraId="7143D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BB9E6">
            <w:pPr>
              <w:pStyle w:val="11"/>
            </w:pPr>
            <w:r>
              <w:t>预算规模及资金用途</w:t>
            </w:r>
          </w:p>
        </w:tc>
        <w:tc>
          <w:tcPr>
            <w:tcW w:w="2268" w:type="dxa"/>
            <w:vAlign w:val="center"/>
          </w:tcPr>
          <w:p w14:paraId="265147BD">
            <w:pPr>
              <w:pStyle w:val="11"/>
            </w:pPr>
            <w:r>
              <w:t>预算数</w:t>
            </w:r>
          </w:p>
        </w:tc>
        <w:tc>
          <w:tcPr>
            <w:tcW w:w="2835" w:type="dxa"/>
            <w:vAlign w:val="center"/>
          </w:tcPr>
          <w:p w14:paraId="68E20432">
            <w:pPr>
              <w:pStyle w:val="13"/>
            </w:pPr>
            <w:r>
              <w:t>32.00</w:t>
            </w:r>
          </w:p>
        </w:tc>
        <w:tc>
          <w:tcPr>
            <w:tcW w:w="2835" w:type="dxa"/>
            <w:vAlign w:val="center"/>
          </w:tcPr>
          <w:p w14:paraId="4B7B2DDE">
            <w:pPr>
              <w:pStyle w:val="11"/>
            </w:pPr>
            <w:r>
              <w:t>其中：财政    资金</w:t>
            </w:r>
          </w:p>
        </w:tc>
        <w:tc>
          <w:tcPr>
            <w:tcW w:w="2551" w:type="dxa"/>
            <w:vAlign w:val="center"/>
          </w:tcPr>
          <w:p w14:paraId="6C9369A1">
            <w:pPr>
              <w:pStyle w:val="13"/>
            </w:pPr>
            <w:r>
              <w:t>32.00</w:t>
            </w:r>
          </w:p>
        </w:tc>
        <w:tc>
          <w:tcPr>
            <w:tcW w:w="2268" w:type="dxa"/>
            <w:vAlign w:val="center"/>
          </w:tcPr>
          <w:p w14:paraId="26E572D8">
            <w:pPr>
              <w:pStyle w:val="11"/>
            </w:pPr>
            <w:r>
              <w:t>其他资金</w:t>
            </w:r>
          </w:p>
        </w:tc>
        <w:tc>
          <w:tcPr>
            <w:tcW w:w="1276" w:type="dxa"/>
            <w:vAlign w:val="center"/>
          </w:tcPr>
          <w:p w14:paraId="0FF5565D">
            <w:pPr>
              <w:pStyle w:val="13"/>
            </w:pPr>
            <w:r>
              <w:t xml:space="preserve"> </w:t>
            </w:r>
          </w:p>
        </w:tc>
      </w:tr>
      <w:tr w14:paraId="65BF0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F7982"/>
        </w:tc>
        <w:tc>
          <w:tcPr>
            <w:tcW w:w="14033" w:type="dxa"/>
            <w:gridSpan w:val="6"/>
            <w:vAlign w:val="center"/>
          </w:tcPr>
          <w:p w14:paraId="3305A9F2">
            <w:pPr>
              <w:pStyle w:val="13"/>
            </w:pPr>
            <w:r>
              <w:t>改善就学条件，提升学校形象，保障义务教育阶段教学安全，改善师生教学环境，创造良好的校园环境。</w:t>
            </w:r>
          </w:p>
        </w:tc>
      </w:tr>
      <w:tr w14:paraId="5D0C6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FC618">
            <w:pPr>
              <w:pStyle w:val="11"/>
            </w:pPr>
            <w:r>
              <w:t>资金支出计划（%）</w:t>
            </w:r>
          </w:p>
        </w:tc>
        <w:tc>
          <w:tcPr>
            <w:tcW w:w="5103" w:type="dxa"/>
            <w:gridSpan w:val="2"/>
            <w:vAlign w:val="center"/>
          </w:tcPr>
          <w:p w14:paraId="4544F677">
            <w:pPr>
              <w:pStyle w:val="11"/>
            </w:pPr>
            <w:r>
              <w:t>3月底</w:t>
            </w:r>
          </w:p>
        </w:tc>
        <w:tc>
          <w:tcPr>
            <w:tcW w:w="2835" w:type="dxa"/>
            <w:vAlign w:val="center"/>
          </w:tcPr>
          <w:p w14:paraId="557E33EB">
            <w:pPr>
              <w:pStyle w:val="11"/>
            </w:pPr>
            <w:r>
              <w:t>6月底</w:t>
            </w:r>
          </w:p>
        </w:tc>
        <w:tc>
          <w:tcPr>
            <w:tcW w:w="2551" w:type="dxa"/>
            <w:vAlign w:val="center"/>
          </w:tcPr>
          <w:p w14:paraId="57902B61">
            <w:pPr>
              <w:pStyle w:val="11"/>
            </w:pPr>
            <w:r>
              <w:t>10月底</w:t>
            </w:r>
          </w:p>
        </w:tc>
        <w:tc>
          <w:tcPr>
            <w:tcW w:w="3544" w:type="dxa"/>
            <w:gridSpan w:val="2"/>
            <w:vAlign w:val="center"/>
          </w:tcPr>
          <w:p w14:paraId="6B7BDF5C">
            <w:pPr>
              <w:pStyle w:val="11"/>
            </w:pPr>
            <w:r>
              <w:t>12月底</w:t>
            </w:r>
          </w:p>
        </w:tc>
      </w:tr>
      <w:tr w14:paraId="30CBA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D555C"/>
        </w:tc>
        <w:tc>
          <w:tcPr>
            <w:tcW w:w="5103" w:type="dxa"/>
            <w:gridSpan w:val="2"/>
            <w:vAlign w:val="center"/>
          </w:tcPr>
          <w:p w14:paraId="1A60DFD6">
            <w:pPr>
              <w:pStyle w:val="12"/>
            </w:pPr>
            <w:r>
              <w:t xml:space="preserve"> </w:t>
            </w:r>
          </w:p>
        </w:tc>
        <w:tc>
          <w:tcPr>
            <w:tcW w:w="2835" w:type="dxa"/>
            <w:vAlign w:val="center"/>
          </w:tcPr>
          <w:p w14:paraId="541C5F8F">
            <w:pPr>
              <w:pStyle w:val="12"/>
            </w:pPr>
            <w:r>
              <w:t xml:space="preserve"> </w:t>
            </w:r>
          </w:p>
        </w:tc>
        <w:tc>
          <w:tcPr>
            <w:tcW w:w="2551" w:type="dxa"/>
            <w:vAlign w:val="center"/>
          </w:tcPr>
          <w:p w14:paraId="2C796BEA">
            <w:pPr>
              <w:pStyle w:val="12"/>
            </w:pPr>
            <w:r>
              <w:t>100%</w:t>
            </w:r>
          </w:p>
        </w:tc>
        <w:tc>
          <w:tcPr>
            <w:tcW w:w="3544" w:type="dxa"/>
            <w:gridSpan w:val="2"/>
            <w:vAlign w:val="center"/>
          </w:tcPr>
          <w:p w14:paraId="285F62A2">
            <w:pPr>
              <w:pStyle w:val="12"/>
            </w:pPr>
            <w:r>
              <w:t>100%</w:t>
            </w:r>
          </w:p>
        </w:tc>
      </w:tr>
      <w:tr w14:paraId="3EB10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5C8FB7">
            <w:pPr>
              <w:pStyle w:val="11"/>
            </w:pPr>
            <w:r>
              <w:t>绩效目标</w:t>
            </w:r>
          </w:p>
        </w:tc>
        <w:tc>
          <w:tcPr>
            <w:tcW w:w="14033" w:type="dxa"/>
            <w:gridSpan w:val="6"/>
            <w:vAlign w:val="center"/>
          </w:tcPr>
          <w:p w14:paraId="2377139F">
            <w:pPr>
              <w:pStyle w:val="13"/>
            </w:pPr>
            <w:r>
              <w:t>1.改善就学条件，提升学校形象，保障义务教育阶段教学安全，改善师生教学环境，创造良好的校园环境。</w:t>
            </w:r>
            <w:r>
              <w:tab/>
            </w:r>
            <w:r>
              <w:tab/>
            </w:r>
            <w:r>
              <w:tab/>
            </w:r>
          </w:p>
          <w:p w14:paraId="3FB33631">
            <w:pPr>
              <w:pStyle w:val="13"/>
            </w:pPr>
          </w:p>
          <w:p w14:paraId="75C0D70C">
            <w:pPr>
              <w:pStyle w:val="13"/>
            </w:pPr>
            <w:r>
              <w:t>2.项目需资金32万元，资金拨付率达到100%。</w:t>
            </w:r>
          </w:p>
        </w:tc>
      </w:tr>
    </w:tbl>
    <w:p w14:paraId="446A2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B7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B0F55">
            <w:pPr>
              <w:pStyle w:val="11"/>
            </w:pPr>
            <w:r>
              <w:t>一级指标</w:t>
            </w:r>
          </w:p>
        </w:tc>
        <w:tc>
          <w:tcPr>
            <w:tcW w:w="2268" w:type="dxa"/>
            <w:vAlign w:val="center"/>
          </w:tcPr>
          <w:p w14:paraId="29A128D1">
            <w:pPr>
              <w:pStyle w:val="11"/>
            </w:pPr>
            <w:r>
              <w:t>二级指标</w:t>
            </w:r>
          </w:p>
        </w:tc>
        <w:tc>
          <w:tcPr>
            <w:tcW w:w="2835" w:type="dxa"/>
            <w:vAlign w:val="center"/>
          </w:tcPr>
          <w:p w14:paraId="4A62F24D">
            <w:pPr>
              <w:pStyle w:val="11"/>
            </w:pPr>
            <w:r>
              <w:t>三级指标</w:t>
            </w:r>
          </w:p>
        </w:tc>
        <w:tc>
          <w:tcPr>
            <w:tcW w:w="5386" w:type="dxa"/>
            <w:vAlign w:val="center"/>
          </w:tcPr>
          <w:p w14:paraId="00F67D91">
            <w:pPr>
              <w:pStyle w:val="11"/>
            </w:pPr>
            <w:r>
              <w:t>绩效指标描述</w:t>
            </w:r>
          </w:p>
        </w:tc>
        <w:tc>
          <w:tcPr>
            <w:tcW w:w="2268" w:type="dxa"/>
            <w:vAlign w:val="center"/>
          </w:tcPr>
          <w:p w14:paraId="70544506">
            <w:pPr>
              <w:pStyle w:val="11"/>
            </w:pPr>
            <w:r>
              <w:t>指标值</w:t>
            </w:r>
          </w:p>
        </w:tc>
        <w:tc>
          <w:tcPr>
            <w:tcW w:w="1276" w:type="dxa"/>
            <w:vAlign w:val="center"/>
          </w:tcPr>
          <w:p w14:paraId="4B602690">
            <w:pPr>
              <w:pStyle w:val="11"/>
            </w:pPr>
            <w:r>
              <w:t>指标值确定依据</w:t>
            </w:r>
          </w:p>
        </w:tc>
      </w:tr>
      <w:tr w14:paraId="7EC81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4496B">
            <w:pPr>
              <w:pStyle w:val="12"/>
            </w:pPr>
            <w:r>
              <w:t>产出指标</w:t>
            </w:r>
          </w:p>
        </w:tc>
        <w:tc>
          <w:tcPr>
            <w:tcW w:w="2268" w:type="dxa"/>
            <w:vAlign w:val="center"/>
          </w:tcPr>
          <w:p w14:paraId="1B8567DB">
            <w:pPr>
              <w:pStyle w:val="13"/>
            </w:pPr>
            <w:r>
              <w:t>数量指标</w:t>
            </w:r>
          </w:p>
        </w:tc>
        <w:tc>
          <w:tcPr>
            <w:tcW w:w="2835" w:type="dxa"/>
            <w:vAlign w:val="center"/>
          </w:tcPr>
          <w:p w14:paraId="38DD8C8F">
            <w:pPr>
              <w:pStyle w:val="13"/>
            </w:pPr>
            <w:r>
              <w:t>改造厕所数量</w:t>
            </w:r>
          </w:p>
        </w:tc>
        <w:tc>
          <w:tcPr>
            <w:tcW w:w="5386" w:type="dxa"/>
            <w:vAlign w:val="center"/>
          </w:tcPr>
          <w:p w14:paraId="3AD0EDE4">
            <w:pPr>
              <w:pStyle w:val="13"/>
            </w:pPr>
            <w:r>
              <w:t>改造厕所数量</w:t>
            </w:r>
          </w:p>
        </w:tc>
        <w:tc>
          <w:tcPr>
            <w:tcW w:w="2268" w:type="dxa"/>
            <w:vAlign w:val="center"/>
          </w:tcPr>
          <w:p w14:paraId="47EEDA48">
            <w:pPr>
              <w:pStyle w:val="13"/>
            </w:pPr>
            <w:r>
              <w:t>1座</w:t>
            </w:r>
          </w:p>
        </w:tc>
        <w:tc>
          <w:tcPr>
            <w:tcW w:w="1276" w:type="dxa"/>
            <w:vAlign w:val="center"/>
          </w:tcPr>
          <w:p w14:paraId="7DDE1091">
            <w:pPr>
              <w:pStyle w:val="13"/>
            </w:pPr>
            <w:r>
              <w:t>城乡义务教育公共经费</w:t>
            </w:r>
          </w:p>
        </w:tc>
      </w:tr>
      <w:tr w14:paraId="76A9F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5841D71C"/>
        </w:tc>
        <w:tc>
          <w:tcPr>
            <w:tcW w:w="2268" w:type="dxa"/>
            <w:vAlign w:val="center"/>
          </w:tcPr>
          <w:p w14:paraId="2B919A46">
            <w:pPr>
              <w:pStyle w:val="13"/>
            </w:pPr>
            <w:r>
              <w:t>质量指标</w:t>
            </w:r>
          </w:p>
        </w:tc>
        <w:tc>
          <w:tcPr>
            <w:tcW w:w="2835" w:type="dxa"/>
            <w:vAlign w:val="center"/>
          </w:tcPr>
          <w:p w14:paraId="4C622432">
            <w:pPr>
              <w:pStyle w:val="13"/>
            </w:pPr>
            <w:r>
              <w:t>工程实施验收合格率</w:t>
            </w:r>
          </w:p>
        </w:tc>
        <w:tc>
          <w:tcPr>
            <w:tcW w:w="5386" w:type="dxa"/>
            <w:vAlign w:val="center"/>
          </w:tcPr>
          <w:p w14:paraId="6C0D338F">
            <w:pPr>
              <w:pStyle w:val="13"/>
            </w:pPr>
            <w:r>
              <w:t>申报程序的合规，项目实施及资金使用符合项目规划</w:t>
            </w:r>
          </w:p>
        </w:tc>
        <w:tc>
          <w:tcPr>
            <w:tcW w:w="2268" w:type="dxa"/>
            <w:vAlign w:val="center"/>
          </w:tcPr>
          <w:p w14:paraId="07227815">
            <w:pPr>
              <w:pStyle w:val="13"/>
            </w:pPr>
            <w:r>
              <w:t>100%</w:t>
            </w:r>
          </w:p>
        </w:tc>
        <w:tc>
          <w:tcPr>
            <w:tcW w:w="1276" w:type="dxa"/>
            <w:vAlign w:val="center"/>
          </w:tcPr>
          <w:p w14:paraId="5EEBC7DF">
            <w:pPr>
              <w:pStyle w:val="13"/>
            </w:pPr>
            <w:r>
              <w:t>城乡义务教育公共经费</w:t>
            </w:r>
          </w:p>
        </w:tc>
      </w:tr>
      <w:tr w14:paraId="635F5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EC71"/>
        </w:tc>
        <w:tc>
          <w:tcPr>
            <w:tcW w:w="2268" w:type="dxa"/>
            <w:vAlign w:val="center"/>
          </w:tcPr>
          <w:p w14:paraId="3489C7AF">
            <w:pPr>
              <w:pStyle w:val="13"/>
            </w:pPr>
            <w:r>
              <w:t>时效指标</w:t>
            </w:r>
          </w:p>
        </w:tc>
        <w:tc>
          <w:tcPr>
            <w:tcW w:w="2835" w:type="dxa"/>
            <w:vAlign w:val="center"/>
          </w:tcPr>
          <w:p w14:paraId="744455C4">
            <w:pPr>
              <w:pStyle w:val="13"/>
            </w:pPr>
            <w:r>
              <w:t>资金支付率</w:t>
            </w:r>
          </w:p>
        </w:tc>
        <w:tc>
          <w:tcPr>
            <w:tcW w:w="5386" w:type="dxa"/>
            <w:vAlign w:val="center"/>
          </w:tcPr>
          <w:p w14:paraId="23891D19">
            <w:pPr>
              <w:pStyle w:val="13"/>
            </w:pPr>
            <w:r>
              <w:t>按照序时进度完成资金支付</w:t>
            </w:r>
          </w:p>
        </w:tc>
        <w:tc>
          <w:tcPr>
            <w:tcW w:w="2268" w:type="dxa"/>
            <w:vAlign w:val="center"/>
          </w:tcPr>
          <w:p w14:paraId="60F73506">
            <w:pPr>
              <w:pStyle w:val="13"/>
            </w:pPr>
            <w:r>
              <w:t>100%</w:t>
            </w:r>
          </w:p>
        </w:tc>
        <w:tc>
          <w:tcPr>
            <w:tcW w:w="1276" w:type="dxa"/>
            <w:vAlign w:val="center"/>
          </w:tcPr>
          <w:p w14:paraId="59341FBD">
            <w:pPr>
              <w:pStyle w:val="13"/>
            </w:pPr>
            <w:r>
              <w:t>城乡义务教育公共经费</w:t>
            </w:r>
          </w:p>
        </w:tc>
      </w:tr>
      <w:tr w14:paraId="25F14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FEF47"/>
        </w:tc>
        <w:tc>
          <w:tcPr>
            <w:tcW w:w="2268" w:type="dxa"/>
            <w:vAlign w:val="center"/>
          </w:tcPr>
          <w:p w14:paraId="52325C66">
            <w:pPr>
              <w:pStyle w:val="13"/>
            </w:pPr>
            <w:r>
              <w:t>成本指标</w:t>
            </w:r>
          </w:p>
        </w:tc>
        <w:tc>
          <w:tcPr>
            <w:tcW w:w="2835" w:type="dxa"/>
            <w:vAlign w:val="center"/>
          </w:tcPr>
          <w:p w14:paraId="28492CA9">
            <w:pPr>
              <w:pStyle w:val="13"/>
            </w:pPr>
            <w:r>
              <w:t>项目成本控制情况</w:t>
            </w:r>
          </w:p>
        </w:tc>
        <w:tc>
          <w:tcPr>
            <w:tcW w:w="5386" w:type="dxa"/>
            <w:vAlign w:val="center"/>
          </w:tcPr>
          <w:p w14:paraId="39D2F491">
            <w:pPr>
              <w:pStyle w:val="13"/>
            </w:pPr>
            <w:r>
              <w:t>严格按照招标价格及审计额进行</w:t>
            </w:r>
          </w:p>
        </w:tc>
        <w:tc>
          <w:tcPr>
            <w:tcW w:w="2268" w:type="dxa"/>
            <w:vAlign w:val="center"/>
          </w:tcPr>
          <w:p w14:paraId="16D478C8">
            <w:pPr>
              <w:pStyle w:val="13"/>
            </w:pPr>
            <w:r>
              <w:t>≤32万元</w:t>
            </w:r>
          </w:p>
        </w:tc>
        <w:tc>
          <w:tcPr>
            <w:tcW w:w="1276" w:type="dxa"/>
            <w:vAlign w:val="center"/>
          </w:tcPr>
          <w:p w14:paraId="10FDCC8D">
            <w:pPr>
              <w:pStyle w:val="13"/>
            </w:pPr>
            <w:r>
              <w:t>城乡义务教育公共经费</w:t>
            </w:r>
          </w:p>
        </w:tc>
      </w:tr>
      <w:tr w14:paraId="71F93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9EAE3A">
            <w:pPr>
              <w:pStyle w:val="12"/>
            </w:pPr>
            <w:r>
              <w:t>效益指标</w:t>
            </w:r>
          </w:p>
        </w:tc>
        <w:tc>
          <w:tcPr>
            <w:tcW w:w="2268" w:type="dxa"/>
            <w:vAlign w:val="center"/>
          </w:tcPr>
          <w:p w14:paraId="622FAD6F">
            <w:pPr>
              <w:pStyle w:val="13"/>
            </w:pPr>
            <w:r>
              <w:t>可持续影响指标</w:t>
            </w:r>
          </w:p>
        </w:tc>
        <w:tc>
          <w:tcPr>
            <w:tcW w:w="2835" w:type="dxa"/>
            <w:vAlign w:val="center"/>
          </w:tcPr>
          <w:p w14:paraId="0E42BE97">
            <w:pPr>
              <w:pStyle w:val="13"/>
            </w:pPr>
            <w:r>
              <w:t>学校运转得到提高</w:t>
            </w:r>
          </w:p>
        </w:tc>
        <w:tc>
          <w:tcPr>
            <w:tcW w:w="5386" w:type="dxa"/>
            <w:vAlign w:val="center"/>
          </w:tcPr>
          <w:p w14:paraId="784AAE7D">
            <w:pPr>
              <w:pStyle w:val="13"/>
            </w:pPr>
            <w:r>
              <w:t>学生受教育年限</w:t>
            </w:r>
          </w:p>
        </w:tc>
        <w:tc>
          <w:tcPr>
            <w:tcW w:w="2268" w:type="dxa"/>
            <w:vAlign w:val="center"/>
          </w:tcPr>
          <w:p w14:paraId="3525D771">
            <w:pPr>
              <w:pStyle w:val="13"/>
            </w:pPr>
            <w:r>
              <w:t>3年</w:t>
            </w:r>
          </w:p>
        </w:tc>
        <w:tc>
          <w:tcPr>
            <w:tcW w:w="1276" w:type="dxa"/>
            <w:vAlign w:val="center"/>
          </w:tcPr>
          <w:p w14:paraId="1FDDCD2B">
            <w:pPr>
              <w:pStyle w:val="13"/>
            </w:pPr>
            <w:r>
              <w:t>城乡义务教育公共经费</w:t>
            </w:r>
          </w:p>
        </w:tc>
      </w:tr>
      <w:tr w14:paraId="43123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5210D">
            <w:pPr>
              <w:pStyle w:val="12"/>
            </w:pPr>
            <w:r>
              <w:t>满意度指标</w:t>
            </w:r>
          </w:p>
        </w:tc>
        <w:tc>
          <w:tcPr>
            <w:tcW w:w="2268" w:type="dxa"/>
            <w:vAlign w:val="center"/>
          </w:tcPr>
          <w:p w14:paraId="3CF3D8BD">
            <w:pPr>
              <w:pStyle w:val="13"/>
            </w:pPr>
            <w:r>
              <w:t>服务对象满意度指标</w:t>
            </w:r>
          </w:p>
        </w:tc>
        <w:tc>
          <w:tcPr>
            <w:tcW w:w="2835" w:type="dxa"/>
            <w:vAlign w:val="center"/>
          </w:tcPr>
          <w:p w14:paraId="0D9C04C2">
            <w:pPr>
              <w:pStyle w:val="13"/>
            </w:pPr>
            <w:r>
              <w:t>受益学生家长及调查满意度</w:t>
            </w:r>
          </w:p>
        </w:tc>
        <w:tc>
          <w:tcPr>
            <w:tcW w:w="5386" w:type="dxa"/>
            <w:vAlign w:val="center"/>
          </w:tcPr>
          <w:p w14:paraId="4A3DEA84">
            <w:pPr>
              <w:pStyle w:val="13"/>
            </w:pPr>
            <w:r>
              <w:t>学生、教师及家长对学校教学环境满意度情况</w:t>
            </w:r>
          </w:p>
        </w:tc>
        <w:tc>
          <w:tcPr>
            <w:tcW w:w="2268" w:type="dxa"/>
            <w:vAlign w:val="center"/>
          </w:tcPr>
          <w:p w14:paraId="3A66C097">
            <w:pPr>
              <w:pStyle w:val="13"/>
            </w:pPr>
            <w:r>
              <w:t>≥98%</w:t>
            </w:r>
          </w:p>
        </w:tc>
        <w:tc>
          <w:tcPr>
            <w:tcW w:w="1276" w:type="dxa"/>
            <w:vAlign w:val="center"/>
          </w:tcPr>
          <w:p w14:paraId="51E840A3">
            <w:pPr>
              <w:pStyle w:val="13"/>
            </w:pPr>
            <w:r>
              <w:t>问卷调查</w:t>
            </w:r>
          </w:p>
        </w:tc>
      </w:tr>
    </w:tbl>
    <w:p w14:paraId="34D5957D">
      <w:pPr>
        <w:sectPr>
          <w:pgSz w:w="16840" w:h="11900" w:orient="landscape"/>
          <w:pgMar w:top="1361" w:right="1020" w:bottom="1134" w:left="1020" w:header="720" w:footer="720" w:gutter="0"/>
          <w:cols w:space="720" w:num="1"/>
        </w:sectPr>
      </w:pPr>
    </w:p>
    <w:p w14:paraId="3561B23F">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3、冀财教[2024]123号/中央/2025年义教补助经费/校舍安全保障/北楼中学校舍维修改造绩效目标表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3C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E5AA2">
            <w:pPr>
              <w:pStyle w:val="14"/>
            </w:pPr>
            <w:r>
              <w:t>单位：万元</w:t>
            </w:r>
          </w:p>
        </w:tc>
      </w:tr>
      <w:tr w14:paraId="75157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ACFA0C">
            <w:pPr>
              <w:pStyle w:val="11"/>
            </w:pPr>
            <w:r>
              <w:t>项目编码</w:t>
            </w:r>
          </w:p>
        </w:tc>
        <w:tc>
          <w:tcPr>
            <w:tcW w:w="5103" w:type="dxa"/>
            <w:gridSpan w:val="2"/>
            <w:vAlign w:val="center"/>
          </w:tcPr>
          <w:p w14:paraId="5D6F34CC">
            <w:pPr>
              <w:pStyle w:val="13"/>
            </w:pPr>
            <w:r>
              <w:t>13052525P008762100074</w:t>
            </w:r>
          </w:p>
        </w:tc>
        <w:tc>
          <w:tcPr>
            <w:tcW w:w="2835" w:type="dxa"/>
            <w:vAlign w:val="center"/>
          </w:tcPr>
          <w:p w14:paraId="3A2C5F81">
            <w:pPr>
              <w:pStyle w:val="11"/>
            </w:pPr>
            <w:r>
              <w:t>项目名称</w:t>
            </w:r>
          </w:p>
        </w:tc>
        <w:tc>
          <w:tcPr>
            <w:tcW w:w="6095" w:type="dxa"/>
            <w:gridSpan w:val="3"/>
            <w:vAlign w:val="center"/>
          </w:tcPr>
          <w:p w14:paraId="02A40A75">
            <w:pPr>
              <w:pStyle w:val="13"/>
            </w:pPr>
            <w:r>
              <w:t>冀财教[2024]123号/中央/2025年义教补助经费/校舍安全保障/北楼中学校舍维修改造</w:t>
            </w:r>
          </w:p>
        </w:tc>
      </w:tr>
      <w:tr w14:paraId="6E473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665B8">
            <w:pPr>
              <w:pStyle w:val="11"/>
            </w:pPr>
            <w:r>
              <w:t>预算规模及资金用途</w:t>
            </w:r>
          </w:p>
        </w:tc>
        <w:tc>
          <w:tcPr>
            <w:tcW w:w="2268" w:type="dxa"/>
            <w:vAlign w:val="center"/>
          </w:tcPr>
          <w:p w14:paraId="6FA1DB2C">
            <w:pPr>
              <w:pStyle w:val="11"/>
            </w:pPr>
            <w:r>
              <w:t>预算数</w:t>
            </w:r>
          </w:p>
        </w:tc>
        <w:tc>
          <w:tcPr>
            <w:tcW w:w="2835" w:type="dxa"/>
            <w:vAlign w:val="center"/>
          </w:tcPr>
          <w:p w14:paraId="0843184D">
            <w:pPr>
              <w:pStyle w:val="13"/>
            </w:pPr>
            <w:r>
              <w:t>18.87</w:t>
            </w:r>
          </w:p>
        </w:tc>
        <w:tc>
          <w:tcPr>
            <w:tcW w:w="2835" w:type="dxa"/>
            <w:vAlign w:val="center"/>
          </w:tcPr>
          <w:p w14:paraId="4EAED101">
            <w:pPr>
              <w:pStyle w:val="11"/>
            </w:pPr>
            <w:r>
              <w:t>其中：财政    资金</w:t>
            </w:r>
          </w:p>
        </w:tc>
        <w:tc>
          <w:tcPr>
            <w:tcW w:w="2551" w:type="dxa"/>
            <w:vAlign w:val="center"/>
          </w:tcPr>
          <w:p w14:paraId="30411F26">
            <w:pPr>
              <w:pStyle w:val="13"/>
            </w:pPr>
            <w:r>
              <w:t>18.87</w:t>
            </w:r>
          </w:p>
        </w:tc>
        <w:tc>
          <w:tcPr>
            <w:tcW w:w="2268" w:type="dxa"/>
            <w:vAlign w:val="center"/>
          </w:tcPr>
          <w:p w14:paraId="311BE1FC">
            <w:pPr>
              <w:pStyle w:val="11"/>
            </w:pPr>
            <w:r>
              <w:t>其他资金</w:t>
            </w:r>
          </w:p>
        </w:tc>
        <w:tc>
          <w:tcPr>
            <w:tcW w:w="1276" w:type="dxa"/>
            <w:vAlign w:val="center"/>
          </w:tcPr>
          <w:p w14:paraId="1263A364">
            <w:pPr>
              <w:pStyle w:val="13"/>
            </w:pPr>
            <w:r>
              <w:t xml:space="preserve"> </w:t>
            </w:r>
          </w:p>
        </w:tc>
      </w:tr>
      <w:tr w14:paraId="0C1ED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4D110D"/>
        </w:tc>
        <w:tc>
          <w:tcPr>
            <w:tcW w:w="14033" w:type="dxa"/>
            <w:gridSpan w:val="6"/>
            <w:vAlign w:val="center"/>
          </w:tcPr>
          <w:p w14:paraId="14B2B386">
            <w:pPr>
              <w:pStyle w:val="13"/>
            </w:pPr>
            <w:r>
              <w:t>改善就学条件，提升学校形象，保障义务教育阶段教学安全，改善师生教学环境，创造良好的校园环境。</w:t>
            </w:r>
          </w:p>
        </w:tc>
      </w:tr>
      <w:tr w14:paraId="24DDCF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801E1">
            <w:pPr>
              <w:pStyle w:val="11"/>
            </w:pPr>
            <w:r>
              <w:t>资金支出计划（%）</w:t>
            </w:r>
          </w:p>
        </w:tc>
        <w:tc>
          <w:tcPr>
            <w:tcW w:w="5103" w:type="dxa"/>
            <w:gridSpan w:val="2"/>
            <w:vAlign w:val="center"/>
          </w:tcPr>
          <w:p w14:paraId="048507D2">
            <w:pPr>
              <w:pStyle w:val="11"/>
            </w:pPr>
            <w:r>
              <w:t>3月底</w:t>
            </w:r>
          </w:p>
        </w:tc>
        <w:tc>
          <w:tcPr>
            <w:tcW w:w="2835" w:type="dxa"/>
            <w:vAlign w:val="center"/>
          </w:tcPr>
          <w:p w14:paraId="6CE71CA6">
            <w:pPr>
              <w:pStyle w:val="11"/>
            </w:pPr>
            <w:r>
              <w:t>6月底</w:t>
            </w:r>
          </w:p>
        </w:tc>
        <w:tc>
          <w:tcPr>
            <w:tcW w:w="2551" w:type="dxa"/>
            <w:vAlign w:val="center"/>
          </w:tcPr>
          <w:p w14:paraId="0CCC60F0">
            <w:pPr>
              <w:pStyle w:val="11"/>
            </w:pPr>
            <w:r>
              <w:t>10月底</w:t>
            </w:r>
          </w:p>
        </w:tc>
        <w:tc>
          <w:tcPr>
            <w:tcW w:w="3544" w:type="dxa"/>
            <w:gridSpan w:val="2"/>
            <w:vAlign w:val="center"/>
          </w:tcPr>
          <w:p w14:paraId="01C03546">
            <w:pPr>
              <w:pStyle w:val="11"/>
            </w:pPr>
            <w:r>
              <w:t>12月底</w:t>
            </w:r>
          </w:p>
        </w:tc>
      </w:tr>
      <w:tr w14:paraId="459B33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97965"/>
        </w:tc>
        <w:tc>
          <w:tcPr>
            <w:tcW w:w="5103" w:type="dxa"/>
            <w:gridSpan w:val="2"/>
            <w:vAlign w:val="center"/>
          </w:tcPr>
          <w:p w14:paraId="68166323">
            <w:pPr>
              <w:pStyle w:val="12"/>
            </w:pPr>
            <w:r>
              <w:t xml:space="preserve"> </w:t>
            </w:r>
          </w:p>
        </w:tc>
        <w:tc>
          <w:tcPr>
            <w:tcW w:w="2835" w:type="dxa"/>
            <w:vAlign w:val="center"/>
          </w:tcPr>
          <w:p w14:paraId="08BFADB3">
            <w:pPr>
              <w:pStyle w:val="12"/>
            </w:pPr>
            <w:r>
              <w:t xml:space="preserve"> </w:t>
            </w:r>
          </w:p>
        </w:tc>
        <w:tc>
          <w:tcPr>
            <w:tcW w:w="2551" w:type="dxa"/>
            <w:vAlign w:val="center"/>
          </w:tcPr>
          <w:p w14:paraId="040EAAAC">
            <w:pPr>
              <w:pStyle w:val="12"/>
            </w:pPr>
            <w:r>
              <w:t>100%</w:t>
            </w:r>
          </w:p>
        </w:tc>
        <w:tc>
          <w:tcPr>
            <w:tcW w:w="3544" w:type="dxa"/>
            <w:gridSpan w:val="2"/>
            <w:vAlign w:val="center"/>
          </w:tcPr>
          <w:p w14:paraId="5FF3DBCF">
            <w:pPr>
              <w:pStyle w:val="12"/>
            </w:pPr>
            <w:r>
              <w:t>100%</w:t>
            </w:r>
          </w:p>
        </w:tc>
      </w:tr>
      <w:tr w14:paraId="40108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849557">
            <w:pPr>
              <w:pStyle w:val="11"/>
            </w:pPr>
            <w:r>
              <w:t>绩效目标</w:t>
            </w:r>
          </w:p>
        </w:tc>
        <w:tc>
          <w:tcPr>
            <w:tcW w:w="14033" w:type="dxa"/>
            <w:gridSpan w:val="6"/>
            <w:vAlign w:val="center"/>
          </w:tcPr>
          <w:p w14:paraId="377B66D0">
            <w:pPr>
              <w:pStyle w:val="13"/>
            </w:pPr>
            <w:r>
              <w:t>1.改善就学条件，提升学校形象，保障义务教育阶段教学安全，改善师生教学环境，创造良好的校园环境。</w:t>
            </w:r>
            <w:r>
              <w:tab/>
            </w:r>
            <w:r>
              <w:tab/>
            </w:r>
            <w:r>
              <w:tab/>
            </w:r>
          </w:p>
          <w:p w14:paraId="61A1F9E0">
            <w:pPr>
              <w:pStyle w:val="13"/>
            </w:pPr>
          </w:p>
          <w:p w14:paraId="77450A81">
            <w:pPr>
              <w:pStyle w:val="13"/>
            </w:pPr>
            <w:r>
              <w:t>2.项目需资金18.87万元，资金拨付率达到100%。</w:t>
            </w:r>
          </w:p>
        </w:tc>
      </w:tr>
    </w:tbl>
    <w:p w14:paraId="2A49C7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14:paraId="21F24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D792D">
            <w:pPr>
              <w:pStyle w:val="11"/>
            </w:pPr>
            <w:r>
              <w:t>一级指标</w:t>
            </w:r>
          </w:p>
        </w:tc>
        <w:tc>
          <w:tcPr>
            <w:tcW w:w="2268" w:type="dxa"/>
            <w:vAlign w:val="center"/>
          </w:tcPr>
          <w:p w14:paraId="73C9BBCF">
            <w:pPr>
              <w:pStyle w:val="11"/>
            </w:pPr>
            <w:r>
              <w:t>二级指标</w:t>
            </w:r>
          </w:p>
        </w:tc>
        <w:tc>
          <w:tcPr>
            <w:tcW w:w="2835" w:type="dxa"/>
            <w:vAlign w:val="center"/>
          </w:tcPr>
          <w:p w14:paraId="7C1E2BF0">
            <w:pPr>
              <w:pStyle w:val="11"/>
            </w:pPr>
            <w:r>
              <w:t>三级指标</w:t>
            </w:r>
          </w:p>
        </w:tc>
        <w:tc>
          <w:tcPr>
            <w:tcW w:w="5386" w:type="dxa"/>
            <w:vAlign w:val="center"/>
          </w:tcPr>
          <w:p w14:paraId="6AD8DE10">
            <w:pPr>
              <w:pStyle w:val="11"/>
            </w:pPr>
            <w:r>
              <w:t>绩效指标描述</w:t>
            </w:r>
          </w:p>
        </w:tc>
        <w:tc>
          <w:tcPr>
            <w:tcW w:w="1778" w:type="dxa"/>
            <w:vAlign w:val="center"/>
          </w:tcPr>
          <w:p w14:paraId="203B2398">
            <w:pPr>
              <w:pStyle w:val="11"/>
            </w:pPr>
            <w:r>
              <w:t>指标值</w:t>
            </w:r>
          </w:p>
        </w:tc>
        <w:tc>
          <w:tcPr>
            <w:tcW w:w="1766" w:type="dxa"/>
            <w:vAlign w:val="center"/>
          </w:tcPr>
          <w:p w14:paraId="31E7F544">
            <w:pPr>
              <w:pStyle w:val="11"/>
            </w:pPr>
            <w:r>
              <w:t>指标值确定依据</w:t>
            </w:r>
          </w:p>
        </w:tc>
      </w:tr>
      <w:tr w14:paraId="1DFA1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40926">
            <w:pPr>
              <w:pStyle w:val="12"/>
            </w:pPr>
            <w:r>
              <w:t>产出指标</w:t>
            </w:r>
          </w:p>
        </w:tc>
        <w:tc>
          <w:tcPr>
            <w:tcW w:w="2268" w:type="dxa"/>
            <w:vAlign w:val="center"/>
          </w:tcPr>
          <w:p w14:paraId="597E7CDC">
            <w:pPr>
              <w:pStyle w:val="13"/>
            </w:pPr>
            <w:r>
              <w:t>数量指标</w:t>
            </w:r>
          </w:p>
        </w:tc>
        <w:tc>
          <w:tcPr>
            <w:tcW w:w="2835" w:type="dxa"/>
            <w:vAlign w:val="center"/>
          </w:tcPr>
          <w:p w14:paraId="45FF2EFB">
            <w:pPr>
              <w:pStyle w:val="13"/>
            </w:pPr>
            <w:r>
              <w:t>主甬路沥青硬化</w:t>
            </w:r>
          </w:p>
        </w:tc>
        <w:tc>
          <w:tcPr>
            <w:tcW w:w="5386" w:type="dxa"/>
            <w:vAlign w:val="center"/>
          </w:tcPr>
          <w:p w14:paraId="70AAAA1A">
            <w:pPr>
              <w:pStyle w:val="13"/>
            </w:pPr>
            <w:r>
              <w:t>主甬路沥青硬化</w:t>
            </w:r>
          </w:p>
        </w:tc>
        <w:tc>
          <w:tcPr>
            <w:tcW w:w="1778" w:type="dxa"/>
            <w:vAlign w:val="center"/>
          </w:tcPr>
          <w:p w14:paraId="34A62A32">
            <w:pPr>
              <w:pStyle w:val="13"/>
            </w:pPr>
            <w:r>
              <w:t>1条</w:t>
            </w:r>
          </w:p>
        </w:tc>
        <w:tc>
          <w:tcPr>
            <w:tcW w:w="1766" w:type="dxa"/>
            <w:vAlign w:val="center"/>
          </w:tcPr>
          <w:p w14:paraId="40FE6D4B">
            <w:pPr>
              <w:pStyle w:val="13"/>
            </w:pPr>
            <w:r>
              <w:t>城乡义务教育公共经费</w:t>
            </w:r>
          </w:p>
        </w:tc>
      </w:tr>
      <w:tr w14:paraId="054EA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B94EC"/>
        </w:tc>
        <w:tc>
          <w:tcPr>
            <w:tcW w:w="2268" w:type="dxa"/>
            <w:vAlign w:val="center"/>
          </w:tcPr>
          <w:p w14:paraId="5674F7CD">
            <w:pPr>
              <w:pStyle w:val="13"/>
            </w:pPr>
            <w:r>
              <w:t>数量指标</w:t>
            </w:r>
          </w:p>
        </w:tc>
        <w:tc>
          <w:tcPr>
            <w:tcW w:w="2835" w:type="dxa"/>
            <w:vAlign w:val="center"/>
          </w:tcPr>
          <w:p w14:paraId="30FFEE38">
            <w:pPr>
              <w:pStyle w:val="13"/>
            </w:pPr>
            <w:r>
              <w:t>教学楼外墙粉刷</w:t>
            </w:r>
          </w:p>
        </w:tc>
        <w:tc>
          <w:tcPr>
            <w:tcW w:w="5386" w:type="dxa"/>
            <w:vAlign w:val="center"/>
          </w:tcPr>
          <w:p w14:paraId="447AE1E4">
            <w:pPr>
              <w:pStyle w:val="13"/>
            </w:pPr>
            <w:r>
              <w:t>教学楼外墙粉刷</w:t>
            </w:r>
          </w:p>
        </w:tc>
        <w:tc>
          <w:tcPr>
            <w:tcW w:w="1778" w:type="dxa"/>
            <w:vAlign w:val="center"/>
          </w:tcPr>
          <w:p w14:paraId="6FE79250">
            <w:pPr>
              <w:pStyle w:val="13"/>
            </w:pPr>
            <w:r>
              <w:t>1栋</w:t>
            </w:r>
          </w:p>
        </w:tc>
        <w:tc>
          <w:tcPr>
            <w:tcW w:w="1766" w:type="dxa"/>
            <w:vAlign w:val="center"/>
          </w:tcPr>
          <w:p w14:paraId="4D5EF0B9">
            <w:pPr>
              <w:pStyle w:val="13"/>
            </w:pPr>
            <w:r>
              <w:t>城乡义务教育公共经费</w:t>
            </w:r>
          </w:p>
        </w:tc>
      </w:tr>
      <w:tr w14:paraId="2846C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9926A"/>
        </w:tc>
        <w:tc>
          <w:tcPr>
            <w:tcW w:w="2268" w:type="dxa"/>
            <w:vAlign w:val="center"/>
          </w:tcPr>
          <w:p w14:paraId="7EC8BD6D">
            <w:pPr>
              <w:pStyle w:val="13"/>
            </w:pPr>
            <w:r>
              <w:t>数量指标</w:t>
            </w:r>
          </w:p>
        </w:tc>
        <w:tc>
          <w:tcPr>
            <w:tcW w:w="2835" w:type="dxa"/>
            <w:vAlign w:val="center"/>
          </w:tcPr>
          <w:p w14:paraId="611D275E">
            <w:pPr>
              <w:pStyle w:val="13"/>
            </w:pPr>
            <w:r>
              <w:t>餐厅顶楼防水</w:t>
            </w:r>
          </w:p>
        </w:tc>
        <w:tc>
          <w:tcPr>
            <w:tcW w:w="5386" w:type="dxa"/>
            <w:vAlign w:val="center"/>
          </w:tcPr>
          <w:p w14:paraId="1DC4D9C8">
            <w:pPr>
              <w:pStyle w:val="13"/>
            </w:pPr>
            <w:r>
              <w:t>餐厅顶楼防水</w:t>
            </w:r>
          </w:p>
        </w:tc>
        <w:tc>
          <w:tcPr>
            <w:tcW w:w="1778" w:type="dxa"/>
            <w:vAlign w:val="center"/>
          </w:tcPr>
          <w:p w14:paraId="57BE0BC1">
            <w:pPr>
              <w:pStyle w:val="13"/>
            </w:pPr>
            <w:r>
              <w:t>1栋</w:t>
            </w:r>
          </w:p>
        </w:tc>
        <w:tc>
          <w:tcPr>
            <w:tcW w:w="1766" w:type="dxa"/>
            <w:vAlign w:val="center"/>
          </w:tcPr>
          <w:p w14:paraId="209AEEE7">
            <w:pPr>
              <w:pStyle w:val="13"/>
            </w:pPr>
            <w:r>
              <w:t>城乡义务教育公共经费</w:t>
            </w:r>
          </w:p>
        </w:tc>
      </w:tr>
      <w:tr w14:paraId="616B2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77E18"/>
        </w:tc>
        <w:tc>
          <w:tcPr>
            <w:tcW w:w="2268" w:type="dxa"/>
            <w:vAlign w:val="center"/>
          </w:tcPr>
          <w:p w14:paraId="40C41803">
            <w:pPr>
              <w:pStyle w:val="13"/>
            </w:pPr>
            <w:r>
              <w:t>质量指标</w:t>
            </w:r>
          </w:p>
        </w:tc>
        <w:tc>
          <w:tcPr>
            <w:tcW w:w="2835" w:type="dxa"/>
            <w:vAlign w:val="center"/>
          </w:tcPr>
          <w:p w14:paraId="794BF3D2">
            <w:pPr>
              <w:pStyle w:val="13"/>
            </w:pPr>
            <w:r>
              <w:t>工程实施验收合格率</w:t>
            </w:r>
          </w:p>
        </w:tc>
        <w:tc>
          <w:tcPr>
            <w:tcW w:w="5386" w:type="dxa"/>
            <w:vAlign w:val="center"/>
          </w:tcPr>
          <w:p w14:paraId="350D5484">
            <w:pPr>
              <w:pStyle w:val="13"/>
            </w:pPr>
            <w:r>
              <w:t>申报程序的合规，项目实施及资金使用符合项目规划</w:t>
            </w:r>
          </w:p>
        </w:tc>
        <w:tc>
          <w:tcPr>
            <w:tcW w:w="1778" w:type="dxa"/>
            <w:vAlign w:val="center"/>
          </w:tcPr>
          <w:p w14:paraId="4FEE8E34">
            <w:pPr>
              <w:pStyle w:val="13"/>
            </w:pPr>
            <w:r>
              <w:t>100%</w:t>
            </w:r>
          </w:p>
        </w:tc>
        <w:tc>
          <w:tcPr>
            <w:tcW w:w="1766" w:type="dxa"/>
            <w:vAlign w:val="center"/>
          </w:tcPr>
          <w:p w14:paraId="09998C59">
            <w:pPr>
              <w:pStyle w:val="13"/>
            </w:pPr>
            <w:r>
              <w:t>城乡义务教育公共经费</w:t>
            </w:r>
          </w:p>
        </w:tc>
      </w:tr>
      <w:tr w14:paraId="005D4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7A002"/>
        </w:tc>
        <w:tc>
          <w:tcPr>
            <w:tcW w:w="2268" w:type="dxa"/>
            <w:vAlign w:val="center"/>
          </w:tcPr>
          <w:p w14:paraId="5AF17EDF">
            <w:pPr>
              <w:pStyle w:val="13"/>
            </w:pPr>
            <w:r>
              <w:t>时效指标</w:t>
            </w:r>
          </w:p>
        </w:tc>
        <w:tc>
          <w:tcPr>
            <w:tcW w:w="2835" w:type="dxa"/>
            <w:vAlign w:val="center"/>
          </w:tcPr>
          <w:p w14:paraId="21A83BD6">
            <w:pPr>
              <w:pStyle w:val="13"/>
            </w:pPr>
            <w:r>
              <w:t>资金支付率</w:t>
            </w:r>
          </w:p>
        </w:tc>
        <w:tc>
          <w:tcPr>
            <w:tcW w:w="5386" w:type="dxa"/>
            <w:vAlign w:val="center"/>
          </w:tcPr>
          <w:p w14:paraId="5DD8ED94">
            <w:pPr>
              <w:pStyle w:val="13"/>
            </w:pPr>
            <w:r>
              <w:t>按照序时进度完成资金支付</w:t>
            </w:r>
          </w:p>
        </w:tc>
        <w:tc>
          <w:tcPr>
            <w:tcW w:w="1778" w:type="dxa"/>
            <w:vAlign w:val="center"/>
          </w:tcPr>
          <w:p w14:paraId="3502399E">
            <w:pPr>
              <w:pStyle w:val="13"/>
            </w:pPr>
            <w:r>
              <w:t>100%</w:t>
            </w:r>
          </w:p>
        </w:tc>
        <w:tc>
          <w:tcPr>
            <w:tcW w:w="1766" w:type="dxa"/>
            <w:vAlign w:val="center"/>
          </w:tcPr>
          <w:p w14:paraId="32A1382A">
            <w:pPr>
              <w:pStyle w:val="13"/>
            </w:pPr>
            <w:r>
              <w:t>城乡义务教育公共经费</w:t>
            </w:r>
          </w:p>
        </w:tc>
      </w:tr>
      <w:tr w14:paraId="60EF2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BC2FF"/>
        </w:tc>
        <w:tc>
          <w:tcPr>
            <w:tcW w:w="2268" w:type="dxa"/>
            <w:vAlign w:val="center"/>
          </w:tcPr>
          <w:p w14:paraId="4ADEF273">
            <w:pPr>
              <w:pStyle w:val="13"/>
            </w:pPr>
            <w:r>
              <w:t>成本指标</w:t>
            </w:r>
          </w:p>
        </w:tc>
        <w:tc>
          <w:tcPr>
            <w:tcW w:w="2835" w:type="dxa"/>
            <w:vAlign w:val="center"/>
          </w:tcPr>
          <w:p w14:paraId="7E51A43E">
            <w:pPr>
              <w:pStyle w:val="13"/>
            </w:pPr>
            <w:r>
              <w:t>项目成本控制情况</w:t>
            </w:r>
          </w:p>
        </w:tc>
        <w:tc>
          <w:tcPr>
            <w:tcW w:w="5386" w:type="dxa"/>
            <w:vAlign w:val="center"/>
          </w:tcPr>
          <w:p w14:paraId="33C01976">
            <w:pPr>
              <w:pStyle w:val="13"/>
            </w:pPr>
            <w:r>
              <w:t>严格按照招标价格及审计额进行</w:t>
            </w:r>
          </w:p>
        </w:tc>
        <w:tc>
          <w:tcPr>
            <w:tcW w:w="1778" w:type="dxa"/>
            <w:vAlign w:val="center"/>
          </w:tcPr>
          <w:p w14:paraId="46DF8375">
            <w:pPr>
              <w:pStyle w:val="13"/>
            </w:pPr>
            <w:r>
              <w:t>≤18.87万元</w:t>
            </w:r>
          </w:p>
        </w:tc>
        <w:tc>
          <w:tcPr>
            <w:tcW w:w="1766" w:type="dxa"/>
            <w:vAlign w:val="center"/>
          </w:tcPr>
          <w:p w14:paraId="4CD3B0C4">
            <w:pPr>
              <w:pStyle w:val="13"/>
            </w:pPr>
            <w:r>
              <w:t>城乡义务教育公共经费</w:t>
            </w:r>
          </w:p>
        </w:tc>
      </w:tr>
      <w:tr w14:paraId="2B37F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5D6FC">
            <w:pPr>
              <w:pStyle w:val="12"/>
            </w:pPr>
            <w:r>
              <w:t>效益指标</w:t>
            </w:r>
          </w:p>
        </w:tc>
        <w:tc>
          <w:tcPr>
            <w:tcW w:w="2268" w:type="dxa"/>
            <w:vAlign w:val="center"/>
          </w:tcPr>
          <w:p w14:paraId="226C4E22">
            <w:pPr>
              <w:pStyle w:val="13"/>
            </w:pPr>
            <w:r>
              <w:t>可持续影响指标</w:t>
            </w:r>
          </w:p>
        </w:tc>
        <w:tc>
          <w:tcPr>
            <w:tcW w:w="2835" w:type="dxa"/>
            <w:vAlign w:val="center"/>
          </w:tcPr>
          <w:p w14:paraId="0DAA788C">
            <w:pPr>
              <w:pStyle w:val="13"/>
            </w:pPr>
            <w:r>
              <w:t>学校运转得到提高</w:t>
            </w:r>
          </w:p>
        </w:tc>
        <w:tc>
          <w:tcPr>
            <w:tcW w:w="5386" w:type="dxa"/>
            <w:vAlign w:val="center"/>
          </w:tcPr>
          <w:p w14:paraId="607877A6">
            <w:pPr>
              <w:pStyle w:val="13"/>
            </w:pPr>
            <w:r>
              <w:t>学生受教育年限</w:t>
            </w:r>
          </w:p>
        </w:tc>
        <w:tc>
          <w:tcPr>
            <w:tcW w:w="1778" w:type="dxa"/>
            <w:vAlign w:val="center"/>
          </w:tcPr>
          <w:p w14:paraId="6E3D8CEC">
            <w:pPr>
              <w:pStyle w:val="13"/>
            </w:pPr>
            <w:r>
              <w:t>3年</w:t>
            </w:r>
          </w:p>
        </w:tc>
        <w:tc>
          <w:tcPr>
            <w:tcW w:w="1766" w:type="dxa"/>
            <w:vAlign w:val="center"/>
          </w:tcPr>
          <w:p w14:paraId="259FA336">
            <w:pPr>
              <w:pStyle w:val="13"/>
            </w:pPr>
            <w:r>
              <w:t>城乡义务教育公共经费</w:t>
            </w:r>
          </w:p>
        </w:tc>
      </w:tr>
      <w:tr w14:paraId="3B25F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6D93FC">
            <w:pPr>
              <w:pStyle w:val="12"/>
            </w:pPr>
            <w:r>
              <w:t>满意度指标</w:t>
            </w:r>
          </w:p>
        </w:tc>
        <w:tc>
          <w:tcPr>
            <w:tcW w:w="2268" w:type="dxa"/>
            <w:vAlign w:val="center"/>
          </w:tcPr>
          <w:p w14:paraId="20CF7188">
            <w:pPr>
              <w:pStyle w:val="13"/>
            </w:pPr>
            <w:r>
              <w:t>服务对象满意度指标</w:t>
            </w:r>
          </w:p>
        </w:tc>
        <w:tc>
          <w:tcPr>
            <w:tcW w:w="2835" w:type="dxa"/>
            <w:vAlign w:val="center"/>
          </w:tcPr>
          <w:p w14:paraId="23E55774">
            <w:pPr>
              <w:pStyle w:val="13"/>
            </w:pPr>
            <w:r>
              <w:t>受益学生家长及调查满意度</w:t>
            </w:r>
          </w:p>
        </w:tc>
        <w:tc>
          <w:tcPr>
            <w:tcW w:w="5386" w:type="dxa"/>
            <w:vAlign w:val="center"/>
          </w:tcPr>
          <w:p w14:paraId="1C28CE5E">
            <w:pPr>
              <w:pStyle w:val="13"/>
            </w:pPr>
            <w:r>
              <w:t>学生、教师及家长对学校教学环境满意度情况</w:t>
            </w:r>
          </w:p>
        </w:tc>
        <w:tc>
          <w:tcPr>
            <w:tcW w:w="1778" w:type="dxa"/>
            <w:vAlign w:val="center"/>
          </w:tcPr>
          <w:p w14:paraId="564AC389">
            <w:pPr>
              <w:pStyle w:val="13"/>
            </w:pPr>
            <w:r>
              <w:t>≥98%</w:t>
            </w:r>
          </w:p>
        </w:tc>
        <w:tc>
          <w:tcPr>
            <w:tcW w:w="1766" w:type="dxa"/>
            <w:vAlign w:val="center"/>
          </w:tcPr>
          <w:p w14:paraId="0334D14A">
            <w:pPr>
              <w:pStyle w:val="13"/>
            </w:pPr>
            <w:r>
              <w:t>问卷调查</w:t>
            </w:r>
          </w:p>
        </w:tc>
      </w:tr>
    </w:tbl>
    <w:p w14:paraId="72F8982E">
      <w:pPr>
        <w:sectPr>
          <w:pgSz w:w="16840" w:h="11900" w:orient="landscape"/>
          <w:pgMar w:top="1361" w:right="1020" w:bottom="1134" w:left="1020" w:header="720" w:footer="720" w:gutter="0"/>
          <w:cols w:space="720" w:num="1"/>
        </w:sectPr>
      </w:pPr>
    </w:p>
    <w:p w14:paraId="546AC035">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4、冀财教[2024]123号/中央/2025年义教补助经费/综合奖补/北楼中学公用经费绩效目标表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F4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3F658">
            <w:pPr>
              <w:pStyle w:val="14"/>
            </w:pPr>
            <w:r>
              <w:t>单位：万元</w:t>
            </w:r>
          </w:p>
        </w:tc>
      </w:tr>
      <w:tr w14:paraId="69E90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E0B5A0">
            <w:pPr>
              <w:pStyle w:val="11"/>
            </w:pPr>
            <w:r>
              <w:t>项目编码</w:t>
            </w:r>
          </w:p>
        </w:tc>
        <w:tc>
          <w:tcPr>
            <w:tcW w:w="5103" w:type="dxa"/>
            <w:gridSpan w:val="2"/>
            <w:vAlign w:val="center"/>
          </w:tcPr>
          <w:p w14:paraId="4078C528">
            <w:pPr>
              <w:pStyle w:val="13"/>
            </w:pPr>
            <w:r>
              <w:t>13052525P008756102700</w:t>
            </w:r>
          </w:p>
        </w:tc>
        <w:tc>
          <w:tcPr>
            <w:tcW w:w="2835" w:type="dxa"/>
            <w:vAlign w:val="center"/>
          </w:tcPr>
          <w:p w14:paraId="339E2A23">
            <w:pPr>
              <w:pStyle w:val="11"/>
            </w:pPr>
            <w:r>
              <w:t>项目名称</w:t>
            </w:r>
          </w:p>
        </w:tc>
        <w:tc>
          <w:tcPr>
            <w:tcW w:w="6095" w:type="dxa"/>
            <w:gridSpan w:val="3"/>
            <w:vAlign w:val="center"/>
          </w:tcPr>
          <w:p w14:paraId="07974930">
            <w:pPr>
              <w:pStyle w:val="13"/>
            </w:pPr>
            <w:r>
              <w:t>冀财教[2024]123号/中央/2025年义教补助经费/综合奖补/北楼中学公用经费</w:t>
            </w:r>
          </w:p>
        </w:tc>
      </w:tr>
      <w:tr w14:paraId="34BA2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98A50">
            <w:pPr>
              <w:pStyle w:val="11"/>
            </w:pPr>
            <w:r>
              <w:t>预算规模及资金用途</w:t>
            </w:r>
          </w:p>
        </w:tc>
        <w:tc>
          <w:tcPr>
            <w:tcW w:w="2268" w:type="dxa"/>
            <w:vAlign w:val="center"/>
          </w:tcPr>
          <w:p w14:paraId="02CFB8F8">
            <w:pPr>
              <w:pStyle w:val="11"/>
            </w:pPr>
            <w:r>
              <w:t>预算数</w:t>
            </w:r>
          </w:p>
        </w:tc>
        <w:tc>
          <w:tcPr>
            <w:tcW w:w="2835" w:type="dxa"/>
            <w:vAlign w:val="center"/>
          </w:tcPr>
          <w:p w14:paraId="014E0A4F">
            <w:pPr>
              <w:pStyle w:val="13"/>
            </w:pPr>
            <w:r>
              <w:t>2.00</w:t>
            </w:r>
          </w:p>
        </w:tc>
        <w:tc>
          <w:tcPr>
            <w:tcW w:w="2835" w:type="dxa"/>
            <w:vAlign w:val="center"/>
          </w:tcPr>
          <w:p w14:paraId="565B446B">
            <w:pPr>
              <w:pStyle w:val="11"/>
            </w:pPr>
            <w:r>
              <w:t>其中：财政    资金</w:t>
            </w:r>
          </w:p>
        </w:tc>
        <w:tc>
          <w:tcPr>
            <w:tcW w:w="2551" w:type="dxa"/>
            <w:vAlign w:val="center"/>
          </w:tcPr>
          <w:p w14:paraId="2CA7F64B">
            <w:pPr>
              <w:pStyle w:val="13"/>
            </w:pPr>
            <w:r>
              <w:t>2.00</w:t>
            </w:r>
          </w:p>
        </w:tc>
        <w:tc>
          <w:tcPr>
            <w:tcW w:w="2268" w:type="dxa"/>
            <w:vAlign w:val="center"/>
          </w:tcPr>
          <w:p w14:paraId="481B0B96">
            <w:pPr>
              <w:pStyle w:val="11"/>
            </w:pPr>
            <w:r>
              <w:t>其他资金</w:t>
            </w:r>
          </w:p>
        </w:tc>
        <w:tc>
          <w:tcPr>
            <w:tcW w:w="1276" w:type="dxa"/>
            <w:vAlign w:val="center"/>
          </w:tcPr>
          <w:p w14:paraId="70C19978">
            <w:pPr>
              <w:pStyle w:val="13"/>
            </w:pPr>
            <w:r>
              <w:t xml:space="preserve"> </w:t>
            </w:r>
          </w:p>
        </w:tc>
      </w:tr>
      <w:tr w14:paraId="13C16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B2DA6A"/>
        </w:tc>
        <w:tc>
          <w:tcPr>
            <w:tcW w:w="14033" w:type="dxa"/>
            <w:gridSpan w:val="6"/>
            <w:vAlign w:val="center"/>
          </w:tcPr>
          <w:p w14:paraId="0C924435">
            <w:pPr>
              <w:pStyle w:val="13"/>
            </w:pPr>
            <w:r>
              <w:t>改善就学条件，提升学校形象，保障义务教育阶段教学安全，改善师生教学环境，创造良好的校园环境。</w:t>
            </w:r>
            <w:r>
              <w:tab/>
            </w:r>
          </w:p>
        </w:tc>
      </w:tr>
      <w:tr w14:paraId="14D5E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97FA6">
            <w:pPr>
              <w:pStyle w:val="11"/>
            </w:pPr>
            <w:r>
              <w:t>资金支出计划（%）</w:t>
            </w:r>
          </w:p>
        </w:tc>
        <w:tc>
          <w:tcPr>
            <w:tcW w:w="5103" w:type="dxa"/>
            <w:gridSpan w:val="2"/>
            <w:vAlign w:val="center"/>
          </w:tcPr>
          <w:p w14:paraId="13D380BC">
            <w:pPr>
              <w:pStyle w:val="11"/>
            </w:pPr>
            <w:r>
              <w:t>3月底</w:t>
            </w:r>
          </w:p>
        </w:tc>
        <w:tc>
          <w:tcPr>
            <w:tcW w:w="2835" w:type="dxa"/>
            <w:vAlign w:val="center"/>
          </w:tcPr>
          <w:p w14:paraId="1E181919">
            <w:pPr>
              <w:pStyle w:val="11"/>
            </w:pPr>
            <w:r>
              <w:t>6月底</w:t>
            </w:r>
          </w:p>
        </w:tc>
        <w:tc>
          <w:tcPr>
            <w:tcW w:w="2551" w:type="dxa"/>
            <w:vAlign w:val="center"/>
          </w:tcPr>
          <w:p w14:paraId="1F4ACD33">
            <w:pPr>
              <w:pStyle w:val="11"/>
            </w:pPr>
            <w:r>
              <w:t>10月底</w:t>
            </w:r>
          </w:p>
        </w:tc>
        <w:tc>
          <w:tcPr>
            <w:tcW w:w="3544" w:type="dxa"/>
            <w:gridSpan w:val="2"/>
            <w:vAlign w:val="center"/>
          </w:tcPr>
          <w:p w14:paraId="11929F52">
            <w:pPr>
              <w:pStyle w:val="11"/>
            </w:pPr>
            <w:r>
              <w:t>12月底</w:t>
            </w:r>
          </w:p>
        </w:tc>
      </w:tr>
      <w:tr w14:paraId="63BFD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F75C28"/>
        </w:tc>
        <w:tc>
          <w:tcPr>
            <w:tcW w:w="5103" w:type="dxa"/>
            <w:gridSpan w:val="2"/>
            <w:vAlign w:val="center"/>
          </w:tcPr>
          <w:p w14:paraId="6D2A9D9A">
            <w:pPr>
              <w:pStyle w:val="12"/>
            </w:pPr>
            <w:r>
              <w:t xml:space="preserve"> </w:t>
            </w:r>
          </w:p>
        </w:tc>
        <w:tc>
          <w:tcPr>
            <w:tcW w:w="2835" w:type="dxa"/>
            <w:vAlign w:val="center"/>
          </w:tcPr>
          <w:p w14:paraId="0104396A">
            <w:pPr>
              <w:pStyle w:val="12"/>
            </w:pPr>
            <w:r>
              <w:t xml:space="preserve"> </w:t>
            </w:r>
          </w:p>
        </w:tc>
        <w:tc>
          <w:tcPr>
            <w:tcW w:w="2551" w:type="dxa"/>
            <w:vAlign w:val="center"/>
          </w:tcPr>
          <w:p w14:paraId="078C7695">
            <w:pPr>
              <w:pStyle w:val="12"/>
            </w:pPr>
            <w:r>
              <w:t>100%</w:t>
            </w:r>
          </w:p>
        </w:tc>
        <w:tc>
          <w:tcPr>
            <w:tcW w:w="3544" w:type="dxa"/>
            <w:gridSpan w:val="2"/>
            <w:vAlign w:val="center"/>
          </w:tcPr>
          <w:p w14:paraId="23FA580D">
            <w:pPr>
              <w:pStyle w:val="12"/>
            </w:pPr>
            <w:r>
              <w:t>100%</w:t>
            </w:r>
          </w:p>
        </w:tc>
      </w:tr>
      <w:tr w14:paraId="0E437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AF110">
            <w:pPr>
              <w:pStyle w:val="11"/>
            </w:pPr>
            <w:r>
              <w:t>绩效目标</w:t>
            </w:r>
          </w:p>
        </w:tc>
        <w:tc>
          <w:tcPr>
            <w:tcW w:w="14033" w:type="dxa"/>
            <w:gridSpan w:val="6"/>
            <w:vAlign w:val="center"/>
          </w:tcPr>
          <w:p w14:paraId="5EAB2640">
            <w:pPr>
              <w:pStyle w:val="13"/>
            </w:pPr>
            <w:r>
              <w:t>1.改善就学条件，提升学校形象，保障义务教育阶段教学安全，改善师生教学环境，创造良好的校园环境。</w:t>
            </w:r>
            <w:r>
              <w:tab/>
            </w:r>
          </w:p>
          <w:p w14:paraId="04B03B29">
            <w:pPr>
              <w:pStyle w:val="13"/>
            </w:pPr>
          </w:p>
          <w:p w14:paraId="0E31B4FB">
            <w:pPr>
              <w:pStyle w:val="13"/>
            </w:pPr>
            <w:r>
              <w:t>2.项目需资金2万元，资金拨付率达到100%。</w:t>
            </w:r>
          </w:p>
        </w:tc>
      </w:tr>
    </w:tbl>
    <w:p w14:paraId="1015C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98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9168B4C">
            <w:pPr>
              <w:pStyle w:val="11"/>
            </w:pPr>
            <w:r>
              <w:t>一级指标</w:t>
            </w:r>
          </w:p>
        </w:tc>
        <w:tc>
          <w:tcPr>
            <w:tcW w:w="2268" w:type="dxa"/>
            <w:vAlign w:val="center"/>
          </w:tcPr>
          <w:p w14:paraId="15F816CF">
            <w:pPr>
              <w:pStyle w:val="11"/>
            </w:pPr>
            <w:r>
              <w:t>二级指标</w:t>
            </w:r>
          </w:p>
        </w:tc>
        <w:tc>
          <w:tcPr>
            <w:tcW w:w="2835" w:type="dxa"/>
            <w:vAlign w:val="center"/>
          </w:tcPr>
          <w:p w14:paraId="2CEEF762">
            <w:pPr>
              <w:pStyle w:val="11"/>
            </w:pPr>
            <w:r>
              <w:t>三级指标</w:t>
            </w:r>
          </w:p>
        </w:tc>
        <w:tc>
          <w:tcPr>
            <w:tcW w:w="5386" w:type="dxa"/>
            <w:vAlign w:val="center"/>
          </w:tcPr>
          <w:p w14:paraId="61E0B322">
            <w:pPr>
              <w:pStyle w:val="11"/>
            </w:pPr>
            <w:r>
              <w:t>绩效指标描述</w:t>
            </w:r>
          </w:p>
        </w:tc>
        <w:tc>
          <w:tcPr>
            <w:tcW w:w="2268" w:type="dxa"/>
            <w:vAlign w:val="center"/>
          </w:tcPr>
          <w:p w14:paraId="262E2890">
            <w:pPr>
              <w:pStyle w:val="11"/>
            </w:pPr>
            <w:r>
              <w:t>指标值</w:t>
            </w:r>
          </w:p>
        </w:tc>
        <w:tc>
          <w:tcPr>
            <w:tcW w:w="1276" w:type="dxa"/>
            <w:vAlign w:val="center"/>
          </w:tcPr>
          <w:p w14:paraId="33CA695F">
            <w:pPr>
              <w:pStyle w:val="11"/>
            </w:pPr>
            <w:r>
              <w:t>指标值确定依据</w:t>
            </w:r>
          </w:p>
        </w:tc>
      </w:tr>
      <w:tr w14:paraId="0DB57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ED2AB">
            <w:pPr>
              <w:pStyle w:val="12"/>
            </w:pPr>
            <w:r>
              <w:t>产出指标</w:t>
            </w:r>
          </w:p>
        </w:tc>
        <w:tc>
          <w:tcPr>
            <w:tcW w:w="2268" w:type="dxa"/>
            <w:vAlign w:val="center"/>
          </w:tcPr>
          <w:p w14:paraId="6826CE8F">
            <w:pPr>
              <w:pStyle w:val="13"/>
            </w:pPr>
            <w:r>
              <w:t>数量指标</w:t>
            </w:r>
          </w:p>
        </w:tc>
        <w:tc>
          <w:tcPr>
            <w:tcW w:w="2835" w:type="dxa"/>
            <w:vAlign w:val="center"/>
          </w:tcPr>
          <w:p w14:paraId="16CBFC84">
            <w:pPr>
              <w:pStyle w:val="13"/>
            </w:pPr>
            <w:r>
              <w:t>视频会议系统</w:t>
            </w:r>
          </w:p>
        </w:tc>
        <w:tc>
          <w:tcPr>
            <w:tcW w:w="5386" w:type="dxa"/>
            <w:vAlign w:val="center"/>
          </w:tcPr>
          <w:p w14:paraId="0A7D77C6">
            <w:pPr>
              <w:pStyle w:val="13"/>
            </w:pPr>
            <w:r>
              <w:t>视频会议系统套数</w:t>
            </w:r>
          </w:p>
        </w:tc>
        <w:tc>
          <w:tcPr>
            <w:tcW w:w="2268" w:type="dxa"/>
            <w:vAlign w:val="center"/>
          </w:tcPr>
          <w:p w14:paraId="377B1A8D">
            <w:pPr>
              <w:pStyle w:val="13"/>
            </w:pPr>
            <w:r>
              <w:t>1套</w:t>
            </w:r>
          </w:p>
        </w:tc>
        <w:tc>
          <w:tcPr>
            <w:tcW w:w="1276" w:type="dxa"/>
            <w:vAlign w:val="center"/>
          </w:tcPr>
          <w:p w14:paraId="1EDB2EAD">
            <w:pPr>
              <w:pStyle w:val="13"/>
            </w:pPr>
            <w:r>
              <w:t>城乡义务教育公共经费</w:t>
            </w:r>
          </w:p>
        </w:tc>
      </w:tr>
      <w:tr w14:paraId="43D22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11FDE"/>
        </w:tc>
        <w:tc>
          <w:tcPr>
            <w:tcW w:w="2268" w:type="dxa"/>
            <w:vAlign w:val="center"/>
          </w:tcPr>
          <w:p w14:paraId="2F673F2F">
            <w:pPr>
              <w:pStyle w:val="13"/>
            </w:pPr>
            <w:r>
              <w:t>质量指标</w:t>
            </w:r>
          </w:p>
        </w:tc>
        <w:tc>
          <w:tcPr>
            <w:tcW w:w="2835" w:type="dxa"/>
            <w:vAlign w:val="center"/>
          </w:tcPr>
          <w:p w14:paraId="4A07C563">
            <w:pPr>
              <w:pStyle w:val="13"/>
            </w:pPr>
            <w:r>
              <w:t>设备合格率</w:t>
            </w:r>
          </w:p>
        </w:tc>
        <w:tc>
          <w:tcPr>
            <w:tcW w:w="5386" w:type="dxa"/>
            <w:vAlign w:val="center"/>
          </w:tcPr>
          <w:p w14:paraId="24CD374A">
            <w:pPr>
              <w:pStyle w:val="13"/>
            </w:pPr>
            <w:r>
              <w:t>设备合格率</w:t>
            </w:r>
          </w:p>
        </w:tc>
        <w:tc>
          <w:tcPr>
            <w:tcW w:w="2268" w:type="dxa"/>
            <w:vAlign w:val="center"/>
          </w:tcPr>
          <w:p w14:paraId="41EFF99D">
            <w:pPr>
              <w:pStyle w:val="13"/>
            </w:pPr>
            <w:r>
              <w:t>100%</w:t>
            </w:r>
          </w:p>
        </w:tc>
        <w:tc>
          <w:tcPr>
            <w:tcW w:w="1276" w:type="dxa"/>
            <w:vAlign w:val="center"/>
          </w:tcPr>
          <w:p w14:paraId="05379A61">
            <w:pPr>
              <w:pStyle w:val="13"/>
            </w:pPr>
            <w:r>
              <w:t>城乡义务教育公共经费</w:t>
            </w:r>
          </w:p>
        </w:tc>
      </w:tr>
      <w:tr w14:paraId="3616F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094CC"/>
        </w:tc>
        <w:tc>
          <w:tcPr>
            <w:tcW w:w="2268" w:type="dxa"/>
            <w:vAlign w:val="center"/>
          </w:tcPr>
          <w:p w14:paraId="02BC6748">
            <w:pPr>
              <w:pStyle w:val="13"/>
            </w:pPr>
            <w:r>
              <w:t>时效指标</w:t>
            </w:r>
          </w:p>
        </w:tc>
        <w:tc>
          <w:tcPr>
            <w:tcW w:w="2835" w:type="dxa"/>
            <w:vAlign w:val="center"/>
          </w:tcPr>
          <w:p w14:paraId="6FF4F452">
            <w:pPr>
              <w:pStyle w:val="13"/>
            </w:pPr>
            <w:r>
              <w:t>资金支付率</w:t>
            </w:r>
          </w:p>
        </w:tc>
        <w:tc>
          <w:tcPr>
            <w:tcW w:w="5386" w:type="dxa"/>
            <w:vAlign w:val="center"/>
          </w:tcPr>
          <w:p w14:paraId="58290489">
            <w:pPr>
              <w:pStyle w:val="13"/>
            </w:pPr>
            <w:r>
              <w:t>按照序时进度完成资金支付</w:t>
            </w:r>
          </w:p>
        </w:tc>
        <w:tc>
          <w:tcPr>
            <w:tcW w:w="2268" w:type="dxa"/>
            <w:vAlign w:val="center"/>
          </w:tcPr>
          <w:p w14:paraId="338AB0A7">
            <w:pPr>
              <w:pStyle w:val="13"/>
            </w:pPr>
            <w:r>
              <w:t>100%</w:t>
            </w:r>
          </w:p>
        </w:tc>
        <w:tc>
          <w:tcPr>
            <w:tcW w:w="1276" w:type="dxa"/>
            <w:vAlign w:val="center"/>
          </w:tcPr>
          <w:p w14:paraId="4D6C2D1E">
            <w:pPr>
              <w:pStyle w:val="13"/>
            </w:pPr>
            <w:r>
              <w:t>城乡义务教育公共经费</w:t>
            </w:r>
          </w:p>
        </w:tc>
      </w:tr>
      <w:tr w14:paraId="342DF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A2066"/>
        </w:tc>
        <w:tc>
          <w:tcPr>
            <w:tcW w:w="2268" w:type="dxa"/>
            <w:vAlign w:val="center"/>
          </w:tcPr>
          <w:p w14:paraId="32A63556">
            <w:pPr>
              <w:pStyle w:val="13"/>
            </w:pPr>
            <w:r>
              <w:t>成本指标</w:t>
            </w:r>
          </w:p>
        </w:tc>
        <w:tc>
          <w:tcPr>
            <w:tcW w:w="2835" w:type="dxa"/>
            <w:vAlign w:val="center"/>
          </w:tcPr>
          <w:p w14:paraId="071CEE3D">
            <w:pPr>
              <w:pStyle w:val="13"/>
            </w:pPr>
            <w:r>
              <w:t>项目成本控制情况</w:t>
            </w:r>
          </w:p>
        </w:tc>
        <w:tc>
          <w:tcPr>
            <w:tcW w:w="5386" w:type="dxa"/>
            <w:vAlign w:val="center"/>
          </w:tcPr>
          <w:p w14:paraId="14D4F8CB">
            <w:pPr>
              <w:pStyle w:val="13"/>
            </w:pPr>
            <w:r>
              <w:t>严格按照招标价格及审计额进行</w:t>
            </w:r>
          </w:p>
        </w:tc>
        <w:tc>
          <w:tcPr>
            <w:tcW w:w="2268" w:type="dxa"/>
            <w:vAlign w:val="center"/>
          </w:tcPr>
          <w:p w14:paraId="1183D5EA">
            <w:pPr>
              <w:pStyle w:val="13"/>
            </w:pPr>
            <w:r>
              <w:t>≤2万元</w:t>
            </w:r>
          </w:p>
        </w:tc>
        <w:tc>
          <w:tcPr>
            <w:tcW w:w="1276" w:type="dxa"/>
            <w:vAlign w:val="center"/>
          </w:tcPr>
          <w:p w14:paraId="759ED538">
            <w:pPr>
              <w:pStyle w:val="13"/>
            </w:pPr>
            <w:r>
              <w:t>城乡义务教育公共经费</w:t>
            </w:r>
          </w:p>
        </w:tc>
      </w:tr>
      <w:tr w14:paraId="64662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097EE5">
            <w:pPr>
              <w:pStyle w:val="12"/>
            </w:pPr>
            <w:r>
              <w:t>效益指标</w:t>
            </w:r>
          </w:p>
        </w:tc>
        <w:tc>
          <w:tcPr>
            <w:tcW w:w="2268" w:type="dxa"/>
            <w:vAlign w:val="center"/>
          </w:tcPr>
          <w:p w14:paraId="0AD7A919">
            <w:pPr>
              <w:pStyle w:val="13"/>
            </w:pPr>
            <w:r>
              <w:t>可持续影响指标</w:t>
            </w:r>
          </w:p>
        </w:tc>
        <w:tc>
          <w:tcPr>
            <w:tcW w:w="2835" w:type="dxa"/>
            <w:vAlign w:val="center"/>
          </w:tcPr>
          <w:p w14:paraId="0A5AF627">
            <w:pPr>
              <w:pStyle w:val="13"/>
            </w:pPr>
            <w:r>
              <w:t>学校运转得到提高</w:t>
            </w:r>
          </w:p>
        </w:tc>
        <w:tc>
          <w:tcPr>
            <w:tcW w:w="5386" w:type="dxa"/>
            <w:vAlign w:val="center"/>
          </w:tcPr>
          <w:p w14:paraId="264C4937">
            <w:pPr>
              <w:pStyle w:val="13"/>
            </w:pPr>
            <w:r>
              <w:t>学生受教育年限</w:t>
            </w:r>
          </w:p>
        </w:tc>
        <w:tc>
          <w:tcPr>
            <w:tcW w:w="2268" w:type="dxa"/>
            <w:vAlign w:val="center"/>
          </w:tcPr>
          <w:p w14:paraId="24DD7E37">
            <w:pPr>
              <w:pStyle w:val="13"/>
            </w:pPr>
            <w:r>
              <w:t>3年</w:t>
            </w:r>
          </w:p>
        </w:tc>
        <w:tc>
          <w:tcPr>
            <w:tcW w:w="1276" w:type="dxa"/>
            <w:vAlign w:val="center"/>
          </w:tcPr>
          <w:p w14:paraId="25CD3FF5">
            <w:pPr>
              <w:pStyle w:val="13"/>
            </w:pPr>
            <w:r>
              <w:t>城乡义务教育公共经费</w:t>
            </w:r>
          </w:p>
        </w:tc>
      </w:tr>
      <w:tr w14:paraId="18E3C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F3741C">
            <w:pPr>
              <w:pStyle w:val="12"/>
            </w:pPr>
            <w:r>
              <w:t>满意度指标</w:t>
            </w:r>
          </w:p>
        </w:tc>
        <w:tc>
          <w:tcPr>
            <w:tcW w:w="2268" w:type="dxa"/>
            <w:vAlign w:val="center"/>
          </w:tcPr>
          <w:p w14:paraId="3A363259">
            <w:pPr>
              <w:pStyle w:val="13"/>
            </w:pPr>
            <w:r>
              <w:t>服务对象满意度指标</w:t>
            </w:r>
          </w:p>
        </w:tc>
        <w:tc>
          <w:tcPr>
            <w:tcW w:w="2835" w:type="dxa"/>
            <w:vAlign w:val="center"/>
          </w:tcPr>
          <w:p w14:paraId="780D339B">
            <w:pPr>
              <w:pStyle w:val="13"/>
            </w:pPr>
            <w:r>
              <w:t>受益学生家长及调查满意度</w:t>
            </w:r>
          </w:p>
        </w:tc>
        <w:tc>
          <w:tcPr>
            <w:tcW w:w="5386" w:type="dxa"/>
            <w:vAlign w:val="center"/>
          </w:tcPr>
          <w:p w14:paraId="0054CEC4">
            <w:pPr>
              <w:pStyle w:val="13"/>
            </w:pPr>
            <w:r>
              <w:t>学生、教师及家长对学校教学环境满意度情况</w:t>
            </w:r>
          </w:p>
        </w:tc>
        <w:tc>
          <w:tcPr>
            <w:tcW w:w="2268" w:type="dxa"/>
            <w:vAlign w:val="center"/>
          </w:tcPr>
          <w:p w14:paraId="33E61F1C">
            <w:pPr>
              <w:pStyle w:val="13"/>
            </w:pPr>
            <w:r>
              <w:t>≥98%</w:t>
            </w:r>
          </w:p>
        </w:tc>
        <w:tc>
          <w:tcPr>
            <w:tcW w:w="1276" w:type="dxa"/>
            <w:vAlign w:val="center"/>
          </w:tcPr>
          <w:p w14:paraId="1116FE55">
            <w:pPr>
              <w:pStyle w:val="13"/>
            </w:pPr>
            <w:r>
              <w:t>问卷调查</w:t>
            </w:r>
          </w:p>
        </w:tc>
      </w:tr>
    </w:tbl>
    <w:p w14:paraId="724B456F">
      <w:pPr>
        <w:sectPr>
          <w:pgSz w:w="16840" w:h="11900" w:orient="landscape"/>
          <w:pgMar w:top="1361" w:right="1020" w:bottom="1134" w:left="1020" w:header="720" w:footer="720" w:gutter="0"/>
          <w:cols w:space="720" w:num="1"/>
        </w:sectPr>
      </w:pPr>
    </w:p>
    <w:p w14:paraId="103E96CD">
      <w:pPr>
        <w:spacing w:before="0" w:after="0"/>
        <w:ind w:firstLine="560"/>
        <w:jc w:val="left"/>
        <w:outlineLvl w:val="9"/>
      </w:pPr>
      <w:r>
        <w:rPr>
          <w:rFonts w:ascii="方正仿宋_GBK" w:hAnsi="方正仿宋_GBK" w:eastAsia="方正仿宋_GBK" w:cs="方正仿宋_GBK"/>
          <w:b/>
          <w:color w:val="000000"/>
          <w:sz w:val="28"/>
        </w:rPr>
        <w:t>5、冀财教[2024]141号/省级/2025年义教补助经费/北楼中学公用经费绩效目标表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A5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30EFB">
            <w:pPr>
              <w:pStyle w:val="14"/>
            </w:pPr>
            <w:r>
              <w:t>单位：万元</w:t>
            </w:r>
          </w:p>
        </w:tc>
      </w:tr>
      <w:tr w14:paraId="49C6E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3CCC6">
            <w:pPr>
              <w:pStyle w:val="11"/>
            </w:pPr>
            <w:r>
              <w:t>项目编码</w:t>
            </w:r>
          </w:p>
        </w:tc>
        <w:tc>
          <w:tcPr>
            <w:tcW w:w="5103" w:type="dxa"/>
            <w:gridSpan w:val="2"/>
            <w:vAlign w:val="center"/>
          </w:tcPr>
          <w:p w14:paraId="48DEBDC6">
            <w:pPr>
              <w:pStyle w:val="13"/>
            </w:pPr>
            <w:r>
              <w:t>13052525P00000410126N</w:t>
            </w:r>
          </w:p>
        </w:tc>
        <w:tc>
          <w:tcPr>
            <w:tcW w:w="2835" w:type="dxa"/>
            <w:vAlign w:val="center"/>
          </w:tcPr>
          <w:p w14:paraId="7E476000">
            <w:pPr>
              <w:pStyle w:val="11"/>
            </w:pPr>
            <w:r>
              <w:t>项目名称</w:t>
            </w:r>
          </w:p>
        </w:tc>
        <w:tc>
          <w:tcPr>
            <w:tcW w:w="6095" w:type="dxa"/>
            <w:gridSpan w:val="3"/>
            <w:vAlign w:val="center"/>
          </w:tcPr>
          <w:p w14:paraId="75C12AFF">
            <w:pPr>
              <w:pStyle w:val="13"/>
            </w:pPr>
            <w:r>
              <w:t>冀财教[2024]141号/省级/2025年义教补助经费/北楼中学公用经费</w:t>
            </w:r>
          </w:p>
        </w:tc>
      </w:tr>
      <w:tr w14:paraId="2E9F4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D953B">
            <w:pPr>
              <w:pStyle w:val="11"/>
            </w:pPr>
            <w:r>
              <w:t>预算规模及资金用途</w:t>
            </w:r>
          </w:p>
        </w:tc>
        <w:tc>
          <w:tcPr>
            <w:tcW w:w="2268" w:type="dxa"/>
            <w:vAlign w:val="center"/>
          </w:tcPr>
          <w:p w14:paraId="4E68BD5C">
            <w:pPr>
              <w:pStyle w:val="11"/>
            </w:pPr>
            <w:r>
              <w:t>预算数</w:t>
            </w:r>
          </w:p>
        </w:tc>
        <w:tc>
          <w:tcPr>
            <w:tcW w:w="2835" w:type="dxa"/>
            <w:vAlign w:val="center"/>
          </w:tcPr>
          <w:p w14:paraId="1653F6ED">
            <w:pPr>
              <w:pStyle w:val="13"/>
            </w:pPr>
            <w:r>
              <w:t>39.92</w:t>
            </w:r>
          </w:p>
        </w:tc>
        <w:tc>
          <w:tcPr>
            <w:tcW w:w="2835" w:type="dxa"/>
            <w:vAlign w:val="center"/>
          </w:tcPr>
          <w:p w14:paraId="36F8E118">
            <w:pPr>
              <w:pStyle w:val="11"/>
            </w:pPr>
            <w:r>
              <w:t>其中：财政    资金</w:t>
            </w:r>
          </w:p>
        </w:tc>
        <w:tc>
          <w:tcPr>
            <w:tcW w:w="2551" w:type="dxa"/>
            <w:vAlign w:val="center"/>
          </w:tcPr>
          <w:p w14:paraId="2240E30E">
            <w:pPr>
              <w:pStyle w:val="13"/>
            </w:pPr>
            <w:r>
              <w:t>39.92</w:t>
            </w:r>
          </w:p>
        </w:tc>
        <w:tc>
          <w:tcPr>
            <w:tcW w:w="2268" w:type="dxa"/>
            <w:vAlign w:val="center"/>
          </w:tcPr>
          <w:p w14:paraId="544A36B4">
            <w:pPr>
              <w:pStyle w:val="11"/>
            </w:pPr>
            <w:r>
              <w:t>其他资金</w:t>
            </w:r>
          </w:p>
        </w:tc>
        <w:tc>
          <w:tcPr>
            <w:tcW w:w="1276" w:type="dxa"/>
            <w:vAlign w:val="center"/>
          </w:tcPr>
          <w:p w14:paraId="5DAB2B6D">
            <w:pPr>
              <w:pStyle w:val="13"/>
            </w:pPr>
            <w:r>
              <w:t xml:space="preserve"> </w:t>
            </w:r>
          </w:p>
        </w:tc>
      </w:tr>
      <w:tr w14:paraId="3DC8C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DE973"/>
        </w:tc>
        <w:tc>
          <w:tcPr>
            <w:tcW w:w="14033" w:type="dxa"/>
            <w:gridSpan w:val="6"/>
            <w:vAlign w:val="center"/>
          </w:tcPr>
          <w:p w14:paraId="2C00A2E2">
            <w:pPr>
              <w:pStyle w:val="13"/>
            </w:pPr>
            <w:r>
              <w:t>保障义务教育学校正常运转，全面贯彻党的教育方针，办人民满意的教育，高质量、高标准完成教育教学活动和其他日常工作任务等方面的费用支出</w:t>
            </w:r>
          </w:p>
        </w:tc>
      </w:tr>
      <w:tr w14:paraId="3AF97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98326">
            <w:pPr>
              <w:pStyle w:val="11"/>
            </w:pPr>
            <w:r>
              <w:t>资金支出计划（%）</w:t>
            </w:r>
          </w:p>
        </w:tc>
        <w:tc>
          <w:tcPr>
            <w:tcW w:w="5103" w:type="dxa"/>
            <w:gridSpan w:val="2"/>
            <w:vAlign w:val="center"/>
          </w:tcPr>
          <w:p w14:paraId="0A47FC03">
            <w:pPr>
              <w:pStyle w:val="11"/>
            </w:pPr>
            <w:r>
              <w:t>3月底</w:t>
            </w:r>
          </w:p>
        </w:tc>
        <w:tc>
          <w:tcPr>
            <w:tcW w:w="2835" w:type="dxa"/>
            <w:vAlign w:val="center"/>
          </w:tcPr>
          <w:p w14:paraId="754209F9">
            <w:pPr>
              <w:pStyle w:val="11"/>
            </w:pPr>
            <w:r>
              <w:t>6月底</w:t>
            </w:r>
          </w:p>
        </w:tc>
        <w:tc>
          <w:tcPr>
            <w:tcW w:w="2551" w:type="dxa"/>
            <w:vAlign w:val="center"/>
          </w:tcPr>
          <w:p w14:paraId="37B552E7">
            <w:pPr>
              <w:pStyle w:val="11"/>
            </w:pPr>
            <w:r>
              <w:t>10月底</w:t>
            </w:r>
          </w:p>
        </w:tc>
        <w:tc>
          <w:tcPr>
            <w:tcW w:w="3544" w:type="dxa"/>
            <w:gridSpan w:val="2"/>
            <w:vAlign w:val="center"/>
          </w:tcPr>
          <w:p w14:paraId="03E2C785">
            <w:pPr>
              <w:pStyle w:val="11"/>
            </w:pPr>
            <w:r>
              <w:t>12月底</w:t>
            </w:r>
          </w:p>
        </w:tc>
      </w:tr>
      <w:tr w14:paraId="7EB86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BE2C34"/>
        </w:tc>
        <w:tc>
          <w:tcPr>
            <w:tcW w:w="5103" w:type="dxa"/>
            <w:gridSpan w:val="2"/>
            <w:vAlign w:val="center"/>
          </w:tcPr>
          <w:p w14:paraId="22942A78">
            <w:pPr>
              <w:pStyle w:val="12"/>
            </w:pPr>
            <w:r>
              <w:t>25%</w:t>
            </w:r>
          </w:p>
        </w:tc>
        <w:tc>
          <w:tcPr>
            <w:tcW w:w="2835" w:type="dxa"/>
            <w:vAlign w:val="center"/>
          </w:tcPr>
          <w:p w14:paraId="28406363">
            <w:pPr>
              <w:pStyle w:val="12"/>
            </w:pPr>
            <w:r>
              <w:t>50%</w:t>
            </w:r>
          </w:p>
        </w:tc>
        <w:tc>
          <w:tcPr>
            <w:tcW w:w="2551" w:type="dxa"/>
            <w:vAlign w:val="center"/>
          </w:tcPr>
          <w:p w14:paraId="6DA6BD00">
            <w:pPr>
              <w:pStyle w:val="12"/>
            </w:pPr>
            <w:r>
              <w:t>75%</w:t>
            </w:r>
          </w:p>
        </w:tc>
        <w:tc>
          <w:tcPr>
            <w:tcW w:w="3544" w:type="dxa"/>
            <w:gridSpan w:val="2"/>
            <w:vAlign w:val="center"/>
          </w:tcPr>
          <w:p w14:paraId="5AEE1C0B">
            <w:pPr>
              <w:pStyle w:val="12"/>
            </w:pPr>
            <w:r>
              <w:t>100%</w:t>
            </w:r>
          </w:p>
        </w:tc>
      </w:tr>
      <w:tr w14:paraId="09A28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01988">
            <w:pPr>
              <w:pStyle w:val="11"/>
            </w:pPr>
            <w:r>
              <w:t>绩效目标</w:t>
            </w:r>
          </w:p>
        </w:tc>
        <w:tc>
          <w:tcPr>
            <w:tcW w:w="14033" w:type="dxa"/>
            <w:gridSpan w:val="6"/>
            <w:vAlign w:val="center"/>
          </w:tcPr>
          <w:p w14:paraId="19394569">
            <w:pPr>
              <w:pStyle w:val="13"/>
            </w:pPr>
            <w:r>
              <w:t>1.保障义务教育学校正常运转，全面贯彻党的教育方针，办人民满意的教育，高质量、高标准完成教育教学活动和其他日常工作任务等方面的费用支出。</w:t>
            </w:r>
          </w:p>
          <w:p w14:paraId="3D108733">
            <w:pPr>
              <w:pStyle w:val="13"/>
            </w:pPr>
            <w:r>
              <w:t>2.按规定拨付公用经费资金399240元，资金拨付率达到100%。</w:t>
            </w:r>
          </w:p>
        </w:tc>
      </w:tr>
    </w:tbl>
    <w:p w14:paraId="2C492E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327DA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96AD3">
            <w:pPr>
              <w:pStyle w:val="11"/>
            </w:pPr>
            <w:r>
              <w:t>一级指标</w:t>
            </w:r>
          </w:p>
        </w:tc>
        <w:tc>
          <w:tcPr>
            <w:tcW w:w="2268" w:type="dxa"/>
            <w:vAlign w:val="center"/>
          </w:tcPr>
          <w:p w14:paraId="70C7D289">
            <w:pPr>
              <w:pStyle w:val="11"/>
            </w:pPr>
            <w:r>
              <w:t>二级指标</w:t>
            </w:r>
          </w:p>
        </w:tc>
        <w:tc>
          <w:tcPr>
            <w:tcW w:w="2835" w:type="dxa"/>
            <w:vAlign w:val="center"/>
          </w:tcPr>
          <w:p w14:paraId="564AE1A6">
            <w:pPr>
              <w:pStyle w:val="11"/>
            </w:pPr>
            <w:r>
              <w:t>三级指标</w:t>
            </w:r>
          </w:p>
        </w:tc>
        <w:tc>
          <w:tcPr>
            <w:tcW w:w="5386" w:type="dxa"/>
            <w:vAlign w:val="center"/>
          </w:tcPr>
          <w:p w14:paraId="2209D087">
            <w:pPr>
              <w:pStyle w:val="11"/>
            </w:pPr>
            <w:r>
              <w:t>绩效指标描述</w:t>
            </w:r>
          </w:p>
        </w:tc>
        <w:tc>
          <w:tcPr>
            <w:tcW w:w="1673" w:type="dxa"/>
            <w:vAlign w:val="center"/>
          </w:tcPr>
          <w:p w14:paraId="1173355D">
            <w:pPr>
              <w:pStyle w:val="11"/>
            </w:pPr>
            <w:r>
              <w:t>指标值</w:t>
            </w:r>
          </w:p>
        </w:tc>
        <w:tc>
          <w:tcPr>
            <w:tcW w:w="1871" w:type="dxa"/>
            <w:vAlign w:val="center"/>
          </w:tcPr>
          <w:p w14:paraId="2D5B79FA">
            <w:pPr>
              <w:pStyle w:val="11"/>
            </w:pPr>
            <w:r>
              <w:t>指标值确定依据</w:t>
            </w:r>
          </w:p>
        </w:tc>
      </w:tr>
      <w:tr w14:paraId="73C5A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1E823">
            <w:pPr>
              <w:pStyle w:val="12"/>
            </w:pPr>
            <w:r>
              <w:t>产出指标</w:t>
            </w:r>
          </w:p>
        </w:tc>
        <w:tc>
          <w:tcPr>
            <w:tcW w:w="2268" w:type="dxa"/>
            <w:vAlign w:val="center"/>
          </w:tcPr>
          <w:p w14:paraId="1A487491">
            <w:pPr>
              <w:pStyle w:val="13"/>
            </w:pPr>
            <w:r>
              <w:t>数量指标</w:t>
            </w:r>
          </w:p>
        </w:tc>
        <w:tc>
          <w:tcPr>
            <w:tcW w:w="2835" w:type="dxa"/>
            <w:vAlign w:val="center"/>
          </w:tcPr>
          <w:p w14:paraId="527E84B3">
            <w:pPr>
              <w:pStyle w:val="13"/>
            </w:pPr>
            <w:r>
              <w:t>适龄在校生</w:t>
            </w:r>
          </w:p>
        </w:tc>
        <w:tc>
          <w:tcPr>
            <w:tcW w:w="5386" w:type="dxa"/>
            <w:vAlign w:val="center"/>
          </w:tcPr>
          <w:p w14:paraId="01B6A8CD">
            <w:pPr>
              <w:pStyle w:val="13"/>
            </w:pPr>
            <w:r>
              <w:t>适龄在校就读学生人数</w:t>
            </w:r>
          </w:p>
        </w:tc>
        <w:tc>
          <w:tcPr>
            <w:tcW w:w="1673" w:type="dxa"/>
            <w:vAlign w:val="center"/>
          </w:tcPr>
          <w:p w14:paraId="149F2260">
            <w:pPr>
              <w:pStyle w:val="13"/>
            </w:pPr>
            <w:r>
              <w:t>901人</w:t>
            </w:r>
          </w:p>
        </w:tc>
        <w:tc>
          <w:tcPr>
            <w:tcW w:w="1871" w:type="dxa"/>
            <w:vAlign w:val="center"/>
          </w:tcPr>
          <w:p w14:paraId="3EEDB7D1">
            <w:pPr>
              <w:pStyle w:val="13"/>
            </w:pPr>
            <w:r>
              <w:t>城乡义务教育公用经费管理办法</w:t>
            </w:r>
          </w:p>
        </w:tc>
      </w:tr>
      <w:tr w14:paraId="45C24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EBCE2"/>
        </w:tc>
        <w:tc>
          <w:tcPr>
            <w:tcW w:w="2268" w:type="dxa"/>
            <w:vAlign w:val="center"/>
          </w:tcPr>
          <w:p w14:paraId="185A3265">
            <w:pPr>
              <w:pStyle w:val="13"/>
            </w:pPr>
            <w:r>
              <w:t>质量指标</w:t>
            </w:r>
          </w:p>
        </w:tc>
        <w:tc>
          <w:tcPr>
            <w:tcW w:w="2835" w:type="dxa"/>
            <w:vAlign w:val="center"/>
          </w:tcPr>
          <w:p w14:paraId="3D190F91">
            <w:pPr>
              <w:pStyle w:val="13"/>
            </w:pPr>
            <w:r>
              <w:t>预算控制率</w:t>
            </w:r>
          </w:p>
        </w:tc>
        <w:tc>
          <w:tcPr>
            <w:tcW w:w="5386" w:type="dxa"/>
            <w:vAlign w:val="center"/>
          </w:tcPr>
          <w:p w14:paraId="73F764D6">
            <w:pPr>
              <w:pStyle w:val="13"/>
            </w:pPr>
            <w:r>
              <w:t>预算执行率</w:t>
            </w:r>
          </w:p>
        </w:tc>
        <w:tc>
          <w:tcPr>
            <w:tcW w:w="1673" w:type="dxa"/>
            <w:vAlign w:val="center"/>
          </w:tcPr>
          <w:p w14:paraId="4AFE9682">
            <w:pPr>
              <w:pStyle w:val="13"/>
            </w:pPr>
            <w:r>
              <w:t>≥95%</w:t>
            </w:r>
          </w:p>
        </w:tc>
        <w:tc>
          <w:tcPr>
            <w:tcW w:w="1871" w:type="dxa"/>
            <w:vAlign w:val="center"/>
          </w:tcPr>
          <w:p w14:paraId="1E6805DF">
            <w:pPr>
              <w:pStyle w:val="13"/>
            </w:pPr>
            <w:r>
              <w:t>城乡义务教育公用经费管理办法</w:t>
            </w:r>
          </w:p>
        </w:tc>
      </w:tr>
      <w:tr w14:paraId="328DE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30226"/>
        </w:tc>
        <w:tc>
          <w:tcPr>
            <w:tcW w:w="2268" w:type="dxa"/>
            <w:vAlign w:val="center"/>
          </w:tcPr>
          <w:p w14:paraId="5851A883">
            <w:pPr>
              <w:pStyle w:val="13"/>
            </w:pPr>
            <w:r>
              <w:t>时效指标</w:t>
            </w:r>
          </w:p>
        </w:tc>
        <w:tc>
          <w:tcPr>
            <w:tcW w:w="2835" w:type="dxa"/>
            <w:vAlign w:val="center"/>
          </w:tcPr>
          <w:p w14:paraId="5B9ED563">
            <w:pPr>
              <w:pStyle w:val="13"/>
            </w:pPr>
            <w:r>
              <w:t>资金支付率</w:t>
            </w:r>
          </w:p>
        </w:tc>
        <w:tc>
          <w:tcPr>
            <w:tcW w:w="5386" w:type="dxa"/>
            <w:vAlign w:val="center"/>
          </w:tcPr>
          <w:p w14:paraId="601806F1">
            <w:pPr>
              <w:pStyle w:val="13"/>
            </w:pPr>
            <w:r>
              <w:t>按照序时进度完成资金支付</w:t>
            </w:r>
          </w:p>
        </w:tc>
        <w:tc>
          <w:tcPr>
            <w:tcW w:w="1673" w:type="dxa"/>
            <w:vAlign w:val="center"/>
          </w:tcPr>
          <w:p w14:paraId="6117C802">
            <w:pPr>
              <w:pStyle w:val="13"/>
            </w:pPr>
            <w:r>
              <w:t>100%</w:t>
            </w:r>
          </w:p>
        </w:tc>
        <w:tc>
          <w:tcPr>
            <w:tcW w:w="1871" w:type="dxa"/>
            <w:vAlign w:val="center"/>
          </w:tcPr>
          <w:p w14:paraId="62DEDCE7">
            <w:pPr>
              <w:pStyle w:val="13"/>
            </w:pPr>
            <w:r>
              <w:t>城乡义务教育公用经费管理办法</w:t>
            </w:r>
          </w:p>
        </w:tc>
      </w:tr>
      <w:tr w14:paraId="13043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10FE2"/>
        </w:tc>
        <w:tc>
          <w:tcPr>
            <w:tcW w:w="2268" w:type="dxa"/>
            <w:vAlign w:val="center"/>
          </w:tcPr>
          <w:p w14:paraId="54581560">
            <w:pPr>
              <w:pStyle w:val="13"/>
            </w:pPr>
            <w:r>
              <w:t>成本指标</w:t>
            </w:r>
          </w:p>
        </w:tc>
        <w:tc>
          <w:tcPr>
            <w:tcW w:w="2835" w:type="dxa"/>
            <w:vAlign w:val="center"/>
          </w:tcPr>
          <w:p w14:paraId="21A437B1">
            <w:pPr>
              <w:pStyle w:val="13"/>
            </w:pPr>
            <w:r>
              <w:t>生均拨款标准</w:t>
            </w:r>
          </w:p>
        </w:tc>
        <w:tc>
          <w:tcPr>
            <w:tcW w:w="5386" w:type="dxa"/>
            <w:vAlign w:val="center"/>
          </w:tcPr>
          <w:p w14:paraId="0060184D">
            <w:pPr>
              <w:pStyle w:val="13"/>
            </w:pPr>
            <w:r>
              <w:t>初中生均补助年标准</w:t>
            </w:r>
          </w:p>
        </w:tc>
        <w:tc>
          <w:tcPr>
            <w:tcW w:w="1673" w:type="dxa"/>
            <w:vAlign w:val="center"/>
          </w:tcPr>
          <w:p w14:paraId="62D3E1E6">
            <w:pPr>
              <w:pStyle w:val="13"/>
            </w:pPr>
            <w:r>
              <w:t>1360元</w:t>
            </w:r>
          </w:p>
        </w:tc>
        <w:tc>
          <w:tcPr>
            <w:tcW w:w="1871" w:type="dxa"/>
            <w:vAlign w:val="center"/>
          </w:tcPr>
          <w:p w14:paraId="696C5236">
            <w:pPr>
              <w:pStyle w:val="13"/>
            </w:pPr>
            <w:r>
              <w:t>城乡义务教育公用经费管理办法</w:t>
            </w:r>
          </w:p>
        </w:tc>
      </w:tr>
      <w:tr w14:paraId="2EB1A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810A3"/>
        </w:tc>
        <w:tc>
          <w:tcPr>
            <w:tcW w:w="2268" w:type="dxa"/>
            <w:vAlign w:val="center"/>
          </w:tcPr>
          <w:p w14:paraId="25C539A0">
            <w:pPr>
              <w:pStyle w:val="13"/>
            </w:pPr>
            <w:r>
              <w:t>成本指标</w:t>
            </w:r>
          </w:p>
        </w:tc>
        <w:tc>
          <w:tcPr>
            <w:tcW w:w="2835" w:type="dxa"/>
            <w:vAlign w:val="center"/>
          </w:tcPr>
          <w:p w14:paraId="247F8A40">
            <w:pPr>
              <w:pStyle w:val="13"/>
            </w:pPr>
            <w:r>
              <w:t>生均拨款标准</w:t>
            </w:r>
          </w:p>
        </w:tc>
        <w:tc>
          <w:tcPr>
            <w:tcW w:w="5386" w:type="dxa"/>
            <w:vAlign w:val="center"/>
          </w:tcPr>
          <w:p w14:paraId="236F3E02">
            <w:pPr>
              <w:pStyle w:val="13"/>
            </w:pPr>
            <w:r>
              <w:t>初中生均补助年标准</w:t>
            </w:r>
          </w:p>
        </w:tc>
        <w:tc>
          <w:tcPr>
            <w:tcW w:w="1673" w:type="dxa"/>
            <w:vAlign w:val="center"/>
          </w:tcPr>
          <w:p w14:paraId="769707A8">
            <w:pPr>
              <w:pStyle w:val="13"/>
            </w:pPr>
            <w:r>
              <w:t>7000元</w:t>
            </w:r>
          </w:p>
        </w:tc>
        <w:tc>
          <w:tcPr>
            <w:tcW w:w="1871" w:type="dxa"/>
            <w:vAlign w:val="center"/>
          </w:tcPr>
          <w:p w14:paraId="21453415">
            <w:pPr>
              <w:pStyle w:val="13"/>
            </w:pPr>
            <w:r>
              <w:t>城乡义务教育公用经费管理办法</w:t>
            </w:r>
          </w:p>
        </w:tc>
      </w:tr>
      <w:tr w14:paraId="26857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BBA528">
            <w:pPr>
              <w:pStyle w:val="12"/>
            </w:pPr>
            <w:r>
              <w:t>效益指标</w:t>
            </w:r>
          </w:p>
        </w:tc>
        <w:tc>
          <w:tcPr>
            <w:tcW w:w="2268" w:type="dxa"/>
            <w:vAlign w:val="center"/>
          </w:tcPr>
          <w:p w14:paraId="605A228B">
            <w:pPr>
              <w:pStyle w:val="13"/>
            </w:pPr>
            <w:r>
              <w:t>社会效益指标</w:t>
            </w:r>
          </w:p>
        </w:tc>
        <w:tc>
          <w:tcPr>
            <w:tcW w:w="2835" w:type="dxa"/>
            <w:vAlign w:val="center"/>
          </w:tcPr>
          <w:p w14:paraId="4BF2CBC0">
            <w:pPr>
              <w:pStyle w:val="13"/>
            </w:pPr>
            <w:r>
              <w:t>学校日常运转正常</w:t>
            </w:r>
          </w:p>
        </w:tc>
        <w:tc>
          <w:tcPr>
            <w:tcW w:w="5386" w:type="dxa"/>
            <w:vAlign w:val="center"/>
          </w:tcPr>
          <w:p w14:paraId="5A0A1305">
            <w:pPr>
              <w:pStyle w:val="13"/>
            </w:pPr>
            <w:r>
              <w:t>学生受教育年限</w:t>
            </w:r>
          </w:p>
        </w:tc>
        <w:tc>
          <w:tcPr>
            <w:tcW w:w="1673" w:type="dxa"/>
            <w:vAlign w:val="center"/>
          </w:tcPr>
          <w:p w14:paraId="6BDD2000">
            <w:pPr>
              <w:pStyle w:val="13"/>
            </w:pPr>
            <w:r>
              <w:t>3年</w:t>
            </w:r>
          </w:p>
        </w:tc>
        <w:tc>
          <w:tcPr>
            <w:tcW w:w="1871" w:type="dxa"/>
            <w:vAlign w:val="center"/>
          </w:tcPr>
          <w:p w14:paraId="0465ABB5">
            <w:pPr>
              <w:pStyle w:val="13"/>
            </w:pPr>
            <w:r>
              <w:t>城乡义务教育公用经费管理办法</w:t>
            </w:r>
          </w:p>
        </w:tc>
      </w:tr>
      <w:tr w14:paraId="44B2F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8B175B">
            <w:pPr>
              <w:pStyle w:val="12"/>
            </w:pPr>
            <w:r>
              <w:t>满意度指标</w:t>
            </w:r>
          </w:p>
        </w:tc>
        <w:tc>
          <w:tcPr>
            <w:tcW w:w="2268" w:type="dxa"/>
            <w:vAlign w:val="center"/>
          </w:tcPr>
          <w:p w14:paraId="020CF699">
            <w:pPr>
              <w:pStyle w:val="13"/>
            </w:pPr>
            <w:r>
              <w:t>服务对象满意度指标</w:t>
            </w:r>
          </w:p>
        </w:tc>
        <w:tc>
          <w:tcPr>
            <w:tcW w:w="2835" w:type="dxa"/>
            <w:vAlign w:val="center"/>
          </w:tcPr>
          <w:p w14:paraId="1D0B893D">
            <w:pPr>
              <w:pStyle w:val="13"/>
            </w:pPr>
            <w:r>
              <w:t>受益学生家长及调查满意度</w:t>
            </w:r>
          </w:p>
        </w:tc>
        <w:tc>
          <w:tcPr>
            <w:tcW w:w="5386" w:type="dxa"/>
            <w:vAlign w:val="center"/>
          </w:tcPr>
          <w:p w14:paraId="3797967C">
            <w:pPr>
              <w:pStyle w:val="13"/>
            </w:pPr>
            <w:r>
              <w:t>学生、教师及家长对学校教育教学工作满意度情况</w:t>
            </w:r>
          </w:p>
        </w:tc>
        <w:tc>
          <w:tcPr>
            <w:tcW w:w="1673" w:type="dxa"/>
            <w:vAlign w:val="center"/>
          </w:tcPr>
          <w:p w14:paraId="2FBD5193">
            <w:pPr>
              <w:pStyle w:val="13"/>
            </w:pPr>
            <w:r>
              <w:t>≥95%</w:t>
            </w:r>
          </w:p>
        </w:tc>
        <w:tc>
          <w:tcPr>
            <w:tcW w:w="1871" w:type="dxa"/>
            <w:vAlign w:val="center"/>
          </w:tcPr>
          <w:p w14:paraId="240EEC61">
            <w:pPr>
              <w:pStyle w:val="13"/>
            </w:pPr>
            <w:r>
              <w:t>城乡义务教育公用经费管理办法</w:t>
            </w:r>
          </w:p>
        </w:tc>
      </w:tr>
    </w:tbl>
    <w:p w14:paraId="76ECD18B">
      <w:pPr>
        <w:sectPr>
          <w:pgSz w:w="16840" w:h="11900" w:orient="landscape"/>
          <w:pgMar w:top="1361" w:right="1020" w:bottom="1134" w:left="1020" w:header="720" w:footer="720" w:gutter="0"/>
          <w:cols w:space="720" w:num="1"/>
        </w:sectPr>
      </w:pPr>
    </w:p>
    <w:p w14:paraId="1249A989">
      <w:pPr>
        <w:spacing w:before="0" w:after="0"/>
        <w:ind w:firstLine="560"/>
        <w:jc w:val="left"/>
        <w:outlineLvl w:val="9"/>
      </w:pPr>
      <w:r>
        <w:rPr>
          <w:rFonts w:ascii="方正仿宋_GBK" w:hAnsi="方正仿宋_GBK" w:eastAsia="方正仿宋_GBK" w:cs="方正仿宋_GBK"/>
          <w:b/>
          <w:color w:val="000000"/>
          <w:sz w:val="28"/>
        </w:rPr>
        <w:t>6、上年盘活/冀财教[2022]162号/省级/义教经费/校舍安全/北楼中学学生宿舍楼室外消防工程绩效目标表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E8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5F63D">
            <w:pPr>
              <w:pStyle w:val="14"/>
            </w:pPr>
            <w:r>
              <w:t>单位：万元</w:t>
            </w:r>
          </w:p>
        </w:tc>
      </w:tr>
      <w:tr w14:paraId="2FAE4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8ADA2F">
            <w:pPr>
              <w:pStyle w:val="11"/>
            </w:pPr>
            <w:r>
              <w:t>项目编码</w:t>
            </w:r>
          </w:p>
        </w:tc>
        <w:tc>
          <w:tcPr>
            <w:tcW w:w="5103" w:type="dxa"/>
            <w:gridSpan w:val="2"/>
            <w:vAlign w:val="center"/>
          </w:tcPr>
          <w:p w14:paraId="5C9173AD">
            <w:pPr>
              <w:pStyle w:val="13"/>
            </w:pPr>
            <w:r>
              <w:t>13052525P008756101526</w:t>
            </w:r>
          </w:p>
        </w:tc>
        <w:tc>
          <w:tcPr>
            <w:tcW w:w="2835" w:type="dxa"/>
            <w:vAlign w:val="center"/>
          </w:tcPr>
          <w:p w14:paraId="463F37D5">
            <w:pPr>
              <w:pStyle w:val="11"/>
            </w:pPr>
            <w:r>
              <w:t>项目名称</w:t>
            </w:r>
          </w:p>
        </w:tc>
        <w:tc>
          <w:tcPr>
            <w:tcW w:w="6095" w:type="dxa"/>
            <w:gridSpan w:val="3"/>
            <w:vAlign w:val="center"/>
          </w:tcPr>
          <w:p w14:paraId="778300FC">
            <w:pPr>
              <w:pStyle w:val="13"/>
            </w:pPr>
            <w:r>
              <w:t>上年盘活/冀财教[2022]162号/省级/义教经费/校舍安全/北楼中学学生宿舍楼室外消防工程</w:t>
            </w:r>
          </w:p>
        </w:tc>
      </w:tr>
      <w:tr w14:paraId="1D3B5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DC5EA">
            <w:pPr>
              <w:pStyle w:val="11"/>
            </w:pPr>
            <w:r>
              <w:t>预算规模及资金用途</w:t>
            </w:r>
          </w:p>
        </w:tc>
        <w:tc>
          <w:tcPr>
            <w:tcW w:w="2268" w:type="dxa"/>
            <w:vAlign w:val="center"/>
          </w:tcPr>
          <w:p w14:paraId="2499A453">
            <w:pPr>
              <w:pStyle w:val="11"/>
            </w:pPr>
            <w:r>
              <w:t>预算数</w:t>
            </w:r>
          </w:p>
        </w:tc>
        <w:tc>
          <w:tcPr>
            <w:tcW w:w="2835" w:type="dxa"/>
            <w:vAlign w:val="center"/>
          </w:tcPr>
          <w:p w14:paraId="04470CB6">
            <w:pPr>
              <w:pStyle w:val="13"/>
            </w:pPr>
            <w:r>
              <w:t>8.79</w:t>
            </w:r>
          </w:p>
        </w:tc>
        <w:tc>
          <w:tcPr>
            <w:tcW w:w="2835" w:type="dxa"/>
            <w:vAlign w:val="center"/>
          </w:tcPr>
          <w:p w14:paraId="254DE9FE">
            <w:pPr>
              <w:pStyle w:val="11"/>
            </w:pPr>
            <w:r>
              <w:t>其中：财政    资金</w:t>
            </w:r>
          </w:p>
        </w:tc>
        <w:tc>
          <w:tcPr>
            <w:tcW w:w="2551" w:type="dxa"/>
            <w:vAlign w:val="center"/>
          </w:tcPr>
          <w:p w14:paraId="5395011B">
            <w:pPr>
              <w:pStyle w:val="13"/>
            </w:pPr>
            <w:r>
              <w:t>8.79</w:t>
            </w:r>
          </w:p>
        </w:tc>
        <w:tc>
          <w:tcPr>
            <w:tcW w:w="2268" w:type="dxa"/>
            <w:vAlign w:val="center"/>
          </w:tcPr>
          <w:p w14:paraId="6BE72CF4">
            <w:pPr>
              <w:pStyle w:val="11"/>
            </w:pPr>
            <w:r>
              <w:t>其他资金</w:t>
            </w:r>
          </w:p>
        </w:tc>
        <w:tc>
          <w:tcPr>
            <w:tcW w:w="1276" w:type="dxa"/>
            <w:vAlign w:val="center"/>
          </w:tcPr>
          <w:p w14:paraId="7A87AE3D">
            <w:pPr>
              <w:pStyle w:val="13"/>
            </w:pPr>
            <w:r>
              <w:t xml:space="preserve"> </w:t>
            </w:r>
          </w:p>
        </w:tc>
      </w:tr>
      <w:tr w14:paraId="15B62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C1D728"/>
        </w:tc>
        <w:tc>
          <w:tcPr>
            <w:tcW w:w="14033" w:type="dxa"/>
            <w:gridSpan w:val="6"/>
            <w:vAlign w:val="center"/>
          </w:tcPr>
          <w:p w14:paraId="2027BF00">
            <w:pPr>
              <w:pStyle w:val="13"/>
            </w:pPr>
            <w:r>
              <w:t>改善校园环境，提高办学水平及适龄学生入学率。</w:t>
            </w:r>
            <w:r>
              <w:tab/>
            </w:r>
          </w:p>
        </w:tc>
      </w:tr>
      <w:tr w14:paraId="698E4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628D573A">
            <w:pPr>
              <w:pStyle w:val="11"/>
            </w:pPr>
            <w:r>
              <w:t>资金支出计划（%）</w:t>
            </w:r>
          </w:p>
        </w:tc>
        <w:tc>
          <w:tcPr>
            <w:tcW w:w="5103" w:type="dxa"/>
            <w:gridSpan w:val="2"/>
            <w:vAlign w:val="center"/>
          </w:tcPr>
          <w:p w14:paraId="1701E3C6">
            <w:pPr>
              <w:pStyle w:val="11"/>
            </w:pPr>
            <w:r>
              <w:t>3月底</w:t>
            </w:r>
          </w:p>
        </w:tc>
        <w:tc>
          <w:tcPr>
            <w:tcW w:w="2835" w:type="dxa"/>
            <w:vAlign w:val="center"/>
          </w:tcPr>
          <w:p w14:paraId="1C210A2C">
            <w:pPr>
              <w:pStyle w:val="11"/>
            </w:pPr>
            <w:r>
              <w:t>6月底</w:t>
            </w:r>
          </w:p>
        </w:tc>
        <w:tc>
          <w:tcPr>
            <w:tcW w:w="2551" w:type="dxa"/>
            <w:vAlign w:val="center"/>
          </w:tcPr>
          <w:p w14:paraId="6CA1D21D">
            <w:pPr>
              <w:pStyle w:val="11"/>
            </w:pPr>
            <w:r>
              <w:t>10月底</w:t>
            </w:r>
          </w:p>
        </w:tc>
        <w:tc>
          <w:tcPr>
            <w:tcW w:w="3544" w:type="dxa"/>
            <w:gridSpan w:val="2"/>
            <w:vAlign w:val="center"/>
          </w:tcPr>
          <w:p w14:paraId="2D373F49">
            <w:pPr>
              <w:pStyle w:val="11"/>
            </w:pPr>
            <w:r>
              <w:t>12月底</w:t>
            </w:r>
          </w:p>
        </w:tc>
      </w:tr>
      <w:tr w14:paraId="39F59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DDD1BD"/>
        </w:tc>
        <w:tc>
          <w:tcPr>
            <w:tcW w:w="5103" w:type="dxa"/>
            <w:gridSpan w:val="2"/>
            <w:vAlign w:val="center"/>
          </w:tcPr>
          <w:p w14:paraId="18B7C97C">
            <w:pPr>
              <w:pStyle w:val="12"/>
            </w:pPr>
            <w:r>
              <w:t>25%</w:t>
            </w:r>
          </w:p>
        </w:tc>
        <w:tc>
          <w:tcPr>
            <w:tcW w:w="2835" w:type="dxa"/>
            <w:vAlign w:val="center"/>
          </w:tcPr>
          <w:p w14:paraId="4E9D8084">
            <w:pPr>
              <w:pStyle w:val="12"/>
            </w:pPr>
            <w:r>
              <w:t>50%</w:t>
            </w:r>
          </w:p>
        </w:tc>
        <w:tc>
          <w:tcPr>
            <w:tcW w:w="2551" w:type="dxa"/>
            <w:vAlign w:val="center"/>
          </w:tcPr>
          <w:p w14:paraId="3BE02E84">
            <w:pPr>
              <w:pStyle w:val="12"/>
            </w:pPr>
            <w:r>
              <w:t>75%</w:t>
            </w:r>
          </w:p>
        </w:tc>
        <w:tc>
          <w:tcPr>
            <w:tcW w:w="3544" w:type="dxa"/>
            <w:gridSpan w:val="2"/>
            <w:vAlign w:val="center"/>
          </w:tcPr>
          <w:p w14:paraId="26A4AA96">
            <w:pPr>
              <w:pStyle w:val="12"/>
            </w:pPr>
            <w:r>
              <w:t>100%</w:t>
            </w:r>
          </w:p>
        </w:tc>
      </w:tr>
      <w:tr w14:paraId="4CDF8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CBCF4D">
            <w:pPr>
              <w:pStyle w:val="11"/>
            </w:pPr>
            <w:r>
              <w:t>绩效目标</w:t>
            </w:r>
          </w:p>
        </w:tc>
        <w:tc>
          <w:tcPr>
            <w:tcW w:w="14033" w:type="dxa"/>
            <w:gridSpan w:val="6"/>
            <w:vAlign w:val="center"/>
          </w:tcPr>
          <w:p w14:paraId="170CE305">
            <w:pPr>
              <w:pStyle w:val="13"/>
            </w:pPr>
            <w:r>
              <w:t>1.改善校园环境，提高办学水平及适龄学生入学率。</w:t>
            </w:r>
            <w:r>
              <w:tab/>
            </w:r>
          </w:p>
          <w:p w14:paraId="603F469E">
            <w:pPr>
              <w:pStyle w:val="13"/>
            </w:pPr>
          </w:p>
          <w:p w14:paraId="7F251E4C">
            <w:pPr>
              <w:pStyle w:val="13"/>
            </w:pPr>
            <w:r>
              <w:t>2.按季拨付我校消防工程项目经费资金87898 元，资金拨付率达到100%。</w:t>
            </w:r>
            <w:r>
              <w:tab/>
            </w:r>
          </w:p>
          <w:p w14:paraId="50BE7335">
            <w:pPr>
              <w:pStyle w:val="13"/>
            </w:pPr>
          </w:p>
        </w:tc>
      </w:tr>
    </w:tbl>
    <w:p w14:paraId="4A8CE0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E2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62992">
            <w:pPr>
              <w:pStyle w:val="11"/>
            </w:pPr>
            <w:r>
              <w:t>一级指标</w:t>
            </w:r>
          </w:p>
        </w:tc>
        <w:tc>
          <w:tcPr>
            <w:tcW w:w="2268" w:type="dxa"/>
            <w:vAlign w:val="center"/>
          </w:tcPr>
          <w:p w14:paraId="199E697F">
            <w:pPr>
              <w:pStyle w:val="11"/>
            </w:pPr>
            <w:r>
              <w:t>二级指标</w:t>
            </w:r>
          </w:p>
        </w:tc>
        <w:tc>
          <w:tcPr>
            <w:tcW w:w="2835" w:type="dxa"/>
            <w:vAlign w:val="center"/>
          </w:tcPr>
          <w:p w14:paraId="10BB992B">
            <w:pPr>
              <w:pStyle w:val="11"/>
            </w:pPr>
            <w:r>
              <w:t>三级指标</w:t>
            </w:r>
          </w:p>
        </w:tc>
        <w:tc>
          <w:tcPr>
            <w:tcW w:w="5386" w:type="dxa"/>
            <w:vAlign w:val="center"/>
          </w:tcPr>
          <w:p w14:paraId="3E38E9E7">
            <w:pPr>
              <w:pStyle w:val="11"/>
            </w:pPr>
            <w:r>
              <w:t>绩效指标描述</w:t>
            </w:r>
          </w:p>
        </w:tc>
        <w:tc>
          <w:tcPr>
            <w:tcW w:w="2268" w:type="dxa"/>
            <w:vAlign w:val="center"/>
          </w:tcPr>
          <w:p w14:paraId="6B097612">
            <w:pPr>
              <w:pStyle w:val="11"/>
            </w:pPr>
            <w:r>
              <w:t>指标值</w:t>
            </w:r>
          </w:p>
        </w:tc>
        <w:tc>
          <w:tcPr>
            <w:tcW w:w="1276" w:type="dxa"/>
            <w:vAlign w:val="center"/>
          </w:tcPr>
          <w:p w14:paraId="086F3B0D">
            <w:pPr>
              <w:pStyle w:val="11"/>
            </w:pPr>
            <w:r>
              <w:t>指标值确定依据</w:t>
            </w:r>
          </w:p>
        </w:tc>
      </w:tr>
      <w:tr w14:paraId="3E176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39C14">
            <w:pPr>
              <w:pStyle w:val="12"/>
            </w:pPr>
            <w:r>
              <w:t>产出指标</w:t>
            </w:r>
          </w:p>
        </w:tc>
        <w:tc>
          <w:tcPr>
            <w:tcW w:w="2268" w:type="dxa"/>
            <w:vAlign w:val="center"/>
          </w:tcPr>
          <w:p w14:paraId="3B208746">
            <w:pPr>
              <w:pStyle w:val="13"/>
            </w:pPr>
            <w:r>
              <w:t>数量指标</w:t>
            </w:r>
          </w:p>
        </w:tc>
        <w:tc>
          <w:tcPr>
            <w:tcW w:w="2835" w:type="dxa"/>
            <w:vAlign w:val="center"/>
          </w:tcPr>
          <w:p w14:paraId="6017E10E">
            <w:pPr>
              <w:pStyle w:val="13"/>
            </w:pPr>
            <w:r>
              <w:t>综合楼室外消防工程</w:t>
            </w:r>
          </w:p>
        </w:tc>
        <w:tc>
          <w:tcPr>
            <w:tcW w:w="5386" w:type="dxa"/>
            <w:vAlign w:val="center"/>
          </w:tcPr>
          <w:p w14:paraId="24E7CAC8">
            <w:pPr>
              <w:pStyle w:val="13"/>
            </w:pPr>
            <w:r>
              <w:t>安装消防泵房、蓄水池、室外网管、消防设备设施等</w:t>
            </w:r>
          </w:p>
        </w:tc>
        <w:tc>
          <w:tcPr>
            <w:tcW w:w="2268" w:type="dxa"/>
            <w:vAlign w:val="center"/>
          </w:tcPr>
          <w:p w14:paraId="2CF8774B">
            <w:pPr>
              <w:pStyle w:val="13"/>
            </w:pPr>
            <w:r>
              <w:t>1项</w:t>
            </w:r>
          </w:p>
        </w:tc>
        <w:tc>
          <w:tcPr>
            <w:tcW w:w="1276" w:type="dxa"/>
            <w:vAlign w:val="center"/>
          </w:tcPr>
          <w:p w14:paraId="2C1626AD">
            <w:pPr>
              <w:pStyle w:val="13"/>
            </w:pPr>
            <w:r>
              <w:t>项目规划</w:t>
            </w:r>
          </w:p>
        </w:tc>
      </w:tr>
      <w:tr w14:paraId="13D47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0E6CD"/>
        </w:tc>
        <w:tc>
          <w:tcPr>
            <w:tcW w:w="2268" w:type="dxa"/>
            <w:vAlign w:val="center"/>
          </w:tcPr>
          <w:p w14:paraId="2CE930B3">
            <w:pPr>
              <w:pStyle w:val="13"/>
            </w:pPr>
            <w:r>
              <w:t>质量指标</w:t>
            </w:r>
          </w:p>
        </w:tc>
        <w:tc>
          <w:tcPr>
            <w:tcW w:w="2835" w:type="dxa"/>
            <w:vAlign w:val="center"/>
          </w:tcPr>
          <w:p w14:paraId="5B1CB8A3">
            <w:pPr>
              <w:pStyle w:val="13"/>
            </w:pPr>
            <w:r>
              <w:t>工程实施验收合格率</w:t>
            </w:r>
          </w:p>
        </w:tc>
        <w:tc>
          <w:tcPr>
            <w:tcW w:w="5386" w:type="dxa"/>
            <w:vAlign w:val="center"/>
          </w:tcPr>
          <w:p w14:paraId="2831274E">
            <w:pPr>
              <w:pStyle w:val="13"/>
            </w:pPr>
            <w:r>
              <w:t>申报程序的合规，项目实施及资金使用符合项目规划</w:t>
            </w:r>
          </w:p>
        </w:tc>
        <w:tc>
          <w:tcPr>
            <w:tcW w:w="2268" w:type="dxa"/>
            <w:vAlign w:val="center"/>
          </w:tcPr>
          <w:p w14:paraId="7E34B562">
            <w:pPr>
              <w:pStyle w:val="13"/>
            </w:pPr>
            <w:r>
              <w:t>100%</w:t>
            </w:r>
          </w:p>
        </w:tc>
        <w:tc>
          <w:tcPr>
            <w:tcW w:w="1276" w:type="dxa"/>
            <w:vAlign w:val="center"/>
          </w:tcPr>
          <w:p w14:paraId="4628B4B4">
            <w:pPr>
              <w:pStyle w:val="13"/>
            </w:pPr>
            <w:r>
              <w:t>项目规划</w:t>
            </w:r>
          </w:p>
        </w:tc>
      </w:tr>
      <w:tr w14:paraId="104FD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82A72"/>
        </w:tc>
        <w:tc>
          <w:tcPr>
            <w:tcW w:w="2268" w:type="dxa"/>
            <w:vAlign w:val="center"/>
          </w:tcPr>
          <w:p w14:paraId="7578E4F8">
            <w:pPr>
              <w:pStyle w:val="13"/>
            </w:pPr>
            <w:r>
              <w:t>时效指标</w:t>
            </w:r>
          </w:p>
        </w:tc>
        <w:tc>
          <w:tcPr>
            <w:tcW w:w="2835" w:type="dxa"/>
            <w:vAlign w:val="center"/>
          </w:tcPr>
          <w:p w14:paraId="265412D6">
            <w:pPr>
              <w:pStyle w:val="13"/>
            </w:pPr>
            <w:r>
              <w:t>资金支付率</w:t>
            </w:r>
          </w:p>
        </w:tc>
        <w:tc>
          <w:tcPr>
            <w:tcW w:w="5386" w:type="dxa"/>
            <w:vAlign w:val="center"/>
          </w:tcPr>
          <w:p w14:paraId="48A885AC">
            <w:pPr>
              <w:pStyle w:val="13"/>
            </w:pPr>
            <w:r>
              <w:t>按照序时进度完成资金支付</w:t>
            </w:r>
          </w:p>
        </w:tc>
        <w:tc>
          <w:tcPr>
            <w:tcW w:w="2268" w:type="dxa"/>
            <w:vAlign w:val="center"/>
          </w:tcPr>
          <w:p w14:paraId="0E1EB7FC">
            <w:pPr>
              <w:pStyle w:val="13"/>
            </w:pPr>
            <w:r>
              <w:t>100%</w:t>
            </w:r>
          </w:p>
        </w:tc>
        <w:tc>
          <w:tcPr>
            <w:tcW w:w="1276" w:type="dxa"/>
            <w:vAlign w:val="center"/>
          </w:tcPr>
          <w:p w14:paraId="75A6184E">
            <w:pPr>
              <w:pStyle w:val="13"/>
            </w:pPr>
            <w:r>
              <w:t>项目规划</w:t>
            </w:r>
          </w:p>
        </w:tc>
      </w:tr>
      <w:tr w14:paraId="1F9D2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4BDF6"/>
        </w:tc>
        <w:tc>
          <w:tcPr>
            <w:tcW w:w="2268" w:type="dxa"/>
            <w:vAlign w:val="center"/>
          </w:tcPr>
          <w:p w14:paraId="17A83049">
            <w:pPr>
              <w:pStyle w:val="13"/>
            </w:pPr>
            <w:r>
              <w:t>成本指标</w:t>
            </w:r>
          </w:p>
        </w:tc>
        <w:tc>
          <w:tcPr>
            <w:tcW w:w="2835" w:type="dxa"/>
            <w:vAlign w:val="center"/>
          </w:tcPr>
          <w:p w14:paraId="70D9ADE2">
            <w:pPr>
              <w:pStyle w:val="13"/>
            </w:pPr>
            <w:r>
              <w:t>项目成本控制情况</w:t>
            </w:r>
          </w:p>
        </w:tc>
        <w:tc>
          <w:tcPr>
            <w:tcW w:w="5386" w:type="dxa"/>
            <w:vAlign w:val="center"/>
          </w:tcPr>
          <w:p w14:paraId="7CCC5AF5">
            <w:pPr>
              <w:pStyle w:val="13"/>
            </w:pPr>
            <w:r>
              <w:t>严格按照招标价格及审计额进行</w:t>
            </w:r>
          </w:p>
        </w:tc>
        <w:tc>
          <w:tcPr>
            <w:tcW w:w="2268" w:type="dxa"/>
            <w:vAlign w:val="center"/>
          </w:tcPr>
          <w:p w14:paraId="45B6C982">
            <w:pPr>
              <w:pStyle w:val="13"/>
            </w:pPr>
            <w:r>
              <w:t>≤87898元</w:t>
            </w:r>
          </w:p>
        </w:tc>
        <w:tc>
          <w:tcPr>
            <w:tcW w:w="1276" w:type="dxa"/>
            <w:vAlign w:val="center"/>
          </w:tcPr>
          <w:p w14:paraId="51C4476F">
            <w:pPr>
              <w:pStyle w:val="13"/>
            </w:pPr>
            <w:r>
              <w:t>项目规划</w:t>
            </w:r>
          </w:p>
        </w:tc>
      </w:tr>
      <w:tr w14:paraId="34B09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C081D7">
            <w:pPr>
              <w:pStyle w:val="12"/>
            </w:pPr>
            <w:r>
              <w:t>效益指标</w:t>
            </w:r>
          </w:p>
        </w:tc>
        <w:tc>
          <w:tcPr>
            <w:tcW w:w="2268" w:type="dxa"/>
            <w:vAlign w:val="center"/>
          </w:tcPr>
          <w:p w14:paraId="47E7E7DC">
            <w:pPr>
              <w:pStyle w:val="13"/>
            </w:pPr>
            <w:r>
              <w:t>可持续影响指标</w:t>
            </w:r>
          </w:p>
        </w:tc>
        <w:tc>
          <w:tcPr>
            <w:tcW w:w="2835" w:type="dxa"/>
            <w:vAlign w:val="center"/>
          </w:tcPr>
          <w:p w14:paraId="774D732F">
            <w:pPr>
              <w:pStyle w:val="13"/>
            </w:pPr>
            <w:r>
              <w:t>工程使用年限</w:t>
            </w:r>
          </w:p>
        </w:tc>
        <w:tc>
          <w:tcPr>
            <w:tcW w:w="5386" w:type="dxa"/>
            <w:vAlign w:val="center"/>
          </w:tcPr>
          <w:p w14:paraId="19A25674">
            <w:pPr>
              <w:pStyle w:val="13"/>
            </w:pPr>
            <w:r>
              <w:t>工程使用年限</w:t>
            </w:r>
          </w:p>
        </w:tc>
        <w:tc>
          <w:tcPr>
            <w:tcW w:w="2268" w:type="dxa"/>
            <w:vAlign w:val="center"/>
          </w:tcPr>
          <w:p w14:paraId="2B2053A9">
            <w:pPr>
              <w:pStyle w:val="13"/>
            </w:pPr>
            <w:r>
              <w:t>≥15年</w:t>
            </w:r>
          </w:p>
        </w:tc>
        <w:tc>
          <w:tcPr>
            <w:tcW w:w="1276" w:type="dxa"/>
            <w:vAlign w:val="center"/>
          </w:tcPr>
          <w:p w14:paraId="17B68AE2">
            <w:pPr>
              <w:pStyle w:val="13"/>
            </w:pPr>
            <w:r>
              <w:t>项目规划</w:t>
            </w:r>
          </w:p>
        </w:tc>
      </w:tr>
      <w:tr w14:paraId="1D4C0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101817">
            <w:pPr>
              <w:pStyle w:val="12"/>
            </w:pPr>
            <w:r>
              <w:t>满意度指标</w:t>
            </w:r>
          </w:p>
        </w:tc>
        <w:tc>
          <w:tcPr>
            <w:tcW w:w="2268" w:type="dxa"/>
            <w:vAlign w:val="center"/>
          </w:tcPr>
          <w:p w14:paraId="5ED35FA1">
            <w:pPr>
              <w:pStyle w:val="13"/>
            </w:pPr>
            <w:r>
              <w:t>服务对象满意度指标</w:t>
            </w:r>
          </w:p>
        </w:tc>
        <w:tc>
          <w:tcPr>
            <w:tcW w:w="2835" w:type="dxa"/>
            <w:vAlign w:val="center"/>
          </w:tcPr>
          <w:p w14:paraId="5D369C90">
            <w:pPr>
              <w:pStyle w:val="13"/>
            </w:pPr>
            <w:r>
              <w:t>受益学生家长及调查满意度</w:t>
            </w:r>
          </w:p>
        </w:tc>
        <w:tc>
          <w:tcPr>
            <w:tcW w:w="5386" w:type="dxa"/>
            <w:vAlign w:val="center"/>
          </w:tcPr>
          <w:p w14:paraId="66B3776D">
            <w:pPr>
              <w:pStyle w:val="13"/>
            </w:pPr>
            <w:r>
              <w:t>学生、教师及家长对学校教学环境满意度情况</w:t>
            </w:r>
          </w:p>
        </w:tc>
        <w:tc>
          <w:tcPr>
            <w:tcW w:w="2268" w:type="dxa"/>
            <w:vAlign w:val="center"/>
          </w:tcPr>
          <w:p w14:paraId="6190B434">
            <w:pPr>
              <w:pStyle w:val="13"/>
            </w:pPr>
            <w:r>
              <w:t>≥95%</w:t>
            </w:r>
          </w:p>
        </w:tc>
        <w:tc>
          <w:tcPr>
            <w:tcW w:w="1276" w:type="dxa"/>
            <w:vAlign w:val="center"/>
          </w:tcPr>
          <w:p w14:paraId="5AE76757">
            <w:pPr>
              <w:pStyle w:val="13"/>
            </w:pPr>
            <w:r>
              <w:t>项目规划</w:t>
            </w:r>
          </w:p>
        </w:tc>
      </w:tr>
    </w:tbl>
    <w:p w14:paraId="2F3FB36F">
      <w:pPr>
        <w:sectPr>
          <w:pgSz w:w="16840" w:h="11900" w:orient="landscape"/>
          <w:pgMar w:top="1361" w:right="1020" w:bottom="1134" w:left="1020" w:header="720" w:footer="720" w:gutter="0"/>
          <w:cols w:space="720" w:num="1"/>
        </w:sectPr>
      </w:pPr>
    </w:p>
    <w:p w14:paraId="71FA7B15">
      <w:pPr>
        <w:spacing w:before="0" w:after="0"/>
        <w:ind w:firstLine="560"/>
        <w:jc w:val="left"/>
        <w:outlineLvl w:val="9"/>
      </w:pPr>
      <w:r>
        <w:rPr>
          <w:rFonts w:ascii="方正仿宋_GBK" w:hAnsi="方正仿宋_GBK" w:eastAsia="方正仿宋_GBK" w:cs="方正仿宋_GBK"/>
          <w:b/>
          <w:color w:val="000000"/>
          <w:sz w:val="28"/>
        </w:rPr>
        <w:t>7、上年盘活/冀财教[2022]179号/中央/义教经费/校舍安全/北楼中学塑胶操场改造绩效目标表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20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3B460">
            <w:pPr>
              <w:pStyle w:val="14"/>
            </w:pPr>
            <w:r>
              <w:t>单位：万元</w:t>
            </w:r>
          </w:p>
        </w:tc>
      </w:tr>
      <w:tr w14:paraId="4F9C4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FD643">
            <w:pPr>
              <w:pStyle w:val="11"/>
            </w:pPr>
            <w:r>
              <w:t>项目编码</w:t>
            </w:r>
          </w:p>
        </w:tc>
        <w:tc>
          <w:tcPr>
            <w:tcW w:w="5103" w:type="dxa"/>
            <w:gridSpan w:val="2"/>
            <w:vAlign w:val="center"/>
          </w:tcPr>
          <w:p w14:paraId="26C492F1">
            <w:pPr>
              <w:pStyle w:val="13"/>
            </w:pPr>
            <w:r>
              <w:t>13052525P00875610194W</w:t>
            </w:r>
          </w:p>
        </w:tc>
        <w:tc>
          <w:tcPr>
            <w:tcW w:w="2835" w:type="dxa"/>
            <w:vAlign w:val="center"/>
          </w:tcPr>
          <w:p w14:paraId="7A681617">
            <w:pPr>
              <w:pStyle w:val="11"/>
            </w:pPr>
            <w:r>
              <w:t>项目名称</w:t>
            </w:r>
          </w:p>
        </w:tc>
        <w:tc>
          <w:tcPr>
            <w:tcW w:w="6095" w:type="dxa"/>
            <w:gridSpan w:val="3"/>
            <w:vAlign w:val="center"/>
          </w:tcPr>
          <w:p w14:paraId="6A92AA6A">
            <w:pPr>
              <w:pStyle w:val="13"/>
            </w:pPr>
            <w:r>
              <w:t>上年盘活/冀财教[2022]179号/中央/义教经费/校舍安全/北楼中学塑胶操场改造</w:t>
            </w:r>
          </w:p>
        </w:tc>
      </w:tr>
      <w:tr w14:paraId="6C2CF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78C58">
            <w:pPr>
              <w:pStyle w:val="11"/>
            </w:pPr>
            <w:r>
              <w:t>预算规模及资金用途</w:t>
            </w:r>
          </w:p>
        </w:tc>
        <w:tc>
          <w:tcPr>
            <w:tcW w:w="2268" w:type="dxa"/>
            <w:vAlign w:val="center"/>
          </w:tcPr>
          <w:p w14:paraId="67EE8D34">
            <w:pPr>
              <w:pStyle w:val="11"/>
            </w:pPr>
            <w:r>
              <w:t>预算数</w:t>
            </w:r>
          </w:p>
        </w:tc>
        <w:tc>
          <w:tcPr>
            <w:tcW w:w="2835" w:type="dxa"/>
            <w:vAlign w:val="center"/>
          </w:tcPr>
          <w:p w14:paraId="6C28805D">
            <w:pPr>
              <w:pStyle w:val="13"/>
            </w:pPr>
            <w:r>
              <w:t>4.07</w:t>
            </w:r>
          </w:p>
        </w:tc>
        <w:tc>
          <w:tcPr>
            <w:tcW w:w="2835" w:type="dxa"/>
            <w:vAlign w:val="center"/>
          </w:tcPr>
          <w:p w14:paraId="6983184D">
            <w:pPr>
              <w:pStyle w:val="11"/>
            </w:pPr>
            <w:r>
              <w:t>其中：财政    资金</w:t>
            </w:r>
          </w:p>
        </w:tc>
        <w:tc>
          <w:tcPr>
            <w:tcW w:w="2551" w:type="dxa"/>
            <w:vAlign w:val="center"/>
          </w:tcPr>
          <w:p w14:paraId="26B9386B">
            <w:pPr>
              <w:pStyle w:val="13"/>
            </w:pPr>
            <w:r>
              <w:t>4.07</w:t>
            </w:r>
          </w:p>
        </w:tc>
        <w:tc>
          <w:tcPr>
            <w:tcW w:w="2268" w:type="dxa"/>
            <w:vAlign w:val="center"/>
          </w:tcPr>
          <w:p w14:paraId="23E0D161">
            <w:pPr>
              <w:pStyle w:val="11"/>
            </w:pPr>
            <w:r>
              <w:t>其他资金</w:t>
            </w:r>
          </w:p>
        </w:tc>
        <w:tc>
          <w:tcPr>
            <w:tcW w:w="1276" w:type="dxa"/>
            <w:vAlign w:val="center"/>
          </w:tcPr>
          <w:p w14:paraId="1F149A90">
            <w:pPr>
              <w:pStyle w:val="13"/>
            </w:pPr>
            <w:r>
              <w:t xml:space="preserve"> </w:t>
            </w:r>
          </w:p>
        </w:tc>
      </w:tr>
      <w:tr w14:paraId="05814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C00E29"/>
        </w:tc>
        <w:tc>
          <w:tcPr>
            <w:tcW w:w="14033" w:type="dxa"/>
            <w:gridSpan w:val="6"/>
            <w:vAlign w:val="center"/>
          </w:tcPr>
          <w:p w14:paraId="4FD0F49C">
            <w:pPr>
              <w:pStyle w:val="13"/>
            </w:pPr>
            <w:r>
              <w:t>保证学校正常运转和改善办学条件</w:t>
            </w:r>
            <w:r>
              <w:tab/>
            </w:r>
          </w:p>
        </w:tc>
      </w:tr>
      <w:tr w14:paraId="3F876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72E72">
            <w:pPr>
              <w:pStyle w:val="11"/>
            </w:pPr>
            <w:r>
              <w:t>资金支出计划（%）</w:t>
            </w:r>
          </w:p>
        </w:tc>
        <w:tc>
          <w:tcPr>
            <w:tcW w:w="5103" w:type="dxa"/>
            <w:gridSpan w:val="2"/>
            <w:vAlign w:val="center"/>
          </w:tcPr>
          <w:p w14:paraId="5824959B">
            <w:pPr>
              <w:pStyle w:val="11"/>
            </w:pPr>
            <w:r>
              <w:t>3月底</w:t>
            </w:r>
          </w:p>
        </w:tc>
        <w:tc>
          <w:tcPr>
            <w:tcW w:w="2835" w:type="dxa"/>
            <w:vAlign w:val="center"/>
          </w:tcPr>
          <w:p w14:paraId="4F4D56FC">
            <w:pPr>
              <w:pStyle w:val="11"/>
            </w:pPr>
            <w:r>
              <w:t>6月底</w:t>
            </w:r>
          </w:p>
        </w:tc>
        <w:tc>
          <w:tcPr>
            <w:tcW w:w="2551" w:type="dxa"/>
            <w:vAlign w:val="center"/>
          </w:tcPr>
          <w:p w14:paraId="4EE4F392">
            <w:pPr>
              <w:pStyle w:val="11"/>
            </w:pPr>
            <w:r>
              <w:t>10月底</w:t>
            </w:r>
          </w:p>
        </w:tc>
        <w:tc>
          <w:tcPr>
            <w:tcW w:w="3544" w:type="dxa"/>
            <w:gridSpan w:val="2"/>
            <w:vAlign w:val="center"/>
          </w:tcPr>
          <w:p w14:paraId="4A129DDE">
            <w:pPr>
              <w:pStyle w:val="11"/>
            </w:pPr>
            <w:r>
              <w:t>12月底</w:t>
            </w:r>
          </w:p>
        </w:tc>
      </w:tr>
      <w:tr w14:paraId="0BE24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A9EB1C"/>
        </w:tc>
        <w:tc>
          <w:tcPr>
            <w:tcW w:w="5103" w:type="dxa"/>
            <w:gridSpan w:val="2"/>
            <w:vAlign w:val="center"/>
          </w:tcPr>
          <w:p w14:paraId="6C573FCF">
            <w:pPr>
              <w:pStyle w:val="12"/>
            </w:pPr>
            <w:r>
              <w:t>25%</w:t>
            </w:r>
          </w:p>
        </w:tc>
        <w:tc>
          <w:tcPr>
            <w:tcW w:w="2835" w:type="dxa"/>
            <w:vAlign w:val="center"/>
          </w:tcPr>
          <w:p w14:paraId="63187AA1">
            <w:pPr>
              <w:pStyle w:val="12"/>
            </w:pPr>
            <w:r>
              <w:t>50%</w:t>
            </w:r>
          </w:p>
        </w:tc>
        <w:tc>
          <w:tcPr>
            <w:tcW w:w="2551" w:type="dxa"/>
            <w:vAlign w:val="center"/>
          </w:tcPr>
          <w:p w14:paraId="17C07B0F">
            <w:pPr>
              <w:pStyle w:val="12"/>
            </w:pPr>
            <w:r>
              <w:t>75%</w:t>
            </w:r>
          </w:p>
        </w:tc>
        <w:tc>
          <w:tcPr>
            <w:tcW w:w="3544" w:type="dxa"/>
            <w:gridSpan w:val="2"/>
            <w:vAlign w:val="center"/>
          </w:tcPr>
          <w:p w14:paraId="32D8F0AC">
            <w:pPr>
              <w:pStyle w:val="12"/>
            </w:pPr>
            <w:r>
              <w:t>100%</w:t>
            </w:r>
          </w:p>
        </w:tc>
      </w:tr>
      <w:tr w14:paraId="0BCEA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FDE53">
            <w:pPr>
              <w:pStyle w:val="11"/>
            </w:pPr>
            <w:r>
              <w:t>绩效目标</w:t>
            </w:r>
          </w:p>
        </w:tc>
        <w:tc>
          <w:tcPr>
            <w:tcW w:w="14033" w:type="dxa"/>
            <w:gridSpan w:val="6"/>
            <w:vAlign w:val="center"/>
          </w:tcPr>
          <w:p w14:paraId="7FF91E0F">
            <w:pPr>
              <w:pStyle w:val="13"/>
            </w:pPr>
            <w:r>
              <w:t>1.按拨款时序进度完成经费拨付和支出</w:t>
            </w:r>
            <w:r>
              <w:tab/>
            </w:r>
            <w:r>
              <w:t>，资金拨付率100%</w:t>
            </w:r>
          </w:p>
          <w:p w14:paraId="6747DAB4">
            <w:pPr>
              <w:pStyle w:val="13"/>
            </w:pPr>
            <w:r>
              <w:t>2.保证学校正常运转和改善办学条件</w:t>
            </w:r>
            <w:r>
              <w:tab/>
            </w:r>
            <w:r>
              <w:tab/>
            </w:r>
            <w:r>
              <w:tab/>
            </w:r>
          </w:p>
        </w:tc>
      </w:tr>
    </w:tbl>
    <w:p w14:paraId="4A1785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1F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A8E6E">
            <w:pPr>
              <w:pStyle w:val="11"/>
            </w:pPr>
            <w:r>
              <w:t>一级指标</w:t>
            </w:r>
          </w:p>
        </w:tc>
        <w:tc>
          <w:tcPr>
            <w:tcW w:w="2268" w:type="dxa"/>
            <w:vAlign w:val="center"/>
          </w:tcPr>
          <w:p w14:paraId="43522A26">
            <w:pPr>
              <w:pStyle w:val="11"/>
            </w:pPr>
            <w:r>
              <w:t>二级指标</w:t>
            </w:r>
          </w:p>
        </w:tc>
        <w:tc>
          <w:tcPr>
            <w:tcW w:w="2835" w:type="dxa"/>
            <w:vAlign w:val="center"/>
          </w:tcPr>
          <w:p w14:paraId="726369BC">
            <w:pPr>
              <w:pStyle w:val="11"/>
            </w:pPr>
            <w:r>
              <w:t>三级指标</w:t>
            </w:r>
          </w:p>
        </w:tc>
        <w:tc>
          <w:tcPr>
            <w:tcW w:w="5386" w:type="dxa"/>
            <w:vAlign w:val="center"/>
          </w:tcPr>
          <w:p w14:paraId="710C5742">
            <w:pPr>
              <w:pStyle w:val="11"/>
            </w:pPr>
            <w:r>
              <w:t>绩效指标描述</w:t>
            </w:r>
          </w:p>
        </w:tc>
        <w:tc>
          <w:tcPr>
            <w:tcW w:w="2268" w:type="dxa"/>
            <w:vAlign w:val="center"/>
          </w:tcPr>
          <w:p w14:paraId="48CDCD04">
            <w:pPr>
              <w:pStyle w:val="11"/>
            </w:pPr>
            <w:r>
              <w:t>指标值</w:t>
            </w:r>
          </w:p>
        </w:tc>
        <w:tc>
          <w:tcPr>
            <w:tcW w:w="1276" w:type="dxa"/>
            <w:vAlign w:val="center"/>
          </w:tcPr>
          <w:p w14:paraId="3E436D6B">
            <w:pPr>
              <w:pStyle w:val="11"/>
            </w:pPr>
            <w:r>
              <w:t>指标值确定依据</w:t>
            </w:r>
          </w:p>
        </w:tc>
      </w:tr>
      <w:tr w14:paraId="43CFC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3E494">
            <w:pPr>
              <w:pStyle w:val="12"/>
            </w:pPr>
            <w:r>
              <w:t>产出指标</w:t>
            </w:r>
          </w:p>
        </w:tc>
        <w:tc>
          <w:tcPr>
            <w:tcW w:w="2268" w:type="dxa"/>
            <w:vAlign w:val="center"/>
          </w:tcPr>
          <w:p w14:paraId="30ED2486">
            <w:pPr>
              <w:pStyle w:val="13"/>
            </w:pPr>
            <w:r>
              <w:t>数量指标</w:t>
            </w:r>
          </w:p>
        </w:tc>
        <w:tc>
          <w:tcPr>
            <w:tcW w:w="2835" w:type="dxa"/>
            <w:vAlign w:val="center"/>
          </w:tcPr>
          <w:p w14:paraId="6F7D3201">
            <w:pPr>
              <w:pStyle w:val="13"/>
            </w:pPr>
            <w:r>
              <w:t>塑胶操场改造</w:t>
            </w:r>
          </w:p>
        </w:tc>
        <w:tc>
          <w:tcPr>
            <w:tcW w:w="5386" w:type="dxa"/>
            <w:vAlign w:val="center"/>
          </w:tcPr>
          <w:p w14:paraId="5A29499D">
            <w:pPr>
              <w:pStyle w:val="13"/>
            </w:pPr>
            <w:r>
              <w:t>对学校操场进行铺设塑胶跑道面积</w:t>
            </w:r>
          </w:p>
        </w:tc>
        <w:tc>
          <w:tcPr>
            <w:tcW w:w="2268" w:type="dxa"/>
            <w:vAlign w:val="center"/>
          </w:tcPr>
          <w:p w14:paraId="060C1957">
            <w:pPr>
              <w:pStyle w:val="13"/>
            </w:pPr>
            <w:r>
              <w:t>≥11000平方米</w:t>
            </w:r>
          </w:p>
        </w:tc>
        <w:tc>
          <w:tcPr>
            <w:tcW w:w="1276" w:type="dxa"/>
            <w:vAlign w:val="center"/>
          </w:tcPr>
          <w:p w14:paraId="6308B67C">
            <w:pPr>
              <w:pStyle w:val="13"/>
            </w:pPr>
            <w:r>
              <w:t>项目规划</w:t>
            </w:r>
          </w:p>
        </w:tc>
      </w:tr>
      <w:tr w14:paraId="7ECF4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0CECC"/>
        </w:tc>
        <w:tc>
          <w:tcPr>
            <w:tcW w:w="2268" w:type="dxa"/>
            <w:vAlign w:val="center"/>
          </w:tcPr>
          <w:p w14:paraId="598A44A9">
            <w:pPr>
              <w:pStyle w:val="13"/>
            </w:pPr>
            <w:r>
              <w:t>质量指标</w:t>
            </w:r>
          </w:p>
        </w:tc>
        <w:tc>
          <w:tcPr>
            <w:tcW w:w="2835" w:type="dxa"/>
            <w:vAlign w:val="center"/>
          </w:tcPr>
          <w:p w14:paraId="63620A36">
            <w:pPr>
              <w:pStyle w:val="13"/>
            </w:pPr>
            <w:r>
              <w:t>工程实施验收合格率</w:t>
            </w:r>
          </w:p>
        </w:tc>
        <w:tc>
          <w:tcPr>
            <w:tcW w:w="5386" w:type="dxa"/>
            <w:vAlign w:val="center"/>
          </w:tcPr>
          <w:p w14:paraId="2BCA5312">
            <w:pPr>
              <w:pStyle w:val="13"/>
            </w:pPr>
            <w:r>
              <w:t>申报程序的合规，项目实施及资金使用符合项目规划</w:t>
            </w:r>
          </w:p>
        </w:tc>
        <w:tc>
          <w:tcPr>
            <w:tcW w:w="2268" w:type="dxa"/>
            <w:vAlign w:val="center"/>
          </w:tcPr>
          <w:p w14:paraId="3075AE2E">
            <w:pPr>
              <w:pStyle w:val="13"/>
            </w:pPr>
            <w:r>
              <w:t>≥100%</w:t>
            </w:r>
          </w:p>
        </w:tc>
        <w:tc>
          <w:tcPr>
            <w:tcW w:w="1276" w:type="dxa"/>
            <w:vAlign w:val="center"/>
          </w:tcPr>
          <w:p w14:paraId="3876C975">
            <w:pPr>
              <w:pStyle w:val="13"/>
            </w:pPr>
            <w:r>
              <w:t>项目规划</w:t>
            </w:r>
          </w:p>
        </w:tc>
      </w:tr>
      <w:tr w14:paraId="7C67B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4ECD9"/>
        </w:tc>
        <w:tc>
          <w:tcPr>
            <w:tcW w:w="2268" w:type="dxa"/>
            <w:vAlign w:val="center"/>
          </w:tcPr>
          <w:p w14:paraId="0FA97AC1">
            <w:pPr>
              <w:pStyle w:val="13"/>
            </w:pPr>
            <w:r>
              <w:t>时效指标</w:t>
            </w:r>
          </w:p>
        </w:tc>
        <w:tc>
          <w:tcPr>
            <w:tcW w:w="2835" w:type="dxa"/>
            <w:vAlign w:val="center"/>
          </w:tcPr>
          <w:p w14:paraId="4A5F8E60">
            <w:pPr>
              <w:pStyle w:val="13"/>
            </w:pPr>
            <w:r>
              <w:t>资金支付率</w:t>
            </w:r>
          </w:p>
        </w:tc>
        <w:tc>
          <w:tcPr>
            <w:tcW w:w="5386" w:type="dxa"/>
            <w:vAlign w:val="center"/>
          </w:tcPr>
          <w:p w14:paraId="414E3EE6">
            <w:pPr>
              <w:pStyle w:val="13"/>
            </w:pPr>
            <w:r>
              <w:t>按照序时进度完成资金支付</w:t>
            </w:r>
          </w:p>
        </w:tc>
        <w:tc>
          <w:tcPr>
            <w:tcW w:w="2268" w:type="dxa"/>
            <w:vAlign w:val="center"/>
          </w:tcPr>
          <w:p w14:paraId="685D23A9">
            <w:pPr>
              <w:pStyle w:val="13"/>
            </w:pPr>
            <w:r>
              <w:t>≥100%</w:t>
            </w:r>
          </w:p>
        </w:tc>
        <w:tc>
          <w:tcPr>
            <w:tcW w:w="1276" w:type="dxa"/>
            <w:vAlign w:val="center"/>
          </w:tcPr>
          <w:p w14:paraId="47B99B00">
            <w:pPr>
              <w:pStyle w:val="13"/>
            </w:pPr>
            <w:r>
              <w:t>项目规划</w:t>
            </w:r>
          </w:p>
        </w:tc>
      </w:tr>
      <w:tr w14:paraId="5AC84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03C79"/>
        </w:tc>
        <w:tc>
          <w:tcPr>
            <w:tcW w:w="2268" w:type="dxa"/>
            <w:vAlign w:val="center"/>
          </w:tcPr>
          <w:p w14:paraId="6CF3087B">
            <w:pPr>
              <w:pStyle w:val="13"/>
            </w:pPr>
            <w:r>
              <w:t>成本指标</w:t>
            </w:r>
          </w:p>
        </w:tc>
        <w:tc>
          <w:tcPr>
            <w:tcW w:w="2835" w:type="dxa"/>
            <w:vAlign w:val="center"/>
          </w:tcPr>
          <w:p w14:paraId="70FAE6E7">
            <w:pPr>
              <w:pStyle w:val="13"/>
            </w:pPr>
            <w:r>
              <w:t>项目成本控制情况</w:t>
            </w:r>
          </w:p>
        </w:tc>
        <w:tc>
          <w:tcPr>
            <w:tcW w:w="5386" w:type="dxa"/>
            <w:vAlign w:val="center"/>
          </w:tcPr>
          <w:p w14:paraId="48DF8C5D">
            <w:pPr>
              <w:pStyle w:val="13"/>
            </w:pPr>
            <w:r>
              <w:t>严格按照招标价格及审计额进行</w:t>
            </w:r>
          </w:p>
        </w:tc>
        <w:tc>
          <w:tcPr>
            <w:tcW w:w="2268" w:type="dxa"/>
            <w:vAlign w:val="center"/>
          </w:tcPr>
          <w:p w14:paraId="3134FDA1">
            <w:pPr>
              <w:pStyle w:val="13"/>
            </w:pPr>
            <w:r>
              <w:t>≤40691.59元</w:t>
            </w:r>
          </w:p>
        </w:tc>
        <w:tc>
          <w:tcPr>
            <w:tcW w:w="1276" w:type="dxa"/>
            <w:vAlign w:val="center"/>
          </w:tcPr>
          <w:p w14:paraId="1359D237">
            <w:pPr>
              <w:pStyle w:val="13"/>
            </w:pPr>
            <w:r>
              <w:t>项目规划</w:t>
            </w:r>
          </w:p>
        </w:tc>
      </w:tr>
      <w:tr w14:paraId="42E4D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379AD1">
            <w:pPr>
              <w:pStyle w:val="12"/>
            </w:pPr>
            <w:r>
              <w:t>效益指标</w:t>
            </w:r>
          </w:p>
        </w:tc>
        <w:tc>
          <w:tcPr>
            <w:tcW w:w="2268" w:type="dxa"/>
            <w:vAlign w:val="center"/>
          </w:tcPr>
          <w:p w14:paraId="6ADC81AC">
            <w:pPr>
              <w:pStyle w:val="13"/>
            </w:pPr>
            <w:r>
              <w:t>可持续影响指标</w:t>
            </w:r>
          </w:p>
        </w:tc>
        <w:tc>
          <w:tcPr>
            <w:tcW w:w="2835" w:type="dxa"/>
            <w:vAlign w:val="center"/>
          </w:tcPr>
          <w:p w14:paraId="4F4692C7">
            <w:pPr>
              <w:pStyle w:val="13"/>
            </w:pPr>
            <w:r>
              <w:t>教育发展水平</w:t>
            </w:r>
          </w:p>
        </w:tc>
        <w:tc>
          <w:tcPr>
            <w:tcW w:w="5386" w:type="dxa"/>
            <w:vAlign w:val="center"/>
          </w:tcPr>
          <w:p w14:paraId="15947802">
            <w:pPr>
              <w:pStyle w:val="13"/>
            </w:pPr>
            <w:r>
              <w:t>受益人数</w:t>
            </w:r>
          </w:p>
        </w:tc>
        <w:tc>
          <w:tcPr>
            <w:tcW w:w="2268" w:type="dxa"/>
            <w:vAlign w:val="center"/>
          </w:tcPr>
          <w:p w14:paraId="3031AA16">
            <w:pPr>
              <w:pStyle w:val="13"/>
            </w:pPr>
            <w:r>
              <w:t>901人</w:t>
            </w:r>
          </w:p>
        </w:tc>
        <w:tc>
          <w:tcPr>
            <w:tcW w:w="1276" w:type="dxa"/>
            <w:vAlign w:val="center"/>
          </w:tcPr>
          <w:p w14:paraId="73B1DCB8">
            <w:pPr>
              <w:pStyle w:val="13"/>
            </w:pPr>
            <w:r>
              <w:t>项目规划</w:t>
            </w:r>
          </w:p>
        </w:tc>
      </w:tr>
      <w:tr w14:paraId="1D715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25953F">
            <w:pPr>
              <w:pStyle w:val="12"/>
            </w:pPr>
            <w:r>
              <w:t>满意度指标</w:t>
            </w:r>
          </w:p>
        </w:tc>
        <w:tc>
          <w:tcPr>
            <w:tcW w:w="2268" w:type="dxa"/>
            <w:vAlign w:val="center"/>
          </w:tcPr>
          <w:p w14:paraId="07E0CA0C">
            <w:pPr>
              <w:pStyle w:val="13"/>
            </w:pPr>
            <w:r>
              <w:t>服务对象满意度指标</w:t>
            </w:r>
          </w:p>
        </w:tc>
        <w:tc>
          <w:tcPr>
            <w:tcW w:w="2835" w:type="dxa"/>
            <w:vAlign w:val="center"/>
          </w:tcPr>
          <w:p w14:paraId="3AD005FE">
            <w:pPr>
              <w:pStyle w:val="13"/>
            </w:pPr>
            <w:r>
              <w:t>学生、教师及家长对学校教学环境满意度情况</w:t>
            </w:r>
          </w:p>
        </w:tc>
        <w:tc>
          <w:tcPr>
            <w:tcW w:w="5386" w:type="dxa"/>
            <w:vAlign w:val="center"/>
          </w:tcPr>
          <w:p w14:paraId="14B733FF">
            <w:pPr>
              <w:pStyle w:val="13"/>
            </w:pPr>
            <w:r>
              <w:t>学生、教师及家长对学校教学环境满意度情况</w:t>
            </w:r>
          </w:p>
        </w:tc>
        <w:tc>
          <w:tcPr>
            <w:tcW w:w="2268" w:type="dxa"/>
            <w:vAlign w:val="center"/>
          </w:tcPr>
          <w:p w14:paraId="789504D7">
            <w:pPr>
              <w:pStyle w:val="13"/>
            </w:pPr>
            <w:r>
              <w:t>≥95%</w:t>
            </w:r>
          </w:p>
        </w:tc>
        <w:tc>
          <w:tcPr>
            <w:tcW w:w="1276" w:type="dxa"/>
            <w:vAlign w:val="center"/>
          </w:tcPr>
          <w:p w14:paraId="43446775">
            <w:pPr>
              <w:pStyle w:val="13"/>
            </w:pPr>
            <w:r>
              <w:t>调查问卷</w:t>
            </w:r>
          </w:p>
        </w:tc>
      </w:tr>
    </w:tbl>
    <w:p w14:paraId="215C0E1A">
      <w:pPr>
        <w:sectPr>
          <w:pgSz w:w="16840" w:h="11900" w:orient="landscape"/>
          <w:pgMar w:top="1361" w:right="1020" w:bottom="1134" w:left="1020" w:header="720" w:footer="720" w:gutter="0"/>
          <w:cols w:space="720" w:num="1"/>
        </w:sectPr>
      </w:pPr>
    </w:p>
    <w:p w14:paraId="5DDC7791">
      <w:pPr>
        <w:spacing w:before="10" w:after="10" w:line="240" w:lineRule="auto"/>
        <w:ind w:firstLine="640"/>
        <w:jc w:val="left"/>
        <w:outlineLvl w:val="5"/>
      </w:pPr>
      <w:r>
        <w:rPr>
          <w:rFonts w:ascii="黑体" w:hAnsi="黑体" w:eastAsia="黑体" w:cs="黑体"/>
          <w:color w:val="000000"/>
          <w:sz w:val="32"/>
        </w:rPr>
        <w:t>六、政府采购预算情况</w:t>
      </w:r>
    </w:p>
    <w:p w14:paraId="14701C9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C1FF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54CB410">
            <w:pPr>
              <w:pStyle w:val="8"/>
            </w:pPr>
            <w:r>
              <w:t>360031隆尧县北楼中学</w:t>
            </w:r>
          </w:p>
        </w:tc>
        <w:tc>
          <w:tcPr>
            <w:tcW w:w="7712" w:type="dxa"/>
            <w:gridSpan w:val="8"/>
            <w:tcBorders>
              <w:top w:val="single" w:color="FFFFFF" w:sz="6" w:space="0"/>
              <w:left w:val="single" w:color="FFFFFF" w:sz="6" w:space="0"/>
              <w:right w:val="single" w:color="FFFFFF" w:sz="6" w:space="0"/>
            </w:tcBorders>
            <w:vAlign w:val="center"/>
          </w:tcPr>
          <w:p w14:paraId="32F6B092">
            <w:pPr>
              <w:pStyle w:val="22"/>
            </w:pPr>
            <w:r>
              <w:t>单位：万元</w:t>
            </w:r>
          </w:p>
        </w:tc>
      </w:tr>
      <w:tr w14:paraId="29674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EEBD5A6">
            <w:pPr>
              <w:pStyle w:val="11"/>
            </w:pPr>
            <w:r>
              <w:t>政府采购项目来源</w:t>
            </w:r>
          </w:p>
        </w:tc>
        <w:tc>
          <w:tcPr>
            <w:tcW w:w="1134" w:type="dxa"/>
            <w:vMerge w:val="restart"/>
            <w:vAlign w:val="center"/>
          </w:tcPr>
          <w:p w14:paraId="09201980">
            <w:pPr>
              <w:pStyle w:val="11"/>
            </w:pPr>
            <w:r>
              <w:t>采购物品名称</w:t>
            </w:r>
          </w:p>
        </w:tc>
        <w:tc>
          <w:tcPr>
            <w:tcW w:w="1134" w:type="dxa"/>
            <w:vMerge w:val="restart"/>
            <w:vAlign w:val="center"/>
          </w:tcPr>
          <w:p w14:paraId="1D69E0A6">
            <w:pPr>
              <w:pStyle w:val="11"/>
            </w:pPr>
            <w:r>
              <w:t>政府采购目录序号</w:t>
            </w:r>
          </w:p>
        </w:tc>
        <w:tc>
          <w:tcPr>
            <w:tcW w:w="709" w:type="dxa"/>
            <w:vMerge w:val="restart"/>
            <w:vAlign w:val="center"/>
          </w:tcPr>
          <w:p w14:paraId="595DE9D4">
            <w:pPr>
              <w:pStyle w:val="11"/>
            </w:pPr>
            <w:r>
              <w:t>计量  单位</w:t>
            </w:r>
          </w:p>
        </w:tc>
        <w:tc>
          <w:tcPr>
            <w:tcW w:w="850" w:type="dxa"/>
            <w:vMerge w:val="restart"/>
            <w:vAlign w:val="center"/>
          </w:tcPr>
          <w:p w14:paraId="03BBA032">
            <w:pPr>
              <w:pStyle w:val="11"/>
            </w:pPr>
            <w:r>
              <w:t>数量</w:t>
            </w:r>
          </w:p>
        </w:tc>
        <w:tc>
          <w:tcPr>
            <w:tcW w:w="850" w:type="dxa"/>
            <w:vMerge w:val="restart"/>
            <w:vAlign w:val="center"/>
          </w:tcPr>
          <w:p w14:paraId="347F9381">
            <w:pPr>
              <w:pStyle w:val="11"/>
            </w:pPr>
            <w:r>
              <w:t>单价</w:t>
            </w:r>
          </w:p>
        </w:tc>
        <w:tc>
          <w:tcPr>
            <w:tcW w:w="6748" w:type="dxa"/>
            <w:gridSpan w:val="7"/>
            <w:vAlign w:val="center"/>
          </w:tcPr>
          <w:p w14:paraId="3B91BA0B">
            <w:pPr>
              <w:pStyle w:val="11"/>
            </w:pPr>
            <w:r>
              <w:t>政府采购金额（当年部门预算安排资金）</w:t>
            </w:r>
          </w:p>
        </w:tc>
        <w:tc>
          <w:tcPr>
            <w:tcW w:w="964" w:type="dxa"/>
            <w:vMerge w:val="restart"/>
            <w:vAlign w:val="center"/>
          </w:tcPr>
          <w:p w14:paraId="72031912">
            <w:pPr>
              <w:pStyle w:val="11"/>
            </w:pPr>
            <w:r>
              <w:t>2025年  预留中  小微企  业份额</w:t>
            </w:r>
          </w:p>
        </w:tc>
      </w:tr>
      <w:tr w14:paraId="38ACC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6E4FEF4">
            <w:pPr>
              <w:pStyle w:val="11"/>
            </w:pPr>
            <w:r>
              <w:t>项目名称</w:t>
            </w:r>
          </w:p>
        </w:tc>
        <w:tc>
          <w:tcPr>
            <w:tcW w:w="964" w:type="dxa"/>
            <w:vAlign w:val="center"/>
          </w:tcPr>
          <w:p w14:paraId="40D6D59A">
            <w:pPr>
              <w:pStyle w:val="11"/>
            </w:pPr>
            <w:r>
              <w:t>预算    资金</w:t>
            </w:r>
          </w:p>
        </w:tc>
        <w:tc>
          <w:tcPr>
            <w:tcW w:w="1134" w:type="dxa"/>
            <w:vMerge w:val="continue"/>
          </w:tcPr>
          <w:p w14:paraId="345E1C29"/>
        </w:tc>
        <w:tc>
          <w:tcPr>
            <w:tcW w:w="1134" w:type="dxa"/>
            <w:vMerge w:val="continue"/>
          </w:tcPr>
          <w:p w14:paraId="088EF8C8"/>
        </w:tc>
        <w:tc>
          <w:tcPr>
            <w:tcW w:w="709" w:type="dxa"/>
            <w:vMerge w:val="continue"/>
          </w:tcPr>
          <w:p w14:paraId="3EE4BED4"/>
        </w:tc>
        <w:tc>
          <w:tcPr>
            <w:tcW w:w="850" w:type="dxa"/>
            <w:vMerge w:val="continue"/>
          </w:tcPr>
          <w:p w14:paraId="10A5DCB4"/>
        </w:tc>
        <w:tc>
          <w:tcPr>
            <w:tcW w:w="850" w:type="dxa"/>
            <w:vMerge w:val="continue"/>
          </w:tcPr>
          <w:p w14:paraId="170EA761"/>
        </w:tc>
        <w:tc>
          <w:tcPr>
            <w:tcW w:w="964" w:type="dxa"/>
            <w:vAlign w:val="center"/>
          </w:tcPr>
          <w:p w14:paraId="1B8F7EA4">
            <w:pPr>
              <w:pStyle w:val="11"/>
            </w:pPr>
            <w:r>
              <w:t>合计</w:t>
            </w:r>
          </w:p>
        </w:tc>
        <w:tc>
          <w:tcPr>
            <w:tcW w:w="964" w:type="dxa"/>
            <w:vAlign w:val="center"/>
          </w:tcPr>
          <w:p w14:paraId="710F8E89">
            <w:pPr>
              <w:pStyle w:val="11"/>
            </w:pPr>
            <w:r>
              <w:t>一般公共预算拨款</w:t>
            </w:r>
          </w:p>
        </w:tc>
        <w:tc>
          <w:tcPr>
            <w:tcW w:w="964" w:type="dxa"/>
            <w:vAlign w:val="center"/>
          </w:tcPr>
          <w:p w14:paraId="5BC40BBB">
            <w:pPr>
              <w:pStyle w:val="11"/>
            </w:pPr>
            <w:r>
              <w:t>基金预算拨款</w:t>
            </w:r>
          </w:p>
        </w:tc>
        <w:tc>
          <w:tcPr>
            <w:tcW w:w="964" w:type="dxa"/>
            <w:vAlign w:val="center"/>
          </w:tcPr>
          <w:p w14:paraId="45FFC0F0">
            <w:pPr>
              <w:pStyle w:val="11"/>
            </w:pPr>
            <w:r>
              <w:t>国有资本经营预算拨款</w:t>
            </w:r>
          </w:p>
        </w:tc>
        <w:tc>
          <w:tcPr>
            <w:tcW w:w="964" w:type="dxa"/>
            <w:vAlign w:val="center"/>
          </w:tcPr>
          <w:p w14:paraId="06914C33">
            <w:pPr>
              <w:pStyle w:val="11"/>
            </w:pPr>
            <w:r>
              <w:t>财政专户核拨</w:t>
            </w:r>
          </w:p>
        </w:tc>
        <w:tc>
          <w:tcPr>
            <w:tcW w:w="964" w:type="dxa"/>
            <w:vAlign w:val="center"/>
          </w:tcPr>
          <w:p w14:paraId="49E0601C">
            <w:pPr>
              <w:pStyle w:val="11"/>
            </w:pPr>
            <w:r>
              <w:t>单位    资金</w:t>
            </w:r>
          </w:p>
        </w:tc>
        <w:tc>
          <w:tcPr>
            <w:tcW w:w="964" w:type="dxa"/>
            <w:vAlign w:val="center"/>
          </w:tcPr>
          <w:p w14:paraId="6C1C664A">
            <w:pPr>
              <w:pStyle w:val="11"/>
            </w:pPr>
            <w:r>
              <w:t>上年结转结余</w:t>
            </w:r>
          </w:p>
        </w:tc>
        <w:tc>
          <w:tcPr>
            <w:tcW w:w="964" w:type="dxa"/>
            <w:vMerge w:val="continue"/>
          </w:tcPr>
          <w:p w14:paraId="2C1DC17E"/>
        </w:tc>
      </w:tr>
      <w:tr w14:paraId="4E6EF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9EDC44">
            <w:pPr>
              <w:pStyle w:val="13"/>
            </w:pPr>
          </w:p>
        </w:tc>
        <w:tc>
          <w:tcPr>
            <w:tcW w:w="964" w:type="dxa"/>
            <w:vAlign w:val="center"/>
          </w:tcPr>
          <w:p w14:paraId="34770826">
            <w:pPr>
              <w:pStyle w:val="14"/>
            </w:pPr>
          </w:p>
        </w:tc>
        <w:tc>
          <w:tcPr>
            <w:tcW w:w="1134" w:type="dxa"/>
            <w:vAlign w:val="center"/>
          </w:tcPr>
          <w:p w14:paraId="527CBED2">
            <w:pPr>
              <w:pStyle w:val="13"/>
            </w:pPr>
          </w:p>
        </w:tc>
        <w:tc>
          <w:tcPr>
            <w:tcW w:w="1134" w:type="dxa"/>
            <w:vAlign w:val="center"/>
          </w:tcPr>
          <w:p w14:paraId="48E70F40">
            <w:pPr>
              <w:pStyle w:val="13"/>
            </w:pPr>
          </w:p>
        </w:tc>
        <w:tc>
          <w:tcPr>
            <w:tcW w:w="709" w:type="dxa"/>
            <w:vAlign w:val="center"/>
          </w:tcPr>
          <w:p w14:paraId="156B62F7">
            <w:pPr>
              <w:pStyle w:val="12"/>
            </w:pPr>
          </w:p>
        </w:tc>
        <w:tc>
          <w:tcPr>
            <w:tcW w:w="850" w:type="dxa"/>
            <w:vAlign w:val="center"/>
          </w:tcPr>
          <w:p w14:paraId="6B47D7E1">
            <w:pPr>
              <w:pStyle w:val="14"/>
            </w:pPr>
          </w:p>
        </w:tc>
        <w:tc>
          <w:tcPr>
            <w:tcW w:w="850" w:type="dxa"/>
            <w:vAlign w:val="center"/>
          </w:tcPr>
          <w:p w14:paraId="6D9DE7D6">
            <w:pPr>
              <w:pStyle w:val="14"/>
            </w:pPr>
          </w:p>
        </w:tc>
        <w:tc>
          <w:tcPr>
            <w:tcW w:w="964" w:type="dxa"/>
            <w:vAlign w:val="center"/>
          </w:tcPr>
          <w:p w14:paraId="0081AD83">
            <w:pPr>
              <w:pStyle w:val="14"/>
            </w:pPr>
          </w:p>
        </w:tc>
        <w:tc>
          <w:tcPr>
            <w:tcW w:w="964" w:type="dxa"/>
            <w:vAlign w:val="center"/>
          </w:tcPr>
          <w:p w14:paraId="3E19DC5E">
            <w:pPr>
              <w:pStyle w:val="14"/>
            </w:pPr>
          </w:p>
        </w:tc>
        <w:tc>
          <w:tcPr>
            <w:tcW w:w="964" w:type="dxa"/>
            <w:vAlign w:val="center"/>
          </w:tcPr>
          <w:p w14:paraId="4E1FF85B">
            <w:pPr>
              <w:pStyle w:val="14"/>
            </w:pPr>
          </w:p>
        </w:tc>
        <w:tc>
          <w:tcPr>
            <w:tcW w:w="964" w:type="dxa"/>
            <w:vAlign w:val="center"/>
          </w:tcPr>
          <w:p w14:paraId="78DE160B">
            <w:pPr>
              <w:pStyle w:val="14"/>
            </w:pPr>
          </w:p>
        </w:tc>
        <w:tc>
          <w:tcPr>
            <w:tcW w:w="964" w:type="dxa"/>
            <w:vAlign w:val="center"/>
          </w:tcPr>
          <w:p w14:paraId="180B0A05">
            <w:pPr>
              <w:pStyle w:val="14"/>
            </w:pPr>
          </w:p>
        </w:tc>
        <w:tc>
          <w:tcPr>
            <w:tcW w:w="964" w:type="dxa"/>
            <w:vAlign w:val="center"/>
          </w:tcPr>
          <w:p w14:paraId="6E80DD2A">
            <w:pPr>
              <w:pStyle w:val="14"/>
            </w:pPr>
          </w:p>
        </w:tc>
        <w:tc>
          <w:tcPr>
            <w:tcW w:w="964" w:type="dxa"/>
            <w:vAlign w:val="center"/>
          </w:tcPr>
          <w:p w14:paraId="0B7C78D0">
            <w:pPr>
              <w:pStyle w:val="14"/>
            </w:pPr>
          </w:p>
        </w:tc>
        <w:tc>
          <w:tcPr>
            <w:tcW w:w="964" w:type="dxa"/>
            <w:vAlign w:val="center"/>
          </w:tcPr>
          <w:p w14:paraId="2342647D">
            <w:pPr>
              <w:pStyle w:val="14"/>
            </w:pPr>
          </w:p>
        </w:tc>
      </w:tr>
    </w:tbl>
    <w:p w14:paraId="285FDC7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7B763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062268A">
      <w:pPr>
        <w:spacing w:before="0" w:after="0"/>
        <w:ind w:firstLine="640"/>
        <w:jc w:val="left"/>
        <w:outlineLvl w:val="9"/>
      </w:pPr>
      <w:r>
        <w:rPr>
          <w:rFonts w:ascii="Times New Roman" w:hAnsi="Times New Roman" w:eastAsia="方正仿宋_GBK" w:cs="Times New Roman"/>
          <w:color w:val="000000"/>
          <w:sz w:val="32"/>
        </w:rPr>
        <w:t xml:space="preserve"> </w:t>
      </w:r>
    </w:p>
    <w:p w14:paraId="2785242E">
      <w:pPr>
        <w:spacing w:before="10" w:after="10" w:line="240" w:lineRule="auto"/>
        <w:ind w:firstLine="640"/>
        <w:jc w:val="left"/>
        <w:outlineLvl w:val="5"/>
      </w:pPr>
      <w:r>
        <w:rPr>
          <w:rFonts w:ascii="黑体" w:hAnsi="黑体" w:eastAsia="黑体" w:cs="黑体"/>
          <w:color w:val="000000"/>
          <w:sz w:val="32"/>
        </w:rPr>
        <w:t>七、国有资产信息</w:t>
      </w:r>
    </w:p>
    <w:p w14:paraId="0FC53224">
      <w:pPr>
        <w:spacing w:before="0" w:after="0" w:line="500" w:lineRule="exact"/>
        <w:ind w:firstLine="560"/>
        <w:jc w:val="left"/>
        <w:outlineLvl w:val="9"/>
      </w:pPr>
      <w:r>
        <w:rPr>
          <w:rFonts w:ascii="Times New Roman" w:hAnsi="Times New Roman" w:eastAsia="方正仿宋_GBK" w:cs="Times New Roman"/>
          <w:b w:val="0"/>
          <w:color w:val="000000"/>
          <w:sz w:val="28"/>
        </w:rPr>
        <w:t>隆尧县北楼中学上年末固定资产金额为1299.00万元（详见下表）。本年度拟购置固定资产总额为8.10万元，已按要求列入政府采购预算，详见政府采购预算表。</w:t>
      </w:r>
    </w:p>
    <w:p w14:paraId="1AC8EE9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7872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3A91593">
            <w:pPr>
              <w:pStyle w:val="8"/>
            </w:pPr>
            <w:r>
              <w:t>360031隆尧县北楼中学</w:t>
            </w:r>
          </w:p>
        </w:tc>
        <w:tc>
          <w:tcPr>
            <w:tcW w:w="5670" w:type="dxa"/>
            <w:gridSpan w:val="2"/>
            <w:tcBorders>
              <w:top w:val="single" w:color="FFFFFF" w:sz="6" w:space="0"/>
              <w:left w:val="single" w:color="FFFFFF" w:sz="6" w:space="0"/>
              <w:right w:val="single" w:color="FFFFFF" w:sz="6" w:space="0"/>
            </w:tcBorders>
            <w:vAlign w:val="center"/>
          </w:tcPr>
          <w:p w14:paraId="12AE0A26">
            <w:pPr>
              <w:pStyle w:val="10"/>
            </w:pPr>
            <w:r>
              <w:t>截止时间：2024-12-31</w:t>
            </w:r>
          </w:p>
        </w:tc>
      </w:tr>
      <w:tr w14:paraId="276D7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BFDD4AB">
            <w:pPr>
              <w:pStyle w:val="11"/>
            </w:pPr>
            <w:r>
              <w:t>项   目</w:t>
            </w:r>
          </w:p>
        </w:tc>
        <w:tc>
          <w:tcPr>
            <w:tcW w:w="2835" w:type="dxa"/>
            <w:vAlign w:val="center"/>
          </w:tcPr>
          <w:p w14:paraId="441D9732">
            <w:pPr>
              <w:pStyle w:val="11"/>
            </w:pPr>
            <w:r>
              <w:t>数量</w:t>
            </w:r>
          </w:p>
        </w:tc>
        <w:tc>
          <w:tcPr>
            <w:tcW w:w="2835" w:type="dxa"/>
            <w:vAlign w:val="center"/>
          </w:tcPr>
          <w:p w14:paraId="14CBD689">
            <w:pPr>
              <w:pStyle w:val="11"/>
            </w:pPr>
            <w:r>
              <w:t>价值（金额单位：万元）</w:t>
            </w:r>
          </w:p>
        </w:tc>
      </w:tr>
      <w:tr w14:paraId="78BD7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00CD86">
            <w:pPr>
              <w:pStyle w:val="13"/>
            </w:pPr>
            <w:r>
              <w:t>资产总额</w:t>
            </w:r>
          </w:p>
        </w:tc>
        <w:tc>
          <w:tcPr>
            <w:tcW w:w="2835" w:type="dxa"/>
            <w:vAlign w:val="center"/>
          </w:tcPr>
          <w:p w14:paraId="1FB6C466">
            <w:pPr>
              <w:pStyle w:val="12"/>
            </w:pPr>
          </w:p>
        </w:tc>
        <w:tc>
          <w:tcPr>
            <w:tcW w:w="2835" w:type="dxa"/>
            <w:vAlign w:val="center"/>
          </w:tcPr>
          <w:p w14:paraId="7B4F3DD9">
            <w:pPr>
              <w:pStyle w:val="14"/>
            </w:pPr>
            <w:r>
              <w:t>1299.00</w:t>
            </w:r>
          </w:p>
        </w:tc>
      </w:tr>
      <w:tr w14:paraId="2222C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95DAEB">
            <w:pPr>
              <w:pStyle w:val="13"/>
            </w:pPr>
            <w:r>
              <w:t>1、房屋（平方米）</w:t>
            </w:r>
          </w:p>
        </w:tc>
        <w:tc>
          <w:tcPr>
            <w:tcW w:w="2835" w:type="dxa"/>
            <w:vAlign w:val="center"/>
          </w:tcPr>
          <w:p w14:paraId="78D27A48">
            <w:pPr>
              <w:pStyle w:val="12"/>
            </w:pPr>
            <w:r>
              <w:t>11205</w:t>
            </w:r>
          </w:p>
        </w:tc>
        <w:tc>
          <w:tcPr>
            <w:tcW w:w="2835" w:type="dxa"/>
            <w:vAlign w:val="center"/>
          </w:tcPr>
          <w:p w14:paraId="2543B170">
            <w:pPr>
              <w:pStyle w:val="14"/>
            </w:pPr>
            <w:r>
              <w:t>931.00</w:t>
            </w:r>
          </w:p>
        </w:tc>
      </w:tr>
      <w:tr w14:paraId="55F01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57FD83">
            <w:pPr>
              <w:pStyle w:val="13"/>
            </w:pPr>
            <w:r>
              <w:t>　　其中：办公用房（平方米）</w:t>
            </w:r>
          </w:p>
        </w:tc>
        <w:tc>
          <w:tcPr>
            <w:tcW w:w="2835" w:type="dxa"/>
            <w:vAlign w:val="center"/>
          </w:tcPr>
          <w:p w14:paraId="3468B8B0">
            <w:pPr>
              <w:pStyle w:val="12"/>
            </w:pPr>
          </w:p>
        </w:tc>
        <w:tc>
          <w:tcPr>
            <w:tcW w:w="2835" w:type="dxa"/>
            <w:vAlign w:val="center"/>
          </w:tcPr>
          <w:p w14:paraId="05273C91">
            <w:pPr>
              <w:pStyle w:val="14"/>
            </w:pPr>
          </w:p>
        </w:tc>
      </w:tr>
      <w:tr w14:paraId="210CA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A3C9DC">
            <w:pPr>
              <w:pStyle w:val="13"/>
            </w:pPr>
            <w:r>
              <w:t>2、车辆（台、辆）</w:t>
            </w:r>
          </w:p>
        </w:tc>
        <w:tc>
          <w:tcPr>
            <w:tcW w:w="2835" w:type="dxa"/>
            <w:vAlign w:val="center"/>
          </w:tcPr>
          <w:p w14:paraId="636D6FFA">
            <w:pPr>
              <w:pStyle w:val="12"/>
            </w:pPr>
          </w:p>
        </w:tc>
        <w:tc>
          <w:tcPr>
            <w:tcW w:w="2835" w:type="dxa"/>
            <w:vAlign w:val="center"/>
          </w:tcPr>
          <w:p w14:paraId="5FBE9C9A">
            <w:pPr>
              <w:pStyle w:val="14"/>
            </w:pPr>
          </w:p>
        </w:tc>
      </w:tr>
      <w:tr w14:paraId="5CC66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90DB9C">
            <w:pPr>
              <w:pStyle w:val="13"/>
            </w:pPr>
            <w:r>
              <w:t>3、单价在20万元以上的设备</w:t>
            </w:r>
          </w:p>
        </w:tc>
        <w:tc>
          <w:tcPr>
            <w:tcW w:w="2835" w:type="dxa"/>
            <w:vAlign w:val="center"/>
          </w:tcPr>
          <w:p w14:paraId="3BC59238">
            <w:pPr>
              <w:pStyle w:val="12"/>
            </w:pPr>
          </w:p>
        </w:tc>
        <w:tc>
          <w:tcPr>
            <w:tcW w:w="2835" w:type="dxa"/>
            <w:vAlign w:val="center"/>
          </w:tcPr>
          <w:p w14:paraId="31CD29D8">
            <w:pPr>
              <w:pStyle w:val="14"/>
            </w:pPr>
          </w:p>
        </w:tc>
      </w:tr>
      <w:tr w14:paraId="55F27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27F63A6">
            <w:pPr>
              <w:pStyle w:val="13"/>
            </w:pPr>
            <w:r>
              <w:t>4、其他固定资产</w:t>
            </w:r>
          </w:p>
        </w:tc>
        <w:tc>
          <w:tcPr>
            <w:tcW w:w="2835" w:type="dxa"/>
            <w:vAlign w:val="center"/>
          </w:tcPr>
          <w:p w14:paraId="2DAA8211">
            <w:pPr>
              <w:pStyle w:val="12"/>
            </w:pPr>
            <w:r>
              <w:t>44027</w:t>
            </w:r>
          </w:p>
        </w:tc>
        <w:tc>
          <w:tcPr>
            <w:tcW w:w="2835" w:type="dxa"/>
            <w:vAlign w:val="center"/>
          </w:tcPr>
          <w:p w14:paraId="6EE57412">
            <w:pPr>
              <w:pStyle w:val="14"/>
            </w:pPr>
            <w:r>
              <w:t>368.00</w:t>
            </w:r>
          </w:p>
        </w:tc>
      </w:tr>
    </w:tbl>
    <w:p w14:paraId="5E07767A">
      <w:pPr>
        <w:spacing w:before="0" w:after="0"/>
        <w:ind w:firstLine="640"/>
        <w:jc w:val="left"/>
        <w:outlineLvl w:val="9"/>
      </w:pPr>
      <w:r>
        <w:rPr>
          <w:rFonts w:ascii="Times New Roman" w:hAnsi="Times New Roman" w:eastAsia="方正仿宋_GBK" w:cs="Times New Roman"/>
          <w:color w:val="000000"/>
          <w:sz w:val="32"/>
        </w:rPr>
        <w:t xml:space="preserve"> </w:t>
      </w:r>
    </w:p>
    <w:p w14:paraId="780EE3C3">
      <w:pPr>
        <w:spacing w:before="10" w:after="10" w:line="240" w:lineRule="auto"/>
        <w:ind w:firstLine="640"/>
        <w:jc w:val="left"/>
        <w:outlineLvl w:val="5"/>
      </w:pPr>
      <w:r>
        <w:rPr>
          <w:rFonts w:ascii="黑体" w:hAnsi="黑体" w:eastAsia="黑体" w:cs="黑体"/>
          <w:color w:val="000000"/>
          <w:sz w:val="32"/>
        </w:rPr>
        <w:t>八、名词解释</w:t>
      </w:r>
    </w:p>
    <w:p w14:paraId="5C6360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27EFB8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00E98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DAAB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9B67FC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DADD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D6BCD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A486B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C6AA1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FEE3D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90FC7A">
      <w:pPr>
        <w:spacing w:before="10" w:after="10" w:line="240" w:lineRule="auto"/>
        <w:ind w:firstLine="640"/>
        <w:jc w:val="left"/>
        <w:outlineLvl w:val="5"/>
      </w:pPr>
      <w:r>
        <w:rPr>
          <w:rFonts w:ascii="黑体" w:hAnsi="黑体" w:eastAsia="黑体" w:cs="黑体"/>
          <w:color w:val="000000"/>
          <w:sz w:val="32"/>
        </w:rPr>
        <w:t>九、其他需要说明的事项</w:t>
      </w:r>
    </w:p>
    <w:p w14:paraId="5AC1816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96BCDC9">
      <w:pPr>
        <w:spacing w:before="0" w:after="0"/>
        <w:ind w:firstLine="0"/>
        <w:jc w:val="center"/>
        <w:outlineLvl w:val="3"/>
      </w:pPr>
      <w:bookmarkStart w:id="31" w:name="_Toc_4_4_0000000051"/>
      <w:r>
        <w:rPr>
          <w:rFonts w:ascii="方正小标宋_GBK" w:hAnsi="方正小标宋_GBK" w:eastAsia="方正小标宋_GBK" w:cs="方正小标宋_GBK"/>
          <w:b w:val="0"/>
          <w:color w:val="000000"/>
          <w:sz w:val="44"/>
        </w:rPr>
        <w:t>三十一、隆尧县双碑中学收支预算</w:t>
      </w:r>
      <w:bookmarkEnd w:id="31"/>
    </w:p>
    <w:p w14:paraId="1713F5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D9D8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33E03F">
            <w:pPr>
              <w:pStyle w:val="8"/>
            </w:pPr>
            <w:r>
              <w:t>360032隆尧县双碑中学</w:t>
            </w:r>
          </w:p>
        </w:tc>
        <w:tc>
          <w:tcPr>
            <w:tcW w:w="2126" w:type="dxa"/>
            <w:tcBorders>
              <w:top w:val="single" w:color="FFFFFF" w:sz="6" w:space="0"/>
              <w:left w:val="single" w:color="FFFFFF" w:sz="6" w:space="0"/>
              <w:right w:val="single" w:color="FFFFFF" w:sz="6" w:space="0"/>
            </w:tcBorders>
            <w:vAlign w:val="center"/>
          </w:tcPr>
          <w:p w14:paraId="37F7A48F">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E43CB5A">
            <w:pPr>
              <w:pStyle w:val="10"/>
            </w:pPr>
            <w:r>
              <w:t>单位：万元</w:t>
            </w:r>
          </w:p>
        </w:tc>
      </w:tr>
      <w:tr w14:paraId="2CFCE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78358D">
            <w:pPr>
              <w:pStyle w:val="11"/>
            </w:pPr>
            <w:r>
              <w:t>序号</w:t>
            </w:r>
          </w:p>
        </w:tc>
        <w:tc>
          <w:tcPr>
            <w:tcW w:w="6661" w:type="dxa"/>
            <w:gridSpan w:val="2"/>
            <w:vAlign w:val="center"/>
          </w:tcPr>
          <w:p w14:paraId="2C288796">
            <w:pPr>
              <w:pStyle w:val="11"/>
            </w:pPr>
            <w:r>
              <w:t>收入</w:t>
            </w:r>
          </w:p>
        </w:tc>
        <w:tc>
          <w:tcPr>
            <w:tcW w:w="6661" w:type="dxa"/>
            <w:gridSpan w:val="2"/>
            <w:vAlign w:val="center"/>
          </w:tcPr>
          <w:p w14:paraId="474B0DD8">
            <w:pPr>
              <w:pStyle w:val="11"/>
            </w:pPr>
            <w:r>
              <w:t>支出</w:t>
            </w:r>
          </w:p>
        </w:tc>
      </w:tr>
      <w:tr w14:paraId="337AB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5D4D30"/>
        </w:tc>
        <w:tc>
          <w:tcPr>
            <w:tcW w:w="4535" w:type="dxa"/>
            <w:vAlign w:val="center"/>
          </w:tcPr>
          <w:p w14:paraId="049860A9">
            <w:pPr>
              <w:pStyle w:val="11"/>
            </w:pPr>
            <w:r>
              <w:t>项  目</w:t>
            </w:r>
          </w:p>
        </w:tc>
        <w:tc>
          <w:tcPr>
            <w:tcW w:w="2126" w:type="dxa"/>
            <w:vAlign w:val="center"/>
          </w:tcPr>
          <w:p w14:paraId="512B048C">
            <w:pPr>
              <w:pStyle w:val="11"/>
            </w:pPr>
            <w:r>
              <w:t>预算数</w:t>
            </w:r>
          </w:p>
        </w:tc>
        <w:tc>
          <w:tcPr>
            <w:tcW w:w="4535" w:type="dxa"/>
            <w:vAlign w:val="center"/>
          </w:tcPr>
          <w:p w14:paraId="532ED0D2">
            <w:pPr>
              <w:pStyle w:val="11"/>
            </w:pPr>
            <w:r>
              <w:t>项  目</w:t>
            </w:r>
          </w:p>
        </w:tc>
        <w:tc>
          <w:tcPr>
            <w:tcW w:w="2126" w:type="dxa"/>
            <w:vAlign w:val="center"/>
          </w:tcPr>
          <w:p w14:paraId="306004BF">
            <w:pPr>
              <w:pStyle w:val="11"/>
            </w:pPr>
            <w:r>
              <w:t>预算数</w:t>
            </w:r>
          </w:p>
        </w:tc>
      </w:tr>
      <w:tr w14:paraId="1F558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FDF025">
            <w:pPr>
              <w:pStyle w:val="11"/>
            </w:pPr>
            <w:r>
              <w:t>栏次</w:t>
            </w:r>
          </w:p>
        </w:tc>
        <w:tc>
          <w:tcPr>
            <w:tcW w:w="4535" w:type="dxa"/>
            <w:vAlign w:val="center"/>
          </w:tcPr>
          <w:p w14:paraId="0762645C">
            <w:pPr>
              <w:pStyle w:val="11"/>
            </w:pPr>
            <w:r>
              <w:t>1</w:t>
            </w:r>
          </w:p>
        </w:tc>
        <w:tc>
          <w:tcPr>
            <w:tcW w:w="2126" w:type="dxa"/>
            <w:vAlign w:val="center"/>
          </w:tcPr>
          <w:p w14:paraId="6D076060">
            <w:pPr>
              <w:pStyle w:val="11"/>
            </w:pPr>
            <w:r>
              <w:t>2</w:t>
            </w:r>
          </w:p>
        </w:tc>
        <w:tc>
          <w:tcPr>
            <w:tcW w:w="4535" w:type="dxa"/>
            <w:vAlign w:val="center"/>
          </w:tcPr>
          <w:p w14:paraId="0AC4B7C3">
            <w:pPr>
              <w:pStyle w:val="11"/>
            </w:pPr>
            <w:r>
              <w:t>3</w:t>
            </w:r>
          </w:p>
        </w:tc>
        <w:tc>
          <w:tcPr>
            <w:tcW w:w="2126" w:type="dxa"/>
            <w:vAlign w:val="center"/>
          </w:tcPr>
          <w:p w14:paraId="1094F4D5">
            <w:pPr>
              <w:pStyle w:val="11"/>
            </w:pPr>
            <w:r>
              <w:t>4</w:t>
            </w:r>
          </w:p>
        </w:tc>
      </w:tr>
      <w:tr w14:paraId="678B7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913C2">
            <w:pPr>
              <w:pStyle w:val="12"/>
            </w:pPr>
            <w:r>
              <w:t>1</w:t>
            </w:r>
          </w:p>
        </w:tc>
        <w:tc>
          <w:tcPr>
            <w:tcW w:w="4535" w:type="dxa"/>
            <w:vAlign w:val="center"/>
          </w:tcPr>
          <w:p w14:paraId="38BCDA7B">
            <w:pPr>
              <w:pStyle w:val="13"/>
            </w:pPr>
            <w:r>
              <w:t>一、一般公共预算拨款收入</w:t>
            </w:r>
          </w:p>
        </w:tc>
        <w:tc>
          <w:tcPr>
            <w:tcW w:w="2126" w:type="dxa"/>
            <w:vAlign w:val="center"/>
          </w:tcPr>
          <w:p w14:paraId="46D93BBF">
            <w:pPr>
              <w:pStyle w:val="14"/>
            </w:pPr>
            <w:r>
              <w:t>1041.12</w:t>
            </w:r>
          </w:p>
        </w:tc>
        <w:tc>
          <w:tcPr>
            <w:tcW w:w="4535" w:type="dxa"/>
            <w:vAlign w:val="center"/>
          </w:tcPr>
          <w:p w14:paraId="61DE5430">
            <w:pPr>
              <w:pStyle w:val="13"/>
            </w:pPr>
            <w:r>
              <w:t>一、一般公共服务支出</w:t>
            </w:r>
          </w:p>
        </w:tc>
        <w:tc>
          <w:tcPr>
            <w:tcW w:w="2126" w:type="dxa"/>
            <w:vAlign w:val="center"/>
          </w:tcPr>
          <w:p w14:paraId="46529DA4">
            <w:pPr>
              <w:pStyle w:val="14"/>
            </w:pPr>
          </w:p>
        </w:tc>
      </w:tr>
      <w:tr w14:paraId="312A6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10DA2">
            <w:pPr>
              <w:pStyle w:val="12"/>
            </w:pPr>
            <w:r>
              <w:t>2</w:t>
            </w:r>
          </w:p>
        </w:tc>
        <w:tc>
          <w:tcPr>
            <w:tcW w:w="4535" w:type="dxa"/>
            <w:vAlign w:val="center"/>
          </w:tcPr>
          <w:p w14:paraId="3569AA55">
            <w:pPr>
              <w:pStyle w:val="13"/>
            </w:pPr>
            <w:r>
              <w:t>二、政府性基金预算拨款收入</w:t>
            </w:r>
          </w:p>
        </w:tc>
        <w:tc>
          <w:tcPr>
            <w:tcW w:w="2126" w:type="dxa"/>
            <w:vAlign w:val="center"/>
          </w:tcPr>
          <w:p w14:paraId="2AB32355">
            <w:pPr>
              <w:pStyle w:val="14"/>
            </w:pPr>
          </w:p>
        </w:tc>
        <w:tc>
          <w:tcPr>
            <w:tcW w:w="4535" w:type="dxa"/>
            <w:vAlign w:val="center"/>
          </w:tcPr>
          <w:p w14:paraId="0478B778">
            <w:pPr>
              <w:pStyle w:val="13"/>
            </w:pPr>
            <w:r>
              <w:t>二、外交支出</w:t>
            </w:r>
          </w:p>
        </w:tc>
        <w:tc>
          <w:tcPr>
            <w:tcW w:w="2126" w:type="dxa"/>
            <w:vAlign w:val="center"/>
          </w:tcPr>
          <w:p w14:paraId="29ABF060">
            <w:pPr>
              <w:pStyle w:val="14"/>
            </w:pPr>
          </w:p>
        </w:tc>
      </w:tr>
      <w:tr w14:paraId="5C8CB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8153C">
            <w:pPr>
              <w:pStyle w:val="12"/>
            </w:pPr>
            <w:r>
              <w:t>3</w:t>
            </w:r>
          </w:p>
        </w:tc>
        <w:tc>
          <w:tcPr>
            <w:tcW w:w="4535" w:type="dxa"/>
            <w:vAlign w:val="center"/>
          </w:tcPr>
          <w:p w14:paraId="05573DE3">
            <w:pPr>
              <w:pStyle w:val="13"/>
            </w:pPr>
            <w:r>
              <w:t>三、国有资本经营预算拨款收入</w:t>
            </w:r>
          </w:p>
        </w:tc>
        <w:tc>
          <w:tcPr>
            <w:tcW w:w="2126" w:type="dxa"/>
            <w:vAlign w:val="center"/>
          </w:tcPr>
          <w:p w14:paraId="072350B9">
            <w:pPr>
              <w:pStyle w:val="14"/>
            </w:pPr>
          </w:p>
        </w:tc>
        <w:tc>
          <w:tcPr>
            <w:tcW w:w="4535" w:type="dxa"/>
            <w:vAlign w:val="center"/>
          </w:tcPr>
          <w:p w14:paraId="4702D965">
            <w:pPr>
              <w:pStyle w:val="13"/>
            </w:pPr>
            <w:r>
              <w:t>三、国防支出</w:t>
            </w:r>
          </w:p>
        </w:tc>
        <w:tc>
          <w:tcPr>
            <w:tcW w:w="2126" w:type="dxa"/>
            <w:vAlign w:val="center"/>
          </w:tcPr>
          <w:p w14:paraId="000D6A1D">
            <w:pPr>
              <w:pStyle w:val="14"/>
            </w:pPr>
          </w:p>
        </w:tc>
      </w:tr>
      <w:tr w14:paraId="0D26A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CB9FC">
            <w:pPr>
              <w:pStyle w:val="12"/>
            </w:pPr>
            <w:r>
              <w:t>4</w:t>
            </w:r>
          </w:p>
        </w:tc>
        <w:tc>
          <w:tcPr>
            <w:tcW w:w="4535" w:type="dxa"/>
            <w:vAlign w:val="center"/>
          </w:tcPr>
          <w:p w14:paraId="68AB6720">
            <w:pPr>
              <w:pStyle w:val="13"/>
            </w:pPr>
            <w:r>
              <w:t>四、财政专户管理资金收入</w:t>
            </w:r>
          </w:p>
        </w:tc>
        <w:tc>
          <w:tcPr>
            <w:tcW w:w="2126" w:type="dxa"/>
            <w:vAlign w:val="center"/>
          </w:tcPr>
          <w:p w14:paraId="46A2BD26">
            <w:pPr>
              <w:pStyle w:val="14"/>
            </w:pPr>
          </w:p>
        </w:tc>
        <w:tc>
          <w:tcPr>
            <w:tcW w:w="4535" w:type="dxa"/>
            <w:vAlign w:val="center"/>
          </w:tcPr>
          <w:p w14:paraId="632789EC">
            <w:pPr>
              <w:pStyle w:val="13"/>
            </w:pPr>
            <w:r>
              <w:t>四、公共安全支出</w:t>
            </w:r>
          </w:p>
        </w:tc>
        <w:tc>
          <w:tcPr>
            <w:tcW w:w="2126" w:type="dxa"/>
            <w:vAlign w:val="center"/>
          </w:tcPr>
          <w:p w14:paraId="4481E61A">
            <w:pPr>
              <w:pStyle w:val="14"/>
            </w:pPr>
          </w:p>
        </w:tc>
      </w:tr>
      <w:tr w14:paraId="699E3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84C30">
            <w:pPr>
              <w:pStyle w:val="12"/>
            </w:pPr>
            <w:r>
              <w:t>5</w:t>
            </w:r>
          </w:p>
        </w:tc>
        <w:tc>
          <w:tcPr>
            <w:tcW w:w="4535" w:type="dxa"/>
            <w:vAlign w:val="center"/>
          </w:tcPr>
          <w:p w14:paraId="4B886B96">
            <w:pPr>
              <w:pStyle w:val="13"/>
            </w:pPr>
            <w:r>
              <w:t>五、单位资金</w:t>
            </w:r>
          </w:p>
        </w:tc>
        <w:tc>
          <w:tcPr>
            <w:tcW w:w="2126" w:type="dxa"/>
            <w:vAlign w:val="center"/>
          </w:tcPr>
          <w:p w14:paraId="40171DAF">
            <w:pPr>
              <w:pStyle w:val="14"/>
            </w:pPr>
          </w:p>
        </w:tc>
        <w:tc>
          <w:tcPr>
            <w:tcW w:w="4535" w:type="dxa"/>
            <w:vAlign w:val="center"/>
          </w:tcPr>
          <w:p w14:paraId="14176073">
            <w:pPr>
              <w:pStyle w:val="13"/>
            </w:pPr>
            <w:r>
              <w:t>五、教育支出</w:t>
            </w:r>
          </w:p>
        </w:tc>
        <w:tc>
          <w:tcPr>
            <w:tcW w:w="2126" w:type="dxa"/>
            <w:vAlign w:val="center"/>
          </w:tcPr>
          <w:p w14:paraId="70CE7366">
            <w:pPr>
              <w:pStyle w:val="14"/>
            </w:pPr>
            <w:r>
              <w:t>1041.12</w:t>
            </w:r>
          </w:p>
        </w:tc>
      </w:tr>
      <w:tr w14:paraId="016C3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2385F">
            <w:pPr>
              <w:pStyle w:val="12"/>
            </w:pPr>
            <w:r>
              <w:t>6</w:t>
            </w:r>
          </w:p>
        </w:tc>
        <w:tc>
          <w:tcPr>
            <w:tcW w:w="4535" w:type="dxa"/>
            <w:vAlign w:val="center"/>
          </w:tcPr>
          <w:p w14:paraId="224178A8">
            <w:pPr>
              <w:pStyle w:val="13"/>
            </w:pPr>
          </w:p>
        </w:tc>
        <w:tc>
          <w:tcPr>
            <w:tcW w:w="2126" w:type="dxa"/>
            <w:vAlign w:val="center"/>
          </w:tcPr>
          <w:p w14:paraId="3DAAC522">
            <w:pPr>
              <w:pStyle w:val="14"/>
            </w:pPr>
          </w:p>
        </w:tc>
        <w:tc>
          <w:tcPr>
            <w:tcW w:w="4535" w:type="dxa"/>
            <w:vAlign w:val="center"/>
          </w:tcPr>
          <w:p w14:paraId="595F8C0C">
            <w:pPr>
              <w:pStyle w:val="13"/>
            </w:pPr>
            <w:r>
              <w:t>六、科学技术支出</w:t>
            </w:r>
          </w:p>
        </w:tc>
        <w:tc>
          <w:tcPr>
            <w:tcW w:w="2126" w:type="dxa"/>
            <w:vAlign w:val="center"/>
          </w:tcPr>
          <w:p w14:paraId="2B7F5C8A">
            <w:pPr>
              <w:pStyle w:val="14"/>
            </w:pPr>
          </w:p>
        </w:tc>
      </w:tr>
      <w:tr w14:paraId="733ED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047C8">
            <w:pPr>
              <w:pStyle w:val="12"/>
            </w:pPr>
            <w:r>
              <w:t>7</w:t>
            </w:r>
          </w:p>
        </w:tc>
        <w:tc>
          <w:tcPr>
            <w:tcW w:w="4535" w:type="dxa"/>
            <w:vAlign w:val="center"/>
          </w:tcPr>
          <w:p w14:paraId="5C5A2856">
            <w:pPr>
              <w:pStyle w:val="13"/>
            </w:pPr>
          </w:p>
        </w:tc>
        <w:tc>
          <w:tcPr>
            <w:tcW w:w="2126" w:type="dxa"/>
            <w:vAlign w:val="center"/>
          </w:tcPr>
          <w:p w14:paraId="0A52DC2A">
            <w:pPr>
              <w:pStyle w:val="14"/>
            </w:pPr>
          </w:p>
        </w:tc>
        <w:tc>
          <w:tcPr>
            <w:tcW w:w="4535" w:type="dxa"/>
            <w:vAlign w:val="center"/>
          </w:tcPr>
          <w:p w14:paraId="5272E064">
            <w:pPr>
              <w:pStyle w:val="13"/>
            </w:pPr>
            <w:r>
              <w:t>七、文化旅游体育与传媒支出</w:t>
            </w:r>
          </w:p>
        </w:tc>
        <w:tc>
          <w:tcPr>
            <w:tcW w:w="2126" w:type="dxa"/>
            <w:vAlign w:val="center"/>
          </w:tcPr>
          <w:p w14:paraId="42EFAE39">
            <w:pPr>
              <w:pStyle w:val="14"/>
            </w:pPr>
          </w:p>
        </w:tc>
      </w:tr>
      <w:tr w14:paraId="6B566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F093D">
            <w:pPr>
              <w:pStyle w:val="12"/>
            </w:pPr>
            <w:r>
              <w:t>8</w:t>
            </w:r>
          </w:p>
        </w:tc>
        <w:tc>
          <w:tcPr>
            <w:tcW w:w="4535" w:type="dxa"/>
            <w:vAlign w:val="center"/>
          </w:tcPr>
          <w:p w14:paraId="31C3C854">
            <w:pPr>
              <w:pStyle w:val="13"/>
            </w:pPr>
          </w:p>
        </w:tc>
        <w:tc>
          <w:tcPr>
            <w:tcW w:w="2126" w:type="dxa"/>
            <w:vAlign w:val="center"/>
          </w:tcPr>
          <w:p w14:paraId="48E818A9">
            <w:pPr>
              <w:pStyle w:val="14"/>
            </w:pPr>
          </w:p>
        </w:tc>
        <w:tc>
          <w:tcPr>
            <w:tcW w:w="4535" w:type="dxa"/>
            <w:vAlign w:val="center"/>
          </w:tcPr>
          <w:p w14:paraId="052EF75A">
            <w:pPr>
              <w:pStyle w:val="13"/>
            </w:pPr>
            <w:r>
              <w:t>八、社会保障和就业支出</w:t>
            </w:r>
          </w:p>
        </w:tc>
        <w:tc>
          <w:tcPr>
            <w:tcW w:w="2126" w:type="dxa"/>
            <w:vAlign w:val="center"/>
          </w:tcPr>
          <w:p w14:paraId="37C4B6FB">
            <w:pPr>
              <w:pStyle w:val="14"/>
            </w:pPr>
          </w:p>
        </w:tc>
      </w:tr>
      <w:tr w14:paraId="2CBD0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E0D71">
            <w:pPr>
              <w:pStyle w:val="12"/>
            </w:pPr>
            <w:r>
              <w:t>9</w:t>
            </w:r>
          </w:p>
        </w:tc>
        <w:tc>
          <w:tcPr>
            <w:tcW w:w="4535" w:type="dxa"/>
            <w:vAlign w:val="center"/>
          </w:tcPr>
          <w:p w14:paraId="0AD29C29">
            <w:pPr>
              <w:pStyle w:val="13"/>
            </w:pPr>
          </w:p>
        </w:tc>
        <w:tc>
          <w:tcPr>
            <w:tcW w:w="2126" w:type="dxa"/>
            <w:vAlign w:val="center"/>
          </w:tcPr>
          <w:p w14:paraId="3D0587A5">
            <w:pPr>
              <w:pStyle w:val="14"/>
            </w:pPr>
          </w:p>
        </w:tc>
        <w:tc>
          <w:tcPr>
            <w:tcW w:w="4535" w:type="dxa"/>
            <w:vAlign w:val="center"/>
          </w:tcPr>
          <w:p w14:paraId="2A60844E">
            <w:pPr>
              <w:pStyle w:val="13"/>
            </w:pPr>
            <w:r>
              <w:t>九、社会保险基金支出</w:t>
            </w:r>
          </w:p>
        </w:tc>
        <w:tc>
          <w:tcPr>
            <w:tcW w:w="2126" w:type="dxa"/>
            <w:vAlign w:val="center"/>
          </w:tcPr>
          <w:p w14:paraId="6685F107">
            <w:pPr>
              <w:pStyle w:val="14"/>
            </w:pPr>
          </w:p>
        </w:tc>
      </w:tr>
      <w:tr w14:paraId="28A31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2C9B2">
            <w:pPr>
              <w:pStyle w:val="12"/>
            </w:pPr>
            <w:r>
              <w:t>10</w:t>
            </w:r>
          </w:p>
        </w:tc>
        <w:tc>
          <w:tcPr>
            <w:tcW w:w="4535" w:type="dxa"/>
            <w:vAlign w:val="center"/>
          </w:tcPr>
          <w:p w14:paraId="59CA479E">
            <w:pPr>
              <w:pStyle w:val="13"/>
            </w:pPr>
          </w:p>
        </w:tc>
        <w:tc>
          <w:tcPr>
            <w:tcW w:w="2126" w:type="dxa"/>
            <w:vAlign w:val="center"/>
          </w:tcPr>
          <w:p w14:paraId="63391162">
            <w:pPr>
              <w:pStyle w:val="14"/>
            </w:pPr>
          </w:p>
        </w:tc>
        <w:tc>
          <w:tcPr>
            <w:tcW w:w="4535" w:type="dxa"/>
            <w:vAlign w:val="center"/>
          </w:tcPr>
          <w:p w14:paraId="31053706">
            <w:pPr>
              <w:pStyle w:val="13"/>
            </w:pPr>
            <w:r>
              <w:t>十、卫生健康支出</w:t>
            </w:r>
          </w:p>
        </w:tc>
        <w:tc>
          <w:tcPr>
            <w:tcW w:w="2126" w:type="dxa"/>
            <w:vAlign w:val="center"/>
          </w:tcPr>
          <w:p w14:paraId="16D3475A">
            <w:pPr>
              <w:pStyle w:val="14"/>
            </w:pPr>
          </w:p>
        </w:tc>
      </w:tr>
      <w:tr w14:paraId="49AB4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E530F">
            <w:pPr>
              <w:pStyle w:val="12"/>
            </w:pPr>
            <w:r>
              <w:t>11</w:t>
            </w:r>
          </w:p>
        </w:tc>
        <w:tc>
          <w:tcPr>
            <w:tcW w:w="4535" w:type="dxa"/>
            <w:vAlign w:val="center"/>
          </w:tcPr>
          <w:p w14:paraId="21704D8D">
            <w:pPr>
              <w:pStyle w:val="13"/>
            </w:pPr>
          </w:p>
        </w:tc>
        <w:tc>
          <w:tcPr>
            <w:tcW w:w="2126" w:type="dxa"/>
            <w:vAlign w:val="center"/>
          </w:tcPr>
          <w:p w14:paraId="48729F44">
            <w:pPr>
              <w:pStyle w:val="14"/>
            </w:pPr>
          </w:p>
        </w:tc>
        <w:tc>
          <w:tcPr>
            <w:tcW w:w="4535" w:type="dxa"/>
            <w:vAlign w:val="center"/>
          </w:tcPr>
          <w:p w14:paraId="5F34447C">
            <w:pPr>
              <w:pStyle w:val="13"/>
            </w:pPr>
            <w:r>
              <w:t>十一、节能环保支出</w:t>
            </w:r>
          </w:p>
        </w:tc>
        <w:tc>
          <w:tcPr>
            <w:tcW w:w="2126" w:type="dxa"/>
            <w:vAlign w:val="center"/>
          </w:tcPr>
          <w:p w14:paraId="0F7CB4A3">
            <w:pPr>
              <w:pStyle w:val="14"/>
            </w:pPr>
          </w:p>
        </w:tc>
      </w:tr>
      <w:tr w14:paraId="163AC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1CC0E">
            <w:pPr>
              <w:pStyle w:val="12"/>
            </w:pPr>
            <w:r>
              <w:t>12</w:t>
            </w:r>
          </w:p>
        </w:tc>
        <w:tc>
          <w:tcPr>
            <w:tcW w:w="4535" w:type="dxa"/>
            <w:vAlign w:val="center"/>
          </w:tcPr>
          <w:p w14:paraId="6D9FE6BB">
            <w:pPr>
              <w:pStyle w:val="13"/>
            </w:pPr>
          </w:p>
        </w:tc>
        <w:tc>
          <w:tcPr>
            <w:tcW w:w="2126" w:type="dxa"/>
            <w:vAlign w:val="center"/>
          </w:tcPr>
          <w:p w14:paraId="131A39E0">
            <w:pPr>
              <w:pStyle w:val="14"/>
            </w:pPr>
          </w:p>
        </w:tc>
        <w:tc>
          <w:tcPr>
            <w:tcW w:w="4535" w:type="dxa"/>
            <w:vAlign w:val="center"/>
          </w:tcPr>
          <w:p w14:paraId="3DB2C14C">
            <w:pPr>
              <w:pStyle w:val="13"/>
            </w:pPr>
            <w:r>
              <w:t>十二、城乡社区支出</w:t>
            </w:r>
          </w:p>
        </w:tc>
        <w:tc>
          <w:tcPr>
            <w:tcW w:w="2126" w:type="dxa"/>
            <w:vAlign w:val="center"/>
          </w:tcPr>
          <w:p w14:paraId="502FBDFB">
            <w:pPr>
              <w:pStyle w:val="14"/>
            </w:pPr>
          </w:p>
        </w:tc>
      </w:tr>
      <w:tr w14:paraId="27AC2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93556">
            <w:pPr>
              <w:pStyle w:val="12"/>
            </w:pPr>
            <w:r>
              <w:t>13</w:t>
            </w:r>
          </w:p>
        </w:tc>
        <w:tc>
          <w:tcPr>
            <w:tcW w:w="4535" w:type="dxa"/>
            <w:vAlign w:val="center"/>
          </w:tcPr>
          <w:p w14:paraId="65CB1717">
            <w:pPr>
              <w:pStyle w:val="13"/>
            </w:pPr>
          </w:p>
        </w:tc>
        <w:tc>
          <w:tcPr>
            <w:tcW w:w="2126" w:type="dxa"/>
            <w:vAlign w:val="center"/>
          </w:tcPr>
          <w:p w14:paraId="2FD11ABE">
            <w:pPr>
              <w:pStyle w:val="14"/>
            </w:pPr>
          </w:p>
        </w:tc>
        <w:tc>
          <w:tcPr>
            <w:tcW w:w="4535" w:type="dxa"/>
            <w:vAlign w:val="center"/>
          </w:tcPr>
          <w:p w14:paraId="6CA2E8FF">
            <w:pPr>
              <w:pStyle w:val="13"/>
            </w:pPr>
            <w:r>
              <w:t>十三、农林水支出</w:t>
            </w:r>
          </w:p>
        </w:tc>
        <w:tc>
          <w:tcPr>
            <w:tcW w:w="2126" w:type="dxa"/>
            <w:vAlign w:val="center"/>
          </w:tcPr>
          <w:p w14:paraId="09FCD97A">
            <w:pPr>
              <w:pStyle w:val="14"/>
            </w:pPr>
          </w:p>
        </w:tc>
      </w:tr>
      <w:tr w14:paraId="5E25D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EF0F7">
            <w:pPr>
              <w:pStyle w:val="12"/>
            </w:pPr>
            <w:r>
              <w:t>14</w:t>
            </w:r>
          </w:p>
        </w:tc>
        <w:tc>
          <w:tcPr>
            <w:tcW w:w="4535" w:type="dxa"/>
            <w:vAlign w:val="center"/>
          </w:tcPr>
          <w:p w14:paraId="19B3C30D">
            <w:pPr>
              <w:pStyle w:val="13"/>
            </w:pPr>
          </w:p>
        </w:tc>
        <w:tc>
          <w:tcPr>
            <w:tcW w:w="2126" w:type="dxa"/>
            <w:vAlign w:val="center"/>
          </w:tcPr>
          <w:p w14:paraId="1FCBD9E2">
            <w:pPr>
              <w:pStyle w:val="14"/>
            </w:pPr>
          </w:p>
        </w:tc>
        <w:tc>
          <w:tcPr>
            <w:tcW w:w="4535" w:type="dxa"/>
            <w:vAlign w:val="center"/>
          </w:tcPr>
          <w:p w14:paraId="6BD837CE">
            <w:pPr>
              <w:pStyle w:val="13"/>
            </w:pPr>
            <w:r>
              <w:t>十四、交通运输支出</w:t>
            </w:r>
          </w:p>
        </w:tc>
        <w:tc>
          <w:tcPr>
            <w:tcW w:w="2126" w:type="dxa"/>
            <w:vAlign w:val="center"/>
          </w:tcPr>
          <w:p w14:paraId="15EBEB7F">
            <w:pPr>
              <w:pStyle w:val="14"/>
            </w:pPr>
          </w:p>
        </w:tc>
      </w:tr>
      <w:tr w14:paraId="3899C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128B5">
            <w:pPr>
              <w:pStyle w:val="12"/>
            </w:pPr>
            <w:r>
              <w:t>15</w:t>
            </w:r>
          </w:p>
        </w:tc>
        <w:tc>
          <w:tcPr>
            <w:tcW w:w="4535" w:type="dxa"/>
            <w:vAlign w:val="center"/>
          </w:tcPr>
          <w:p w14:paraId="0CC39766">
            <w:pPr>
              <w:pStyle w:val="13"/>
            </w:pPr>
          </w:p>
        </w:tc>
        <w:tc>
          <w:tcPr>
            <w:tcW w:w="2126" w:type="dxa"/>
            <w:vAlign w:val="center"/>
          </w:tcPr>
          <w:p w14:paraId="1317D97C">
            <w:pPr>
              <w:pStyle w:val="14"/>
            </w:pPr>
          </w:p>
        </w:tc>
        <w:tc>
          <w:tcPr>
            <w:tcW w:w="4535" w:type="dxa"/>
            <w:vAlign w:val="center"/>
          </w:tcPr>
          <w:p w14:paraId="13BCFF54">
            <w:pPr>
              <w:pStyle w:val="13"/>
            </w:pPr>
            <w:r>
              <w:t>十五、资源勘探工业信息等支出</w:t>
            </w:r>
          </w:p>
        </w:tc>
        <w:tc>
          <w:tcPr>
            <w:tcW w:w="2126" w:type="dxa"/>
            <w:vAlign w:val="center"/>
          </w:tcPr>
          <w:p w14:paraId="2A446A17">
            <w:pPr>
              <w:pStyle w:val="14"/>
            </w:pPr>
          </w:p>
        </w:tc>
      </w:tr>
      <w:tr w14:paraId="266DF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3175D">
            <w:pPr>
              <w:pStyle w:val="12"/>
            </w:pPr>
            <w:r>
              <w:t>16</w:t>
            </w:r>
          </w:p>
        </w:tc>
        <w:tc>
          <w:tcPr>
            <w:tcW w:w="4535" w:type="dxa"/>
            <w:vAlign w:val="center"/>
          </w:tcPr>
          <w:p w14:paraId="7F6C5703">
            <w:pPr>
              <w:pStyle w:val="13"/>
            </w:pPr>
          </w:p>
        </w:tc>
        <w:tc>
          <w:tcPr>
            <w:tcW w:w="2126" w:type="dxa"/>
            <w:vAlign w:val="center"/>
          </w:tcPr>
          <w:p w14:paraId="34E70883">
            <w:pPr>
              <w:pStyle w:val="14"/>
            </w:pPr>
          </w:p>
        </w:tc>
        <w:tc>
          <w:tcPr>
            <w:tcW w:w="4535" w:type="dxa"/>
            <w:vAlign w:val="center"/>
          </w:tcPr>
          <w:p w14:paraId="575EE67C">
            <w:pPr>
              <w:pStyle w:val="13"/>
            </w:pPr>
            <w:r>
              <w:t>十六、商业服务业等支出</w:t>
            </w:r>
          </w:p>
        </w:tc>
        <w:tc>
          <w:tcPr>
            <w:tcW w:w="2126" w:type="dxa"/>
            <w:vAlign w:val="center"/>
          </w:tcPr>
          <w:p w14:paraId="1A79E0EF">
            <w:pPr>
              <w:pStyle w:val="14"/>
            </w:pPr>
          </w:p>
        </w:tc>
      </w:tr>
      <w:tr w14:paraId="0FCB4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ADBE4">
            <w:pPr>
              <w:pStyle w:val="12"/>
            </w:pPr>
            <w:r>
              <w:t>17</w:t>
            </w:r>
          </w:p>
        </w:tc>
        <w:tc>
          <w:tcPr>
            <w:tcW w:w="4535" w:type="dxa"/>
            <w:vAlign w:val="center"/>
          </w:tcPr>
          <w:p w14:paraId="431D7C11">
            <w:pPr>
              <w:pStyle w:val="13"/>
            </w:pPr>
          </w:p>
        </w:tc>
        <w:tc>
          <w:tcPr>
            <w:tcW w:w="2126" w:type="dxa"/>
            <w:vAlign w:val="center"/>
          </w:tcPr>
          <w:p w14:paraId="629D4AD2">
            <w:pPr>
              <w:pStyle w:val="14"/>
            </w:pPr>
          </w:p>
        </w:tc>
        <w:tc>
          <w:tcPr>
            <w:tcW w:w="4535" w:type="dxa"/>
            <w:vAlign w:val="center"/>
          </w:tcPr>
          <w:p w14:paraId="46DA22DB">
            <w:pPr>
              <w:pStyle w:val="13"/>
            </w:pPr>
            <w:r>
              <w:t>十七、金融支出</w:t>
            </w:r>
          </w:p>
        </w:tc>
        <w:tc>
          <w:tcPr>
            <w:tcW w:w="2126" w:type="dxa"/>
            <w:vAlign w:val="center"/>
          </w:tcPr>
          <w:p w14:paraId="29302CA4">
            <w:pPr>
              <w:pStyle w:val="14"/>
            </w:pPr>
          </w:p>
        </w:tc>
      </w:tr>
      <w:tr w14:paraId="39537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DC798">
            <w:pPr>
              <w:pStyle w:val="12"/>
            </w:pPr>
            <w:r>
              <w:t>18</w:t>
            </w:r>
          </w:p>
        </w:tc>
        <w:tc>
          <w:tcPr>
            <w:tcW w:w="4535" w:type="dxa"/>
            <w:vAlign w:val="center"/>
          </w:tcPr>
          <w:p w14:paraId="3E1D885A">
            <w:pPr>
              <w:pStyle w:val="13"/>
            </w:pPr>
          </w:p>
        </w:tc>
        <w:tc>
          <w:tcPr>
            <w:tcW w:w="2126" w:type="dxa"/>
            <w:vAlign w:val="center"/>
          </w:tcPr>
          <w:p w14:paraId="4CA08E73">
            <w:pPr>
              <w:pStyle w:val="14"/>
            </w:pPr>
          </w:p>
        </w:tc>
        <w:tc>
          <w:tcPr>
            <w:tcW w:w="4535" w:type="dxa"/>
            <w:vAlign w:val="center"/>
          </w:tcPr>
          <w:p w14:paraId="11A25B8C">
            <w:pPr>
              <w:pStyle w:val="13"/>
            </w:pPr>
            <w:r>
              <w:t>十八、援助其他地区支出</w:t>
            </w:r>
          </w:p>
        </w:tc>
        <w:tc>
          <w:tcPr>
            <w:tcW w:w="2126" w:type="dxa"/>
            <w:vAlign w:val="center"/>
          </w:tcPr>
          <w:p w14:paraId="0C04BDF2">
            <w:pPr>
              <w:pStyle w:val="14"/>
            </w:pPr>
          </w:p>
        </w:tc>
      </w:tr>
      <w:tr w14:paraId="68304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F7A27">
            <w:pPr>
              <w:pStyle w:val="12"/>
            </w:pPr>
            <w:r>
              <w:t>19</w:t>
            </w:r>
          </w:p>
        </w:tc>
        <w:tc>
          <w:tcPr>
            <w:tcW w:w="4535" w:type="dxa"/>
            <w:vAlign w:val="center"/>
          </w:tcPr>
          <w:p w14:paraId="67B2C034">
            <w:pPr>
              <w:pStyle w:val="13"/>
            </w:pPr>
          </w:p>
        </w:tc>
        <w:tc>
          <w:tcPr>
            <w:tcW w:w="2126" w:type="dxa"/>
            <w:vAlign w:val="center"/>
          </w:tcPr>
          <w:p w14:paraId="08579907">
            <w:pPr>
              <w:pStyle w:val="14"/>
            </w:pPr>
          </w:p>
        </w:tc>
        <w:tc>
          <w:tcPr>
            <w:tcW w:w="4535" w:type="dxa"/>
            <w:vAlign w:val="center"/>
          </w:tcPr>
          <w:p w14:paraId="72A71B82">
            <w:pPr>
              <w:pStyle w:val="13"/>
            </w:pPr>
            <w:r>
              <w:t>十九、自然资源海洋气象等支出</w:t>
            </w:r>
          </w:p>
        </w:tc>
        <w:tc>
          <w:tcPr>
            <w:tcW w:w="2126" w:type="dxa"/>
            <w:vAlign w:val="center"/>
          </w:tcPr>
          <w:p w14:paraId="71C5E754">
            <w:pPr>
              <w:pStyle w:val="14"/>
            </w:pPr>
          </w:p>
        </w:tc>
      </w:tr>
      <w:tr w14:paraId="2B92B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EF28D">
            <w:pPr>
              <w:pStyle w:val="12"/>
            </w:pPr>
            <w:r>
              <w:t>20</w:t>
            </w:r>
          </w:p>
        </w:tc>
        <w:tc>
          <w:tcPr>
            <w:tcW w:w="4535" w:type="dxa"/>
            <w:vAlign w:val="center"/>
          </w:tcPr>
          <w:p w14:paraId="6676B522">
            <w:pPr>
              <w:pStyle w:val="13"/>
            </w:pPr>
          </w:p>
        </w:tc>
        <w:tc>
          <w:tcPr>
            <w:tcW w:w="2126" w:type="dxa"/>
            <w:vAlign w:val="center"/>
          </w:tcPr>
          <w:p w14:paraId="1C3B765B">
            <w:pPr>
              <w:pStyle w:val="14"/>
            </w:pPr>
          </w:p>
        </w:tc>
        <w:tc>
          <w:tcPr>
            <w:tcW w:w="4535" w:type="dxa"/>
            <w:vAlign w:val="center"/>
          </w:tcPr>
          <w:p w14:paraId="10F3C338">
            <w:pPr>
              <w:pStyle w:val="13"/>
            </w:pPr>
            <w:r>
              <w:t>二十、住房保障支出</w:t>
            </w:r>
          </w:p>
        </w:tc>
        <w:tc>
          <w:tcPr>
            <w:tcW w:w="2126" w:type="dxa"/>
            <w:vAlign w:val="center"/>
          </w:tcPr>
          <w:p w14:paraId="4227A769">
            <w:pPr>
              <w:pStyle w:val="14"/>
            </w:pPr>
          </w:p>
        </w:tc>
      </w:tr>
      <w:tr w14:paraId="2D982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93B1C">
            <w:pPr>
              <w:pStyle w:val="12"/>
            </w:pPr>
            <w:r>
              <w:t>21</w:t>
            </w:r>
          </w:p>
        </w:tc>
        <w:tc>
          <w:tcPr>
            <w:tcW w:w="4535" w:type="dxa"/>
            <w:vAlign w:val="center"/>
          </w:tcPr>
          <w:p w14:paraId="49328171">
            <w:pPr>
              <w:pStyle w:val="13"/>
            </w:pPr>
          </w:p>
        </w:tc>
        <w:tc>
          <w:tcPr>
            <w:tcW w:w="2126" w:type="dxa"/>
            <w:vAlign w:val="center"/>
          </w:tcPr>
          <w:p w14:paraId="7D4BC27A">
            <w:pPr>
              <w:pStyle w:val="14"/>
            </w:pPr>
          </w:p>
        </w:tc>
        <w:tc>
          <w:tcPr>
            <w:tcW w:w="4535" w:type="dxa"/>
            <w:vAlign w:val="center"/>
          </w:tcPr>
          <w:p w14:paraId="1C864005">
            <w:pPr>
              <w:pStyle w:val="13"/>
            </w:pPr>
            <w:r>
              <w:t>二十一、粮油物资储备支出</w:t>
            </w:r>
          </w:p>
        </w:tc>
        <w:tc>
          <w:tcPr>
            <w:tcW w:w="2126" w:type="dxa"/>
            <w:vAlign w:val="center"/>
          </w:tcPr>
          <w:p w14:paraId="6F7C5DE2">
            <w:pPr>
              <w:pStyle w:val="14"/>
            </w:pPr>
          </w:p>
        </w:tc>
      </w:tr>
      <w:tr w14:paraId="6764B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18C19">
            <w:pPr>
              <w:pStyle w:val="12"/>
            </w:pPr>
            <w:r>
              <w:t>22</w:t>
            </w:r>
          </w:p>
        </w:tc>
        <w:tc>
          <w:tcPr>
            <w:tcW w:w="4535" w:type="dxa"/>
            <w:vAlign w:val="center"/>
          </w:tcPr>
          <w:p w14:paraId="5887D78B">
            <w:pPr>
              <w:pStyle w:val="13"/>
            </w:pPr>
          </w:p>
        </w:tc>
        <w:tc>
          <w:tcPr>
            <w:tcW w:w="2126" w:type="dxa"/>
            <w:vAlign w:val="center"/>
          </w:tcPr>
          <w:p w14:paraId="130648A9">
            <w:pPr>
              <w:pStyle w:val="14"/>
            </w:pPr>
          </w:p>
        </w:tc>
        <w:tc>
          <w:tcPr>
            <w:tcW w:w="4535" w:type="dxa"/>
            <w:vAlign w:val="center"/>
          </w:tcPr>
          <w:p w14:paraId="3D05086D">
            <w:pPr>
              <w:pStyle w:val="13"/>
            </w:pPr>
            <w:r>
              <w:t>二十二、国有资本经营预算支出</w:t>
            </w:r>
          </w:p>
        </w:tc>
        <w:tc>
          <w:tcPr>
            <w:tcW w:w="2126" w:type="dxa"/>
            <w:vAlign w:val="center"/>
          </w:tcPr>
          <w:p w14:paraId="34DA9678">
            <w:pPr>
              <w:pStyle w:val="14"/>
            </w:pPr>
          </w:p>
        </w:tc>
      </w:tr>
      <w:tr w14:paraId="605CF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46B1C">
            <w:pPr>
              <w:pStyle w:val="12"/>
            </w:pPr>
            <w:r>
              <w:t>23</w:t>
            </w:r>
          </w:p>
        </w:tc>
        <w:tc>
          <w:tcPr>
            <w:tcW w:w="4535" w:type="dxa"/>
            <w:vAlign w:val="center"/>
          </w:tcPr>
          <w:p w14:paraId="473D079E">
            <w:pPr>
              <w:pStyle w:val="13"/>
            </w:pPr>
          </w:p>
        </w:tc>
        <w:tc>
          <w:tcPr>
            <w:tcW w:w="2126" w:type="dxa"/>
            <w:vAlign w:val="center"/>
          </w:tcPr>
          <w:p w14:paraId="411840DD">
            <w:pPr>
              <w:pStyle w:val="14"/>
            </w:pPr>
          </w:p>
        </w:tc>
        <w:tc>
          <w:tcPr>
            <w:tcW w:w="4535" w:type="dxa"/>
            <w:vAlign w:val="center"/>
          </w:tcPr>
          <w:p w14:paraId="64B7A47B">
            <w:pPr>
              <w:pStyle w:val="13"/>
            </w:pPr>
            <w:r>
              <w:t>二十三、灾害防治及应急管理支出</w:t>
            </w:r>
          </w:p>
        </w:tc>
        <w:tc>
          <w:tcPr>
            <w:tcW w:w="2126" w:type="dxa"/>
            <w:vAlign w:val="center"/>
          </w:tcPr>
          <w:p w14:paraId="7847015E">
            <w:pPr>
              <w:pStyle w:val="14"/>
            </w:pPr>
          </w:p>
        </w:tc>
      </w:tr>
      <w:tr w14:paraId="6AB83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075A3">
            <w:pPr>
              <w:pStyle w:val="12"/>
            </w:pPr>
            <w:r>
              <w:t>24</w:t>
            </w:r>
          </w:p>
        </w:tc>
        <w:tc>
          <w:tcPr>
            <w:tcW w:w="4535" w:type="dxa"/>
            <w:vAlign w:val="center"/>
          </w:tcPr>
          <w:p w14:paraId="71C7D3B4">
            <w:pPr>
              <w:pStyle w:val="13"/>
            </w:pPr>
          </w:p>
        </w:tc>
        <w:tc>
          <w:tcPr>
            <w:tcW w:w="2126" w:type="dxa"/>
            <w:vAlign w:val="center"/>
          </w:tcPr>
          <w:p w14:paraId="4ADFD05E">
            <w:pPr>
              <w:pStyle w:val="14"/>
            </w:pPr>
          </w:p>
        </w:tc>
        <w:tc>
          <w:tcPr>
            <w:tcW w:w="4535" w:type="dxa"/>
            <w:vAlign w:val="center"/>
          </w:tcPr>
          <w:p w14:paraId="3C8AA957">
            <w:pPr>
              <w:pStyle w:val="13"/>
            </w:pPr>
            <w:r>
              <w:t>二十四、预备费</w:t>
            </w:r>
          </w:p>
        </w:tc>
        <w:tc>
          <w:tcPr>
            <w:tcW w:w="2126" w:type="dxa"/>
            <w:vAlign w:val="center"/>
          </w:tcPr>
          <w:p w14:paraId="64B17FD2">
            <w:pPr>
              <w:pStyle w:val="14"/>
            </w:pPr>
          </w:p>
        </w:tc>
      </w:tr>
      <w:tr w14:paraId="2DB72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3CB6B">
            <w:pPr>
              <w:pStyle w:val="12"/>
            </w:pPr>
            <w:r>
              <w:t>25</w:t>
            </w:r>
          </w:p>
        </w:tc>
        <w:tc>
          <w:tcPr>
            <w:tcW w:w="4535" w:type="dxa"/>
            <w:vAlign w:val="center"/>
          </w:tcPr>
          <w:p w14:paraId="5AF0DDB0">
            <w:pPr>
              <w:pStyle w:val="13"/>
            </w:pPr>
          </w:p>
        </w:tc>
        <w:tc>
          <w:tcPr>
            <w:tcW w:w="2126" w:type="dxa"/>
            <w:vAlign w:val="center"/>
          </w:tcPr>
          <w:p w14:paraId="30211617">
            <w:pPr>
              <w:pStyle w:val="14"/>
            </w:pPr>
          </w:p>
        </w:tc>
        <w:tc>
          <w:tcPr>
            <w:tcW w:w="4535" w:type="dxa"/>
            <w:vAlign w:val="center"/>
          </w:tcPr>
          <w:p w14:paraId="23EEAED2">
            <w:pPr>
              <w:pStyle w:val="13"/>
            </w:pPr>
            <w:r>
              <w:t>二十五、其他支出</w:t>
            </w:r>
          </w:p>
        </w:tc>
        <w:tc>
          <w:tcPr>
            <w:tcW w:w="2126" w:type="dxa"/>
            <w:vAlign w:val="center"/>
          </w:tcPr>
          <w:p w14:paraId="4334F528">
            <w:pPr>
              <w:pStyle w:val="14"/>
            </w:pPr>
          </w:p>
        </w:tc>
      </w:tr>
      <w:tr w14:paraId="769B4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50FB6">
            <w:pPr>
              <w:pStyle w:val="12"/>
            </w:pPr>
            <w:r>
              <w:t>26</w:t>
            </w:r>
          </w:p>
        </w:tc>
        <w:tc>
          <w:tcPr>
            <w:tcW w:w="4535" w:type="dxa"/>
            <w:vAlign w:val="center"/>
          </w:tcPr>
          <w:p w14:paraId="596BB747">
            <w:pPr>
              <w:pStyle w:val="13"/>
            </w:pPr>
          </w:p>
        </w:tc>
        <w:tc>
          <w:tcPr>
            <w:tcW w:w="2126" w:type="dxa"/>
            <w:vAlign w:val="center"/>
          </w:tcPr>
          <w:p w14:paraId="1822470A">
            <w:pPr>
              <w:pStyle w:val="14"/>
            </w:pPr>
          </w:p>
        </w:tc>
        <w:tc>
          <w:tcPr>
            <w:tcW w:w="4535" w:type="dxa"/>
            <w:vAlign w:val="center"/>
          </w:tcPr>
          <w:p w14:paraId="50076808">
            <w:pPr>
              <w:pStyle w:val="13"/>
            </w:pPr>
            <w:r>
              <w:t>二十六、转移性支出</w:t>
            </w:r>
          </w:p>
        </w:tc>
        <w:tc>
          <w:tcPr>
            <w:tcW w:w="2126" w:type="dxa"/>
            <w:vAlign w:val="center"/>
          </w:tcPr>
          <w:p w14:paraId="4202DB01">
            <w:pPr>
              <w:pStyle w:val="14"/>
            </w:pPr>
          </w:p>
        </w:tc>
      </w:tr>
      <w:tr w14:paraId="11A80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758CE">
            <w:pPr>
              <w:pStyle w:val="12"/>
            </w:pPr>
            <w:r>
              <w:t>27</w:t>
            </w:r>
          </w:p>
        </w:tc>
        <w:tc>
          <w:tcPr>
            <w:tcW w:w="4535" w:type="dxa"/>
            <w:vAlign w:val="center"/>
          </w:tcPr>
          <w:p w14:paraId="7413D243">
            <w:pPr>
              <w:pStyle w:val="13"/>
            </w:pPr>
          </w:p>
        </w:tc>
        <w:tc>
          <w:tcPr>
            <w:tcW w:w="2126" w:type="dxa"/>
            <w:vAlign w:val="center"/>
          </w:tcPr>
          <w:p w14:paraId="33B175DF">
            <w:pPr>
              <w:pStyle w:val="14"/>
            </w:pPr>
          </w:p>
        </w:tc>
        <w:tc>
          <w:tcPr>
            <w:tcW w:w="4535" w:type="dxa"/>
            <w:vAlign w:val="center"/>
          </w:tcPr>
          <w:p w14:paraId="405480C3">
            <w:pPr>
              <w:pStyle w:val="13"/>
            </w:pPr>
            <w:r>
              <w:t>二十七、债务还本支出</w:t>
            </w:r>
          </w:p>
        </w:tc>
        <w:tc>
          <w:tcPr>
            <w:tcW w:w="2126" w:type="dxa"/>
            <w:vAlign w:val="center"/>
          </w:tcPr>
          <w:p w14:paraId="75B3F00D">
            <w:pPr>
              <w:pStyle w:val="14"/>
            </w:pPr>
          </w:p>
        </w:tc>
      </w:tr>
      <w:tr w14:paraId="5700B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48683">
            <w:pPr>
              <w:pStyle w:val="12"/>
            </w:pPr>
            <w:r>
              <w:t>28</w:t>
            </w:r>
          </w:p>
        </w:tc>
        <w:tc>
          <w:tcPr>
            <w:tcW w:w="4535" w:type="dxa"/>
            <w:vAlign w:val="center"/>
          </w:tcPr>
          <w:p w14:paraId="14286699">
            <w:pPr>
              <w:pStyle w:val="13"/>
            </w:pPr>
          </w:p>
        </w:tc>
        <w:tc>
          <w:tcPr>
            <w:tcW w:w="2126" w:type="dxa"/>
            <w:vAlign w:val="center"/>
          </w:tcPr>
          <w:p w14:paraId="6F580CD7">
            <w:pPr>
              <w:pStyle w:val="14"/>
            </w:pPr>
          </w:p>
        </w:tc>
        <w:tc>
          <w:tcPr>
            <w:tcW w:w="4535" w:type="dxa"/>
            <w:vAlign w:val="center"/>
          </w:tcPr>
          <w:p w14:paraId="430C23F2">
            <w:pPr>
              <w:pStyle w:val="13"/>
            </w:pPr>
            <w:r>
              <w:t>二十八、债务付息支出</w:t>
            </w:r>
          </w:p>
        </w:tc>
        <w:tc>
          <w:tcPr>
            <w:tcW w:w="2126" w:type="dxa"/>
            <w:vAlign w:val="center"/>
          </w:tcPr>
          <w:p w14:paraId="622C9706">
            <w:pPr>
              <w:pStyle w:val="14"/>
            </w:pPr>
          </w:p>
        </w:tc>
      </w:tr>
      <w:tr w14:paraId="6E363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F10AE">
            <w:pPr>
              <w:pStyle w:val="12"/>
            </w:pPr>
            <w:r>
              <w:t>29</w:t>
            </w:r>
          </w:p>
        </w:tc>
        <w:tc>
          <w:tcPr>
            <w:tcW w:w="4535" w:type="dxa"/>
            <w:vAlign w:val="center"/>
          </w:tcPr>
          <w:p w14:paraId="7B553092">
            <w:pPr>
              <w:pStyle w:val="13"/>
            </w:pPr>
          </w:p>
        </w:tc>
        <w:tc>
          <w:tcPr>
            <w:tcW w:w="2126" w:type="dxa"/>
            <w:vAlign w:val="center"/>
          </w:tcPr>
          <w:p w14:paraId="6486BB59">
            <w:pPr>
              <w:pStyle w:val="14"/>
            </w:pPr>
          </w:p>
        </w:tc>
        <w:tc>
          <w:tcPr>
            <w:tcW w:w="4535" w:type="dxa"/>
            <w:vAlign w:val="center"/>
          </w:tcPr>
          <w:p w14:paraId="5EDB4D0A">
            <w:pPr>
              <w:pStyle w:val="13"/>
            </w:pPr>
            <w:r>
              <w:t>二十九、债务发行费用支出</w:t>
            </w:r>
          </w:p>
        </w:tc>
        <w:tc>
          <w:tcPr>
            <w:tcW w:w="2126" w:type="dxa"/>
            <w:vAlign w:val="center"/>
          </w:tcPr>
          <w:p w14:paraId="26373510">
            <w:pPr>
              <w:pStyle w:val="14"/>
            </w:pPr>
          </w:p>
        </w:tc>
      </w:tr>
      <w:tr w14:paraId="6EF34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6C4CB">
            <w:pPr>
              <w:pStyle w:val="12"/>
            </w:pPr>
            <w:r>
              <w:t>30</w:t>
            </w:r>
          </w:p>
        </w:tc>
        <w:tc>
          <w:tcPr>
            <w:tcW w:w="4535" w:type="dxa"/>
            <w:vAlign w:val="center"/>
          </w:tcPr>
          <w:p w14:paraId="19B27157">
            <w:pPr>
              <w:pStyle w:val="13"/>
            </w:pPr>
          </w:p>
        </w:tc>
        <w:tc>
          <w:tcPr>
            <w:tcW w:w="2126" w:type="dxa"/>
            <w:vAlign w:val="center"/>
          </w:tcPr>
          <w:p w14:paraId="45CEB0A4">
            <w:pPr>
              <w:pStyle w:val="14"/>
            </w:pPr>
          </w:p>
        </w:tc>
        <w:tc>
          <w:tcPr>
            <w:tcW w:w="4535" w:type="dxa"/>
            <w:vAlign w:val="center"/>
          </w:tcPr>
          <w:p w14:paraId="235F7E3B">
            <w:pPr>
              <w:pStyle w:val="13"/>
            </w:pPr>
            <w:r>
              <w:t>三十、抗疫特别国债安排的支出</w:t>
            </w:r>
          </w:p>
        </w:tc>
        <w:tc>
          <w:tcPr>
            <w:tcW w:w="2126" w:type="dxa"/>
            <w:vAlign w:val="center"/>
          </w:tcPr>
          <w:p w14:paraId="7EEC9A21">
            <w:pPr>
              <w:pStyle w:val="14"/>
            </w:pPr>
          </w:p>
        </w:tc>
      </w:tr>
      <w:tr w14:paraId="5AE79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EC1DF">
            <w:pPr>
              <w:pStyle w:val="12"/>
            </w:pPr>
            <w:r>
              <w:t>31</w:t>
            </w:r>
          </w:p>
        </w:tc>
        <w:tc>
          <w:tcPr>
            <w:tcW w:w="4535" w:type="dxa"/>
            <w:vAlign w:val="center"/>
          </w:tcPr>
          <w:p w14:paraId="31FC06C7">
            <w:pPr>
              <w:pStyle w:val="13"/>
            </w:pPr>
          </w:p>
        </w:tc>
        <w:tc>
          <w:tcPr>
            <w:tcW w:w="2126" w:type="dxa"/>
            <w:vAlign w:val="center"/>
          </w:tcPr>
          <w:p w14:paraId="124BA912">
            <w:pPr>
              <w:pStyle w:val="14"/>
            </w:pPr>
          </w:p>
        </w:tc>
        <w:tc>
          <w:tcPr>
            <w:tcW w:w="4535" w:type="dxa"/>
            <w:vAlign w:val="center"/>
          </w:tcPr>
          <w:p w14:paraId="492AB00E">
            <w:pPr>
              <w:pStyle w:val="13"/>
            </w:pPr>
            <w:r>
              <w:t>三十一、人行科目</w:t>
            </w:r>
          </w:p>
        </w:tc>
        <w:tc>
          <w:tcPr>
            <w:tcW w:w="2126" w:type="dxa"/>
            <w:vAlign w:val="center"/>
          </w:tcPr>
          <w:p w14:paraId="02E6D752">
            <w:pPr>
              <w:pStyle w:val="14"/>
            </w:pPr>
          </w:p>
        </w:tc>
      </w:tr>
      <w:tr w14:paraId="05A2F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60E8C">
            <w:pPr>
              <w:pStyle w:val="12"/>
            </w:pPr>
            <w:r>
              <w:t>32</w:t>
            </w:r>
          </w:p>
        </w:tc>
        <w:tc>
          <w:tcPr>
            <w:tcW w:w="4535" w:type="dxa"/>
            <w:vAlign w:val="center"/>
          </w:tcPr>
          <w:p w14:paraId="39B9AE4A">
            <w:pPr>
              <w:pStyle w:val="15"/>
            </w:pPr>
            <w:r>
              <w:t>本年收入合计</w:t>
            </w:r>
          </w:p>
        </w:tc>
        <w:tc>
          <w:tcPr>
            <w:tcW w:w="2126" w:type="dxa"/>
            <w:vAlign w:val="center"/>
          </w:tcPr>
          <w:p w14:paraId="21D55513">
            <w:pPr>
              <w:pStyle w:val="16"/>
            </w:pPr>
            <w:r>
              <w:t>1041.12</w:t>
            </w:r>
          </w:p>
        </w:tc>
        <w:tc>
          <w:tcPr>
            <w:tcW w:w="4535" w:type="dxa"/>
            <w:vAlign w:val="center"/>
          </w:tcPr>
          <w:p w14:paraId="3BA017EB">
            <w:pPr>
              <w:pStyle w:val="15"/>
            </w:pPr>
            <w:r>
              <w:t>本年支出合计</w:t>
            </w:r>
          </w:p>
        </w:tc>
        <w:tc>
          <w:tcPr>
            <w:tcW w:w="2126" w:type="dxa"/>
            <w:vAlign w:val="center"/>
          </w:tcPr>
          <w:p w14:paraId="14203629">
            <w:pPr>
              <w:pStyle w:val="16"/>
            </w:pPr>
            <w:r>
              <w:t>1041.12</w:t>
            </w:r>
          </w:p>
        </w:tc>
      </w:tr>
      <w:tr w14:paraId="5BD15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AA6A8">
            <w:pPr>
              <w:pStyle w:val="12"/>
            </w:pPr>
            <w:r>
              <w:t>33</w:t>
            </w:r>
          </w:p>
        </w:tc>
        <w:tc>
          <w:tcPr>
            <w:tcW w:w="4535" w:type="dxa"/>
            <w:vAlign w:val="center"/>
          </w:tcPr>
          <w:p w14:paraId="3A553AD1">
            <w:pPr>
              <w:pStyle w:val="13"/>
            </w:pPr>
            <w:r>
              <w:t>上年结转结余</w:t>
            </w:r>
          </w:p>
        </w:tc>
        <w:tc>
          <w:tcPr>
            <w:tcW w:w="2126" w:type="dxa"/>
            <w:vAlign w:val="center"/>
          </w:tcPr>
          <w:p w14:paraId="3FBC9243">
            <w:pPr>
              <w:pStyle w:val="14"/>
            </w:pPr>
          </w:p>
        </w:tc>
        <w:tc>
          <w:tcPr>
            <w:tcW w:w="4535" w:type="dxa"/>
            <w:vAlign w:val="center"/>
          </w:tcPr>
          <w:p w14:paraId="2D70D737">
            <w:pPr>
              <w:pStyle w:val="13"/>
            </w:pPr>
            <w:r>
              <w:t>年终结转结余</w:t>
            </w:r>
          </w:p>
        </w:tc>
        <w:tc>
          <w:tcPr>
            <w:tcW w:w="2126" w:type="dxa"/>
            <w:vAlign w:val="center"/>
          </w:tcPr>
          <w:p w14:paraId="23BEB020">
            <w:pPr>
              <w:pStyle w:val="14"/>
            </w:pPr>
          </w:p>
        </w:tc>
      </w:tr>
      <w:tr w14:paraId="1FDA7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55696">
            <w:pPr>
              <w:pStyle w:val="12"/>
            </w:pPr>
            <w:r>
              <w:t>34</w:t>
            </w:r>
          </w:p>
        </w:tc>
        <w:tc>
          <w:tcPr>
            <w:tcW w:w="4535" w:type="dxa"/>
            <w:vAlign w:val="center"/>
          </w:tcPr>
          <w:p w14:paraId="670D76AC">
            <w:pPr>
              <w:pStyle w:val="15"/>
            </w:pPr>
            <w:r>
              <w:t>收入总计</w:t>
            </w:r>
          </w:p>
        </w:tc>
        <w:tc>
          <w:tcPr>
            <w:tcW w:w="2126" w:type="dxa"/>
            <w:vAlign w:val="center"/>
          </w:tcPr>
          <w:p w14:paraId="126694D5">
            <w:pPr>
              <w:pStyle w:val="16"/>
            </w:pPr>
            <w:r>
              <w:t>1041.12</w:t>
            </w:r>
          </w:p>
        </w:tc>
        <w:tc>
          <w:tcPr>
            <w:tcW w:w="4535" w:type="dxa"/>
            <w:vAlign w:val="center"/>
          </w:tcPr>
          <w:p w14:paraId="03C3AF4A">
            <w:pPr>
              <w:pStyle w:val="15"/>
            </w:pPr>
            <w:r>
              <w:t>支出总计</w:t>
            </w:r>
          </w:p>
        </w:tc>
        <w:tc>
          <w:tcPr>
            <w:tcW w:w="2126" w:type="dxa"/>
            <w:vAlign w:val="center"/>
          </w:tcPr>
          <w:p w14:paraId="3D86DEB4">
            <w:pPr>
              <w:pStyle w:val="16"/>
            </w:pPr>
            <w:r>
              <w:t>1041.12</w:t>
            </w:r>
          </w:p>
        </w:tc>
      </w:tr>
    </w:tbl>
    <w:p w14:paraId="4753CF26">
      <w:pPr>
        <w:sectPr>
          <w:pgSz w:w="16840" w:h="11900" w:orient="landscape"/>
          <w:pgMar w:top="1361" w:right="1020" w:bottom="1134" w:left="1020" w:header="720" w:footer="720" w:gutter="0"/>
          <w:cols w:space="720" w:num="1"/>
        </w:sectPr>
      </w:pPr>
    </w:p>
    <w:p w14:paraId="37916A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26F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B00FDD">
            <w:pPr>
              <w:pStyle w:val="8"/>
            </w:pPr>
            <w:r>
              <w:t>360032隆尧县双碑中学</w:t>
            </w:r>
          </w:p>
        </w:tc>
        <w:tc>
          <w:tcPr>
            <w:tcW w:w="3402" w:type="dxa"/>
            <w:gridSpan w:val="3"/>
            <w:tcBorders>
              <w:top w:val="single" w:color="FFFFFF" w:sz="6" w:space="0"/>
              <w:left w:val="single" w:color="FFFFFF" w:sz="6" w:space="0"/>
              <w:right w:val="single" w:color="FFFFFF" w:sz="6" w:space="0"/>
            </w:tcBorders>
            <w:vAlign w:val="center"/>
          </w:tcPr>
          <w:p w14:paraId="05B4AF4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582064A">
            <w:pPr>
              <w:pStyle w:val="10"/>
            </w:pPr>
            <w:r>
              <w:t>单位：万元</w:t>
            </w:r>
          </w:p>
        </w:tc>
      </w:tr>
      <w:tr w14:paraId="2E188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49C98E">
            <w:pPr>
              <w:pStyle w:val="11"/>
            </w:pPr>
            <w:r>
              <w:t>序号</w:t>
            </w:r>
          </w:p>
        </w:tc>
        <w:tc>
          <w:tcPr>
            <w:tcW w:w="2551" w:type="dxa"/>
            <w:gridSpan w:val="2"/>
            <w:vAlign w:val="center"/>
          </w:tcPr>
          <w:p w14:paraId="7B061360">
            <w:pPr>
              <w:pStyle w:val="11"/>
            </w:pPr>
            <w:r>
              <w:t>功能分类科目</w:t>
            </w:r>
          </w:p>
        </w:tc>
        <w:tc>
          <w:tcPr>
            <w:tcW w:w="1134" w:type="dxa"/>
            <w:vMerge w:val="restart"/>
            <w:vAlign w:val="center"/>
          </w:tcPr>
          <w:p w14:paraId="51424031">
            <w:pPr>
              <w:pStyle w:val="11"/>
            </w:pPr>
            <w:r>
              <w:t>合计</w:t>
            </w:r>
          </w:p>
        </w:tc>
        <w:tc>
          <w:tcPr>
            <w:tcW w:w="9072" w:type="dxa"/>
            <w:gridSpan w:val="8"/>
            <w:vAlign w:val="center"/>
          </w:tcPr>
          <w:p w14:paraId="252ED646">
            <w:pPr>
              <w:pStyle w:val="11"/>
            </w:pPr>
            <w:r>
              <w:t>本年收入</w:t>
            </w:r>
          </w:p>
        </w:tc>
        <w:tc>
          <w:tcPr>
            <w:tcW w:w="1134" w:type="dxa"/>
            <w:vMerge w:val="restart"/>
            <w:vAlign w:val="center"/>
          </w:tcPr>
          <w:p w14:paraId="4F91E067">
            <w:pPr>
              <w:pStyle w:val="11"/>
            </w:pPr>
            <w:r>
              <w:t>上年结转</w:t>
            </w:r>
          </w:p>
        </w:tc>
      </w:tr>
      <w:tr w14:paraId="6B69B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CD1444"/>
        </w:tc>
        <w:tc>
          <w:tcPr>
            <w:tcW w:w="992" w:type="dxa"/>
            <w:vAlign w:val="center"/>
          </w:tcPr>
          <w:p w14:paraId="4A774D1D">
            <w:pPr>
              <w:pStyle w:val="11"/>
            </w:pPr>
            <w:r>
              <w:t>科目    编码</w:t>
            </w:r>
          </w:p>
        </w:tc>
        <w:tc>
          <w:tcPr>
            <w:tcW w:w="1559" w:type="dxa"/>
            <w:vAlign w:val="center"/>
          </w:tcPr>
          <w:p w14:paraId="498D9BE7">
            <w:pPr>
              <w:pStyle w:val="11"/>
            </w:pPr>
            <w:r>
              <w:t>科目名称</w:t>
            </w:r>
          </w:p>
        </w:tc>
        <w:tc>
          <w:tcPr>
            <w:tcW w:w="1134" w:type="dxa"/>
            <w:vMerge w:val="continue"/>
          </w:tcPr>
          <w:p w14:paraId="651F7E25"/>
        </w:tc>
        <w:tc>
          <w:tcPr>
            <w:tcW w:w="1134" w:type="dxa"/>
            <w:vAlign w:val="center"/>
          </w:tcPr>
          <w:p w14:paraId="32602C1A">
            <w:pPr>
              <w:pStyle w:val="11"/>
            </w:pPr>
            <w:r>
              <w:t>小计</w:t>
            </w:r>
          </w:p>
        </w:tc>
        <w:tc>
          <w:tcPr>
            <w:tcW w:w="1134" w:type="dxa"/>
            <w:vAlign w:val="center"/>
          </w:tcPr>
          <w:p w14:paraId="12435573">
            <w:pPr>
              <w:pStyle w:val="11"/>
            </w:pPr>
            <w:r>
              <w:t>财政拨款 收入</w:t>
            </w:r>
          </w:p>
        </w:tc>
        <w:tc>
          <w:tcPr>
            <w:tcW w:w="1134" w:type="dxa"/>
            <w:vAlign w:val="center"/>
          </w:tcPr>
          <w:p w14:paraId="32D16469">
            <w:pPr>
              <w:pStyle w:val="11"/>
            </w:pPr>
            <w:r>
              <w:t>财政专户 收入</w:t>
            </w:r>
          </w:p>
        </w:tc>
        <w:tc>
          <w:tcPr>
            <w:tcW w:w="1134" w:type="dxa"/>
            <w:vAlign w:val="center"/>
          </w:tcPr>
          <w:p w14:paraId="6682C2C9">
            <w:pPr>
              <w:pStyle w:val="11"/>
            </w:pPr>
            <w:r>
              <w:t>事业收入</w:t>
            </w:r>
          </w:p>
        </w:tc>
        <w:tc>
          <w:tcPr>
            <w:tcW w:w="1134" w:type="dxa"/>
            <w:vAlign w:val="center"/>
          </w:tcPr>
          <w:p w14:paraId="3DC745A4">
            <w:pPr>
              <w:pStyle w:val="11"/>
            </w:pPr>
            <w:r>
              <w:t>经营收入</w:t>
            </w:r>
          </w:p>
        </w:tc>
        <w:tc>
          <w:tcPr>
            <w:tcW w:w="1134" w:type="dxa"/>
            <w:vAlign w:val="center"/>
          </w:tcPr>
          <w:p w14:paraId="478FEAFA">
            <w:pPr>
              <w:pStyle w:val="11"/>
            </w:pPr>
            <w:r>
              <w:t>上级补助收入</w:t>
            </w:r>
          </w:p>
        </w:tc>
        <w:tc>
          <w:tcPr>
            <w:tcW w:w="1134" w:type="dxa"/>
            <w:vAlign w:val="center"/>
          </w:tcPr>
          <w:p w14:paraId="7C230C90">
            <w:pPr>
              <w:pStyle w:val="11"/>
            </w:pPr>
            <w:r>
              <w:t>附属单位上缴收入</w:t>
            </w:r>
          </w:p>
        </w:tc>
        <w:tc>
          <w:tcPr>
            <w:tcW w:w="1134" w:type="dxa"/>
            <w:vAlign w:val="center"/>
          </w:tcPr>
          <w:p w14:paraId="5C83C988">
            <w:pPr>
              <w:pStyle w:val="11"/>
            </w:pPr>
            <w:r>
              <w:t>其他收入</w:t>
            </w:r>
          </w:p>
        </w:tc>
        <w:tc>
          <w:tcPr>
            <w:tcW w:w="1134" w:type="dxa"/>
            <w:vMerge w:val="continue"/>
          </w:tcPr>
          <w:p w14:paraId="7D8E57EC"/>
        </w:tc>
      </w:tr>
      <w:tr w14:paraId="5AE67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0529A2">
            <w:pPr>
              <w:pStyle w:val="11"/>
            </w:pPr>
            <w:r>
              <w:t>栏次</w:t>
            </w:r>
          </w:p>
        </w:tc>
        <w:tc>
          <w:tcPr>
            <w:tcW w:w="992" w:type="dxa"/>
            <w:vAlign w:val="center"/>
          </w:tcPr>
          <w:p w14:paraId="5C77AB58">
            <w:pPr>
              <w:pStyle w:val="11"/>
            </w:pPr>
            <w:r>
              <w:t>1</w:t>
            </w:r>
          </w:p>
        </w:tc>
        <w:tc>
          <w:tcPr>
            <w:tcW w:w="1559" w:type="dxa"/>
            <w:vAlign w:val="center"/>
          </w:tcPr>
          <w:p w14:paraId="7FB80C11">
            <w:pPr>
              <w:pStyle w:val="11"/>
            </w:pPr>
            <w:r>
              <w:t>2</w:t>
            </w:r>
          </w:p>
        </w:tc>
        <w:tc>
          <w:tcPr>
            <w:tcW w:w="1134" w:type="dxa"/>
            <w:vAlign w:val="center"/>
          </w:tcPr>
          <w:p w14:paraId="6B716A63">
            <w:pPr>
              <w:pStyle w:val="11"/>
            </w:pPr>
            <w:r>
              <w:t>3</w:t>
            </w:r>
          </w:p>
        </w:tc>
        <w:tc>
          <w:tcPr>
            <w:tcW w:w="1134" w:type="dxa"/>
            <w:vAlign w:val="center"/>
          </w:tcPr>
          <w:p w14:paraId="2226401B">
            <w:pPr>
              <w:pStyle w:val="11"/>
            </w:pPr>
            <w:r>
              <w:t>4</w:t>
            </w:r>
          </w:p>
        </w:tc>
        <w:tc>
          <w:tcPr>
            <w:tcW w:w="1134" w:type="dxa"/>
            <w:vAlign w:val="center"/>
          </w:tcPr>
          <w:p w14:paraId="7F3EAE52">
            <w:pPr>
              <w:pStyle w:val="11"/>
            </w:pPr>
            <w:r>
              <w:t>5</w:t>
            </w:r>
          </w:p>
        </w:tc>
        <w:tc>
          <w:tcPr>
            <w:tcW w:w="1134" w:type="dxa"/>
            <w:vAlign w:val="center"/>
          </w:tcPr>
          <w:p w14:paraId="44DED0F1">
            <w:pPr>
              <w:pStyle w:val="11"/>
            </w:pPr>
            <w:r>
              <w:t>6</w:t>
            </w:r>
          </w:p>
        </w:tc>
        <w:tc>
          <w:tcPr>
            <w:tcW w:w="1134" w:type="dxa"/>
            <w:vAlign w:val="center"/>
          </w:tcPr>
          <w:p w14:paraId="4FFA7281">
            <w:pPr>
              <w:pStyle w:val="11"/>
            </w:pPr>
            <w:r>
              <w:t>7</w:t>
            </w:r>
          </w:p>
        </w:tc>
        <w:tc>
          <w:tcPr>
            <w:tcW w:w="1134" w:type="dxa"/>
            <w:vAlign w:val="center"/>
          </w:tcPr>
          <w:p w14:paraId="6A45D6C7">
            <w:pPr>
              <w:pStyle w:val="11"/>
            </w:pPr>
            <w:r>
              <w:t>8</w:t>
            </w:r>
          </w:p>
        </w:tc>
        <w:tc>
          <w:tcPr>
            <w:tcW w:w="1134" w:type="dxa"/>
            <w:vAlign w:val="center"/>
          </w:tcPr>
          <w:p w14:paraId="208FF4F1">
            <w:pPr>
              <w:pStyle w:val="11"/>
            </w:pPr>
            <w:r>
              <w:t>9</w:t>
            </w:r>
          </w:p>
        </w:tc>
        <w:tc>
          <w:tcPr>
            <w:tcW w:w="1134" w:type="dxa"/>
            <w:vAlign w:val="center"/>
          </w:tcPr>
          <w:p w14:paraId="4F5BC64E">
            <w:pPr>
              <w:pStyle w:val="11"/>
            </w:pPr>
            <w:r>
              <w:t>10</w:t>
            </w:r>
          </w:p>
        </w:tc>
        <w:tc>
          <w:tcPr>
            <w:tcW w:w="1134" w:type="dxa"/>
            <w:vAlign w:val="center"/>
          </w:tcPr>
          <w:p w14:paraId="073C6D7E">
            <w:pPr>
              <w:pStyle w:val="11"/>
            </w:pPr>
            <w:r>
              <w:t>11</w:t>
            </w:r>
          </w:p>
        </w:tc>
        <w:tc>
          <w:tcPr>
            <w:tcW w:w="1134" w:type="dxa"/>
            <w:vAlign w:val="center"/>
          </w:tcPr>
          <w:p w14:paraId="2A358897">
            <w:pPr>
              <w:pStyle w:val="11"/>
            </w:pPr>
            <w:r>
              <w:t>12</w:t>
            </w:r>
          </w:p>
        </w:tc>
      </w:tr>
      <w:tr w14:paraId="4E76A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19FE96">
            <w:pPr>
              <w:pStyle w:val="12"/>
            </w:pPr>
            <w:r>
              <w:t>1</w:t>
            </w:r>
          </w:p>
        </w:tc>
        <w:tc>
          <w:tcPr>
            <w:tcW w:w="992" w:type="dxa"/>
            <w:vAlign w:val="center"/>
          </w:tcPr>
          <w:p w14:paraId="34DDE3AC">
            <w:pPr>
              <w:pStyle w:val="17"/>
            </w:pPr>
          </w:p>
        </w:tc>
        <w:tc>
          <w:tcPr>
            <w:tcW w:w="1559" w:type="dxa"/>
            <w:vAlign w:val="center"/>
          </w:tcPr>
          <w:p w14:paraId="2968310D">
            <w:pPr>
              <w:pStyle w:val="15"/>
            </w:pPr>
            <w:r>
              <w:t>合计</w:t>
            </w:r>
          </w:p>
        </w:tc>
        <w:tc>
          <w:tcPr>
            <w:tcW w:w="1134" w:type="dxa"/>
            <w:vAlign w:val="center"/>
          </w:tcPr>
          <w:p w14:paraId="27FB4441">
            <w:pPr>
              <w:pStyle w:val="16"/>
            </w:pPr>
            <w:r>
              <w:t>1041.12</w:t>
            </w:r>
          </w:p>
        </w:tc>
        <w:tc>
          <w:tcPr>
            <w:tcW w:w="1134" w:type="dxa"/>
            <w:vAlign w:val="center"/>
          </w:tcPr>
          <w:p w14:paraId="138ED294">
            <w:pPr>
              <w:pStyle w:val="16"/>
            </w:pPr>
            <w:r>
              <w:t>1041.12</w:t>
            </w:r>
          </w:p>
        </w:tc>
        <w:tc>
          <w:tcPr>
            <w:tcW w:w="1134" w:type="dxa"/>
            <w:vAlign w:val="center"/>
          </w:tcPr>
          <w:p w14:paraId="707261F7">
            <w:pPr>
              <w:pStyle w:val="16"/>
            </w:pPr>
            <w:r>
              <w:t>1041.12</w:t>
            </w:r>
          </w:p>
        </w:tc>
        <w:tc>
          <w:tcPr>
            <w:tcW w:w="1134" w:type="dxa"/>
            <w:vAlign w:val="center"/>
          </w:tcPr>
          <w:p w14:paraId="1FE8758D">
            <w:pPr>
              <w:pStyle w:val="16"/>
            </w:pPr>
          </w:p>
        </w:tc>
        <w:tc>
          <w:tcPr>
            <w:tcW w:w="1134" w:type="dxa"/>
            <w:vAlign w:val="center"/>
          </w:tcPr>
          <w:p w14:paraId="5CE86FE7">
            <w:pPr>
              <w:pStyle w:val="16"/>
            </w:pPr>
          </w:p>
        </w:tc>
        <w:tc>
          <w:tcPr>
            <w:tcW w:w="1134" w:type="dxa"/>
            <w:vAlign w:val="center"/>
          </w:tcPr>
          <w:p w14:paraId="45E249EC">
            <w:pPr>
              <w:pStyle w:val="16"/>
            </w:pPr>
          </w:p>
        </w:tc>
        <w:tc>
          <w:tcPr>
            <w:tcW w:w="1134" w:type="dxa"/>
            <w:vAlign w:val="center"/>
          </w:tcPr>
          <w:p w14:paraId="6F8A86AF">
            <w:pPr>
              <w:pStyle w:val="16"/>
            </w:pPr>
          </w:p>
        </w:tc>
        <w:tc>
          <w:tcPr>
            <w:tcW w:w="1134" w:type="dxa"/>
            <w:vAlign w:val="center"/>
          </w:tcPr>
          <w:p w14:paraId="62C0379E">
            <w:pPr>
              <w:pStyle w:val="16"/>
            </w:pPr>
          </w:p>
        </w:tc>
        <w:tc>
          <w:tcPr>
            <w:tcW w:w="1134" w:type="dxa"/>
            <w:vAlign w:val="center"/>
          </w:tcPr>
          <w:p w14:paraId="3CE897B7">
            <w:pPr>
              <w:pStyle w:val="16"/>
            </w:pPr>
          </w:p>
        </w:tc>
        <w:tc>
          <w:tcPr>
            <w:tcW w:w="1134" w:type="dxa"/>
            <w:vAlign w:val="center"/>
          </w:tcPr>
          <w:p w14:paraId="7656CBEA">
            <w:pPr>
              <w:pStyle w:val="16"/>
            </w:pPr>
          </w:p>
        </w:tc>
      </w:tr>
      <w:tr w14:paraId="037AD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E76401">
            <w:pPr>
              <w:pStyle w:val="12"/>
            </w:pPr>
            <w:r>
              <w:t>2</w:t>
            </w:r>
          </w:p>
        </w:tc>
        <w:tc>
          <w:tcPr>
            <w:tcW w:w="992" w:type="dxa"/>
            <w:vAlign w:val="center"/>
          </w:tcPr>
          <w:p w14:paraId="4D9D8E20">
            <w:pPr>
              <w:pStyle w:val="13"/>
            </w:pPr>
            <w:r>
              <w:t>205</w:t>
            </w:r>
          </w:p>
        </w:tc>
        <w:tc>
          <w:tcPr>
            <w:tcW w:w="1559" w:type="dxa"/>
            <w:vAlign w:val="center"/>
          </w:tcPr>
          <w:p w14:paraId="5225BAF6">
            <w:pPr>
              <w:pStyle w:val="13"/>
            </w:pPr>
            <w:r>
              <w:t>教育支出</w:t>
            </w:r>
          </w:p>
        </w:tc>
        <w:tc>
          <w:tcPr>
            <w:tcW w:w="1134" w:type="dxa"/>
            <w:vAlign w:val="center"/>
          </w:tcPr>
          <w:p w14:paraId="1568916C">
            <w:pPr>
              <w:pStyle w:val="14"/>
            </w:pPr>
            <w:r>
              <w:t>1041.12</w:t>
            </w:r>
          </w:p>
        </w:tc>
        <w:tc>
          <w:tcPr>
            <w:tcW w:w="1134" w:type="dxa"/>
            <w:vAlign w:val="center"/>
          </w:tcPr>
          <w:p w14:paraId="2E729C8A">
            <w:pPr>
              <w:pStyle w:val="14"/>
            </w:pPr>
            <w:r>
              <w:t>1041.12</w:t>
            </w:r>
          </w:p>
        </w:tc>
        <w:tc>
          <w:tcPr>
            <w:tcW w:w="1134" w:type="dxa"/>
            <w:vAlign w:val="center"/>
          </w:tcPr>
          <w:p w14:paraId="2E079588">
            <w:pPr>
              <w:pStyle w:val="14"/>
            </w:pPr>
            <w:r>
              <w:t>1041.12</w:t>
            </w:r>
          </w:p>
        </w:tc>
        <w:tc>
          <w:tcPr>
            <w:tcW w:w="1134" w:type="dxa"/>
            <w:vAlign w:val="center"/>
          </w:tcPr>
          <w:p w14:paraId="39D1A281">
            <w:pPr>
              <w:pStyle w:val="14"/>
            </w:pPr>
          </w:p>
        </w:tc>
        <w:tc>
          <w:tcPr>
            <w:tcW w:w="1134" w:type="dxa"/>
            <w:vAlign w:val="center"/>
          </w:tcPr>
          <w:p w14:paraId="0FA36F7F">
            <w:pPr>
              <w:pStyle w:val="14"/>
            </w:pPr>
          </w:p>
        </w:tc>
        <w:tc>
          <w:tcPr>
            <w:tcW w:w="1134" w:type="dxa"/>
            <w:vAlign w:val="center"/>
          </w:tcPr>
          <w:p w14:paraId="1458A41E">
            <w:pPr>
              <w:pStyle w:val="14"/>
            </w:pPr>
          </w:p>
        </w:tc>
        <w:tc>
          <w:tcPr>
            <w:tcW w:w="1134" w:type="dxa"/>
            <w:vAlign w:val="center"/>
          </w:tcPr>
          <w:p w14:paraId="2EED1CE6">
            <w:pPr>
              <w:pStyle w:val="14"/>
            </w:pPr>
          </w:p>
        </w:tc>
        <w:tc>
          <w:tcPr>
            <w:tcW w:w="1134" w:type="dxa"/>
            <w:vAlign w:val="center"/>
          </w:tcPr>
          <w:p w14:paraId="5BC80D74">
            <w:pPr>
              <w:pStyle w:val="14"/>
            </w:pPr>
          </w:p>
        </w:tc>
        <w:tc>
          <w:tcPr>
            <w:tcW w:w="1134" w:type="dxa"/>
            <w:vAlign w:val="center"/>
          </w:tcPr>
          <w:p w14:paraId="40F49ADA">
            <w:pPr>
              <w:pStyle w:val="14"/>
            </w:pPr>
          </w:p>
        </w:tc>
        <w:tc>
          <w:tcPr>
            <w:tcW w:w="1134" w:type="dxa"/>
            <w:vAlign w:val="center"/>
          </w:tcPr>
          <w:p w14:paraId="6037BB80">
            <w:pPr>
              <w:pStyle w:val="14"/>
            </w:pPr>
          </w:p>
        </w:tc>
      </w:tr>
      <w:tr w14:paraId="4B223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BC51A2">
            <w:pPr>
              <w:pStyle w:val="12"/>
            </w:pPr>
            <w:r>
              <w:t>3</w:t>
            </w:r>
          </w:p>
        </w:tc>
        <w:tc>
          <w:tcPr>
            <w:tcW w:w="992" w:type="dxa"/>
            <w:vAlign w:val="center"/>
          </w:tcPr>
          <w:p w14:paraId="2D3469A2">
            <w:pPr>
              <w:pStyle w:val="13"/>
            </w:pPr>
            <w:r>
              <w:t>20502</w:t>
            </w:r>
          </w:p>
        </w:tc>
        <w:tc>
          <w:tcPr>
            <w:tcW w:w="1559" w:type="dxa"/>
            <w:vAlign w:val="center"/>
          </w:tcPr>
          <w:p w14:paraId="39EED30B">
            <w:pPr>
              <w:pStyle w:val="13"/>
            </w:pPr>
            <w:r>
              <w:t>普通教育</w:t>
            </w:r>
          </w:p>
        </w:tc>
        <w:tc>
          <w:tcPr>
            <w:tcW w:w="1134" w:type="dxa"/>
            <w:vAlign w:val="center"/>
          </w:tcPr>
          <w:p w14:paraId="13CC66F6">
            <w:pPr>
              <w:pStyle w:val="14"/>
            </w:pPr>
            <w:r>
              <w:t>1041.12</w:t>
            </w:r>
          </w:p>
        </w:tc>
        <w:tc>
          <w:tcPr>
            <w:tcW w:w="1134" w:type="dxa"/>
            <w:vAlign w:val="center"/>
          </w:tcPr>
          <w:p w14:paraId="19135B98">
            <w:pPr>
              <w:pStyle w:val="14"/>
            </w:pPr>
            <w:r>
              <w:t>1041.12</w:t>
            </w:r>
          </w:p>
        </w:tc>
        <w:tc>
          <w:tcPr>
            <w:tcW w:w="1134" w:type="dxa"/>
            <w:vAlign w:val="center"/>
          </w:tcPr>
          <w:p w14:paraId="319CCD87">
            <w:pPr>
              <w:pStyle w:val="14"/>
            </w:pPr>
            <w:r>
              <w:t>1041.12</w:t>
            </w:r>
          </w:p>
        </w:tc>
        <w:tc>
          <w:tcPr>
            <w:tcW w:w="1134" w:type="dxa"/>
            <w:vAlign w:val="center"/>
          </w:tcPr>
          <w:p w14:paraId="6E080A9C">
            <w:pPr>
              <w:pStyle w:val="14"/>
            </w:pPr>
          </w:p>
        </w:tc>
        <w:tc>
          <w:tcPr>
            <w:tcW w:w="1134" w:type="dxa"/>
            <w:vAlign w:val="center"/>
          </w:tcPr>
          <w:p w14:paraId="59A405C4">
            <w:pPr>
              <w:pStyle w:val="14"/>
            </w:pPr>
          </w:p>
        </w:tc>
        <w:tc>
          <w:tcPr>
            <w:tcW w:w="1134" w:type="dxa"/>
            <w:vAlign w:val="center"/>
          </w:tcPr>
          <w:p w14:paraId="27FEAE8D">
            <w:pPr>
              <w:pStyle w:val="14"/>
            </w:pPr>
          </w:p>
        </w:tc>
        <w:tc>
          <w:tcPr>
            <w:tcW w:w="1134" w:type="dxa"/>
            <w:vAlign w:val="center"/>
          </w:tcPr>
          <w:p w14:paraId="2EDF25D5">
            <w:pPr>
              <w:pStyle w:val="14"/>
            </w:pPr>
          </w:p>
        </w:tc>
        <w:tc>
          <w:tcPr>
            <w:tcW w:w="1134" w:type="dxa"/>
            <w:vAlign w:val="center"/>
          </w:tcPr>
          <w:p w14:paraId="62FEDEB7">
            <w:pPr>
              <w:pStyle w:val="14"/>
            </w:pPr>
          </w:p>
        </w:tc>
        <w:tc>
          <w:tcPr>
            <w:tcW w:w="1134" w:type="dxa"/>
            <w:vAlign w:val="center"/>
          </w:tcPr>
          <w:p w14:paraId="119BB234">
            <w:pPr>
              <w:pStyle w:val="14"/>
            </w:pPr>
          </w:p>
        </w:tc>
        <w:tc>
          <w:tcPr>
            <w:tcW w:w="1134" w:type="dxa"/>
            <w:vAlign w:val="center"/>
          </w:tcPr>
          <w:p w14:paraId="5E6EA891">
            <w:pPr>
              <w:pStyle w:val="14"/>
            </w:pPr>
          </w:p>
        </w:tc>
      </w:tr>
      <w:tr w14:paraId="15EBE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23A5AA">
            <w:pPr>
              <w:pStyle w:val="12"/>
            </w:pPr>
            <w:r>
              <w:t>4</w:t>
            </w:r>
          </w:p>
        </w:tc>
        <w:tc>
          <w:tcPr>
            <w:tcW w:w="992" w:type="dxa"/>
            <w:vAlign w:val="center"/>
          </w:tcPr>
          <w:p w14:paraId="60AE7591">
            <w:pPr>
              <w:pStyle w:val="13"/>
            </w:pPr>
            <w:r>
              <w:t>2050203</w:t>
            </w:r>
          </w:p>
        </w:tc>
        <w:tc>
          <w:tcPr>
            <w:tcW w:w="1559" w:type="dxa"/>
            <w:vAlign w:val="center"/>
          </w:tcPr>
          <w:p w14:paraId="7F928937">
            <w:pPr>
              <w:pStyle w:val="13"/>
            </w:pPr>
            <w:r>
              <w:t>初中教育</w:t>
            </w:r>
          </w:p>
        </w:tc>
        <w:tc>
          <w:tcPr>
            <w:tcW w:w="1134" w:type="dxa"/>
            <w:vAlign w:val="center"/>
          </w:tcPr>
          <w:p w14:paraId="38B22126">
            <w:pPr>
              <w:pStyle w:val="14"/>
            </w:pPr>
            <w:r>
              <w:t>1041.12</w:t>
            </w:r>
          </w:p>
        </w:tc>
        <w:tc>
          <w:tcPr>
            <w:tcW w:w="1134" w:type="dxa"/>
            <w:vAlign w:val="center"/>
          </w:tcPr>
          <w:p w14:paraId="77A19D77">
            <w:pPr>
              <w:pStyle w:val="14"/>
            </w:pPr>
            <w:r>
              <w:t>1041.12</w:t>
            </w:r>
          </w:p>
        </w:tc>
        <w:tc>
          <w:tcPr>
            <w:tcW w:w="1134" w:type="dxa"/>
            <w:vAlign w:val="center"/>
          </w:tcPr>
          <w:p w14:paraId="21F47D2E">
            <w:pPr>
              <w:pStyle w:val="14"/>
            </w:pPr>
            <w:r>
              <w:t>1041.12</w:t>
            </w:r>
          </w:p>
        </w:tc>
        <w:tc>
          <w:tcPr>
            <w:tcW w:w="1134" w:type="dxa"/>
            <w:vAlign w:val="center"/>
          </w:tcPr>
          <w:p w14:paraId="44FFAB9C">
            <w:pPr>
              <w:pStyle w:val="14"/>
            </w:pPr>
          </w:p>
        </w:tc>
        <w:tc>
          <w:tcPr>
            <w:tcW w:w="1134" w:type="dxa"/>
            <w:vAlign w:val="center"/>
          </w:tcPr>
          <w:p w14:paraId="12D02DCE">
            <w:pPr>
              <w:pStyle w:val="14"/>
            </w:pPr>
          </w:p>
        </w:tc>
        <w:tc>
          <w:tcPr>
            <w:tcW w:w="1134" w:type="dxa"/>
            <w:vAlign w:val="center"/>
          </w:tcPr>
          <w:p w14:paraId="17BBEDCC">
            <w:pPr>
              <w:pStyle w:val="14"/>
            </w:pPr>
          </w:p>
        </w:tc>
        <w:tc>
          <w:tcPr>
            <w:tcW w:w="1134" w:type="dxa"/>
            <w:vAlign w:val="center"/>
          </w:tcPr>
          <w:p w14:paraId="38BDB7EE">
            <w:pPr>
              <w:pStyle w:val="14"/>
            </w:pPr>
          </w:p>
        </w:tc>
        <w:tc>
          <w:tcPr>
            <w:tcW w:w="1134" w:type="dxa"/>
            <w:vAlign w:val="center"/>
          </w:tcPr>
          <w:p w14:paraId="6871B0EF">
            <w:pPr>
              <w:pStyle w:val="14"/>
            </w:pPr>
          </w:p>
        </w:tc>
        <w:tc>
          <w:tcPr>
            <w:tcW w:w="1134" w:type="dxa"/>
            <w:vAlign w:val="center"/>
          </w:tcPr>
          <w:p w14:paraId="22E5CDDD">
            <w:pPr>
              <w:pStyle w:val="14"/>
            </w:pPr>
          </w:p>
        </w:tc>
        <w:tc>
          <w:tcPr>
            <w:tcW w:w="1134" w:type="dxa"/>
            <w:vAlign w:val="center"/>
          </w:tcPr>
          <w:p w14:paraId="29E0BBC6">
            <w:pPr>
              <w:pStyle w:val="14"/>
            </w:pPr>
          </w:p>
        </w:tc>
      </w:tr>
    </w:tbl>
    <w:p w14:paraId="0080E4FC">
      <w:pPr>
        <w:sectPr>
          <w:pgSz w:w="16840" w:h="11900" w:orient="landscape"/>
          <w:pgMar w:top="1361" w:right="1020" w:bottom="1134" w:left="1020" w:header="720" w:footer="720" w:gutter="0"/>
          <w:cols w:space="720" w:num="1"/>
        </w:sectPr>
      </w:pPr>
    </w:p>
    <w:p w14:paraId="00F612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1C5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89BD2D">
            <w:pPr>
              <w:pStyle w:val="8"/>
            </w:pPr>
            <w:r>
              <w:t>360032隆尧县双碑中学</w:t>
            </w:r>
          </w:p>
        </w:tc>
        <w:tc>
          <w:tcPr>
            <w:tcW w:w="2722" w:type="dxa"/>
            <w:gridSpan w:val="2"/>
            <w:tcBorders>
              <w:top w:val="single" w:color="FFFFFF" w:sz="6" w:space="0"/>
              <w:left w:val="single" w:color="FFFFFF" w:sz="6" w:space="0"/>
              <w:right w:val="single" w:color="FFFFFF" w:sz="6" w:space="0"/>
            </w:tcBorders>
            <w:vAlign w:val="center"/>
          </w:tcPr>
          <w:p w14:paraId="38F326D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6C11AF8">
            <w:pPr>
              <w:pStyle w:val="10"/>
            </w:pPr>
            <w:r>
              <w:t>单位：万元</w:t>
            </w:r>
          </w:p>
        </w:tc>
      </w:tr>
      <w:tr w14:paraId="2BF5F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DB878">
            <w:pPr>
              <w:pStyle w:val="11"/>
            </w:pPr>
            <w:r>
              <w:t>序号</w:t>
            </w:r>
          </w:p>
        </w:tc>
        <w:tc>
          <w:tcPr>
            <w:tcW w:w="5527" w:type="dxa"/>
            <w:gridSpan w:val="2"/>
            <w:vAlign w:val="center"/>
          </w:tcPr>
          <w:p w14:paraId="1ACA0F28">
            <w:pPr>
              <w:pStyle w:val="11"/>
            </w:pPr>
            <w:r>
              <w:t>功能分类科目</w:t>
            </w:r>
          </w:p>
        </w:tc>
        <w:tc>
          <w:tcPr>
            <w:tcW w:w="1361" w:type="dxa"/>
            <w:vMerge w:val="restart"/>
            <w:vAlign w:val="center"/>
          </w:tcPr>
          <w:p w14:paraId="2AD46539">
            <w:pPr>
              <w:pStyle w:val="11"/>
            </w:pPr>
            <w:r>
              <w:t>合计</w:t>
            </w:r>
          </w:p>
        </w:tc>
        <w:tc>
          <w:tcPr>
            <w:tcW w:w="1361" w:type="dxa"/>
            <w:vMerge w:val="restart"/>
            <w:vAlign w:val="center"/>
          </w:tcPr>
          <w:p w14:paraId="31FD1CBF">
            <w:pPr>
              <w:pStyle w:val="11"/>
            </w:pPr>
            <w:r>
              <w:t>基本支出</w:t>
            </w:r>
          </w:p>
        </w:tc>
        <w:tc>
          <w:tcPr>
            <w:tcW w:w="1361" w:type="dxa"/>
            <w:vMerge w:val="restart"/>
            <w:vAlign w:val="center"/>
          </w:tcPr>
          <w:p w14:paraId="574D1285">
            <w:pPr>
              <w:pStyle w:val="11"/>
            </w:pPr>
            <w:r>
              <w:t>项目支出</w:t>
            </w:r>
          </w:p>
        </w:tc>
        <w:tc>
          <w:tcPr>
            <w:tcW w:w="1361" w:type="dxa"/>
            <w:vMerge w:val="restart"/>
            <w:vAlign w:val="center"/>
          </w:tcPr>
          <w:p w14:paraId="2434FBA5">
            <w:pPr>
              <w:pStyle w:val="11"/>
            </w:pPr>
            <w:r>
              <w:t>经营支出</w:t>
            </w:r>
          </w:p>
        </w:tc>
        <w:tc>
          <w:tcPr>
            <w:tcW w:w="1361" w:type="dxa"/>
            <w:vMerge w:val="restart"/>
            <w:vAlign w:val="center"/>
          </w:tcPr>
          <w:p w14:paraId="406668FC">
            <w:pPr>
              <w:pStyle w:val="11"/>
            </w:pPr>
            <w:r>
              <w:t>上解上级     支出</w:t>
            </w:r>
          </w:p>
        </w:tc>
        <w:tc>
          <w:tcPr>
            <w:tcW w:w="1361" w:type="dxa"/>
            <w:vMerge w:val="restart"/>
            <w:vAlign w:val="center"/>
          </w:tcPr>
          <w:p w14:paraId="736B8231">
            <w:pPr>
              <w:pStyle w:val="11"/>
            </w:pPr>
            <w:r>
              <w:t>对附属单位补助支出</w:t>
            </w:r>
          </w:p>
        </w:tc>
      </w:tr>
      <w:tr w14:paraId="47CF0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45408"/>
        </w:tc>
        <w:tc>
          <w:tcPr>
            <w:tcW w:w="992" w:type="dxa"/>
            <w:vAlign w:val="center"/>
          </w:tcPr>
          <w:p w14:paraId="12EEA316">
            <w:pPr>
              <w:pStyle w:val="11"/>
            </w:pPr>
            <w:r>
              <w:t>科目    编码</w:t>
            </w:r>
          </w:p>
        </w:tc>
        <w:tc>
          <w:tcPr>
            <w:tcW w:w="4535" w:type="dxa"/>
            <w:vAlign w:val="center"/>
          </w:tcPr>
          <w:p w14:paraId="691A5337">
            <w:pPr>
              <w:pStyle w:val="11"/>
            </w:pPr>
            <w:r>
              <w:t>科目名称</w:t>
            </w:r>
          </w:p>
        </w:tc>
        <w:tc>
          <w:tcPr>
            <w:tcW w:w="1361" w:type="dxa"/>
            <w:vMerge w:val="continue"/>
          </w:tcPr>
          <w:p w14:paraId="7A32DE93"/>
        </w:tc>
        <w:tc>
          <w:tcPr>
            <w:tcW w:w="1361" w:type="dxa"/>
            <w:vMerge w:val="continue"/>
          </w:tcPr>
          <w:p w14:paraId="013B0EEE"/>
        </w:tc>
        <w:tc>
          <w:tcPr>
            <w:tcW w:w="1361" w:type="dxa"/>
            <w:vMerge w:val="continue"/>
          </w:tcPr>
          <w:p w14:paraId="2468810E"/>
        </w:tc>
        <w:tc>
          <w:tcPr>
            <w:tcW w:w="1361" w:type="dxa"/>
            <w:vMerge w:val="continue"/>
          </w:tcPr>
          <w:p w14:paraId="42D17C49"/>
        </w:tc>
        <w:tc>
          <w:tcPr>
            <w:tcW w:w="1361" w:type="dxa"/>
            <w:vMerge w:val="continue"/>
          </w:tcPr>
          <w:p w14:paraId="7DC2E948"/>
        </w:tc>
        <w:tc>
          <w:tcPr>
            <w:tcW w:w="1361" w:type="dxa"/>
            <w:vMerge w:val="continue"/>
          </w:tcPr>
          <w:p w14:paraId="6A26D24F"/>
        </w:tc>
      </w:tr>
      <w:tr w14:paraId="172C5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9EDB2C">
            <w:pPr>
              <w:pStyle w:val="11"/>
            </w:pPr>
            <w:r>
              <w:t>栏次</w:t>
            </w:r>
          </w:p>
        </w:tc>
        <w:tc>
          <w:tcPr>
            <w:tcW w:w="992" w:type="dxa"/>
            <w:vAlign w:val="center"/>
          </w:tcPr>
          <w:p w14:paraId="6B471278">
            <w:pPr>
              <w:pStyle w:val="11"/>
            </w:pPr>
            <w:r>
              <w:t>1</w:t>
            </w:r>
          </w:p>
        </w:tc>
        <w:tc>
          <w:tcPr>
            <w:tcW w:w="4535" w:type="dxa"/>
            <w:vAlign w:val="center"/>
          </w:tcPr>
          <w:p w14:paraId="5453684F">
            <w:pPr>
              <w:pStyle w:val="11"/>
            </w:pPr>
            <w:r>
              <w:t>2</w:t>
            </w:r>
          </w:p>
        </w:tc>
        <w:tc>
          <w:tcPr>
            <w:tcW w:w="1361" w:type="dxa"/>
            <w:vAlign w:val="center"/>
          </w:tcPr>
          <w:p w14:paraId="42CEDA4C">
            <w:pPr>
              <w:pStyle w:val="11"/>
            </w:pPr>
            <w:r>
              <w:t>3</w:t>
            </w:r>
          </w:p>
        </w:tc>
        <w:tc>
          <w:tcPr>
            <w:tcW w:w="1361" w:type="dxa"/>
            <w:vAlign w:val="center"/>
          </w:tcPr>
          <w:p w14:paraId="557FA601">
            <w:pPr>
              <w:pStyle w:val="11"/>
            </w:pPr>
            <w:r>
              <w:t>4</w:t>
            </w:r>
          </w:p>
        </w:tc>
        <w:tc>
          <w:tcPr>
            <w:tcW w:w="1361" w:type="dxa"/>
            <w:vAlign w:val="center"/>
          </w:tcPr>
          <w:p w14:paraId="2D672A6D">
            <w:pPr>
              <w:pStyle w:val="11"/>
            </w:pPr>
            <w:r>
              <w:t>5</w:t>
            </w:r>
          </w:p>
        </w:tc>
        <w:tc>
          <w:tcPr>
            <w:tcW w:w="1361" w:type="dxa"/>
            <w:vAlign w:val="center"/>
          </w:tcPr>
          <w:p w14:paraId="1A611D9E">
            <w:pPr>
              <w:pStyle w:val="11"/>
            </w:pPr>
            <w:r>
              <w:t>6</w:t>
            </w:r>
          </w:p>
        </w:tc>
        <w:tc>
          <w:tcPr>
            <w:tcW w:w="1361" w:type="dxa"/>
            <w:vAlign w:val="center"/>
          </w:tcPr>
          <w:p w14:paraId="5C6CB971">
            <w:pPr>
              <w:pStyle w:val="11"/>
            </w:pPr>
            <w:r>
              <w:t>7</w:t>
            </w:r>
          </w:p>
        </w:tc>
        <w:tc>
          <w:tcPr>
            <w:tcW w:w="1361" w:type="dxa"/>
            <w:vAlign w:val="center"/>
          </w:tcPr>
          <w:p w14:paraId="31150524">
            <w:pPr>
              <w:pStyle w:val="11"/>
            </w:pPr>
            <w:r>
              <w:t>8</w:t>
            </w:r>
          </w:p>
        </w:tc>
      </w:tr>
      <w:tr w14:paraId="52980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E26F2">
            <w:pPr>
              <w:pStyle w:val="12"/>
            </w:pPr>
            <w:r>
              <w:t>1</w:t>
            </w:r>
          </w:p>
        </w:tc>
        <w:tc>
          <w:tcPr>
            <w:tcW w:w="992" w:type="dxa"/>
            <w:vAlign w:val="center"/>
          </w:tcPr>
          <w:p w14:paraId="2884486B">
            <w:pPr>
              <w:pStyle w:val="17"/>
            </w:pPr>
          </w:p>
        </w:tc>
        <w:tc>
          <w:tcPr>
            <w:tcW w:w="4535" w:type="dxa"/>
            <w:vAlign w:val="center"/>
          </w:tcPr>
          <w:p w14:paraId="5E39671E">
            <w:pPr>
              <w:pStyle w:val="15"/>
            </w:pPr>
            <w:r>
              <w:t>合计</w:t>
            </w:r>
          </w:p>
        </w:tc>
        <w:tc>
          <w:tcPr>
            <w:tcW w:w="1361" w:type="dxa"/>
            <w:vAlign w:val="center"/>
          </w:tcPr>
          <w:p w14:paraId="44D65670">
            <w:pPr>
              <w:pStyle w:val="16"/>
            </w:pPr>
            <w:r>
              <w:t>1041.12</w:t>
            </w:r>
          </w:p>
        </w:tc>
        <w:tc>
          <w:tcPr>
            <w:tcW w:w="1361" w:type="dxa"/>
            <w:vAlign w:val="center"/>
          </w:tcPr>
          <w:p w14:paraId="7DE6181C">
            <w:pPr>
              <w:pStyle w:val="16"/>
            </w:pPr>
            <w:r>
              <w:t>809.80</w:t>
            </w:r>
          </w:p>
        </w:tc>
        <w:tc>
          <w:tcPr>
            <w:tcW w:w="1361" w:type="dxa"/>
            <w:vAlign w:val="center"/>
          </w:tcPr>
          <w:p w14:paraId="39AB3014">
            <w:pPr>
              <w:pStyle w:val="16"/>
            </w:pPr>
            <w:r>
              <w:t>231.32</w:t>
            </w:r>
          </w:p>
        </w:tc>
        <w:tc>
          <w:tcPr>
            <w:tcW w:w="1361" w:type="dxa"/>
            <w:vAlign w:val="center"/>
          </w:tcPr>
          <w:p w14:paraId="586C65FC">
            <w:pPr>
              <w:pStyle w:val="16"/>
            </w:pPr>
          </w:p>
        </w:tc>
        <w:tc>
          <w:tcPr>
            <w:tcW w:w="1361" w:type="dxa"/>
            <w:vAlign w:val="center"/>
          </w:tcPr>
          <w:p w14:paraId="3E2844D8">
            <w:pPr>
              <w:pStyle w:val="16"/>
            </w:pPr>
          </w:p>
        </w:tc>
        <w:tc>
          <w:tcPr>
            <w:tcW w:w="1361" w:type="dxa"/>
            <w:vAlign w:val="center"/>
          </w:tcPr>
          <w:p w14:paraId="7F1AA690">
            <w:pPr>
              <w:pStyle w:val="16"/>
            </w:pPr>
          </w:p>
        </w:tc>
      </w:tr>
      <w:tr w14:paraId="77DAD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BFE2281">
            <w:pPr>
              <w:pStyle w:val="12"/>
            </w:pPr>
            <w:r>
              <w:t>2</w:t>
            </w:r>
          </w:p>
        </w:tc>
        <w:tc>
          <w:tcPr>
            <w:tcW w:w="992" w:type="dxa"/>
            <w:vAlign w:val="center"/>
          </w:tcPr>
          <w:p w14:paraId="107E80E6">
            <w:pPr>
              <w:pStyle w:val="13"/>
            </w:pPr>
            <w:r>
              <w:t>205</w:t>
            </w:r>
          </w:p>
        </w:tc>
        <w:tc>
          <w:tcPr>
            <w:tcW w:w="4535" w:type="dxa"/>
            <w:vAlign w:val="center"/>
          </w:tcPr>
          <w:p w14:paraId="1FE90778">
            <w:pPr>
              <w:pStyle w:val="13"/>
            </w:pPr>
            <w:r>
              <w:t>教育支出</w:t>
            </w:r>
          </w:p>
        </w:tc>
        <w:tc>
          <w:tcPr>
            <w:tcW w:w="1361" w:type="dxa"/>
            <w:vAlign w:val="center"/>
          </w:tcPr>
          <w:p w14:paraId="73D237CE">
            <w:pPr>
              <w:pStyle w:val="14"/>
            </w:pPr>
            <w:r>
              <w:t>1041.12</w:t>
            </w:r>
          </w:p>
        </w:tc>
        <w:tc>
          <w:tcPr>
            <w:tcW w:w="1361" w:type="dxa"/>
            <w:vAlign w:val="center"/>
          </w:tcPr>
          <w:p w14:paraId="0665356F">
            <w:pPr>
              <w:pStyle w:val="14"/>
            </w:pPr>
            <w:r>
              <w:t>809.80</w:t>
            </w:r>
          </w:p>
        </w:tc>
        <w:tc>
          <w:tcPr>
            <w:tcW w:w="1361" w:type="dxa"/>
            <w:vAlign w:val="center"/>
          </w:tcPr>
          <w:p w14:paraId="59524307">
            <w:pPr>
              <w:pStyle w:val="14"/>
            </w:pPr>
            <w:r>
              <w:t>231.32</w:t>
            </w:r>
          </w:p>
        </w:tc>
        <w:tc>
          <w:tcPr>
            <w:tcW w:w="1361" w:type="dxa"/>
            <w:vAlign w:val="center"/>
          </w:tcPr>
          <w:p w14:paraId="7A99A058">
            <w:pPr>
              <w:pStyle w:val="14"/>
            </w:pPr>
          </w:p>
        </w:tc>
        <w:tc>
          <w:tcPr>
            <w:tcW w:w="1361" w:type="dxa"/>
            <w:vAlign w:val="center"/>
          </w:tcPr>
          <w:p w14:paraId="00212A99">
            <w:pPr>
              <w:pStyle w:val="14"/>
            </w:pPr>
          </w:p>
        </w:tc>
        <w:tc>
          <w:tcPr>
            <w:tcW w:w="1361" w:type="dxa"/>
            <w:vAlign w:val="center"/>
          </w:tcPr>
          <w:p w14:paraId="6A71FE8C">
            <w:pPr>
              <w:pStyle w:val="14"/>
            </w:pPr>
          </w:p>
        </w:tc>
      </w:tr>
      <w:tr w14:paraId="29C79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890EE">
            <w:pPr>
              <w:pStyle w:val="12"/>
            </w:pPr>
            <w:r>
              <w:t>3</w:t>
            </w:r>
          </w:p>
        </w:tc>
        <w:tc>
          <w:tcPr>
            <w:tcW w:w="992" w:type="dxa"/>
            <w:vAlign w:val="center"/>
          </w:tcPr>
          <w:p w14:paraId="2B90B766">
            <w:pPr>
              <w:pStyle w:val="13"/>
            </w:pPr>
            <w:r>
              <w:t>20502</w:t>
            </w:r>
          </w:p>
        </w:tc>
        <w:tc>
          <w:tcPr>
            <w:tcW w:w="4535" w:type="dxa"/>
            <w:vAlign w:val="center"/>
          </w:tcPr>
          <w:p w14:paraId="0B6ECA7F">
            <w:pPr>
              <w:pStyle w:val="13"/>
            </w:pPr>
            <w:r>
              <w:t>普通教育</w:t>
            </w:r>
          </w:p>
        </w:tc>
        <w:tc>
          <w:tcPr>
            <w:tcW w:w="1361" w:type="dxa"/>
            <w:vAlign w:val="center"/>
          </w:tcPr>
          <w:p w14:paraId="6A339D09">
            <w:pPr>
              <w:pStyle w:val="14"/>
            </w:pPr>
            <w:r>
              <w:t>1041.12</w:t>
            </w:r>
          </w:p>
        </w:tc>
        <w:tc>
          <w:tcPr>
            <w:tcW w:w="1361" w:type="dxa"/>
            <w:vAlign w:val="center"/>
          </w:tcPr>
          <w:p w14:paraId="376EF5E5">
            <w:pPr>
              <w:pStyle w:val="14"/>
            </w:pPr>
            <w:r>
              <w:t>809.80</w:t>
            </w:r>
          </w:p>
        </w:tc>
        <w:tc>
          <w:tcPr>
            <w:tcW w:w="1361" w:type="dxa"/>
            <w:vAlign w:val="center"/>
          </w:tcPr>
          <w:p w14:paraId="2CC6D0C6">
            <w:pPr>
              <w:pStyle w:val="14"/>
            </w:pPr>
            <w:r>
              <w:t>231.32</w:t>
            </w:r>
          </w:p>
        </w:tc>
        <w:tc>
          <w:tcPr>
            <w:tcW w:w="1361" w:type="dxa"/>
            <w:vAlign w:val="center"/>
          </w:tcPr>
          <w:p w14:paraId="4EB842FC">
            <w:pPr>
              <w:pStyle w:val="14"/>
            </w:pPr>
          </w:p>
        </w:tc>
        <w:tc>
          <w:tcPr>
            <w:tcW w:w="1361" w:type="dxa"/>
            <w:vAlign w:val="center"/>
          </w:tcPr>
          <w:p w14:paraId="645FF16F">
            <w:pPr>
              <w:pStyle w:val="14"/>
            </w:pPr>
          </w:p>
        </w:tc>
        <w:tc>
          <w:tcPr>
            <w:tcW w:w="1361" w:type="dxa"/>
            <w:vAlign w:val="center"/>
          </w:tcPr>
          <w:p w14:paraId="5A8A5169">
            <w:pPr>
              <w:pStyle w:val="14"/>
            </w:pPr>
          </w:p>
        </w:tc>
      </w:tr>
      <w:tr w14:paraId="4F71E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2DF13">
            <w:pPr>
              <w:pStyle w:val="12"/>
            </w:pPr>
            <w:r>
              <w:t>4</w:t>
            </w:r>
          </w:p>
        </w:tc>
        <w:tc>
          <w:tcPr>
            <w:tcW w:w="992" w:type="dxa"/>
            <w:vAlign w:val="center"/>
          </w:tcPr>
          <w:p w14:paraId="0B82B2EB">
            <w:pPr>
              <w:pStyle w:val="13"/>
            </w:pPr>
            <w:r>
              <w:t>2050203</w:t>
            </w:r>
          </w:p>
        </w:tc>
        <w:tc>
          <w:tcPr>
            <w:tcW w:w="4535" w:type="dxa"/>
            <w:vAlign w:val="center"/>
          </w:tcPr>
          <w:p w14:paraId="5EF3F8DC">
            <w:pPr>
              <w:pStyle w:val="13"/>
            </w:pPr>
            <w:r>
              <w:t>初中教育</w:t>
            </w:r>
          </w:p>
        </w:tc>
        <w:tc>
          <w:tcPr>
            <w:tcW w:w="1361" w:type="dxa"/>
            <w:vAlign w:val="center"/>
          </w:tcPr>
          <w:p w14:paraId="711F82BB">
            <w:pPr>
              <w:pStyle w:val="14"/>
            </w:pPr>
            <w:r>
              <w:t>1041.12</w:t>
            </w:r>
          </w:p>
        </w:tc>
        <w:tc>
          <w:tcPr>
            <w:tcW w:w="1361" w:type="dxa"/>
            <w:vAlign w:val="center"/>
          </w:tcPr>
          <w:p w14:paraId="7F22C395">
            <w:pPr>
              <w:pStyle w:val="14"/>
            </w:pPr>
            <w:r>
              <w:t>809.80</w:t>
            </w:r>
          </w:p>
        </w:tc>
        <w:tc>
          <w:tcPr>
            <w:tcW w:w="1361" w:type="dxa"/>
            <w:vAlign w:val="center"/>
          </w:tcPr>
          <w:p w14:paraId="29E5A8DB">
            <w:pPr>
              <w:pStyle w:val="14"/>
            </w:pPr>
            <w:r>
              <w:t>231.32</w:t>
            </w:r>
          </w:p>
        </w:tc>
        <w:tc>
          <w:tcPr>
            <w:tcW w:w="1361" w:type="dxa"/>
            <w:vAlign w:val="center"/>
          </w:tcPr>
          <w:p w14:paraId="271AFFE0">
            <w:pPr>
              <w:pStyle w:val="14"/>
            </w:pPr>
          </w:p>
        </w:tc>
        <w:tc>
          <w:tcPr>
            <w:tcW w:w="1361" w:type="dxa"/>
            <w:vAlign w:val="center"/>
          </w:tcPr>
          <w:p w14:paraId="25A01D2C">
            <w:pPr>
              <w:pStyle w:val="14"/>
            </w:pPr>
          </w:p>
        </w:tc>
        <w:tc>
          <w:tcPr>
            <w:tcW w:w="1361" w:type="dxa"/>
            <w:vAlign w:val="center"/>
          </w:tcPr>
          <w:p w14:paraId="1A771D76">
            <w:pPr>
              <w:pStyle w:val="14"/>
            </w:pPr>
          </w:p>
        </w:tc>
      </w:tr>
    </w:tbl>
    <w:p w14:paraId="39AA1338">
      <w:pPr>
        <w:sectPr>
          <w:pgSz w:w="16840" w:h="11900" w:orient="landscape"/>
          <w:pgMar w:top="1361" w:right="1020" w:bottom="1134" w:left="1020" w:header="720" w:footer="720" w:gutter="0"/>
          <w:cols w:space="720" w:num="1"/>
        </w:sectPr>
      </w:pPr>
    </w:p>
    <w:p w14:paraId="330596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E53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5EE2AA">
            <w:pPr>
              <w:pStyle w:val="8"/>
            </w:pPr>
            <w:r>
              <w:t>360032隆尧县双碑中学</w:t>
            </w:r>
          </w:p>
        </w:tc>
        <w:tc>
          <w:tcPr>
            <w:tcW w:w="3402" w:type="dxa"/>
            <w:tcBorders>
              <w:top w:val="single" w:color="FFFFFF" w:sz="6" w:space="0"/>
              <w:left w:val="single" w:color="FFFFFF" w:sz="6" w:space="0"/>
              <w:right w:val="single" w:color="FFFFFF" w:sz="6" w:space="0"/>
            </w:tcBorders>
            <w:vAlign w:val="center"/>
          </w:tcPr>
          <w:p w14:paraId="32AEFFD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70B8402">
            <w:pPr>
              <w:pStyle w:val="10"/>
            </w:pPr>
            <w:r>
              <w:t>单位：万元</w:t>
            </w:r>
          </w:p>
        </w:tc>
      </w:tr>
      <w:tr w14:paraId="22129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AA9AB8">
            <w:pPr>
              <w:pStyle w:val="11"/>
            </w:pPr>
            <w:r>
              <w:t>序号</w:t>
            </w:r>
          </w:p>
        </w:tc>
        <w:tc>
          <w:tcPr>
            <w:tcW w:w="4876" w:type="dxa"/>
            <w:gridSpan w:val="2"/>
            <w:vAlign w:val="center"/>
          </w:tcPr>
          <w:p w14:paraId="296AACB6">
            <w:pPr>
              <w:pStyle w:val="11"/>
            </w:pPr>
            <w:r>
              <w:t>收入</w:t>
            </w:r>
          </w:p>
        </w:tc>
        <w:tc>
          <w:tcPr>
            <w:tcW w:w="9298" w:type="dxa"/>
            <w:gridSpan w:val="5"/>
            <w:vAlign w:val="center"/>
          </w:tcPr>
          <w:p w14:paraId="43A0D845">
            <w:pPr>
              <w:pStyle w:val="11"/>
            </w:pPr>
            <w:r>
              <w:t>支出</w:t>
            </w:r>
          </w:p>
        </w:tc>
      </w:tr>
      <w:tr w14:paraId="5BAF1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40A7F9"/>
        </w:tc>
        <w:tc>
          <w:tcPr>
            <w:tcW w:w="3402" w:type="dxa"/>
            <w:vAlign w:val="center"/>
          </w:tcPr>
          <w:p w14:paraId="04864DB6">
            <w:pPr>
              <w:pStyle w:val="11"/>
            </w:pPr>
            <w:r>
              <w:t>项  目</w:t>
            </w:r>
          </w:p>
        </w:tc>
        <w:tc>
          <w:tcPr>
            <w:tcW w:w="1474" w:type="dxa"/>
            <w:vAlign w:val="center"/>
          </w:tcPr>
          <w:p w14:paraId="43EEA812">
            <w:pPr>
              <w:pStyle w:val="11"/>
            </w:pPr>
            <w:r>
              <w:t>金额</w:t>
            </w:r>
          </w:p>
        </w:tc>
        <w:tc>
          <w:tcPr>
            <w:tcW w:w="3402" w:type="dxa"/>
            <w:vAlign w:val="center"/>
          </w:tcPr>
          <w:p w14:paraId="10D48949">
            <w:pPr>
              <w:pStyle w:val="11"/>
            </w:pPr>
            <w:r>
              <w:t>项  目</w:t>
            </w:r>
          </w:p>
        </w:tc>
        <w:tc>
          <w:tcPr>
            <w:tcW w:w="1474" w:type="dxa"/>
            <w:vAlign w:val="center"/>
          </w:tcPr>
          <w:p w14:paraId="2EAB6E9F">
            <w:pPr>
              <w:pStyle w:val="11"/>
            </w:pPr>
            <w:r>
              <w:t>合计</w:t>
            </w:r>
          </w:p>
        </w:tc>
        <w:tc>
          <w:tcPr>
            <w:tcW w:w="1474" w:type="dxa"/>
            <w:vAlign w:val="center"/>
          </w:tcPr>
          <w:p w14:paraId="65116F7F">
            <w:pPr>
              <w:pStyle w:val="11"/>
            </w:pPr>
            <w:r>
              <w:t>一般公共预算财政拨款</w:t>
            </w:r>
          </w:p>
        </w:tc>
        <w:tc>
          <w:tcPr>
            <w:tcW w:w="1474" w:type="dxa"/>
            <w:vAlign w:val="center"/>
          </w:tcPr>
          <w:p w14:paraId="2EE958FC">
            <w:pPr>
              <w:pStyle w:val="11"/>
            </w:pPr>
            <w:r>
              <w:t>政府性基金预算财政    拨款</w:t>
            </w:r>
          </w:p>
        </w:tc>
        <w:tc>
          <w:tcPr>
            <w:tcW w:w="1474" w:type="dxa"/>
            <w:vAlign w:val="center"/>
          </w:tcPr>
          <w:p w14:paraId="3E6BDA81">
            <w:pPr>
              <w:pStyle w:val="11"/>
            </w:pPr>
            <w:r>
              <w:t>国有资本经营预算财政拨款</w:t>
            </w:r>
          </w:p>
        </w:tc>
      </w:tr>
      <w:tr w14:paraId="1AAA1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AA306F">
            <w:pPr>
              <w:pStyle w:val="11"/>
            </w:pPr>
            <w:r>
              <w:t>栏次</w:t>
            </w:r>
          </w:p>
        </w:tc>
        <w:tc>
          <w:tcPr>
            <w:tcW w:w="3402" w:type="dxa"/>
            <w:vAlign w:val="center"/>
          </w:tcPr>
          <w:p w14:paraId="26AE4F53">
            <w:pPr>
              <w:pStyle w:val="11"/>
            </w:pPr>
            <w:r>
              <w:t>1</w:t>
            </w:r>
          </w:p>
        </w:tc>
        <w:tc>
          <w:tcPr>
            <w:tcW w:w="1474" w:type="dxa"/>
            <w:vAlign w:val="center"/>
          </w:tcPr>
          <w:p w14:paraId="0D130161">
            <w:pPr>
              <w:pStyle w:val="11"/>
            </w:pPr>
            <w:r>
              <w:t>2</w:t>
            </w:r>
          </w:p>
        </w:tc>
        <w:tc>
          <w:tcPr>
            <w:tcW w:w="3402" w:type="dxa"/>
            <w:vAlign w:val="center"/>
          </w:tcPr>
          <w:p w14:paraId="5A0535CA">
            <w:pPr>
              <w:pStyle w:val="11"/>
            </w:pPr>
            <w:r>
              <w:t>3</w:t>
            </w:r>
          </w:p>
        </w:tc>
        <w:tc>
          <w:tcPr>
            <w:tcW w:w="1474" w:type="dxa"/>
            <w:vAlign w:val="center"/>
          </w:tcPr>
          <w:p w14:paraId="46C525A2">
            <w:pPr>
              <w:pStyle w:val="11"/>
            </w:pPr>
            <w:r>
              <w:t>4</w:t>
            </w:r>
          </w:p>
        </w:tc>
        <w:tc>
          <w:tcPr>
            <w:tcW w:w="1474" w:type="dxa"/>
            <w:vAlign w:val="center"/>
          </w:tcPr>
          <w:p w14:paraId="174248A3">
            <w:pPr>
              <w:pStyle w:val="11"/>
            </w:pPr>
            <w:r>
              <w:t>5</w:t>
            </w:r>
          </w:p>
        </w:tc>
        <w:tc>
          <w:tcPr>
            <w:tcW w:w="1474" w:type="dxa"/>
            <w:vAlign w:val="center"/>
          </w:tcPr>
          <w:p w14:paraId="187148C4">
            <w:pPr>
              <w:pStyle w:val="11"/>
            </w:pPr>
            <w:r>
              <w:t>6</w:t>
            </w:r>
          </w:p>
        </w:tc>
        <w:tc>
          <w:tcPr>
            <w:tcW w:w="1474" w:type="dxa"/>
            <w:vAlign w:val="center"/>
          </w:tcPr>
          <w:p w14:paraId="0F6C9FA2">
            <w:pPr>
              <w:pStyle w:val="11"/>
            </w:pPr>
            <w:r>
              <w:t>7</w:t>
            </w:r>
          </w:p>
        </w:tc>
      </w:tr>
      <w:tr w14:paraId="4C15B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D8652">
            <w:pPr>
              <w:pStyle w:val="12"/>
            </w:pPr>
            <w:r>
              <w:t>1</w:t>
            </w:r>
          </w:p>
        </w:tc>
        <w:tc>
          <w:tcPr>
            <w:tcW w:w="3402" w:type="dxa"/>
            <w:vAlign w:val="center"/>
          </w:tcPr>
          <w:p w14:paraId="399C96DA">
            <w:pPr>
              <w:pStyle w:val="13"/>
            </w:pPr>
            <w:r>
              <w:t>一、一般公共预算拨款</w:t>
            </w:r>
          </w:p>
        </w:tc>
        <w:tc>
          <w:tcPr>
            <w:tcW w:w="1474" w:type="dxa"/>
            <w:vAlign w:val="center"/>
          </w:tcPr>
          <w:p w14:paraId="209EDC82">
            <w:pPr>
              <w:pStyle w:val="14"/>
            </w:pPr>
            <w:r>
              <w:t>1041.12</w:t>
            </w:r>
          </w:p>
        </w:tc>
        <w:tc>
          <w:tcPr>
            <w:tcW w:w="3402" w:type="dxa"/>
            <w:vAlign w:val="center"/>
          </w:tcPr>
          <w:p w14:paraId="2639BD8C">
            <w:pPr>
              <w:pStyle w:val="13"/>
            </w:pPr>
            <w:r>
              <w:t>一、一般公共服务支出</w:t>
            </w:r>
          </w:p>
        </w:tc>
        <w:tc>
          <w:tcPr>
            <w:tcW w:w="1474" w:type="dxa"/>
            <w:vAlign w:val="center"/>
          </w:tcPr>
          <w:p w14:paraId="6BB9626F">
            <w:pPr>
              <w:pStyle w:val="14"/>
            </w:pPr>
          </w:p>
        </w:tc>
        <w:tc>
          <w:tcPr>
            <w:tcW w:w="1474" w:type="dxa"/>
            <w:vAlign w:val="center"/>
          </w:tcPr>
          <w:p w14:paraId="6B0270A3">
            <w:pPr>
              <w:pStyle w:val="14"/>
            </w:pPr>
          </w:p>
        </w:tc>
        <w:tc>
          <w:tcPr>
            <w:tcW w:w="1474" w:type="dxa"/>
            <w:vAlign w:val="center"/>
          </w:tcPr>
          <w:p w14:paraId="56DA8FB3">
            <w:pPr>
              <w:pStyle w:val="14"/>
            </w:pPr>
          </w:p>
        </w:tc>
        <w:tc>
          <w:tcPr>
            <w:tcW w:w="1474" w:type="dxa"/>
            <w:vAlign w:val="center"/>
          </w:tcPr>
          <w:p w14:paraId="5F4F57C9">
            <w:pPr>
              <w:pStyle w:val="14"/>
            </w:pPr>
          </w:p>
        </w:tc>
      </w:tr>
      <w:tr w14:paraId="4BB16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D9EC090">
            <w:pPr>
              <w:pStyle w:val="12"/>
            </w:pPr>
            <w:r>
              <w:t>2</w:t>
            </w:r>
          </w:p>
        </w:tc>
        <w:tc>
          <w:tcPr>
            <w:tcW w:w="3402" w:type="dxa"/>
            <w:vAlign w:val="center"/>
          </w:tcPr>
          <w:p w14:paraId="190DEE95">
            <w:pPr>
              <w:pStyle w:val="13"/>
            </w:pPr>
            <w:r>
              <w:t>二、政府性基金预算拨款</w:t>
            </w:r>
          </w:p>
        </w:tc>
        <w:tc>
          <w:tcPr>
            <w:tcW w:w="1474" w:type="dxa"/>
            <w:vAlign w:val="center"/>
          </w:tcPr>
          <w:p w14:paraId="02D9C43E">
            <w:pPr>
              <w:pStyle w:val="14"/>
            </w:pPr>
          </w:p>
        </w:tc>
        <w:tc>
          <w:tcPr>
            <w:tcW w:w="3402" w:type="dxa"/>
            <w:vAlign w:val="center"/>
          </w:tcPr>
          <w:p w14:paraId="41703725">
            <w:pPr>
              <w:pStyle w:val="13"/>
            </w:pPr>
            <w:r>
              <w:t>二、外交支出</w:t>
            </w:r>
          </w:p>
        </w:tc>
        <w:tc>
          <w:tcPr>
            <w:tcW w:w="1474" w:type="dxa"/>
            <w:vAlign w:val="center"/>
          </w:tcPr>
          <w:p w14:paraId="083739A2">
            <w:pPr>
              <w:pStyle w:val="14"/>
            </w:pPr>
          </w:p>
        </w:tc>
        <w:tc>
          <w:tcPr>
            <w:tcW w:w="1474" w:type="dxa"/>
            <w:vAlign w:val="center"/>
          </w:tcPr>
          <w:p w14:paraId="37D4A4D3">
            <w:pPr>
              <w:pStyle w:val="14"/>
            </w:pPr>
          </w:p>
        </w:tc>
        <w:tc>
          <w:tcPr>
            <w:tcW w:w="1474" w:type="dxa"/>
            <w:vAlign w:val="center"/>
          </w:tcPr>
          <w:p w14:paraId="7A4EB4F2">
            <w:pPr>
              <w:pStyle w:val="14"/>
            </w:pPr>
          </w:p>
        </w:tc>
        <w:tc>
          <w:tcPr>
            <w:tcW w:w="1474" w:type="dxa"/>
            <w:vAlign w:val="center"/>
          </w:tcPr>
          <w:p w14:paraId="2112DF84">
            <w:pPr>
              <w:pStyle w:val="14"/>
            </w:pPr>
          </w:p>
        </w:tc>
      </w:tr>
      <w:tr w14:paraId="231AF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E9D7B">
            <w:pPr>
              <w:pStyle w:val="12"/>
            </w:pPr>
            <w:r>
              <w:t>3</w:t>
            </w:r>
          </w:p>
        </w:tc>
        <w:tc>
          <w:tcPr>
            <w:tcW w:w="3402" w:type="dxa"/>
            <w:vAlign w:val="center"/>
          </w:tcPr>
          <w:p w14:paraId="281328EB">
            <w:pPr>
              <w:pStyle w:val="13"/>
            </w:pPr>
            <w:r>
              <w:t>三、国有资本经营预算拨款</w:t>
            </w:r>
          </w:p>
        </w:tc>
        <w:tc>
          <w:tcPr>
            <w:tcW w:w="1474" w:type="dxa"/>
            <w:vAlign w:val="center"/>
          </w:tcPr>
          <w:p w14:paraId="7CF710C3">
            <w:pPr>
              <w:pStyle w:val="14"/>
            </w:pPr>
          </w:p>
        </w:tc>
        <w:tc>
          <w:tcPr>
            <w:tcW w:w="3402" w:type="dxa"/>
            <w:vAlign w:val="center"/>
          </w:tcPr>
          <w:p w14:paraId="2B5FA953">
            <w:pPr>
              <w:pStyle w:val="13"/>
            </w:pPr>
            <w:r>
              <w:t>三、国防支出</w:t>
            </w:r>
          </w:p>
        </w:tc>
        <w:tc>
          <w:tcPr>
            <w:tcW w:w="1474" w:type="dxa"/>
            <w:vAlign w:val="center"/>
          </w:tcPr>
          <w:p w14:paraId="3E741735">
            <w:pPr>
              <w:pStyle w:val="14"/>
            </w:pPr>
          </w:p>
        </w:tc>
        <w:tc>
          <w:tcPr>
            <w:tcW w:w="1474" w:type="dxa"/>
            <w:vAlign w:val="center"/>
          </w:tcPr>
          <w:p w14:paraId="3BBBFB69">
            <w:pPr>
              <w:pStyle w:val="14"/>
            </w:pPr>
          </w:p>
        </w:tc>
        <w:tc>
          <w:tcPr>
            <w:tcW w:w="1474" w:type="dxa"/>
            <w:vAlign w:val="center"/>
          </w:tcPr>
          <w:p w14:paraId="14BA3D77">
            <w:pPr>
              <w:pStyle w:val="14"/>
            </w:pPr>
          </w:p>
        </w:tc>
        <w:tc>
          <w:tcPr>
            <w:tcW w:w="1474" w:type="dxa"/>
            <w:vAlign w:val="center"/>
          </w:tcPr>
          <w:p w14:paraId="7EB3EB9C">
            <w:pPr>
              <w:pStyle w:val="14"/>
            </w:pPr>
          </w:p>
        </w:tc>
      </w:tr>
      <w:tr w14:paraId="2684C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D22DA">
            <w:pPr>
              <w:pStyle w:val="12"/>
            </w:pPr>
            <w:r>
              <w:t>4</w:t>
            </w:r>
          </w:p>
        </w:tc>
        <w:tc>
          <w:tcPr>
            <w:tcW w:w="3402" w:type="dxa"/>
            <w:vAlign w:val="center"/>
          </w:tcPr>
          <w:p w14:paraId="036EC698">
            <w:pPr>
              <w:pStyle w:val="13"/>
            </w:pPr>
          </w:p>
        </w:tc>
        <w:tc>
          <w:tcPr>
            <w:tcW w:w="1474" w:type="dxa"/>
            <w:vAlign w:val="center"/>
          </w:tcPr>
          <w:p w14:paraId="713815A2">
            <w:pPr>
              <w:pStyle w:val="14"/>
            </w:pPr>
          </w:p>
        </w:tc>
        <w:tc>
          <w:tcPr>
            <w:tcW w:w="3402" w:type="dxa"/>
            <w:vAlign w:val="center"/>
          </w:tcPr>
          <w:p w14:paraId="7C3E3295">
            <w:pPr>
              <w:pStyle w:val="13"/>
            </w:pPr>
            <w:r>
              <w:t>四、公共安全支出</w:t>
            </w:r>
          </w:p>
        </w:tc>
        <w:tc>
          <w:tcPr>
            <w:tcW w:w="1474" w:type="dxa"/>
            <w:vAlign w:val="center"/>
          </w:tcPr>
          <w:p w14:paraId="6EBB97E8">
            <w:pPr>
              <w:pStyle w:val="14"/>
            </w:pPr>
          </w:p>
        </w:tc>
        <w:tc>
          <w:tcPr>
            <w:tcW w:w="1474" w:type="dxa"/>
            <w:vAlign w:val="center"/>
          </w:tcPr>
          <w:p w14:paraId="3B610BC5">
            <w:pPr>
              <w:pStyle w:val="14"/>
            </w:pPr>
          </w:p>
        </w:tc>
        <w:tc>
          <w:tcPr>
            <w:tcW w:w="1474" w:type="dxa"/>
            <w:vAlign w:val="center"/>
          </w:tcPr>
          <w:p w14:paraId="0F0A9C91">
            <w:pPr>
              <w:pStyle w:val="14"/>
            </w:pPr>
          </w:p>
        </w:tc>
        <w:tc>
          <w:tcPr>
            <w:tcW w:w="1474" w:type="dxa"/>
            <w:vAlign w:val="center"/>
          </w:tcPr>
          <w:p w14:paraId="01A1B038">
            <w:pPr>
              <w:pStyle w:val="14"/>
            </w:pPr>
          </w:p>
        </w:tc>
      </w:tr>
      <w:tr w14:paraId="70BFA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D7D0F">
            <w:pPr>
              <w:pStyle w:val="12"/>
            </w:pPr>
            <w:r>
              <w:t>5</w:t>
            </w:r>
          </w:p>
        </w:tc>
        <w:tc>
          <w:tcPr>
            <w:tcW w:w="3402" w:type="dxa"/>
            <w:vAlign w:val="center"/>
          </w:tcPr>
          <w:p w14:paraId="611263DB">
            <w:pPr>
              <w:pStyle w:val="13"/>
            </w:pPr>
          </w:p>
        </w:tc>
        <w:tc>
          <w:tcPr>
            <w:tcW w:w="1474" w:type="dxa"/>
            <w:vAlign w:val="center"/>
          </w:tcPr>
          <w:p w14:paraId="23104767">
            <w:pPr>
              <w:pStyle w:val="14"/>
            </w:pPr>
          </w:p>
        </w:tc>
        <w:tc>
          <w:tcPr>
            <w:tcW w:w="3402" w:type="dxa"/>
            <w:vAlign w:val="center"/>
          </w:tcPr>
          <w:p w14:paraId="27514454">
            <w:pPr>
              <w:pStyle w:val="13"/>
            </w:pPr>
            <w:r>
              <w:t>五、教育支出</w:t>
            </w:r>
          </w:p>
        </w:tc>
        <w:tc>
          <w:tcPr>
            <w:tcW w:w="1474" w:type="dxa"/>
            <w:vAlign w:val="center"/>
          </w:tcPr>
          <w:p w14:paraId="18C0F5D2">
            <w:pPr>
              <w:pStyle w:val="14"/>
            </w:pPr>
            <w:r>
              <w:t>1041.12</w:t>
            </w:r>
          </w:p>
        </w:tc>
        <w:tc>
          <w:tcPr>
            <w:tcW w:w="1474" w:type="dxa"/>
            <w:vAlign w:val="center"/>
          </w:tcPr>
          <w:p w14:paraId="22B4C755">
            <w:pPr>
              <w:pStyle w:val="14"/>
            </w:pPr>
            <w:r>
              <w:t>1041.12</w:t>
            </w:r>
          </w:p>
        </w:tc>
        <w:tc>
          <w:tcPr>
            <w:tcW w:w="1474" w:type="dxa"/>
            <w:vAlign w:val="center"/>
          </w:tcPr>
          <w:p w14:paraId="37DEEE81">
            <w:pPr>
              <w:pStyle w:val="14"/>
            </w:pPr>
          </w:p>
        </w:tc>
        <w:tc>
          <w:tcPr>
            <w:tcW w:w="1474" w:type="dxa"/>
            <w:vAlign w:val="center"/>
          </w:tcPr>
          <w:p w14:paraId="7F63B9E4">
            <w:pPr>
              <w:pStyle w:val="14"/>
            </w:pPr>
          </w:p>
        </w:tc>
      </w:tr>
      <w:tr w14:paraId="42E8F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36FD2">
            <w:pPr>
              <w:pStyle w:val="12"/>
            </w:pPr>
            <w:r>
              <w:t>6</w:t>
            </w:r>
          </w:p>
        </w:tc>
        <w:tc>
          <w:tcPr>
            <w:tcW w:w="3402" w:type="dxa"/>
            <w:vAlign w:val="center"/>
          </w:tcPr>
          <w:p w14:paraId="77A2EFB6">
            <w:pPr>
              <w:pStyle w:val="13"/>
            </w:pPr>
          </w:p>
        </w:tc>
        <w:tc>
          <w:tcPr>
            <w:tcW w:w="1474" w:type="dxa"/>
            <w:vAlign w:val="center"/>
          </w:tcPr>
          <w:p w14:paraId="31E8D4CF">
            <w:pPr>
              <w:pStyle w:val="14"/>
            </w:pPr>
          </w:p>
        </w:tc>
        <w:tc>
          <w:tcPr>
            <w:tcW w:w="3402" w:type="dxa"/>
            <w:vAlign w:val="center"/>
          </w:tcPr>
          <w:p w14:paraId="3F8ECD41">
            <w:pPr>
              <w:pStyle w:val="13"/>
            </w:pPr>
            <w:r>
              <w:t>六、科学技术支出</w:t>
            </w:r>
          </w:p>
        </w:tc>
        <w:tc>
          <w:tcPr>
            <w:tcW w:w="1474" w:type="dxa"/>
            <w:vAlign w:val="center"/>
          </w:tcPr>
          <w:p w14:paraId="45735357">
            <w:pPr>
              <w:pStyle w:val="14"/>
            </w:pPr>
          </w:p>
        </w:tc>
        <w:tc>
          <w:tcPr>
            <w:tcW w:w="1474" w:type="dxa"/>
            <w:vAlign w:val="center"/>
          </w:tcPr>
          <w:p w14:paraId="0974694C">
            <w:pPr>
              <w:pStyle w:val="14"/>
            </w:pPr>
          </w:p>
        </w:tc>
        <w:tc>
          <w:tcPr>
            <w:tcW w:w="1474" w:type="dxa"/>
            <w:vAlign w:val="center"/>
          </w:tcPr>
          <w:p w14:paraId="5100B252">
            <w:pPr>
              <w:pStyle w:val="14"/>
            </w:pPr>
          </w:p>
        </w:tc>
        <w:tc>
          <w:tcPr>
            <w:tcW w:w="1474" w:type="dxa"/>
            <w:vAlign w:val="center"/>
          </w:tcPr>
          <w:p w14:paraId="76968449">
            <w:pPr>
              <w:pStyle w:val="14"/>
            </w:pPr>
          </w:p>
        </w:tc>
      </w:tr>
      <w:tr w14:paraId="6686B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8899D">
            <w:pPr>
              <w:pStyle w:val="12"/>
            </w:pPr>
            <w:r>
              <w:t>7</w:t>
            </w:r>
          </w:p>
        </w:tc>
        <w:tc>
          <w:tcPr>
            <w:tcW w:w="3402" w:type="dxa"/>
            <w:vAlign w:val="center"/>
          </w:tcPr>
          <w:p w14:paraId="6F22B765">
            <w:pPr>
              <w:pStyle w:val="13"/>
            </w:pPr>
          </w:p>
        </w:tc>
        <w:tc>
          <w:tcPr>
            <w:tcW w:w="1474" w:type="dxa"/>
            <w:vAlign w:val="center"/>
          </w:tcPr>
          <w:p w14:paraId="78E0BB30">
            <w:pPr>
              <w:pStyle w:val="14"/>
            </w:pPr>
          </w:p>
        </w:tc>
        <w:tc>
          <w:tcPr>
            <w:tcW w:w="3402" w:type="dxa"/>
            <w:vAlign w:val="center"/>
          </w:tcPr>
          <w:p w14:paraId="2E4686E0">
            <w:pPr>
              <w:pStyle w:val="13"/>
            </w:pPr>
            <w:r>
              <w:t>七、文化旅游体育与传媒支出</w:t>
            </w:r>
          </w:p>
        </w:tc>
        <w:tc>
          <w:tcPr>
            <w:tcW w:w="1474" w:type="dxa"/>
            <w:vAlign w:val="center"/>
          </w:tcPr>
          <w:p w14:paraId="3C3EE91A">
            <w:pPr>
              <w:pStyle w:val="14"/>
            </w:pPr>
          </w:p>
        </w:tc>
        <w:tc>
          <w:tcPr>
            <w:tcW w:w="1474" w:type="dxa"/>
            <w:vAlign w:val="center"/>
          </w:tcPr>
          <w:p w14:paraId="52BBE0E2">
            <w:pPr>
              <w:pStyle w:val="14"/>
            </w:pPr>
          </w:p>
        </w:tc>
        <w:tc>
          <w:tcPr>
            <w:tcW w:w="1474" w:type="dxa"/>
            <w:vAlign w:val="center"/>
          </w:tcPr>
          <w:p w14:paraId="2DD08C6D">
            <w:pPr>
              <w:pStyle w:val="14"/>
            </w:pPr>
          </w:p>
        </w:tc>
        <w:tc>
          <w:tcPr>
            <w:tcW w:w="1474" w:type="dxa"/>
            <w:vAlign w:val="center"/>
          </w:tcPr>
          <w:p w14:paraId="299C0B1B">
            <w:pPr>
              <w:pStyle w:val="14"/>
            </w:pPr>
          </w:p>
        </w:tc>
      </w:tr>
      <w:tr w14:paraId="79C26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726B2">
            <w:pPr>
              <w:pStyle w:val="12"/>
            </w:pPr>
            <w:r>
              <w:t>8</w:t>
            </w:r>
          </w:p>
        </w:tc>
        <w:tc>
          <w:tcPr>
            <w:tcW w:w="3402" w:type="dxa"/>
            <w:vAlign w:val="center"/>
          </w:tcPr>
          <w:p w14:paraId="1E999D53">
            <w:pPr>
              <w:pStyle w:val="13"/>
            </w:pPr>
          </w:p>
        </w:tc>
        <w:tc>
          <w:tcPr>
            <w:tcW w:w="1474" w:type="dxa"/>
            <w:vAlign w:val="center"/>
          </w:tcPr>
          <w:p w14:paraId="1A0ACE02">
            <w:pPr>
              <w:pStyle w:val="14"/>
            </w:pPr>
          </w:p>
        </w:tc>
        <w:tc>
          <w:tcPr>
            <w:tcW w:w="3402" w:type="dxa"/>
            <w:vAlign w:val="center"/>
          </w:tcPr>
          <w:p w14:paraId="4B3C300C">
            <w:pPr>
              <w:pStyle w:val="13"/>
            </w:pPr>
            <w:r>
              <w:t>八、社会保障和就业支出</w:t>
            </w:r>
          </w:p>
        </w:tc>
        <w:tc>
          <w:tcPr>
            <w:tcW w:w="1474" w:type="dxa"/>
            <w:vAlign w:val="center"/>
          </w:tcPr>
          <w:p w14:paraId="5F36E293">
            <w:pPr>
              <w:pStyle w:val="14"/>
            </w:pPr>
          </w:p>
        </w:tc>
        <w:tc>
          <w:tcPr>
            <w:tcW w:w="1474" w:type="dxa"/>
            <w:vAlign w:val="center"/>
          </w:tcPr>
          <w:p w14:paraId="583780A8">
            <w:pPr>
              <w:pStyle w:val="14"/>
            </w:pPr>
          </w:p>
        </w:tc>
        <w:tc>
          <w:tcPr>
            <w:tcW w:w="1474" w:type="dxa"/>
            <w:vAlign w:val="center"/>
          </w:tcPr>
          <w:p w14:paraId="1AC2A460">
            <w:pPr>
              <w:pStyle w:val="14"/>
            </w:pPr>
          </w:p>
        </w:tc>
        <w:tc>
          <w:tcPr>
            <w:tcW w:w="1474" w:type="dxa"/>
            <w:vAlign w:val="center"/>
          </w:tcPr>
          <w:p w14:paraId="423C584A">
            <w:pPr>
              <w:pStyle w:val="14"/>
            </w:pPr>
          </w:p>
        </w:tc>
      </w:tr>
      <w:tr w14:paraId="2579E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9C482">
            <w:pPr>
              <w:pStyle w:val="12"/>
            </w:pPr>
            <w:r>
              <w:t>9</w:t>
            </w:r>
          </w:p>
        </w:tc>
        <w:tc>
          <w:tcPr>
            <w:tcW w:w="3402" w:type="dxa"/>
            <w:vAlign w:val="center"/>
          </w:tcPr>
          <w:p w14:paraId="2E22FAD1">
            <w:pPr>
              <w:pStyle w:val="13"/>
            </w:pPr>
          </w:p>
        </w:tc>
        <w:tc>
          <w:tcPr>
            <w:tcW w:w="1474" w:type="dxa"/>
            <w:vAlign w:val="center"/>
          </w:tcPr>
          <w:p w14:paraId="3A704CAB">
            <w:pPr>
              <w:pStyle w:val="14"/>
            </w:pPr>
          </w:p>
        </w:tc>
        <w:tc>
          <w:tcPr>
            <w:tcW w:w="3402" w:type="dxa"/>
            <w:vAlign w:val="center"/>
          </w:tcPr>
          <w:p w14:paraId="40925010">
            <w:pPr>
              <w:pStyle w:val="13"/>
            </w:pPr>
            <w:r>
              <w:t>九、社会保险基金支出</w:t>
            </w:r>
          </w:p>
        </w:tc>
        <w:tc>
          <w:tcPr>
            <w:tcW w:w="1474" w:type="dxa"/>
            <w:vAlign w:val="center"/>
          </w:tcPr>
          <w:p w14:paraId="620C8F28">
            <w:pPr>
              <w:pStyle w:val="14"/>
            </w:pPr>
          </w:p>
        </w:tc>
        <w:tc>
          <w:tcPr>
            <w:tcW w:w="1474" w:type="dxa"/>
            <w:vAlign w:val="center"/>
          </w:tcPr>
          <w:p w14:paraId="1A322BA7">
            <w:pPr>
              <w:pStyle w:val="14"/>
            </w:pPr>
          </w:p>
        </w:tc>
        <w:tc>
          <w:tcPr>
            <w:tcW w:w="1474" w:type="dxa"/>
            <w:vAlign w:val="center"/>
          </w:tcPr>
          <w:p w14:paraId="700DF65F">
            <w:pPr>
              <w:pStyle w:val="14"/>
            </w:pPr>
          </w:p>
        </w:tc>
        <w:tc>
          <w:tcPr>
            <w:tcW w:w="1474" w:type="dxa"/>
            <w:vAlign w:val="center"/>
          </w:tcPr>
          <w:p w14:paraId="1C37A2D0">
            <w:pPr>
              <w:pStyle w:val="14"/>
            </w:pPr>
          </w:p>
        </w:tc>
      </w:tr>
      <w:tr w14:paraId="6565C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F91AC">
            <w:pPr>
              <w:pStyle w:val="12"/>
            </w:pPr>
            <w:r>
              <w:t>10</w:t>
            </w:r>
          </w:p>
        </w:tc>
        <w:tc>
          <w:tcPr>
            <w:tcW w:w="3402" w:type="dxa"/>
            <w:vAlign w:val="center"/>
          </w:tcPr>
          <w:p w14:paraId="7731B6A6">
            <w:pPr>
              <w:pStyle w:val="13"/>
            </w:pPr>
          </w:p>
        </w:tc>
        <w:tc>
          <w:tcPr>
            <w:tcW w:w="1474" w:type="dxa"/>
            <w:vAlign w:val="center"/>
          </w:tcPr>
          <w:p w14:paraId="7344C7D0">
            <w:pPr>
              <w:pStyle w:val="14"/>
            </w:pPr>
          </w:p>
        </w:tc>
        <w:tc>
          <w:tcPr>
            <w:tcW w:w="3402" w:type="dxa"/>
            <w:vAlign w:val="center"/>
          </w:tcPr>
          <w:p w14:paraId="392D0346">
            <w:pPr>
              <w:pStyle w:val="13"/>
            </w:pPr>
            <w:r>
              <w:t>十、卫生健康支出</w:t>
            </w:r>
          </w:p>
        </w:tc>
        <w:tc>
          <w:tcPr>
            <w:tcW w:w="1474" w:type="dxa"/>
            <w:vAlign w:val="center"/>
          </w:tcPr>
          <w:p w14:paraId="0CAD1784">
            <w:pPr>
              <w:pStyle w:val="14"/>
            </w:pPr>
          </w:p>
        </w:tc>
        <w:tc>
          <w:tcPr>
            <w:tcW w:w="1474" w:type="dxa"/>
            <w:vAlign w:val="center"/>
          </w:tcPr>
          <w:p w14:paraId="4A208975">
            <w:pPr>
              <w:pStyle w:val="14"/>
            </w:pPr>
          </w:p>
        </w:tc>
        <w:tc>
          <w:tcPr>
            <w:tcW w:w="1474" w:type="dxa"/>
            <w:vAlign w:val="center"/>
          </w:tcPr>
          <w:p w14:paraId="4372C719">
            <w:pPr>
              <w:pStyle w:val="14"/>
            </w:pPr>
          </w:p>
        </w:tc>
        <w:tc>
          <w:tcPr>
            <w:tcW w:w="1474" w:type="dxa"/>
            <w:vAlign w:val="center"/>
          </w:tcPr>
          <w:p w14:paraId="5161859F">
            <w:pPr>
              <w:pStyle w:val="14"/>
            </w:pPr>
          </w:p>
        </w:tc>
      </w:tr>
      <w:tr w14:paraId="648B3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93DC7">
            <w:pPr>
              <w:pStyle w:val="12"/>
            </w:pPr>
            <w:r>
              <w:t>11</w:t>
            </w:r>
          </w:p>
        </w:tc>
        <w:tc>
          <w:tcPr>
            <w:tcW w:w="3402" w:type="dxa"/>
            <w:vAlign w:val="center"/>
          </w:tcPr>
          <w:p w14:paraId="5D7E0A20">
            <w:pPr>
              <w:pStyle w:val="13"/>
            </w:pPr>
          </w:p>
        </w:tc>
        <w:tc>
          <w:tcPr>
            <w:tcW w:w="1474" w:type="dxa"/>
            <w:vAlign w:val="center"/>
          </w:tcPr>
          <w:p w14:paraId="3E2C7FC5">
            <w:pPr>
              <w:pStyle w:val="14"/>
            </w:pPr>
          </w:p>
        </w:tc>
        <w:tc>
          <w:tcPr>
            <w:tcW w:w="3402" w:type="dxa"/>
            <w:vAlign w:val="center"/>
          </w:tcPr>
          <w:p w14:paraId="78BF297B">
            <w:pPr>
              <w:pStyle w:val="13"/>
            </w:pPr>
            <w:r>
              <w:t>十一、节能环保支出</w:t>
            </w:r>
          </w:p>
        </w:tc>
        <w:tc>
          <w:tcPr>
            <w:tcW w:w="1474" w:type="dxa"/>
            <w:vAlign w:val="center"/>
          </w:tcPr>
          <w:p w14:paraId="75B137BD">
            <w:pPr>
              <w:pStyle w:val="14"/>
            </w:pPr>
          </w:p>
        </w:tc>
        <w:tc>
          <w:tcPr>
            <w:tcW w:w="1474" w:type="dxa"/>
            <w:vAlign w:val="center"/>
          </w:tcPr>
          <w:p w14:paraId="1BAA686B">
            <w:pPr>
              <w:pStyle w:val="14"/>
            </w:pPr>
          </w:p>
        </w:tc>
        <w:tc>
          <w:tcPr>
            <w:tcW w:w="1474" w:type="dxa"/>
            <w:vAlign w:val="center"/>
          </w:tcPr>
          <w:p w14:paraId="2BA9A656">
            <w:pPr>
              <w:pStyle w:val="14"/>
            </w:pPr>
          </w:p>
        </w:tc>
        <w:tc>
          <w:tcPr>
            <w:tcW w:w="1474" w:type="dxa"/>
            <w:vAlign w:val="center"/>
          </w:tcPr>
          <w:p w14:paraId="4AA05560">
            <w:pPr>
              <w:pStyle w:val="14"/>
            </w:pPr>
          </w:p>
        </w:tc>
      </w:tr>
      <w:tr w14:paraId="48C92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98780">
            <w:pPr>
              <w:pStyle w:val="12"/>
            </w:pPr>
            <w:r>
              <w:t>12</w:t>
            </w:r>
          </w:p>
        </w:tc>
        <w:tc>
          <w:tcPr>
            <w:tcW w:w="3402" w:type="dxa"/>
            <w:vAlign w:val="center"/>
          </w:tcPr>
          <w:p w14:paraId="0D503976">
            <w:pPr>
              <w:pStyle w:val="13"/>
            </w:pPr>
          </w:p>
        </w:tc>
        <w:tc>
          <w:tcPr>
            <w:tcW w:w="1474" w:type="dxa"/>
            <w:vAlign w:val="center"/>
          </w:tcPr>
          <w:p w14:paraId="42D58C0E">
            <w:pPr>
              <w:pStyle w:val="14"/>
            </w:pPr>
          </w:p>
        </w:tc>
        <w:tc>
          <w:tcPr>
            <w:tcW w:w="3402" w:type="dxa"/>
            <w:vAlign w:val="center"/>
          </w:tcPr>
          <w:p w14:paraId="12E7A69E">
            <w:pPr>
              <w:pStyle w:val="13"/>
            </w:pPr>
            <w:r>
              <w:t>十二、城乡社区支出</w:t>
            </w:r>
          </w:p>
        </w:tc>
        <w:tc>
          <w:tcPr>
            <w:tcW w:w="1474" w:type="dxa"/>
            <w:vAlign w:val="center"/>
          </w:tcPr>
          <w:p w14:paraId="7D1F7C0E">
            <w:pPr>
              <w:pStyle w:val="14"/>
            </w:pPr>
          </w:p>
        </w:tc>
        <w:tc>
          <w:tcPr>
            <w:tcW w:w="1474" w:type="dxa"/>
            <w:vAlign w:val="center"/>
          </w:tcPr>
          <w:p w14:paraId="1633756C">
            <w:pPr>
              <w:pStyle w:val="14"/>
            </w:pPr>
          </w:p>
        </w:tc>
        <w:tc>
          <w:tcPr>
            <w:tcW w:w="1474" w:type="dxa"/>
            <w:vAlign w:val="center"/>
          </w:tcPr>
          <w:p w14:paraId="2EF1665C">
            <w:pPr>
              <w:pStyle w:val="14"/>
            </w:pPr>
          </w:p>
        </w:tc>
        <w:tc>
          <w:tcPr>
            <w:tcW w:w="1474" w:type="dxa"/>
            <w:vAlign w:val="center"/>
          </w:tcPr>
          <w:p w14:paraId="492DDCA0">
            <w:pPr>
              <w:pStyle w:val="14"/>
            </w:pPr>
          </w:p>
        </w:tc>
      </w:tr>
      <w:tr w14:paraId="74B13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25AC9">
            <w:pPr>
              <w:pStyle w:val="12"/>
            </w:pPr>
            <w:r>
              <w:t>13</w:t>
            </w:r>
          </w:p>
        </w:tc>
        <w:tc>
          <w:tcPr>
            <w:tcW w:w="3402" w:type="dxa"/>
            <w:vAlign w:val="center"/>
          </w:tcPr>
          <w:p w14:paraId="5BDAE1BB">
            <w:pPr>
              <w:pStyle w:val="13"/>
            </w:pPr>
          </w:p>
        </w:tc>
        <w:tc>
          <w:tcPr>
            <w:tcW w:w="1474" w:type="dxa"/>
            <w:vAlign w:val="center"/>
          </w:tcPr>
          <w:p w14:paraId="55E02A28">
            <w:pPr>
              <w:pStyle w:val="14"/>
            </w:pPr>
          </w:p>
        </w:tc>
        <w:tc>
          <w:tcPr>
            <w:tcW w:w="3402" w:type="dxa"/>
            <w:vAlign w:val="center"/>
          </w:tcPr>
          <w:p w14:paraId="0742F9CA">
            <w:pPr>
              <w:pStyle w:val="13"/>
            </w:pPr>
            <w:r>
              <w:t>十三、农林水支出</w:t>
            </w:r>
          </w:p>
        </w:tc>
        <w:tc>
          <w:tcPr>
            <w:tcW w:w="1474" w:type="dxa"/>
            <w:vAlign w:val="center"/>
          </w:tcPr>
          <w:p w14:paraId="7EC23F25">
            <w:pPr>
              <w:pStyle w:val="14"/>
            </w:pPr>
          </w:p>
        </w:tc>
        <w:tc>
          <w:tcPr>
            <w:tcW w:w="1474" w:type="dxa"/>
            <w:vAlign w:val="center"/>
          </w:tcPr>
          <w:p w14:paraId="7637AF32">
            <w:pPr>
              <w:pStyle w:val="14"/>
            </w:pPr>
          </w:p>
        </w:tc>
        <w:tc>
          <w:tcPr>
            <w:tcW w:w="1474" w:type="dxa"/>
            <w:vAlign w:val="center"/>
          </w:tcPr>
          <w:p w14:paraId="1D90BA3E">
            <w:pPr>
              <w:pStyle w:val="14"/>
            </w:pPr>
          </w:p>
        </w:tc>
        <w:tc>
          <w:tcPr>
            <w:tcW w:w="1474" w:type="dxa"/>
            <w:vAlign w:val="center"/>
          </w:tcPr>
          <w:p w14:paraId="49BF95C3">
            <w:pPr>
              <w:pStyle w:val="14"/>
            </w:pPr>
          </w:p>
        </w:tc>
      </w:tr>
      <w:tr w14:paraId="4ABD2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98A34">
            <w:pPr>
              <w:pStyle w:val="12"/>
            </w:pPr>
            <w:r>
              <w:t>14</w:t>
            </w:r>
          </w:p>
        </w:tc>
        <w:tc>
          <w:tcPr>
            <w:tcW w:w="3402" w:type="dxa"/>
            <w:vAlign w:val="center"/>
          </w:tcPr>
          <w:p w14:paraId="4C8CA95C">
            <w:pPr>
              <w:pStyle w:val="13"/>
            </w:pPr>
          </w:p>
        </w:tc>
        <w:tc>
          <w:tcPr>
            <w:tcW w:w="1474" w:type="dxa"/>
            <w:vAlign w:val="center"/>
          </w:tcPr>
          <w:p w14:paraId="17B0C409">
            <w:pPr>
              <w:pStyle w:val="14"/>
            </w:pPr>
          </w:p>
        </w:tc>
        <w:tc>
          <w:tcPr>
            <w:tcW w:w="3402" w:type="dxa"/>
            <w:vAlign w:val="center"/>
          </w:tcPr>
          <w:p w14:paraId="30DF0BB6">
            <w:pPr>
              <w:pStyle w:val="13"/>
            </w:pPr>
            <w:r>
              <w:t>十四、交通运输支出</w:t>
            </w:r>
          </w:p>
        </w:tc>
        <w:tc>
          <w:tcPr>
            <w:tcW w:w="1474" w:type="dxa"/>
            <w:vAlign w:val="center"/>
          </w:tcPr>
          <w:p w14:paraId="6F12078A">
            <w:pPr>
              <w:pStyle w:val="14"/>
            </w:pPr>
          </w:p>
        </w:tc>
        <w:tc>
          <w:tcPr>
            <w:tcW w:w="1474" w:type="dxa"/>
            <w:vAlign w:val="center"/>
          </w:tcPr>
          <w:p w14:paraId="4148ADF6">
            <w:pPr>
              <w:pStyle w:val="14"/>
            </w:pPr>
          </w:p>
        </w:tc>
        <w:tc>
          <w:tcPr>
            <w:tcW w:w="1474" w:type="dxa"/>
            <w:vAlign w:val="center"/>
          </w:tcPr>
          <w:p w14:paraId="3E5C89A2">
            <w:pPr>
              <w:pStyle w:val="14"/>
            </w:pPr>
          </w:p>
        </w:tc>
        <w:tc>
          <w:tcPr>
            <w:tcW w:w="1474" w:type="dxa"/>
            <w:vAlign w:val="center"/>
          </w:tcPr>
          <w:p w14:paraId="7D87BE6A">
            <w:pPr>
              <w:pStyle w:val="14"/>
            </w:pPr>
          </w:p>
        </w:tc>
      </w:tr>
      <w:tr w14:paraId="227DD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644AD">
            <w:pPr>
              <w:pStyle w:val="12"/>
            </w:pPr>
            <w:r>
              <w:t>15</w:t>
            </w:r>
          </w:p>
        </w:tc>
        <w:tc>
          <w:tcPr>
            <w:tcW w:w="3402" w:type="dxa"/>
            <w:vAlign w:val="center"/>
          </w:tcPr>
          <w:p w14:paraId="5CD738B3">
            <w:pPr>
              <w:pStyle w:val="13"/>
            </w:pPr>
          </w:p>
        </w:tc>
        <w:tc>
          <w:tcPr>
            <w:tcW w:w="1474" w:type="dxa"/>
            <w:vAlign w:val="center"/>
          </w:tcPr>
          <w:p w14:paraId="61FDF793">
            <w:pPr>
              <w:pStyle w:val="14"/>
            </w:pPr>
          </w:p>
        </w:tc>
        <w:tc>
          <w:tcPr>
            <w:tcW w:w="3402" w:type="dxa"/>
            <w:vAlign w:val="center"/>
          </w:tcPr>
          <w:p w14:paraId="7E4F56D0">
            <w:pPr>
              <w:pStyle w:val="13"/>
            </w:pPr>
            <w:r>
              <w:t>十五、资源勘探工业信息等支出</w:t>
            </w:r>
          </w:p>
        </w:tc>
        <w:tc>
          <w:tcPr>
            <w:tcW w:w="1474" w:type="dxa"/>
            <w:vAlign w:val="center"/>
          </w:tcPr>
          <w:p w14:paraId="085D5506">
            <w:pPr>
              <w:pStyle w:val="14"/>
            </w:pPr>
          </w:p>
        </w:tc>
        <w:tc>
          <w:tcPr>
            <w:tcW w:w="1474" w:type="dxa"/>
            <w:vAlign w:val="center"/>
          </w:tcPr>
          <w:p w14:paraId="5F62E112">
            <w:pPr>
              <w:pStyle w:val="14"/>
            </w:pPr>
          </w:p>
        </w:tc>
        <w:tc>
          <w:tcPr>
            <w:tcW w:w="1474" w:type="dxa"/>
            <w:vAlign w:val="center"/>
          </w:tcPr>
          <w:p w14:paraId="4ED11249">
            <w:pPr>
              <w:pStyle w:val="14"/>
            </w:pPr>
          </w:p>
        </w:tc>
        <w:tc>
          <w:tcPr>
            <w:tcW w:w="1474" w:type="dxa"/>
            <w:vAlign w:val="center"/>
          </w:tcPr>
          <w:p w14:paraId="0FE81E92">
            <w:pPr>
              <w:pStyle w:val="14"/>
            </w:pPr>
          </w:p>
        </w:tc>
      </w:tr>
      <w:tr w14:paraId="67DF1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2E0B6">
            <w:pPr>
              <w:pStyle w:val="12"/>
            </w:pPr>
            <w:r>
              <w:t>16</w:t>
            </w:r>
          </w:p>
        </w:tc>
        <w:tc>
          <w:tcPr>
            <w:tcW w:w="3402" w:type="dxa"/>
            <w:vAlign w:val="center"/>
          </w:tcPr>
          <w:p w14:paraId="0DA7F7EB">
            <w:pPr>
              <w:pStyle w:val="13"/>
            </w:pPr>
          </w:p>
        </w:tc>
        <w:tc>
          <w:tcPr>
            <w:tcW w:w="1474" w:type="dxa"/>
            <w:vAlign w:val="center"/>
          </w:tcPr>
          <w:p w14:paraId="6B1C8633">
            <w:pPr>
              <w:pStyle w:val="14"/>
            </w:pPr>
          </w:p>
        </w:tc>
        <w:tc>
          <w:tcPr>
            <w:tcW w:w="3402" w:type="dxa"/>
            <w:vAlign w:val="center"/>
          </w:tcPr>
          <w:p w14:paraId="32191A13">
            <w:pPr>
              <w:pStyle w:val="13"/>
            </w:pPr>
            <w:r>
              <w:t>十六、商业服务业等支出</w:t>
            </w:r>
          </w:p>
        </w:tc>
        <w:tc>
          <w:tcPr>
            <w:tcW w:w="1474" w:type="dxa"/>
            <w:vAlign w:val="center"/>
          </w:tcPr>
          <w:p w14:paraId="1722F1BF">
            <w:pPr>
              <w:pStyle w:val="14"/>
            </w:pPr>
          </w:p>
        </w:tc>
        <w:tc>
          <w:tcPr>
            <w:tcW w:w="1474" w:type="dxa"/>
            <w:vAlign w:val="center"/>
          </w:tcPr>
          <w:p w14:paraId="7D56C2A1">
            <w:pPr>
              <w:pStyle w:val="14"/>
            </w:pPr>
          </w:p>
        </w:tc>
        <w:tc>
          <w:tcPr>
            <w:tcW w:w="1474" w:type="dxa"/>
            <w:vAlign w:val="center"/>
          </w:tcPr>
          <w:p w14:paraId="57B25F5B">
            <w:pPr>
              <w:pStyle w:val="14"/>
            </w:pPr>
          </w:p>
        </w:tc>
        <w:tc>
          <w:tcPr>
            <w:tcW w:w="1474" w:type="dxa"/>
            <w:vAlign w:val="center"/>
          </w:tcPr>
          <w:p w14:paraId="16A4E18C">
            <w:pPr>
              <w:pStyle w:val="14"/>
            </w:pPr>
          </w:p>
        </w:tc>
      </w:tr>
      <w:tr w14:paraId="2228B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10B2C">
            <w:pPr>
              <w:pStyle w:val="12"/>
            </w:pPr>
            <w:r>
              <w:t>17</w:t>
            </w:r>
          </w:p>
        </w:tc>
        <w:tc>
          <w:tcPr>
            <w:tcW w:w="3402" w:type="dxa"/>
            <w:vAlign w:val="center"/>
          </w:tcPr>
          <w:p w14:paraId="63B48ADC">
            <w:pPr>
              <w:pStyle w:val="13"/>
            </w:pPr>
          </w:p>
        </w:tc>
        <w:tc>
          <w:tcPr>
            <w:tcW w:w="1474" w:type="dxa"/>
            <w:vAlign w:val="center"/>
          </w:tcPr>
          <w:p w14:paraId="426D38F6">
            <w:pPr>
              <w:pStyle w:val="14"/>
            </w:pPr>
          </w:p>
        </w:tc>
        <w:tc>
          <w:tcPr>
            <w:tcW w:w="3402" w:type="dxa"/>
            <w:vAlign w:val="center"/>
          </w:tcPr>
          <w:p w14:paraId="280DABF8">
            <w:pPr>
              <w:pStyle w:val="13"/>
            </w:pPr>
            <w:r>
              <w:t>十七、金融支出</w:t>
            </w:r>
          </w:p>
        </w:tc>
        <w:tc>
          <w:tcPr>
            <w:tcW w:w="1474" w:type="dxa"/>
            <w:vAlign w:val="center"/>
          </w:tcPr>
          <w:p w14:paraId="56AB43C7">
            <w:pPr>
              <w:pStyle w:val="14"/>
            </w:pPr>
          </w:p>
        </w:tc>
        <w:tc>
          <w:tcPr>
            <w:tcW w:w="1474" w:type="dxa"/>
            <w:vAlign w:val="center"/>
          </w:tcPr>
          <w:p w14:paraId="162367ED">
            <w:pPr>
              <w:pStyle w:val="14"/>
            </w:pPr>
          </w:p>
        </w:tc>
        <w:tc>
          <w:tcPr>
            <w:tcW w:w="1474" w:type="dxa"/>
            <w:vAlign w:val="center"/>
          </w:tcPr>
          <w:p w14:paraId="538B4170">
            <w:pPr>
              <w:pStyle w:val="14"/>
            </w:pPr>
          </w:p>
        </w:tc>
        <w:tc>
          <w:tcPr>
            <w:tcW w:w="1474" w:type="dxa"/>
            <w:vAlign w:val="center"/>
          </w:tcPr>
          <w:p w14:paraId="39DCB22D">
            <w:pPr>
              <w:pStyle w:val="14"/>
            </w:pPr>
          </w:p>
        </w:tc>
      </w:tr>
      <w:tr w14:paraId="0C3A1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5926F">
            <w:pPr>
              <w:pStyle w:val="12"/>
            </w:pPr>
            <w:r>
              <w:t>18</w:t>
            </w:r>
          </w:p>
        </w:tc>
        <w:tc>
          <w:tcPr>
            <w:tcW w:w="3402" w:type="dxa"/>
            <w:vAlign w:val="center"/>
          </w:tcPr>
          <w:p w14:paraId="6392CEA7">
            <w:pPr>
              <w:pStyle w:val="13"/>
            </w:pPr>
          </w:p>
        </w:tc>
        <w:tc>
          <w:tcPr>
            <w:tcW w:w="1474" w:type="dxa"/>
            <w:vAlign w:val="center"/>
          </w:tcPr>
          <w:p w14:paraId="07A5C7A1">
            <w:pPr>
              <w:pStyle w:val="14"/>
            </w:pPr>
          </w:p>
        </w:tc>
        <w:tc>
          <w:tcPr>
            <w:tcW w:w="3402" w:type="dxa"/>
            <w:vAlign w:val="center"/>
          </w:tcPr>
          <w:p w14:paraId="51308D1D">
            <w:pPr>
              <w:pStyle w:val="13"/>
            </w:pPr>
            <w:r>
              <w:t>十八、援助其他地区支出</w:t>
            </w:r>
          </w:p>
        </w:tc>
        <w:tc>
          <w:tcPr>
            <w:tcW w:w="1474" w:type="dxa"/>
            <w:vAlign w:val="center"/>
          </w:tcPr>
          <w:p w14:paraId="3FFD1336">
            <w:pPr>
              <w:pStyle w:val="14"/>
            </w:pPr>
          </w:p>
        </w:tc>
        <w:tc>
          <w:tcPr>
            <w:tcW w:w="1474" w:type="dxa"/>
            <w:vAlign w:val="center"/>
          </w:tcPr>
          <w:p w14:paraId="0B53B2FF">
            <w:pPr>
              <w:pStyle w:val="14"/>
            </w:pPr>
          </w:p>
        </w:tc>
        <w:tc>
          <w:tcPr>
            <w:tcW w:w="1474" w:type="dxa"/>
            <w:vAlign w:val="center"/>
          </w:tcPr>
          <w:p w14:paraId="09877516">
            <w:pPr>
              <w:pStyle w:val="14"/>
            </w:pPr>
          </w:p>
        </w:tc>
        <w:tc>
          <w:tcPr>
            <w:tcW w:w="1474" w:type="dxa"/>
            <w:vAlign w:val="center"/>
          </w:tcPr>
          <w:p w14:paraId="4DF3DA27">
            <w:pPr>
              <w:pStyle w:val="14"/>
            </w:pPr>
          </w:p>
        </w:tc>
      </w:tr>
      <w:tr w14:paraId="392CF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F656C">
            <w:pPr>
              <w:pStyle w:val="12"/>
            </w:pPr>
            <w:r>
              <w:t>19</w:t>
            </w:r>
          </w:p>
        </w:tc>
        <w:tc>
          <w:tcPr>
            <w:tcW w:w="3402" w:type="dxa"/>
            <w:vAlign w:val="center"/>
          </w:tcPr>
          <w:p w14:paraId="16631EC4">
            <w:pPr>
              <w:pStyle w:val="13"/>
            </w:pPr>
          </w:p>
        </w:tc>
        <w:tc>
          <w:tcPr>
            <w:tcW w:w="1474" w:type="dxa"/>
            <w:vAlign w:val="center"/>
          </w:tcPr>
          <w:p w14:paraId="7E4F297F">
            <w:pPr>
              <w:pStyle w:val="14"/>
            </w:pPr>
          </w:p>
        </w:tc>
        <w:tc>
          <w:tcPr>
            <w:tcW w:w="3402" w:type="dxa"/>
            <w:vAlign w:val="center"/>
          </w:tcPr>
          <w:p w14:paraId="24D63F10">
            <w:pPr>
              <w:pStyle w:val="13"/>
            </w:pPr>
            <w:r>
              <w:t>十九、自然资源海洋气象等支出</w:t>
            </w:r>
          </w:p>
        </w:tc>
        <w:tc>
          <w:tcPr>
            <w:tcW w:w="1474" w:type="dxa"/>
            <w:vAlign w:val="center"/>
          </w:tcPr>
          <w:p w14:paraId="3378972D">
            <w:pPr>
              <w:pStyle w:val="14"/>
            </w:pPr>
          </w:p>
        </w:tc>
        <w:tc>
          <w:tcPr>
            <w:tcW w:w="1474" w:type="dxa"/>
            <w:vAlign w:val="center"/>
          </w:tcPr>
          <w:p w14:paraId="1DA22762">
            <w:pPr>
              <w:pStyle w:val="14"/>
            </w:pPr>
          </w:p>
        </w:tc>
        <w:tc>
          <w:tcPr>
            <w:tcW w:w="1474" w:type="dxa"/>
            <w:vAlign w:val="center"/>
          </w:tcPr>
          <w:p w14:paraId="5558EB68">
            <w:pPr>
              <w:pStyle w:val="14"/>
            </w:pPr>
          </w:p>
        </w:tc>
        <w:tc>
          <w:tcPr>
            <w:tcW w:w="1474" w:type="dxa"/>
            <w:vAlign w:val="center"/>
          </w:tcPr>
          <w:p w14:paraId="4B107C44">
            <w:pPr>
              <w:pStyle w:val="14"/>
            </w:pPr>
          </w:p>
        </w:tc>
      </w:tr>
      <w:tr w14:paraId="35F30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79C65">
            <w:pPr>
              <w:pStyle w:val="12"/>
            </w:pPr>
            <w:r>
              <w:t>20</w:t>
            </w:r>
          </w:p>
        </w:tc>
        <w:tc>
          <w:tcPr>
            <w:tcW w:w="3402" w:type="dxa"/>
            <w:vAlign w:val="center"/>
          </w:tcPr>
          <w:p w14:paraId="62466764">
            <w:pPr>
              <w:pStyle w:val="13"/>
            </w:pPr>
          </w:p>
        </w:tc>
        <w:tc>
          <w:tcPr>
            <w:tcW w:w="1474" w:type="dxa"/>
            <w:vAlign w:val="center"/>
          </w:tcPr>
          <w:p w14:paraId="74893F6D">
            <w:pPr>
              <w:pStyle w:val="14"/>
            </w:pPr>
          </w:p>
        </w:tc>
        <w:tc>
          <w:tcPr>
            <w:tcW w:w="3402" w:type="dxa"/>
            <w:vAlign w:val="center"/>
          </w:tcPr>
          <w:p w14:paraId="7C0A61AD">
            <w:pPr>
              <w:pStyle w:val="13"/>
            </w:pPr>
            <w:r>
              <w:t>二十、住房保障支出</w:t>
            </w:r>
          </w:p>
        </w:tc>
        <w:tc>
          <w:tcPr>
            <w:tcW w:w="1474" w:type="dxa"/>
            <w:vAlign w:val="center"/>
          </w:tcPr>
          <w:p w14:paraId="4F21D649">
            <w:pPr>
              <w:pStyle w:val="14"/>
            </w:pPr>
          </w:p>
        </w:tc>
        <w:tc>
          <w:tcPr>
            <w:tcW w:w="1474" w:type="dxa"/>
            <w:vAlign w:val="center"/>
          </w:tcPr>
          <w:p w14:paraId="3582E367">
            <w:pPr>
              <w:pStyle w:val="14"/>
            </w:pPr>
          </w:p>
        </w:tc>
        <w:tc>
          <w:tcPr>
            <w:tcW w:w="1474" w:type="dxa"/>
            <w:vAlign w:val="center"/>
          </w:tcPr>
          <w:p w14:paraId="2657623D">
            <w:pPr>
              <w:pStyle w:val="14"/>
            </w:pPr>
          </w:p>
        </w:tc>
        <w:tc>
          <w:tcPr>
            <w:tcW w:w="1474" w:type="dxa"/>
            <w:vAlign w:val="center"/>
          </w:tcPr>
          <w:p w14:paraId="1D334C16">
            <w:pPr>
              <w:pStyle w:val="14"/>
            </w:pPr>
          </w:p>
        </w:tc>
      </w:tr>
      <w:tr w14:paraId="5C3A7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6283C">
            <w:pPr>
              <w:pStyle w:val="12"/>
            </w:pPr>
            <w:r>
              <w:t>21</w:t>
            </w:r>
          </w:p>
        </w:tc>
        <w:tc>
          <w:tcPr>
            <w:tcW w:w="3402" w:type="dxa"/>
            <w:vAlign w:val="center"/>
          </w:tcPr>
          <w:p w14:paraId="3BA5425D">
            <w:pPr>
              <w:pStyle w:val="13"/>
            </w:pPr>
          </w:p>
        </w:tc>
        <w:tc>
          <w:tcPr>
            <w:tcW w:w="1474" w:type="dxa"/>
            <w:vAlign w:val="center"/>
          </w:tcPr>
          <w:p w14:paraId="04CA88FD">
            <w:pPr>
              <w:pStyle w:val="14"/>
            </w:pPr>
          </w:p>
        </w:tc>
        <w:tc>
          <w:tcPr>
            <w:tcW w:w="3402" w:type="dxa"/>
            <w:vAlign w:val="center"/>
          </w:tcPr>
          <w:p w14:paraId="0679A05F">
            <w:pPr>
              <w:pStyle w:val="13"/>
            </w:pPr>
            <w:r>
              <w:t>二十一、粮油物资储备支出</w:t>
            </w:r>
          </w:p>
        </w:tc>
        <w:tc>
          <w:tcPr>
            <w:tcW w:w="1474" w:type="dxa"/>
            <w:vAlign w:val="center"/>
          </w:tcPr>
          <w:p w14:paraId="28D75032">
            <w:pPr>
              <w:pStyle w:val="14"/>
            </w:pPr>
          </w:p>
        </w:tc>
        <w:tc>
          <w:tcPr>
            <w:tcW w:w="1474" w:type="dxa"/>
            <w:vAlign w:val="center"/>
          </w:tcPr>
          <w:p w14:paraId="18314180">
            <w:pPr>
              <w:pStyle w:val="14"/>
            </w:pPr>
          </w:p>
        </w:tc>
        <w:tc>
          <w:tcPr>
            <w:tcW w:w="1474" w:type="dxa"/>
            <w:vAlign w:val="center"/>
          </w:tcPr>
          <w:p w14:paraId="2034409B">
            <w:pPr>
              <w:pStyle w:val="14"/>
            </w:pPr>
          </w:p>
        </w:tc>
        <w:tc>
          <w:tcPr>
            <w:tcW w:w="1474" w:type="dxa"/>
            <w:vAlign w:val="center"/>
          </w:tcPr>
          <w:p w14:paraId="11E7B552">
            <w:pPr>
              <w:pStyle w:val="14"/>
            </w:pPr>
          </w:p>
        </w:tc>
      </w:tr>
      <w:tr w14:paraId="33A2A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B6CEA">
            <w:pPr>
              <w:pStyle w:val="12"/>
            </w:pPr>
            <w:r>
              <w:t>22</w:t>
            </w:r>
          </w:p>
        </w:tc>
        <w:tc>
          <w:tcPr>
            <w:tcW w:w="3402" w:type="dxa"/>
            <w:vAlign w:val="center"/>
          </w:tcPr>
          <w:p w14:paraId="59F558F2">
            <w:pPr>
              <w:pStyle w:val="13"/>
            </w:pPr>
          </w:p>
        </w:tc>
        <w:tc>
          <w:tcPr>
            <w:tcW w:w="1474" w:type="dxa"/>
            <w:vAlign w:val="center"/>
          </w:tcPr>
          <w:p w14:paraId="53D5B391">
            <w:pPr>
              <w:pStyle w:val="14"/>
            </w:pPr>
          </w:p>
        </w:tc>
        <w:tc>
          <w:tcPr>
            <w:tcW w:w="3402" w:type="dxa"/>
            <w:vAlign w:val="center"/>
          </w:tcPr>
          <w:p w14:paraId="62AA004C">
            <w:pPr>
              <w:pStyle w:val="13"/>
            </w:pPr>
            <w:r>
              <w:t>二十二、国有资本经营预算支出</w:t>
            </w:r>
          </w:p>
        </w:tc>
        <w:tc>
          <w:tcPr>
            <w:tcW w:w="1474" w:type="dxa"/>
            <w:vAlign w:val="center"/>
          </w:tcPr>
          <w:p w14:paraId="3BDD8B64">
            <w:pPr>
              <w:pStyle w:val="14"/>
            </w:pPr>
          </w:p>
        </w:tc>
        <w:tc>
          <w:tcPr>
            <w:tcW w:w="1474" w:type="dxa"/>
            <w:vAlign w:val="center"/>
          </w:tcPr>
          <w:p w14:paraId="36A8FB49">
            <w:pPr>
              <w:pStyle w:val="14"/>
            </w:pPr>
          </w:p>
        </w:tc>
        <w:tc>
          <w:tcPr>
            <w:tcW w:w="1474" w:type="dxa"/>
            <w:vAlign w:val="center"/>
          </w:tcPr>
          <w:p w14:paraId="2F2667EF">
            <w:pPr>
              <w:pStyle w:val="14"/>
            </w:pPr>
          </w:p>
        </w:tc>
        <w:tc>
          <w:tcPr>
            <w:tcW w:w="1474" w:type="dxa"/>
            <w:vAlign w:val="center"/>
          </w:tcPr>
          <w:p w14:paraId="6AD6069D">
            <w:pPr>
              <w:pStyle w:val="14"/>
            </w:pPr>
          </w:p>
        </w:tc>
      </w:tr>
      <w:tr w14:paraId="0CFC5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CF40B">
            <w:pPr>
              <w:pStyle w:val="12"/>
            </w:pPr>
            <w:r>
              <w:t>23</w:t>
            </w:r>
          </w:p>
        </w:tc>
        <w:tc>
          <w:tcPr>
            <w:tcW w:w="3402" w:type="dxa"/>
            <w:vAlign w:val="center"/>
          </w:tcPr>
          <w:p w14:paraId="1D1BC3D8">
            <w:pPr>
              <w:pStyle w:val="13"/>
            </w:pPr>
          </w:p>
        </w:tc>
        <w:tc>
          <w:tcPr>
            <w:tcW w:w="1474" w:type="dxa"/>
            <w:vAlign w:val="center"/>
          </w:tcPr>
          <w:p w14:paraId="0D3D832F">
            <w:pPr>
              <w:pStyle w:val="14"/>
            </w:pPr>
          </w:p>
        </w:tc>
        <w:tc>
          <w:tcPr>
            <w:tcW w:w="3402" w:type="dxa"/>
            <w:vAlign w:val="center"/>
          </w:tcPr>
          <w:p w14:paraId="2E6744DC">
            <w:pPr>
              <w:pStyle w:val="13"/>
            </w:pPr>
            <w:r>
              <w:t>二十三、灾害防治及应急管理支出</w:t>
            </w:r>
          </w:p>
        </w:tc>
        <w:tc>
          <w:tcPr>
            <w:tcW w:w="1474" w:type="dxa"/>
            <w:vAlign w:val="center"/>
          </w:tcPr>
          <w:p w14:paraId="5BB22AEA">
            <w:pPr>
              <w:pStyle w:val="14"/>
            </w:pPr>
          </w:p>
        </w:tc>
        <w:tc>
          <w:tcPr>
            <w:tcW w:w="1474" w:type="dxa"/>
            <w:vAlign w:val="center"/>
          </w:tcPr>
          <w:p w14:paraId="26CA218B">
            <w:pPr>
              <w:pStyle w:val="14"/>
            </w:pPr>
          </w:p>
        </w:tc>
        <w:tc>
          <w:tcPr>
            <w:tcW w:w="1474" w:type="dxa"/>
            <w:vAlign w:val="center"/>
          </w:tcPr>
          <w:p w14:paraId="00CE5077">
            <w:pPr>
              <w:pStyle w:val="14"/>
            </w:pPr>
          </w:p>
        </w:tc>
        <w:tc>
          <w:tcPr>
            <w:tcW w:w="1474" w:type="dxa"/>
            <w:vAlign w:val="center"/>
          </w:tcPr>
          <w:p w14:paraId="3182A6C5">
            <w:pPr>
              <w:pStyle w:val="14"/>
            </w:pPr>
          </w:p>
        </w:tc>
      </w:tr>
      <w:tr w14:paraId="3C52A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3C9A6">
            <w:pPr>
              <w:pStyle w:val="12"/>
            </w:pPr>
            <w:r>
              <w:t>24</w:t>
            </w:r>
          </w:p>
        </w:tc>
        <w:tc>
          <w:tcPr>
            <w:tcW w:w="3402" w:type="dxa"/>
            <w:vAlign w:val="center"/>
          </w:tcPr>
          <w:p w14:paraId="61F8EE10">
            <w:pPr>
              <w:pStyle w:val="13"/>
            </w:pPr>
          </w:p>
        </w:tc>
        <w:tc>
          <w:tcPr>
            <w:tcW w:w="1474" w:type="dxa"/>
            <w:vAlign w:val="center"/>
          </w:tcPr>
          <w:p w14:paraId="4B9F8D5C">
            <w:pPr>
              <w:pStyle w:val="14"/>
            </w:pPr>
          </w:p>
        </w:tc>
        <w:tc>
          <w:tcPr>
            <w:tcW w:w="3402" w:type="dxa"/>
            <w:vAlign w:val="center"/>
          </w:tcPr>
          <w:p w14:paraId="5ED35CFC">
            <w:pPr>
              <w:pStyle w:val="13"/>
            </w:pPr>
            <w:r>
              <w:t>二十四、预备费</w:t>
            </w:r>
          </w:p>
        </w:tc>
        <w:tc>
          <w:tcPr>
            <w:tcW w:w="1474" w:type="dxa"/>
            <w:vAlign w:val="center"/>
          </w:tcPr>
          <w:p w14:paraId="728F22D3">
            <w:pPr>
              <w:pStyle w:val="14"/>
            </w:pPr>
          </w:p>
        </w:tc>
        <w:tc>
          <w:tcPr>
            <w:tcW w:w="1474" w:type="dxa"/>
            <w:vAlign w:val="center"/>
          </w:tcPr>
          <w:p w14:paraId="59D44144">
            <w:pPr>
              <w:pStyle w:val="14"/>
            </w:pPr>
          </w:p>
        </w:tc>
        <w:tc>
          <w:tcPr>
            <w:tcW w:w="1474" w:type="dxa"/>
            <w:vAlign w:val="center"/>
          </w:tcPr>
          <w:p w14:paraId="5B1E7AF7">
            <w:pPr>
              <w:pStyle w:val="14"/>
            </w:pPr>
          </w:p>
        </w:tc>
        <w:tc>
          <w:tcPr>
            <w:tcW w:w="1474" w:type="dxa"/>
            <w:vAlign w:val="center"/>
          </w:tcPr>
          <w:p w14:paraId="4C327A38">
            <w:pPr>
              <w:pStyle w:val="14"/>
            </w:pPr>
          </w:p>
        </w:tc>
      </w:tr>
      <w:tr w14:paraId="70466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B7DD1">
            <w:pPr>
              <w:pStyle w:val="12"/>
            </w:pPr>
            <w:r>
              <w:t>25</w:t>
            </w:r>
          </w:p>
        </w:tc>
        <w:tc>
          <w:tcPr>
            <w:tcW w:w="3402" w:type="dxa"/>
            <w:vAlign w:val="center"/>
          </w:tcPr>
          <w:p w14:paraId="098848A1">
            <w:pPr>
              <w:pStyle w:val="13"/>
            </w:pPr>
          </w:p>
        </w:tc>
        <w:tc>
          <w:tcPr>
            <w:tcW w:w="1474" w:type="dxa"/>
            <w:vAlign w:val="center"/>
          </w:tcPr>
          <w:p w14:paraId="6088CB71">
            <w:pPr>
              <w:pStyle w:val="14"/>
            </w:pPr>
          </w:p>
        </w:tc>
        <w:tc>
          <w:tcPr>
            <w:tcW w:w="3402" w:type="dxa"/>
            <w:vAlign w:val="center"/>
          </w:tcPr>
          <w:p w14:paraId="162BD1C9">
            <w:pPr>
              <w:pStyle w:val="13"/>
            </w:pPr>
            <w:r>
              <w:t>二十五、其他支出</w:t>
            </w:r>
          </w:p>
        </w:tc>
        <w:tc>
          <w:tcPr>
            <w:tcW w:w="1474" w:type="dxa"/>
            <w:vAlign w:val="center"/>
          </w:tcPr>
          <w:p w14:paraId="63BE2754">
            <w:pPr>
              <w:pStyle w:val="14"/>
            </w:pPr>
          </w:p>
        </w:tc>
        <w:tc>
          <w:tcPr>
            <w:tcW w:w="1474" w:type="dxa"/>
            <w:vAlign w:val="center"/>
          </w:tcPr>
          <w:p w14:paraId="50A92956">
            <w:pPr>
              <w:pStyle w:val="14"/>
            </w:pPr>
          </w:p>
        </w:tc>
        <w:tc>
          <w:tcPr>
            <w:tcW w:w="1474" w:type="dxa"/>
            <w:vAlign w:val="center"/>
          </w:tcPr>
          <w:p w14:paraId="5E2790D5">
            <w:pPr>
              <w:pStyle w:val="14"/>
            </w:pPr>
          </w:p>
        </w:tc>
        <w:tc>
          <w:tcPr>
            <w:tcW w:w="1474" w:type="dxa"/>
            <w:vAlign w:val="center"/>
          </w:tcPr>
          <w:p w14:paraId="4F0E3ED9">
            <w:pPr>
              <w:pStyle w:val="14"/>
            </w:pPr>
          </w:p>
        </w:tc>
      </w:tr>
      <w:tr w14:paraId="47653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AC476">
            <w:pPr>
              <w:pStyle w:val="12"/>
            </w:pPr>
            <w:r>
              <w:t>26</w:t>
            </w:r>
          </w:p>
        </w:tc>
        <w:tc>
          <w:tcPr>
            <w:tcW w:w="3402" w:type="dxa"/>
            <w:vAlign w:val="center"/>
          </w:tcPr>
          <w:p w14:paraId="7314B638">
            <w:pPr>
              <w:pStyle w:val="13"/>
            </w:pPr>
          </w:p>
        </w:tc>
        <w:tc>
          <w:tcPr>
            <w:tcW w:w="1474" w:type="dxa"/>
            <w:vAlign w:val="center"/>
          </w:tcPr>
          <w:p w14:paraId="49228D37">
            <w:pPr>
              <w:pStyle w:val="14"/>
            </w:pPr>
          </w:p>
        </w:tc>
        <w:tc>
          <w:tcPr>
            <w:tcW w:w="3402" w:type="dxa"/>
            <w:vAlign w:val="center"/>
          </w:tcPr>
          <w:p w14:paraId="47E49DCF">
            <w:pPr>
              <w:pStyle w:val="13"/>
            </w:pPr>
            <w:r>
              <w:t>二十六、转移性支出</w:t>
            </w:r>
          </w:p>
        </w:tc>
        <w:tc>
          <w:tcPr>
            <w:tcW w:w="1474" w:type="dxa"/>
            <w:vAlign w:val="center"/>
          </w:tcPr>
          <w:p w14:paraId="5D22EC9D">
            <w:pPr>
              <w:pStyle w:val="14"/>
            </w:pPr>
          </w:p>
        </w:tc>
        <w:tc>
          <w:tcPr>
            <w:tcW w:w="1474" w:type="dxa"/>
            <w:vAlign w:val="center"/>
          </w:tcPr>
          <w:p w14:paraId="098F5FC6">
            <w:pPr>
              <w:pStyle w:val="14"/>
            </w:pPr>
          </w:p>
        </w:tc>
        <w:tc>
          <w:tcPr>
            <w:tcW w:w="1474" w:type="dxa"/>
            <w:vAlign w:val="center"/>
          </w:tcPr>
          <w:p w14:paraId="4B118119">
            <w:pPr>
              <w:pStyle w:val="14"/>
            </w:pPr>
          </w:p>
        </w:tc>
        <w:tc>
          <w:tcPr>
            <w:tcW w:w="1474" w:type="dxa"/>
            <w:vAlign w:val="center"/>
          </w:tcPr>
          <w:p w14:paraId="57E33294">
            <w:pPr>
              <w:pStyle w:val="14"/>
            </w:pPr>
          </w:p>
        </w:tc>
      </w:tr>
      <w:tr w14:paraId="49AED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BABD1">
            <w:pPr>
              <w:pStyle w:val="12"/>
            </w:pPr>
            <w:r>
              <w:t>27</w:t>
            </w:r>
          </w:p>
        </w:tc>
        <w:tc>
          <w:tcPr>
            <w:tcW w:w="3402" w:type="dxa"/>
            <w:vAlign w:val="center"/>
          </w:tcPr>
          <w:p w14:paraId="775AF613">
            <w:pPr>
              <w:pStyle w:val="13"/>
            </w:pPr>
          </w:p>
        </w:tc>
        <w:tc>
          <w:tcPr>
            <w:tcW w:w="1474" w:type="dxa"/>
            <w:vAlign w:val="center"/>
          </w:tcPr>
          <w:p w14:paraId="76B90DB7">
            <w:pPr>
              <w:pStyle w:val="14"/>
            </w:pPr>
          </w:p>
        </w:tc>
        <w:tc>
          <w:tcPr>
            <w:tcW w:w="3402" w:type="dxa"/>
            <w:vAlign w:val="center"/>
          </w:tcPr>
          <w:p w14:paraId="24E87BA9">
            <w:pPr>
              <w:pStyle w:val="13"/>
            </w:pPr>
            <w:r>
              <w:t>二十七、债务还本支出</w:t>
            </w:r>
          </w:p>
        </w:tc>
        <w:tc>
          <w:tcPr>
            <w:tcW w:w="1474" w:type="dxa"/>
            <w:vAlign w:val="center"/>
          </w:tcPr>
          <w:p w14:paraId="2F1006F9">
            <w:pPr>
              <w:pStyle w:val="14"/>
            </w:pPr>
          </w:p>
        </w:tc>
        <w:tc>
          <w:tcPr>
            <w:tcW w:w="1474" w:type="dxa"/>
            <w:vAlign w:val="center"/>
          </w:tcPr>
          <w:p w14:paraId="23D06BA4">
            <w:pPr>
              <w:pStyle w:val="14"/>
            </w:pPr>
          </w:p>
        </w:tc>
        <w:tc>
          <w:tcPr>
            <w:tcW w:w="1474" w:type="dxa"/>
            <w:vAlign w:val="center"/>
          </w:tcPr>
          <w:p w14:paraId="63110D18">
            <w:pPr>
              <w:pStyle w:val="14"/>
            </w:pPr>
          </w:p>
        </w:tc>
        <w:tc>
          <w:tcPr>
            <w:tcW w:w="1474" w:type="dxa"/>
            <w:vAlign w:val="center"/>
          </w:tcPr>
          <w:p w14:paraId="1DE78B76">
            <w:pPr>
              <w:pStyle w:val="14"/>
            </w:pPr>
          </w:p>
        </w:tc>
      </w:tr>
      <w:tr w14:paraId="52629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5CB75">
            <w:pPr>
              <w:pStyle w:val="12"/>
            </w:pPr>
            <w:r>
              <w:t>28</w:t>
            </w:r>
          </w:p>
        </w:tc>
        <w:tc>
          <w:tcPr>
            <w:tcW w:w="3402" w:type="dxa"/>
            <w:vAlign w:val="center"/>
          </w:tcPr>
          <w:p w14:paraId="11986260">
            <w:pPr>
              <w:pStyle w:val="13"/>
            </w:pPr>
          </w:p>
        </w:tc>
        <w:tc>
          <w:tcPr>
            <w:tcW w:w="1474" w:type="dxa"/>
            <w:vAlign w:val="center"/>
          </w:tcPr>
          <w:p w14:paraId="0D734159">
            <w:pPr>
              <w:pStyle w:val="14"/>
            </w:pPr>
          </w:p>
        </w:tc>
        <w:tc>
          <w:tcPr>
            <w:tcW w:w="3402" w:type="dxa"/>
            <w:vAlign w:val="center"/>
          </w:tcPr>
          <w:p w14:paraId="5CFA6D82">
            <w:pPr>
              <w:pStyle w:val="13"/>
            </w:pPr>
            <w:r>
              <w:t>二十八、债务付息支出</w:t>
            </w:r>
          </w:p>
        </w:tc>
        <w:tc>
          <w:tcPr>
            <w:tcW w:w="1474" w:type="dxa"/>
            <w:vAlign w:val="center"/>
          </w:tcPr>
          <w:p w14:paraId="3AC5E84E">
            <w:pPr>
              <w:pStyle w:val="14"/>
            </w:pPr>
          </w:p>
        </w:tc>
        <w:tc>
          <w:tcPr>
            <w:tcW w:w="1474" w:type="dxa"/>
            <w:vAlign w:val="center"/>
          </w:tcPr>
          <w:p w14:paraId="66F773FF">
            <w:pPr>
              <w:pStyle w:val="14"/>
            </w:pPr>
          </w:p>
        </w:tc>
        <w:tc>
          <w:tcPr>
            <w:tcW w:w="1474" w:type="dxa"/>
            <w:vAlign w:val="center"/>
          </w:tcPr>
          <w:p w14:paraId="50350EEB">
            <w:pPr>
              <w:pStyle w:val="14"/>
            </w:pPr>
          </w:p>
        </w:tc>
        <w:tc>
          <w:tcPr>
            <w:tcW w:w="1474" w:type="dxa"/>
            <w:vAlign w:val="center"/>
          </w:tcPr>
          <w:p w14:paraId="43C72085">
            <w:pPr>
              <w:pStyle w:val="14"/>
            </w:pPr>
          </w:p>
        </w:tc>
      </w:tr>
      <w:tr w14:paraId="274CC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64FE6">
            <w:pPr>
              <w:pStyle w:val="12"/>
            </w:pPr>
            <w:r>
              <w:t>29</w:t>
            </w:r>
          </w:p>
        </w:tc>
        <w:tc>
          <w:tcPr>
            <w:tcW w:w="3402" w:type="dxa"/>
            <w:vAlign w:val="center"/>
          </w:tcPr>
          <w:p w14:paraId="6089E394">
            <w:pPr>
              <w:pStyle w:val="13"/>
            </w:pPr>
          </w:p>
        </w:tc>
        <w:tc>
          <w:tcPr>
            <w:tcW w:w="1474" w:type="dxa"/>
            <w:vAlign w:val="center"/>
          </w:tcPr>
          <w:p w14:paraId="49439C0C">
            <w:pPr>
              <w:pStyle w:val="14"/>
            </w:pPr>
          </w:p>
        </w:tc>
        <w:tc>
          <w:tcPr>
            <w:tcW w:w="3402" w:type="dxa"/>
            <w:vAlign w:val="center"/>
          </w:tcPr>
          <w:p w14:paraId="12223FE6">
            <w:pPr>
              <w:pStyle w:val="13"/>
            </w:pPr>
            <w:r>
              <w:t>二十九、债务发行费用支出</w:t>
            </w:r>
          </w:p>
        </w:tc>
        <w:tc>
          <w:tcPr>
            <w:tcW w:w="1474" w:type="dxa"/>
            <w:vAlign w:val="center"/>
          </w:tcPr>
          <w:p w14:paraId="5915B8C9">
            <w:pPr>
              <w:pStyle w:val="14"/>
            </w:pPr>
          </w:p>
        </w:tc>
        <w:tc>
          <w:tcPr>
            <w:tcW w:w="1474" w:type="dxa"/>
            <w:vAlign w:val="center"/>
          </w:tcPr>
          <w:p w14:paraId="4CF03889">
            <w:pPr>
              <w:pStyle w:val="14"/>
            </w:pPr>
          </w:p>
        </w:tc>
        <w:tc>
          <w:tcPr>
            <w:tcW w:w="1474" w:type="dxa"/>
            <w:vAlign w:val="center"/>
          </w:tcPr>
          <w:p w14:paraId="2F723C04">
            <w:pPr>
              <w:pStyle w:val="14"/>
            </w:pPr>
          </w:p>
        </w:tc>
        <w:tc>
          <w:tcPr>
            <w:tcW w:w="1474" w:type="dxa"/>
            <w:vAlign w:val="center"/>
          </w:tcPr>
          <w:p w14:paraId="78EC2F52">
            <w:pPr>
              <w:pStyle w:val="14"/>
            </w:pPr>
          </w:p>
        </w:tc>
      </w:tr>
      <w:tr w14:paraId="5F0D8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B0A50">
            <w:pPr>
              <w:pStyle w:val="12"/>
            </w:pPr>
            <w:r>
              <w:t>30</w:t>
            </w:r>
          </w:p>
        </w:tc>
        <w:tc>
          <w:tcPr>
            <w:tcW w:w="3402" w:type="dxa"/>
            <w:vAlign w:val="center"/>
          </w:tcPr>
          <w:p w14:paraId="25B22D01">
            <w:pPr>
              <w:pStyle w:val="13"/>
            </w:pPr>
          </w:p>
        </w:tc>
        <w:tc>
          <w:tcPr>
            <w:tcW w:w="1474" w:type="dxa"/>
            <w:vAlign w:val="center"/>
          </w:tcPr>
          <w:p w14:paraId="091046FC">
            <w:pPr>
              <w:pStyle w:val="14"/>
            </w:pPr>
          </w:p>
        </w:tc>
        <w:tc>
          <w:tcPr>
            <w:tcW w:w="3402" w:type="dxa"/>
            <w:vAlign w:val="center"/>
          </w:tcPr>
          <w:p w14:paraId="14BC70BC">
            <w:pPr>
              <w:pStyle w:val="13"/>
            </w:pPr>
            <w:r>
              <w:t>三十、抗疫特别国债安排的支出</w:t>
            </w:r>
          </w:p>
        </w:tc>
        <w:tc>
          <w:tcPr>
            <w:tcW w:w="1474" w:type="dxa"/>
            <w:vAlign w:val="center"/>
          </w:tcPr>
          <w:p w14:paraId="368C5984">
            <w:pPr>
              <w:pStyle w:val="14"/>
            </w:pPr>
          </w:p>
        </w:tc>
        <w:tc>
          <w:tcPr>
            <w:tcW w:w="1474" w:type="dxa"/>
            <w:vAlign w:val="center"/>
          </w:tcPr>
          <w:p w14:paraId="44B90478">
            <w:pPr>
              <w:pStyle w:val="14"/>
            </w:pPr>
          </w:p>
        </w:tc>
        <w:tc>
          <w:tcPr>
            <w:tcW w:w="1474" w:type="dxa"/>
            <w:vAlign w:val="center"/>
          </w:tcPr>
          <w:p w14:paraId="1FD76AFF">
            <w:pPr>
              <w:pStyle w:val="14"/>
            </w:pPr>
          </w:p>
        </w:tc>
        <w:tc>
          <w:tcPr>
            <w:tcW w:w="1474" w:type="dxa"/>
            <w:vAlign w:val="center"/>
          </w:tcPr>
          <w:p w14:paraId="435FF833">
            <w:pPr>
              <w:pStyle w:val="14"/>
            </w:pPr>
          </w:p>
        </w:tc>
      </w:tr>
      <w:tr w14:paraId="6C6A8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AEB38">
            <w:pPr>
              <w:pStyle w:val="12"/>
            </w:pPr>
            <w:r>
              <w:t>31</w:t>
            </w:r>
          </w:p>
        </w:tc>
        <w:tc>
          <w:tcPr>
            <w:tcW w:w="3402" w:type="dxa"/>
            <w:vAlign w:val="center"/>
          </w:tcPr>
          <w:p w14:paraId="5A657362">
            <w:pPr>
              <w:pStyle w:val="13"/>
            </w:pPr>
          </w:p>
        </w:tc>
        <w:tc>
          <w:tcPr>
            <w:tcW w:w="1474" w:type="dxa"/>
            <w:vAlign w:val="center"/>
          </w:tcPr>
          <w:p w14:paraId="173482B8">
            <w:pPr>
              <w:pStyle w:val="14"/>
            </w:pPr>
          </w:p>
        </w:tc>
        <w:tc>
          <w:tcPr>
            <w:tcW w:w="3402" w:type="dxa"/>
            <w:vAlign w:val="center"/>
          </w:tcPr>
          <w:p w14:paraId="7EBA4460">
            <w:pPr>
              <w:pStyle w:val="13"/>
            </w:pPr>
            <w:r>
              <w:t>三十一、人行科目</w:t>
            </w:r>
          </w:p>
        </w:tc>
        <w:tc>
          <w:tcPr>
            <w:tcW w:w="1474" w:type="dxa"/>
            <w:vAlign w:val="center"/>
          </w:tcPr>
          <w:p w14:paraId="7AEFFDA0">
            <w:pPr>
              <w:pStyle w:val="14"/>
            </w:pPr>
          </w:p>
        </w:tc>
        <w:tc>
          <w:tcPr>
            <w:tcW w:w="1474" w:type="dxa"/>
            <w:vAlign w:val="center"/>
          </w:tcPr>
          <w:p w14:paraId="76A89651">
            <w:pPr>
              <w:pStyle w:val="14"/>
            </w:pPr>
          </w:p>
        </w:tc>
        <w:tc>
          <w:tcPr>
            <w:tcW w:w="1474" w:type="dxa"/>
            <w:vAlign w:val="center"/>
          </w:tcPr>
          <w:p w14:paraId="45FDCE71">
            <w:pPr>
              <w:pStyle w:val="14"/>
            </w:pPr>
          </w:p>
        </w:tc>
        <w:tc>
          <w:tcPr>
            <w:tcW w:w="1474" w:type="dxa"/>
            <w:vAlign w:val="center"/>
          </w:tcPr>
          <w:p w14:paraId="04D05CFC">
            <w:pPr>
              <w:pStyle w:val="14"/>
            </w:pPr>
          </w:p>
        </w:tc>
      </w:tr>
      <w:tr w14:paraId="49380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04A23">
            <w:pPr>
              <w:pStyle w:val="12"/>
            </w:pPr>
            <w:r>
              <w:t>32</w:t>
            </w:r>
          </w:p>
        </w:tc>
        <w:tc>
          <w:tcPr>
            <w:tcW w:w="3402" w:type="dxa"/>
            <w:vAlign w:val="center"/>
          </w:tcPr>
          <w:p w14:paraId="05F9601B">
            <w:pPr>
              <w:pStyle w:val="15"/>
            </w:pPr>
            <w:r>
              <w:t>本年收入合计</w:t>
            </w:r>
          </w:p>
        </w:tc>
        <w:tc>
          <w:tcPr>
            <w:tcW w:w="1474" w:type="dxa"/>
            <w:vAlign w:val="center"/>
          </w:tcPr>
          <w:p w14:paraId="3879D8DA">
            <w:pPr>
              <w:pStyle w:val="16"/>
            </w:pPr>
            <w:r>
              <w:t>1041.12</w:t>
            </w:r>
          </w:p>
        </w:tc>
        <w:tc>
          <w:tcPr>
            <w:tcW w:w="3402" w:type="dxa"/>
            <w:vAlign w:val="center"/>
          </w:tcPr>
          <w:p w14:paraId="2474E371">
            <w:pPr>
              <w:pStyle w:val="15"/>
            </w:pPr>
            <w:r>
              <w:t>本年支出合计</w:t>
            </w:r>
          </w:p>
        </w:tc>
        <w:tc>
          <w:tcPr>
            <w:tcW w:w="1474" w:type="dxa"/>
            <w:vAlign w:val="center"/>
          </w:tcPr>
          <w:p w14:paraId="378ACCAE">
            <w:pPr>
              <w:pStyle w:val="16"/>
            </w:pPr>
            <w:r>
              <w:t>1041.12</w:t>
            </w:r>
          </w:p>
        </w:tc>
        <w:tc>
          <w:tcPr>
            <w:tcW w:w="1474" w:type="dxa"/>
            <w:vAlign w:val="center"/>
          </w:tcPr>
          <w:p w14:paraId="63217112">
            <w:pPr>
              <w:pStyle w:val="16"/>
            </w:pPr>
            <w:r>
              <w:t>1041.12</w:t>
            </w:r>
          </w:p>
        </w:tc>
        <w:tc>
          <w:tcPr>
            <w:tcW w:w="1474" w:type="dxa"/>
            <w:vAlign w:val="center"/>
          </w:tcPr>
          <w:p w14:paraId="5678FE39">
            <w:pPr>
              <w:pStyle w:val="16"/>
            </w:pPr>
          </w:p>
        </w:tc>
        <w:tc>
          <w:tcPr>
            <w:tcW w:w="1474" w:type="dxa"/>
            <w:vAlign w:val="center"/>
          </w:tcPr>
          <w:p w14:paraId="4FFE4259">
            <w:pPr>
              <w:pStyle w:val="16"/>
            </w:pPr>
          </w:p>
        </w:tc>
      </w:tr>
      <w:tr w14:paraId="0CA45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66DD9">
            <w:pPr>
              <w:pStyle w:val="12"/>
            </w:pPr>
            <w:r>
              <w:t>33</w:t>
            </w:r>
          </w:p>
        </w:tc>
        <w:tc>
          <w:tcPr>
            <w:tcW w:w="3402" w:type="dxa"/>
            <w:vAlign w:val="center"/>
          </w:tcPr>
          <w:p w14:paraId="5590E780">
            <w:pPr>
              <w:pStyle w:val="13"/>
            </w:pPr>
            <w:r>
              <w:t>年初财政拨款结转和结余</w:t>
            </w:r>
          </w:p>
        </w:tc>
        <w:tc>
          <w:tcPr>
            <w:tcW w:w="1474" w:type="dxa"/>
            <w:vAlign w:val="center"/>
          </w:tcPr>
          <w:p w14:paraId="59D9C224">
            <w:pPr>
              <w:pStyle w:val="14"/>
            </w:pPr>
          </w:p>
        </w:tc>
        <w:tc>
          <w:tcPr>
            <w:tcW w:w="3402" w:type="dxa"/>
            <w:vAlign w:val="center"/>
          </w:tcPr>
          <w:p w14:paraId="56F35AE3">
            <w:pPr>
              <w:pStyle w:val="13"/>
            </w:pPr>
            <w:r>
              <w:t>年末财政拨款结转和结余</w:t>
            </w:r>
          </w:p>
        </w:tc>
        <w:tc>
          <w:tcPr>
            <w:tcW w:w="1474" w:type="dxa"/>
            <w:vAlign w:val="center"/>
          </w:tcPr>
          <w:p w14:paraId="3B6BBC3D">
            <w:pPr>
              <w:pStyle w:val="14"/>
            </w:pPr>
          </w:p>
        </w:tc>
        <w:tc>
          <w:tcPr>
            <w:tcW w:w="1474" w:type="dxa"/>
            <w:vAlign w:val="center"/>
          </w:tcPr>
          <w:p w14:paraId="388D7AEA">
            <w:pPr>
              <w:pStyle w:val="14"/>
            </w:pPr>
          </w:p>
        </w:tc>
        <w:tc>
          <w:tcPr>
            <w:tcW w:w="1474" w:type="dxa"/>
            <w:vAlign w:val="center"/>
          </w:tcPr>
          <w:p w14:paraId="37C2E841">
            <w:pPr>
              <w:pStyle w:val="14"/>
            </w:pPr>
          </w:p>
        </w:tc>
        <w:tc>
          <w:tcPr>
            <w:tcW w:w="1474" w:type="dxa"/>
            <w:vAlign w:val="center"/>
          </w:tcPr>
          <w:p w14:paraId="4511CE8D">
            <w:pPr>
              <w:pStyle w:val="14"/>
            </w:pPr>
          </w:p>
        </w:tc>
      </w:tr>
      <w:tr w14:paraId="25040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64FB4">
            <w:pPr>
              <w:pStyle w:val="12"/>
            </w:pPr>
            <w:r>
              <w:t>34</w:t>
            </w:r>
          </w:p>
        </w:tc>
        <w:tc>
          <w:tcPr>
            <w:tcW w:w="3402" w:type="dxa"/>
            <w:vAlign w:val="center"/>
          </w:tcPr>
          <w:p w14:paraId="6F7F77FB">
            <w:pPr>
              <w:pStyle w:val="13"/>
            </w:pPr>
            <w:r>
              <w:t>一、一般公共预算拨款</w:t>
            </w:r>
          </w:p>
        </w:tc>
        <w:tc>
          <w:tcPr>
            <w:tcW w:w="1474" w:type="dxa"/>
            <w:vAlign w:val="center"/>
          </w:tcPr>
          <w:p w14:paraId="07E4CA0A">
            <w:pPr>
              <w:pStyle w:val="14"/>
            </w:pPr>
          </w:p>
        </w:tc>
        <w:tc>
          <w:tcPr>
            <w:tcW w:w="3402" w:type="dxa"/>
            <w:vAlign w:val="center"/>
          </w:tcPr>
          <w:p w14:paraId="3ABA9665">
            <w:pPr>
              <w:pStyle w:val="13"/>
            </w:pPr>
          </w:p>
        </w:tc>
        <w:tc>
          <w:tcPr>
            <w:tcW w:w="1474" w:type="dxa"/>
            <w:vAlign w:val="center"/>
          </w:tcPr>
          <w:p w14:paraId="52E48AC8">
            <w:pPr>
              <w:pStyle w:val="14"/>
            </w:pPr>
          </w:p>
        </w:tc>
        <w:tc>
          <w:tcPr>
            <w:tcW w:w="1474" w:type="dxa"/>
            <w:vAlign w:val="center"/>
          </w:tcPr>
          <w:p w14:paraId="62ED32A5">
            <w:pPr>
              <w:pStyle w:val="14"/>
            </w:pPr>
          </w:p>
        </w:tc>
        <w:tc>
          <w:tcPr>
            <w:tcW w:w="1474" w:type="dxa"/>
            <w:vAlign w:val="center"/>
          </w:tcPr>
          <w:p w14:paraId="0BB79E31">
            <w:pPr>
              <w:pStyle w:val="14"/>
            </w:pPr>
          </w:p>
        </w:tc>
        <w:tc>
          <w:tcPr>
            <w:tcW w:w="1474" w:type="dxa"/>
            <w:vAlign w:val="center"/>
          </w:tcPr>
          <w:p w14:paraId="06FCDE33">
            <w:pPr>
              <w:pStyle w:val="14"/>
            </w:pPr>
          </w:p>
        </w:tc>
      </w:tr>
      <w:tr w14:paraId="208B1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126FE">
            <w:pPr>
              <w:pStyle w:val="12"/>
            </w:pPr>
            <w:r>
              <w:t>35</w:t>
            </w:r>
          </w:p>
        </w:tc>
        <w:tc>
          <w:tcPr>
            <w:tcW w:w="3402" w:type="dxa"/>
            <w:vAlign w:val="center"/>
          </w:tcPr>
          <w:p w14:paraId="050FEDE1">
            <w:pPr>
              <w:pStyle w:val="13"/>
            </w:pPr>
            <w:r>
              <w:t>二、政府性基金预算拨款</w:t>
            </w:r>
          </w:p>
        </w:tc>
        <w:tc>
          <w:tcPr>
            <w:tcW w:w="1474" w:type="dxa"/>
            <w:vAlign w:val="center"/>
          </w:tcPr>
          <w:p w14:paraId="438E7D70">
            <w:pPr>
              <w:pStyle w:val="14"/>
            </w:pPr>
          </w:p>
        </w:tc>
        <w:tc>
          <w:tcPr>
            <w:tcW w:w="3402" w:type="dxa"/>
            <w:vAlign w:val="center"/>
          </w:tcPr>
          <w:p w14:paraId="5EC66BEA">
            <w:pPr>
              <w:pStyle w:val="13"/>
            </w:pPr>
          </w:p>
        </w:tc>
        <w:tc>
          <w:tcPr>
            <w:tcW w:w="1474" w:type="dxa"/>
            <w:vAlign w:val="center"/>
          </w:tcPr>
          <w:p w14:paraId="5B22B6F1">
            <w:pPr>
              <w:pStyle w:val="14"/>
            </w:pPr>
          </w:p>
        </w:tc>
        <w:tc>
          <w:tcPr>
            <w:tcW w:w="1474" w:type="dxa"/>
            <w:vAlign w:val="center"/>
          </w:tcPr>
          <w:p w14:paraId="44275990">
            <w:pPr>
              <w:pStyle w:val="14"/>
            </w:pPr>
          </w:p>
        </w:tc>
        <w:tc>
          <w:tcPr>
            <w:tcW w:w="1474" w:type="dxa"/>
            <w:vAlign w:val="center"/>
          </w:tcPr>
          <w:p w14:paraId="33FC6AC1">
            <w:pPr>
              <w:pStyle w:val="14"/>
            </w:pPr>
          </w:p>
        </w:tc>
        <w:tc>
          <w:tcPr>
            <w:tcW w:w="1474" w:type="dxa"/>
            <w:vAlign w:val="center"/>
          </w:tcPr>
          <w:p w14:paraId="00C61574">
            <w:pPr>
              <w:pStyle w:val="14"/>
            </w:pPr>
          </w:p>
        </w:tc>
      </w:tr>
      <w:tr w14:paraId="235AF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A82CB">
            <w:pPr>
              <w:pStyle w:val="12"/>
            </w:pPr>
            <w:r>
              <w:t>36</w:t>
            </w:r>
          </w:p>
        </w:tc>
        <w:tc>
          <w:tcPr>
            <w:tcW w:w="3402" w:type="dxa"/>
            <w:vAlign w:val="center"/>
          </w:tcPr>
          <w:p w14:paraId="45A0C809">
            <w:pPr>
              <w:pStyle w:val="13"/>
            </w:pPr>
            <w:r>
              <w:t>三、国有资本经营预算拨款</w:t>
            </w:r>
          </w:p>
        </w:tc>
        <w:tc>
          <w:tcPr>
            <w:tcW w:w="1474" w:type="dxa"/>
            <w:vAlign w:val="center"/>
          </w:tcPr>
          <w:p w14:paraId="7D55CC8D">
            <w:pPr>
              <w:pStyle w:val="14"/>
            </w:pPr>
          </w:p>
        </w:tc>
        <w:tc>
          <w:tcPr>
            <w:tcW w:w="3402" w:type="dxa"/>
            <w:vAlign w:val="center"/>
          </w:tcPr>
          <w:p w14:paraId="124695FE">
            <w:pPr>
              <w:pStyle w:val="13"/>
            </w:pPr>
          </w:p>
        </w:tc>
        <w:tc>
          <w:tcPr>
            <w:tcW w:w="1474" w:type="dxa"/>
            <w:vAlign w:val="center"/>
          </w:tcPr>
          <w:p w14:paraId="4B5CB971">
            <w:pPr>
              <w:pStyle w:val="14"/>
            </w:pPr>
          </w:p>
        </w:tc>
        <w:tc>
          <w:tcPr>
            <w:tcW w:w="1474" w:type="dxa"/>
            <w:vAlign w:val="center"/>
          </w:tcPr>
          <w:p w14:paraId="0AFD1AA4">
            <w:pPr>
              <w:pStyle w:val="14"/>
            </w:pPr>
          </w:p>
        </w:tc>
        <w:tc>
          <w:tcPr>
            <w:tcW w:w="1474" w:type="dxa"/>
            <w:vAlign w:val="center"/>
          </w:tcPr>
          <w:p w14:paraId="5741E664">
            <w:pPr>
              <w:pStyle w:val="14"/>
            </w:pPr>
          </w:p>
        </w:tc>
        <w:tc>
          <w:tcPr>
            <w:tcW w:w="1474" w:type="dxa"/>
            <w:vAlign w:val="center"/>
          </w:tcPr>
          <w:p w14:paraId="26D94884">
            <w:pPr>
              <w:pStyle w:val="14"/>
            </w:pPr>
          </w:p>
        </w:tc>
      </w:tr>
      <w:tr w14:paraId="7D30F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C99CD">
            <w:pPr>
              <w:pStyle w:val="12"/>
            </w:pPr>
            <w:r>
              <w:t>37</w:t>
            </w:r>
          </w:p>
        </w:tc>
        <w:tc>
          <w:tcPr>
            <w:tcW w:w="3402" w:type="dxa"/>
            <w:vAlign w:val="center"/>
          </w:tcPr>
          <w:p w14:paraId="430C9A73">
            <w:pPr>
              <w:pStyle w:val="15"/>
            </w:pPr>
            <w:r>
              <w:t>收入总计</w:t>
            </w:r>
          </w:p>
        </w:tc>
        <w:tc>
          <w:tcPr>
            <w:tcW w:w="1474" w:type="dxa"/>
            <w:vAlign w:val="center"/>
          </w:tcPr>
          <w:p w14:paraId="49A2E347">
            <w:pPr>
              <w:pStyle w:val="16"/>
            </w:pPr>
            <w:r>
              <w:t>1041.12</w:t>
            </w:r>
          </w:p>
        </w:tc>
        <w:tc>
          <w:tcPr>
            <w:tcW w:w="3402" w:type="dxa"/>
            <w:vAlign w:val="center"/>
          </w:tcPr>
          <w:p w14:paraId="78DACA13">
            <w:pPr>
              <w:pStyle w:val="15"/>
            </w:pPr>
            <w:r>
              <w:t>支出总计</w:t>
            </w:r>
          </w:p>
        </w:tc>
        <w:tc>
          <w:tcPr>
            <w:tcW w:w="1474" w:type="dxa"/>
            <w:vAlign w:val="center"/>
          </w:tcPr>
          <w:p w14:paraId="59B11B5C">
            <w:pPr>
              <w:pStyle w:val="16"/>
            </w:pPr>
            <w:r>
              <w:t>1041.12</w:t>
            </w:r>
          </w:p>
        </w:tc>
        <w:tc>
          <w:tcPr>
            <w:tcW w:w="1474" w:type="dxa"/>
            <w:vAlign w:val="center"/>
          </w:tcPr>
          <w:p w14:paraId="3A3D8D2C">
            <w:pPr>
              <w:pStyle w:val="16"/>
            </w:pPr>
            <w:r>
              <w:t>1041.12</w:t>
            </w:r>
          </w:p>
        </w:tc>
        <w:tc>
          <w:tcPr>
            <w:tcW w:w="1474" w:type="dxa"/>
            <w:vAlign w:val="center"/>
          </w:tcPr>
          <w:p w14:paraId="7018A982">
            <w:pPr>
              <w:pStyle w:val="16"/>
            </w:pPr>
          </w:p>
        </w:tc>
        <w:tc>
          <w:tcPr>
            <w:tcW w:w="1474" w:type="dxa"/>
            <w:vAlign w:val="center"/>
          </w:tcPr>
          <w:p w14:paraId="53B11868">
            <w:pPr>
              <w:pStyle w:val="16"/>
            </w:pPr>
          </w:p>
        </w:tc>
      </w:tr>
    </w:tbl>
    <w:p w14:paraId="7864744D">
      <w:pPr>
        <w:sectPr>
          <w:pgSz w:w="16840" w:h="11900" w:orient="landscape"/>
          <w:pgMar w:top="1361" w:right="1020" w:bottom="1134" w:left="1020" w:header="720" w:footer="720" w:gutter="0"/>
          <w:cols w:space="720" w:num="1"/>
        </w:sectPr>
      </w:pPr>
    </w:p>
    <w:p w14:paraId="3D502A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637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0C8AB2">
            <w:pPr>
              <w:pStyle w:val="8"/>
            </w:pPr>
            <w:r>
              <w:t>360032隆尧县双碑中学</w:t>
            </w:r>
          </w:p>
        </w:tc>
        <w:tc>
          <w:tcPr>
            <w:tcW w:w="2551" w:type="dxa"/>
            <w:tcBorders>
              <w:top w:val="single" w:color="FFFFFF" w:sz="6" w:space="0"/>
              <w:left w:val="single" w:color="FFFFFF" w:sz="6" w:space="0"/>
              <w:right w:val="single" w:color="FFFFFF" w:sz="6" w:space="0"/>
            </w:tcBorders>
            <w:vAlign w:val="center"/>
          </w:tcPr>
          <w:p w14:paraId="2241C96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ABCFD71">
            <w:pPr>
              <w:pStyle w:val="10"/>
            </w:pPr>
            <w:r>
              <w:t>单位：万元</w:t>
            </w:r>
          </w:p>
        </w:tc>
      </w:tr>
      <w:tr w14:paraId="03B99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C1C8D">
            <w:pPr>
              <w:pStyle w:val="11"/>
            </w:pPr>
            <w:r>
              <w:t>序号</w:t>
            </w:r>
          </w:p>
        </w:tc>
        <w:tc>
          <w:tcPr>
            <w:tcW w:w="5726" w:type="dxa"/>
            <w:gridSpan w:val="2"/>
            <w:vAlign w:val="center"/>
          </w:tcPr>
          <w:p w14:paraId="0D71EB0C">
            <w:pPr>
              <w:pStyle w:val="11"/>
            </w:pPr>
            <w:r>
              <w:t>功能分类科目</w:t>
            </w:r>
          </w:p>
        </w:tc>
        <w:tc>
          <w:tcPr>
            <w:tcW w:w="2551" w:type="dxa"/>
            <w:vMerge w:val="restart"/>
            <w:vAlign w:val="center"/>
          </w:tcPr>
          <w:p w14:paraId="16B1861F">
            <w:pPr>
              <w:pStyle w:val="11"/>
            </w:pPr>
            <w:r>
              <w:t>合计</w:t>
            </w:r>
          </w:p>
        </w:tc>
        <w:tc>
          <w:tcPr>
            <w:tcW w:w="2551" w:type="dxa"/>
            <w:vMerge w:val="restart"/>
            <w:vAlign w:val="center"/>
          </w:tcPr>
          <w:p w14:paraId="5D7896F6">
            <w:pPr>
              <w:pStyle w:val="11"/>
            </w:pPr>
            <w:r>
              <w:t>基本支出</w:t>
            </w:r>
          </w:p>
        </w:tc>
        <w:tc>
          <w:tcPr>
            <w:tcW w:w="2551" w:type="dxa"/>
            <w:vMerge w:val="restart"/>
            <w:vAlign w:val="center"/>
          </w:tcPr>
          <w:p w14:paraId="3B468986">
            <w:pPr>
              <w:pStyle w:val="11"/>
            </w:pPr>
            <w:r>
              <w:t>项目支出</w:t>
            </w:r>
          </w:p>
        </w:tc>
      </w:tr>
      <w:tr w14:paraId="70509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1296B"/>
        </w:tc>
        <w:tc>
          <w:tcPr>
            <w:tcW w:w="1191" w:type="dxa"/>
            <w:vAlign w:val="center"/>
          </w:tcPr>
          <w:p w14:paraId="1DBA7DB2">
            <w:pPr>
              <w:pStyle w:val="11"/>
            </w:pPr>
            <w:r>
              <w:t>科目编码</w:t>
            </w:r>
          </w:p>
        </w:tc>
        <w:tc>
          <w:tcPr>
            <w:tcW w:w="4535" w:type="dxa"/>
            <w:vAlign w:val="center"/>
          </w:tcPr>
          <w:p w14:paraId="2875F9EC">
            <w:pPr>
              <w:pStyle w:val="11"/>
            </w:pPr>
            <w:r>
              <w:t>科目名称</w:t>
            </w:r>
          </w:p>
        </w:tc>
        <w:tc>
          <w:tcPr>
            <w:tcW w:w="2551" w:type="dxa"/>
            <w:vMerge w:val="continue"/>
          </w:tcPr>
          <w:p w14:paraId="008CFE25"/>
        </w:tc>
        <w:tc>
          <w:tcPr>
            <w:tcW w:w="2551" w:type="dxa"/>
            <w:vMerge w:val="continue"/>
          </w:tcPr>
          <w:p w14:paraId="12CD3ACD"/>
        </w:tc>
        <w:tc>
          <w:tcPr>
            <w:tcW w:w="2551" w:type="dxa"/>
            <w:vMerge w:val="continue"/>
          </w:tcPr>
          <w:p w14:paraId="77EBB69B"/>
        </w:tc>
      </w:tr>
      <w:tr w14:paraId="6589E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718214">
            <w:pPr>
              <w:pStyle w:val="11"/>
            </w:pPr>
            <w:r>
              <w:t>栏次</w:t>
            </w:r>
          </w:p>
        </w:tc>
        <w:tc>
          <w:tcPr>
            <w:tcW w:w="1191" w:type="dxa"/>
            <w:vAlign w:val="center"/>
          </w:tcPr>
          <w:p w14:paraId="1B6A606F">
            <w:pPr>
              <w:pStyle w:val="11"/>
            </w:pPr>
            <w:r>
              <w:t>1</w:t>
            </w:r>
          </w:p>
        </w:tc>
        <w:tc>
          <w:tcPr>
            <w:tcW w:w="4535" w:type="dxa"/>
            <w:vAlign w:val="center"/>
          </w:tcPr>
          <w:p w14:paraId="5E3B2EA2">
            <w:pPr>
              <w:pStyle w:val="11"/>
            </w:pPr>
            <w:r>
              <w:t>2</w:t>
            </w:r>
          </w:p>
        </w:tc>
        <w:tc>
          <w:tcPr>
            <w:tcW w:w="2551" w:type="dxa"/>
            <w:vAlign w:val="center"/>
          </w:tcPr>
          <w:p w14:paraId="2EAF1A62">
            <w:pPr>
              <w:pStyle w:val="11"/>
            </w:pPr>
            <w:r>
              <w:t>3</w:t>
            </w:r>
          </w:p>
        </w:tc>
        <w:tc>
          <w:tcPr>
            <w:tcW w:w="2551" w:type="dxa"/>
            <w:vAlign w:val="center"/>
          </w:tcPr>
          <w:p w14:paraId="58F675DD">
            <w:pPr>
              <w:pStyle w:val="11"/>
            </w:pPr>
            <w:r>
              <w:t>4</w:t>
            </w:r>
          </w:p>
        </w:tc>
        <w:tc>
          <w:tcPr>
            <w:tcW w:w="2551" w:type="dxa"/>
            <w:vAlign w:val="center"/>
          </w:tcPr>
          <w:p w14:paraId="58C2B716">
            <w:pPr>
              <w:pStyle w:val="11"/>
            </w:pPr>
            <w:r>
              <w:t>5</w:t>
            </w:r>
          </w:p>
        </w:tc>
      </w:tr>
      <w:tr w14:paraId="2DDE4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5C507">
            <w:pPr>
              <w:pStyle w:val="12"/>
            </w:pPr>
            <w:r>
              <w:t>1</w:t>
            </w:r>
          </w:p>
        </w:tc>
        <w:tc>
          <w:tcPr>
            <w:tcW w:w="1191" w:type="dxa"/>
            <w:vAlign w:val="center"/>
          </w:tcPr>
          <w:p w14:paraId="4A12198A">
            <w:pPr>
              <w:pStyle w:val="17"/>
            </w:pPr>
          </w:p>
        </w:tc>
        <w:tc>
          <w:tcPr>
            <w:tcW w:w="4535" w:type="dxa"/>
            <w:vAlign w:val="center"/>
          </w:tcPr>
          <w:p w14:paraId="03ADB796">
            <w:pPr>
              <w:pStyle w:val="15"/>
            </w:pPr>
            <w:r>
              <w:t>合计</w:t>
            </w:r>
          </w:p>
        </w:tc>
        <w:tc>
          <w:tcPr>
            <w:tcW w:w="2551" w:type="dxa"/>
            <w:vAlign w:val="center"/>
          </w:tcPr>
          <w:p w14:paraId="133AB5A1">
            <w:pPr>
              <w:pStyle w:val="16"/>
            </w:pPr>
            <w:r>
              <w:t>1041.12</w:t>
            </w:r>
          </w:p>
        </w:tc>
        <w:tc>
          <w:tcPr>
            <w:tcW w:w="2551" w:type="dxa"/>
            <w:vAlign w:val="center"/>
          </w:tcPr>
          <w:p w14:paraId="203B840E">
            <w:pPr>
              <w:pStyle w:val="16"/>
            </w:pPr>
            <w:r>
              <w:t>809.80</w:t>
            </w:r>
          </w:p>
        </w:tc>
        <w:tc>
          <w:tcPr>
            <w:tcW w:w="2551" w:type="dxa"/>
            <w:vAlign w:val="center"/>
          </w:tcPr>
          <w:p w14:paraId="7B59FF45">
            <w:pPr>
              <w:pStyle w:val="16"/>
            </w:pPr>
            <w:r>
              <w:t>231.32</w:t>
            </w:r>
          </w:p>
        </w:tc>
      </w:tr>
      <w:tr w14:paraId="2BF94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5E7E0">
            <w:pPr>
              <w:pStyle w:val="12"/>
            </w:pPr>
            <w:r>
              <w:t>2</w:t>
            </w:r>
          </w:p>
        </w:tc>
        <w:tc>
          <w:tcPr>
            <w:tcW w:w="1191" w:type="dxa"/>
            <w:vAlign w:val="center"/>
          </w:tcPr>
          <w:p w14:paraId="38445A54">
            <w:pPr>
              <w:pStyle w:val="13"/>
            </w:pPr>
            <w:r>
              <w:t>205</w:t>
            </w:r>
          </w:p>
        </w:tc>
        <w:tc>
          <w:tcPr>
            <w:tcW w:w="4535" w:type="dxa"/>
            <w:vAlign w:val="center"/>
          </w:tcPr>
          <w:p w14:paraId="1922481A">
            <w:pPr>
              <w:pStyle w:val="13"/>
            </w:pPr>
            <w:r>
              <w:t>教育支出</w:t>
            </w:r>
          </w:p>
        </w:tc>
        <w:tc>
          <w:tcPr>
            <w:tcW w:w="2551" w:type="dxa"/>
            <w:vAlign w:val="center"/>
          </w:tcPr>
          <w:p w14:paraId="690679C8">
            <w:pPr>
              <w:pStyle w:val="14"/>
            </w:pPr>
            <w:r>
              <w:t>1041.12</w:t>
            </w:r>
          </w:p>
        </w:tc>
        <w:tc>
          <w:tcPr>
            <w:tcW w:w="2551" w:type="dxa"/>
            <w:vAlign w:val="center"/>
          </w:tcPr>
          <w:p w14:paraId="10258D5E">
            <w:pPr>
              <w:pStyle w:val="14"/>
            </w:pPr>
            <w:r>
              <w:t>809.80</w:t>
            </w:r>
          </w:p>
        </w:tc>
        <w:tc>
          <w:tcPr>
            <w:tcW w:w="2551" w:type="dxa"/>
            <w:vAlign w:val="center"/>
          </w:tcPr>
          <w:p w14:paraId="0043B25A">
            <w:pPr>
              <w:pStyle w:val="14"/>
            </w:pPr>
            <w:r>
              <w:t>231.32</w:t>
            </w:r>
          </w:p>
        </w:tc>
      </w:tr>
      <w:tr w14:paraId="776FE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3A734">
            <w:pPr>
              <w:pStyle w:val="12"/>
            </w:pPr>
            <w:r>
              <w:t>3</w:t>
            </w:r>
          </w:p>
        </w:tc>
        <w:tc>
          <w:tcPr>
            <w:tcW w:w="1191" w:type="dxa"/>
            <w:vAlign w:val="center"/>
          </w:tcPr>
          <w:p w14:paraId="0891FB38">
            <w:pPr>
              <w:pStyle w:val="13"/>
            </w:pPr>
            <w:r>
              <w:t>20502</w:t>
            </w:r>
          </w:p>
        </w:tc>
        <w:tc>
          <w:tcPr>
            <w:tcW w:w="4535" w:type="dxa"/>
            <w:vAlign w:val="center"/>
          </w:tcPr>
          <w:p w14:paraId="262F6CF6">
            <w:pPr>
              <w:pStyle w:val="13"/>
            </w:pPr>
            <w:r>
              <w:t>普通教育</w:t>
            </w:r>
          </w:p>
        </w:tc>
        <w:tc>
          <w:tcPr>
            <w:tcW w:w="2551" w:type="dxa"/>
            <w:vAlign w:val="center"/>
          </w:tcPr>
          <w:p w14:paraId="2CB25174">
            <w:pPr>
              <w:pStyle w:val="14"/>
            </w:pPr>
            <w:r>
              <w:t>1041.12</w:t>
            </w:r>
          </w:p>
        </w:tc>
        <w:tc>
          <w:tcPr>
            <w:tcW w:w="2551" w:type="dxa"/>
            <w:vAlign w:val="center"/>
          </w:tcPr>
          <w:p w14:paraId="2AD4E44F">
            <w:pPr>
              <w:pStyle w:val="14"/>
            </w:pPr>
            <w:r>
              <w:t>809.80</w:t>
            </w:r>
          </w:p>
        </w:tc>
        <w:tc>
          <w:tcPr>
            <w:tcW w:w="2551" w:type="dxa"/>
            <w:vAlign w:val="center"/>
          </w:tcPr>
          <w:p w14:paraId="10824A7A">
            <w:pPr>
              <w:pStyle w:val="14"/>
            </w:pPr>
            <w:r>
              <w:t>231.32</w:t>
            </w:r>
          </w:p>
        </w:tc>
      </w:tr>
      <w:tr w14:paraId="63699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6EADF">
            <w:pPr>
              <w:pStyle w:val="12"/>
            </w:pPr>
            <w:r>
              <w:t>4</w:t>
            </w:r>
          </w:p>
        </w:tc>
        <w:tc>
          <w:tcPr>
            <w:tcW w:w="1191" w:type="dxa"/>
            <w:vAlign w:val="center"/>
          </w:tcPr>
          <w:p w14:paraId="406FCF5B">
            <w:pPr>
              <w:pStyle w:val="13"/>
            </w:pPr>
            <w:r>
              <w:t>2050203</w:t>
            </w:r>
          </w:p>
        </w:tc>
        <w:tc>
          <w:tcPr>
            <w:tcW w:w="4535" w:type="dxa"/>
            <w:vAlign w:val="center"/>
          </w:tcPr>
          <w:p w14:paraId="2DA3BB9A">
            <w:pPr>
              <w:pStyle w:val="13"/>
            </w:pPr>
            <w:r>
              <w:t>初中教育</w:t>
            </w:r>
          </w:p>
        </w:tc>
        <w:tc>
          <w:tcPr>
            <w:tcW w:w="2551" w:type="dxa"/>
            <w:vAlign w:val="center"/>
          </w:tcPr>
          <w:p w14:paraId="15E847C8">
            <w:pPr>
              <w:pStyle w:val="14"/>
            </w:pPr>
            <w:r>
              <w:t>1041.12</w:t>
            </w:r>
          </w:p>
        </w:tc>
        <w:tc>
          <w:tcPr>
            <w:tcW w:w="2551" w:type="dxa"/>
            <w:vAlign w:val="center"/>
          </w:tcPr>
          <w:p w14:paraId="43AAD542">
            <w:pPr>
              <w:pStyle w:val="14"/>
            </w:pPr>
            <w:r>
              <w:t>809.80</w:t>
            </w:r>
          </w:p>
        </w:tc>
        <w:tc>
          <w:tcPr>
            <w:tcW w:w="2551" w:type="dxa"/>
            <w:vAlign w:val="center"/>
          </w:tcPr>
          <w:p w14:paraId="784C2D80">
            <w:pPr>
              <w:pStyle w:val="14"/>
            </w:pPr>
            <w:r>
              <w:t>231.32</w:t>
            </w:r>
          </w:p>
        </w:tc>
      </w:tr>
    </w:tbl>
    <w:p w14:paraId="4F1B6C3C">
      <w:pPr>
        <w:sectPr>
          <w:pgSz w:w="16840" w:h="11900" w:orient="landscape"/>
          <w:pgMar w:top="1361" w:right="1020" w:bottom="1134" w:left="1020" w:header="720" w:footer="720" w:gutter="0"/>
          <w:cols w:space="720" w:num="1"/>
        </w:sectPr>
      </w:pPr>
    </w:p>
    <w:p w14:paraId="01283B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6F6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E17F62">
            <w:pPr>
              <w:pStyle w:val="8"/>
            </w:pPr>
            <w:r>
              <w:t>360032隆尧县双碑中学</w:t>
            </w:r>
          </w:p>
        </w:tc>
        <w:tc>
          <w:tcPr>
            <w:tcW w:w="2551" w:type="dxa"/>
            <w:tcBorders>
              <w:top w:val="single" w:color="FFFFFF" w:sz="6" w:space="0"/>
              <w:left w:val="single" w:color="FFFFFF" w:sz="6" w:space="0"/>
              <w:right w:val="single" w:color="FFFFFF" w:sz="6" w:space="0"/>
            </w:tcBorders>
            <w:vAlign w:val="center"/>
          </w:tcPr>
          <w:p w14:paraId="2D1CA61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C50465C">
            <w:pPr>
              <w:pStyle w:val="10"/>
            </w:pPr>
            <w:r>
              <w:t>单位：万元</w:t>
            </w:r>
          </w:p>
        </w:tc>
      </w:tr>
      <w:tr w14:paraId="08913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7A018">
            <w:pPr>
              <w:pStyle w:val="11"/>
            </w:pPr>
            <w:r>
              <w:t>序号</w:t>
            </w:r>
          </w:p>
        </w:tc>
        <w:tc>
          <w:tcPr>
            <w:tcW w:w="5726" w:type="dxa"/>
            <w:gridSpan w:val="2"/>
            <w:vAlign w:val="center"/>
          </w:tcPr>
          <w:p w14:paraId="5FF85FE3">
            <w:pPr>
              <w:pStyle w:val="11"/>
            </w:pPr>
            <w:r>
              <w:t>支出部门经济分类科目</w:t>
            </w:r>
          </w:p>
        </w:tc>
        <w:tc>
          <w:tcPr>
            <w:tcW w:w="7653" w:type="dxa"/>
            <w:gridSpan w:val="3"/>
            <w:vAlign w:val="center"/>
          </w:tcPr>
          <w:p w14:paraId="4544BD07">
            <w:pPr>
              <w:pStyle w:val="11"/>
            </w:pPr>
            <w:r>
              <w:t>一般公共预算基本支出</w:t>
            </w:r>
          </w:p>
        </w:tc>
      </w:tr>
      <w:tr w14:paraId="55EC6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A2898B"/>
        </w:tc>
        <w:tc>
          <w:tcPr>
            <w:tcW w:w="1191" w:type="dxa"/>
            <w:vAlign w:val="center"/>
          </w:tcPr>
          <w:p w14:paraId="1A87F942">
            <w:pPr>
              <w:pStyle w:val="11"/>
            </w:pPr>
            <w:r>
              <w:t>科目编码</w:t>
            </w:r>
          </w:p>
        </w:tc>
        <w:tc>
          <w:tcPr>
            <w:tcW w:w="4535" w:type="dxa"/>
            <w:vAlign w:val="center"/>
          </w:tcPr>
          <w:p w14:paraId="300D548E">
            <w:pPr>
              <w:pStyle w:val="11"/>
            </w:pPr>
            <w:r>
              <w:t>科目名称</w:t>
            </w:r>
          </w:p>
        </w:tc>
        <w:tc>
          <w:tcPr>
            <w:tcW w:w="2551" w:type="dxa"/>
            <w:vAlign w:val="center"/>
          </w:tcPr>
          <w:p w14:paraId="3619554B">
            <w:pPr>
              <w:pStyle w:val="11"/>
            </w:pPr>
            <w:r>
              <w:t>合计</w:t>
            </w:r>
          </w:p>
        </w:tc>
        <w:tc>
          <w:tcPr>
            <w:tcW w:w="2551" w:type="dxa"/>
            <w:vAlign w:val="center"/>
          </w:tcPr>
          <w:p w14:paraId="208C86CA">
            <w:pPr>
              <w:pStyle w:val="11"/>
            </w:pPr>
            <w:r>
              <w:t>人员经费</w:t>
            </w:r>
          </w:p>
        </w:tc>
        <w:tc>
          <w:tcPr>
            <w:tcW w:w="2551" w:type="dxa"/>
            <w:vAlign w:val="center"/>
          </w:tcPr>
          <w:p w14:paraId="1EBC680E">
            <w:pPr>
              <w:pStyle w:val="11"/>
            </w:pPr>
            <w:r>
              <w:t>公用经费</w:t>
            </w:r>
          </w:p>
        </w:tc>
      </w:tr>
      <w:tr w14:paraId="59D57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9F2E5D">
            <w:pPr>
              <w:pStyle w:val="11"/>
            </w:pPr>
            <w:r>
              <w:t>栏次</w:t>
            </w:r>
          </w:p>
        </w:tc>
        <w:tc>
          <w:tcPr>
            <w:tcW w:w="1191" w:type="dxa"/>
            <w:vAlign w:val="center"/>
          </w:tcPr>
          <w:p w14:paraId="20B19183">
            <w:pPr>
              <w:pStyle w:val="11"/>
            </w:pPr>
            <w:r>
              <w:t>1</w:t>
            </w:r>
          </w:p>
        </w:tc>
        <w:tc>
          <w:tcPr>
            <w:tcW w:w="4535" w:type="dxa"/>
            <w:vAlign w:val="center"/>
          </w:tcPr>
          <w:p w14:paraId="317C588C">
            <w:pPr>
              <w:pStyle w:val="11"/>
            </w:pPr>
            <w:r>
              <w:t>2</w:t>
            </w:r>
          </w:p>
        </w:tc>
        <w:tc>
          <w:tcPr>
            <w:tcW w:w="2551" w:type="dxa"/>
            <w:vAlign w:val="center"/>
          </w:tcPr>
          <w:p w14:paraId="3AF8B563">
            <w:pPr>
              <w:pStyle w:val="11"/>
            </w:pPr>
            <w:r>
              <w:t>3</w:t>
            </w:r>
          </w:p>
        </w:tc>
        <w:tc>
          <w:tcPr>
            <w:tcW w:w="2551" w:type="dxa"/>
            <w:vAlign w:val="center"/>
          </w:tcPr>
          <w:p w14:paraId="4398A334">
            <w:pPr>
              <w:pStyle w:val="11"/>
            </w:pPr>
            <w:r>
              <w:t>4</w:t>
            </w:r>
          </w:p>
        </w:tc>
        <w:tc>
          <w:tcPr>
            <w:tcW w:w="2551" w:type="dxa"/>
            <w:vAlign w:val="center"/>
          </w:tcPr>
          <w:p w14:paraId="1EDFFE31">
            <w:pPr>
              <w:pStyle w:val="11"/>
            </w:pPr>
            <w:r>
              <w:t>5</w:t>
            </w:r>
          </w:p>
        </w:tc>
      </w:tr>
      <w:tr w14:paraId="1D6E6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F1BE7">
            <w:pPr>
              <w:pStyle w:val="12"/>
            </w:pPr>
            <w:r>
              <w:t>1</w:t>
            </w:r>
          </w:p>
        </w:tc>
        <w:tc>
          <w:tcPr>
            <w:tcW w:w="1191" w:type="dxa"/>
            <w:vAlign w:val="center"/>
          </w:tcPr>
          <w:p w14:paraId="01338112">
            <w:pPr>
              <w:pStyle w:val="17"/>
            </w:pPr>
          </w:p>
        </w:tc>
        <w:tc>
          <w:tcPr>
            <w:tcW w:w="4535" w:type="dxa"/>
            <w:vAlign w:val="center"/>
          </w:tcPr>
          <w:p w14:paraId="66E39F83">
            <w:pPr>
              <w:pStyle w:val="15"/>
            </w:pPr>
            <w:r>
              <w:t>合计</w:t>
            </w:r>
          </w:p>
        </w:tc>
        <w:tc>
          <w:tcPr>
            <w:tcW w:w="2551" w:type="dxa"/>
            <w:vAlign w:val="center"/>
          </w:tcPr>
          <w:p w14:paraId="0788C019">
            <w:pPr>
              <w:pStyle w:val="16"/>
            </w:pPr>
            <w:r>
              <w:t>809.80</w:t>
            </w:r>
          </w:p>
        </w:tc>
        <w:tc>
          <w:tcPr>
            <w:tcW w:w="2551" w:type="dxa"/>
            <w:vAlign w:val="center"/>
          </w:tcPr>
          <w:p w14:paraId="3192346D">
            <w:pPr>
              <w:pStyle w:val="16"/>
            </w:pPr>
            <w:r>
              <w:t>809.80</w:t>
            </w:r>
          </w:p>
        </w:tc>
        <w:tc>
          <w:tcPr>
            <w:tcW w:w="2551" w:type="dxa"/>
            <w:vAlign w:val="center"/>
          </w:tcPr>
          <w:p w14:paraId="683C0CD9">
            <w:pPr>
              <w:pStyle w:val="16"/>
            </w:pPr>
          </w:p>
        </w:tc>
      </w:tr>
      <w:tr w14:paraId="3C376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59305">
            <w:pPr>
              <w:pStyle w:val="12"/>
            </w:pPr>
            <w:r>
              <w:t>2</w:t>
            </w:r>
          </w:p>
        </w:tc>
        <w:tc>
          <w:tcPr>
            <w:tcW w:w="1191" w:type="dxa"/>
            <w:vAlign w:val="center"/>
          </w:tcPr>
          <w:p w14:paraId="371C0916">
            <w:pPr>
              <w:pStyle w:val="13"/>
            </w:pPr>
            <w:r>
              <w:t>301</w:t>
            </w:r>
          </w:p>
        </w:tc>
        <w:tc>
          <w:tcPr>
            <w:tcW w:w="4535" w:type="dxa"/>
            <w:vAlign w:val="center"/>
          </w:tcPr>
          <w:p w14:paraId="0D0B6DBB">
            <w:pPr>
              <w:pStyle w:val="13"/>
            </w:pPr>
            <w:r>
              <w:t>工资福利支出</w:t>
            </w:r>
          </w:p>
        </w:tc>
        <w:tc>
          <w:tcPr>
            <w:tcW w:w="2551" w:type="dxa"/>
            <w:vAlign w:val="center"/>
          </w:tcPr>
          <w:p w14:paraId="320B5B67">
            <w:pPr>
              <w:pStyle w:val="14"/>
            </w:pPr>
            <w:r>
              <w:t>797.73</w:t>
            </w:r>
          </w:p>
        </w:tc>
        <w:tc>
          <w:tcPr>
            <w:tcW w:w="2551" w:type="dxa"/>
            <w:vAlign w:val="center"/>
          </w:tcPr>
          <w:p w14:paraId="3FFD6563">
            <w:pPr>
              <w:pStyle w:val="14"/>
            </w:pPr>
            <w:r>
              <w:t>797.73</w:t>
            </w:r>
          </w:p>
        </w:tc>
        <w:tc>
          <w:tcPr>
            <w:tcW w:w="2551" w:type="dxa"/>
            <w:vAlign w:val="center"/>
          </w:tcPr>
          <w:p w14:paraId="5EE50FBA">
            <w:pPr>
              <w:pStyle w:val="14"/>
            </w:pPr>
          </w:p>
        </w:tc>
      </w:tr>
      <w:tr w14:paraId="184FC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82A20">
            <w:pPr>
              <w:pStyle w:val="12"/>
            </w:pPr>
            <w:r>
              <w:t>3</w:t>
            </w:r>
          </w:p>
        </w:tc>
        <w:tc>
          <w:tcPr>
            <w:tcW w:w="1191" w:type="dxa"/>
            <w:vAlign w:val="center"/>
          </w:tcPr>
          <w:p w14:paraId="262869AA">
            <w:pPr>
              <w:pStyle w:val="13"/>
            </w:pPr>
            <w:r>
              <w:t>30101</w:t>
            </w:r>
          </w:p>
        </w:tc>
        <w:tc>
          <w:tcPr>
            <w:tcW w:w="4535" w:type="dxa"/>
            <w:vAlign w:val="center"/>
          </w:tcPr>
          <w:p w14:paraId="1ED05D76">
            <w:pPr>
              <w:pStyle w:val="13"/>
            </w:pPr>
            <w:r>
              <w:t>基本工资</w:t>
            </w:r>
          </w:p>
        </w:tc>
        <w:tc>
          <w:tcPr>
            <w:tcW w:w="2551" w:type="dxa"/>
            <w:vAlign w:val="center"/>
          </w:tcPr>
          <w:p w14:paraId="178F9F92">
            <w:pPr>
              <w:pStyle w:val="14"/>
            </w:pPr>
            <w:r>
              <w:t>376.78</w:t>
            </w:r>
          </w:p>
        </w:tc>
        <w:tc>
          <w:tcPr>
            <w:tcW w:w="2551" w:type="dxa"/>
            <w:vAlign w:val="center"/>
          </w:tcPr>
          <w:p w14:paraId="4BBFA7D2">
            <w:pPr>
              <w:pStyle w:val="14"/>
            </w:pPr>
            <w:r>
              <w:t>376.78</w:t>
            </w:r>
          </w:p>
        </w:tc>
        <w:tc>
          <w:tcPr>
            <w:tcW w:w="2551" w:type="dxa"/>
            <w:vAlign w:val="center"/>
          </w:tcPr>
          <w:p w14:paraId="22876FE5">
            <w:pPr>
              <w:pStyle w:val="14"/>
            </w:pPr>
          </w:p>
        </w:tc>
      </w:tr>
      <w:tr w14:paraId="7BEE6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2D327">
            <w:pPr>
              <w:pStyle w:val="12"/>
            </w:pPr>
            <w:r>
              <w:t>4</w:t>
            </w:r>
          </w:p>
        </w:tc>
        <w:tc>
          <w:tcPr>
            <w:tcW w:w="1191" w:type="dxa"/>
            <w:vAlign w:val="center"/>
          </w:tcPr>
          <w:p w14:paraId="02B050F0">
            <w:pPr>
              <w:pStyle w:val="13"/>
            </w:pPr>
            <w:r>
              <w:t>30102</w:t>
            </w:r>
          </w:p>
        </w:tc>
        <w:tc>
          <w:tcPr>
            <w:tcW w:w="4535" w:type="dxa"/>
            <w:vAlign w:val="center"/>
          </w:tcPr>
          <w:p w14:paraId="65EAD0B6">
            <w:pPr>
              <w:pStyle w:val="13"/>
            </w:pPr>
            <w:r>
              <w:t>津贴补贴</w:t>
            </w:r>
          </w:p>
        </w:tc>
        <w:tc>
          <w:tcPr>
            <w:tcW w:w="2551" w:type="dxa"/>
            <w:vAlign w:val="center"/>
          </w:tcPr>
          <w:p w14:paraId="221FE21B">
            <w:pPr>
              <w:pStyle w:val="14"/>
            </w:pPr>
            <w:r>
              <w:t>35.29</w:t>
            </w:r>
          </w:p>
        </w:tc>
        <w:tc>
          <w:tcPr>
            <w:tcW w:w="2551" w:type="dxa"/>
            <w:vAlign w:val="center"/>
          </w:tcPr>
          <w:p w14:paraId="1A6802F2">
            <w:pPr>
              <w:pStyle w:val="14"/>
            </w:pPr>
            <w:r>
              <w:t>35.29</w:t>
            </w:r>
          </w:p>
        </w:tc>
        <w:tc>
          <w:tcPr>
            <w:tcW w:w="2551" w:type="dxa"/>
            <w:vAlign w:val="center"/>
          </w:tcPr>
          <w:p w14:paraId="64E8A126">
            <w:pPr>
              <w:pStyle w:val="14"/>
            </w:pPr>
          </w:p>
        </w:tc>
      </w:tr>
      <w:tr w14:paraId="79799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15AE8">
            <w:pPr>
              <w:pStyle w:val="12"/>
            </w:pPr>
            <w:r>
              <w:t>5</w:t>
            </w:r>
          </w:p>
        </w:tc>
        <w:tc>
          <w:tcPr>
            <w:tcW w:w="1191" w:type="dxa"/>
            <w:vAlign w:val="center"/>
          </w:tcPr>
          <w:p w14:paraId="5A4B21CE">
            <w:pPr>
              <w:pStyle w:val="13"/>
            </w:pPr>
            <w:r>
              <w:t>30107</w:t>
            </w:r>
          </w:p>
        </w:tc>
        <w:tc>
          <w:tcPr>
            <w:tcW w:w="4535" w:type="dxa"/>
            <w:vAlign w:val="center"/>
          </w:tcPr>
          <w:p w14:paraId="17490A0A">
            <w:pPr>
              <w:pStyle w:val="13"/>
            </w:pPr>
            <w:r>
              <w:t>绩效工资</w:t>
            </w:r>
          </w:p>
        </w:tc>
        <w:tc>
          <w:tcPr>
            <w:tcW w:w="2551" w:type="dxa"/>
            <w:vAlign w:val="center"/>
          </w:tcPr>
          <w:p w14:paraId="32893BAE">
            <w:pPr>
              <w:pStyle w:val="14"/>
            </w:pPr>
            <w:r>
              <w:t>213.22</w:t>
            </w:r>
          </w:p>
        </w:tc>
        <w:tc>
          <w:tcPr>
            <w:tcW w:w="2551" w:type="dxa"/>
            <w:vAlign w:val="center"/>
          </w:tcPr>
          <w:p w14:paraId="07DAAACD">
            <w:pPr>
              <w:pStyle w:val="14"/>
            </w:pPr>
            <w:r>
              <w:t>213.22</w:t>
            </w:r>
          </w:p>
        </w:tc>
        <w:tc>
          <w:tcPr>
            <w:tcW w:w="2551" w:type="dxa"/>
            <w:vAlign w:val="center"/>
          </w:tcPr>
          <w:p w14:paraId="4A4C9F9A">
            <w:pPr>
              <w:pStyle w:val="14"/>
            </w:pPr>
          </w:p>
        </w:tc>
      </w:tr>
      <w:tr w14:paraId="4F131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EE10F">
            <w:pPr>
              <w:pStyle w:val="12"/>
            </w:pPr>
            <w:r>
              <w:t>6</w:t>
            </w:r>
          </w:p>
        </w:tc>
        <w:tc>
          <w:tcPr>
            <w:tcW w:w="1191" w:type="dxa"/>
            <w:vAlign w:val="center"/>
          </w:tcPr>
          <w:p w14:paraId="2AF6EF8B">
            <w:pPr>
              <w:pStyle w:val="13"/>
            </w:pPr>
            <w:r>
              <w:t>30108</w:t>
            </w:r>
          </w:p>
        </w:tc>
        <w:tc>
          <w:tcPr>
            <w:tcW w:w="4535" w:type="dxa"/>
            <w:vAlign w:val="center"/>
          </w:tcPr>
          <w:p w14:paraId="69604282">
            <w:pPr>
              <w:pStyle w:val="13"/>
            </w:pPr>
            <w:r>
              <w:t>机关事业单位基本养老保险缴费</w:t>
            </w:r>
          </w:p>
        </w:tc>
        <w:tc>
          <w:tcPr>
            <w:tcW w:w="2551" w:type="dxa"/>
            <w:vAlign w:val="center"/>
          </w:tcPr>
          <w:p w14:paraId="67FF86CB">
            <w:pPr>
              <w:pStyle w:val="14"/>
            </w:pPr>
            <w:r>
              <w:t>73.89</w:t>
            </w:r>
          </w:p>
        </w:tc>
        <w:tc>
          <w:tcPr>
            <w:tcW w:w="2551" w:type="dxa"/>
            <w:vAlign w:val="center"/>
          </w:tcPr>
          <w:p w14:paraId="262B1CDE">
            <w:pPr>
              <w:pStyle w:val="14"/>
            </w:pPr>
            <w:r>
              <w:t>73.89</w:t>
            </w:r>
          </w:p>
        </w:tc>
        <w:tc>
          <w:tcPr>
            <w:tcW w:w="2551" w:type="dxa"/>
            <w:vAlign w:val="center"/>
          </w:tcPr>
          <w:p w14:paraId="3B315146">
            <w:pPr>
              <w:pStyle w:val="14"/>
            </w:pPr>
          </w:p>
        </w:tc>
      </w:tr>
      <w:tr w14:paraId="4AE11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5E2FBDE">
            <w:pPr>
              <w:pStyle w:val="12"/>
            </w:pPr>
            <w:r>
              <w:t>7</w:t>
            </w:r>
          </w:p>
        </w:tc>
        <w:tc>
          <w:tcPr>
            <w:tcW w:w="1191" w:type="dxa"/>
            <w:vAlign w:val="center"/>
          </w:tcPr>
          <w:p w14:paraId="7817A9A3">
            <w:pPr>
              <w:pStyle w:val="13"/>
            </w:pPr>
            <w:r>
              <w:t>30110</w:t>
            </w:r>
          </w:p>
        </w:tc>
        <w:tc>
          <w:tcPr>
            <w:tcW w:w="4535" w:type="dxa"/>
            <w:vAlign w:val="center"/>
          </w:tcPr>
          <w:p w14:paraId="00B71EE4">
            <w:pPr>
              <w:pStyle w:val="13"/>
            </w:pPr>
            <w:r>
              <w:t>职工基本医疗保险缴费</w:t>
            </w:r>
          </w:p>
        </w:tc>
        <w:tc>
          <w:tcPr>
            <w:tcW w:w="2551" w:type="dxa"/>
            <w:vAlign w:val="center"/>
          </w:tcPr>
          <w:p w14:paraId="1B4B77A6">
            <w:pPr>
              <w:pStyle w:val="14"/>
            </w:pPr>
            <w:r>
              <w:t>36.01</w:t>
            </w:r>
          </w:p>
        </w:tc>
        <w:tc>
          <w:tcPr>
            <w:tcW w:w="2551" w:type="dxa"/>
            <w:vAlign w:val="center"/>
          </w:tcPr>
          <w:p w14:paraId="0999D7FA">
            <w:pPr>
              <w:pStyle w:val="14"/>
            </w:pPr>
            <w:r>
              <w:t>36.01</w:t>
            </w:r>
          </w:p>
        </w:tc>
        <w:tc>
          <w:tcPr>
            <w:tcW w:w="2551" w:type="dxa"/>
            <w:vAlign w:val="center"/>
          </w:tcPr>
          <w:p w14:paraId="24043B80">
            <w:pPr>
              <w:pStyle w:val="14"/>
            </w:pPr>
          </w:p>
        </w:tc>
      </w:tr>
      <w:tr w14:paraId="773D1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588DD">
            <w:pPr>
              <w:pStyle w:val="12"/>
            </w:pPr>
            <w:r>
              <w:t>8</w:t>
            </w:r>
          </w:p>
        </w:tc>
        <w:tc>
          <w:tcPr>
            <w:tcW w:w="1191" w:type="dxa"/>
            <w:vAlign w:val="center"/>
          </w:tcPr>
          <w:p w14:paraId="4D9DC207">
            <w:pPr>
              <w:pStyle w:val="13"/>
            </w:pPr>
            <w:r>
              <w:t>30112</w:t>
            </w:r>
          </w:p>
        </w:tc>
        <w:tc>
          <w:tcPr>
            <w:tcW w:w="4535" w:type="dxa"/>
            <w:vAlign w:val="center"/>
          </w:tcPr>
          <w:p w14:paraId="564C8EF7">
            <w:pPr>
              <w:pStyle w:val="13"/>
            </w:pPr>
            <w:r>
              <w:t>其他社会保障缴费</w:t>
            </w:r>
          </w:p>
        </w:tc>
        <w:tc>
          <w:tcPr>
            <w:tcW w:w="2551" w:type="dxa"/>
            <w:vAlign w:val="center"/>
          </w:tcPr>
          <w:p w14:paraId="16FB9DB0">
            <w:pPr>
              <w:pStyle w:val="14"/>
            </w:pPr>
            <w:r>
              <w:t>2.08</w:t>
            </w:r>
          </w:p>
        </w:tc>
        <w:tc>
          <w:tcPr>
            <w:tcW w:w="2551" w:type="dxa"/>
            <w:vAlign w:val="center"/>
          </w:tcPr>
          <w:p w14:paraId="56744EE0">
            <w:pPr>
              <w:pStyle w:val="14"/>
            </w:pPr>
            <w:r>
              <w:t>2.08</w:t>
            </w:r>
          </w:p>
        </w:tc>
        <w:tc>
          <w:tcPr>
            <w:tcW w:w="2551" w:type="dxa"/>
            <w:vAlign w:val="center"/>
          </w:tcPr>
          <w:p w14:paraId="206BF23E">
            <w:pPr>
              <w:pStyle w:val="14"/>
            </w:pPr>
          </w:p>
        </w:tc>
      </w:tr>
      <w:tr w14:paraId="6772E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3B535">
            <w:pPr>
              <w:pStyle w:val="12"/>
            </w:pPr>
            <w:r>
              <w:t>9</w:t>
            </w:r>
          </w:p>
        </w:tc>
        <w:tc>
          <w:tcPr>
            <w:tcW w:w="1191" w:type="dxa"/>
            <w:vAlign w:val="center"/>
          </w:tcPr>
          <w:p w14:paraId="05F32BDE">
            <w:pPr>
              <w:pStyle w:val="13"/>
            </w:pPr>
            <w:r>
              <w:t>30113</w:t>
            </w:r>
          </w:p>
        </w:tc>
        <w:tc>
          <w:tcPr>
            <w:tcW w:w="4535" w:type="dxa"/>
            <w:vAlign w:val="center"/>
          </w:tcPr>
          <w:p w14:paraId="60044B71">
            <w:pPr>
              <w:pStyle w:val="13"/>
            </w:pPr>
            <w:r>
              <w:t>住房公积金</w:t>
            </w:r>
          </w:p>
        </w:tc>
        <w:tc>
          <w:tcPr>
            <w:tcW w:w="2551" w:type="dxa"/>
            <w:vAlign w:val="center"/>
          </w:tcPr>
          <w:p w14:paraId="0F988126">
            <w:pPr>
              <w:pStyle w:val="14"/>
            </w:pPr>
            <w:r>
              <w:t>60.46</w:t>
            </w:r>
          </w:p>
        </w:tc>
        <w:tc>
          <w:tcPr>
            <w:tcW w:w="2551" w:type="dxa"/>
            <w:vAlign w:val="center"/>
          </w:tcPr>
          <w:p w14:paraId="3EF27761">
            <w:pPr>
              <w:pStyle w:val="14"/>
            </w:pPr>
            <w:r>
              <w:t>60.46</w:t>
            </w:r>
          </w:p>
        </w:tc>
        <w:tc>
          <w:tcPr>
            <w:tcW w:w="2551" w:type="dxa"/>
            <w:vAlign w:val="center"/>
          </w:tcPr>
          <w:p w14:paraId="26FE331E">
            <w:pPr>
              <w:pStyle w:val="14"/>
            </w:pPr>
          </w:p>
        </w:tc>
      </w:tr>
      <w:tr w14:paraId="77DCF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917E1">
            <w:pPr>
              <w:pStyle w:val="12"/>
            </w:pPr>
            <w:r>
              <w:t>10</w:t>
            </w:r>
          </w:p>
        </w:tc>
        <w:tc>
          <w:tcPr>
            <w:tcW w:w="1191" w:type="dxa"/>
            <w:vAlign w:val="center"/>
          </w:tcPr>
          <w:p w14:paraId="787C7503">
            <w:pPr>
              <w:pStyle w:val="13"/>
            </w:pPr>
            <w:r>
              <w:t>303</w:t>
            </w:r>
          </w:p>
        </w:tc>
        <w:tc>
          <w:tcPr>
            <w:tcW w:w="4535" w:type="dxa"/>
            <w:vAlign w:val="center"/>
          </w:tcPr>
          <w:p w14:paraId="15FB2BD8">
            <w:pPr>
              <w:pStyle w:val="13"/>
            </w:pPr>
            <w:r>
              <w:t>对个人和家庭的补助</w:t>
            </w:r>
          </w:p>
        </w:tc>
        <w:tc>
          <w:tcPr>
            <w:tcW w:w="2551" w:type="dxa"/>
            <w:vAlign w:val="center"/>
          </w:tcPr>
          <w:p w14:paraId="7230801B">
            <w:pPr>
              <w:pStyle w:val="14"/>
            </w:pPr>
            <w:r>
              <w:t>12.07</w:t>
            </w:r>
          </w:p>
        </w:tc>
        <w:tc>
          <w:tcPr>
            <w:tcW w:w="2551" w:type="dxa"/>
            <w:vAlign w:val="center"/>
          </w:tcPr>
          <w:p w14:paraId="01988FF5">
            <w:pPr>
              <w:pStyle w:val="14"/>
            </w:pPr>
            <w:r>
              <w:t>12.07</w:t>
            </w:r>
          </w:p>
        </w:tc>
        <w:tc>
          <w:tcPr>
            <w:tcW w:w="2551" w:type="dxa"/>
            <w:vAlign w:val="center"/>
          </w:tcPr>
          <w:p w14:paraId="25A1F4D9">
            <w:pPr>
              <w:pStyle w:val="14"/>
            </w:pPr>
          </w:p>
        </w:tc>
      </w:tr>
      <w:tr w14:paraId="08257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7B2B7">
            <w:pPr>
              <w:pStyle w:val="12"/>
            </w:pPr>
            <w:r>
              <w:t>11</w:t>
            </w:r>
          </w:p>
        </w:tc>
        <w:tc>
          <w:tcPr>
            <w:tcW w:w="1191" w:type="dxa"/>
            <w:vAlign w:val="center"/>
          </w:tcPr>
          <w:p w14:paraId="1F642A49">
            <w:pPr>
              <w:pStyle w:val="13"/>
            </w:pPr>
            <w:r>
              <w:t>30302</w:t>
            </w:r>
          </w:p>
        </w:tc>
        <w:tc>
          <w:tcPr>
            <w:tcW w:w="4535" w:type="dxa"/>
            <w:vAlign w:val="center"/>
          </w:tcPr>
          <w:p w14:paraId="4C351F7F">
            <w:pPr>
              <w:pStyle w:val="13"/>
            </w:pPr>
            <w:r>
              <w:t>退休费</w:t>
            </w:r>
          </w:p>
        </w:tc>
        <w:tc>
          <w:tcPr>
            <w:tcW w:w="2551" w:type="dxa"/>
            <w:vAlign w:val="center"/>
          </w:tcPr>
          <w:p w14:paraId="62A25CE3">
            <w:pPr>
              <w:pStyle w:val="14"/>
            </w:pPr>
            <w:r>
              <w:t>11.71</w:t>
            </w:r>
          </w:p>
        </w:tc>
        <w:tc>
          <w:tcPr>
            <w:tcW w:w="2551" w:type="dxa"/>
            <w:vAlign w:val="center"/>
          </w:tcPr>
          <w:p w14:paraId="27CC35B7">
            <w:pPr>
              <w:pStyle w:val="14"/>
            </w:pPr>
            <w:r>
              <w:t>11.71</w:t>
            </w:r>
          </w:p>
        </w:tc>
        <w:tc>
          <w:tcPr>
            <w:tcW w:w="2551" w:type="dxa"/>
            <w:vAlign w:val="center"/>
          </w:tcPr>
          <w:p w14:paraId="67783AD2">
            <w:pPr>
              <w:pStyle w:val="14"/>
            </w:pPr>
          </w:p>
        </w:tc>
      </w:tr>
      <w:tr w14:paraId="6FCB8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FEDEE">
            <w:pPr>
              <w:pStyle w:val="12"/>
            </w:pPr>
            <w:r>
              <w:t>12</w:t>
            </w:r>
          </w:p>
        </w:tc>
        <w:tc>
          <w:tcPr>
            <w:tcW w:w="1191" w:type="dxa"/>
            <w:vAlign w:val="center"/>
          </w:tcPr>
          <w:p w14:paraId="57ADA3D9">
            <w:pPr>
              <w:pStyle w:val="13"/>
            </w:pPr>
            <w:r>
              <w:t>30305</w:t>
            </w:r>
          </w:p>
        </w:tc>
        <w:tc>
          <w:tcPr>
            <w:tcW w:w="4535" w:type="dxa"/>
            <w:vAlign w:val="center"/>
          </w:tcPr>
          <w:p w14:paraId="42093205">
            <w:pPr>
              <w:pStyle w:val="13"/>
            </w:pPr>
            <w:r>
              <w:t>生活补助</w:t>
            </w:r>
          </w:p>
        </w:tc>
        <w:tc>
          <w:tcPr>
            <w:tcW w:w="2551" w:type="dxa"/>
            <w:vAlign w:val="center"/>
          </w:tcPr>
          <w:p w14:paraId="49B67CAB">
            <w:pPr>
              <w:pStyle w:val="14"/>
            </w:pPr>
            <w:r>
              <w:t>0.36</w:t>
            </w:r>
          </w:p>
        </w:tc>
        <w:tc>
          <w:tcPr>
            <w:tcW w:w="2551" w:type="dxa"/>
            <w:vAlign w:val="center"/>
          </w:tcPr>
          <w:p w14:paraId="4DA02B29">
            <w:pPr>
              <w:pStyle w:val="14"/>
            </w:pPr>
            <w:r>
              <w:t>0.36</w:t>
            </w:r>
          </w:p>
        </w:tc>
        <w:tc>
          <w:tcPr>
            <w:tcW w:w="2551" w:type="dxa"/>
            <w:vAlign w:val="center"/>
          </w:tcPr>
          <w:p w14:paraId="1287C488">
            <w:pPr>
              <w:pStyle w:val="14"/>
            </w:pPr>
          </w:p>
        </w:tc>
      </w:tr>
    </w:tbl>
    <w:p w14:paraId="343D8328">
      <w:pPr>
        <w:sectPr>
          <w:pgSz w:w="16840" w:h="11900" w:orient="landscape"/>
          <w:pgMar w:top="1361" w:right="1020" w:bottom="1134" w:left="1020" w:header="720" w:footer="720" w:gutter="0"/>
          <w:cols w:space="720" w:num="1"/>
        </w:sectPr>
      </w:pPr>
    </w:p>
    <w:p w14:paraId="02F44A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FE6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D4C032">
            <w:pPr>
              <w:pStyle w:val="8"/>
            </w:pPr>
            <w:r>
              <w:t>360032隆尧县双碑中学</w:t>
            </w:r>
          </w:p>
        </w:tc>
        <w:tc>
          <w:tcPr>
            <w:tcW w:w="2551" w:type="dxa"/>
            <w:tcBorders>
              <w:top w:val="single" w:color="FFFFFF" w:sz="6" w:space="0"/>
              <w:left w:val="single" w:color="FFFFFF" w:sz="6" w:space="0"/>
              <w:right w:val="single" w:color="FFFFFF" w:sz="6" w:space="0"/>
            </w:tcBorders>
            <w:vAlign w:val="center"/>
          </w:tcPr>
          <w:p w14:paraId="4944B50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7D9DC23">
            <w:pPr>
              <w:pStyle w:val="10"/>
            </w:pPr>
            <w:r>
              <w:t>单位：万元</w:t>
            </w:r>
          </w:p>
        </w:tc>
      </w:tr>
      <w:tr w14:paraId="3A400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1D6E3">
            <w:pPr>
              <w:pStyle w:val="11"/>
            </w:pPr>
            <w:r>
              <w:t>序号</w:t>
            </w:r>
          </w:p>
        </w:tc>
        <w:tc>
          <w:tcPr>
            <w:tcW w:w="5726" w:type="dxa"/>
            <w:gridSpan w:val="2"/>
            <w:vAlign w:val="center"/>
          </w:tcPr>
          <w:p w14:paraId="78BAAE74">
            <w:pPr>
              <w:pStyle w:val="11"/>
            </w:pPr>
            <w:r>
              <w:t>功能分类科目</w:t>
            </w:r>
          </w:p>
        </w:tc>
        <w:tc>
          <w:tcPr>
            <w:tcW w:w="2551" w:type="dxa"/>
            <w:vMerge w:val="restart"/>
            <w:vAlign w:val="center"/>
          </w:tcPr>
          <w:p w14:paraId="066E1C9A">
            <w:pPr>
              <w:pStyle w:val="11"/>
            </w:pPr>
            <w:r>
              <w:t>合计</w:t>
            </w:r>
          </w:p>
        </w:tc>
        <w:tc>
          <w:tcPr>
            <w:tcW w:w="2551" w:type="dxa"/>
            <w:vMerge w:val="restart"/>
            <w:vAlign w:val="center"/>
          </w:tcPr>
          <w:p w14:paraId="35F9C03C">
            <w:pPr>
              <w:pStyle w:val="11"/>
            </w:pPr>
            <w:r>
              <w:t>基本支出</w:t>
            </w:r>
          </w:p>
        </w:tc>
        <w:tc>
          <w:tcPr>
            <w:tcW w:w="2551" w:type="dxa"/>
            <w:vMerge w:val="restart"/>
            <w:vAlign w:val="center"/>
          </w:tcPr>
          <w:p w14:paraId="0DABD916">
            <w:pPr>
              <w:pStyle w:val="11"/>
            </w:pPr>
            <w:r>
              <w:t>项目支出</w:t>
            </w:r>
          </w:p>
        </w:tc>
      </w:tr>
      <w:tr w14:paraId="0C4CD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CEB8D9"/>
        </w:tc>
        <w:tc>
          <w:tcPr>
            <w:tcW w:w="1191" w:type="dxa"/>
            <w:vAlign w:val="center"/>
          </w:tcPr>
          <w:p w14:paraId="6F194846">
            <w:pPr>
              <w:pStyle w:val="11"/>
            </w:pPr>
            <w:r>
              <w:t>科目编码</w:t>
            </w:r>
          </w:p>
        </w:tc>
        <w:tc>
          <w:tcPr>
            <w:tcW w:w="4535" w:type="dxa"/>
            <w:vAlign w:val="center"/>
          </w:tcPr>
          <w:p w14:paraId="57E083A0">
            <w:pPr>
              <w:pStyle w:val="11"/>
            </w:pPr>
            <w:r>
              <w:t>科目名称</w:t>
            </w:r>
          </w:p>
        </w:tc>
        <w:tc>
          <w:tcPr>
            <w:tcW w:w="2551" w:type="dxa"/>
            <w:vMerge w:val="continue"/>
          </w:tcPr>
          <w:p w14:paraId="6A37B1A9"/>
        </w:tc>
        <w:tc>
          <w:tcPr>
            <w:tcW w:w="2551" w:type="dxa"/>
            <w:vMerge w:val="continue"/>
          </w:tcPr>
          <w:p w14:paraId="291CE488"/>
        </w:tc>
        <w:tc>
          <w:tcPr>
            <w:tcW w:w="2551" w:type="dxa"/>
            <w:vMerge w:val="continue"/>
          </w:tcPr>
          <w:p w14:paraId="10C23D81"/>
        </w:tc>
      </w:tr>
      <w:tr w14:paraId="0AAC1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C5032E">
            <w:pPr>
              <w:pStyle w:val="11"/>
            </w:pPr>
            <w:r>
              <w:t>栏次</w:t>
            </w:r>
          </w:p>
        </w:tc>
        <w:tc>
          <w:tcPr>
            <w:tcW w:w="1191" w:type="dxa"/>
            <w:vAlign w:val="center"/>
          </w:tcPr>
          <w:p w14:paraId="005F7DC6">
            <w:pPr>
              <w:pStyle w:val="11"/>
            </w:pPr>
            <w:r>
              <w:t>1</w:t>
            </w:r>
          </w:p>
        </w:tc>
        <w:tc>
          <w:tcPr>
            <w:tcW w:w="4535" w:type="dxa"/>
            <w:vAlign w:val="center"/>
          </w:tcPr>
          <w:p w14:paraId="75B90000">
            <w:pPr>
              <w:pStyle w:val="11"/>
            </w:pPr>
            <w:r>
              <w:t>2</w:t>
            </w:r>
          </w:p>
        </w:tc>
        <w:tc>
          <w:tcPr>
            <w:tcW w:w="2551" w:type="dxa"/>
            <w:vAlign w:val="center"/>
          </w:tcPr>
          <w:p w14:paraId="498D1C59">
            <w:pPr>
              <w:pStyle w:val="11"/>
            </w:pPr>
            <w:r>
              <w:t>3</w:t>
            </w:r>
          </w:p>
        </w:tc>
        <w:tc>
          <w:tcPr>
            <w:tcW w:w="2551" w:type="dxa"/>
            <w:vAlign w:val="center"/>
          </w:tcPr>
          <w:p w14:paraId="323877A2">
            <w:pPr>
              <w:pStyle w:val="11"/>
            </w:pPr>
            <w:r>
              <w:t>4</w:t>
            </w:r>
          </w:p>
        </w:tc>
        <w:tc>
          <w:tcPr>
            <w:tcW w:w="2551" w:type="dxa"/>
            <w:vAlign w:val="center"/>
          </w:tcPr>
          <w:p w14:paraId="05940D2A">
            <w:pPr>
              <w:pStyle w:val="11"/>
            </w:pPr>
            <w:r>
              <w:t>5</w:t>
            </w:r>
          </w:p>
        </w:tc>
      </w:tr>
      <w:tr w14:paraId="7E007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D5B12">
            <w:pPr>
              <w:pStyle w:val="12"/>
            </w:pPr>
          </w:p>
        </w:tc>
        <w:tc>
          <w:tcPr>
            <w:tcW w:w="1191" w:type="dxa"/>
            <w:vAlign w:val="center"/>
          </w:tcPr>
          <w:p w14:paraId="75F5FD08">
            <w:pPr>
              <w:pStyle w:val="13"/>
            </w:pPr>
          </w:p>
        </w:tc>
        <w:tc>
          <w:tcPr>
            <w:tcW w:w="4535" w:type="dxa"/>
            <w:vAlign w:val="center"/>
          </w:tcPr>
          <w:p w14:paraId="46CC9CC0">
            <w:pPr>
              <w:pStyle w:val="13"/>
            </w:pPr>
          </w:p>
        </w:tc>
        <w:tc>
          <w:tcPr>
            <w:tcW w:w="2551" w:type="dxa"/>
            <w:vAlign w:val="center"/>
          </w:tcPr>
          <w:p w14:paraId="52689A43">
            <w:pPr>
              <w:pStyle w:val="14"/>
            </w:pPr>
          </w:p>
        </w:tc>
        <w:tc>
          <w:tcPr>
            <w:tcW w:w="2551" w:type="dxa"/>
            <w:vAlign w:val="center"/>
          </w:tcPr>
          <w:p w14:paraId="1A7128B7">
            <w:pPr>
              <w:pStyle w:val="14"/>
            </w:pPr>
          </w:p>
        </w:tc>
        <w:tc>
          <w:tcPr>
            <w:tcW w:w="2551" w:type="dxa"/>
            <w:vAlign w:val="center"/>
          </w:tcPr>
          <w:p w14:paraId="73162B3D">
            <w:pPr>
              <w:pStyle w:val="14"/>
            </w:pPr>
          </w:p>
        </w:tc>
      </w:tr>
    </w:tbl>
    <w:p w14:paraId="04B0E1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8681C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32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5C00D3">
            <w:pPr>
              <w:pStyle w:val="8"/>
            </w:pPr>
            <w:r>
              <w:t>360032隆尧县双碑中学</w:t>
            </w:r>
          </w:p>
        </w:tc>
        <w:tc>
          <w:tcPr>
            <w:tcW w:w="2551" w:type="dxa"/>
            <w:tcBorders>
              <w:top w:val="single" w:color="FFFFFF" w:sz="6" w:space="0"/>
              <w:left w:val="single" w:color="FFFFFF" w:sz="6" w:space="0"/>
              <w:right w:val="single" w:color="FFFFFF" w:sz="6" w:space="0"/>
            </w:tcBorders>
            <w:vAlign w:val="center"/>
          </w:tcPr>
          <w:p w14:paraId="7779835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35F431D">
            <w:pPr>
              <w:pStyle w:val="10"/>
            </w:pPr>
            <w:r>
              <w:t>单位：万元</w:t>
            </w:r>
          </w:p>
        </w:tc>
      </w:tr>
      <w:tr w14:paraId="44B1E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862074">
            <w:pPr>
              <w:pStyle w:val="11"/>
            </w:pPr>
            <w:r>
              <w:t>序号</w:t>
            </w:r>
          </w:p>
        </w:tc>
        <w:tc>
          <w:tcPr>
            <w:tcW w:w="5726" w:type="dxa"/>
            <w:gridSpan w:val="2"/>
            <w:vAlign w:val="center"/>
          </w:tcPr>
          <w:p w14:paraId="3E50232E">
            <w:pPr>
              <w:pStyle w:val="11"/>
            </w:pPr>
            <w:r>
              <w:t>功能分类科目</w:t>
            </w:r>
          </w:p>
        </w:tc>
        <w:tc>
          <w:tcPr>
            <w:tcW w:w="2551" w:type="dxa"/>
            <w:vMerge w:val="restart"/>
            <w:vAlign w:val="center"/>
          </w:tcPr>
          <w:p w14:paraId="4D0E725D">
            <w:pPr>
              <w:pStyle w:val="11"/>
            </w:pPr>
            <w:r>
              <w:t>合计</w:t>
            </w:r>
          </w:p>
        </w:tc>
        <w:tc>
          <w:tcPr>
            <w:tcW w:w="2551" w:type="dxa"/>
            <w:vMerge w:val="restart"/>
            <w:vAlign w:val="center"/>
          </w:tcPr>
          <w:p w14:paraId="10BB3C0B">
            <w:pPr>
              <w:pStyle w:val="11"/>
            </w:pPr>
            <w:r>
              <w:t>基本支出</w:t>
            </w:r>
          </w:p>
        </w:tc>
        <w:tc>
          <w:tcPr>
            <w:tcW w:w="2551" w:type="dxa"/>
            <w:vMerge w:val="restart"/>
            <w:vAlign w:val="center"/>
          </w:tcPr>
          <w:p w14:paraId="69E9E257">
            <w:pPr>
              <w:pStyle w:val="11"/>
            </w:pPr>
            <w:r>
              <w:t>项目支出</w:t>
            </w:r>
          </w:p>
        </w:tc>
      </w:tr>
      <w:tr w14:paraId="42ED7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CF5C0"/>
        </w:tc>
        <w:tc>
          <w:tcPr>
            <w:tcW w:w="1191" w:type="dxa"/>
            <w:vAlign w:val="center"/>
          </w:tcPr>
          <w:p w14:paraId="25049FD4">
            <w:pPr>
              <w:pStyle w:val="11"/>
            </w:pPr>
            <w:r>
              <w:t>科目编码</w:t>
            </w:r>
          </w:p>
        </w:tc>
        <w:tc>
          <w:tcPr>
            <w:tcW w:w="4535" w:type="dxa"/>
            <w:vAlign w:val="center"/>
          </w:tcPr>
          <w:p w14:paraId="6EAA8B3D">
            <w:pPr>
              <w:pStyle w:val="11"/>
            </w:pPr>
            <w:r>
              <w:t>科目名称</w:t>
            </w:r>
          </w:p>
        </w:tc>
        <w:tc>
          <w:tcPr>
            <w:tcW w:w="2551" w:type="dxa"/>
            <w:vMerge w:val="continue"/>
          </w:tcPr>
          <w:p w14:paraId="6B4340A2"/>
        </w:tc>
        <w:tc>
          <w:tcPr>
            <w:tcW w:w="2551" w:type="dxa"/>
            <w:vMerge w:val="continue"/>
          </w:tcPr>
          <w:p w14:paraId="24B3636E"/>
        </w:tc>
        <w:tc>
          <w:tcPr>
            <w:tcW w:w="2551" w:type="dxa"/>
            <w:vMerge w:val="continue"/>
          </w:tcPr>
          <w:p w14:paraId="56139F0C"/>
        </w:tc>
      </w:tr>
      <w:tr w14:paraId="41F63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269EC2">
            <w:pPr>
              <w:pStyle w:val="11"/>
            </w:pPr>
            <w:r>
              <w:t>栏次</w:t>
            </w:r>
          </w:p>
        </w:tc>
        <w:tc>
          <w:tcPr>
            <w:tcW w:w="1191" w:type="dxa"/>
            <w:vAlign w:val="center"/>
          </w:tcPr>
          <w:p w14:paraId="487D142D">
            <w:pPr>
              <w:pStyle w:val="11"/>
            </w:pPr>
            <w:r>
              <w:t>1</w:t>
            </w:r>
          </w:p>
        </w:tc>
        <w:tc>
          <w:tcPr>
            <w:tcW w:w="4535" w:type="dxa"/>
            <w:vAlign w:val="center"/>
          </w:tcPr>
          <w:p w14:paraId="35F87721">
            <w:pPr>
              <w:pStyle w:val="11"/>
            </w:pPr>
            <w:r>
              <w:t>2</w:t>
            </w:r>
          </w:p>
        </w:tc>
        <w:tc>
          <w:tcPr>
            <w:tcW w:w="2551" w:type="dxa"/>
            <w:vAlign w:val="center"/>
          </w:tcPr>
          <w:p w14:paraId="39361667">
            <w:pPr>
              <w:pStyle w:val="11"/>
            </w:pPr>
            <w:r>
              <w:t>3</w:t>
            </w:r>
          </w:p>
        </w:tc>
        <w:tc>
          <w:tcPr>
            <w:tcW w:w="2551" w:type="dxa"/>
            <w:vAlign w:val="center"/>
          </w:tcPr>
          <w:p w14:paraId="0022A287">
            <w:pPr>
              <w:pStyle w:val="11"/>
            </w:pPr>
            <w:r>
              <w:t>4</w:t>
            </w:r>
          </w:p>
        </w:tc>
        <w:tc>
          <w:tcPr>
            <w:tcW w:w="2551" w:type="dxa"/>
            <w:vAlign w:val="center"/>
          </w:tcPr>
          <w:p w14:paraId="26DBED70">
            <w:pPr>
              <w:pStyle w:val="11"/>
            </w:pPr>
            <w:r>
              <w:t>5</w:t>
            </w:r>
          </w:p>
        </w:tc>
      </w:tr>
      <w:tr w14:paraId="475ED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B7C09">
            <w:pPr>
              <w:pStyle w:val="12"/>
            </w:pPr>
          </w:p>
        </w:tc>
        <w:tc>
          <w:tcPr>
            <w:tcW w:w="1191" w:type="dxa"/>
            <w:vAlign w:val="center"/>
          </w:tcPr>
          <w:p w14:paraId="6388088A">
            <w:pPr>
              <w:pStyle w:val="13"/>
            </w:pPr>
          </w:p>
        </w:tc>
        <w:tc>
          <w:tcPr>
            <w:tcW w:w="4535" w:type="dxa"/>
            <w:vAlign w:val="center"/>
          </w:tcPr>
          <w:p w14:paraId="090DF59E">
            <w:pPr>
              <w:pStyle w:val="13"/>
            </w:pPr>
          </w:p>
        </w:tc>
        <w:tc>
          <w:tcPr>
            <w:tcW w:w="2551" w:type="dxa"/>
            <w:vAlign w:val="center"/>
          </w:tcPr>
          <w:p w14:paraId="26F5346C">
            <w:pPr>
              <w:pStyle w:val="14"/>
            </w:pPr>
          </w:p>
        </w:tc>
        <w:tc>
          <w:tcPr>
            <w:tcW w:w="2551" w:type="dxa"/>
            <w:vAlign w:val="center"/>
          </w:tcPr>
          <w:p w14:paraId="64894972">
            <w:pPr>
              <w:pStyle w:val="14"/>
            </w:pPr>
          </w:p>
        </w:tc>
        <w:tc>
          <w:tcPr>
            <w:tcW w:w="2551" w:type="dxa"/>
            <w:vAlign w:val="center"/>
          </w:tcPr>
          <w:p w14:paraId="54B035A3">
            <w:pPr>
              <w:pStyle w:val="14"/>
            </w:pPr>
          </w:p>
        </w:tc>
      </w:tr>
    </w:tbl>
    <w:p w14:paraId="218327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6CDF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9C2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76719B">
            <w:pPr>
              <w:pStyle w:val="8"/>
            </w:pPr>
            <w:r>
              <w:t>360032隆尧县双碑中学</w:t>
            </w:r>
          </w:p>
        </w:tc>
        <w:tc>
          <w:tcPr>
            <w:tcW w:w="2381" w:type="dxa"/>
            <w:tcBorders>
              <w:top w:val="single" w:color="FFFFFF" w:sz="6" w:space="0"/>
              <w:left w:val="single" w:color="FFFFFF" w:sz="6" w:space="0"/>
              <w:right w:val="single" w:color="FFFFFF" w:sz="6" w:space="0"/>
            </w:tcBorders>
            <w:vAlign w:val="center"/>
          </w:tcPr>
          <w:p w14:paraId="3B93AD29">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2C71847">
            <w:pPr>
              <w:pStyle w:val="10"/>
            </w:pPr>
            <w:r>
              <w:t>单位：万元</w:t>
            </w:r>
          </w:p>
        </w:tc>
      </w:tr>
      <w:tr w14:paraId="39842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806E5F">
            <w:pPr>
              <w:pStyle w:val="11"/>
            </w:pPr>
            <w:r>
              <w:t>序号</w:t>
            </w:r>
          </w:p>
        </w:tc>
        <w:tc>
          <w:tcPr>
            <w:tcW w:w="3798" w:type="dxa"/>
            <w:vMerge w:val="restart"/>
            <w:vAlign w:val="center"/>
          </w:tcPr>
          <w:p w14:paraId="6BA9E10B">
            <w:pPr>
              <w:pStyle w:val="11"/>
            </w:pPr>
            <w:r>
              <w:t>项  目</w:t>
            </w:r>
          </w:p>
        </w:tc>
        <w:tc>
          <w:tcPr>
            <w:tcW w:w="9524" w:type="dxa"/>
            <w:gridSpan w:val="4"/>
            <w:vAlign w:val="center"/>
          </w:tcPr>
          <w:p w14:paraId="3D6EBAA0">
            <w:pPr>
              <w:pStyle w:val="11"/>
            </w:pPr>
            <w:r>
              <w:t>资 金 性 质</w:t>
            </w:r>
          </w:p>
        </w:tc>
      </w:tr>
      <w:tr w14:paraId="5B6E1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80E5E4"/>
        </w:tc>
        <w:tc>
          <w:tcPr>
            <w:tcW w:w="3798" w:type="dxa"/>
            <w:vMerge w:val="continue"/>
          </w:tcPr>
          <w:p w14:paraId="358181C8"/>
        </w:tc>
        <w:tc>
          <w:tcPr>
            <w:tcW w:w="2381" w:type="dxa"/>
            <w:vAlign w:val="center"/>
          </w:tcPr>
          <w:p w14:paraId="385781C1">
            <w:pPr>
              <w:pStyle w:val="11"/>
            </w:pPr>
            <w:r>
              <w:t>合计</w:t>
            </w:r>
          </w:p>
        </w:tc>
        <w:tc>
          <w:tcPr>
            <w:tcW w:w="2381" w:type="dxa"/>
            <w:vAlign w:val="center"/>
          </w:tcPr>
          <w:p w14:paraId="73B87B21">
            <w:pPr>
              <w:pStyle w:val="11"/>
            </w:pPr>
            <w:r>
              <w:t>一般公共预算              财政拨款</w:t>
            </w:r>
          </w:p>
        </w:tc>
        <w:tc>
          <w:tcPr>
            <w:tcW w:w="2381" w:type="dxa"/>
            <w:vAlign w:val="center"/>
          </w:tcPr>
          <w:p w14:paraId="5F8035C3">
            <w:pPr>
              <w:pStyle w:val="11"/>
            </w:pPr>
            <w:r>
              <w:t>政府性基金                  预算拨款</w:t>
            </w:r>
          </w:p>
        </w:tc>
        <w:tc>
          <w:tcPr>
            <w:tcW w:w="2381" w:type="dxa"/>
            <w:vAlign w:val="center"/>
          </w:tcPr>
          <w:p w14:paraId="330A40EC">
            <w:pPr>
              <w:pStyle w:val="11"/>
            </w:pPr>
            <w:r>
              <w:t>国有资本经营              预算财政拨款</w:t>
            </w:r>
          </w:p>
        </w:tc>
      </w:tr>
      <w:tr w14:paraId="05921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Align w:val="center"/>
          </w:tcPr>
          <w:p w14:paraId="59D19CEB">
            <w:pPr>
              <w:pStyle w:val="11"/>
            </w:pPr>
            <w:r>
              <w:t>栏次</w:t>
            </w:r>
          </w:p>
        </w:tc>
        <w:tc>
          <w:tcPr>
            <w:tcW w:w="3798" w:type="dxa"/>
            <w:vAlign w:val="center"/>
          </w:tcPr>
          <w:p w14:paraId="1E6F2ED3">
            <w:pPr>
              <w:pStyle w:val="11"/>
            </w:pPr>
            <w:r>
              <w:t>1</w:t>
            </w:r>
          </w:p>
        </w:tc>
        <w:tc>
          <w:tcPr>
            <w:tcW w:w="2381" w:type="dxa"/>
            <w:vAlign w:val="center"/>
          </w:tcPr>
          <w:p w14:paraId="037D0369">
            <w:pPr>
              <w:pStyle w:val="11"/>
            </w:pPr>
            <w:r>
              <w:t>2</w:t>
            </w:r>
          </w:p>
        </w:tc>
        <w:tc>
          <w:tcPr>
            <w:tcW w:w="2381" w:type="dxa"/>
            <w:vAlign w:val="center"/>
          </w:tcPr>
          <w:p w14:paraId="77CE3F92">
            <w:pPr>
              <w:pStyle w:val="11"/>
            </w:pPr>
            <w:r>
              <w:t>3</w:t>
            </w:r>
          </w:p>
        </w:tc>
        <w:tc>
          <w:tcPr>
            <w:tcW w:w="2381" w:type="dxa"/>
            <w:vAlign w:val="center"/>
          </w:tcPr>
          <w:p w14:paraId="29D403FF">
            <w:pPr>
              <w:pStyle w:val="11"/>
            </w:pPr>
            <w:r>
              <w:t>4</w:t>
            </w:r>
          </w:p>
        </w:tc>
        <w:tc>
          <w:tcPr>
            <w:tcW w:w="2381" w:type="dxa"/>
            <w:vAlign w:val="center"/>
          </w:tcPr>
          <w:p w14:paraId="1AA7FE55">
            <w:pPr>
              <w:pStyle w:val="11"/>
            </w:pPr>
            <w:r>
              <w:t>5</w:t>
            </w:r>
          </w:p>
        </w:tc>
      </w:tr>
      <w:tr w14:paraId="0336E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A037B9">
            <w:pPr>
              <w:pStyle w:val="12"/>
            </w:pPr>
          </w:p>
        </w:tc>
        <w:tc>
          <w:tcPr>
            <w:tcW w:w="3798" w:type="dxa"/>
            <w:vAlign w:val="center"/>
          </w:tcPr>
          <w:p w14:paraId="74204273">
            <w:pPr>
              <w:pStyle w:val="13"/>
            </w:pPr>
          </w:p>
        </w:tc>
        <w:tc>
          <w:tcPr>
            <w:tcW w:w="2381" w:type="dxa"/>
            <w:vAlign w:val="center"/>
          </w:tcPr>
          <w:p w14:paraId="324A0DBA">
            <w:pPr>
              <w:pStyle w:val="14"/>
            </w:pPr>
          </w:p>
        </w:tc>
        <w:tc>
          <w:tcPr>
            <w:tcW w:w="2381" w:type="dxa"/>
            <w:vAlign w:val="center"/>
          </w:tcPr>
          <w:p w14:paraId="560DD82E">
            <w:pPr>
              <w:pStyle w:val="14"/>
            </w:pPr>
          </w:p>
        </w:tc>
        <w:tc>
          <w:tcPr>
            <w:tcW w:w="2381" w:type="dxa"/>
            <w:vAlign w:val="center"/>
          </w:tcPr>
          <w:p w14:paraId="3CD031C8">
            <w:pPr>
              <w:pStyle w:val="14"/>
            </w:pPr>
          </w:p>
        </w:tc>
        <w:tc>
          <w:tcPr>
            <w:tcW w:w="2381" w:type="dxa"/>
            <w:vAlign w:val="center"/>
          </w:tcPr>
          <w:p w14:paraId="659723CF">
            <w:pPr>
              <w:pStyle w:val="14"/>
            </w:pPr>
          </w:p>
        </w:tc>
      </w:tr>
    </w:tbl>
    <w:p w14:paraId="4A9BC4C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7347540">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隆尧县双碑中学2025年单位预算信息公开情况说明</w:t>
      </w:r>
    </w:p>
    <w:p w14:paraId="3E9378B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按照《中华人民共和国预算法》、《地方预决算公开操作规程》和《关于进一步推进预算公开工作的实施意见》规定，现将隆尧县双碑中学2025年单位预算公开如下：</w:t>
      </w:r>
    </w:p>
    <w:p w14:paraId="31D7A88B">
      <w:pPr>
        <w:spacing w:before="10" w:after="10" w:line="240" w:lineRule="auto"/>
        <w:ind w:firstLine="640"/>
        <w:jc w:val="left"/>
        <w:outlineLvl w:val="5"/>
      </w:pPr>
      <w:r>
        <w:rPr>
          <w:rFonts w:ascii="黑体" w:hAnsi="黑体" w:eastAsia="黑体" w:cs="黑体"/>
          <w:color w:val="000000"/>
          <w:sz w:val="32"/>
        </w:rPr>
        <w:t>一、单位职责及机构设置情况</w:t>
      </w:r>
    </w:p>
    <w:p w14:paraId="677F820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AF2B8AB">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12C103B0">
      <w:pPr>
        <w:pStyle w:val="18"/>
      </w:pPr>
      <w:r>
        <w:t>隆尧县双碑中学事业编制62名．其中，校长1名（正股级），副校长3名（副股级）；经费形式为财政性资金基本保证。</w:t>
      </w:r>
    </w:p>
    <w:p w14:paraId="0C7DF19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59FF6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4864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CA2A6B">
            <w:pPr>
              <w:pStyle w:val="11"/>
            </w:pPr>
            <w:r>
              <w:t>单位名称</w:t>
            </w:r>
          </w:p>
        </w:tc>
        <w:tc>
          <w:tcPr>
            <w:tcW w:w="1843" w:type="dxa"/>
            <w:vAlign w:val="center"/>
          </w:tcPr>
          <w:p w14:paraId="3B037F70">
            <w:pPr>
              <w:pStyle w:val="11"/>
            </w:pPr>
            <w:r>
              <w:t>单位性质</w:t>
            </w:r>
          </w:p>
        </w:tc>
        <w:tc>
          <w:tcPr>
            <w:tcW w:w="2126" w:type="dxa"/>
            <w:vAlign w:val="center"/>
          </w:tcPr>
          <w:p w14:paraId="3B9D371D">
            <w:pPr>
              <w:pStyle w:val="11"/>
            </w:pPr>
            <w:r>
              <w:t>单位规格</w:t>
            </w:r>
          </w:p>
        </w:tc>
        <w:tc>
          <w:tcPr>
            <w:tcW w:w="3827" w:type="dxa"/>
            <w:vAlign w:val="center"/>
          </w:tcPr>
          <w:p w14:paraId="0ECAEFCD">
            <w:pPr>
              <w:pStyle w:val="11"/>
            </w:pPr>
            <w:r>
              <w:t>经费保障形式</w:t>
            </w:r>
          </w:p>
        </w:tc>
      </w:tr>
      <w:tr w14:paraId="167E4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5F8217E">
            <w:pPr>
              <w:pStyle w:val="13"/>
            </w:pPr>
            <w:r>
              <w:t>隆尧县双碑中学</w:t>
            </w:r>
          </w:p>
        </w:tc>
        <w:tc>
          <w:tcPr>
            <w:tcW w:w="1843" w:type="dxa"/>
            <w:vAlign w:val="center"/>
          </w:tcPr>
          <w:p w14:paraId="53312888">
            <w:pPr>
              <w:pStyle w:val="12"/>
            </w:pPr>
            <w:r>
              <w:t>事业</w:t>
            </w:r>
          </w:p>
        </w:tc>
        <w:tc>
          <w:tcPr>
            <w:tcW w:w="2126" w:type="dxa"/>
            <w:vAlign w:val="center"/>
          </w:tcPr>
          <w:p w14:paraId="185B4B48">
            <w:pPr>
              <w:pStyle w:val="12"/>
            </w:pPr>
            <w:r>
              <w:t>股级</w:t>
            </w:r>
          </w:p>
        </w:tc>
        <w:tc>
          <w:tcPr>
            <w:tcW w:w="3827" w:type="dxa"/>
            <w:vAlign w:val="center"/>
          </w:tcPr>
          <w:p w14:paraId="577E4E28">
            <w:pPr>
              <w:pStyle w:val="12"/>
            </w:pPr>
            <w:r>
              <w:t>财政性资金基本保证</w:t>
            </w:r>
          </w:p>
        </w:tc>
      </w:tr>
    </w:tbl>
    <w:p w14:paraId="252096E9">
      <w:pPr>
        <w:spacing w:before="10" w:after="10" w:line="240" w:lineRule="auto"/>
        <w:ind w:firstLine="640"/>
        <w:jc w:val="left"/>
        <w:outlineLvl w:val="5"/>
      </w:pPr>
      <w:r>
        <w:rPr>
          <w:rFonts w:ascii="黑体" w:hAnsi="黑体" w:eastAsia="黑体" w:cs="黑体"/>
          <w:color w:val="000000"/>
          <w:sz w:val="32"/>
        </w:rPr>
        <w:t>二、单位预算安排的总体情况</w:t>
      </w:r>
    </w:p>
    <w:p w14:paraId="1F56D5EF">
      <w:pPr>
        <w:pStyle w:val="19"/>
      </w:pPr>
      <w:r>
        <w:t>按照预算管理有关规定，目前我校预算的编制实行综合预算管理，即全部收入和支出都反映的预算中。隆尧县双碑中学的收支包含在单位预算中。</w:t>
      </w:r>
    </w:p>
    <w:p w14:paraId="7FBA42DC">
      <w:pPr>
        <w:pStyle w:val="19"/>
      </w:pPr>
      <w:r>
        <w:t>1、收入说明</w:t>
      </w:r>
    </w:p>
    <w:p w14:paraId="586C72D6">
      <w:pPr>
        <w:pStyle w:val="19"/>
      </w:pPr>
      <w:r>
        <w:t>反映本单位当年全部收入。2025年预算收入1041.12万元，其中：一般公共预算收入1041.12万元，基金预算收入0元，财政专户管理资金收入0元，其他来源收入0元。</w:t>
      </w:r>
    </w:p>
    <w:p w14:paraId="1E04F385">
      <w:pPr>
        <w:pStyle w:val="19"/>
      </w:pPr>
      <w:r>
        <w:t>2、支出说明</w:t>
      </w:r>
    </w:p>
    <w:p w14:paraId="37A31150">
      <w:pPr>
        <w:pStyle w:val="19"/>
      </w:pPr>
      <w:r>
        <w:t>收支预算总表支出栏、基本支出表、项目支出表按经济分类和支出功能分类科目编制，反映隆尧县双碑中学年度单位预算中支出预算的总体情况。2025年单位支出预算为1041.12万元，其中基本支出809.8万元，项目支出231.32万元。主要为初中教育1041.12万元。</w:t>
      </w:r>
    </w:p>
    <w:p w14:paraId="575BDD48">
      <w:pPr>
        <w:pStyle w:val="19"/>
      </w:pPr>
      <w:r>
        <w:t>3、比上年增减情况2025年部门预算收支安排1041.12万元，较2024年预算增加127.77万元，其中基本支出增加64.5万元，项目支出增加63.27万元。</w:t>
      </w:r>
    </w:p>
    <w:p w14:paraId="5BDD4F34">
      <w:pPr>
        <w:spacing w:before="10" w:after="10" w:line="240" w:lineRule="auto"/>
        <w:ind w:firstLine="640"/>
        <w:jc w:val="left"/>
        <w:outlineLvl w:val="5"/>
      </w:pPr>
      <w:r>
        <w:rPr>
          <w:rFonts w:ascii="黑体" w:hAnsi="黑体" w:eastAsia="黑体" w:cs="黑体"/>
          <w:color w:val="000000"/>
          <w:sz w:val="32"/>
        </w:rPr>
        <w:t>三、机关运行经费安排情况</w:t>
      </w:r>
    </w:p>
    <w:p w14:paraId="14A8B140">
      <w:pPr>
        <w:pStyle w:val="20"/>
      </w:pPr>
      <w:r>
        <w:t>我单位按学生安排义务教育公用经费，无机关运行经费。</w:t>
      </w:r>
    </w:p>
    <w:p w14:paraId="5514F09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11F7A2E">
      <w:pPr>
        <w:pStyle w:val="21"/>
      </w:pPr>
      <w:r>
        <w:t>2025年，我单位未安排三公经费”。</w:t>
      </w:r>
    </w:p>
    <w:p w14:paraId="461CB32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BCA1220">
      <w:pPr>
        <w:spacing w:before="0" w:after="0"/>
        <w:ind w:firstLine="560"/>
        <w:jc w:val="left"/>
        <w:outlineLvl w:val="9"/>
      </w:pPr>
      <w:r>
        <w:rPr>
          <w:rFonts w:ascii="方正仿宋_GBK" w:hAnsi="方正仿宋_GBK" w:eastAsia="方正仿宋_GBK" w:cs="方正仿宋_GBK"/>
          <w:b/>
          <w:color w:val="000000"/>
          <w:sz w:val="28"/>
        </w:rPr>
        <w:t>1、冀财教[2024]123号/中央/2025年义教补助经费/双碑中学公用经费绩效目标表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81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723A4">
            <w:pPr>
              <w:pStyle w:val="14"/>
            </w:pPr>
            <w:r>
              <w:t>单位：万元</w:t>
            </w:r>
          </w:p>
        </w:tc>
      </w:tr>
      <w:tr w14:paraId="2CF8D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2BFFE1">
            <w:pPr>
              <w:pStyle w:val="11"/>
            </w:pPr>
            <w:r>
              <w:t>项目编码</w:t>
            </w:r>
          </w:p>
        </w:tc>
        <w:tc>
          <w:tcPr>
            <w:tcW w:w="5103" w:type="dxa"/>
            <w:gridSpan w:val="2"/>
            <w:vAlign w:val="center"/>
          </w:tcPr>
          <w:p w14:paraId="62BEDCA5">
            <w:pPr>
              <w:pStyle w:val="13"/>
            </w:pPr>
            <w:r>
              <w:t>13052525P00000410050B</w:t>
            </w:r>
          </w:p>
        </w:tc>
        <w:tc>
          <w:tcPr>
            <w:tcW w:w="2835" w:type="dxa"/>
            <w:vAlign w:val="center"/>
          </w:tcPr>
          <w:p w14:paraId="7C831217">
            <w:pPr>
              <w:pStyle w:val="11"/>
            </w:pPr>
            <w:r>
              <w:t>项目名称</w:t>
            </w:r>
          </w:p>
        </w:tc>
        <w:tc>
          <w:tcPr>
            <w:tcW w:w="6095" w:type="dxa"/>
            <w:gridSpan w:val="3"/>
            <w:vAlign w:val="center"/>
          </w:tcPr>
          <w:p w14:paraId="5DE23BD8">
            <w:pPr>
              <w:pStyle w:val="13"/>
            </w:pPr>
            <w:r>
              <w:t>冀财教[2024]123号/中央/2025年义教补助经费/双碑中学公用经费</w:t>
            </w:r>
          </w:p>
        </w:tc>
      </w:tr>
      <w:tr w14:paraId="2D32E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6749D">
            <w:pPr>
              <w:pStyle w:val="11"/>
            </w:pPr>
            <w:r>
              <w:t>预算规模及资金用途</w:t>
            </w:r>
          </w:p>
        </w:tc>
        <w:tc>
          <w:tcPr>
            <w:tcW w:w="2268" w:type="dxa"/>
            <w:vAlign w:val="center"/>
          </w:tcPr>
          <w:p w14:paraId="0883D660">
            <w:pPr>
              <w:pStyle w:val="11"/>
            </w:pPr>
            <w:r>
              <w:t>预算数</w:t>
            </w:r>
          </w:p>
        </w:tc>
        <w:tc>
          <w:tcPr>
            <w:tcW w:w="2835" w:type="dxa"/>
            <w:vAlign w:val="center"/>
          </w:tcPr>
          <w:p w14:paraId="62931F55">
            <w:pPr>
              <w:pStyle w:val="13"/>
            </w:pPr>
            <w:r>
              <w:t>109.67</w:t>
            </w:r>
          </w:p>
        </w:tc>
        <w:tc>
          <w:tcPr>
            <w:tcW w:w="2835" w:type="dxa"/>
            <w:vAlign w:val="center"/>
          </w:tcPr>
          <w:p w14:paraId="0A5A25A4">
            <w:pPr>
              <w:pStyle w:val="11"/>
            </w:pPr>
            <w:r>
              <w:t>其中：财政    资金</w:t>
            </w:r>
          </w:p>
        </w:tc>
        <w:tc>
          <w:tcPr>
            <w:tcW w:w="2551" w:type="dxa"/>
            <w:vAlign w:val="center"/>
          </w:tcPr>
          <w:p w14:paraId="58239DE3">
            <w:pPr>
              <w:pStyle w:val="13"/>
            </w:pPr>
            <w:r>
              <w:t>109.67</w:t>
            </w:r>
          </w:p>
        </w:tc>
        <w:tc>
          <w:tcPr>
            <w:tcW w:w="2268" w:type="dxa"/>
            <w:vAlign w:val="center"/>
          </w:tcPr>
          <w:p w14:paraId="7D6FEED1">
            <w:pPr>
              <w:pStyle w:val="11"/>
            </w:pPr>
            <w:r>
              <w:t>其他资金</w:t>
            </w:r>
          </w:p>
        </w:tc>
        <w:tc>
          <w:tcPr>
            <w:tcW w:w="1276" w:type="dxa"/>
            <w:vAlign w:val="center"/>
          </w:tcPr>
          <w:p w14:paraId="68F7A525">
            <w:pPr>
              <w:pStyle w:val="13"/>
            </w:pPr>
            <w:r>
              <w:t xml:space="preserve"> </w:t>
            </w:r>
          </w:p>
        </w:tc>
      </w:tr>
      <w:tr w14:paraId="56FB1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D86B5"/>
        </w:tc>
        <w:tc>
          <w:tcPr>
            <w:tcW w:w="14033" w:type="dxa"/>
            <w:gridSpan w:val="6"/>
            <w:vAlign w:val="center"/>
          </w:tcPr>
          <w:p w14:paraId="7001924E">
            <w:pPr>
              <w:pStyle w:val="13"/>
            </w:pPr>
            <w:r>
              <w:t>保障义务教育学校正常运转，完成教育教学活动和其他日常工作任务等方面的费用支出。</w:t>
            </w:r>
            <w:r>
              <w:tab/>
            </w:r>
            <w:r>
              <w:tab/>
            </w:r>
            <w:r>
              <w:tab/>
            </w:r>
            <w:r>
              <w:tab/>
            </w:r>
            <w:r>
              <w:tab/>
            </w:r>
            <w:r>
              <w:tab/>
            </w:r>
            <w:r>
              <w:tab/>
            </w:r>
            <w:r>
              <w:tab/>
            </w:r>
            <w:r>
              <w:tab/>
            </w:r>
            <w:r>
              <w:tab/>
            </w:r>
          </w:p>
          <w:p w14:paraId="6C410367">
            <w:pPr>
              <w:pStyle w:val="13"/>
            </w:pPr>
          </w:p>
        </w:tc>
      </w:tr>
      <w:tr w14:paraId="13567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EDC50">
            <w:pPr>
              <w:pStyle w:val="11"/>
            </w:pPr>
            <w:r>
              <w:t>资金支出计划（%）</w:t>
            </w:r>
          </w:p>
        </w:tc>
        <w:tc>
          <w:tcPr>
            <w:tcW w:w="5103" w:type="dxa"/>
            <w:gridSpan w:val="2"/>
            <w:vAlign w:val="center"/>
          </w:tcPr>
          <w:p w14:paraId="1AB7BF97">
            <w:pPr>
              <w:pStyle w:val="11"/>
            </w:pPr>
            <w:r>
              <w:t>3月底</w:t>
            </w:r>
          </w:p>
        </w:tc>
        <w:tc>
          <w:tcPr>
            <w:tcW w:w="2835" w:type="dxa"/>
            <w:vAlign w:val="center"/>
          </w:tcPr>
          <w:p w14:paraId="61B70211">
            <w:pPr>
              <w:pStyle w:val="11"/>
            </w:pPr>
            <w:r>
              <w:t>6月底</w:t>
            </w:r>
          </w:p>
        </w:tc>
        <w:tc>
          <w:tcPr>
            <w:tcW w:w="2551" w:type="dxa"/>
            <w:vAlign w:val="center"/>
          </w:tcPr>
          <w:p w14:paraId="2D688EF6">
            <w:pPr>
              <w:pStyle w:val="11"/>
            </w:pPr>
            <w:r>
              <w:t>10月底</w:t>
            </w:r>
          </w:p>
        </w:tc>
        <w:tc>
          <w:tcPr>
            <w:tcW w:w="3544" w:type="dxa"/>
            <w:gridSpan w:val="2"/>
            <w:vAlign w:val="center"/>
          </w:tcPr>
          <w:p w14:paraId="584A3089">
            <w:pPr>
              <w:pStyle w:val="11"/>
            </w:pPr>
            <w:r>
              <w:t>12月底</w:t>
            </w:r>
          </w:p>
        </w:tc>
      </w:tr>
      <w:tr w14:paraId="4D785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679FA4B5"/>
        </w:tc>
        <w:tc>
          <w:tcPr>
            <w:tcW w:w="5103" w:type="dxa"/>
            <w:gridSpan w:val="2"/>
            <w:vAlign w:val="center"/>
          </w:tcPr>
          <w:p w14:paraId="19E1FFD0">
            <w:pPr>
              <w:pStyle w:val="12"/>
            </w:pPr>
            <w:r>
              <w:t>30%</w:t>
            </w:r>
          </w:p>
        </w:tc>
        <w:tc>
          <w:tcPr>
            <w:tcW w:w="2835" w:type="dxa"/>
            <w:vAlign w:val="center"/>
          </w:tcPr>
          <w:p w14:paraId="55D34B8D">
            <w:pPr>
              <w:pStyle w:val="12"/>
            </w:pPr>
            <w:r>
              <w:t>60%</w:t>
            </w:r>
          </w:p>
        </w:tc>
        <w:tc>
          <w:tcPr>
            <w:tcW w:w="2551" w:type="dxa"/>
            <w:vAlign w:val="center"/>
          </w:tcPr>
          <w:p w14:paraId="51F3F1B5">
            <w:pPr>
              <w:pStyle w:val="12"/>
            </w:pPr>
            <w:r>
              <w:t>90%</w:t>
            </w:r>
          </w:p>
        </w:tc>
        <w:tc>
          <w:tcPr>
            <w:tcW w:w="3544" w:type="dxa"/>
            <w:gridSpan w:val="2"/>
            <w:vAlign w:val="center"/>
          </w:tcPr>
          <w:p w14:paraId="57930EC9">
            <w:pPr>
              <w:pStyle w:val="12"/>
            </w:pPr>
            <w:r>
              <w:t>100%</w:t>
            </w:r>
          </w:p>
        </w:tc>
      </w:tr>
      <w:tr w14:paraId="25037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8F2A75">
            <w:pPr>
              <w:pStyle w:val="11"/>
            </w:pPr>
            <w:r>
              <w:t>绩效目标</w:t>
            </w:r>
          </w:p>
        </w:tc>
        <w:tc>
          <w:tcPr>
            <w:tcW w:w="14033" w:type="dxa"/>
            <w:gridSpan w:val="6"/>
            <w:vAlign w:val="center"/>
          </w:tcPr>
          <w:p w14:paraId="2A4B4619">
            <w:pPr>
              <w:pStyle w:val="13"/>
            </w:pPr>
            <w:r>
              <w:t>1.按规定拨付公用经费资金，资金拨付率达到100%。</w:t>
            </w:r>
            <w:r>
              <w:tab/>
            </w:r>
            <w:r>
              <w:tab/>
            </w:r>
            <w:r>
              <w:tab/>
            </w:r>
            <w:r>
              <w:tab/>
            </w:r>
            <w:r>
              <w:tab/>
            </w:r>
            <w:r>
              <w:tab/>
            </w:r>
          </w:p>
          <w:p w14:paraId="434F36DF">
            <w:pPr>
              <w:pStyle w:val="13"/>
            </w:pPr>
            <w:r>
              <w:tab/>
            </w:r>
            <w:r>
              <w:tab/>
            </w:r>
            <w:r>
              <w:tab/>
            </w:r>
            <w:r>
              <w:tab/>
            </w:r>
            <w:r>
              <w:tab/>
            </w:r>
            <w:r>
              <w:tab/>
            </w:r>
          </w:p>
          <w:p w14:paraId="608DF3BC">
            <w:pPr>
              <w:pStyle w:val="13"/>
            </w:pPr>
          </w:p>
          <w:p w14:paraId="646F7979">
            <w:pPr>
              <w:pStyle w:val="13"/>
            </w:pPr>
            <w:r>
              <w:t>2.保障义务教育学校正常运转，完成教育教学活动和其他日常工作任务等方面的费用支出。</w:t>
            </w:r>
            <w:r>
              <w:tab/>
            </w:r>
            <w:r>
              <w:tab/>
            </w:r>
            <w:r>
              <w:tab/>
            </w:r>
            <w:r>
              <w:tab/>
            </w:r>
            <w:r>
              <w:tab/>
            </w:r>
            <w:r>
              <w:tab/>
            </w:r>
            <w:r>
              <w:tab/>
            </w:r>
            <w:r>
              <w:tab/>
            </w:r>
            <w:r>
              <w:tab/>
            </w:r>
            <w:r>
              <w:tab/>
            </w:r>
          </w:p>
          <w:p w14:paraId="3A2027F0">
            <w:pPr>
              <w:pStyle w:val="13"/>
            </w:pPr>
          </w:p>
        </w:tc>
      </w:tr>
    </w:tbl>
    <w:p w14:paraId="6DF118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23"/>
        <w:gridCol w:w="2021"/>
      </w:tblGrid>
      <w:tr w14:paraId="08A9F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CAE47">
            <w:pPr>
              <w:pStyle w:val="11"/>
            </w:pPr>
            <w:r>
              <w:t>一级指标</w:t>
            </w:r>
          </w:p>
        </w:tc>
        <w:tc>
          <w:tcPr>
            <w:tcW w:w="2268" w:type="dxa"/>
            <w:vAlign w:val="center"/>
          </w:tcPr>
          <w:p w14:paraId="5516B4B8">
            <w:pPr>
              <w:pStyle w:val="11"/>
            </w:pPr>
            <w:r>
              <w:t>二级指标</w:t>
            </w:r>
          </w:p>
        </w:tc>
        <w:tc>
          <w:tcPr>
            <w:tcW w:w="2835" w:type="dxa"/>
            <w:vAlign w:val="center"/>
          </w:tcPr>
          <w:p w14:paraId="428E1D93">
            <w:pPr>
              <w:pStyle w:val="11"/>
            </w:pPr>
            <w:r>
              <w:t>三级指标</w:t>
            </w:r>
          </w:p>
        </w:tc>
        <w:tc>
          <w:tcPr>
            <w:tcW w:w="5386" w:type="dxa"/>
            <w:vAlign w:val="center"/>
          </w:tcPr>
          <w:p w14:paraId="7C64CECA">
            <w:pPr>
              <w:pStyle w:val="11"/>
            </w:pPr>
            <w:r>
              <w:t>绩效指标描述</w:t>
            </w:r>
          </w:p>
        </w:tc>
        <w:tc>
          <w:tcPr>
            <w:tcW w:w="1523" w:type="dxa"/>
            <w:vAlign w:val="center"/>
          </w:tcPr>
          <w:p w14:paraId="734C1D4E">
            <w:pPr>
              <w:pStyle w:val="11"/>
            </w:pPr>
            <w:r>
              <w:t>指标值</w:t>
            </w:r>
          </w:p>
        </w:tc>
        <w:tc>
          <w:tcPr>
            <w:tcW w:w="2021" w:type="dxa"/>
            <w:vAlign w:val="center"/>
          </w:tcPr>
          <w:p w14:paraId="07F29D33">
            <w:pPr>
              <w:pStyle w:val="11"/>
            </w:pPr>
            <w:r>
              <w:t>指标值确定依据</w:t>
            </w:r>
          </w:p>
        </w:tc>
      </w:tr>
      <w:tr w14:paraId="7AFEC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B1DEC">
            <w:pPr>
              <w:pStyle w:val="12"/>
            </w:pPr>
            <w:r>
              <w:t>产出指标</w:t>
            </w:r>
          </w:p>
        </w:tc>
        <w:tc>
          <w:tcPr>
            <w:tcW w:w="2268" w:type="dxa"/>
            <w:vAlign w:val="center"/>
          </w:tcPr>
          <w:p w14:paraId="0813D6BF">
            <w:pPr>
              <w:pStyle w:val="13"/>
            </w:pPr>
            <w:r>
              <w:t>成本指标</w:t>
            </w:r>
          </w:p>
        </w:tc>
        <w:tc>
          <w:tcPr>
            <w:tcW w:w="2835" w:type="dxa"/>
            <w:vAlign w:val="center"/>
          </w:tcPr>
          <w:p w14:paraId="4421E132">
            <w:pPr>
              <w:pStyle w:val="13"/>
            </w:pPr>
            <w:r>
              <w:t>生均拨款标准</w:t>
            </w:r>
          </w:p>
        </w:tc>
        <w:tc>
          <w:tcPr>
            <w:tcW w:w="5386" w:type="dxa"/>
            <w:vAlign w:val="center"/>
          </w:tcPr>
          <w:p w14:paraId="68C765F4">
            <w:pPr>
              <w:pStyle w:val="13"/>
            </w:pPr>
            <w:r>
              <w:t>初中生公用经费年生均初中940元，取暖费120元/生/年，住宿生补助300元/生/年的标准，随班就读学生补助7000元/生，</w:t>
            </w:r>
          </w:p>
        </w:tc>
        <w:tc>
          <w:tcPr>
            <w:tcW w:w="1523" w:type="dxa"/>
            <w:vAlign w:val="center"/>
          </w:tcPr>
          <w:p w14:paraId="295241C7">
            <w:pPr>
              <w:pStyle w:val="13"/>
            </w:pPr>
            <w:r>
              <w:t>1360元</w:t>
            </w:r>
          </w:p>
        </w:tc>
        <w:tc>
          <w:tcPr>
            <w:tcW w:w="2021" w:type="dxa"/>
            <w:vAlign w:val="center"/>
          </w:tcPr>
          <w:p w14:paraId="36450421">
            <w:pPr>
              <w:pStyle w:val="13"/>
            </w:pPr>
            <w:r>
              <w:t>城乡义务教育公用经费管理办法</w:t>
            </w:r>
          </w:p>
        </w:tc>
      </w:tr>
      <w:tr w14:paraId="334D5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92F3C"/>
        </w:tc>
        <w:tc>
          <w:tcPr>
            <w:tcW w:w="2268" w:type="dxa"/>
            <w:vAlign w:val="center"/>
          </w:tcPr>
          <w:p w14:paraId="2455051A">
            <w:pPr>
              <w:pStyle w:val="13"/>
            </w:pPr>
            <w:r>
              <w:t>数量指标</w:t>
            </w:r>
          </w:p>
        </w:tc>
        <w:tc>
          <w:tcPr>
            <w:tcW w:w="2835" w:type="dxa"/>
            <w:vAlign w:val="center"/>
          </w:tcPr>
          <w:p w14:paraId="4C1ABCD9">
            <w:pPr>
              <w:pStyle w:val="13"/>
            </w:pPr>
            <w:r>
              <w:t>就读学生数</w:t>
            </w:r>
          </w:p>
        </w:tc>
        <w:tc>
          <w:tcPr>
            <w:tcW w:w="5386" w:type="dxa"/>
            <w:vAlign w:val="center"/>
          </w:tcPr>
          <w:p w14:paraId="071A45B4">
            <w:pPr>
              <w:pStyle w:val="13"/>
            </w:pPr>
            <w:r>
              <w:t>辐射区域内适龄学生人数</w:t>
            </w:r>
          </w:p>
        </w:tc>
        <w:tc>
          <w:tcPr>
            <w:tcW w:w="1523" w:type="dxa"/>
            <w:vAlign w:val="center"/>
          </w:tcPr>
          <w:p w14:paraId="3D297E19">
            <w:pPr>
              <w:pStyle w:val="13"/>
            </w:pPr>
            <w:r>
              <w:t>1172人</w:t>
            </w:r>
          </w:p>
        </w:tc>
        <w:tc>
          <w:tcPr>
            <w:tcW w:w="2021" w:type="dxa"/>
            <w:vAlign w:val="center"/>
          </w:tcPr>
          <w:p w14:paraId="3B184AD3">
            <w:pPr>
              <w:pStyle w:val="13"/>
            </w:pPr>
            <w:r>
              <w:t>城乡义务教育公用经费管理办法</w:t>
            </w:r>
          </w:p>
        </w:tc>
      </w:tr>
      <w:tr w14:paraId="7950B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6B31D"/>
        </w:tc>
        <w:tc>
          <w:tcPr>
            <w:tcW w:w="2268" w:type="dxa"/>
            <w:vAlign w:val="center"/>
          </w:tcPr>
          <w:p w14:paraId="5208B3D6">
            <w:pPr>
              <w:pStyle w:val="13"/>
            </w:pPr>
            <w:r>
              <w:t>质量指标</w:t>
            </w:r>
          </w:p>
        </w:tc>
        <w:tc>
          <w:tcPr>
            <w:tcW w:w="2835" w:type="dxa"/>
            <w:vAlign w:val="center"/>
          </w:tcPr>
          <w:p w14:paraId="39226690">
            <w:pPr>
              <w:pStyle w:val="13"/>
            </w:pPr>
            <w:r>
              <w:t>预算执行率</w:t>
            </w:r>
          </w:p>
        </w:tc>
        <w:tc>
          <w:tcPr>
            <w:tcW w:w="5386" w:type="dxa"/>
            <w:vAlign w:val="center"/>
          </w:tcPr>
          <w:p w14:paraId="3D2E7524">
            <w:pPr>
              <w:pStyle w:val="13"/>
            </w:pPr>
            <w:r>
              <w:t>预算执行率大于等于98%</w:t>
            </w:r>
          </w:p>
        </w:tc>
        <w:tc>
          <w:tcPr>
            <w:tcW w:w="1523" w:type="dxa"/>
            <w:vAlign w:val="center"/>
          </w:tcPr>
          <w:p w14:paraId="6AD1AD7E">
            <w:pPr>
              <w:pStyle w:val="13"/>
            </w:pPr>
            <w:r>
              <w:t>≥100%</w:t>
            </w:r>
          </w:p>
        </w:tc>
        <w:tc>
          <w:tcPr>
            <w:tcW w:w="2021" w:type="dxa"/>
            <w:vAlign w:val="center"/>
          </w:tcPr>
          <w:p w14:paraId="6D1CF9CB">
            <w:pPr>
              <w:pStyle w:val="13"/>
            </w:pPr>
            <w:r>
              <w:t>城乡义务教育公用经费管理办法</w:t>
            </w:r>
          </w:p>
        </w:tc>
      </w:tr>
      <w:tr w14:paraId="2BBEF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EA8C6"/>
        </w:tc>
        <w:tc>
          <w:tcPr>
            <w:tcW w:w="2268" w:type="dxa"/>
            <w:vAlign w:val="center"/>
          </w:tcPr>
          <w:p w14:paraId="32C442E4">
            <w:pPr>
              <w:pStyle w:val="13"/>
            </w:pPr>
            <w:r>
              <w:t>时效指标</w:t>
            </w:r>
          </w:p>
        </w:tc>
        <w:tc>
          <w:tcPr>
            <w:tcW w:w="2835" w:type="dxa"/>
            <w:vAlign w:val="center"/>
          </w:tcPr>
          <w:p w14:paraId="0954DA7A">
            <w:pPr>
              <w:pStyle w:val="13"/>
            </w:pPr>
            <w:r>
              <w:t>义教经费支付完成率</w:t>
            </w:r>
          </w:p>
        </w:tc>
        <w:tc>
          <w:tcPr>
            <w:tcW w:w="5386" w:type="dxa"/>
            <w:vAlign w:val="center"/>
          </w:tcPr>
          <w:p w14:paraId="1321354E">
            <w:pPr>
              <w:pStyle w:val="13"/>
            </w:pPr>
            <w:r>
              <w:t>按照序时进度完成资金支付</w:t>
            </w:r>
          </w:p>
        </w:tc>
        <w:tc>
          <w:tcPr>
            <w:tcW w:w="1523" w:type="dxa"/>
            <w:vAlign w:val="center"/>
          </w:tcPr>
          <w:p w14:paraId="71DEE054">
            <w:pPr>
              <w:pStyle w:val="13"/>
            </w:pPr>
            <w:r>
              <w:t>100%</w:t>
            </w:r>
          </w:p>
        </w:tc>
        <w:tc>
          <w:tcPr>
            <w:tcW w:w="2021" w:type="dxa"/>
            <w:vAlign w:val="center"/>
          </w:tcPr>
          <w:p w14:paraId="70F8A489">
            <w:pPr>
              <w:pStyle w:val="13"/>
            </w:pPr>
            <w:r>
              <w:t>城乡义务教育公用经费管理办法</w:t>
            </w:r>
          </w:p>
        </w:tc>
      </w:tr>
      <w:tr w14:paraId="0D23B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99B58F">
            <w:pPr>
              <w:pStyle w:val="12"/>
            </w:pPr>
            <w:r>
              <w:t>效益指标</w:t>
            </w:r>
          </w:p>
        </w:tc>
        <w:tc>
          <w:tcPr>
            <w:tcW w:w="2268" w:type="dxa"/>
            <w:vAlign w:val="center"/>
          </w:tcPr>
          <w:p w14:paraId="574164DE">
            <w:pPr>
              <w:pStyle w:val="13"/>
            </w:pPr>
            <w:r>
              <w:t>可持续影响指标</w:t>
            </w:r>
          </w:p>
        </w:tc>
        <w:tc>
          <w:tcPr>
            <w:tcW w:w="2835" w:type="dxa"/>
            <w:vAlign w:val="center"/>
          </w:tcPr>
          <w:p w14:paraId="7E8BB160">
            <w:pPr>
              <w:pStyle w:val="13"/>
            </w:pPr>
            <w:r>
              <w:t>学校运转得到提高</w:t>
            </w:r>
          </w:p>
        </w:tc>
        <w:tc>
          <w:tcPr>
            <w:tcW w:w="5386" w:type="dxa"/>
            <w:vAlign w:val="center"/>
          </w:tcPr>
          <w:p w14:paraId="291DC78D">
            <w:pPr>
              <w:pStyle w:val="13"/>
            </w:pPr>
            <w:r>
              <w:t>学生受教育年限</w:t>
            </w:r>
          </w:p>
        </w:tc>
        <w:tc>
          <w:tcPr>
            <w:tcW w:w="1523" w:type="dxa"/>
            <w:vAlign w:val="center"/>
          </w:tcPr>
          <w:p w14:paraId="2C8C60EB">
            <w:pPr>
              <w:pStyle w:val="13"/>
            </w:pPr>
            <w:r>
              <w:t>3年</w:t>
            </w:r>
          </w:p>
        </w:tc>
        <w:tc>
          <w:tcPr>
            <w:tcW w:w="2021" w:type="dxa"/>
            <w:vAlign w:val="center"/>
          </w:tcPr>
          <w:p w14:paraId="187BF504">
            <w:pPr>
              <w:pStyle w:val="13"/>
            </w:pPr>
            <w:r>
              <w:t>城乡义务教育公用经费管理办法</w:t>
            </w:r>
          </w:p>
        </w:tc>
      </w:tr>
      <w:tr w14:paraId="34A52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3F4D4E">
            <w:pPr>
              <w:pStyle w:val="12"/>
            </w:pPr>
            <w:r>
              <w:t>满意度指标</w:t>
            </w:r>
          </w:p>
        </w:tc>
        <w:tc>
          <w:tcPr>
            <w:tcW w:w="2268" w:type="dxa"/>
            <w:vAlign w:val="center"/>
          </w:tcPr>
          <w:p w14:paraId="2DFA8C22">
            <w:pPr>
              <w:pStyle w:val="13"/>
            </w:pPr>
            <w:r>
              <w:t>服务对象满意度指标</w:t>
            </w:r>
          </w:p>
        </w:tc>
        <w:tc>
          <w:tcPr>
            <w:tcW w:w="2835" w:type="dxa"/>
            <w:vAlign w:val="center"/>
          </w:tcPr>
          <w:p w14:paraId="58CB9DD3">
            <w:pPr>
              <w:pStyle w:val="13"/>
            </w:pPr>
            <w:r>
              <w:t>服务对象满意度</w:t>
            </w:r>
          </w:p>
        </w:tc>
        <w:tc>
          <w:tcPr>
            <w:tcW w:w="5386" w:type="dxa"/>
            <w:vAlign w:val="center"/>
          </w:tcPr>
          <w:p w14:paraId="2BBB1C3C">
            <w:pPr>
              <w:pStyle w:val="13"/>
            </w:pPr>
            <w:r>
              <w:t>学校老师和学生对学校教育教学工作满意度</w:t>
            </w:r>
          </w:p>
        </w:tc>
        <w:tc>
          <w:tcPr>
            <w:tcW w:w="1523" w:type="dxa"/>
            <w:vAlign w:val="center"/>
          </w:tcPr>
          <w:p w14:paraId="1CF1E0FE">
            <w:pPr>
              <w:pStyle w:val="13"/>
            </w:pPr>
            <w:r>
              <w:t>≥95%</w:t>
            </w:r>
          </w:p>
        </w:tc>
        <w:tc>
          <w:tcPr>
            <w:tcW w:w="2021" w:type="dxa"/>
            <w:vAlign w:val="center"/>
          </w:tcPr>
          <w:p w14:paraId="65572056">
            <w:pPr>
              <w:pStyle w:val="13"/>
            </w:pPr>
            <w:r>
              <w:t>问卷调查</w:t>
            </w:r>
          </w:p>
        </w:tc>
      </w:tr>
    </w:tbl>
    <w:p w14:paraId="7C38303A">
      <w:pPr>
        <w:sectPr>
          <w:pgSz w:w="16840" w:h="11900" w:orient="landscape"/>
          <w:pgMar w:top="1361" w:right="1020" w:bottom="1134" w:left="1020" w:header="720" w:footer="720" w:gutter="0"/>
          <w:cols w:space="720" w:num="1"/>
        </w:sectPr>
      </w:pPr>
    </w:p>
    <w:p w14:paraId="0E78DA80">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2、冀财教[2024]123号/中央/2025年义教补助经费/校舍安全保障/双碑中学楼顶盖瓦等维修改造绩效目标表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38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76434">
            <w:pPr>
              <w:pStyle w:val="14"/>
            </w:pPr>
            <w:r>
              <w:t>单位：万元</w:t>
            </w:r>
          </w:p>
        </w:tc>
      </w:tr>
      <w:tr w14:paraId="2C58C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F68FD">
            <w:pPr>
              <w:pStyle w:val="11"/>
            </w:pPr>
            <w:r>
              <w:t>项目编码</w:t>
            </w:r>
          </w:p>
        </w:tc>
        <w:tc>
          <w:tcPr>
            <w:tcW w:w="5103" w:type="dxa"/>
            <w:gridSpan w:val="2"/>
            <w:vAlign w:val="center"/>
          </w:tcPr>
          <w:p w14:paraId="30ED35DA">
            <w:pPr>
              <w:pStyle w:val="13"/>
            </w:pPr>
            <w:r>
              <w:t>13052525P00876210025L</w:t>
            </w:r>
          </w:p>
        </w:tc>
        <w:tc>
          <w:tcPr>
            <w:tcW w:w="2835" w:type="dxa"/>
            <w:vAlign w:val="center"/>
          </w:tcPr>
          <w:p w14:paraId="0BB54BF9">
            <w:pPr>
              <w:pStyle w:val="11"/>
            </w:pPr>
            <w:r>
              <w:t>项目名称</w:t>
            </w:r>
          </w:p>
        </w:tc>
        <w:tc>
          <w:tcPr>
            <w:tcW w:w="6095" w:type="dxa"/>
            <w:gridSpan w:val="3"/>
            <w:vAlign w:val="center"/>
          </w:tcPr>
          <w:p w14:paraId="0DFFFC88">
            <w:pPr>
              <w:pStyle w:val="13"/>
            </w:pPr>
            <w:r>
              <w:t>冀财教[2024]123号/中央/2025年义教补助经费/校舍安全保障/双碑中学楼顶盖瓦等维修改造</w:t>
            </w:r>
          </w:p>
        </w:tc>
      </w:tr>
      <w:tr w14:paraId="15D6D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248AA">
            <w:pPr>
              <w:pStyle w:val="11"/>
            </w:pPr>
            <w:r>
              <w:t>预算规模及资金用途</w:t>
            </w:r>
          </w:p>
        </w:tc>
        <w:tc>
          <w:tcPr>
            <w:tcW w:w="2268" w:type="dxa"/>
            <w:vAlign w:val="center"/>
          </w:tcPr>
          <w:p w14:paraId="61EA4EA8">
            <w:pPr>
              <w:pStyle w:val="11"/>
            </w:pPr>
            <w:r>
              <w:t>预算数</w:t>
            </w:r>
          </w:p>
        </w:tc>
        <w:tc>
          <w:tcPr>
            <w:tcW w:w="2835" w:type="dxa"/>
            <w:vAlign w:val="center"/>
          </w:tcPr>
          <w:p w14:paraId="22FCE9F3">
            <w:pPr>
              <w:pStyle w:val="13"/>
            </w:pPr>
            <w:r>
              <w:t>43.00</w:t>
            </w:r>
          </w:p>
        </w:tc>
        <w:tc>
          <w:tcPr>
            <w:tcW w:w="2835" w:type="dxa"/>
            <w:vAlign w:val="center"/>
          </w:tcPr>
          <w:p w14:paraId="0DB47709">
            <w:pPr>
              <w:pStyle w:val="11"/>
            </w:pPr>
            <w:r>
              <w:t>其中：财政    资金</w:t>
            </w:r>
          </w:p>
        </w:tc>
        <w:tc>
          <w:tcPr>
            <w:tcW w:w="2551" w:type="dxa"/>
            <w:vAlign w:val="center"/>
          </w:tcPr>
          <w:p w14:paraId="175147CB">
            <w:pPr>
              <w:pStyle w:val="13"/>
            </w:pPr>
            <w:r>
              <w:t>43.00</w:t>
            </w:r>
          </w:p>
        </w:tc>
        <w:tc>
          <w:tcPr>
            <w:tcW w:w="2268" w:type="dxa"/>
            <w:vAlign w:val="center"/>
          </w:tcPr>
          <w:p w14:paraId="493A3DDC">
            <w:pPr>
              <w:pStyle w:val="11"/>
            </w:pPr>
            <w:r>
              <w:t>其他资金</w:t>
            </w:r>
          </w:p>
        </w:tc>
        <w:tc>
          <w:tcPr>
            <w:tcW w:w="1276" w:type="dxa"/>
            <w:vAlign w:val="center"/>
          </w:tcPr>
          <w:p w14:paraId="2E7BE7B3">
            <w:pPr>
              <w:pStyle w:val="13"/>
            </w:pPr>
            <w:r>
              <w:t xml:space="preserve"> </w:t>
            </w:r>
          </w:p>
        </w:tc>
      </w:tr>
      <w:tr w14:paraId="1D878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DC68F2"/>
        </w:tc>
        <w:tc>
          <w:tcPr>
            <w:tcW w:w="14033" w:type="dxa"/>
            <w:gridSpan w:val="6"/>
            <w:vAlign w:val="center"/>
          </w:tcPr>
          <w:p w14:paraId="659DBDE4">
            <w:pPr>
              <w:pStyle w:val="13"/>
            </w:pPr>
            <w:r>
              <w:t>保障义务教育阶段教学安全，改善师生教学环境</w:t>
            </w:r>
          </w:p>
        </w:tc>
      </w:tr>
      <w:tr w14:paraId="49490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69B45">
            <w:pPr>
              <w:pStyle w:val="11"/>
            </w:pPr>
            <w:r>
              <w:t>资金支出计划（%）</w:t>
            </w:r>
          </w:p>
        </w:tc>
        <w:tc>
          <w:tcPr>
            <w:tcW w:w="5103" w:type="dxa"/>
            <w:gridSpan w:val="2"/>
            <w:vAlign w:val="center"/>
          </w:tcPr>
          <w:p w14:paraId="6D6E38EF">
            <w:pPr>
              <w:pStyle w:val="11"/>
            </w:pPr>
            <w:r>
              <w:t>3月底</w:t>
            </w:r>
          </w:p>
        </w:tc>
        <w:tc>
          <w:tcPr>
            <w:tcW w:w="2835" w:type="dxa"/>
            <w:vAlign w:val="center"/>
          </w:tcPr>
          <w:p w14:paraId="502D6BA6">
            <w:pPr>
              <w:pStyle w:val="11"/>
            </w:pPr>
            <w:r>
              <w:t>6月底</w:t>
            </w:r>
          </w:p>
        </w:tc>
        <w:tc>
          <w:tcPr>
            <w:tcW w:w="2551" w:type="dxa"/>
            <w:vAlign w:val="center"/>
          </w:tcPr>
          <w:p w14:paraId="340C3D85">
            <w:pPr>
              <w:pStyle w:val="11"/>
            </w:pPr>
            <w:r>
              <w:t>10月底</w:t>
            </w:r>
          </w:p>
        </w:tc>
        <w:tc>
          <w:tcPr>
            <w:tcW w:w="3544" w:type="dxa"/>
            <w:gridSpan w:val="2"/>
            <w:vAlign w:val="center"/>
          </w:tcPr>
          <w:p w14:paraId="4ADA3C0D">
            <w:pPr>
              <w:pStyle w:val="11"/>
            </w:pPr>
            <w:r>
              <w:t>12月底</w:t>
            </w:r>
          </w:p>
        </w:tc>
      </w:tr>
      <w:tr w14:paraId="2B635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B2CDB"/>
        </w:tc>
        <w:tc>
          <w:tcPr>
            <w:tcW w:w="5103" w:type="dxa"/>
            <w:gridSpan w:val="2"/>
            <w:vAlign w:val="center"/>
          </w:tcPr>
          <w:p w14:paraId="5C9BBD24">
            <w:pPr>
              <w:pStyle w:val="12"/>
            </w:pPr>
            <w:r>
              <w:t xml:space="preserve"> </w:t>
            </w:r>
          </w:p>
        </w:tc>
        <w:tc>
          <w:tcPr>
            <w:tcW w:w="2835" w:type="dxa"/>
            <w:vAlign w:val="center"/>
          </w:tcPr>
          <w:p w14:paraId="55BD6A59">
            <w:pPr>
              <w:pStyle w:val="12"/>
            </w:pPr>
            <w:r>
              <w:t xml:space="preserve"> </w:t>
            </w:r>
          </w:p>
        </w:tc>
        <w:tc>
          <w:tcPr>
            <w:tcW w:w="2551" w:type="dxa"/>
            <w:vAlign w:val="center"/>
          </w:tcPr>
          <w:p w14:paraId="17D4A3C5">
            <w:pPr>
              <w:pStyle w:val="12"/>
            </w:pPr>
            <w:r>
              <w:t>100%</w:t>
            </w:r>
          </w:p>
        </w:tc>
        <w:tc>
          <w:tcPr>
            <w:tcW w:w="3544" w:type="dxa"/>
            <w:gridSpan w:val="2"/>
            <w:vAlign w:val="center"/>
          </w:tcPr>
          <w:p w14:paraId="1F74CA38">
            <w:pPr>
              <w:pStyle w:val="12"/>
            </w:pPr>
            <w:r>
              <w:t>100%</w:t>
            </w:r>
          </w:p>
        </w:tc>
      </w:tr>
      <w:tr w14:paraId="31163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24A17">
            <w:pPr>
              <w:pStyle w:val="11"/>
            </w:pPr>
            <w:r>
              <w:t>绩效目标</w:t>
            </w:r>
          </w:p>
        </w:tc>
        <w:tc>
          <w:tcPr>
            <w:tcW w:w="14033" w:type="dxa"/>
            <w:gridSpan w:val="6"/>
            <w:vAlign w:val="center"/>
          </w:tcPr>
          <w:p w14:paraId="513F1428">
            <w:pPr>
              <w:pStyle w:val="13"/>
            </w:pPr>
            <w:r>
              <w:t>1.项目需资金43万元，资金拨付率达到100%。</w:t>
            </w:r>
            <w:r>
              <w:tab/>
            </w:r>
            <w:r>
              <w:tab/>
            </w:r>
            <w:r>
              <w:tab/>
            </w:r>
            <w:r>
              <w:tab/>
            </w:r>
          </w:p>
          <w:p w14:paraId="25215EFF">
            <w:pPr>
              <w:pStyle w:val="13"/>
            </w:pPr>
            <w:r>
              <w:t>2.改善就学条件，提升学校形象，保障义务教育阶段教学安全，改善师生教学环境，创造良好的校园环境。</w:t>
            </w:r>
            <w:r>
              <w:tab/>
            </w:r>
            <w:r>
              <w:tab/>
            </w:r>
            <w:r>
              <w:tab/>
            </w:r>
            <w:r>
              <w:tab/>
            </w:r>
            <w:r>
              <w:tab/>
            </w:r>
            <w:r>
              <w:tab/>
            </w:r>
          </w:p>
        </w:tc>
      </w:tr>
    </w:tbl>
    <w:p w14:paraId="3C355B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71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809B7">
            <w:pPr>
              <w:pStyle w:val="11"/>
            </w:pPr>
            <w:r>
              <w:t>一级指标</w:t>
            </w:r>
          </w:p>
        </w:tc>
        <w:tc>
          <w:tcPr>
            <w:tcW w:w="2268" w:type="dxa"/>
            <w:vAlign w:val="center"/>
          </w:tcPr>
          <w:p w14:paraId="53F93A05">
            <w:pPr>
              <w:pStyle w:val="11"/>
            </w:pPr>
            <w:r>
              <w:t>二级指标</w:t>
            </w:r>
          </w:p>
        </w:tc>
        <w:tc>
          <w:tcPr>
            <w:tcW w:w="2835" w:type="dxa"/>
            <w:vAlign w:val="center"/>
          </w:tcPr>
          <w:p w14:paraId="22BCDE3E">
            <w:pPr>
              <w:pStyle w:val="11"/>
            </w:pPr>
            <w:r>
              <w:t>三级指标</w:t>
            </w:r>
          </w:p>
        </w:tc>
        <w:tc>
          <w:tcPr>
            <w:tcW w:w="5386" w:type="dxa"/>
            <w:vAlign w:val="center"/>
          </w:tcPr>
          <w:p w14:paraId="5D280353">
            <w:pPr>
              <w:pStyle w:val="11"/>
            </w:pPr>
            <w:r>
              <w:t>绩效指标描述</w:t>
            </w:r>
          </w:p>
        </w:tc>
        <w:tc>
          <w:tcPr>
            <w:tcW w:w="2268" w:type="dxa"/>
            <w:vAlign w:val="center"/>
          </w:tcPr>
          <w:p w14:paraId="08C4B53E">
            <w:pPr>
              <w:pStyle w:val="11"/>
            </w:pPr>
            <w:r>
              <w:t>指标值</w:t>
            </w:r>
          </w:p>
        </w:tc>
        <w:tc>
          <w:tcPr>
            <w:tcW w:w="1276" w:type="dxa"/>
            <w:vAlign w:val="center"/>
          </w:tcPr>
          <w:p w14:paraId="7291ADDA">
            <w:pPr>
              <w:pStyle w:val="11"/>
            </w:pPr>
            <w:r>
              <w:t>指标值确定依据</w:t>
            </w:r>
          </w:p>
        </w:tc>
      </w:tr>
      <w:tr w14:paraId="2327B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2FAF1">
            <w:pPr>
              <w:pStyle w:val="12"/>
            </w:pPr>
            <w:r>
              <w:t>产出指标</w:t>
            </w:r>
          </w:p>
        </w:tc>
        <w:tc>
          <w:tcPr>
            <w:tcW w:w="2268" w:type="dxa"/>
            <w:vAlign w:val="center"/>
          </w:tcPr>
          <w:p w14:paraId="4B3F267F">
            <w:pPr>
              <w:pStyle w:val="13"/>
            </w:pPr>
            <w:r>
              <w:t>数量指标</w:t>
            </w:r>
          </w:p>
        </w:tc>
        <w:tc>
          <w:tcPr>
            <w:tcW w:w="2835" w:type="dxa"/>
            <w:vAlign w:val="center"/>
          </w:tcPr>
          <w:p w14:paraId="244C5D03">
            <w:pPr>
              <w:pStyle w:val="13"/>
            </w:pPr>
            <w:r>
              <w:t xml:space="preserve"> 楼顶盖瓦、停车场铺砖、学生劳动基地</w:t>
            </w:r>
          </w:p>
        </w:tc>
        <w:tc>
          <w:tcPr>
            <w:tcW w:w="5386" w:type="dxa"/>
            <w:vAlign w:val="center"/>
          </w:tcPr>
          <w:p w14:paraId="56F2964E">
            <w:pPr>
              <w:pStyle w:val="13"/>
            </w:pPr>
            <w:r>
              <w:t>面积</w:t>
            </w:r>
          </w:p>
        </w:tc>
        <w:tc>
          <w:tcPr>
            <w:tcW w:w="2268" w:type="dxa"/>
            <w:vAlign w:val="center"/>
          </w:tcPr>
          <w:p w14:paraId="0A77B409">
            <w:pPr>
              <w:pStyle w:val="13"/>
            </w:pPr>
            <w:r>
              <w:t>≥6650平方米</w:t>
            </w:r>
          </w:p>
        </w:tc>
        <w:tc>
          <w:tcPr>
            <w:tcW w:w="1276" w:type="dxa"/>
            <w:vAlign w:val="center"/>
          </w:tcPr>
          <w:p w14:paraId="3C45E4C9">
            <w:pPr>
              <w:pStyle w:val="13"/>
            </w:pPr>
            <w:r>
              <w:t>项目规划</w:t>
            </w:r>
          </w:p>
        </w:tc>
      </w:tr>
      <w:tr w14:paraId="0F7DB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28C28"/>
        </w:tc>
        <w:tc>
          <w:tcPr>
            <w:tcW w:w="2268" w:type="dxa"/>
            <w:vAlign w:val="center"/>
          </w:tcPr>
          <w:p w14:paraId="61639F87">
            <w:pPr>
              <w:pStyle w:val="13"/>
            </w:pPr>
            <w:r>
              <w:t>质量指标</w:t>
            </w:r>
          </w:p>
        </w:tc>
        <w:tc>
          <w:tcPr>
            <w:tcW w:w="2835" w:type="dxa"/>
            <w:vAlign w:val="center"/>
          </w:tcPr>
          <w:p w14:paraId="5C056173">
            <w:pPr>
              <w:pStyle w:val="13"/>
            </w:pPr>
            <w:r>
              <w:t>工程实施验收合格率</w:t>
            </w:r>
          </w:p>
        </w:tc>
        <w:tc>
          <w:tcPr>
            <w:tcW w:w="5386" w:type="dxa"/>
            <w:vAlign w:val="center"/>
          </w:tcPr>
          <w:p w14:paraId="3769BD43">
            <w:pPr>
              <w:pStyle w:val="13"/>
            </w:pPr>
            <w:r>
              <w:t>申报程序的合规，项目实施及资金使用符合项目规划</w:t>
            </w:r>
          </w:p>
        </w:tc>
        <w:tc>
          <w:tcPr>
            <w:tcW w:w="2268" w:type="dxa"/>
            <w:vAlign w:val="center"/>
          </w:tcPr>
          <w:p w14:paraId="78D425F4">
            <w:pPr>
              <w:pStyle w:val="13"/>
            </w:pPr>
            <w:r>
              <w:t>100%</w:t>
            </w:r>
          </w:p>
        </w:tc>
        <w:tc>
          <w:tcPr>
            <w:tcW w:w="1276" w:type="dxa"/>
            <w:vAlign w:val="center"/>
          </w:tcPr>
          <w:p w14:paraId="5EA83ACC">
            <w:pPr>
              <w:pStyle w:val="13"/>
            </w:pPr>
            <w:r>
              <w:t>项目规划</w:t>
            </w:r>
          </w:p>
        </w:tc>
      </w:tr>
      <w:tr w14:paraId="4D9F6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63081"/>
        </w:tc>
        <w:tc>
          <w:tcPr>
            <w:tcW w:w="2268" w:type="dxa"/>
            <w:vAlign w:val="center"/>
          </w:tcPr>
          <w:p w14:paraId="50D26418">
            <w:pPr>
              <w:pStyle w:val="13"/>
            </w:pPr>
            <w:r>
              <w:t>时效指标</w:t>
            </w:r>
          </w:p>
        </w:tc>
        <w:tc>
          <w:tcPr>
            <w:tcW w:w="2835" w:type="dxa"/>
            <w:vAlign w:val="center"/>
          </w:tcPr>
          <w:p w14:paraId="75FA3AD6">
            <w:pPr>
              <w:pStyle w:val="13"/>
            </w:pPr>
            <w:r>
              <w:t>资金支付率</w:t>
            </w:r>
          </w:p>
        </w:tc>
        <w:tc>
          <w:tcPr>
            <w:tcW w:w="5386" w:type="dxa"/>
            <w:vAlign w:val="center"/>
          </w:tcPr>
          <w:p w14:paraId="2DE1A6DA">
            <w:pPr>
              <w:pStyle w:val="13"/>
            </w:pPr>
            <w:r>
              <w:t>按照序时进度完成资金支付</w:t>
            </w:r>
          </w:p>
        </w:tc>
        <w:tc>
          <w:tcPr>
            <w:tcW w:w="2268" w:type="dxa"/>
            <w:vAlign w:val="center"/>
          </w:tcPr>
          <w:p w14:paraId="066A4FA1">
            <w:pPr>
              <w:pStyle w:val="13"/>
            </w:pPr>
            <w:r>
              <w:t>100%</w:t>
            </w:r>
          </w:p>
        </w:tc>
        <w:tc>
          <w:tcPr>
            <w:tcW w:w="1276" w:type="dxa"/>
            <w:vAlign w:val="center"/>
          </w:tcPr>
          <w:p w14:paraId="203A55B5">
            <w:pPr>
              <w:pStyle w:val="13"/>
            </w:pPr>
            <w:r>
              <w:t>项目规划</w:t>
            </w:r>
          </w:p>
        </w:tc>
      </w:tr>
      <w:tr w14:paraId="150CA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38C9B"/>
        </w:tc>
        <w:tc>
          <w:tcPr>
            <w:tcW w:w="2268" w:type="dxa"/>
            <w:vAlign w:val="center"/>
          </w:tcPr>
          <w:p w14:paraId="65C43DE1">
            <w:pPr>
              <w:pStyle w:val="13"/>
            </w:pPr>
            <w:r>
              <w:t>成本指标</w:t>
            </w:r>
          </w:p>
        </w:tc>
        <w:tc>
          <w:tcPr>
            <w:tcW w:w="2835" w:type="dxa"/>
            <w:vAlign w:val="center"/>
          </w:tcPr>
          <w:p w14:paraId="6A238D72">
            <w:pPr>
              <w:pStyle w:val="13"/>
            </w:pPr>
            <w:r>
              <w:t>项目成本控制情况</w:t>
            </w:r>
          </w:p>
        </w:tc>
        <w:tc>
          <w:tcPr>
            <w:tcW w:w="5386" w:type="dxa"/>
            <w:vAlign w:val="center"/>
          </w:tcPr>
          <w:p w14:paraId="031B9269">
            <w:pPr>
              <w:pStyle w:val="13"/>
            </w:pPr>
            <w:r>
              <w:t>严格按照招标价格及审计额进行</w:t>
            </w:r>
          </w:p>
        </w:tc>
        <w:tc>
          <w:tcPr>
            <w:tcW w:w="2268" w:type="dxa"/>
            <w:vAlign w:val="center"/>
          </w:tcPr>
          <w:p w14:paraId="463FA09B">
            <w:pPr>
              <w:pStyle w:val="13"/>
            </w:pPr>
            <w:r>
              <w:t>≤43万元</w:t>
            </w:r>
          </w:p>
        </w:tc>
        <w:tc>
          <w:tcPr>
            <w:tcW w:w="1276" w:type="dxa"/>
            <w:vAlign w:val="center"/>
          </w:tcPr>
          <w:p w14:paraId="5A25DFCE">
            <w:pPr>
              <w:pStyle w:val="13"/>
            </w:pPr>
            <w:r>
              <w:t>项目规划</w:t>
            </w:r>
          </w:p>
        </w:tc>
      </w:tr>
      <w:tr w14:paraId="6268D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347254">
            <w:pPr>
              <w:pStyle w:val="12"/>
            </w:pPr>
            <w:r>
              <w:t>效益指标</w:t>
            </w:r>
          </w:p>
        </w:tc>
        <w:tc>
          <w:tcPr>
            <w:tcW w:w="2268" w:type="dxa"/>
            <w:vAlign w:val="center"/>
          </w:tcPr>
          <w:p w14:paraId="2747F7BA">
            <w:pPr>
              <w:pStyle w:val="13"/>
            </w:pPr>
            <w:r>
              <w:t>可持续影响指标</w:t>
            </w:r>
          </w:p>
        </w:tc>
        <w:tc>
          <w:tcPr>
            <w:tcW w:w="2835" w:type="dxa"/>
            <w:vAlign w:val="center"/>
          </w:tcPr>
          <w:p w14:paraId="08B9A5FE">
            <w:pPr>
              <w:pStyle w:val="13"/>
            </w:pPr>
            <w:r>
              <w:t>教育发展水平</w:t>
            </w:r>
          </w:p>
        </w:tc>
        <w:tc>
          <w:tcPr>
            <w:tcW w:w="5386" w:type="dxa"/>
            <w:vAlign w:val="center"/>
          </w:tcPr>
          <w:p w14:paraId="029FE2FF">
            <w:pPr>
              <w:pStyle w:val="13"/>
            </w:pPr>
            <w:r>
              <w:t>受益人数</w:t>
            </w:r>
          </w:p>
        </w:tc>
        <w:tc>
          <w:tcPr>
            <w:tcW w:w="2268" w:type="dxa"/>
            <w:vAlign w:val="center"/>
          </w:tcPr>
          <w:p w14:paraId="31CC917B">
            <w:pPr>
              <w:pStyle w:val="13"/>
            </w:pPr>
            <w:r>
              <w:t>≥1172人</w:t>
            </w:r>
          </w:p>
        </w:tc>
        <w:tc>
          <w:tcPr>
            <w:tcW w:w="1276" w:type="dxa"/>
            <w:vAlign w:val="center"/>
          </w:tcPr>
          <w:p w14:paraId="2CB1B879">
            <w:pPr>
              <w:pStyle w:val="13"/>
            </w:pPr>
            <w:r>
              <w:t>项目规划</w:t>
            </w:r>
          </w:p>
        </w:tc>
      </w:tr>
      <w:tr w14:paraId="37D8C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ECAB45">
            <w:pPr>
              <w:pStyle w:val="12"/>
            </w:pPr>
            <w:r>
              <w:t>满意度指标</w:t>
            </w:r>
          </w:p>
        </w:tc>
        <w:tc>
          <w:tcPr>
            <w:tcW w:w="2268" w:type="dxa"/>
            <w:vAlign w:val="center"/>
          </w:tcPr>
          <w:p w14:paraId="7B31ED30">
            <w:pPr>
              <w:pStyle w:val="13"/>
            </w:pPr>
            <w:r>
              <w:t>服务对象满意度指标</w:t>
            </w:r>
          </w:p>
        </w:tc>
        <w:tc>
          <w:tcPr>
            <w:tcW w:w="2835" w:type="dxa"/>
            <w:vAlign w:val="center"/>
          </w:tcPr>
          <w:p w14:paraId="0F2F290D">
            <w:pPr>
              <w:pStyle w:val="13"/>
            </w:pPr>
            <w:r>
              <w:t>学生、教师及家长对学校教学环境满意度情况</w:t>
            </w:r>
          </w:p>
        </w:tc>
        <w:tc>
          <w:tcPr>
            <w:tcW w:w="5386" w:type="dxa"/>
            <w:vAlign w:val="center"/>
          </w:tcPr>
          <w:p w14:paraId="269A0368">
            <w:pPr>
              <w:pStyle w:val="13"/>
            </w:pPr>
            <w:r>
              <w:t>学生、教师及家长对学校教学环境满意度情况</w:t>
            </w:r>
          </w:p>
        </w:tc>
        <w:tc>
          <w:tcPr>
            <w:tcW w:w="2268" w:type="dxa"/>
            <w:vAlign w:val="center"/>
          </w:tcPr>
          <w:p w14:paraId="1CCA6389">
            <w:pPr>
              <w:pStyle w:val="13"/>
            </w:pPr>
            <w:r>
              <w:t>≥95%</w:t>
            </w:r>
          </w:p>
        </w:tc>
        <w:tc>
          <w:tcPr>
            <w:tcW w:w="1276" w:type="dxa"/>
            <w:vAlign w:val="center"/>
          </w:tcPr>
          <w:p w14:paraId="6779A8C1">
            <w:pPr>
              <w:pStyle w:val="13"/>
            </w:pPr>
            <w:r>
              <w:t>调查问卷</w:t>
            </w:r>
          </w:p>
        </w:tc>
      </w:tr>
    </w:tbl>
    <w:p w14:paraId="0A8DF0AF">
      <w:pPr>
        <w:sectPr>
          <w:pgSz w:w="16840" w:h="11900" w:orient="landscape"/>
          <w:pgMar w:top="1361" w:right="1020" w:bottom="1134" w:left="1020" w:header="720" w:footer="720" w:gutter="0"/>
          <w:cols w:space="720" w:num="1"/>
        </w:sectPr>
      </w:pPr>
    </w:p>
    <w:p w14:paraId="1BDB0C65">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3、冀财教[2024]123号/中央/2025年义教补助经费/综合奖补/双碑中学防欺凌系统购置绩效目标表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FC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FDC19">
            <w:pPr>
              <w:pStyle w:val="14"/>
            </w:pPr>
            <w:r>
              <w:t>单位：万元</w:t>
            </w:r>
          </w:p>
        </w:tc>
      </w:tr>
      <w:tr w14:paraId="6CFB4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8BDEC3">
            <w:pPr>
              <w:pStyle w:val="11"/>
            </w:pPr>
            <w:r>
              <w:t>项目编码</w:t>
            </w:r>
          </w:p>
        </w:tc>
        <w:tc>
          <w:tcPr>
            <w:tcW w:w="5103" w:type="dxa"/>
            <w:gridSpan w:val="2"/>
            <w:vAlign w:val="center"/>
          </w:tcPr>
          <w:p w14:paraId="526AEA0F">
            <w:pPr>
              <w:pStyle w:val="13"/>
            </w:pPr>
            <w:r>
              <w:t>13052525P008756102508</w:t>
            </w:r>
          </w:p>
        </w:tc>
        <w:tc>
          <w:tcPr>
            <w:tcW w:w="2835" w:type="dxa"/>
            <w:vAlign w:val="center"/>
          </w:tcPr>
          <w:p w14:paraId="7694B8D3">
            <w:pPr>
              <w:pStyle w:val="11"/>
            </w:pPr>
            <w:r>
              <w:t>项目名称</w:t>
            </w:r>
          </w:p>
        </w:tc>
        <w:tc>
          <w:tcPr>
            <w:tcW w:w="6095" w:type="dxa"/>
            <w:gridSpan w:val="3"/>
            <w:vAlign w:val="center"/>
          </w:tcPr>
          <w:p w14:paraId="7156540E">
            <w:pPr>
              <w:pStyle w:val="13"/>
            </w:pPr>
            <w:r>
              <w:t>冀财教[2024]123号/中央/2025年义教补助经费/综合奖补/双碑中学防欺凌系统购置</w:t>
            </w:r>
          </w:p>
        </w:tc>
      </w:tr>
      <w:tr w14:paraId="0F478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F3D23">
            <w:pPr>
              <w:pStyle w:val="11"/>
            </w:pPr>
            <w:r>
              <w:t>预算规模及资金用途</w:t>
            </w:r>
          </w:p>
        </w:tc>
        <w:tc>
          <w:tcPr>
            <w:tcW w:w="2268" w:type="dxa"/>
            <w:vAlign w:val="center"/>
          </w:tcPr>
          <w:p w14:paraId="551E08AC">
            <w:pPr>
              <w:pStyle w:val="11"/>
            </w:pPr>
            <w:r>
              <w:t>预算数</w:t>
            </w:r>
          </w:p>
        </w:tc>
        <w:tc>
          <w:tcPr>
            <w:tcW w:w="2835" w:type="dxa"/>
            <w:vAlign w:val="center"/>
          </w:tcPr>
          <w:p w14:paraId="64E5B078">
            <w:pPr>
              <w:pStyle w:val="13"/>
            </w:pPr>
            <w:r>
              <w:t>25.00</w:t>
            </w:r>
          </w:p>
        </w:tc>
        <w:tc>
          <w:tcPr>
            <w:tcW w:w="2835" w:type="dxa"/>
            <w:vAlign w:val="center"/>
          </w:tcPr>
          <w:p w14:paraId="24190F8D">
            <w:pPr>
              <w:pStyle w:val="11"/>
            </w:pPr>
            <w:r>
              <w:t>其中：财政    资金</w:t>
            </w:r>
          </w:p>
        </w:tc>
        <w:tc>
          <w:tcPr>
            <w:tcW w:w="2551" w:type="dxa"/>
            <w:vAlign w:val="center"/>
          </w:tcPr>
          <w:p w14:paraId="37B349DE">
            <w:pPr>
              <w:pStyle w:val="13"/>
            </w:pPr>
            <w:r>
              <w:t>25.00</w:t>
            </w:r>
          </w:p>
        </w:tc>
        <w:tc>
          <w:tcPr>
            <w:tcW w:w="2268" w:type="dxa"/>
            <w:vAlign w:val="center"/>
          </w:tcPr>
          <w:p w14:paraId="5F564EB3">
            <w:pPr>
              <w:pStyle w:val="11"/>
            </w:pPr>
            <w:r>
              <w:t>其他资金</w:t>
            </w:r>
          </w:p>
        </w:tc>
        <w:tc>
          <w:tcPr>
            <w:tcW w:w="1276" w:type="dxa"/>
            <w:vAlign w:val="center"/>
          </w:tcPr>
          <w:p w14:paraId="65996DC7">
            <w:pPr>
              <w:pStyle w:val="13"/>
            </w:pPr>
            <w:r>
              <w:t xml:space="preserve"> </w:t>
            </w:r>
          </w:p>
        </w:tc>
      </w:tr>
      <w:tr w14:paraId="316F1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0B633D"/>
        </w:tc>
        <w:tc>
          <w:tcPr>
            <w:tcW w:w="14033" w:type="dxa"/>
            <w:gridSpan w:val="6"/>
            <w:vAlign w:val="center"/>
          </w:tcPr>
          <w:p w14:paraId="421E6D2E">
            <w:pPr>
              <w:pStyle w:val="13"/>
            </w:pPr>
            <w:r>
              <w:t>改善就学条件，提升学校形象，保障义务教育阶段教学安全，改善师生教学环境，创造良好的校园环境。</w:t>
            </w:r>
            <w:r>
              <w:tab/>
            </w:r>
          </w:p>
        </w:tc>
      </w:tr>
      <w:tr w14:paraId="1E208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3E72D">
            <w:pPr>
              <w:pStyle w:val="11"/>
            </w:pPr>
            <w:r>
              <w:t>资金支出计划（%）</w:t>
            </w:r>
          </w:p>
        </w:tc>
        <w:tc>
          <w:tcPr>
            <w:tcW w:w="5103" w:type="dxa"/>
            <w:gridSpan w:val="2"/>
            <w:vAlign w:val="center"/>
          </w:tcPr>
          <w:p w14:paraId="1DA79662">
            <w:pPr>
              <w:pStyle w:val="11"/>
            </w:pPr>
            <w:r>
              <w:t>3月底</w:t>
            </w:r>
          </w:p>
        </w:tc>
        <w:tc>
          <w:tcPr>
            <w:tcW w:w="2835" w:type="dxa"/>
            <w:vAlign w:val="center"/>
          </w:tcPr>
          <w:p w14:paraId="4C2344EA">
            <w:pPr>
              <w:pStyle w:val="11"/>
            </w:pPr>
            <w:r>
              <w:t>6月底</w:t>
            </w:r>
          </w:p>
        </w:tc>
        <w:tc>
          <w:tcPr>
            <w:tcW w:w="2551" w:type="dxa"/>
            <w:vAlign w:val="center"/>
          </w:tcPr>
          <w:p w14:paraId="36B27FA7">
            <w:pPr>
              <w:pStyle w:val="11"/>
            </w:pPr>
            <w:r>
              <w:t>10月底</w:t>
            </w:r>
          </w:p>
        </w:tc>
        <w:tc>
          <w:tcPr>
            <w:tcW w:w="3544" w:type="dxa"/>
            <w:gridSpan w:val="2"/>
            <w:vAlign w:val="center"/>
          </w:tcPr>
          <w:p w14:paraId="4C08C09B">
            <w:pPr>
              <w:pStyle w:val="11"/>
            </w:pPr>
            <w:r>
              <w:t>12月底</w:t>
            </w:r>
          </w:p>
        </w:tc>
      </w:tr>
      <w:tr w14:paraId="033A4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134ECD"/>
        </w:tc>
        <w:tc>
          <w:tcPr>
            <w:tcW w:w="5103" w:type="dxa"/>
            <w:gridSpan w:val="2"/>
            <w:vAlign w:val="center"/>
          </w:tcPr>
          <w:p w14:paraId="0BA33B7D">
            <w:pPr>
              <w:pStyle w:val="12"/>
            </w:pPr>
            <w:r>
              <w:t>25%</w:t>
            </w:r>
          </w:p>
        </w:tc>
        <w:tc>
          <w:tcPr>
            <w:tcW w:w="2835" w:type="dxa"/>
            <w:vAlign w:val="center"/>
          </w:tcPr>
          <w:p w14:paraId="6FFBD579">
            <w:pPr>
              <w:pStyle w:val="12"/>
            </w:pPr>
            <w:r>
              <w:t>50%</w:t>
            </w:r>
          </w:p>
        </w:tc>
        <w:tc>
          <w:tcPr>
            <w:tcW w:w="2551" w:type="dxa"/>
            <w:vAlign w:val="center"/>
          </w:tcPr>
          <w:p w14:paraId="76B5D94C">
            <w:pPr>
              <w:pStyle w:val="12"/>
            </w:pPr>
            <w:r>
              <w:t>75%</w:t>
            </w:r>
          </w:p>
        </w:tc>
        <w:tc>
          <w:tcPr>
            <w:tcW w:w="3544" w:type="dxa"/>
            <w:gridSpan w:val="2"/>
            <w:vAlign w:val="center"/>
          </w:tcPr>
          <w:p w14:paraId="3524EB27">
            <w:pPr>
              <w:pStyle w:val="12"/>
            </w:pPr>
            <w:r>
              <w:t>100%</w:t>
            </w:r>
          </w:p>
        </w:tc>
      </w:tr>
      <w:tr w14:paraId="38CDF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CA434">
            <w:pPr>
              <w:pStyle w:val="11"/>
            </w:pPr>
            <w:r>
              <w:t>绩效目标</w:t>
            </w:r>
          </w:p>
        </w:tc>
        <w:tc>
          <w:tcPr>
            <w:tcW w:w="14033" w:type="dxa"/>
            <w:gridSpan w:val="6"/>
            <w:vAlign w:val="center"/>
          </w:tcPr>
          <w:p w14:paraId="1445FBD8">
            <w:pPr>
              <w:pStyle w:val="13"/>
            </w:pPr>
            <w:r>
              <w:t>1.项目需资金25万元，资金拨付率达到100%。</w:t>
            </w:r>
            <w:r>
              <w:tab/>
            </w:r>
            <w:r>
              <w:tab/>
            </w:r>
            <w:r>
              <w:tab/>
            </w:r>
            <w:r>
              <w:tab/>
            </w:r>
            <w:r>
              <w:tab/>
            </w:r>
            <w:r>
              <w:tab/>
            </w:r>
            <w:r>
              <w:tab/>
            </w:r>
            <w:r>
              <w:tab/>
            </w:r>
          </w:p>
          <w:p w14:paraId="3BEB8AFD">
            <w:pPr>
              <w:pStyle w:val="13"/>
            </w:pPr>
            <w:r>
              <w:t>2.改善就学条件，提升学校形象，保障义务教育阶段教学安全，改善师生教学环境，创造良好的校园环境。</w:t>
            </w:r>
            <w:r>
              <w:tab/>
            </w:r>
            <w:r>
              <w:tab/>
            </w:r>
            <w:r>
              <w:tab/>
            </w:r>
            <w:r>
              <w:tab/>
            </w:r>
            <w:r>
              <w:tab/>
            </w:r>
            <w:r>
              <w:tab/>
            </w:r>
            <w:r>
              <w:tab/>
            </w:r>
            <w:r>
              <w:tab/>
            </w:r>
            <w:r>
              <w:tab/>
            </w:r>
          </w:p>
        </w:tc>
      </w:tr>
    </w:tbl>
    <w:p w14:paraId="485D6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9C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9716C">
            <w:pPr>
              <w:pStyle w:val="11"/>
            </w:pPr>
            <w:r>
              <w:t>一级指标</w:t>
            </w:r>
          </w:p>
        </w:tc>
        <w:tc>
          <w:tcPr>
            <w:tcW w:w="2268" w:type="dxa"/>
            <w:vAlign w:val="center"/>
          </w:tcPr>
          <w:p w14:paraId="117E65F0">
            <w:pPr>
              <w:pStyle w:val="11"/>
            </w:pPr>
            <w:r>
              <w:t>二级指标</w:t>
            </w:r>
          </w:p>
        </w:tc>
        <w:tc>
          <w:tcPr>
            <w:tcW w:w="2835" w:type="dxa"/>
            <w:vAlign w:val="center"/>
          </w:tcPr>
          <w:p w14:paraId="4570E53D">
            <w:pPr>
              <w:pStyle w:val="11"/>
            </w:pPr>
            <w:r>
              <w:t>三级指标</w:t>
            </w:r>
          </w:p>
        </w:tc>
        <w:tc>
          <w:tcPr>
            <w:tcW w:w="5386" w:type="dxa"/>
            <w:vAlign w:val="center"/>
          </w:tcPr>
          <w:p w14:paraId="78209BEE">
            <w:pPr>
              <w:pStyle w:val="11"/>
            </w:pPr>
            <w:r>
              <w:t>绩效指标描述</w:t>
            </w:r>
          </w:p>
        </w:tc>
        <w:tc>
          <w:tcPr>
            <w:tcW w:w="2268" w:type="dxa"/>
            <w:vAlign w:val="center"/>
          </w:tcPr>
          <w:p w14:paraId="45732475">
            <w:pPr>
              <w:pStyle w:val="11"/>
            </w:pPr>
            <w:r>
              <w:t>指标值</w:t>
            </w:r>
          </w:p>
        </w:tc>
        <w:tc>
          <w:tcPr>
            <w:tcW w:w="1276" w:type="dxa"/>
            <w:vAlign w:val="center"/>
          </w:tcPr>
          <w:p w14:paraId="4A6E14CA">
            <w:pPr>
              <w:pStyle w:val="11"/>
            </w:pPr>
            <w:r>
              <w:t>指标值确定依据</w:t>
            </w:r>
          </w:p>
        </w:tc>
      </w:tr>
      <w:tr w14:paraId="2071B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53F86">
            <w:pPr>
              <w:pStyle w:val="12"/>
            </w:pPr>
            <w:r>
              <w:t>产出指标</w:t>
            </w:r>
          </w:p>
        </w:tc>
        <w:tc>
          <w:tcPr>
            <w:tcW w:w="2268" w:type="dxa"/>
            <w:vAlign w:val="center"/>
          </w:tcPr>
          <w:p w14:paraId="1E6D3FD1">
            <w:pPr>
              <w:pStyle w:val="13"/>
            </w:pPr>
            <w:r>
              <w:t>数量指标</w:t>
            </w:r>
          </w:p>
        </w:tc>
        <w:tc>
          <w:tcPr>
            <w:tcW w:w="2835" w:type="dxa"/>
            <w:vAlign w:val="center"/>
          </w:tcPr>
          <w:p w14:paraId="13CA4593">
            <w:pPr>
              <w:pStyle w:val="13"/>
            </w:pPr>
            <w:r>
              <w:t>安装防欺凌系统</w:t>
            </w:r>
          </w:p>
        </w:tc>
        <w:tc>
          <w:tcPr>
            <w:tcW w:w="5386" w:type="dxa"/>
            <w:vAlign w:val="center"/>
          </w:tcPr>
          <w:p w14:paraId="4CDD7AF0">
            <w:pPr>
              <w:pStyle w:val="13"/>
            </w:pPr>
            <w:r>
              <w:t>安装防欺凌系统</w:t>
            </w:r>
          </w:p>
          <w:p w14:paraId="117B9BAB">
            <w:pPr>
              <w:pStyle w:val="13"/>
            </w:pPr>
          </w:p>
        </w:tc>
        <w:tc>
          <w:tcPr>
            <w:tcW w:w="2268" w:type="dxa"/>
            <w:vAlign w:val="center"/>
          </w:tcPr>
          <w:p w14:paraId="55855393">
            <w:pPr>
              <w:pStyle w:val="13"/>
            </w:pPr>
            <w:r>
              <w:t>1套</w:t>
            </w:r>
          </w:p>
        </w:tc>
        <w:tc>
          <w:tcPr>
            <w:tcW w:w="1276" w:type="dxa"/>
            <w:vAlign w:val="center"/>
          </w:tcPr>
          <w:p w14:paraId="41B44A1B">
            <w:pPr>
              <w:pStyle w:val="13"/>
            </w:pPr>
            <w:r>
              <w:t>城乡义务教育公共经费</w:t>
            </w:r>
          </w:p>
        </w:tc>
      </w:tr>
      <w:tr w14:paraId="03AF7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7B860"/>
        </w:tc>
        <w:tc>
          <w:tcPr>
            <w:tcW w:w="2268" w:type="dxa"/>
            <w:vAlign w:val="center"/>
          </w:tcPr>
          <w:p w14:paraId="4002BE99">
            <w:pPr>
              <w:pStyle w:val="13"/>
            </w:pPr>
            <w:r>
              <w:t>质量指标</w:t>
            </w:r>
          </w:p>
        </w:tc>
        <w:tc>
          <w:tcPr>
            <w:tcW w:w="2835" w:type="dxa"/>
            <w:vAlign w:val="center"/>
          </w:tcPr>
          <w:p w14:paraId="6E392C0F">
            <w:pPr>
              <w:pStyle w:val="13"/>
            </w:pPr>
            <w:r>
              <w:t>工程实施验收合格率</w:t>
            </w:r>
          </w:p>
        </w:tc>
        <w:tc>
          <w:tcPr>
            <w:tcW w:w="5386" w:type="dxa"/>
            <w:vAlign w:val="center"/>
          </w:tcPr>
          <w:p w14:paraId="35C405B3">
            <w:pPr>
              <w:pStyle w:val="13"/>
            </w:pPr>
            <w:r>
              <w:t>申报程序的合规，项目实施及资金使用符合项目规划</w:t>
            </w:r>
          </w:p>
        </w:tc>
        <w:tc>
          <w:tcPr>
            <w:tcW w:w="2268" w:type="dxa"/>
            <w:vAlign w:val="center"/>
          </w:tcPr>
          <w:p w14:paraId="5A5FDAEF">
            <w:pPr>
              <w:pStyle w:val="13"/>
            </w:pPr>
            <w:r>
              <w:t>100%</w:t>
            </w:r>
          </w:p>
        </w:tc>
        <w:tc>
          <w:tcPr>
            <w:tcW w:w="1276" w:type="dxa"/>
            <w:vAlign w:val="center"/>
          </w:tcPr>
          <w:p w14:paraId="217B6EC0">
            <w:pPr>
              <w:pStyle w:val="13"/>
            </w:pPr>
            <w:r>
              <w:t>城乡义务教育公共经费</w:t>
            </w:r>
          </w:p>
        </w:tc>
      </w:tr>
      <w:tr w14:paraId="6675D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24A0A"/>
        </w:tc>
        <w:tc>
          <w:tcPr>
            <w:tcW w:w="2268" w:type="dxa"/>
            <w:vAlign w:val="center"/>
          </w:tcPr>
          <w:p w14:paraId="43D6EAE9">
            <w:pPr>
              <w:pStyle w:val="13"/>
            </w:pPr>
            <w:r>
              <w:t>时效指标</w:t>
            </w:r>
          </w:p>
        </w:tc>
        <w:tc>
          <w:tcPr>
            <w:tcW w:w="2835" w:type="dxa"/>
            <w:vAlign w:val="center"/>
          </w:tcPr>
          <w:p w14:paraId="6EF111DA">
            <w:pPr>
              <w:pStyle w:val="13"/>
            </w:pPr>
            <w:r>
              <w:t>资金支付率</w:t>
            </w:r>
          </w:p>
        </w:tc>
        <w:tc>
          <w:tcPr>
            <w:tcW w:w="5386" w:type="dxa"/>
            <w:vAlign w:val="center"/>
          </w:tcPr>
          <w:p w14:paraId="02C4CFC2">
            <w:pPr>
              <w:pStyle w:val="13"/>
            </w:pPr>
            <w:r>
              <w:t>按照序时进度完成资金支付</w:t>
            </w:r>
          </w:p>
        </w:tc>
        <w:tc>
          <w:tcPr>
            <w:tcW w:w="2268" w:type="dxa"/>
            <w:vAlign w:val="center"/>
          </w:tcPr>
          <w:p w14:paraId="72B86A9C">
            <w:pPr>
              <w:pStyle w:val="13"/>
            </w:pPr>
            <w:r>
              <w:t>100%</w:t>
            </w:r>
          </w:p>
        </w:tc>
        <w:tc>
          <w:tcPr>
            <w:tcW w:w="1276" w:type="dxa"/>
            <w:vAlign w:val="center"/>
          </w:tcPr>
          <w:p w14:paraId="7285BC77">
            <w:pPr>
              <w:pStyle w:val="13"/>
            </w:pPr>
            <w:r>
              <w:t>城乡义务教育公共经费</w:t>
            </w:r>
          </w:p>
        </w:tc>
      </w:tr>
      <w:tr w14:paraId="072B2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3984D"/>
        </w:tc>
        <w:tc>
          <w:tcPr>
            <w:tcW w:w="2268" w:type="dxa"/>
            <w:vAlign w:val="center"/>
          </w:tcPr>
          <w:p w14:paraId="0036287E">
            <w:pPr>
              <w:pStyle w:val="13"/>
            </w:pPr>
            <w:r>
              <w:t>成本指标</w:t>
            </w:r>
          </w:p>
        </w:tc>
        <w:tc>
          <w:tcPr>
            <w:tcW w:w="2835" w:type="dxa"/>
            <w:vAlign w:val="center"/>
          </w:tcPr>
          <w:p w14:paraId="424EC421">
            <w:pPr>
              <w:pStyle w:val="13"/>
            </w:pPr>
            <w:r>
              <w:t>项目成本控制情况</w:t>
            </w:r>
          </w:p>
        </w:tc>
        <w:tc>
          <w:tcPr>
            <w:tcW w:w="5386" w:type="dxa"/>
            <w:vAlign w:val="center"/>
          </w:tcPr>
          <w:p w14:paraId="3038C176">
            <w:pPr>
              <w:pStyle w:val="13"/>
            </w:pPr>
            <w:r>
              <w:t>严格按照招标价格及审计额进行</w:t>
            </w:r>
          </w:p>
        </w:tc>
        <w:tc>
          <w:tcPr>
            <w:tcW w:w="2268" w:type="dxa"/>
            <w:vAlign w:val="center"/>
          </w:tcPr>
          <w:p w14:paraId="4A345484">
            <w:pPr>
              <w:pStyle w:val="13"/>
            </w:pPr>
            <w:r>
              <w:t>≤25万元</w:t>
            </w:r>
          </w:p>
        </w:tc>
        <w:tc>
          <w:tcPr>
            <w:tcW w:w="1276" w:type="dxa"/>
            <w:vAlign w:val="center"/>
          </w:tcPr>
          <w:p w14:paraId="5322D92E">
            <w:pPr>
              <w:pStyle w:val="13"/>
            </w:pPr>
            <w:r>
              <w:t>城乡义务教育公共经费</w:t>
            </w:r>
          </w:p>
        </w:tc>
      </w:tr>
      <w:tr w14:paraId="7068D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DABBC9">
            <w:pPr>
              <w:pStyle w:val="12"/>
            </w:pPr>
            <w:r>
              <w:t>效益指标</w:t>
            </w:r>
          </w:p>
        </w:tc>
        <w:tc>
          <w:tcPr>
            <w:tcW w:w="2268" w:type="dxa"/>
            <w:vAlign w:val="center"/>
          </w:tcPr>
          <w:p w14:paraId="773C2B0F">
            <w:pPr>
              <w:pStyle w:val="13"/>
            </w:pPr>
            <w:r>
              <w:t>可持续影响指标</w:t>
            </w:r>
          </w:p>
        </w:tc>
        <w:tc>
          <w:tcPr>
            <w:tcW w:w="2835" w:type="dxa"/>
            <w:vAlign w:val="center"/>
          </w:tcPr>
          <w:p w14:paraId="0319EE00">
            <w:pPr>
              <w:pStyle w:val="13"/>
            </w:pPr>
            <w:r>
              <w:t>学校运转得到提高</w:t>
            </w:r>
          </w:p>
        </w:tc>
        <w:tc>
          <w:tcPr>
            <w:tcW w:w="5386" w:type="dxa"/>
            <w:vAlign w:val="center"/>
          </w:tcPr>
          <w:p w14:paraId="0D7D5330">
            <w:pPr>
              <w:pStyle w:val="13"/>
            </w:pPr>
            <w:r>
              <w:t>学生受教育年限</w:t>
            </w:r>
          </w:p>
        </w:tc>
        <w:tc>
          <w:tcPr>
            <w:tcW w:w="2268" w:type="dxa"/>
            <w:vAlign w:val="center"/>
          </w:tcPr>
          <w:p w14:paraId="312B6F20">
            <w:pPr>
              <w:pStyle w:val="13"/>
            </w:pPr>
            <w:r>
              <w:t>3年</w:t>
            </w:r>
          </w:p>
        </w:tc>
        <w:tc>
          <w:tcPr>
            <w:tcW w:w="1276" w:type="dxa"/>
            <w:vAlign w:val="center"/>
          </w:tcPr>
          <w:p w14:paraId="4F7E4ADB">
            <w:pPr>
              <w:pStyle w:val="13"/>
            </w:pPr>
            <w:r>
              <w:t>城乡义务教育公共经费</w:t>
            </w:r>
          </w:p>
        </w:tc>
      </w:tr>
      <w:tr w14:paraId="3EA1C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B8166C">
            <w:pPr>
              <w:pStyle w:val="12"/>
            </w:pPr>
            <w:r>
              <w:t>满意度指标</w:t>
            </w:r>
          </w:p>
        </w:tc>
        <w:tc>
          <w:tcPr>
            <w:tcW w:w="2268" w:type="dxa"/>
            <w:vAlign w:val="center"/>
          </w:tcPr>
          <w:p w14:paraId="4F1CB03A">
            <w:pPr>
              <w:pStyle w:val="13"/>
            </w:pPr>
            <w:r>
              <w:t>服务对象满意度指标</w:t>
            </w:r>
          </w:p>
        </w:tc>
        <w:tc>
          <w:tcPr>
            <w:tcW w:w="2835" w:type="dxa"/>
            <w:vAlign w:val="center"/>
          </w:tcPr>
          <w:p w14:paraId="33DB790C">
            <w:pPr>
              <w:pStyle w:val="13"/>
            </w:pPr>
            <w:r>
              <w:t>受益学生家长及调查满意度</w:t>
            </w:r>
          </w:p>
        </w:tc>
        <w:tc>
          <w:tcPr>
            <w:tcW w:w="5386" w:type="dxa"/>
            <w:vAlign w:val="center"/>
          </w:tcPr>
          <w:p w14:paraId="3126102F">
            <w:pPr>
              <w:pStyle w:val="13"/>
            </w:pPr>
            <w:r>
              <w:t>学生、教师及家长对学校教学环境满意度情况</w:t>
            </w:r>
          </w:p>
        </w:tc>
        <w:tc>
          <w:tcPr>
            <w:tcW w:w="2268" w:type="dxa"/>
            <w:vAlign w:val="center"/>
          </w:tcPr>
          <w:p w14:paraId="6A230B86">
            <w:pPr>
              <w:pStyle w:val="13"/>
            </w:pPr>
            <w:r>
              <w:t>≥98%</w:t>
            </w:r>
          </w:p>
        </w:tc>
        <w:tc>
          <w:tcPr>
            <w:tcW w:w="1276" w:type="dxa"/>
            <w:vAlign w:val="center"/>
          </w:tcPr>
          <w:p w14:paraId="32FE80DC">
            <w:pPr>
              <w:pStyle w:val="13"/>
            </w:pPr>
            <w:r>
              <w:t>问卷调查</w:t>
            </w:r>
          </w:p>
        </w:tc>
      </w:tr>
    </w:tbl>
    <w:p w14:paraId="67E7D261">
      <w:pPr>
        <w:sectPr>
          <w:pgSz w:w="16840" w:h="11900" w:orient="landscape"/>
          <w:pgMar w:top="1361" w:right="1020" w:bottom="1134" w:left="1020" w:header="720" w:footer="720" w:gutter="0"/>
          <w:cols w:space="720" w:num="1"/>
        </w:sectPr>
      </w:pPr>
    </w:p>
    <w:p w14:paraId="7C6030B3">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4、冀财教[2024]123号/中央/2025年义教补助经费/综合奖补/双碑中学公用经费绩效目标表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4B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7257F">
            <w:pPr>
              <w:pStyle w:val="14"/>
            </w:pPr>
            <w:r>
              <w:t>单位：万元</w:t>
            </w:r>
          </w:p>
        </w:tc>
      </w:tr>
      <w:tr w14:paraId="7C2A2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302755">
            <w:pPr>
              <w:pStyle w:val="11"/>
            </w:pPr>
            <w:r>
              <w:t>项目编码</w:t>
            </w:r>
          </w:p>
        </w:tc>
        <w:tc>
          <w:tcPr>
            <w:tcW w:w="5103" w:type="dxa"/>
            <w:gridSpan w:val="2"/>
            <w:vAlign w:val="center"/>
          </w:tcPr>
          <w:p w14:paraId="0866BD8F">
            <w:pPr>
              <w:pStyle w:val="13"/>
            </w:pPr>
            <w:r>
              <w:t>13052525P00875610271K</w:t>
            </w:r>
          </w:p>
        </w:tc>
        <w:tc>
          <w:tcPr>
            <w:tcW w:w="2835" w:type="dxa"/>
            <w:vAlign w:val="center"/>
          </w:tcPr>
          <w:p w14:paraId="3E67CDED">
            <w:pPr>
              <w:pStyle w:val="11"/>
            </w:pPr>
            <w:r>
              <w:t>项目名称</w:t>
            </w:r>
          </w:p>
        </w:tc>
        <w:tc>
          <w:tcPr>
            <w:tcW w:w="6095" w:type="dxa"/>
            <w:gridSpan w:val="3"/>
            <w:vAlign w:val="center"/>
          </w:tcPr>
          <w:p w14:paraId="52BA859E">
            <w:pPr>
              <w:pStyle w:val="13"/>
            </w:pPr>
            <w:r>
              <w:t>冀财教[2024]123号/中央/2025年义教补助经费/综合奖补/双碑中学公用经费</w:t>
            </w:r>
          </w:p>
        </w:tc>
      </w:tr>
      <w:tr w14:paraId="1C703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8E6C5">
            <w:pPr>
              <w:pStyle w:val="11"/>
            </w:pPr>
            <w:r>
              <w:t>预算规模及资金用途</w:t>
            </w:r>
          </w:p>
        </w:tc>
        <w:tc>
          <w:tcPr>
            <w:tcW w:w="2268" w:type="dxa"/>
            <w:vAlign w:val="center"/>
          </w:tcPr>
          <w:p w14:paraId="23B717D0">
            <w:pPr>
              <w:pStyle w:val="11"/>
            </w:pPr>
            <w:r>
              <w:t>预算数</w:t>
            </w:r>
          </w:p>
        </w:tc>
        <w:tc>
          <w:tcPr>
            <w:tcW w:w="2835" w:type="dxa"/>
            <w:vAlign w:val="center"/>
          </w:tcPr>
          <w:p w14:paraId="5A4F1197">
            <w:pPr>
              <w:pStyle w:val="13"/>
            </w:pPr>
            <w:r>
              <w:t>2.04</w:t>
            </w:r>
          </w:p>
        </w:tc>
        <w:tc>
          <w:tcPr>
            <w:tcW w:w="2835" w:type="dxa"/>
            <w:vAlign w:val="center"/>
          </w:tcPr>
          <w:p w14:paraId="45F79B42">
            <w:pPr>
              <w:pStyle w:val="11"/>
            </w:pPr>
            <w:r>
              <w:t>其中：财政    资金</w:t>
            </w:r>
          </w:p>
        </w:tc>
        <w:tc>
          <w:tcPr>
            <w:tcW w:w="2551" w:type="dxa"/>
            <w:vAlign w:val="center"/>
          </w:tcPr>
          <w:p w14:paraId="5E6BC7F8">
            <w:pPr>
              <w:pStyle w:val="13"/>
            </w:pPr>
            <w:r>
              <w:t>2.04</w:t>
            </w:r>
          </w:p>
        </w:tc>
        <w:tc>
          <w:tcPr>
            <w:tcW w:w="2268" w:type="dxa"/>
            <w:vAlign w:val="center"/>
          </w:tcPr>
          <w:p w14:paraId="3379BA9E">
            <w:pPr>
              <w:pStyle w:val="11"/>
            </w:pPr>
            <w:r>
              <w:t>其他资金</w:t>
            </w:r>
          </w:p>
        </w:tc>
        <w:tc>
          <w:tcPr>
            <w:tcW w:w="1276" w:type="dxa"/>
            <w:vAlign w:val="center"/>
          </w:tcPr>
          <w:p w14:paraId="08090E3A">
            <w:pPr>
              <w:pStyle w:val="13"/>
            </w:pPr>
            <w:r>
              <w:t xml:space="preserve"> </w:t>
            </w:r>
          </w:p>
        </w:tc>
      </w:tr>
      <w:tr w14:paraId="55BE2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38675"/>
        </w:tc>
        <w:tc>
          <w:tcPr>
            <w:tcW w:w="14033" w:type="dxa"/>
            <w:gridSpan w:val="6"/>
            <w:vAlign w:val="center"/>
          </w:tcPr>
          <w:p w14:paraId="2F0E5C90">
            <w:pPr>
              <w:pStyle w:val="13"/>
            </w:pPr>
            <w:r>
              <w:t>改善就学条件，提升学校形象，保障义务教育阶段教学安全，改善师生教学环境，创造良好的校园环境。</w:t>
            </w:r>
            <w:r>
              <w:tab/>
            </w:r>
          </w:p>
          <w:p w14:paraId="1DDC72CC">
            <w:pPr>
              <w:pStyle w:val="13"/>
            </w:pPr>
            <w:r>
              <w:tab/>
            </w:r>
            <w:r>
              <w:tab/>
            </w:r>
            <w:r>
              <w:tab/>
            </w:r>
            <w:r>
              <w:tab/>
            </w:r>
            <w:r>
              <w:tab/>
            </w:r>
            <w:r>
              <w:tab/>
            </w:r>
            <w:r>
              <w:tab/>
            </w:r>
          </w:p>
          <w:p w14:paraId="611679FA">
            <w:pPr>
              <w:pStyle w:val="13"/>
            </w:pPr>
          </w:p>
        </w:tc>
      </w:tr>
      <w:tr w14:paraId="5929D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C68EB">
            <w:pPr>
              <w:pStyle w:val="11"/>
            </w:pPr>
            <w:r>
              <w:t>资金支出计划（%）</w:t>
            </w:r>
          </w:p>
        </w:tc>
        <w:tc>
          <w:tcPr>
            <w:tcW w:w="5103" w:type="dxa"/>
            <w:gridSpan w:val="2"/>
            <w:vAlign w:val="center"/>
          </w:tcPr>
          <w:p w14:paraId="5D613ED9">
            <w:pPr>
              <w:pStyle w:val="11"/>
            </w:pPr>
            <w:r>
              <w:t>3月底</w:t>
            </w:r>
          </w:p>
        </w:tc>
        <w:tc>
          <w:tcPr>
            <w:tcW w:w="2835" w:type="dxa"/>
            <w:vAlign w:val="center"/>
          </w:tcPr>
          <w:p w14:paraId="6363C0E9">
            <w:pPr>
              <w:pStyle w:val="11"/>
            </w:pPr>
            <w:r>
              <w:t>6月底</w:t>
            </w:r>
          </w:p>
        </w:tc>
        <w:tc>
          <w:tcPr>
            <w:tcW w:w="2551" w:type="dxa"/>
            <w:vAlign w:val="center"/>
          </w:tcPr>
          <w:p w14:paraId="1978C405">
            <w:pPr>
              <w:pStyle w:val="11"/>
            </w:pPr>
            <w:r>
              <w:t>10月底</w:t>
            </w:r>
          </w:p>
        </w:tc>
        <w:tc>
          <w:tcPr>
            <w:tcW w:w="3544" w:type="dxa"/>
            <w:gridSpan w:val="2"/>
            <w:vAlign w:val="center"/>
          </w:tcPr>
          <w:p w14:paraId="5FAF2B3B">
            <w:pPr>
              <w:pStyle w:val="11"/>
            </w:pPr>
            <w:r>
              <w:t>12月底</w:t>
            </w:r>
          </w:p>
        </w:tc>
      </w:tr>
      <w:tr w14:paraId="1A07D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63C83"/>
        </w:tc>
        <w:tc>
          <w:tcPr>
            <w:tcW w:w="5103" w:type="dxa"/>
            <w:gridSpan w:val="2"/>
            <w:vAlign w:val="center"/>
          </w:tcPr>
          <w:p w14:paraId="0D422C83">
            <w:pPr>
              <w:pStyle w:val="12"/>
            </w:pPr>
            <w:r>
              <w:t>25%</w:t>
            </w:r>
          </w:p>
        </w:tc>
        <w:tc>
          <w:tcPr>
            <w:tcW w:w="2835" w:type="dxa"/>
            <w:vAlign w:val="center"/>
          </w:tcPr>
          <w:p w14:paraId="3E2BEED4">
            <w:pPr>
              <w:pStyle w:val="12"/>
            </w:pPr>
            <w:r>
              <w:t>50%</w:t>
            </w:r>
          </w:p>
        </w:tc>
        <w:tc>
          <w:tcPr>
            <w:tcW w:w="2551" w:type="dxa"/>
            <w:vAlign w:val="center"/>
          </w:tcPr>
          <w:p w14:paraId="4084F4EB">
            <w:pPr>
              <w:pStyle w:val="12"/>
            </w:pPr>
            <w:r>
              <w:t>75%</w:t>
            </w:r>
          </w:p>
        </w:tc>
        <w:tc>
          <w:tcPr>
            <w:tcW w:w="3544" w:type="dxa"/>
            <w:gridSpan w:val="2"/>
            <w:vAlign w:val="center"/>
          </w:tcPr>
          <w:p w14:paraId="58537054">
            <w:pPr>
              <w:pStyle w:val="12"/>
            </w:pPr>
            <w:r>
              <w:t>100%</w:t>
            </w:r>
          </w:p>
        </w:tc>
      </w:tr>
      <w:tr w14:paraId="40E1F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77066">
            <w:pPr>
              <w:pStyle w:val="11"/>
            </w:pPr>
            <w:r>
              <w:t>绩效目标</w:t>
            </w:r>
          </w:p>
        </w:tc>
        <w:tc>
          <w:tcPr>
            <w:tcW w:w="14033" w:type="dxa"/>
            <w:gridSpan w:val="6"/>
            <w:vAlign w:val="center"/>
          </w:tcPr>
          <w:p w14:paraId="6150CFDE">
            <w:pPr>
              <w:pStyle w:val="13"/>
            </w:pPr>
            <w:r>
              <w:t>1.改善就学条件，提升学校形象，保障义务教育阶段教学安全，改善师生教学环境，创造良好的校园环境。</w:t>
            </w:r>
            <w:r>
              <w:tab/>
            </w:r>
            <w:r>
              <w:tab/>
            </w:r>
            <w:r>
              <w:tab/>
            </w:r>
            <w:r>
              <w:tab/>
            </w:r>
            <w:r>
              <w:tab/>
            </w:r>
            <w:r>
              <w:tab/>
            </w:r>
          </w:p>
          <w:p w14:paraId="7A54F2BF">
            <w:pPr>
              <w:pStyle w:val="13"/>
            </w:pPr>
            <w:r>
              <w:t>2.项目需资金2.04万元，资金拨付率达到100%。</w:t>
            </w:r>
            <w:r>
              <w:tab/>
            </w:r>
            <w:r>
              <w:tab/>
            </w:r>
            <w:r>
              <w:tab/>
            </w:r>
            <w:r>
              <w:tab/>
            </w:r>
            <w:r>
              <w:tab/>
            </w:r>
            <w:r>
              <w:tab/>
            </w:r>
          </w:p>
        </w:tc>
      </w:tr>
    </w:tbl>
    <w:p w14:paraId="102E5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6D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511439F">
            <w:pPr>
              <w:pStyle w:val="11"/>
            </w:pPr>
            <w:r>
              <w:t>一级指标</w:t>
            </w:r>
          </w:p>
        </w:tc>
        <w:tc>
          <w:tcPr>
            <w:tcW w:w="2268" w:type="dxa"/>
            <w:vAlign w:val="center"/>
          </w:tcPr>
          <w:p w14:paraId="4F128640">
            <w:pPr>
              <w:pStyle w:val="11"/>
            </w:pPr>
            <w:r>
              <w:t>二级指标</w:t>
            </w:r>
          </w:p>
        </w:tc>
        <w:tc>
          <w:tcPr>
            <w:tcW w:w="2835" w:type="dxa"/>
            <w:vAlign w:val="center"/>
          </w:tcPr>
          <w:p w14:paraId="1BD5C98E">
            <w:pPr>
              <w:pStyle w:val="11"/>
            </w:pPr>
            <w:r>
              <w:t>三级指标</w:t>
            </w:r>
          </w:p>
        </w:tc>
        <w:tc>
          <w:tcPr>
            <w:tcW w:w="5386" w:type="dxa"/>
            <w:vAlign w:val="center"/>
          </w:tcPr>
          <w:p w14:paraId="394CD350">
            <w:pPr>
              <w:pStyle w:val="11"/>
            </w:pPr>
            <w:r>
              <w:t>绩效指标描述</w:t>
            </w:r>
          </w:p>
        </w:tc>
        <w:tc>
          <w:tcPr>
            <w:tcW w:w="2268" w:type="dxa"/>
            <w:vAlign w:val="center"/>
          </w:tcPr>
          <w:p w14:paraId="484F137D">
            <w:pPr>
              <w:pStyle w:val="11"/>
            </w:pPr>
            <w:r>
              <w:t>指标值</w:t>
            </w:r>
          </w:p>
        </w:tc>
        <w:tc>
          <w:tcPr>
            <w:tcW w:w="1276" w:type="dxa"/>
            <w:vAlign w:val="center"/>
          </w:tcPr>
          <w:p w14:paraId="1E7B7023">
            <w:pPr>
              <w:pStyle w:val="11"/>
            </w:pPr>
            <w:r>
              <w:t>指标值确定依据</w:t>
            </w:r>
          </w:p>
        </w:tc>
      </w:tr>
      <w:tr w14:paraId="29C47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F95BD">
            <w:pPr>
              <w:pStyle w:val="12"/>
            </w:pPr>
            <w:r>
              <w:t>产出指标</w:t>
            </w:r>
          </w:p>
        </w:tc>
        <w:tc>
          <w:tcPr>
            <w:tcW w:w="2268" w:type="dxa"/>
            <w:vAlign w:val="center"/>
          </w:tcPr>
          <w:p w14:paraId="2DCA296B">
            <w:pPr>
              <w:pStyle w:val="13"/>
            </w:pPr>
            <w:r>
              <w:t>数量指标</w:t>
            </w:r>
          </w:p>
        </w:tc>
        <w:tc>
          <w:tcPr>
            <w:tcW w:w="2835" w:type="dxa"/>
            <w:vAlign w:val="center"/>
          </w:tcPr>
          <w:p w14:paraId="7939E7A0">
            <w:pPr>
              <w:pStyle w:val="13"/>
            </w:pPr>
            <w:r>
              <w:t>视频会议系统</w:t>
            </w:r>
          </w:p>
        </w:tc>
        <w:tc>
          <w:tcPr>
            <w:tcW w:w="5386" w:type="dxa"/>
            <w:vAlign w:val="center"/>
          </w:tcPr>
          <w:p w14:paraId="5E127CDD">
            <w:pPr>
              <w:pStyle w:val="13"/>
            </w:pPr>
            <w:r>
              <w:t>视频会议系统套数</w:t>
            </w:r>
          </w:p>
        </w:tc>
        <w:tc>
          <w:tcPr>
            <w:tcW w:w="2268" w:type="dxa"/>
            <w:vAlign w:val="center"/>
          </w:tcPr>
          <w:p w14:paraId="762A6F99">
            <w:pPr>
              <w:pStyle w:val="13"/>
            </w:pPr>
            <w:r>
              <w:t>1套</w:t>
            </w:r>
          </w:p>
        </w:tc>
        <w:tc>
          <w:tcPr>
            <w:tcW w:w="1276" w:type="dxa"/>
            <w:vAlign w:val="center"/>
          </w:tcPr>
          <w:p w14:paraId="7BA4ED1C">
            <w:pPr>
              <w:pStyle w:val="13"/>
            </w:pPr>
            <w:r>
              <w:t>城乡义务教育公共经费</w:t>
            </w:r>
          </w:p>
        </w:tc>
      </w:tr>
      <w:tr w14:paraId="2EDB9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2413"/>
        </w:tc>
        <w:tc>
          <w:tcPr>
            <w:tcW w:w="2268" w:type="dxa"/>
            <w:vAlign w:val="center"/>
          </w:tcPr>
          <w:p w14:paraId="26E78BBE">
            <w:pPr>
              <w:pStyle w:val="13"/>
            </w:pPr>
            <w:r>
              <w:t>质量指标</w:t>
            </w:r>
          </w:p>
        </w:tc>
        <w:tc>
          <w:tcPr>
            <w:tcW w:w="2835" w:type="dxa"/>
            <w:vAlign w:val="center"/>
          </w:tcPr>
          <w:p w14:paraId="601D958B">
            <w:pPr>
              <w:pStyle w:val="13"/>
            </w:pPr>
            <w:r>
              <w:t>设备合格率</w:t>
            </w:r>
          </w:p>
        </w:tc>
        <w:tc>
          <w:tcPr>
            <w:tcW w:w="5386" w:type="dxa"/>
            <w:vAlign w:val="center"/>
          </w:tcPr>
          <w:p w14:paraId="6E2C9F65">
            <w:pPr>
              <w:pStyle w:val="13"/>
            </w:pPr>
            <w:r>
              <w:t>设备合格率</w:t>
            </w:r>
          </w:p>
        </w:tc>
        <w:tc>
          <w:tcPr>
            <w:tcW w:w="2268" w:type="dxa"/>
            <w:vAlign w:val="center"/>
          </w:tcPr>
          <w:p w14:paraId="7A042FD5">
            <w:pPr>
              <w:pStyle w:val="13"/>
            </w:pPr>
            <w:r>
              <w:t>100%</w:t>
            </w:r>
          </w:p>
        </w:tc>
        <w:tc>
          <w:tcPr>
            <w:tcW w:w="1276" w:type="dxa"/>
            <w:vAlign w:val="center"/>
          </w:tcPr>
          <w:p w14:paraId="0FBBAE78">
            <w:pPr>
              <w:pStyle w:val="13"/>
            </w:pPr>
            <w:r>
              <w:t>城乡义务教育公共经费</w:t>
            </w:r>
          </w:p>
        </w:tc>
      </w:tr>
      <w:tr w14:paraId="6DBAD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AF2B6"/>
        </w:tc>
        <w:tc>
          <w:tcPr>
            <w:tcW w:w="2268" w:type="dxa"/>
            <w:vAlign w:val="center"/>
          </w:tcPr>
          <w:p w14:paraId="4B1EF9CA">
            <w:pPr>
              <w:pStyle w:val="13"/>
            </w:pPr>
            <w:r>
              <w:t>时效指标</w:t>
            </w:r>
          </w:p>
        </w:tc>
        <w:tc>
          <w:tcPr>
            <w:tcW w:w="2835" w:type="dxa"/>
            <w:vAlign w:val="center"/>
          </w:tcPr>
          <w:p w14:paraId="68A7EC93">
            <w:pPr>
              <w:pStyle w:val="13"/>
            </w:pPr>
            <w:r>
              <w:t>资金支付率</w:t>
            </w:r>
          </w:p>
        </w:tc>
        <w:tc>
          <w:tcPr>
            <w:tcW w:w="5386" w:type="dxa"/>
            <w:vAlign w:val="center"/>
          </w:tcPr>
          <w:p w14:paraId="14CB71F3">
            <w:pPr>
              <w:pStyle w:val="13"/>
            </w:pPr>
            <w:r>
              <w:t>按照序时进度完成资金支付</w:t>
            </w:r>
          </w:p>
        </w:tc>
        <w:tc>
          <w:tcPr>
            <w:tcW w:w="2268" w:type="dxa"/>
            <w:vAlign w:val="center"/>
          </w:tcPr>
          <w:p w14:paraId="5B2EA6C0">
            <w:pPr>
              <w:pStyle w:val="13"/>
            </w:pPr>
            <w:r>
              <w:t>100%</w:t>
            </w:r>
          </w:p>
        </w:tc>
        <w:tc>
          <w:tcPr>
            <w:tcW w:w="1276" w:type="dxa"/>
            <w:vAlign w:val="center"/>
          </w:tcPr>
          <w:p w14:paraId="0F37C745">
            <w:pPr>
              <w:pStyle w:val="13"/>
            </w:pPr>
            <w:r>
              <w:t>城乡义务教育公共经费</w:t>
            </w:r>
          </w:p>
        </w:tc>
      </w:tr>
      <w:tr w14:paraId="05E3B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2A552"/>
        </w:tc>
        <w:tc>
          <w:tcPr>
            <w:tcW w:w="2268" w:type="dxa"/>
            <w:vAlign w:val="center"/>
          </w:tcPr>
          <w:p w14:paraId="34043592">
            <w:pPr>
              <w:pStyle w:val="13"/>
            </w:pPr>
            <w:r>
              <w:t>成本指标</w:t>
            </w:r>
          </w:p>
        </w:tc>
        <w:tc>
          <w:tcPr>
            <w:tcW w:w="2835" w:type="dxa"/>
            <w:vAlign w:val="center"/>
          </w:tcPr>
          <w:p w14:paraId="0ED57649">
            <w:pPr>
              <w:pStyle w:val="13"/>
            </w:pPr>
            <w:r>
              <w:t>项目成本控制情况</w:t>
            </w:r>
          </w:p>
        </w:tc>
        <w:tc>
          <w:tcPr>
            <w:tcW w:w="5386" w:type="dxa"/>
            <w:vAlign w:val="center"/>
          </w:tcPr>
          <w:p w14:paraId="4623CAD0">
            <w:pPr>
              <w:pStyle w:val="13"/>
            </w:pPr>
            <w:r>
              <w:t>严格按照招标价格及审计额进行</w:t>
            </w:r>
          </w:p>
        </w:tc>
        <w:tc>
          <w:tcPr>
            <w:tcW w:w="2268" w:type="dxa"/>
            <w:vAlign w:val="center"/>
          </w:tcPr>
          <w:p w14:paraId="0DE4281B">
            <w:pPr>
              <w:pStyle w:val="13"/>
            </w:pPr>
            <w:r>
              <w:t>≤2.04万元</w:t>
            </w:r>
          </w:p>
        </w:tc>
        <w:tc>
          <w:tcPr>
            <w:tcW w:w="1276" w:type="dxa"/>
            <w:vAlign w:val="center"/>
          </w:tcPr>
          <w:p w14:paraId="7529A43A">
            <w:pPr>
              <w:pStyle w:val="13"/>
            </w:pPr>
            <w:r>
              <w:t>城乡义务教育公共经费</w:t>
            </w:r>
          </w:p>
        </w:tc>
      </w:tr>
      <w:tr w14:paraId="2DAED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3DA2B9">
            <w:pPr>
              <w:pStyle w:val="12"/>
            </w:pPr>
            <w:r>
              <w:t>效益指标</w:t>
            </w:r>
          </w:p>
        </w:tc>
        <w:tc>
          <w:tcPr>
            <w:tcW w:w="2268" w:type="dxa"/>
            <w:vAlign w:val="center"/>
          </w:tcPr>
          <w:p w14:paraId="44CF3D9E">
            <w:pPr>
              <w:pStyle w:val="13"/>
            </w:pPr>
            <w:r>
              <w:t>可持续影响指标</w:t>
            </w:r>
          </w:p>
        </w:tc>
        <w:tc>
          <w:tcPr>
            <w:tcW w:w="2835" w:type="dxa"/>
            <w:vAlign w:val="center"/>
          </w:tcPr>
          <w:p w14:paraId="6286A6E0">
            <w:pPr>
              <w:pStyle w:val="13"/>
            </w:pPr>
            <w:r>
              <w:t>学校运转得到提高</w:t>
            </w:r>
          </w:p>
        </w:tc>
        <w:tc>
          <w:tcPr>
            <w:tcW w:w="5386" w:type="dxa"/>
            <w:vAlign w:val="center"/>
          </w:tcPr>
          <w:p w14:paraId="4AE44AB4">
            <w:pPr>
              <w:pStyle w:val="13"/>
            </w:pPr>
            <w:r>
              <w:t>学生受教育年限</w:t>
            </w:r>
          </w:p>
        </w:tc>
        <w:tc>
          <w:tcPr>
            <w:tcW w:w="2268" w:type="dxa"/>
            <w:vAlign w:val="center"/>
          </w:tcPr>
          <w:p w14:paraId="5B3D128C">
            <w:pPr>
              <w:pStyle w:val="13"/>
            </w:pPr>
            <w:r>
              <w:t>3年</w:t>
            </w:r>
          </w:p>
        </w:tc>
        <w:tc>
          <w:tcPr>
            <w:tcW w:w="1276" w:type="dxa"/>
            <w:vAlign w:val="center"/>
          </w:tcPr>
          <w:p w14:paraId="509E5B65">
            <w:pPr>
              <w:pStyle w:val="13"/>
            </w:pPr>
            <w:r>
              <w:t>城乡义务教育公共经费</w:t>
            </w:r>
          </w:p>
        </w:tc>
      </w:tr>
      <w:tr w14:paraId="13B41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8B2117">
            <w:pPr>
              <w:pStyle w:val="12"/>
            </w:pPr>
            <w:r>
              <w:t>满意度指标</w:t>
            </w:r>
          </w:p>
        </w:tc>
        <w:tc>
          <w:tcPr>
            <w:tcW w:w="2268" w:type="dxa"/>
            <w:vAlign w:val="center"/>
          </w:tcPr>
          <w:p w14:paraId="48D882CD">
            <w:pPr>
              <w:pStyle w:val="13"/>
            </w:pPr>
            <w:r>
              <w:t>服务对象满意度指标</w:t>
            </w:r>
          </w:p>
        </w:tc>
        <w:tc>
          <w:tcPr>
            <w:tcW w:w="2835" w:type="dxa"/>
            <w:vAlign w:val="center"/>
          </w:tcPr>
          <w:p w14:paraId="520FDBFC">
            <w:pPr>
              <w:pStyle w:val="13"/>
            </w:pPr>
            <w:r>
              <w:t>受益学生家长及调查满意度</w:t>
            </w:r>
          </w:p>
        </w:tc>
        <w:tc>
          <w:tcPr>
            <w:tcW w:w="5386" w:type="dxa"/>
            <w:vAlign w:val="center"/>
          </w:tcPr>
          <w:p w14:paraId="135528C1">
            <w:pPr>
              <w:pStyle w:val="13"/>
            </w:pPr>
            <w:r>
              <w:t>学生、教师及家长对学校教学环境满意度情况</w:t>
            </w:r>
          </w:p>
        </w:tc>
        <w:tc>
          <w:tcPr>
            <w:tcW w:w="2268" w:type="dxa"/>
            <w:vAlign w:val="center"/>
          </w:tcPr>
          <w:p w14:paraId="5861345B">
            <w:pPr>
              <w:pStyle w:val="13"/>
            </w:pPr>
            <w:r>
              <w:t>≥98%</w:t>
            </w:r>
          </w:p>
        </w:tc>
        <w:tc>
          <w:tcPr>
            <w:tcW w:w="1276" w:type="dxa"/>
            <w:vAlign w:val="center"/>
          </w:tcPr>
          <w:p w14:paraId="179D0641">
            <w:pPr>
              <w:pStyle w:val="13"/>
            </w:pPr>
            <w:r>
              <w:t>问卷调查</w:t>
            </w:r>
          </w:p>
        </w:tc>
      </w:tr>
    </w:tbl>
    <w:p w14:paraId="6A555245">
      <w:pPr>
        <w:sectPr>
          <w:pgSz w:w="16840" w:h="11900" w:orient="landscape"/>
          <w:pgMar w:top="1361" w:right="1020" w:bottom="1134" w:left="1020" w:header="720" w:footer="720" w:gutter="0"/>
          <w:cols w:space="720" w:num="1"/>
        </w:sectPr>
      </w:pPr>
    </w:p>
    <w:p w14:paraId="27660EA3">
      <w:pPr>
        <w:spacing w:before="0" w:after="0"/>
        <w:ind w:firstLine="560"/>
        <w:jc w:val="left"/>
        <w:outlineLvl w:val="9"/>
      </w:pPr>
      <w:r>
        <w:rPr>
          <w:rFonts w:ascii="方正仿宋_GBK" w:hAnsi="方正仿宋_GBK" w:eastAsia="方正仿宋_GBK" w:cs="方正仿宋_GBK"/>
          <w:b/>
          <w:color w:val="000000"/>
          <w:sz w:val="28"/>
        </w:rPr>
        <w:t>5、冀财教[2024]141号/省级/2025年义教补助经费/双碑中学公用经费绩效目标表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AE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53C85">
            <w:pPr>
              <w:pStyle w:val="14"/>
            </w:pPr>
            <w:r>
              <w:t>单位：万元</w:t>
            </w:r>
          </w:p>
        </w:tc>
      </w:tr>
      <w:tr w14:paraId="12C95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3ED6E">
            <w:pPr>
              <w:pStyle w:val="11"/>
            </w:pPr>
            <w:r>
              <w:t>项目编码</w:t>
            </w:r>
          </w:p>
        </w:tc>
        <w:tc>
          <w:tcPr>
            <w:tcW w:w="5103" w:type="dxa"/>
            <w:gridSpan w:val="2"/>
            <w:vAlign w:val="center"/>
          </w:tcPr>
          <w:p w14:paraId="22499856">
            <w:pPr>
              <w:pStyle w:val="13"/>
            </w:pPr>
            <w:r>
              <w:t>13052525P00000410127A</w:t>
            </w:r>
          </w:p>
        </w:tc>
        <w:tc>
          <w:tcPr>
            <w:tcW w:w="2835" w:type="dxa"/>
            <w:vAlign w:val="center"/>
          </w:tcPr>
          <w:p w14:paraId="365134B4">
            <w:pPr>
              <w:pStyle w:val="11"/>
            </w:pPr>
            <w:r>
              <w:t>项目名称</w:t>
            </w:r>
          </w:p>
        </w:tc>
        <w:tc>
          <w:tcPr>
            <w:tcW w:w="6095" w:type="dxa"/>
            <w:gridSpan w:val="3"/>
            <w:vAlign w:val="center"/>
          </w:tcPr>
          <w:p w14:paraId="6732A414">
            <w:pPr>
              <w:pStyle w:val="13"/>
            </w:pPr>
            <w:r>
              <w:t>冀财教[2024]141号/省级/2025年义教补助经费/双碑中学公用经费</w:t>
            </w:r>
          </w:p>
        </w:tc>
      </w:tr>
      <w:tr w14:paraId="72502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2EA43">
            <w:pPr>
              <w:pStyle w:val="11"/>
            </w:pPr>
            <w:r>
              <w:t>预算规模及资金用途</w:t>
            </w:r>
          </w:p>
        </w:tc>
        <w:tc>
          <w:tcPr>
            <w:tcW w:w="2268" w:type="dxa"/>
            <w:vAlign w:val="center"/>
          </w:tcPr>
          <w:p w14:paraId="397F3E92">
            <w:pPr>
              <w:pStyle w:val="11"/>
            </w:pPr>
            <w:r>
              <w:t>预算数</w:t>
            </w:r>
          </w:p>
        </w:tc>
        <w:tc>
          <w:tcPr>
            <w:tcW w:w="2835" w:type="dxa"/>
            <w:vAlign w:val="center"/>
          </w:tcPr>
          <w:p w14:paraId="17481264">
            <w:pPr>
              <w:pStyle w:val="13"/>
            </w:pPr>
            <w:r>
              <w:t>51.61</w:t>
            </w:r>
          </w:p>
        </w:tc>
        <w:tc>
          <w:tcPr>
            <w:tcW w:w="2835" w:type="dxa"/>
            <w:vAlign w:val="center"/>
          </w:tcPr>
          <w:p w14:paraId="42DE783B">
            <w:pPr>
              <w:pStyle w:val="11"/>
            </w:pPr>
            <w:r>
              <w:t>其中：财政    资金</w:t>
            </w:r>
          </w:p>
        </w:tc>
        <w:tc>
          <w:tcPr>
            <w:tcW w:w="2551" w:type="dxa"/>
            <w:vAlign w:val="center"/>
          </w:tcPr>
          <w:p w14:paraId="2C3C6A48">
            <w:pPr>
              <w:pStyle w:val="13"/>
            </w:pPr>
            <w:r>
              <w:t>51.61</w:t>
            </w:r>
          </w:p>
        </w:tc>
        <w:tc>
          <w:tcPr>
            <w:tcW w:w="2268" w:type="dxa"/>
            <w:vAlign w:val="center"/>
          </w:tcPr>
          <w:p w14:paraId="410F5609">
            <w:pPr>
              <w:pStyle w:val="11"/>
            </w:pPr>
            <w:r>
              <w:t>其他资金</w:t>
            </w:r>
          </w:p>
        </w:tc>
        <w:tc>
          <w:tcPr>
            <w:tcW w:w="1276" w:type="dxa"/>
            <w:vAlign w:val="center"/>
          </w:tcPr>
          <w:p w14:paraId="2637C3CD">
            <w:pPr>
              <w:pStyle w:val="13"/>
            </w:pPr>
            <w:r>
              <w:t xml:space="preserve"> </w:t>
            </w:r>
          </w:p>
        </w:tc>
      </w:tr>
      <w:tr w14:paraId="7F3C4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0AF1C"/>
        </w:tc>
        <w:tc>
          <w:tcPr>
            <w:tcW w:w="14033" w:type="dxa"/>
            <w:gridSpan w:val="6"/>
            <w:vAlign w:val="center"/>
          </w:tcPr>
          <w:p w14:paraId="2D6DA5B3">
            <w:pPr>
              <w:pStyle w:val="13"/>
            </w:pPr>
            <w:r>
              <w:t>保障义务教育学校正常运转，完成教育教学活动和其他日常工作任务等方面的费用支出。</w:t>
            </w:r>
            <w:r>
              <w:tab/>
            </w:r>
            <w:r>
              <w:tab/>
            </w:r>
            <w:r>
              <w:tab/>
            </w:r>
            <w:r>
              <w:tab/>
            </w:r>
            <w:r>
              <w:tab/>
            </w:r>
            <w:r>
              <w:tab/>
            </w:r>
            <w:r>
              <w:tab/>
            </w:r>
            <w:r>
              <w:tab/>
            </w:r>
          </w:p>
          <w:p w14:paraId="4A18785C">
            <w:pPr>
              <w:pStyle w:val="13"/>
            </w:pPr>
          </w:p>
        </w:tc>
      </w:tr>
      <w:tr w14:paraId="43014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3F918">
            <w:pPr>
              <w:pStyle w:val="11"/>
            </w:pPr>
            <w:r>
              <w:t>资金支出计划（%）</w:t>
            </w:r>
          </w:p>
        </w:tc>
        <w:tc>
          <w:tcPr>
            <w:tcW w:w="5103" w:type="dxa"/>
            <w:gridSpan w:val="2"/>
            <w:vAlign w:val="center"/>
          </w:tcPr>
          <w:p w14:paraId="5921DFF2">
            <w:pPr>
              <w:pStyle w:val="11"/>
            </w:pPr>
            <w:r>
              <w:t>3月底</w:t>
            </w:r>
          </w:p>
        </w:tc>
        <w:tc>
          <w:tcPr>
            <w:tcW w:w="2835" w:type="dxa"/>
            <w:vAlign w:val="center"/>
          </w:tcPr>
          <w:p w14:paraId="3DC54795">
            <w:pPr>
              <w:pStyle w:val="11"/>
            </w:pPr>
            <w:r>
              <w:t>6月底</w:t>
            </w:r>
          </w:p>
        </w:tc>
        <w:tc>
          <w:tcPr>
            <w:tcW w:w="2551" w:type="dxa"/>
            <w:vAlign w:val="center"/>
          </w:tcPr>
          <w:p w14:paraId="0AFABC6E">
            <w:pPr>
              <w:pStyle w:val="11"/>
            </w:pPr>
            <w:r>
              <w:t>10月底</w:t>
            </w:r>
          </w:p>
        </w:tc>
        <w:tc>
          <w:tcPr>
            <w:tcW w:w="3544" w:type="dxa"/>
            <w:gridSpan w:val="2"/>
            <w:vAlign w:val="center"/>
          </w:tcPr>
          <w:p w14:paraId="04A61AE1">
            <w:pPr>
              <w:pStyle w:val="11"/>
            </w:pPr>
            <w:r>
              <w:t>12月底</w:t>
            </w:r>
          </w:p>
        </w:tc>
      </w:tr>
      <w:tr w14:paraId="2796E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184ED3"/>
        </w:tc>
        <w:tc>
          <w:tcPr>
            <w:tcW w:w="5103" w:type="dxa"/>
            <w:gridSpan w:val="2"/>
            <w:vAlign w:val="center"/>
          </w:tcPr>
          <w:p w14:paraId="3FD4FB8D">
            <w:pPr>
              <w:pStyle w:val="12"/>
            </w:pPr>
            <w:r>
              <w:t>30%</w:t>
            </w:r>
          </w:p>
        </w:tc>
        <w:tc>
          <w:tcPr>
            <w:tcW w:w="2835" w:type="dxa"/>
            <w:vAlign w:val="center"/>
          </w:tcPr>
          <w:p w14:paraId="3BB2A7C3">
            <w:pPr>
              <w:pStyle w:val="12"/>
            </w:pPr>
            <w:r>
              <w:t>60%</w:t>
            </w:r>
          </w:p>
        </w:tc>
        <w:tc>
          <w:tcPr>
            <w:tcW w:w="2551" w:type="dxa"/>
            <w:vAlign w:val="center"/>
          </w:tcPr>
          <w:p w14:paraId="5C072827">
            <w:pPr>
              <w:pStyle w:val="12"/>
            </w:pPr>
            <w:r>
              <w:t>90%</w:t>
            </w:r>
          </w:p>
        </w:tc>
        <w:tc>
          <w:tcPr>
            <w:tcW w:w="3544" w:type="dxa"/>
            <w:gridSpan w:val="2"/>
            <w:vAlign w:val="center"/>
          </w:tcPr>
          <w:p w14:paraId="0A61F21F">
            <w:pPr>
              <w:pStyle w:val="12"/>
            </w:pPr>
            <w:r>
              <w:t>100%</w:t>
            </w:r>
          </w:p>
        </w:tc>
      </w:tr>
      <w:tr w14:paraId="4CBBE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5E234">
            <w:pPr>
              <w:pStyle w:val="11"/>
            </w:pPr>
            <w:r>
              <w:t>绩效目标</w:t>
            </w:r>
          </w:p>
        </w:tc>
        <w:tc>
          <w:tcPr>
            <w:tcW w:w="14033" w:type="dxa"/>
            <w:gridSpan w:val="6"/>
            <w:vAlign w:val="center"/>
          </w:tcPr>
          <w:p w14:paraId="35E56F6C">
            <w:pPr>
              <w:pStyle w:val="13"/>
            </w:pPr>
            <w:r>
              <w:t>1.按规定拨付公用经费资金，资金拨付率达到100%。</w:t>
            </w:r>
            <w:r>
              <w:tab/>
            </w:r>
            <w:r>
              <w:tab/>
            </w:r>
            <w:r>
              <w:tab/>
            </w:r>
            <w:r>
              <w:tab/>
            </w:r>
            <w:r>
              <w:tab/>
            </w:r>
            <w:r>
              <w:tab/>
            </w:r>
          </w:p>
          <w:p w14:paraId="6B71A72C">
            <w:pPr>
              <w:pStyle w:val="13"/>
            </w:pPr>
            <w:r>
              <w:t>2.保障义务教育学校正常运转，完成教育教学活动和其他日常工作任务等方面的费用支出。</w:t>
            </w:r>
            <w:r>
              <w:tab/>
            </w:r>
            <w:r>
              <w:tab/>
            </w:r>
            <w:r>
              <w:tab/>
            </w:r>
            <w:r>
              <w:tab/>
            </w:r>
            <w:r>
              <w:tab/>
            </w:r>
            <w:r>
              <w:tab/>
            </w:r>
          </w:p>
        </w:tc>
      </w:tr>
    </w:tbl>
    <w:p w14:paraId="0ADFBB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40864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BF5B5">
            <w:pPr>
              <w:pStyle w:val="11"/>
            </w:pPr>
            <w:r>
              <w:t>一级指标</w:t>
            </w:r>
          </w:p>
        </w:tc>
        <w:tc>
          <w:tcPr>
            <w:tcW w:w="2268" w:type="dxa"/>
            <w:vAlign w:val="center"/>
          </w:tcPr>
          <w:p w14:paraId="60AC310C">
            <w:pPr>
              <w:pStyle w:val="11"/>
            </w:pPr>
            <w:r>
              <w:t>二级指标</w:t>
            </w:r>
          </w:p>
        </w:tc>
        <w:tc>
          <w:tcPr>
            <w:tcW w:w="2835" w:type="dxa"/>
            <w:vAlign w:val="center"/>
          </w:tcPr>
          <w:p w14:paraId="61FEDDBB">
            <w:pPr>
              <w:pStyle w:val="11"/>
            </w:pPr>
            <w:r>
              <w:t>三级指标</w:t>
            </w:r>
          </w:p>
        </w:tc>
        <w:tc>
          <w:tcPr>
            <w:tcW w:w="5386" w:type="dxa"/>
            <w:vAlign w:val="center"/>
          </w:tcPr>
          <w:p w14:paraId="282DCA2E">
            <w:pPr>
              <w:pStyle w:val="11"/>
            </w:pPr>
            <w:r>
              <w:t>绩效指标描述</w:t>
            </w:r>
          </w:p>
        </w:tc>
        <w:tc>
          <w:tcPr>
            <w:tcW w:w="1613" w:type="dxa"/>
            <w:vAlign w:val="center"/>
          </w:tcPr>
          <w:p w14:paraId="53D04E48">
            <w:pPr>
              <w:pStyle w:val="11"/>
            </w:pPr>
            <w:r>
              <w:t>指标值</w:t>
            </w:r>
          </w:p>
        </w:tc>
        <w:tc>
          <w:tcPr>
            <w:tcW w:w="1931" w:type="dxa"/>
            <w:vAlign w:val="center"/>
          </w:tcPr>
          <w:p w14:paraId="289F3D45">
            <w:pPr>
              <w:pStyle w:val="11"/>
            </w:pPr>
            <w:r>
              <w:t>指标值确定依据</w:t>
            </w:r>
          </w:p>
        </w:tc>
      </w:tr>
      <w:tr w14:paraId="79788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D120F">
            <w:pPr>
              <w:pStyle w:val="12"/>
            </w:pPr>
            <w:r>
              <w:t>产出指标</w:t>
            </w:r>
          </w:p>
        </w:tc>
        <w:tc>
          <w:tcPr>
            <w:tcW w:w="2268" w:type="dxa"/>
            <w:vAlign w:val="center"/>
          </w:tcPr>
          <w:p w14:paraId="587E050B">
            <w:pPr>
              <w:pStyle w:val="13"/>
            </w:pPr>
            <w:r>
              <w:t>成本指标</w:t>
            </w:r>
          </w:p>
        </w:tc>
        <w:tc>
          <w:tcPr>
            <w:tcW w:w="2835" w:type="dxa"/>
            <w:vAlign w:val="center"/>
          </w:tcPr>
          <w:p w14:paraId="17A4960F">
            <w:pPr>
              <w:pStyle w:val="13"/>
            </w:pPr>
            <w:r>
              <w:t>生均拨款标准</w:t>
            </w:r>
          </w:p>
        </w:tc>
        <w:tc>
          <w:tcPr>
            <w:tcW w:w="5386" w:type="dxa"/>
            <w:vAlign w:val="center"/>
          </w:tcPr>
          <w:p w14:paraId="3EB775CF">
            <w:pPr>
              <w:pStyle w:val="13"/>
            </w:pPr>
            <w:r>
              <w:t>初中生公用经费年生均初中940元，取暖费120元/生/年，住宿生补助300元/生/年的标准，随班就读学生补助7000元/生，</w:t>
            </w:r>
          </w:p>
        </w:tc>
        <w:tc>
          <w:tcPr>
            <w:tcW w:w="1613" w:type="dxa"/>
            <w:vAlign w:val="center"/>
          </w:tcPr>
          <w:p w14:paraId="7B0F3A2C">
            <w:pPr>
              <w:pStyle w:val="13"/>
            </w:pPr>
            <w:r>
              <w:t>1360元</w:t>
            </w:r>
          </w:p>
        </w:tc>
        <w:tc>
          <w:tcPr>
            <w:tcW w:w="1931" w:type="dxa"/>
            <w:vAlign w:val="center"/>
          </w:tcPr>
          <w:p w14:paraId="00C5FEC2">
            <w:pPr>
              <w:pStyle w:val="13"/>
            </w:pPr>
            <w:r>
              <w:t>城乡义务教育公用经费管理办法</w:t>
            </w:r>
          </w:p>
        </w:tc>
      </w:tr>
      <w:tr w14:paraId="15D36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C6077"/>
        </w:tc>
        <w:tc>
          <w:tcPr>
            <w:tcW w:w="2268" w:type="dxa"/>
            <w:vAlign w:val="center"/>
          </w:tcPr>
          <w:p w14:paraId="31E67744">
            <w:pPr>
              <w:pStyle w:val="13"/>
            </w:pPr>
            <w:r>
              <w:t>数量指标</w:t>
            </w:r>
          </w:p>
        </w:tc>
        <w:tc>
          <w:tcPr>
            <w:tcW w:w="2835" w:type="dxa"/>
            <w:vAlign w:val="center"/>
          </w:tcPr>
          <w:p w14:paraId="3911E1B1">
            <w:pPr>
              <w:pStyle w:val="13"/>
            </w:pPr>
            <w:r>
              <w:t>就读学生数</w:t>
            </w:r>
          </w:p>
        </w:tc>
        <w:tc>
          <w:tcPr>
            <w:tcW w:w="5386" w:type="dxa"/>
            <w:vAlign w:val="center"/>
          </w:tcPr>
          <w:p w14:paraId="0382A48C">
            <w:pPr>
              <w:pStyle w:val="13"/>
            </w:pPr>
            <w:r>
              <w:t>辐射区域内适龄学生人数</w:t>
            </w:r>
          </w:p>
        </w:tc>
        <w:tc>
          <w:tcPr>
            <w:tcW w:w="1613" w:type="dxa"/>
            <w:vAlign w:val="center"/>
          </w:tcPr>
          <w:p w14:paraId="2C18B3D5">
            <w:pPr>
              <w:pStyle w:val="13"/>
            </w:pPr>
            <w:r>
              <w:t>1172人</w:t>
            </w:r>
          </w:p>
        </w:tc>
        <w:tc>
          <w:tcPr>
            <w:tcW w:w="1931" w:type="dxa"/>
            <w:vAlign w:val="center"/>
          </w:tcPr>
          <w:p w14:paraId="5505439A">
            <w:pPr>
              <w:pStyle w:val="13"/>
            </w:pPr>
            <w:r>
              <w:t>城乡义务教育公用经费管理办法</w:t>
            </w:r>
          </w:p>
        </w:tc>
      </w:tr>
      <w:tr w14:paraId="0B377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A4BF4"/>
        </w:tc>
        <w:tc>
          <w:tcPr>
            <w:tcW w:w="2268" w:type="dxa"/>
            <w:vAlign w:val="center"/>
          </w:tcPr>
          <w:p w14:paraId="41D93F26">
            <w:pPr>
              <w:pStyle w:val="13"/>
            </w:pPr>
            <w:r>
              <w:t>质量指标</w:t>
            </w:r>
          </w:p>
        </w:tc>
        <w:tc>
          <w:tcPr>
            <w:tcW w:w="2835" w:type="dxa"/>
            <w:vAlign w:val="center"/>
          </w:tcPr>
          <w:p w14:paraId="44547DCC">
            <w:pPr>
              <w:pStyle w:val="13"/>
            </w:pPr>
            <w:r>
              <w:t>预算执行率</w:t>
            </w:r>
          </w:p>
        </w:tc>
        <w:tc>
          <w:tcPr>
            <w:tcW w:w="5386" w:type="dxa"/>
            <w:vAlign w:val="center"/>
          </w:tcPr>
          <w:p w14:paraId="368282BD">
            <w:pPr>
              <w:pStyle w:val="13"/>
            </w:pPr>
            <w:r>
              <w:t>预算执行率大于等于98%</w:t>
            </w:r>
          </w:p>
        </w:tc>
        <w:tc>
          <w:tcPr>
            <w:tcW w:w="1613" w:type="dxa"/>
            <w:vAlign w:val="center"/>
          </w:tcPr>
          <w:p w14:paraId="6C1CEC21">
            <w:pPr>
              <w:pStyle w:val="13"/>
            </w:pPr>
            <w:r>
              <w:t>≥100%</w:t>
            </w:r>
          </w:p>
        </w:tc>
        <w:tc>
          <w:tcPr>
            <w:tcW w:w="1931" w:type="dxa"/>
            <w:vAlign w:val="center"/>
          </w:tcPr>
          <w:p w14:paraId="585DD6FA">
            <w:pPr>
              <w:pStyle w:val="13"/>
            </w:pPr>
            <w:r>
              <w:t>城乡义务教育公用经费管理办法</w:t>
            </w:r>
          </w:p>
        </w:tc>
      </w:tr>
      <w:tr w14:paraId="5A331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90DB5"/>
        </w:tc>
        <w:tc>
          <w:tcPr>
            <w:tcW w:w="2268" w:type="dxa"/>
            <w:vAlign w:val="center"/>
          </w:tcPr>
          <w:p w14:paraId="00F64895">
            <w:pPr>
              <w:pStyle w:val="13"/>
            </w:pPr>
            <w:r>
              <w:t>时效指标</w:t>
            </w:r>
          </w:p>
        </w:tc>
        <w:tc>
          <w:tcPr>
            <w:tcW w:w="2835" w:type="dxa"/>
            <w:vAlign w:val="center"/>
          </w:tcPr>
          <w:p w14:paraId="51982898">
            <w:pPr>
              <w:pStyle w:val="13"/>
            </w:pPr>
            <w:r>
              <w:t>义教经费支付完成率</w:t>
            </w:r>
          </w:p>
        </w:tc>
        <w:tc>
          <w:tcPr>
            <w:tcW w:w="5386" w:type="dxa"/>
            <w:vAlign w:val="center"/>
          </w:tcPr>
          <w:p w14:paraId="23E68957">
            <w:pPr>
              <w:pStyle w:val="13"/>
            </w:pPr>
            <w:r>
              <w:t>按照序时进度完成资金支付</w:t>
            </w:r>
          </w:p>
        </w:tc>
        <w:tc>
          <w:tcPr>
            <w:tcW w:w="1613" w:type="dxa"/>
            <w:vAlign w:val="center"/>
          </w:tcPr>
          <w:p w14:paraId="4EBD91FA">
            <w:pPr>
              <w:pStyle w:val="13"/>
            </w:pPr>
            <w:r>
              <w:t>100%</w:t>
            </w:r>
          </w:p>
        </w:tc>
        <w:tc>
          <w:tcPr>
            <w:tcW w:w="1931" w:type="dxa"/>
            <w:vAlign w:val="center"/>
          </w:tcPr>
          <w:p w14:paraId="6470A150">
            <w:pPr>
              <w:pStyle w:val="13"/>
            </w:pPr>
            <w:r>
              <w:t>城乡义务教育公用经费管理办法</w:t>
            </w:r>
          </w:p>
        </w:tc>
      </w:tr>
      <w:tr w14:paraId="4150A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3337AF">
            <w:pPr>
              <w:pStyle w:val="12"/>
            </w:pPr>
            <w:r>
              <w:t>效益指标</w:t>
            </w:r>
          </w:p>
        </w:tc>
        <w:tc>
          <w:tcPr>
            <w:tcW w:w="2268" w:type="dxa"/>
            <w:vAlign w:val="center"/>
          </w:tcPr>
          <w:p w14:paraId="66EB27C8">
            <w:pPr>
              <w:pStyle w:val="13"/>
            </w:pPr>
            <w:r>
              <w:t>可持续影响指标</w:t>
            </w:r>
          </w:p>
        </w:tc>
        <w:tc>
          <w:tcPr>
            <w:tcW w:w="2835" w:type="dxa"/>
            <w:vAlign w:val="center"/>
          </w:tcPr>
          <w:p w14:paraId="30A94720">
            <w:pPr>
              <w:pStyle w:val="13"/>
            </w:pPr>
            <w:r>
              <w:t>学校运转得到提高</w:t>
            </w:r>
          </w:p>
        </w:tc>
        <w:tc>
          <w:tcPr>
            <w:tcW w:w="5386" w:type="dxa"/>
            <w:vAlign w:val="center"/>
          </w:tcPr>
          <w:p w14:paraId="634A5CF8">
            <w:pPr>
              <w:pStyle w:val="13"/>
            </w:pPr>
            <w:r>
              <w:t>学生受教育年限</w:t>
            </w:r>
          </w:p>
        </w:tc>
        <w:tc>
          <w:tcPr>
            <w:tcW w:w="1613" w:type="dxa"/>
            <w:vAlign w:val="center"/>
          </w:tcPr>
          <w:p w14:paraId="4FFCC17D">
            <w:pPr>
              <w:pStyle w:val="13"/>
            </w:pPr>
            <w:r>
              <w:t>3年</w:t>
            </w:r>
          </w:p>
        </w:tc>
        <w:tc>
          <w:tcPr>
            <w:tcW w:w="1931" w:type="dxa"/>
            <w:vAlign w:val="center"/>
          </w:tcPr>
          <w:p w14:paraId="5BADD9E5">
            <w:pPr>
              <w:pStyle w:val="13"/>
            </w:pPr>
            <w:r>
              <w:t>城乡义务教育公用经费管理办法</w:t>
            </w:r>
          </w:p>
        </w:tc>
      </w:tr>
      <w:tr w14:paraId="4E9ED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70F4F2">
            <w:pPr>
              <w:pStyle w:val="12"/>
            </w:pPr>
            <w:r>
              <w:t>满意度指标</w:t>
            </w:r>
          </w:p>
        </w:tc>
        <w:tc>
          <w:tcPr>
            <w:tcW w:w="2268" w:type="dxa"/>
            <w:vAlign w:val="center"/>
          </w:tcPr>
          <w:p w14:paraId="4D5A42FF">
            <w:pPr>
              <w:pStyle w:val="13"/>
            </w:pPr>
            <w:r>
              <w:t>服务对象满意度指标</w:t>
            </w:r>
          </w:p>
        </w:tc>
        <w:tc>
          <w:tcPr>
            <w:tcW w:w="2835" w:type="dxa"/>
            <w:vAlign w:val="center"/>
          </w:tcPr>
          <w:p w14:paraId="5BECD6C2">
            <w:pPr>
              <w:pStyle w:val="13"/>
            </w:pPr>
            <w:r>
              <w:t>服务对象满意度</w:t>
            </w:r>
          </w:p>
        </w:tc>
        <w:tc>
          <w:tcPr>
            <w:tcW w:w="5386" w:type="dxa"/>
            <w:vAlign w:val="center"/>
          </w:tcPr>
          <w:p w14:paraId="4C1BED29">
            <w:pPr>
              <w:pStyle w:val="13"/>
            </w:pPr>
            <w:r>
              <w:t>学校老师和学生对学校教育教学工作满意度</w:t>
            </w:r>
          </w:p>
        </w:tc>
        <w:tc>
          <w:tcPr>
            <w:tcW w:w="1613" w:type="dxa"/>
            <w:vAlign w:val="center"/>
          </w:tcPr>
          <w:p w14:paraId="6E76AF36">
            <w:pPr>
              <w:pStyle w:val="13"/>
            </w:pPr>
            <w:r>
              <w:t>≥95%</w:t>
            </w:r>
          </w:p>
        </w:tc>
        <w:tc>
          <w:tcPr>
            <w:tcW w:w="1931" w:type="dxa"/>
            <w:vAlign w:val="center"/>
          </w:tcPr>
          <w:p w14:paraId="11BEC8E8">
            <w:pPr>
              <w:pStyle w:val="13"/>
            </w:pPr>
            <w:r>
              <w:t>问卷调查</w:t>
            </w:r>
          </w:p>
        </w:tc>
      </w:tr>
    </w:tbl>
    <w:p w14:paraId="6D1FF053">
      <w:pPr>
        <w:sectPr>
          <w:pgSz w:w="16840" w:h="11900" w:orient="landscape"/>
          <w:pgMar w:top="1361" w:right="1020" w:bottom="1134" w:left="1020" w:header="720" w:footer="720" w:gutter="0"/>
          <w:cols w:space="720" w:num="1"/>
        </w:sectPr>
      </w:pPr>
    </w:p>
    <w:p w14:paraId="29661184">
      <w:pPr>
        <w:spacing w:before="10" w:after="10" w:line="240" w:lineRule="auto"/>
        <w:ind w:firstLine="640"/>
        <w:jc w:val="left"/>
        <w:outlineLvl w:val="5"/>
      </w:pPr>
      <w:r>
        <w:rPr>
          <w:rFonts w:ascii="黑体" w:hAnsi="黑体" w:eastAsia="黑体" w:cs="黑体"/>
          <w:color w:val="000000"/>
          <w:sz w:val="32"/>
        </w:rPr>
        <w:t>六、政府采购预算情况</w:t>
      </w:r>
    </w:p>
    <w:p w14:paraId="1934D33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25D4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5CFBA44">
            <w:pPr>
              <w:pStyle w:val="8"/>
            </w:pPr>
            <w:r>
              <w:t>360032隆尧县双碑中学</w:t>
            </w:r>
          </w:p>
        </w:tc>
        <w:tc>
          <w:tcPr>
            <w:tcW w:w="7712" w:type="dxa"/>
            <w:gridSpan w:val="8"/>
            <w:tcBorders>
              <w:top w:val="single" w:color="FFFFFF" w:sz="6" w:space="0"/>
              <w:left w:val="single" w:color="FFFFFF" w:sz="6" w:space="0"/>
              <w:right w:val="single" w:color="FFFFFF" w:sz="6" w:space="0"/>
            </w:tcBorders>
            <w:vAlign w:val="center"/>
          </w:tcPr>
          <w:p w14:paraId="769F524F">
            <w:pPr>
              <w:pStyle w:val="22"/>
            </w:pPr>
            <w:r>
              <w:t>单位：万元</w:t>
            </w:r>
          </w:p>
        </w:tc>
      </w:tr>
      <w:tr w14:paraId="22D01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7C586A2">
            <w:pPr>
              <w:pStyle w:val="11"/>
            </w:pPr>
            <w:r>
              <w:t>政府采购项目来源</w:t>
            </w:r>
          </w:p>
        </w:tc>
        <w:tc>
          <w:tcPr>
            <w:tcW w:w="1134" w:type="dxa"/>
            <w:vMerge w:val="restart"/>
            <w:vAlign w:val="center"/>
          </w:tcPr>
          <w:p w14:paraId="2D71F09F">
            <w:pPr>
              <w:pStyle w:val="11"/>
            </w:pPr>
            <w:r>
              <w:t>采购物品名称</w:t>
            </w:r>
          </w:p>
        </w:tc>
        <w:tc>
          <w:tcPr>
            <w:tcW w:w="1134" w:type="dxa"/>
            <w:vMerge w:val="restart"/>
            <w:vAlign w:val="center"/>
          </w:tcPr>
          <w:p w14:paraId="7E4F83D7">
            <w:pPr>
              <w:pStyle w:val="11"/>
            </w:pPr>
            <w:r>
              <w:t>政府采购目录序号</w:t>
            </w:r>
          </w:p>
        </w:tc>
        <w:tc>
          <w:tcPr>
            <w:tcW w:w="709" w:type="dxa"/>
            <w:vMerge w:val="restart"/>
            <w:vAlign w:val="center"/>
          </w:tcPr>
          <w:p w14:paraId="3BB6F43D">
            <w:pPr>
              <w:pStyle w:val="11"/>
            </w:pPr>
            <w:r>
              <w:t>计量  单位</w:t>
            </w:r>
          </w:p>
        </w:tc>
        <w:tc>
          <w:tcPr>
            <w:tcW w:w="850" w:type="dxa"/>
            <w:vMerge w:val="restart"/>
            <w:vAlign w:val="center"/>
          </w:tcPr>
          <w:p w14:paraId="76C56F35">
            <w:pPr>
              <w:pStyle w:val="11"/>
            </w:pPr>
            <w:r>
              <w:t>数量</w:t>
            </w:r>
          </w:p>
        </w:tc>
        <w:tc>
          <w:tcPr>
            <w:tcW w:w="850" w:type="dxa"/>
            <w:vMerge w:val="restart"/>
            <w:vAlign w:val="center"/>
          </w:tcPr>
          <w:p w14:paraId="24F00FB0">
            <w:pPr>
              <w:pStyle w:val="11"/>
            </w:pPr>
            <w:r>
              <w:t>单价</w:t>
            </w:r>
          </w:p>
        </w:tc>
        <w:tc>
          <w:tcPr>
            <w:tcW w:w="6748" w:type="dxa"/>
            <w:gridSpan w:val="7"/>
            <w:vAlign w:val="center"/>
          </w:tcPr>
          <w:p w14:paraId="56E9819B">
            <w:pPr>
              <w:pStyle w:val="11"/>
            </w:pPr>
            <w:r>
              <w:t>政府采购金额（当年部门预算安排资金）</w:t>
            </w:r>
          </w:p>
        </w:tc>
        <w:tc>
          <w:tcPr>
            <w:tcW w:w="964" w:type="dxa"/>
            <w:vMerge w:val="restart"/>
            <w:vAlign w:val="center"/>
          </w:tcPr>
          <w:p w14:paraId="72B8E42F">
            <w:pPr>
              <w:pStyle w:val="11"/>
            </w:pPr>
            <w:r>
              <w:t>2025年  预留中  小微企  业份额</w:t>
            </w:r>
          </w:p>
        </w:tc>
      </w:tr>
      <w:tr w14:paraId="0DF6C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A45A8B8">
            <w:pPr>
              <w:pStyle w:val="11"/>
            </w:pPr>
            <w:r>
              <w:t>项目名称</w:t>
            </w:r>
          </w:p>
        </w:tc>
        <w:tc>
          <w:tcPr>
            <w:tcW w:w="964" w:type="dxa"/>
            <w:vAlign w:val="center"/>
          </w:tcPr>
          <w:p w14:paraId="6F958293">
            <w:pPr>
              <w:pStyle w:val="11"/>
            </w:pPr>
            <w:r>
              <w:t>预算    资金</w:t>
            </w:r>
          </w:p>
        </w:tc>
        <w:tc>
          <w:tcPr>
            <w:tcW w:w="1134" w:type="dxa"/>
            <w:vMerge w:val="continue"/>
          </w:tcPr>
          <w:p w14:paraId="397AE111"/>
        </w:tc>
        <w:tc>
          <w:tcPr>
            <w:tcW w:w="1134" w:type="dxa"/>
            <w:vMerge w:val="continue"/>
          </w:tcPr>
          <w:p w14:paraId="1EA276FF"/>
        </w:tc>
        <w:tc>
          <w:tcPr>
            <w:tcW w:w="709" w:type="dxa"/>
            <w:vMerge w:val="continue"/>
          </w:tcPr>
          <w:p w14:paraId="6358DC34"/>
        </w:tc>
        <w:tc>
          <w:tcPr>
            <w:tcW w:w="850" w:type="dxa"/>
            <w:vMerge w:val="continue"/>
          </w:tcPr>
          <w:p w14:paraId="4AECABDB"/>
        </w:tc>
        <w:tc>
          <w:tcPr>
            <w:tcW w:w="850" w:type="dxa"/>
            <w:vMerge w:val="continue"/>
          </w:tcPr>
          <w:p w14:paraId="157A4BCA"/>
        </w:tc>
        <w:tc>
          <w:tcPr>
            <w:tcW w:w="964" w:type="dxa"/>
            <w:vAlign w:val="center"/>
          </w:tcPr>
          <w:p w14:paraId="4BF34A6A">
            <w:pPr>
              <w:pStyle w:val="11"/>
            </w:pPr>
            <w:r>
              <w:t>合计</w:t>
            </w:r>
          </w:p>
        </w:tc>
        <w:tc>
          <w:tcPr>
            <w:tcW w:w="964" w:type="dxa"/>
            <w:vAlign w:val="center"/>
          </w:tcPr>
          <w:p w14:paraId="0117057D">
            <w:pPr>
              <w:pStyle w:val="11"/>
            </w:pPr>
            <w:r>
              <w:t>一般公共预算拨款</w:t>
            </w:r>
          </w:p>
        </w:tc>
        <w:tc>
          <w:tcPr>
            <w:tcW w:w="964" w:type="dxa"/>
            <w:vAlign w:val="center"/>
          </w:tcPr>
          <w:p w14:paraId="2B93025F">
            <w:pPr>
              <w:pStyle w:val="11"/>
            </w:pPr>
            <w:r>
              <w:t>基金预算拨款</w:t>
            </w:r>
          </w:p>
        </w:tc>
        <w:tc>
          <w:tcPr>
            <w:tcW w:w="964" w:type="dxa"/>
            <w:vAlign w:val="center"/>
          </w:tcPr>
          <w:p w14:paraId="2594EECB">
            <w:pPr>
              <w:pStyle w:val="11"/>
            </w:pPr>
            <w:r>
              <w:t>国有资本经营预算拨款</w:t>
            </w:r>
          </w:p>
        </w:tc>
        <w:tc>
          <w:tcPr>
            <w:tcW w:w="964" w:type="dxa"/>
            <w:vAlign w:val="center"/>
          </w:tcPr>
          <w:p w14:paraId="255D43AE">
            <w:pPr>
              <w:pStyle w:val="11"/>
            </w:pPr>
            <w:r>
              <w:t>财政专户核拨</w:t>
            </w:r>
          </w:p>
        </w:tc>
        <w:tc>
          <w:tcPr>
            <w:tcW w:w="964" w:type="dxa"/>
            <w:vAlign w:val="center"/>
          </w:tcPr>
          <w:p w14:paraId="33F8B750">
            <w:pPr>
              <w:pStyle w:val="11"/>
            </w:pPr>
            <w:r>
              <w:t>单位    资金</w:t>
            </w:r>
          </w:p>
        </w:tc>
        <w:tc>
          <w:tcPr>
            <w:tcW w:w="964" w:type="dxa"/>
            <w:vAlign w:val="center"/>
          </w:tcPr>
          <w:p w14:paraId="0632DF0A">
            <w:pPr>
              <w:pStyle w:val="11"/>
            </w:pPr>
            <w:r>
              <w:t>上年结转结余</w:t>
            </w:r>
          </w:p>
        </w:tc>
        <w:tc>
          <w:tcPr>
            <w:tcW w:w="964" w:type="dxa"/>
            <w:vMerge w:val="continue"/>
          </w:tcPr>
          <w:p w14:paraId="14B890AC"/>
        </w:tc>
      </w:tr>
      <w:tr w14:paraId="23E6D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4515E4">
            <w:pPr>
              <w:pStyle w:val="15"/>
            </w:pPr>
            <w:r>
              <w:t>合  计</w:t>
            </w:r>
          </w:p>
        </w:tc>
        <w:tc>
          <w:tcPr>
            <w:tcW w:w="964" w:type="dxa"/>
            <w:vAlign w:val="center"/>
          </w:tcPr>
          <w:p w14:paraId="5681F0DA">
            <w:pPr>
              <w:pStyle w:val="16"/>
            </w:pPr>
          </w:p>
        </w:tc>
        <w:tc>
          <w:tcPr>
            <w:tcW w:w="1134" w:type="dxa"/>
            <w:vAlign w:val="center"/>
          </w:tcPr>
          <w:p w14:paraId="12DFF6D5">
            <w:pPr>
              <w:pStyle w:val="17"/>
            </w:pPr>
          </w:p>
        </w:tc>
        <w:tc>
          <w:tcPr>
            <w:tcW w:w="1134" w:type="dxa"/>
            <w:vAlign w:val="center"/>
          </w:tcPr>
          <w:p w14:paraId="074CA999">
            <w:pPr>
              <w:pStyle w:val="17"/>
            </w:pPr>
          </w:p>
        </w:tc>
        <w:tc>
          <w:tcPr>
            <w:tcW w:w="709" w:type="dxa"/>
            <w:vAlign w:val="center"/>
          </w:tcPr>
          <w:p w14:paraId="632C69FD">
            <w:pPr>
              <w:pStyle w:val="15"/>
            </w:pPr>
          </w:p>
        </w:tc>
        <w:tc>
          <w:tcPr>
            <w:tcW w:w="850" w:type="dxa"/>
            <w:vAlign w:val="center"/>
          </w:tcPr>
          <w:p w14:paraId="5CFADE08">
            <w:pPr>
              <w:pStyle w:val="16"/>
            </w:pPr>
          </w:p>
        </w:tc>
        <w:tc>
          <w:tcPr>
            <w:tcW w:w="850" w:type="dxa"/>
            <w:vAlign w:val="center"/>
          </w:tcPr>
          <w:p w14:paraId="7A1C10A5">
            <w:pPr>
              <w:pStyle w:val="16"/>
            </w:pPr>
          </w:p>
        </w:tc>
        <w:tc>
          <w:tcPr>
            <w:tcW w:w="964" w:type="dxa"/>
            <w:vAlign w:val="center"/>
          </w:tcPr>
          <w:p w14:paraId="3B2B81EE">
            <w:pPr>
              <w:pStyle w:val="16"/>
            </w:pPr>
            <w:r>
              <w:t>0.51</w:t>
            </w:r>
          </w:p>
        </w:tc>
        <w:tc>
          <w:tcPr>
            <w:tcW w:w="964" w:type="dxa"/>
            <w:vAlign w:val="center"/>
          </w:tcPr>
          <w:p w14:paraId="2FDAC42D">
            <w:pPr>
              <w:pStyle w:val="16"/>
            </w:pPr>
            <w:r>
              <w:t>0.51</w:t>
            </w:r>
          </w:p>
        </w:tc>
        <w:tc>
          <w:tcPr>
            <w:tcW w:w="964" w:type="dxa"/>
            <w:vAlign w:val="center"/>
          </w:tcPr>
          <w:p w14:paraId="37F16287">
            <w:pPr>
              <w:pStyle w:val="16"/>
            </w:pPr>
          </w:p>
        </w:tc>
        <w:tc>
          <w:tcPr>
            <w:tcW w:w="964" w:type="dxa"/>
            <w:vAlign w:val="center"/>
          </w:tcPr>
          <w:p w14:paraId="4F0E1D19">
            <w:pPr>
              <w:pStyle w:val="16"/>
            </w:pPr>
          </w:p>
        </w:tc>
        <w:tc>
          <w:tcPr>
            <w:tcW w:w="964" w:type="dxa"/>
            <w:vAlign w:val="center"/>
          </w:tcPr>
          <w:p w14:paraId="05715E45">
            <w:pPr>
              <w:pStyle w:val="16"/>
            </w:pPr>
          </w:p>
        </w:tc>
        <w:tc>
          <w:tcPr>
            <w:tcW w:w="964" w:type="dxa"/>
            <w:vAlign w:val="center"/>
          </w:tcPr>
          <w:p w14:paraId="3C757612">
            <w:pPr>
              <w:pStyle w:val="16"/>
            </w:pPr>
          </w:p>
        </w:tc>
        <w:tc>
          <w:tcPr>
            <w:tcW w:w="964" w:type="dxa"/>
            <w:vAlign w:val="center"/>
          </w:tcPr>
          <w:p w14:paraId="37AF1D31">
            <w:pPr>
              <w:pStyle w:val="16"/>
            </w:pPr>
          </w:p>
        </w:tc>
        <w:tc>
          <w:tcPr>
            <w:tcW w:w="964" w:type="dxa"/>
            <w:vAlign w:val="center"/>
          </w:tcPr>
          <w:p w14:paraId="56FA23ED">
            <w:pPr>
              <w:pStyle w:val="16"/>
            </w:pPr>
            <w:r>
              <w:t>0.51</w:t>
            </w:r>
          </w:p>
        </w:tc>
      </w:tr>
      <w:tr w14:paraId="1D723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9D175D">
            <w:pPr>
              <w:pStyle w:val="15"/>
            </w:pPr>
            <w:r>
              <w:t>隆尧县双碑中学小计</w:t>
            </w:r>
          </w:p>
        </w:tc>
        <w:tc>
          <w:tcPr>
            <w:tcW w:w="964" w:type="dxa"/>
            <w:vAlign w:val="center"/>
          </w:tcPr>
          <w:p w14:paraId="5EB85A06">
            <w:pPr>
              <w:pStyle w:val="16"/>
            </w:pPr>
          </w:p>
        </w:tc>
        <w:tc>
          <w:tcPr>
            <w:tcW w:w="1134" w:type="dxa"/>
            <w:vAlign w:val="center"/>
          </w:tcPr>
          <w:p w14:paraId="4452AFF7">
            <w:pPr>
              <w:pStyle w:val="17"/>
            </w:pPr>
          </w:p>
        </w:tc>
        <w:tc>
          <w:tcPr>
            <w:tcW w:w="1134" w:type="dxa"/>
            <w:vAlign w:val="center"/>
          </w:tcPr>
          <w:p w14:paraId="7D69FD03">
            <w:pPr>
              <w:pStyle w:val="17"/>
            </w:pPr>
          </w:p>
        </w:tc>
        <w:tc>
          <w:tcPr>
            <w:tcW w:w="709" w:type="dxa"/>
            <w:vAlign w:val="center"/>
          </w:tcPr>
          <w:p w14:paraId="7470662B">
            <w:pPr>
              <w:pStyle w:val="15"/>
            </w:pPr>
          </w:p>
        </w:tc>
        <w:tc>
          <w:tcPr>
            <w:tcW w:w="850" w:type="dxa"/>
            <w:vAlign w:val="center"/>
          </w:tcPr>
          <w:p w14:paraId="66E02639">
            <w:pPr>
              <w:pStyle w:val="16"/>
            </w:pPr>
          </w:p>
        </w:tc>
        <w:tc>
          <w:tcPr>
            <w:tcW w:w="850" w:type="dxa"/>
            <w:vAlign w:val="center"/>
          </w:tcPr>
          <w:p w14:paraId="1743A476">
            <w:pPr>
              <w:pStyle w:val="16"/>
            </w:pPr>
          </w:p>
        </w:tc>
        <w:tc>
          <w:tcPr>
            <w:tcW w:w="964" w:type="dxa"/>
            <w:vAlign w:val="center"/>
          </w:tcPr>
          <w:p w14:paraId="78CABC90">
            <w:pPr>
              <w:pStyle w:val="16"/>
            </w:pPr>
            <w:r>
              <w:t>0.51</w:t>
            </w:r>
          </w:p>
        </w:tc>
        <w:tc>
          <w:tcPr>
            <w:tcW w:w="964" w:type="dxa"/>
            <w:vAlign w:val="center"/>
          </w:tcPr>
          <w:p w14:paraId="1FAA4EFF">
            <w:pPr>
              <w:pStyle w:val="16"/>
            </w:pPr>
            <w:r>
              <w:t>0.51</w:t>
            </w:r>
          </w:p>
        </w:tc>
        <w:tc>
          <w:tcPr>
            <w:tcW w:w="964" w:type="dxa"/>
            <w:vAlign w:val="center"/>
          </w:tcPr>
          <w:p w14:paraId="04C217EB">
            <w:pPr>
              <w:pStyle w:val="16"/>
            </w:pPr>
          </w:p>
        </w:tc>
        <w:tc>
          <w:tcPr>
            <w:tcW w:w="964" w:type="dxa"/>
            <w:vAlign w:val="center"/>
          </w:tcPr>
          <w:p w14:paraId="0A06706B">
            <w:pPr>
              <w:pStyle w:val="16"/>
            </w:pPr>
          </w:p>
        </w:tc>
        <w:tc>
          <w:tcPr>
            <w:tcW w:w="964" w:type="dxa"/>
            <w:vAlign w:val="center"/>
          </w:tcPr>
          <w:p w14:paraId="6BCD5511">
            <w:pPr>
              <w:pStyle w:val="16"/>
            </w:pPr>
          </w:p>
        </w:tc>
        <w:tc>
          <w:tcPr>
            <w:tcW w:w="964" w:type="dxa"/>
            <w:vAlign w:val="center"/>
          </w:tcPr>
          <w:p w14:paraId="54508F4B">
            <w:pPr>
              <w:pStyle w:val="16"/>
            </w:pPr>
          </w:p>
        </w:tc>
        <w:tc>
          <w:tcPr>
            <w:tcW w:w="964" w:type="dxa"/>
            <w:vAlign w:val="center"/>
          </w:tcPr>
          <w:p w14:paraId="346ADF52">
            <w:pPr>
              <w:pStyle w:val="16"/>
            </w:pPr>
          </w:p>
        </w:tc>
        <w:tc>
          <w:tcPr>
            <w:tcW w:w="964" w:type="dxa"/>
            <w:vAlign w:val="center"/>
          </w:tcPr>
          <w:p w14:paraId="36BE52F5">
            <w:pPr>
              <w:pStyle w:val="16"/>
            </w:pPr>
            <w:r>
              <w:t>0.51</w:t>
            </w:r>
          </w:p>
        </w:tc>
      </w:tr>
      <w:tr w14:paraId="661AE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1542EE">
            <w:pPr>
              <w:pStyle w:val="13"/>
            </w:pPr>
            <w:r>
              <w:t>冀财教[2024]141号/省级/2025年义教补助经费/双碑中学公用经费</w:t>
            </w:r>
          </w:p>
        </w:tc>
        <w:tc>
          <w:tcPr>
            <w:tcW w:w="964" w:type="dxa"/>
            <w:vAlign w:val="center"/>
          </w:tcPr>
          <w:p w14:paraId="3C13626E">
            <w:pPr>
              <w:pStyle w:val="14"/>
            </w:pPr>
            <w:r>
              <w:t>51.61</w:t>
            </w:r>
          </w:p>
        </w:tc>
        <w:tc>
          <w:tcPr>
            <w:tcW w:w="1134" w:type="dxa"/>
            <w:vAlign w:val="center"/>
          </w:tcPr>
          <w:p w14:paraId="1DE06E6F">
            <w:pPr>
              <w:pStyle w:val="13"/>
            </w:pPr>
            <w:r>
              <w:t>书柜</w:t>
            </w:r>
          </w:p>
        </w:tc>
        <w:tc>
          <w:tcPr>
            <w:tcW w:w="1134" w:type="dxa"/>
            <w:vAlign w:val="center"/>
          </w:tcPr>
          <w:p w14:paraId="13EC7348">
            <w:pPr>
              <w:pStyle w:val="13"/>
            </w:pPr>
            <w:r>
              <w:t>A05010501</w:t>
            </w:r>
          </w:p>
        </w:tc>
        <w:tc>
          <w:tcPr>
            <w:tcW w:w="709" w:type="dxa"/>
            <w:vAlign w:val="center"/>
          </w:tcPr>
          <w:p w14:paraId="5BF74956">
            <w:pPr>
              <w:pStyle w:val="12"/>
            </w:pPr>
            <w:r>
              <w:t>个</w:t>
            </w:r>
          </w:p>
        </w:tc>
        <w:tc>
          <w:tcPr>
            <w:tcW w:w="850" w:type="dxa"/>
            <w:vAlign w:val="center"/>
          </w:tcPr>
          <w:p w14:paraId="14F926BC">
            <w:pPr>
              <w:pStyle w:val="14"/>
            </w:pPr>
            <w:r>
              <w:t>2</w:t>
            </w:r>
          </w:p>
        </w:tc>
        <w:tc>
          <w:tcPr>
            <w:tcW w:w="850" w:type="dxa"/>
            <w:vAlign w:val="center"/>
          </w:tcPr>
          <w:p w14:paraId="2A8CB0BF">
            <w:pPr>
              <w:pStyle w:val="14"/>
            </w:pPr>
            <w:r>
              <w:t>0.26</w:t>
            </w:r>
          </w:p>
        </w:tc>
        <w:tc>
          <w:tcPr>
            <w:tcW w:w="964" w:type="dxa"/>
            <w:vAlign w:val="center"/>
          </w:tcPr>
          <w:p w14:paraId="7F3FA35B">
            <w:pPr>
              <w:pStyle w:val="14"/>
            </w:pPr>
            <w:r>
              <w:t>0.51</w:t>
            </w:r>
          </w:p>
        </w:tc>
        <w:tc>
          <w:tcPr>
            <w:tcW w:w="964" w:type="dxa"/>
            <w:vAlign w:val="center"/>
          </w:tcPr>
          <w:p w14:paraId="021753CE">
            <w:pPr>
              <w:pStyle w:val="14"/>
            </w:pPr>
            <w:r>
              <w:t>0.51</w:t>
            </w:r>
          </w:p>
        </w:tc>
        <w:tc>
          <w:tcPr>
            <w:tcW w:w="964" w:type="dxa"/>
            <w:vAlign w:val="center"/>
          </w:tcPr>
          <w:p w14:paraId="05A4DE6E">
            <w:pPr>
              <w:pStyle w:val="14"/>
            </w:pPr>
          </w:p>
        </w:tc>
        <w:tc>
          <w:tcPr>
            <w:tcW w:w="964" w:type="dxa"/>
            <w:vAlign w:val="center"/>
          </w:tcPr>
          <w:p w14:paraId="524FA50F">
            <w:pPr>
              <w:pStyle w:val="14"/>
            </w:pPr>
          </w:p>
        </w:tc>
        <w:tc>
          <w:tcPr>
            <w:tcW w:w="964" w:type="dxa"/>
            <w:vAlign w:val="center"/>
          </w:tcPr>
          <w:p w14:paraId="1F596B81">
            <w:pPr>
              <w:pStyle w:val="14"/>
            </w:pPr>
          </w:p>
        </w:tc>
        <w:tc>
          <w:tcPr>
            <w:tcW w:w="964" w:type="dxa"/>
            <w:vAlign w:val="center"/>
          </w:tcPr>
          <w:p w14:paraId="49B7898F">
            <w:pPr>
              <w:pStyle w:val="14"/>
            </w:pPr>
          </w:p>
        </w:tc>
        <w:tc>
          <w:tcPr>
            <w:tcW w:w="964" w:type="dxa"/>
            <w:vAlign w:val="center"/>
          </w:tcPr>
          <w:p w14:paraId="7E5DDB11">
            <w:pPr>
              <w:pStyle w:val="14"/>
            </w:pPr>
          </w:p>
        </w:tc>
        <w:tc>
          <w:tcPr>
            <w:tcW w:w="964" w:type="dxa"/>
            <w:vAlign w:val="center"/>
          </w:tcPr>
          <w:p w14:paraId="7CC9E2CC">
            <w:pPr>
              <w:pStyle w:val="14"/>
            </w:pPr>
            <w:r>
              <w:t>0.51</w:t>
            </w:r>
          </w:p>
        </w:tc>
      </w:tr>
    </w:tbl>
    <w:p w14:paraId="62E406D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47106D">
      <w:pPr>
        <w:spacing w:before="0" w:after="0"/>
        <w:ind w:firstLine="640"/>
        <w:jc w:val="left"/>
        <w:outlineLvl w:val="9"/>
      </w:pPr>
      <w:r>
        <w:rPr>
          <w:rFonts w:ascii="Times New Roman" w:hAnsi="Times New Roman" w:eastAsia="方正仿宋_GBK" w:cs="Times New Roman"/>
          <w:color w:val="000000"/>
          <w:sz w:val="32"/>
        </w:rPr>
        <w:t xml:space="preserve"> </w:t>
      </w:r>
    </w:p>
    <w:p w14:paraId="71A239E8">
      <w:pPr>
        <w:spacing w:before="10" w:after="10" w:line="240" w:lineRule="auto"/>
        <w:ind w:firstLine="640"/>
        <w:jc w:val="left"/>
        <w:outlineLvl w:val="5"/>
      </w:pPr>
      <w:r>
        <w:rPr>
          <w:rFonts w:ascii="黑体" w:hAnsi="黑体" w:eastAsia="黑体" w:cs="黑体"/>
          <w:color w:val="000000"/>
          <w:sz w:val="32"/>
        </w:rPr>
        <w:t>七、国有资产信息</w:t>
      </w:r>
    </w:p>
    <w:p w14:paraId="32E1FE87">
      <w:pPr>
        <w:spacing w:before="0" w:after="0" w:line="500" w:lineRule="exact"/>
        <w:ind w:firstLine="560"/>
        <w:jc w:val="left"/>
        <w:outlineLvl w:val="9"/>
      </w:pPr>
      <w:r>
        <w:rPr>
          <w:rFonts w:ascii="Times New Roman" w:hAnsi="Times New Roman" w:eastAsia="方正仿宋_GBK" w:cs="Times New Roman"/>
          <w:b w:val="0"/>
          <w:color w:val="000000"/>
          <w:sz w:val="28"/>
        </w:rPr>
        <w:t>隆尧县双碑中学上年末固定资产金额为1809.81万元（详见下表）。本年度拟购置固定资产总额为51.44万元，已按要求列入政府采购预算，详见政府采购预算表。</w:t>
      </w:r>
    </w:p>
    <w:p w14:paraId="5EE1795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3326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BF92F8F">
            <w:pPr>
              <w:pStyle w:val="8"/>
            </w:pPr>
            <w:r>
              <w:t>360032隆尧县双碑中学</w:t>
            </w:r>
          </w:p>
        </w:tc>
        <w:tc>
          <w:tcPr>
            <w:tcW w:w="5670" w:type="dxa"/>
            <w:gridSpan w:val="2"/>
            <w:tcBorders>
              <w:top w:val="single" w:color="FFFFFF" w:sz="6" w:space="0"/>
              <w:left w:val="single" w:color="FFFFFF" w:sz="6" w:space="0"/>
              <w:right w:val="single" w:color="FFFFFF" w:sz="6" w:space="0"/>
            </w:tcBorders>
            <w:vAlign w:val="center"/>
          </w:tcPr>
          <w:p w14:paraId="57CD807A">
            <w:pPr>
              <w:pStyle w:val="10"/>
            </w:pPr>
            <w:r>
              <w:t>截止时间：2024-12-31</w:t>
            </w:r>
          </w:p>
        </w:tc>
      </w:tr>
      <w:tr w14:paraId="7F9BB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342F427">
            <w:pPr>
              <w:pStyle w:val="11"/>
            </w:pPr>
            <w:r>
              <w:t>项   目</w:t>
            </w:r>
          </w:p>
        </w:tc>
        <w:tc>
          <w:tcPr>
            <w:tcW w:w="2835" w:type="dxa"/>
            <w:vAlign w:val="center"/>
          </w:tcPr>
          <w:p w14:paraId="488AA645">
            <w:pPr>
              <w:pStyle w:val="11"/>
            </w:pPr>
            <w:r>
              <w:t>数量</w:t>
            </w:r>
          </w:p>
        </w:tc>
        <w:tc>
          <w:tcPr>
            <w:tcW w:w="2835" w:type="dxa"/>
            <w:vAlign w:val="center"/>
          </w:tcPr>
          <w:p w14:paraId="7491DB52">
            <w:pPr>
              <w:pStyle w:val="11"/>
            </w:pPr>
            <w:r>
              <w:t>价值（金额单位：万元）</w:t>
            </w:r>
          </w:p>
        </w:tc>
      </w:tr>
      <w:tr w14:paraId="75D0A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5E9422">
            <w:pPr>
              <w:pStyle w:val="13"/>
            </w:pPr>
            <w:r>
              <w:t>资产总额</w:t>
            </w:r>
          </w:p>
        </w:tc>
        <w:tc>
          <w:tcPr>
            <w:tcW w:w="2835" w:type="dxa"/>
            <w:vAlign w:val="center"/>
          </w:tcPr>
          <w:p w14:paraId="28E2AF36">
            <w:pPr>
              <w:pStyle w:val="12"/>
            </w:pPr>
          </w:p>
        </w:tc>
        <w:tc>
          <w:tcPr>
            <w:tcW w:w="2835" w:type="dxa"/>
            <w:vAlign w:val="center"/>
          </w:tcPr>
          <w:p w14:paraId="313827A3">
            <w:pPr>
              <w:pStyle w:val="14"/>
            </w:pPr>
            <w:r>
              <w:t>1809.81</w:t>
            </w:r>
          </w:p>
        </w:tc>
      </w:tr>
      <w:tr w14:paraId="1924D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C7A864">
            <w:pPr>
              <w:pStyle w:val="13"/>
            </w:pPr>
            <w:r>
              <w:t>1、房屋（平方米）</w:t>
            </w:r>
          </w:p>
        </w:tc>
        <w:tc>
          <w:tcPr>
            <w:tcW w:w="2835" w:type="dxa"/>
            <w:vAlign w:val="center"/>
          </w:tcPr>
          <w:p w14:paraId="47B6F94C">
            <w:pPr>
              <w:pStyle w:val="12"/>
            </w:pPr>
            <w:r>
              <w:t>13622.56</w:t>
            </w:r>
          </w:p>
        </w:tc>
        <w:tc>
          <w:tcPr>
            <w:tcW w:w="2835" w:type="dxa"/>
            <w:vAlign w:val="center"/>
          </w:tcPr>
          <w:p w14:paraId="11360077">
            <w:pPr>
              <w:pStyle w:val="14"/>
            </w:pPr>
            <w:r>
              <w:t>1126.81</w:t>
            </w:r>
          </w:p>
        </w:tc>
      </w:tr>
      <w:tr w14:paraId="7AC23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85D689B">
            <w:pPr>
              <w:pStyle w:val="13"/>
            </w:pPr>
            <w:r>
              <w:t>　　其中：办公用房（平方米）</w:t>
            </w:r>
          </w:p>
        </w:tc>
        <w:tc>
          <w:tcPr>
            <w:tcW w:w="2835" w:type="dxa"/>
            <w:vAlign w:val="center"/>
          </w:tcPr>
          <w:p w14:paraId="40E4B475">
            <w:pPr>
              <w:pStyle w:val="12"/>
            </w:pPr>
            <w:r>
              <w:t>260</w:t>
            </w:r>
          </w:p>
        </w:tc>
        <w:tc>
          <w:tcPr>
            <w:tcW w:w="2835" w:type="dxa"/>
            <w:vAlign w:val="center"/>
          </w:tcPr>
          <w:p w14:paraId="5BE1E20F">
            <w:pPr>
              <w:pStyle w:val="14"/>
            </w:pPr>
            <w:r>
              <w:t>21.50</w:t>
            </w:r>
          </w:p>
        </w:tc>
      </w:tr>
      <w:tr w14:paraId="705D2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9599D5">
            <w:pPr>
              <w:pStyle w:val="13"/>
            </w:pPr>
            <w:r>
              <w:t>2、车辆（台、辆）</w:t>
            </w:r>
          </w:p>
        </w:tc>
        <w:tc>
          <w:tcPr>
            <w:tcW w:w="2835" w:type="dxa"/>
            <w:vAlign w:val="center"/>
          </w:tcPr>
          <w:p w14:paraId="59E6C467">
            <w:pPr>
              <w:pStyle w:val="12"/>
            </w:pPr>
          </w:p>
        </w:tc>
        <w:tc>
          <w:tcPr>
            <w:tcW w:w="2835" w:type="dxa"/>
            <w:vAlign w:val="center"/>
          </w:tcPr>
          <w:p w14:paraId="36B7F6ED">
            <w:pPr>
              <w:pStyle w:val="14"/>
            </w:pPr>
          </w:p>
        </w:tc>
      </w:tr>
      <w:tr w14:paraId="1C6BB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F7AC36">
            <w:pPr>
              <w:pStyle w:val="13"/>
            </w:pPr>
            <w:r>
              <w:t>3、单价在20万元以上的设备</w:t>
            </w:r>
          </w:p>
        </w:tc>
        <w:tc>
          <w:tcPr>
            <w:tcW w:w="2835" w:type="dxa"/>
            <w:vAlign w:val="center"/>
          </w:tcPr>
          <w:p w14:paraId="17025766">
            <w:pPr>
              <w:pStyle w:val="12"/>
            </w:pPr>
          </w:p>
        </w:tc>
        <w:tc>
          <w:tcPr>
            <w:tcW w:w="2835" w:type="dxa"/>
            <w:vAlign w:val="center"/>
          </w:tcPr>
          <w:p w14:paraId="387CB501">
            <w:pPr>
              <w:pStyle w:val="14"/>
            </w:pPr>
          </w:p>
        </w:tc>
      </w:tr>
      <w:tr w14:paraId="0B0E0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8CAB8F">
            <w:pPr>
              <w:pStyle w:val="13"/>
            </w:pPr>
            <w:r>
              <w:t>4、其他固定资产</w:t>
            </w:r>
          </w:p>
        </w:tc>
        <w:tc>
          <w:tcPr>
            <w:tcW w:w="2835" w:type="dxa"/>
            <w:vAlign w:val="center"/>
          </w:tcPr>
          <w:p w14:paraId="11E3A3FE">
            <w:pPr>
              <w:pStyle w:val="12"/>
            </w:pPr>
            <w:r>
              <w:t>39102</w:t>
            </w:r>
          </w:p>
        </w:tc>
        <w:tc>
          <w:tcPr>
            <w:tcW w:w="2835" w:type="dxa"/>
            <w:vAlign w:val="center"/>
          </w:tcPr>
          <w:p w14:paraId="066C1E83">
            <w:pPr>
              <w:pStyle w:val="14"/>
            </w:pPr>
            <w:r>
              <w:t>683.00</w:t>
            </w:r>
          </w:p>
        </w:tc>
      </w:tr>
    </w:tbl>
    <w:p w14:paraId="3B467542">
      <w:pPr>
        <w:spacing w:before="0" w:after="0"/>
        <w:ind w:firstLine="640"/>
        <w:jc w:val="left"/>
        <w:outlineLvl w:val="9"/>
      </w:pPr>
      <w:r>
        <w:rPr>
          <w:rFonts w:ascii="Times New Roman" w:hAnsi="Times New Roman" w:eastAsia="方正仿宋_GBK" w:cs="Times New Roman"/>
          <w:color w:val="000000"/>
          <w:sz w:val="32"/>
        </w:rPr>
        <w:t xml:space="preserve"> </w:t>
      </w:r>
    </w:p>
    <w:p w14:paraId="5B5096AB">
      <w:pPr>
        <w:spacing w:before="10" w:after="10" w:line="240" w:lineRule="auto"/>
        <w:ind w:firstLine="640"/>
        <w:jc w:val="left"/>
        <w:outlineLvl w:val="5"/>
      </w:pPr>
      <w:r>
        <w:rPr>
          <w:rFonts w:ascii="黑体" w:hAnsi="黑体" w:eastAsia="黑体" w:cs="黑体"/>
          <w:color w:val="000000"/>
          <w:sz w:val="32"/>
        </w:rPr>
        <w:t>八、名词解释</w:t>
      </w:r>
    </w:p>
    <w:p w14:paraId="7D6230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72EA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332CE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C87F8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C89E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5732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EC904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EF60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3DCE3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7A3AA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2F1700">
      <w:pPr>
        <w:spacing w:before="10" w:after="10" w:line="240" w:lineRule="auto"/>
        <w:ind w:firstLine="640"/>
        <w:jc w:val="left"/>
        <w:outlineLvl w:val="5"/>
      </w:pPr>
      <w:r>
        <w:rPr>
          <w:rFonts w:ascii="黑体" w:hAnsi="黑体" w:eastAsia="黑体" w:cs="黑体"/>
          <w:color w:val="000000"/>
          <w:sz w:val="32"/>
        </w:rPr>
        <w:t>九、其他需要说明的事项</w:t>
      </w:r>
    </w:p>
    <w:p w14:paraId="5A82AA5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8846ECB">
      <w:pPr>
        <w:spacing w:before="0" w:after="0"/>
        <w:ind w:firstLine="0"/>
        <w:jc w:val="center"/>
        <w:outlineLvl w:val="3"/>
      </w:pPr>
      <w:bookmarkStart w:id="32" w:name="_Toc_4_4_0000000052"/>
      <w:r>
        <w:rPr>
          <w:rFonts w:ascii="方正小标宋_GBK" w:hAnsi="方正小标宋_GBK" w:eastAsia="方正小标宋_GBK" w:cs="方正小标宋_GBK"/>
          <w:b w:val="0"/>
          <w:color w:val="000000"/>
          <w:sz w:val="44"/>
        </w:rPr>
        <w:t>三十二、隆尧县大张庄中学收支预算</w:t>
      </w:r>
      <w:bookmarkEnd w:id="32"/>
    </w:p>
    <w:p w14:paraId="5B860F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5C25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645D54">
            <w:pPr>
              <w:pStyle w:val="8"/>
            </w:pPr>
            <w:r>
              <w:t>360033隆尧县大张庄中学</w:t>
            </w:r>
          </w:p>
        </w:tc>
        <w:tc>
          <w:tcPr>
            <w:tcW w:w="2126" w:type="dxa"/>
            <w:tcBorders>
              <w:top w:val="single" w:color="FFFFFF" w:sz="6" w:space="0"/>
              <w:left w:val="single" w:color="FFFFFF" w:sz="6" w:space="0"/>
              <w:right w:val="single" w:color="FFFFFF" w:sz="6" w:space="0"/>
            </w:tcBorders>
            <w:vAlign w:val="center"/>
          </w:tcPr>
          <w:p w14:paraId="46A074F5">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AEE8AFE">
            <w:pPr>
              <w:pStyle w:val="10"/>
            </w:pPr>
            <w:r>
              <w:t>单位：万元</w:t>
            </w:r>
          </w:p>
        </w:tc>
      </w:tr>
      <w:tr w14:paraId="52B1B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864BE4">
            <w:pPr>
              <w:pStyle w:val="11"/>
            </w:pPr>
            <w:r>
              <w:t>序号</w:t>
            </w:r>
          </w:p>
        </w:tc>
        <w:tc>
          <w:tcPr>
            <w:tcW w:w="6661" w:type="dxa"/>
            <w:gridSpan w:val="2"/>
            <w:vAlign w:val="center"/>
          </w:tcPr>
          <w:p w14:paraId="454D82EE">
            <w:pPr>
              <w:pStyle w:val="11"/>
            </w:pPr>
            <w:r>
              <w:t>收入</w:t>
            </w:r>
          </w:p>
        </w:tc>
        <w:tc>
          <w:tcPr>
            <w:tcW w:w="6661" w:type="dxa"/>
            <w:gridSpan w:val="2"/>
            <w:vAlign w:val="center"/>
          </w:tcPr>
          <w:p w14:paraId="320A14F2">
            <w:pPr>
              <w:pStyle w:val="11"/>
            </w:pPr>
            <w:r>
              <w:t>支出</w:t>
            </w:r>
          </w:p>
        </w:tc>
      </w:tr>
      <w:tr w14:paraId="34B5B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183093"/>
        </w:tc>
        <w:tc>
          <w:tcPr>
            <w:tcW w:w="4535" w:type="dxa"/>
            <w:vAlign w:val="center"/>
          </w:tcPr>
          <w:p w14:paraId="13C63F3E">
            <w:pPr>
              <w:pStyle w:val="11"/>
            </w:pPr>
            <w:r>
              <w:t>项  目</w:t>
            </w:r>
          </w:p>
        </w:tc>
        <w:tc>
          <w:tcPr>
            <w:tcW w:w="2126" w:type="dxa"/>
            <w:vAlign w:val="center"/>
          </w:tcPr>
          <w:p w14:paraId="47BAA523">
            <w:pPr>
              <w:pStyle w:val="11"/>
            </w:pPr>
            <w:r>
              <w:t>预算数</w:t>
            </w:r>
          </w:p>
        </w:tc>
        <w:tc>
          <w:tcPr>
            <w:tcW w:w="4535" w:type="dxa"/>
            <w:vAlign w:val="center"/>
          </w:tcPr>
          <w:p w14:paraId="628DB458">
            <w:pPr>
              <w:pStyle w:val="11"/>
            </w:pPr>
            <w:r>
              <w:t>项  目</w:t>
            </w:r>
          </w:p>
        </w:tc>
        <w:tc>
          <w:tcPr>
            <w:tcW w:w="2126" w:type="dxa"/>
            <w:vAlign w:val="center"/>
          </w:tcPr>
          <w:p w14:paraId="261952C6">
            <w:pPr>
              <w:pStyle w:val="11"/>
            </w:pPr>
            <w:r>
              <w:t>预算数</w:t>
            </w:r>
          </w:p>
        </w:tc>
      </w:tr>
      <w:tr w14:paraId="4AADC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DFCEF">
            <w:pPr>
              <w:pStyle w:val="11"/>
            </w:pPr>
            <w:r>
              <w:t>栏次</w:t>
            </w:r>
          </w:p>
        </w:tc>
        <w:tc>
          <w:tcPr>
            <w:tcW w:w="4535" w:type="dxa"/>
            <w:vAlign w:val="center"/>
          </w:tcPr>
          <w:p w14:paraId="5A1F2079">
            <w:pPr>
              <w:pStyle w:val="11"/>
            </w:pPr>
            <w:r>
              <w:t>1</w:t>
            </w:r>
          </w:p>
        </w:tc>
        <w:tc>
          <w:tcPr>
            <w:tcW w:w="2126" w:type="dxa"/>
            <w:vAlign w:val="center"/>
          </w:tcPr>
          <w:p w14:paraId="01924269">
            <w:pPr>
              <w:pStyle w:val="11"/>
            </w:pPr>
            <w:r>
              <w:t>2</w:t>
            </w:r>
          </w:p>
        </w:tc>
        <w:tc>
          <w:tcPr>
            <w:tcW w:w="4535" w:type="dxa"/>
            <w:vAlign w:val="center"/>
          </w:tcPr>
          <w:p w14:paraId="2633CA2B">
            <w:pPr>
              <w:pStyle w:val="11"/>
            </w:pPr>
            <w:r>
              <w:t>3</w:t>
            </w:r>
          </w:p>
        </w:tc>
        <w:tc>
          <w:tcPr>
            <w:tcW w:w="2126" w:type="dxa"/>
            <w:vAlign w:val="center"/>
          </w:tcPr>
          <w:p w14:paraId="5D39092A">
            <w:pPr>
              <w:pStyle w:val="11"/>
            </w:pPr>
            <w:r>
              <w:t>4</w:t>
            </w:r>
          </w:p>
        </w:tc>
      </w:tr>
      <w:tr w14:paraId="12424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91991">
            <w:pPr>
              <w:pStyle w:val="12"/>
            </w:pPr>
            <w:r>
              <w:t>1</w:t>
            </w:r>
          </w:p>
        </w:tc>
        <w:tc>
          <w:tcPr>
            <w:tcW w:w="4535" w:type="dxa"/>
            <w:vAlign w:val="center"/>
          </w:tcPr>
          <w:p w14:paraId="34B09D37">
            <w:pPr>
              <w:pStyle w:val="13"/>
            </w:pPr>
            <w:r>
              <w:t>一、一般公共预算拨款收入</w:t>
            </w:r>
          </w:p>
        </w:tc>
        <w:tc>
          <w:tcPr>
            <w:tcW w:w="2126" w:type="dxa"/>
            <w:vAlign w:val="center"/>
          </w:tcPr>
          <w:p w14:paraId="3889CD01">
            <w:pPr>
              <w:pStyle w:val="14"/>
            </w:pPr>
            <w:r>
              <w:t>658.33</w:t>
            </w:r>
          </w:p>
        </w:tc>
        <w:tc>
          <w:tcPr>
            <w:tcW w:w="4535" w:type="dxa"/>
            <w:vAlign w:val="center"/>
          </w:tcPr>
          <w:p w14:paraId="441D8F2F">
            <w:pPr>
              <w:pStyle w:val="13"/>
            </w:pPr>
            <w:r>
              <w:t>一、一般公共服务支出</w:t>
            </w:r>
          </w:p>
        </w:tc>
        <w:tc>
          <w:tcPr>
            <w:tcW w:w="2126" w:type="dxa"/>
            <w:vAlign w:val="center"/>
          </w:tcPr>
          <w:p w14:paraId="1977029C">
            <w:pPr>
              <w:pStyle w:val="14"/>
            </w:pPr>
          </w:p>
        </w:tc>
      </w:tr>
      <w:tr w14:paraId="42DAB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84DE6">
            <w:pPr>
              <w:pStyle w:val="12"/>
            </w:pPr>
            <w:r>
              <w:t>2</w:t>
            </w:r>
          </w:p>
        </w:tc>
        <w:tc>
          <w:tcPr>
            <w:tcW w:w="4535" w:type="dxa"/>
            <w:vAlign w:val="center"/>
          </w:tcPr>
          <w:p w14:paraId="5C164C08">
            <w:pPr>
              <w:pStyle w:val="13"/>
            </w:pPr>
            <w:r>
              <w:t>二、政府性基金预算拨款收入</w:t>
            </w:r>
          </w:p>
        </w:tc>
        <w:tc>
          <w:tcPr>
            <w:tcW w:w="2126" w:type="dxa"/>
            <w:vAlign w:val="center"/>
          </w:tcPr>
          <w:p w14:paraId="2C12B2C9">
            <w:pPr>
              <w:pStyle w:val="14"/>
            </w:pPr>
          </w:p>
        </w:tc>
        <w:tc>
          <w:tcPr>
            <w:tcW w:w="4535" w:type="dxa"/>
            <w:vAlign w:val="center"/>
          </w:tcPr>
          <w:p w14:paraId="52C10B81">
            <w:pPr>
              <w:pStyle w:val="13"/>
            </w:pPr>
            <w:r>
              <w:t>二、外交支出</w:t>
            </w:r>
          </w:p>
        </w:tc>
        <w:tc>
          <w:tcPr>
            <w:tcW w:w="2126" w:type="dxa"/>
            <w:vAlign w:val="center"/>
          </w:tcPr>
          <w:p w14:paraId="06870665">
            <w:pPr>
              <w:pStyle w:val="14"/>
            </w:pPr>
          </w:p>
        </w:tc>
      </w:tr>
      <w:tr w14:paraId="260D4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6FC03">
            <w:pPr>
              <w:pStyle w:val="12"/>
            </w:pPr>
            <w:r>
              <w:t>3</w:t>
            </w:r>
          </w:p>
        </w:tc>
        <w:tc>
          <w:tcPr>
            <w:tcW w:w="4535" w:type="dxa"/>
            <w:vAlign w:val="center"/>
          </w:tcPr>
          <w:p w14:paraId="6FE1C0FC">
            <w:pPr>
              <w:pStyle w:val="13"/>
            </w:pPr>
            <w:r>
              <w:t>三、国有资本经营预算拨款收入</w:t>
            </w:r>
          </w:p>
        </w:tc>
        <w:tc>
          <w:tcPr>
            <w:tcW w:w="2126" w:type="dxa"/>
            <w:vAlign w:val="center"/>
          </w:tcPr>
          <w:p w14:paraId="0FC1179C">
            <w:pPr>
              <w:pStyle w:val="14"/>
            </w:pPr>
          </w:p>
        </w:tc>
        <w:tc>
          <w:tcPr>
            <w:tcW w:w="4535" w:type="dxa"/>
            <w:vAlign w:val="center"/>
          </w:tcPr>
          <w:p w14:paraId="7E0A07F5">
            <w:pPr>
              <w:pStyle w:val="13"/>
            </w:pPr>
            <w:r>
              <w:t>三、国防支出</w:t>
            </w:r>
          </w:p>
        </w:tc>
        <w:tc>
          <w:tcPr>
            <w:tcW w:w="2126" w:type="dxa"/>
            <w:vAlign w:val="center"/>
          </w:tcPr>
          <w:p w14:paraId="67079380">
            <w:pPr>
              <w:pStyle w:val="14"/>
            </w:pPr>
          </w:p>
        </w:tc>
      </w:tr>
      <w:tr w14:paraId="5B947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B09AB">
            <w:pPr>
              <w:pStyle w:val="12"/>
            </w:pPr>
            <w:r>
              <w:t>4</w:t>
            </w:r>
          </w:p>
        </w:tc>
        <w:tc>
          <w:tcPr>
            <w:tcW w:w="4535" w:type="dxa"/>
            <w:vAlign w:val="center"/>
          </w:tcPr>
          <w:p w14:paraId="46C95993">
            <w:pPr>
              <w:pStyle w:val="13"/>
            </w:pPr>
            <w:r>
              <w:t>四、财政专户管理资金收入</w:t>
            </w:r>
          </w:p>
        </w:tc>
        <w:tc>
          <w:tcPr>
            <w:tcW w:w="2126" w:type="dxa"/>
            <w:vAlign w:val="center"/>
          </w:tcPr>
          <w:p w14:paraId="74154A36">
            <w:pPr>
              <w:pStyle w:val="14"/>
            </w:pPr>
          </w:p>
        </w:tc>
        <w:tc>
          <w:tcPr>
            <w:tcW w:w="4535" w:type="dxa"/>
            <w:vAlign w:val="center"/>
          </w:tcPr>
          <w:p w14:paraId="2EA73588">
            <w:pPr>
              <w:pStyle w:val="13"/>
            </w:pPr>
            <w:r>
              <w:t>四、公共安全支出</w:t>
            </w:r>
          </w:p>
        </w:tc>
        <w:tc>
          <w:tcPr>
            <w:tcW w:w="2126" w:type="dxa"/>
            <w:vAlign w:val="center"/>
          </w:tcPr>
          <w:p w14:paraId="51C95AC6">
            <w:pPr>
              <w:pStyle w:val="14"/>
            </w:pPr>
          </w:p>
        </w:tc>
      </w:tr>
      <w:tr w14:paraId="72240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B7B1E">
            <w:pPr>
              <w:pStyle w:val="12"/>
            </w:pPr>
            <w:r>
              <w:t>5</w:t>
            </w:r>
          </w:p>
        </w:tc>
        <w:tc>
          <w:tcPr>
            <w:tcW w:w="4535" w:type="dxa"/>
            <w:vAlign w:val="center"/>
          </w:tcPr>
          <w:p w14:paraId="459FC50C">
            <w:pPr>
              <w:pStyle w:val="13"/>
            </w:pPr>
            <w:r>
              <w:t>五、单位资金</w:t>
            </w:r>
          </w:p>
        </w:tc>
        <w:tc>
          <w:tcPr>
            <w:tcW w:w="2126" w:type="dxa"/>
            <w:vAlign w:val="center"/>
          </w:tcPr>
          <w:p w14:paraId="1FAF2D1D">
            <w:pPr>
              <w:pStyle w:val="14"/>
            </w:pPr>
          </w:p>
        </w:tc>
        <w:tc>
          <w:tcPr>
            <w:tcW w:w="4535" w:type="dxa"/>
            <w:vAlign w:val="center"/>
          </w:tcPr>
          <w:p w14:paraId="52B93A6E">
            <w:pPr>
              <w:pStyle w:val="13"/>
            </w:pPr>
            <w:r>
              <w:t>五、教育支出</w:t>
            </w:r>
          </w:p>
        </w:tc>
        <w:tc>
          <w:tcPr>
            <w:tcW w:w="2126" w:type="dxa"/>
            <w:vAlign w:val="center"/>
          </w:tcPr>
          <w:p w14:paraId="54A4745C">
            <w:pPr>
              <w:pStyle w:val="14"/>
            </w:pPr>
            <w:r>
              <w:t>658.33</w:t>
            </w:r>
          </w:p>
        </w:tc>
      </w:tr>
      <w:tr w14:paraId="175AB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B003A">
            <w:pPr>
              <w:pStyle w:val="12"/>
            </w:pPr>
            <w:r>
              <w:t>6</w:t>
            </w:r>
          </w:p>
        </w:tc>
        <w:tc>
          <w:tcPr>
            <w:tcW w:w="4535" w:type="dxa"/>
            <w:vAlign w:val="center"/>
          </w:tcPr>
          <w:p w14:paraId="58F73AE5">
            <w:pPr>
              <w:pStyle w:val="13"/>
            </w:pPr>
          </w:p>
        </w:tc>
        <w:tc>
          <w:tcPr>
            <w:tcW w:w="2126" w:type="dxa"/>
            <w:vAlign w:val="center"/>
          </w:tcPr>
          <w:p w14:paraId="5F730C29">
            <w:pPr>
              <w:pStyle w:val="14"/>
            </w:pPr>
          </w:p>
        </w:tc>
        <w:tc>
          <w:tcPr>
            <w:tcW w:w="4535" w:type="dxa"/>
            <w:vAlign w:val="center"/>
          </w:tcPr>
          <w:p w14:paraId="6DF40505">
            <w:pPr>
              <w:pStyle w:val="13"/>
            </w:pPr>
            <w:r>
              <w:t>六、科学技术支出</w:t>
            </w:r>
          </w:p>
        </w:tc>
        <w:tc>
          <w:tcPr>
            <w:tcW w:w="2126" w:type="dxa"/>
            <w:vAlign w:val="center"/>
          </w:tcPr>
          <w:p w14:paraId="4CF8372E">
            <w:pPr>
              <w:pStyle w:val="14"/>
            </w:pPr>
          </w:p>
        </w:tc>
      </w:tr>
      <w:tr w14:paraId="69589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64C83">
            <w:pPr>
              <w:pStyle w:val="12"/>
            </w:pPr>
            <w:r>
              <w:t>7</w:t>
            </w:r>
          </w:p>
        </w:tc>
        <w:tc>
          <w:tcPr>
            <w:tcW w:w="4535" w:type="dxa"/>
            <w:vAlign w:val="center"/>
          </w:tcPr>
          <w:p w14:paraId="3EFE498A">
            <w:pPr>
              <w:pStyle w:val="13"/>
            </w:pPr>
          </w:p>
        </w:tc>
        <w:tc>
          <w:tcPr>
            <w:tcW w:w="2126" w:type="dxa"/>
            <w:vAlign w:val="center"/>
          </w:tcPr>
          <w:p w14:paraId="12782E92">
            <w:pPr>
              <w:pStyle w:val="14"/>
            </w:pPr>
          </w:p>
        </w:tc>
        <w:tc>
          <w:tcPr>
            <w:tcW w:w="4535" w:type="dxa"/>
            <w:vAlign w:val="center"/>
          </w:tcPr>
          <w:p w14:paraId="0546DAAA">
            <w:pPr>
              <w:pStyle w:val="13"/>
            </w:pPr>
            <w:r>
              <w:t>七、文化旅游体育与传媒支出</w:t>
            </w:r>
          </w:p>
        </w:tc>
        <w:tc>
          <w:tcPr>
            <w:tcW w:w="2126" w:type="dxa"/>
            <w:vAlign w:val="center"/>
          </w:tcPr>
          <w:p w14:paraId="32665C0A">
            <w:pPr>
              <w:pStyle w:val="14"/>
            </w:pPr>
          </w:p>
        </w:tc>
      </w:tr>
      <w:tr w14:paraId="4B323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0D089">
            <w:pPr>
              <w:pStyle w:val="12"/>
            </w:pPr>
            <w:r>
              <w:t>8</w:t>
            </w:r>
          </w:p>
        </w:tc>
        <w:tc>
          <w:tcPr>
            <w:tcW w:w="4535" w:type="dxa"/>
            <w:vAlign w:val="center"/>
          </w:tcPr>
          <w:p w14:paraId="4765BF11">
            <w:pPr>
              <w:pStyle w:val="13"/>
            </w:pPr>
          </w:p>
        </w:tc>
        <w:tc>
          <w:tcPr>
            <w:tcW w:w="2126" w:type="dxa"/>
            <w:vAlign w:val="center"/>
          </w:tcPr>
          <w:p w14:paraId="29721701">
            <w:pPr>
              <w:pStyle w:val="14"/>
            </w:pPr>
          </w:p>
        </w:tc>
        <w:tc>
          <w:tcPr>
            <w:tcW w:w="4535" w:type="dxa"/>
            <w:vAlign w:val="center"/>
          </w:tcPr>
          <w:p w14:paraId="281B8F61">
            <w:pPr>
              <w:pStyle w:val="13"/>
            </w:pPr>
            <w:r>
              <w:t>八、社会保障和就业支出</w:t>
            </w:r>
          </w:p>
        </w:tc>
        <w:tc>
          <w:tcPr>
            <w:tcW w:w="2126" w:type="dxa"/>
            <w:vAlign w:val="center"/>
          </w:tcPr>
          <w:p w14:paraId="0FB55F7C">
            <w:pPr>
              <w:pStyle w:val="14"/>
            </w:pPr>
          </w:p>
        </w:tc>
      </w:tr>
      <w:tr w14:paraId="1D613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9C4B7EF">
            <w:pPr>
              <w:pStyle w:val="12"/>
            </w:pPr>
            <w:r>
              <w:t>9</w:t>
            </w:r>
          </w:p>
        </w:tc>
        <w:tc>
          <w:tcPr>
            <w:tcW w:w="4535" w:type="dxa"/>
            <w:vAlign w:val="center"/>
          </w:tcPr>
          <w:p w14:paraId="1FD26998">
            <w:pPr>
              <w:pStyle w:val="13"/>
            </w:pPr>
          </w:p>
        </w:tc>
        <w:tc>
          <w:tcPr>
            <w:tcW w:w="2126" w:type="dxa"/>
            <w:vAlign w:val="center"/>
          </w:tcPr>
          <w:p w14:paraId="1F9F0DB3">
            <w:pPr>
              <w:pStyle w:val="14"/>
            </w:pPr>
          </w:p>
        </w:tc>
        <w:tc>
          <w:tcPr>
            <w:tcW w:w="4535" w:type="dxa"/>
            <w:vAlign w:val="center"/>
          </w:tcPr>
          <w:p w14:paraId="3E6F9DD7">
            <w:pPr>
              <w:pStyle w:val="13"/>
            </w:pPr>
            <w:r>
              <w:t>九、社会保险基金支出</w:t>
            </w:r>
          </w:p>
        </w:tc>
        <w:tc>
          <w:tcPr>
            <w:tcW w:w="2126" w:type="dxa"/>
            <w:vAlign w:val="center"/>
          </w:tcPr>
          <w:p w14:paraId="47080CCC">
            <w:pPr>
              <w:pStyle w:val="14"/>
            </w:pPr>
          </w:p>
        </w:tc>
      </w:tr>
      <w:tr w14:paraId="61740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DEFDF">
            <w:pPr>
              <w:pStyle w:val="12"/>
            </w:pPr>
            <w:r>
              <w:t>10</w:t>
            </w:r>
          </w:p>
        </w:tc>
        <w:tc>
          <w:tcPr>
            <w:tcW w:w="4535" w:type="dxa"/>
            <w:vAlign w:val="center"/>
          </w:tcPr>
          <w:p w14:paraId="18AF3280">
            <w:pPr>
              <w:pStyle w:val="13"/>
            </w:pPr>
          </w:p>
        </w:tc>
        <w:tc>
          <w:tcPr>
            <w:tcW w:w="2126" w:type="dxa"/>
            <w:vAlign w:val="center"/>
          </w:tcPr>
          <w:p w14:paraId="370DE9DB">
            <w:pPr>
              <w:pStyle w:val="14"/>
            </w:pPr>
          </w:p>
        </w:tc>
        <w:tc>
          <w:tcPr>
            <w:tcW w:w="4535" w:type="dxa"/>
            <w:vAlign w:val="center"/>
          </w:tcPr>
          <w:p w14:paraId="675FA51B">
            <w:pPr>
              <w:pStyle w:val="13"/>
            </w:pPr>
            <w:r>
              <w:t>十、卫生健康支出</w:t>
            </w:r>
          </w:p>
        </w:tc>
        <w:tc>
          <w:tcPr>
            <w:tcW w:w="2126" w:type="dxa"/>
            <w:vAlign w:val="center"/>
          </w:tcPr>
          <w:p w14:paraId="0D5A43D2">
            <w:pPr>
              <w:pStyle w:val="14"/>
            </w:pPr>
          </w:p>
        </w:tc>
      </w:tr>
      <w:tr w14:paraId="5EB68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79DBB">
            <w:pPr>
              <w:pStyle w:val="12"/>
            </w:pPr>
            <w:r>
              <w:t>11</w:t>
            </w:r>
          </w:p>
        </w:tc>
        <w:tc>
          <w:tcPr>
            <w:tcW w:w="4535" w:type="dxa"/>
            <w:vAlign w:val="center"/>
          </w:tcPr>
          <w:p w14:paraId="6913F171">
            <w:pPr>
              <w:pStyle w:val="13"/>
            </w:pPr>
          </w:p>
        </w:tc>
        <w:tc>
          <w:tcPr>
            <w:tcW w:w="2126" w:type="dxa"/>
            <w:vAlign w:val="center"/>
          </w:tcPr>
          <w:p w14:paraId="42E1C759">
            <w:pPr>
              <w:pStyle w:val="14"/>
            </w:pPr>
          </w:p>
        </w:tc>
        <w:tc>
          <w:tcPr>
            <w:tcW w:w="4535" w:type="dxa"/>
            <w:vAlign w:val="center"/>
          </w:tcPr>
          <w:p w14:paraId="39506252">
            <w:pPr>
              <w:pStyle w:val="13"/>
            </w:pPr>
            <w:r>
              <w:t>十一、节能环保支出</w:t>
            </w:r>
          </w:p>
        </w:tc>
        <w:tc>
          <w:tcPr>
            <w:tcW w:w="2126" w:type="dxa"/>
            <w:vAlign w:val="center"/>
          </w:tcPr>
          <w:p w14:paraId="6401203C">
            <w:pPr>
              <w:pStyle w:val="14"/>
            </w:pPr>
          </w:p>
        </w:tc>
      </w:tr>
      <w:tr w14:paraId="56DCE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D442B">
            <w:pPr>
              <w:pStyle w:val="12"/>
            </w:pPr>
            <w:r>
              <w:t>12</w:t>
            </w:r>
          </w:p>
        </w:tc>
        <w:tc>
          <w:tcPr>
            <w:tcW w:w="4535" w:type="dxa"/>
            <w:vAlign w:val="center"/>
          </w:tcPr>
          <w:p w14:paraId="234E1447">
            <w:pPr>
              <w:pStyle w:val="13"/>
            </w:pPr>
          </w:p>
        </w:tc>
        <w:tc>
          <w:tcPr>
            <w:tcW w:w="2126" w:type="dxa"/>
            <w:vAlign w:val="center"/>
          </w:tcPr>
          <w:p w14:paraId="734E61E1">
            <w:pPr>
              <w:pStyle w:val="14"/>
            </w:pPr>
          </w:p>
        </w:tc>
        <w:tc>
          <w:tcPr>
            <w:tcW w:w="4535" w:type="dxa"/>
            <w:vAlign w:val="center"/>
          </w:tcPr>
          <w:p w14:paraId="5AA4A3F1">
            <w:pPr>
              <w:pStyle w:val="13"/>
            </w:pPr>
            <w:r>
              <w:t>十二、城乡社区支出</w:t>
            </w:r>
          </w:p>
        </w:tc>
        <w:tc>
          <w:tcPr>
            <w:tcW w:w="2126" w:type="dxa"/>
            <w:vAlign w:val="center"/>
          </w:tcPr>
          <w:p w14:paraId="26377045">
            <w:pPr>
              <w:pStyle w:val="14"/>
            </w:pPr>
          </w:p>
        </w:tc>
      </w:tr>
      <w:tr w14:paraId="1C31E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E2B93D4">
            <w:pPr>
              <w:pStyle w:val="12"/>
            </w:pPr>
            <w:r>
              <w:t>13</w:t>
            </w:r>
          </w:p>
        </w:tc>
        <w:tc>
          <w:tcPr>
            <w:tcW w:w="4535" w:type="dxa"/>
            <w:vAlign w:val="center"/>
          </w:tcPr>
          <w:p w14:paraId="38B0E735">
            <w:pPr>
              <w:pStyle w:val="13"/>
            </w:pPr>
          </w:p>
        </w:tc>
        <w:tc>
          <w:tcPr>
            <w:tcW w:w="2126" w:type="dxa"/>
            <w:vAlign w:val="center"/>
          </w:tcPr>
          <w:p w14:paraId="27B75344">
            <w:pPr>
              <w:pStyle w:val="14"/>
            </w:pPr>
          </w:p>
        </w:tc>
        <w:tc>
          <w:tcPr>
            <w:tcW w:w="4535" w:type="dxa"/>
            <w:vAlign w:val="center"/>
          </w:tcPr>
          <w:p w14:paraId="781CADC0">
            <w:pPr>
              <w:pStyle w:val="13"/>
            </w:pPr>
            <w:r>
              <w:t>十三、农林水支出</w:t>
            </w:r>
          </w:p>
        </w:tc>
        <w:tc>
          <w:tcPr>
            <w:tcW w:w="2126" w:type="dxa"/>
            <w:vAlign w:val="center"/>
          </w:tcPr>
          <w:p w14:paraId="348EE947">
            <w:pPr>
              <w:pStyle w:val="14"/>
            </w:pPr>
          </w:p>
        </w:tc>
      </w:tr>
      <w:tr w14:paraId="000FA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556AB11">
            <w:pPr>
              <w:pStyle w:val="12"/>
            </w:pPr>
            <w:r>
              <w:t>14</w:t>
            </w:r>
          </w:p>
        </w:tc>
        <w:tc>
          <w:tcPr>
            <w:tcW w:w="4535" w:type="dxa"/>
            <w:vAlign w:val="center"/>
          </w:tcPr>
          <w:p w14:paraId="36C969E2">
            <w:pPr>
              <w:pStyle w:val="13"/>
            </w:pPr>
          </w:p>
        </w:tc>
        <w:tc>
          <w:tcPr>
            <w:tcW w:w="2126" w:type="dxa"/>
            <w:vAlign w:val="center"/>
          </w:tcPr>
          <w:p w14:paraId="387B9F74">
            <w:pPr>
              <w:pStyle w:val="14"/>
            </w:pPr>
          </w:p>
        </w:tc>
        <w:tc>
          <w:tcPr>
            <w:tcW w:w="4535" w:type="dxa"/>
            <w:vAlign w:val="center"/>
          </w:tcPr>
          <w:p w14:paraId="1000188F">
            <w:pPr>
              <w:pStyle w:val="13"/>
            </w:pPr>
            <w:r>
              <w:t>十四、交通运输支出</w:t>
            </w:r>
          </w:p>
        </w:tc>
        <w:tc>
          <w:tcPr>
            <w:tcW w:w="2126" w:type="dxa"/>
            <w:vAlign w:val="center"/>
          </w:tcPr>
          <w:p w14:paraId="0719F12F">
            <w:pPr>
              <w:pStyle w:val="14"/>
            </w:pPr>
          </w:p>
        </w:tc>
      </w:tr>
      <w:tr w14:paraId="1AAB6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81021">
            <w:pPr>
              <w:pStyle w:val="12"/>
            </w:pPr>
            <w:r>
              <w:t>15</w:t>
            </w:r>
          </w:p>
        </w:tc>
        <w:tc>
          <w:tcPr>
            <w:tcW w:w="4535" w:type="dxa"/>
            <w:vAlign w:val="center"/>
          </w:tcPr>
          <w:p w14:paraId="2FB071E0">
            <w:pPr>
              <w:pStyle w:val="13"/>
            </w:pPr>
          </w:p>
        </w:tc>
        <w:tc>
          <w:tcPr>
            <w:tcW w:w="2126" w:type="dxa"/>
            <w:vAlign w:val="center"/>
          </w:tcPr>
          <w:p w14:paraId="5BC45F98">
            <w:pPr>
              <w:pStyle w:val="14"/>
            </w:pPr>
          </w:p>
        </w:tc>
        <w:tc>
          <w:tcPr>
            <w:tcW w:w="4535" w:type="dxa"/>
            <w:vAlign w:val="center"/>
          </w:tcPr>
          <w:p w14:paraId="0651D548">
            <w:pPr>
              <w:pStyle w:val="13"/>
            </w:pPr>
            <w:r>
              <w:t>十五、资源勘探工业信息等支出</w:t>
            </w:r>
          </w:p>
        </w:tc>
        <w:tc>
          <w:tcPr>
            <w:tcW w:w="2126" w:type="dxa"/>
            <w:vAlign w:val="center"/>
          </w:tcPr>
          <w:p w14:paraId="33EBF0E3">
            <w:pPr>
              <w:pStyle w:val="14"/>
            </w:pPr>
          </w:p>
        </w:tc>
      </w:tr>
      <w:tr w14:paraId="708FB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9DE04">
            <w:pPr>
              <w:pStyle w:val="12"/>
            </w:pPr>
            <w:r>
              <w:t>16</w:t>
            </w:r>
          </w:p>
        </w:tc>
        <w:tc>
          <w:tcPr>
            <w:tcW w:w="4535" w:type="dxa"/>
            <w:vAlign w:val="center"/>
          </w:tcPr>
          <w:p w14:paraId="22431C8B">
            <w:pPr>
              <w:pStyle w:val="13"/>
            </w:pPr>
          </w:p>
        </w:tc>
        <w:tc>
          <w:tcPr>
            <w:tcW w:w="2126" w:type="dxa"/>
            <w:vAlign w:val="center"/>
          </w:tcPr>
          <w:p w14:paraId="6876BB24">
            <w:pPr>
              <w:pStyle w:val="14"/>
            </w:pPr>
          </w:p>
        </w:tc>
        <w:tc>
          <w:tcPr>
            <w:tcW w:w="4535" w:type="dxa"/>
            <w:vAlign w:val="center"/>
          </w:tcPr>
          <w:p w14:paraId="2585974E">
            <w:pPr>
              <w:pStyle w:val="13"/>
            </w:pPr>
            <w:r>
              <w:t>十六、商业服务业等支出</w:t>
            </w:r>
          </w:p>
        </w:tc>
        <w:tc>
          <w:tcPr>
            <w:tcW w:w="2126" w:type="dxa"/>
            <w:vAlign w:val="center"/>
          </w:tcPr>
          <w:p w14:paraId="261592C0">
            <w:pPr>
              <w:pStyle w:val="14"/>
            </w:pPr>
          </w:p>
        </w:tc>
      </w:tr>
      <w:tr w14:paraId="1B585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583F6">
            <w:pPr>
              <w:pStyle w:val="12"/>
            </w:pPr>
            <w:r>
              <w:t>17</w:t>
            </w:r>
          </w:p>
        </w:tc>
        <w:tc>
          <w:tcPr>
            <w:tcW w:w="4535" w:type="dxa"/>
            <w:vAlign w:val="center"/>
          </w:tcPr>
          <w:p w14:paraId="4AB7F59C">
            <w:pPr>
              <w:pStyle w:val="13"/>
            </w:pPr>
          </w:p>
        </w:tc>
        <w:tc>
          <w:tcPr>
            <w:tcW w:w="2126" w:type="dxa"/>
            <w:vAlign w:val="center"/>
          </w:tcPr>
          <w:p w14:paraId="6EC520FC">
            <w:pPr>
              <w:pStyle w:val="14"/>
            </w:pPr>
          </w:p>
        </w:tc>
        <w:tc>
          <w:tcPr>
            <w:tcW w:w="4535" w:type="dxa"/>
            <w:vAlign w:val="center"/>
          </w:tcPr>
          <w:p w14:paraId="448DE0A3">
            <w:pPr>
              <w:pStyle w:val="13"/>
            </w:pPr>
            <w:r>
              <w:t>十七、金融支出</w:t>
            </w:r>
          </w:p>
        </w:tc>
        <w:tc>
          <w:tcPr>
            <w:tcW w:w="2126" w:type="dxa"/>
            <w:vAlign w:val="center"/>
          </w:tcPr>
          <w:p w14:paraId="138AFFD6">
            <w:pPr>
              <w:pStyle w:val="14"/>
            </w:pPr>
          </w:p>
        </w:tc>
      </w:tr>
      <w:tr w14:paraId="017B7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55415">
            <w:pPr>
              <w:pStyle w:val="12"/>
            </w:pPr>
            <w:r>
              <w:t>18</w:t>
            </w:r>
          </w:p>
        </w:tc>
        <w:tc>
          <w:tcPr>
            <w:tcW w:w="4535" w:type="dxa"/>
            <w:vAlign w:val="center"/>
          </w:tcPr>
          <w:p w14:paraId="4C7A897F">
            <w:pPr>
              <w:pStyle w:val="13"/>
            </w:pPr>
          </w:p>
        </w:tc>
        <w:tc>
          <w:tcPr>
            <w:tcW w:w="2126" w:type="dxa"/>
            <w:vAlign w:val="center"/>
          </w:tcPr>
          <w:p w14:paraId="6C4428DD">
            <w:pPr>
              <w:pStyle w:val="14"/>
            </w:pPr>
          </w:p>
        </w:tc>
        <w:tc>
          <w:tcPr>
            <w:tcW w:w="4535" w:type="dxa"/>
            <w:vAlign w:val="center"/>
          </w:tcPr>
          <w:p w14:paraId="04E4B3C5">
            <w:pPr>
              <w:pStyle w:val="13"/>
            </w:pPr>
            <w:r>
              <w:t>十八、援助其他地区支出</w:t>
            </w:r>
          </w:p>
        </w:tc>
        <w:tc>
          <w:tcPr>
            <w:tcW w:w="2126" w:type="dxa"/>
            <w:vAlign w:val="center"/>
          </w:tcPr>
          <w:p w14:paraId="2883AAF0">
            <w:pPr>
              <w:pStyle w:val="14"/>
            </w:pPr>
          </w:p>
        </w:tc>
      </w:tr>
      <w:tr w14:paraId="5BB1B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AE744">
            <w:pPr>
              <w:pStyle w:val="12"/>
            </w:pPr>
            <w:r>
              <w:t>19</w:t>
            </w:r>
          </w:p>
        </w:tc>
        <w:tc>
          <w:tcPr>
            <w:tcW w:w="4535" w:type="dxa"/>
            <w:vAlign w:val="center"/>
          </w:tcPr>
          <w:p w14:paraId="4E8431F1">
            <w:pPr>
              <w:pStyle w:val="13"/>
            </w:pPr>
          </w:p>
        </w:tc>
        <w:tc>
          <w:tcPr>
            <w:tcW w:w="2126" w:type="dxa"/>
            <w:vAlign w:val="center"/>
          </w:tcPr>
          <w:p w14:paraId="476B0A72">
            <w:pPr>
              <w:pStyle w:val="14"/>
            </w:pPr>
          </w:p>
        </w:tc>
        <w:tc>
          <w:tcPr>
            <w:tcW w:w="4535" w:type="dxa"/>
            <w:vAlign w:val="center"/>
          </w:tcPr>
          <w:p w14:paraId="207B17DC">
            <w:pPr>
              <w:pStyle w:val="13"/>
            </w:pPr>
            <w:r>
              <w:t>十九、自然资源海洋气象等支出</w:t>
            </w:r>
          </w:p>
        </w:tc>
        <w:tc>
          <w:tcPr>
            <w:tcW w:w="2126" w:type="dxa"/>
            <w:vAlign w:val="center"/>
          </w:tcPr>
          <w:p w14:paraId="4255417D">
            <w:pPr>
              <w:pStyle w:val="14"/>
            </w:pPr>
          </w:p>
        </w:tc>
      </w:tr>
      <w:tr w14:paraId="4AD27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A17B6">
            <w:pPr>
              <w:pStyle w:val="12"/>
            </w:pPr>
            <w:r>
              <w:t>20</w:t>
            </w:r>
          </w:p>
        </w:tc>
        <w:tc>
          <w:tcPr>
            <w:tcW w:w="4535" w:type="dxa"/>
            <w:vAlign w:val="center"/>
          </w:tcPr>
          <w:p w14:paraId="2C2FB4AF">
            <w:pPr>
              <w:pStyle w:val="13"/>
            </w:pPr>
          </w:p>
        </w:tc>
        <w:tc>
          <w:tcPr>
            <w:tcW w:w="2126" w:type="dxa"/>
            <w:vAlign w:val="center"/>
          </w:tcPr>
          <w:p w14:paraId="502BD856">
            <w:pPr>
              <w:pStyle w:val="14"/>
            </w:pPr>
          </w:p>
        </w:tc>
        <w:tc>
          <w:tcPr>
            <w:tcW w:w="4535" w:type="dxa"/>
            <w:vAlign w:val="center"/>
          </w:tcPr>
          <w:p w14:paraId="2A06F9EC">
            <w:pPr>
              <w:pStyle w:val="13"/>
            </w:pPr>
            <w:r>
              <w:t>二十、住房保障支出</w:t>
            </w:r>
          </w:p>
        </w:tc>
        <w:tc>
          <w:tcPr>
            <w:tcW w:w="2126" w:type="dxa"/>
            <w:vAlign w:val="center"/>
          </w:tcPr>
          <w:p w14:paraId="56A04CB9">
            <w:pPr>
              <w:pStyle w:val="14"/>
            </w:pPr>
          </w:p>
        </w:tc>
      </w:tr>
      <w:tr w14:paraId="3A317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B7980">
            <w:pPr>
              <w:pStyle w:val="12"/>
            </w:pPr>
            <w:r>
              <w:t>21</w:t>
            </w:r>
          </w:p>
        </w:tc>
        <w:tc>
          <w:tcPr>
            <w:tcW w:w="4535" w:type="dxa"/>
            <w:vAlign w:val="center"/>
          </w:tcPr>
          <w:p w14:paraId="1EB69E9E">
            <w:pPr>
              <w:pStyle w:val="13"/>
            </w:pPr>
          </w:p>
        </w:tc>
        <w:tc>
          <w:tcPr>
            <w:tcW w:w="2126" w:type="dxa"/>
            <w:vAlign w:val="center"/>
          </w:tcPr>
          <w:p w14:paraId="11440B1A">
            <w:pPr>
              <w:pStyle w:val="14"/>
            </w:pPr>
          </w:p>
        </w:tc>
        <w:tc>
          <w:tcPr>
            <w:tcW w:w="4535" w:type="dxa"/>
            <w:vAlign w:val="center"/>
          </w:tcPr>
          <w:p w14:paraId="4A414A18">
            <w:pPr>
              <w:pStyle w:val="13"/>
            </w:pPr>
            <w:r>
              <w:t>二十一、粮油物资储备支出</w:t>
            </w:r>
          </w:p>
        </w:tc>
        <w:tc>
          <w:tcPr>
            <w:tcW w:w="2126" w:type="dxa"/>
            <w:vAlign w:val="center"/>
          </w:tcPr>
          <w:p w14:paraId="05B5D782">
            <w:pPr>
              <w:pStyle w:val="14"/>
            </w:pPr>
          </w:p>
        </w:tc>
      </w:tr>
      <w:tr w14:paraId="63597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66309">
            <w:pPr>
              <w:pStyle w:val="12"/>
            </w:pPr>
            <w:r>
              <w:t>22</w:t>
            </w:r>
          </w:p>
        </w:tc>
        <w:tc>
          <w:tcPr>
            <w:tcW w:w="4535" w:type="dxa"/>
            <w:vAlign w:val="center"/>
          </w:tcPr>
          <w:p w14:paraId="43018DB0">
            <w:pPr>
              <w:pStyle w:val="13"/>
            </w:pPr>
          </w:p>
        </w:tc>
        <w:tc>
          <w:tcPr>
            <w:tcW w:w="2126" w:type="dxa"/>
            <w:vAlign w:val="center"/>
          </w:tcPr>
          <w:p w14:paraId="06F14789">
            <w:pPr>
              <w:pStyle w:val="14"/>
            </w:pPr>
          </w:p>
        </w:tc>
        <w:tc>
          <w:tcPr>
            <w:tcW w:w="4535" w:type="dxa"/>
            <w:vAlign w:val="center"/>
          </w:tcPr>
          <w:p w14:paraId="5DB663E2">
            <w:pPr>
              <w:pStyle w:val="13"/>
            </w:pPr>
            <w:r>
              <w:t>二十二、国有资本经营预算支出</w:t>
            </w:r>
          </w:p>
        </w:tc>
        <w:tc>
          <w:tcPr>
            <w:tcW w:w="2126" w:type="dxa"/>
            <w:vAlign w:val="center"/>
          </w:tcPr>
          <w:p w14:paraId="4046E756">
            <w:pPr>
              <w:pStyle w:val="14"/>
            </w:pPr>
          </w:p>
        </w:tc>
      </w:tr>
      <w:tr w14:paraId="45425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D4579">
            <w:pPr>
              <w:pStyle w:val="12"/>
            </w:pPr>
            <w:r>
              <w:t>23</w:t>
            </w:r>
          </w:p>
        </w:tc>
        <w:tc>
          <w:tcPr>
            <w:tcW w:w="4535" w:type="dxa"/>
            <w:vAlign w:val="center"/>
          </w:tcPr>
          <w:p w14:paraId="55371007">
            <w:pPr>
              <w:pStyle w:val="13"/>
            </w:pPr>
          </w:p>
        </w:tc>
        <w:tc>
          <w:tcPr>
            <w:tcW w:w="2126" w:type="dxa"/>
            <w:vAlign w:val="center"/>
          </w:tcPr>
          <w:p w14:paraId="706405E6">
            <w:pPr>
              <w:pStyle w:val="14"/>
            </w:pPr>
          </w:p>
        </w:tc>
        <w:tc>
          <w:tcPr>
            <w:tcW w:w="4535" w:type="dxa"/>
            <w:vAlign w:val="center"/>
          </w:tcPr>
          <w:p w14:paraId="1D2BC7BE">
            <w:pPr>
              <w:pStyle w:val="13"/>
            </w:pPr>
            <w:r>
              <w:t>二十三、灾害防治及应急管理支出</w:t>
            </w:r>
          </w:p>
        </w:tc>
        <w:tc>
          <w:tcPr>
            <w:tcW w:w="2126" w:type="dxa"/>
            <w:vAlign w:val="center"/>
          </w:tcPr>
          <w:p w14:paraId="1313B234">
            <w:pPr>
              <w:pStyle w:val="14"/>
            </w:pPr>
          </w:p>
        </w:tc>
      </w:tr>
      <w:tr w14:paraId="17C71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E9C0C">
            <w:pPr>
              <w:pStyle w:val="12"/>
            </w:pPr>
            <w:r>
              <w:t>24</w:t>
            </w:r>
          </w:p>
        </w:tc>
        <w:tc>
          <w:tcPr>
            <w:tcW w:w="4535" w:type="dxa"/>
            <w:vAlign w:val="center"/>
          </w:tcPr>
          <w:p w14:paraId="05A668E1">
            <w:pPr>
              <w:pStyle w:val="13"/>
            </w:pPr>
          </w:p>
        </w:tc>
        <w:tc>
          <w:tcPr>
            <w:tcW w:w="2126" w:type="dxa"/>
            <w:vAlign w:val="center"/>
          </w:tcPr>
          <w:p w14:paraId="3CED626C">
            <w:pPr>
              <w:pStyle w:val="14"/>
            </w:pPr>
          </w:p>
        </w:tc>
        <w:tc>
          <w:tcPr>
            <w:tcW w:w="4535" w:type="dxa"/>
            <w:vAlign w:val="center"/>
          </w:tcPr>
          <w:p w14:paraId="7D4EA5CD">
            <w:pPr>
              <w:pStyle w:val="13"/>
            </w:pPr>
            <w:r>
              <w:t>二十四、预备费</w:t>
            </w:r>
          </w:p>
        </w:tc>
        <w:tc>
          <w:tcPr>
            <w:tcW w:w="2126" w:type="dxa"/>
            <w:vAlign w:val="center"/>
          </w:tcPr>
          <w:p w14:paraId="0C265875">
            <w:pPr>
              <w:pStyle w:val="14"/>
            </w:pPr>
          </w:p>
        </w:tc>
      </w:tr>
      <w:tr w14:paraId="0742A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607A6">
            <w:pPr>
              <w:pStyle w:val="12"/>
            </w:pPr>
            <w:r>
              <w:t>25</w:t>
            </w:r>
          </w:p>
        </w:tc>
        <w:tc>
          <w:tcPr>
            <w:tcW w:w="4535" w:type="dxa"/>
            <w:vAlign w:val="center"/>
          </w:tcPr>
          <w:p w14:paraId="46389BC6">
            <w:pPr>
              <w:pStyle w:val="13"/>
            </w:pPr>
          </w:p>
        </w:tc>
        <w:tc>
          <w:tcPr>
            <w:tcW w:w="2126" w:type="dxa"/>
            <w:vAlign w:val="center"/>
          </w:tcPr>
          <w:p w14:paraId="36700F84">
            <w:pPr>
              <w:pStyle w:val="14"/>
            </w:pPr>
          </w:p>
        </w:tc>
        <w:tc>
          <w:tcPr>
            <w:tcW w:w="4535" w:type="dxa"/>
            <w:vAlign w:val="center"/>
          </w:tcPr>
          <w:p w14:paraId="275351DE">
            <w:pPr>
              <w:pStyle w:val="13"/>
            </w:pPr>
            <w:r>
              <w:t>二十五、其他支出</w:t>
            </w:r>
          </w:p>
        </w:tc>
        <w:tc>
          <w:tcPr>
            <w:tcW w:w="2126" w:type="dxa"/>
            <w:vAlign w:val="center"/>
          </w:tcPr>
          <w:p w14:paraId="79DD78E5">
            <w:pPr>
              <w:pStyle w:val="14"/>
            </w:pPr>
          </w:p>
        </w:tc>
      </w:tr>
      <w:tr w14:paraId="61E4D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9C3E5">
            <w:pPr>
              <w:pStyle w:val="12"/>
            </w:pPr>
            <w:r>
              <w:t>26</w:t>
            </w:r>
          </w:p>
        </w:tc>
        <w:tc>
          <w:tcPr>
            <w:tcW w:w="4535" w:type="dxa"/>
            <w:vAlign w:val="center"/>
          </w:tcPr>
          <w:p w14:paraId="70C877B8">
            <w:pPr>
              <w:pStyle w:val="13"/>
            </w:pPr>
          </w:p>
        </w:tc>
        <w:tc>
          <w:tcPr>
            <w:tcW w:w="2126" w:type="dxa"/>
            <w:vAlign w:val="center"/>
          </w:tcPr>
          <w:p w14:paraId="19AE53F4">
            <w:pPr>
              <w:pStyle w:val="14"/>
            </w:pPr>
          </w:p>
        </w:tc>
        <w:tc>
          <w:tcPr>
            <w:tcW w:w="4535" w:type="dxa"/>
            <w:vAlign w:val="center"/>
          </w:tcPr>
          <w:p w14:paraId="1764489F">
            <w:pPr>
              <w:pStyle w:val="13"/>
            </w:pPr>
            <w:r>
              <w:t>二十六、转移性支出</w:t>
            </w:r>
          </w:p>
        </w:tc>
        <w:tc>
          <w:tcPr>
            <w:tcW w:w="2126" w:type="dxa"/>
            <w:vAlign w:val="center"/>
          </w:tcPr>
          <w:p w14:paraId="1DA1CA61">
            <w:pPr>
              <w:pStyle w:val="14"/>
            </w:pPr>
          </w:p>
        </w:tc>
      </w:tr>
      <w:tr w14:paraId="24A68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F7D0D">
            <w:pPr>
              <w:pStyle w:val="12"/>
            </w:pPr>
            <w:r>
              <w:t>27</w:t>
            </w:r>
          </w:p>
        </w:tc>
        <w:tc>
          <w:tcPr>
            <w:tcW w:w="4535" w:type="dxa"/>
            <w:vAlign w:val="center"/>
          </w:tcPr>
          <w:p w14:paraId="57EAD1E7">
            <w:pPr>
              <w:pStyle w:val="13"/>
            </w:pPr>
          </w:p>
        </w:tc>
        <w:tc>
          <w:tcPr>
            <w:tcW w:w="2126" w:type="dxa"/>
            <w:vAlign w:val="center"/>
          </w:tcPr>
          <w:p w14:paraId="447587FD">
            <w:pPr>
              <w:pStyle w:val="14"/>
            </w:pPr>
          </w:p>
        </w:tc>
        <w:tc>
          <w:tcPr>
            <w:tcW w:w="4535" w:type="dxa"/>
            <w:vAlign w:val="center"/>
          </w:tcPr>
          <w:p w14:paraId="18A0FB25">
            <w:pPr>
              <w:pStyle w:val="13"/>
            </w:pPr>
            <w:r>
              <w:t>二十七、债务还本支出</w:t>
            </w:r>
          </w:p>
        </w:tc>
        <w:tc>
          <w:tcPr>
            <w:tcW w:w="2126" w:type="dxa"/>
            <w:vAlign w:val="center"/>
          </w:tcPr>
          <w:p w14:paraId="40FE8812">
            <w:pPr>
              <w:pStyle w:val="14"/>
            </w:pPr>
          </w:p>
        </w:tc>
      </w:tr>
      <w:tr w14:paraId="77133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B6A81">
            <w:pPr>
              <w:pStyle w:val="12"/>
            </w:pPr>
            <w:r>
              <w:t>28</w:t>
            </w:r>
          </w:p>
        </w:tc>
        <w:tc>
          <w:tcPr>
            <w:tcW w:w="4535" w:type="dxa"/>
            <w:vAlign w:val="center"/>
          </w:tcPr>
          <w:p w14:paraId="2BB21ED1">
            <w:pPr>
              <w:pStyle w:val="13"/>
            </w:pPr>
          </w:p>
        </w:tc>
        <w:tc>
          <w:tcPr>
            <w:tcW w:w="2126" w:type="dxa"/>
            <w:vAlign w:val="center"/>
          </w:tcPr>
          <w:p w14:paraId="19B37926">
            <w:pPr>
              <w:pStyle w:val="14"/>
            </w:pPr>
          </w:p>
        </w:tc>
        <w:tc>
          <w:tcPr>
            <w:tcW w:w="4535" w:type="dxa"/>
            <w:vAlign w:val="center"/>
          </w:tcPr>
          <w:p w14:paraId="0B813131">
            <w:pPr>
              <w:pStyle w:val="13"/>
            </w:pPr>
            <w:r>
              <w:t>二十八、债务付息支出</w:t>
            </w:r>
          </w:p>
        </w:tc>
        <w:tc>
          <w:tcPr>
            <w:tcW w:w="2126" w:type="dxa"/>
            <w:vAlign w:val="center"/>
          </w:tcPr>
          <w:p w14:paraId="778556F2">
            <w:pPr>
              <w:pStyle w:val="14"/>
            </w:pPr>
          </w:p>
        </w:tc>
      </w:tr>
      <w:tr w14:paraId="5631F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300A5">
            <w:pPr>
              <w:pStyle w:val="12"/>
            </w:pPr>
            <w:r>
              <w:t>29</w:t>
            </w:r>
          </w:p>
        </w:tc>
        <w:tc>
          <w:tcPr>
            <w:tcW w:w="4535" w:type="dxa"/>
            <w:vAlign w:val="center"/>
          </w:tcPr>
          <w:p w14:paraId="0A8E9195">
            <w:pPr>
              <w:pStyle w:val="13"/>
            </w:pPr>
          </w:p>
        </w:tc>
        <w:tc>
          <w:tcPr>
            <w:tcW w:w="2126" w:type="dxa"/>
            <w:vAlign w:val="center"/>
          </w:tcPr>
          <w:p w14:paraId="2F4B218B">
            <w:pPr>
              <w:pStyle w:val="14"/>
            </w:pPr>
          </w:p>
        </w:tc>
        <w:tc>
          <w:tcPr>
            <w:tcW w:w="4535" w:type="dxa"/>
            <w:vAlign w:val="center"/>
          </w:tcPr>
          <w:p w14:paraId="328AA633">
            <w:pPr>
              <w:pStyle w:val="13"/>
            </w:pPr>
            <w:r>
              <w:t>二十九、债务发行费用支出</w:t>
            </w:r>
          </w:p>
        </w:tc>
        <w:tc>
          <w:tcPr>
            <w:tcW w:w="2126" w:type="dxa"/>
            <w:vAlign w:val="center"/>
          </w:tcPr>
          <w:p w14:paraId="3244BB93">
            <w:pPr>
              <w:pStyle w:val="14"/>
            </w:pPr>
          </w:p>
        </w:tc>
      </w:tr>
      <w:tr w14:paraId="2D824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DA247">
            <w:pPr>
              <w:pStyle w:val="12"/>
            </w:pPr>
            <w:r>
              <w:t>30</w:t>
            </w:r>
          </w:p>
        </w:tc>
        <w:tc>
          <w:tcPr>
            <w:tcW w:w="4535" w:type="dxa"/>
            <w:vAlign w:val="center"/>
          </w:tcPr>
          <w:p w14:paraId="3CAB6699">
            <w:pPr>
              <w:pStyle w:val="13"/>
            </w:pPr>
          </w:p>
        </w:tc>
        <w:tc>
          <w:tcPr>
            <w:tcW w:w="2126" w:type="dxa"/>
            <w:vAlign w:val="center"/>
          </w:tcPr>
          <w:p w14:paraId="6502CB8F">
            <w:pPr>
              <w:pStyle w:val="14"/>
            </w:pPr>
          </w:p>
        </w:tc>
        <w:tc>
          <w:tcPr>
            <w:tcW w:w="4535" w:type="dxa"/>
            <w:vAlign w:val="center"/>
          </w:tcPr>
          <w:p w14:paraId="4F68B893">
            <w:pPr>
              <w:pStyle w:val="13"/>
            </w:pPr>
            <w:r>
              <w:t>三十、抗疫特别国债安排的支出</w:t>
            </w:r>
          </w:p>
        </w:tc>
        <w:tc>
          <w:tcPr>
            <w:tcW w:w="2126" w:type="dxa"/>
            <w:vAlign w:val="center"/>
          </w:tcPr>
          <w:p w14:paraId="40A10559">
            <w:pPr>
              <w:pStyle w:val="14"/>
            </w:pPr>
          </w:p>
        </w:tc>
      </w:tr>
      <w:tr w14:paraId="51F88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CC524">
            <w:pPr>
              <w:pStyle w:val="12"/>
            </w:pPr>
            <w:r>
              <w:t>31</w:t>
            </w:r>
          </w:p>
        </w:tc>
        <w:tc>
          <w:tcPr>
            <w:tcW w:w="4535" w:type="dxa"/>
            <w:vAlign w:val="center"/>
          </w:tcPr>
          <w:p w14:paraId="79F49E8A">
            <w:pPr>
              <w:pStyle w:val="13"/>
            </w:pPr>
          </w:p>
        </w:tc>
        <w:tc>
          <w:tcPr>
            <w:tcW w:w="2126" w:type="dxa"/>
            <w:vAlign w:val="center"/>
          </w:tcPr>
          <w:p w14:paraId="6392EDBA">
            <w:pPr>
              <w:pStyle w:val="14"/>
            </w:pPr>
          </w:p>
        </w:tc>
        <w:tc>
          <w:tcPr>
            <w:tcW w:w="4535" w:type="dxa"/>
            <w:vAlign w:val="center"/>
          </w:tcPr>
          <w:p w14:paraId="5A8C34F5">
            <w:pPr>
              <w:pStyle w:val="13"/>
            </w:pPr>
            <w:r>
              <w:t>三十一、人行科目</w:t>
            </w:r>
          </w:p>
        </w:tc>
        <w:tc>
          <w:tcPr>
            <w:tcW w:w="2126" w:type="dxa"/>
            <w:vAlign w:val="center"/>
          </w:tcPr>
          <w:p w14:paraId="02141E41">
            <w:pPr>
              <w:pStyle w:val="14"/>
            </w:pPr>
          </w:p>
        </w:tc>
      </w:tr>
      <w:tr w14:paraId="65902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77167">
            <w:pPr>
              <w:pStyle w:val="12"/>
            </w:pPr>
            <w:r>
              <w:t>32</w:t>
            </w:r>
          </w:p>
        </w:tc>
        <w:tc>
          <w:tcPr>
            <w:tcW w:w="4535" w:type="dxa"/>
            <w:vAlign w:val="center"/>
          </w:tcPr>
          <w:p w14:paraId="0A061789">
            <w:pPr>
              <w:pStyle w:val="15"/>
            </w:pPr>
            <w:r>
              <w:t>本年收入合计</w:t>
            </w:r>
          </w:p>
        </w:tc>
        <w:tc>
          <w:tcPr>
            <w:tcW w:w="2126" w:type="dxa"/>
            <w:vAlign w:val="center"/>
          </w:tcPr>
          <w:p w14:paraId="6024F21E">
            <w:pPr>
              <w:pStyle w:val="16"/>
            </w:pPr>
            <w:r>
              <w:t>658.33</w:t>
            </w:r>
          </w:p>
        </w:tc>
        <w:tc>
          <w:tcPr>
            <w:tcW w:w="4535" w:type="dxa"/>
            <w:vAlign w:val="center"/>
          </w:tcPr>
          <w:p w14:paraId="63B8E95B">
            <w:pPr>
              <w:pStyle w:val="15"/>
            </w:pPr>
            <w:r>
              <w:t>本年支出合计</w:t>
            </w:r>
          </w:p>
        </w:tc>
        <w:tc>
          <w:tcPr>
            <w:tcW w:w="2126" w:type="dxa"/>
            <w:vAlign w:val="center"/>
          </w:tcPr>
          <w:p w14:paraId="61A15C55">
            <w:pPr>
              <w:pStyle w:val="16"/>
            </w:pPr>
            <w:r>
              <w:t>658.33</w:t>
            </w:r>
          </w:p>
        </w:tc>
      </w:tr>
      <w:tr w14:paraId="73F35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9A07A">
            <w:pPr>
              <w:pStyle w:val="12"/>
            </w:pPr>
            <w:r>
              <w:t>33</w:t>
            </w:r>
          </w:p>
        </w:tc>
        <w:tc>
          <w:tcPr>
            <w:tcW w:w="4535" w:type="dxa"/>
            <w:vAlign w:val="center"/>
          </w:tcPr>
          <w:p w14:paraId="70D475B0">
            <w:pPr>
              <w:pStyle w:val="13"/>
            </w:pPr>
            <w:r>
              <w:t>上年结转结余</w:t>
            </w:r>
          </w:p>
        </w:tc>
        <w:tc>
          <w:tcPr>
            <w:tcW w:w="2126" w:type="dxa"/>
            <w:vAlign w:val="center"/>
          </w:tcPr>
          <w:p w14:paraId="27CCAEF8">
            <w:pPr>
              <w:pStyle w:val="14"/>
            </w:pPr>
          </w:p>
        </w:tc>
        <w:tc>
          <w:tcPr>
            <w:tcW w:w="4535" w:type="dxa"/>
            <w:vAlign w:val="center"/>
          </w:tcPr>
          <w:p w14:paraId="138F2934">
            <w:pPr>
              <w:pStyle w:val="13"/>
            </w:pPr>
            <w:r>
              <w:t>年终结转结余</w:t>
            </w:r>
          </w:p>
        </w:tc>
        <w:tc>
          <w:tcPr>
            <w:tcW w:w="2126" w:type="dxa"/>
            <w:vAlign w:val="center"/>
          </w:tcPr>
          <w:p w14:paraId="3CD159BD">
            <w:pPr>
              <w:pStyle w:val="14"/>
            </w:pPr>
          </w:p>
        </w:tc>
      </w:tr>
      <w:tr w14:paraId="6BFB3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70410">
            <w:pPr>
              <w:pStyle w:val="12"/>
            </w:pPr>
            <w:r>
              <w:t>34</w:t>
            </w:r>
          </w:p>
        </w:tc>
        <w:tc>
          <w:tcPr>
            <w:tcW w:w="4535" w:type="dxa"/>
            <w:vAlign w:val="center"/>
          </w:tcPr>
          <w:p w14:paraId="00DEA937">
            <w:pPr>
              <w:pStyle w:val="15"/>
            </w:pPr>
            <w:r>
              <w:t>收入总计</w:t>
            </w:r>
          </w:p>
        </w:tc>
        <w:tc>
          <w:tcPr>
            <w:tcW w:w="2126" w:type="dxa"/>
            <w:vAlign w:val="center"/>
          </w:tcPr>
          <w:p w14:paraId="526ED612">
            <w:pPr>
              <w:pStyle w:val="16"/>
            </w:pPr>
            <w:r>
              <w:t>658.33</w:t>
            </w:r>
          </w:p>
        </w:tc>
        <w:tc>
          <w:tcPr>
            <w:tcW w:w="4535" w:type="dxa"/>
            <w:vAlign w:val="center"/>
          </w:tcPr>
          <w:p w14:paraId="308F7ED3">
            <w:pPr>
              <w:pStyle w:val="15"/>
            </w:pPr>
            <w:r>
              <w:t>支出总计</w:t>
            </w:r>
          </w:p>
        </w:tc>
        <w:tc>
          <w:tcPr>
            <w:tcW w:w="2126" w:type="dxa"/>
            <w:vAlign w:val="center"/>
          </w:tcPr>
          <w:p w14:paraId="786C5A2E">
            <w:pPr>
              <w:pStyle w:val="16"/>
            </w:pPr>
            <w:r>
              <w:t>658.33</w:t>
            </w:r>
          </w:p>
        </w:tc>
      </w:tr>
    </w:tbl>
    <w:p w14:paraId="240AADDB">
      <w:pPr>
        <w:sectPr>
          <w:pgSz w:w="16840" w:h="11900" w:orient="landscape"/>
          <w:pgMar w:top="1361" w:right="1020" w:bottom="1134" w:left="1020" w:header="720" w:footer="720" w:gutter="0"/>
          <w:cols w:space="720" w:num="1"/>
        </w:sectPr>
      </w:pPr>
    </w:p>
    <w:p w14:paraId="7E0D2F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B22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8263F0">
            <w:pPr>
              <w:pStyle w:val="8"/>
            </w:pPr>
            <w:r>
              <w:t>360033隆尧县大张庄中学</w:t>
            </w:r>
          </w:p>
        </w:tc>
        <w:tc>
          <w:tcPr>
            <w:tcW w:w="3402" w:type="dxa"/>
            <w:gridSpan w:val="3"/>
            <w:tcBorders>
              <w:top w:val="single" w:color="FFFFFF" w:sz="6" w:space="0"/>
              <w:left w:val="single" w:color="FFFFFF" w:sz="6" w:space="0"/>
              <w:right w:val="single" w:color="FFFFFF" w:sz="6" w:space="0"/>
            </w:tcBorders>
            <w:vAlign w:val="center"/>
          </w:tcPr>
          <w:p w14:paraId="6E62212E">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F2FD570">
            <w:pPr>
              <w:pStyle w:val="10"/>
            </w:pPr>
            <w:r>
              <w:t>单位：万元</w:t>
            </w:r>
          </w:p>
        </w:tc>
      </w:tr>
      <w:tr w14:paraId="673DE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93D5EF">
            <w:pPr>
              <w:pStyle w:val="11"/>
            </w:pPr>
            <w:r>
              <w:t>序号</w:t>
            </w:r>
          </w:p>
        </w:tc>
        <w:tc>
          <w:tcPr>
            <w:tcW w:w="2551" w:type="dxa"/>
            <w:gridSpan w:val="2"/>
            <w:vAlign w:val="center"/>
          </w:tcPr>
          <w:p w14:paraId="133E752B">
            <w:pPr>
              <w:pStyle w:val="11"/>
            </w:pPr>
            <w:r>
              <w:t>功能分类科目</w:t>
            </w:r>
          </w:p>
        </w:tc>
        <w:tc>
          <w:tcPr>
            <w:tcW w:w="1134" w:type="dxa"/>
            <w:vMerge w:val="restart"/>
            <w:vAlign w:val="center"/>
          </w:tcPr>
          <w:p w14:paraId="2A2B2E65">
            <w:pPr>
              <w:pStyle w:val="11"/>
            </w:pPr>
            <w:r>
              <w:t>合计</w:t>
            </w:r>
          </w:p>
        </w:tc>
        <w:tc>
          <w:tcPr>
            <w:tcW w:w="9072" w:type="dxa"/>
            <w:gridSpan w:val="8"/>
            <w:vAlign w:val="center"/>
          </w:tcPr>
          <w:p w14:paraId="579C77F4">
            <w:pPr>
              <w:pStyle w:val="11"/>
            </w:pPr>
            <w:r>
              <w:t>本年收入</w:t>
            </w:r>
          </w:p>
        </w:tc>
        <w:tc>
          <w:tcPr>
            <w:tcW w:w="1134" w:type="dxa"/>
            <w:vMerge w:val="restart"/>
            <w:vAlign w:val="center"/>
          </w:tcPr>
          <w:p w14:paraId="303E25BE">
            <w:pPr>
              <w:pStyle w:val="11"/>
            </w:pPr>
            <w:r>
              <w:t>上年结转</w:t>
            </w:r>
          </w:p>
        </w:tc>
      </w:tr>
      <w:tr w14:paraId="3430F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BF92F3"/>
        </w:tc>
        <w:tc>
          <w:tcPr>
            <w:tcW w:w="992" w:type="dxa"/>
            <w:vAlign w:val="center"/>
          </w:tcPr>
          <w:p w14:paraId="7B9B08FD">
            <w:pPr>
              <w:pStyle w:val="11"/>
            </w:pPr>
            <w:r>
              <w:t>科目    编码</w:t>
            </w:r>
          </w:p>
        </w:tc>
        <w:tc>
          <w:tcPr>
            <w:tcW w:w="1559" w:type="dxa"/>
            <w:vAlign w:val="center"/>
          </w:tcPr>
          <w:p w14:paraId="67509140">
            <w:pPr>
              <w:pStyle w:val="11"/>
            </w:pPr>
            <w:r>
              <w:t>科目名称</w:t>
            </w:r>
          </w:p>
        </w:tc>
        <w:tc>
          <w:tcPr>
            <w:tcW w:w="1134" w:type="dxa"/>
            <w:vMerge w:val="continue"/>
          </w:tcPr>
          <w:p w14:paraId="0EFDF45C"/>
        </w:tc>
        <w:tc>
          <w:tcPr>
            <w:tcW w:w="1134" w:type="dxa"/>
            <w:vAlign w:val="center"/>
          </w:tcPr>
          <w:p w14:paraId="0FAB8CBB">
            <w:pPr>
              <w:pStyle w:val="11"/>
            </w:pPr>
            <w:r>
              <w:t>小计</w:t>
            </w:r>
          </w:p>
        </w:tc>
        <w:tc>
          <w:tcPr>
            <w:tcW w:w="1134" w:type="dxa"/>
            <w:vAlign w:val="center"/>
          </w:tcPr>
          <w:p w14:paraId="5BE8EE0E">
            <w:pPr>
              <w:pStyle w:val="11"/>
            </w:pPr>
            <w:r>
              <w:t>财政拨款 收入</w:t>
            </w:r>
          </w:p>
        </w:tc>
        <w:tc>
          <w:tcPr>
            <w:tcW w:w="1134" w:type="dxa"/>
            <w:vAlign w:val="center"/>
          </w:tcPr>
          <w:p w14:paraId="346FA4F1">
            <w:pPr>
              <w:pStyle w:val="11"/>
            </w:pPr>
            <w:r>
              <w:t>财政专户 收入</w:t>
            </w:r>
          </w:p>
        </w:tc>
        <w:tc>
          <w:tcPr>
            <w:tcW w:w="1134" w:type="dxa"/>
            <w:vAlign w:val="center"/>
          </w:tcPr>
          <w:p w14:paraId="7194343E">
            <w:pPr>
              <w:pStyle w:val="11"/>
            </w:pPr>
            <w:r>
              <w:t>事业收入</w:t>
            </w:r>
          </w:p>
        </w:tc>
        <w:tc>
          <w:tcPr>
            <w:tcW w:w="1134" w:type="dxa"/>
            <w:vAlign w:val="center"/>
          </w:tcPr>
          <w:p w14:paraId="342306EE">
            <w:pPr>
              <w:pStyle w:val="11"/>
            </w:pPr>
            <w:r>
              <w:t>经营收入</w:t>
            </w:r>
          </w:p>
        </w:tc>
        <w:tc>
          <w:tcPr>
            <w:tcW w:w="1134" w:type="dxa"/>
            <w:vAlign w:val="center"/>
          </w:tcPr>
          <w:p w14:paraId="6EFEFB50">
            <w:pPr>
              <w:pStyle w:val="11"/>
            </w:pPr>
            <w:r>
              <w:t>上级补助收入</w:t>
            </w:r>
          </w:p>
        </w:tc>
        <w:tc>
          <w:tcPr>
            <w:tcW w:w="1134" w:type="dxa"/>
            <w:vAlign w:val="center"/>
          </w:tcPr>
          <w:p w14:paraId="31A79271">
            <w:pPr>
              <w:pStyle w:val="11"/>
            </w:pPr>
            <w:r>
              <w:t>附属单位上缴收入</w:t>
            </w:r>
          </w:p>
        </w:tc>
        <w:tc>
          <w:tcPr>
            <w:tcW w:w="1134" w:type="dxa"/>
            <w:vAlign w:val="center"/>
          </w:tcPr>
          <w:p w14:paraId="31AAA65A">
            <w:pPr>
              <w:pStyle w:val="11"/>
            </w:pPr>
            <w:r>
              <w:t>其他收入</w:t>
            </w:r>
          </w:p>
        </w:tc>
        <w:tc>
          <w:tcPr>
            <w:tcW w:w="1134" w:type="dxa"/>
            <w:vMerge w:val="continue"/>
          </w:tcPr>
          <w:p w14:paraId="75B3C338"/>
        </w:tc>
      </w:tr>
      <w:tr w14:paraId="55B47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0B0065">
            <w:pPr>
              <w:pStyle w:val="11"/>
            </w:pPr>
            <w:r>
              <w:t>栏次</w:t>
            </w:r>
          </w:p>
        </w:tc>
        <w:tc>
          <w:tcPr>
            <w:tcW w:w="992" w:type="dxa"/>
            <w:vAlign w:val="center"/>
          </w:tcPr>
          <w:p w14:paraId="3A6C5803">
            <w:pPr>
              <w:pStyle w:val="11"/>
            </w:pPr>
            <w:r>
              <w:t>1</w:t>
            </w:r>
          </w:p>
        </w:tc>
        <w:tc>
          <w:tcPr>
            <w:tcW w:w="1559" w:type="dxa"/>
            <w:vAlign w:val="center"/>
          </w:tcPr>
          <w:p w14:paraId="52F0F6F7">
            <w:pPr>
              <w:pStyle w:val="11"/>
            </w:pPr>
            <w:r>
              <w:t>2</w:t>
            </w:r>
          </w:p>
        </w:tc>
        <w:tc>
          <w:tcPr>
            <w:tcW w:w="1134" w:type="dxa"/>
            <w:vAlign w:val="center"/>
          </w:tcPr>
          <w:p w14:paraId="0E6C6941">
            <w:pPr>
              <w:pStyle w:val="11"/>
            </w:pPr>
            <w:r>
              <w:t>3</w:t>
            </w:r>
          </w:p>
        </w:tc>
        <w:tc>
          <w:tcPr>
            <w:tcW w:w="1134" w:type="dxa"/>
            <w:vAlign w:val="center"/>
          </w:tcPr>
          <w:p w14:paraId="3F40EDB5">
            <w:pPr>
              <w:pStyle w:val="11"/>
            </w:pPr>
            <w:r>
              <w:t>4</w:t>
            </w:r>
          </w:p>
        </w:tc>
        <w:tc>
          <w:tcPr>
            <w:tcW w:w="1134" w:type="dxa"/>
            <w:vAlign w:val="center"/>
          </w:tcPr>
          <w:p w14:paraId="4D45AFC0">
            <w:pPr>
              <w:pStyle w:val="11"/>
            </w:pPr>
            <w:r>
              <w:t>5</w:t>
            </w:r>
          </w:p>
        </w:tc>
        <w:tc>
          <w:tcPr>
            <w:tcW w:w="1134" w:type="dxa"/>
            <w:vAlign w:val="center"/>
          </w:tcPr>
          <w:p w14:paraId="4B77FB27">
            <w:pPr>
              <w:pStyle w:val="11"/>
            </w:pPr>
            <w:r>
              <w:t>6</w:t>
            </w:r>
          </w:p>
        </w:tc>
        <w:tc>
          <w:tcPr>
            <w:tcW w:w="1134" w:type="dxa"/>
            <w:vAlign w:val="center"/>
          </w:tcPr>
          <w:p w14:paraId="4A140899">
            <w:pPr>
              <w:pStyle w:val="11"/>
            </w:pPr>
            <w:r>
              <w:t>7</w:t>
            </w:r>
          </w:p>
        </w:tc>
        <w:tc>
          <w:tcPr>
            <w:tcW w:w="1134" w:type="dxa"/>
            <w:vAlign w:val="center"/>
          </w:tcPr>
          <w:p w14:paraId="66E8B2CC">
            <w:pPr>
              <w:pStyle w:val="11"/>
            </w:pPr>
            <w:r>
              <w:t>8</w:t>
            </w:r>
          </w:p>
        </w:tc>
        <w:tc>
          <w:tcPr>
            <w:tcW w:w="1134" w:type="dxa"/>
            <w:vAlign w:val="center"/>
          </w:tcPr>
          <w:p w14:paraId="42429A4F">
            <w:pPr>
              <w:pStyle w:val="11"/>
            </w:pPr>
            <w:r>
              <w:t>9</w:t>
            </w:r>
          </w:p>
        </w:tc>
        <w:tc>
          <w:tcPr>
            <w:tcW w:w="1134" w:type="dxa"/>
            <w:vAlign w:val="center"/>
          </w:tcPr>
          <w:p w14:paraId="617FA7F3">
            <w:pPr>
              <w:pStyle w:val="11"/>
            </w:pPr>
            <w:r>
              <w:t>10</w:t>
            </w:r>
          </w:p>
        </w:tc>
        <w:tc>
          <w:tcPr>
            <w:tcW w:w="1134" w:type="dxa"/>
            <w:vAlign w:val="center"/>
          </w:tcPr>
          <w:p w14:paraId="34D1E011">
            <w:pPr>
              <w:pStyle w:val="11"/>
            </w:pPr>
            <w:r>
              <w:t>11</w:t>
            </w:r>
          </w:p>
        </w:tc>
        <w:tc>
          <w:tcPr>
            <w:tcW w:w="1134" w:type="dxa"/>
            <w:vAlign w:val="center"/>
          </w:tcPr>
          <w:p w14:paraId="12A23830">
            <w:pPr>
              <w:pStyle w:val="11"/>
            </w:pPr>
            <w:r>
              <w:t>12</w:t>
            </w:r>
          </w:p>
        </w:tc>
      </w:tr>
      <w:tr w14:paraId="2257D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E6646E">
            <w:pPr>
              <w:pStyle w:val="12"/>
            </w:pPr>
            <w:r>
              <w:t>1</w:t>
            </w:r>
          </w:p>
        </w:tc>
        <w:tc>
          <w:tcPr>
            <w:tcW w:w="992" w:type="dxa"/>
            <w:vAlign w:val="center"/>
          </w:tcPr>
          <w:p w14:paraId="7BB885C7">
            <w:pPr>
              <w:pStyle w:val="17"/>
            </w:pPr>
          </w:p>
        </w:tc>
        <w:tc>
          <w:tcPr>
            <w:tcW w:w="1559" w:type="dxa"/>
            <w:vAlign w:val="center"/>
          </w:tcPr>
          <w:p w14:paraId="26AD0800">
            <w:pPr>
              <w:pStyle w:val="15"/>
            </w:pPr>
            <w:r>
              <w:t>合计</w:t>
            </w:r>
          </w:p>
        </w:tc>
        <w:tc>
          <w:tcPr>
            <w:tcW w:w="1134" w:type="dxa"/>
            <w:vAlign w:val="center"/>
          </w:tcPr>
          <w:p w14:paraId="708AE82D">
            <w:pPr>
              <w:pStyle w:val="16"/>
            </w:pPr>
            <w:r>
              <w:t>658.33</w:t>
            </w:r>
          </w:p>
        </w:tc>
        <w:tc>
          <w:tcPr>
            <w:tcW w:w="1134" w:type="dxa"/>
            <w:vAlign w:val="center"/>
          </w:tcPr>
          <w:p w14:paraId="09A3EB06">
            <w:pPr>
              <w:pStyle w:val="16"/>
            </w:pPr>
            <w:r>
              <w:t>658.33</w:t>
            </w:r>
          </w:p>
        </w:tc>
        <w:tc>
          <w:tcPr>
            <w:tcW w:w="1134" w:type="dxa"/>
            <w:vAlign w:val="center"/>
          </w:tcPr>
          <w:p w14:paraId="0412A3F2">
            <w:pPr>
              <w:pStyle w:val="16"/>
            </w:pPr>
            <w:r>
              <w:t>658.33</w:t>
            </w:r>
          </w:p>
        </w:tc>
        <w:tc>
          <w:tcPr>
            <w:tcW w:w="1134" w:type="dxa"/>
            <w:vAlign w:val="center"/>
          </w:tcPr>
          <w:p w14:paraId="78A355E3">
            <w:pPr>
              <w:pStyle w:val="16"/>
            </w:pPr>
          </w:p>
        </w:tc>
        <w:tc>
          <w:tcPr>
            <w:tcW w:w="1134" w:type="dxa"/>
            <w:vAlign w:val="center"/>
          </w:tcPr>
          <w:p w14:paraId="6CF380A8">
            <w:pPr>
              <w:pStyle w:val="16"/>
            </w:pPr>
          </w:p>
        </w:tc>
        <w:tc>
          <w:tcPr>
            <w:tcW w:w="1134" w:type="dxa"/>
            <w:vAlign w:val="center"/>
          </w:tcPr>
          <w:p w14:paraId="706819FC">
            <w:pPr>
              <w:pStyle w:val="16"/>
            </w:pPr>
          </w:p>
        </w:tc>
        <w:tc>
          <w:tcPr>
            <w:tcW w:w="1134" w:type="dxa"/>
            <w:vAlign w:val="center"/>
          </w:tcPr>
          <w:p w14:paraId="58FA20B0">
            <w:pPr>
              <w:pStyle w:val="16"/>
            </w:pPr>
          </w:p>
        </w:tc>
        <w:tc>
          <w:tcPr>
            <w:tcW w:w="1134" w:type="dxa"/>
            <w:vAlign w:val="center"/>
          </w:tcPr>
          <w:p w14:paraId="3DEDAF60">
            <w:pPr>
              <w:pStyle w:val="16"/>
            </w:pPr>
          </w:p>
        </w:tc>
        <w:tc>
          <w:tcPr>
            <w:tcW w:w="1134" w:type="dxa"/>
            <w:vAlign w:val="center"/>
          </w:tcPr>
          <w:p w14:paraId="1B1FEE56">
            <w:pPr>
              <w:pStyle w:val="16"/>
            </w:pPr>
          </w:p>
        </w:tc>
        <w:tc>
          <w:tcPr>
            <w:tcW w:w="1134" w:type="dxa"/>
            <w:vAlign w:val="center"/>
          </w:tcPr>
          <w:p w14:paraId="1B3C20EC">
            <w:pPr>
              <w:pStyle w:val="16"/>
            </w:pPr>
          </w:p>
        </w:tc>
      </w:tr>
      <w:tr w14:paraId="6DFFC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B6998B">
            <w:pPr>
              <w:pStyle w:val="12"/>
            </w:pPr>
            <w:r>
              <w:t>2</w:t>
            </w:r>
          </w:p>
        </w:tc>
        <w:tc>
          <w:tcPr>
            <w:tcW w:w="992" w:type="dxa"/>
            <w:vAlign w:val="center"/>
          </w:tcPr>
          <w:p w14:paraId="49C19BCF">
            <w:pPr>
              <w:pStyle w:val="13"/>
            </w:pPr>
            <w:r>
              <w:t>205</w:t>
            </w:r>
          </w:p>
        </w:tc>
        <w:tc>
          <w:tcPr>
            <w:tcW w:w="1559" w:type="dxa"/>
            <w:vAlign w:val="center"/>
          </w:tcPr>
          <w:p w14:paraId="666A97FE">
            <w:pPr>
              <w:pStyle w:val="13"/>
            </w:pPr>
            <w:r>
              <w:t>教育支出</w:t>
            </w:r>
          </w:p>
        </w:tc>
        <w:tc>
          <w:tcPr>
            <w:tcW w:w="1134" w:type="dxa"/>
            <w:vAlign w:val="center"/>
          </w:tcPr>
          <w:p w14:paraId="039D0A2E">
            <w:pPr>
              <w:pStyle w:val="14"/>
            </w:pPr>
            <w:r>
              <w:t>658.33</w:t>
            </w:r>
          </w:p>
        </w:tc>
        <w:tc>
          <w:tcPr>
            <w:tcW w:w="1134" w:type="dxa"/>
            <w:vAlign w:val="center"/>
          </w:tcPr>
          <w:p w14:paraId="7BFE0412">
            <w:pPr>
              <w:pStyle w:val="14"/>
            </w:pPr>
            <w:r>
              <w:t>658.33</w:t>
            </w:r>
          </w:p>
        </w:tc>
        <w:tc>
          <w:tcPr>
            <w:tcW w:w="1134" w:type="dxa"/>
            <w:vAlign w:val="center"/>
          </w:tcPr>
          <w:p w14:paraId="123F25FD">
            <w:pPr>
              <w:pStyle w:val="14"/>
            </w:pPr>
            <w:r>
              <w:t>658.33</w:t>
            </w:r>
          </w:p>
        </w:tc>
        <w:tc>
          <w:tcPr>
            <w:tcW w:w="1134" w:type="dxa"/>
            <w:vAlign w:val="center"/>
          </w:tcPr>
          <w:p w14:paraId="47B40DBD">
            <w:pPr>
              <w:pStyle w:val="14"/>
            </w:pPr>
          </w:p>
        </w:tc>
        <w:tc>
          <w:tcPr>
            <w:tcW w:w="1134" w:type="dxa"/>
            <w:vAlign w:val="center"/>
          </w:tcPr>
          <w:p w14:paraId="6A8E51A7">
            <w:pPr>
              <w:pStyle w:val="14"/>
            </w:pPr>
          </w:p>
        </w:tc>
        <w:tc>
          <w:tcPr>
            <w:tcW w:w="1134" w:type="dxa"/>
            <w:vAlign w:val="center"/>
          </w:tcPr>
          <w:p w14:paraId="7C00C11B">
            <w:pPr>
              <w:pStyle w:val="14"/>
            </w:pPr>
          </w:p>
        </w:tc>
        <w:tc>
          <w:tcPr>
            <w:tcW w:w="1134" w:type="dxa"/>
            <w:vAlign w:val="center"/>
          </w:tcPr>
          <w:p w14:paraId="399927E9">
            <w:pPr>
              <w:pStyle w:val="14"/>
            </w:pPr>
          </w:p>
        </w:tc>
        <w:tc>
          <w:tcPr>
            <w:tcW w:w="1134" w:type="dxa"/>
            <w:vAlign w:val="center"/>
          </w:tcPr>
          <w:p w14:paraId="55C3D6C9">
            <w:pPr>
              <w:pStyle w:val="14"/>
            </w:pPr>
          </w:p>
        </w:tc>
        <w:tc>
          <w:tcPr>
            <w:tcW w:w="1134" w:type="dxa"/>
            <w:vAlign w:val="center"/>
          </w:tcPr>
          <w:p w14:paraId="03683D60">
            <w:pPr>
              <w:pStyle w:val="14"/>
            </w:pPr>
          </w:p>
        </w:tc>
        <w:tc>
          <w:tcPr>
            <w:tcW w:w="1134" w:type="dxa"/>
            <w:vAlign w:val="center"/>
          </w:tcPr>
          <w:p w14:paraId="3E908EAA">
            <w:pPr>
              <w:pStyle w:val="14"/>
            </w:pPr>
          </w:p>
        </w:tc>
      </w:tr>
      <w:tr w14:paraId="3E096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7AEA52">
            <w:pPr>
              <w:pStyle w:val="12"/>
            </w:pPr>
            <w:r>
              <w:t>3</w:t>
            </w:r>
          </w:p>
        </w:tc>
        <w:tc>
          <w:tcPr>
            <w:tcW w:w="992" w:type="dxa"/>
            <w:vAlign w:val="center"/>
          </w:tcPr>
          <w:p w14:paraId="542CCF25">
            <w:pPr>
              <w:pStyle w:val="13"/>
            </w:pPr>
            <w:r>
              <w:t>20502</w:t>
            </w:r>
          </w:p>
        </w:tc>
        <w:tc>
          <w:tcPr>
            <w:tcW w:w="1559" w:type="dxa"/>
            <w:vAlign w:val="center"/>
          </w:tcPr>
          <w:p w14:paraId="51952F59">
            <w:pPr>
              <w:pStyle w:val="13"/>
            </w:pPr>
            <w:r>
              <w:t>普通教育</w:t>
            </w:r>
          </w:p>
        </w:tc>
        <w:tc>
          <w:tcPr>
            <w:tcW w:w="1134" w:type="dxa"/>
            <w:vAlign w:val="center"/>
          </w:tcPr>
          <w:p w14:paraId="27779C8B">
            <w:pPr>
              <w:pStyle w:val="14"/>
            </w:pPr>
            <w:r>
              <w:t>658.33</w:t>
            </w:r>
          </w:p>
        </w:tc>
        <w:tc>
          <w:tcPr>
            <w:tcW w:w="1134" w:type="dxa"/>
            <w:vAlign w:val="center"/>
          </w:tcPr>
          <w:p w14:paraId="190BE946">
            <w:pPr>
              <w:pStyle w:val="14"/>
            </w:pPr>
            <w:r>
              <w:t>658.33</w:t>
            </w:r>
          </w:p>
        </w:tc>
        <w:tc>
          <w:tcPr>
            <w:tcW w:w="1134" w:type="dxa"/>
            <w:vAlign w:val="center"/>
          </w:tcPr>
          <w:p w14:paraId="16612F93">
            <w:pPr>
              <w:pStyle w:val="14"/>
            </w:pPr>
            <w:r>
              <w:t>658.33</w:t>
            </w:r>
          </w:p>
        </w:tc>
        <w:tc>
          <w:tcPr>
            <w:tcW w:w="1134" w:type="dxa"/>
            <w:vAlign w:val="center"/>
          </w:tcPr>
          <w:p w14:paraId="79E3578E">
            <w:pPr>
              <w:pStyle w:val="14"/>
            </w:pPr>
          </w:p>
        </w:tc>
        <w:tc>
          <w:tcPr>
            <w:tcW w:w="1134" w:type="dxa"/>
            <w:vAlign w:val="center"/>
          </w:tcPr>
          <w:p w14:paraId="01D6C950">
            <w:pPr>
              <w:pStyle w:val="14"/>
            </w:pPr>
          </w:p>
        </w:tc>
        <w:tc>
          <w:tcPr>
            <w:tcW w:w="1134" w:type="dxa"/>
            <w:vAlign w:val="center"/>
          </w:tcPr>
          <w:p w14:paraId="37C5B12F">
            <w:pPr>
              <w:pStyle w:val="14"/>
            </w:pPr>
          </w:p>
        </w:tc>
        <w:tc>
          <w:tcPr>
            <w:tcW w:w="1134" w:type="dxa"/>
            <w:vAlign w:val="center"/>
          </w:tcPr>
          <w:p w14:paraId="470D261E">
            <w:pPr>
              <w:pStyle w:val="14"/>
            </w:pPr>
          </w:p>
        </w:tc>
        <w:tc>
          <w:tcPr>
            <w:tcW w:w="1134" w:type="dxa"/>
            <w:vAlign w:val="center"/>
          </w:tcPr>
          <w:p w14:paraId="085AD752">
            <w:pPr>
              <w:pStyle w:val="14"/>
            </w:pPr>
          </w:p>
        </w:tc>
        <w:tc>
          <w:tcPr>
            <w:tcW w:w="1134" w:type="dxa"/>
            <w:vAlign w:val="center"/>
          </w:tcPr>
          <w:p w14:paraId="3244545B">
            <w:pPr>
              <w:pStyle w:val="14"/>
            </w:pPr>
          </w:p>
        </w:tc>
        <w:tc>
          <w:tcPr>
            <w:tcW w:w="1134" w:type="dxa"/>
            <w:vAlign w:val="center"/>
          </w:tcPr>
          <w:p w14:paraId="7C293BF9">
            <w:pPr>
              <w:pStyle w:val="14"/>
            </w:pPr>
          </w:p>
        </w:tc>
      </w:tr>
      <w:tr w14:paraId="05076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4587B2">
            <w:pPr>
              <w:pStyle w:val="12"/>
            </w:pPr>
            <w:r>
              <w:t>4</w:t>
            </w:r>
          </w:p>
        </w:tc>
        <w:tc>
          <w:tcPr>
            <w:tcW w:w="992" w:type="dxa"/>
            <w:vAlign w:val="center"/>
          </w:tcPr>
          <w:p w14:paraId="7DDE2422">
            <w:pPr>
              <w:pStyle w:val="13"/>
            </w:pPr>
            <w:r>
              <w:t>2050203</w:t>
            </w:r>
          </w:p>
        </w:tc>
        <w:tc>
          <w:tcPr>
            <w:tcW w:w="1559" w:type="dxa"/>
            <w:vAlign w:val="center"/>
          </w:tcPr>
          <w:p w14:paraId="6F9D5F0B">
            <w:pPr>
              <w:pStyle w:val="13"/>
            </w:pPr>
            <w:r>
              <w:t>初中教育</w:t>
            </w:r>
          </w:p>
        </w:tc>
        <w:tc>
          <w:tcPr>
            <w:tcW w:w="1134" w:type="dxa"/>
            <w:vAlign w:val="center"/>
          </w:tcPr>
          <w:p w14:paraId="246FD572">
            <w:pPr>
              <w:pStyle w:val="14"/>
            </w:pPr>
            <w:r>
              <w:t>658.33</w:t>
            </w:r>
          </w:p>
        </w:tc>
        <w:tc>
          <w:tcPr>
            <w:tcW w:w="1134" w:type="dxa"/>
            <w:vAlign w:val="center"/>
          </w:tcPr>
          <w:p w14:paraId="1C74C47B">
            <w:pPr>
              <w:pStyle w:val="14"/>
            </w:pPr>
            <w:r>
              <w:t>658.33</w:t>
            </w:r>
          </w:p>
        </w:tc>
        <w:tc>
          <w:tcPr>
            <w:tcW w:w="1134" w:type="dxa"/>
            <w:vAlign w:val="center"/>
          </w:tcPr>
          <w:p w14:paraId="39C90394">
            <w:pPr>
              <w:pStyle w:val="14"/>
            </w:pPr>
            <w:r>
              <w:t>658.33</w:t>
            </w:r>
          </w:p>
        </w:tc>
        <w:tc>
          <w:tcPr>
            <w:tcW w:w="1134" w:type="dxa"/>
            <w:vAlign w:val="center"/>
          </w:tcPr>
          <w:p w14:paraId="1706D8AF">
            <w:pPr>
              <w:pStyle w:val="14"/>
            </w:pPr>
          </w:p>
        </w:tc>
        <w:tc>
          <w:tcPr>
            <w:tcW w:w="1134" w:type="dxa"/>
            <w:vAlign w:val="center"/>
          </w:tcPr>
          <w:p w14:paraId="5CD621BD">
            <w:pPr>
              <w:pStyle w:val="14"/>
            </w:pPr>
          </w:p>
        </w:tc>
        <w:tc>
          <w:tcPr>
            <w:tcW w:w="1134" w:type="dxa"/>
            <w:vAlign w:val="center"/>
          </w:tcPr>
          <w:p w14:paraId="4F2AB571">
            <w:pPr>
              <w:pStyle w:val="14"/>
            </w:pPr>
          </w:p>
        </w:tc>
        <w:tc>
          <w:tcPr>
            <w:tcW w:w="1134" w:type="dxa"/>
            <w:vAlign w:val="center"/>
          </w:tcPr>
          <w:p w14:paraId="2992A4B0">
            <w:pPr>
              <w:pStyle w:val="14"/>
            </w:pPr>
          </w:p>
        </w:tc>
        <w:tc>
          <w:tcPr>
            <w:tcW w:w="1134" w:type="dxa"/>
            <w:vAlign w:val="center"/>
          </w:tcPr>
          <w:p w14:paraId="5500F64C">
            <w:pPr>
              <w:pStyle w:val="14"/>
            </w:pPr>
          </w:p>
        </w:tc>
        <w:tc>
          <w:tcPr>
            <w:tcW w:w="1134" w:type="dxa"/>
            <w:vAlign w:val="center"/>
          </w:tcPr>
          <w:p w14:paraId="411B00FB">
            <w:pPr>
              <w:pStyle w:val="14"/>
            </w:pPr>
          </w:p>
        </w:tc>
        <w:tc>
          <w:tcPr>
            <w:tcW w:w="1134" w:type="dxa"/>
            <w:vAlign w:val="center"/>
          </w:tcPr>
          <w:p w14:paraId="77F94B03">
            <w:pPr>
              <w:pStyle w:val="14"/>
            </w:pPr>
          </w:p>
        </w:tc>
      </w:tr>
    </w:tbl>
    <w:p w14:paraId="5370E3BE">
      <w:pPr>
        <w:sectPr>
          <w:pgSz w:w="16840" w:h="11900" w:orient="landscape"/>
          <w:pgMar w:top="1361" w:right="1020" w:bottom="1134" w:left="1020" w:header="720" w:footer="720" w:gutter="0"/>
          <w:cols w:space="720" w:num="1"/>
        </w:sectPr>
      </w:pPr>
    </w:p>
    <w:p w14:paraId="171879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577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42C77E">
            <w:pPr>
              <w:pStyle w:val="8"/>
            </w:pPr>
            <w:r>
              <w:t>360033隆尧县大张庄中学</w:t>
            </w:r>
          </w:p>
        </w:tc>
        <w:tc>
          <w:tcPr>
            <w:tcW w:w="2722" w:type="dxa"/>
            <w:gridSpan w:val="2"/>
            <w:tcBorders>
              <w:top w:val="single" w:color="FFFFFF" w:sz="6" w:space="0"/>
              <w:left w:val="single" w:color="FFFFFF" w:sz="6" w:space="0"/>
              <w:right w:val="single" w:color="FFFFFF" w:sz="6" w:space="0"/>
            </w:tcBorders>
            <w:vAlign w:val="center"/>
          </w:tcPr>
          <w:p w14:paraId="57C5B3E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9271581">
            <w:pPr>
              <w:pStyle w:val="10"/>
            </w:pPr>
            <w:r>
              <w:t>单位：万元</w:t>
            </w:r>
          </w:p>
        </w:tc>
      </w:tr>
      <w:tr w14:paraId="23931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7479A4">
            <w:pPr>
              <w:pStyle w:val="11"/>
            </w:pPr>
            <w:r>
              <w:t>序号</w:t>
            </w:r>
          </w:p>
        </w:tc>
        <w:tc>
          <w:tcPr>
            <w:tcW w:w="5527" w:type="dxa"/>
            <w:gridSpan w:val="2"/>
            <w:vAlign w:val="center"/>
          </w:tcPr>
          <w:p w14:paraId="232047DF">
            <w:pPr>
              <w:pStyle w:val="11"/>
            </w:pPr>
            <w:r>
              <w:t>功能分类科目</w:t>
            </w:r>
          </w:p>
        </w:tc>
        <w:tc>
          <w:tcPr>
            <w:tcW w:w="1361" w:type="dxa"/>
            <w:vMerge w:val="restart"/>
            <w:vAlign w:val="center"/>
          </w:tcPr>
          <w:p w14:paraId="3080D674">
            <w:pPr>
              <w:pStyle w:val="11"/>
            </w:pPr>
            <w:r>
              <w:t>合计</w:t>
            </w:r>
          </w:p>
        </w:tc>
        <w:tc>
          <w:tcPr>
            <w:tcW w:w="1361" w:type="dxa"/>
            <w:vMerge w:val="restart"/>
            <w:vAlign w:val="center"/>
          </w:tcPr>
          <w:p w14:paraId="79C1361C">
            <w:pPr>
              <w:pStyle w:val="11"/>
            </w:pPr>
            <w:r>
              <w:t>基本支出</w:t>
            </w:r>
          </w:p>
        </w:tc>
        <w:tc>
          <w:tcPr>
            <w:tcW w:w="1361" w:type="dxa"/>
            <w:vMerge w:val="restart"/>
            <w:vAlign w:val="center"/>
          </w:tcPr>
          <w:p w14:paraId="3BEE1C4A">
            <w:pPr>
              <w:pStyle w:val="11"/>
            </w:pPr>
            <w:r>
              <w:t>项目支出</w:t>
            </w:r>
          </w:p>
        </w:tc>
        <w:tc>
          <w:tcPr>
            <w:tcW w:w="1361" w:type="dxa"/>
            <w:vMerge w:val="restart"/>
            <w:vAlign w:val="center"/>
          </w:tcPr>
          <w:p w14:paraId="3B65884F">
            <w:pPr>
              <w:pStyle w:val="11"/>
            </w:pPr>
            <w:r>
              <w:t>经营支出</w:t>
            </w:r>
          </w:p>
        </w:tc>
        <w:tc>
          <w:tcPr>
            <w:tcW w:w="1361" w:type="dxa"/>
            <w:vMerge w:val="restart"/>
            <w:vAlign w:val="center"/>
          </w:tcPr>
          <w:p w14:paraId="6E196169">
            <w:pPr>
              <w:pStyle w:val="11"/>
            </w:pPr>
            <w:r>
              <w:t>上解上级     支出</w:t>
            </w:r>
          </w:p>
        </w:tc>
        <w:tc>
          <w:tcPr>
            <w:tcW w:w="1361" w:type="dxa"/>
            <w:vMerge w:val="restart"/>
            <w:vAlign w:val="center"/>
          </w:tcPr>
          <w:p w14:paraId="3B2A1A14">
            <w:pPr>
              <w:pStyle w:val="11"/>
            </w:pPr>
            <w:r>
              <w:t>对附属单位补助支出</w:t>
            </w:r>
          </w:p>
        </w:tc>
      </w:tr>
      <w:tr w14:paraId="51F2D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990127"/>
        </w:tc>
        <w:tc>
          <w:tcPr>
            <w:tcW w:w="992" w:type="dxa"/>
            <w:vAlign w:val="center"/>
          </w:tcPr>
          <w:p w14:paraId="40050113">
            <w:pPr>
              <w:pStyle w:val="11"/>
            </w:pPr>
            <w:r>
              <w:t>科目    编码</w:t>
            </w:r>
          </w:p>
        </w:tc>
        <w:tc>
          <w:tcPr>
            <w:tcW w:w="4535" w:type="dxa"/>
            <w:vAlign w:val="center"/>
          </w:tcPr>
          <w:p w14:paraId="51D62192">
            <w:pPr>
              <w:pStyle w:val="11"/>
            </w:pPr>
            <w:r>
              <w:t>科目名称</w:t>
            </w:r>
          </w:p>
        </w:tc>
        <w:tc>
          <w:tcPr>
            <w:tcW w:w="1361" w:type="dxa"/>
            <w:vMerge w:val="continue"/>
          </w:tcPr>
          <w:p w14:paraId="5875E788"/>
        </w:tc>
        <w:tc>
          <w:tcPr>
            <w:tcW w:w="1361" w:type="dxa"/>
            <w:vMerge w:val="continue"/>
          </w:tcPr>
          <w:p w14:paraId="5E6FCCC2"/>
        </w:tc>
        <w:tc>
          <w:tcPr>
            <w:tcW w:w="1361" w:type="dxa"/>
            <w:vMerge w:val="continue"/>
          </w:tcPr>
          <w:p w14:paraId="2EDE6224"/>
        </w:tc>
        <w:tc>
          <w:tcPr>
            <w:tcW w:w="1361" w:type="dxa"/>
            <w:vMerge w:val="continue"/>
          </w:tcPr>
          <w:p w14:paraId="12EB6337"/>
        </w:tc>
        <w:tc>
          <w:tcPr>
            <w:tcW w:w="1361" w:type="dxa"/>
            <w:vMerge w:val="continue"/>
          </w:tcPr>
          <w:p w14:paraId="3BD2C53C"/>
        </w:tc>
        <w:tc>
          <w:tcPr>
            <w:tcW w:w="1361" w:type="dxa"/>
            <w:vMerge w:val="continue"/>
          </w:tcPr>
          <w:p w14:paraId="04C969BB"/>
        </w:tc>
      </w:tr>
      <w:tr w14:paraId="59CB1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29FA07">
            <w:pPr>
              <w:pStyle w:val="11"/>
            </w:pPr>
            <w:r>
              <w:t>栏次</w:t>
            </w:r>
          </w:p>
        </w:tc>
        <w:tc>
          <w:tcPr>
            <w:tcW w:w="992" w:type="dxa"/>
            <w:vAlign w:val="center"/>
          </w:tcPr>
          <w:p w14:paraId="04ABBD72">
            <w:pPr>
              <w:pStyle w:val="11"/>
            </w:pPr>
            <w:r>
              <w:t>1</w:t>
            </w:r>
          </w:p>
        </w:tc>
        <w:tc>
          <w:tcPr>
            <w:tcW w:w="4535" w:type="dxa"/>
            <w:vAlign w:val="center"/>
          </w:tcPr>
          <w:p w14:paraId="4ACD3BC2">
            <w:pPr>
              <w:pStyle w:val="11"/>
            </w:pPr>
            <w:r>
              <w:t>2</w:t>
            </w:r>
          </w:p>
        </w:tc>
        <w:tc>
          <w:tcPr>
            <w:tcW w:w="1361" w:type="dxa"/>
            <w:vAlign w:val="center"/>
          </w:tcPr>
          <w:p w14:paraId="7217D13D">
            <w:pPr>
              <w:pStyle w:val="11"/>
            </w:pPr>
            <w:r>
              <w:t>3</w:t>
            </w:r>
          </w:p>
        </w:tc>
        <w:tc>
          <w:tcPr>
            <w:tcW w:w="1361" w:type="dxa"/>
            <w:vAlign w:val="center"/>
          </w:tcPr>
          <w:p w14:paraId="63F1BA3D">
            <w:pPr>
              <w:pStyle w:val="11"/>
            </w:pPr>
            <w:r>
              <w:t>4</w:t>
            </w:r>
          </w:p>
        </w:tc>
        <w:tc>
          <w:tcPr>
            <w:tcW w:w="1361" w:type="dxa"/>
            <w:vAlign w:val="center"/>
          </w:tcPr>
          <w:p w14:paraId="6881487B">
            <w:pPr>
              <w:pStyle w:val="11"/>
            </w:pPr>
            <w:r>
              <w:t>5</w:t>
            </w:r>
          </w:p>
        </w:tc>
        <w:tc>
          <w:tcPr>
            <w:tcW w:w="1361" w:type="dxa"/>
            <w:vAlign w:val="center"/>
          </w:tcPr>
          <w:p w14:paraId="52D5D519">
            <w:pPr>
              <w:pStyle w:val="11"/>
            </w:pPr>
            <w:r>
              <w:t>6</w:t>
            </w:r>
          </w:p>
        </w:tc>
        <w:tc>
          <w:tcPr>
            <w:tcW w:w="1361" w:type="dxa"/>
            <w:vAlign w:val="center"/>
          </w:tcPr>
          <w:p w14:paraId="7E65A268">
            <w:pPr>
              <w:pStyle w:val="11"/>
            </w:pPr>
            <w:r>
              <w:t>7</w:t>
            </w:r>
          </w:p>
        </w:tc>
        <w:tc>
          <w:tcPr>
            <w:tcW w:w="1361" w:type="dxa"/>
            <w:vAlign w:val="center"/>
          </w:tcPr>
          <w:p w14:paraId="328A7035">
            <w:pPr>
              <w:pStyle w:val="11"/>
            </w:pPr>
            <w:r>
              <w:t>8</w:t>
            </w:r>
          </w:p>
        </w:tc>
      </w:tr>
      <w:tr w14:paraId="10E53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E9802">
            <w:pPr>
              <w:pStyle w:val="12"/>
            </w:pPr>
            <w:r>
              <w:t>1</w:t>
            </w:r>
          </w:p>
        </w:tc>
        <w:tc>
          <w:tcPr>
            <w:tcW w:w="992" w:type="dxa"/>
            <w:vAlign w:val="center"/>
          </w:tcPr>
          <w:p w14:paraId="3118D2E1">
            <w:pPr>
              <w:pStyle w:val="17"/>
            </w:pPr>
          </w:p>
        </w:tc>
        <w:tc>
          <w:tcPr>
            <w:tcW w:w="4535" w:type="dxa"/>
            <w:vAlign w:val="center"/>
          </w:tcPr>
          <w:p w14:paraId="5B9E58A6">
            <w:pPr>
              <w:pStyle w:val="15"/>
            </w:pPr>
            <w:r>
              <w:t>合计</w:t>
            </w:r>
          </w:p>
        </w:tc>
        <w:tc>
          <w:tcPr>
            <w:tcW w:w="1361" w:type="dxa"/>
            <w:vAlign w:val="center"/>
          </w:tcPr>
          <w:p w14:paraId="0577B739">
            <w:pPr>
              <w:pStyle w:val="16"/>
            </w:pPr>
            <w:r>
              <w:t>658.33</w:t>
            </w:r>
          </w:p>
        </w:tc>
        <w:tc>
          <w:tcPr>
            <w:tcW w:w="1361" w:type="dxa"/>
            <w:vAlign w:val="center"/>
          </w:tcPr>
          <w:p w14:paraId="1DC73C10">
            <w:pPr>
              <w:pStyle w:val="16"/>
            </w:pPr>
            <w:r>
              <w:t>382.14</w:t>
            </w:r>
          </w:p>
        </w:tc>
        <w:tc>
          <w:tcPr>
            <w:tcW w:w="1361" w:type="dxa"/>
            <w:vAlign w:val="center"/>
          </w:tcPr>
          <w:p w14:paraId="268B0DB6">
            <w:pPr>
              <w:pStyle w:val="16"/>
            </w:pPr>
            <w:r>
              <w:t>276.20</w:t>
            </w:r>
          </w:p>
        </w:tc>
        <w:tc>
          <w:tcPr>
            <w:tcW w:w="1361" w:type="dxa"/>
            <w:vAlign w:val="center"/>
          </w:tcPr>
          <w:p w14:paraId="0C2ADDDC">
            <w:pPr>
              <w:pStyle w:val="16"/>
            </w:pPr>
          </w:p>
        </w:tc>
        <w:tc>
          <w:tcPr>
            <w:tcW w:w="1361" w:type="dxa"/>
            <w:vAlign w:val="center"/>
          </w:tcPr>
          <w:p w14:paraId="65720CD1">
            <w:pPr>
              <w:pStyle w:val="16"/>
            </w:pPr>
          </w:p>
        </w:tc>
        <w:tc>
          <w:tcPr>
            <w:tcW w:w="1361" w:type="dxa"/>
            <w:vAlign w:val="center"/>
          </w:tcPr>
          <w:p w14:paraId="6F60C85D">
            <w:pPr>
              <w:pStyle w:val="16"/>
            </w:pPr>
          </w:p>
        </w:tc>
      </w:tr>
      <w:tr w14:paraId="26768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8C694">
            <w:pPr>
              <w:pStyle w:val="12"/>
            </w:pPr>
            <w:r>
              <w:t>2</w:t>
            </w:r>
          </w:p>
        </w:tc>
        <w:tc>
          <w:tcPr>
            <w:tcW w:w="992" w:type="dxa"/>
            <w:vAlign w:val="center"/>
          </w:tcPr>
          <w:p w14:paraId="5F742CB0">
            <w:pPr>
              <w:pStyle w:val="13"/>
            </w:pPr>
            <w:r>
              <w:t>205</w:t>
            </w:r>
          </w:p>
        </w:tc>
        <w:tc>
          <w:tcPr>
            <w:tcW w:w="4535" w:type="dxa"/>
            <w:vAlign w:val="center"/>
          </w:tcPr>
          <w:p w14:paraId="75127535">
            <w:pPr>
              <w:pStyle w:val="13"/>
            </w:pPr>
            <w:r>
              <w:t>教育支出</w:t>
            </w:r>
          </w:p>
        </w:tc>
        <w:tc>
          <w:tcPr>
            <w:tcW w:w="1361" w:type="dxa"/>
            <w:vAlign w:val="center"/>
          </w:tcPr>
          <w:p w14:paraId="175F7067">
            <w:pPr>
              <w:pStyle w:val="14"/>
            </w:pPr>
            <w:r>
              <w:t>658.33</w:t>
            </w:r>
          </w:p>
        </w:tc>
        <w:tc>
          <w:tcPr>
            <w:tcW w:w="1361" w:type="dxa"/>
            <w:vAlign w:val="center"/>
          </w:tcPr>
          <w:p w14:paraId="6E0CBA2A">
            <w:pPr>
              <w:pStyle w:val="14"/>
            </w:pPr>
            <w:r>
              <w:t>382.14</w:t>
            </w:r>
          </w:p>
        </w:tc>
        <w:tc>
          <w:tcPr>
            <w:tcW w:w="1361" w:type="dxa"/>
            <w:vAlign w:val="center"/>
          </w:tcPr>
          <w:p w14:paraId="3D645420">
            <w:pPr>
              <w:pStyle w:val="14"/>
            </w:pPr>
            <w:r>
              <w:t>276.20</w:t>
            </w:r>
          </w:p>
        </w:tc>
        <w:tc>
          <w:tcPr>
            <w:tcW w:w="1361" w:type="dxa"/>
            <w:vAlign w:val="center"/>
          </w:tcPr>
          <w:p w14:paraId="72CE2FF5">
            <w:pPr>
              <w:pStyle w:val="14"/>
            </w:pPr>
          </w:p>
        </w:tc>
        <w:tc>
          <w:tcPr>
            <w:tcW w:w="1361" w:type="dxa"/>
            <w:vAlign w:val="center"/>
          </w:tcPr>
          <w:p w14:paraId="51A19F2D">
            <w:pPr>
              <w:pStyle w:val="14"/>
            </w:pPr>
          </w:p>
        </w:tc>
        <w:tc>
          <w:tcPr>
            <w:tcW w:w="1361" w:type="dxa"/>
            <w:vAlign w:val="center"/>
          </w:tcPr>
          <w:p w14:paraId="7EAC6DC3">
            <w:pPr>
              <w:pStyle w:val="14"/>
            </w:pPr>
          </w:p>
        </w:tc>
      </w:tr>
      <w:tr w14:paraId="4D597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8C952">
            <w:pPr>
              <w:pStyle w:val="12"/>
            </w:pPr>
            <w:r>
              <w:t>3</w:t>
            </w:r>
          </w:p>
        </w:tc>
        <w:tc>
          <w:tcPr>
            <w:tcW w:w="992" w:type="dxa"/>
            <w:vAlign w:val="center"/>
          </w:tcPr>
          <w:p w14:paraId="4B9D2D1B">
            <w:pPr>
              <w:pStyle w:val="13"/>
            </w:pPr>
            <w:r>
              <w:t>20502</w:t>
            </w:r>
          </w:p>
        </w:tc>
        <w:tc>
          <w:tcPr>
            <w:tcW w:w="4535" w:type="dxa"/>
            <w:vAlign w:val="center"/>
          </w:tcPr>
          <w:p w14:paraId="100E858D">
            <w:pPr>
              <w:pStyle w:val="13"/>
            </w:pPr>
            <w:r>
              <w:t>普通教育</w:t>
            </w:r>
          </w:p>
        </w:tc>
        <w:tc>
          <w:tcPr>
            <w:tcW w:w="1361" w:type="dxa"/>
            <w:vAlign w:val="center"/>
          </w:tcPr>
          <w:p w14:paraId="0D17481B">
            <w:pPr>
              <w:pStyle w:val="14"/>
            </w:pPr>
            <w:r>
              <w:t>658.33</w:t>
            </w:r>
          </w:p>
        </w:tc>
        <w:tc>
          <w:tcPr>
            <w:tcW w:w="1361" w:type="dxa"/>
            <w:vAlign w:val="center"/>
          </w:tcPr>
          <w:p w14:paraId="6606C71B">
            <w:pPr>
              <w:pStyle w:val="14"/>
            </w:pPr>
            <w:r>
              <w:t>382.14</w:t>
            </w:r>
          </w:p>
        </w:tc>
        <w:tc>
          <w:tcPr>
            <w:tcW w:w="1361" w:type="dxa"/>
            <w:vAlign w:val="center"/>
          </w:tcPr>
          <w:p w14:paraId="1A5374E2">
            <w:pPr>
              <w:pStyle w:val="14"/>
            </w:pPr>
            <w:r>
              <w:t>276.20</w:t>
            </w:r>
          </w:p>
        </w:tc>
        <w:tc>
          <w:tcPr>
            <w:tcW w:w="1361" w:type="dxa"/>
            <w:vAlign w:val="center"/>
          </w:tcPr>
          <w:p w14:paraId="2433C4D5">
            <w:pPr>
              <w:pStyle w:val="14"/>
            </w:pPr>
          </w:p>
        </w:tc>
        <w:tc>
          <w:tcPr>
            <w:tcW w:w="1361" w:type="dxa"/>
            <w:vAlign w:val="center"/>
          </w:tcPr>
          <w:p w14:paraId="31556ECF">
            <w:pPr>
              <w:pStyle w:val="14"/>
            </w:pPr>
          </w:p>
        </w:tc>
        <w:tc>
          <w:tcPr>
            <w:tcW w:w="1361" w:type="dxa"/>
            <w:vAlign w:val="center"/>
          </w:tcPr>
          <w:p w14:paraId="73742339">
            <w:pPr>
              <w:pStyle w:val="14"/>
            </w:pPr>
          </w:p>
        </w:tc>
      </w:tr>
      <w:tr w14:paraId="06894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431C2">
            <w:pPr>
              <w:pStyle w:val="12"/>
            </w:pPr>
            <w:r>
              <w:t>4</w:t>
            </w:r>
          </w:p>
        </w:tc>
        <w:tc>
          <w:tcPr>
            <w:tcW w:w="992" w:type="dxa"/>
            <w:vAlign w:val="center"/>
          </w:tcPr>
          <w:p w14:paraId="1A5CA711">
            <w:pPr>
              <w:pStyle w:val="13"/>
            </w:pPr>
            <w:r>
              <w:t>2050203</w:t>
            </w:r>
          </w:p>
        </w:tc>
        <w:tc>
          <w:tcPr>
            <w:tcW w:w="4535" w:type="dxa"/>
            <w:vAlign w:val="center"/>
          </w:tcPr>
          <w:p w14:paraId="517D0070">
            <w:pPr>
              <w:pStyle w:val="13"/>
            </w:pPr>
            <w:r>
              <w:t>初中教育</w:t>
            </w:r>
          </w:p>
        </w:tc>
        <w:tc>
          <w:tcPr>
            <w:tcW w:w="1361" w:type="dxa"/>
            <w:vAlign w:val="center"/>
          </w:tcPr>
          <w:p w14:paraId="6B84FBFC">
            <w:pPr>
              <w:pStyle w:val="14"/>
            </w:pPr>
            <w:r>
              <w:t>658.33</w:t>
            </w:r>
          </w:p>
        </w:tc>
        <w:tc>
          <w:tcPr>
            <w:tcW w:w="1361" w:type="dxa"/>
            <w:vAlign w:val="center"/>
          </w:tcPr>
          <w:p w14:paraId="48FF6ED6">
            <w:pPr>
              <w:pStyle w:val="14"/>
            </w:pPr>
            <w:r>
              <w:t>382.14</w:t>
            </w:r>
          </w:p>
        </w:tc>
        <w:tc>
          <w:tcPr>
            <w:tcW w:w="1361" w:type="dxa"/>
            <w:vAlign w:val="center"/>
          </w:tcPr>
          <w:p w14:paraId="1997C40E">
            <w:pPr>
              <w:pStyle w:val="14"/>
            </w:pPr>
            <w:r>
              <w:t>276.20</w:t>
            </w:r>
          </w:p>
        </w:tc>
        <w:tc>
          <w:tcPr>
            <w:tcW w:w="1361" w:type="dxa"/>
            <w:vAlign w:val="center"/>
          </w:tcPr>
          <w:p w14:paraId="44EDF142">
            <w:pPr>
              <w:pStyle w:val="14"/>
            </w:pPr>
          </w:p>
        </w:tc>
        <w:tc>
          <w:tcPr>
            <w:tcW w:w="1361" w:type="dxa"/>
            <w:vAlign w:val="center"/>
          </w:tcPr>
          <w:p w14:paraId="11605D8B">
            <w:pPr>
              <w:pStyle w:val="14"/>
            </w:pPr>
          </w:p>
        </w:tc>
        <w:tc>
          <w:tcPr>
            <w:tcW w:w="1361" w:type="dxa"/>
            <w:vAlign w:val="center"/>
          </w:tcPr>
          <w:p w14:paraId="7D7F89F1">
            <w:pPr>
              <w:pStyle w:val="14"/>
            </w:pPr>
          </w:p>
        </w:tc>
      </w:tr>
    </w:tbl>
    <w:p w14:paraId="7E37477F">
      <w:pPr>
        <w:sectPr>
          <w:pgSz w:w="16840" w:h="11900" w:orient="landscape"/>
          <w:pgMar w:top="1361" w:right="1020" w:bottom="1134" w:left="1020" w:header="720" w:footer="720" w:gutter="0"/>
          <w:cols w:space="720" w:num="1"/>
        </w:sectPr>
      </w:pPr>
    </w:p>
    <w:p w14:paraId="635455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13C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FE59FF">
            <w:pPr>
              <w:pStyle w:val="8"/>
            </w:pPr>
            <w:r>
              <w:t>360033隆尧县大张庄中学</w:t>
            </w:r>
          </w:p>
        </w:tc>
        <w:tc>
          <w:tcPr>
            <w:tcW w:w="3402" w:type="dxa"/>
            <w:tcBorders>
              <w:top w:val="single" w:color="FFFFFF" w:sz="6" w:space="0"/>
              <w:left w:val="single" w:color="FFFFFF" w:sz="6" w:space="0"/>
              <w:right w:val="single" w:color="FFFFFF" w:sz="6" w:space="0"/>
            </w:tcBorders>
            <w:vAlign w:val="center"/>
          </w:tcPr>
          <w:p w14:paraId="02E8046F">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C9733C2">
            <w:pPr>
              <w:pStyle w:val="10"/>
            </w:pPr>
            <w:r>
              <w:t>单位：万元</w:t>
            </w:r>
          </w:p>
        </w:tc>
      </w:tr>
      <w:tr w14:paraId="2687A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893DC3">
            <w:pPr>
              <w:pStyle w:val="11"/>
            </w:pPr>
            <w:r>
              <w:t>序号</w:t>
            </w:r>
          </w:p>
        </w:tc>
        <w:tc>
          <w:tcPr>
            <w:tcW w:w="4876" w:type="dxa"/>
            <w:gridSpan w:val="2"/>
            <w:vAlign w:val="center"/>
          </w:tcPr>
          <w:p w14:paraId="5FF58C7B">
            <w:pPr>
              <w:pStyle w:val="11"/>
            </w:pPr>
            <w:r>
              <w:t>收入</w:t>
            </w:r>
          </w:p>
        </w:tc>
        <w:tc>
          <w:tcPr>
            <w:tcW w:w="9298" w:type="dxa"/>
            <w:gridSpan w:val="5"/>
            <w:vAlign w:val="center"/>
          </w:tcPr>
          <w:p w14:paraId="4C539884">
            <w:pPr>
              <w:pStyle w:val="11"/>
            </w:pPr>
            <w:r>
              <w:t>支出</w:t>
            </w:r>
          </w:p>
        </w:tc>
      </w:tr>
      <w:tr w14:paraId="742F5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2FCE07"/>
        </w:tc>
        <w:tc>
          <w:tcPr>
            <w:tcW w:w="3402" w:type="dxa"/>
            <w:vAlign w:val="center"/>
          </w:tcPr>
          <w:p w14:paraId="0BC8F5DC">
            <w:pPr>
              <w:pStyle w:val="11"/>
            </w:pPr>
            <w:r>
              <w:t>项  目</w:t>
            </w:r>
          </w:p>
        </w:tc>
        <w:tc>
          <w:tcPr>
            <w:tcW w:w="1474" w:type="dxa"/>
            <w:vAlign w:val="center"/>
          </w:tcPr>
          <w:p w14:paraId="587691AE">
            <w:pPr>
              <w:pStyle w:val="11"/>
            </w:pPr>
            <w:r>
              <w:t>金额</w:t>
            </w:r>
          </w:p>
        </w:tc>
        <w:tc>
          <w:tcPr>
            <w:tcW w:w="3402" w:type="dxa"/>
            <w:vAlign w:val="center"/>
          </w:tcPr>
          <w:p w14:paraId="2164633A">
            <w:pPr>
              <w:pStyle w:val="11"/>
            </w:pPr>
            <w:r>
              <w:t>项  目</w:t>
            </w:r>
          </w:p>
        </w:tc>
        <w:tc>
          <w:tcPr>
            <w:tcW w:w="1474" w:type="dxa"/>
            <w:vAlign w:val="center"/>
          </w:tcPr>
          <w:p w14:paraId="004B8021">
            <w:pPr>
              <w:pStyle w:val="11"/>
            </w:pPr>
            <w:r>
              <w:t>合计</w:t>
            </w:r>
          </w:p>
        </w:tc>
        <w:tc>
          <w:tcPr>
            <w:tcW w:w="1474" w:type="dxa"/>
            <w:vAlign w:val="center"/>
          </w:tcPr>
          <w:p w14:paraId="6EC23D29">
            <w:pPr>
              <w:pStyle w:val="11"/>
            </w:pPr>
            <w:r>
              <w:t>一般公共预算财政拨款</w:t>
            </w:r>
          </w:p>
        </w:tc>
        <w:tc>
          <w:tcPr>
            <w:tcW w:w="1474" w:type="dxa"/>
            <w:vAlign w:val="center"/>
          </w:tcPr>
          <w:p w14:paraId="2342CAEE">
            <w:pPr>
              <w:pStyle w:val="11"/>
            </w:pPr>
            <w:r>
              <w:t>政府性基金预算财政    拨款</w:t>
            </w:r>
          </w:p>
        </w:tc>
        <w:tc>
          <w:tcPr>
            <w:tcW w:w="1474" w:type="dxa"/>
            <w:vAlign w:val="center"/>
          </w:tcPr>
          <w:p w14:paraId="285AC075">
            <w:pPr>
              <w:pStyle w:val="11"/>
            </w:pPr>
            <w:r>
              <w:t>国有资本经营预算财政拨款</w:t>
            </w:r>
          </w:p>
        </w:tc>
      </w:tr>
      <w:tr w14:paraId="3659D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F1A8C">
            <w:pPr>
              <w:pStyle w:val="11"/>
            </w:pPr>
            <w:r>
              <w:t>栏次</w:t>
            </w:r>
          </w:p>
        </w:tc>
        <w:tc>
          <w:tcPr>
            <w:tcW w:w="3402" w:type="dxa"/>
            <w:vAlign w:val="center"/>
          </w:tcPr>
          <w:p w14:paraId="47B7CC87">
            <w:pPr>
              <w:pStyle w:val="11"/>
            </w:pPr>
            <w:r>
              <w:t>1</w:t>
            </w:r>
          </w:p>
        </w:tc>
        <w:tc>
          <w:tcPr>
            <w:tcW w:w="1474" w:type="dxa"/>
            <w:vAlign w:val="center"/>
          </w:tcPr>
          <w:p w14:paraId="6F7FD685">
            <w:pPr>
              <w:pStyle w:val="11"/>
            </w:pPr>
            <w:r>
              <w:t>2</w:t>
            </w:r>
          </w:p>
        </w:tc>
        <w:tc>
          <w:tcPr>
            <w:tcW w:w="3402" w:type="dxa"/>
            <w:vAlign w:val="center"/>
          </w:tcPr>
          <w:p w14:paraId="0E8F3818">
            <w:pPr>
              <w:pStyle w:val="11"/>
            </w:pPr>
            <w:r>
              <w:t>3</w:t>
            </w:r>
          </w:p>
        </w:tc>
        <w:tc>
          <w:tcPr>
            <w:tcW w:w="1474" w:type="dxa"/>
            <w:vAlign w:val="center"/>
          </w:tcPr>
          <w:p w14:paraId="4F819D18">
            <w:pPr>
              <w:pStyle w:val="11"/>
            </w:pPr>
            <w:r>
              <w:t>4</w:t>
            </w:r>
          </w:p>
        </w:tc>
        <w:tc>
          <w:tcPr>
            <w:tcW w:w="1474" w:type="dxa"/>
            <w:vAlign w:val="center"/>
          </w:tcPr>
          <w:p w14:paraId="72E853F1">
            <w:pPr>
              <w:pStyle w:val="11"/>
            </w:pPr>
            <w:r>
              <w:t>5</w:t>
            </w:r>
          </w:p>
        </w:tc>
        <w:tc>
          <w:tcPr>
            <w:tcW w:w="1474" w:type="dxa"/>
            <w:vAlign w:val="center"/>
          </w:tcPr>
          <w:p w14:paraId="2D9B1899">
            <w:pPr>
              <w:pStyle w:val="11"/>
            </w:pPr>
            <w:r>
              <w:t>6</w:t>
            </w:r>
          </w:p>
        </w:tc>
        <w:tc>
          <w:tcPr>
            <w:tcW w:w="1474" w:type="dxa"/>
            <w:vAlign w:val="center"/>
          </w:tcPr>
          <w:p w14:paraId="14484D1B">
            <w:pPr>
              <w:pStyle w:val="11"/>
            </w:pPr>
            <w:r>
              <w:t>7</w:t>
            </w:r>
          </w:p>
        </w:tc>
      </w:tr>
      <w:tr w14:paraId="42FCD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B3E4F">
            <w:pPr>
              <w:pStyle w:val="12"/>
            </w:pPr>
            <w:r>
              <w:t>1</w:t>
            </w:r>
          </w:p>
        </w:tc>
        <w:tc>
          <w:tcPr>
            <w:tcW w:w="3402" w:type="dxa"/>
            <w:vAlign w:val="center"/>
          </w:tcPr>
          <w:p w14:paraId="0A5C11CB">
            <w:pPr>
              <w:pStyle w:val="13"/>
            </w:pPr>
            <w:r>
              <w:t>一、一般公共预算拨款</w:t>
            </w:r>
          </w:p>
        </w:tc>
        <w:tc>
          <w:tcPr>
            <w:tcW w:w="1474" w:type="dxa"/>
            <w:vAlign w:val="center"/>
          </w:tcPr>
          <w:p w14:paraId="21F91AFB">
            <w:pPr>
              <w:pStyle w:val="14"/>
            </w:pPr>
            <w:r>
              <w:t>658.33</w:t>
            </w:r>
          </w:p>
        </w:tc>
        <w:tc>
          <w:tcPr>
            <w:tcW w:w="3402" w:type="dxa"/>
            <w:vAlign w:val="center"/>
          </w:tcPr>
          <w:p w14:paraId="1FC44644">
            <w:pPr>
              <w:pStyle w:val="13"/>
            </w:pPr>
            <w:r>
              <w:t>一、一般公共服务支出</w:t>
            </w:r>
          </w:p>
        </w:tc>
        <w:tc>
          <w:tcPr>
            <w:tcW w:w="1474" w:type="dxa"/>
            <w:vAlign w:val="center"/>
          </w:tcPr>
          <w:p w14:paraId="52CD48C9">
            <w:pPr>
              <w:pStyle w:val="14"/>
            </w:pPr>
          </w:p>
        </w:tc>
        <w:tc>
          <w:tcPr>
            <w:tcW w:w="1474" w:type="dxa"/>
            <w:vAlign w:val="center"/>
          </w:tcPr>
          <w:p w14:paraId="67260D7B">
            <w:pPr>
              <w:pStyle w:val="14"/>
            </w:pPr>
          </w:p>
        </w:tc>
        <w:tc>
          <w:tcPr>
            <w:tcW w:w="1474" w:type="dxa"/>
            <w:vAlign w:val="center"/>
          </w:tcPr>
          <w:p w14:paraId="3E9FE662">
            <w:pPr>
              <w:pStyle w:val="14"/>
            </w:pPr>
          </w:p>
        </w:tc>
        <w:tc>
          <w:tcPr>
            <w:tcW w:w="1474" w:type="dxa"/>
            <w:vAlign w:val="center"/>
          </w:tcPr>
          <w:p w14:paraId="05BDC96E">
            <w:pPr>
              <w:pStyle w:val="14"/>
            </w:pPr>
          </w:p>
        </w:tc>
      </w:tr>
      <w:tr w14:paraId="33D91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746BA">
            <w:pPr>
              <w:pStyle w:val="12"/>
            </w:pPr>
            <w:r>
              <w:t>2</w:t>
            </w:r>
          </w:p>
        </w:tc>
        <w:tc>
          <w:tcPr>
            <w:tcW w:w="3402" w:type="dxa"/>
            <w:vAlign w:val="center"/>
          </w:tcPr>
          <w:p w14:paraId="17DB377F">
            <w:pPr>
              <w:pStyle w:val="13"/>
            </w:pPr>
            <w:r>
              <w:t>二、政府性基金预算拨款</w:t>
            </w:r>
          </w:p>
        </w:tc>
        <w:tc>
          <w:tcPr>
            <w:tcW w:w="1474" w:type="dxa"/>
            <w:vAlign w:val="center"/>
          </w:tcPr>
          <w:p w14:paraId="77E5FDB9">
            <w:pPr>
              <w:pStyle w:val="14"/>
            </w:pPr>
          </w:p>
        </w:tc>
        <w:tc>
          <w:tcPr>
            <w:tcW w:w="3402" w:type="dxa"/>
            <w:vAlign w:val="center"/>
          </w:tcPr>
          <w:p w14:paraId="3D09C2CF">
            <w:pPr>
              <w:pStyle w:val="13"/>
            </w:pPr>
            <w:r>
              <w:t>二、外交支出</w:t>
            </w:r>
          </w:p>
        </w:tc>
        <w:tc>
          <w:tcPr>
            <w:tcW w:w="1474" w:type="dxa"/>
            <w:vAlign w:val="center"/>
          </w:tcPr>
          <w:p w14:paraId="56E8FC34">
            <w:pPr>
              <w:pStyle w:val="14"/>
            </w:pPr>
          </w:p>
        </w:tc>
        <w:tc>
          <w:tcPr>
            <w:tcW w:w="1474" w:type="dxa"/>
            <w:vAlign w:val="center"/>
          </w:tcPr>
          <w:p w14:paraId="0182BE49">
            <w:pPr>
              <w:pStyle w:val="14"/>
            </w:pPr>
          </w:p>
        </w:tc>
        <w:tc>
          <w:tcPr>
            <w:tcW w:w="1474" w:type="dxa"/>
            <w:vAlign w:val="center"/>
          </w:tcPr>
          <w:p w14:paraId="11DDC220">
            <w:pPr>
              <w:pStyle w:val="14"/>
            </w:pPr>
          </w:p>
        </w:tc>
        <w:tc>
          <w:tcPr>
            <w:tcW w:w="1474" w:type="dxa"/>
            <w:vAlign w:val="center"/>
          </w:tcPr>
          <w:p w14:paraId="21C0C6FE">
            <w:pPr>
              <w:pStyle w:val="14"/>
            </w:pPr>
          </w:p>
        </w:tc>
      </w:tr>
      <w:tr w14:paraId="2B535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C9BACFF">
            <w:pPr>
              <w:pStyle w:val="12"/>
            </w:pPr>
            <w:r>
              <w:t>3</w:t>
            </w:r>
          </w:p>
        </w:tc>
        <w:tc>
          <w:tcPr>
            <w:tcW w:w="3402" w:type="dxa"/>
            <w:vAlign w:val="center"/>
          </w:tcPr>
          <w:p w14:paraId="5763A7FE">
            <w:pPr>
              <w:pStyle w:val="13"/>
            </w:pPr>
            <w:r>
              <w:t>三、国有资本经营预算拨款</w:t>
            </w:r>
          </w:p>
        </w:tc>
        <w:tc>
          <w:tcPr>
            <w:tcW w:w="1474" w:type="dxa"/>
            <w:vAlign w:val="center"/>
          </w:tcPr>
          <w:p w14:paraId="67E080A9">
            <w:pPr>
              <w:pStyle w:val="14"/>
            </w:pPr>
          </w:p>
        </w:tc>
        <w:tc>
          <w:tcPr>
            <w:tcW w:w="3402" w:type="dxa"/>
            <w:vAlign w:val="center"/>
          </w:tcPr>
          <w:p w14:paraId="49E1FE22">
            <w:pPr>
              <w:pStyle w:val="13"/>
            </w:pPr>
            <w:r>
              <w:t>三、国防支出</w:t>
            </w:r>
          </w:p>
        </w:tc>
        <w:tc>
          <w:tcPr>
            <w:tcW w:w="1474" w:type="dxa"/>
            <w:vAlign w:val="center"/>
          </w:tcPr>
          <w:p w14:paraId="00D03ECD">
            <w:pPr>
              <w:pStyle w:val="14"/>
            </w:pPr>
          </w:p>
        </w:tc>
        <w:tc>
          <w:tcPr>
            <w:tcW w:w="1474" w:type="dxa"/>
            <w:vAlign w:val="center"/>
          </w:tcPr>
          <w:p w14:paraId="2C95E76B">
            <w:pPr>
              <w:pStyle w:val="14"/>
            </w:pPr>
          </w:p>
        </w:tc>
        <w:tc>
          <w:tcPr>
            <w:tcW w:w="1474" w:type="dxa"/>
            <w:vAlign w:val="center"/>
          </w:tcPr>
          <w:p w14:paraId="145C1EE3">
            <w:pPr>
              <w:pStyle w:val="14"/>
            </w:pPr>
          </w:p>
        </w:tc>
        <w:tc>
          <w:tcPr>
            <w:tcW w:w="1474" w:type="dxa"/>
            <w:vAlign w:val="center"/>
          </w:tcPr>
          <w:p w14:paraId="2E6915CA">
            <w:pPr>
              <w:pStyle w:val="14"/>
            </w:pPr>
          </w:p>
        </w:tc>
      </w:tr>
      <w:tr w14:paraId="4B057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80E20A7">
            <w:pPr>
              <w:pStyle w:val="12"/>
            </w:pPr>
            <w:r>
              <w:t>4</w:t>
            </w:r>
          </w:p>
        </w:tc>
        <w:tc>
          <w:tcPr>
            <w:tcW w:w="3402" w:type="dxa"/>
            <w:vAlign w:val="center"/>
          </w:tcPr>
          <w:p w14:paraId="1D93CEE4">
            <w:pPr>
              <w:pStyle w:val="13"/>
            </w:pPr>
          </w:p>
        </w:tc>
        <w:tc>
          <w:tcPr>
            <w:tcW w:w="1474" w:type="dxa"/>
            <w:vAlign w:val="center"/>
          </w:tcPr>
          <w:p w14:paraId="0DCEB026">
            <w:pPr>
              <w:pStyle w:val="14"/>
            </w:pPr>
          </w:p>
        </w:tc>
        <w:tc>
          <w:tcPr>
            <w:tcW w:w="3402" w:type="dxa"/>
            <w:vAlign w:val="center"/>
          </w:tcPr>
          <w:p w14:paraId="7A399F6D">
            <w:pPr>
              <w:pStyle w:val="13"/>
            </w:pPr>
            <w:r>
              <w:t>四、公共安全支出</w:t>
            </w:r>
          </w:p>
        </w:tc>
        <w:tc>
          <w:tcPr>
            <w:tcW w:w="1474" w:type="dxa"/>
            <w:vAlign w:val="center"/>
          </w:tcPr>
          <w:p w14:paraId="00A1FC29">
            <w:pPr>
              <w:pStyle w:val="14"/>
            </w:pPr>
          </w:p>
        </w:tc>
        <w:tc>
          <w:tcPr>
            <w:tcW w:w="1474" w:type="dxa"/>
            <w:vAlign w:val="center"/>
          </w:tcPr>
          <w:p w14:paraId="79BB06D9">
            <w:pPr>
              <w:pStyle w:val="14"/>
            </w:pPr>
          </w:p>
        </w:tc>
        <w:tc>
          <w:tcPr>
            <w:tcW w:w="1474" w:type="dxa"/>
            <w:vAlign w:val="center"/>
          </w:tcPr>
          <w:p w14:paraId="0E162691">
            <w:pPr>
              <w:pStyle w:val="14"/>
            </w:pPr>
          </w:p>
        </w:tc>
        <w:tc>
          <w:tcPr>
            <w:tcW w:w="1474" w:type="dxa"/>
            <w:vAlign w:val="center"/>
          </w:tcPr>
          <w:p w14:paraId="65D2A277">
            <w:pPr>
              <w:pStyle w:val="14"/>
            </w:pPr>
          </w:p>
        </w:tc>
      </w:tr>
      <w:tr w14:paraId="2728B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4794F">
            <w:pPr>
              <w:pStyle w:val="12"/>
            </w:pPr>
            <w:r>
              <w:t>5</w:t>
            </w:r>
          </w:p>
        </w:tc>
        <w:tc>
          <w:tcPr>
            <w:tcW w:w="3402" w:type="dxa"/>
            <w:vAlign w:val="center"/>
          </w:tcPr>
          <w:p w14:paraId="20A86768">
            <w:pPr>
              <w:pStyle w:val="13"/>
            </w:pPr>
          </w:p>
        </w:tc>
        <w:tc>
          <w:tcPr>
            <w:tcW w:w="1474" w:type="dxa"/>
            <w:vAlign w:val="center"/>
          </w:tcPr>
          <w:p w14:paraId="47DFA31E">
            <w:pPr>
              <w:pStyle w:val="14"/>
            </w:pPr>
          </w:p>
        </w:tc>
        <w:tc>
          <w:tcPr>
            <w:tcW w:w="3402" w:type="dxa"/>
            <w:vAlign w:val="center"/>
          </w:tcPr>
          <w:p w14:paraId="35C0699F">
            <w:pPr>
              <w:pStyle w:val="13"/>
            </w:pPr>
            <w:r>
              <w:t>五、教育支出</w:t>
            </w:r>
          </w:p>
        </w:tc>
        <w:tc>
          <w:tcPr>
            <w:tcW w:w="1474" w:type="dxa"/>
            <w:vAlign w:val="center"/>
          </w:tcPr>
          <w:p w14:paraId="64FD8ABF">
            <w:pPr>
              <w:pStyle w:val="14"/>
            </w:pPr>
            <w:r>
              <w:t>658.33</w:t>
            </w:r>
          </w:p>
        </w:tc>
        <w:tc>
          <w:tcPr>
            <w:tcW w:w="1474" w:type="dxa"/>
            <w:vAlign w:val="center"/>
          </w:tcPr>
          <w:p w14:paraId="44665530">
            <w:pPr>
              <w:pStyle w:val="14"/>
            </w:pPr>
            <w:r>
              <w:t>658.33</w:t>
            </w:r>
          </w:p>
        </w:tc>
        <w:tc>
          <w:tcPr>
            <w:tcW w:w="1474" w:type="dxa"/>
            <w:vAlign w:val="center"/>
          </w:tcPr>
          <w:p w14:paraId="1328F6BE">
            <w:pPr>
              <w:pStyle w:val="14"/>
            </w:pPr>
          </w:p>
        </w:tc>
        <w:tc>
          <w:tcPr>
            <w:tcW w:w="1474" w:type="dxa"/>
            <w:vAlign w:val="center"/>
          </w:tcPr>
          <w:p w14:paraId="1A7A9098">
            <w:pPr>
              <w:pStyle w:val="14"/>
            </w:pPr>
          </w:p>
        </w:tc>
      </w:tr>
      <w:tr w14:paraId="12B7F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7DE3C">
            <w:pPr>
              <w:pStyle w:val="12"/>
            </w:pPr>
            <w:r>
              <w:t>6</w:t>
            </w:r>
          </w:p>
        </w:tc>
        <w:tc>
          <w:tcPr>
            <w:tcW w:w="3402" w:type="dxa"/>
            <w:vAlign w:val="center"/>
          </w:tcPr>
          <w:p w14:paraId="383E6F94">
            <w:pPr>
              <w:pStyle w:val="13"/>
            </w:pPr>
          </w:p>
        </w:tc>
        <w:tc>
          <w:tcPr>
            <w:tcW w:w="1474" w:type="dxa"/>
            <w:vAlign w:val="center"/>
          </w:tcPr>
          <w:p w14:paraId="1F5F11A8">
            <w:pPr>
              <w:pStyle w:val="14"/>
            </w:pPr>
          </w:p>
        </w:tc>
        <w:tc>
          <w:tcPr>
            <w:tcW w:w="3402" w:type="dxa"/>
            <w:vAlign w:val="center"/>
          </w:tcPr>
          <w:p w14:paraId="59B5BA44">
            <w:pPr>
              <w:pStyle w:val="13"/>
            </w:pPr>
            <w:r>
              <w:t>六、科学技术支出</w:t>
            </w:r>
          </w:p>
        </w:tc>
        <w:tc>
          <w:tcPr>
            <w:tcW w:w="1474" w:type="dxa"/>
            <w:vAlign w:val="center"/>
          </w:tcPr>
          <w:p w14:paraId="130237D1">
            <w:pPr>
              <w:pStyle w:val="14"/>
            </w:pPr>
          </w:p>
        </w:tc>
        <w:tc>
          <w:tcPr>
            <w:tcW w:w="1474" w:type="dxa"/>
            <w:vAlign w:val="center"/>
          </w:tcPr>
          <w:p w14:paraId="24CB4808">
            <w:pPr>
              <w:pStyle w:val="14"/>
            </w:pPr>
          </w:p>
        </w:tc>
        <w:tc>
          <w:tcPr>
            <w:tcW w:w="1474" w:type="dxa"/>
            <w:vAlign w:val="center"/>
          </w:tcPr>
          <w:p w14:paraId="595F6656">
            <w:pPr>
              <w:pStyle w:val="14"/>
            </w:pPr>
          </w:p>
        </w:tc>
        <w:tc>
          <w:tcPr>
            <w:tcW w:w="1474" w:type="dxa"/>
            <w:vAlign w:val="center"/>
          </w:tcPr>
          <w:p w14:paraId="1F31A8FD">
            <w:pPr>
              <w:pStyle w:val="14"/>
            </w:pPr>
          </w:p>
        </w:tc>
      </w:tr>
      <w:tr w14:paraId="462A9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ABA37">
            <w:pPr>
              <w:pStyle w:val="12"/>
            </w:pPr>
            <w:r>
              <w:t>7</w:t>
            </w:r>
          </w:p>
        </w:tc>
        <w:tc>
          <w:tcPr>
            <w:tcW w:w="3402" w:type="dxa"/>
            <w:vAlign w:val="center"/>
          </w:tcPr>
          <w:p w14:paraId="0816DEDD">
            <w:pPr>
              <w:pStyle w:val="13"/>
            </w:pPr>
          </w:p>
        </w:tc>
        <w:tc>
          <w:tcPr>
            <w:tcW w:w="1474" w:type="dxa"/>
            <w:vAlign w:val="center"/>
          </w:tcPr>
          <w:p w14:paraId="0E592F6B">
            <w:pPr>
              <w:pStyle w:val="14"/>
            </w:pPr>
          </w:p>
        </w:tc>
        <w:tc>
          <w:tcPr>
            <w:tcW w:w="3402" w:type="dxa"/>
            <w:vAlign w:val="center"/>
          </w:tcPr>
          <w:p w14:paraId="73994A6F">
            <w:pPr>
              <w:pStyle w:val="13"/>
            </w:pPr>
            <w:r>
              <w:t>七、文化旅游体育与传媒支出</w:t>
            </w:r>
          </w:p>
        </w:tc>
        <w:tc>
          <w:tcPr>
            <w:tcW w:w="1474" w:type="dxa"/>
            <w:vAlign w:val="center"/>
          </w:tcPr>
          <w:p w14:paraId="1D5DC5E1">
            <w:pPr>
              <w:pStyle w:val="14"/>
            </w:pPr>
          </w:p>
        </w:tc>
        <w:tc>
          <w:tcPr>
            <w:tcW w:w="1474" w:type="dxa"/>
            <w:vAlign w:val="center"/>
          </w:tcPr>
          <w:p w14:paraId="74F9BA31">
            <w:pPr>
              <w:pStyle w:val="14"/>
            </w:pPr>
          </w:p>
        </w:tc>
        <w:tc>
          <w:tcPr>
            <w:tcW w:w="1474" w:type="dxa"/>
            <w:vAlign w:val="center"/>
          </w:tcPr>
          <w:p w14:paraId="30DF29ED">
            <w:pPr>
              <w:pStyle w:val="14"/>
            </w:pPr>
          </w:p>
        </w:tc>
        <w:tc>
          <w:tcPr>
            <w:tcW w:w="1474" w:type="dxa"/>
            <w:vAlign w:val="center"/>
          </w:tcPr>
          <w:p w14:paraId="0A744FB8">
            <w:pPr>
              <w:pStyle w:val="14"/>
            </w:pPr>
          </w:p>
        </w:tc>
      </w:tr>
      <w:tr w14:paraId="1C121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74FD1">
            <w:pPr>
              <w:pStyle w:val="12"/>
            </w:pPr>
            <w:r>
              <w:t>8</w:t>
            </w:r>
          </w:p>
        </w:tc>
        <w:tc>
          <w:tcPr>
            <w:tcW w:w="3402" w:type="dxa"/>
            <w:vAlign w:val="center"/>
          </w:tcPr>
          <w:p w14:paraId="27D7995B">
            <w:pPr>
              <w:pStyle w:val="13"/>
            </w:pPr>
          </w:p>
        </w:tc>
        <w:tc>
          <w:tcPr>
            <w:tcW w:w="1474" w:type="dxa"/>
            <w:vAlign w:val="center"/>
          </w:tcPr>
          <w:p w14:paraId="1D562FCF">
            <w:pPr>
              <w:pStyle w:val="14"/>
            </w:pPr>
          </w:p>
        </w:tc>
        <w:tc>
          <w:tcPr>
            <w:tcW w:w="3402" w:type="dxa"/>
            <w:vAlign w:val="center"/>
          </w:tcPr>
          <w:p w14:paraId="0943935D">
            <w:pPr>
              <w:pStyle w:val="13"/>
            </w:pPr>
            <w:r>
              <w:t>八、社会保障和就业支出</w:t>
            </w:r>
          </w:p>
        </w:tc>
        <w:tc>
          <w:tcPr>
            <w:tcW w:w="1474" w:type="dxa"/>
            <w:vAlign w:val="center"/>
          </w:tcPr>
          <w:p w14:paraId="781C1F8D">
            <w:pPr>
              <w:pStyle w:val="14"/>
            </w:pPr>
          </w:p>
        </w:tc>
        <w:tc>
          <w:tcPr>
            <w:tcW w:w="1474" w:type="dxa"/>
            <w:vAlign w:val="center"/>
          </w:tcPr>
          <w:p w14:paraId="0A12CFB3">
            <w:pPr>
              <w:pStyle w:val="14"/>
            </w:pPr>
          </w:p>
        </w:tc>
        <w:tc>
          <w:tcPr>
            <w:tcW w:w="1474" w:type="dxa"/>
            <w:vAlign w:val="center"/>
          </w:tcPr>
          <w:p w14:paraId="75E9A2C4">
            <w:pPr>
              <w:pStyle w:val="14"/>
            </w:pPr>
          </w:p>
        </w:tc>
        <w:tc>
          <w:tcPr>
            <w:tcW w:w="1474" w:type="dxa"/>
            <w:vAlign w:val="center"/>
          </w:tcPr>
          <w:p w14:paraId="502379C4">
            <w:pPr>
              <w:pStyle w:val="14"/>
            </w:pPr>
          </w:p>
        </w:tc>
      </w:tr>
      <w:tr w14:paraId="4F5B3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559E4">
            <w:pPr>
              <w:pStyle w:val="12"/>
            </w:pPr>
            <w:r>
              <w:t>9</w:t>
            </w:r>
          </w:p>
        </w:tc>
        <w:tc>
          <w:tcPr>
            <w:tcW w:w="3402" w:type="dxa"/>
            <w:vAlign w:val="center"/>
          </w:tcPr>
          <w:p w14:paraId="5CF93323">
            <w:pPr>
              <w:pStyle w:val="13"/>
            </w:pPr>
          </w:p>
        </w:tc>
        <w:tc>
          <w:tcPr>
            <w:tcW w:w="1474" w:type="dxa"/>
            <w:vAlign w:val="center"/>
          </w:tcPr>
          <w:p w14:paraId="5B79B2B6">
            <w:pPr>
              <w:pStyle w:val="14"/>
            </w:pPr>
          </w:p>
        </w:tc>
        <w:tc>
          <w:tcPr>
            <w:tcW w:w="3402" w:type="dxa"/>
            <w:vAlign w:val="center"/>
          </w:tcPr>
          <w:p w14:paraId="6C17DC3B">
            <w:pPr>
              <w:pStyle w:val="13"/>
            </w:pPr>
            <w:r>
              <w:t>九、社会保险基金支出</w:t>
            </w:r>
          </w:p>
        </w:tc>
        <w:tc>
          <w:tcPr>
            <w:tcW w:w="1474" w:type="dxa"/>
            <w:vAlign w:val="center"/>
          </w:tcPr>
          <w:p w14:paraId="285EA8AC">
            <w:pPr>
              <w:pStyle w:val="14"/>
            </w:pPr>
          </w:p>
        </w:tc>
        <w:tc>
          <w:tcPr>
            <w:tcW w:w="1474" w:type="dxa"/>
            <w:vAlign w:val="center"/>
          </w:tcPr>
          <w:p w14:paraId="7897B592">
            <w:pPr>
              <w:pStyle w:val="14"/>
            </w:pPr>
          </w:p>
        </w:tc>
        <w:tc>
          <w:tcPr>
            <w:tcW w:w="1474" w:type="dxa"/>
            <w:vAlign w:val="center"/>
          </w:tcPr>
          <w:p w14:paraId="0B32DB77">
            <w:pPr>
              <w:pStyle w:val="14"/>
            </w:pPr>
          </w:p>
        </w:tc>
        <w:tc>
          <w:tcPr>
            <w:tcW w:w="1474" w:type="dxa"/>
            <w:vAlign w:val="center"/>
          </w:tcPr>
          <w:p w14:paraId="14019DEB">
            <w:pPr>
              <w:pStyle w:val="14"/>
            </w:pPr>
          </w:p>
        </w:tc>
      </w:tr>
      <w:tr w14:paraId="2F747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F54FC">
            <w:pPr>
              <w:pStyle w:val="12"/>
            </w:pPr>
            <w:r>
              <w:t>10</w:t>
            </w:r>
          </w:p>
        </w:tc>
        <w:tc>
          <w:tcPr>
            <w:tcW w:w="3402" w:type="dxa"/>
            <w:vAlign w:val="center"/>
          </w:tcPr>
          <w:p w14:paraId="43FE021C">
            <w:pPr>
              <w:pStyle w:val="13"/>
            </w:pPr>
          </w:p>
        </w:tc>
        <w:tc>
          <w:tcPr>
            <w:tcW w:w="1474" w:type="dxa"/>
            <w:vAlign w:val="center"/>
          </w:tcPr>
          <w:p w14:paraId="1AA297C8">
            <w:pPr>
              <w:pStyle w:val="14"/>
            </w:pPr>
          </w:p>
        </w:tc>
        <w:tc>
          <w:tcPr>
            <w:tcW w:w="3402" w:type="dxa"/>
            <w:vAlign w:val="center"/>
          </w:tcPr>
          <w:p w14:paraId="0DCABBD3">
            <w:pPr>
              <w:pStyle w:val="13"/>
            </w:pPr>
            <w:r>
              <w:t>十、卫生健康支出</w:t>
            </w:r>
          </w:p>
        </w:tc>
        <w:tc>
          <w:tcPr>
            <w:tcW w:w="1474" w:type="dxa"/>
            <w:vAlign w:val="center"/>
          </w:tcPr>
          <w:p w14:paraId="1C747F55">
            <w:pPr>
              <w:pStyle w:val="14"/>
            </w:pPr>
          </w:p>
        </w:tc>
        <w:tc>
          <w:tcPr>
            <w:tcW w:w="1474" w:type="dxa"/>
            <w:vAlign w:val="center"/>
          </w:tcPr>
          <w:p w14:paraId="6C1440A3">
            <w:pPr>
              <w:pStyle w:val="14"/>
            </w:pPr>
          </w:p>
        </w:tc>
        <w:tc>
          <w:tcPr>
            <w:tcW w:w="1474" w:type="dxa"/>
            <w:vAlign w:val="center"/>
          </w:tcPr>
          <w:p w14:paraId="10A182D1">
            <w:pPr>
              <w:pStyle w:val="14"/>
            </w:pPr>
          </w:p>
        </w:tc>
        <w:tc>
          <w:tcPr>
            <w:tcW w:w="1474" w:type="dxa"/>
            <w:vAlign w:val="center"/>
          </w:tcPr>
          <w:p w14:paraId="7229F115">
            <w:pPr>
              <w:pStyle w:val="14"/>
            </w:pPr>
          </w:p>
        </w:tc>
      </w:tr>
      <w:tr w14:paraId="2128B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0F13D">
            <w:pPr>
              <w:pStyle w:val="12"/>
            </w:pPr>
            <w:r>
              <w:t>11</w:t>
            </w:r>
          </w:p>
        </w:tc>
        <w:tc>
          <w:tcPr>
            <w:tcW w:w="3402" w:type="dxa"/>
            <w:vAlign w:val="center"/>
          </w:tcPr>
          <w:p w14:paraId="625B61AB">
            <w:pPr>
              <w:pStyle w:val="13"/>
            </w:pPr>
          </w:p>
        </w:tc>
        <w:tc>
          <w:tcPr>
            <w:tcW w:w="1474" w:type="dxa"/>
            <w:vAlign w:val="center"/>
          </w:tcPr>
          <w:p w14:paraId="63C9E915">
            <w:pPr>
              <w:pStyle w:val="14"/>
            </w:pPr>
          </w:p>
        </w:tc>
        <w:tc>
          <w:tcPr>
            <w:tcW w:w="3402" w:type="dxa"/>
            <w:vAlign w:val="center"/>
          </w:tcPr>
          <w:p w14:paraId="0D9ABDAE">
            <w:pPr>
              <w:pStyle w:val="13"/>
            </w:pPr>
            <w:r>
              <w:t>十一、节能环保支出</w:t>
            </w:r>
          </w:p>
        </w:tc>
        <w:tc>
          <w:tcPr>
            <w:tcW w:w="1474" w:type="dxa"/>
            <w:vAlign w:val="center"/>
          </w:tcPr>
          <w:p w14:paraId="492BCDDD">
            <w:pPr>
              <w:pStyle w:val="14"/>
            </w:pPr>
          </w:p>
        </w:tc>
        <w:tc>
          <w:tcPr>
            <w:tcW w:w="1474" w:type="dxa"/>
            <w:vAlign w:val="center"/>
          </w:tcPr>
          <w:p w14:paraId="49FE6F24">
            <w:pPr>
              <w:pStyle w:val="14"/>
            </w:pPr>
          </w:p>
        </w:tc>
        <w:tc>
          <w:tcPr>
            <w:tcW w:w="1474" w:type="dxa"/>
            <w:vAlign w:val="center"/>
          </w:tcPr>
          <w:p w14:paraId="613DD2EA">
            <w:pPr>
              <w:pStyle w:val="14"/>
            </w:pPr>
          </w:p>
        </w:tc>
        <w:tc>
          <w:tcPr>
            <w:tcW w:w="1474" w:type="dxa"/>
            <w:vAlign w:val="center"/>
          </w:tcPr>
          <w:p w14:paraId="03E17347">
            <w:pPr>
              <w:pStyle w:val="14"/>
            </w:pPr>
          </w:p>
        </w:tc>
      </w:tr>
      <w:tr w14:paraId="7F6B7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170FD">
            <w:pPr>
              <w:pStyle w:val="12"/>
            </w:pPr>
            <w:r>
              <w:t>12</w:t>
            </w:r>
          </w:p>
        </w:tc>
        <w:tc>
          <w:tcPr>
            <w:tcW w:w="3402" w:type="dxa"/>
            <w:vAlign w:val="center"/>
          </w:tcPr>
          <w:p w14:paraId="072DAB2E">
            <w:pPr>
              <w:pStyle w:val="13"/>
            </w:pPr>
          </w:p>
        </w:tc>
        <w:tc>
          <w:tcPr>
            <w:tcW w:w="1474" w:type="dxa"/>
            <w:vAlign w:val="center"/>
          </w:tcPr>
          <w:p w14:paraId="5D90F06C">
            <w:pPr>
              <w:pStyle w:val="14"/>
            </w:pPr>
          </w:p>
        </w:tc>
        <w:tc>
          <w:tcPr>
            <w:tcW w:w="3402" w:type="dxa"/>
            <w:vAlign w:val="center"/>
          </w:tcPr>
          <w:p w14:paraId="57700538">
            <w:pPr>
              <w:pStyle w:val="13"/>
            </w:pPr>
            <w:r>
              <w:t>十二、城乡社区支出</w:t>
            </w:r>
          </w:p>
        </w:tc>
        <w:tc>
          <w:tcPr>
            <w:tcW w:w="1474" w:type="dxa"/>
            <w:vAlign w:val="center"/>
          </w:tcPr>
          <w:p w14:paraId="3F4AEABB">
            <w:pPr>
              <w:pStyle w:val="14"/>
            </w:pPr>
          </w:p>
        </w:tc>
        <w:tc>
          <w:tcPr>
            <w:tcW w:w="1474" w:type="dxa"/>
            <w:vAlign w:val="center"/>
          </w:tcPr>
          <w:p w14:paraId="2364E042">
            <w:pPr>
              <w:pStyle w:val="14"/>
            </w:pPr>
          </w:p>
        </w:tc>
        <w:tc>
          <w:tcPr>
            <w:tcW w:w="1474" w:type="dxa"/>
            <w:vAlign w:val="center"/>
          </w:tcPr>
          <w:p w14:paraId="0C7E5062">
            <w:pPr>
              <w:pStyle w:val="14"/>
            </w:pPr>
          </w:p>
        </w:tc>
        <w:tc>
          <w:tcPr>
            <w:tcW w:w="1474" w:type="dxa"/>
            <w:vAlign w:val="center"/>
          </w:tcPr>
          <w:p w14:paraId="2EA476D6">
            <w:pPr>
              <w:pStyle w:val="14"/>
            </w:pPr>
          </w:p>
        </w:tc>
      </w:tr>
      <w:tr w14:paraId="3931F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7CEB4">
            <w:pPr>
              <w:pStyle w:val="12"/>
            </w:pPr>
            <w:r>
              <w:t>13</w:t>
            </w:r>
          </w:p>
        </w:tc>
        <w:tc>
          <w:tcPr>
            <w:tcW w:w="3402" w:type="dxa"/>
            <w:vAlign w:val="center"/>
          </w:tcPr>
          <w:p w14:paraId="1F7FC38C">
            <w:pPr>
              <w:pStyle w:val="13"/>
            </w:pPr>
          </w:p>
        </w:tc>
        <w:tc>
          <w:tcPr>
            <w:tcW w:w="1474" w:type="dxa"/>
            <w:vAlign w:val="center"/>
          </w:tcPr>
          <w:p w14:paraId="06F1EE44">
            <w:pPr>
              <w:pStyle w:val="14"/>
            </w:pPr>
          </w:p>
        </w:tc>
        <w:tc>
          <w:tcPr>
            <w:tcW w:w="3402" w:type="dxa"/>
            <w:vAlign w:val="center"/>
          </w:tcPr>
          <w:p w14:paraId="7E202350">
            <w:pPr>
              <w:pStyle w:val="13"/>
            </w:pPr>
            <w:r>
              <w:t>十三、农林水支出</w:t>
            </w:r>
          </w:p>
        </w:tc>
        <w:tc>
          <w:tcPr>
            <w:tcW w:w="1474" w:type="dxa"/>
            <w:vAlign w:val="center"/>
          </w:tcPr>
          <w:p w14:paraId="615A690B">
            <w:pPr>
              <w:pStyle w:val="14"/>
            </w:pPr>
          </w:p>
        </w:tc>
        <w:tc>
          <w:tcPr>
            <w:tcW w:w="1474" w:type="dxa"/>
            <w:vAlign w:val="center"/>
          </w:tcPr>
          <w:p w14:paraId="1E284DA8">
            <w:pPr>
              <w:pStyle w:val="14"/>
            </w:pPr>
          </w:p>
        </w:tc>
        <w:tc>
          <w:tcPr>
            <w:tcW w:w="1474" w:type="dxa"/>
            <w:vAlign w:val="center"/>
          </w:tcPr>
          <w:p w14:paraId="49074DE8">
            <w:pPr>
              <w:pStyle w:val="14"/>
            </w:pPr>
          </w:p>
        </w:tc>
        <w:tc>
          <w:tcPr>
            <w:tcW w:w="1474" w:type="dxa"/>
            <w:vAlign w:val="center"/>
          </w:tcPr>
          <w:p w14:paraId="3E6ABA3B">
            <w:pPr>
              <w:pStyle w:val="14"/>
            </w:pPr>
          </w:p>
        </w:tc>
      </w:tr>
      <w:tr w14:paraId="4EDE4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03346">
            <w:pPr>
              <w:pStyle w:val="12"/>
            </w:pPr>
            <w:r>
              <w:t>14</w:t>
            </w:r>
          </w:p>
        </w:tc>
        <w:tc>
          <w:tcPr>
            <w:tcW w:w="3402" w:type="dxa"/>
            <w:vAlign w:val="center"/>
          </w:tcPr>
          <w:p w14:paraId="6DF4B70C">
            <w:pPr>
              <w:pStyle w:val="13"/>
            </w:pPr>
          </w:p>
        </w:tc>
        <w:tc>
          <w:tcPr>
            <w:tcW w:w="1474" w:type="dxa"/>
            <w:vAlign w:val="center"/>
          </w:tcPr>
          <w:p w14:paraId="4A2473B3">
            <w:pPr>
              <w:pStyle w:val="14"/>
            </w:pPr>
          </w:p>
        </w:tc>
        <w:tc>
          <w:tcPr>
            <w:tcW w:w="3402" w:type="dxa"/>
            <w:vAlign w:val="center"/>
          </w:tcPr>
          <w:p w14:paraId="29850B79">
            <w:pPr>
              <w:pStyle w:val="13"/>
            </w:pPr>
            <w:r>
              <w:t>十四、交通运输支出</w:t>
            </w:r>
          </w:p>
        </w:tc>
        <w:tc>
          <w:tcPr>
            <w:tcW w:w="1474" w:type="dxa"/>
            <w:vAlign w:val="center"/>
          </w:tcPr>
          <w:p w14:paraId="49460324">
            <w:pPr>
              <w:pStyle w:val="14"/>
            </w:pPr>
          </w:p>
        </w:tc>
        <w:tc>
          <w:tcPr>
            <w:tcW w:w="1474" w:type="dxa"/>
            <w:vAlign w:val="center"/>
          </w:tcPr>
          <w:p w14:paraId="7221C534">
            <w:pPr>
              <w:pStyle w:val="14"/>
            </w:pPr>
          </w:p>
        </w:tc>
        <w:tc>
          <w:tcPr>
            <w:tcW w:w="1474" w:type="dxa"/>
            <w:vAlign w:val="center"/>
          </w:tcPr>
          <w:p w14:paraId="4C3F03B8">
            <w:pPr>
              <w:pStyle w:val="14"/>
            </w:pPr>
          </w:p>
        </w:tc>
        <w:tc>
          <w:tcPr>
            <w:tcW w:w="1474" w:type="dxa"/>
            <w:vAlign w:val="center"/>
          </w:tcPr>
          <w:p w14:paraId="578A9DB7">
            <w:pPr>
              <w:pStyle w:val="14"/>
            </w:pPr>
          </w:p>
        </w:tc>
      </w:tr>
      <w:tr w14:paraId="25D0F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4767E">
            <w:pPr>
              <w:pStyle w:val="12"/>
            </w:pPr>
            <w:r>
              <w:t>15</w:t>
            </w:r>
          </w:p>
        </w:tc>
        <w:tc>
          <w:tcPr>
            <w:tcW w:w="3402" w:type="dxa"/>
            <w:vAlign w:val="center"/>
          </w:tcPr>
          <w:p w14:paraId="3BA2C646">
            <w:pPr>
              <w:pStyle w:val="13"/>
            </w:pPr>
          </w:p>
        </w:tc>
        <w:tc>
          <w:tcPr>
            <w:tcW w:w="1474" w:type="dxa"/>
            <w:vAlign w:val="center"/>
          </w:tcPr>
          <w:p w14:paraId="3579331A">
            <w:pPr>
              <w:pStyle w:val="14"/>
            </w:pPr>
          </w:p>
        </w:tc>
        <w:tc>
          <w:tcPr>
            <w:tcW w:w="3402" w:type="dxa"/>
            <w:vAlign w:val="center"/>
          </w:tcPr>
          <w:p w14:paraId="7D2B88EA">
            <w:pPr>
              <w:pStyle w:val="13"/>
            </w:pPr>
            <w:r>
              <w:t>十五、资源勘探工业信息等支出</w:t>
            </w:r>
          </w:p>
        </w:tc>
        <w:tc>
          <w:tcPr>
            <w:tcW w:w="1474" w:type="dxa"/>
            <w:vAlign w:val="center"/>
          </w:tcPr>
          <w:p w14:paraId="122EA950">
            <w:pPr>
              <w:pStyle w:val="14"/>
            </w:pPr>
          </w:p>
        </w:tc>
        <w:tc>
          <w:tcPr>
            <w:tcW w:w="1474" w:type="dxa"/>
            <w:vAlign w:val="center"/>
          </w:tcPr>
          <w:p w14:paraId="5C8074F3">
            <w:pPr>
              <w:pStyle w:val="14"/>
            </w:pPr>
          </w:p>
        </w:tc>
        <w:tc>
          <w:tcPr>
            <w:tcW w:w="1474" w:type="dxa"/>
            <w:vAlign w:val="center"/>
          </w:tcPr>
          <w:p w14:paraId="7F7E5448">
            <w:pPr>
              <w:pStyle w:val="14"/>
            </w:pPr>
          </w:p>
        </w:tc>
        <w:tc>
          <w:tcPr>
            <w:tcW w:w="1474" w:type="dxa"/>
            <w:vAlign w:val="center"/>
          </w:tcPr>
          <w:p w14:paraId="3755E71A">
            <w:pPr>
              <w:pStyle w:val="14"/>
            </w:pPr>
          </w:p>
        </w:tc>
      </w:tr>
      <w:tr w14:paraId="41A2C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06C8A">
            <w:pPr>
              <w:pStyle w:val="12"/>
            </w:pPr>
            <w:r>
              <w:t>16</w:t>
            </w:r>
          </w:p>
        </w:tc>
        <w:tc>
          <w:tcPr>
            <w:tcW w:w="3402" w:type="dxa"/>
            <w:vAlign w:val="center"/>
          </w:tcPr>
          <w:p w14:paraId="247457D3">
            <w:pPr>
              <w:pStyle w:val="13"/>
            </w:pPr>
          </w:p>
        </w:tc>
        <w:tc>
          <w:tcPr>
            <w:tcW w:w="1474" w:type="dxa"/>
            <w:vAlign w:val="center"/>
          </w:tcPr>
          <w:p w14:paraId="5AA36113">
            <w:pPr>
              <w:pStyle w:val="14"/>
            </w:pPr>
          </w:p>
        </w:tc>
        <w:tc>
          <w:tcPr>
            <w:tcW w:w="3402" w:type="dxa"/>
            <w:vAlign w:val="center"/>
          </w:tcPr>
          <w:p w14:paraId="514BBB28">
            <w:pPr>
              <w:pStyle w:val="13"/>
            </w:pPr>
            <w:r>
              <w:t>十六、商业服务业等支出</w:t>
            </w:r>
          </w:p>
        </w:tc>
        <w:tc>
          <w:tcPr>
            <w:tcW w:w="1474" w:type="dxa"/>
            <w:vAlign w:val="center"/>
          </w:tcPr>
          <w:p w14:paraId="62A21CCB">
            <w:pPr>
              <w:pStyle w:val="14"/>
            </w:pPr>
          </w:p>
        </w:tc>
        <w:tc>
          <w:tcPr>
            <w:tcW w:w="1474" w:type="dxa"/>
            <w:vAlign w:val="center"/>
          </w:tcPr>
          <w:p w14:paraId="09A9F283">
            <w:pPr>
              <w:pStyle w:val="14"/>
            </w:pPr>
          </w:p>
        </w:tc>
        <w:tc>
          <w:tcPr>
            <w:tcW w:w="1474" w:type="dxa"/>
            <w:vAlign w:val="center"/>
          </w:tcPr>
          <w:p w14:paraId="298FE842">
            <w:pPr>
              <w:pStyle w:val="14"/>
            </w:pPr>
          </w:p>
        </w:tc>
        <w:tc>
          <w:tcPr>
            <w:tcW w:w="1474" w:type="dxa"/>
            <w:vAlign w:val="center"/>
          </w:tcPr>
          <w:p w14:paraId="5151C596">
            <w:pPr>
              <w:pStyle w:val="14"/>
            </w:pPr>
          </w:p>
        </w:tc>
      </w:tr>
      <w:tr w14:paraId="5E2DC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1682F">
            <w:pPr>
              <w:pStyle w:val="12"/>
            </w:pPr>
            <w:r>
              <w:t>17</w:t>
            </w:r>
          </w:p>
        </w:tc>
        <w:tc>
          <w:tcPr>
            <w:tcW w:w="3402" w:type="dxa"/>
            <w:vAlign w:val="center"/>
          </w:tcPr>
          <w:p w14:paraId="21D989E3">
            <w:pPr>
              <w:pStyle w:val="13"/>
            </w:pPr>
          </w:p>
        </w:tc>
        <w:tc>
          <w:tcPr>
            <w:tcW w:w="1474" w:type="dxa"/>
            <w:vAlign w:val="center"/>
          </w:tcPr>
          <w:p w14:paraId="2E12C0A1">
            <w:pPr>
              <w:pStyle w:val="14"/>
            </w:pPr>
          </w:p>
        </w:tc>
        <w:tc>
          <w:tcPr>
            <w:tcW w:w="3402" w:type="dxa"/>
            <w:vAlign w:val="center"/>
          </w:tcPr>
          <w:p w14:paraId="29D6F49F">
            <w:pPr>
              <w:pStyle w:val="13"/>
            </w:pPr>
            <w:r>
              <w:t>十七、金融支出</w:t>
            </w:r>
          </w:p>
        </w:tc>
        <w:tc>
          <w:tcPr>
            <w:tcW w:w="1474" w:type="dxa"/>
            <w:vAlign w:val="center"/>
          </w:tcPr>
          <w:p w14:paraId="042B13C0">
            <w:pPr>
              <w:pStyle w:val="14"/>
            </w:pPr>
          </w:p>
        </w:tc>
        <w:tc>
          <w:tcPr>
            <w:tcW w:w="1474" w:type="dxa"/>
            <w:vAlign w:val="center"/>
          </w:tcPr>
          <w:p w14:paraId="2BB58A47">
            <w:pPr>
              <w:pStyle w:val="14"/>
            </w:pPr>
          </w:p>
        </w:tc>
        <w:tc>
          <w:tcPr>
            <w:tcW w:w="1474" w:type="dxa"/>
            <w:vAlign w:val="center"/>
          </w:tcPr>
          <w:p w14:paraId="3D50AE2F">
            <w:pPr>
              <w:pStyle w:val="14"/>
            </w:pPr>
          </w:p>
        </w:tc>
        <w:tc>
          <w:tcPr>
            <w:tcW w:w="1474" w:type="dxa"/>
            <w:vAlign w:val="center"/>
          </w:tcPr>
          <w:p w14:paraId="74FF076C">
            <w:pPr>
              <w:pStyle w:val="14"/>
            </w:pPr>
          </w:p>
        </w:tc>
      </w:tr>
      <w:tr w14:paraId="5585A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C139F">
            <w:pPr>
              <w:pStyle w:val="12"/>
            </w:pPr>
            <w:r>
              <w:t>18</w:t>
            </w:r>
          </w:p>
        </w:tc>
        <w:tc>
          <w:tcPr>
            <w:tcW w:w="3402" w:type="dxa"/>
            <w:vAlign w:val="center"/>
          </w:tcPr>
          <w:p w14:paraId="2E0039FA">
            <w:pPr>
              <w:pStyle w:val="13"/>
            </w:pPr>
          </w:p>
        </w:tc>
        <w:tc>
          <w:tcPr>
            <w:tcW w:w="1474" w:type="dxa"/>
            <w:vAlign w:val="center"/>
          </w:tcPr>
          <w:p w14:paraId="067BBA99">
            <w:pPr>
              <w:pStyle w:val="14"/>
            </w:pPr>
          </w:p>
        </w:tc>
        <w:tc>
          <w:tcPr>
            <w:tcW w:w="3402" w:type="dxa"/>
            <w:vAlign w:val="center"/>
          </w:tcPr>
          <w:p w14:paraId="6E12E3C1">
            <w:pPr>
              <w:pStyle w:val="13"/>
            </w:pPr>
            <w:r>
              <w:t>十八、援助其他地区支出</w:t>
            </w:r>
          </w:p>
        </w:tc>
        <w:tc>
          <w:tcPr>
            <w:tcW w:w="1474" w:type="dxa"/>
            <w:vAlign w:val="center"/>
          </w:tcPr>
          <w:p w14:paraId="1A5D69A6">
            <w:pPr>
              <w:pStyle w:val="14"/>
            </w:pPr>
          </w:p>
        </w:tc>
        <w:tc>
          <w:tcPr>
            <w:tcW w:w="1474" w:type="dxa"/>
            <w:vAlign w:val="center"/>
          </w:tcPr>
          <w:p w14:paraId="39B61801">
            <w:pPr>
              <w:pStyle w:val="14"/>
            </w:pPr>
          </w:p>
        </w:tc>
        <w:tc>
          <w:tcPr>
            <w:tcW w:w="1474" w:type="dxa"/>
            <w:vAlign w:val="center"/>
          </w:tcPr>
          <w:p w14:paraId="3A2EA100">
            <w:pPr>
              <w:pStyle w:val="14"/>
            </w:pPr>
          </w:p>
        </w:tc>
        <w:tc>
          <w:tcPr>
            <w:tcW w:w="1474" w:type="dxa"/>
            <w:vAlign w:val="center"/>
          </w:tcPr>
          <w:p w14:paraId="194E28EF">
            <w:pPr>
              <w:pStyle w:val="14"/>
            </w:pPr>
          </w:p>
        </w:tc>
      </w:tr>
      <w:tr w14:paraId="43C75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29E93">
            <w:pPr>
              <w:pStyle w:val="12"/>
            </w:pPr>
            <w:r>
              <w:t>19</w:t>
            </w:r>
          </w:p>
        </w:tc>
        <w:tc>
          <w:tcPr>
            <w:tcW w:w="3402" w:type="dxa"/>
            <w:vAlign w:val="center"/>
          </w:tcPr>
          <w:p w14:paraId="6406A53E">
            <w:pPr>
              <w:pStyle w:val="13"/>
            </w:pPr>
          </w:p>
        </w:tc>
        <w:tc>
          <w:tcPr>
            <w:tcW w:w="1474" w:type="dxa"/>
            <w:vAlign w:val="center"/>
          </w:tcPr>
          <w:p w14:paraId="5BC4C32B">
            <w:pPr>
              <w:pStyle w:val="14"/>
            </w:pPr>
          </w:p>
        </w:tc>
        <w:tc>
          <w:tcPr>
            <w:tcW w:w="3402" w:type="dxa"/>
            <w:vAlign w:val="center"/>
          </w:tcPr>
          <w:p w14:paraId="38F3CE61">
            <w:pPr>
              <w:pStyle w:val="13"/>
            </w:pPr>
            <w:r>
              <w:t>十九、自然资源海洋气象等支出</w:t>
            </w:r>
          </w:p>
        </w:tc>
        <w:tc>
          <w:tcPr>
            <w:tcW w:w="1474" w:type="dxa"/>
            <w:vAlign w:val="center"/>
          </w:tcPr>
          <w:p w14:paraId="28DF6615">
            <w:pPr>
              <w:pStyle w:val="14"/>
            </w:pPr>
          </w:p>
        </w:tc>
        <w:tc>
          <w:tcPr>
            <w:tcW w:w="1474" w:type="dxa"/>
            <w:vAlign w:val="center"/>
          </w:tcPr>
          <w:p w14:paraId="63F3B555">
            <w:pPr>
              <w:pStyle w:val="14"/>
            </w:pPr>
          </w:p>
        </w:tc>
        <w:tc>
          <w:tcPr>
            <w:tcW w:w="1474" w:type="dxa"/>
            <w:vAlign w:val="center"/>
          </w:tcPr>
          <w:p w14:paraId="17271785">
            <w:pPr>
              <w:pStyle w:val="14"/>
            </w:pPr>
          </w:p>
        </w:tc>
        <w:tc>
          <w:tcPr>
            <w:tcW w:w="1474" w:type="dxa"/>
            <w:vAlign w:val="center"/>
          </w:tcPr>
          <w:p w14:paraId="655ACB36">
            <w:pPr>
              <w:pStyle w:val="14"/>
            </w:pPr>
          </w:p>
        </w:tc>
      </w:tr>
      <w:tr w14:paraId="47BCD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529EF">
            <w:pPr>
              <w:pStyle w:val="12"/>
            </w:pPr>
            <w:r>
              <w:t>20</w:t>
            </w:r>
          </w:p>
        </w:tc>
        <w:tc>
          <w:tcPr>
            <w:tcW w:w="3402" w:type="dxa"/>
            <w:vAlign w:val="center"/>
          </w:tcPr>
          <w:p w14:paraId="349165CB">
            <w:pPr>
              <w:pStyle w:val="13"/>
            </w:pPr>
          </w:p>
        </w:tc>
        <w:tc>
          <w:tcPr>
            <w:tcW w:w="1474" w:type="dxa"/>
            <w:vAlign w:val="center"/>
          </w:tcPr>
          <w:p w14:paraId="1AE4B0CF">
            <w:pPr>
              <w:pStyle w:val="14"/>
            </w:pPr>
          </w:p>
        </w:tc>
        <w:tc>
          <w:tcPr>
            <w:tcW w:w="3402" w:type="dxa"/>
            <w:vAlign w:val="center"/>
          </w:tcPr>
          <w:p w14:paraId="4D132FE3">
            <w:pPr>
              <w:pStyle w:val="13"/>
            </w:pPr>
            <w:r>
              <w:t>二十、住房保障支出</w:t>
            </w:r>
          </w:p>
        </w:tc>
        <w:tc>
          <w:tcPr>
            <w:tcW w:w="1474" w:type="dxa"/>
            <w:vAlign w:val="center"/>
          </w:tcPr>
          <w:p w14:paraId="7AE1DB3F">
            <w:pPr>
              <w:pStyle w:val="14"/>
            </w:pPr>
          </w:p>
        </w:tc>
        <w:tc>
          <w:tcPr>
            <w:tcW w:w="1474" w:type="dxa"/>
            <w:vAlign w:val="center"/>
          </w:tcPr>
          <w:p w14:paraId="01CECE5C">
            <w:pPr>
              <w:pStyle w:val="14"/>
            </w:pPr>
          </w:p>
        </w:tc>
        <w:tc>
          <w:tcPr>
            <w:tcW w:w="1474" w:type="dxa"/>
            <w:vAlign w:val="center"/>
          </w:tcPr>
          <w:p w14:paraId="4CBE4105">
            <w:pPr>
              <w:pStyle w:val="14"/>
            </w:pPr>
          </w:p>
        </w:tc>
        <w:tc>
          <w:tcPr>
            <w:tcW w:w="1474" w:type="dxa"/>
            <w:vAlign w:val="center"/>
          </w:tcPr>
          <w:p w14:paraId="1C8D3834">
            <w:pPr>
              <w:pStyle w:val="14"/>
            </w:pPr>
          </w:p>
        </w:tc>
      </w:tr>
      <w:tr w14:paraId="1ADF3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02935">
            <w:pPr>
              <w:pStyle w:val="12"/>
            </w:pPr>
            <w:r>
              <w:t>21</w:t>
            </w:r>
          </w:p>
        </w:tc>
        <w:tc>
          <w:tcPr>
            <w:tcW w:w="3402" w:type="dxa"/>
            <w:vAlign w:val="center"/>
          </w:tcPr>
          <w:p w14:paraId="310FA90E">
            <w:pPr>
              <w:pStyle w:val="13"/>
            </w:pPr>
          </w:p>
        </w:tc>
        <w:tc>
          <w:tcPr>
            <w:tcW w:w="1474" w:type="dxa"/>
            <w:vAlign w:val="center"/>
          </w:tcPr>
          <w:p w14:paraId="72A3BF83">
            <w:pPr>
              <w:pStyle w:val="14"/>
            </w:pPr>
          </w:p>
        </w:tc>
        <w:tc>
          <w:tcPr>
            <w:tcW w:w="3402" w:type="dxa"/>
            <w:vAlign w:val="center"/>
          </w:tcPr>
          <w:p w14:paraId="52F312C0">
            <w:pPr>
              <w:pStyle w:val="13"/>
            </w:pPr>
            <w:r>
              <w:t>二十一、粮油物资储备支出</w:t>
            </w:r>
          </w:p>
        </w:tc>
        <w:tc>
          <w:tcPr>
            <w:tcW w:w="1474" w:type="dxa"/>
            <w:vAlign w:val="center"/>
          </w:tcPr>
          <w:p w14:paraId="43F9C004">
            <w:pPr>
              <w:pStyle w:val="14"/>
            </w:pPr>
          </w:p>
        </w:tc>
        <w:tc>
          <w:tcPr>
            <w:tcW w:w="1474" w:type="dxa"/>
            <w:vAlign w:val="center"/>
          </w:tcPr>
          <w:p w14:paraId="62089FB5">
            <w:pPr>
              <w:pStyle w:val="14"/>
            </w:pPr>
          </w:p>
        </w:tc>
        <w:tc>
          <w:tcPr>
            <w:tcW w:w="1474" w:type="dxa"/>
            <w:vAlign w:val="center"/>
          </w:tcPr>
          <w:p w14:paraId="08F7605C">
            <w:pPr>
              <w:pStyle w:val="14"/>
            </w:pPr>
          </w:p>
        </w:tc>
        <w:tc>
          <w:tcPr>
            <w:tcW w:w="1474" w:type="dxa"/>
            <w:vAlign w:val="center"/>
          </w:tcPr>
          <w:p w14:paraId="7FA56CCD">
            <w:pPr>
              <w:pStyle w:val="14"/>
            </w:pPr>
          </w:p>
        </w:tc>
      </w:tr>
      <w:tr w14:paraId="69612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82F3A">
            <w:pPr>
              <w:pStyle w:val="12"/>
            </w:pPr>
            <w:r>
              <w:t>22</w:t>
            </w:r>
          </w:p>
        </w:tc>
        <w:tc>
          <w:tcPr>
            <w:tcW w:w="3402" w:type="dxa"/>
            <w:vAlign w:val="center"/>
          </w:tcPr>
          <w:p w14:paraId="38329351">
            <w:pPr>
              <w:pStyle w:val="13"/>
            </w:pPr>
          </w:p>
        </w:tc>
        <w:tc>
          <w:tcPr>
            <w:tcW w:w="1474" w:type="dxa"/>
            <w:vAlign w:val="center"/>
          </w:tcPr>
          <w:p w14:paraId="0B502174">
            <w:pPr>
              <w:pStyle w:val="14"/>
            </w:pPr>
          </w:p>
        </w:tc>
        <w:tc>
          <w:tcPr>
            <w:tcW w:w="3402" w:type="dxa"/>
            <w:vAlign w:val="center"/>
          </w:tcPr>
          <w:p w14:paraId="4E7FCE6C">
            <w:pPr>
              <w:pStyle w:val="13"/>
            </w:pPr>
            <w:r>
              <w:t>二十二、国有资本经营预算支出</w:t>
            </w:r>
          </w:p>
        </w:tc>
        <w:tc>
          <w:tcPr>
            <w:tcW w:w="1474" w:type="dxa"/>
            <w:vAlign w:val="center"/>
          </w:tcPr>
          <w:p w14:paraId="149A45BF">
            <w:pPr>
              <w:pStyle w:val="14"/>
            </w:pPr>
          </w:p>
        </w:tc>
        <w:tc>
          <w:tcPr>
            <w:tcW w:w="1474" w:type="dxa"/>
            <w:vAlign w:val="center"/>
          </w:tcPr>
          <w:p w14:paraId="14F448BF">
            <w:pPr>
              <w:pStyle w:val="14"/>
            </w:pPr>
          </w:p>
        </w:tc>
        <w:tc>
          <w:tcPr>
            <w:tcW w:w="1474" w:type="dxa"/>
            <w:vAlign w:val="center"/>
          </w:tcPr>
          <w:p w14:paraId="08E8BCBC">
            <w:pPr>
              <w:pStyle w:val="14"/>
            </w:pPr>
          </w:p>
        </w:tc>
        <w:tc>
          <w:tcPr>
            <w:tcW w:w="1474" w:type="dxa"/>
            <w:vAlign w:val="center"/>
          </w:tcPr>
          <w:p w14:paraId="2F32D5C4">
            <w:pPr>
              <w:pStyle w:val="14"/>
            </w:pPr>
          </w:p>
        </w:tc>
      </w:tr>
      <w:tr w14:paraId="78C31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9C62C">
            <w:pPr>
              <w:pStyle w:val="12"/>
            </w:pPr>
            <w:r>
              <w:t>23</w:t>
            </w:r>
          </w:p>
        </w:tc>
        <w:tc>
          <w:tcPr>
            <w:tcW w:w="3402" w:type="dxa"/>
            <w:vAlign w:val="center"/>
          </w:tcPr>
          <w:p w14:paraId="2AD9812C">
            <w:pPr>
              <w:pStyle w:val="13"/>
            </w:pPr>
          </w:p>
        </w:tc>
        <w:tc>
          <w:tcPr>
            <w:tcW w:w="1474" w:type="dxa"/>
            <w:vAlign w:val="center"/>
          </w:tcPr>
          <w:p w14:paraId="392BE166">
            <w:pPr>
              <w:pStyle w:val="14"/>
            </w:pPr>
          </w:p>
        </w:tc>
        <w:tc>
          <w:tcPr>
            <w:tcW w:w="3402" w:type="dxa"/>
            <w:vAlign w:val="center"/>
          </w:tcPr>
          <w:p w14:paraId="2E3EE351">
            <w:pPr>
              <w:pStyle w:val="13"/>
            </w:pPr>
            <w:r>
              <w:t>二十三、灾害防治及应急管理支出</w:t>
            </w:r>
          </w:p>
        </w:tc>
        <w:tc>
          <w:tcPr>
            <w:tcW w:w="1474" w:type="dxa"/>
            <w:vAlign w:val="center"/>
          </w:tcPr>
          <w:p w14:paraId="6DDCFDAD">
            <w:pPr>
              <w:pStyle w:val="14"/>
            </w:pPr>
          </w:p>
        </w:tc>
        <w:tc>
          <w:tcPr>
            <w:tcW w:w="1474" w:type="dxa"/>
            <w:vAlign w:val="center"/>
          </w:tcPr>
          <w:p w14:paraId="32D40D7F">
            <w:pPr>
              <w:pStyle w:val="14"/>
            </w:pPr>
          </w:p>
        </w:tc>
        <w:tc>
          <w:tcPr>
            <w:tcW w:w="1474" w:type="dxa"/>
            <w:vAlign w:val="center"/>
          </w:tcPr>
          <w:p w14:paraId="4107D836">
            <w:pPr>
              <w:pStyle w:val="14"/>
            </w:pPr>
          </w:p>
        </w:tc>
        <w:tc>
          <w:tcPr>
            <w:tcW w:w="1474" w:type="dxa"/>
            <w:vAlign w:val="center"/>
          </w:tcPr>
          <w:p w14:paraId="553F51D5">
            <w:pPr>
              <w:pStyle w:val="14"/>
            </w:pPr>
          </w:p>
        </w:tc>
      </w:tr>
      <w:tr w14:paraId="326FD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66EAB">
            <w:pPr>
              <w:pStyle w:val="12"/>
            </w:pPr>
            <w:r>
              <w:t>24</w:t>
            </w:r>
          </w:p>
        </w:tc>
        <w:tc>
          <w:tcPr>
            <w:tcW w:w="3402" w:type="dxa"/>
            <w:vAlign w:val="center"/>
          </w:tcPr>
          <w:p w14:paraId="37CEB72A">
            <w:pPr>
              <w:pStyle w:val="13"/>
            </w:pPr>
          </w:p>
        </w:tc>
        <w:tc>
          <w:tcPr>
            <w:tcW w:w="1474" w:type="dxa"/>
            <w:vAlign w:val="center"/>
          </w:tcPr>
          <w:p w14:paraId="684DFED2">
            <w:pPr>
              <w:pStyle w:val="14"/>
            </w:pPr>
          </w:p>
        </w:tc>
        <w:tc>
          <w:tcPr>
            <w:tcW w:w="3402" w:type="dxa"/>
            <w:vAlign w:val="center"/>
          </w:tcPr>
          <w:p w14:paraId="59752B56">
            <w:pPr>
              <w:pStyle w:val="13"/>
            </w:pPr>
            <w:r>
              <w:t>二十四、预备费</w:t>
            </w:r>
          </w:p>
        </w:tc>
        <w:tc>
          <w:tcPr>
            <w:tcW w:w="1474" w:type="dxa"/>
            <w:vAlign w:val="center"/>
          </w:tcPr>
          <w:p w14:paraId="30C56FC1">
            <w:pPr>
              <w:pStyle w:val="14"/>
            </w:pPr>
          </w:p>
        </w:tc>
        <w:tc>
          <w:tcPr>
            <w:tcW w:w="1474" w:type="dxa"/>
            <w:vAlign w:val="center"/>
          </w:tcPr>
          <w:p w14:paraId="0BBE6350">
            <w:pPr>
              <w:pStyle w:val="14"/>
            </w:pPr>
          </w:p>
        </w:tc>
        <w:tc>
          <w:tcPr>
            <w:tcW w:w="1474" w:type="dxa"/>
            <w:vAlign w:val="center"/>
          </w:tcPr>
          <w:p w14:paraId="5355A30B">
            <w:pPr>
              <w:pStyle w:val="14"/>
            </w:pPr>
          </w:p>
        </w:tc>
        <w:tc>
          <w:tcPr>
            <w:tcW w:w="1474" w:type="dxa"/>
            <w:vAlign w:val="center"/>
          </w:tcPr>
          <w:p w14:paraId="339185F9">
            <w:pPr>
              <w:pStyle w:val="14"/>
            </w:pPr>
          </w:p>
        </w:tc>
      </w:tr>
      <w:tr w14:paraId="5EB9E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89607">
            <w:pPr>
              <w:pStyle w:val="12"/>
            </w:pPr>
            <w:r>
              <w:t>25</w:t>
            </w:r>
          </w:p>
        </w:tc>
        <w:tc>
          <w:tcPr>
            <w:tcW w:w="3402" w:type="dxa"/>
            <w:vAlign w:val="center"/>
          </w:tcPr>
          <w:p w14:paraId="60F42F17">
            <w:pPr>
              <w:pStyle w:val="13"/>
            </w:pPr>
          </w:p>
        </w:tc>
        <w:tc>
          <w:tcPr>
            <w:tcW w:w="1474" w:type="dxa"/>
            <w:vAlign w:val="center"/>
          </w:tcPr>
          <w:p w14:paraId="7E3C4802">
            <w:pPr>
              <w:pStyle w:val="14"/>
            </w:pPr>
          </w:p>
        </w:tc>
        <w:tc>
          <w:tcPr>
            <w:tcW w:w="3402" w:type="dxa"/>
            <w:vAlign w:val="center"/>
          </w:tcPr>
          <w:p w14:paraId="1CA37F06">
            <w:pPr>
              <w:pStyle w:val="13"/>
            </w:pPr>
            <w:r>
              <w:t>二十五、其他支出</w:t>
            </w:r>
          </w:p>
        </w:tc>
        <w:tc>
          <w:tcPr>
            <w:tcW w:w="1474" w:type="dxa"/>
            <w:vAlign w:val="center"/>
          </w:tcPr>
          <w:p w14:paraId="056BC7AB">
            <w:pPr>
              <w:pStyle w:val="14"/>
            </w:pPr>
          </w:p>
        </w:tc>
        <w:tc>
          <w:tcPr>
            <w:tcW w:w="1474" w:type="dxa"/>
            <w:vAlign w:val="center"/>
          </w:tcPr>
          <w:p w14:paraId="4FD28ECF">
            <w:pPr>
              <w:pStyle w:val="14"/>
            </w:pPr>
          </w:p>
        </w:tc>
        <w:tc>
          <w:tcPr>
            <w:tcW w:w="1474" w:type="dxa"/>
            <w:vAlign w:val="center"/>
          </w:tcPr>
          <w:p w14:paraId="1DBD85FA">
            <w:pPr>
              <w:pStyle w:val="14"/>
            </w:pPr>
          </w:p>
        </w:tc>
        <w:tc>
          <w:tcPr>
            <w:tcW w:w="1474" w:type="dxa"/>
            <w:vAlign w:val="center"/>
          </w:tcPr>
          <w:p w14:paraId="386E5060">
            <w:pPr>
              <w:pStyle w:val="14"/>
            </w:pPr>
          </w:p>
        </w:tc>
      </w:tr>
      <w:tr w14:paraId="651B4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BAFD0">
            <w:pPr>
              <w:pStyle w:val="12"/>
            </w:pPr>
            <w:r>
              <w:t>26</w:t>
            </w:r>
          </w:p>
        </w:tc>
        <w:tc>
          <w:tcPr>
            <w:tcW w:w="3402" w:type="dxa"/>
            <w:vAlign w:val="center"/>
          </w:tcPr>
          <w:p w14:paraId="43A5D93D">
            <w:pPr>
              <w:pStyle w:val="13"/>
            </w:pPr>
          </w:p>
        </w:tc>
        <w:tc>
          <w:tcPr>
            <w:tcW w:w="1474" w:type="dxa"/>
            <w:vAlign w:val="center"/>
          </w:tcPr>
          <w:p w14:paraId="410FD493">
            <w:pPr>
              <w:pStyle w:val="14"/>
            </w:pPr>
          </w:p>
        </w:tc>
        <w:tc>
          <w:tcPr>
            <w:tcW w:w="3402" w:type="dxa"/>
            <w:vAlign w:val="center"/>
          </w:tcPr>
          <w:p w14:paraId="6375AC19">
            <w:pPr>
              <w:pStyle w:val="13"/>
            </w:pPr>
            <w:r>
              <w:t>二十六、转移性支出</w:t>
            </w:r>
          </w:p>
        </w:tc>
        <w:tc>
          <w:tcPr>
            <w:tcW w:w="1474" w:type="dxa"/>
            <w:vAlign w:val="center"/>
          </w:tcPr>
          <w:p w14:paraId="58E6420E">
            <w:pPr>
              <w:pStyle w:val="14"/>
            </w:pPr>
          </w:p>
        </w:tc>
        <w:tc>
          <w:tcPr>
            <w:tcW w:w="1474" w:type="dxa"/>
            <w:vAlign w:val="center"/>
          </w:tcPr>
          <w:p w14:paraId="57480B15">
            <w:pPr>
              <w:pStyle w:val="14"/>
            </w:pPr>
          </w:p>
        </w:tc>
        <w:tc>
          <w:tcPr>
            <w:tcW w:w="1474" w:type="dxa"/>
            <w:vAlign w:val="center"/>
          </w:tcPr>
          <w:p w14:paraId="78080ADD">
            <w:pPr>
              <w:pStyle w:val="14"/>
            </w:pPr>
          </w:p>
        </w:tc>
        <w:tc>
          <w:tcPr>
            <w:tcW w:w="1474" w:type="dxa"/>
            <w:vAlign w:val="center"/>
          </w:tcPr>
          <w:p w14:paraId="7A4CD7B4">
            <w:pPr>
              <w:pStyle w:val="14"/>
            </w:pPr>
          </w:p>
        </w:tc>
      </w:tr>
      <w:tr w14:paraId="544F0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B31CF">
            <w:pPr>
              <w:pStyle w:val="12"/>
            </w:pPr>
            <w:r>
              <w:t>27</w:t>
            </w:r>
          </w:p>
        </w:tc>
        <w:tc>
          <w:tcPr>
            <w:tcW w:w="3402" w:type="dxa"/>
            <w:vAlign w:val="center"/>
          </w:tcPr>
          <w:p w14:paraId="0137F957">
            <w:pPr>
              <w:pStyle w:val="13"/>
            </w:pPr>
          </w:p>
        </w:tc>
        <w:tc>
          <w:tcPr>
            <w:tcW w:w="1474" w:type="dxa"/>
            <w:vAlign w:val="center"/>
          </w:tcPr>
          <w:p w14:paraId="2CFDDB89">
            <w:pPr>
              <w:pStyle w:val="14"/>
            </w:pPr>
          </w:p>
        </w:tc>
        <w:tc>
          <w:tcPr>
            <w:tcW w:w="3402" w:type="dxa"/>
            <w:vAlign w:val="center"/>
          </w:tcPr>
          <w:p w14:paraId="6BDC31A9">
            <w:pPr>
              <w:pStyle w:val="13"/>
            </w:pPr>
            <w:r>
              <w:t>二十七、债务还本支出</w:t>
            </w:r>
          </w:p>
        </w:tc>
        <w:tc>
          <w:tcPr>
            <w:tcW w:w="1474" w:type="dxa"/>
            <w:vAlign w:val="center"/>
          </w:tcPr>
          <w:p w14:paraId="27986A8C">
            <w:pPr>
              <w:pStyle w:val="14"/>
            </w:pPr>
          </w:p>
        </w:tc>
        <w:tc>
          <w:tcPr>
            <w:tcW w:w="1474" w:type="dxa"/>
            <w:vAlign w:val="center"/>
          </w:tcPr>
          <w:p w14:paraId="0680E369">
            <w:pPr>
              <w:pStyle w:val="14"/>
            </w:pPr>
          </w:p>
        </w:tc>
        <w:tc>
          <w:tcPr>
            <w:tcW w:w="1474" w:type="dxa"/>
            <w:vAlign w:val="center"/>
          </w:tcPr>
          <w:p w14:paraId="44A57BF3">
            <w:pPr>
              <w:pStyle w:val="14"/>
            </w:pPr>
          </w:p>
        </w:tc>
        <w:tc>
          <w:tcPr>
            <w:tcW w:w="1474" w:type="dxa"/>
            <w:vAlign w:val="center"/>
          </w:tcPr>
          <w:p w14:paraId="366663D9">
            <w:pPr>
              <w:pStyle w:val="14"/>
            </w:pPr>
          </w:p>
        </w:tc>
      </w:tr>
      <w:tr w14:paraId="3EB2C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38D8C">
            <w:pPr>
              <w:pStyle w:val="12"/>
            </w:pPr>
            <w:r>
              <w:t>28</w:t>
            </w:r>
          </w:p>
        </w:tc>
        <w:tc>
          <w:tcPr>
            <w:tcW w:w="3402" w:type="dxa"/>
            <w:vAlign w:val="center"/>
          </w:tcPr>
          <w:p w14:paraId="7654BBD2">
            <w:pPr>
              <w:pStyle w:val="13"/>
            </w:pPr>
          </w:p>
        </w:tc>
        <w:tc>
          <w:tcPr>
            <w:tcW w:w="1474" w:type="dxa"/>
            <w:vAlign w:val="center"/>
          </w:tcPr>
          <w:p w14:paraId="7DDBF6EF">
            <w:pPr>
              <w:pStyle w:val="14"/>
            </w:pPr>
          </w:p>
        </w:tc>
        <w:tc>
          <w:tcPr>
            <w:tcW w:w="3402" w:type="dxa"/>
            <w:vAlign w:val="center"/>
          </w:tcPr>
          <w:p w14:paraId="21FA1C30">
            <w:pPr>
              <w:pStyle w:val="13"/>
            </w:pPr>
            <w:r>
              <w:t>二十八、债务付息支出</w:t>
            </w:r>
          </w:p>
        </w:tc>
        <w:tc>
          <w:tcPr>
            <w:tcW w:w="1474" w:type="dxa"/>
            <w:vAlign w:val="center"/>
          </w:tcPr>
          <w:p w14:paraId="0C33FBD9">
            <w:pPr>
              <w:pStyle w:val="14"/>
            </w:pPr>
          </w:p>
        </w:tc>
        <w:tc>
          <w:tcPr>
            <w:tcW w:w="1474" w:type="dxa"/>
            <w:vAlign w:val="center"/>
          </w:tcPr>
          <w:p w14:paraId="32C0CED5">
            <w:pPr>
              <w:pStyle w:val="14"/>
            </w:pPr>
          </w:p>
        </w:tc>
        <w:tc>
          <w:tcPr>
            <w:tcW w:w="1474" w:type="dxa"/>
            <w:vAlign w:val="center"/>
          </w:tcPr>
          <w:p w14:paraId="12B6B54C">
            <w:pPr>
              <w:pStyle w:val="14"/>
            </w:pPr>
          </w:p>
        </w:tc>
        <w:tc>
          <w:tcPr>
            <w:tcW w:w="1474" w:type="dxa"/>
            <w:vAlign w:val="center"/>
          </w:tcPr>
          <w:p w14:paraId="210213D4">
            <w:pPr>
              <w:pStyle w:val="14"/>
            </w:pPr>
          </w:p>
        </w:tc>
      </w:tr>
      <w:tr w14:paraId="05212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E908D">
            <w:pPr>
              <w:pStyle w:val="12"/>
            </w:pPr>
            <w:r>
              <w:t>29</w:t>
            </w:r>
          </w:p>
        </w:tc>
        <w:tc>
          <w:tcPr>
            <w:tcW w:w="3402" w:type="dxa"/>
            <w:vAlign w:val="center"/>
          </w:tcPr>
          <w:p w14:paraId="719FD74A">
            <w:pPr>
              <w:pStyle w:val="13"/>
            </w:pPr>
          </w:p>
        </w:tc>
        <w:tc>
          <w:tcPr>
            <w:tcW w:w="1474" w:type="dxa"/>
            <w:vAlign w:val="center"/>
          </w:tcPr>
          <w:p w14:paraId="5BDF849B">
            <w:pPr>
              <w:pStyle w:val="14"/>
            </w:pPr>
          </w:p>
        </w:tc>
        <w:tc>
          <w:tcPr>
            <w:tcW w:w="3402" w:type="dxa"/>
            <w:vAlign w:val="center"/>
          </w:tcPr>
          <w:p w14:paraId="0752E669">
            <w:pPr>
              <w:pStyle w:val="13"/>
            </w:pPr>
            <w:r>
              <w:t>二十九、债务发行费用支出</w:t>
            </w:r>
          </w:p>
        </w:tc>
        <w:tc>
          <w:tcPr>
            <w:tcW w:w="1474" w:type="dxa"/>
            <w:vAlign w:val="center"/>
          </w:tcPr>
          <w:p w14:paraId="659CCB0A">
            <w:pPr>
              <w:pStyle w:val="14"/>
            </w:pPr>
          </w:p>
        </w:tc>
        <w:tc>
          <w:tcPr>
            <w:tcW w:w="1474" w:type="dxa"/>
            <w:vAlign w:val="center"/>
          </w:tcPr>
          <w:p w14:paraId="06A41AA8">
            <w:pPr>
              <w:pStyle w:val="14"/>
            </w:pPr>
          </w:p>
        </w:tc>
        <w:tc>
          <w:tcPr>
            <w:tcW w:w="1474" w:type="dxa"/>
            <w:vAlign w:val="center"/>
          </w:tcPr>
          <w:p w14:paraId="12D76C45">
            <w:pPr>
              <w:pStyle w:val="14"/>
            </w:pPr>
          </w:p>
        </w:tc>
        <w:tc>
          <w:tcPr>
            <w:tcW w:w="1474" w:type="dxa"/>
            <w:vAlign w:val="center"/>
          </w:tcPr>
          <w:p w14:paraId="44BFA81A">
            <w:pPr>
              <w:pStyle w:val="14"/>
            </w:pPr>
          </w:p>
        </w:tc>
      </w:tr>
      <w:tr w14:paraId="2DF91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03655">
            <w:pPr>
              <w:pStyle w:val="12"/>
            </w:pPr>
            <w:r>
              <w:t>30</w:t>
            </w:r>
          </w:p>
        </w:tc>
        <w:tc>
          <w:tcPr>
            <w:tcW w:w="3402" w:type="dxa"/>
            <w:vAlign w:val="center"/>
          </w:tcPr>
          <w:p w14:paraId="09AC77CF">
            <w:pPr>
              <w:pStyle w:val="13"/>
            </w:pPr>
          </w:p>
        </w:tc>
        <w:tc>
          <w:tcPr>
            <w:tcW w:w="1474" w:type="dxa"/>
            <w:vAlign w:val="center"/>
          </w:tcPr>
          <w:p w14:paraId="73E4E665">
            <w:pPr>
              <w:pStyle w:val="14"/>
            </w:pPr>
          </w:p>
        </w:tc>
        <w:tc>
          <w:tcPr>
            <w:tcW w:w="3402" w:type="dxa"/>
            <w:vAlign w:val="center"/>
          </w:tcPr>
          <w:p w14:paraId="3BA6C1C9">
            <w:pPr>
              <w:pStyle w:val="13"/>
            </w:pPr>
            <w:r>
              <w:t>三十、抗疫特别国债安排的支出</w:t>
            </w:r>
          </w:p>
        </w:tc>
        <w:tc>
          <w:tcPr>
            <w:tcW w:w="1474" w:type="dxa"/>
            <w:vAlign w:val="center"/>
          </w:tcPr>
          <w:p w14:paraId="35134030">
            <w:pPr>
              <w:pStyle w:val="14"/>
            </w:pPr>
          </w:p>
        </w:tc>
        <w:tc>
          <w:tcPr>
            <w:tcW w:w="1474" w:type="dxa"/>
            <w:vAlign w:val="center"/>
          </w:tcPr>
          <w:p w14:paraId="7EEF4A3C">
            <w:pPr>
              <w:pStyle w:val="14"/>
            </w:pPr>
          </w:p>
        </w:tc>
        <w:tc>
          <w:tcPr>
            <w:tcW w:w="1474" w:type="dxa"/>
            <w:vAlign w:val="center"/>
          </w:tcPr>
          <w:p w14:paraId="0BE00D62">
            <w:pPr>
              <w:pStyle w:val="14"/>
            </w:pPr>
          </w:p>
        </w:tc>
        <w:tc>
          <w:tcPr>
            <w:tcW w:w="1474" w:type="dxa"/>
            <w:vAlign w:val="center"/>
          </w:tcPr>
          <w:p w14:paraId="5958C4DB">
            <w:pPr>
              <w:pStyle w:val="14"/>
            </w:pPr>
          </w:p>
        </w:tc>
      </w:tr>
      <w:tr w14:paraId="55236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5686F">
            <w:pPr>
              <w:pStyle w:val="12"/>
            </w:pPr>
            <w:r>
              <w:t>31</w:t>
            </w:r>
          </w:p>
        </w:tc>
        <w:tc>
          <w:tcPr>
            <w:tcW w:w="3402" w:type="dxa"/>
            <w:vAlign w:val="center"/>
          </w:tcPr>
          <w:p w14:paraId="2E9B70E0">
            <w:pPr>
              <w:pStyle w:val="13"/>
            </w:pPr>
          </w:p>
        </w:tc>
        <w:tc>
          <w:tcPr>
            <w:tcW w:w="1474" w:type="dxa"/>
            <w:vAlign w:val="center"/>
          </w:tcPr>
          <w:p w14:paraId="7F456522">
            <w:pPr>
              <w:pStyle w:val="14"/>
            </w:pPr>
          </w:p>
        </w:tc>
        <w:tc>
          <w:tcPr>
            <w:tcW w:w="3402" w:type="dxa"/>
            <w:vAlign w:val="center"/>
          </w:tcPr>
          <w:p w14:paraId="5C313E06">
            <w:pPr>
              <w:pStyle w:val="13"/>
            </w:pPr>
            <w:r>
              <w:t>三十一、人行科目</w:t>
            </w:r>
          </w:p>
        </w:tc>
        <w:tc>
          <w:tcPr>
            <w:tcW w:w="1474" w:type="dxa"/>
            <w:vAlign w:val="center"/>
          </w:tcPr>
          <w:p w14:paraId="1F0523B1">
            <w:pPr>
              <w:pStyle w:val="14"/>
            </w:pPr>
          </w:p>
        </w:tc>
        <w:tc>
          <w:tcPr>
            <w:tcW w:w="1474" w:type="dxa"/>
            <w:vAlign w:val="center"/>
          </w:tcPr>
          <w:p w14:paraId="777585C2">
            <w:pPr>
              <w:pStyle w:val="14"/>
            </w:pPr>
          </w:p>
        </w:tc>
        <w:tc>
          <w:tcPr>
            <w:tcW w:w="1474" w:type="dxa"/>
            <w:vAlign w:val="center"/>
          </w:tcPr>
          <w:p w14:paraId="68042BC1">
            <w:pPr>
              <w:pStyle w:val="14"/>
            </w:pPr>
          </w:p>
        </w:tc>
        <w:tc>
          <w:tcPr>
            <w:tcW w:w="1474" w:type="dxa"/>
            <w:vAlign w:val="center"/>
          </w:tcPr>
          <w:p w14:paraId="7346601B">
            <w:pPr>
              <w:pStyle w:val="14"/>
            </w:pPr>
          </w:p>
        </w:tc>
      </w:tr>
      <w:tr w14:paraId="7B5CB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0B2BA">
            <w:pPr>
              <w:pStyle w:val="12"/>
            </w:pPr>
            <w:r>
              <w:t>32</w:t>
            </w:r>
          </w:p>
        </w:tc>
        <w:tc>
          <w:tcPr>
            <w:tcW w:w="3402" w:type="dxa"/>
            <w:vAlign w:val="center"/>
          </w:tcPr>
          <w:p w14:paraId="6E33995C">
            <w:pPr>
              <w:pStyle w:val="15"/>
            </w:pPr>
            <w:r>
              <w:t>本年收入合计</w:t>
            </w:r>
          </w:p>
        </w:tc>
        <w:tc>
          <w:tcPr>
            <w:tcW w:w="1474" w:type="dxa"/>
            <w:vAlign w:val="center"/>
          </w:tcPr>
          <w:p w14:paraId="7DA34B91">
            <w:pPr>
              <w:pStyle w:val="16"/>
            </w:pPr>
            <w:r>
              <w:t>658.33</w:t>
            </w:r>
          </w:p>
        </w:tc>
        <w:tc>
          <w:tcPr>
            <w:tcW w:w="3402" w:type="dxa"/>
            <w:vAlign w:val="center"/>
          </w:tcPr>
          <w:p w14:paraId="12A68020">
            <w:pPr>
              <w:pStyle w:val="15"/>
            </w:pPr>
            <w:r>
              <w:t>本年支出合计</w:t>
            </w:r>
          </w:p>
        </w:tc>
        <w:tc>
          <w:tcPr>
            <w:tcW w:w="1474" w:type="dxa"/>
            <w:vAlign w:val="center"/>
          </w:tcPr>
          <w:p w14:paraId="477D8FC2">
            <w:pPr>
              <w:pStyle w:val="16"/>
            </w:pPr>
            <w:r>
              <w:t>658.33</w:t>
            </w:r>
          </w:p>
        </w:tc>
        <w:tc>
          <w:tcPr>
            <w:tcW w:w="1474" w:type="dxa"/>
            <w:vAlign w:val="center"/>
          </w:tcPr>
          <w:p w14:paraId="0E0A0F13">
            <w:pPr>
              <w:pStyle w:val="16"/>
            </w:pPr>
            <w:r>
              <w:t>658.33</w:t>
            </w:r>
          </w:p>
        </w:tc>
        <w:tc>
          <w:tcPr>
            <w:tcW w:w="1474" w:type="dxa"/>
            <w:vAlign w:val="center"/>
          </w:tcPr>
          <w:p w14:paraId="0C5599F0">
            <w:pPr>
              <w:pStyle w:val="16"/>
            </w:pPr>
          </w:p>
        </w:tc>
        <w:tc>
          <w:tcPr>
            <w:tcW w:w="1474" w:type="dxa"/>
            <w:vAlign w:val="center"/>
          </w:tcPr>
          <w:p w14:paraId="66FA548E">
            <w:pPr>
              <w:pStyle w:val="16"/>
            </w:pPr>
          </w:p>
        </w:tc>
      </w:tr>
      <w:tr w14:paraId="23924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381CE">
            <w:pPr>
              <w:pStyle w:val="12"/>
            </w:pPr>
            <w:r>
              <w:t>33</w:t>
            </w:r>
          </w:p>
        </w:tc>
        <w:tc>
          <w:tcPr>
            <w:tcW w:w="3402" w:type="dxa"/>
            <w:vAlign w:val="center"/>
          </w:tcPr>
          <w:p w14:paraId="5E492DDF">
            <w:pPr>
              <w:pStyle w:val="13"/>
            </w:pPr>
            <w:r>
              <w:t>年初财政拨款结转和结余</w:t>
            </w:r>
          </w:p>
        </w:tc>
        <w:tc>
          <w:tcPr>
            <w:tcW w:w="1474" w:type="dxa"/>
            <w:vAlign w:val="center"/>
          </w:tcPr>
          <w:p w14:paraId="321FF2D6">
            <w:pPr>
              <w:pStyle w:val="14"/>
            </w:pPr>
          </w:p>
        </w:tc>
        <w:tc>
          <w:tcPr>
            <w:tcW w:w="3402" w:type="dxa"/>
            <w:vAlign w:val="center"/>
          </w:tcPr>
          <w:p w14:paraId="3D8871B1">
            <w:pPr>
              <w:pStyle w:val="13"/>
            </w:pPr>
            <w:r>
              <w:t>年末财政拨款结转和结余</w:t>
            </w:r>
          </w:p>
        </w:tc>
        <w:tc>
          <w:tcPr>
            <w:tcW w:w="1474" w:type="dxa"/>
            <w:vAlign w:val="center"/>
          </w:tcPr>
          <w:p w14:paraId="1C1369BA">
            <w:pPr>
              <w:pStyle w:val="14"/>
            </w:pPr>
          </w:p>
        </w:tc>
        <w:tc>
          <w:tcPr>
            <w:tcW w:w="1474" w:type="dxa"/>
            <w:vAlign w:val="center"/>
          </w:tcPr>
          <w:p w14:paraId="6A32D7E3">
            <w:pPr>
              <w:pStyle w:val="14"/>
            </w:pPr>
          </w:p>
        </w:tc>
        <w:tc>
          <w:tcPr>
            <w:tcW w:w="1474" w:type="dxa"/>
            <w:vAlign w:val="center"/>
          </w:tcPr>
          <w:p w14:paraId="48C4F06B">
            <w:pPr>
              <w:pStyle w:val="14"/>
            </w:pPr>
          </w:p>
        </w:tc>
        <w:tc>
          <w:tcPr>
            <w:tcW w:w="1474" w:type="dxa"/>
            <w:vAlign w:val="center"/>
          </w:tcPr>
          <w:p w14:paraId="0F9C0435">
            <w:pPr>
              <w:pStyle w:val="14"/>
            </w:pPr>
          </w:p>
        </w:tc>
      </w:tr>
      <w:tr w14:paraId="50D96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F682F">
            <w:pPr>
              <w:pStyle w:val="12"/>
            </w:pPr>
            <w:r>
              <w:t>34</w:t>
            </w:r>
          </w:p>
        </w:tc>
        <w:tc>
          <w:tcPr>
            <w:tcW w:w="3402" w:type="dxa"/>
            <w:vAlign w:val="center"/>
          </w:tcPr>
          <w:p w14:paraId="747EF724">
            <w:pPr>
              <w:pStyle w:val="13"/>
            </w:pPr>
            <w:r>
              <w:t>一、一般公共预算拨款</w:t>
            </w:r>
          </w:p>
        </w:tc>
        <w:tc>
          <w:tcPr>
            <w:tcW w:w="1474" w:type="dxa"/>
            <w:vAlign w:val="center"/>
          </w:tcPr>
          <w:p w14:paraId="4D9E7DAE">
            <w:pPr>
              <w:pStyle w:val="14"/>
            </w:pPr>
          </w:p>
        </w:tc>
        <w:tc>
          <w:tcPr>
            <w:tcW w:w="3402" w:type="dxa"/>
            <w:vAlign w:val="center"/>
          </w:tcPr>
          <w:p w14:paraId="0C85A571">
            <w:pPr>
              <w:pStyle w:val="13"/>
            </w:pPr>
          </w:p>
        </w:tc>
        <w:tc>
          <w:tcPr>
            <w:tcW w:w="1474" w:type="dxa"/>
            <w:vAlign w:val="center"/>
          </w:tcPr>
          <w:p w14:paraId="413A4752">
            <w:pPr>
              <w:pStyle w:val="14"/>
            </w:pPr>
          </w:p>
        </w:tc>
        <w:tc>
          <w:tcPr>
            <w:tcW w:w="1474" w:type="dxa"/>
            <w:vAlign w:val="center"/>
          </w:tcPr>
          <w:p w14:paraId="0CDD41AB">
            <w:pPr>
              <w:pStyle w:val="14"/>
            </w:pPr>
          </w:p>
        </w:tc>
        <w:tc>
          <w:tcPr>
            <w:tcW w:w="1474" w:type="dxa"/>
            <w:vAlign w:val="center"/>
          </w:tcPr>
          <w:p w14:paraId="6395E2D8">
            <w:pPr>
              <w:pStyle w:val="14"/>
            </w:pPr>
          </w:p>
        </w:tc>
        <w:tc>
          <w:tcPr>
            <w:tcW w:w="1474" w:type="dxa"/>
            <w:vAlign w:val="center"/>
          </w:tcPr>
          <w:p w14:paraId="2B165B08">
            <w:pPr>
              <w:pStyle w:val="14"/>
            </w:pPr>
          </w:p>
        </w:tc>
      </w:tr>
      <w:tr w14:paraId="506BA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556F8">
            <w:pPr>
              <w:pStyle w:val="12"/>
            </w:pPr>
            <w:r>
              <w:t>35</w:t>
            </w:r>
          </w:p>
        </w:tc>
        <w:tc>
          <w:tcPr>
            <w:tcW w:w="3402" w:type="dxa"/>
            <w:vAlign w:val="center"/>
          </w:tcPr>
          <w:p w14:paraId="6B5818D3">
            <w:pPr>
              <w:pStyle w:val="13"/>
            </w:pPr>
            <w:r>
              <w:t>二、政府性基金预算拨款</w:t>
            </w:r>
          </w:p>
        </w:tc>
        <w:tc>
          <w:tcPr>
            <w:tcW w:w="1474" w:type="dxa"/>
            <w:vAlign w:val="center"/>
          </w:tcPr>
          <w:p w14:paraId="747B5A42">
            <w:pPr>
              <w:pStyle w:val="14"/>
            </w:pPr>
          </w:p>
        </w:tc>
        <w:tc>
          <w:tcPr>
            <w:tcW w:w="3402" w:type="dxa"/>
            <w:vAlign w:val="center"/>
          </w:tcPr>
          <w:p w14:paraId="17F6649E">
            <w:pPr>
              <w:pStyle w:val="13"/>
            </w:pPr>
          </w:p>
        </w:tc>
        <w:tc>
          <w:tcPr>
            <w:tcW w:w="1474" w:type="dxa"/>
            <w:vAlign w:val="center"/>
          </w:tcPr>
          <w:p w14:paraId="4CF7B0A5">
            <w:pPr>
              <w:pStyle w:val="14"/>
            </w:pPr>
          </w:p>
        </w:tc>
        <w:tc>
          <w:tcPr>
            <w:tcW w:w="1474" w:type="dxa"/>
            <w:vAlign w:val="center"/>
          </w:tcPr>
          <w:p w14:paraId="25A910AF">
            <w:pPr>
              <w:pStyle w:val="14"/>
            </w:pPr>
          </w:p>
        </w:tc>
        <w:tc>
          <w:tcPr>
            <w:tcW w:w="1474" w:type="dxa"/>
            <w:vAlign w:val="center"/>
          </w:tcPr>
          <w:p w14:paraId="1528480F">
            <w:pPr>
              <w:pStyle w:val="14"/>
            </w:pPr>
          </w:p>
        </w:tc>
        <w:tc>
          <w:tcPr>
            <w:tcW w:w="1474" w:type="dxa"/>
            <w:vAlign w:val="center"/>
          </w:tcPr>
          <w:p w14:paraId="6DB4F3C7">
            <w:pPr>
              <w:pStyle w:val="14"/>
            </w:pPr>
          </w:p>
        </w:tc>
      </w:tr>
      <w:tr w14:paraId="77D0B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E2981">
            <w:pPr>
              <w:pStyle w:val="12"/>
            </w:pPr>
            <w:r>
              <w:t>36</w:t>
            </w:r>
          </w:p>
        </w:tc>
        <w:tc>
          <w:tcPr>
            <w:tcW w:w="3402" w:type="dxa"/>
            <w:vAlign w:val="center"/>
          </w:tcPr>
          <w:p w14:paraId="390D4F53">
            <w:pPr>
              <w:pStyle w:val="13"/>
            </w:pPr>
            <w:r>
              <w:t>三、国有资本经营预算拨款</w:t>
            </w:r>
          </w:p>
        </w:tc>
        <w:tc>
          <w:tcPr>
            <w:tcW w:w="1474" w:type="dxa"/>
            <w:vAlign w:val="center"/>
          </w:tcPr>
          <w:p w14:paraId="2BF26730">
            <w:pPr>
              <w:pStyle w:val="14"/>
            </w:pPr>
          </w:p>
        </w:tc>
        <w:tc>
          <w:tcPr>
            <w:tcW w:w="3402" w:type="dxa"/>
            <w:vAlign w:val="center"/>
          </w:tcPr>
          <w:p w14:paraId="55318EEB">
            <w:pPr>
              <w:pStyle w:val="13"/>
            </w:pPr>
          </w:p>
        </w:tc>
        <w:tc>
          <w:tcPr>
            <w:tcW w:w="1474" w:type="dxa"/>
            <w:vAlign w:val="center"/>
          </w:tcPr>
          <w:p w14:paraId="4F3CFE61">
            <w:pPr>
              <w:pStyle w:val="14"/>
            </w:pPr>
          </w:p>
        </w:tc>
        <w:tc>
          <w:tcPr>
            <w:tcW w:w="1474" w:type="dxa"/>
            <w:vAlign w:val="center"/>
          </w:tcPr>
          <w:p w14:paraId="5535CC17">
            <w:pPr>
              <w:pStyle w:val="14"/>
            </w:pPr>
          </w:p>
        </w:tc>
        <w:tc>
          <w:tcPr>
            <w:tcW w:w="1474" w:type="dxa"/>
            <w:vAlign w:val="center"/>
          </w:tcPr>
          <w:p w14:paraId="5AC7BEEC">
            <w:pPr>
              <w:pStyle w:val="14"/>
            </w:pPr>
          </w:p>
        </w:tc>
        <w:tc>
          <w:tcPr>
            <w:tcW w:w="1474" w:type="dxa"/>
            <w:vAlign w:val="center"/>
          </w:tcPr>
          <w:p w14:paraId="37B2C42A">
            <w:pPr>
              <w:pStyle w:val="14"/>
            </w:pPr>
          </w:p>
        </w:tc>
      </w:tr>
      <w:tr w14:paraId="3927E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73528">
            <w:pPr>
              <w:pStyle w:val="12"/>
            </w:pPr>
            <w:r>
              <w:t>37</w:t>
            </w:r>
          </w:p>
        </w:tc>
        <w:tc>
          <w:tcPr>
            <w:tcW w:w="3402" w:type="dxa"/>
            <w:vAlign w:val="center"/>
          </w:tcPr>
          <w:p w14:paraId="3A3C4686">
            <w:pPr>
              <w:pStyle w:val="15"/>
            </w:pPr>
            <w:r>
              <w:t>收入总计</w:t>
            </w:r>
          </w:p>
        </w:tc>
        <w:tc>
          <w:tcPr>
            <w:tcW w:w="1474" w:type="dxa"/>
            <w:vAlign w:val="center"/>
          </w:tcPr>
          <w:p w14:paraId="10BACD35">
            <w:pPr>
              <w:pStyle w:val="16"/>
            </w:pPr>
            <w:r>
              <w:t>658.33</w:t>
            </w:r>
          </w:p>
        </w:tc>
        <w:tc>
          <w:tcPr>
            <w:tcW w:w="3402" w:type="dxa"/>
            <w:vAlign w:val="center"/>
          </w:tcPr>
          <w:p w14:paraId="431E6A95">
            <w:pPr>
              <w:pStyle w:val="15"/>
            </w:pPr>
            <w:r>
              <w:t>支出总计</w:t>
            </w:r>
          </w:p>
        </w:tc>
        <w:tc>
          <w:tcPr>
            <w:tcW w:w="1474" w:type="dxa"/>
            <w:vAlign w:val="center"/>
          </w:tcPr>
          <w:p w14:paraId="1B2CE274">
            <w:pPr>
              <w:pStyle w:val="16"/>
            </w:pPr>
            <w:r>
              <w:t>658.33</w:t>
            </w:r>
          </w:p>
        </w:tc>
        <w:tc>
          <w:tcPr>
            <w:tcW w:w="1474" w:type="dxa"/>
            <w:vAlign w:val="center"/>
          </w:tcPr>
          <w:p w14:paraId="28E84F16">
            <w:pPr>
              <w:pStyle w:val="16"/>
            </w:pPr>
            <w:r>
              <w:t>658.33</w:t>
            </w:r>
          </w:p>
        </w:tc>
        <w:tc>
          <w:tcPr>
            <w:tcW w:w="1474" w:type="dxa"/>
            <w:vAlign w:val="center"/>
          </w:tcPr>
          <w:p w14:paraId="69F72249">
            <w:pPr>
              <w:pStyle w:val="16"/>
            </w:pPr>
          </w:p>
        </w:tc>
        <w:tc>
          <w:tcPr>
            <w:tcW w:w="1474" w:type="dxa"/>
            <w:vAlign w:val="center"/>
          </w:tcPr>
          <w:p w14:paraId="49869D12">
            <w:pPr>
              <w:pStyle w:val="16"/>
            </w:pPr>
          </w:p>
        </w:tc>
      </w:tr>
    </w:tbl>
    <w:p w14:paraId="631BCAD0">
      <w:pPr>
        <w:sectPr>
          <w:pgSz w:w="16840" w:h="11900" w:orient="landscape"/>
          <w:pgMar w:top="1361" w:right="1020" w:bottom="1134" w:left="1020" w:header="720" w:footer="720" w:gutter="0"/>
          <w:cols w:space="720" w:num="1"/>
        </w:sectPr>
      </w:pPr>
    </w:p>
    <w:p w14:paraId="67C7A1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EEB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A9CD48">
            <w:pPr>
              <w:pStyle w:val="8"/>
            </w:pPr>
            <w:r>
              <w:t>360033隆尧县大张庄中学</w:t>
            </w:r>
          </w:p>
        </w:tc>
        <w:tc>
          <w:tcPr>
            <w:tcW w:w="2551" w:type="dxa"/>
            <w:tcBorders>
              <w:top w:val="single" w:color="FFFFFF" w:sz="6" w:space="0"/>
              <w:left w:val="single" w:color="FFFFFF" w:sz="6" w:space="0"/>
              <w:right w:val="single" w:color="FFFFFF" w:sz="6" w:space="0"/>
            </w:tcBorders>
            <w:vAlign w:val="center"/>
          </w:tcPr>
          <w:p w14:paraId="315EF03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6865B1C">
            <w:pPr>
              <w:pStyle w:val="10"/>
            </w:pPr>
            <w:r>
              <w:t>单位：万元</w:t>
            </w:r>
          </w:p>
        </w:tc>
      </w:tr>
      <w:tr w14:paraId="17568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5F9E2">
            <w:pPr>
              <w:pStyle w:val="11"/>
            </w:pPr>
            <w:r>
              <w:t>序号</w:t>
            </w:r>
          </w:p>
        </w:tc>
        <w:tc>
          <w:tcPr>
            <w:tcW w:w="5726" w:type="dxa"/>
            <w:gridSpan w:val="2"/>
            <w:vAlign w:val="center"/>
          </w:tcPr>
          <w:p w14:paraId="3D48856C">
            <w:pPr>
              <w:pStyle w:val="11"/>
            </w:pPr>
            <w:r>
              <w:t>功能分类科目</w:t>
            </w:r>
          </w:p>
        </w:tc>
        <w:tc>
          <w:tcPr>
            <w:tcW w:w="2551" w:type="dxa"/>
            <w:vMerge w:val="restart"/>
            <w:vAlign w:val="center"/>
          </w:tcPr>
          <w:p w14:paraId="165BCC48">
            <w:pPr>
              <w:pStyle w:val="11"/>
            </w:pPr>
            <w:r>
              <w:t>合计</w:t>
            </w:r>
          </w:p>
        </w:tc>
        <w:tc>
          <w:tcPr>
            <w:tcW w:w="2551" w:type="dxa"/>
            <w:vMerge w:val="restart"/>
            <w:vAlign w:val="center"/>
          </w:tcPr>
          <w:p w14:paraId="3E1BA3A6">
            <w:pPr>
              <w:pStyle w:val="11"/>
            </w:pPr>
            <w:r>
              <w:t>基本支出</w:t>
            </w:r>
          </w:p>
        </w:tc>
        <w:tc>
          <w:tcPr>
            <w:tcW w:w="2551" w:type="dxa"/>
            <w:vMerge w:val="restart"/>
            <w:vAlign w:val="center"/>
          </w:tcPr>
          <w:p w14:paraId="175D518F">
            <w:pPr>
              <w:pStyle w:val="11"/>
            </w:pPr>
            <w:r>
              <w:t>项目支出</w:t>
            </w:r>
          </w:p>
        </w:tc>
      </w:tr>
      <w:tr w14:paraId="41D28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4BC6AC"/>
        </w:tc>
        <w:tc>
          <w:tcPr>
            <w:tcW w:w="1191" w:type="dxa"/>
            <w:vAlign w:val="center"/>
          </w:tcPr>
          <w:p w14:paraId="1856CF64">
            <w:pPr>
              <w:pStyle w:val="11"/>
            </w:pPr>
            <w:r>
              <w:t>科目编码</w:t>
            </w:r>
          </w:p>
        </w:tc>
        <w:tc>
          <w:tcPr>
            <w:tcW w:w="4535" w:type="dxa"/>
            <w:vAlign w:val="center"/>
          </w:tcPr>
          <w:p w14:paraId="276FC3EE">
            <w:pPr>
              <w:pStyle w:val="11"/>
            </w:pPr>
            <w:r>
              <w:t>科目名称</w:t>
            </w:r>
          </w:p>
        </w:tc>
        <w:tc>
          <w:tcPr>
            <w:tcW w:w="2551" w:type="dxa"/>
            <w:vMerge w:val="continue"/>
          </w:tcPr>
          <w:p w14:paraId="7D3386A3"/>
        </w:tc>
        <w:tc>
          <w:tcPr>
            <w:tcW w:w="2551" w:type="dxa"/>
            <w:vMerge w:val="continue"/>
          </w:tcPr>
          <w:p w14:paraId="579DAA1A"/>
        </w:tc>
        <w:tc>
          <w:tcPr>
            <w:tcW w:w="2551" w:type="dxa"/>
            <w:vMerge w:val="continue"/>
          </w:tcPr>
          <w:p w14:paraId="5236CC55"/>
        </w:tc>
      </w:tr>
      <w:tr w14:paraId="0AD4F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1263D">
            <w:pPr>
              <w:pStyle w:val="11"/>
            </w:pPr>
            <w:r>
              <w:t>栏次</w:t>
            </w:r>
          </w:p>
        </w:tc>
        <w:tc>
          <w:tcPr>
            <w:tcW w:w="1191" w:type="dxa"/>
            <w:vAlign w:val="center"/>
          </w:tcPr>
          <w:p w14:paraId="44F008B2">
            <w:pPr>
              <w:pStyle w:val="11"/>
            </w:pPr>
            <w:r>
              <w:t>1</w:t>
            </w:r>
          </w:p>
        </w:tc>
        <w:tc>
          <w:tcPr>
            <w:tcW w:w="4535" w:type="dxa"/>
            <w:vAlign w:val="center"/>
          </w:tcPr>
          <w:p w14:paraId="3A9B97D0">
            <w:pPr>
              <w:pStyle w:val="11"/>
            </w:pPr>
            <w:r>
              <w:t>2</w:t>
            </w:r>
          </w:p>
        </w:tc>
        <w:tc>
          <w:tcPr>
            <w:tcW w:w="2551" w:type="dxa"/>
            <w:vAlign w:val="center"/>
          </w:tcPr>
          <w:p w14:paraId="7522FE7E">
            <w:pPr>
              <w:pStyle w:val="11"/>
            </w:pPr>
            <w:r>
              <w:t>3</w:t>
            </w:r>
          </w:p>
        </w:tc>
        <w:tc>
          <w:tcPr>
            <w:tcW w:w="2551" w:type="dxa"/>
            <w:vAlign w:val="center"/>
          </w:tcPr>
          <w:p w14:paraId="633D00DB">
            <w:pPr>
              <w:pStyle w:val="11"/>
            </w:pPr>
            <w:r>
              <w:t>4</w:t>
            </w:r>
          </w:p>
        </w:tc>
        <w:tc>
          <w:tcPr>
            <w:tcW w:w="2551" w:type="dxa"/>
            <w:vAlign w:val="center"/>
          </w:tcPr>
          <w:p w14:paraId="2ECB8E1F">
            <w:pPr>
              <w:pStyle w:val="11"/>
            </w:pPr>
            <w:r>
              <w:t>5</w:t>
            </w:r>
          </w:p>
        </w:tc>
      </w:tr>
      <w:tr w14:paraId="4B69B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B81DA">
            <w:pPr>
              <w:pStyle w:val="12"/>
            </w:pPr>
            <w:r>
              <w:t>1</w:t>
            </w:r>
          </w:p>
        </w:tc>
        <w:tc>
          <w:tcPr>
            <w:tcW w:w="1191" w:type="dxa"/>
            <w:vAlign w:val="center"/>
          </w:tcPr>
          <w:p w14:paraId="14E5324D">
            <w:pPr>
              <w:pStyle w:val="17"/>
            </w:pPr>
          </w:p>
        </w:tc>
        <w:tc>
          <w:tcPr>
            <w:tcW w:w="4535" w:type="dxa"/>
            <w:vAlign w:val="center"/>
          </w:tcPr>
          <w:p w14:paraId="0EF08619">
            <w:pPr>
              <w:pStyle w:val="15"/>
            </w:pPr>
            <w:r>
              <w:t>合计</w:t>
            </w:r>
          </w:p>
        </w:tc>
        <w:tc>
          <w:tcPr>
            <w:tcW w:w="2551" w:type="dxa"/>
            <w:vAlign w:val="center"/>
          </w:tcPr>
          <w:p w14:paraId="3B9E078B">
            <w:pPr>
              <w:pStyle w:val="16"/>
            </w:pPr>
            <w:r>
              <w:t>658.33</w:t>
            </w:r>
          </w:p>
        </w:tc>
        <w:tc>
          <w:tcPr>
            <w:tcW w:w="2551" w:type="dxa"/>
            <w:vAlign w:val="center"/>
          </w:tcPr>
          <w:p w14:paraId="690663C0">
            <w:pPr>
              <w:pStyle w:val="16"/>
            </w:pPr>
            <w:r>
              <w:t>382.14</w:t>
            </w:r>
          </w:p>
        </w:tc>
        <w:tc>
          <w:tcPr>
            <w:tcW w:w="2551" w:type="dxa"/>
            <w:vAlign w:val="center"/>
          </w:tcPr>
          <w:p w14:paraId="05DEC76F">
            <w:pPr>
              <w:pStyle w:val="16"/>
            </w:pPr>
            <w:r>
              <w:t>276.20</w:t>
            </w:r>
          </w:p>
        </w:tc>
      </w:tr>
      <w:tr w14:paraId="016ED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69BE2">
            <w:pPr>
              <w:pStyle w:val="12"/>
            </w:pPr>
            <w:r>
              <w:t>2</w:t>
            </w:r>
          </w:p>
        </w:tc>
        <w:tc>
          <w:tcPr>
            <w:tcW w:w="1191" w:type="dxa"/>
            <w:vAlign w:val="center"/>
          </w:tcPr>
          <w:p w14:paraId="7E48594E">
            <w:pPr>
              <w:pStyle w:val="13"/>
            </w:pPr>
            <w:r>
              <w:t>205</w:t>
            </w:r>
          </w:p>
        </w:tc>
        <w:tc>
          <w:tcPr>
            <w:tcW w:w="4535" w:type="dxa"/>
            <w:vAlign w:val="center"/>
          </w:tcPr>
          <w:p w14:paraId="6F2637D2">
            <w:pPr>
              <w:pStyle w:val="13"/>
            </w:pPr>
            <w:r>
              <w:t>教育支出</w:t>
            </w:r>
          </w:p>
        </w:tc>
        <w:tc>
          <w:tcPr>
            <w:tcW w:w="2551" w:type="dxa"/>
            <w:vAlign w:val="center"/>
          </w:tcPr>
          <w:p w14:paraId="3608A827">
            <w:pPr>
              <w:pStyle w:val="14"/>
            </w:pPr>
            <w:r>
              <w:t>658.33</w:t>
            </w:r>
          </w:p>
        </w:tc>
        <w:tc>
          <w:tcPr>
            <w:tcW w:w="2551" w:type="dxa"/>
            <w:vAlign w:val="center"/>
          </w:tcPr>
          <w:p w14:paraId="727BCC5F">
            <w:pPr>
              <w:pStyle w:val="14"/>
            </w:pPr>
            <w:r>
              <w:t>382.14</w:t>
            </w:r>
          </w:p>
        </w:tc>
        <w:tc>
          <w:tcPr>
            <w:tcW w:w="2551" w:type="dxa"/>
            <w:vAlign w:val="center"/>
          </w:tcPr>
          <w:p w14:paraId="1F7A1E8B">
            <w:pPr>
              <w:pStyle w:val="14"/>
            </w:pPr>
            <w:r>
              <w:t>276.20</w:t>
            </w:r>
          </w:p>
        </w:tc>
      </w:tr>
      <w:tr w14:paraId="2A924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064C8">
            <w:pPr>
              <w:pStyle w:val="12"/>
            </w:pPr>
            <w:r>
              <w:t>3</w:t>
            </w:r>
          </w:p>
        </w:tc>
        <w:tc>
          <w:tcPr>
            <w:tcW w:w="1191" w:type="dxa"/>
            <w:vAlign w:val="center"/>
          </w:tcPr>
          <w:p w14:paraId="5CA8C904">
            <w:pPr>
              <w:pStyle w:val="13"/>
            </w:pPr>
            <w:r>
              <w:t>20502</w:t>
            </w:r>
          </w:p>
        </w:tc>
        <w:tc>
          <w:tcPr>
            <w:tcW w:w="4535" w:type="dxa"/>
            <w:vAlign w:val="center"/>
          </w:tcPr>
          <w:p w14:paraId="105BCC2C">
            <w:pPr>
              <w:pStyle w:val="13"/>
            </w:pPr>
            <w:r>
              <w:t>普通教育</w:t>
            </w:r>
          </w:p>
        </w:tc>
        <w:tc>
          <w:tcPr>
            <w:tcW w:w="2551" w:type="dxa"/>
            <w:vAlign w:val="center"/>
          </w:tcPr>
          <w:p w14:paraId="5C80B6C4">
            <w:pPr>
              <w:pStyle w:val="14"/>
            </w:pPr>
            <w:r>
              <w:t>658.33</w:t>
            </w:r>
          </w:p>
        </w:tc>
        <w:tc>
          <w:tcPr>
            <w:tcW w:w="2551" w:type="dxa"/>
            <w:vAlign w:val="center"/>
          </w:tcPr>
          <w:p w14:paraId="14799B56">
            <w:pPr>
              <w:pStyle w:val="14"/>
            </w:pPr>
            <w:r>
              <w:t>382.14</w:t>
            </w:r>
          </w:p>
        </w:tc>
        <w:tc>
          <w:tcPr>
            <w:tcW w:w="2551" w:type="dxa"/>
            <w:vAlign w:val="center"/>
          </w:tcPr>
          <w:p w14:paraId="3003D4FC">
            <w:pPr>
              <w:pStyle w:val="14"/>
            </w:pPr>
            <w:r>
              <w:t>276.20</w:t>
            </w:r>
          </w:p>
        </w:tc>
      </w:tr>
      <w:tr w14:paraId="173BA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98C2E">
            <w:pPr>
              <w:pStyle w:val="12"/>
            </w:pPr>
            <w:r>
              <w:t>4</w:t>
            </w:r>
          </w:p>
        </w:tc>
        <w:tc>
          <w:tcPr>
            <w:tcW w:w="1191" w:type="dxa"/>
            <w:vAlign w:val="center"/>
          </w:tcPr>
          <w:p w14:paraId="2C396685">
            <w:pPr>
              <w:pStyle w:val="13"/>
            </w:pPr>
            <w:r>
              <w:t>2050203</w:t>
            </w:r>
          </w:p>
        </w:tc>
        <w:tc>
          <w:tcPr>
            <w:tcW w:w="4535" w:type="dxa"/>
            <w:vAlign w:val="center"/>
          </w:tcPr>
          <w:p w14:paraId="16C2D682">
            <w:pPr>
              <w:pStyle w:val="13"/>
            </w:pPr>
            <w:r>
              <w:t>初中教育</w:t>
            </w:r>
          </w:p>
        </w:tc>
        <w:tc>
          <w:tcPr>
            <w:tcW w:w="2551" w:type="dxa"/>
            <w:vAlign w:val="center"/>
          </w:tcPr>
          <w:p w14:paraId="32BAA06A">
            <w:pPr>
              <w:pStyle w:val="14"/>
            </w:pPr>
            <w:r>
              <w:t>658.33</w:t>
            </w:r>
          </w:p>
        </w:tc>
        <w:tc>
          <w:tcPr>
            <w:tcW w:w="2551" w:type="dxa"/>
            <w:vAlign w:val="center"/>
          </w:tcPr>
          <w:p w14:paraId="324DFDCE">
            <w:pPr>
              <w:pStyle w:val="14"/>
            </w:pPr>
            <w:r>
              <w:t>382.14</w:t>
            </w:r>
          </w:p>
        </w:tc>
        <w:tc>
          <w:tcPr>
            <w:tcW w:w="2551" w:type="dxa"/>
            <w:vAlign w:val="center"/>
          </w:tcPr>
          <w:p w14:paraId="670FF8B7">
            <w:pPr>
              <w:pStyle w:val="14"/>
            </w:pPr>
            <w:r>
              <w:t>276.20</w:t>
            </w:r>
          </w:p>
        </w:tc>
      </w:tr>
    </w:tbl>
    <w:p w14:paraId="66CD7A3D">
      <w:pPr>
        <w:sectPr>
          <w:pgSz w:w="16840" w:h="11900" w:orient="landscape"/>
          <w:pgMar w:top="1361" w:right="1020" w:bottom="1134" w:left="1020" w:header="720" w:footer="720" w:gutter="0"/>
          <w:cols w:space="720" w:num="1"/>
        </w:sectPr>
      </w:pPr>
    </w:p>
    <w:p w14:paraId="008161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057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9D7FFF">
            <w:pPr>
              <w:pStyle w:val="8"/>
            </w:pPr>
            <w:r>
              <w:t>360033隆尧县大张庄中学</w:t>
            </w:r>
          </w:p>
        </w:tc>
        <w:tc>
          <w:tcPr>
            <w:tcW w:w="2551" w:type="dxa"/>
            <w:tcBorders>
              <w:top w:val="single" w:color="FFFFFF" w:sz="6" w:space="0"/>
              <w:left w:val="single" w:color="FFFFFF" w:sz="6" w:space="0"/>
              <w:right w:val="single" w:color="FFFFFF" w:sz="6" w:space="0"/>
            </w:tcBorders>
            <w:vAlign w:val="center"/>
          </w:tcPr>
          <w:p w14:paraId="7B57071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7D6B22B">
            <w:pPr>
              <w:pStyle w:val="10"/>
            </w:pPr>
            <w:r>
              <w:t>单位：万元</w:t>
            </w:r>
          </w:p>
        </w:tc>
      </w:tr>
      <w:tr w14:paraId="3C0F8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7EDF5">
            <w:pPr>
              <w:pStyle w:val="11"/>
            </w:pPr>
            <w:r>
              <w:t>序号</w:t>
            </w:r>
          </w:p>
        </w:tc>
        <w:tc>
          <w:tcPr>
            <w:tcW w:w="5726" w:type="dxa"/>
            <w:gridSpan w:val="2"/>
            <w:vAlign w:val="center"/>
          </w:tcPr>
          <w:p w14:paraId="62AB3CA9">
            <w:pPr>
              <w:pStyle w:val="11"/>
            </w:pPr>
            <w:r>
              <w:t>支出部门经济分类科目</w:t>
            </w:r>
          </w:p>
        </w:tc>
        <w:tc>
          <w:tcPr>
            <w:tcW w:w="7653" w:type="dxa"/>
            <w:gridSpan w:val="3"/>
            <w:vAlign w:val="center"/>
          </w:tcPr>
          <w:p w14:paraId="21CDB03A">
            <w:pPr>
              <w:pStyle w:val="11"/>
            </w:pPr>
            <w:r>
              <w:t>一般公共预算基本支出</w:t>
            </w:r>
          </w:p>
        </w:tc>
      </w:tr>
      <w:tr w14:paraId="53046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5A543"/>
        </w:tc>
        <w:tc>
          <w:tcPr>
            <w:tcW w:w="1191" w:type="dxa"/>
            <w:vAlign w:val="center"/>
          </w:tcPr>
          <w:p w14:paraId="653E1BD7">
            <w:pPr>
              <w:pStyle w:val="11"/>
            </w:pPr>
            <w:r>
              <w:t>科目编码</w:t>
            </w:r>
          </w:p>
        </w:tc>
        <w:tc>
          <w:tcPr>
            <w:tcW w:w="4535" w:type="dxa"/>
            <w:vAlign w:val="center"/>
          </w:tcPr>
          <w:p w14:paraId="3BF8F525">
            <w:pPr>
              <w:pStyle w:val="11"/>
            </w:pPr>
            <w:r>
              <w:t>科目名称</w:t>
            </w:r>
          </w:p>
        </w:tc>
        <w:tc>
          <w:tcPr>
            <w:tcW w:w="2551" w:type="dxa"/>
            <w:vAlign w:val="center"/>
          </w:tcPr>
          <w:p w14:paraId="24BC2AA3">
            <w:pPr>
              <w:pStyle w:val="11"/>
            </w:pPr>
            <w:r>
              <w:t>合计</w:t>
            </w:r>
          </w:p>
        </w:tc>
        <w:tc>
          <w:tcPr>
            <w:tcW w:w="2551" w:type="dxa"/>
            <w:vAlign w:val="center"/>
          </w:tcPr>
          <w:p w14:paraId="35759295">
            <w:pPr>
              <w:pStyle w:val="11"/>
            </w:pPr>
            <w:r>
              <w:t>人员经费</w:t>
            </w:r>
          </w:p>
        </w:tc>
        <w:tc>
          <w:tcPr>
            <w:tcW w:w="2551" w:type="dxa"/>
            <w:vAlign w:val="center"/>
          </w:tcPr>
          <w:p w14:paraId="1C0C62BC">
            <w:pPr>
              <w:pStyle w:val="11"/>
            </w:pPr>
            <w:r>
              <w:t>公用经费</w:t>
            </w:r>
          </w:p>
        </w:tc>
      </w:tr>
      <w:tr w14:paraId="3EF08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F1EAA2">
            <w:pPr>
              <w:pStyle w:val="11"/>
            </w:pPr>
            <w:r>
              <w:t>栏次</w:t>
            </w:r>
          </w:p>
        </w:tc>
        <w:tc>
          <w:tcPr>
            <w:tcW w:w="1191" w:type="dxa"/>
            <w:vAlign w:val="center"/>
          </w:tcPr>
          <w:p w14:paraId="56AB0ACE">
            <w:pPr>
              <w:pStyle w:val="11"/>
            </w:pPr>
            <w:r>
              <w:t>1</w:t>
            </w:r>
          </w:p>
        </w:tc>
        <w:tc>
          <w:tcPr>
            <w:tcW w:w="4535" w:type="dxa"/>
            <w:vAlign w:val="center"/>
          </w:tcPr>
          <w:p w14:paraId="2C8B8A71">
            <w:pPr>
              <w:pStyle w:val="11"/>
            </w:pPr>
            <w:r>
              <w:t>2</w:t>
            </w:r>
          </w:p>
        </w:tc>
        <w:tc>
          <w:tcPr>
            <w:tcW w:w="2551" w:type="dxa"/>
            <w:vAlign w:val="center"/>
          </w:tcPr>
          <w:p w14:paraId="76001FED">
            <w:pPr>
              <w:pStyle w:val="11"/>
            </w:pPr>
            <w:r>
              <w:t>3</w:t>
            </w:r>
          </w:p>
        </w:tc>
        <w:tc>
          <w:tcPr>
            <w:tcW w:w="2551" w:type="dxa"/>
            <w:vAlign w:val="center"/>
          </w:tcPr>
          <w:p w14:paraId="1B6BD119">
            <w:pPr>
              <w:pStyle w:val="11"/>
            </w:pPr>
            <w:r>
              <w:t>4</w:t>
            </w:r>
          </w:p>
        </w:tc>
        <w:tc>
          <w:tcPr>
            <w:tcW w:w="2551" w:type="dxa"/>
            <w:vAlign w:val="center"/>
          </w:tcPr>
          <w:p w14:paraId="2C17D05A">
            <w:pPr>
              <w:pStyle w:val="11"/>
            </w:pPr>
            <w:r>
              <w:t>5</w:t>
            </w:r>
          </w:p>
        </w:tc>
      </w:tr>
      <w:tr w14:paraId="4C952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1209F">
            <w:pPr>
              <w:pStyle w:val="12"/>
            </w:pPr>
            <w:r>
              <w:t>1</w:t>
            </w:r>
          </w:p>
        </w:tc>
        <w:tc>
          <w:tcPr>
            <w:tcW w:w="1191" w:type="dxa"/>
            <w:vAlign w:val="center"/>
          </w:tcPr>
          <w:p w14:paraId="13E7C3A6">
            <w:pPr>
              <w:pStyle w:val="17"/>
            </w:pPr>
          </w:p>
        </w:tc>
        <w:tc>
          <w:tcPr>
            <w:tcW w:w="4535" w:type="dxa"/>
            <w:vAlign w:val="center"/>
          </w:tcPr>
          <w:p w14:paraId="71B8C1D6">
            <w:pPr>
              <w:pStyle w:val="15"/>
            </w:pPr>
            <w:r>
              <w:t>合计</w:t>
            </w:r>
          </w:p>
        </w:tc>
        <w:tc>
          <w:tcPr>
            <w:tcW w:w="2551" w:type="dxa"/>
            <w:vAlign w:val="center"/>
          </w:tcPr>
          <w:p w14:paraId="4195253E">
            <w:pPr>
              <w:pStyle w:val="16"/>
            </w:pPr>
            <w:r>
              <w:t>382.14</w:t>
            </w:r>
          </w:p>
        </w:tc>
        <w:tc>
          <w:tcPr>
            <w:tcW w:w="2551" w:type="dxa"/>
            <w:vAlign w:val="center"/>
          </w:tcPr>
          <w:p w14:paraId="66BC787E">
            <w:pPr>
              <w:pStyle w:val="16"/>
            </w:pPr>
            <w:r>
              <w:t>382.14</w:t>
            </w:r>
          </w:p>
        </w:tc>
        <w:tc>
          <w:tcPr>
            <w:tcW w:w="2551" w:type="dxa"/>
            <w:vAlign w:val="center"/>
          </w:tcPr>
          <w:p w14:paraId="0C9EC3AD">
            <w:pPr>
              <w:pStyle w:val="16"/>
            </w:pPr>
          </w:p>
        </w:tc>
      </w:tr>
      <w:tr w14:paraId="7A77C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57875">
            <w:pPr>
              <w:pStyle w:val="12"/>
            </w:pPr>
            <w:r>
              <w:t>2</w:t>
            </w:r>
          </w:p>
        </w:tc>
        <w:tc>
          <w:tcPr>
            <w:tcW w:w="1191" w:type="dxa"/>
            <w:vAlign w:val="center"/>
          </w:tcPr>
          <w:p w14:paraId="4484F158">
            <w:pPr>
              <w:pStyle w:val="13"/>
            </w:pPr>
            <w:r>
              <w:t>301</w:t>
            </w:r>
          </w:p>
        </w:tc>
        <w:tc>
          <w:tcPr>
            <w:tcW w:w="4535" w:type="dxa"/>
            <w:vAlign w:val="center"/>
          </w:tcPr>
          <w:p w14:paraId="644E3B08">
            <w:pPr>
              <w:pStyle w:val="13"/>
            </w:pPr>
            <w:r>
              <w:t>工资福利支出</w:t>
            </w:r>
          </w:p>
        </w:tc>
        <w:tc>
          <w:tcPr>
            <w:tcW w:w="2551" w:type="dxa"/>
            <w:vAlign w:val="center"/>
          </w:tcPr>
          <w:p w14:paraId="21BC110D">
            <w:pPr>
              <w:pStyle w:val="14"/>
            </w:pPr>
            <w:r>
              <w:t>369.43</w:t>
            </w:r>
          </w:p>
        </w:tc>
        <w:tc>
          <w:tcPr>
            <w:tcW w:w="2551" w:type="dxa"/>
            <w:vAlign w:val="center"/>
          </w:tcPr>
          <w:p w14:paraId="6F08579E">
            <w:pPr>
              <w:pStyle w:val="14"/>
            </w:pPr>
            <w:r>
              <w:t>369.43</w:t>
            </w:r>
          </w:p>
        </w:tc>
        <w:tc>
          <w:tcPr>
            <w:tcW w:w="2551" w:type="dxa"/>
            <w:vAlign w:val="center"/>
          </w:tcPr>
          <w:p w14:paraId="5680BE2D">
            <w:pPr>
              <w:pStyle w:val="14"/>
            </w:pPr>
          </w:p>
        </w:tc>
      </w:tr>
      <w:tr w14:paraId="2A2CD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D9B68">
            <w:pPr>
              <w:pStyle w:val="12"/>
            </w:pPr>
            <w:r>
              <w:t>3</w:t>
            </w:r>
          </w:p>
        </w:tc>
        <w:tc>
          <w:tcPr>
            <w:tcW w:w="1191" w:type="dxa"/>
            <w:vAlign w:val="center"/>
          </w:tcPr>
          <w:p w14:paraId="642DC736">
            <w:pPr>
              <w:pStyle w:val="13"/>
            </w:pPr>
            <w:r>
              <w:t>30101</w:t>
            </w:r>
          </w:p>
        </w:tc>
        <w:tc>
          <w:tcPr>
            <w:tcW w:w="4535" w:type="dxa"/>
            <w:vAlign w:val="center"/>
          </w:tcPr>
          <w:p w14:paraId="5647BFE4">
            <w:pPr>
              <w:pStyle w:val="13"/>
            </w:pPr>
            <w:r>
              <w:t>基本工资</w:t>
            </w:r>
          </w:p>
        </w:tc>
        <w:tc>
          <w:tcPr>
            <w:tcW w:w="2551" w:type="dxa"/>
            <w:vAlign w:val="center"/>
          </w:tcPr>
          <w:p w14:paraId="4667A9CD">
            <w:pPr>
              <w:pStyle w:val="14"/>
            </w:pPr>
            <w:r>
              <w:t>186.12</w:t>
            </w:r>
          </w:p>
        </w:tc>
        <w:tc>
          <w:tcPr>
            <w:tcW w:w="2551" w:type="dxa"/>
            <w:vAlign w:val="center"/>
          </w:tcPr>
          <w:p w14:paraId="624FB40C">
            <w:pPr>
              <w:pStyle w:val="14"/>
            </w:pPr>
            <w:r>
              <w:t>186.12</w:t>
            </w:r>
          </w:p>
        </w:tc>
        <w:tc>
          <w:tcPr>
            <w:tcW w:w="2551" w:type="dxa"/>
            <w:vAlign w:val="center"/>
          </w:tcPr>
          <w:p w14:paraId="63317C21">
            <w:pPr>
              <w:pStyle w:val="14"/>
            </w:pPr>
          </w:p>
        </w:tc>
      </w:tr>
      <w:tr w14:paraId="23F39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FF81E3B">
            <w:pPr>
              <w:pStyle w:val="12"/>
            </w:pPr>
            <w:r>
              <w:t>4</w:t>
            </w:r>
          </w:p>
        </w:tc>
        <w:tc>
          <w:tcPr>
            <w:tcW w:w="1191" w:type="dxa"/>
            <w:vAlign w:val="center"/>
          </w:tcPr>
          <w:p w14:paraId="76B4FC89">
            <w:pPr>
              <w:pStyle w:val="13"/>
            </w:pPr>
            <w:r>
              <w:t>30102</w:t>
            </w:r>
          </w:p>
        </w:tc>
        <w:tc>
          <w:tcPr>
            <w:tcW w:w="4535" w:type="dxa"/>
            <w:vAlign w:val="center"/>
          </w:tcPr>
          <w:p w14:paraId="68F083A9">
            <w:pPr>
              <w:pStyle w:val="13"/>
            </w:pPr>
            <w:r>
              <w:t>津贴补贴</w:t>
            </w:r>
          </w:p>
        </w:tc>
        <w:tc>
          <w:tcPr>
            <w:tcW w:w="2551" w:type="dxa"/>
            <w:vAlign w:val="center"/>
          </w:tcPr>
          <w:p w14:paraId="4A51A89E">
            <w:pPr>
              <w:pStyle w:val="14"/>
            </w:pPr>
            <w:r>
              <w:t>14.34</w:t>
            </w:r>
          </w:p>
        </w:tc>
        <w:tc>
          <w:tcPr>
            <w:tcW w:w="2551" w:type="dxa"/>
            <w:vAlign w:val="center"/>
          </w:tcPr>
          <w:p w14:paraId="4E5F3592">
            <w:pPr>
              <w:pStyle w:val="14"/>
            </w:pPr>
            <w:r>
              <w:t>14.34</w:t>
            </w:r>
          </w:p>
        </w:tc>
        <w:tc>
          <w:tcPr>
            <w:tcW w:w="2551" w:type="dxa"/>
            <w:vAlign w:val="center"/>
          </w:tcPr>
          <w:p w14:paraId="203DEB03">
            <w:pPr>
              <w:pStyle w:val="14"/>
            </w:pPr>
          </w:p>
        </w:tc>
      </w:tr>
      <w:tr w14:paraId="7FBFC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45FB3">
            <w:pPr>
              <w:pStyle w:val="12"/>
            </w:pPr>
            <w:r>
              <w:t>5</w:t>
            </w:r>
          </w:p>
        </w:tc>
        <w:tc>
          <w:tcPr>
            <w:tcW w:w="1191" w:type="dxa"/>
            <w:vAlign w:val="center"/>
          </w:tcPr>
          <w:p w14:paraId="029595F5">
            <w:pPr>
              <w:pStyle w:val="13"/>
            </w:pPr>
            <w:r>
              <w:t>30107</w:t>
            </w:r>
          </w:p>
        </w:tc>
        <w:tc>
          <w:tcPr>
            <w:tcW w:w="4535" w:type="dxa"/>
            <w:vAlign w:val="center"/>
          </w:tcPr>
          <w:p w14:paraId="79DAED72">
            <w:pPr>
              <w:pStyle w:val="13"/>
            </w:pPr>
            <w:r>
              <w:t>绩效工资</w:t>
            </w:r>
          </w:p>
        </w:tc>
        <w:tc>
          <w:tcPr>
            <w:tcW w:w="2551" w:type="dxa"/>
            <w:vAlign w:val="center"/>
          </w:tcPr>
          <w:p w14:paraId="76DE7FC5">
            <w:pPr>
              <w:pStyle w:val="14"/>
            </w:pPr>
            <w:r>
              <w:t>88.48</w:t>
            </w:r>
          </w:p>
        </w:tc>
        <w:tc>
          <w:tcPr>
            <w:tcW w:w="2551" w:type="dxa"/>
            <w:vAlign w:val="center"/>
          </w:tcPr>
          <w:p w14:paraId="30CA771A">
            <w:pPr>
              <w:pStyle w:val="14"/>
            </w:pPr>
            <w:r>
              <w:t>88.48</w:t>
            </w:r>
          </w:p>
        </w:tc>
        <w:tc>
          <w:tcPr>
            <w:tcW w:w="2551" w:type="dxa"/>
            <w:vAlign w:val="center"/>
          </w:tcPr>
          <w:p w14:paraId="38A871AC">
            <w:pPr>
              <w:pStyle w:val="14"/>
            </w:pPr>
          </w:p>
        </w:tc>
      </w:tr>
      <w:tr w14:paraId="5D8A0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9267E">
            <w:pPr>
              <w:pStyle w:val="12"/>
            </w:pPr>
            <w:r>
              <w:t>6</w:t>
            </w:r>
          </w:p>
        </w:tc>
        <w:tc>
          <w:tcPr>
            <w:tcW w:w="1191" w:type="dxa"/>
            <w:vAlign w:val="center"/>
          </w:tcPr>
          <w:p w14:paraId="7C207D3F">
            <w:pPr>
              <w:pStyle w:val="13"/>
            </w:pPr>
            <w:r>
              <w:t>30108</w:t>
            </w:r>
          </w:p>
        </w:tc>
        <w:tc>
          <w:tcPr>
            <w:tcW w:w="4535" w:type="dxa"/>
            <w:vAlign w:val="center"/>
          </w:tcPr>
          <w:p w14:paraId="5C792FBA">
            <w:pPr>
              <w:pStyle w:val="13"/>
            </w:pPr>
            <w:r>
              <w:t>机关事业单位基本养老保险缴费</w:t>
            </w:r>
          </w:p>
        </w:tc>
        <w:tc>
          <w:tcPr>
            <w:tcW w:w="2551" w:type="dxa"/>
            <w:vAlign w:val="center"/>
          </w:tcPr>
          <w:p w14:paraId="64F8EA02">
            <w:pPr>
              <w:pStyle w:val="14"/>
            </w:pPr>
            <w:r>
              <w:t>35.43</w:t>
            </w:r>
          </w:p>
        </w:tc>
        <w:tc>
          <w:tcPr>
            <w:tcW w:w="2551" w:type="dxa"/>
            <w:vAlign w:val="center"/>
          </w:tcPr>
          <w:p w14:paraId="65098922">
            <w:pPr>
              <w:pStyle w:val="14"/>
            </w:pPr>
            <w:r>
              <w:t>35.43</w:t>
            </w:r>
          </w:p>
        </w:tc>
        <w:tc>
          <w:tcPr>
            <w:tcW w:w="2551" w:type="dxa"/>
            <w:vAlign w:val="center"/>
          </w:tcPr>
          <w:p w14:paraId="33CDDABD">
            <w:pPr>
              <w:pStyle w:val="14"/>
            </w:pPr>
          </w:p>
        </w:tc>
      </w:tr>
      <w:tr w14:paraId="6FB94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DDD9C">
            <w:pPr>
              <w:pStyle w:val="12"/>
            </w:pPr>
            <w:r>
              <w:t>7</w:t>
            </w:r>
          </w:p>
        </w:tc>
        <w:tc>
          <w:tcPr>
            <w:tcW w:w="1191" w:type="dxa"/>
            <w:vAlign w:val="center"/>
          </w:tcPr>
          <w:p w14:paraId="1E6B6BCE">
            <w:pPr>
              <w:pStyle w:val="13"/>
            </w:pPr>
            <w:r>
              <w:t>30110</w:t>
            </w:r>
          </w:p>
        </w:tc>
        <w:tc>
          <w:tcPr>
            <w:tcW w:w="4535" w:type="dxa"/>
            <w:vAlign w:val="center"/>
          </w:tcPr>
          <w:p w14:paraId="7E61F4ED">
            <w:pPr>
              <w:pStyle w:val="13"/>
            </w:pPr>
            <w:r>
              <w:t>职工基本医疗保险缴费</w:t>
            </w:r>
          </w:p>
        </w:tc>
        <w:tc>
          <w:tcPr>
            <w:tcW w:w="2551" w:type="dxa"/>
            <w:vAlign w:val="center"/>
          </w:tcPr>
          <w:p w14:paraId="60CED58E">
            <w:pPr>
              <w:pStyle w:val="14"/>
            </w:pPr>
            <w:r>
              <w:t>16.42</w:t>
            </w:r>
          </w:p>
        </w:tc>
        <w:tc>
          <w:tcPr>
            <w:tcW w:w="2551" w:type="dxa"/>
            <w:vAlign w:val="center"/>
          </w:tcPr>
          <w:p w14:paraId="23DA2CD2">
            <w:pPr>
              <w:pStyle w:val="14"/>
            </w:pPr>
            <w:r>
              <w:t>16.42</w:t>
            </w:r>
          </w:p>
        </w:tc>
        <w:tc>
          <w:tcPr>
            <w:tcW w:w="2551" w:type="dxa"/>
            <w:vAlign w:val="center"/>
          </w:tcPr>
          <w:p w14:paraId="7C5DB2D2">
            <w:pPr>
              <w:pStyle w:val="14"/>
            </w:pPr>
          </w:p>
        </w:tc>
      </w:tr>
      <w:tr w14:paraId="6BAA6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10C6E">
            <w:pPr>
              <w:pStyle w:val="12"/>
            </w:pPr>
            <w:r>
              <w:t>8</w:t>
            </w:r>
          </w:p>
        </w:tc>
        <w:tc>
          <w:tcPr>
            <w:tcW w:w="1191" w:type="dxa"/>
            <w:vAlign w:val="center"/>
          </w:tcPr>
          <w:p w14:paraId="6D061647">
            <w:pPr>
              <w:pStyle w:val="13"/>
            </w:pPr>
            <w:r>
              <w:t>30112</w:t>
            </w:r>
          </w:p>
        </w:tc>
        <w:tc>
          <w:tcPr>
            <w:tcW w:w="4535" w:type="dxa"/>
            <w:vAlign w:val="center"/>
          </w:tcPr>
          <w:p w14:paraId="05E9D034">
            <w:pPr>
              <w:pStyle w:val="13"/>
            </w:pPr>
            <w:r>
              <w:t>其他社会保障缴费</w:t>
            </w:r>
          </w:p>
        </w:tc>
        <w:tc>
          <w:tcPr>
            <w:tcW w:w="2551" w:type="dxa"/>
            <w:vAlign w:val="center"/>
          </w:tcPr>
          <w:p w14:paraId="7479D2C3">
            <w:pPr>
              <w:pStyle w:val="14"/>
            </w:pPr>
            <w:r>
              <w:t>1.11</w:t>
            </w:r>
          </w:p>
        </w:tc>
        <w:tc>
          <w:tcPr>
            <w:tcW w:w="2551" w:type="dxa"/>
            <w:vAlign w:val="center"/>
          </w:tcPr>
          <w:p w14:paraId="3B0A184A">
            <w:pPr>
              <w:pStyle w:val="14"/>
            </w:pPr>
            <w:r>
              <w:t>1.11</w:t>
            </w:r>
          </w:p>
        </w:tc>
        <w:tc>
          <w:tcPr>
            <w:tcW w:w="2551" w:type="dxa"/>
            <w:vAlign w:val="center"/>
          </w:tcPr>
          <w:p w14:paraId="1D54623C">
            <w:pPr>
              <w:pStyle w:val="14"/>
            </w:pPr>
          </w:p>
        </w:tc>
      </w:tr>
      <w:tr w14:paraId="48168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738B2">
            <w:pPr>
              <w:pStyle w:val="12"/>
            </w:pPr>
            <w:r>
              <w:t>9</w:t>
            </w:r>
          </w:p>
        </w:tc>
        <w:tc>
          <w:tcPr>
            <w:tcW w:w="1191" w:type="dxa"/>
            <w:vAlign w:val="center"/>
          </w:tcPr>
          <w:p w14:paraId="210671BD">
            <w:pPr>
              <w:pStyle w:val="13"/>
            </w:pPr>
            <w:r>
              <w:t>30113</w:t>
            </w:r>
          </w:p>
        </w:tc>
        <w:tc>
          <w:tcPr>
            <w:tcW w:w="4535" w:type="dxa"/>
            <w:vAlign w:val="center"/>
          </w:tcPr>
          <w:p w14:paraId="4662B909">
            <w:pPr>
              <w:pStyle w:val="13"/>
            </w:pPr>
            <w:r>
              <w:t>住房公积金</w:t>
            </w:r>
          </w:p>
        </w:tc>
        <w:tc>
          <w:tcPr>
            <w:tcW w:w="2551" w:type="dxa"/>
            <w:vAlign w:val="center"/>
          </w:tcPr>
          <w:p w14:paraId="6E30ED95">
            <w:pPr>
              <w:pStyle w:val="14"/>
            </w:pPr>
            <w:r>
              <w:t>27.52</w:t>
            </w:r>
          </w:p>
        </w:tc>
        <w:tc>
          <w:tcPr>
            <w:tcW w:w="2551" w:type="dxa"/>
            <w:vAlign w:val="center"/>
          </w:tcPr>
          <w:p w14:paraId="18E3E1C1">
            <w:pPr>
              <w:pStyle w:val="14"/>
            </w:pPr>
            <w:r>
              <w:t>27.52</w:t>
            </w:r>
          </w:p>
        </w:tc>
        <w:tc>
          <w:tcPr>
            <w:tcW w:w="2551" w:type="dxa"/>
            <w:vAlign w:val="center"/>
          </w:tcPr>
          <w:p w14:paraId="77FAFE99">
            <w:pPr>
              <w:pStyle w:val="14"/>
            </w:pPr>
          </w:p>
        </w:tc>
      </w:tr>
      <w:tr w14:paraId="4EF60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7AB46">
            <w:pPr>
              <w:pStyle w:val="12"/>
            </w:pPr>
            <w:r>
              <w:t>10</w:t>
            </w:r>
          </w:p>
        </w:tc>
        <w:tc>
          <w:tcPr>
            <w:tcW w:w="1191" w:type="dxa"/>
            <w:vAlign w:val="center"/>
          </w:tcPr>
          <w:p w14:paraId="77B434EF">
            <w:pPr>
              <w:pStyle w:val="13"/>
            </w:pPr>
            <w:r>
              <w:t>303</w:t>
            </w:r>
          </w:p>
        </w:tc>
        <w:tc>
          <w:tcPr>
            <w:tcW w:w="4535" w:type="dxa"/>
            <w:vAlign w:val="center"/>
          </w:tcPr>
          <w:p w14:paraId="1FB5723E">
            <w:pPr>
              <w:pStyle w:val="13"/>
            </w:pPr>
            <w:r>
              <w:t>对个人和家庭的补助</w:t>
            </w:r>
          </w:p>
        </w:tc>
        <w:tc>
          <w:tcPr>
            <w:tcW w:w="2551" w:type="dxa"/>
            <w:vAlign w:val="center"/>
          </w:tcPr>
          <w:p w14:paraId="4FA16CE5">
            <w:pPr>
              <w:pStyle w:val="14"/>
            </w:pPr>
            <w:r>
              <w:t>12.71</w:t>
            </w:r>
          </w:p>
        </w:tc>
        <w:tc>
          <w:tcPr>
            <w:tcW w:w="2551" w:type="dxa"/>
            <w:vAlign w:val="center"/>
          </w:tcPr>
          <w:p w14:paraId="36989185">
            <w:pPr>
              <w:pStyle w:val="14"/>
            </w:pPr>
            <w:r>
              <w:t>12.71</w:t>
            </w:r>
          </w:p>
        </w:tc>
        <w:tc>
          <w:tcPr>
            <w:tcW w:w="2551" w:type="dxa"/>
            <w:vAlign w:val="center"/>
          </w:tcPr>
          <w:p w14:paraId="5E5C2B1B">
            <w:pPr>
              <w:pStyle w:val="14"/>
            </w:pPr>
          </w:p>
        </w:tc>
      </w:tr>
      <w:tr w14:paraId="262F9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2BF6B">
            <w:pPr>
              <w:pStyle w:val="12"/>
            </w:pPr>
            <w:r>
              <w:t>11</w:t>
            </w:r>
          </w:p>
        </w:tc>
        <w:tc>
          <w:tcPr>
            <w:tcW w:w="1191" w:type="dxa"/>
            <w:vAlign w:val="center"/>
          </w:tcPr>
          <w:p w14:paraId="0262BE3D">
            <w:pPr>
              <w:pStyle w:val="13"/>
            </w:pPr>
            <w:r>
              <w:t>30302</w:t>
            </w:r>
          </w:p>
        </w:tc>
        <w:tc>
          <w:tcPr>
            <w:tcW w:w="4535" w:type="dxa"/>
            <w:vAlign w:val="center"/>
          </w:tcPr>
          <w:p w14:paraId="490CA041">
            <w:pPr>
              <w:pStyle w:val="13"/>
            </w:pPr>
            <w:r>
              <w:t>退休费</w:t>
            </w:r>
          </w:p>
        </w:tc>
        <w:tc>
          <w:tcPr>
            <w:tcW w:w="2551" w:type="dxa"/>
            <w:vAlign w:val="center"/>
          </w:tcPr>
          <w:p w14:paraId="20B7E9D0">
            <w:pPr>
              <w:pStyle w:val="14"/>
            </w:pPr>
            <w:r>
              <w:t>12.71</w:t>
            </w:r>
          </w:p>
        </w:tc>
        <w:tc>
          <w:tcPr>
            <w:tcW w:w="2551" w:type="dxa"/>
            <w:vAlign w:val="center"/>
          </w:tcPr>
          <w:p w14:paraId="14F8F85C">
            <w:pPr>
              <w:pStyle w:val="14"/>
            </w:pPr>
            <w:r>
              <w:t>12.71</w:t>
            </w:r>
          </w:p>
        </w:tc>
        <w:tc>
          <w:tcPr>
            <w:tcW w:w="2551" w:type="dxa"/>
            <w:vAlign w:val="center"/>
          </w:tcPr>
          <w:p w14:paraId="70339697">
            <w:pPr>
              <w:pStyle w:val="14"/>
            </w:pPr>
          </w:p>
        </w:tc>
      </w:tr>
    </w:tbl>
    <w:p w14:paraId="11CD569B">
      <w:pPr>
        <w:sectPr>
          <w:pgSz w:w="16840" w:h="11900" w:orient="landscape"/>
          <w:pgMar w:top="1361" w:right="1020" w:bottom="1134" w:left="1020" w:header="720" w:footer="720" w:gutter="0"/>
          <w:cols w:space="720" w:num="1"/>
        </w:sectPr>
      </w:pPr>
    </w:p>
    <w:p w14:paraId="24A493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439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E9248B">
            <w:pPr>
              <w:pStyle w:val="8"/>
            </w:pPr>
            <w:r>
              <w:t>360033隆尧县大张庄中学</w:t>
            </w:r>
          </w:p>
        </w:tc>
        <w:tc>
          <w:tcPr>
            <w:tcW w:w="2551" w:type="dxa"/>
            <w:tcBorders>
              <w:top w:val="single" w:color="FFFFFF" w:sz="6" w:space="0"/>
              <w:left w:val="single" w:color="FFFFFF" w:sz="6" w:space="0"/>
              <w:right w:val="single" w:color="FFFFFF" w:sz="6" w:space="0"/>
            </w:tcBorders>
            <w:vAlign w:val="center"/>
          </w:tcPr>
          <w:p w14:paraId="69C2F84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B3937C8">
            <w:pPr>
              <w:pStyle w:val="10"/>
            </w:pPr>
            <w:r>
              <w:t>单位：万元</w:t>
            </w:r>
          </w:p>
        </w:tc>
      </w:tr>
      <w:tr w14:paraId="4C52D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2B5E6">
            <w:pPr>
              <w:pStyle w:val="11"/>
            </w:pPr>
            <w:r>
              <w:t>序号</w:t>
            </w:r>
          </w:p>
        </w:tc>
        <w:tc>
          <w:tcPr>
            <w:tcW w:w="5726" w:type="dxa"/>
            <w:gridSpan w:val="2"/>
            <w:vAlign w:val="center"/>
          </w:tcPr>
          <w:p w14:paraId="4F0E8AD6">
            <w:pPr>
              <w:pStyle w:val="11"/>
            </w:pPr>
            <w:r>
              <w:t>功能分类科目</w:t>
            </w:r>
          </w:p>
        </w:tc>
        <w:tc>
          <w:tcPr>
            <w:tcW w:w="2551" w:type="dxa"/>
            <w:vMerge w:val="restart"/>
            <w:vAlign w:val="center"/>
          </w:tcPr>
          <w:p w14:paraId="19DD7C13">
            <w:pPr>
              <w:pStyle w:val="11"/>
            </w:pPr>
            <w:r>
              <w:t>合计</w:t>
            </w:r>
          </w:p>
        </w:tc>
        <w:tc>
          <w:tcPr>
            <w:tcW w:w="2551" w:type="dxa"/>
            <w:vMerge w:val="restart"/>
            <w:vAlign w:val="center"/>
          </w:tcPr>
          <w:p w14:paraId="70805AA7">
            <w:pPr>
              <w:pStyle w:val="11"/>
            </w:pPr>
            <w:r>
              <w:t>基本支出</w:t>
            </w:r>
          </w:p>
        </w:tc>
        <w:tc>
          <w:tcPr>
            <w:tcW w:w="2551" w:type="dxa"/>
            <w:vMerge w:val="restart"/>
            <w:vAlign w:val="center"/>
          </w:tcPr>
          <w:p w14:paraId="03FC9A4B">
            <w:pPr>
              <w:pStyle w:val="11"/>
            </w:pPr>
            <w:r>
              <w:t>项目支出</w:t>
            </w:r>
          </w:p>
        </w:tc>
      </w:tr>
      <w:tr w14:paraId="4F4BC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E4914"/>
        </w:tc>
        <w:tc>
          <w:tcPr>
            <w:tcW w:w="1191" w:type="dxa"/>
            <w:vAlign w:val="center"/>
          </w:tcPr>
          <w:p w14:paraId="6C373688">
            <w:pPr>
              <w:pStyle w:val="11"/>
            </w:pPr>
            <w:r>
              <w:t>科目编码</w:t>
            </w:r>
          </w:p>
        </w:tc>
        <w:tc>
          <w:tcPr>
            <w:tcW w:w="4535" w:type="dxa"/>
            <w:vAlign w:val="center"/>
          </w:tcPr>
          <w:p w14:paraId="122C3005">
            <w:pPr>
              <w:pStyle w:val="11"/>
            </w:pPr>
            <w:r>
              <w:t>科目名称</w:t>
            </w:r>
          </w:p>
        </w:tc>
        <w:tc>
          <w:tcPr>
            <w:tcW w:w="2551" w:type="dxa"/>
            <w:vMerge w:val="continue"/>
          </w:tcPr>
          <w:p w14:paraId="2598F8D4"/>
        </w:tc>
        <w:tc>
          <w:tcPr>
            <w:tcW w:w="2551" w:type="dxa"/>
            <w:vMerge w:val="continue"/>
          </w:tcPr>
          <w:p w14:paraId="616AA97F"/>
        </w:tc>
        <w:tc>
          <w:tcPr>
            <w:tcW w:w="2551" w:type="dxa"/>
            <w:vMerge w:val="continue"/>
          </w:tcPr>
          <w:p w14:paraId="3F186C66"/>
        </w:tc>
      </w:tr>
      <w:tr w14:paraId="7ACFC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6CD601">
            <w:pPr>
              <w:pStyle w:val="11"/>
            </w:pPr>
            <w:r>
              <w:t>栏次</w:t>
            </w:r>
          </w:p>
        </w:tc>
        <w:tc>
          <w:tcPr>
            <w:tcW w:w="1191" w:type="dxa"/>
            <w:vAlign w:val="center"/>
          </w:tcPr>
          <w:p w14:paraId="2E6A18A0">
            <w:pPr>
              <w:pStyle w:val="11"/>
            </w:pPr>
            <w:r>
              <w:t>1</w:t>
            </w:r>
          </w:p>
        </w:tc>
        <w:tc>
          <w:tcPr>
            <w:tcW w:w="4535" w:type="dxa"/>
            <w:vAlign w:val="center"/>
          </w:tcPr>
          <w:p w14:paraId="0DC9865F">
            <w:pPr>
              <w:pStyle w:val="11"/>
            </w:pPr>
            <w:r>
              <w:t>2</w:t>
            </w:r>
          </w:p>
        </w:tc>
        <w:tc>
          <w:tcPr>
            <w:tcW w:w="2551" w:type="dxa"/>
            <w:vAlign w:val="center"/>
          </w:tcPr>
          <w:p w14:paraId="5A36F3EA">
            <w:pPr>
              <w:pStyle w:val="11"/>
            </w:pPr>
            <w:r>
              <w:t>3</w:t>
            </w:r>
          </w:p>
        </w:tc>
        <w:tc>
          <w:tcPr>
            <w:tcW w:w="2551" w:type="dxa"/>
            <w:vAlign w:val="center"/>
          </w:tcPr>
          <w:p w14:paraId="4F9F6147">
            <w:pPr>
              <w:pStyle w:val="11"/>
            </w:pPr>
            <w:r>
              <w:t>4</w:t>
            </w:r>
          </w:p>
        </w:tc>
        <w:tc>
          <w:tcPr>
            <w:tcW w:w="2551" w:type="dxa"/>
            <w:vAlign w:val="center"/>
          </w:tcPr>
          <w:p w14:paraId="5AB7D477">
            <w:pPr>
              <w:pStyle w:val="11"/>
            </w:pPr>
            <w:r>
              <w:t>5</w:t>
            </w:r>
          </w:p>
        </w:tc>
      </w:tr>
      <w:tr w14:paraId="44EBD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2A9C3">
            <w:pPr>
              <w:pStyle w:val="12"/>
            </w:pPr>
          </w:p>
        </w:tc>
        <w:tc>
          <w:tcPr>
            <w:tcW w:w="1191" w:type="dxa"/>
            <w:vAlign w:val="center"/>
          </w:tcPr>
          <w:p w14:paraId="5EE8A69F">
            <w:pPr>
              <w:pStyle w:val="13"/>
            </w:pPr>
          </w:p>
        </w:tc>
        <w:tc>
          <w:tcPr>
            <w:tcW w:w="4535" w:type="dxa"/>
            <w:vAlign w:val="center"/>
          </w:tcPr>
          <w:p w14:paraId="0DAF0332">
            <w:pPr>
              <w:pStyle w:val="13"/>
            </w:pPr>
          </w:p>
        </w:tc>
        <w:tc>
          <w:tcPr>
            <w:tcW w:w="2551" w:type="dxa"/>
            <w:vAlign w:val="center"/>
          </w:tcPr>
          <w:p w14:paraId="17B2DC90">
            <w:pPr>
              <w:pStyle w:val="14"/>
            </w:pPr>
          </w:p>
        </w:tc>
        <w:tc>
          <w:tcPr>
            <w:tcW w:w="2551" w:type="dxa"/>
            <w:vAlign w:val="center"/>
          </w:tcPr>
          <w:p w14:paraId="6CE79EA6">
            <w:pPr>
              <w:pStyle w:val="14"/>
            </w:pPr>
          </w:p>
        </w:tc>
        <w:tc>
          <w:tcPr>
            <w:tcW w:w="2551" w:type="dxa"/>
            <w:vAlign w:val="center"/>
          </w:tcPr>
          <w:p w14:paraId="7F69C5E2">
            <w:pPr>
              <w:pStyle w:val="14"/>
            </w:pPr>
          </w:p>
        </w:tc>
      </w:tr>
    </w:tbl>
    <w:p w14:paraId="3D6EC7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F57CD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086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E7A626">
            <w:pPr>
              <w:pStyle w:val="8"/>
            </w:pPr>
            <w:r>
              <w:t>360033隆尧县大张庄中学</w:t>
            </w:r>
          </w:p>
        </w:tc>
        <w:tc>
          <w:tcPr>
            <w:tcW w:w="2551" w:type="dxa"/>
            <w:tcBorders>
              <w:top w:val="single" w:color="FFFFFF" w:sz="6" w:space="0"/>
              <w:left w:val="single" w:color="FFFFFF" w:sz="6" w:space="0"/>
              <w:right w:val="single" w:color="FFFFFF" w:sz="6" w:space="0"/>
            </w:tcBorders>
            <w:vAlign w:val="center"/>
          </w:tcPr>
          <w:p w14:paraId="09317BD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1FAE4FF">
            <w:pPr>
              <w:pStyle w:val="10"/>
            </w:pPr>
            <w:r>
              <w:t>单位：万元</w:t>
            </w:r>
          </w:p>
        </w:tc>
      </w:tr>
      <w:tr w14:paraId="532B2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8A17E">
            <w:pPr>
              <w:pStyle w:val="11"/>
            </w:pPr>
            <w:r>
              <w:t>序号</w:t>
            </w:r>
          </w:p>
        </w:tc>
        <w:tc>
          <w:tcPr>
            <w:tcW w:w="5726" w:type="dxa"/>
            <w:gridSpan w:val="2"/>
            <w:vAlign w:val="center"/>
          </w:tcPr>
          <w:p w14:paraId="3042EF9B">
            <w:pPr>
              <w:pStyle w:val="11"/>
            </w:pPr>
            <w:r>
              <w:t>功能分类科目</w:t>
            </w:r>
          </w:p>
        </w:tc>
        <w:tc>
          <w:tcPr>
            <w:tcW w:w="2551" w:type="dxa"/>
            <w:vMerge w:val="restart"/>
            <w:vAlign w:val="center"/>
          </w:tcPr>
          <w:p w14:paraId="49BEF5A5">
            <w:pPr>
              <w:pStyle w:val="11"/>
            </w:pPr>
            <w:r>
              <w:t>合计</w:t>
            </w:r>
          </w:p>
        </w:tc>
        <w:tc>
          <w:tcPr>
            <w:tcW w:w="2551" w:type="dxa"/>
            <w:vMerge w:val="restart"/>
            <w:vAlign w:val="center"/>
          </w:tcPr>
          <w:p w14:paraId="0BA09563">
            <w:pPr>
              <w:pStyle w:val="11"/>
            </w:pPr>
            <w:r>
              <w:t>基本支出</w:t>
            </w:r>
          </w:p>
        </w:tc>
        <w:tc>
          <w:tcPr>
            <w:tcW w:w="2551" w:type="dxa"/>
            <w:vMerge w:val="restart"/>
            <w:vAlign w:val="center"/>
          </w:tcPr>
          <w:p w14:paraId="46F41254">
            <w:pPr>
              <w:pStyle w:val="11"/>
            </w:pPr>
            <w:r>
              <w:t>项目支出</w:t>
            </w:r>
          </w:p>
        </w:tc>
      </w:tr>
      <w:tr w14:paraId="149B1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AC4D5"/>
        </w:tc>
        <w:tc>
          <w:tcPr>
            <w:tcW w:w="1191" w:type="dxa"/>
            <w:vAlign w:val="center"/>
          </w:tcPr>
          <w:p w14:paraId="593123FA">
            <w:pPr>
              <w:pStyle w:val="11"/>
            </w:pPr>
            <w:r>
              <w:t>科目编码</w:t>
            </w:r>
          </w:p>
        </w:tc>
        <w:tc>
          <w:tcPr>
            <w:tcW w:w="4535" w:type="dxa"/>
            <w:vAlign w:val="center"/>
          </w:tcPr>
          <w:p w14:paraId="162D2CE0">
            <w:pPr>
              <w:pStyle w:val="11"/>
            </w:pPr>
            <w:r>
              <w:t>科目名称</w:t>
            </w:r>
          </w:p>
        </w:tc>
        <w:tc>
          <w:tcPr>
            <w:tcW w:w="2551" w:type="dxa"/>
            <w:vMerge w:val="continue"/>
          </w:tcPr>
          <w:p w14:paraId="0D56E98F"/>
        </w:tc>
        <w:tc>
          <w:tcPr>
            <w:tcW w:w="2551" w:type="dxa"/>
            <w:vMerge w:val="continue"/>
          </w:tcPr>
          <w:p w14:paraId="04DC48B9"/>
        </w:tc>
        <w:tc>
          <w:tcPr>
            <w:tcW w:w="2551" w:type="dxa"/>
            <w:vMerge w:val="continue"/>
          </w:tcPr>
          <w:p w14:paraId="5BE90442"/>
        </w:tc>
      </w:tr>
      <w:tr w14:paraId="3E974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8A71FE">
            <w:pPr>
              <w:pStyle w:val="11"/>
            </w:pPr>
            <w:r>
              <w:t>栏次</w:t>
            </w:r>
          </w:p>
        </w:tc>
        <w:tc>
          <w:tcPr>
            <w:tcW w:w="1191" w:type="dxa"/>
            <w:vAlign w:val="center"/>
          </w:tcPr>
          <w:p w14:paraId="401B27FA">
            <w:pPr>
              <w:pStyle w:val="11"/>
            </w:pPr>
            <w:r>
              <w:t>1</w:t>
            </w:r>
          </w:p>
        </w:tc>
        <w:tc>
          <w:tcPr>
            <w:tcW w:w="4535" w:type="dxa"/>
            <w:vAlign w:val="center"/>
          </w:tcPr>
          <w:p w14:paraId="3515830C">
            <w:pPr>
              <w:pStyle w:val="11"/>
            </w:pPr>
            <w:r>
              <w:t>2</w:t>
            </w:r>
          </w:p>
        </w:tc>
        <w:tc>
          <w:tcPr>
            <w:tcW w:w="2551" w:type="dxa"/>
            <w:vAlign w:val="center"/>
          </w:tcPr>
          <w:p w14:paraId="37D09C32">
            <w:pPr>
              <w:pStyle w:val="11"/>
            </w:pPr>
            <w:r>
              <w:t>3</w:t>
            </w:r>
          </w:p>
        </w:tc>
        <w:tc>
          <w:tcPr>
            <w:tcW w:w="2551" w:type="dxa"/>
            <w:vAlign w:val="center"/>
          </w:tcPr>
          <w:p w14:paraId="6C4C39A0">
            <w:pPr>
              <w:pStyle w:val="11"/>
            </w:pPr>
            <w:r>
              <w:t>4</w:t>
            </w:r>
          </w:p>
        </w:tc>
        <w:tc>
          <w:tcPr>
            <w:tcW w:w="2551" w:type="dxa"/>
            <w:vAlign w:val="center"/>
          </w:tcPr>
          <w:p w14:paraId="49A4A0CD">
            <w:pPr>
              <w:pStyle w:val="11"/>
            </w:pPr>
            <w:r>
              <w:t>5</w:t>
            </w:r>
          </w:p>
        </w:tc>
      </w:tr>
      <w:tr w14:paraId="06147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378C6">
            <w:pPr>
              <w:pStyle w:val="12"/>
            </w:pPr>
          </w:p>
        </w:tc>
        <w:tc>
          <w:tcPr>
            <w:tcW w:w="1191" w:type="dxa"/>
            <w:vAlign w:val="center"/>
          </w:tcPr>
          <w:p w14:paraId="3DAE267D">
            <w:pPr>
              <w:pStyle w:val="13"/>
            </w:pPr>
          </w:p>
        </w:tc>
        <w:tc>
          <w:tcPr>
            <w:tcW w:w="4535" w:type="dxa"/>
            <w:vAlign w:val="center"/>
          </w:tcPr>
          <w:p w14:paraId="17168B3F">
            <w:pPr>
              <w:pStyle w:val="13"/>
            </w:pPr>
          </w:p>
        </w:tc>
        <w:tc>
          <w:tcPr>
            <w:tcW w:w="2551" w:type="dxa"/>
            <w:vAlign w:val="center"/>
          </w:tcPr>
          <w:p w14:paraId="16E0EB19">
            <w:pPr>
              <w:pStyle w:val="14"/>
            </w:pPr>
          </w:p>
        </w:tc>
        <w:tc>
          <w:tcPr>
            <w:tcW w:w="2551" w:type="dxa"/>
            <w:vAlign w:val="center"/>
          </w:tcPr>
          <w:p w14:paraId="2E92D59E">
            <w:pPr>
              <w:pStyle w:val="14"/>
            </w:pPr>
          </w:p>
        </w:tc>
        <w:tc>
          <w:tcPr>
            <w:tcW w:w="2551" w:type="dxa"/>
            <w:vAlign w:val="center"/>
          </w:tcPr>
          <w:p w14:paraId="4BCD22D3">
            <w:pPr>
              <w:pStyle w:val="14"/>
            </w:pPr>
          </w:p>
        </w:tc>
      </w:tr>
    </w:tbl>
    <w:p w14:paraId="3E5599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D0C2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E3A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746255A">
            <w:pPr>
              <w:pStyle w:val="8"/>
            </w:pPr>
            <w:r>
              <w:t>360033隆尧县大张庄中学</w:t>
            </w:r>
          </w:p>
        </w:tc>
        <w:tc>
          <w:tcPr>
            <w:tcW w:w="2381" w:type="dxa"/>
            <w:tcBorders>
              <w:top w:val="single" w:color="FFFFFF" w:sz="6" w:space="0"/>
              <w:left w:val="single" w:color="FFFFFF" w:sz="6" w:space="0"/>
              <w:right w:val="single" w:color="FFFFFF" w:sz="6" w:space="0"/>
            </w:tcBorders>
            <w:vAlign w:val="center"/>
          </w:tcPr>
          <w:p w14:paraId="04D10E5A">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57FEF517">
            <w:pPr>
              <w:pStyle w:val="10"/>
            </w:pPr>
            <w:r>
              <w:t>单位：万元</w:t>
            </w:r>
          </w:p>
        </w:tc>
      </w:tr>
      <w:tr w14:paraId="22CC6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8A3C71">
            <w:pPr>
              <w:pStyle w:val="11"/>
            </w:pPr>
            <w:r>
              <w:t>序号</w:t>
            </w:r>
          </w:p>
        </w:tc>
        <w:tc>
          <w:tcPr>
            <w:tcW w:w="3798" w:type="dxa"/>
            <w:vMerge w:val="restart"/>
            <w:vAlign w:val="center"/>
          </w:tcPr>
          <w:p w14:paraId="5EE930CB">
            <w:pPr>
              <w:pStyle w:val="11"/>
            </w:pPr>
            <w:r>
              <w:t>项  目</w:t>
            </w:r>
          </w:p>
        </w:tc>
        <w:tc>
          <w:tcPr>
            <w:tcW w:w="9524" w:type="dxa"/>
            <w:gridSpan w:val="4"/>
            <w:vAlign w:val="center"/>
          </w:tcPr>
          <w:p w14:paraId="491C3A10">
            <w:pPr>
              <w:pStyle w:val="11"/>
            </w:pPr>
            <w:r>
              <w:t>资 金 性 质</w:t>
            </w:r>
          </w:p>
        </w:tc>
      </w:tr>
      <w:tr w14:paraId="5B520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A3D1C8"/>
        </w:tc>
        <w:tc>
          <w:tcPr>
            <w:tcW w:w="3798" w:type="dxa"/>
            <w:vMerge w:val="continue"/>
          </w:tcPr>
          <w:p w14:paraId="2823BF36"/>
        </w:tc>
        <w:tc>
          <w:tcPr>
            <w:tcW w:w="2381" w:type="dxa"/>
            <w:vAlign w:val="center"/>
          </w:tcPr>
          <w:p w14:paraId="5325D0A7">
            <w:pPr>
              <w:pStyle w:val="11"/>
            </w:pPr>
            <w:r>
              <w:t>合计</w:t>
            </w:r>
          </w:p>
        </w:tc>
        <w:tc>
          <w:tcPr>
            <w:tcW w:w="2381" w:type="dxa"/>
            <w:vAlign w:val="center"/>
          </w:tcPr>
          <w:p w14:paraId="6E9810B8">
            <w:pPr>
              <w:pStyle w:val="11"/>
            </w:pPr>
            <w:r>
              <w:t>一般公共预算              财政拨款</w:t>
            </w:r>
          </w:p>
        </w:tc>
        <w:tc>
          <w:tcPr>
            <w:tcW w:w="2381" w:type="dxa"/>
            <w:vAlign w:val="center"/>
          </w:tcPr>
          <w:p w14:paraId="7B25DB04">
            <w:pPr>
              <w:pStyle w:val="11"/>
            </w:pPr>
            <w:r>
              <w:t>政府性基金                  预算拨款</w:t>
            </w:r>
          </w:p>
        </w:tc>
        <w:tc>
          <w:tcPr>
            <w:tcW w:w="2381" w:type="dxa"/>
            <w:vAlign w:val="center"/>
          </w:tcPr>
          <w:p w14:paraId="12BAC3C7">
            <w:pPr>
              <w:pStyle w:val="11"/>
            </w:pPr>
            <w:r>
              <w:t>国有资本经营              预算财政拨款</w:t>
            </w:r>
          </w:p>
        </w:tc>
      </w:tr>
      <w:tr w14:paraId="07E9F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2F6CC9">
            <w:pPr>
              <w:pStyle w:val="11"/>
            </w:pPr>
            <w:r>
              <w:t>栏次</w:t>
            </w:r>
          </w:p>
        </w:tc>
        <w:tc>
          <w:tcPr>
            <w:tcW w:w="3798" w:type="dxa"/>
            <w:vAlign w:val="center"/>
          </w:tcPr>
          <w:p w14:paraId="242EC5F6">
            <w:pPr>
              <w:pStyle w:val="11"/>
            </w:pPr>
            <w:r>
              <w:t>1</w:t>
            </w:r>
          </w:p>
        </w:tc>
        <w:tc>
          <w:tcPr>
            <w:tcW w:w="2381" w:type="dxa"/>
            <w:vAlign w:val="center"/>
          </w:tcPr>
          <w:p w14:paraId="2834BF39">
            <w:pPr>
              <w:pStyle w:val="11"/>
            </w:pPr>
            <w:r>
              <w:t>2</w:t>
            </w:r>
          </w:p>
        </w:tc>
        <w:tc>
          <w:tcPr>
            <w:tcW w:w="2381" w:type="dxa"/>
            <w:vAlign w:val="center"/>
          </w:tcPr>
          <w:p w14:paraId="5387CA70">
            <w:pPr>
              <w:pStyle w:val="11"/>
            </w:pPr>
            <w:r>
              <w:t>3</w:t>
            </w:r>
          </w:p>
        </w:tc>
        <w:tc>
          <w:tcPr>
            <w:tcW w:w="2381" w:type="dxa"/>
            <w:vAlign w:val="center"/>
          </w:tcPr>
          <w:p w14:paraId="59907898">
            <w:pPr>
              <w:pStyle w:val="11"/>
            </w:pPr>
            <w:r>
              <w:t>4</w:t>
            </w:r>
          </w:p>
        </w:tc>
        <w:tc>
          <w:tcPr>
            <w:tcW w:w="2381" w:type="dxa"/>
            <w:vAlign w:val="center"/>
          </w:tcPr>
          <w:p w14:paraId="4AA59038">
            <w:pPr>
              <w:pStyle w:val="11"/>
            </w:pPr>
            <w:r>
              <w:t>5</w:t>
            </w:r>
          </w:p>
        </w:tc>
      </w:tr>
      <w:tr w14:paraId="0AFC2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D0D11E">
            <w:pPr>
              <w:pStyle w:val="12"/>
            </w:pPr>
          </w:p>
        </w:tc>
        <w:tc>
          <w:tcPr>
            <w:tcW w:w="3798" w:type="dxa"/>
            <w:vAlign w:val="center"/>
          </w:tcPr>
          <w:p w14:paraId="51DB5831">
            <w:pPr>
              <w:pStyle w:val="13"/>
            </w:pPr>
          </w:p>
        </w:tc>
        <w:tc>
          <w:tcPr>
            <w:tcW w:w="2381" w:type="dxa"/>
            <w:vAlign w:val="center"/>
          </w:tcPr>
          <w:p w14:paraId="14ED1C30">
            <w:pPr>
              <w:pStyle w:val="14"/>
            </w:pPr>
          </w:p>
        </w:tc>
        <w:tc>
          <w:tcPr>
            <w:tcW w:w="2381" w:type="dxa"/>
            <w:vAlign w:val="center"/>
          </w:tcPr>
          <w:p w14:paraId="2C38B930">
            <w:pPr>
              <w:pStyle w:val="14"/>
            </w:pPr>
          </w:p>
        </w:tc>
        <w:tc>
          <w:tcPr>
            <w:tcW w:w="2381" w:type="dxa"/>
            <w:vAlign w:val="center"/>
          </w:tcPr>
          <w:p w14:paraId="622D2F83">
            <w:pPr>
              <w:pStyle w:val="14"/>
            </w:pPr>
          </w:p>
        </w:tc>
        <w:tc>
          <w:tcPr>
            <w:tcW w:w="2381" w:type="dxa"/>
            <w:vAlign w:val="center"/>
          </w:tcPr>
          <w:p w14:paraId="78CFE373">
            <w:pPr>
              <w:pStyle w:val="14"/>
            </w:pPr>
          </w:p>
        </w:tc>
      </w:tr>
    </w:tbl>
    <w:p w14:paraId="55BF1CA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B392DFD">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隆尧县大张庄中学2025年单位预算信息公开情况说明</w:t>
      </w:r>
    </w:p>
    <w:p w14:paraId="5F0F075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按照《中华人民共和国预算法》、《地方预决算公开操作规程》和《关于进一步推进预算公开工作的实施意见》规定，现将隆尧县大张庄中学2025年单位预算公开如下：</w:t>
      </w:r>
    </w:p>
    <w:p w14:paraId="3C42916E">
      <w:pPr>
        <w:spacing w:before="10" w:after="10" w:line="240" w:lineRule="auto"/>
        <w:ind w:firstLine="640"/>
        <w:jc w:val="left"/>
        <w:outlineLvl w:val="5"/>
      </w:pPr>
      <w:r>
        <w:rPr>
          <w:rFonts w:ascii="黑体" w:hAnsi="黑体" w:eastAsia="黑体" w:cs="黑体"/>
          <w:color w:val="000000"/>
          <w:sz w:val="32"/>
        </w:rPr>
        <w:t>一、单位职责及机构设置情况</w:t>
      </w:r>
    </w:p>
    <w:p w14:paraId="2513A63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A0CDECF">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04CB252B">
      <w:pPr>
        <w:pStyle w:val="18"/>
      </w:pPr>
      <w:r>
        <w:t>隆尧县大张庄中学事业编制33名．其中，校长1名（正股级），副校长3名（副股级）；经费形式为财政性资金基本保证</w:t>
      </w:r>
    </w:p>
    <w:p w14:paraId="681E1D4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5E9EC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8614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CBA54BE">
            <w:pPr>
              <w:pStyle w:val="11"/>
            </w:pPr>
            <w:r>
              <w:t>单位名称</w:t>
            </w:r>
          </w:p>
        </w:tc>
        <w:tc>
          <w:tcPr>
            <w:tcW w:w="1843" w:type="dxa"/>
            <w:vAlign w:val="center"/>
          </w:tcPr>
          <w:p w14:paraId="44286DE3">
            <w:pPr>
              <w:pStyle w:val="11"/>
            </w:pPr>
            <w:r>
              <w:t>单位性质</w:t>
            </w:r>
          </w:p>
        </w:tc>
        <w:tc>
          <w:tcPr>
            <w:tcW w:w="2126" w:type="dxa"/>
            <w:vAlign w:val="center"/>
          </w:tcPr>
          <w:p w14:paraId="767737F9">
            <w:pPr>
              <w:pStyle w:val="11"/>
            </w:pPr>
            <w:r>
              <w:t>单位规格</w:t>
            </w:r>
          </w:p>
        </w:tc>
        <w:tc>
          <w:tcPr>
            <w:tcW w:w="3827" w:type="dxa"/>
            <w:vAlign w:val="center"/>
          </w:tcPr>
          <w:p w14:paraId="639B81B7">
            <w:pPr>
              <w:pStyle w:val="11"/>
            </w:pPr>
            <w:r>
              <w:t>经费保障形式</w:t>
            </w:r>
          </w:p>
        </w:tc>
      </w:tr>
      <w:tr w14:paraId="49483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5393CB6">
            <w:pPr>
              <w:pStyle w:val="13"/>
            </w:pPr>
            <w:r>
              <w:t>隆尧县大张庄中学</w:t>
            </w:r>
          </w:p>
        </w:tc>
        <w:tc>
          <w:tcPr>
            <w:tcW w:w="1843" w:type="dxa"/>
            <w:vAlign w:val="center"/>
          </w:tcPr>
          <w:p w14:paraId="67B6BDBC">
            <w:pPr>
              <w:pStyle w:val="12"/>
            </w:pPr>
            <w:r>
              <w:t>事业</w:t>
            </w:r>
          </w:p>
        </w:tc>
        <w:tc>
          <w:tcPr>
            <w:tcW w:w="2126" w:type="dxa"/>
            <w:vAlign w:val="center"/>
          </w:tcPr>
          <w:p w14:paraId="0632A91E">
            <w:pPr>
              <w:pStyle w:val="12"/>
            </w:pPr>
            <w:r>
              <w:t>股级</w:t>
            </w:r>
          </w:p>
        </w:tc>
        <w:tc>
          <w:tcPr>
            <w:tcW w:w="3827" w:type="dxa"/>
            <w:vAlign w:val="center"/>
          </w:tcPr>
          <w:p w14:paraId="25761D80">
            <w:pPr>
              <w:pStyle w:val="12"/>
            </w:pPr>
            <w:r>
              <w:t>财政性资金基本保证</w:t>
            </w:r>
          </w:p>
        </w:tc>
      </w:tr>
    </w:tbl>
    <w:p w14:paraId="76EA015C">
      <w:pPr>
        <w:spacing w:before="10" w:after="10" w:line="240" w:lineRule="auto"/>
        <w:ind w:firstLine="640"/>
        <w:jc w:val="left"/>
        <w:outlineLvl w:val="5"/>
      </w:pPr>
      <w:r>
        <w:rPr>
          <w:rFonts w:ascii="黑体" w:hAnsi="黑体" w:eastAsia="黑体" w:cs="黑体"/>
          <w:color w:val="000000"/>
          <w:sz w:val="32"/>
        </w:rPr>
        <w:t>二、单位预算安排的总体情况</w:t>
      </w:r>
    </w:p>
    <w:p w14:paraId="440FEE5F">
      <w:pPr>
        <w:pStyle w:val="19"/>
      </w:pPr>
      <w:r>
        <w:t>按照预算管理有关规定，目前我校单位预算的编制实行综合预算管理，即全部收入和支出都反映的预算中。隆尧县大张庄中学的收支包含在单位预算中。</w:t>
      </w:r>
    </w:p>
    <w:p w14:paraId="1E3E41D4">
      <w:pPr>
        <w:pStyle w:val="19"/>
      </w:pPr>
      <w:r>
        <w:t>1、收入说明</w:t>
      </w:r>
    </w:p>
    <w:p w14:paraId="28658918">
      <w:pPr>
        <w:pStyle w:val="19"/>
      </w:pPr>
      <w:r>
        <w:t>反映本单位当年全部收入。2025年预算收入658.33万元，其中：一般公共预算收入658.33万元，基金预算收入0元，财政专户管理资金收入0元，其单位资金收入0元，上年结转结余0万元。</w:t>
      </w:r>
    </w:p>
    <w:p w14:paraId="3A117C9C">
      <w:pPr>
        <w:pStyle w:val="19"/>
      </w:pPr>
      <w:r>
        <w:t>2、支出说明</w:t>
      </w:r>
    </w:p>
    <w:p w14:paraId="70ECDC41">
      <w:pPr>
        <w:pStyle w:val="19"/>
      </w:pPr>
      <w:r>
        <w:t>收支预算总表支出栏、基本支出表、项目支出表按经济分类和支出功能分类科目编制，反映隆尧县大张庄中学年度单位预算中支出预算的总体情况。2025年单位支出预算为658.33万元，其中基本支出382.14万元、项目支出276.2万元。为初中教育658.33万元。</w:t>
      </w:r>
    </w:p>
    <w:p w14:paraId="4A62A1AE">
      <w:pPr>
        <w:pStyle w:val="19"/>
      </w:pPr>
      <w:r>
        <w:t>3、比上年增减情况</w:t>
      </w:r>
    </w:p>
    <w:p w14:paraId="0253773B">
      <w:pPr>
        <w:pStyle w:val="19"/>
      </w:pPr>
      <w:r>
        <w:t>2025年单位预算收支安排658.33万元，比2024年减少307.94万元，其中基本支出增加20.15万元、项目支出减少339.08万元。</w:t>
      </w:r>
    </w:p>
    <w:p w14:paraId="173F83DF">
      <w:pPr>
        <w:spacing w:before="10" w:after="10" w:line="240" w:lineRule="auto"/>
        <w:ind w:firstLine="640"/>
        <w:jc w:val="left"/>
        <w:outlineLvl w:val="5"/>
      </w:pPr>
      <w:r>
        <w:rPr>
          <w:rFonts w:ascii="黑体" w:hAnsi="黑体" w:eastAsia="黑体" w:cs="黑体"/>
          <w:color w:val="000000"/>
          <w:sz w:val="32"/>
        </w:rPr>
        <w:t>三、机关运行经费安排情况</w:t>
      </w:r>
    </w:p>
    <w:p w14:paraId="69F3B8EE">
      <w:pPr>
        <w:pStyle w:val="20"/>
      </w:pPr>
      <w:r>
        <w:t>2025年，我单位按学生安排公用经费，无机关运行经费。</w:t>
      </w:r>
    </w:p>
    <w:p w14:paraId="77DAEAA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3448335">
      <w:pPr>
        <w:pStyle w:val="21"/>
      </w:pPr>
      <w:r>
        <w:t>2025年，我单位财政拨款“三公”经费预算安排0万元，其中因公出国（境）费0万元；公务用车购置及运维费0万元（其中：公务用车购置费为0万元，公务用车运行维护费0万元)；公务接待费0万元。与2024年相比无变化。</w:t>
      </w:r>
    </w:p>
    <w:p w14:paraId="0258938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415C5A">
      <w:pPr>
        <w:spacing w:before="0" w:after="0"/>
        <w:ind w:firstLine="560"/>
        <w:jc w:val="left"/>
        <w:outlineLvl w:val="9"/>
      </w:pPr>
      <w:r>
        <w:rPr>
          <w:rFonts w:ascii="方正仿宋_GBK" w:hAnsi="方正仿宋_GBK" w:eastAsia="方正仿宋_GBK" w:cs="方正仿宋_GBK"/>
          <w:b/>
          <w:color w:val="000000"/>
          <w:sz w:val="28"/>
        </w:rPr>
        <w:t>1、冀财教[2024]123号/中央/2025年义教补助经费/大张庄中学公用经费绩效目标表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27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EEB33">
            <w:pPr>
              <w:pStyle w:val="14"/>
            </w:pPr>
            <w:r>
              <w:t>单位：万元</w:t>
            </w:r>
          </w:p>
        </w:tc>
      </w:tr>
      <w:tr w14:paraId="5FA72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D3828F">
            <w:pPr>
              <w:pStyle w:val="11"/>
            </w:pPr>
            <w:r>
              <w:t>项目编码</w:t>
            </w:r>
          </w:p>
        </w:tc>
        <w:tc>
          <w:tcPr>
            <w:tcW w:w="5103" w:type="dxa"/>
            <w:gridSpan w:val="2"/>
            <w:vAlign w:val="center"/>
          </w:tcPr>
          <w:p w14:paraId="4E102D02">
            <w:pPr>
              <w:pStyle w:val="13"/>
            </w:pPr>
            <w:r>
              <w:t>13052525P00000410051Y</w:t>
            </w:r>
          </w:p>
        </w:tc>
        <w:tc>
          <w:tcPr>
            <w:tcW w:w="2835" w:type="dxa"/>
            <w:vAlign w:val="center"/>
          </w:tcPr>
          <w:p w14:paraId="3355257A">
            <w:pPr>
              <w:pStyle w:val="11"/>
            </w:pPr>
            <w:r>
              <w:t>项目名称</w:t>
            </w:r>
          </w:p>
        </w:tc>
        <w:tc>
          <w:tcPr>
            <w:tcW w:w="6095" w:type="dxa"/>
            <w:gridSpan w:val="3"/>
            <w:vAlign w:val="center"/>
          </w:tcPr>
          <w:p w14:paraId="7273B1EA">
            <w:pPr>
              <w:pStyle w:val="13"/>
            </w:pPr>
            <w:r>
              <w:t>冀财教[2024]123号/中央/2025年义教补助经费/大张庄中学公用经费</w:t>
            </w:r>
          </w:p>
        </w:tc>
      </w:tr>
      <w:tr w14:paraId="51B18B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D1F57">
            <w:pPr>
              <w:pStyle w:val="11"/>
            </w:pPr>
            <w:r>
              <w:t>预算规模及资金用途</w:t>
            </w:r>
          </w:p>
        </w:tc>
        <w:tc>
          <w:tcPr>
            <w:tcW w:w="2268" w:type="dxa"/>
            <w:vAlign w:val="center"/>
          </w:tcPr>
          <w:p w14:paraId="0893E715">
            <w:pPr>
              <w:pStyle w:val="11"/>
            </w:pPr>
            <w:r>
              <w:t>预算数</w:t>
            </w:r>
          </w:p>
        </w:tc>
        <w:tc>
          <w:tcPr>
            <w:tcW w:w="2835" w:type="dxa"/>
            <w:vAlign w:val="center"/>
          </w:tcPr>
          <w:p w14:paraId="194C12CD">
            <w:pPr>
              <w:pStyle w:val="13"/>
            </w:pPr>
            <w:r>
              <w:t>38.22</w:t>
            </w:r>
          </w:p>
        </w:tc>
        <w:tc>
          <w:tcPr>
            <w:tcW w:w="2835" w:type="dxa"/>
            <w:vAlign w:val="center"/>
          </w:tcPr>
          <w:p w14:paraId="712F5100">
            <w:pPr>
              <w:pStyle w:val="11"/>
            </w:pPr>
            <w:r>
              <w:t>其中：财政    资金</w:t>
            </w:r>
          </w:p>
        </w:tc>
        <w:tc>
          <w:tcPr>
            <w:tcW w:w="2551" w:type="dxa"/>
            <w:vAlign w:val="center"/>
          </w:tcPr>
          <w:p w14:paraId="481E5072">
            <w:pPr>
              <w:pStyle w:val="13"/>
            </w:pPr>
            <w:r>
              <w:t>38.22</w:t>
            </w:r>
          </w:p>
        </w:tc>
        <w:tc>
          <w:tcPr>
            <w:tcW w:w="2268" w:type="dxa"/>
            <w:vAlign w:val="center"/>
          </w:tcPr>
          <w:p w14:paraId="49571205">
            <w:pPr>
              <w:pStyle w:val="11"/>
            </w:pPr>
            <w:r>
              <w:t>其他资金</w:t>
            </w:r>
          </w:p>
        </w:tc>
        <w:tc>
          <w:tcPr>
            <w:tcW w:w="1276" w:type="dxa"/>
            <w:vAlign w:val="center"/>
          </w:tcPr>
          <w:p w14:paraId="72F041F7">
            <w:pPr>
              <w:pStyle w:val="13"/>
            </w:pPr>
            <w:r>
              <w:t xml:space="preserve"> </w:t>
            </w:r>
          </w:p>
        </w:tc>
      </w:tr>
      <w:tr w14:paraId="53DF3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36958A"/>
        </w:tc>
        <w:tc>
          <w:tcPr>
            <w:tcW w:w="14033" w:type="dxa"/>
            <w:gridSpan w:val="6"/>
            <w:vAlign w:val="center"/>
          </w:tcPr>
          <w:p w14:paraId="7E9DB7E6">
            <w:pPr>
              <w:pStyle w:val="13"/>
            </w:pPr>
            <w:r>
              <w:t>保障义务教育学校正常运转，完成教育教学活动和其他日常工作任务等方面的费用支出。</w:t>
            </w:r>
            <w:r>
              <w:tab/>
            </w:r>
          </w:p>
        </w:tc>
      </w:tr>
      <w:tr w14:paraId="6367A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76343">
            <w:pPr>
              <w:pStyle w:val="11"/>
            </w:pPr>
            <w:r>
              <w:t>资金支出计划（%）</w:t>
            </w:r>
          </w:p>
        </w:tc>
        <w:tc>
          <w:tcPr>
            <w:tcW w:w="5103" w:type="dxa"/>
            <w:gridSpan w:val="2"/>
            <w:vAlign w:val="center"/>
          </w:tcPr>
          <w:p w14:paraId="107597B0">
            <w:pPr>
              <w:pStyle w:val="11"/>
            </w:pPr>
            <w:r>
              <w:t>3月底</w:t>
            </w:r>
          </w:p>
        </w:tc>
        <w:tc>
          <w:tcPr>
            <w:tcW w:w="2835" w:type="dxa"/>
            <w:vAlign w:val="center"/>
          </w:tcPr>
          <w:p w14:paraId="3E1EE5E6">
            <w:pPr>
              <w:pStyle w:val="11"/>
            </w:pPr>
            <w:r>
              <w:t>6月底</w:t>
            </w:r>
          </w:p>
        </w:tc>
        <w:tc>
          <w:tcPr>
            <w:tcW w:w="2551" w:type="dxa"/>
            <w:vAlign w:val="center"/>
          </w:tcPr>
          <w:p w14:paraId="5D7D60FD">
            <w:pPr>
              <w:pStyle w:val="11"/>
            </w:pPr>
            <w:r>
              <w:t>10月底</w:t>
            </w:r>
          </w:p>
        </w:tc>
        <w:tc>
          <w:tcPr>
            <w:tcW w:w="3544" w:type="dxa"/>
            <w:gridSpan w:val="2"/>
            <w:vAlign w:val="center"/>
          </w:tcPr>
          <w:p w14:paraId="2AF3E419">
            <w:pPr>
              <w:pStyle w:val="11"/>
            </w:pPr>
            <w:r>
              <w:t>12月底</w:t>
            </w:r>
          </w:p>
        </w:tc>
      </w:tr>
      <w:tr w14:paraId="7D846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61081"/>
        </w:tc>
        <w:tc>
          <w:tcPr>
            <w:tcW w:w="5103" w:type="dxa"/>
            <w:gridSpan w:val="2"/>
            <w:vAlign w:val="center"/>
          </w:tcPr>
          <w:p w14:paraId="64743838">
            <w:pPr>
              <w:pStyle w:val="12"/>
            </w:pPr>
            <w:r>
              <w:t>25%</w:t>
            </w:r>
          </w:p>
        </w:tc>
        <w:tc>
          <w:tcPr>
            <w:tcW w:w="2835" w:type="dxa"/>
            <w:vAlign w:val="center"/>
          </w:tcPr>
          <w:p w14:paraId="3D405990">
            <w:pPr>
              <w:pStyle w:val="12"/>
            </w:pPr>
            <w:r>
              <w:t>50%</w:t>
            </w:r>
          </w:p>
        </w:tc>
        <w:tc>
          <w:tcPr>
            <w:tcW w:w="2551" w:type="dxa"/>
            <w:vAlign w:val="center"/>
          </w:tcPr>
          <w:p w14:paraId="2F99F6D7">
            <w:pPr>
              <w:pStyle w:val="12"/>
            </w:pPr>
            <w:r>
              <w:t>75%</w:t>
            </w:r>
          </w:p>
        </w:tc>
        <w:tc>
          <w:tcPr>
            <w:tcW w:w="3544" w:type="dxa"/>
            <w:gridSpan w:val="2"/>
            <w:vAlign w:val="center"/>
          </w:tcPr>
          <w:p w14:paraId="3898B29E">
            <w:pPr>
              <w:pStyle w:val="12"/>
            </w:pPr>
            <w:r>
              <w:t>100%</w:t>
            </w:r>
          </w:p>
        </w:tc>
      </w:tr>
      <w:tr w14:paraId="38579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37418A">
            <w:pPr>
              <w:pStyle w:val="11"/>
            </w:pPr>
            <w:r>
              <w:t>绩效目标</w:t>
            </w:r>
          </w:p>
        </w:tc>
        <w:tc>
          <w:tcPr>
            <w:tcW w:w="14033" w:type="dxa"/>
            <w:gridSpan w:val="6"/>
            <w:vAlign w:val="center"/>
          </w:tcPr>
          <w:p w14:paraId="305970AA">
            <w:pPr>
              <w:pStyle w:val="13"/>
            </w:pPr>
            <w:r>
              <w:t>1.保障义务教育学校正常运转，完成教育教学活动和其他日常工作任务等方面的费用支出。</w:t>
            </w:r>
            <w:r>
              <w:tab/>
            </w:r>
          </w:p>
        </w:tc>
      </w:tr>
    </w:tbl>
    <w:p w14:paraId="433A56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63"/>
        <w:gridCol w:w="2081"/>
      </w:tblGrid>
      <w:tr w14:paraId="3B36F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DDB6C">
            <w:pPr>
              <w:pStyle w:val="11"/>
            </w:pPr>
            <w:r>
              <w:t>一级指标</w:t>
            </w:r>
          </w:p>
        </w:tc>
        <w:tc>
          <w:tcPr>
            <w:tcW w:w="2268" w:type="dxa"/>
            <w:vAlign w:val="center"/>
          </w:tcPr>
          <w:p w14:paraId="3B0EA672">
            <w:pPr>
              <w:pStyle w:val="11"/>
            </w:pPr>
            <w:r>
              <w:t>二级指标</w:t>
            </w:r>
          </w:p>
        </w:tc>
        <w:tc>
          <w:tcPr>
            <w:tcW w:w="2835" w:type="dxa"/>
            <w:vAlign w:val="center"/>
          </w:tcPr>
          <w:p w14:paraId="6D2D5055">
            <w:pPr>
              <w:pStyle w:val="11"/>
            </w:pPr>
            <w:r>
              <w:t>三级指标</w:t>
            </w:r>
          </w:p>
        </w:tc>
        <w:tc>
          <w:tcPr>
            <w:tcW w:w="5386" w:type="dxa"/>
            <w:vAlign w:val="center"/>
          </w:tcPr>
          <w:p w14:paraId="524FD061">
            <w:pPr>
              <w:pStyle w:val="11"/>
            </w:pPr>
            <w:r>
              <w:t>绩效指标描述</w:t>
            </w:r>
          </w:p>
        </w:tc>
        <w:tc>
          <w:tcPr>
            <w:tcW w:w="1463" w:type="dxa"/>
            <w:vAlign w:val="center"/>
          </w:tcPr>
          <w:p w14:paraId="69D4CAC2">
            <w:pPr>
              <w:pStyle w:val="11"/>
            </w:pPr>
            <w:r>
              <w:t>指标值</w:t>
            </w:r>
          </w:p>
        </w:tc>
        <w:tc>
          <w:tcPr>
            <w:tcW w:w="2081" w:type="dxa"/>
            <w:vAlign w:val="center"/>
          </w:tcPr>
          <w:p w14:paraId="6B669D7E">
            <w:pPr>
              <w:pStyle w:val="11"/>
            </w:pPr>
            <w:r>
              <w:t>指标值确定依据</w:t>
            </w:r>
          </w:p>
        </w:tc>
      </w:tr>
      <w:tr w14:paraId="1202F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4D186">
            <w:pPr>
              <w:pStyle w:val="12"/>
            </w:pPr>
            <w:r>
              <w:t>产出指标</w:t>
            </w:r>
          </w:p>
        </w:tc>
        <w:tc>
          <w:tcPr>
            <w:tcW w:w="2268" w:type="dxa"/>
            <w:vAlign w:val="center"/>
          </w:tcPr>
          <w:p w14:paraId="4A712002">
            <w:pPr>
              <w:pStyle w:val="13"/>
            </w:pPr>
            <w:r>
              <w:t>成本指标</w:t>
            </w:r>
          </w:p>
        </w:tc>
        <w:tc>
          <w:tcPr>
            <w:tcW w:w="2835" w:type="dxa"/>
            <w:vAlign w:val="center"/>
          </w:tcPr>
          <w:p w14:paraId="6B793571">
            <w:pPr>
              <w:pStyle w:val="13"/>
            </w:pPr>
            <w:r>
              <w:t>生均拨款标准</w:t>
            </w:r>
          </w:p>
        </w:tc>
        <w:tc>
          <w:tcPr>
            <w:tcW w:w="5386" w:type="dxa"/>
            <w:vAlign w:val="center"/>
          </w:tcPr>
          <w:p w14:paraId="30F08E70">
            <w:pPr>
              <w:pStyle w:val="13"/>
            </w:pPr>
            <w:r>
              <w:t>初中生公用经费生均940元。取暖费120元/生/年，寄宿生均300元。</w:t>
            </w:r>
          </w:p>
        </w:tc>
        <w:tc>
          <w:tcPr>
            <w:tcW w:w="1463" w:type="dxa"/>
            <w:vAlign w:val="center"/>
          </w:tcPr>
          <w:p w14:paraId="5414FD66">
            <w:pPr>
              <w:pStyle w:val="13"/>
            </w:pPr>
            <w:r>
              <w:t>1360元</w:t>
            </w:r>
          </w:p>
        </w:tc>
        <w:tc>
          <w:tcPr>
            <w:tcW w:w="2081" w:type="dxa"/>
            <w:vAlign w:val="center"/>
          </w:tcPr>
          <w:p w14:paraId="2AF47308">
            <w:pPr>
              <w:pStyle w:val="13"/>
            </w:pPr>
            <w:r>
              <w:t>城乡义务教育公用经费管理办法</w:t>
            </w:r>
          </w:p>
        </w:tc>
      </w:tr>
      <w:tr w14:paraId="31077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2E2E2"/>
        </w:tc>
        <w:tc>
          <w:tcPr>
            <w:tcW w:w="2268" w:type="dxa"/>
            <w:vAlign w:val="center"/>
          </w:tcPr>
          <w:p w14:paraId="3188C27D">
            <w:pPr>
              <w:pStyle w:val="13"/>
            </w:pPr>
            <w:r>
              <w:t>数量指标</w:t>
            </w:r>
          </w:p>
        </w:tc>
        <w:tc>
          <w:tcPr>
            <w:tcW w:w="2835" w:type="dxa"/>
            <w:vAlign w:val="center"/>
          </w:tcPr>
          <w:p w14:paraId="47082105">
            <w:pPr>
              <w:pStyle w:val="13"/>
            </w:pPr>
            <w:r>
              <w:t>就读学生数</w:t>
            </w:r>
          </w:p>
        </w:tc>
        <w:tc>
          <w:tcPr>
            <w:tcW w:w="5386" w:type="dxa"/>
            <w:vAlign w:val="center"/>
          </w:tcPr>
          <w:p w14:paraId="1D9D82EB">
            <w:pPr>
              <w:pStyle w:val="13"/>
            </w:pPr>
            <w:r>
              <w:t>辐射区域内适龄学生人数</w:t>
            </w:r>
          </w:p>
        </w:tc>
        <w:tc>
          <w:tcPr>
            <w:tcW w:w="1463" w:type="dxa"/>
            <w:vAlign w:val="center"/>
          </w:tcPr>
          <w:p w14:paraId="50BF7299">
            <w:pPr>
              <w:pStyle w:val="13"/>
            </w:pPr>
            <w:r>
              <w:t>302人</w:t>
            </w:r>
          </w:p>
        </w:tc>
        <w:tc>
          <w:tcPr>
            <w:tcW w:w="2081" w:type="dxa"/>
            <w:vAlign w:val="center"/>
          </w:tcPr>
          <w:p w14:paraId="6F440939">
            <w:pPr>
              <w:pStyle w:val="13"/>
            </w:pPr>
            <w:r>
              <w:t>城乡义务教育公用经费管理办法</w:t>
            </w:r>
          </w:p>
        </w:tc>
      </w:tr>
      <w:tr w14:paraId="5B28C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9A925"/>
        </w:tc>
        <w:tc>
          <w:tcPr>
            <w:tcW w:w="2268" w:type="dxa"/>
            <w:vAlign w:val="center"/>
          </w:tcPr>
          <w:p w14:paraId="44DF2692">
            <w:pPr>
              <w:pStyle w:val="13"/>
            </w:pPr>
            <w:r>
              <w:t>质量指标</w:t>
            </w:r>
          </w:p>
        </w:tc>
        <w:tc>
          <w:tcPr>
            <w:tcW w:w="2835" w:type="dxa"/>
            <w:vAlign w:val="center"/>
          </w:tcPr>
          <w:p w14:paraId="7B1FA91F">
            <w:pPr>
              <w:pStyle w:val="13"/>
            </w:pPr>
            <w:r>
              <w:t>预算执行率</w:t>
            </w:r>
          </w:p>
        </w:tc>
        <w:tc>
          <w:tcPr>
            <w:tcW w:w="5386" w:type="dxa"/>
            <w:vAlign w:val="center"/>
          </w:tcPr>
          <w:p w14:paraId="45E649BB">
            <w:pPr>
              <w:pStyle w:val="13"/>
            </w:pPr>
            <w:r>
              <w:t>预算执行率大于等于98%</w:t>
            </w:r>
          </w:p>
        </w:tc>
        <w:tc>
          <w:tcPr>
            <w:tcW w:w="1463" w:type="dxa"/>
            <w:vAlign w:val="center"/>
          </w:tcPr>
          <w:p w14:paraId="7A5E6F4B">
            <w:pPr>
              <w:pStyle w:val="13"/>
            </w:pPr>
            <w:r>
              <w:t>≥100%</w:t>
            </w:r>
          </w:p>
        </w:tc>
        <w:tc>
          <w:tcPr>
            <w:tcW w:w="2081" w:type="dxa"/>
            <w:vAlign w:val="center"/>
          </w:tcPr>
          <w:p w14:paraId="0A0E4A2A">
            <w:pPr>
              <w:pStyle w:val="13"/>
            </w:pPr>
            <w:r>
              <w:t>城乡义务教育公用经费管理办法</w:t>
            </w:r>
          </w:p>
        </w:tc>
      </w:tr>
      <w:tr w14:paraId="3F7B2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FD658"/>
        </w:tc>
        <w:tc>
          <w:tcPr>
            <w:tcW w:w="2268" w:type="dxa"/>
            <w:vAlign w:val="center"/>
          </w:tcPr>
          <w:p w14:paraId="7B9EC819">
            <w:pPr>
              <w:pStyle w:val="13"/>
            </w:pPr>
            <w:r>
              <w:t>时效指标</w:t>
            </w:r>
          </w:p>
        </w:tc>
        <w:tc>
          <w:tcPr>
            <w:tcW w:w="2835" w:type="dxa"/>
            <w:vAlign w:val="center"/>
          </w:tcPr>
          <w:p w14:paraId="3C1CC769">
            <w:pPr>
              <w:pStyle w:val="13"/>
            </w:pPr>
            <w:r>
              <w:t>义教经费支付完成率</w:t>
            </w:r>
          </w:p>
        </w:tc>
        <w:tc>
          <w:tcPr>
            <w:tcW w:w="5386" w:type="dxa"/>
            <w:vAlign w:val="center"/>
          </w:tcPr>
          <w:p w14:paraId="466219DF">
            <w:pPr>
              <w:pStyle w:val="13"/>
            </w:pPr>
            <w:r>
              <w:t>按照序时进度完成资金支付</w:t>
            </w:r>
          </w:p>
        </w:tc>
        <w:tc>
          <w:tcPr>
            <w:tcW w:w="1463" w:type="dxa"/>
            <w:vAlign w:val="center"/>
          </w:tcPr>
          <w:p w14:paraId="4869BA99">
            <w:pPr>
              <w:pStyle w:val="13"/>
            </w:pPr>
            <w:r>
              <w:t>≥100%</w:t>
            </w:r>
          </w:p>
        </w:tc>
        <w:tc>
          <w:tcPr>
            <w:tcW w:w="2081" w:type="dxa"/>
            <w:vAlign w:val="center"/>
          </w:tcPr>
          <w:p w14:paraId="1B1382F3">
            <w:pPr>
              <w:pStyle w:val="13"/>
            </w:pPr>
            <w:r>
              <w:t>城乡义务教育公用经费管理办法</w:t>
            </w:r>
          </w:p>
        </w:tc>
      </w:tr>
      <w:tr w14:paraId="0E000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3B0FB3">
            <w:pPr>
              <w:pStyle w:val="12"/>
            </w:pPr>
            <w:r>
              <w:t>效益指标</w:t>
            </w:r>
          </w:p>
        </w:tc>
        <w:tc>
          <w:tcPr>
            <w:tcW w:w="2268" w:type="dxa"/>
            <w:vAlign w:val="center"/>
          </w:tcPr>
          <w:p w14:paraId="1DEF3ECC">
            <w:pPr>
              <w:pStyle w:val="13"/>
            </w:pPr>
            <w:r>
              <w:t>社会效益指标</w:t>
            </w:r>
          </w:p>
        </w:tc>
        <w:tc>
          <w:tcPr>
            <w:tcW w:w="2835" w:type="dxa"/>
            <w:vAlign w:val="center"/>
          </w:tcPr>
          <w:p w14:paraId="4E357961">
            <w:pPr>
              <w:pStyle w:val="13"/>
            </w:pPr>
            <w:r>
              <w:t>学校运转得到提高</w:t>
            </w:r>
          </w:p>
        </w:tc>
        <w:tc>
          <w:tcPr>
            <w:tcW w:w="5386" w:type="dxa"/>
            <w:vAlign w:val="center"/>
          </w:tcPr>
          <w:p w14:paraId="025DAD5F">
            <w:pPr>
              <w:pStyle w:val="13"/>
            </w:pPr>
            <w:r>
              <w:t>学生受教育年限</w:t>
            </w:r>
          </w:p>
        </w:tc>
        <w:tc>
          <w:tcPr>
            <w:tcW w:w="1463" w:type="dxa"/>
            <w:vAlign w:val="center"/>
          </w:tcPr>
          <w:p w14:paraId="3B838A49">
            <w:pPr>
              <w:pStyle w:val="13"/>
            </w:pPr>
            <w:r>
              <w:t>3年</w:t>
            </w:r>
          </w:p>
        </w:tc>
        <w:tc>
          <w:tcPr>
            <w:tcW w:w="2081" w:type="dxa"/>
            <w:vAlign w:val="center"/>
          </w:tcPr>
          <w:p w14:paraId="738D001A">
            <w:pPr>
              <w:pStyle w:val="13"/>
            </w:pPr>
            <w:r>
              <w:t>城乡义务教育公用经费管理办法</w:t>
            </w:r>
          </w:p>
        </w:tc>
      </w:tr>
      <w:tr w14:paraId="2E15E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61BBCB">
            <w:pPr>
              <w:pStyle w:val="12"/>
            </w:pPr>
            <w:r>
              <w:t>满意度指标</w:t>
            </w:r>
          </w:p>
        </w:tc>
        <w:tc>
          <w:tcPr>
            <w:tcW w:w="2268" w:type="dxa"/>
            <w:vAlign w:val="center"/>
          </w:tcPr>
          <w:p w14:paraId="0D99EB48">
            <w:pPr>
              <w:pStyle w:val="13"/>
            </w:pPr>
            <w:r>
              <w:t>服务对象满意度指标</w:t>
            </w:r>
          </w:p>
        </w:tc>
        <w:tc>
          <w:tcPr>
            <w:tcW w:w="2835" w:type="dxa"/>
            <w:vAlign w:val="center"/>
          </w:tcPr>
          <w:p w14:paraId="1413FA17">
            <w:pPr>
              <w:pStyle w:val="13"/>
            </w:pPr>
            <w:r>
              <w:t>服务对象满意度</w:t>
            </w:r>
          </w:p>
        </w:tc>
        <w:tc>
          <w:tcPr>
            <w:tcW w:w="5386" w:type="dxa"/>
            <w:vAlign w:val="center"/>
          </w:tcPr>
          <w:p w14:paraId="3E2EC746">
            <w:pPr>
              <w:pStyle w:val="13"/>
            </w:pPr>
            <w:r>
              <w:t>学校老师和学生满意度</w:t>
            </w:r>
          </w:p>
        </w:tc>
        <w:tc>
          <w:tcPr>
            <w:tcW w:w="1463" w:type="dxa"/>
            <w:vAlign w:val="center"/>
          </w:tcPr>
          <w:p w14:paraId="0FF65F71">
            <w:pPr>
              <w:pStyle w:val="13"/>
            </w:pPr>
            <w:r>
              <w:t>≥95%</w:t>
            </w:r>
          </w:p>
        </w:tc>
        <w:tc>
          <w:tcPr>
            <w:tcW w:w="2081" w:type="dxa"/>
            <w:vAlign w:val="center"/>
          </w:tcPr>
          <w:p w14:paraId="5FCA27E0">
            <w:pPr>
              <w:pStyle w:val="13"/>
            </w:pPr>
            <w:r>
              <w:t>城乡义务教育公用经费管理办法</w:t>
            </w:r>
          </w:p>
        </w:tc>
      </w:tr>
    </w:tbl>
    <w:p w14:paraId="3A4C5950">
      <w:pPr>
        <w:sectPr>
          <w:pgSz w:w="16840" w:h="11900" w:orient="landscape"/>
          <w:pgMar w:top="1361" w:right="1020" w:bottom="1134" w:left="1020" w:header="720" w:footer="720" w:gutter="0"/>
          <w:cols w:space="720" w:num="1"/>
        </w:sectPr>
      </w:pPr>
    </w:p>
    <w:p w14:paraId="789A2C52">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2、冀财教[2024]123号/中央/2025年义教补助经费/校舍安全保障/张庄中学宿舍楼配套工程绩效目标表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42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F7E63">
            <w:pPr>
              <w:pStyle w:val="14"/>
            </w:pPr>
            <w:r>
              <w:t>单位：万元</w:t>
            </w:r>
          </w:p>
        </w:tc>
      </w:tr>
      <w:tr w14:paraId="304DE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1B0D6E">
            <w:pPr>
              <w:pStyle w:val="11"/>
            </w:pPr>
            <w:r>
              <w:t>项目编码</w:t>
            </w:r>
          </w:p>
        </w:tc>
        <w:tc>
          <w:tcPr>
            <w:tcW w:w="5103" w:type="dxa"/>
            <w:gridSpan w:val="2"/>
            <w:vAlign w:val="center"/>
          </w:tcPr>
          <w:p w14:paraId="77F5BC6C">
            <w:pPr>
              <w:pStyle w:val="13"/>
            </w:pPr>
            <w:r>
              <w:t>13052525P008762100268</w:t>
            </w:r>
          </w:p>
        </w:tc>
        <w:tc>
          <w:tcPr>
            <w:tcW w:w="2835" w:type="dxa"/>
            <w:vAlign w:val="center"/>
          </w:tcPr>
          <w:p w14:paraId="3213948E">
            <w:pPr>
              <w:pStyle w:val="11"/>
            </w:pPr>
            <w:r>
              <w:t>项目名称</w:t>
            </w:r>
          </w:p>
        </w:tc>
        <w:tc>
          <w:tcPr>
            <w:tcW w:w="6095" w:type="dxa"/>
            <w:gridSpan w:val="3"/>
            <w:vAlign w:val="center"/>
          </w:tcPr>
          <w:p w14:paraId="10465A8D">
            <w:pPr>
              <w:pStyle w:val="13"/>
            </w:pPr>
            <w:r>
              <w:t>冀财教[2024]123号/中央/2025年义教补助经费/校舍安全保障/张庄中学宿舍楼配套工程</w:t>
            </w:r>
          </w:p>
        </w:tc>
      </w:tr>
      <w:tr w14:paraId="79F42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9E083">
            <w:pPr>
              <w:pStyle w:val="11"/>
            </w:pPr>
            <w:r>
              <w:t>预算规模及资金用途</w:t>
            </w:r>
          </w:p>
        </w:tc>
        <w:tc>
          <w:tcPr>
            <w:tcW w:w="2268" w:type="dxa"/>
            <w:vAlign w:val="center"/>
          </w:tcPr>
          <w:p w14:paraId="62F1313D">
            <w:pPr>
              <w:pStyle w:val="11"/>
            </w:pPr>
            <w:r>
              <w:t>预算数</w:t>
            </w:r>
          </w:p>
        </w:tc>
        <w:tc>
          <w:tcPr>
            <w:tcW w:w="2835" w:type="dxa"/>
            <w:vAlign w:val="center"/>
          </w:tcPr>
          <w:p w14:paraId="03A48815">
            <w:pPr>
              <w:pStyle w:val="13"/>
            </w:pPr>
            <w:r>
              <w:t>56.92</w:t>
            </w:r>
          </w:p>
        </w:tc>
        <w:tc>
          <w:tcPr>
            <w:tcW w:w="2835" w:type="dxa"/>
            <w:vAlign w:val="center"/>
          </w:tcPr>
          <w:p w14:paraId="270819FB">
            <w:pPr>
              <w:pStyle w:val="11"/>
            </w:pPr>
            <w:r>
              <w:t>其中：财政    资金</w:t>
            </w:r>
          </w:p>
        </w:tc>
        <w:tc>
          <w:tcPr>
            <w:tcW w:w="2551" w:type="dxa"/>
            <w:vAlign w:val="center"/>
          </w:tcPr>
          <w:p w14:paraId="490D8CEC">
            <w:pPr>
              <w:pStyle w:val="13"/>
            </w:pPr>
            <w:r>
              <w:t>56.92</w:t>
            </w:r>
          </w:p>
        </w:tc>
        <w:tc>
          <w:tcPr>
            <w:tcW w:w="2268" w:type="dxa"/>
            <w:vAlign w:val="center"/>
          </w:tcPr>
          <w:p w14:paraId="263F9A7F">
            <w:pPr>
              <w:pStyle w:val="11"/>
            </w:pPr>
            <w:r>
              <w:t>其他资金</w:t>
            </w:r>
          </w:p>
        </w:tc>
        <w:tc>
          <w:tcPr>
            <w:tcW w:w="1276" w:type="dxa"/>
            <w:vAlign w:val="center"/>
          </w:tcPr>
          <w:p w14:paraId="193DDE45">
            <w:pPr>
              <w:pStyle w:val="13"/>
            </w:pPr>
            <w:r>
              <w:t xml:space="preserve"> </w:t>
            </w:r>
          </w:p>
        </w:tc>
      </w:tr>
      <w:tr w14:paraId="4944D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3F9163"/>
        </w:tc>
        <w:tc>
          <w:tcPr>
            <w:tcW w:w="14033" w:type="dxa"/>
            <w:gridSpan w:val="6"/>
            <w:vAlign w:val="center"/>
          </w:tcPr>
          <w:p w14:paraId="53532E4D">
            <w:pPr>
              <w:pStyle w:val="13"/>
            </w:pPr>
            <w:r>
              <w:t>张庄中学宿舍楼配套工程包括路面浇筑、校园甬路及教学楼前院铺设沥青、花池砖铺装。</w:t>
            </w:r>
          </w:p>
        </w:tc>
      </w:tr>
      <w:tr w14:paraId="1765A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85D6B">
            <w:pPr>
              <w:pStyle w:val="11"/>
            </w:pPr>
            <w:r>
              <w:t>资金支出计划（%）</w:t>
            </w:r>
          </w:p>
        </w:tc>
        <w:tc>
          <w:tcPr>
            <w:tcW w:w="5103" w:type="dxa"/>
            <w:gridSpan w:val="2"/>
            <w:vAlign w:val="center"/>
          </w:tcPr>
          <w:p w14:paraId="3C76C615">
            <w:pPr>
              <w:pStyle w:val="11"/>
            </w:pPr>
            <w:r>
              <w:t>3月底</w:t>
            </w:r>
          </w:p>
        </w:tc>
        <w:tc>
          <w:tcPr>
            <w:tcW w:w="2835" w:type="dxa"/>
            <w:vAlign w:val="center"/>
          </w:tcPr>
          <w:p w14:paraId="6A9303AA">
            <w:pPr>
              <w:pStyle w:val="11"/>
            </w:pPr>
            <w:r>
              <w:t>6月底</w:t>
            </w:r>
          </w:p>
        </w:tc>
        <w:tc>
          <w:tcPr>
            <w:tcW w:w="2551" w:type="dxa"/>
            <w:vAlign w:val="center"/>
          </w:tcPr>
          <w:p w14:paraId="1E3AE661">
            <w:pPr>
              <w:pStyle w:val="11"/>
            </w:pPr>
            <w:r>
              <w:t>10月底</w:t>
            </w:r>
          </w:p>
        </w:tc>
        <w:tc>
          <w:tcPr>
            <w:tcW w:w="3544" w:type="dxa"/>
            <w:gridSpan w:val="2"/>
            <w:vAlign w:val="center"/>
          </w:tcPr>
          <w:p w14:paraId="59CE2D61">
            <w:pPr>
              <w:pStyle w:val="11"/>
            </w:pPr>
            <w:r>
              <w:t>12月底</w:t>
            </w:r>
          </w:p>
        </w:tc>
      </w:tr>
      <w:tr w14:paraId="1A02A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463463"/>
        </w:tc>
        <w:tc>
          <w:tcPr>
            <w:tcW w:w="5103" w:type="dxa"/>
            <w:gridSpan w:val="2"/>
            <w:vAlign w:val="center"/>
          </w:tcPr>
          <w:p w14:paraId="5A3E33B5">
            <w:pPr>
              <w:pStyle w:val="12"/>
            </w:pPr>
            <w:r>
              <w:t xml:space="preserve"> </w:t>
            </w:r>
          </w:p>
        </w:tc>
        <w:tc>
          <w:tcPr>
            <w:tcW w:w="2835" w:type="dxa"/>
            <w:vAlign w:val="center"/>
          </w:tcPr>
          <w:p w14:paraId="7F81AC98">
            <w:pPr>
              <w:pStyle w:val="12"/>
            </w:pPr>
            <w:r>
              <w:t xml:space="preserve"> </w:t>
            </w:r>
          </w:p>
        </w:tc>
        <w:tc>
          <w:tcPr>
            <w:tcW w:w="2551" w:type="dxa"/>
            <w:vAlign w:val="center"/>
          </w:tcPr>
          <w:p w14:paraId="43C559C2">
            <w:pPr>
              <w:pStyle w:val="12"/>
            </w:pPr>
            <w:r>
              <w:t>100%</w:t>
            </w:r>
          </w:p>
        </w:tc>
        <w:tc>
          <w:tcPr>
            <w:tcW w:w="3544" w:type="dxa"/>
            <w:gridSpan w:val="2"/>
            <w:vAlign w:val="center"/>
          </w:tcPr>
          <w:p w14:paraId="78E44C29">
            <w:pPr>
              <w:pStyle w:val="12"/>
            </w:pPr>
            <w:r>
              <w:t>100%</w:t>
            </w:r>
          </w:p>
        </w:tc>
      </w:tr>
      <w:tr w14:paraId="0532EA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23C1C">
            <w:pPr>
              <w:pStyle w:val="11"/>
            </w:pPr>
            <w:r>
              <w:t>绩效目标</w:t>
            </w:r>
          </w:p>
        </w:tc>
        <w:tc>
          <w:tcPr>
            <w:tcW w:w="14033" w:type="dxa"/>
            <w:gridSpan w:val="6"/>
            <w:vAlign w:val="center"/>
          </w:tcPr>
          <w:p w14:paraId="2F71A14C">
            <w:pPr>
              <w:pStyle w:val="13"/>
            </w:pPr>
            <w:r>
              <w:t>1.张庄中学宿舍楼配套工程包括路面浇筑、校园甬路及教学楼前院铺设沥青、花池砖铺装。</w:t>
            </w:r>
          </w:p>
        </w:tc>
      </w:tr>
    </w:tbl>
    <w:p w14:paraId="43D88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85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13E89">
            <w:pPr>
              <w:pStyle w:val="11"/>
            </w:pPr>
            <w:r>
              <w:t>一级指标</w:t>
            </w:r>
          </w:p>
        </w:tc>
        <w:tc>
          <w:tcPr>
            <w:tcW w:w="2268" w:type="dxa"/>
            <w:vAlign w:val="center"/>
          </w:tcPr>
          <w:p w14:paraId="4FDBA7C3">
            <w:pPr>
              <w:pStyle w:val="11"/>
            </w:pPr>
            <w:r>
              <w:t>二级指标</w:t>
            </w:r>
          </w:p>
        </w:tc>
        <w:tc>
          <w:tcPr>
            <w:tcW w:w="2835" w:type="dxa"/>
            <w:vAlign w:val="center"/>
          </w:tcPr>
          <w:p w14:paraId="0A16679B">
            <w:pPr>
              <w:pStyle w:val="11"/>
            </w:pPr>
            <w:r>
              <w:t>三级指标</w:t>
            </w:r>
          </w:p>
        </w:tc>
        <w:tc>
          <w:tcPr>
            <w:tcW w:w="5386" w:type="dxa"/>
            <w:vAlign w:val="center"/>
          </w:tcPr>
          <w:p w14:paraId="4777686A">
            <w:pPr>
              <w:pStyle w:val="11"/>
            </w:pPr>
            <w:r>
              <w:t>绩效指标描述</w:t>
            </w:r>
          </w:p>
        </w:tc>
        <w:tc>
          <w:tcPr>
            <w:tcW w:w="2268" w:type="dxa"/>
            <w:vAlign w:val="center"/>
          </w:tcPr>
          <w:p w14:paraId="4D296E7B">
            <w:pPr>
              <w:pStyle w:val="11"/>
            </w:pPr>
            <w:r>
              <w:t>指标值</w:t>
            </w:r>
          </w:p>
        </w:tc>
        <w:tc>
          <w:tcPr>
            <w:tcW w:w="1276" w:type="dxa"/>
            <w:vAlign w:val="center"/>
          </w:tcPr>
          <w:p w14:paraId="00CC9FAE">
            <w:pPr>
              <w:pStyle w:val="11"/>
            </w:pPr>
            <w:r>
              <w:t>指标值确定依据</w:t>
            </w:r>
          </w:p>
        </w:tc>
      </w:tr>
      <w:tr w14:paraId="369C4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1C1BB">
            <w:pPr>
              <w:pStyle w:val="12"/>
            </w:pPr>
            <w:r>
              <w:t>产出指标</w:t>
            </w:r>
          </w:p>
        </w:tc>
        <w:tc>
          <w:tcPr>
            <w:tcW w:w="2268" w:type="dxa"/>
            <w:vAlign w:val="center"/>
          </w:tcPr>
          <w:p w14:paraId="07587E48">
            <w:pPr>
              <w:pStyle w:val="13"/>
            </w:pPr>
            <w:r>
              <w:t>数量指标</w:t>
            </w:r>
          </w:p>
        </w:tc>
        <w:tc>
          <w:tcPr>
            <w:tcW w:w="2835" w:type="dxa"/>
            <w:vAlign w:val="center"/>
          </w:tcPr>
          <w:p w14:paraId="5FD42874">
            <w:pPr>
              <w:pStyle w:val="13"/>
            </w:pPr>
            <w:r>
              <w:t>改造面积</w:t>
            </w:r>
          </w:p>
        </w:tc>
        <w:tc>
          <w:tcPr>
            <w:tcW w:w="5386" w:type="dxa"/>
            <w:vAlign w:val="center"/>
          </w:tcPr>
          <w:p w14:paraId="0D9BE900">
            <w:pPr>
              <w:pStyle w:val="13"/>
            </w:pPr>
            <w:r>
              <w:t>路面浇筑</w:t>
            </w:r>
          </w:p>
        </w:tc>
        <w:tc>
          <w:tcPr>
            <w:tcW w:w="2268" w:type="dxa"/>
            <w:vAlign w:val="center"/>
          </w:tcPr>
          <w:p w14:paraId="488EB7B5">
            <w:pPr>
              <w:pStyle w:val="13"/>
            </w:pPr>
            <w:r>
              <w:t>1085平方米</w:t>
            </w:r>
          </w:p>
        </w:tc>
        <w:tc>
          <w:tcPr>
            <w:tcW w:w="1276" w:type="dxa"/>
            <w:vAlign w:val="center"/>
          </w:tcPr>
          <w:p w14:paraId="0991129A">
            <w:pPr>
              <w:pStyle w:val="13"/>
            </w:pPr>
            <w:r>
              <w:t>项目规划</w:t>
            </w:r>
          </w:p>
        </w:tc>
      </w:tr>
      <w:tr w14:paraId="26083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52C28"/>
        </w:tc>
        <w:tc>
          <w:tcPr>
            <w:tcW w:w="2268" w:type="dxa"/>
            <w:vAlign w:val="center"/>
          </w:tcPr>
          <w:p w14:paraId="10D12871">
            <w:pPr>
              <w:pStyle w:val="13"/>
            </w:pPr>
            <w:r>
              <w:t>数量指标</w:t>
            </w:r>
          </w:p>
        </w:tc>
        <w:tc>
          <w:tcPr>
            <w:tcW w:w="2835" w:type="dxa"/>
            <w:vAlign w:val="center"/>
          </w:tcPr>
          <w:p w14:paraId="36559C4A">
            <w:pPr>
              <w:pStyle w:val="13"/>
            </w:pPr>
            <w:r>
              <w:t>改造面积</w:t>
            </w:r>
          </w:p>
        </w:tc>
        <w:tc>
          <w:tcPr>
            <w:tcW w:w="5386" w:type="dxa"/>
            <w:vAlign w:val="center"/>
          </w:tcPr>
          <w:p w14:paraId="3314E9C1">
            <w:pPr>
              <w:pStyle w:val="13"/>
            </w:pPr>
            <w:r>
              <w:t>院内便道铺砖</w:t>
            </w:r>
          </w:p>
        </w:tc>
        <w:tc>
          <w:tcPr>
            <w:tcW w:w="2268" w:type="dxa"/>
            <w:vAlign w:val="center"/>
          </w:tcPr>
          <w:p w14:paraId="326FECB4">
            <w:pPr>
              <w:pStyle w:val="13"/>
            </w:pPr>
            <w:r>
              <w:t>385平方米</w:t>
            </w:r>
          </w:p>
        </w:tc>
        <w:tc>
          <w:tcPr>
            <w:tcW w:w="1276" w:type="dxa"/>
            <w:vAlign w:val="center"/>
          </w:tcPr>
          <w:p w14:paraId="6FFB46DD">
            <w:pPr>
              <w:pStyle w:val="13"/>
            </w:pPr>
            <w:r>
              <w:t>项目规划</w:t>
            </w:r>
          </w:p>
        </w:tc>
      </w:tr>
      <w:tr w14:paraId="32E99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1535D"/>
        </w:tc>
        <w:tc>
          <w:tcPr>
            <w:tcW w:w="2268" w:type="dxa"/>
            <w:vAlign w:val="center"/>
          </w:tcPr>
          <w:p w14:paraId="23AF8C84">
            <w:pPr>
              <w:pStyle w:val="13"/>
            </w:pPr>
            <w:r>
              <w:t>数量指标</w:t>
            </w:r>
          </w:p>
        </w:tc>
        <w:tc>
          <w:tcPr>
            <w:tcW w:w="2835" w:type="dxa"/>
            <w:vAlign w:val="center"/>
          </w:tcPr>
          <w:p w14:paraId="75CE57F1">
            <w:pPr>
              <w:pStyle w:val="13"/>
            </w:pPr>
            <w:r>
              <w:t>改造面积</w:t>
            </w:r>
          </w:p>
        </w:tc>
        <w:tc>
          <w:tcPr>
            <w:tcW w:w="5386" w:type="dxa"/>
            <w:vAlign w:val="center"/>
          </w:tcPr>
          <w:p w14:paraId="1D8D3C5A">
            <w:pPr>
              <w:pStyle w:val="13"/>
            </w:pPr>
            <w:r>
              <w:t>花池砖铺设</w:t>
            </w:r>
          </w:p>
        </w:tc>
        <w:tc>
          <w:tcPr>
            <w:tcW w:w="2268" w:type="dxa"/>
            <w:vAlign w:val="center"/>
          </w:tcPr>
          <w:p w14:paraId="2C21785D">
            <w:pPr>
              <w:pStyle w:val="13"/>
            </w:pPr>
            <w:r>
              <w:t>350平方米</w:t>
            </w:r>
          </w:p>
        </w:tc>
        <w:tc>
          <w:tcPr>
            <w:tcW w:w="1276" w:type="dxa"/>
            <w:vAlign w:val="center"/>
          </w:tcPr>
          <w:p w14:paraId="077B2387">
            <w:pPr>
              <w:pStyle w:val="13"/>
            </w:pPr>
            <w:r>
              <w:t>项目规划</w:t>
            </w:r>
          </w:p>
        </w:tc>
      </w:tr>
      <w:tr w14:paraId="0824B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AF589"/>
        </w:tc>
        <w:tc>
          <w:tcPr>
            <w:tcW w:w="2268" w:type="dxa"/>
            <w:vAlign w:val="center"/>
          </w:tcPr>
          <w:p w14:paraId="056156C5">
            <w:pPr>
              <w:pStyle w:val="13"/>
            </w:pPr>
            <w:r>
              <w:t>数量指标</w:t>
            </w:r>
          </w:p>
        </w:tc>
        <w:tc>
          <w:tcPr>
            <w:tcW w:w="2835" w:type="dxa"/>
            <w:vAlign w:val="center"/>
          </w:tcPr>
          <w:p w14:paraId="271FBB73">
            <w:pPr>
              <w:pStyle w:val="13"/>
            </w:pPr>
            <w:r>
              <w:t>改造面积</w:t>
            </w:r>
          </w:p>
        </w:tc>
        <w:tc>
          <w:tcPr>
            <w:tcW w:w="5386" w:type="dxa"/>
            <w:vAlign w:val="center"/>
          </w:tcPr>
          <w:p w14:paraId="74C4CD87">
            <w:pPr>
              <w:pStyle w:val="13"/>
            </w:pPr>
            <w:r>
              <w:t>校园甬路及教学楼前院落铺设沥青</w:t>
            </w:r>
          </w:p>
        </w:tc>
        <w:tc>
          <w:tcPr>
            <w:tcW w:w="2268" w:type="dxa"/>
            <w:vAlign w:val="center"/>
          </w:tcPr>
          <w:p w14:paraId="54EC5A46">
            <w:pPr>
              <w:pStyle w:val="13"/>
            </w:pPr>
            <w:r>
              <w:t>1880平方米</w:t>
            </w:r>
          </w:p>
        </w:tc>
        <w:tc>
          <w:tcPr>
            <w:tcW w:w="1276" w:type="dxa"/>
            <w:vAlign w:val="center"/>
          </w:tcPr>
          <w:p w14:paraId="24ED893F">
            <w:pPr>
              <w:pStyle w:val="13"/>
            </w:pPr>
            <w:r>
              <w:t>项目规划</w:t>
            </w:r>
          </w:p>
        </w:tc>
      </w:tr>
      <w:tr w14:paraId="701C3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D81F5"/>
        </w:tc>
        <w:tc>
          <w:tcPr>
            <w:tcW w:w="2268" w:type="dxa"/>
            <w:vAlign w:val="center"/>
          </w:tcPr>
          <w:p w14:paraId="6A56821A">
            <w:pPr>
              <w:pStyle w:val="13"/>
            </w:pPr>
            <w:r>
              <w:t>质量指标</w:t>
            </w:r>
          </w:p>
        </w:tc>
        <w:tc>
          <w:tcPr>
            <w:tcW w:w="2835" w:type="dxa"/>
            <w:vAlign w:val="center"/>
          </w:tcPr>
          <w:p w14:paraId="56472BA8">
            <w:pPr>
              <w:pStyle w:val="13"/>
            </w:pPr>
            <w:r>
              <w:t>符合验收标准</w:t>
            </w:r>
          </w:p>
        </w:tc>
        <w:tc>
          <w:tcPr>
            <w:tcW w:w="5386" w:type="dxa"/>
            <w:vAlign w:val="center"/>
          </w:tcPr>
          <w:p w14:paraId="13767540">
            <w:pPr>
              <w:pStyle w:val="13"/>
            </w:pPr>
            <w:r>
              <w:t>项目竣工合格率</w:t>
            </w:r>
          </w:p>
        </w:tc>
        <w:tc>
          <w:tcPr>
            <w:tcW w:w="2268" w:type="dxa"/>
            <w:vAlign w:val="center"/>
          </w:tcPr>
          <w:p w14:paraId="310A1E7A">
            <w:pPr>
              <w:pStyle w:val="13"/>
            </w:pPr>
            <w:r>
              <w:t>≥100%</w:t>
            </w:r>
          </w:p>
        </w:tc>
        <w:tc>
          <w:tcPr>
            <w:tcW w:w="1276" w:type="dxa"/>
            <w:vAlign w:val="center"/>
          </w:tcPr>
          <w:p w14:paraId="0B329FA4">
            <w:pPr>
              <w:pStyle w:val="13"/>
            </w:pPr>
            <w:r>
              <w:t>项目规划</w:t>
            </w:r>
          </w:p>
        </w:tc>
      </w:tr>
      <w:tr w14:paraId="4CD0D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5E163"/>
        </w:tc>
        <w:tc>
          <w:tcPr>
            <w:tcW w:w="2268" w:type="dxa"/>
            <w:vAlign w:val="center"/>
          </w:tcPr>
          <w:p w14:paraId="76D63D8A">
            <w:pPr>
              <w:pStyle w:val="13"/>
            </w:pPr>
            <w:r>
              <w:t>时效指标</w:t>
            </w:r>
          </w:p>
        </w:tc>
        <w:tc>
          <w:tcPr>
            <w:tcW w:w="2835" w:type="dxa"/>
            <w:vAlign w:val="center"/>
          </w:tcPr>
          <w:p w14:paraId="2FF82B03">
            <w:pPr>
              <w:pStyle w:val="13"/>
            </w:pPr>
            <w:r>
              <w:t>项目时间</w:t>
            </w:r>
          </w:p>
        </w:tc>
        <w:tc>
          <w:tcPr>
            <w:tcW w:w="5386" w:type="dxa"/>
            <w:vAlign w:val="center"/>
          </w:tcPr>
          <w:p w14:paraId="2F83157E">
            <w:pPr>
              <w:pStyle w:val="13"/>
            </w:pPr>
            <w:r>
              <w:t>按期完成率</w:t>
            </w:r>
          </w:p>
        </w:tc>
        <w:tc>
          <w:tcPr>
            <w:tcW w:w="2268" w:type="dxa"/>
            <w:vAlign w:val="center"/>
          </w:tcPr>
          <w:p w14:paraId="41BB0A95">
            <w:pPr>
              <w:pStyle w:val="13"/>
            </w:pPr>
            <w:r>
              <w:t>≥100%</w:t>
            </w:r>
          </w:p>
        </w:tc>
        <w:tc>
          <w:tcPr>
            <w:tcW w:w="1276" w:type="dxa"/>
            <w:vAlign w:val="center"/>
          </w:tcPr>
          <w:p w14:paraId="0250EF8D">
            <w:pPr>
              <w:pStyle w:val="13"/>
            </w:pPr>
            <w:r>
              <w:t>项目规划</w:t>
            </w:r>
          </w:p>
        </w:tc>
      </w:tr>
      <w:tr w14:paraId="7E985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8F6C5"/>
        </w:tc>
        <w:tc>
          <w:tcPr>
            <w:tcW w:w="2268" w:type="dxa"/>
            <w:vAlign w:val="center"/>
          </w:tcPr>
          <w:p w14:paraId="69433855">
            <w:pPr>
              <w:pStyle w:val="13"/>
            </w:pPr>
            <w:r>
              <w:t>成本指标</w:t>
            </w:r>
          </w:p>
        </w:tc>
        <w:tc>
          <w:tcPr>
            <w:tcW w:w="2835" w:type="dxa"/>
            <w:vAlign w:val="center"/>
          </w:tcPr>
          <w:p w14:paraId="28F5BA10">
            <w:pPr>
              <w:pStyle w:val="13"/>
            </w:pPr>
            <w:r>
              <w:t>项目成本</w:t>
            </w:r>
          </w:p>
        </w:tc>
        <w:tc>
          <w:tcPr>
            <w:tcW w:w="5386" w:type="dxa"/>
            <w:vAlign w:val="center"/>
          </w:tcPr>
          <w:p w14:paraId="2F4B756F">
            <w:pPr>
              <w:pStyle w:val="13"/>
            </w:pPr>
            <w:r>
              <w:t>不超预算</w:t>
            </w:r>
          </w:p>
        </w:tc>
        <w:tc>
          <w:tcPr>
            <w:tcW w:w="2268" w:type="dxa"/>
            <w:vAlign w:val="center"/>
          </w:tcPr>
          <w:p w14:paraId="2BE04A23">
            <w:pPr>
              <w:pStyle w:val="13"/>
            </w:pPr>
            <w:r>
              <w:t>≤56.92万元</w:t>
            </w:r>
          </w:p>
        </w:tc>
        <w:tc>
          <w:tcPr>
            <w:tcW w:w="1276" w:type="dxa"/>
            <w:vAlign w:val="center"/>
          </w:tcPr>
          <w:p w14:paraId="34779E3E">
            <w:pPr>
              <w:pStyle w:val="13"/>
            </w:pPr>
            <w:r>
              <w:t>项目规划</w:t>
            </w:r>
          </w:p>
        </w:tc>
      </w:tr>
      <w:tr w14:paraId="52B54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14D664">
            <w:pPr>
              <w:pStyle w:val="12"/>
            </w:pPr>
            <w:r>
              <w:t>效益指标</w:t>
            </w:r>
          </w:p>
        </w:tc>
        <w:tc>
          <w:tcPr>
            <w:tcW w:w="2268" w:type="dxa"/>
            <w:vAlign w:val="center"/>
          </w:tcPr>
          <w:p w14:paraId="6BD28FD7">
            <w:pPr>
              <w:pStyle w:val="13"/>
            </w:pPr>
            <w:r>
              <w:t>社会效益指标</w:t>
            </w:r>
          </w:p>
        </w:tc>
        <w:tc>
          <w:tcPr>
            <w:tcW w:w="2835" w:type="dxa"/>
            <w:vAlign w:val="center"/>
          </w:tcPr>
          <w:p w14:paraId="1BE5A6AC">
            <w:pPr>
              <w:pStyle w:val="13"/>
            </w:pPr>
            <w:r>
              <w:t>学生受教育年限</w:t>
            </w:r>
          </w:p>
        </w:tc>
        <w:tc>
          <w:tcPr>
            <w:tcW w:w="5386" w:type="dxa"/>
            <w:vAlign w:val="center"/>
          </w:tcPr>
          <w:p w14:paraId="006DC12F">
            <w:pPr>
              <w:pStyle w:val="13"/>
            </w:pPr>
            <w:r>
              <w:t>学生受教育年限</w:t>
            </w:r>
          </w:p>
        </w:tc>
        <w:tc>
          <w:tcPr>
            <w:tcW w:w="2268" w:type="dxa"/>
            <w:vAlign w:val="center"/>
          </w:tcPr>
          <w:p w14:paraId="317BE909">
            <w:pPr>
              <w:pStyle w:val="13"/>
            </w:pPr>
            <w:r>
              <w:t>3年</w:t>
            </w:r>
          </w:p>
        </w:tc>
        <w:tc>
          <w:tcPr>
            <w:tcW w:w="1276" w:type="dxa"/>
            <w:vAlign w:val="center"/>
          </w:tcPr>
          <w:p w14:paraId="71829E53">
            <w:pPr>
              <w:pStyle w:val="13"/>
            </w:pPr>
            <w:r>
              <w:t>项目规划</w:t>
            </w:r>
          </w:p>
        </w:tc>
      </w:tr>
      <w:tr w14:paraId="2F93D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143864">
            <w:pPr>
              <w:pStyle w:val="12"/>
            </w:pPr>
            <w:r>
              <w:t>满意度指标</w:t>
            </w:r>
          </w:p>
        </w:tc>
        <w:tc>
          <w:tcPr>
            <w:tcW w:w="2268" w:type="dxa"/>
            <w:vAlign w:val="center"/>
          </w:tcPr>
          <w:p w14:paraId="43E289FB">
            <w:pPr>
              <w:pStyle w:val="13"/>
            </w:pPr>
            <w:r>
              <w:t>服务对象满意度指标</w:t>
            </w:r>
          </w:p>
        </w:tc>
        <w:tc>
          <w:tcPr>
            <w:tcW w:w="2835" w:type="dxa"/>
            <w:vAlign w:val="center"/>
          </w:tcPr>
          <w:p w14:paraId="0710FE92">
            <w:pPr>
              <w:pStyle w:val="13"/>
            </w:pPr>
            <w:r>
              <w:t>教师学生满意度</w:t>
            </w:r>
          </w:p>
        </w:tc>
        <w:tc>
          <w:tcPr>
            <w:tcW w:w="5386" w:type="dxa"/>
            <w:vAlign w:val="center"/>
          </w:tcPr>
          <w:p w14:paraId="51D35F78">
            <w:pPr>
              <w:pStyle w:val="13"/>
            </w:pPr>
            <w:r>
              <w:t>教师学生满意度</w:t>
            </w:r>
          </w:p>
        </w:tc>
        <w:tc>
          <w:tcPr>
            <w:tcW w:w="2268" w:type="dxa"/>
            <w:vAlign w:val="center"/>
          </w:tcPr>
          <w:p w14:paraId="122F0553">
            <w:pPr>
              <w:pStyle w:val="13"/>
            </w:pPr>
            <w:r>
              <w:t>≥95%</w:t>
            </w:r>
          </w:p>
        </w:tc>
        <w:tc>
          <w:tcPr>
            <w:tcW w:w="1276" w:type="dxa"/>
            <w:vAlign w:val="center"/>
          </w:tcPr>
          <w:p w14:paraId="5CA18EBB">
            <w:pPr>
              <w:pStyle w:val="13"/>
            </w:pPr>
            <w:r>
              <w:t>调查问卷</w:t>
            </w:r>
          </w:p>
        </w:tc>
      </w:tr>
    </w:tbl>
    <w:p w14:paraId="4DBD6351">
      <w:pPr>
        <w:sectPr>
          <w:pgSz w:w="16840" w:h="11900" w:orient="landscape"/>
          <w:pgMar w:top="1361" w:right="1020" w:bottom="1134" w:left="1020" w:header="720" w:footer="720" w:gutter="0"/>
          <w:cols w:space="720" w:num="1"/>
        </w:sectPr>
      </w:pPr>
    </w:p>
    <w:p w14:paraId="6621D572">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3、冀财教[2024]123号/中央/2025年义教补助经费/综合奖补/大张庄中学公用经费绩效目标表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35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D17C6">
            <w:pPr>
              <w:pStyle w:val="14"/>
            </w:pPr>
            <w:r>
              <w:t>单位：万元</w:t>
            </w:r>
          </w:p>
        </w:tc>
      </w:tr>
      <w:tr w14:paraId="0EA57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953A1">
            <w:pPr>
              <w:pStyle w:val="11"/>
            </w:pPr>
            <w:r>
              <w:t>项目编码</w:t>
            </w:r>
          </w:p>
        </w:tc>
        <w:tc>
          <w:tcPr>
            <w:tcW w:w="5103" w:type="dxa"/>
            <w:gridSpan w:val="2"/>
            <w:vAlign w:val="center"/>
          </w:tcPr>
          <w:p w14:paraId="674B4862">
            <w:pPr>
              <w:pStyle w:val="13"/>
            </w:pPr>
            <w:r>
              <w:t>13052525P008756102727</w:t>
            </w:r>
          </w:p>
        </w:tc>
        <w:tc>
          <w:tcPr>
            <w:tcW w:w="2835" w:type="dxa"/>
            <w:vAlign w:val="center"/>
          </w:tcPr>
          <w:p w14:paraId="1AC128B4">
            <w:pPr>
              <w:pStyle w:val="11"/>
            </w:pPr>
            <w:r>
              <w:t>项目名称</w:t>
            </w:r>
          </w:p>
        </w:tc>
        <w:tc>
          <w:tcPr>
            <w:tcW w:w="6095" w:type="dxa"/>
            <w:gridSpan w:val="3"/>
            <w:vAlign w:val="center"/>
          </w:tcPr>
          <w:p w14:paraId="7477FC0C">
            <w:pPr>
              <w:pStyle w:val="13"/>
            </w:pPr>
            <w:r>
              <w:t>冀财教[2024]123号/中央/2025年义教补助经费/综合奖补/大张庄中学公用经费</w:t>
            </w:r>
          </w:p>
        </w:tc>
      </w:tr>
      <w:tr w14:paraId="4D667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FDC16">
            <w:pPr>
              <w:pStyle w:val="11"/>
            </w:pPr>
            <w:r>
              <w:t>预算规模及资金用途</w:t>
            </w:r>
          </w:p>
        </w:tc>
        <w:tc>
          <w:tcPr>
            <w:tcW w:w="2268" w:type="dxa"/>
            <w:vAlign w:val="center"/>
          </w:tcPr>
          <w:p w14:paraId="3AE731D5">
            <w:pPr>
              <w:pStyle w:val="11"/>
            </w:pPr>
            <w:r>
              <w:t>预算数</w:t>
            </w:r>
          </w:p>
        </w:tc>
        <w:tc>
          <w:tcPr>
            <w:tcW w:w="2835" w:type="dxa"/>
            <w:vAlign w:val="center"/>
          </w:tcPr>
          <w:p w14:paraId="57250273">
            <w:pPr>
              <w:pStyle w:val="13"/>
            </w:pPr>
            <w:r>
              <w:t>2.11</w:t>
            </w:r>
          </w:p>
        </w:tc>
        <w:tc>
          <w:tcPr>
            <w:tcW w:w="2835" w:type="dxa"/>
            <w:vAlign w:val="center"/>
          </w:tcPr>
          <w:p w14:paraId="69BB11D4">
            <w:pPr>
              <w:pStyle w:val="11"/>
            </w:pPr>
            <w:r>
              <w:t>其中：财政    资金</w:t>
            </w:r>
          </w:p>
        </w:tc>
        <w:tc>
          <w:tcPr>
            <w:tcW w:w="2551" w:type="dxa"/>
            <w:vAlign w:val="center"/>
          </w:tcPr>
          <w:p w14:paraId="5E22E8B4">
            <w:pPr>
              <w:pStyle w:val="13"/>
            </w:pPr>
            <w:r>
              <w:t>2.11</w:t>
            </w:r>
          </w:p>
        </w:tc>
        <w:tc>
          <w:tcPr>
            <w:tcW w:w="2268" w:type="dxa"/>
            <w:vAlign w:val="center"/>
          </w:tcPr>
          <w:p w14:paraId="16E0D052">
            <w:pPr>
              <w:pStyle w:val="11"/>
            </w:pPr>
            <w:r>
              <w:t>其他资金</w:t>
            </w:r>
          </w:p>
        </w:tc>
        <w:tc>
          <w:tcPr>
            <w:tcW w:w="1276" w:type="dxa"/>
            <w:vAlign w:val="center"/>
          </w:tcPr>
          <w:p w14:paraId="4097865B">
            <w:pPr>
              <w:pStyle w:val="13"/>
            </w:pPr>
            <w:r>
              <w:t xml:space="preserve"> </w:t>
            </w:r>
          </w:p>
        </w:tc>
      </w:tr>
      <w:tr w14:paraId="78E04C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7A58A"/>
        </w:tc>
        <w:tc>
          <w:tcPr>
            <w:tcW w:w="14033" w:type="dxa"/>
            <w:gridSpan w:val="6"/>
            <w:vAlign w:val="center"/>
          </w:tcPr>
          <w:p w14:paraId="6F7233C1">
            <w:pPr>
              <w:pStyle w:val="13"/>
            </w:pPr>
            <w:r>
              <w:t>保障义务教育学校正常运转，完成教育教学活动和其他日常工作任务等方面的费用支出。</w:t>
            </w:r>
          </w:p>
        </w:tc>
      </w:tr>
      <w:tr w14:paraId="19FE2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35F2C">
            <w:pPr>
              <w:pStyle w:val="11"/>
            </w:pPr>
            <w:r>
              <w:t>资金支出计划（%）</w:t>
            </w:r>
          </w:p>
        </w:tc>
        <w:tc>
          <w:tcPr>
            <w:tcW w:w="5103" w:type="dxa"/>
            <w:gridSpan w:val="2"/>
            <w:vAlign w:val="center"/>
          </w:tcPr>
          <w:p w14:paraId="5144EA15">
            <w:pPr>
              <w:pStyle w:val="11"/>
            </w:pPr>
            <w:r>
              <w:t>3月底</w:t>
            </w:r>
          </w:p>
        </w:tc>
        <w:tc>
          <w:tcPr>
            <w:tcW w:w="2835" w:type="dxa"/>
            <w:vAlign w:val="center"/>
          </w:tcPr>
          <w:p w14:paraId="5FB7AEE9">
            <w:pPr>
              <w:pStyle w:val="11"/>
            </w:pPr>
            <w:r>
              <w:t>6月底</w:t>
            </w:r>
          </w:p>
        </w:tc>
        <w:tc>
          <w:tcPr>
            <w:tcW w:w="2551" w:type="dxa"/>
            <w:vAlign w:val="center"/>
          </w:tcPr>
          <w:p w14:paraId="6F7FCB33">
            <w:pPr>
              <w:pStyle w:val="11"/>
            </w:pPr>
            <w:r>
              <w:t>10月底</w:t>
            </w:r>
          </w:p>
        </w:tc>
        <w:tc>
          <w:tcPr>
            <w:tcW w:w="3544" w:type="dxa"/>
            <w:gridSpan w:val="2"/>
            <w:vAlign w:val="center"/>
          </w:tcPr>
          <w:p w14:paraId="462F1A86">
            <w:pPr>
              <w:pStyle w:val="11"/>
            </w:pPr>
            <w:r>
              <w:t>12月底</w:t>
            </w:r>
          </w:p>
        </w:tc>
      </w:tr>
      <w:tr w14:paraId="14A53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356E6D"/>
        </w:tc>
        <w:tc>
          <w:tcPr>
            <w:tcW w:w="5103" w:type="dxa"/>
            <w:gridSpan w:val="2"/>
            <w:vAlign w:val="center"/>
          </w:tcPr>
          <w:p w14:paraId="3DD82664">
            <w:pPr>
              <w:pStyle w:val="12"/>
            </w:pPr>
            <w:r>
              <w:t xml:space="preserve"> </w:t>
            </w:r>
          </w:p>
        </w:tc>
        <w:tc>
          <w:tcPr>
            <w:tcW w:w="2835" w:type="dxa"/>
            <w:vAlign w:val="center"/>
          </w:tcPr>
          <w:p w14:paraId="4BBC6FAC">
            <w:pPr>
              <w:pStyle w:val="12"/>
            </w:pPr>
            <w:r>
              <w:t>100%</w:t>
            </w:r>
          </w:p>
        </w:tc>
        <w:tc>
          <w:tcPr>
            <w:tcW w:w="2551" w:type="dxa"/>
            <w:vAlign w:val="center"/>
          </w:tcPr>
          <w:p w14:paraId="66AF0AE6">
            <w:pPr>
              <w:pStyle w:val="12"/>
            </w:pPr>
            <w:r>
              <w:t>100%</w:t>
            </w:r>
          </w:p>
        </w:tc>
        <w:tc>
          <w:tcPr>
            <w:tcW w:w="3544" w:type="dxa"/>
            <w:gridSpan w:val="2"/>
            <w:vAlign w:val="center"/>
          </w:tcPr>
          <w:p w14:paraId="63492011">
            <w:pPr>
              <w:pStyle w:val="12"/>
            </w:pPr>
            <w:r>
              <w:t>100%</w:t>
            </w:r>
          </w:p>
        </w:tc>
      </w:tr>
      <w:tr w14:paraId="5207F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43CD52">
            <w:pPr>
              <w:pStyle w:val="11"/>
            </w:pPr>
            <w:r>
              <w:t>绩效目标</w:t>
            </w:r>
          </w:p>
        </w:tc>
        <w:tc>
          <w:tcPr>
            <w:tcW w:w="14033" w:type="dxa"/>
            <w:gridSpan w:val="6"/>
            <w:vAlign w:val="center"/>
          </w:tcPr>
          <w:p w14:paraId="75190632">
            <w:pPr>
              <w:pStyle w:val="13"/>
            </w:pPr>
            <w:r>
              <w:t>1.保障义务教育学校正常运转，完成教育教学活动和其他日常工作任务等方面的费用支出。</w:t>
            </w:r>
          </w:p>
        </w:tc>
      </w:tr>
    </w:tbl>
    <w:p w14:paraId="5B6114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26661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8C7A5">
            <w:pPr>
              <w:pStyle w:val="11"/>
            </w:pPr>
            <w:r>
              <w:t>一级指标</w:t>
            </w:r>
          </w:p>
        </w:tc>
        <w:tc>
          <w:tcPr>
            <w:tcW w:w="2268" w:type="dxa"/>
            <w:vAlign w:val="center"/>
          </w:tcPr>
          <w:p w14:paraId="5732DECB">
            <w:pPr>
              <w:pStyle w:val="11"/>
            </w:pPr>
            <w:r>
              <w:t>二级指标</w:t>
            </w:r>
          </w:p>
        </w:tc>
        <w:tc>
          <w:tcPr>
            <w:tcW w:w="2835" w:type="dxa"/>
            <w:vAlign w:val="center"/>
          </w:tcPr>
          <w:p w14:paraId="45697CDC">
            <w:pPr>
              <w:pStyle w:val="11"/>
            </w:pPr>
            <w:r>
              <w:t>三级指标</w:t>
            </w:r>
          </w:p>
        </w:tc>
        <w:tc>
          <w:tcPr>
            <w:tcW w:w="5386" w:type="dxa"/>
            <w:vAlign w:val="center"/>
          </w:tcPr>
          <w:p w14:paraId="190F1D6B">
            <w:pPr>
              <w:pStyle w:val="11"/>
            </w:pPr>
            <w:r>
              <w:t>绩效指标描述</w:t>
            </w:r>
          </w:p>
        </w:tc>
        <w:tc>
          <w:tcPr>
            <w:tcW w:w="1613" w:type="dxa"/>
            <w:vAlign w:val="center"/>
          </w:tcPr>
          <w:p w14:paraId="07AC9258">
            <w:pPr>
              <w:pStyle w:val="11"/>
            </w:pPr>
            <w:r>
              <w:t>指标值</w:t>
            </w:r>
          </w:p>
        </w:tc>
        <w:tc>
          <w:tcPr>
            <w:tcW w:w="1931" w:type="dxa"/>
            <w:vAlign w:val="center"/>
          </w:tcPr>
          <w:p w14:paraId="637AAA31">
            <w:pPr>
              <w:pStyle w:val="11"/>
            </w:pPr>
            <w:r>
              <w:t>指标值确定依据</w:t>
            </w:r>
          </w:p>
        </w:tc>
      </w:tr>
      <w:tr w14:paraId="55EA0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A2B88">
            <w:pPr>
              <w:pStyle w:val="12"/>
            </w:pPr>
            <w:r>
              <w:t>产出指标</w:t>
            </w:r>
          </w:p>
        </w:tc>
        <w:tc>
          <w:tcPr>
            <w:tcW w:w="2268" w:type="dxa"/>
            <w:vAlign w:val="center"/>
          </w:tcPr>
          <w:p w14:paraId="70EAE0B9">
            <w:pPr>
              <w:pStyle w:val="13"/>
            </w:pPr>
            <w:r>
              <w:t>数量指标</w:t>
            </w:r>
          </w:p>
        </w:tc>
        <w:tc>
          <w:tcPr>
            <w:tcW w:w="2835" w:type="dxa"/>
            <w:vAlign w:val="center"/>
          </w:tcPr>
          <w:p w14:paraId="5ABC43A7">
            <w:pPr>
              <w:pStyle w:val="13"/>
            </w:pPr>
            <w:r>
              <w:t>生均拨款标准</w:t>
            </w:r>
          </w:p>
        </w:tc>
        <w:tc>
          <w:tcPr>
            <w:tcW w:w="5386" w:type="dxa"/>
            <w:vAlign w:val="center"/>
          </w:tcPr>
          <w:p w14:paraId="47217049">
            <w:pPr>
              <w:pStyle w:val="13"/>
            </w:pPr>
            <w:r>
              <w:t>初中生公用经费生均940元。取暖费120元/生/年，寄宿生均300元。</w:t>
            </w:r>
          </w:p>
        </w:tc>
        <w:tc>
          <w:tcPr>
            <w:tcW w:w="1613" w:type="dxa"/>
            <w:vAlign w:val="center"/>
          </w:tcPr>
          <w:p w14:paraId="66755E51">
            <w:pPr>
              <w:pStyle w:val="13"/>
            </w:pPr>
            <w:r>
              <w:t>1360元</w:t>
            </w:r>
          </w:p>
        </w:tc>
        <w:tc>
          <w:tcPr>
            <w:tcW w:w="1931" w:type="dxa"/>
            <w:vAlign w:val="center"/>
          </w:tcPr>
          <w:p w14:paraId="6ADBBF67">
            <w:pPr>
              <w:pStyle w:val="13"/>
            </w:pPr>
            <w:r>
              <w:t>城乡义务教育公用经费管理办法</w:t>
            </w:r>
          </w:p>
        </w:tc>
      </w:tr>
      <w:tr w14:paraId="0F773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D941B"/>
        </w:tc>
        <w:tc>
          <w:tcPr>
            <w:tcW w:w="2268" w:type="dxa"/>
            <w:vAlign w:val="center"/>
          </w:tcPr>
          <w:p w14:paraId="36F606F6">
            <w:pPr>
              <w:pStyle w:val="13"/>
            </w:pPr>
            <w:r>
              <w:t>质量指标</w:t>
            </w:r>
          </w:p>
        </w:tc>
        <w:tc>
          <w:tcPr>
            <w:tcW w:w="2835" w:type="dxa"/>
            <w:vAlign w:val="center"/>
          </w:tcPr>
          <w:p w14:paraId="7E0E7286">
            <w:pPr>
              <w:pStyle w:val="13"/>
            </w:pPr>
            <w:r>
              <w:t>就读学生数</w:t>
            </w:r>
          </w:p>
        </w:tc>
        <w:tc>
          <w:tcPr>
            <w:tcW w:w="5386" w:type="dxa"/>
            <w:vAlign w:val="center"/>
          </w:tcPr>
          <w:p w14:paraId="66F86C4E">
            <w:pPr>
              <w:pStyle w:val="13"/>
            </w:pPr>
            <w:r>
              <w:t>辐射区域内适龄学生人数</w:t>
            </w:r>
          </w:p>
        </w:tc>
        <w:tc>
          <w:tcPr>
            <w:tcW w:w="1613" w:type="dxa"/>
            <w:vAlign w:val="center"/>
          </w:tcPr>
          <w:p w14:paraId="74A88E8D">
            <w:pPr>
              <w:pStyle w:val="13"/>
            </w:pPr>
            <w:r>
              <w:t>302人</w:t>
            </w:r>
          </w:p>
        </w:tc>
        <w:tc>
          <w:tcPr>
            <w:tcW w:w="1931" w:type="dxa"/>
            <w:vAlign w:val="center"/>
          </w:tcPr>
          <w:p w14:paraId="25F01EF1">
            <w:pPr>
              <w:pStyle w:val="13"/>
            </w:pPr>
            <w:r>
              <w:t>城乡义务教育公用经费管理办法</w:t>
            </w:r>
          </w:p>
        </w:tc>
      </w:tr>
      <w:tr w14:paraId="0C607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87AB6"/>
        </w:tc>
        <w:tc>
          <w:tcPr>
            <w:tcW w:w="2268" w:type="dxa"/>
            <w:vAlign w:val="center"/>
          </w:tcPr>
          <w:p w14:paraId="4DA4A59D">
            <w:pPr>
              <w:pStyle w:val="13"/>
            </w:pPr>
            <w:r>
              <w:t>时效指标</w:t>
            </w:r>
          </w:p>
        </w:tc>
        <w:tc>
          <w:tcPr>
            <w:tcW w:w="2835" w:type="dxa"/>
            <w:vAlign w:val="center"/>
          </w:tcPr>
          <w:p w14:paraId="31BBDDE4">
            <w:pPr>
              <w:pStyle w:val="13"/>
            </w:pPr>
            <w:r>
              <w:t>预算执行率</w:t>
            </w:r>
          </w:p>
        </w:tc>
        <w:tc>
          <w:tcPr>
            <w:tcW w:w="5386" w:type="dxa"/>
            <w:vAlign w:val="center"/>
          </w:tcPr>
          <w:p w14:paraId="49E8A5B3">
            <w:pPr>
              <w:pStyle w:val="13"/>
            </w:pPr>
            <w:r>
              <w:t>预算执行率大于等于98%</w:t>
            </w:r>
          </w:p>
        </w:tc>
        <w:tc>
          <w:tcPr>
            <w:tcW w:w="1613" w:type="dxa"/>
            <w:vAlign w:val="center"/>
          </w:tcPr>
          <w:p w14:paraId="66309735">
            <w:pPr>
              <w:pStyle w:val="13"/>
            </w:pPr>
            <w:r>
              <w:t>≥100%</w:t>
            </w:r>
          </w:p>
        </w:tc>
        <w:tc>
          <w:tcPr>
            <w:tcW w:w="1931" w:type="dxa"/>
            <w:vAlign w:val="center"/>
          </w:tcPr>
          <w:p w14:paraId="11833868">
            <w:pPr>
              <w:pStyle w:val="13"/>
            </w:pPr>
            <w:r>
              <w:t>城乡义务教育公用经费管理办法</w:t>
            </w:r>
          </w:p>
        </w:tc>
      </w:tr>
      <w:tr w14:paraId="527E2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D2075"/>
        </w:tc>
        <w:tc>
          <w:tcPr>
            <w:tcW w:w="2268" w:type="dxa"/>
            <w:vAlign w:val="center"/>
          </w:tcPr>
          <w:p w14:paraId="7F5CFBD2">
            <w:pPr>
              <w:pStyle w:val="13"/>
            </w:pPr>
            <w:r>
              <w:t>成本指标</w:t>
            </w:r>
          </w:p>
        </w:tc>
        <w:tc>
          <w:tcPr>
            <w:tcW w:w="2835" w:type="dxa"/>
            <w:vAlign w:val="center"/>
          </w:tcPr>
          <w:p w14:paraId="20B2E5EA">
            <w:pPr>
              <w:pStyle w:val="13"/>
            </w:pPr>
            <w:r>
              <w:t>义教经费支付完成率</w:t>
            </w:r>
          </w:p>
        </w:tc>
        <w:tc>
          <w:tcPr>
            <w:tcW w:w="5386" w:type="dxa"/>
            <w:vAlign w:val="center"/>
          </w:tcPr>
          <w:p w14:paraId="3476D81F">
            <w:pPr>
              <w:pStyle w:val="13"/>
            </w:pPr>
            <w:r>
              <w:t>按照序时进度完成资金支付</w:t>
            </w:r>
          </w:p>
        </w:tc>
        <w:tc>
          <w:tcPr>
            <w:tcW w:w="1613" w:type="dxa"/>
            <w:vAlign w:val="center"/>
          </w:tcPr>
          <w:p w14:paraId="3710BCDE">
            <w:pPr>
              <w:pStyle w:val="13"/>
            </w:pPr>
            <w:r>
              <w:t>≥100%</w:t>
            </w:r>
          </w:p>
        </w:tc>
        <w:tc>
          <w:tcPr>
            <w:tcW w:w="1931" w:type="dxa"/>
            <w:vAlign w:val="center"/>
          </w:tcPr>
          <w:p w14:paraId="14CA67DF">
            <w:pPr>
              <w:pStyle w:val="13"/>
            </w:pPr>
            <w:r>
              <w:t>城乡义务教育公用经费管理办法</w:t>
            </w:r>
          </w:p>
        </w:tc>
      </w:tr>
      <w:tr w14:paraId="3C706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9092A2">
            <w:pPr>
              <w:pStyle w:val="12"/>
            </w:pPr>
            <w:r>
              <w:t>效益指标</w:t>
            </w:r>
          </w:p>
        </w:tc>
        <w:tc>
          <w:tcPr>
            <w:tcW w:w="2268" w:type="dxa"/>
            <w:vAlign w:val="center"/>
          </w:tcPr>
          <w:p w14:paraId="564CEBC0">
            <w:pPr>
              <w:pStyle w:val="13"/>
            </w:pPr>
            <w:r>
              <w:t>社会效益指标</w:t>
            </w:r>
          </w:p>
        </w:tc>
        <w:tc>
          <w:tcPr>
            <w:tcW w:w="2835" w:type="dxa"/>
            <w:vAlign w:val="center"/>
          </w:tcPr>
          <w:p w14:paraId="1075E6BA">
            <w:pPr>
              <w:pStyle w:val="13"/>
            </w:pPr>
            <w:r>
              <w:t>学校运转得到提高</w:t>
            </w:r>
          </w:p>
        </w:tc>
        <w:tc>
          <w:tcPr>
            <w:tcW w:w="5386" w:type="dxa"/>
            <w:vAlign w:val="center"/>
          </w:tcPr>
          <w:p w14:paraId="4CED4AD1">
            <w:pPr>
              <w:pStyle w:val="13"/>
            </w:pPr>
            <w:r>
              <w:t>学生受教育年限</w:t>
            </w:r>
          </w:p>
        </w:tc>
        <w:tc>
          <w:tcPr>
            <w:tcW w:w="1613" w:type="dxa"/>
            <w:vAlign w:val="center"/>
          </w:tcPr>
          <w:p w14:paraId="1C706E8D">
            <w:pPr>
              <w:pStyle w:val="13"/>
            </w:pPr>
            <w:r>
              <w:t>3年</w:t>
            </w:r>
          </w:p>
        </w:tc>
        <w:tc>
          <w:tcPr>
            <w:tcW w:w="1931" w:type="dxa"/>
            <w:vAlign w:val="center"/>
          </w:tcPr>
          <w:p w14:paraId="2FB32B6D">
            <w:pPr>
              <w:pStyle w:val="13"/>
            </w:pPr>
            <w:r>
              <w:t>城乡义务教育公用经费管理办法</w:t>
            </w:r>
          </w:p>
        </w:tc>
      </w:tr>
      <w:tr w14:paraId="76C83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7C7022">
            <w:pPr>
              <w:pStyle w:val="12"/>
            </w:pPr>
            <w:r>
              <w:t>满意度指标</w:t>
            </w:r>
          </w:p>
        </w:tc>
        <w:tc>
          <w:tcPr>
            <w:tcW w:w="2268" w:type="dxa"/>
            <w:vAlign w:val="center"/>
          </w:tcPr>
          <w:p w14:paraId="087EE0DE">
            <w:pPr>
              <w:pStyle w:val="13"/>
            </w:pPr>
            <w:r>
              <w:t>服务对象满意度指标</w:t>
            </w:r>
          </w:p>
        </w:tc>
        <w:tc>
          <w:tcPr>
            <w:tcW w:w="2835" w:type="dxa"/>
            <w:vAlign w:val="center"/>
          </w:tcPr>
          <w:p w14:paraId="42557BA9">
            <w:pPr>
              <w:pStyle w:val="13"/>
            </w:pPr>
            <w:r>
              <w:t>服务对象满意度</w:t>
            </w:r>
          </w:p>
        </w:tc>
        <w:tc>
          <w:tcPr>
            <w:tcW w:w="5386" w:type="dxa"/>
            <w:vAlign w:val="center"/>
          </w:tcPr>
          <w:p w14:paraId="2DBB4B0B">
            <w:pPr>
              <w:pStyle w:val="13"/>
            </w:pPr>
            <w:r>
              <w:t>学校老师和学生满意度</w:t>
            </w:r>
          </w:p>
        </w:tc>
        <w:tc>
          <w:tcPr>
            <w:tcW w:w="1613" w:type="dxa"/>
            <w:vAlign w:val="center"/>
          </w:tcPr>
          <w:p w14:paraId="553828A7">
            <w:pPr>
              <w:pStyle w:val="13"/>
            </w:pPr>
            <w:r>
              <w:t>≥95%</w:t>
            </w:r>
          </w:p>
        </w:tc>
        <w:tc>
          <w:tcPr>
            <w:tcW w:w="1931" w:type="dxa"/>
            <w:vAlign w:val="center"/>
          </w:tcPr>
          <w:p w14:paraId="502D2406">
            <w:pPr>
              <w:pStyle w:val="13"/>
            </w:pPr>
            <w:r>
              <w:t>城乡义务教育公用经费管理办法</w:t>
            </w:r>
          </w:p>
        </w:tc>
      </w:tr>
    </w:tbl>
    <w:p w14:paraId="03C00C62">
      <w:pPr>
        <w:sectPr>
          <w:pgSz w:w="16840" w:h="11900" w:orient="landscape"/>
          <w:pgMar w:top="1361" w:right="1020" w:bottom="1134" w:left="1020" w:header="720" w:footer="720" w:gutter="0"/>
          <w:cols w:space="720" w:num="1"/>
        </w:sectPr>
      </w:pPr>
    </w:p>
    <w:p w14:paraId="42D096B4">
      <w:pPr>
        <w:spacing w:before="0" w:after="0"/>
        <w:ind w:firstLine="560"/>
        <w:jc w:val="left"/>
        <w:outlineLvl w:val="9"/>
      </w:pPr>
      <w:r>
        <w:rPr>
          <w:rFonts w:ascii="方正仿宋_GBK" w:hAnsi="方正仿宋_GBK" w:eastAsia="方正仿宋_GBK" w:cs="方正仿宋_GBK"/>
          <w:b/>
          <w:color w:val="000000"/>
          <w:sz w:val="28"/>
        </w:rPr>
        <w:t>4、冀财教[2024]141号/省级/2025年义教补助经费/大张庄中学公用经费绩效目标表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3B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9A510">
            <w:pPr>
              <w:pStyle w:val="14"/>
            </w:pPr>
            <w:r>
              <w:t>单位：万元</w:t>
            </w:r>
          </w:p>
        </w:tc>
      </w:tr>
      <w:tr w14:paraId="727A8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3CEFA3">
            <w:pPr>
              <w:pStyle w:val="11"/>
            </w:pPr>
            <w:r>
              <w:t>项目编码</w:t>
            </w:r>
          </w:p>
        </w:tc>
        <w:tc>
          <w:tcPr>
            <w:tcW w:w="5103" w:type="dxa"/>
            <w:gridSpan w:val="2"/>
            <w:vAlign w:val="center"/>
          </w:tcPr>
          <w:p w14:paraId="1309EB5C">
            <w:pPr>
              <w:pStyle w:val="13"/>
            </w:pPr>
            <w:r>
              <w:t>13052525P00000410128X</w:t>
            </w:r>
          </w:p>
        </w:tc>
        <w:tc>
          <w:tcPr>
            <w:tcW w:w="2835" w:type="dxa"/>
            <w:vAlign w:val="center"/>
          </w:tcPr>
          <w:p w14:paraId="428BF40C">
            <w:pPr>
              <w:pStyle w:val="11"/>
            </w:pPr>
            <w:r>
              <w:t>项目名称</w:t>
            </w:r>
          </w:p>
        </w:tc>
        <w:tc>
          <w:tcPr>
            <w:tcW w:w="6095" w:type="dxa"/>
            <w:gridSpan w:val="3"/>
            <w:vAlign w:val="center"/>
          </w:tcPr>
          <w:p w14:paraId="53A753BD">
            <w:pPr>
              <w:pStyle w:val="13"/>
            </w:pPr>
            <w:r>
              <w:t>冀财教[2024]141号/省级/2025年义教补助经费/大张庄中学公用经费</w:t>
            </w:r>
          </w:p>
        </w:tc>
      </w:tr>
      <w:tr w14:paraId="5956B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662E1">
            <w:pPr>
              <w:pStyle w:val="11"/>
            </w:pPr>
            <w:r>
              <w:t>预算规模及资金用途</w:t>
            </w:r>
          </w:p>
        </w:tc>
        <w:tc>
          <w:tcPr>
            <w:tcW w:w="2268" w:type="dxa"/>
            <w:vAlign w:val="center"/>
          </w:tcPr>
          <w:p w14:paraId="0BBC721B">
            <w:pPr>
              <w:pStyle w:val="11"/>
            </w:pPr>
            <w:r>
              <w:t>预算数</w:t>
            </w:r>
          </w:p>
        </w:tc>
        <w:tc>
          <w:tcPr>
            <w:tcW w:w="2835" w:type="dxa"/>
            <w:vAlign w:val="center"/>
          </w:tcPr>
          <w:p w14:paraId="4D5635C1">
            <w:pPr>
              <w:pStyle w:val="13"/>
            </w:pPr>
            <w:r>
              <w:t>17.99</w:t>
            </w:r>
          </w:p>
        </w:tc>
        <w:tc>
          <w:tcPr>
            <w:tcW w:w="2835" w:type="dxa"/>
            <w:vAlign w:val="center"/>
          </w:tcPr>
          <w:p w14:paraId="459D7862">
            <w:pPr>
              <w:pStyle w:val="11"/>
            </w:pPr>
            <w:r>
              <w:t>其中：财政    资金</w:t>
            </w:r>
          </w:p>
        </w:tc>
        <w:tc>
          <w:tcPr>
            <w:tcW w:w="2551" w:type="dxa"/>
            <w:vAlign w:val="center"/>
          </w:tcPr>
          <w:p w14:paraId="0D6A855B">
            <w:pPr>
              <w:pStyle w:val="13"/>
            </w:pPr>
            <w:r>
              <w:t>17.99</w:t>
            </w:r>
          </w:p>
        </w:tc>
        <w:tc>
          <w:tcPr>
            <w:tcW w:w="2268" w:type="dxa"/>
            <w:vAlign w:val="center"/>
          </w:tcPr>
          <w:p w14:paraId="529A93A3">
            <w:pPr>
              <w:pStyle w:val="11"/>
            </w:pPr>
            <w:r>
              <w:t>其他资金</w:t>
            </w:r>
          </w:p>
        </w:tc>
        <w:tc>
          <w:tcPr>
            <w:tcW w:w="1276" w:type="dxa"/>
            <w:vAlign w:val="center"/>
          </w:tcPr>
          <w:p w14:paraId="51BFC137">
            <w:pPr>
              <w:pStyle w:val="13"/>
            </w:pPr>
            <w:r>
              <w:t xml:space="preserve"> </w:t>
            </w:r>
          </w:p>
        </w:tc>
      </w:tr>
      <w:tr w14:paraId="44921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9C3EA9"/>
        </w:tc>
        <w:tc>
          <w:tcPr>
            <w:tcW w:w="14033" w:type="dxa"/>
            <w:gridSpan w:val="6"/>
            <w:vAlign w:val="center"/>
          </w:tcPr>
          <w:p w14:paraId="5C15644C">
            <w:pPr>
              <w:pStyle w:val="13"/>
            </w:pPr>
            <w:r>
              <w:t>保障义务教育学校正常运转，完成教育教学活动和其他日常工作任务等方面的费用支出。</w:t>
            </w:r>
            <w:r>
              <w:tab/>
            </w:r>
          </w:p>
        </w:tc>
      </w:tr>
      <w:tr w14:paraId="28F15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D1084">
            <w:pPr>
              <w:pStyle w:val="11"/>
            </w:pPr>
            <w:r>
              <w:t>资金支出计划（%）</w:t>
            </w:r>
          </w:p>
        </w:tc>
        <w:tc>
          <w:tcPr>
            <w:tcW w:w="5103" w:type="dxa"/>
            <w:gridSpan w:val="2"/>
            <w:vAlign w:val="center"/>
          </w:tcPr>
          <w:p w14:paraId="3ABFD7CB">
            <w:pPr>
              <w:pStyle w:val="11"/>
            </w:pPr>
            <w:r>
              <w:t>3月底</w:t>
            </w:r>
          </w:p>
        </w:tc>
        <w:tc>
          <w:tcPr>
            <w:tcW w:w="2835" w:type="dxa"/>
            <w:vAlign w:val="center"/>
          </w:tcPr>
          <w:p w14:paraId="165C7347">
            <w:pPr>
              <w:pStyle w:val="11"/>
            </w:pPr>
            <w:r>
              <w:t>6月底</w:t>
            </w:r>
          </w:p>
        </w:tc>
        <w:tc>
          <w:tcPr>
            <w:tcW w:w="2551" w:type="dxa"/>
            <w:vAlign w:val="center"/>
          </w:tcPr>
          <w:p w14:paraId="03946D2E">
            <w:pPr>
              <w:pStyle w:val="11"/>
            </w:pPr>
            <w:r>
              <w:t>10月底</w:t>
            </w:r>
          </w:p>
        </w:tc>
        <w:tc>
          <w:tcPr>
            <w:tcW w:w="3544" w:type="dxa"/>
            <w:gridSpan w:val="2"/>
            <w:vAlign w:val="center"/>
          </w:tcPr>
          <w:p w14:paraId="1E2F3F53">
            <w:pPr>
              <w:pStyle w:val="11"/>
            </w:pPr>
            <w:r>
              <w:t>12月底</w:t>
            </w:r>
          </w:p>
        </w:tc>
      </w:tr>
      <w:tr w14:paraId="62EB7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E0BB84"/>
        </w:tc>
        <w:tc>
          <w:tcPr>
            <w:tcW w:w="5103" w:type="dxa"/>
            <w:gridSpan w:val="2"/>
            <w:vAlign w:val="center"/>
          </w:tcPr>
          <w:p w14:paraId="7F4991EE">
            <w:pPr>
              <w:pStyle w:val="12"/>
            </w:pPr>
            <w:r>
              <w:t>25%</w:t>
            </w:r>
          </w:p>
        </w:tc>
        <w:tc>
          <w:tcPr>
            <w:tcW w:w="2835" w:type="dxa"/>
            <w:vAlign w:val="center"/>
          </w:tcPr>
          <w:p w14:paraId="2867B314">
            <w:pPr>
              <w:pStyle w:val="12"/>
            </w:pPr>
            <w:r>
              <w:t>50%</w:t>
            </w:r>
          </w:p>
        </w:tc>
        <w:tc>
          <w:tcPr>
            <w:tcW w:w="2551" w:type="dxa"/>
            <w:vAlign w:val="center"/>
          </w:tcPr>
          <w:p w14:paraId="6E1DE6A9">
            <w:pPr>
              <w:pStyle w:val="12"/>
            </w:pPr>
            <w:r>
              <w:t>75%</w:t>
            </w:r>
          </w:p>
        </w:tc>
        <w:tc>
          <w:tcPr>
            <w:tcW w:w="3544" w:type="dxa"/>
            <w:gridSpan w:val="2"/>
            <w:vAlign w:val="center"/>
          </w:tcPr>
          <w:p w14:paraId="166A73EF">
            <w:pPr>
              <w:pStyle w:val="12"/>
            </w:pPr>
            <w:r>
              <w:t>100%</w:t>
            </w:r>
          </w:p>
        </w:tc>
      </w:tr>
      <w:tr w14:paraId="7BA91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CECFE">
            <w:pPr>
              <w:pStyle w:val="11"/>
            </w:pPr>
            <w:r>
              <w:t>绩效目标</w:t>
            </w:r>
          </w:p>
        </w:tc>
        <w:tc>
          <w:tcPr>
            <w:tcW w:w="14033" w:type="dxa"/>
            <w:gridSpan w:val="6"/>
            <w:vAlign w:val="center"/>
          </w:tcPr>
          <w:p w14:paraId="4AA19739">
            <w:pPr>
              <w:pStyle w:val="13"/>
            </w:pPr>
            <w:r>
              <w:t>1.保障义务教育学校正常运转，完成教育教学活动和其他日常工作任务等方面的费用支出。</w:t>
            </w:r>
            <w:r>
              <w:tab/>
            </w:r>
          </w:p>
        </w:tc>
      </w:tr>
    </w:tbl>
    <w:p w14:paraId="674F3E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53"/>
        <w:gridCol w:w="1991"/>
      </w:tblGrid>
      <w:tr w14:paraId="702E6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36D6D">
            <w:pPr>
              <w:pStyle w:val="11"/>
            </w:pPr>
            <w:r>
              <w:t>一级指标</w:t>
            </w:r>
          </w:p>
        </w:tc>
        <w:tc>
          <w:tcPr>
            <w:tcW w:w="2268" w:type="dxa"/>
            <w:vAlign w:val="center"/>
          </w:tcPr>
          <w:p w14:paraId="71D07D1B">
            <w:pPr>
              <w:pStyle w:val="11"/>
            </w:pPr>
            <w:r>
              <w:t>二级指标</w:t>
            </w:r>
          </w:p>
        </w:tc>
        <w:tc>
          <w:tcPr>
            <w:tcW w:w="2835" w:type="dxa"/>
            <w:vAlign w:val="center"/>
          </w:tcPr>
          <w:p w14:paraId="4ACA78CA">
            <w:pPr>
              <w:pStyle w:val="11"/>
            </w:pPr>
            <w:r>
              <w:t>三级指标</w:t>
            </w:r>
          </w:p>
        </w:tc>
        <w:tc>
          <w:tcPr>
            <w:tcW w:w="5386" w:type="dxa"/>
            <w:vAlign w:val="center"/>
          </w:tcPr>
          <w:p w14:paraId="55835736">
            <w:pPr>
              <w:pStyle w:val="11"/>
            </w:pPr>
            <w:r>
              <w:t>绩效指标描述</w:t>
            </w:r>
          </w:p>
        </w:tc>
        <w:tc>
          <w:tcPr>
            <w:tcW w:w="1553" w:type="dxa"/>
            <w:vAlign w:val="center"/>
          </w:tcPr>
          <w:p w14:paraId="47424675">
            <w:pPr>
              <w:pStyle w:val="11"/>
            </w:pPr>
            <w:r>
              <w:t>指标值</w:t>
            </w:r>
          </w:p>
        </w:tc>
        <w:tc>
          <w:tcPr>
            <w:tcW w:w="1991" w:type="dxa"/>
            <w:vAlign w:val="center"/>
          </w:tcPr>
          <w:p w14:paraId="4015FF90">
            <w:pPr>
              <w:pStyle w:val="11"/>
            </w:pPr>
            <w:r>
              <w:t>指标值确定依据</w:t>
            </w:r>
          </w:p>
        </w:tc>
      </w:tr>
      <w:tr w14:paraId="55A3A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D3D71">
            <w:pPr>
              <w:pStyle w:val="12"/>
            </w:pPr>
            <w:r>
              <w:t>产出指标</w:t>
            </w:r>
          </w:p>
        </w:tc>
        <w:tc>
          <w:tcPr>
            <w:tcW w:w="2268" w:type="dxa"/>
            <w:vAlign w:val="center"/>
          </w:tcPr>
          <w:p w14:paraId="7C5C4567">
            <w:pPr>
              <w:pStyle w:val="13"/>
            </w:pPr>
            <w:r>
              <w:t>成本指标</w:t>
            </w:r>
          </w:p>
        </w:tc>
        <w:tc>
          <w:tcPr>
            <w:tcW w:w="2835" w:type="dxa"/>
            <w:vAlign w:val="center"/>
          </w:tcPr>
          <w:p w14:paraId="17EF9D10">
            <w:pPr>
              <w:pStyle w:val="13"/>
            </w:pPr>
            <w:r>
              <w:t>生均拨款标准</w:t>
            </w:r>
          </w:p>
        </w:tc>
        <w:tc>
          <w:tcPr>
            <w:tcW w:w="5386" w:type="dxa"/>
            <w:vAlign w:val="center"/>
          </w:tcPr>
          <w:p w14:paraId="2F90C8D9">
            <w:pPr>
              <w:pStyle w:val="13"/>
            </w:pPr>
            <w:r>
              <w:t>初中生公用经费生均940元。取暖费120元/生/年，寄宿生均300元。</w:t>
            </w:r>
          </w:p>
        </w:tc>
        <w:tc>
          <w:tcPr>
            <w:tcW w:w="1553" w:type="dxa"/>
            <w:vAlign w:val="center"/>
          </w:tcPr>
          <w:p w14:paraId="1BE6C977">
            <w:pPr>
              <w:pStyle w:val="13"/>
            </w:pPr>
            <w:r>
              <w:t>1360元</w:t>
            </w:r>
          </w:p>
        </w:tc>
        <w:tc>
          <w:tcPr>
            <w:tcW w:w="1991" w:type="dxa"/>
            <w:vAlign w:val="center"/>
          </w:tcPr>
          <w:p w14:paraId="377FF527">
            <w:pPr>
              <w:pStyle w:val="13"/>
            </w:pPr>
            <w:r>
              <w:t>城乡义务教育公用经费管理办法</w:t>
            </w:r>
          </w:p>
        </w:tc>
      </w:tr>
      <w:tr w14:paraId="4F8F8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EE61A"/>
        </w:tc>
        <w:tc>
          <w:tcPr>
            <w:tcW w:w="2268" w:type="dxa"/>
            <w:vAlign w:val="center"/>
          </w:tcPr>
          <w:p w14:paraId="2AAEB565">
            <w:pPr>
              <w:pStyle w:val="13"/>
            </w:pPr>
            <w:r>
              <w:t>数量指标</w:t>
            </w:r>
          </w:p>
        </w:tc>
        <w:tc>
          <w:tcPr>
            <w:tcW w:w="2835" w:type="dxa"/>
            <w:vAlign w:val="center"/>
          </w:tcPr>
          <w:p w14:paraId="072E66E5">
            <w:pPr>
              <w:pStyle w:val="13"/>
            </w:pPr>
            <w:r>
              <w:t>就读学生数</w:t>
            </w:r>
          </w:p>
        </w:tc>
        <w:tc>
          <w:tcPr>
            <w:tcW w:w="5386" w:type="dxa"/>
            <w:vAlign w:val="center"/>
          </w:tcPr>
          <w:p w14:paraId="3042530A">
            <w:pPr>
              <w:pStyle w:val="13"/>
            </w:pPr>
            <w:r>
              <w:t>辐射区域内适龄学生人数</w:t>
            </w:r>
          </w:p>
        </w:tc>
        <w:tc>
          <w:tcPr>
            <w:tcW w:w="1553" w:type="dxa"/>
            <w:vAlign w:val="center"/>
          </w:tcPr>
          <w:p w14:paraId="7D64FD83">
            <w:pPr>
              <w:pStyle w:val="13"/>
            </w:pPr>
            <w:r>
              <w:t>302人</w:t>
            </w:r>
          </w:p>
        </w:tc>
        <w:tc>
          <w:tcPr>
            <w:tcW w:w="1991" w:type="dxa"/>
            <w:vAlign w:val="center"/>
          </w:tcPr>
          <w:p w14:paraId="679688DB">
            <w:pPr>
              <w:pStyle w:val="13"/>
            </w:pPr>
            <w:r>
              <w:t>城乡义务教育公用经费管理办法</w:t>
            </w:r>
          </w:p>
        </w:tc>
      </w:tr>
      <w:tr w14:paraId="3BB1B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98ACB"/>
        </w:tc>
        <w:tc>
          <w:tcPr>
            <w:tcW w:w="2268" w:type="dxa"/>
            <w:vAlign w:val="center"/>
          </w:tcPr>
          <w:p w14:paraId="371DE5A7">
            <w:pPr>
              <w:pStyle w:val="13"/>
            </w:pPr>
            <w:r>
              <w:t>质量指标</w:t>
            </w:r>
          </w:p>
        </w:tc>
        <w:tc>
          <w:tcPr>
            <w:tcW w:w="2835" w:type="dxa"/>
            <w:vAlign w:val="center"/>
          </w:tcPr>
          <w:p w14:paraId="7A5BBB95">
            <w:pPr>
              <w:pStyle w:val="13"/>
            </w:pPr>
            <w:r>
              <w:t>预算执行率</w:t>
            </w:r>
          </w:p>
        </w:tc>
        <w:tc>
          <w:tcPr>
            <w:tcW w:w="5386" w:type="dxa"/>
            <w:vAlign w:val="center"/>
          </w:tcPr>
          <w:p w14:paraId="54132358">
            <w:pPr>
              <w:pStyle w:val="13"/>
            </w:pPr>
            <w:r>
              <w:t>预算执行率大于等于98%</w:t>
            </w:r>
          </w:p>
        </w:tc>
        <w:tc>
          <w:tcPr>
            <w:tcW w:w="1553" w:type="dxa"/>
            <w:vAlign w:val="center"/>
          </w:tcPr>
          <w:p w14:paraId="149B7FCF">
            <w:pPr>
              <w:pStyle w:val="13"/>
            </w:pPr>
            <w:r>
              <w:t>≥100%</w:t>
            </w:r>
          </w:p>
        </w:tc>
        <w:tc>
          <w:tcPr>
            <w:tcW w:w="1991" w:type="dxa"/>
            <w:vAlign w:val="center"/>
          </w:tcPr>
          <w:p w14:paraId="195A3E8B">
            <w:pPr>
              <w:pStyle w:val="13"/>
            </w:pPr>
            <w:r>
              <w:t>城乡义务教育公用经费管理办法</w:t>
            </w:r>
          </w:p>
        </w:tc>
      </w:tr>
      <w:tr w14:paraId="6928D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616DA"/>
        </w:tc>
        <w:tc>
          <w:tcPr>
            <w:tcW w:w="2268" w:type="dxa"/>
            <w:vAlign w:val="center"/>
          </w:tcPr>
          <w:p w14:paraId="7DDA61BF">
            <w:pPr>
              <w:pStyle w:val="13"/>
            </w:pPr>
            <w:r>
              <w:t>时效指标</w:t>
            </w:r>
          </w:p>
        </w:tc>
        <w:tc>
          <w:tcPr>
            <w:tcW w:w="2835" w:type="dxa"/>
            <w:vAlign w:val="center"/>
          </w:tcPr>
          <w:p w14:paraId="348E0656">
            <w:pPr>
              <w:pStyle w:val="13"/>
            </w:pPr>
            <w:r>
              <w:t>义教经费支付完成率</w:t>
            </w:r>
          </w:p>
        </w:tc>
        <w:tc>
          <w:tcPr>
            <w:tcW w:w="5386" w:type="dxa"/>
            <w:vAlign w:val="center"/>
          </w:tcPr>
          <w:p w14:paraId="45BC09E4">
            <w:pPr>
              <w:pStyle w:val="13"/>
            </w:pPr>
            <w:r>
              <w:t>按照序时进度完成资金支付</w:t>
            </w:r>
          </w:p>
        </w:tc>
        <w:tc>
          <w:tcPr>
            <w:tcW w:w="1553" w:type="dxa"/>
            <w:vAlign w:val="center"/>
          </w:tcPr>
          <w:p w14:paraId="5F200FF4">
            <w:pPr>
              <w:pStyle w:val="13"/>
            </w:pPr>
            <w:r>
              <w:t>≥100%</w:t>
            </w:r>
          </w:p>
        </w:tc>
        <w:tc>
          <w:tcPr>
            <w:tcW w:w="1991" w:type="dxa"/>
            <w:vAlign w:val="center"/>
          </w:tcPr>
          <w:p w14:paraId="67B4D6F7">
            <w:pPr>
              <w:pStyle w:val="13"/>
            </w:pPr>
            <w:r>
              <w:t>城乡义务教育公用经费管理办法</w:t>
            </w:r>
          </w:p>
        </w:tc>
      </w:tr>
      <w:tr w14:paraId="167DC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A3DCD5">
            <w:pPr>
              <w:pStyle w:val="12"/>
            </w:pPr>
            <w:r>
              <w:t>效益指标</w:t>
            </w:r>
          </w:p>
        </w:tc>
        <w:tc>
          <w:tcPr>
            <w:tcW w:w="2268" w:type="dxa"/>
            <w:vAlign w:val="center"/>
          </w:tcPr>
          <w:p w14:paraId="129D352E">
            <w:pPr>
              <w:pStyle w:val="13"/>
            </w:pPr>
            <w:r>
              <w:t>社会效益指标</w:t>
            </w:r>
          </w:p>
        </w:tc>
        <w:tc>
          <w:tcPr>
            <w:tcW w:w="2835" w:type="dxa"/>
            <w:vAlign w:val="center"/>
          </w:tcPr>
          <w:p w14:paraId="0B981B6A">
            <w:pPr>
              <w:pStyle w:val="13"/>
            </w:pPr>
            <w:r>
              <w:t>学校运转得到提高</w:t>
            </w:r>
          </w:p>
        </w:tc>
        <w:tc>
          <w:tcPr>
            <w:tcW w:w="5386" w:type="dxa"/>
            <w:vAlign w:val="center"/>
          </w:tcPr>
          <w:p w14:paraId="36C7ED5D">
            <w:pPr>
              <w:pStyle w:val="13"/>
            </w:pPr>
            <w:r>
              <w:t>学生受教育年限</w:t>
            </w:r>
          </w:p>
        </w:tc>
        <w:tc>
          <w:tcPr>
            <w:tcW w:w="1553" w:type="dxa"/>
            <w:vAlign w:val="center"/>
          </w:tcPr>
          <w:p w14:paraId="20A5CF8D">
            <w:pPr>
              <w:pStyle w:val="13"/>
            </w:pPr>
            <w:r>
              <w:t>3年</w:t>
            </w:r>
          </w:p>
        </w:tc>
        <w:tc>
          <w:tcPr>
            <w:tcW w:w="1991" w:type="dxa"/>
            <w:vAlign w:val="center"/>
          </w:tcPr>
          <w:p w14:paraId="600A7556">
            <w:pPr>
              <w:pStyle w:val="13"/>
            </w:pPr>
            <w:r>
              <w:t>城乡义务教育公用经费管理办法</w:t>
            </w:r>
          </w:p>
        </w:tc>
      </w:tr>
      <w:tr w14:paraId="5B5A3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49696F">
            <w:pPr>
              <w:pStyle w:val="12"/>
            </w:pPr>
            <w:r>
              <w:t>满意度指标</w:t>
            </w:r>
          </w:p>
        </w:tc>
        <w:tc>
          <w:tcPr>
            <w:tcW w:w="2268" w:type="dxa"/>
            <w:vAlign w:val="center"/>
          </w:tcPr>
          <w:p w14:paraId="4E1FC7A6">
            <w:pPr>
              <w:pStyle w:val="13"/>
            </w:pPr>
            <w:r>
              <w:t>服务对象满意度指标</w:t>
            </w:r>
          </w:p>
        </w:tc>
        <w:tc>
          <w:tcPr>
            <w:tcW w:w="2835" w:type="dxa"/>
            <w:vAlign w:val="center"/>
          </w:tcPr>
          <w:p w14:paraId="7A1ED191">
            <w:pPr>
              <w:pStyle w:val="13"/>
            </w:pPr>
            <w:r>
              <w:t>服务对象满意度</w:t>
            </w:r>
          </w:p>
        </w:tc>
        <w:tc>
          <w:tcPr>
            <w:tcW w:w="5386" w:type="dxa"/>
            <w:vAlign w:val="center"/>
          </w:tcPr>
          <w:p w14:paraId="58DFC016">
            <w:pPr>
              <w:pStyle w:val="13"/>
            </w:pPr>
            <w:r>
              <w:t>学校老师和学生满意度</w:t>
            </w:r>
          </w:p>
        </w:tc>
        <w:tc>
          <w:tcPr>
            <w:tcW w:w="1553" w:type="dxa"/>
            <w:vAlign w:val="center"/>
          </w:tcPr>
          <w:p w14:paraId="01AA76EE">
            <w:pPr>
              <w:pStyle w:val="13"/>
            </w:pPr>
            <w:r>
              <w:t>≥95%</w:t>
            </w:r>
          </w:p>
        </w:tc>
        <w:tc>
          <w:tcPr>
            <w:tcW w:w="1991" w:type="dxa"/>
            <w:vAlign w:val="center"/>
          </w:tcPr>
          <w:p w14:paraId="68F94C51">
            <w:pPr>
              <w:pStyle w:val="13"/>
            </w:pPr>
            <w:r>
              <w:t>城乡义务教育公用经费管理办法</w:t>
            </w:r>
          </w:p>
        </w:tc>
      </w:tr>
    </w:tbl>
    <w:p w14:paraId="420F5475">
      <w:pPr>
        <w:sectPr>
          <w:pgSz w:w="16840" w:h="11900" w:orient="landscape"/>
          <w:pgMar w:top="1361" w:right="1020" w:bottom="1134" w:left="1020" w:header="720" w:footer="720" w:gutter="0"/>
          <w:cols w:space="720" w:num="1"/>
        </w:sectPr>
      </w:pPr>
    </w:p>
    <w:p w14:paraId="25724912">
      <w:pPr>
        <w:spacing w:before="0" w:after="0"/>
        <w:ind w:firstLine="560"/>
        <w:jc w:val="left"/>
        <w:outlineLvl w:val="9"/>
      </w:pPr>
      <w:r>
        <w:rPr>
          <w:rFonts w:ascii="方正仿宋_GBK" w:hAnsi="方正仿宋_GBK" w:eastAsia="方正仿宋_GBK" w:cs="方正仿宋_GBK"/>
          <w:b/>
          <w:color w:val="000000"/>
          <w:sz w:val="28"/>
        </w:rPr>
        <w:t>5、上年盘活/冀财教[2022]179号/中央/义教经费/校舍安全/张庄中学新建学生宿舍楼绩效目标表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26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95375">
            <w:pPr>
              <w:pStyle w:val="14"/>
            </w:pPr>
            <w:r>
              <w:t>单位：万元</w:t>
            </w:r>
          </w:p>
        </w:tc>
      </w:tr>
      <w:tr w14:paraId="0C8F6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CAD73">
            <w:pPr>
              <w:pStyle w:val="11"/>
            </w:pPr>
            <w:r>
              <w:t>项目编码</w:t>
            </w:r>
          </w:p>
        </w:tc>
        <w:tc>
          <w:tcPr>
            <w:tcW w:w="5103" w:type="dxa"/>
            <w:gridSpan w:val="2"/>
            <w:vAlign w:val="center"/>
          </w:tcPr>
          <w:p w14:paraId="1A805632">
            <w:pPr>
              <w:pStyle w:val="13"/>
            </w:pPr>
            <w:r>
              <w:t>13052525P00875610185L</w:t>
            </w:r>
          </w:p>
        </w:tc>
        <w:tc>
          <w:tcPr>
            <w:tcW w:w="2835" w:type="dxa"/>
            <w:vAlign w:val="center"/>
          </w:tcPr>
          <w:p w14:paraId="7BB094A6">
            <w:pPr>
              <w:pStyle w:val="11"/>
            </w:pPr>
            <w:r>
              <w:t>项目名称</w:t>
            </w:r>
          </w:p>
        </w:tc>
        <w:tc>
          <w:tcPr>
            <w:tcW w:w="6095" w:type="dxa"/>
            <w:gridSpan w:val="3"/>
            <w:vAlign w:val="center"/>
          </w:tcPr>
          <w:p w14:paraId="116E0B63">
            <w:pPr>
              <w:pStyle w:val="13"/>
            </w:pPr>
            <w:r>
              <w:t>上年盘活/冀财教[2022]179号/中央/义教经费/校舍安全/张庄中学新建学生宿舍楼</w:t>
            </w:r>
          </w:p>
        </w:tc>
      </w:tr>
      <w:tr w14:paraId="5A911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9A2E6">
            <w:pPr>
              <w:pStyle w:val="11"/>
            </w:pPr>
            <w:r>
              <w:t>预算规模及资金用途</w:t>
            </w:r>
          </w:p>
        </w:tc>
        <w:tc>
          <w:tcPr>
            <w:tcW w:w="2268" w:type="dxa"/>
            <w:vAlign w:val="center"/>
          </w:tcPr>
          <w:p w14:paraId="65D07C54">
            <w:pPr>
              <w:pStyle w:val="11"/>
            </w:pPr>
            <w:r>
              <w:t>预算数</w:t>
            </w:r>
          </w:p>
        </w:tc>
        <w:tc>
          <w:tcPr>
            <w:tcW w:w="2835" w:type="dxa"/>
            <w:vAlign w:val="center"/>
          </w:tcPr>
          <w:p w14:paraId="3BB49D7F">
            <w:pPr>
              <w:pStyle w:val="13"/>
            </w:pPr>
            <w:r>
              <w:t>160.96</w:t>
            </w:r>
          </w:p>
        </w:tc>
        <w:tc>
          <w:tcPr>
            <w:tcW w:w="2835" w:type="dxa"/>
            <w:vAlign w:val="center"/>
          </w:tcPr>
          <w:p w14:paraId="385B7B26">
            <w:pPr>
              <w:pStyle w:val="11"/>
            </w:pPr>
            <w:r>
              <w:t>其中：财政    资金</w:t>
            </w:r>
          </w:p>
        </w:tc>
        <w:tc>
          <w:tcPr>
            <w:tcW w:w="2551" w:type="dxa"/>
            <w:vAlign w:val="center"/>
          </w:tcPr>
          <w:p w14:paraId="202D60D5">
            <w:pPr>
              <w:pStyle w:val="13"/>
            </w:pPr>
            <w:r>
              <w:t>160.96</w:t>
            </w:r>
          </w:p>
        </w:tc>
        <w:tc>
          <w:tcPr>
            <w:tcW w:w="2268" w:type="dxa"/>
            <w:vAlign w:val="center"/>
          </w:tcPr>
          <w:p w14:paraId="674ED38E">
            <w:pPr>
              <w:pStyle w:val="11"/>
            </w:pPr>
            <w:r>
              <w:t>其他资金</w:t>
            </w:r>
          </w:p>
        </w:tc>
        <w:tc>
          <w:tcPr>
            <w:tcW w:w="1276" w:type="dxa"/>
            <w:vAlign w:val="center"/>
          </w:tcPr>
          <w:p w14:paraId="78D409FB">
            <w:pPr>
              <w:pStyle w:val="13"/>
            </w:pPr>
            <w:r>
              <w:t xml:space="preserve"> </w:t>
            </w:r>
          </w:p>
        </w:tc>
      </w:tr>
      <w:tr w14:paraId="0CEA9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E9AAE9"/>
        </w:tc>
        <w:tc>
          <w:tcPr>
            <w:tcW w:w="14033" w:type="dxa"/>
            <w:gridSpan w:val="6"/>
            <w:vAlign w:val="center"/>
          </w:tcPr>
          <w:p w14:paraId="55AAFDF7">
            <w:pPr>
              <w:pStyle w:val="13"/>
            </w:pPr>
            <w:r>
              <w:t>提升学校办学水平，改善办学条件，提升教育教学环境，给学生创造高标准、完善的学习和生活环境。</w:t>
            </w:r>
          </w:p>
        </w:tc>
      </w:tr>
      <w:tr w14:paraId="6E2A6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86F27">
            <w:pPr>
              <w:pStyle w:val="11"/>
            </w:pPr>
            <w:r>
              <w:t>资金支出计划（%）</w:t>
            </w:r>
          </w:p>
        </w:tc>
        <w:tc>
          <w:tcPr>
            <w:tcW w:w="5103" w:type="dxa"/>
            <w:gridSpan w:val="2"/>
            <w:vAlign w:val="center"/>
          </w:tcPr>
          <w:p w14:paraId="0181790B">
            <w:pPr>
              <w:pStyle w:val="11"/>
            </w:pPr>
            <w:r>
              <w:t>3月底</w:t>
            </w:r>
          </w:p>
        </w:tc>
        <w:tc>
          <w:tcPr>
            <w:tcW w:w="2835" w:type="dxa"/>
            <w:vAlign w:val="center"/>
          </w:tcPr>
          <w:p w14:paraId="5612FEC3">
            <w:pPr>
              <w:pStyle w:val="11"/>
            </w:pPr>
            <w:r>
              <w:t>6月底</w:t>
            </w:r>
          </w:p>
        </w:tc>
        <w:tc>
          <w:tcPr>
            <w:tcW w:w="2551" w:type="dxa"/>
            <w:vAlign w:val="center"/>
          </w:tcPr>
          <w:p w14:paraId="0913B691">
            <w:pPr>
              <w:pStyle w:val="11"/>
            </w:pPr>
            <w:r>
              <w:t>10月底</w:t>
            </w:r>
          </w:p>
        </w:tc>
        <w:tc>
          <w:tcPr>
            <w:tcW w:w="3544" w:type="dxa"/>
            <w:gridSpan w:val="2"/>
            <w:vAlign w:val="center"/>
          </w:tcPr>
          <w:p w14:paraId="179BDF1B">
            <w:pPr>
              <w:pStyle w:val="11"/>
            </w:pPr>
            <w:r>
              <w:t>12月底</w:t>
            </w:r>
          </w:p>
        </w:tc>
      </w:tr>
      <w:tr w14:paraId="2A328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CD8DFC"/>
        </w:tc>
        <w:tc>
          <w:tcPr>
            <w:tcW w:w="5103" w:type="dxa"/>
            <w:gridSpan w:val="2"/>
            <w:vAlign w:val="center"/>
          </w:tcPr>
          <w:p w14:paraId="17E86BBB">
            <w:pPr>
              <w:pStyle w:val="12"/>
            </w:pPr>
            <w:r>
              <w:t>25%</w:t>
            </w:r>
          </w:p>
        </w:tc>
        <w:tc>
          <w:tcPr>
            <w:tcW w:w="2835" w:type="dxa"/>
            <w:vAlign w:val="center"/>
          </w:tcPr>
          <w:p w14:paraId="2D231841">
            <w:pPr>
              <w:pStyle w:val="12"/>
            </w:pPr>
            <w:r>
              <w:t>50%</w:t>
            </w:r>
          </w:p>
        </w:tc>
        <w:tc>
          <w:tcPr>
            <w:tcW w:w="2551" w:type="dxa"/>
            <w:vAlign w:val="center"/>
          </w:tcPr>
          <w:p w14:paraId="6BA24C64">
            <w:pPr>
              <w:pStyle w:val="12"/>
            </w:pPr>
            <w:r>
              <w:t>75%</w:t>
            </w:r>
          </w:p>
        </w:tc>
        <w:tc>
          <w:tcPr>
            <w:tcW w:w="3544" w:type="dxa"/>
            <w:gridSpan w:val="2"/>
            <w:vAlign w:val="center"/>
          </w:tcPr>
          <w:p w14:paraId="4B3724A2">
            <w:pPr>
              <w:pStyle w:val="12"/>
            </w:pPr>
            <w:r>
              <w:t>100%</w:t>
            </w:r>
          </w:p>
        </w:tc>
      </w:tr>
      <w:tr w14:paraId="16491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966BC">
            <w:pPr>
              <w:pStyle w:val="11"/>
            </w:pPr>
            <w:r>
              <w:t>绩效目标</w:t>
            </w:r>
          </w:p>
        </w:tc>
        <w:tc>
          <w:tcPr>
            <w:tcW w:w="14033" w:type="dxa"/>
            <w:gridSpan w:val="6"/>
            <w:vAlign w:val="center"/>
          </w:tcPr>
          <w:p w14:paraId="5B2FCA3D">
            <w:pPr>
              <w:pStyle w:val="13"/>
            </w:pPr>
            <w:r>
              <w:t>1.按规定拨付项目资金，预算执行率≥98%。</w:t>
            </w:r>
          </w:p>
          <w:p w14:paraId="1313D6CB">
            <w:pPr>
              <w:pStyle w:val="13"/>
            </w:pPr>
            <w:r>
              <w:t>2.提升学校办学水平，改善办学条件，提升教育教学环境，给学生创造高标准、完善的学习和生活环境。</w:t>
            </w:r>
          </w:p>
        </w:tc>
      </w:tr>
    </w:tbl>
    <w:p w14:paraId="6881A1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52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0A4C0">
            <w:pPr>
              <w:pStyle w:val="11"/>
            </w:pPr>
            <w:r>
              <w:t>一级指标</w:t>
            </w:r>
          </w:p>
        </w:tc>
        <w:tc>
          <w:tcPr>
            <w:tcW w:w="2268" w:type="dxa"/>
            <w:vAlign w:val="center"/>
          </w:tcPr>
          <w:p w14:paraId="43CE9D42">
            <w:pPr>
              <w:pStyle w:val="11"/>
            </w:pPr>
            <w:r>
              <w:t>二级指标</w:t>
            </w:r>
          </w:p>
        </w:tc>
        <w:tc>
          <w:tcPr>
            <w:tcW w:w="2835" w:type="dxa"/>
            <w:vAlign w:val="center"/>
          </w:tcPr>
          <w:p w14:paraId="60B1D4B2">
            <w:pPr>
              <w:pStyle w:val="11"/>
            </w:pPr>
            <w:r>
              <w:t>三级指标</w:t>
            </w:r>
          </w:p>
        </w:tc>
        <w:tc>
          <w:tcPr>
            <w:tcW w:w="5386" w:type="dxa"/>
            <w:vAlign w:val="center"/>
          </w:tcPr>
          <w:p w14:paraId="5D1C7CA2">
            <w:pPr>
              <w:pStyle w:val="11"/>
            </w:pPr>
            <w:r>
              <w:t>绩效指标描述</w:t>
            </w:r>
          </w:p>
        </w:tc>
        <w:tc>
          <w:tcPr>
            <w:tcW w:w="2268" w:type="dxa"/>
            <w:vAlign w:val="center"/>
          </w:tcPr>
          <w:p w14:paraId="7B4ED53E">
            <w:pPr>
              <w:pStyle w:val="11"/>
            </w:pPr>
            <w:r>
              <w:t>指标值</w:t>
            </w:r>
          </w:p>
        </w:tc>
        <w:tc>
          <w:tcPr>
            <w:tcW w:w="1276" w:type="dxa"/>
            <w:vAlign w:val="center"/>
          </w:tcPr>
          <w:p w14:paraId="0FEA15DA">
            <w:pPr>
              <w:pStyle w:val="11"/>
            </w:pPr>
            <w:r>
              <w:t>指标值确定依据</w:t>
            </w:r>
          </w:p>
        </w:tc>
      </w:tr>
      <w:tr w14:paraId="6CB4C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00B15">
            <w:pPr>
              <w:pStyle w:val="12"/>
            </w:pPr>
            <w:r>
              <w:t>产出指标</w:t>
            </w:r>
          </w:p>
        </w:tc>
        <w:tc>
          <w:tcPr>
            <w:tcW w:w="2268" w:type="dxa"/>
            <w:vAlign w:val="center"/>
          </w:tcPr>
          <w:p w14:paraId="7EE64876">
            <w:pPr>
              <w:pStyle w:val="13"/>
            </w:pPr>
            <w:r>
              <w:t>数量指标</w:t>
            </w:r>
          </w:p>
        </w:tc>
        <w:tc>
          <w:tcPr>
            <w:tcW w:w="2835" w:type="dxa"/>
            <w:vAlign w:val="center"/>
          </w:tcPr>
          <w:p w14:paraId="41171063">
            <w:pPr>
              <w:pStyle w:val="13"/>
            </w:pPr>
            <w:r>
              <w:t>新建学生宿舍楼</w:t>
            </w:r>
          </w:p>
        </w:tc>
        <w:tc>
          <w:tcPr>
            <w:tcW w:w="5386" w:type="dxa"/>
            <w:vAlign w:val="center"/>
          </w:tcPr>
          <w:p w14:paraId="45AAD2E8">
            <w:pPr>
              <w:pStyle w:val="13"/>
            </w:pPr>
            <w:r>
              <w:t>新建学生宿舍楼面积</w:t>
            </w:r>
          </w:p>
        </w:tc>
        <w:tc>
          <w:tcPr>
            <w:tcW w:w="2268" w:type="dxa"/>
            <w:vAlign w:val="center"/>
          </w:tcPr>
          <w:p w14:paraId="6A876C2C">
            <w:pPr>
              <w:pStyle w:val="13"/>
            </w:pPr>
            <w:r>
              <w:t>≥1700平方米</w:t>
            </w:r>
          </w:p>
        </w:tc>
        <w:tc>
          <w:tcPr>
            <w:tcW w:w="1276" w:type="dxa"/>
            <w:vAlign w:val="center"/>
          </w:tcPr>
          <w:p w14:paraId="6E0EBEC6">
            <w:pPr>
              <w:pStyle w:val="13"/>
            </w:pPr>
            <w:r>
              <w:t>项目规划</w:t>
            </w:r>
          </w:p>
        </w:tc>
      </w:tr>
      <w:tr w14:paraId="3CD60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3840F"/>
        </w:tc>
        <w:tc>
          <w:tcPr>
            <w:tcW w:w="2268" w:type="dxa"/>
            <w:vAlign w:val="center"/>
          </w:tcPr>
          <w:p w14:paraId="7F2F2320">
            <w:pPr>
              <w:pStyle w:val="13"/>
            </w:pPr>
            <w:r>
              <w:t>质量指标</w:t>
            </w:r>
          </w:p>
        </w:tc>
        <w:tc>
          <w:tcPr>
            <w:tcW w:w="2835" w:type="dxa"/>
            <w:vAlign w:val="center"/>
          </w:tcPr>
          <w:p w14:paraId="59392B1C">
            <w:pPr>
              <w:pStyle w:val="13"/>
            </w:pPr>
            <w:r>
              <w:t>工程实施验收合格率</w:t>
            </w:r>
          </w:p>
        </w:tc>
        <w:tc>
          <w:tcPr>
            <w:tcW w:w="5386" w:type="dxa"/>
            <w:vAlign w:val="center"/>
          </w:tcPr>
          <w:p w14:paraId="6E7C3D4D">
            <w:pPr>
              <w:pStyle w:val="13"/>
            </w:pPr>
            <w:r>
              <w:t>申报程序的合规，项目实施及资金使用符合项目规划</w:t>
            </w:r>
          </w:p>
        </w:tc>
        <w:tc>
          <w:tcPr>
            <w:tcW w:w="2268" w:type="dxa"/>
            <w:vAlign w:val="center"/>
          </w:tcPr>
          <w:p w14:paraId="24523C22">
            <w:pPr>
              <w:pStyle w:val="13"/>
            </w:pPr>
            <w:r>
              <w:t>≥98%</w:t>
            </w:r>
          </w:p>
        </w:tc>
        <w:tc>
          <w:tcPr>
            <w:tcW w:w="1276" w:type="dxa"/>
            <w:vAlign w:val="center"/>
          </w:tcPr>
          <w:p w14:paraId="67935E2F">
            <w:pPr>
              <w:pStyle w:val="13"/>
            </w:pPr>
            <w:r>
              <w:t>项目规划</w:t>
            </w:r>
          </w:p>
        </w:tc>
      </w:tr>
      <w:tr w14:paraId="2E159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5C657"/>
        </w:tc>
        <w:tc>
          <w:tcPr>
            <w:tcW w:w="2268" w:type="dxa"/>
            <w:vAlign w:val="center"/>
          </w:tcPr>
          <w:p w14:paraId="0439AA13">
            <w:pPr>
              <w:pStyle w:val="13"/>
            </w:pPr>
            <w:r>
              <w:t>时效指标</w:t>
            </w:r>
          </w:p>
        </w:tc>
        <w:tc>
          <w:tcPr>
            <w:tcW w:w="2835" w:type="dxa"/>
            <w:vAlign w:val="center"/>
          </w:tcPr>
          <w:p w14:paraId="4B1C7ADB">
            <w:pPr>
              <w:pStyle w:val="13"/>
            </w:pPr>
            <w:r>
              <w:t>项目资金支付完成率</w:t>
            </w:r>
          </w:p>
        </w:tc>
        <w:tc>
          <w:tcPr>
            <w:tcW w:w="5386" w:type="dxa"/>
            <w:vAlign w:val="center"/>
          </w:tcPr>
          <w:p w14:paraId="767C24C9">
            <w:pPr>
              <w:pStyle w:val="13"/>
            </w:pPr>
            <w:r>
              <w:t>按照序时进度完成资金支付</w:t>
            </w:r>
          </w:p>
        </w:tc>
        <w:tc>
          <w:tcPr>
            <w:tcW w:w="2268" w:type="dxa"/>
            <w:vAlign w:val="center"/>
          </w:tcPr>
          <w:p w14:paraId="2DF5E1A1">
            <w:pPr>
              <w:pStyle w:val="13"/>
            </w:pPr>
            <w:r>
              <w:t>≥100%</w:t>
            </w:r>
          </w:p>
        </w:tc>
        <w:tc>
          <w:tcPr>
            <w:tcW w:w="1276" w:type="dxa"/>
            <w:vAlign w:val="center"/>
          </w:tcPr>
          <w:p w14:paraId="2CCEE1C5">
            <w:pPr>
              <w:pStyle w:val="13"/>
            </w:pPr>
            <w:r>
              <w:t>项目规划</w:t>
            </w:r>
          </w:p>
        </w:tc>
      </w:tr>
      <w:tr w14:paraId="3A636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DD403"/>
        </w:tc>
        <w:tc>
          <w:tcPr>
            <w:tcW w:w="2268" w:type="dxa"/>
            <w:vAlign w:val="center"/>
          </w:tcPr>
          <w:p w14:paraId="1213F986">
            <w:pPr>
              <w:pStyle w:val="13"/>
            </w:pPr>
            <w:r>
              <w:t>成本指标</w:t>
            </w:r>
          </w:p>
        </w:tc>
        <w:tc>
          <w:tcPr>
            <w:tcW w:w="2835" w:type="dxa"/>
            <w:vAlign w:val="center"/>
          </w:tcPr>
          <w:p w14:paraId="4AFF6AE1">
            <w:pPr>
              <w:pStyle w:val="13"/>
            </w:pPr>
            <w:r>
              <w:t>项目成本控制情况</w:t>
            </w:r>
          </w:p>
        </w:tc>
        <w:tc>
          <w:tcPr>
            <w:tcW w:w="5386" w:type="dxa"/>
            <w:vAlign w:val="center"/>
          </w:tcPr>
          <w:p w14:paraId="76B48AF0">
            <w:pPr>
              <w:pStyle w:val="13"/>
            </w:pPr>
            <w:r>
              <w:t>严格按照招标价格及审计额进行</w:t>
            </w:r>
          </w:p>
        </w:tc>
        <w:tc>
          <w:tcPr>
            <w:tcW w:w="2268" w:type="dxa"/>
            <w:vAlign w:val="center"/>
          </w:tcPr>
          <w:p w14:paraId="784D19E7">
            <w:pPr>
              <w:pStyle w:val="13"/>
            </w:pPr>
            <w:r>
              <w:t>100%</w:t>
            </w:r>
          </w:p>
        </w:tc>
        <w:tc>
          <w:tcPr>
            <w:tcW w:w="1276" w:type="dxa"/>
            <w:vAlign w:val="center"/>
          </w:tcPr>
          <w:p w14:paraId="1C88F505">
            <w:pPr>
              <w:pStyle w:val="13"/>
            </w:pPr>
            <w:r>
              <w:t>项目规划</w:t>
            </w:r>
          </w:p>
        </w:tc>
      </w:tr>
      <w:tr w14:paraId="437DB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BFF106">
            <w:pPr>
              <w:pStyle w:val="12"/>
            </w:pPr>
            <w:r>
              <w:t>效益指标</w:t>
            </w:r>
          </w:p>
        </w:tc>
        <w:tc>
          <w:tcPr>
            <w:tcW w:w="2268" w:type="dxa"/>
            <w:vAlign w:val="center"/>
          </w:tcPr>
          <w:p w14:paraId="2D15EEEC">
            <w:pPr>
              <w:pStyle w:val="13"/>
            </w:pPr>
            <w:r>
              <w:t>可持续影响指标</w:t>
            </w:r>
          </w:p>
        </w:tc>
        <w:tc>
          <w:tcPr>
            <w:tcW w:w="2835" w:type="dxa"/>
            <w:vAlign w:val="center"/>
          </w:tcPr>
          <w:p w14:paraId="1FC928FC">
            <w:pPr>
              <w:pStyle w:val="13"/>
            </w:pPr>
            <w:r>
              <w:t>学校运转得到提高</w:t>
            </w:r>
          </w:p>
        </w:tc>
        <w:tc>
          <w:tcPr>
            <w:tcW w:w="5386" w:type="dxa"/>
            <w:vAlign w:val="center"/>
          </w:tcPr>
          <w:p w14:paraId="2E8E56F5">
            <w:pPr>
              <w:pStyle w:val="13"/>
            </w:pPr>
            <w:r>
              <w:t>学生受教育年限</w:t>
            </w:r>
          </w:p>
        </w:tc>
        <w:tc>
          <w:tcPr>
            <w:tcW w:w="2268" w:type="dxa"/>
            <w:vAlign w:val="center"/>
          </w:tcPr>
          <w:p w14:paraId="35E7CBBC">
            <w:pPr>
              <w:pStyle w:val="13"/>
            </w:pPr>
            <w:r>
              <w:t>3年</w:t>
            </w:r>
          </w:p>
        </w:tc>
        <w:tc>
          <w:tcPr>
            <w:tcW w:w="1276" w:type="dxa"/>
            <w:vAlign w:val="center"/>
          </w:tcPr>
          <w:p w14:paraId="49F89E2A">
            <w:pPr>
              <w:pStyle w:val="13"/>
            </w:pPr>
            <w:r>
              <w:t>项目规划</w:t>
            </w:r>
          </w:p>
        </w:tc>
      </w:tr>
      <w:tr w14:paraId="2B09E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31411">
            <w:pPr>
              <w:pStyle w:val="12"/>
            </w:pPr>
            <w:r>
              <w:t>满意度指标</w:t>
            </w:r>
          </w:p>
        </w:tc>
        <w:tc>
          <w:tcPr>
            <w:tcW w:w="2268" w:type="dxa"/>
            <w:vAlign w:val="center"/>
          </w:tcPr>
          <w:p w14:paraId="47D65868">
            <w:pPr>
              <w:pStyle w:val="13"/>
            </w:pPr>
            <w:r>
              <w:t>服务对象满意度指标</w:t>
            </w:r>
          </w:p>
        </w:tc>
        <w:tc>
          <w:tcPr>
            <w:tcW w:w="2835" w:type="dxa"/>
            <w:vAlign w:val="center"/>
          </w:tcPr>
          <w:p w14:paraId="5B3CA9BC">
            <w:pPr>
              <w:pStyle w:val="13"/>
            </w:pPr>
            <w:r>
              <w:t>服务对象满意度</w:t>
            </w:r>
          </w:p>
        </w:tc>
        <w:tc>
          <w:tcPr>
            <w:tcW w:w="5386" w:type="dxa"/>
            <w:vAlign w:val="center"/>
          </w:tcPr>
          <w:p w14:paraId="61630D39">
            <w:pPr>
              <w:pStyle w:val="13"/>
            </w:pPr>
            <w:r>
              <w:t>学校老师和学生对学校教育教学工作满意度</w:t>
            </w:r>
          </w:p>
        </w:tc>
        <w:tc>
          <w:tcPr>
            <w:tcW w:w="2268" w:type="dxa"/>
            <w:vAlign w:val="center"/>
          </w:tcPr>
          <w:p w14:paraId="19C7D52B">
            <w:pPr>
              <w:pStyle w:val="13"/>
            </w:pPr>
            <w:r>
              <w:t>≥95%</w:t>
            </w:r>
          </w:p>
        </w:tc>
        <w:tc>
          <w:tcPr>
            <w:tcW w:w="1276" w:type="dxa"/>
            <w:vAlign w:val="center"/>
          </w:tcPr>
          <w:p w14:paraId="6AB071B4">
            <w:pPr>
              <w:pStyle w:val="13"/>
            </w:pPr>
            <w:r>
              <w:t>问卷调查</w:t>
            </w:r>
          </w:p>
        </w:tc>
      </w:tr>
    </w:tbl>
    <w:p w14:paraId="447369D4">
      <w:pPr>
        <w:sectPr>
          <w:pgSz w:w="16840" w:h="11900" w:orient="landscape"/>
          <w:pgMar w:top="1361" w:right="1020" w:bottom="1134" w:left="1020" w:header="720" w:footer="720" w:gutter="0"/>
          <w:cols w:space="720" w:num="1"/>
        </w:sectPr>
      </w:pPr>
    </w:p>
    <w:p w14:paraId="286E686B">
      <w:pPr>
        <w:spacing w:before="10" w:after="10" w:line="240" w:lineRule="auto"/>
        <w:ind w:firstLine="640"/>
        <w:jc w:val="left"/>
        <w:outlineLvl w:val="5"/>
      </w:pPr>
      <w:r>
        <w:rPr>
          <w:rFonts w:ascii="黑体" w:hAnsi="黑体" w:eastAsia="黑体" w:cs="黑体"/>
          <w:color w:val="000000"/>
          <w:sz w:val="32"/>
        </w:rPr>
        <w:t>六、政府采购预算情况</w:t>
      </w:r>
    </w:p>
    <w:p w14:paraId="746CFD9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42C9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6ECB275">
            <w:pPr>
              <w:pStyle w:val="8"/>
            </w:pPr>
            <w:r>
              <w:t>360033隆尧县大张庄中学</w:t>
            </w:r>
          </w:p>
        </w:tc>
        <w:tc>
          <w:tcPr>
            <w:tcW w:w="7712" w:type="dxa"/>
            <w:gridSpan w:val="8"/>
            <w:tcBorders>
              <w:top w:val="single" w:color="FFFFFF" w:sz="6" w:space="0"/>
              <w:left w:val="single" w:color="FFFFFF" w:sz="6" w:space="0"/>
              <w:right w:val="single" w:color="FFFFFF" w:sz="6" w:space="0"/>
            </w:tcBorders>
            <w:vAlign w:val="center"/>
          </w:tcPr>
          <w:p w14:paraId="508879EB">
            <w:pPr>
              <w:pStyle w:val="22"/>
            </w:pPr>
            <w:r>
              <w:t>单位：万元</w:t>
            </w:r>
          </w:p>
        </w:tc>
      </w:tr>
      <w:tr w14:paraId="4DF0A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F8BAF6C">
            <w:pPr>
              <w:pStyle w:val="11"/>
            </w:pPr>
            <w:r>
              <w:t>政府采购项目来源</w:t>
            </w:r>
          </w:p>
        </w:tc>
        <w:tc>
          <w:tcPr>
            <w:tcW w:w="1134" w:type="dxa"/>
            <w:vMerge w:val="restart"/>
            <w:vAlign w:val="center"/>
          </w:tcPr>
          <w:p w14:paraId="35A931CB">
            <w:pPr>
              <w:pStyle w:val="11"/>
            </w:pPr>
            <w:r>
              <w:t>采购物品名称</w:t>
            </w:r>
          </w:p>
        </w:tc>
        <w:tc>
          <w:tcPr>
            <w:tcW w:w="1134" w:type="dxa"/>
            <w:vMerge w:val="restart"/>
            <w:vAlign w:val="center"/>
          </w:tcPr>
          <w:p w14:paraId="19767671">
            <w:pPr>
              <w:pStyle w:val="11"/>
            </w:pPr>
            <w:r>
              <w:t>政府采购目录序号</w:t>
            </w:r>
          </w:p>
        </w:tc>
        <w:tc>
          <w:tcPr>
            <w:tcW w:w="709" w:type="dxa"/>
            <w:vMerge w:val="restart"/>
            <w:vAlign w:val="center"/>
          </w:tcPr>
          <w:p w14:paraId="161794B6">
            <w:pPr>
              <w:pStyle w:val="11"/>
            </w:pPr>
            <w:r>
              <w:t>计量  单位</w:t>
            </w:r>
          </w:p>
        </w:tc>
        <w:tc>
          <w:tcPr>
            <w:tcW w:w="850" w:type="dxa"/>
            <w:vMerge w:val="restart"/>
            <w:vAlign w:val="center"/>
          </w:tcPr>
          <w:p w14:paraId="46B9980B">
            <w:pPr>
              <w:pStyle w:val="11"/>
            </w:pPr>
            <w:r>
              <w:t>数量</w:t>
            </w:r>
          </w:p>
        </w:tc>
        <w:tc>
          <w:tcPr>
            <w:tcW w:w="850" w:type="dxa"/>
            <w:vMerge w:val="restart"/>
            <w:vAlign w:val="center"/>
          </w:tcPr>
          <w:p w14:paraId="20186149">
            <w:pPr>
              <w:pStyle w:val="11"/>
            </w:pPr>
            <w:r>
              <w:t>单价</w:t>
            </w:r>
          </w:p>
        </w:tc>
        <w:tc>
          <w:tcPr>
            <w:tcW w:w="6748" w:type="dxa"/>
            <w:gridSpan w:val="7"/>
            <w:vAlign w:val="center"/>
          </w:tcPr>
          <w:p w14:paraId="22BC5478">
            <w:pPr>
              <w:pStyle w:val="11"/>
            </w:pPr>
            <w:r>
              <w:t>政府采购金额（当年部门预算安排资金）</w:t>
            </w:r>
          </w:p>
        </w:tc>
        <w:tc>
          <w:tcPr>
            <w:tcW w:w="964" w:type="dxa"/>
            <w:vMerge w:val="restart"/>
            <w:vAlign w:val="center"/>
          </w:tcPr>
          <w:p w14:paraId="12893FB7">
            <w:pPr>
              <w:pStyle w:val="11"/>
            </w:pPr>
            <w:r>
              <w:t>2025年  预留中  小微企  业份额</w:t>
            </w:r>
          </w:p>
        </w:tc>
      </w:tr>
      <w:tr w14:paraId="7398E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FA7DC6A">
            <w:pPr>
              <w:pStyle w:val="11"/>
            </w:pPr>
            <w:r>
              <w:t>项目名称</w:t>
            </w:r>
          </w:p>
        </w:tc>
        <w:tc>
          <w:tcPr>
            <w:tcW w:w="964" w:type="dxa"/>
            <w:vAlign w:val="center"/>
          </w:tcPr>
          <w:p w14:paraId="5EC94C81">
            <w:pPr>
              <w:pStyle w:val="11"/>
            </w:pPr>
            <w:r>
              <w:t>预算    资金</w:t>
            </w:r>
          </w:p>
        </w:tc>
        <w:tc>
          <w:tcPr>
            <w:tcW w:w="1134" w:type="dxa"/>
            <w:vMerge w:val="continue"/>
          </w:tcPr>
          <w:p w14:paraId="05CFBCF9"/>
        </w:tc>
        <w:tc>
          <w:tcPr>
            <w:tcW w:w="1134" w:type="dxa"/>
            <w:vMerge w:val="continue"/>
          </w:tcPr>
          <w:p w14:paraId="12C00357"/>
        </w:tc>
        <w:tc>
          <w:tcPr>
            <w:tcW w:w="709" w:type="dxa"/>
            <w:vMerge w:val="continue"/>
          </w:tcPr>
          <w:p w14:paraId="0A12A729"/>
        </w:tc>
        <w:tc>
          <w:tcPr>
            <w:tcW w:w="850" w:type="dxa"/>
            <w:vMerge w:val="continue"/>
          </w:tcPr>
          <w:p w14:paraId="2DDBF03C"/>
        </w:tc>
        <w:tc>
          <w:tcPr>
            <w:tcW w:w="850" w:type="dxa"/>
            <w:vMerge w:val="continue"/>
          </w:tcPr>
          <w:p w14:paraId="799863CE"/>
        </w:tc>
        <w:tc>
          <w:tcPr>
            <w:tcW w:w="964" w:type="dxa"/>
            <w:vAlign w:val="center"/>
          </w:tcPr>
          <w:p w14:paraId="2B6636AC">
            <w:pPr>
              <w:pStyle w:val="11"/>
            </w:pPr>
            <w:r>
              <w:t>合计</w:t>
            </w:r>
          </w:p>
        </w:tc>
        <w:tc>
          <w:tcPr>
            <w:tcW w:w="964" w:type="dxa"/>
            <w:vAlign w:val="center"/>
          </w:tcPr>
          <w:p w14:paraId="560E49BC">
            <w:pPr>
              <w:pStyle w:val="11"/>
            </w:pPr>
            <w:r>
              <w:t>一般公共预算拨款</w:t>
            </w:r>
          </w:p>
        </w:tc>
        <w:tc>
          <w:tcPr>
            <w:tcW w:w="964" w:type="dxa"/>
            <w:vAlign w:val="center"/>
          </w:tcPr>
          <w:p w14:paraId="2FC21316">
            <w:pPr>
              <w:pStyle w:val="11"/>
            </w:pPr>
            <w:r>
              <w:t>基金预算拨款</w:t>
            </w:r>
          </w:p>
        </w:tc>
        <w:tc>
          <w:tcPr>
            <w:tcW w:w="964" w:type="dxa"/>
            <w:vAlign w:val="center"/>
          </w:tcPr>
          <w:p w14:paraId="7EFA27F7">
            <w:pPr>
              <w:pStyle w:val="11"/>
            </w:pPr>
            <w:r>
              <w:t>国有资本经营预算拨款</w:t>
            </w:r>
          </w:p>
        </w:tc>
        <w:tc>
          <w:tcPr>
            <w:tcW w:w="964" w:type="dxa"/>
            <w:vAlign w:val="center"/>
          </w:tcPr>
          <w:p w14:paraId="2E154563">
            <w:pPr>
              <w:pStyle w:val="11"/>
            </w:pPr>
            <w:r>
              <w:t>财政专户核拨</w:t>
            </w:r>
          </w:p>
        </w:tc>
        <w:tc>
          <w:tcPr>
            <w:tcW w:w="964" w:type="dxa"/>
            <w:vAlign w:val="center"/>
          </w:tcPr>
          <w:p w14:paraId="6B07112B">
            <w:pPr>
              <w:pStyle w:val="11"/>
            </w:pPr>
            <w:r>
              <w:t>单位    资金</w:t>
            </w:r>
          </w:p>
        </w:tc>
        <w:tc>
          <w:tcPr>
            <w:tcW w:w="964" w:type="dxa"/>
            <w:vAlign w:val="center"/>
          </w:tcPr>
          <w:p w14:paraId="4C7FF15D">
            <w:pPr>
              <w:pStyle w:val="11"/>
            </w:pPr>
            <w:r>
              <w:t>上年结转结余</w:t>
            </w:r>
          </w:p>
        </w:tc>
        <w:tc>
          <w:tcPr>
            <w:tcW w:w="964" w:type="dxa"/>
            <w:vMerge w:val="continue"/>
          </w:tcPr>
          <w:p w14:paraId="2BE005D2"/>
        </w:tc>
      </w:tr>
      <w:tr w14:paraId="64A2B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1AC32D">
            <w:pPr>
              <w:pStyle w:val="15"/>
            </w:pPr>
            <w:r>
              <w:t>合  计</w:t>
            </w:r>
          </w:p>
        </w:tc>
        <w:tc>
          <w:tcPr>
            <w:tcW w:w="964" w:type="dxa"/>
            <w:vAlign w:val="center"/>
          </w:tcPr>
          <w:p w14:paraId="4916E5F2">
            <w:pPr>
              <w:pStyle w:val="16"/>
            </w:pPr>
          </w:p>
        </w:tc>
        <w:tc>
          <w:tcPr>
            <w:tcW w:w="1134" w:type="dxa"/>
            <w:vAlign w:val="center"/>
          </w:tcPr>
          <w:p w14:paraId="10B4E206">
            <w:pPr>
              <w:pStyle w:val="17"/>
            </w:pPr>
          </w:p>
        </w:tc>
        <w:tc>
          <w:tcPr>
            <w:tcW w:w="1134" w:type="dxa"/>
            <w:vAlign w:val="center"/>
          </w:tcPr>
          <w:p w14:paraId="40E605CE">
            <w:pPr>
              <w:pStyle w:val="17"/>
            </w:pPr>
          </w:p>
        </w:tc>
        <w:tc>
          <w:tcPr>
            <w:tcW w:w="709" w:type="dxa"/>
            <w:vAlign w:val="center"/>
          </w:tcPr>
          <w:p w14:paraId="68B2B1A9">
            <w:pPr>
              <w:pStyle w:val="15"/>
            </w:pPr>
          </w:p>
        </w:tc>
        <w:tc>
          <w:tcPr>
            <w:tcW w:w="850" w:type="dxa"/>
            <w:vAlign w:val="center"/>
          </w:tcPr>
          <w:p w14:paraId="580E609B">
            <w:pPr>
              <w:pStyle w:val="16"/>
            </w:pPr>
          </w:p>
        </w:tc>
        <w:tc>
          <w:tcPr>
            <w:tcW w:w="850" w:type="dxa"/>
            <w:vAlign w:val="center"/>
          </w:tcPr>
          <w:p w14:paraId="340DEF70">
            <w:pPr>
              <w:pStyle w:val="16"/>
            </w:pPr>
          </w:p>
        </w:tc>
        <w:tc>
          <w:tcPr>
            <w:tcW w:w="964" w:type="dxa"/>
            <w:vAlign w:val="center"/>
          </w:tcPr>
          <w:p w14:paraId="06791374">
            <w:pPr>
              <w:pStyle w:val="16"/>
            </w:pPr>
            <w:r>
              <w:t>2.71</w:t>
            </w:r>
          </w:p>
        </w:tc>
        <w:tc>
          <w:tcPr>
            <w:tcW w:w="964" w:type="dxa"/>
            <w:vAlign w:val="center"/>
          </w:tcPr>
          <w:p w14:paraId="226B59DE">
            <w:pPr>
              <w:pStyle w:val="16"/>
            </w:pPr>
            <w:r>
              <w:t>2.71</w:t>
            </w:r>
          </w:p>
        </w:tc>
        <w:tc>
          <w:tcPr>
            <w:tcW w:w="964" w:type="dxa"/>
            <w:vAlign w:val="center"/>
          </w:tcPr>
          <w:p w14:paraId="591FB067">
            <w:pPr>
              <w:pStyle w:val="16"/>
            </w:pPr>
          </w:p>
        </w:tc>
        <w:tc>
          <w:tcPr>
            <w:tcW w:w="964" w:type="dxa"/>
            <w:vAlign w:val="center"/>
          </w:tcPr>
          <w:p w14:paraId="4B65A4B8">
            <w:pPr>
              <w:pStyle w:val="16"/>
            </w:pPr>
          </w:p>
        </w:tc>
        <w:tc>
          <w:tcPr>
            <w:tcW w:w="964" w:type="dxa"/>
            <w:vAlign w:val="center"/>
          </w:tcPr>
          <w:p w14:paraId="79023529">
            <w:pPr>
              <w:pStyle w:val="16"/>
            </w:pPr>
          </w:p>
        </w:tc>
        <w:tc>
          <w:tcPr>
            <w:tcW w:w="964" w:type="dxa"/>
            <w:vAlign w:val="center"/>
          </w:tcPr>
          <w:p w14:paraId="07E48939">
            <w:pPr>
              <w:pStyle w:val="16"/>
            </w:pPr>
          </w:p>
        </w:tc>
        <w:tc>
          <w:tcPr>
            <w:tcW w:w="964" w:type="dxa"/>
            <w:vAlign w:val="center"/>
          </w:tcPr>
          <w:p w14:paraId="7A2B9235">
            <w:pPr>
              <w:pStyle w:val="16"/>
            </w:pPr>
          </w:p>
        </w:tc>
        <w:tc>
          <w:tcPr>
            <w:tcW w:w="964" w:type="dxa"/>
            <w:vAlign w:val="center"/>
          </w:tcPr>
          <w:p w14:paraId="058CE716">
            <w:pPr>
              <w:pStyle w:val="16"/>
            </w:pPr>
            <w:r>
              <w:t>2.71</w:t>
            </w:r>
          </w:p>
        </w:tc>
      </w:tr>
      <w:tr w14:paraId="786DF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8D5542">
            <w:pPr>
              <w:pStyle w:val="15"/>
            </w:pPr>
            <w:r>
              <w:t>隆尧县大张庄中学小计</w:t>
            </w:r>
          </w:p>
        </w:tc>
        <w:tc>
          <w:tcPr>
            <w:tcW w:w="964" w:type="dxa"/>
            <w:vAlign w:val="center"/>
          </w:tcPr>
          <w:p w14:paraId="469ACD54">
            <w:pPr>
              <w:pStyle w:val="16"/>
            </w:pPr>
          </w:p>
        </w:tc>
        <w:tc>
          <w:tcPr>
            <w:tcW w:w="1134" w:type="dxa"/>
            <w:vAlign w:val="center"/>
          </w:tcPr>
          <w:p w14:paraId="23051646">
            <w:pPr>
              <w:pStyle w:val="17"/>
            </w:pPr>
          </w:p>
        </w:tc>
        <w:tc>
          <w:tcPr>
            <w:tcW w:w="1134" w:type="dxa"/>
            <w:vAlign w:val="center"/>
          </w:tcPr>
          <w:p w14:paraId="237C8C60">
            <w:pPr>
              <w:pStyle w:val="17"/>
            </w:pPr>
          </w:p>
        </w:tc>
        <w:tc>
          <w:tcPr>
            <w:tcW w:w="709" w:type="dxa"/>
            <w:vAlign w:val="center"/>
          </w:tcPr>
          <w:p w14:paraId="7881C2B0">
            <w:pPr>
              <w:pStyle w:val="15"/>
            </w:pPr>
          </w:p>
        </w:tc>
        <w:tc>
          <w:tcPr>
            <w:tcW w:w="850" w:type="dxa"/>
            <w:vAlign w:val="center"/>
          </w:tcPr>
          <w:p w14:paraId="289143B4">
            <w:pPr>
              <w:pStyle w:val="16"/>
            </w:pPr>
          </w:p>
        </w:tc>
        <w:tc>
          <w:tcPr>
            <w:tcW w:w="850" w:type="dxa"/>
            <w:vAlign w:val="center"/>
          </w:tcPr>
          <w:p w14:paraId="7E84F018">
            <w:pPr>
              <w:pStyle w:val="16"/>
            </w:pPr>
          </w:p>
        </w:tc>
        <w:tc>
          <w:tcPr>
            <w:tcW w:w="964" w:type="dxa"/>
            <w:vAlign w:val="center"/>
          </w:tcPr>
          <w:p w14:paraId="0F7EB119">
            <w:pPr>
              <w:pStyle w:val="16"/>
            </w:pPr>
            <w:r>
              <w:t>2.71</w:t>
            </w:r>
          </w:p>
        </w:tc>
        <w:tc>
          <w:tcPr>
            <w:tcW w:w="964" w:type="dxa"/>
            <w:vAlign w:val="center"/>
          </w:tcPr>
          <w:p w14:paraId="3596F302">
            <w:pPr>
              <w:pStyle w:val="16"/>
            </w:pPr>
            <w:r>
              <w:t>2.71</w:t>
            </w:r>
          </w:p>
        </w:tc>
        <w:tc>
          <w:tcPr>
            <w:tcW w:w="964" w:type="dxa"/>
            <w:vAlign w:val="center"/>
          </w:tcPr>
          <w:p w14:paraId="6848524B">
            <w:pPr>
              <w:pStyle w:val="16"/>
            </w:pPr>
          </w:p>
        </w:tc>
        <w:tc>
          <w:tcPr>
            <w:tcW w:w="964" w:type="dxa"/>
            <w:vAlign w:val="center"/>
          </w:tcPr>
          <w:p w14:paraId="7C17E7E2">
            <w:pPr>
              <w:pStyle w:val="16"/>
            </w:pPr>
          </w:p>
        </w:tc>
        <w:tc>
          <w:tcPr>
            <w:tcW w:w="964" w:type="dxa"/>
            <w:vAlign w:val="center"/>
          </w:tcPr>
          <w:p w14:paraId="55A62F1F">
            <w:pPr>
              <w:pStyle w:val="16"/>
            </w:pPr>
          </w:p>
        </w:tc>
        <w:tc>
          <w:tcPr>
            <w:tcW w:w="964" w:type="dxa"/>
            <w:vAlign w:val="center"/>
          </w:tcPr>
          <w:p w14:paraId="52CE5762">
            <w:pPr>
              <w:pStyle w:val="16"/>
            </w:pPr>
          </w:p>
        </w:tc>
        <w:tc>
          <w:tcPr>
            <w:tcW w:w="964" w:type="dxa"/>
            <w:vAlign w:val="center"/>
          </w:tcPr>
          <w:p w14:paraId="777476AB">
            <w:pPr>
              <w:pStyle w:val="16"/>
            </w:pPr>
          </w:p>
        </w:tc>
        <w:tc>
          <w:tcPr>
            <w:tcW w:w="964" w:type="dxa"/>
            <w:vAlign w:val="center"/>
          </w:tcPr>
          <w:p w14:paraId="0D3DEB3B">
            <w:pPr>
              <w:pStyle w:val="16"/>
            </w:pPr>
            <w:r>
              <w:t>2.71</w:t>
            </w:r>
          </w:p>
        </w:tc>
      </w:tr>
      <w:tr w14:paraId="7DA86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E046BE8">
            <w:pPr>
              <w:pStyle w:val="13"/>
            </w:pPr>
            <w:r>
              <w:t>冀财教[2024]123号/中央/2025年义教补助经费/大张庄中学公用经费</w:t>
            </w:r>
          </w:p>
        </w:tc>
        <w:tc>
          <w:tcPr>
            <w:tcW w:w="964" w:type="dxa"/>
            <w:vAlign w:val="center"/>
          </w:tcPr>
          <w:p w14:paraId="7D2C7B03">
            <w:pPr>
              <w:pStyle w:val="14"/>
            </w:pPr>
            <w:r>
              <w:t>38.22</w:t>
            </w:r>
          </w:p>
        </w:tc>
        <w:tc>
          <w:tcPr>
            <w:tcW w:w="1134" w:type="dxa"/>
            <w:vAlign w:val="center"/>
          </w:tcPr>
          <w:p w14:paraId="2340059C">
            <w:pPr>
              <w:pStyle w:val="13"/>
            </w:pPr>
            <w:r>
              <w:t>LED 显示屏</w:t>
            </w:r>
          </w:p>
        </w:tc>
        <w:tc>
          <w:tcPr>
            <w:tcW w:w="1134" w:type="dxa"/>
            <w:vAlign w:val="center"/>
          </w:tcPr>
          <w:p w14:paraId="059F35A4">
            <w:pPr>
              <w:pStyle w:val="13"/>
            </w:pPr>
            <w:r>
              <w:t>A02021103</w:t>
            </w:r>
          </w:p>
        </w:tc>
        <w:tc>
          <w:tcPr>
            <w:tcW w:w="709" w:type="dxa"/>
            <w:vAlign w:val="center"/>
          </w:tcPr>
          <w:p w14:paraId="6326495E">
            <w:pPr>
              <w:pStyle w:val="12"/>
            </w:pPr>
            <w:r>
              <w:t>个</w:t>
            </w:r>
          </w:p>
        </w:tc>
        <w:tc>
          <w:tcPr>
            <w:tcW w:w="850" w:type="dxa"/>
            <w:vAlign w:val="center"/>
          </w:tcPr>
          <w:p w14:paraId="32D8C716">
            <w:pPr>
              <w:pStyle w:val="14"/>
            </w:pPr>
            <w:r>
              <w:t>1</w:t>
            </w:r>
          </w:p>
        </w:tc>
        <w:tc>
          <w:tcPr>
            <w:tcW w:w="850" w:type="dxa"/>
            <w:vAlign w:val="center"/>
          </w:tcPr>
          <w:p w14:paraId="3279F44D">
            <w:pPr>
              <w:pStyle w:val="14"/>
            </w:pPr>
            <w:r>
              <w:t>0.50</w:t>
            </w:r>
          </w:p>
        </w:tc>
        <w:tc>
          <w:tcPr>
            <w:tcW w:w="964" w:type="dxa"/>
            <w:vAlign w:val="center"/>
          </w:tcPr>
          <w:p w14:paraId="0976BCD8">
            <w:pPr>
              <w:pStyle w:val="14"/>
            </w:pPr>
            <w:r>
              <w:t>0.50</w:t>
            </w:r>
          </w:p>
        </w:tc>
        <w:tc>
          <w:tcPr>
            <w:tcW w:w="964" w:type="dxa"/>
            <w:vAlign w:val="center"/>
          </w:tcPr>
          <w:p w14:paraId="166E6C31">
            <w:pPr>
              <w:pStyle w:val="14"/>
            </w:pPr>
            <w:r>
              <w:t>0.50</w:t>
            </w:r>
          </w:p>
        </w:tc>
        <w:tc>
          <w:tcPr>
            <w:tcW w:w="964" w:type="dxa"/>
            <w:vAlign w:val="center"/>
          </w:tcPr>
          <w:p w14:paraId="4A902D6D">
            <w:pPr>
              <w:pStyle w:val="14"/>
            </w:pPr>
          </w:p>
        </w:tc>
        <w:tc>
          <w:tcPr>
            <w:tcW w:w="964" w:type="dxa"/>
            <w:vAlign w:val="center"/>
          </w:tcPr>
          <w:p w14:paraId="797253EE">
            <w:pPr>
              <w:pStyle w:val="14"/>
            </w:pPr>
          </w:p>
        </w:tc>
        <w:tc>
          <w:tcPr>
            <w:tcW w:w="964" w:type="dxa"/>
            <w:vAlign w:val="center"/>
          </w:tcPr>
          <w:p w14:paraId="7F5E273C">
            <w:pPr>
              <w:pStyle w:val="14"/>
            </w:pPr>
          </w:p>
        </w:tc>
        <w:tc>
          <w:tcPr>
            <w:tcW w:w="964" w:type="dxa"/>
            <w:vAlign w:val="center"/>
          </w:tcPr>
          <w:p w14:paraId="0BC169EE">
            <w:pPr>
              <w:pStyle w:val="14"/>
            </w:pPr>
          </w:p>
        </w:tc>
        <w:tc>
          <w:tcPr>
            <w:tcW w:w="964" w:type="dxa"/>
            <w:vAlign w:val="center"/>
          </w:tcPr>
          <w:p w14:paraId="1F8AC46C">
            <w:pPr>
              <w:pStyle w:val="14"/>
            </w:pPr>
          </w:p>
        </w:tc>
        <w:tc>
          <w:tcPr>
            <w:tcW w:w="964" w:type="dxa"/>
            <w:vAlign w:val="center"/>
          </w:tcPr>
          <w:p w14:paraId="1087A273">
            <w:pPr>
              <w:pStyle w:val="14"/>
            </w:pPr>
            <w:r>
              <w:t>0.50</w:t>
            </w:r>
          </w:p>
        </w:tc>
      </w:tr>
      <w:tr w14:paraId="7A81F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7D28BCF">
            <w:pPr>
              <w:pStyle w:val="13"/>
            </w:pPr>
            <w:r>
              <w:t>冀财教[2024]123号/中央/2025年义教补助经费/大张庄中学公用经费</w:t>
            </w:r>
          </w:p>
        </w:tc>
        <w:tc>
          <w:tcPr>
            <w:tcW w:w="964" w:type="dxa"/>
            <w:vAlign w:val="center"/>
          </w:tcPr>
          <w:p w14:paraId="301E0140">
            <w:pPr>
              <w:pStyle w:val="14"/>
            </w:pPr>
            <w:r>
              <w:t>38.22</w:t>
            </w:r>
          </w:p>
        </w:tc>
        <w:tc>
          <w:tcPr>
            <w:tcW w:w="1134" w:type="dxa"/>
            <w:vAlign w:val="center"/>
          </w:tcPr>
          <w:p w14:paraId="1E33FDEB">
            <w:pPr>
              <w:pStyle w:val="13"/>
            </w:pPr>
            <w:r>
              <w:t>书柜</w:t>
            </w:r>
          </w:p>
        </w:tc>
        <w:tc>
          <w:tcPr>
            <w:tcW w:w="1134" w:type="dxa"/>
            <w:vAlign w:val="center"/>
          </w:tcPr>
          <w:p w14:paraId="684BDF4F">
            <w:pPr>
              <w:pStyle w:val="13"/>
            </w:pPr>
            <w:r>
              <w:t>A05010501</w:t>
            </w:r>
          </w:p>
        </w:tc>
        <w:tc>
          <w:tcPr>
            <w:tcW w:w="709" w:type="dxa"/>
            <w:vAlign w:val="center"/>
          </w:tcPr>
          <w:p w14:paraId="22377AC2">
            <w:pPr>
              <w:pStyle w:val="12"/>
            </w:pPr>
            <w:r>
              <w:t>组</w:t>
            </w:r>
          </w:p>
        </w:tc>
        <w:tc>
          <w:tcPr>
            <w:tcW w:w="850" w:type="dxa"/>
            <w:vAlign w:val="center"/>
          </w:tcPr>
          <w:p w14:paraId="77ADF5C1">
            <w:pPr>
              <w:pStyle w:val="14"/>
            </w:pPr>
            <w:r>
              <w:t>28</w:t>
            </w:r>
          </w:p>
        </w:tc>
        <w:tc>
          <w:tcPr>
            <w:tcW w:w="850" w:type="dxa"/>
            <w:vAlign w:val="center"/>
          </w:tcPr>
          <w:p w14:paraId="14B9922E">
            <w:pPr>
              <w:pStyle w:val="14"/>
            </w:pPr>
            <w:r>
              <w:t>0.08</w:t>
            </w:r>
          </w:p>
        </w:tc>
        <w:tc>
          <w:tcPr>
            <w:tcW w:w="964" w:type="dxa"/>
            <w:vAlign w:val="center"/>
          </w:tcPr>
          <w:p w14:paraId="3984BC14">
            <w:pPr>
              <w:pStyle w:val="14"/>
            </w:pPr>
            <w:r>
              <w:t>2.21</w:t>
            </w:r>
          </w:p>
        </w:tc>
        <w:tc>
          <w:tcPr>
            <w:tcW w:w="964" w:type="dxa"/>
            <w:vAlign w:val="center"/>
          </w:tcPr>
          <w:p w14:paraId="0365EC6B">
            <w:pPr>
              <w:pStyle w:val="14"/>
            </w:pPr>
            <w:r>
              <w:t>2.21</w:t>
            </w:r>
          </w:p>
        </w:tc>
        <w:tc>
          <w:tcPr>
            <w:tcW w:w="964" w:type="dxa"/>
            <w:vAlign w:val="center"/>
          </w:tcPr>
          <w:p w14:paraId="25A8CEDE">
            <w:pPr>
              <w:pStyle w:val="14"/>
            </w:pPr>
          </w:p>
        </w:tc>
        <w:tc>
          <w:tcPr>
            <w:tcW w:w="964" w:type="dxa"/>
            <w:vAlign w:val="center"/>
          </w:tcPr>
          <w:p w14:paraId="190788B6">
            <w:pPr>
              <w:pStyle w:val="14"/>
            </w:pPr>
          </w:p>
        </w:tc>
        <w:tc>
          <w:tcPr>
            <w:tcW w:w="964" w:type="dxa"/>
            <w:vAlign w:val="center"/>
          </w:tcPr>
          <w:p w14:paraId="5DF63737">
            <w:pPr>
              <w:pStyle w:val="14"/>
            </w:pPr>
          </w:p>
        </w:tc>
        <w:tc>
          <w:tcPr>
            <w:tcW w:w="964" w:type="dxa"/>
            <w:vAlign w:val="center"/>
          </w:tcPr>
          <w:p w14:paraId="484836AA">
            <w:pPr>
              <w:pStyle w:val="14"/>
            </w:pPr>
          </w:p>
        </w:tc>
        <w:tc>
          <w:tcPr>
            <w:tcW w:w="964" w:type="dxa"/>
            <w:vAlign w:val="center"/>
          </w:tcPr>
          <w:p w14:paraId="158610E9">
            <w:pPr>
              <w:pStyle w:val="14"/>
            </w:pPr>
          </w:p>
        </w:tc>
        <w:tc>
          <w:tcPr>
            <w:tcW w:w="964" w:type="dxa"/>
            <w:vAlign w:val="center"/>
          </w:tcPr>
          <w:p w14:paraId="494781BC">
            <w:pPr>
              <w:pStyle w:val="14"/>
            </w:pPr>
            <w:r>
              <w:t>2.21</w:t>
            </w:r>
          </w:p>
        </w:tc>
      </w:tr>
    </w:tbl>
    <w:p w14:paraId="1DC84A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D7F339">
      <w:pPr>
        <w:spacing w:before="0" w:after="0"/>
        <w:ind w:firstLine="640"/>
        <w:jc w:val="left"/>
        <w:outlineLvl w:val="9"/>
      </w:pPr>
      <w:r>
        <w:rPr>
          <w:rFonts w:ascii="Times New Roman" w:hAnsi="Times New Roman" w:eastAsia="方正仿宋_GBK" w:cs="Times New Roman"/>
          <w:color w:val="000000"/>
          <w:sz w:val="32"/>
        </w:rPr>
        <w:t xml:space="preserve"> </w:t>
      </w:r>
    </w:p>
    <w:p w14:paraId="2C8836AA">
      <w:pPr>
        <w:spacing w:before="10" w:after="10" w:line="240" w:lineRule="auto"/>
        <w:ind w:firstLine="640"/>
        <w:jc w:val="left"/>
        <w:outlineLvl w:val="5"/>
      </w:pPr>
      <w:r>
        <w:rPr>
          <w:rFonts w:ascii="黑体" w:hAnsi="黑体" w:eastAsia="黑体" w:cs="黑体"/>
          <w:color w:val="000000"/>
          <w:sz w:val="32"/>
        </w:rPr>
        <w:t>七、国有资产信息</w:t>
      </w:r>
    </w:p>
    <w:p w14:paraId="1369785A">
      <w:pPr>
        <w:spacing w:before="0" w:after="0" w:line="500" w:lineRule="exact"/>
        <w:ind w:firstLine="560"/>
        <w:jc w:val="left"/>
        <w:outlineLvl w:val="9"/>
      </w:pPr>
      <w:r>
        <w:rPr>
          <w:rFonts w:ascii="Times New Roman" w:hAnsi="Times New Roman" w:eastAsia="方正仿宋_GBK" w:cs="Times New Roman"/>
          <w:b w:val="0"/>
          <w:color w:val="000000"/>
          <w:sz w:val="28"/>
        </w:rPr>
        <w:t>隆尧县大张庄中学上年末固定资产金额为726.96万元（详见下表）。本年度拟购置固定资产总额为6.47万元，已按要求列入政府采购预算，详见政府采购预算表。</w:t>
      </w:r>
    </w:p>
    <w:p w14:paraId="59896B0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0E24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C7BF5EA">
            <w:pPr>
              <w:pStyle w:val="8"/>
            </w:pPr>
            <w:r>
              <w:t>360033隆尧县大张庄中学</w:t>
            </w:r>
          </w:p>
        </w:tc>
        <w:tc>
          <w:tcPr>
            <w:tcW w:w="5670" w:type="dxa"/>
            <w:gridSpan w:val="2"/>
            <w:tcBorders>
              <w:top w:val="single" w:color="FFFFFF" w:sz="6" w:space="0"/>
              <w:left w:val="single" w:color="FFFFFF" w:sz="6" w:space="0"/>
              <w:right w:val="single" w:color="FFFFFF" w:sz="6" w:space="0"/>
            </w:tcBorders>
            <w:vAlign w:val="center"/>
          </w:tcPr>
          <w:p w14:paraId="18EB3564">
            <w:pPr>
              <w:pStyle w:val="10"/>
            </w:pPr>
            <w:r>
              <w:t>截止时间：2024-12-31</w:t>
            </w:r>
          </w:p>
        </w:tc>
      </w:tr>
      <w:tr w14:paraId="0F788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8A8D3F3">
            <w:pPr>
              <w:pStyle w:val="11"/>
            </w:pPr>
            <w:r>
              <w:t>项   目</w:t>
            </w:r>
          </w:p>
        </w:tc>
        <w:tc>
          <w:tcPr>
            <w:tcW w:w="2835" w:type="dxa"/>
            <w:vAlign w:val="center"/>
          </w:tcPr>
          <w:p w14:paraId="24494CDD">
            <w:pPr>
              <w:pStyle w:val="11"/>
            </w:pPr>
            <w:r>
              <w:t>数量</w:t>
            </w:r>
          </w:p>
        </w:tc>
        <w:tc>
          <w:tcPr>
            <w:tcW w:w="2835" w:type="dxa"/>
            <w:vAlign w:val="center"/>
          </w:tcPr>
          <w:p w14:paraId="2EBBA7C8">
            <w:pPr>
              <w:pStyle w:val="11"/>
            </w:pPr>
            <w:r>
              <w:t>价值（金额单位：万元）</w:t>
            </w:r>
          </w:p>
        </w:tc>
      </w:tr>
      <w:tr w14:paraId="12D8E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97B78A">
            <w:pPr>
              <w:pStyle w:val="13"/>
            </w:pPr>
            <w:r>
              <w:t>资产总额</w:t>
            </w:r>
          </w:p>
        </w:tc>
        <w:tc>
          <w:tcPr>
            <w:tcW w:w="2835" w:type="dxa"/>
            <w:vAlign w:val="center"/>
          </w:tcPr>
          <w:p w14:paraId="15BB8B73">
            <w:pPr>
              <w:pStyle w:val="12"/>
            </w:pPr>
          </w:p>
        </w:tc>
        <w:tc>
          <w:tcPr>
            <w:tcW w:w="2835" w:type="dxa"/>
            <w:vAlign w:val="center"/>
          </w:tcPr>
          <w:p w14:paraId="26D8A160">
            <w:pPr>
              <w:pStyle w:val="14"/>
            </w:pPr>
            <w:r>
              <w:t>726.96</w:t>
            </w:r>
          </w:p>
        </w:tc>
      </w:tr>
      <w:tr w14:paraId="703FE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DF960C">
            <w:pPr>
              <w:pStyle w:val="13"/>
            </w:pPr>
            <w:r>
              <w:t>1、房屋（平方米）</w:t>
            </w:r>
          </w:p>
        </w:tc>
        <w:tc>
          <w:tcPr>
            <w:tcW w:w="2835" w:type="dxa"/>
            <w:vAlign w:val="center"/>
          </w:tcPr>
          <w:p w14:paraId="76B1068E">
            <w:pPr>
              <w:pStyle w:val="12"/>
            </w:pPr>
            <w:r>
              <w:t>5190.81</w:t>
            </w:r>
          </w:p>
        </w:tc>
        <w:tc>
          <w:tcPr>
            <w:tcW w:w="2835" w:type="dxa"/>
            <w:vAlign w:val="center"/>
          </w:tcPr>
          <w:p w14:paraId="54BC6F7F">
            <w:pPr>
              <w:pStyle w:val="14"/>
            </w:pPr>
            <w:r>
              <w:t>507.15</w:t>
            </w:r>
          </w:p>
        </w:tc>
      </w:tr>
      <w:tr w14:paraId="7131D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97D1B7">
            <w:pPr>
              <w:pStyle w:val="13"/>
            </w:pPr>
            <w:r>
              <w:t>　　其中：办公用房（平方米）</w:t>
            </w:r>
          </w:p>
        </w:tc>
        <w:tc>
          <w:tcPr>
            <w:tcW w:w="2835" w:type="dxa"/>
            <w:vAlign w:val="center"/>
          </w:tcPr>
          <w:p w14:paraId="144900C0">
            <w:pPr>
              <w:pStyle w:val="12"/>
            </w:pPr>
            <w:r>
              <w:t>756</w:t>
            </w:r>
          </w:p>
        </w:tc>
        <w:tc>
          <w:tcPr>
            <w:tcW w:w="2835" w:type="dxa"/>
            <w:vAlign w:val="center"/>
          </w:tcPr>
          <w:p w14:paraId="7AE81E95">
            <w:pPr>
              <w:pStyle w:val="14"/>
            </w:pPr>
            <w:r>
              <w:t>20.41</w:t>
            </w:r>
          </w:p>
        </w:tc>
      </w:tr>
      <w:tr w14:paraId="1B1A5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DD8651">
            <w:pPr>
              <w:pStyle w:val="13"/>
            </w:pPr>
            <w:r>
              <w:t>2、车辆（台、辆）</w:t>
            </w:r>
          </w:p>
        </w:tc>
        <w:tc>
          <w:tcPr>
            <w:tcW w:w="2835" w:type="dxa"/>
            <w:vAlign w:val="center"/>
          </w:tcPr>
          <w:p w14:paraId="671261C7">
            <w:pPr>
              <w:pStyle w:val="12"/>
            </w:pPr>
          </w:p>
        </w:tc>
        <w:tc>
          <w:tcPr>
            <w:tcW w:w="2835" w:type="dxa"/>
            <w:vAlign w:val="center"/>
          </w:tcPr>
          <w:p w14:paraId="43EC82AF">
            <w:pPr>
              <w:pStyle w:val="14"/>
            </w:pPr>
          </w:p>
        </w:tc>
      </w:tr>
      <w:tr w14:paraId="3BE8B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3C3552">
            <w:pPr>
              <w:pStyle w:val="13"/>
            </w:pPr>
            <w:r>
              <w:t>3、单价在20万元以上的设备</w:t>
            </w:r>
          </w:p>
        </w:tc>
        <w:tc>
          <w:tcPr>
            <w:tcW w:w="2835" w:type="dxa"/>
            <w:vAlign w:val="center"/>
          </w:tcPr>
          <w:p w14:paraId="1FF1F68D">
            <w:pPr>
              <w:pStyle w:val="12"/>
            </w:pPr>
          </w:p>
        </w:tc>
        <w:tc>
          <w:tcPr>
            <w:tcW w:w="2835" w:type="dxa"/>
            <w:vAlign w:val="center"/>
          </w:tcPr>
          <w:p w14:paraId="23B6CCE3">
            <w:pPr>
              <w:pStyle w:val="14"/>
            </w:pPr>
          </w:p>
        </w:tc>
      </w:tr>
      <w:tr w14:paraId="585FB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D187B6">
            <w:pPr>
              <w:pStyle w:val="13"/>
            </w:pPr>
            <w:r>
              <w:t>4、其他固定资产</w:t>
            </w:r>
          </w:p>
        </w:tc>
        <w:tc>
          <w:tcPr>
            <w:tcW w:w="2835" w:type="dxa"/>
            <w:vAlign w:val="center"/>
          </w:tcPr>
          <w:p w14:paraId="426C0978">
            <w:pPr>
              <w:pStyle w:val="12"/>
            </w:pPr>
            <w:r>
              <w:t>4599</w:t>
            </w:r>
          </w:p>
        </w:tc>
        <w:tc>
          <w:tcPr>
            <w:tcW w:w="2835" w:type="dxa"/>
            <w:vAlign w:val="center"/>
          </w:tcPr>
          <w:p w14:paraId="68A660C4">
            <w:pPr>
              <w:pStyle w:val="14"/>
            </w:pPr>
            <w:r>
              <w:t>219.81</w:t>
            </w:r>
          </w:p>
        </w:tc>
      </w:tr>
    </w:tbl>
    <w:p w14:paraId="4B8169EC">
      <w:pPr>
        <w:spacing w:before="0" w:after="0"/>
        <w:ind w:firstLine="640"/>
        <w:jc w:val="left"/>
        <w:outlineLvl w:val="9"/>
      </w:pPr>
      <w:r>
        <w:rPr>
          <w:rFonts w:ascii="Times New Roman" w:hAnsi="Times New Roman" w:eastAsia="方正仿宋_GBK" w:cs="Times New Roman"/>
          <w:color w:val="000000"/>
          <w:sz w:val="32"/>
        </w:rPr>
        <w:t xml:space="preserve"> </w:t>
      </w:r>
    </w:p>
    <w:p w14:paraId="724137BE">
      <w:pPr>
        <w:spacing w:before="10" w:after="10" w:line="240" w:lineRule="auto"/>
        <w:ind w:firstLine="640"/>
        <w:jc w:val="left"/>
        <w:outlineLvl w:val="5"/>
      </w:pPr>
      <w:r>
        <w:rPr>
          <w:rFonts w:ascii="黑体" w:hAnsi="黑体" w:eastAsia="黑体" w:cs="黑体"/>
          <w:color w:val="000000"/>
          <w:sz w:val="32"/>
        </w:rPr>
        <w:t>八、名词解释</w:t>
      </w:r>
    </w:p>
    <w:p w14:paraId="148B5BD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273ED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D4913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0597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1999D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DAA5C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52638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31BAE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C56B7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3AAA1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6ED429">
      <w:pPr>
        <w:spacing w:before="10" w:after="10" w:line="240" w:lineRule="auto"/>
        <w:ind w:firstLine="640"/>
        <w:jc w:val="left"/>
        <w:outlineLvl w:val="5"/>
      </w:pPr>
      <w:r>
        <w:rPr>
          <w:rFonts w:ascii="黑体" w:hAnsi="黑体" w:eastAsia="黑体" w:cs="黑体"/>
          <w:color w:val="000000"/>
          <w:sz w:val="32"/>
        </w:rPr>
        <w:t>九、其他需要说明的事项</w:t>
      </w:r>
    </w:p>
    <w:p w14:paraId="59113D0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C97F484">
      <w:pPr>
        <w:spacing w:before="0" w:after="0"/>
        <w:ind w:firstLine="0"/>
        <w:jc w:val="center"/>
        <w:outlineLvl w:val="3"/>
      </w:pPr>
      <w:bookmarkStart w:id="33" w:name="_Toc_4_4_0000000053"/>
      <w:r>
        <w:rPr>
          <w:rFonts w:ascii="方正小标宋_GBK" w:hAnsi="方正小标宋_GBK" w:eastAsia="方正小标宋_GBK" w:cs="方正小标宋_GBK"/>
          <w:b w:val="0"/>
          <w:color w:val="000000"/>
          <w:sz w:val="44"/>
        </w:rPr>
        <w:t>三十三、隆尧县莲子中学收支预算</w:t>
      </w:r>
      <w:bookmarkEnd w:id="33"/>
    </w:p>
    <w:p w14:paraId="167356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C849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BE8D8C">
            <w:pPr>
              <w:pStyle w:val="8"/>
            </w:pPr>
            <w:r>
              <w:t>360034隆尧县莲子中学</w:t>
            </w:r>
          </w:p>
        </w:tc>
        <w:tc>
          <w:tcPr>
            <w:tcW w:w="2126" w:type="dxa"/>
            <w:tcBorders>
              <w:top w:val="single" w:color="FFFFFF" w:sz="6" w:space="0"/>
              <w:left w:val="single" w:color="FFFFFF" w:sz="6" w:space="0"/>
              <w:right w:val="single" w:color="FFFFFF" w:sz="6" w:space="0"/>
            </w:tcBorders>
            <w:vAlign w:val="center"/>
          </w:tcPr>
          <w:p w14:paraId="4E54264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C6E4811">
            <w:pPr>
              <w:pStyle w:val="10"/>
            </w:pPr>
            <w:r>
              <w:t>单位：万元</w:t>
            </w:r>
          </w:p>
        </w:tc>
      </w:tr>
      <w:tr w14:paraId="45B24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BE8DF9">
            <w:pPr>
              <w:pStyle w:val="11"/>
            </w:pPr>
            <w:r>
              <w:t>序号</w:t>
            </w:r>
          </w:p>
        </w:tc>
        <w:tc>
          <w:tcPr>
            <w:tcW w:w="6661" w:type="dxa"/>
            <w:gridSpan w:val="2"/>
            <w:vAlign w:val="center"/>
          </w:tcPr>
          <w:p w14:paraId="729292D4">
            <w:pPr>
              <w:pStyle w:val="11"/>
            </w:pPr>
            <w:r>
              <w:t>收入</w:t>
            </w:r>
          </w:p>
        </w:tc>
        <w:tc>
          <w:tcPr>
            <w:tcW w:w="6661" w:type="dxa"/>
            <w:gridSpan w:val="2"/>
            <w:vAlign w:val="center"/>
          </w:tcPr>
          <w:p w14:paraId="415EB3A5">
            <w:pPr>
              <w:pStyle w:val="11"/>
            </w:pPr>
            <w:r>
              <w:t>支出</w:t>
            </w:r>
          </w:p>
        </w:tc>
      </w:tr>
      <w:tr w14:paraId="48DA6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2404A"/>
        </w:tc>
        <w:tc>
          <w:tcPr>
            <w:tcW w:w="4535" w:type="dxa"/>
            <w:vAlign w:val="center"/>
          </w:tcPr>
          <w:p w14:paraId="2951CBA2">
            <w:pPr>
              <w:pStyle w:val="11"/>
            </w:pPr>
            <w:r>
              <w:t>项  目</w:t>
            </w:r>
          </w:p>
        </w:tc>
        <w:tc>
          <w:tcPr>
            <w:tcW w:w="2126" w:type="dxa"/>
            <w:vAlign w:val="center"/>
          </w:tcPr>
          <w:p w14:paraId="4B577BD1">
            <w:pPr>
              <w:pStyle w:val="11"/>
            </w:pPr>
            <w:r>
              <w:t>预算数</w:t>
            </w:r>
          </w:p>
        </w:tc>
        <w:tc>
          <w:tcPr>
            <w:tcW w:w="4535" w:type="dxa"/>
            <w:vAlign w:val="center"/>
          </w:tcPr>
          <w:p w14:paraId="653D794E">
            <w:pPr>
              <w:pStyle w:val="11"/>
            </w:pPr>
            <w:r>
              <w:t>项  目</w:t>
            </w:r>
          </w:p>
        </w:tc>
        <w:tc>
          <w:tcPr>
            <w:tcW w:w="2126" w:type="dxa"/>
            <w:vAlign w:val="center"/>
          </w:tcPr>
          <w:p w14:paraId="5158B32C">
            <w:pPr>
              <w:pStyle w:val="11"/>
            </w:pPr>
            <w:r>
              <w:t>预算数</w:t>
            </w:r>
          </w:p>
        </w:tc>
      </w:tr>
      <w:tr w14:paraId="1F423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C2B2E9">
            <w:pPr>
              <w:pStyle w:val="11"/>
            </w:pPr>
            <w:r>
              <w:t>栏次</w:t>
            </w:r>
          </w:p>
        </w:tc>
        <w:tc>
          <w:tcPr>
            <w:tcW w:w="4535" w:type="dxa"/>
            <w:vAlign w:val="center"/>
          </w:tcPr>
          <w:p w14:paraId="6609CEC9">
            <w:pPr>
              <w:pStyle w:val="11"/>
            </w:pPr>
            <w:r>
              <w:t>1</w:t>
            </w:r>
          </w:p>
        </w:tc>
        <w:tc>
          <w:tcPr>
            <w:tcW w:w="2126" w:type="dxa"/>
            <w:vAlign w:val="center"/>
          </w:tcPr>
          <w:p w14:paraId="38EB36F4">
            <w:pPr>
              <w:pStyle w:val="11"/>
            </w:pPr>
            <w:r>
              <w:t>2</w:t>
            </w:r>
          </w:p>
        </w:tc>
        <w:tc>
          <w:tcPr>
            <w:tcW w:w="4535" w:type="dxa"/>
            <w:vAlign w:val="center"/>
          </w:tcPr>
          <w:p w14:paraId="6CC6B8E2">
            <w:pPr>
              <w:pStyle w:val="11"/>
            </w:pPr>
            <w:r>
              <w:t>3</w:t>
            </w:r>
          </w:p>
        </w:tc>
        <w:tc>
          <w:tcPr>
            <w:tcW w:w="2126" w:type="dxa"/>
            <w:vAlign w:val="center"/>
          </w:tcPr>
          <w:p w14:paraId="21965A31">
            <w:pPr>
              <w:pStyle w:val="11"/>
            </w:pPr>
            <w:r>
              <w:t>4</w:t>
            </w:r>
          </w:p>
        </w:tc>
      </w:tr>
      <w:tr w14:paraId="5CCD0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7084D">
            <w:pPr>
              <w:pStyle w:val="12"/>
            </w:pPr>
            <w:r>
              <w:t>1</w:t>
            </w:r>
          </w:p>
        </w:tc>
        <w:tc>
          <w:tcPr>
            <w:tcW w:w="4535" w:type="dxa"/>
            <w:vAlign w:val="center"/>
          </w:tcPr>
          <w:p w14:paraId="71874BCD">
            <w:pPr>
              <w:pStyle w:val="13"/>
            </w:pPr>
            <w:r>
              <w:t>一、一般公共预算拨款收入</w:t>
            </w:r>
          </w:p>
        </w:tc>
        <w:tc>
          <w:tcPr>
            <w:tcW w:w="2126" w:type="dxa"/>
            <w:vAlign w:val="center"/>
          </w:tcPr>
          <w:p w14:paraId="2F1EF336">
            <w:pPr>
              <w:pStyle w:val="14"/>
            </w:pPr>
            <w:r>
              <w:t>775.20</w:t>
            </w:r>
          </w:p>
        </w:tc>
        <w:tc>
          <w:tcPr>
            <w:tcW w:w="4535" w:type="dxa"/>
            <w:vAlign w:val="center"/>
          </w:tcPr>
          <w:p w14:paraId="7B396D1D">
            <w:pPr>
              <w:pStyle w:val="13"/>
            </w:pPr>
            <w:r>
              <w:t>一、一般公共服务支出</w:t>
            </w:r>
          </w:p>
        </w:tc>
        <w:tc>
          <w:tcPr>
            <w:tcW w:w="2126" w:type="dxa"/>
            <w:vAlign w:val="center"/>
          </w:tcPr>
          <w:p w14:paraId="75006D64">
            <w:pPr>
              <w:pStyle w:val="14"/>
            </w:pPr>
          </w:p>
        </w:tc>
      </w:tr>
      <w:tr w14:paraId="4B861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81A9F">
            <w:pPr>
              <w:pStyle w:val="12"/>
            </w:pPr>
            <w:r>
              <w:t>2</w:t>
            </w:r>
          </w:p>
        </w:tc>
        <w:tc>
          <w:tcPr>
            <w:tcW w:w="4535" w:type="dxa"/>
            <w:vAlign w:val="center"/>
          </w:tcPr>
          <w:p w14:paraId="3BE27DD9">
            <w:pPr>
              <w:pStyle w:val="13"/>
            </w:pPr>
            <w:r>
              <w:t>二、政府性基金预算拨款收入</w:t>
            </w:r>
          </w:p>
        </w:tc>
        <w:tc>
          <w:tcPr>
            <w:tcW w:w="2126" w:type="dxa"/>
            <w:vAlign w:val="center"/>
          </w:tcPr>
          <w:p w14:paraId="6A34495E">
            <w:pPr>
              <w:pStyle w:val="14"/>
            </w:pPr>
          </w:p>
        </w:tc>
        <w:tc>
          <w:tcPr>
            <w:tcW w:w="4535" w:type="dxa"/>
            <w:vAlign w:val="center"/>
          </w:tcPr>
          <w:p w14:paraId="6BC2798C">
            <w:pPr>
              <w:pStyle w:val="13"/>
            </w:pPr>
            <w:r>
              <w:t>二、外交支出</w:t>
            </w:r>
          </w:p>
        </w:tc>
        <w:tc>
          <w:tcPr>
            <w:tcW w:w="2126" w:type="dxa"/>
            <w:vAlign w:val="center"/>
          </w:tcPr>
          <w:p w14:paraId="0898E23E">
            <w:pPr>
              <w:pStyle w:val="14"/>
            </w:pPr>
          </w:p>
        </w:tc>
      </w:tr>
      <w:tr w14:paraId="3C9DF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8E0AF">
            <w:pPr>
              <w:pStyle w:val="12"/>
            </w:pPr>
            <w:r>
              <w:t>3</w:t>
            </w:r>
          </w:p>
        </w:tc>
        <w:tc>
          <w:tcPr>
            <w:tcW w:w="4535" w:type="dxa"/>
            <w:vAlign w:val="center"/>
          </w:tcPr>
          <w:p w14:paraId="6BBC7AFF">
            <w:pPr>
              <w:pStyle w:val="13"/>
            </w:pPr>
            <w:r>
              <w:t>三、国有资本经营预算拨款收入</w:t>
            </w:r>
          </w:p>
        </w:tc>
        <w:tc>
          <w:tcPr>
            <w:tcW w:w="2126" w:type="dxa"/>
            <w:vAlign w:val="center"/>
          </w:tcPr>
          <w:p w14:paraId="6A3B7F28">
            <w:pPr>
              <w:pStyle w:val="14"/>
            </w:pPr>
          </w:p>
        </w:tc>
        <w:tc>
          <w:tcPr>
            <w:tcW w:w="4535" w:type="dxa"/>
            <w:vAlign w:val="center"/>
          </w:tcPr>
          <w:p w14:paraId="5BF19B72">
            <w:pPr>
              <w:pStyle w:val="13"/>
            </w:pPr>
            <w:r>
              <w:t>三、国防支出</w:t>
            </w:r>
          </w:p>
        </w:tc>
        <w:tc>
          <w:tcPr>
            <w:tcW w:w="2126" w:type="dxa"/>
            <w:vAlign w:val="center"/>
          </w:tcPr>
          <w:p w14:paraId="491B1503">
            <w:pPr>
              <w:pStyle w:val="14"/>
            </w:pPr>
          </w:p>
        </w:tc>
      </w:tr>
      <w:tr w14:paraId="3C4D4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5AF14">
            <w:pPr>
              <w:pStyle w:val="12"/>
            </w:pPr>
            <w:r>
              <w:t>4</w:t>
            </w:r>
          </w:p>
        </w:tc>
        <w:tc>
          <w:tcPr>
            <w:tcW w:w="4535" w:type="dxa"/>
            <w:vAlign w:val="center"/>
          </w:tcPr>
          <w:p w14:paraId="54AEC894">
            <w:pPr>
              <w:pStyle w:val="13"/>
            </w:pPr>
            <w:r>
              <w:t>四、财政专户管理资金收入</w:t>
            </w:r>
          </w:p>
        </w:tc>
        <w:tc>
          <w:tcPr>
            <w:tcW w:w="2126" w:type="dxa"/>
            <w:vAlign w:val="center"/>
          </w:tcPr>
          <w:p w14:paraId="3D0CF3FF">
            <w:pPr>
              <w:pStyle w:val="14"/>
            </w:pPr>
          </w:p>
        </w:tc>
        <w:tc>
          <w:tcPr>
            <w:tcW w:w="4535" w:type="dxa"/>
            <w:vAlign w:val="center"/>
          </w:tcPr>
          <w:p w14:paraId="08C3DD6F">
            <w:pPr>
              <w:pStyle w:val="13"/>
            </w:pPr>
            <w:r>
              <w:t>四、公共安全支出</w:t>
            </w:r>
          </w:p>
        </w:tc>
        <w:tc>
          <w:tcPr>
            <w:tcW w:w="2126" w:type="dxa"/>
            <w:vAlign w:val="center"/>
          </w:tcPr>
          <w:p w14:paraId="6FD53F65">
            <w:pPr>
              <w:pStyle w:val="14"/>
            </w:pPr>
          </w:p>
        </w:tc>
      </w:tr>
      <w:tr w14:paraId="31DB2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5A869">
            <w:pPr>
              <w:pStyle w:val="12"/>
            </w:pPr>
            <w:r>
              <w:t>5</w:t>
            </w:r>
          </w:p>
        </w:tc>
        <w:tc>
          <w:tcPr>
            <w:tcW w:w="4535" w:type="dxa"/>
            <w:vAlign w:val="center"/>
          </w:tcPr>
          <w:p w14:paraId="5C1015FB">
            <w:pPr>
              <w:pStyle w:val="13"/>
            </w:pPr>
            <w:r>
              <w:t>五、单位资金</w:t>
            </w:r>
          </w:p>
        </w:tc>
        <w:tc>
          <w:tcPr>
            <w:tcW w:w="2126" w:type="dxa"/>
            <w:vAlign w:val="center"/>
          </w:tcPr>
          <w:p w14:paraId="574EF3C1">
            <w:pPr>
              <w:pStyle w:val="14"/>
            </w:pPr>
          </w:p>
        </w:tc>
        <w:tc>
          <w:tcPr>
            <w:tcW w:w="4535" w:type="dxa"/>
            <w:vAlign w:val="center"/>
          </w:tcPr>
          <w:p w14:paraId="5FFDA362">
            <w:pPr>
              <w:pStyle w:val="13"/>
            </w:pPr>
            <w:r>
              <w:t>五、教育支出</w:t>
            </w:r>
          </w:p>
        </w:tc>
        <w:tc>
          <w:tcPr>
            <w:tcW w:w="2126" w:type="dxa"/>
            <w:vAlign w:val="center"/>
          </w:tcPr>
          <w:p w14:paraId="0C50C225">
            <w:pPr>
              <w:pStyle w:val="14"/>
            </w:pPr>
            <w:r>
              <w:t>790.08</w:t>
            </w:r>
          </w:p>
        </w:tc>
      </w:tr>
      <w:tr w14:paraId="458F8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74F35">
            <w:pPr>
              <w:pStyle w:val="12"/>
            </w:pPr>
            <w:r>
              <w:t>6</w:t>
            </w:r>
          </w:p>
        </w:tc>
        <w:tc>
          <w:tcPr>
            <w:tcW w:w="4535" w:type="dxa"/>
            <w:vAlign w:val="center"/>
          </w:tcPr>
          <w:p w14:paraId="3B6F8514">
            <w:pPr>
              <w:pStyle w:val="13"/>
            </w:pPr>
          </w:p>
        </w:tc>
        <w:tc>
          <w:tcPr>
            <w:tcW w:w="2126" w:type="dxa"/>
            <w:vAlign w:val="center"/>
          </w:tcPr>
          <w:p w14:paraId="637DD67E">
            <w:pPr>
              <w:pStyle w:val="14"/>
            </w:pPr>
          </w:p>
        </w:tc>
        <w:tc>
          <w:tcPr>
            <w:tcW w:w="4535" w:type="dxa"/>
            <w:vAlign w:val="center"/>
          </w:tcPr>
          <w:p w14:paraId="73A1FED0">
            <w:pPr>
              <w:pStyle w:val="13"/>
            </w:pPr>
            <w:r>
              <w:t>六、科学技术支出</w:t>
            </w:r>
          </w:p>
        </w:tc>
        <w:tc>
          <w:tcPr>
            <w:tcW w:w="2126" w:type="dxa"/>
            <w:vAlign w:val="center"/>
          </w:tcPr>
          <w:p w14:paraId="3BC4B01C">
            <w:pPr>
              <w:pStyle w:val="14"/>
            </w:pPr>
          </w:p>
        </w:tc>
      </w:tr>
      <w:tr w14:paraId="552C4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EA44D">
            <w:pPr>
              <w:pStyle w:val="12"/>
            </w:pPr>
            <w:r>
              <w:t>7</w:t>
            </w:r>
          </w:p>
        </w:tc>
        <w:tc>
          <w:tcPr>
            <w:tcW w:w="4535" w:type="dxa"/>
            <w:vAlign w:val="center"/>
          </w:tcPr>
          <w:p w14:paraId="1848CE3A">
            <w:pPr>
              <w:pStyle w:val="13"/>
            </w:pPr>
          </w:p>
        </w:tc>
        <w:tc>
          <w:tcPr>
            <w:tcW w:w="2126" w:type="dxa"/>
            <w:vAlign w:val="center"/>
          </w:tcPr>
          <w:p w14:paraId="34EA6967">
            <w:pPr>
              <w:pStyle w:val="14"/>
            </w:pPr>
          </w:p>
        </w:tc>
        <w:tc>
          <w:tcPr>
            <w:tcW w:w="4535" w:type="dxa"/>
            <w:vAlign w:val="center"/>
          </w:tcPr>
          <w:p w14:paraId="1C5512D1">
            <w:pPr>
              <w:pStyle w:val="13"/>
            </w:pPr>
            <w:r>
              <w:t>七、文化旅游体育与传媒支出</w:t>
            </w:r>
          </w:p>
        </w:tc>
        <w:tc>
          <w:tcPr>
            <w:tcW w:w="2126" w:type="dxa"/>
            <w:vAlign w:val="center"/>
          </w:tcPr>
          <w:p w14:paraId="152A9FCE">
            <w:pPr>
              <w:pStyle w:val="14"/>
            </w:pPr>
          </w:p>
        </w:tc>
      </w:tr>
      <w:tr w14:paraId="390FC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AFA75">
            <w:pPr>
              <w:pStyle w:val="12"/>
            </w:pPr>
            <w:r>
              <w:t>8</w:t>
            </w:r>
          </w:p>
        </w:tc>
        <w:tc>
          <w:tcPr>
            <w:tcW w:w="4535" w:type="dxa"/>
            <w:vAlign w:val="center"/>
          </w:tcPr>
          <w:p w14:paraId="3839C949">
            <w:pPr>
              <w:pStyle w:val="13"/>
            </w:pPr>
          </w:p>
        </w:tc>
        <w:tc>
          <w:tcPr>
            <w:tcW w:w="2126" w:type="dxa"/>
            <w:vAlign w:val="center"/>
          </w:tcPr>
          <w:p w14:paraId="4DE5C8EC">
            <w:pPr>
              <w:pStyle w:val="14"/>
            </w:pPr>
          </w:p>
        </w:tc>
        <w:tc>
          <w:tcPr>
            <w:tcW w:w="4535" w:type="dxa"/>
            <w:vAlign w:val="center"/>
          </w:tcPr>
          <w:p w14:paraId="04F42145">
            <w:pPr>
              <w:pStyle w:val="13"/>
            </w:pPr>
            <w:r>
              <w:t>八、社会保障和就业支出</w:t>
            </w:r>
          </w:p>
        </w:tc>
        <w:tc>
          <w:tcPr>
            <w:tcW w:w="2126" w:type="dxa"/>
            <w:vAlign w:val="center"/>
          </w:tcPr>
          <w:p w14:paraId="3EB510E1">
            <w:pPr>
              <w:pStyle w:val="14"/>
            </w:pPr>
          </w:p>
        </w:tc>
      </w:tr>
      <w:tr w14:paraId="042E7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3B428">
            <w:pPr>
              <w:pStyle w:val="12"/>
            </w:pPr>
            <w:r>
              <w:t>9</w:t>
            </w:r>
          </w:p>
        </w:tc>
        <w:tc>
          <w:tcPr>
            <w:tcW w:w="4535" w:type="dxa"/>
            <w:vAlign w:val="center"/>
          </w:tcPr>
          <w:p w14:paraId="4D08976C">
            <w:pPr>
              <w:pStyle w:val="13"/>
            </w:pPr>
          </w:p>
        </w:tc>
        <w:tc>
          <w:tcPr>
            <w:tcW w:w="2126" w:type="dxa"/>
            <w:vAlign w:val="center"/>
          </w:tcPr>
          <w:p w14:paraId="7FCDE258">
            <w:pPr>
              <w:pStyle w:val="14"/>
            </w:pPr>
          </w:p>
        </w:tc>
        <w:tc>
          <w:tcPr>
            <w:tcW w:w="4535" w:type="dxa"/>
            <w:vAlign w:val="center"/>
          </w:tcPr>
          <w:p w14:paraId="034CA8F3">
            <w:pPr>
              <w:pStyle w:val="13"/>
            </w:pPr>
            <w:r>
              <w:t>九、社会保险基金支出</w:t>
            </w:r>
          </w:p>
        </w:tc>
        <w:tc>
          <w:tcPr>
            <w:tcW w:w="2126" w:type="dxa"/>
            <w:vAlign w:val="center"/>
          </w:tcPr>
          <w:p w14:paraId="3C4A1150">
            <w:pPr>
              <w:pStyle w:val="14"/>
            </w:pPr>
          </w:p>
        </w:tc>
      </w:tr>
      <w:tr w14:paraId="73C2D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9CCAE">
            <w:pPr>
              <w:pStyle w:val="12"/>
            </w:pPr>
            <w:r>
              <w:t>10</w:t>
            </w:r>
          </w:p>
        </w:tc>
        <w:tc>
          <w:tcPr>
            <w:tcW w:w="4535" w:type="dxa"/>
            <w:vAlign w:val="center"/>
          </w:tcPr>
          <w:p w14:paraId="70BE5AF7">
            <w:pPr>
              <w:pStyle w:val="13"/>
            </w:pPr>
          </w:p>
        </w:tc>
        <w:tc>
          <w:tcPr>
            <w:tcW w:w="2126" w:type="dxa"/>
            <w:vAlign w:val="center"/>
          </w:tcPr>
          <w:p w14:paraId="4A8E705B">
            <w:pPr>
              <w:pStyle w:val="14"/>
            </w:pPr>
          </w:p>
        </w:tc>
        <w:tc>
          <w:tcPr>
            <w:tcW w:w="4535" w:type="dxa"/>
            <w:vAlign w:val="center"/>
          </w:tcPr>
          <w:p w14:paraId="11C7072F">
            <w:pPr>
              <w:pStyle w:val="13"/>
            </w:pPr>
            <w:r>
              <w:t>十、卫生健康支出</w:t>
            </w:r>
          </w:p>
        </w:tc>
        <w:tc>
          <w:tcPr>
            <w:tcW w:w="2126" w:type="dxa"/>
            <w:vAlign w:val="center"/>
          </w:tcPr>
          <w:p w14:paraId="5E937CCD">
            <w:pPr>
              <w:pStyle w:val="14"/>
            </w:pPr>
          </w:p>
        </w:tc>
      </w:tr>
      <w:tr w14:paraId="198D8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672D6">
            <w:pPr>
              <w:pStyle w:val="12"/>
            </w:pPr>
            <w:r>
              <w:t>11</w:t>
            </w:r>
          </w:p>
        </w:tc>
        <w:tc>
          <w:tcPr>
            <w:tcW w:w="4535" w:type="dxa"/>
            <w:vAlign w:val="center"/>
          </w:tcPr>
          <w:p w14:paraId="23978E40">
            <w:pPr>
              <w:pStyle w:val="13"/>
            </w:pPr>
          </w:p>
        </w:tc>
        <w:tc>
          <w:tcPr>
            <w:tcW w:w="2126" w:type="dxa"/>
            <w:vAlign w:val="center"/>
          </w:tcPr>
          <w:p w14:paraId="7A84FDA6">
            <w:pPr>
              <w:pStyle w:val="14"/>
            </w:pPr>
          </w:p>
        </w:tc>
        <w:tc>
          <w:tcPr>
            <w:tcW w:w="4535" w:type="dxa"/>
            <w:vAlign w:val="center"/>
          </w:tcPr>
          <w:p w14:paraId="523B1F5C">
            <w:pPr>
              <w:pStyle w:val="13"/>
            </w:pPr>
            <w:r>
              <w:t>十一、节能环保支出</w:t>
            </w:r>
          </w:p>
        </w:tc>
        <w:tc>
          <w:tcPr>
            <w:tcW w:w="2126" w:type="dxa"/>
            <w:vAlign w:val="center"/>
          </w:tcPr>
          <w:p w14:paraId="2DE746FD">
            <w:pPr>
              <w:pStyle w:val="14"/>
            </w:pPr>
          </w:p>
        </w:tc>
      </w:tr>
      <w:tr w14:paraId="0C2D6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D51F3">
            <w:pPr>
              <w:pStyle w:val="12"/>
            </w:pPr>
            <w:r>
              <w:t>12</w:t>
            </w:r>
          </w:p>
        </w:tc>
        <w:tc>
          <w:tcPr>
            <w:tcW w:w="4535" w:type="dxa"/>
            <w:vAlign w:val="center"/>
          </w:tcPr>
          <w:p w14:paraId="4D50E743">
            <w:pPr>
              <w:pStyle w:val="13"/>
            </w:pPr>
          </w:p>
        </w:tc>
        <w:tc>
          <w:tcPr>
            <w:tcW w:w="2126" w:type="dxa"/>
            <w:vAlign w:val="center"/>
          </w:tcPr>
          <w:p w14:paraId="585D0B9C">
            <w:pPr>
              <w:pStyle w:val="14"/>
            </w:pPr>
          </w:p>
        </w:tc>
        <w:tc>
          <w:tcPr>
            <w:tcW w:w="4535" w:type="dxa"/>
            <w:vAlign w:val="center"/>
          </w:tcPr>
          <w:p w14:paraId="22C9AEB4">
            <w:pPr>
              <w:pStyle w:val="13"/>
            </w:pPr>
            <w:r>
              <w:t>十二、城乡社区支出</w:t>
            </w:r>
          </w:p>
        </w:tc>
        <w:tc>
          <w:tcPr>
            <w:tcW w:w="2126" w:type="dxa"/>
            <w:vAlign w:val="center"/>
          </w:tcPr>
          <w:p w14:paraId="68CDE7BB">
            <w:pPr>
              <w:pStyle w:val="14"/>
            </w:pPr>
          </w:p>
        </w:tc>
      </w:tr>
      <w:tr w14:paraId="7F87C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B9CDA">
            <w:pPr>
              <w:pStyle w:val="12"/>
            </w:pPr>
            <w:r>
              <w:t>13</w:t>
            </w:r>
          </w:p>
        </w:tc>
        <w:tc>
          <w:tcPr>
            <w:tcW w:w="4535" w:type="dxa"/>
            <w:vAlign w:val="center"/>
          </w:tcPr>
          <w:p w14:paraId="0EB0A5E2">
            <w:pPr>
              <w:pStyle w:val="13"/>
            </w:pPr>
          </w:p>
        </w:tc>
        <w:tc>
          <w:tcPr>
            <w:tcW w:w="2126" w:type="dxa"/>
            <w:vAlign w:val="center"/>
          </w:tcPr>
          <w:p w14:paraId="78EFB0E2">
            <w:pPr>
              <w:pStyle w:val="14"/>
            </w:pPr>
          </w:p>
        </w:tc>
        <w:tc>
          <w:tcPr>
            <w:tcW w:w="4535" w:type="dxa"/>
            <w:vAlign w:val="center"/>
          </w:tcPr>
          <w:p w14:paraId="2E52ABCA">
            <w:pPr>
              <w:pStyle w:val="13"/>
            </w:pPr>
            <w:r>
              <w:t>十三、农林水支出</w:t>
            </w:r>
          </w:p>
        </w:tc>
        <w:tc>
          <w:tcPr>
            <w:tcW w:w="2126" w:type="dxa"/>
            <w:vAlign w:val="center"/>
          </w:tcPr>
          <w:p w14:paraId="21780CB6">
            <w:pPr>
              <w:pStyle w:val="14"/>
            </w:pPr>
          </w:p>
        </w:tc>
      </w:tr>
      <w:tr w14:paraId="204F6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73676">
            <w:pPr>
              <w:pStyle w:val="12"/>
            </w:pPr>
            <w:r>
              <w:t>14</w:t>
            </w:r>
          </w:p>
        </w:tc>
        <w:tc>
          <w:tcPr>
            <w:tcW w:w="4535" w:type="dxa"/>
            <w:vAlign w:val="center"/>
          </w:tcPr>
          <w:p w14:paraId="3B659E9B">
            <w:pPr>
              <w:pStyle w:val="13"/>
            </w:pPr>
          </w:p>
        </w:tc>
        <w:tc>
          <w:tcPr>
            <w:tcW w:w="2126" w:type="dxa"/>
            <w:vAlign w:val="center"/>
          </w:tcPr>
          <w:p w14:paraId="579D05FF">
            <w:pPr>
              <w:pStyle w:val="14"/>
            </w:pPr>
          </w:p>
        </w:tc>
        <w:tc>
          <w:tcPr>
            <w:tcW w:w="4535" w:type="dxa"/>
            <w:vAlign w:val="center"/>
          </w:tcPr>
          <w:p w14:paraId="535E7BD8">
            <w:pPr>
              <w:pStyle w:val="13"/>
            </w:pPr>
            <w:r>
              <w:t>十四、交通运输支出</w:t>
            </w:r>
          </w:p>
        </w:tc>
        <w:tc>
          <w:tcPr>
            <w:tcW w:w="2126" w:type="dxa"/>
            <w:vAlign w:val="center"/>
          </w:tcPr>
          <w:p w14:paraId="5A5EE4D6">
            <w:pPr>
              <w:pStyle w:val="14"/>
            </w:pPr>
          </w:p>
        </w:tc>
      </w:tr>
      <w:tr w14:paraId="068DA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6FC6A">
            <w:pPr>
              <w:pStyle w:val="12"/>
            </w:pPr>
            <w:r>
              <w:t>15</w:t>
            </w:r>
          </w:p>
        </w:tc>
        <w:tc>
          <w:tcPr>
            <w:tcW w:w="4535" w:type="dxa"/>
            <w:vAlign w:val="center"/>
          </w:tcPr>
          <w:p w14:paraId="15BB7F99">
            <w:pPr>
              <w:pStyle w:val="13"/>
            </w:pPr>
          </w:p>
        </w:tc>
        <w:tc>
          <w:tcPr>
            <w:tcW w:w="2126" w:type="dxa"/>
            <w:vAlign w:val="center"/>
          </w:tcPr>
          <w:p w14:paraId="3B111565">
            <w:pPr>
              <w:pStyle w:val="14"/>
            </w:pPr>
          </w:p>
        </w:tc>
        <w:tc>
          <w:tcPr>
            <w:tcW w:w="4535" w:type="dxa"/>
            <w:vAlign w:val="center"/>
          </w:tcPr>
          <w:p w14:paraId="0B548616">
            <w:pPr>
              <w:pStyle w:val="13"/>
            </w:pPr>
            <w:r>
              <w:t>十五、资源勘探工业信息等支出</w:t>
            </w:r>
          </w:p>
        </w:tc>
        <w:tc>
          <w:tcPr>
            <w:tcW w:w="2126" w:type="dxa"/>
            <w:vAlign w:val="center"/>
          </w:tcPr>
          <w:p w14:paraId="6E946225">
            <w:pPr>
              <w:pStyle w:val="14"/>
            </w:pPr>
          </w:p>
        </w:tc>
      </w:tr>
      <w:tr w14:paraId="5817B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4715B">
            <w:pPr>
              <w:pStyle w:val="12"/>
            </w:pPr>
            <w:r>
              <w:t>16</w:t>
            </w:r>
          </w:p>
        </w:tc>
        <w:tc>
          <w:tcPr>
            <w:tcW w:w="4535" w:type="dxa"/>
            <w:vAlign w:val="center"/>
          </w:tcPr>
          <w:p w14:paraId="4CC0744D">
            <w:pPr>
              <w:pStyle w:val="13"/>
            </w:pPr>
          </w:p>
        </w:tc>
        <w:tc>
          <w:tcPr>
            <w:tcW w:w="2126" w:type="dxa"/>
            <w:vAlign w:val="center"/>
          </w:tcPr>
          <w:p w14:paraId="0CED62A1">
            <w:pPr>
              <w:pStyle w:val="14"/>
            </w:pPr>
          </w:p>
        </w:tc>
        <w:tc>
          <w:tcPr>
            <w:tcW w:w="4535" w:type="dxa"/>
            <w:vAlign w:val="center"/>
          </w:tcPr>
          <w:p w14:paraId="58A2DD8C">
            <w:pPr>
              <w:pStyle w:val="13"/>
            </w:pPr>
            <w:r>
              <w:t>十六、商业服务业等支出</w:t>
            </w:r>
          </w:p>
        </w:tc>
        <w:tc>
          <w:tcPr>
            <w:tcW w:w="2126" w:type="dxa"/>
            <w:vAlign w:val="center"/>
          </w:tcPr>
          <w:p w14:paraId="0206F4FC">
            <w:pPr>
              <w:pStyle w:val="14"/>
            </w:pPr>
          </w:p>
        </w:tc>
      </w:tr>
      <w:tr w14:paraId="1A41D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34A9C">
            <w:pPr>
              <w:pStyle w:val="12"/>
            </w:pPr>
            <w:r>
              <w:t>17</w:t>
            </w:r>
          </w:p>
        </w:tc>
        <w:tc>
          <w:tcPr>
            <w:tcW w:w="4535" w:type="dxa"/>
            <w:vAlign w:val="center"/>
          </w:tcPr>
          <w:p w14:paraId="6AAC87E7">
            <w:pPr>
              <w:pStyle w:val="13"/>
            </w:pPr>
          </w:p>
        </w:tc>
        <w:tc>
          <w:tcPr>
            <w:tcW w:w="2126" w:type="dxa"/>
            <w:vAlign w:val="center"/>
          </w:tcPr>
          <w:p w14:paraId="65F458DE">
            <w:pPr>
              <w:pStyle w:val="14"/>
            </w:pPr>
          </w:p>
        </w:tc>
        <w:tc>
          <w:tcPr>
            <w:tcW w:w="4535" w:type="dxa"/>
            <w:vAlign w:val="center"/>
          </w:tcPr>
          <w:p w14:paraId="37591951">
            <w:pPr>
              <w:pStyle w:val="13"/>
            </w:pPr>
            <w:r>
              <w:t>十七、金融支出</w:t>
            </w:r>
          </w:p>
        </w:tc>
        <w:tc>
          <w:tcPr>
            <w:tcW w:w="2126" w:type="dxa"/>
            <w:vAlign w:val="center"/>
          </w:tcPr>
          <w:p w14:paraId="303BECAA">
            <w:pPr>
              <w:pStyle w:val="14"/>
            </w:pPr>
          </w:p>
        </w:tc>
      </w:tr>
      <w:tr w14:paraId="14EF8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19D05">
            <w:pPr>
              <w:pStyle w:val="12"/>
            </w:pPr>
            <w:r>
              <w:t>18</w:t>
            </w:r>
          </w:p>
        </w:tc>
        <w:tc>
          <w:tcPr>
            <w:tcW w:w="4535" w:type="dxa"/>
            <w:vAlign w:val="center"/>
          </w:tcPr>
          <w:p w14:paraId="6173BA1A">
            <w:pPr>
              <w:pStyle w:val="13"/>
            </w:pPr>
          </w:p>
        </w:tc>
        <w:tc>
          <w:tcPr>
            <w:tcW w:w="2126" w:type="dxa"/>
            <w:vAlign w:val="center"/>
          </w:tcPr>
          <w:p w14:paraId="35F8B877">
            <w:pPr>
              <w:pStyle w:val="14"/>
            </w:pPr>
          </w:p>
        </w:tc>
        <w:tc>
          <w:tcPr>
            <w:tcW w:w="4535" w:type="dxa"/>
            <w:vAlign w:val="center"/>
          </w:tcPr>
          <w:p w14:paraId="394A1A94">
            <w:pPr>
              <w:pStyle w:val="13"/>
            </w:pPr>
            <w:r>
              <w:t>十八、援助其他地区支出</w:t>
            </w:r>
          </w:p>
        </w:tc>
        <w:tc>
          <w:tcPr>
            <w:tcW w:w="2126" w:type="dxa"/>
            <w:vAlign w:val="center"/>
          </w:tcPr>
          <w:p w14:paraId="6838E5B5">
            <w:pPr>
              <w:pStyle w:val="14"/>
            </w:pPr>
          </w:p>
        </w:tc>
      </w:tr>
      <w:tr w14:paraId="2C1C7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C32C2">
            <w:pPr>
              <w:pStyle w:val="12"/>
            </w:pPr>
            <w:r>
              <w:t>19</w:t>
            </w:r>
          </w:p>
        </w:tc>
        <w:tc>
          <w:tcPr>
            <w:tcW w:w="4535" w:type="dxa"/>
            <w:vAlign w:val="center"/>
          </w:tcPr>
          <w:p w14:paraId="34251B5F">
            <w:pPr>
              <w:pStyle w:val="13"/>
            </w:pPr>
          </w:p>
        </w:tc>
        <w:tc>
          <w:tcPr>
            <w:tcW w:w="2126" w:type="dxa"/>
            <w:vAlign w:val="center"/>
          </w:tcPr>
          <w:p w14:paraId="23F28D62">
            <w:pPr>
              <w:pStyle w:val="14"/>
            </w:pPr>
          </w:p>
        </w:tc>
        <w:tc>
          <w:tcPr>
            <w:tcW w:w="4535" w:type="dxa"/>
            <w:vAlign w:val="center"/>
          </w:tcPr>
          <w:p w14:paraId="33BFD7B0">
            <w:pPr>
              <w:pStyle w:val="13"/>
            </w:pPr>
            <w:r>
              <w:t>十九、自然资源海洋气象等支出</w:t>
            </w:r>
          </w:p>
        </w:tc>
        <w:tc>
          <w:tcPr>
            <w:tcW w:w="2126" w:type="dxa"/>
            <w:vAlign w:val="center"/>
          </w:tcPr>
          <w:p w14:paraId="73EF7042">
            <w:pPr>
              <w:pStyle w:val="14"/>
            </w:pPr>
          </w:p>
        </w:tc>
      </w:tr>
      <w:tr w14:paraId="4F125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26AC8">
            <w:pPr>
              <w:pStyle w:val="12"/>
            </w:pPr>
            <w:r>
              <w:t>20</w:t>
            </w:r>
          </w:p>
        </w:tc>
        <w:tc>
          <w:tcPr>
            <w:tcW w:w="4535" w:type="dxa"/>
            <w:vAlign w:val="center"/>
          </w:tcPr>
          <w:p w14:paraId="287206ED">
            <w:pPr>
              <w:pStyle w:val="13"/>
            </w:pPr>
          </w:p>
        </w:tc>
        <w:tc>
          <w:tcPr>
            <w:tcW w:w="2126" w:type="dxa"/>
            <w:vAlign w:val="center"/>
          </w:tcPr>
          <w:p w14:paraId="3A7231BD">
            <w:pPr>
              <w:pStyle w:val="14"/>
            </w:pPr>
          </w:p>
        </w:tc>
        <w:tc>
          <w:tcPr>
            <w:tcW w:w="4535" w:type="dxa"/>
            <w:vAlign w:val="center"/>
          </w:tcPr>
          <w:p w14:paraId="239D76B2">
            <w:pPr>
              <w:pStyle w:val="13"/>
            </w:pPr>
            <w:r>
              <w:t>二十、住房保障支出</w:t>
            </w:r>
          </w:p>
        </w:tc>
        <w:tc>
          <w:tcPr>
            <w:tcW w:w="2126" w:type="dxa"/>
            <w:vAlign w:val="center"/>
          </w:tcPr>
          <w:p w14:paraId="7722E9AC">
            <w:pPr>
              <w:pStyle w:val="14"/>
            </w:pPr>
          </w:p>
        </w:tc>
      </w:tr>
      <w:tr w14:paraId="49C60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89432">
            <w:pPr>
              <w:pStyle w:val="12"/>
            </w:pPr>
            <w:r>
              <w:t>21</w:t>
            </w:r>
          </w:p>
        </w:tc>
        <w:tc>
          <w:tcPr>
            <w:tcW w:w="4535" w:type="dxa"/>
            <w:vAlign w:val="center"/>
          </w:tcPr>
          <w:p w14:paraId="32F4CD89">
            <w:pPr>
              <w:pStyle w:val="13"/>
            </w:pPr>
          </w:p>
        </w:tc>
        <w:tc>
          <w:tcPr>
            <w:tcW w:w="2126" w:type="dxa"/>
            <w:vAlign w:val="center"/>
          </w:tcPr>
          <w:p w14:paraId="4C0CD585">
            <w:pPr>
              <w:pStyle w:val="14"/>
            </w:pPr>
          </w:p>
        </w:tc>
        <w:tc>
          <w:tcPr>
            <w:tcW w:w="4535" w:type="dxa"/>
            <w:vAlign w:val="center"/>
          </w:tcPr>
          <w:p w14:paraId="3DAADCD7">
            <w:pPr>
              <w:pStyle w:val="13"/>
            </w:pPr>
            <w:r>
              <w:t>二十一、粮油物资储备支出</w:t>
            </w:r>
          </w:p>
        </w:tc>
        <w:tc>
          <w:tcPr>
            <w:tcW w:w="2126" w:type="dxa"/>
            <w:vAlign w:val="center"/>
          </w:tcPr>
          <w:p w14:paraId="2A429DAB">
            <w:pPr>
              <w:pStyle w:val="14"/>
            </w:pPr>
          </w:p>
        </w:tc>
      </w:tr>
      <w:tr w14:paraId="2080C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F3566">
            <w:pPr>
              <w:pStyle w:val="12"/>
            </w:pPr>
            <w:r>
              <w:t>22</w:t>
            </w:r>
          </w:p>
        </w:tc>
        <w:tc>
          <w:tcPr>
            <w:tcW w:w="4535" w:type="dxa"/>
            <w:vAlign w:val="center"/>
          </w:tcPr>
          <w:p w14:paraId="723A1DFB">
            <w:pPr>
              <w:pStyle w:val="13"/>
            </w:pPr>
          </w:p>
        </w:tc>
        <w:tc>
          <w:tcPr>
            <w:tcW w:w="2126" w:type="dxa"/>
            <w:vAlign w:val="center"/>
          </w:tcPr>
          <w:p w14:paraId="70E677C4">
            <w:pPr>
              <w:pStyle w:val="14"/>
            </w:pPr>
          </w:p>
        </w:tc>
        <w:tc>
          <w:tcPr>
            <w:tcW w:w="4535" w:type="dxa"/>
            <w:vAlign w:val="center"/>
          </w:tcPr>
          <w:p w14:paraId="5076F7B6">
            <w:pPr>
              <w:pStyle w:val="13"/>
            </w:pPr>
            <w:r>
              <w:t>二十二、国有资本经营预算支出</w:t>
            </w:r>
          </w:p>
        </w:tc>
        <w:tc>
          <w:tcPr>
            <w:tcW w:w="2126" w:type="dxa"/>
            <w:vAlign w:val="center"/>
          </w:tcPr>
          <w:p w14:paraId="067A55F2">
            <w:pPr>
              <w:pStyle w:val="14"/>
            </w:pPr>
          </w:p>
        </w:tc>
      </w:tr>
      <w:tr w14:paraId="3D040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69A7B">
            <w:pPr>
              <w:pStyle w:val="12"/>
            </w:pPr>
            <w:r>
              <w:t>23</w:t>
            </w:r>
          </w:p>
        </w:tc>
        <w:tc>
          <w:tcPr>
            <w:tcW w:w="4535" w:type="dxa"/>
            <w:vAlign w:val="center"/>
          </w:tcPr>
          <w:p w14:paraId="2CB3F89C">
            <w:pPr>
              <w:pStyle w:val="13"/>
            </w:pPr>
          </w:p>
        </w:tc>
        <w:tc>
          <w:tcPr>
            <w:tcW w:w="2126" w:type="dxa"/>
            <w:vAlign w:val="center"/>
          </w:tcPr>
          <w:p w14:paraId="1745A55E">
            <w:pPr>
              <w:pStyle w:val="14"/>
            </w:pPr>
          </w:p>
        </w:tc>
        <w:tc>
          <w:tcPr>
            <w:tcW w:w="4535" w:type="dxa"/>
            <w:vAlign w:val="center"/>
          </w:tcPr>
          <w:p w14:paraId="4E607A44">
            <w:pPr>
              <w:pStyle w:val="13"/>
            </w:pPr>
            <w:r>
              <w:t>二十三、灾害防治及应急管理支出</w:t>
            </w:r>
          </w:p>
        </w:tc>
        <w:tc>
          <w:tcPr>
            <w:tcW w:w="2126" w:type="dxa"/>
            <w:vAlign w:val="center"/>
          </w:tcPr>
          <w:p w14:paraId="66F52DB3">
            <w:pPr>
              <w:pStyle w:val="14"/>
            </w:pPr>
          </w:p>
        </w:tc>
      </w:tr>
      <w:tr w14:paraId="18D10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A8DFF">
            <w:pPr>
              <w:pStyle w:val="12"/>
            </w:pPr>
            <w:r>
              <w:t>24</w:t>
            </w:r>
          </w:p>
        </w:tc>
        <w:tc>
          <w:tcPr>
            <w:tcW w:w="4535" w:type="dxa"/>
            <w:vAlign w:val="center"/>
          </w:tcPr>
          <w:p w14:paraId="25147F2B">
            <w:pPr>
              <w:pStyle w:val="13"/>
            </w:pPr>
          </w:p>
        </w:tc>
        <w:tc>
          <w:tcPr>
            <w:tcW w:w="2126" w:type="dxa"/>
            <w:vAlign w:val="center"/>
          </w:tcPr>
          <w:p w14:paraId="43B26C8A">
            <w:pPr>
              <w:pStyle w:val="14"/>
            </w:pPr>
          </w:p>
        </w:tc>
        <w:tc>
          <w:tcPr>
            <w:tcW w:w="4535" w:type="dxa"/>
            <w:vAlign w:val="center"/>
          </w:tcPr>
          <w:p w14:paraId="5684CBC6">
            <w:pPr>
              <w:pStyle w:val="13"/>
            </w:pPr>
            <w:r>
              <w:t>二十四、预备费</w:t>
            </w:r>
          </w:p>
        </w:tc>
        <w:tc>
          <w:tcPr>
            <w:tcW w:w="2126" w:type="dxa"/>
            <w:vAlign w:val="center"/>
          </w:tcPr>
          <w:p w14:paraId="2A9EF767">
            <w:pPr>
              <w:pStyle w:val="14"/>
            </w:pPr>
          </w:p>
        </w:tc>
      </w:tr>
      <w:tr w14:paraId="5A583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A8E71">
            <w:pPr>
              <w:pStyle w:val="12"/>
            </w:pPr>
            <w:r>
              <w:t>25</w:t>
            </w:r>
          </w:p>
        </w:tc>
        <w:tc>
          <w:tcPr>
            <w:tcW w:w="4535" w:type="dxa"/>
            <w:vAlign w:val="center"/>
          </w:tcPr>
          <w:p w14:paraId="38EA7B72">
            <w:pPr>
              <w:pStyle w:val="13"/>
            </w:pPr>
          </w:p>
        </w:tc>
        <w:tc>
          <w:tcPr>
            <w:tcW w:w="2126" w:type="dxa"/>
            <w:vAlign w:val="center"/>
          </w:tcPr>
          <w:p w14:paraId="05B71A7F">
            <w:pPr>
              <w:pStyle w:val="14"/>
            </w:pPr>
          </w:p>
        </w:tc>
        <w:tc>
          <w:tcPr>
            <w:tcW w:w="4535" w:type="dxa"/>
            <w:vAlign w:val="center"/>
          </w:tcPr>
          <w:p w14:paraId="454838C7">
            <w:pPr>
              <w:pStyle w:val="13"/>
            </w:pPr>
            <w:r>
              <w:t>二十五、其他支出</w:t>
            </w:r>
          </w:p>
        </w:tc>
        <w:tc>
          <w:tcPr>
            <w:tcW w:w="2126" w:type="dxa"/>
            <w:vAlign w:val="center"/>
          </w:tcPr>
          <w:p w14:paraId="2BD58EE9">
            <w:pPr>
              <w:pStyle w:val="14"/>
            </w:pPr>
          </w:p>
        </w:tc>
      </w:tr>
      <w:tr w14:paraId="0EDE3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17C6D">
            <w:pPr>
              <w:pStyle w:val="12"/>
            </w:pPr>
            <w:r>
              <w:t>26</w:t>
            </w:r>
          </w:p>
        </w:tc>
        <w:tc>
          <w:tcPr>
            <w:tcW w:w="4535" w:type="dxa"/>
            <w:vAlign w:val="center"/>
          </w:tcPr>
          <w:p w14:paraId="2B377756">
            <w:pPr>
              <w:pStyle w:val="13"/>
            </w:pPr>
          </w:p>
        </w:tc>
        <w:tc>
          <w:tcPr>
            <w:tcW w:w="2126" w:type="dxa"/>
            <w:vAlign w:val="center"/>
          </w:tcPr>
          <w:p w14:paraId="3833EECC">
            <w:pPr>
              <w:pStyle w:val="14"/>
            </w:pPr>
          </w:p>
        </w:tc>
        <w:tc>
          <w:tcPr>
            <w:tcW w:w="4535" w:type="dxa"/>
            <w:vAlign w:val="center"/>
          </w:tcPr>
          <w:p w14:paraId="0F1C4FBD">
            <w:pPr>
              <w:pStyle w:val="13"/>
            </w:pPr>
            <w:r>
              <w:t>二十六、转移性支出</w:t>
            </w:r>
          </w:p>
        </w:tc>
        <w:tc>
          <w:tcPr>
            <w:tcW w:w="2126" w:type="dxa"/>
            <w:vAlign w:val="center"/>
          </w:tcPr>
          <w:p w14:paraId="68FD6A28">
            <w:pPr>
              <w:pStyle w:val="14"/>
            </w:pPr>
          </w:p>
        </w:tc>
      </w:tr>
      <w:tr w14:paraId="35133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DF9CA">
            <w:pPr>
              <w:pStyle w:val="12"/>
            </w:pPr>
            <w:r>
              <w:t>27</w:t>
            </w:r>
          </w:p>
        </w:tc>
        <w:tc>
          <w:tcPr>
            <w:tcW w:w="4535" w:type="dxa"/>
            <w:vAlign w:val="center"/>
          </w:tcPr>
          <w:p w14:paraId="273459E7">
            <w:pPr>
              <w:pStyle w:val="13"/>
            </w:pPr>
          </w:p>
        </w:tc>
        <w:tc>
          <w:tcPr>
            <w:tcW w:w="2126" w:type="dxa"/>
            <w:vAlign w:val="center"/>
          </w:tcPr>
          <w:p w14:paraId="50256688">
            <w:pPr>
              <w:pStyle w:val="14"/>
            </w:pPr>
          </w:p>
        </w:tc>
        <w:tc>
          <w:tcPr>
            <w:tcW w:w="4535" w:type="dxa"/>
            <w:vAlign w:val="center"/>
          </w:tcPr>
          <w:p w14:paraId="56A355B8">
            <w:pPr>
              <w:pStyle w:val="13"/>
            </w:pPr>
            <w:r>
              <w:t>二十七、债务还本支出</w:t>
            </w:r>
          </w:p>
        </w:tc>
        <w:tc>
          <w:tcPr>
            <w:tcW w:w="2126" w:type="dxa"/>
            <w:vAlign w:val="center"/>
          </w:tcPr>
          <w:p w14:paraId="2A5FE47D">
            <w:pPr>
              <w:pStyle w:val="14"/>
            </w:pPr>
          </w:p>
        </w:tc>
      </w:tr>
      <w:tr w14:paraId="5C83C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61693">
            <w:pPr>
              <w:pStyle w:val="12"/>
            </w:pPr>
            <w:r>
              <w:t>28</w:t>
            </w:r>
          </w:p>
        </w:tc>
        <w:tc>
          <w:tcPr>
            <w:tcW w:w="4535" w:type="dxa"/>
            <w:vAlign w:val="center"/>
          </w:tcPr>
          <w:p w14:paraId="2093324C">
            <w:pPr>
              <w:pStyle w:val="13"/>
            </w:pPr>
          </w:p>
        </w:tc>
        <w:tc>
          <w:tcPr>
            <w:tcW w:w="2126" w:type="dxa"/>
            <w:vAlign w:val="center"/>
          </w:tcPr>
          <w:p w14:paraId="175C9E1A">
            <w:pPr>
              <w:pStyle w:val="14"/>
            </w:pPr>
          </w:p>
        </w:tc>
        <w:tc>
          <w:tcPr>
            <w:tcW w:w="4535" w:type="dxa"/>
            <w:vAlign w:val="center"/>
          </w:tcPr>
          <w:p w14:paraId="7D530697">
            <w:pPr>
              <w:pStyle w:val="13"/>
            </w:pPr>
            <w:r>
              <w:t>二十八、债务付息支出</w:t>
            </w:r>
          </w:p>
        </w:tc>
        <w:tc>
          <w:tcPr>
            <w:tcW w:w="2126" w:type="dxa"/>
            <w:vAlign w:val="center"/>
          </w:tcPr>
          <w:p w14:paraId="41D4AF77">
            <w:pPr>
              <w:pStyle w:val="14"/>
            </w:pPr>
          </w:p>
        </w:tc>
      </w:tr>
      <w:tr w14:paraId="17902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957E0">
            <w:pPr>
              <w:pStyle w:val="12"/>
            </w:pPr>
            <w:r>
              <w:t>29</w:t>
            </w:r>
          </w:p>
        </w:tc>
        <w:tc>
          <w:tcPr>
            <w:tcW w:w="4535" w:type="dxa"/>
            <w:vAlign w:val="center"/>
          </w:tcPr>
          <w:p w14:paraId="491523CB">
            <w:pPr>
              <w:pStyle w:val="13"/>
            </w:pPr>
          </w:p>
        </w:tc>
        <w:tc>
          <w:tcPr>
            <w:tcW w:w="2126" w:type="dxa"/>
            <w:vAlign w:val="center"/>
          </w:tcPr>
          <w:p w14:paraId="220F030B">
            <w:pPr>
              <w:pStyle w:val="14"/>
            </w:pPr>
          </w:p>
        </w:tc>
        <w:tc>
          <w:tcPr>
            <w:tcW w:w="4535" w:type="dxa"/>
            <w:vAlign w:val="center"/>
          </w:tcPr>
          <w:p w14:paraId="43A030FE">
            <w:pPr>
              <w:pStyle w:val="13"/>
            </w:pPr>
            <w:r>
              <w:t>二十九、债务发行费用支出</w:t>
            </w:r>
          </w:p>
        </w:tc>
        <w:tc>
          <w:tcPr>
            <w:tcW w:w="2126" w:type="dxa"/>
            <w:vAlign w:val="center"/>
          </w:tcPr>
          <w:p w14:paraId="2D2E95DC">
            <w:pPr>
              <w:pStyle w:val="14"/>
            </w:pPr>
          </w:p>
        </w:tc>
      </w:tr>
      <w:tr w14:paraId="6503C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5569B">
            <w:pPr>
              <w:pStyle w:val="12"/>
            </w:pPr>
            <w:r>
              <w:t>30</w:t>
            </w:r>
          </w:p>
        </w:tc>
        <w:tc>
          <w:tcPr>
            <w:tcW w:w="4535" w:type="dxa"/>
            <w:vAlign w:val="center"/>
          </w:tcPr>
          <w:p w14:paraId="1484CF5A">
            <w:pPr>
              <w:pStyle w:val="13"/>
            </w:pPr>
          </w:p>
        </w:tc>
        <w:tc>
          <w:tcPr>
            <w:tcW w:w="2126" w:type="dxa"/>
            <w:vAlign w:val="center"/>
          </w:tcPr>
          <w:p w14:paraId="28627ECA">
            <w:pPr>
              <w:pStyle w:val="14"/>
            </w:pPr>
          </w:p>
        </w:tc>
        <w:tc>
          <w:tcPr>
            <w:tcW w:w="4535" w:type="dxa"/>
            <w:vAlign w:val="center"/>
          </w:tcPr>
          <w:p w14:paraId="2FE0C8F8">
            <w:pPr>
              <w:pStyle w:val="13"/>
            </w:pPr>
            <w:r>
              <w:t>三十、抗疫特别国债安排的支出</w:t>
            </w:r>
          </w:p>
        </w:tc>
        <w:tc>
          <w:tcPr>
            <w:tcW w:w="2126" w:type="dxa"/>
            <w:vAlign w:val="center"/>
          </w:tcPr>
          <w:p w14:paraId="52CC009F">
            <w:pPr>
              <w:pStyle w:val="14"/>
            </w:pPr>
          </w:p>
        </w:tc>
      </w:tr>
      <w:tr w14:paraId="556AE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72CC5">
            <w:pPr>
              <w:pStyle w:val="12"/>
            </w:pPr>
            <w:r>
              <w:t>31</w:t>
            </w:r>
          </w:p>
        </w:tc>
        <w:tc>
          <w:tcPr>
            <w:tcW w:w="4535" w:type="dxa"/>
            <w:vAlign w:val="center"/>
          </w:tcPr>
          <w:p w14:paraId="7E64C94E">
            <w:pPr>
              <w:pStyle w:val="13"/>
            </w:pPr>
          </w:p>
        </w:tc>
        <w:tc>
          <w:tcPr>
            <w:tcW w:w="2126" w:type="dxa"/>
            <w:vAlign w:val="center"/>
          </w:tcPr>
          <w:p w14:paraId="050669AC">
            <w:pPr>
              <w:pStyle w:val="14"/>
            </w:pPr>
          </w:p>
        </w:tc>
        <w:tc>
          <w:tcPr>
            <w:tcW w:w="4535" w:type="dxa"/>
            <w:vAlign w:val="center"/>
          </w:tcPr>
          <w:p w14:paraId="61214BB6">
            <w:pPr>
              <w:pStyle w:val="13"/>
            </w:pPr>
            <w:r>
              <w:t>三十一、人行科目</w:t>
            </w:r>
          </w:p>
        </w:tc>
        <w:tc>
          <w:tcPr>
            <w:tcW w:w="2126" w:type="dxa"/>
            <w:vAlign w:val="center"/>
          </w:tcPr>
          <w:p w14:paraId="27F6DA20">
            <w:pPr>
              <w:pStyle w:val="14"/>
            </w:pPr>
          </w:p>
        </w:tc>
      </w:tr>
      <w:tr w14:paraId="0B1F3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94FC4">
            <w:pPr>
              <w:pStyle w:val="12"/>
            </w:pPr>
            <w:r>
              <w:t>32</w:t>
            </w:r>
          </w:p>
        </w:tc>
        <w:tc>
          <w:tcPr>
            <w:tcW w:w="4535" w:type="dxa"/>
            <w:vAlign w:val="center"/>
          </w:tcPr>
          <w:p w14:paraId="612437E3">
            <w:pPr>
              <w:pStyle w:val="15"/>
            </w:pPr>
            <w:r>
              <w:t>本年收入合计</w:t>
            </w:r>
          </w:p>
        </w:tc>
        <w:tc>
          <w:tcPr>
            <w:tcW w:w="2126" w:type="dxa"/>
            <w:vAlign w:val="center"/>
          </w:tcPr>
          <w:p w14:paraId="3549096F">
            <w:pPr>
              <w:pStyle w:val="16"/>
            </w:pPr>
            <w:r>
              <w:t>775.20</w:t>
            </w:r>
          </w:p>
        </w:tc>
        <w:tc>
          <w:tcPr>
            <w:tcW w:w="4535" w:type="dxa"/>
            <w:vAlign w:val="center"/>
          </w:tcPr>
          <w:p w14:paraId="5B66EBF1">
            <w:pPr>
              <w:pStyle w:val="15"/>
            </w:pPr>
            <w:r>
              <w:t>本年支出合计</w:t>
            </w:r>
          </w:p>
        </w:tc>
        <w:tc>
          <w:tcPr>
            <w:tcW w:w="2126" w:type="dxa"/>
            <w:vAlign w:val="center"/>
          </w:tcPr>
          <w:p w14:paraId="734BE501">
            <w:pPr>
              <w:pStyle w:val="16"/>
            </w:pPr>
            <w:r>
              <w:t>790.08</w:t>
            </w:r>
          </w:p>
        </w:tc>
      </w:tr>
      <w:tr w14:paraId="3A7CC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9ED60">
            <w:pPr>
              <w:pStyle w:val="12"/>
            </w:pPr>
            <w:r>
              <w:t>33</w:t>
            </w:r>
          </w:p>
        </w:tc>
        <w:tc>
          <w:tcPr>
            <w:tcW w:w="4535" w:type="dxa"/>
            <w:vAlign w:val="center"/>
          </w:tcPr>
          <w:p w14:paraId="77FC4B43">
            <w:pPr>
              <w:pStyle w:val="13"/>
            </w:pPr>
            <w:r>
              <w:t>上年结转结余</w:t>
            </w:r>
          </w:p>
        </w:tc>
        <w:tc>
          <w:tcPr>
            <w:tcW w:w="2126" w:type="dxa"/>
            <w:vAlign w:val="center"/>
          </w:tcPr>
          <w:p w14:paraId="5A4BC876">
            <w:pPr>
              <w:pStyle w:val="14"/>
            </w:pPr>
            <w:r>
              <w:t>14.87</w:t>
            </w:r>
          </w:p>
        </w:tc>
        <w:tc>
          <w:tcPr>
            <w:tcW w:w="4535" w:type="dxa"/>
            <w:vAlign w:val="center"/>
          </w:tcPr>
          <w:p w14:paraId="29D14990">
            <w:pPr>
              <w:pStyle w:val="13"/>
            </w:pPr>
            <w:r>
              <w:t>年终结转结余</w:t>
            </w:r>
          </w:p>
        </w:tc>
        <w:tc>
          <w:tcPr>
            <w:tcW w:w="2126" w:type="dxa"/>
            <w:vAlign w:val="center"/>
          </w:tcPr>
          <w:p w14:paraId="71CD1C5B">
            <w:pPr>
              <w:pStyle w:val="14"/>
            </w:pPr>
          </w:p>
        </w:tc>
      </w:tr>
      <w:tr w14:paraId="2BEB5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EBE0E">
            <w:pPr>
              <w:pStyle w:val="12"/>
            </w:pPr>
            <w:r>
              <w:t>34</w:t>
            </w:r>
          </w:p>
        </w:tc>
        <w:tc>
          <w:tcPr>
            <w:tcW w:w="4535" w:type="dxa"/>
            <w:vAlign w:val="center"/>
          </w:tcPr>
          <w:p w14:paraId="1EEA7DE8">
            <w:pPr>
              <w:pStyle w:val="15"/>
            </w:pPr>
            <w:r>
              <w:t>收入总计</w:t>
            </w:r>
          </w:p>
        </w:tc>
        <w:tc>
          <w:tcPr>
            <w:tcW w:w="2126" w:type="dxa"/>
            <w:vAlign w:val="center"/>
          </w:tcPr>
          <w:p w14:paraId="6348EC81">
            <w:pPr>
              <w:pStyle w:val="16"/>
            </w:pPr>
            <w:r>
              <w:t>790.08</w:t>
            </w:r>
          </w:p>
        </w:tc>
        <w:tc>
          <w:tcPr>
            <w:tcW w:w="4535" w:type="dxa"/>
            <w:vAlign w:val="center"/>
          </w:tcPr>
          <w:p w14:paraId="078F56CB">
            <w:pPr>
              <w:pStyle w:val="15"/>
            </w:pPr>
            <w:r>
              <w:t>支出总计</w:t>
            </w:r>
          </w:p>
        </w:tc>
        <w:tc>
          <w:tcPr>
            <w:tcW w:w="2126" w:type="dxa"/>
            <w:vAlign w:val="center"/>
          </w:tcPr>
          <w:p w14:paraId="6D5ED435">
            <w:pPr>
              <w:pStyle w:val="16"/>
            </w:pPr>
            <w:r>
              <w:t>790.08</w:t>
            </w:r>
          </w:p>
        </w:tc>
      </w:tr>
    </w:tbl>
    <w:p w14:paraId="14F4946F">
      <w:pPr>
        <w:sectPr>
          <w:pgSz w:w="16840" w:h="11900" w:orient="landscape"/>
          <w:pgMar w:top="1361" w:right="1020" w:bottom="1134" w:left="1020" w:header="720" w:footer="720" w:gutter="0"/>
          <w:cols w:space="720" w:num="1"/>
        </w:sectPr>
      </w:pPr>
    </w:p>
    <w:p w14:paraId="5CEE8D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BDA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D929B9">
            <w:pPr>
              <w:pStyle w:val="8"/>
            </w:pPr>
            <w:r>
              <w:t>360034隆尧县莲子中学</w:t>
            </w:r>
          </w:p>
        </w:tc>
        <w:tc>
          <w:tcPr>
            <w:tcW w:w="3402" w:type="dxa"/>
            <w:gridSpan w:val="3"/>
            <w:tcBorders>
              <w:top w:val="single" w:color="FFFFFF" w:sz="6" w:space="0"/>
              <w:left w:val="single" w:color="FFFFFF" w:sz="6" w:space="0"/>
              <w:right w:val="single" w:color="FFFFFF" w:sz="6" w:space="0"/>
            </w:tcBorders>
            <w:vAlign w:val="center"/>
          </w:tcPr>
          <w:p w14:paraId="4E678E0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F5AEE64">
            <w:pPr>
              <w:pStyle w:val="10"/>
            </w:pPr>
            <w:r>
              <w:t>单位：万元</w:t>
            </w:r>
          </w:p>
        </w:tc>
      </w:tr>
      <w:tr w14:paraId="3386D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0C4CB7">
            <w:pPr>
              <w:pStyle w:val="11"/>
            </w:pPr>
            <w:r>
              <w:t>序号</w:t>
            </w:r>
          </w:p>
        </w:tc>
        <w:tc>
          <w:tcPr>
            <w:tcW w:w="2551" w:type="dxa"/>
            <w:gridSpan w:val="2"/>
            <w:vAlign w:val="center"/>
          </w:tcPr>
          <w:p w14:paraId="0D406D79">
            <w:pPr>
              <w:pStyle w:val="11"/>
            </w:pPr>
            <w:r>
              <w:t>功能分类科目</w:t>
            </w:r>
          </w:p>
        </w:tc>
        <w:tc>
          <w:tcPr>
            <w:tcW w:w="1134" w:type="dxa"/>
            <w:vMerge w:val="restart"/>
            <w:vAlign w:val="center"/>
          </w:tcPr>
          <w:p w14:paraId="3836B604">
            <w:pPr>
              <w:pStyle w:val="11"/>
            </w:pPr>
            <w:r>
              <w:t>合计</w:t>
            </w:r>
          </w:p>
        </w:tc>
        <w:tc>
          <w:tcPr>
            <w:tcW w:w="9072" w:type="dxa"/>
            <w:gridSpan w:val="8"/>
            <w:vAlign w:val="center"/>
          </w:tcPr>
          <w:p w14:paraId="4DCCA70E">
            <w:pPr>
              <w:pStyle w:val="11"/>
            </w:pPr>
            <w:r>
              <w:t>本年收入</w:t>
            </w:r>
          </w:p>
        </w:tc>
        <w:tc>
          <w:tcPr>
            <w:tcW w:w="1134" w:type="dxa"/>
            <w:vMerge w:val="restart"/>
            <w:vAlign w:val="center"/>
          </w:tcPr>
          <w:p w14:paraId="1EFCB13D">
            <w:pPr>
              <w:pStyle w:val="11"/>
            </w:pPr>
            <w:r>
              <w:t>上年结转</w:t>
            </w:r>
          </w:p>
        </w:tc>
      </w:tr>
      <w:tr w14:paraId="4A978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DB093B"/>
        </w:tc>
        <w:tc>
          <w:tcPr>
            <w:tcW w:w="992" w:type="dxa"/>
            <w:vAlign w:val="center"/>
          </w:tcPr>
          <w:p w14:paraId="4B553822">
            <w:pPr>
              <w:pStyle w:val="11"/>
            </w:pPr>
            <w:r>
              <w:t>科目    编码</w:t>
            </w:r>
          </w:p>
        </w:tc>
        <w:tc>
          <w:tcPr>
            <w:tcW w:w="1559" w:type="dxa"/>
            <w:vAlign w:val="center"/>
          </w:tcPr>
          <w:p w14:paraId="27CF5180">
            <w:pPr>
              <w:pStyle w:val="11"/>
            </w:pPr>
            <w:r>
              <w:t>科目名称</w:t>
            </w:r>
          </w:p>
        </w:tc>
        <w:tc>
          <w:tcPr>
            <w:tcW w:w="1134" w:type="dxa"/>
            <w:vMerge w:val="continue"/>
          </w:tcPr>
          <w:p w14:paraId="06866342"/>
        </w:tc>
        <w:tc>
          <w:tcPr>
            <w:tcW w:w="1134" w:type="dxa"/>
            <w:vAlign w:val="center"/>
          </w:tcPr>
          <w:p w14:paraId="34539176">
            <w:pPr>
              <w:pStyle w:val="11"/>
            </w:pPr>
            <w:r>
              <w:t>小计</w:t>
            </w:r>
          </w:p>
        </w:tc>
        <w:tc>
          <w:tcPr>
            <w:tcW w:w="1134" w:type="dxa"/>
            <w:vAlign w:val="center"/>
          </w:tcPr>
          <w:p w14:paraId="7ACA9125">
            <w:pPr>
              <w:pStyle w:val="11"/>
            </w:pPr>
            <w:r>
              <w:t>财政拨款 收入</w:t>
            </w:r>
          </w:p>
        </w:tc>
        <w:tc>
          <w:tcPr>
            <w:tcW w:w="1134" w:type="dxa"/>
            <w:vAlign w:val="center"/>
          </w:tcPr>
          <w:p w14:paraId="74BAC1FD">
            <w:pPr>
              <w:pStyle w:val="11"/>
            </w:pPr>
            <w:r>
              <w:t>财政专户 收入</w:t>
            </w:r>
          </w:p>
        </w:tc>
        <w:tc>
          <w:tcPr>
            <w:tcW w:w="1134" w:type="dxa"/>
            <w:vAlign w:val="center"/>
          </w:tcPr>
          <w:p w14:paraId="4972BBBB">
            <w:pPr>
              <w:pStyle w:val="11"/>
            </w:pPr>
            <w:r>
              <w:t>事业收入</w:t>
            </w:r>
          </w:p>
        </w:tc>
        <w:tc>
          <w:tcPr>
            <w:tcW w:w="1134" w:type="dxa"/>
            <w:vAlign w:val="center"/>
          </w:tcPr>
          <w:p w14:paraId="5DB0411C">
            <w:pPr>
              <w:pStyle w:val="11"/>
            </w:pPr>
            <w:r>
              <w:t>经营收入</w:t>
            </w:r>
          </w:p>
        </w:tc>
        <w:tc>
          <w:tcPr>
            <w:tcW w:w="1134" w:type="dxa"/>
            <w:vAlign w:val="center"/>
          </w:tcPr>
          <w:p w14:paraId="44E3280D">
            <w:pPr>
              <w:pStyle w:val="11"/>
            </w:pPr>
            <w:r>
              <w:t>上级补助收入</w:t>
            </w:r>
          </w:p>
        </w:tc>
        <w:tc>
          <w:tcPr>
            <w:tcW w:w="1134" w:type="dxa"/>
            <w:vAlign w:val="center"/>
          </w:tcPr>
          <w:p w14:paraId="025F6ED7">
            <w:pPr>
              <w:pStyle w:val="11"/>
            </w:pPr>
            <w:r>
              <w:t>附属单位上缴收入</w:t>
            </w:r>
          </w:p>
        </w:tc>
        <w:tc>
          <w:tcPr>
            <w:tcW w:w="1134" w:type="dxa"/>
            <w:vAlign w:val="center"/>
          </w:tcPr>
          <w:p w14:paraId="28F09F52">
            <w:pPr>
              <w:pStyle w:val="11"/>
            </w:pPr>
            <w:r>
              <w:t>其他收入</w:t>
            </w:r>
          </w:p>
        </w:tc>
        <w:tc>
          <w:tcPr>
            <w:tcW w:w="1134" w:type="dxa"/>
            <w:vMerge w:val="continue"/>
          </w:tcPr>
          <w:p w14:paraId="0E028703"/>
        </w:tc>
      </w:tr>
      <w:tr w14:paraId="42DFF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3409D1">
            <w:pPr>
              <w:pStyle w:val="11"/>
            </w:pPr>
            <w:r>
              <w:t>栏次</w:t>
            </w:r>
          </w:p>
        </w:tc>
        <w:tc>
          <w:tcPr>
            <w:tcW w:w="992" w:type="dxa"/>
            <w:vAlign w:val="center"/>
          </w:tcPr>
          <w:p w14:paraId="703F63FA">
            <w:pPr>
              <w:pStyle w:val="11"/>
            </w:pPr>
            <w:r>
              <w:t>1</w:t>
            </w:r>
          </w:p>
        </w:tc>
        <w:tc>
          <w:tcPr>
            <w:tcW w:w="1559" w:type="dxa"/>
            <w:vAlign w:val="center"/>
          </w:tcPr>
          <w:p w14:paraId="0FDCE7AB">
            <w:pPr>
              <w:pStyle w:val="11"/>
            </w:pPr>
            <w:r>
              <w:t>2</w:t>
            </w:r>
          </w:p>
        </w:tc>
        <w:tc>
          <w:tcPr>
            <w:tcW w:w="1134" w:type="dxa"/>
            <w:vAlign w:val="center"/>
          </w:tcPr>
          <w:p w14:paraId="3AB0CFAE">
            <w:pPr>
              <w:pStyle w:val="11"/>
            </w:pPr>
            <w:r>
              <w:t>3</w:t>
            </w:r>
          </w:p>
        </w:tc>
        <w:tc>
          <w:tcPr>
            <w:tcW w:w="1134" w:type="dxa"/>
            <w:vAlign w:val="center"/>
          </w:tcPr>
          <w:p w14:paraId="6A1B8C2F">
            <w:pPr>
              <w:pStyle w:val="11"/>
            </w:pPr>
            <w:r>
              <w:t>4</w:t>
            </w:r>
          </w:p>
        </w:tc>
        <w:tc>
          <w:tcPr>
            <w:tcW w:w="1134" w:type="dxa"/>
            <w:vAlign w:val="center"/>
          </w:tcPr>
          <w:p w14:paraId="48BE5127">
            <w:pPr>
              <w:pStyle w:val="11"/>
            </w:pPr>
            <w:r>
              <w:t>5</w:t>
            </w:r>
          </w:p>
        </w:tc>
        <w:tc>
          <w:tcPr>
            <w:tcW w:w="1134" w:type="dxa"/>
            <w:vAlign w:val="center"/>
          </w:tcPr>
          <w:p w14:paraId="15265AFA">
            <w:pPr>
              <w:pStyle w:val="11"/>
            </w:pPr>
            <w:r>
              <w:t>6</w:t>
            </w:r>
          </w:p>
        </w:tc>
        <w:tc>
          <w:tcPr>
            <w:tcW w:w="1134" w:type="dxa"/>
            <w:vAlign w:val="center"/>
          </w:tcPr>
          <w:p w14:paraId="11462CF8">
            <w:pPr>
              <w:pStyle w:val="11"/>
            </w:pPr>
            <w:r>
              <w:t>7</w:t>
            </w:r>
          </w:p>
        </w:tc>
        <w:tc>
          <w:tcPr>
            <w:tcW w:w="1134" w:type="dxa"/>
            <w:vAlign w:val="center"/>
          </w:tcPr>
          <w:p w14:paraId="59B441D1">
            <w:pPr>
              <w:pStyle w:val="11"/>
            </w:pPr>
            <w:r>
              <w:t>8</w:t>
            </w:r>
          </w:p>
        </w:tc>
        <w:tc>
          <w:tcPr>
            <w:tcW w:w="1134" w:type="dxa"/>
            <w:vAlign w:val="center"/>
          </w:tcPr>
          <w:p w14:paraId="06C1FA9C">
            <w:pPr>
              <w:pStyle w:val="11"/>
            </w:pPr>
            <w:r>
              <w:t>9</w:t>
            </w:r>
          </w:p>
        </w:tc>
        <w:tc>
          <w:tcPr>
            <w:tcW w:w="1134" w:type="dxa"/>
            <w:vAlign w:val="center"/>
          </w:tcPr>
          <w:p w14:paraId="4C68E0AD">
            <w:pPr>
              <w:pStyle w:val="11"/>
            </w:pPr>
            <w:r>
              <w:t>10</w:t>
            </w:r>
          </w:p>
        </w:tc>
        <w:tc>
          <w:tcPr>
            <w:tcW w:w="1134" w:type="dxa"/>
            <w:vAlign w:val="center"/>
          </w:tcPr>
          <w:p w14:paraId="7DC53C1F">
            <w:pPr>
              <w:pStyle w:val="11"/>
            </w:pPr>
            <w:r>
              <w:t>11</w:t>
            </w:r>
          </w:p>
        </w:tc>
        <w:tc>
          <w:tcPr>
            <w:tcW w:w="1134" w:type="dxa"/>
            <w:vAlign w:val="center"/>
          </w:tcPr>
          <w:p w14:paraId="21B3C39B">
            <w:pPr>
              <w:pStyle w:val="11"/>
            </w:pPr>
            <w:r>
              <w:t>12</w:t>
            </w:r>
          </w:p>
        </w:tc>
      </w:tr>
      <w:tr w14:paraId="0C81D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C3DAD9">
            <w:pPr>
              <w:pStyle w:val="12"/>
            </w:pPr>
            <w:r>
              <w:t>1</w:t>
            </w:r>
          </w:p>
        </w:tc>
        <w:tc>
          <w:tcPr>
            <w:tcW w:w="992" w:type="dxa"/>
            <w:vAlign w:val="center"/>
          </w:tcPr>
          <w:p w14:paraId="2530F3F6">
            <w:pPr>
              <w:pStyle w:val="17"/>
            </w:pPr>
          </w:p>
        </w:tc>
        <w:tc>
          <w:tcPr>
            <w:tcW w:w="1559" w:type="dxa"/>
            <w:vAlign w:val="center"/>
          </w:tcPr>
          <w:p w14:paraId="7DE5D7A5">
            <w:pPr>
              <w:pStyle w:val="15"/>
            </w:pPr>
            <w:r>
              <w:t>合计</w:t>
            </w:r>
          </w:p>
        </w:tc>
        <w:tc>
          <w:tcPr>
            <w:tcW w:w="1134" w:type="dxa"/>
            <w:vAlign w:val="center"/>
          </w:tcPr>
          <w:p w14:paraId="5080ABE1">
            <w:pPr>
              <w:pStyle w:val="16"/>
            </w:pPr>
            <w:r>
              <w:t>790.08</w:t>
            </w:r>
          </w:p>
        </w:tc>
        <w:tc>
          <w:tcPr>
            <w:tcW w:w="1134" w:type="dxa"/>
            <w:vAlign w:val="center"/>
          </w:tcPr>
          <w:p w14:paraId="5AE21247">
            <w:pPr>
              <w:pStyle w:val="16"/>
            </w:pPr>
            <w:r>
              <w:t>775.20</w:t>
            </w:r>
          </w:p>
        </w:tc>
        <w:tc>
          <w:tcPr>
            <w:tcW w:w="1134" w:type="dxa"/>
            <w:vAlign w:val="center"/>
          </w:tcPr>
          <w:p w14:paraId="4C8D782B">
            <w:pPr>
              <w:pStyle w:val="16"/>
            </w:pPr>
            <w:r>
              <w:t>775.20</w:t>
            </w:r>
          </w:p>
        </w:tc>
        <w:tc>
          <w:tcPr>
            <w:tcW w:w="1134" w:type="dxa"/>
            <w:vAlign w:val="center"/>
          </w:tcPr>
          <w:p w14:paraId="1D316F45">
            <w:pPr>
              <w:pStyle w:val="16"/>
            </w:pPr>
          </w:p>
        </w:tc>
        <w:tc>
          <w:tcPr>
            <w:tcW w:w="1134" w:type="dxa"/>
            <w:vAlign w:val="center"/>
          </w:tcPr>
          <w:p w14:paraId="040A1CA2">
            <w:pPr>
              <w:pStyle w:val="16"/>
            </w:pPr>
          </w:p>
        </w:tc>
        <w:tc>
          <w:tcPr>
            <w:tcW w:w="1134" w:type="dxa"/>
            <w:vAlign w:val="center"/>
          </w:tcPr>
          <w:p w14:paraId="76627415">
            <w:pPr>
              <w:pStyle w:val="16"/>
            </w:pPr>
          </w:p>
        </w:tc>
        <w:tc>
          <w:tcPr>
            <w:tcW w:w="1134" w:type="dxa"/>
            <w:vAlign w:val="center"/>
          </w:tcPr>
          <w:p w14:paraId="6C784C22">
            <w:pPr>
              <w:pStyle w:val="16"/>
            </w:pPr>
          </w:p>
        </w:tc>
        <w:tc>
          <w:tcPr>
            <w:tcW w:w="1134" w:type="dxa"/>
            <w:vAlign w:val="center"/>
          </w:tcPr>
          <w:p w14:paraId="02761AE1">
            <w:pPr>
              <w:pStyle w:val="16"/>
            </w:pPr>
          </w:p>
        </w:tc>
        <w:tc>
          <w:tcPr>
            <w:tcW w:w="1134" w:type="dxa"/>
            <w:vAlign w:val="center"/>
          </w:tcPr>
          <w:p w14:paraId="08E9BE05">
            <w:pPr>
              <w:pStyle w:val="16"/>
            </w:pPr>
          </w:p>
        </w:tc>
        <w:tc>
          <w:tcPr>
            <w:tcW w:w="1134" w:type="dxa"/>
            <w:vAlign w:val="center"/>
          </w:tcPr>
          <w:p w14:paraId="21EF6CF4">
            <w:pPr>
              <w:pStyle w:val="16"/>
            </w:pPr>
            <w:r>
              <w:t>14.87</w:t>
            </w:r>
          </w:p>
        </w:tc>
      </w:tr>
      <w:tr w14:paraId="45FCD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2B64E8">
            <w:pPr>
              <w:pStyle w:val="12"/>
            </w:pPr>
            <w:r>
              <w:t>2</w:t>
            </w:r>
          </w:p>
        </w:tc>
        <w:tc>
          <w:tcPr>
            <w:tcW w:w="992" w:type="dxa"/>
            <w:vAlign w:val="center"/>
          </w:tcPr>
          <w:p w14:paraId="6D2DE94F">
            <w:pPr>
              <w:pStyle w:val="13"/>
            </w:pPr>
            <w:r>
              <w:t>205</w:t>
            </w:r>
          </w:p>
        </w:tc>
        <w:tc>
          <w:tcPr>
            <w:tcW w:w="1559" w:type="dxa"/>
            <w:vAlign w:val="center"/>
          </w:tcPr>
          <w:p w14:paraId="09830F07">
            <w:pPr>
              <w:pStyle w:val="13"/>
            </w:pPr>
            <w:r>
              <w:t>教育支出</w:t>
            </w:r>
          </w:p>
        </w:tc>
        <w:tc>
          <w:tcPr>
            <w:tcW w:w="1134" w:type="dxa"/>
            <w:vAlign w:val="center"/>
          </w:tcPr>
          <w:p w14:paraId="01150594">
            <w:pPr>
              <w:pStyle w:val="14"/>
            </w:pPr>
            <w:r>
              <w:t>790.08</w:t>
            </w:r>
          </w:p>
        </w:tc>
        <w:tc>
          <w:tcPr>
            <w:tcW w:w="1134" w:type="dxa"/>
            <w:vAlign w:val="center"/>
          </w:tcPr>
          <w:p w14:paraId="0B5A01E5">
            <w:pPr>
              <w:pStyle w:val="14"/>
            </w:pPr>
            <w:r>
              <w:t>775.20</w:t>
            </w:r>
          </w:p>
        </w:tc>
        <w:tc>
          <w:tcPr>
            <w:tcW w:w="1134" w:type="dxa"/>
            <w:vAlign w:val="center"/>
          </w:tcPr>
          <w:p w14:paraId="3DB8FDD4">
            <w:pPr>
              <w:pStyle w:val="14"/>
            </w:pPr>
            <w:r>
              <w:t>775.20</w:t>
            </w:r>
          </w:p>
        </w:tc>
        <w:tc>
          <w:tcPr>
            <w:tcW w:w="1134" w:type="dxa"/>
            <w:vAlign w:val="center"/>
          </w:tcPr>
          <w:p w14:paraId="7928D153">
            <w:pPr>
              <w:pStyle w:val="14"/>
            </w:pPr>
          </w:p>
        </w:tc>
        <w:tc>
          <w:tcPr>
            <w:tcW w:w="1134" w:type="dxa"/>
            <w:vAlign w:val="center"/>
          </w:tcPr>
          <w:p w14:paraId="42635B11">
            <w:pPr>
              <w:pStyle w:val="14"/>
            </w:pPr>
          </w:p>
        </w:tc>
        <w:tc>
          <w:tcPr>
            <w:tcW w:w="1134" w:type="dxa"/>
            <w:vAlign w:val="center"/>
          </w:tcPr>
          <w:p w14:paraId="3F74456B">
            <w:pPr>
              <w:pStyle w:val="14"/>
            </w:pPr>
          </w:p>
        </w:tc>
        <w:tc>
          <w:tcPr>
            <w:tcW w:w="1134" w:type="dxa"/>
            <w:vAlign w:val="center"/>
          </w:tcPr>
          <w:p w14:paraId="0BCA62B7">
            <w:pPr>
              <w:pStyle w:val="14"/>
            </w:pPr>
          </w:p>
        </w:tc>
        <w:tc>
          <w:tcPr>
            <w:tcW w:w="1134" w:type="dxa"/>
            <w:vAlign w:val="center"/>
          </w:tcPr>
          <w:p w14:paraId="3D2FDCDC">
            <w:pPr>
              <w:pStyle w:val="14"/>
            </w:pPr>
          </w:p>
        </w:tc>
        <w:tc>
          <w:tcPr>
            <w:tcW w:w="1134" w:type="dxa"/>
            <w:vAlign w:val="center"/>
          </w:tcPr>
          <w:p w14:paraId="49DC080F">
            <w:pPr>
              <w:pStyle w:val="14"/>
            </w:pPr>
          </w:p>
        </w:tc>
        <w:tc>
          <w:tcPr>
            <w:tcW w:w="1134" w:type="dxa"/>
            <w:vAlign w:val="center"/>
          </w:tcPr>
          <w:p w14:paraId="0A2682CF">
            <w:pPr>
              <w:pStyle w:val="14"/>
            </w:pPr>
            <w:r>
              <w:t>14.87</w:t>
            </w:r>
          </w:p>
        </w:tc>
      </w:tr>
      <w:tr w14:paraId="5F6D6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DD4DBE">
            <w:pPr>
              <w:pStyle w:val="12"/>
            </w:pPr>
            <w:r>
              <w:t>3</w:t>
            </w:r>
          </w:p>
        </w:tc>
        <w:tc>
          <w:tcPr>
            <w:tcW w:w="992" w:type="dxa"/>
            <w:vAlign w:val="center"/>
          </w:tcPr>
          <w:p w14:paraId="0CDECD30">
            <w:pPr>
              <w:pStyle w:val="13"/>
            </w:pPr>
            <w:r>
              <w:t>20502</w:t>
            </w:r>
          </w:p>
        </w:tc>
        <w:tc>
          <w:tcPr>
            <w:tcW w:w="1559" w:type="dxa"/>
            <w:vAlign w:val="center"/>
          </w:tcPr>
          <w:p w14:paraId="78148A6D">
            <w:pPr>
              <w:pStyle w:val="13"/>
            </w:pPr>
            <w:r>
              <w:t>普通教育</w:t>
            </w:r>
          </w:p>
        </w:tc>
        <w:tc>
          <w:tcPr>
            <w:tcW w:w="1134" w:type="dxa"/>
            <w:vAlign w:val="center"/>
          </w:tcPr>
          <w:p w14:paraId="17A35B9F">
            <w:pPr>
              <w:pStyle w:val="14"/>
            </w:pPr>
            <w:r>
              <w:t>790.08</w:t>
            </w:r>
          </w:p>
        </w:tc>
        <w:tc>
          <w:tcPr>
            <w:tcW w:w="1134" w:type="dxa"/>
            <w:vAlign w:val="center"/>
          </w:tcPr>
          <w:p w14:paraId="13D91691">
            <w:pPr>
              <w:pStyle w:val="14"/>
            </w:pPr>
            <w:r>
              <w:t>775.20</w:t>
            </w:r>
          </w:p>
        </w:tc>
        <w:tc>
          <w:tcPr>
            <w:tcW w:w="1134" w:type="dxa"/>
            <w:vAlign w:val="center"/>
          </w:tcPr>
          <w:p w14:paraId="51668922">
            <w:pPr>
              <w:pStyle w:val="14"/>
            </w:pPr>
            <w:r>
              <w:t>775.20</w:t>
            </w:r>
          </w:p>
        </w:tc>
        <w:tc>
          <w:tcPr>
            <w:tcW w:w="1134" w:type="dxa"/>
            <w:vAlign w:val="center"/>
          </w:tcPr>
          <w:p w14:paraId="051E122D">
            <w:pPr>
              <w:pStyle w:val="14"/>
            </w:pPr>
          </w:p>
        </w:tc>
        <w:tc>
          <w:tcPr>
            <w:tcW w:w="1134" w:type="dxa"/>
            <w:vAlign w:val="center"/>
          </w:tcPr>
          <w:p w14:paraId="1C402482">
            <w:pPr>
              <w:pStyle w:val="14"/>
            </w:pPr>
          </w:p>
        </w:tc>
        <w:tc>
          <w:tcPr>
            <w:tcW w:w="1134" w:type="dxa"/>
            <w:vAlign w:val="center"/>
          </w:tcPr>
          <w:p w14:paraId="4F3514ED">
            <w:pPr>
              <w:pStyle w:val="14"/>
            </w:pPr>
          </w:p>
        </w:tc>
        <w:tc>
          <w:tcPr>
            <w:tcW w:w="1134" w:type="dxa"/>
            <w:vAlign w:val="center"/>
          </w:tcPr>
          <w:p w14:paraId="716C53A8">
            <w:pPr>
              <w:pStyle w:val="14"/>
            </w:pPr>
          </w:p>
        </w:tc>
        <w:tc>
          <w:tcPr>
            <w:tcW w:w="1134" w:type="dxa"/>
            <w:vAlign w:val="center"/>
          </w:tcPr>
          <w:p w14:paraId="6EF8607F">
            <w:pPr>
              <w:pStyle w:val="14"/>
            </w:pPr>
          </w:p>
        </w:tc>
        <w:tc>
          <w:tcPr>
            <w:tcW w:w="1134" w:type="dxa"/>
            <w:vAlign w:val="center"/>
          </w:tcPr>
          <w:p w14:paraId="1E6DBB25">
            <w:pPr>
              <w:pStyle w:val="14"/>
            </w:pPr>
          </w:p>
        </w:tc>
        <w:tc>
          <w:tcPr>
            <w:tcW w:w="1134" w:type="dxa"/>
            <w:vAlign w:val="center"/>
          </w:tcPr>
          <w:p w14:paraId="5D43E451">
            <w:pPr>
              <w:pStyle w:val="14"/>
            </w:pPr>
            <w:r>
              <w:t>14.87</w:t>
            </w:r>
          </w:p>
        </w:tc>
      </w:tr>
      <w:tr w14:paraId="1ABCD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01AB98">
            <w:pPr>
              <w:pStyle w:val="12"/>
            </w:pPr>
            <w:r>
              <w:t>4</w:t>
            </w:r>
          </w:p>
        </w:tc>
        <w:tc>
          <w:tcPr>
            <w:tcW w:w="992" w:type="dxa"/>
            <w:vAlign w:val="center"/>
          </w:tcPr>
          <w:p w14:paraId="0130D4F0">
            <w:pPr>
              <w:pStyle w:val="13"/>
            </w:pPr>
            <w:r>
              <w:t>2050203</w:t>
            </w:r>
          </w:p>
        </w:tc>
        <w:tc>
          <w:tcPr>
            <w:tcW w:w="1559" w:type="dxa"/>
            <w:vAlign w:val="center"/>
          </w:tcPr>
          <w:p w14:paraId="6D3C00C1">
            <w:pPr>
              <w:pStyle w:val="13"/>
            </w:pPr>
            <w:r>
              <w:t>初中教育</w:t>
            </w:r>
          </w:p>
        </w:tc>
        <w:tc>
          <w:tcPr>
            <w:tcW w:w="1134" w:type="dxa"/>
            <w:vAlign w:val="center"/>
          </w:tcPr>
          <w:p w14:paraId="2A212A1A">
            <w:pPr>
              <w:pStyle w:val="14"/>
            </w:pPr>
            <w:r>
              <w:t>790.08</w:t>
            </w:r>
          </w:p>
        </w:tc>
        <w:tc>
          <w:tcPr>
            <w:tcW w:w="1134" w:type="dxa"/>
            <w:vAlign w:val="center"/>
          </w:tcPr>
          <w:p w14:paraId="5E256943">
            <w:pPr>
              <w:pStyle w:val="14"/>
            </w:pPr>
            <w:r>
              <w:t>775.20</w:t>
            </w:r>
          </w:p>
        </w:tc>
        <w:tc>
          <w:tcPr>
            <w:tcW w:w="1134" w:type="dxa"/>
            <w:vAlign w:val="center"/>
          </w:tcPr>
          <w:p w14:paraId="14D1101C">
            <w:pPr>
              <w:pStyle w:val="14"/>
            </w:pPr>
            <w:r>
              <w:t>775.20</w:t>
            </w:r>
          </w:p>
        </w:tc>
        <w:tc>
          <w:tcPr>
            <w:tcW w:w="1134" w:type="dxa"/>
            <w:vAlign w:val="center"/>
          </w:tcPr>
          <w:p w14:paraId="15B79D68">
            <w:pPr>
              <w:pStyle w:val="14"/>
            </w:pPr>
          </w:p>
        </w:tc>
        <w:tc>
          <w:tcPr>
            <w:tcW w:w="1134" w:type="dxa"/>
            <w:vAlign w:val="center"/>
          </w:tcPr>
          <w:p w14:paraId="5BB56F1F">
            <w:pPr>
              <w:pStyle w:val="14"/>
            </w:pPr>
          </w:p>
        </w:tc>
        <w:tc>
          <w:tcPr>
            <w:tcW w:w="1134" w:type="dxa"/>
            <w:vAlign w:val="center"/>
          </w:tcPr>
          <w:p w14:paraId="1C4AA4F2">
            <w:pPr>
              <w:pStyle w:val="14"/>
            </w:pPr>
          </w:p>
        </w:tc>
        <w:tc>
          <w:tcPr>
            <w:tcW w:w="1134" w:type="dxa"/>
            <w:vAlign w:val="center"/>
          </w:tcPr>
          <w:p w14:paraId="09030718">
            <w:pPr>
              <w:pStyle w:val="14"/>
            </w:pPr>
          </w:p>
        </w:tc>
        <w:tc>
          <w:tcPr>
            <w:tcW w:w="1134" w:type="dxa"/>
            <w:vAlign w:val="center"/>
          </w:tcPr>
          <w:p w14:paraId="64D8EDC0">
            <w:pPr>
              <w:pStyle w:val="14"/>
            </w:pPr>
          </w:p>
        </w:tc>
        <w:tc>
          <w:tcPr>
            <w:tcW w:w="1134" w:type="dxa"/>
            <w:vAlign w:val="center"/>
          </w:tcPr>
          <w:p w14:paraId="0EB90A3F">
            <w:pPr>
              <w:pStyle w:val="14"/>
            </w:pPr>
          </w:p>
        </w:tc>
        <w:tc>
          <w:tcPr>
            <w:tcW w:w="1134" w:type="dxa"/>
            <w:vAlign w:val="center"/>
          </w:tcPr>
          <w:p w14:paraId="1BBAF0D6">
            <w:pPr>
              <w:pStyle w:val="14"/>
            </w:pPr>
            <w:r>
              <w:t>14.87</w:t>
            </w:r>
          </w:p>
        </w:tc>
      </w:tr>
    </w:tbl>
    <w:p w14:paraId="6F07352A">
      <w:pPr>
        <w:sectPr>
          <w:pgSz w:w="16840" w:h="11900" w:orient="landscape"/>
          <w:pgMar w:top="1361" w:right="1020" w:bottom="1134" w:left="1020" w:header="720" w:footer="720" w:gutter="0"/>
          <w:cols w:space="720" w:num="1"/>
        </w:sectPr>
      </w:pPr>
    </w:p>
    <w:p w14:paraId="383416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07D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7570C5">
            <w:pPr>
              <w:pStyle w:val="8"/>
            </w:pPr>
            <w:r>
              <w:t>360034隆尧县莲子中学</w:t>
            </w:r>
          </w:p>
        </w:tc>
        <w:tc>
          <w:tcPr>
            <w:tcW w:w="2722" w:type="dxa"/>
            <w:gridSpan w:val="2"/>
            <w:tcBorders>
              <w:top w:val="single" w:color="FFFFFF" w:sz="6" w:space="0"/>
              <w:left w:val="single" w:color="FFFFFF" w:sz="6" w:space="0"/>
              <w:right w:val="single" w:color="FFFFFF" w:sz="6" w:space="0"/>
            </w:tcBorders>
            <w:vAlign w:val="center"/>
          </w:tcPr>
          <w:p w14:paraId="1F6846B6">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B00095F">
            <w:pPr>
              <w:pStyle w:val="10"/>
            </w:pPr>
            <w:r>
              <w:t>单位：万元</w:t>
            </w:r>
          </w:p>
        </w:tc>
      </w:tr>
      <w:tr w14:paraId="22694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D4FFD">
            <w:pPr>
              <w:pStyle w:val="11"/>
            </w:pPr>
            <w:r>
              <w:t>序号</w:t>
            </w:r>
          </w:p>
        </w:tc>
        <w:tc>
          <w:tcPr>
            <w:tcW w:w="5527" w:type="dxa"/>
            <w:gridSpan w:val="2"/>
            <w:vAlign w:val="center"/>
          </w:tcPr>
          <w:p w14:paraId="1B0A3BCD">
            <w:pPr>
              <w:pStyle w:val="11"/>
            </w:pPr>
            <w:r>
              <w:t>功能分类科目</w:t>
            </w:r>
          </w:p>
        </w:tc>
        <w:tc>
          <w:tcPr>
            <w:tcW w:w="1361" w:type="dxa"/>
            <w:vMerge w:val="restart"/>
            <w:vAlign w:val="center"/>
          </w:tcPr>
          <w:p w14:paraId="3C77CDB8">
            <w:pPr>
              <w:pStyle w:val="11"/>
            </w:pPr>
            <w:r>
              <w:t>合计</w:t>
            </w:r>
          </w:p>
        </w:tc>
        <w:tc>
          <w:tcPr>
            <w:tcW w:w="1361" w:type="dxa"/>
            <w:vMerge w:val="restart"/>
            <w:vAlign w:val="center"/>
          </w:tcPr>
          <w:p w14:paraId="7E4F4105">
            <w:pPr>
              <w:pStyle w:val="11"/>
            </w:pPr>
            <w:r>
              <w:t>基本支出</w:t>
            </w:r>
          </w:p>
        </w:tc>
        <w:tc>
          <w:tcPr>
            <w:tcW w:w="1361" w:type="dxa"/>
            <w:vMerge w:val="restart"/>
            <w:vAlign w:val="center"/>
          </w:tcPr>
          <w:p w14:paraId="1273A5D6">
            <w:pPr>
              <w:pStyle w:val="11"/>
            </w:pPr>
            <w:r>
              <w:t>项目支出</w:t>
            </w:r>
          </w:p>
        </w:tc>
        <w:tc>
          <w:tcPr>
            <w:tcW w:w="1361" w:type="dxa"/>
            <w:vMerge w:val="restart"/>
            <w:vAlign w:val="center"/>
          </w:tcPr>
          <w:p w14:paraId="27EABDAA">
            <w:pPr>
              <w:pStyle w:val="11"/>
            </w:pPr>
            <w:r>
              <w:t>经营支出</w:t>
            </w:r>
          </w:p>
        </w:tc>
        <w:tc>
          <w:tcPr>
            <w:tcW w:w="1361" w:type="dxa"/>
            <w:vMerge w:val="restart"/>
            <w:vAlign w:val="center"/>
          </w:tcPr>
          <w:p w14:paraId="491B3407">
            <w:pPr>
              <w:pStyle w:val="11"/>
            </w:pPr>
            <w:r>
              <w:t>上解上级     支出</w:t>
            </w:r>
          </w:p>
        </w:tc>
        <w:tc>
          <w:tcPr>
            <w:tcW w:w="1361" w:type="dxa"/>
            <w:vMerge w:val="restart"/>
            <w:vAlign w:val="center"/>
          </w:tcPr>
          <w:p w14:paraId="1B26F3D2">
            <w:pPr>
              <w:pStyle w:val="11"/>
            </w:pPr>
            <w:r>
              <w:t>对附属单位补助支出</w:t>
            </w:r>
          </w:p>
        </w:tc>
      </w:tr>
      <w:tr w14:paraId="03E0E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439C73"/>
        </w:tc>
        <w:tc>
          <w:tcPr>
            <w:tcW w:w="992" w:type="dxa"/>
            <w:vAlign w:val="center"/>
          </w:tcPr>
          <w:p w14:paraId="11C19215">
            <w:pPr>
              <w:pStyle w:val="11"/>
            </w:pPr>
            <w:r>
              <w:t>科目    编码</w:t>
            </w:r>
          </w:p>
        </w:tc>
        <w:tc>
          <w:tcPr>
            <w:tcW w:w="4535" w:type="dxa"/>
            <w:vAlign w:val="center"/>
          </w:tcPr>
          <w:p w14:paraId="1731DB0F">
            <w:pPr>
              <w:pStyle w:val="11"/>
            </w:pPr>
            <w:r>
              <w:t>科目名称</w:t>
            </w:r>
          </w:p>
        </w:tc>
        <w:tc>
          <w:tcPr>
            <w:tcW w:w="1361" w:type="dxa"/>
            <w:vMerge w:val="continue"/>
          </w:tcPr>
          <w:p w14:paraId="35085692"/>
        </w:tc>
        <w:tc>
          <w:tcPr>
            <w:tcW w:w="1361" w:type="dxa"/>
            <w:vMerge w:val="continue"/>
          </w:tcPr>
          <w:p w14:paraId="254CF498"/>
        </w:tc>
        <w:tc>
          <w:tcPr>
            <w:tcW w:w="1361" w:type="dxa"/>
            <w:vMerge w:val="continue"/>
          </w:tcPr>
          <w:p w14:paraId="5F001953"/>
        </w:tc>
        <w:tc>
          <w:tcPr>
            <w:tcW w:w="1361" w:type="dxa"/>
            <w:vMerge w:val="continue"/>
          </w:tcPr>
          <w:p w14:paraId="315B1A4C"/>
        </w:tc>
        <w:tc>
          <w:tcPr>
            <w:tcW w:w="1361" w:type="dxa"/>
            <w:vMerge w:val="continue"/>
          </w:tcPr>
          <w:p w14:paraId="7E8444E6"/>
        </w:tc>
        <w:tc>
          <w:tcPr>
            <w:tcW w:w="1361" w:type="dxa"/>
            <w:vMerge w:val="continue"/>
          </w:tcPr>
          <w:p w14:paraId="1DFB694D"/>
        </w:tc>
      </w:tr>
      <w:tr w14:paraId="23D10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D92231">
            <w:pPr>
              <w:pStyle w:val="11"/>
            </w:pPr>
            <w:r>
              <w:t>栏次</w:t>
            </w:r>
          </w:p>
        </w:tc>
        <w:tc>
          <w:tcPr>
            <w:tcW w:w="992" w:type="dxa"/>
            <w:vAlign w:val="center"/>
          </w:tcPr>
          <w:p w14:paraId="7C93F80E">
            <w:pPr>
              <w:pStyle w:val="11"/>
            </w:pPr>
            <w:r>
              <w:t>1</w:t>
            </w:r>
          </w:p>
        </w:tc>
        <w:tc>
          <w:tcPr>
            <w:tcW w:w="4535" w:type="dxa"/>
            <w:vAlign w:val="center"/>
          </w:tcPr>
          <w:p w14:paraId="6EF063E3">
            <w:pPr>
              <w:pStyle w:val="11"/>
            </w:pPr>
            <w:r>
              <w:t>2</w:t>
            </w:r>
          </w:p>
        </w:tc>
        <w:tc>
          <w:tcPr>
            <w:tcW w:w="1361" w:type="dxa"/>
            <w:vAlign w:val="center"/>
          </w:tcPr>
          <w:p w14:paraId="6990460D">
            <w:pPr>
              <w:pStyle w:val="11"/>
            </w:pPr>
            <w:r>
              <w:t>3</w:t>
            </w:r>
          </w:p>
        </w:tc>
        <w:tc>
          <w:tcPr>
            <w:tcW w:w="1361" w:type="dxa"/>
            <w:vAlign w:val="center"/>
          </w:tcPr>
          <w:p w14:paraId="302AFCC7">
            <w:pPr>
              <w:pStyle w:val="11"/>
            </w:pPr>
            <w:r>
              <w:t>4</w:t>
            </w:r>
          </w:p>
        </w:tc>
        <w:tc>
          <w:tcPr>
            <w:tcW w:w="1361" w:type="dxa"/>
            <w:vAlign w:val="center"/>
          </w:tcPr>
          <w:p w14:paraId="727EE4FE">
            <w:pPr>
              <w:pStyle w:val="11"/>
            </w:pPr>
            <w:r>
              <w:t>5</w:t>
            </w:r>
          </w:p>
        </w:tc>
        <w:tc>
          <w:tcPr>
            <w:tcW w:w="1361" w:type="dxa"/>
            <w:vAlign w:val="center"/>
          </w:tcPr>
          <w:p w14:paraId="5C824425">
            <w:pPr>
              <w:pStyle w:val="11"/>
            </w:pPr>
            <w:r>
              <w:t>6</w:t>
            </w:r>
          </w:p>
        </w:tc>
        <w:tc>
          <w:tcPr>
            <w:tcW w:w="1361" w:type="dxa"/>
            <w:vAlign w:val="center"/>
          </w:tcPr>
          <w:p w14:paraId="265025A2">
            <w:pPr>
              <w:pStyle w:val="11"/>
            </w:pPr>
            <w:r>
              <w:t>7</w:t>
            </w:r>
          </w:p>
        </w:tc>
        <w:tc>
          <w:tcPr>
            <w:tcW w:w="1361" w:type="dxa"/>
            <w:vAlign w:val="center"/>
          </w:tcPr>
          <w:p w14:paraId="244619B6">
            <w:pPr>
              <w:pStyle w:val="11"/>
            </w:pPr>
            <w:r>
              <w:t>8</w:t>
            </w:r>
          </w:p>
        </w:tc>
      </w:tr>
      <w:tr w14:paraId="03E50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4CE93">
            <w:pPr>
              <w:pStyle w:val="12"/>
            </w:pPr>
            <w:r>
              <w:t>1</w:t>
            </w:r>
          </w:p>
        </w:tc>
        <w:tc>
          <w:tcPr>
            <w:tcW w:w="992" w:type="dxa"/>
            <w:vAlign w:val="center"/>
          </w:tcPr>
          <w:p w14:paraId="2E1885C2">
            <w:pPr>
              <w:pStyle w:val="17"/>
            </w:pPr>
          </w:p>
        </w:tc>
        <w:tc>
          <w:tcPr>
            <w:tcW w:w="4535" w:type="dxa"/>
            <w:vAlign w:val="center"/>
          </w:tcPr>
          <w:p w14:paraId="5BBDFBC3">
            <w:pPr>
              <w:pStyle w:val="15"/>
            </w:pPr>
            <w:r>
              <w:t>合计</w:t>
            </w:r>
          </w:p>
        </w:tc>
        <w:tc>
          <w:tcPr>
            <w:tcW w:w="1361" w:type="dxa"/>
            <w:vAlign w:val="center"/>
          </w:tcPr>
          <w:p w14:paraId="2F225968">
            <w:pPr>
              <w:pStyle w:val="16"/>
            </w:pPr>
            <w:r>
              <w:t>790.08</w:t>
            </w:r>
          </w:p>
        </w:tc>
        <w:tc>
          <w:tcPr>
            <w:tcW w:w="1361" w:type="dxa"/>
            <w:vAlign w:val="center"/>
          </w:tcPr>
          <w:p w14:paraId="16F5BC83">
            <w:pPr>
              <w:pStyle w:val="16"/>
            </w:pPr>
            <w:r>
              <w:t>607.82</w:t>
            </w:r>
          </w:p>
        </w:tc>
        <w:tc>
          <w:tcPr>
            <w:tcW w:w="1361" w:type="dxa"/>
            <w:vAlign w:val="center"/>
          </w:tcPr>
          <w:p w14:paraId="50396E76">
            <w:pPr>
              <w:pStyle w:val="16"/>
            </w:pPr>
            <w:r>
              <w:t>182.25</w:t>
            </w:r>
          </w:p>
        </w:tc>
        <w:tc>
          <w:tcPr>
            <w:tcW w:w="1361" w:type="dxa"/>
            <w:vAlign w:val="center"/>
          </w:tcPr>
          <w:p w14:paraId="4B1120C5">
            <w:pPr>
              <w:pStyle w:val="16"/>
            </w:pPr>
          </w:p>
        </w:tc>
        <w:tc>
          <w:tcPr>
            <w:tcW w:w="1361" w:type="dxa"/>
            <w:vAlign w:val="center"/>
          </w:tcPr>
          <w:p w14:paraId="3F89B051">
            <w:pPr>
              <w:pStyle w:val="16"/>
            </w:pPr>
          </w:p>
        </w:tc>
        <w:tc>
          <w:tcPr>
            <w:tcW w:w="1361" w:type="dxa"/>
            <w:vAlign w:val="center"/>
          </w:tcPr>
          <w:p w14:paraId="1462EB97">
            <w:pPr>
              <w:pStyle w:val="16"/>
            </w:pPr>
          </w:p>
        </w:tc>
      </w:tr>
      <w:tr w14:paraId="79FAE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FF85F">
            <w:pPr>
              <w:pStyle w:val="12"/>
            </w:pPr>
            <w:r>
              <w:t>2</w:t>
            </w:r>
          </w:p>
        </w:tc>
        <w:tc>
          <w:tcPr>
            <w:tcW w:w="992" w:type="dxa"/>
            <w:vAlign w:val="center"/>
          </w:tcPr>
          <w:p w14:paraId="1AB2BAE1">
            <w:pPr>
              <w:pStyle w:val="13"/>
            </w:pPr>
            <w:r>
              <w:t>205</w:t>
            </w:r>
          </w:p>
        </w:tc>
        <w:tc>
          <w:tcPr>
            <w:tcW w:w="4535" w:type="dxa"/>
            <w:vAlign w:val="center"/>
          </w:tcPr>
          <w:p w14:paraId="3C545CFB">
            <w:pPr>
              <w:pStyle w:val="13"/>
            </w:pPr>
            <w:r>
              <w:t>教育支出</w:t>
            </w:r>
          </w:p>
        </w:tc>
        <w:tc>
          <w:tcPr>
            <w:tcW w:w="1361" w:type="dxa"/>
            <w:vAlign w:val="center"/>
          </w:tcPr>
          <w:p w14:paraId="39BF42AE">
            <w:pPr>
              <w:pStyle w:val="14"/>
            </w:pPr>
            <w:r>
              <w:t>790.08</w:t>
            </w:r>
          </w:p>
        </w:tc>
        <w:tc>
          <w:tcPr>
            <w:tcW w:w="1361" w:type="dxa"/>
            <w:vAlign w:val="center"/>
          </w:tcPr>
          <w:p w14:paraId="78D4D04E">
            <w:pPr>
              <w:pStyle w:val="14"/>
            </w:pPr>
            <w:r>
              <w:t>607.82</w:t>
            </w:r>
          </w:p>
        </w:tc>
        <w:tc>
          <w:tcPr>
            <w:tcW w:w="1361" w:type="dxa"/>
            <w:vAlign w:val="center"/>
          </w:tcPr>
          <w:p w14:paraId="3E454A62">
            <w:pPr>
              <w:pStyle w:val="14"/>
            </w:pPr>
            <w:r>
              <w:t>182.25</w:t>
            </w:r>
          </w:p>
        </w:tc>
        <w:tc>
          <w:tcPr>
            <w:tcW w:w="1361" w:type="dxa"/>
            <w:vAlign w:val="center"/>
          </w:tcPr>
          <w:p w14:paraId="1F5473DE">
            <w:pPr>
              <w:pStyle w:val="14"/>
            </w:pPr>
          </w:p>
        </w:tc>
        <w:tc>
          <w:tcPr>
            <w:tcW w:w="1361" w:type="dxa"/>
            <w:vAlign w:val="center"/>
          </w:tcPr>
          <w:p w14:paraId="0CDF29B5">
            <w:pPr>
              <w:pStyle w:val="14"/>
            </w:pPr>
          </w:p>
        </w:tc>
        <w:tc>
          <w:tcPr>
            <w:tcW w:w="1361" w:type="dxa"/>
            <w:vAlign w:val="center"/>
          </w:tcPr>
          <w:p w14:paraId="4C9837C6">
            <w:pPr>
              <w:pStyle w:val="14"/>
            </w:pPr>
          </w:p>
        </w:tc>
      </w:tr>
      <w:tr w14:paraId="17B7A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7A14A">
            <w:pPr>
              <w:pStyle w:val="12"/>
            </w:pPr>
            <w:r>
              <w:t>3</w:t>
            </w:r>
          </w:p>
        </w:tc>
        <w:tc>
          <w:tcPr>
            <w:tcW w:w="992" w:type="dxa"/>
            <w:vAlign w:val="center"/>
          </w:tcPr>
          <w:p w14:paraId="632D3743">
            <w:pPr>
              <w:pStyle w:val="13"/>
            </w:pPr>
            <w:r>
              <w:t>20502</w:t>
            </w:r>
          </w:p>
        </w:tc>
        <w:tc>
          <w:tcPr>
            <w:tcW w:w="4535" w:type="dxa"/>
            <w:vAlign w:val="center"/>
          </w:tcPr>
          <w:p w14:paraId="7E45B5B7">
            <w:pPr>
              <w:pStyle w:val="13"/>
            </w:pPr>
            <w:r>
              <w:t>普通教育</w:t>
            </w:r>
          </w:p>
        </w:tc>
        <w:tc>
          <w:tcPr>
            <w:tcW w:w="1361" w:type="dxa"/>
            <w:vAlign w:val="center"/>
          </w:tcPr>
          <w:p w14:paraId="14A7214B">
            <w:pPr>
              <w:pStyle w:val="14"/>
            </w:pPr>
            <w:r>
              <w:t>790.08</w:t>
            </w:r>
          </w:p>
        </w:tc>
        <w:tc>
          <w:tcPr>
            <w:tcW w:w="1361" w:type="dxa"/>
            <w:vAlign w:val="center"/>
          </w:tcPr>
          <w:p w14:paraId="7032452F">
            <w:pPr>
              <w:pStyle w:val="14"/>
            </w:pPr>
            <w:r>
              <w:t>607.82</w:t>
            </w:r>
          </w:p>
        </w:tc>
        <w:tc>
          <w:tcPr>
            <w:tcW w:w="1361" w:type="dxa"/>
            <w:vAlign w:val="center"/>
          </w:tcPr>
          <w:p w14:paraId="390A8F66">
            <w:pPr>
              <w:pStyle w:val="14"/>
            </w:pPr>
            <w:r>
              <w:t>182.25</w:t>
            </w:r>
          </w:p>
        </w:tc>
        <w:tc>
          <w:tcPr>
            <w:tcW w:w="1361" w:type="dxa"/>
            <w:vAlign w:val="center"/>
          </w:tcPr>
          <w:p w14:paraId="22A975C2">
            <w:pPr>
              <w:pStyle w:val="14"/>
            </w:pPr>
          </w:p>
        </w:tc>
        <w:tc>
          <w:tcPr>
            <w:tcW w:w="1361" w:type="dxa"/>
            <w:vAlign w:val="center"/>
          </w:tcPr>
          <w:p w14:paraId="78BD8697">
            <w:pPr>
              <w:pStyle w:val="14"/>
            </w:pPr>
          </w:p>
        </w:tc>
        <w:tc>
          <w:tcPr>
            <w:tcW w:w="1361" w:type="dxa"/>
            <w:vAlign w:val="center"/>
          </w:tcPr>
          <w:p w14:paraId="21FF9732">
            <w:pPr>
              <w:pStyle w:val="14"/>
            </w:pPr>
          </w:p>
        </w:tc>
      </w:tr>
      <w:tr w14:paraId="7D767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DE48D">
            <w:pPr>
              <w:pStyle w:val="12"/>
            </w:pPr>
            <w:r>
              <w:t>4</w:t>
            </w:r>
          </w:p>
        </w:tc>
        <w:tc>
          <w:tcPr>
            <w:tcW w:w="992" w:type="dxa"/>
            <w:vAlign w:val="center"/>
          </w:tcPr>
          <w:p w14:paraId="28260141">
            <w:pPr>
              <w:pStyle w:val="13"/>
            </w:pPr>
            <w:r>
              <w:t>2050203</w:t>
            </w:r>
          </w:p>
        </w:tc>
        <w:tc>
          <w:tcPr>
            <w:tcW w:w="4535" w:type="dxa"/>
            <w:vAlign w:val="center"/>
          </w:tcPr>
          <w:p w14:paraId="1CC8CEC8">
            <w:pPr>
              <w:pStyle w:val="13"/>
            </w:pPr>
            <w:r>
              <w:t>初中教育</w:t>
            </w:r>
          </w:p>
        </w:tc>
        <w:tc>
          <w:tcPr>
            <w:tcW w:w="1361" w:type="dxa"/>
            <w:vAlign w:val="center"/>
          </w:tcPr>
          <w:p w14:paraId="09683C70">
            <w:pPr>
              <w:pStyle w:val="14"/>
            </w:pPr>
            <w:r>
              <w:t>790.08</w:t>
            </w:r>
          </w:p>
        </w:tc>
        <w:tc>
          <w:tcPr>
            <w:tcW w:w="1361" w:type="dxa"/>
            <w:vAlign w:val="center"/>
          </w:tcPr>
          <w:p w14:paraId="518AE944">
            <w:pPr>
              <w:pStyle w:val="14"/>
            </w:pPr>
            <w:r>
              <w:t>607.82</w:t>
            </w:r>
          </w:p>
        </w:tc>
        <w:tc>
          <w:tcPr>
            <w:tcW w:w="1361" w:type="dxa"/>
            <w:vAlign w:val="center"/>
          </w:tcPr>
          <w:p w14:paraId="1CC2486B">
            <w:pPr>
              <w:pStyle w:val="14"/>
            </w:pPr>
            <w:r>
              <w:t>182.25</w:t>
            </w:r>
          </w:p>
        </w:tc>
        <w:tc>
          <w:tcPr>
            <w:tcW w:w="1361" w:type="dxa"/>
            <w:vAlign w:val="center"/>
          </w:tcPr>
          <w:p w14:paraId="159B31D6">
            <w:pPr>
              <w:pStyle w:val="14"/>
            </w:pPr>
          </w:p>
        </w:tc>
        <w:tc>
          <w:tcPr>
            <w:tcW w:w="1361" w:type="dxa"/>
            <w:vAlign w:val="center"/>
          </w:tcPr>
          <w:p w14:paraId="470CAF2F">
            <w:pPr>
              <w:pStyle w:val="14"/>
            </w:pPr>
          </w:p>
        </w:tc>
        <w:tc>
          <w:tcPr>
            <w:tcW w:w="1361" w:type="dxa"/>
            <w:vAlign w:val="center"/>
          </w:tcPr>
          <w:p w14:paraId="45E2F248">
            <w:pPr>
              <w:pStyle w:val="14"/>
            </w:pPr>
          </w:p>
        </w:tc>
      </w:tr>
    </w:tbl>
    <w:p w14:paraId="5825EB4B">
      <w:pPr>
        <w:sectPr>
          <w:pgSz w:w="16840" w:h="11900" w:orient="landscape"/>
          <w:pgMar w:top="1361" w:right="1020" w:bottom="1134" w:left="1020" w:header="720" w:footer="720" w:gutter="0"/>
          <w:cols w:space="720" w:num="1"/>
        </w:sectPr>
      </w:pPr>
    </w:p>
    <w:p w14:paraId="20BF93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72D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555280">
            <w:pPr>
              <w:pStyle w:val="8"/>
            </w:pPr>
            <w:r>
              <w:t>360034隆尧县莲子中学</w:t>
            </w:r>
          </w:p>
        </w:tc>
        <w:tc>
          <w:tcPr>
            <w:tcW w:w="3402" w:type="dxa"/>
            <w:tcBorders>
              <w:top w:val="single" w:color="FFFFFF" w:sz="6" w:space="0"/>
              <w:left w:val="single" w:color="FFFFFF" w:sz="6" w:space="0"/>
              <w:right w:val="single" w:color="FFFFFF" w:sz="6" w:space="0"/>
            </w:tcBorders>
            <w:vAlign w:val="center"/>
          </w:tcPr>
          <w:p w14:paraId="409C4BF1">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EE35F49">
            <w:pPr>
              <w:pStyle w:val="10"/>
            </w:pPr>
            <w:r>
              <w:t>单位：万元</w:t>
            </w:r>
          </w:p>
        </w:tc>
      </w:tr>
      <w:tr w14:paraId="37596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308D43">
            <w:pPr>
              <w:pStyle w:val="11"/>
            </w:pPr>
            <w:r>
              <w:t>序号</w:t>
            </w:r>
          </w:p>
        </w:tc>
        <w:tc>
          <w:tcPr>
            <w:tcW w:w="4876" w:type="dxa"/>
            <w:gridSpan w:val="2"/>
            <w:vAlign w:val="center"/>
          </w:tcPr>
          <w:p w14:paraId="5B13EE65">
            <w:pPr>
              <w:pStyle w:val="11"/>
            </w:pPr>
            <w:r>
              <w:t>收入</w:t>
            </w:r>
          </w:p>
        </w:tc>
        <w:tc>
          <w:tcPr>
            <w:tcW w:w="9298" w:type="dxa"/>
            <w:gridSpan w:val="5"/>
            <w:vAlign w:val="center"/>
          </w:tcPr>
          <w:p w14:paraId="67C796DF">
            <w:pPr>
              <w:pStyle w:val="11"/>
            </w:pPr>
            <w:r>
              <w:t>支出</w:t>
            </w:r>
          </w:p>
        </w:tc>
      </w:tr>
      <w:tr w14:paraId="6857B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763A7"/>
        </w:tc>
        <w:tc>
          <w:tcPr>
            <w:tcW w:w="3402" w:type="dxa"/>
            <w:vAlign w:val="center"/>
          </w:tcPr>
          <w:p w14:paraId="2BA53A3B">
            <w:pPr>
              <w:pStyle w:val="11"/>
            </w:pPr>
            <w:r>
              <w:t>项  目</w:t>
            </w:r>
          </w:p>
        </w:tc>
        <w:tc>
          <w:tcPr>
            <w:tcW w:w="1474" w:type="dxa"/>
            <w:vAlign w:val="center"/>
          </w:tcPr>
          <w:p w14:paraId="26FE3BD3">
            <w:pPr>
              <w:pStyle w:val="11"/>
            </w:pPr>
            <w:r>
              <w:t>金额</w:t>
            </w:r>
          </w:p>
        </w:tc>
        <w:tc>
          <w:tcPr>
            <w:tcW w:w="3402" w:type="dxa"/>
            <w:vAlign w:val="center"/>
          </w:tcPr>
          <w:p w14:paraId="1353F5EE">
            <w:pPr>
              <w:pStyle w:val="11"/>
            </w:pPr>
            <w:r>
              <w:t>项  目</w:t>
            </w:r>
          </w:p>
        </w:tc>
        <w:tc>
          <w:tcPr>
            <w:tcW w:w="1474" w:type="dxa"/>
            <w:vAlign w:val="center"/>
          </w:tcPr>
          <w:p w14:paraId="68D02A50">
            <w:pPr>
              <w:pStyle w:val="11"/>
            </w:pPr>
            <w:r>
              <w:t>合计</w:t>
            </w:r>
          </w:p>
        </w:tc>
        <w:tc>
          <w:tcPr>
            <w:tcW w:w="1474" w:type="dxa"/>
            <w:vAlign w:val="center"/>
          </w:tcPr>
          <w:p w14:paraId="47839E07">
            <w:pPr>
              <w:pStyle w:val="11"/>
            </w:pPr>
            <w:r>
              <w:t>一般公共预算财政拨款</w:t>
            </w:r>
          </w:p>
        </w:tc>
        <w:tc>
          <w:tcPr>
            <w:tcW w:w="1474" w:type="dxa"/>
            <w:vAlign w:val="center"/>
          </w:tcPr>
          <w:p w14:paraId="7EBAB403">
            <w:pPr>
              <w:pStyle w:val="11"/>
            </w:pPr>
            <w:r>
              <w:t>政府性基金预算财政    拨款</w:t>
            </w:r>
          </w:p>
        </w:tc>
        <w:tc>
          <w:tcPr>
            <w:tcW w:w="1474" w:type="dxa"/>
            <w:vAlign w:val="center"/>
          </w:tcPr>
          <w:p w14:paraId="68C9C4E6">
            <w:pPr>
              <w:pStyle w:val="11"/>
            </w:pPr>
            <w:r>
              <w:t>国有资本经营预算财政拨款</w:t>
            </w:r>
          </w:p>
        </w:tc>
      </w:tr>
      <w:tr w14:paraId="119E0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CF5058">
            <w:pPr>
              <w:pStyle w:val="11"/>
            </w:pPr>
            <w:r>
              <w:t>栏次</w:t>
            </w:r>
          </w:p>
        </w:tc>
        <w:tc>
          <w:tcPr>
            <w:tcW w:w="3402" w:type="dxa"/>
            <w:vAlign w:val="center"/>
          </w:tcPr>
          <w:p w14:paraId="49FE2362">
            <w:pPr>
              <w:pStyle w:val="11"/>
            </w:pPr>
            <w:r>
              <w:t>1</w:t>
            </w:r>
          </w:p>
        </w:tc>
        <w:tc>
          <w:tcPr>
            <w:tcW w:w="1474" w:type="dxa"/>
            <w:vAlign w:val="center"/>
          </w:tcPr>
          <w:p w14:paraId="71C25626">
            <w:pPr>
              <w:pStyle w:val="11"/>
            </w:pPr>
            <w:r>
              <w:t>2</w:t>
            </w:r>
          </w:p>
        </w:tc>
        <w:tc>
          <w:tcPr>
            <w:tcW w:w="3402" w:type="dxa"/>
            <w:vAlign w:val="center"/>
          </w:tcPr>
          <w:p w14:paraId="1D900F04">
            <w:pPr>
              <w:pStyle w:val="11"/>
            </w:pPr>
            <w:r>
              <w:t>3</w:t>
            </w:r>
          </w:p>
        </w:tc>
        <w:tc>
          <w:tcPr>
            <w:tcW w:w="1474" w:type="dxa"/>
            <w:vAlign w:val="center"/>
          </w:tcPr>
          <w:p w14:paraId="58BF2EA7">
            <w:pPr>
              <w:pStyle w:val="11"/>
            </w:pPr>
            <w:r>
              <w:t>4</w:t>
            </w:r>
          </w:p>
        </w:tc>
        <w:tc>
          <w:tcPr>
            <w:tcW w:w="1474" w:type="dxa"/>
            <w:vAlign w:val="center"/>
          </w:tcPr>
          <w:p w14:paraId="6151FFF7">
            <w:pPr>
              <w:pStyle w:val="11"/>
            </w:pPr>
            <w:r>
              <w:t>5</w:t>
            </w:r>
          </w:p>
        </w:tc>
        <w:tc>
          <w:tcPr>
            <w:tcW w:w="1474" w:type="dxa"/>
            <w:vAlign w:val="center"/>
          </w:tcPr>
          <w:p w14:paraId="4B5A6813">
            <w:pPr>
              <w:pStyle w:val="11"/>
            </w:pPr>
            <w:r>
              <w:t>6</w:t>
            </w:r>
          </w:p>
        </w:tc>
        <w:tc>
          <w:tcPr>
            <w:tcW w:w="1474" w:type="dxa"/>
            <w:vAlign w:val="center"/>
          </w:tcPr>
          <w:p w14:paraId="4E04AEC6">
            <w:pPr>
              <w:pStyle w:val="11"/>
            </w:pPr>
            <w:r>
              <w:t>7</w:t>
            </w:r>
          </w:p>
        </w:tc>
      </w:tr>
      <w:tr w14:paraId="75A28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BD4141B">
            <w:pPr>
              <w:pStyle w:val="12"/>
            </w:pPr>
            <w:r>
              <w:t>1</w:t>
            </w:r>
          </w:p>
        </w:tc>
        <w:tc>
          <w:tcPr>
            <w:tcW w:w="3402" w:type="dxa"/>
            <w:vAlign w:val="center"/>
          </w:tcPr>
          <w:p w14:paraId="7F3DFD86">
            <w:pPr>
              <w:pStyle w:val="13"/>
            </w:pPr>
            <w:r>
              <w:t>一、一般公共预算拨款</w:t>
            </w:r>
          </w:p>
        </w:tc>
        <w:tc>
          <w:tcPr>
            <w:tcW w:w="1474" w:type="dxa"/>
            <w:vAlign w:val="center"/>
          </w:tcPr>
          <w:p w14:paraId="757D0187">
            <w:pPr>
              <w:pStyle w:val="14"/>
            </w:pPr>
            <w:r>
              <w:t>775.20</w:t>
            </w:r>
          </w:p>
        </w:tc>
        <w:tc>
          <w:tcPr>
            <w:tcW w:w="3402" w:type="dxa"/>
            <w:vAlign w:val="center"/>
          </w:tcPr>
          <w:p w14:paraId="479B22E0">
            <w:pPr>
              <w:pStyle w:val="13"/>
            </w:pPr>
            <w:r>
              <w:t>一、一般公共服务支出</w:t>
            </w:r>
          </w:p>
        </w:tc>
        <w:tc>
          <w:tcPr>
            <w:tcW w:w="1474" w:type="dxa"/>
            <w:vAlign w:val="center"/>
          </w:tcPr>
          <w:p w14:paraId="03AEC575">
            <w:pPr>
              <w:pStyle w:val="14"/>
            </w:pPr>
          </w:p>
        </w:tc>
        <w:tc>
          <w:tcPr>
            <w:tcW w:w="1474" w:type="dxa"/>
            <w:vAlign w:val="center"/>
          </w:tcPr>
          <w:p w14:paraId="6C8AA06F">
            <w:pPr>
              <w:pStyle w:val="14"/>
            </w:pPr>
          </w:p>
        </w:tc>
        <w:tc>
          <w:tcPr>
            <w:tcW w:w="1474" w:type="dxa"/>
            <w:vAlign w:val="center"/>
          </w:tcPr>
          <w:p w14:paraId="0923945C">
            <w:pPr>
              <w:pStyle w:val="14"/>
            </w:pPr>
          </w:p>
        </w:tc>
        <w:tc>
          <w:tcPr>
            <w:tcW w:w="1474" w:type="dxa"/>
            <w:vAlign w:val="center"/>
          </w:tcPr>
          <w:p w14:paraId="7AD99CCB">
            <w:pPr>
              <w:pStyle w:val="14"/>
            </w:pPr>
          </w:p>
        </w:tc>
      </w:tr>
      <w:tr w14:paraId="515D5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6E137">
            <w:pPr>
              <w:pStyle w:val="12"/>
            </w:pPr>
            <w:r>
              <w:t>2</w:t>
            </w:r>
          </w:p>
        </w:tc>
        <w:tc>
          <w:tcPr>
            <w:tcW w:w="3402" w:type="dxa"/>
            <w:vAlign w:val="center"/>
          </w:tcPr>
          <w:p w14:paraId="17C9B37B">
            <w:pPr>
              <w:pStyle w:val="13"/>
            </w:pPr>
            <w:r>
              <w:t>二、政府性基金预算拨款</w:t>
            </w:r>
          </w:p>
        </w:tc>
        <w:tc>
          <w:tcPr>
            <w:tcW w:w="1474" w:type="dxa"/>
            <w:vAlign w:val="center"/>
          </w:tcPr>
          <w:p w14:paraId="64836C3E">
            <w:pPr>
              <w:pStyle w:val="14"/>
            </w:pPr>
          </w:p>
        </w:tc>
        <w:tc>
          <w:tcPr>
            <w:tcW w:w="3402" w:type="dxa"/>
            <w:vAlign w:val="center"/>
          </w:tcPr>
          <w:p w14:paraId="575F7CF1">
            <w:pPr>
              <w:pStyle w:val="13"/>
            </w:pPr>
            <w:r>
              <w:t>二、外交支出</w:t>
            </w:r>
          </w:p>
        </w:tc>
        <w:tc>
          <w:tcPr>
            <w:tcW w:w="1474" w:type="dxa"/>
            <w:vAlign w:val="center"/>
          </w:tcPr>
          <w:p w14:paraId="2C90E9EA">
            <w:pPr>
              <w:pStyle w:val="14"/>
            </w:pPr>
          </w:p>
        </w:tc>
        <w:tc>
          <w:tcPr>
            <w:tcW w:w="1474" w:type="dxa"/>
            <w:vAlign w:val="center"/>
          </w:tcPr>
          <w:p w14:paraId="70838C7B">
            <w:pPr>
              <w:pStyle w:val="14"/>
            </w:pPr>
          </w:p>
        </w:tc>
        <w:tc>
          <w:tcPr>
            <w:tcW w:w="1474" w:type="dxa"/>
            <w:vAlign w:val="center"/>
          </w:tcPr>
          <w:p w14:paraId="3DEE0B31">
            <w:pPr>
              <w:pStyle w:val="14"/>
            </w:pPr>
          </w:p>
        </w:tc>
        <w:tc>
          <w:tcPr>
            <w:tcW w:w="1474" w:type="dxa"/>
            <w:vAlign w:val="center"/>
          </w:tcPr>
          <w:p w14:paraId="540A1125">
            <w:pPr>
              <w:pStyle w:val="14"/>
            </w:pPr>
          </w:p>
        </w:tc>
      </w:tr>
      <w:tr w14:paraId="67E0D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3CE11">
            <w:pPr>
              <w:pStyle w:val="12"/>
            </w:pPr>
            <w:r>
              <w:t>3</w:t>
            </w:r>
          </w:p>
        </w:tc>
        <w:tc>
          <w:tcPr>
            <w:tcW w:w="3402" w:type="dxa"/>
            <w:vAlign w:val="center"/>
          </w:tcPr>
          <w:p w14:paraId="320ACF25">
            <w:pPr>
              <w:pStyle w:val="13"/>
            </w:pPr>
            <w:r>
              <w:t>三、国有资本经营预算拨款</w:t>
            </w:r>
          </w:p>
        </w:tc>
        <w:tc>
          <w:tcPr>
            <w:tcW w:w="1474" w:type="dxa"/>
            <w:vAlign w:val="center"/>
          </w:tcPr>
          <w:p w14:paraId="22DB53D8">
            <w:pPr>
              <w:pStyle w:val="14"/>
            </w:pPr>
          </w:p>
        </w:tc>
        <w:tc>
          <w:tcPr>
            <w:tcW w:w="3402" w:type="dxa"/>
            <w:vAlign w:val="center"/>
          </w:tcPr>
          <w:p w14:paraId="65B6F882">
            <w:pPr>
              <w:pStyle w:val="13"/>
            </w:pPr>
            <w:r>
              <w:t>三、国防支出</w:t>
            </w:r>
          </w:p>
        </w:tc>
        <w:tc>
          <w:tcPr>
            <w:tcW w:w="1474" w:type="dxa"/>
            <w:vAlign w:val="center"/>
          </w:tcPr>
          <w:p w14:paraId="31604947">
            <w:pPr>
              <w:pStyle w:val="14"/>
            </w:pPr>
          </w:p>
        </w:tc>
        <w:tc>
          <w:tcPr>
            <w:tcW w:w="1474" w:type="dxa"/>
            <w:vAlign w:val="center"/>
          </w:tcPr>
          <w:p w14:paraId="70083693">
            <w:pPr>
              <w:pStyle w:val="14"/>
            </w:pPr>
          </w:p>
        </w:tc>
        <w:tc>
          <w:tcPr>
            <w:tcW w:w="1474" w:type="dxa"/>
            <w:vAlign w:val="center"/>
          </w:tcPr>
          <w:p w14:paraId="5DDDFF39">
            <w:pPr>
              <w:pStyle w:val="14"/>
            </w:pPr>
          </w:p>
        </w:tc>
        <w:tc>
          <w:tcPr>
            <w:tcW w:w="1474" w:type="dxa"/>
            <w:vAlign w:val="center"/>
          </w:tcPr>
          <w:p w14:paraId="5128ABF4">
            <w:pPr>
              <w:pStyle w:val="14"/>
            </w:pPr>
          </w:p>
        </w:tc>
      </w:tr>
      <w:tr w14:paraId="26E50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AABD0">
            <w:pPr>
              <w:pStyle w:val="12"/>
            </w:pPr>
            <w:r>
              <w:t>4</w:t>
            </w:r>
          </w:p>
        </w:tc>
        <w:tc>
          <w:tcPr>
            <w:tcW w:w="3402" w:type="dxa"/>
            <w:vAlign w:val="center"/>
          </w:tcPr>
          <w:p w14:paraId="39FC71E1">
            <w:pPr>
              <w:pStyle w:val="13"/>
            </w:pPr>
          </w:p>
        </w:tc>
        <w:tc>
          <w:tcPr>
            <w:tcW w:w="1474" w:type="dxa"/>
            <w:vAlign w:val="center"/>
          </w:tcPr>
          <w:p w14:paraId="650621A3">
            <w:pPr>
              <w:pStyle w:val="14"/>
            </w:pPr>
          </w:p>
        </w:tc>
        <w:tc>
          <w:tcPr>
            <w:tcW w:w="3402" w:type="dxa"/>
            <w:vAlign w:val="center"/>
          </w:tcPr>
          <w:p w14:paraId="7EE19E48">
            <w:pPr>
              <w:pStyle w:val="13"/>
            </w:pPr>
            <w:r>
              <w:t>四、公共安全支出</w:t>
            </w:r>
          </w:p>
        </w:tc>
        <w:tc>
          <w:tcPr>
            <w:tcW w:w="1474" w:type="dxa"/>
            <w:vAlign w:val="center"/>
          </w:tcPr>
          <w:p w14:paraId="731B90E0">
            <w:pPr>
              <w:pStyle w:val="14"/>
            </w:pPr>
          </w:p>
        </w:tc>
        <w:tc>
          <w:tcPr>
            <w:tcW w:w="1474" w:type="dxa"/>
            <w:vAlign w:val="center"/>
          </w:tcPr>
          <w:p w14:paraId="5A0D4F3B">
            <w:pPr>
              <w:pStyle w:val="14"/>
            </w:pPr>
          </w:p>
        </w:tc>
        <w:tc>
          <w:tcPr>
            <w:tcW w:w="1474" w:type="dxa"/>
            <w:vAlign w:val="center"/>
          </w:tcPr>
          <w:p w14:paraId="2FD14C70">
            <w:pPr>
              <w:pStyle w:val="14"/>
            </w:pPr>
          </w:p>
        </w:tc>
        <w:tc>
          <w:tcPr>
            <w:tcW w:w="1474" w:type="dxa"/>
            <w:vAlign w:val="center"/>
          </w:tcPr>
          <w:p w14:paraId="648E7E57">
            <w:pPr>
              <w:pStyle w:val="14"/>
            </w:pPr>
          </w:p>
        </w:tc>
      </w:tr>
      <w:tr w14:paraId="75AF4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62E67">
            <w:pPr>
              <w:pStyle w:val="12"/>
            </w:pPr>
            <w:r>
              <w:t>5</w:t>
            </w:r>
          </w:p>
        </w:tc>
        <w:tc>
          <w:tcPr>
            <w:tcW w:w="3402" w:type="dxa"/>
            <w:vAlign w:val="center"/>
          </w:tcPr>
          <w:p w14:paraId="25C6277A">
            <w:pPr>
              <w:pStyle w:val="13"/>
            </w:pPr>
          </w:p>
        </w:tc>
        <w:tc>
          <w:tcPr>
            <w:tcW w:w="1474" w:type="dxa"/>
            <w:vAlign w:val="center"/>
          </w:tcPr>
          <w:p w14:paraId="1C95A8D2">
            <w:pPr>
              <w:pStyle w:val="14"/>
            </w:pPr>
          </w:p>
        </w:tc>
        <w:tc>
          <w:tcPr>
            <w:tcW w:w="3402" w:type="dxa"/>
            <w:vAlign w:val="center"/>
          </w:tcPr>
          <w:p w14:paraId="086D1E10">
            <w:pPr>
              <w:pStyle w:val="13"/>
            </w:pPr>
            <w:r>
              <w:t>五、教育支出</w:t>
            </w:r>
          </w:p>
        </w:tc>
        <w:tc>
          <w:tcPr>
            <w:tcW w:w="1474" w:type="dxa"/>
            <w:vAlign w:val="center"/>
          </w:tcPr>
          <w:p w14:paraId="2A5699ED">
            <w:pPr>
              <w:pStyle w:val="14"/>
            </w:pPr>
            <w:r>
              <w:t>790.08</w:t>
            </w:r>
          </w:p>
        </w:tc>
        <w:tc>
          <w:tcPr>
            <w:tcW w:w="1474" w:type="dxa"/>
            <w:vAlign w:val="center"/>
          </w:tcPr>
          <w:p w14:paraId="04A5B130">
            <w:pPr>
              <w:pStyle w:val="14"/>
            </w:pPr>
            <w:r>
              <w:t>790.08</w:t>
            </w:r>
          </w:p>
        </w:tc>
        <w:tc>
          <w:tcPr>
            <w:tcW w:w="1474" w:type="dxa"/>
            <w:vAlign w:val="center"/>
          </w:tcPr>
          <w:p w14:paraId="277B55D0">
            <w:pPr>
              <w:pStyle w:val="14"/>
            </w:pPr>
          </w:p>
        </w:tc>
        <w:tc>
          <w:tcPr>
            <w:tcW w:w="1474" w:type="dxa"/>
            <w:vAlign w:val="center"/>
          </w:tcPr>
          <w:p w14:paraId="75BBCD83">
            <w:pPr>
              <w:pStyle w:val="14"/>
            </w:pPr>
          </w:p>
        </w:tc>
      </w:tr>
      <w:tr w14:paraId="0ED90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DF1D7">
            <w:pPr>
              <w:pStyle w:val="12"/>
            </w:pPr>
            <w:r>
              <w:t>6</w:t>
            </w:r>
          </w:p>
        </w:tc>
        <w:tc>
          <w:tcPr>
            <w:tcW w:w="3402" w:type="dxa"/>
            <w:vAlign w:val="center"/>
          </w:tcPr>
          <w:p w14:paraId="0CE2BF13">
            <w:pPr>
              <w:pStyle w:val="13"/>
            </w:pPr>
          </w:p>
        </w:tc>
        <w:tc>
          <w:tcPr>
            <w:tcW w:w="1474" w:type="dxa"/>
            <w:vAlign w:val="center"/>
          </w:tcPr>
          <w:p w14:paraId="6A96063B">
            <w:pPr>
              <w:pStyle w:val="14"/>
            </w:pPr>
          </w:p>
        </w:tc>
        <w:tc>
          <w:tcPr>
            <w:tcW w:w="3402" w:type="dxa"/>
            <w:vAlign w:val="center"/>
          </w:tcPr>
          <w:p w14:paraId="5F5E9493">
            <w:pPr>
              <w:pStyle w:val="13"/>
            </w:pPr>
            <w:r>
              <w:t>六、科学技术支出</w:t>
            </w:r>
          </w:p>
        </w:tc>
        <w:tc>
          <w:tcPr>
            <w:tcW w:w="1474" w:type="dxa"/>
            <w:vAlign w:val="center"/>
          </w:tcPr>
          <w:p w14:paraId="0118C3C6">
            <w:pPr>
              <w:pStyle w:val="14"/>
            </w:pPr>
          </w:p>
        </w:tc>
        <w:tc>
          <w:tcPr>
            <w:tcW w:w="1474" w:type="dxa"/>
            <w:vAlign w:val="center"/>
          </w:tcPr>
          <w:p w14:paraId="10A063F0">
            <w:pPr>
              <w:pStyle w:val="14"/>
            </w:pPr>
          </w:p>
        </w:tc>
        <w:tc>
          <w:tcPr>
            <w:tcW w:w="1474" w:type="dxa"/>
            <w:vAlign w:val="center"/>
          </w:tcPr>
          <w:p w14:paraId="6515BF0E">
            <w:pPr>
              <w:pStyle w:val="14"/>
            </w:pPr>
          </w:p>
        </w:tc>
        <w:tc>
          <w:tcPr>
            <w:tcW w:w="1474" w:type="dxa"/>
            <w:vAlign w:val="center"/>
          </w:tcPr>
          <w:p w14:paraId="2F892E8F">
            <w:pPr>
              <w:pStyle w:val="14"/>
            </w:pPr>
          </w:p>
        </w:tc>
      </w:tr>
      <w:tr w14:paraId="69E8E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04FD3">
            <w:pPr>
              <w:pStyle w:val="12"/>
            </w:pPr>
            <w:r>
              <w:t>7</w:t>
            </w:r>
          </w:p>
        </w:tc>
        <w:tc>
          <w:tcPr>
            <w:tcW w:w="3402" w:type="dxa"/>
            <w:vAlign w:val="center"/>
          </w:tcPr>
          <w:p w14:paraId="60DCFF91">
            <w:pPr>
              <w:pStyle w:val="13"/>
            </w:pPr>
          </w:p>
        </w:tc>
        <w:tc>
          <w:tcPr>
            <w:tcW w:w="1474" w:type="dxa"/>
            <w:vAlign w:val="center"/>
          </w:tcPr>
          <w:p w14:paraId="420E5CC8">
            <w:pPr>
              <w:pStyle w:val="14"/>
            </w:pPr>
          </w:p>
        </w:tc>
        <w:tc>
          <w:tcPr>
            <w:tcW w:w="3402" w:type="dxa"/>
            <w:vAlign w:val="center"/>
          </w:tcPr>
          <w:p w14:paraId="555541B4">
            <w:pPr>
              <w:pStyle w:val="13"/>
            </w:pPr>
            <w:r>
              <w:t>七、文化旅游体育与传媒支出</w:t>
            </w:r>
          </w:p>
        </w:tc>
        <w:tc>
          <w:tcPr>
            <w:tcW w:w="1474" w:type="dxa"/>
            <w:vAlign w:val="center"/>
          </w:tcPr>
          <w:p w14:paraId="564C2AB6">
            <w:pPr>
              <w:pStyle w:val="14"/>
            </w:pPr>
          </w:p>
        </w:tc>
        <w:tc>
          <w:tcPr>
            <w:tcW w:w="1474" w:type="dxa"/>
            <w:vAlign w:val="center"/>
          </w:tcPr>
          <w:p w14:paraId="3FC96EE2">
            <w:pPr>
              <w:pStyle w:val="14"/>
            </w:pPr>
          </w:p>
        </w:tc>
        <w:tc>
          <w:tcPr>
            <w:tcW w:w="1474" w:type="dxa"/>
            <w:vAlign w:val="center"/>
          </w:tcPr>
          <w:p w14:paraId="33F47DBF">
            <w:pPr>
              <w:pStyle w:val="14"/>
            </w:pPr>
          </w:p>
        </w:tc>
        <w:tc>
          <w:tcPr>
            <w:tcW w:w="1474" w:type="dxa"/>
            <w:vAlign w:val="center"/>
          </w:tcPr>
          <w:p w14:paraId="7A3AB927">
            <w:pPr>
              <w:pStyle w:val="14"/>
            </w:pPr>
          </w:p>
        </w:tc>
      </w:tr>
      <w:tr w14:paraId="40D84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A859B">
            <w:pPr>
              <w:pStyle w:val="12"/>
            </w:pPr>
            <w:r>
              <w:t>8</w:t>
            </w:r>
          </w:p>
        </w:tc>
        <w:tc>
          <w:tcPr>
            <w:tcW w:w="3402" w:type="dxa"/>
            <w:vAlign w:val="center"/>
          </w:tcPr>
          <w:p w14:paraId="559F2BA2">
            <w:pPr>
              <w:pStyle w:val="13"/>
            </w:pPr>
          </w:p>
        </w:tc>
        <w:tc>
          <w:tcPr>
            <w:tcW w:w="1474" w:type="dxa"/>
            <w:vAlign w:val="center"/>
          </w:tcPr>
          <w:p w14:paraId="24513137">
            <w:pPr>
              <w:pStyle w:val="14"/>
            </w:pPr>
          </w:p>
        </w:tc>
        <w:tc>
          <w:tcPr>
            <w:tcW w:w="3402" w:type="dxa"/>
            <w:vAlign w:val="center"/>
          </w:tcPr>
          <w:p w14:paraId="3F81A25E">
            <w:pPr>
              <w:pStyle w:val="13"/>
            </w:pPr>
            <w:r>
              <w:t>八、社会保障和就业支出</w:t>
            </w:r>
          </w:p>
        </w:tc>
        <w:tc>
          <w:tcPr>
            <w:tcW w:w="1474" w:type="dxa"/>
            <w:vAlign w:val="center"/>
          </w:tcPr>
          <w:p w14:paraId="43E395F4">
            <w:pPr>
              <w:pStyle w:val="14"/>
            </w:pPr>
          </w:p>
        </w:tc>
        <w:tc>
          <w:tcPr>
            <w:tcW w:w="1474" w:type="dxa"/>
            <w:vAlign w:val="center"/>
          </w:tcPr>
          <w:p w14:paraId="1CFE6E11">
            <w:pPr>
              <w:pStyle w:val="14"/>
            </w:pPr>
          </w:p>
        </w:tc>
        <w:tc>
          <w:tcPr>
            <w:tcW w:w="1474" w:type="dxa"/>
            <w:vAlign w:val="center"/>
          </w:tcPr>
          <w:p w14:paraId="43F18C9B">
            <w:pPr>
              <w:pStyle w:val="14"/>
            </w:pPr>
          </w:p>
        </w:tc>
        <w:tc>
          <w:tcPr>
            <w:tcW w:w="1474" w:type="dxa"/>
            <w:vAlign w:val="center"/>
          </w:tcPr>
          <w:p w14:paraId="224BFFC4">
            <w:pPr>
              <w:pStyle w:val="14"/>
            </w:pPr>
          </w:p>
        </w:tc>
      </w:tr>
      <w:tr w14:paraId="0741B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5D1D3">
            <w:pPr>
              <w:pStyle w:val="12"/>
            </w:pPr>
            <w:r>
              <w:t>9</w:t>
            </w:r>
          </w:p>
        </w:tc>
        <w:tc>
          <w:tcPr>
            <w:tcW w:w="3402" w:type="dxa"/>
            <w:vAlign w:val="center"/>
          </w:tcPr>
          <w:p w14:paraId="0421A16F">
            <w:pPr>
              <w:pStyle w:val="13"/>
            </w:pPr>
          </w:p>
        </w:tc>
        <w:tc>
          <w:tcPr>
            <w:tcW w:w="1474" w:type="dxa"/>
            <w:vAlign w:val="center"/>
          </w:tcPr>
          <w:p w14:paraId="19DF6056">
            <w:pPr>
              <w:pStyle w:val="14"/>
            </w:pPr>
          </w:p>
        </w:tc>
        <w:tc>
          <w:tcPr>
            <w:tcW w:w="3402" w:type="dxa"/>
            <w:vAlign w:val="center"/>
          </w:tcPr>
          <w:p w14:paraId="6BB01DD6">
            <w:pPr>
              <w:pStyle w:val="13"/>
            </w:pPr>
            <w:r>
              <w:t>九、社会保险基金支出</w:t>
            </w:r>
          </w:p>
        </w:tc>
        <w:tc>
          <w:tcPr>
            <w:tcW w:w="1474" w:type="dxa"/>
            <w:vAlign w:val="center"/>
          </w:tcPr>
          <w:p w14:paraId="05EE2C54">
            <w:pPr>
              <w:pStyle w:val="14"/>
            </w:pPr>
          </w:p>
        </w:tc>
        <w:tc>
          <w:tcPr>
            <w:tcW w:w="1474" w:type="dxa"/>
            <w:vAlign w:val="center"/>
          </w:tcPr>
          <w:p w14:paraId="467C26D1">
            <w:pPr>
              <w:pStyle w:val="14"/>
            </w:pPr>
          </w:p>
        </w:tc>
        <w:tc>
          <w:tcPr>
            <w:tcW w:w="1474" w:type="dxa"/>
            <w:vAlign w:val="center"/>
          </w:tcPr>
          <w:p w14:paraId="56E3B9AA">
            <w:pPr>
              <w:pStyle w:val="14"/>
            </w:pPr>
          </w:p>
        </w:tc>
        <w:tc>
          <w:tcPr>
            <w:tcW w:w="1474" w:type="dxa"/>
            <w:vAlign w:val="center"/>
          </w:tcPr>
          <w:p w14:paraId="41786D62">
            <w:pPr>
              <w:pStyle w:val="14"/>
            </w:pPr>
          </w:p>
        </w:tc>
      </w:tr>
      <w:tr w14:paraId="786EA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455DB">
            <w:pPr>
              <w:pStyle w:val="12"/>
            </w:pPr>
            <w:r>
              <w:t>10</w:t>
            </w:r>
          </w:p>
        </w:tc>
        <w:tc>
          <w:tcPr>
            <w:tcW w:w="3402" w:type="dxa"/>
            <w:vAlign w:val="center"/>
          </w:tcPr>
          <w:p w14:paraId="6AB7BA85">
            <w:pPr>
              <w:pStyle w:val="13"/>
            </w:pPr>
          </w:p>
        </w:tc>
        <w:tc>
          <w:tcPr>
            <w:tcW w:w="1474" w:type="dxa"/>
            <w:vAlign w:val="center"/>
          </w:tcPr>
          <w:p w14:paraId="184D8E8B">
            <w:pPr>
              <w:pStyle w:val="14"/>
            </w:pPr>
          </w:p>
        </w:tc>
        <w:tc>
          <w:tcPr>
            <w:tcW w:w="3402" w:type="dxa"/>
            <w:vAlign w:val="center"/>
          </w:tcPr>
          <w:p w14:paraId="0A2052A4">
            <w:pPr>
              <w:pStyle w:val="13"/>
            </w:pPr>
            <w:r>
              <w:t>十、卫生健康支出</w:t>
            </w:r>
          </w:p>
        </w:tc>
        <w:tc>
          <w:tcPr>
            <w:tcW w:w="1474" w:type="dxa"/>
            <w:vAlign w:val="center"/>
          </w:tcPr>
          <w:p w14:paraId="6B223F2C">
            <w:pPr>
              <w:pStyle w:val="14"/>
            </w:pPr>
          </w:p>
        </w:tc>
        <w:tc>
          <w:tcPr>
            <w:tcW w:w="1474" w:type="dxa"/>
            <w:vAlign w:val="center"/>
          </w:tcPr>
          <w:p w14:paraId="578AD748">
            <w:pPr>
              <w:pStyle w:val="14"/>
            </w:pPr>
          </w:p>
        </w:tc>
        <w:tc>
          <w:tcPr>
            <w:tcW w:w="1474" w:type="dxa"/>
            <w:vAlign w:val="center"/>
          </w:tcPr>
          <w:p w14:paraId="0714D175">
            <w:pPr>
              <w:pStyle w:val="14"/>
            </w:pPr>
          </w:p>
        </w:tc>
        <w:tc>
          <w:tcPr>
            <w:tcW w:w="1474" w:type="dxa"/>
            <w:vAlign w:val="center"/>
          </w:tcPr>
          <w:p w14:paraId="09C1453C">
            <w:pPr>
              <w:pStyle w:val="14"/>
            </w:pPr>
          </w:p>
        </w:tc>
      </w:tr>
      <w:tr w14:paraId="21BC6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EF35B">
            <w:pPr>
              <w:pStyle w:val="12"/>
            </w:pPr>
            <w:r>
              <w:t>11</w:t>
            </w:r>
          </w:p>
        </w:tc>
        <w:tc>
          <w:tcPr>
            <w:tcW w:w="3402" w:type="dxa"/>
            <w:vAlign w:val="center"/>
          </w:tcPr>
          <w:p w14:paraId="36F3C4C7">
            <w:pPr>
              <w:pStyle w:val="13"/>
            </w:pPr>
          </w:p>
        </w:tc>
        <w:tc>
          <w:tcPr>
            <w:tcW w:w="1474" w:type="dxa"/>
            <w:vAlign w:val="center"/>
          </w:tcPr>
          <w:p w14:paraId="237E1FDC">
            <w:pPr>
              <w:pStyle w:val="14"/>
            </w:pPr>
          </w:p>
        </w:tc>
        <w:tc>
          <w:tcPr>
            <w:tcW w:w="3402" w:type="dxa"/>
            <w:vAlign w:val="center"/>
          </w:tcPr>
          <w:p w14:paraId="7EF1EEC0">
            <w:pPr>
              <w:pStyle w:val="13"/>
            </w:pPr>
            <w:r>
              <w:t>十一、节能环保支出</w:t>
            </w:r>
          </w:p>
        </w:tc>
        <w:tc>
          <w:tcPr>
            <w:tcW w:w="1474" w:type="dxa"/>
            <w:vAlign w:val="center"/>
          </w:tcPr>
          <w:p w14:paraId="2AFB490E">
            <w:pPr>
              <w:pStyle w:val="14"/>
            </w:pPr>
          </w:p>
        </w:tc>
        <w:tc>
          <w:tcPr>
            <w:tcW w:w="1474" w:type="dxa"/>
            <w:vAlign w:val="center"/>
          </w:tcPr>
          <w:p w14:paraId="66900E99">
            <w:pPr>
              <w:pStyle w:val="14"/>
            </w:pPr>
          </w:p>
        </w:tc>
        <w:tc>
          <w:tcPr>
            <w:tcW w:w="1474" w:type="dxa"/>
            <w:vAlign w:val="center"/>
          </w:tcPr>
          <w:p w14:paraId="45A84A7F">
            <w:pPr>
              <w:pStyle w:val="14"/>
            </w:pPr>
          </w:p>
        </w:tc>
        <w:tc>
          <w:tcPr>
            <w:tcW w:w="1474" w:type="dxa"/>
            <w:vAlign w:val="center"/>
          </w:tcPr>
          <w:p w14:paraId="6874F397">
            <w:pPr>
              <w:pStyle w:val="14"/>
            </w:pPr>
          </w:p>
        </w:tc>
      </w:tr>
      <w:tr w14:paraId="5997D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F2041">
            <w:pPr>
              <w:pStyle w:val="12"/>
            </w:pPr>
            <w:r>
              <w:t>12</w:t>
            </w:r>
          </w:p>
        </w:tc>
        <w:tc>
          <w:tcPr>
            <w:tcW w:w="3402" w:type="dxa"/>
            <w:vAlign w:val="center"/>
          </w:tcPr>
          <w:p w14:paraId="7FE8B04D">
            <w:pPr>
              <w:pStyle w:val="13"/>
            </w:pPr>
          </w:p>
        </w:tc>
        <w:tc>
          <w:tcPr>
            <w:tcW w:w="1474" w:type="dxa"/>
            <w:vAlign w:val="center"/>
          </w:tcPr>
          <w:p w14:paraId="4695FC7F">
            <w:pPr>
              <w:pStyle w:val="14"/>
            </w:pPr>
          </w:p>
        </w:tc>
        <w:tc>
          <w:tcPr>
            <w:tcW w:w="3402" w:type="dxa"/>
            <w:vAlign w:val="center"/>
          </w:tcPr>
          <w:p w14:paraId="134513ED">
            <w:pPr>
              <w:pStyle w:val="13"/>
            </w:pPr>
            <w:r>
              <w:t>十二、城乡社区支出</w:t>
            </w:r>
          </w:p>
        </w:tc>
        <w:tc>
          <w:tcPr>
            <w:tcW w:w="1474" w:type="dxa"/>
            <w:vAlign w:val="center"/>
          </w:tcPr>
          <w:p w14:paraId="72FDD53A">
            <w:pPr>
              <w:pStyle w:val="14"/>
            </w:pPr>
          </w:p>
        </w:tc>
        <w:tc>
          <w:tcPr>
            <w:tcW w:w="1474" w:type="dxa"/>
            <w:vAlign w:val="center"/>
          </w:tcPr>
          <w:p w14:paraId="4A7E1E61">
            <w:pPr>
              <w:pStyle w:val="14"/>
            </w:pPr>
          </w:p>
        </w:tc>
        <w:tc>
          <w:tcPr>
            <w:tcW w:w="1474" w:type="dxa"/>
            <w:vAlign w:val="center"/>
          </w:tcPr>
          <w:p w14:paraId="1D20A5A3">
            <w:pPr>
              <w:pStyle w:val="14"/>
            </w:pPr>
          </w:p>
        </w:tc>
        <w:tc>
          <w:tcPr>
            <w:tcW w:w="1474" w:type="dxa"/>
            <w:vAlign w:val="center"/>
          </w:tcPr>
          <w:p w14:paraId="7DCA3A43">
            <w:pPr>
              <w:pStyle w:val="14"/>
            </w:pPr>
          </w:p>
        </w:tc>
      </w:tr>
      <w:tr w14:paraId="34A3D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B0B63">
            <w:pPr>
              <w:pStyle w:val="12"/>
            </w:pPr>
            <w:r>
              <w:t>13</w:t>
            </w:r>
          </w:p>
        </w:tc>
        <w:tc>
          <w:tcPr>
            <w:tcW w:w="3402" w:type="dxa"/>
            <w:vAlign w:val="center"/>
          </w:tcPr>
          <w:p w14:paraId="36C3F718">
            <w:pPr>
              <w:pStyle w:val="13"/>
            </w:pPr>
          </w:p>
        </w:tc>
        <w:tc>
          <w:tcPr>
            <w:tcW w:w="1474" w:type="dxa"/>
            <w:vAlign w:val="center"/>
          </w:tcPr>
          <w:p w14:paraId="2B559224">
            <w:pPr>
              <w:pStyle w:val="14"/>
            </w:pPr>
          </w:p>
        </w:tc>
        <w:tc>
          <w:tcPr>
            <w:tcW w:w="3402" w:type="dxa"/>
            <w:vAlign w:val="center"/>
          </w:tcPr>
          <w:p w14:paraId="317A511E">
            <w:pPr>
              <w:pStyle w:val="13"/>
            </w:pPr>
            <w:r>
              <w:t>十三、农林水支出</w:t>
            </w:r>
          </w:p>
        </w:tc>
        <w:tc>
          <w:tcPr>
            <w:tcW w:w="1474" w:type="dxa"/>
            <w:vAlign w:val="center"/>
          </w:tcPr>
          <w:p w14:paraId="219F94FF">
            <w:pPr>
              <w:pStyle w:val="14"/>
            </w:pPr>
          </w:p>
        </w:tc>
        <w:tc>
          <w:tcPr>
            <w:tcW w:w="1474" w:type="dxa"/>
            <w:vAlign w:val="center"/>
          </w:tcPr>
          <w:p w14:paraId="293F630D">
            <w:pPr>
              <w:pStyle w:val="14"/>
            </w:pPr>
          </w:p>
        </w:tc>
        <w:tc>
          <w:tcPr>
            <w:tcW w:w="1474" w:type="dxa"/>
            <w:vAlign w:val="center"/>
          </w:tcPr>
          <w:p w14:paraId="25C559C0">
            <w:pPr>
              <w:pStyle w:val="14"/>
            </w:pPr>
          </w:p>
        </w:tc>
        <w:tc>
          <w:tcPr>
            <w:tcW w:w="1474" w:type="dxa"/>
            <w:vAlign w:val="center"/>
          </w:tcPr>
          <w:p w14:paraId="5C659685">
            <w:pPr>
              <w:pStyle w:val="14"/>
            </w:pPr>
          </w:p>
        </w:tc>
      </w:tr>
      <w:tr w14:paraId="26F8A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49CC1">
            <w:pPr>
              <w:pStyle w:val="12"/>
            </w:pPr>
            <w:r>
              <w:t>14</w:t>
            </w:r>
          </w:p>
        </w:tc>
        <w:tc>
          <w:tcPr>
            <w:tcW w:w="3402" w:type="dxa"/>
            <w:vAlign w:val="center"/>
          </w:tcPr>
          <w:p w14:paraId="62317206">
            <w:pPr>
              <w:pStyle w:val="13"/>
            </w:pPr>
          </w:p>
        </w:tc>
        <w:tc>
          <w:tcPr>
            <w:tcW w:w="1474" w:type="dxa"/>
            <w:vAlign w:val="center"/>
          </w:tcPr>
          <w:p w14:paraId="4F953FF8">
            <w:pPr>
              <w:pStyle w:val="14"/>
            </w:pPr>
          </w:p>
        </w:tc>
        <w:tc>
          <w:tcPr>
            <w:tcW w:w="3402" w:type="dxa"/>
            <w:vAlign w:val="center"/>
          </w:tcPr>
          <w:p w14:paraId="557F112B">
            <w:pPr>
              <w:pStyle w:val="13"/>
            </w:pPr>
            <w:r>
              <w:t>十四、交通运输支出</w:t>
            </w:r>
          </w:p>
        </w:tc>
        <w:tc>
          <w:tcPr>
            <w:tcW w:w="1474" w:type="dxa"/>
            <w:vAlign w:val="center"/>
          </w:tcPr>
          <w:p w14:paraId="70573C3B">
            <w:pPr>
              <w:pStyle w:val="14"/>
            </w:pPr>
          </w:p>
        </w:tc>
        <w:tc>
          <w:tcPr>
            <w:tcW w:w="1474" w:type="dxa"/>
            <w:vAlign w:val="center"/>
          </w:tcPr>
          <w:p w14:paraId="0D966A8E">
            <w:pPr>
              <w:pStyle w:val="14"/>
            </w:pPr>
          </w:p>
        </w:tc>
        <w:tc>
          <w:tcPr>
            <w:tcW w:w="1474" w:type="dxa"/>
            <w:vAlign w:val="center"/>
          </w:tcPr>
          <w:p w14:paraId="4993B032">
            <w:pPr>
              <w:pStyle w:val="14"/>
            </w:pPr>
          </w:p>
        </w:tc>
        <w:tc>
          <w:tcPr>
            <w:tcW w:w="1474" w:type="dxa"/>
            <w:vAlign w:val="center"/>
          </w:tcPr>
          <w:p w14:paraId="36762DB2">
            <w:pPr>
              <w:pStyle w:val="14"/>
            </w:pPr>
          </w:p>
        </w:tc>
      </w:tr>
      <w:tr w14:paraId="3A5E1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34707">
            <w:pPr>
              <w:pStyle w:val="12"/>
            </w:pPr>
            <w:r>
              <w:t>15</w:t>
            </w:r>
          </w:p>
        </w:tc>
        <w:tc>
          <w:tcPr>
            <w:tcW w:w="3402" w:type="dxa"/>
            <w:vAlign w:val="center"/>
          </w:tcPr>
          <w:p w14:paraId="14BF9B3A">
            <w:pPr>
              <w:pStyle w:val="13"/>
            </w:pPr>
          </w:p>
        </w:tc>
        <w:tc>
          <w:tcPr>
            <w:tcW w:w="1474" w:type="dxa"/>
            <w:vAlign w:val="center"/>
          </w:tcPr>
          <w:p w14:paraId="59B0416B">
            <w:pPr>
              <w:pStyle w:val="14"/>
            </w:pPr>
          </w:p>
        </w:tc>
        <w:tc>
          <w:tcPr>
            <w:tcW w:w="3402" w:type="dxa"/>
            <w:vAlign w:val="center"/>
          </w:tcPr>
          <w:p w14:paraId="74550DB0">
            <w:pPr>
              <w:pStyle w:val="13"/>
            </w:pPr>
            <w:r>
              <w:t>十五、资源勘探工业信息等支出</w:t>
            </w:r>
          </w:p>
        </w:tc>
        <w:tc>
          <w:tcPr>
            <w:tcW w:w="1474" w:type="dxa"/>
            <w:vAlign w:val="center"/>
          </w:tcPr>
          <w:p w14:paraId="046816A3">
            <w:pPr>
              <w:pStyle w:val="14"/>
            </w:pPr>
          </w:p>
        </w:tc>
        <w:tc>
          <w:tcPr>
            <w:tcW w:w="1474" w:type="dxa"/>
            <w:vAlign w:val="center"/>
          </w:tcPr>
          <w:p w14:paraId="4B0F36C8">
            <w:pPr>
              <w:pStyle w:val="14"/>
            </w:pPr>
          </w:p>
        </w:tc>
        <w:tc>
          <w:tcPr>
            <w:tcW w:w="1474" w:type="dxa"/>
            <w:vAlign w:val="center"/>
          </w:tcPr>
          <w:p w14:paraId="0F6273FE">
            <w:pPr>
              <w:pStyle w:val="14"/>
            </w:pPr>
          </w:p>
        </w:tc>
        <w:tc>
          <w:tcPr>
            <w:tcW w:w="1474" w:type="dxa"/>
            <w:vAlign w:val="center"/>
          </w:tcPr>
          <w:p w14:paraId="6615A6E9">
            <w:pPr>
              <w:pStyle w:val="14"/>
            </w:pPr>
          </w:p>
        </w:tc>
      </w:tr>
      <w:tr w14:paraId="7249A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8F61D">
            <w:pPr>
              <w:pStyle w:val="12"/>
            </w:pPr>
            <w:r>
              <w:t>16</w:t>
            </w:r>
          </w:p>
        </w:tc>
        <w:tc>
          <w:tcPr>
            <w:tcW w:w="3402" w:type="dxa"/>
            <w:vAlign w:val="center"/>
          </w:tcPr>
          <w:p w14:paraId="1CEC5E60">
            <w:pPr>
              <w:pStyle w:val="13"/>
            </w:pPr>
          </w:p>
        </w:tc>
        <w:tc>
          <w:tcPr>
            <w:tcW w:w="1474" w:type="dxa"/>
            <w:vAlign w:val="center"/>
          </w:tcPr>
          <w:p w14:paraId="1797DF3D">
            <w:pPr>
              <w:pStyle w:val="14"/>
            </w:pPr>
          </w:p>
        </w:tc>
        <w:tc>
          <w:tcPr>
            <w:tcW w:w="3402" w:type="dxa"/>
            <w:vAlign w:val="center"/>
          </w:tcPr>
          <w:p w14:paraId="70E6B7A9">
            <w:pPr>
              <w:pStyle w:val="13"/>
            </w:pPr>
            <w:r>
              <w:t>十六、商业服务业等支出</w:t>
            </w:r>
          </w:p>
        </w:tc>
        <w:tc>
          <w:tcPr>
            <w:tcW w:w="1474" w:type="dxa"/>
            <w:vAlign w:val="center"/>
          </w:tcPr>
          <w:p w14:paraId="1501E75E">
            <w:pPr>
              <w:pStyle w:val="14"/>
            </w:pPr>
          </w:p>
        </w:tc>
        <w:tc>
          <w:tcPr>
            <w:tcW w:w="1474" w:type="dxa"/>
            <w:vAlign w:val="center"/>
          </w:tcPr>
          <w:p w14:paraId="04273D79">
            <w:pPr>
              <w:pStyle w:val="14"/>
            </w:pPr>
          </w:p>
        </w:tc>
        <w:tc>
          <w:tcPr>
            <w:tcW w:w="1474" w:type="dxa"/>
            <w:vAlign w:val="center"/>
          </w:tcPr>
          <w:p w14:paraId="0AE40C69">
            <w:pPr>
              <w:pStyle w:val="14"/>
            </w:pPr>
          </w:p>
        </w:tc>
        <w:tc>
          <w:tcPr>
            <w:tcW w:w="1474" w:type="dxa"/>
            <w:vAlign w:val="center"/>
          </w:tcPr>
          <w:p w14:paraId="69C1FE48">
            <w:pPr>
              <w:pStyle w:val="14"/>
            </w:pPr>
          </w:p>
        </w:tc>
      </w:tr>
      <w:tr w14:paraId="13087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2617F">
            <w:pPr>
              <w:pStyle w:val="12"/>
            </w:pPr>
            <w:r>
              <w:t>17</w:t>
            </w:r>
          </w:p>
        </w:tc>
        <w:tc>
          <w:tcPr>
            <w:tcW w:w="3402" w:type="dxa"/>
            <w:vAlign w:val="center"/>
          </w:tcPr>
          <w:p w14:paraId="127E037E">
            <w:pPr>
              <w:pStyle w:val="13"/>
            </w:pPr>
          </w:p>
        </w:tc>
        <w:tc>
          <w:tcPr>
            <w:tcW w:w="1474" w:type="dxa"/>
            <w:vAlign w:val="center"/>
          </w:tcPr>
          <w:p w14:paraId="7B08B58C">
            <w:pPr>
              <w:pStyle w:val="14"/>
            </w:pPr>
          </w:p>
        </w:tc>
        <w:tc>
          <w:tcPr>
            <w:tcW w:w="3402" w:type="dxa"/>
            <w:vAlign w:val="center"/>
          </w:tcPr>
          <w:p w14:paraId="63BB1ABE">
            <w:pPr>
              <w:pStyle w:val="13"/>
            </w:pPr>
            <w:r>
              <w:t>十七、金融支出</w:t>
            </w:r>
          </w:p>
        </w:tc>
        <w:tc>
          <w:tcPr>
            <w:tcW w:w="1474" w:type="dxa"/>
            <w:vAlign w:val="center"/>
          </w:tcPr>
          <w:p w14:paraId="3FC95170">
            <w:pPr>
              <w:pStyle w:val="14"/>
            </w:pPr>
          </w:p>
        </w:tc>
        <w:tc>
          <w:tcPr>
            <w:tcW w:w="1474" w:type="dxa"/>
            <w:vAlign w:val="center"/>
          </w:tcPr>
          <w:p w14:paraId="0D298492">
            <w:pPr>
              <w:pStyle w:val="14"/>
            </w:pPr>
          </w:p>
        </w:tc>
        <w:tc>
          <w:tcPr>
            <w:tcW w:w="1474" w:type="dxa"/>
            <w:vAlign w:val="center"/>
          </w:tcPr>
          <w:p w14:paraId="6AB72A08">
            <w:pPr>
              <w:pStyle w:val="14"/>
            </w:pPr>
          </w:p>
        </w:tc>
        <w:tc>
          <w:tcPr>
            <w:tcW w:w="1474" w:type="dxa"/>
            <w:vAlign w:val="center"/>
          </w:tcPr>
          <w:p w14:paraId="7BE559A9">
            <w:pPr>
              <w:pStyle w:val="14"/>
            </w:pPr>
          </w:p>
        </w:tc>
      </w:tr>
      <w:tr w14:paraId="52E51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806A4">
            <w:pPr>
              <w:pStyle w:val="12"/>
            </w:pPr>
            <w:r>
              <w:t>18</w:t>
            </w:r>
          </w:p>
        </w:tc>
        <w:tc>
          <w:tcPr>
            <w:tcW w:w="3402" w:type="dxa"/>
            <w:vAlign w:val="center"/>
          </w:tcPr>
          <w:p w14:paraId="30CB369D">
            <w:pPr>
              <w:pStyle w:val="13"/>
            </w:pPr>
          </w:p>
        </w:tc>
        <w:tc>
          <w:tcPr>
            <w:tcW w:w="1474" w:type="dxa"/>
            <w:vAlign w:val="center"/>
          </w:tcPr>
          <w:p w14:paraId="3AF23FE6">
            <w:pPr>
              <w:pStyle w:val="14"/>
            </w:pPr>
          </w:p>
        </w:tc>
        <w:tc>
          <w:tcPr>
            <w:tcW w:w="3402" w:type="dxa"/>
            <w:vAlign w:val="center"/>
          </w:tcPr>
          <w:p w14:paraId="454399BF">
            <w:pPr>
              <w:pStyle w:val="13"/>
            </w:pPr>
            <w:r>
              <w:t>十八、援助其他地区支出</w:t>
            </w:r>
          </w:p>
        </w:tc>
        <w:tc>
          <w:tcPr>
            <w:tcW w:w="1474" w:type="dxa"/>
            <w:vAlign w:val="center"/>
          </w:tcPr>
          <w:p w14:paraId="5079AC6F">
            <w:pPr>
              <w:pStyle w:val="14"/>
            </w:pPr>
          </w:p>
        </w:tc>
        <w:tc>
          <w:tcPr>
            <w:tcW w:w="1474" w:type="dxa"/>
            <w:vAlign w:val="center"/>
          </w:tcPr>
          <w:p w14:paraId="398B4EDC">
            <w:pPr>
              <w:pStyle w:val="14"/>
            </w:pPr>
          </w:p>
        </w:tc>
        <w:tc>
          <w:tcPr>
            <w:tcW w:w="1474" w:type="dxa"/>
            <w:vAlign w:val="center"/>
          </w:tcPr>
          <w:p w14:paraId="40B67C75">
            <w:pPr>
              <w:pStyle w:val="14"/>
            </w:pPr>
          </w:p>
        </w:tc>
        <w:tc>
          <w:tcPr>
            <w:tcW w:w="1474" w:type="dxa"/>
            <w:vAlign w:val="center"/>
          </w:tcPr>
          <w:p w14:paraId="468FA28C">
            <w:pPr>
              <w:pStyle w:val="14"/>
            </w:pPr>
          </w:p>
        </w:tc>
      </w:tr>
      <w:tr w14:paraId="4702A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A7ED5">
            <w:pPr>
              <w:pStyle w:val="12"/>
            </w:pPr>
            <w:r>
              <w:t>19</w:t>
            </w:r>
          </w:p>
        </w:tc>
        <w:tc>
          <w:tcPr>
            <w:tcW w:w="3402" w:type="dxa"/>
            <w:vAlign w:val="center"/>
          </w:tcPr>
          <w:p w14:paraId="0A1622B1">
            <w:pPr>
              <w:pStyle w:val="13"/>
            </w:pPr>
          </w:p>
        </w:tc>
        <w:tc>
          <w:tcPr>
            <w:tcW w:w="1474" w:type="dxa"/>
            <w:vAlign w:val="center"/>
          </w:tcPr>
          <w:p w14:paraId="70469674">
            <w:pPr>
              <w:pStyle w:val="14"/>
            </w:pPr>
          </w:p>
        </w:tc>
        <w:tc>
          <w:tcPr>
            <w:tcW w:w="3402" w:type="dxa"/>
            <w:vAlign w:val="center"/>
          </w:tcPr>
          <w:p w14:paraId="233BD7D2">
            <w:pPr>
              <w:pStyle w:val="13"/>
            </w:pPr>
            <w:r>
              <w:t>十九、自然资源海洋气象等支出</w:t>
            </w:r>
          </w:p>
        </w:tc>
        <w:tc>
          <w:tcPr>
            <w:tcW w:w="1474" w:type="dxa"/>
            <w:vAlign w:val="center"/>
          </w:tcPr>
          <w:p w14:paraId="48EC2369">
            <w:pPr>
              <w:pStyle w:val="14"/>
            </w:pPr>
          </w:p>
        </w:tc>
        <w:tc>
          <w:tcPr>
            <w:tcW w:w="1474" w:type="dxa"/>
            <w:vAlign w:val="center"/>
          </w:tcPr>
          <w:p w14:paraId="3EF82F9B">
            <w:pPr>
              <w:pStyle w:val="14"/>
            </w:pPr>
          </w:p>
        </w:tc>
        <w:tc>
          <w:tcPr>
            <w:tcW w:w="1474" w:type="dxa"/>
            <w:vAlign w:val="center"/>
          </w:tcPr>
          <w:p w14:paraId="2A99EAF3">
            <w:pPr>
              <w:pStyle w:val="14"/>
            </w:pPr>
          </w:p>
        </w:tc>
        <w:tc>
          <w:tcPr>
            <w:tcW w:w="1474" w:type="dxa"/>
            <w:vAlign w:val="center"/>
          </w:tcPr>
          <w:p w14:paraId="6121DC15">
            <w:pPr>
              <w:pStyle w:val="14"/>
            </w:pPr>
          </w:p>
        </w:tc>
      </w:tr>
      <w:tr w14:paraId="424F3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5CA66">
            <w:pPr>
              <w:pStyle w:val="12"/>
            </w:pPr>
            <w:r>
              <w:t>20</w:t>
            </w:r>
          </w:p>
        </w:tc>
        <w:tc>
          <w:tcPr>
            <w:tcW w:w="3402" w:type="dxa"/>
            <w:vAlign w:val="center"/>
          </w:tcPr>
          <w:p w14:paraId="0739A78D">
            <w:pPr>
              <w:pStyle w:val="13"/>
            </w:pPr>
          </w:p>
        </w:tc>
        <w:tc>
          <w:tcPr>
            <w:tcW w:w="1474" w:type="dxa"/>
            <w:vAlign w:val="center"/>
          </w:tcPr>
          <w:p w14:paraId="1516B182">
            <w:pPr>
              <w:pStyle w:val="14"/>
            </w:pPr>
          </w:p>
        </w:tc>
        <w:tc>
          <w:tcPr>
            <w:tcW w:w="3402" w:type="dxa"/>
            <w:vAlign w:val="center"/>
          </w:tcPr>
          <w:p w14:paraId="63144FDC">
            <w:pPr>
              <w:pStyle w:val="13"/>
            </w:pPr>
            <w:r>
              <w:t>二十、住房保障支出</w:t>
            </w:r>
          </w:p>
        </w:tc>
        <w:tc>
          <w:tcPr>
            <w:tcW w:w="1474" w:type="dxa"/>
            <w:vAlign w:val="center"/>
          </w:tcPr>
          <w:p w14:paraId="2E5841CE">
            <w:pPr>
              <w:pStyle w:val="14"/>
            </w:pPr>
          </w:p>
        </w:tc>
        <w:tc>
          <w:tcPr>
            <w:tcW w:w="1474" w:type="dxa"/>
            <w:vAlign w:val="center"/>
          </w:tcPr>
          <w:p w14:paraId="2CFC9DC3">
            <w:pPr>
              <w:pStyle w:val="14"/>
            </w:pPr>
          </w:p>
        </w:tc>
        <w:tc>
          <w:tcPr>
            <w:tcW w:w="1474" w:type="dxa"/>
            <w:vAlign w:val="center"/>
          </w:tcPr>
          <w:p w14:paraId="2B172A3E">
            <w:pPr>
              <w:pStyle w:val="14"/>
            </w:pPr>
          </w:p>
        </w:tc>
        <w:tc>
          <w:tcPr>
            <w:tcW w:w="1474" w:type="dxa"/>
            <w:vAlign w:val="center"/>
          </w:tcPr>
          <w:p w14:paraId="7EE68236">
            <w:pPr>
              <w:pStyle w:val="14"/>
            </w:pPr>
          </w:p>
        </w:tc>
      </w:tr>
      <w:tr w14:paraId="3094F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09DB5">
            <w:pPr>
              <w:pStyle w:val="12"/>
            </w:pPr>
            <w:r>
              <w:t>21</w:t>
            </w:r>
          </w:p>
        </w:tc>
        <w:tc>
          <w:tcPr>
            <w:tcW w:w="3402" w:type="dxa"/>
            <w:vAlign w:val="center"/>
          </w:tcPr>
          <w:p w14:paraId="54A1EBCA">
            <w:pPr>
              <w:pStyle w:val="13"/>
            </w:pPr>
          </w:p>
        </w:tc>
        <w:tc>
          <w:tcPr>
            <w:tcW w:w="1474" w:type="dxa"/>
            <w:vAlign w:val="center"/>
          </w:tcPr>
          <w:p w14:paraId="51841E9A">
            <w:pPr>
              <w:pStyle w:val="14"/>
            </w:pPr>
          </w:p>
        </w:tc>
        <w:tc>
          <w:tcPr>
            <w:tcW w:w="3402" w:type="dxa"/>
            <w:vAlign w:val="center"/>
          </w:tcPr>
          <w:p w14:paraId="1E413BB9">
            <w:pPr>
              <w:pStyle w:val="13"/>
            </w:pPr>
            <w:r>
              <w:t>二十一、粮油物资储备支出</w:t>
            </w:r>
          </w:p>
        </w:tc>
        <w:tc>
          <w:tcPr>
            <w:tcW w:w="1474" w:type="dxa"/>
            <w:vAlign w:val="center"/>
          </w:tcPr>
          <w:p w14:paraId="336713A9">
            <w:pPr>
              <w:pStyle w:val="14"/>
            </w:pPr>
          </w:p>
        </w:tc>
        <w:tc>
          <w:tcPr>
            <w:tcW w:w="1474" w:type="dxa"/>
            <w:vAlign w:val="center"/>
          </w:tcPr>
          <w:p w14:paraId="05C7D330">
            <w:pPr>
              <w:pStyle w:val="14"/>
            </w:pPr>
          </w:p>
        </w:tc>
        <w:tc>
          <w:tcPr>
            <w:tcW w:w="1474" w:type="dxa"/>
            <w:vAlign w:val="center"/>
          </w:tcPr>
          <w:p w14:paraId="213E6BAB">
            <w:pPr>
              <w:pStyle w:val="14"/>
            </w:pPr>
          </w:p>
        </w:tc>
        <w:tc>
          <w:tcPr>
            <w:tcW w:w="1474" w:type="dxa"/>
            <w:vAlign w:val="center"/>
          </w:tcPr>
          <w:p w14:paraId="4A0B1F90">
            <w:pPr>
              <w:pStyle w:val="14"/>
            </w:pPr>
          </w:p>
        </w:tc>
      </w:tr>
      <w:tr w14:paraId="3FB60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99D20">
            <w:pPr>
              <w:pStyle w:val="12"/>
            </w:pPr>
            <w:r>
              <w:t>22</w:t>
            </w:r>
          </w:p>
        </w:tc>
        <w:tc>
          <w:tcPr>
            <w:tcW w:w="3402" w:type="dxa"/>
            <w:vAlign w:val="center"/>
          </w:tcPr>
          <w:p w14:paraId="5FB30AA4">
            <w:pPr>
              <w:pStyle w:val="13"/>
            </w:pPr>
          </w:p>
        </w:tc>
        <w:tc>
          <w:tcPr>
            <w:tcW w:w="1474" w:type="dxa"/>
            <w:vAlign w:val="center"/>
          </w:tcPr>
          <w:p w14:paraId="676D3B02">
            <w:pPr>
              <w:pStyle w:val="14"/>
            </w:pPr>
          </w:p>
        </w:tc>
        <w:tc>
          <w:tcPr>
            <w:tcW w:w="3402" w:type="dxa"/>
            <w:vAlign w:val="center"/>
          </w:tcPr>
          <w:p w14:paraId="1AA62A5C">
            <w:pPr>
              <w:pStyle w:val="13"/>
            </w:pPr>
            <w:r>
              <w:t>二十二、国有资本经营预算支出</w:t>
            </w:r>
          </w:p>
        </w:tc>
        <w:tc>
          <w:tcPr>
            <w:tcW w:w="1474" w:type="dxa"/>
            <w:vAlign w:val="center"/>
          </w:tcPr>
          <w:p w14:paraId="3BC05114">
            <w:pPr>
              <w:pStyle w:val="14"/>
            </w:pPr>
          </w:p>
        </w:tc>
        <w:tc>
          <w:tcPr>
            <w:tcW w:w="1474" w:type="dxa"/>
            <w:vAlign w:val="center"/>
          </w:tcPr>
          <w:p w14:paraId="03A56134">
            <w:pPr>
              <w:pStyle w:val="14"/>
            </w:pPr>
          </w:p>
        </w:tc>
        <w:tc>
          <w:tcPr>
            <w:tcW w:w="1474" w:type="dxa"/>
            <w:vAlign w:val="center"/>
          </w:tcPr>
          <w:p w14:paraId="5CAFB008">
            <w:pPr>
              <w:pStyle w:val="14"/>
            </w:pPr>
          </w:p>
        </w:tc>
        <w:tc>
          <w:tcPr>
            <w:tcW w:w="1474" w:type="dxa"/>
            <w:vAlign w:val="center"/>
          </w:tcPr>
          <w:p w14:paraId="010E8C33">
            <w:pPr>
              <w:pStyle w:val="14"/>
            </w:pPr>
          </w:p>
        </w:tc>
      </w:tr>
      <w:tr w14:paraId="5060A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71585">
            <w:pPr>
              <w:pStyle w:val="12"/>
            </w:pPr>
            <w:r>
              <w:t>23</w:t>
            </w:r>
          </w:p>
        </w:tc>
        <w:tc>
          <w:tcPr>
            <w:tcW w:w="3402" w:type="dxa"/>
            <w:vAlign w:val="center"/>
          </w:tcPr>
          <w:p w14:paraId="082BFD4F">
            <w:pPr>
              <w:pStyle w:val="13"/>
            </w:pPr>
          </w:p>
        </w:tc>
        <w:tc>
          <w:tcPr>
            <w:tcW w:w="1474" w:type="dxa"/>
            <w:vAlign w:val="center"/>
          </w:tcPr>
          <w:p w14:paraId="0159BA0C">
            <w:pPr>
              <w:pStyle w:val="14"/>
            </w:pPr>
          </w:p>
        </w:tc>
        <w:tc>
          <w:tcPr>
            <w:tcW w:w="3402" w:type="dxa"/>
            <w:vAlign w:val="center"/>
          </w:tcPr>
          <w:p w14:paraId="3A3AA045">
            <w:pPr>
              <w:pStyle w:val="13"/>
            </w:pPr>
            <w:r>
              <w:t>二十三、灾害防治及应急管理支出</w:t>
            </w:r>
          </w:p>
        </w:tc>
        <w:tc>
          <w:tcPr>
            <w:tcW w:w="1474" w:type="dxa"/>
            <w:vAlign w:val="center"/>
          </w:tcPr>
          <w:p w14:paraId="1F0690DD">
            <w:pPr>
              <w:pStyle w:val="14"/>
            </w:pPr>
          </w:p>
        </w:tc>
        <w:tc>
          <w:tcPr>
            <w:tcW w:w="1474" w:type="dxa"/>
            <w:vAlign w:val="center"/>
          </w:tcPr>
          <w:p w14:paraId="2D50A2A7">
            <w:pPr>
              <w:pStyle w:val="14"/>
            </w:pPr>
          </w:p>
        </w:tc>
        <w:tc>
          <w:tcPr>
            <w:tcW w:w="1474" w:type="dxa"/>
            <w:vAlign w:val="center"/>
          </w:tcPr>
          <w:p w14:paraId="6EBACDE9">
            <w:pPr>
              <w:pStyle w:val="14"/>
            </w:pPr>
          </w:p>
        </w:tc>
        <w:tc>
          <w:tcPr>
            <w:tcW w:w="1474" w:type="dxa"/>
            <w:vAlign w:val="center"/>
          </w:tcPr>
          <w:p w14:paraId="5CFB4774">
            <w:pPr>
              <w:pStyle w:val="14"/>
            </w:pPr>
          </w:p>
        </w:tc>
      </w:tr>
      <w:tr w14:paraId="6DC2C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9E7C2">
            <w:pPr>
              <w:pStyle w:val="12"/>
            </w:pPr>
            <w:r>
              <w:t>24</w:t>
            </w:r>
          </w:p>
        </w:tc>
        <w:tc>
          <w:tcPr>
            <w:tcW w:w="3402" w:type="dxa"/>
            <w:vAlign w:val="center"/>
          </w:tcPr>
          <w:p w14:paraId="2AF09C04">
            <w:pPr>
              <w:pStyle w:val="13"/>
            </w:pPr>
          </w:p>
        </w:tc>
        <w:tc>
          <w:tcPr>
            <w:tcW w:w="1474" w:type="dxa"/>
            <w:vAlign w:val="center"/>
          </w:tcPr>
          <w:p w14:paraId="28CB1BAA">
            <w:pPr>
              <w:pStyle w:val="14"/>
            </w:pPr>
          </w:p>
        </w:tc>
        <w:tc>
          <w:tcPr>
            <w:tcW w:w="3402" w:type="dxa"/>
            <w:vAlign w:val="center"/>
          </w:tcPr>
          <w:p w14:paraId="02C33786">
            <w:pPr>
              <w:pStyle w:val="13"/>
            </w:pPr>
            <w:r>
              <w:t>二十四、预备费</w:t>
            </w:r>
          </w:p>
        </w:tc>
        <w:tc>
          <w:tcPr>
            <w:tcW w:w="1474" w:type="dxa"/>
            <w:vAlign w:val="center"/>
          </w:tcPr>
          <w:p w14:paraId="043CC42F">
            <w:pPr>
              <w:pStyle w:val="14"/>
            </w:pPr>
          </w:p>
        </w:tc>
        <w:tc>
          <w:tcPr>
            <w:tcW w:w="1474" w:type="dxa"/>
            <w:vAlign w:val="center"/>
          </w:tcPr>
          <w:p w14:paraId="7D87D739">
            <w:pPr>
              <w:pStyle w:val="14"/>
            </w:pPr>
          </w:p>
        </w:tc>
        <w:tc>
          <w:tcPr>
            <w:tcW w:w="1474" w:type="dxa"/>
            <w:vAlign w:val="center"/>
          </w:tcPr>
          <w:p w14:paraId="6E06F13B">
            <w:pPr>
              <w:pStyle w:val="14"/>
            </w:pPr>
          </w:p>
        </w:tc>
        <w:tc>
          <w:tcPr>
            <w:tcW w:w="1474" w:type="dxa"/>
            <w:vAlign w:val="center"/>
          </w:tcPr>
          <w:p w14:paraId="5E5956C9">
            <w:pPr>
              <w:pStyle w:val="14"/>
            </w:pPr>
          </w:p>
        </w:tc>
      </w:tr>
      <w:tr w14:paraId="19BA5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B94B5">
            <w:pPr>
              <w:pStyle w:val="12"/>
            </w:pPr>
            <w:r>
              <w:t>25</w:t>
            </w:r>
          </w:p>
        </w:tc>
        <w:tc>
          <w:tcPr>
            <w:tcW w:w="3402" w:type="dxa"/>
            <w:vAlign w:val="center"/>
          </w:tcPr>
          <w:p w14:paraId="2FC40941">
            <w:pPr>
              <w:pStyle w:val="13"/>
            </w:pPr>
          </w:p>
        </w:tc>
        <w:tc>
          <w:tcPr>
            <w:tcW w:w="1474" w:type="dxa"/>
            <w:vAlign w:val="center"/>
          </w:tcPr>
          <w:p w14:paraId="6C1613A7">
            <w:pPr>
              <w:pStyle w:val="14"/>
            </w:pPr>
          </w:p>
        </w:tc>
        <w:tc>
          <w:tcPr>
            <w:tcW w:w="3402" w:type="dxa"/>
            <w:vAlign w:val="center"/>
          </w:tcPr>
          <w:p w14:paraId="65A7B758">
            <w:pPr>
              <w:pStyle w:val="13"/>
            </w:pPr>
            <w:r>
              <w:t>二十五、其他支出</w:t>
            </w:r>
          </w:p>
        </w:tc>
        <w:tc>
          <w:tcPr>
            <w:tcW w:w="1474" w:type="dxa"/>
            <w:vAlign w:val="center"/>
          </w:tcPr>
          <w:p w14:paraId="1F6C361F">
            <w:pPr>
              <w:pStyle w:val="14"/>
            </w:pPr>
          </w:p>
        </w:tc>
        <w:tc>
          <w:tcPr>
            <w:tcW w:w="1474" w:type="dxa"/>
            <w:vAlign w:val="center"/>
          </w:tcPr>
          <w:p w14:paraId="3A1A9A50">
            <w:pPr>
              <w:pStyle w:val="14"/>
            </w:pPr>
          </w:p>
        </w:tc>
        <w:tc>
          <w:tcPr>
            <w:tcW w:w="1474" w:type="dxa"/>
            <w:vAlign w:val="center"/>
          </w:tcPr>
          <w:p w14:paraId="719502E2">
            <w:pPr>
              <w:pStyle w:val="14"/>
            </w:pPr>
          </w:p>
        </w:tc>
        <w:tc>
          <w:tcPr>
            <w:tcW w:w="1474" w:type="dxa"/>
            <w:vAlign w:val="center"/>
          </w:tcPr>
          <w:p w14:paraId="24A182E8">
            <w:pPr>
              <w:pStyle w:val="14"/>
            </w:pPr>
          </w:p>
        </w:tc>
      </w:tr>
      <w:tr w14:paraId="5A491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854CA">
            <w:pPr>
              <w:pStyle w:val="12"/>
            </w:pPr>
            <w:r>
              <w:t>26</w:t>
            </w:r>
          </w:p>
        </w:tc>
        <w:tc>
          <w:tcPr>
            <w:tcW w:w="3402" w:type="dxa"/>
            <w:vAlign w:val="center"/>
          </w:tcPr>
          <w:p w14:paraId="18E916A4">
            <w:pPr>
              <w:pStyle w:val="13"/>
            </w:pPr>
          </w:p>
        </w:tc>
        <w:tc>
          <w:tcPr>
            <w:tcW w:w="1474" w:type="dxa"/>
            <w:vAlign w:val="center"/>
          </w:tcPr>
          <w:p w14:paraId="1090C180">
            <w:pPr>
              <w:pStyle w:val="14"/>
            </w:pPr>
          </w:p>
        </w:tc>
        <w:tc>
          <w:tcPr>
            <w:tcW w:w="3402" w:type="dxa"/>
            <w:vAlign w:val="center"/>
          </w:tcPr>
          <w:p w14:paraId="708CC514">
            <w:pPr>
              <w:pStyle w:val="13"/>
            </w:pPr>
            <w:r>
              <w:t>二十六、转移性支出</w:t>
            </w:r>
          </w:p>
        </w:tc>
        <w:tc>
          <w:tcPr>
            <w:tcW w:w="1474" w:type="dxa"/>
            <w:vAlign w:val="center"/>
          </w:tcPr>
          <w:p w14:paraId="7216EDB4">
            <w:pPr>
              <w:pStyle w:val="14"/>
            </w:pPr>
          </w:p>
        </w:tc>
        <w:tc>
          <w:tcPr>
            <w:tcW w:w="1474" w:type="dxa"/>
            <w:vAlign w:val="center"/>
          </w:tcPr>
          <w:p w14:paraId="049F9A3A">
            <w:pPr>
              <w:pStyle w:val="14"/>
            </w:pPr>
          </w:p>
        </w:tc>
        <w:tc>
          <w:tcPr>
            <w:tcW w:w="1474" w:type="dxa"/>
            <w:vAlign w:val="center"/>
          </w:tcPr>
          <w:p w14:paraId="0F92233F">
            <w:pPr>
              <w:pStyle w:val="14"/>
            </w:pPr>
          </w:p>
        </w:tc>
        <w:tc>
          <w:tcPr>
            <w:tcW w:w="1474" w:type="dxa"/>
            <w:vAlign w:val="center"/>
          </w:tcPr>
          <w:p w14:paraId="1788F657">
            <w:pPr>
              <w:pStyle w:val="14"/>
            </w:pPr>
          </w:p>
        </w:tc>
      </w:tr>
      <w:tr w14:paraId="5B490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E5F74E7">
            <w:pPr>
              <w:pStyle w:val="12"/>
            </w:pPr>
            <w:r>
              <w:t>27</w:t>
            </w:r>
          </w:p>
        </w:tc>
        <w:tc>
          <w:tcPr>
            <w:tcW w:w="3402" w:type="dxa"/>
            <w:vAlign w:val="center"/>
          </w:tcPr>
          <w:p w14:paraId="6EC5ED90">
            <w:pPr>
              <w:pStyle w:val="13"/>
            </w:pPr>
          </w:p>
        </w:tc>
        <w:tc>
          <w:tcPr>
            <w:tcW w:w="1474" w:type="dxa"/>
            <w:vAlign w:val="center"/>
          </w:tcPr>
          <w:p w14:paraId="68B4505A">
            <w:pPr>
              <w:pStyle w:val="14"/>
            </w:pPr>
          </w:p>
        </w:tc>
        <w:tc>
          <w:tcPr>
            <w:tcW w:w="3402" w:type="dxa"/>
            <w:vAlign w:val="center"/>
          </w:tcPr>
          <w:p w14:paraId="3EE24302">
            <w:pPr>
              <w:pStyle w:val="13"/>
            </w:pPr>
            <w:r>
              <w:t>二十七、债务还本支出</w:t>
            </w:r>
          </w:p>
        </w:tc>
        <w:tc>
          <w:tcPr>
            <w:tcW w:w="1474" w:type="dxa"/>
            <w:vAlign w:val="center"/>
          </w:tcPr>
          <w:p w14:paraId="2C7CDED5">
            <w:pPr>
              <w:pStyle w:val="14"/>
            </w:pPr>
          </w:p>
        </w:tc>
        <w:tc>
          <w:tcPr>
            <w:tcW w:w="1474" w:type="dxa"/>
            <w:vAlign w:val="center"/>
          </w:tcPr>
          <w:p w14:paraId="65A45383">
            <w:pPr>
              <w:pStyle w:val="14"/>
            </w:pPr>
          </w:p>
        </w:tc>
        <w:tc>
          <w:tcPr>
            <w:tcW w:w="1474" w:type="dxa"/>
            <w:vAlign w:val="center"/>
          </w:tcPr>
          <w:p w14:paraId="7556BB43">
            <w:pPr>
              <w:pStyle w:val="14"/>
            </w:pPr>
          </w:p>
        </w:tc>
        <w:tc>
          <w:tcPr>
            <w:tcW w:w="1474" w:type="dxa"/>
            <w:vAlign w:val="center"/>
          </w:tcPr>
          <w:p w14:paraId="4C613437">
            <w:pPr>
              <w:pStyle w:val="14"/>
            </w:pPr>
          </w:p>
        </w:tc>
      </w:tr>
      <w:tr w14:paraId="5E590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8E021">
            <w:pPr>
              <w:pStyle w:val="12"/>
            </w:pPr>
            <w:r>
              <w:t>28</w:t>
            </w:r>
          </w:p>
        </w:tc>
        <w:tc>
          <w:tcPr>
            <w:tcW w:w="3402" w:type="dxa"/>
            <w:vAlign w:val="center"/>
          </w:tcPr>
          <w:p w14:paraId="704ED230">
            <w:pPr>
              <w:pStyle w:val="13"/>
            </w:pPr>
          </w:p>
        </w:tc>
        <w:tc>
          <w:tcPr>
            <w:tcW w:w="1474" w:type="dxa"/>
            <w:vAlign w:val="center"/>
          </w:tcPr>
          <w:p w14:paraId="7AFC4B43">
            <w:pPr>
              <w:pStyle w:val="14"/>
            </w:pPr>
          </w:p>
        </w:tc>
        <w:tc>
          <w:tcPr>
            <w:tcW w:w="3402" w:type="dxa"/>
            <w:vAlign w:val="center"/>
          </w:tcPr>
          <w:p w14:paraId="4FD2057A">
            <w:pPr>
              <w:pStyle w:val="13"/>
            </w:pPr>
            <w:r>
              <w:t>二十八、债务付息支出</w:t>
            </w:r>
          </w:p>
        </w:tc>
        <w:tc>
          <w:tcPr>
            <w:tcW w:w="1474" w:type="dxa"/>
            <w:vAlign w:val="center"/>
          </w:tcPr>
          <w:p w14:paraId="0B8E99B9">
            <w:pPr>
              <w:pStyle w:val="14"/>
            </w:pPr>
          </w:p>
        </w:tc>
        <w:tc>
          <w:tcPr>
            <w:tcW w:w="1474" w:type="dxa"/>
            <w:vAlign w:val="center"/>
          </w:tcPr>
          <w:p w14:paraId="03F1EECC">
            <w:pPr>
              <w:pStyle w:val="14"/>
            </w:pPr>
          </w:p>
        </w:tc>
        <w:tc>
          <w:tcPr>
            <w:tcW w:w="1474" w:type="dxa"/>
            <w:vAlign w:val="center"/>
          </w:tcPr>
          <w:p w14:paraId="23A74AC6">
            <w:pPr>
              <w:pStyle w:val="14"/>
            </w:pPr>
          </w:p>
        </w:tc>
        <w:tc>
          <w:tcPr>
            <w:tcW w:w="1474" w:type="dxa"/>
            <w:vAlign w:val="center"/>
          </w:tcPr>
          <w:p w14:paraId="18B85596">
            <w:pPr>
              <w:pStyle w:val="14"/>
            </w:pPr>
          </w:p>
        </w:tc>
      </w:tr>
      <w:tr w14:paraId="7605E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AC3C0">
            <w:pPr>
              <w:pStyle w:val="12"/>
            </w:pPr>
            <w:r>
              <w:t>29</w:t>
            </w:r>
          </w:p>
        </w:tc>
        <w:tc>
          <w:tcPr>
            <w:tcW w:w="3402" w:type="dxa"/>
            <w:vAlign w:val="center"/>
          </w:tcPr>
          <w:p w14:paraId="76E8F07E">
            <w:pPr>
              <w:pStyle w:val="13"/>
            </w:pPr>
          </w:p>
        </w:tc>
        <w:tc>
          <w:tcPr>
            <w:tcW w:w="1474" w:type="dxa"/>
            <w:vAlign w:val="center"/>
          </w:tcPr>
          <w:p w14:paraId="6C845462">
            <w:pPr>
              <w:pStyle w:val="14"/>
            </w:pPr>
          </w:p>
        </w:tc>
        <w:tc>
          <w:tcPr>
            <w:tcW w:w="3402" w:type="dxa"/>
            <w:vAlign w:val="center"/>
          </w:tcPr>
          <w:p w14:paraId="4120FCF1">
            <w:pPr>
              <w:pStyle w:val="13"/>
            </w:pPr>
            <w:r>
              <w:t>二十九、债务发行费用支出</w:t>
            </w:r>
          </w:p>
        </w:tc>
        <w:tc>
          <w:tcPr>
            <w:tcW w:w="1474" w:type="dxa"/>
            <w:vAlign w:val="center"/>
          </w:tcPr>
          <w:p w14:paraId="354624DB">
            <w:pPr>
              <w:pStyle w:val="14"/>
            </w:pPr>
          </w:p>
        </w:tc>
        <w:tc>
          <w:tcPr>
            <w:tcW w:w="1474" w:type="dxa"/>
            <w:vAlign w:val="center"/>
          </w:tcPr>
          <w:p w14:paraId="167417E3">
            <w:pPr>
              <w:pStyle w:val="14"/>
            </w:pPr>
          </w:p>
        </w:tc>
        <w:tc>
          <w:tcPr>
            <w:tcW w:w="1474" w:type="dxa"/>
            <w:vAlign w:val="center"/>
          </w:tcPr>
          <w:p w14:paraId="4063E7FE">
            <w:pPr>
              <w:pStyle w:val="14"/>
            </w:pPr>
          </w:p>
        </w:tc>
        <w:tc>
          <w:tcPr>
            <w:tcW w:w="1474" w:type="dxa"/>
            <w:vAlign w:val="center"/>
          </w:tcPr>
          <w:p w14:paraId="0714293C">
            <w:pPr>
              <w:pStyle w:val="14"/>
            </w:pPr>
          </w:p>
        </w:tc>
      </w:tr>
      <w:tr w14:paraId="7D20B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8DDE2">
            <w:pPr>
              <w:pStyle w:val="12"/>
            </w:pPr>
            <w:r>
              <w:t>30</w:t>
            </w:r>
          </w:p>
        </w:tc>
        <w:tc>
          <w:tcPr>
            <w:tcW w:w="3402" w:type="dxa"/>
            <w:vAlign w:val="center"/>
          </w:tcPr>
          <w:p w14:paraId="2269C630">
            <w:pPr>
              <w:pStyle w:val="13"/>
            </w:pPr>
          </w:p>
        </w:tc>
        <w:tc>
          <w:tcPr>
            <w:tcW w:w="1474" w:type="dxa"/>
            <w:vAlign w:val="center"/>
          </w:tcPr>
          <w:p w14:paraId="617543E0">
            <w:pPr>
              <w:pStyle w:val="14"/>
            </w:pPr>
          </w:p>
        </w:tc>
        <w:tc>
          <w:tcPr>
            <w:tcW w:w="3402" w:type="dxa"/>
            <w:vAlign w:val="center"/>
          </w:tcPr>
          <w:p w14:paraId="0423718E">
            <w:pPr>
              <w:pStyle w:val="13"/>
            </w:pPr>
            <w:r>
              <w:t>三十、抗疫特别国债安排的支出</w:t>
            </w:r>
          </w:p>
        </w:tc>
        <w:tc>
          <w:tcPr>
            <w:tcW w:w="1474" w:type="dxa"/>
            <w:vAlign w:val="center"/>
          </w:tcPr>
          <w:p w14:paraId="4057CA7A">
            <w:pPr>
              <w:pStyle w:val="14"/>
            </w:pPr>
          </w:p>
        </w:tc>
        <w:tc>
          <w:tcPr>
            <w:tcW w:w="1474" w:type="dxa"/>
            <w:vAlign w:val="center"/>
          </w:tcPr>
          <w:p w14:paraId="235C6C94">
            <w:pPr>
              <w:pStyle w:val="14"/>
            </w:pPr>
          </w:p>
        </w:tc>
        <w:tc>
          <w:tcPr>
            <w:tcW w:w="1474" w:type="dxa"/>
            <w:vAlign w:val="center"/>
          </w:tcPr>
          <w:p w14:paraId="6A62C519">
            <w:pPr>
              <w:pStyle w:val="14"/>
            </w:pPr>
          </w:p>
        </w:tc>
        <w:tc>
          <w:tcPr>
            <w:tcW w:w="1474" w:type="dxa"/>
            <w:vAlign w:val="center"/>
          </w:tcPr>
          <w:p w14:paraId="4237AEF1">
            <w:pPr>
              <w:pStyle w:val="14"/>
            </w:pPr>
          </w:p>
        </w:tc>
      </w:tr>
      <w:tr w14:paraId="5B823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AE0A5">
            <w:pPr>
              <w:pStyle w:val="12"/>
            </w:pPr>
            <w:r>
              <w:t>31</w:t>
            </w:r>
          </w:p>
        </w:tc>
        <w:tc>
          <w:tcPr>
            <w:tcW w:w="3402" w:type="dxa"/>
            <w:vAlign w:val="center"/>
          </w:tcPr>
          <w:p w14:paraId="01371DAB">
            <w:pPr>
              <w:pStyle w:val="13"/>
            </w:pPr>
          </w:p>
        </w:tc>
        <w:tc>
          <w:tcPr>
            <w:tcW w:w="1474" w:type="dxa"/>
            <w:vAlign w:val="center"/>
          </w:tcPr>
          <w:p w14:paraId="397E83BE">
            <w:pPr>
              <w:pStyle w:val="14"/>
            </w:pPr>
          </w:p>
        </w:tc>
        <w:tc>
          <w:tcPr>
            <w:tcW w:w="3402" w:type="dxa"/>
            <w:vAlign w:val="center"/>
          </w:tcPr>
          <w:p w14:paraId="6238349C">
            <w:pPr>
              <w:pStyle w:val="13"/>
            </w:pPr>
            <w:r>
              <w:t>三十一、人行科目</w:t>
            </w:r>
          </w:p>
        </w:tc>
        <w:tc>
          <w:tcPr>
            <w:tcW w:w="1474" w:type="dxa"/>
            <w:vAlign w:val="center"/>
          </w:tcPr>
          <w:p w14:paraId="20FDA6BF">
            <w:pPr>
              <w:pStyle w:val="14"/>
            </w:pPr>
          </w:p>
        </w:tc>
        <w:tc>
          <w:tcPr>
            <w:tcW w:w="1474" w:type="dxa"/>
            <w:vAlign w:val="center"/>
          </w:tcPr>
          <w:p w14:paraId="35FBD6D6">
            <w:pPr>
              <w:pStyle w:val="14"/>
            </w:pPr>
          </w:p>
        </w:tc>
        <w:tc>
          <w:tcPr>
            <w:tcW w:w="1474" w:type="dxa"/>
            <w:vAlign w:val="center"/>
          </w:tcPr>
          <w:p w14:paraId="1BAD92EC">
            <w:pPr>
              <w:pStyle w:val="14"/>
            </w:pPr>
          </w:p>
        </w:tc>
        <w:tc>
          <w:tcPr>
            <w:tcW w:w="1474" w:type="dxa"/>
            <w:vAlign w:val="center"/>
          </w:tcPr>
          <w:p w14:paraId="24A3DAE3">
            <w:pPr>
              <w:pStyle w:val="14"/>
            </w:pPr>
          </w:p>
        </w:tc>
      </w:tr>
      <w:tr w14:paraId="0DE41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4951D">
            <w:pPr>
              <w:pStyle w:val="12"/>
            </w:pPr>
            <w:r>
              <w:t>32</w:t>
            </w:r>
          </w:p>
        </w:tc>
        <w:tc>
          <w:tcPr>
            <w:tcW w:w="3402" w:type="dxa"/>
            <w:vAlign w:val="center"/>
          </w:tcPr>
          <w:p w14:paraId="560EDEF5">
            <w:pPr>
              <w:pStyle w:val="15"/>
            </w:pPr>
            <w:r>
              <w:t>本年收入合计</w:t>
            </w:r>
          </w:p>
        </w:tc>
        <w:tc>
          <w:tcPr>
            <w:tcW w:w="1474" w:type="dxa"/>
            <w:vAlign w:val="center"/>
          </w:tcPr>
          <w:p w14:paraId="083F925E">
            <w:pPr>
              <w:pStyle w:val="16"/>
            </w:pPr>
            <w:r>
              <w:t>775.20</w:t>
            </w:r>
          </w:p>
        </w:tc>
        <w:tc>
          <w:tcPr>
            <w:tcW w:w="3402" w:type="dxa"/>
            <w:vAlign w:val="center"/>
          </w:tcPr>
          <w:p w14:paraId="5BD3198B">
            <w:pPr>
              <w:pStyle w:val="15"/>
            </w:pPr>
            <w:r>
              <w:t>本年支出合计</w:t>
            </w:r>
          </w:p>
        </w:tc>
        <w:tc>
          <w:tcPr>
            <w:tcW w:w="1474" w:type="dxa"/>
            <w:vAlign w:val="center"/>
          </w:tcPr>
          <w:p w14:paraId="5ED1920D">
            <w:pPr>
              <w:pStyle w:val="16"/>
            </w:pPr>
            <w:r>
              <w:t>790.08</w:t>
            </w:r>
          </w:p>
        </w:tc>
        <w:tc>
          <w:tcPr>
            <w:tcW w:w="1474" w:type="dxa"/>
            <w:vAlign w:val="center"/>
          </w:tcPr>
          <w:p w14:paraId="0289D4E4">
            <w:pPr>
              <w:pStyle w:val="16"/>
            </w:pPr>
            <w:r>
              <w:t>790.08</w:t>
            </w:r>
          </w:p>
        </w:tc>
        <w:tc>
          <w:tcPr>
            <w:tcW w:w="1474" w:type="dxa"/>
            <w:vAlign w:val="center"/>
          </w:tcPr>
          <w:p w14:paraId="6E0F435F">
            <w:pPr>
              <w:pStyle w:val="16"/>
            </w:pPr>
          </w:p>
        </w:tc>
        <w:tc>
          <w:tcPr>
            <w:tcW w:w="1474" w:type="dxa"/>
            <w:vAlign w:val="center"/>
          </w:tcPr>
          <w:p w14:paraId="0A43AA9C">
            <w:pPr>
              <w:pStyle w:val="16"/>
            </w:pPr>
          </w:p>
        </w:tc>
      </w:tr>
      <w:tr w14:paraId="4E61E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9FB5F">
            <w:pPr>
              <w:pStyle w:val="12"/>
            </w:pPr>
            <w:r>
              <w:t>33</w:t>
            </w:r>
          </w:p>
        </w:tc>
        <w:tc>
          <w:tcPr>
            <w:tcW w:w="3402" w:type="dxa"/>
            <w:vAlign w:val="center"/>
          </w:tcPr>
          <w:p w14:paraId="6C3E8753">
            <w:pPr>
              <w:pStyle w:val="13"/>
            </w:pPr>
            <w:r>
              <w:t>年初财政拨款结转和结余</w:t>
            </w:r>
          </w:p>
        </w:tc>
        <w:tc>
          <w:tcPr>
            <w:tcW w:w="1474" w:type="dxa"/>
            <w:vAlign w:val="center"/>
          </w:tcPr>
          <w:p w14:paraId="48FB9A2A">
            <w:pPr>
              <w:pStyle w:val="14"/>
            </w:pPr>
            <w:r>
              <w:t>14.87</w:t>
            </w:r>
          </w:p>
        </w:tc>
        <w:tc>
          <w:tcPr>
            <w:tcW w:w="3402" w:type="dxa"/>
            <w:vAlign w:val="center"/>
          </w:tcPr>
          <w:p w14:paraId="7EF5125F">
            <w:pPr>
              <w:pStyle w:val="13"/>
            </w:pPr>
            <w:r>
              <w:t>年末财政拨款结转和结余</w:t>
            </w:r>
          </w:p>
        </w:tc>
        <w:tc>
          <w:tcPr>
            <w:tcW w:w="1474" w:type="dxa"/>
            <w:vAlign w:val="center"/>
          </w:tcPr>
          <w:p w14:paraId="24D374A6">
            <w:pPr>
              <w:pStyle w:val="14"/>
            </w:pPr>
          </w:p>
        </w:tc>
        <w:tc>
          <w:tcPr>
            <w:tcW w:w="1474" w:type="dxa"/>
            <w:vAlign w:val="center"/>
          </w:tcPr>
          <w:p w14:paraId="6077089A">
            <w:pPr>
              <w:pStyle w:val="14"/>
            </w:pPr>
          </w:p>
        </w:tc>
        <w:tc>
          <w:tcPr>
            <w:tcW w:w="1474" w:type="dxa"/>
            <w:vAlign w:val="center"/>
          </w:tcPr>
          <w:p w14:paraId="06A0CBAF">
            <w:pPr>
              <w:pStyle w:val="14"/>
            </w:pPr>
          </w:p>
        </w:tc>
        <w:tc>
          <w:tcPr>
            <w:tcW w:w="1474" w:type="dxa"/>
            <w:vAlign w:val="center"/>
          </w:tcPr>
          <w:p w14:paraId="6B42AE06">
            <w:pPr>
              <w:pStyle w:val="14"/>
            </w:pPr>
          </w:p>
        </w:tc>
      </w:tr>
      <w:tr w14:paraId="319E1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73657">
            <w:pPr>
              <w:pStyle w:val="12"/>
            </w:pPr>
            <w:r>
              <w:t>34</w:t>
            </w:r>
          </w:p>
        </w:tc>
        <w:tc>
          <w:tcPr>
            <w:tcW w:w="3402" w:type="dxa"/>
            <w:vAlign w:val="center"/>
          </w:tcPr>
          <w:p w14:paraId="31C1D75C">
            <w:pPr>
              <w:pStyle w:val="13"/>
            </w:pPr>
            <w:r>
              <w:t>一、一般公共预算拨款</w:t>
            </w:r>
          </w:p>
        </w:tc>
        <w:tc>
          <w:tcPr>
            <w:tcW w:w="1474" w:type="dxa"/>
            <w:vAlign w:val="center"/>
          </w:tcPr>
          <w:p w14:paraId="2992881F">
            <w:pPr>
              <w:pStyle w:val="14"/>
            </w:pPr>
            <w:r>
              <w:t>14.87</w:t>
            </w:r>
          </w:p>
        </w:tc>
        <w:tc>
          <w:tcPr>
            <w:tcW w:w="3402" w:type="dxa"/>
            <w:vAlign w:val="center"/>
          </w:tcPr>
          <w:p w14:paraId="7CD73722">
            <w:pPr>
              <w:pStyle w:val="13"/>
            </w:pPr>
          </w:p>
        </w:tc>
        <w:tc>
          <w:tcPr>
            <w:tcW w:w="1474" w:type="dxa"/>
            <w:vAlign w:val="center"/>
          </w:tcPr>
          <w:p w14:paraId="6651F559">
            <w:pPr>
              <w:pStyle w:val="14"/>
            </w:pPr>
          </w:p>
        </w:tc>
        <w:tc>
          <w:tcPr>
            <w:tcW w:w="1474" w:type="dxa"/>
            <w:vAlign w:val="center"/>
          </w:tcPr>
          <w:p w14:paraId="1C472F5D">
            <w:pPr>
              <w:pStyle w:val="14"/>
            </w:pPr>
          </w:p>
        </w:tc>
        <w:tc>
          <w:tcPr>
            <w:tcW w:w="1474" w:type="dxa"/>
            <w:vAlign w:val="center"/>
          </w:tcPr>
          <w:p w14:paraId="663BAD08">
            <w:pPr>
              <w:pStyle w:val="14"/>
            </w:pPr>
          </w:p>
        </w:tc>
        <w:tc>
          <w:tcPr>
            <w:tcW w:w="1474" w:type="dxa"/>
            <w:vAlign w:val="center"/>
          </w:tcPr>
          <w:p w14:paraId="5711B4FC">
            <w:pPr>
              <w:pStyle w:val="14"/>
            </w:pPr>
          </w:p>
        </w:tc>
      </w:tr>
      <w:tr w14:paraId="7ACF7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56086">
            <w:pPr>
              <w:pStyle w:val="12"/>
            </w:pPr>
            <w:r>
              <w:t>35</w:t>
            </w:r>
          </w:p>
        </w:tc>
        <w:tc>
          <w:tcPr>
            <w:tcW w:w="3402" w:type="dxa"/>
            <w:vAlign w:val="center"/>
          </w:tcPr>
          <w:p w14:paraId="75F52FEC">
            <w:pPr>
              <w:pStyle w:val="13"/>
            </w:pPr>
            <w:r>
              <w:t>二、政府性基金预算拨款</w:t>
            </w:r>
          </w:p>
        </w:tc>
        <w:tc>
          <w:tcPr>
            <w:tcW w:w="1474" w:type="dxa"/>
            <w:vAlign w:val="center"/>
          </w:tcPr>
          <w:p w14:paraId="727E1090">
            <w:pPr>
              <w:pStyle w:val="14"/>
            </w:pPr>
          </w:p>
        </w:tc>
        <w:tc>
          <w:tcPr>
            <w:tcW w:w="3402" w:type="dxa"/>
            <w:vAlign w:val="center"/>
          </w:tcPr>
          <w:p w14:paraId="490370B4">
            <w:pPr>
              <w:pStyle w:val="13"/>
            </w:pPr>
          </w:p>
        </w:tc>
        <w:tc>
          <w:tcPr>
            <w:tcW w:w="1474" w:type="dxa"/>
            <w:vAlign w:val="center"/>
          </w:tcPr>
          <w:p w14:paraId="2B43007E">
            <w:pPr>
              <w:pStyle w:val="14"/>
            </w:pPr>
          </w:p>
        </w:tc>
        <w:tc>
          <w:tcPr>
            <w:tcW w:w="1474" w:type="dxa"/>
            <w:vAlign w:val="center"/>
          </w:tcPr>
          <w:p w14:paraId="2D248615">
            <w:pPr>
              <w:pStyle w:val="14"/>
            </w:pPr>
          </w:p>
        </w:tc>
        <w:tc>
          <w:tcPr>
            <w:tcW w:w="1474" w:type="dxa"/>
            <w:vAlign w:val="center"/>
          </w:tcPr>
          <w:p w14:paraId="0B8048E6">
            <w:pPr>
              <w:pStyle w:val="14"/>
            </w:pPr>
          </w:p>
        </w:tc>
        <w:tc>
          <w:tcPr>
            <w:tcW w:w="1474" w:type="dxa"/>
            <w:vAlign w:val="center"/>
          </w:tcPr>
          <w:p w14:paraId="24CBAEBD">
            <w:pPr>
              <w:pStyle w:val="14"/>
            </w:pPr>
          </w:p>
        </w:tc>
      </w:tr>
      <w:tr w14:paraId="18736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4F751">
            <w:pPr>
              <w:pStyle w:val="12"/>
            </w:pPr>
            <w:r>
              <w:t>36</w:t>
            </w:r>
          </w:p>
        </w:tc>
        <w:tc>
          <w:tcPr>
            <w:tcW w:w="3402" w:type="dxa"/>
            <w:vAlign w:val="center"/>
          </w:tcPr>
          <w:p w14:paraId="5DE04A24">
            <w:pPr>
              <w:pStyle w:val="13"/>
            </w:pPr>
            <w:r>
              <w:t>三、国有资本经营预算拨款</w:t>
            </w:r>
          </w:p>
        </w:tc>
        <w:tc>
          <w:tcPr>
            <w:tcW w:w="1474" w:type="dxa"/>
            <w:vAlign w:val="center"/>
          </w:tcPr>
          <w:p w14:paraId="48439BE0">
            <w:pPr>
              <w:pStyle w:val="14"/>
            </w:pPr>
          </w:p>
        </w:tc>
        <w:tc>
          <w:tcPr>
            <w:tcW w:w="3402" w:type="dxa"/>
            <w:vAlign w:val="center"/>
          </w:tcPr>
          <w:p w14:paraId="0FDB483B">
            <w:pPr>
              <w:pStyle w:val="13"/>
            </w:pPr>
          </w:p>
        </w:tc>
        <w:tc>
          <w:tcPr>
            <w:tcW w:w="1474" w:type="dxa"/>
            <w:vAlign w:val="center"/>
          </w:tcPr>
          <w:p w14:paraId="6143CA05">
            <w:pPr>
              <w:pStyle w:val="14"/>
            </w:pPr>
          </w:p>
        </w:tc>
        <w:tc>
          <w:tcPr>
            <w:tcW w:w="1474" w:type="dxa"/>
            <w:vAlign w:val="center"/>
          </w:tcPr>
          <w:p w14:paraId="44034034">
            <w:pPr>
              <w:pStyle w:val="14"/>
            </w:pPr>
          </w:p>
        </w:tc>
        <w:tc>
          <w:tcPr>
            <w:tcW w:w="1474" w:type="dxa"/>
            <w:vAlign w:val="center"/>
          </w:tcPr>
          <w:p w14:paraId="56C015DE">
            <w:pPr>
              <w:pStyle w:val="14"/>
            </w:pPr>
          </w:p>
        </w:tc>
        <w:tc>
          <w:tcPr>
            <w:tcW w:w="1474" w:type="dxa"/>
            <w:vAlign w:val="center"/>
          </w:tcPr>
          <w:p w14:paraId="7A110838">
            <w:pPr>
              <w:pStyle w:val="14"/>
            </w:pPr>
          </w:p>
        </w:tc>
      </w:tr>
      <w:tr w14:paraId="4FBF7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FA1A9">
            <w:pPr>
              <w:pStyle w:val="12"/>
            </w:pPr>
            <w:r>
              <w:t>37</w:t>
            </w:r>
          </w:p>
        </w:tc>
        <w:tc>
          <w:tcPr>
            <w:tcW w:w="3402" w:type="dxa"/>
            <w:vAlign w:val="center"/>
          </w:tcPr>
          <w:p w14:paraId="1DA2BE84">
            <w:pPr>
              <w:pStyle w:val="15"/>
            </w:pPr>
            <w:r>
              <w:t>收入总计</w:t>
            </w:r>
          </w:p>
        </w:tc>
        <w:tc>
          <w:tcPr>
            <w:tcW w:w="1474" w:type="dxa"/>
            <w:vAlign w:val="center"/>
          </w:tcPr>
          <w:p w14:paraId="07A2E331">
            <w:pPr>
              <w:pStyle w:val="16"/>
            </w:pPr>
            <w:r>
              <w:t>790.08</w:t>
            </w:r>
          </w:p>
        </w:tc>
        <w:tc>
          <w:tcPr>
            <w:tcW w:w="3402" w:type="dxa"/>
            <w:vAlign w:val="center"/>
          </w:tcPr>
          <w:p w14:paraId="19C97B01">
            <w:pPr>
              <w:pStyle w:val="15"/>
            </w:pPr>
            <w:r>
              <w:t>支出总计</w:t>
            </w:r>
          </w:p>
        </w:tc>
        <w:tc>
          <w:tcPr>
            <w:tcW w:w="1474" w:type="dxa"/>
            <w:vAlign w:val="center"/>
          </w:tcPr>
          <w:p w14:paraId="07658555">
            <w:pPr>
              <w:pStyle w:val="16"/>
            </w:pPr>
            <w:r>
              <w:t>790.08</w:t>
            </w:r>
          </w:p>
        </w:tc>
        <w:tc>
          <w:tcPr>
            <w:tcW w:w="1474" w:type="dxa"/>
            <w:vAlign w:val="center"/>
          </w:tcPr>
          <w:p w14:paraId="1D5D0DFD">
            <w:pPr>
              <w:pStyle w:val="16"/>
            </w:pPr>
            <w:r>
              <w:t>790.08</w:t>
            </w:r>
          </w:p>
        </w:tc>
        <w:tc>
          <w:tcPr>
            <w:tcW w:w="1474" w:type="dxa"/>
            <w:vAlign w:val="center"/>
          </w:tcPr>
          <w:p w14:paraId="3B96FB05">
            <w:pPr>
              <w:pStyle w:val="16"/>
            </w:pPr>
          </w:p>
        </w:tc>
        <w:tc>
          <w:tcPr>
            <w:tcW w:w="1474" w:type="dxa"/>
            <w:vAlign w:val="center"/>
          </w:tcPr>
          <w:p w14:paraId="7BC65832">
            <w:pPr>
              <w:pStyle w:val="16"/>
            </w:pPr>
          </w:p>
        </w:tc>
      </w:tr>
    </w:tbl>
    <w:p w14:paraId="77107B40">
      <w:pPr>
        <w:sectPr>
          <w:pgSz w:w="16840" w:h="11900" w:orient="landscape"/>
          <w:pgMar w:top="1361" w:right="1020" w:bottom="1134" w:left="1020" w:header="720" w:footer="720" w:gutter="0"/>
          <w:cols w:space="720" w:num="1"/>
        </w:sectPr>
      </w:pPr>
    </w:p>
    <w:p w14:paraId="2DBE6E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5E2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FCEAAD">
            <w:pPr>
              <w:pStyle w:val="8"/>
            </w:pPr>
            <w:r>
              <w:t>360034隆尧县莲子中学</w:t>
            </w:r>
          </w:p>
        </w:tc>
        <w:tc>
          <w:tcPr>
            <w:tcW w:w="2551" w:type="dxa"/>
            <w:tcBorders>
              <w:top w:val="single" w:color="FFFFFF" w:sz="6" w:space="0"/>
              <w:left w:val="single" w:color="FFFFFF" w:sz="6" w:space="0"/>
              <w:right w:val="single" w:color="FFFFFF" w:sz="6" w:space="0"/>
            </w:tcBorders>
            <w:vAlign w:val="center"/>
          </w:tcPr>
          <w:p w14:paraId="2E04E30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7E344C9">
            <w:pPr>
              <w:pStyle w:val="10"/>
            </w:pPr>
            <w:r>
              <w:t>单位：万元</w:t>
            </w:r>
          </w:p>
        </w:tc>
      </w:tr>
      <w:tr w14:paraId="0B307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03CAA8">
            <w:pPr>
              <w:pStyle w:val="11"/>
            </w:pPr>
            <w:r>
              <w:t>序号</w:t>
            </w:r>
          </w:p>
        </w:tc>
        <w:tc>
          <w:tcPr>
            <w:tcW w:w="5726" w:type="dxa"/>
            <w:gridSpan w:val="2"/>
            <w:vAlign w:val="center"/>
          </w:tcPr>
          <w:p w14:paraId="6AC351CD">
            <w:pPr>
              <w:pStyle w:val="11"/>
            </w:pPr>
            <w:r>
              <w:t>功能分类科目</w:t>
            </w:r>
          </w:p>
        </w:tc>
        <w:tc>
          <w:tcPr>
            <w:tcW w:w="2551" w:type="dxa"/>
            <w:vMerge w:val="restart"/>
            <w:vAlign w:val="center"/>
          </w:tcPr>
          <w:p w14:paraId="06FEEE9C">
            <w:pPr>
              <w:pStyle w:val="11"/>
            </w:pPr>
            <w:r>
              <w:t>合计</w:t>
            </w:r>
          </w:p>
        </w:tc>
        <w:tc>
          <w:tcPr>
            <w:tcW w:w="2551" w:type="dxa"/>
            <w:vMerge w:val="restart"/>
            <w:vAlign w:val="center"/>
          </w:tcPr>
          <w:p w14:paraId="25812173">
            <w:pPr>
              <w:pStyle w:val="11"/>
            </w:pPr>
            <w:r>
              <w:t>基本支出</w:t>
            </w:r>
          </w:p>
        </w:tc>
        <w:tc>
          <w:tcPr>
            <w:tcW w:w="2551" w:type="dxa"/>
            <w:vMerge w:val="restart"/>
            <w:vAlign w:val="center"/>
          </w:tcPr>
          <w:p w14:paraId="5AF15AF7">
            <w:pPr>
              <w:pStyle w:val="11"/>
            </w:pPr>
            <w:r>
              <w:t>项目支出</w:t>
            </w:r>
          </w:p>
        </w:tc>
      </w:tr>
      <w:tr w14:paraId="73D9B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31C77B"/>
        </w:tc>
        <w:tc>
          <w:tcPr>
            <w:tcW w:w="1191" w:type="dxa"/>
            <w:vAlign w:val="center"/>
          </w:tcPr>
          <w:p w14:paraId="7FFC4188">
            <w:pPr>
              <w:pStyle w:val="11"/>
            </w:pPr>
            <w:r>
              <w:t>科目编码</w:t>
            </w:r>
          </w:p>
        </w:tc>
        <w:tc>
          <w:tcPr>
            <w:tcW w:w="4535" w:type="dxa"/>
            <w:vAlign w:val="center"/>
          </w:tcPr>
          <w:p w14:paraId="7B603B22">
            <w:pPr>
              <w:pStyle w:val="11"/>
            </w:pPr>
            <w:r>
              <w:t>科目名称</w:t>
            </w:r>
          </w:p>
        </w:tc>
        <w:tc>
          <w:tcPr>
            <w:tcW w:w="2551" w:type="dxa"/>
            <w:vMerge w:val="continue"/>
          </w:tcPr>
          <w:p w14:paraId="53C3C17A"/>
        </w:tc>
        <w:tc>
          <w:tcPr>
            <w:tcW w:w="2551" w:type="dxa"/>
            <w:vMerge w:val="continue"/>
          </w:tcPr>
          <w:p w14:paraId="5749C82C"/>
        </w:tc>
        <w:tc>
          <w:tcPr>
            <w:tcW w:w="2551" w:type="dxa"/>
            <w:vMerge w:val="continue"/>
          </w:tcPr>
          <w:p w14:paraId="240EBDCA"/>
        </w:tc>
      </w:tr>
      <w:tr w14:paraId="7B1EB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3E82A3">
            <w:pPr>
              <w:pStyle w:val="11"/>
            </w:pPr>
            <w:r>
              <w:t>栏次</w:t>
            </w:r>
          </w:p>
        </w:tc>
        <w:tc>
          <w:tcPr>
            <w:tcW w:w="1191" w:type="dxa"/>
            <w:vAlign w:val="center"/>
          </w:tcPr>
          <w:p w14:paraId="7A4893CB">
            <w:pPr>
              <w:pStyle w:val="11"/>
            </w:pPr>
            <w:r>
              <w:t>1</w:t>
            </w:r>
          </w:p>
        </w:tc>
        <w:tc>
          <w:tcPr>
            <w:tcW w:w="4535" w:type="dxa"/>
            <w:vAlign w:val="center"/>
          </w:tcPr>
          <w:p w14:paraId="276BC687">
            <w:pPr>
              <w:pStyle w:val="11"/>
            </w:pPr>
            <w:r>
              <w:t>2</w:t>
            </w:r>
          </w:p>
        </w:tc>
        <w:tc>
          <w:tcPr>
            <w:tcW w:w="2551" w:type="dxa"/>
            <w:vAlign w:val="center"/>
          </w:tcPr>
          <w:p w14:paraId="3DA7BF52">
            <w:pPr>
              <w:pStyle w:val="11"/>
            </w:pPr>
            <w:r>
              <w:t>3</w:t>
            </w:r>
          </w:p>
        </w:tc>
        <w:tc>
          <w:tcPr>
            <w:tcW w:w="2551" w:type="dxa"/>
            <w:vAlign w:val="center"/>
          </w:tcPr>
          <w:p w14:paraId="309BFE2A">
            <w:pPr>
              <w:pStyle w:val="11"/>
            </w:pPr>
            <w:r>
              <w:t>4</w:t>
            </w:r>
          </w:p>
        </w:tc>
        <w:tc>
          <w:tcPr>
            <w:tcW w:w="2551" w:type="dxa"/>
            <w:vAlign w:val="center"/>
          </w:tcPr>
          <w:p w14:paraId="1E882823">
            <w:pPr>
              <w:pStyle w:val="11"/>
            </w:pPr>
            <w:r>
              <w:t>5</w:t>
            </w:r>
          </w:p>
        </w:tc>
      </w:tr>
      <w:tr w14:paraId="4A20E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EA9E5">
            <w:pPr>
              <w:pStyle w:val="12"/>
            </w:pPr>
            <w:r>
              <w:t>1</w:t>
            </w:r>
          </w:p>
        </w:tc>
        <w:tc>
          <w:tcPr>
            <w:tcW w:w="1191" w:type="dxa"/>
            <w:vAlign w:val="center"/>
          </w:tcPr>
          <w:p w14:paraId="587F404E">
            <w:pPr>
              <w:pStyle w:val="17"/>
            </w:pPr>
          </w:p>
        </w:tc>
        <w:tc>
          <w:tcPr>
            <w:tcW w:w="4535" w:type="dxa"/>
            <w:vAlign w:val="center"/>
          </w:tcPr>
          <w:p w14:paraId="22F24747">
            <w:pPr>
              <w:pStyle w:val="15"/>
            </w:pPr>
            <w:r>
              <w:t>合计</w:t>
            </w:r>
          </w:p>
        </w:tc>
        <w:tc>
          <w:tcPr>
            <w:tcW w:w="2551" w:type="dxa"/>
            <w:vAlign w:val="center"/>
          </w:tcPr>
          <w:p w14:paraId="5BDB18F7">
            <w:pPr>
              <w:pStyle w:val="16"/>
            </w:pPr>
            <w:r>
              <w:t>790.08</w:t>
            </w:r>
          </w:p>
        </w:tc>
        <w:tc>
          <w:tcPr>
            <w:tcW w:w="2551" w:type="dxa"/>
            <w:vAlign w:val="center"/>
          </w:tcPr>
          <w:p w14:paraId="1A7565BB">
            <w:pPr>
              <w:pStyle w:val="16"/>
            </w:pPr>
            <w:r>
              <w:t>607.82</w:t>
            </w:r>
          </w:p>
        </w:tc>
        <w:tc>
          <w:tcPr>
            <w:tcW w:w="2551" w:type="dxa"/>
            <w:vAlign w:val="center"/>
          </w:tcPr>
          <w:p w14:paraId="432DD146">
            <w:pPr>
              <w:pStyle w:val="16"/>
            </w:pPr>
            <w:r>
              <w:t>182.25</w:t>
            </w:r>
          </w:p>
        </w:tc>
      </w:tr>
      <w:tr w14:paraId="56F92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82191">
            <w:pPr>
              <w:pStyle w:val="12"/>
            </w:pPr>
            <w:r>
              <w:t>2</w:t>
            </w:r>
          </w:p>
        </w:tc>
        <w:tc>
          <w:tcPr>
            <w:tcW w:w="1191" w:type="dxa"/>
            <w:vAlign w:val="center"/>
          </w:tcPr>
          <w:p w14:paraId="4F7D6E6A">
            <w:pPr>
              <w:pStyle w:val="13"/>
            </w:pPr>
            <w:r>
              <w:t>205</w:t>
            </w:r>
          </w:p>
        </w:tc>
        <w:tc>
          <w:tcPr>
            <w:tcW w:w="4535" w:type="dxa"/>
            <w:vAlign w:val="center"/>
          </w:tcPr>
          <w:p w14:paraId="5DC2CB49">
            <w:pPr>
              <w:pStyle w:val="13"/>
            </w:pPr>
            <w:r>
              <w:t>教育支出</w:t>
            </w:r>
          </w:p>
        </w:tc>
        <w:tc>
          <w:tcPr>
            <w:tcW w:w="2551" w:type="dxa"/>
            <w:vAlign w:val="center"/>
          </w:tcPr>
          <w:p w14:paraId="59782070">
            <w:pPr>
              <w:pStyle w:val="14"/>
            </w:pPr>
            <w:r>
              <w:t>790.08</w:t>
            </w:r>
          </w:p>
        </w:tc>
        <w:tc>
          <w:tcPr>
            <w:tcW w:w="2551" w:type="dxa"/>
            <w:vAlign w:val="center"/>
          </w:tcPr>
          <w:p w14:paraId="1ADA0F92">
            <w:pPr>
              <w:pStyle w:val="14"/>
            </w:pPr>
            <w:r>
              <w:t>607.82</w:t>
            </w:r>
          </w:p>
        </w:tc>
        <w:tc>
          <w:tcPr>
            <w:tcW w:w="2551" w:type="dxa"/>
            <w:vAlign w:val="center"/>
          </w:tcPr>
          <w:p w14:paraId="780FE8CF">
            <w:pPr>
              <w:pStyle w:val="14"/>
            </w:pPr>
            <w:r>
              <w:t>182.25</w:t>
            </w:r>
          </w:p>
        </w:tc>
      </w:tr>
      <w:tr w14:paraId="73B6C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5BBCB">
            <w:pPr>
              <w:pStyle w:val="12"/>
            </w:pPr>
            <w:r>
              <w:t>3</w:t>
            </w:r>
          </w:p>
        </w:tc>
        <w:tc>
          <w:tcPr>
            <w:tcW w:w="1191" w:type="dxa"/>
            <w:vAlign w:val="center"/>
          </w:tcPr>
          <w:p w14:paraId="64CE4FA9">
            <w:pPr>
              <w:pStyle w:val="13"/>
            </w:pPr>
            <w:r>
              <w:t>20502</w:t>
            </w:r>
          </w:p>
        </w:tc>
        <w:tc>
          <w:tcPr>
            <w:tcW w:w="4535" w:type="dxa"/>
            <w:vAlign w:val="center"/>
          </w:tcPr>
          <w:p w14:paraId="5C321755">
            <w:pPr>
              <w:pStyle w:val="13"/>
            </w:pPr>
            <w:r>
              <w:t>普通教育</w:t>
            </w:r>
          </w:p>
        </w:tc>
        <w:tc>
          <w:tcPr>
            <w:tcW w:w="2551" w:type="dxa"/>
            <w:vAlign w:val="center"/>
          </w:tcPr>
          <w:p w14:paraId="7A08AC0D">
            <w:pPr>
              <w:pStyle w:val="14"/>
            </w:pPr>
            <w:r>
              <w:t>790.08</w:t>
            </w:r>
          </w:p>
        </w:tc>
        <w:tc>
          <w:tcPr>
            <w:tcW w:w="2551" w:type="dxa"/>
            <w:vAlign w:val="center"/>
          </w:tcPr>
          <w:p w14:paraId="74B424AD">
            <w:pPr>
              <w:pStyle w:val="14"/>
            </w:pPr>
            <w:r>
              <w:t>607.82</w:t>
            </w:r>
          </w:p>
        </w:tc>
        <w:tc>
          <w:tcPr>
            <w:tcW w:w="2551" w:type="dxa"/>
            <w:vAlign w:val="center"/>
          </w:tcPr>
          <w:p w14:paraId="1AD9EC9D">
            <w:pPr>
              <w:pStyle w:val="14"/>
            </w:pPr>
            <w:r>
              <w:t>182.25</w:t>
            </w:r>
          </w:p>
        </w:tc>
      </w:tr>
      <w:tr w14:paraId="7702A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B8F01">
            <w:pPr>
              <w:pStyle w:val="12"/>
            </w:pPr>
            <w:r>
              <w:t>4</w:t>
            </w:r>
          </w:p>
        </w:tc>
        <w:tc>
          <w:tcPr>
            <w:tcW w:w="1191" w:type="dxa"/>
            <w:vAlign w:val="center"/>
          </w:tcPr>
          <w:p w14:paraId="24C1173D">
            <w:pPr>
              <w:pStyle w:val="13"/>
            </w:pPr>
            <w:r>
              <w:t>2050203</w:t>
            </w:r>
          </w:p>
        </w:tc>
        <w:tc>
          <w:tcPr>
            <w:tcW w:w="4535" w:type="dxa"/>
            <w:vAlign w:val="center"/>
          </w:tcPr>
          <w:p w14:paraId="34FB4982">
            <w:pPr>
              <w:pStyle w:val="13"/>
            </w:pPr>
            <w:r>
              <w:t>初中教育</w:t>
            </w:r>
          </w:p>
        </w:tc>
        <w:tc>
          <w:tcPr>
            <w:tcW w:w="2551" w:type="dxa"/>
            <w:vAlign w:val="center"/>
          </w:tcPr>
          <w:p w14:paraId="64723480">
            <w:pPr>
              <w:pStyle w:val="14"/>
            </w:pPr>
            <w:r>
              <w:t>790.08</w:t>
            </w:r>
          </w:p>
        </w:tc>
        <w:tc>
          <w:tcPr>
            <w:tcW w:w="2551" w:type="dxa"/>
            <w:vAlign w:val="center"/>
          </w:tcPr>
          <w:p w14:paraId="1040AD35">
            <w:pPr>
              <w:pStyle w:val="14"/>
            </w:pPr>
            <w:r>
              <w:t>607.82</w:t>
            </w:r>
          </w:p>
        </w:tc>
        <w:tc>
          <w:tcPr>
            <w:tcW w:w="2551" w:type="dxa"/>
            <w:vAlign w:val="center"/>
          </w:tcPr>
          <w:p w14:paraId="4034E020">
            <w:pPr>
              <w:pStyle w:val="14"/>
            </w:pPr>
            <w:r>
              <w:t>182.25</w:t>
            </w:r>
          </w:p>
        </w:tc>
      </w:tr>
    </w:tbl>
    <w:p w14:paraId="3ECA5C2E">
      <w:pPr>
        <w:sectPr>
          <w:pgSz w:w="16840" w:h="11900" w:orient="landscape"/>
          <w:pgMar w:top="1361" w:right="1020" w:bottom="1134" w:left="1020" w:header="720" w:footer="720" w:gutter="0"/>
          <w:cols w:space="720" w:num="1"/>
        </w:sectPr>
      </w:pPr>
    </w:p>
    <w:p w14:paraId="6D113D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CBF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2D9D36">
            <w:pPr>
              <w:pStyle w:val="8"/>
            </w:pPr>
            <w:r>
              <w:t>360034隆尧县莲子中学</w:t>
            </w:r>
          </w:p>
        </w:tc>
        <w:tc>
          <w:tcPr>
            <w:tcW w:w="2551" w:type="dxa"/>
            <w:tcBorders>
              <w:top w:val="single" w:color="FFFFFF" w:sz="6" w:space="0"/>
              <w:left w:val="single" w:color="FFFFFF" w:sz="6" w:space="0"/>
              <w:right w:val="single" w:color="FFFFFF" w:sz="6" w:space="0"/>
            </w:tcBorders>
            <w:vAlign w:val="center"/>
          </w:tcPr>
          <w:p w14:paraId="0302CA2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A2926C3">
            <w:pPr>
              <w:pStyle w:val="10"/>
            </w:pPr>
            <w:r>
              <w:t>单位：万元</w:t>
            </w:r>
          </w:p>
        </w:tc>
      </w:tr>
      <w:tr w14:paraId="05EB8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0418EA">
            <w:pPr>
              <w:pStyle w:val="11"/>
            </w:pPr>
            <w:r>
              <w:t>序号</w:t>
            </w:r>
          </w:p>
        </w:tc>
        <w:tc>
          <w:tcPr>
            <w:tcW w:w="5726" w:type="dxa"/>
            <w:gridSpan w:val="2"/>
            <w:vAlign w:val="center"/>
          </w:tcPr>
          <w:p w14:paraId="2F90ABCE">
            <w:pPr>
              <w:pStyle w:val="11"/>
            </w:pPr>
            <w:r>
              <w:t>支出部门经济分类科目</w:t>
            </w:r>
          </w:p>
        </w:tc>
        <w:tc>
          <w:tcPr>
            <w:tcW w:w="7653" w:type="dxa"/>
            <w:gridSpan w:val="3"/>
            <w:vAlign w:val="center"/>
          </w:tcPr>
          <w:p w14:paraId="11B49E63">
            <w:pPr>
              <w:pStyle w:val="11"/>
            </w:pPr>
            <w:r>
              <w:t>一般公共预算基本支出</w:t>
            </w:r>
          </w:p>
        </w:tc>
      </w:tr>
      <w:tr w14:paraId="25846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2061E0"/>
        </w:tc>
        <w:tc>
          <w:tcPr>
            <w:tcW w:w="1191" w:type="dxa"/>
            <w:vAlign w:val="center"/>
          </w:tcPr>
          <w:p w14:paraId="59011905">
            <w:pPr>
              <w:pStyle w:val="11"/>
            </w:pPr>
            <w:r>
              <w:t>科目编码</w:t>
            </w:r>
          </w:p>
        </w:tc>
        <w:tc>
          <w:tcPr>
            <w:tcW w:w="4535" w:type="dxa"/>
            <w:vAlign w:val="center"/>
          </w:tcPr>
          <w:p w14:paraId="5DAB0903">
            <w:pPr>
              <w:pStyle w:val="11"/>
            </w:pPr>
            <w:r>
              <w:t>科目名称</w:t>
            </w:r>
          </w:p>
        </w:tc>
        <w:tc>
          <w:tcPr>
            <w:tcW w:w="2551" w:type="dxa"/>
            <w:vAlign w:val="center"/>
          </w:tcPr>
          <w:p w14:paraId="3C250C2E">
            <w:pPr>
              <w:pStyle w:val="11"/>
            </w:pPr>
            <w:r>
              <w:t>合计</w:t>
            </w:r>
          </w:p>
        </w:tc>
        <w:tc>
          <w:tcPr>
            <w:tcW w:w="2551" w:type="dxa"/>
            <w:vAlign w:val="center"/>
          </w:tcPr>
          <w:p w14:paraId="18B291D9">
            <w:pPr>
              <w:pStyle w:val="11"/>
            </w:pPr>
            <w:r>
              <w:t>人员经费</w:t>
            </w:r>
          </w:p>
        </w:tc>
        <w:tc>
          <w:tcPr>
            <w:tcW w:w="2551" w:type="dxa"/>
            <w:vAlign w:val="center"/>
          </w:tcPr>
          <w:p w14:paraId="4F6A7CF2">
            <w:pPr>
              <w:pStyle w:val="11"/>
            </w:pPr>
            <w:r>
              <w:t>公用经费</w:t>
            </w:r>
          </w:p>
        </w:tc>
      </w:tr>
      <w:tr w14:paraId="2CD8A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B9B830">
            <w:pPr>
              <w:pStyle w:val="11"/>
            </w:pPr>
            <w:r>
              <w:t>栏次</w:t>
            </w:r>
          </w:p>
        </w:tc>
        <w:tc>
          <w:tcPr>
            <w:tcW w:w="1191" w:type="dxa"/>
            <w:vAlign w:val="center"/>
          </w:tcPr>
          <w:p w14:paraId="01C98BEE">
            <w:pPr>
              <w:pStyle w:val="11"/>
            </w:pPr>
            <w:r>
              <w:t>1</w:t>
            </w:r>
          </w:p>
        </w:tc>
        <w:tc>
          <w:tcPr>
            <w:tcW w:w="4535" w:type="dxa"/>
            <w:vAlign w:val="center"/>
          </w:tcPr>
          <w:p w14:paraId="14FD1819">
            <w:pPr>
              <w:pStyle w:val="11"/>
            </w:pPr>
            <w:r>
              <w:t>2</w:t>
            </w:r>
          </w:p>
        </w:tc>
        <w:tc>
          <w:tcPr>
            <w:tcW w:w="2551" w:type="dxa"/>
            <w:vAlign w:val="center"/>
          </w:tcPr>
          <w:p w14:paraId="78AF5CFF">
            <w:pPr>
              <w:pStyle w:val="11"/>
            </w:pPr>
            <w:r>
              <w:t>3</w:t>
            </w:r>
          </w:p>
        </w:tc>
        <w:tc>
          <w:tcPr>
            <w:tcW w:w="2551" w:type="dxa"/>
            <w:vAlign w:val="center"/>
          </w:tcPr>
          <w:p w14:paraId="6F40F675">
            <w:pPr>
              <w:pStyle w:val="11"/>
            </w:pPr>
            <w:r>
              <w:t>4</w:t>
            </w:r>
          </w:p>
        </w:tc>
        <w:tc>
          <w:tcPr>
            <w:tcW w:w="2551" w:type="dxa"/>
            <w:vAlign w:val="center"/>
          </w:tcPr>
          <w:p w14:paraId="252C248B">
            <w:pPr>
              <w:pStyle w:val="11"/>
            </w:pPr>
            <w:r>
              <w:t>5</w:t>
            </w:r>
          </w:p>
        </w:tc>
      </w:tr>
      <w:tr w14:paraId="18015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8AF20">
            <w:pPr>
              <w:pStyle w:val="12"/>
            </w:pPr>
            <w:r>
              <w:t>1</w:t>
            </w:r>
          </w:p>
        </w:tc>
        <w:tc>
          <w:tcPr>
            <w:tcW w:w="1191" w:type="dxa"/>
            <w:vAlign w:val="center"/>
          </w:tcPr>
          <w:p w14:paraId="4EDCD5CE">
            <w:pPr>
              <w:pStyle w:val="17"/>
            </w:pPr>
          </w:p>
        </w:tc>
        <w:tc>
          <w:tcPr>
            <w:tcW w:w="4535" w:type="dxa"/>
            <w:vAlign w:val="center"/>
          </w:tcPr>
          <w:p w14:paraId="4C0D8509">
            <w:pPr>
              <w:pStyle w:val="15"/>
            </w:pPr>
            <w:r>
              <w:t>合计</w:t>
            </w:r>
          </w:p>
        </w:tc>
        <w:tc>
          <w:tcPr>
            <w:tcW w:w="2551" w:type="dxa"/>
            <w:vAlign w:val="center"/>
          </w:tcPr>
          <w:p w14:paraId="56ED43DC">
            <w:pPr>
              <w:pStyle w:val="16"/>
            </w:pPr>
            <w:r>
              <w:t>607.82</w:t>
            </w:r>
          </w:p>
        </w:tc>
        <w:tc>
          <w:tcPr>
            <w:tcW w:w="2551" w:type="dxa"/>
            <w:vAlign w:val="center"/>
          </w:tcPr>
          <w:p w14:paraId="3D4F0774">
            <w:pPr>
              <w:pStyle w:val="16"/>
            </w:pPr>
            <w:r>
              <w:t>607.82</w:t>
            </w:r>
          </w:p>
        </w:tc>
        <w:tc>
          <w:tcPr>
            <w:tcW w:w="2551" w:type="dxa"/>
            <w:vAlign w:val="center"/>
          </w:tcPr>
          <w:p w14:paraId="35063334">
            <w:pPr>
              <w:pStyle w:val="16"/>
            </w:pPr>
          </w:p>
        </w:tc>
      </w:tr>
      <w:tr w14:paraId="78DE9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43846">
            <w:pPr>
              <w:pStyle w:val="12"/>
            </w:pPr>
            <w:r>
              <w:t>2</w:t>
            </w:r>
          </w:p>
        </w:tc>
        <w:tc>
          <w:tcPr>
            <w:tcW w:w="1191" w:type="dxa"/>
            <w:vAlign w:val="center"/>
          </w:tcPr>
          <w:p w14:paraId="1447A801">
            <w:pPr>
              <w:pStyle w:val="13"/>
            </w:pPr>
            <w:r>
              <w:t>301</w:t>
            </w:r>
          </w:p>
        </w:tc>
        <w:tc>
          <w:tcPr>
            <w:tcW w:w="4535" w:type="dxa"/>
            <w:vAlign w:val="center"/>
          </w:tcPr>
          <w:p w14:paraId="66327533">
            <w:pPr>
              <w:pStyle w:val="13"/>
            </w:pPr>
            <w:r>
              <w:t>工资福利支出</w:t>
            </w:r>
          </w:p>
        </w:tc>
        <w:tc>
          <w:tcPr>
            <w:tcW w:w="2551" w:type="dxa"/>
            <w:vAlign w:val="center"/>
          </w:tcPr>
          <w:p w14:paraId="315B3F85">
            <w:pPr>
              <w:pStyle w:val="14"/>
            </w:pPr>
            <w:r>
              <w:t>603.20</w:t>
            </w:r>
          </w:p>
        </w:tc>
        <w:tc>
          <w:tcPr>
            <w:tcW w:w="2551" w:type="dxa"/>
            <w:vAlign w:val="center"/>
          </w:tcPr>
          <w:p w14:paraId="1617D9AE">
            <w:pPr>
              <w:pStyle w:val="14"/>
            </w:pPr>
            <w:r>
              <w:t>603.20</w:t>
            </w:r>
          </w:p>
        </w:tc>
        <w:tc>
          <w:tcPr>
            <w:tcW w:w="2551" w:type="dxa"/>
            <w:vAlign w:val="center"/>
          </w:tcPr>
          <w:p w14:paraId="5B8A0B08">
            <w:pPr>
              <w:pStyle w:val="14"/>
            </w:pPr>
          </w:p>
        </w:tc>
      </w:tr>
      <w:tr w14:paraId="4589E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1F8AB">
            <w:pPr>
              <w:pStyle w:val="12"/>
            </w:pPr>
            <w:r>
              <w:t>3</w:t>
            </w:r>
          </w:p>
        </w:tc>
        <w:tc>
          <w:tcPr>
            <w:tcW w:w="1191" w:type="dxa"/>
            <w:vAlign w:val="center"/>
          </w:tcPr>
          <w:p w14:paraId="15DF3F7C">
            <w:pPr>
              <w:pStyle w:val="13"/>
            </w:pPr>
            <w:r>
              <w:t>30101</w:t>
            </w:r>
          </w:p>
        </w:tc>
        <w:tc>
          <w:tcPr>
            <w:tcW w:w="4535" w:type="dxa"/>
            <w:vAlign w:val="center"/>
          </w:tcPr>
          <w:p w14:paraId="379FEDF6">
            <w:pPr>
              <w:pStyle w:val="13"/>
            </w:pPr>
            <w:r>
              <w:t>基本工资</w:t>
            </w:r>
          </w:p>
        </w:tc>
        <w:tc>
          <w:tcPr>
            <w:tcW w:w="2551" w:type="dxa"/>
            <w:vAlign w:val="center"/>
          </w:tcPr>
          <w:p w14:paraId="7FBA8272">
            <w:pPr>
              <w:pStyle w:val="14"/>
            </w:pPr>
            <w:r>
              <w:t>297.28</w:t>
            </w:r>
          </w:p>
        </w:tc>
        <w:tc>
          <w:tcPr>
            <w:tcW w:w="2551" w:type="dxa"/>
            <w:vAlign w:val="center"/>
          </w:tcPr>
          <w:p w14:paraId="7E11F50C">
            <w:pPr>
              <w:pStyle w:val="14"/>
            </w:pPr>
            <w:r>
              <w:t>297.28</w:t>
            </w:r>
          </w:p>
        </w:tc>
        <w:tc>
          <w:tcPr>
            <w:tcW w:w="2551" w:type="dxa"/>
            <w:vAlign w:val="center"/>
          </w:tcPr>
          <w:p w14:paraId="481C169F">
            <w:pPr>
              <w:pStyle w:val="14"/>
            </w:pPr>
          </w:p>
        </w:tc>
      </w:tr>
      <w:tr w14:paraId="5BE7C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E1908">
            <w:pPr>
              <w:pStyle w:val="12"/>
            </w:pPr>
            <w:r>
              <w:t>4</w:t>
            </w:r>
          </w:p>
        </w:tc>
        <w:tc>
          <w:tcPr>
            <w:tcW w:w="1191" w:type="dxa"/>
            <w:vAlign w:val="center"/>
          </w:tcPr>
          <w:p w14:paraId="57F0AD92">
            <w:pPr>
              <w:pStyle w:val="13"/>
            </w:pPr>
            <w:r>
              <w:t>30102</w:t>
            </w:r>
          </w:p>
        </w:tc>
        <w:tc>
          <w:tcPr>
            <w:tcW w:w="4535" w:type="dxa"/>
            <w:vAlign w:val="center"/>
          </w:tcPr>
          <w:p w14:paraId="50CB5921">
            <w:pPr>
              <w:pStyle w:val="13"/>
            </w:pPr>
            <w:r>
              <w:t>津贴补贴</w:t>
            </w:r>
          </w:p>
        </w:tc>
        <w:tc>
          <w:tcPr>
            <w:tcW w:w="2551" w:type="dxa"/>
            <w:vAlign w:val="center"/>
          </w:tcPr>
          <w:p w14:paraId="2FCE3008">
            <w:pPr>
              <w:pStyle w:val="14"/>
            </w:pPr>
            <w:r>
              <w:t>27.53</w:t>
            </w:r>
          </w:p>
        </w:tc>
        <w:tc>
          <w:tcPr>
            <w:tcW w:w="2551" w:type="dxa"/>
            <w:vAlign w:val="center"/>
          </w:tcPr>
          <w:p w14:paraId="422492FA">
            <w:pPr>
              <w:pStyle w:val="14"/>
            </w:pPr>
            <w:r>
              <w:t>27.53</w:t>
            </w:r>
          </w:p>
        </w:tc>
        <w:tc>
          <w:tcPr>
            <w:tcW w:w="2551" w:type="dxa"/>
            <w:vAlign w:val="center"/>
          </w:tcPr>
          <w:p w14:paraId="2E13D4E3">
            <w:pPr>
              <w:pStyle w:val="14"/>
            </w:pPr>
          </w:p>
        </w:tc>
      </w:tr>
      <w:tr w14:paraId="56C1C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175E2">
            <w:pPr>
              <w:pStyle w:val="12"/>
            </w:pPr>
            <w:r>
              <w:t>5</w:t>
            </w:r>
          </w:p>
        </w:tc>
        <w:tc>
          <w:tcPr>
            <w:tcW w:w="1191" w:type="dxa"/>
            <w:vAlign w:val="center"/>
          </w:tcPr>
          <w:p w14:paraId="027F5B83">
            <w:pPr>
              <w:pStyle w:val="13"/>
            </w:pPr>
            <w:r>
              <w:t>30107</w:t>
            </w:r>
          </w:p>
        </w:tc>
        <w:tc>
          <w:tcPr>
            <w:tcW w:w="4535" w:type="dxa"/>
            <w:vAlign w:val="center"/>
          </w:tcPr>
          <w:p w14:paraId="3CD06362">
            <w:pPr>
              <w:pStyle w:val="13"/>
            </w:pPr>
            <w:r>
              <w:t>绩效工资</w:t>
            </w:r>
          </w:p>
        </w:tc>
        <w:tc>
          <w:tcPr>
            <w:tcW w:w="2551" w:type="dxa"/>
            <w:vAlign w:val="center"/>
          </w:tcPr>
          <w:p w14:paraId="3D1F43A4">
            <w:pPr>
              <w:pStyle w:val="14"/>
            </w:pPr>
            <w:r>
              <w:t>146.81</w:t>
            </w:r>
          </w:p>
        </w:tc>
        <w:tc>
          <w:tcPr>
            <w:tcW w:w="2551" w:type="dxa"/>
            <w:vAlign w:val="center"/>
          </w:tcPr>
          <w:p w14:paraId="2A0E11B9">
            <w:pPr>
              <w:pStyle w:val="14"/>
            </w:pPr>
            <w:r>
              <w:t>146.81</w:t>
            </w:r>
          </w:p>
        </w:tc>
        <w:tc>
          <w:tcPr>
            <w:tcW w:w="2551" w:type="dxa"/>
            <w:vAlign w:val="center"/>
          </w:tcPr>
          <w:p w14:paraId="716795B3">
            <w:pPr>
              <w:pStyle w:val="14"/>
            </w:pPr>
          </w:p>
        </w:tc>
      </w:tr>
      <w:tr w14:paraId="6BA16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09A50">
            <w:pPr>
              <w:pStyle w:val="12"/>
            </w:pPr>
            <w:r>
              <w:t>6</w:t>
            </w:r>
          </w:p>
        </w:tc>
        <w:tc>
          <w:tcPr>
            <w:tcW w:w="1191" w:type="dxa"/>
            <w:vAlign w:val="center"/>
          </w:tcPr>
          <w:p w14:paraId="2DBCC651">
            <w:pPr>
              <w:pStyle w:val="13"/>
            </w:pPr>
            <w:r>
              <w:t>30108</w:t>
            </w:r>
          </w:p>
        </w:tc>
        <w:tc>
          <w:tcPr>
            <w:tcW w:w="4535" w:type="dxa"/>
            <w:vAlign w:val="center"/>
          </w:tcPr>
          <w:p w14:paraId="0F695605">
            <w:pPr>
              <w:pStyle w:val="13"/>
            </w:pPr>
            <w:r>
              <w:t>机关事业单位基本养老保险缴费</w:t>
            </w:r>
          </w:p>
        </w:tc>
        <w:tc>
          <w:tcPr>
            <w:tcW w:w="2551" w:type="dxa"/>
            <w:vAlign w:val="center"/>
          </w:tcPr>
          <w:p w14:paraId="3D00BC09">
            <w:pPr>
              <w:pStyle w:val="14"/>
            </w:pPr>
            <w:r>
              <w:t>58.08</w:t>
            </w:r>
          </w:p>
        </w:tc>
        <w:tc>
          <w:tcPr>
            <w:tcW w:w="2551" w:type="dxa"/>
            <w:vAlign w:val="center"/>
          </w:tcPr>
          <w:p w14:paraId="27303674">
            <w:pPr>
              <w:pStyle w:val="14"/>
            </w:pPr>
            <w:r>
              <w:t>58.08</w:t>
            </w:r>
          </w:p>
        </w:tc>
        <w:tc>
          <w:tcPr>
            <w:tcW w:w="2551" w:type="dxa"/>
            <w:vAlign w:val="center"/>
          </w:tcPr>
          <w:p w14:paraId="763FE7F2">
            <w:pPr>
              <w:pStyle w:val="14"/>
            </w:pPr>
          </w:p>
        </w:tc>
      </w:tr>
      <w:tr w14:paraId="129D0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2B1DA">
            <w:pPr>
              <w:pStyle w:val="12"/>
            </w:pPr>
            <w:r>
              <w:t>7</w:t>
            </w:r>
          </w:p>
        </w:tc>
        <w:tc>
          <w:tcPr>
            <w:tcW w:w="1191" w:type="dxa"/>
            <w:vAlign w:val="center"/>
          </w:tcPr>
          <w:p w14:paraId="0500A25A">
            <w:pPr>
              <w:pStyle w:val="13"/>
            </w:pPr>
            <w:r>
              <w:t>30110</w:t>
            </w:r>
          </w:p>
        </w:tc>
        <w:tc>
          <w:tcPr>
            <w:tcW w:w="4535" w:type="dxa"/>
            <w:vAlign w:val="center"/>
          </w:tcPr>
          <w:p w14:paraId="13D9F1DB">
            <w:pPr>
              <w:pStyle w:val="13"/>
            </w:pPr>
            <w:r>
              <w:t>职工基本医疗保险缴费</w:t>
            </w:r>
          </w:p>
        </w:tc>
        <w:tc>
          <w:tcPr>
            <w:tcW w:w="2551" w:type="dxa"/>
            <w:vAlign w:val="center"/>
          </w:tcPr>
          <w:p w14:paraId="65A32A22">
            <w:pPr>
              <w:pStyle w:val="14"/>
            </w:pPr>
            <w:r>
              <w:t>26.52</w:t>
            </w:r>
          </w:p>
        </w:tc>
        <w:tc>
          <w:tcPr>
            <w:tcW w:w="2551" w:type="dxa"/>
            <w:vAlign w:val="center"/>
          </w:tcPr>
          <w:p w14:paraId="2A44039B">
            <w:pPr>
              <w:pStyle w:val="14"/>
            </w:pPr>
            <w:r>
              <w:t>26.52</w:t>
            </w:r>
          </w:p>
        </w:tc>
        <w:tc>
          <w:tcPr>
            <w:tcW w:w="2551" w:type="dxa"/>
            <w:vAlign w:val="center"/>
          </w:tcPr>
          <w:p w14:paraId="5E05CB5F">
            <w:pPr>
              <w:pStyle w:val="14"/>
            </w:pPr>
          </w:p>
        </w:tc>
      </w:tr>
      <w:tr w14:paraId="18548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FBD25">
            <w:pPr>
              <w:pStyle w:val="12"/>
            </w:pPr>
            <w:r>
              <w:t>8</w:t>
            </w:r>
          </w:p>
        </w:tc>
        <w:tc>
          <w:tcPr>
            <w:tcW w:w="1191" w:type="dxa"/>
            <w:vAlign w:val="center"/>
          </w:tcPr>
          <w:p w14:paraId="6C972043">
            <w:pPr>
              <w:pStyle w:val="13"/>
            </w:pPr>
            <w:r>
              <w:t>30112</w:t>
            </w:r>
          </w:p>
        </w:tc>
        <w:tc>
          <w:tcPr>
            <w:tcW w:w="4535" w:type="dxa"/>
            <w:vAlign w:val="center"/>
          </w:tcPr>
          <w:p w14:paraId="759B582B">
            <w:pPr>
              <w:pStyle w:val="13"/>
            </w:pPr>
            <w:r>
              <w:t>其他社会保障缴费</w:t>
            </w:r>
          </w:p>
        </w:tc>
        <w:tc>
          <w:tcPr>
            <w:tcW w:w="2551" w:type="dxa"/>
            <w:vAlign w:val="center"/>
          </w:tcPr>
          <w:p w14:paraId="741C4670">
            <w:pPr>
              <w:pStyle w:val="14"/>
            </w:pPr>
            <w:r>
              <w:t>1.62</w:t>
            </w:r>
          </w:p>
        </w:tc>
        <w:tc>
          <w:tcPr>
            <w:tcW w:w="2551" w:type="dxa"/>
            <w:vAlign w:val="center"/>
          </w:tcPr>
          <w:p w14:paraId="1ABFFAB2">
            <w:pPr>
              <w:pStyle w:val="14"/>
            </w:pPr>
            <w:r>
              <w:t>1.62</w:t>
            </w:r>
          </w:p>
        </w:tc>
        <w:tc>
          <w:tcPr>
            <w:tcW w:w="2551" w:type="dxa"/>
            <w:vAlign w:val="center"/>
          </w:tcPr>
          <w:p w14:paraId="60B07631">
            <w:pPr>
              <w:pStyle w:val="14"/>
            </w:pPr>
          </w:p>
        </w:tc>
      </w:tr>
      <w:tr w14:paraId="02CD5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5D0A8">
            <w:pPr>
              <w:pStyle w:val="12"/>
            </w:pPr>
            <w:r>
              <w:t>9</w:t>
            </w:r>
          </w:p>
        </w:tc>
        <w:tc>
          <w:tcPr>
            <w:tcW w:w="1191" w:type="dxa"/>
            <w:vAlign w:val="center"/>
          </w:tcPr>
          <w:p w14:paraId="0891FCCB">
            <w:pPr>
              <w:pStyle w:val="13"/>
            </w:pPr>
            <w:r>
              <w:t>30113</w:t>
            </w:r>
          </w:p>
        </w:tc>
        <w:tc>
          <w:tcPr>
            <w:tcW w:w="4535" w:type="dxa"/>
            <w:vAlign w:val="center"/>
          </w:tcPr>
          <w:p w14:paraId="65654E01">
            <w:pPr>
              <w:pStyle w:val="13"/>
            </w:pPr>
            <w:r>
              <w:t>住房公积金</w:t>
            </w:r>
          </w:p>
        </w:tc>
        <w:tc>
          <w:tcPr>
            <w:tcW w:w="2551" w:type="dxa"/>
            <w:vAlign w:val="center"/>
          </w:tcPr>
          <w:p w14:paraId="0CA8EEA1">
            <w:pPr>
              <w:pStyle w:val="14"/>
            </w:pPr>
            <w:r>
              <w:t>45.36</w:t>
            </w:r>
          </w:p>
        </w:tc>
        <w:tc>
          <w:tcPr>
            <w:tcW w:w="2551" w:type="dxa"/>
            <w:vAlign w:val="center"/>
          </w:tcPr>
          <w:p w14:paraId="3DA9BC44">
            <w:pPr>
              <w:pStyle w:val="14"/>
            </w:pPr>
            <w:r>
              <w:t>45.36</w:t>
            </w:r>
          </w:p>
        </w:tc>
        <w:tc>
          <w:tcPr>
            <w:tcW w:w="2551" w:type="dxa"/>
            <w:vAlign w:val="center"/>
          </w:tcPr>
          <w:p w14:paraId="118F49D5">
            <w:pPr>
              <w:pStyle w:val="14"/>
            </w:pPr>
          </w:p>
        </w:tc>
      </w:tr>
      <w:tr w14:paraId="01B64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8ED70">
            <w:pPr>
              <w:pStyle w:val="12"/>
            </w:pPr>
            <w:r>
              <w:t>10</w:t>
            </w:r>
          </w:p>
        </w:tc>
        <w:tc>
          <w:tcPr>
            <w:tcW w:w="1191" w:type="dxa"/>
            <w:vAlign w:val="center"/>
          </w:tcPr>
          <w:p w14:paraId="4CB3E7EF">
            <w:pPr>
              <w:pStyle w:val="13"/>
            </w:pPr>
            <w:r>
              <w:t>303</w:t>
            </w:r>
          </w:p>
        </w:tc>
        <w:tc>
          <w:tcPr>
            <w:tcW w:w="4535" w:type="dxa"/>
            <w:vAlign w:val="center"/>
          </w:tcPr>
          <w:p w14:paraId="5C3D9A7E">
            <w:pPr>
              <w:pStyle w:val="13"/>
            </w:pPr>
            <w:r>
              <w:t>对个人和家庭的补助</w:t>
            </w:r>
          </w:p>
        </w:tc>
        <w:tc>
          <w:tcPr>
            <w:tcW w:w="2551" w:type="dxa"/>
            <w:vAlign w:val="center"/>
          </w:tcPr>
          <w:p w14:paraId="6A1C472B">
            <w:pPr>
              <w:pStyle w:val="14"/>
            </w:pPr>
            <w:r>
              <w:t>4.62</w:t>
            </w:r>
          </w:p>
        </w:tc>
        <w:tc>
          <w:tcPr>
            <w:tcW w:w="2551" w:type="dxa"/>
            <w:vAlign w:val="center"/>
          </w:tcPr>
          <w:p w14:paraId="5CCAB211">
            <w:pPr>
              <w:pStyle w:val="14"/>
            </w:pPr>
            <w:r>
              <w:t>4.62</w:t>
            </w:r>
          </w:p>
        </w:tc>
        <w:tc>
          <w:tcPr>
            <w:tcW w:w="2551" w:type="dxa"/>
            <w:vAlign w:val="center"/>
          </w:tcPr>
          <w:p w14:paraId="27DA8D73">
            <w:pPr>
              <w:pStyle w:val="14"/>
            </w:pPr>
          </w:p>
        </w:tc>
      </w:tr>
      <w:tr w14:paraId="052DA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92CDD">
            <w:pPr>
              <w:pStyle w:val="12"/>
            </w:pPr>
            <w:r>
              <w:t>11</w:t>
            </w:r>
          </w:p>
        </w:tc>
        <w:tc>
          <w:tcPr>
            <w:tcW w:w="1191" w:type="dxa"/>
            <w:vAlign w:val="center"/>
          </w:tcPr>
          <w:p w14:paraId="59434E58">
            <w:pPr>
              <w:pStyle w:val="13"/>
            </w:pPr>
            <w:r>
              <w:t>30302</w:t>
            </w:r>
          </w:p>
        </w:tc>
        <w:tc>
          <w:tcPr>
            <w:tcW w:w="4535" w:type="dxa"/>
            <w:vAlign w:val="center"/>
          </w:tcPr>
          <w:p w14:paraId="592F150A">
            <w:pPr>
              <w:pStyle w:val="13"/>
            </w:pPr>
            <w:r>
              <w:t>退休费</w:t>
            </w:r>
          </w:p>
        </w:tc>
        <w:tc>
          <w:tcPr>
            <w:tcW w:w="2551" w:type="dxa"/>
            <w:vAlign w:val="center"/>
          </w:tcPr>
          <w:p w14:paraId="62919B4A">
            <w:pPr>
              <w:pStyle w:val="14"/>
            </w:pPr>
            <w:r>
              <w:t>4.62</w:t>
            </w:r>
          </w:p>
        </w:tc>
        <w:tc>
          <w:tcPr>
            <w:tcW w:w="2551" w:type="dxa"/>
            <w:vAlign w:val="center"/>
          </w:tcPr>
          <w:p w14:paraId="480FB329">
            <w:pPr>
              <w:pStyle w:val="14"/>
            </w:pPr>
            <w:r>
              <w:t>4.62</w:t>
            </w:r>
          </w:p>
        </w:tc>
        <w:tc>
          <w:tcPr>
            <w:tcW w:w="2551" w:type="dxa"/>
            <w:vAlign w:val="center"/>
          </w:tcPr>
          <w:p w14:paraId="15AA78A4">
            <w:pPr>
              <w:pStyle w:val="14"/>
            </w:pPr>
          </w:p>
        </w:tc>
      </w:tr>
    </w:tbl>
    <w:p w14:paraId="36EE064E">
      <w:pPr>
        <w:sectPr>
          <w:pgSz w:w="16840" w:h="11900" w:orient="landscape"/>
          <w:pgMar w:top="1361" w:right="1020" w:bottom="1134" w:left="1020" w:header="720" w:footer="720" w:gutter="0"/>
          <w:cols w:space="720" w:num="1"/>
        </w:sectPr>
      </w:pPr>
    </w:p>
    <w:p w14:paraId="16D956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FC0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44F41E">
            <w:pPr>
              <w:pStyle w:val="8"/>
            </w:pPr>
            <w:r>
              <w:t>360034隆尧县莲子中学</w:t>
            </w:r>
          </w:p>
        </w:tc>
        <w:tc>
          <w:tcPr>
            <w:tcW w:w="2551" w:type="dxa"/>
            <w:tcBorders>
              <w:top w:val="single" w:color="FFFFFF" w:sz="6" w:space="0"/>
              <w:left w:val="single" w:color="FFFFFF" w:sz="6" w:space="0"/>
              <w:right w:val="single" w:color="FFFFFF" w:sz="6" w:space="0"/>
            </w:tcBorders>
            <w:vAlign w:val="center"/>
          </w:tcPr>
          <w:p w14:paraId="6E2BE94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7EFA695">
            <w:pPr>
              <w:pStyle w:val="10"/>
            </w:pPr>
            <w:r>
              <w:t>单位：万元</w:t>
            </w:r>
          </w:p>
        </w:tc>
      </w:tr>
      <w:tr w14:paraId="75F06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37FCBF">
            <w:pPr>
              <w:pStyle w:val="11"/>
            </w:pPr>
            <w:r>
              <w:t>序号</w:t>
            </w:r>
          </w:p>
        </w:tc>
        <w:tc>
          <w:tcPr>
            <w:tcW w:w="5726" w:type="dxa"/>
            <w:gridSpan w:val="2"/>
            <w:vAlign w:val="center"/>
          </w:tcPr>
          <w:p w14:paraId="71EA8B79">
            <w:pPr>
              <w:pStyle w:val="11"/>
            </w:pPr>
            <w:r>
              <w:t>功能分类科目</w:t>
            </w:r>
          </w:p>
        </w:tc>
        <w:tc>
          <w:tcPr>
            <w:tcW w:w="2551" w:type="dxa"/>
            <w:vMerge w:val="restart"/>
            <w:vAlign w:val="center"/>
          </w:tcPr>
          <w:p w14:paraId="1348E1B8">
            <w:pPr>
              <w:pStyle w:val="11"/>
            </w:pPr>
            <w:r>
              <w:t>合计</w:t>
            </w:r>
          </w:p>
        </w:tc>
        <w:tc>
          <w:tcPr>
            <w:tcW w:w="2551" w:type="dxa"/>
            <w:vMerge w:val="restart"/>
            <w:vAlign w:val="center"/>
          </w:tcPr>
          <w:p w14:paraId="75CDB62C">
            <w:pPr>
              <w:pStyle w:val="11"/>
            </w:pPr>
            <w:r>
              <w:t>基本支出</w:t>
            </w:r>
          </w:p>
        </w:tc>
        <w:tc>
          <w:tcPr>
            <w:tcW w:w="2551" w:type="dxa"/>
            <w:vMerge w:val="restart"/>
            <w:vAlign w:val="center"/>
          </w:tcPr>
          <w:p w14:paraId="61DFCF76">
            <w:pPr>
              <w:pStyle w:val="11"/>
            </w:pPr>
            <w:r>
              <w:t>项目支出</w:t>
            </w:r>
          </w:p>
        </w:tc>
      </w:tr>
      <w:tr w14:paraId="26A29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D0EFCA"/>
        </w:tc>
        <w:tc>
          <w:tcPr>
            <w:tcW w:w="1191" w:type="dxa"/>
            <w:vAlign w:val="center"/>
          </w:tcPr>
          <w:p w14:paraId="76896B81">
            <w:pPr>
              <w:pStyle w:val="11"/>
            </w:pPr>
            <w:r>
              <w:t>科目编码</w:t>
            </w:r>
          </w:p>
        </w:tc>
        <w:tc>
          <w:tcPr>
            <w:tcW w:w="4535" w:type="dxa"/>
            <w:vAlign w:val="center"/>
          </w:tcPr>
          <w:p w14:paraId="6BBBD1D3">
            <w:pPr>
              <w:pStyle w:val="11"/>
            </w:pPr>
            <w:r>
              <w:t>科目名称</w:t>
            </w:r>
          </w:p>
        </w:tc>
        <w:tc>
          <w:tcPr>
            <w:tcW w:w="2551" w:type="dxa"/>
            <w:vMerge w:val="continue"/>
          </w:tcPr>
          <w:p w14:paraId="580CCA12"/>
        </w:tc>
        <w:tc>
          <w:tcPr>
            <w:tcW w:w="2551" w:type="dxa"/>
            <w:vMerge w:val="continue"/>
          </w:tcPr>
          <w:p w14:paraId="155D5298"/>
        </w:tc>
        <w:tc>
          <w:tcPr>
            <w:tcW w:w="2551" w:type="dxa"/>
            <w:vMerge w:val="continue"/>
          </w:tcPr>
          <w:p w14:paraId="327A23BD"/>
        </w:tc>
      </w:tr>
      <w:tr w14:paraId="6FCC7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EEF936">
            <w:pPr>
              <w:pStyle w:val="11"/>
            </w:pPr>
            <w:r>
              <w:t>栏次</w:t>
            </w:r>
          </w:p>
        </w:tc>
        <w:tc>
          <w:tcPr>
            <w:tcW w:w="1191" w:type="dxa"/>
            <w:vAlign w:val="center"/>
          </w:tcPr>
          <w:p w14:paraId="46DE65BF">
            <w:pPr>
              <w:pStyle w:val="11"/>
            </w:pPr>
            <w:r>
              <w:t>1</w:t>
            </w:r>
          </w:p>
        </w:tc>
        <w:tc>
          <w:tcPr>
            <w:tcW w:w="4535" w:type="dxa"/>
            <w:vAlign w:val="center"/>
          </w:tcPr>
          <w:p w14:paraId="7D89E4E1">
            <w:pPr>
              <w:pStyle w:val="11"/>
            </w:pPr>
            <w:r>
              <w:t>2</w:t>
            </w:r>
          </w:p>
        </w:tc>
        <w:tc>
          <w:tcPr>
            <w:tcW w:w="2551" w:type="dxa"/>
            <w:vAlign w:val="center"/>
          </w:tcPr>
          <w:p w14:paraId="70E2225E">
            <w:pPr>
              <w:pStyle w:val="11"/>
            </w:pPr>
            <w:r>
              <w:t>3</w:t>
            </w:r>
          </w:p>
        </w:tc>
        <w:tc>
          <w:tcPr>
            <w:tcW w:w="2551" w:type="dxa"/>
            <w:vAlign w:val="center"/>
          </w:tcPr>
          <w:p w14:paraId="2D948B28">
            <w:pPr>
              <w:pStyle w:val="11"/>
            </w:pPr>
            <w:r>
              <w:t>4</w:t>
            </w:r>
          </w:p>
        </w:tc>
        <w:tc>
          <w:tcPr>
            <w:tcW w:w="2551" w:type="dxa"/>
            <w:vAlign w:val="center"/>
          </w:tcPr>
          <w:p w14:paraId="2E8C62C8">
            <w:pPr>
              <w:pStyle w:val="11"/>
            </w:pPr>
            <w:r>
              <w:t>5</w:t>
            </w:r>
          </w:p>
        </w:tc>
      </w:tr>
      <w:tr w14:paraId="412C7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B45E2">
            <w:pPr>
              <w:pStyle w:val="12"/>
            </w:pPr>
          </w:p>
        </w:tc>
        <w:tc>
          <w:tcPr>
            <w:tcW w:w="1191" w:type="dxa"/>
            <w:vAlign w:val="center"/>
          </w:tcPr>
          <w:p w14:paraId="49E1CEDF">
            <w:pPr>
              <w:pStyle w:val="13"/>
            </w:pPr>
          </w:p>
        </w:tc>
        <w:tc>
          <w:tcPr>
            <w:tcW w:w="4535" w:type="dxa"/>
            <w:vAlign w:val="center"/>
          </w:tcPr>
          <w:p w14:paraId="0F507DC0">
            <w:pPr>
              <w:pStyle w:val="13"/>
            </w:pPr>
          </w:p>
        </w:tc>
        <w:tc>
          <w:tcPr>
            <w:tcW w:w="2551" w:type="dxa"/>
            <w:vAlign w:val="center"/>
          </w:tcPr>
          <w:p w14:paraId="4A881EF0">
            <w:pPr>
              <w:pStyle w:val="14"/>
            </w:pPr>
          </w:p>
        </w:tc>
        <w:tc>
          <w:tcPr>
            <w:tcW w:w="2551" w:type="dxa"/>
            <w:vAlign w:val="center"/>
          </w:tcPr>
          <w:p w14:paraId="53C39B14">
            <w:pPr>
              <w:pStyle w:val="14"/>
            </w:pPr>
          </w:p>
        </w:tc>
        <w:tc>
          <w:tcPr>
            <w:tcW w:w="2551" w:type="dxa"/>
            <w:vAlign w:val="center"/>
          </w:tcPr>
          <w:p w14:paraId="11F40922">
            <w:pPr>
              <w:pStyle w:val="14"/>
            </w:pPr>
          </w:p>
        </w:tc>
      </w:tr>
    </w:tbl>
    <w:p w14:paraId="104197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55278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129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EAF043">
            <w:pPr>
              <w:pStyle w:val="8"/>
            </w:pPr>
            <w:r>
              <w:t>360034隆尧县莲子中学</w:t>
            </w:r>
          </w:p>
        </w:tc>
        <w:tc>
          <w:tcPr>
            <w:tcW w:w="2551" w:type="dxa"/>
            <w:tcBorders>
              <w:top w:val="single" w:color="FFFFFF" w:sz="6" w:space="0"/>
              <w:left w:val="single" w:color="FFFFFF" w:sz="6" w:space="0"/>
              <w:right w:val="single" w:color="FFFFFF" w:sz="6" w:space="0"/>
            </w:tcBorders>
            <w:vAlign w:val="center"/>
          </w:tcPr>
          <w:p w14:paraId="21797AF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0755AAD">
            <w:pPr>
              <w:pStyle w:val="10"/>
            </w:pPr>
            <w:r>
              <w:t>单位：万元</w:t>
            </w:r>
          </w:p>
        </w:tc>
      </w:tr>
      <w:tr w14:paraId="23506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578DE">
            <w:pPr>
              <w:pStyle w:val="11"/>
            </w:pPr>
            <w:r>
              <w:t>序号</w:t>
            </w:r>
          </w:p>
        </w:tc>
        <w:tc>
          <w:tcPr>
            <w:tcW w:w="5726" w:type="dxa"/>
            <w:gridSpan w:val="2"/>
            <w:vAlign w:val="center"/>
          </w:tcPr>
          <w:p w14:paraId="58849831">
            <w:pPr>
              <w:pStyle w:val="11"/>
            </w:pPr>
            <w:r>
              <w:t>功能分类科目</w:t>
            </w:r>
          </w:p>
        </w:tc>
        <w:tc>
          <w:tcPr>
            <w:tcW w:w="2551" w:type="dxa"/>
            <w:vMerge w:val="restart"/>
            <w:vAlign w:val="center"/>
          </w:tcPr>
          <w:p w14:paraId="43B80BD4">
            <w:pPr>
              <w:pStyle w:val="11"/>
            </w:pPr>
            <w:r>
              <w:t>合计</w:t>
            </w:r>
          </w:p>
        </w:tc>
        <w:tc>
          <w:tcPr>
            <w:tcW w:w="2551" w:type="dxa"/>
            <w:vMerge w:val="restart"/>
            <w:vAlign w:val="center"/>
          </w:tcPr>
          <w:p w14:paraId="6F2FD87C">
            <w:pPr>
              <w:pStyle w:val="11"/>
            </w:pPr>
            <w:r>
              <w:t>基本支出</w:t>
            </w:r>
          </w:p>
        </w:tc>
        <w:tc>
          <w:tcPr>
            <w:tcW w:w="2551" w:type="dxa"/>
            <w:vMerge w:val="restart"/>
            <w:vAlign w:val="center"/>
          </w:tcPr>
          <w:p w14:paraId="27287403">
            <w:pPr>
              <w:pStyle w:val="11"/>
            </w:pPr>
            <w:r>
              <w:t>项目支出</w:t>
            </w:r>
          </w:p>
        </w:tc>
      </w:tr>
      <w:tr w14:paraId="1A3C6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F6F903"/>
        </w:tc>
        <w:tc>
          <w:tcPr>
            <w:tcW w:w="1191" w:type="dxa"/>
            <w:vAlign w:val="center"/>
          </w:tcPr>
          <w:p w14:paraId="0C89C38A">
            <w:pPr>
              <w:pStyle w:val="11"/>
            </w:pPr>
            <w:r>
              <w:t>科目编码</w:t>
            </w:r>
          </w:p>
        </w:tc>
        <w:tc>
          <w:tcPr>
            <w:tcW w:w="4535" w:type="dxa"/>
            <w:vAlign w:val="center"/>
          </w:tcPr>
          <w:p w14:paraId="111DDE4A">
            <w:pPr>
              <w:pStyle w:val="11"/>
            </w:pPr>
            <w:r>
              <w:t>科目名称</w:t>
            </w:r>
          </w:p>
        </w:tc>
        <w:tc>
          <w:tcPr>
            <w:tcW w:w="2551" w:type="dxa"/>
            <w:vMerge w:val="continue"/>
          </w:tcPr>
          <w:p w14:paraId="2C087EC6"/>
        </w:tc>
        <w:tc>
          <w:tcPr>
            <w:tcW w:w="2551" w:type="dxa"/>
            <w:vMerge w:val="continue"/>
          </w:tcPr>
          <w:p w14:paraId="2C468B8A"/>
        </w:tc>
        <w:tc>
          <w:tcPr>
            <w:tcW w:w="2551" w:type="dxa"/>
            <w:vMerge w:val="continue"/>
          </w:tcPr>
          <w:p w14:paraId="266A545C"/>
        </w:tc>
      </w:tr>
      <w:tr w14:paraId="58DF6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4B8BDE">
            <w:pPr>
              <w:pStyle w:val="11"/>
            </w:pPr>
            <w:r>
              <w:t>栏次</w:t>
            </w:r>
          </w:p>
        </w:tc>
        <w:tc>
          <w:tcPr>
            <w:tcW w:w="1191" w:type="dxa"/>
            <w:vAlign w:val="center"/>
          </w:tcPr>
          <w:p w14:paraId="1FD5110B">
            <w:pPr>
              <w:pStyle w:val="11"/>
            </w:pPr>
            <w:r>
              <w:t>1</w:t>
            </w:r>
          </w:p>
        </w:tc>
        <w:tc>
          <w:tcPr>
            <w:tcW w:w="4535" w:type="dxa"/>
            <w:vAlign w:val="center"/>
          </w:tcPr>
          <w:p w14:paraId="0D45F12C">
            <w:pPr>
              <w:pStyle w:val="11"/>
            </w:pPr>
            <w:r>
              <w:t>2</w:t>
            </w:r>
          </w:p>
        </w:tc>
        <w:tc>
          <w:tcPr>
            <w:tcW w:w="2551" w:type="dxa"/>
            <w:vAlign w:val="center"/>
          </w:tcPr>
          <w:p w14:paraId="4CA5DBDE">
            <w:pPr>
              <w:pStyle w:val="11"/>
            </w:pPr>
            <w:r>
              <w:t>3</w:t>
            </w:r>
          </w:p>
        </w:tc>
        <w:tc>
          <w:tcPr>
            <w:tcW w:w="2551" w:type="dxa"/>
            <w:vAlign w:val="center"/>
          </w:tcPr>
          <w:p w14:paraId="4DDE51BF">
            <w:pPr>
              <w:pStyle w:val="11"/>
            </w:pPr>
            <w:r>
              <w:t>4</w:t>
            </w:r>
          </w:p>
        </w:tc>
        <w:tc>
          <w:tcPr>
            <w:tcW w:w="2551" w:type="dxa"/>
            <w:vAlign w:val="center"/>
          </w:tcPr>
          <w:p w14:paraId="074189F7">
            <w:pPr>
              <w:pStyle w:val="11"/>
            </w:pPr>
            <w:r>
              <w:t>5</w:t>
            </w:r>
          </w:p>
        </w:tc>
      </w:tr>
      <w:tr w14:paraId="5AB33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D35DE">
            <w:pPr>
              <w:pStyle w:val="12"/>
            </w:pPr>
          </w:p>
        </w:tc>
        <w:tc>
          <w:tcPr>
            <w:tcW w:w="1191" w:type="dxa"/>
            <w:vAlign w:val="center"/>
          </w:tcPr>
          <w:p w14:paraId="7FC83F10">
            <w:pPr>
              <w:pStyle w:val="13"/>
            </w:pPr>
          </w:p>
        </w:tc>
        <w:tc>
          <w:tcPr>
            <w:tcW w:w="4535" w:type="dxa"/>
            <w:vAlign w:val="center"/>
          </w:tcPr>
          <w:p w14:paraId="212D3B31">
            <w:pPr>
              <w:pStyle w:val="13"/>
            </w:pPr>
          </w:p>
        </w:tc>
        <w:tc>
          <w:tcPr>
            <w:tcW w:w="2551" w:type="dxa"/>
            <w:vAlign w:val="center"/>
          </w:tcPr>
          <w:p w14:paraId="3746693A">
            <w:pPr>
              <w:pStyle w:val="14"/>
            </w:pPr>
          </w:p>
        </w:tc>
        <w:tc>
          <w:tcPr>
            <w:tcW w:w="2551" w:type="dxa"/>
            <w:vAlign w:val="center"/>
          </w:tcPr>
          <w:p w14:paraId="00C90049">
            <w:pPr>
              <w:pStyle w:val="14"/>
            </w:pPr>
          </w:p>
        </w:tc>
        <w:tc>
          <w:tcPr>
            <w:tcW w:w="2551" w:type="dxa"/>
            <w:vAlign w:val="center"/>
          </w:tcPr>
          <w:p w14:paraId="54EF2228">
            <w:pPr>
              <w:pStyle w:val="14"/>
            </w:pPr>
          </w:p>
        </w:tc>
      </w:tr>
    </w:tbl>
    <w:p w14:paraId="33A9B5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94F5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EF6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8F5318">
            <w:pPr>
              <w:pStyle w:val="8"/>
            </w:pPr>
            <w:r>
              <w:t>360034隆尧县莲子中学</w:t>
            </w:r>
          </w:p>
        </w:tc>
        <w:tc>
          <w:tcPr>
            <w:tcW w:w="2381" w:type="dxa"/>
            <w:tcBorders>
              <w:top w:val="single" w:color="FFFFFF" w:sz="6" w:space="0"/>
              <w:left w:val="single" w:color="FFFFFF" w:sz="6" w:space="0"/>
              <w:right w:val="single" w:color="FFFFFF" w:sz="6" w:space="0"/>
            </w:tcBorders>
            <w:vAlign w:val="center"/>
          </w:tcPr>
          <w:p w14:paraId="0AA7E9C6">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D9F70CB">
            <w:pPr>
              <w:pStyle w:val="10"/>
            </w:pPr>
            <w:r>
              <w:t>单位：万元</w:t>
            </w:r>
          </w:p>
        </w:tc>
      </w:tr>
      <w:tr w14:paraId="7E711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3C78D">
            <w:pPr>
              <w:pStyle w:val="11"/>
            </w:pPr>
            <w:r>
              <w:t>序号</w:t>
            </w:r>
          </w:p>
        </w:tc>
        <w:tc>
          <w:tcPr>
            <w:tcW w:w="3798" w:type="dxa"/>
            <w:vMerge w:val="restart"/>
            <w:vAlign w:val="center"/>
          </w:tcPr>
          <w:p w14:paraId="41903C03">
            <w:pPr>
              <w:pStyle w:val="11"/>
            </w:pPr>
            <w:r>
              <w:t>项  目</w:t>
            </w:r>
          </w:p>
        </w:tc>
        <w:tc>
          <w:tcPr>
            <w:tcW w:w="9524" w:type="dxa"/>
            <w:gridSpan w:val="4"/>
            <w:vAlign w:val="center"/>
          </w:tcPr>
          <w:p w14:paraId="321197C9">
            <w:pPr>
              <w:pStyle w:val="11"/>
            </w:pPr>
            <w:r>
              <w:t>资 金 性 质</w:t>
            </w:r>
          </w:p>
        </w:tc>
      </w:tr>
      <w:tr w14:paraId="648C5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EF752C"/>
        </w:tc>
        <w:tc>
          <w:tcPr>
            <w:tcW w:w="3798" w:type="dxa"/>
            <w:vMerge w:val="continue"/>
          </w:tcPr>
          <w:p w14:paraId="0C0577DA"/>
        </w:tc>
        <w:tc>
          <w:tcPr>
            <w:tcW w:w="2381" w:type="dxa"/>
            <w:vAlign w:val="center"/>
          </w:tcPr>
          <w:p w14:paraId="34442256">
            <w:pPr>
              <w:pStyle w:val="11"/>
            </w:pPr>
            <w:r>
              <w:t>合计</w:t>
            </w:r>
          </w:p>
        </w:tc>
        <w:tc>
          <w:tcPr>
            <w:tcW w:w="2381" w:type="dxa"/>
            <w:vAlign w:val="center"/>
          </w:tcPr>
          <w:p w14:paraId="0CB20764">
            <w:pPr>
              <w:pStyle w:val="11"/>
            </w:pPr>
            <w:r>
              <w:t>一般公共预算              财政拨款</w:t>
            </w:r>
          </w:p>
        </w:tc>
        <w:tc>
          <w:tcPr>
            <w:tcW w:w="2381" w:type="dxa"/>
            <w:vAlign w:val="center"/>
          </w:tcPr>
          <w:p w14:paraId="6399BE7E">
            <w:pPr>
              <w:pStyle w:val="11"/>
            </w:pPr>
            <w:r>
              <w:t>政府性基金                  预算拨款</w:t>
            </w:r>
          </w:p>
        </w:tc>
        <w:tc>
          <w:tcPr>
            <w:tcW w:w="2381" w:type="dxa"/>
            <w:vAlign w:val="center"/>
          </w:tcPr>
          <w:p w14:paraId="278E2D7D">
            <w:pPr>
              <w:pStyle w:val="11"/>
            </w:pPr>
            <w:r>
              <w:t>国有资本经营              预算财政拨款</w:t>
            </w:r>
          </w:p>
        </w:tc>
      </w:tr>
      <w:tr w14:paraId="7A475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063D38">
            <w:pPr>
              <w:pStyle w:val="11"/>
            </w:pPr>
            <w:r>
              <w:t>栏次</w:t>
            </w:r>
          </w:p>
        </w:tc>
        <w:tc>
          <w:tcPr>
            <w:tcW w:w="3798" w:type="dxa"/>
            <w:vAlign w:val="center"/>
          </w:tcPr>
          <w:p w14:paraId="2411220B">
            <w:pPr>
              <w:pStyle w:val="11"/>
            </w:pPr>
            <w:r>
              <w:t>1</w:t>
            </w:r>
          </w:p>
        </w:tc>
        <w:tc>
          <w:tcPr>
            <w:tcW w:w="2381" w:type="dxa"/>
            <w:vAlign w:val="center"/>
          </w:tcPr>
          <w:p w14:paraId="55DDE045">
            <w:pPr>
              <w:pStyle w:val="11"/>
            </w:pPr>
            <w:r>
              <w:t>2</w:t>
            </w:r>
          </w:p>
        </w:tc>
        <w:tc>
          <w:tcPr>
            <w:tcW w:w="2381" w:type="dxa"/>
            <w:vAlign w:val="center"/>
          </w:tcPr>
          <w:p w14:paraId="6F7ADD2A">
            <w:pPr>
              <w:pStyle w:val="11"/>
            </w:pPr>
            <w:r>
              <w:t>3</w:t>
            </w:r>
          </w:p>
        </w:tc>
        <w:tc>
          <w:tcPr>
            <w:tcW w:w="2381" w:type="dxa"/>
            <w:vAlign w:val="center"/>
          </w:tcPr>
          <w:p w14:paraId="3567F452">
            <w:pPr>
              <w:pStyle w:val="11"/>
            </w:pPr>
            <w:r>
              <w:t>4</w:t>
            </w:r>
          </w:p>
        </w:tc>
        <w:tc>
          <w:tcPr>
            <w:tcW w:w="2381" w:type="dxa"/>
            <w:vAlign w:val="center"/>
          </w:tcPr>
          <w:p w14:paraId="6947A744">
            <w:pPr>
              <w:pStyle w:val="11"/>
            </w:pPr>
            <w:r>
              <w:t>5</w:t>
            </w:r>
          </w:p>
        </w:tc>
      </w:tr>
      <w:tr w14:paraId="33651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B2B427">
            <w:pPr>
              <w:pStyle w:val="12"/>
            </w:pPr>
          </w:p>
        </w:tc>
        <w:tc>
          <w:tcPr>
            <w:tcW w:w="3798" w:type="dxa"/>
            <w:vAlign w:val="center"/>
          </w:tcPr>
          <w:p w14:paraId="1799077F">
            <w:pPr>
              <w:pStyle w:val="13"/>
            </w:pPr>
          </w:p>
        </w:tc>
        <w:tc>
          <w:tcPr>
            <w:tcW w:w="2381" w:type="dxa"/>
            <w:vAlign w:val="center"/>
          </w:tcPr>
          <w:p w14:paraId="40FDF01F">
            <w:pPr>
              <w:pStyle w:val="14"/>
            </w:pPr>
          </w:p>
        </w:tc>
        <w:tc>
          <w:tcPr>
            <w:tcW w:w="2381" w:type="dxa"/>
            <w:vAlign w:val="center"/>
          </w:tcPr>
          <w:p w14:paraId="55885E9D">
            <w:pPr>
              <w:pStyle w:val="14"/>
            </w:pPr>
          </w:p>
        </w:tc>
        <w:tc>
          <w:tcPr>
            <w:tcW w:w="2381" w:type="dxa"/>
            <w:vAlign w:val="center"/>
          </w:tcPr>
          <w:p w14:paraId="4751E492">
            <w:pPr>
              <w:pStyle w:val="14"/>
            </w:pPr>
          </w:p>
        </w:tc>
        <w:tc>
          <w:tcPr>
            <w:tcW w:w="2381" w:type="dxa"/>
            <w:vAlign w:val="center"/>
          </w:tcPr>
          <w:p w14:paraId="461D29FA">
            <w:pPr>
              <w:pStyle w:val="14"/>
            </w:pPr>
          </w:p>
        </w:tc>
      </w:tr>
    </w:tbl>
    <w:p w14:paraId="3A14E2D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5C28CC9">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隆尧县莲子中学2025年单位预算信息公开情况说明</w:t>
      </w:r>
    </w:p>
    <w:p w14:paraId="3254756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按照《中华人民共和国预算法》、《地方预决算公开操作规程》和《关于进一步推进预算公开工作的实施意见》规定，现将隆尧县莲子中学2025年单位预算公开如下：</w:t>
      </w:r>
    </w:p>
    <w:p w14:paraId="3BA1920B">
      <w:pPr>
        <w:spacing w:before="10" w:after="10" w:line="240" w:lineRule="auto"/>
        <w:ind w:firstLine="640"/>
        <w:jc w:val="left"/>
        <w:outlineLvl w:val="5"/>
      </w:pPr>
      <w:r>
        <w:rPr>
          <w:rFonts w:ascii="黑体" w:hAnsi="黑体" w:eastAsia="黑体" w:cs="黑体"/>
          <w:color w:val="000000"/>
          <w:sz w:val="32"/>
        </w:rPr>
        <w:t>一、单位职责及机构设置情况</w:t>
      </w:r>
    </w:p>
    <w:p w14:paraId="463BA00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7E38388">
      <w:pPr>
        <w:pStyle w:val="18"/>
      </w:pPr>
      <w:r>
        <w:t>贯彻落实基础教育的方针、政策，开展初中阶段教育教学工作，促进学生德、智、体、美、劳全面发展；负责学生安全教育和管理，确保学生身心健康；加强教师队伍建设和管理，为教育教学工作提供保障。</w:t>
      </w:r>
    </w:p>
    <w:p w14:paraId="220837E5">
      <w:pPr>
        <w:pStyle w:val="18"/>
      </w:pPr>
      <w:r>
        <w:t>隆尧县莲子中学事业编制47名．其中，校长1名（正股级），副校长3名（副股级）；经费形式为财政性资金基本保证。</w:t>
      </w:r>
    </w:p>
    <w:p w14:paraId="71BD9A1A">
      <w:pPr>
        <w:pStyle w:val="18"/>
      </w:pPr>
    </w:p>
    <w:p w14:paraId="3978F19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2243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C546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BF665F">
            <w:pPr>
              <w:pStyle w:val="11"/>
            </w:pPr>
            <w:r>
              <w:t>单位名称</w:t>
            </w:r>
          </w:p>
        </w:tc>
        <w:tc>
          <w:tcPr>
            <w:tcW w:w="1843" w:type="dxa"/>
            <w:vAlign w:val="center"/>
          </w:tcPr>
          <w:p w14:paraId="72111693">
            <w:pPr>
              <w:pStyle w:val="11"/>
            </w:pPr>
            <w:r>
              <w:t>单位性质</w:t>
            </w:r>
          </w:p>
        </w:tc>
        <w:tc>
          <w:tcPr>
            <w:tcW w:w="2126" w:type="dxa"/>
            <w:vAlign w:val="center"/>
          </w:tcPr>
          <w:p w14:paraId="795E0AF6">
            <w:pPr>
              <w:pStyle w:val="11"/>
            </w:pPr>
            <w:r>
              <w:t>单位规格</w:t>
            </w:r>
          </w:p>
        </w:tc>
        <w:tc>
          <w:tcPr>
            <w:tcW w:w="3827" w:type="dxa"/>
            <w:vAlign w:val="center"/>
          </w:tcPr>
          <w:p w14:paraId="322A8D80">
            <w:pPr>
              <w:pStyle w:val="11"/>
            </w:pPr>
            <w:r>
              <w:t>经费保障形式</w:t>
            </w:r>
          </w:p>
        </w:tc>
      </w:tr>
      <w:tr w14:paraId="52F93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05C56EB">
            <w:pPr>
              <w:pStyle w:val="13"/>
            </w:pPr>
            <w:r>
              <w:t>隆尧县莲子中学</w:t>
            </w:r>
          </w:p>
        </w:tc>
        <w:tc>
          <w:tcPr>
            <w:tcW w:w="1843" w:type="dxa"/>
            <w:vAlign w:val="center"/>
          </w:tcPr>
          <w:p w14:paraId="1C9573D2">
            <w:pPr>
              <w:pStyle w:val="12"/>
            </w:pPr>
            <w:r>
              <w:t>事业</w:t>
            </w:r>
          </w:p>
        </w:tc>
        <w:tc>
          <w:tcPr>
            <w:tcW w:w="2126" w:type="dxa"/>
            <w:vAlign w:val="center"/>
          </w:tcPr>
          <w:p w14:paraId="337A7E79">
            <w:pPr>
              <w:pStyle w:val="12"/>
            </w:pPr>
            <w:r>
              <w:t>股级</w:t>
            </w:r>
          </w:p>
        </w:tc>
        <w:tc>
          <w:tcPr>
            <w:tcW w:w="3827" w:type="dxa"/>
            <w:vAlign w:val="center"/>
          </w:tcPr>
          <w:p w14:paraId="428D8EC5">
            <w:pPr>
              <w:pStyle w:val="12"/>
            </w:pPr>
            <w:r>
              <w:t>财政性资金基本保证</w:t>
            </w:r>
          </w:p>
        </w:tc>
      </w:tr>
    </w:tbl>
    <w:p w14:paraId="087273AF">
      <w:pPr>
        <w:spacing w:before="10" w:after="10" w:line="240" w:lineRule="auto"/>
        <w:ind w:firstLine="640"/>
        <w:jc w:val="left"/>
        <w:outlineLvl w:val="5"/>
      </w:pPr>
      <w:r>
        <w:rPr>
          <w:rFonts w:ascii="黑体" w:hAnsi="黑体" w:eastAsia="黑体" w:cs="黑体"/>
          <w:color w:val="000000"/>
          <w:sz w:val="32"/>
        </w:rPr>
        <w:t>二、单位预算安排的总体情况</w:t>
      </w:r>
    </w:p>
    <w:p w14:paraId="3C49506A">
      <w:pPr>
        <w:pStyle w:val="19"/>
      </w:pPr>
      <w:r>
        <w:t>按照预算管理有关规定，目前我校单位预算的编制实行综合预算管理，即全部收入和支出都反映的预算中。隆尧县莲子中学收支包含在单位预算中。</w:t>
      </w:r>
    </w:p>
    <w:p w14:paraId="7433B211">
      <w:pPr>
        <w:pStyle w:val="19"/>
      </w:pPr>
      <w:r>
        <w:t>1、收入说明</w:t>
      </w:r>
    </w:p>
    <w:p w14:paraId="413CF1FB">
      <w:pPr>
        <w:pStyle w:val="19"/>
      </w:pPr>
      <w:r>
        <w:t>反映本单位当年全部收入。2025年预算收入790.08万元，其中：一般公共预算收入775.31万元，基金预算收入0万元，财政专户管理资金收入0万元，单位资金收入0万元,上年结转结余14.87万元。</w:t>
      </w:r>
    </w:p>
    <w:p w14:paraId="7A472AEE">
      <w:pPr>
        <w:pStyle w:val="19"/>
      </w:pPr>
      <w:r>
        <w:t>2、支出说明</w:t>
      </w:r>
    </w:p>
    <w:p w14:paraId="6F23271E">
      <w:pPr>
        <w:pStyle w:val="19"/>
      </w:pPr>
      <w:r>
        <w:t>收支预算总表支出栏、基本支出表、项目支出表按经济分类和支出功能分类科目编制，反映隆尧县莲子中学年度单位预算中支出预算的总体情况。2025年单位支出预算为790.08万元，其中基本支出607.82万元、项目支出182.25万元。主要为初中教育790.08万元。</w:t>
      </w:r>
    </w:p>
    <w:p w14:paraId="078D6275">
      <w:pPr>
        <w:pStyle w:val="19"/>
      </w:pPr>
      <w:r>
        <w:t>3、比上年增减情况</w:t>
      </w:r>
    </w:p>
    <w:p w14:paraId="06A97B2B">
      <w:pPr>
        <w:pStyle w:val="19"/>
      </w:pPr>
      <w:r>
        <w:t>2025年部门预算收支安排790.08万元，比2024年预算增长159.67万元，其中基本支出增长76.97万元、项目支出增长82.69万元。</w:t>
      </w:r>
    </w:p>
    <w:p w14:paraId="2540F43A">
      <w:pPr>
        <w:spacing w:before="10" w:after="10" w:line="240" w:lineRule="auto"/>
        <w:ind w:firstLine="640"/>
        <w:jc w:val="left"/>
        <w:outlineLvl w:val="5"/>
      </w:pPr>
      <w:r>
        <w:rPr>
          <w:rFonts w:ascii="黑体" w:hAnsi="黑体" w:eastAsia="黑体" w:cs="黑体"/>
          <w:color w:val="000000"/>
          <w:sz w:val="32"/>
        </w:rPr>
        <w:t>三、机关运行经费安排情况</w:t>
      </w:r>
    </w:p>
    <w:p w14:paraId="289E9A5B">
      <w:pPr>
        <w:pStyle w:val="20"/>
      </w:pPr>
      <w:r>
        <w:t>2025年，我单位按学生安排公用经费，无机关运行经费</w:t>
      </w:r>
    </w:p>
    <w:p w14:paraId="1B8341E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F436DA">
      <w:pPr>
        <w:pStyle w:val="21"/>
      </w:pPr>
      <w:r>
        <w:t>2025年，我单位未安排三公经费</w:t>
      </w:r>
    </w:p>
    <w:p w14:paraId="21B8FE2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DC9509E">
      <w:pPr>
        <w:spacing w:before="0" w:after="0"/>
        <w:ind w:firstLine="560"/>
        <w:jc w:val="left"/>
        <w:outlineLvl w:val="9"/>
      </w:pPr>
      <w:r>
        <w:rPr>
          <w:rFonts w:ascii="方正仿宋_GBK" w:hAnsi="方正仿宋_GBK" w:eastAsia="方正仿宋_GBK" w:cs="方正仿宋_GBK"/>
          <w:b/>
          <w:color w:val="000000"/>
          <w:sz w:val="28"/>
        </w:rPr>
        <w:t>1、冀财教[2023]154号/中央/义教经费/综合奖补/莲子中学变压器绩效目标表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F42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6CC56">
            <w:pPr>
              <w:pStyle w:val="14"/>
            </w:pPr>
            <w:r>
              <w:t>单位：万元</w:t>
            </w:r>
          </w:p>
        </w:tc>
      </w:tr>
      <w:tr w14:paraId="09FDB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51AE11">
            <w:pPr>
              <w:pStyle w:val="11"/>
            </w:pPr>
            <w:r>
              <w:t>项目编码</w:t>
            </w:r>
          </w:p>
        </w:tc>
        <w:tc>
          <w:tcPr>
            <w:tcW w:w="5103" w:type="dxa"/>
            <w:gridSpan w:val="2"/>
            <w:vAlign w:val="center"/>
          </w:tcPr>
          <w:p w14:paraId="50E64753">
            <w:pPr>
              <w:pStyle w:val="13"/>
            </w:pPr>
            <w:r>
              <w:t>13052524P000006112139</w:t>
            </w:r>
          </w:p>
        </w:tc>
        <w:tc>
          <w:tcPr>
            <w:tcW w:w="2835" w:type="dxa"/>
            <w:vAlign w:val="center"/>
          </w:tcPr>
          <w:p w14:paraId="3C7C3286">
            <w:pPr>
              <w:pStyle w:val="11"/>
            </w:pPr>
            <w:r>
              <w:t>项目名称</w:t>
            </w:r>
          </w:p>
        </w:tc>
        <w:tc>
          <w:tcPr>
            <w:tcW w:w="6095" w:type="dxa"/>
            <w:gridSpan w:val="3"/>
            <w:vAlign w:val="center"/>
          </w:tcPr>
          <w:p w14:paraId="45B51FF4">
            <w:pPr>
              <w:pStyle w:val="13"/>
            </w:pPr>
            <w:r>
              <w:t>冀财教[2023]154号/中央/义教经费/综合奖补/莲子中学变压器</w:t>
            </w:r>
          </w:p>
        </w:tc>
      </w:tr>
      <w:tr w14:paraId="28346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83D7C">
            <w:pPr>
              <w:pStyle w:val="11"/>
            </w:pPr>
            <w:r>
              <w:t>预算规模及资金用途</w:t>
            </w:r>
          </w:p>
        </w:tc>
        <w:tc>
          <w:tcPr>
            <w:tcW w:w="2268" w:type="dxa"/>
            <w:vAlign w:val="center"/>
          </w:tcPr>
          <w:p w14:paraId="450232A9">
            <w:pPr>
              <w:pStyle w:val="11"/>
            </w:pPr>
            <w:r>
              <w:t>预算数</w:t>
            </w:r>
          </w:p>
        </w:tc>
        <w:tc>
          <w:tcPr>
            <w:tcW w:w="2835" w:type="dxa"/>
            <w:vAlign w:val="center"/>
          </w:tcPr>
          <w:p w14:paraId="0294EAD8">
            <w:pPr>
              <w:pStyle w:val="13"/>
            </w:pPr>
            <w:r>
              <w:t>14.87</w:t>
            </w:r>
          </w:p>
        </w:tc>
        <w:tc>
          <w:tcPr>
            <w:tcW w:w="2835" w:type="dxa"/>
            <w:vAlign w:val="center"/>
          </w:tcPr>
          <w:p w14:paraId="6E25ED21">
            <w:pPr>
              <w:pStyle w:val="11"/>
            </w:pPr>
            <w:r>
              <w:t>其中：财政    资金</w:t>
            </w:r>
          </w:p>
        </w:tc>
        <w:tc>
          <w:tcPr>
            <w:tcW w:w="2551" w:type="dxa"/>
            <w:vAlign w:val="center"/>
          </w:tcPr>
          <w:p w14:paraId="4E0A503B">
            <w:pPr>
              <w:pStyle w:val="13"/>
            </w:pPr>
            <w:r>
              <w:t>14.87</w:t>
            </w:r>
          </w:p>
        </w:tc>
        <w:tc>
          <w:tcPr>
            <w:tcW w:w="2268" w:type="dxa"/>
            <w:vAlign w:val="center"/>
          </w:tcPr>
          <w:p w14:paraId="22E60CF1">
            <w:pPr>
              <w:pStyle w:val="11"/>
            </w:pPr>
            <w:r>
              <w:t>其他资金</w:t>
            </w:r>
          </w:p>
        </w:tc>
        <w:tc>
          <w:tcPr>
            <w:tcW w:w="1276" w:type="dxa"/>
            <w:vAlign w:val="center"/>
          </w:tcPr>
          <w:p w14:paraId="0F6914B9">
            <w:pPr>
              <w:pStyle w:val="13"/>
            </w:pPr>
            <w:r>
              <w:t xml:space="preserve"> </w:t>
            </w:r>
          </w:p>
        </w:tc>
      </w:tr>
      <w:tr w14:paraId="4044C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A2FFD1"/>
        </w:tc>
        <w:tc>
          <w:tcPr>
            <w:tcW w:w="14033" w:type="dxa"/>
            <w:gridSpan w:val="6"/>
            <w:vAlign w:val="center"/>
          </w:tcPr>
          <w:p w14:paraId="0084F225">
            <w:pPr>
              <w:pStyle w:val="13"/>
            </w:pPr>
            <w:r>
              <w:t>保障学校正常用电，保障师生生活需要</w:t>
            </w:r>
          </w:p>
        </w:tc>
      </w:tr>
      <w:tr w14:paraId="7218D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241E1">
            <w:pPr>
              <w:pStyle w:val="11"/>
            </w:pPr>
            <w:r>
              <w:t>资金支出计划（%）</w:t>
            </w:r>
          </w:p>
        </w:tc>
        <w:tc>
          <w:tcPr>
            <w:tcW w:w="5103" w:type="dxa"/>
            <w:gridSpan w:val="2"/>
            <w:vAlign w:val="center"/>
          </w:tcPr>
          <w:p w14:paraId="4FE9523F">
            <w:pPr>
              <w:pStyle w:val="11"/>
            </w:pPr>
            <w:r>
              <w:t>3月底</w:t>
            </w:r>
          </w:p>
        </w:tc>
        <w:tc>
          <w:tcPr>
            <w:tcW w:w="2835" w:type="dxa"/>
            <w:vAlign w:val="center"/>
          </w:tcPr>
          <w:p w14:paraId="3E3773EB">
            <w:pPr>
              <w:pStyle w:val="11"/>
            </w:pPr>
            <w:r>
              <w:t>6月底</w:t>
            </w:r>
          </w:p>
        </w:tc>
        <w:tc>
          <w:tcPr>
            <w:tcW w:w="2551" w:type="dxa"/>
            <w:vAlign w:val="center"/>
          </w:tcPr>
          <w:p w14:paraId="0960C82E">
            <w:pPr>
              <w:pStyle w:val="11"/>
            </w:pPr>
            <w:r>
              <w:t>10月底</w:t>
            </w:r>
          </w:p>
        </w:tc>
        <w:tc>
          <w:tcPr>
            <w:tcW w:w="3544" w:type="dxa"/>
            <w:gridSpan w:val="2"/>
            <w:vAlign w:val="center"/>
          </w:tcPr>
          <w:p w14:paraId="15AF73A8">
            <w:pPr>
              <w:pStyle w:val="11"/>
            </w:pPr>
            <w:r>
              <w:t>12月底</w:t>
            </w:r>
          </w:p>
        </w:tc>
      </w:tr>
      <w:tr w14:paraId="7D071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A8FA58"/>
        </w:tc>
        <w:tc>
          <w:tcPr>
            <w:tcW w:w="5103" w:type="dxa"/>
            <w:gridSpan w:val="2"/>
            <w:vAlign w:val="center"/>
          </w:tcPr>
          <w:p w14:paraId="51CD2B06">
            <w:pPr>
              <w:pStyle w:val="12"/>
            </w:pPr>
            <w:r>
              <w:t>25%</w:t>
            </w:r>
          </w:p>
        </w:tc>
        <w:tc>
          <w:tcPr>
            <w:tcW w:w="2835" w:type="dxa"/>
            <w:vAlign w:val="center"/>
          </w:tcPr>
          <w:p w14:paraId="463F196B">
            <w:pPr>
              <w:pStyle w:val="12"/>
            </w:pPr>
            <w:r>
              <w:t>50%</w:t>
            </w:r>
          </w:p>
        </w:tc>
        <w:tc>
          <w:tcPr>
            <w:tcW w:w="2551" w:type="dxa"/>
            <w:vAlign w:val="center"/>
          </w:tcPr>
          <w:p w14:paraId="1778D57D">
            <w:pPr>
              <w:pStyle w:val="12"/>
            </w:pPr>
            <w:r>
              <w:t>75%</w:t>
            </w:r>
          </w:p>
        </w:tc>
        <w:tc>
          <w:tcPr>
            <w:tcW w:w="3544" w:type="dxa"/>
            <w:gridSpan w:val="2"/>
            <w:vAlign w:val="center"/>
          </w:tcPr>
          <w:p w14:paraId="284F7C6C">
            <w:pPr>
              <w:pStyle w:val="12"/>
            </w:pPr>
            <w:r>
              <w:t>100%</w:t>
            </w:r>
          </w:p>
        </w:tc>
      </w:tr>
      <w:tr w14:paraId="51A01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777EF">
            <w:pPr>
              <w:pStyle w:val="11"/>
            </w:pPr>
            <w:r>
              <w:t>绩效目标</w:t>
            </w:r>
          </w:p>
        </w:tc>
        <w:tc>
          <w:tcPr>
            <w:tcW w:w="14033" w:type="dxa"/>
            <w:gridSpan w:val="6"/>
            <w:vAlign w:val="center"/>
          </w:tcPr>
          <w:p w14:paraId="1063B130">
            <w:pPr>
              <w:pStyle w:val="13"/>
            </w:pPr>
            <w:r>
              <w:t>1.保障学校正常用电，保障师生生活需要</w:t>
            </w:r>
          </w:p>
          <w:p w14:paraId="614D8CAF">
            <w:pPr>
              <w:pStyle w:val="13"/>
            </w:pPr>
            <w:r>
              <w:t>2.保质保量完成变压器安装。</w:t>
            </w:r>
          </w:p>
        </w:tc>
      </w:tr>
    </w:tbl>
    <w:p w14:paraId="325FD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72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300A8">
            <w:pPr>
              <w:pStyle w:val="11"/>
            </w:pPr>
            <w:r>
              <w:t>一级指标</w:t>
            </w:r>
          </w:p>
        </w:tc>
        <w:tc>
          <w:tcPr>
            <w:tcW w:w="2268" w:type="dxa"/>
            <w:vAlign w:val="center"/>
          </w:tcPr>
          <w:p w14:paraId="37B8C260">
            <w:pPr>
              <w:pStyle w:val="11"/>
            </w:pPr>
            <w:r>
              <w:t>二级指标</w:t>
            </w:r>
          </w:p>
        </w:tc>
        <w:tc>
          <w:tcPr>
            <w:tcW w:w="2835" w:type="dxa"/>
            <w:vAlign w:val="center"/>
          </w:tcPr>
          <w:p w14:paraId="3586C9D1">
            <w:pPr>
              <w:pStyle w:val="11"/>
            </w:pPr>
            <w:r>
              <w:t>三级指标</w:t>
            </w:r>
          </w:p>
        </w:tc>
        <w:tc>
          <w:tcPr>
            <w:tcW w:w="5386" w:type="dxa"/>
            <w:vAlign w:val="center"/>
          </w:tcPr>
          <w:p w14:paraId="7AF03432">
            <w:pPr>
              <w:pStyle w:val="11"/>
            </w:pPr>
            <w:r>
              <w:t>绩效指标描述</w:t>
            </w:r>
          </w:p>
        </w:tc>
        <w:tc>
          <w:tcPr>
            <w:tcW w:w="2268" w:type="dxa"/>
            <w:vAlign w:val="center"/>
          </w:tcPr>
          <w:p w14:paraId="6E6DD348">
            <w:pPr>
              <w:pStyle w:val="11"/>
            </w:pPr>
            <w:r>
              <w:t>指标值</w:t>
            </w:r>
          </w:p>
        </w:tc>
        <w:tc>
          <w:tcPr>
            <w:tcW w:w="1276" w:type="dxa"/>
            <w:vAlign w:val="center"/>
          </w:tcPr>
          <w:p w14:paraId="4713C970">
            <w:pPr>
              <w:pStyle w:val="11"/>
            </w:pPr>
            <w:r>
              <w:t>指标值确定依据</w:t>
            </w:r>
          </w:p>
        </w:tc>
      </w:tr>
      <w:tr w14:paraId="1BDD3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61E18">
            <w:pPr>
              <w:pStyle w:val="12"/>
            </w:pPr>
            <w:r>
              <w:t>产出指标</w:t>
            </w:r>
          </w:p>
        </w:tc>
        <w:tc>
          <w:tcPr>
            <w:tcW w:w="2268" w:type="dxa"/>
            <w:vAlign w:val="center"/>
          </w:tcPr>
          <w:p w14:paraId="1281D8C5">
            <w:pPr>
              <w:pStyle w:val="13"/>
            </w:pPr>
            <w:r>
              <w:t>数量指标</w:t>
            </w:r>
          </w:p>
        </w:tc>
        <w:tc>
          <w:tcPr>
            <w:tcW w:w="2835" w:type="dxa"/>
            <w:vAlign w:val="center"/>
          </w:tcPr>
          <w:p w14:paraId="421D7E80">
            <w:pPr>
              <w:pStyle w:val="13"/>
            </w:pPr>
            <w:r>
              <w:t>变压器台数</w:t>
            </w:r>
          </w:p>
        </w:tc>
        <w:tc>
          <w:tcPr>
            <w:tcW w:w="5386" w:type="dxa"/>
            <w:vAlign w:val="center"/>
          </w:tcPr>
          <w:p w14:paraId="4405C1A2">
            <w:pPr>
              <w:pStyle w:val="13"/>
            </w:pPr>
            <w:r>
              <w:t>变压器台数</w:t>
            </w:r>
          </w:p>
        </w:tc>
        <w:tc>
          <w:tcPr>
            <w:tcW w:w="2268" w:type="dxa"/>
            <w:vAlign w:val="center"/>
          </w:tcPr>
          <w:p w14:paraId="3AA40B5A">
            <w:pPr>
              <w:pStyle w:val="13"/>
            </w:pPr>
            <w:r>
              <w:t>1台</w:t>
            </w:r>
          </w:p>
        </w:tc>
        <w:tc>
          <w:tcPr>
            <w:tcW w:w="1276" w:type="dxa"/>
            <w:vAlign w:val="center"/>
          </w:tcPr>
          <w:p w14:paraId="395E0F19">
            <w:pPr>
              <w:pStyle w:val="13"/>
            </w:pPr>
            <w:r>
              <w:t>项目规划</w:t>
            </w:r>
          </w:p>
        </w:tc>
      </w:tr>
      <w:tr w14:paraId="5F342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B3116"/>
        </w:tc>
        <w:tc>
          <w:tcPr>
            <w:tcW w:w="2268" w:type="dxa"/>
            <w:vAlign w:val="center"/>
          </w:tcPr>
          <w:p w14:paraId="25FA4688">
            <w:pPr>
              <w:pStyle w:val="13"/>
            </w:pPr>
            <w:r>
              <w:t>质量指标</w:t>
            </w:r>
          </w:p>
        </w:tc>
        <w:tc>
          <w:tcPr>
            <w:tcW w:w="2835" w:type="dxa"/>
            <w:vAlign w:val="center"/>
          </w:tcPr>
          <w:p w14:paraId="2D632359">
            <w:pPr>
              <w:pStyle w:val="13"/>
            </w:pPr>
            <w:r>
              <w:t>符合质量要求</w:t>
            </w:r>
          </w:p>
        </w:tc>
        <w:tc>
          <w:tcPr>
            <w:tcW w:w="5386" w:type="dxa"/>
            <w:vAlign w:val="center"/>
          </w:tcPr>
          <w:p w14:paraId="61DBB218">
            <w:pPr>
              <w:pStyle w:val="13"/>
            </w:pPr>
            <w:r>
              <w:t>质量合格率</w:t>
            </w:r>
          </w:p>
        </w:tc>
        <w:tc>
          <w:tcPr>
            <w:tcW w:w="2268" w:type="dxa"/>
            <w:vAlign w:val="center"/>
          </w:tcPr>
          <w:p w14:paraId="22693B22">
            <w:pPr>
              <w:pStyle w:val="13"/>
            </w:pPr>
            <w:r>
              <w:t>≥100%</w:t>
            </w:r>
          </w:p>
        </w:tc>
        <w:tc>
          <w:tcPr>
            <w:tcW w:w="1276" w:type="dxa"/>
            <w:vAlign w:val="center"/>
          </w:tcPr>
          <w:p w14:paraId="26ECBD07">
            <w:pPr>
              <w:pStyle w:val="13"/>
            </w:pPr>
            <w:r>
              <w:t>项目规划</w:t>
            </w:r>
          </w:p>
        </w:tc>
      </w:tr>
      <w:tr w14:paraId="08A99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72F36"/>
        </w:tc>
        <w:tc>
          <w:tcPr>
            <w:tcW w:w="2268" w:type="dxa"/>
            <w:vAlign w:val="center"/>
          </w:tcPr>
          <w:p w14:paraId="6717F6BC">
            <w:pPr>
              <w:pStyle w:val="13"/>
            </w:pPr>
            <w:r>
              <w:t>时效指标</w:t>
            </w:r>
          </w:p>
        </w:tc>
        <w:tc>
          <w:tcPr>
            <w:tcW w:w="2835" w:type="dxa"/>
            <w:vAlign w:val="center"/>
          </w:tcPr>
          <w:p w14:paraId="6A3C50C9">
            <w:pPr>
              <w:pStyle w:val="13"/>
            </w:pPr>
            <w:r>
              <w:t>资金拨付率</w:t>
            </w:r>
          </w:p>
        </w:tc>
        <w:tc>
          <w:tcPr>
            <w:tcW w:w="5386" w:type="dxa"/>
            <w:vAlign w:val="center"/>
          </w:tcPr>
          <w:p w14:paraId="6A3D3B94">
            <w:pPr>
              <w:pStyle w:val="13"/>
            </w:pPr>
            <w:r>
              <w:t>按项目进度支付资金</w:t>
            </w:r>
          </w:p>
        </w:tc>
        <w:tc>
          <w:tcPr>
            <w:tcW w:w="2268" w:type="dxa"/>
            <w:vAlign w:val="center"/>
          </w:tcPr>
          <w:p w14:paraId="474AF643">
            <w:pPr>
              <w:pStyle w:val="13"/>
            </w:pPr>
            <w:r>
              <w:t>元</w:t>
            </w:r>
          </w:p>
        </w:tc>
        <w:tc>
          <w:tcPr>
            <w:tcW w:w="1276" w:type="dxa"/>
            <w:vAlign w:val="center"/>
          </w:tcPr>
          <w:p w14:paraId="009791C8">
            <w:pPr>
              <w:pStyle w:val="13"/>
            </w:pPr>
            <w:r>
              <w:t>项目规划</w:t>
            </w:r>
          </w:p>
        </w:tc>
      </w:tr>
      <w:tr w14:paraId="30CD9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2E4907">
            <w:pPr>
              <w:pStyle w:val="12"/>
            </w:pPr>
            <w:r>
              <w:t>效益指标</w:t>
            </w:r>
          </w:p>
        </w:tc>
        <w:tc>
          <w:tcPr>
            <w:tcW w:w="2268" w:type="dxa"/>
            <w:vAlign w:val="center"/>
          </w:tcPr>
          <w:p w14:paraId="0140A0D6">
            <w:pPr>
              <w:pStyle w:val="13"/>
            </w:pPr>
            <w:r>
              <w:t>可持续影响指标</w:t>
            </w:r>
          </w:p>
        </w:tc>
        <w:tc>
          <w:tcPr>
            <w:tcW w:w="2835" w:type="dxa"/>
            <w:vAlign w:val="center"/>
          </w:tcPr>
          <w:p w14:paraId="094436E9">
            <w:pPr>
              <w:pStyle w:val="13"/>
            </w:pPr>
            <w:r>
              <w:t>学校正常运转</w:t>
            </w:r>
          </w:p>
        </w:tc>
        <w:tc>
          <w:tcPr>
            <w:tcW w:w="5386" w:type="dxa"/>
            <w:vAlign w:val="center"/>
          </w:tcPr>
          <w:p w14:paraId="1EFEC451">
            <w:pPr>
              <w:pStyle w:val="13"/>
            </w:pPr>
            <w:r>
              <w:t>学生受益人数</w:t>
            </w:r>
          </w:p>
        </w:tc>
        <w:tc>
          <w:tcPr>
            <w:tcW w:w="2268" w:type="dxa"/>
            <w:vAlign w:val="center"/>
          </w:tcPr>
          <w:p w14:paraId="7A5473DE">
            <w:pPr>
              <w:pStyle w:val="13"/>
            </w:pPr>
            <w:r>
              <w:t>≤571人</w:t>
            </w:r>
          </w:p>
        </w:tc>
        <w:tc>
          <w:tcPr>
            <w:tcW w:w="1276" w:type="dxa"/>
            <w:vAlign w:val="center"/>
          </w:tcPr>
          <w:p w14:paraId="0A40FCCD">
            <w:pPr>
              <w:pStyle w:val="13"/>
            </w:pPr>
            <w:r>
              <w:t>项目规划</w:t>
            </w:r>
          </w:p>
        </w:tc>
      </w:tr>
      <w:tr w14:paraId="39BD9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A8C397">
            <w:pPr>
              <w:pStyle w:val="12"/>
            </w:pPr>
            <w:r>
              <w:t>满意度指标</w:t>
            </w:r>
          </w:p>
        </w:tc>
        <w:tc>
          <w:tcPr>
            <w:tcW w:w="2268" w:type="dxa"/>
            <w:vAlign w:val="center"/>
          </w:tcPr>
          <w:p w14:paraId="0A2D9F93">
            <w:pPr>
              <w:pStyle w:val="13"/>
            </w:pPr>
            <w:r>
              <w:t>服务对象满意度指标</w:t>
            </w:r>
          </w:p>
        </w:tc>
        <w:tc>
          <w:tcPr>
            <w:tcW w:w="2835" w:type="dxa"/>
            <w:vAlign w:val="center"/>
          </w:tcPr>
          <w:p w14:paraId="70E2C225">
            <w:pPr>
              <w:pStyle w:val="13"/>
            </w:pPr>
            <w:r>
              <w:t>受益学生家长及调查满意度</w:t>
            </w:r>
          </w:p>
        </w:tc>
        <w:tc>
          <w:tcPr>
            <w:tcW w:w="5386" w:type="dxa"/>
            <w:vAlign w:val="center"/>
          </w:tcPr>
          <w:p w14:paraId="27222971">
            <w:pPr>
              <w:pStyle w:val="13"/>
            </w:pPr>
            <w:r>
              <w:t>学生、教师及家长对学校教育教学工作满意度情况</w:t>
            </w:r>
          </w:p>
        </w:tc>
        <w:tc>
          <w:tcPr>
            <w:tcW w:w="2268" w:type="dxa"/>
            <w:vAlign w:val="center"/>
          </w:tcPr>
          <w:p w14:paraId="587198E6">
            <w:pPr>
              <w:pStyle w:val="13"/>
            </w:pPr>
            <w:r>
              <w:t>≥98%</w:t>
            </w:r>
          </w:p>
        </w:tc>
        <w:tc>
          <w:tcPr>
            <w:tcW w:w="1276" w:type="dxa"/>
            <w:vAlign w:val="center"/>
          </w:tcPr>
          <w:p w14:paraId="4D4374F3">
            <w:pPr>
              <w:pStyle w:val="13"/>
            </w:pPr>
            <w:r>
              <w:t>项目规划</w:t>
            </w:r>
          </w:p>
        </w:tc>
      </w:tr>
    </w:tbl>
    <w:p w14:paraId="4B2F8AD3">
      <w:pPr>
        <w:sectPr>
          <w:pgSz w:w="16840" w:h="11900" w:orient="landscape"/>
          <w:pgMar w:top="1361" w:right="1020" w:bottom="1134" w:left="1020" w:header="720" w:footer="720" w:gutter="0"/>
          <w:cols w:space="720" w:num="1"/>
        </w:sectPr>
      </w:pPr>
    </w:p>
    <w:p w14:paraId="06F46569">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2、冀财教[2024]123号/中央/2025年义教补助经费/莲子中学公用经费绩效目标表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C4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6FE4A">
            <w:pPr>
              <w:pStyle w:val="14"/>
            </w:pPr>
            <w:r>
              <w:t>单位：万元</w:t>
            </w:r>
          </w:p>
        </w:tc>
      </w:tr>
      <w:tr w14:paraId="1F013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BB9657">
            <w:pPr>
              <w:pStyle w:val="11"/>
            </w:pPr>
            <w:r>
              <w:t>项目编码</w:t>
            </w:r>
          </w:p>
        </w:tc>
        <w:tc>
          <w:tcPr>
            <w:tcW w:w="5103" w:type="dxa"/>
            <w:gridSpan w:val="2"/>
            <w:vAlign w:val="center"/>
          </w:tcPr>
          <w:p w14:paraId="6465B175">
            <w:pPr>
              <w:pStyle w:val="13"/>
            </w:pPr>
            <w:r>
              <w:t>13052525P00000410052J</w:t>
            </w:r>
          </w:p>
        </w:tc>
        <w:tc>
          <w:tcPr>
            <w:tcW w:w="2835" w:type="dxa"/>
            <w:vAlign w:val="center"/>
          </w:tcPr>
          <w:p w14:paraId="6890921F">
            <w:pPr>
              <w:pStyle w:val="11"/>
            </w:pPr>
            <w:r>
              <w:t>项目名称</w:t>
            </w:r>
          </w:p>
        </w:tc>
        <w:tc>
          <w:tcPr>
            <w:tcW w:w="6095" w:type="dxa"/>
            <w:gridSpan w:val="3"/>
            <w:vAlign w:val="center"/>
          </w:tcPr>
          <w:p w14:paraId="344F908A">
            <w:pPr>
              <w:pStyle w:val="13"/>
            </w:pPr>
            <w:r>
              <w:t>冀财教[2024]123号/中央/2025年义教补助经费/莲子中学公用经费</w:t>
            </w:r>
          </w:p>
        </w:tc>
      </w:tr>
      <w:tr w14:paraId="40050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4A3FD">
            <w:pPr>
              <w:pStyle w:val="11"/>
            </w:pPr>
            <w:r>
              <w:t>预算规模及资金用途</w:t>
            </w:r>
          </w:p>
        </w:tc>
        <w:tc>
          <w:tcPr>
            <w:tcW w:w="2268" w:type="dxa"/>
            <w:vAlign w:val="center"/>
          </w:tcPr>
          <w:p w14:paraId="60040F14">
            <w:pPr>
              <w:pStyle w:val="11"/>
            </w:pPr>
            <w:r>
              <w:t>预算数</w:t>
            </w:r>
          </w:p>
        </w:tc>
        <w:tc>
          <w:tcPr>
            <w:tcW w:w="2835" w:type="dxa"/>
            <w:vAlign w:val="center"/>
          </w:tcPr>
          <w:p w14:paraId="561E179A">
            <w:pPr>
              <w:pStyle w:val="13"/>
            </w:pPr>
            <w:r>
              <w:t>63.44</w:t>
            </w:r>
          </w:p>
        </w:tc>
        <w:tc>
          <w:tcPr>
            <w:tcW w:w="2835" w:type="dxa"/>
            <w:vAlign w:val="center"/>
          </w:tcPr>
          <w:p w14:paraId="14D332EC">
            <w:pPr>
              <w:pStyle w:val="11"/>
            </w:pPr>
            <w:r>
              <w:t>其中：财政    资金</w:t>
            </w:r>
          </w:p>
        </w:tc>
        <w:tc>
          <w:tcPr>
            <w:tcW w:w="2551" w:type="dxa"/>
            <w:vAlign w:val="center"/>
          </w:tcPr>
          <w:p w14:paraId="3D85F483">
            <w:pPr>
              <w:pStyle w:val="13"/>
            </w:pPr>
            <w:r>
              <w:t>63.44</w:t>
            </w:r>
          </w:p>
        </w:tc>
        <w:tc>
          <w:tcPr>
            <w:tcW w:w="2268" w:type="dxa"/>
            <w:vAlign w:val="center"/>
          </w:tcPr>
          <w:p w14:paraId="59D060A6">
            <w:pPr>
              <w:pStyle w:val="11"/>
            </w:pPr>
            <w:r>
              <w:t>其他资金</w:t>
            </w:r>
          </w:p>
        </w:tc>
        <w:tc>
          <w:tcPr>
            <w:tcW w:w="1276" w:type="dxa"/>
            <w:vAlign w:val="center"/>
          </w:tcPr>
          <w:p w14:paraId="5C2E581E">
            <w:pPr>
              <w:pStyle w:val="13"/>
            </w:pPr>
            <w:r>
              <w:t xml:space="preserve"> </w:t>
            </w:r>
          </w:p>
        </w:tc>
      </w:tr>
      <w:tr w14:paraId="09E9E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E3E1B"/>
        </w:tc>
        <w:tc>
          <w:tcPr>
            <w:tcW w:w="14033" w:type="dxa"/>
            <w:gridSpan w:val="6"/>
            <w:vAlign w:val="center"/>
          </w:tcPr>
          <w:p w14:paraId="0648DEAC">
            <w:pPr>
              <w:pStyle w:val="13"/>
            </w:pPr>
            <w:r>
              <w:t>保障义务教育学校正常运转，全面贯彻党的教育方针，办人民满意的教育，高质量、高标准完成教育教学活动和其他日常工作任务等方面的费用支出。</w:t>
            </w:r>
            <w:r>
              <w:tab/>
            </w:r>
            <w:r>
              <w:tab/>
            </w:r>
            <w:r>
              <w:tab/>
            </w:r>
            <w:r>
              <w:tab/>
            </w:r>
            <w:r>
              <w:tab/>
            </w:r>
            <w:r>
              <w:tab/>
            </w:r>
          </w:p>
          <w:p w14:paraId="5323A286">
            <w:pPr>
              <w:pStyle w:val="13"/>
            </w:pPr>
          </w:p>
        </w:tc>
      </w:tr>
      <w:tr w14:paraId="34F6E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317F4">
            <w:pPr>
              <w:pStyle w:val="11"/>
            </w:pPr>
            <w:r>
              <w:t>资金支出计划（%）</w:t>
            </w:r>
          </w:p>
        </w:tc>
        <w:tc>
          <w:tcPr>
            <w:tcW w:w="5103" w:type="dxa"/>
            <w:gridSpan w:val="2"/>
            <w:vAlign w:val="center"/>
          </w:tcPr>
          <w:p w14:paraId="5F6EA9D4">
            <w:pPr>
              <w:pStyle w:val="11"/>
            </w:pPr>
            <w:r>
              <w:t>3月底</w:t>
            </w:r>
          </w:p>
        </w:tc>
        <w:tc>
          <w:tcPr>
            <w:tcW w:w="2835" w:type="dxa"/>
            <w:vAlign w:val="center"/>
          </w:tcPr>
          <w:p w14:paraId="70C410E3">
            <w:pPr>
              <w:pStyle w:val="11"/>
            </w:pPr>
            <w:r>
              <w:t>6月底</w:t>
            </w:r>
          </w:p>
        </w:tc>
        <w:tc>
          <w:tcPr>
            <w:tcW w:w="2551" w:type="dxa"/>
            <w:vAlign w:val="center"/>
          </w:tcPr>
          <w:p w14:paraId="3432D38B">
            <w:pPr>
              <w:pStyle w:val="11"/>
            </w:pPr>
            <w:r>
              <w:t>10月底</w:t>
            </w:r>
          </w:p>
        </w:tc>
        <w:tc>
          <w:tcPr>
            <w:tcW w:w="3544" w:type="dxa"/>
            <w:gridSpan w:val="2"/>
            <w:vAlign w:val="center"/>
          </w:tcPr>
          <w:p w14:paraId="17A56D97">
            <w:pPr>
              <w:pStyle w:val="11"/>
            </w:pPr>
            <w:r>
              <w:t>12月底</w:t>
            </w:r>
          </w:p>
        </w:tc>
      </w:tr>
      <w:tr w14:paraId="20914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CC8785"/>
        </w:tc>
        <w:tc>
          <w:tcPr>
            <w:tcW w:w="5103" w:type="dxa"/>
            <w:gridSpan w:val="2"/>
            <w:vAlign w:val="center"/>
          </w:tcPr>
          <w:p w14:paraId="3BE6E371">
            <w:pPr>
              <w:pStyle w:val="12"/>
            </w:pPr>
            <w:r>
              <w:t>25%</w:t>
            </w:r>
          </w:p>
        </w:tc>
        <w:tc>
          <w:tcPr>
            <w:tcW w:w="2835" w:type="dxa"/>
            <w:vAlign w:val="center"/>
          </w:tcPr>
          <w:p w14:paraId="49C21383">
            <w:pPr>
              <w:pStyle w:val="12"/>
            </w:pPr>
            <w:r>
              <w:t>50%</w:t>
            </w:r>
          </w:p>
        </w:tc>
        <w:tc>
          <w:tcPr>
            <w:tcW w:w="2551" w:type="dxa"/>
            <w:vAlign w:val="center"/>
          </w:tcPr>
          <w:p w14:paraId="1E9E45CA">
            <w:pPr>
              <w:pStyle w:val="12"/>
            </w:pPr>
            <w:r>
              <w:t>75%</w:t>
            </w:r>
          </w:p>
        </w:tc>
        <w:tc>
          <w:tcPr>
            <w:tcW w:w="3544" w:type="dxa"/>
            <w:gridSpan w:val="2"/>
            <w:vAlign w:val="center"/>
          </w:tcPr>
          <w:p w14:paraId="46DB65A1">
            <w:pPr>
              <w:pStyle w:val="12"/>
            </w:pPr>
            <w:r>
              <w:t>100%</w:t>
            </w:r>
          </w:p>
        </w:tc>
      </w:tr>
      <w:tr w14:paraId="204D6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38322">
            <w:pPr>
              <w:pStyle w:val="11"/>
            </w:pPr>
            <w:r>
              <w:t>绩效目标</w:t>
            </w:r>
          </w:p>
        </w:tc>
        <w:tc>
          <w:tcPr>
            <w:tcW w:w="14033" w:type="dxa"/>
            <w:gridSpan w:val="6"/>
            <w:vAlign w:val="center"/>
          </w:tcPr>
          <w:p w14:paraId="06464C2A">
            <w:pPr>
              <w:pStyle w:val="13"/>
            </w:pPr>
            <w:r>
              <w:t>1.保障我校正常运转，完成教育教学活动和其他日常工作任务等方面的费用支出。</w:t>
            </w:r>
            <w:r>
              <w:tab/>
            </w:r>
            <w:r>
              <w:tab/>
            </w:r>
          </w:p>
          <w:p w14:paraId="29CD7972">
            <w:pPr>
              <w:pStyle w:val="13"/>
            </w:pPr>
            <w:r>
              <w:t>2.按规定拨付我校公用经费资金634410元，资金拨付率达到100%。</w:t>
            </w:r>
          </w:p>
        </w:tc>
      </w:tr>
    </w:tbl>
    <w:p w14:paraId="3FA18C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B4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D680D">
            <w:pPr>
              <w:pStyle w:val="11"/>
            </w:pPr>
            <w:r>
              <w:t>一级指标</w:t>
            </w:r>
          </w:p>
        </w:tc>
        <w:tc>
          <w:tcPr>
            <w:tcW w:w="2268" w:type="dxa"/>
            <w:vAlign w:val="center"/>
          </w:tcPr>
          <w:p w14:paraId="57A199CD">
            <w:pPr>
              <w:pStyle w:val="11"/>
            </w:pPr>
            <w:r>
              <w:t>二级指标</w:t>
            </w:r>
          </w:p>
        </w:tc>
        <w:tc>
          <w:tcPr>
            <w:tcW w:w="2835" w:type="dxa"/>
            <w:vAlign w:val="center"/>
          </w:tcPr>
          <w:p w14:paraId="54C372FC">
            <w:pPr>
              <w:pStyle w:val="11"/>
            </w:pPr>
            <w:r>
              <w:t>三级指标</w:t>
            </w:r>
          </w:p>
        </w:tc>
        <w:tc>
          <w:tcPr>
            <w:tcW w:w="5386" w:type="dxa"/>
            <w:vAlign w:val="center"/>
          </w:tcPr>
          <w:p w14:paraId="64D43189">
            <w:pPr>
              <w:pStyle w:val="11"/>
            </w:pPr>
            <w:r>
              <w:t>绩效指标描述</w:t>
            </w:r>
          </w:p>
        </w:tc>
        <w:tc>
          <w:tcPr>
            <w:tcW w:w="2268" w:type="dxa"/>
            <w:vAlign w:val="center"/>
          </w:tcPr>
          <w:p w14:paraId="5E567D4B">
            <w:pPr>
              <w:pStyle w:val="11"/>
            </w:pPr>
            <w:r>
              <w:t>指标值</w:t>
            </w:r>
          </w:p>
        </w:tc>
        <w:tc>
          <w:tcPr>
            <w:tcW w:w="1276" w:type="dxa"/>
            <w:vAlign w:val="center"/>
          </w:tcPr>
          <w:p w14:paraId="4F8F245D">
            <w:pPr>
              <w:pStyle w:val="11"/>
            </w:pPr>
            <w:r>
              <w:t>指标值确定依据</w:t>
            </w:r>
          </w:p>
        </w:tc>
      </w:tr>
      <w:tr w14:paraId="3362F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0F65E">
            <w:pPr>
              <w:pStyle w:val="12"/>
            </w:pPr>
            <w:r>
              <w:t>产出指标</w:t>
            </w:r>
          </w:p>
        </w:tc>
        <w:tc>
          <w:tcPr>
            <w:tcW w:w="2268" w:type="dxa"/>
            <w:vAlign w:val="center"/>
          </w:tcPr>
          <w:p w14:paraId="3DFE5839">
            <w:pPr>
              <w:pStyle w:val="13"/>
            </w:pPr>
            <w:r>
              <w:t>数量指标</w:t>
            </w:r>
          </w:p>
        </w:tc>
        <w:tc>
          <w:tcPr>
            <w:tcW w:w="2835" w:type="dxa"/>
            <w:vAlign w:val="center"/>
          </w:tcPr>
          <w:p w14:paraId="78602AC8">
            <w:pPr>
              <w:pStyle w:val="13"/>
            </w:pPr>
            <w:r>
              <w:t>适龄在校生</w:t>
            </w:r>
          </w:p>
        </w:tc>
        <w:tc>
          <w:tcPr>
            <w:tcW w:w="5386" w:type="dxa"/>
            <w:vAlign w:val="center"/>
          </w:tcPr>
          <w:p w14:paraId="0AE13BD9">
            <w:pPr>
              <w:pStyle w:val="13"/>
            </w:pPr>
            <w:r>
              <w:t>适龄在校就读学生人数</w:t>
            </w:r>
          </w:p>
        </w:tc>
        <w:tc>
          <w:tcPr>
            <w:tcW w:w="2268" w:type="dxa"/>
            <w:vAlign w:val="center"/>
          </w:tcPr>
          <w:p w14:paraId="10B896D9">
            <w:pPr>
              <w:pStyle w:val="13"/>
            </w:pPr>
            <w:r>
              <w:t>571人</w:t>
            </w:r>
          </w:p>
        </w:tc>
        <w:tc>
          <w:tcPr>
            <w:tcW w:w="1276" w:type="dxa"/>
            <w:vAlign w:val="center"/>
          </w:tcPr>
          <w:p w14:paraId="2A0D10BD">
            <w:pPr>
              <w:pStyle w:val="13"/>
            </w:pPr>
            <w:r>
              <w:t>城乡义务教育公用经费管理办法</w:t>
            </w:r>
          </w:p>
        </w:tc>
      </w:tr>
      <w:tr w14:paraId="02454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60B8E"/>
        </w:tc>
        <w:tc>
          <w:tcPr>
            <w:tcW w:w="2268" w:type="dxa"/>
            <w:vAlign w:val="center"/>
          </w:tcPr>
          <w:p w14:paraId="26E293B4">
            <w:pPr>
              <w:pStyle w:val="13"/>
            </w:pPr>
            <w:r>
              <w:t>质量指标</w:t>
            </w:r>
          </w:p>
        </w:tc>
        <w:tc>
          <w:tcPr>
            <w:tcW w:w="2835" w:type="dxa"/>
            <w:vAlign w:val="center"/>
          </w:tcPr>
          <w:p w14:paraId="332C1AE4">
            <w:pPr>
              <w:pStyle w:val="13"/>
            </w:pPr>
            <w:r>
              <w:t>预算执行率</w:t>
            </w:r>
          </w:p>
        </w:tc>
        <w:tc>
          <w:tcPr>
            <w:tcW w:w="5386" w:type="dxa"/>
            <w:vAlign w:val="center"/>
          </w:tcPr>
          <w:p w14:paraId="508D0CE7">
            <w:pPr>
              <w:pStyle w:val="13"/>
            </w:pPr>
            <w:r>
              <w:t>预算执行率</w:t>
            </w:r>
          </w:p>
        </w:tc>
        <w:tc>
          <w:tcPr>
            <w:tcW w:w="2268" w:type="dxa"/>
            <w:vAlign w:val="center"/>
          </w:tcPr>
          <w:p w14:paraId="0993C039">
            <w:pPr>
              <w:pStyle w:val="13"/>
            </w:pPr>
            <w:r>
              <w:t>≥98%</w:t>
            </w:r>
          </w:p>
        </w:tc>
        <w:tc>
          <w:tcPr>
            <w:tcW w:w="1276" w:type="dxa"/>
            <w:vAlign w:val="center"/>
          </w:tcPr>
          <w:p w14:paraId="5092BF3F">
            <w:pPr>
              <w:pStyle w:val="13"/>
            </w:pPr>
            <w:r>
              <w:t>城乡义务教育公用经费管理办法</w:t>
            </w:r>
          </w:p>
        </w:tc>
      </w:tr>
      <w:tr w14:paraId="4200C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EFF43"/>
        </w:tc>
        <w:tc>
          <w:tcPr>
            <w:tcW w:w="2268" w:type="dxa"/>
            <w:vAlign w:val="center"/>
          </w:tcPr>
          <w:p w14:paraId="2A09A389">
            <w:pPr>
              <w:pStyle w:val="13"/>
            </w:pPr>
            <w:r>
              <w:t>时效指标</w:t>
            </w:r>
          </w:p>
        </w:tc>
        <w:tc>
          <w:tcPr>
            <w:tcW w:w="2835" w:type="dxa"/>
            <w:vAlign w:val="center"/>
          </w:tcPr>
          <w:p w14:paraId="79EE1439">
            <w:pPr>
              <w:pStyle w:val="13"/>
            </w:pPr>
            <w:r>
              <w:t>资金支付率</w:t>
            </w:r>
          </w:p>
        </w:tc>
        <w:tc>
          <w:tcPr>
            <w:tcW w:w="5386" w:type="dxa"/>
            <w:vAlign w:val="center"/>
          </w:tcPr>
          <w:p w14:paraId="5971F6C0">
            <w:pPr>
              <w:pStyle w:val="13"/>
            </w:pPr>
            <w:r>
              <w:t>按照序时进度完成资金支付</w:t>
            </w:r>
          </w:p>
        </w:tc>
        <w:tc>
          <w:tcPr>
            <w:tcW w:w="2268" w:type="dxa"/>
            <w:vAlign w:val="center"/>
          </w:tcPr>
          <w:p w14:paraId="14E01FD7">
            <w:pPr>
              <w:pStyle w:val="13"/>
            </w:pPr>
            <w:r>
              <w:t>100%</w:t>
            </w:r>
          </w:p>
        </w:tc>
        <w:tc>
          <w:tcPr>
            <w:tcW w:w="1276" w:type="dxa"/>
            <w:vAlign w:val="center"/>
          </w:tcPr>
          <w:p w14:paraId="6E52614F">
            <w:pPr>
              <w:pStyle w:val="13"/>
            </w:pPr>
            <w:r>
              <w:t>城乡义务教育公用经费管理办法</w:t>
            </w:r>
          </w:p>
        </w:tc>
      </w:tr>
      <w:tr w14:paraId="65A3F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CA0E9"/>
        </w:tc>
        <w:tc>
          <w:tcPr>
            <w:tcW w:w="2268" w:type="dxa"/>
            <w:vAlign w:val="center"/>
          </w:tcPr>
          <w:p w14:paraId="47E1DFBC">
            <w:pPr>
              <w:pStyle w:val="13"/>
            </w:pPr>
            <w:r>
              <w:t>成本指标</w:t>
            </w:r>
          </w:p>
        </w:tc>
        <w:tc>
          <w:tcPr>
            <w:tcW w:w="2835" w:type="dxa"/>
            <w:vAlign w:val="center"/>
          </w:tcPr>
          <w:p w14:paraId="0C3117D6">
            <w:pPr>
              <w:pStyle w:val="13"/>
            </w:pPr>
            <w:r>
              <w:t>生均拨款标准</w:t>
            </w:r>
          </w:p>
        </w:tc>
        <w:tc>
          <w:tcPr>
            <w:tcW w:w="5386" w:type="dxa"/>
            <w:vAlign w:val="center"/>
          </w:tcPr>
          <w:p w14:paraId="04BA220A">
            <w:pPr>
              <w:pStyle w:val="13"/>
            </w:pPr>
            <w:r>
              <w:t>基本标准940元、寄宿生300元、取暖补助120元）/生/学年；随班就读学生：标准7000元/生/学年。</w:t>
            </w:r>
          </w:p>
        </w:tc>
        <w:tc>
          <w:tcPr>
            <w:tcW w:w="2268" w:type="dxa"/>
            <w:vAlign w:val="center"/>
          </w:tcPr>
          <w:p w14:paraId="04B43B9E">
            <w:pPr>
              <w:pStyle w:val="13"/>
            </w:pPr>
            <w:r>
              <w:t>1360元</w:t>
            </w:r>
          </w:p>
        </w:tc>
        <w:tc>
          <w:tcPr>
            <w:tcW w:w="1276" w:type="dxa"/>
            <w:vAlign w:val="center"/>
          </w:tcPr>
          <w:p w14:paraId="4F2FCF9B">
            <w:pPr>
              <w:pStyle w:val="13"/>
            </w:pPr>
            <w:r>
              <w:t>城乡义务教育公用经费管理办法</w:t>
            </w:r>
          </w:p>
        </w:tc>
      </w:tr>
      <w:tr w14:paraId="0322E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61D5C">
            <w:pPr>
              <w:pStyle w:val="12"/>
            </w:pPr>
            <w:r>
              <w:t>效益指标</w:t>
            </w:r>
          </w:p>
        </w:tc>
        <w:tc>
          <w:tcPr>
            <w:tcW w:w="2268" w:type="dxa"/>
            <w:vAlign w:val="center"/>
          </w:tcPr>
          <w:p w14:paraId="761FCEFA">
            <w:pPr>
              <w:pStyle w:val="13"/>
            </w:pPr>
            <w:r>
              <w:t>可持续影响指标</w:t>
            </w:r>
          </w:p>
        </w:tc>
        <w:tc>
          <w:tcPr>
            <w:tcW w:w="2835" w:type="dxa"/>
            <w:vAlign w:val="center"/>
          </w:tcPr>
          <w:p w14:paraId="6AB6532A">
            <w:pPr>
              <w:pStyle w:val="13"/>
            </w:pPr>
            <w:r>
              <w:t>学校运转得到提高</w:t>
            </w:r>
          </w:p>
        </w:tc>
        <w:tc>
          <w:tcPr>
            <w:tcW w:w="5386" w:type="dxa"/>
            <w:vAlign w:val="center"/>
          </w:tcPr>
          <w:p w14:paraId="23F24D3A">
            <w:pPr>
              <w:pStyle w:val="13"/>
            </w:pPr>
            <w:r>
              <w:t>学生受教育年限</w:t>
            </w:r>
          </w:p>
        </w:tc>
        <w:tc>
          <w:tcPr>
            <w:tcW w:w="2268" w:type="dxa"/>
            <w:vAlign w:val="center"/>
          </w:tcPr>
          <w:p w14:paraId="4A99E0B1">
            <w:pPr>
              <w:pStyle w:val="13"/>
            </w:pPr>
            <w:r>
              <w:t>3年</w:t>
            </w:r>
          </w:p>
        </w:tc>
        <w:tc>
          <w:tcPr>
            <w:tcW w:w="1276" w:type="dxa"/>
            <w:vAlign w:val="center"/>
          </w:tcPr>
          <w:p w14:paraId="476D2F35">
            <w:pPr>
              <w:pStyle w:val="13"/>
            </w:pPr>
            <w:r>
              <w:t>城乡义务教育公用经费管理办法</w:t>
            </w:r>
          </w:p>
        </w:tc>
      </w:tr>
      <w:tr w14:paraId="3C32A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6AC605">
            <w:pPr>
              <w:pStyle w:val="12"/>
            </w:pPr>
            <w:r>
              <w:t>满意度指标</w:t>
            </w:r>
          </w:p>
        </w:tc>
        <w:tc>
          <w:tcPr>
            <w:tcW w:w="2268" w:type="dxa"/>
            <w:vAlign w:val="center"/>
          </w:tcPr>
          <w:p w14:paraId="078FF196">
            <w:pPr>
              <w:pStyle w:val="13"/>
            </w:pPr>
            <w:r>
              <w:t>服务对象满意度指标</w:t>
            </w:r>
          </w:p>
        </w:tc>
        <w:tc>
          <w:tcPr>
            <w:tcW w:w="2835" w:type="dxa"/>
            <w:vAlign w:val="center"/>
          </w:tcPr>
          <w:p w14:paraId="34D5EDF9">
            <w:pPr>
              <w:pStyle w:val="13"/>
            </w:pPr>
            <w:r>
              <w:t>受益学生家长及调查满意度</w:t>
            </w:r>
          </w:p>
        </w:tc>
        <w:tc>
          <w:tcPr>
            <w:tcW w:w="5386" w:type="dxa"/>
            <w:vAlign w:val="center"/>
          </w:tcPr>
          <w:p w14:paraId="35E9C6A2">
            <w:pPr>
              <w:pStyle w:val="13"/>
            </w:pPr>
            <w:r>
              <w:t>学生、教师及家长满意度情况</w:t>
            </w:r>
          </w:p>
        </w:tc>
        <w:tc>
          <w:tcPr>
            <w:tcW w:w="2268" w:type="dxa"/>
            <w:vAlign w:val="center"/>
          </w:tcPr>
          <w:p w14:paraId="2A4DAFD3">
            <w:pPr>
              <w:pStyle w:val="13"/>
            </w:pPr>
            <w:r>
              <w:t>≥95%</w:t>
            </w:r>
          </w:p>
        </w:tc>
        <w:tc>
          <w:tcPr>
            <w:tcW w:w="1276" w:type="dxa"/>
            <w:vAlign w:val="center"/>
          </w:tcPr>
          <w:p w14:paraId="33FAF6A5">
            <w:pPr>
              <w:pStyle w:val="13"/>
            </w:pPr>
            <w:r>
              <w:t>调查问卷</w:t>
            </w:r>
          </w:p>
        </w:tc>
      </w:tr>
    </w:tbl>
    <w:p w14:paraId="063A6D1B">
      <w:pPr>
        <w:sectPr>
          <w:pgSz w:w="16840" w:h="11900" w:orient="landscape"/>
          <w:pgMar w:top="1361" w:right="1020" w:bottom="1134" w:left="1020" w:header="720" w:footer="720" w:gutter="0"/>
          <w:cols w:space="720" w:num="1"/>
        </w:sectPr>
      </w:pPr>
    </w:p>
    <w:p w14:paraId="252A934C">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3、冀财教[2024]123号/中央/2025年义教补助经费/校舍安全保障/莲子中学校舍维修改造绩效目标表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2B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BBFA8B">
            <w:pPr>
              <w:pStyle w:val="14"/>
            </w:pPr>
            <w:r>
              <w:t>单位：万元</w:t>
            </w:r>
          </w:p>
        </w:tc>
      </w:tr>
      <w:tr w14:paraId="5D467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7C7CC400">
            <w:pPr>
              <w:pStyle w:val="11"/>
            </w:pPr>
            <w:r>
              <w:t>项目编码</w:t>
            </w:r>
          </w:p>
        </w:tc>
        <w:tc>
          <w:tcPr>
            <w:tcW w:w="5103" w:type="dxa"/>
            <w:gridSpan w:val="2"/>
            <w:vAlign w:val="center"/>
          </w:tcPr>
          <w:p w14:paraId="5B33350D">
            <w:pPr>
              <w:pStyle w:val="13"/>
            </w:pPr>
            <w:r>
              <w:t>13052525P00876210008P</w:t>
            </w:r>
          </w:p>
        </w:tc>
        <w:tc>
          <w:tcPr>
            <w:tcW w:w="2835" w:type="dxa"/>
            <w:vAlign w:val="center"/>
          </w:tcPr>
          <w:p w14:paraId="7AA9DC73">
            <w:pPr>
              <w:pStyle w:val="11"/>
            </w:pPr>
            <w:r>
              <w:t>项目名称</w:t>
            </w:r>
          </w:p>
        </w:tc>
        <w:tc>
          <w:tcPr>
            <w:tcW w:w="6095" w:type="dxa"/>
            <w:gridSpan w:val="3"/>
            <w:vAlign w:val="center"/>
          </w:tcPr>
          <w:p w14:paraId="3955B011">
            <w:pPr>
              <w:pStyle w:val="13"/>
            </w:pPr>
            <w:r>
              <w:t>冀财教[2024]123号/中央/2025年义教补助经费/校舍安全保障/莲子中学校舍维修改造</w:t>
            </w:r>
          </w:p>
        </w:tc>
      </w:tr>
      <w:tr w14:paraId="6D926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E95DA">
            <w:pPr>
              <w:pStyle w:val="11"/>
            </w:pPr>
            <w:r>
              <w:t>预算规模及资金用途</w:t>
            </w:r>
          </w:p>
        </w:tc>
        <w:tc>
          <w:tcPr>
            <w:tcW w:w="2268" w:type="dxa"/>
            <w:vAlign w:val="center"/>
          </w:tcPr>
          <w:p w14:paraId="45E276F7">
            <w:pPr>
              <w:pStyle w:val="11"/>
            </w:pPr>
            <w:r>
              <w:t>预算数</w:t>
            </w:r>
          </w:p>
        </w:tc>
        <w:tc>
          <w:tcPr>
            <w:tcW w:w="2835" w:type="dxa"/>
            <w:vAlign w:val="center"/>
          </w:tcPr>
          <w:p w14:paraId="1CFA2AD2">
            <w:pPr>
              <w:pStyle w:val="13"/>
            </w:pPr>
            <w:r>
              <w:t>39.00</w:t>
            </w:r>
          </w:p>
        </w:tc>
        <w:tc>
          <w:tcPr>
            <w:tcW w:w="2835" w:type="dxa"/>
            <w:vAlign w:val="center"/>
          </w:tcPr>
          <w:p w14:paraId="05804D5F">
            <w:pPr>
              <w:pStyle w:val="11"/>
            </w:pPr>
            <w:r>
              <w:t>其中：财政    资金</w:t>
            </w:r>
          </w:p>
        </w:tc>
        <w:tc>
          <w:tcPr>
            <w:tcW w:w="2551" w:type="dxa"/>
            <w:vAlign w:val="center"/>
          </w:tcPr>
          <w:p w14:paraId="0BA1F619">
            <w:pPr>
              <w:pStyle w:val="13"/>
            </w:pPr>
            <w:r>
              <w:t>39.00</w:t>
            </w:r>
          </w:p>
        </w:tc>
        <w:tc>
          <w:tcPr>
            <w:tcW w:w="2268" w:type="dxa"/>
            <w:vAlign w:val="center"/>
          </w:tcPr>
          <w:p w14:paraId="5BED2CA5">
            <w:pPr>
              <w:pStyle w:val="11"/>
            </w:pPr>
            <w:r>
              <w:t>其他资金</w:t>
            </w:r>
          </w:p>
        </w:tc>
        <w:tc>
          <w:tcPr>
            <w:tcW w:w="1276" w:type="dxa"/>
            <w:vAlign w:val="center"/>
          </w:tcPr>
          <w:p w14:paraId="28CFB373">
            <w:pPr>
              <w:pStyle w:val="13"/>
            </w:pPr>
            <w:r>
              <w:t xml:space="preserve"> </w:t>
            </w:r>
          </w:p>
        </w:tc>
      </w:tr>
      <w:tr w14:paraId="73E13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00053"/>
        </w:tc>
        <w:tc>
          <w:tcPr>
            <w:tcW w:w="14033" w:type="dxa"/>
            <w:gridSpan w:val="6"/>
            <w:vAlign w:val="center"/>
          </w:tcPr>
          <w:p w14:paraId="38F4189E">
            <w:pPr>
              <w:pStyle w:val="13"/>
            </w:pPr>
            <w:r>
              <w:t>维修学校地面，改善办学条件</w:t>
            </w:r>
            <w:r>
              <w:tab/>
            </w:r>
            <w:r>
              <w:t>。</w:t>
            </w:r>
            <w:r>
              <w:tab/>
            </w:r>
            <w:r>
              <w:tab/>
            </w:r>
            <w:r>
              <w:tab/>
            </w:r>
            <w:r>
              <w:tab/>
            </w:r>
            <w:r>
              <w:tab/>
            </w:r>
          </w:p>
          <w:p w14:paraId="1067BEBA">
            <w:pPr>
              <w:pStyle w:val="13"/>
            </w:pPr>
          </w:p>
        </w:tc>
      </w:tr>
      <w:tr w14:paraId="2289D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34648">
            <w:pPr>
              <w:pStyle w:val="11"/>
            </w:pPr>
            <w:r>
              <w:t>资金支出计划（%）</w:t>
            </w:r>
          </w:p>
        </w:tc>
        <w:tc>
          <w:tcPr>
            <w:tcW w:w="5103" w:type="dxa"/>
            <w:gridSpan w:val="2"/>
            <w:vAlign w:val="center"/>
          </w:tcPr>
          <w:p w14:paraId="4D1116BD">
            <w:pPr>
              <w:pStyle w:val="11"/>
            </w:pPr>
            <w:r>
              <w:t>3月底</w:t>
            </w:r>
          </w:p>
        </w:tc>
        <w:tc>
          <w:tcPr>
            <w:tcW w:w="2835" w:type="dxa"/>
            <w:vAlign w:val="center"/>
          </w:tcPr>
          <w:p w14:paraId="177F6D4A">
            <w:pPr>
              <w:pStyle w:val="11"/>
            </w:pPr>
            <w:r>
              <w:t>6月底</w:t>
            </w:r>
          </w:p>
        </w:tc>
        <w:tc>
          <w:tcPr>
            <w:tcW w:w="2551" w:type="dxa"/>
            <w:vAlign w:val="center"/>
          </w:tcPr>
          <w:p w14:paraId="01C68F77">
            <w:pPr>
              <w:pStyle w:val="11"/>
            </w:pPr>
            <w:r>
              <w:t>10月底</w:t>
            </w:r>
          </w:p>
        </w:tc>
        <w:tc>
          <w:tcPr>
            <w:tcW w:w="3544" w:type="dxa"/>
            <w:gridSpan w:val="2"/>
            <w:vAlign w:val="center"/>
          </w:tcPr>
          <w:p w14:paraId="493DB89B">
            <w:pPr>
              <w:pStyle w:val="11"/>
            </w:pPr>
            <w:r>
              <w:t>12月底</w:t>
            </w:r>
          </w:p>
        </w:tc>
      </w:tr>
      <w:tr w14:paraId="5E5AF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6B454"/>
        </w:tc>
        <w:tc>
          <w:tcPr>
            <w:tcW w:w="5103" w:type="dxa"/>
            <w:gridSpan w:val="2"/>
            <w:vAlign w:val="center"/>
          </w:tcPr>
          <w:p w14:paraId="0B5049F6">
            <w:pPr>
              <w:pStyle w:val="12"/>
            </w:pPr>
            <w:r>
              <w:t>25%</w:t>
            </w:r>
          </w:p>
        </w:tc>
        <w:tc>
          <w:tcPr>
            <w:tcW w:w="2835" w:type="dxa"/>
            <w:vAlign w:val="center"/>
          </w:tcPr>
          <w:p w14:paraId="7EE8ED53">
            <w:pPr>
              <w:pStyle w:val="12"/>
            </w:pPr>
            <w:r>
              <w:t>50%</w:t>
            </w:r>
          </w:p>
        </w:tc>
        <w:tc>
          <w:tcPr>
            <w:tcW w:w="2551" w:type="dxa"/>
            <w:vAlign w:val="center"/>
          </w:tcPr>
          <w:p w14:paraId="48352B1F">
            <w:pPr>
              <w:pStyle w:val="12"/>
            </w:pPr>
            <w:r>
              <w:t>75%</w:t>
            </w:r>
          </w:p>
        </w:tc>
        <w:tc>
          <w:tcPr>
            <w:tcW w:w="3544" w:type="dxa"/>
            <w:gridSpan w:val="2"/>
            <w:vAlign w:val="center"/>
          </w:tcPr>
          <w:p w14:paraId="3B8076B5">
            <w:pPr>
              <w:pStyle w:val="12"/>
            </w:pPr>
            <w:r>
              <w:t>100%</w:t>
            </w:r>
          </w:p>
        </w:tc>
      </w:tr>
      <w:tr w14:paraId="4AADF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01E01">
            <w:pPr>
              <w:pStyle w:val="11"/>
            </w:pPr>
            <w:r>
              <w:t>绩效目标</w:t>
            </w:r>
          </w:p>
        </w:tc>
        <w:tc>
          <w:tcPr>
            <w:tcW w:w="14033" w:type="dxa"/>
            <w:gridSpan w:val="6"/>
            <w:vAlign w:val="center"/>
          </w:tcPr>
          <w:p w14:paraId="08FE16B3">
            <w:pPr>
              <w:pStyle w:val="13"/>
            </w:pPr>
            <w:r>
              <w:t>1.改善就学条件，提升学校形象，保障义务教育阶段教学安全，改善师生教学环境，创造良好的校园环境。</w:t>
            </w:r>
            <w:r>
              <w:tab/>
            </w:r>
            <w:r>
              <w:tab/>
            </w:r>
            <w:r>
              <w:tab/>
            </w:r>
          </w:p>
          <w:p w14:paraId="23F42E68">
            <w:pPr>
              <w:pStyle w:val="13"/>
            </w:pPr>
          </w:p>
          <w:p w14:paraId="2F8E2D33">
            <w:pPr>
              <w:pStyle w:val="13"/>
            </w:pPr>
            <w:r>
              <w:t>2.项目需资金39万元，资金拨付率达到100%。</w:t>
            </w:r>
          </w:p>
        </w:tc>
      </w:tr>
    </w:tbl>
    <w:p w14:paraId="01AA3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4A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560BB">
            <w:pPr>
              <w:pStyle w:val="11"/>
            </w:pPr>
            <w:r>
              <w:t>一级指标</w:t>
            </w:r>
          </w:p>
        </w:tc>
        <w:tc>
          <w:tcPr>
            <w:tcW w:w="2268" w:type="dxa"/>
            <w:vAlign w:val="center"/>
          </w:tcPr>
          <w:p w14:paraId="7C8F5D19">
            <w:pPr>
              <w:pStyle w:val="11"/>
            </w:pPr>
            <w:r>
              <w:t>二级指标</w:t>
            </w:r>
          </w:p>
        </w:tc>
        <w:tc>
          <w:tcPr>
            <w:tcW w:w="2835" w:type="dxa"/>
            <w:vAlign w:val="center"/>
          </w:tcPr>
          <w:p w14:paraId="53C245B3">
            <w:pPr>
              <w:pStyle w:val="11"/>
            </w:pPr>
            <w:r>
              <w:t>三级指标</w:t>
            </w:r>
          </w:p>
        </w:tc>
        <w:tc>
          <w:tcPr>
            <w:tcW w:w="5386" w:type="dxa"/>
            <w:vAlign w:val="center"/>
          </w:tcPr>
          <w:p w14:paraId="19E6FEF3">
            <w:pPr>
              <w:pStyle w:val="11"/>
            </w:pPr>
            <w:r>
              <w:t>绩效指标描述</w:t>
            </w:r>
          </w:p>
        </w:tc>
        <w:tc>
          <w:tcPr>
            <w:tcW w:w="2268" w:type="dxa"/>
            <w:vAlign w:val="center"/>
          </w:tcPr>
          <w:p w14:paraId="4FDD4C07">
            <w:pPr>
              <w:pStyle w:val="11"/>
            </w:pPr>
            <w:r>
              <w:t>指标值</w:t>
            </w:r>
          </w:p>
        </w:tc>
        <w:tc>
          <w:tcPr>
            <w:tcW w:w="1276" w:type="dxa"/>
            <w:vAlign w:val="center"/>
          </w:tcPr>
          <w:p w14:paraId="5BD39C79">
            <w:pPr>
              <w:pStyle w:val="11"/>
            </w:pPr>
            <w:r>
              <w:t>指标值确定依据</w:t>
            </w:r>
          </w:p>
        </w:tc>
      </w:tr>
      <w:tr w14:paraId="750E7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A523F">
            <w:pPr>
              <w:pStyle w:val="12"/>
            </w:pPr>
            <w:r>
              <w:t>产出指标</w:t>
            </w:r>
          </w:p>
        </w:tc>
        <w:tc>
          <w:tcPr>
            <w:tcW w:w="2268" w:type="dxa"/>
            <w:vAlign w:val="center"/>
          </w:tcPr>
          <w:p w14:paraId="30887DED">
            <w:pPr>
              <w:pStyle w:val="13"/>
            </w:pPr>
            <w:r>
              <w:t>数量指标</w:t>
            </w:r>
          </w:p>
        </w:tc>
        <w:tc>
          <w:tcPr>
            <w:tcW w:w="2835" w:type="dxa"/>
            <w:vAlign w:val="center"/>
          </w:tcPr>
          <w:p w14:paraId="25639FC9">
            <w:pPr>
              <w:pStyle w:val="13"/>
            </w:pPr>
            <w:r>
              <w:t>地面硬化</w:t>
            </w:r>
          </w:p>
        </w:tc>
        <w:tc>
          <w:tcPr>
            <w:tcW w:w="5386" w:type="dxa"/>
            <w:vAlign w:val="center"/>
          </w:tcPr>
          <w:p w14:paraId="4982969A">
            <w:pPr>
              <w:pStyle w:val="13"/>
            </w:pPr>
            <w:r>
              <w:t>地面硬化一项</w:t>
            </w:r>
          </w:p>
        </w:tc>
        <w:tc>
          <w:tcPr>
            <w:tcW w:w="2268" w:type="dxa"/>
            <w:vAlign w:val="center"/>
          </w:tcPr>
          <w:p w14:paraId="52869EFB">
            <w:pPr>
              <w:pStyle w:val="13"/>
            </w:pPr>
            <w:r>
              <w:t>1项</w:t>
            </w:r>
          </w:p>
        </w:tc>
        <w:tc>
          <w:tcPr>
            <w:tcW w:w="1276" w:type="dxa"/>
            <w:vAlign w:val="center"/>
          </w:tcPr>
          <w:p w14:paraId="002846E7">
            <w:pPr>
              <w:pStyle w:val="13"/>
            </w:pPr>
            <w:r>
              <w:t>城乡义务教育公共经费</w:t>
            </w:r>
          </w:p>
        </w:tc>
      </w:tr>
      <w:tr w14:paraId="4383F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C4F9D"/>
        </w:tc>
        <w:tc>
          <w:tcPr>
            <w:tcW w:w="2268" w:type="dxa"/>
            <w:vAlign w:val="center"/>
          </w:tcPr>
          <w:p w14:paraId="52121A12">
            <w:pPr>
              <w:pStyle w:val="13"/>
            </w:pPr>
            <w:r>
              <w:t>质量指标</w:t>
            </w:r>
          </w:p>
        </w:tc>
        <w:tc>
          <w:tcPr>
            <w:tcW w:w="2835" w:type="dxa"/>
            <w:vAlign w:val="center"/>
          </w:tcPr>
          <w:p w14:paraId="363B3C47">
            <w:pPr>
              <w:pStyle w:val="13"/>
            </w:pPr>
            <w:r>
              <w:t>工程实施验收合格率</w:t>
            </w:r>
          </w:p>
        </w:tc>
        <w:tc>
          <w:tcPr>
            <w:tcW w:w="5386" w:type="dxa"/>
            <w:vAlign w:val="center"/>
          </w:tcPr>
          <w:p w14:paraId="55872997">
            <w:pPr>
              <w:pStyle w:val="13"/>
            </w:pPr>
            <w:r>
              <w:t>申报程序的合规，项目实施及资金使用符合项目规划</w:t>
            </w:r>
          </w:p>
        </w:tc>
        <w:tc>
          <w:tcPr>
            <w:tcW w:w="2268" w:type="dxa"/>
            <w:vAlign w:val="center"/>
          </w:tcPr>
          <w:p w14:paraId="0CCBEFE6">
            <w:pPr>
              <w:pStyle w:val="13"/>
            </w:pPr>
            <w:r>
              <w:t>100%</w:t>
            </w:r>
          </w:p>
        </w:tc>
        <w:tc>
          <w:tcPr>
            <w:tcW w:w="1276" w:type="dxa"/>
            <w:vAlign w:val="center"/>
          </w:tcPr>
          <w:p w14:paraId="20EE9415">
            <w:pPr>
              <w:pStyle w:val="13"/>
            </w:pPr>
            <w:r>
              <w:t>城乡义务教育公共经费</w:t>
            </w:r>
          </w:p>
        </w:tc>
      </w:tr>
      <w:tr w14:paraId="13F0F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5D0F3"/>
        </w:tc>
        <w:tc>
          <w:tcPr>
            <w:tcW w:w="2268" w:type="dxa"/>
            <w:vAlign w:val="center"/>
          </w:tcPr>
          <w:p w14:paraId="60C18861">
            <w:pPr>
              <w:pStyle w:val="13"/>
            </w:pPr>
            <w:r>
              <w:t>时效指标</w:t>
            </w:r>
          </w:p>
        </w:tc>
        <w:tc>
          <w:tcPr>
            <w:tcW w:w="2835" w:type="dxa"/>
            <w:vAlign w:val="center"/>
          </w:tcPr>
          <w:p w14:paraId="3B1FBA23">
            <w:pPr>
              <w:pStyle w:val="13"/>
            </w:pPr>
            <w:r>
              <w:t>资金支付率</w:t>
            </w:r>
          </w:p>
        </w:tc>
        <w:tc>
          <w:tcPr>
            <w:tcW w:w="5386" w:type="dxa"/>
            <w:vAlign w:val="center"/>
          </w:tcPr>
          <w:p w14:paraId="057B04DE">
            <w:pPr>
              <w:pStyle w:val="13"/>
            </w:pPr>
            <w:r>
              <w:t>按照序时进度完成资金支付</w:t>
            </w:r>
          </w:p>
        </w:tc>
        <w:tc>
          <w:tcPr>
            <w:tcW w:w="2268" w:type="dxa"/>
            <w:vAlign w:val="center"/>
          </w:tcPr>
          <w:p w14:paraId="50D16AA3">
            <w:pPr>
              <w:pStyle w:val="13"/>
            </w:pPr>
            <w:r>
              <w:t>100%</w:t>
            </w:r>
          </w:p>
        </w:tc>
        <w:tc>
          <w:tcPr>
            <w:tcW w:w="1276" w:type="dxa"/>
            <w:vAlign w:val="center"/>
          </w:tcPr>
          <w:p w14:paraId="79F989D8">
            <w:pPr>
              <w:pStyle w:val="13"/>
            </w:pPr>
            <w:r>
              <w:t>城乡义务教育公共经费</w:t>
            </w:r>
          </w:p>
        </w:tc>
      </w:tr>
      <w:tr w14:paraId="4E1EA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1B087"/>
        </w:tc>
        <w:tc>
          <w:tcPr>
            <w:tcW w:w="2268" w:type="dxa"/>
            <w:vAlign w:val="center"/>
          </w:tcPr>
          <w:p w14:paraId="27C268FB">
            <w:pPr>
              <w:pStyle w:val="13"/>
            </w:pPr>
            <w:r>
              <w:t>成本指标</w:t>
            </w:r>
          </w:p>
        </w:tc>
        <w:tc>
          <w:tcPr>
            <w:tcW w:w="2835" w:type="dxa"/>
            <w:vAlign w:val="center"/>
          </w:tcPr>
          <w:p w14:paraId="59B13803">
            <w:pPr>
              <w:pStyle w:val="13"/>
            </w:pPr>
            <w:r>
              <w:t>项目成本控制情况</w:t>
            </w:r>
          </w:p>
        </w:tc>
        <w:tc>
          <w:tcPr>
            <w:tcW w:w="5386" w:type="dxa"/>
            <w:vAlign w:val="center"/>
          </w:tcPr>
          <w:p w14:paraId="64D34873">
            <w:pPr>
              <w:pStyle w:val="13"/>
            </w:pPr>
            <w:r>
              <w:t>严格按照招标价格及审计额进行</w:t>
            </w:r>
          </w:p>
        </w:tc>
        <w:tc>
          <w:tcPr>
            <w:tcW w:w="2268" w:type="dxa"/>
            <w:vAlign w:val="center"/>
          </w:tcPr>
          <w:p w14:paraId="7962DD12">
            <w:pPr>
              <w:pStyle w:val="13"/>
            </w:pPr>
            <w:r>
              <w:t>≤39万元</w:t>
            </w:r>
          </w:p>
        </w:tc>
        <w:tc>
          <w:tcPr>
            <w:tcW w:w="1276" w:type="dxa"/>
            <w:vAlign w:val="center"/>
          </w:tcPr>
          <w:p w14:paraId="6876E12A">
            <w:pPr>
              <w:pStyle w:val="13"/>
            </w:pPr>
            <w:r>
              <w:t>城乡义务教育公共经费</w:t>
            </w:r>
          </w:p>
        </w:tc>
      </w:tr>
      <w:tr w14:paraId="60793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5F27EC">
            <w:pPr>
              <w:pStyle w:val="12"/>
            </w:pPr>
            <w:r>
              <w:t>效益指标</w:t>
            </w:r>
          </w:p>
        </w:tc>
        <w:tc>
          <w:tcPr>
            <w:tcW w:w="2268" w:type="dxa"/>
            <w:vAlign w:val="center"/>
          </w:tcPr>
          <w:p w14:paraId="40FB251C">
            <w:pPr>
              <w:pStyle w:val="13"/>
            </w:pPr>
            <w:r>
              <w:t>可持续影响指标</w:t>
            </w:r>
          </w:p>
        </w:tc>
        <w:tc>
          <w:tcPr>
            <w:tcW w:w="2835" w:type="dxa"/>
            <w:vAlign w:val="center"/>
          </w:tcPr>
          <w:p w14:paraId="7B38511F">
            <w:pPr>
              <w:pStyle w:val="13"/>
            </w:pPr>
            <w:r>
              <w:t>学校运转得到提高</w:t>
            </w:r>
          </w:p>
        </w:tc>
        <w:tc>
          <w:tcPr>
            <w:tcW w:w="5386" w:type="dxa"/>
            <w:vAlign w:val="center"/>
          </w:tcPr>
          <w:p w14:paraId="3370425A">
            <w:pPr>
              <w:pStyle w:val="13"/>
            </w:pPr>
            <w:r>
              <w:t>学生受教育年限</w:t>
            </w:r>
          </w:p>
        </w:tc>
        <w:tc>
          <w:tcPr>
            <w:tcW w:w="2268" w:type="dxa"/>
            <w:vAlign w:val="center"/>
          </w:tcPr>
          <w:p w14:paraId="3DCB865C">
            <w:pPr>
              <w:pStyle w:val="13"/>
            </w:pPr>
            <w:r>
              <w:t>3年</w:t>
            </w:r>
          </w:p>
        </w:tc>
        <w:tc>
          <w:tcPr>
            <w:tcW w:w="1276" w:type="dxa"/>
            <w:vAlign w:val="center"/>
          </w:tcPr>
          <w:p w14:paraId="0FB1C50A">
            <w:pPr>
              <w:pStyle w:val="13"/>
            </w:pPr>
            <w:r>
              <w:t>城乡义务教育公共经费</w:t>
            </w:r>
          </w:p>
        </w:tc>
      </w:tr>
      <w:tr w14:paraId="2799B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1C60CE">
            <w:pPr>
              <w:pStyle w:val="12"/>
            </w:pPr>
            <w:r>
              <w:t>满意度指标</w:t>
            </w:r>
          </w:p>
        </w:tc>
        <w:tc>
          <w:tcPr>
            <w:tcW w:w="2268" w:type="dxa"/>
            <w:vAlign w:val="center"/>
          </w:tcPr>
          <w:p w14:paraId="664A3476">
            <w:pPr>
              <w:pStyle w:val="13"/>
            </w:pPr>
            <w:r>
              <w:t>服务对象满意度指标</w:t>
            </w:r>
          </w:p>
        </w:tc>
        <w:tc>
          <w:tcPr>
            <w:tcW w:w="2835" w:type="dxa"/>
            <w:vAlign w:val="center"/>
          </w:tcPr>
          <w:p w14:paraId="6EA5F545">
            <w:pPr>
              <w:pStyle w:val="13"/>
            </w:pPr>
            <w:r>
              <w:t>受益学生家长及调查满意度</w:t>
            </w:r>
          </w:p>
        </w:tc>
        <w:tc>
          <w:tcPr>
            <w:tcW w:w="5386" w:type="dxa"/>
            <w:vAlign w:val="center"/>
          </w:tcPr>
          <w:p w14:paraId="240D8718">
            <w:pPr>
              <w:pStyle w:val="13"/>
            </w:pPr>
            <w:r>
              <w:t>学生、教师及家长对学校教学环境满意度情况</w:t>
            </w:r>
          </w:p>
        </w:tc>
        <w:tc>
          <w:tcPr>
            <w:tcW w:w="2268" w:type="dxa"/>
            <w:vAlign w:val="center"/>
          </w:tcPr>
          <w:p w14:paraId="557EB55F">
            <w:pPr>
              <w:pStyle w:val="13"/>
            </w:pPr>
            <w:r>
              <w:t>≥98%</w:t>
            </w:r>
          </w:p>
        </w:tc>
        <w:tc>
          <w:tcPr>
            <w:tcW w:w="1276" w:type="dxa"/>
            <w:vAlign w:val="center"/>
          </w:tcPr>
          <w:p w14:paraId="58133DCE">
            <w:pPr>
              <w:pStyle w:val="13"/>
            </w:pPr>
            <w:r>
              <w:t>问卷调查</w:t>
            </w:r>
          </w:p>
        </w:tc>
      </w:tr>
    </w:tbl>
    <w:p w14:paraId="4BA969B9">
      <w:pPr>
        <w:sectPr>
          <w:pgSz w:w="16840" w:h="11900" w:orient="landscape"/>
          <w:pgMar w:top="1361" w:right="1020" w:bottom="1134" w:left="1020" w:header="720" w:footer="720" w:gutter="0"/>
          <w:cols w:space="720" w:num="1"/>
        </w:sectPr>
      </w:pPr>
    </w:p>
    <w:p w14:paraId="508D3895">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4、冀财教[2024]123号/中央/2025年义教补助经费/综合奖补/莲子中学公用经费绩效目标表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1A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11F55">
            <w:pPr>
              <w:pStyle w:val="14"/>
            </w:pPr>
            <w:r>
              <w:t>单位：万元</w:t>
            </w:r>
          </w:p>
        </w:tc>
      </w:tr>
      <w:tr w14:paraId="6CE89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150AF">
            <w:pPr>
              <w:pStyle w:val="11"/>
            </w:pPr>
            <w:r>
              <w:t>项目编码</w:t>
            </w:r>
          </w:p>
        </w:tc>
        <w:tc>
          <w:tcPr>
            <w:tcW w:w="5103" w:type="dxa"/>
            <w:gridSpan w:val="2"/>
            <w:vAlign w:val="center"/>
          </w:tcPr>
          <w:p w14:paraId="6B46DB9A">
            <w:pPr>
              <w:pStyle w:val="13"/>
            </w:pPr>
            <w:r>
              <w:t>13052525P00875610273T</w:t>
            </w:r>
          </w:p>
        </w:tc>
        <w:tc>
          <w:tcPr>
            <w:tcW w:w="2835" w:type="dxa"/>
            <w:vAlign w:val="center"/>
          </w:tcPr>
          <w:p w14:paraId="1DE2EAB3">
            <w:pPr>
              <w:pStyle w:val="11"/>
            </w:pPr>
            <w:r>
              <w:t>项目名称</w:t>
            </w:r>
          </w:p>
        </w:tc>
        <w:tc>
          <w:tcPr>
            <w:tcW w:w="6095" w:type="dxa"/>
            <w:gridSpan w:val="3"/>
            <w:vAlign w:val="center"/>
          </w:tcPr>
          <w:p w14:paraId="1B699FD6">
            <w:pPr>
              <w:pStyle w:val="13"/>
            </w:pPr>
            <w:r>
              <w:t>冀财教[2024]123号/中央/2025年义教补助经费/综合奖补/莲子中学公用经费</w:t>
            </w:r>
          </w:p>
        </w:tc>
      </w:tr>
      <w:tr w14:paraId="19A87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9D874">
            <w:pPr>
              <w:pStyle w:val="11"/>
            </w:pPr>
            <w:r>
              <w:t>预算规模及资金用途</w:t>
            </w:r>
          </w:p>
        </w:tc>
        <w:tc>
          <w:tcPr>
            <w:tcW w:w="2268" w:type="dxa"/>
            <w:vAlign w:val="center"/>
          </w:tcPr>
          <w:p w14:paraId="128BBE97">
            <w:pPr>
              <w:pStyle w:val="11"/>
            </w:pPr>
            <w:r>
              <w:t>预算数</w:t>
            </w:r>
          </w:p>
        </w:tc>
        <w:tc>
          <w:tcPr>
            <w:tcW w:w="2835" w:type="dxa"/>
            <w:vAlign w:val="center"/>
          </w:tcPr>
          <w:p w14:paraId="367A15FC">
            <w:pPr>
              <w:pStyle w:val="13"/>
            </w:pPr>
            <w:r>
              <w:t>2.13</w:t>
            </w:r>
          </w:p>
        </w:tc>
        <w:tc>
          <w:tcPr>
            <w:tcW w:w="2835" w:type="dxa"/>
            <w:vAlign w:val="center"/>
          </w:tcPr>
          <w:p w14:paraId="20FFF263">
            <w:pPr>
              <w:pStyle w:val="11"/>
            </w:pPr>
            <w:r>
              <w:t>其中：财政    资金</w:t>
            </w:r>
          </w:p>
        </w:tc>
        <w:tc>
          <w:tcPr>
            <w:tcW w:w="2551" w:type="dxa"/>
            <w:vAlign w:val="center"/>
          </w:tcPr>
          <w:p w14:paraId="1F061370">
            <w:pPr>
              <w:pStyle w:val="13"/>
            </w:pPr>
            <w:r>
              <w:t>2.13</w:t>
            </w:r>
          </w:p>
        </w:tc>
        <w:tc>
          <w:tcPr>
            <w:tcW w:w="2268" w:type="dxa"/>
            <w:vAlign w:val="center"/>
          </w:tcPr>
          <w:p w14:paraId="7D7AC642">
            <w:pPr>
              <w:pStyle w:val="11"/>
            </w:pPr>
            <w:r>
              <w:t>其他资金</w:t>
            </w:r>
          </w:p>
        </w:tc>
        <w:tc>
          <w:tcPr>
            <w:tcW w:w="1276" w:type="dxa"/>
            <w:vAlign w:val="center"/>
          </w:tcPr>
          <w:p w14:paraId="56F097EE">
            <w:pPr>
              <w:pStyle w:val="13"/>
            </w:pPr>
            <w:r>
              <w:t xml:space="preserve"> </w:t>
            </w:r>
          </w:p>
        </w:tc>
      </w:tr>
      <w:tr w14:paraId="6D54B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AA40C7"/>
        </w:tc>
        <w:tc>
          <w:tcPr>
            <w:tcW w:w="14033" w:type="dxa"/>
            <w:gridSpan w:val="6"/>
            <w:vAlign w:val="center"/>
          </w:tcPr>
          <w:p w14:paraId="5B15BC67">
            <w:pPr>
              <w:pStyle w:val="13"/>
            </w:pPr>
            <w:r>
              <w:t>配备视频会议系统一套</w:t>
            </w:r>
          </w:p>
        </w:tc>
      </w:tr>
      <w:tr w14:paraId="2F10D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C0B96">
            <w:pPr>
              <w:pStyle w:val="11"/>
            </w:pPr>
            <w:r>
              <w:t>资金支出计划（%）</w:t>
            </w:r>
          </w:p>
        </w:tc>
        <w:tc>
          <w:tcPr>
            <w:tcW w:w="5103" w:type="dxa"/>
            <w:gridSpan w:val="2"/>
            <w:vAlign w:val="center"/>
          </w:tcPr>
          <w:p w14:paraId="0ACFD59C">
            <w:pPr>
              <w:pStyle w:val="11"/>
            </w:pPr>
            <w:r>
              <w:t>3月底</w:t>
            </w:r>
          </w:p>
        </w:tc>
        <w:tc>
          <w:tcPr>
            <w:tcW w:w="2835" w:type="dxa"/>
            <w:vAlign w:val="center"/>
          </w:tcPr>
          <w:p w14:paraId="579A5BFB">
            <w:pPr>
              <w:pStyle w:val="11"/>
            </w:pPr>
            <w:r>
              <w:t>6月底</w:t>
            </w:r>
          </w:p>
        </w:tc>
        <w:tc>
          <w:tcPr>
            <w:tcW w:w="2551" w:type="dxa"/>
            <w:vAlign w:val="center"/>
          </w:tcPr>
          <w:p w14:paraId="78CB7BBF">
            <w:pPr>
              <w:pStyle w:val="11"/>
            </w:pPr>
            <w:r>
              <w:t>10月底</w:t>
            </w:r>
          </w:p>
        </w:tc>
        <w:tc>
          <w:tcPr>
            <w:tcW w:w="3544" w:type="dxa"/>
            <w:gridSpan w:val="2"/>
            <w:vAlign w:val="center"/>
          </w:tcPr>
          <w:p w14:paraId="70B40B6D">
            <w:pPr>
              <w:pStyle w:val="11"/>
            </w:pPr>
            <w:r>
              <w:t>12月底</w:t>
            </w:r>
          </w:p>
        </w:tc>
      </w:tr>
      <w:tr w14:paraId="10821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3120E"/>
        </w:tc>
        <w:tc>
          <w:tcPr>
            <w:tcW w:w="5103" w:type="dxa"/>
            <w:gridSpan w:val="2"/>
            <w:vAlign w:val="center"/>
          </w:tcPr>
          <w:p w14:paraId="2FD9353A">
            <w:pPr>
              <w:pStyle w:val="12"/>
            </w:pPr>
            <w:r>
              <w:t>25%</w:t>
            </w:r>
          </w:p>
        </w:tc>
        <w:tc>
          <w:tcPr>
            <w:tcW w:w="2835" w:type="dxa"/>
            <w:vAlign w:val="center"/>
          </w:tcPr>
          <w:p w14:paraId="47FC8D98">
            <w:pPr>
              <w:pStyle w:val="12"/>
            </w:pPr>
            <w:r>
              <w:t>50%</w:t>
            </w:r>
          </w:p>
        </w:tc>
        <w:tc>
          <w:tcPr>
            <w:tcW w:w="2551" w:type="dxa"/>
            <w:vAlign w:val="center"/>
          </w:tcPr>
          <w:p w14:paraId="3E1F5E9A">
            <w:pPr>
              <w:pStyle w:val="12"/>
            </w:pPr>
            <w:r>
              <w:t>75%</w:t>
            </w:r>
          </w:p>
        </w:tc>
        <w:tc>
          <w:tcPr>
            <w:tcW w:w="3544" w:type="dxa"/>
            <w:gridSpan w:val="2"/>
            <w:vAlign w:val="center"/>
          </w:tcPr>
          <w:p w14:paraId="0A59FFDB">
            <w:pPr>
              <w:pStyle w:val="12"/>
            </w:pPr>
            <w:r>
              <w:t>100%</w:t>
            </w:r>
          </w:p>
        </w:tc>
      </w:tr>
      <w:tr w14:paraId="1AA7D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11EA62">
            <w:pPr>
              <w:pStyle w:val="11"/>
            </w:pPr>
            <w:r>
              <w:t>绩效目标</w:t>
            </w:r>
          </w:p>
        </w:tc>
        <w:tc>
          <w:tcPr>
            <w:tcW w:w="14033" w:type="dxa"/>
            <w:gridSpan w:val="6"/>
            <w:vAlign w:val="center"/>
          </w:tcPr>
          <w:p w14:paraId="3A73BC44">
            <w:pPr>
              <w:pStyle w:val="13"/>
            </w:pPr>
            <w:r>
              <w:t>1.项目需资金2.13万元，资金拨付率达到100%。</w:t>
            </w:r>
          </w:p>
          <w:p w14:paraId="46072966">
            <w:pPr>
              <w:pStyle w:val="13"/>
            </w:pPr>
            <w:r>
              <w:t>2.改善就学条件，提升学校形象，保障义务教育阶段教学安全，改善师生教学环境，创造良好的校园环境。</w:t>
            </w:r>
          </w:p>
          <w:p w14:paraId="2D5786A3">
            <w:pPr>
              <w:pStyle w:val="13"/>
            </w:pPr>
          </w:p>
        </w:tc>
      </w:tr>
    </w:tbl>
    <w:p w14:paraId="0C612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47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E59CD">
            <w:pPr>
              <w:pStyle w:val="11"/>
            </w:pPr>
            <w:r>
              <w:t>一级指标</w:t>
            </w:r>
          </w:p>
        </w:tc>
        <w:tc>
          <w:tcPr>
            <w:tcW w:w="2268" w:type="dxa"/>
            <w:vAlign w:val="center"/>
          </w:tcPr>
          <w:p w14:paraId="43D8F466">
            <w:pPr>
              <w:pStyle w:val="11"/>
            </w:pPr>
            <w:r>
              <w:t>二级指标</w:t>
            </w:r>
          </w:p>
        </w:tc>
        <w:tc>
          <w:tcPr>
            <w:tcW w:w="2835" w:type="dxa"/>
            <w:vAlign w:val="center"/>
          </w:tcPr>
          <w:p w14:paraId="4B3EA44D">
            <w:pPr>
              <w:pStyle w:val="11"/>
            </w:pPr>
            <w:r>
              <w:t>三级指标</w:t>
            </w:r>
          </w:p>
        </w:tc>
        <w:tc>
          <w:tcPr>
            <w:tcW w:w="5386" w:type="dxa"/>
            <w:vAlign w:val="center"/>
          </w:tcPr>
          <w:p w14:paraId="77F645D3">
            <w:pPr>
              <w:pStyle w:val="11"/>
            </w:pPr>
            <w:r>
              <w:t>绩效指标描述</w:t>
            </w:r>
          </w:p>
        </w:tc>
        <w:tc>
          <w:tcPr>
            <w:tcW w:w="2268" w:type="dxa"/>
            <w:vAlign w:val="center"/>
          </w:tcPr>
          <w:p w14:paraId="01722AFC">
            <w:pPr>
              <w:pStyle w:val="11"/>
            </w:pPr>
            <w:r>
              <w:t>指标值</w:t>
            </w:r>
          </w:p>
        </w:tc>
        <w:tc>
          <w:tcPr>
            <w:tcW w:w="1276" w:type="dxa"/>
            <w:vAlign w:val="center"/>
          </w:tcPr>
          <w:p w14:paraId="7AD6E479">
            <w:pPr>
              <w:pStyle w:val="11"/>
            </w:pPr>
            <w:r>
              <w:t>指标值确定依据</w:t>
            </w:r>
          </w:p>
        </w:tc>
      </w:tr>
      <w:tr w14:paraId="25DD8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575C9">
            <w:pPr>
              <w:pStyle w:val="12"/>
            </w:pPr>
            <w:r>
              <w:t>产出指标</w:t>
            </w:r>
          </w:p>
        </w:tc>
        <w:tc>
          <w:tcPr>
            <w:tcW w:w="2268" w:type="dxa"/>
            <w:vAlign w:val="center"/>
          </w:tcPr>
          <w:p w14:paraId="5E991B37">
            <w:pPr>
              <w:pStyle w:val="13"/>
            </w:pPr>
            <w:r>
              <w:t>数量指标</w:t>
            </w:r>
          </w:p>
        </w:tc>
        <w:tc>
          <w:tcPr>
            <w:tcW w:w="2835" w:type="dxa"/>
            <w:vAlign w:val="center"/>
          </w:tcPr>
          <w:p w14:paraId="3E3A4A94">
            <w:pPr>
              <w:pStyle w:val="13"/>
            </w:pPr>
            <w:r>
              <w:t>视频会议系统</w:t>
            </w:r>
          </w:p>
        </w:tc>
        <w:tc>
          <w:tcPr>
            <w:tcW w:w="5386" w:type="dxa"/>
            <w:vAlign w:val="center"/>
          </w:tcPr>
          <w:p w14:paraId="4F0B9672">
            <w:pPr>
              <w:pStyle w:val="13"/>
            </w:pPr>
            <w:r>
              <w:t>视频会议系统套数</w:t>
            </w:r>
          </w:p>
        </w:tc>
        <w:tc>
          <w:tcPr>
            <w:tcW w:w="2268" w:type="dxa"/>
            <w:vAlign w:val="center"/>
          </w:tcPr>
          <w:p w14:paraId="6BECE78E">
            <w:pPr>
              <w:pStyle w:val="13"/>
            </w:pPr>
            <w:r>
              <w:t>1套</w:t>
            </w:r>
          </w:p>
        </w:tc>
        <w:tc>
          <w:tcPr>
            <w:tcW w:w="1276" w:type="dxa"/>
            <w:vAlign w:val="center"/>
          </w:tcPr>
          <w:p w14:paraId="10B2903A">
            <w:pPr>
              <w:pStyle w:val="13"/>
            </w:pPr>
            <w:r>
              <w:t>城乡义务教育公共经费</w:t>
            </w:r>
          </w:p>
        </w:tc>
      </w:tr>
      <w:tr w14:paraId="2CEC9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81DD7"/>
        </w:tc>
        <w:tc>
          <w:tcPr>
            <w:tcW w:w="2268" w:type="dxa"/>
            <w:vAlign w:val="center"/>
          </w:tcPr>
          <w:p w14:paraId="69D40759">
            <w:pPr>
              <w:pStyle w:val="13"/>
            </w:pPr>
            <w:r>
              <w:t>质量指标</w:t>
            </w:r>
          </w:p>
        </w:tc>
        <w:tc>
          <w:tcPr>
            <w:tcW w:w="2835" w:type="dxa"/>
            <w:vAlign w:val="center"/>
          </w:tcPr>
          <w:p w14:paraId="6F08E091">
            <w:pPr>
              <w:pStyle w:val="13"/>
            </w:pPr>
            <w:r>
              <w:t>设备合格率</w:t>
            </w:r>
          </w:p>
        </w:tc>
        <w:tc>
          <w:tcPr>
            <w:tcW w:w="5386" w:type="dxa"/>
            <w:vAlign w:val="center"/>
          </w:tcPr>
          <w:p w14:paraId="59032CA0">
            <w:pPr>
              <w:pStyle w:val="13"/>
            </w:pPr>
            <w:r>
              <w:t>设备合格率</w:t>
            </w:r>
          </w:p>
        </w:tc>
        <w:tc>
          <w:tcPr>
            <w:tcW w:w="2268" w:type="dxa"/>
            <w:vAlign w:val="center"/>
          </w:tcPr>
          <w:p w14:paraId="353257BE">
            <w:pPr>
              <w:pStyle w:val="13"/>
            </w:pPr>
            <w:r>
              <w:t>100%</w:t>
            </w:r>
          </w:p>
        </w:tc>
        <w:tc>
          <w:tcPr>
            <w:tcW w:w="1276" w:type="dxa"/>
            <w:vAlign w:val="center"/>
          </w:tcPr>
          <w:p w14:paraId="160D5E60">
            <w:pPr>
              <w:pStyle w:val="13"/>
            </w:pPr>
            <w:r>
              <w:t>城乡义务教育公共经费</w:t>
            </w:r>
          </w:p>
        </w:tc>
      </w:tr>
      <w:tr w14:paraId="77777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F8E03"/>
        </w:tc>
        <w:tc>
          <w:tcPr>
            <w:tcW w:w="2268" w:type="dxa"/>
            <w:vAlign w:val="center"/>
          </w:tcPr>
          <w:p w14:paraId="349551B4">
            <w:pPr>
              <w:pStyle w:val="13"/>
            </w:pPr>
            <w:r>
              <w:t>时效指标</w:t>
            </w:r>
          </w:p>
        </w:tc>
        <w:tc>
          <w:tcPr>
            <w:tcW w:w="2835" w:type="dxa"/>
            <w:vAlign w:val="center"/>
          </w:tcPr>
          <w:p w14:paraId="3DA097F5">
            <w:pPr>
              <w:pStyle w:val="13"/>
            </w:pPr>
            <w:r>
              <w:t>资金支付率</w:t>
            </w:r>
          </w:p>
        </w:tc>
        <w:tc>
          <w:tcPr>
            <w:tcW w:w="5386" w:type="dxa"/>
            <w:vAlign w:val="center"/>
          </w:tcPr>
          <w:p w14:paraId="691B8B22">
            <w:pPr>
              <w:pStyle w:val="13"/>
            </w:pPr>
            <w:r>
              <w:t>按照序时进度完成资金支付</w:t>
            </w:r>
          </w:p>
        </w:tc>
        <w:tc>
          <w:tcPr>
            <w:tcW w:w="2268" w:type="dxa"/>
            <w:vAlign w:val="center"/>
          </w:tcPr>
          <w:p w14:paraId="42F79BC5">
            <w:pPr>
              <w:pStyle w:val="13"/>
            </w:pPr>
            <w:r>
              <w:t>100%</w:t>
            </w:r>
          </w:p>
        </w:tc>
        <w:tc>
          <w:tcPr>
            <w:tcW w:w="1276" w:type="dxa"/>
            <w:vAlign w:val="center"/>
          </w:tcPr>
          <w:p w14:paraId="25C69260">
            <w:pPr>
              <w:pStyle w:val="13"/>
            </w:pPr>
            <w:r>
              <w:t>城乡义务教育公共经费</w:t>
            </w:r>
          </w:p>
        </w:tc>
      </w:tr>
      <w:tr w14:paraId="2FBCB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57E83"/>
        </w:tc>
        <w:tc>
          <w:tcPr>
            <w:tcW w:w="2268" w:type="dxa"/>
            <w:vAlign w:val="center"/>
          </w:tcPr>
          <w:p w14:paraId="763807C5">
            <w:pPr>
              <w:pStyle w:val="13"/>
            </w:pPr>
            <w:r>
              <w:t>成本指标</w:t>
            </w:r>
          </w:p>
        </w:tc>
        <w:tc>
          <w:tcPr>
            <w:tcW w:w="2835" w:type="dxa"/>
            <w:vAlign w:val="center"/>
          </w:tcPr>
          <w:p w14:paraId="4DDAD17B">
            <w:pPr>
              <w:pStyle w:val="13"/>
            </w:pPr>
            <w:r>
              <w:t>项目成本控制情况</w:t>
            </w:r>
          </w:p>
        </w:tc>
        <w:tc>
          <w:tcPr>
            <w:tcW w:w="5386" w:type="dxa"/>
            <w:vAlign w:val="center"/>
          </w:tcPr>
          <w:p w14:paraId="4365F1C2">
            <w:pPr>
              <w:pStyle w:val="13"/>
            </w:pPr>
            <w:r>
              <w:t>严格按照招标价格及审计额进行</w:t>
            </w:r>
          </w:p>
        </w:tc>
        <w:tc>
          <w:tcPr>
            <w:tcW w:w="2268" w:type="dxa"/>
            <w:vAlign w:val="center"/>
          </w:tcPr>
          <w:p w14:paraId="2211B826">
            <w:pPr>
              <w:pStyle w:val="13"/>
            </w:pPr>
            <w:r>
              <w:t>≤2.13万元</w:t>
            </w:r>
          </w:p>
        </w:tc>
        <w:tc>
          <w:tcPr>
            <w:tcW w:w="1276" w:type="dxa"/>
            <w:vAlign w:val="center"/>
          </w:tcPr>
          <w:p w14:paraId="14F97DD3">
            <w:pPr>
              <w:pStyle w:val="13"/>
            </w:pPr>
            <w:r>
              <w:t>城乡义务教育公共经费</w:t>
            </w:r>
          </w:p>
        </w:tc>
      </w:tr>
      <w:tr w14:paraId="0035C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4AC2A7">
            <w:pPr>
              <w:pStyle w:val="12"/>
            </w:pPr>
            <w:r>
              <w:t>效益指标</w:t>
            </w:r>
          </w:p>
        </w:tc>
        <w:tc>
          <w:tcPr>
            <w:tcW w:w="2268" w:type="dxa"/>
            <w:vAlign w:val="center"/>
          </w:tcPr>
          <w:p w14:paraId="21A1FBC5">
            <w:pPr>
              <w:pStyle w:val="13"/>
            </w:pPr>
            <w:r>
              <w:t>可持续影响指标</w:t>
            </w:r>
          </w:p>
        </w:tc>
        <w:tc>
          <w:tcPr>
            <w:tcW w:w="2835" w:type="dxa"/>
            <w:vAlign w:val="center"/>
          </w:tcPr>
          <w:p w14:paraId="1845F8A9">
            <w:pPr>
              <w:pStyle w:val="13"/>
            </w:pPr>
            <w:r>
              <w:t>学校运转得到提高</w:t>
            </w:r>
          </w:p>
        </w:tc>
        <w:tc>
          <w:tcPr>
            <w:tcW w:w="5386" w:type="dxa"/>
            <w:vAlign w:val="center"/>
          </w:tcPr>
          <w:p w14:paraId="71B8C810">
            <w:pPr>
              <w:pStyle w:val="13"/>
            </w:pPr>
            <w:r>
              <w:t>学生受教育年限</w:t>
            </w:r>
          </w:p>
        </w:tc>
        <w:tc>
          <w:tcPr>
            <w:tcW w:w="2268" w:type="dxa"/>
            <w:vAlign w:val="center"/>
          </w:tcPr>
          <w:p w14:paraId="08AE2E16">
            <w:pPr>
              <w:pStyle w:val="13"/>
            </w:pPr>
            <w:r>
              <w:t>3年</w:t>
            </w:r>
          </w:p>
        </w:tc>
        <w:tc>
          <w:tcPr>
            <w:tcW w:w="1276" w:type="dxa"/>
            <w:vAlign w:val="center"/>
          </w:tcPr>
          <w:p w14:paraId="58113BA7">
            <w:pPr>
              <w:pStyle w:val="13"/>
            </w:pPr>
            <w:r>
              <w:t>城乡义务教育公共经费</w:t>
            </w:r>
          </w:p>
        </w:tc>
      </w:tr>
      <w:tr w14:paraId="23939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6E1C5A">
            <w:pPr>
              <w:pStyle w:val="12"/>
            </w:pPr>
            <w:r>
              <w:t>满意度指标</w:t>
            </w:r>
          </w:p>
        </w:tc>
        <w:tc>
          <w:tcPr>
            <w:tcW w:w="2268" w:type="dxa"/>
            <w:vAlign w:val="center"/>
          </w:tcPr>
          <w:p w14:paraId="2396B90E">
            <w:pPr>
              <w:pStyle w:val="13"/>
            </w:pPr>
            <w:r>
              <w:t>服务对象满意度指标</w:t>
            </w:r>
          </w:p>
        </w:tc>
        <w:tc>
          <w:tcPr>
            <w:tcW w:w="2835" w:type="dxa"/>
            <w:vAlign w:val="center"/>
          </w:tcPr>
          <w:p w14:paraId="4EA102FD">
            <w:pPr>
              <w:pStyle w:val="13"/>
            </w:pPr>
            <w:r>
              <w:t>受益学生家长及调查满意度</w:t>
            </w:r>
          </w:p>
        </w:tc>
        <w:tc>
          <w:tcPr>
            <w:tcW w:w="5386" w:type="dxa"/>
            <w:vAlign w:val="center"/>
          </w:tcPr>
          <w:p w14:paraId="09F2E990">
            <w:pPr>
              <w:pStyle w:val="13"/>
            </w:pPr>
            <w:r>
              <w:t>学生、教师及家长对学校教学环境满意度情况</w:t>
            </w:r>
          </w:p>
        </w:tc>
        <w:tc>
          <w:tcPr>
            <w:tcW w:w="2268" w:type="dxa"/>
            <w:vAlign w:val="center"/>
          </w:tcPr>
          <w:p w14:paraId="41FDF3FE">
            <w:pPr>
              <w:pStyle w:val="13"/>
            </w:pPr>
            <w:r>
              <w:t>≥98%</w:t>
            </w:r>
          </w:p>
        </w:tc>
        <w:tc>
          <w:tcPr>
            <w:tcW w:w="1276" w:type="dxa"/>
            <w:vAlign w:val="center"/>
          </w:tcPr>
          <w:p w14:paraId="5E35D436">
            <w:pPr>
              <w:pStyle w:val="13"/>
            </w:pPr>
            <w:r>
              <w:t>问卷调查</w:t>
            </w:r>
          </w:p>
        </w:tc>
      </w:tr>
    </w:tbl>
    <w:p w14:paraId="22CE524A">
      <w:pPr>
        <w:sectPr>
          <w:pgSz w:w="16840" w:h="11900" w:orient="landscape"/>
          <w:pgMar w:top="1361" w:right="1020" w:bottom="1134" w:left="1020" w:header="720" w:footer="720" w:gutter="0"/>
          <w:cols w:space="720" w:num="1"/>
        </w:sectPr>
      </w:pPr>
    </w:p>
    <w:p w14:paraId="14DD5643">
      <w:pPr>
        <w:spacing w:before="0" w:after="0"/>
        <w:ind w:firstLine="560"/>
        <w:jc w:val="left"/>
        <w:outlineLvl w:val="9"/>
      </w:pPr>
      <w:r>
        <w:rPr>
          <w:rFonts w:ascii="方正仿宋_GBK" w:hAnsi="方正仿宋_GBK" w:eastAsia="方正仿宋_GBK" w:cs="方正仿宋_GBK"/>
          <w:b/>
          <w:color w:val="000000"/>
          <w:sz w:val="28"/>
        </w:rPr>
        <w:t>5、冀财教[2024]141号/省级/2025年义教补助经费/莲子中学公用经费绩效目标表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E4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54032">
            <w:pPr>
              <w:pStyle w:val="14"/>
            </w:pPr>
            <w:r>
              <w:t>单位：万元</w:t>
            </w:r>
          </w:p>
        </w:tc>
      </w:tr>
      <w:tr w14:paraId="75269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A53807">
            <w:pPr>
              <w:pStyle w:val="11"/>
            </w:pPr>
            <w:r>
              <w:t>项目编码</w:t>
            </w:r>
          </w:p>
        </w:tc>
        <w:tc>
          <w:tcPr>
            <w:tcW w:w="5103" w:type="dxa"/>
            <w:gridSpan w:val="2"/>
            <w:vAlign w:val="center"/>
          </w:tcPr>
          <w:p w14:paraId="7571D2D5">
            <w:pPr>
              <w:pStyle w:val="13"/>
            </w:pPr>
            <w:r>
              <w:t>13052525P00000410129H</w:t>
            </w:r>
          </w:p>
        </w:tc>
        <w:tc>
          <w:tcPr>
            <w:tcW w:w="2835" w:type="dxa"/>
            <w:vAlign w:val="center"/>
          </w:tcPr>
          <w:p w14:paraId="4170F44C">
            <w:pPr>
              <w:pStyle w:val="11"/>
            </w:pPr>
            <w:r>
              <w:t>项目名称</w:t>
            </w:r>
          </w:p>
        </w:tc>
        <w:tc>
          <w:tcPr>
            <w:tcW w:w="6095" w:type="dxa"/>
            <w:gridSpan w:val="3"/>
            <w:vAlign w:val="center"/>
          </w:tcPr>
          <w:p w14:paraId="4D42D7A3">
            <w:pPr>
              <w:pStyle w:val="13"/>
            </w:pPr>
            <w:r>
              <w:t>冀财教[2024]141号/省级/2025年义教补助经费/莲子中学公用经费</w:t>
            </w:r>
          </w:p>
        </w:tc>
      </w:tr>
      <w:tr w14:paraId="38194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B9D2F">
            <w:pPr>
              <w:pStyle w:val="11"/>
            </w:pPr>
            <w:r>
              <w:t>预算规模及资金用途</w:t>
            </w:r>
          </w:p>
        </w:tc>
        <w:tc>
          <w:tcPr>
            <w:tcW w:w="2268" w:type="dxa"/>
            <w:vAlign w:val="center"/>
          </w:tcPr>
          <w:p w14:paraId="251B70A8">
            <w:pPr>
              <w:pStyle w:val="11"/>
            </w:pPr>
            <w:r>
              <w:t>预算数</w:t>
            </w:r>
          </w:p>
        </w:tc>
        <w:tc>
          <w:tcPr>
            <w:tcW w:w="2835" w:type="dxa"/>
            <w:vAlign w:val="center"/>
          </w:tcPr>
          <w:p w14:paraId="7009402A">
            <w:pPr>
              <w:pStyle w:val="13"/>
            </w:pPr>
            <w:r>
              <w:t>24.86</w:t>
            </w:r>
          </w:p>
        </w:tc>
        <w:tc>
          <w:tcPr>
            <w:tcW w:w="2835" w:type="dxa"/>
            <w:vAlign w:val="center"/>
          </w:tcPr>
          <w:p w14:paraId="4B0EF5E3">
            <w:pPr>
              <w:pStyle w:val="11"/>
            </w:pPr>
            <w:r>
              <w:t>其中：财政    资金</w:t>
            </w:r>
          </w:p>
        </w:tc>
        <w:tc>
          <w:tcPr>
            <w:tcW w:w="2551" w:type="dxa"/>
            <w:vAlign w:val="center"/>
          </w:tcPr>
          <w:p w14:paraId="4C36AF20">
            <w:pPr>
              <w:pStyle w:val="13"/>
            </w:pPr>
            <w:r>
              <w:t>24.86</w:t>
            </w:r>
          </w:p>
        </w:tc>
        <w:tc>
          <w:tcPr>
            <w:tcW w:w="2268" w:type="dxa"/>
            <w:vAlign w:val="center"/>
          </w:tcPr>
          <w:p w14:paraId="10AE620D">
            <w:pPr>
              <w:pStyle w:val="11"/>
            </w:pPr>
            <w:r>
              <w:t>其他资金</w:t>
            </w:r>
          </w:p>
        </w:tc>
        <w:tc>
          <w:tcPr>
            <w:tcW w:w="1276" w:type="dxa"/>
            <w:vAlign w:val="center"/>
          </w:tcPr>
          <w:p w14:paraId="276CEC7A">
            <w:pPr>
              <w:pStyle w:val="13"/>
            </w:pPr>
            <w:r>
              <w:t xml:space="preserve"> </w:t>
            </w:r>
          </w:p>
        </w:tc>
      </w:tr>
      <w:tr w14:paraId="7AADE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33824"/>
        </w:tc>
        <w:tc>
          <w:tcPr>
            <w:tcW w:w="14033" w:type="dxa"/>
            <w:gridSpan w:val="6"/>
            <w:vAlign w:val="center"/>
          </w:tcPr>
          <w:p w14:paraId="77A53A29">
            <w:pPr>
              <w:pStyle w:val="13"/>
            </w:pPr>
            <w:r>
              <w:t>保障义务教育学校正常运转，全面贯彻党的教育方针，办人民满意的教育，高质量、高标准完成教育教学活动和其他日常工作任务等方面的费用支出。</w:t>
            </w:r>
            <w:r>
              <w:tab/>
            </w:r>
            <w:r>
              <w:tab/>
            </w:r>
            <w:r>
              <w:tab/>
            </w:r>
            <w:r>
              <w:tab/>
            </w:r>
            <w:r>
              <w:tab/>
            </w:r>
            <w:r>
              <w:tab/>
            </w:r>
          </w:p>
          <w:p w14:paraId="54C0693F">
            <w:pPr>
              <w:pStyle w:val="13"/>
            </w:pPr>
          </w:p>
        </w:tc>
      </w:tr>
      <w:tr w14:paraId="67BE0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F8A5C">
            <w:pPr>
              <w:pStyle w:val="11"/>
            </w:pPr>
            <w:r>
              <w:t>资金支出计划（%）</w:t>
            </w:r>
          </w:p>
        </w:tc>
        <w:tc>
          <w:tcPr>
            <w:tcW w:w="5103" w:type="dxa"/>
            <w:gridSpan w:val="2"/>
            <w:vAlign w:val="center"/>
          </w:tcPr>
          <w:p w14:paraId="2B595D5A">
            <w:pPr>
              <w:pStyle w:val="11"/>
            </w:pPr>
            <w:r>
              <w:t>3月底</w:t>
            </w:r>
          </w:p>
        </w:tc>
        <w:tc>
          <w:tcPr>
            <w:tcW w:w="2835" w:type="dxa"/>
            <w:vAlign w:val="center"/>
          </w:tcPr>
          <w:p w14:paraId="6D9EBC10">
            <w:pPr>
              <w:pStyle w:val="11"/>
            </w:pPr>
            <w:r>
              <w:t>6月底</w:t>
            </w:r>
          </w:p>
        </w:tc>
        <w:tc>
          <w:tcPr>
            <w:tcW w:w="2551" w:type="dxa"/>
            <w:vAlign w:val="center"/>
          </w:tcPr>
          <w:p w14:paraId="5010AAD6">
            <w:pPr>
              <w:pStyle w:val="11"/>
            </w:pPr>
            <w:r>
              <w:t>10月底</w:t>
            </w:r>
          </w:p>
        </w:tc>
        <w:tc>
          <w:tcPr>
            <w:tcW w:w="3544" w:type="dxa"/>
            <w:gridSpan w:val="2"/>
            <w:vAlign w:val="center"/>
          </w:tcPr>
          <w:p w14:paraId="7778D2C7">
            <w:pPr>
              <w:pStyle w:val="11"/>
            </w:pPr>
            <w:r>
              <w:t>12月底</w:t>
            </w:r>
          </w:p>
        </w:tc>
      </w:tr>
      <w:tr w14:paraId="651A3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70967"/>
        </w:tc>
        <w:tc>
          <w:tcPr>
            <w:tcW w:w="5103" w:type="dxa"/>
            <w:gridSpan w:val="2"/>
            <w:vAlign w:val="center"/>
          </w:tcPr>
          <w:p w14:paraId="6079EEE4">
            <w:pPr>
              <w:pStyle w:val="12"/>
            </w:pPr>
            <w:r>
              <w:t>25%</w:t>
            </w:r>
          </w:p>
        </w:tc>
        <w:tc>
          <w:tcPr>
            <w:tcW w:w="2835" w:type="dxa"/>
            <w:vAlign w:val="center"/>
          </w:tcPr>
          <w:p w14:paraId="3DEA0C22">
            <w:pPr>
              <w:pStyle w:val="12"/>
            </w:pPr>
            <w:r>
              <w:t>50%</w:t>
            </w:r>
          </w:p>
        </w:tc>
        <w:tc>
          <w:tcPr>
            <w:tcW w:w="2551" w:type="dxa"/>
            <w:vAlign w:val="center"/>
          </w:tcPr>
          <w:p w14:paraId="54992126">
            <w:pPr>
              <w:pStyle w:val="12"/>
            </w:pPr>
            <w:r>
              <w:t>75%</w:t>
            </w:r>
          </w:p>
        </w:tc>
        <w:tc>
          <w:tcPr>
            <w:tcW w:w="3544" w:type="dxa"/>
            <w:gridSpan w:val="2"/>
            <w:vAlign w:val="center"/>
          </w:tcPr>
          <w:p w14:paraId="6E56F5CD">
            <w:pPr>
              <w:pStyle w:val="12"/>
            </w:pPr>
            <w:r>
              <w:t>100%</w:t>
            </w:r>
          </w:p>
        </w:tc>
      </w:tr>
      <w:tr w14:paraId="0474E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7E58EF">
            <w:pPr>
              <w:pStyle w:val="11"/>
            </w:pPr>
            <w:r>
              <w:t>绩效目标</w:t>
            </w:r>
          </w:p>
        </w:tc>
        <w:tc>
          <w:tcPr>
            <w:tcW w:w="14033" w:type="dxa"/>
            <w:gridSpan w:val="6"/>
            <w:vAlign w:val="center"/>
          </w:tcPr>
          <w:p w14:paraId="6EF6BC15">
            <w:pPr>
              <w:pStyle w:val="13"/>
            </w:pPr>
            <w:r>
              <w:t>1.保障我校正常运转，完成教育教学活动和其他日常工作任务等方面的费用支出。</w:t>
            </w:r>
            <w:r>
              <w:tab/>
            </w:r>
          </w:p>
          <w:p w14:paraId="3FB9E144">
            <w:pPr>
              <w:pStyle w:val="13"/>
            </w:pPr>
            <w:r>
              <w:t>2.按规定拨付我校公用经费资金248550元，资金拨付率达到100%。</w:t>
            </w:r>
          </w:p>
        </w:tc>
      </w:tr>
    </w:tbl>
    <w:p w14:paraId="4407D8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58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473CD">
            <w:pPr>
              <w:pStyle w:val="11"/>
            </w:pPr>
            <w:r>
              <w:t>一级指标</w:t>
            </w:r>
          </w:p>
        </w:tc>
        <w:tc>
          <w:tcPr>
            <w:tcW w:w="2268" w:type="dxa"/>
            <w:vAlign w:val="center"/>
          </w:tcPr>
          <w:p w14:paraId="30A01C54">
            <w:pPr>
              <w:pStyle w:val="11"/>
            </w:pPr>
            <w:r>
              <w:t>二级指标</w:t>
            </w:r>
          </w:p>
        </w:tc>
        <w:tc>
          <w:tcPr>
            <w:tcW w:w="2835" w:type="dxa"/>
            <w:vAlign w:val="center"/>
          </w:tcPr>
          <w:p w14:paraId="1FC47AFB">
            <w:pPr>
              <w:pStyle w:val="11"/>
            </w:pPr>
            <w:r>
              <w:t>三级指标</w:t>
            </w:r>
          </w:p>
        </w:tc>
        <w:tc>
          <w:tcPr>
            <w:tcW w:w="5386" w:type="dxa"/>
            <w:vAlign w:val="center"/>
          </w:tcPr>
          <w:p w14:paraId="63011FBC">
            <w:pPr>
              <w:pStyle w:val="11"/>
            </w:pPr>
            <w:r>
              <w:t>绩效指标描述</w:t>
            </w:r>
          </w:p>
        </w:tc>
        <w:tc>
          <w:tcPr>
            <w:tcW w:w="2268" w:type="dxa"/>
            <w:vAlign w:val="center"/>
          </w:tcPr>
          <w:p w14:paraId="6821E0D3">
            <w:pPr>
              <w:pStyle w:val="11"/>
            </w:pPr>
            <w:r>
              <w:t>指标值</w:t>
            </w:r>
          </w:p>
        </w:tc>
        <w:tc>
          <w:tcPr>
            <w:tcW w:w="1276" w:type="dxa"/>
            <w:vAlign w:val="center"/>
          </w:tcPr>
          <w:p w14:paraId="58FAE836">
            <w:pPr>
              <w:pStyle w:val="11"/>
            </w:pPr>
            <w:r>
              <w:t>指标值确定依据</w:t>
            </w:r>
          </w:p>
        </w:tc>
      </w:tr>
      <w:tr w14:paraId="44CCC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C85A4">
            <w:pPr>
              <w:pStyle w:val="12"/>
            </w:pPr>
            <w:r>
              <w:t>产出指标</w:t>
            </w:r>
          </w:p>
        </w:tc>
        <w:tc>
          <w:tcPr>
            <w:tcW w:w="2268" w:type="dxa"/>
            <w:vAlign w:val="center"/>
          </w:tcPr>
          <w:p w14:paraId="4A704AB1">
            <w:pPr>
              <w:pStyle w:val="13"/>
            </w:pPr>
            <w:r>
              <w:t>数量指标</w:t>
            </w:r>
          </w:p>
        </w:tc>
        <w:tc>
          <w:tcPr>
            <w:tcW w:w="2835" w:type="dxa"/>
            <w:vAlign w:val="center"/>
          </w:tcPr>
          <w:p w14:paraId="0FF4CF28">
            <w:pPr>
              <w:pStyle w:val="13"/>
            </w:pPr>
            <w:r>
              <w:t>适龄在校生</w:t>
            </w:r>
          </w:p>
        </w:tc>
        <w:tc>
          <w:tcPr>
            <w:tcW w:w="5386" w:type="dxa"/>
            <w:vAlign w:val="center"/>
          </w:tcPr>
          <w:p w14:paraId="512E8CE6">
            <w:pPr>
              <w:pStyle w:val="13"/>
            </w:pPr>
            <w:r>
              <w:t>适龄在校就读学生人数</w:t>
            </w:r>
          </w:p>
        </w:tc>
        <w:tc>
          <w:tcPr>
            <w:tcW w:w="2268" w:type="dxa"/>
            <w:vAlign w:val="center"/>
          </w:tcPr>
          <w:p w14:paraId="74A344E9">
            <w:pPr>
              <w:pStyle w:val="13"/>
            </w:pPr>
            <w:r>
              <w:t>571人</w:t>
            </w:r>
          </w:p>
        </w:tc>
        <w:tc>
          <w:tcPr>
            <w:tcW w:w="1276" w:type="dxa"/>
            <w:vAlign w:val="center"/>
          </w:tcPr>
          <w:p w14:paraId="60B7B9D2">
            <w:pPr>
              <w:pStyle w:val="13"/>
            </w:pPr>
            <w:r>
              <w:t>城乡义务教育公用经费管理办法</w:t>
            </w:r>
          </w:p>
        </w:tc>
      </w:tr>
      <w:tr w14:paraId="5693F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7C8D6"/>
        </w:tc>
        <w:tc>
          <w:tcPr>
            <w:tcW w:w="2268" w:type="dxa"/>
            <w:vAlign w:val="center"/>
          </w:tcPr>
          <w:p w14:paraId="18D002B8">
            <w:pPr>
              <w:pStyle w:val="13"/>
            </w:pPr>
            <w:r>
              <w:t>质量指标</w:t>
            </w:r>
          </w:p>
        </w:tc>
        <w:tc>
          <w:tcPr>
            <w:tcW w:w="2835" w:type="dxa"/>
            <w:vAlign w:val="center"/>
          </w:tcPr>
          <w:p w14:paraId="7CC1ADFD">
            <w:pPr>
              <w:pStyle w:val="13"/>
            </w:pPr>
            <w:r>
              <w:t>预算执行率</w:t>
            </w:r>
          </w:p>
        </w:tc>
        <w:tc>
          <w:tcPr>
            <w:tcW w:w="5386" w:type="dxa"/>
            <w:vAlign w:val="center"/>
          </w:tcPr>
          <w:p w14:paraId="7F10252E">
            <w:pPr>
              <w:pStyle w:val="13"/>
            </w:pPr>
            <w:r>
              <w:t>预算执行率</w:t>
            </w:r>
          </w:p>
        </w:tc>
        <w:tc>
          <w:tcPr>
            <w:tcW w:w="2268" w:type="dxa"/>
            <w:vAlign w:val="center"/>
          </w:tcPr>
          <w:p w14:paraId="24DF8E54">
            <w:pPr>
              <w:pStyle w:val="13"/>
            </w:pPr>
            <w:r>
              <w:t>≥98%</w:t>
            </w:r>
          </w:p>
        </w:tc>
        <w:tc>
          <w:tcPr>
            <w:tcW w:w="1276" w:type="dxa"/>
            <w:vAlign w:val="center"/>
          </w:tcPr>
          <w:p w14:paraId="57EA3538">
            <w:pPr>
              <w:pStyle w:val="13"/>
            </w:pPr>
            <w:r>
              <w:t>城乡义务教育公用经费管理办法</w:t>
            </w:r>
          </w:p>
        </w:tc>
      </w:tr>
      <w:tr w14:paraId="36267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5CF0E"/>
        </w:tc>
        <w:tc>
          <w:tcPr>
            <w:tcW w:w="2268" w:type="dxa"/>
            <w:vAlign w:val="center"/>
          </w:tcPr>
          <w:p w14:paraId="37D2DFAA">
            <w:pPr>
              <w:pStyle w:val="13"/>
            </w:pPr>
            <w:r>
              <w:t>时效指标</w:t>
            </w:r>
          </w:p>
        </w:tc>
        <w:tc>
          <w:tcPr>
            <w:tcW w:w="2835" w:type="dxa"/>
            <w:vAlign w:val="center"/>
          </w:tcPr>
          <w:p w14:paraId="06E8D23E">
            <w:pPr>
              <w:pStyle w:val="13"/>
            </w:pPr>
            <w:r>
              <w:t>资金支付率</w:t>
            </w:r>
          </w:p>
        </w:tc>
        <w:tc>
          <w:tcPr>
            <w:tcW w:w="5386" w:type="dxa"/>
            <w:vAlign w:val="center"/>
          </w:tcPr>
          <w:p w14:paraId="2C1B1CC3">
            <w:pPr>
              <w:pStyle w:val="13"/>
            </w:pPr>
            <w:r>
              <w:t>按照序时进度完成资金支付</w:t>
            </w:r>
          </w:p>
        </w:tc>
        <w:tc>
          <w:tcPr>
            <w:tcW w:w="2268" w:type="dxa"/>
            <w:vAlign w:val="center"/>
          </w:tcPr>
          <w:p w14:paraId="6A8EFF82">
            <w:pPr>
              <w:pStyle w:val="13"/>
            </w:pPr>
            <w:r>
              <w:t>100%</w:t>
            </w:r>
          </w:p>
        </w:tc>
        <w:tc>
          <w:tcPr>
            <w:tcW w:w="1276" w:type="dxa"/>
            <w:vAlign w:val="center"/>
          </w:tcPr>
          <w:p w14:paraId="66A110CE">
            <w:pPr>
              <w:pStyle w:val="13"/>
            </w:pPr>
            <w:r>
              <w:t>城乡义务教育公用经费管理办法</w:t>
            </w:r>
          </w:p>
        </w:tc>
      </w:tr>
      <w:tr w14:paraId="1CB8C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80211"/>
        </w:tc>
        <w:tc>
          <w:tcPr>
            <w:tcW w:w="2268" w:type="dxa"/>
            <w:vAlign w:val="center"/>
          </w:tcPr>
          <w:p w14:paraId="57E802AD">
            <w:pPr>
              <w:pStyle w:val="13"/>
            </w:pPr>
            <w:r>
              <w:t>成本指标</w:t>
            </w:r>
          </w:p>
        </w:tc>
        <w:tc>
          <w:tcPr>
            <w:tcW w:w="2835" w:type="dxa"/>
            <w:vAlign w:val="center"/>
          </w:tcPr>
          <w:p w14:paraId="50F8F0C8">
            <w:pPr>
              <w:pStyle w:val="13"/>
            </w:pPr>
            <w:r>
              <w:t>生均拨款标准</w:t>
            </w:r>
          </w:p>
        </w:tc>
        <w:tc>
          <w:tcPr>
            <w:tcW w:w="5386" w:type="dxa"/>
            <w:vAlign w:val="center"/>
          </w:tcPr>
          <w:p w14:paraId="4B50882A">
            <w:pPr>
              <w:pStyle w:val="13"/>
            </w:pPr>
            <w:r>
              <w:t>基本标准940元、寄宿生300元、取暖补助120元）/生/学年；随班就读学生：标准7000元/生/学年。</w:t>
            </w:r>
          </w:p>
        </w:tc>
        <w:tc>
          <w:tcPr>
            <w:tcW w:w="2268" w:type="dxa"/>
            <w:vAlign w:val="center"/>
          </w:tcPr>
          <w:p w14:paraId="7024CE28">
            <w:pPr>
              <w:pStyle w:val="13"/>
            </w:pPr>
            <w:r>
              <w:t>1360元</w:t>
            </w:r>
          </w:p>
        </w:tc>
        <w:tc>
          <w:tcPr>
            <w:tcW w:w="1276" w:type="dxa"/>
            <w:vAlign w:val="center"/>
          </w:tcPr>
          <w:p w14:paraId="10A17247">
            <w:pPr>
              <w:pStyle w:val="13"/>
            </w:pPr>
            <w:r>
              <w:t>城乡义务教育公用经费管理办法</w:t>
            </w:r>
          </w:p>
        </w:tc>
      </w:tr>
      <w:tr w14:paraId="68E8E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AB1E49">
            <w:pPr>
              <w:pStyle w:val="12"/>
            </w:pPr>
            <w:r>
              <w:t>效益指标</w:t>
            </w:r>
          </w:p>
        </w:tc>
        <w:tc>
          <w:tcPr>
            <w:tcW w:w="2268" w:type="dxa"/>
            <w:vAlign w:val="center"/>
          </w:tcPr>
          <w:p w14:paraId="5764D8C3">
            <w:pPr>
              <w:pStyle w:val="13"/>
            </w:pPr>
            <w:r>
              <w:t>可持续影响指标</w:t>
            </w:r>
          </w:p>
        </w:tc>
        <w:tc>
          <w:tcPr>
            <w:tcW w:w="2835" w:type="dxa"/>
            <w:vAlign w:val="center"/>
          </w:tcPr>
          <w:p w14:paraId="09F2E46F">
            <w:pPr>
              <w:pStyle w:val="13"/>
            </w:pPr>
            <w:r>
              <w:t>学校运转得到提高</w:t>
            </w:r>
          </w:p>
        </w:tc>
        <w:tc>
          <w:tcPr>
            <w:tcW w:w="5386" w:type="dxa"/>
            <w:vAlign w:val="center"/>
          </w:tcPr>
          <w:p w14:paraId="64A0308A">
            <w:pPr>
              <w:pStyle w:val="13"/>
            </w:pPr>
            <w:r>
              <w:t>学生受教育年限</w:t>
            </w:r>
          </w:p>
        </w:tc>
        <w:tc>
          <w:tcPr>
            <w:tcW w:w="2268" w:type="dxa"/>
            <w:vAlign w:val="center"/>
          </w:tcPr>
          <w:p w14:paraId="33096828">
            <w:pPr>
              <w:pStyle w:val="13"/>
            </w:pPr>
            <w:r>
              <w:t>3年</w:t>
            </w:r>
          </w:p>
        </w:tc>
        <w:tc>
          <w:tcPr>
            <w:tcW w:w="1276" w:type="dxa"/>
            <w:vAlign w:val="center"/>
          </w:tcPr>
          <w:p w14:paraId="7094A8B7">
            <w:pPr>
              <w:pStyle w:val="13"/>
            </w:pPr>
            <w:r>
              <w:t>城乡义务教育公用经费管理办法</w:t>
            </w:r>
          </w:p>
        </w:tc>
      </w:tr>
      <w:tr w14:paraId="2E5B7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BB303E">
            <w:pPr>
              <w:pStyle w:val="12"/>
            </w:pPr>
            <w:r>
              <w:t>满意度指标</w:t>
            </w:r>
          </w:p>
        </w:tc>
        <w:tc>
          <w:tcPr>
            <w:tcW w:w="2268" w:type="dxa"/>
            <w:vAlign w:val="center"/>
          </w:tcPr>
          <w:p w14:paraId="2F85CF8F">
            <w:pPr>
              <w:pStyle w:val="13"/>
            </w:pPr>
            <w:r>
              <w:t>服务对象满意度指标</w:t>
            </w:r>
          </w:p>
        </w:tc>
        <w:tc>
          <w:tcPr>
            <w:tcW w:w="2835" w:type="dxa"/>
            <w:vAlign w:val="center"/>
          </w:tcPr>
          <w:p w14:paraId="6D8231FB">
            <w:pPr>
              <w:pStyle w:val="13"/>
            </w:pPr>
            <w:r>
              <w:t>受益学生家长及调查满意度</w:t>
            </w:r>
          </w:p>
        </w:tc>
        <w:tc>
          <w:tcPr>
            <w:tcW w:w="5386" w:type="dxa"/>
            <w:vAlign w:val="center"/>
          </w:tcPr>
          <w:p w14:paraId="4686905F">
            <w:pPr>
              <w:pStyle w:val="13"/>
            </w:pPr>
            <w:r>
              <w:t>学生、教师及家长满意度情况</w:t>
            </w:r>
          </w:p>
        </w:tc>
        <w:tc>
          <w:tcPr>
            <w:tcW w:w="2268" w:type="dxa"/>
            <w:vAlign w:val="center"/>
          </w:tcPr>
          <w:p w14:paraId="33880900">
            <w:pPr>
              <w:pStyle w:val="13"/>
            </w:pPr>
            <w:r>
              <w:t>≥95%</w:t>
            </w:r>
          </w:p>
        </w:tc>
        <w:tc>
          <w:tcPr>
            <w:tcW w:w="1276" w:type="dxa"/>
            <w:vAlign w:val="center"/>
          </w:tcPr>
          <w:p w14:paraId="50173E57">
            <w:pPr>
              <w:pStyle w:val="13"/>
            </w:pPr>
            <w:r>
              <w:t>调查问卷</w:t>
            </w:r>
          </w:p>
        </w:tc>
      </w:tr>
    </w:tbl>
    <w:p w14:paraId="2A89FDCE">
      <w:pPr>
        <w:sectPr>
          <w:pgSz w:w="16840" w:h="11900" w:orient="landscape"/>
          <w:pgMar w:top="1361" w:right="1020" w:bottom="1134" w:left="1020" w:header="720" w:footer="720" w:gutter="0"/>
          <w:cols w:space="720" w:num="1"/>
        </w:sectPr>
      </w:pPr>
    </w:p>
    <w:p w14:paraId="36C725EC">
      <w:pPr>
        <w:spacing w:before="0" w:after="0"/>
        <w:ind w:firstLine="560"/>
        <w:jc w:val="left"/>
        <w:outlineLvl w:val="9"/>
      </w:pPr>
      <w:r>
        <w:rPr>
          <w:rFonts w:ascii="方正仿宋_GBK" w:hAnsi="方正仿宋_GBK" w:eastAsia="方正仿宋_GBK" w:cs="方正仿宋_GBK"/>
          <w:b/>
          <w:color w:val="000000"/>
          <w:sz w:val="28"/>
        </w:rPr>
        <w:t>6、冀财教[2024]141号/省级/2025年义教补助经费/校舍安全保障/莲子中学宿舍楼维修改造绩效目标表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78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2C3AE">
            <w:pPr>
              <w:pStyle w:val="14"/>
            </w:pPr>
            <w:r>
              <w:t>单位：万元</w:t>
            </w:r>
          </w:p>
        </w:tc>
      </w:tr>
      <w:tr w14:paraId="063AB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63D05">
            <w:pPr>
              <w:pStyle w:val="11"/>
            </w:pPr>
            <w:r>
              <w:t>项目编码</w:t>
            </w:r>
          </w:p>
        </w:tc>
        <w:tc>
          <w:tcPr>
            <w:tcW w:w="5103" w:type="dxa"/>
            <w:gridSpan w:val="2"/>
            <w:vAlign w:val="center"/>
          </w:tcPr>
          <w:p w14:paraId="5215DA12">
            <w:pPr>
              <w:pStyle w:val="13"/>
            </w:pPr>
            <w:r>
              <w:t>13052525P008762100293</w:t>
            </w:r>
          </w:p>
        </w:tc>
        <w:tc>
          <w:tcPr>
            <w:tcW w:w="2835" w:type="dxa"/>
            <w:vAlign w:val="center"/>
          </w:tcPr>
          <w:p w14:paraId="550B33FD">
            <w:pPr>
              <w:pStyle w:val="11"/>
            </w:pPr>
            <w:r>
              <w:t>项目名称</w:t>
            </w:r>
          </w:p>
        </w:tc>
        <w:tc>
          <w:tcPr>
            <w:tcW w:w="6095" w:type="dxa"/>
            <w:gridSpan w:val="3"/>
            <w:vAlign w:val="center"/>
          </w:tcPr>
          <w:p w14:paraId="023D7987">
            <w:pPr>
              <w:pStyle w:val="13"/>
            </w:pPr>
            <w:r>
              <w:t>冀财教[2024]141号/省级/2025年义教补助经费/校舍安全保障/莲子中学宿舍楼维修改造</w:t>
            </w:r>
          </w:p>
        </w:tc>
      </w:tr>
      <w:tr w14:paraId="07DCD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BDEA7">
            <w:pPr>
              <w:pStyle w:val="11"/>
            </w:pPr>
            <w:r>
              <w:t>预算规模及资金用途</w:t>
            </w:r>
          </w:p>
        </w:tc>
        <w:tc>
          <w:tcPr>
            <w:tcW w:w="2268" w:type="dxa"/>
            <w:vAlign w:val="center"/>
          </w:tcPr>
          <w:p w14:paraId="51AA375D">
            <w:pPr>
              <w:pStyle w:val="11"/>
            </w:pPr>
            <w:r>
              <w:t>预算数</w:t>
            </w:r>
          </w:p>
        </w:tc>
        <w:tc>
          <w:tcPr>
            <w:tcW w:w="2835" w:type="dxa"/>
            <w:vAlign w:val="center"/>
          </w:tcPr>
          <w:p w14:paraId="5B1F4C1C">
            <w:pPr>
              <w:pStyle w:val="13"/>
            </w:pPr>
            <w:r>
              <w:t>34.36</w:t>
            </w:r>
          </w:p>
        </w:tc>
        <w:tc>
          <w:tcPr>
            <w:tcW w:w="2835" w:type="dxa"/>
            <w:vAlign w:val="center"/>
          </w:tcPr>
          <w:p w14:paraId="7D436BE6">
            <w:pPr>
              <w:pStyle w:val="11"/>
            </w:pPr>
            <w:r>
              <w:t>其中：财政    资金</w:t>
            </w:r>
          </w:p>
        </w:tc>
        <w:tc>
          <w:tcPr>
            <w:tcW w:w="2551" w:type="dxa"/>
            <w:vAlign w:val="center"/>
          </w:tcPr>
          <w:p w14:paraId="57232A4F">
            <w:pPr>
              <w:pStyle w:val="13"/>
            </w:pPr>
            <w:r>
              <w:t>34.36</w:t>
            </w:r>
          </w:p>
        </w:tc>
        <w:tc>
          <w:tcPr>
            <w:tcW w:w="2268" w:type="dxa"/>
            <w:vAlign w:val="center"/>
          </w:tcPr>
          <w:p w14:paraId="1B864D4D">
            <w:pPr>
              <w:pStyle w:val="11"/>
            </w:pPr>
            <w:r>
              <w:t>其他资金</w:t>
            </w:r>
          </w:p>
        </w:tc>
        <w:tc>
          <w:tcPr>
            <w:tcW w:w="1276" w:type="dxa"/>
            <w:vAlign w:val="center"/>
          </w:tcPr>
          <w:p w14:paraId="09135A0D">
            <w:pPr>
              <w:pStyle w:val="13"/>
            </w:pPr>
            <w:r>
              <w:t xml:space="preserve"> </w:t>
            </w:r>
          </w:p>
        </w:tc>
      </w:tr>
      <w:tr w14:paraId="2793B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8945D4"/>
        </w:tc>
        <w:tc>
          <w:tcPr>
            <w:tcW w:w="14033" w:type="dxa"/>
            <w:gridSpan w:val="6"/>
            <w:vAlign w:val="center"/>
          </w:tcPr>
          <w:p w14:paraId="45144D8C">
            <w:pPr>
              <w:pStyle w:val="13"/>
            </w:pPr>
            <w:r>
              <w:t>维修改造学生宿舍楼</w:t>
            </w:r>
          </w:p>
        </w:tc>
      </w:tr>
      <w:tr w14:paraId="5E095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DC5E5">
            <w:pPr>
              <w:pStyle w:val="11"/>
            </w:pPr>
            <w:r>
              <w:t>资金支出计划（%）</w:t>
            </w:r>
          </w:p>
        </w:tc>
        <w:tc>
          <w:tcPr>
            <w:tcW w:w="5103" w:type="dxa"/>
            <w:gridSpan w:val="2"/>
            <w:vAlign w:val="center"/>
          </w:tcPr>
          <w:p w14:paraId="1F71FB31">
            <w:pPr>
              <w:pStyle w:val="11"/>
            </w:pPr>
            <w:r>
              <w:t>3月底</w:t>
            </w:r>
          </w:p>
        </w:tc>
        <w:tc>
          <w:tcPr>
            <w:tcW w:w="2835" w:type="dxa"/>
            <w:vAlign w:val="center"/>
          </w:tcPr>
          <w:p w14:paraId="76B039E3">
            <w:pPr>
              <w:pStyle w:val="11"/>
            </w:pPr>
            <w:r>
              <w:t>6月底</w:t>
            </w:r>
          </w:p>
        </w:tc>
        <w:tc>
          <w:tcPr>
            <w:tcW w:w="2551" w:type="dxa"/>
            <w:vAlign w:val="center"/>
          </w:tcPr>
          <w:p w14:paraId="3E8E4BAB">
            <w:pPr>
              <w:pStyle w:val="11"/>
            </w:pPr>
            <w:r>
              <w:t>10月底</w:t>
            </w:r>
          </w:p>
        </w:tc>
        <w:tc>
          <w:tcPr>
            <w:tcW w:w="3544" w:type="dxa"/>
            <w:gridSpan w:val="2"/>
            <w:vAlign w:val="center"/>
          </w:tcPr>
          <w:p w14:paraId="34CEDE51">
            <w:pPr>
              <w:pStyle w:val="11"/>
            </w:pPr>
            <w:r>
              <w:t>12月底</w:t>
            </w:r>
          </w:p>
        </w:tc>
      </w:tr>
      <w:tr w14:paraId="61795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3AAB9"/>
        </w:tc>
        <w:tc>
          <w:tcPr>
            <w:tcW w:w="5103" w:type="dxa"/>
            <w:gridSpan w:val="2"/>
            <w:vAlign w:val="center"/>
          </w:tcPr>
          <w:p w14:paraId="5B8116AE">
            <w:pPr>
              <w:pStyle w:val="12"/>
            </w:pPr>
            <w:r>
              <w:t>25%</w:t>
            </w:r>
          </w:p>
        </w:tc>
        <w:tc>
          <w:tcPr>
            <w:tcW w:w="2835" w:type="dxa"/>
            <w:vAlign w:val="center"/>
          </w:tcPr>
          <w:p w14:paraId="1BF12603">
            <w:pPr>
              <w:pStyle w:val="12"/>
            </w:pPr>
            <w:r>
              <w:t>50%</w:t>
            </w:r>
          </w:p>
        </w:tc>
        <w:tc>
          <w:tcPr>
            <w:tcW w:w="2551" w:type="dxa"/>
            <w:vAlign w:val="center"/>
          </w:tcPr>
          <w:p w14:paraId="642FBE46">
            <w:pPr>
              <w:pStyle w:val="12"/>
            </w:pPr>
            <w:r>
              <w:t>75%</w:t>
            </w:r>
          </w:p>
        </w:tc>
        <w:tc>
          <w:tcPr>
            <w:tcW w:w="3544" w:type="dxa"/>
            <w:gridSpan w:val="2"/>
            <w:vAlign w:val="center"/>
          </w:tcPr>
          <w:p w14:paraId="2A363872">
            <w:pPr>
              <w:pStyle w:val="12"/>
            </w:pPr>
            <w:r>
              <w:t>100%</w:t>
            </w:r>
          </w:p>
        </w:tc>
      </w:tr>
      <w:tr w14:paraId="3F44D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B797AA">
            <w:pPr>
              <w:pStyle w:val="11"/>
            </w:pPr>
            <w:r>
              <w:t>绩效目标</w:t>
            </w:r>
          </w:p>
        </w:tc>
        <w:tc>
          <w:tcPr>
            <w:tcW w:w="14033" w:type="dxa"/>
            <w:gridSpan w:val="6"/>
            <w:vAlign w:val="center"/>
          </w:tcPr>
          <w:p w14:paraId="66BD7066">
            <w:pPr>
              <w:pStyle w:val="13"/>
            </w:pPr>
            <w:r>
              <w:t>1.改善就学条件，提升学校形象，保障义务教育阶段教学安全，改善师生教学环境，创造良好的校园环境。</w:t>
            </w:r>
            <w:r>
              <w:tab/>
            </w:r>
            <w:r>
              <w:tab/>
            </w:r>
            <w:r>
              <w:tab/>
            </w:r>
          </w:p>
          <w:p w14:paraId="60D5800A">
            <w:pPr>
              <w:pStyle w:val="13"/>
            </w:pPr>
          </w:p>
          <w:p w14:paraId="77DB6755">
            <w:pPr>
              <w:pStyle w:val="13"/>
            </w:pPr>
            <w:r>
              <w:t>2.项目需资金34.36万元，资金拨付率达到100%。</w:t>
            </w:r>
          </w:p>
        </w:tc>
      </w:tr>
    </w:tbl>
    <w:p w14:paraId="4D322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F9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6912C">
            <w:pPr>
              <w:pStyle w:val="11"/>
            </w:pPr>
            <w:r>
              <w:t>一级指标</w:t>
            </w:r>
          </w:p>
        </w:tc>
        <w:tc>
          <w:tcPr>
            <w:tcW w:w="2268" w:type="dxa"/>
            <w:vAlign w:val="center"/>
          </w:tcPr>
          <w:p w14:paraId="0E70E0EC">
            <w:pPr>
              <w:pStyle w:val="11"/>
            </w:pPr>
            <w:r>
              <w:t>二级指标</w:t>
            </w:r>
          </w:p>
        </w:tc>
        <w:tc>
          <w:tcPr>
            <w:tcW w:w="2835" w:type="dxa"/>
            <w:vAlign w:val="center"/>
          </w:tcPr>
          <w:p w14:paraId="0114E534">
            <w:pPr>
              <w:pStyle w:val="11"/>
            </w:pPr>
            <w:r>
              <w:t>三级指标</w:t>
            </w:r>
          </w:p>
        </w:tc>
        <w:tc>
          <w:tcPr>
            <w:tcW w:w="5386" w:type="dxa"/>
            <w:vAlign w:val="center"/>
          </w:tcPr>
          <w:p w14:paraId="6D685135">
            <w:pPr>
              <w:pStyle w:val="11"/>
            </w:pPr>
            <w:r>
              <w:t>绩效指标描述</w:t>
            </w:r>
          </w:p>
        </w:tc>
        <w:tc>
          <w:tcPr>
            <w:tcW w:w="2268" w:type="dxa"/>
            <w:vAlign w:val="center"/>
          </w:tcPr>
          <w:p w14:paraId="2DEBB77D">
            <w:pPr>
              <w:pStyle w:val="11"/>
            </w:pPr>
            <w:r>
              <w:t>指标值</w:t>
            </w:r>
          </w:p>
        </w:tc>
        <w:tc>
          <w:tcPr>
            <w:tcW w:w="1276" w:type="dxa"/>
            <w:vAlign w:val="center"/>
          </w:tcPr>
          <w:p w14:paraId="3CF6B2B9">
            <w:pPr>
              <w:pStyle w:val="11"/>
            </w:pPr>
            <w:r>
              <w:t>指标值确定依据</w:t>
            </w:r>
          </w:p>
        </w:tc>
      </w:tr>
      <w:tr w14:paraId="0CE6F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25136">
            <w:pPr>
              <w:pStyle w:val="12"/>
            </w:pPr>
            <w:r>
              <w:t>产出指标</w:t>
            </w:r>
          </w:p>
        </w:tc>
        <w:tc>
          <w:tcPr>
            <w:tcW w:w="2268" w:type="dxa"/>
            <w:vAlign w:val="center"/>
          </w:tcPr>
          <w:p w14:paraId="4A4E182D">
            <w:pPr>
              <w:pStyle w:val="13"/>
            </w:pPr>
            <w:r>
              <w:t>数量指标</w:t>
            </w:r>
          </w:p>
        </w:tc>
        <w:tc>
          <w:tcPr>
            <w:tcW w:w="2835" w:type="dxa"/>
            <w:vAlign w:val="center"/>
          </w:tcPr>
          <w:p w14:paraId="5F0EE56B">
            <w:pPr>
              <w:pStyle w:val="13"/>
            </w:pPr>
            <w:r>
              <w:t>改造宿舍楼数量</w:t>
            </w:r>
          </w:p>
        </w:tc>
        <w:tc>
          <w:tcPr>
            <w:tcW w:w="5386" w:type="dxa"/>
            <w:vAlign w:val="center"/>
          </w:tcPr>
          <w:p w14:paraId="09474AB4">
            <w:pPr>
              <w:pStyle w:val="13"/>
            </w:pPr>
            <w:r>
              <w:t>改造宿舍楼数量</w:t>
            </w:r>
          </w:p>
        </w:tc>
        <w:tc>
          <w:tcPr>
            <w:tcW w:w="2268" w:type="dxa"/>
            <w:vAlign w:val="center"/>
          </w:tcPr>
          <w:p w14:paraId="4577BB06">
            <w:pPr>
              <w:pStyle w:val="13"/>
            </w:pPr>
            <w:r>
              <w:t>1栋</w:t>
            </w:r>
          </w:p>
        </w:tc>
        <w:tc>
          <w:tcPr>
            <w:tcW w:w="1276" w:type="dxa"/>
            <w:vAlign w:val="center"/>
          </w:tcPr>
          <w:p w14:paraId="7904E501">
            <w:pPr>
              <w:pStyle w:val="13"/>
            </w:pPr>
            <w:r>
              <w:t>城乡义务教育公共经费</w:t>
            </w:r>
          </w:p>
        </w:tc>
      </w:tr>
      <w:tr w14:paraId="7741B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79F3F"/>
        </w:tc>
        <w:tc>
          <w:tcPr>
            <w:tcW w:w="2268" w:type="dxa"/>
            <w:vAlign w:val="center"/>
          </w:tcPr>
          <w:p w14:paraId="7E8462A1">
            <w:pPr>
              <w:pStyle w:val="13"/>
            </w:pPr>
            <w:r>
              <w:t>质量指标</w:t>
            </w:r>
          </w:p>
        </w:tc>
        <w:tc>
          <w:tcPr>
            <w:tcW w:w="2835" w:type="dxa"/>
            <w:vAlign w:val="center"/>
          </w:tcPr>
          <w:p w14:paraId="67B6CA5B">
            <w:pPr>
              <w:pStyle w:val="13"/>
            </w:pPr>
            <w:r>
              <w:t>工程实施验收合格率</w:t>
            </w:r>
          </w:p>
        </w:tc>
        <w:tc>
          <w:tcPr>
            <w:tcW w:w="5386" w:type="dxa"/>
            <w:vAlign w:val="center"/>
          </w:tcPr>
          <w:p w14:paraId="290218F8">
            <w:pPr>
              <w:pStyle w:val="13"/>
            </w:pPr>
            <w:r>
              <w:t>申报程序的合规，项目实施及资金使用符合项目规划</w:t>
            </w:r>
          </w:p>
        </w:tc>
        <w:tc>
          <w:tcPr>
            <w:tcW w:w="2268" w:type="dxa"/>
            <w:vAlign w:val="center"/>
          </w:tcPr>
          <w:p w14:paraId="07FB9294">
            <w:pPr>
              <w:pStyle w:val="13"/>
            </w:pPr>
            <w:r>
              <w:t>100%</w:t>
            </w:r>
          </w:p>
        </w:tc>
        <w:tc>
          <w:tcPr>
            <w:tcW w:w="1276" w:type="dxa"/>
            <w:vAlign w:val="center"/>
          </w:tcPr>
          <w:p w14:paraId="312E822C">
            <w:pPr>
              <w:pStyle w:val="13"/>
            </w:pPr>
            <w:r>
              <w:t>城乡义务教育公共经费</w:t>
            </w:r>
          </w:p>
        </w:tc>
      </w:tr>
      <w:tr w14:paraId="745D4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2D1BF"/>
        </w:tc>
        <w:tc>
          <w:tcPr>
            <w:tcW w:w="2268" w:type="dxa"/>
            <w:vAlign w:val="center"/>
          </w:tcPr>
          <w:p w14:paraId="432CBFA2">
            <w:pPr>
              <w:pStyle w:val="13"/>
            </w:pPr>
            <w:r>
              <w:t>时效指标</w:t>
            </w:r>
          </w:p>
        </w:tc>
        <w:tc>
          <w:tcPr>
            <w:tcW w:w="2835" w:type="dxa"/>
            <w:vAlign w:val="center"/>
          </w:tcPr>
          <w:p w14:paraId="4BF304C5">
            <w:pPr>
              <w:pStyle w:val="13"/>
            </w:pPr>
            <w:r>
              <w:t>资金支付率</w:t>
            </w:r>
          </w:p>
        </w:tc>
        <w:tc>
          <w:tcPr>
            <w:tcW w:w="5386" w:type="dxa"/>
            <w:vAlign w:val="center"/>
          </w:tcPr>
          <w:p w14:paraId="2330540E">
            <w:pPr>
              <w:pStyle w:val="13"/>
            </w:pPr>
            <w:r>
              <w:t>按照序时进度完成资金支付</w:t>
            </w:r>
          </w:p>
        </w:tc>
        <w:tc>
          <w:tcPr>
            <w:tcW w:w="2268" w:type="dxa"/>
            <w:vAlign w:val="center"/>
          </w:tcPr>
          <w:p w14:paraId="21C0993F">
            <w:pPr>
              <w:pStyle w:val="13"/>
            </w:pPr>
            <w:r>
              <w:t>100%</w:t>
            </w:r>
          </w:p>
        </w:tc>
        <w:tc>
          <w:tcPr>
            <w:tcW w:w="1276" w:type="dxa"/>
            <w:vAlign w:val="center"/>
          </w:tcPr>
          <w:p w14:paraId="35AD80C7">
            <w:pPr>
              <w:pStyle w:val="13"/>
            </w:pPr>
            <w:r>
              <w:t>城乡义务教育公共经费</w:t>
            </w:r>
          </w:p>
        </w:tc>
      </w:tr>
      <w:tr w14:paraId="49860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92FC0"/>
        </w:tc>
        <w:tc>
          <w:tcPr>
            <w:tcW w:w="2268" w:type="dxa"/>
            <w:vAlign w:val="center"/>
          </w:tcPr>
          <w:p w14:paraId="7CC214BB">
            <w:pPr>
              <w:pStyle w:val="13"/>
            </w:pPr>
            <w:r>
              <w:t>成本指标</w:t>
            </w:r>
          </w:p>
        </w:tc>
        <w:tc>
          <w:tcPr>
            <w:tcW w:w="2835" w:type="dxa"/>
            <w:vAlign w:val="center"/>
          </w:tcPr>
          <w:p w14:paraId="0E735DE8">
            <w:pPr>
              <w:pStyle w:val="13"/>
            </w:pPr>
            <w:r>
              <w:t>项目成本控制情况</w:t>
            </w:r>
          </w:p>
        </w:tc>
        <w:tc>
          <w:tcPr>
            <w:tcW w:w="5386" w:type="dxa"/>
            <w:vAlign w:val="center"/>
          </w:tcPr>
          <w:p w14:paraId="5004461A">
            <w:pPr>
              <w:pStyle w:val="13"/>
            </w:pPr>
            <w:r>
              <w:t>严格按照招标价格及审计额进行</w:t>
            </w:r>
          </w:p>
        </w:tc>
        <w:tc>
          <w:tcPr>
            <w:tcW w:w="2268" w:type="dxa"/>
            <w:vAlign w:val="center"/>
          </w:tcPr>
          <w:p w14:paraId="3567361A">
            <w:pPr>
              <w:pStyle w:val="13"/>
            </w:pPr>
            <w:r>
              <w:t>≤34.36万元</w:t>
            </w:r>
          </w:p>
        </w:tc>
        <w:tc>
          <w:tcPr>
            <w:tcW w:w="1276" w:type="dxa"/>
            <w:vAlign w:val="center"/>
          </w:tcPr>
          <w:p w14:paraId="7F81E7A9">
            <w:pPr>
              <w:pStyle w:val="13"/>
            </w:pPr>
            <w:r>
              <w:t>城乡义务教育公共经费</w:t>
            </w:r>
          </w:p>
        </w:tc>
      </w:tr>
      <w:tr w14:paraId="458C1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726D4A">
            <w:pPr>
              <w:pStyle w:val="12"/>
            </w:pPr>
            <w:r>
              <w:t>效益指标</w:t>
            </w:r>
          </w:p>
        </w:tc>
        <w:tc>
          <w:tcPr>
            <w:tcW w:w="2268" w:type="dxa"/>
            <w:vAlign w:val="center"/>
          </w:tcPr>
          <w:p w14:paraId="54B2C23E">
            <w:pPr>
              <w:pStyle w:val="13"/>
            </w:pPr>
            <w:r>
              <w:t>可持续影响指标</w:t>
            </w:r>
          </w:p>
        </w:tc>
        <w:tc>
          <w:tcPr>
            <w:tcW w:w="2835" w:type="dxa"/>
            <w:vAlign w:val="center"/>
          </w:tcPr>
          <w:p w14:paraId="55E8AA85">
            <w:pPr>
              <w:pStyle w:val="13"/>
            </w:pPr>
            <w:r>
              <w:t>学校运转得到提高</w:t>
            </w:r>
          </w:p>
        </w:tc>
        <w:tc>
          <w:tcPr>
            <w:tcW w:w="5386" w:type="dxa"/>
            <w:vAlign w:val="center"/>
          </w:tcPr>
          <w:p w14:paraId="5620BC23">
            <w:pPr>
              <w:pStyle w:val="13"/>
            </w:pPr>
            <w:r>
              <w:t>学生受教育年限</w:t>
            </w:r>
          </w:p>
        </w:tc>
        <w:tc>
          <w:tcPr>
            <w:tcW w:w="2268" w:type="dxa"/>
            <w:vAlign w:val="center"/>
          </w:tcPr>
          <w:p w14:paraId="6A91E47F">
            <w:pPr>
              <w:pStyle w:val="13"/>
            </w:pPr>
            <w:r>
              <w:t>3年</w:t>
            </w:r>
          </w:p>
        </w:tc>
        <w:tc>
          <w:tcPr>
            <w:tcW w:w="1276" w:type="dxa"/>
            <w:vAlign w:val="center"/>
          </w:tcPr>
          <w:p w14:paraId="57185B80">
            <w:pPr>
              <w:pStyle w:val="13"/>
            </w:pPr>
            <w:r>
              <w:t>城乡义务教育公共经费</w:t>
            </w:r>
          </w:p>
        </w:tc>
      </w:tr>
      <w:tr w14:paraId="48720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847FF2">
            <w:pPr>
              <w:pStyle w:val="12"/>
            </w:pPr>
            <w:r>
              <w:t>满意度指标</w:t>
            </w:r>
          </w:p>
        </w:tc>
        <w:tc>
          <w:tcPr>
            <w:tcW w:w="2268" w:type="dxa"/>
            <w:vAlign w:val="center"/>
          </w:tcPr>
          <w:p w14:paraId="03E0F36C">
            <w:pPr>
              <w:pStyle w:val="13"/>
            </w:pPr>
            <w:r>
              <w:t>服务对象满意度指标</w:t>
            </w:r>
          </w:p>
        </w:tc>
        <w:tc>
          <w:tcPr>
            <w:tcW w:w="2835" w:type="dxa"/>
            <w:vAlign w:val="center"/>
          </w:tcPr>
          <w:p w14:paraId="6C3E558A">
            <w:pPr>
              <w:pStyle w:val="13"/>
            </w:pPr>
            <w:r>
              <w:t>受益学生家长及调查满意度</w:t>
            </w:r>
          </w:p>
        </w:tc>
        <w:tc>
          <w:tcPr>
            <w:tcW w:w="5386" w:type="dxa"/>
            <w:vAlign w:val="center"/>
          </w:tcPr>
          <w:p w14:paraId="7CAD393D">
            <w:pPr>
              <w:pStyle w:val="13"/>
            </w:pPr>
            <w:r>
              <w:t>学生、教师及家长对学校教学环境满意度情况</w:t>
            </w:r>
          </w:p>
        </w:tc>
        <w:tc>
          <w:tcPr>
            <w:tcW w:w="2268" w:type="dxa"/>
            <w:vAlign w:val="center"/>
          </w:tcPr>
          <w:p w14:paraId="7E53A935">
            <w:pPr>
              <w:pStyle w:val="13"/>
            </w:pPr>
            <w:r>
              <w:t>≥98%</w:t>
            </w:r>
          </w:p>
        </w:tc>
        <w:tc>
          <w:tcPr>
            <w:tcW w:w="1276" w:type="dxa"/>
            <w:vAlign w:val="center"/>
          </w:tcPr>
          <w:p w14:paraId="4338F176">
            <w:pPr>
              <w:pStyle w:val="13"/>
            </w:pPr>
            <w:r>
              <w:t>问卷调查</w:t>
            </w:r>
          </w:p>
        </w:tc>
      </w:tr>
    </w:tbl>
    <w:p w14:paraId="5D49A64A">
      <w:pPr>
        <w:sectPr>
          <w:pgSz w:w="16840" w:h="11900" w:orient="landscape"/>
          <w:pgMar w:top="1361" w:right="1020" w:bottom="1134" w:left="1020" w:header="720" w:footer="720" w:gutter="0"/>
          <w:cols w:space="720" w:num="1"/>
        </w:sectPr>
      </w:pPr>
    </w:p>
    <w:p w14:paraId="0C0B4888">
      <w:pPr>
        <w:spacing w:before="0" w:after="0"/>
        <w:ind w:firstLine="560"/>
        <w:jc w:val="left"/>
        <w:outlineLvl w:val="9"/>
      </w:pPr>
      <w:r>
        <w:rPr>
          <w:rFonts w:ascii="方正仿宋_GBK" w:hAnsi="方正仿宋_GBK" w:eastAsia="方正仿宋_GBK" w:cs="方正仿宋_GBK"/>
          <w:b/>
          <w:color w:val="000000"/>
          <w:sz w:val="28"/>
        </w:rPr>
        <w:t>7、上年盘活/冀财教[2023]63号/中央/薄改与提升/莲子中学塑胶操场改造绩效目标表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ED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38357">
            <w:pPr>
              <w:pStyle w:val="14"/>
            </w:pPr>
            <w:r>
              <w:t>单位：万元</w:t>
            </w:r>
          </w:p>
        </w:tc>
      </w:tr>
      <w:tr w14:paraId="2C4E3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D36739">
            <w:pPr>
              <w:pStyle w:val="11"/>
            </w:pPr>
            <w:r>
              <w:t>项目编码</w:t>
            </w:r>
          </w:p>
        </w:tc>
        <w:tc>
          <w:tcPr>
            <w:tcW w:w="5103" w:type="dxa"/>
            <w:gridSpan w:val="2"/>
            <w:vAlign w:val="center"/>
          </w:tcPr>
          <w:p w14:paraId="34D53D9A">
            <w:pPr>
              <w:pStyle w:val="13"/>
            </w:pPr>
            <w:r>
              <w:t>13052525P008756101841</w:t>
            </w:r>
          </w:p>
        </w:tc>
        <w:tc>
          <w:tcPr>
            <w:tcW w:w="2835" w:type="dxa"/>
            <w:vAlign w:val="center"/>
          </w:tcPr>
          <w:p w14:paraId="7AF81001">
            <w:pPr>
              <w:pStyle w:val="11"/>
            </w:pPr>
            <w:r>
              <w:t>项目名称</w:t>
            </w:r>
          </w:p>
        </w:tc>
        <w:tc>
          <w:tcPr>
            <w:tcW w:w="6095" w:type="dxa"/>
            <w:gridSpan w:val="3"/>
            <w:vAlign w:val="center"/>
          </w:tcPr>
          <w:p w14:paraId="677182B6">
            <w:pPr>
              <w:pStyle w:val="13"/>
            </w:pPr>
            <w:r>
              <w:t>上年盘活/冀财教[2023]63号/中央/薄改与提升/莲子中学塑胶操场改造</w:t>
            </w:r>
          </w:p>
        </w:tc>
      </w:tr>
      <w:tr w14:paraId="1465E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8619F">
            <w:pPr>
              <w:pStyle w:val="11"/>
            </w:pPr>
            <w:r>
              <w:t>预算规模及资金用途</w:t>
            </w:r>
          </w:p>
        </w:tc>
        <w:tc>
          <w:tcPr>
            <w:tcW w:w="2268" w:type="dxa"/>
            <w:vAlign w:val="center"/>
          </w:tcPr>
          <w:p w14:paraId="6BC49C00">
            <w:pPr>
              <w:pStyle w:val="11"/>
            </w:pPr>
            <w:r>
              <w:t>预算数</w:t>
            </w:r>
          </w:p>
        </w:tc>
        <w:tc>
          <w:tcPr>
            <w:tcW w:w="2835" w:type="dxa"/>
            <w:vAlign w:val="center"/>
          </w:tcPr>
          <w:p w14:paraId="5480BDBF">
            <w:pPr>
              <w:pStyle w:val="13"/>
            </w:pPr>
            <w:r>
              <w:t>3.60</w:t>
            </w:r>
          </w:p>
        </w:tc>
        <w:tc>
          <w:tcPr>
            <w:tcW w:w="2835" w:type="dxa"/>
            <w:vAlign w:val="center"/>
          </w:tcPr>
          <w:p w14:paraId="40BDC8FE">
            <w:pPr>
              <w:pStyle w:val="11"/>
            </w:pPr>
            <w:r>
              <w:t>其中：财政    资金</w:t>
            </w:r>
          </w:p>
        </w:tc>
        <w:tc>
          <w:tcPr>
            <w:tcW w:w="2551" w:type="dxa"/>
            <w:vAlign w:val="center"/>
          </w:tcPr>
          <w:p w14:paraId="196B930E">
            <w:pPr>
              <w:pStyle w:val="13"/>
            </w:pPr>
            <w:r>
              <w:t>3.60</w:t>
            </w:r>
          </w:p>
        </w:tc>
        <w:tc>
          <w:tcPr>
            <w:tcW w:w="2268" w:type="dxa"/>
            <w:vAlign w:val="center"/>
          </w:tcPr>
          <w:p w14:paraId="42DC0B63">
            <w:pPr>
              <w:pStyle w:val="11"/>
            </w:pPr>
            <w:r>
              <w:t>其他资金</w:t>
            </w:r>
          </w:p>
        </w:tc>
        <w:tc>
          <w:tcPr>
            <w:tcW w:w="1276" w:type="dxa"/>
            <w:vAlign w:val="center"/>
          </w:tcPr>
          <w:p w14:paraId="5F823661">
            <w:pPr>
              <w:pStyle w:val="13"/>
            </w:pPr>
            <w:r>
              <w:t xml:space="preserve"> </w:t>
            </w:r>
          </w:p>
        </w:tc>
      </w:tr>
      <w:tr w14:paraId="6F8EE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A9ED4"/>
        </w:tc>
        <w:tc>
          <w:tcPr>
            <w:tcW w:w="14033" w:type="dxa"/>
            <w:gridSpan w:val="6"/>
            <w:vAlign w:val="center"/>
          </w:tcPr>
          <w:p w14:paraId="218486D1">
            <w:pPr>
              <w:pStyle w:val="13"/>
            </w:pPr>
            <w:r>
              <w:t>按拨款时序进度完成经费拨付和支出</w:t>
            </w:r>
          </w:p>
        </w:tc>
      </w:tr>
      <w:tr w14:paraId="6C835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A578C">
            <w:pPr>
              <w:pStyle w:val="11"/>
            </w:pPr>
            <w:r>
              <w:t>资金支出计划（%）</w:t>
            </w:r>
          </w:p>
        </w:tc>
        <w:tc>
          <w:tcPr>
            <w:tcW w:w="5103" w:type="dxa"/>
            <w:gridSpan w:val="2"/>
            <w:vAlign w:val="center"/>
          </w:tcPr>
          <w:p w14:paraId="3A59E6D7">
            <w:pPr>
              <w:pStyle w:val="11"/>
            </w:pPr>
            <w:r>
              <w:t>3月底</w:t>
            </w:r>
          </w:p>
        </w:tc>
        <w:tc>
          <w:tcPr>
            <w:tcW w:w="2835" w:type="dxa"/>
            <w:vAlign w:val="center"/>
          </w:tcPr>
          <w:p w14:paraId="4E2AD99C">
            <w:pPr>
              <w:pStyle w:val="11"/>
            </w:pPr>
            <w:r>
              <w:t>6月底</w:t>
            </w:r>
          </w:p>
        </w:tc>
        <w:tc>
          <w:tcPr>
            <w:tcW w:w="2551" w:type="dxa"/>
            <w:vAlign w:val="center"/>
          </w:tcPr>
          <w:p w14:paraId="22969523">
            <w:pPr>
              <w:pStyle w:val="11"/>
            </w:pPr>
            <w:r>
              <w:t>10月底</w:t>
            </w:r>
          </w:p>
        </w:tc>
        <w:tc>
          <w:tcPr>
            <w:tcW w:w="3544" w:type="dxa"/>
            <w:gridSpan w:val="2"/>
            <w:vAlign w:val="center"/>
          </w:tcPr>
          <w:p w14:paraId="50A53E4C">
            <w:pPr>
              <w:pStyle w:val="11"/>
            </w:pPr>
            <w:r>
              <w:t>12月底</w:t>
            </w:r>
          </w:p>
        </w:tc>
      </w:tr>
      <w:tr w14:paraId="32830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220BA"/>
        </w:tc>
        <w:tc>
          <w:tcPr>
            <w:tcW w:w="5103" w:type="dxa"/>
            <w:gridSpan w:val="2"/>
            <w:vAlign w:val="center"/>
          </w:tcPr>
          <w:p w14:paraId="454A30C9">
            <w:pPr>
              <w:pStyle w:val="12"/>
            </w:pPr>
            <w:r>
              <w:t>25%</w:t>
            </w:r>
          </w:p>
        </w:tc>
        <w:tc>
          <w:tcPr>
            <w:tcW w:w="2835" w:type="dxa"/>
            <w:vAlign w:val="center"/>
          </w:tcPr>
          <w:p w14:paraId="1E7A171E">
            <w:pPr>
              <w:pStyle w:val="12"/>
            </w:pPr>
            <w:r>
              <w:t>50%</w:t>
            </w:r>
          </w:p>
        </w:tc>
        <w:tc>
          <w:tcPr>
            <w:tcW w:w="2551" w:type="dxa"/>
            <w:vAlign w:val="center"/>
          </w:tcPr>
          <w:p w14:paraId="688AFFCB">
            <w:pPr>
              <w:pStyle w:val="12"/>
            </w:pPr>
            <w:r>
              <w:t>75%</w:t>
            </w:r>
          </w:p>
        </w:tc>
        <w:tc>
          <w:tcPr>
            <w:tcW w:w="3544" w:type="dxa"/>
            <w:gridSpan w:val="2"/>
            <w:vAlign w:val="center"/>
          </w:tcPr>
          <w:p w14:paraId="796D3AFB">
            <w:pPr>
              <w:pStyle w:val="12"/>
            </w:pPr>
            <w:r>
              <w:t>100%</w:t>
            </w:r>
          </w:p>
        </w:tc>
      </w:tr>
      <w:tr w14:paraId="0279F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CA1F3">
            <w:pPr>
              <w:pStyle w:val="11"/>
            </w:pPr>
            <w:r>
              <w:t>绩效目标</w:t>
            </w:r>
          </w:p>
        </w:tc>
        <w:tc>
          <w:tcPr>
            <w:tcW w:w="14033" w:type="dxa"/>
            <w:gridSpan w:val="6"/>
            <w:vAlign w:val="center"/>
          </w:tcPr>
          <w:p w14:paraId="0ADB7175">
            <w:pPr>
              <w:pStyle w:val="13"/>
            </w:pPr>
            <w:r>
              <w:t>1.按拨款时序进度完成经费拨付和支出</w:t>
            </w:r>
          </w:p>
          <w:p w14:paraId="4D7C864B">
            <w:pPr>
              <w:pStyle w:val="13"/>
            </w:pPr>
            <w:r>
              <w:t>2.保证学校正常运转和改善办学条件</w:t>
            </w:r>
          </w:p>
        </w:tc>
      </w:tr>
    </w:tbl>
    <w:p w14:paraId="6B183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D4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5FB5A">
            <w:pPr>
              <w:pStyle w:val="11"/>
            </w:pPr>
            <w:r>
              <w:t>一级指标</w:t>
            </w:r>
          </w:p>
        </w:tc>
        <w:tc>
          <w:tcPr>
            <w:tcW w:w="2268" w:type="dxa"/>
            <w:vAlign w:val="center"/>
          </w:tcPr>
          <w:p w14:paraId="63D056FE">
            <w:pPr>
              <w:pStyle w:val="11"/>
            </w:pPr>
            <w:r>
              <w:t>二级指标</w:t>
            </w:r>
          </w:p>
        </w:tc>
        <w:tc>
          <w:tcPr>
            <w:tcW w:w="2835" w:type="dxa"/>
            <w:vAlign w:val="center"/>
          </w:tcPr>
          <w:p w14:paraId="0D628827">
            <w:pPr>
              <w:pStyle w:val="11"/>
            </w:pPr>
            <w:r>
              <w:t>三级指标</w:t>
            </w:r>
          </w:p>
        </w:tc>
        <w:tc>
          <w:tcPr>
            <w:tcW w:w="5386" w:type="dxa"/>
            <w:vAlign w:val="center"/>
          </w:tcPr>
          <w:p w14:paraId="227FAFDC">
            <w:pPr>
              <w:pStyle w:val="11"/>
            </w:pPr>
            <w:r>
              <w:t>绩效指标描述</w:t>
            </w:r>
          </w:p>
        </w:tc>
        <w:tc>
          <w:tcPr>
            <w:tcW w:w="2268" w:type="dxa"/>
            <w:vAlign w:val="center"/>
          </w:tcPr>
          <w:p w14:paraId="0DFBA4A0">
            <w:pPr>
              <w:pStyle w:val="11"/>
            </w:pPr>
            <w:r>
              <w:t>指标值</w:t>
            </w:r>
          </w:p>
        </w:tc>
        <w:tc>
          <w:tcPr>
            <w:tcW w:w="1276" w:type="dxa"/>
            <w:vAlign w:val="center"/>
          </w:tcPr>
          <w:p w14:paraId="574C8219">
            <w:pPr>
              <w:pStyle w:val="11"/>
            </w:pPr>
            <w:r>
              <w:t>指标值确定依据</w:t>
            </w:r>
          </w:p>
        </w:tc>
      </w:tr>
      <w:tr w14:paraId="6ADEC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D298C">
            <w:pPr>
              <w:pStyle w:val="12"/>
            </w:pPr>
            <w:r>
              <w:t>产出指标</w:t>
            </w:r>
          </w:p>
        </w:tc>
        <w:tc>
          <w:tcPr>
            <w:tcW w:w="2268" w:type="dxa"/>
            <w:vAlign w:val="center"/>
          </w:tcPr>
          <w:p w14:paraId="23A3DC14">
            <w:pPr>
              <w:pStyle w:val="13"/>
            </w:pPr>
            <w:r>
              <w:t>数量指标</w:t>
            </w:r>
          </w:p>
        </w:tc>
        <w:tc>
          <w:tcPr>
            <w:tcW w:w="2835" w:type="dxa"/>
            <w:vAlign w:val="center"/>
          </w:tcPr>
          <w:p w14:paraId="412FAF4A">
            <w:pPr>
              <w:pStyle w:val="13"/>
            </w:pPr>
            <w:r>
              <w:t>塑胶操场改造</w:t>
            </w:r>
          </w:p>
        </w:tc>
        <w:tc>
          <w:tcPr>
            <w:tcW w:w="5386" w:type="dxa"/>
            <w:vAlign w:val="center"/>
          </w:tcPr>
          <w:p w14:paraId="2C0BA8B9">
            <w:pPr>
              <w:pStyle w:val="13"/>
            </w:pPr>
            <w:r>
              <w:t>对学校操场进行铺设塑胶跑道面积</w:t>
            </w:r>
          </w:p>
        </w:tc>
        <w:tc>
          <w:tcPr>
            <w:tcW w:w="2268" w:type="dxa"/>
            <w:vAlign w:val="center"/>
          </w:tcPr>
          <w:p w14:paraId="3D8C64D0">
            <w:pPr>
              <w:pStyle w:val="13"/>
            </w:pPr>
            <w:r>
              <w:t>7260平方米</w:t>
            </w:r>
          </w:p>
        </w:tc>
        <w:tc>
          <w:tcPr>
            <w:tcW w:w="1276" w:type="dxa"/>
            <w:vAlign w:val="center"/>
          </w:tcPr>
          <w:p w14:paraId="11E74B9E">
            <w:pPr>
              <w:pStyle w:val="13"/>
            </w:pPr>
            <w:r>
              <w:t>项目规划</w:t>
            </w:r>
          </w:p>
        </w:tc>
      </w:tr>
      <w:tr w14:paraId="53663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31F47"/>
        </w:tc>
        <w:tc>
          <w:tcPr>
            <w:tcW w:w="2268" w:type="dxa"/>
            <w:vAlign w:val="center"/>
          </w:tcPr>
          <w:p w14:paraId="7AD34559">
            <w:pPr>
              <w:pStyle w:val="13"/>
            </w:pPr>
            <w:r>
              <w:t>质量指标</w:t>
            </w:r>
          </w:p>
        </w:tc>
        <w:tc>
          <w:tcPr>
            <w:tcW w:w="2835" w:type="dxa"/>
            <w:vAlign w:val="center"/>
          </w:tcPr>
          <w:p w14:paraId="10A035CF">
            <w:pPr>
              <w:pStyle w:val="13"/>
            </w:pPr>
            <w:r>
              <w:t>工程实施验收合格率</w:t>
            </w:r>
          </w:p>
        </w:tc>
        <w:tc>
          <w:tcPr>
            <w:tcW w:w="5386" w:type="dxa"/>
            <w:vAlign w:val="center"/>
          </w:tcPr>
          <w:p w14:paraId="29FDC0A3">
            <w:pPr>
              <w:pStyle w:val="13"/>
            </w:pPr>
            <w:r>
              <w:t>申报程序的合规，项目实施及资金使用符合项目规划</w:t>
            </w:r>
          </w:p>
        </w:tc>
        <w:tc>
          <w:tcPr>
            <w:tcW w:w="2268" w:type="dxa"/>
            <w:vAlign w:val="center"/>
          </w:tcPr>
          <w:p w14:paraId="65F48A36">
            <w:pPr>
              <w:pStyle w:val="13"/>
            </w:pPr>
            <w:r>
              <w:t>100%</w:t>
            </w:r>
          </w:p>
        </w:tc>
        <w:tc>
          <w:tcPr>
            <w:tcW w:w="1276" w:type="dxa"/>
            <w:vAlign w:val="center"/>
          </w:tcPr>
          <w:p w14:paraId="43DDD82A">
            <w:pPr>
              <w:pStyle w:val="13"/>
            </w:pPr>
            <w:r>
              <w:t>项目规划</w:t>
            </w:r>
          </w:p>
        </w:tc>
      </w:tr>
      <w:tr w14:paraId="2AB72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B3E13"/>
        </w:tc>
        <w:tc>
          <w:tcPr>
            <w:tcW w:w="2268" w:type="dxa"/>
            <w:vAlign w:val="center"/>
          </w:tcPr>
          <w:p w14:paraId="6F6AB9EA">
            <w:pPr>
              <w:pStyle w:val="13"/>
            </w:pPr>
            <w:r>
              <w:t>时效指标</w:t>
            </w:r>
          </w:p>
        </w:tc>
        <w:tc>
          <w:tcPr>
            <w:tcW w:w="2835" w:type="dxa"/>
            <w:vAlign w:val="center"/>
          </w:tcPr>
          <w:p w14:paraId="67532286">
            <w:pPr>
              <w:pStyle w:val="13"/>
            </w:pPr>
            <w:r>
              <w:t>资金支付率</w:t>
            </w:r>
          </w:p>
        </w:tc>
        <w:tc>
          <w:tcPr>
            <w:tcW w:w="5386" w:type="dxa"/>
            <w:vAlign w:val="center"/>
          </w:tcPr>
          <w:p w14:paraId="3804603F">
            <w:pPr>
              <w:pStyle w:val="13"/>
            </w:pPr>
            <w:r>
              <w:t>按照序时进度完成资金支付</w:t>
            </w:r>
          </w:p>
        </w:tc>
        <w:tc>
          <w:tcPr>
            <w:tcW w:w="2268" w:type="dxa"/>
            <w:vAlign w:val="center"/>
          </w:tcPr>
          <w:p w14:paraId="40FA1F7A">
            <w:pPr>
              <w:pStyle w:val="13"/>
            </w:pPr>
            <w:r>
              <w:t>100%</w:t>
            </w:r>
          </w:p>
        </w:tc>
        <w:tc>
          <w:tcPr>
            <w:tcW w:w="1276" w:type="dxa"/>
            <w:vAlign w:val="center"/>
          </w:tcPr>
          <w:p w14:paraId="481CADF2">
            <w:pPr>
              <w:pStyle w:val="13"/>
            </w:pPr>
            <w:r>
              <w:t>项目规划</w:t>
            </w:r>
          </w:p>
        </w:tc>
      </w:tr>
      <w:tr w14:paraId="37A0A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139AB"/>
        </w:tc>
        <w:tc>
          <w:tcPr>
            <w:tcW w:w="2268" w:type="dxa"/>
            <w:vAlign w:val="center"/>
          </w:tcPr>
          <w:p w14:paraId="343F6E03">
            <w:pPr>
              <w:pStyle w:val="13"/>
            </w:pPr>
            <w:r>
              <w:t>成本指标</w:t>
            </w:r>
          </w:p>
        </w:tc>
        <w:tc>
          <w:tcPr>
            <w:tcW w:w="2835" w:type="dxa"/>
            <w:vAlign w:val="center"/>
          </w:tcPr>
          <w:p w14:paraId="29DCA734">
            <w:pPr>
              <w:pStyle w:val="13"/>
            </w:pPr>
            <w:r>
              <w:t>项目成本控制情况</w:t>
            </w:r>
          </w:p>
        </w:tc>
        <w:tc>
          <w:tcPr>
            <w:tcW w:w="5386" w:type="dxa"/>
            <w:vAlign w:val="center"/>
          </w:tcPr>
          <w:p w14:paraId="2138A142">
            <w:pPr>
              <w:pStyle w:val="13"/>
            </w:pPr>
            <w:r>
              <w:t>严格按照招标价格及审计额进行</w:t>
            </w:r>
          </w:p>
        </w:tc>
        <w:tc>
          <w:tcPr>
            <w:tcW w:w="2268" w:type="dxa"/>
            <w:vAlign w:val="center"/>
          </w:tcPr>
          <w:p w14:paraId="6BEC0BCD">
            <w:pPr>
              <w:pStyle w:val="13"/>
            </w:pPr>
            <w:r>
              <w:t>≤3.73万元</w:t>
            </w:r>
          </w:p>
        </w:tc>
        <w:tc>
          <w:tcPr>
            <w:tcW w:w="1276" w:type="dxa"/>
            <w:vAlign w:val="center"/>
          </w:tcPr>
          <w:p w14:paraId="54A6936F">
            <w:pPr>
              <w:pStyle w:val="13"/>
            </w:pPr>
            <w:r>
              <w:t>项目规划</w:t>
            </w:r>
          </w:p>
        </w:tc>
      </w:tr>
      <w:tr w14:paraId="7DF46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21F1DA">
            <w:pPr>
              <w:pStyle w:val="12"/>
            </w:pPr>
            <w:r>
              <w:t>效益指标</w:t>
            </w:r>
          </w:p>
        </w:tc>
        <w:tc>
          <w:tcPr>
            <w:tcW w:w="2268" w:type="dxa"/>
            <w:vAlign w:val="center"/>
          </w:tcPr>
          <w:p w14:paraId="718D91AB">
            <w:pPr>
              <w:pStyle w:val="13"/>
            </w:pPr>
            <w:r>
              <w:t>可持续影响指标</w:t>
            </w:r>
          </w:p>
        </w:tc>
        <w:tc>
          <w:tcPr>
            <w:tcW w:w="2835" w:type="dxa"/>
            <w:vAlign w:val="center"/>
          </w:tcPr>
          <w:p w14:paraId="74741804">
            <w:pPr>
              <w:pStyle w:val="13"/>
            </w:pPr>
            <w:r>
              <w:t>教育发展水平</w:t>
            </w:r>
          </w:p>
        </w:tc>
        <w:tc>
          <w:tcPr>
            <w:tcW w:w="5386" w:type="dxa"/>
            <w:vAlign w:val="center"/>
          </w:tcPr>
          <w:p w14:paraId="6CED566C">
            <w:pPr>
              <w:pStyle w:val="13"/>
            </w:pPr>
            <w:r>
              <w:t>受益人数</w:t>
            </w:r>
          </w:p>
        </w:tc>
        <w:tc>
          <w:tcPr>
            <w:tcW w:w="2268" w:type="dxa"/>
            <w:vAlign w:val="center"/>
          </w:tcPr>
          <w:p w14:paraId="2F4B9147">
            <w:pPr>
              <w:pStyle w:val="13"/>
            </w:pPr>
            <w:r>
              <w:t>571人</w:t>
            </w:r>
          </w:p>
        </w:tc>
        <w:tc>
          <w:tcPr>
            <w:tcW w:w="1276" w:type="dxa"/>
            <w:vAlign w:val="center"/>
          </w:tcPr>
          <w:p w14:paraId="0022B043">
            <w:pPr>
              <w:pStyle w:val="13"/>
            </w:pPr>
            <w:r>
              <w:t>项目规划</w:t>
            </w:r>
          </w:p>
        </w:tc>
      </w:tr>
      <w:tr w14:paraId="41628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19DA5307">
            <w:pPr>
              <w:pStyle w:val="12"/>
            </w:pPr>
            <w:r>
              <w:t>满意度指标</w:t>
            </w:r>
          </w:p>
        </w:tc>
        <w:tc>
          <w:tcPr>
            <w:tcW w:w="2268" w:type="dxa"/>
            <w:vAlign w:val="center"/>
          </w:tcPr>
          <w:p w14:paraId="7D024D7F">
            <w:pPr>
              <w:pStyle w:val="13"/>
            </w:pPr>
            <w:r>
              <w:t>服务对象满意度指标</w:t>
            </w:r>
          </w:p>
        </w:tc>
        <w:tc>
          <w:tcPr>
            <w:tcW w:w="2835" w:type="dxa"/>
            <w:vAlign w:val="center"/>
          </w:tcPr>
          <w:p w14:paraId="0588F93A">
            <w:pPr>
              <w:pStyle w:val="13"/>
            </w:pPr>
            <w:r>
              <w:t>学生、教师及家长对学校教学环境满意度情况</w:t>
            </w:r>
          </w:p>
        </w:tc>
        <w:tc>
          <w:tcPr>
            <w:tcW w:w="5386" w:type="dxa"/>
            <w:vAlign w:val="center"/>
          </w:tcPr>
          <w:p w14:paraId="0AEC6F0E">
            <w:pPr>
              <w:pStyle w:val="13"/>
            </w:pPr>
            <w:r>
              <w:t>学生、教师及家长对学校教学环境满意度情况</w:t>
            </w:r>
          </w:p>
        </w:tc>
        <w:tc>
          <w:tcPr>
            <w:tcW w:w="2268" w:type="dxa"/>
            <w:vAlign w:val="center"/>
          </w:tcPr>
          <w:p w14:paraId="57D038F7">
            <w:pPr>
              <w:pStyle w:val="13"/>
            </w:pPr>
            <w:r>
              <w:t>≥95%</w:t>
            </w:r>
          </w:p>
        </w:tc>
        <w:tc>
          <w:tcPr>
            <w:tcW w:w="1276" w:type="dxa"/>
            <w:vAlign w:val="center"/>
          </w:tcPr>
          <w:p w14:paraId="34CD6D8E">
            <w:pPr>
              <w:pStyle w:val="13"/>
            </w:pPr>
            <w:r>
              <w:t>调查问卷</w:t>
            </w:r>
          </w:p>
        </w:tc>
      </w:tr>
    </w:tbl>
    <w:p w14:paraId="590C7607">
      <w:pPr>
        <w:sectPr>
          <w:pgSz w:w="16840" w:h="11900" w:orient="landscape"/>
          <w:pgMar w:top="1361" w:right="1020" w:bottom="1134" w:left="1020" w:header="720" w:footer="720" w:gutter="0"/>
          <w:cols w:space="720" w:num="1"/>
        </w:sectPr>
      </w:pPr>
    </w:p>
    <w:p w14:paraId="52708C40">
      <w:pPr>
        <w:spacing w:before="10" w:after="10" w:line="240" w:lineRule="auto"/>
        <w:ind w:firstLine="640"/>
        <w:jc w:val="left"/>
        <w:outlineLvl w:val="5"/>
      </w:pPr>
      <w:r>
        <w:rPr>
          <w:rFonts w:ascii="黑体" w:hAnsi="黑体" w:eastAsia="黑体" w:cs="黑体"/>
          <w:color w:val="000000"/>
          <w:sz w:val="32"/>
        </w:rPr>
        <w:t>六、政府采购预算情况</w:t>
      </w:r>
    </w:p>
    <w:p w14:paraId="3D32727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F689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2C46904">
            <w:pPr>
              <w:pStyle w:val="8"/>
            </w:pPr>
            <w:r>
              <w:t>360034隆尧县莲子中学</w:t>
            </w:r>
          </w:p>
        </w:tc>
        <w:tc>
          <w:tcPr>
            <w:tcW w:w="7712" w:type="dxa"/>
            <w:gridSpan w:val="8"/>
            <w:tcBorders>
              <w:top w:val="single" w:color="FFFFFF" w:sz="6" w:space="0"/>
              <w:left w:val="single" w:color="FFFFFF" w:sz="6" w:space="0"/>
              <w:right w:val="single" w:color="FFFFFF" w:sz="6" w:space="0"/>
            </w:tcBorders>
            <w:vAlign w:val="center"/>
          </w:tcPr>
          <w:p w14:paraId="3E9A366A">
            <w:pPr>
              <w:pStyle w:val="22"/>
            </w:pPr>
            <w:r>
              <w:t>单位：万元</w:t>
            </w:r>
          </w:p>
        </w:tc>
      </w:tr>
      <w:tr w14:paraId="2F5A1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B19F01F">
            <w:pPr>
              <w:pStyle w:val="11"/>
            </w:pPr>
            <w:r>
              <w:t>政府采购项目来源</w:t>
            </w:r>
          </w:p>
        </w:tc>
        <w:tc>
          <w:tcPr>
            <w:tcW w:w="1134" w:type="dxa"/>
            <w:vMerge w:val="restart"/>
            <w:vAlign w:val="center"/>
          </w:tcPr>
          <w:p w14:paraId="130BA44C">
            <w:pPr>
              <w:pStyle w:val="11"/>
            </w:pPr>
            <w:r>
              <w:t>采购物品名称</w:t>
            </w:r>
          </w:p>
        </w:tc>
        <w:tc>
          <w:tcPr>
            <w:tcW w:w="1134" w:type="dxa"/>
            <w:vMerge w:val="restart"/>
            <w:vAlign w:val="center"/>
          </w:tcPr>
          <w:p w14:paraId="3D6A502B">
            <w:pPr>
              <w:pStyle w:val="11"/>
            </w:pPr>
            <w:r>
              <w:t>政府采购目录序号</w:t>
            </w:r>
          </w:p>
        </w:tc>
        <w:tc>
          <w:tcPr>
            <w:tcW w:w="709" w:type="dxa"/>
            <w:vMerge w:val="restart"/>
            <w:vAlign w:val="center"/>
          </w:tcPr>
          <w:p w14:paraId="37A6E526">
            <w:pPr>
              <w:pStyle w:val="11"/>
            </w:pPr>
            <w:r>
              <w:t>计量  单位</w:t>
            </w:r>
          </w:p>
        </w:tc>
        <w:tc>
          <w:tcPr>
            <w:tcW w:w="850" w:type="dxa"/>
            <w:vMerge w:val="restart"/>
            <w:vAlign w:val="center"/>
          </w:tcPr>
          <w:p w14:paraId="0D69ABE7">
            <w:pPr>
              <w:pStyle w:val="11"/>
            </w:pPr>
            <w:r>
              <w:t>数量</w:t>
            </w:r>
          </w:p>
        </w:tc>
        <w:tc>
          <w:tcPr>
            <w:tcW w:w="850" w:type="dxa"/>
            <w:vMerge w:val="restart"/>
            <w:vAlign w:val="center"/>
          </w:tcPr>
          <w:p w14:paraId="7D9804B5">
            <w:pPr>
              <w:pStyle w:val="11"/>
            </w:pPr>
            <w:r>
              <w:t>单价</w:t>
            </w:r>
          </w:p>
        </w:tc>
        <w:tc>
          <w:tcPr>
            <w:tcW w:w="6748" w:type="dxa"/>
            <w:gridSpan w:val="7"/>
            <w:vAlign w:val="center"/>
          </w:tcPr>
          <w:p w14:paraId="693384AE">
            <w:pPr>
              <w:pStyle w:val="11"/>
            </w:pPr>
            <w:r>
              <w:t>政府采购金额（当年部门预算安排资金）</w:t>
            </w:r>
          </w:p>
        </w:tc>
        <w:tc>
          <w:tcPr>
            <w:tcW w:w="964" w:type="dxa"/>
            <w:vMerge w:val="restart"/>
            <w:vAlign w:val="center"/>
          </w:tcPr>
          <w:p w14:paraId="01F71E96">
            <w:pPr>
              <w:pStyle w:val="11"/>
            </w:pPr>
            <w:r>
              <w:t>2025年  预留中  小微企  业份额</w:t>
            </w:r>
          </w:p>
        </w:tc>
      </w:tr>
      <w:tr w14:paraId="1A1C9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AEA5BC5">
            <w:pPr>
              <w:pStyle w:val="11"/>
            </w:pPr>
            <w:r>
              <w:t>项目名称</w:t>
            </w:r>
          </w:p>
        </w:tc>
        <w:tc>
          <w:tcPr>
            <w:tcW w:w="964" w:type="dxa"/>
            <w:vAlign w:val="center"/>
          </w:tcPr>
          <w:p w14:paraId="63F75828">
            <w:pPr>
              <w:pStyle w:val="11"/>
            </w:pPr>
            <w:r>
              <w:t>预算    资金</w:t>
            </w:r>
          </w:p>
        </w:tc>
        <w:tc>
          <w:tcPr>
            <w:tcW w:w="1134" w:type="dxa"/>
            <w:vMerge w:val="continue"/>
          </w:tcPr>
          <w:p w14:paraId="1E31BF77"/>
        </w:tc>
        <w:tc>
          <w:tcPr>
            <w:tcW w:w="1134" w:type="dxa"/>
            <w:vMerge w:val="continue"/>
          </w:tcPr>
          <w:p w14:paraId="2BD6A186"/>
        </w:tc>
        <w:tc>
          <w:tcPr>
            <w:tcW w:w="709" w:type="dxa"/>
            <w:vMerge w:val="continue"/>
          </w:tcPr>
          <w:p w14:paraId="5153D99B"/>
        </w:tc>
        <w:tc>
          <w:tcPr>
            <w:tcW w:w="850" w:type="dxa"/>
            <w:vMerge w:val="continue"/>
          </w:tcPr>
          <w:p w14:paraId="4EE997A2"/>
        </w:tc>
        <w:tc>
          <w:tcPr>
            <w:tcW w:w="850" w:type="dxa"/>
            <w:vMerge w:val="continue"/>
          </w:tcPr>
          <w:p w14:paraId="3FF7BAC9"/>
        </w:tc>
        <w:tc>
          <w:tcPr>
            <w:tcW w:w="964" w:type="dxa"/>
            <w:vAlign w:val="center"/>
          </w:tcPr>
          <w:p w14:paraId="34916170">
            <w:pPr>
              <w:pStyle w:val="11"/>
            </w:pPr>
            <w:r>
              <w:t>合计</w:t>
            </w:r>
          </w:p>
        </w:tc>
        <w:tc>
          <w:tcPr>
            <w:tcW w:w="964" w:type="dxa"/>
            <w:vAlign w:val="center"/>
          </w:tcPr>
          <w:p w14:paraId="1C52B3E4">
            <w:pPr>
              <w:pStyle w:val="11"/>
            </w:pPr>
            <w:r>
              <w:t>一般公共预算拨款</w:t>
            </w:r>
          </w:p>
        </w:tc>
        <w:tc>
          <w:tcPr>
            <w:tcW w:w="964" w:type="dxa"/>
            <w:vAlign w:val="center"/>
          </w:tcPr>
          <w:p w14:paraId="174FE7D0">
            <w:pPr>
              <w:pStyle w:val="11"/>
            </w:pPr>
            <w:r>
              <w:t>基金预算拨款</w:t>
            </w:r>
          </w:p>
        </w:tc>
        <w:tc>
          <w:tcPr>
            <w:tcW w:w="964" w:type="dxa"/>
            <w:vAlign w:val="center"/>
          </w:tcPr>
          <w:p w14:paraId="353FEDBD">
            <w:pPr>
              <w:pStyle w:val="11"/>
            </w:pPr>
            <w:r>
              <w:t>国有资本经营预算拨款</w:t>
            </w:r>
          </w:p>
        </w:tc>
        <w:tc>
          <w:tcPr>
            <w:tcW w:w="964" w:type="dxa"/>
            <w:vAlign w:val="center"/>
          </w:tcPr>
          <w:p w14:paraId="7D524A7E">
            <w:pPr>
              <w:pStyle w:val="11"/>
            </w:pPr>
            <w:r>
              <w:t>财政专户核拨</w:t>
            </w:r>
          </w:p>
        </w:tc>
        <w:tc>
          <w:tcPr>
            <w:tcW w:w="964" w:type="dxa"/>
            <w:vAlign w:val="center"/>
          </w:tcPr>
          <w:p w14:paraId="198622A4">
            <w:pPr>
              <w:pStyle w:val="11"/>
            </w:pPr>
            <w:r>
              <w:t>单位    资金</w:t>
            </w:r>
          </w:p>
        </w:tc>
        <w:tc>
          <w:tcPr>
            <w:tcW w:w="964" w:type="dxa"/>
            <w:vAlign w:val="center"/>
          </w:tcPr>
          <w:p w14:paraId="5BB67EAE">
            <w:pPr>
              <w:pStyle w:val="11"/>
            </w:pPr>
            <w:r>
              <w:t>上年结转结余</w:t>
            </w:r>
          </w:p>
        </w:tc>
        <w:tc>
          <w:tcPr>
            <w:tcW w:w="964" w:type="dxa"/>
            <w:vMerge w:val="continue"/>
          </w:tcPr>
          <w:p w14:paraId="622F4507"/>
        </w:tc>
      </w:tr>
      <w:tr w14:paraId="5E3F1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A7DB6E">
            <w:pPr>
              <w:pStyle w:val="15"/>
            </w:pPr>
            <w:r>
              <w:t>合  计</w:t>
            </w:r>
          </w:p>
        </w:tc>
        <w:tc>
          <w:tcPr>
            <w:tcW w:w="964" w:type="dxa"/>
            <w:vAlign w:val="center"/>
          </w:tcPr>
          <w:p w14:paraId="12FE3E2F">
            <w:pPr>
              <w:pStyle w:val="16"/>
            </w:pPr>
          </w:p>
        </w:tc>
        <w:tc>
          <w:tcPr>
            <w:tcW w:w="1134" w:type="dxa"/>
            <w:vAlign w:val="center"/>
          </w:tcPr>
          <w:p w14:paraId="649140A8">
            <w:pPr>
              <w:pStyle w:val="17"/>
            </w:pPr>
          </w:p>
        </w:tc>
        <w:tc>
          <w:tcPr>
            <w:tcW w:w="1134" w:type="dxa"/>
            <w:vAlign w:val="center"/>
          </w:tcPr>
          <w:p w14:paraId="1BC9A183">
            <w:pPr>
              <w:pStyle w:val="17"/>
            </w:pPr>
          </w:p>
        </w:tc>
        <w:tc>
          <w:tcPr>
            <w:tcW w:w="709" w:type="dxa"/>
            <w:vAlign w:val="center"/>
          </w:tcPr>
          <w:p w14:paraId="0776A95C">
            <w:pPr>
              <w:pStyle w:val="15"/>
            </w:pPr>
          </w:p>
        </w:tc>
        <w:tc>
          <w:tcPr>
            <w:tcW w:w="850" w:type="dxa"/>
            <w:vAlign w:val="center"/>
          </w:tcPr>
          <w:p w14:paraId="12D34BE9">
            <w:pPr>
              <w:pStyle w:val="16"/>
            </w:pPr>
          </w:p>
        </w:tc>
        <w:tc>
          <w:tcPr>
            <w:tcW w:w="850" w:type="dxa"/>
            <w:vAlign w:val="center"/>
          </w:tcPr>
          <w:p w14:paraId="2276F2D7">
            <w:pPr>
              <w:pStyle w:val="16"/>
            </w:pPr>
          </w:p>
        </w:tc>
        <w:tc>
          <w:tcPr>
            <w:tcW w:w="964" w:type="dxa"/>
            <w:vAlign w:val="center"/>
          </w:tcPr>
          <w:p w14:paraId="3C64EC73">
            <w:pPr>
              <w:pStyle w:val="16"/>
            </w:pPr>
            <w:r>
              <w:t>0.36</w:t>
            </w:r>
          </w:p>
        </w:tc>
        <w:tc>
          <w:tcPr>
            <w:tcW w:w="964" w:type="dxa"/>
            <w:vAlign w:val="center"/>
          </w:tcPr>
          <w:p w14:paraId="2107A48E">
            <w:pPr>
              <w:pStyle w:val="16"/>
            </w:pPr>
            <w:r>
              <w:t>0.36</w:t>
            </w:r>
          </w:p>
        </w:tc>
        <w:tc>
          <w:tcPr>
            <w:tcW w:w="964" w:type="dxa"/>
            <w:vAlign w:val="center"/>
          </w:tcPr>
          <w:p w14:paraId="10B430C7">
            <w:pPr>
              <w:pStyle w:val="16"/>
            </w:pPr>
          </w:p>
        </w:tc>
        <w:tc>
          <w:tcPr>
            <w:tcW w:w="964" w:type="dxa"/>
            <w:vAlign w:val="center"/>
          </w:tcPr>
          <w:p w14:paraId="7B7D175F">
            <w:pPr>
              <w:pStyle w:val="16"/>
            </w:pPr>
          </w:p>
        </w:tc>
        <w:tc>
          <w:tcPr>
            <w:tcW w:w="964" w:type="dxa"/>
            <w:vAlign w:val="center"/>
          </w:tcPr>
          <w:p w14:paraId="0E1D4DE3">
            <w:pPr>
              <w:pStyle w:val="16"/>
            </w:pPr>
          </w:p>
        </w:tc>
        <w:tc>
          <w:tcPr>
            <w:tcW w:w="964" w:type="dxa"/>
            <w:vAlign w:val="center"/>
          </w:tcPr>
          <w:p w14:paraId="7507CBDA">
            <w:pPr>
              <w:pStyle w:val="16"/>
            </w:pPr>
          </w:p>
        </w:tc>
        <w:tc>
          <w:tcPr>
            <w:tcW w:w="964" w:type="dxa"/>
            <w:vAlign w:val="center"/>
          </w:tcPr>
          <w:p w14:paraId="7C2718F0">
            <w:pPr>
              <w:pStyle w:val="16"/>
            </w:pPr>
          </w:p>
        </w:tc>
        <w:tc>
          <w:tcPr>
            <w:tcW w:w="964" w:type="dxa"/>
            <w:vAlign w:val="center"/>
          </w:tcPr>
          <w:p w14:paraId="141FBD61">
            <w:pPr>
              <w:pStyle w:val="16"/>
            </w:pPr>
            <w:r>
              <w:t>0.36</w:t>
            </w:r>
          </w:p>
        </w:tc>
      </w:tr>
      <w:tr w14:paraId="279E7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E2ADBB">
            <w:pPr>
              <w:pStyle w:val="15"/>
            </w:pPr>
            <w:r>
              <w:t>隆尧县莲子中学小计</w:t>
            </w:r>
          </w:p>
        </w:tc>
        <w:tc>
          <w:tcPr>
            <w:tcW w:w="964" w:type="dxa"/>
            <w:vAlign w:val="center"/>
          </w:tcPr>
          <w:p w14:paraId="28077FDE">
            <w:pPr>
              <w:pStyle w:val="16"/>
            </w:pPr>
          </w:p>
        </w:tc>
        <w:tc>
          <w:tcPr>
            <w:tcW w:w="1134" w:type="dxa"/>
            <w:vAlign w:val="center"/>
          </w:tcPr>
          <w:p w14:paraId="3865E560">
            <w:pPr>
              <w:pStyle w:val="17"/>
            </w:pPr>
          </w:p>
        </w:tc>
        <w:tc>
          <w:tcPr>
            <w:tcW w:w="1134" w:type="dxa"/>
            <w:vAlign w:val="center"/>
          </w:tcPr>
          <w:p w14:paraId="7B391DC2">
            <w:pPr>
              <w:pStyle w:val="17"/>
            </w:pPr>
          </w:p>
        </w:tc>
        <w:tc>
          <w:tcPr>
            <w:tcW w:w="709" w:type="dxa"/>
            <w:vAlign w:val="center"/>
          </w:tcPr>
          <w:p w14:paraId="64483C26">
            <w:pPr>
              <w:pStyle w:val="15"/>
            </w:pPr>
          </w:p>
        </w:tc>
        <w:tc>
          <w:tcPr>
            <w:tcW w:w="850" w:type="dxa"/>
            <w:vAlign w:val="center"/>
          </w:tcPr>
          <w:p w14:paraId="585D0026">
            <w:pPr>
              <w:pStyle w:val="16"/>
            </w:pPr>
          </w:p>
        </w:tc>
        <w:tc>
          <w:tcPr>
            <w:tcW w:w="850" w:type="dxa"/>
            <w:vAlign w:val="center"/>
          </w:tcPr>
          <w:p w14:paraId="5CD08F94">
            <w:pPr>
              <w:pStyle w:val="16"/>
            </w:pPr>
          </w:p>
        </w:tc>
        <w:tc>
          <w:tcPr>
            <w:tcW w:w="964" w:type="dxa"/>
            <w:vAlign w:val="center"/>
          </w:tcPr>
          <w:p w14:paraId="2A86D5A1">
            <w:pPr>
              <w:pStyle w:val="16"/>
            </w:pPr>
            <w:r>
              <w:t>0.36</w:t>
            </w:r>
          </w:p>
        </w:tc>
        <w:tc>
          <w:tcPr>
            <w:tcW w:w="964" w:type="dxa"/>
            <w:vAlign w:val="center"/>
          </w:tcPr>
          <w:p w14:paraId="1DB351CC">
            <w:pPr>
              <w:pStyle w:val="16"/>
            </w:pPr>
            <w:r>
              <w:t>0.36</w:t>
            </w:r>
          </w:p>
        </w:tc>
        <w:tc>
          <w:tcPr>
            <w:tcW w:w="964" w:type="dxa"/>
            <w:vAlign w:val="center"/>
          </w:tcPr>
          <w:p w14:paraId="2401CB5E">
            <w:pPr>
              <w:pStyle w:val="16"/>
            </w:pPr>
          </w:p>
        </w:tc>
        <w:tc>
          <w:tcPr>
            <w:tcW w:w="964" w:type="dxa"/>
            <w:vAlign w:val="center"/>
          </w:tcPr>
          <w:p w14:paraId="3581358C">
            <w:pPr>
              <w:pStyle w:val="16"/>
            </w:pPr>
          </w:p>
        </w:tc>
        <w:tc>
          <w:tcPr>
            <w:tcW w:w="964" w:type="dxa"/>
            <w:vAlign w:val="center"/>
          </w:tcPr>
          <w:p w14:paraId="0B24D58D">
            <w:pPr>
              <w:pStyle w:val="16"/>
            </w:pPr>
          </w:p>
        </w:tc>
        <w:tc>
          <w:tcPr>
            <w:tcW w:w="964" w:type="dxa"/>
            <w:vAlign w:val="center"/>
          </w:tcPr>
          <w:p w14:paraId="0D846D4C">
            <w:pPr>
              <w:pStyle w:val="16"/>
            </w:pPr>
          </w:p>
        </w:tc>
        <w:tc>
          <w:tcPr>
            <w:tcW w:w="964" w:type="dxa"/>
            <w:vAlign w:val="center"/>
          </w:tcPr>
          <w:p w14:paraId="78BDD652">
            <w:pPr>
              <w:pStyle w:val="16"/>
            </w:pPr>
          </w:p>
        </w:tc>
        <w:tc>
          <w:tcPr>
            <w:tcW w:w="964" w:type="dxa"/>
            <w:vAlign w:val="center"/>
          </w:tcPr>
          <w:p w14:paraId="3B449655">
            <w:pPr>
              <w:pStyle w:val="16"/>
            </w:pPr>
            <w:r>
              <w:t>0.36</w:t>
            </w:r>
          </w:p>
        </w:tc>
      </w:tr>
      <w:tr w14:paraId="05CC1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F124EC">
            <w:pPr>
              <w:pStyle w:val="13"/>
            </w:pPr>
            <w:r>
              <w:t>冀财教[2024]141号/省级/2025年义教补助经费/莲子中学公用经费</w:t>
            </w:r>
          </w:p>
        </w:tc>
        <w:tc>
          <w:tcPr>
            <w:tcW w:w="964" w:type="dxa"/>
            <w:vAlign w:val="center"/>
          </w:tcPr>
          <w:p w14:paraId="0D3D957A">
            <w:pPr>
              <w:pStyle w:val="14"/>
            </w:pPr>
            <w:r>
              <w:t>24.86</w:t>
            </w:r>
          </w:p>
        </w:tc>
        <w:tc>
          <w:tcPr>
            <w:tcW w:w="1134" w:type="dxa"/>
            <w:vAlign w:val="center"/>
          </w:tcPr>
          <w:p w14:paraId="0C2DA0B5">
            <w:pPr>
              <w:pStyle w:val="13"/>
            </w:pPr>
            <w:r>
              <w:t>办公桌</w:t>
            </w:r>
          </w:p>
        </w:tc>
        <w:tc>
          <w:tcPr>
            <w:tcW w:w="1134" w:type="dxa"/>
            <w:vAlign w:val="center"/>
          </w:tcPr>
          <w:p w14:paraId="6BC4667B">
            <w:pPr>
              <w:pStyle w:val="13"/>
            </w:pPr>
            <w:r>
              <w:t>A05010201</w:t>
            </w:r>
          </w:p>
        </w:tc>
        <w:tc>
          <w:tcPr>
            <w:tcW w:w="709" w:type="dxa"/>
            <w:vAlign w:val="center"/>
          </w:tcPr>
          <w:p w14:paraId="359F7269">
            <w:pPr>
              <w:pStyle w:val="12"/>
            </w:pPr>
            <w:r>
              <w:t>件</w:t>
            </w:r>
          </w:p>
        </w:tc>
        <w:tc>
          <w:tcPr>
            <w:tcW w:w="850" w:type="dxa"/>
            <w:vAlign w:val="center"/>
          </w:tcPr>
          <w:p w14:paraId="2758C22A">
            <w:pPr>
              <w:pStyle w:val="14"/>
            </w:pPr>
            <w:r>
              <w:t>2</w:t>
            </w:r>
          </w:p>
        </w:tc>
        <w:tc>
          <w:tcPr>
            <w:tcW w:w="850" w:type="dxa"/>
            <w:vAlign w:val="center"/>
          </w:tcPr>
          <w:p w14:paraId="4459279D">
            <w:pPr>
              <w:pStyle w:val="14"/>
            </w:pPr>
            <w:r>
              <w:t>0.18</w:t>
            </w:r>
          </w:p>
        </w:tc>
        <w:tc>
          <w:tcPr>
            <w:tcW w:w="964" w:type="dxa"/>
            <w:vAlign w:val="center"/>
          </w:tcPr>
          <w:p w14:paraId="046BEEE9">
            <w:pPr>
              <w:pStyle w:val="14"/>
            </w:pPr>
            <w:r>
              <w:t>0.36</w:t>
            </w:r>
          </w:p>
        </w:tc>
        <w:tc>
          <w:tcPr>
            <w:tcW w:w="964" w:type="dxa"/>
            <w:vAlign w:val="center"/>
          </w:tcPr>
          <w:p w14:paraId="003C4DDB">
            <w:pPr>
              <w:pStyle w:val="14"/>
            </w:pPr>
            <w:r>
              <w:t>0.36</w:t>
            </w:r>
          </w:p>
        </w:tc>
        <w:tc>
          <w:tcPr>
            <w:tcW w:w="964" w:type="dxa"/>
            <w:vAlign w:val="center"/>
          </w:tcPr>
          <w:p w14:paraId="68F2CE6B">
            <w:pPr>
              <w:pStyle w:val="14"/>
            </w:pPr>
          </w:p>
        </w:tc>
        <w:tc>
          <w:tcPr>
            <w:tcW w:w="964" w:type="dxa"/>
            <w:vAlign w:val="center"/>
          </w:tcPr>
          <w:p w14:paraId="48B8477E">
            <w:pPr>
              <w:pStyle w:val="14"/>
            </w:pPr>
          </w:p>
        </w:tc>
        <w:tc>
          <w:tcPr>
            <w:tcW w:w="964" w:type="dxa"/>
            <w:vAlign w:val="center"/>
          </w:tcPr>
          <w:p w14:paraId="7FFF026E">
            <w:pPr>
              <w:pStyle w:val="14"/>
            </w:pPr>
          </w:p>
        </w:tc>
        <w:tc>
          <w:tcPr>
            <w:tcW w:w="964" w:type="dxa"/>
            <w:vAlign w:val="center"/>
          </w:tcPr>
          <w:p w14:paraId="0DC3E096">
            <w:pPr>
              <w:pStyle w:val="14"/>
            </w:pPr>
          </w:p>
        </w:tc>
        <w:tc>
          <w:tcPr>
            <w:tcW w:w="964" w:type="dxa"/>
            <w:vAlign w:val="center"/>
          </w:tcPr>
          <w:p w14:paraId="393E138A">
            <w:pPr>
              <w:pStyle w:val="14"/>
            </w:pPr>
          </w:p>
        </w:tc>
        <w:tc>
          <w:tcPr>
            <w:tcW w:w="964" w:type="dxa"/>
            <w:vAlign w:val="center"/>
          </w:tcPr>
          <w:p w14:paraId="46597057">
            <w:pPr>
              <w:pStyle w:val="14"/>
            </w:pPr>
            <w:r>
              <w:t>0.36</w:t>
            </w:r>
          </w:p>
        </w:tc>
      </w:tr>
    </w:tbl>
    <w:p w14:paraId="229F6A6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BFA398">
      <w:pPr>
        <w:spacing w:before="0" w:after="0"/>
        <w:ind w:firstLine="640"/>
        <w:jc w:val="left"/>
        <w:outlineLvl w:val="9"/>
      </w:pPr>
      <w:r>
        <w:rPr>
          <w:rFonts w:ascii="Times New Roman" w:hAnsi="Times New Roman" w:eastAsia="方正仿宋_GBK" w:cs="Times New Roman"/>
          <w:color w:val="000000"/>
          <w:sz w:val="32"/>
        </w:rPr>
        <w:t xml:space="preserve"> </w:t>
      </w:r>
    </w:p>
    <w:p w14:paraId="72FB0DF1">
      <w:pPr>
        <w:spacing w:before="10" w:after="10" w:line="240" w:lineRule="auto"/>
        <w:ind w:firstLine="640"/>
        <w:jc w:val="left"/>
        <w:outlineLvl w:val="5"/>
      </w:pPr>
      <w:r>
        <w:rPr>
          <w:rFonts w:ascii="黑体" w:hAnsi="黑体" w:eastAsia="黑体" w:cs="黑体"/>
          <w:color w:val="000000"/>
          <w:sz w:val="32"/>
        </w:rPr>
        <w:t>七、国有资产信息</w:t>
      </w:r>
    </w:p>
    <w:p w14:paraId="68C76F95">
      <w:pPr>
        <w:spacing w:before="0" w:after="0" w:line="500" w:lineRule="exact"/>
        <w:ind w:firstLine="560"/>
        <w:jc w:val="left"/>
        <w:outlineLvl w:val="9"/>
      </w:pPr>
      <w:r>
        <w:rPr>
          <w:rFonts w:ascii="Times New Roman" w:hAnsi="Times New Roman" w:eastAsia="方正仿宋_GBK" w:cs="Times New Roman"/>
          <w:b w:val="0"/>
          <w:color w:val="000000"/>
          <w:sz w:val="28"/>
        </w:rPr>
        <w:t>隆尧县莲子中学上年末固定资产金额为1596.80万元（详见下表）。本年度拟购置固定资产总额为17.10万元，已按要求列入政府采购预算，详见政府采购预算表。</w:t>
      </w:r>
    </w:p>
    <w:p w14:paraId="6AB453A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C19D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6FD0ED2">
            <w:pPr>
              <w:pStyle w:val="8"/>
            </w:pPr>
            <w:r>
              <w:t>360034隆尧县莲子中学</w:t>
            </w:r>
          </w:p>
        </w:tc>
        <w:tc>
          <w:tcPr>
            <w:tcW w:w="5670" w:type="dxa"/>
            <w:gridSpan w:val="2"/>
            <w:tcBorders>
              <w:top w:val="single" w:color="FFFFFF" w:sz="6" w:space="0"/>
              <w:left w:val="single" w:color="FFFFFF" w:sz="6" w:space="0"/>
              <w:right w:val="single" w:color="FFFFFF" w:sz="6" w:space="0"/>
            </w:tcBorders>
            <w:vAlign w:val="center"/>
          </w:tcPr>
          <w:p w14:paraId="768C0BE9">
            <w:pPr>
              <w:pStyle w:val="10"/>
            </w:pPr>
            <w:r>
              <w:t>截止时间：2024-12-31</w:t>
            </w:r>
          </w:p>
        </w:tc>
      </w:tr>
      <w:tr w14:paraId="4386C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450F35C">
            <w:pPr>
              <w:pStyle w:val="11"/>
            </w:pPr>
            <w:r>
              <w:t>项   目</w:t>
            </w:r>
          </w:p>
        </w:tc>
        <w:tc>
          <w:tcPr>
            <w:tcW w:w="2835" w:type="dxa"/>
            <w:vAlign w:val="center"/>
          </w:tcPr>
          <w:p w14:paraId="7AAC3E36">
            <w:pPr>
              <w:pStyle w:val="11"/>
            </w:pPr>
            <w:r>
              <w:t>数量</w:t>
            </w:r>
          </w:p>
        </w:tc>
        <w:tc>
          <w:tcPr>
            <w:tcW w:w="2835" w:type="dxa"/>
            <w:vAlign w:val="center"/>
          </w:tcPr>
          <w:p w14:paraId="045E547B">
            <w:pPr>
              <w:pStyle w:val="11"/>
            </w:pPr>
            <w:r>
              <w:t>价值（金额单位：万元）</w:t>
            </w:r>
          </w:p>
        </w:tc>
      </w:tr>
      <w:tr w14:paraId="61311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8DE0D7">
            <w:pPr>
              <w:pStyle w:val="13"/>
            </w:pPr>
            <w:r>
              <w:t>资产总额</w:t>
            </w:r>
          </w:p>
        </w:tc>
        <w:tc>
          <w:tcPr>
            <w:tcW w:w="2835" w:type="dxa"/>
            <w:vAlign w:val="center"/>
          </w:tcPr>
          <w:p w14:paraId="32E0C767">
            <w:pPr>
              <w:pStyle w:val="12"/>
            </w:pPr>
          </w:p>
        </w:tc>
        <w:tc>
          <w:tcPr>
            <w:tcW w:w="2835" w:type="dxa"/>
            <w:vAlign w:val="center"/>
          </w:tcPr>
          <w:p w14:paraId="23621B8B">
            <w:pPr>
              <w:pStyle w:val="14"/>
            </w:pPr>
            <w:r>
              <w:t>1596.80</w:t>
            </w:r>
          </w:p>
        </w:tc>
      </w:tr>
      <w:tr w14:paraId="6ACBD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E806B7">
            <w:pPr>
              <w:pStyle w:val="13"/>
            </w:pPr>
            <w:r>
              <w:t>1、房屋（平方米）</w:t>
            </w:r>
          </w:p>
        </w:tc>
        <w:tc>
          <w:tcPr>
            <w:tcW w:w="2835" w:type="dxa"/>
            <w:vAlign w:val="center"/>
          </w:tcPr>
          <w:p w14:paraId="3C89FE63">
            <w:pPr>
              <w:pStyle w:val="12"/>
            </w:pPr>
            <w:r>
              <w:t>12488</w:t>
            </w:r>
          </w:p>
        </w:tc>
        <w:tc>
          <w:tcPr>
            <w:tcW w:w="2835" w:type="dxa"/>
            <w:vAlign w:val="center"/>
          </w:tcPr>
          <w:p w14:paraId="60CFA4EF">
            <w:pPr>
              <w:pStyle w:val="14"/>
            </w:pPr>
            <w:r>
              <w:t>1178.00</w:t>
            </w:r>
          </w:p>
        </w:tc>
      </w:tr>
      <w:tr w14:paraId="74400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EDD5AD">
            <w:pPr>
              <w:pStyle w:val="13"/>
            </w:pPr>
            <w:r>
              <w:t>　　其中：办公用房（平方米）</w:t>
            </w:r>
          </w:p>
        </w:tc>
        <w:tc>
          <w:tcPr>
            <w:tcW w:w="2835" w:type="dxa"/>
            <w:vAlign w:val="center"/>
          </w:tcPr>
          <w:p w14:paraId="5A89B5E0">
            <w:pPr>
              <w:pStyle w:val="12"/>
            </w:pPr>
            <w:r>
              <w:t>1125</w:t>
            </w:r>
          </w:p>
        </w:tc>
        <w:tc>
          <w:tcPr>
            <w:tcW w:w="2835" w:type="dxa"/>
            <w:vAlign w:val="center"/>
          </w:tcPr>
          <w:p w14:paraId="04289A33">
            <w:pPr>
              <w:pStyle w:val="14"/>
            </w:pPr>
            <w:r>
              <w:t>106.10</w:t>
            </w:r>
          </w:p>
        </w:tc>
      </w:tr>
      <w:tr w14:paraId="38C45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D590D3">
            <w:pPr>
              <w:pStyle w:val="13"/>
            </w:pPr>
            <w:r>
              <w:t>2、车辆（台、辆）</w:t>
            </w:r>
          </w:p>
        </w:tc>
        <w:tc>
          <w:tcPr>
            <w:tcW w:w="2835" w:type="dxa"/>
            <w:vAlign w:val="center"/>
          </w:tcPr>
          <w:p w14:paraId="4B5657E6">
            <w:pPr>
              <w:pStyle w:val="12"/>
            </w:pPr>
          </w:p>
        </w:tc>
        <w:tc>
          <w:tcPr>
            <w:tcW w:w="2835" w:type="dxa"/>
            <w:vAlign w:val="center"/>
          </w:tcPr>
          <w:p w14:paraId="53755727">
            <w:pPr>
              <w:pStyle w:val="14"/>
            </w:pPr>
          </w:p>
        </w:tc>
      </w:tr>
      <w:tr w14:paraId="0ABF5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C3D7CE">
            <w:pPr>
              <w:pStyle w:val="13"/>
            </w:pPr>
            <w:r>
              <w:t>3、单价在20万元以上的设备</w:t>
            </w:r>
          </w:p>
        </w:tc>
        <w:tc>
          <w:tcPr>
            <w:tcW w:w="2835" w:type="dxa"/>
            <w:vAlign w:val="center"/>
          </w:tcPr>
          <w:p w14:paraId="2B0B6E14">
            <w:pPr>
              <w:pStyle w:val="12"/>
            </w:pPr>
          </w:p>
        </w:tc>
        <w:tc>
          <w:tcPr>
            <w:tcW w:w="2835" w:type="dxa"/>
            <w:vAlign w:val="center"/>
          </w:tcPr>
          <w:p w14:paraId="4FC70422">
            <w:pPr>
              <w:pStyle w:val="14"/>
            </w:pPr>
          </w:p>
        </w:tc>
      </w:tr>
      <w:tr w14:paraId="599C4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5F4D48">
            <w:pPr>
              <w:pStyle w:val="13"/>
            </w:pPr>
            <w:r>
              <w:t>4、其他固定资产</w:t>
            </w:r>
          </w:p>
        </w:tc>
        <w:tc>
          <w:tcPr>
            <w:tcW w:w="2835" w:type="dxa"/>
            <w:vAlign w:val="center"/>
          </w:tcPr>
          <w:p w14:paraId="0CE59442">
            <w:pPr>
              <w:pStyle w:val="12"/>
            </w:pPr>
            <w:r>
              <w:t>28980</w:t>
            </w:r>
          </w:p>
        </w:tc>
        <w:tc>
          <w:tcPr>
            <w:tcW w:w="2835" w:type="dxa"/>
            <w:vAlign w:val="center"/>
          </w:tcPr>
          <w:p w14:paraId="305EBC64">
            <w:pPr>
              <w:pStyle w:val="14"/>
            </w:pPr>
            <w:r>
              <w:t>418.80</w:t>
            </w:r>
          </w:p>
        </w:tc>
      </w:tr>
    </w:tbl>
    <w:p w14:paraId="76946136">
      <w:pPr>
        <w:spacing w:before="0" w:after="0"/>
        <w:ind w:firstLine="640"/>
        <w:jc w:val="left"/>
        <w:outlineLvl w:val="9"/>
      </w:pPr>
      <w:r>
        <w:rPr>
          <w:rFonts w:ascii="Times New Roman" w:hAnsi="Times New Roman" w:eastAsia="方正仿宋_GBK" w:cs="Times New Roman"/>
          <w:color w:val="000000"/>
          <w:sz w:val="32"/>
        </w:rPr>
        <w:t xml:space="preserve"> </w:t>
      </w:r>
    </w:p>
    <w:p w14:paraId="2B57CEB2">
      <w:pPr>
        <w:spacing w:before="10" w:after="10" w:line="240" w:lineRule="auto"/>
        <w:ind w:firstLine="640"/>
        <w:jc w:val="left"/>
        <w:outlineLvl w:val="5"/>
      </w:pPr>
      <w:r>
        <w:rPr>
          <w:rFonts w:ascii="黑体" w:hAnsi="黑体" w:eastAsia="黑体" w:cs="黑体"/>
          <w:color w:val="000000"/>
          <w:sz w:val="32"/>
        </w:rPr>
        <w:t>八、名词解释</w:t>
      </w:r>
    </w:p>
    <w:p w14:paraId="6B6C373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685FE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80A4F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61914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0B8D9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E736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47BAD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A8647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400C6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9E27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D910BD">
      <w:pPr>
        <w:spacing w:before="10" w:after="10" w:line="240" w:lineRule="auto"/>
        <w:ind w:firstLine="640"/>
        <w:jc w:val="left"/>
        <w:outlineLvl w:val="5"/>
      </w:pPr>
      <w:r>
        <w:rPr>
          <w:rFonts w:ascii="黑体" w:hAnsi="黑体" w:eastAsia="黑体" w:cs="黑体"/>
          <w:color w:val="000000"/>
          <w:sz w:val="32"/>
        </w:rPr>
        <w:t>九、其他需要说明的事项</w:t>
      </w:r>
    </w:p>
    <w:p w14:paraId="1C4E0C2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ABE9089">
      <w:pPr>
        <w:spacing w:before="0" w:after="0"/>
        <w:ind w:firstLine="0"/>
        <w:jc w:val="center"/>
        <w:outlineLvl w:val="3"/>
      </w:pPr>
      <w:bookmarkStart w:id="34" w:name="_Toc_4_4_0000000054"/>
      <w:r>
        <w:rPr>
          <w:rFonts w:ascii="方正小标宋_GBK" w:hAnsi="方正小标宋_GBK" w:eastAsia="方正小标宋_GBK" w:cs="方正小标宋_GBK"/>
          <w:b w:val="0"/>
          <w:color w:val="000000"/>
          <w:sz w:val="44"/>
        </w:rPr>
        <w:t>三十四、隆尧县唐尧街幼儿园收支预算</w:t>
      </w:r>
      <w:bookmarkEnd w:id="34"/>
    </w:p>
    <w:p w14:paraId="5D645B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576F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A0F5FE">
            <w:pPr>
              <w:pStyle w:val="8"/>
            </w:pPr>
            <w:r>
              <w:t>360035隆尧县唐尧街幼儿园</w:t>
            </w:r>
          </w:p>
        </w:tc>
        <w:tc>
          <w:tcPr>
            <w:tcW w:w="2126" w:type="dxa"/>
            <w:tcBorders>
              <w:top w:val="single" w:color="FFFFFF" w:sz="6" w:space="0"/>
              <w:left w:val="single" w:color="FFFFFF" w:sz="6" w:space="0"/>
              <w:right w:val="single" w:color="FFFFFF" w:sz="6" w:space="0"/>
            </w:tcBorders>
            <w:vAlign w:val="center"/>
          </w:tcPr>
          <w:p w14:paraId="341AE79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3E6F68D">
            <w:pPr>
              <w:pStyle w:val="10"/>
            </w:pPr>
            <w:r>
              <w:t>单位：万元</w:t>
            </w:r>
          </w:p>
        </w:tc>
      </w:tr>
      <w:tr w14:paraId="1A058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7F613C">
            <w:pPr>
              <w:pStyle w:val="11"/>
            </w:pPr>
            <w:r>
              <w:t>序号</w:t>
            </w:r>
          </w:p>
        </w:tc>
        <w:tc>
          <w:tcPr>
            <w:tcW w:w="6661" w:type="dxa"/>
            <w:gridSpan w:val="2"/>
            <w:vAlign w:val="center"/>
          </w:tcPr>
          <w:p w14:paraId="0A0407A2">
            <w:pPr>
              <w:pStyle w:val="11"/>
            </w:pPr>
            <w:r>
              <w:t>收入</w:t>
            </w:r>
          </w:p>
        </w:tc>
        <w:tc>
          <w:tcPr>
            <w:tcW w:w="6661" w:type="dxa"/>
            <w:gridSpan w:val="2"/>
            <w:vAlign w:val="center"/>
          </w:tcPr>
          <w:p w14:paraId="5FDACACA">
            <w:pPr>
              <w:pStyle w:val="11"/>
            </w:pPr>
            <w:r>
              <w:t>支出</w:t>
            </w:r>
          </w:p>
        </w:tc>
      </w:tr>
      <w:tr w14:paraId="72D5F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AC4133"/>
        </w:tc>
        <w:tc>
          <w:tcPr>
            <w:tcW w:w="4535" w:type="dxa"/>
            <w:vAlign w:val="center"/>
          </w:tcPr>
          <w:p w14:paraId="3E02E9A1">
            <w:pPr>
              <w:pStyle w:val="11"/>
            </w:pPr>
            <w:r>
              <w:t>项  目</w:t>
            </w:r>
          </w:p>
        </w:tc>
        <w:tc>
          <w:tcPr>
            <w:tcW w:w="2126" w:type="dxa"/>
            <w:vAlign w:val="center"/>
          </w:tcPr>
          <w:p w14:paraId="1911A1FE">
            <w:pPr>
              <w:pStyle w:val="11"/>
            </w:pPr>
            <w:r>
              <w:t>预算数</w:t>
            </w:r>
          </w:p>
        </w:tc>
        <w:tc>
          <w:tcPr>
            <w:tcW w:w="4535" w:type="dxa"/>
            <w:vAlign w:val="center"/>
          </w:tcPr>
          <w:p w14:paraId="1971000A">
            <w:pPr>
              <w:pStyle w:val="11"/>
            </w:pPr>
            <w:r>
              <w:t>项  目</w:t>
            </w:r>
          </w:p>
        </w:tc>
        <w:tc>
          <w:tcPr>
            <w:tcW w:w="2126" w:type="dxa"/>
            <w:vAlign w:val="center"/>
          </w:tcPr>
          <w:p w14:paraId="5CEAADAC">
            <w:pPr>
              <w:pStyle w:val="11"/>
            </w:pPr>
            <w:r>
              <w:t>预算数</w:t>
            </w:r>
          </w:p>
        </w:tc>
      </w:tr>
      <w:tr w14:paraId="209EA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775EE7">
            <w:pPr>
              <w:pStyle w:val="11"/>
            </w:pPr>
            <w:r>
              <w:t>栏次</w:t>
            </w:r>
          </w:p>
        </w:tc>
        <w:tc>
          <w:tcPr>
            <w:tcW w:w="4535" w:type="dxa"/>
            <w:vAlign w:val="center"/>
          </w:tcPr>
          <w:p w14:paraId="506ED56D">
            <w:pPr>
              <w:pStyle w:val="11"/>
            </w:pPr>
            <w:r>
              <w:t>1</w:t>
            </w:r>
          </w:p>
        </w:tc>
        <w:tc>
          <w:tcPr>
            <w:tcW w:w="2126" w:type="dxa"/>
            <w:vAlign w:val="center"/>
          </w:tcPr>
          <w:p w14:paraId="221F980E">
            <w:pPr>
              <w:pStyle w:val="11"/>
            </w:pPr>
            <w:r>
              <w:t>2</w:t>
            </w:r>
          </w:p>
        </w:tc>
        <w:tc>
          <w:tcPr>
            <w:tcW w:w="4535" w:type="dxa"/>
            <w:vAlign w:val="center"/>
          </w:tcPr>
          <w:p w14:paraId="0FEA26E5">
            <w:pPr>
              <w:pStyle w:val="11"/>
            </w:pPr>
            <w:r>
              <w:t>3</w:t>
            </w:r>
          </w:p>
        </w:tc>
        <w:tc>
          <w:tcPr>
            <w:tcW w:w="2126" w:type="dxa"/>
            <w:vAlign w:val="center"/>
          </w:tcPr>
          <w:p w14:paraId="4964E1E1">
            <w:pPr>
              <w:pStyle w:val="11"/>
            </w:pPr>
            <w:r>
              <w:t>4</w:t>
            </w:r>
          </w:p>
        </w:tc>
      </w:tr>
      <w:tr w14:paraId="48010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B1243">
            <w:pPr>
              <w:pStyle w:val="12"/>
            </w:pPr>
            <w:r>
              <w:t>1</w:t>
            </w:r>
          </w:p>
        </w:tc>
        <w:tc>
          <w:tcPr>
            <w:tcW w:w="4535" w:type="dxa"/>
            <w:vAlign w:val="center"/>
          </w:tcPr>
          <w:p w14:paraId="7A596A81">
            <w:pPr>
              <w:pStyle w:val="13"/>
            </w:pPr>
            <w:r>
              <w:t>一、一般公共预算拨款收入</w:t>
            </w:r>
          </w:p>
        </w:tc>
        <w:tc>
          <w:tcPr>
            <w:tcW w:w="2126" w:type="dxa"/>
            <w:vAlign w:val="center"/>
          </w:tcPr>
          <w:p w14:paraId="26A2D54D">
            <w:pPr>
              <w:pStyle w:val="14"/>
            </w:pPr>
            <w:r>
              <w:t>189.77</w:t>
            </w:r>
          </w:p>
        </w:tc>
        <w:tc>
          <w:tcPr>
            <w:tcW w:w="4535" w:type="dxa"/>
            <w:vAlign w:val="center"/>
          </w:tcPr>
          <w:p w14:paraId="544E4FF9">
            <w:pPr>
              <w:pStyle w:val="13"/>
            </w:pPr>
            <w:r>
              <w:t>一、一般公共服务支出</w:t>
            </w:r>
          </w:p>
        </w:tc>
        <w:tc>
          <w:tcPr>
            <w:tcW w:w="2126" w:type="dxa"/>
            <w:vAlign w:val="center"/>
          </w:tcPr>
          <w:p w14:paraId="41A9C4EF">
            <w:pPr>
              <w:pStyle w:val="14"/>
            </w:pPr>
          </w:p>
        </w:tc>
      </w:tr>
      <w:tr w14:paraId="59953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FF0E6">
            <w:pPr>
              <w:pStyle w:val="12"/>
            </w:pPr>
            <w:r>
              <w:t>2</w:t>
            </w:r>
          </w:p>
        </w:tc>
        <w:tc>
          <w:tcPr>
            <w:tcW w:w="4535" w:type="dxa"/>
            <w:vAlign w:val="center"/>
          </w:tcPr>
          <w:p w14:paraId="5F499EAF">
            <w:pPr>
              <w:pStyle w:val="13"/>
            </w:pPr>
            <w:r>
              <w:t>二、政府性基金预算拨款收入</w:t>
            </w:r>
          </w:p>
        </w:tc>
        <w:tc>
          <w:tcPr>
            <w:tcW w:w="2126" w:type="dxa"/>
            <w:vAlign w:val="center"/>
          </w:tcPr>
          <w:p w14:paraId="028F2030">
            <w:pPr>
              <w:pStyle w:val="14"/>
            </w:pPr>
          </w:p>
        </w:tc>
        <w:tc>
          <w:tcPr>
            <w:tcW w:w="4535" w:type="dxa"/>
            <w:vAlign w:val="center"/>
          </w:tcPr>
          <w:p w14:paraId="2EA1DBD9">
            <w:pPr>
              <w:pStyle w:val="13"/>
            </w:pPr>
            <w:r>
              <w:t>二、外交支出</w:t>
            </w:r>
          </w:p>
        </w:tc>
        <w:tc>
          <w:tcPr>
            <w:tcW w:w="2126" w:type="dxa"/>
            <w:vAlign w:val="center"/>
          </w:tcPr>
          <w:p w14:paraId="7C7455E0">
            <w:pPr>
              <w:pStyle w:val="14"/>
            </w:pPr>
          </w:p>
        </w:tc>
      </w:tr>
      <w:tr w14:paraId="17D2E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5AA2A">
            <w:pPr>
              <w:pStyle w:val="12"/>
            </w:pPr>
            <w:r>
              <w:t>3</w:t>
            </w:r>
          </w:p>
        </w:tc>
        <w:tc>
          <w:tcPr>
            <w:tcW w:w="4535" w:type="dxa"/>
            <w:vAlign w:val="center"/>
          </w:tcPr>
          <w:p w14:paraId="32829115">
            <w:pPr>
              <w:pStyle w:val="13"/>
            </w:pPr>
            <w:r>
              <w:t>三、国有资本经营预算拨款收入</w:t>
            </w:r>
          </w:p>
        </w:tc>
        <w:tc>
          <w:tcPr>
            <w:tcW w:w="2126" w:type="dxa"/>
            <w:vAlign w:val="center"/>
          </w:tcPr>
          <w:p w14:paraId="59242404">
            <w:pPr>
              <w:pStyle w:val="14"/>
            </w:pPr>
          </w:p>
        </w:tc>
        <w:tc>
          <w:tcPr>
            <w:tcW w:w="4535" w:type="dxa"/>
            <w:vAlign w:val="center"/>
          </w:tcPr>
          <w:p w14:paraId="6627F85E">
            <w:pPr>
              <w:pStyle w:val="13"/>
            </w:pPr>
            <w:r>
              <w:t>三、国防支出</w:t>
            </w:r>
          </w:p>
        </w:tc>
        <w:tc>
          <w:tcPr>
            <w:tcW w:w="2126" w:type="dxa"/>
            <w:vAlign w:val="center"/>
          </w:tcPr>
          <w:p w14:paraId="235ADDEE">
            <w:pPr>
              <w:pStyle w:val="14"/>
            </w:pPr>
          </w:p>
        </w:tc>
      </w:tr>
      <w:tr w14:paraId="4E97A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53E4A">
            <w:pPr>
              <w:pStyle w:val="12"/>
            </w:pPr>
            <w:r>
              <w:t>4</w:t>
            </w:r>
          </w:p>
        </w:tc>
        <w:tc>
          <w:tcPr>
            <w:tcW w:w="4535" w:type="dxa"/>
            <w:vAlign w:val="center"/>
          </w:tcPr>
          <w:p w14:paraId="1310CCCC">
            <w:pPr>
              <w:pStyle w:val="13"/>
            </w:pPr>
            <w:r>
              <w:t>四、财政专户管理资金收入</w:t>
            </w:r>
          </w:p>
        </w:tc>
        <w:tc>
          <w:tcPr>
            <w:tcW w:w="2126" w:type="dxa"/>
            <w:vAlign w:val="center"/>
          </w:tcPr>
          <w:p w14:paraId="037BC8B1">
            <w:pPr>
              <w:pStyle w:val="14"/>
            </w:pPr>
          </w:p>
        </w:tc>
        <w:tc>
          <w:tcPr>
            <w:tcW w:w="4535" w:type="dxa"/>
            <w:vAlign w:val="center"/>
          </w:tcPr>
          <w:p w14:paraId="375FE3A1">
            <w:pPr>
              <w:pStyle w:val="13"/>
            </w:pPr>
            <w:r>
              <w:t>四、公共安全支出</w:t>
            </w:r>
          </w:p>
        </w:tc>
        <w:tc>
          <w:tcPr>
            <w:tcW w:w="2126" w:type="dxa"/>
            <w:vAlign w:val="center"/>
          </w:tcPr>
          <w:p w14:paraId="7A48AA35">
            <w:pPr>
              <w:pStyle w:val="14"/>
            </w:pPr>
          </w:p>
        </w:tc>
      </w:tr>
      <w:tr w14:paraId="35D53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E2B75">
            <w:pPr>
              <w:pStyle w:val="12"/>
            </w:pPr>
            <w:r>
              <w:t>5</w:t>
            </w:r>
          </w:p>
        </w:tc>
        <w:tc>
          <w:tcPr>
            <w:tcW w:w="4535" w:type="dxa"/>
            <w:vAlign w:val="center"/>
          </w:tcPr>
          <w:p w14:paraId="753FB522">
            <w:pPr>
              <w:pStyle w:val="13"/>
            </w:pPr>
            <w:r>
              <w:t>五、单位资金</w:t>
            </w:r>
          </w:p>
        </w:tc>
        <w:tc>
          <w:tcPr>
            <w:tcW w:w="2126" w:type="dxa"/>
            <w:vAlign w:val="center"/>
          </w:tcPr>
          <w:p w14:paraId="6F584966">
            <w:pPr>
              <w:pStyle w:val="14"/>
            </w:pPr>
          </w:p>
        </w:tc>
        <w:tc>
          <w:tcPr>
            <w:tcW w:w="4535" w:type="dxa"/>
            <w:vAlign w:val="center"/>
          </w:tcPr>
          <w:p w14:paraId="3BB3EF72">
            <w:pPr>
              <w:pStyle w:val="13"/>
            </w:pPr>
            <w:r>
              <w:t>五、教育支出</w:t>
            </w:r>
          </w:p>
        </w:tc>
        <w:tc>
          <w:tcPr>
            <w:tcW w:w="2126" w:type="dxa"/>
            <w:vAlign w:val="center"/>
          </w:tcPr>
          <w:p w14:paraId="381E410F">
            <w:pPr>
              <w:pStyle w:val="14"/>
            </w:pPr>
            <w:r>
              <w:t>189.77</w:t>
            </w:r>
          </w:p>
        </w:tc>
      </w:tr>
      <w:tr w14:paraId="66725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1E944">
            <w:pPr>
              <w:pStyle w:val="12"/>
            </w:pPr>
            <w:r>
              <w:t>6</w:t>
            </w:r>
          </w:p>
        </w:tc>
        <w:tc>
          <w:tcPr>
            <w:tcW w:w="4535" w:type="dxa"/>
            <w:vAlign w:val="center"/>
          </w:tcPr>
          <w:p w14:paraId="500FB50B">
            <w:pPr>
              <w:pStyle w:val="13"/>
            </w:pPr>
          </w:p>
        </w:tc>
        <w:tc>
          <w:tcPr>
            <w:tcW w:w="2126" w:type="dxa"/>
            <w:vAlign w:val="center"/>
          </w:tcPr>
          <w:p w14:paraId="428B7977">
            <w:pPr>
              <w:pStyle w:val="14"/>
            </w:pPr>
          </w:p>
        </w:tc>
        <w:tc>
          <w:tcPr>
            <w:tcW w:w="4535" w:type="dxa"/>
            <w:vAlign w:val="center"/>
          </w:tcPr>
          <w:p w14:paraId="7C671533">
            <w:pPr>
              <w:pStyle w:val="13"/>
            </w:pPr>
            <w:r>
              <w:t>六、科学技术支出</w:t>
            </w:r>
          </w:p>
        </w:tc>
        <w:tc>
          <w:tcPr>
            <w:tcW w:w="2126" w:type="dxa"/>
            <w:vAlign w:val="center"/>
          </w:tcPr>
          <w:p w14:paraId="66C39E85">
            <w:pPr>
              <w:pStyle w:val="14"/>
            </w:pPr>
          </w:p>
        </w:tc>
      </w:tr>
      <w:tr w14:paraId="19FA6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CA135">
            <w:pPr>
              <w:pStyle w:val="12"/>
            </w:pPr>
            <w:r>
              <w:t>7</w:t>
            </w:r>
          </w:p>
        </w:tc>
        <w:tc>
          <w:tcPr>
            <w:tcW w:w="4535" w:type="dxa"/>
            <w:vAlign w:val="center"/>
          </w:tcPr>
          <w:p w14:paraId="6589975C">
            <w:pPr>
              <w:pStyle w:val="13"/>
            </w:pPr>
          </w:p>
        </w:tc>
        <w:tc>
          <w:tcPr>
            <w:tcW w:w="2126" w:type="dxa"/>
            <w:vAlign w:val="center"/>
          </w:tcPr>
          <w:p w14:paraId="21EE7126">
            <w:pPr>
              <w:pStyle w:val="14"/>
            </w:pPr>
          </w:p>
        </w:tc>
        <w:tc>
          <w:tcPr>
            <w:tcW w:w="4535" w:type="dxa"/>
            <w:vAlign w:val="center"/>
          </w:tcPr>
          <w:p w14:paraId="1B136F4A">
            <w:pPr>
              <w:pStyle w:val="13"/>
            </w:pPr>
            <w:r>
              <w:t>七、文化旅游体育与传媒支出</w:t>
            </w:r>
          </w:p>
        </w:tc>
        <w:tc>
          <w:tcPr>
            <w:tcW w:w="2126" w:type="dxa"/>
            <w:vAlign w:val="center"/>
          </w:tcPr>
          <w:p w14:paraId="14F0127C">
            <w:pPr>
              <w:pStyle w:val="14"/>
            </w:pPr>
          </w:p>
        </w:tc>
      </w:tr>
      <w:tr w14:paraId="7749C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AD9D3">
            <w:pPr>
              <w:pStyle w:val="12"/>
            </w:pPr>
            <w:r>
              <w:t>8</w:t>
            </w:r>
          </w:p>
        </w:tc>
        <w:tc>
          <w:tcPr>
            <w:tcW w:w="4535" w:type="dxa"/>
            <w:vAlign w:val="center"/>
          </w:tcPr>
          <w:p w14:paraId="0CD9763B">
            <w:pPr>
              <w:pStyle w:val="13"/>
            </w:pPr>
          </w:p>
        </w:tc>
        <w:tc>
          <w:tcPr>
            <w:tcW w:w="2126" w:type="dxa"/>
            <w:vAlign w:val="center"/>
          </w:tcPr>
          <w:p w14:paraId="682D2C4F">
            <w:pPr>
              <w:pStyle w:val="14"/>
            </w:pPr>
          </w:p>
        </w:tc>
        <w:tc>
          <w:tcPr>
            <w:tcW w:w="4535" w:type="dxa"/>
            <w:vAlign w:val="center"/>
          </w:tcPr>
          <w:p w14:paraId="48F9A034">
            <w:pPr>
              <w:pStyle w:val="13"/>
            </w:pPr>
            <w:r>
              <w:t>八、社会保障和就业支出</w:t>
            </w:r>
          </w:p>
        </w:tc>
        <w:tc>
          <w:tcPr>
            <w:tcW w:w="2126" w:type="dxa"/>
            <w:vAlign w:val="center"/>
          </w:tcPr>
          <w:p w14:paraId="3C07F128">
            <w:pPr>
              <w:pStyle w:val="14"/>
            </w:pPr>
          </w:p>
        </w:tc>
      </w:tr>
      <w:tr w14:paraId="0E658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92F51">
            <w:pPr>
              <w:pStyle w:val="12"/>
            </w:pPr>
            <w:r>
              <w:t>9</w:t>
            </w:r>
          </w:p>
        </w:tc>
        <w:tc>
          <w:tcPr>
            <w:tcW w:w="4535" w:type="dxa"/>
            <w:vAlign w:val="center"/>
          </w:tcPr>
          <w:p w14:paraId="51B8BD04">
            <w:pPr>
              <w:pStyle w:val="13"/>
            </w:pPr>
          </w:p>
        </w:tc>
        <w:tc>
          <w:tcPr>
            <w:tcW w:w="2126" w:type="dxa"/>
            <w:vAlign w:val="center"/>
          </w:tcPr>
          <w:p w14:paraId="023A6E34">
            <w:pPr>
              <w:pStyle w:val="14"/>
            </w:pPr>
          </w:p>
        </w:tc>
        <w:tc>
          <w:tcPr>
            <w:tcW w:w="4535" w:type="dxa"/>
            <w:vAlign w:val="center"/>
          </w:tcPr>
          <w:p w14:paraId="51C28C13">
            <w:pPr>
              <w:pStyle w:val="13"/>
            </w:pPr>
            <w:r>
              <w:t>九、社会保险基金支出</w:t>
            </w:r>
          </w:p>
        </w:tc>
        <w:tc>
          <w:tcPr>
            <w:tcW w:w="2126" w:type="dxa"/>
            <w:vAlign w:val="center"/>
          </w:tcPr>
          <w:p w14:paraId="6AE912F7">
            <w:pPr>
              <w:pStyle w:val="14"/>
            </w:pPr>
          </w:p>
        </w:tc>
      </w:tr>
      <w:tr w14:paraId="16D73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BF19B">
            <w:pPr>
              <w:pStyle w:val="12"/>
            </w:pPr>
            <w:r>
              <w:t>10</w:t>
            </w:r>
          </w:p>
        </w:tc>
        <w:tc>
          <w:tcPr>
            <w:tcW w:w="4535" w:type="dxa"/>
            <w:vAlign w:val="center"/>
          </w:tcPr>
          <w:p w14:paraId="3D8792E0">
            <w:pPr>
              <w:pStyle w:val="13"/>
            </w:pPr>
          </w:p>
        </w:tc>
        <w:tc>
          <w:tcPr>
            <w:tcW w:w="2126" w:type="dxa"/>
            <w:vAlign w:val="center"/>
          </w:tcPr>
          <w:p w14:paraId="5B31520B">
            <w:pPr>
              <w:pStyle w:val="14"/>
            </w:pPr>
          </w:p>
        </w:tc>
        <w:tc>
          <w:tcPr>
            <w:tcW w:w="4535" w:type="dxa"/>
            <w:vAlign w:val="center"/>
          </w:tcPr>
          <w:p w14:paraId="28122451">
            <w:pPr>
              <w:pStyle w:val="13"/>
            </w:pPr>
            <w:r>
              <w:t>十、卫生健康支出</w:t>
            </w:r>
          </w:p>
        </w:tc>
        <w:tc>
          <w:tcPr>
            <w:tcW w:w="2126" w:type="dxa"/>
            <w:vAlign w:val="center"/>
          </w:tcPr>
          <w:p w14:paraId="33CD0990">
            <w:pPr>
              <w:pStyle w:val="14"/>
            </w:pPr>
          </w:p>
        </w:tc>
      </w:tr>
      <w:tr w14:paraId="7872D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A5EFD">
            <w:pPr>
              <w:pStyle w:val="12"/>
            </w:pPr>
            <w:r>
              <w:t>11</w:t>
            </w:r>
          </w:p>
        </w:tc>
        <w:tc>
          <w:tcPr>
            <w:tcW w:w="4535" w:type="dxa"/>
            <w:vAlign w:val="center"/>
          </w:tcPr>
          <w:p w14:paraId="53ABC087">
            <w:pPr>
              <w:pStyle w:val="13"/>
            </w:pPr>
          </w:p>
        </w:tc>
        <w:tc>
          <w:tcPr>
            <w:tcW w:w="2126" w:type="dxa"/>
            <w:vAlign w:val="center"/>
          </w:tcPr>
          <w:p w14:paraId="4DD690C8">
            <w:pPr>
              <w:pStyle w:val="14"/>
            </w:pPr>
          </w:p>
        </w:tc>
        <w:tc>
          <w:tcPr>
            <w:tcW w:w="4535" w:type="dxa"/>
            <w:vAlign w:val="center"/>
          </w:tcPr>
          <w:p w14:paraId="3EF5168A">
            <w:pPr>
              <w:pStyle w:val="13"/>
            </w:pPr>
            <w:r>
              <w:t>十一、节能环保支出</w:t>
            </w:r>
          </w:p>
        </w:tc>
        <w:tc>
          <w:tcPr>
            <w:tcW w:w="2126" w:type="dxa"/>
            <w:vAlign w:val="center"/>
          </w:tcPr>
          <w:p w14:paraId="09268343">
            <w:pPr>
              <w:pStyle w:val="14"/>
            </w:pPr>
          </w:p>
        </w:tc>
      </w:tr>
      <w:tr w14:paraId="2C997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93E72">
            <w:pPr>
              <w:pStyle w:val="12"/>
            </w:pPr>
            <w:r>
              <w:t>12</w:t>
            </w:r>
          </w:p>
        </w:tc>
        <w:tc>
          <w:tcPr>
            <w:tcW w:w="4535" w:type="dxa"/>
            <w:vAlign w:val="center"/>
          </w:tcPr>
          <w:p w14:paraId="707BA802">
            <w:pPr>
              <w:pStyle w:val="13"/>
            </w:pPr>
          </w:p>
        </w:tc>
        <w:tc>
          <w:tcPr>
            <w:tcW w:w="2126" w:type="dxa"/>
            <w:vAlign w:val="center"/>
          </w:tcPr>
          <w:p w14:paraId="5A129643">
            <w:pPr>
              <w:pStyle w:val="14"/>
            </w:pPr>
          </w:p>
        </w:tc>
        <w:tc>
          <w:tcPr>
            <w:tcW w:w="4535" w:type="dxa"/>
            <w:vAlign w:val="center"/>
          </w:tcPr>
          <w:p w14:paraId="6AB97970">
            <w:pPr>
              <w:pStyle w:val="13"/>
            </w:pPr>
            <w:r>
              <w:t>十二、城乡社区支出</w:t>
            </w:r>
          </w:p>
        </w:tc>
        <w:tc>
          <w:tcPr>
            <w:tcW w:w="2126" w:type="dxa"/>
            <w:vAlign w:val="center"/>
          </w:tcPr>
          <w:p w14:paraId="79899F17">
            <w:pPr>
              <w:pStyle w:val="14"/>
            </w:pPr>
          </w:p>
        </w:tc>
      </w:tr>
      <w:tr w14:paraId="7804C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C4994">
            <w:pPr>
              <w:pStyle w:val="12"/>
            </w:pPr>
            <w:r>
              <w:t>13</w:t>
            </w:r>
          </w:p>
        </w:tc>
        <w:tc>
          <w:tcPr>
            <w:tcW w:w="4535" w:type="dxa"/>
            <w:vAlign w:val="center"/>
          </w:tcPr>
          <w:p w14:paraId="2FCAC637">
            <w:pPr>
              <w:pStyle w:val="13"/>
            </w:pPr>
          </w:p>
        </w:tc>
        <w:tc>
          <w:tcPr>
            <w:tcW w:w="2126" w:type="dxa"/>
            <w:vAlign w:val="center"/>
          </w:tcPr>
          <w:p w14:paraId="34AA841E">
            <w:pPr>
              <w:pStyle w:val="14"/>
            </w:pPr>
          </w:p>
        </w:tc>
        <w:tc>
          <w:tcPr>
            <w:tcW w:w="4535" w:type="dxa"/>
            <w:vAlign w:val="center"/>
          </w:tcPr>
          <w:p w14:paraId="26F26BCA">
            <w:pPr>
              <w:pStyle w:val="13"/>
            </w:pPr>
            <w:r>
              <w:t>十三、农林水支出</w:t>
            </w:r>
          </w:p>
        </w:tc>
        <w:tc>
          <w:tcPr>
            <w:tcW w:w="2126" w:type="dxa"/>
            <w:vAlign w:val="center"/>
          </w:tcPr>
          <w:p w14:paraId="190D388D">
            <w:pPr>
              <w:pStyle w:val="14"/>
            </w:pPr>
          </w:p>
        </w:tc>
      </w:tr>
      <w:tr w14:paraId="31BC1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B926A">
            <w:pPr>
              <w:pStyle w:val="12"/>
            </w:pPr>
            <w:r>
              <w:t>14</w:t>
            </w:r>
          </w:p>
        </w:tc>
        <w:tc>
          <w:tcPr>
            <w:tcW w:w="4535" w:type="dxa"/>
            <w:vAlign w:val="center"/>
          </w:tcPr>
          <w:p w14:paraId="6AB13198">
            <w:pPr>
              <w:pStyle w:val="13"/>
            </w:pPr>
          </w:p>
        </w:tc>
        <w:tc>
          <w:tcPr>
            <w:tcW w:w="2126" w:type="dxa"/>
            <w:vAlign w:val="center"/>
          </w:tcPr>
          <w:p w14:paraId="1B936D9F">
            <w:pPr>
              <w:pStyle w:val="14"/>
            </w:pPr>
          </w:p>
        </w:tc>
        <w:tc>
          <w:tcPr>
            <w:tcW w:w="4535" w:type="dxa"/>
            <w:vAlign w:val="center"/>
          </w:tcPr>
          <w:p w14:paraId="5657A6F5">
            <w:pPr>
              <w:pStyle w:val="13"/>
            </w:pPr>
            <w:r>
              <w:t>十四、交通运输支出</w:t>
            </w:r>
          </w:p>
        </w:tc>
        <w:tc>
          <w:tcPr>
            <w:tcW w:w="2126" w:type="dxa"/>
            <w:vAlign w:val="center"/>
          </w:tcPr>
          <w:p w14:paraId="30290735">
            <w:pPr>
              <w:pStyle w:val="14"/>
            </w:pPr>
          </w:p>
        </w:tc>
      </w:tr>
      <w:tr w14:paraId="5E480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42343">
            <w:pPr>
              <w:pStyle w:val="12"/>
            </w:pPr>
            <w:r>
              <w:t>15</w:t>
            </w:r>
          </w:p>
        </w:tc>
        <w:tc>
          <w:tcPr>
            <w:tcW w:w="4535" w:type="dxa"/>
            <w:vAlign w:val="center"/>
          </w:tcPr>
          <w:p w14:paraId="6DBA2D0E">
            <w:pPr>
              <w:pStyle w:val="13"/>
            </w:pPr>
          </w:p>
        </w:tc>
        <w:tc>
          <w:tcPr>
            <w:tcW w:w="2126" w:type="dxa"/>
            <w:vAlign w:val="center"/>
          </w:tcPr>
          <w:p w14:paraId="2857F1DD">
            <w:pPr>
              <w:pStyle w:val="14"/>
            </w:pPr>
          </w:p>
        </w:tc>
        <w:tc>
          <w:tcPr>
            <w:tcW w:w="4535" w:type="dxa"/>
            <w:vAlign w:val="center"/>
          </w:tcPr>
          <w:p w14:paraId="254FC938">
            <w:pPr>
              <w:pStyle w:val="13"/>
            </w:pPr>
            <w:r>
              <w:t>十五、资源勘探工业信息等支出</w:t>
            </w:r>
          </w:p>
        </w:tc>
        <w:tc>
          <w:tcPr>
            <w:tcW w:w="2126" w:type="dxa"/>
            <w:vAlign w:val="center"/>
          </w:tcPr>
          <w:p w14:paraId="7E53E0CD">
            <w:pPr>
              <w:pStyle w:val="14"/>
            </w:pPr>
          </w:p>
        </w:tc>
      </w:tr>
      <w:tr w14:paraId="31C90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C6F61">
            <w:pPr>
              <w:pStyle w:val="12"/>
            </w:pPr>
            <w:r>
              <w:t>16</w:t>
            </w:r>
          </w:p>
        </w:tc>
        <w:tc>
          <w:tcPr>
            <w:tcW w:w="4535" w:type="dxa"/>
            <w:vAlign w:val="center"/>
          </w:tcPr>
          <w:p w14:paraId="62810DD8">
            <w:pPr>
              <w:pStyle w:val="13"/>
            </w:pPr>
          </w:p>
        </w:tc>
        <w:tc>
          <w:tcPr>
            <w:tcW w:w="2126" w:type="dxa"/>
            <w:vAlign w:val="center"/>
          </w:tcPr>
          <w:p w14:paraId="29FF8A59">
            <w:pPr>
              <w:pStyle w:val="14"/>
            </w:pPr>
          </w:p>
        </w:tc>
        <w:tc>
          <w:tcPr>
            <w:tcW w:w="4535" w:type="dxa"/>
            <w:vAlign w:val="center"/>
          </w:tcPr>
          <w:p w14:paraId="23E37839">
            <w:pPr>
              <w:pStyle w:val="13"/>
            </w:pPr>
            <w:r>
              <w:t>十六、商业服务业等支出</w:t>
            </w:r>
          </w:p>
        </w:tc>
        <w:tc>
          <w:tcPr>
            <w:tcW w:w="2126" w:type="dxa"/>
            <w:vAlign w:val="center"/>
          </w:tcPr>
          <w:p w14:paraId="1C5A2DA9">
            <w:pPr>
              <w:pStyle w:val="14"/>
            </w:pPr>
          </w:p>
        </w:tc>
      </w:tr>
      <w:tr w14:paraId="7711A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9131D">
            <w:pPr>
              <w:pStyle w:val="12"/>
            </w:pPr>
            <w:r>
              <w:t>17</w:t>
            </w:r>
          </w:p>
        </w:tc>
        <w:tc>
          <w:tcPr>
            <w:tcW w:w="4535" w:type="dxa"/>
            <w:vAlign w:val="center"/>
          </w:tcPr>
          <w:p w14:paraId="425DE519">
            <w:pPr>
              <w:pStyle w:val="13"/>
            </w:pPr>
          </w:p>
        </w:tc>
        <w:tc>
          <w:tcPr>
            <w:tcW w:w="2126" w:type="dxa"/>
            <w:vAlign w:val="center"/>
          </w:tcPr>
          <w:p w14:paraId="3B3BAC58">
            <w:pPr>
              <w:pStyle w:val="14"/>
            </w:pPr>
          </w:p>
        </w:tc>
        <w:tc>
          <w:tcPr>
            <w:tcW w:w="4535" w:type="dxa"/>
            <w:vAlign w:val="center"/>
          </w:tcPr>
          <w:p w14:paraId="6DBB4CD2">
            <w:pPr>
              <w:pStyle w:val="13"/>
            </w:pPr>
            <w:r>
              <w:t>十七、金融支出</w:t>
            </w:r>
          </w:p>
        </w:tc>
        <w:tc>
          <w:tcPr>
            <w:tcW w:w="2126" w:type="dxa"/>
            <w:vAlign w:val="center"/>
          </w:tcPr>
          <w:p w14:paraId="417BBFD5">
            <w:pPr>
              <w:pStyle w:val="14"/>
            </w:pPr>
          </w:p>
        </w:tc>
      </w:tr>
      <w:tr w14:paraId="04DDD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DFDE4">
            <w:pPr>
              <w:pStyle w:val="12"/>
            </w:pPr>
            <w:r>
              <w:t>18</w:t>
            </w:r>
          </w:p>
        </w:tc>
        <w:tc>
          <w:tcPr>
            <w:tcW w:w="4535" w:type="dxa"/>
            <w:vAlign w:val="center"/>
          </w:tcPr>
          <w:p w14:paraId="77B392F6">
            <w:pPr>
              <w:pStyle w:val="13"/>
            </w:pPr>
          </w:p>
        </w:tc>
        <w:tc>
          <w:tcPr>
            <w:tcW w:w="2126" w:type="dxa"/>
            <w:vAlign w:val="center"/>
          </w:tcPr>
          <w:p w14:paraId="402391D5">
            <w:pPr>
              <w:pStyle w:val="14"/>
            </w:pPr>
          </w:p>
        </w:tc>
        <w:tc>
          <w:tcPr>
            <w:tcW w:w="4535" w:type="dxa"/>
            <w:vAlign w:val="center"/>
          </w:tcPr>
          <w:p w14:paraId="67A08345">
            <w:pPr>
              <w:pStyle w:val="13"/>
            </w:pPr>
            <w:r>
              <w:t>十八、援助其他地区支出</w:t>
            </w:r>
          </w:p>
        </w:tc>
        <w:tc>
          <w:tcPr>
            <w:tcW w:w="2126" w:type="dxa"/>
            <w:vAlign w:val="center"/>
          </w:tcPr>
          <w:p w14:paraId="4B74E364">
            <w:pPr>
              <w:pStyle w:val="14"/>
            </w:pPr>
          </w:p>
        </w:tc>
      </w:tr>
      <w:tr w14:paraId="137F9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98125">
            <w:pPr>
              <w:pStyle w:val="12"/>
            </w:pPr>
            <w:r>
              <w:t>19</w:t>
            </w:r>
          </w:p>
        </w:tc>
        <w:tc>
          <w:tcPr>
            <w:tcW w:w="4535" w:type="dxa"/>
            <w:vAlign w:val="center"/>
          </w:tcPr>
          <w:p w14:paraId="360B64BF">
            <w:pPr>
              <w:pStyle w:val="13"/>
            </w:pPr>
          </w:p>
        </w:tc>
        <w:tc>
          <w:tcPr>
            <w:tcW w:w="2126" w:type="dxa"/>
            <w:vAlign w:val="center"/>
          </w:tcPr>
          <w:p w14:paraId="12388B17">
            <w:pPr>
              <w:pStyle w:val="14"/>
            </w:pPr>
          </w:p>
        </w:tc>
        <w:tc>
          <w:tcPr>
            <w:tcW w:w="4535" w:type="dxa"/>
            <w:vAlign w:val="center"/>
          </w:tcPr>
          <w:p w14:paraId="663BDD0B">
            <w:pPr>
              <w:pStyle w:val="13"/>
            </w:pPr>
            <w:r>
              <w:t>十九、自然资源海洋气象等支出</w:t>
            </w:r>
          </w:p>
        </w:tc>
        <w:tc>
          <w:tcPr>
            <w:tcW w:w="2126" w:type="dxa"/>
            <w:vAlign w:val="center"/>
          </w:tcPr>
          <w:p w14:paraId="39222BD8">
            <w:pPr>
              <w:pStyle w:val="14"/>
            </w:pPr>
          </w:p>
        </w:tc>
      </w:tr>
      <w:tr w14:paraId="77F01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9B43B">
            <w:pPr>
              <w:pStyle w:val="12"/>
            </w:pPr>
            <w:r>
              <w:t>20</w:t>
            </w:r>
          </w:p>
        </w:tc>
        <w:tc>
          <w:tcPr>
            <w:tcW w:w="4535" w:type="dxa"/>
            <w:vAlign w:val="center"/>
          </w:tcPr>
          <w:p w14:paraId="3F328E6F">
            <w:pPr>
              <w:pStyle w:val="13"/>
            </w:pPr>
          </w:p>
        </w:tc>
        <w:tc>
          <w:tcPr>
            <w:tcW w:w="2126" w:type="dxa"/>
            <w:vAlign w:val="center"/>
          </w:tcPr>
          <w:p w14:paraId="08CFD7BC">
            <w:pPr>
              <w:pStyle w:val="14"/>
            </w:pPr>
          </w:p>
        </w:tc>
        <w:tc>
          <w:tcPr>
            <w:tcW w:w="4535" w:type="dxa"/>
            <w:vAlign w:val="center"/>
          </w:tcPr>
          <w:p w14:paraId="7EE38ED4">
            <w:pPr>
              <w:pStyle w:val="13"/>
            </w:pPr>
            <w:r>
              <w:t>二十、住房保障支出</w:t>
            </w:r>
          </w:p>
        </w:tc>
        <w:tc>
          <w:tcPr>
            <w:tcW w:w="2126" w:type="dxa"/>
            <w:vAlign w:val="center"/>
          </w:tcPr>
          <w:p w14:paraId="47348550">
            <w:pPr>
              <w:pStyle w:val="14"/>
            </w:pPr>
          </w:p>
        </w:tc>
      </w:tr>
      <w:tr w14:paraId="4703A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1319D">
            <w:pPr>
              <w:pStyle w:val="12"/>
            </w:pPr>
            <w:r>
              <w:t>21</w:t>
            </w:r>
          </w:p>
        </w:tc>
        <w:tc>
          <w:tcPr>
            <w:tcW w:w="4535" w:type="dxa"/>
            <w:vAlign w:val="center"/>
          </w:tcPr>
          <w:p w14:paraId="7579341F">
            <w:pPr>
              <w:pStyle w:val="13"/>
            </w:pPr>
          </w:p>
        </w:tc>
        <w:tc>
          <w:tcPr>
            <w:tcW w:w="2126" w:type="dxa"/>
            <w:vAlign w:val="center"/>
          </w:tcPr>
          <w:p w14:paraId="60ACC946">
            <w:pPr>
              <w:pStyle w:val="14"/>
            </w:pPr>
          </w:p>
        </w:tc>
        <w:tc>
          <w:tcPr>
            <w:tcW w:w="4535" w:type="dxa"/>
            <w:vAlign w:val="center"/>
          </w:tcPr>
          <w:p w14:paraId="4BB24051">
            <w:pPr>
              <w:pStyle w:val="13"/>
            </w:pPr>
            <w:r>
              <w:t>二十一、粮油物资储备支出</w:t>
            </w:r>
          </w:p>
        </w:tc>
        <w:tc>
          <w:tcPr>
            <w:tcW w:w="2126" w:type="dxa"/>
            <w:vAlign w:val="center"/>
          </w:tcPr>
          <w:p w14:paraId="5BA99AB9">
            <w:pPr>
              <w:pStyle w:val="14"/>
            </w:pPr>
          </w:p>
        </w:tc>
      </w:tr>
      <w:tr w14:paraId="0316E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72F19">
            <w:pPr>
              <w:pStyle w:val="12"/>
            </w:pPr>
            <w:r>
              <w:t>22</w:t>
            </w:r>
          </w:p>
        </w:tc>
        <w:tc>
          <w:tcPr>
            <w:tcW w:w="4535" w:type="dxa"/>
            <w:vAlign w:val="center"/>
          </w:tcPr>
          <w:p w14:paraId="05AED6D4">
            <w:pPr>
              <w:pStyle w:val="13"/>
            </w:pPr>
          </w:p>
        </w:tc>
        <w:tc>
          <w:tcPr>
            <w:tcW w:w="2126" w:type="dxa"/>
            <w:vAlign w:val="center"/>
          </w:tcPr>
          <w:p w14:paraId="6AF40BE3">
            <w:pPr>
              <w:pStyle w:val="14"/>
            </w:pPr>
          </w:p>
        </w:tc>
        <w:tc>
          <w:tcPr>
            <w:tcW w:w="4535" w:type="dxa"/>
            <w:vAlign w:val="center"/>
          </w:tcPr>
          <w:p w14:paraId="7BFFCF55">
            <w:pPr>
              <w:pStyle w:val="13"/>
            </w:pPr>
            <w:r>
              <w:t>二十二、国有资本经营预算支出</w:t>
            </w:r>
          </w:p>
        </w:tc>
        <w:tc>
          <w:tcPr>
            <w:tcW w:w="2126" w:type="dxa"/>
            <w:vAlign w:val="center"/>
          </w:tcPr>
          <w:p w14:paraId="1814F904">
            <w:pPr>
              <w:pStyle w:val="14"/>
            </w:pPr>
          </w:p>
        </w:tc>
      </w:tr>
      <w:tr w14:paraId="3D72F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78569">
            <w:pPr>
              <w:pStyle w:val="12"/>
            </w:pPr>
            <w:r>
              <w:t>23</w:t>
            </w:r>
          </w:p>
        </w:tc>
        <w:tc>
          <w:tcPr>
            <w:tcW w:w="4535" w:type="dxa"/>
            <w:vAlign w:val="center"/>
          </w:tcPr>
          <w:p w14:paraId="30B72833">
            <w:pPr>
              <w:pStyle w:val="13"/>
            </w:pPr>
          </w:p>
        </w:tc>
        <w:tc>
          <w:tcPr>
            <w:tcW w:w="2126" w:type="dxa"/>
            <w:vAlign w:val="center"/>
          </w:tcPr>
          <w:p w14:paraId="75BB989C">
            <w:pPr>
              <w:pStyle w:val="14"/>
            </w:pPr>
          </w:p>
        </w:tc>
        <w:tc>
          <w:tcPr>
            <w:tcW w:w="4535" w:type="dxa"/>
            <w:vAlign w:val="center"/>
          </w:tcPr>
          <w:p w14:paraId="4368C263">
            <w:pPr>
              <w:pStyle w:val="13"/>
            </w:pPr>
            <w:r>
              <w:t>二十三、灾害防治及应急管理支出</w:t>
            </w:r>
          </w:p>
        </w:tc>
        <w:tc>
          <w:tcPr>
            <w:tcW w:w="2126" w:type="dxa"/>
            <w:vAlign w:val="center"/>
          </w:tcPr>
          <w:p w14:paraId="0944D1A5">
            <w:pPr>
              <w:pStyle w:val="14"/>
            </w:pPr>
          </w:p>
        </w:tc>
      </w:tr>
      <w:tr w14:paraId="599E4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E0FC7">
            <w:pPr>
              <w:pStyle w:val="12"/>
            </w:pPr>
            <w:r>
              <w:t>24</w:t>
            </w:r>
          </w:p>
        </w:tc>
        <w:tc>
          <w:tcPr>
            <w:tcW w:w="4535" w:type="dxa"/>
            <w:vAlign w:val="center"/>
          </w:tcPr>
          <w:p w14:paraId="5583426F">
            <w:pPr>
              <w:pStyle w:val="13"/>
            </w:pPr>
          </w:p>
        </w:tc>
        <w:tc>
          <w:tcPr>
            <w:tcW w:w="2126" w:type="dxa"/>
            <w:vAlign w:val="center"/>
          </w:tcPr>
          <w:p w14:paraId="3FD21706">
            <w:pPr>
              <w:pStyle w:val="14"/>
            </w:pPr>
          </w:p>
        </w:tc>
        <w:tc>
          <w:tcPr>
            <w:tcW w:w="4535" w:type="dxa"/>
            <w:vAlign w:val="center"/>
          </w:tcPr>
          <w:p w14:paraId="17AC537B">
            <w:pPr>
              <w:pStyle w:val="13"/>
            </w:pPr>
            <w:r>
              <w:t>二十四、预备费</w:t>
            </w:r>
          </w:p>
        </w:tc>
        <w:tc>
          <w:tcPr>
            <w:tcW w:w="2126" w:type="dxa"/>
            <w:vAlign w:val="center"/>
          </w:tcPr>
          <w:p w14:paraId="553F71FC">
            <w:pPr>
              <w:pStyle w:val="14"/>
            </w:pPr>
          </w:p>
        </w:tc>
      </w:tr>
      <w:tr w14:paraId="0E1A7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7804E">
            <w:pPr>
              <w:pStyle w:val="12"/>
            </w:pPr>
            <w:r>
              <w:t>25</w:t>
            </w:r>
          </w:p>
        </w:tc>
        <w:tc>
          <w:tcPr>
            <w:tcW w:w="4535" w:type="dxa"/>
            <w:vAlign w:val="center"/>
          </w:tcPr>
          <w:p w14:paraId="15CE5767">
            <w:pPr>
              <w:pStyle w:val="13"/>
            </w:pPr>
          </w:p>
        </w:tc>
        <w:tc>
          <w:tcPr>
            <w:tcW w:w="2126" w:type="dxa"/>
            <w:vAlign w:val="center"/>
          </w:tcPr>
          <w:p w14:paraId="2D2A8585">
            <w:pPr>
              <w:pStyle w:val="14"/>
            </w:pPr>
          </w:p>
        </w:tc>
        <w:tc>
          <w:tcPr>
            <w:tcW w:w="4535" w:type="dxa"/>
            <w:vAlign w:val="center"/>
          </w:tcPr>
          <w:p w14:paraId="35821802">
            <w:pPr>
              <w:pStyle w:val="13"/>
            </w:pPr>
            <w:r>
              <w:t>二十五、其他支出</w:t>
            </w:r>
          </w:p>
        </w:tc>
        <w:tc>
          <w:tcPr>
            <w:tcW w:w="2126" w:type="dxa"/>
            <w:vAlign w:val="center"/>
          </w:tcPr>
          <w:p w14:paraId="63EA2D7D">
            <w:pPr>
              <w:pStyle w:val="14"/>
            </w:pPr>
          </w:p>
        </w:tc>
      </w:tr>
      <w:tr w14:paraId="432F1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A82020D">
            <w:pPr>
              <w:pStyle w:val="12"/>
            </w:pPr>
            <w:r>
              <w:t>26</w:t>
            </w:r>
          </w:p>
        </w:tc>
        <w:tc>
          <w:tcPr>
            <w:tcW w:w="4535" w:type="dxa"/>
            <w:vAlign w:val="center"/>
          </w:tcPr>
          <w:p w14:paraId="1BE8C9E0">
            <w:pPr>
              <w:pStyle w:val="13"/>
            </w:pPr>
          </w:p>
        </w:tc>
        <w:tc>
          <w:tcPr>
            <w:tcW w:w="2126" w:type="dxa"/>
            <w:vAlign w:val="center"/>
          </w:tcPr>
          <w:p w14:paraId="1A1AE29F">
            <w:pPr>
              <w:pStyle w:val="14"/>
            </w:pPr>
          </w:p>
        </w:tc>
        <w:tc>
          <w:tcPr>
            <w:tcW w:w="4535" w:type="dxa"/>
            <w:vAlign w:val="center"/>
          </w:tcPr>
          <w:p w14:paraId="44EEC118">
            <w:pPr>
              <w:pStyle w:val="13"/>
            </w:pPr>
            <w:r>
              <w:t>二十六、转移性支出</w:t>
            </w:r>
          </w:p>
        </w:tc>
        <w:tc>
          <w:tcPr>
            <w:tcW w:w="2126" w:type="dxa"/>
            <w:vAlign w:val="center"/>
          </w:tcPr>
          <w:p w14:paraId="05CC938E">
            <w:pPr>
              <w:pStyle w:val="14"/>
            </w:pPr>
          </w:p>
        </w:tc>
      </w:tr>
      <w:tr w14:paraId="11006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87DC5">
            <w:pPr>
              <w:pStyle w:val="12"/>
            </w:pPr>
            <w:r>
              <w:t>27</w:t>
            </w:r>
          </w:p>
        </w:tc>
        <w:tc>
          <w:tcPr>
            <w:tcW w:w="4535" w:type="dxa"/>
            <w:vAlign w:val="center"/>
          </w:tcPr>
          <w:p w14:paraId="1771E17A">
            <w:pPr>
              <w:pStyle w:val="13"/>
            </w:pPr>
          </w:p>
        </w:tc>
        <w:tc>
          <w:tcPr>
            <w:tcW w:w="2126" w:type="dxa"/>
            <w:vAlign w:val="center"/>
          </w:tcPr>
          <w:p w14:paraId="4CD74C81">
            <w:pPr>
              <w:pStyle w:val="14"/>
            </w:pPr>
          </w:p>
        </w:tc>
        <w:tc>
          <w:tcPr>
            <w:tcW w:w="4535" w:type="dxa"/>
            <w:vAlign w:val="center"/>
          </w:tcPr>
          <w:p w14:paraId="03B385CB">
            <w:pPr>
              <w:pStyle w:val="13"/>
            </w:pPr>
            <w:r>
              <w:t>二十七、债务还本支出</w:t>
            </w:r>
          </w:p>
        </w:tc>
        <w:tc>
          <w:tcPr>
            <w:tcW w:w="2126" w:type="dxa"/>
            <w:vAlign w:val="center"/>
          </w:tcPr>
          <w:p w14:paraId="29B30AEF">
            <w:pPr>
              <w:pStyle w:val="14"/>
            </w:pPr>
          </w:p>
        </w:tc>
      </w:tr>
      <w:tr w14:paraId="0518C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C1BEC">
            <w:pPr>
              <w:pStyle w:val="12"/>
            </w:pPr>
            <w:r>
              <w:t>28</w:t>
            </w:r>
          </w:p>
        </w:tc>
        <w:tc>
          <w:tcPr>
            <w:tcW w:w="4535" w:type="dxa"/>
            <w:vAlign w:val="center"/>
          </w:tcPr>
          <w:p w14:paraId="6EBA0A7B">
            <w:pPr>
              <w:pStyle w:val="13"/>
            </w:pPr>
          </w:p>
        </w:tc>
        <w:tc>
          <w:tcPr>
            <w:tcW w:w="2126" w:type="dxa"/>
            <w:vAlign w:val="center"/>
          </w:tcPr>
          <w:p w14:paraId="5A0E1E0C">
            <w:pPr>
              <w:pStyle w:val="14"/>
            </w:pPr>
          </w:p>
        </w:tc>
        <w:tc>
          <w:tcPr>
            <w:tcW w:w="4535" w:type="dxa"/>
            <w:vAlign w:val="center"/>
          </w:tcPr>
          <w:p w14:paraId="1F20CD2B">
            <w:pPr>
              <w:pStyle w:val="13"/>
            </w:pPr>
            <w:r>
              <w:t>二十八、债务付息支出</w:t>
            </w:r>
          </w:p>
        </w:tc>
        <w:tc>
          <w:tcPr>
            <w:tcW w:w="2126" w:type="dxa"/>
            <w:vAlign w:val="center"/>
          </w:tcPr>
          <w:p w14:paraId="08977D87">
            <w:pPr>
              <w:pStyle w:val="14"/>
            </w:pPr>
          </w:p>
        </w:tc>
      </w:tr>
      <w:tr w14:paraId="75196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DA197">
            <w:pPr>
              <w:pStyle w:val="12"/>
            </w:pPr>
            <w:r>
              <w:t>29</w:t>
            </w:r>
          </w:p>
        </w:tc>
        <w:tc>
          <w:tcPr>
            <w:tcW w:w="4535" w:type="dxa"/>
            <w:vAlign w:val="center"/>
          </w:tcPr>
          <w:p w14:paraId="1E09C5F5">
            <w:pPr>
              <w:pStyle w:val="13"/>
            </w:pPr>
          </w:p>
        </w:tc>
        <w:tc>
          <w:tcPr>
            <w:tcW w:w="2126" w:type="dxa"/>
            <w:vAlign w:val="center"/>
          </w:tcPr>
          <w:p w14:paraId="29A329F5">
            <w:pPr>
              <w:pStyle w:val="14"/>
            </w:pPr>
          </w:p>
        </w:tc>
        <w:tc>
          <w:tcPr>
            <w:tcW w:w="4535" w:type="dxa"/>
            <w:vAlign w:val="center"/>
          </w:tcPr>
          <w:p w14:paraId="68FB11FC">
            <w:pPr>
              <w:pStyle w:val="13"/>
            </w:pPr>
            <w:r>
              <w:t>二十九、债务发行费用支出</w:t>
            </w:r>
          </w:p>
        </w:tc>
        <w:tc>
          <w:tcPr>
            <w:tcW w:w="2126" w:type="dxa"/>
            <w:vAlign w:val="center"/>
          </w:tcPr>
          <w:p w14:paraId="63F8F974">
            <w:pPr>
              <w:pStyle w:val="14"/>
            </w:pPr>
          </w:p>
        </w:tc>
      </w:tr>
      <w:tr w14:paraId="2E3C5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6761C">
            <w:pPr>
              <w:pStyle w:val="12"/>
            </w:pPr>
            <w:r>
              <w:t>30</w:t>
            </w:r>
          </w:p>
        </w:tc>
        <w:tc>
          <w:tcPr>
            <w:tcW w:w="4535" w:type="dxa"/>
            <w:vAlign w:val="center"/>
          </w:tcPr>
          <w:p w14:paraId="3C61AECF">
            <w:pPr>
              <w:pStyle w:val="13"/>
            </w:pPr>
          </w:p>
        </w:tc>
        <w:tc>
          <w:tcPr>
            <w:tcW w:w="2126" w:type="dxa"/>
            <w:vAlign w:val="center"/>
          </w:tcPr>
          <w:p w14:paraId="7CBA5E3B">
            <w:pPr>
              <w:pStyle w:val="14"/>
            </w:pPr>
          </w:p>
        </w:tc>
        <w:tc>
          <w:tcPr>
            <w:tcW w:w="4535" w:type="dxa"/>
            <w:vAlign w:val="center"/>
          </w:tcPr>
          <w:p w14:paraId="31891858">
            <w:pPr>
              <w:pStyle w:val="13"/>
            </w:pPr>
            <w:r>
              <w:t>三十、抗疫特别国债安排的支出</w:t>
            </w:r>
          </w:p>
        </w:tc>
        <w:tc>
          <w:tcPr>
            <w:tcW w:w="2126" w:type="dxa"/>
            <w:vAlign w:val="center"/>
          </w:tcPr>
          <w:p w14:paraId="129E6440">
            <w:pPr>
              <w:pStyle w:val="14"/>
            </w:pPr>
          </w:p>
        </w:tc>
      </w:tr>
      <w:tr w14:paraId="39A87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37978">
            <w:pPr>
              <w:pStyle w:val="12"/>
            </w:pPr>
            <w:r>
              <w:t>31</w:t>
            </w:r>
          </w:p>
        </w:tc>
        <w:tc>
          <w:tcPr>
            <w:tcW w:w="4535" w:type="dxa"/>
            <w:vAlign w:val="center"/>
          </w:tcPr>
          <w:p w14:paraId="7C9F2380">
            <w:pPr>
              <w:pStyle w:val="13"/>
            </w:pPr>
          </w:p>
        </w:tc>
        <w:tc>
          <w:tcPr>
            <w:tcW w:w="2126" w:type="dxa"/>
            <w:vAlign w:val="center"/>
          </w:tcPr>
          <w:p w14:paraId="3C7C4947">
            <w:pPr>
              <w:pStyle w:val="14"/>
            </w:pPr>
          </w:p>
        </w:tc>
        <w:tc>
          <w:tcPr>
            <w:tcW w:w="4535" w:type="dxa"/>
            <w:vAlign w:val="center"/>
          </w:tcPr>
          <w:p w14:paraId="7C0CDE3F">
            <w:pPr>
              <w:pStyle w:val="13"/>
            </w:pPr>
            <w:r>
              <w:t>三十一、人行科目</w:t>
            </w:r>
          </w:p>
        </w:tc>
        <w:tc>
          <w:tcPr>
            <w:tcW w:w="2126" w:type="dxa"/>
            <w:vAlign w:val="center"/>
          </w:tcPr>
          <w:p w14:paraId="5009DBB4">
            <w:pPr>
              <w:pStyle w:val="14"/>
            </w:pPr>
          </w:p>
        </w:tc>
      </w:tr>
      <w:tr w14:paraId="04587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D267C">
            <w:pPr>
              <w:pStyle w:val="12"/>
            </w:pPr>
            <w:r>
              <w:t>32</w:t>
            </w:r>
          </w:p>
        </w:tc>
        <w:tc>
          <w:tcPr>
            <w:tcW w:w="4535" w:type="dxa"/>
            <w:vAlign w:val="center"/>
          </w:tcPr>
          <w:p w14:paraId="26201EC9">
            <w:pPr>
              <w:pStyle w:val="15"/>
            </w:pPr>
            <w:r>
              <w:t>本年收入合计</w:t>
            </w:r>
          </w:p>
        </w:tc>
        <w:tc>
          <w:tcPr>
            <w:tcW w:w="2126" w:type="dxa"/>
            <w:vAlign w:val="center"/>
          </w:tcPr>
          <w:p w14:paraId="369EDA93">
            <w:pPr>
              <w:pStyle w:val="16"/>
            </w:pPr>
            <w:r>
              <w:t>189.77</w:t>
            </w:r>
          </w:p>
        </w:tc>
        <w:tc>
          <w:tcPr>
            <w:tcW w:w="4535" w:type="dxa"/>
            <w:vAlign w:val="center"/>
          </w:tcPr>
          <w:p w14:paraId="6BA21C9C">
            <w:pPr>
              <w:pStyle w:val="15"/>
            </w:pPr>
            <w:r>
              <w:t>本年支出合计</w:t>
            </w:r>
          </w:p>
        </w:tc>
        <w:tc>
          <w:tcPr>
            <w:tcW w:w="2126" w:type="dxa"/>
            <w:vAlign w:val="center"/>
          </w:tcPr>
          <w:p w14:paraId="3F8F79E2">
            <w:pPr>
              <w:pStyle w:val="16"/>
            </w:pPr>
            <w:r>
              <w:t>189.77</w:t>
            </w:r>
          </w:p>
        </w:tc>
      </w:tr>
      <w:tr w14:paraId="2F537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EA5D9">
            <w:pPr>
              <w:pStyle w:val="12"/>
            </w:pPr>
            <w:r>
              <w:t>33</w:t>
            </w:r>
          </w:p>
        </w:tc>
        <w:tc>
          <w:tcPr>
            <w:tcW w:w="4535" w:type="dxa"/>
            <w:vAlign w:val="center"/>
          </w:tcPr>
          <w:p w14:paraId="05EE4985">
            <w:pPr>
              <w:pStyle w:val="13"/>
            </w:pPr>
            <w:r>
              <w:t>上年结转结余</w:t>
            </w:r>
          </w:p>
        </w:tc>
        <w:tc>
          <w:tcPr>
            <w:tcW w:w="2126" w:type="dxa"/>
            <w:vAlign w:val="center"/>
          </w:tcPr>
          <w:p w14:paraId="7B850C5A">
            <w:pPr>
              <w:pStyle w:val="14"/>
            </w:pPr>
          </w:p>
        </w:tc>
        <w:tc>
          <w:tcPr>
            <w:tcW w:w="4535" w:type="dxa"/>
            <w:vAlign w:val="center"/>
          </w:tcPr>
          <w:p w14:paraId="464E3409">
            <w:pPr>
              <w:pStyle w:val="13"/>
            </w:pPr>
            <w:r>
              <w:t>年终结转结余</w:t>
            </w:r>
          </w:p>
        </w:tc>
        <w:tc>
          <w:tcPr>
            <w:tcW w:w="2126" w:type="dxa"/>
            <w:vAlign w:val="center"/>
          </w:tcPr>
          <w:p w14:paraId="50020E30">
            <w:pPr>
              <w:pStyle w:val="14"/>
            </w:pPr>
          </w:p>
        </w:tc>
      </w:tr>
      <w:tr w14:paraId="56575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97C82">
            <w:pPr>
              <w:pStyle w:val="12"/>
            </w:pPr>
            <w:r>
              <w:t>34</w:t>
            </w:r>
          </w:p>
        </w:tc>
        <w:tc>
          <w:tcPr>
            <w:tcW w:w="4535" w:type="dxa"/>
            <w:vAlign w:val="center"/>
          </w:tcPr>
          <w:p w14:paraId="1F254EC1">
            <w:pPr>
              <w:pStyle w:val="15"/>
            </w:pPr>
            <w:r>
              <w:t>收入总计</w:t>
            </w:r>
          </w:p>
        </w:tc>
        <w:tc>
          <w:tcPr>
            <w:tcW w:w="2126" w:type="dxa"/>
            <w:vAlign w:val="center"/>
          </w:tcPr>
          <w:p w14:paraId="4A13822F">
            <w:pPr>
              <w:pStyle w:val="16"/>
            </w:pPr>
            <w:r>
              <w:t>189.77</w:t>
            </w:r>
          </w:p>
        </w:tc>
        <w:tc>
          <w:tcPr>
            <w:tcW w:w="4535" w:type="dxa"/>
            <w:vAlign w:val="center"/>
          </w:tcPr>
          <w:p w14:paraId="75500439">
            <w:pPr>
              <w:pStyle w:val="15"/>
            </w:pPr>
            <w:r>
              <w:t>支出总计</w:t>
            </w:r>
          </w:p>
        </w:tc>
        <w:tc>
          <w:tcPr>
            <w:tcW w:w="2126" w:type="dxa"/>
            <w:vAlign w:val="center"/>
          </w:tcPr>
          <w:p w14:paraId="2B0B706A">
            <w:pPr>
              <w:pStyle w:val="16"/>
            </w:pPr>
            <w:r>
              <w:t>189.77</w:t>
            </w:r>
          </w:p>
        </w:tc>
      </w:tr>
    </w:tbl>
    <w:p w14:paraId="439DEE75">
      <w:pPr>
        <w:sectPr>
          <w:pgSz w:w="16840" w:h="11900" w:orient="landscape"/>
          <w:pgMar w:top="1361" w:right="1020" w:bottom="1134" w:left="1020" w:header="720" w:footer="720" w:gutter="0"/>
          <w:cols w:space="720" w:num="1"/>
        </w:sectPr>
      </w:pPr>
    </w:p>
    <w:p w14:paraId="23E7C6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426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049F88">
            <w:pPr>
              <w:pStyle w:val="8"/>
            </w:pPr>
            <w:r>
              <w:t>360035隆尧县唐尧街幼儿园</w:t>
            </w:r>
          </w:p>
        </w:tc>
        <w:tc>
          <w:tcPr>
            <w:tcW w:w="3402" w:type="dxa"/>
            <w:gridSpan w:val="3"/>
            <w:tcBorders>
              <w:top w:val="single" w:color="FFFFFF" w:sz="6" w:space="0"/>
              <w:left w:val="single" w:color="FFFFFF" w:sz="6" w:space="0"/>
              <w:right w:val="single" w:color="FFFFFF" w:sz="6" w:space="0"/>
            </w:tcBorders>
            <w:vAlign w:val="center"/>
          </w:tcPr>
          <w:p w14:paraId="64243459">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9941533">
            <w:pPr>
              <w:pStyle w:val="10"/>
            </w:pPr>
            <w:r>
              <w:t>单位：万元</w:t>
            </w:r>
          </w:p>
        </w:tc>
      </w:tr>
      <w:tr w14:paraId="6B338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DA645E">
            <w:pPr>
              <w:pStyle w:val="11"/>
            </w:pPr>
            <w:r>
              <w:t>序号</w:t>
            </w:r>
          </w:p>
        </w:tc>
        <w:tc>
          <w:tcPr>
            <w:tcW w:w="2551" w:type="dxa"/>
            <w:gridSpan w:val="2"/>
            <w:vAlign w:val="center"/>
          </w:tcPr>
          <w:p w14:paraId="09BB511F">
            <w:pPr>
              <w:pStyle w:val="11"/>
            </w:pPr>
            <w:r>
              <w:t>功能分类科目</w:t>
            </w:r>
          </w:p>
        </w:tc>
        <w:tc>
          <w:tcPr>
            <w:tcW w:w="1134" w:type="dxa"/>
            <w:vMerge w:val="restart"/>
            <w:vAlign w:val="center"/>
          </w:tcPr>
          <w:p w14:paraId="232DE93E">
            <w:pPr>
              <w:pStyle w:val="11"/>
            </w:pPr>
            <w:r>
              <w:t>合计</w:t>
            </w:r>
          </w:p>
        </w:tc>
        <w:tc>
          <w:tcPr>
            <w:tcW w:w="9072" w:type="dxa"/>
            <w:gridSpan w:val="8"/>
            <w:vAlign w:val="center"/>
          </w:tcPr>
          <w:p w14:paraId="7DDCF1E2">
            <w:pPr>
              <w:pStyle w:val="11"/>
            </w:pPr>
            <w:r>
              <w:t>本年收入</w:t>
            </w:r>
          </w:p>
        </w:tc>
        <w:tc>
          <w:tcPr>
            <w:tcW w:w="1134" w:type="dxa"/>
            <w:vMerge w:val="restart"/>
            <w:vAlign w:val="center"/>
          </w:tcPr>
          <w:p w14:paraId="1550CE9F">
            <w:pPr>
              <w:pStyle w:val="11"/>
            </w:pPr>
            <w:r>
              <w:t>上年结转</w:t>
            </w:r>
          </w:p>
        </w:tc>
      </w:tr>
      <w:tr w14:paraId="2E384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CAB85E"/>
        </w:tc>
        <w:tc>
          <w:tcPr>
            <w:tcW w:w="992" w:type="dxa"/>
            <w:vAlign w:val="center"/>
          </w:tcPr>
          <w:p w14:paraId="6A9B7DD8">
            <w:pPr>
              <w:pStyle w:val="11"/>
            </w:pPr>
            <w:r>
              <w:t>科目    编码</w:t>
            </w:r>
          </w:p>
        </w:tc>
        <w:tc>
          <w:tcPr>
            <w:tcW w:w="1559" w:type="dxa"/>
            <w:vAlign w:val="center"/>
          </w:tcPr>
          <w:p w14:paraId="7C1F16AB">
            <w:pPr>
              <w:pStyle w:val="11"/>
            </w:pPr>
            <w:r>
              <w:t>科目名称</w:t>
            </w:r>
          </w:p>
        </w:tc>
        <w:tc>
          <w:tcPr>
            <w:tcW w:w="1134" w:type="dxa"/>
            <w:vMerge w:val="continue"/>
          </w:tcPr>
          <w:p w14:paraId="128757D1"/>
        </w:tc>
        <w:tc>
          <w:tcPr>
            <w:tcW w:w="1134" w:type="dxa"/>
            <w:vAlign w:val="center"/>
          </w:tcPr>
          <w:p w14:paraId="0963E868">
            <w:pPr>
              <w:pStyle w:val="11"/>
            </w:pPr>
            <w:r>
              <w:t>小计</w:t>
            </w:r>
          </w:p>
        </w:tc>
        <w:tc>
          <w:tcPr>
            <w:tcW w:w="1134" w:type="dxa"/>
            <w:vAlign w:val="center"/>
          </w:tcPr>
          <w:p w14:paraId="39376C3F">
            <w:pPr>
              <w:pStyle w:val="11"/>
            </w:pPr>
            <w:r>
              <w:t>财政拨款 收入</w:t>
            </w:r>
          </w:p>
        </w:tc>
        <w:tc>
          <w:tcPr>
            <w:tcW w:w="1134" w:type="dxa"/>
            <w:vAlign w:val="center"/>
          </w:tcPr>
          <w:p w14:paraId="4C8E890F">
            <w:pPr>
              <w:pStyle w:val="11"/>
            </w:pPr>
            <w:r>
              <w:t>财政专户 收入</w:t>
            </w:r>
          </w:p>
        </w:tc>
        <w:tc>
          <w:tcPr>
            <w:tcW w:w="1134" w:type="dxa"/>
            <w:vAlign w:val="center"/>
          </w:tcPr>
          <w:p w14:paraId="63E87788">
            <w:pPr>
              <w:pStyle w:val="11"/>
            </w:pPr>
            <w:r>
              <w:t>事业收入</w:t>
            </w:r>
          </w:p>
        </w:tc>
        <w:tc>
          <w:tcPr>
            <w:tcW w:w="1134" w:type="dxa"/>
            <w:vAlign w:val="center"/>
          </w:tcPr>
          <w:p w14:paraId="49250BC0">
            <w:pPr>
              <w:pStyle w:val="11"/>
            </w:pPr>
            <w:r>
              <w:t>经营收入</w:t>
            </w:r>
          </w:p>
        </w:tc>
        <w:tc>
          <w:tcPr>
            <w:tcW w:w="1134" w:type="dxa"/>
            <w:vAlign w:val="center"/>
          </w:tcPr>
          <w:p w14:paraId="0474B0CA">
            <w:pPr>
              <w:pStyle w:val="11"/>
            </w:pPr>
            <w:r>
              <w:t>上级补助收入</w:t>
            </w:r>
          </w:p>
        </w:tc>
        <w:tc>
          <w:tcPr>
            <w:tcW w:w="1134" w:type="dxa"/>
            <w:vAlign w:val="center"/>
          </w:tcPr>
          <w:p w14:paraId="634CE702">
            <w:pPr>
              <w:pStyle w:val="11"/>
            </w:pPr>
            <w:r>
              <w:t>附属单位上缴收入</w:t>
            </w:r>
          </w:p>
        </w:tc>
        <w:tc>
          <w:tcPr>
            <w:tcW w:w="1134" w:type="dxa"/>
            <w:vAlign w:val="center"/>
          </w:tcPr>
          <w:p w14:paraId="00627AA6">
            <w:pPr>
              <w:pStyle w:val="11"/>
            </w:pPr>
            <w:r>
              <w:t>其他收入</w:t>
            </w:r>
          </w:p>
        </w:tc>
        <w:tc>
          <w:tcPr>
            <w:tcW w:w="1134" w:type="dxa"/>
            <w:vMerge w:val="continue"/>
          </w:tcPr>
          <w:p w14:paraId="19FC3727"/>
        </w:tc>
      </w:tr>
      <w:tr w14:paraId="05A68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984727">
            <w:pPr>
              <w:pStyle w:val="11"/>
            </w:pPr>
            <w:r>
              <w:t>栏次</w:t>
            </w:r>
          </w:p>
        </w:tc>
        <w:tc>
          <w:tcPr>
            <w:tcW w:w="992" w:type="dxa"/>
            <w:vAlign w:val="center"/>
          </w:tcPr>
          <w:p w14:paraId="0A51E222">
            <w:pPr>
              <w:pStyle w:val="11"/>
            </w:pPr>
            <w:r>
              <w:t>1</w:t>
            </w:r>
          </w:p>
        </w:tc>
        <w:tc>
          <w:tcPr>
            <w:tcW w:w="1559" w:type="dxa"/>
            <w:vAlign w:val="center"/>
          </w:tcPr>
          <w:p w14:paraId="71586AA6">
            <w:pPr>
              <w:pStyle w:val="11"/>
            </w:pPr>
            <w:r>
              <w:t>2</w:t>
            </w:r>
          </w:p>
        </w:tc>
        <w:tc>
          <w:tcPr>
            <w:tcW w:w="1134" w:type="dxa"/>
            <w:vAlign w:val="center"/>
          </w:tcPr>
          <w:p w14:paraId="2619B71C">
            <w:pPr>
              <w:pStyle w:val="11"/>
            </w:pPr>
            <w:r>
              <w:t>3</w:t>
            </w:r>
          </w:p>
        </w:tc>
        <w:tc>
          <w:tcPr>
            <w:tcW w:w="1134" w:type="dxa"/>
            <w:vAlign w:val="center"/>
          </w:tcPr>
          <w:p w14:paraId="309FB27B">
            <w:pPr>
              <w:pStyle w:val="11"/>
            </w:pPr>
            <w:r>
              <w:t>4</w:t>
            </w:r>
          </w:p>
        </w:tc>
        <w:tc>
          <w:tcPr>
            <w:tcW w:w="1134" w:type="dxa"/>
            <w:vAlign w:val="center"/>
          </w:tcPr>
          <w:p w14:paraId="44729419">
            <w:pPr>
              <w:pStyle w:val="11"/>
            </w:pPr>
            <w:r>
              <w:t>5</w:t>
            </w:r>
          </w:p>
        </w:tc>
        <w:tc>
          <w:tcPr>
            <w:tcW w:w="1134" w:type="dxa"/>
            <w:vAlign w:val="center"/>
          </w:tcPr>
          <w:p w14:paraId="351AC28B">
            <w:pPr>
              <w:pStyle w:val="11"/>
            </w:pPr>
            <w:r>
              <w:t>6</w:t>
            </w:r>
          </w:p>
        </w:tc>
        <w:tc>
          <w:tcPr>
            <w:tcW w:w="1134" w:type="dxa"/>
            <w:vAlign w:val="center"/>
          </w:tcPr>
          <w:p w14:paraId="79BBD612">
            <w:pPr>
              <w:pStyle w:val="11"/>
            </w:pPr>
            <w:r>
              <w:t>7</w:t>
            </w:r>
          </w:p>
        </w:tc>
        <w:tc>
          <w:tcPr>
            <w:tcW w:w="1134" w:type="dxa"/>
            <w:vAlign w:val="center"/>
          </w:tcPr>
          <w:p w14:paraId="02BBAAC5">
            <w:pPr>
              <w:pStyle w:val="11"/>
            </w:pPr>
            <w:r>
              <w:t>8</w:t>
            </w:r>
          </w:p>
        </w:tc>
        <w:tc>
          <w:tcPr>
            <w:tcW w:w="1134" w:type="dxa"/>
            <w:vAlign w:val="center"/>
          </w:tcPr>
          <w:p w14:paraId="6784A5AC">
            <w:pPr>
              <w:pStyle w:val="11"/>
            </w:pPr>
            <w:r>
              <w:t>9</w:t>
            </w:r>
          </w:p>
        </w:tc>
        <w:tc>
          <w:tcPr>
            <w:tcW w:w="1134" w:type="dxa"/>
            <w:vAlign w:val="center"/>
          </w:tcPr>
          <w:p w14:paraId="023C58CA">
            <w:pPr>
              <w:pStyle w:val="11"/>
            </w:pPr>
            <w:r>
              <w:t>10</w:t>
            </w:r>
          </w:p>
        </w:tc>
        <w:tc>
          <w:tcPr>
            <w:tcW w:w="1134" w:type="dxa"/>
            <w:vAlign w:val="center"/>
          </w:tcPr>
          <w:p w14:paraId="7F7AE042">
            <w:pPr>
              <w:pStyle w:val="11"/>
            </w:pPr>
            <w:r>
              <w:t>11</w:t>
            </w:r>
          </w:p>
        </w:tc>
        <w:tc>
          <w:tcPr>
            <w:tcW w:w="1134" w:type="dxa"/>
            <w:vAlign w:val="center"/>
          </w:tcPr>
          <w:p w14:paraId="3F370B04">
            <w:pPr>
              <w:pStyle w:val="11"/>
            </w:pPr>
            <w:r>
              <w:t>12</w:t>
            </w:r>
          </w:p>
        </w:tc>
      </w:tr>
      <w:tr w14:paraId="29F39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463368">
            <w:pPr>
              <w:pStyle w:val="12"/>
            </w:pPr>
            <w:r>
              <w:t>1</w:t>
            </w:r>
          </w:p>
        </w:tc>
        <w:tc>
          <w:tcPr>
            <w:tcW w:w="992" w:type="dxa"/>
            <w:vAlign w:val="center"/>
          </w:tcPr>
          <w:p w14:paraId="5EBEB118">
            <w:pPr>
              <w:pStyle w:val="17"/>
            </w:pPr>
          </w:p>
        </w:tc>
        <w:tc>
          <w:tcPr>
            <w:tcW w:w="1559" w:type="dxa"/>
            <w:vAlign w:val="center"/>
          </w:tcPr>
          <w:p w14:paraId="0CDBF592">
            <w:pPr>
              <w:pStyle w:val="15"/>
            </w:pPr>
            <w:r>
              <w:t>合计</w:t>
            </w:r>
          </w:p>
        </w:tc>
        <w:tc>
          <w:tcPr>
            <w:tcW w:w="1134" w:type="dxa"/>
            <w:vAlign w:val="center"/>
          </w:tcPr>
          <w:p w14:paraId="6FB0EEB0">
            <w:pPr>
              <w:pStyle w:val="16"/>
            </w:pPr>
            <w:r>
              <w:t>189.77</w:t>
            </w:r>
          </w:p>
        </w:tc>
        <w:tc>
          <w:tcPr>
            <w:tcW w:w="1134" w:type="dxa"/>
            <w:vAlign w:val="center"/>
          </w:tcPr>
          <w:p w14:paraId="127EEF68">
            <w:pPr>
              <w:pStyle w:val="16"/>
            </w:pPr>
            <w:r>
              <w:t>189.77</w:t>
            </w:r>
          </w:p>
        </w:tc>
        <w:tc>
          <w:tcPr>
            <w:tcW w:w="1134" w:type="dxa"/>
            <w:vAlign w:val="center"/>
          </w:tcPr>
          <w:p w14:paraId="18C6F623">
            <w:pPr>
              <w:pStyle w:val="16"/>
            </w:pPr>
            <w:r>
              <w:t>189.77</w:t>
            </w:r>
          </w:p>
        </w:tc>
        <w:tc>
          <w:tcPr>
            <w:tcW w:w="1134" w:type="dxa"/>
            <w:vAlign w:val="center"/>
          </w:tcPr>
          <w:p w14:paraId="3ABBEF72">
            <w:pPr>
              <w:pStyle w:val="16"/>
            </w:pPr>
          </w:p>
        </w:tc>
        <w:tc>
          <w:tcPr>
            <w:tcW w:w="1134" w:type="dxa"/>
            <w:vAlign w:val="center"/>
          </w:tcPr>
          <w:p w14:paraId="4AB6F8E0">
            <w:pPr>
              <w:pStyle w:val="16"/>
            </w:pPr>
          </w:p>
        </w:tc>
        <w:tc>
          <w:tcPr>
            <w:tcW w:w="1134" w:type="dxa"/>
            <w:vAlign w:val="center"/>
          </w:tcPr>
          <w:p w14:paraId="1F204F5D">
            <w:pPr>
              <w:pStyle w:val="16"/>
            </w:pPr>
          </w:p>
        </w:tc>
        <w:tc>
          <w:tcPr>
            <w:tcW w:w="1134" w:type="dxa"/>
            <w:vAlign w:val="center"/>
          </w:tcPr>
          <w:p w14:paraId="49933B9D">
            <w:pPr>
              <w:pStyle w:val="16"/>
            </w:pPr>
          </w:p>
        </w:tc>
        <w:tc>
          <w:tcPr>
            <w:tcW w:w="1134" w:type="dxa"/>
            <w:vAlign w:val="center"/>
          </w:tcPr>
          <w:p w14:paraId="68AF860F">
            <w:pPr>
              <w:pStyle w:val="16"/>
            </w:pPr>
          </w:p>
        </w:tc>
        <w:tc>
          <w:tcPr>
            <w:tcW w:w="1134" w:type="dxa"/>
            <w:vAlign w:val="center"/>
          </w:tcPr>
          <w:p w14:paraId="41F15AF1">
            <w:pPr>
              <w:pStyle w:val="16"/>
            </w:pPr>
          </w:p>
        </w:tc>
        <w:tc>
          <w:tcPr>
            <w:tcW w:w="1134" w:type="dxa"/>
            <w:vAlign w:val="center"/>
          </w:tcPr>
          <w:p w14:paraId="7E254741">
            <w:pPr>
              <w:pStyle w:val="16"/>
            </w:pPr>
          </w:p>
        </w:tc>
      </w:tr>
      <w:tr w14:paraId="7A2D5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C3CFF8">
            <w:pPr>
              <w:pStyle w:val="12"/>
            </w:pPr>
            <w:r>
              <w:t>2</w:t>
            </w:r>
          </w:p>
        </w:tc>
        <w:tc>
          <w:tcPr>
            <w:tcW w:w="992" w:type="dxa"/>
            <w:vAlign w:val="center"/>
          </w:tcPr>
          <w:p w14:paraId="6E5773CE">
            <w:pPr>
              <w:pStyle w:val="13"/>
            </w:pPr>
            <w:r>
              <w:t>205</w:t>
            </w:r>
          </w:p>
        </w:tc>
        <w:tc>
          <w:tcPr>
            <w:tcW w:w="1559" w:type="dxa"/>
            <w:vAlign w:val="center"/>
          </w:tcPr>
          <w:p w14:paraId="62E7C22C">
            <w:pPr>
              <w:pStyle w:val="13"/>
            </w:pPr>
            <w:r>
              <w:t>教育支出</w:t>
            </w:r>
          </w:p>
        </w:tc>
        <w:tc>
          <w:tcPr>
            <w:tcW w:w="1134" w:type="dxa"/>
            <w:vAlign w:val="center"/>
          </w:tcPr>
          <w:p w14:paraId="289A1B04">
            <w:pPr>
              <w:pStyle w:val="14"/>
            </w:pPr>
            <w:r>
              <w:t>189.77</w:t>
            </w:r>
          </w:p>
        </w:tc>
        <w:tc>
          <w:tcPr>
            <w:tcW w:w="1134" w:type="dxa"/>
            <w:vAlign w:val="center"/>
          </w:tcPr>
          <w:p w14:paraId="2922E0B4">
            <w:pPr>
              <w:pStyle w:val="14"/>
            </w:pPr>
            <w:r>
              <w:t>189.77</w:t>
            </w:r>
          </w:p>
        </w:tc>
        <w:tc>
          <w:tcPr>
            <w:tcW w:w="1134" w:type="dxa"/>
            <w:vAlign w:val="center"/>
          </w:tcPr>
          <w:p w14:paraId="2C735CD7">
            <w:pPr>
              <w:pStyle w:val="14"/>
            </w:pPr>
            <w:r>
              <w:t>189.77</w:t>
            </w:r>
          </w:p>
        </w:tc>
        <w:tc>
          <w:tcPr>
            <w:tcW w:w="1134" w:type="dxa"/>
            <w:vAlign w:val="center"/>
          </w:tcPr>
          <w:p w14:paraId="2A73F475">
            <w:pPr>
              <w:pStyle w:val="14"/>
            </w:pPr>
          </w:p>
        </w:tc>
        <w:tc>
          <w:tcPr>
            <w:tcW w:w="1134" w:type="dxa"/>
            <w:vAlign w:val="center"/>
          </w:tcPr>
          <w:p w14:paraId="10C01F5B">
            <w:pPr>
              <w:pStyle w:val="14"/>
            </w:pPr>
          </w:p>
        </w:tc>
        <w:tc>
          <w:tcPr>
            <w:tcW w:w="1134" w:type="dxa"/>
            <w:vAlign w:val="center"/>
          </w:tcPr>
          <w:p w14:paraId="41651DE1">
            <w:pPr>
              <w:pStyle w:val="14"/>
            </w:pPr>
          </w:p>
        </w:tc>
        <w:tc>
          <w:tcPr>
            <w:tcW w:w="1134" w:type="dxa"/>
            <w:vAlign w:val="center"/>
          </w:tcPr>
          <w:p w14:paraId="145D8DC3">
            <w:pPr>
              <w:pStyle w:val="14"/>
            </w:pPr>
          </w:p>
        </w:tc>
        <w:tc>
          <w:tcPr>
            <w:tcW w:w="1134" w:type="dxa"/>
            <w:vAlign w:val="center"/>
          </w:tcPr>
          <w:p w14:paraId="2C1161D3">
            <w:pPr>
              <w:pStyle w:val="14"/>
            </w:pPr>
          </w:p>
        </w:tc>
        <w:tc>
          <w:tcPr>
            <w:tcW w:w="1134" w:type="dxa"/>
            <w:vAlign w:val="center"/>
          </w:tcPr>
          <w:p w14:paraId="6B38E48F">
            <w:pPr>
              <w:pStyle w:val="14"/>
            </w:pPr>
          </w:p>
        </w:tc>
        <w:tc>
          <w:tcPr>
            <w:tcW w:w="1134" w:type="dxa"/>
            <w:vAlign w:val="center"/>
          </w:tcPr>
          <w:p w14:paraId="111DA3EB">
            <w:pPr>
              <w:pStyle w:val="14"/>
            </w:pPr>
          </w:p>
        </w:tc>
      </w:tr>
      <w:tr w14:paraId="7177E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92F4BA">
            <w:pPr>
              <w:pStyle w:val="12"/>
            </w:pPr>
            <w:r>
              <w:t>3</w:t>
            </w:r>
          </w:p>
        </w:tc>
        <w:tc>
          <w:tcPr>
            <w:tcW w:w="992" w:type="dxa"/>
            <w:vAlign w:val="center"/>
          </w:tcPr>
          <w:p w14:paraId="6DDFFC0E">
            <w:pPr>
              <w:pStyle w:val="13"/>
            </w:pPr>
            <w:r>
              <w:t>20502</w:t>
            </w:r>
          </w:p>
        </w:tc>
        <w:tc>
          <w:tcPr>
            <w:tcW w:w="1559" w:type="dxa"/>
            <w:vAlign w:val="center"/>
          </w:tcPr>
          <w:p w14:paraId="4F118864">
            <w:pPr>
              <w:pStyle w:val="13"/>
            </w:pPr>
            <w:r>
              <w:t>普通教育</w:t>
            </w:r>
          </w:p>
        </w:tc>
        <w:tc>
          <w:tcPr>
            <w:tcW w:w="1134" w:type="dxa"/>
            <w:vAlign w:val="center"/>
          </w:tcPr>
          <w:p w14:paraId="5DA68CE3">
            <w:pPr>
              <w:pStyle w:val="14"/>
            </w:pPr>
            <w:r>
              <w:t>189.77</w:t>
            </w:r>
          </w:p>
        </w:tc>
        <w:tc>
          <w:tcPr>
            <w:tcW w:w="1134" w:type="dxa"/>
            <w:vAlign w:val="center"/>
          </w:tcPr>
          <w:p w14:paraId="7848F26D">
            <w:pPr>
              <w:pStyle w:val="14"/>
            </w:pPr>
            <w:r>
              <w:t>189.77</w:t>
            </w:r>
          </w:p>
        </w:tc>
        <w:tc>
          <w:tcPr>
            <w:tcW w:w="1134" w:type="dxa"/>
            <w:vAlign w:val="center"/>
          </w:tcPr>
          <w:p w14:paraId="6801B8B7">
            <w:pPr>
              <w:pStyle w:val="14"/>
            </w:pPr>
            <w:r>
              <w:t>189.77</w:t>
            </w:r>
          </w:p>
        </w:tc>
        <w:tc>
          <w:tcPr>
            <w:tcW w:w="1134" w:type="dxa"/>
            <w:vAlign w:val="center"/>
          </w:tcPr>
          <w:p w14:paraId="568E36D7">
            <w:pPr>
              <w:pStyle w:val="14"/>
            </w:pPr>
          </w:p>
        </w:tc>
        <w:tc>
          <w:tcPr>
            <w:tcW w:w="1134" w:type="dxa"/>
            <w:vAlign w:val="center"/>
          </w:tcPr>
          <w:p w14:paraId="566A2475">
            <w:pPr>
              <w:pStyle w:val="14"/>
            </w:pPr>
          </w:p>
        </w:tc>
        <w:tc>
          <w:tcPr>
            <w:tcW w:w="1134" w:type="dxa"/>
            <w:vAlign w:val="center"/>
          </w:tcPr>
          <w:p w14:paraId="022530DB">
            <w:pPr>
              <w:pStyle w:val="14"/>
            </w:pPr>
          </w:p>
        </w:tc>
        <w:tc>
          <w:tcPr>
            <w:tcW w:w="1134" w:type="dxa"/>
            <w:vAlign w:val="center"/>
          </w:tcPr>
          <w:p w14:paraId="75A1AAE5">
            <w:pPr>
              <w:pStyle w:val="14"/>
            </w:pPr>
          </w:p>
        </w:tc>
        <w:tc>
          <w:tcPr>
            <w:tcW w:w="1134" w:type="dxa"/>
            <w:vAlign w:val="center"/>
          </w:tcPr>
          <w:p w14:paraId="34826F58">
            <w:pPr>
              <w:pStyle w:val="14"/>
            </w:pPr>
          </w:p>
        </w:tc>
        <w:tc>
          <w:tcPr>
            <w:tcW w:w="1134" w:type="dxa"/>
            <w:vAlign w:val="center"/>
          </w:tcPr>
          <w:p w14:paraId="7276E04D">
            <w:pPr>
              <w:pStyle w:val="14"/>
            </w:pPr>
          </w:p>
        </w:tc>
        <w:tc>
          <w:tcPr>
            <w:tcW w:w="1134" w:type="dxa"/>
            <w:vAlign w:val="center"/>
          </w:tcPr>
          <w:p w14:paraId="42A6BC10">
            <w:pPr>
              <w:pStyle w:val="14"/>
            </w:pPr>
          </w:p>
        </w:tc>
      </w:tr>
      <w:tr w14:paraId="56FD0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8EBAA7">
            <w:pPr>
              <w:pStyle w:val="12"/>
            </w:pPr>
            <w:r>
              <w:t>4</w:t>
            </w:r>
          </w:p>
        </w:tc>
        <w:tc>
          <w:tcPr>
            <w:tcW w:w="992" w:type="dxa"/>
            <w:vAlign w:val="center"/>
          </w:tcPr>
          <w:p w14:paraId="641F8311">
            <w:pPr>
              <w:pStyle w:val="13"/>
            </w:pPr>
            <w:r>
              <w:t>2050201</w:t>
            </w:r>
          </w:p>
        </w:tc>
        <w:tc>
          <w:tcPr>
            <w:tcW w:w="1559" w:type="dxa"/>
            <w:vAlign w:val="center"/>
          </w:tcPr>
          <w:p w14:paraId="44571120">
            <w:pPr>
              <w:pStyle w:val="13"/>
            </w:pPr>
            <w:r>
              <w:t>学前教育</w:t>
            </w:r>
          </w:p>
        </w:tc>
        <w:tc>
          <w:tcPr>
            <w:tcW w:w="1134" w:type="dxa"/>
            <w:vAlign w:val="center"/>
          </w:tcPr>
          <w:p w14:paraId="0D3175BA">
            <w:pPr>
              <w:pStyle w:val="14"/>
            </w:pPr>
            <w:r>
              <w:t>189.77</w:t>
            </w:r>
          </w:p>
        </w:tc>
        <w:tc>
          <w:tcPr>
            <w:tcW w:w="1134" w:type="dxa"/>
            <w:vAlign w:val="center"/>
          </w:tcPr>
          <w:p w14:paraId="0FC33F61">
            <w:pPr>
              <w:pStyle w:val="14"/>
            </w:pPr>
            <w:r>
              <w:t>189.77</w:t>
            </w:r>
          </w:p>
        </w:tc>
        <w:tc>
          <w:tcPr>
            <w:tcW w:w="1134" w:type="dxa"/>
            <w:vAlign w:val="center"/>
          </w:tcPr>
          <w:p w14:paraId="6EB0DB70">
            <w:pPr>
              <w:pStyle w:val="14"/>
            </w:pPr>
            <w:r>
              <w:t>189.77</w:t>
            </w:r>
          </w:p>
        </w:tc>
        <w:tc>
          <w:tcPr>
            <w:tcW w:w="1134" w:type="dxa"/>
            <w:vAlign w:val="center"/>
          </w:tcPr>
          <w:p w14:paraId="503AA051">
            <w:pPr>
              <w:pStyle w:val="14"/>
            </w:pPr>
          </w:p>
        </w:tc>
        <w:tc>
          <w:tcPr>
            <w:tcW w:w="1134" w:type="dxa"/>
            <w:vAlign w:val="center"/>
          </w:tcPr>
          <w:p w14:paraId="7C0651AD">
            <w:pPr>
              <w:pStyle w:val="14"/>
            </w:pPr>
          </w:p>
        </w:tc>
        <w:tc>
          <w:tcPr>
            <w:tcW w:w="1134" w:type="dxa"/>
            <w:vAlign w:val="center"/>
          </w:tcPr>
          <w:p w14:paraId="49ED6665">
            <w:pPr>
              <w:pStyle w:val="14"/>
            </w:pPr>
          </w:p>
        </w:tc>
        <w:tc>
          <w:tcPr>
            <w:tcW w:w="1134" w:type="dxa"/>
            <w:vAlign w:val="center"/>
          </w:tcPr>
          <w:p w14:paraId="21BAAD44">
            <w:pPr>
              <w:pStyle w:val="14"/>
            </w:pPr>
          </w:p>
        </w:tc>
        <w:tc>
          <w:tcPr>
            <w:tcW w:w="1134" w:type="dxa"/>
            <w:vAlign w:val="center"/>
          </w:tcPr>
          <w:p w14:paraId="038A0E79">
            <w:pPr>
              <w:pStyle w:val="14"/>
            </w:pPr>
          </w:p>
        </w:tc>
        <w:tc>
          <w:tcPr>
            <w:tcW w:w="1134" w:type="dxa"/>
            <w:vAlign w:val="center"/>
          </w:tcPr>
          <w:p w14:paraId="20B45CDB">
            <w:pPr>
              <w:pStyle w:val="14"/>
            </w:pPr>
          </w:p>
        </w:tc>
        <w:tc>
          <w:tcPr>
            <w:tcW w:w="1134" w:type="dxa"/>
            <w:vAlign w:val="center"/>
          </w:tcPr>
          <w:p w14:paraId="2EA35576">
            <w:pPr>
              <w:pStyle w:val="14"/>
            </w:pPr>
          </w:p>
        </w:tc>
      </w:tr>
    </w:tbl>
    <w:p w14:paraId="47C14CEB">
      <w:pPr>
        <w:sectPr>
          <w:pgSz w:w="16840" w:h="11900" w:orient="landscape"/>
          <w:pgMar w:top="1361" w:right="1020" w:bottom="1134" w:left="1020" w:header="720" w:footer="720" w:gutter="0"/>
          <w:cols w:space="720" w:num="1"/>
        </w:sectPr>
      </w:pPr>
    </w:p>
    <w:p w14:paraId="3EFD7C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84A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A58191">
            <w:pPr>
              <w:pStyle w:val="8"/>
            </w:pPr>
            <w:r>
              <w:t>360035隆尧县唐尧街幼儿园</w:t>
            </w:r>
          </w:p>
        </w:tc>
        <w:tc>
          <w:tcPr>
            <w:tcW w:w="2722" w:type="dxa"/>
            <w:gridSpan w:val="2"/>
            <w:tcBorders>
              <w:top w:val="single" w:color="FFFFFF" w:sz="6" w:space="0"/>
              <w:left w:val="single" w:color="FFFFFF" w:sz="6" w:space="0"/>
              <w:right w:val="single" w:color="FFFFFF" w:sz="6" w:space="0"/>
            </w:tcBorders>
            <w:vAlign w:val="center"/>
          </w:tcPr>
          <w:p w14:paraId="765F183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0F49EB0">
            <w:pPr>
              <w:pStyle w:val="10"/>
            </w:pPr>
            <w:r>
              <w:t>单位：万元</w:t>
            </w:r>
          </w:p>
        </w:tc>
      </w:tr>
      <w:tr w14:paraId="3E9D4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94541D">
            <w:pPr>
              <w:pStyle w:val="11"/>
            </w:pPr>
            <w:r>
              <w:t>序号</w:t>
            </w:r>
          </w:p>
        </w:tc>
        <w:tc>
          <w:tcPr>
            <w:tcW w:w="5527" w:type="dxa"/>
            <w:gridSpan w:val="2"/>
            <w:vAlign w:val="center"/>
          </w:tcPr>
          <w:p w14:paraId="1D9B3EA4">
            <w:pPr>
              <w:pStyle w:val="11"/>
            </w:pPr>
            <w:r>
              <w:t>功能分类科目</w:t>
            </w:r>
          </w:p>
        </w:tc>
        <w:tc>
          <w:tcPr>
            <w:tcW w:w="1361" w:type="dxa"/>
            <w:vMerge w:val="restart"/>
            <w:vAlign w:val="center"/>
          </w:tcPr>
          <w:p w14:paraId="0A853787">
            <w:pPr>
              <w:pStyle w:val="11"/>
            </w:pPr>
            <w:r>
              <w:t>合计</w:t>
            </w:r>
          </w:p>
        </w:tc>
        <w:tc>
          <w:tcPr>
            <w:tcW w:w="1361" w:type="dxa"/>
            <w:vMerge w:val="restart"/>
            <w:vAlign w:val="center"/>
          </w:tcPr>
          <w:p w14:paraId="6C4F98C3">
            <w:pPr>
              <w:pStyle w:val="11"/>
            </w:pPr>
            <w:r>
              <w:t>基本支出</w:t>
            </w:r>
          </w:p>
        </w:tc>
        <w:tc>
          <w:tcPr>
            <w:tcW w:w="1361" w:type="dxa"/>
            <w:vMerge w:val="restart"/>
            <w:vAlign w:val="center"/>
          </w:tcPr>
          <w:p w14:paraId="563CB14A">
            <w:pPr>
              <w:pStyle w:val="11"/>
            </w:pPr>
            <w:r>
              <w:t>项目支出</w:t>
            </w:r>
          </w:p>
        </w:tc>
        <w:tc>
          <w:tcPr>
            <w:tcW w:w="1361" w:type="dxa"/>
            <w:vMerge w:val="restart"/>
            <w:vAlign w:val="center"/>
          </w:tcPr>
          <w:p w14:paraId="2842F692">
            <w:pPr>
              <w:pStyle w:val="11"/>
            </w:pPr>
            <w:r>
              <w:t>经营支出</w:t>
            </w:r>
          </w:p>
        </w:tc>
        <w:tc>
          <w:tcPr>
            <w:tcW w:w="1361" w:type="dxa"/>
            <w:vMerge w:val="restart"/>
            <w:vAlign w:val="center"/>
          </w:tcPr>
          <w:p w14:paraId="6794458B">
            <w:pPr>
              <w:pStyle w:val="11"/>
            </w:pPr>
            <w:r>
              <w:t>上解上级     支出</w:t>
            </w:r>
          </w:p>
        </w:tc>
        <w:tc>
          <w:tcPr>
            <w:tcW w:w="1361" w:type="dxa"/>
            <w:vMerge w:val="restart"/>
            <w:vAlign w:val="center"/>
          </w:tcPr>
          <w:p w14:paraId="70E0DEF7">
            <w:pPr>
              <w:pStyle w:val="11"/>
            </w:pPr>
            <w:r>
              <w:t>对附属单位补助支出</w:t>
            </w:r>
          </w:p>
        </w:tc>
      </w:tr>
      <w:tr w14:paraId="55CE4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181056"/>
        </w:tc>
        <w:tc>
          <w:tcPr>
            <w:tcW w:w="992" w:type="dxa"/>
            <w:vAlign w:val="center"/>
          </w:tcPr>
          <w:p w14:paraId="48E2015E">
            <w:pPr>
              <w:pStyle w:val="11"/>
            </w:pPr>
            <w:r>
              <w:t>科目    编码</w:t>
            </w:r>
          </w:p>
        </w:tc>
        <w:tc>
          <w:tcPr>
            <w:tcW w:w="4535" w:type="dxa"/>
            <w:vAlign w:val="center"/>
          </w:tcPr>
          <w:p w14:paraId="5A211B73">
            <w:pPr>
              <w:pStyle w:val="11"/>
            </w:pPr>
            <w:r>
              <w:t>科目名称</w:t>
            </w:r>
          </w:p>
        </w:tc>
        <w:tc>
          <w:tcPr>
            <w:tcW w:w="1361" w:type="dxa"/>
            <w:vMerge w:val="continue"/>
          </w:tcPr>
          <w:p w14:paraId="695D40C9"/>
        </w:tc>
        <w:tc>
          <w:tcPr>
            <w:tcW w:w="1361" w:type="dxa"/>
            <w:vMerge w:val="continue"/>
          </w:tcPr>
          <w:p w14:paraId="399A9B8B"/>
        </w:tc>
        <w:tc>
          <w:tcPr>
            <w:tcW w:w="1361" w:type="dxa"/>
            <w:vMerge w:val="continue"/>
          </w:tcPr>
          <w:p w14:paraId="696E2D04"/>
        </w:tc>
        <w:tc>
          <w:tcPr>
            <w:tcW w:w="1361" w:type="dxa"/>
            <w:vMerge w:val="continue"/>
          </w:tcPr>
          <w:p w14:paraId="45B04C7B"/>
        </w:tc>
        <w:tc>
          <w:tcPr>
            <w:tcW w:w="1361" w:type="dxa"/>
            <w:vMerge w:val="continue"/>
          </w:tcPr>
          <w:p w14:paraId="31B1D0D0"/>
        </w:tc>
        <w:tc>
          <w:tcPr>
            <w:tcW w:w="1361" w:type="dxa"/>
            <w:vMerge w:val="continue"/>
          </w:tcPr>
          <w:p w14:paraId="2CB4A799"/>
        </w:tc>
      </w:tr>
      <w:tr w14:paraId="0FF6F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C9C1B4">
            <w:pPr>
              <w:pStyle w:val="11"/>
            </w:pPr>
            <w:r>
              <w:t>栏次</w:t>
            </w:r>
          </w:p>
        </w:tc>
        <w:tc>
          <w:tcPr>
            <w:tcW w:w="992" w:type="dxa"/>
            <w:vAlign w:val="center"/>
          </w:tcPr>
          <w:p w14:paraId="0A4ED74F">
            <w:pPr>
              <w:pStyle w:val="11"/>
            </w:pPr>
            <w:r>
              <w:t>1</w:t>
            </w:r>
          </w:p>
        </w:tc>
        <w:tc>
          <w:tcPr>
            <w:tcW w:w="4535" w:type="dxa"/>
            <w:vAlign w:val="center"/>
          </w:tcPr>
          <w:p w14:paraId="2D72815F">
            <w:pPr>
              <w:pStyle w:val="11"/>
            </w:pPr>
            <w:r>
              <w:t>2</w:t>
            </w:r>
          </w:p>
        </w:tc>
        <w:tc>
          <w:tcPr>
            <w:tcW w:w="1361" w:type="dxa"/>
            <w:vAlign w:val="center"/>
          </w:tcPr>
          <w:p w14:paraId="19D55E23">
            <w:pPr>
              <w:pStyle w:val="11"/>
            </w:pPr>
            <w:r>
              <w:t>3</w:t>
            </w:r>
          </w:p>
        </w:tc>
        <w:tc>
          <w:tcPr>
            <w:tcW w:w="1361" w:type="dxa"/>
            <w:vAlign w:val="center"/>
          </w:tcPr>
          <w:p w14:paraId="2F33F08B">
            <w:pPr>
              <w:pStyle w:val="11"/>
            </w:pPr>
            <w:r>
              <w:t>4</w:t>
            </w:r>
          </w:p>
        </w:tc>
        <w:tc>
          <w:tcPr>
            <w:tcW w:w="1361" w:type="dxa"/>
            <w:vAlign w:val="center"/>
          </w:tcPr>
          <w:p w14:paraId="1CEE9C25">
            <w:pPr>
              <w:pStyle w:val="11"/>
            </w:pPr>
            <w:r>
              <w:t>5</w:t>
            </w:r>
          </w:p>
        </w:tc>
        <w:tc>
          <w:tcPr>
            <w:tcW w:w="1361" w:type="dxa"/>
            <w:vAlign w:val="center"/>
          </w:tcPr>
          <w:p w14:paraId="63E29293">
            <w:pPr>
              <w:pStyle w:val="11"/>
            </w:pPr>
            <w:r>
              <w:t>6</w:t>
            </w:r>
          </w:p>
        </w:tc>
        <w:tc>
          <w:tcPr>
            <w:tcW w:w="1361" w:type="dxa"/>
            <w:vAlign w:val="center"/>
          </w:tcPr>
          <w:p w14:paraId="15C6B545">
            <w:pPr>
              <w:pStyle w:val="11"/>
            </w:pPr>
            <w:r>
              <w:t>7</w:t>
            </w:r>
          </w:p>
        </w:tc>
        <w:tc>
          <w:tcPr>
            <w:tcW w:w="1361" w:type="dxa"/>
            <w:vAlign w:val="center"/>
          </w:tcPr>
          <w:p w14:paraId="39FB702F">
            <w:pPr>
              <w:pStyle w:val="11"/>
            </w:pPr>
            <w:r>
              <w:t>8</w:t>
            </w:r>
          </w:p>
        </w:tc>
      </w:tr>
      <w:tr w14:paraId="6AF4A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3C538">
            <w:pPr>
              <w:pStyle w:val="12"/>
            </w:pPr>
            <w:r>
              <w:t>1</w:t>
            </w:r>
          </w:p>
        </w:tc>
        <w:tc>
          <w:tcPr>
            <w:tcW w:w="992" w:type="dxa"/>
            <w:vAlign w:val="center"/>
          </w:tcPr>
          <w:p w14:paraId="2B929240">
            <w:pPr>
              <w:pStyle w:val="17"/>
            </w:pPr>
          </w:p>
        </w:tc>
        <w:tc>
          <w:tcPr>
            <w:tcW w:w="4535" w:type="dxa"/>
            <w:vAlign w:val="center"/>
          </w:tcPr>
          <w:p w14:paraId="1BB684D1">
            <w:pPr>
              <w:pStyle w:val="15"/>
            </w:pPr>
            <w:r>
              <w:t>合计</w:t>
            </w:r>
          </w:p>
        </w:tc>
        <w:tc>
          <w:tcPr>
            <w:tcW w:w="1361" w:type="dxa"/>
            <w:vAlign w:val="center"/>
          </w:tcPr>
          <w:p w14:paraId="3F06BA66">
            <w:pPr>
              <w:pStyle w:val="16"/>
            </w:pPr>
            <w:r>
              <w:t>189.77</w:t>
            </w:r>
          </w:p>
        </w:tc>
        <w:tc>
          <w:tcPr>
            <w:tcW w:w="1361" w:type="dxa"/>
            <w:vAlign w:val="center"/>
          </w:tcPr>
          <w:p w14:paraId="0657A926">
            <w:pPr>
              <w:pStyle w:val="16"/>
            </w:pPr>
            <w:r>
              <w:t>42.10</w:t>
            </w:r>
          </w:p>
        </w:tc>
        <w:tc>
          <w:tcPr>
            <w:tcW w:w="1361" w:type="dxa"/>
            <w:vAlign w:val="center"/>
          </w:tcPr>
          <w:p w14:paraId="5A74719E">
            <w:pPr>
              <w:pStyle w:val="16"/>
            </w:pPr>
            <w:r>
              <w:t>147.67</w:t>
            </w:r>
          </w:p>
        </w:tc>
        <w:tc>
          <w:tcPr>
            <w:tcW w:w="1361" w:type="dxa"/>
            <w:vAlign w:val="center"/>
          </w:tcPr>
          <w:p w14:paraId="22052ED7">
            <w:pPr>
              <w:pStyle w:val="16"/>
            </w:pPr>
          </w:p>
        </w:tc>
        <w:tc>
          <w:tcPr>
            <w:tcW w:w="1361" w:type="dxa"/>
            <w:vAlign w:val="center"/>
          </w:tcPr>
          <w:p w14:paraId="22D2C83F">
            <w:pPr>
              <w:pStyle w:val="16"/>
            </w:pPr>
          </w:p>
        </w:tc>
        <w:tc>
          <w:tcPr>
            <w:tcW w:w="1361" w:type="dxa"/>
            <w:vAlign w:val="center"/>
          </w:tcPr>
          <w:p w14:paraId="017BA891">
            <w:pPr>
              <w:pStyle w:val="16"/>
            </w:pPr>
          </w:p>
        </w:tc>
      </w:tr>
      <w:tr w14:paraId="28C4C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EA495">
            <w:pPr>
              <w:pStyle w:val="12"/>
            </w:pPr>
            <w:r>
              <w:t>2</w:t>
            </w:r>
          </w:p>
        </w:tc>
        <w:tc>
          <w:tcPr>
            <w:tcW w:w="992" w:type="dxa"/>
            <w:vAlign w:val="center"/>
          </w:tcPr>
          <w:p w14:paraId="383877DF">
            <w:pPr>
              <w:pStyle w:val="13"/>
            </w:pPr>
            <w:r>
              <w:t>205</w:t>
            </w:r>
          </w:p>
        </w:tc>
        <w:tc>
          <w:tcPr>
            <w:tcW w:w="4535" w:type="dxa"/>
            <w:vAlign w:val="center"/>
          </w:tcPr>
          <w:p w14:paraId="0807453D">
            <w:pPr>
              <w:pStyle w:val="13"/>
            </w:pPr>
            <w:r>
              <w:t>教育支出</w:t>
            </w:r>
          </w:p>
        </w:tc>
        <w:tc>
          <w:tcPr>
            <w:tcW w:w="1361" w:type="dxa"/>
            <w:vAlign w:val="center"/>
          </w:tcPr>
          <w:p w14:paraId="041D55AC">
            <w:pPr>
              <w:pStyle w:val="14"/>
            </w:pPr>
            <w:r>
              <w:t>189.77</w:t>
            </w:r>
          </w:p>
        </w:tc>
        <w:tc>
          <w:tcPr>
            <w:tcW w:w="1361" w:type="dxa"/>
            <w:vAlign w:val="center"/>
          </w:tcPr>
          <w:p w14:paraId="38F77843">
            <w:pPr>
              <w:pStyle w:val="14"/>
            </w:pPr>
            <w:r>
              <w:t>42.10</w:t>
            </w:r>
          </w:p>
        </w:tc>
        <w:tc>
          <w:tcPr>
            <w:tcW w:w="1361" w:type="dxa"/>
            <w:vAlign w:val="center"/>
          </w:tcPr>
          <w:p w14:paraId="2F0DB4F5">
            <w:pPr>
              <w:pStyle w:val="14"/>
            </w:pPr>
            <w:r>
              <w:t>147.67</w:t>
            </w:r>
          </w:p>
        </w:tc>
        <w:tc>
          <w:tcPr>
            <w:tcW w:w="1361" w:type="dxa"/>
            <w:vAlign w:val="center"/>
          </w:tcPr>
          <w:p w14:paraId="7BABC29D">
            <w:pPr>
              <w:pStyle w:val="14"/>
            </w:pPr>
          </w:p>
        </w:tc>
        <w:tc>
          <w:tcPr>
            <w:tcW w:w="1361" w:type="dxa"/>
            <w:vAlign w:val="center"/>
          </w:tcPr>
          <w:p w14:paraId="7CB6BA0B">
            <w:pPr>
              <w:pStyle w:val="14"/>
            </w:pPr>
          </w:p>
        </w:tc>
        <w:tc>
          <w:tcPr>
            <w:tcW w:w="1361" w:type="dxa"/>
            <w:vAlign w:val="center"/>
          </w:tcPr>
          <w:p w14:paraId="2F644210">
            <w:pPr>
              <w:pStyle w:val="14"/>
            </w:pPr>
          </w:p>
        </w:tc>
      </w:tr>
      <w:tr w14:paraId="3A06D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4CDA3">
            <w:pPr>
              <w:pStyle w:val="12"/>
            </w:pPr>
            <w:r>
              <w:t>3</w:t>
            </w:r>
          </w:p>
        </w:tc>
        <w:tc>
          <w:tcPr>
            <w:tcW w:w="992" w:type="dxa"/>
            <w:vAlign w:val="center"/>
          </w:tcPr>
          <w:p w14:paraId="621612E3">
            <w:pPr>
              <w:pStyle w:val="13"/>
            </w:pPr>
            <w:r>
              <w:t>20502</w:t>
            </w:r>
          </w:p>
        </w:tc>
        <w:tc>
          <w:tcPr>
            <w:tcW w:w="4535" w:type="dxa"/>
            <w:vAlign w:val="center"/>
          </w:tcPr>
          <w:p w14:paraId="143B2AB1">
            <w:pPr>
              <w:pStyle w:val="13"/>
            </w:pPr>
            <w:r>
              <w:t>普通教育</w:t>
            </w:r>
          </w:p>
        </w:tc>
        <w:tc>
          <w:tcPr>
            <w:tcW w:w="1361" w:type="dxa"/>
            <w:vAlign w:val="center"/>
          </w:tcPr>
          <w:p w14:paraId="79EBF56A">
            <w:pPr>
              <w:pStyle w:val="14"/>
            </w:pPr>
            <w:r>
              <w:t>189.77</w:t>
            </w:r>
          </w:p>
        </w:tc>
        <w:tc>
          <w:tcPr>
            <w:tcW w:w="1361" w:type="dxa"/>
            <w:vAlign w:val="center"/>
          </w:tcPr>
          <w:p w14:paraId="6F737397">
            <w:pPr>
              <w:pStyle w:val="14"/>
            </w:pPr>
            <w:r>
              <w:t>42.10</w:t>
            </w:r>
          </w:p>
        </w:tc>
        <w:tc>
          <w:tcPr>
            <w:tcW w:w="1361" w:type="dxa"/>
            <w:vAlign w:val="center"/>
          </w:tcPr>
          <w:p w14:paraId="68C5521E">
            <w:pPr>
              <w:pStyle w:val="14"/>
            </w:pPr>
            <w:r>
              <w:t>147.67</w:t>
            </w:r>
          </w:p>
        </w:tc>
        <w:tc>
          <w:tcPr>
            <w:tcW w:w="1361" w:type="dxa"/>
            <w:vAlign w:val="center"/>
          </w:tcPr>
          <w:p w14:paraId="4F9C3B77">
            <w:pPr>
              <w:pStyle w:val="14"/>
            </w:pPr>
          </w:p>
        </w:tc>
        <w:tc>
          <w:tcPr>
            <w:tcW w:w="1361" w:type="dxa"/>
            <w:vAlign w:val="center"/>
          </w:tcPr>
          <w:p w14:paraId="4D733D2F">
            <w:pPr>
              <w:pStyle w:val="14"/>
            </w:pPr>
          </w:p>
        </w:tc>
        <w:tc>
          <w:tcPr>
            <w:tcW w:w="1361" w:type="dxa"/>
            <w:vAlign w:val="center"/>
          </w:tcPr>
          <w:p w14:paraId="69D2085F">
            <w:pPr>
              <w:pStyle w:val="14"/>
            </w:pPr>
          </w:p>
        </w:tc>
      </w:tr>
      <w:tr w14:paraId="44E66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7F58C">
            <w:pPr>
              <w:pStyle w:val="12"/>
            </w:pPr>
            <w:r>
              <w:t>4</w:t>
            </w:r>
          </w:p>
        </w:tc>
        <w:tc>
          <w:tcPr>
            <w:tcW w:w="992" w:type="dxa"/>
            <w:vAlign w:val="center"/>
          </w:tcPr>
          <w:p w14:paraId="5C93C3B2">
            <w:pPr>
              <w:pStyle w:val="13"/>
            </w:pPr>
            <w:r>
              <w:t>2050201</w:t>
            </w:r>
          </w:p>
        </w:tc>
        <w:tc>
          <w:tcPr>
            <w:tcW w:w="4535" w:type="dxa"/>
            <w:vAlign w:val="center"/>
          </w:tcPr>
          <w:p w14:paraId="085BB06E">
            <w:pPr>
              <w:pStyle w:val="13"/>
            </w:pPr>
            <w:r>
              <w:t>学前教育</w:t>
            </w:r>
          </w:p>
        </w:tc>
        <w:tc>
          <w:tcPr>
            <w:tcW w:w="1361" w:type="dxa"/>
            <w:vAlign w:val="center"/>
          </w:tcPr>
          <w:p w14:paraId="7821E7DE">
            <w:pPr>
              <w:pStyle w:val="14"/>
            </w:pPr>
            <w:r>
              <w:t>189.77</w:t>
            </w:r>
          </w:p>
        </w:tc>
        <w:tc>
          <w:tcPr>
            <w:tcW w:w="1361" w:type="dxa"/>
            <w:vAlign w:val="center"/>
          </w:tcPr>
          <w:p w14:paraId="41AEBCD2">
            <w:pPr>
              <w:pStyle w:val="14"/>
            </w:pPr>
            <w:r>
              <w:t>42.10</w:t>
            </w:r>
          </w:p>
        </w:tc>
        <w:tc>
          <w:tcPr>
            <w:tcW w:w="1361" w:type="dxa"/>
            <w:vAlign w:val="center"/>
          </w:tcPr>
          <w:p w14:paraId="042E798E">
            <w:pPr>
              <w:pStyle w:val="14"/>
            </w:pPr>
            <w:r>
              <w:t>147.67</w:t>
            </w:r>
          </w:p>
        </w:tc>
        <w:tc>
          <w:tcPr>
            <w:tcW w:w="1361" w:type="dxa"/>
            <w:vAlign w:val="center"/>
          </w:tcPr>
          <w:p w14:paraId="122D9842">
            <w:pPr>
              <w:pStyle w:val="14"/>
            </w:pPr>
          </w:p>
        </w:tc>
        <w:tc>
          <w:tcPr>
            <w:tcW w:w="1361" w:type="dxa"/>
            <w:vAlign w:val="center"/>
          </w:tcPr>
          <w:p w14:paraId="5F040A0D">
            <w:pPr>
              <w:pStyle w:val="14"/>
            </w:pPr>
          </w:p>
        </w:tc>
        <w:tc>
          <w:tcPr>
            <w:tcW w:w="1361" w:type="dxa"/>
            <w:vAlign w:val="center"/>
          </w:tcPr>
          <w:p w14:paraId="5E68E24A">
            <w:pPr>
              <w:pStyle w:val="14"/>
            </w:pPr>
          </w:p>
        </w:tc>
      </w:tr>
    </w:tbl>
    <w:p w14:paraId="0D8A2236">
      <w:pPr>
        <w:sectPr>
          <w:pgSz w:w="16840" w:h="11900" w:orient="landscape"/>
          <w:pgMar w:top="1361" w:right="1020" w:bottom="1134" w:left="1020" w:header="720" w:footer="720" w:gutter="0"/>
          <w:cols w:space="720" w:num="1"/>
        </w:sectPr>
      </w:pPr>
    </w:p>
    <w:p w14:paraId="333B2A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DB9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5CD876">
            <w:pPr>
              <w:pStyle w:val="8"/>
            </w:pPr>
            <w:r>
              <w:t>360035隆尧县唐尧街幼儿园</w:t>
            </w:r>
          </w:p>
        </w:tc>
        <w:tc>
          <w:tcPr>
            <w:tcW w:w="3402" w:type="dxa"/>
            <w:tcBorders>
              <w:top w:val="single" w:color="FFFFFF" w:sz="6" w:space="0"/>
              <w:left w:val="single" w:color="FFFFFF" w:sz="6" w:space="0"/>
              <w:right w:val="single" w:color="FFFFFF" w:sz="6" w:space="0"/>
            </w:tcBorders>
            <w:vAlign w:val="center"/>
          </w:tcPr>
          <w:p w14:paraId="3559E391">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FCBD66D">
            <w:pPr>
              <w:pStyle w:val="10"/>
            </w:pPr>
            <w:r>
              <w:t>单位：万元</w:t>
            </w:r>
          </w:p>
        </w:tc>
      </w:tr>
      <w:tr w14:paraId="0D2FA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30AE7">
            <w:pPr>
              <w:pStyle w:val="11"/>
            </w:pPr>
            <w:r>
              <w:t>序号</w:t>
            </w:r>
          </w:p>
        </w:tc>
        <w:tc>
          <w:tcPr>
            <w:tcW w:w="4876" w:type="dxa"/>
            <w:gridSpan w:val="2"/>
            <w:vAlign w:val="center"/>
          </w:tcPr>
          <w:p w14:paraId="5CFF10DF">
            <w:pPr>
              <w:pStyle w:val="11"/>
            </w:pPr>
            <w:r>
              <w:t>收入</w:t>
            </w:r>
          </w:p>
        </w:tc>
        <w:tc>
          <w:tcPr>
            <w:tcW w:w="9298" w:type="dxa"/>
            <w:gridSpan w:val="5"/>
            <w:vAlign w:val="center"/>
          </w:tcPr>
          <w:p w14:paraId="699209F7">
            <w:pPr>
              <w:pStyle w:val="11"/>
            </w:pPr>
            <w:r>
              <w:t>支出</w:t>
            </w:r>
          </w:p>
        </w:tc>
      </w:tr>
      <w:tr w14:paraId="36449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56EA9F"/>
        </w:tc>
        <w:tc>
          <w:tcPr>
            <w:tcW w:w="3402" w:type="dxa"/>
            <w:vAlign w:val="center"/>
          </w:tcPr>
          <w:p w14:paraId="4A9BA43F">
            <w:pPr>
              <w:pStyle w:val="11"/>
            </w:pPr>
            <w:r>
              <w:t>项  目</w:t>
            </w:r>
          </w:p>
        </w:tc>
        <w:tc>
          <w:tcPr>
            <w:tcW w:w="1474" w:type="dxa"/>
            <w:vAlign w:val="center"/>
          </w:tcPr>
          <w:p w14:paraId="035C4D48">
            <w:pPr>
              <w:pStyle w:val="11"/>
            </w:pPr>
            <w:r>
              <w:t>金额</w:t>
            </w:r>
          </w:p>
        </w:tc>
        <w:tc>
          <w:tcPr>
            <w:tcW w:w="3402" w:type="dxa"/>
            <w:vAlign w:val="center"/>
          </w:tcPr>
          <w:p w14:paraId="39366162">
            <w:pPr>
              <w:pStyle w:val="11"/>
            </w:pPr>
            <w:r>
              <w:t>项  目</w:t>
            </w:r>
          </w:p>
        </w:tc>
        <w:tc>
          <w:tcPr>
            <w:tcW w:w="1474" w:type="dxa"/>
            <w:vAlign w:val="center"/>
          </w:tcPr>
          <w:p w14:paraId="5B6BE32D">
            <w:pPr>
              <w:pStyle w:val="11"/>
            </w:pPr>
            <w:r>
              <w:t>合计</w:t>
            </w:r>
          </w:p>
        </w:tc>
        <w:tc>
          <w:tcPr>
            <w:tcW w:w="1474" w:type="dxa"/>
            <w:vAlign w:val="center"/>
          </w:tcPr>
          <w:p w14:paraId="3272A5C0">
            <w:pPr>
              <w:pStyle w:val="11"/>
            </w:pPr>
            <w:r>
              <w:t>一般公共预算财政拨款</w:t>
            </w:r>
          </w:p>
        </w:tc>
        <w:tc>
          <w:tcPr>
            <w:tcW w:w="1474" w:type="dxa"/>
            <w:vAlign w:val="center"/>
          </w:tcPr>
          <w:p w14:paraId="1ACD8124">
            <w:pPr>
              <w:pStyle w:val="11"/>
            </w:pPr>
            <w:r>
              <w:t>政府性基金预算财政    拨款</w:t>
            </w:r>
          </w:p>
        </w:tc>
        <w:tc>
          <w:tcPr>
            <w:tcW w:w="1474" w:type="dxa"/>
            <w:vAlign w:val="center"/>
          </w:tcPr>
          <w:p w14:paraId="03789D7D">
            <w:pPr>
              <w:pStyle w:val="11"/>
            </w:pPr>
            <w:r>
              <w:t>国有资本经营预算财政拨款</w:t>
            </w:r>
          </w:p>
        </w:tc>
      </w:tr>
      <w:tr w14:paraId="10CD5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5366C5">
            <w:pPr>
              <w:pStyle w:val="11"/>
            </w:pPr>
            <w:r>
              <w:t>栏次</w:t>
            </w:r>
          </w:p>
        </w:tc>
        <w:tc>
          <w:tcPr>
            <w:tcW w:w="3402" w:type="dxa"/>
            <w:vAlign w:val="center"/>
          </w:tcPr>
          <w:p w14:paraId="2604F0E0">
            <w:pPr>
              <w:pStyle w:val="11"/>
            </w:pPr>
            <w:r>
              <w:t>1</w:t>
            </w:r>
          </w:p>
        </w:tc>
        <w:tc>
          <w:tcPr>
            <w:tcW w:w="1474" w:type="dxa"/>
            <w:vAlign w:val="center"/>
          </w:tcPr>
          <w:p w14:paraId="69544AC2">
            <w:pPr>
              <w:pStyle w:val="11"/>
            </w:pPr>
            <w:r>
              <w:t>2</w:t>
            </w:r>
          </w:p>
        </w:tc>
        <w:tc>
          <w:tcPr>
            <w:tcW w:w="3402" w:type="dxa"/>
            <w:vAlign w:val="center"/>
          </w:tcPr>
          <w:p w14:paraId="7978E8F6">
            <w:pPr>
              <w:pStyle w:val="11"/>
            </w:pPr>
            <w:r>
              <w:t>3</w:t>
            </w:r>
          </w:p>
        </w:tc>
        <w:tc>
          <w:tcPr>
            <w:tcW w:w="1474" w:type="dxa"/>
            <w:vAlign w:val="center"/>
          </w:tcPr>
          <w:p w14:paraId="620271F7">
            <w:pPr>
              <w:pStyle w:val="11"/>
            </w:pPr>
            <w:r>
              <w:t>4</w:t>
            </w:r>
          </w:p>
        </w:tc>
        <w:tc>
          <w:tcPr>
            <w:tcW w:w="1474" w:type="dxa"/>
            <w:vAlign w:val="center"/>
          </w:tcPr>
          <w:p w14:paraId="2FED90AC">
            <w:pPr>
              <w:pStyle w:val="11"/>
            </w:pPr>
            <w:r>
              <w:t>5</w:t>
            </w:r>
          </w:p>
        </w:tc>
        <w:tc>
          <w:tcPr>
            <w:tcW w:w="1474" w:type="dxa"/>
            <w:vAlign w:val="center"/>
          </w:tcPr>
          <w:p w14:paraId="4CC1BF96">
            <w:pPr>
              <w:pStyle w:val="11"/>
            </w:pPr>
            <w:r>
              <w:t>6</w:t>
            </w:r>
          </w:p>
        </w:tc>
        <w:tc>
          <w:tcPr>
            <w:tcW w:w="1474" w:type="dxa"/>
            <w:vAlign w:val="center"/>
          </w:tcPr>
          <w:p w14:paraId="4A2E6284">
            <w:pPr>
              <w:pStyle w:val="11"/>
            </w:pPr>
            <w:r>
              <w:t>7</w:t>
            </w:r>
          </w:p>
        </w:tc>
      </w:tr>
      <w:tr w14:paraId="1BB37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0E27D">
            <w:pPr>
              <w:pStyle w:val="12"/>
            </w:pPr>
            <w:r>
              <w:t>1</w:t>
            </w:r>
          </w:p>
        </w:tc>
        <w:tc>
          <w:tcPr>
            <w:tcW w:w="3402" w:type="dxa"/>
            <w:vAlign w:val="center"/>
          </w:tcPr>
          <w:p w14:paraId="77CCE010">
            <w:pPr>
              <w:pStyle w:val="13"/>
            </w:pPr>
            <w:r>
              <w:t>一、一般公共预算拨款</w:t>
            </w:r>
          </w:p>
        </w:tc>
        <w:tc>
          <w:tcPr>
            <w:tcW w:w="1474" w:type="dxa"/>
            <w:vAlign w:val="center"/>
          </w:tcPr>
          <w:p w14:paraId="7C102849">
            <w:pPr>
              <w:pStyle w:val="14"/>
            </w:pPr>
            <w:r>
              <w:t>189.77</w:t>
            </w:r>
          </w:p>
        </w:tc>
        <w:tc>
          <w:tcPr>
            <w:tcW w:w="3402" w:type="dxa"/>
            <w:vAlign w:val="center"/>
          </w:tcPr>
          <w:p w14:paraId="049D9384">
            <w:pPr>
              <w:pStyle w:val="13"/>
            </w:pPr>
            <w:r>
              <w:t>一、一般公共服务支出</w:t>
            </w:r>
          </w:p>
        </w:tc>
        <w:tc>
          <w:tcPr>
            <w:tcW w:w="1474" w:type="dxa"/>
            <w:vAlign w:val="center"/>
          </w:tcPr>
          <w:p w14:paraId="322BADC6">
            <w:pPr>
              <w:pStyle w:val="14"/>
            </w:pPr>
          </w:p>
        </w:tc>
        <w:tc>
          <w:tcPr>
            <w:tcW w:w="1474" w:type="dxa"/>
            <w:vAlign w:val="center"/>
          </w:tcPr>
          <w:p w14:paraId="4884FDD1">
            <w:pPr>
              <w:pStyle w:val="14"/>
            </w:pPr>
          </w:p>
        </w:tc>
        <w:tc>
          <w:tcPr>
            <w:tcW w:w="1474" w:type="dxa"/>
            <w:vAlign w:val="center"/>
          </w:tcPr>
          <w:p w14:paraId="78634ADA">
            <w:pPr>
              <w:pStyle w:val="14"/>
            </w:pPr>
          </w:p>
        </w:tc>
        <w:tc>
          <w:tcPr>
            <w:tcW w:w="1474" w:type="dxa"/>
            <w:vAlign w:val="center"/>
          </w:tcPr>
          <w:p w14:paraId="2F936076">
            <w:pPr>
              <w:pStyle w:val="14"/>
            </w:pPr>
          </w:p>
        </w:tc>
      </w:tr>
      <w:tr w14:paraId="54F7D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B4A31">
            <w:pPr>
              <w:pStyle w:val="12"/>
            </w:pPr>
            <w:r>
              <w:t>2</w:t>
            </w:r>
          </w:p>
        </w:tc>
        <w:tc>
          <w:tcPr>
            <w:tcW w:w="3402" w:type="dxa"/>
            <w:vAlign w:val="center"/>
          </w:tcPr>
          <w:p w14:paraId="7CFF4658">
            <w:pPr>
              <w:pStyle w:val="13"/>
            </w:pPr>
            <w:r>
              <w:t>二、政府性基金预算拨款</w:t>
            </w:r>
          </w:p>
        </w:tc>
        <w:tc>
          <w:tcPr>
            <w:tcW w:w="1474" w:type="dxa"/>
            <w:vAlign w:val="center"/>
          </w:tcPr>
          <w:p w14:paraId="40A143B9">
            <w:pPr>
              <w:pStyle w:val="14"/>
            </w:pPr>
          </w:p>
        </w:tc>
        <w:tc>
          <w:tcPr>
            <w:tcW w:w="3402" w:type="dxa"/>
            <w:vAlign w:val="center"/>
          </w:tcPr>
          <w:p w14:paraId="18053A3C">
            <w:pPr>
              <w:pStyle w:val="13"/>
            </w:pPr>
            <w:r>
              <w:t>二、外交支出</w:t>
            </w:r>
          </w:p>
        </w:tc>
        <w:tc>
          <w:tcPr>
            <w:tcW w:w="1474" w:type="dxa"/>
            <w:vAlign w:val="center"/>
          </w:tcPr>
          <w:p w14:paraId="04D0A445">
            <w:pPr>
              <w:pStyle w:val="14"/>
            </w:pPr>
          </w:p>
        </w:tc>
        <w:tc>
          <w:tcPr>
            <w:tcW w:w="1474" w:type="dxa"/>
            <w:vAlign w:val="center"/>
          </w:tcPr>
          <w:p w14:paraId="347775AE">
            <w:pPr>
              <w:pStyle w:val="14"/>
            </w:pPr>
          </w:p>
        </w:tc>
        <w:tc>
          <w:tcPr>
            <w:tcW w:w="1474" w:type="dxa"/>
            <w:vAlign w:val="center"/>
          </w:tcPr>
          <w:p w14:paraId="6FE567A7">
            <w:pPr>
              <w:pStyle w:val="14"/>
            </w:pPr>
          </w:p>
        </w:tc>
        <w:tc>
          <w:tcPr>
            <w:tcW w:w="1474" w:type="dxa"/>
            <w:vAlign w:val="center"/>
          </w:tcPr>
          <w:p w14:paraId="44438A36">
            <w:pPr>
              <w:pStyle w:val="14"/>
            </w:pPr>
          </w:p>
        </w:tc>
      </w:tr>
      <w:tr w14:paraId="42FEC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01A91">
            <w:pPr>
              <w:pStyle w:val="12"/>
            </w:pPr>
            <w:r>
              <w:t>3</w:t>
            </w:r>
          </w:p>
        </w:tc>
        <w:tc>
          <w:tcPr>
            <w:tcW w:w="3402" w:type="dxa"/>
            <w:vAlign w:val="center"/>
          </w:tcPr>
          <w:p w14:paraId="0ADFA289">
            <w:pPr>
              <w:pStyle w:val="13"/>
            </w:pPr>
            <w:r>
              <w:t>三、国有资本经营预算拨款</w:t>
            </w:r>
          </w:p>
        </w:tc>
        <w:tc>
          <w:tcPr>
            <w:tcW w:w="1474" w:type="dxa"/>
            <w:vAlign w:val="center"/>
          </w:tcPr>
          <w:p w14:paraId="0456CC0F">
            <w:pPr>
              <w:pStyle w:val="14"/>
            </w:pPr>
          </w:p>
        </w:tc>
        <w:tc>
          <w:tcPr>
            <w:tcW w:w="3402" w:type="dxa"/>
            <w:vAlign w:val="center"/>
          </w:tcPr>
          <w:p w14:paraId="08B0EA02">
            <w:pPr>
              <w:pStyle w:val="13"/>
            </w:pPr>
            <w:r>
              <w:t>三、国防支出</w:t>
            </w:r>
          </w:p>
        </w:tc>
        <w:tc>
          <w:tcPr>
            <w:tcW w:w="1474" w:type="dxa"/>
            <w:vAlign w:val="center"/>
          </w:tcPr>
          <w:p w14:paraId="2C4D738C">
            <w:pPr>
              <w:pStyle w:val="14"/>
            </w:pPr>
          </w:p>
        </w:tc>
        <w:tc>
          <w:tcPr>
            <w:tcW w:w="1474" w:type="dxa"/>
            <w:vAlign w:val="center"/>
          </w:tcPr>
          <w:p w14:paraId="47F76C8F">
            <w:pPr>
              <w:pStyle w:val="14"/>
            </w:pPr>
          </w:p>
        </w:tc>
        <w:tc>
          <w:tcPr>
            <w:tcW w:w="1474" w:type="dxa"/>
            <w:vAlign w:val="center"/>
          </w:tcPr>
          <w:p w14:paraId="49B8CD17">
            <w:pPr>
              <w:pStyle w:val="14"/>
            </w:pPr>
          </w:p>
        </w:tc>
        <w:tc>
          <w:tcPr>
            <w:tcW w:w="1474" w:type="dxa"/>
            <w:vAlign w:val="center"/>
          </w:tcPr>
          <w:p w14:paraId="721B7AC6">
            <w:pPr>
              <w:pStyle w:val="14"/>
            </w:pPr>
          </w:p>
        </w:tc>
      </w:tr>
      <w:tr w14:paraId="469FE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B729745">
            <w:pPr>
              <w:pStyle w:val="12"/>
            </w:pPr>
            <w:r>
              <w:t>4</w:t>
            </w:r>
          </w:p>
        </w:tc>
        <w:tc>
          <w:tcPr>
            <w:tcW w:w="3402" w:type="dxa"/>
            <w:vAlign w:val="center"/>
          </w:tcPr>
          <w:p w14:paraId="1CDC7041">
            <w:pPr>
              <w:pStyle w:val="13"/>
            </w:pPr>
          </w:p>
        </w:tc>
        <w:tc>
          <w:tcPr>
            <w:tcW w:w="1474" w:type="dxa"/>
            <w:vAlign w:val="center"/>
          </w:tcPr>
          <w:p w14:paraId="5C8D9FB0">
            <w:pPr>
              <w:pStyle w:val="14"/>
            </w:pPr>
          </w:p>
        </w:tc>
        <w:tc>
          <w:tcPr>
            <w:tcW w:w="3402" w:type="dxa"/>
            <w:vAlign w:val="center"/>
          </w:tcPr>
          <w:p w14:paraId="3A92F90F">
            <w:pPr>
              <w:pStyle w:val="13"/>
            </w:pPr>
            <w:r>
              <w:t>四、公共安全支出</w:t>
            </w:r>
          </w:p>
        </w:tc>
        <w:tc>
          <w:tcPr>
            <w:tcW w:w="1474" w:type="dxa"/>
            <w:vAlign w:val="center"/>
          </w:tcPr>
          <w:p w14:paraId="1EAB0B2E">
            <w:pPr>
              <w:pStyle w:val="14"/>
            </w:pPr>
          </w:p>
        </w:tc>
        <w:tc>
          <w:tcPr>
            <w:tcW w:w="1474" w:type="dxa"/>
            <w:vAlign w:val="center"/>
          </w:tcPr>
          <w:p w14:paraId="73D78698">
            <w:pPr>
              <w:pStyle w:val="14"/>
            </w:pPr>
          </w:p>
        </w:tc>
        <w:tc>
          <w:tcPr>
            <w:tcW w:w="1474" w:type="dxa"/>
            <w:vAlign w:val="center"/>
          </w:tcPr>
          <w:p w14:paraId="70ED77CB">
            <w:pPr>
              <w:pStyle w:val="14"/>
            </w:pPr>
          </w:p>
        </w:tc>
        <w:tc>
          <w:tcPr>
            <w:tcW w:w="1474" w:type="dxa"/>
            <w:vAlign w:val="center"/>
          </w:tcPr>
          <w:p w14:paraId="1FBA40D7">
            <w:pPr>
              <w:pStyle w:val="14"/>
            </w:pPr>
          </w:p>
        </w:tc>
      </w:tr>
      <w:tr w14:paraId="1352F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B17BF">
            <w:pPr>
              <w:pStyle w:val="12"/>
            </w:pPr>
            <w:r>
              <w:t>5</w:t>
            </w:r>
          </w:p>
        </w:tc>
        <w:tc>
          <w:tcPr>
            <w:tcW w:w="3402" w:type="dxa"/>
            <w:vAlign w:val="center"/>
          </w:tcPr>
          <w:p w14:paraId="32EF6EF9">
            <w:pPr>
              <w:pStyle w:val="13"/>
            </w:pPr>
          </w:p>
        </w:tc>
        <w:tc>
          <w:tcPr>
            <w:tcW w:w="1474" w:type="dxa"/>
            <w:vAlign w:val="center"/>
          </w:tcPr>
          <w:p w14:paraId="440D4F87">
            <w:pPr>
              <w:pStyle w:val="14"/>
            </w:pPr>
          </w:p>
        </w:tc>
        <w:tc>
          <w:tcPr>
            <w:tcW w:w="3402" w:type="dxa"/>
            <w:vAlign w:val="center"/>
          </w:tcPr>
          <w:p w14:paraId="7A41B835">
            <w:pPr>
              <w:pStyle w:val="13"/>
            </w:pPr>
            <w:r>
              <w:t>五、教育支出</w:t>
            </w:r>
          </w:p>
        </w:tc>
        <w:tc>
          <w:tcPr>
            <w:tcW w:w="1474" w:type="dxa"/>
            <w:vAlign w:val="center"/>
          </w:tcPr>
          <w:p w14:paraId="05AD9329">
            <w:pPr>
              <w:pStyle w:val="14"/>
            </w:pPr>
            <w:r>
              <w:t>189.77</w:t>
            </w:r>
          </w:p>
        </w:tc>
        <w:tc>
          <w:tcPr>
            <w:tcW w:w="1474" w:type="dxa"/>
            <w:vAlign w:val="center"/>
          </w:tcPr>
          <w:p w14:paraId="54669DB1">
            <w:pPr>
              <w:pStyle w:val="14"/>
            </w:pPr>
            <w:r>
              <w:t>189.77</w:t>
            </w:r>
          </w:p>
        </w:tc>
        <w:tc>
          <w:tcPr>
            <w:tcW w:w="1474" w:type="dxa"/>
            <w:vAlign w:val="center"/>
          </w:tcPr>
          <w:p w14:paraId="4EB2A2DF">
            <w:pPr>
              <w:pStyle w:val="14"/>
            </w:pPr>
          </w:p>
        </w:tc>
        <w:tc>
          <w:tcPr>
            <w:tcW w:w="1474" w:type="dxa"/>
            <w:vAlign w:val="center"/>
          </w:tcPr>
          <w:p w14:paraId="35587EEA">
            <w:pPr>
              <w:pStyle w:val="14"/>
            </w:pPr>
          </w:p>
        </w:tc>
      </w:tr>
      <w:tr w14:paraId="3D48C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3657F22">
            <w:pPr>
              <w:pStyle w:val="12"/>
            </w:pPr>
            <w:r>
              <w:t>6</w:t>
            </w:r>
          </w:p>
        </w:tc>
        <w:tc>
          <w:tcPr>
            <w:tcW w:w="3402" w:type="dxa"/>
            <w:vAlign w:val="center"/>
          </w:tcPr>
          <w:p w14:paraId="3C00078A">
            <w:pPr>
              <w:pStyle w:val="13"/>
            </w:pPr>
          </w:p>
        </w:tc>
        <w:tc>
          <w:tcPr>
            <w:tcW w:w="1474" w:type="dxa"/>
            <w:vAlign w:val="center"/>
          </w:tcPr>
          <w:p w14:paraId="340FF4B2">
            <w:pPr>
              <w:pStyle w:val="14"/>
            </w:pPr>
          </w:p>
        </w:tc>
        <w:tc>
          <w:tcPr>
            <w:tcW w:w="3402" w:type="dxa"/>
            <w:vAlign w:val="center"/>
          </w:tcPr>
          <w:p w14:paraId="504BA4EC">
            <w:pPr>
              <w:pStyle w:val="13"/>
            </w:pPr>
            <w:r>
              <w:t>六、科学技术支出</w:t>
            </w:r>
          </w:p>
        </w:tc>
        <w:tc>
          <w:tcPr>
            <w:tcW w:w="1474" w:type="dxa"/>
            <w:vAlign w:val="center"/>
          </w:tcPr>
          <w:p w14:paraId="09F1089A">
            <w:pPr>
              <w:pStyle w:val="14"/>
            </w:pPr>
          </w:p>
        </w:tc>
        <w:tc>
          <w:tcPr>
            <w:tcW w:w="1474" w:type="dxa"/>
            <w:vAlign w:val="center"/>
          </w:tcPr>
          <w:p w14:paraId="3599D368">
            <w:pPr>
              <w:pStyle w:val="14"/>
            </w:pPr>
          </w:p>
        </w:tc>
        <w:tc>
          <w:tcPr>
            <w:tcW w:w="1474" w:type="dxa"/>
            <w:vAlign w:val="center"/>
          </w:tcPr>
          <w:p w14:paraId="0FF775A9">
            <w:pPr>
              <w:pStyle w:val="14"/>
            </w:pPr>
          </w:p>
        </w:tc>
        <w:tc>
          <w:tcPr>
            <w:tcW w:w="1474" w:type="dxa"/>
            <w:vAlign w:val="center"/>
          </w:tcPr>
          <w:p w14:paraId="3B6FD886">
            <w:pPr>
              <w:pStyle w:val="14"/>
            </w:pPr>
          </w:p>
        </w:tc>
      </w:tr>
      <w:tr w14:paraId="021C9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EA938">
            <w:pPr>
              <w:pStyle w:val="12"/>
            </w:pPr>
            <w:r>
              <w:t>7</w:t>
            </w:r>
          </w:p>
        </w:tc>
        <w:tc>
          <w:tcPr>
            <w:tcW w:w="3402" w:type="dxa"/>
            <w:vAlign w:val="center"/>
          </w:tcPr>
          <w:p w14:paraId="20B3DD43">
            <w:pPr>
              <w:pStyle w:val="13"/>
            </w:pPr>
          </w:p>
        </w:tc>
        <w:tc>
          <w:tcPr>
            <w:tcW w:w="1474" w:type="dxa"/>
            <w:vAlign w:val="center"/>
          </w:tcPr>
          <w:p w14:paraId="18D644A9">
            <w:pPr>
              <w:pStyle w:val="14"/>
            </w:pPr>
          </w:p>
        </w:tc>
        <w:tc>
          <w:tcPr>
            <w:tcW w:w="3402" w:type="dxa"/>
            <w:vAlign w:val="center"/>
          </w:tcPr>
          <w:p w14:paraId="000823E3">
            <w:pPr>
              <w:pStyle w:val="13"/>
            </w:pPr>
            <w:r>
              <w:t>七、文化旅游体育与传媒支出</w:t>
            </w:r>
          </w:p>
        </w:tc>
        <w:tc>
          <w:tcPr>
            <w:tcW w:w="1474" w:type="dxa"/>
            <w:vAlign w:val="center"/>
          </w:tcPr>
          <w:p w14:paraId="503D96FA">
            <w:pPr>
              <w:pStyle w:val="14"/>
            </w:pPr>
          </w:p>
        </w:tc>
        <w:tc>
          <w:tcPr>
            <w:tcW w:w="1474" w:type="dxa"/>
            <w:vAlign w:val="center"/>
          </w:tcPr>
          <w:p w14:paraId="6424BDAF">
            <w:pPr>
              <w:pStyle w:val="14"/>
            </w:pPr>
          </w:p>
        </w:tc>
        <w:tc>
          <w:tcPr>
            <w:tcW w:w="1474" w:type="dxa"/>
            <w:vAlign w:val="center"/>
          </w:tcPr>
          <w:p w14:paraId="03DF580C">
            <w:pPr>
              <w:pStyle w:val="14"/>
            </w:pPr>
          </w:p>
        </w:tc>
        <w:tc>
          <w:tcPr>
            <w:tcW w:w="1474" w:type="dxa"/>
            <w:vAlign w:val="center"/>
          </w:tcPr>
          <w:p w14:paraId="089A1873">
            <w:pPr>
              <w:pStyle w:val="14"/>
            </w:pPr>
          </w:p>
        </w:tc>
      </w:tr>
      <w:tr w14:paraId="55835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8B574">
            <w:pPr>
              <w:pStyle w:val="12"/>
            </w:pPr>
            <w:r>
              <w:t>8</w:t>
            </w:r>
          </w:p>
        </w:tc>
        <w:tc>
          <w:tcPr>
            <w:tcW w:w="3402" w:type="dxa"/>
            <w:vAlign w:val="center"/>
          </w:tcPr>
          <w:p w14:paraId="30618C6A">
            <w:pPr>
              <w:pStyle w:val="13"/>
            </w:pPr>
          </w:p>
        </w:tc>
        <w:tc>
          <w:tcPr>
            <w:tcW w:w="1474" w:type="dxa"/>
            <w:vAlign w:val="center"/>
          </w:tcPr>
          <w:p w14:paraId="344CE082">
            <w:pPr>
              <w:pStyle w:val="14"/>
            </w:pPr>
          </w:p>
        </w:tc>
        <w:tc>
          <w:tcPr>
            <w:tcW w:w="3402" w:type="dxa"/>
            <w:vAlign w:val="center"/>
          </w:tcPr>
          <w:p w14:paraId="76E1286F">
            <w:pPr>
              <w:pStyle w:val="13"/>
            </w:pPr>
            <w:r>
              <w:t>八、社会保障和就业支出</w:t>
            </w:r>
          </w:p>
        </w:tc>
        <w:tc>
          <w:tcPr>
            <w:tcW w:w="1474" w:type="dxa"/>
            <w:vAlign w:val="center"/>
          </w:tcPr>
          <w:p w14:paraId="5B8FAF28">
            <w:pPr>
              <w:pStyle w:val="14"/>
            </w:pPr>
          </w:p>
        </w:tc>
        <w:tc>
          <w:tcPr>
            <w:tcW w:w="1474" w:type="dxa"/>
            <w:vAlign w:val="center"/>
          </w:tcPr>
          <w:p w14:paraId="00EB3E1C">
            <w:pPr>
              <w:pStyle w:val="14"/>
            </w:pPr>
          </w:p>
        </w:tc>
        <w:tc>
          <w:tcPr>
            <w:tcW w:w="1474" w:type="dxa"/>
            <w:vAlign w:val="center"/>
          </w:tcPr>
          <w:p w14:paraId="7BA57836">
            <w:pPr>
              <w:pStyle w:val="14"/>
            </w:pPr>
          </w:p>
        </w:tc>
        <w:tc>
          <w:tcPr>
            <w:tcW w:w="1474" w:type="dxa"/>
            <w:vAlign w:val="center"/>
          </w:tcPr>
          <w:p w14:paraId="4CDAF322">
            <w:pPr>
              <w:pStyle w:val="14"/>
            </w:pPr>
          </w:p>
        </w:tc>
      </w:tr>
      <w:tr w14:paraId="51874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F197E68">
            <w:pPr>
              <w:pStyle w:val="12"/>
            </w:pPr>
            <w:r>
              <w:t>9</w:t>
            </w:r>
          </w:p>
        </w:tc>
        <w:tc>
          <w:tcPr>
            <w:tcW w:w="3402" w:type="dxa"/>
            <w:vAlign w:val="center"/>
          </w:tcPr>
          <w:p w14:paraId="0525AD00">
            <w:pPr>
              <w:pStyle w:val="13"/>
            </w:pPr>
          </w:p>
        </w:tc>
        <w:tc>
          <w:tcPr>
            <w:tcW w:w="1474" w:type="dxa"/>
            <w:vAlign w:val="center"/>
          </w:tcPr>
          <w:p w14:paraId="5E0B50A8">
            <w:pPr>
              <w:pStyle w:val="14"/>
            </w:pPr>
          </w:p>
        </w:tc>
        <w:tc>
          <w:tcPr>
            <w:tcW w:w="3402" w:type="dxa"/>
            <w:vAlign w:val="center"/>
          </w:tcPr>
          <w:p w14:paraId="7A268856">
            <w:pPr>
              <w:pStyle w:val="13"/>
            </w:pPr>
            <w:r>
              <w:t>九、社会保险基金支出</w:t>
            </w:r>
          </w:p>
        </w:tc>
        <w:tc>
          <w:tcPr>
            <w:tcW w:w="1474" w:type="dxa"/>
            <w:vAlign w:val="center"/>
          </w:tcPr>
          <w:p w14:paraId="1350FCE5">
            <w:pPr>
              <w:pStyle w:val="14"/>
            </w:pPr>
          </w:p>
        </w:tc>
        <w:tc>
          <w:tcPr>
            <w:tcW w:w="1474" w:type="dxa"/>
            <w:vAlign w:val="center"/>
          </w:tcPr>
          <w:p w14:paraId="61B7F094">
            <w:pPr>
              <w:pStyle w:val="14"/>
            </w:pPr>
          </w:p>
        </w:tc>
        <w:tc>
          <w:tcPr>
            <w:tcW w:w="1474" w:type="dxa"/>
            <w:vAlign w:val="center"/>
          </w:tcPr>
          <w:p w14:paraId="7A585CC5">
            <w:pPr>
              <w:pStyle w:val="14"/>
            </w:pPr>
          </w:p>
        </w:tc>
        <w:tc>
          <w:tcPr>
            <w:tcW w:w="1474" w:type="dxa"/>
            <w:vAlign w:val="center"/>
          </w:tcPr>
          <w:p w14:paraId="3D71B93E">
            <w:pPr>
              <w:pStyle w:val="14"/>
            </w:pPr>
          </w:p>
        </w:tc>
      </w:tr>
      <w:tr w14:paraId="2381D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74B90">
            <w:pPr>
              <w:pStyle w:val="12"/>
            </w:pPr>
            <w:r>
              <w:t>10</w:t>
            </w:r>
          </w:p>
        </w:tc>
        <w:tc>
          <w:tcPr>
            <w:tcW w:w="3402" w:type="dxa"/>
            <w:vAlign w:val="center"/>
          </w:tcPr>
          <w:p w14:paraId="72C6EB62">
            <w:pPr>
              <w:pStyle w:val="13"/>
            </w:pPr>
          </w:p>
        </w:tc>
        <w:tc>
          <w:tcPr>
            <w:tcW w:w="1474" w:type="dxa"/>
            <w:vAlign w:val="center"/>
          </w:tcPr>
          <w:p w14:paraId="3C30CAE3">
            <w:pPr>
              <w:pStyle w:val="14"/>
            </w:pPr>
          </w:p>
        </w:tc>
        <w:tc>
          <w:tcPr>
            <w:tcW w:w="3402" w:type="dxa"/>
            <w:vAlign w:val="center"/>
          </w:tcPr>
          <w:p w14:paraId="5C00C3F7">
            <w:pPr>
              <w:pStyle w:val="13"/>
            </w:pPr>
            <w:r>
              <w:t>十、卫生健康支出</w:t>
            </w:r>
          </w:p>
        </w:tc>
        <w:tc>
          <w:tcPr>
            <w:tcW w:w="1474" w:type="dxa"/>
            <w:vAlign w:val="center"/>
          </w:tcPr>
          <w:p w14:paraId="72B7D6B9">
            <w:pPr>
              <w:pStyle w:val="14"/>
            </w:pPr>
          </w:p>
        </w:tc>
        <w:tc>
          <w:tcPr>
            <w:tcW w:w="1474" w:type="dxa"/>
            <w:vAlign w:val="center"/>
          </w:tcPr>
          <w:p w14:paraId="2B88ACC9">
            <w:pPr>
              <w:pStyle w:val="14"/>
            </w:pPr>
          </w:p>
        </w:tc>
        <w:tc>
          <w:tcPr>
            <w:tcW w:w="1474" w:type="dxa"/>
            <w:vAlign w:val="center"/>
          </w:tcPr>
          <w:p w14:paraId="0479C611">
            <w:pPr>
              <w:pStyle w:val="14"/>
            </w:pPr>
          </w:p>
        </w:tc>
        <w:tc>
          <w:tcPr>
            <w:tcW w:w="1474" w:type="dxa"/>
            <w:vAlign w:val="center"/>
          </w:tcPr>
          <w:p w14:paraId="41CED2F6">
            <w:pPr>
              <w:pStyle w:val="14"/>
            </w:pPr>
          </w:p>
        </w:tc>
      </w:tr>
      <w:tr w14:paraId="227A2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D4CB0">
            <w:pPr>
              <w:pStyle w:val="12"/>
            </w:pPr>
            <w:r>
              <w:t>11</w:t>
            </w:r>
          </w:p>
        </w:tc>
        <w:tc>
          <w:tcPr>
            <w:tcW w:w="3402" w:type="dxa"/>
            <w:vAlign w:val="center"/>
          </w:tcPr>
          <w:p w14:paraId="3C59CCF9">
            <w:pPr>
              <w:pStyle w:val="13"/>
            </w:pPr>
          </w:p>
        </w:tc>
        <w:tc>
          <w:tcPr>
            <w:tcW w:w="1474" w:type="dxa"/>
            <w:vAlign w:val="center"/>
          </w:tcPr>
          <w:p w14:paraId="30506A59">
            <w:pPr>
              <w:pStyle w:val="14"/>
            </w:pPr>
          </w:p>
        </w:tc>
        <w:tc>
          <w:tcPr>
            <w:tcW w:w="3402" w:type="dxa"/>
            <w:vAlign w:val="center"/>
          </w:tcPr>
          <w:p w14:paraId="1DF1BF80">
            <w:pPr>
              <w:pStyle w:val="13"/>
            </w:pPr>
            <w:r>
              <w:t>十一、节能环保支出</w:t>
            </w:r>
          </w:p>
        </w:tc>
        <w:tc>
          <w:tcPr>
            <w:tcW w:w="1474" w:type="dxa"/>
            <w:vAlign w:val="center"/>
          </w:tcPr>
          <w:p w14:paraId="19903DD8">
            <w:pPr>
              <w:pStyle w:val="14"/>
            </w:pPr>
          </w:p>
        </w:tc>
        <w:tc>
          <w:tcPr>
            <w:tcW w:w="1474" w:type="dxa"/>
            <w:vAlign w:val="center"/>
          </w:tcPr>
          <w:p w14:paraId="43C4089B">
            <w:pPr>
              <w:pStyle w:val="14"/>
            </w:pPr>
          </w:p>
        </w:tc>
        <w:tc>
          <w:tcPr>
            <w:tcW w:w="1474" w:type="dxa"/>
            <w:vAlign w:val="center"/>
          </w:tcPr>
          <w:p w14:paraId="27486D49">
            <w:pPr>
              <w:pStyle w:val="14"/>
            </w:pPr>
          </w:p>
        </w:tc>
        <w:tc>
          <w:tcPr>
            <w:tcW w:w="1474" w:type="dxa"/>
            <w:vAlign w:val="center"/>
          </w:tcPr>
          <w:p w14:paraId="0FB5D2C8">
            <w:pPr>
              <w:pStyle w:val="14"/>
            </w:pPr>
          </w:p>
        </w:tc>
      </w:tr>
      <w:tr w14:paraId="593CB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A1E8C">
            <w:pPr>
              <w:pStyle w:val="12"/>
            </w:pPr>
            <w:r>
              <w:t>12</w:t>
            </w:r>
          </w:p>
        </w:tc>
        <w:tc>
          <w:tcPr>
            <w:tcW w:w="3402" w:type="dxa"/>
            <w:vAlign w:val="center"/>
          </w:tcPr>
          <w:p w14:paraId="37D037B8">
            <w:pPr>
              <w:pStyle w:val="13"/>
            </w:pPr>
          </w:p>
        </w:tc>
        <w:tc>
          <w:tcPr>
            <w:tcW w:w="1474" w:type="dxa"/>
            <w:vAlign w:val="center"/>
          </w:tcPr>
          <w:p w14:paraId="344B6768">
            <w:pPr>
              <w:pStyle w:val="14"/>
            </w:pPr>
          </w:p>
        </w:tc>
        <w:tc>
          <w:tcPr>
            <w:tcW w:w="3402" w:type="dxa"/>
            <w:vAlign w:val="center"/>
          </w:tcPr>
          <w:p w14:paraId="1B10BE11">
            <w:pPr>
              <w:pStyle w:val="13"/>
            </w:pPr>
            <w:r>
              <w:t>十二、城乡社区支出</w:t>
            </w:r>
          </w:p>
        </w:tc>
        <w:tc>
          <w:tcPr>
            <w:tcW w:w="1474" w:type="dxa"/>
            <w:vAlign w:val="center"/>
          </w:tcPr>
          <w:p w14:paraId="55B78D68">
            <w:pPr>
              <w:pStyle w:val="14"/>
            </w:pPr>
          </w:p>
        </w:tc>
        <w:tc>
          <w:tcPr>
            <w:tcW w:w="1474" w:type="dxa"/>
            <w:vAlign w:val="center"/>
          </w:tcPr>
          <w:p w14:paraId="310AE2FF">
            <w:pPr>
              <w:pStyle w:val="14"/>
            </w:pPr>
          </w:p>
        </w:tc>
        <w:tc>
          <w:tcPr>
            <w:tcW w:w="1474" w:type="dxa"/>
            <w:vAlign w:val="center"/>
          </w:tcPr>
          <w:p w14:paraId="349D5B3A">
            <w:pPr>
              <w:pStyle w:val="14"/>
            </w:pPr>
          </w:p>
        </w:tc>
        <w:tc>
          <w:tcPr>
            <w:tcW w:w="1474" w:type="dxa"/>
            <w:vAlign w:val="center"/>
          </w:tcPr>
          <w:p w14:paraId="1A5B32B5">
            <w:pPr>
              <w:pStyle w:val="14"/>
            </w:pPr>
          </w:p>
        </w:tc>
      </w:tr>
      <w:tr w14:paraId="5A435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8FCDA93">
            <w:pPr>
              <w:pStyle w:val="12"/>
            </w:pPr>
            <w:r>
              <w:t>13</w:t>
            </w:r>
          </w:p>
        </w:tc>
        <w:tc>
          <w:tcPr>
            <w:tcW w:w="3402" w:type="dxa"/>
            <w:vAlign w:val="center"/>
          </w:tcPr>
          <w:p w14:paraId="3C911273">
            <w:pPr>
              <w:pStyle w:val="13"/>
            </w:pPr>
          </w:p>
        </w:tc>
        <w:tc>
          <w:tcPr>
            <w:tcW w:w="1474" w:type="dxa"/>
            <w:vAlign w:val="center"/>
          </w:tcPr>
          <w:p w14:paraId="71C9915F">
            <w:pPr>
              <w:pStyle w:val="14"/>
            </w:pPr>
          </w:p>
        </w:tc>
        <w:tc>
          <w:tcPr>
            <w:tcW w:w="3402" w:type="dxa"/>
            <w:vAlign w:val="center"/>
          </w:tcPr>
          <w:p w14:paraId="42C20793">
            <w:pPr>
              <w:pStyle w:val="13"/>
            </w:pPr>
            <w:r>
              <w:t>十三、农林水支出</w:t>
            </w:r>
          </w:p>
        </w:tc>
        <w:tc>
          <w:tcPr>
            <w:tcW w:w="1474" w:type="dxa"/>
            <w:vAlign w:val="center"/>
          </w:tcPr>
          <w:p w14:paraId="59AECA15">
            <w:pPr>
              <w:pStyle w:val="14"/>
            </w:pPr>
          </w:p>
        </w:tc>
        <w:tc>
          <w:tcPr>
            <w:tcW w:w="1474" w:type="dxa"/>
            <w:vAlign w:val="center"/>
          </w:tcPr>
          <w:p w14:paraId="788D0E30">
            <w:pPr>
              <w:pStyle w:val="14"/>
            </w:pPr>
          </w:p>
        </w:tc>
        <w:tc>
          <w:tcPr>
            <w:tcW w:w="1474" w:type="dxa"/>
            <w:vAlign w:val="center"/>
          </w:tcPr>
          <w:p w14:paraId="0516FBA6">
            <w:pPr>
              <w:pStyle w:val="14"/>
            </w:pPr>
          </w:p>
        </w:tc>
        <w:tc>
          <w:tcPr>
            <w:tcW w:w="1474" w:type="dxa"/>
            <w:vAlign w:val="center"/>
          </w:tcPr>
          <w:p w14:paraId="6635B5D7">
            <w:pPr>
              <w:pStyle w:val="14"/>
            </w:pPr>
          </w:p>
        </w:tc>
      </w:tr>
      <w:tr w14:paraId="39A15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54AF2">
            <w:pPr>
              <w:pStyle w:val="12"/>
            </w:pPr>
            <w:r>
              <w:t>14</w:t>
            </w:r>
          </w:p>
        </w:tc>
        <w:tc>
          <w:tcPr>
            <w:tcW w:w="3402" w:type="dxa"/>
            <w:vAlign w:val="center"/>
          </w:tcPr>
          <w:p w14:paraId="4BDDABCD">
            <w:pPr>
              <w:pStyle w:val="13"/>
            </w:pPr>
          </w:p>
        </w:tc>
        <w:tc>
          <w:tcPr>
            <w:tcW w:w="1474" w:type="dxa"/>
            <w:vAlign w:val="center"/>
          </w:tcPr>
          <w:p w14:paraId="1DEF411A">
            <w:pPr>
              <w:pStyle w:val="14"/>
            </w:pPr>
          </w:p>
        </w:tc>
        <w:tc>
          <w:tcPr>
            <w:tcW w:w="3402" w:type="dxa"/>
            <w:vAlign w:val="center"/>
          </w:tcPr>
          <w:p w14:paraId="78F8DE4E">
            <w:pPr>
              <w:pStyle w:val="13"/>
            </w:pPr>
            <w:r>
              <w:t>十四、交通运输支出</w:t>
            </w:r>
          </w:p>
        </w:tc>
        <w:tc>
          <w:tcPr>
            <w:tcW w:w="1474" w:type="dxa"/>
            <w:vAlign w:val="center"/>
          </w:tcPr>
          <w:p w14:paraId="79094F81">
            <w:pPr>
              <w:pStyle w:val="14"/>
            </w:pPr>
          </w:p>
        </w:tc>
        <w:tc>
          <w:tcPr>
            <w:tcW w:w="1474" w:type="dxa"/>
            <w:vAlign w:val="center"/>
          </w:tcPr>
          <w:p w14:paraId="2FEA0588">
            <w:pPr>
              <w:pStyle w:val="14"/>
            </w:pPr>
          </w:p>
        </w:tc>
        <w:tc>
          <w:tcPr>
            <w:tcW w:w="1474" w:type="dxa"/>
            <w:vAlign w:val="center"/>
          </w:tcPr>
          <w:p w14:paraId="34DAFF0E">
            <w:pPr>
              <w:pStyle w:val="14"/>
            </w:pPr>
          </w:p>
        </w:tc>
        <w:tc>
          <w:tcPr>
            <w:tcW w:w="1474" w:type="dxa"/>
            <w:vAlign w:val="center"/>
          </w:tcPr>
          <w:p w14:paraId="52F03363">
            <w:pPr>
              <w:pStyle w:val="14"/>
            </w:pPr>
          </w:p>
        </w:tc>
      </w:tr>
      <w:tr w14:paraId="0A235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6DAF1">
            <w:pPr>
              <w:pStyle w:val="12"/>
            </w:pPr>
            <w:r>
              <w:t>15</w:t>
            </w:r>
          </w:p>
        </w:tc>
        <w:tc>
          <w:tcPr>
            <w:tcW w:w="3402" w:type="dxa"/>
            <w:vAlign w:val="center"/>
          </w:tcPr>
          <w:p w14:paraId="50E271F7">
            <w:pPr>
              <w:pStyle w:val="13"/>
            </w:pPr>
          </w:p>
        </w:tc>
        <w:tc>
          <w:tcPr>
            <w:tcW w:w="1474" w:type="dxa"/>
            <w:vAlign w:val="center"/>
          </w:tcPr>
          <w:p w14:paraId="354DF715">
            <w:pPr>
              <w:pStyle w:val="14"/>
            </w:pPr>
          </w:p>
        </w:tc>
        <w:tc>
          <w:tcPr>
            <w:tcW w:w="3402" w:type="dxa"/>
            <w:vAlign w:val="center"/>
          </w:tcPr>
          <w:p w14:paraId="1E662FBE">
            <w:pPr>
              <w:pStyle w:val="13"/>
            </w:pPr>
            <w:r>
              <w:t>十五、资源勘探工业信息等支出</w:t>
            </w:r>
          </w:p>
        </w:tc>
        <w:tc>
          <w:tcPr>
            <w:tcW w:w="1474" w:type="dxa"/>
            <w:vAlign w:val="center"/>
          </w:tcPr>
          <w:p w14:paraId="2D253757">
            <w:pPr>
              <w:pStyle w:val="14"/>
            </w:pPr>
          </w:p>
        </w:tc>
        <w:tc>
          <w:tcPr>
            <w:tcW w:w="1474" w:type="dxa"/>
            <w:vAlign w:val="center"/>
          </w:tcPr>
          <w:p w14:paraId="472B4078">
            <w:pPr>
              <w:pStyle w:val="14"/>
            </w:pPr>
          </w:p>
        </w:tc>
        <w:tc>
          <w:tcPr>
            <w:tcW w:w="1474" w:type="dxa"/>
            <w:vAlign w:val="center"/>
          </w:tcPr>
          <w:p w14:paraId="60E0A82B">
            <w:pPr>
              <w:pStyle w:val="14"/>
            </w:pPr>
          </w:p>
        </w:tc>
        <w:tc>
          <w:tcPr>
            <w:tcW w:w="1474" w:type="dxa"/>
            <w:vAlign w:val="center"/>
          </w:tcPr>
          <w:p w14:paraId="4745C184">
            <w:pPr>
              <w:pStyle w:val="14"/>
            </w:pPr>
          </w:p>
        </w:tc>
      </w:tr>
      <w:tr w14:paraId="33A5E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47B18">
            <w:pPr>
              <w:pStyle w:val="12"/>
            </w:pPr>
            <w:r>
              <w:t>16</w:t>
            </w:r>
          </w:p>
        </w:tc>
        <w:tc>
          <w:tcPr>
            <w:tcW w:w="3402" w:type="dxa"/>
            <w:vAlign w:val="center"/>
          </w:tcPr>
          <w:p w14:paraId="3EE5DEED">
            <w:pPr>
              <w:pStyle w:val="13"/>
            </w:pPr>
          </w:p>
        </w:tc>
        <w:tc>
          <w:tcPr>
            <w:tcW w:w="1474" w:type="dxa"/>
            <w:vAlign w:val="center"/>
          </w:tcPr>
          <w:p w14:paraId="3ACF13A9">
            <w:pPr>
              <w:pStyle w:val="14"/>
            </w:pPr>
          </w:p>
        </w:tc>
        <w:tc>
          <w:tcPr>
            <w:tcW w:w="3402" w:type="dxa"/>
            <w:vAlign w:val="center"/>
          </w:tcPr>
          <w:p w14:paraId="2FED51C0">
            <w:pPr>
              <w:pStyle w:val="13"/>
            </w:pPr>
            <w:r>
              <w:t>十六、商业服务业等支出</w:t>
            </w:r>
          </w:p>
        </w:tc>
        <w:tc>
          <w:tcPr>
            <w:tcW w:w="1474" w:type="dxa"/>
            <w:vAlign w:val="center"/>
          </w:tcPr>
          <w:p w14:paraId="58DA2527">
            <w:pPr>
              <w:pStyle w:val="14"/>
            </w:pPr>
          </w:p>
        </w:tc>
        <w:tc>
          <w:tcPr>
            <w:tcW w:w="1474" w:type="dxa"/>
            <w:vAlign w:val="center"/>
          </w:tcPr>
          <w:p w14:paraId="423A1A60">
            <w:pPr>
              <w:pStyle w:val="14"/>
            </w:pPr>
          </w:p>
        </w:tc>
        <w:tc>
          <w:tcPr>
            <w:tcW w:w="1474" w:type="dxa"/>
            <w:vAlign w:val="center"/>
          </w:tcPr>
          <w:p w14:paraId="7986B693">
            <w:pPr>
              <w:pStyle w:val="14"/>
            </w:pPr>
          </w:p>
        </w:tc>
        <w:tc>
          <w:tcPr>
            <w:tcW w:w="1474" w:type="dxa"/>
            <w:vAlign w:val="center"/>
          </w:tcPr>
          <w:p w14:paraId="6ADD1F98">
            <w:pPr>
              <w:pStyle w:val="14"/>
            </w:pPr>
          </w:p>
        </w:tc>
      </w:tr>
      <w:tr w14:paraId="50AED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01B948B">
            <w:pPr>
              <w:pStyle w:val="12"/>
            </w:pPr>
            <w:r>
              <w:t>17</w:t>
            </w:r>
          </w:p>
        </w:tc>
        <w:tc>
          <w:tcPr>
            <w:tcW w:w="3402" w:type="dxa"/>
            <w:vAlign w:val="center"/>
          </w:tcPr>
          <w:p w14:paraId="1EE5F753">
            <w:pPr>
              <w:pStyle w:val="13"/>
            </w:pPr>
          </w:p>
        </w:tc>
        <w:tc>
          <w:tcPr>
            <w:tcW w:w="1474" w:type="dxa"/>
            <w:vAlign w:val="center"/>
          </w:tcPr>
          <w:p w14:paraId="5C3CCE33">
            <w:pPr>
              <w:pStyle w:val="14"/>
            </w:pPr>
          </w:p>
        </w:tc>
        <w:tc>
          <w:tcPr>
            <w:tcW w:w="3402" w:type="dxa"/>
            <w:vAlign w:val="center"/>
          </w:tcPr>
          <w:p w14:paraId="7144DEF9">
            <w:pPr>
              <w:pStyle w:val="13"/>
            </w:pPr>
            <w:r>
              <w:t>十七、金融支出</w:t>
            </w:r>
          </w:p>
        </w:tc>
        <w:tc>
          <w:tcPr>
            <w:tcW w:w="1474" w:type="dxa"/>
            <w:vAlign w:val="center"/>
          </w:tcPr>
          <w:p w14:paraId="4B4A974E">
            <w:pPr>
              <w:pStyle w:val="14"/>
            </w:pPr>
          </w:p>
        </w:tc>
        <w:tc>
          <w:tcPr>
            <w:tcW w:w="1474" w:type="dxa"/>
            <w:vAlign w:val="center"/>
          </w:tcPr>
          <w:p w14:paraId="7ED4FBED">
            <w:pPr>
              <w:pStyle w:val="14"/>
            </w:pPr>
          </w:p>
        </w:tc>
        <w:tc>
          <w:tcPr>
            <w:tcW w:w="1474" w:type="dxa"/>
            <w:vAlign w:val="center"/>
          </w:tcPr>
          <w:p w14:paraId="346B48BE">
            <w:pPr>
              <w:pStyle w:val="14"/>
            </w:pPr>
          </w:p>
        </w:tc>
        <w:tc>
          <w:tcPr>
            <w:tcW w:w="1474" w:type="dxa"/>
            <w:vAlign w:val="center"/>
          </w:tcPr>
          <w:p w14:paraId="5A5B7596">
            <w:pPr>
              <w:pStyle w:val="14"/>
            </w:pPr>
          </w:p>
        </w:tc>
      </w:tr>
      <w:tr w14:paraId="16275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ED8C4">
            <w:pPr>
              <w:pStyle w:val="12"/>
            </w:pPr>
            <w:r>
              <w:t>18</w:t>
            </w:r>
          </w:p>
        </w:tc>
        <w:tc>
          <w:tcPr>
            <w:tcW w:w="3402" w:type="dxa"/>
            <w:vAlign w:val="center"/>
          </w:tcPr>
          <w:p w14:paraId="790A50B5">
            <w:pPr>
              <w:pStyle w:val="13"/>
            </w:pPr>
          </w:p>
        </w:tc>
        <w:tc>
          <w:tcPr>
            <w:tcW w:w="1474" w:type="dxa"/>
            <w:vAlign w:val="center"/>
          </w:tcPr>
          <w:p w14:paraId="20CE27D2">
            <w:pPr>
              <w:pStyle w:val="14"/>
            </w:pPr>
          </w:p>
        </w:tc>
        <w:tc>
          <w:tcPr>
            <w:tcW w:w="3402" w:type="dxa"/>
            <w:vAlign w:val="center"/>
          </w:tcPr>
          <w:p w14:paraId="69ABCF07">
            <w:pPr>
              <w:pStyle w:val="13"/>
            </w:pPr>
            <w:r>
              <w:t>十八、援助其他地区支出</w:t>
            </w:r>
          </w:p>
        </w:tc>
        <w:tc>
          <w:tcPr>
            <w:tcW w:w="1474" w:type="dxa"/>
            <w:vAlign w:val="center"/>
          </w:tcPr>
          <w:p w14:paraId="21FBAC4D">
            <w:pPr>
              <w:pStyle w:val="14"/>
            </w:pPr>
          </w:p>
        </w:tc>
        <w:tc>
          <w:tcPr>
            <w:tcW w:w="1474" w:type="dxa"/>
            <w:vAlign w:val="center"/>
          </w:tcPr>
          <w:p w14:paraId="05105080">
            <w:pPr>
              <w:pStyle w:val="14"/>
            </w:pPr>
          </w:p>
        </w:tc>
        <w:tc>
          <w:tcPr>
            <w:tcW w:w="1474" w:type="dxa"/>
            <w:vAlign w:val="center"/>
          </w:tcPr>
          <w:p w14:paraId="25B5FDD2">
            <w:pPr>
              <w:pStyle w:val="14"/>
            </w:pPr>
          </w:p>
        </w:tc>
        <w:tc>
          <w:tcPr>
            <w:tcW w:w="1474" w:type="dxa"/>
            <w:vAlign w:val="center"/>
          </w:tcPr>
          <w:p w14:paraId="3FEE7CA0">
            <w:pPr>
              <w:pStyle w:val="14"/>
            </w:pPr>
          </w:p>
        </w:tc>
      </w:tr>
      <w:tr w14:paraId="66607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D5109">
            <w:pPr>
              <w:pStyle w:val="12"/>
            </w:pPr>
            <w:r>
              <w:t>19</w:t>
            </w:r>
          </w:p>
        </w:tc>
        <w:tc>
          <w:tcPr>
            <w:tcW w:w="3402" w:type="dxa"/>
            <w:vAlign w:val="center"/>
          </w:tcPr>
          <w:p w14:paraId="47DF6F56">
            <w:pPr>
              <w:pStyle w:val="13"/>
            </w:pPr>
          </w:p>
        </w:tc>
        <w:tc>
          <w:tcPr>
            <w:tcW w:w="1474" w:type="dxa"/>
            <w:vAlign w:val="center"/>
          </w:tcPr>
          <w:p w14:paraId="6446B488">
            <w:pPr>
              <w:pStyle w:val="14"/>
            </w:pPr>
          </w:p>
        </w:tc>
        <w:tc>
          <w:tcPr>
            <w:tcW w:w="3402" w:type="dxa"/>
            <w:vAlign w:val="center"/>
          </w:tcPr>
          <w:p w14:paraId="1C5ECE67">
            <w:pPr>
              <w:pStyle w:val="13"/>
            </w:pPr>
            <w:r>
              <w:t>十九、自然资源海洋气象等支出</w:t>
            </w:r>
          </w:p>
        </w:tc>
        <w:tc>
          <w:tcPr>
            <w:tcW w:w="1474" w:type="dxa"/>
            <w:vAlign w:val="center"/>
          </w:tcPr>
          <w:p w14:paraId="4ADD1774">
            <w:pPr>
              <w:pStyle w:val="14"/>
            </w:pPr>
          </w:p>
        </w:tc>
        <w:tc>
          <w:tcPr>
            <w:tcW w:w="1474" w:type="dxa"/>
            <w:vAlign w:val="center"/>
          </w:tcPr>
          <w:p w14:paraId="5A6EDCD0">
            <w:pPr>
              <w:pStyle w:val="14"/>
            </w:pPr>
          </w:p>
        </w:tc>
        <w:tc>
          <w:tcPr>
            <w:tcW w:w="1474" w:type="dxa"/>
            <w:vAlign w:val="center"/>
          </w:tcPr>
          <w:p w14:paraId="5D3FC317">
            <w:pPr>
              <w:pStyle w:val="14"/>
            </w:pPr>
          </w:p>
        </w:tc>
        <w:tc>
          <w:tcPr>
            <w:tcW w:w="1474" w:type="dxa"/>
            <w:vAlign w:val="center"/>
          </w:tcPr>
          <w:p w14:paraId="245B942E">
            <w:pPr>
              <w:pStyle w:val="14"/>
            </w:pPr>
          </w:p>
        </w:tc>
      </w:tr>
      <w:tr w14:paraId="7537E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B5406">
            <w:pPr>
              <w:pStyle w:val="12"/>
            </w:pPr>
            <w:r>
              <w:t>20</w:t>
            </w:r>
          </w:p>
        </w:tc>
        <w:tc>
          <w:tcPr>
            <w:tcW w:w="3402" w:type="dxa"/>
            <w:vAlign w:val="center"/>
          </w:tcPr>
          <w:p w14:paraId="19BEA84B">
            <w:pPr>
              <w:pStyle w:val="13"/>
            </w:pPr>
          </w:p>
        </w:tc>
        <w:tc>
          <w:tcPr>
            <w:tcW w:w="1474" w:type="dxa"/>
            <w:vAlign w:val="center"/>
          </w:tcPr>
          <w:p w14:paraId="5869C536">
            <w:pPr>
              <w:pStyle w:val="14"/>
            </w:pPr>
          </w:p>
        </w:tc>
        <w:tc>
          <w:tcPr>
            <w:tcW w:w="3402" w:type="dxa"/>
            <w:vAlign w:val="center"/>
          </w:tcPr>
          <w:p w14:paraId="2459FA00">
            <w:pPr>
              <w:pStyle w:val="13"/>
            </w:pPr>
            <w:r>
              <w:t>二十、住房保障支出</w:t>
            </w:r>
          </w:p>
        </w:tc>
        <w:tc>
          <w:tcPr>
            <w:tcW w:w="1474" w:type="dxa"/>
            <w:vAlign w:val="center"/>
          </w:tcPr>
          <w:p w14:paraId="6AAC6DA3">
            <w:pPr>
              <w:pStyle w:val="14"/>
            </w:pPr>
          </w:p>
        </w:tc>
        <w:tc>
          <w:tcPr>
            <w:tcW w:w="1474" w:type="dxa"/>
            <w:vAlign w:val="center"/>
          </w:tcPr>
          <w:p w14:paraId="702B0FC5">
            <w:pPr>
              <w:pStyle w:val="14"/>
            </w:pPr>
          </w:p>
        </w:tc>
        <w:tc>
          <w:tcPr>
            <w:tcW w:w="1474" w:type="dxa"/>
            <w:vAlign w:val="center"/>
          </w:tcPr>
          <w:p w14:paraId="0EF5522D">
            <w:pPr>
              <w:pStyle w:val="14"/>
            </w:pPr>
          </w:p>
        </w:tc>
        <w:tc>
          <w:tcPr>
            <w:tcW w:w="1474" w:type="dxa"/>
            <w:vAlign w:val="center"/>
          </w:tcPr>
          <w:p w14:paraId="0B29B438">
            <w:pPr>
              <w:pStyle w:val="14"/>
            </w:pPr>
          </w:p>
        </w:tc>
      </w:tr>
      <w:tr w14:paraId="2A4F0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1ED52">
            <w:pPr>
              <w:pStyle w:val="12"/>
            </w:pPr>
            <w:r>
              <w:t>21</w:t>
            </w:r>
          </w:p>
        </w:tc>
        <w:tc>
          <w:tcPr>
            <w:tcW w:w="3402" w:type="dxa"/>
            <w:vAlign w:val="center"/>
          </w:tcPr>
          <w:p w14:paraId="4041682C">
            <w:pPr>
              <w:pStyle w:val="13"/>
            </w:pPr>
          </w:p>
        </w:tc>
        <w:tc>
          <w:tcPr>
            <w:tcW w:w="1474" w:type="dxa"/>
            <w:vAlign w:val="center"/>
          </w:tcPr>
          <w:p w14:paraId="7CD0E273">
            <w:pPr>
              <w:pStyle w:val="14"/>
            </w:pPr>
          </w:p>
        </w:tc>
        <w:tc>
          <w:tcPr>
            <w:tcW w:w="3402" w:type="dxa"/>
            <w:vAlign w:val="center"/>
          </w:tcPr>
          <w:p w14:paraId="6CDB9AE9">
            <w:pPr>
              <w:pStyle w:val="13"/>
            </w:pPr>
            <w:r>
              <w:t>二十一、粮油物资储备支出</w:t>
            </w:r>
          </w:p>
        </w:tc>
        <w:tc>
          <w:tcPr>
            <w:tcW w:w="1474" w:type="dxa"/>
            <w:vAlign w:val="center"/>
          </w:tcPr>
          <w:p w14:paraId="6DC13365">
            <w:pPr>
              <w:pStyle w:val="14"/>
            </w:pPr>
          </w:p>
        </w:tc>
        <w:tc>
          <w:tcPr>
            <w:tcW w:w="1474" w:type="dxa"/>
            <w:vAlign w:val="center"/>
          </w:tcPr>
          <w:p w14:paraId="03B29185">
            <w:pPr>
              <w:pStyle w:val="14"/>
            </w:pPr>
          </w:p>
        </w:tc>
        <w:tc>
          <w:tcPr>
            <w:tcW w:w="1474" w:type="dxa"/>
            <w:vAlign w:val="center"/>
          </w:tcPr>
          <w:p w14:paraId="4575535E">
            <w:pPr>
              <w:pStyle w:val="14"/>
            </w:pPr>
          </w:p>
        </w:tc>
        <w:tc>
          <w:tcPr>
            <w:tcW w:w="1474" w:type="dxa"/>
            <w:vAlign w:val="center"/>
          </w:tcPr>
          <w:p w14:paraId="4E951820">
            <w:pPr>
              <w:pStyle w:val="14"/>
            </w:pPr>
          </w:p>
        </w:tc>
      </w:tr>
      <w:tr w14:paraId="50919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06781">
            <w:pPr>
              <w:pStyle w:val="12"/>
            </w:pPr>
            <w:r>
              <w:t>22</w:t>
            </w:r>
          </w:p>
        </w:tc>
        <w:tc>
          <w:tcPr>
            <w:tcW w:w="3402" w:type="dxa"/>
            <w:vAlign w:val="center"/>
          </w:tcPr>
          <w:p w14:paraId="28B56603">
            <w:pPr>
              <w:pStyle w:val="13"/>
            </w:pPr>
          </w:p>
        </w:tc>
        <w:tc>
          <w:tcPr>
            <w:tcW w:w="1474" w:type="dxa"/>
            <w:vAlign w:val="center"/>
          </w:tcPr>
          <w:p w14:paraId="0858F118">
            <w:pPr>
              <w:pStyle w:val="14"/>
            </w:pPr>
          </w:p>
        </w:tc>
        <w:tc>
          <w:tcPr>
            <w:tcW w:w="3402" w:type="dxa"/>
            <w:vAlign w:val="center"/>
          </w:tcPr>
          <w:p w14:paraId="7F8C31C6">
            <w:pPr>
              <w:pStyle w:val="13"/>
            </w:pPr>
            <w:r>
              <w:t>二十二、国有资本经营预算支出</w:t>
            </w:r>
          </w:p>
        </w:tc>
        <w:tc>
          <w:tcPr>
            <w:tcW w:w="1474" w:type="dxa"/>
            <w:vAlign w:val="center"/>
          </w:tcPr>
          <w:p w14:paraId="5B509B66">
            <w:pPr>
              <w:pStyle w:val="14"/>
            </w:pPr>
          </w:p>
        </w:tc>
        <w:tc>
          <w:tcPr>
            <w:tcW w:w="1474" w:type="dxa"/>
            <w:vAlign w:val="center"/>
          </w:tcPr>
          <w:p w14:paraId="74B64D4E">
            <w:pPr>
              <w:pStyle w:val="14"/>
            </w:pPr>
          </w:p>
        </w:tc>
        <w:tc>
          <w:tcPr>
            <w:tcW w:w="1474" w:type="dxa"/>
            <w:vAlign w:val="center"/>
          </w:tcPr>
          <w:p w14:paraId="195B4EA0">
            <w:pPr>
              <w:pStyle w:val="14"/>
            </w:pPr>
          </w:p>
        </w:tc>
        <w:tc>
          <w:tcPr>
            <w:tcW w:w="1474" w:type="dxa"/>
            <w:vAlign w:val="center"/>
          </w:tcPr>
          <w:p w14:paraId="24E557E7">
            <w:pPr>
              <w:pStyle w:val="14"/>
            </w:pPr>
          </w:p>
        </w:tc>
      </w:tr>
      <w:tr w14:paraId="78C1C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A934E">
            <w:pPr>
              <w:pStyle w:val="12"/>
            </w:pPr>
            <w:r>
              <w:t>23</w:t>
            </w:r>
          </w:p>
        </w:tc>
        <w:tc>
          <w:tcPr>
            <w:tcW w:w="3402" w:type="dxa"/>
            <w:vAlign w:val="center"/>
          </w:tcPr>
          <w:p w14:paraId="03BC1AB4">
            <w:pPr>
              <w:pStyle w:val="13"/>
            </w:pPr>
          </w:p>
        </w:tc>
        <w:tc>
          <w:tcPr>
            <w:tcW w:w="1474" w:type="dxa"/>
            <w:vAlign w:val="center"/>
          </w:tcPr>
          <w:p w14:paraId="7674DF83">
            <w:pPr>
              <w:pStyle w:val="14"/>
            </w:pPr>
          </w:p>
        </w:tc>
        <w:tc>
          <w:tcPr>
            <w:tcW w:w="3402" w:type="dxa"/>
            <w:vAlign w:val="center"/>
          </w:tcPr>
          <w:p w14:paraId="56971B6D">
            <w:pPr>
              <w:pStyle w:val="13"/>
            </w:pPr>
            <w:r>
              <w:t>二十三、灾害防治及应急管理支出</w:t>
            </w:r>
          </w:p>
        </w:tc>
        <w:tc>
          <w:tcPr>
            <w:tcW w:w="1474" w:type="dxa"/>
            <w:vAlign w:val="center"/>
          </w:tcPr>
          <w:p w14:paraId="7A01088A">
            <w:pPr>
              <w:pStyle w:val="14"/>
            </w:pPr>
          </w:p>
        </w:tc>
        <w:tc>
          <w:tcPr>
            <w:tcW w:w="1474" w:type="dxa"/>
            <w:vAlign w:val="center"/>
          </w:tcPr>
          <w:p w14:paraId="508ADC53">
            <w:pPr>
              <w:pStyle w:val="14"/>
            </w:pPr>
          </w:p>
        </w:tc>
        <w:tc>
          <w:tcPr>
            <w:tcW w:w="1474" w:type="dxa"/>
            <w:vAlign w:val="center"/>
          </w:tcPr>
          <w:p w14:paraId="60835F83">
            <w:pPr>
              <w:pStyle w:val="14"/>
            </w:pPr>
          </w:p>
        </w:tc>
        <w:tc>
          <w:tcPr>
            <w:tcW w:w="1474" w:type="dxa"/>
            <w:vAlign w:val="center"/>
          </w:tcPr>
          <w:p w14:paraId="4B77D426">
            <w:pPr>
              <w:pStyle w:val="14"/>
            </w:pPr>
          </w:p>
        </w:tc>
      </w:tr>
      <w:tr w14:paraId="2EBAE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3918C">
            <w:pPr>
              <w:pStyle w:val="12"/>
            </w:pPr>
            <w:r>
              <w:t>24</w:t>
            </w:r>
          </w:p>
        </w:tc>
        <w:tc>
          <w:tcPr>
            <w:tcW w:w="3402" w:type="dxa"/>
            <w:vAlign w:val="center"/>
          </w:tcPr>
          <w:p w14:paraId="5D7A95A4">
            <w:pPr>
              <w:pStyle w:val="13"/>
            </w:pPr>
          </w:p>
        </w:tc>
        <w:tc>
          <w:tcPr>
            <w:tcW w:w="1474" w:type="dxa"/>
            <w:vAlign w:val="center"/>
          </w:tcPr>
          <w:p w14:paraId="5F0760A1">
            <w:pPr>
              <w:pStyle w:val="14"/>
            </w:pPr>
          </w:p>
        </w:tc>
        <w:tc>
          <w:tcPr>
            <w:tcW w:w="3402" w:type="dxa"/>
            <w:vAlign w:val="center"/>
          </w:tcPr>
          <w:p w14:paraId="249D2F63">
            <w:pPr>
              <w:pStyle w:val="13"/>
            </w:pPr>
            <w:r>
              <w:t>二十四、预备费</w:t>
            </w:r>
          </w:p>
        </w:tc>
        <w:tc>
          <w:tcPr>
            <w:tcW w:w="1474" w:type="dxa"/>
            <w:vAlign w:val="center"/>
          </w:tcPr>
          <w:p w14:paraId="076904F4">
            <w:pPr>
              <w:pStyle w:val="14"/>
            </w:pPr>
          </w:p>
        </w:tc>
        <w:tc>
          <w:tcPr>
            <w:tcW w:w="1474" w:type="dxa"/>
            <w:vAlign w:val="center"/>
          </w:tcPr>
          <w:p w14:paraId="64ACC47E">
            <w:pPr>
              <w:pStyle w:val="14"/>
            </w:pPr>
          </w:p>
        </w:tc>
        <w:tc>
          <w:tcPr>
            <w:tcW w:w="1474" w:type="dxa"/>
            <w:vAlign w:val="center"/>
          </w:tcPr>
          <w:p w14:paraId="598050E5">
            <w:pPr>
              <w:pStyle w:val="14"/>
            </w:pPr>
          </w:p>
        </w:tc>
        <w:tc>
          <w:tcPr>
            <w:tcW w:w="1474" w:type="dxa"/>
            <w:vAlign w:val="center"/>
          </w:tcPr>
          <w:p w14:paraId="152E22B1">
            <w:pPr>
              <w:pStyle w:val="14"/>
            </w:pPr>
          </w:p>
        </w:tc>
      </w:tr>
      <w:tr w14:paraId="70097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4D50739">
            <w:pPr>
              <w:pStyle w:val="12"/>
            </w:pPr>
            <w:r>
              <w:t>25</w:t>
            </w:r>
          </w:p>
        </w:tc>
        <w:tc>
          <w:tcPr>
            <w:tcW w:w="3402" w:type="dxa"/>
            <w:vAlign w:val="center"/>
          </w:tcPr>
          <w:p w14:paraId="36668507">
            <w:pPr>
              <w:pStyle w:val="13"/>
            </w:pPr>
          </w:p>
        </w:tc>
        <w:tc>
          <w:tcPr>
            <w:tcW w:w="1474" w:type="dxa"/>
            <w:vAlign w:val="center"/>
          </w:tcPr>
          <w:p w14:paraId="2E80FF60">
            <w:pPr>
              <w:pStyle w:val="14"/>
            </w:pPr>
          </w:p>
        </w:tc>
        <w:tc>
          <w:tcPr>
            <w:tcW w:w="3402" w:type="dxa"/>
            <w:vAlign w:val="center"/>
          </w:tcPr>
          <w:p w14:paraId="40D2F310">
            <w:pPr>
              <w:pStyle w:val="13"/>
            </w:pPr>
            <w:r>
              <w:t>二十五、其他支出</w:t>
            </w:r>
          </w:p>
        </w:tc>
        <w:tc>
          <w:tcPr>
            <w:tcW w:w="1474" w:type="dxa"/>
            <w:vAlign w:val="center"/>
          </w:tcPr>
          <w:p w14:paraId="027A7005">
            <w:pPr>
              <w:pStyle w:val="14"/>
            </w:pPr>
          </w:p>
        </w:tc>
        <w:tc>
          <w:tcPr>
            <w:tcW w:w="1474" w:type="dxa"/>
            <w:vAlign w:val="center"/>
          </w:tcPr>
          <w:p w14:paraId="56C4AD34">
            <w:pPr>
              <w:pStyle w:val="14"/>
            </w:pPr>
          </w:p>
        </w:tc>
        <w:tc>
          <w:tcPr>
            <w:tcW w:w="1474" w:type="dxa"/>
            <w:vAlign w:val="center"/>
          </w:tcPr>
          <w:p w14:paraId="6B54361A">
            <w:pPr>
              <w:pStyle w:val="14"/>
            </w:pPr>
          </w:p>
        </w:tc>
        <w:tc>
          <w:tcPr>
            <w:tcW w:w="1474" w:type="dxa"/>
            <w:vAlign w:val="center"/>
          </w:tcPr>
          <w:p w14:paraId="6AC612FF">
            <w:pPr>
              <w:pStyle w:val="14"/>
            </w:pPr>
          </w:p>
        </w:tc>
      </w:tr>
      <w:tr w14:paraId="07BA0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61BAA">
            <w:pPr>
              <w:pStyle w:val="12"/>
            </w:pPr>
            <w:r>
              <w:t>26</w:t>
            </w:r>
          </w:p>
        </w:tc>
        <w:tc>
          <w:tcPr>
            <w:tcW w:w="3402" w:type="dxa"/>
            <w:vAlign w:val="center"/>
          </w:tcPr>
          <w:p w14:paraId="105CE1FA">
            <w:pPr>
              <w:pStyle w:val="13"/>
            </w:pPr>
          </w:p>
        </w:tc>
        <w:tc>
          <w:tcPr>
            <w:tcW w:w="1474" w:type="dxa"/>
            <w:vAlign w:val="center"/>
          </w:tcPr>
          <w:p w14:paraId="155E3216">
            <w:pPr>
              <w:pStyle w:val="14"/>
            </w:pPr>
          </w:p>
        </w:tc>
        <w:tc>
          <w:tcPr>
            <w:tcW w:w="3402" w:type="dxa"/>
            <w:vAlign w:val="center"/>
          </w:tcPr>
          <w:p w14:paraId="37EB38B1">
            <w:pPr>
              <w:pStyle w:val="13"/>
            </w:pPr>
            <w:r>
              <w:t>二十六、转移性支出</w:t>
            </w:r>
          </w:p>
        </w:tc>
        <w:tc>
          <w:tcPr>
            <w:tcW w:w="1474" w:type="dxa"/>
            <w:vAlign w:val="center"/>
          </w:tcPr>
          <w:p w14:paraId="624D8AEE">
            <w:pPr>
              <w:pStyle w:val="14"/>
            </w:pPr>
          </w:p>
        </w:tc>
        <w:tc>
          <w:tcPr>
            <w:tcW w:w="1474" w:type="dxa"/>
            <w:vAlign w:val="center"/>
          </w:tcPr>
          <w:p w14:paraId="2BB07F01">
            <w:pPr>
              <w:pStyle w:val="14"/>
            </w:pPr>
          </w:p>
        </w:tc>
        <w:tc>
          <w:tcPr>
            <w:tcW w:w="1474" w:type="dxa"/>
            <w:vAlign w:val="center"/>
          </w:tcPr>
          <w:p w14:paraId="7B9DEDBF">
            <w:pPr>
              <w:pStyle w:val="14"/>
            </w:pPr>
          </w:p>
        </w:tc>
        <w:tc>
          <w:tcPr>
            <w:tcW w:w="1474" w:type="dxa"/>
            <w:vAlign w:val="center"/>
          </w:tcPr>
          <w:p w14:paraId="01D4C71D">
            <w:pPr>
              <w:pStyle w:val="14"/>
            </w:pPr>
          </w:p>
        </w:tc>
      </w:tr>
      <w:tr w14:paraId="04059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4C337">
            <w:pPr>
              <w:pStyle w:val="12"/>
            </w:pPr>
            <w:r>
              <w:t>27</w:t>
            </w:r>
          </w:p>
        </w:tc>
        <w:tc>
          <w:tcPr>
            <w:tcW w:w="3402" w:type="dxa"/>
            <w:vAlign w:val="center"/>
          </w:tcPr>
          <w:p w14:paraId="0892BDC2">
            <w:pPr>
              <w:pStyle w:val="13"/>
            </w:pPr>
          </w:p>
        </w:tc>
        <w:tc>
          <w:tcPr>
            <w:tcW w:w="1474" w:type="dxa"/>
            <w:vAlign w:val="center"/>
          </w:tcPr>
          <w:p w14:paraId="5F8D856F">
            <w:pPr>
              <w:pStyle w:val="14"/>
            </w:pPr>
          </w:p>
        </w:tc>
        <w:tc>
          <w:tcPr>
            <w:tcW w:w="3402" w:type="dxa"/>
            <w:vAlign w:val="center"/>
          </w:tcPr>
          <w:p w14:paraId="1D53D447">
            <w:pPr>
              <w:pStyle w:val="13"/>
            </w:pPr>
            <w:r>
              <w:t>二十七、债务还本支出</w:t>
            </w:r>
          </w:p>
        </w:tc>
        <w:tc>
          <w:tcPr>
            <w:tcW w:w="1474" w:type="dxa"/>
            <w:vAlign w:val="center"/>
          </w:tcPr>
          <w:p w14:paraId="0CD75FE3">
            <w:pPr>
              <w:pStyle w:val="14"/>
            </w:pPr>
          </w:p>
        </w:tc>
        <w:tc>
          <w:tcPr>
            <w:tcW w:w="1474" w:type="dxa"/>
            <w:vAlign w:val="center"/>
          </w:tcPr>
          <w:p w14:paraId="590075A0">
            <w:pPr>
              <w:pStyle w:val="14"/>
            </w:pPr>
          </w:p>
        </w:tc>
        <w:tc>
          <w:tcPr>
            <w:tcW w:w="1474" w:type="dxa"/>
            <w:vAlign w:val="center"/>
          </w:tcPr>
          <w:p w14:paraId="1CF80D56">
            <w:pPr>
              <w:pStyle w:val="14"/>
            </w:pPr>
          </w:p>
        </w:tc>
        <w:tc>
          <w:tcPr>
            <w:tcW w:w="1474" w:type="dxa"/>
            <w:vAlign w:val="center"/>
          </w:tcPr>
          <w:p w14:paraId="043AE98B">
            <w:pPr>
              <w:pStyle w:val="14"/>
            </w:pPr>
          </w:p>
        </w:tc>
      </w:tr>
      <w:tr w14:paraId="2D803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B1C69">
            <w:pPr>
              <w:pStyle w:val="12"/>
            </w:pPr>
            <w:r>
              <w:t>28</w:t>
            </w:r>
          </w:p>
        </w:tc>
        <w:tc>
          <w:tcPr>
            <w:tcW w:w="3402" w:type="dxa"/>
            <w:vAlign w:val="center"/>
          </w:tcPr>
          <w:p w14:paraId="0C37470F">
            <w:pPr>
              <w:pStyle w:val="13"/>
            </w:pPr>
          </w:p>
        </w:tc>
        <w:tc>
          <w:tcPr>
            <w:tcW w:w="1474" w:type="dxa"/>
            <w:vAlign w:val="center"/>
          </w:tcPr>
          <w:p w14:paraId="1D47376B">
            <w:pPr>
              <w:pStyle w:val="14"/>
            </w:pPr>
          </w:p>
        </w:tc>
        <w:tc>
          <w:tcPr>
            <w:tcW w:w="3402" w:type="dxa"/>
            <w:vAlign w:val="center"/>
          </w:tcPr>
          <w:p w14:paraId="4FA96A8F">
            <w:pPr>
              <w:pStyle w:val="13"/>
            </w:pPr>
            <w:r>
              <w:t>二十八、债务付息支出</w:t>
            </w:r>
          </w:p>
        </w:tc>
        <w:tc>
          <w:tcPr>
            <w:tcW w:w="1474" w:type="dxa"/>
            <w:vAlign w:val="center"/>
          </w:tcPr>
          <w:p w14:paraId="3DD92AFF">
            <w:pPr>
              <w:pStyle w:val="14"/>
            </w:pPr>
          </w:p>
        </w:tc>
        <w:tc>
          <w:tcPr>
            <w:tcW w:w="1474" w:type="dxa"/>
            <w:vAlign w:val="center"/>
          </w:tcPr>
          <w:p w14:paraId="06E3938E">
            <w:pPr>
              <w:pStyle w:val="14"/>
            </w:pPr>
          </w:p>
        </w:tc>
        <w:tc>
          <w:tcPr>
            <w:tcW w:w="1474" w:type="dxa"/>
            <w:vAlign w:val="center"/>
          </w:tcPr>
          <w:p w14:paraId="71E08905">
            <w:pPr>
              <w:pStyle w:val="14"/>
            </w:pPr>
          </w:p>
        </w:tc>
        <w:tc>
          <w:tcPr>
            <w:tcW w:w="1474" w:type="dxa"/>
            <w:vAlign w:val="center"/>
          </w:tcPr>
          <w:p w14:paraId="33385460">
            <w:pPr>
              <w:pStyle w:val="14"/>
            </w:pPr>
          </w:p>
        </w:tc>
      </w:tr>
      <w:tr w14:paraId="20BB8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12D98">
            <w:pPr>
              <w:pStyle w:val="12"/>
            </w:pPr>
            <w:r>
              <w:t>29</w:t>
            </w:r>
          </w:p>
        </w:tc>
        <w:tc>
          <w:tcPr>
            <w:tcW w:w="3402" w:type="dxa"/>
            <w:vAlign w:val="center"/>
          </w:tcPr>
          <w:p w14:paraId="6B8E26B6">
            <w:pPr>
              <w:pStyle w:val="13"/>
            </w:pPr>
          </w:p>
        </w:tc>
        <w:tc>
          <w:tcPr>
            <w:tcW w:w="1474" w:type="dxa"/>
            <w:vAlign w:val="center"/>
          </w:tcPr>
          <w:p w14:paraId="1BD3DE2C">
            <w:pPr>
              <w:pStyle w:val="14"/>
            </w:pPr>
          </w:p>
        </w:tc>
        <w:tc>
          <w:tcPr>
            <w:tcW w:w="3402" w:type="dxa"/>
            <w:vAlign w:val="center"/>
          </w:tcPr>
          <w:p w14:paraId="73AA1E0C">
            <w:pPr>
              <w:pStyle w:val="13"/>
            </w:pPr>
            <w:r>
              <w:t>二十九、债务发行费用支出</w:t>
            </w:r>
          </w:p>
        </w:tc>
        <w:tc>
          <w:tcPr>
            <w:tcW w:w="1474" w:type="dxa"/>
            <w:vAlign w:val="center"/>
          </w:tcPr>
          <w:p w14:paraId="5F1288D1">
            <w:pPr>
              <w:pStyle w:val="14"/>
            </w:pPr>
          </w:p>
        </w:tc>
        <w:tc>
          <w:tcPr>
            <w:tcW w:w="1474" w:type="dxa"/>
            <w:vAlign w:val="center"/>
          </w:tcPr>
          <w:p w14:paraId="380DB54F">
            <w:pPr>
              <w:pStyle w:val="14"/>
            </w:pPr>
          </w:p>
        </w:tc>
        <w:tc>
          <w:tcPr>
            <w:tcW w:w="1474" w:type="dxa"/>
            <w:vAlign w:val="center"/>
          </w:tcPr>
          <w:p w14:paraId="7A613BAA">
            <w:pPr>
              <w:pStyle w:val="14"/>
            </w:pPr>
          </w:p>
        </w:tc>
        <w:tc>
          <w:tcPr>
            <w:tcW w:w="1474" w:type="dxa"/>
            <w:vAlign w:val="center"/>
          </w:tcPr>
          <w:p w14:paraId="38378650">
            <w:pPr>
              <w:pStyle w:val="14"/>
            </w:pPr>
          </w:p>
        </w:tc>
      </w:tr>
      <w:tr w14:paraId="4547C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80D92">
            <w:pPr>
              <w:pStyle w:val="12"/>
            </w:pPr>
            <w:r>
              <w:t>30</w:t>
            </w:r>
          </w:p>
        </w:tc>
        <w:tc>
          <w:tcPr>
            <w:tcW w:w="3402" w:type="dxa"/>
            <w:vAlign w:val="center"/>
          </w:tcPr>
          <w:p w14:paraId="4E1A867D">
            <w:pPr>
              <w:pStyle w:val="13"/>
            </w:pPr>
          </w:p>
        </w:tc>
        <w:tc>
          <w:tcPr>
            <w:tcW w:w="1474" w:type="dxa"/>
            <w:vAlign w:val="center"/>
          </w:tcPr>
          <w:p w14:paraId="38468C86">
            <w:pPr>
              <w:pStyle w:val="14"/>
            </w:pPr>
          </w:p>
        </w:tc>
        <w:tc>
          <w:tcPr>
            <w:tcW w:w="3402" w:type="dxa"/>
            <w:vAlign w:val="center"/>
          </w:tcPr>
          <w:p w14:paraId="0DDE77A2">
            <w:pPr>
              <w:pStyle w:val="13"/>
            </w:pPr>
            <w:r>
              <w:t>三十、抗疫特别国债安排的支出</w:t>
            </w:r>
          </w:p>
        </w:tc>
        <w:tc>
          <w:tcPr>
            <w:tcW w:w="1474" w:type="dxa"/>
            <w:vAlign w:val="center"/>
          </w:tcPr>
          <w:p w14:paraId="75674DE3">
            <w:pPr>
              <w:pStyle w:val="14"/>
            </w:pPr>
          </w:p>
        </w:tc>
        <w:tc>
          <w:tcPr>
            <w:tcW w:w="1474" w:type="dxa"/>
            <w:vAlign w:val="center"/>
          </w:tcPr>
          <w:p w14:paraId="1E825114">
            <w:pPr>
              <w:pStyle w:val="14"/>
            </w:pPr>
          </w:p>
        </w:tc>
        <w:tc>
          <w:tcPr>
            <w:tcW w:w="1474" w:type="dxa"/>
            <w:vAlign w:val="center"/>
          </w:tcPr>
          <w:p w14:paraId="3BBFC547">
            <w:pPr>
              <w:pStyle w:val="14"/>
            </w:pPr>
          </w:p>
        </w:tc>
        <w:tc>
          <w:tcPr>
            <w:tcW w:w="1474" w:type="dxa"/>
            <w:vAlign w:val="center"/>
          </w:tcPr>
          <w:p w14:paraId="610489D4">
            <w:pPr>
              <w:pStyle w:val="14"/>
            </w:pPr>
          </w:p>
        </w:tc>
      </w:tr>
      <w:tr w14:paraId="2525A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45A12BD">
            <w:pPr>
              <w:pStyle w:val="12"/>
            </w:pPr>
            <w:r>
              <w:t>31</w:t>
            </w:r>
          </w:p>
        </w:tc>
        <w:tc>
          <w:tcPr>
            <w:tcW w:w="3402" w:type="dxa"/>
            <w:vAlign w:val="center"/>
          </w:tcPr>
          <w:p w14:paraId="14D0E1B7">
            <w:pPr>
              <w:pStyle w:val="13"/>
            </w:pPr>
          </w:p>
        </w:tc>
        <w:tc>
          <w:tcPr>
            <w:tcW w:w="1474" w:type="dxa"/>
            <w:vAlign w:val="center"/>
          </w:tcPr>
          <w:p w14:paraId="2D149FAF">
            <w:pPr>
              <w:pStyle w:val="14"/>
            </w:pPr>
          </w:p>
        </w:tc>
        <w:tc>
          <w:tcPr>
            <w:tcW w:w="3402" w:type="dxa"/>
            <w:vAlign w:val="center"/>
          </w:tcPr>
          <w:p w14:paraId="4349ABC4">
            <w:pPr>
              <w:pStyle w:val="13"/>
            </w:pPr>
            <w:r>
              <w:t>三十一、人行科目</w:t>
            </w:r>
          </w:p>
        </w:tc>
        <w:tc>
          <w:tcPr>
            <w:tcW w:w="1474" w:type="dxa"/>
            <w:vAlign w:val="center"/>
          </w:tcPr>
          <w:p w14:paraId="018CE7D4">
            <w:pPr>
              <w:pStyle w:val="14"/>
            </w:pPr>
          </w:p>
        </w:tc>
        <w:tc>
          <w:tcPr>
            <w:tcW w:w="1474" w:type="dxa"/>
            <w:vAlign w:val="center"/>
          </w:tcPr>
          <w:p w14:paraId="5D21CFF4">
            <w:pPr>
              <w:pStyle w:val="14"/>
            </w:pPr>
          </w:p>
        </w:tc>
        <w:tc>
          <w:tcPr>
            <w:tcW w:w="1474" w:type="dxa"/>
            <w:vAlign w:val="center"/>
          </w:tcPr>
          <w:p w14:paraId="0FDA00BE">
            <w:pPr>
              <w:pStyle w:val="14"/>
            </w:pPr>
          </w:p>
        </w:tc>
        <w:tc>
          <w:tcPr>
            <w:tcW w:w="1474" w:type="dxa"/>
            <w:vAlign w:val="center"/>
          </w:tcPr>
          <w:p w14:paraId="245AC17C">
            <w:pPr>
              <w:pStyle w:val="14"/>
            </w:pPr>
          </w:p>
        </w:tc>
      </w:tr>
      <w:tr w14:paraId="418F2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83D22">
            <w:pPr>
              <w:pStyle w:val="12"/>
            </w:pPr>
            <w:r>
              <w:t>32</w:t>
            </w:r>
          </w:p>
        </w:tc>
        <w:tc>
          <w:tcPr>
            <w:tcW w:w="3402" w:type="dxa"/>
            <w:vAlign w:val="center"/>
          </w:tcPr>
          <w:p w14:paraId="6A2F8784">
            <w:pPr>
              <w:pStyle w:val="15"/>
            </w:pPr>
            <w:r>
              <w:t>本年收入合计</w:t>
            </w:r>
          </w:p>
        </w:tc>
        <w:tc>
          <w:tcPr>
            <w:tcW w:w="1474" w:type="dxa"/>
            <w:vAlign w:val="center"/>
          </w:tcPr>
          <w:p w14:paraId="1409F19F">
            <w:pPr>
              <w:pStyle w:val="16"/>
            </w:pPr>
            <w:r>
              <w:t>189.77</w:t>
            </w:r>
          </w:p>
        </w:tc>
        <w:tc>
          <w:tcPr>
            <w:tcW w:w="3402" w:type="dxa"/>
            <w:vAlign w:val="center"/>
          </w:tcPr>
          <w:p w14:paraId="2B6B00CB">
            <w:pPr>
              <w:pStyle w:val="15"/>
            </w:pPr>
            <w:r>
              <w:t>本年支出合计</w:t>
            </w:r>
          </w:p>
        </w:tc>
        <w:tc>
          <w:tcPr>
            <w:tcW w:w="1474" w:type="dxa"/>
            <w:vAlign w:val="center"/>
          </w:tcPr>
          <w:p w14:paraId="41C11DE0">
            <w:pPr>
              <w:pStyle w:val="16"/>
            </w:pPr>
            <w:r>
              <w:t>189.77</w:t>
            </w:r>
          </w:p>
        </w:tc>
        <w:tc>
          <w:tcPr>
            <w:tcW w:w="1474" w:type="dxa"/>
            <w:vAlign w:val="center"/>
          </w:tcPr>
          <w:p w14:paraId="461A65DC">
            <w:pPr>
              <w:pStyle w:val="16"/>
            </w:pPr>
            <w:r>
              <w:t>189.77</w:t>
            </w:r>
          </w:p>
        </w:tc>
        <w:tc>
          <w:tcPr>
            <w:tcW w:w="1474" w:type="dxa"/>
            <w:vAlign w:val="center"/>
          </w:tcPr>
          <w:p w14:paraId="4A439217">
            <w:pPr>
              <w:pStyle w:val="16"/>
            </w:pPr>
          </w:p>
        </w:tc>
        <w:tc>
          <w:tcPr>
            <w:tcW w:w="1474" w:type="dxa"/>
            <w:vAlign w:val="center"/>
          </w:tcPr>
          <w:p w14:paraId="4501A05B">
            <w:pPr>
              <w:pStyle w:val="16"/>
            </w:pPr>
          </w:p>
        </w:tc>
      </w:tr>
      <w:tr w14:paraId="2B517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23818">
            <w:pPr>
              <w:pStyle w:val="12"/>
            </w:pPr>
            <w:r>
              <w:t>33</w:t>
            </w:r>
          </w:p>
        </w:tc>
        <w:tc>
          <w:tcPr>
            <w:tcW w:w="3402" w:type="dxa"/>
            <w:vAlign w:val="center"/>
          </w:tcPr>
          <w:p w14:paraId="2A1E083F">
            <w:pPr>
              <w:pStyle w:val="13"/>
            </w:pPr>
            <w:r>
              <w:t>年初财政拨款结转和结余</w:t>
            </w:r>
          </w:p>
        </w:tc>
        <w:tc>
          <w:tcPr>
            <w:tcW w:w="1474" w:type="dxa"/>
            <w:vAlign w:val="center"/>
          </w:tcPr>
          <w:p w14:paraId="5FC8DD5F">
            <w:pPr>
              <w:pStyle w:val="14"/>
            </w:pPr>
          </w:p>
        </w:tc>
        <w:tc>
          <w:tcPr>
            <w:tcW w:w="3402" w:type="dxa"/>
            <w:vAlign w:val="center"/>
          </w:tcPr>
          <w:p w14:paraId="58BA99DA">
            <w:pPr>
              <w:pStyle w:val="13"/>
            </w:pPr>
            <w:r>
              <w:t>年末财政拨款结转和结余</w:t>
            </w:r>
          </w:p>
        </w:tc>
        <w:tc>
          <w:tcPr>
            <w:tcW w:w="1474" w:type="dxa"/>
            <w:vAlign w:val="center"/>
          </w:tcPr>
          <w:p w14:paraId="2FA73C78">
            <w:pPr>
              <w:pStyle w:val="14"/>
            </w:pPr>
          </w:p>
        </w:tc>
        <w:tc>
          <w:tcPr>
            <w:tcW w:w="1474" w:type="dxa"/>
            <w:vAlign w:val="center"/>
          </w:tcPr>
          <w:p w14:paraId="0C223448">
            <w:pPr>
              <w:pStyle w:val="14"/>
            </w:pPr>
          </w:p>
        </w:tc>
        <w:tc>
          <w:tcPr>
            <w:tcW w:w="1474" w:type="dxa"/>
            <w:vAlign w:val="center"/>
          </w:tcPr>
          <w:p w14:paraId="37BB401C">
            <w:pPr>
              <w:pStyle w:val="14"/>
            </w:pPr>
          </w:p>
        </w:tc>
        <w:tc>
          <w:tcPr>
            <w:tcW w:w="1474" w:type="dxa"/>
            <w:vAlign w:val="center"/>
          </w:tcPr>
          <w:p w14:paraId="63FD78AB">
            <w:pPr>
              <w:pStyle w:val="14"/>
            </w:pPr>
          </w:p>
        </w:tc>
      </w:tr>
      <w:tr w14:paraId="4309E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3FDFA1C">
            <w:pPr>
              <w:pStyle w:val="12"/>
            </w:pPr>
            <w:r>
              <w:t>34</w:t>
            </w:r>
          </w:p>
        </w:tc>
        <w:tc>
          <w:tcPr>
            <w:tcW w:w="3402" w:type="dxa"/>
            <w:vAlign w:val="center"/>
          </w:tcPr>
          <w:p w14:paraId="04DAA2EC">
            <w:pPr>
              <w:pStyle w:val="13"/>
            </w:pPr>
            <w:r>
              <w:t>一、一般公共预算拨款</w:t>
            </w:r>
          </w:p>
        </w:tc>
        <w:tc>
          <w:tcPr>
            <w:tcW w:w="1474" w:type="dxa"/>
            <w:vAlign w:val="center"/>
          </w:tcPr>
          <w:p w14:paraId="4990D862">
            <w:pPr>
              <w:pStyle w:val="14"/>
            </w:pPr>
          </w:p>
        </w:tc>
        <w:tc>
          <w:tcPr>
            <w:tcW w:w="3402" w:type="dxa"/>
            <w:vAlign w:val="center"/>
          </w:tcPr>
          <w:p w14:paraId="72A2094B">
            <w:pPr>
              <w:pStyle w:val="13"/>
            </w:pPr>
          </w:p>
        </w:tc>
        <w:tc>
          <w:tcPr>
            <w:tcW w:w="1474" w:type="dxa"/>
            <w:vAlign w:val="center"/>
          </w:tcPr>
          <w:p w14:paraId="21BBD70F">
            <w:pPr>
              <w:pStyle w:val="14"/>
            </w:pPr>
          </w:p>
        </w:tc>
        <w:tc>
          <w:tcPr>
            <w:tcW w:w="1474" w:type="dxa"/>
            <w:vAlign w:val="center"/>
          </w:tcPr>
          <w:p w14:paraId="518606E3">
            <w:pPr>
              <w:pStyle w:val="14"/>
            </w:pPr>
          </w:p>
        </w:tc>
        <w:tc>
          <w:tcPr>
            <w:tcW w:w="1474" w:type="dxa"/>
            <w:vAlign w:val="center"/>
          </w:tcPr>
          <w:p w14:paraId="4C8446FA">
            <w:pPr>
              <w:pStyle w:val="14"/>
            </w:pPr>
          </w:p>
        </w:tc>
        <w:tc>
          <w:tcPr>
            <w:tcW w:w="1474" w:type="dxa"/>
            <w:vAlign w:val="center"/>
          </w:tcPr>
          <w:p w14:paraId="0AD42446">
            <w:pPr>
              <w:pStyle w:val="14"/>
            </w:pPr>
          </w:p>
        </w:tc>
      </w:tr>
      <w:tr w14:paraId="31A33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CB288">
            <w:pPr>
              <w:pStyle w:val="12"/>
            </w:pPr>
            <w:r>
              <w:t>35</w:t>
            </w:r>
          </w:p>
        </w:tc>
        <w:tc>
          <w:tcPr>
            <w:tcW w:w="3402" w:type="dxa"/>
            <w:vAlign w:val="center"/>
          </w:tcPr>
          <w:p w14:paraId="18425D03">
            <w:pPr>
              <w:pStyle w:val="13"/>
            </w:pPr>
            <w:r>
              <w:t>二、政府性基金预算拨款</w:t>
            </w:r>
          </w:p>
        </w:tc>
        <w:tc>
          <w:tcPr>
            <w:tcW w:w="1474" w:type="dxa"/>
            <w:vAlign w:val="center"/>
          </w:tcPr>
          <w:p w14:paraId="6D3650E3">
            <w:pPr>
              <w:pStyle w:val="14"/>
            </w:pPr>
          </w:p>
        </w:tc>
        <w:tc>
          <w:tcPr>
            <w:tcW w:w="3402" w:type="dxa"/>
            <w:vAlign w:val="center"/>
          </w:tcPr>
          <w:p w14:paraId="6CD049B1">
            <w:pPr>
              <w:pStyle w:val="13"/>
            </w:pPr>
          </w:p>
        </w:tc>
        <w:tc>
          <w:tcPr>
            <w:tcW w:w="1474" w:type="dxa"/>
            <w:vAlign w:val="center"/>
          </w:tcPr>
          <w:p w14:paraId="2057F009">
            <w:pPr>
              <w:pStyle w:val="14"/>
            </w:pPr>
          </w:p>
        </w:tc>
        <w:tc>
          <w:tcPr>
            <w:tcW w:w="1474" w:type="dxa"/>
            <w:vAlign w:val="center"/>
          </w:tcPr>
          <w:p w14:paraId="6030BA43">
            <w:pPr>
              <w:pStyle w:val="14"/>
            </w:pPr>
          </w:p>
        </w:tc>
        <w:tc>
          <w:tcPr>
            <w:tcW w:w="1474" w:type="dxa"/>
            <w:vAlign w:val="center"/>
          </w:tcPr>
          <w:p w14:paraId="2030195C">
            <w:pPr>
              <w:pStyle w:val="14"/>
            </w:pPr>
          </w:p>
        </w:tc>
        <w:tc>
          <w:tcPr>
            <w:tcW w:w="1474" w:type="dxa"/>
            <w:vAlign w:val="center"/>
          </w:tcPr>
          <w:p w14:paraId="2CEAB1E4">
            <w:pPr>
              <w:pStyle w:val="14"/>
            </w:pPr>
          </w:p>
        </w:tc>
      </w:tr>
      <w:tr w14:paraId="7DDC7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2E2F9">
            <w:pPr>
              <w:pStyle w:val="12"/>
            </w:pPr>
            <w:r>
              <w:t>36</w:t>
            </w:r>
          </w:p>
        </w:tc>
        <w:tc>
          <w:tcPr>
            <w:tcW w:w="3402" w:type="dxa"/>
            <w:vAlign w:val="center"/>
          </w:tcPr>
          <w:p w14:paraId="6721C97F">
            <w:pPr>
              <w:pStyle w:val="13"/>
            </w:pPr>
            <w:r>
              <w:t>三、国有资本经营预算拨款</w:t>
            </w:r>
          </w:p>
        </w:tc>
        <w:tc>
          <w:tcPr>
            <w:tcW w:w="1474" w:type="dxa"/>
            <w:vAlign w:val="center"/>
          </w:tcPr>
          <w:p w14:paraId="2D6937EB">
            <w:pPr>
              <w:pStyle w:val="14"/>
            </w:pPr>
          </w:p>
        </w:tc>
        <w:tc>
          <w:tcPr>
            <w:tcW w:w="3402" w:type="dxa"/>
            <w:vAlign w:val="center"/>
          </w:tcPr>
          <w:p w14:paraId="73210A2A">
            <w:pPr>
              <w:pStyle w:val="13"/>
            </w:pPr>
          </w:p>
        </w:tc>
        <w:tc>
          <w:tcPr>
            <w:tcW w:w="1474" w:type="dxa"/>
            <w:vAlign w:val="center"/>
          </w:tcPr>
          <w:p w14:paraId="193F27FC">
            <w:pPr>
              <w:pStyle w:val="14"/>
            </w:pPr>
          </w:p>
        </w:tc>
        <w:tc>
          <w:tcPr>
            <w:tcW w:w="1474" w:type="dxa"/>
            <w:vAlign w:val="center"/>
          </w:tcPr>
          <w:p w14:paraId="33F911C0">
            <w:pPr>
              <w:pStyle w:val="14"/>
            </w:pPr>
          </w:p>
        </w:tc>
        <w:tc>
          <w:tcPr>
            <w:tcW w:w="1474" w:type="dxa"/>
            <w:vAlign w:val="center"/>
          </w:tcPr>
          <w:p w14:paraId="3F434205">
            <w:pPr>
              <w:pStyle w:val="14"/>
            </w:pPr>
          </w:p>
        </w:tc>
        <w:tc>
          <w:tcPr>
            <w:tcW w:w="1474" w:type="dxa"/>
            <w:vAlign w:val="center"/>
          </w:tcPr>
          <w:p w14:paraId="53378C9B">
            <w:pPr>
              <w:pStyle w:val="14"/>
            </w:pPr>
          </w:p>
        </w:tc>
      </w:tr>
      <w:tr w14:paraId="7CD0C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A96E8">
            <w:pPr>
              <w:pStyle w:val="12"/>
            </w:pPr>
            <w:r>
              <w:t>37</w:t>
            </w:r>
          </w:p>
        </w:tc>
        <w:tc>
          <w:tcPr>
            <w:tcW w:w="3402" w:type="dxa"/>
            <w:vAlign w:val="center"/>
          </w:tcPr>
          <w:p w14:paraId="5401692F">
            <w:pPr>
              <w:pStyle w:val="15"/>
            </w:pPr>
            <w:r>
              <w:t>收入总计</w:t>
            </w:r>
          </w:p>
        </w:tc>
        <w:tc>
          <w:tcPr>
            <w:tcW w:w="1474" w:type="dxa"/>
            <w:vAlign w:val="center"/>
          </w:tcPr>
          <w:p w14:paraId="6B4920D3">
            <w:pPr>
              <w:pStyle w:val="16"/>
            </w:pPr>
            <w:r>
              <w:t>189.77</w:t>
            </w:r>
          </w:p>
        </w:tc>
        <w:tc>
          <w:tcPr>
            <w:tcW w:w="3402" w:type="dxa"/>
            <w:vAlign w:val="center"/>
          </w:tcPr>
          <w:p w14:paraId="7C3A79CF">
            <w:pPr>
              <w:pStyle w:val="15"/>
            </w:pPr>
            <w:r>
              <w:t>支出总计</w:t>
            </w:r>
          </w:p>
        </w:tc>
        <w:tc>
          <w:tcPr>
            <w:tcW w:w="1474" w:type="dxa"/>
            <w:vAlign w:val="center"/>
          </w:tcPr>
          <w:p w14:paraId="429EA1BC">
            <w:pPr>
              <w:pStyle w:val="16"/>
            </w:pPr>
            <w:r>
              <w:t>189.77</w:t>
            </w:r>
          </w:p>
        </w:tc>
        <w:tc>
          <w:tcPr>
            <w:tcW w:w="1474" w:type="dxa"/>
            <w:vAlign w:val="center"/>
          </w:tcPr>
          <w:p w14:paraId="67C36948">
            <w:pPr>
              <w:pStyle w:val="16"/>
            </w:pPr>
            <w:r>
              <w:t>189.77</w:t>
            </w:r>
          </w:p>
        </w:tc>
        <w:tc>
          <w:tcPr>
            <w:tcW w:w="1474" w:type="dxa"/>
            <w:vAlign w:val="center"/>
          </w:tcPr>
          <w:p w14:paraId="3C999AFA">
            <w:pPr>
              <w:pStyle w:val="16"/>
            </w:pPr>
          </w:p>
        </w:tc>
        <w:tc>
          <w:tcPr>
            <w:tcW w:w="1474" w:type="dxa"/>
            <w:vAlign w:val="center"/>
          </w:tcPr>
          <w:p w14:paraId="43D75307">
            <w:pPr>
              <w:pStyle w:val="16"/>
            </w:pPr>
          </w:p>
        </w:tc>
      </w:tr>
    </w:tbl>
    <w:p w14:paraId="6248916B">
      <w:pPr>
        <w:sectPr>
          <w:pgSz w:w="16840" w:h="11900" w:orient="landscape"/>
          <w:pgMar w:top="1361" w:right="1020" w:bottom="1134" w:left="1020" w:header="720" w:footer="720" w:gutter="0"/>
          <w:cols w:space="720" w:num="1"/>
        </w:sectPr>
      </w:pPr>
    </w:p>
    <w:p w14:paraId="22B57A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811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1B6B3F">
            <w:pPr>
              <w:pStyle w:val="8"/>
            </w:pPr>
            <w:r>
              <w:t>360035隆尧县唐尧街幼儿园</w:t>
            </w:r>
          </w:p>
        </w:tc>
        <w:tc>
          <w:tcPr>
            <w:tcW w:w="2551" w:type="dxa"/>
            <w:tcBorders>
              <w:top w:val="single" w:color="FFFFFF" w:sz="6" w:space="0"/>
              <w:left w:val="single" w:color="FFFFFF" w:sz="6" w:space="0"/>
              <w:right w:val="single" w:color="FFFFFF" w:sz="6" w:space="0"/>
            </w:tcBorders>
            <w:vAlign w:val="center"/>
          </w:tcPr>
          <w:p w14:paraId="7AA6716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3D13A86">
            <w:pPr>
              <w:pStyle w:val="10"/>
            </w:pPr>
            <w:r>
              <w:t>单位：万元</w:t>
            </w:r>
          </w:p>
        </w:tc>
      </w:tr>
      <w:tr w14:paraId="61408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26E053">
            <w:pPr>
              <w:pStyle w:val="11"/>
            </w:pPr>
            <w:r>
              <w:t>序号</w:t>
            </w:r>
          </w:p>
        </w:tc>
        <w:tc>
          <w:tcPr>
            <w:tcW w:w="5726" w:type="dxa"/>
            <w:gridSpan w:val="2"/>
            <w:vAlign w:val="center"/>
          </w:tcPr>
          <w:p w14:paraId="396F79C7">
            <w:pPr>
              <w:pStyle w:val="11"/>
            </w:pPr>
            <w:r>
              <w:t>功能分类科目</w:t>
            </w:r>
          </w:p>
        </w:tc>
        <w:tc>
          <w:tcPr>
            <w:tcW w:w="2551" w:type="dxa"/>
            <w:vMerge w:val="restart"/>
            <w:vAlign w:val="center"/>
          </w:tcPr>
          <w:p w14:paraId="15BD2B0E">
            <w:pPr>
              <w:pStyle w:val="11"/>
            </w:pPr>
            <w:r>
              <w:t>合计</w:t>
            </w:r>
          </w:p>
        </w:tc>
        <w:tc>
          <w:tcPr>
            <w:tcW w:w="2551" w:type="dxa"/>
            <w:vMerge w:val="restart"/>
            <w:vAlign w:val="center"/>
          </w:tcPr>
          <w:p w14:paraId="4F75F552">
            <w:pPr>
              <w:pStyle w:val="11"/>
            </w:pPr>
            <w:r>
              <w:t>基本支出</w:t>
            </w:r>
          </w:p>
        </w:tc>
        <w:tc>
          <w:tcPr>
            <w:tcW w:w="2551" w:type="dxa"/>
            <w:vMerge w:val="restart"/>
            <w:vAlign w:val="center"/>
          </w:tcPr>
          <w:p w14:paraId="7B04830A">
            <w:pPr>
              <w:pStyle w:val="11"/>
            </w:pPr>
            <w:r>
              <w:t>项目支出</w:t>
            </w:r>
          </w:p>
        </w:tc>
      </w:tr>
      <w:tr w14:paraId="79C13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9AA6D2"/>
        </w:tc>
        <w:tc>
          <w:tcPr>
            <w:tcW w:w="1191" w:type="dxa"/>
            <w:vAlign w:val="center"/>
          </w:tcPr>
          <w:p w14:paraId="07BC34EA">
            <w:pPr>
              <w:pStyle w:val="11"/>
            </w:pPr>
            <w:r>
              <w:t>科目编码</w:t>
            </w:r>
          </w:p>
        </w:tc>
        <w:tc>
          <w:tcPr>
            <w:tcW w:w="4535" w:type="dxa"/>
            <w:vAlign w:val="center"/>
          </w:tcPr>
          <w:p w14:paraId="39A921DF">
            <w:pPr>
              <w:pStyle w:val="11"/>
            </w:pPr>
            <w:r>
              <w:t>科目名称</w:t>
            </w:r>
          </w:p>
        </w:tc>
        <w:tc>
          <w:tcPr>
            <w:tcW w:w="2551" w:type="dxa"/>
            <w:vMerge w:val="continue"/>
          </w:tcPr>
          <w:p w14:paraId="1CAEFDE4"/>
        </w:tc>
        <w:tc>
          <w:tcPr>
            <w:tcW w:w="2551" w:type="dxa"/>
            <w:vMerge w:val="continue"/>
          </w:tcPr>
          <w:p w14:paraId="29027E1F"/>
        </w:tc>
        <w:tc>
          <w:tcPr>
            <w:tcW w:w="2551" w:type="dxa"/>
            <w:vMerge w:val="continue"/>
          </w:tcPr>
          <w:p w14:paraId="45E0E61B"/>
        </w:tc>
      </w:tr>
      <w:tr w14:paraId="72174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A41FF">
            <w:pPr>
              <w:pStyle w:val="11"/>
            </w:pPr>
            <w:r>
              <w:t>栏次</w:t>
            </w:r>
          </w:p>
        </w:tc>
        <w:tc>
          <w:tcPr>
            <w:tcW w:w="1191" w:type="dxa"/>
            <w:vAlign w:val="center"/>
          </w:tcPr>
          <w:p w14:paraId="66950422">
            <w:pPr>
              <w:pStyle w:val="11"/>
            </w:pPr>
            <w:r>
              <w:t>1</w:t>
            </w:r>
          </w:p>
        </w:tc>
        <w:tc>
          <w:tcPr>
            <w:tcW w:w="4535" w:type="dxa"/>
            <w:vAlign w:val="center"/>
          </w:tcPr>
          <w:p w14:paraId="3978DBB7">
            <w:pPr>
              <w:pStyle w:val="11"/>
            </w:pPr>
            <w:r>
              <w:t>2</w:t>
            </w:r>
          </w:p>
        </w:tc>
        <w:tc>
          <w:tcPr>
            <w:tcW w:w="2551" w:type="dxa"/>
            <w:vAlign w:val="center"/>
          </w:tcPr>
          <w:p w14:paraId="4FB2283C">
            <w:pPr>
              <w:pStyle w:val="11"/>
            </w:pPr>
            <w:r>
              <w:t>3</w:t>
            </w:r>
          </w:p>
        </w:tc>
        <w:tc>
          <w:tcPr>
            <w:tcW w:w="2551" w:type="dxa"/>
            <w:vAlign w:val="center"/>
          </w:tcPr>
          <w:p w14:paraId="5FCA5A8A">
            <w:pPr>
              <w:pStyle w:val="11"/>
            </w:pPr>
            <w:r>
              <w:t>4</w:t>
            </w:r>
          </w:p>
        </w:tc>
        <w:tc>
          <w:tcPr>
            <w:tcW w:w="2551" w:type="dxa"/>
            <w:vAlign w:val="center"/>
          </w:tcPr>
          <w:p w14:paraId="72859B96">
            <w:pPr>
              <w:pStyle w:val="11"/>
            </w:pPr>
            <w:r>
              <w:t>5</w:t>
            </w:r>
          </w:p>
        </w:tc>
      </w:tr>
      <w:tr w14:paraId="05C1B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16CA7">
            <w:pPr>
              <w:pStyle w:val="12"/>
            </w:pPr>
            <w:r>
              <w:t>1</w:t>
            </w:r>
          </w:p>
        </w:tc>
        <w:tc>
          <w:tcPr>
            <w:tcW w:w="1191" w:type="dxa"/>
            <w:vAlign w:val="center"/>
          </w:tcPr>
          <w:p w14:paraId="7A541195">
            <w:pPr>
              <w:pStyle w:val="17"/>
            </w:pPr>
          </w:p>
        </w:tc>
        <w:tc>
          <w:tcPr>
            <w:tcW w:w="4535" w:type="dxa"/>
            <w:vAlign w:val="center"/>
          </w:tcPr>
          <w:p w14:paraId="696198BD">
            <w:pPr>
              <w:pStyle w:val="15"/>
            </w:pPr>
            <w:r>
              <w:t>合计</w:t>
            </w:r>
          </w:p>
        </w:tc>
        <w:tc>
          <w:tcPr>
            <w:tcW w:w="2551" w:type="dxa"/>
            <w:vAlign w:val="center"/>
          </w:tcPr>
          <w:p w14:paraId="4D1B5CE1">
            <w:pPr>
              <w:pStyle w:val="16"/>
            </w:pPr>
            <w:r>
              <w:t>189.77</w:t>
            </w:r>
          </w:p>
        </w:tc>
        <w:tc>
          <w:tcPr>
            <w:tcW w:w="2551" w:type="dxa"/>
            <w:vAlign w:val="center"/>
          </w:tcPr>
          <w:p w14:paraId="58669427">
            <w:pPr>
              <w:pStyle w:val="16"/>
            </w:pPr>
            <w:r>
              <w:t>42.10</w:t>
            </w:r>
          </w:p>
        </w:tc>
        <w:tc>
          <w:tcPr>
            <w:tcW w:w="2551" w:type="dxa"/>
            <w:vAlign w:val="center"/>
          </w:tcPr>
          <w:p w14:paraId="6B1A754E">
            <w:pPr>
              <w:pStyle w:val="16"/>
            </w:pPr>
            <w:r>
              <w:t>147.67</w:t>
            </w:r>
          </w:p>
        </w:tc>
      </w:tr>
      <w:tr w14:paraId="6C479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8554B">
            <w:pPr>
              <w:pStyle w:val="12"/>
            </w:pPr>
            <w:r>
              <w:t>2</w:t>
            </w:r>
          </w:p>
        </w:tc>
        <w:tc>
          <w:tcPr>
            <w:tcW w:w="1191" w:type="dxa"/>
            <w:vAlign w:val="center"/>
          </w:tcPr>
          <w:p w14:paraId="01BD926E">
            <w:pPr>
              <w:pStyle w:val="13"/>
            </w:pPr>
            <w:r>
              <w:t>205</w:t>
            </w:r>
          </w:p>
        </w:tc>
        <w:tc>
          <w:tcPr>
            <w:tcW w:w="4535" w:type="dxa"/>
            <w:vAlign w:val="center"/>
          </w:tcPr>
          <w:p w14:paraId="203294A0">
            <w:pPr>
              <w:pStyle w:val="13"/>
            </w:pPr>
            <w:r>
              <w:t>教育支出</w:t>
            </w:r>
          </w:p>
        </w:tc>
        <w:tc>
          <w:tcPr>
            <w:tcW w:w="2551" w:type="dxa"/>
            <w:vAlign w:val="center"/>
          </w:tcPr>
          <w:p w14:paraId="6A6E5FA3">
            <w:pPr>
              <w:pStyle w:val="14"/>
            </w:pPr>
            <w:r>
              <w:t>189.77</w:t>
            </w:r>
          </w:p>
        </w:tc>
        <w:tc>
          <w:tcPr>
            <w:tcW w:w="2551" w:type="dxa"/>
            <w:vAlign w:val="center"/>
          </w:tcPr>
          <w:p w14:paraId="1AE112DB">
            <w:pPr>
              <w:pStyle w:val="14"/>
            </w:pPr>
            <w:r>
              <w:t>42.10</w:t>
            </w:r>
          </w:p>
        </w:tc>
        <w:tc>
          <w:tcPr>
            <w:tcW w:w="2551" w:type="dxa"/>
            <w:vAlign w:val="center"/>
          </w:tcPr>
          <w:p w14:paraId="6C04F123">
            <w:pPr>
              <w:pStyle w:val="14"/>
            </w:pPr>
            <w:r>
              <w:t>147.67</w:t>
            </w:r>
          </w:p>
        </w:tc>
      </w:tr>
      <w:tr w14:paraId="29103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8F8D8">
            <w:pPr>
              <w:pStyle w:val="12"/>
            </w:pPr>
            <w:r>
              <w:t>3</w:t>
            </w:r>
          </w:p>
        </w:tc>
        <w:tc>
          <w:tcPr>
            <w:tcW w:w="1191" w:type="dxa"/>
            <w:vAlign w:val="center"/>
          </w:tcPr>
          <w:p w14:paraId="290A23B3">
            <w:pPr>
              <w:pStyle w:val="13"/>
            </w:pPr>
            <w:r>
              <w:t>20502</w:t>
            </w:r>
          </w:p>
        </w:tc>
        <w:tc>
          <w:tcPr>
            <w:tcW w:w="4535" w:type="dxa"/>
            <w:vAlign w:val="center"/>
          </w:tcPr>
          <w:p w14:paraId="43E5C20A">
            <w:pPr>
              <w:pStyle w:val="13"/>
            </w:pPr>
            <w:r>
              <w:t>普通教育</w:t>
            </w:r>
          </w:p>
        </w:tc>
        <w:tc>
          <w:tcPr>
            <w:tcW w:w="2551" w:type="dxa"/>
            <w:vAlign w:val="center"/>
          </w:tcPr>
          <w:p w14:paraId="01365513">
            <w:pPr>
              <w:pStyle w:val="14"/>
            </w:pPr>
            <w:r>
              <w:t>189.77</w:t>
            </w:r>
          </w:p>
        </w:tc>
        <w:tc>
          <w:tcPr>
            <w:tcW w:w="2551" w:type="dxa"/>
            <w:vAlign w:val="center"/>
          </w:tcPr>
          <w:p w14:paraId="6903E76A">
            <w:pPr>
              <w:pStyle w:val="14"/>
            </w:pPr>
            <w:r>
              <w:t>42.10</w:t>
            </w:r>
          </w:p>
        </w:tc>
        <w:tc>
          <w:tcPr>
            <w:tcW w:w="2551" w:type="dxa"/>
            <w:vAlign w:val="center"/>
          </w:tcPr>
          <w:p w14:paraId="1AE585CC">
            <w:pPr>
              <w:pStyle w:val="14"/>
            </w:pPr>
            <w:r>
              <w:t>147.67</w:t>
            </w:r>
          </w:p>
        </w:tc>
      </w:tr>
      <w:tr w14:paraId="77BB9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37735">
            <w:pPr>
              <w:pStyle w:val="12"/>
            </w:pPr>
            <w:r>
              <w:t>4</w:t>
            </w:r>
          </w:p>
        </w:tc>
        <w:tc>
          <w:tcPr>
            <w:tcW w:w="1191" w:type="dxa"/>
            <w:vAlign w:val="center"/>
          </w:tcPr>
          <w:p w14:paraId="44F8BD22">
            <w:pPr>
              <w:pStyle w:val="13"/>
            </w:pPr>
            <w:r>
              <w:t>2050201</w:t>
            </w:r>
          </w:p>
        </w:tc>
        <w:tc>
          <w:tcPr>
            <w:tcW w:w="4535" w:type="dxa"/>
            <w:vAlign w:val="center"/>
          </w:tcPr>
          <w:p w14:paraId="5EC6305D">
            <w:pPr>
              <w:pStyle w:val="13"/>
            </w:pPr>
            <w:r>
              <w:t>学前教育</w:t>
            </w:r>
          </w:p>
        </w:tc>
        <w:tc>
          <w:tcPr>
            <w:tcW w:w="2551" w:type="dxa"/>
            <w:vAlign w:val="center"/>
          </w:tcPr>
          <w:p w14:paraId="1DB3F319">
            <w:pPr>
              <w:pStyle w:val="14"/>
            </w:pPr>
            <w:r>
              <w:t>189.77</w:t>
            </w:r>
          </w:p>
        </w:tc>
        <w:tc>
          <w:tcPr>
            <w:tcW w:w="2551" w:type="dxa"/>
            <w:vAlign w:val="center"/>
          </w:tcPr>
          <w:p w14:paraId="1CE072E4">
            <w:pPr>
              <w:pStyle w:val="14"/>
            </w:pPr>
            <w:r>
              <w:t>42.10</w:t>
            </w:r>
          </w:p>
        </w:tc>
        <w:tc>
          <w:tcPr>
            <w:tcW w:w="2551" w:type="dxa"/>
            <w:vAlign w:val="center"/>
          </w:tcPr>
          <w:p w14:paraId="70DEC020">
            <w:pPr>
              <w:pStyle w:val="14"/>
            </w:pPr>
            <w:r>
              <w:t>147.67</w:t>
            </w:r>
          </w:p>
        </w:tc>
      </w:tr>
    </w:tbl>
    <w:p w14:paraId="7B1BC303">
      <w:pPr>
        <w:sectPr>
          <w:pgSz w:w="16840" w:h="11900" w:orient="landscape"/>
          <w:pgMar w:top="1361" w:right="1020" w:bottom="1134" w:left="1020" w:header="720" w:footer="720" w:gutter="0"/>
          <w:cols w:space="720" w:num="1"/>
        </w:sectPr>
      </w:pPr>
    </w:p>
    <w:p w14:paraId="4418E5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DB9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7E9846">
            <w:pPr>
              <w:pStyle w:val="8"/>
            </w:pPr>
            <w:r>
              <w:t>360035隆尧县唐尧街幼儿园</w:t>
            </w:r>
          </w:p>
        </w:tc>
        <w:tc>
          <w:tcPr>
            <w:tcW w:w="2551" w:type="dxa"/>
            <w:tcBorders>
              <w:top w:val="single" w:color="FFFFFF" w:sz="6" w:space="0"/>
              <w:left w:val="single" w:color="FFFFFF" w:sz="6" w:space="0"/>
              <w:right w:val="single" w:color="FFFFFF" w:sz="6" w:space="0"/>
            </w:tcBorders>
            <w:vAlign w:val="center"/>
          </w:tcPr>
          <w:p w14:paraId="603024E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8EF880F">
            <w:pPr>
              <w:pStyle w:val="10"/>
            </w:pPr>
            <w:r>
              <w:t>单位：万元</w:t>
            </w:r>
          </w:p>
        </w:tc>
      </w:tr>
      <w:tr w14:paraId="3F500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61082">
            <w:pPr>
              <w:pStyle w:val="11"/>
            </w:pPr>
            <w:r>
              <w:t>序号</w:t>
            </w:r>
          </w:p>
        </w:tc>
        <w:tc>
          <w:tcPr>
            <w:tcW w:w="5726" w:type="dxa"/>
            <w:gridSpan w:val="2"/>
            <w:vAlign w:val="center"/>
          </w:tcPr>
          <w:p w14:paraId="4E98AC3D">
            <w:pPr>
              <w:pStyle w:val="11"/>
            </w:pPr>
            <w:r>
              <w:t>支出部门经济分类科目</w:t>
            </w:r>
          </w:p>
        </w:tc>
        <w:tc>
          <w:tcPr>
            <w:tcW w:w="7653" w:type="dxa"/>
            <w:gridSpan w:val="3"/>
            <w:vAlign w:val="center"/>
          </w:tcPr>
          <w:p w14:paraId="00219735">
            <w:pPr>
              <w:pStyle w:val="11"/>
            </w:pPr>
            <w:r>
              <w:t>一般公共预算基本支出</w:t>
            </w:r>
          </w:p>
        </w:tc>
      </w:tr>
      <w:tr w14:paraId="25D67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39F49"/>
        </w:tc>
        <w:tc>
          <w:tcPr>
            <w:tcW w:w="1191" w:type="dxa"/>
            <w:vAlign w:val="center"/>
          </w:tcPr>
          <w:p w14:paraId="51BA3B4B">
            <w:pPr>
              <w:pStyle w:val="11"/>
            </w:pPr>
            <w:r>
              <w:t>科目编码</w:t>
            </w:r>
          </w:p>
        </w:tc>
        <w:tc>
          <w:tcPr>
            <w:tcW w:w="4535" w:type="dxa"/>
            <w:vAlign w:val="center"/>
          </w:tcPr>
          <w:p w14:paraId="41BFB3C9">
            <w:pPr>
              <w:pStyle w:val="11"/>
            </w:pPr>
            <w:r>
              <w:t>科目名称</w:t>
            </w:r>
          </w:p>
        </w:tc>
        <w:tc>
          <w:tcPr>
            <w:tcW w:w="2551" w:type="dxa"/>
            <w:vAlign w:val="center"/>
          </w:tcPr>
          <w:p w14:paraId="2A6FDF82">
            <w:pPr>
              <w:pStyle w:val="11"/>
            </w:pPr>
            <w:r>
              <w:t>合计</w:t>
            </w:r>
          </w:p>
        </w:tc>
        <w:tc>
          <w:tcPr>
            <w:tcW w:w="2551" w:type="dxa"/>
            <w:vAlign w:val="center"/>
          </w:tcPr>
          <w:p w14:paraId="66FE11FC">
            <w:pPr>
              <w:pStyle w:val="11"/>
            </w:pPr>
            <w:r>
              <w:t>人员经费</w:t>
            </w:r>
          </w:p>
        </w:tc>
        <w:tc>
          <w:tcPr>
            <w:tcW w:w="2551" w:type="dxa"/>
            <w:vAlign w:val="center"/>
          </w:tcPr>
          <w:p w14:paraId="6DF694C8">
            <w:pPr>
              <w:pStyle w:val="11"/>
            </w:pPr>
            <w:r>
              <w:t>公用经费</w:t>
            </w:r>
          </w:p>
        </w:tc>
      </w:tr>
      <w:tr w14:paraId="0177A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2F85A5">
            <w:pPr>
              <w:pStyle w:val="11"/>
            </w:pPr>
            <w:r>
              <w:t>栏次</w:t>
            </w:r>
          </w:p>
        </w:tc>
        <w:tc>
          <w:tcPr>
            <w:tcW w:w="1191" w:type="dxa"/>
            <w:vAlign w:val="center"/>
          </w:tcPr>
          <w:p w14:paraId="44768CC1">
            <w:pPr>
              <w:pStyle w:val="11"/>
            </w:pPr>
            <w:r>
              <w:t>1</w:t>
            </w:r>
          </w:p>
        </w:tc>
        <w:tc>
          <w:tcPr>
            <w:tcW w:w="4535" w:type="dxa"/>
            <w:vAlign w:val="center"/>
          </w:tcPr>
          <w:p w14:paraId="33EC69B9">
            <w:pPr>
              <w:pStyle w:val="11"/>
            </w:pPr>
            <w:r>
              <w:t>2</w:t>
            </w:r>
          </w:p>
        </w:tc>
        <w:tc>
          <w:tcPr>
            <w:tcW w:w="2551" w:type="dxa"/>
            <w:vAlign w:val="center"/>
          </w:tcPr>
          <w:p w14:paraId="678A68AE">
            <w:pPr>
              <w:pStyle w:val="11"/>
            </w:pPr>
            <w:r>
              <w:t>3</w:t>
            </w:r>
          </w:p>
        </w:tc>
        <w:tc>
          <w:tcPr>
            <w:tcW w:w="2551" w:type="dxa"/>
            <w:vAlign w:val="center"/>
          </w:tcPr>
          <w:p w14:paraId="0851DAB7">
            <w:pPr>
              <w:pStyle w:val="11"/>
            </w:pPr>
            <w:r>
              <w:t>4</w:t>
            </w:r>
          </w:p>
        </w:tc>
        <w:tc>
          <w:tcPr>
            <w:tcW w:w="2551" w:type="dxa"/>
            <w:vAlign w:val="center"/>
          </w:tcPr>
          <w:p w14:paraId="7117D989">
            <w:pPr>
              <w:pStyle w:val="11"/>
            </w:pPr>
            <w:r>
              <w:t>5</w:t>
            </w:r>
          </w:p>
        </w:tc>
      </w:tr>
      <w:tr w14:paraId="1F6BD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A3D14">
            <w:pPr>
              <w:pStyle w:val="12"/>
            </w:pPr>
            <w:r>
              <w:t>1</w:t>
            </w:r>
          </w:p>
        </w:tc>
        <w:tc>
          <w:tcPr>
            <w:tcW w:w="1191" w:type="dxa"/>
            <w:vAlign w:val="center"/>
          </w:tcPr>
          <w:p w14:paraId="5B9FDF30">
            <w:pPr>
              <w:pStyle w:val="17"/>
            </w:pPr>
          </w:p>
        </w:tc>
        <w:tc>
          <w:tcPr>
            <w:tcW w:w="4535" w:type="dxa"/>
            <w:vAlign w:val="center"/>
          </w:tcPr>
          <w:p w14:paraId="216468A2">
            <w:pPr>
              <w:pStyle w:val="15"/>
            </w:pPr>
            <w:r>
              <w:t>合计</w:t>
            </w:r>
          </w:p>
        </w:tc>
        <w:tc>
          <w:tcPr>
            <w:tcW w:w="2551" w:type="dxa"/>
            <w:vAlign w:val="center"/>
          </w:tcPr>
          <w:p w14:paraId="50D05C6D">
            <w:pPr>
              <w:pStyle w:val="16"/>
            </w:pPr>
            <w:r>
              <w:t>42.10</w:t>
            </w:r>
          </w:p>
        </w:tc>
        <w:tc>
          <w:tcPr>
            <w:tcW w:w="2551" w:type="dxa"/>
            <w:vAlign w:val="center"/>
          </w:tcPr>
          <w:p w14:paraId="02647DE0">
            <w:pPr>
              <w:pStyle w:val="16"/>
            </w:pPr>
            <w:r>
              <w:t>42.10</w:t>
            </w:r>
          </w:p>
        </w:tc>
        <w:tc>
          <w:tcPr>
            <w:tcW w:w="2551" w:type="dxa"/>
            <w:vAlign w:val="center"/>
          </w:tcPr>
          <w:p w14:paraId="753BFEFE">
            <w:pPr>
              <w:pStyle w:val="16"/>
            </w:pPr>
          </w:p>
        </w:tc>
      </w:tr>
      <w:tr w14:paraId="4DF05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BFBF0">
            <w:pPr>
              <w:pStyle w:val="12"/>
            </w:pPr>
            <w:r>
              <w:t>2</w:t>
            </w:r>
          </w:p>
        </w:tc>
        <w:tc>
          <w:tcPr>
            <w:tcW w:w="1191" w:type="dxa"/>
            <w:vAlign w:val="center"/>
          </w:tcPr>
          <w:p w14:paraId="37B7AC18">
            <w:pPr>
              <w:pStyle w:val="13"/>
            </w:pPr>
            <w:r>
              <w:t>301</w:t>
            </w:r>
          </w:p>
        </w:tc>
        <w:tc>
          <w:tcPr>
            <w:tcW w:w="4535" w:type="dxa"/>
            <w:vAlign w:val="center"/>
          </w:tcPr>
          <w:p w14:paraId="260473A9">
            <w:pPr>
              <w:pStyle w:val="13"/>
            </w:pPr>
            <w:r>
              <w:t>工资福利支出</w:t>
            </w:r>
          </w:p>
        </w:tc>
        <w:tc>
          <w:tcPr>
            <w:tcW w:w="2551" w:type="dxa"/>
            <w:vAlign w:val="center"/>
          </w:tcPr>
          <w:p w14:paraId="5FB32A10">
            <w:pPr>
              <w:pStyle w:val="14"/>
            </w:pPr>
            <w:r>
              <w:t>42.10</w:t>
            </w:r>
          </w:p>
        </w:tc>
        <w:tc>
          <w:tcPr>
            <w:tcW w:w="2551" w:type="dxa"/>
            <w:vAlign w:val="center"/>
          </w:tcPr>
          <w:p w14:paraId="454851C8">
            <w:pPr>
              <w:pStyle w:val="14"/>
            </w:pPr>
            <w:r>
              <w:t>42.10</w:t>
            </w:r>
          </w:p>
        </w:tc>
        <w:tc>
          <w:tcPr>
            <w:tcW w:w="2551" w:type="dxa"/>
            <w:vAlign w:val="center"/>
          </w:tcPr>
          <w:p w14:paraId="32322A90">
            <w:pPr>
              <w:pStyle w:val="14"/>
            </w:pPr>
          </w:p>
        </w:tc>
      </w:tr>
      <w:tr w14:paraId="16DB2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5CB18">
            <w:pPr>
              <w:pStyle w:val="12"/>
            </w:pPr>
            <w:r>
              <w:t>3</w:t>
            </w:r>
          </w:p>
        </w:tc>
        <w:tc>
          <w:tcPr>
            <w:tcW w:w="1191" w:type="dxa"/>
            <w:vAlign w:val="center"/>
          </w:tcPr>
          <w:p w14:paraId="2A8BF976">
            <w:pPr>
              <w:pStyle w:val="13"/>
            </w:pPr>
            <w:r>
              <w:t>30101</w:t>
            </w:r>
          </w:p>
        </w:tc>
        <w:tc>
          <w:tcPr>
            <w:tcW w:w="4535" w:type="dxa"/>
            <w:vAlign w:val="center"/>
          </w:tcPr>
          <w:p w14:paraId="3B4EC4D7">
            <w:pPr>
              <w:pStyle w:val="13"/>
            </w:pPr>
            <w:r>
              <w:t>基本工资</w:t>
            </w:r>
          </w:p>
        </w:tc>
        <w:tc>
          <w:tcPr>
            <w:tcW w:w="2551" w:type="dxa"/>
            <w:vAlign w:val="center"/>
          </w:tcPr>
          <w:p w14:paraId="3EECDC88">
            <w:pPr>
              <w:pStyle w:val="14"/>
            </w:pPr>
            <w:r>
              <w:t>21.71</w:t>
            </w:r>
          </w:p>
        </w:tc>
        <w:tc>
          <w:tcPr>
            <w:tcW w:w="2551" w:type="dxa"/>
            <w:vAlign w:val="center"/>
          </w:tcPr>
          <w:p w14:paraId="12693C9B">
            <w:pPr>
              <w:pStyle w:val="14"/>
            </w:pPr>
            <w:r>
              <w:t>21.71</w:t>
            </w:r>
          </w:p>
        </w:tc>
        <w:tc>
          <w:tcPr>
            <w:tcW w:w="2551" w:type="dxa"/>
            <w:vAlign w:val="center"/>
          </w:tcPr>
          <w:p w14:paraId="0D5B714C">
            <w:pPr>
              <w:pStyle w:val="14"/>
            </w:pPr>
          </w:p>
        </w:tc>
      </w:tr>
      <w:tr w14:paraId="2CF36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B8124">
            <w:pPr>
              <w:pStyle w:val="12"/>
            </w:pPr>
            <w:r>
              <w:t>4</w:t>
            </w:r>
          </w:p>
        </w:tc>
        <w:tc>
          <w:tcPr>
            <w:tcW w:w="1191" w:type="dxa"/>
            <w:vAlign w:val="center"/>
          </w:tcPr>
          <w:p w14:paraId="730CBA49">
            <w:pPr>
              <w:pStyle w:val="13"/>
            </w:pPr>
            <w:r>
              <w:t>30102</w:t>
            </w:r>
          </w:p>
        </w:tc>
        <w:tc>
          <w:tcPr>
            <w:tcW w:w="4535" w:type="dxa"/>
            <w:vAlign w:val="center"/>
          </w:tcPr>
          <w:p w14:paraId="4E7954F5">
            <w:pPr>
              <w:pStyle w:val="13"/>
            </w:pPr>
            <w:r>
              <w:t>津贴补贴</w:t>
            </w:r>
          </w:p>
        </w:tc>
        <w:tc>
          <w:tcPr>
            <w:tcW w:w="2551" w:type="dxa"/>
            <w:vAlign w:val="center"/>
          </w:tcPr>
          <w:p w14:paraId="1EE7CF3D">
            <w:pPr>
              <w:pStyle w:val="14"/>
            </w:pPr>
            <w:r>
              <w:t>0.72</w:t>
            </w:r>
          </w:p>
        </w:tc>
        <w:tc>
          <w:tcPr>
            <w:tcW w:w="2551" w:type="dxa"/>
            <w:vAlign w:val="center"/>
          </w:tcPr>
          <w:p w14:paraId="706FD032">
            <w:pPr>
              <w:pStyle w:val="14"/>
            </w:pPr>
            <w:r>
              <w:t>0.72</w:t>
            </w:r>
          </w:p>
        </w:tc>
        <w:tc>
          <w:tcPr>
            <w:tcW w:w="2551" w:type="dxa"/>
            <w:vAlign w:val="center"/>
          </w:tcPr>
          <w:p w14:paraId="694ACE75">
            <w:pPr>
              <w:pStyle w:val="14"/>
            </w:pPr>
          </w:p>
        </w:tc>
      </w:tr>
      <w:tr w14:paraId="574F8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9F17A">
            <w:pPr>
              <w:pStyle w:val="12"/>
            </w:pPr>
            <w:r>
              <w:t>5</w:t>
            </w:r>
          </w:p>
        </w:tc>
        <w:tc>
          <w:tcPr>
            <w:tcW w:w="1191" w:type="dxa"/>
            <w:vAlign w:val="center"/>
          </w:tcPr>
          <w:p w14:paraId="64AD3FD3">
            <w:pPr>
              <w:pStyle w:val="13"/>
            </w:pPr>
            <w:r>
              <w:t>30107</w:t>
            </w:r>
          </w:p>
        </w:tc>
        <w:tc>
          <w:tcPr>
            <w:tcW w:w="4535" w:type="dxa"/>
            <w:vAlign w:val="center"/>
          </w:tcPr>
          <w:p w14:paraId="5145538E">
            <w:pPr>
              <w:pStyle w:val="13"/>
            </w:pPr>
            <w:r>
              <w:t>绩效工资</w:t>
            </w:r>
          </w:p>
        </w:tc>
        <w:tc>
          <w:tcPr>
            <w:tcW w:w="2551" w:type="dxa"/>
            <w:vAlign w:val="center"/>
          </w:tcPr>
          <w:p w14:paraId="1B6FD514">
            <w:pPr>
              <w:pStyle w:val="14"/>
            </w:pPr>
            <w:r>
              <w:t>10.29</w:t>
            </w:r>
          </w:p>
        </w:tc>
        <w:tc>
          <w:tcPr>
            <w:tcW w:w="2551" w:type="dxa"/>
            <w:vAlign w:val="center"/>
          </w:tcPr>
          <w:p w14:paraId="75774B77">
            <w:pPr>
              <w:pStyle w:val="14"/>
            </w:pPr>
            <w:r>
              <w:t>10.29</w:t>
            </w:r>
          </w:p>
        </w:tc>
        <w:tc>
          <w:tcPr>
            <w:tcW w:w="2551" w:type="dxa"/>
            <w:vAlign w:val="center"/>
          </w:tcPr>
          <w:p w14:paraId="18958481">
            <w:pPr>
              <w:pStyle w:val="14"/>
            </w:pPr>
          </w:p>
        </w:tc>
      </w:tr>
      <w:tr w14:paraId="0EF8C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86437">
            <w:pPr>
              <w:pStyle w:val="12"/>
            </w:pPr>
            <w:r>
              <w:t>6</w:t>
            </w:r>
          </w:p>
        </w:tc>
        <w:tc>
          <w:tcPr>
            <w:tcW w:w="1191" w:type="dxa"/>
            <w:vAlign w:val="center"/>
          </w:tcPr>
          <w:p w14:paraId="7089D39C">
            <w:pPr>
              <w:pStyle w:val="13"/>
            </w:pPr>
            <w:r>
              <w:t>30108</w:t>
            </w:r>
          </w:p>
        </w:tc>
        <w:tc>
          <w:tcPr>
            <w:tcW w:w="4535" w:type="dxa"/>
            <w:vAlign w:val="center"/>
          </w:tcPr>
          <w:p w14:paraId="5F057AA2">
            <w:pPr>
              <w:pStyle w:val="13"/>
            </w:pPr>
            <w:r>
              <w:t>机关事业单位基本养老保险缴费</w:t>
            </w:r>
          </w:p>
        </w:tc>
        <w:tc>
          <w:tcPr>
            <w:tcW w:w="2551" w:type="dxa"/>
            <w:vAlign w:val="center"/>
          </w:tcPr>
          <w:p w14:paraId="2F898B83">
            <w:pPr>
              <w:pStyle w:val="14"/>
            </w:pPr>
            <w:r>
              <w:t>4.08</w:t>
            </w:r>
          </w:p>
        </w:tc>
        <w:tc>
          <w:tcPr>
            <w:tcW w:w="2551" w:type="dxa"/>
            <w:vAlign w:val="center"/>
          </w:tcPr>
          <w:p w14:paraId="74554617">
            <w:pPr>
              <w:pStyle w:val="14"/>
            </w:pPr>
            <w:r>
              <w:t>4.08</w:t>
            </w:r>
          </w:p>
        </w:tc>
        <w:tc>
          <w:tcPr>
            <w:tcW w:w="2551" w:type="dxa"/>
            <w:vAlign w:val="center"/>
          </w:tcPr>
          <w:p w14:paraId="71D62833">
            <w:pPr>
              <w:pStyle w:val="14"/>
            </w:pPr>
          </w:p>
        </w:tc>
      </w:tr>
      <w:tr w14:paraId="123F5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5C7AA">
            <w:pPr>
              <w:pStyle w:val="12"/>
            </w:pPr>
            <w:r>
              <w:t>7</w:t>
            </w:r>
          </w:p>
        </w:tc>
        <w:tc>
          <w:tcPr>
            <w:tcW w:w="1191" w:type="dxa"/>
            <w:vAlign w:val="center"/>
          </w:tcPr>
          <w:p w14:paraId="7B6A989F">
            <w:pPr>
              <w:pStyle w:val="13"/>
            </w:pPr>
            <w:r>
              <w:t>30110</w:t>
            </w:r>
          </w:p>
        </w:tc>
        <w:tc>
          <w:tcPr>
            <w:tcW w:w="4535" w:type="dxa"/>
            <w:vAlign w:val="center"/>
          </w:tcPr>
          <w:p w14:paraId="030EA4A3">
            <w:pPr>
              <w:pStyle w:val="13"/>
            </w:pPr>
            <w:r>
              <w:t>职工基本医疗保险缴费</w:t>
            </w:r>
          </w:p>
        </w:tc>
        <w:tc>
          <w:tcPr>
            <w:tcW w:w="2551" w:type="dxa"/>
            <w:vAlign w:val="center"/>
          </w:tcPr>
          <w:p w14:paraId="6B7751A4">
            <w:pPr>
              <w:pStyle w:val="14"/>
            </w:pPr>
            <w:r>
              <w:t>1.93</w:t>
            </w:r>
          </w:p>
        </w:tc>
        <w:tc>
          <w:tcPr>
            <w:tcW w:w="2551" w:type="dxa"/>
            <w:vAlign w:val="center"/>
          </w:tcPr>
          <w:p w14:paraId="7AC3F5D4">
            <w:pPr>
              <w:pStyle w:val="14"/>
            </w:pPr>
            <w:r>
              <w:t>1.93</w:t>
            </w:r>
          </w:p>
        </w:tc>
        <w:tc>
          <w:tcPr>
            <w:tcW w:w="2551" w:type="dxa"/>
            <w:vAlign w:val="center"/>
          </w:tcPr>
          <w:p w14:paraId="5EA816B1">
            <w:pPr>
              <w:pStyle w:val="14"/>
            </w:pPr>
          </w:p>
        </w:tc>
      </w:tr>
      <w:tr w14:paraId="7657D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F0C23">
            <w:pPr>
              <w:pStyle w:val="12"/>
            </w:pPr>
            <w:r>
              <w:t>8</w:t>
            </w:r>
          </w:p>
        </w:tc>
        <w:tc>
          <w:tcPr>
            <w:tcW w:w="1191" w:type="dxa"/>
            <w:vAlign w:val="center"/>
          </w:tcPr>
          <w:p w14:paraId="264B3DA2">
            <w:pPr>
              <w:pStyle w:val="13"/>
            </w:pPr>
            <w:r>
              <w:t>30112</w:t>
            </w:r>
          </w:p>
        </w:tc>
        <w:tc>
          <w:tcPr>
            <w:tcW w:w="4535" w:type="dxa"/>
            <w:vAlign w:val="center"/>
          </w:tcPr>
          <w:p w14:paraId="119F16E0">
            <w:pPr>
              <w:pStyle w:val="13"/>
            </w:pPr>
            <w:r>
              <w:t>其他社会保障缴费</w:t>
            </w:r>
          </w:p>
        </w:tc>
        <w:tc>
          <w:tcPr>
            <w:tcW w:w="2551" w:type="dxa"/>
            <w:vAlign w:val="center"/>
          </w:tcPr>
          <w:p w14:paraId="3476B5BF">
            <w:pPr>
              <w:pStyle w:val="14"/>
            </w:pPr>
            <w:r>
              <w:t>0.14</w:t>
            </w:r>
          </w:p>
        </w:tc>
        <w:tc>
          <w:tcPr>
            <w:tcW w:w="2551" w:type="dxa"/>
            <w:vAlign w:val="center"/>
          </w:tcPr>
          <w:p w14:paraId="1436C51D">
            <w:pPr>
              <w:pStyle w:val="14"/>
            </w:pPr>
            <w:r>
              <w:t>0.14</w:t>
            </w:r>
          </w:p>
        </w:tc>
        <w:tc>
          <w:tcPr>
            <w:tcW w:w="2551" w:type="dxa"/>
            <w:vAlign w:val="center"/>
          </w:tcPr>
          <w:p w14:paraId="428B9782">
            <w:pPr>
              <w:pStyle w:val="14"/>
            </w:pPr>
          </w:p>
        </w:tc>
      </w:tr>
      <w:tr w14:paraId="669E6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1C257">
            <w:pPr>
              <w:pStyle w:val="12"/>
            </w:pPr>
            <w:r>
              <w:t>9</w:t>
            </w:r>
          </w:p>
        </w:tc>
        <w:tc>
          <w:tcPr>
            <w:tcW w:w="1191" w:type="dxa"/>
            <w:vAlign w:val="center"/>
          </w:tcPr>
          <w:p w14:paraId="4BF1C145">
            <w:pPr>
              <w:pStyle w:val="13"/>
            </w:pPr>
            <w:r>
              <w:t>30113</w:t>
            </w:r>
          </w:p>
        </w:tc>
        <w:tc>
          <w:tcPr>
            <w:tcW w:w="4535" w:type="dxa"/>
            <w:vAlign w:val="center"/>
          </w:tcPr>
          <w:p w14:paraId="4A00F3BE">
            <w:pPr>
              <w:pStyle w:val="13"/>
            </w:pPr>
            <w:r>
              <w:t>住房公积金</w:t>
            </w:r>
          </w:p>
        </w:tc>
        <w:tc>
          <w:tcPr>
            <w:tcW w:w="2551" w:type="dxa"/>
            <w:vAlign w:val="center"/>
          </w:tcPr>
          <w:p w14:paraId="6BEACCD4">
            <w:pPr>
              <w:pStyle w:val="14"/>
            </w:pPr>
            <w:r>
              <w:t>3.22</w:t>
            </w:r>
          </w:p>
        </w:tc>
        <w:tc>
          <w:tcPr>
            <w:tcW w:w="2551" w:type="dxa"/>
            <w:vAlign w:val="center"/>
          </w:tcPr>
          <w:p w14:paraId="7CA679E6">
            <w:pPr>
              <w:pStyle w:val="14"/>
            </w:pPr>
            <w:r>
              <w:t>3.22</w:t>
            </w:r>
          </w:p>
        </w:tc>
        <w:tc>
          <w:tcPr>
            <w:tcW w:w="2551" w:type="dxa"/>
            <w:vAlign w:val="center"/>
          </w:tcPr>
          <w:p w14:paraId="6A5C8983">
            <w:pPr>
              <w:pStyle w:val="14"/>
            </w:pPr>
          </w:p>
        </w:tc>
      </w:tr>
    </w:tbl>
    <w:p w14:paraId="6D71566A">
      <w:pPr>
        <w:sectPr>
          <w:pgSz w:w="16840" w:h="11900" w:orient="landscape"/>
          <w:pgMar w:top="1361" w:right="1020" w:bottom="1134" w:left="1020" w:header="720" w:footer="720" w:gutter="0"/>
          <w:cols w:space="720" w:num="1"/>
        </w:sectPr>
      </w:pPr>
    </w:p>
    <w:p w14:paraId="71A6BF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626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5889CA">
            <w:pPr>
              <w:pStyle w:val="8"/>
            </w:pPr>
            <w:r>
              <w:t>360035隆尧县唐尧街幼儿园</w:t>
            </w:r>
          </w:p>
        </w:tc>
        <w:tc>
          <w:tcPr>
            <w:tcW w:w="2551" w:type="dxa"/>
            <w:tcBorders>
              <w:top w:val="single" w:color="FFFFFF" w:sz="6" w:space="0"/>
              <w:left w:val="single" w:color="FFFFFF" w:sz="6" w:space="0"/>
              <w:right w:val="single" w:color="FFFFFF" w:sz="6" w:space="0"/>
            </w:tcBorders>
            <w:vAlign w:val="center"/>
          </w:tcPr>
          <w:p w14:paraId="1417A53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E1E9F5A">
            <w:pPr>
              <w:pStyle w:val="10"/>
            </w:pPr>
            <w:r>
              <w:t>单位：万元</w:t>
            </w:r>
          </w:p>
        </w:tc>
      </w:tr>
      <w:tr w14:paraId="430BA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0BCC4">
            <w:pPr>
              <w:pStyle w:val="11"/>
            </w:pPr>
            <w:r>
              <w:t>序号</w:t>
            </w:r>
          </w:p>
        </w:tc>
        <w:tc>
          <w:tcPr>
            <w:tcW w:w="5726" w:type="dxa"/>
            <w:gridSpan w:val="2"/>
            <w:vAlign w:val="center"/>
          </w:tcPr>
          <w:p w14:paraId="4B7845CE">
            <w:pPr>
              <w:pStyle w:val="11"/>
            </w:pPr>
            <w:r>
              <w:t>功能分类科目</w:t>
            </w:r>
          </w:p>
        </w:tc>
        <w:tc>
          <w:tcPr>
            <w:tcW w:w="2551" w:type="dxa"/>
            <w:vMerge w:val="restart"/>
            <w:vAlign w:val="center"/>
          </w:tcPr>
          <w:p w14:paraId="42CE1D86">
            <w:pPr>
              <w:pStyle w:val="11"/>
            </w:pPr>
            <w:r>
              <w:t>合计</w:t>
            </w:r>
          </w:p>
        </w:tc>
        <w:tc>
          <w:tcPr>
            <w:tcW w:w="2551" w:type="dxa"/>
            <w:vMerge w:val="restart"/>
            <w:vAlign w:val="center"/>
          </w:tcPr>
          <w:p w14:paraId="28988348">
            <w:pPr>
              <w:pStyle w:val="11"/>
            </w:pPr>
            <w:r>
              <w:t>基本支出</w:t>
            </w:r>
          </w:p>
        </w:tc>
        <w:tc>
          <w:tcPr>
            <w:tcW w:w="2551" w:type="dxa"/>
            <w:vMerge w:val="restart"/>
            <w:vAlign w:val="center"/>
          </w:tcPr>
          <w:p w14:paraId="6036D42D">
            <w:pPr>
              <w:pStyle w:val="11"/>
            </w:pPr>
            <w:r>
              <w:t>项目支出</w:t>
            </w:r>
          </w:p>
        </w:tc>
      </w:tr>
      <w:tr w14:paraId="43D83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078E02"/>
        </w:tc>
        <w:tc>
          <w:tcPr>
            <w:tcW w:w="1191" w:type="dxa"/>
            <w:vAlign w:val="center"/>
          </w:tcPr>
          <w:p w14:paraId="4F138E24">
            <w:pPr>
              <w:pStyle w:val="11"/>
            </w:pPr>
            <w:r>
              <w:t>科目编码</w:t>
            </w:r>
          </w:p>
        </w:tc>
        <w:tc>
          <w:tcPr>
            <w:tcW w:w="4535" w:type="dxa"/>
            <w:vAlign w:val="center"/>
          </w:tcPr>
          <w:p w14:paraId="480498D9">
            <w:pPr>
              <w:pStyle w:val="11"/>
            </w:pPr>
            <w:r>
              <w:t>科目名称</w:t>
            </w:r>
          </w:p>
        </w:tc>
        <w:tc>
          <w:tcPr>
            <w:tcW w:w="2551" w:type="dxa"/>
            <w:vMerge w:val="continue"/>
          </w:tcPr>
          <w:p w14:paraId="095FF609"/>
        </w:tc>
        <w:tc>
          <w:tcPr>
            <w:tcW w:w="2551" w:type="dxa"/>
            <w:vMerge w:val="continue"/>
          </w:tcPr>
          <w:p w14:paraId="7BCF64CF"/>
        </w:tc>
        <w:tc>
          <w:tcPr>
            <w:tcW w:w="2551" w:type="dxa"/>
            <w:vMerge w:val="continue"/>
          </w:tcPr>
          <w:p w14:paraId="26492C23"/>
        </w:tc>
      </w:tr>
      <w:tr w14:paraId="1607C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A75DF3">
            <w:pPr>
              <w:pStyle w:val="11"/>
            </w:pPr>
            <w:r>
              <w:t>栏次</w:t>
            </w:r>
          </w:p>
        </w:tc>
        <w:tc>
          <w:tcPr>
            <w:tcW w:w="1191" w:type="dxa"/>
            <w:vAlign w:val="center"/>
          </w:tcPr>
          <w:p w14:paraId="0041D232">
            <w:pPr>
              <w:pStyle w:val="11"/>
            </w:pPr>
            <w:r>
              <w:t>1</w:t>
            </w:r>
          </w:p>
        </w:tc>
        <w:tc>
          <w:tcPr>
            <w:tcW w:w="4535" w:type="dxa"/>
            <w:vAlign w:val="center"/>
          </w:tcPr>
          <w:p w14:paraId="12AB0E5F">
            <w:pPr>
              <w:pStyle w:val="11"/>
            </w:pPr>
            <w:r>
              <w:t>2</w:t>
            </w:r>
          </w:p>
        </w:tc>
        <w:tc>
          <w:tcPr>
            <w:tcW w:w="2551" w:type="dxa"/>
            <w:vAlign w:val="center"/>
          </w:tcPr>
          <w:p w14:paraId="712D9318">
            <w:pPr>
              <w:pStyle w:val="11"/>
            </w:pPr>
            <w:r>
              <w:t>3</w:t>
            </w:r>
          </w:p>
        </w:tc>
        <w:tc>
          <w:tcPr>
            <w:tcW w:w="2551" w:type="dxa"/>
            <w:vAlign w:val="center"/>
          </w:tcPr>
          <w:p w14:paraId="0FA393DF">
            <w:pPr>
              <w:pStyle w:val="11"/>
            </w:pPr>
            <w:r>
              <w:t>4</w:t>
            </w:r>
          </w:p>
        </w:tc>
        <w:tc>
          <w:tcPr>
            <w:tcW w:w="2551" w:type="dxa"/>
            <w:vAlign w:val="center"/>
          </w:tcPr>
          <w:p w14:paraId="2ADC8619">
            <w:pPr>
              <w:pStyle w:val="11"/>
            </w:pPr>
            <w:r>
              <w:t>5</w:t>
            </w:r>
          </w:p>
        </w:tc>
      </w:tr>
      <w:tr w14:paraId="7FE1B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2AB2C">
            <w:pPr>
              <w:pStyle w:val="12"/>
            </w:pPr>
          </w:p>
        </w:tc>
        <w:tc>
          <w:tcPr>
            <w:tcW w:w="1191" w:type="dxa"/>
            <w:vAlign w:val="center"/>
          </w:tcPr>
          <w:p w14:paraId="73331772">
            <w:pPr>
              <w:pStyle w:val="13"/>
            </w:pPr>
          </w:p>
        </w:tc>
        <w:tc>
          <w:tcPr>
            <w:tcW w:w="4535" w:type="dxa"/>
            <w:vAlign w:val="center"/>
          </w:tcPr>
          <w:p w14:paraId="1823A16D">
            <w:pPr>
              <w:pStyle w:val="13"/>
            </w:pPr>
          </w:p>
        </w:tc>
        <w:tc>
          <w:tcPr>
            <w:tcW w:w="2551" w:type="dxa"/>
            <w:vAlign w:val="center"/>
          </w:tcPr>
          <w:p w14:paraId="5EE5327B">
            <w:pPr>
              <w:pStyle w:val="14"/>
            </w:pPr>
          </w:p>
        </w:tc>
        <w:tc>
          <w:tcPr>
            <w:tcW w:w="2551" w:type="dxa"/>
            <w:vAlign w:val="center"/>
          </w:tcPr>
          <w:p w14:paraId="7C896287">
            <w:pPr>
              <w:pStyle w:val="14"/>
            </w:pPr>
          </w:p>
        </w:tc>
        <w:tc>
          <w:tcPr>
            <w:tcW w:w="2551" w:type="dxa"/>
            <w:vAlign w:val="center"/>
          </w:tcPr>
          <w:p w14:paraId="6822EE2C">
            <w:pPr>
              <w:pStyle w:val="14"/>
            </w:pPr>
          </w:p>
        </w:tc>
      </w:tr>
    </w:tbl>
    <w:p w14:paraId="0CAAAB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7ACF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BE2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0317CA">
            <w:pPr>
              <w:pStyle w:val="8"/>
            </w:pPr>
            <w:r>
              <w:t>360035隆尧县唐尧街幼儿园</w:t>
            </w:r>
          </w:p>
        </w:tc>
        <w:tc>
          <w:tcPr>
            <w:tcW w:w="2551" w:type="dxa"/>
            <w:tcBorders>
              <w:top w:val="single" w:color="FFFFFF" w:sz="6" w:space="0"/>
              <w:left w:val="single" w:color="FFFFFF" w:sz="6" w:space="0"/>
              <w:right w:val="single" w:color="FFFFFF" w:sz="6" w:space="0"/>
            </w:tcBorders>
            <w:vAlign w:val="center"/>
          </w:tcPr>
          <w:p w14:paraId="6D58AF5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4E0F15F">
            <w:pPr>
              <w:pStyle w:val="10"/>
            </w:pPr>
            <w:r>
              <w:t>单位：万元</w:t>
            </w:r>
          </w:p>
        </w:tc>
      </w:tr>
      <w:tr w14:paraId="7A18C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E2217">
            <w:pPr>
              <w:pStyle w:val="11"/>
            </w:pPr>
            <w:r>
              <w:t>序号</w:t>
            </w:r>
          </w:p>
        </w:tc>
        <w:tc>
          <w:tcPr>
            <w:tcW w:w="5726" w:type="dxa"/>
            <w:gridSpan w:val="2"/>
            <w:vAlign w:val="center"/>
          </w:tcPr>
          <w:p w14:paraId="219FC11E">
            <w:pPr>
              <w:pStyle w:val="11"/>
            </w:pPr>
            <w:r>
              <w:t>功能分类科目</w:t>
            </w:r>
          </w:p>
        </w:tc>
        <w:tc>
          <w:tcPr>
            <w:tcW w:w="2551" w:type="dxa"/>
            <w:vMerge w:val="restart"/>
            <w:vAlign w:val="center"/>
          </w:tcPr>
          <w:p w14:paraId="62B63D80">
            <w:pPr>
              <w:pStyle w:val="11"/>
            </w:pPr>
            <w:r>
              <w:t>合计</w:t>
            </w:r>
          </w:p>
        </w:tc>
        <w:tc>
          <w:tcPr>
            <w:tcW w:w="2551" w:type="dxa"/>
            <w:vMerge w:val="restart"/>
            <w:vAlign w:val="center"/>
          </w:tcPr>
          <w:p w14:paraId="2B623D7B">
            <w:pPr>
              <w:pStyle w:val="11"/>
            </w:pPr>
            <w:r>
              <w:t>基本支出</w:t>
            </w:r>
          </w:p>
        </w:tc>
        <w:tc>
          <w:tcPr>
            <w:tcW w:w="2551" w:type="dxa"/>
            <w:vMerge w:val="restart"/>
            <w:vAlign w:val="center"/>
          </w:tcPr>
          <w:p w14:paraId="130AA3AD">
            <w:pPr>
              <w:pStyle w:val="11"/>
            </w:pPr>
            <w:r>
              <w:t>项目支出</w:t>
            </w:r>
          </w:p>
        </w:tc>
      </w:tr>
      <w:tr w14:paraId="30013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9F6509"/>
        </w:tc>
        <w:tc>
          <w:tcPr>
            <w:tcW w:w="1191" w:type="dxa"/>
            <w:vAlign w:val="center"/>
          </w:tcPr>
          <w:p w14:paraId="3E4B1AC2">
            <w:pPr>
              <w:pStyle w:val="11"/>
            </w:pPr>
            <w:r>
              <w:t>科目编码</w:t>
            </w:r>
          </w:p>
        </w:tc>
        <w:tc>
          <w:tcPr>
            <w:tcW w:w="4535" w:type="dxa"/>
            <w:vAlign w:val="center"/>
          </w:tcPr>
          <w:p w14:paraId="72C82A0F">
            <w:pPr>
              <w:pStyle w:val="11"/>
            </w:pPr>
            <w:r>
              <w:t>科目名称</w:t>
            </w:r>
          </w:p>
        </w:tc>
        <w:tc>
          <w:tcPr>
            <w:tcW w:w="2551" w:type="dxa"/>
            <w:vMerge w:val="continue"/>
          </w:tcPr>
          <w:p w14:paraId="35028B70"/>
        </w:tc>
        <w:tc>
          <w:tcPr>
            <w:tcW w:w="2551" w:type="dxa"/>
            <w:vMerge w:val="continue"/>
          </w:tcPr>
          <w:p w14:paraId="5EC9FF10"/>
        </w:tc>
        <w:tc>
          <w:tcPr>
            <w:tcW w:w="2551" w:type="dxa"/>
            <w:vMerge w:val="continue"/>
          </w:tcPr>
          <w:p w14:paraId="6678117B"/>
        </w:tc>
      </w:tr>
      <w:tr w14:paraId="38C4A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0407EC">
            <w:pPr>
              <w:pStyle w:val="11"/>
            </w:pPr>
            <w:r>
              <w:t>栏次</w:t>
            </w:r>
          </w:p>
        </w:tc>
        <w:tc>
          <w:tcPr>
            <w:tcW w:w="1191" w:type="dxa"/>
            <w:vAlign w:val="center"/>
          </w:tcPr>
          <w:p w14:paraId="028339D5">
            <w:pPr>
              <w:pStyle w:val="11"/>
            </w:pPr>
            <w:r>
              <w:t>1</w:t>
            </w:r>
          </w:p>
        </w:tc>
        <w:tc>
          <w:tcPr>
            <w:tcW w:w="4535" w:type="dxa"/>
            <w:vAlign w:val="center"/>
          </w:tcPr>
          <w:p w14:paraId="56874D52">
            <w:pPr>
              <w:pStyle w:val="11"/>
            </w:pPr>
            <w:r>
              <w:t>2</w:t>
            </w:r>
          </w:p>
        </w:tc>
        <w:tc>
          <w:tcPr>
            <w:tcW w:w="2551" w:type="dxa"/>
            <w:vAlign w:val="center"/>
          </w:tcPr>
          <w:p w14:paraId="7448C13E">
            <w:pPr>
              <w:pStyle w:val="11"/>
            </w:pPr>
            <w:r>
              <w:t>3</w:t>
            </w:r>
          </w:p>
        </w:tc>
        <w:tc>
          <w:tcPr>
            <w:tcW w:w="2551" w:type="dxa"/>
            <w:vAlign w:val="center"/>
          </w:tcPr>
          <w:p w14:paraId="211A498B">
            <w:pPr>
              <w:pStyle w:val="11"/>
            </w:pPr>
            <w:r>
              <w:t>4</w:t>
            </w:r>
          </w:p>
        </w:tc>
        <w:tc>
          <w:tcPr>
            <w:tcW w:w="2551" w:type="dxa"/>
            <w:vAlign w:val="center"/>
          </w:tcPr>
          <w:p w14:paraId="1E1FD893">
            <w:pPr>
              <w:pStyle w:val="11"/>
            </w:pPr>
            <w:r>
              <w:t>5</w:t>
            </w:r>
          </w:p>
        </w:tc>
      </w:tr>
      <w:tr w14:paraId="547B8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064C0">
            <w:pPr>
              <w:pStyle w:val="12"/>
            </w:pPr>
          </w:p>
        </w:tc>
        <w:tc>
          <w:tcPr>
            <w:tcW w:w="1191" w:type="dxa"/>
            <w:vAlign w:val="center"/>
          </w:tcPr>
          <w:p w14:paraId="34E12F51">
            <w:pPr>
              <w:pStyle w:val="13"/>
            </w:pPr>
          </w:p>
        </w:tc>
        <w:tc>
          <w:tcPr>
            <w:tcW w:w="4535" w:type="dxa"/>
            <w:vAlign w:val="center"/>
          </w:tcPr>
          <w:p w14:paraId="01FB6AFA">
            <w:pPr>
              <w:pStyle w:val="13"/>
            </w:pPr>
          </w:p>
        </w:tc>
        <w:tc>
          <w:tcPr>
            <w:tcW w:w="2551" w:type="dxa"/>
            <w:vAlign w:val="center"/>
          </w:tcPr>
          <w:p w14:paraId="4FCFCBEF">
            <w:pPr>
              <w:pStyle w:val="14"/>
            </w:pPr>
          </w:p>
        </w:tc>
        <w:tc>
          <w:tcPr>
            <w:tcW w:w="2551" w:type="dxa"/>
            <w:vAlign w:val="center"/>
          </w:tcPr>
          <w:p w14:paraId="01EDBA4C">
            <w:pPr>
              <w:pStyle w:val="14"/>
            </w:pPr>
          </w:p>
        </w:tc>
        <w:tc>
          <w:tcPr>
            <w:tcW w:w="2551" w:type="dxa"/>
            <w:vAlign w:val="center"/>
          </w:tcPr>
          <w:p w14:paraId="51AB9611">
            <w:pPr>
              <w:pStyle w:val="14"/>
            </w:pPr>
          </w:p>
        </w:tc>
      </w:tr>
    </w:tbl>
    <w:p w14:paraId="63D169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2913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0A8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026BC5">
            <w:pPr>
              <w:pStyle w:val="8"/>
            </w:pPr>
            <w:r>
              <w:t>360035隆尧县唐尧街幼儿园</w:t>
            </w:r>
          </w:p>
        </w:tc>
        <w:tc>
          <w:tcPr>
            <w:tcW w:w="2381" w:type="dxa"/>
            <w:tcBorders>
              <w:top w:val="single" w:color="FFFFFF" w:sz="6" w:space="0"/>
              <w:left w:val="single" w:color="FFFFFF" w:sz="6" w:space="0"/>
              <w:right w:val="single" w:color="FFFFFF" w:sz="6" w:space="0"/>
            </w:tcBorders>
            <w:vAlign w:val="center"/>
          </w:tcPr>
          <w:p w14:paraId="2F8D480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6A18774">
            <w:pPr>
              <w:pStyle w:val="10"/>
            </w:pPr>
            <w:r>
              <w:t>单位：万元</w:t>
            </w:r>
          </w:p>
        </w:tc>
      </w:tr>
      <w:tr w14:paraId="1D4FB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5DFF7">
            <w:pPr>
              <w:pStyle w:val="11"/>
            </w:pPr>
            <w:r>
              <w:t>序号</w:t>
            </w:r>
          </w:p>
        </w:tc>
        <w:tc>
          <w:tcPr>
            <w:tcW w:w="3798" w:type="dxa"/>
            <w:vMerge w:val="restart"/>
            <w:vAlign w:val="center"/>
          </w:tcPr>
          <w:p w14:paraId="22D23D66">
            <w:pPr>
              <w:pStyle w:val="11"/>
            </w:pPr>
            <w:r>
              <w:t>项  目</w:t>
            </w:r>
          </w:p>
        </w:tc>
        <w:tc>
          <w:tcPr>
            <w:tcW w:w="9524" w:type="dxa"/>
            <w:gridSpan w:val="4"/>
            <w:vAlign w:val="center"/>
          </w:tcPr>
          <w:p w14:paraId="25E205E2">
            <w:pPr>
              <w:pStyle w:val="11"/>
            </w:pPr>
            <w:r>
              <w:t>资 金 性 质</w:t>
            </w:r>
          </w:p>
        </w:tc>
      </w:tr>
      <w:tr w14:paraId="7B7F8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9E8F58"/>
        </w:tc>
        <w:tc>
          <w:tcPr>
            <w:tcW w:w="3798" w:type="dxa"/>
            <w:vMerge w:val="continue"/>
          </w:tcPr>
          <w:p w14:paraId="6F6F2BFB"/>
        </w:tc>
        <w:tc>
          <w:tcPr>
            <w:tcW w:w="2381" w:type="dxa"/>
            <w:vAlign w:val="center"/>
          </w:tcPr>
          <w:p w14:paraId="041BBF7B">
            <w:pPr>
              <w:pStyle w:val="11"/>
            </w:pPr>
            <w:r>
              <w:t>合计</w:t>
            </w:r>
          </w:p>
        </w:tc>
        <w:tc>
          <w:tcPr>
            <w:tcW w:w="2381" w:type="dxa"/>
            <w:vAlign w:val="center"/>
          </w:tcPr>
          <w:p w14:paraId="06C3A92D">
            <w:pPr>
              <w:pStyle w:val="11"/>
            </w:pPr>
            <w:r>
              <w:t>一般公共预算              财政拨款</w:t>
            </w:r>
          </w:p>
        </w:tc>
        <w:tc>
          <w:tcPr>
            <w:tcW w:w="2381" w:type="dxa"/>
            <w:vAlign w:val="center"/>
          </w:tcPr>
          <w:p w14:paraId="65BC4779">
            <w:pPr>
              <w:pStyle w:val="11"/>
            </w:pPr>
            <w:r>
              <w:t>政府性基金                  预算拨款</w:t>
            </w:r>
          </w:p>
        </w:tc>
        <w:tc>
          <w:tcPr>
            <w:tcW w:w="2381" w:type="dxa"/>
            <w:vAlign w:val="center"/>
          </w:tcPr>
          <w:p w14:paraId="1B642857">
            <w:pPr>
              <w:pStyle w:val="11"/>
            </w:pPr>
            <w:r>
              <w:t>国有资本经营              预算财政拨款</w:t>
            </w:r>
          </w:p>
        </w:tc>
      </w:tr>
      <w:tr w14:paraId="13E48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E58558">
            <w:pPr>
              <w:pStyle w:val="11"/>
            </w:pPr>
            <w:r>
              <w:t>栏次</w:t>
            </w:r>
          </w:p>
        </w:tc>
        <w:tc>
          <w:tcPr>
            <w:tcW w:w="3798" w:type="dxa"/>
            <w:vAlign w:val="center"/>
          </w:tcPr>
          <w:p w14:paraId="4C62002A">
            <w:pPr>
              <w:pStyle w:val="11"/>
            </w:pPr>
            <w:r>
              <w:t>1</w:t>
            </w:r>
          </w:p>
        </w:tc>
        <w:tc>
          <w:tcPr>
            <w:tcW w:w="2381" w:type="dxa"/>
            <w:vAlign w:val="center"/>
          </w:tcPr>
          <w:p w14:paraId="0DEA8591">
            <w:pPr>
              <w:pStyle w:val="11"/>
            </w:pPr>
            <w:r>
              <w:t>2</w:t>
            </w:r>
          </w:p>
        </w:tc>
        <w:tc>
          <w:tcPr>
            <w:tcW w:w="2381" w:type="dxa"/>
            <w:vAlign w:val="center"/>
          </w:tcPr>
          <w:p w14:paraId="55D958EE">
            <w:pPr>
              <w:pStyle w:val="11"/>
            </w:pPr>
            <w:r>
              <w:t>3</w:t>
            </w:r>
          </w:p>
        </w:tc>
        <w:tc>
          <w:tcPr>
            <w:tcW w:w="2381" w:type="dxa"/>
            <w:vAlign w:val="center"/>
          </w:tcPr>
          <w:p w14:paraId="7EA1D59B">
            <w:pPr>
              <w:pStyle w:val="11"/>
            </w:pPr>
            <w:r>
              <w:t>4</w:t>
            </w:r>
          </w:p>
        </w:tc>
        <w:tc>
          <w:tcPr>
            <w:tcW w:w="2381" w:type="dxa"/>
            <w:vAlign w:val="center"/>
          </w:tcPr>
          <w:p w14:paraId="54DA072F">
            <w:pPr>
              <w:pStyle w:val="11"/>
            </w:pPr>
            <w:r>
              <w:t>5</w:t>
            </w:r>
          </w:p>
        </w:tc>
      </w:tr>
      <w:tr w14:paraId="2C1FF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700F36">
            <w:pPr>
              <w:pStyle w:val="12"/>
            </w:pPr>
          </w:p>
        </w:tc>
        <w:tc>
          <w:tcPr>
            <w:tcW w:w="3798" w:type="dxa"/>
            <w:vAlign w:val="center"/>
          </w:tcPr>
          <w:p w14:paraId="30E6588F">
            <w:pPr>
              <w:pStyle w:val="13"/>
            </w:pPr>
          </w:p>
        </w:tc>
        <w:tc>
          <w:tcPr>
            <w:tcW w:w="2381" w:type="dxa"/>
            <w:vAlign w:val="center"/>
          </w:tcPr>
          <w:p w14:paraId="3851B0BD">
            <w:pPr>
              <w:pStyle w:val="14"/>
            </w:pPr>
          </w:p>
        </w:tc>
        <w:tc>
          <w:tcPr>
            <w:tcW w:w="2381" w:type="dxa"/>
            <w:vAlign w:val="center"/>
          </w:tcPr>
          <w:p w14:paraId="56A5AF5E">
            <w:pPr>
              <w:pStyle w:val="14"/>
            </w:pPr>
          </w:p>
        </w:tc>
        <w:tc>
          <w:tcPr>
            <w:tcW w:w="2381" w:type="dxa"/>
            <w:vAlign w:val="center"/>
          </w:tcPr>
          <w:p w14:paraId="7EAEFA10">
            <w:pPr>
              <w:pStyle w:val="14"/>
            </w:pPr>
          </w:p>
        </w:tc>
        <w:tc>
          <w:tcPr>
            <w:tcW w:w="2381" w:type="dxa"/>
            <w:vAlign w:val="center"/>
          </w:tcPr>
          <w:p w14:paraId="21F5AC50">
            <w:pPr>
              <w:pStyle w:val="14"/>
            </w:pPr>
          </w:p>
        </w:tc>
      </w:tr>
    </w:tbl>
    <w:p w14:paraId="106F33C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F6CCCA6">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隆尧县唐尧街幼儿园2025年单位预算信息公开情况说明</w:t>
      </w:r>
    </w:p>
    <w:p w14:paraId="6FA9FFF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按照《中华人民共和国预算法》、《地方预决算公开操作规程》和《关于进一步推进预算公开工作的实施意见》规定，现将隆尧县唐尧街幼儿园2025年单位预算公开如下：</w:t>
      </w:r>
    </w:p>
    <w:p w14:paraId="394ABE2F">
      <w:pPr>
        <w:spacing w:before="10" w:after="10" w:line="240" w:lineRule="auto"/>
        <w:ind w:firstLine="640"/>
        <w:jc w:val="left"/>
        <w:outlineLvl w:val="5"/>
      </w:pPr>
      <w:r>
        <w:rPr>
          <w:rFonts w:ascii="黑体" w:hAnsi="黑体" w:eastAsia="黑体" w:cs="黑体"/>
          <w:color w:val="000000"/>
          <w:sz w:val="32"/>
        </w:rPr>
        <w:t>一、单位职责及机构设置情况</w:t>
      </w:r>
    </w:p>
    <w:p w14:paraId="5962BA9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48D990">
      <w:pPr>
        <w:pStyle w:val="18"/>
        <w:rPr>
          <w:rFonts w:hint="eastAsia"/>
        </w:rPr>
      </w:pPr>
      <w:r>
        <w:rPr>
          <w:rFonts w:hint="eastAsia"/>
        </w:rPr>
        <w:t>贯彻落实学前教育的方针、政策，开展学前教育教学工作，以人为本，促进幼儿德、智、体、美、劳全面发展；负责幼儿安全教育和管理，确保幼儿身心健康；加强教师队伍建设和管理，为教育教学工作提供保障。</w:t>
      </w:r>
    </w:p>
    <w:p w14:paraId="3B955690">
      <w:pPr>
        <w:pStyle w:val="18"/>
      </w:pPr>
      <w:r>
        <w:rPr>
          <w:rFonts w:hint="eastAsia"/>
        </w:rPr>
        <w:t>隆尧县唐尧街幼儿园事业编制15人，其中，园长1名（正股级），副园长1名（副股级）；经费形式为财政性资金基本保证。</w:t>
      </w:r>
    </w:p>
    <w:p w14:paraId="30A30B8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F9343C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BC62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9A9014">
            <w:pPr>
              <w:pStyle w:val="11"/>
            </w:pPr>
            <w:r>
              <w:t>单位名称</w:t>
            </w:r>
          </w:p>
        </w:tc>
        <w:tc>
          <w:tcPr>
            <w:tcW w:w="1843" w:type="dxa"/>
            <w:vAlign w:val="center"/>
          </w:tcPr>
          <w:p w14:paraId="096DB873">
            <w:pPr>
              <w:pStyle w:val="11"/>
            </w:pPr>
            <w:r>
              <w:t>单位性质</w:t>
            </w:r>
          </w:p>
        </w:tc>
        <w:tc>
          <w:tcPr>
            <w:tcW w:w="2126" w:type="dxa"/>
            <w:vAlign w:val="center"/>
          </w:tcPr>
          <w:p w14:paraId="75DEA645">
            <w:pPr>
              <w:pStyle w:val="11"/>
            </w:pPr>
            <w:r>
              <w:t>单位规格</w:t>
            </w:r>
          </w:p>
        </w:tc>
        <w:tc>
          <w:tcPr>
            <w:tcW w:w="3827" w:type="dxa"/>
            <w:vAlign w:val="center"/>
          </w:tcPr>
          <w:p w14:paraId="00DA993E">
            <w:pPr>
              <w:pStyle w:val="11"/>
            </w:pPr>
            <w:r>
              <w:t>经费保障形式</w:t>
            </w:r>
          </w:p>
        </w:tc>
      </w:tr>
      <w:tr w14:paraId="6D04B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AA22CAF">
            <w:pPr>
              <w:pStyle w:val="13"/>
            </w:pPr>
            <w:r>
              <w:t>隆尧县唐尧街幼儿园</w:t>
            </w:r>
          </w:p>
        </w:tc>
        <w:tc>
          <w:tcPr>
            <w:tcW w:w="1843" w:type="dxa"/>
            <w:vAlign w:val="center"/>
          </w:tcPr>
          <w:p w14:paraId="08DA6AFB">
            <w:pPr>
              <w:pStyle w:val="12"/>
            </w:pPr>
            <w:r>
              <w:t>事业</w:t>
            </w:r>
          </w:p>
        </w:tc>
        <w:tc>
          <w:tcPr>
            <w:tcW w:w="2126" w:type="dxa"/>
            <w:vAlign w:val="center"/>
          </w:tcPr>
          <w:p w14:paraId="3028B82D">
            <w:pPr>
              <w:pStyle w:val="12"/>
            </w:pPr>
            <w:r>
              <w:t>股级</w:t>
            </w:r>
          </w:p>
        </w:tc>
        <w:tc>
          <w:tcPr>
            <w:tcW w:w="3827" w:type="dxa"/>
            <w:vAlign w:val="center"/>
          </w:tcPr>
          <w:p w14:paraId="5E08BCF1">
            <w:pPr>
              <w:pStyle w:val="12"/>
            </w:pPr>
            <w:r>
              <w:t>财政性资金基本保证</w:t>
            </w:r>
          </w:p>
        </w:tc>
      </w:tr>
    </w:tbl>
    <w:p w14:paraId="78104FF2">
      <w:pPr>
        <w:spacing w:before="10" w:after="10" w:line="240" w:lineRule="auto"/>
        <w:ind w:firstLine="640"/>
        <w:jc w:val="left"/>
        <w:outlineLvl w:val="5"/>
      </w:pPr>
      <w:r>
        <w:rPr>
          <w:rFonts w:ascii="黑体" w:hAnsi="黑体" w:eastAsia="黑体" w:cs="黑体"/>
          <w:color w:val="000000"/>
          <w:sz w:val="32"/>
        </w:rPr>
        <w:t>二、单位预算安排的总体情况</w:t>
      </w:r>
    </w:p>
    <w:p w14:paraId="18A620EB">
      <w:pPr>
        <w:pStyle w:val="19"/>
      </w:pPr>
      <w:r>
        <w:t>按照预算管理有关规定，目前我校单位预算的编制实行综合预算管理，即全部收入和支出都反映的预算中。隆尧县唐尧街幼儿园的收支包含在单位预算中。</w:t>
      </w:r>
    </w:p>
    <w:p w14:paraId="1E243DF6">
      <w:pPr>
        <w:pStyle w:val="19"/>
      </w:pPr>
      <w:r>
        <w:t>1、收入说明</w:t>
      </w:r>
    </w:p>
    <w:p w14:paraId="769C9FD5">
      <w:pPr>
        <w:pStyle w:val="19"/>
      </w:pPr>
      <w:r>
        <w:t>反映本单位当年全部收入。2025年预算收入189.77万元，其中：一般公共预算收入189.77万元，基金预算收入0万元，基金预算收入0万元，国有资本经营预算收入0万元，财政专户拨收入0万元，单位资金收入0万元，上年结转结余0万元。</w:t>
      </w:r>
    </w:p>
    <w:p w14:paraId="29AE6F89">
      <w:pPr>
        <w:pStyle w:val="19"/>
      </w:pPr>
      <w:r>
        <w:t>2、支出说明</w:t>
      </w:r>
    </w:p>
    <w:p w14:paraId="3A8D3E86">
      <w:pPr>
        <w:pStyle w:val="19"/>
      </w:pPr>
      <w:r>
        <w:t>收支预算总表支出栏、基本支出表、项目支出表按经济分类和支出功能分类科目编制，反映隆尧县唐尧街幼儿园年单位预算中支出预算的总体情况。2025年单位支出预算为189.77万元，其中基本支出42.10万元、项目支出147.67万元。主要为学前教育189.77万元。</w:t>
      </w:r>
    </w:p>
    <w:p w14:paraId="36B2B22F">
      <w:pPr>
        <w:pStyle w:val="19"/>
      </w:pPr>
      <w:r>
        <w:t>3、比上年增减情况</w:t>
      </w:r>
    </w:p>
    <w:p w14:paraId="0E2193A7">
      <w:pPr>
        <w:pStyle w:val="19"/>
      </w:pPr>
      <w:r>
        <w:t>2025年部门预算收支安排189.77万元，我单位为新增单位，无上年度数据。</w:t>
      </w:r>
    </w:p>
    <w:p w14:paraId="07EFB87E">
      <w:pPr>
        <w:spacing w:before="10" w:after="10" w:line="240" w:lineRule="auto"/>
        <w:ind w:firstLine="640"/>
        <w:jc w:val="left"/>
        <w:outlineLvl w:val="5"/>
      </w:pPr>
      <w:r>
        <w:rPr>
          <w:rFonts w:ascii="黑体" w:hAnsi="黑体" w:eastAsia="黑体" w:cs="黑体"/>
          <w:color w:val="000000"/>
          <w:sz w:val="32"/>
        </w:rPr>
        <w:t>三、机关运行经费安排情况</w:t>
      </w:r>
    </w:p>
    <w:p w14:paraId="1A21F7C7">
      <w:pPr>
        <w:pStyle w:val="20"/>
      </w:pPr>
      <w:r>
        <w:t>我单位按学生安排公用经费，无机关运行经费。</w:t>
      </w:r>
    </w:p>
    <w:p w14:paraId="7E087B7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E811CA">
      <w:pPr>
        <w:pStyle w:val="21"/>
      </w:pPr>
      <w:r>
        <w:t>我单位未安排三公经费。</w:t>
      </w:r>
    </w:p>
    <w:p w14:paraId="38F5712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EABEF77">
      <w:pPr>
        <w:spacing w:before="0" w:after="0"/>
        <w:ind w:firstLine="560"/>
        <w:jc w:val="left"/>
        <w:outlineLvl w:val="9"/>
      </w:pPr>
      <w:r>
        <w:rPr>
          <w:rFonts w:ascii="方正仿宋_GBK" w:hAnsi="方正仿宋_GBK" w:eastAsia="方正仿宋_GBK" w:cs="方正仿宋_GBK"/>
          <w:b/>
          <w:color w:val="000000"/>
          <w:sz w:val="28"/>
        </w:rPr>
        <w:t>1、冀财教[2024]121号/中央/2025年学前发展资金/唐尧街幼儿园学前教育幼儿资助绩效目标表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1C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EA960">
            <w:pPr>
              <w:pStyle w:val="14"/>
            </w:pPr>
            <w:r>
              <w:t>单位：万元</w:t>
            </w:r>
          </w:p>
        </w:tc>
      </w:tr>
      <w:tr w14:paraId="78318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47175">
            <w:pPr>
              <w:pStyle w:val="11"/>
            </w:pPr>
            <w:r>
              <w:t>项目编码</w:t>
            </w:r>
          </w:p>
        </w:tc>
        <w:tc>
          <w:tcPr>
            <w:tcW w:w="5103" w:type="dxa"/>
            <w:gridSpan w:val="2"/>
            <w:vAlign w:val="center"/>
          </w:tcPr>
          <w:p w14:paraId="4DCE5B60">
            <w:pPr>
              <w:pStyle w:val="13"/>
            </w:pPr>
            <w:r>
              <w:t>13052525P000002100623</w:t>
            </w:r>
          </w:p>
        </w:tc>
        <w:tc>
          <w:tcPr>
            <w:tcW w:w="2835" w:type="dxa"/>
            <w:vAlign w:val="center"/>
          </w:tcPr>
          <w:p w14:paraId="28B88F65">
            <w:pPr>
              <w:pStyle w:val="11"/>
            </w:pPr>
            <w:r>
              <w:t>项目名称</w:t>
            </w:r>
          </w:p>
        </w:tc>
        <w:tc>
          <w:tcPr>
            <w:tcW w:w="6095" w:type="dxa"/>
            <w:gridSpan w:val="3"/>
            <w:vAlign w:val="center"/>
          </w:tcPr>
          <w:p w14:paraId="07907AD1">
            <w:pPr>
              <w:pStyle w:val="13"/>
            </w:pPr>
            <w:r>
              <w:t>冀财教[2024]121号/中央/2025年学前发展资金/唐尧街幼儿园学前教育幼儿资助</w:t>
            </w:r>
          </w:p>
        </w:tc>
      </w:tr>
      <w:tr w14:paraId="2A724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6A2BF">
            <w:pPr>
              <w:pStyle w:val="11"/>
            </w:pPr>
            <w:r>
              <w:t>预算规模及资金用途</w:t>
            </w:r>
          </w:p>
        </w:tc>
        <w:tc>
          <w:tcPr>
            <w:tcW w:w="2268" w:type="dxa"/>
            <w:vAlign w:val="center"/>
          </w:tcPr>
          <w:p w14:paraId="416BC9B9">
            <w:pPr>
              <w:pStyle w:val="11"/>
            </w:pPr>
            <w:r>
              <w:t>预算数</w:t>
            </w:r>
          </w:p>
        </w:tc>
        <w:tc>
          <w:tcPr>
            <w:tcW w:w="2835" w:type="dxa"/>
            <w:vAlign w:val="center"/>
          </w:tcPr>
          <w:p w14:paraId="00F5BD63">
            <w:pPr>
              <w:pStyle w:val="13"/>
            </w:pPr>
            <w:r>
              <w:t>0.78</w:t>
            </w:r>
          </w:p>
        </w:tc>
        <w:tc>
          <w:tcPr>
            <w:tcW w:w="2835" w:type="dxa"/>
            <w:vAlign w:val="center"/>
          </w:tcPr>
          <w:p w14:paraId="19576723">
            <w:pPr>
              <w:pStyle w:val="11"/>
            </w:pPr>
            <w:r>
              <w:t>其中：财政    资金</w:t>
            </w:r>
          </w:p>
        </w:tc>
        <w:tc>
          <w:tcPr>
            <w:tcW w:w="2551" w:type="dxa"/>
            <w:vAlign w:val="center"/>
          </w:tcPr>
          <w:p w14:paraId="7BA1EB1E">
            <w:pPr>
              <w:pStyle w:val="13"/>
            </w:pPr>
            <w:r>
              <w:t>0.78</w:t>
            </w:r>
          </w:p>
        </w:tc>
        <w:tc>
          <w:tcPr>
            <w:tcW w:w="2268" w:type="dxa"/>
            <w:vAlign w:val="center"/>
          </w:tcPr>
          <w:p w14:paraId="4C8AC8E5">
            <w:pPr>
              <w:pStyle w:val="11"/>
            </w:pPr>
            <w:r>
              <w:t>其他资金</w:t>
            </w:r>
          </w:p>
        </w:tc>
        <w:tc>
          <w:tcPr>
            <w:tcW w:w="1276" w:type="dxa"/>
            <w:vAlign w:val="center"/>
          </w:tcPr>
          <w:p w14:paraId="0941DD52">
            <w:pPr>
              <w:pStyle w:val="13"/>
            </w:pPr>
            <w:r>
              <w:t xml:space="preserve"> </w:t>
            </w:r>
          </w:p>
        </w:tc>
      </w:tr>
      <w:tr w14:paraId="0BDFD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CD664"/>
        </w:tc>
        <w:tc>
          <w:tcPr>
            <w:tcW w:w="14033" w:type="dxa"/>
            <w:gridSpan w:val="6"/>
            <w:vAlign w:val="center"/>
          </w:tcPr>
          <w:p w14:paraId="36709ACE">
            <w:pPr>
              <w:pStyle w:val="13"/>
            </w:pPr>
            <w:r>
              <w:t>办公经费</w:t>
            </w:r>
          </w:p>
        </w:tc>
      </w:tr>
      <w:tr w14:paraId="22CBD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F4825">
            <w:pPr>
              <w:pStyle w:val="11"/>
            </w:pPr>
            <w:r>
              <w:t>资金支出计划（%）</w:t>
            </w:r>
          </w:p>
        </w:tc>
        <w:tc>
          <w:tcPr>
            <w:tcW w:w="5103" w:type="dxa"/>
            <w:gridSpan w:val="2"/>
            <w:vAlign w:val="center"/>
          </w:tcPr>
          <w:p w14:paraId="11B9D9D5">
            <w:pPr>
              <w:pStyle w:val="11"/>
            </w:pPr>
            <w:r>
              <w:t>3月底</w:t>
            </w:r>
          </w:p>
        </w:tc>
        <w:tc>
          <w:tcPr>
            <w:tcW w:w="2835" w:type="dxa"/>
            <w:vAlign w:val="center"/>
          </w:tcPr>
          <w:p w14:paraId="27C0FCAA">
            <w:pPr>
              <w:pStyle w:val="11"/>
            </w:pPr>
            <w:r>
              <w:t>6月底</w:t>
            </w:r>
          </w:p>
        </w:tc>
        <w:tc>
          <w:tcPr>
            <w:tcW w:w="2551" w:type="dxa"/>
            <w:vAlign w:val="center"/>
          </w:tcPr>
          <w:p w14:paraId="485F1D9F">
            <w:pPr>
              <w:pStyle w:val="11"/>
            </w:pPr>
            <w:r>
              <w:t>10月底</w:t>
            </w:r>
          </w:p>
        </w:tc>
        <w:tc>
          <w:tcPr>
            <w:tcW w:w="3544" w:type="dxa"/>
            <w:gridSpan w:val="2"/>
            <w:vAlign w:val="center"/>
          </w:tcPr>
          <w:p w14:paraId="78438C6C">
            <w:pPr>
              <w:pStyle w:val="11"/>
            </w:pPr>
            <w:r>
              <w:t>12月底</w:t>
            </w:r>
          </w:p>
        </w:tc>
      </w:tr>
      <w:tr w14:paraId="29805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AF05E5"/>
        </w:tc>
        <w:tc>
          <w:tcPr>
            <w:tcW w:w="5103" w:type="dxa"/>
            <w:gridSpan w:val="2"/>
            <w:vAlign w:val="center"/>
          </w:tcPr>
          <w:p w14:paraId="193A65BD">
            <w:pPr>
              <w:pStyle w:val="12"/>
            </w:pPr>
            <w:r>
              <w:t>25%</w:t>
            </w:r>
          </w:p>
        </w:tc>
        <w:tc>
          <w:tcPr>
            <w:tcW w:w="2835" w:type="dxa"/>
            <w:vAlign w:val="center"/>
          </w:tcPr>
          <w:p w14:paraId="0215290E">
            <w:pPr>
              <w:pStyle w:val="12"/>
            </w:pPr>
            <w:r>
              <w:t>50%</w:t>
            </w:r>
          </w:p>
        </w:tc>
        <w:tc>
          <w:tcPr>
            <w:tcW w:w="2551" w:type="dxa"/>
            <w:vAlign w:val="center"/>
          </w:tcPr>
          <w:p w14:paraId="5E64B9FF">
            <w:pPr>
              <w:pStyle w:val="12"/>
            </w:pPr>
            <w:r>
              <w:t>75%</w:t>
            </w:r>
          </w:p>
        </w:tc>
        <w:tc>
          <w:tcPr>
            <w:tcW w:w="3544" w:type="dxa"/>
            <w:gridSpan w:val="2"/>
            <w:vAlign w:val="center"/>
          </w:tcPr>
          <w:p w14:paraId="0333D855">
            <w:pPr>
              <w:pStyle w:val="12"/>
            </w:pPr>
            <w:r>
              <w:t>100%</w:t>
            </w:r>
          </w:p>
        </w:tc>
      </w:tr>
      <w:tr w14:paraId="50F92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00E0A">
            <w:pPr>
              <w:pStyle w:val="11"/>
            </w:pPr>
            <w:r>
              <w:t>绩效目标</w:t>
            </w:r>
          </w:p>
        </w:tc>
        <w:tc>
          <w:tcPr>
            <w:tcW w:w="14033" w:type="dxa"/>
            <w:gridSpan w:val="6"/>
            <w:vAlign w:val="center"/>
          </w:tcPr>
          <w:p w14:paraId="2479FD46">
            <w:pPr>
              <w:pStyle w:val="13"/>
            </w:pPr>
            <w:r>
              <w:t>1.保障落实建档立卡及家庭经济困难儿童资助所需资金，确保建档立卡等家庭经济困难幼儿优先获得资助</w:t>
            </w:r>
            <w:r>
              <w:tab/>
            </w:r>
            <w:r>
              <w:tab/>
            </w:r>
            <w:r>
              <w:tab/>
            </w:r>
            <w:r>
              <w:tab/>
            </w:r>
          </w:p>
          <w:p w14:paraId="25059A0B">
            <w:pPr>
              <w:pStyle w:val="13"/>
            </w:pPr>
          </w:p>
        </w:tc>
      </w:tr>
    </w:tbl>
    <w:p w14:paraId="24D493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D9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86BE3">
            <w:pPr>
              <w:pStyle w:val="11"/>
            </w:pPr>
            <w:r>
              <w:t>一级指标</w:t>
            </w:r>
          </w:p>
        </w:tc>
        <w:tc>
          <w:tcPr>
            <w:tcW w:w="2268" w:type="dxa"/>
            <w:vAlign w:val="center"/>
          </w:tcPr>
          <w:p w14:paraId="3FD37389">
            <w:pPr>
              <w:pStyle w:val="11"/>
            </w:pPr>
            <w:r>
              <w:t>二级指标</w:t>
            </w:r>
          </w:p>
        </w:tc>
        <w:tc>
          <w:tcPr>
            <w:tcW w:w="2835" w:type="dxa"/>
            <w:vAlign w:val="center"/>
          </w:tcPr>
          <w:p w14:paraId="0C33D7BB">
            <w:pPr>
              <w:pStyle w:val="11"/>
            </w:pPr>
            <w:r>
              <w:t>三级指标</w:t>
            </w:r>
          </w:p>
        </w:tc>
        <w:tc>
          <w:tcPr>
            <w:tcW w:w="5386" w:type="dxa"/>
            <w:vAlign w:val="center"/>
          </w:tcPr>
          <w:p w14:paraId="5FE80930">
            <w:pPr>
              <w:pStyle w:val="11"/>
            </w:pPr>
            <w:r>
              <w:t>绩效指标描述</w:t>
            </w:r>
          </w:p>
        </w:tc>
        <w:tc>
          <w:tcPr>
            <w:tcW w:w="2268" w:type="dxa"/>
            <w:vAlign w:val="center"/>
          </w:tcPr>
          <w:p w14:paraId="537B652C">
            <w:pPr>
              <w:pStyle w:val="11"/>
            </w:pPr>
            <w:r>
              <w:t>指标值</w:t>
            </w:r>
          </w:p>
        </w:tc>
        <w:tc>
          <w:tcPr>
            <w:tcW w:w="1276" w:type="dxa"/>
            <w:vAlign w:val="center"/>
          </w:tcPr>
          <w:p w14:paraId="3FE2A3EB">
            <w:pPr>
              <w:pStyle w:val="11"/>
            </w:pPr>
            <w:r>
              <w:t>指标值确定依据</w:t>
            </w:r>
          </w:p>
        </w:tc>
      </w:tr>
      <w:tr w14:paraId="13B22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17C51">
            <w:pPr>
              <w:pStyle w:val="12"/>
            </w:pPr>
            <w:r>
              <w:t>产出指标</w:t>
            </w:r>
          </w:p>
        </w:tc>
        <w:tc>
          <w:tcPr>
            <w:tcW w:w="2268" w:type="dxa"/>
            <w:vAlign w:val="center"/>
          </w:tcPr>
          <w:p w14:paraId="0A50B2F0">
            <w:pPr>
              <w:pStyle w:val="13"/>
            </w:pPr>
            <w:r>
              <w:t>数量指标</w:t>
            </w:r>
          </w:p>
        </w:tc>
        <w:tc>
          <w:tcPr>
            <w:tcW w:w="2835" w:type="dxa"/>
            <w:vAlign w:val="center"/>
          </w:tcPr>
          <w:p w14:paraId="027A83F2">
            <w:pPr>
              <w:pStyle w:val="13"/>
            </w:pPr>
            <w:r>
              <w:t>幼儿资助比例</w:t>
            </w:r>
          </w:p>
        </w:tc>
        <w:tc>
          <w:tcPr>
            <w:tcW w:w="5386" w:type="dxa"/>
            <w:vAlign w:val="center"/>
          </w:tcPr>
          <w:p w14:paraId="0AD1B9FD">
            <w:pPr>
              <w:pStyle w:val="13"/>
            </w:pPr>
            <w:r>
              <w:t>按学前适龄在园儿童实际资助人数测算</w:t>
            </w:r>
          </w:p>
        </w:tc>
        <w:tc>
          <w:tcPr>
            <w:tcW w:w="2268" w:type="dxa"/>
            <w:vAlign w:val="center"/>
          </w:tcPr>
          <w:p w14:paraId="73D04873">
            <w:pPr>
              <w:pStyle w:val="13"/>
            </w:pPr>
            <w:r>
              <w:t>13人</w:t>
            </w:r>
          </w:p>
        </w:tc>
        <w:tc>
          <w:tcPr>
            <w:tcW w:w="1276" w:type="dxa"/>
            <w:vAlign w:val="center"/>
          </w:tcPr>
          <w:p w14:paraId="06374BBB">
            <w:pPr>
              <w:pStyle w:val="13"/>
            </w:pPr>
            <w:r>
              <w:t>发展学前教育资金管理办法</w:t>
            </w:r>
          </w:p>
        </w:tc>
      </w:tr>
      <w:tr w14:paraId="4744A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2306C"/>
        </w:tc>
        <w:tc>
          <w:tcPr>
            <w:tcW w:w="2268" w:type="dxa"/>
            <w:vAlign w:val="center"/>
          </w:tcPr>
          <w:p w14:paraId="1CD9795B">
            <w:pPr>
              <w:pStyle w:val="13"/>
            </w:pPr>
            <w:r>
              <w:t>质量指标</w:t>
            </w:r>
          </w:p>
        </w:tc>
        <w:tc>
          <w:tcPr>
            <w:tcW w:w="2835" w:type="dxa"/>
            <w:vAlign w:val="center"/>
          </w:tcPr>
          <w:p w14:paraId="7DB93D85">
            <w:pPr>
              <w:pStyle w:val="13"/>
            </w:pPr>
            <w:r>
              <w:t>学前教育资助制度落实情况</w:t>
            </w:r>
          </w:p>
        </w:tc>
        <w:tc>
          <w:tcPr>
            <w:tcW w:w="5386" w:type="dxa"/>
            <w:vAlign w:val="center"/>
          </w:tcPr>
          <w:p w14:paraId="7EAA5ACF">
            <w:pPr>
              <w:pStyle w:val="13"/>
            </w:pPr>
            <w:r>
              <w:t>符合享受资助条件的学生覆盖率</w:t>
            </w:r>
          </w:p>
        </w:tc>
        <w:tc>
          <w:tcPr>
            <w:tcW w:w="2268" w:type="dxa"/>
            <w:vAlign w:val="center"/>
          </w:tcPr>
          <w:p w14:paraId="230C8B61">
            <w:pPr>
              <w:pStyle w:val="13"/>
            </w:pPr>
            <w:r>
              <w:t>≥100%</w:t>
            </w:r>
          </w:p>
        </w:tc>
        <w:tc>
          <w:tcPr>
            <w:tcW w:w="1276" w:type="dxa"/>
            <w:vAlign w:val="center"/>
          </w:tcPr>
          <w:p w14:paraId="4C087E1A">
            <w:pPr>
              <w:pStyle w:val="13"/>
            </w:pPr>
            <w:r>
              <w:t>发展学前教育资金管理办法</w:t>
            </w:r>
          </w:p>
        </w:tc>
      </w:tr>
      <w:tr w14:paraId="16660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8963A"/>
        </w:tc>
        <w:tc>
          <w:tcPr>
            <w:tcW w:w="2268" w:type="dxa"/>
            <w:vAlign w:val="center"/>
          </w:tcPr>
          <w:p w14:paraId="576BC96C">
            <w:pPr>
              <w:pStyle w:val="13"/>
            </w:pPr>
            <w:r>
              <w:t>时效指标</w:t>
            </w:r>
          </w:p>
        </w:tc>
        <w:tc>
          <w:tcPr>
            <w:tcW w:w="2835" w:type="dxa"/>
            <w:vAlign w:val="center"/>
          </w:tcPr>
          <w:p w14:paraId="7A6D95C4">
            <w:pPr>
              <w:pStyle w:val="13"/>
            </w:pPr>
            <w:r>
              <w:t>资金拨付率</w:t>
            </w:r>
          </w:p>
        </w:tc>
        <w:tc>
          <w:tcPr>
            <w:tcW w:w="5386" w:type="dxa"/>
            <w:vAlign w:val="center"/>
          </w:tcPr>
          <w:p w14:paraId="47222520">
            <w:pPr>
              <w:pStyle w:val="13"/>
            </w:pPr>
            <w:r>
              <w:t>按进度进行资金支付</w:t>
            </w:r>
          </w:p>
        </w:tc>
        <w:tc>
          <w:tcPr>
            <w:tcW w:w="2268" w:type="dxa"/>
            <w:vAlign w:val="center"/>
          </w:tcPr>
          <w:p w14:paraId="7EBF8816">
            <w:pPr>
              <w:pStyle w:val="13"/>
            </w:pPr>
            <w:r>
              <w:t>≥100%</w:t>
            </w:r>
          </w:p>
        </w:tc>
        <w:tc>
          <w:tcPr>
            <w:tcW w:w="1276" w:type="dxa"/>
            <w:vAlign w:val="center"/>
          </w:tcPr>
          <w:p w14:paraId="7B81864F">
            <w:pPr>
              <w:pStyle w:val="13"/>
            </w:pPr>
            <w:r>
              <w:t>发展学前教育资金管理办法</w:t>
            </w:r>
          </w:p>
        </w:tc>
      </w:tr>
      <w:tr w14:paraId="10876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ACC34"/>
        </w:tc>
        <w:tc>
          <w:tcPr>
            <w:tcW w:w="2268" w:type="dxa"/>
            <w:vAlign w:val="center"/>
          </w:tcPr>
          <w:p w14:paraId="7F4B4D0E">
            <w:pPr>
              <w:pStyle w:val="13"/>
            </w:pPr>
            <w:r>
              <w:t>成本指标</w:t>
            </w:r>
          </w:p>
        </w:tc>
        <w:tc>
          <w:tcPr>
            <w:tcW w:w="2835" w:type="dxa"/>
            <w:vAlign w:val="center"/>
          </w:tcPr>
          <w:p w14:paraId="18492209">
            <w:pPr>
              <w:pStyle w:val="13"/>
            </w:pPr>
            <w:r>
              <w:t xml:space="preserve"> 幼儿资助标准</w:t>
            </w:r>
          </w:p>
        </w:tc>
        <w:tc>
          <w:tcPr>
            <w:tcW w:w="5386" w:type="dxa"/>
            <w:vAlign w:val="center"/>
          </w:tcPr>
          <w:p w14:paraId="697B02AF">
            <w:pPr>
              <w:pStyle w:val="13"/>
            </w:pPr>
            <w:r>
              <w:t>按规定标准落实</w:t>
            </w:r>
          </w:p>
        </w:tc>
        <w:tc>
          <w:tcPr>
            <w:tcW w:w="2268" w:type="dxa"/>
            <w:vAlign w:val="center"/>
          </w:tcPr>
          <w:p w14:paraId="573E9E41">
            <w:pPr>
              <w:pStyle w:val="13"/>
            </w:pPr>
            <w:r>
              <w:t>1000元/生/年</w:t>
            </w:r>
          </w:p>
        </w:tc>
        <w:tc>
          <w:tcPr>
            <w:tcW w:w="1276" w:type="dxa"/>
            <w:vAlign w:val="center"/>
          </w:tcPr>
          <w:p w14:paraId="38FC5528">
            <w:pPr>
              <w:pStyle w:val="13"/>
            </w:pPr>
            <w:r>
              <w:t>发展学前教育资金管理办法</w:t>
            </w:r>
          </w:p>
        </w:tc>
      </w:tr>
      <w:tr w14:paraId="26E8A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50317">
            <w:pPr>
              <w:pStyle w:val="12"/>
            </w:pPr>
            <w:r>
              <w:t>效益指标</w:t>
            </w:r>
          </w:p>
        </w:tc>
        <w:tc>
          <w:tcPr>
            <w:tcW w:w="2268" w:type="dxa"/>
            <w:vAlign w:val="center"/>
          </w:tcPr>
          <w:p w14:paraId="278C9C89">
            <w:pPr>
              <w:pStyle w:val="13"/>
            </w:pPr>
            <w:r>
              <w:t>可持续影响指标</w:t>
            </w:r>
          </w:p>
        </w:tc>
        <w:tc>
          <w:tcPr>
            <w:tcW w:w="2835" w:type="dxa"/>
            <w:vAlign w:val="center"/>
          </w:tcPr>
          <w:p w14:paraId="5B74779D">
            <w:pPr>
              <w:pStyle w:val="13"/>
            </w:pPr>
            <w:r>
              <w:t>教育发展水平明显好转</w:t>
            </w:r>
          </w:p>
        </w:tc>
        <w:tc>
          <w:tcPr>
            <w:tcW w:w="5386" w:type="dxa"/>
            <w:vAlign w:val="center"/>
          </w:tcPr>
          <w:p w14:paraId="3588F181">
            <w:pPr>
              <w:pStyle w:val="13"/>
            </w:pPr>
            <w:r>
              <w:t>幼儿受教育年限</w:t>
            </w:r>
          </w:p>
        </w:tc>
        <w:tc>
          <w:tcPr>
            <w:tcW w:w="2268" w:type="dxa"/>
            <w:vAlign w:val="center"/>
          </w:tcPr>
          <w:p w14:paraId="4C47DABC">
            <w:pPr>
              <w:pStyle w:val="13"/>
            </w:pPr>
            <w:r>
              <w:t>3年</w:t>
            </w:r>
          </w:p>
        </w:tc>
        <w:tc>
          <w:tcPr>
            <w:tcW w:w="1276" w:type="dxa"/>
            <w:vAlign w:val="center"/>
          </w:tcPr>
          <w:p w14:paraId="4DEB3DF7">
            <w:pPr>
              <w:pStyle w:val="13"/>
            </w:pPr>
            <w:r>
              <w:t>发展学前教育资金管理办法</w:t>
            </w:r>
          </w:p>
        </w:tc>
      </w:tr>
      <w:tr w14:paraId="2CC79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CAE8F4">
            <w:pPr>
              <w:pStyle w:val="12"/>
            </w:pPr>
            <w:r>
              <w:t>满意度指标</w:t>
            </w:r>
          </w:p>
        </w:tc>
        <w:tc>
          <w:tcPr>
            <w:tcW w:w="2268" w:type="dxa"/>
            <w:vAlign w:val="center"/>
          </w:tcPr>
          <w:p w14:paraId="0BD71CE1">
            <w:pPr>
              <w:pStyle w:val="13"/>
            </w:pPr>
            <w:r>
              <w:t>服务对象满意度指标</w:t>
            </w:r>
          </w:p>
        </w:tc>
        <w:tc>
          <w:tcPr>
            <w:tcW w:w="2835" w:type="dxa"/>
            <w:vAlign w:val="center"/>
          </w:tcPr>
          <w:p w14:paraId="45372372">
            <w:pPr>
              <w:pStyle w:val="13"/>
            </w:pPr>
            <w:r>
              <w:t>受益幼儿家长及调查满意度</w:t>
            </w:r>
          </w:p>
        </w:tc>
        <w:tc>
          <w:tcPr>
            <w:tcW w:w="5386" w:type="dxa"/>
            <w:vAlign w:val="center"/>
          </w:tcPr>
          <w:p w14:paraId="65CB9816">
            <w:pPr>
              <w:pStyle w:val="13"/>
            </w:pPr>
            <w:r>
              <w:t>学生、教师及家长对学校保教保育工作满意度情况</w:t>
            </w:r>
          </w:p>
        </w:tc>
        <w:tc>
          <w:tcPr>
            <w:tcW w:w="2268" w:type="dxa"/>
            <w:vAlign w:val="center"/>
          </w:tcPr>
          <w:p w14:paraId="1243089C">
            <w:pPr>
              <w:pStyle w:val="13"/>
            </w:pPr>
            <w:r>
              <w:t>≥95%</w:t>
            </w:r>
          </w:p>
        </w:tc>
        <w:tc>
          <w:tcPr>
            <w:tcW w:w="1276" w:type="dxa"/>
            <w:vAlign w:val="center"/>
          </w:tcPr>
          <w:p w14:paraId="588F01C0">
            <w:pPr>
              <w:pStyle w:val="13"/>
            </w:pPr>
            <w:r>
              <w:t>幼儿资助经费管理办法</w:t>
            </w:r>
          </w:p>
        </w:tc>
      </w:tr>
    </w:tbl>
    <w:p w14:paraId="092E0296">
      <w:pPr>
        <w:sectPr>
          <w:pgSz w:w="16840" w:h="11900" w:orient="landscape"/>
          <w:pgMar w:top="1361" w:right="1020" w:bottom="1134" w:left="1020" w:header="720" w:footer="720" w:gutter="0"/>
          <w:cols w:space="720" w:num="1"/>
        </w:sectPr>
      </w:pPr>
    </w:p>
    <w:p w14:paraId="3DBAC1DD">
      <w:pPr>
        <w:spacing w:before="0" w:after="0"/>
        <w:ind w:firstLine="560"/>
        <w:jc w:val="left"/>
        <w:outlineLvl w:val="9"/>
      </w:pPr>
      <w:r>
        <w:rPr>
          <w:rFonts w:ascii="方正仿宋_GBK" w:hAnsi="方正仿宋_GBK" w:eastAsia="方正仿宋_GBK" w:cs="方正仿宋_GBK"/>
          <w:b/>
          <w:color w:val="000000"/>
          <w:sz w:val="28"/>
        </w:rPr>
        <w:t>2、冀财教[2024]121号/中央/2025年学前教育发展/唐尧街幼儿园活动场地扩建等维修改造绩效目标表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43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7A97C7">
            <w:pPr>
              <w:pStyle w:val="14"/>
            </w:pPr>
            <w:r>
              <w:t>单位：万元</w:t>
            </w:r>
          </w:p>
        </w:tc>
      </w:tr>
      <w:tr w14:paraId="7C20B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AF6C7">
            <w:pPr>
              <w:pStyle w:val="11"/>
            </w:pPr>
            <w:r>
              <w:t>项目编码</w:t>
            </w:r>
          </w:p>
        </w:tc>
        <w:tc>
          <w:tcPr>
            <w:tcW w:w="5103" w:type="dxa"/>
            <w:gridSpan w:val="2"/>
            <w:vAlign w:val="center"/>
          </w:tcPr>
          <w:p w14:paraId="73AD9E8F">
            <w:pPr>
              <w:pStyle w:val="13"/>
            </w:pPr>
            <w:r>
              <w:t>13052525P008769100093</w:t>
            </w:r>
          </w:p>
        </w:tc>
        <w:tc>
          <w:tcPr>
            <w:tcW w:w="2835" w:type="dxa"/>
            <w:vAlign w:val="center"/>
          </w:tcPr>
          <w:p w14:paraId="024184F1">
            <w:pPr>
              <w:pStyle w:val="11"/>
            </w:pPr>
            <w:r>
              <w:t>项目名称</w:t>
            </w:r>
          </w:p>
        </w:tc>
        <w:tc>
          <w:tcPr>
            <w:tcW w:w="6095" w:type="dxa"/>
            <w:gridSpan w:val="3"/>
            <w:vAlign w:val="center"/>
          </w:tcPr>
          <w:p w14:paraId="04B5221E">
            <w:pPr>
              <w:pStyle w:val="13"/>
            </w:pPr>
            <w:r>
              <w:t>冀财教[2024]121号/中央/2025年学前教育发展/唐尧街幼儿园活动场地扩建等维修改造</w:t>
            </w:r>
          </w:p>
        </w:tc>
      </w:tr>
      <w:tr w14:paraId="27AD2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78E93">
            <w:pPr>
              <w:pStyle w:val="11"/>
            </w:pPr>
            <w:r>
              <w:t>预算规模及资金用途</w:t>
            </w:r>
          </w:p>
        </w:tc>
        <w:tc>
          <w:tcPr>
            <w:tcW w:w="2268" w:type="dxa"/>
            <w:vAlign w:val="center"/>
          </w:tcPr>
          <w:p w14:paraId="7D6D80AE">
            <w:pPr>
              <w:pStyle w:val="11"/>
            </w:pPr>
            <w:r>
              <w:t>预算数</w:t>
            </w:r>
          </w:p>
        </w:tc>
        <w:tc>
          <w:tcPr>
            <w:tcW w:w="2835" w:type="dxa"/>
            <w:vAlign w:val="center"/>
          </w:tcPr>
          <w:p w14:paraId="6D80FDB8">
            <w:pPr>
              <w:pStyle w:val="13"/>
            </w:pPr>
            <w:r>
              <w:t>33.51</w:t>
            </w:r>
          </w:p>
        </w:tc>
        <w:tc>
          <w:tcPr>
            <w:tcW w:w="2835" w:type="dxa"/>
            <w:vAlign w:val="center"/>
          </w:tcPr>
          <w:p w14:paraId="1E9419F0">
            <w:pPr>
              <w:pStyle w:val="11"/>
            </w:pPr>
            <w:r>
              <w:t>其中：财政    资金</w:t>
            </w:r>
          </w:p>
        </w:tc>
        <w:tc>
          <w:tcPr>
            <w:tcW w:w="2551" w:type="dxa"/>
            <w:vAlign w:val="center"/>
          </w:tcPr>
          <w:p w14:paraId="00428883">
            <w:pPr>
              <w:pStyle w:val="13"/>
            </w:pPr>
            <w:r>
              <w:t>33.51</w:t>
            </w:r>
          </w:p>
        </w:tc>
        <w:tc>
          <w:tcPr>
            <w:tcW w:w="2268" w:type="dxa"/>
            <w:vAlign w:val="center"/>
          </w:tcPr>
          <w:p w14:paraId="7531E876">
            <w:pPr>
              <w:pStyle w:val="11"/>
            </w:pPr>
            <w:r>
              <w:t>其他资金</w:t>
            </w:r>
          </w:p>
        </w:tc>
        <w:tc>
          <w:tcPr>
            <w:tcW w:w="1276" w:type="dxa"/>
            <w:vAlign w:val="center"/>
          </w:tcPr>
          <w:p w14:paraId="45E5BA2E">
            <w:pPr>
              <w:pStyle w:val="13"/>
            </w:pPr>
            <w:r>
              <w:t xml:space="preserve"> </w:t>
            </w:r>
          </w:p>
        </w:tc>
      </w:tr>
      <w:tr w14:paraId="6C456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14E1AA"/>
        </w:tc>
        <w:tc>
          <w:tcPr>
            <w:tcW w:w="14033" w:type="dxa"/>
            <w:gridSpan w:val="6"/>
            <w:vAlign w:val="center"/>
          </w:tcPr>
          <w:p w14:paraId="4B1342BE">
            <w:pPr>
              <w:pStyle w:val="13"/>
            </w:pPr>
            <w:r>
              <w:t>完成唐尧街幼儿园活动场地维修改造，满足幼儿园正常教学需要。</w:t>
            </w:r>
          </w:p>
        </w:tc>
      </w:tr>
      <w:tr w14:paraId="67F17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B98C2">
            <w:pPr>
              <w:pStyle w:val="11"/>
            </w:pPr>
            <w:r>
              <w:t>资金支出计划（%）</w:t>
            </w:r>
          </w:p>
        </w:tc>
        <w:tc>
          <w:tcPr>
            <w:tcW w:w="5103" w:type="dxa"/>
            <w:gridSpan w:val="2"/>
            <w:vAlign w:val="center"/>
          </w:tcPr>
          <w:p w14:paraId="58A18019">
            <w:pPr>
              <w:pStyle w:val="11"/>
            </w:pPr>
            <w:r>
              <w:t>3月底</w:t>
            </w:r>
          </w:p>
        </w:tc>
        <w:tc>
          <w:tcPr>
            <w:tcW w:w="2835" w:type="dxa"/>
            <w:vAlign w:val="center"/>
          </w:tcPr>
          <w:p w14:paraId="5256AD27">
            <w:pPr>
              <w:pStyle w:val="11"/>
            </w:pPr>
            <w:r>
              <w:t>6月底</w:t>
            </w:r>
          </w:p>
        </w:tc>
        <w:tc>
          <w:tcPr>
            <w:tcW w:w="2551" w:type="dxa"/>
            <w:vAlign w:val="center"/>
          </w:tcPr>
          <w:p w14:paraId="58E1993D">
            <w:pPr>
              <w:pStyle w:val="11"/>
            </w:pPr>
            <w:r>
              <w:t>10月底</w:t>
            </w:r>
          </w:p>
        </w:tc>
        <w:tc>
          <w:tcPr>
            <w:tcW w:w="3544" w:type="dxa"/>
            <w:gridSpan w:val="2"/>
            <w:vAlign w:val="center"/>
          </w:tcPr>
          <w:p w14:paraId="225F4470">
            <w:pPr>
              <w:pStyle w:val="11"/>
            </w:pPr>
            <w:r>
              <w:t>12月底</w:t>
            </w:r>
          </w:p>
        </w:tc>
      </w:tr>
      <w:tr w14:paraId="2306C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19D9A"/>
        </w:tc>
        <w:tc>
          <w:tcPr>
            <w:tcW w:w="5103" w:type="dxa"/>
            <w:gridSpan w:val="2"/>
            <w:vAlign w:val="center"/>
          </w:tcPr>
          <w:p w14:paraId="65049F58">
            <w:pPr>
              <w:pStyle w:val="12"/>
            </w:pPr>
            <w:r>
              <w:t>25%</w:t>
            </w:r>
          </w:p>
        </w:tc>
        <w:tc>
          <w:tcPr>
            <w:tcW w:w="2835" w:type="dxa"/>
            <w:vAlign w:val="center"/>
          </w:tcPr>
          <w:p w14:paraId="6CD98149">
            <w:pPr>
              <w:pStyle w:val="12"/>
            </w:pPr>
            <w:r>
              <w:t>50%</w:t>
            </w:r>
          </w:p>
        </w:tc>
        <w:tc>
          <w:tcPr>
            <w:tcW w:w="2551" w:type="dxa"/>
            <w:vAlign w:val="center"/>
          </w:tcPr>
          <w:p w14:paraId="101335D0">
            <w:pPr>
              <w:pStyle w:val="12"/>
            </w:pPr>
            <w:r>
              <w:t>75%</w:t>
            </w:r>
          </w:p>
        </w:tc>
        <w:tc>
          <w:tcPr>
            <w:tcW w:w="3544" w:type="dxa"/>
            <w:gridSpan w:val="2"/>
            <w:vAlign w:val="center"/>
          </w:tcPr>
          <w:p w14:paraId="73B387F5">
            <w:pPr>
              <w:pStyle w:val="12"/>
            </w:pPr>
            <w:r>
              <w:t>100%</w:t>
            </w:r>
          </w:p>
        </w:tc>
      </w:tr>
      <w:tr w14:paraId="25DFD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C562C1">
            <w:pPr>
              <w:pStyle w:val="11"/>
            </w:pPr>
            <w:r>
              <w:t>绩效目标</w:t>
            </w:r>
          </w:p>
        </w:tc>
        <w:tc>
          <w:tcPr>
            <w:tcW w:w="14033" w:type="dxa"/>
            <w:gridSpan w:val="6"/>
            <w:vAlign w:val="center"/>
          </w:tcPr>
          <w:p w14:paraId="1CB7EE80">
            <w:pPr>
              <w:pStyle w:val="13"/>
            </w:pPr>
            <w:r>
              <w:t>1.按规定拨付专项资金 ，资金拨付率达到100%。</w:t>
            </w:r>
          </w:p>
          <w:p w14:paraId="6C7FDE9A">
            <w:pPr>
              <w:pStyle w:val="13"/>
            </w:pPr>
            <w:r>
              <w:t>2.完成唐尧街幼儿园活动场地维修改造，满足幼儿园正常教学需要。</w:t>
            </w:r>
          </w:p>
        </w:tc>
      </w:tr>
    </w:tbl>
    <w:p w14:paraId="39B326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A3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E2A6C">
            <w:pPr>
              <w:pStyle w:val="11"/>
            </w:pPr>
            <w:r>
              <w:t>一级指标</w:t>
            </w:r>
          </w:p>
        </w:tc>
        <w:tc>
          <w:tcPr>
            <w:tcW w:w="2268" w:type="dxa"/>
            <w:vAlign w:val="center"/>
          </w:tcPr>
          <w:p w14:paraId="6AC082AC">
            <w:pPr>
              <w:pStyle w:val="11"/>
            </w:pPr>
            <w:r>
              <w:t>二级指标</w:t>
            </w:r>
          </w:p>
        </w:tc>
        <w:tc>
          <w:tcPr>
            <w:tcW w:w="2835" w:type="dxa"/>
            <w:vAlign w:val="center"/>
          </w:tcPr>
          <w:p w14:paraId="6690E7F7">
            <w:pPr>
              <w:pStyle w:val="11"/>
            </w:pPr>
            <w:r>
              <w:t>三级指标</w:t>
            </w:r>
          </w:p>
        </w:tc>
        <w:tc>
          <w:tcPr>
            <w:tcW w:w="5386" w:type="dxa"/>
            <w:vAlign w:val="center"/>
          </w:tcPr>
          <w:p w14:paraId="0982B7D6">
            <w:pPr>
              <w:pStyle w:val="11"/>
            </w:pPr>
            <w:r>
              <w:t>绩效指标描述</w:t>
            </w:r>
          </w:p>
        </w:tc>
        <w:tc>
          <w:tcPr>
            <w:tcW w:w="2268" w:type="dxa"/>
            <w:vAlign w:val="center"/>
          </w:tcPr>
          <w:p w14:paraId="5C075095">
            <w:pPr>
              <w:pStyle w:val="11"/>
            </w:pPr>
            <w:r>
              <w:t>指标值</w:t>
            </w:r>
          </w:p>
        </w:tc>
        <w:tc>
          <w:tcPr>
            <w:tcW w:w="1276" w:type="dxa"/>
            <w:vAlign w:val="center"/>
          </w:tcPr>
          <w:p w14:paraId="571CADB2">
            <w:pPr>
              <w:pStyle w:val="11"/>
            </w:pPr>
            <w:r>
              <w:t>指标值确定依据</w:t>
            </w:r>
          </w:p>
        </w:tc>
      </w:tr>
      <w:tr w14:paraId="019AE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B3288">
            <w:pPr>
              <w:pStyle w:val="12"/>
            </w:pPr>
            <w:r>
              <w:t>产出指标</w:t>
            </w:r>
          </w:p>
        </w:tc>
        <w:tc>
          <w:tcPr>
            <w:tcW w:w="2268" w:type="dxa"/>
            <w:vAlign w:val="center"/>
          </w:tcPr>
          <w:p w14:paraId="7AAE9A27">
            <w:pPr>
              <w:pStyle w:val="13"/>
            </w:pPr>
            <w:r>
              <w:t>数量指标</w:t>
            </w:r>
          </w:p>
        </w:tc>
        <w:tc>
          <w:tcPr>
            <w:tcW w:w="2835" w:type="dxa"/>
            <w:vAlign w:val="center"/>
          </w:tcPr>
          <w:p w14:paraId="1C091CA1">
            <w:pPr>
              <w:pStyle w:val="13"/>
            </w:pPr>
            <w:r>
              <w:t>幼儿园维修改造</w:t>
            </w:r>
          </w:p>
        </w:tc>
        <w:tc>
          <w:tcPr>
            <w:tcW w:w="5386" w:type="dxa"/>
            <w:vAlign w:val="center"/>
          </w:tcPr>
          <w:p w14:paraId="56987722">
            <w:pPr>
              <w:pStyle w:val="13"/>
            </w:pPr>
            <w:r>
              <w:t xml:space="preserve"> 完成幼儿园活动场地扩建改造</w:t>
            </w:r>
          </w:p>
        </w:tc>
        <w:tc>
          <w:tcPr>
            <w:tcW w:w="2268" w:type="dxa"/>
            <w:vAlign w:val="center"/>
          </w:tcPr>
          <w:p w14:paraId="3D98878E">
            <w:pPr>
              <w:pStyle w:val="13"/>
            </w:pPr>
            <w:r>
              <w:t>1000平米</w:t>
            </w:r>
          </w:p>
        </w:tc>
        <w:tc>
          <w:tcPr>
            <w:tcW w:w="1276" w:type="dxa"/>
            <w:vAlign w:val="center"/>
          </w:tcPr>
          <w:p w14:paraId="73745F61">
            <w:pPr>
              <w:pStyle w:val="13"/>
            </w:pPr>
            <w:r>
              <w:t>城乡义务教育公用经费管理办法</w:t>
            </w:r>
          </w:p>
        </w:tc>
      </w:tr>
      <w:tr w14:paraId="4BC7C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CF44"/>
        </w:tc>
        <w:tc>
          <w:tcPr>
            <w:tcW w:w="2268" w:type="dxa"/>
            <w:vAlign w:val="center"/>
          </w:tcPr>
          <w:p w14:paraId="6CFF54C0">
            <w:pPr>
              <w:pStyle w:val="13"/>
            </w:pPr>
            <w:r>
              <w:t>质量指标</w:t>
            </w:r>
          </w:p>
        </w:tc>
        <w:tc>
          <w:tcPr>
            <w:tcW w:w="2835" w:type="dxa"/>
            <w:vAlign w:val="center"/>
          </w:tcPr>
          <w:p w14:paraId="4F097E10">
            <w:pPr>
              <w:pStyle w:val="13"/>
            </w:pPr>
            <w:r>
              <w:t>预算执行率</w:t>
            </w:r>
          </w:p>
        </w:tc>
        <w:tc>
          <w:tcPr>
            <w:tcW w:w="5386" w:type="dxa"/>
            <w:vAlign w:val="center"/>
          </w:tcPr>
          <w:p w14:paraId="35EFC2D6">
            <w:pPr>
              <w:pStyle w:val="13"/>
            </w:pPr>
            <w:r>
              <w:t>预算执行率≥98</w:t>
            </w:r>
          </w:p>
        </w:tc>
        <w:tc>
          <w:tcPr>
            <w:tcW w:w="2268" w:type="dxa"/>
            <w:vAlign w:val="center"/>
          </w:tcPr>
          <w:p w14:paraId="6CF86907">
            <w:pPr>
              <w:pStyle w:val="13"/>
            </w:pPr>
            <w:r>
              <w:t>≥98%</w:t>
            </w:r>
          </w:p>
        </w:tc>
        <w:tc>
          <w:tcPr>
            <w:tcW w:w="1276" w:type="dxa"/>
            <w:vAlign w:val="center"/>
          </w:tcPr>
          <w:p w14:paraId="3E9D6C4C">
            <w:pPr>
              <w:pStyle w:val="13"/>
            </w:pPr>
            <w:r>
              <w:t>城乡义务教育公用经费管理办法</w:t>
            </w:r>
          </w:p>
        </w:tc>
      </w:tr>
      <w:tr w14:paraId="40590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37DDD"/>
        </w:tc>
        <w:tc>
          <w:tcPr>
            <w:tcW w:w="2268" w:type="dxa"/>
            <w:vAlign w:val="center"/>
          </w:tcPr>
          <w:p w14:paraId="6945C8BF">
            <w:pPr>
              <w:pStyle w:val="13"/>
            </w:pPr>
            <w:r>
              <w:t>时效指标</w:t>
            </w:r>
          </w:p>
        </w:tc>
        <w:tc>
          <w:tcPr>
            <w:tcW w:w="2835" w:type="dxa"/>
            <w:vAlign w:val="center"/>
          </w:tcPr>
          <w:p w14:paraId="56827788">
            <w:pPr>
              <w:pStyle w:val="13"/>
            </w:pPr>
            <w:r>
              <w:t>经费支付完成率</w:t>
            </w:r>
          </w:p>
        </w:tc>
        <w:tc>
          <w:tcPr>
            <w:tcW w:w="5386" w:type="dxa"/>
            <w:vAlign w:val="center"/>
          </w:tcPr>
          <w:p w14:paraId="34858B02">
            <w:pPr>
              <w:pStyle w:val="13"/>
            </w:pPr>
            <w:r>
              <w:t>按照序时进度完成资金支付</w:t>
            </w:r>
          </w:p>
        </w:tc>
        <w:tc>
          <w:tcPr>
            <w:tcW w:w="2268" w:type="dxa"/>
            <w:vAlign w:val="center"/>
          </w:tcPr>
          <w:p w14:paraId="06B19FFB">
            <w:pPr>
              <w:pStyle w:val="13"/>
            </w:pPr>
            <w:r>
              <w:t>≥100%</w:t>
            </w:r>
          </w:p>
        </w:tc>
        <w:tc>
          <w:tcPr>
            <w:tcW w:w="1276" w:type="dxa"/>
            <w:vAlign w:val="center"/>
          </w:tcPr>
          <w:p w14:paraId="66507620">
            <w:pPr>
              <w:pStyle w:val="13"/>
            </w:pPr>
            <w:r>
              <w:t>城乡义务教育公用经费管理办法</w:t>
            </w:r>
          </w:p>
        </w:tc>
      </w:tr>
      <w:tr w14:paraId="3A59D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72DBF"/>
        </w:tc>
        <w:tc>
          <w:tcPr>
            <w:tcW w:w="2268" w:type="dxa"/>
            <w:vAlign w:val="center"/>
          </w:tcPr>
          <w:p w14:paraId="700A23A4">
            <w:pPr>
              <w:pStyle w:val="13"/>
            </w:pPr>
            <w:r>
              <w:t>成本指标</w:t>
            </w:r>
          </w:p>
        </w:tc>
        <w:tc>
          <w:tcPr>
            <w:tcW w:w="2835" w:type="dxa"/>
            <w:vAlign w:val="center"/>
          </w:tcPr>
          <w:p w14:paraId="440D6830">
            <w:pPr>
              <w:pStyle w:val="13"/>
            </w:pPr>
            <w:r>
              <w:t>项目实际成本</w:t>
            </w:r>
          </w:p>
        </w:tc>
        <w:tc>
          <w:tcPr>
            <w:tcW w:w="5386" w:type="dxa"/>
            <w:vAlign w:val="center"/>
          </w:tcPr>
          <w:p w14:paraId="4F7637A7">
            <w:pPr>
              <w:pStyle w:val="13"/>
            </w:pPr>
            <w:r>
              <w:t>幼儿园内多处维修改造</w:t>
            </w:r>
          </w:p>
        </w:tc>
        <w:tc>
          <w:tcPr>
            <w:tcW w:w="2268" w:type="dxa"/>
            <w:vAlign w:val="center"/>
          </w:tcPr>
          <w:p w14:paraId="5D11533C">
            <w:pPr>
              <w:pStyle w:val="13"/>
            </w:pPr>
            <w:r>
              <w:t>33.51万元</w:t>
            </w:r>
          </w:p>
        </w:tc>
        <w:tc>
          <w:tcPr>
            <w:tcW w:w="1276" w:type="dxa"/>
            <w:vAlign w:val="center"/>
          </w:tcPr>
          <w:p w14:paraId="4D94700D">
            <w:pPr>
              <w:pStyle w:val="13"/>
            </w:pPr>
            <w:r>
              <w:t>城乡义务教育公用经费管理办法</w:t>
            </w:r>
          </w:p>
        </w:tc>
      </w:tr>
      <w:tr w14:paraId="3B856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8B0256">
            <w:pPr>
              <w:pStyle w:val="12"/>
            </w:pPr>
            <w:r>
              <w:t>效益指标</w:t>
            </w:r>
          </w:p>
        </w:tc>
        <w:tc>
          <w:tcPr>
            <w:tcW w:w="2268" w:type="dxa"/>
            <w:vAlign w:val="center"/>
          </w:tcPr>
          <w:p w14:paraId="6F8FFA15">
            <w:pPr>
              <w:pStyle w:val="13"/>
            </w:pPr>
            <w:r>
              <w:t>可持续影响指标</w:t>
            </w:r>
          </w:p>
        </w:tc>
        <w:tc>
          <w:tcPr>
            <w:tcW w:w="2835" w:type="dxa"/>
            <w:vAlign w:val="center"/>
          </w:tcPr>
          <w:p w14:paraId="7AA1942B">
            <w:pPr>
              <w:pStyle w:val="13"/>
            </w:pPr>
            <w:r>
              <w:t>幼儿园运转得到提高</w:t>
            </w:r>
          </w:p>
        </w:tc>
        <w:tc>
          <w:tcPr>
            <w:tcW w:w="5386" w:type="dxa"/>
            <w:vAlign w:val="center"/>
          </w:tcPr>
          <w:p w14:paraId="65DDBFF7">
            <w:pPr>
              <w:pStyle w:val="13"/>
            </w:pPr>
            <w:r>
              <w:t>学生受教育年限</w:t>
            </w:r>
          </w:p>
        </w:tc>
        <w:tc>
          <w:tcPr>
            <w:tcW w:w="2268" w:type="dxa"/>
            <w:vAlign w:val="center"/>
          </w:tcPr>
          <w:p w14:paraId="1E22EE03">
            <w:pPr>
              <w:pStyle w:val="13"/>
            </w:pPr>
            <w:r>
              <w:t>3年</w:t>
            </w:r>
          </w:p>
        </w:tc>
        <w:tc>
          <w:tcPr>
            <w:tcW w:w="1276" w:type="dxa"/>
            <w:vAlign w:val="center"/>
          </w:tcPr>
          <w:p w14:paraId="3069B5B3">
            <w:pPr>
              <w:pStyle w:val="13"/>
            </w:pPr>
            <w:r>
              <w:t>城乡义务教育公用经费管理办法</w:t>
            </w:r>
          </w:p>
        </w:tc>
      </w:tr>
      <w:tr w14:paraId="01F30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DA055">
            <w:pPr>
              <w:pStyle w:val="12"/>
            </w:pPr>
            <w:r>
              <w:t>满意度指标</w:t>
            </w:r>
          </w:p>
        </w:tc>
        <w:tc>
          <w:tcPr>
            <w:tcW w:w="2268" w:type="dxa"/>
            <w:vAlign w:val="center"/>
          </w:tcPr>
          <w:p w14:paraId="634F49B6">
            <w:pPr>
              <w:pStyle w:val="13"/>
            </w:pPr>
            <w:r>
              <w:t>服务对象满意度指标</w:t>
            </w:r>
          </w:p>
        </w:tc>
        <w:tc>
          <w:tcPr>
            <w:tcW w:w="2835" w:type="dxa"/>
            <w:vAlign w:val="center"/>
          </w:tcPr>
          <w:p w14:paraId="361DAD04">
            <w:pPr>
              <w:pStyle w:val="13"/>
            </w:pPr>
            <w:r>
              <w:t>服务对象满意度</w:t>
            </w:r>
          </w:p>
        </w:tc>
        <w:tc>
          <w:tcPr>
            <w:tcW w:w="5386" w:type="dxa"/>
            <w:vAlign w:val="center"/>
          </w:tcPr>
          <w:p w14:paraId="1A9B866C">
            <w:pPr>
              <w:pStyle w:val="13"/>
            </w:pPr>
            <w:r>
              <w:t>学校老师和学生满意度</w:t>
            </w:r>
          </w:p>
        </w:tc>
        <w:tc>
          <w:tcPr>
            <w:tcW w:w="2268" w:type="dxa"/>
            <w:vAlign w:val="center"/>
          </w:tcPr>
          <w:p w14:paraId="3E91B8C8">
            <w:pPr>
              <w:pStyle w:val="13"/>
            </w:pPr>
            <w:r>
              <w:t>≥95%</w:t>
            </w:r>
          </w:p>
        </w:tc>
        <w:tc>
          <w:tcPr>
            <w:tcW w:w="1276" w:type="dxa"/>
            <w:vAlign w:val="center"/>
          </w:tcPr>
          <w:p w14:paraId="71A9263D">
            <w:pPr>
              <w:pStyle w:val="13"/>
            </w:pPr>
            <w:r>
              <w:t>城乡义务教育公用经费管理办法</w:t>
            </w:r>
          </w:p>
        </w:tc>
      </w:tr>
    </w:tbl>
    <w:p w14:paraId="5B785C7A">
      <w:pPr>
        <w:sectPr>
          <w:pgSz w:w="16840" w:h="11900" w:orient="landscape"/>
          <w:pgMar w:top="1361" w:right="1020" w:bottom="1134" w:left="1020" w:header="720" w:footer="720" w:gutter="0"/>
          <w:cols w:space="720" w:num="1"/>
        </w:sectPr>
      </w:pPr>
    </w:p>
    <w:p w14:paraId="75753744">
      <w:pPr>
        <w:spacing w:before="0" w:after="0"/>
        <w:ind w:firstLine="560"/>
        <w:jc w:val="left"/>
        <w:outlineLvl w:val="9"/>
      </w:pPr>
      <w:r>
        <w:rPr>
          <w:rFonts w:ascii="方正仿宋_GBK" w:hAnsi="方正仿宋_GBK" w:eastAsia="方正仿宋_GBK" w:cs="方正仿宋_GBK"/>
          <w:b/>
          <w:color w:val="000000"/>
          <w:sz w:val="28"/>
        </w:rPr>
        <w:t>3、冀财教[2024]121号/中央/2025年学前教育发展/唐尧街幼儿园走廊、室内吊顶等维修改造绩效目标表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16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3B39B">
            <w:pPr>
              <w:pStyle w:val="14"/>
            </w:pPr>
            <w:r>
              <w:t>单位：万元</w:t>
            </w:r>
          </w:p>
        </w:tc>
      </w:tr>
      <w:tr w14:paraId="4C963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134C1DBD">
            <w:pPr>
              <w:pStyle w:val="11"/>
            </w:pPr>
            <w:r>
              <w:t>项目编码</w:t>
            </w:r>
          </w:p>
        </w:tc>
        <w:tc>
          <w:tcPr>
            <w:tcW w:w="5103" w:type="dxa"/>
            <w:gridSpan w:val="2"/>
            <w:vAlign w:val="center"/>
          </w:tcPr>
          <w:p w14:paraId="00E7A4C2">
            <w:pPr>
              <w:pStyle w:val="13"/>
            </w:pPr>
            <w:r>
              <w:t>13052525P00876910010E</w:t>
            </w:r>
          </w:p>
        </w:tc>
        <w:tc>
          <w:tcPr>
            <w:tcW w:w="2835" w:type="dxa"/>
            <w:vAlign w:val="center"/>
          </w:tcPr>
          <w:p w14:paraId="70E0A585">
            <w:pPr>
              <w:pStyle w:val="11"/>
            </w:pPr>
            <w:r>
              <w:t>项目名称</w:t>
            </w:r>
          </w:p>
        </w:tc>
        <w:tc>
          <w:tcPr>
            <w:tcW w:w="6095" w:type="dxa"/>
            <w:gridSpan w:val="3"/>
            <w:vAlign w:val="center"/>
          </w:tcPr>
          <w:p w14:paraId="600681B6">
            <w:pPr>
              <w:pStyle w:val="13"/>
            </w:pPr>
            <w:r>
              <w:t>冀财教[2024]121号/中央/2025年学前教育发展/唐尧街幼儿园走廊、室内吊顶等维修改造</w:t>
            </w:r>
          </w:p>
        </w:tc>
      </w:tr>
      <w:tr w14:paraId="32EC53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D0E91">
            <w:pPr>
              <w:pStyle w:val="11"/>
            </w:pPr>
            <w:r>
              <w:t>预算规模及资金用途</w:t>
            </w:r>
          </w:p>
        </w:tc>
        <w:tc>
          <w:tcPr>
            <w:tcW w:w="2268" w:type="dxa"/>
            <w:vAlign w:val="center"/>
          </w:tcPr>
          <w:p w14:paraId="6BCFB937">
            <w:pPr>
              <w:pStyle w:val="11"/>
            </w:pPr>
            <w:r>
              <w:t>预算数</w:t>
            </w:r>
          </w:p>
        </w:tc>
        <w:tc>
          <w:tcPr>
            <w:tcW w:w="2835" w:type="dxa"/>
            <w:vAlign w:val="center"/>
          </w:tcPr>
          <w:p w14:paraId="0562457C">
            <w:pPr>
              <w:pStyle w:val="13"/>
            </w:pPr>
            <w:r>
              <w:t>20.87</w:t>
            </w:r>
          </w:p>
        </w:tc>
        <w:tc>
          <w:tcPr>
            <w:tcW w:w="2835" w:type="dxa"/>
            <w:vAlign w:val="center"/>
          </w:tcPr>
          <w:p w14:paraId="793B6D9D">
            <w:pPr>
              <w:pStyle w:val="11"/>
            </w:pPr>
            <w:r>
              <w:t>其中：财政    资金</w:t>
            </w:r>
          </w:p>
        </w:tc>
        <w:tc>
          <w:tcPr>
            <w:tcW w:w="2551" w:type="dxa"/>
            <w:vAlign w:val="center"/>
          </w:tcPr>
          <w:p w14:paraId="505A9394">
            <w:pPr>
              <w:pStyle w:val="13"/>
            </w:pPr>
            <w:r>
              <w:t>20.87</w:t>
            </w:r>
          </w:p>
        </w:tc>
        <w:tc>
          <w:tcPr>
            <w:tcW w:w="2268" w:type="dxa"/>
            <w:vAlign w:val="center"/>
          </w:tcPr>
          <w:p w14:paraId="53826A49">
            <w:pPr>
              <w:pStyle w:val="11"/>
            </w:pPr>
            <w:r>
              <w:t>其他资金</w:t>
            </w:r>
          </w:p>
        </w:tc>
        <w:tc>
          <w:tcPr>
            <w:tcW w:w="1276" w:type="dxa"/>
            <w:vAlign w:val="center"/>
          </w:tcPr>
          <w:p w14:paraId="7AA0338C">
            <w:pPr>
              <w:pStyle w:val="13"/>
            </w:pPr>
            <w:r>
              <w:t xml:space="preserve"> </w:t>
            </w:r>
          </w:p>
        </w:tc>
      </w:tr>
      <w:tr w14:paraId="37FD9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24B48"/>
        </w:tc>
        <w:tc>
          <w:tcPr>
            <w:tcW w:w="14033" w:type="dxa"/>
            <w:gridSpan w:val="6"/>
            <w:vAlign w:val="center"/>
          </w:tcPr>
          <w:p w14:paraId="588B7935">
            <w:pPr>
              <w:pStyle w:val="13"/>
            </w:pPr>
            <w:r>
              <w:t>完成唐尧街幼儿园室内吊顶等维修改造，满足幼儿园正常教学需要。</w:t>
            </w:r>
          </w:p>
        </w:tc>
      </w:tr>
      <w:tr w14:paraId="5B361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C8007">
            <w:pPr>
              <w:pStyle w:val="11"/>
            </w:pPr>
            <w:r>
              <w:t>资金支出计划（%）</w:t>
            </w:r>
          </w:p>
        </w:tc>
        <w:tc>
          <w:tcPr>
            <w:tcW w:w="5103" w:type="dxa"/>
            <w:gridSpan w:val="2"/>
            <w:vAlign w:val="center"/>
          </w:tcPr>
          <w:p w14:paraId="4AF4BFA1">
            <w:pPr>
              <w:pStyle w:val="11"/>
            </w:pPr>
            <w:r>
              <w:t>3月底</w:t>
            </w:r>
          </w:p>
        </w:tc>
        <w:tc>
          <w:tcPr>
            <w:tcW w:w="2835" w:type="dxa"/>
            <w:vAlign w:val="center"/>
          </w:tcPr>
          <w:p w14:paraId="2B61DB18">
            <w:pPr>
              <w:pStyle w:val="11"/>
            </w:pPr>
            <w:r>
              <w:t>6月底</w:t>
            </w:r>
          </w:p>
        </w:tc>
        <w:tc>
          <w:tcPr>
            <w:tcW w:w="2551" w:type="dxa"/>
            <w:vAlign w:val="center"/>
          </w:tcPr>
          <w:p w14:paraId="3FF1369C">
            <w:pPr>
              <w:pStyle w:val="11"/>
            </w:pPr>
            <w:r>
              <w:t>10月底</w:t>
            </w:r>
          </w:p>
        </w:tc>
        <w:tc>
          <w:tcPr>
            <w:tcW w:w="3544" w:type="dxa"/>
            <w:gridSpan w:val="2"/>
            <w:vAlign w:val="center"/>
          </w:tcPr>
          <w:p w14:paraId="2592E9C9">
            <w:pPr>
              <w:pStyle w:val="11"/>
            </w:pPr>
            <w:r>
              <w:t>12月底</w:t>
            </w:r>
          </w:p>
        </w:tc>
      </w:tr>
      <w:tr w14:paraId="5055B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D13FD"/>
        </w:tc>
        <w:tc>
          <w:tcPr>
            <w:tcW w:w="5103" w:type="dxa"/>
            <w:gridSpan w:val="2"/>
            <w:vAlign w:val="center"/>
          </w:tcPr>
          <w:p w14:paraId="6E1B0F24">
            <w:pPr>
              <w:pStyle w:val="12"/>
            </w:pPr>
            <w:r>
              <w:t>25%</w:t>
            </w:r>
          </w:p>
        </w:tc>
        <w:tc>
          <w:tcPr>
            <w:tcW w:w="2835" w:type="dxa"/>
            <w:vAlign w:val="center"/>
          </w:tcPr>
          <w:p w14:paraId="61F8F785">
            <w:pPr>
              <w:pStyle w:val="12"/>
            </w:pPr>
            <w:r>
              <w:t>50%</w:t>
            </w:r>
          </w:p>
        </w:tc>
        <w:tc>
          <w:tcPr>
            <w:tcW w:w="2551" w:type="dxa"/>
            <w:vAlign w:val="center"/>
          </w:tcPr>
          <w:p w14:paraId="6F218EC7">
            <w:pPr>
              <w:pStyle w:val="12"/>
            </w:pPr>
            <w:r>
              <w:t>75%</w:t>
            </w:r>
          </w:p>
        </w:tc>
        <w:tc>
          <w:tcPr>
            <w:tcW w:w="3544" w:type="dxa"/>
            <w:gridSpan w:val="2"/>
            <w:vAlign w:val="center"/>
          </w:tcPr>
          <w:p w14:paraId="1862359F">
            <w:pPr>
              <w:pStyle w:val="12"/>
            </w:pPr>
            <w:r>
              <w:t>100%</w:t>
            </w:r>
          </w:p>
        </w:tc>
      </w:tr>
      <w:tr w14:paraId="600B2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4F36DC">
            <w:pPr>
              <w:pStyle w:val="11"/>
            </w:pPr>
            <w:r>
              <w:t>绩效目标</w:t>
            </w:r>
          </w:p>
        </w:tc>
        <w:tc>
          <w:tcPr>
            <w:tcW w:w="14033" w:type="dxa"/>
            <w:gridSpan w:val="6"/>
            <w:vAlign w:val="center"/>
          </w:tcPr>
          <w:p w14:paraId="7B4EE38F">
            <w:pPr>
              <w:pStyle w:val="13"/>
            </w:pPr>
            <w:r>
              <w:t>1.完成唐尧街幼儿园室内吊顶等维修改造，满足幼儿园正常教学需要。</w:t>
            </w:r>
          </w:p>
        </w:tc>
      </w:tr>
    </w:tbl>
    <w:p w14:paraId="5F0D1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DD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3317A">
            <w:pPr>
              <w:pStyle w:val="11"/>
            </w:pPr>
            <w:r>
              <w:t>一级指标</w:t>
            </w:r>
          </w:p>
        </w:tc>
        <w:tc>
          <w:tcPr>
            <w:tcW w:w="2268" w:type="dxa"/>
            <w:vAlign w:val="center"/>
          </w:tcPr>
          <w:p w14:paraId="41D726A3">
            <w:pPr>
              <w:pStyle w:val="11"/>
            </w:pPr>
            <w:r>
              <w:t>二级指标</w:t>
            </w:r>
          </w:p>
        </w:tc>
        <w:tc>
          <w:tcPr>
            <w:tcW w:w="2835" w:type="dxa"/>
            <w:vAlign w:val="center"/>
          </w:tcPr>
          <w:p w14:paraId="4FAA5C22">
            <w:pPr>
              <w:pStyle w:val="11"/>
            </w:pPr>
            <w:r>
              <w:t>三级指标</w:t>
            </w:r>
          </w:p>
        </w:tc>
        <w:tc>
          <w:tcPr>
            <w:tcW w:w="5386" w:type="dxa"/>
            <w:vAlign w:val="center"/>
          </w:tcPr>
          <w:p w14:paraId="276F8AD3">
            <w:pPr>
              <w:pStyle w:val="11"/>
            </w:pPr>
            <w:r>
              <w:t>绩效指标描述</w:t>
            </w:r>
          </w:p>
        </w:tc>
        <w:tc>
          <w:tcPr>
            <w:tcW w:w="2268" w:type="dxa"/>
            <w:vAlign w:val="center"/>
          </w:tcPr>
          <w:p w14:paraId="5C68FB7F">
            <w:pPr>
              <w:pStyle w:val="11"/>
            </w:pPr>
            <w:r>
              <w:t>指标值</w:t>
            </w:r>
          </w:p>
        </w:tc>
        <w:tc>
          <w:tcPr>
            <w:tcW w:w="1276" w:type="dxa"/>
            <w:vAlign w:val="center"/>
          </w:tcPr>
          <w:p w14:paraId="0FACBE5D">
            <w:pPr>
              <w:pStyle w:val="11"/>
            </w:pPr>
            <w:r>
              <w:t>指标值确定依据</w:t>
            </w:r>
          </w:p>
        </w:tc>
      </w:tr>
      <w:tr w14:paraId="1F262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42A9F">
            <w:pPr>
              <w:pStyle w:val="12"/>
            </w:pPr>
            <w:r>
              <w:t>产出指标</w:t>
            </w:r>
          </w:p>
        </w:tc>
        <w:tc>
          <w:tcPr>
            <w:tcW w:w="2268" w:type="dxa"/>
            <w:vAlign w:val="center"/>
          </w:tcPr>
          <w:p w14:paraId="5D3B6A47">
            <w:pPr>
              <w:pStyle w:val="13"/>
            </w:pPr>
            <w:r>
              <w:t>数量指标</w:t>
            </w:r>
          </w:p>
        </w:tc>
        <w:tc>
          <w:tcPr>
            <w:tcW w:w="2835" w:type="dxa"/>
            <w:vAlign w:val="center"/>
          </w:tcPr>
          <w:p w14:paraId="25F7FD9A">
            <w:pPr>
              <w:pStyle w:val="13"/>
            </w:pPr>
            <w:r>
              <w:t>幼儿园维修改造</w:t>
            </w:r>
          </w:p>
        </w:tc>
        <w:tc>
          <w:tcPr>
            <w:tcW w:w="5386" w:type="dxa"/>
            <w:vAlign w:val="center"/>
          </w:tcPr>
          <w:p w14:paraId="29A4AFE5">
            <w:pPr>
              <w:pStyle w:val="13"/>
            </w:pPr>
            <w:r>
              <w:t>完成幼儿园内室内及走廊吊顶维修等</w:t>
            </w:r>
          </w:p>
        </w:tc>
        <w:tc>
          <w:tcPr>
            <w:tcW w:w="2268" w:type="dxa"/>
            <w:vAlign w:val="center"/>
          </w:tcPr>
          <w:p w14:paraId="164A4616">
            <w:pPr>
              <w:pStyle w:val="13"/>
            </w:pPr>
            <w:r>
              <w:t>1230平米</w:t>
            </w:r>
          </w:p>
        </w:tc>
        <w:tc>
          <w:tcPr>
            <w:tcW w:w="1276" w:type="dxa"/>
            <w:vAlign w:val="center"/>
          </w:tcPr>
          <w:p w14:paraId="3602C0C8">
            <w:pPr>
              <w:pStyle w:val="13"/>
            </w:pPr>
            <w:r>
              <w:t>城乡义务教育公用经费管理办法</w:t>
            </w:r>
          </w:p>
        </w:tc>
      </w:tr>
      <w:tr w14:paraId="03D3B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59078"/>
        </w:tc>
        <w:tc>
          <w:tcPr>
            <w:tcW w:w="2268" w:type="dxa"/>
            <w:vAlign w:val="center"/>
          </w:tcPr>
          <w:p w14:paraId="7C2B84B2">
            <w:pPr>
              <w:pStyle w:val="13"/>
            </w:pPr>
            <w:r>
              <w:t>质量指标</w:t>
            </w:r>
          </w:p>
        </w:tc>
        <w:tc>
          <w:tcPr>
            <w:tcW w:w="2835" w:type="dxa"/>
            <w:vAlign w:val="center"/>
          </w:tcPr>
          <w:p w14:paraId="03FFD2FA">
            <w:pPr>
              <w:pStyle w:val="13"/>
            </w:pPr>
            <w:r>
              <w:t>预算执行率</w:t>
            </w:r>
          </w:p>
        </w:tc>
        <w:tc>
          <w:tcPr>
            <w:tcW w:w="5386" w:type="dxa"/>
            <w:vAlign w:val="center"/>
          </w:tcPr>
          <w:p w14:paraId="35E3E96C">
            <w:pPr>
              <w:pStyle w:val="13"/>
            </w:pPr>
            <w:r>
              <w:t>预算执行率≥98</w:t>
            </w:r>
          </w:p>
        </w:tc>
        <w:tc>
          <w:tcPr>
            <w:tcW w:w="2268" w:type="dxa"/>
            <w:vAlign w:val="center"/>
          </w:tcPr>
          <w:p w14:paraId="20837D45">
            <w:pPr>
              <w:pStyle w:val="13"/>
            </w:pPr>
            <w:r>
              <w:t>≥98%</w:t>
            </w:r>
          </w:p>
        </w:tc>
        <w:tc>
          <w:tcPr>
            <w:tcW w:w="1276" w:type="dxa"/>
            <w:vAlign w:val="center"/>
          </w:tcPr>
          <w:p w14:paraId="480D0E8B">
            <w:pPr>
              <w:pStyle w:val="13"/>
            </w:pPr>
            <w:r>
              <w:t>城乡义务教育公用经费管理办法</w:t>
            </w:r>
          </w:p>
        </w:tc>
      </w:tr>
      <w:tr w14:paraId="596B4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17E32"/>
        </w:tc>
        <w:tc>
          <w:tcPr>
            <w:tcW w:w="2268" w:type="dxa"/>
            <w:vAlign w:val="center"/>
          </w:tcPr>
          <w:p w14:paraId="464C320E">
            <w:pPr>
              <w:pStyle w:val="13"/>
            </w:pPr>
            <w:r>
              <w:t>时效指标</w:t>
            </w:r>
          </w:p>
        </w:tc>
        <w:tc>
          <w:tcPr>
            <w:tcW w:w="2835" w:type="dxa"/>
            <w:vAlign w:val="center"/>
          </w:tcPr>
          <w:p w14:paraId="2C84404F">
            <w:pPr>
              <w:pStyle w:val="13"/>
            </w:pPr>
            <w:r>
              <w:t>经费支付完成率</w:t>
            </w:r>
          </w:p>
        </w:tc>
        <w:tc>
          <w:tcPr>
            <w:tcW w:w="5386" w:type="dxa"/>
            <w:vAlign w:val="center"/>
          </w:tcPr>
          <w:p w14:paraId="1AB48A3A">
            <w:pPr>
              <w:pStyle w:val="13"/>
            </w:pPr>
            <w:r>
              <w:t>按照序时进度完成资金支付</w:t>
            </w:r>
          </w:p>
        </w:tc>
        <w:tc>
          <w:tcPr>
            <w:tcW w:w="2268" w:type="dxa"/>
            <w:vAlign w:val="center"/>
          </w:tcPr>
          <w:p w14:paraId="2BB3CF6C">
            <w:pPr>
              <w:pStyle w:val="13"/>
            </w:pPr>
            <w:r>
              <w:t>≥100%</w:t>
            </w:r>
          </w:p>
        </w:tc>
        <w:tc>
          <w:tcPr>
            <w:tcW w:w="1276" w:type="dxa"/>
            <w:vAlign w:val="center"/>
          </w:tcPr>
          <w:p w14:paraId="3244EC8F">
            <w:pPr>
              <w:pStyle w:val="13"/>
            </w:pPr>
            <w:r>
              <w:t>城乡义务教育公用经费管理办法</w:t>
            </w:r>
          </w:p>
        </w:tc>
      </w:tr>
      <w:tr w14:paraId="10C1B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9AE4C"/>
        </w:tc>
        <w:tc>
          <w:tcPr>
            <w:tcW w:w="2268" w:type="dxa"/>
            <w:vAlign w:val="center"/>
          </w:tcPr>
          <w:p w14:paraId="7042607C">
            <w:pPr>
              <w:pStyle w:val="13"/>
            </w:pPr>
            <w:r>
              <w:t>成本指标</w:t>
            </w:r>
          </w:p>
        </w:tc>
        <w:tc>
          <w:tcPr>
            <w:tcW w:w="2835" w:type="dxa"/>
            <w:vAlign w:val="center"/>
          </w:tcPr>
          <w:p w14:paraId="4377A5CD">
            <w:pPr>
              <w:pStyle w:val="13"/>
            </w:pPr>
            <w:r>
              <w:t>项目实际成本</w:t>
            </w:r>
          </w:p>
        </w:tc>
        <w:tc>
          <w:tcPr>
            <w:tcW w:w="5386" w:type="dxa"/>
            <w:vAlign w:val="center"/>
          </w:tcPr>
          <w:p w14:paraId="26918388">
            <w:pPr>
              <w:pStyle w:val="13"/>
            </w:pPr>
            <w:r>
              <w:t>幼儿园内多处维修改造</w:t>
            </w:r>
          </w:p>
        </w:tc>
        <w:tc>
          <w:tcPr>
            <w:tcW w:w="2268" w:type="dxa"/>
            <w:vAlign w:val="center"/>
          </w:tcPr>
          <w:p w14:paraId="535607B5">
            <w:pPr>
              <w:pStyle w:val="13"/>
            </w:pPr>
            <w:r>
              <w:t>20.87万元</w:t>
            </w:r>
          </w:p>
        </w:tc>
        <w:tc>
          <w:tcPr>
            <w:tcW w:w="1276" w:type="dxa"/>
            <w:vAlign w:val="center"/>
          </w:tcPr>
          <w:p w14:paraId="43398539">
            <w:pPr>
              <w:pStyle w:val="13"/>
            </w:pPr>
            <w:r>
              <w:t>城乡义务教育公用经费管理办法</w:t>
            </w:r>
          </w:p>
        </w:tc>
      </w:tr>
      <w:tr w14:paraId="09502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BF218D">
            <w:pPr>
              <w:pStyle w:val="12"/>
            </w:pPr>
            <w:r>
              <w:t>效益指标</w:t>
            </w:r>
          </w:p>
        </w:tc>
        <w:tc>
          <w:tcPr>
            <w:tcW w:w="2268" w:type="dxa"/>
            <w:vAlign w:val="center"/>
          </w:tcPr>
          <w:p w14:paraId="18124C5C">
            <w:pPr>
              <w:pStyle w:val="13"/>
            </w:pPr>
            <w:r>
              <w:t>可持续影响指标</w:t>
            </w:r>
          </w:p>
        </w:tc>
        <w:tc>
          <w:tcPr>
            <w:tcW w:w="2835" w:type="dxa"/>
            <w:vAlign w:val="center"/>
          </w:tcPr>
          <w:p w14:paraId="7731811E">
            <w:pPr>
              <w:pStyle w:val="13"/>
            </w:pPr>
            <w:r>
              <w:t>幼儿园运转得到提高</w:t>
            </w:r>
          </w:p>
        </w:tc>
        <w:tc>
          <w:tcPr>
            <w:tcW w:w="5386" w:type="dxa"/>
            <w:vAlign w:val="center"/>
          </w:tcPr>
          <w:p w14:paraId="76E9A3F6">
            <w:pPr>
              <w:pStyle w:val="13"/>
            </w:pPr>
            <w:r>
              <w:t>学生受教育年限</w:t>
            </w:r>
          </w:p>
        </w:tc>
        <w:tc>
          <w:tcPr>
            <w:tcW w:w="2268" w:type="dxa"/>
            <w:vAlign w:val="center"/>
          </w:tcPr>
          <w:p w14:paraId="5F18DDFE">
            <w:pPr>
              <w:pStyle w:val="13"/>
            </w:pPr>
            <w:r>
              <w:t>3年</w:t>
            </w:r>
          </w:p>
        </w:tc>
        <w:tc>
          <w:tcPr>
            <w:tcW w:w="1276" w:type="dxa"/>
            <w:vAlign w:val="center"/>
          </w:tcPr>
          <w:p w14:paraId="4FA9BBB8">
            <w:pPr>
              <w:pStyle w:val="13"/>
            </w:pPr>
            <w:r>
              <w:t>城乡义务教育公用经费管理办法</w:t>
            </w:r>
          </w:p>
        </w:tc>
      </w:tr>
      <w:tr w14:paraId="3193E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07281">
            <w:pPr>
              <w:pStyle w:val="12"/>
            </w:pPr>
            <w:r>
              <w:t>满意度指标</w:t>
            </w:r>
          </w:p>
        </w:tc>
        <w:tc>
          <w:tcPr>
            <w:tcW w:w="2268" w:type="dxa"/>
            <w:vAlign w:val="center"/>
          </w:tcPr>
          <w:p w14:paraId="1CF2A087">
            <w:pPr>
              <w:pStyle w:val="13"/>
            </w:pPr>
            <w:r>
              <w:t>服务对象满意度指标</w:t>
            </w:r>
          </w:p>
        </w:tc>
        <w:tc>
          <w:tcPr>
            <w:tcW w:w="2835" w:type="dxa"/>
            <w:vAlign w:val="center"/>
          </w:tcPr>
          <w:p w14:paraId="132071D1">
            <w:pPr>
              <w:pStyle w:val="13"/>
            </w:pPr>
            <w:r>
              <w:t>服务对象满意度</w:t>
            </w:r>
          </w:p>
        </w:tc>
        <w:tc>
          <w:tcPr>
            <w:tcW w:w="5386" w:type="dxa"/>
            <w:vAlign w:val="center"/>
          </w:tcPr>
          <w:p w14:paraId="7FD5EEC5">
            <w:pPr>
              <w:pStyle w:val="13"/>
            </w:pPr>
            <w:r>
              <w:t>学校老师和学生满意度</w:t>
            </w:r>
          </w:p>
        </w:tc>
        <w:tc>
          <w:tcPr>
            <w:tcW w:w="2268" w:type="dxa"/>
            <w:vAlign w:val="center"/>
          </w:tcPr>
          <w:p w14:paraId="481D619A">
            <w:pPr>
              <w:pStyle w:val="13"/>
            </w:pPr>
            <w:r>
              <w:t>≥95%</w:t>
            </w:r>
          </w:p>
        </w:tc>
        <w:tc>
          <w:tcPr>
            <w:tcW w:w="1276" w:type="dxa"/>
            <w:vAlign w:val="center"/>
          </w:tcPr>
          <w:p w14:paraId="6D91BFC3">
            <w:pPr>
              <w:pStyle w:val="13"/>
            </w:pPr>
            <w:r>
              <w:t>城乡义务教育公用经费管理办法</w:t>
            </w:r>
          </w:p>
        </w:tc>
      </w:tr>
    </w:tbl>
    <w:p w14:paraId="03B0458E">
      <w:pPr>
        <w:sectPr>
          <w:pgSz w:w="16840" w:h="11900" w:orient="landscape"/>
          <w:pgMar w:top="1361" w:right="1020" w:bottom="1134" w:left="1020" w:header="720" w:footer="720" w:gutter="0"/>
          <w:cols w:space="720" w:num="1"/>
        </w:sectPr>
      </w:pPr>
    </w:p>
    <w:p w14:paraId="191F62BE">
      <w:pPr>
        <w:spacing w:before="0" w:after="0"/>
        <w:ind w:firstLine="560"/>
        <w:jc w:val="left"/>
        <w:outlineLvl w:val="9"/>
      </w:pPr>
      <w:r>
        <w:rPr>
          <w:rFonts w:ascii="方正仿宋_GBK" w:hAnsi="方正仿宋_GBK" w:eastAsia="方正仿宋_GBK" w:cs="方正仿宋_GBK"/>
          <w:b/>
          <w:color w:val="000000"/>
          <w:sz w:val="28"/>
        </w:rPr>
        <w:t>4、冀财教[2024]142号/省级/2025年学前发展资金/唐尧街幼儿园学前教育公用经费绩效目标表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2C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7428C">
            <w:pPr>
              <w:pStyle w:val="14"/>
            </w:pPr>
            <w:r>
              <w:t>单位：万元</w:t>
            </w:r>
          </w:p>
        </w:tc>
      </w:tr>
      <w:tr w14:paraId="2E903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BC3EB">
            <w:pPr>
              <w:pStyle w:val="11"/>
            </w:pPr>
            <w:r>
              <w:t>项目编码</w:t>
            </w:r>
          </w:p>
        </w:tc>
        <w:tc>
          <w:tcPr>
            <w:tcW w:w="5103" w:type="dxa"/>
            <w:gridSpan w:val="2"/>
            <w:vAlign w:val="center"/>
          </w:tcPr>
          <w:p w14:paraId="35FA5D6B">
            <w:pPr>
              <w:pStyle w:val="13"/>
            </w:pPr>
            <w:r>
              <w:t>13052525P00875710014A</w:t>
            </w:r>
          </w:p>
        </w:tc>
        <w:tc>
          <w:tcPr>
            <w:tcW w:w="2835" w:type="dxa"/>
            <w:vAlign w:val="center"/>
          </w:tcPr>
          <w:p w14:paraId="5C92A477">
            <w:pPr>
              <w:pStyle w:val="11"/>
            </w:pPr>
            <w:r>
              <w:t>项目名称</w:t>
            </w:r>
          </w:p>
        </w:tc>
        <w:tc>
          <w:tcPr>
            <w:tcW w:w="6095" w:type="dxa"/>
            <w:gridSpan w:val="3"/>
            <w:vAlign w:val="center"/>
          </w:tcPr>
          <w:p w14:paraId="6C6C2F2E">
            <w:pPr>
              <w:pStyle w:val="13"/>
            </w:pPr>
            <w:r>
              <w:t>冀财教[2024]142号/省级/2025年学前发展资金/唐尧街幼儿园学前教育公用经费</w:t>
            </w:r>
          </w:p>
        </w:tc>
      </w:tr>
      <w:tr w14:paraId="189AD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D403D">
            <w:pPr>
              <w:pStyle w:val="11"/>
            </w:pPr>
            <w:r>
              <w:t>预算规模及资金用途</w:t>
            </w:r>
          </w:p>
        </w:tc>
        <w:tc>
          <w:tcPr>
            <w:tcW w:w="2268" w:type="dxa"/>
            <w:vAlign w:val="center"/>
          </w:tcPr>
          <w:p w14:paraId="2751BD63">
            <w:pPr>
              <w:pStyle w:val="11"/>
            </w:pPr>
            <w:r>
              <w:t>预算数</w:t>
            </w:r>
          </w:p>
        </w:tc>
        <w:tc>
          <w:tcPr>
            <w:tcW w:w="2835" w:type="dxa"/>
            <w:vAlign w:val="center"/>
          </w:tcPr>
          <w:p w14:paraId="43D4F2D9">
            <w:pPr>
              <w:pStyle w:val="13"/>
            </w:pPr>
            <w:r>
              <w:t>46.40</w:t>
            </w:r>
          </w:p>
        </w:tc>
        <w:tc>
          <w:tcPr>
            <w:tcW w:w="2835" w:type="dxa"/>
            <w:vAlign w:val="center"/>
          </w:tcPr>
          <w:p w14:paraId="224CCD8F">
            <w:pPr>
              <w:pStyle w:val="11"/>
            </w:pPr>
            <w:r>
              <w:t>其中：财政    资金</w:t>
            </w:r>
          </w:p>
        </w:tc>
        <w:tc>
          <w:tcPr>
            <w:tcW w:w="2551" w:type="dxa"/>
            <w:vAlign w:val="center"/>
          </w:tcPr>
          <w:p w14:paraId="39BD6BAC">
            <w:pPr>
              <w:pStyle w:val="13"/>
            </w:pPr>
            <w:r>
              <w:t>46.40</w:t>
            </w:r>
          </w:p>
        </w:tc>
        <w:tc>
          <w:tcPr>
            <w:tcW w:w="2268" w:type="dxa"/>
            <w:vAlign w:val="center"/>
          </w:tcPr>
          <w:p w14:paraId="7ABA46E5">
            <w:pPr>
              <w:pStyle w:val="11"/>
            </w:pPr>
            <w:r>
              <w:t>其他资金</w:t>
            </w:r>
          </w:p>
        </w:tc>
        <w:tc>
          <w:tcPr>
            <w:tcW w:w="1276" w:type="dxa"/>
            <w:vAlign w:val="center"/>
          </w:tcPr>
          <w:p w14:paraId="285FCDEA">
            <w:pPr>
              <w:pStyle w:val="13"/>
            </w:pPr>
            <w:r>
              <w:t xml:space="preserve"> </w:t>
            </w:r>
          </w:p>
        </w:tc>
      </w:tr>
      <w:tr w14:paraId="3A74A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11069"/>
        </w:tc>
        <w:tc>
          <w:tcPr>
            <w:tcW w:w="14033" w:type="dxa"/>
            <w:gridSpan w:val="6"/>
            <w:vAlign w:val="center"/>
          </w:tcPr>
          <w:p w14:paraId="02CC709D">
            <w:pPr>
              <w:pStyle w:val="13"/>
            </w:pPr>
            <w:r>
              <w:t>保证学前教育正常运行。</w:t>
            </w:r>
          </w:p>
        </w:tc>
      </w:tr>
      <w:tr w14:paraId="2778C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EDDB9">
            <w:pPr>
              <w:pStyle w:val="11"/>
            </w:pPr>
            <w:r>
              <w:t>资金支出计划（%）</w:t>
            </w:r>
          </w:p>
        </w:tc>
        <w:tc>
          <w:tcPr>
            <w:tcW w:w="5103" w:type="dxa"/>
            <w:gridSpan w:val="2"/>
            <w:vAlign w:val="center"/>
          </w:tcPr>
          <w:p w14:paraId="239778F2">
            <w:pPr>
              <w:pStyle w:val="11"/>
            </w:pPr>
            <w:r>
              <w:t>3月底</w:t>
            </w:r>
          </w:p>
        </w:tc>
        <w:tc>
          <w:tcPr>
            <w:tcW w:w="2835" w:type="dxa"/>
            <w:vAlign w:val="center"/>
          </w:tcPr>
          <w:p w14:paraId="0F085D68">
            <w:pPr>
              <w:pStyle w:val="11"/>
            </w:pPr>
            <w:r>
              <w:t>6月底</w:t>
            </w:r>
          </w:p>
        </w:tc>
        <w:tc>
          <w:tcPr>
            <w:tcW w:w="2551" w:type="dxa"/>
            <w:vAlign w:val="center"/>
          </w:tcPr>
          <w:p w14:paraId="14EA7124">
            <w:pPr>
              <w:pStyle w:val="11"/>
            </w:pPr>
            <w:r>
              <w:t>10月底</w:t>
            </w:r>
          </w:p>
        </w:tc>
        <w:tc>
          <w:tcPr>
            <w:tcW w:w="3544" w:type="dxa"/>
            <w:gridSpan w:val="2"/>
            <w:vAlign w:val="center"/>
          </w:tcPr>
          <w:p w14:paraId="148CC660">
            <w:pPr>
              <w:pStyle w:val="11"/>
            </w:pPr>
            <w:r>
              <w:t>12月底</w:t>
            </w:r>
          </w:p>
        </w:tc>
      </w:tr>
      <w:tr w14:paraId="437F7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0C28F6"/>
        </w:tc>
        <w:tc>
          <w:tcPr>
            <w:tcW w:w="5103" w:type="dxa"/>
            <w:gridSpan w:val="2"/>
            <w:vAlign w:val="center"/>
          </w:tcPr>
          <w:p w14:paraId="162665E5">
            <w:pPr>
              <w:pStyle w:val="12"/>
            </w:pPr>
            <w:r>
              <w:t>25%</w:t>
            </w:r>
          </w:p>
        </w:tc>
        <w:tc>
          <w:tcPr>
            <w:tcW w:w="2835" w:type="dxa"/>
            <w:vAlign w:val="center"/>
          </w:tcPr>
          <w:p w14:paraId="7BE8BDA3">
            <w:pPr>
              <w:pStyle w:val="12"/>
            </w:pPr>
            <w:r>
              <w:t>50%</w:t>
            </w:r>
          </w:p>
        </w:tc>
        <w:tc>
          <w:tcPr>
            <w:tcW w:w="2551" w:type="dxa"/>
            <w:vAlign w:val="center"/>
          </w:tcPr>
          <w:p w14:paraId="58964AD4">
            <w:pPr>
              <w:pStyle w:val="12"/>
            </w:pPr>
            <w:r>
              <w:t>75%</w:t>
            </w:r>
          </w:p>
        </w:tc>
        <w:tc>
          <w:tcPr>
            <w:tcW w:w="3544" w:type="dxa"/>
            <w:gridSpan w:val="2"/>
            <w:vAlign w:val="center"/>
          </w:tcPr>
          <w:p w14:paraId="216A6A2F">
            <w:pPr>
              <w:pStyle w:val="12"/>
            </w:pPr>
            <w:r>
              <w:t>100%</w:t>
            </w:r>
          </w:p>
        </w:tc>
      </w:tr>
      <w:tr w14:paraId="3C41E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60933">
            <w:pPr>
              <w:pStyle w:val="11"/>
            </w:pPr>
            <w:r>
              <w:t>绩效目标</w:t>
            </w:r>
          </w:p>
        </w:tc>
        <w:tc>
          <w:tcPr>
            <w:tcW w:w="14033" w:type="dxa"/>
            <w:gridSpan w:val="6"/>
            <w:vAlign w:val="center"/>
          </w:tcPr>
          <w:p w14:paraId="51C20C1D">
            <w:pPr>
              <w:pStyle w:val="13"/>
            </w:pPr>
            <w:r>
              <w:t>1.按规定拨付公用经费资金，预算执行率≥98%。</w:t>
            </w:r>
            <w:r>
              <w:tab/>
            </w:r>
            <w:r>
              <w:tab/>
            </w:r>
            <w:r>
              <w:tab/>
            </w:r>
            <w:r>
              <w:tab/>
            </w:r>
            <w:r>
              <w:tab/>
            </w:r>
            <w:r>
              <w:tab/>
            </w:r>
          </w:p>
          <w:p w14:paraId="222FA4D8">
            <w:pPr>
              <w:pStyle w:val="13"/>
            </w:pPr>
          </w:p>
        </w:tc>
      </w:tr>
    </w:tbl>
    <w:p w14:paraId="146CF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D1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E9F19">
            <w:pPr>
              <w:pStyle w:val="11"/>
            </w:pPr>
            <w:r>
              <w:t>一级指标</w:t>
            </w:r>
          </w:p>
        </w:tc>
        <w:tc>
          <w:tcPr>
            <w:tcW w:w="2268" w:type="dxa"/>
            <w:vAlign w:val="center"/>
          </w:tcPr>
          <w:p w14:paraId="67806508">
            <w:pPr>
              <w:pStyle w:val="11"/>
            </w:pPr>
            <w:r>
              <w:t>二级指标</w:t>
            </w:r>
          </w:p>
        </w:tc>
        <w:tc>
          <w:tcPr>
            <w:tcW w:w="2835" w:type="dxa"/>
            <w:vAlign w:val="center"/>
          </w:tcPr>
          <w:p w14:paraId="6719D252">
            <w:pPr>
              <w:pStyle w:val="11"/>
            </w:pPr>
            <w:r>
              <w:t>三级指标</w:t>
            </w:r>
          </w:p>
        </w:tc>
        <w:tc>
          <w:tcPr>
            <w:tcW w:w="5386" w:type="dxa"/>
            <w:vAlign w:val="center"/>
          </w:tcPr>
          <w:p w14:paraId="2CB92947">
            <w:pPr>
              <w:pStyle w:val="11"/>
            </w:pPr>
            <w:r>
              <w:t>绩效指标描述</w:t>
            </w:r>
          </w:p>
        </w:tc>
        <w:tc>
          <w:tcPr>
            <w:tcW w:w="2268" w:type="dxa"/>
            <w:vAlign w:val="center"/>
          </w:tcPr>
          <w:p w14:paraId="7BC3D60F">
            <w:pPr>
              <w:pStyle w:val="11"/>
            </w:pPr>
            <w:r>
              <w:t>指标值</w:t>
            </w:r>
          </w:p>
        </w:tc>
        <w:tc>
          <w:tcPr>
            <w:tcW w:w="1276" w:type="dxa"/>
            <w:vAlign w:val="center"/>
          </w:tcPr>
          <w:p w14:paraId="033C625A">
            <w:pPr>
              <w:pStyle w:val="11"/>
            </w:pPr>
            <w:r>
              <w:t>指标值确定依据</w:t>
            </w:r>
          </w:p>
        </w:tc>
      </w:tr>
      <w:tr w14:paraId="326C1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3F8A0">
            <w:pPr>
              <w:pStyle w:val="12"/>
            </w:pPr>
            <w:r>
              <w:t>产出指标</w:t>
            </w:r>
          </w:p>
        </w:tc>
        <w:tc>
          <w:tcPr>
            <w:tcW w:w="2268" w:type="dxa"/>
            <w:vAlign w:val="center"/>
          </w:tcPr>
          <w:p w14:paraId="4E54DA77">
            <w:pPr>
              <w:pStyle w:val="13"/>
            </w:pPr>
            <w:r>
              <w:t>成本指标</w:t>
            </w:r>
          </w:p>
        </w:tc>
        <w:tc>
          <w:tcPr>
            <w:tcW w:w="2835" w:type="dxa"/>
            <w:vAlign w:val="center"/>
          </w:tcPr>
          <w:p w14:paraId="186B99EB">
            <w:pPr>
              <w:pStyle w:val="13"/>
            </w:pPr>
            <w:r>
              <w:t>生均拨款标准</w:t>
            </w:r>
          </w:p>
        </w:tc>
        <w:tc>
          <w:tcPr>
            <w:tcW w:w="5386" w:type="dxa"/>
            <w:vAlign w:val="center"/>
          </w:tcPr>
          <w:p w14:paraId="4E572374">
            <w:pPr>
              <w:pStyle w:val="13"/>
            </w:pPr>
            <w:r>
              <w:t>学前学生公用经费生均600元。</w:t>
            </w:r>
          </w:p>
        </w:tc>
        <w:tc>
          <w:tcPr>
            <w:tcW w:w="2268" w:type="dxa"/>
            <w:vAlign w:val="center"/>
          </w:tcPr>
          <w:p w14:paraId="3CBF0BE1">
            <w:pPr>
              <w:pStyle w:val="13"/>
            </w:pPr>
            <w:r>
              <w:t>600元</w:t>
            </w:r>
          </w:p>
        </w:tc>
        <w:tc>
          <w:tcPr>
            <w:tcW w:w="1276" w:type="dxa"/>
            <w:vAlign w:val="center"/>
          </w:tcPr>
          <w:p w14:paraId="396DE02B">
            <w:pPr>
              <w:pStyle w:val="13"/>
            </w:pPr>
            <w:r>
              <w:t>学前教育公用经费管理办法</w:t>
            </w:r>
          </w:p>
        </w:tc>
      </w:tr>
      <w:tr w14:paraId="0C45C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5BBCA"/>
        </w:tc>
        <w:tc>
          <w:tcPr>
            <w:tcW w:w="2268" w:type="dxa"/>
            <w:vAlign w:val="center"/>
          </w:tcPr>
          <w:p w14:paraId="430D1135">
            <w:pPr>
              <w:pStyle w:val="13"/>
            </w:pPr>
            <w:r>
              <w:t>数量指标</w:t>
            </w:r>
          </w:p>
        </w:tc>
        <w:tc>
          <w:tcPr>
            <w:tcW w:w="2835" w:type="dxa"/>
            <w:vAlign w:val="center"/>
          </w:tcPr>
          <w:p w14:paraId="5E9BCC7E">
            <w:pPr>
              <w:pStyle w:val="13"/>
            </w:pPr>
            <w:r>
              <w:t>就读学生数</w:t>
            </w:r>
          </w:p>
        </w:tc>
        <w:tc>
          <w:tcPr>
            <w:tcW w:w="5386" w:type="dxa"/>
            <w:vAlign w:val="center"/>
          </w:tcPr>
          <w:p w14:paraId="7138522C">
            <w:pPr>
              <w:pStyle w:val="13"/>
            </w:pPr>
            <w:r>
              <w:t>辐射区域内适龄学生人数</w:t>
            </w:r>
          </w:p>
        </w:tc>
        <w:tc>
          <w:tcPr>
            <w:tcW w:w="2268" w:type="dxa"/>
            <w:vAlign w:val="center"/>
          </w:tcPr>
          <w:p w14:paraId="02F37AB1">
            <w:pPr>
              <w:pStyle w:val="13"/>
            </w:pPr>
            <w:r>
              <w:t>≥160人</w:t>
            </w:r>
          </w:p>
        </w:tc>
        <w:tc>
          <w:tcPr>
            <w:tcW w:w="1276" w:type="dxa"/>
            <w:vAlign w:val="center"/>
          </w:tcPr>
          <w:p w14:paraId="2A875714">
            <w:pPr>
              <w:pStyle w:val="13"/>
            </w:pPr>
            <w:r>
              <w:t>学前教育公用经费管理办法</w:t>
            </w:r>
          </w:p>
        </w:tc>
      </w:tr>
      <w:tr w14:paraId="097E9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A058C"/>
        </w:tc>
        <w:tc>
          <w:tcPr>
            <w:tcW w:w="2268" w:type="dxa"/>
            <w:vAlign w:val="center"/>
          </w:tcPr>
          <w:p w14:paraId="35A92585">
            <w:pPr>
              <w:pStyle w:val="13"/>
            </w:pPr>
            <w:r>
              <w:t>质量指标</w:t>
            </w:r>
          </w:p>
        </w:tc>
        <w:tc>
          <w:tcPr>
            <w:tcW w:w="2835" w:type="dxa"/>
            <w:vAlign w:val="center"/>
          </w:tcPr>
          <w:p w14:paraId="0BFBCD77">
            <w:pPr>
              <w:pStyle w:val="13"/>
            </w:pPr>
            <w:r>
              <w:t>预算执行率</w:t>
            </w:r>
          </w:p>
        </w:tc>
        <w:tc>
          <w:tcPr>
            <w:tcW w:w="5386" w:type="dxa"/>
            <w:vAlign w:val="center"/>
          </w:tcPr>
          <w:p w14:paraId="3B243443">
            <w:pPr>
              <w:pStyle w:val="13"/>
            </w:pPr>
            <w:r>
              <w:t>预算执行率≥98%</w:t>
            </w:r>
          </w:p>
        </w:tc>
        <w:tc>
          <w:tcPr>
            <w:tcW w:w="2268" w:type="dxa"/>
            <w:vAlign w:val="center"/>
          </w:tcPr>
          <w:p w14:paraId="36509C47">
            <w:pPr>
              <w:pStyle w:val="13"/>
            </w:pPr>
            <w:r>
              <w:t>≥98%</w:t>
            </w:r>
          </w:p>
        </w:tc>
        <w:tc>
          <w:tcPr>
            <w:tcW w:w="1276" w:type="dxa"/>
            <w:vAlign w:val="center"/>
          </w:tcPr>
          <w:p w14:paraId="3CEB9240">
            <w:pPr>
              <w:pStyle w:val="13"/>
            </w:pPr>
            <w:r>
              <w:t>学前教育公用经费管理办法</w:t>
            </w:r>
          </w:p>
        </w:tc>
      </w:tr>
      <w:tr w14:paraId="7E7C7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E5C06"/>
        </w:tc>
        <w:tc>
          <w:tcPr>
            <w:tcW w:w="2268" w:type="dxa"/>
            <w:vAlign w:val="center"/>
          </w:tcPr>
          <w:p w14:paraId="7AC83BFB">
            <w:pPr>
              <w:pStyle w:val="13"/>
            </w:pPr>
            <w:r>
              <w:t>时效指标</w:t>
            </w:r>
          </w:p>
        </w:tc>
        <w:tc>
          <w:tcPr>
            <w:tcW w:w="2835" w:type="dxa"/>
            <w:vAlign w:val="center"/>
          </w:tcPr>
          <w:p w14:paraId="3C887D13">
            <w:pPr>
              <w:pStyle w:val="13"/>
            </w:pPr>
            <w:r>
              <w:t>义教经费支付完成率</w:t>
            </w:r>
          </w:p>
        </w:tc>
        <w:tc>
          <w:tcPr>
            <w:tcW w:w="5386" w:type="dxa"/>
            <w:vAlign w:val="center"/>
          </w:tcPr>
          <w:p w14:paraId="186D31F6">
            <w:pPr>
              <w:pStyle w:val="13"/>
            </w:pPr>
            <w:r>
              <w:t>按照序时进度完成资金支付</w:t>
            </w:r>
          </w:p>
        </w:tc>
        <w:tc>
          <w:tcPr>
            <w:tcW w:w="2268" w:type="dxa"/>
            <w:vAlign w:val="center"/>
          </w:tcPr>
          <w:p w14:paraId="7F127B2D">
            <w:pPr>
              <w:pStyle w:val="13"/>
            </w:pPr>
            <w:r>
              <w:t>100%</w:t>
            </w:r>
          </w:p>
        </w:tc>
        <w:tc>
          <w:tcPr>
            <w:tcW w:w="1276" w:type="dxa"/>
            <w:vAlign w:val="center"/>
          </w:tcPr>
          <w:p w14:paraId="07C1FF8F">
            <w:pPr>
              <w:pStyle w:val="13"/>
            </w:pPr>
            <w:r>
              <w:t>学前教育公用经费管理办法</w:t>
            </w:r>
          </w:p>
        </w:tc>
      </w:tr>
      <w:tr w14:paraId="1856D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562A32">
            <w:pPr>
              <w:pStyle w:val="12"/>
            </w:pPr>
            <w:r>
              <w:t>效益指标</w:t>
            </w:r>
          </w:p>
        </w:tc>
        <w:tc>
          <w:tcPr>
            <w:tcW w:w="2268" w:type="dxa"/>
            <w:vAlign w:val="center"/>
          </w:tcPr>
          <w:p w14:paraId="63DA6F2E">
            <w:pPr>
              <w:pStyle w:val="13"/>
            </w:pPr>
            <w:r>
              <w:t>可持续影响指标</w:t>
            </w:r>
          </w:p>
        </w:tc>
        <w:tc>
          <w:tcPr>
            <w:tcW w:w="2835" w:type="dxa"/>
            <w:vAlign w:val="center"/>
          </w:tcPr>
          <w:p w14:paraId="6B7C8B35">
            <w:pPr>
              <w:pStyle w:val="13"/>
            </w:pPr>
            <w:r>
              <w:t>学校运转得到提高</w:t>
            </w:r>
          </w:p>
        </w:tc>
        <w:tc>
          <w:tcPr>
            <w:tcW w:w="5386" w:type="dxa"/>
            <w:vAlign w:val="center"/>
          </w:tcPr>
          <w:p w14:paraId="49638B71">
            <w:pPr>
              <w:pStyle w:val="13"/>
            </w:pPr>
            <w:r>
              <w:t>学生受教育年限</w:t>
            </w:r>
          </w:p>
        </w:tc>
        <w:tc>
          <w:tcPr>
            <w:tcW w:w="2268" w:type="dxa"/>
            <w:vAlign w:val="center"/>
          </w:tcPr>
          <w:p w14:paraId="40BC4676">
            <w:pPr>
              <w:pStyle w:val="13"/>
            </w:pPr>
            <w:r>
              <w:t>3年</w:t>
            </w:r>
          </w:p>
        </w:tc>
        <w:tc>
          <w:tcPr>
            <w:tcW w:w="1276" w:type="dxa"/>
            <w:vAlign w:val="center"/>
          </w:tcPr>
          <w:p w14:paraId="24E40E6B">
            <w:pPr>
              <w:pStyle w:val="13"/>
            </w:pPr>
            <w:r>
              <w:t>学前教育公用经费管理办法</w:t>
            </w:r>
          </w:p>
        </w:tc>
      </w:tr>
      <w:tr w14:paraId="5FCF0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E5B123">
            <w:pPr>
              <w:pStyle w:val="12"/>
            </w:pPr>
            <w:r>
              <w:t>满意度指标</w:t>
            </w:r>
          </w:p>
        </w:tc>
        <w:tc>
          <w:tcPr>
            <w:tcW w:w="2268" w:type="dxa"/>
            <w:vAlign w:val="center"/>
          </w:tcPr>
          <w:p w14:paraId="06F1F2EC">
            <w:pPr>
              <w:pStyle w:val="13"/>
            </w:pPr>
            <w:r>
              <w:t>服务对象满意度指标</w:t>
            </w:r>
          </w:p>
        </w:tc>
        <w:tc>
          <w:tcPr>
            <w:tcW w:w="2835" w:type="dxa"/>
            <w:vAlign w:val="center"/>
          </w:tcPr>
          <w:p w14:paraId="683FBDEE">
            <w:pPr>
              <w:pStyle w:val="13"/>
            </w:pPr>
            <w:r>
              <w:t>服务对象满意度</w:t>
            </w:r>
          </w:p>
        </w:tc>
        <w:tc>
          <w:tcPr>
            <w:tcW w:w="5386" w:type="dxa"/>
            <w:vAlign w:val="center"/>
          </w:tcPr>
          <w:p w14:paraId="0ADBEDE2">
            <w:pPr>
              <w:pStyle w:val="13"/>
            </w:pPr>
            <w:r>
              <w:t>学校老师和学生满意度</w:t>
            </w:r>
          </w:p>
        </w:tc>
        <w:tc>
          <w:tcPr>
            <w:tcW w:w="2268" w:type="dxa"/>
            <w:vAlign w:val="center"/>
          </w:tcPr>
          <w:p w14:paraId="732ABAEF">
            <w:pPr>
              <w:pStyle w:val="13"/>
            </w:pPr>
            <w:r>
              <w:t>≥95%</w:t>
            </w:r>
          </w:p>
        </w:tc>
        <w:tc>
          <w:tcPr>
            <w:tcW w:w="1276" w:type="dxa"/>
            <w:vAlign w:val="center"/>
          </w:tcPr>
          <w:p w14:paraId="57E6D5E3">
            <w:pPr>
              <w:pStyle w:val="13"/>
            </w:pPr>
            <w:r>
              <w:t>问卷调查</w:t>
            </w:r>
          </w:p>
        </w:tc>
      </w:tr>
    </w:tbl>
    <w:p w14:paraId="6BD68B66">
      <w:pPr>
        <w:sectPr>
          <w:pgSz w:w="16840" w:h="11900" w:orient="landscape"/>
          <w:pgMar w:top="1361" w:right="1020" w:bottom="1134" w:left="1020" w:header="720" w:footer="720" w:gutter="0"/>
          <w:cols w:space="720" w:num="1"/>
        </w:sectPr>
      </w:pPr>
    </w:p>
    <w:p w14:paraId="411D0CDB">
      <w:pPr>
        <w:spacing w:before="0" w:after="0"/>
        <w:ind w:firstLine="560"/>
        <w:jc w:val="left"/>
        <w:outlineLvl w:val="9"/>
      </w:pPr>
      <w:r>
        <w:rPr>
          <w:rFonts w:ascii="方正仿宋_GBK" w:hAnsi="方正仿宋_GBK" w:eastAsia="方正仿宋_GBK" w:cs="方正仿宋_GBK"/>
          <w:b/>
          <w:color w:val="000000"/>
          <w:sz w:val="28"/>
        </w:rPr>
        <w:t>5、冀财教[2024]142号/省级/2025年学前发展资金/唐尧街幼儿园学前教育幼儿资助绩效目标表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F8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22780">
            <w:pPr>
              <w:pStyle w:val="14"/>
            </w:pPr>
            <w:r>
              <w:t>单位：万元</w:t>
            </w:r>
          </w:p>
        </w:tc>
      </w:tr>
      <w:tr w14:paraId="3EE26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7C39AD">
            <w:pPr>
              <w:pStyle w:val="11"/>
            </w:pPr>
            <w:r>
              <w:t>项目编码</w:t>
            </w:r>
          </w:p>
        </w:tc>
        <w:tc>
          <w:tcPr>
            <w:tcW w:w="5103" w:type="dxa"/>
            <w:gridSpan w:val="2"/>
            <w:vAlign w:val="center"/>
          </w:tcPr>
          <w:p w14:paraId="39C7328B">
            <w:pPr>
              <w:pStyle w:val="13"/>
            </w:pPr>
            <w:r>
              <w:t>13052525P000002100771</w:t>
            </w:r>
          </w:p>
        </w:tc>
        <w:tc>
          <w:tcPr>
            <w:tcW w:w="2835" w:type="dxa"/>
            <w:vAlign w:val="center"/>
          </w:tcPr>
          <w:p w14:paraId="6AD97128">
            <w:pPr>
              <w:pStyle w:val="11"/>
            </w:pPr>
            <w:r>
              <w:t>项目名称</w:t>
            </w:r>
          </w:p>
        </w:tc>
        <w:tc>
          <w:tcPr>
            <w:tcW w:w="6095" w:type="dxa"/>
            <w:gridSpan w:val="3"/>
            <w:vAlign w:val="center"/>
          </w:tcPr>
          <w:p w14:paraId="23BA77CB">
            <w:pPr>
              <w:pStyle w:val="13"/>
            </w:pPr>
            <w:r>
              <w:t>冀财教[2024]142号/省级/2025年学前发展资金/唐尧街幼儿园学前教育幼儿资助</w:t>
            </w:r>
          </w:p>
        </w:tc>
      </w:tr>
      <w:tr w14:paraId="3F30A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2882B">
            <w:pPr>
              <w:pStyle w:val="11"/>
            </w:pPr>
            <w:r>
              <w:t>预算规模及资金用途</w:t>
            </w:r>
          </w:p>
        </w:tc>
        <w:tc>
          <w:tcPr>
            <w:tcW w:w="2268" w:type="dxa"/>
            <w:vAlign w:val="center"/>
          </w:tcPr>
          <w:p w14:paraId="3911E9C3">
            <w:pPr>
              <w:pStyle w:val="11"/>
            </w:pPr>
            <w:r>
              <w:t>预算数</w:t>
            </w:r>
          </w:p>
        </w:tc>
        <w:tc>
          <w:tcPr>
            <w:tcW w:w="2835" w:type="dxa"/>
            <w:vAlign w:val="center"/>
          </w:tcPr>
          <w:p w14:paraId="6CB902A6">
            <w:pPr>
              <w:pStyle w:val="13"/>
            </w:pPr>
            <w:r>
              <w:t>0.26</w:t>
            </w:r>
          </w:p>
        </w:tc>
        <w:tc>
          <w:tcPr>
            <w:tcW w:w="2835" w:type="dxa"/>
            <w:vAlign w:val="center"/>
          </w:tcPr>
          <w:p w14:paraId="5626394B">
            <w:pPr>
              <w:pStyle w:val="11"/>
            </w:pPr>
            <w:r>
              <w:t>其中：财政    资金</w:t>
            </w:r>
          </w:p>
        </w:tc>
        <w:tc>
          <w:tcPr>
            <w:tcW w:w="2551" w:type="dxa"/>
            <w:vAlign w:val="center"/>
          </w:tcPr>
          <w:p w14:paraId="7CAEA5F1">
            <w:pPr>
              <w:pStyle w:val="13"/>
            </w:pPr>
            <w:r>
              <w:t>0.26</w:t>
            </w:r>
          </w:p>
        </w:tc>
        <w:tc>
          <w:tcPr>
            <w:tcW w:w="2268" w:type="dxa"/>
            <w:vAlign w:val="center"/>
          </w:tcPr>
          <w:p w14:paraId="565D9322">
            <w:pPr>
              <w:pStyle w:val="11"/>
            </w:pPr>
            <w:r>
              <w:t>其他资金</w:t>
            </w:r>
          </w:p>
        </w:tc>
        <w:tc>
          <w:tcPr>
            <w:tcW w:w="1276" w:type="dxa"/>
            <w:vAlign w:val="center"/>
          </w:tcPr>
          <w:p w14:paraId="451C13C1">
            <w:pPr>
              <w:pStyle w:val="13"/>
            </w:pPr>
            <w:r>
              <w:t xml:space="preserve"> </w:t>
            </w:r>
          </w:p>
        </w:tc>
      </w:tr>
      <w:tr w14:paraId="4269F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91B8FC"/>
        </w:tc>
        <w:tc>
          <w:tcPr>
            <w:tcW w:w="14033" w:type="dxa"/>
            <w:gridSpan w:val="6"/>
            <w:vAlign w:val="center"/>
          </w:tcPr>
          <w:p w14:paraId="18DAF176">
            <w:pPr>
              <w:pStyle w:val="13"/>
            </w:pPr>
            <w:r>
              <w:t>办公经费</w:t>
            </w:r>
          </w:p>
        </w:tc>
      </w:tr>
      <w:tr w14:paraId="66636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6FB9C">
            <w:pPr>
              <w:pStyle w:val="11"/>
            </w:pPr>
            <w:r>
              <w:t>资金支出计划（%）</w:t>
            </w:r>
          </w:p>
        </w:tc>
        <w:tc>
          <w:tcPr>
            <w:tcW w:w="5103" w:type="dxa"/>
            <w:gridSpan w:val="2"/>
            <w:vAlign w:val="center"/>
          </w:tcPr>
          <w:p w14:paraId="334E87A9">
            <w:pPr>
              <w:pStyle w:val="11"/>
            </w:pPr>
            <w:r>
              <w:t>3月底</w:t>
            </w:r>
          </w:p>
        </w:tc>
        <w:tc>
          <w:tcPr>
            <w:tcW w:w="2835" w:type="dxa"/>
            <w:vAlign w:val="center"/>
          </w:tcPr>
          <w:p w14:paraId="1EA9F698">
            <w:pPr>
              <w:pStyle w:val="11"/>
            </w:pPr>
            <w:r>
              <w:t>6月底</w:t>
            </w:r>
          </w:p>
        </w:tc>
        <w:tc>
          <w:tcPr>
            <w:tcW w:w="2551" w:type="dxa"/>
            <w:vAlign w:val="center"/>
          </w:tcPr>
          <w:p w14:paraId="05376123">
            <w:pPr>
              <w:pStyle w:val="11"/>
            </w:pPr>
            <w:r>
              <w:t>10月底</w:t>
            </w:r>
          </w:p>
        </w:tc>
        <w:tc>
          <w:tcPr>
            <w:tcW w:w="3544" w:type="dxa"/>
            <w:gridSpan w:val="2"/>
            <w:vAlign w:val="center"/>
          </w:tcPr>
          <w:p w14:paraId="707FF997">
            <w:pPr>
              <w:pStyle w:val="11"/>
            </w:pPr>
            <w:r>
              <w:t>12月底</w:t>
            </w:r>
          </w:p>
        </w:tc>
      </w:tr>
      <w:tr w14:paraId="25851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0D102A"/>
        </w:tc>
        <w:tc>
          <w:tcPr>
            <w:tcW w:w="5103" w:type="dxa"/>
            <w:gridSpan w:val="2"/>
            <w:vAlign w:val="center"/>
          </w:tcPr>
          <w:p w14:paraId="4C9EDDC8">
            <w:pPr>
              <w:pStyle w:val="12"/>
            </w:pPr>
            <w:r>
              <w:t>25%</w:t>
            </w:r>
          </w:p>
        </w:tc>
        <w:tc>
          <w:tcPr>
            <w:tcW w:w="2835" w:type="dxa"/>
            <w:vAlign w:val="center"/>
          </w:tcPr>
          <w:p w14:paraId="2B8135F4">
            <w:pPr>
              <w:pStyle w:val="12"/>
            </w:pPr>
            <w:r>
              <w:t>50%</w:t>
            </w:r>
          </w:p>
        </w:tc>
        <w:tc>
          <w:tcPr>
            <w:tcW w:w="2551" w:type="dxa"/>
            <w:vAlign w:val="center"/>
          </w:tcPr>
          <w:p w14:paraId="3B43F1CA">
            <w:pPr>
              <w:pStyle w:val="12"/>
            </w:pPr>
            <w:r>
              <w:t>75%</w:t>
            </w:r>
          </w:p>
        </w:tc>
        <w:tc>
          <w:tcPr>
            <w:tcW w:w="3544" w:type="dxa"/>
            <w:gridSpan w:val="2"/>
            <w:vAlign w:val="center"/>
          </w:tcPr>
          <w:p w14:paraId="4955742E">
            <w:pPr>
              <w:pStyle w:val="12"/>
            </w:pPr>
            <w:r>
              <w:t>100%</w:t>
            </w:r>
          </w:p>
        </w:tc>
      </w:tr>
      <w:tr w14:paraId="636C41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CE521">
            <w:pPr>
              <w:pStyle w:val="11"/>
            </w:pPr>
            <w:r>
              <w:t>绩效目标</w:t>
            </w:r>
          </w:p>
        </w:tc>
        <w:tc>
          <w:tcPr>
            <w:tcW w:w="14033" w:type="dxa"/>
            <w:gridSpan w:val="6"/>
            <w:vAlign w:val="center"/>
          </w:tcPr>
          <w:p w14:paraId="1A48EBBB">
            <w:pPr>
              <w:pStyle w:val="13"/>
            </w:pPr>
            <w:r>
              <w:t>1.保障落实建档立卡及家庭经济困难儿童资助所需资金，确保建档立卡等家庭经济困难幼儿优先获得资助</w:t>
            </w:r>
          </w:p>
          <w:p w14:paraId="0BE4F521">
            <w:pPr>
              <w:pStyle w:val="13"/>
            </w:pPr>
            <w:r>
              <w:t>2.减轻学前受教育幼儿家庭经济负担，提高学前幼儿入学率。</w:t>
            </w:r>
          </w:p>
        </w:tc>
      </w:tr>
    </w:tbl>
    <w:p w14:paraId="5DDBD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2D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9F329">
            <w:pPr>
              <w:pStyle w:val="11"/>
            </w:pPr>
            <w:r>
              <w:t>一级指标</w:t>
            </w:r>
          </w:p>
        </w:tc>
        <w:tc>
          <w:tcPr>
            <w:tcW w:w="2268" w:type="dxa"/>
            <w:vAlign w:val="center"/>
          </w:tcPr>
          <w:p w14:paraId="1CD4AC0D">
            <w:pPr>
              <w:pStyle w:val="11"/>
            </w:pPr>
            <w:r>
              <w:t>二级指标</w:t>
            </w:r>
          </w:p>
        </w:tc>
        <w:tc>
          <w:tcPr>
            <w:tcW w:w="2835" w:type="dxa"/>
            <w:vAlign w:val="center"/>
          </w:tcPr>
          <w:p w14:paraId="1BFFC68A">
            <w:pPr>
              <w:pStyle w:val="11"/>
            </w:pPr>
            <w:r>
              <w:t>三级指标</w:t>
            </w:r>
          </w:p>
        </w:tc>
        <w:tc>
          <w:tcPr>
            <w:tcW w:w="5386" w:type="dxa"/>
            <w:vAlign w:val="center"/>
          </w:tcPr>
          <w:p w14:paraId="42D29684">
            <w:pPr>
              <w:pStyle w:val="11"/>
            </w:pPr>
            <w:r>
              <w:t>绩效指标描述</w:t>
            </w:r>
          </w:p>
        </w:tc>
        <w:tc>
          <w:tcPr>
            <w:tcW w:w="2268" w:type="dxa"/>
            <w:vAlign w:val="center"/>
          </w:tcPr>
          <w:p w14:paraId="2B573575">
            <w:pPr>
              <w:pStyle w:val="11"/>
            </w:pPr>
            <w:r>
              <w:t>指标值</w:t>
            </w:r>
          </w:p>
        </w:tc>
        <w:tc>
          <w:tcPr>
            <w:tcW w:w="1276" w:type="dxa"/>
            <w:vAlign w:val="center"/>
          </w:tcPr>
          <w:p w14:paraId="7BB2AFAE">
            <w:pPr>
              <w:pStyle w:val="11"/>
            </w:pPr>
            <w:r>
              <w:t>指标值确定依据</w:t>
            </w:r>
          </w:p>
        </w:tc>
      </w:tr>
      <w:tr w14:paraId="1801A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D4103">
            <w:pPr>
              <w:pStyle w:val="12"/>
            </w:pPr>
            <w:r>
              <w:t>产出指标</w:t>
            </w:r>
          </w:p>
        </w:tc>
        <w:tc>
          <w:tcPr>
            <w:tcW w:w="2268" w:type="dxa"/>
            <w:vAlign w:val="center"/>
          </w:tcPr>
          <w:p w14:paraId="167D6EFB">
            <w:pPr>
              <w:pStyle w:val="13"/>
            </w:pPr>
            <w:r>
              <w:t>数量指标</w:t>
            </w:r>
          </w:p>
        </w:tc>
        <w:tc>
          <w:tcPr>
            <w:tcW w:w="2835" w:type="dxa"/>
            <w:vAlign w:val="center"/>
          </w:tcPr>
          <w:p w14:paraId="28FE9A24">
            <w:pPr>
              <w:pStyle w:val="13"/>
            </w:pPr>
            <w:r>
              <w:t>幼儿资助比例</w:t>
            </w:r>
          </w:p>
        </w:tc>
        <w:tc>
          <w:tcPr>
            <w:tcW w:w="5386" w:type="dxa"/>
            <w:vAlign w:val="center"/>
          </w:tcPr>
          <w:p w14:paraId="52E44B3E">
            <w:pPr>
              <w:pStyle w:val="13"/>
            </w:pPr>
            <w:r>
              <w:t>按学前适龄在园儿童实际资助人数测算</w:t>
            </w:r>
          </w:p>
        </w:tc>
        <w:tc>
          <w:tcPr>
            <w:tcW w:w="2268" w:type="dxa"/>
            <w:vAlign w:val="center"/>
          </w:tcPr>
          <w:p w14:paraId="57BF21E5">
            <w:pPr>
              <w:pStyle w:val="13"/>
            </w:pPr>
            <w:r>
              <w:t>13人</w:t>
            </w:r>
          </w:p>
        </w:tc>
        <w:tc>
          <w:tcPr>
            <w:tcW w:w="1276" w:type="dxa"/>
            <w:vAlign w:val="center"/>
          </w:tcPr>
          <w:p w14:paraId="0EA6B6A7">
            <w:pPr>
              <w:pStyle w:val="13"/>
            </w:pPr>
            <w:r>
              <w:t>发展学前教育资金管理办法</w:t>
            </w:r>
          </w:p>
        </w:tc>
      </w:tr>
      <w:tr w14:paraId="1ACB3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EBD40"/>
        </w:tc>
        <w:tc>
          <w:tcPr>
            <w:tcW w:w="2268" w:type="dxa"/>
            <w:vAlign w:val="center"/>
          </w:tcPr>
          <w:p w14:paraId="6349F5E0">
            <w:pPr>
              <w:pStyle w:val="13"/>
            </w:pPr>
            <w:r>
              <w:t>质量指标</w:t>
            </w:r>
          </w:p>
        </w:tc>
        <w:tc>
          <w:tcPr>
            <w:tcW w:w="2835" w:type="dxa"/>
            <w:vAlign w:val="center"/>
          </w:tcPr>
          <w:p w14:paraId="5259F11A">
            <w:pPr>
              <w:pStyle w:val="13"/>
            </w:pPr>
            <w:r>
              <w:t>学前教育资助制度落实情况</w:t>
            </w:r>
          </w:p>
        </w:tc>
        <w:tc>
          <w:tcPr>
            <w:tcW w:w="5386" w:type="dxa"/>
            <w:vAlign w:val="center"/>
          </w:tcPr>
          <w:p w14:paraId="552313AD">
            <w:pPr>
              <w:pStyle w:val="13"/>
            </w:pPr>
            <w:r>
              <w:t>符合享受资助条件的学生覆盖率</w:t>
            </w:r>
          </w:p>
        </w:tc>
        <w:tc>
          <w:tcPr>
            <w:tcW w:w="2268" w:type="dxa"/>
            <w:vAlign w:val="center"/>
          </w:tcPr>
          <w:p w14:paraId="3265D3B1">
            <w:pPr>
              <w:pStyle w:val="13"/>
            </w:pPr>
            <w:r>
              <w:t>≥100%</w:t>
            </w:r>
          </w:p>
        </w:tc>
        <w:tc>
          <w:tcPr>
            <w:tcW w:w="1276" w:type="dxa"/>
            <w:vAlign w:val="center"/>
          </w:tcPr>
          <w:p w14:paraId="2CC7B758">
            <w:pPr>
              <w:pStyle w:val="13"/>
            </w:pPr>
            <w:r>
              <w:t>发展学前教育资金管理办法</w:t>
            </w:r>
          </w:p>
        </w:tc>
      </w:tr>
      <w:tr w14:paraId="0EBA9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66495"/>
        </w:tc>
        <w:tc>
          <w:tcPr>
            <w:tcW w:w="2268" w:type="dxa"/>
            <w:vAlign w:val="center"/>
          </w:tcPr>
          <w:p w14:paraId="12F60EE7">
            <w:pPr>
              <w:pStyle w:val="13"/>
            </w:pPr>
            <w:r>
              <w:t>时效指标</w:t>
            </w:r>
          </w:p>
        </w:tc>
        <w:tc>
          <w:tcPr>
            <w:tcW w:w="2835" w:type="dxa"/>
            <w:vAlign w:val="center"/>
          </w:tcPr>
          <w:p w14:paraId="72F7AD98">
            <w:pPr>
              <w:pStyle w:val="13"/>
            </w:pPr>
            <w:r>
              <w:t>资金拨付率</w:t>
            </w:r>
          </w:p>
        </w:tc>
        <w:tc>
          <w:tcPr>
            <w:tcW w:w="5386" w:type="dxa"/>
            <w:vAlign w:val="center"/>
          </w:tcPr>
          <w:p w14:paraId="4D2D2ADC">
            <w:pPr>
              <w:pStyle w:val="13"/>
            </w:pPr>
            <w:r>
              <w:t>按进度进行资金支付</w:t>
            </w:r>
          </w:p>
        </w:tc>
        <w:tc>
          <w:tcPr>
            <w:tcW w:w="2268" w:type="dxa"/>
            <w:vAlign w:val="center"/>
          </w:tcPr>
          <w:p w14:paraId="00B6F067">
            <w:pPr>
              <w:pStyle w:val="13"/>
            </w:pPr>
            <w:r>
              <w:t>≥100%</w:t>
            </w:r>
          </w:p>
        </w:tc>
        <w:tc>
          <w:tcPr>
            <w:tcW w:w="1276" w:type="dxa"/>
            <w:vAlign w:val="center"/>
          </w:tcPr>
          <w:p w14:paraId="0A111C26">
            <w:pPr>
              <w:pStyle w:val="13"/>
            </w:pPr>
            <w:r>
              <w:t>发展学前教育资金管理办法</w:t>
            </w:r>
          </w:p>
        </w:tc>
      </w:tr>
      <w:tr w14:paraId="3DDF6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50AC6"/>
        </w:tc>
        <w:tc>
          <w:tcPr>
            <w:tcW w:w="2268" w:type="dxa"/>
            <w:vAlign w:val="center"/>
          </w:tcPr>
          <w:p w14:paraId="0023C93E">
            <w:pPr>
              <w:pStyle w:val="13"/>
            </w:pPr>
            <w:r>
              <w:t>成本指标</w:t>
            </w:r>
          </w:p>
        </w:tc>
        <w:tc>
          <w:tcPr>
            <w:tcW w:w="2835" w:type="dxa"/>
            <w:vAlign w:val="center"/>
          </w:tcPr>
          <w:p w14:paraId="078D4A22">
            <w:pPr>
              <w:pStyle w:val="13"/>
            </w:pPr>
            <w:r>
              <w:t xml:space="preserve"> 幼儿资助标准</w:t>
            </w:r>
          </w:p>
        </w:tc>
        <w:tc>
          <w:tcPr>
            <w:tcW w:w="5386" w:type="dxa"/>
            <w:vAlign w:val="center"/>
          </w:tcPr>
          <w:p w14:paraId="72E24EAE">
            <w:pPr>
              <w:pStyle w:val="13"/>
            </w:pPr>
            <w:r>
              <w:t>按规定标准落实</w:t>
            </w:r>
          </w:p>
        </w:tc>
        <w:tc>
          <w:tcPr>
            <w:tcW w:w="2268" w:type="dxa"/>
            <w:vAlign w:val="center"/>
          </w:tcPr>
          <w:p w14:paraId="3E2AE4DA">
            <w:pPr>
              <w:pStyle w:val="13"/>
            </w:pPr>
            <w:r>
              <w:t>1000元/生/年</w:t>
            </w:r>
          </w:p>
        </w:tc>
        <w:tc>
          <w:tcPr>
            <w:tcW w:w="1276" w:type="dxa"/>
            <w:vAlign w:val="center"/>
          </w:tcPr>
          <w:p w14:paraId="3E7C4255">
            <w:pPr>
              <w:pStyle w:val="13"/>
            </w:pPr>
            <w:r>
              <w:t>发展学前教育资金管理办法</w:t>
            </w:r>
          </w:p>
        </w:tc>
      </w:tr>
      <w:tr w14:paraId="0CF0C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547467">
            <w:pPr>
              <w:pStyle w:val="12"/>
            </w:pPr>
            <w:r>
              <w:t>效益指标</w:t>
            </w:r>
          </w:p>
        </w:tc>
        <w:tc>
          <w:tcPr>
            <w:tcW w:w="2268" w:type="dxa"/>
            <w:vAlign w:val="center"/>
          </w:tcPr>
          <w:p w14:paraId="4283CD5A">
            <w:pPr>
              <w:pStyle w:val="13"/>
            </w:pPr>
            <w:r>
              <w:t>可持续影响指标</w:t>
            </w:r>
          </w:p>
        </w:tc>
        <w:tc>
          <w:tcPr>
            <w:tcW w:w="2835" w:type="dxa"/>
            <w:vAlign w:val="center"/>
          </w:tcPr>
          <w:p w14:paraId="1A460CB7">
            <w:pPr>
              <w:pStyle w:val="13"/>
            </w:pPr>
            <w:r>
              <w:t>教育发展水平明显好转</w:t>
            </w:r>
          </w:p>
        </w:tc>
        <w:tc>
          <w:tcPr>
            <w:tcW w:w="5386" w:type="dxa"/>
            <w:vAlign w:val="center"/>
          </w:tcPr>
          <w:p w14:paraId="027ECBF9">
            <w:pPr>
              <w:pStyle w:val="13"/>
            </w:pPr>
            <w:r>
              <w:t>幼儿受教育年限</w:t>
            </w:r>
          </w:p>
        </w:tc>
        <w:tc>
          <w:tcPr>
            <w:tcW w:w="2268" w:type="dxa"/>
            <w:vAlign w:val="center"/>
          </w:tcPr>
          <w:p w14:paraId="56346ACD">
            <w:pPr>
              <w:pStyle w:val="13"/>
            </w:pPr>
            <w:r>
              <w:t>3年</w:t>
            </w:r>
          </w:p>
        </w:tc>
        <w:tc>
          <w:tcPr>
            <w:tcW w:w="1276" w:type="dxa"/>
            <w:vAlign w:val="center"/>
          </w:tcPr>
          <w:p w14:paraId="30C04FED">
            <w:pPr>
              <w:pStyle w:val="13"/>
            </w:pPr>
            <w:r>
              <w:t>发展学前教育资金管理办法</w:t>
            </w:r>
          </w:p>
        </w:tc>
      </w:tr>
      <w:tr w14:paraId="5CF0E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E6BC7">
            <w:pPr>
              <w:pStyle w:val="12"/>
            </w:pPr>
            <w:r>
              <w:t>满意度指标</w:t>
            </w:r>
          </w:p>
        </w:tc>
        <w:tc>
          <w:tcPr>
            <w:tcW w:w="2268" w:type="dxa"/>
            <w:vAlign w:val="center"/>
          </w:tcPr>
          <w:p w14:paraId="6C04D6EB">
            <w:pPr>
              <w:pStyle w:val="13"/>
            </w:pPr>
            <w:r>
              <w:t>服务对象满意度指标</w:t>
            </w:r>
          </w:p>
        </w:tc>
        <w:tc>
          <w:tcPr>
            <w:tcW w:w="2835" w:type="dxa"/>
            <w:vAlign w:val="center"/>
          </w:tcPr>
          <w:p w14:paraId="7DEF6164">
            <w:pPr>
              <w:pStyle w:val="13"/>
            </w:pPr>
            <w:r>
              <w:t>受益幼儿家长及调查满意度</w:t>
            </w:r>
          </w:p>
        </w:tc>
        <w:tc>
          <w:tcPr>
            <w:tcW w:w="5386" w:type="dxa"/>
            <w:vAlign w:val="center"/>
          </w:tcPr>
          <w:p w14:paraId="6DA9350B">
            <w:pPr>
              <w:pStyle w:val="13"/>
            </w:pPr>
            <w:r>
              <w:t>学生、教师及家长对学校保教保育工作满意度情况</w:t>
            </w:r>
          </w:p>
        </w:tc>
        <w:tc>
          <w:tcPr>
            <w:tcW w:w="2268" w:type="dxa"/>
            <w:vAlign w:val="center"/>
          </w:tcPr>
          <w:p w14:paraId="691527DF">
            <w:pPr>
              <w:pStyle w:val="13"/>
            </w:pPr>
            <w:r>
              <w:t>≥95%</w:t>
            </w:r>
          </w:p>
        </w:tc>
        <w:tc>
          <w:tcPr>
            <w:tcW w:w="1276" w:type="dxa"/>
            <w:vAlign w:val="center"/>
          </w:tcPr>
          <w:p w14:paraId="1212E6BA">
            <w:pPr>
              <w:pStyle w:val="13"/>
            </w:pPr>
            <w:r>
              <w:t>幼儿资助经费管理办法</w:t>
            </w:r>
          </w:p>
        </w:tc>
      </w:tr>
    </w:tbl>
    <w:p w14:paraId="3351D0B3">
      <w:pPr>
        <w:sectPr>
          <w:pgSz w:w="16840" w:h="11900" w:orient="landscape"/>
          <w:pgMar w:top="1361" w:right="1020" w:bottom="1134" w:left="1020" w:header="720" w:footer="720" w:gutter="0"/>
          <w:cols w:space="720" w:num="1"/>
        </w:sectPr>
      </w:pPr>
    </w:p>
    <w:p w14:paraId="62F7B8BB">
      <w:pPr>
        <w:spacing w:before="0" w:after="0"/>
        <w:ind w:firstLine="560"/>
        <w:jc w:val="left"/>
        <w:outlineLvl w:val="9"/>
      </w:pPr>
      <w:r>
        <w:rPr>
          <w:rFonts w:ascii="方正仿宋_GBK" w:hAnsi="方正仿宋_GBK" w:eastAsia="方正仿宋_GBK" w:cs="方正仿宋_GBK"/>
          <w:b/>
          <w:color w:val="000000"/>
          <w:sz w:val="28"/>
        </w:rPr>
        <w:t>6、县级配套/唐尧街幼儿园学前教育幼儿资助绩效目标表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7F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E826D">
            <w:pPr>
              <w:pStyle w:val="14"/>
            </w:pPr>
            <w:r>
              <w:t>单位：万元</w:t>
            </w:r>
          </w:p>
        </w:tc>
      </w:tr>
      <w:tr w14:paraId="0322E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E521EA">
            <w:pPr>
              <w:pStyle w:val="11"/>
            </w:pPr>
            <w:r>
              <w:t>项目编码</w:t>
            </w:r>
          </w:p>
        </w:tc>
        <w:tc>
          <w:tcPr>
            <w:tcW w:w="5103" w:type="dxa"/>
            <w:gridSpan w:val="2"/>
            <w:vAlign w:val="center"/>
          </w:tcPr>
          <w:p w14:paraId="2AA0499F">
            <w:pPr>
              <w:pStyle w:val="13"/>
            </w:pPr>
            <w:r>
              <w:t>13052525P000002100289</w:t>
            </w:r>
          </w:p>
        </w:tc>
        <w:tc>
          <w:tcPr>
            <w:tcW w:w="2835" w:type="dxa"/>
            <w:vAlign w:val="center"/>
          </w:tcPr>
          <w:p w14:paraId="327E61C4">
            <w:pPr>
              <w:pStyle w:val="11"/>
            </w:pPr>
            <w:r>
              <w:t>项目名称</w:t>
            </w:r>
          </w:p>
        </w:tc>
        <w:tc>
          <w:tcPr>
            <w:tcW w:w="6095" w:type="dxa"/>
            <w:gridSpan w:val="3"/>
            <w:vAlign w:val="center"/>
          </w:tcPr>
          <w:p w14:paraId="35EC226B">
            <w:pPr>
              <w:pStyle w:val="13"/>
            </w:pPr>
            <w:r>
              <w:t>县级配套/唐尧街幼儿园学前教育幼儿资助</w:t>
            </w:r>
          </w:p>
        </w:tc>
      </w:tr>
      <w:tr w14:paraId="6824F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A280F">
            <w:pPr>
              <w:pStyle w:val="11"/>
            </w:pPr>
            <w:r>
              <w:t>预算规模及资金用途</w:t>
            </w:r>
          </w:p>
        </w:tc>
        <w:tc>
          <w:tcPr>
            <w:tcW w:w="2268" w:type="dxa"/>
            <w:vAlign w:val="center"/>
          </w:tcPr>
          <w:p w14:paraId="0CCB5D3C">
            <w:pPr>
              <w:pStyle w:val="11"/>
            </w:pPr>
            <w:r>
              <w:t>预算数</w:t>
            </w:r>
          </w:p>
        </w:tc>
        <w:tc>
          <w:tcPr>
            <w:tcW w:w="2835" w:type="dxa"/>
            <w:vAlign w:val="center"/>
          </w:tcPr>
          <w:p w14:paraId="1E0498FB">
            <w:pPr>
              <w:pStyle w:val="13"/>
            </w:pPr>
            <w:r>
              <w:t>0.26</w:t>
            </w:r>
          </w:p>
        </w:tc>
        <w:tc>
          <w:tcPr>
            <w:tcW w:w="2835" w:type="dxa"/>
            <w:vAlign w:val="center"/>
          </w:tcPr>
          <w:p w14:paraId="0D44D5D8">
            <w:pPr>
              <w:pStyle w:val="11"/>
            </w:pPr>
            <w:r>
              <w:t>其中：财政    资金</w:t>
            </w:r>
          </w:p>
        </w:tc>
        <w:tc>
          <w:tcPr>
            <w:tcW w:w="2551" w:type="dxa"/>
            <w:vAlign w:val="center"/>
          </w:tcPr>
          <w:p w14:paraId="2B08D026">
            <w:pPr>
              <w:pStyle w:val="13"/>
            </w:pPr>
            <w:r>
              <w:t>0.26</w:t>
            </w:r>
          </w:p>
        </w:tc>
        <w:tc>
          <w:tcPr>
            <w:tcW w:w="2268" w:type="dxa"/>
            <w:vAlign w:val="center"/>
          </w:tcPr>
          <w:p w14:paraId="0CA67789">
            <w:pPr>
              <w:pStyle w:val="11"/>
            </w:pPr>
            <w:r>
              <w:t>其他资金</w:t>
            </w:r>
          </w:p>
        </w:tc>
        <w:tc>
          <w:tcPr>
            <w:tcW w:w="1276" w:type="dxa"/>
            <w:vAlign w:val="center"/>
          </w:tcPr>
          <w:p w14:paraId="0CA3B64E">
            <w:pPr>
              <w:pStyle w:val="13"/>
            </w:pPr>
            <w:r>
              <w:t xml:space="preserve"> </w:t>
            </w:r>
          </w:p>
        </w:tc>
      </w:tr>
      <w:tr w14:paraId="190F5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160634"/>
        </w:tc>
        <w:tc>
          <w:tcPr>
            <w:tcW w:w="14033" w:type="dxa"/>
            <w:gridSpan w:val="6"/>
            <w:vAlign w:val="center"/>
          </w:tcPr>
          <w:p w14:paraId="16D8FCFF">
            <w:pPr>
              <w:pStyle w:val="13"/>
            </w:pPr>
            <w:r>
              <w:t>保证落实建档立卡及家庭经济困难儿童资助所需资金，确保建档立卡等极爱也能够经济困难幼儿优先获得资助。</w:t>
            </w:r>
            <w:r>
              <w:tab/>
            </w:r>
            <w:r>
              <w:tab/>
            </w:r>
            <w:r>
              <w:tab/>
            </w:r>
            <w:r>
              <w:tab/>
            </w:r>
            <w:r>
              <w:tab/>
            </w:r>
            <w:r>
              <w:tab/>
            </w:r>
          </w:p>
          <w:p w14:paraId="2295C3D0">
            <w:pPr>
              <w:pStyle w:val="13"/>
            </w:pPr>
          </w:p>
        </w:tc>
      </w:tr>
      <w:tr w14:paraId="461B0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5CA4E">
            <w:pPr>
              <w:pStyle w:val="11"/>
            </w:pPr>
            <w:r>
              <w:t>资金支出计划（%）</w:t>
            </w:r>
          </w:p>
        </w:tc>
        <w:tc>
          <w:tcPr>
            <w:tcW w:w="5103" w:type="dxa"/>
            <w:gridSpan w:val="2"/>
            <w:vAlign w:val="center"/>
          </w:tcPr>
          <w:p w14:paraId="574884BB">
            <w:pPr>
              <w:pStyle w:val="11"/>
            </w:pPr>
            <w:r>
              <w:t>3月底</w:t>
            </w:r>
          </w:p>
        </w:tc>
        <w:tc>
          <w:tcPr>
            <w:tcW w:w="2835" w:type="dxa"/>
            <w:vAlign w:val="center"/>
          </w:tcPr>
          <w:p w14:paraId="6662A8B8">
            <w:pPr>
              <w:pStyle w:val="11"/>
            </w:pPr>
            <w:r>
              <w:t>6月底</w:t>
            </w:r>
          </w:p>
        </w:tc>
        <w:tc>
          <w:tcPr>
            <w:tcW w:w="2551" w:type="dxa"/>
            <w:vAlign w:val="center"/>
          </w:tcPr>
          <w:p w14:paraId="5AB80C4D">
            <w:pPr>
              <w:pStyle w:val="11"/>
            </w:pPr>
            <w:r>
              <w:t>10月底</w:t>
            </w:r>
          </w:p>
        </w:tc>
        <w:tc>
          <w:tcPr>
            <w:tcW w:w="3544" w:type="dxa"/>
            <w:gridSpan w:val="2"/>
            <w:vAlign w:val="center"/>
          </w:tcPr>
          <w:p w14:paraId="5A837106">
            <w:pPr>
              <w:pStyle w:val="11"/>
            </w:pPr>
            <w:r>
              <w:t>12月底</w:t>
            </w:r>
          </w:p>
        </w:tc>
      </w:tr>
      <w:tr w14:paraId="17F52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946FC"/>
        </w:tc>
        <w:tc>
          <w:tcPr>
            <w:tcW w:w="5103" w:type="dxa"/>
            <w:gridSpan w:val="2"/>
            <w:vAlign w:val="center"/>
          </w:tcPr>
          <w:p w14:paraId="2FD4EAAC">
            <w:pPr>
              <w:pStyle w:val="12"/>
            </w:pPr>
            <w:r>
              <w:t xml:space="preserve"> </w:t>
            </w:r>
          </w:p>
        </w:tc>
        <w:tc>
          <w:tcPr>
            <w:tcW w:w="2835" w:type="dxa"/>
            <w:vAlign w:val="center"/>
          </w:tcPr>
          <w:p w14:paraId="210A79D1">
            <w:pPr>
              <w:pStyle w:val="12"/>
            </w:pPr>
            <w:r>
              <w:t xml:space="preserve"> </w:t>
            </w:r>
          </w:p>
        </w:tc>
        <w:tc>
          <w:tcPr>
            <w:tcW w:w="2551" w:type="dxa"/>
            <w:vAlign w:val="center"/>
          </w:tcPr>
          <w:p w14:paraId="28CDE4A9">
            <w:pPr>
              <w:pStyle w:val="12"/>
            </w:pPr>
            <w:r>
              <w:t xml:space="preserve"> </w:t>
            </w:r>
          </w:p>
        </w:tc>
        <w:tc>
          <w:tcPr>
            <w:tcW w:w="3544" w:type="dxa"/>
            <w:gridSpan w:val="2"/>
            <w:vAlign w:val="center"/>
          </w:tcPr>
          <w:p w14:paraId="4B497C5A">
            <w:pPr>
              <w:pStyle w:val="12"/>
            </w:pPr>
            <w:r>
              <w:t>100%</w:t>
            </w:r>
          </w:p>
        </w:tc>
      </w:tr>
      <w:tr w14:paraId="04E2C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A34D39">
            <w:pPr>
              <w:pStyle w:val="11"/>
            </w:pPr>
            <w:r>
              <w:t>绩效目标</w:t>
            </w:r>
          </w:p>
        </w:tc>
        <w:tc>
          <w:tcPr>
            <w:tcW w:w="14033" w:type="dxa"/>
            <w:gridSpan w:val="6"/>
            <w:vAlign w:val="center"/>
          </w:tcPr>
          <w:p w14:paraId="7B62F32F">
            <w:pPr>
              <w:pStyle w:val="13"/>
            </w:pPr>
            <w:r>
              <w:t>1.保证落实建档立卡及家庭经济困难儿童资助所需资金，确保建档立卡等极爱也能够经济困难幼儿优先获得资助。</w:t>
            </w:r>
          </w:p>
        </w:tc>
      </w:tr>
    </w:tbl>
    <w:p w14:paraId="3ACB1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95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27547">
            <w:pPr>
              <w:pStyle w:val="11"/>
            </w:pPr>
            <w:r>
              <w:t>一级指标</w:t>
            </w:r>
          </w:p>
        </w:tc>
        <w:tc>
          <w:tcPr>
            <w:tcW w:w="2268" w:type="dxa"/>
            <w:vAlign w:val="center"/>
          </w:tcPr>
          <w:p w14:paraId="6DD81903">
            <w:pPr>
              <w:pStyle w:val="11"/>
            </w:pPr>
            <w:r>
              <w:t>二级指标</w:t>
            </w:r>
          </w:p>
        </w:tc>
        <w:tc>
          <w:tcPr>
            <w:tcW w:w="2835" w:type="dxa"/>
            <w:vAlign w:val="center"/>
          </w:tcPr>
          <w:p w14:paraId="3BA592C5">
            <w:pPr>
              <w:pStyle w:val="11"/>
            </w:pPr>
            <w:r>
              <w:t>三级指标</w:t>
            </w:r>
          </w:p>
        </w:tc>
        <w:tc>
          <w:tcPr>
            <w:tcW w:w="5386" w:type="dxa"/>
            <w:vAlign w:val="center"/>
          </w:tcPr>
          <w:p w14:paraId="75E54E0F">
            <w:pPr>
              <w:pStyle w:val="11"/>
            </w:pPr>
            <w:r>
              <w:t>绩效指标描述</w:t>
            </w:r>
          </w:p>
        </w:tc>
        <w:tc>
          <w:tcPr>
            <w:tcW w:w="2268" w:type="dxa"/>
            <w:vAlign w:val="center"/>
          </w:tcPr>
          <w:p w14:paraId="612D393F">
            <w:pPr>
              <w:pStyle w:val="11"/>
            </w:pPr>
            <w:r>
              <w:t>指标值</w:t>
            </w:r>
          </w:p>
        </w:tc>
        <w:tc>
          <w:tcPr>
            <w:tcW w:w="1276" w:type="dxa"/>
            <w:vAlign w:val="center"/>
          </w:tcPr>
          <w:p w14:paraId="657FFCC1">
            <w:pPr>
              <w:pStyle w:val="11"/>
            </w:pPr>
            <w:r>
              <w:t>指标值确定依据</w:t>
            </w:r>
          </w:p>
        </w:tc>
      </w:tr>
      <w:tr w14:paraId="1EDDC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A93B7">
            <w:pPr>
              <w:pStyle w:val="12"/>
            </w:pPr>
            <w:r>
              <w:t>产出指标</w:t>
            </w:r>
          </w:p>
        </w:tc>
        <w:tc>
          <w:tcPr>
            <w:tcW w:w="2268" w:type="dxa"/>
            <w:vAlign w:val="center"/>
          </w:tcPr>
          <w:p w14:paraId="03CAAA0E">
            <w:pPr>
              <w:pStyle w:val="13"/>
            </w:pPr>
            <w:r>
              <w:t>成本指标</w:t>
            </w:r>
          </w:p>
        </w:tc>
        <w:tc>
          <w:tcPr>
            <w:tcW w:w="2835" w:type="dxa"/>
            <w:vAlign w:val="center"/>
          </w:tcPr>
          <w:p w14:paraId="31F471E6">
            <w:pPr>
              <w:pStyle w:val="13"/>
            </w:pPr>
            <w:r>
              <w:t>幼儿园资助标准</w:t>
            </w:r>
          </w:p>
        </w:tc>
        <w:tc>
          <w:tcPr>
            <w:tcW w:w="5386" w:type="dxa"/>
            <w:vAlign w:val="center"/>
          </w:tcPr>
          <w:p w14:paraId="36460DA2">
            <w:pPr>
              <w:pStyle w:val="13"/>
            </w:pPr>
            <w:r>
              <w:t>按照幼儿园资助标准1000元/生/年</w:t>
            </w:r>
          </w:p>
        </w:tc>
        <w:tc>
          <w:tcPr>
            <w:tcW w:w="2268" w:type="dxa"/>
            <w:vAlign w:val="center"/>
          </w:tcPr>
          <w:p w14:paraId="65CCCD52">
            <w:pPr>
              <w:pStyle w:val="13"/>
            </w:pPr>
            <w:r>
              <w:t>1000元/生/年</w:t>
            </w:r>
          </w:p>
        </w:tc>
        <w:tc>
          <w:tcPr>
            <w:tcW w:w="1276" w:type="dxa"/>
            <w:vAlign w:val="center"/>
          </w:tcPr>
          <w:p w14:paraId="626CBA36">
            <w:pPr>
              <w:pStyle w:val="13"/>
            </w:pPr>
            <w:r>
              <w:t>幼儿资助经费管理办法</w:t>
            </w:r>
          </w:p>
        </w:tc>
      </w:tr>
      <w:tr w14:paraId="4D7B8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CA447"/>
        </w:tc>
        <w:tc>
          <w:tcPr>
            <w:tcW w:w="2268" w:type="dxa"/>
            <w:vAlign w:val="center"/>
          </w:tcPr>
          <w:p w14:paraId="1B110D03">
            <w:pPr>
              <w:pStyle w:val="13"/>
            </w:pPr>
            <w:r>
              <w:t>数量指标</w:t>
            </w:r>
          </w:p>
        </w:tc>
        <w:tc>
          <w:tcPr>
            <w:tcW w:w="2835" w:type="dxa"/>
            <w:vAlign w:val="center"/>
          </w:tcPr>
          <w:p w14:paraId="6E8A2B7A">
            <w:pPr>
              <w:pStyle w:val="13"/>
            </w:pPr>
            <w:r>
              <w:t>幼儿园比例比例</w:t>
            </w:r>
          </w:p>
        </w:tc>
        <w:tc>
          <w:tcPr>
            <w:tcW w:w="5386" w:type="dxa"/>
            <w:vAlign w:val="center"/>
          </w:tcPr>
          <w:p w14:paraId="6379006E">
            <w:pPr>
              <w:pStyle w:val="13"/>
            </w:pPr>
            <w:r>
              <w:t>按学前适龄在园儿童10%测算</w:t>
            </w:r>
          </w:p>
        </w:tc>
        <w:tc>
          <w:tcPr>
            <w:tcW w:w="2268" w:type="dxa"/>
            <w:vAlign w:val="center"/>
          </w:tcPr>
          <w:p w14:paraId="081A8FC4">
            <w:pPr>
              <w:pStyle w:val="13"/>
            </w:pPr>
            <w:r>
              <w:t>≥10%</w:t>
            </w:r>
          </w:p>
        </w:tc>
        <w:tc>
          <w:tcPr>
            <w:tcW w:w="1276" w:type="dxa"/>
            <w:vAlign w:val="center"/>
          </w:tcPr>
          <w:p w14:paraId="720E990E">
            <w:pPr>
              <w:pStyle w:val="13"/>
            </w:pPr>
            <w:r>
              <w:t>幼儿资助经费管理办法</w:t>
            </w:r>
          </w:p>
        </w:tc>
      </w:tr>
      <w:tr w14:paraId="568AE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9C5C5"/>
        </w:tc>
        <w:tc>
          <w:tcPr>
            <w:tcW w:w="2268" w:type="dxa"/>
            <w:vAlign w:val="center"/>
          </w:tcPr>
          <w:p w14:paraId="420527C4">
            <w:pPr>
              <w:pStyle w:val="13"/>
            </w:pPr>
            <w:r>
              <w:t>质量指标</w:t>
            </w:r>
          </w:p>
        </w:tc>
        <w:tc>
          <w:tcPr>
            <w:tcW w:w="2835" w:type="dxa"/>
            <w:vAlign w:val="center"/>
          </w:tcPr>
          <w:p w14:paraId="0E7277D3">
            <w:pPr>
              <w:pStyle w:val="13"/>
            </w:pPr>
            <w:r>
              <w:t>学前教育资助制度落实情况</w:t>
            </w:r>
          </w:p>
        </w:tc>
        <w:tc>
          <w:tcPr>
            <w:tcW w:w="5386" w:type="dxa"/>
            <w:vAlign w:val="center"/>
          </w:tcPr>
          <w:p w14:paraId="5C9229AC">
            <w:pPr>
              <w:pStyle w:val="13"/>
            </w:pPr>
            <w:r>
              <w:t>符合享受资助条件的学生应助尽助</w:t>
            </w:r>
          </w:p>
        </w:tc>
        <w:tc>
          <w:tcPr>
            <w:tcW w:w="2268" w:type="dxa"/>
            <w:vAlign w:val="center"/>
          </w:tcPr>
          <w:p w14:paraId="613AE593">
            <w:pPr>
              <w:pStyle w:val="13"/>
            </w:pPr>
            <w:r>
              <w:t>≥100%</w:t>
            </w:r>
          </w:p>
        </w:tc>
        <w:tc>
          <w:tcPr>
            <w:tcW w:w="1276" w:type="dxa"/>
            <w:vAlign w:val="center"/>
          </w:tcPr>
          <w:p w14:paraId="27A09E33">
            <w:pPr>
              <w:pStyle w:val="13"/>
            </w:pPr>
            <w:r>
              <w:t>幼儿资助经费管理办法</w:t>
            </w:r>
          </w:p>
        </w:tc>
      </w:tr>
      <w:tr w14:paraId="1E451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12AD7"/>
        </w:tc>
        <w:tc>
          <w:tcPr>
            <w:tcW w:w="2268" w:type="dxa"/>
            <w:vAlign w:val="center"/>
          </w:tcPr>
          <w:p w14:paraId="1C3C226C">
            <w:pPr>
              <w:pStyle w:val="13"/>
            </w:pPr>
            <w:r>
              <w:t>时效指标</w:t>
            </w:r>
          </w:p>
        </w:tc>
        <w:tc>
          <w:tcPr>
            <w:tcW w:w="2835" w:type="dxa"/>
            <w:vAlign w:val="center"/>
          </w:tcPr>
          <w:p w14:paraId="3C16133C">
            <w:pPr>
              <w:pStyle w:val="13"/>
            </w:pPr>
            <w:r>
              <w:t>可持续影响指标</w:t>
            </w:r>
          </w:p>
        </w:tc>
        <w:tc>
          <w:tcPr>
            <w:tcW w:w="5386" w:type="dxa"/>
            <w:vAlign w:val="center"/>
          </w:tcPr>
          <w:p w14:paraId="7F7FBBF4">
            <w:pPr>
              <w:pStyle w:val="13"/>
            </w:pPr>
            <w:r>
              <w:t>所有项目资金支付进度</w:t>
            </w:r>
          </w:p>
        </w:tc>
        <w:tc>
          <w:tcPr>
            <w:tcW w:w="2268" w:type="dxa"/>
            <w:vAlign w:val="center"/>
          </w:tcPr>
          <w:p w14:paraId="0C769D87">
            <w:pPr>
              <w:pStyle w:val="13"/>
            </w:pPr>
            <w:r>
              <w:t>≥100%</w:t>
            </w:r>
          </w:p>
        </w:tc>
        <w:tc>
          <w:tcPr>
            <w:tcW w:w="1276" w:type="dxa"/>
            <w:vAlign w:val="center"/>
          </w:tcPr>
          <w:p w14:paraId="77F83834">
            <w:pPr>
              <w:pStyle w:val="13"/>
            </w:pPr>
            <w:r>
              <w:t>幼儿资助经费管理办法</w:t>
            </w:r>
          </w:p>
        </w:tc>
      </w:tr>
      <w:tr w14:paraId="5D70D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A606A">
            <w:pPr>
              <w:pStyle w:val="12"/>
            </w:pPr>
            <w:r>
              <w:t>效益指标</w:t>
            </w:r>
          </w:p>
        </w:tc>
        <w:tc>
          <w:tcPr>
            <w:tcW w:w="2268" w:type="dxa"/>
            <w:vAlign w:val="center"/>
          </w:tcPr>
          <w:p w14:paraId="0C851970">
            <w:pPr>
              <w:pStyle w:val="13"/>
            </w:pPr>
            <w:r>
              <w:t>可持续影响指标</w:t>
            </w:r>
          </w:p>
        </w:tc>
        <w:tc>
          <w:tcPr>
            <w:tcW w:w="2835" w:type="dxa"/>
            <w:vAlign w:val="center"/>
          </w:tcPr>
          <w:p w14:paraId="5F803E95">
            <w:pPr>
              <w:pStyle w:val="13"/>
            </w:pPr>
            <w:r>
              <w:t>服务对象满意度指标</w:t>
            </w:r>
          </w:p>
        </w:tc>
        <w:tc>
          <w:tcPr>
            <w:tcW w:w="5386" w:type="dxa"/>
            <w:vAlign w:val="center"/>
          </w:tcPr>
          <w:p w14:paraId="3F1014DB">
            <w:pPr>
              <w:pStyle w:val="13"/>
            </w:pPr>
            <w:r>
              <w:t>幼儿受教育年限</w:t>
            </w:r>
          </w:p>
        </w:tc>
        <w:tc>
          <w:tcPr>
            <w:tcW w:w="2268" w:type="dxa"/>
            <w:vAlign w:val="center"/>
          </w:tcPr>
          <w:p w14:paraId="3B0DB8AD">
            <w:pPr>
              <w:pStyle w:val="13"/>
            </w:pPr>
            <w:r>
              <w:t>3年</w:t>
            </w:r>
          </w:p>
        </w:tc>
        <w:tc>
          <w:tcPr>
            <w:tcW w:w="1276" w:type="dxa"/>
            <w:vAlign w:val="center"/>
          </w:tcPr>
          <w:p w14:paraId="41106390">
            <w:pPr>
              <w:pStyle w:val="13"/>
            </w:pPr>
            <w:r>
              <w:t>幼儿资助经费管理办法</w:t>
            </w:r>
          </w:p>
        </w:tc>
      </w:tr>
      <w:tr w14:paraId="6D60B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C06A9">
            <w:pPr>
              <w:pStyle w:val="12"/>
            </w:pPr>
            <w:r>
              <w:t>满意度指标</w:t>
            </w:r>
          </w:p>
        </w:tc>
        <w:tc>
          <w:tcPr>
            <w:tcW w:w="2268" w:type="dxa"/>
            <w:vAlign w:val="center"/>
          </w:tcPr>
          <w:p w14:paraId="0BBCFCC2">
            <w:pPr>
              <w:pStyle w:val="13"/>
            </w:pPr>
            <w:r>
              <w:t>服务对象满意度指标</w:t>
            </w:r>
          </w:p>
        </w:tc>
        <w:tc>
          <w:tcPr>
            <w:tcW w:w="2835" w:type="dxa"/>
            <w:vAlign w:val="center"/>
          </w:tcPr>
          <w:p w14:paraId="60E65F61">
            <w:pPr>
              <w:pStyle w:val="13"/>
            </w:pPr>
            <w:r>
              <w:t>服务对象满意度指标</w:t>
            </w:r>
          </w:p>
        </w:tc>
        <w:tc>
          <w:tcPr>
            <w:tcW w:w="5386" w:type="dxa"/>
            <w:vAlign w:val="center"/>
          </w:tcPr>
          <w:p w14:paraId="35FD452A">
            <w:pPr>
              <w:pStyle w:val="13"/>
            </w:pPr>
            <w:r>
              <w:t>学生、教师及家长保教保育工作满意度情况</w:t>
            </w:r>
          </w:p>
        </w:tc>
        <w:tc>
          <w:tcPr>
            <w:tcW w:w="2268" w:type="dxa"/>
            <w:vAlign w:val="center"/>
          </w:tcPr>
          <w:p w14:paraId="78297392">
            <w:pPr>
              <w:pStyle w:val="13"/>
            </w:pPr>
            <w:r>
              <w:t>≥95%</w:t>
            </w:r>
          </w:p>
        </w:tc>
        <w:tc>
          <w:tcPr>
            <w:tcW w:w="1276" w:type="dxa"/>
            <w:vAlign w:val="center"/>
          </w:tcPr>
          <w:p w14:paraId="2A4AE1D0">
            <w:pPr>
              <w:pStyle w:val="13"/>
            </w:pPr>
            <w:r>
              <w:t>幼儿资助经费管理办法</w:t>
            </w:r>
          </w:p>
        </w:tc>
      </w:tr>
    </w:tbl>
    <w:p w14:paraId="54D5AC68">
      <w:pPr>
        <w:sectPr>
          <w:pgSz w:w="16840" w:h="11900" w:orient="landscape"/>
          <w:pgMar w:top="1361" w:right="1020" w:bottom="1134" w:left="1020" w:header="720" w:footer="720" w:gutter="0"/>
          <w:cols w:space="720" w:num="1"/>
        </w:sectPr>
      </w:pPr>
    </w:p>
    <w:p w14:paraId="7807EA52">
      <w:pPr>
        <w:spacing w:before="0" w:after="0"/>
        <w:ind w:firstLine="560"/>
        <w:jc w:val="left"/>
        <w:outlineLvl w:val="9"/>
      </w:pPr>
      <w:r>
        <w:rPr>
          <w:rFonts w:ascii="方正仿宋_GBK" w:hAnsi="方正仿宋_GBK" w:eastAsia="方正仿宋_GBK" w:cs="方正仿宋_GBK"/>
          <w:b/>
          <w:color w:val="000000"/>
          <w:sz w:val="28"/>
        </w:rPr>
        <w:t>7、县级资金/唐尧街幼儿园公用经费绩效目标表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02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94D80">
            <w:pPr>
              <w:pStyle w:val="14"/>
            </w:pPr>
            <w:r>
              <w:t>单位：万元</w:t>
            </w:r>
          </w:p>
        </w:tc>
      </w:tr>
      <w:tr w14:paraId="626C3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416897">
            <w:pPr>
              <w:pStyle w:val="11"/>
            </w:pPr>
            <w:r>
              <w:t>项目编码</w:t>
            </w:r>
          </w:p>
        </w:tc>
        <w:tc>
          <w:tcPr>
            <w:tcW w:w="5103" w:type="dxa"/>
            <w:gridSpan w:val="2"/>
            <w:vAlign w:val="center"/>
          </w:tcPr>
          <w:p w14:paraId="36569F4F">
            <w:pPr>
              <w:pStyle w:val="13"/>
            </w:pPr>
            <w:r>
              <w:t>13052524P008756100849</w:t>
            </w:r>
          </w:p>
        </w:tc>
        <w:tc>
          <w:tcPr>
            <w:tcW w:w="2835" w:type="dxa"/>
            <w:vAlign w:val="center"/>
          </w:tcPr>
          <w:p w14:paraId="5676FDD3">
            <w:pPr>
              <w:pStyle w:val="11"/>
            </w:pPr>
            <w:r>
              <w:t>项目名称</w:t>
            </w:r>
          </w:p>
        </w:tc>
        <w:tc>
          <w:tcPr>
            <w:tcW w:w="6095" w:type="dxa"/>
            <w:gridSpan w:val="3"/>
            <w:vAlign w:val="center"/>
          </w:tcPr>
          <w:p w14:paraId="7DE58044">
            <w:pPr>
              <w:pStyle w:val="13"/>
            </w:pPr>
            <w:r>
              <w:t>县级资金/唐尧街幼儿园公用经费</w:t>
            </w:r>
          </w:p>
        </w:tc>
      </w:tr>
      <w:tr w14:paraId="019EB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B55B3">
            <w:pPr>
              <w:pStyle w:val="11"/>
            </w:pPr>
            <w:r>
              <w:t>预算规模及资金用途</w:t>
            </w:r>
          </w:p>
        </w:tc>
        <w:tc>
          <w:tcPr>
            <w:tcW w:w="2268" w:type="dxa"/>
            <w:vAlign w:val="center"/>
          </w:tcPr>
          <w:p w14:paraId="16981A50">
            <w:pPr>
              <w:pStyle w:val="11"/>
            </w:pPr>
            <w:r>
              <w:t>预算数</w:t>
            </w:r>
          </w:p>
        </w:tc>
        <w:tc>
          <w:tcPr>
            <w:tcW w:w="2835" w:type="dxa"/>
            <w:vAlign w:val="center"/>
          </w:tcPr>
          <w:p w14:paraId="12011FA0">
            <w:pPr>
              <w:pStyle w:val="13"/>
            </w:pPr>
            <w:r>
              <w:t>7.20</w:t>
            </w:r>
          </w:p>
        </w:tc>
        <w:tc>
          <w:tcPr>
            <w:tcW w:w="2835" w:type="dxa"/>
            <w:vAlign w:val="center"/>
          </w:tcPr>
          <w:p w14:paraId="68E17E6B">
            <w:pPr>
              <w:pStyle w:val="11"/>
            </w:pPr>
            <w:r>
              <w:t>其中：财政    资金</w:t>
            </w:r>
          </w:p>
        </w:tc>
        <w:tc>
          <w:tcPr>
            <w:tcW w:w="2551" w:type="dxa"/>
            <w:vAlign w:val="center"/>
          </w:tcPr>
          <w:p w14:paraId="2BCECC1C">
            <w:pPr>
              <w:pStyle w:val="13"/>
            </w:pPr>
            <w:r>
              <w:t>7.20</w:t>
            </w:r>
          </w:p>
        </w:tc>
        <w:tc>
          <w:tcPr>
            <w:tcW w:w="2268" w:type="dxa"/>
            <w:vAlign w:val="center"/>
          </w:tcPr>
          <w:p w14:paraId="7159ED3B">
            <w:pPr>
              <w:pStyle w:val="11"/>
            </w:pPr>
            <w:r>
              <w:t>其他资金</w:t>
            </w:r>
          </w:p>
        </w:tc>
        <w:tc>
          <w:tcPr>
            <w:tcW w:w="1276" w:type="dxa"/>
            <w:vAlign w:val="center"/>
          </w:tcPr>
          <w:p w14:paraId="5A71999D">
            <w:pPr>
              <w:pStyle w:val="13"/>
            </w:pPr>
            <w:r>
              <w:t xml:space="preserve"> </w:t>
            </w:r>
          </w:p>
        </w:tc>
      </w:tr>
      <w:tr w14:paraId="5415C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A933B2"/>
        </w:tc>
        <w:tc>
          <w:tcPr>
            <w:tcW w:w="14033" w:type="dxa"/>
            <w:gridSpan w:val="6"/>
            <w:vAlign w:val="center"/>
          </w:tcPr>
          <w:p w14:paraId="3928FBA7">
            <w:pPr>
              <w:pStyle w:val="13"/>
            </w:pPr>
            <w:r>
              <w:t>确保学前教育正常进行。</w:t>
            </w:r>
          </w:p>
        </w:tc>
      </w:tr>
      <w:tr w14:paraId="2546B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85CDC">
            <w:pPr>
              <w:pStyle w:val="11"/>
            </w:pPr>
            <w:r>
              <w:t>资金支出计划（%）</w:t>
            </w:r>
          </w:p>
        </w:tc>
        <w:tc>
          <w:tcPr>
            <w:tcW w:w="5103" w:type="dxa"/>
            <w:gridSpan w:val="2"/>
            <w:vAlign w:val="center"/>
          </w:tcPr>
          <w:p w14:paraId="1D625E24">
            <w:pPr>
              <w:pStyle w:val="11"/>
            </w:pPr>
            <w:r>
              <w:t>3月底</w:t>
            </w:r>
          </w:p>
        </w:tc>
        <w:tc>
          <w:tcPr>
            <w:tcW w:w="2835" w:type="dxa"/>
            <w:vAlign w:val="center"/>
          </w:tcPr>
          <w:p w14:paraId="048FC7CC">
            <w:pPr>
              <w:pStyle w:val="11"/>
            </w:pPr>
            <w:r>
              <w:t>6月底</w:t>
            </w:r>
          </w:p>
        </w:tc>
        <w:tc>
          <w:tcPr>
            <w:tcW w:w="2551" w:type="dxa"/>
            <w:vAlign w:val="center"/>
          </w:tcPr>
          <w:p w14:paraId="0DFD4F67">
            <w:pPr>
              <w:pStyle w:val="11"/>
            </w:pPr>
            <w:r>
              <w:t>10月底</w:t>
            </w:r>
          </w:p>
        </w:tc>
        <w:tc>
          <w:tcPr>
            <w:tcW w:w="3544" w:type="dxa"/>
            <w:gridSpan w:val="2"/>
            <w:vAlign w:val="center"/>
          </w:tcPr>
          <w:p w14:paraId="7B313F5B">
            <w:pPr>
              <w:pStyle w:val="11"/>
            </w:pPr>
            <w:r>
              <w:t>12月底</w:t>
            </w:r>
          </w:p>
        </w:tc>
      </w:tr>
      <w:tr w14:paraId="215C1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EF99B8"/>
        </w:tc>
        <w:tc>
          <w:tcPr>
            <w:tcW w:w="5103" w:type="dxa"/>
            <w:gridSpan w:val="2"/>
            <w:vAlign w:val="center"/>
          </w:tcPr>
          <w:p w14:paraId="22CCF7D5">
            <w:pPr>
              <w:pStyle w:val="12"/>
            </w:pPr>
            <w:r>
              <w:t>25%</w:t>
            </w:r>
          </w:p>
        </w:tc>
        <w:tc>
          <w:tcPr>
            <w:tcW w:w="2835" w:type="dxa"/>
            <w:vAlign w:val="center"/>
          </w:tcPr>
          <w:p w14:paraId="1E89139D">
            <w:pPr>
              <w:pStyle w:val="12"/>
            </w:pPr>
            <w:r>
              <w:t>50%</w:t>
            </w:r>
          </w:p>
        </w:tc>
        <w:tc>
          <w:tcPr>
            <w:tcW w:w="2551" w:type="dxa"/>
            <w:vAlign w:val="center"/>
          </w:tcPr>
          <w:p w14:paraId="1A0D5452">
            <w:pPr>
              <w:pStyle w:val="12"/>
            </w:pPr>
            <w:r>
              <w:t>75%</w:t>
            </w:r>
          </w:p>
        </w:tc>
        <w:tc>
          <w:tcPr>
            <w:tcW w:w="3544" w:type="dxa"/>
            <w:gridSpan w:val="2"/>
            <w:vAlign w:val="center"/>
          </w:tcPr>
          <w:p w14:paraId="741373B9">
            <w:pPr>
              <w:pStyle w:val="12"/>
            </w:pPr>
            <w:r>
              <w:t>100%</w:t>
            </w:r>
          </w:p>
        </w:tc>
      </w:tr>
      <w:tr w14:paraId="3A473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67162E">
            <w:pPr>
              <w:pStyle w:val="11"/>
            </w:pPr>
            <w:r>
              <w:t>绩效目标</w:t>
            </w:r>
          </w:p>
        </w:tc>
        <w:tc>
          <w:tcPr>
            <w:tcW w:w="14033" w:type="dxa"/>
            <w:gridSpan w:val="6"/>
            <w:vAlign w:val="center"/>
          </w:tcPr>
          <w:p w14:paraId="7A6340EE">
            <w:pPr>
              <w:pStyle w:val="13"/>
            </w:pPr>
            <w:r>
              <w:t>1.按季度分批次拨付安排公用经费资金，学校按照预算安排进行资金使用，保证资金正常支出。</w:t>
            </w:r>
          </w:p>
        </w:tc>
      </w:tr>
    </w:tbl>
    <w:p w14:paraId="4C079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E8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6C940">
            <w:pPr>
              <w:pStyle w:val="11"/>
            </w:pPr>
            <w:r>
              <w:t>一级指标</w:t>
            </w:r>
          </w:p>
        </w:tc>
        <w:tc>
          <w:tcPr>
            <w:tcW w:w="2268" w:type="dxa"/>
            <w:vAlign w:val="center"/>
          </w:tcPr>
          <w:p w14:paraId="6F1D4460">
            <w:pPr>
              <w:pStyle w:val="11"/>
            </w:pPr>
            <w:r>
              <w:t>二级指标</w:t>
            </w:r>
          </w:p>
        </w:tc>
        <w:tc>
          <w:tcPr>
            <w:tcW w:w="2835" w:type="dxa"/>
            <w:vAlign w:val="center"/>
          </w:tcPr>
          <w:p w14:paraId="4A3E27A0">
            <w:pPr>
              <w:pStyle w:val="11"/>
            </w:pPr>
            <w:r>
              <w:t>三级指标</w:t>
            </w:r>
          </w:p>
        </w:tc>
        <w:tc>
          <w:tcPr>
            <w:tcW w:w="5386" w:type="dxa"/>
            <w:vAlign w:val="center"/>
          </w:tcPr>
          <w:p w14:paraId="021067F7">
            <w:pPr>
              <w:pStyle w:val="11"/>
            </w:pPr>
            <w:r>
              <w:t>绩效指标描述</w:t>
            </w:r>
          </w:p>
        </w:tc>
        <w:tc>
          <w:tcPr>
            <w:tcW w:w="2268" w:type="dxa"/>
            <w:vAlign w:val="center"/>
          </w:tcPr>
          <w:p w14:paraId="051BA0CC">
            <w:pPr>
              <w:pStyle w:val="11"/>
            </w:pPr>
            <w:r>
              <w:t>指标值</w:t>
            </w:r>
          </w:p>
        </w:tc>
        <w:tc>
          <w:tcPr>
            <w:tcW w:w="1276" w:type="dxa"/>
            <w:vAlign w:val="center"/>
          </w:tcPr>
          <w:p w14:paraId="73597A13">
            <w:pPr>
              <w:pStyle w:val="11"/>
            </w:pPr>
            <w:r>
              <w:t>指标值确定依据</w:t>
            </w:r>
          </w:p>
        </w:tc>
      </w:tr>
      <w:tr w14:paraId="12AF8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A5E19">
            <w:pPr>
              <w:pStyle w:val="12"/>
            </w:pPr>
            <w:r>
              <w:t>产出指标</w:t>
            </w:r>
          </w:p>
        </w:tc>
        <w:tc>
          <w:tcPr>
            <w:tcW w:w="2268" w:type="dxa"/>
            <w:vAlign w:val="center"/>
          </w:tcPr>
          <w:p w14:paraId="336FD333">
            <w:pPr>
              <w:pStyle w:val="13"/>
            </w:pPr>
            <w:r>
              <w:t>数量指标</w:t>
            </w:r>
          </w:p>
        </w:tc>
        <w:tc>
          <w:tcPr>
            <w:tcW w:w="2835" w:type="dxa"/>
            <w:vAlign w:val="center"/>
          </w:tcPr>
          <w:p w14:paraId="4BE65073">
            <w:pPr>
              <w:pStyle w:val="13"/>
            </w:pPr>
            <w:r>
              <w:t>适龄在校生</w:t>
            </w:r>
          </w:p>
        </w:tc>
        <w:tc>
          <w:tcPr>
            <w:tcW w:w="5386" w:type="dxa"/>
            <w:vAlign w:val="center"/>
          </w:tcPr>
          <w:p w14:paraId="517E6106">
            <w:pPr>
              <w:pStyle w:val="13"/>
            </w:pPr>
            <w:r>
              <w:t>辖区内适龄儿童全覆盖</w:t>
            </w:r>
          </w:p>
        </w:tc>
        <w:tc>
          <w:tcPr>
            <w:tcW w:w="2268" w:type="dxa"/>
            <w:vAlign w:val="center"/>
          </w:tcPr>
          <w:p w14:paraId="0F208960">
            <w:pPr>
              <w:pStyle w:val="13"/>
            </w:pPr>
            <w:r>
              <w:t>160人</w:t>
            </w:r>
          </w:p>
        </w:tc>
        <w:tc>
          <w:tcPr>
            <w:tcW w:w="1276" w:type="dxa"/>
            <w:vAlign w:val="center"/>
          </w:tcPr>
          <w:p w14:paraId="298D1F5A">
            <w:pPr>
              <w:pStyle w:val="13"/>
            </w:pPr>
            <w:r>
              <w:t>幼儿园生均公用经费管理办法</w:t>
            </w:r>
          </w:p>
        </w:tc>
      </w:tr>
      <w:tr w14:paraId="2A8F5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7EE6A"/>
        </w:tc>
        <w:tc>
          <w:tcPr>
            <w:tcW w:w="2268" w:type="dxa"/>
            <w:vAlign w:val="center"/>
          </w:tcPr>
          <w:p w14:paraId="201AA391">
            <w:pPr>
              <w:pStyle w:val="13"/>
            </w:pPr>
            <w:r>
              <w:t>质量指标</w:t>
            </w:r>
          </w:p>
        </w:tc>
        <w:tc>
          <w:tcPr>
            <w:tcW w:w="2835" w:type="dxa"/>
            <w:vAlign w:val="center"/>
          </w:tcPr>
          <w:p w14:paraId="13A463E8">
            <w:pPr>
              <w:pStyle w:val="13"/>
            </w:pPr>
            <w:r>
              <w:t>预算控制率</w:t>
            </w:r>
          </w:p>
        </w:tc>
        <w:tc>
          <w:tcPr>
            <w:tcW w:w="5386" w:type="dxa"/>
            <w:vAlign w:val="center"/>
          </w:tcPr>
          <w:p w14:paraId="665C5863">
            <w:pPr>
              <w:pStyle w:val="13"/>
            </w:pPr>
            <w:r>
              <w:t>预算执行</w:t>
            </w:r>
          </w:p>
        </w:tc>
        <w:tc>
          <w:tcPr>
            <w:tcW w:w="2268" w:type="dxa"/>
            <w:vAlign w:val="center"/>
          </w:tcPr>
          <w:p w14:paraId="77A26992">
            <w:pPr>
              <w:pStyle w:val="13"/>
            </w:pPr>
            <w:r>
              <w:t>≥95%</w:t>
            </w:r>
          </w:p>
        </w:tc>
        <w:tc>
          <w:tcPr>
            <w:tcW w:w="1276" w:type="dxa"/>
            <w:vAlign w:val="center"/>
          </w:tcPr>
          <w:p w14:paraId="45B8DFB8">
            <w:pPr>
              <w:pStyle w:val="13"/>
            </w:pPr>
            <w:r>
              <w:t>幼儿园生均公用经费管理办法</w:t>
            </w:r>
          </w:p>
        </w:tc>
      </w:tr>
      <w:tr w14:paraId="6E7E2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1F0C0"/>
        </w:tc>
        <w:tc>
          <w:tcPr>
            <w:tcW w:w="2268" w:type="dxa"/>
            <w:vAlign w:val="center"/>
          </w:tcPr>
          <w:p w14:paraId="420CF860">
            <w:pPr>
              <w:pStyle w:val="13"/>
            </w:pPr>
            <w:r>
              <w:t>时效指标</w:t>
            </w:r>
          </w:p>
        </w:tc>
        <w:tc>
          <w:tcPr>
            <w:tcW w:w="2835" w:type="dxa"/>
            <w:vAlign w:val="center"/>
          </w:tcPr>
          <w:p w14:paraId="7FC235B6">
            <w:pPr>
              <w:pStyle w:val="13"/>
            </w:pPr>
            <w:r>
              <w:t>资金支付率</w:t>
            </w:r>
          </w:p>
        </w:tc>
        <w:tc>
          <w:tcPr>
            <w:tcW w:w="5386" w:type="dxa"/>
            <w:vAlign w:val="center"/>
          </w:tcPr>
          <w:p w14:paraId="0B55F4C0">
            <w:pPr>
              <w:pStyle w:val="13"/>
            </w:pPr>
            <w:r>
              <w:t>按照序时进度完成资金支付</w:t>
            </w:r>
          </w:p>
        </w:tc>
        <w:tc>
          <w:tcPr>
            <w:tcW w:w="2268" w:type="dxa"/>
            <w:vAlign w:val="center"/>
          </w:tcPr>
          <w:p w14:paraId="3C7E24B5">
            <w:pPr>
              <w:pStyle w:val="13"/>
            </w:pPr>
            <w:r>
              <w:t>≥100%</w:t>
            </w:r>
          </w:p>
        </w:tc>
        <w:tc>
          <w:tcPr>
            <w:tcW w:w="1276" w:type="dxa"/>
            <w:vAlign w:val="center"/>
          </w:tcPr>
          <w:p w14:paraId="648108D9">
            <w:pPr>
              <w:pStyle w:val="13"/>
            </w:pPr>
            <w:r>
              <w:t>幼儿园生均公用经费管理办法</w:t>
            </w:r>
          </w:p>
        </w:tc>
      </w:tr>
      <w:tr w14:paraId="1BB64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84E62"/>
        </w:tc>
        <w:tc>
          <w:tcPr>
            <w:tcW w:w="2268" w:type="dxa"/>
            <w:vAlign w:val="center"/>
          </w:tcPr>
          <w:p w14:paraId="511B5A9A">
            <w:pPr>
              <w:pStyle w:val="13"/>
            </w:pPr>
            <w:r>
              <w:t>成本指标</w:t>
            </w:r>
          </w:p>
        </w:tc>
        <w:tc>
          <w:tcPr>
            <w:tcW w:w="2835" w:type="dxa"/>
            <w:vAlign w:val="center"/>
          </w:tcPr>
          <w:p w14:paraId="78F0874E">
            <w:pPr>
              <w:pStyle w:val="13"/>
            </w:pPr>
            <w:r>
              <w:t>生均拨款标准</w:t>
            </w:r>
          </w:p>
        </w:tc>
        <w:tc>
          <w:tcPr>
            <w:tcW w:w="5386" w:type="dxa"/>
            <w:vAlign w:val="center"/>
          </w:tcPr>
          <w:p w14:paraId="01C5C3B2">
            <w:pPr>
              <w:pStyle w:val="13"/>
            </w:pPr>
            <w:r>
              <w:t>学前经费600元/生/年</w:t>
            </w:r>
          </w:p>
        </w:tc>
        <w:tc>
          <w:tcPr>
            <w:tcW w:w="2268" w:type="dxa"/>
            <w:vAlign w:val="center"/>
          </w:tcPr>
          <w:p w14:paraId="447E8302">
            <w:pPr>
              <w:pStyle w:val="13"/>
            </w:pPr>
            <w:r>
              <w:t>600元</w:t>
            </w:r>
          </w:p>
        </w:tc>
        <w:tc>
          <w:tcPr>
            <w:tcW w:w="1276" w:type="dxa"/>
            <w:vAlign w:val="center"/>
          </w:tcPr>
          <w:p w14:paraId="0478A8CB">
            <w:pPr>
              <w:pStyle w:val="13"/>
            </w:pPr>
            <w:r>
              <w:t>幼儿园生均公用经费管理办法</w:t>
            </w:r>
          </w:p>
        </w:tc>
      </w:tr>
      <w:tr w14:paraId="2C345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E88AC9">
            <w:pPr>
              <w:pStyle w:val="12"/>
            </w:pPr>
            <w:r>
              <w:t>效益指标</w:t>
            </w:r>
          </w:p>
        </w:tc>
        <w:tc>
          <w:tcPr>
            <w:tcW w:w="2268" w:type="dxa"/>
            <w:vAlign w:val="center"/>
          </w:tcPr>
          <w:p w14:paraId="38793849">
            <w:pPr>
              <w:pStyle w:val="13"/>
            </w:pPr>
            <w:r>
              <w:t>可持续影响指标</w:t>
            </w:r>
          </w:p>
        </w:tc>
        <w:tc>
          <w:tcPr>
            <w:tcW w:w="2835" w:type="dxa"/>
            <w:vAlign w:val="center"/>
          </w:tcPr>
          <w:p w14:paraId="7FB5AE91">
            <w:pPr>
              <w:pStyle w:val="13"/>
            </w:pPr>
            <w:r>
              <w:t>教育发展水平明显好转</w:t>
            </w:r>
          </w:p>
        </w:tc>
        <w:tc>
          <w:tcPr>
            <w:tcW w:w="5386" w:type="dxa"/>
            <w:vAlign w:val="center"/>
          </w:tcPr>
          <w:p w14:paraId="3CBEF677">
            <w:pPr>
              <w:pStyle w:val="13"/>
            </w:pPr>
            <w:r>
              <w:t>学生受教育年限</w:t>
            </w:r>
          </w:p>
        </w:tc>
        <w:tc>
          <w:tcPr>
            <w:tcW w:w="2268" w:type="dxa"/>
            <w:vAlign w:val="center"/>
          </w:tcPr>
          <w:p w14:paraId="26231789">
            <w:pPr>
              <w:pStyle w:val="13"/>
            </w:pPr>
            <w:r>
              <w:t>3年</w:t>
            </w:r>
          </w:p>
        </w:tc>
        <w:tc>
          <w:tcPr>
            <w:tcW w:w="1276" w:type="dxa"/>
            <w:vAlign w:val="center"/>
          </w:tcPr>
          <w:p w14:paraId="216A6982">
            <w:pPr>
              <w:pStyle w:val="13"/>
            </w:pPr>
            <w:r>
              <w:t>幼儿园生均公用经费管理办法</w:t>
            </w:r>
          </w:p>
        </w:tc>
      </w:tr>
      <w:tr w14:paraId="4DD93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E87AB4">
            <w:pPr>
              <w:pStyle w:val="12"/>
            </w:pPr>
            <w:r>
              <w:t>满意度指标</w:t>
            </w:r>
          </w:p>
        </w:tc>
        <w:tc>
          <w:tcPr>
            <w:tcW w:w="2268" w:type="dxa"/>
            <w:vAlign w:val="center"/>
          </w:tcPr>
          <w:p w14:paraId="43DEEC28">
            <w:pPr>
              <w:pStyle w:val="13"/>
            </w:pPr>
            <w:r>
              <w:t>服务对象满意度指标</w:t>
            </w:r>
          </w:p>
        </w:tc>
        <w:tc>
          <w:tcPr>
            <w:tcW w:w="2835" w:type="dxa"/>
            <w:vAlign w:val="center"/>
          </w:tcPr>
          <w:p w14:paraId="77AC15BF">
            <w:pPr>
              <w:pStyle w:val="13"/>
            </w:pPr>
            <w:r>
              <w:t>受益学生家长及调查满意度</w:t>
            </w:r>
          </w:p>
        </w:tc>
        <w:tc>
          <w:tcPr>
            <w:tcW w:w="5386" w:type="dxa"/>
            <w:vAlign w:val="center"/>
          </w:tcPr>
          <w:p w14:paraId="7B2CB083">
            <w:pPr>
              <w:pStyle w:val="13"/>
            </w:pPr>
            <w:r>
              <w:t>学生、教师及家长对学校保教保育工作满意度情况</w:t>
            </w:r>
          </w:p>
        </w:tc>
        <w:tc>
          <w:tcPr>
            <w:tcW w:w="2268" w:type="dxa"/>
            <w:vAlign w:val="center"/>
          </w:tcPr>
          <w:p w14:paraId="28AF8299">
            <w:pPr>
              <w:pStyle w:val="13"/>
            </w:pPr>
            <w:r>
              <w:t>≥95%</w:t>
            </w:r>
          </w:p>
        </w:tc>
        <w:tc>
          <w:tcPr>
            <w:tcW w:w="1276" w:type="dxa"/>
            <w:vAlign w:val="center"/>
          </w:tcPr>
          <w:p w14:paraId="701833A4">
            <w:pPr>
              <w:pStyle w:val="13"/>
            </w:pPr>
            <w:r>
              <w:t>调查问卷</w:t>
            </w:r>
          </w:p>
        </w:tc>
      </w:tr>
    </w:tbl>
    <w:p w14:paraId="2A70369C">
      <w:pPr>
        <w:sectPr>
          <w:pgSz w:w="16840" w:h="11900" w:orient="landscape"/>
          <w:pgMar w:top="1361" w:right="1020" w:bottom="1134" w:left="1020" w:header="720" w:footer="720" w:gutter="0"/>
          <w:cols w:space="720" w:num="1"/>
        </w:sectPr>
      </w:pPr>
    </w:p>
    <w:p w14:paraId="51FC18C1">
      <w:pPr>
        <w:spacing w:before="0" w:after="0"/>
        <w:ind w:firstLine="560"/>
        <w:jc w:val="left"/>
        <w:outlineLvl w:val="9"/>
      </w:pPr>
      <w:r>
        <w:rPr>
          <w:rFonts w:ascii="方正仿宋_GBK" w:hAnsi="方正仿宋_GBK" w:eastAsia="方正仿宋_GBK" w:cs="方正仿宋_GBK"/>
          <w:b/>
          <w:color w:val="000000"/>
          <w:sz w:val="28"/>
        </w:rPr>
        <w:t>8、学前专项经费/唐尧街幼儿园绩效目标表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01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5DC88">
            <w:pPr>
              <w:pStyle w:val="14"/>
            </w:pPr>
            <w:r>
              <w:t>单位：万元</w:t>
            </w:r>
          </w:p>
        </w:tc>
      </w:tr>
      <w:tr w14:paraId="075E5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C6B506">
            <w:pPr>
              <w:pStyle w:val="11"/>
            </w:pPr>
            <w:r>
              <w:t>项目编码</w:t>
            </w:r>
          </w:p>
        </w:tc>
        <w:tc>
          <w:tcPr>
            <w:tcW w:w="5103" w:type="dxa"/>
            <w:gridSpan w:val="2"/>
            <w:vAlign w:val="center"/>
          </w:tcPr>
          <w:p w14:paraId="658FF632">
            <w:pPr>
              <w:pStyle w:val="13"/>
            </w:pPr>
            <w:r>
              <w:t>13052524P00875610025M</w:t>
            </w:r>
          </w:p>
        </w:tc>
        <w:tc>
          <w:tcPr>
            <w:tcW w:w="2835" w:type="dxa"/>
            <w:vAlign w:val="center"/>
          </w:tcPr>
          <w:p w14:paraId="5200A665">
            <w:pPr>
              <w:pStyle w:val="11"/>
            </w:pPr>
            <w:r>
              <w:t>项目名称</w:t>
            </w:r>
          </w:p>
        </w:tc>
        <w:tc>
          <w:tcPr>
            <w:tcW w:w="6095" w:type="dxa"/>
            <w:gridSpan w:val="3"/>
            <w:vAlign w:val="center"/>
          </w:tcPr>
          <w:p w14:paraId="2FC6A587">
            <w:pPr>
              <w:pStyle w:val="13"/>
            </w:pPr>
            <w:r>
              <w:t>学前专项经费/唐尧街幼儿园</w:t>
            </w:r>
          </w:p>
        </w:tc>
      </w:tr>
      <w:tr w14:paraId="08164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F1CDB">
            <w:pPr>
              <w:pStyle w:val="11"/>
            </w:pPr>
            <w:r>
              <w:t>预算规模及资金用途</w:t>
            </w:r>
          </w:p>
        </w:tc>
        <w:tc>
          <w:tcPr>
            <w:tcW w:w="2268" w:type="dxa"/>
            <w:vAlign w:val="center"/>
          </w:tcPr>
          <w:p w14:paraId="25500D58">
            <w:pPr>
              <w:pStyle w:val="11"/>
            </w:pPr>
            <w:r>
              <w:t>预算数</w:t>
            </w:r>
          </w:p>
        </w:tc>
        <w:tc>
          <w:tcPr>
            <w:tcW w:w="2835" w:type="dxa"/>
            <w:vAlign w:val="center"/>
          </w:tcPr>
          <w:p w14:paraId="091FC675">
            <w:pPr>
              <w:pStyle w:val="13"/>
            </w:pPr>
            <w:r>
              <w:t>38.39</w:t>
            </w:r>
          </w:p>
        </w:tc>
        <w:tc>
          <w:tcPr>
            <w:tcW w:w="2835" w:type="dxa"/>
            <w:vAlign w:val="center"/>
          </w:tcPr>
          <w:p w14:paraId="1FDCA877">
            <w:pPr>
              <w:pStyle w:val="11"/>
            </w:pPr>
            <w:r>
              <w:t>其中：财政    资金</w:t>
            </w:r>
          </w:p>
        </w:tc>
        <w:tc>
          <w:tcPr>
            <w:tcW w:w="2551" w:type="dxa"/>
            <w:vAlign w:val="center"/>
          </w:tcPr>
          <w:p w14:paraId="38A3B16B">
            <w:pPr>
              <w:pStyle w:val="13"/>
            </w:pPr>
            <w:r>
              <w:t>38.39</w:t>
            </w:r>
          </w:p>
        </w:tc>
        <w:tc>
          <w:tcPr>
            <w:tcW w:w="2268" w:type="dxa"/>
            <w:vAlign w:val="center"/>
          </w:tcPr>
          <w:p w14:paraId="5B092959">
            <w:pPr>
              <w:pStyle w:val="11"/>
            </w:pPr>
            <w:r>
              <w:t>其他资金</w:t>
            </w:r>
          </w:p>
        </w:tc>
        <w:tc>
          <w:tcPr>
            <w:tcW w:w="1276" w:type="dxa"/>
            <w:vAlign w:val="center"/>
          </w:tcPr>
          <w:p w14:paraId="539DDBBC">
            <w:pPr>
              <w:pStyle w:val="13"/>
            </w:pPr>
            <w:r>
              <w:t xml:space="preserve"> </w:t>
            </w:r>
          </w:p>
        </w:tc>
      </w:tr>
      <w:tr w14:paraId="10808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668BA"/>
        </w:tc>
        <w:tc>
          <w:tcPr>
            <w:tcW w:w="14033" w:type="dxa"/>
            <w:gridSpan w:val="6"/>
            <w:vAlign w:val="center"/>
          </w:tcPr>
          <w:p w14:paraId="4AE9B88D">
            <w:pPr>
              <w:pStyle w:val="13"/>
            </w:pPr>
            <w:r>
              <w:t>为保证学前教育顺利进行。</w:t>
            </w:r>
          </w:p>
        </w:tc>
      </w:tr>
      <w:tr w14:paraId="4D648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88D5C87">
            <w:pPr>
              <w:pStyle w:val="11"/>
            </w:pPr>
            <w:r>
              <w:t>资金支出计划（%）</w:t>
            </w:r>
          </w:p>
        </w:tc>
        <w:tc>
          <w:tcPr>
            <w:tcW w:w="5103" w:type="dxa"/>
            <w:gridSpan w:val="2"/>
            <w:vAlign w:val="center"/>
          </w:tcPr>
          <w:p w14:paraId="6CDB1E98">
            <w:pPr>
              <w:pStyle w:val="11"/>
            </w:pPr>
            <w:r>
              <w:t>3月底</w:t>
            </w:r>
          </w:p>
        </w:tc>
        <w:tc>
          <w:tcPr>
            <w:tcW w:w="2835" w:type="dxa"/>
            <w:vAlign w:val="center"/>
          </w:tcPr>
          <w:p w14:paraId="4B98A580">
            <w:pPr>
              <w:pStyle w:val="11"/>
            </w:pPr>
            <w:r>
              <w:t>6月底</w:t>
            </w:r>
          </w:p>
        </w:tc>
        <w:tc>
          <w:tcPr>
            <w:tcW w:w="2551" w:type="dxa"/>
            <w:vAlign w:val="center"/>
          </w:tcPr>
          <w:p w14:paraId="303D3072">
            <w:pPr>
              <w:pStyle w:val="11"/>
            </w:pPr>
            <w:r>
              <w:t>10月底</w:t>
            </w:r>
          </w:p>
        </w:tc>
        <w:tc>
          <w:tcPr>
            <w:tcW w:w="3544" w:type="dxa"/>
            <w:gridSpan w:val="2"/>
            <w:vAlign w:val="center"/>
          </w:tcPr>
          <w:p w14:paraId="2C15D02D">
            <w:pPr>
              <w:pStyle w:val="11"/>
            </w:pPr>
            <w:r>
              <w:t>12月底</w:t>
            </w:r>
          </w:p>
        </w:tc>
      </w:tr>
      <w:tr w14:paraId="65F2E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42C7F7"/>
        </w:tc>
        <w:tc>
          <w:tcPr>
            <w:tcW w:w="5103" w:type="dxa"/>
            <w:gridSpan w:val="2"/>
            <w:vAlign w:val="center"/>
          </w:tcPr>
          <w:p w14:paraId="2C3F165C">
            <w:pPr>
              <w:pStyle w:val="12"/>
            </w:pPr>
            <w:r>
              <w:t>25%</w:t>
            </w:r>
          </w:p>
        </w:tc>
        <w:tc>
          <w:tcPr>
            <w:tcW w:w="2835" w:type="dxa"/>
            <w:vAlign w:val="center"/>
          </w:tcPr>
          <w:p w14:paraId="28475212">
            <w:pPr>
              <w:pStyle w:val="12"/>
            </w:pPr>
            <w:r>
              <w:t>50%</w:t>
            </w:r>
          </w:p>
        </w:tc>
        <w:tc>
          <w:tcPr>
            <w:tcW w:w="2551" w:type="dxa"/>
            <w:vAlign w:val="center"/>
          </w:tcPr>
          <w:p w14:paraId="74B6663B">
            <w:pPr>
              <w:pStyle w:val="12"/>
            </w:pPr>
            <w:r>
              <w:t>75%</w:t>
            </w:r>
          </w:p>
        </w:tc>
        <w:tc>
          <w:tcPr>
            <w:tcW w:w="3544" w:type="dxa"/>
            <w:gridSpan w:val="2"/>
            <w:vAlign w:val="center"/>
          </w:tcPr>
          <w:p w14:paraId="645F34F3">
            <w:pPr>
              <w:pStyle w:val="12"/>
            </w:pPr>
            <w:r>
              <w:t>100%</w:t>
            </w:r>
          </w:p>
        </w:tc>
      </w:tr>
      <w:tr w14:paraId="3B31F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25EAA07D">
            <w:pPr>
              <w:pStyle w:val="11"/>
            </w:pPr>
            <w:r>
              <w:t>绩效目标</w:t>
            </w:r>
          </w:p>
        </w:tc>
        <w:tc>
          <w:tcPr>
            <w:tcW w:w="14033" w:type="dxa"/>
            <w:gridSpan w:val="6"/>
            <w:vAlign w:val="center"/>
          </w:tcPr>
          <w:p w14:paraId="7B2F75D2">
            <w:pPr>
              <w:pStyle w:val="13"/>
            </w:pPr>
            <w:r>
              <w:t>1.按上缴财政序时进度完成公立幼儿园保育费支出。</w:t>
            </w:r>
          </w:p>
          <w:p w14:paraId="58353E86">
            <w:pPr>
              <w:pStyle w:val="13"/>
            </w:pPr>
            <w:r>
              <w:t>2.按预算要求完成2025年度学前教学任务提升及教学质量提高。</w:t>
            </w:r>
          </w:p>
          <w:p w14:paraId="513992B9">
            <w:pPr>
              <w:pStyle w:val="13"/>
            </w:pPr>
            <w:r>
              <w:t>3.按要求完成公立幼儿园保育费按月/季度上缴财政。</w:t>
            </w:r>
          </w:p>
        </w:tc>
      </w:tr>
    </w:tbl>
    <w:p w14:paraId="1BB88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91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67C0C">
            <w:pPr>
              <w:pStyle w:val="11"/>
            </w:pPr>
            <w:r>
              <w:t>一级指标</w:t>
            </w:r>
          </w:p>
        </w:tc>
        <w:tc>
          <w:tcPr>
            <w:tcW w:w="2268" w:type="dxa"/>
            <w:vAlign w:val="center"/>
          </w:tcPr>
          <w:p w14:paraId="6DF1A88F">
            <w:pPr>
              <w:pStyle w:val="11"/>
            </w:pPr>
            <w:r>
              <w:t>二级指标</w:t>
            </w:r>
          </w:p>
        </w:tc>
        <w:tc>
          <w:tcPr>
            <w:tcW w:w="2835" w:type="dxa"/>
            <w:vAlign w:val="center"/>
          </w:tcPr>
          <w:p w14:paraId="4948015A">
            <w:pPr>
              <w:pStyle w:val="11"/>
            </w:pPr>
            <w:r>
              <w:t>三级指标</w:t>
            </w:r>
          </w:p>
        </w:tc>
        <w:tc>
          <w:tcPr>
            <w:tcW w:w="5386" w:type="dxa"/>
            <w:vAlign w:val="center"/>
          </w:tcPr>
          <w:p w14:paraId="19E4ACFD">
            <w:pPr>
              <w:pStyle w:val="11"/>
            </w:pPr>
            <w:r>
              <w:t>绩效指标描述</w:t>
            </w:r>
          </w:p>
        </w:tc>
        <w:tc>
          <w:tcPr>
            <w:tcW w:w="2268" w:type="dxa"/>
            <w:vAlign w:val="center"/>
          </w:tcPr>
          <w:p w14:paraId="712898B5">
            <w:pPr>
              <w:pStyle w:val="11"/>
            </w:pPr>
            <w:r>
              <w:t>指标值</w:t>
            </w:r>
          </w:p>
        </w:tc>
        <w:tc>
          <w:tcPr>
            <w:tcW w:w="1276" w:type="dxa"/>
            <w:vAlign w:val="center"/>
          </w:tcPr>
          <w:p w14:paraId="41F40286">
            <w:pPr>
              <w:pStyle w:val="11"/>
            </w:pPr>
            <w:r>
              <w:t>指标值确定依据</w:t>
            </w:r>
          </w:p>
        </w:tc>
      </w:tr>
      <w:tr w14:paraId="797A2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7B14E">
            <w:pPr>
              <w:pStyle w:val="12"/>
            </w:pPr>
            <w:r>
              <w:t>产出指标</w:t>
            </w:r>
          </w:p>
        </w:tc>
        <w:tc>
          <w:tcPr>
            <w:tcW w:w="2268" w:type="dxa"/>
            <w:vAlign w:val="center"/>
          </w:tcPr>
          <w:p w14:paraId="7AC5AAAF">
            <w:pPr>
              <w:pStyle w:val="13"/>
            </w:pPr>
            <w:r>
              <w:t>数量指标</w:t>
            </w:r>
          </w:p>
        </w:tc>
        <w:tc>
          <w:tcPr>
            <w:tcW w:w="2835" w:type="dxa"/>
            <w:vAlign w:val="center"/>
          </w:tcPr>
          <w:p w14:paraId="68D3FA1A">
            <w:pPr>
              <w:pStyle w:val="13"/>
            </w:pPr>
            <w:r>
              <w:t>适龄在校生</w:t>
            </w:r>
          </w:p>
        </w:tc>
        <w:tc>
          <w:tcPr>
            <w:tcW w:w="5386" w:type="dxa"/>
            <w:vAlign w:val="center"/>
          </w:tcPr>
          <w:p w14:paraId="6135AC7F">
            <w:pPr>
              <w:pStyle w:val="13"/>
            </w:pPr>
            <w:r>
              <w:t>适龄在校就读学生人数</w:t>
            </w:r>
          </w:p>
        </w:tc>
        <w:tc>
          <w:tcPr>
            <w:tcW w:w="2268" w:type="dxa"/>
            <w:vAlign w:val="center"/>
          </w:tcPr>
          <w:p w14:paraId="324AA136">
            <w:pPr>
              <w:pStyle w:val="13"/>
            </w:pPr>
            <w:r>
              <w:t>160人</w:t>
            </w:r>
          </w:p>
        </w:tc>
        <w:tc>
          <w:tcPr>
            <w:tcW w:w="1276" w:type="dxa"/>
            <w:vAlign w:val="center"/>
          </w:tcPr>
          <w:p w14:paraId="4C15A345">
            <w:pPr>
              <w:pStyle w:val="13"/>
            </w:pPr>
            <w:r>
              <w:t>年度工作计划</w:t>
            </w:r>
          </w:p>
        </w:tc>
      </w:tr>
      <w:tr w14:paraId="16657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576A5"/>
        </w:tc>
        <w:tc>
          <w:tcPr>
            <w:tcW w:w="2268" w:type="dxa"/>
            <w:vAlign w:val="center"/>
          </w:tcPr>
          <w:p w14:paraId="19E69B5F">
            <w:pPr>
              <w:pStyle w:val="13"/>
            </w:pPr>
            <w:r>
              <w:t>质量指标</w:t>
            </w:r>
          </w:p>
        </w:tc>
        <w:tc>
          <w:tcPr>
            <w:tcW w:w="2835" w:type="dxa"/>
            <w:vAlign w:val="center"/>
          </w:tcPr>
          <w:p w14:paraId="3CDFAB97">
            <w:pPr>
              <w:pStyle w:val="13"/>
            </w:pPr>
            <w:r>
              <w:t>按月上缴财政完成率</w:t>
            </w:r>
          </w:p>
        </w:tc>
        <w:tc>
          <w:tcPr>
            <w:tcW w:w="5386" w:type="dxa"/>
            <w:vAlign w:val="center"/>
          </w:tcPr>
          <w:p w14:paraId="27C80F23">
            <w:pPr>
              <w:pStyle w:val="13"/>
            </w:pPr>
            <w:r>
              <w:t>按月完成公立幼儿园保育费上缴财政</w:t>
            </w:r>
          </w:p>
        </w:tc>
        <w:tc>
          <w:tcPr>
            <w:tcW w:w="2268" w:type="dxa"/>
            <w:vAlign w:val="center"/>
          </w:tcPr>
          <w:p w14:paraId="1023415B">
            <w:pPr>
              <w:pStyle w:val="13"/>
            </w:pPr>
            <w:r>
              <w:t>≤100%</w:t>
            </w:r>
          </w:p>
        </w:tc>
        <w:tc>
          <w:tcPr>
            <w:tcW w:w="1276" w:type="dxa"/>
            <w:vAlign w:val="center"/>
          </w:tcPr>
          <w:p w14:paraId="46AA536D">
            <w:pPr>
              <w:pStyle w:val="13"/>
            </w:pPr>
            <w:r>
              <w:t>年度工作计划</w:t>
            </w:r>
          </w:p>
        </w:tc>
      </w:tr>
      <w:tr w14:paraId="5A66E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BC509"/>
        </w:tc>
        <w:tc>
          <w:tcPr>
            <w:tcW w:w="2268" w:type="dxa"/>
            <w:vAlign w:val="center"/>
          </w:tcPr>
          <w:p w14:paraId="1AC75841">
            <w:pPr>
              <w:pStyle w:val="13"/>
            </w:pPr>
            <w:r>
              <w:t>时效指标</w:t>
            </w:r>
          </w:p>
        </w:tc>
        <w:tc>
          <w:tcPr>
            <w:tcW w:w="2835" w:type="dxa"/>
            <w:vAlign w:val="center"/>
          </w:tcPr>
          <w:p w14:paraId="526FAE48">
            <w:pPr>
              <w:pStyle w:val="13"/>
            </w:pPr>
            <w:r>
              <w:t>资金支付率</w:t>
            </w:r>
          </w:p>
        </w:tc>
        <w:tc>
          <w:tcPr>
            <w:tcW w:w="5386" w:type="dxa"/>
            <w:vAlign w:val="center"/>
          </w:tcPr>
          <w:p w14:paraId="0B871EE4">
            <w:pPr>
              <w:pStyle w:val="13"/>
            </w:pPr>
            <w:r>
              <w:t>按照上缴财政进度完成公立幼儿园保育费支付</w:t>
            </w:r>
          </w:p>
        </w:tc>
        <w:tc>
          <w:tcPr>
            <w:tcW w:w="2268" w:type="dxa"/>
            <w:vAlign w:val="center"/>
          </w:tcPr>
          <w:p w14:paraId="5D381F09">
            <w:pPr>
              <w:pStyle w:val="13"/>
            </w:pPr>
            <w:r>
              <w:t>≤100%</w:t>
            </w:r>
          </w:p>
        </w:tc>
        <w:tc>
          <w:tcPr>
            <w:tcW w:w="1276" w:type="dxa"/>
            <w:vAlign w:val="center"/>
          </w:tcPr>
          <w:p w14:paraId="03665CAC">
            <w:pPr>
              <w:pStyle w:val="13"/>
            </w:pPr>
            <w:r>
              <w:t>年度工作计划</w:t>
            </w:r>
          </w:p>
        </w:tc>
      </w:tr>
      <w:tr w14:paraId="146EC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E4476"/>
        </w:tc>
        <w:tc>
          <w:tcPr>
            <w:tcW w:w="2268" w:type="dxa"/>
            <w:vAlign w:val="center"/>
          </w:tcPr>
          <w:p w14:paraId="581890C9">
            <w:pPr>
              <w:pStyle w:val="13"/>
            </w:pPr>
            <w:r>
              <w:t>成本指标</w:t>
            </w:r>
          </w:p>
        </w:tc>
        <w:tc>
          <w:tcPr>
            <w:tcW w:w="2835" w:type="dxa"/>
            <w:vAlign w:val="center"/>
          </w:tcPr>
          <w:p w14:paraId="2982EB2B">
            <w:pPr>
              <w:pStyle w:val="13"/>
            </w:pPr>
            <w:r>
              <w:t>生均拨款标准拨付率</w:t>
            </w:r>
          </w:p>
        </w:tc>
        <w:tc>
          <w:tcPr>
            <w:tcW w:w="5386" w:type="dxa"/>
            <w:vAlign w:val="center"/>
          </w:tcPr>
          <w:p w14:paraId="35FD12E5">
            <w:pPr>
              <w:pStyle w:val="13"/>
            </w:pPr>
            <w:r>
              <w:t>城市一类园280元/月/生，城市二类园230元/月/生。城市三类200元/月/生，农村一类园150元/月/生，农村二类园130元/月/生，农村三类园100元/月/生</w:t>
            </w:r>
          </w:p>
        </w:tc>
        <w:tc>
          <w:tcPr>
            <w:tcW w:w="2268" w:type="dxa"/>
            <w:vAlign w:val="center"/>
          </w:tcPr>
          <w:p w14:paraId="23C1D890">
            <w:pPr>
              <w:pStyle w:val="13"/>
            </w:pPr>
            <w:r>
              <w:t>100%</w:t>
            </w:r>
          </w:p>
        </w:tc>
        <w:tc>
          <w:tcPr>
            <w:tcW w:w="1276" w:type="dxa"/>
            <w:vAlign w:val="center"/>
          </w:tcPr>
          <w:p w14:paraId="0635CEA2">
            <w:pPr>
              <w:pStyle w:val="13"/>
            </w:pPr>
            <w:r>
              <w:t>年度工作计划</w:t>
            </w:r>
          </w:p>
        </w:tc>
      </w:tr>
      <w:tr w14:paraId="5BC85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7096C5">
            <w:pPr>
              <w:pStyle w:val="12"/>
            </w:pPr>
            <w:r>
              <w:t>效益指标</w:t>
            </w:r>
          </w:p>
        </w:tc>
        <w:tc>
          <w:tcPr>
            <w:tcW w:w="2268" w:type="dxa"/>
            <w:vAlign w:val="center"/>
          </w:tcPr>
          <w:p w14:paraId="194384C4">
            <w:pPr>
              <w:pStyle w:val="13"/>
            </w:pPr>
            <w:r>
              <w:t>可持续影响指标</w:t>
            </w:r>
          </w:p>
        </w:tc>
        <w:tc>
          <w:tcPr>
            <w:tcW w:w="2835" w:type="dxa"/>
            <w:vAlign w:val="center"/>
          </w:tcPr>
          <w:p w14:paraId="77E0096B">
            <w:pPr>
              <w:pStyle w:val="13"/>
            </w:pPr>
            <w:r>
              <w:t>幼儿园办园能力提升</w:t>
            </w:r>
          </w:p>
        </w:tc>
        <w:tc>
          <w:tcPr>
            <w:tcW w:w="5386" w:type="dxa"/>
            <w:vAlign w:val="center"/>
          </w:tcPr>
          <w:p w14:paraId="7A0148FA">
            <w:pPr>
              <w:pStyle w:val="13"/>
            </w:pPr>
            <w:r>
              <w:t>幼儿园办园能力提升情况及教育教学工作等开展的情况</w:t>
            </w:r>
          </w:p>
        </w:tc>
        <w:tc>
          <w:tcPr>
            <w:tcW w:w="2268" w:type="dxa"/>
            <w:vAlign w:val="center"/>
          </w:tcPr>
          <w:p w14:paraId="2C179774">
            <w:pPr>
              <w:pStyle w:val="13"/>
            </w:pPr>
            <w:r>
              <w:t>100%</w:t>
            </w:r>
          </w:p>
        </w:tc>
        <w:tc>
          <w:tcPr>
            <w:tcW w:w="1276" w:type="dxa"/>
            <w:vAlign w:val="center"/>
          </w:tcPr>
          <w:p w14:paraId="39F14CE0">
            <w:pPr>
              <w:pStyle w:val="13"/>
            </w:pPr>
            <w:r>
              <w:t>年度工作计划</w:t>
            </w:r>
          </w:p>
        </w:tc>
      </w:tr>
      <w:tr w14:paraId="64DA4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DA9A9">
            <w:pPr>
              <w:pStyle w:val="12"/>
            </w:pPr>
            <w:r>
              <w:t>满意度指标</w:t>
            </w:r>
          </w:p>
        </w:tc>
        <w:tc>
          <w:tcPr>
            <w:tcW w:w="2268" w:type="dxa"/>
            <w:vAlign w:val="center"/>
          </w:tcPr>
          <w:p w14:paraId="08266D73">
            <w:pPr>
              <w:pStyle w:val="13"/>
            </w:pPr>
            <w:r>
              <w:t>服务对象满意度指标</w:t>
            </w:r>
          </w:p>
        </w:tc>
        <w:tc>
          <w:tcPr>
            <w:tcW w:w="2835" w:type="dxa"/>
            <w:vAlign w:val="center"/>
          </w:tcPr>
          <w:p w14:paraId="21EDAEB9">
            <w:pPr>
              <w:pStyle w:val="13"/>
            </w:pPr>
            <w:r>
              <w:t>受益学生家长及调查满意度</w:t>
            </w:r>
          </w:p>
        </w:tc>
        <w:tc>
          <w:tcPr>
            <w:tcW w:w="5386" w:type="dxa"/>
            <w:vAlign w:val="center"/>
          </w:tcPr>
          <w:p w14:paraId="2A96C879">
            <w:pPr>
              <w:pStyle w:val="13"/>
            </w:pPr>
            <w:r>
              <w:t>幼儿、教师及家长对学校保教保育工作满意度情况</w:t>
            </w:r>
          </w:p>
        </w:tc>
        <w:tc>
          <w:tcPr>
            <w:tcW w:w="2268" w:type="dxa"/>
            <w:vAlign w:val="center"/>
          </w:tcPr>
          <w:p w14:paraId="54E603BC">
            <w:pPr>
              <w:pStyle w:val="13"/>
            </w:pPr>
            <w:r>
              <w:t>≥95%</w:t>
            </w:r>
          </w:p>
        </w:tc>
        <w:tc>
          <w:tcPr>
            <w:tcW w:w="1276" w:type="dxa"/>
            <w:vAlign w:val="center"/>
          </w:tcPr>
          <w:p w14:paraId="709A1532">
            <w:pPr>
              <w:pStyle w:val="13"/>
            </w:pPr>
            <w:r>
              <w:t>年度工作计划</w:t>
            </w:r>
          </w:p>
        </w:tc>
      </w:tr>
    </w:tbl>
    <w:p w14:paraId="55ADA646">
      <w:pPr>
        <w:sectPr>
          <w:pgSz w:w="16840" w:h="11900" w:orient="landscape"/>
          <w:pgMar w:top="1361" w:right="1020" w:bottom="1134" w:left="1020" w:header="720" w:footer="720" w:gutter="0"/>
          <w:cols w:space="720" w:num="1"/>
        </w:sectPr>
      </w:pPr>
    </w:p>
    <w:p w14:paraId="6CEE35E5">
      <w:pPr>
        <w:spacing w:before="10" w:after="10" w:line="240" w:lineRule="auto"/>
        <w:ind w:firstLine="640"/>
        <w:jc w:val="left"/>
        <w:outlineLvl w:val="5"/>
      </w:pPr>
      <w:r>
        <w:rPr>
          <w:rFonts w:ascii="黑体" w:hAnsi="黑体" w:eastAsia="黑体" w:cs="黑体"/>
          <w:color w:val="000000"/>
          <w:sz w:val="32"/>
        </w:rPr>
        <w:t>六、政府采购预算情况</w:t>
      </w:r>
    </w:p>
    <w:p w14:paraId="15F41C3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07DB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0D62500">
            <w:pPr>
              <w:pStyle w:val="8"/>
            </w:pPr>
            <w:r>
              <w:t>360035隆尧县唐尧街幼儿园</w:t>
            </w:r>
          </w:p>
        </w:tc>
        <w:tc>
          <w:tcPr>
            <w:tcW w:w="7712" w:type="dxa"/>
            <w:gridSpan w:val="8"/>
            <w:tcBorders>
              <w:top w:val="single" w:color="FFFFFF" w:sz="6" w:space="0"/>
              <w:left w:val="single" w:color="FFFFFF" w:sz="6" w:space="0"/>
              <w:right w:val="single" w:color="FFFFFF" w:sz="6" w:space="0"/>
            </w:tcBorders>
            <w:vAlign w:val="center"/>
          </w:tcPr>
          <w:p w14:paraId="055DA620">
            <w:pPr>
              <w:pStyle w:val="22"/>
            </w:pPr>
            <w:r>
              <w:t>单位：万元</w:t>
            </w:r>
          </w:p>
        </w:tc>
      </w:tr>
      <w:tr w14:paraId="094C2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1873292">
            <w:pPr>
              <w:pStyle w:val="11"/>
            </w:pPr>
            <w:r>
              <w:t>政府采购项目来源</w:t>
            </w:r>
          </w:p>
        </w:tc>
        <w:tc>
          <w:tcPr>
            <w:tcW w:w="1134" w:type="dxa"/>
            <w:vMerge w:val="restart"/>
            <w:vAlign w:val="center"/>
          </w:tcPr>
          <w:p w14:paraId="0C6D28E2">
            <w:pPr>
              <w:pStyle w:val="11"/>
            </w:pPr>
            <w:r>
              <w:t>采购物品名称</w:t>
            </w:r>
          </w:p>
        </w:tc>
        <w:tc>
          <w:tcPr>
            <w:tcW w:w="1134" w:type="dxa"/>
            <w:vMerge w:val="restart"/>
            <w:vAlign w:val="center"/>
          </w:tcPr>
          <w:p w14:paraId="07C867DD">
            <w:pPr>
              <w:pStyle w:val="11"/>
            </w:pPr>
            <w:r>
              <w:t>政府采购目录序号</w:t>
            </w:r>
          </w:p>
        </w:tc>
        <w:tc>
          <w:tcPr>
            <w:tcW w:w="709" w:type="dxa"/>
            <w:vMerge w:val="restart"/>
            <w:vAlign w:val="center"/>
          </w:tcPr>
          <w:p w14:paraId="57816E89">
            <w:pPr>
              <w:pStyle w:val="11"/>
            </w:pPr>
            <w:r>
              <w:t>计量  单位</w:t>
            </w:r>
          </w:p>
        </w:tc>
        <w:tc>
          <w:tcPr>
            <w:tcW w:w="850" w:type="dxa"/>
            <w:vMerge w:val="restart"/>
            <w:vAlign w:val="center"/>
          </w:tcPr>
          <w:p w14:paraId="77341695">
            <w:pPr>
              <w:pStyle w:val="11"/>
            </w:pPr>
            <w:r>
              <w:t>数量</w:t>
            </w:r>
          </w:p>
        </w:tc>
        <w:tc>
          <w:tcPr>
            <w:tcW w:w="850" w:type="dxa"/>
            <w:vMerge w:val="restart"/>
            <w:vAlign w:val="center"/>
          </w:tcPr>
          <w:p w14:paraId="079EBC7F">
            <w:pPr>
              <w:pStyle w:val="11"/>
            </w:pPr>
            <w:r>
              <w:t>单价</w:t>
            </w:r>
          </w:p>
        </w:tc>
        <w:tc>
          <w:tcPr>
            <w:tcW w:w="6748" w:type="dxa"/>
            <w:gridSpan w:val="7"/>
            <w:vAlign w:val="center"/>
          </w:tcPr>
          <w:p w14:paraId="211FBC8F">
            <w:pPr>
              <w:pStyle w:val="11"/>
            </w:pPr>
            <w:r>
              <w:t>政府采购金额（当年部门预算安排资金）</w:t>
            </w:r>
          </w:p>
        </w:tc>
        <w:tc>
          <w:tcPr>
            <w:tcW w:w="964" w:type="dxa"/>
            <w:vMerge w:val="restart"/>
            <w:vAlign w:val="center"/>
          </w:tcPr>
          <w:p w14:paraId="56285A5A">
            <w:pPr>
              <w:pStyle w:val="11"/>
            </w:pPr>
            <w:r>
              <w:t>2025年  预留中  小微企  业份额</w:t>
            </w:r>
          </w:p>
        </w:tc>
      </w:tr>
      <w:tr w14:paraId="574B3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0295E9F">
            <w:pPr>
              <w:pStyle w:val="11"/>
            </w:pPr>
            <w:r>
              <w:t>项目名称</w:t>
            </w:r>
          </w:p>
        </w:tc>
        <w:tc>
          <w:tcPr>
            <w:tcW w:w="964" w:type="dxa"/>
            <w:vAlign w:val="center"/>
          </w:tcPr>
          <w:p w14:paraId="5406A2BE">
            <w:pPr>
              <w:pStyle w:val="11"/>
            </w:pPr>
            <w:r>
              <w:t>预算    资金</w:t>
            </w:r>
          </w:p>
        </w:tc>
        <w:tc>
          <w:tcPr>
            <w:tcW w:w="1134" w:type="dxa"/>
            <w:vMerge w:val="continue"/>
          </w:tcPr>
          <w:p w14:paraId="5BD03541"/>
        </w:tc>
        <w:tc>
          <w:tcPr>
            <w:tcW w:w="1134" w:type="dxa"/>
            <w:vMerge w:val="continue"/>
          </w:tcPr>
          <w:p w14:paraId="0E641568"/>
        </w:tc>
        <w:tc>
          <w:tcPr>
            <w:tcW w:w="709" w:type="dxa"/>
            <w:vMerge w:val="continue"/>
          </w:tcPr>
          <w:p w14:paraId="2CEAEE86"/>
        </w:tc>
        <w:tc>
          <w:tcPr>
            <w:tcW w:w="850" w:type="dxa"/>
            <w:vMerge w:val="continue"/>
          </w:tcPr>
          <w:p w14:paraId="40A4DAD5"/>
        </w:tc>
        <w:tc>
          <w:tcPr>
            <w:tcW w:w="850" w:type="dxa"/>
            <w:vMerge w:val="continue"/>
          </w:tcPr>
          <w:p w14:paraId="5D8626DF"/>
        </w:tc>
        <w:tc>
          <w:tcPr>
            <w:tcW w:w="964" w:type="dxa"/>
            <w:vAlign w:val="center"/>
          </w:tcPr>
          <w:p w14:paraId="6EE02759">
            <w:pPr>
              <w:pStyle w:val="11"/>
            </w:pPr>
            <w:r>
              <w:t>合计</w:t>
            </w:r>
          </w:p>
        </w:tc>
        <w:tc>
          <w:tcPr>
            <w:tcW w:w="964" w:type="dxa"/>
            <w:vAlign w:val="center"/>
          </w:tcPr>
          <w:p w14:paraId="408E658E">
            <w:pPr>
              <w:pStyle w:val="11"/>
            </w:pPr>
            <w:r>
              <w:t>一般公共预算拨款</w:t>
            </w:r>
          </w:p>
        </w:tc>
        <w:tc>
          <w:tcPr>
            <w:tcW w:w="964" w:type="dxa"/>
            <w:vAlign w:val="center"/>
          </w:tcPr>
          <w:p w14:paraId="079D1B30">
            <w:pPr>
              <w:pStyle w:val="11"/>
            </w:pPr>
            <w:r>
              <w:t>基金预算拨款</w:t>
            </w:r>
          </w:p>
        </w:tc>
        <w:tc>
          <w:tcPr>
            <w:tcW w:w="964" w:type="dxa"/>
            <w:vAlign w:val="center"/>
          </w:tcPr>
          <w:p w14:paraId="1C42384A">
            <w:pPr>
              <w:pStyle w:val="11"/>
            </w:pPr>
            <w:r>
              <w:t>国有资本经营预算拨款</w:t>
            </w:r>
          </w:p>
        </w:tc>
        <w:tc>
          <w:tcPr>
            <w:tcW w:w="964" w:type="dxa"/>
            <w:vAlign w:val="center"/>
          </w:tcPr>
          <w:p w14:paraId="31C2491C">
            <w:pPr>
              <w:pStyle w:val="11"/>
            </w:pPr>
            <w:r>
              <w:t>财政专户核拨</w:t>
            </w:r>
          </w:p>
        </w:tc>
        <w:tc>
          <w:tcPr>
            <w:tcW w:w="964" w:type="dxa"/>
            <w:vAlign w:val="center"/>
          </w:tcPr>
          <w:p w14:paraId="5E9AAC40">
            <w:pPr>
              <w:pStyle w:val="11"/>
            </w:pPr>
            <w:r>
              <w:t>单位    资金</w:t>
            </w:r>
          </w:p>
        </w:tc>
        <w:tc>
          <w:tcPr>
            <w:tcW w:w="964" w:type="dxa"/>
            <w:vAlign w:val="center"/>
          </w:tcPr>
          <w:p w14:paraId="5D73CD11">
            <w:pPr>
              <w:pStyle w:val="11"/>
            </w:pPr>
            <w:r>
              <w:t>上年结转结余</w:t>
            </w:r>
          </w:p>
        </w:tc>
        <w:tc>
          <w:tcPr>
            <w:tcW w:w="964" w:type="dxa"/>
            <w:vMerge w:val="continue"/>
          </w:tcPr>
          <w:p w14:paraId="783C225A"/>
        </w:tc>
      </w:tr>
      <w:tr w14:paraId="1E810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142F17">
            <w:pPr>
              <w:pStyle w:val="15"/>
            </w:pPr>
            <w:r>
              <w:t>合  计</w:t>
            </w:r>
          </w:p>
        </w:tc>
        <w:tc>
          <w:tcPr>
            <w:tcW w:w="964" w:type="dxa"/>
            <w:vAlign w:val="center"/>
          </w:tcPr>
          <w:p w14:paraId="53FE593B">
            <w:pPr>
              <w:pStyle w:val="16"/>
            </w:pPr>
          </w:p>
        </w:tc>
        <w:tc>
          <w:tcPr>
            <w:tcW w:w="1134" w:type="dxa"/>
            <w:vAlign w:val="center"/>
          </w:tcPr>
          <w:p w14:paraId="76F59384">
            <w:pPr>
              <w:pStyle w:val="17"/>
            </w:pPr>
          </w:p>
        </w:tc>
        <w:tc>
          <w:tcPr>
            <w:tcW w:w="1134" w:type="dxa"/>
            <w:vAlign w:val="center"/>
          </w:tcPr>
          <w:p w14:paraId="52CFD816">
            <w:pPr>
              <w:pStyle w:val="17"/>
            </w:pPr>
          </w:p>
        </w:tc>
        <w:tc>
          <w:tcPr>
            <w:tcW w:w="709" w:type="dxa"/>
            <w:vAlign w:val="center"/>
          </w:tcPr>
          <w:p w14:paraId="65097EB6">
            <w:pPr>
              <w:pStyle w:val="15"/>
            </w:pPr>
          </w:p>
        </w:tc>
        <w:tc>
          <w:tcPr>
            <w:tcW w:w="850" w:type="dxa"/>
            <w:vAlign w:val="center"/>
          </w:tcPr>
          <w:p w14:paraId="79801134">
            <w:pPr>
              <w:pStyle w:val="16"/>
            </w:pPr>
          </w:p>
        </w:tc>
        <w:tc>
          <w:tcPr>
            <w:tcW w:w="850" w:type="dxa"/>
            <w:vAlign w:val="center"/>
          </w:tcPr>
          <w:p w14:paraId="41870C00">
            <w:pPr>
              <w:pStyle w:val="16"/>
            </w:pPr>
          </w:p>
        </w:tc>
        <w:tc>
          <w:tcPr>
            <w:tcW w:w="964" w:type="dxa"/>
            <w:vAlign w:val="center"/>
          </w:tcPr>
          <w:p w14:paraId="4556D72A">
            <w:pPr>
              <w:pStyle w:val="16"/>
            </w:pPr>
            <w:r>
              <w:t>6.13</w:t>
            </w:r>
          </w:p>
        </w:tc>
        <w:tc>
          <w:tcPr>
            <w:tcW w:w="964" w:type="dxa"/>
            <w:vAlign w:val="center"/>
          </w:tcPr>
          <w:p w14:paraId="4992312F">
            <w:pPr>
              <w:pStyle w:val="16"/>
            </w:pPr>
            <w:r>
              <w:t>6.13</w:t>
            </w:r>
          </w:p>
        </w:tc>
        <w:tc>
          <w:tcPr>
            <w:tcW w:w="964" w:type="dxa"/>
            <w:vAlign w:val="center"/>
          </w:tcPr>
          <w:p w14:paraId="1B4551B7">
            <w:pPr>
              <w:pStyle w:val="16"/>
            </w:pPr>
          </w:p>
        </w:tc>
        <w:tc>
          <w:tcPr>
            <w:tcW w:w="964" w:type="dxa"/>
            <w:vAlign w:val="center"/>
          </w:tcPr>
          <w:p w14:paraId="349F06D2">
            <w:pPr>
              <w:pStyle w:val="16"/>
            </w:pPr>
          </w:p>
        </w:tc>
        <w:tc>
          <w:tcPr>
            <w:tcW w:w="964" w:type="dxa"/>
            <w:vAlign w:val="center"/>
          </w:tcPr>
          <w:p w14:paraId="1BD3D076">
            <w:pPr>
              <w:pStyle w:val="16"/>
            </w:pPr>
          </w:p>
        </w:tc>
        <w:tc>
          <w:tcPr>
            <w:tcW w:w="964" w:type="dxa"/>
            <w:vAlign w:val="center"/>
          </w:tcPr>
          <w:p w14:paraId="6AD71879">
            <w:pPr>
              <w:pStyle w:val="16"/>
            </w:pPr>
          </w:p>
        </w:tc>
        <w:tc>
          <w:tcPr>
            <w:tcW w:w="964" w:type="dxa"/>
            <w:vAlign w:val="center"/>
          </w:tcPr>
          <w:p w14:paraId="0380724B">
            <w:pPr>
              <w:pStyle w:val="16"/>
            </w:pPr>
          </w:p>
        </w:tc>
        <w:tc>
          <w:tcPr>
            <w:tcW w:w="964" w:type="dxa"/>
            <w:vAlign w:val="center"/>
          </w:tcPr>
          <w:p w14:paraId="0C313738">
            <w:pPr>
              <w:pStyle w:val="16"/>
            </w:pPr>
            <w:r>
              <w:t>6.13</w:t>
            </w:r>
          </w:p>
        </w:tc>
      </w:tr>
      <w:tr w14:paraId="3E27E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19A3F2">
            <w:pPr>
              <w:pStyle w:val="15"/>
            </w:pPr>
            <w:r>
              <w:t>隆尧县唐尧街幼儿园小计</w:t>
            </w:r>
          </w:p>
        </w:tc>
        <w:tc>
          <w:tcPr>
            <w:tcW w:w="964" w:type="dxa"/>
            <w:vAlign w:val="center"/>
          </w:tcPr>
          <w:p w14:paraId="06007AC0">
            <w:pPr>
              <w:pStyle w:val="16"/>
            </w:pPr>
          </w:p>
        </w:tc>
        <w:tc>
          <w:tcPr>
            <w:tcW w:w="1134" w:type="dxa"/>
            <w:vAlign w:val="center"/>
          </w:tcPr>
          <w:p w14:paraId="7AFEFC97">
            <w:pPr>
              <w:pStyle w:val="17"/>
            </w:pPr>
          </w:p>
        </w:tc>
        <w:tc>
          <w:tcPr>
            <w:tcW w:w="1134" w:type="dxa"/>
            <w:vAlign w:val="center"/>
          </w:tcPr>
          <w:p w14:paraId="43B093C0">
            <w:pPr>
              <w:pStyle w:val="17"/>
            </w:pPr>
          </w:p>
        </w:tc>
        <w:tc>
          <w:tcPr>
            <w:tcW w:w="709" w:type="dxa"/>
            <w:vAlign w:val="center"/>
          </w:tcPr>
          <w:p w14:paraId="674216D6">
            <w:pPr>
              <w:pStyle w:val="15"/>
            </w:pPr>
          </w:p>
        </w:tc>
        <w:tc>
          <w:tcPr>
            <w:tcW w:w="850" w:type="dxa"/>
            <w:vAlign w:val="center"/>
          </w:tcPr>
          <w:p w14:paraId="1CB9C23D">
            <w:pPr>
              <w:pStyle w:val="16"/>
            </w:pPr>
          </w:p>
        </w:tc>
        <w:tc>
          <w:tcPr>
            <w:tcW w:w="850" w:type="dxa"/>
            <w:vAlign w:val="center"/>
          </w:tcPr>
          <w:p w14:paraId="716584EE">
            <w:pPr>
              <w:pStyle w:val="16"/>
            </w:pPr>
          </w:p>
        </w:tc>
        <w:tc>
          <w:tcPr>
            <w:tcW w:w="964" w:type="dxa"/>
            <w:vAlign w:val="center"/>
          </w:tcPr>
          <w:p w14:paraId="0CA15C91">
            <w:pPr>
              <w:pStyle w:val="16"/>
            </w:pPr>
            <w:r>
              <w:t>6.13</w:t>
            </w:r>
          </w:p>
        </w:tc>
        <w:tc>
          <w:tcPr>
            <w:tcW w:w="964" w:type="dxa"/>
            <w:vAlign w:val="center"/>
          </w:tcPr>
          <w:p w14:paraId="19F496DB">
            <w:pPr>
              <w:pStyle w:val="16"/>
            </w:pPr>
            <w:r>
              <w:t>6.13</w:t>
            </w:r>
          </w:p>
        </w:tc>
        <w:tc>
          <w:tcPr>
            <w:tcW w:w="964" w:type="dxa"/>
            <w:vAlign w:val="center"/>
          </w:tcPr>
          <w:p w14:paraId="568D0678">
            <w:pPr>
              <w:pStyle w:val="16"/>
            </w:pPr>
          </w:p>
        </w:tc>
        <w:tc>
          <w:tcPr>
            <w:tcW w:w="964" w:type="dxa"/>
            <w:vAlign w:val="center"/>
          </w:tcPr>
          <w:p w14:paraId="469F33E5">
            <w:pPr>
              <w:pStyle w:val="16"/>
            </w:pPr>
          </w:p>
        </w:tc>
        <w:tc>
          <w:tcPr>
            <w:tcW w:w="964" w:type="dxa"/>
            <w:vAlign w:val="center"/>
          </w:tcPr>
          <w:p w14:paraId="33608C34">
            <w:pPr>
              <w:pStyle w:val="16"/>
            </w:pPr>
          </w:p>
        </w:tc>
        <w:tc>
          <w:tcPr>
            <w:tcW w:w="964" w:type="dxa"/>
            <w:vAlign w:val="center"/>
          </w:tcPr>
          <w:p w14:paraId="03C98557">
            <w:pPr>
              <w:pStyle w:val="16"/>
            </w:pPr>
          </w:p>
        </w:tc>
        <w:tc>
          <w:tcPr>
            <w:tcW w:w="964" w:type="dxa"/>
            <w:vAlign w:val="center"/>
          </w:tcPr>
          <w:p w14:paraId="1187DB85">
            <w:pPr>
              <w:pStyle w:val="16"/>
            </w:pPr>
          </w:p>
        </w:tc>
        <w:tc>
          <w:tcPr>
            <w:tcW w:w="964" w:type="dxa"/>
            <w:vAlign w:val="center"/>
          </w:tcPr>
          <w:p w14:paraId="37143A71">
            <w:pPr>
              <w:pStyle w:val="16"/>
            </w:pPr>
            <w:r>
              <w:t>6.13</w:t>
            </w:r>
          </w:p>
        </w:tc>
      </w:tr>
      <w:tr w14:paraId="09361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790CC5">
            <w:pPr>
              <w:pStyle w:val="13"/>
            </w:pPr>
            <w:r>
              <w:t>学前专项经费/唐尧街幼儿园</w:t>
            </w:r>
          </w:p>
        </w:tc>
        <w:tc>
          <w:tcPr>
            <w:tcW w:w="964" w:type="dxa"/>
            <w:vAlign w:val="center"/>
          </w:tcPr>
          <w:p w14:paraId="59FDF12E">
            <w:pPr>
              <w:pStyle w:val="14"/>
            </w:pPr>
            <w:r>
              <w:t>38.39</w:t>
            </w:r>
          </w:p>
        </w:tc>
        <w:tc>
          <w:tcPr>
            <w:tcW w:w="1134" w:type="dxa"/>
            <w:vAlign w:val="center"/>
          </w:tcPr>
          <w:p w14:paraId="6602DA0E">
            <w:pPr>
              <w:pStyle w:val="13"/>
            </w:pPr>
            <w:r>
              <w:t>便携式计算机</w:t>
            </w:r>
          </w:p>
        </w:tc>
        <w:tc>
          <w:tcPr>
            <w:tcW w:w="1134" w:type="dxa"/>
            <w:vAlign w:val="center"/>
          </w:tcPr>
          <w:p w14:paraId="25342CF0">
            <w:pPr>
              <w:pStyle w:val="13"/>
            </w:pPr>
            <w:r>
              <w:t>A02010108</w:t>
            </w:r>
          </w:p>
        </w:tc>
        <w:tc>
          <w:tcPr>
            <w:tcW w:w="709" w:type="dxa"/>
            <w:vAlign w:val="center"/>
          </w:tcPr>
          <w:p w14:paraId="3859C8D2">
            <w:pPr>
              <w:pStyle w:val="12"/>
            </w:pPr>
            <w:r>
              <w:t>台</w:t>
            </w:r>
          </w:p>
        </w:tc>
        <w:tc>
          <w:tcPr>
            <w:tcW w:w="850" w:type="dxa"/>
            <w:vAlign w:val="center"/>
          </w:tcPr>
          <w:p w14:paraId="635EE8A5">
            <w:pPr>
              <w:pStyle w:val="14"/>
            </w:pPr>
            <w:r>
              <w:t>1</w:t>
            </w:r>
          </w:p>
        </w:tc>
        <w:tc>
          <w:tcPr>
            <w:tcW w:w="850" w:type="dxa"/>
            <w:vAlign w:val="center"/>
          </w:tcPr>
          <w:p w14:paraId="382C485C">
            <w:pPr>
              <w:pStyle w:val="14"/>
            </w:pPr>
            <w:r>
              <w:t>0.45</w:t>
            </w:r>
          </w:p>
        </w:tc>
        <w:tc>
          <w:tcPr>
            <w:tcW w:w="964" w:type="dxa"/>
            <w:vAlign w:val="center"/>
          </w:tcPr>
          <w:p w14:paraId="0F9B3C94">
            <w:pPr>
              <w:pStyle w:val="14"/>
            </w:pPr>
            <w:r>
              <w:t>0.45</w:t>
            </w:r>
          </w:p>
        </w:tc>
        <w:tc>
          <w:tcPr>
            <w:tcW w:w="964" w:type="dxa"/>
            <w:vAlign w:val="center"/>
          </w:tcPr>
          <w:p w14:paraId="519942D1">
            <w:pPr>
              <w:pStyle w:val="14"/>
            </w:pPr>
            <w:r>
              <w:t>0.45</w:t>
            </w:r>
          </w:p>
        </w:tc>
        <w:tc>
          <w:tcPr>
            <w:tcW w:w="964" w:type="dxa"/>
            <w:vAlign w:val="center"/>
          </w:tcPr>
          <w:p w14:paraId="0CAE4C5F">
            <w:pPr>
              <w:pStyle w:val="14"/>
            </w:pPr>
          </w:p>
        </w:tc>
        <w:tc>
          <w:tcPr>
            <w:tcW w:w="964" w:type="dxa"/>
            <w:vAlign w:val="center"/>
          </w:tcPr>
          <w:p w14:paraId="55BABA7F">
            <w:pPr>
              <w:pStyle w:val="14"/>
            </w:pPr>
          </w:p>
        </w:tc>
        <w:tc>
          <w:tcPr>
            <w:tcW w:w="964" w:type="dxa"/>
            <w:vAlign w:val="center"/>
          </w:tcPr>
          <w:p w14:paraId="7E2CA5BB">
            <w:pPr>
              <w:pStyle w:val="14"/>
            </w:pPr>
          </w:p>
        </w:tc>
        <w:tc>
          <w:tcPr>
            <w:tcW w:w="964" w:type="dxa"/>
            <w:vAlign w:val="center"/>
          </w:tcPr>
          <w:p w14:paraId="6224D027">
            <w:pPr>
              <w:pStyle w:val="14"/>
            </w:pPr>
          </w:p>
        </w:tc>
        <w:tc>
          <w:tcPr>
            <w:tcW w:w="964" w:type="dxa"/>
            <w:vAlign w:val="center"/>
          </w:tcPr>
          <w:p w14:paraId="44F5B341">
            <w:pPr>
              <w:pStyle w:val="14"/>
            </w:pPr>
          </w:p>
        </w:tc>
        <w:tc>
          <w:tcPr>
            <w:tcW w:w="964" w:type="dxa"/>
            <w:vAlign w:val="center"/>
          </w:tcPr>
          <w:p w14:paraId="616B9B21">
            <w:pPr>
              <w:pStyle w:val="14"/>
            </w:pPr>
            <w:r>
              <w:t>0.45</w:t>
            </w:r>
          </w:p>
        </w:tc>
      </w:tr>
      <w:tr w14:paraId="4F940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FCC4A7">
            <w:pPr>
              <w:pStyle w:val="13"/>
            </w:pPr>
            <w:r>
              <w:t>学前专项经费/唐尧街幼儿园</w:t>
            </w:r>
          </w:p>
        </w:tc>
        <w:tc>
          <w:tcPr>
            <w:tcW w:w="964" w:type="dxa"/>
            <w:vAlign w:val="center"/>
          </w:tcPr>
          <w:p w14:paraId="78751974">
            <w:pPr>
              <w:pStyle w:val="14"/>
            </w:pPr>
            <w:r>
              <w:t>38.39</w:t>
            </w:r>
          </w:p>
        </w:tc>
        <w:tc>
          <w:tcPr>
            <w:tcW w:w="1134" w:type="dxa"/>
            <w:vAlign w:val="center"/>
          </w:tcPr>
          <w:p w14:paraId="1D3F0DC3">
            <w:pPr>
              <w:pStyle w:val="13"/>
            </w:pPr>
            <w:r>
              <w:t>A3 彩色打印机</w:t>
            </w:r>
          </w:p>
        </w:tc>
        <w:tc>
          <w:tcPr>
            <w:tcW w:w="1134" w:type="dxa"/>
            <w:vAlign w:val="center"/>
          </w:tcPr>
          <w:p w14:paraId="4F585B35">
            <w:pPr>
              <w:pStyle w:val="13"/>
            </w:pPr>
            <w:r>
              <w:t>A02021002</w:t>
            </w:r>
          </w:p>
        </w:tc>
        <w:tc>
          <w:tcPr>
            <w:tcW w:w="709" w:type="dxa"/>
            <w:vAlign w:val="center"/>
          </w:tcPr>
          <w:p w14:paraId="3AE8F96F">
            <w:pPr>
              <w:pStyle w:val="12"/>
            </w:pPr>
            <w:r>
              <w:t>台</w:t>
            </w:r>
          </w:p>
        </w:tc>
        <w:tc>
          <w:tcPr>
            <w:tcW w:w="850" w:type="dxa"/>
            <w:vAlign w:val="center"/>
          </w:tcPr>
          <w:p w14:paraId="1DF9791F">
            <w:pPr>
              <w:pStyle w:val="14"/>
            </w:pPr>
            <w:r>
              <w:t>2</w:t>
            </w:r>
          </w:p>
        </w:tc>
        <w:tc>
          <w:tcPr>
            <w:tcW w:w="850" w:type="dxa"/>
            <w:vAlign w:val="center"/>
          </w:tcPr>
          <w:p w14:paraId="5A683F05">
            <w:pPr>
              <w:pStyle w:val="14"/>
            </w:pPr>
            <w:r>
              <w:t>0.18</w:t>
            </w:r>
          </w:p>
        </w:tc>
        <w:tc>
          <w:tcPr>
            <w:tcW w:w="964" w:type="dxa"/>
            <w:vAlign w:val="center"/>
          </w:tcPr>
          <w:p w14:paraId="3938CA20">
            <w:pPr>
              <w:pStyle w:val="14"/>
            </w:pPr>
            <w:r>
              <w:t>0.36</w:t>
            </w:r>
          </w:p>
        </w:tc>
        <w:tc>
          <w:tcPr>
            <w:tcW w:w="964" w:type="dxa"/>
            <w:vAlign w:val="center"/>
          </w:tcPr>
          <w:p w14:paraId="3CE07C1D">
            <w:pPr>
              <w:pStyle w:val="14"/>
            </w:pPr>
            <w:r>
              <w:t>0.36</w:t>
            </w:r>
          </w:p>
        </w:tc>
        <w:tc>
          <w:tcPr>
            <w:tcW w:w="964" w:type="dxa"/>
            <w:vAlign w:val="center"/>
          </w:tcPr>
          <w:p w14:paraId="0EE67F9B">
            <w:pPr>
              <w:pStyle w:val="14"/>
            </w:pPr>
          </w:p>
        </w:tc>
        <w:tc>
          <w:tcPr>
            <w:tcW w:w="964" w:type="dxa"/>
            <w:vAlign w:val="center"/>
          </w:tcPr>
          <w:p w14:paraId="26401E52">
            <w:pPr>
              <w:pStyle w:val="14"/>
            </w:pPr>
          </w:p>
        </w:tc>
        <w:tc>
          <w:tcPr>
            <w:tcW w:w="964" w:type="dxa"/>
            <w:vAlign w:val="center"/>
          </w:tcPr>
          <w:p w14:paraId="39AAA6EE">
            <w:pPr>
              <w:pStyle w:val="14"/>
            </w:pPr>
          </w:p>
        </w:tc>
        <w:tc>
          <w:tcPr>
            <w:tcW w:w="964" w:type="dxa"/>
            <w:vAlign w:val="center"/>
          </w:tcPr>
          <w:p w14:paraId="18D8D260">
            <w:pPr>
              <w:pStyle w:val="14"/>
            </w:pPr>
          </w:p>
        </w:tc>
        <w:tc>
          <w:tcPr>
            <w:tcW w:w="964" w:type="dxa"/>
            <w:vAlign w:val="center"/>
          </w:tcPr>
          <w:p w14:paraId="0BECDC18">
            <w:pPr>
              <w:pStyle w:val="14"/>
            </w:pPr>
          </w:p>
        </w:tc>
        <w:tc>
          <w:tcPr>
            <w:tcW w:w="964" w:type="dxa"/>
            <w:vAlign w:val="center"/>
          </w:tcPr>
          <w:p w14:paraId="64357B0B">
            <w:pPr>
              <w:pStyle w:val="14"/>
            </w:pPr>
            <w:r>
              <w:t>0.36</w:t>
            </w:r>
          </w:p>
        </w:tc>
      </w:tr>
      <w:tr w14:paraId="18E92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312BE411">
            <w:pPr>
              <w:pStyle w:val="13"/>
            </w:pPr>
            <w:r>
              <w:t>学前专项经费/唐尧街幼儿园</w:t>
            </w:r>
          </w:p>
        </w:tc>
        <w:tc>
          <w:tcPr>
            <w:tcW w:w="964" w:type="dxa"/>
            <w:vAlign w:val="center"/>
          </w:tcPr>
          <w:p w14:paraId="19B4097E">
            <w:pPr>
              <w:pStyle w:val="14"/>
            </w:pPr>
            <w:r>
              <w:t>38.39</w:t>
            </w:r>
          </w:p>
        </w:tc>
        <w:tc>
          <w:tcPr>
            <w:tcW w:w="1134" w:type="dxa"/>
            <w:vAlign w:val="center"/>
          </w:tcPr>
          <w:p w14:paraId="5D4FB384">
            <w:pPr>
              <w:pStyle w:val="13"/>
            </w:pPr>
            <w:r>
              <w:t>空调机</w:t>
            </w:r>
          </w:p>
        </w:tc>
        <w:tc>
          <w:tcPr>
            <w:tcW w:w="1134" w:type="dxa"/>
            <w:vAlign w:val="center"/>
          </w:tcPr>
          <w:p w14:paraId="01B2227E">
            <w:pPr>
              <w:pStyle w:val="13"/>
            </w:pPr>
            <w:r>
              <w:t>A02061804</w:t>
            </w:r>
          </w:p>
        </w:tc>
        <w:tc>
          <w:tcPr>
            <w:tcW w:w="709" w:type="dxa"/>
            <w:vAlign w:val="center"/>
          </w:tcPr>
          <w:p w14:paraId="2814115D">
            <w:pPr>
              <w:pStyle w:val="12"/>
            </w:pPr>
            <w:r>
              <w:t>台</w:t>
            </w:r>
          </w:p>
        </w:tc>
        <w:tc>
          <w:tcPr>
            <w:tcW w:w="850" w:type="dxa"/>
            <w:vAlign w:val="center"/>
          </w:tcPr>
          <w:p w14:paraId="328693EB">
            <w:pPr>
              <w:pStyle w:val="14"/>
            </w:pPr>
            <w:r>
              <w:t>1</w:t>
            </w:r>
          </w:p>
        </w:tc>
        <w:tc>
          <w:tcPr>
            <w:tcW w:w="850" w:type="dxa"/>
            <w:vAlign w:val="center"/>
          </w:tcPr>
          <w:p w14:paraId="1ECFE0CF">
            <w:pPr>
              <w:pStyle w:val="14"/>
            </w:pPr>
            <w:r>
              <w:t>0.28</w:t>
            </w:r>
          </w:p>
        </w:tc>
        <w:tc>
          <w:tcPr>
            <w:tcW w:w="964" w:type="dxa"/>
            <w:vAlign w:val="center"/>
          </w:tcPr>
          <w:p w14:paraId="0337B8B0">
            <w:pPr>
              <w:pStyle w:val="14"/>
            </w:pPr>
            <w:r>
              <w:t>0.28</w:t>
            </w:r>
          </w:p>
        </w:tc>
        <w:tc>
          <w:tcPr>
            <w:tcW w:w="964" w:type="dxa"/>
            <w:vAlign w:val="center"/>
          </w:tcPr>
          <w:p w14:paraId="7A62FCEA">
            <w:pPr>
              <w:pStyle w:val="14"/>
            </w:pPr>
            <w:r>
              <w:t>0.28</w:t>
            </w:r>
          </w:p>
        </w:tc>
        <w:tc>
          <w:tcPr>
            <w:tcW w:w="964" w:type="dxa"/>
            <w:vAlign w:val="center"/>
          </w:tcPr>
          <w:p w14:paraId="00492040">
            <w:pPr>
              <w:pStyle w:val="14"/>
            </w:pPr>
          </w:p>
        </w:tc>
        <w:tc>
          <w:tcPr>
            <w:tcW w:w="964" w:type="dxa"/>
            <w:vAlign w:val="center"/>
          </w:tcPr>
          <w:p w14:paraId="44055111">
            <w:pPr>
              <w:pStyle w:val="14"/>
            </w:pPr>
          </w:p>
        </w:tc>
        <w:tc>
          <w:tcPr>
            <w:tcW w:w="964" w:type="dxa"/>
            <w:vAlign w:val="center"/>
          </w:tcPr>
          <w:p w14:paraId="22A31E3D">
            <w:pPr>
              <w:pStyle w:val="14"/>
            </w:pPr>
          </w:p>
        </w:tc>
        <w:tc>
          <w:tcPr>
            <w:tcW w:w="964" w:type="dxa"/>
            <w:vAlign w:val="center"/>
          </w:tcPr>
          <w:p w14:paraId="2498C50F">
            <w:pPr>
              <w:pStyle w:val="14"/>
            </w:pPr>
          </w:p>
        </w:tc>
        <w:tc>
          <w:tcPr>
            <w:tcW w:w="964" w:type="dxa"/>
            <w:vAlign w:val="center"/>
          </w:tcPr>
          <w:p w14:paraId="55A9A008">
            <w:pPr>
              <w:pStyle w:val="14"/>
            </w:pPr>
          </w:p>
        </w:tc>
        <w:tc>
          <w:tcPr>
            <w:tcW w:w="964" w:type="dxa"/>
            <w:vAlign w:val="center"/>
          </w:tcPr>
          <w:p w14:paraId="1B3566FF">
            <w:pPr>
              <w:pStyle w:val="14"/>
            </w:pPr>
            <w:r>
              <w:t>0.28</w:t>
            </w:r>
          </w:p>
        </w:tc>
      </w:tr>
      <w:tr w14:paraId="4D2AA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6DCB3734">
            <w:pPr>
              <w:pStyle w:val="13"/>
            </w:pPr>
            <w:r>
              <w:t>学前专项经费/唐尧街幼儿园</w:t>
            </w:r>
          </w:p>
        </w:tc>
        <w:tc>
          <w:tcPr>
            <w:tcW w:w="964" w:type="dxa"/>
            <w:vAlign w:val="center"/>
          </w:tcPr>
          <w:p w14:paraId="179447AA">
            <w:pPr>
              <w:pStyle w:val="14"/>
            </w:pPr>
            <w:r>
              <w:t>38.39</w:t>
            </w:r>
          </w:p>
        </w:tc>
        <w:tc>
          <w:tcPr>
            <w:tcW w:w="1134" w:type="dxa"/>
            <w:vAlign w:val="center"/>
          </w:tcPr>
          <w:p w14:paraId="7C03081A">
            <w:pPr>
              <w:pStyle w:val="13"/>
            </w:pPr>
            <w:r>
              <w:t>办公桌</w:t>
            </w:r>
          </w:p>
        </w:tc>
        <w:tc>
          <w:tcPr>
            <w:tcW w:w="1134" w:type="dxa"/>
            <w:vAlign w:val="center"/>
          </w:tcPr>
          <w:p w14:paraId="5DACB763">
            <w:pPr>
              <w:pStyle w:val="13"/>
            </w:pPr>
            <w:r>
              <w:t>A05010201</w:t>
            </w:r>
          </w:p>
        </w:tc>
        <w:tc>
          <w:tcPr>
            <w:tcW w:w="709" w:type="dxa"/>
            <w:vAlign w:val="center"/>
          </w:tcPr>
          <w:p w14:paraId="7419B8E1">
            <w:pPr>
              <w:pStyle w:val="12"/>
            </w:pPr>
            <w:r>
              <w:t xml:space="preserve"> 张</w:t>
            </w:r>
          </w:p>
        </w:tc>
        <w:tc>
          <w:tcPr>
            <w:tcW w:w="850" w:type="dxa"/>
            <w:vAlign w:val="center"/>
          </w:tcPr>
          <w:p w14:paraId="72D7A4D3">
            <w:pPr>
              <w:pStyle w:val="14"/>
            </w:pPr>
            <w:r>
              <w:t>1</w:t>
            </w:r>
          </w:p>
        </w:tc>
        <w:tc>
          <w:tcPr>
            <w:tcW w:w="850" w:type="dxa"/>
            <w:vAlign w:val="center"/>
          </w:tcPr>
          <w:p w14:paraId="25786DC0">
            <w:pPr>
              <w:pStyle w:val="14"/>
            </w:pPr>
            <w:r>
              <w:t>0.18</w:t>
            </w:r>
          </w:p>
        </w:tc>
        <w:tc>
          <w:tcPr>
            <w:tcW w:w="964" w:type="dxa"/>
            <w:vAlign w:val="center"/>
          </w:tcPr>
          <w:p w14:paraId="228B81DE">
            <w:pPr>
              <w:pStyle w:val="14"/>
            </w:pPr>
            <w:r>
              <w:t>0.18</w:t>
            </w:r>
          </w:p>
        </w:tc>
        <w:tc>
          <w:tcPr>
            <w:tcW w:w="964" w:type="dxa"/>
            <w:vAlign w:val="center"/>
          </w:tcPr>
          <w:p w14:paraId="28D2E412">
            <w:pPr>
              <w:pStyle w:val="14"/>
            </w:pPr>
            <w:r>
              <w:t>0.18</w:t>
            </w:r>
          </w:p>
        </w:tc>
        <w:tc>
          <w:tcPr>
            <w:tcW w:w="964" w:type="dxa"/>
            <w:vAlign w:val="center"/>
          </w:tcPr>
          <w:p w14:paraId="3053B512">
            <w:pPr>
              <w:pStyle w:val="14"/>
            </w:pPr>
          </w:p>
        </w:tc>
        <w:tc>
          <w:tcPr>
            <w:tcW w:w="964" w:type="dxa"/>
            <w:vAlign w:val="center"/>
          </w:tcPr>
          <w:p w14:paraId="785AE3BB">
            <w:pPr>
              <w:pStyle w:val="14"/>
            </w:pPr>
          </w:p>
        </w:tc>
        <w:tc>
          <w:tcPr>
            <w:tcW w:w="964" w:type="dxa"/>
            <w:vAlign w:val="center"/>
          </w:tcPr>
          <w:p w14:paraId="45B3F9C0">
            <w:pPr>
              <w:pStyle w:val="14"/>
            </w:pPr>
          </w:p>
        </w:tc>
        <w:tc>
          <w:tcPr>
            <w:tcW w:w="964" w:type="dxa"/>
            <w:vAlign w:val="center"/>
          </w:tcPr>
          <w:p w14:paraId="266D136A">
            <w:pPr>
              <w:pStyle w:val="14"/>
            </w:pPr>
          </w:p>
        </w:tc>
        <w:tc>
          <w:tcPr>
            <w:tcW w:w="964" w:type="dxa"/>
            <w:vAlign w:val="center"/>
          </w:tcPr>
          <w:p w14:paraId="654C03BD">
            <w:pPr>
              <w:pStyle w:val="14"/>
            </w:pPr>
          </w:p>
        </w:tc>
        <w:tc>
          <w:tcPr>
            <w:tcW w:w="964" w:type="dxa"/>
            <w:vAlign w:val="center"/>
          </w:tcPr>
          <w:p w14:paraId="186C67D9">
            <w:pPr>
              <w:pStyle w:val="14"/>
            </w:pPr>
            <w:r>
              <w:t>0.18</w:t>
            </w:r>
          </w:p>
        </w:tc>
      </w:tr>
      <w:tr w14:paraId="541F1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CDD12F">
            <w:pPr>
              <w:pStyle w:val="13"/>
            </w:pPr>
            <w:r>
              <w:t>学前专项经费/唐尧街幼儿园</w:t>
            </w:r>
          </w:p>
        </w:tc>
        <w:tc>
          <w:tcPr>
            <w:tcW w:w="964" w:type="dxa"/>
            <w:vAlign w:val="center"/>
          </w:tcPr>
          <w:p w14:paraId="78A1E88C">
            <w:pPr>
              <w:pStyle w:val="14"/>
            </w:pPr>
            <w:r>
              <w:t>38.39</w:t>
            </w:r>
          </w:p>
        </w:tc>
        <w:tc>
          <w:tcPr>
            <w:tcW w:w="1134" w:type="dxa"/>
            <w:vAlign w:val="center"/>
          </w:tcPr>
          <w:p w14:paraId="1AAD7263">
            <w:pPr>
              <w:pStyle w:val="13"/>
            </w:pPr>
            <w:r>
              <w:t>会议桌</w:t>
            </w:r>
          </w:p>
        </w:tc>
        <w:tc>
          <w:tcPr>
            <w:tcW w:w="1134" w:type="dxa"/>
            <w:vAlign w:val="center"/>
          </w:tcPr>
          <w:p w14:paraId="35B419F9">
            <w:pPr>
              <w:pStyle w:val="13"/>
            </w:pPr>
            <w:r>
              <w:t>A05010202</w:t>
            </w:r>
          </w:p>
        </w:tc>
        <w:tc>
          <w:tcPr>
            <w:tcW w:w="709" w:type="dxa"/>
            <w:vAlign w:val="center"/>
          </w:tcPr>
          <w:p w14:paraId="6EBF53A7">
            <w:pPr>
              <w:pStyle w:val="12"/>
            </w:pPr>
            <w:r>
              <w:t xml:space="preserve"> 张</w:t>
            </w:r>
          </w:p>
        </w:tc>
        <w:tc>
          <w:tcPr>
            <w:tcW w:w="850" w:type="dxa"/>
            <w:vAlign w:val="center"/>
          </w:tcPr>
          <w:p w14:paraId="1DE466DF">
            <w:pPr>
              <w:pStyle w:val="14"/>
            </w:pPr>
            <w:r>
              <w:t>32</w:t>
            </w:r>
          </w:p>
        </w:tc>
        <w:tc>
          <w:tcPr>
            <w:tcW w:w="850" w:type="dxa"/>
            <w:vAlign w:val="center"/>
          </w:tcPr>
          <w:p w14:paraId="6505036F">
            <w:pPr>
              <w:pStyle w:val="14"/>
            </w:pPr>
            <w:r>
              <w:t>0.06</w:t>
            </w:r>
          </w:p>
        </w:tc>
        <w:tc>
          <w:tcPr>
            <w:tcW w:w="964" w:type="dxa"/>
            <w:vAlign w:val="center"/>
          </w:tcPr>
          <w:p w14:paraId="0A312FE2">
            <w:pPr>
              <w:pStyle w:val="14"/>
            </w:pPr>
            <w:r>
              <w:t>1.82</w:t>
            </w:r>
          </w:p>
        </w:tc>
        <w:tc>
          <w:tcPr>
            <w:tcW w:w="964" w:type="dxa"/>
            <w:vAlign w:val="center"/>
          </w:tcPr>
          <w:p w14:paraId="481641D2">
            <w:pPr>
              <w:pStyle w:val="14"/>
            </w:pPr>
            <w:r>
              <w:t>1.82</w:t>
            </w:r>
          </w:p>
        </w:tc>
        <w:tc>
          <w:tcPr>
            <w:tcW w:w="964" w:type="dxa"/>
            <w:vAlign w:val="center"/>
          </w:tcPr>
          <w:p w14:paraId="67533D85">
            <w:pPr>
              <w:pStyle w:val="14"/>
            </w:pPr>
          </w:p>
        </w:tc>
        <w:tc>
          <w:tcPr>
            <w:tcW w:w="964" w:type="dxa"/>
            <w:vAlign w:val="center"/>
          </w:tcPr>
          <w:p w14:paraId="3EF0C16C">
            <w:pPr>
              <w:pStyle w:val="14"/>
            </w:pPr>
          </w:p>
        </w:tc>
        <w:tc>
          <w:tcPr>
            <w:tcW w:w="964" w:type="dxa"/>
            <w:vAlign w:val="center"/>
          </w:tcPr>
          <w:p w14:paraId="7C2E059A">
            <w:pPr>
              <w:pStyle w:val="14"/>
            </w:pPr>
          </w:p>
        </w:tc>
        <w:tc>
          <w:tcPr>
            <w:tcW w:w="964" w:type="dxa"/>
            <w:vAlign w:val="center"/>
          </w:tcPr>
          <w:p w14:paraId="6CC31D16">
            <w:pPr>
              <w:pStyle w:val="14"/>
            </w:pPr>
          </w:p>
        </w:tc>
        <w:tc>
          <w:tcPr>
            <w:tcW w:w="964" w:type="dxa"/>
            <w:vAlign w:val="center"/>
          </w:tcPr>
          <w:p w14:paraId="6903C3B2">
            <w:pPr>
              <w:pStyle w:val="14"/>
            </w:pPr>
          </w:p>
        </w:tc>
        <w:tc>
          <w:tcPr>
            <w:tcW w:w="964" w:type="dxa"/>
            <w:vAlign w:val="center"/>
          </w:tcPr>
          <w:p w14:paraId="247343C5">
            <w:pPr>
              <w:pStyle w:val="14"/>
            </w:pPr>
            <w:r>
              <w:t>1.82</w:t>
            </w:r>
          </w:p>
        </w:tc>
      </w:tr>
      <w:tr w14:paraId="3AB8A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B13468">
            <w:pPr>
              <w:pStyle w:val="13"/>
            </w:pPr>
            <w:r>
              <w:t>学前专项经费/唐尧街幼儿园</w:t>
            </w:r>
          </w:p>
        </w:tc>
        <w:tc>
          <w:tcPr>
            <w:tcW w:w="964" w:type="dxa"/>
            <w:vAlign w:val="center"/>
          </w:tcPr>
          <w:p w14:paraId="12D117D0">
            <w:pPr>
              <w:pStyle w:val="14"/>
            </w:pPr>
            <w:r>
              <w:t>38.39</w:t>
            </w:r>
          </w:p>
        </w:tc>
        <w:tc>
          <w:tcPr>
            <w:tcW w:w="1134" w:type="dxa"/>
            <w:vAlign w:val="center"/>
          </w:tcPr>
          <w:p w14:paraId="5949AD6E">
            <w:pPr>
              <w:pStyle w:val="13"/>
            </w:pPr>
            <w:r>
              <w:t>会议桌</w:t>
            </w:r>
          </w:p>
        </w:tc>
        <w:tc>
          <w:tcPr>
            <w:tcW w:w="1134" w:type="dxa"/>
            <w:vAlign w:val="center"/>
          </w:tcPr>
          <w:p w14:paraId="74786D94">
            <w:pPr>
              <w:pStyle w:val="13"/>
            </w:pPr>
            <w:r>
              <w:t>A05010202</w:t>
            </w:r>
          </w:p>
        </w:tc>
        <w:tc>
          <w:tcPr>
            <w:tcW w:w="709" w:type="dxa"/>
            <w:vAlign w:val="center"/>
          </w:tcPr>
          <w:p w14:paraId="0CE484E8">
            <w:pPr>
              <w:pStyle w:val="12"/>
            </w:pPr>
            <w:r>
              <w:t xml:space="preserve"> 张</w:t>
            </w:r>
          </w:p>
        </w:tc>
        <w:tc>
          <w:tcPr>
            <w:tcW w:w="850" w:type="dxa"/>
            <w:vAlign w:val="center"/>
          </w:tcPr>
          <w:p w14:paraId="11F365B7">
            <w:pPr>
              <w:pStyle w:val="14"/>
            </w:pPr>
            <w:r>
              <w:t>1</w:t>
            </w:r>
          </w:p>
        </w:tc>
        <w:tc>
          <w:tcPr>
            <w:tcW w:w="850" w:type="dxa"/>
            <w:vAlign w:val="center"/>
          </w:tcPr>
          <w:p w14:paraId="7D83EF54">
            <w:pPr>
              <w:pStyle w:val="14"/>
            </w:pPr>
            <w:r>
              <w:t>0.38</w:t>
            </w:r>
          </w:p>
        </w:tc>
        <w:tc>
          <w:tcPr>
            <w:tcW w:w="964" w:type="dxa"/>
            <w:vAlign w:val="center"/>
          </w:tcPr>
          <w:p w14:paraId="53B7C1EA">
            <w:pPr>
              <w:pStyle w:val="14"/>
            </w:pPr>
            <w:r>
              <w:t>0.38</w:t>
            </w:r>
          </w:p>
        </w:tc>
        <w:tc>
          <w:tcPr>
            <w:tcW w:w="964" w:type="dxa"/>
            <w:vAlign w:val="center"/>
          </w:tcPr>
          <w:p w14:paraId="3CAA7B9A">
            <w:pPr>
              <w:pStyle w:val="14"/>
            </w:pPr>
            <w:r>
              <w:t>0.38</w:t>
            </w:r>
          </w:p>
        </w:tc>
        <w:tc>
          <w:tcPr>
            <w:tcW w:w="964" w:type="dxa"/>
            <w:vAlign w:val="center"/>
          </w:tcPr>
          <w:p w14:paraId="55B5F955">
            <w:pPr>
              <w:pStyle w:val="14"/>
            </w:pPr>
          </w:p>
        </w:tc>
        <w:tc>
          <w:tcPr>
            <w:tcW w:w="964" w:type="dxa"/>
            <w:vAlign w:val="center"/>
          </w:tcPr>
          <w:p w14:paraId="5B652D81">
            <w:pPr>
              <w:pStyle w:val="14"/>
            </w:pPr>
          </w:p>
        </w:tc>
        <w:tc>
          <w:tcPr>
            <w:tcW w:w="964" w:type="dxa"/>
            <w:vAlign w:val="center"/>
          </w:tcPr>
          <w:p w14:paraId="5518BDC4">
            <w:pPr>
              <w:pStyle w:val="14"/>
            </w:pPr>
          </w:p>
        </w:tc>
        <w:tc>
          <w:tcPr>
            <w:tcW w:w="964" w:type="dxa"/>
            <w:vAlign w:val="center"/>
          </w:tcPr>
          <w:p w14:paraId="4ECF2CF0">
            <w:pPr>
              <w:pStyle w:val="14"/>
            </w:pPr>
          </w:p>
        </w:tc>
        <w:tc>
          <w:tcPr>
            <w:tcW w:w="964" w:type="dxa"/>
            <w:vAlign w:val="center"/>
          </w:tcPr>
          <w:p w14:paraId="5E93D965">
            <w:pPr>
              <w:pStyle w:val="14"/>
            </w:pPr>
          </w:p>
        </w:tc>
        <w:tc>
          <w:tcPr>
            <w:tcW w:w="964" w:type="dxa"/>
            <w:vAlign w:val="center"/>
          </w:tcPr>
          <w:p w14:paraId="03CC5227">
            <w:pPr>
              <w:pStyle w:val="14"/>
            </w:pPr>
            <w:r>
              <w:t>0.38</w:t>
            </w:r>
          </w:p>
        </w:tc>
      </w:tr>
      <w:tr w14:paraId="4C950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02EA0B">
            <w:pPr>
              <w:pStyle w:val="13"/>
            </w:pPr>
            <w:r>
              <w:t>学前专项经费/唐尧街幼儿园</w:t>
            </w:r>
          </w:p>
        </w:tc>
        <w:tc>
          <w:tcPr>
            <w:tcW w:w="964" w:type="dxa"/>
            <w:vAlign w:val="center"/>
          </w:tcPr>
          <w:p w14:paraId="11B4A3FD">
            <w:pPr>
              <w:pStyle w:val="14"/>
            </w:pPr>
            <w:r>
              <w:t>38.39</w:t>
            </w:r>
          </w:p>
        </w:tc>
        <w:tc>
          <w:tcPr>
            <w:tcW w:w="1134" w:type="dxa"/>
            <w:vAlign w:val="center"/>
          </w:tcPr>
          <w:p w14:paraId="04ADE855">
            <w:pPr>
              <w:pStyle w:val="13"/>
            </w:pPr>
            <w:r>
              <w:t>办公椅</w:t>
            </w:r>
          </w:p>
        </w:tc>
        <w:tc>
          <w:tcPr>
            <w:tcW w:w="1134" w:type="dxa"/>
            <w:vAlign w:val="center"/>
          </w:tcPr>
          <w:p w14:paraId="105A9582">
            <w:pPr>
              <w:pStyle w:val="13"/>
            </w:pPr>
            <w:r>
              <w:t>A05010301</w:t>
            </w:r>
          </w:p>
        </w:tc>
        <w:tc>
          <w:tcPr>
            <w:tcW w:w="709" w:type="dxa"/>
            <w:vAlign w:val="center"/>
          </w:tcPr>
          <w:p w14:paraId="05D6C67E">
            <w:pPr>
              <w:pStyle w:val="12"/>
            </w:pPr>
            <w:r>
              <w:t xml:space="preserve"> 张</w:t>
            </w:r>
          </w:p>
        </w:tc>
        <w:tc>
          <w:tcPr>
            <w:tcW w:w="850" w:type="dxa"/>
            <w:vAlign w:val="center"/>
          </w:tcPr>
          <w:p w14:paraId="160FAC63">
            <w:pPr>
              <w:pStyle w:val="14"/>
            </w:pPr>
            <w:r>
              <w:t>1</w:t>
            </w:r>
          </w:p>
        </w:tc>
        <w:tc>
          <w:tcPr>
            <w:tcW w:w="850" w:type="dxa"/>
            <w:vAlign w:val="center"/>
          </w:tcPr>
          <w:p w14:paraId="1328D64C">
            <w:pPr>
              <w:pStyle w:val="14"/>
            </w:pPr>
            <w:r>
              <w:t>0.08</w:t>
            </w:r>
          </w:p>
        </w:tc>
        <w:tc>
          <w:tcPr>
            <w:tcW w:w="964" w:type="dxa"/>
            <w:vAlign w:val="center"/>
          </w:tcPr>
          <w:p w14:paraId="2B00966A">
            <w:pPr>
              <w:pStyle w:val="14"/>
            </w:pPr>
            <w:r>
              <w:t>0.08</w:t>
            </w:r>
          </w:p>
        </w:tc>
        <w:tc>
          <w:tcPr>
            <w:tcW w:w="964" w:type="dxa"/>
            <w:vAlign w:val="center"/>
          </w:tcPr>
          <w:p w14:paraId="65502489">
            <w:pPr>
              <w:pStyle w:val="14"/>
            </w:pPr>
            <w:r>
              <w:t>0.08</w:t>
            </w:r>
          </w:p>
        </w:tc>
        <w:tc>
          <w:tcPr>
            <w:tcW w:w="964" w:type="dxa"/>
            <w:vAlign w:val="center"/>
          </w:tcPr>
          <w:p w14:paraId="54B91BA8">
            <w:pPr>
              <w:pStyle w:val="14"/>
            </w:pPr>
          </w:p>
        </w:tc>
        <w:tc>
          <w:tcPr>
            <w:tcW w:w="964" w:type="dxa"/>
            <w:vAlign w:val="center"/>
          </w:tcPr>
          <w:p w14:paraId="46E5D0C4">
            <w:pPr>
              <w:pStyle w:val="14"/>
            </w:pPr>
          </w:p>
        </w:tc>
        <w:tc>
          <w:tcPr>
            <w:tcW w:w="964" w:type="dxa"/>
            <w:vAlign w:val="center"/>
          </w:tcPr>
          <w:p w14:paraId="6CE02357">
            <w:pPr>
              <w:pStyle w:val="14"/>
            </w:pPr>
          </w:p>
        </w:tc>
        <w:tc>
          <w:tcPr>
            <w:tcW w:w="964" w:type="dxa"/>
            <w:vAlign w:val="center"/>
          </w:tcPr>
          <w:p w14:paraId="1AED9A90">
            <w:pPr>
              <w:pStyle w:val="14"/>
            </w:pPr>
          </w:p>
        </w:tc>
        <w:tc>
          <w:tcPr>
            <w:tcW w:w="964" w:type="dxa"/>
            <w:vAlign w:val="center"/>
          </w:tcPr>
          <w:p w14:paraId="5AC695F5">
            <w:pPr>
              <w:pStyle w:val="14"/>
            </w:pPr>
          </w:p>
        </w:tc>
        <w:tc>
          <w:tcPr>
            <w:tcW w:w="964" w:type="dxa"/>
            <w:vAlign w:val="center"/>
          </w:tcPr>
          <w:p w14:paraId="568566AF">
            <w:pPr>
              <w:pStyle w:val="14"/>
            </w:pPr>
            <w:r>
              <w:t>0.08</w:t>
            </w:r>
          </w:p>
        </w:tc>
      </w:tr>
      <w:tr w14:paraId="6AE9C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CDF44E">
            <w:pPr>
              <w:pStyle w:val="13"/>
            </w:pPr>
            <w:r>
              <w:t>学前专项经费/唐尧街幼儿园</w:t>
            </w:r>
          </w:p>
        </w:tc>
        <w:tc>
          <w:tcPr>
            <w:tcW w:w="964" w:type="dxa"/>
            <w:vAlign w:val="center"/>
          </w:tcPr>
          <w:p w14:paraId="606971A7">
            <w:pPr>
              <w:pStyle w:val="14"/>
            </w:pPr>
            <w:r>
              <w:t>38.39</w:t>
            </w:r>
          </w:p>
        </w:tc>
        <w:tc>
          <w:tcPr>
            <w:tcW w:w="1134" w:type="dxa"/>
            <w:vAlign w:val="center"/>
          </w:tcPr>
          <w:p w14:paraId="4848A066">
            <w:pPr>
              <w:pStyle w:val="13"/>
            </w:pPr>
            <w:r>
              <w:t>会议椅</w:t>
            </w:r>
          </w:p>
        </w:tc>
        <w:tc>
          <w:tcPr>
            <w:tcW w:w="1134" w:type="dxa"/>
            <w:vAlign w:val="center"/>
          </w:tcPr>
          <w:p w14:paraId="11752EF0">
            <w:pPr>
              <w:pStyle w:val="13"/>
            </w:pPr>
            <w:r>
              <w:t>A05010303</w:t>
            </w:r>
          </w:p>
        </w:tc>
        <w:tc>
          <w:tcPr>
            <w:tcW w:w="709" w:type="dxa"/>
            <w:vAlign w:val="center"/>
          </w:tcPr>
          <w:p w14:paraId="0ADD8242">
            <w:pPr>
              <w:pStyle w:val="12"/>
            </w:pPr>
            <w:r>
              <w:t xml:space="preserve"> 张</w:t>
            </w:r>
          </w:p>
        </w:tc>
        <w:tc>
          <w:tcPr>
            <w:tcW w:w="850" w:type="dxa"/>
            <w:vAlign w:val="center"/>
          </w:tcPr>
          <w:p w14:paraId="5645F0BB">
            <w:pPr>
              <w:pStyle w:val="14"/>
            </w:pPr>
            <w:r>
              <w:t>64</w:t>
            </w:r>
          </w:p>
        </w:tc>
        <w:tc>
          <w:tcPr>
            <w:tcW w:w="850" w:type="dxa"/>
            <w:vAlign w:val="center"/>
          </w:tcPr>
          <w:p w14:paraId="2C84AB61">
            <w:pPr>
              <w:pStyle w:val="14"/>
            </w:pPr>
            <w:r>
              <w:t>0.03</w:t>
            </w:r>
          </w:p>
        </w:tc>
        <w:tc>
          <w:tcPr>
            <w:tcW w:w="964" w:type="dxa"/>
            <w:vAlign w:val="center"/>
          </w:tcPr>
          <w:p w14:paraId="6B68A305">
            <w:pPr>
              <w:pStyle w:val="14"/>
            </w:pPr>
            <w:r>
              <w:t>1.86</w:t>
            </w:r>
          </w:p>
        </w:tc>
        <w:tc>
          <w:tcPr>
            <w:tcW w:w="964" w:type="dxa"/>
            <w:vAlign w:val="center"/>
          </w:tcPr>
          <w:p w14:paraId="0F00556D">
            <w:pPr>
              <w:pStyle w:val="14"/>
            </w:pPr>
            <w:r>
              <w:t>1.86</w:t>
            </w:r>
          </w:p>
        </w:tc>
        <w:tc>
          <w:tcPr>
            <w:tcW w:w="964" w:type="dxa"/>
            <w:vAlign w:val="center"/>
          </w:tcPr>
          <w:p w14:paraId="333148F1">
            <w:pPr>
              <w:pStyle w:val="14"/>
            </w:pPr>
          </w:p>
        </w:tc>
        <w:tc>
          <w:tcPr>
            <w:tcW w:w="964" w:type="dxa"/>
            <w:vAlign w:val="center"/>
          </w:tcPr>
          <w:p w14:paraId="1ED35EDA">
            <w:pPr>
              <w:pStyle w:val="14"/>
            </w:pPr>
          </w:p>
        </w:tc>
        <w:tc>
          <w:tcPr>
            <w:tcW w:w="964" w:type="dxa"/>
            <w:vAlign w:val="center"/>
          </w:tcPr>
          <w:p w14:paraId="2F048A1B">
            <w:pPr>
              <w:pStyle w:val="14"/>
            </w:pPr>
          </w:p>
        </w:tc>
        <w:tc>
          <w:tcPr>
            <w:tcW w:w="964" w:type="dxa"/>
            <w:vAlign w:val="center"/>
          </w:tcPr>
          <w:p w14:paraId="427C2590">
            <w:pPr>
              <w:pStyle w:val="14"/>
            </w:pPr>
          </w:p>
        </w:tc>
        <w:tc>
          <w:tcPr>
            <w:tcW w:w="964" w:type="dxa"/>
            <w:vAlign w:val="center"/>
          </w:tcPr>
          <w:p w14:paraId="218F61E5">
            <w:pPr>
              <w:pStyle w:val="14"/>
            </w:pPr>
          </w:p>
        </w:tc>
        <w:tc>
          <w:tcPr>
            <w:tcW w:w="964" w:type="dxa"/>
            <w:vAlign w:val="center"/>
          </w:tcPr>
          <w:p w14:paraId="23681CBA">
            <w:pPr>
              <w:pStyle w:val="14"/>
            </w:pPr>
            <w:r>
              <w:t>1.86</w:t>
            </w:r>
          </w:p>
        </w:tc>
      </w:tr>
      <w:tr w14:paraId="42370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4A203D68">
            <w:pPr>
              <w:pStyle w:val="13"/>
            </w:pPr>
            <w:r>
              <w:t>学前专项经费/唐尧街幼儿园</w:t>
            </w:r>
          </w:p>
        </w:tc>
        <w:tc>
          <w:tcPr>
            <w:tcW w:w="964" w:type="dxa"/>
            <w:vAlign w:val="center"/>
          </w:tcPr>
          <w:p w14:paraId="2F17EEC4">
            <w:pPr>
              <w:pStyle w:val="14"/>
            </w:pPr>
            <w:r>
              <w:t>38.39</w:t>
            </w:r>
          </w:p>
        </w:tc>
        <w:tc>
          <w:tcPr>
            <w:tcW w:w="1134" w:type="dxa"/>
            <w:vAlign w:val="center"/>
          </w:tcPr>
          <w:p w14:paraId="3FAC57AB">
            <w:pPr>
              <w:pStyle w:val="13"/>
            </w:pPr>
            <w:r>
              <w:t>会议椅</w:t>
            </w:r>
          </w:p>
        </w:tc>
        <w:tc>
          <w:tcPr>
            <w:tcW w:w="1134" w:type="dxa"/>
            <w:vAlign w:val="center"/>
          </w:tcPr>
          <w:p w14:paraId="3CDF3972">
            <w:pPr>
              <w:pStyle w:val="13"/>
            </w:pPr>
            <w:r>
              <w:t>A05010303</w:t>
            </w:r>
          </w:p>
        </w:tc>
        <w:tc>
          <w:tcPr>
            <w:tcW w:w="709" w:type="dxa"/>
            <w:vAlign w:val="center"/>
          </w:tcPr>
          <w:p w14:paraId="6C04FED5">
            <w:pPr>
              <w:pStyle w:val="12"/>
            </w:pPr>
            <w:r>
              <w:t xml:space="preserve"> 张</w:t>
            </w:r>
          </w:p>
        </w:tc>
        <w:tc>
          <w:tcPr>
            <w:tcW w:w="850" w:type="dxa"/>
            <w:vAlign w:val="center"/>
          </w:tcPr>
          <w:p w14:paraId="66740528">
            <w:pPr>
              <w:pStyle w:val="14"/>
            </w:pPr>
            <w:r>
              <w:t>15</w:t>
            </w:r>
          </w:p>
        </w:tc>
        <w:tc>
          <w:tcPr>
            <w:tcW w:w="850" w:type="dxa"/>
            <w:vAlign w:val="center"/>
          </w:tcPr>
          <w:p w14:paraId="56523505">
            <w:pPr>
              <w:pStyle w:val="14"/>
            </w:pPr>
            <w:r>
              <w:t>0.02</w:t>
            </w:r>
          </w:p>
        </w:tc>
        <w:tc>
          <w:tcPr>
            <w:tcW w:w="964" w:type="dxa"/>
            <w:vAlign w:val="center"/>
          </w:tcPr>
          <w:p w14:paraId="77D4F1E8">
            <w:pPr>
              <w:pStyle w:val="14"/>
            </w:pPr>
            <w:r>
              <w:t>0.36</w:t>
            </w:r>
          </w:p>
        </w:tc>
        <w:tc>
          <w:tcPr>
            <w:tcW w:w="964" w:type="dxa"/>
            <w:vAlign w:val="center"/>
          </w:tcPr>
          <w:p w14:paraId="21597454">
            <w:pPr>
              <w:pStyle w:val="14"/>
            </w:pPr>
            <w:r>
              <w:t>0.36</w:t>
            </w:r>
          </w:p>
        </w:tc>
        <w:tc>
          <w:tcPr>
            <w:tcW w:w="964" w:type="dxa"/>
            <w:vAlign w:val="center"/>
          </w:tcPr>
          <w:p w14:paraId="03DCB169">
            <w:pPr>
              <w:pStyle w:val="14"/>
            </w:pPr>
          </w:p>
        </w:tc>
        <w:tc>
          <w:tcPr>
            <w:tcW w:w="964" w:type="dxa"/>
            <w:vAlign w:val="center"/>
          </w:tcPr>
          <w:p w14:paraId="297660E9">
            <w:pPr>
              <w:pStyle w:val="14"/>
            </w:pPr>
          </w:p>
        </w:tc>
        <w:tc>
          <w:tcPr>
            <w:tcW w:w="964" w:type="dxa"/>
            <w:vAlign w:val="center"/>
          </w:tcPr>
          <w:p w14:paraId="32475F61">
            <w:pPr>
              <w:pStyle w:val="14"/>
            </w:pPr>
          </w:p>
        </w:tc>
        <w:tc>
          <w:tcPr>
            <w:tcW w:w="964" w:type="dxa"/>
            <w:vAlign w:val="center"/>
          </w:tcPr>
          <w:p w14:paraId="6D7019CA">
            <w:pPr>
              <w:pStyle w:val="14"/>
            </w:pPr>
          </w:p>
        </w:tc>
        <w:tc>
          <w:tcPr>
            <w:tcW w:w="964" w:type="dxa"/>
            <w:vAlign w:val="center"/>
          </w:tcPr>
          <w:p w14:paraId="316603B0">
            <w:pPr>
              <w:pStyle w:val="14"/>
            </w:pPr>
          </w:p>
        </w:tc>
        <w:tc>
          <w:tcPr>
            <w:tcW w:w="964" w:type="dxa"/>
            <w:vAlign w:val="center"/>
          </w:tcPr>
          <w:p w14:paraId="265AB4A4">
            <w:pPr>
              <w:pStyle w:val="14"/>
            </w:pPr>
            <w:r>
              <w:t>0.36</w:t>
            </w:r>
          </w:p>
        </w:tc>
      </w:tr>
      <w:tr w14:paraId="17355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0A82ECDF">
            <w:pPr>
              <w:pStyle w:val="13"/>
            </w:pPr>
            <w:r>
              <w:t>学前专项经费/唐尧街幼儿园</w:t>
            </w:r>
          </w:p>
        </w:tc>
        <w:tc>
          <w:tcPr>
            <w:tcW w:w="964" w:type="dxa"/>
            <w:vAlign w:val="center"/>
          </w:tcPr>
          <w:p w14:paraId="4FFF28C8">
            <w:pPr>
              <w:pStyle w:val="14"/>
            </w:pPr>
            <w:r>
              <w:t>38.39</w:t>
            </w:r>
          </w:p>
        </w:tc>
        <w:tc>
          <w:tcPr>
            <w:tcW w:w="1134" w:type="dxa"/>
            <w:vAlign w:val="center"/>
          </w:tcPr>
          <w:p w14:paraId="2A35F4DB">
            <w:pPr>
              <w:pStyle w:val="13"/>
            </w:pPr>
            <w:r>
              <w:t>书柜</w:t>
            </w:r>
          </w:p>
        </w:tc>
        <w:tc>
          <w:tcPr>
            <w:tcW w:w="1134" w:type="dxa"/>
            <w:vAlign w:val="center"/>
          </w:tcPr>
          <w:p w14:paraId="591AEEAD">
            <w:pPr>
              <w:pStyle w:val="13"/>
            </w:pPr>
            <w:r>
              <w:t>A05010501</w:t>
            </w:r>
          </w:p>
        </w:tc>
        <w:tc>
          <w:tcPr>
            <w:tcW w:w="709" w:type="dxa"/>
            <w:vAlign w:val="center"/>
          </w:tcPr>
          <w:p w14:paraId="26FEEDB8">
            <w:pPr>
              <w:pStyle w:val="12"/>
            </w:pPr>
            <w:r>
              <w:t xml:space="preserve"> 个</w:t>
            </w:r>
          </w:p>
        </w:tc>
        <w:tc>
          <w:tcPr>
            <w:tcW w:w="850" w:type="dxa"/>
            <w:vAlign w:val="center"/>
          </w:tcPr>
          <w:p w14:paraId="232E65F7">
            <w:pPr>
              <w:pStyle w:val="14"/>
            </w:pPr>
            <w:r>
              <w:t>1</w:t>
            </w:r>
          </w:p>
        </w:tc>
        <w:tc>
          <w:tcPr>
            <w:tcW w:w="850" w:type="dxa"/>
            <w:vAlign w:val="center"/>
          </w:tcPr>
          <w:p w14:paraId="567610F1">
            <w:pPr>
              <w:pStyle w:val="14"/>
            </w:pPr>
            <w:r>
              <w:t>0.20</w:t>
            </w:r>
          </w:p>
        </w:tc>
        <w:tc>
          <w:tcPr>
            <w:tcW w:w="964" w:type="dxa"/>
            <w:vAlign w:val="center"/>
          </w:tcPr>
          <w:p w14:paraId="4CBF66E1">
            <w:pPr>
              <w:pStyle w:val="14"/>
            </w:pPr>
            <w:r>
              <w:t>0.20</w:t>
            </w:r>
          </w:p>
        </w:tc>
        <w:tc>
          <w:tcPr>
            <w:tcW w:w="964" w:type="dxa"/>
            <w:vAlign w:val="center"/>
          </w:tcPr>
          <w:p w14:paraId="089EDF94">
            <w:pPr>
              <w:pStyle w:val="14"/>
            </w:pPr>
            <w:r>
              <w:t>0.20</w:t>
            </w:r>
          </w:p>
        </w:tc>
        <w:tc>
          <w:tcPr>
            <w:tcW w:w="964" w:type="dxa"/>
            <w:vAlign w:val="center"/>
          </w:tcPr>
          <w:p w14:paraId="5BDEA117">
            <w:pPr>
              <w:pStyle w:val="14"/>
            </w:pPr>
          </w:p>
        </w:tc>
        <w:tc>
          <w:tcPr>
            <w:tcW w:w="964" w:type="dxa"/>
            <w:vAlign w:val="center"/>
          </w:tcPr>
          <w:p w14:paraId="6A30EFF3">
            <w:pPr>
              <w:pStyle w:val="14"/>
            </w:pPr>
          </w:p>
        </w:tc>
        <w:tc>
          <w:tcPr>
            <w:tcW w:w="964" w:type="dxa"/>
            <w:vAlign w:val="center"/>
          </w:tcPr>
          <w:p w14:paraId="6EBB1FF3">
            <w:pPr>
              <w:pStyle w:val="14"/>
            </w:pPr>
          </w:p>
        </w:tc>
        <w:tc>
          <w:tcPr>
            <w:tcW w:w="964" w:type="dxa"/>
            <w:vAlign w:val="center"/>
          </w:tcPr>
          <w:p w14:paraId="566C67AE">
            <w:pPr>
              <w:pStyle w:val="14"/>
            </w:pPr>
          </w:p>
        </w:tc>
        <w:tc>
          <w:tcPr>
            <w:tcW w:w="964" w:type="dxa"/>
            <w:vAlign w:val="center"/>
          </w:tcPr>
          <w:p w14:paraId="4141D9A3">
            <w:pPr>
              <w:pStyle w:val="14"/>
            </w:pPr>
          </w:p>
        </w:tc>
        <w:tc>
          <w:tcPr>
            <w:tcW w:w="964" w:type="dxa"/>
            <w:vAlign w:val="center"/>
          </w:tcPr>
          <w:p w14:paraId="23C43431">
            <w:pPr>
              <w:pStyle w:val="14"/>
            </w:pPr>
            <w:r>
              <w:t>0.20</w:t>
            </w:r>
          </w:p>
        </w:tc>
      </w:tr>
      <w:tr w14:paraId="7423A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4FCA9E">
            <w:pPr>
              <w:pStyle w:val="13"/>
            </w:pPr>
            <w:r>
              <w:t>学前专项经费/唐尧街幼儿园</w:t>
            </w:r>
          </w:p>
        </w:tc>
        <w:tc>
          <w:tcPr>
            <w:tcW w:w="964" w:type="dxa"/>
            <w:vAlign w:val="center"/>
          </w:tcPr>
          <w:p w14:paraId="7DAC4846">
            <w:pPr>
              <w:pStyle w:val="14"/>
            </w:pPr>
            <w:r>
              <w:t>38.39</w:t>
            </w:r>
          </w:p>
        </w:tc>
        <w:tc>
          <w:tcPr>
            <w:tcW w:w="1134" w:type="dxa"/>
            <w:vAlign w:val="center"/>
          </w:tcPr>
          <w:p w14:paraId="5026AE67">
            <w:pPr>
              <w:pStyle w:val="13"/>
            </w:pPr>
            <w:r>
              <w:t>保密柜</w:t>
            </w:r>
          </w:p>
        </w:tc>
        <w:tc>
          <w:tcPr>
            <w:tcW w:w="1134" w:type="dxa"/>
            <w:vAlign w:val="center"/>
          </w:tcPr>
          <w:p w14:paraId="5BE65031">
            <w:pPr>
              <w:pStyle w:val="13"/>
            </w:pPr>
            <w:r>
              <w:t>A05010504</w:t>
            </w:r>
          </w:p>
        </w:tc>
        <w:tc>
          <w:tcPr>
            <w:tcW w:w="709" w:type="dxa"/>
            <w:vAlign w:val="center"/>
          </w:tcPr>
          <w:p w14:paraId="797B8463">
            <w:pPr>
              <w:pStyle w:val="12"/>
            </w:pPr>
            <w:r>
              <w:t>个</w:t>
            </w:r>
          </w:p>
        </w:tc>
        <w:tc>
          <w:tcPr>
            <w:tcW w:w="850" w:type="dxa"/>
            <w:vAlign w:val="center"/>
          </w:tcPr>
          <w:p w14:paraId="1438A9F5">
            <w:pPr>
              <w:pStyle w:val="14"/>
            </w:pPr>
            <w:r>
              <w:t>1</w:t>
            </w:r>
          </w:p>
        </w:tc>
        <w:tc>
          <w:tcPr>
            <w:tcW w:w="850" w:type="dxa"/>
            <w:vAlign w:val="center"/>
          </w:tcPr>
          <w:p w14:paraId="2580420C">
            <w:pPr>
              <w:pStyle w:val="14"/>
            </w:pPr>
            <w:r>
              <w:t>0.16</w:t>
            </w:r>
          </w:p>
        </w:tc>
        <w:tc>
          <w:tcPr>
            <w:tcW w:w="964" w:type="dxa"/>
            <w:vAlign w:val="center"/>
          </w:tcPr>
          <w:p w14:paraId="327D649E">
            <w:pPr>
              <w:pStyle w:val="14"/>
            </w:pPr>
            <w:r>
              <w:t>0.16</w:t>
            </w:r>
          </w:p>
        </w:tc>
        <w:tc>
          <w:tcPr>
            <w:tcW w:w="964" w:type="dxa"/>
            <w:vAlign w:val="center"/>
          </w:tcPr>
          <w:p w14:paraId="591DEF12">
            <w:pPr>
              <w:pStyle w:val="14"/>
            </w:pPr>
            <w:r>
              <w:t>0.16</w:t>
            </w:r>
          </w:p>
        </w:tc>
        <w:tc>
          <w:tcPr>
            <w:tcW w:w="964" w:type="dxa"/>
            <w:vAlign w:val="center"/>
          </w:tcPr>
          <w:p w14:paraId="55A44110">
            <w:pPr>
              <w:pStyle w:val="14"/>
            </w:pPr>
          </w:p>
        </w:tc>
        <w:tc>
          <w:tcPr>
            <w:tcW w:w="964" w:type="dxa"/>
            <w:vAlign w:val="center"/>
          </w:tcPr>
          <w:p w14:paraId="0C56D33E">
            <w:pPr>
              <w:pStyle w:val="14"/>
            </w:pPr>
          </w:p>
        </w:tc>
        <w:tc>
          <w:tcPr>
            <w:tcW w:w="964" w:type="dxa"/>
            <w:vAlign w:val="center"/>
          </w:tcPr>
          <w:p w14:paraId="0DA9D1DD">
            <w:pPr>
              <w:pStyle w:val="14"/>
            </w:pPr>
          </w:p>
        </w:tc>
        <w:tc>
          <w:tcPr>
            <w:tcW w:w="964" w:type="dxa"/>
            <w:vAlign w:val="center"/>
          </w:tcPr>
          <w:p w14:paraId="2D4143D6">
            <w:pPr>
              <w:pStyle w:val="14"/>
            </w:pPr>
          </w:p>
        </w:tc>
        <w:tc>
          <w:tcPr>
            <w:tcW w:w="964" w:type="dxa"/>
            <w:vAlign w:val="center"/>
          </w:tcPr>
          <w:p w14:paraId="2BDA1458">
            <w:pPr>
              <w:pStyle w:val="14"/>
            </w:pPr>
          </w:p>
        </w:tc>
        <w:tc>
          <w:tcPr>
            <w:tcW w:w="964" w:type="dxa"/>
            <w:vAlign w:val="center"/>
          </w:tcPr>
          <w:p w14:paraId="5A2FA57C">
            <w:pPr>
              <w:pStyle w:val="14"/>
            </w:pPr>
            <w:r>
              <w:t>0.16</w:t>
            </w:r>
          </w:p>
        </w:tc>
      </w:tr>
    </w:tbl>
    <w:p w14:paraId="00994A8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C5F813">
      <w:pPr>
        <w:spacing w:before="0" w:after="0"/>
        <w:ind w:firstLine="640"/>
        <w:jc w:val="left"/>
        <w:outlineLvl w:val="9"/>
      </w:pPr>
      <w:r>
        <w:rPr>
          <w:rFonts w:ascii="Times New Roman" w:hAnsi="Times New Roman" w:eastAsia="方正仿宋_GBK" w:cs="Times New Roman"/>
          <w:color w:val="000000"/>
          <w:sz w:val="32"/>
        </w:rPr>
        <w:t xml:space="preserve"> </w:t>
      </w:r>
    </w:p>
    <w:p w14:paraId="200B04FD">
      <w:pPr>
        <w:spacing w:before="10" w:after="10" w:line="240" w:lineRule="auto"/>
        <w:ind w:firstLine="640"/>
        <w:jc w:val="left"/>
        <w:outlineLvl w:val="5"/>
      </w:pPr>
      <w:r>
        <w:rPr>
          <w:rFonts w:ascii="黑体" w:hAnsi="黑体" w:eastAsia="黑体" w:cs="黑体"/>
          <w:color w:val="000000"/>
          <w:sz w:val="32"/>
        </w:rPr>
        <w:t>七、国有资产信息</w:t>
      </w:r>
    </w:p>
    <w:p w14:paraId="216FCAD3">
      <w:pPr>
        <w:spacing w:before="0" w:after="0" w:line="500" w:lineRule="exact"/>
        <w:ind w:firstLine="560"/>
        <w:jc w:val="left"/>
        <w:outlineLvl w:val="9"/>
      </w:pPr>
      <w:r>
        <w:rPr>
          <w:rFonts w:ascii="Times New Roman" w:hAnsi="Times New Roman" w:eastAsia="方正仿宋_GBK" w:cs="Times New Roman"/>
          <w:b w:val="0"/>
          <w:color w:val="000000"/>
          <w:sz w:val="28"/>
        </w:rPr>
        <w:t>隆尧县唐尧街幼儿园上年末固定资产金额为0.00万元（详见下表）。本年度拟购置固定资产总额为0.00万元，已按要求列入政府采购预算，详见政府采购预算表。</w:t>
      </w:r>
    </w:p>
    <w:p w14:paraId="3814675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CFDD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EC69093">
            <w:pPr>
              <w:pStyle w:val="8"/>
            </w:pPr>
            <w:r>
              <w:t>360035隆尧县唐尧街幼儿园</w:t>
            </w:r>
          </w:p>
        </w:tc>
        <w:tc>
          <w:tcPr>
            <w:tcW w:w="5670" w:type="dxa"/>
            <w:gridSpan w:val="2"/>
            <w:tcBorders>
              <w:top w:val="single" w:color="FFFFFF" w:sz="6" w:space="0"/>
              <w:left w:val="single" w:color="FFFFFF" w:sz="6" w:space="0"/>
              <w:right w:val="single" w:color="FFFFFF" w:sz="6" w:space="0"/>
            </w:tcBorders>
            <w:vAlign w:val="center"/>
          </w:tcPr>
          <w:p w14:paraId="0190D6AB">
            <w:pPr>
              <w:pStyle w:val="10"/>
            </w:pPr>
            <w:r>
              <w:t>截止时间：2024-12-31</w:t>
            </w:r>
          </w:p>
        </w:tc>
      </w:tr>
      <w:tr w14:paraId="51A0D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3D521F0">
            <w:pPr>
              <w:pStyle w:val="11"/>
            </w:pPr>
            <w:r>
              <w:t>项   目</w:t>
            </w:r>
          </w:p>
        </w:tc>
        <w:tc>
          <w:tcPr>
            <w:tcW w:w="2835" w:type="dxa"/>
            <w:vAlign w:val="center"/>
          </w:tcPr>
          <w:p w14:paraId="667B68B9">
            <w:pPr>
              <w:pStyle w:val="11"/>
            </w:pPr>
            <w:r>
              <w:t>数量</w:t>
            </w:r>
          </w:p>
        </w:tc>
        <w:tc>
          <w:tcPr>
            <w:tcW w:w="2835" w:type="dxa"/>
            <w:vAlign w:val="center"/>
          </w:tcPr>
          <w:p w14:paraId="41778F7A">
            <w:pPr>
              <w:pStyle w:val="11"/>
            </w:pPr>
            <w:r>
              <w:t>价值（金额单位：万元）</w:t>
            </w:r>
          </w:p>
        </w:tc>
      </w:tr>
      <w:tr w14:paraId="2051A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0B09BC">
            <w:pPr>
              <w:pStyle w:val="13"/>
            </w:pPr>
          </w:p>
        </w:tc>
        <w:tc>
          <w:tcPr>
            <w:tcW w:w="2835" w:type="dxa"/>
            <w:vAlign w:val="center"/>
          </w:tcPr>
          <w:p w14:paraId="26FF28B8">
            <w:pPr>
              <w:pStyle w:val="12"/>
            </w:pPr>
          </w:p>
        </w:tc>
        <w:tc>
          <w:tcPr>
            <w:tcW w:w="2835" w:type="dxa"/>
            <w:vAlign w:val="center"/>
          </w:tcPr>
          <w:p w14:paraId="2CBB3C08">
            <w:pPr>
              <w:pStyle w:val="14"/>
            </w:pPr>
          </w:p>
        </w:tc>
      </w:tr>
    </w:tbl>
    <w:p w14:paraId="2DF8C60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2067A82">
      <w:pPr>
        <w:spacing w:before="0" w:after="0"/>
        <w:ind w:firstLine="640"/>
        <w:jc w:val="left"/>
        <w:outlineLvl w:val="9"/>
      </w:pPr>
      <w:r>
        <w:rPr>
          <w:rFonts w:ascii="Times New Roman" w:hAnsi="Times New Roman" w:eastAsia="方正仿宋_GBK" w:cs="Times New Roman"/>
          <w:color w:val="000000"/>
          <w:sz w:val="32"/>
        </w:rPr>
        <w:t xml:space="preserve"> </w:t>
      </w:r>
    </w:p>
    <w:p w14:paraId="2F576507">
      <w:pPr>
        <w:spacing w:before="10" w:after="10" w:line="240" w:lineRule="auto"/>
        <w:ind w:firstLine="640"/>
        <w:jc w:val="left"/>
        <w:outlineLvl w:val="5"/>
      </w:pPr>
      <w:r>
        <w:rPr>
          <w:rFonts w:ascii="黑体" w:hAnsi="黑体" w:eastAsia="黑体" w:cs="黑体"/>
          <w:color w:val="000000"/>
          <w:sz w:val="32"/>
        </w:rPr>
        <w:t>八、名词解释</w:t>
      </w:r>
    </w:p>
    <w:p w14:paraId="6954F42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56E19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86BFA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BB70F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8D52B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9591C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C61C8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7DD5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7B3CB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7FB3C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5F2823">
      <w:pPr>
        <w:spacing w:before="10" w:after="10" w:line="240" w:lineRule="auto"/>
        <w:ind w:firstLine="640"/>
        <w:jc w:val="left"/>
        <w:outlineLvl w:val="5"/>
      </w:pPr>
      <w:r>
        <w:rPr>
          <w:rFonts w:ascii="黑体" w:hAnsi="黑体" w:eastAsia="黑体" w:cs="黑体"/>
          <w:color w:val="000000"/>
          <w:sz w:val="32"/>
        </w:rPr>
        <w:t>九、其他需要说明的事项</w:t>
      </w:r>
    </w:p>
    <w:p w14:paraId="3521CF4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C6620D1">
      <w:pPr>
        <w:spacing w:before="0" w:after="0"/>
        <w:ind w:firstLine="0"/>
        <w:jc w:val="center"/>
        <w:outlineLvl w:val="3"/>
      </w:pPr>
      <w:bookmarkStart w:id="35" w:name="_Toc_4_4_0000000055"/>
      <w:r>
        <w:rPr>
          <w:rFonts w:ascii="方正小标宋_GBK" w:hAnsi="方正小标宋_GBK" w:eastAsia="方正小标宋_GBK" w:cs="方正小标宋_GBK"/>
          <w:b w:val="0"/>
          <w:color w:val="000000"/>
          <w:sz w:val="44"/>
        </w:rPr>
        <w:t>三十五、隆尧县青少年校外活动中心收支预算</w:t>
      </w:r>
      <w:bookmarkEnd w:id="35"/>
    </w:p>
    <w:p w14:paraId="2524C9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EB16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599D75">
            <w:pPr>
              <w:pStyle w:val="8"/>
            </w:pPr>
            <w:r>
              <w:t>360036隆尧县青少年校外活动中心</w:t>
            </w:r>
          </w:p>
        </w:tc>
        <w:tc>
          <w:tcPr>
            <w:tcW w:w="2126" w:type="dxa"/>
            <w:tcBorders>
              <w:top w:val="single" w:color="FFFFFF" w:sz="6" w:space="0"/>
              <w:left w:val="single" w:color="FFFFFF" w:sz="6" w:space="0"/>
              <w:right w:val="single" w:color="FFFFFF" w:sz="6" w:space="0"/>
            </w:tcBorders>
            <w:vAlign w:val="center"/>
          </w:tcPr>
          <w:p w14:paraId="47020ACF">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4BAB388">
            <w:pPr>
              <w:pStyle w:val="10"/>
            </w:pPr>
            <w:r>
              <w:t>单位：万元</w:t>
            </w:r>
          </w:p>
        </w:tc>
      </w:tr>
      <w:tr w14:paraId="39FD1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43687">
            <w:pPr>
              <w:pStyle w:val="11"/>
            </w:pPr>
            <w:r>
              <w:t>序号</w:t>
            </w:r>
          </w:p>
        </w:tc>
        <w:tc>
          <w:tcPr>
            <w:tcW w:w="6661" w:type="dxa"/>
            <w:gridSpan w:val="2"/>
            <w:vAlign w:val="center"/>
          </w:tcPr>
          <w:p w14:paraId="784147A2">
            <w:pPr>
              <w:pStyle w:val="11"/>
            </w:pPr>
            <w:r>
              <w:t>收入</w:t>
            </w:r>
          </w:p>
        </w:tc>
        <w:tc>
          <w:tcPr>
            <w:tcW w:w="6661" w:type="dxa"/>
            <w:gridSpan w:val="2"/>
            <w:vAlign w:val="center"/>
          </w:tcPr>
          <w:p w14:paraId="24C0B97B">
            <w:pPr>
              <w:pStyle w:val="11"/>
            </w:pPr>
            <w:r>
              <w:t>支出</w:t>
            </w:r>
          </w:p>
        </w:tc>
      </w:tr>
      <w:tr w14:paraId="4B9BC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A9956F"/>
        </w:tc>
        <w:tc>
          <w:tcPr>
            <w:tcW w:w="4535" w:type="dxa"/>
            <w:vAlign w:val="center"/>
          </w:tcPr>
          <w:p w14:paraId="1F721FC8">
            <w:pPr>
              <w:pStyle w:val="11"/>
            </w:pPr>
            <w:r>
              <w:t>项  目</w:t>
            </w:r>
          </w:p>
        </w:tc>
        <w:tc>
          <w:tcPr>
            <w:tcW w:w="2126" w:type="dxa"/>
            <w:vAlign w:val="center"/>
          </w:tcPr>
          <w:p w14:paraId="11EF73D8">
            <w:pPr>
              <w:pStyle w:val="11"/>
            </w:pPr>
            <w:r>
              <w:t>预算数</w:t>
            </w:r>
          </w:p>
        </w:tc>
        <w:tc>
          <w:tcPr>
            <w:tcW w:w="4535" w:type="dxa"/>
            <w:vAlign w:val="center"/>
          </w:tcPr>
          <w:p w14:paraId="28BFF60B">
            <w:pPr>
              <w:pStyle w:val="11"/>
            </w:pPr>
            <w:r>
              <w:t>项  目</w:t>
            </w:r>
          </w:p>
        </w:tc>
        <w:tc>
          <w:tcPr>
            <w:tcW w:w="2126" w:type="dxa"/>
            <w:vAlign w:val="center"/>
          </w:tcPr>
          <w:p w14:paraId="20200478">
            <w:pPr>
              <w:pStyle w:val="11"/>
            </w:pPr>
            <w:r>
              <w:t>预算数</w:t>
            </w:r>
          </w:p>
        </w:tc>
      </w:tr>
      <w:tr w14:paraId="42E07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DF687">
            <w:pPr>
              <w:pStyle w:val="11"/>
            </w:pPr>
            <w:r>
              <w:t>栏次</w:t>
            </w:r>
          </w:p>
        </w:tc>
        <w:tc>
          <w:tcPr>
            <w:tcW w:w="4535" w:type="dxa"/>
            <w:vAlign w:val="center"/>
          </w:tcPr>
          <w:p w14:paraId="218E2E8C">
            <w:pPr>
              <w:pStyle w:val="11"/>
            </w:pPr>
            <w:r>
              <w:t>1</w:t>
            </w:r>
          </w:p>
        </w:tc>
        <w:tc>
          <w:tcPr>
            <w:tcW w:w="2126" w:type="dxa"/>
            <w:vAlign w:val="center"/>
          </w:tcPr>
          <w:p w14:paraId="150E2EB4">
            <w:pPr>
              <w:pStyle w:val="11"/>
            </w:pPr>
            <w:r>
              <w:t>2</w:t>
            </w:r>
          </w:p>
        </w:tc>
        <w:tc>
          <w:tcPr>
            <w:tcW w:w="4535" w:type="dxa"/>
            <w:vAlign w:val="center"/>
          </w:tcPr>
          <w:p w14:paraId="69AED6A8">
            <w:pPr>
              <w:pStyle w:val="11"/>
            </w:pPr>
            <w:r>
              <w:t>3</w:t>
            </w:r>
          </w:p>
        </w:tc>
        <w:tc>
          <w:tcPr>
            <w:tcW w:w="2126" w:type="dxa"/>
            <w:vAlign w:val="center"/>
          </w:tcPr>
          <w:p w14:paraId="569B2FDA">
            <w:pPr>
              <w:pStyle w:val="11"/>
            </w:pPr>
            <w:r>
              <w:t>4</w:t>
            </w:r>
          </w:p>
        </w:tc>
      </w:tr>
      <w:tr w14:paraId="15FA6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96C72">
            <w:pPr>
              <w:pStyle w:val="12"/>
            </w:pPr>
            <w:r>
              <w:t>1</w:t>
            </w:r>
          </w:p>
        </w:tc>
        <w:tc>
          <w:tcPr>
            <w:tcW w:w="4535" w:type="dxa"/>
            <w:vAlign w:val="center"/>
          </w:tcPr>
          <w:p w14:paraId="1326F77C">
            <w:pPr>
              <w:pStyle w:val="13"/>
            </w:pPr>
            <w:r>
              <w:t>一、一般公共预算拨款收入</w:t>
            </w:r>
          </w:p>
        </w:tc>
        <w:tc>
          <w:tcPr>
            <w:tcW w:w="2126" w:type="dxa"/>
            <w:vAlign w:val="center"/>
          </w:tcPr>
          <w:p w14:paraId="342CE18D">
            <w:pPr>
              <w:pStyle w:val="14"/>
            </w:pPr>
            <w:r>
              <w:t>150.47</w:t>
            </w:r>
          </w:p>
        </w:tc>
        <w:tc>
          <w:tcPr>
            <w:tcW w:w="4535" w:type="dxa"/>
            <w:vAlign w:val="center"/>
          </w:tcPr>
          <w:p w14:paraId="37ED2C32">
            <w:pPr>
              <w:pStyle w:val="13"/>
            </w:pPr>
            <w:r>
              <w:t>一、一般公共服务支出</w:t>
            </w:r>
          </w:p>
        </w:tc>
        <w:tc>
          <w:tcPr>
            <w:tcW w:w="2126" w:type="dxa"/>
            <w:vAlign w:val="center"/>
          </w:tcPr>
          <w:p w14:paraId="112F2400">
            <w:pPr>
              <w:pStyle w:val="14"/>
            </w:pPr>
          </w:p>
        </w:tc>
      </w:tr>
      <w:tr w14:paraId="5E588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B39C7">
            <w:pPr>
              <w:pStyle w:val="12"/>
            </w:pPr>
            <w:r>
              <w:t>2</w:t>
            </w:r>
          </w:p>
        </w:tc>
        <w:tc>
          <w:tcPr>
            <w:tcW w:w="4535" w:type="dxa"/>
            <w:vAlign w:val="center"/>
          </w:tcPr>
          <w:p w14:paraId="36F3D121">
            <w:pPr>
              <w:pStyle w:val="13"/>
            </w:pPr>
            <w:r>
              <w:t>二、政府性基金预算拨款收入</w:t>
            </w:r>
          </w:p>
        </w:tc>
        <w:tc>
          <w:tcPr>
            <w:tcW w:w="2126" w:type="dxa"/>
            <w:vAlign w:val="center"/>
          </w:tcPr>
          <w:p w14:paraId="2E8DBB5C">
            <w:pPr>
              <w:pStyle w:val="14"/>
            </w:pPr>
          </w:p>
        </w:tc>
        <w:tc>
          <w:tcPr>
            <w:tcW w:w="4535" w:type="dxa"/>
            <w:vAlign w:val="center"/>
          </w:tcPr>
          <w:p w14:paraId="6E5E425E">
            <w:pPr>
              <w:pStyle w:val="13"/>
            </w:pPr>
            <w:r>
              <w:t>二、外交支出</w:t>
            </w:r>
          </w:p>
        </w:tc>
        <w:tc>
          <w:tcPr>
            <w:tcW w:w="2126" w:type="dxa"/>
            <w:vAlign w:val="center"/>
          </w:tcPr>
          <w:p w14:paraId="2BFF6D15">
            <w:pPr>
              <w:pStyle w:val="14"/>
            </w:pPr>
          </w:p>
        </w:tc>
      </w:tr>
      <w:tr w14:paraId="228B3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8A0B110">
            <w:pPr>
              <w:pStyle w:val="12"/>
            </w:pPr>
            <w:r>
              <w:t>3</w:t>
            </w:r>
          </w:p>
        </w:tc>
        <w:tc>
          <w:tcPr>
            <w:tcW w:w="4535" w:type="dxa"/>
            <w:vAlign w:val="center"/>
          </w:tcPr>
          <w:p w14:paraId="657198B7">
            <w:pPr>
              <w:pStyle w:val="13"/>
            </w:pPr>
            <w:r>
              <w:t>三、国有资本经营预算拨款收入</w:t>
            </w:r>
          </w:p>
        </w:tc>
        <w:tc>
          <w:tcPr>
            <w:tcW w:w="2126" w:type="dxa"/>
            <w:vAlign w:val="center"/>
          </w:tcPr>
          <w:p w14:paraId="42B4FD4B">
            <w:pPr>
              <w:pStyle w:val="14"/>
            </w:pPr>
          </w:p>
        </w:tc>
        <w:tc>
          <w:tcPr>
            <w:tcW w:w="4535" w:type="dxa"/>
            <w:vAlign w:val="center"/>
          </w:tcPr>
          <w:p w14:paraId="39112FDE">
            <w:pPr>
              <w:pStyle w:val="13"/>
            </w:pPr>
            <w:r>
              <w:t>三、国防支出</w:t>
            </w:r>
          </w:p>
        </w:tc>
        <w:tc>
          <w:tcPr>
            <w:tcW w:w="2126" w:type="dxa"/>
            <w:vAlign w:val="center"/>
          </w:tcPr>
          <w:p w14:paraId="582F89B3">
            <w:pPr>
              <w:pStyle w:val="14"/>
            </w:pPr>
          </w:p>
        </w:tc>
      </w:tr>
      <w:tr w14:paraId="17189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B6465">
            <w:pPr>
              <w:pStyle w:val="12"/>
            </w:pPr>
            <w:r>
              <w:t>4</w:t>
            </w:r>
          </w:p>
        </w:tc>
        <w:tc>
          <w:tcPr>
            <w:tcW w:w="4535" w:type="dxa"/>
            <w:vAlign w:val="center"/>
          </w:tcPr>
          <w:p w14:paraId="64ACD5FB">
            <w:pPr>
              <w:pStyle w:val="13"/>
            </w:pPr>
            <w:r>
              <w:t>四、财政专户管理资金收入</w:t>
            </w:r>
          </w:p>
        </w:tc>
        <w:tc>
          <w:tcPr>
            <w:tcW w:w="2126" w:type="dxa"/>
            <w:vAlign w:val="center"/>
          </w:tcPr>
          <w:p w14:paraId="388573A5">
            <w:pPr>
              <w:pStyle w:val="14"/>
            </w:pPr>
          </w:p>
        </w:tc>
        <w:tc>
          <w:tcPr>
            <w:tcW w:w="4535" w:type="dxa"/>
            <w:vAlign w:val="center"/>
          </w:tcPr>
          <w:p w14:paraId="5DD3E88C">
            <w:pPr>
              <w:pStyle w:val="13"/>
            </w:pPr>
            <w:r>
              <w:t>四、公共安全支出</w:t>
            </w:r>
          </w:p>
        </w:tc>
        <w:tc>
          <w:tcPr>
            <w:tcW w:w="2126" w:type="dxa"/>
            <w:vAlign w:val="center"/>
          </w:tcPr>
          <w:p w14:paraId="0021A0E5">
            <w:pPr>
              <w:pStyle w:val="14"/>
            </w:pPr>
          </w:p>
        </w:tc>
      </w:tr>
      <w:tr w14:paraId="1937D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9FE38">
            <w:pPr>
              <w:pStyle w:val="12"/>
            </w:pPr>
            <w:r>
              <w:t>5</w:t>
            </w:r>
          </w:p>
        </w:tc>
        <w:tc>
          <w:tcPr>
            <w:tcW w:w="4535" w:type="dxa"/>
            <w:vAlign w:val="center"/>
          </w:tcPr>
          <w:p w14:paraId="1E233671">
            <w:pPr>
              <w:pStyle w:val="13"/>
            </w:pPr>
            <w:r>
              <w:t>五、单位资金</w:t>
            </w:r>
          </w:p>
        </w:tc>
        <w:tc>
          <w:tcPr>
            <w:tcW w:w="2126" w:type="dxa"/>
            <w:vAlign w:val="center"/>
          </w:tcPr>
          <w:p w14:paraId="566A4EA7">
            <w:pPr>
              <w:pStyle w:val="14"/>
            </w:pPr>
          </w:p>
        </w:tc>
        <w:tc>
          <w:tcPr>
            <w:tcW w:w="4535" w:type="dxa"/>
            <w:vAlign w:val="center"/>
          </w:tcPr>
          <w:p w14:paraId="6BF94FC0">
            <w:pPr>
              <w:pStyle w:val="13"/>
            </w:pPr>
            <w:r>
              <w:t>五、教育支出</w:t>
            </w:r>
          </w:p>
        </w:tc>
        <w:tc>
          <w:tcPr>
            <w:tcW w:w="2126" w:type="dxa"/>
            <w:vAlign w:val="center"/>
          </w:tcPr>
          <w:p w14:paraId="69B13AE2">
            <w:pPr>
              <w:pStyle w:val="14"/>
            </w:pPr>
            <w:r>
              <w:t>125.81</w:t>
            </w:r>
          </w:p>
        </w:tc>
      </w:tr>
      <w:tr w14:paraId="3C5CB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39CD6">
            <w:pPr>
              <w:pStyle w:val="12"/>
            </w:pPr>
            <w:r>
              <w:t>6</w:t>
            </w:r>
          </w:p>
        </w:tc>
        <w:tc>
          <w:tcPr>
            <w:tcW w:w="4535" w:type="dxa"/>
            <w:vAlign w:val="center"/>
          </w:tcPr>
          <w:p w14:paraId="516FDAE8">
            <w:pPr>
              <w:pStyle w:val="13"/>
            </w:pPr>
          </w:p>
        </w:tc>
        <w:tc>
          <w:tcPr>
            <w:tcW w:w="2126" w:type="dxa"/>
            <w:vAlign w:val="center"/>
          </w:tcPr>
          <w:p w14:paraId="57B2D3FC">
            <w:pPr>
              <w:pStyle w:val="14"/>
            </w:pPr>
          </w:p>
        </w:tc>
        <w:tc>
          <w:tcPr>
            <w:tcW w:w="4535" w:type="dxa"/>
            <w:vAlign w:val="center"/>
          </w:tcPr>
          <w:p w14:paraId="42A0A844">
            <w:pPr>
              <w:pStyle w:val="13"/>
            </w:pPr>
            <w:r>
              <w:t>六、科学技术支出</w:t>
            </w:r>
          </w:p>
        </w:tc>
        <w:tc>
          <w:tcPr>
            <w:tcW w:w="2126" w:type="dxa"/>
            <w:vAlign w:val="center"/>
          </w:tcPr>
          <w:p w14:paraId="22990C7D">
            <w:pPr>
              <w:pStyle w:val="14"/>
            </w:pPr>
          </w:p>
        </w:tc>
      </w:tr>
      <w:tr w14:paraId="6DC42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E2B04">
            <w:pPr>
              <w:pStyle w:val="12"/>
            </w:pPr>
            <w:r>
              <w:t>7</w:t>
            </w:r>
          </w:p>
        </w:tc>
        <w:tc>
          <w:tcPr>
            <w:tcW w:w="4535" w:type="dxa"/>
            <w:vAlign w:val="center"/>
          </w:tcPr>
          <w:p w14:paraId="57893238">
            <w:pPr>
              <w:pStyle w:val="13"/>
            </w:pPr>
          </w:p>
        </w:tc>
        <w:tc>
          <w:tcPr>
            <w:tcW w:w="2126" w:type="dxa"/>
            <w:vAlign w:val="center"/>
          </w:tcPr>
          <w:p w14:paraId="4D9D3DCD">
            <w:pPr>
              <w:pStyle w:val="14"/>
            </w:pPr>
          </w:p>
        </w:tc>
        <w:tc>
          <w:tcPr>
            <w:tcW w:w="4535" w:type="dxa"/>
            <w:vAlign w:val="center"/>
          </w:tcPr>
          <w:p w14:paraId="349F42FF">
            <w:pPr>
              <w:pStyle w:val="13"/>
            </w:pPr>
            <w:r>
              <w:t>七、文化旅游体育与传媒支出</w:t>
            </w:r>
          </w:p>
        </w:tc>
        <w:tc>
          <w:tcPr>
            <w:tcW w:w="2126" w:type="dxa"/>
            <w:vAlign w:val="center"/>
          </w:tcPr>
          <w:p w14:paraId="0F2E077F">
            <w:pPr>
              <w:pStyle w:val="14"/>
            </w:pPr>
          </w:p>
        </w:tc>
      </w:tr>
      <w:tr w14:paraId="603DB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890F1">
            <w:pPr>
              <w:pStyle w:val="12"/>
            </w:pPr>
            <w:r>
              <w:t>8</w:t>
            </w:r>
          </w:p>
        </w:tc>
        <w:tc>
          <w:tcPr>
            <w:tcW w:w="4535" w:type="dxa"/>
            <w:vAlign w:val="center"/>
          </w:tcPr>
          <w:p w14:paraId="49D30094">
            <w:pPr>
              <w:pStyle w:val="13"/>
            </w:pPr>
          </w:p>
        </w:tc>
        <w:tc>
          <w:tcPr>
            <w:tcW w:w="2126" w:type="dxa"/>
            <w:vAlign w:val="center"/>
          </w:tcPr>
          <w:p w14:paraId="3765D1B1">
            <w:pPr>
              <w:pStyle w:val="14"/>
            </w:pPr>
          </w:p>
        </w:tc>
        <w:tc>
          <w:tcPr>
            <w:tcW w:w="4535" w:type="dxa"/>
            <w:vAlign w:val="center"/>
          </w:tcPr>
          <w:p w14:paraId="5DF23F08">
            <w:pPr>
              <w:pStyle w:val="13"/>
            </w:pPr>
            <w:r>
              <w:t>八、社会保障和就业支出</w:t>
            </w:r>
          </w:p>
        </w:tc>
        <w:tc>
          <w:tcPr>
            <w:tcW w:w="2126" w:type="dxa"/>
            <w:vAlign w:val="center"/>
          </w:tcPr>
          <w:p w14:paraId="702DAFFD">
            <w:pPr>
              <w:pStyle w:val="14"/>
            </w:pPr>
            <w:r>
              <w:t>11.06</w:t>
            </w:r>
          </w:p>
        </w:tc>
      </w:tr>
      <w:tr w14:paraId="5977B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6D87B">
            <w:pPr>
              <w:pStyle w:val="12"/>
            </w:pPr>
            <w:r>
              <w:t>9</w:t>
            </w:r>
          </w:p>
        </w:tc>
        <w:tc>
          <w:tcPr>
            <w:tcW w:w="4535" w:type="dxa"/>
            <w:vAlign w:val="center"/>
          </w:tcPr>
          <w:p w14:paraId="092EDE7C">
            <w:pPr>
              <w:pStyle w:val="13"/>
            </w:pPr>
          </w:p>
        </w:tc>
        <w:tc>
          <w:tcPr>
            <w:tcW w:w="2126" w:type="dxa"/>
            <w:vAlign w:val="center"/>
          </w:tcPr>
          <w:p w14:paraId="3C4E3AD1">
            <w:pPr>
              <w:pStyle w:val="14"/>
            </w:pPr>
          </w:p>
        </w:tc>
        <w:tc>
          <w:tcPr>
            <w:tcW w:w="4535" w:type="dxa"/>
            <w:vAlign w:val="center"/>
          </w:tcPr>
          <w:p w14:paraId="5CAA0C79">
            <w:pPr>
              <w:pStyle w:val="13"/>
            </w:pPr>
            <w:r>
              <w:t>九、社会保险基金支出</w:t>
            </w:r>
          </w:p>
        </w:tc>
        <w:tc>
          <w:tcPr>
            <w:tcW w:w="2126" w:type="dxa"/>
            <w:vAlign w:val="center"/>
          </w:tcPr>
          <w:p w14:paraId="76293842">
            <w:pPr>
              <w:pStyle w:val="14"/>
            </w:pPr>
          </w:p>
        </w:tc>
      </w:tr>
      <w:tr w14:paraId="2AF9A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6D42480">
            <w:pPr>
              <w:pStyle w:val="12"/>
            </w:pPr>
            <w:r>
              <w:t>10</w:t>
            </w:r>
          </w:p>
        </w:tc>
        <w:tc>
          <w:tcPr>
            <w:tcW w:w="4535" w:type="dxa"/>
            <w:vAlign w:val="center"/>
          </w:tcPr>
          <w:p w14:paraId="027B69C6">
            <w:pPr>
              <w:pStyle w:val="13"/>
            </w:pPr>
          </w:p>
        </w:tc>
        <w:tc>
          <w:tcPr>
            <w:tcW w:w="2126" w:type="dxa"/>
            <w:vAlign w:val="center"/>
          </w:tcPr>
          <w:p w14:paraId="2B4577B8">
            <w:pPr>
              <w:pStyle w:val="14"/>
            </w:pPr>
          </w:p>
        </w:tc>
        <w:tc>
          <w:tcPr>
            <w:tcW w:w="4535" w:type="dxa"/>
            <w:vAlign w:val="center"/>
          </w:tcPr>
          <w:p w14:paraId="774126E5">
            <w:pPr>
              <w:pStyle w:val="13"/>
            </w:pPr>
            <w:r>
              <w:t>十、卫生健康支出</w:t>
            </w:r>
          </w:p>
        </w:tc>
        <w:tc>
          <w:tcPr>
            <w:tcW w:w="2126" w:type="dxa"/>
            <w:vAlign w:val="center"/>
          </w:tcPr>
          <w:p w14:paraId="2DE21B6E">
            <w:pPr>
              <w:pStyle w:val="14"/>
            </w:pPr>
            <w:r>
              <w:t>4.99</w:t>
            </w:r>
          </w:p>
        </w:tc>
      </w:tr>
      <w:tr w14:paraId="30B0A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837CB">
            <w:pPr>
              <w:pStyle w:val="12"/>
            </w:pPr>
            <w:r>
              <w:t>11</w:t>
            </w:r>
          </w:p>
        </w:tc>
        <w:tc>
          <w:tcPr>
            <w:tcW w:w="4535" w:type="dxa"/>
            <w:vAlign w:val="center"/>
          </w:tcPr>
          <w:p w14:paraId="57D5A20D">
            <w:pPr>
              <w:pStyle w:val="13"/>
            </w:pPr>
          </w:p>
        </w:tc>
        <w:tc>
          <w:tcPr>
            <w:tcW w:w="2126" w:type="dxa"/>
            <w:vAlign w:val="center"/>
          </w:tcPr>
          <w:p w14:paraId="7B7DE9A6">
            <w:pPr>
              <w:pStyle w:val="14"/>
            </w:pPr>
          </w:p>
        </w:tc>
        <w:tc>
          <w:tcPr>
            <w:tcW w:w="4535" w:type="dxa"/>
            <w:vAlign w:val="center"/>
          </w:tcPr>
          <w:p w14:paraId="3FDDECC3">
            <w:pPr>
              <w:pStyle w:val="13"/>
            </w:pPr>
            <w:r>
              <w:t>十一、节能环保支出</w:t>
            </w:r>
          </w:p>
        </w:tc>
        <w:tc>
          <w:tcPr>
            <w:tcW w:w="2126" w:type="dxa"/>
            <w:vAlign w:val="center"/>
          </w:tcPr>
          <w:p w14:paraId="0908CB85">
            <w:pPr>
              <w:pStyle w:val="14"/>
            </w:pPr>
          </w:p>
        </w:tc>
      </w:tr>
      <w:tr w14:paraId="222F0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0D32D">
            <w:pPr>
              <w:pStyle w:val="12"/>
            </w:pPr>
            <w:r>
              <w:t>12</w:t>
            </w:r>
          </w:p>
        </w:tc>
        <w:tc>
          <w:tcPr>
            <w:tcW w:w="4535" w:type="dxa"/>
            <w:vAlign w:val="center"/>
          </w:tcPr>
          <w:p w14:paraId="404CEE32">
            <w:pPr>
              <w:pStyle w:val="13"/>
            </w:pPr>
          </w:p>
        </w:tc>
        <w:tc>
          <w:tcPr>
            <w:tcW w:w="2126" w:type="dxa"/>
            <w:vAlign w:val="center"/>
          </w:tcPr>
          <w:p w14:paraId="3B3E4DD7">
            <w:pPr>
              <w:pStyle w:val="14"/>
            </w:pPr>
          </w:p>
        </w:tc>
        <w:tc>
          <w:tcPr>
            <w:tcW w:w="4535" w:type="dxa"/>
            <w:vAlign w:val="center"/>
          </w:tcPr>
          <w:p w14:paraId="2BAC005B">
            <w:pPr>
              <w:pStyle w:val="13"/>
            </w:pPr>
            <w:r>
              <w:t>十二、城乡社区支出</w:t>
            </w:r>
          </w:p>
        </w:tc>
        <w:tc>
          <w:tcPr>
            <w:tcW w:w="2126" w:type="dxa"/>
            <w:vAlign w:val="center"/>
          </w:tcPr>
          <w:p w14:paraId="4C6EEEAB">
            <w:pPr>
              <w:pStyle w:val="14"/>
            </w:pPr>
          </w:p>
        </w:tc>
      </w:tr>
      <w:tr w14:paraId="4037F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BEB7C">
            <w:pPr>
              <w:pStyle w:val="12"/>
            </w:pPr>
            <w:r>
              <w:t>13</w:t>
            </w:r>
          </w:p>
        </w:tc>
        <w:tc>
          <w:tcPr>
            <w:tcW w:w="4535" w:type="dxa"/>
            <w:vAlign w:val="center"/>
          </w:tcPr>
          <w:p w14:paraId="7A432660">
            <w:pPr>
              <w:pStyle w:val="13"/>
            </w:pPr>
          </w:p>
        </w:tc>
        <w:tc>
          <w:tcPr>
            <w:tcW w:w="2126" w:type="dxa"/>
            <w:vAlign w:val="center"/>
          </w:tcPr>
          <w:p w14:paraId="4D7E840D">
            <w:pPr>
              <w:pStyle w:val="14"/>
            </w:pPr>
          </w:p>
        </w:tc>
        <w:tc>
          <w:tcPr>
            <w:tcW w:w="4535" w:type="dxa"/>
            <w:vAlign w:val="center"/>
          </w:tcPr>
          <w:p w14:paraId="2C6405A5">
            <w:pPr>
              <w:pStyle w:val="13"/>
            </w:pPr>
            <w:r>
              <w:t>十三、农林水支出</w:t>
            </w:r>
          </w:p>
        </w:tc>
        <w:tc>
          <w:tcPr>
            <w:tcW w:w="2126" w:type="dxa"/>
            <w:vAlign w:val="center"/>
          </w:tcPr>
          <w:p w14:paraId="0B1CCE14">
            <w:pPr>
              <w:pStyle w:val="14"/>
            </w:pPr>
          </w:p>
        </w:tc>
      </w:tr>
      <w:tr w14:paraId="6095D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CE83B">
            <w:pPr>
              <w:pStyle w:val="12"/>
            </w:pPr>
            <w:r>
              <w:t>14</w:t>
            </w:r>
          </w:p>
        </w:tc>
        <w:tc>
          <w:tcPr>
            <w:tcW w:w="4535" w:type="dxa"/>
            <w:vAlign w:val="center"/>
          </w:tcPr>
          <w:p w14:paraId="7BBF0E96">
            <w:pPr>
              <w:pStyle w:val="13"/>
            </w:pPr>
          </w:p>
        </w:tc>
        <w:tc>
          <w:tcPr>
            <w:tcW w:w="2126" w:type="dxa"/>
            <w:vAlign w:val="center"/>
          </w:tcPr>
          <w:p w14:paraId="42B93671">
            <w:pPr>
              <w:pStyle w:val="14"/>
            </w:pPr>
          </w:p>
        </w:tc>
        <w:tc>
          <w:tcPr>
            <w:tcW w:w="4535" w:type="dxa"/>
            <w:vAlign w:val="center"/>
          </w:tcPr>
          <w:p w14:paraId="3338E381">
            <w:pPr>
              <w:pStyle w:val="13"/>
            </w:pPr>
            <w:r>
              <w:t>十四、交通运输支出</w:t>
            </w:r>
          </w:p>
        </w:tc>
        <w:tc>
          <w:tcPr>
            <w:tcW w:w="2126" w:type="dxa"/>
            <w:vAlign w:val="center"/>
          </w:tcPr>
          <w:p w14:paraId="57ABCD97">
            <w:pPr>
              <w:pStyle w:val="14"/>
            </w:pPr>
          </w:p>
        </w:tc>
      </w:tr>
      <w:tr w14:paraId="44C33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5039A">
            <w:pPr>
              <w:pStyle w:val="12"/>
            </w:pPr>
            <w:r>
              <w:t>15</w:t>
            </w:r>
          </w:p>
        </w:tc>
        <w:tc>
          <w:tcPr>
            <w:tcW w:w="4535" w:type="dxa"/>
            <w:vAlign w:val="center"/>
          </w:tcPr>
          <w:p w14:paraId="15E90D29">
            <w:pPr>
              <w:pStyle w:val="13"/>
            </w:pPr>
          </w:p>
        </w:tc>
        <w:tc>
          <w:tcPr>
            <w:tcW w:w="2126" w:type="dxa"/>
            <w:vAlign w:val="center"/>
          </w:tcPr>
          <w:p w14:paraId="48AD7655">
            <w:pPr>
              <w:pStyle w:val="14"/>
            </w:pPr>
          </w:p>
        </w:tc>
        <w:tc>
          <w:tcPr>
            <w:tcW w:w="4535" w:type="dxa"/>
            <w:vAlign w:val="center"/>
          </w:tcPr>
          <w:p w14:paraId="43CD5ECC">
            <w:pPr>
              <w:pStyle w:val="13"/>
            </w:pPr>
            <w:r>
              <w:t>十五、资源勘探工业信息等支出</w:t>
            </w:r>
          </w:p>
        </w:tc>
        <w:tc>
          <w:tcPr>
            <w:tcW w:w="2126" w:type="dxa"/>
            <w:vAlign w:val="center"/>
          </w:tcPr>
          <w:p w14:paraId="7FE2AD6B">
            <w:pPr>
              <w:pStyle w:val="14"/>
            </w:pPr>
          </w:p>
        </w:tc>
      </w:tr>
      <w:tr w14:paraId="3B54A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3DE11">
            <w:pPr>
              <w:pStyle w:val="12"/>
            </w:pPr>
            <w:r>
              <w:t>16</w:t>
            </w:r>
          </w:p>
        </w:tc>
        <w:tc>
          <w:tcPr>
            <w:tcW w:w="4535" w:type="dxa"/>
            <w:vAlign w:val="center"/>
          </w:tcPr>
          <w:p w14:paraId="3AD524AA">
            <w:pPr>
              <w:pStyle w:val="13"/>
            </w:pPr>
          </w:p>
        </w:tc>
        <w:tc>
          <w:tcPr>
            <w:tcW w:w="2126" w:type="dxa"/>
            <w:vAlign w:val="center"/>
          </w:tcPr>
          <w:p w14:paraId="15ED9534">
            <w:pPr>
              <w:pStyle w:val="14"/>
            </w:pPr>
          </w:p>
        </w:tc>
        <w:tc>
          <w:tcPr>
            <w:tcW w:w="4535" w:type="dxa"/>
            <w:vAlign w:val="center"/>
          </w:tcPr>
          <w:p w14:paraId="6CAE5198">
            <w:pPr>
              <w:pStyle w:val="13"/>
            </w:pPr>
            <w:r>
              <w:t>十六、商业服务业等支出</w:t>
            </w:r>
          </w:p>
        </w:tc>
        <w:tc>
          <w:tcPr>
            <w:tcW w:w="2126" w:type="dxa"/>
            <w:vAlign w:val="center"/>
          </w:tcPr>
          <w:p w14:paraId="6377E053">
            <w:pPr>
              <w:pStyle w:val="14"/>
            </w:pPr>
          </w:p>
        </w:tc>
      </w:tr>
      <w:tr w14:paraId="0635D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98974">
            <w:pPr>
              <w:pStyle w:val="12"/>
            </w:pPr>
            <w:r>
              <w:t>17</w:t>
            </w:r>
          </w:p>
        </w:tc>
        <w:tc>
          <w:tcPr>
            <w:tcW w:w="4535" w:type="dxa"/>
            <w:vAlign w:val="center"/>
          </w:tcPr>
          <w:p w14:paraId="21307CED">
            <w:pPr>
              <w:pStyle w:val="13"/>
            </w:pPr>
          </w:p>
        </w:tc>
        <w:tc>
          <w:tcPr>
            <w:tcW w:w="2126" w:type="dxa"/>
            <w:vAlign w:val="center"/>
          </w:tcPr>
          <w:p w14:paraId="66735976">
            <w:pPr>
              <w:pStyle w:val="14"/>
            </w:pPr>
          </w:p>
        </w:tc>
        <w:tc>
          <w:tcPr>
            <w:tcW w:w="4535" w:type="dxa"/>
            <w:vAlign w:val="center"/>
          </w:tcPr>
          <w:p w14:paraId="22A9759D">
            <w:pPr>
              <w:pStyle w:val="13"/>
            </w:pPr>
            <w:r>
              <w:t>十七、金融支出</w:t>
            </w:r>
          </w:p>
        </w:tc>
        <w:tc>
          <w:tcPr>
            <w:tcW w:w="2126" w:type="dxa"/>
            <w:vAlign w:val="center"/>
          </w:tcPr>
          <w:p w14:paraId="5BBD7772">
            <w:pPr>
              <w:pStyle w:val="14"/>
            </w:pPr>
          </w:p>
        </w:tc>
      </w:tr>
      <w:tr w14:paraId="34D75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4E790">
            <w:pPr>
              <w:pStyle w:val="12"/>
            </w:pPr>
            <w:r>
              <w:t>18</w:t>
            </w:r>
          </w:p>
        </w:tc>
        <w:tc>
          <w:tcPr>
            <w:tcW w:w="4535" w:type="dxa"/>
            <w:vAlign w:val="center"/>
          </w:tcPr>
          <w:p w14:paraId="1583DF8A">
            <w:pPr>
              <w:pStyle w:val="13"/>
            </w:pPr>
          </w:p>
        </w:tc>
        <w:tc>
          <w:tcPr>
            <w:tcW w:w="2126" w:type="dxa"/>
            <w:vAlign w:val="center"/>
          </w:tcPr>
          <w:p w14:paraId="49E444FE">
            <w:pPr>
              <w:pStyle w:val="14"/>
            </w:pPr>
          </w:p>
        </w:tc>
        <w:tc>
          <w:tcPr>
            <w:tcW w:w="4535" w:type="dxa"/>
            <w:vAlign w:val="center"/>
          </w:tcPr>
          <w:p w14:paraId="2F7649EA">
            <w:pPr>
              <w:pStyle w:val="13"/>
            </w:pPr>
            <w:r>
              <w:t>十八、援助其他地区支出</w:t>
            </w:r>
          </w:p>
        </w:tc>
        <w:tc>
          <w:tcPr>
            <w:tcW w:w="2126" w:type="dxa"/>
            <w:vAlign w:val="center"/>
          </w:tcPr>
          <w:p w14:paraId="63CC4E15">
            <w:pPr>
              <w:pStyle w:val="14"/>
            </w:pPr>
          </w:p>
        </w:tc>
      </w:tr>
      <w:tr w14:paraId="7044F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6EAFC">
            <w:pPr>
              <w:pStyle w:val="12"/>
            </w:pPr>
            <w:r>
              <w:t>19</w:t>
            </w:r>
          </w:p>
        </w:tc>
        <w:tc>
          <w:tcPr>
            <w:tcW w:w="4535" w:type="dxa"/>
            <w:vAlign w:val="center"/>
          </w:tcPr>
          <w:p w14:paraId="06396B4C">
            <w:pPr>
              <w:pStyle w:val="13"/>
            </w:pPr>
          </w:p>
        </w:tc>
        <w:tc>
          <w:tcPr>
            <w:tcW w:w="2126" w:type="dxa"/>
            <w:vAlign w:val="center"/>
          </w:tcPr>
          <w:p w14:paraId="0101FE7C">
            <w:pPr>
              <w:pStyle w:val="14"/>
            </w:pPr>
          </w:p>
        </w:tc>
        <w:tc>
          <w:tcPr>
            <w:tcW w:w="4535" w:type="dxa"/>
            <w:vAlign w:val="center"/>
          </w:tcPr>
          <w:p w14:paraId="5B4E6CCE">
            <w:pPr>
              <w:pStyle w:val="13"/>
            </w:pPr>
            <w:r>
              <w:t>十九、自然资源海洋气象等支出</w:t>
            </w:r>
          </w:p>
        </w:tc>
        <w:tc>
          <w:tcPr>
            <w:tcW w:w="2126" w:type="dxa"/>
            <w:vAlign w:val="center"/>
          </w:tcPr>
          <w:p w14:paraId="7911330D">
            <w:pPr>
              <w:pStyle w:val="14"/>
            </w:pPr>
          </w:p>
        </w:tc>
      </w:tr>
      <w:tr w14:paraId="5C4B1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0B00F3C">
            <w:pPr>
              <w:pStyle w:val="12"/>
            </w:pPr>
            <w:r>
              <w:t>20</w:t>
            </w:r>
          </w:p>
        </w:tc>
        <w:tc>
          <w:tcPr>
            <w:tcW w:w="4535" w:type="dxa"/>
            <w:vAlign w:val="center"/>
          </w:tcPr>
          <w:p w14:paraId="0D22BB1A">
            <w:pPr>
              <w:pStyle w:val="13"/>
            </w:pPr>
          </w:p>
        </w:tc>
        <w:tc>
          <w:tcPr>
            <w:tcW w:w="2126" w:type="dxa"/>
            <w:vAlign w:val="center"/>
          </w:tcPr>
          <w:p w14:paraId="6B5429F8">
            <w:pPr>
              <w:pStyle w:val="14"/>
            </w:pPr>
          </w:p>
        </w:tc>
        <w:tc>
          <w:tcPr>
            <w:tcW w:w="4535" w:type="dxa"/>
            <w:vAlign w:val="center"/>
          </w:tcPr>
          <w:p w14:paraId="1F01DC1A">
            <w:pPr>
              <w:pStyle w:val="13"/>
            </w:pPr>
            <w:r>
              <w:t>二十、住房保障支出</w:t>
            </w:r>
          </w:p>
        </w:tc>
        <w:tc>
          <w:tcPr>
            <w:tcW w:w="2126" w:type="dxa"/>
            <w:vAlign w:val="center"/>
          </w:tcPr>
          <w:p w14:paraId="27DD4A64">
            <w:pPr>
              <w:pStyle w:val="14"/>
            </w:pPr>
            <w:r>
              <w:t>8.61</w:t>
            </w:r>
          </w:p>
        </w:tc>
      </w:tr>
      <w:tr w14:paraId="60D51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4A00A">
            <w:pPr>
              <w:pStyle w:val="12"/>
            </w:pPr>
            <w:r>
              <w:t>21</w:t>
            </w:r>
          </w:p>
        </w:tc>
        <w:tc>
          <w:tcPr>
            <w:tcW w:w="4535" w:type="dxa"/>
            <w:vAlign w:val="center"/>
          </w:tcPr>
          <w:p w14:paraId="491AB68A">
            <w:pPr>
              <w:pStyle w:val="13"/>
            </w:pPr>
          </w:p>
        </w:tc>
        <w:tc>
          <w:tcPr>
            <w:tcW w:w="2126" w:type="dxa"/>
            <w:vAlign w:val="center"/>
          </w:tcPr>
          <w:p w14:paraId="6CFFF49E">
            <w:pPr>
              <w:pStyle w:val="14"/>
            </w:pPr>
          </w:p>
        </w:tc>
        <w:tc>
          <w:tcPr>
            <w:tcW w:w="4535" w:type="dxa"/>
            <w:vAlign w:val="center"/>
          </w:tcPr>
          <w:p w14:paraId="767D0635">
            <w:pPr>
              <w:pStyle w:val="13"/>
            </w:pPr>
            <w:r>
              <w:t>二十一、粮油物资储备支出</w:t>
            </w:r>
          </w:p>
        </w:tc>
        <w:tc>
          <w:tcPr>
            <w:tcW w:w="2126" w:type="dxa"/>
            <w:vAlign w:val="center"/>
          </w:tcPr>
          <w:p w14:paraId="4FA8277B">
            <w:pPr>
              <w:pStyle w:val="14"/>
            </w:pPr>
          </w:p>
        </w:tc>
      </w:tr>
      <w:tr w14:paraId="501BB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00387">
            <w:pPr>
              <w:pStyle w:val="12"/>
            </w:pPr>
            <w:r>
              <w:t>22</w:t>
            </w:r>
          </w:p>
        </w:tc>
        <w:tc>
          <w:tcPr>
            <w:tcW w:w="4535" w:type="dxa"/>
            <w:vAlign w:val="center"/>
          </w:tcPr>
          <w:p w14:paraId="465F9BFE">
            <w:pPr>
              <w:pStyle w:val="13"/>
            </w:pPr>
          </w:p>
        </w:tc>
        <w:tc>
          <w:tcPr>
            <w:tcW w:w="2126" w:type="dxa"/>
            <w:vAlign w:val="center"/>
          </w:tcPr>
          <w:p w14:paraId="3A6CAE34">
            <w:pPr>
              <w:pStyle w:val="14"/>
            </w:pPr>
          </w:p>
        </w:tc>
        <w:tc>
          <w:tcPr>
            <w:tcW w:w="4535" w:type="dxa"/>
            <w:vAlign w:val="center"/>
          </w:tcPr>
          <w:p w14:paraId="40933AA4">
            <w:pPr>
              <w:pStyle w:val="13"/>
            </w:pPr>
            <w:r>
              <w:t>二十二、国有资本经营预算支出</w:t>
            </w:r>
          </w:p>
        </w:tc>
        <w:tc>
          <w:tcPr>
            <w:tcW w:w="2126" w:type="dxa"/>
            <w:vAlign w:val="center"/>
          </w:tcPr>
          <w:p w14:paraId="76EE95F3">
            <w:pPr>
              <w:pStyle w:val="14"/>
            </w:pPr>
          </w:p>
        </w:tc>
      </w:tr>
      <w:tr w14:paraId="172BC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56FE1">
            <w:pPr>
              <w:pStyle w:val="12"/>
            </w:pPr>
            <w:r>
              <w:t>23</w:t>
            </w:r>
          </w:p>
        </w:tc>
        <w:tc>
          <w:tcPr>
            <w:tcW w:w="4535" w:type="dxa"/>
            <w:vAlign w:val="center"/>
          </w:tcPr>
          <w:p w14:paraId="77FED0BB">
            <w:pPr>
              <w:pStyle w:val="13"/>
            </w:pPr>
          </w:p>
        </w:tc>
        <w:tc>
          <w:tcPr>
            <w:tcW w:w="2126" w:type="dxa"/>
            <w:vAlign w:val="center"/>
          </w:tcPr>
          <w:p w14:paraId="3E0BFE81">
            <w:pPr>
              <w:pStyle w:val="14"/>
            </w:pPr>
          </w:p>
        </w:tc>
        <w:tc>
          <w:tcPr>
            <w:tcW w:w="4535" w:type="dxa"/>
            <w:vAlign w:val="center"/>
          </w:tcPr>
          <w:p w14:paraId="4C219E8A">
            <w:pPr>
              <w:pStyle w:val="13"/>
            </w:pPr>
            <w:r>
              <w:t>二十三、灾害防治及应急管理支出</w:t>
            </w:r>
          </w:p>
        </w:tc>
        <w:tc>
          <w:tcPr>
            <w:tcW w:w="2126" w:type="dxa"/>
            <w:vAlign w:val="center"/>
          </w:tcPr>
          <w:p w14:paraId="4244276D">
            <w:pPr>
              <w:pStyle w:val="14"/>
            </w:pPr>
          </w:p>
        </w:tc>
      </w:tr>
      <w:tr w14:paraId="71C31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D9C9E3A">
            <w:pPr>
              <w:pStyle w:val="12"/>
            </w:pPr>
            <w:r>
              <w:t>24</w:t>
            </w:r>
          </w:p>
        </w:tc>
        <w:tc>
          <w:tcPr>
            <w:tcW w:w="4535" w:type="dxa"/>
            <w:vAlign w:val="center"/>
          </w:tcPr>
          <w:p w14:paraId="017FCE21">
            <w:pPr>
              <w:pStyle w:val="13"/>
            </w:pPr>
          </w:p>
        </w:tc>
        <w:tc>
          <w:tcPr>
            <w:tcW w:w="2126" w:type="dxa"/>
            <w:vAlign w:val="center"/>
          </w:tcPr>
          <w:p w14:paraId="23656B17">
            <w:pPr>
              <w:pStyle w:val="14"/>
            </w:pPr>
          </w:p>
        </w:tc>
        <w:tc>
          <w:tcPr>
            <w:tcW w:w="4535" w:type="dxa"/>
            <w:vAlign w:val="center"/>
          </w:tcPr>
          <w:p w14:paraId="0D0E25D9">
            <w:pPr>
              <w:pStyle w:val="13"/>
            </w:pPr>
            <w:r>
              <w:t>二十四、预备费</w:t>
            </w:r>
          </w:p>
        </w:tc>
        <w:tc>
          <w:tcPr>
            <w:tcW w:w="2126" w:type="dxa"/>
            <w:vAlign w:val="center"/>
          </w:tcPr>
          <w:p w14:paraId="6DD5ED69">
            <w:pPr>
              <w:pStyle w:val="14"/>
            </w:pPr>
          </w:p>
        </w:tc>
      </w:tr>
      <w:tr w14:paraId="5CD9C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4170B">
            <w:pPr>
              <w:pStyle w:val="12"/>
            </w:pPr>
            <w:r>
              <w:t>25</w:t>
            </w:r>
          </w:p>
        </w:tc>
        <w:tc>
          <w:tcPr>
            <w:tcW w:w="4535" w:type="dxa"/>
            <w:vAlign w:val="center"/>
          </w:tcPr>
          <w:p w14:paraId="611980AD">
            <w:pPr>
              <w:pStyle w:val="13"/>
            </w:pPr>
          </w:p>
        </w:tc>
        <w:tc>
          <w:tcPr>
            <w:tcW w:w="2126" w:type="dxa"/>
            <w:vAlign w:val="center"/>
          </w:tcPr>
          <w:p w14:paraId="7B8EBB92">
            <w:pPr>
              <w:pStyle w:val="14"/>
            </w:pPr>
          </w:p>
        </w:tc>
        <w:tc>
          <w:tcPr>
            <w:tcW w:w="4535" w:type="dxa"/>
            <w:vAlign w:val="center"/>
          </w:tcPr>
          <w:p w14:paraId="01AC7941">
            <w:pPr>
              <w:pStyle w:val="13"/>
            </w:pPr>
            <w:r>
              <w:t>二十五、其他支出</w:t>
            </w:r>
          </w:p>
        </w:tc>
        <w:tc>
          <w:tcPr>
            <w:tcW w:w="2126" w:type="dxa"/>
            <w:vAlign w:val="center"/>
          </w:tcPr>
          <w:p w14:paraId="7EB3322E">
            <w:pPr>
              <w:pStyle w:val="14"/>
            </w:pPr>
          </w:p>
        </w:tc>
      </w:tr>
      <w:tr w14:paraId="7D146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41424">
            <w:pPr>
              <w:pStyle w:val="12"/>
            </w:pPr>
            <w:r>
              <w:t>26</w:t>
            </w:r>
          </w:p>
        </w:tc>
        <w:tc>
          <w:tcPr>
            <w:tcW w:w="4535" w:type="dxa"/>
            <w:vAlign w:val="center"/>
          </w:tcPr>
          <w:p w14:paraId="0D4C4521">
            <w:pPr>
              <w:pStyle w:val="13"/>
            </w:pPr>
          </w:p>
        </w:tc>
        <w:tc>
          <w:tcPr>
            <w:tcW w:w="2126" w:type="dxa"/>
            <w:vAlign w:val="center"/>
          </w:tcPr>
          <w:p w14:paraId="35FCA84A">
            <w:pPr>
              <w:pStyle w:val="14"/>
            </w:pPr>
          </w:p>
        </w:tc>
        <w:tc>
          <w:tcPr>
            <w:tcW w:w="4535" w:type="dxa"/>
            <w:vAlign w:val="center"/>
          </w:tcPr>
          <w:p w14:paraId="432E6F48">
            <w:pPr>
              <w:pStyle w:val="13"/>
            </w:pPr>
            <w:r>
              <w:t>二十六、转移性支出</w:t>
            </w:r>
          </w:p>
        </w:tc>
        <w:tc>
          <w:tcPr>
            <w:tcW w:w="2126" w:type="dxa"/>
            <w:vAlign w:val="center"/>
          </w:tcPr>
          <w:p w14:paraId="66B26370">
            <w:pPr>
              <w:pStyle w:val="14"/>
            </w:pPr>
          </w:p>
        </w:tc>
      </w:tr>
      <w:tr w14:paraId="46DFB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48BF5">
            <w:pPr>
              <w:pStyle w:val="12"/>
            </w:pPr>
            <w:r>
              <w:t>27</w:t>
            </w:r>
          </w:p>
        </w:tc>
        <w:tc>
          <w:tcPr>
            <w:tcW w:w="4535" w:type="dxa"/>
            <w:vAlign w:val="center"/>
          </w:tcPr>
          <w:p w14:paraId="1A507D6F">
            <w:pPr>
              <w:pStyle w:val="13"/>
            </w:pPr>
          </w:p>
        </w:tc>
        <w:tc>
          <w:tcPr>
            <w:tcW w:w="2126" w:type="dxa"/>
            <w:vAlign w:val="center"/>
          </w:tcPr>
          <w:p w14:paraId="68E13421">
            <w:pPr>
              <w:pStyle w:val="14"/>
            </w:pPr>
          </w:p>
        </w:tc>
        <w:tc>
          <w:tcPr>
            <w:tcW w:w="4535" w:type="dxa"/>
            <w:vAlign w:val="center"/>
          </w:tcPr>
          <w:p w14:paraId="798E5C44">
            <w:pPr>
              <w:pStyle w:val="13"/>
            </w:pPr>
            <w:r>
              <w:t>二十七、债务还本支出</w:t>
            </w:r>
          </w:p>
        </w:tc>
        <w:tc>
          <w:tcPr>
            <w:tcW w:w="2126" w:type="dxa"/>
            <w:vAlign w:val="center"/>
          </w:tcPr>
          <w:p w14:paraId="490AF85D">
            <w:pPr>
              <w:pStyle w:val="14"/>
            </w:pPr>
          </w:p>
        </w:tc>
      </w:tr>
      <w:tr w14:paraId="34233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B9060">
            <w:pPr>
              <w:pStyle w:val="12"/>
            </w:pPr>
            <w:r>
              <w:t>28</w:t>
            </w:r>
          </w:p>
        </w:tc>
        <w:tc>
          <w:tcPr>
            <w:tcW w:w="4535" w:type="dxa"/>
            <w:vAlign w:val="center"/>
          </w:tcPr>
          <w:p w14:paraId="4B996548">
            <w:pPr>
              <w:pStyle w:val="13"/>
            </w:pPr>
          </w:p>
        </w:tc>
        <w:tc>
          <w:tcPr>
            <w:tcW w:w="2126" w:type="dxa"/>
            <w:vAlign w:val="center"/>
          </w:tcPr>
          <w:p w14:paraId="7EFDCC34">
            <w:pPr>
              <w:pStyle w:val="14"/>
            </w:pPr>
          </w:p>
        </w:tc>
        <w:tc>
          <w:tcPr>
            <w:tcW w:w="4535" w:type="dxa"/>
            <w:vAlign w:val="center"/>
          </w:tcPr>
          <w:p w14:paraId="4E3CABC0">
            <w:pPr>
              <w:pStyle w:val="13"/>
            </w:pPr>
            <w:r>
              <w:t>二十八、债务付息支出</w:t>
            </w:r>
          </w:p>
        </w:tc>
        <w:tc>
          <w:tcPr>
            <w:tcW w:w="2126" w:type="dxa"/>
            <w:vAlign w:val="center"/>
          </w:tcPr>
          <w:p w14:paraId="498651CE">
            <w:pPr>
              <w:pStyle w:val="14"/>
            </w:pPr>
          </w:p>
        </w:tc>
      </w:tr>
      <w:tr w14:paraId="37027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4A467">
            <w:pPr>
              <w:pStyle w:val="12"/>
            </w:pPr>
            <w:r>
              <w:t>29</w:t>
            </w:r>
          </w:p>
        </w:tc>
        <w:tc>
          <w:tcPr>
            <w:tcW w:w="4535" w:type="dxa"/>
            <w:vAlign w:val="center"/>
          </w:tcPr>
          <w:p w14:paraId="4167D3C5">
            <w:pPr>
              <w:pStyle w:val="13"/>
            </w:pPr>
          </w:p>
        </w:tc>
        <w:tc>
          <w:tcPr>
            <w:tcW w:w="2126" w:type="dxa"/>
            <w:vAlign w:val="center"/>
          </w:tcPr>
          <w:p w14:paraId="4394877F">
            <w:pPr>
              <w:pStyle w:val="14"/>
            </w:pPr>
          </w:p>
        </w:tc>
        <w:tc>
          <w:tcPr>
            <w:tcW w:w="4535" w:type="dxa"/>
            <w:vAlign w:val="center"/>
          </w:tcPr>
          <w:p w14:paraId="275F22BB">
            <w:pPr>
              <w:pStyle w:val="13"/>
            </w:pPr>
            <w:r>
              <w:t>二十九、债务发行费用支出</w:t>
            </w:r>
          </w:p>
        </w:tc>
        <w:tc>
          <w:tcPr>
            <w:tcW w:w="2126" w:type="dxa"/>
            <w:vAlign w:val="center"/>
          </w:tcPr>
          <w:p w14:paraId="2858F7A2">
            <w:pPr>
              <w:pStyle w:val="14"/>
            </w:pPr>
          </w:p>
        </w:tc>
      </w:tr>
      <w:tr w14:paraId="02BD3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FF939">
            <w:pPr>
              <w:pStyle w:val="12"/>
            </w:pPr>
            <w:r>
              <w:t>30</w:t>
            </w:r>
          </w:p>
        </w:tc>
        <w:tc>
          <w:tcPr>
            <w:tcW w:w="4535" w:type="dxa"/>
            <w:vAlign w:val="center"/>
          </w:tcPr>
          <w:p w14:paraId="04963B7D">
            <w:pPr>
              <w:pStyle w:val="13"/>
            </w:pPr>
          </w:p>
        </w:tc>
        <w:tc>
          <w:tcPr>
            <w:tcW w:w="2126" w:type="dxa"/>
            <w:vAlign w:val="center"/>
          </w:tcPr>
          <w:p w14:paraId="698E48D2">
            <w:pPr>
              <w:pStyle w:val="14"/>
            </w:pPr>
          </w:p>
        </w:tc>
        <w:tc>
          <w:tcPr>
            <w:tcW w:w="4535" w:type="dxa"/>
            <w:vAlign w:val="center"/>
          </w:tcPr>
          <w:p w14:paraId="20B0E5EF">
            <w:pPr>
              <w:pStyle w:val="13"/>
            </w:pPr>
            <w:r>
              <w:t>三十、抗疫特别国债安排的支出</w:t>
            </w:r>
          </w:p>
        </w:tc>
        <w:tc>
          <w:tcPr>
            <w:tcW w:w="2126" w:type="dxa"/>
            <w:vAlign w:val="center"/>
          </w:tcPr>
          <w:p w14:paraId="331FF403">
            <w:pPr>
              <w:pStyle w:val="14"/>
            </w:pPr>
          </w:p>
        </w:tc>
      </w:tr>
      <w:tr w14:paraId="628CB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B12B1">
            <w:pPr>
              <w:pStyle w:val="12"/>
            </w:pPr>
            <w:r>
              <w:t>31</w:t>
            </w:r>
          </w:p>
        </w:tc>
        <w:tc>
          <w:tcPr>
            <w:tcW w:w="4535" w:type="dxa"/>
            <w:vAlign w:val="center"/>
          </w:tcPr>
          <w:p w14:paraId="57F940E0">
            <w:pPr>
              <w:pStyle w:val="13"/>
            </w:pPr>
          </w:p>
        </w:tc>
        <w:tc>
          <w:tcPr>
            <w:tcW w:w="2126" w:type="dxa"/>
            <w:vAlign w:val="center"/>
          </w:tcPr>
          <w:p w14:paraId="70F70EF4">
            <w:pPr>
              <w:pStyle w:val="14"/>
            </w:pPr>
          </w:p>
        </w:tc>
        <w:tc>
          <w:tcPr>
            <w:tcW w:w="4535" w:type="dxa"/>
            <w:vAlign w:val="center"/>
          </w:tcPr>
          <w:p w14:paraId="39A2BD0A">
            <w:pPr>
              <w:pStyle w:val="13"/>
            </w:pPr>
            <w:r>
              <w:t>三十一、人行科目</w:t>
            </w:r>
          </w:p>
        </w:tc>
        <w:tc>
          <w:tcPr>
            <w:tcW w:w="2126" w:type="dxa"/>
            <w:vAlign w:val="center"/>
          </w:tcPr>
          <w:p w14:paraId="1B8A40E4">
            <w:pPr>
              <w:pStyle w:val="14"/>
            </w:pPr>
          </w:p>
        </w:tc>
      </w:tr>
      <w:tr w14:paraId="4F525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5ADB5">
            <w:pPr>
              <w:pStyle w:val="12"/>
            </w:pPr>
            <w:r>
              <w:t>32</w:t>
            </w:r>
          </w:p>
        </w:tc>
        <w:tc>
          <w:tcPr>
            <w:tcW w:w="4535" w:type="dxa"/>
            <w:vAlign w:val="center"/>
          </w:tcPr>
          <w:p w14:paraId="04FF7D9F">
            <w:pPr>
              <w:pStyle w:val="15"/>
            </w:pPr>
            <w:r>
              <w:t>本年收入合计</w:t>
            </w:r>
          </w:p>
        </w:tc>
        <w:tc>
          <w:tcPr>
            <w:tcW w:w="2126" w:type="dxa"/>
            <w:vAlign w:val="center"/>
          </w:tcPr>
          <w:p w14:paraId="44040E9A">
            <w:pPr>
              <w:pStyle w:val="16"/>
            </w:pPr>
            <w:r>
              <w:t>150.47</w:t>
            </w:r>
          </w:p>
        </w:tc>
        <w:tc>
          <w:tcPr>
            <w:tcW w:w="4535" w:type="dxa"/>
            <w:vAlign w:val="center"/>
          </w:tcPr>
          <w:p w14:paraId="19091C1A">
            <w:pPr>
              <w:pStyle w:val="15"/>
            </w:pPr>
            <w:r>
              <w:t>本年支出合计</w:t>
            </w:r>
          </w:p>
        </w:tc>
        <w:tc>
          <w:tcPr>
            <w:tcW w:w="2126" w:type="dxa"/>
            <w:vAlign w:val="center"/>
          </w:tcPr>
          <w:p w14:paraId="5E4A6078">
            <w:pPr>
              <w:pStyle w:val="16"/>
            </w:pPr>
            <w:r>
              <w:t>150.47</w:t>
            </w:r>
          </w:p>
        </w:tc>
      </w:tr>
      <w:tr w14:paraId="7479D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FF58D">
            <w:pPr>
              <w:pStyle w:val="12"/>
            </w:pPr>
            <w:r>
              <w:t>33</w:t>
            </w:r>
          </w:p>
        </w:tc>
        <w:tc>
          <w:tcPr>
            <w:tcW w:w="4535" w:type="dxa"/>
            <w:vAlign w:val="center"/>
          </w:tcPr>
          <w:p w14:paraId="454FE320">
            <w:pPr>
              <w:pStyle w:val="13"/>
            </w:pPr>
            <w:r>
              <w:t>上年结转结余</w:t>
            </w:r>
          </w:p>
        </w:tc>
        <w:tc>
          <w:tcPr>
            <w:tcW w:w="2126" w:type="dxa"/>
            <w:vAlign w:val="center"/>
          </w:tcPr>
          <w:p w14:paraId="355DB1EB">
            <w:pPr>
              <w:pStyle w:val="14"/>
            </w:pPr>
          </w:p>
        </w:tc>
        <w:tc>
          <w:tcPr>
            <w:tcW w:w="4535" w:type="dxa"/>
            <w:vAlign w:val="center"/>
          </w:tcPr>
          <w:p w14:paraId="5A6C61F4">
            <w:pPr>
              <w:pStyle w:val="13"/>
            </w:pPr>
            <w:r>
              <w:t>年终结转结余</w:t>
            </w:r>
          </w:p>
        </w:tc>
        <w:tc>
          <w:tcPr>
            <w:tcW w:w="2126" w:type="dxa"/>
            <w:vAlign w:val="center"/>
          </w:tcPr>
          <w:p w14:paraId="6619C48C">
            <w:pPr>
              <w:pStyle w:val="14"/>
            </w:pPr>
          </w:p>
        </w:tc>
      </w:tr>
      <w:tr w14:paraId="6969C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319FB">
            <w:pPr>
              <w:pStyle w:val="12"/>
            </w:pPr>
            <w:r>
              <w:t>34</w:t>
            </w:r>
          </w:p>
        </w:tc>
        <w:tc>
          <w:tcPr>
            <w:tcW w:w="4535" w:type="dxa"/>
            <w:vAlign w:val="center"/>
          </w:tcPr>
          <w:p w14:paraId="6C5EB97B">
            <w:pPr>
              <w:pStyle w:val="15"/>
            </w:pPr>
            <w:r>
              <w:t>收入总计</w:t>
            </w:r>
          </w:p>
        </w:tc>
        <w:tc>
          <w:tcPr>
            <w:tcW w:w="2126" w:type="dxa"/>
            <w:vAlign w:val="center"/>
          </w:tcPr>
          <w:p w14:paraId="0633A8B7">
            <w:pPr>
              <w:pStyle w:val="16"/>
            </w:pPr>
            <w:r>
              <w:t>150.47</w:t>
            </w:r>
          </w:p>
        </w:tc>
        <w:tc>
          <w:tcPr>
            <w:tcW w:w="4535" w:type="dxa"/>
            <w:vAlign w:val="center"/>
          </w:tcPr>
          <w:p w14:paraId="26E87087">
            <w:pPr>
              <w:pStyle w:val="15"/>
            </w:pPr>
            <w:r>
              <w:t>支出总计</w:t>
            </w:r>
          </w:p>
        </w:tc>
        <w:tc>
          <w:tcPr>
            <w:tcW w:w="2126" w:type="dxa"/>
            <w:vAlign w:val="center"/>
          </w:tcPr>
          <w:p w14:paraId="29F50092">
            <w:pPr>
              <w:pStyle w:val="16"/>
            </w:pPr>
            <w:r>
              <w:t>150.47</w:t>
            </w:r>
          </w:p>
        </w:tc>
      </w:tr>
    </w:tbl>
    <w:p w14:paraId="548D98E8">
      <w:pPr>
        <w:sectPr>
          <w:pgSz w:w="16840" w:h="11900" w:orient="landscape"/>
          <w:pgMar w:top="1361" w:right="1020" w:bottom="1134" w:left="1020" w:header="720" w:footer="720" w:gutter="0"/>
          <w:cols w:space="720" w:num="1"/>
        </w:sectPr>
      </w:pPr>
    </w:p>
    <w:p w14:paraId="4CB1DC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578"/>
        <w:gridCol w:w="1331"/>
        <w:gridCol w:w="2687"/>
        <w:gridCol w:w="799"/>
        <w:gridCol w:w="799"/>
        <w:gridCol w:w="1365"/>
        <w:gridCol w:w="1260"/>
        <w:gridCol w:w="881"/>
        <w:gridCol w:w="881"/>
        <w:gridCol w:w="1184"/>
        <w:gridCol w:w="1487"/>
        <w:gridCol w:w="882"/>
        <w:gridCol w:w="882"/>
      </w:tblGrid>
      <w:tr w14:paraId="4CC86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67D7E53A">
            <w:pPr>
              <w:pStyle w:val="8"/>
            </w:pPr>
            <w:r>
              <w:t>360036隆尧县青少年校外活动中心</w:t>
            </w:r>
          </w:p>
        </w:tc>
        <w:tc>
          <w:tcPr>
            <w:tcW w:w="0" w:type="auto"/>
            <w:gridSpan w:val="3"/>
            <w:tcBorders>
              <w:top w:val="single" w:color="FFFFFF" w:sz="6" w:space="0"/>
              <w:left w:val="single" w:color="FFFFFF" w:sz="6" w:space="0"/>
              <w:right w:val="single" w:color="FFFFFF" w:sz="6" w:space="0"/>
            </w:tcBorders>
            <w:vAlign w:val="center"/>
          </w:tcPr>
          <w:p w14:paraId="4CC429AC">
            <w:pPr>
              <w:pStyle w:val="9"/>
            </w:pPr>
            <w:r>
              <w:t>预算年度：2025</w:t>
            </w:r>
          </w:p>
        </w:tc>
        <w:tc>
          <w:tcPr>
            <w:tcW w:w="0" w:type="auto"/>
            <w:gridSpan w:val="5"/>
            <w:tcBorders>
              <w:top w:val="single" w:color="FFFFFF" w:sz="6" w:space="0"/>
              <w:left w:val="single" w:color="FFFFFF" w:sz="6" w:space="0"/>
              <w:right w:val="single" w:color="FFFFFF" w:sz="6" w:space="0"/>
            </w:tcBorders>
            <w:vAlign w:val="center"/>
          </w:tcPr>
          <w:p w14:paraId="485B51CC">
            <w:pPr>
              <w:pStyle w:val="10"/>
            </w:pPr>
            <w:r>
              <w:t>单位：万元</w:t>
            </w:r>
          </w:p>
        </w:tc>
      </w:tr>
      <w:tr w14:paraId="59284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6ED3D253">
            <w:pPr>
              <w:pStyle w:val="11"/>
            </w:pPr>
            <w:r>
              <w:t>序号</w:t>
            </w:r>
          </w:p>
        </w:tc>
        <w:tc>
          <w:tcPr>
            <w:tcW w:w="0" w:type="auto"/>
            <w:gridSpan w:val="2"/>
            <w:vAlign w:val="center"/>
          </w:tcPr>
          <w:p w14:paraId="25982FC4">
            <w:pPr>
              <w:pStyle w:val="11"/>
            </w:pPr>
            <w:r>
              <w:t>功能分类科目</w:t>
            </w:r>
          </w:p>
        </w:tc>
        <w:tc>
          <w:tcPr>
            <w:tcW w:w="0" w:type="auto"/>
            <w:vMerge w:val="restart"/>
            <w:vAlign w:val="center"/>
          </w:tcPr>
          <w:p w14:paraId="73895B95">
            <w:pPr>
              <w:pStyle w:val="11"/>
            </w:pPr>
            <w:r>
              <w:t>合计</w:t>
            </w:r>
          </w:p>
        </w:tc>
        <w:tc>
          <w:tcPr>
            <w:tcW w:w="0" w:type="auto"/>
            <w:gridSpan w:val="8"/>
            <w:vAlign w:val="center"/>
          </w:tcPr>
          <w:p w14:paraId="0AC7B228">
            <w:pPr>
              <w:pStyle w:val="11"/>
            </w:pPr>
            <w:r>
              <w:t>本年收入</w:t>
            </w:r>
          </w:p>
        </w:tc>
        <w:tc>
          <w:tcPr>
            <w:tcW w:w="0" w:type="auto"/>
            <w:vMerge w:val="restart"/>
            <w:vAlign w:val="center"/>
          </w:tcPr>
          <w:p w14:paraId="5F5CE780">
            <w:pPr>
              <w:pStyle w:val="11"/>
            </w:pPr>
            <w:r>
              <w:t>上年结转</w:t>
            </w:r>
          </w:p>
        </w:tc>
      </w:tr>
      <w:tr w14:paraId="1537C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0" w:type="auto"/>
            <w:vMerge w:val="continue"/>
          </w:tcPr>
          <w:p w14:paraId="0D9D6837"/>
        </w:tc>
        <w:tc>
          <w:tcPr>
            <w:tcW w:w="0" w:type="auto"/>
            <w:vAlign w:val="center"/>
          </w:tcPr>
          <w:p w14:paraId="52B89934">
            <w:pPr>
              <w:pStyle w:val="11"/>
            </w:pPr>
            <w:r>
              <w:t>科目    编码</w:t>
            </w:r>
          </w:p>
        </w:tc>
        <w:tc>
          <w:tcPr>
            <w:tcW w:w="0" w:type="auto"/>
            <w:vAlign w:val="center"/>
          </w:tcPr>
          <w:p w14:paraId="11EFA6E5">
            <w:pPr>
              <w:pStyle w:val="11"/>
            </w:pPr>
            <w:r>
              <w:t>科目名称</w:t>
            </w:r>
          </w:p>
        </w:tc>
        <w:tc>
          <w:tcPr>
            <w:tcW w:w="0" w:type="auto"/>
            <w:vMerge w:val="continue"/>
          </w:tcPr>
          <w:p w14:paraId="5B00D4E0"/>
        </w:tc>
        <w:tc>
          <w:tcPr>
            <w:tcW w:w="0" w:type="auto"/>
            <w:vAlign w:val="center"/>
          </w:tcPr>
          <w:p w14:paraId="334221DD">
            <w:pPr>
              <w:pStyle w:val="11"/>
            </w:pPr>
            <w:r>
              <w:t>小计</w:t>
            </w:r>
          </w:p>
        </w:tc>
        <w:tc>
          <w:tcPr>
            <w:tcW w:w="0" w:type="auto"/>
            <w:vAlign w:val="center"/>
          </w:tcPr>
          <w:p w14:paraId="290FC6A3">
            <w:pPr>
              <w:pStyle w:val="11"/>
            </w:pPr>
            <w:r>
              <w:t>财政拨款 收入</w:t>
            </w:r>
          </w:p>
        </w:tc>
        <w:tc>
          <w:tcPr>
            <w:tcW w:w="0" w:type="auto"/>
            <w:vAlign w:val="center"/>
          </w:tcPr>
          <w:p w14:paraId="5CEFDD78">
            <w:pPr>
              <w:pStyle w:val="11"/>
            </w:pPr>
            <w:r>
              <w:t>财政专户 收入</w:t>
            </w:r>
          </w:p>
        </w:tc>
        <w:tc>
          <w:tcPr>
            <w:tcW w:w="0" w:type="auto"/>
            <w:vAlign w:val="center"/>
          </w:tcPr>
          <w:p w14:paraId="358EF2D6">
            <w:pPr>
              <w:pStyle w:val="11"/>
            </w:pPr>
            <w:r>
              <w:t>事业收入</w:t>
            </w:r>
          </w:p>
        </w:tc>
        <w:tc>
          <w:tcPr>
            <w:tcW w:w="0" w:type="auto"/>
            <w:vAlign w:val="center"/>
          </w:tcPr>
          <w:p w14:paraId="4B215CE6">
            <w:pPr>
              <w:pStyle w:val="11"/>
            </w:pPr>
            <w:r>
              <w:t>经营收入</w:t>
            </w:r>
          </w:p>
        </w:tc>
        <w:tc>
          <w:tcPr>
            <w:tcW w:w="0" w:type="auto"/>
            <w:vAlign w:val="center"/>
          </w:tcPr>
          <w:p w14:paraId="780DBBC1">
            <w:pPr>
              <w:pStyle w:val="11"/>
            </w:pPr>
            <w:r>
              <w:t>上级补助收入</w:t>
            </w:r>
          </w:p>
        </w:tc>
        <w:tc>
          <w:tcPr>
            <w:tcW w:w="0" w:type="auto"/>
            <w:vAlign w:val="center"/>
          </w:tcPr>
          <w:p w14:paraId="5E35F5E1">
            <w:pPr>
              <w:pStyle w:val="11"/>
            </w:pPr>
            <w:r>
              <w:t>附属单位上缴收入</w:t>
            </w:r>
          </w:p>
        </w:tc>
        <w:tc>
          <w:tcPr>
            <w:tcW w:w="0" w:type="auto"/>
            <w:vAlign w:val="center"/>
          </w:tcPr>
          <w:p w14:paraId="4E1C9999">
            <w:pPr>
              <w:pStyle w:val="11"/>
            </w:pPr>
            <w:r>
              <w:t>其他收入</w:t>
            </w:r>
          </w:p>
        </w:tc>
        <w:tc>
          <w:tcPr>
            <w:tcW w:w="0" w:type="auto"/>
            <w:vMerge w:val="continue"/>
          </w:tcPr>
          <w:p w14:paraId="57ADF575"/>
        </w:tc>
      </w:tr>
      <w:tr w14:paraId="06811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0" w:type="auto"/>
            <w:vAlign w:val="center"/>
          </w:tcPr>
          <w:p w14:paraId="3645572D">
            <w:pPr>
              <w:pStyle w:val="11"/>
            </w:pPr>
            <w:r>
              <w:t>栏次</w:t>
            </w:r>
          </w:p>
        </w:tc>
        <w:tc>
          <w:tcPr>
            <w:tcW w:w="0" w:type="auto"/>
            <w:vAlign w:val="center"/>
          </w:tcPr>
          <w:p w14:paraId="5E53F203">
            <w:pPr>
              <w:pStyle w:val="11"/>
            </w:pPr>
            <w:r>
              <w:t>1</w:t>
            </w:r>
          </w:p>
        </w:tc>
        <w:tc>
          <w:tcPr>
            <w:tcW w:w="0" w:type="auto"/>
            <w:vAlign w:val="center"/>
          </w:tcPr>
          <w:p w14:paraId="1DDA38D0">
            <w:pPr>
              <w:pStyle w:val="11"/>
            </w:pPr>
            <w:r>
              <w:t>2</w:t>
            </w:r>
          </w:p>
        </w:tc>
        <w:tc>
          <w:tcPr>
            <w:tcW w:w="0" w:type="auto"/>
            <w:vAlign w:val="center"/>
          </w:tcPr>
          <w:p w14:paraId="1CBEFB00">
            <w:pPr>
              <w:pStyle w:val="11"/>
            </w:pPr>
            <w:r>
              <w:t>3</w:t>
            </w:r>
          </w:p>
        </w:tc>
        <w:tc>
          <w:tcPr>
            <w:tcW w:w="0" w:type="auto"/>
            <w:vAlign w:val="center"/>
          </w:tcPr>
          <w:p w14:paraId="150C035E">
            <w:pPr>
              <w:pStyle w:val="11"/>
            </w:pPr>
            <w:r>
              <w:t>4</w:t>
            </w:r>
          </w:p>
        </w:tc>
        <w:tc>
          <w:tcPr>
            <w:tcW w:w="0" w:type="auto"/>
            <w:vAlign w:val="center"/>
          </w:tcPr>
          <w:p w14:paraId="19F69FC4">
            <w:pPr>
              <w:pStyle w:val="11"/>
            </w:pPr>
            <w:r>
              <w:t>5</w:t>
            </w:r>
          </w:p>
        </w:tc>
        <w:tc>
          <w:tcPr>
            <w:tcW w:w="0" w:type="auto"/>
            <w:vAlign w:val="center"/>
          </w:tcPr>
          <w:p w14:paraId="4B67EAC3">
            <w:pPr>
              <w:pStyle w:val="11"/>
            </w:pPr>
            <w:r>
              <w:t>6</w:t>
            </w:r>
          </w:p>
        </w:tc>
        <w:tc>
          <w:tcPr>
            <w:tcW w:w="0" w:type="auto"/>
            <w:vAlign w:val="center"/>
          </w:tcPr>
          <w:p w14:paraId="3B90A57E">
            <w:pPr>
              <w:pStyle w:val="11"/>
            </w:pPr>
            <w:r>
              <w:t>7</w:t>
            </w:r>
          </w:p>
        </w:tc>
        <w:tc>
          <w:tcPr>
            <w:tcW w:w="0" w:type="auto"/>
            <w:vAlign w:val="center"/>
          </w:tcPr>
          <w:p w14:paraId="50EFDDBA">
            <w:pPr>
              <w:pStyle w:val="11"/>
            </w:pPr>
            <w:r>
              <w:t>8</w:t>
            </w:r>
          </w:p>
        </w:tc>
        <w:tc>
          <w:tcPr>
            <w:tcW w:w="0" w:type="auto"/>
            <w:vAlign w:val="center"/>
          </w:tcPr>
          <w:p w14:paraId="27283B5A">
            <w:pPr>
              <w:pStyle w:val="11"/>
            </w:pPr>
            <w:r>
              <w:t>9</w:t>
            </w:r>
          </w:p>
        </w:tc>
        <w:tc>
          <w:tcPr>
            <w:tcW w:w="0" w:type="auto"/>
            <w:vAlign w:val="center"/>
          </w:tcPr>
          <w:p w14:paraId="10C3D9CB">
            <w:pPr>
              <w:pStyle w:val="11"/>
            </w:pPr>
            <w:r>
              <w:t>10</w:t>
            </w:r>
          </w:p>
        </w:tc>
        <w:tc>
          <w:tcPr>
            <w:tcW w:w="0" w:type="auto"/>
            <w:vAlign w:val="center"/>
          </w:tcPr>
          <w:p w14:paraId="2B993842">
            <w:pPr>
              <w:pStyle w:val="11"/>
            </w:pPr>
            <w:r>
              <w:t>11</w:t>
            </w:r>
          </w:p>
        </w:tc>
        <w:tc>
          <w:tcPr>
            <w:tcW w:w="0" w:type="auto"/>
            <w:vAlign w:val="center"/>
          </w:tcPr>
          <w:p w14:paraId="63CEBE3F">
            <w:pPr>
              <w:pStyle w:val="11"/>
            </w:pPr>
            <w:r>
              <w:t>12</w:t>
            </w:r>
          </w:p>
        </w:tc>
      </w:tr>
      <w:tr w14:paraId="2A1E6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3C31D744">
            <w:pPr>
              <w:pStyle w:val="12"/>
            </w:pPr>
            <w:r>
              <w:t>1</w:t>
            </w:r>
          </w:p>
        </w:tc>
        <w:tc>
          <w:tcPr>
            <w:tcW w:w="0" w:type="auto"/>
            <w:vAlign w:val="center"/>
          </w:tcPr>
          <w:p w14:paraId="2E1CD599">
            <w:pPr>
              <w:pStyle w:val="17"/>
            </w:pPr>
          </w:p>
        </w:tc>
        <w:tc>
          <w:tcPr>
            <w:tcW w:w="0" w:type="auto"/>
            <w:vAlign w:val="center"/>
          </w:tcPr>
          <w:p w14:paraId="2927CE8B">
            <w:pPr>
              <w:pStyle w:val="15"/>
            </w:pPr>
            <w:r>
              <w:t>合计</w:t>
            </w:r>
          </w:p>
        </w:tc>
        <w:tc>
          <w:tcPr>
            <w:tcW w:w="0" w:type="auto"/>
            <w:vAlign w:val="center"/>
          </w:tcPr>
          <w:p w14:paraId="5ABB5B7D">
            <w:pPr>
              <w:pStyle w:val="16"/>
            </w:pPr>
            <w:r>
              <w:t>150.47</w:t>
            </w:r>
          </w:p>
        </w:tc>
        <w:tc>
          <w:tcPr>
            <w:tcW w:w="0" w:type="auto"/>
            <w:vAlign w:val="center"/>
          </w:tcPr>
          <w:p w14:paraId="7EDC341E">
            <w:pPr>
              <w:pStyle w:val="16"/>
            </w:pPr>
            <w:r>
              <w:t>150.47</w:t>
            </w:r>
          </w:p>
        </w:tc>
        <w:tc>
          <w:tcPr>
            <w:tcW w:w="0" w:type="auto"/>
            <w:vAlign w:val="center"/>
          </w:tcPr>
          <w:p w14:paraId="094AB76A">
            <w:pPr>
              <w:pStyle w:val="16"/>
            </w:pPr>
            <w:r>
              <w:t>150.47</w:t>
            </w:r>
          </w:p>
        </w:tc>
        <w:tc>
          <w:tcPr>
            <w:tcW w:w="0" w:type="auto"/>
            <w:vAlign w:val="center"/>
          </w:tcPr>
          <w:p w14:paraId="6DEFDFD6">
            <w:pPr>
              <w:pStyle w:val="16"/>
            </w:pPr>
          </w:p>
        </w:tc>
        <w:tc>
          <w:tcPr>
            <w:tcW w:w="0" w:type="auto"/>
            <w:vAlign w:val="center"/>
          </w:tcPr>
          <w:p w14:paraId="7FE876A6">
            <w:pPr>
              <w:pStyle w:val="16"/>
            </w:pPr>
          </w:p>
        </w:tc>
        <w:tc>
          <w:tcPr>
            <w:tcW w:w="0" w:type="auto"/>
            <w:vAlign w:val="center"/>
          </w:tcPr>
          <w:p w14:paraId="177CAA75">
            <w:pPr>
              <w:pStyle w:val="16"/>
            </w:pPr>
          </w:p>
        </w:tc>
        <w:tc>
          <w:tcPr>
            <w:tcW w:w="0" w:type="auto"/>
            <w:vAlign w:val="center"/>
          </w:tcPr>
          <w:p w14:paraId="72B119BC">
            <w:pPr>
              <w:pStyle w:val="16"/>
            </w:pPr>
          </w:p>
        </w:tc>
        <w:tc>
          <w:tcPr>
            <w:tcW w:w="0" w:type="auto"/>
            <w:vAlign w:val="center"/>
          </w:tcPr>
          <w:p w14:paraId="6DDB310B">
            <w:pPr>
              <w:pStyle w:val="16"/>
            </w:pPr>
          </w:p>
        </w:tc>
        <w:tc>
          <w:tcPr>
            <w:tcW w:w="0" w:type="auto"/>
            <w:vAlign w:val="center"/>
          </w:tcPr>
          <w:p w14:paraId="6FB0CD79">
            <w:pPr>
              <w:pStyle w:val="16"/>
            </w:pPr>
          </w:p>
        </w:tc>
        <w:tc>
          <w:tcPr>
            <w:tcW w:w="0" w:type="auto"/>
            <w:vAlign w:val="center"/>
          </w:tcPr>
          <w:p w14:paraId="7087FD4D">
            <w:pPr>
              <w:pStyle w:val="16"/>
            </w:pPr>
          </w:p>
        </w:tc>
      </w:tr>
      <w:tr w14:paraId="3BE77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54799BFA">
            <w:pPr>
              <w:pStyle w:val="12"/>
            </w:pPr>
            <w:r>
              <w:t>2</w:t>
            </w:r>
          </w:p>
        </w:tc>
        <w:tc>
          <w:tcPr>
            <w:tcW w:w="0" w:type="auto"/>
            <w:vAlign w:val="center"/>
          </w:tcPr>
          <w:p w14:paraId="4B2118AD">
            <w:pPr>
              <w:pStyle w:val="13"/>
            </w:pPr>
            <w:r>
              <w:t>205</w:t>
            </w:r>
          </w:p>
        </w:tc>
        <w:tc>
          <w:tcPr>
            <w:tcW w:w="0" w:type="auto"/>
            <w:vAlign w:val="center"/>
          </w:tcPr>
          <w:p w14:paraId="0B383E6F">
            <w:pPr>
              <w:pStyle w:val="13"/>
            </w:pPr>
            <w:r>
              <w:t>教育支出</w:t>
            </w:r>
          </w:p>
        </w:tc>
        <w:tc>
          <w:tcPr>
            <w:tcW w:w="0" w:type="auto"/>
            <w:vAlign w:val="center"/>
          </w:tcPr>
          <w:p w14:paraId="30B25F3B">
            <w:pPr>
              <w:pStyle w:val="14"/>
            </w:pPr>
            <w:r>
              <w:t>125.81</w:t>
            </w:r>
          </w:p>
        </w:tc>
        <w:tc>
          <w:tcPr>
            <w:tcW w:w="0" w:type="auto"/>
            <w:vAlign w:val="center"/>
          </w:tcPr>
          <w:p w14:paraId="744533A5">
            <w:pPr>
              <w:pStyle w:val="14"/>
            </w:pPr>
            <w:r>
              <w:t>125.81</w:t>
            </w:r>
          </w:p>
        </w:tc>
        <w:tc>
          <w:tcPr>
            <w:tcW w:w="0" w:type="auto"/>
            <w:vAlign w:val="center"/>
          </w:tcPr>
          <w:p w14:paraId="163BEFA6">
            <w:pPr>
              <w:pStyle w:val="14"/>
            </w:pPr>
            <w:r>
              <w:t>125.81</w:t>
            </w:r>
          </w:p>
        </w:tc>
        <w:tc>
          <w:tcPr>
            <w:tcW w:w="0" w:type="auto"/>
            <w:vAlign w:val="center"/>
          </w:tcPr>
          <w:p w14:paraId="6BC864F2">
            <w:pPr>
              <w:pStyle w:val="14"/>
            </w:pPr>
          </w:p>
        </w:tc>
        <w:tc>
          <w:tcPr>
            <w:tcW w:w="0" w:type="auto"/>
            <w:vAlign w:val="center"/>
          </w:tcPr>
          <w:p w14:paraId="6FA49C19">
            <w:pPr>
              <w:pStyle w:val="14"/>
            </w:pPr>
          </w:p>
        </w:tc>
        <w:tc>
          <w:tcPr>
            <w:tcW w:w="0" w:type="auto"/>
            <w:vAlign w:val="center"/>
          </w:tcPr>
          <w:p w14:paraId="30E101BF">
            <w:pPr>
              <w:pStyle w:val="14"/>
            </w:pPr>
          </w:p>
        </w:tc>
        <w:tc>
          <w:tcPr>
            <w:tcW w:w="0" w:type="auto"/>
            <w:vAlign w:val="center"/>
          </w:tcPr>
          <w:p w14:paraId="45C8BD28">
            <w:pPr>
              <w:pStyle w:val="14"/>
            </w:pPr>
          </w:p>
        </w:tc>
        <w:tc>
          <w:tcPr>
            <w:tcW w:w="0" w:type="auto"/>
            <w:vAlign w:val="center"/>
          </w:tcPr>
          <w:p w14:paraId="64C9A117">
            <w:pPr>
              <w:pStyle w:val="14"/>
            </w:pPr>
          </w:p>
        </w:tc>
        <w:tc>
          <w:tcPr>
            <w:tcW w:w="0" w:type="auto"/>
            <w:vAlign w:val="center"/>
          </w:tcPr>
          <w:p w14:paraId="538197AC">
            <w:pPr>
              <w:pStyle w:val="14"/>
            </w:pPr>
          </w:p>
        </w:tc>
        <w:tc>
          <w:tcPr>
            <w:tcW w:w="0" w:type="auto"/>
            <w:vAlign w:val="center"/>
          </w:tcPr>
          <w:p w14:paraId="5277A445">
            <w:pPr>
              <w:pStyle w:val="14"/>
            </w:pPr>
          </w:p>
        </w:tc>
      </w:tr>
      <w:tr w14:paraId="6822B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5AFC1A5F">
            <w:pPr>
              <w:pStyle w:val="12"/>
            </w:pPr>
            <w:r>
              <w:t>3</w:t>
            </w:r>
          </w:p>
        </w:tc>
        <w:tc>
          <w:tcPr>
            <w:tcW w:w="0" w:type="auto"/>
            <w:vAlign w:val="center"/>
          </w:tcPr>
          <w:p w14:paraId="7ABE2549">
            <w:pPr>
              <w:pStyle w:val="13"/>
            </w:pPr>
            <w:r>
              <w:t>20502</w:t>
            </w:r>
          </w:p>
        </w:tc>
        <w:tc>
          <w:tcPr>
            <w:tcW w:w="0" w:type="auto"/>
            <w:vAlign w:val="center"/>
          </w:tcPr>
          <w:p w14:paraId="1C7EB715">
            <w:pPr>
              <w:pStyle w:val="13"/>
            </w:pPr>
            <w:r>
              <w:t>普通教育</w:t>
            </w:r>
          </w:p>
        </w:tc>
        <w:tc>
          <w:tcPr>
            <w:tcW w:w="0" w:type="auto"/>
            <w:vAlign w:val="center"/>
          </w:tcPr>
          <w:p w14:paraId="594CD759">
            <w:pPr>
              <w:pStyle w:val="14"/>
            </w:pPr>
            <w:r>
              <w:t>125.81</w:t>
            </w:r>
          </w:p>
        </w:tc>
        <w:tc>
          <w:tcPr>
            <w:tcW w:w="0" w:type="auto"/>
            <w:vAlign w:val="center"/>
          </w:tcPr>
          <w:p w14:paraId="5F1AE5A0">
            <w:pPr>
              <w:pStyle w:val="14"/>
            </w:pPr>
            <w:r>
              <w:t>125.81</w:t>
            </w:r>
          </w:p>
        </w:tc>
        <w:tc>
          <w:tcPr>
            <w:tcW w:w="0" w:type="auto"/>
            <w:vAlign w:val="center"/>
          </w:tcPr>
          <w:p w14:paraId="34B2E05C">
            <w:pPr>
              <w:pStyle w:val="14"/>
            </w:pPr>
            <w:r>
              <w:t>125.81</w:t>
            </w:r>
          </w:p>
        </w:tc>
        <w:tc>
          <w:tcPr>
            <w:tcW w:w="0" w:type="auto"/>
            <w:vAlign w:val="center"/>
          </w:tcPr>
          <w:p w14:paraId="65171BBB">
            <w:pPr>
              <w:pStyle w:val="14"/>
            </w:pPr>
          </w:p>
        </w:tc>
        <w:tc>
          <w:tcPr>
            <w:tcW w:w="0" w:type="auto"/>
            <w:vAlign w:val="center"/>
          </w:tcPr>
          <w:p w14:paraId="3DF6E58D">
            <w:pPr>
              <w:pStyle w:val="14"/>
            </w:pPr>
          </w:p>
        </w:tc>
        <w:tc>
          <w:tcPr>
            <w:tcW w:w="0" w:type="auto"/>
            <w:vAlign w:val="center"/>
          </w:tcPr>
          <w:p w14:paraId="291E1B51">
            <w:pPr>
              <w:pStyle w:val="14"/>
            </w:pPr>
          </w:p>
        </w:tc>
        <w:tc>
          <w:tcPr>
            <w:tcW w:w="0" w:type="auto"/>
            <w:vAlign w:val="center"/>
          </w:tcPr>
          <w:p w14:paraId="04F97EF0">
            <w:pPr>
              <w:pStyle w:val="14"/>
            </w:pPr>
          </w:p>
        </w:tc>
        <w:tc>
          <w:tcPr>
            <w:tcW w:w="0" w:type="auto"/>
            <w:vAlign w:val="center"/>
          </w:tcPr>
          <w:p w14:paraId="43A8FE1F">
            <w:pPr>
              <w:pStyle w:val="14"/>
            </w:pPr>
          </w:p>
        </w:tc>
        <w:tc>
          <w:tcPr>
            <w:tcW w:w="0" w:type="auto"/>
            <w:vAlign w:val="center"/>
          </w:tcPr>
          <w:p w14:paraId="32B31902">
            <w:pPr>
              <w:pStyle w:val="14"/>
            </w:pPr>
          </w:p>
        </w:tc>
        <w:tc>
          <w:tcPr>
            <w:tcW w:w="0" w:type="auto"/>
            <w:vAlign w:val="center"/>
          </w:tcPr>
          <w:p w14:paraId="62C6498B">
            <w:pPr>
              <w:pStyle w:val="14"/>
            </w:pPr>
          </w:p>
        </w:tc>
      </w:tr>
      <w:tr w14:paraId="44F06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7BBE1E73">
            <w:pPr>
              <w:pStyle w:val="12"/>
            </w:pPr>
            <w:r>
              <w:t>4</w:t>
            </w:r>
          </w:p>
        </w:tc>
        <w:tc>
          <w:tcPr>
            <w:tcW w:w="0" w:type="auto"/>
            <w:vAlign w:val="center"/>
          </w:tcPr>
          <w:p w14:paraId="2CE53EE6">
            <w:pPr>
              <w:pStyle w:val="13"/>
            </w:pPr>
            <w:r>
              <w:t>2050299</w:t>
            </w:r>
          </w:p>
        </w:tc>
        <w:tc>
          <w:tcPr>
            <w:tcW w:w="0" w:type="auto"/>
            <w:vAlign w:val="center"/>
          </w:tcPr>
          <w:p w14:paraId="246275A3">
            <w:pPr>
              <w:pStyle w:val="13"/>
            </w:pPr>
            <w:r>
              <w:t>其他普通教育支出</w:t>
            </w:r>
          </w:p>
        </w:tc>
        <w:tc>
          <w:tcPr>
            <w:tcW w:w="0" w:type="auto"/>
            <w:vAlign w:val="center"/>
          </w:tcPr>
          <w:p w14:paraId="4490BADF">
            <w:pPr>
              <w:pStyle w:val="14"/>
            </w:pPr>
            <w:r>
              <w:t>125.81</w:t>
            </w:r>
          </w:p>
        </w:tc>
        <w:tc>
          <w:tcPr>
            <w:tcW w:w="0" w:type="auto"/>
            <w:vAlign w:val="center"/>
          </w:tcPr>
          <w:p w14:paraId="53E025EB">
            <w:pPr>
              <w:pStyle w:val="14"/>
            </w:pPr>
            <w:r>
              <w:t>125.81</w:t>
            </w:r>
          </w:p>
        </w:tc>
        <w:tc>
          <w:tcPr>
            <w:tcW w:w="0" w:type="auto"/>
            <w:vAlign w:val="center"/>
          </w:tcPr>
          <w:p w14:paraId="6C9D9EDD">
            <w:pPr>
              <w:pStyle w:val="14"/>
            </w:pPr>
            <w:r>
              <w:t>125.81</w:t>
            </w:r>
          </w:p>
        </w:tc>
        <w:tc>
          <w:tcPr>
            <w:tcW w:w="0" w:type="auto"/>
            <w:vAlign w:val="center"/>
          </w:tcPr>
          <w:p w14:paraId="2C434C88">
            <w:pPr>
              <w:pStyle w:val="14"/>
            </w:pPr>
          </w:p>
        </w:tc>
        <w:tc>
          <w:tcPr>
            <w:tcW w:w="0" w:type="auto"/>
            <w:vAlign w:val="center"/>
          </w:tcPr>
          <w:p w14:paraId="7816A50A">
            <w:pPr>
              <w:pStyle w:val="14"/>
            </w:pPr>
          </w:p>
        </w:tc>
        <w:tc>
          <w:tcPr>
            <w:tcW w:w="0" w:type="auto"/>
            <w:vAlign w:val="center"/>
          </w:tcPr>
          <w:p w14:paraId="567C53FC">
            <w:pPr>
              <w:pStyle w:val="14"/>
            </w:pPr>
          </w:p>
        </w:tc>
        <w:tc>
          <w:tcPr>
            <w:tcW w:w="0" w:type="auto"/>
            <w:vAlign w:val="center"/>
          </w:tcPr>
          <w:p w14:paraId="3E480967">
            <w:pPr>
              <w:pStyle w:val="14"/>
            </w:pPr>
          </w:p>
        </w:tc>
        <w:tc>
          <w:tcPr>
            <w:tcW w:w="0" w:type="auto"/>
            <w:vAlign w:val="center"/>
          </w:tcPr>
          <w:p w14:paraId="4A099AA5">
            <w:pPr>
              <w:pStyle w:val="14"/>
            </w:pPr>
          </w:p>
        </w:tc>
        <w:tc>
          <w:tcPr>
            <w:tcW w:w="0" w:type="auto"/>
            <w:vAlign w:val="center"/>
          </w:tcPr>
          <w:p w14:paraId="6A785E97">
            <w:pPr>
              <w:pStyle w:val="14"/>
            </w:pPr>
          </w:p>
        </w:tc>
        <w:tc>
          <w:tcPr>
            <w:tcW w:w="0" w:type="auto"/>
            <w:vAlign w:val="center"/>
          </w:tcPr>
          <w:p w14:paraId="04A2CD7A">
            <w:pPr>
              <w:pStyle w:val="14"/>
            </w:pPr>
          </w:p>
        </w:tc>
      </w:tr>
      <w:tr w14:paraId="0E8AB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42C8DA94">
            <w:pPr>
              <w:pStyle w:val="12"/>
            </w:pPr>
            <w:r>
              <w:t>5</w:t>
            </w:r>
          </w:p>
        </w:tc>
        <w:tc>
          <w:tcPr>
            <w:tcW w:w="0" w:type="auto"/>
            <w:vAlign w:val="center"/>
          </w:tcPr>
          <w:p w14:paraId="1D70009E">
            <w:pPr>
              <w:pStyle w:val="13"/>
            </w:pPr>
            <w:r>
              <w:t>208</w:t>
            </w:r>
          </w:p>
        </w:tc>
        <w:tc>
          <w:tcPr>
            <w:tcW w:w="0" w:type="auto"/>
            <w:vAlign w:val="center"/>
          </w:tcPr>
          <w:p w14:paraId="3910EB4C">
            <w:pPr>
              <w:pStyle w:val="13"/>
            </w:pPr>
            <w:r>
              <w:t>社会保障和就业支出</w:t>
            </w:r>
          </w:p>
        </w:tc>
        <w:tc>
          <w:tcPr>
            <w:tcW w:w="0" w:type="auto"/>
            <w:vAlign w:val="center"/>
          </w:tcPr>
          <w:p w14:paraId="16C3EC76">
            <w:pPr>
              <w:pStyle w:val="14"/>
            </w:pPr>
            <w:r>
              <w:t>11.06</w:t>
            </w:r>
          </w:p>
        </w:tc>
        <w:tc>
          <w:tcPr>
            <w:tcW w:w="0" w:type="auto"/>
            <w:vAlign w:val="center"/>
          </w:tcPr>
          <w:p w14:paraId="491B171C">
            <w:pPr>
              <w:pStyle w:val="14"/>
            </w:pPr>
            <w:r>
              <w:t>11.06</w:t>
            </w:r>
          </w:p>
        </w:tc>
        <w:tc>
          <w:tcPr>
            <w:tcW w:w="0" w:type="auto"/>
            <w:vAlign w:val="center"/>
          </w:tcPr>
          <w:p w14:paraId="5A1F2384">
            <w:pPr>
              <w:pStyle w:val="14"/>
            </w:pPr>
            <w:r>
              <w:t>11.06</w:t>
            </w:r>
          </w:p>
        </w:tc>
        <w:tc>
          <w:tcPr>
            <w:tcW w:w="0" w:type="auto"/>
            <w:vAlign w:val="center"/>
          </w:tcPr>
          <w:p w14:paraId="47C8A272">
            <w:pPr>
              <w:pStyle w:val="14"/>
            </w:pPr>
          </w:p>
        </w:tc>
        <w:tc>
          <w:tcPr>
            <w:tcW w:w="0" w:type="auto"/>
            <w:vAlign w:val="center"/>
          </w:tcPr>
          <w:p w14:paraId="2512A210">
            <w:pPr>
              <w:pStyle w:val="14"/>
            </w:pPr>
          </w:p>
        </w:tc>
        <w:tc>
          <w:tcPr>
            <w:tcW w:w="0" w:type="auto"/>
            <w:vAlign w:val="center"/>
          </w:tcPr>
          <w:p w14:paraId="2E882ECA">
            <w:pPr>
              <w:pStyle w:val="14"/>
            </w:pPr>
          </w:p>
        </w:tc>
        <w:tc>
          <w:tcPr>
            <w:tcW w:w="0" w:type="auto"/>
            <w:vAlign w:val="center"/>
          </w:tcPr>
          <w:p w14:paraId="0FC5540D">
            <w:pPr>
              <w:pStyle w:val="14"/>
            </w:pPr>
          </w:p>
        </w:tc>
        <w:tc>
          <w:tcPr>
            <w:tcW w:w="0" w:type="auto"/>
            <w:vAlign w:val="center"/>
          </w:tcPr>
          <w:p w14:paraId="0A819017">
            <w:pPr>
              <w:pStyle w:val="14"/>
            </w:pPr>
          </w:p>
        </w:tc>
        <w:tc>
          <w:tcPr>
            <w:tcW w:w="0" w:type="auto"/>
            <w:vAlign w:val="center"/>
          </w:tcPr>
          <w:p w14:paraId="724BCB09">
            <w:pPr>
              <w:pStyle w:val="14"/>
            </w:pPr>
          </w:p>
        </w:tc>
        <w:tc>
          <w:tcPr>
            <w:tcW w:w="0" w:type="auto"/>
            <w:vAlign w:val="center"/>
          </w:tcPr>
          <w:p w14:paraId="042FB297">
            <w:pPr>
              <w:pStyle w:val="14"/>
            </w:pPr>
          </w:p>
        </w:tc>
      </w:tr>
      <w:tr w14:paraId="36F28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2A96C34E">
            <w:pPr>
              <w:pStyle w:val="12"/>
            </w:pPr>
            <w:r>
              <w:t>6</w:t>
            </w:r>
          </w:p>
        </w:tc>
        <w:tc>
          <w:tcPr>
            <w:tcW w:w="0" w:type="auto"/>
            <w:vAlign w:val="center"/>
          </w:tcPr>
          <w:p w14:paraId="10FC353E">
            <w:pPr>
              <w:pStyle w:val="13"/>
            </w:pPr>
            <w:r>
              <w:t>20805</w:t>
            </w:r>
          </w:p>
        </w:tc>
        <w:tc>
          <w:tcPr>
            <w:tcW w:w="0" w:type="auto"/>
            <w:vAlign w:val="center"/>
          </w:tcPr>
          <w:p w14:paraId="4FE71D73">
            <w:pPr>
              <w:pStyle w:val="13"/>
            </w:pPr>
            <w:r>
              <w:t>行政事业单位养老支出</w:t>
            </w:r>
          </w:p>
        </w:tc>
        <w:tc>
          <w:tcPr>
            <w:tcW w:w="0" w:type="auto"/>
            <w:vAlign w:val="center"/>
          </w:tcPr>
          <w:p w14:paraId="759A7324">
            <w:pPr>
              <w:pStyle w:val="14"/>
            </w:pPr>
            <w:r>
              <w:t>11.06</w:t>
            </w:r>
          </w:p>
        </w:tc>
        <w:tc>
          <w:tcPr>
            <w:tcW w:w="0" w:type="auto"/>
            <w:vAlign w:val="center"/>
          </w:tcPr>
          <w:p w14:paraId="1E12E411">
            <w:pPr>
              <w:pStyle w:val="14"/>
            </w:pPr>
            <w:r>
              <w:t>11.06</w:t>
            </w:r>
          </w:p>
        </w:tc>
        <w:tc>
          <w:tcPr>
            <w:tcW w:w="0" w:type="auto"/>
            <w:vAlign w:val="center"/>
          </w:tcPr>
          <w:p w14:paraId="496882B0">
            <w:pPr>
              <w:pStyle w:val="14"/>
            </w:pPr>
            <w:r>
              <w:t>11.06</w:t>
            </w:r>
          </w:p>
        </w:tc>
        <w:tc>
          <w:tcPr>
            <w:tcW w:w="0" w:type="auto"/>
            <w:vAlign w:val="center"/>
          </w:tcPr>
          <w:p w14:paraId="1A88DC8C">
            <w:pPr>
              <w:pStyle w:val="14"/>
            </w:pPr>
          </w:p>
        </w:tc>
        <w:tc>
          <w:tcPr>
            <w:tcW w:w="0" w:type="auto"/>
            <w:vAlign w:val="center"/>
          </w:tcPr>
          <w:p w14:paraId="46907B4F">
            <w:pPr>
              <w:pStyle w:val="14"/>
            </w:pPr>
          </w:p>
        </w:tc>
        <w:tc>
          <w:tcPr>
            <w:tcW w:w="0" w:type="auto"/>
            <w:vAlign w:val="center"/>
          </w:tcPr>
          <w:p w14:paraId="20E257B6">
            <w:pPr>
              <w:pStyle w:val="14"/>
            </w:pPr>
          </w:p>
        </w:tc>
        <w:tc>
          <w:tcPr>
            <w:tcW w:w="0" w:type="auto"/>
            <w:vAlign w:val="center"/>
          </w:tcPr>
          <w:p w14:paraId="1965C018">
            <w:pPr>
              <w:pStyle w:val="14"/>
            </w:pPr>
          </w:p>
        </w:tc>
        <w:tc>
          <w:tcPr>
            <w:tcW w:w="0" w:type="auto"/>
            <w:vAlign w:val="center"/>
          </w:tcPr>
          <w:p w14:paraId="3CD46BF3">
            <w:pPr>
              <w:pStyle w:val="14"/>
            </w:pPr>
          </w:p>
        </w:tc>
        <w:tc>
          <w:tcPr>
            <w:tcW w:w="0" w:type="auto"/>
            <w:vAlign w:val="center"/>
          </w:tcPr>
          <w:p w14:paraId="588B9F45">
            <w:pPr>
              <w:pStyle w:val="14"/>
            </w:pPr>
          </w:p>
        </w:tc>
        <w:tc>
          <w:tcPr>
            <w:tcW w:w="0" w:type="auto"/>
            <w:vAlign w:val="center"/>
          </w:tcPr>
          <w:p w14:paraId="5AB0B65F">
            <w:pPr>
              <w:pStyle w:val="14"/>
            </w:pPr>
          </w:p>
        </w:tc>
      </w:tr>
      <w:tr w14:paraId="56004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05AF6D96">
            <w:pPr>
              <w:pStyle w:val="12"/>
            </w:pPr>
            <w:r>
              <w:t>7</w:t>
            </w:r>
          </w:p>
        </w:tc>
        <w:tc>
          <w:tcPr>
            <w:tcW w:w="0" w:type="auto"/>
            <w:vAlign w:val="center"/>
          </w:tcPr>
          <w:p w14:paraId="36410E94">
            <w:pPr>
              <w:pStyle w:val="13"/>
            </w:pPr>
            <w:r>
              <w:t>2080505</w:t>
            </w:r>
          </w:p>
        </w:tc>
        <w:tc>
          <w:tcPr>
            <w:tcW w:w="0" w:type="auto"/>
            <w:vAlign w:val="center"/>
          </w:tcPr>
          <w:p w14:paraId="155B3E29">
            <w:pPr>
              <w:pStyle w:val="13"/>
            </w:pPr>
            <w:r>
              <w:t>机关事业单位基本养老保险缴费支出</w:t>
            </w:r>
          </w:p>
        </w:tc>
        <w:tc>
          <w:tcPr>
            <w:tcW w:w="0" w:type="auto"/>
            <w:vAlign w:val="center"/>
          </w:tcPr>
          <w:p w14:paraId="3D851BCB">
            <w:pPr>
              <w:pStyle w:val="14"/>
            </w:pPr>
            <w:r>
              <w:t>11.06</w:t>
            </w:r>
          </w:p>
        </w:tc>
        <w:tc>
          <w:tcPr>
            <w:tcW w:w="0" w:type="auto"/>
            <w:vAlign w:val="center"/>
          </w:tcPr>
          <w:p w14:paraId="0C1F49A0">
            <w:pPr>
              <w:pStyle w:val="14"/>
            </w:pPr>
            <w:r>
              <w:t>11.06</w:t>
            </w:r>
          </w:p>
        </w:tc>
        <w:tc>
          <w:tcPr>
            <w:tcW w:w="0" w:type="auto"/>
            <w:vAlign w:val="center"/>
          </w:tcPr>
          <w:p w14:paraId="40A327ED">
            <w:pPr>
              <w:pStyle w:val="14"/>
            </w:pPr>
            <w:r>
              <w:t>11.06</w:t>
            </w:r>
          </w:p>
        </w:tc>
        <w:tc>
          <w:tcPr>
            <w:tcW w:w="0" w:type="auto"/>
            <w:vAlign w:val="center"/>
          </w:tcPr>
          <w:p w14:paraId="7EE51B9D">
            <w:pPr>
              <w:pStyle w:val="14"/>
            </w:pPr>
          </w:p>
        </w:tc>
        <w:tc>
          <w:tcPr>
            <w:tcW w:w="0" w:type="auto"/>
            <w:vAlign w:val="center"/>
          </w:tcPr>
          <w:p w14:paraId="57737D17">
            <w:pPr>
              <w:pStyle w:val="14"/>
            </w:pPr>
          </w:p>
        </w:tc>
        <w:tc>
          <w:tcPr>
            <w:tcW w:w="0" w:type="auto"/>
            <w:vAlign w:val="center"/>
          </w:tcPr>
          <w:p w14:paraId="02472E24">
            <w:pPr>
              <w:pStyle w:val="14"/>
            </w:pPr>
          </w:p>
        </w:tc>
        <w:tc>
          <w:tcPr>
            <w:tcW w:w="0" w:type="auto"/>
            <w:vAlign w:val="center"/>
          </w:tcPr>
          <w:p w14:paraId="0DA7515C">
            <w:pPr>
              <w:pStyle w:val="14"/>
            </w:pPr>
          </w:p>
        </w:tc>
        <w:tc>
          <w:tcPr>
            <w:tcW w:w="0" w:type="auto"/>
            <w:vAlign w:val="center"/>
          </w:tcPr>
          <w:p w14:paraId="07C6611D">
            <w:pPr>
              <w:pStyle w:val="14"/>
            </w:pPr>
          </w:p>
        </w:tc>
        <w:tc>
          <w:tcPr>
            <w:tcW w:w="0" w:type="auto"/>
            <w:vAlign w:val="center"/>
          </w:tcPr>
          <w:p w14:paraId="6F92F0CF">
            <w:pPr>
              <w:pStyle w:val="14"/>
            </w:pPr>
          </w:p>
        </w:tc>
        <w:tc>
          <w:tcPr>
            <w:tcW w:w="0" w:type="auto"/>
            <w:vAlign w:val="center"/>
          </w:tcPr>
          <w:p w14:paraId="273E0812">
            <w:pPr>
              <w:pStyle w:val="14"/>
            </w:pPr>
          </w:p>
        </w:tc>
      </w:tr>
      <w:tr w14:paraId="3292F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05DE97B2">
            <w:pPr>
              <w:pStyle w:val="12"/>
            </w:pPr>
            <w:r>
              <w:t>8</w:t>
            </w:r>
          </w:p>
        </w:tc>
        <w:tc>
          <w:tcPr>
            <w:tcW w:w="0" w:type="auto"/>
            <w:vAlign w:val="center"/>
          </w:tcPr>
          <w:p w14:paraId="02FDE70C">
            <w:pPr>
              <w:pStyle w:val="13"/>
            </w:pPr>
            <w:r>
              <w:t>210</w:t>
            </w:r>
          </w:p>
        </w:tc>
        <w:tc>
          <w:tcPr>
            <w:tcW w:w="0" w:type="auto"/>
            <w:vAlign w:val="center"/>
          </w:tcPr>
          <w:p w14:paraId="7B6B78BE">
            <w:pPr>
              <w:pStyle w:val="13"/>
            </w:pPr>
            <w:r>
              <w:t>卫生健康支出</w:t>
            </w:r>
          </w:p>
        </w:tc>
        <w:tc>
          <w:tcPr>
            <w:tcW w:w="0" w:type="auto"/>
            <w:vAlign w:val="center"/>
          </w:tcPr>
          <w:p w14:paraId="529EC2BB">
            <w:pPr>
              <w:pStyle w:val="14"/>
            </w:pPr>
            <w:r>
              <w:t>4.99</w:t>
            </w:r>
          </w:p>
        </w:tc>
        <w:tc>
          <w:tcPr>
            <w:tcW w:w="0" w:type="auto"/>
            <w:vAlign w:val="center"/>
          </w:tcPr>
          <w:p w14:paraId="21A52E1F">
            <w:pPr>
              <w:pStyle w:val="14"/>
            </w:pPr>
            <w:r>
              <w:t>4.99</w:t>
            </w:r>
          </w:p>
        </w:tc>
        <w:tc>
          <w:tcPr>
            <w:tcW w:w="0" w:type="auto"/>
            <w:vAlign w:val="center"/>
          </w:tcPr>
          <w:p w14:paraId="3E36281E">
            <w:pPr>
              <w:pStyle w:val="14"/>
            </w:pPr>
            <w:r>
              <w:t>4.99</w:t>
            </w:r>
          </w:p>
        </w:tc>
        <w:tc>
          <w:tcPr>
            <w:tcW w:w="0" w:type="auto"/>
            <w:vAlign w:val="center"/>
          </w:tcPr>
          <w:p w14:paraId="397D6066">
            <w:pPr>
              <w:pStyle w:val="14"/>
            </w:pPr>
          </w:p>
        </w:tc>
        <w:tc>
          <w:tcPr>
            <w:tcW w:w="0" w:type="auto"/>
            <w:vAlign w:val="center"/>
          </w:tcPr>
          <w:p w14:paraId="67A1F9CC">
            <w:pPr>
              <w:pStyle w:val="14"/>
            </w:pPr>
          </w:p>
        </w:tc>
        <w:tc>
          <w:tcPr>
            <w:tcW w:w="0" w:type="auto"/>
            <w:vAlign w:val="center"/>
          </w:tcPr>
          <w:p w14:paraId="2259A27D">
            <w:pPr>
              <w:pStyle w:val="14"/>
            </w:pPr>
          </w:p>
        </w:tc>
        <w:tc>
          <w:tcPr>
            <w:tcW w:w="0" w:type="auto"/>
            <w:vAlign w:val="center"/>
          </w:tcPr>
          <w:p w14:paraId="35DBE8FD">
            <w:pPr>
              <w:pStyle w:val="14"/>
            </w:pPr>
          </w:p>
        </w:tc>
        <w:tc>
          <w:tcPr>
            <w:tcW w:w="0" w:type="auto"/>
            <w:vAlign w:val="center"/>
          </w:tcPr>
          <w:p w14:paraId="3F1F53AA">
            <w:pPr>
              <w:pStyle w:val="14"/>
            </w:pPr>
          </w:p>
        </w:tc>
        <w:tc>
          <w:tcPr>
            <w:tcW w:w="0" w:type="auto"/>
            <w:vAlign w:val="center"/>
          </w:tcPr>
          <w:p w14:paraId="3DADEC1B">
            <w:pPr>
              <w:pStyle w:val="14"/>
            </w:pPr>
          </w:p>
        </w:tc>
        <w:tc>
          <w:tcPr>
            <w:tcW w:w="0" w:type="auto"/>
            <w:vAlign w:val="center"/>
          </w:tcPr>
          <w:p w14:paraId="1CF7D280">
            <w:pPr>
              <w:pStyle w:val="14"/>
            </w:pPr>
          </w:p>
        </w:tc>
      </w:tr>
      <w:tr w14:paraId="50FEA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09CA5983">
            <w:pPr>
              <w:pStyle w:val="12"/>
            </w:pPr>
            <w:r>
              <w:t>9</w:t>
            </w:r>
          </w:p>
        </w:tc>
        <w:tc>
          <w:tcPr>
            <w:tcW w:w="0" w:type="auto"/>
            <w:vAlign w:val="center"/>
          </w:tcPr>
          <w:p w14:paraId="0C62C6E9">
            <w:pPr>
              <w:pStyle w:val="13"/>
            </w:pPr>
            <w:r>
              <w:t>21011</w:t>
            </w:r>
          </w:p>
        </w:tc>
        <w:tc>
          <w:tcPr>
            <w:tcW w:w="0" w:type="auto"/>
            <w:vAlign w:val="center"/>
          </w:tcPr>
          <w:p w14:paraId="1627907F">
            <w:pPr>
              <w:pStyle w:val="13"/>
            </w:pPr>
            <w:r>
              <w:t>行政事业单位医疗</w:t>
            </w:r>
          </w:p>
        </w:tc>
        <w:tc>
          <w:tcPr>
            <w:tcW w:w="0" w:type="auto"/>
            <w:vAlign w:val="center"/>
          </w:tcPr>
          <w:p w14:paraId="2F86AB64">
            <w:pPr>
              <w:pStyle w:val="14"/>
            </w:pPr>
            <w:r>
              <w:t>4.99</w:t>
            </w:r>
          </w:p>
        </w:tc>
        <w:tc>
          <w:tcPr>
            <w:tcW w:w="0" w:type="auto"/>
            <w:vAlign w:val="center"/>
          </w:tcPr>
          <w:p w14:paraId="00BD161A">
            <w:pPr>
              <w:pStyle w:val="14"/>
            </w:pPr>
            <w:r>
              <w:t>4.99</w:t>
            </w:r>
          </w:p>
        </w:tc>
        <w:tc>
          <w:tcPr>
            <w:tcW w:w="0" w:type="auto"/>
            <w:vAlign w:val="center"/>
          </w:tcPr>
          <w:p w14:paraId="6095BC8F">
            <w:pPr>
              <w:pStyle w:val="14"/>
            </w:pPr>
            <w:r>
              <w:t>4.99</w:t>
            </w:r>
          </w:p>
        </w:tc>
        <w:tc>
          <w:tcPr>
            <w:tcW w:w="0" w:type="auto"/>
            <w:vAlign w:val="center"/>
          </w:tcPr>
          <w:p w14:paraId="7C167914">
            <w:pPr>
              <w:pStyle w:val="14"/>
            </w:pPr>
          </w:p>
        </w:tc>
        <w:tc>
          <w:tcPr>
            <w:tcW w:w="0" w:type="auto"/>
            <w:vAlign w:val="center"/>
          </w:tcPr>
          <w:p w14:paraId="7E1F420A">
            <w:pPr>
              <w:pStyle w:val="14"/>
            </w:pPr>
          </w:p>
        </w:tc>
        <w:tc>
          <w:tcPr>
            <w:tcW w:w="0" w:type="auto"/>
            <w:vAlign w:val="center"/>
          </w:tcPr>
          <w:p w14:paraId="65CBEF10">
            <w:pPr>
              <w:pStyle w:val="14"/>
            </w:pPr>
          </w:p>
        </w:tc>
        <w:tc>
          <w:tcPr>
            <w:tcW w:w="0" w:type="auto"/>
            <w:vAlign w:val="center"/>
          </w:tcPr>
          <w:p w14:paraId="394D7608">
            <w:pPr>
              <w:pStyle w:val="14"/>
            </w:pPr>
          </w:p>
        </w:tc>
        <w:tc>
          <w:tcPr>
            <w:tcW w:w="0" w:type="auto"/>
            <w:vAlign w:val="center"/>
          </w:tcPr>
          <w:p w14:paraId="2A620F84">
            <w:pPr>
              <w:pStyle w:val="14"/>
            </w:pPr>
          </w:p>
        </w:tc>
        <w:tc>
          <w:tcPr>
            <w:tcW w:w="0" w:type="auto"/>
            <w:vAlign w:val="center"/>
          </w:tcPr>
          <w:p w14:paraId="1EC58F2A">
            <w:pPr>
              <w:pStyle w:val="14"/>
            </w:pPr>
          </w:p>
        </w:tc>
        <w:tc>
          <w:tcPr>
            <w:tcW w:w="0" w:type="auto"/>
            <w:vAlign w:val="center"/>
          </w:tcPr>
          <w:p w14:paraId="14E48275">
            <w:pPr>
              <w:pStyle w:val="14"/>
            </w:pPr>
          </w:p>
        </w:tc>
      </w:tr>
      <w:tr w14:paraId="39B1A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12BF3321">
            <w:pPr>
              <w:pStyle w:val="12"/>
            </w:pPr>
            <w:r>
              <w:t>10</w:t>
            </w:r>
          </w:p>
        </w:tc>
        <w:tc>
          <w:tcPr>
            <w:tcW w:w="0" w:type="auto"/>
            <w:vAlign w:val="center"/>
          </w:tcPr>
          <w:p w14:paraId="2CFCE54A">
            <w:pPr>
              <w:pStyle w:val="13"/>
            </w:pPr>
            <w:r>
              <w:t>2101102</w:t>
            </w:r>
          </w:p>
        </w:tc>
        <w:tc>
          <w:tcPr>
            <w:tcW w:w="0" w:type="auto"/>
            <w:vAlign w:val="center"/>
          </w:tcPr>
          <w:p w14:paraId="783D9444">
            <w:pPr>
              <w:pStyle w:val="13"/>
            </w:pPr>
            <w:r>
              <w:t>事业单位医疗</w:t>
            </w:r>
          </w:p>
        </w:tc>
        <w:tc>
          <w:tcPr>
            <w:tcW w:w="0" w:type="auto"/>
            <w:vAlign w:val="center"/>
          </w:tcPr>
          <w:p w14:paraId="427FA2F6">
            <w:pPr>
              <w:pStyle w:val="14"/>
            </w:pPr>
            <w:r>
              <w:t>4.99</w:t>
            </w:r>
          </w:p>
        </w:tc>
        <w:tc>
          <w:tcPr>
            <w:tcW w:w="0" w:type="auto"/>
            <w:vAlign w:val="center"/>
          </w:tcPr>
          <w:p w14:paraId="07DCB6C1">
            <w:pPr>
              <w:pStyle w:val="14"/>
            </w:pPr>
            <w:r>
              <w:t>4.99</w:t>
            </w:r>
          </w:p>
        </w:tc>
        <w:tc>
          <w:tcPr>
            <w:tcW w:w="0" w:type="auto"/>
            <w:vAlign w:val="center"/>
          </w:tcPr>
          <w:p w14:paraId="093F061E">
            <w:pPr>
              <w:pStyle w:val="14"/>
            </w:pPr>
            <w:r>
              <w:t>4.99</w:t>
            </w:r>
          </w:p>
        </w:tc>
        <w:tc>
          <w:tcPr>
            <w:tcW w:w="0" w:type="auto"/>
            <w:vAlign w:val="center"/>
          </w:tcPr>
          <w:p w14:paraId="2E0AFEDB">
            <w:pPr>
              <w:pStyle w:val="14"/>
            </w:pPr>
          </w:p>
        </w:tc>
        <w:tc>
          <w:tcPr>
            <w:tcW w:w="0" w:type="auto"/>
            <w:vAlign w:val="center"/>
          </w:tcPr>
          <w:p w14:paraId="12737882">
            <w:pPr>
              <w:pStyle w:val="14"/>
            </w:pPr>
          </w:p>
        </w:tc>
        <w:tc>
          <w:tcPr>
            <w:tcW w:w="0" w:type="auto"/>
            <w:vAlign w:val="center"/>
          </w:tcPr>
          <w:p w14:paraId="0F987EA8">
            <w:pPr>
              <w:pStyle w:val="14"/>
            </w:pPr>
          </w:p>
        </w:tc>
        <w:tc>
          <w:tcPr>
            <w:tcW w:w="0" w:type="auto"/>
            <w:vAlign w:val="center"/>
          </w:tcPr>
          <w:p w14:paraId="00BC9213">
            <w:pPr>
              <w:pStyle w:val="14"/>
            </w:pPr>
          </w:p>
        </w:tc>
        <w:tc>
          <w:tcPr>
            <w:tcW w:w="0" w:type="auto"/>
            <w:vAlign w:val="center"/>
          </w:tcPr>
          <w:p w14:paraId="568B21FE">
            <w:pPr>
              <w:pStyle w:val="14"/>
            </w:pPr>
          </w:p>
        </w:tc>
        <w:tc>
          <w:tcPr>
            <w:tcW w:w="0" w:type="auto"/>
            <w:vAlign w:val="center"/>
          </w:tcPr>
          <w:p w14:paraId="3B5EDD4B">
            <w:pPr>
              <w:pStyle w:val="14"/>
            </w:pPr>
          </w:p>
        </w:tc>
        <w:tc>
          <w:tcPr>
            <w:tcW w:w="0" w:type="auto"/>
            <w:vAlign w:val="center"/>
          </w:tcPr>
          <w:p w14:paraId="230D17AC">
            <w:pPr>
              <w:pStyle w:val="14"/>
            </w:pPr>
          </w:p>
        </w:tc>
      </w:tr>
      <w:tr w14:paraId="4E846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52C82FE2">
            <w:pPr>
              <w:pStyle w:val="12"/>
            </w:pPr>
            <w:r>
              <w:t>11</w:t>
            </w:r>
          </w:p>
        </w:tc>
        <w:tc>
          <w:tcPr>
            <w:tcW w:w="0" w:type="auto"/>
            <w:vAlign w:val="center"/>
          </w:tcPr>
          <w:p w14:paraId="4629C8BF">
            <w:pPr>
              <w:pStyle w:val="13"/>
            </w:pPr>
            <w:r>
              <w:t>221</w:t>
            </w:r>
          </w:p>
        </w:tc>
        <w:tc>
          <w:tcPr>
            <w:tcW w:w="0" w:type="auto"/>
            <w:vAlign w:val="center"/>
          </w:tcPr>
          <w:p w14:paraId="7A92E7E0">
            <w:pPr>
              <w:pStyle w:val="13"/>
            </w:pPr>
            <w:r>
              <w:t>住房保障支出</w:t>
            </w:r>
          </w:p>
        </w:tc>
        <w:tc>
          <w:tcPr>
            <w:tcW w:w="0" w:type="auto"/>
            <w:vAlign w:val="center"/>
          </w:tcPr>
          <w:p w14:paraId="78FFB170">
            <w:pPr>
              <w:pStyle w:val="14"/>
            </w:pPr>
            <w:r>
              <w:t>8.61</w:t>
            </w:r>
          </w:p>
        </w:tc>
        <w:tc>
          <w:tcPr>
            <w:tcW w:w="0" w:type="auto"/>
            <w:vAlign w:val="center"/>
          </w:tcPr>
          <w:p w14:paraId="4AAFE071">
            <w:pPr>
              <w:pStyle w:val="14"/>
            </w:pPr>
            <w:r>
              <w:t>8.61</w:t>
            </w:r>
          </w:p>
        </w:tc>
        <w:tc>
          <w:tcPr>
            <w:tcW w:w="0" w:type="auto"/>
            <w:vAlign w:val="center"/>
          </w:tcPr>
          <w:p w14:paraId="42CCBCB4">
            <w:pPr>
              <w:pStyle w:val="14"/>
            </w:pPr>
            <w:r>
              <w:t>8.61</w:t>
            </w:r>
          </w:p>
        </w:tc>
        <w:tc>
          <w:tcPr>
            <w:tcW w:w="0" w:type="auto"/>
            <w:vAlign w:val="center"/>
          </w:tcPr>
          <w:p w14:paraId="45B5AEAE">
            <w:pPr>
              <w:pStyle w:val="14"/>
            </w:pPr>
          </w:p>
        </w:tc>
        <w:tc>
          <w:tcPr>
            <w:tcW w:w="0" w:type="auto"/>
            <w:vAlign w:val="center"/>
          </w:tcPr>
          <w:p w14:paraId="03DF53F0">
            <w:pPr>
              <w:pStyle w:val="14"/>
            </w:pPr>
          </w:p>
        </w:tc>
        <w:tc>
          <w:tcPr>
            <w:tcW w:w="0" w:type="auto"/>
            <w:vAlign w:val="center"/>
          </w:tcPr>
          <w:p w14:paraId="542C275C">
            <w:pPr>
              <w:pStyle w:val="14"/>
            </w:pPr>
          </w:p>
        </w:tc>
        <w:tc>
          <w:tcPr>
            <w:tcW w:w="0" w:type="auto"/>
            <w:vAlign w:val="center"/>
          </w:tcPr>
          <w:p w14:paraId="1A0D53E3">
            <w:pPr>
              <w:pStyle w:val="14"/>
            </w:pPr>
          </w:p>
        </w:tc>
        <w:tc>
          <w:tcPr>
            <w:tcW w:w="0" w:type="auto"/>
            <w:vAlign w:val="center"/>
          </w:tcPr>
          <w:p w14:paraId="1B380633">
            <w:pPr>
              <w:pStyle w:val="14"/>
            </w:pPr>
          </w:p>
        </w:tc>
        <w:tc>
          <w:tcPr>
            <w:tcW w:w="0" w:type="auto"/>
            <w:vAlign w:val="center"/>
          </w:tcPr>
          <w:p w14:paraId="50D10232">
            <w:pPr>
              <w:pStyle w:val="14"/>
            </w:pPr>
          </w:p>
        </w:tc>
        <w:tc>
          <w:tcPr>
            <w:tcW w:w="0" w:type="auto"/>
            <w:vAlign w:val="center"/>
          </w:tcPr>
          <w:p w14:paraId="282C4531">
            <w:pPr>
              <w:pStyle w:val="14"/>
            </w:pPr>
          </w:p>
        </w:tc>
      </w:tr>
      <w:tr w14:paraId="3CEB0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35B8443A">
            <w:pPr>
              <w:pStyle w:val="12"/>
            </w:pPr>
            <w:r>
              <w:t>12</w:t>
            </w:r>
          </w:p>
        </w:tc>
        <w:tc>
          <w:tcPr>
            <w:tcW w:w="0" w:type="auto"/>
            <w:vAlign w:val="center"/>
          </w:tcPr>
          <w:p w14:paraId="519FF6DB">
            <w:pPr>
              <w:pStyle w:val="13"/>
            </w:pPr>
            <w:r>
              <w:t>22102</w:t>
            </w:r>
          </w:p>
        </w:tc>
        <w:tc>
          <w:tcPr>
            <w:tcW w:w="0" w:type="auto"/>
            <w:vAlign w:val="center"/>
          </w:tcPr>
          <w:p w14:paraId="5646FE7E">
            <w:pPr>
              <w:pStyle w:val="13"/>
            </w:pPr>
            <w:r>
              <w:t>住房改革支出</w:t>
            </w:r>
          </w:p>
        </w:tc>
        <w:tc>
          <w:tcPr>
            <w:tcW w:w="0" w:type="auto"/>
            <w:vAlign w:val="center"/>
          </w:tcPr>
          <w:p w14:paraId="46C070B7">
            <w:pPr>
              <w:pStyle w:val="14"/>
            </w:pPr>
            <w:r>
              <w:t>8.61</w:t>
            </w:r>
          </w:p>
        </w:tc>
        <w:tc>
          <w:tcPr>
            <w:tcW w:w="0" w:type="auto"/>
            <w:vAlign w:val="center"/>
          </w:tcPr>
          <w:p w14:paraId="4F977203">
            <w:pPr>
              <w:pStyle w:val="14"/>
            </w:pPr>
            <w:r>
              <w:t>8.61</w:t>
            </w:r>
          </w:p>
        </w:tc>
        <w:tc>
          <w:tcPr>
            <w:tcW w:w="0" w:type="auto"/>
            <w:vAlign w:val="center"/>
          </w:tcPr>
          <w:p w14:paraId="779C0615">
            <w:pPr>
              <w:pStyle w:val="14"/>
            </w:pPr>
            <w:r>
              <w:t>8.61</w:t>
            </w:r>
          </w:p>
        </w:tc>
        <w:tc>
          <w:tcPr>
            <w:tcW w:w="0" w:type="auto"/>
            <w:vAlign w:val="center"/>
          </w:tcPr>
          <w:p w14:paraId="6ACB5F9E">
            <w:pPr>
              <w:pStyle w:val="14"/>
            </w:pPr>
          </w:p>
        </w:tc>
        <w:tc>
          <w:tcPr>
            <w:tcW w:w="0" w:type="auto"/>
            <w:vAlign w:val="center"/>
          </w:tcPr>
          <w:p w14:paraId="24070C01">
            <w:pPr>
              <w:pStyle w:val="14"/>
            </w:pPr>
          </w:p>
        </w:tc>
        <w:tc>
          <w:tcPr>
            <w:tcW w:w="0" w:type="auto"/>
            <w:vAlign w:val="center"/>
          </w:tcPr>
          <w:p w14:paraId="25B6EFC0">
            <w:pPr>
              <w:pStyle w:val="14"/>
            </w:pPr>
          </w:p>
        </w:tc>
        <w:tc>
          <w:tcPr>
            <w:tcW w:w="0" w:type="auto"/>
            <w:vAlign w:val="center"/>
          </w:tcPr>
          <w:p w14:paraId="6D2E284E">
            <w:pPr>
              <w:pStyle w:val="14"/>
            </w:pPr>
          </w:p>
        </w:tc>
        <w:tc>
          <w:tcPr>
            <w:tcW w:w="0" w:type="auto"/>
            <w:vAlign w:val="center"/>
          </w:tcPr>
          <w:p w14:paraId="1173B74B">
            <w:pPr>
              <w:pStyle w:val="14"/>
            </w:pPr>
          </w:p>
        </w:tc>
        <w:tc>
          <w:tcPr>
            <w:tcW w:w="0" w:type="auto"/>
            <w:vAlign w:val="center"/>
          </w:tcPr>
          <w:p w14:paraId="411E1525">
            <w:pPr>
              <w:pStyle w:val="14"/>
            </w:pPr>
          </w:p>
        </w:tc>
        <w:tc>
          <w:tcPr>
            <w:tcW w:w="0" w:type="auto"/>
            <w:vAlign w:val="center"/>
          </w:tcPr>
          <w:p w14:paraId="123F4C43">
            <w:pPr>
              <w:pStyle w:val="14"/>
            </w:pPr>
          </w:p>
        </w:tc>
      </w:tr>
      <w:tr w14:paraId="47D0B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79A696FE">
            <w:pPr>
              <w:pStyle w:val="12"/>
            </w:pPr>
            <w:r>
              <w:t>13</w:t>
            </w:r>
          </w:p>
        </w:tc>
        <w:tc>
          <w:tcPr>
            <w:tcW w:w="0" w:type="auto"/>
            <w:vAlign w:val="center"/>
          </w:tcPr>
          <w:p w14:paraId="74FDB06E">
            <w:pPr>
              <w:pStyle w:val="13"/>
            </w:pPr>
            <w:r>
              <w:t>2210201</w:t>
            </w:r>
          </w:p>
        </w:tc>
        <w:tc>
          <w:tcPr>
            <w:tcW w:w="0" w:type="auto"/>
            <w:vAlign w:val="center"/>
          </w:tcPr>
          <w:p w14:paraId="1E32FC01">
            <w:pPr>
              <w:pStyle w:val="13"/>
            </w:pPr>
            <w:r>
              <w:t>住房公积金</w:t>
            </w:r>
          </w:p>
        </w:tc>
        <w:tc>
          <w:tcPr>
            <w:tcW w:w="0" w:type="auto"/>
            <w:vAlign w:val="center"/>
          </w:tcPr>
          <w:p w14:paraId="66567D13">
            <w:pPr>
              <w:pStyle w:val="14"/>
            </w:pPr>
            <w:r>
              <w:t>8.61</w:t>
            </w:r>
          </w:p>
        </w:tc>
        <w:tc>
          <w:tcPr>
            <w:tcW w:w="0" w:type="auto"/>
            <w:vAlign w:val="center"/>
          </w:tcPr>
          <w:p w14:paraId="00641C35">
            <w:pPr>
              <w:pStyle w:val="14"/>
            </w:pPr>
            <w:r>
              <w:t>8.61</w:t>
            </w:r>
          </w:p>
        </w:tc>
        <w:tc>
          <w:tcPr>
            <w:tcW w:w="0" w:type="auto"/>
            <w:vAlign w:val="center"/>
          </w:tcPr>
          <w:p w14:paraId="2549D62F">
            <w:pPr>
              <w:pStyle w:val="14"/>
            </w:pPr>
            <w:r>
              <w:t>8.61</w:t>
            </w:r>
          </w:p>
        </w:tc>
        <w:tc>
          <w:tcPr>
            <w:tcW w:w="0" w:type="auto"/>
            <w:vAlign w:val="center"/>
          </w:tcPr>
          <w:p w14:paraId="7B24CAE5">
            <w:pPr>
              <w:pStyle w:val="14"/>
            </w:pPr>
          </w:p>
        </w:tc>
        <w:tc>
          <w:tcPr>
            <w:tcW w:w="0" w:type="auto"/>
            <w:vAlign w:val="center"/>
          </w:tcPr>
          <w:p w14:paraId="11497768">
            <w:pPr>
              <w:pStyle w:val="14"/>
            </w:pPr>
          </w:p>
        </w:tc>
        <w:tc>
          <w:tcPr>
            <w:tcW w:w="0" w:type="auto"/>
            <w:vAlign w:val="center"/>
          </w:tcPr>
          <w:p w14:paraId="48E8714E">
            <w:pPr>
              <w:pStyle w:val="14"/>
            </w:pPr>
          </w:p>
        </w:tc>
        <w:tc>
          <w:tcPr>
            <w:tcW w:w="0" w:type="auto"/>
            <w:vAlign w:val="center"/>
          </w:tcPr>
          <w:p w14:paraId="6AF40B49">
            <w:pPr>
              <w:pStyle w:val="14"/>
            </w:pPr>
          </w:p>
        </w:tc>
        <w:tc>
          <w:tcPr>
            <w:tcW w:w="0" w:type="auto"/>
            <w:vAlign w:val="center"/>
          </w:tcPr>
          <w:p w14:paraId="6F8E06B7">
            <w:pPr>
              <w:pStyle w:val="14"/>
            </w:pPr>
          </w:p>
        </w:tc>
        <w:tc>
          <w:tcPr>
            <w:tcW w:w="0" w:type="auto"/>
            <w:vAlign w:val="center"/>
          </w:tcPr>
          <w:p w14:paraId="5355A50D">
            <w:pPr>
              <w:pStyle w:val="14"/>
            </w:pPr>
          </w:p>
        </w:tc>
        <w:tc>
          <w:tcPr>
            <w:tcW w:w="0" w:type="auto"/>
            <w:vAlign w:val="center"/>
          </w:tcPr>
          <w:p w14:paraId="20228244">
            <w:pPr>
              <w:pStyle w:val="14"/>
            </w:pPr>
          </w:p>
        </w:tc>
      </w:tr>
    </w:tbl>
    <w:p w14:paraId="22F052DB">
      <w:pPr>
        <w:sectPr>
          <w:pgSz w:w="16840" w:h="11900" w:orient="landscape"/>
          <w:pgMar w:top="1361" w:right="1020" w:bottom="1134" w:left="1020" w:header="720" w:footer="720" w:gutter="0"/>
          <w:cols w:space="720" w:num="1"/>
        </w:sectPr>
      </w:pPr>
    </w:p>
    <w:p w14:paraId="01E718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0BF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96A435">
            <w:pPr>
              <w:pStyle w:val="8"/>
            </w:pPr>
            <w:r>
              <w:t>360036隆尧县青少年校外活动中心</w:t>
            </w:r>
          </w:p>
        </w:tc>
        <w:tc>
          <w:tcPr>
            <w:tcW w:w="2722" w:type="dxa"/>
            <w:gridSpan w:val="2"/>
            <w:tcBorders>
              <w:top w:val="single" w:color="FFFFFF" w:sz="6" w:space="0"/>
              <w:left w:val="single" w:color="FFFFFF" w:sz="6" w:space="0"/>
              <w:right w:val="single" w:color="FFFFFF" w:sz="6" w:space="0"/>
            </w:tcBorders>
            <w:vAlign w:val="center"/>
          </w:tcPr>
          <w:p w14:paraId="01705E1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470EDD6">
            <w:pPr>
              <w:pStyle w:val="10"/>
            </w:pPr>
            <w:r>
              <w:t>单位：万元</w:t>
            </w:r>
          </w:p>
        </w:tc>
      </w:tr>
      <w:tr w14:paraId="3B18B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4F460A">
            <w:pPr>
              <w:pStyle w:val="11"/>
            </w:pPr>
            <w:r>
              <w:t>序号</w:t>
            </w:r>
          </w:p>
        </w:tc>
        <w:tc>
          <w:tcPr>
            <w:tcW w:w="5527" w:type="dxa"/>
            <w:gridSpan w:val="2"/>
            <w:vAlign w:val="center"/>
          </w:tcPr>
          <w:p w14:paraId="0489D51B">
            <w:pPr>
              <w:pStyle w:val="11"/>
            </w:pPr>
            <w:r>
              <w:t>功能分类科目</w:t>
            </w:r>
          </w:p>
        </w:tc>
        <w:tc>
          <w:tcPr>
            <w:tcW w:w="1361" w:type="dxa"/>
            <w:vMerge w:val="restart"/>
            <w:vAlign w:val="center"/>
          </w:tcPr>
          <w:p w14:paraId="6BDAE0F4">
            <w:pPr>
              <w:pStyle w:val="11"/>
            </w:pPr>
            <w:r>
              <w:t>合计</w:t>
            </w:r>
          </w:p>
        </w:tc>
        <w:tc>
          <w:tcPr>
            <w:tcW w:w="1361" w:type="dxa"/>
            <w:vMerge w:val="restart"/>
            <w:vAlign w:val="center"/>
          </w:tcPr>
          <w:p w14:paraId="2686BCA4">
            <w:pPr>
              <w:pStyle w:val="11"/>
            </w:pPr>
            <w:r>
              <w:t>基本支出</w:t>
            </w:r>
          </w:p>
        </w:tc>
        <w:tc>
          <w:tcPr>
            <w:tcW w:w="1361" w:type="dxa"/>
            <w:vMerge w:val="restart"/>
            <w:vAlign w:val="center"/>
          </w:tcPr>
          <w:p w14:paraId="2FF9242F">
            <w:pPr>
              <w:pStyle w:val="11"/>
            </w:pPr>
            <w:r>
              <w:t>项目支出</w:t>
            </w:r>
          </w:p>
        </w:tc>
        <w:tc>
          <w:tcPr>
            <w:tcW w:w="1361" w:type="dxa"/>
            <w:vMerge w:val="restart"/>
            <w:vAlign w:val="center"/>
          </w:tcPr>
          <w:p w14:paraId="5E2497C9">
            <w:pPr>
              <w:pStyle w:val="11"/>
            </w:pPr>
            <w:r>
              <w:t>经营支出</w:t>
            </w:r>
          </w:p>
        </w:tc>
        <w:tc>
          <w:tcPr>
            <w:tcW w:w="1361" w:type="dxa"/>
            <w:vMerge w:val="restart"/>
            <w:vAlign w:val="center"/>
          </w:tcPr>
          <w:p w14:paraId="318AE949">
            <w:pPr>
              <w:pStyle w:val="11"/>
            </w:pPr>
            <w:r>
              <w:t>上解上级     支出</w:t>
            </w:r>
          </w:p>
        </w:tc>
        <w:tc>
          <w:tcPr>
            <w:tcW w:w="1361" w:type="dxa"/>
            <w:vMerge w:val="restart"/>
            <w:vAlign w:val="center"/>
          </w:tcPr>
          <w:p w14:paraId="1482BF87">
            <w:pPr>
              <w:pStyle w:val="11"/>
            </w:pPr>
            <w:r>
              <w:t>对附属单位补助支出</w:t>
            </w:r>
          </w:p>
        </w:tc>
      </w:tr>
      <w:tr w14:paraId="47434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AF0C3D"/>
        </w:tc>
        <w:tc>
          <w:tcPr>
            <w:tcW w:w="992" w:type="dxa"/>
            <w:vAlign w:val="center"/>
          </w:tcPr>
          <w:p w14:paraId="4F0BC9DD">
            <w:pPr>
              <w:pStyle w:val="11"/>
            </w:pPr>
            <w:r>
              <w:t>科目    编码</w:t>
            </w:r>
          </w:p>
        </w:tc>
        <w:tc>
          <w:tcPr>
            <w:tcW w:w="4535" w:type="dxa"/>
            <w:vAlign w:val="center"/>
          </w:tcPr>
          <w:p w14:paraId="50AA1A2B">
            <w:pPr>
              <w:pStyle w:val="11"/>
            </w:pPr>
            <w:r>
              <w:t>科目名称</w:t>
            </w:r>
          </w:p>
        </w:tc>
        <w:tc>
          <w:tcPr>
            <w:tcW w:w="1361" w:type="dxa"/>
            <w:vMerge w:val="continue"/>
          </w:tcPr>
          <w:p w14:paraId="59D5AFC3"/>
        </w:tc>
        <w:tc>
          <w:tcPr>
            <w:tcW w:w="1361" w:type="dxa"/>
            <w:vMerge w:val="continue"/>
          </w:tcPr>
          <w:p w14:paraId="66DC2E35"/>
        </w:tc>
        <w:tc>
          <w:tcPr>
            <w:tcW w:w="1361" w:type="dxa"/>
            <w:vMerge w:val="continue"/>
          </w:tcPr>
          <w:p w14:paraId="1DFD0C64"/>
        </w:tc>
        <w:tc>
          <w:tcPr>
            <w:tcW w:w="1361" w:type="dxa"/>
            <w:vMerge w:val="continue"/>
          </w:tcPr>
          <w:p w14:paraId="73B8A603"/>
        </w:tc>
        <w:tc>
          <w:tcPr>
            <w:tcW w:w="1361" w:type="dxa"/>
            <w:vMerge w:val="continue"/>
          </w:tcPr>
          <w:p w14:paraId="39809459"/>
        </w:tc>
        <w:tc>
          <w:tcPr>
            <w:tcW w:w="1361" w:type="dxa"/>
            <w:vMerge w:val="continue"/>
          </w:tcPr>
          <w:p w14:paraId="6B839DEF"/>
        </w:tc>
      </w:tr>
      <w:tr w14:paraId="5F0FA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51CF7A">
            <w:pPr>
              <w:pStyle w:val="11"/>
            </w:pPr>
            <w:r>
              <w:t>栏次</w:t>
            </w:r>
          </w:p>
        </w:tc>
        <w:tc>
          <w:tcPr>
            <w:tcW w:w="992" w:type="dxa"/>
            <w:vAlign w:val="center"/>
          </w:tcPr>
          <w:p w14:paraId="5697E703">
            <w:pPr>
              <w:pStyle w:val="11"/>
            </w:pPr>
            <w:r>
              <w:t>1</w:t>
            </w:r>
          </w:p>
        </w:tc>
        <w:tc>
          <w:tcPr>
            <w:tcW w:w="4535" w:type="dxa"/>
            <w:vAlign w:val="center"/>
          </w:tcPr>
          <w:p w14:paraId="5958F185">
            <w:pPr>
              <w:pStyle w:val="11"/>
            </w:pPr>
            <w:r>
              <w:t>2</w:t>
            </w:r>
          </w:p>
        </w:tc>
        <w:tc>
          <w:tcPr>
            <w:tcW w:w="1361" w:type="dxa"/>
            <w:vAlign w:val="center"/>
          </w:tcPr>
          <w:p w14:paraId="072514B4">
            <w:pPr>
              <w:pStyle w:val="11"/>
            </w:pPr>
            <w:r>
              <w:t>3</w:t>
            </w:r>
          </w:p>
        </w:tc>
        <w:tc>
          <w:tcPr>
            <w:tcW w:w="1361" w:type="dxa"/>
            <w:vAlign w:val="center"/>
          </w:tcPr>
          <w:p w14:paraId="6DE55596">
            <w:pPr>
              <w:pStyle w:val="11"/>
            </w:pPr>
            <w:r>
              <w:t>4</w:t>
            </w:r>
          </w:p>
        </w:tc>
        <w:tc>
          <w:tcPr>
            <w:tcW w:w="1361" w:type="dxa"/>
            <w:vAlign w:val="center"/>
          </w:tcPr>
          <w:p w14:paraId="727FC635">
            <w:pPr>
              <w:pStyle w:val="11"/>
            </w:pPr>
            <w:r>
              <w:t>5</w:t>
            </w:r>
          </w:p>
        </w:tc>
        <w:tc>
          <w:tcPr>
            <w:tcW w:w="1361" w:type="dxa"/>
            <w:vAlign w:val="center"/>
          </w:tcPr>
          <w:p w14:paraId="31A0C802">
            <w:pPr>
              <w:pStyle w:val="11"/>
            </w:pPr>
            <w:r>
              <w:t>6</w:t>
            </w:r>
          </w:p>
        </w:tc>
        <w:tc>
          <w:tcPr>
            <w:tcW w:w="1361" w:type="dxa"/>
            <w:vAlign w:val="center"/>
          </w:tcPr>
          <w:p w14:paraId="31BCD1D8">
            <w:pPr>
              <w:pStyle w:val="11"/>
            </w:pPr>
            <w:r>
              <w:t>7</w:t>
            </w:r>
          </w:p>
        </w:tc>
        <w:tc>
          <w:tcPr>
            <w:tcW w:w="1361" w:type="dxa"/>
            <w:vAlign w:val="center"/>
          </w:tcPr>
          <w:p w14:paraId="0B141086">
            <w:pPr>
              <w:pStyle w:val="11"/>
            </w:pPr>
            <w:r>
              <w:t>8</w:t>
            </w:r>
          </w:p>
        </w:tc>
      </w:tr>
      <w:tr w14:paraId="48483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31230">
            <w:pPr>
              <w:pStyle w:val="12"/>
            </w:pPr>
            <w:r>
              <w:t>1</w:t>
            </w:r>
          </w:p>
        </w:tc>
        <w:tc>
          <w:tcPr>
            <w:tcW w:w="992" w:type="dxa"/>
            <w:vAlign w:val="center"/>
          </w:tcPr>
          <w:p w14:paraId="5AA953DA">
            <w:pPr>
              <w:pStyle w:val="17"/>
            </w:pPr>
          </w:p>
        </w:tc>
        <w:tc>
          <w:tcPr>
            <w:tcW w:w="4535" w:type="dxa"/>
            <w:vAlign w:val="center"/>
          </w:tcPr>
          <w:p w14:paraId="7F3B756E">
            <w:pPr>
              <w:pStyle w:val="15"/>
            </w:pPr>
            <w:r>
              <w:t>合计</w:t>
            </w:r>
          </w:p>
        </w:tc>
        <w:tc>
          <w:tcPr>
            <w:tcW w:w="1361" w:type="dxa"/>
            <w:vAlign w:val="center"/>
          </w:tcPr>
          <w:p w14:paraId="1A3E3A2E">
            <w:pPr>
              <w:pStyle w:val="16"/>
            </w:pPr>
            <w:r>
              <w:t>150.47</w:t>
            </w:r>
          </w:p>
        </w:tc>
        <w:tc>
          <w:tcPr>
            <w:tcW w:w="1361" w:type="dxa"/>
            <w:vAlign w:val="center"/>
          </w:tcPr>
          <w:p w14:paraId="0EFB52CF">
            <w:pPr>
              <w:pStyle w:val="16"/>
            </w:pPr>
            <w:r>
              <w:t>150.47</w:t>
            </w:r>
          </w:p>
        </w:tc>
        <w:tc>
          <w:tcPr>
            <w:tcW w:w="1361" w:type="dxa"/>
            <w:vAlign w:val="center"/>
          </w:tcPr>
          <w:p w14:paraId="7BD757A3">
            <w:pPr>
              <w:pStyle w:val="16"/>
            </w:pPr>
          </w:p>
        </w:tc>
        <w:tc>
          <w:tcPr>
            <w:tcW w:w="1361" w:type="dxa"/>
            <w:vAlign w:val="center"/>
          </w:tcPr>
          <w:p w14:paraId="2911CA76">
            <w:pPr>
              <w:pStyle w:val="16"/>
            </w:pPr>
          </w:p>
        </w:tc>
        <w:tc>
          <w:tcPr>
            <w:tcW w:w="1361" w:type="dxa"/>
            <w:vAlign w:val="center"/>
          </w:tcPr>
          <w:p w14:paraId="7BFD170A">
            <w:pPr>
              <w:pStyle w:val="16"/>
            </w:pPr>
          </w:p>
        </w:tc>
        <w:tc>
          <w:tcPr>
            <w:tcW w:w="1361" w:type="dxa"/>
            <w:vAlign w:val="center"/>
          </w:tcPr>
          <w:p w14:paraId="1A866D39">
            <w:pPr>
              <w:pStyle w:val="16"/>
            </w:pPr>
          </w:p>
        </w:tc>
      </w:tr>
      <w:tr w14:paraId="0BC96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A2312">
            <w:pPr>
              <w:pStyle w:val="12"/>
            </w:pPr>
            <w:r>
              <w:t>2</w:t>
            </w:r>
          </w:p>
        </w:tc>
        <w:tc>
          <w:tcPr>
            <w:tcW w:w="992" w:type="dxa"/>
            <w:vAlign w:val="center"/>
          </w:tcPr>
          <w:p w14:paraId="6D3EA1FB">
            <w:pPr>
              <w:pStyle w:val="13"/>
            </w:pPr>
            <w:r>
              <w:t>205</w:t>
            </w:r>
          </w:p>
        </w:tc>
        <w:tc>
          <w:tcPr>
            <w:tcW w:w="4535" w:type="dxa"/>
            <w:vAlign w:val="center"/>
          </w:tcPr>
          <w:p w14:paraId="343C6508">
            <w:pPr>
              <w:pStyle w:val="13"/>
            </w:pPr>
            <w:r>
              <w:t>教育支出</w:t>
            </w:r>
          </w:p>
        </w:tc>
        <w:tc>
          <w:tcPr>
            <w:tcW w:w="1361" w:type="dxa"/>
            <w:vAlign w:val="center"/>
          </w:tcPr>
          <w:p w14:paraId="4908F30B">
            <w:pPr>
              <w:pStyle w:val="14"/>
            </w:pPr>
            <w:r>
              <w:t>125.81</w:t>
            </w:r>
          </w:p>
        </w:tc>
        <w:tc>
          <w:tcPr>
            <w:tcW w:w="1361" w:type="dxa"/>
            <w:vAlign w:val="center"/>
          </w:tcPr>
          <w:p w14:paraId="4DB367D2">
            <w:pPr>
              <w:pStyle w:val="14"/>
            </w:pPr>
            <w:r>
              <w:t>125.81</w:t>
            </w:r>
          </w:p>
        </w:tc>
        <w:tc>
          <w:tcPr>
            <w:tcW w:w="1361" w:type="dxa"/>
            <w:vAlign w:val="center"/>
          </w:tcPr>
          <w:p w14:paraId="37C77048">
            <w:pPr>
              <w:pStyle w:val="14"/>
            </w:pPr>
          </w:p>
        </w:tc>
        <w:tc>
          <w:tcPr>
            <w:tcW w:w="1361" w:type="dxa"/>
            <w:vAlign w:val="center"/>
          </w:tcPr>
          <w:p w14:paraId="3E5F051B">
            <w:pPr>
              <w:pStyle w:val="14"/>
            </w:pPr>
          </w:p>
        </w:tc>
        <w:tc>
          <w:tcPr>
            <w:tcW w:w="1361" w:type="dxa"/>
            <w:vAlign w:val="center"/>
          </w:tcPr>
          <w:p w14:paraId="6828D578">
            <w:pPr>
              <w:pStyle w:val="14"/>
            </w:pPr>
          </w:p>
        </w:tc>
        <w:tc>
          <w:tcPr>
            <w:tcW w:w="1361" w:type="dxa"/>
            <w:vAlign w:val="center"/>
          </w:tcPr>
          <w:p w14:paraId="4848A231">
            <w:pPr>
              <w:pStyle w:val="14"/>
            </w:pPr>
          </w:p>
        </w:tc>
      </w:tr>
      <w:tr w14:paraId="1A27F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2DE9E">
            <w:pPr>
              <w:pStyle w:val="12"/>
            </w:pPr>
            <w:r>
              <w:t>3</w:t>
            </w:r>
          </w:p>
        </w:tc>
        <w:tc>
          <w:tcPr>
            <w:tcW w:w="992" w:type="dxa"/>
            <w:vAlign w:val="center"/>
          </w:tcPr>
          <w:p w14:paraId="07049207">
            <w:pPr>
              <w:pStyle w:val="13"/>
            </w:pPr>
            <w:r>
              <w:t>20502</w:t>
            </w:r>
          </w:p>
        </w:tc>
        <w:tc>
          <w:tcPr>
            <w:tcW w:w="4535" w:type="dxa"/>
            <w:vAlign w:val="center"/>
          </w:tcPr>
          <w:p w14:paraId="7A313A45">
            <w:pPr>
              <w:pStyle w:val="13"/>
            </w:pPr>
            <w:r>
              <w:t>普通教育</w:t>
            </w:r>
          </w:p>
        </w:tc>
        <w:tc>
          <w:tcPr>
            <w:tcW w:w="1361" w:type="dxa"/>
            <w:vAlign w:val="center"/>
          </w:tcPr>
          <w:p w14:paraId="3DD5D678">
            <w:pPr>
              <w:pStyle w:val="14"/>
            </w:pPr>
            <w:r>
              <w:t>125.81</w:t>
            </w:r>
          </w:p>
        </w:tc>
        <w:tc>
          <w:tcPr>
            <w:tcW w:w="1361" w:type="dxa"/>
            <w:vAlign w:val="center"/>
          </w:tcPr>
          <w:p w14:paraId="500407D0">
            <w:pPr>
              <w:pStyle w:val="14"/>
            </w:pPr>
            <w:r>
              <w:t>125.81</w:t>
            </w:r>
          </w:p>
        </w:tc>
        <w:tc>
          <w:tcPr>
            <w:tcW w:w="1361" w:type="dxa"/>
            <w:vAlign w:val="center"/>
          </w:tcPr>
          <w:p w14:paraId="42CD1566">
            <w:pPr>
              <w:pStyle w:val="14"/>
            </w:pPr>
          </w:p>
        </w:tc>
        <w:tc>
          <w:tcPr>
            <w:tcW w:w="1361" w:type="dxa"/>
            <w:vAlign w:val="center"/>
          </w:tcPr>
          <w:p w14:paraId="047C4347">
            <w:pPr>
              <w:pStyle w:val="14"/>
            </w:pPr>
          </w:p>
        </w:tc>
        <w:tc>
          <w:tcPr>
            <w:tcW w:w="1361" w:type="dxa"/>
            <w:vAlign w:val="center"/>
          </w:tcPr>
          <w:p w14:paraId="6E3090FA">
            <w:pPr>
              <w:pStyle w:val="14"/>
            </w:pPr>
          </w:p>
        </w:tc>
        <w:tc>
          <w:tcPr>
            <w:tcW w:w="1361" w:type="dxa"/>
            <w:vAlign w:val="center"/>
          </w:tcPr>
          <w:p w14:paraId="069C5A72">
            <w:pPr>
              <w:pStyle w:val="14"/>
            </w:pPr>
          </w:p>
        </w:tc>
      </w:tr>
      <w:tr w14:paraId="3CD52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D97A0">
            <w:pPr>
              <w:pStyle w:val="12"/>
            </w:pPr>
            <w:r>
              <w:t>4</w:t>
            </w:r>
          </w:p>
        </w:tc>
        <w:tc>
          <w:tcPr>
            <w:tcW w:w="992" w:type="dxa"/>
            <w:vAlign w:val="center"/>
          </w:tcPr>
          <w:p w14:paraId="4C7FB571">
            <w:pPr>
              <w:pStyle w:val="13"/>
            </w:pPr>
            <w:r>
              <w:t>2050299</w:t>
            </w:r>
          </w:p>
        </w:tc>
        <w:tc>
          <w:tcPr>
            <w:tcW w:w="4535" w:type="dxa"/>
            <w:vAlign w:val="center"/>
          </w:tcPr>
          <w:p w14:paraId="0D0B8E3D">
            <w:pPr>
              <w:pStyle w:val="13"/>
            </w:pPr>
            <w:r>
              <w:t>其他普通教育支出</w:t>
            </w:r>
          </w:p>
        </w:tc>
        <w:tc>
          <w:tcPr>
            <w:tcW w:w="1361" w:type="dxa"/>
            <w:vAlign w:val="center"/>
          </w:tcPr>
          <w:p w14:paraId="13ED28F7">
            <w:pPr>
              <w:pStyle w:val="14"/>
            </w:pPr>
            <w:r>
              <w:t>125.81</w:t>
            </w:r>
          </w:p>
        </w:tc>
        <w:tc>
          <w:tcPr>
            <w:tcW w:w="1361" w:type="dxa"/>
            <w:vAlign w:val="center"/>
          </w:tcPr>
          <w:p w14:paraId="072D2C82">
            <w:pPr>
              <w:pStyle w:val="14"/>
            </w:pPr>
            <w:r>
              <w:t>125.81</w:t>
            </w:r>
          </w:p>
        </w:tc>
        <w:tc>
          <w:tcPr>
            <w:tcW w:w="1361" w:type="dxa"/>
            <w:vAlign w:val="center"/>
          </w:tcPr>
          <w:p w14:paraId="25AB8F1C">
            <w:pPr>
              <w:pStyle w:val="14"/>
            </w:pPr>
          </w:p>
        </w:tc>
        <w:tc>
          <w:tcPr>
            <w:tcW w:w="1361" w:type="dxa"/>
            <w:vAlign w:val="center"/>
          </w:tcPr>
          <w:p w14:paraId="2A230B00">
            <w:pPr>
              <w:pStyle w:val="14"/>
            </w:pPr>
          </w:p>
        </w:tc>
        <w:tc>
          <w:tcPr>
            <w:tcW w:w="1361" w:type="dxa"/>
            <w:vAlign w:val="center"/>
          </w:tcPr>
          <w:p w14:paraId="07BD5BE9">
            <w:pPr>
              <w:pStyle w:val="14"/>
            </w:pPr>
          </w:p>
        </w:tc>
        <w:tc>
          <w:tcPr>
            <w:tcW w:w="1361" w:type="dxa"/>
            <w:vAlign w:val="center"/>
          </w:tcPr>
          <w:p w14:paraId="43002B10">
            <w:pPr>
              <w:pStyle w:val="14"/>
            </w:pPr>
          </w:p>
        </w:tc>
      </w:tr>
      <w:tr w14:paraId="0A691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A5601">
            <w:pPr>
              <w:pStyle w:val="12"/>
            </w:pPr>
            <w:r>
              <w:t>5</w:t>
            </w:r>
          </w:p>
        </w:tc>
        <w:tc>
          <w:tcPr>
            <w:tcW w:w="992" w:type="dxa"/>
            <w:vAlign w:val="center"/>
          </w:tcPr>
          <w:p w14:paraId="16B3FB6D">
            <w:pPr>
              <w:pStyle w:val="13"/>
            </w:pPr>
            <w:r>
              <w:t>208</w:t>
            </w:r>
          </w:p>
        </w:tc>
        <w:tc>
          <w:tcPr>
            <w:tcW w:w="4535" w:type="dxa"/>
            <w:vAlign w:val="center"/>
          </w:tcPr>
          <w:p w14:paraId="42994D8D">
            <w:pPr>
              <w:pStyle w:val="13"/>
            </w:pPr>
            <w:r>
              <w:t>社会保障和就业支出</w:t>
            </w:r>
          </w:p>
        </w:tc>
        <w:tc>
          <w:tcPr>
            <w:tcW w:w="1361" w:type="dxa"/>
            <w:vAlign w:val="center"/>
          </w:tcPr>
          <w:p w14:paraId="2427DEB8">
            <w:pPr>
              <w:pStyle w:val="14"/>
            </w:pPr>
            <w:r>
              <w:t>11.06</w:t>
            </w:r>
          </w:p>
        </w:tc>
        <w:tc>
          <w:tcPr>
            <w:tcW w:w="1361" w:type="dxa"/>
            <w:vAlign w:val="center"/>
          </w:tcPr>
          <w:p w14:paraId="775FEA45">
            <w:pPr>
              <w:pStyle w:val="14"/>
            </w:pPr>
            <w:r>
              <w:t>11.06</w:t>
            </w:r>
          </w:p>
        </w:tc>
        <w:tc>
          <w:tcPr>
            <w:tcW w:w="1361" w:type="dxa"/>
            <w:vAlign w:val="center"/>
          </w:tcPr>
          <w:p w14:paraId="77541C73">
            <w:pPr>
              <w:pStyle w:val="14"/>
            </w:pPr>
          </w:p>
        </w:tc>
        <w:tc>
          <w:tcPr>
            <w:tcW w:w="1361" w:type="dxa"/>
            <w:vAlign w:val="center"/>
          </w:tcPr>
          <w:p w14:paraId="580E9F10">
            <w:pPr>
              <w:pStyle w:val="14"/>
            </w:pPr>
          </w:p>
        </w:tc>
        <w:tc>
          <w:tcPr>
            <w:tcW w:w="1361" w:type="dxa"/>
            <w:vAlign w:val="center"/>
          </w:tcPr>
          <w:p w14:paraId="04CA81F5">
            <w:pPr>
              <w:pStyle w:val="14"/>
            </w:pPr>
          </w:p>
        </w:tc>
        <w:tc>
          <w:tcPr>
            <w:tcW w:w="1361" w:type="dxa"/>
            <w:vAlign w:val="center"/>
          </w:tcPr>
          <w:p w14:paraId="47277A78">
            <w:pPr>
              <w:pStyle w:val="14"/>
            </w:pPr>
          </w:p>
        </w:tc>
      </w:tr>
      <w:tr w14:paraId="2CA6A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F7428">
            <w:pPr>
              <w:pStyle w:val="12"/>
            </w:pPr>
            <w:r>
              <w:t>6</w:t>
            </w:r>
          </w:p>
        </w:tc>
        <w:tc>
          <w:tcPr>
            <w:tcW w:w="992" w:type="dxa"/>
            <w:vAlign w:val="center"/>
          </w:tcPr>
          <w:p w14:paraId="55026978">
            <w:pPr>
              <w:pStyle w:val="13"/>
            </w:pPr>
            <w:r>
              <w:t>20805</w:t>
            </w:r>
          </w:p>
        </w:tc>
        <w:tc>
          <w:tcPr>
            <w:tcW w:w="4535" w:type="dxa"/>
            <w:vAlign w:val="center"/>
          </w:tcPr>
          <w:p w14:paraId="5CD45D16">
            <w:pPr>
              <w:pStyle w:val="13"/>
            </w:pPr>
            <w:r>
              <w:t>行政事业单位养老支出</w:t>
            </w:r>
          </w:p>
        </w:tc>
        <w:tc>
          <w:tcPr>
            <w:tcW w:w="1361" w:type="dxa"/>
            <w:vAlign w:val="center"/>
          </w:tcPr>
          <w:p w14:paraId="7EDB43D5">
            <w:pPr>
              <w:pStyle w:val="14"/>
            </w:pPr>
            <w:r>
              <w:t>11.06</w:t>
            </w:r>
          </w:p>
        </w:tc>
        <w:tc>
          <w:tcPr>
            <w:tcW w:w="1361" w:type="dxa"/>
            <w:vAlign w:val="center"/>
          </w:tcPr>
          <w:p w14:paraId="61D5732B">
            <w:pPr>
              <w:pStyle w:val="14"/>
            </w:pPr>
            <w:r>
              <w:t>11.06</w:t>
            </w:r>
          </w:p>
        </w:tc>
        <w:tc>
          <w:tcPr>
            <w:tcW w:w="1361" w:type="dxa"/>
            <w:vAlign w:val="center"/>
          </w:tcPr>
          <w:p w14:paraId="4BF11E8E">
            <w:pPr>
              <w:pStyle w:val="14"/>
            </w:pPr>
          </w:p>
        </w:tc>
        <w:tc>
          <w:tcPr>
            <w:tcW w:w="1361" w:type="dxa"/>
            <w:vAlign w:val="center"/>
          </w:tcPr>
          <w:p w14:paraId="3785744E">
            <w:pPr>
              <w:pStyle w:val="14"/>
            </w:pPr>
          </w:p>
        </w:tc>
        <w:tc>
          <w:tcPr>
            <w:tcW w:w="1361" w:type="dxa"/>
            <w:vAlign w:val="center"/>
          </w:tcPr>
          <w:p w14:paraId="76272525">
            <w:pPr>
              <w:pStyle w:val="14"/>
            </w:pPr>
          </w:p>
        </w:tc>
        <w:tc>
          <w:tcPr>
            <w:tcW w:w="1361" w:type="dxa"/>
            <w:vAlign w:val="center"/>
          </w:tcPr>
          <w:p w14:paraId="4814D1F5">
            <w:pPr>
              <w:pStyle w:val="14"/>
            </w:pPr>
          </w:p>
        </w:tc>
      </w:tr>
      <w:tr w14:paraId="19216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B5607">
            <w:pPr>
              <w:pStyle w:val="12"/>
            </w:pPr>
            <w:r>
              <w:t>7</w:t>
            </w:r>
          </w:p>
        </w:tc>
        <w:tc>
          <w:tcPr>
            <w:tcW w:w="992" w:type="dxa"/>
            <w:vAlign w:val="center"/>
          </w:tcPr>
          <w:p w14:paraId="1E6E6AD7">
            <w:pPr>
              <w:pStyle w:val="13"/>
            </w:pPr>
            <w:r>
              <w:t>2080505</w:t>
            </w:r>
          </w:p>
        </w:tc>
        <w:tc>
          <w:tcPr>
            <w:tcW w:w="4535" w:type="dxa"/>
            <w:vAlign w:val="center"/>
          </w:tcPr>
          <w:p w14:paraId="1A3AA3CC">
            <w:pPr>
              <w:pStyle w:val="13"/>
            </w:pPr>
            <w:r>
              <w:t>机关事业单位基本养老保险缴费支出</w:t>
            </w:r>
          </w:p>
        </w:tc>
        <w:tc>
          <w:tcPr>
            <w:tcW w:w="1361" w:type="dxa"/>
            <w:vAlign w:val="center"/>
          </w:tcPr>
          <w:p w14:paraId="62C14C5F">
            <w:pPr>
              <w:pStyle w:val="14"/>
            </w:pPr>
            <w:r>
              <w:t>11.06</w:t>
            </w:r>
          </w:p>
        </w:tc>
        <w:tc>
          <w:tcPr>
            <w:tcW w:w="1361" w:type="dxa"/>
            <w:vAlign w:val="center"/>
          </w:tcPr>
          <w:p w14:paraId="2E775A7D">
            <w:pPr>
              <w:pStyle w:val="14"/>
            </w:pPr>
            <w:r>
              <w:t>11.06</w:t>
            </w:r>
          </w:p>
        </w:tc>
        <w:tc>
          <w:tcPr>
            <w:tcW w:w="1361" w:type="dxa"/>
            <w:vAlign w:val="center"/>
          </w:tcPr>
          <w:p w14:paraId="4FEA7B96">
            <w:pPr>
              <w:pStyle w:val="14"/>
            </w:pPr>
          </w:p>
        </w:tc>
        <w:tc>
          <w:tcPr>
            <w:tcW w:w="1361" w:type="dxa"/>
            <w:vAlign w:val="center"/>
          </w:tcPr>
          <w:p w14:paraId="06ED44CC">
            <w:pPr>
              <w:pStyle w:val="14"/>
            </w:pPr>
          </w:p>
        </w:tc>
        <w:tc>
          <w:tcPr>
            <w:tcW w:w="1361" w:type="dxa"/>
            <w:vAlign w:val="center"/>
          </w:tcPr>
          <w:p w14:paraId="772E7B6E">
            <w:pPr>
              <w:pStyle w:val="14"/>
            </w:pPr>
          </w:p>
        </w:tc>
        <w:tc>
          <w:tcPr>
            <w:tcW w:w="1361" w:type="dxa"/>
            <w:vAlign w:val="center"/>
          </w:tcPr>
          <w:p w14:paraId="47647E98">
            <w:pPr>
              <w:pStyle w:val="14"/>
            </w:pPr>
          </w:p>
        </w:tc>
      </w:tr>
      <w:tr w14:paraId="5BBCE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3B28B">
            <w:pPr>
              <w:pStyle w:val="12"/>
            </w:pPr>
            <w:r>
              <w:t>8</w:t>
            </w:r>
          </w:p>
        </w:tc>
        <w:tc>
          <w:tcPr>
            <w:tcW w:w="992" w:type="dxa"/>
            <w:vAlign w:val="center"/>
          </w:tcPr>
          <w:p w14:paraId="6CFB0C3C">
            <w:pPr>
              <w:pStyle w:val="13"/>
            </w:pPr>
            <w:r>
              <w:t>210</w:t>
            </w:r>
          </w:p>
        </w:tc>
        <w:tc>
          <w:tcPr>
            <w:tcW w:w="4535" w:type="dxa"/>
            <w:vAlign w:val="center"/>
          </w:tcPr>
          <w:p w14:paraId="1A30A66E">
            <w:pPr>
              <w:pStyle w:val="13"/>
            </w:pPr>
            <w:r>
              <w:t>卫生健康支出</w:t>
            </w:r>
          </w:p>
        </w:tc>
        <w:tc>
          <w:tcPr>
            <w:tcW w:w="1361" w:type="dxa"/>
            <w:vAlign w:val="center"/>
          </w:tcPr>
          <w:p w14:paraId="77F98DAF">
            <w:pPr>
              <w:pStyle w:val="14"/>
            </w:pPr>
            <w:r>
              <w:t>4.99</w:t>
            </w:r>
          </w:p>
        </w:tc>
        <w:tc>
          <w:tcPr>
            <w:tcW w:w="1361" w:type="dxa"/>
            <w:vAlign w:val="center"/>
          </w:tcPr>
          <w:p w14:paraId="6E56A02B">
            <w:pPr>
              <w:pStyle w:val="14"/>
            </w:pPr>
            <w:r>
              <w:t>4.99</w:t>
            </w:r>
          </w:p>
        </w:tc>
        <w:tc>
          <w:tcPr>
            <w:tcW w:w="1361" w:type="dxa"/>
            <w:vAlign w:val="center"/>
          </w:tcPr>
          <w:p w14:paraId="03F2E2C1">
            <w:pPr>
              <w:pStyle w:val="14"/>
            </w:pPr>
          </w:p>
        </w:tc>
        <w:tc>
          <w:tcPr>
            <w:tcW w:w="1361" w:type="dxa"/>
            <w:vAlign w:val="center"/>
          </w:tcPr>
          <w:p w14:paraId="636F4296">
            <w:pPr>
              <w:pStyle w:val="14"/>
            </w:pPr>
          </w:p>
        </w:tc>
        <w:tc>
          <w:tcPr>
            <w:tcW w:w="1361" w:type="dxa"/>
            <w:vAlign w:val="center"/>
          </w:tcPr>
          <w:p w14:paraId="3FBD02EB">
            <w:pPr>
              <w:pStyle w:val="14"/>
            </w:pPr>
          </w:p>
        </w:tc>
        <w:tc>
          <w:tcPr>
            <w:tcW w:w="1361" w:type="dxa"/>
            <w:vAlign w:val="center"/>
          </w:tcPr>
          <w:p w14:paraId="1A0BA265">
            <w:pPr>
              <w:pStyle w:val="14"/>
            </w:pPr>
          </w:p>
        </w:tc>
      </w:tr>
      <w:tr w14:paraId="70529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81D5F">
            <w:pPr>
              <w:pStyle w:val="12"/>
            </w:pPr>
            <w:r>
              <w:t>9</w:t>
            </w:r>
          </w:p>
        </w:tc>
        <w:tc>
          <w:tcPr>
            <w:tcW w:w="992" w:type="dxa"/>
            <w:vAlign w:val="center"/>
          </w:tcPr>
          <w:p w14:paraId="6B475190">
            <w:pPr>
              <w:pStyle w:val="13"/>
            </w:pPr>
            <w:r>
              <w:t>21011</w:t>
            </w:r>
          </w:p>
        </w:tc>
        <w:tc>
          <w:tcPr>
            <w:tcW w:w="4535" w:type="dxa"/>
            <w:vAlign w:val="center"/>
          </w:tcPr>
          <w:p w14:paraId="68F599C3">
            <w:pPr>
              <w:pStyle w:val="13"/>
            </w:pPr>
            <w:r>
              <w:t>行政事业单位医疗</w:t>
            </w:r>
          </w:p>
        </w:tc>
        <w:tc>
          <w:tcPr>
            <w:tcW w:w="1361" w:type="dxa"/>
            <w:vAlign w:val="center"/>
          </w:tcPr>
          <w:p w14:paraId="3177AFD7">
            <w:pPr>
              <w:pStyle w:val="14"/>
            </w:pPr>
            <w:r>
              <w:t>4.99</w:t>
            </w:r>
          </w:p>
        </w:tc>
        <w:tc>
          <w:tcPr>
            <w:tcW w:w="1361" w:type="dxa"/>
            <w:vAlign w:val="center"/>
          </w:tcPr>
          <w:p w14:paraId="46526985">
            <w:pPr>
              <w:pStyle w:val="14"/>
            </w:pPr>
            <w:r>
              <w:t>4.99</w:t>
            </w:r>
          </w:p>
        </w:tc>
        <w:tc>
          <w:tcPr>
            <w:tcW w:w="1361" w:type="dxa"/>
            <w:vAlign w:val="center"/>
          </w:tcPr>
          <w:p w14:paraId="5EFFC265">
            <w:pPr>
              <w:pStyle w:val="14"/>
            </w:pPr>
          </w:p>
        </w:tc>
        <w:tc>
          <w:tcPr>
            <w:tcW w:w="1361" w:type="dxa"/>
            <w:vAlign w:val="center"/>
          </w:tcPr>
          <w:p w14:paraId="00629819">
            <w:pPr>
              <w:pStyle w:val="14"/>
            </w:pPr>
          </w:p>
        </w:tc>
        <w:tc>
          <w:tcPr>
            <w:tcW w:w="1361" w:type="dxa"/>
            <w:vAlign w:val="center"/>
          </w:tcPr>
          <w:p w14:paraId="559BC412">
            <w:pPr>
              <w:pStyle w:val="14"/>
            </w:pPr>
          </w:p>
        </w:tc>
        <w:tc>
          <w:tcPr>
            <w:tcW w:w="1361" w:type="dxa"/>
            <w:vAlign w:val="center"/>
          </w:tcPr>
          <w:p w14:paraId="7315BA2B">
            <w:pPr>
              <w:pStyle w:val="14"/>
            </w:pPr>
          </w:p>
        </w:tc>
      </w:tr>
      <w:tr w14:paraId="2D100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2D9EF">
            <w:pPr>
              <w:pStyle w:val="12"/>
            </w:pPr>
            <w:r>
              <w:t>10</w:t>
            </w:r>
          </w:p>
        </w:tc>
        <w:tc>
          <w:tcPr>
            <w:tcW w:w="992" w:type="dxa"/>
            <w:vAlign w:val="center"/>
          </w:tcPr>
          <w:p w14:paraId="272C6253">
            <w:pPr>
              <w:pStyle w:val="13"/>
            </w:pPr>
            <w:r>
              <w:t>2101102</w:t>
            </w:r>
          </w:p>
        </w:tc>
        <w:tc>
          <w:tcPr>
            <w:tcW w:w="4535" w:type="dxa"/>
            <w:vAlign w:val="center"/>
          </w:tcPr>
          <w:p w14:paraId="4FF22030">
            <w:pPr>
              <w:pStyle w:val="13"/>
            </w:pPr>
            <w:r>
              <w:t>事业单位医疗</w:t>
            </w:r>
          </w:p>
        </w:tc>
        <w:tc>
          <w:tcPr>
            <w:tcW w:w="1361" w:type="dxa"/>
            <w:vAlign w:val="center"/>
          </w:tcPr>
          <w:p w14:paraId="106D2BD3">
            <w:pPr>
              <w:pStyle w:val="14"/>
            </w:pPr>
            <w:r>
              <w:t>4.99</w:t>
            </w:r>
          </w:p>
        </w:tc>
        <w:tc>
          <w:tcPr>
            <w:tcW w:w="1361" w:type="dxa"/>
            <w:vAlign w:val="center"/>
          </w:tcPr>
          <w:p w14:paraId="2EB5BB82">
            <w:pPr>
              <w:pStyle w:val="14"/>
            </w:pPr>
            <w:r>
              <w:t>4.99</w:t>
            </w:r>
          </w:p>
        </w:tc>
        <w:tc>
          <w:tcPr>
            <w:tcW w:w="1361" w:type="dxa"/>
            <w:vAlign w:val="center"/>
          </w:tcPr>
          <w:p w14:paraId="06D82615">
            <w:pPr>
              <w:pStyle w:val="14"/>
            </w:pPr>
          </w:p>
        </w:tc>
        <w:tc>
          <w:tcPr>
            <w:tcW w:w="1361" w:type="dxa"/>
            <w:vAlign w:val="center"/>
          </w:tcPr>
          <w:p w14:paraId="1BDCE4C7">
            <w:pPr>
              <w:pStyle w:val="14"/>
            </w:pPr>
          </w:p>
        </w:tc>
        <w:tc>
          <w:tcPr>
            <w:tcW w:w="1361" w:type="dxa"/>
            <w:vAlign w:val="center"/>
          </w:tcPr>
          <w:p w14:paraId="7DF5C781">
            <w:pPr>
              <w:pStyle w:val="14"/>
            </w:pPr>
          </w:p>
        </w:tc>
        <w:tc>
          <w:tcPr>
            <w:tcW w:w="1361" w:type="dxa"/>
            <w:vAlign w:val="center"/>
          </w:tcPr>
          <w:p w14:paraId="244297BA">
            <w:pPr>
              <w:pStyle w:val="14"/>
            </w:pPr>
          </w:p>
        </w:tc>
      </w:tr>
      <w:tr w14:paraId="17937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40419">
            <w:pPr>
              <w:pStyle w:val="12"/>
            </w:pPr>
            <w:r>
              <w:t>11</w:t>
            </w:r>
          </w:p>
        </w:tc>
        <w:tc>
          <w:tcPr>
            <w:tcW w:w="992" w:type="dxa"/>
            <w:vAlign w:val="center"/>
          </w:tcPr>
          <w:p w14:paraId="3FBBD6E4">
            <w:pPr>
              <w:pStyle w:val="13"/>
            </w:pPr>
            <w:r>
              <w:t>221</w:t>
            </w:r>
          </w:p>
        </w:tc>
        <w:tc>
          <w:tcPr>
            <w:tcW w:w="4535" w:type="dxa"/>
            <w:vAlign w:val="center"/>
          </w:tcPr>
          <w:p w14:paraId="38E922C3">
            <w:pPr>
              <w:pStyle w:val="13"/>
            </w:pPr>
            <w:r>
              <w:t>住房保障支出</w:t>
            </w:r>
          </w:p>
        </w:tc>
        <w:tc>
          <w:tcPr>
            <w:tcW w:w="1361" w:type="dxa"/>
            <w:vAlign w:val="center"/>
          </w:tcPr>
          <w:p w14:paraId="4FCB35F2">
            <w:pPr>
              <w:pStyle w:val="14"/>
            </w:pPr>
            <w:r>
              <w:t>8.61</w:t>
            </w:r>
          </w:p>
        </w:tc>
        <w:tc>
          <w:tcPr>
            <w:tcW w:w="1361" w:type="dxa"/>
            <w:vAlign w:val="center"/>
          </w:tcPr>
          <w:p w14:paraId="0590C6C0">
            <w:pPr>
              <w:pStyle w:val="14"/>
            </w:pPr>
            <w:r>
              <w:t>8.61</w:t>
            </w:r>
          </w:p>
        </w:tc>
        <w:tc>
          <w:tcPr>
            <w:tcW w:w="1361" w:type="dxa"/>
            <w:vAlign w:val="center"/>
          </w:tcPr>
          <w:p w14:paraId="535BF95F">
            <w:pPr>
              <w:pStyle w:val="14"/>
            </w:pPr>
          </w:p>
        </w:tc>
        <w:tc>
          <w:tcPr>
            <w:tcW w:w="1361" w:type="dxa"/>
            <w:vAlign w:val="center"/>
          </w:tcPr>
          <w:p w14:paraId="19F4569C">
            <w:pPr>
              <w:pStyle w:val="14"/>
            </w:pPr>
          </w:p>
        </w:tc>
        <w:tc>
          <w:tcPr>
            <w:tcW w:w="1361" w:type="dxa"/>
            <w:vAlign w:val="center"/>
          </w:tcPr>
          <w:p w14:paraId="2254DCD8">
            <w:pPr>
              <w:pStyle w:val="14"/>
            </w:pPr>
          </w:p>
        </w:tc>
        <w:tc>
          <w:tcPr>
            <w:tcW w:w="1361" w:type="dxa"/>
            <w:vAlign w:val="center"/>
          </w:tcPr>
          <w:p w14:paraId="328431D1">
            <w:pPr>
              <w:pStyle w:val="14"/>
            </w:pPr>
          </w:p>
        </w:tc>
      </w:tr>
      <w:tr w14:paraId="08431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81165">
            <w:pPr>
              <w:pStyle w:val="12"/>
            </w:pPr>
            <w:r>
              <w:t>12</w:t>
            </w:r>
          </w:p>
        </w:tc>
        <w:tc>
          <w:tcPr>
            <w:tcW w:w="992" w:type="dxa"/>
            <w:vAlign w:val="center"/>
          </w:tcPr>
          <w:p w14:paraId="4D8EB580">
            <w:pPr>
              <w:pStyle w:val="13"/>
            </w:pPr>
            <w:r>
              <w:t>22102</w:t>
            </w:r>
          </w:p>
        </w:tc>
        <w:tc>
          <w:tcPr>
            <w:tcW w:w="4535" w:type="dxa"/>
            <w:vAlign w:val="center"/>
          </w:tcPr>
          <w:p w14:paraId="661707F9">
            <w:pPr>
              <w:pStyle w:val="13"/>
            </w:pPr>
            <w:r>
              <w:t>住房改革支出</w:t>
            </w:r>
          </w:p>
        </w:tc>
        <w:tc>
          <w:tcPr>
            <w:tcW w:w="1361" w:type="dxa"/>
            <w:vAlign w:val="center"/>
          </w:tcPr>
          <w:p w14:paraId="27717BCA">
            <w:pPr>
              <w:pStyle w:val="14"/>
            </w:pPr>
            <w:r>
              <w:t>8.61</w:t>
            </w:r>
          </w:p>
        </w:tc>
        <w:tc>
          <w:tcPr>
            <w:tcW w:w="1361" w:type="dxa"/>
            <w:vAlign w:val="center"/>
          </w:tcPr>
          <w:p w14:paraId="6710D927">
            <w:pPr>
              <w:pStyle w:val="14"/>
            </w:pPr>
            <w:r>
              <w:t>8.61</w:t>
            </w:r>
          </w:p>
        </w:tc>
        <w:tc>
          <w:tcPr>
            <w:tcW w:w="1361" w:type="dxa"/>
            <w:vAlign w:val="center"/>
          </w:tcPr>
          <w:p w14:paraId="3BED9682">
            <w:pPr>
              <w:pStyle w:val="14"/>
            </w:pPr>
          </w:p>
        </w:tc>
        <w:tc>
          <w:tcPr>
            <w:tcW w:w="1361" w:type="dxa"/>
            <w:vAlign w:val="center"/>
          </w:tcPr>
          <w:p w14:paraId="0BFD5780">
            <w:pPr>
              <w:pStyle w:val="14"/>
            </w:pPr>
          </w:p>
        </w:tc>
        <w:tc>
          <w:tcPr>
            <w:tcW w:w="1361" w:type="dxa"/>
            <w:vAlign w:val="center"/>
          </w:tcPr>
          <w:p w14:paraId="11610B30">
            <w:pPr>
              <w:pStyle w:val="14"/>
            </w:pPr>
          </w:p>
        </w:tc>
        <w:tc>
          <w:tcPr>
            <w:tcW w:w="1361" w:type="dxa"/>
            <w:vAlign w:val="center"/>
          </w:tcPr>
          <w:p w14:paraId="41F4825B">
            <w:pPr>
              <w:pStyle w:val="14"/>
            </w:pPr>
          </w:p>
        </w:tc>
      </w:tr>
      <w:tr w14:paraId="2EBF4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E1C4F">
            <w:pPr>
              <w:pStyle w:val="12"/>
            </w:pPr>
            <w:r>
              <w:t>13</w:t>
            </w:r>
          </w:p>
        </w:tc>
        <w:tc>
          <w:tcPr>
            <w:tcW w:w="992" w:type="dxa"/>
            <w:vAlign w:val="center"/>
          </w:tcPr>
          <w:p w14:paraId="3F6C13E2">
            <w:pPr>
              <w:pStyle w:val="13"/>
            </w:pPr>
            <w:r>
              <w:t>2210201</w:t>
            </w:r>
          </w:p>
        </w:tc>
        <w:tc>
          <w:tcPr>
            <w:tcW w:w="4535" w:type="dxa"/>
            <w:vAlign w:val="center"/>
          </w:tcPr>
          <w:p w14:paraId="048F7592">
            <w:pPr>
              <w:pStyle w:val="13"/>
            </w:pPr>
            <w:r>
              <w:t>住房公积金</w:t>
            </w:r>
          </w:p>
        </w:tc>
        <w:tc>
          <w:tcPr>
            <w:tcW w:w="1361" w:type="dxa"/>
            <w:vAlign w:val="center"/>
          </w:tcPr>
          <w:p w14:paraId="4BB1CCDE">
            <w:pPr>
              <w:pStyle w:val="14"/>
            </w:pPr>
            <w:r>
              <w:t>8.61</w:t>
            </w:r>
          </w:p>
        </w:tc>
        <w:tc>
          <w:tcPr>
            <w:tcW w:w="1361" w:type="dxa"/>
            <w:vAlign w:val="center"/>
          </w:tcPr>
          <w:p w14:paraId="07B04343">
            <w:pPr>
              <w:pStyle w:val="14"/>
            </w:pPr>
            <w:r>
              <w:t>8.61</w:t>
            </w:r>
          </w:p>
        </w:tc>
        <w:tc>
          <w:tcPr>
            <w:tcW w:w="1361" w:type="dxa"/>
            <w:vAlign w:val="center"/>
          </w:tcPr>
          <w:p w14:paraId="16F479AD">
            <w:pPr>
              <w:pStyle w:val="14"/>
            </w:pPr>
          </w:p>
        </w:tc>
        <w:tc>
          <w:tcPr>
            <w:tcW w:w="1361" w:type="dxa"/>
            <w:vAlign w:val="center"/>
          </w:tcPr>
          <w:p w14:paraId="7FEC03AC">
            <w:pPr>
              <w:pStyle w:val="14"/>
            </w:pPr>
          </w:p>
        </w:tc>
        <w:tc>
          <w:tcPr>
            <w:tcW w:w="1361" w:type="dxa"/>
            <w:vAlign w:val="center"/>
          </w:tcPr>
          <w:p w14:paraId="62DB8AA2">
            <w:pPr>
              <w:pStyle w:val="14"/>
            </w:pPr>
          </w:p>
        </w:tc>
        <w:tc>
          <w:tcPr>
            <w:tcW w:w="1361" w:type="dxa"/>
            <w:vAlign w:val="center"/>
          </w:tcPr>
          <w:p w14:paraId="744D3F6E">
            <w:pPr>
              <w:pStyle w:val="14"/>
            </w:pPr>
          </w:p>
        </w:tc>
      </w:tr>
    </w:tbl>
    <w:p w14:paraId="16CF9B70">
      <w:pPr>
        <w:sectPr>
          <w:pgSz w:w="16840" w:h="11900" w:orient="landscape"/>
          <w:pgMar w:top="1361" w:right="1020" w:bottom="1134" w:left="1020" w:header="720" w:footer="720" w:gutter="0"/>
          <w:cols w:space="720" w:num="1"/>
        </w:sectPr>
      </w:pPr>
    </w:p>
    <w:p w14:paraId="1B028B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613"/>
        <w:gridCol w:w="2486"/>
        <w:gridCol w:w="799"/>
        <w:gridCol w:w="3049"/>
        <w:gridCol w:w="799"/>
        <w:gridCol w:w="2144"/>
        <w:gridCol w:w="2656"/>
        <w:gridCol w:w="2470"/>
      </w:tblGrid>
      <w:tr w14:paraId="5E69D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4EA12879">
            <w:pPr>
              <w:pStyle w:val="8"/>
            </w:pPr>
            <w:r>
              <w:t>360036隆尧县青少年校外活动中心</w:t>
            </w:r>
          </w:p>
        </w:tc>
        <w:tc>
          <w:tcPr>
            <w:tcW w:w="0" w:type="auto"/>
            <w:tcBorders>
              <w:top w:val="single" w:color="FFFFFF" w:sz="6" w:space="0"/>
              <w:left w:val="single" w:color="FFFFFF" w:sz="6" w:space="0"/>
              <w:right w:val="single" w:color="FFFFFF" w:sz="6" w:space="0"/>
            </w:tcBorders>
            <w:vAlign w:val="center"/>
          </w:tcPr>
          <w:p w14:paraId="2E89F43E">
            <w:pPr>
              <w:pStyle w:val="9"/>
            </w:pPr>
            <w:r>
              <w:t>预算年度：2025</w:t>
            </w:r>
          </w:p>
        </w:tc>
        <w:tc>
          <w:tcPr>
            <w:tcW w:w="0" w:type="auto"/>
            <w:gridSpan w:val="4"/>
            <w:tcBorders>
              <w:top w:val="single" w:color="FFFFFF" w:sz="6" w:space="0"/>
              <w:left w:val="single" w:color="FFFFFF" w:sz="6" w:space="0"/>
              <w:right w:val="single" w:color="FFFFFF" w:sz="6" w:space="0"/>
            </w:tcBorders>
            <w:vAlign w:val="center"/>
          </w:tcPr>
          <w:p w14:paraId="129B9B8D">
            <w:pPr>
              <w:pStyle w:val="10"/>
            </w:pPr>
            <w:r>
              <w:t>单位：万元</w:t>
            </w:r>
          </w:p>
        </w:tc>
      </w:tr>
      <w:tr w14:paraId="46B12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1CB83F50">
            <w:pPr>
              <w:pStyle w:val="11"/>
            </w:pPr>
            <w:r>
              <w:t>序号</w:t>
            </w:r>
          </w:p>
        </w:tc>
        <w:tc>
          <w:tcPr>
            <w:tcW w:w="0" w:type="auto"/>
            <w:gridSpan w:val="2"/>
            <w:vAlign w:val="center"/>
          </w:tcPr>
          <w:p w14:paraId="123D9AF9">
            <w:pPr>
              <w:pStyle w:val="11"/>
            </w:pPr>
            <w:r>
              <w:t>收入</w:t>
            </w:r>
          </w:p>
        </w:tc>
        <w:tc>
          <w:tcPr>
            <w:tcW w:w="0" w:type="auto"/>
            <w:gridSpan w:val="5"/>
            <w:vAlign w:val="center"/>
          </w:tcPr>
          <w:p w14:paraId="702AF457">
            <w:pPr>
              <w:pStyle w:val="11"/>
            </w:pPr>
            <w:r>
              <w:t>支出</w:t>
            </w:r>
          </w:p>
        </w:tc>
      </w:tr>
      <w:tr w14:paraId="445F6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0" w:type="auto"/>
            <w:vMerge w:val="continue"/>
          </w:tcPr>
          <w:p w14:paraId="43EBA818"/>
        </w:tc>
        <w:tc>
          <w:tcPr>
            <w:tcW w:w="0" w:type="auto"/>
            <w:vAlign w:val="center"/>
          </w:tcPr>
          <w:p w14:paraId="56C7232F">
            <w:pPr>
              <w:pStyle w:val="11"/>
            </w:pPr>
            <w:r>
              <w:t>项  目</w:t>
            </w:r>
          </w:p>
        </w:tc>
        <w:tc>
          <w:tcPr>
            <w:tcW w:w="0" w:type="auto"/>
            <w:vAlign w:val="center"/>
          </w:tcPr>
          <w:p w14:paraId="48432CF1">
            <w:pPr>
              <w:pStyle w:val="11"/>
            </w:pPr>
            <w:r>
              <w:t>金额</w:t>
            </w:r>
          </w:p>
        </w:tc>
        <w:tc>
          <w:tcPr>
            <w:tcW w:w="0" w:type="auto"/>
            <w:vAlign w:val="center"/>
          </w:tcPr>
          <w:p w14:paraId="7DA76B56">
            <w:pPr>
              <w:pStyle w:val="11"/>
            </w:pPr>
            <w:r>
              <w:t>项  目</w:t>
            </w:r>
          </w:p>
        </w:tc>
        <w:tc>
          <w:tcPr>
            <w:tcW w:w="0" w:type="auto"/>
            <w:vAlign w:val="center"/>
          </w:tcPr>
          <w:p w14:paraId="65B81F5E">
            <w:pPr>
              <w:pStyle w:val="11"/>
            </w:pPr>
            <w:r>
              <w:t>合计</w:t>
            </w:r>
          </w:p>
        </w:tc>
        <w:tc>
          <w:tcPr>
            <w:tcW w:w="0" w:type="auto"/>
            <w:vAlign w:val="center"/>
          </w:tcPr>
          <w:p w14:paraId="3E514A66">
            <w:pPr>
              <w:pStyle w:val="11"/>
            </w:pPr>
            <w:r>
              <w:t>一般公共预算财政拨款</w:t>
            </w:r>
          </w:p>
        </w:tc>
        <w:tc>
          <w:tcPr>
            <w:tcW w:w="0" w:type="auto"/>
            <w:vAlign w:val="center"/>
          </w:tcPr>
          <w:p w14:paraId="7629EE27">
            <w:pPr>
              <w:pStyle w:val="11"/>
            </w:pPr>
            <w:r>
              <w:t>政府性基金预算财政    拨款</w:t>
            </w:r>
          </w:p>
        </w:tc>
        <w:tc>
          <w:tcPr>
            <w:tcW w:w="0" w:type="auto"/>
            <w:vAlign w:val="center"/>
          </w:tcPr>
          <w:p w14:paraId="6B166ED5">
            <w:pPr>
              <w:pStyle w:val="11"/>
            </w:pPr>
            <w:r>
              <w:t>国有资本经营预算财政拨款</w:t>
            </w:r>
          </w:p>
        </w:tc>
      </w:tr>
      <w:tr w14:paraId="52084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0" w:type="auto"/>
            <w:vAlign w:val="center"/>
          </w:tcPr>
          <w:p w14:paraId="60869F74">
            <w:pPr>
              <w:pStyle w:val="11"/>
            </w:pPr>
            <w:r>
              <w:t>栏次</w:t>
            </w:r>
          </w:p>
        </w:tc>
        <w:tc>
          <w:tcPr>
            <w:tcW w:w="0" w:type="auto"/>
            <w:vAlign w:val="center"/>
          </w:tcPr>
          <w:p w14:paraId="0FF5BA82">
            <w:pPr>
              <w:pStyle w:val="11"/>
            </w:pPr>
            <w:r>
              <w:t>1</w:t>
            </w:r>
          </w:p>
        </w:tc>
        <w:tc>
          <w:tcPr>
            <w:tcW w:w="0" w:type="auto"/>
            <w:vAlign w:val="center"/>
          </w:tcPr>
          <w:p w14:paraId="270B77F4">
            <w:pPr>
              <w:pStyle w:val="11"/>
            </w:pPr>
            <w:r>
              <w:t>2</w:t>
            </w:r>
          </w:p>
        </w:tc>
        <w:tc>
          <w:tcPr>
            <w:tcW w:w="0" w:type="auto"/>
            <w:vAlign w:val="center"/>
          </w:tcPr>
          <w:p w14:paraId="0FCCA2FE">
            <w:pPr>
              <w:pStyle w:val="11"/>
            </w:pPr>
            <w:r>
              <w:t>3</w:t>
            </w:r>
          </w:p>
        </w:tc>
        <w:tc>
          <w:tcPr>
            <w:tcW w:w="0" w:type="auto"/>
            <w:vAlign w:val="center"/>
          </w:tcPr>
          <w:p w14:paraId="7768A695">
            <w:pPr>
              <w:pStyle w:val="11"/>
            </w:pPr>
            <w:r>
              <w:t>4</w:t>
            </w:r>
          </w:p>
        </w:tc>
        <w:tc>
          <w:tcPr>
            <w:tcW w:w="0" w:type="auto"/>
            <w:vAlign w:val="center"/>
          </w:tcPr>
          <w:p w14:paraId="4730A111">
            <w:pPr>
              <w:pStyle w:val="11"/>
            </w:pPr>
            <w:r>
              <w:t>5</w:t>
            </w:r>
          </w:p>
        </w:tc>
        <w:tc>
          <w:tcPr>
            <w:tcW w:w="0" w:type="auto"/>
            <w:vAlign w:val="center"/>
          </w:tcPr>
          <w:p w14:paraId="203E267D">
            <w:pPr>
              <w:pStyle w:val="11"/>
            </w:pPr>
            <w:r>
              <w:t>6</w:t>
            </w:r>
          </w:p>
        </w:tc>
        <w:tc>
          <w:tcPr>
            <w:tcW w:w="0" w:type="auto"/>
            <w:vAlign w:val="center"/>
          </w:tcPr>
          <w:p w14:paraId="2FEC019E">
            <w:pPr>
              <w:pStyle w:val="11"/>
            </w:pPr>
            <w:r>
              <w:t>7</w:t>
            </w:r>
          </w:p>
        </w:tc>
      </w:tr>
      <w:tr w14:paraId="4AABD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0B69040D">
            <w:pPr>
              <w:pStyle w:val="12"/>
            </w:pPr>
            <w:r>
              <w:t>1</w:t>
            </w:r>
          </w:p>
        </w:tc>
        <w:tc>
          <w:tcPr>
            <w:tcW w:w="0" w:type="auto"/>
            <w:vAlign w:val="center"/>
          </w:tcPr>
          <w:p w14:paraId="2D17D1E3">
            <w:pPr>
              <w:pStyle w:val="13"/>
            </w:pPr>
            <w:r>
              <w:t>一、一般公共预算拨款</w:t>
            </w:r>
          </w:p>
        </w:tc>
        <w:tc>
          <w:tcPr>
            <w:tcW w:w="0" w:type="auto"/>
            <w:vAlign w:val="center"/>
          </w:tcPr>
          <w:p w14:paraId="037566B5">
            <w:pPr>
              <w:pStyle w:val="14"/>
            </w:pPr>
            <w:r>
              <w:t>150.47</w:t>
            </w:r>
          </w:p>
        </w:tc>
        <w:tc>
          <w:tcPr>
            <w:tcW w:w="0" w:type="auto"/>
            <w:vAlign w:val="center"/>
          </w:tcPr>
          <w:p w14:paraId="1CEDDA3C">
            <w:pPr>
              <w:pStyle w:val="13"/>
            </w:pPr>
            <w:r>
              <w:t>一、一般公共服务支出</w:t>
            </w:r>
          </w:p>
        </w:tc>
        <w:tc>
          <w:tcPr>
            <w:tcW w:w="0" w:type="auto"/>
            <w:vAlign w:val="center"/>
          </w:tcPr>
          <w:p w14:paraId="2A075B0F">
            <w:pPr>
              <w:pStyle w:val="14"/>
            </w:pPr>
          </w:p>
        </w:tc>
        <w:tc>
          <w:tcPr>
            <w:tcW w:w="0" w:type="auto"/>
            <w:vAlign w:val="center"/>
          </w:tcPr>
          <w:p w14:paraId="033CD586">
            <w:pPr>
              <w:pStyle w:val="14"/>
            </w:pPr>
          </w:p>
        </w:tc>
        <w:tc>
          <w:tcPr>
            <w:tcW w:w="0" w:type="auto"/>
            <w:vAlign w:val="center"/>
          </w:tcPr>
          <w:p w14:paraId="566C32E5">
            <w:pPr>
              <w:pStyle w:val="14"/>
            </w:pPr>
          </w:p>
        </w:tc>
        <w:tc>
          <w:tcPr>
            <w:tcW w:w="0" w:type="auto"/>
            <w:vAlign w:val="center"/>
          </w:tcPr>
          <w:p w14:paraId="6929D26D">
            <w:pPr>
              <w:pStyle w:val="14"/>
            </w:pPr>
          </w:p>
        </w:tc>
      </w:tr>
      <w:tr w14:paraId="4D8BD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30049A34">
            <w:pPr>
              <w:pStyle w:val="12"/>
            </w:pPr>
            <w:r>
              <w:t>2</w:t>
            </w:r>
          </w:p>
        </w:tc>
        <w:tc>
          <w:tcPr>
            <w:tcW w:w="0" w:type="auto"/>
            <w:vAlign w:val="center"/>
          </w:tcPr>
          <w:p w14:paraId="1E224FE4">
            <w:pPr>
              <w:pStyle w:val="13"/>
            </w:pPr>
            <w:r>
              <w:t>二、政府性基金预算拨款</w:t>
            </w:r>
          </w:p>
        </w:tc>
        <w:tc>
          <w:tcPr>
            <w:tcW w:w="0" w:type="auto"/>
            <w:vAlign w:val="center"/>
          </w:tcPr>
          <w:p w14:paraId="7BD13267">
            <w:pPr>
              <w:pStyle w:val="14"/>
            </w:pPr>
          </w:p>
        </w:tc>
        <w:tc>
          <w:tcPr>
            <w:tcW w:w="0" w:type="auto"/>
            <w:vAlign w:val="center"/>
          </w:tcPr>
          <w:p w14:paraId="6B8AAB87">
            <w:pPr>
              <w:pStyle w:val="13"/>
            </w:pPr>
            <w:r>
              <w:t>二、外交支出</w:t>
            </w:r>
          </w:p>
        </w:tc>
        <w:tc>
          <w:tcPr>
            <w:tcW w:w="0" w:type="auto"/>
            <w:vAlign w:val="center"/>
          </w:tcPr>
          <w:p w14:paraId="4D6FA9CA">
            <w:pPr>
              <w:pStyle w:val="14"/>
            </w:pPr>
          </w:p>
        </w:tc>
        <w:tc>
          <w:tcPr>
            <w:tcW w:w="0" w:type="auto"/>
            <w:vAlign w:val="center"/>
          </w:tcPr>
          <w:p w14:paraId="6B5957D4">
            <w:pPr>
              <w:pStyle w:val="14"/>
            </w:pPr>
          </w:p>
        </w:tc>
        <w:tc>
          <w:tcPr>
            <w:tcW w:w="0" w:type="auto"/>
            <w:vAlign w:val="center"/>
          </w:tcPr>
          <w:p w14:paraId="4BD4C8BA">
            <w:pPr>
              <w:pStyle w:val="14"/>
            </w:pPr>
          </w:p>
        </w:tc>
        <w:tc>
          <w:tcPr>
            <w:tcW w:w="0" w:type="auto"/>
            <w:vAlign w:val="center"/>
          </w:tcPr>
          <w:p w14:paraId="4EF871D0">
            <w:pPr>
              <w:pStyle w:val="14"/>
            </w:pPr>
          </w:p>
        </w:tc>
      </w:tr>
      <w:tr w14:paraId="15B63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73F46596">
            <w:pPr>
              <w:pStyle w:val="12"/>
            </w:pPr>
            <w:r>
              <w:t>3</w:t>
            </w:r>
          </w:p>
        </w:tc>
        <w:tc>
          <w:tcPr>
            <w:tcW w:w="0" w:type="auto"/>
            <w:vAlign w:val="center"/>
          </w:tcPr>
          <w:p w14:paraId="22651198">
            <w:pPr>
              <w:pStyle w:val="13"/>
            </w:pPr>
            <w:r>
              <w:t>三、国有资本经营预算拨款</w:t>
            </w:r>
          </w:p>
        </w:tc>
        <w:tc>
          <w:tcPr>
            <w:tcW w:w="0" w:type="auto"/>
            <w:vAlign w:val="center"/>
          </w:tcPr>
          <w:p w14:paraId="4F6966DC">
            <w:pPr>
              <w:pStyle w:val="14"/>
            </w:pPr>
          </w:p>
        </w:tc>
        <w:tc>
          <w:tcPr>
            <w:tcW w:w="0" w:type="auto"/>
            <w:vAlign w:val="center"/>
          </w:tcPr>
          <w:p w14:paraId="222CC408">
            <w:pPr>
              <w:pStyle w:val="13"/>
            </w:pPr>
            <w:r>
              <w:t>三、国防支出</w:t>
            </w:r>
          </w:p>
        </w:tc>
        <w:tc>
          <w:tcPr>
            <w:tcW w:w="0" w:type="auto"/>
            <w:vAlign w:val="center"/>
          </w:tcPr>
          <w:p w14:paraId="6645C413">
            <w:pPr>
              <w:pStyle w:val="14"/>
            </w:pPr>
          </w:p>
        </w:tc>
        <w:tc>
          <w:tcPr>
            <w:tcW w:w="0" w:type="auto"/>
            <w:vAlign w:val="center"/>
          </w:tcPr>
          <w:p w14:paraId="19467BBC">
            <w:pPr>
              <w:pStyle w:val="14"/>
            </w:pPr>
          </w:p>
        </w:tc>
        <w:tc>
          <w:tcPr>
            <w:tcW w:w="0" w:type="auto"/>
            <w:vAlign w:val="center"/>
          </w:tcPr>
          <w:p w14:paraId="008B74A4">
            <w:pPr>
              <w:pStyle w:val="14"/>
            </w:pPr>
          </w:p>
        </w:tc>
        <w:tc>
          <w:tcPr>
            <w:tcW w:w="0" w:type="auto"/>
            <w:vAlign w:val="center"/>
          </w:tcPr>
          <w:p w14:paraId="517EDDD2">
            <w:pPr>
              <w:pStyle w:val="14"/>
            </w:pPr>
          </w:p>
        </w:tc>
      </w:tr>
      <w:tr w14:paraId="5CF06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6481554A">
            <w:pPr>
              <w:pStyle w:val="12"/>
            </w:pPr>
            <w:r>
              <w:t>4</w:t>
            </w:r>
          </w:p>
        </w:tc>
        <w:tc>
          <w:tcPr>
            <w:tcW w:w="0" w:type="auto"/>
            <w:vAlign w:val="center"/>
          </w:tcPr>
          <w:p w14:paraId="1569A4FC">
            <w:pPr>
              <w:pStyle w:val="13"/>
            </w:pPr>
          </w:p>
        </w:tc>
        <w:tc>
          <w:tcPr>
            <w:tcW w:w="0" w:type="auto"/>
            <w:vAlign w:val="center"/>
          </w:tcPr>
          <w:p w14:paraId="0AADEBCB">
            <w:pPr>
              <w:pStyle w:val="14"/>
            </w:pPr>
          </w:p>
        </w:tc>
        <w:tc>
          <w:tcPr>
            <w:tcW w:w="0" w:type="auto"/>
            <w:vAlign w:val="center"/>
          </w:tcPr>
          <w:p w14:paraId="0E2EF9AB">
            <w:pPr>
              <w:pStyle w:val="13"/>
            </w:pPr>
            <w:r>
              <w:t>四、公共安全支出</w:t>
            </w:r>
          </w:p>
        </w:tc>
        <w:tc>
          <w:tcPr>
            <w:tcW w:w="0" w:type="auto"/>
            <w:vAlign w:val="center"/>
          </w:tcPr>
          <w:p w14:paraId="23C3CFA6">
            <w:pPr>
              <w:pStyle w:val="14"/>
            </w:pPr>
          </w:p>
        </w:tc>
        <w:tc>
          <w:tcPr>
            <w:tcW w:w="0" w:type="auto"/>
            <w:vAlign w:val="center"/>
          </w:tcPr>
          <w:p w14:paraId="24F2339C">
            <w:pPr>
              <w:pStyle w:val="14"/>
            </w:pPr>
          </w:p>
        </w:tc>
        <w:tc>
          <w:tcPr>
            <w:tcW w:w="0" w:type="auto"/>
            <w:vAlign w:val="center"/>
          </w:tcPr>
          <w:p w14:paraId="306ADBAD">
            <w:pPr>
              <w:pStyle w:val="14"/>
            </w:pPr>
          </w:p>
        </w:tc>
        <w:tc>
          <w:tcPr>
            <w:tcW w:w="0" w:type="auto"/>
            <w:vAlign w:val="center"/>
          </w:tcPr>
          <w:p w14:paraId="4462CC0B">
            <w:pPr>
              <w:pStyle w:val="14"/>
            </w:pPr>
          </w:p>
        </w:tc>
      </w:tr>
      <w:tr w14:paraId="6D202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47CD047B">
            <w:pPr>
              <w:pStyle w:val="12"/>
            </w:pPr>
            <w:r>
              <w:t>5</w:t>
            </w:r>
          </w:p>
        </w:tc>
        <w:tc>
          <w:tcPr>
            <w:tcW w:w="0" w:type="auto"/>
            <w:vAlign w:val="center"/>
          </w:tcPr>
          <w:p w14:paraId="02A77907">
            <w:pPr>
              <w:pStyle w:val="13"/>
            </w:pPr>
          </w:p>
        </w:tc>
        <w:tc>
          <w:tcPr>
            <w:tcW w:w="0" w:type="auto"/>
            <w:vAlign w:val="center"/>
          </w:tcPr>
          <w:p w14:paraId="185822C4">
            <w:pPr>
              <w:pStyle w:val="14"/>
            </w:pPr>
          </w:p>
        </w:tc>
        <w:tc>
          <w:tcPr>
            <w:tcW w:w="0" w:type="auto"/>
            <w:vAlign w:val="center"/>
          </w:tcPr>
          <w:p w14:paraId="60012C13">
            <w:pPr>
              <w:pStyle w:val="13"/>
            </w:pPr>
            <w:r>
              <w:t>五、教育支出</w:t>
            </w:r>
          </w:p>
        </w:tc>
        <w:tc>
          <w:tcPr>
            <w:tcW w:w="0" w:type="auto"/>
            <w:vAlign w:val="center"/>
          </w:tcPr>
          <w:p w14:paraId="0091D38F">
            <w:pPr>
              <w:pStyle w:val="14"/>
            </w:pPr>
            <w:r>
              <w:t>125.81</w:t>
            </w:r>
          </w:p>
        </w:tc>
        <w:tc>
          <w:tcPr>
            <w:tcW w:w="0" w:type="auto"/>
            <w:vAlign w:val="center"/>
          </w:tcPr>
          <w:p w14:paraId="4FF034C8">
            <w:pPr>
              <w:pStyle w:val="14"/>
            </w:pPr>
            <w:r>
              <w:t>125.81</w:t>
            </w:r>
          </w:p>
        </w:tc>
        <w:tc>
          <w:tcPr>
            <w:tcW w:w="0" w:type="auto"/>
            <w:vAlign w:val="center"/>
          </w:tcPr>
          <w:p w14:paraId="53D83765">
            <w:pPr>
              <w:pStyle w:val="14"/>
            </w:pPr>
          </w:p>
        </w:tc>
        <w:tc>
          <w:tcPr>
            <w:tcW w:w="0" w:type="auto"/>
            <w:vAlign w:val="center"/>
          </w:tcPr>
          <w:p w14:paraId="17E9774C">
            <w:pPr>
              <w:pStyle w:val="14"/>
            </w:pPr>
          </w:p>
        </w:tc>
      </w:tr>
      <w:tr w14:paraId="5F1BA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583D9836">
            <w:pPr>
              <w:pStyle w:val="12"/>
            </w:pPr>
            <w:r>
              <w:t>6</w:t>
            </w:r>
          </w:p>
        </w:tc>
        <w:tc>
          <w:tcPr>
            <w:tcW w:w="0" w:type="auto"/>
            <w:vAlign w:val="center"/>
          </w:tcPr>
          <w:p w14:paraId="4C986BB8">
            <w:pPr>
              <w:pStyle w:val="13"/>
            </w:pPr>
          </w:p>
        </w:tc>
        <w:tc>
          <w:tcPr>
            <w:tcW w:w="0" w:type="auto"/>
            <w:vAlign w:val="center"/>
          </w:tcPr>
          <w:p w14:paraId="6CFC0B9D">
            <w:pPr>
              <w:pStyle w:val="14"/>
            </w:pPr>
          </w:p>
        </w:tc>
        <w:tc>
          <w:tcPr>
            <w:tcW w:w="0" w:type="auto"/>
            <w:vAlign w:val="center"/>
          </w:tcPr>
          <w:p w14:paraId="069D136E">
            <w:pPr>
              <w:pStyle w:val="13"/>
            </w:pPr>
            <w:r>
              <w:t>六、科学技术支出</w:t>
            </w:r>
          </w:p>
        </w:tc>
        <w:tc>
          <w:tcPr>
            <w:tcW w:w="0" w:type="auto"/>
            <w:vAlign w:val="center"/>
          </w:tcPr>
          <w:p w14:paraId="07E2BECB">
            <w:pPr>
              <w:pStyle w:val="14"/>
            </w:pPr>
          </w:p>
        </w:tc>
        <w:tc>
          <w:tcPr>
            <w:tcW w:w="0" w:type="auto"/>
            <w:vAlign w:val="center"/>
          </w:tcPr>
          <w:p w14:paraId="3BF038CC">
            <w:pPr>
              <w:pStyle w:val="14"/>
            </w:pPr>
          </w:p>
        </w:tc>
        <w:tc>
          <w:tcPr>
            <w:tcW w:w="0" w:type="auto"/>
            <w:vAlign w:val="center"/>
          </w:tcPr>
          <w:p w14:paraId="60547317">
            <w:pPr>
              <w:pStyle w:val="14"/>
            </w:pPr>
          </w:p>
        </w:tc>
        <w:tc>
          <w:tcPr>
            <w:tcW w:w="0" w:type="auto"/>
            <w:vAlign w:val="center"/>
          </w:tcPr>
          <w:p w14:paraId="31034C2A">
            <w:pPr>
              <w:pStyle w:val="14"/>
            </w:pPr>
          </w:p>
        </w:tc>
      </w:tr>
      <w:tr w14:paraId="27EF8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7FA5F890">
            <w:pPr>
              <w:pStyle w:val="12"/>
            </w:pPr>
            <w:r>
              <w:t>7</w:t>
            </w:r>
          </w:p>
        </w:tc>
        <w:tc>
          <w:tcPr>
            <w:tcW w:w="0" w:type="auto"/>
            <w:vAlign w:val="center"/>
          </w:tcPr>
          <w:p w14:paraId="3FAD9CD0">
            <w:pPr>
              <w:pStyle w:val="13"/>
            </w:pPr>
          </w:p>
        </w:tc>
        <w:tc>
          <w:tcPr>
            <w:tcW w:w="0" w:type="auto"/>
            <w:vAlign w:val="center"/>
          </w:tcPr>
          <w:p w14:paraId="10C8AD85">
            <w:pPr>
              <w:pStyle w:val="14"/>
            </w:pPr>
          </w:p>
        </w:tc>
        <w:tc>
          <w:tcPr>
            <w:tcW w:w="0" w:type="auto"/>
            <w:vAlign w:val="center"/>
          </w:tcPr>
          <w:p w14:paraId="7153075B">
            <w:pPr>
              <w:pStyle w:val="13"/>
            </w:pPr>
            <w:r>
              <w:t>七、文化旅游体育与传媒支出</w:t>
            </w:r>
          </w:p>
        </w:tc>
        <w:tc>
          <w:tcPr>
            <w:tcW w:w="0" w:type="auto"/>
            <w:vAlign w:val="center"/>
          </w:tcPr>
          <w:p w14:paraId="3A7D3E8B">
            <w:pPr>
              <w:pStyle w:val="14"/>
            </w:pPr>
          </w:p>
        </w:tc>
        <w:tc>
          <w:tcPr>
            <w:tcW w:w="0" w:type="auto"/>
            <w:vAlign w:val="center"/>
          </w:tcPr>
          <w:p w14:paraId="3EA3DC51">
            <w:pPr>
              <w:pStyle w:val="14"/>
            </w:pPr>
          </w:p>
        </w:tc>
        <w:tc>
          <w:tcPr>
            <w:tcW w:w="0" w:type="auto"/>
            <w:vAlign w:val="center"/>
          </w:tcPr>
          <w:p w14:paraId="6BB1B2DD">
            <w:pPr>
              <w:pStyle w:val="14"/>
            </w:pPr>
          </w:p>
        </w:tc>
        <w:tc>
          <w:tcPr>
            <w:tcW w:w="0" w:type="auto"/>
            <w:vAlign w:val="center"/>
          </w:tcPr>
          <w:p w14:paraId="60B08736">
            <w:pPr>
              <w:pStyle w:val="14"/>
            </w:pPr>
          </w:p>
        </w:tc>
      </w:tr>
      <w:tr w14:paraId="3B2B2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1FFEE657">
            <w:pPr>
              <w:pStyle w:val="12"/>
            </w:pPr>
            <w:r>
              <w:t>8</w:t>
            </w:r>
          </w:p>
        </w:tc>
        <w:tc>
          <w:tcPr>
            <w:tcW w:w="0" w:type="auto"/>
            <w:vAlign w:val="center"/>
          </w:tcPr>
          <w:p w14:paraId="036C0E9E">
            <w:pPr>
              <w:pStyle w:val="13"/>
            </w:pPr>
          </w:p>
        </w:tc>
        <w:tc>
          <w:tcPr>
            <w:tcW w:w="0" w:type="auto"/>
            <w:vAlign w:val="center"/>
          </w:tcPr>
          <w:p w14:paraId="17579411">
            <w:pPr>
              <w:pStyle w:val="14"/>
            </w:pPr>
          </w:p>
        </w:tc>
        <w:tc>
          <w:tcPr>
            <w:tcW w:w="0" w:type="auto"/>
            <w:vAlign w:val="center"/>
          </w:tcPr>
          <w:p w14:paraId="56F7692B">
            <w:pPr>
              <w:pStyle w:val="13"/>
            </w:pPr>
            <w:r>
              <w:t>八、社会保障和就业支出</w:t>
            </w:r>
          </w:p>
        </w:tc>
        <w:tc>
          <w:tcPr>
            <w:tcW w:w="0" w:type="auto"/>
            <w:vAlign w:val="center"/>
          </w:tcPr>
          <w:p w14:paraId="0695649C">
            <w:pPr>
              <w:pStyle w:val="14"/>
            </w:pPr>
            <w:r>
              <w:t>11.06</w:t>
            </w:r>
          </w:p>
        </w:tc>
        <w:tc>
          <w:tcPr>
            <w:tcW w:w="0" w:type="auto"/>
            <w:vAlign w:val="center"/>
          </w:tcPr>
          <w:p w14:paraId="765A1D24">
            <w:pPr>
              <w:pStyle w:val="14"/>
            </w:pPr>
            <w:r>
              <w:t>11.06</w:t>
            </w:r>
          </w:p>
        </w:tc>
        <w:tc>
          <w:tcPr>
            <w:tcW w:w="0" w:type="auto"/>
            <w:vAlign w:val="center"/>
          </w:tcPr>
          <w:p w14:paraId="28AEEDA4">
            <w:pPr>
              <w:pStyle w:val="14"/>
            </w:pPr>
          </w:p>
        </w:tc>
        <w:tc>
          <w:tcPr>
            <w:tcW w:w="0" w:type="auto"/>
            <w:vAlign w:val="center"/>
          </w:tcPr>
          <w:p w14:paraId="68FEFB42">
            <w:pPr>
              <w:pStyle w:val="14"/>
            </w:pPr>
          </w:p>
        </w:tc>
      </w:tr>
      <w:tr w14:paraId="0927D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105D527D">
            <w:pPr>
              <w:pStyle w:val="12"/>
            </w:pPr>
            <w:r>
              <w:t>9</w:t>
            </w:r>
          </w:p>
        </w:tc>
        <w:tc>
          <w:tcPr>
            <w:tcW w:w="0" w:type="auto"/>
            <w:vAlign w:val="center"/>
          </w:tcPr>
          <w:p w14:paraId="786BD3BB">
            <w:pPr>
              <w:pStyle w:val="13"/>
            </w:pPr>
          </w:p>
        </w:tc>
        <w:tc>
          <w:tcPr>
            <w:tcW w:w="0" w:type="auto"/>
            <w:vAlign w:val="center"/>
          </w:tcPr>
          <w:p w14:paraId="4C9D7E34">
            <w:pPr>
              <w:pStyle w:val="14"/>
            </w:pPr>
          </w:p>
        </w:tc>
        <w:tc>
          <w:tcPr>
            <w:tcW w:w="0" w:type="auto"/>
            <w:vAlign w:val="center"/>
          </w:tcPr>
          <w:p w14:paraId="7FA31881">
            <w:pPr>
              <w:pStyle w:val="13"/>
            </w:pPr>
            <w:r>
              <w:t>九、社会保险基金支出</w:t>
            </w:r>
          </w:p>
        </w:tc>
        <w:tc>
          <w:tcPr>
            <w:tcW w:w="0" w:type="auto"/>
            <w:vAlign w:val="center"/>
          </w:tcPr>
          <w:p w14:paraId="282D45BB">
            <w:pPr>
              <w:pStyle w:val="14"/>
            </w:pPr>
          </w:p>
        </w:tc>
        <w:tc>
          <w:tcPr>
            <w:tcW w:w="0" w:type="auto"/>
            <w:vAlign w:val="center"/>
          </w:tcPr>
          <w:p w14:paraId="0E567D30">
            <w:pPr>
              <w:pStyle w:val="14"/>
            </w:pPr>
          </w:p>
        </w:tc>
        <w:tc>
          <w:tcPr>
            <w:tcW w:w="0" w:type="auto"/>
            <w:vAlign w:val="center"/>
          </w:tcPr>
          <w:p w14:paraId="0C92F150">
            <w:pPr>
              <w:pStyle w:val="14"/>
            </w:pPr>
          </w:p>
        </w:tc>
        <w:tc>
          <w:tcPr>
            <w:tcW w:w="0" w:type="auto"/>
            <w:vAlign w:val="center"/>
          </w:tcPr>
          <w:p w14:paraId="276C27CA">
            <w:pPr>
              <w:pStyle w:val="14"/>
            </w:pPr>
          </w:p>
        </w:tc>
      </w:tr>
      <w:tr w14:paraId="4D6E6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7A252F86">
            <w:pPr>
              <w:pStyle w:val="12"/>
            </w:pPr>
            <w:r>
              <w:t>10</w:t>
            </w:r>
          </w:p>
        </w:tc>
        <w:tc>
          <w:tcPr>
            <w:tcW w:w="0" w:type="auto"/>
            <w:vAlign w:val="center"/>
          </w:tcPr>
          <w:p w14:paraId="6CD35575">
            <w:pPr>
              <w:pStyle w:val="13"/>
            </w:pPr>
          </w:p>
        </w:tc>
        <w:tc>
          <w:tcPr>
            <w:tcW w:w="0" w:type="auto"/>
            <w:vAlign w:val="center"/>
          </w:tcPr>
          <w:p w14:paraId="4FFDE3BE">
            <w:pPr>
              <w:pStyle w:val="14"/>
            </w:pPr>
          </w:p>
        </w:tc>
        <w:tc>
          <w:tcPr>
            <w:tcW w:w="0" w:type="auto"/>
            <w:vAlign w:val="center"/>
          </w:tcPr>
          <w:p w14:paraId="1D01B413">
            <w:pPr>
              <w:pStyle w:val="13"/>
            </w:pPr>
            <w:r>
              <w:t>十、卫生健康支出</w:t>
            </w:r>
          </w:p>
        </w:tc>
        <w:tc>
          <w:tcPr>
            <w:tcW w:w="0" w:type="auto"/>
            <w:vAlign w:val="center"/>
          </w:tcPr>
          <w:p w14:paraId="68494794">
            <w:pPr>
              <w:pStyle w:val="14"/>
            </w:pPr>
            <w:r>
              <w:t>4.99</w:t>
            </w:r>
          </w:p>
        </w:tc>
        <w:tc>
          <w:tcPr>
            <w:tcW w:w="0" w:type="auto"/>
            <w:vAlign w:val="center"/>
          </w:tcPr>
          <w:p w14:paraId="04623EFE">
            <w:pPr>
              <w:pStyle w:val="14"/>
            </w:pPr>
            <w:r>
              <w:t>4.99</w:t>
            </w:r>
          </w:p>
        </w:tc>
        <w:tc>
          <w:tcPr>
            <w:tcW w:w="0" w:type="auto"/>
            <w:vAlign w:val="center"/>
          </w:tcPr>
          <w:p w14:paraId="175DAE07">
            <w:pPr>
              <w:pStyle w:val="14"/>
            </w:pPr>
          </w:p>
        </w:tc>
        <w:tc>
          <w:tcPr>
            <w:tcW w:w="0" w:type="auto"/>
            <w:vAlign w:val="center"/>
          </w:tcPr>
          <w:p w14:paraId="7DE88121">
            <w:pPr>
              <w:pStyle w:val="14"/>
            </w:pPr>
          </w:p>
        </w:tc>
      </w:tr>
      <w:tr w14:paraId="4FBEF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7A6403D2">
            <w:pPr>
              <w:pStyle w:val="12"/>
            </w:pPr>
            <w:r>
              <w:t>11</w:t>
            </w:r>
          </w:p>
        </w:tc>
        <w:tc>
          <w:tcPr>
            <w:tcW w:w="0" w:type="auto"/>
            <w:vAlign w:val="center"/>
          </w:tcPr>
          <w:p w14:paraId="5271A738">
            <w:pPr>
              <w:pStyle w:val="13"/>
            </w:pPr>
          </w:p>
        </w:tc>
        <w:tc>
          <w:tcPr>
            <w:tcW w:w="0" w:type="auto"/>
            <w:vAlign w:val="center"/>
          </w:tcPr>
          <w:p w14:paraId="44242242">
            <w:pPr>
              <w:pStyle w:val="14"/>
            </w:pPr>
          </w:p>
        </w:tc>
        <w:tc>
          <w:tcPr>
            <w:tcW w:w="0" w:type="auto"/>
            <w:vAlign w:val="center"/>
          </w:tcPr>
          <w:p w14:paraId="44932AA3">
            <w:pPr>
              <w:pStyle w:val="13"/>
            </w:pPr>
            <w:r>
              <w:t>十一、节能环保支出</w:t>
            </w:r>
          </w:p>
        </w:tc>
        <w:tc>
          <w:tcPr>
            <w:tcW w:w="0" w:type="auto"/>
            <w:vAlign w:val="center"/>
          </w:tcPr>
          <w:p w14:paraId="6F56DFD1">
            <w:pPr>
              <w:pStyle w:val="14"/>
            </w:pPr>
          </w:p>
        </w:tc>
        <w:tc>
          <w:tcPr>
            <w:tcW w:w="0" w:type="auto"/>
            <w:vAlign w:val="center"/>
          </w:tcPr>
          <w:p w14:paraId="4C7CBB61">
            <w:pPr>
              <w:pStyle w:val="14"/>
            </w:pPr>
          </w:p>
        </w:tc>
        <w:tc>
          <w:tcPr>
            <w:tcW w:w="0" w:type="auto"/>
            <w:vAlign w:val="center"/>
          </w:tcPr>
          <w:p w14:paraId="3FC946BA">
            <w:pPr>
              <w:pStyle w:val="14"/>
            </w:pPr>
          </w:p>
        </w:tc>
        <w:tc>
          <w:tcPr>
            <w:tcW w:w="0" w:type="auto"/>
            <w:vAlign w:val="center"/>
          </w:tcPr>
          <w:p w14:paraId="6D4EA1F7">
            <w:pPr>
              <w:pStyle w:val="14"/>
            </w:pPr>
          </w:p>
        </w:tc>
      </w:tr>
      <w:tr w14:paraId="41C07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15E9C459">
            <w:pPr>
              <w:pStyle w:val="12"/>
            </w:pPr>
            <w:r>
              <w:t>12</w:t>
            </w:r>
          </w:p>
        </w:tc>
        <w:tc>
          <w:tcPr>
            <w:tcW w:w="0" w:type="auto"/>
            <w:vAlign w:val="center"/>
          </w:tcPr>
          <w:p w14:paraId="39D326AA">
            <w:pPr>
              <w:pStyle w:val="13"/>
            </w:pPr>
          </w:p>
        </w:tc>
        <w:tc>
          <w:tcPr>
            <w:tcW w:w="0" w:type="auto"/>
            <w:vAlign w:val="center"/>
          </w:tcPr>
          <w:p w14:paraId="10090212">
            <w:pPr>
              <w:pStyle w:val="14"/>
            </w:pPr>
          </w:p>
        </w:tc>
        <w:tc>
          <w:tcPr>
            <w:tcW w:w="0" w:type="auto"/>
            <w:vAlign w:val="center"/>
          </w:tcPr>
          <w:p w14:paraId="1079759A">
            <w:pPr>
              <w:pStyle w:val="13"/>
            </w:pPr>
            <w:r>
              <w:t>十二、城乡社区支出</w:t>
            </w:r>
          </w:p>
        </w:tc>
        <w:tc>
          <w:tcPr>
            <w:tcW w:w="0" w:type="auto"/>
            <w:vAlign w:val="center"/>
          </w:tcPr>
          <w:p w14:paraId="1D70100F">
            <w:pPr>
              <w:pStyle w:val="14"/>
            </w:pPr>
          </w:p>
        </w:tc>
        <w:tc>
          <w:tcPr>
            <w:tcW w:w="0" w:type="auto"/>
            <w:vAlign w:val="center"/>
          </w:tcPr>
          <w:p w14:paraId="40DFF237">
            <w:pPr>
              <w:pStyle w:val="14"/>
            </w:pPr>
          </w:p>
        </w:tc>
        <w:tc>
          <w:tcPr>
            <w:tcW w:w="0" w:type="auto"/>
            <w:vAlign w:val="center"/>
          </w:tcPr>
          <w:p w14:paraId="63554F99">
            <w:pPr>
              <w:pStyle w:val="14"/>
            </w:pPr>
          </w:p>
        </w:tc>
        <w:tc>
          <w:tcPr>
            <w:tcW w:w="0" w:type="auto"/>
            <w:vAlign w:val="center"/>
          </w:tcPr>
          <w:p w14:paraId="5A40240A">
            <w:pPr>
              <w:pStyle w:val="14"/>
            </w:pPr>
          </w:p>
        </w:tc>
      </w:tr>
      <w:tr w14:paraId="6D672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20DB3C61">
            <w:pPr>
              <w:pStyle w:val="12"/>
            </w:pPr>
            <w:r>
              <w:t>13</w:t>
            </w:r>
          </w:p>
        </w:tc>
        <w:tc>
          <w:tcPr>
            <w:tcW w:w="0" w:type="auto"/>
            <w:vAlign w:val="center"/>
          </w:tcPr>
          <w:p w14:paraId="23A0E8C5">
            <w:pPr>
              <w:pStyle w:val="13"/>
            </w:pPr>
          </w:p>
        </w:tc>
        <w:tc>
          <w:tcPr>
            <w:tcW w:w="0" w:type="auto"/>
            <w:vAlign w:val="center"/>
          </w:tcPr>
          <w:p w14:paraId="32F8DEC6">
            <w:pPr>
              <w:pStyle w:val="14"/>
            </w:pPr>
          </w:p>
        </w:tc>
        <w:tc>
          <w:tcPr>
            <w:tcW w:w="0" w:type="auto"/>
            <w:vAlign w:val="center"/>
          </w:tcPr>
          <w:p w14:paraId="020EA225">
            <w:pPr>
              <w:pStyle w:val="13"/>
            </w:pPr>
            <w:r>
              <w:t>十三、农林水支出</w:t>
            </w:r>
          </w:p>
        </w:tc>
        <w:tc>
          <w:tcPr>
            <w:tcW w:w="0" w:type="auto"/>
            <w:vAlign w:val="center"/>
          </w:tcPr>
          <w:p w14:paraId="030274BA">
            <w:pPr>
              <w:pStyle w:val="14"/>
            </w:pPr>
          </w:p>
        </w:tc>
        <w:tc>
          <w:tcPr>
            <w:tcW w:w="0" w:type="auto"/>
            <w:vAlign w:val="center"/>
          </w:tcPr>
          <w:p w14:paraId="4E671FAB">
            <w:pPr>
              <w:pStyle w:val="14"/>
            </w:pPr>
          </w:p>
        </w:tc>
        <w:tc>
          <w:tcPr>
            <w:tcW w:w="0" w:type="auto"/>
            <w:vAlign w:val="center"/>
          </w:tcPr>
          <w:p w14:paraId="44EB755A">
            <w:pPr>
              <w:pStyle w:val="14"/>
            </w:pPr>
          </w:p>
        </w:tc>
        <w:tc>
          <w:tcPr>
            <w:tcW w:w="0" w:type="auto"/>
            <w:vAlign w:val="center"/>
          </w:tcPr>
          <w:p w14:paraId="00A5625D">
            <w:pPr>
              <w:pStyle w:val="14"/>
            </w:pPr>
          </w:p>
        </w:tc>
      </w:tr>
      <w:tr w14:paraId="1A7B4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7E0F07E1">
            <w:pPr>
              <w:pStyle w:val="12"/>
            </w:pPr>
            <w:r>
              <w:t>14</w:t>
            </w:r>
          </w:p>
        </w:tc>
        <w:tc>
          <w:tcPr>
            <w:tcW w:w="0" w:type="auto"/>
            <w:vAlign w:val="center"/>
          </w:tcPr>
          <w:p w14:paraId="031A6802">
            <w:pPr>
              <w:pStyle w:val="13"/>
            </w:pPr>
          </w:p>
        </w:tc>
        <w:tc>
          <w:tcPr>
            <w:tcW w:w="0" w:type="auto"/>
            <w:vAlign w:val="center"/>
          </w:tcPr>
          <w:p w14:paraId="0782D42A">
            <w:pPr>
              <w:pStyle w:val="14"/>
            </w:pPr>
          </w:p>
        </w:tc>
        <w:tc>
          <w:tcPr>
            <w:tcW w:w="0" w:type="auto"/>
            <w:vAlign w:val="center"/>
          </w:tcPr>
          <w:p w14:paraId="495D81CA">
            <w:pPr>
              <w:pStyle w:val="13"/>
            </w:pPr>
            <w:r>
              <w:t>十四、交通运输支出</w:t>
            </w:r>
          </w:p>
        </w:tc>
        <w:tc>
          <w:tcPr>
            <w:tcW w:w="0" w:type="auto"/>
            <w:vAlign w:val="center"/>
          </w:tcPr>
          <w:p w14:paraId="376ED0F4">
            <w:pPr>
              <w:pStyle w:val="14"/>
            </w:pPr>
          </w:p>
        </w:tc>
        <w:tc>
          <w:tcPr>
            <w:tcW w:w="0" w:type="auto"/>
            <w:vAlign w:val="center"/>
          </w:tcPr>
          <w:p w14:paraId="45EA3B7C">
            <w:pPr>
              <w:pStyle w:val="14"/>
            </w:pPr>
          </w:p>
        </w:tc>
        <w:tc>
          <w:tcPr>
            <w:tcW w:w="0" w:type="auto"/>
            <w:vAlign w:val="center"/>
          </w:tcPr>
          <w:p w14:paraId="0661D9F5">
            <w:pPr>
              <w:pStyle w:val="14"/>
            </w:pPr>
          </w:p>
        </w:tc>
        <w:tc>
          <w:tcPr>
            <w:tcW w:w="0" w:type="auto"/>
            <w:vAlign w:val="center"/>
          </w:tcPr>
          <w:p w14:paraId="4089BF8A">
            <w:pPr>
              <w:pStyle w:val="14"/>
            </w:pPr>
          </w:p>
        </w:tc>
      </w:tr>
      <w:tr w14:paraId="0A778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0FA5E897">
            <w:pPr>
              <w:pStyle w:val="12"/>
            </w:pPr>
            <w:r>
              <w:t>15</w:t>
            </w:r>
          </w:p>
        </w:tc>
        <w:tc>
          <w:tcPr>
            <w:tcW w:w="0" w:type="auto"/>
            <w:vAlign w:val="center"/>
          </w:tcPr>
          <w:p w14:paraId="1330309A">
            <w:pPr>
              <w:pStyle w:val="13"/>
            </w:pPr>
          </w:p>
        </w:tc>
        <w:tc>
          <w:tcPr>
            <w:tcW w:w="0" w:type="auto"/>
            <w:vAlign w:val="center"/>
          </w:tcPr>
          <w:p w14:paraId="6634ED6F">
            <w:pPr>
              <w:pStyle w:val="14"/>
            </w:pPr>
          </w:p>
        </w:tc>
        <w:tc>
          <w:tcPr>
            <w:tcW w:w="0" w:type="auto"/>
            <w:vAlign w:val="center"/>
          </w:tcPr>
          <w:p w14:paraId="5C1D8EA8">
            <w:pPr>
              <w:pStyle w:val="13"/>
            </w:pPr>
            <w:r>
              <w:t>十五、资源勘探工业信息等支出</w:t>
            </w:r>
          </w:p>
        </w:tc>
        <w:tc>
          <w:tcPr>
            <w:tcW w:w="0" w:type="auto"/>
            <w:vAlign w:val="center"/>
          </w:tcPr>
          <w:p w14:paraId="33AF640B">
            <w:pPr>
              <w:pStyle w:val="14"/>
            </w:pPr>
          </w:p>
        </w:tc>
        <w:tc>
          <w:tcPr>
            <w:tcW w:w="0" w:type="auto"/>
            <w:vAlign w:val="center"/>
          </w:tcPr>
          <w:p w14:paraId="5C41D48A">
            <w:pPr>
              <w:pStyle w:val="14"/>
            </w:pPr>
          </w:p>
        </w:tc>
        <w:tc>
          <w:tcPr>
            <w:tcW w:w="0" w:type="auto"/>
            <w:vAlign w:val="center"/>
          </w:tcPr>
          <w:p w14:paraId="469B09B7">
            <w:pPr>
              <w:pStyle w:val="14"/>
            </w:pPr>
          </w:p>
        </w:tc>
        <w:tc>
          <w:tcPr>
            <w:tcW w:w="0" w:type="auto"/>
            <w:vAlign w:val="center"/>
          </w:tcPr>
          <w:p w14:paraId="506A137B">
            <w:pPr>
              <w:pStyle w:val="14"/>
            </w:pPr>
          </w:p>
        </w:tc>
      </w:tr>
      <w:tr w14:paraId="561E7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262F7FBF">
            <w:pPr>
              <w:pStyle w:val="12"/>
            </w:pPr>
            <w:r>
              <w:t>16</w:t>
            </w:r>
          </w:p>
        </w:tc>
        <w:tc>
          <w:tcPr>
            <w:tcW w:w="0" w:type="auto"/>
            <w:vAlign w:val="center"/>
          </w:tcPr>
          <w:p w14:paraId="2D2D9C67">
            <w:pPr>
              <w:pStyle w:val="13"/>
            </w:pPr>
          </w:p>
        </w:tc>
        <w:tc>
          <w:tcPr>
            <w:tcW w:w="0" w:type="auto"/>
            <w:vAlign w:val="center"/>
          </w:tcPr>
          <w:p w14:paraId="2148E9E0">
            <w:pPr>
              <w:pStyle w:val="14"/>
            </w:pPr>
          </w:p>
        </w:tc>
        <w:tc>
          <w:tcPr>
            <w:tcW w:w="0" w:type="auto"/>
            <w:vAlign w:val="center"/>
          </w:tcPr>
          <w:p w14:paraId="558E77BC">
            <w:pPr>
              <w:pStyle w:val="13"/>
            </w:pPr>
            <w:r>
              <w:t>十六、商业服务业等支出</w:t>
            </w:r>
          </w:p>
        </w:tc>
        <w:tc>
          <w:tcPr>
            <w:tcW w:w="0" w:type="auto"/>
            <w:vAlign w:val="center"/>
          </w:tcPr>
          <w:p w14:paraId="079DC82F">
            <w:pPr>
              <w:pStyle w:val="14"/>
            </w:pPr>
          </w:p>
        </w:tc>
        <w:tc>
          <w:tcPr>
            <w:tcW w:w="0" w:type="auto"/>
            <w:vAlign w:val="center"/>
          </w:tcPr>
          <w:p w14:paraId="76CDAFEA">
            <w:pPr>
              <w:pStyle w:val="14"/>
            </w:pPr>
          </w:p>
        </w:tc>
        <w:tc>
          <w:tcPr>
            <w:tcW w:w="0" w:type="auto"/>
            <w:vAlign w:val="center"/>
          </w:tcPr>
          <w:p w14:paraId="149586E6">
            <w:pPr>
              <w:pStyle w:val="14"/>
            </w:pPr>
          </w:p>
        </w:tc>
        <w:tc>
          <w:tcPr>
            <w:tcW w:w="0" w:type="auto"/>
            <w:vAlign w:val="center"/>
          </w:tcPr>
          <w:p w14:paraId="5638E67D">
            <w:pPr>
              <w:pStyle w:val="14"/>
            </w:pPr>
          </w:p>
        </w:tc>
      </w:tr>
      <w:tr w14:paraId="53D3B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76B8613E">
            <w:pPr>
              <w:pStyle w:val="12"/>
            </w:pPr>
            <w:r>
              <w:t>17</w:t>
            </w:r>
          </w:p>
        </w:tc>
        <w:tc>
          <w:tcPr>
            <w:tcW w:w="0" w:type="auto"/>
            <w:vAlign w:val="center"/>
          </w:tcPr>
          <w:p w14:paraId="5E696272">
            <w:pPr>
              <w:pStyle w:val="13"/>
            </w:pPr>
          </w:p>
        </w:tc>
        <w:tc>
          <w:tcPr>
            <w:tcW w:w="0" w:type="auto"/>
            <w:vAlign w:val="center"/>
          </w:tcPr>
          <w:p w14:paraId="19C1376E">
            <w:pPr>
              <w:pStyle w:val="14"/>
            </w:pPr>
          </w:p>
        </w:tc>
        <w:tc>
          <w:tcPr>
            <w:tcW w:w="0" w:type="auto"/>
            <w:vAlign w:val="center"/>
          </w:tcPr>
          <w:p w14:paraId="5D42C48C">
            <w:pPr>
              <w:pStyle w:val="13"/>
            </w:pPr>
            <w:r>
              <w:t>十七、金融支出</w:t>
            </w:r>
          </w:p>
        </w:tc>
        <w:tc>
          <w:tcPr>
            <w:tcW w:w="0" w:type="auto"/>
            <w:vAlign w:val="center"/>
          </w:tcPr>
          <w:p w14:paraId="76C6F41A">
            <w:pPr>
              <w:pStyle w:val="14"/>
            </w:pPr>
          </w:p>
        </w:tc>
        <w:tc>
          <w:tcPr>
            <w:tcW w:w="0" w:type="auto"/>
            <w:vAlign w:val="center"/>
          </w:tcPr>
          <w:p w14:paraId="38479BA1">
            <w:pPr>
              <w:pStyle w:val="14"/>
            </w:pPr>
          </w:p>
        </w:tc>
        <w:tc>
          <w:tcPr>
            <w:tcW w:w="0" w:type="auto"/>
            <w:vAlign w:val="center"/>
          </w:tcPr>
          <w:p w14:paraId="14E0C9CE">
            <w:pPr>
              <w:pStyle w:val="14"/>
            </w:pPr>
          </w:p>
        </w:tc>
        <w:tc>
          <w:tcPr>
            <w:tcW w:w="0" w:type="auto"/>
            <w:vAlign w:val="center"/>
          </w:tcPr>
          <w:p w14:paraId="46AFFE0F">
            <w:pPr>
              <w:pStyle w:val="14"/>
            </w:pPr>
          </w:p>
        </w:tc>
      </w:tr>
      <w:tr w14:paraId="472E6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6ADFF786">
            <w:pPr>
              <w:pStyle w:val="12"/>
            </w:pPr>
            <w:r>
              <w:t>18</w:t>
            </w:r>
          </w:p>
        </w:tc>
        <w:tc>
          <w:tcPr>
            <w:tcW w:w="0" w:type="auto"/>
            <w:vAlign w:val="center"/>
          </w:tcPr>
          <w:p w14:paraId="0FD0A199">
            <w:pPr>
              <w:pStyle w:val="13"/>
            </w:pPr>
          </w:p>
        </w:tc>
        <w:tc>
          <w:tcPr>
            <w:tcW w:w="0" w:type="auto"/>
            <w:vAlign w:val="center"/>
          </w:tcPr>
          <w:p w14:paraId="5F3A1EDC">
            <w:pPr>
              <w:pStyle w:val="14"/>
            </w:pPr>
          </w:p>
        </w:tc>
        <w:tc>
          <w:tcPr>
            <w:tcW w:w="0" w:type="auto"/>
            <w:vAlign w:val="center"/>
          </w:tcPr>
          <w:p w14:paraId="205C01D3">
            <w:pPr>
              <w:pStyle w:val="13"/>
            </w:pPr>
            <w:r>
              <w:t>十八、援助其他地区支出</w:t>
            </w:r>
          </w:p>
        </w:tc>
        <w:tc>
          <w:tcPr>
            <w:tcW w:w="0" w:type="auto"/>
            <w:vAlign w:val="center"/>
          </w:tcPr>
          <w:p w14:paraId="3A73ACEE">
            <w:pPr>
              <w:pStyle w:val="14"/>
            </w:pPr>
          </w:p>
        </w:tc>
        <w:tc>
          <w:tcPr>
            <w:tcW w:w="0" w:type="auto"/>
            <w:vAlign w:val="center"/>
          </w:tcPr>
          <w:p w14:paraId="63A7E9D9">
            <w:pPr>
              <w:pStyle w:val="14"/>
            </w:pPr>
          </w:p>
        </w:tc>
        <w:tc>
          <w:tcPr>
            <w:tcW w:w="0" w:type="auto"/>
            <w:vAlign w:val="center"/>
          </w:tcPr>
          <w:p w14:paraId="58EC4951">
            <w:pPr>
              <w:pStyle w:val="14"/>
            </w:pPr>
          </w:p>
        </w:tc>
        <w:tc>
          <w:tcPr>
            <w:tcW w:w="0" w:type="auto"/>
            <w:vAlign w:val="center"/>
          </w:tcPr>
          <w:p w14:paraId="2080AB5C">
            <w:pPr>
              <w:pStyle w:val="14"/>
            </w:pPr>
          </w:p>
        </w:tc>
      </w:tr>
      <w:tr w14:paraId="6C593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0C3C3598">
            <w:pPr>
              <w:pStyle w:val="12"/>
            </w:pPr>
            <w:r>
              <w:t>19</w:t>
            </w:r>
          </w:p>
        </w:tc>
        <w:tc>
          <w:tcPr>
            <w:tcW w:w="0" w:type="auto"/>
            <w:vAlign w:val="center"/>
          </w:tcPr>
          <w:p w14:paraId="17D5508D">
            <w:pPr>
              <w:pStyle w:val="13"/>
            </w:pPr>
          </w:p>
        </w:tc>
        <w:tc>
          <w:tcPr>
            <w:tcW w:w="0" w:type="auto"/>
            <w:vAlign w:val="center"/>
          </w:tcPr>
          <w:p w14:paraId="2784ABAB">
            <w:pPr>
              <w:pStyle w:val="14"/>
            </w:pPr>
          </w:p>
        </w:tc>
        <w:tc>
          <w:tcPr>
            <w:tcW w:w="0" w:type="auto"/>
            <w:vAlign w:val="center"/>
          </w:tcPr>
          <w:p w14:paraId="1D84C836">
            <w:pPr>
              <w:pStyle w:val="13"/>
            </w:pPr>
            <w:r>
              <w:t>十九、自然资源海洋气象等支出</w:t>
            </w:r>
          </w:p>
        </w:tc>
        <w:tc>
          <w:tcPr>
            <w:tcW w:w="0" w:type="auto"/>
            <w:vAlign w:val="center"/>
          </w:tcPr>
          <w:p w14:paraId="12D56C32">
            <w:pPr>
              <w:pStyle w:val="14"/>
            </w:pPr>
          </w:p>
        </w:tc>
        <w:tc>
          <w:tcPr>
            <w:tcW w:w="0" w:type="auto"/>
            <w:vAlign w:val="center"/>
          </w:tcPr>
          <w:p w14:paraId="1540847F">
            <w:pPr>
              <w:pStyle w:val="14"/>
            </w:pPr>
          </w:p>
        </w:tc>
        <w:tc>
          <w:tcPr>
            <w:tcW w:w="0" w:type="auto"/>
            <w:vAlign w:val="center"/>
          </w:tcPr>
          <w:p w14:paraId="36F6DF10">
            <w:pPr>
              <w:pStyle w:val="14"/>
            </w:pPr>
          </w:p>
        </w:tc>
        <w:tc>
          <w:tcPr>
            <w:tcW w:w="0" w:type="auto"/>
            <w:vAlign w:val="center"/>
          </w:tcPr>
          <w:p w14:paraId="795ED20B">
            <w:pPr>
              <w:pStyle w:val="14"/>
            </w:pPr>
          </w:p>
        </w:tc>
      </w:tr>
      <w:tr w14:paraId="528B1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38E36279">
            <w:pPr>
              <w:pStyle w:val="12"/>
            </w:pPr>
            <w:r>
              <w:t>20</w:t>
            </w:r>
          </w:p>
        </w:tc>
        <w:tc>
          <w:tcPr>
            <w:tcW w:w="0" w:type="auto"/>
            <w:vAlign w:val="center"/>
          </w:tcPr>
          <w:p w14:paraId="2CFA1521">
            <w:pPr>
              <w:pStyle w:val="13"/>
            </w:pPr>
          </w:p>
        </w:tc>
        <w:tc>
          <w:tcPr>
            <w:tcW w:w="0" w:type="auto"/>
            <w:vAlign w:val="center"/>
          </w:tcPr>
          <w:p w14:paraId="4D0E0251">
            <w:pPr>
              <w:pStyle w:val="14"/>
            </w:pPr>
          </w:p>
        </w:tc>
        <w:tc>
          <w:tcPr>
            <w:tcW w:w="0" w:type="auto"/>
            <w:vAlign w:val="center"/>
          </w:tcPr>
          <w:p w14:paraId="16FD5C90">
            <w:pPr>
              <w:pStyle w:val="13"/>
            </w:pPr>
            <w:r>
              <w:t>二十、住房保障支出</w:t>
            </w:r>
          </w:p>
        </w:tc>
        <w:tc>
          <w:tcPr>
            <w:tcW w:w="0" w:type="auto"/>
            <w:vAlign w:val="center"/>
          </w:tcPr>
          <w:p w14:paraId="52E1BB36">
            <w:pPr>
              <w:pStyle w:val="14"/>
            </w:pPr>
            <w:r>
              <w:t>8.61</w:t>
            </w:r>
          </w:p>
        </w:tc>
        <w:tc>
          <w:tcPr>
            <w:tcW w:w="0" w:type="auto"/>
            <w:vAlign w:val="center"/>
          </w:tcPr>
          <w:p w14:paraId="589BFEFD">
            <w:pPr>
              <w:pStyle w:val="14"/>
            </w:pPr>
            <w:r>
              <w:t>8.61</w:t>
            </w:r>
          </w:p>
        </w:tc>
        <w:tc>
          <w:tcPr>
            <w:tcW w:w="0" w:type="auto"/>
            <w:vAlign w:val="center"/>
          </w:tcPr>
          <w:p w14:paraId="0D1D4936">
            <w:pPr>
              <w:pStyle w:val="14"/>
            </w:pPr>
          </w:p>
        </w:tc>
        <w:tc>
          <w:tcPr>
            <w:tcW w:w="0" w:type="auto"/>
            <w:vAlign w:val="center"/>
          </w:tcPr>
          <w:p w14:paraId="6761CF02">
            <w:pPr>
              <w:pStyle w:val="14"/>
            </w:pPr>
          </w:p>
        </w:tc>
      </w:tr>
      <w:tr w14:paraId="2C8B2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5B07424F">
            <w:pPr>
              <w:pStyle w:val="12"/>
            </w:pPr>
            <w:r>
              <w:t>21</w:t>
            </w:r>
          </w:p>
        </w:tc>
        <w:tc>
          <w:tcPr>
            <w:tcW w:w="0" w:type="auto"/>
            <w:vAlign w:val="center"/>
          </w:tcPr>
          <w:p w14:paraId="136AD0EB">
            <w:pPr>
              <w:pStyle w:val="13"/>
            </w:pPr>
          </w:p>
        </w:tc>
        <w:tc>
          <w:tcPr>
            <w:tcW w:w="0" w:type="auto"/>
            <w:vAlign w:val="center"/>
          </w:tcPr>
          <w:p w14:paraId="6BF7A4D9">
            <w:pPr>
              <w:pStyle w:val="14"/>
            </w:pPr>
          </w:p>
        </w:tc>
        <w:tc>
          <w:tcPr>
            <w:tcW w:w="0" w:type="auto"/>
            <w:vAlign w:val="center"/>
          </w:tcPr>
          <w:p w14:paraId="576C96AA">
            <w:pPr>
              <w:pStyle w:val="13"/>
            </w:pPr>
            <w:r>
              <w:t>二十一、粮油物资储备支出</w:t>
            </w:r>
          </w:p>
        </w:tc>
        <w:tc>
          <w:tcPr>
            <w:tcW w:w="0" w:type="auto"/>
            <w:vAlign w:val="center"/>
          </w:tcPr>
          <w:p w14:paraId="54286947">
            <w:pPr>
              <w:pStyle w:val="14"/>
            </w:pPr>
          </w:p>
        </w:tc>
        <w:tc>
          <w:tcPr>
            <w:tcW w:w="0" w:type="auto"/>
            <w:vAlign w:val="center"/>
          </w:tcPr>
          <w:p w14:paraId="4127F791">
            <w:pPr>
              <w:pStyle w:val="14"/>
            </w:pPr>
          </w:p>
        </w:tc>
        <w:tc>
          <w:tcPr>
            <w:tcW w:w="0" w:type="auto"/>
            <w:vAlign w:val="center"/>
          </w:tcPr>
          <w:p w14:paraId="65617E90">
            <w:pPr>
              <w:pStyle w:val="14"/>
            </w:pPr>
          </w:p>
        </w:tc>
        <w:tc>
          <w:tcPr>
            <w:tcW w:w="0" w:type="auto"/>
            <w:vAlign w:val="center"/>
          </w:tcPr>
          <w:p w14:paraId="7DC619E6">
            <w:pPr>
              <w:pStyle w:val="14"/>
            </w:pPr>
          </w:p>
        </w:tc>
      </w:tr>
      <w:tr w14:paraId="0E49F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033581D5">
            <w:pPr>
              <w:pStyle w:val="12"/>
            </w:pPr>
            <w:r>
              <w:t>22</w:t>
            </w:r>
          </w:p>
        </w:tc>
        <w:tc>
          <w:tcPr>
            <w:tcW w:w="0" w:type="auto"/>
            <w:vAlign w:val="center"/>
          </w:tcPr>
          <w:p w14:paraId="5C1DCA8A">
            <w:pPr>
              <w:pStyle w:val="13"/>
            </w:pPr>
          </w:p>
        </w:tc>
        <w:tc>
          <w:tcPr>
            <w:tcW w:w="0" w:type="auto"/>
            <w:vAlign w:val="center"/>
          </w:tcPr>
          <w:p w14:paraId="53D2DFA0">
            <w:pPr>
              <w:pStyle w:val="14"/>
            </w:pPr>
          </w:p>
        </w:tc>
        <w:tc>
          <w:tcPr>
            <w:tcW w:w="0" w:type="auto"/>
            <w:vAlign w:val="center"/>
          </w:tcPr>
          <w:p w14:paraId="0EA8718C">
            <w:pPr>
              <w:pStyle w:val="13"/>
            </w:pPr>
            <w:r>
              <w:t>二十二、国有资本经营预算支出</w:t>
            </w:r>
          </w:p>
        </w:tc>
        <w:tc>
          <w:tcPr>
            <w:tcW w:w="0" w:type="auto"/>
            <w:vAlign w:val="center"/>
          </w:tcPr>
          <w:p w14:paraId="616555EA">
            <w:pPr>
              <w:pStyle w:val="14"/>
            </w:pPr>
          </w:p>
        </w:tc>
        <w:tc>
          <w:tcPr>
            <w:tcW w:w="0" w:type="auto"/>
            <w:vAlign w:val="center"/>
          </w:tcPr>
          <w:p w14:paraId="68942090">
            <w:pPr>
              <w:pStyle w:val="14"/>
            </w:pPr>
          </w:p>
        </w:tc>
        <w:tc>
          <w:tcPr>
            <w:tcW w:w="0" w:type="auto"/>
            <w:vAlign w:val="center"/>
          </w:tcPr>
          <w:p w14:paraId="6B1566C8">
            <w:pPr>
              <w:pStyle w:val="14"/>
            </w:pPr>
          </w:p>
        </w:tc>
        <w:tc>
          <w:tcPr>
            <w:tcW w:w="0" w:type="auto"/>
            <w:vAlign w:val="center"/>
          </w:tcPr>
          <w:p w14:paraId="75DEBB48">
            <w:pPr>
              <w:pStyle w:val="14"/>
            </w:pPr>
          </w:p>
        </w:tc>
      </w:tr>
      <w:tr w14:paraId="6AEEE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406B6BBF">
            <w:pPr>
              <w:pStyle w:val="12"/>
            </w:pPr>
            <w:r>
              <w:t>23</w:t>
            </w:r>
          </w:p>
        </w:tc>
        <w:tc>
          <w:tcPr>
            <w:tcW w:w="0" w:type="auto"/>
            <w:vAlign w:val="center"/>
          </w:tcPr>
          <w:p w14:paraId="5CC47159">
            <w:pPr>
              <w:pStyle w:val="13"/>
            </w:pPr>
          </w:p>
        </w:tc>
        <w:tc>
          <w:tcPr>
            <w:tcW w:w="0" w:type="auto"/>
            <w:vAlign w:val="center"/>
          </w:tcPr>
          <w:p w14:paraId="2A4C6829">
            <w:pPr>
              <w:pStyle w:val="14"/>
            </w:pPr>
          </w:p>
        </w:tc>
        <w:tc>
          <w:tcPr>
            <w:tcW w:w="0" w:type="auto"/>
            <w:vAlign w:val="center"/>
          </w:tcPr>
          <w:p w14:paraId="73A67155">
            <w:pPr>
              <w:pStyle w:val="13"/>
            </w:pPr>
            <w:r>
              <w:t>二十三、灾害防治及应急管理支出</w:t>
            </w:r>
          </w:p>
        </w:tc>
        <w:tc>
          <w:tcPr>
            <w:tcW w:w="0" w:type="auto"/>
            <w:vAlign w:val="center"/>
          </w:tcPr>
          <w:p w14:paraId="22AE3171">
            <w:pPr>
              <w:pStyle w:val="14"/>
            </w:pPr>
          </w:p>
        </w:tc>
        <w:tc>
          <w:tcPr>
            <w:tcW w:w="0" w:type="auto"/>
            <w:vAlign w:val="center"/>
          </w:tcPr>
          <w:p w14:paraId="2BA75D20">
            <w:pPr>
              <w:pStyle w:val="14"/>
            </w:pPr>
          </w:p>
        </w:tc>
        <w:tc>
          <w:tcPr>
            <w:tcW w:w="0" w:type="auto"/>
            <w:vAlign w:val="center"/>
          </w:tcPr>
          <w:p w14:paraId="10FD4397">
            <w:pPr>
              <w:pStyle w:val="14"/>
            </w:pPr>
          </w:p>
        </w:tc>
        <w:tc>
          <w:tcPr>
            <w:tcW w:w="0" w:type="auto"/>
            <w:vAlign w:val="center"/>
          </w:tcPr>
          <w:p w14:paraId="1467564C">
            <w:pPr>
              <w:pStyle w:val="14"/>
            </w:pPr>
          </w:p>
        </w:tc>
      </w:tr>
      <w:tr w14:paraId="3C9F8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7C1F6BC3">
            <w:pPr>
              <w:pStyle w:val="12"/>
            </w:pPr>
            <w:r>
              <w:t>24</w:t>
            </w:r>
          </w:p>
        </w:tc>
        <w:tc>
          <w:tcPr>
            <w:tcW w:w="0" w:type="auto"/>
            <w:vAlign w:val="center"/>
          </w:tcPr>
          <w:p w14:paraId="5F065703">
            <w:pPr>
              <w:pStyle w:val="13"/>
            </w:pPr>
          </w:p>
        </w:tc>
        <w:tc>
          <w:tcPr>
            <w:tcW w:w="0" w:type="auto"/>
            <w:vAlign w:val="center"/>
          </w:tcPr>
          <w:p w14:paraId="031B154F">
            <w:pPr>
              <w:pStyle w:val="14"/>
            </w:pPr>
          </w:p>
        </w:tc>
        <w:tc>
          <w:tcPr>
            <w:tcW w:w="0" w:type="auto"/>
            <w:vAlign w:val="center"/>
          </w:tcPr>
          <w:p w14:paraId="33DC96D9">
            <w:pPr>
              <w:pStyle w:val="13"/>
            </w:pPr>
            <w:r>
              <w:t>二十四、预备费</w:t>
            </w:r>
          </w:p>
        </w:tc>
        <w:tc>
          <w:tcPr>
            <w:tcW w:w="0" w:type="auto"/>
            <w:vAlign w:val="center"/>
          </w:tcPr>
          <w:p w14:paraId="176B1C37">
            <w:pPr>
              <w:pStyle w:val="14"/>
            </w:pPr>
          </w:p>
        </w:tc>
        <w:tc>
          <w:tcPr>
            <w:tcW w:w="0" w:type="auto"/>
            <w:vAlign w:val="center"/>
          </w:tcPr>
          <w:p w14:paraId="5008D811">
            <w:pPr>
              <w:pStyle w:val="14"/>
            </w:pPr>
          </w:p>
        </w:tc>
        <w:tc>
          <w:tcPr>
            <w:tcW w:w="0" w:type="auto"/>
            <w:vAlign w:val="center"/>
          </w:tcPr>
          <w:p w14:paraId="6301EE92">
            <w:pPr>
              <w:pStyle w:val="14"/>
            </w:pPr>
          </w:p>
        </w:tc>
        <w:tc>
          <w:tcPr>
            <w:tcW w:w="0" w:type="auto"/>
            <w:vAlign w:val="center"/>
          </w:tcPr>
          <w:p w14:paraId="706DBDD5">
            <w:pPr>
              <w:pStyle w:val="14"/>
            </w:pPr>
          </w:p>
        </w:tc>
      </w:tr>
      <w:tr w14:paraId="0AD84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517580EF">
            <w:pPr>
              <w:pStyle w:val="12"/>
            </w:pPr>
            <w:r>
              <w:t>25</w:t>
            </w:r>
          </w:p>
        </w:tc>
        <w:tc>
          <w:tcPr>
            <w:tcW w:w="0" w:type="auto"/>
            <w:vAlign w:val="center"/>
          </w:tcPr>
          <w:p w14:paraId="4E95E03D">
            <w:pPr>
              <w:pStyle w:val="13"/>
            </w:pPr>
          </w:p>
        </w:tc>
        <w:tc>
          <w:tcPr>
            <w:tcW w:w="0" w:type="auto"/>
            <w:vAlign w:val="center"/>
          </w:tcPr>
          <w:p w14:paraId="7CB26613">
            <w:pPr>
              <w:pStyle w:val="14"/>
            </w:pPr>
          </w:p>
        </w:tc>
        <w:tc>
          <w:tcPr>
            <w:tcW w:w="0" w:type="auto"/>
            <w:vAlign w:val="center"/>
          </w:tcPr>
          <w:p w14:paraId="523C0056">
            <w:pPr>
              <w:pStyle w:val="13"/>
            </w:pPr>
            <w:r>
              <w:t>二十五、其他支出</w:t>
            </w:r>
          </w:p>
        </w:tc>
        <w:tc>
          <w:tcPr>
            <w:tcW w:w="0" w:type="auto"/>
            <w:vAlign w:val="center"/>
          </w:tcPr>
          <w:p w14:paraId="4ABD13BF">
            <w:pPr>
              <w:pStyle w:val="14"/>
            </w:pPr>
          </w:p>
        </w:tc>
        <w:tc>
          <w:tcPr>
            <w:tcW w:w="0" w:type="auto"/>
            <w:vAlign w:val="center"/>
          </w:tcPr>
          <w:p w14:paraId="746224ED">
            <w:pPr>
              <w:pStyle w:val="14"/>
            </w:pPr>
          </w:p>
        </w:tc>
        <w:tc>
          <w:tcPr>
            <w:tcW w:w="0" w:type="auto"/>
            <w:vAlign w:val="center"/>
          </w:tcPr>
          <w:p w14:paraId="23F63DD5">
            <w:pPr>
              <w:pStyle w:val="14"/>
            </w:pPr>
          </w:p>
        </w:tc>
        <w:tc>
          <w:tcPr>
            <w:tcW w:w="0" w:type="auto"/>
            <w:vAlign w:val="center"/>
          </w:tcPr>
          <w:p w14:paraId="342295FB">
            <w:pPr>
              <w:pStyle w:val="14"/>
            </w:pPr>
          </w:p>
        </w:tc>
      </w:tr>
      <w:tr w14:paraId="2A433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61B124FF">
            <w:pPr>
              <w:pStyle w:val="12"/>
            </w:pPr>
            <w:r>
              <w:t>26</w:t>
            </w:r>
          </w:p>
        </w:tc>
        <w:tc>
          <w:tcPr>
            <w:tcW w:w="0" w:type="auto"/>
            <w:vAlign w:val="center"/>
          </w:tcPr>
          <w:p w14:paraId="3D72FE09">
            <w:pPr>
              <w:pStyle w:val="13"/>
            </w:pPr>
          </w:p>
        </w:tc>
        <w:tc>
          <w:tcPr>
            <w:tcW w:w="0" w:type="auto"/>
            <w:vAlign w:val="center"/>
          </w:tcPr>
          <w:p w14:paraId="6C10D242">
            <w:pPr>
              <w:pStyle w:val="14"/>
            </w:pPr>
          </w:p>
        </w:tc>
        <w:tc>
          <w:tcPr>
            <w:tcW w:w="0" w:type="auto"/>
            <w:vAlign w:val="center"/>
          </w:tcPr>
          <w:p w14:paraId="544F9F67">
            <w:pPr>
              <w:pStyle w:val="13"/>
            </w:pPr>
            <w:r>
              <w:t>二十六、转移性支出</w:t>
            </w:r>
          </w:p>
        </w:tc>
        <w:tc>
          <w:tcPr>
            <w:tcW w:w="0" w:type="auto"/>
            <w:vAlign w:val="center"/>
          </w:tcPr>
          <w:p w14:paraId="19E7B60D">
            <w:pPr>
              <w:pStyle w:val="14"/>
            </w:pPr>
          </w:p>
        </w:tc>
        <w:tc>
          <w:tcPr>
            <w:tcW w:w="0" w:type="auto"/>
            <w:vAlign w:val="center"/>
          </w:tcPr>
          <w:p w14:paraId="4D332E1C">
            <w:pPr>
              <w:pStyle w:val="14"/>
            </w:pPr>
          </w:p>
        </w:tc>
        <w:tc>
          <w:tcPr>
            <w:tcW w:w="0" w:type="auto"/>
            <w:vAlign w:val="center"/>
          </w:tcPr>
          <w:p w14:paraId="5D7E05CA">
            <w:pPr>
              <w:pStyle w:val="14"/>
            </w:pPr>
          </w:p>
        </w:tc>
        <w:tc>
          <w:tcPr>
            <w:tcW w:w="0" w:type="auto"/>
            <w:vAlign w:val="center"/>
          </w:tcPr>
          <w:p w14:paraId="5B363E1C">
            <w:pPr>
              <w:pStyle w:val="14"/>
            </w:pPr>
          </w:p>
        </w:tc>
      </w:tr>
      <w:tr w14:paraId="1D5C9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421743AA">
            <w:pPr>
              <w:pStyle w:val="12"/>
            </w:pPr>
            <w:r>
              <w:t>27</w:t>
            </w:r>
          </w:p>
        </w:tc>
        <w:tc>
          <w:tcPr>
            <w:tcW w:w="0" w:type="auto"/>
            <w:vAlign w:val="center"/>
          </w:tcPr>
          <w:p w14:paraId="388B7FC0">
            <w:pPr>
              <w:pStyle w:val="13"/>
            </w:pPr>
          </w:p>
        </w:tc>
        <w:tc>
          <w:tcPr>
            <w:tcW w:w="0" w:type="auto"/>
            <w:vAlign w:val="center"/>
          </w:tcPr>
          <w:p w14:paraId="5FA8B9A3">
            <w:pPr>
              <w:pStyle w:val="14"/>
            </w:pPr>
          </w:p>
        </w:tc>
        <w:tc>
          <w:tcPr>
            <w:tcW w:w="0" w:type="auto"/>
            <w:vAlign w:val="center"/>
          </w:tcPr>
          <w:p w14:paraId="61CC28F6">
            <w:pPr>
              <w:pStyle w:val="13"/>
            </w:pPr>
            <w:r>
              <w:t>二十七、债务还本支出</w:t>
            </w:r>
          </w:p>
        </w:tc>
        <w:tc>
          <w:tcPr>
            <w:tcW w:w="0" w:type="auto"/>
            <w:vAlign w:val="center"/>
          </w:tcPr>
          <w:p w14:paraId="5C788F08">
            <w:pPr>
              <w:pStyle w:val="14"/>
            </w:pPr>
          </w:p>
        </w:tc>
        <w:tc>
          <w:tcPr>
            <w:tcW w:w="0" w:type="auto"/>
            <w:vAlign w:val="center"/>
          </w:tcPr>
          <w:p w14:paraId="6DDE221A">
            <w:pPr>
              <w:pStyle w:val="14"/>
            </w:pPr>
          </w:p>
        </w:tc>
        <w:tc>
          <w:tcPr>
            <w:tcW w:w="0" w:type="auto"/>
            <w:vAlign w:val="center"/>
          </w:tcPr>
          <w:p w14:paraId="2AFDA05F">
            <w:pPr>
              <w:pStyle w:val="14"/>
            </w:pPr>
          </w:p>
        </w:tc>
        <w:tc>
          <w:tcPr>
            <w:tcW w:w="0" w:type="auto"/>
            <w:vAlign w:val="center"/>
          </w:tcPr>
          <w:p w14:paraId="6925B721">
            <w:pPr>
              <w:pStyle w:val="14"/>
            </w:pPr>
          </w:p>
        </w:tc>
      </w:tr>
      <w:tr w14:paraId="2014E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0B52BEC0">
            <w:pPr>
              <w:pStyle w:val="12"/>
            </w:pPr>
            <w:r>
              <w:t>28</w:t>
            </w:r>
          </w:p>
        </w:tc>
        <w:tc>
          <w:tcPr>
            <w:tcW w:w="0" w:type="auto"/>
            <w:vAlign w:val="center"/>
          </w:tcPr>
          <w:p w14:paraId="532FE90D">
            <w:pPr>
              <w:pStyle w:val="13"/>
            </w:pPr>
          </w:p>
        </w:tc>
        <w:tc>
          <w:tcPr>
            <w:tcW w:w="0" w:type="auto"/>
            <w:vAlign w:val="center"/>
          </w:tcPr>
          <w:p w14:paraId="028BA5FB">
            <w:pPr>
              <w:pStyle w:val="14"/>
            </w:pPr>
          </w:p>
        </w:tc>
        <w:tc>
          <w:tcPr>
            <w:tcW w:w="0" w:type="auto"/>
            <w:vAlign w:val="center"/>
          </w:tcPr>
          <w:p w14:paraId="197A3DB7">
            <w:pPr>
              <w:pStyle w:val="13"/>
            </w:pPr>
            <w:r>
              <w:t>二十八、债务付息支出</w:t>
            </w:r>
          </w:p>
        </w:tc>
        <w:tc>
          <w:tcPr>
            <w:tcW w:w="0" w:type="auto"/>
            <w:vAlign w:val="center"/>
          </w:tcPr>
          <w:p w14:paraId="62399ED5">
            <w:pPr>
              <w:pStyle w:val="14"/>
            </w:pPr>
          </w:p>
        </w:tc>
        <w:tc>
          <w:tcPr>
            <w:tcW w:w="0" w:type="auto"/>
            <w:vAlign w:val="center"/>
          </w:tcPr>
          <w:p w14:paraId="2ACC5E28">
            <w:pPr>
              <w:pStyle w:val="14"/>
            </w:pPr>
          </w:p>
        </w:tc>
        <w:tc>
          <w:tcPr>
            <w:tcW w:w="0" w:type="auto"/>
            <w:vAlign w:val="center"/>
          </w:tcPr>
          <w:p w14:paraId="3772041F">
            <w:pPr>
              <w:pStyle w:val="14"/>
            </w:pPr>
          </w:p>
        </w:tc>
        <w:tc>
          <w:tcPr>
            <w:tcW w:w="0" w:type="auto"/>
            <w:vAlign w:val="center"/>
          </w:tcPr>
          <w:p w14:paraId="60CF64EB">
            <w:pPr>
              <w:pStyle w:val="14"/>
            </w:pPr>
          </w:p>
        </w:tc>
      </w:tr>
      <w:tr w14:paraId="16336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6693C8BF">
            <w:pPr>
              <w:pStyle w:val="12"/>
            </w:pPr>
            <w:r>
              <w:t>29</w:t>
            </w:r>
          </w:p>
        </w:tc>
        <w:tc>
          <w:tcPr>
            <w:tcW w:w="0" w:type="auto"/>
            <w:vAlign w:val="center"/>
          </w:tcPr>
          <w:p w14:paraId="5BCB8F29">
            <w:pPr>
              <w:pStyle w:val="13"/>
            </w:pPr>
          </w:p>
        </w:tc>
        <w:tc>
          <w:tcPr>
            <w:tcW w:w="0" w:type="auto"/>
            <w:vAlign w:val="center"/>
          </w:tcPr>
          <w:p w14:paraId="3D1F7A29">
            <w:pPr>
              <w:pStyle w:val="14"/>
            </w:pPr>
          </w:p>
        </w:tc>
        <w:tc>
          <w:tcPr>
            <w:tcW w:w="0" w:type="auto"/>
            <w:vAlign w:val="center"/>
          </w:tcPr>
          <w:p w14:paraId="7DD0C92D">
            <w:pPr>
              <w:pStyle w:val="13"/>
            </w:pPr>
            <w:r>
              <w:t>二十九、债务发行费用支出</w:t>
            </w:r>
          </w:p>
        </w:tc>
        <w:tc>
          <w:tcPr>
            <w:tcW w:w="0" w:type="auto"/>
            <w:vAlign w:val="center"/>
          </w:tcPr>
          <w:p w14:paraId="5CC87453">
            <w:pPr>
              <w:pStyle w:val="14"/>
            </w:pPr>
          </w:p>
        </w:tc>
        <w:tc>
          <w:tcPr>
            <w:tcW w:w="0" w:type="auto"/>
            <w:vAlign w:val="center"/>
          </w:tcPr>
          <w:p w14:paraId="5CD820C2">
            <w:pPr>
              <w:pStyle w:val="14"/>
            </w:pPr>
          </w:p>
        </w:tc>
        <w:tc>
          <w:tcPr>
            <w:tcW w:w="0" w:type="auto"/>
            <w:vAlign w:val="center"/>
          </w:tcPr>
          <w:p w14:paraId="28733CCC">
            <w:pPr>
              <w:pStyle w:val="14"/>
            </w:pPr>
          </w:p>
        </w:tc>
        <w:tc>
          <w:tcPr>
            <w:tcW w:w="0" w:type="auto"/>
            <w:vAlign w:val="center"/>
          </w:tcPr>
          <w:p w14:paraId="4A42EB3F">
            <w:pPr>
              <w:pStyle w:val="14"/>
            </w:pPr>
          </w:p>
        </w:tc>
      </w:tr>
      <w:tr w14:paraId="1C953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5CC8FEA4">
            <w:pPr>
              <w:pStyle w:val="12"/>
            </w:pPr>
            <w:r>
              <w:t>30</w:t>
            </w:r>
          </w:p>
        </w:tc>
        <w:tc>
          <w:tcPr>
            <w:tcW w:w="0" w:type="auto"/>
            <w:vAlign w:val="center"/>
          </w:tcPr>
          <w:p w14:paraId="098142A0">
            <w:pPr>
              <w:pStyle w:val="13"/>
            </w:pPr>
          </w:p>
        </w:tc>
        <w:tc>
          <w:tcPr>
            <w:tcW w:w="0" w:type="auto"/>
            <w:vAlign w:val="center"/>
          </w:tcPr>
          <w:p w14:paraId="23CC8B45">
            <w:pPr>
              <w:pStyle w:val="14"/>
            </w:pPr>
          </w:p>
        </w:tc>
        <w:tc>
          <w:tcPr>
            <w:tcW w:w="0" w:type="auto"/>
            <w:vAlign w:val="center"/>
          </w:tcPr>
          <w:p w14:paraId="78E37B05">
            <w:pPr>
              <w:pStyle w:val="13"/>
            </w:pPr>
            <w:r>
              <w:t>三十、抗疫特别国债安排的支出</w:t>
            </w:r>
          </w:p>
        </w:tc>
        <w:tc>
          <w:tcPr>
            <w:tcW w:w="0" w:type="auto"/>
            <w:vAlign w:val="center"/>
          </w:tcPr>
          <w:p w14:paraId="18ED3A89">
            <w:pPr>
              <w:pStyle w:val="14"/>
            </w:pPr>
          </w:p>
        </w:tc>
        <w:tc>
          <w:tcPr>
            <w:tcW w:w="0" w:type="auto"/>
            <w:vAlign w:val="center"/>
          </w:tcPr>
          <w:p w14:paraId="64B48134">
            <w:pPr>
              <w:pStyle w:val="14"/>
            </w:pPr>
          </w:p>
        </w:tc>
        <w:tc>
          <w:tcPr>
            <w:tcW w:w="0" w:type="auto"/>
            <w:vAlign w:val="center"/>
          </w:tcPr>
          <w:p w14:paraId="636BA27A">
            <w:pPr>
              <w:pStyle w:val="14"/>
            </w:pPr>
          </w:p>
        </w:tc>
        <w:tc>
          <w:tcPr>
            <w:tcW w:w="0" w:type="auto"/>
            <w:vAlign w:val="center"/>
          </w:tcPr>
          <w:p w14:paraId="75253670">
            <w:pPr>
              <w:pStyle w:val="14"/>
            </w:pPr>
          </w:p>
        </w:tc>
      </w:tr>
      <w:tr w14:paraId="614E9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40A4DCC1">
            <w:pPr>
              <w:pStyle w:val="12"/>
            </w:pPr>
            <w:r>
              <w:t>31</w:t>
            </w:r>
          </w:p>
        </w:tc>
        <w:tc>
          <w:tcPr>
            <w:tcW w:w="0" w:type="auto"/>
            <w:vAlign w:val="center"/>
          </w:tcPr>
          <w:p w14:paraId="05535E06">
            <w:pPr>
              <w:pStyle w:val="13"/>
            </w:pPr>
          </w:p>
        </w:tc>
        <w:tc>
          <w:tcPr>
            <w:tcW w:w="0" w:type="auto"/>
            <w:vAlign w:val="center"/>
          </w:tcPr>
          <w:p w14:paraId="33E5F1C7">
            <w:pPr>
              <w:pStyle w:val="14"/>
            </w:pPr>
          </w:p>
        </w:tc>
        <w:tc>
          <w:tcPr>
            <w:tcW w:w="0" w:type="auto"/>
            <w:vAlign w:val="center"/>
          </w:tcPr>
          <w:p w14:paraId="73C04A65">
            <w:pPr>
              <w:pStyle w:val="13"/>
            </w:pPr>
            <w:r>
              <w:t>三十一、人行科目</w:t>
            </w:r>
          </w:p>
        </w:tc>
        <w:tc>
          <w:tcPr>
            <w:tcW w:w="0" w:type="auto"/>
            <w:vAlign w:val="center"/>
          </w:tcPr>
          <w:p w14:paraId="6F346182">
            <w:pPr>
              <w:pStyle w:val="14"/>
            </w:pPr>
          </w:p>
        </w:tc>
        <w:tc>
          <w:tcPr>
            <w:tcW w:w="0" w:type="auto"/>
            <w:vAlign w:val="center"/>
          </w:tcPr>
          <w:p w14:paraId="13D98533">
            <w:pPr>
              <w:pStyle w:val="14"/>
            </w:pPr>
          </w:p>
        </w:tc>
        <w:tc>
          <w:tcPr>
            <w:tcW w:w="0" w:type="auto"/>
            <w:vAlign w:val="center"/>
          </w:tcPr>
          <w:p w14:paraId="0376AB3D">
            <w:pPr>
              <w:pStyle w:val="14"/>
            </w:pPr>
          </w:p>
        </w:tc>
        <w:tc>
          <w:tcPr>
            <w:tcW w:w="0" w:type="auto"/>
            <w:vAlign w:val="center"/>
          </w:tcPr>
          <w:p w14:paraId="4E9DD65C">
            <w:pPr>
              <w:pStyle w:val="14"/>
            </w:pPr>
          </w:p>
        </w:tc>
      </w:tr>
      <w:tr w14:paraId="6BEA3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0346CB4F">
            <w:pPr>
              <w:pStyle w:val="12"/>
            </w:pPr>
            <w:r>
              <w:t>32</w:t>
            </w:r>
          </w:p>
        </w:tc>
        <w:tc>
          <w:tcPr>
            <w:tcW w:w="0" w:type="auto"/>
            <w:vAlign w:val="center"/>
          </w:tcPr>
          <w:p w14:paraId="4070D7C4">
            <w:pPr>
              <w:pStyle w:val="15"/>
            </w:pPr>
            <w:r>
              <w:t>本年收入合计</w:t>
            </w:r>
          </w:p>
        </w:tc>
        <w:tc>
          <w:tcPr>
            <w:tcW w:w="0" w:type="auto"/>
            <w:vAlign w:val="center"/>
          </w:tcPr>
          <w:p w14:paraId="6EAB8487">
            <w:pPr>
              <w:pStyle w:val="16"/>
            </w:pPr>
            <w:r>
              <w:t>150.47</w:t>
            </w:r>
          </w:p>
        </w:tc>
        <w:tc>
          <w:tcPr>
            <w:tcW w:w="0" w:type="auto"/>
            <w:vAlign w:val="center"/>
          </w:tcPr>
          <w:p w14:paraId="4A6076BA">
            <w:pPr>
              <w:pStyle w:val="15"/>
            </w:pPr>
            <w:r>
              <w:t>本年支出合计</w:t>
            </w:r>
          </w:p>
        </w:tc>
        <w:tc>
          <w:tcPr>
            <w:tcW w:w="0" w:type="auto"/>
            <w:vAlign w:val="center"/>
          </w:tcPr>
          <w:p w14:paraId="44405CDB">
            <w:pPr>
              <w:pStyle w:val="16"/>
            </w:pPr>
            <w:r>
              <w:t>150.47</w:t>
            </w:r>
          </w:p>
        </w:tc>
        <w:tc>
          <w:tcPr>
            <w:tcW w:w="0" w:type="auto"/>
            <w:vAlign w:val="center"/>
          </w:tcPr>
          <w:p w14:paraId="67900ED0">
            <w:pPr>
              <w:pStyle w:val="16"/>
            </w:pPr>
            <w:r>
              <w:t>150.47</w:t>
            </w:r>
          </w:p>
        </w:tc>
        <w:tc>
          <w:tcPr>
            <w:tcW w:w="0" w:type="auto"/>
            <w:vAlign w:val="center"/>
          </w:tcPr>
          <w:p w14:paraId="2352F4B8">
            <w:pPr>
              <w:pStyle w:val="16"/>
            </w:pPr>
          </w:p>
        </w:tc>
        <w:tc>
          <w:tcPr>
            <w:tcW w:w="0" w:type="auto"/>
            <w:vAlign w:val="center"/>
          </w:tcPr>
          <w:p w14:paraId="50F3CF7E">
            <w:pPr>
              <w:pStyle w:val="16"/>
            </w:pPr>
          </w:p>
        </w:tc>
      </w:tr>
      <w:tr w14:paraId="1F472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01AE8491">
            <w:pPr>
              <w:pStyle w:val="12"/>
            </w:pPr>
            <w:r>
              <w:t>33</w:t>
            </w:r>
          </w:p>
        </w:tc>
        <w:tc>
          <w:tcPr>
            <w:tcW w:w="0" w:type="auto"/>
            <w:vAlign w:val="center"/>
          </w:tcPr>
          <w:p w14:paraId="5106465E">
            <w:pPr>
              <w:pStyle w:val="13"/>
            </w:pPr>
            <w:r>
              <w:t>年初财政拨款结转和结余</w:t>
            </w:r>
          </w:p>
        </w:tc>
        <w:tc>
          <w:tcPr>
            <w:tcW w:w="0" w:type="auto"/>
            <w:vAlign w:val="center"/>
          </w:tcPr>
          <w:p w14:paraId="71E02AF1">
            <w:pPr>
              <w:pStyle w:val="14"/>
            </w:pPr>
          </w:p>
        </w:tc>
        <w:tc>
          <w:tcPr>
            <w:tcW w:w="0" w:type="auto"/>
            <w:vAlign w:val="center"/>
          </w:tcPr>
          <w:p w14:paraId="027DEA33">
            <w:pPr>
              <w:pStyle w:val="13"/>
            </w:pPr>
            <w:r>
              <w:t>年末财政拨款结转和结余</w:t>
            </w:r>
          </w:p>
        </w:tc>
        <w:tc>
          <w:tcPr>
            <w:tcW w:w="0" w:type="auto"/>
            <w:vAlign w:val="center"/>
          </w:tcPr>
          <w:p w14:paraId="0AFBF091">
            <w:pPr>
              <w:pStyle w:val="14"/>
            </w:pPr>
          </w:p>
        </w:tc>
        <w:tc>
          <w:tcPr>
            <w:tcW w:w="0" w:type="auto"/>
            <w:vAlign w:val="center"/>
          </w:tcPr>
          <w:p w14:paraId="24F2ADC2">
            <w:pPr>
              <w:pStyle w:val="14"/>
            </w:pPr>
          </w:p>
        </w:tc>
        <w:tc>
          <w:tcPr>
            <w:tcW w:w="0" w:type="auto"/>
            <w:vAlign w:val="center"/>
          </w:tcPr>
          <w:p w14:paraId="2EA8FA45">
            <w:pPr>
              <w:pStyle w:val="14"/>
            </w:pPr>
          </w:p>
        </w:tc>
        <w:tc>
          <w:tcPr>
            <w:tcW w:w="0" w:type="auto"/>
            <w:vAlign w:val="center"/>
          </w:tcPr>
          <w:p w14:paraId="277BF770">
            <w:pPr>
              <w:pStyle w:val="14"/>
            </w:pPr>
          </w:p>
        </w:tc>
      </w:tr>
      <w:tr w14:paraId="5FD3F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264292AB">
            <w:pPr>
              <w:pStyle w:val="12"/>
            </w:pPr>
            <w:r>
              <w:t>34</w:t>
            </w:r>
          </w:p>
        </w:tc>
        <w:tc>
          <w:tcPr>
            <w:tcW w:w="0" w:type="auto"/>
            <w:vAlign w:val="center"/>
          </w:tcPr>
          <w:p w14:paraId="285BE68A">
            <w:pPr>
              <w:pStyle w:val="13"/>
            </w:pPr>
            <w:r>
              <w:t>一、一般公共预算拨款</w:t>
            </w:r>
          </w:p>
        </w:tc>
        <w:tc>
          <w:tcPr>
            <w:tcW w:w="0" w:type="auto"/>
            <w:vAlign w:val="center"/>
          </w:tcPr>
          <w:p w14:paraId="7FECF3E2">
            <w:pPr>
              <w:pStyle w:val="14"/>
            </w:pPr>
          </w:p>
        </w:tc>
        <w:tc>
          <w:tcPr>
            <w:tcW w:w="0" w:type="auto"/>
            <w:vAlign w:val="center"/>
          </w:tcPr>
          <w:p w14:paraId="091CC480">
            <w:pPr>
              <w:pStyle w:val="13"/>
            </w:pPr>
          </w:p>
        </w:tc>
        <w:tc>
          <w:tcPr>
            <w:tcW w:w="0" w:type="auto"/>
            <w:vAlign w:val="center"/>
          </w:tcPr>
          <w:p w14:paraId="57BD8216">
            <w:pPr>
              <w:pStyle w:val="14"/>
            </w:pPr>
          </w:p>
        </w:tc>
        <w:tc>
          <w:tcPr>
            <w:tcW w:w="0" w:type="auto"/>
            <w:vAlign w:val="center"/>
          </w:tcPr>
          <w:p w14:paraId="3DCFEA06">
            <w:pPr>
              <w:pStyle w:val="14"/>
            </w:pPr>
          </w:p>
        </w:tc>
        <w:tc>
          <w:tcPr>
            <w:tcW w:w="0" w:type="auto"/>
            <w:vAlign w:val="center"/>
          </w:tcPr>
          <w:p w14:paraId="54BDFFC6">
            <w:pPr>
              <w:pStyle w:val="14"/>
            </w:pPr>
          </w:p>
        </w:tc>
        <w:tc>
          <w:tcPr>
            <w:tcW w:w="0" w:type="auto"/>
            <w:vAlign w:val="center"/>
          </w:tcPr>
          <w:p w14:paraId="379E4F12">
            <w:pPr>
              <w:pStyle w:val="14"/>
            </w:pPr>
          </w:p>
        </w:tc>
      </w:tr>
      <w:tr w14:paraId="199FC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4B9F7F22">
            <w:pPr>
              <w:pStyle w:val="12"/>
            </w:pPr>
            <w:r>
              <w:t>35</w:t>
            </w:r>
          </w:p>
        </w:tc>
        <w:tc>
          <w:tcPr>
            <w:tcW w:w="0" w:type="auto"/>
            <w:vAlign w:val="center"/>
          </w:tcPr>
          <w:p w14:paraId="2AFB8280">
            <w:pPr>
              <w:pStyle w:val="13"/>
            </w:pPr>
            <w:r>
              <w:t>二、政府性基金预算拨款</w:t>
            </w:r>
          </w:p>
        </w:tc>
        <w:tc>
          <w:tcPr>
            <w:tcW w:w="0" w:type="auto"/>
            <w:vAlign w:val="center"/>
          </w:tcPr>
          <w:p w14:paraId="4766CA85">
            <w:pPr>
              <w:pStyle w:val="14"/>
            </w:pPr>
          </w:p>
        </w:tc>
        <w:tc>
          <w:tcPr>
            <w:tcW w:w="0" w:type="auto"/>
            <w:vAlign w:val="center"/>
          </w:tcPr>
          <w:p w14:paraId="66066158">
            <w:pPr>
              <w:pStyle w:val="13"/>
            </w:pPr>
          </w:p>
        </w:tc>
        <w:tc>
          <w:tcPr>
            <w:tcW w:w="0" w:type="auto"/>
            <w:vAlign w:val="center"/>
          </w:tcPr>
          <w:p w14:paraId="1E7C37CA">
            <w:pPr>
              <w:pStyle w:val="14"/>
            </w:pPr>
          </w:p>
        </w:tc>
        <w:tc>
          <w:tcPr>
            <w:tcW w:w="0" w:type="auto"/>
            <w:vAlign w:val="center"/>
          </w:tcPr>
          <w:p w14:paraId="1B266F37">
            <w:pPr>
              <w:pStyle w:val="14"/>
            </w:pPr>
          </w:p>
        </w:tc>
        <w:tc>
          <w:tcPr>
            <w:tcW w:w="0" w:type="auto"/>
            <w:vAlign w:val="center"/>
          </w:tcPr>
          <w:p w14:paraId="7C5A08E5">
            <w:pPr>
              <w:pStyle w:val="14"/>
            </w:pPr>
          </w:p>
        </w:tc>
        <w:tc>
          <w:tcPr>
            <w:tcW w:w="0" w:type="auto"/>
            <w:vAlign w:val="center"/>
          </w:tcPr>
          <w:p w14:paraId="3F7B4F4E">
            <w:pPr>
              <w:pStyle w:val="14"/>
            </w:pPr>
          </w:p>
        </w:tc>
      </w:tr>
      <w:tr w14:paraId="3DDAB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0" w:type="auto"/>
            <w:vAlign w:val="center"/>
          </w:tcPr>
          <w:p w14:paraId="7259926A">
            <w:pPr>
              <w:pStyle w:val="12"/>
            </w:pPr>
            <w:r>
              <w:t>36</w:t>
            </w:r>
          </w:p>
        </w:tc>
        <w:tc>
          <w:tcPr>
            <w:tcW w:w="0" w:type="auto"/>
            <w:vAlign w:val="center"/>
          </w:tcPr>
          <w:p w14:paraId="10977E38">
            <w:pPr>
              <w:pStyle w:val="13"/>
            </w:pPr>
            <w:r>
              <w:t>三、国有资本经营预算拨款</w:t>
            </w:r>
          </w:p>
        </w:tc>
        <w:tc>
          <w:tcPr>
            <w:tcW w:w="0" w:type="auto"/>
            <w:vAlign w:val="center"/>
          </w:tcPr>
          <w:p w14:paraId="67446D41">
            <w:pPr>
              <w:pStyle w:val="14"/>
            </w:pPr>
          </w:p>
        </w:tc>
        <w:tc>
          <w:tcPr>
            <w:tcW w:w="0" w:type="auto"/>
            <w:vAlign w:val="center"/>
          </w:tcPr>
          <w:p w14:paraId="4DF41010">
            <w:pPr>
              <w:pStyle w:val="13"/>
            </w:pPr>
          </w:p>
        </w:tc>
        <w:tc>
          <w:tcPr>
            <w:tcW w:w="0" w:type="auto"/>
            <w:vAlign w:val="center"/>
          </w:tcPr>
          <w:p w14:paraId="6E243848">
            <w:pPr>
              <w:pStyle w:val="14"/>
            </w:pPr>
          </w:p>
        </w:tc>
        <w:tc>
          <w:tcPr>
            <w:tcW w:w="0" w:type="auto"/>
            <w:vAlign w:val="center"/>
          </w:tcPr>
          <w:p w14:paraId="75BCCEBE">
            <w:pPr>
              <w:pStyle w:val="14"/>
            </w:pPr>
          </w:p>
        </w:tc>
        <w:tc>
          <w:tcPr>
            <w:tcW w:w="0" w:type="auto"/>
            <w:vAlign w:val="center"/>
          </w:tcPr>
          <w:p w14:paraId="03DB81D9">
            <w:pPr>
              <w:pStyle w:val="14"/>
            </w:pPr>
          </w:p>
        </w:tc>
        <w:tc>
          <w:tcPr>
            <w:tcW w:w="0" w:type="auto"/>
            <w:vAlign w:val="center"/>
          </w:tcPr>
          <w:p w14:paraId="7E37902F">
            <w:pPr>
              <w:pStyle w:val="14"/>
            </w:pPr>
          </w:p>
        </w:tc>
      </w:tr>
      <w:tr w14:paraId="49550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0" w:type="auto"/>
            <w:vAlign w:val="center"/>
          </w:tcPr>
          <w:p w14:paraId="6CBCD366">
            <w:pPr>
              <w:pStyle w:val="12"/>
            </w:pPr>
            <w:r>
              <w:t>37</w:t>
            </w:r>
          </w:p>
        </w:tc>
        <w:tc>
          <w:tcPr>
            <w:tcW w:w="0" w:type="auto"/>
            <w:vAlign w:val="center"/>
          </w:tcPr>
          <w:p w14:paraId="1AAF87B1">
            <w:pPr>
              <w:pStyle w:val="15"/>
            </w:pPr>
            <w:r>
              <w:t>收入总计</w:t>
            </w:r>
          </w:p>
        </w:tc>
        <w:tc>
          <w:tcPr>
            <w:tcW w:w="0" w:type="auto"/>
            <w:vAlign w:val="center"/>
          </w:tcPr>
          <w:p w14:paraId="19CFE837">
            <w:pPr>
              <w:pStyle w:val="16"/>
            </w:pPr>
            <w:r>
              <w:t>150.47</w:t>
            </w:r>
          </w:p>
        </w:tc>
        <w:tc>
          <w:tcPr>
            <w:tcW w:w="0" w:type="auto"/>
            <w:vAlign w:val="center"/>
          </w:tcPr>
          <w:p w14:paraId="4CC12798">
            <w:pPr>
              <w:pStyle w:val="15"/>
            </w:pPr>
            <w:r>
              <w:t>支出总计</w:t>
            </w:r>
          </w:p>
        </w:tc>
        <w:tc>
          <w:tcPr>
            <w:tcW w:w="0" w:type="auto"/>
            <w:vAlign w:val="center"/>
          </w:tcPr>
          <w:p w14:paraId="028D9E74">
            <w:pPr>
              <w:pStyle w:val="16"/>
            </w:pPr>
            <w:r>
              <w:t>150.47</w:t>
            </w:r>
          </w:p>
        </w:tc>
        <w:tc>
          <w:tcPr>
            <w:tcW w:w="0" w:type="auto"/>
            <w:vAlign w:val="center"/>
          </w:tcPr>
          <w:p w14:paraId="0FAB385B">
            <w:pPr>
              <w:pStyle w:val="16"/>
            </w:pPr>
            <w:r>
              <w:t>150.47</w:t>
            </w:r>
          </w:p>
        </w:tc>
        <w:tc>
          <w:tcPr>
            <w:tcW w:w="0" w:type="auto"/>
            <w:vAlign w:val="center"/>
          </w:tcPr>
          <w:p w14:paraId="63D71C96">
            <w:pPr>
              <w:pStyle w:val="16"/>
            </w:pPr>
          </w:p>
        </w:tc>
        <w:tc>
          <w:tcPr>
            <w:tcW w:w="0" w:type="auto"/>
            <w:vAlign w:val="center"/>
          </w:tcPr>
          <w:p w14:paraId="7C5BA2DE">
            <w:pPr>
              <w:pStyle w:val="16"/>
            </w:pPr>
          </w:p>
        </w:tc>
      </w:tr>
    </w:tbl>
    <w:p w14:paraId="16DC6B35">
      <w:pPr>
        <w:sectPr>
          <w:pgSz w:w="16840" w:h="11900" w:orient="landscape"/>
          <w:pgMar w:top="1361" w:right="1020" w:bottom="1134" w:left="1020" w:header="720" w:footer="720" w:gutter="0"/>
          <w:cols w:space="720" w:num="1"/>
        </w:sectPr>
      </w:pPr>
    </w:p>
    <w:p w14:paraId="53AF00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66B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D69388">
            <w:pPr>
              <w:pStyle w:val="8"/>
            </w:pPr>
            <w:r>
              <w:t>360036隆尧县青少年校外活动中心</w:t>
            </w:r>
          </w:p>
        </w:tc>
        <w:tc>
          <w:tcPr>
            <w:tcW w:w="2551" w:type="dxa"/>
            <w:tcBorders>
              <w:top w:val="single" w:color="FFFFFF" w:sz="6" w:space="0"/>
              <w:left w:val="single" w:color="FFFFFF" w:sz="6" w:space="0"/>
              <w:right w:val="single" w:color="FFFFFF" w:sz="6" w:space="0"/>
            </w:tcBorders>
            <w:vAlign w:val="center"/>
          </w:tcPr>
          <w:p w14:paraId="55156AF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98C8CDB">
            <w:pPr>
              <w:pStyle w:val="10"/>
            </w:pPr>
            <w:r>
              <w:t>单位：万元</w:t>
            </w:r>
          </w:p>
        </w:tc>
      </w:tr>
      <w:tr w14:paraId="3C204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D0D204">
            <w:pPr>
              <w:pStyle w:val="11"/>
            </w:pPr>
            <w:r>
              <w:t>序号</w:t>
            </w:r>
          </w:p>
        </w:tc>
        <w:tc>
          <w:tcPr>
            <w:tcW w:w="5726" w:type="dxa"/>
            <w:gridSpan w:val="2"/>
            <w:vAlign w:val="center"/>
          </w:tcPr>
          <w:p w14:paraId="30AE3155">
            <w:pPr>
              <w:pStyle w:val="11"/>
            </w:pPr>
            <w:r>
              <w:t>功能分类科目</w:t>
            </w:r>
          </w:p>
        </w:tc>
        <w:tc>
          <w:tcPr>
            <w:tcW w:w="2551" w:type="dxa"/>
            <w:vMerge w:val="restart"/>
            <w:vAlign w:val="center"/>
          </w:tcPr>
          <w:p w14:paraId="3F08A9CC">
            <w:pPr>
              <w:pStyle w:val="11"/>
            </w:pPr>
            <w:r>
              <w:t>合计</w:t>
            </w:r>
          </w:p>
        </w:tc>
        <w:tc>
          <w:tcPr>
            <w:tcW w:w="2551" w:type="dxa"/>
            <w:vMerge w:val="restart"/>
            <w:vAlign w:val="center"/>
          </w:tcPr>
          <w:p w14:paraId="4B1AF4CB">
            <w:pPr>
              <w:pStyle w:val="11"/>
            </w:pPr>
            <w:r>
              <w:t>基本支出</w:t>
            </w:r>
          </w:p>
        </w:tc>
        <w:tc>
          <w:tcPr>
            <w:tcW w:w="2551" w:type="dxa"/>
            <w:vMerge w:val="restart"/>
            <w:vAlign w:val="center"/>
          </w:tcPr>
          <w:p w14:paraId="3F63EFCD">
            <w:pPr>
              <w:pStyle w:val="11"/>
            </w:pPr>
            <w:r>
              <w:t>项目支出</w:t>
            </w:r>
          </w:p>
        </w:tc>
      </w:tr>
      <w:tr w14:paraId="35AE2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F151CC"/>
        </w:tc>
        <w:tc>
          <w:tcPr>
            <w:tcW w:w="1191" w:type="dxa"/>
            <w:vAlign w:val="center"/>
          </w:tcPr>
          <w:p w14:paraId="5348DF76">
            <w:pPr>
              <w:pStyle w:val="11"/>
            </w:pPr>
            <w:r>
              <w:t>科目编码</w:t>
            </w:r>
          </w:p>
        </w:tc>
        <w:tc>
          <w:tcPr>
            <w:tcW w:w="4535" w:type="dxa"/>
            <w:vAlign w:val="center"/>
          </w:tcPr>
          <w:p w14:paraId="60D0FC8D">
            <w:pPr>
              <w:pStyle w:val="11"/>
            </w:pPr>
            <w:r>
              <w:t>科目名称</w:t>
            </w:r>
          </w:p>
        </w:tc>
        <w:tc>
          <w:tcPr>
            <w:tcW w:w="2551" w:type="dxa"/>
            <w:vMerge w:val="continue"/>
          </w:tcPr>
          <w:p w14:paraId="6754E8E6"/>
        </w:tc>
        <w:tc>
          <w:tcPr>
            <w:tcW w:w="2551" w:type="dxa"/>
            <w:vMerge w:val="continue"/>
          </w:tcPr>
          <w:p w14:paraId="030A1AAA"/>
        </w:tc>
        <w:tc>
          <w:tcPr>
            <w:tcW w:w="2551" w:type="dxa"/>
            <w:vMerge w:val="continue"/>
          </w:tcPr>
          <w:p w14:paraId="569BEDE9"/>
        </w:tc>
      </w:tr>
      <w:tr w14:paraId="086AB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652DB6">
            <w:pPr>
              <w:pStyle w:val="11"/>
            </w:pPr>
            <w:r>
              <w:t>栏次</w:t>
            </w:r>
          </w:p>
        </w:tc>
        <w:tc>
          <w:tcPr>
            <w:tcW w:w="1191" w:type="dxa"/>
            <w:vAlign w:val="center"/>
          </w:tcPr>
          <w:p w14:paraId="2C312E44">
            <w:pPr>
              <w:pStyle w:val="11"/>
            </w:pPr>
            <w:r>
              <w:t>1</w:t>
            </w:r>
          </w:p>
        </w:tc>
        <w:tc>
          <w:tcPr>
            <w:tcW w:w="4535" w:type="dxa"/>
            <w:vAlign w:val="center"/>
          </w:tcPr>
          <w:p w14:paraId="2D21A2F1">
            <w:pPr>
              <w:pStyle w:val="11"/>
            </w:pPr>
            <w:r>
              <w:t>2</w:t>
            </w:r>
          </w:p>
        </w:tc>
        <w:tc>
          <w:tcPr>
            <w:tcW w:w="2551" w:type="dxa"/>
            <w:vAlign w:val="center"/>
          </w:tcPr>
          <w:p w14:paraId="616D0B47">
            <w:pPr>
              <w:pStyle w:val="11"/>
            </w:pPr>
            <w:r>
              <w:t>3</w:t>
            </w:r>
          </w:p>
        </w:tc>
        <w:tc>
          <w:tcPr>
            <w:tcW w:w="2551" w:type="dxa"/>
            <w:vAlign w:val="center"/>
          </w:tcPr>
          <w:p w14:paraId="6674B96E">
            <w:pPr>
              <w:pStyle w:val="11"/>
            </w:pPr>
            <w:r>
              <w:t>4</w:t>
            </w:r>
          </w:p>
        </w:tc>
        <w:tc>
          <w:tcPr>
            <w:tcW w:w="2551" w:type="dxa"/>
            <w:vAlign w:val="center"/>
          </w:tcPr>
          <w:p w14:paraId="6A3E696B">
            <w:pPr>
              <w:pStyle w:val="11"/>
            </w:pPr>
            <w:r>
              <w:t>5</w:t>
            </w:r>
          </w:p>
        </w:tc>
      </w:tr>
      <w:tr w14:paraId="54640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F9308">
            <w:pPr>
              <w:pStyle w:val="12"/>
            </w:pPr>
            <w:r>
              <w:t>1</w:t>
            </w:r>
          </w:p>
        </w:tc>
        <w:tc>
          <w:tcPr>
            <w:tcW w:w="1191" w:type="dxa"/>
            <w:vAlign w:val="center"/>
          </w:tcPr>
          <w:p w14:paraId="14FA1308">
            <w:pPr>
              <w:pStyle w:val="17"/>
            </w:pPr>
          </w:p>
        </w:tc>
        <w:tc>
          <w:tcPr>
            <w:tcW w:w="4535" w:type="dxa"/>
            <w:vAlign w:val="center"/>
          </w:tcPr>
          <w:p w14:paraId="6DE1788E">
            <w:pPr>
              <w:pStyle w:val="15"/>
            </w:pPr>
            <w:r>
              <w:t>合计</w:t>
            </w:r>
          </w:p>
        </w:tc>
        <w:tc>
          <w:tcPr>
            <w:tcW w:w="2551" w:type="dxa"/>
            <w:vAlign w:val="center"/>
          </w:tcPr>
          <w:p w14:paraId="49CC8851">
            <w:pPr>
              <w:pStyle w:val="16"/>
            </w:pPr>
            <w:r>
              <w:t>150.47</w:t>
            </w:r>
          </w:p>
        </w:tc>
        <w:tc>
          <w:tcPr>
            <w:tcW w:w="2551" w:type="dxa"/>
            <w:vAlign w:val="center"/>
          </w:tcPr>
          <w:p w14:paraId="62ED16B5">
            <w:pPr>
              <w:pStyle w:val="16"/>
            </w:pPr>
            <w:r>
              <w:t>150.47</w:t>
            </w:r>
          </w:p>
        </w:tc>
        <w:tc>
          <w:tcPr>
            <w:tcW w:w="2551" w:type="dxa"/>
            <w:vAlign w:val="center"/>
          </w:tcPr>
          <w:p w14:paraId="61B7551D">
            <w:pPr>
              <w:pStyle w:val="16"/>
            </w:pPr>
          </w:p>
        </w:tc>
      </w:tr>
      <w:tr w14:paraId="01916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9C48F">
            <w:pPr>
              <w:pStyle w:val="12"/>
            </w:pPr>
            <w:r>
              <w:t>2</w:t>
            </w:r>
          </w:p>
        </w:tc>
        <w:tc>
          <w:tcPr>
            <w:tcW w:w="1191" w:type="dxa"/>
            <w:vAlign w:val="center"/>
          </w:tcPr>
          <w:p w14:paraId="30F6A87F">
            <w:pPr>
              <w:pStyle w:val="13"/>
            </w:pPr>
            <w:r>
              <w:t>205</w:t>
            </w:r>
          </w:p>
        </w:tc>
        <w:tc>
          <w:tcPr>
            <w:tcW w:w="4535" w:type="dxa"/>
            <w:vAlign w:val="center"/>
          </w:tcPr>
          <w:p w14:paraId="51D199FA">
            <w:pPr>
              <w:pStyle w:val="13"/>
            </w:pPr>
            <w:r>
              <w:t>教育支出</w:t>
            </w:r>
          </w:p>
        </w:tc>
        <w:tc>
          <w:tcPr>
            <w:tcW w:w="2551" w:type="dxa"/>
            <w:vAlign w:val="center"/>
          </w:tcPr>
          <w:p w14:paraId="68566D3E">
            <w:pPr>
              <w:pStyle w:val="14"/>
            </w:pPr>
            <w:r>
              <w:t>125.81</w:t>
            </w:r>
          </w:p>
        </w:tc>
        <w:tc>
          <w:tcPr>
            <w:tcW w:w="2551" w:type="dxa"/>
            <w:vAlign w:val="center"/>
          </w:tcPr>
          <w:p w14:paraId="4FC3D1EE">
            <w:pPr>
              <w:pStyle w:val="14"/>
            </w:pPr>
            <w:r>
              <w:t>125.81</w:t>
            </w:r>
          </w:p>
        </w:tc>
        <w:tc>
          <w:tcPr>
            <w:tcW w:w="2551" w:type="dxa"/>
            <w:vAlign w:val="center"/>
          </w:tcPr>
          <w:p w14:paraId="3CC1EE2C">
            <w:pPr>
              <w:pStyle w:val="14"/>
            </w:pPr>
          </w:p>
        </w:tc>
      </w:tr>
      <w:tr w14:paraId="291B6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87FCC">
            <w:pPr>
              <w:pStyle w:val="12"/>
            </w:pPr>
            <w:r>
              <w:t>3</w:t>
            </w:r>
          </w:p>
        </w:tc>
        <w:tc>
          <w:tcPr>
            <w:tcW w:w="1191" w:type="dxa"/>
            <w:vAlign w:val="center"/>
          </w:tcPr>
          <w:p w14:paraId="6E8BF830">
            <w:pPr>
              <w:pStyle w:val="13"/>
            </w:pPr>
            <w:r>
              <w:t>20502</w:t>
            </w:r>
          </w:p>
        </w:tc>
        <w:tc>
          <w:tcPr>
            <w:tcW w:w="4535" w:type="dxa"/>
            <w:vAlign w:val="center"/>
          </w:tcPr>
          <w:p w14:paraId="1074D6DC">
            <w:pPr>
              <w:pStyle w:val="13"/>
            </w:pPr>
            <w:r>
              <w:t>普通教育</w:t>
            </w:r>
          </w:p>
        </w:tc>
        <w:tc>
          <w:tcPr>
            <w:tcW w:w="2551" w:type="dxa"/>
            <w:vAlign w:val="center"/>
          </w:tcPr>
          <w:p w14:paraId="37AFDB5C">
            <w:pPr>
              <w:pStyle w:val="14"/>
            </w:pPr>
            <w:r>
              <w:t>125.81</w:t>
            </w:r>
          </w:p>
        </w:tc>
        <w:tc>
          <w:tcPr>
            <w:tcW w:w="2551" w:type="dxa"/>
            <w:vAlign w:val="center"/>
          </w:tcPr>
          <w:p w14:paraId="5CDFF1BC">
            <w:pPr>
              <w:pStyle w:val="14"/>
            </w:pPr>
            <w:r>
              <w:t>125.81</w:t>
            </w:r>
          </w:p>
        </w:tc>
        <w:tc>
          <w:tcPr>
            <w:tcW w:w="2551" w:type="dxa"/>
            <w:vAlign w:val="center"/>
          </w:tcPr>
          <w:p w14:paraId="5F03684E">
            <w:pPr>
              <w:pStyle w:val="14"/>
            </w:pPr>
          </w:p>
        </w:tc>
      </w:tr>
      <w:tr w14:paraId="51955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FC0DE">
            <w:pPr>
              <w:pStyle w:val="12"/>
            </w:pPr>
            <w:r>
              <w:t>4</w:t>
            </w:r>
          </w:p>
        </w:tc>
        <w:tc>
          <w:tcPr>
            <w:tcW w:w="1191" w:type="dxa"/>
            <w:vAlign w:val="center"/>
          </w:tcPr>
          <w:p w14:paraId="25D652D5">
            <w:pPr>
              <w:pStyle w:val="13"/>
            </w:pPr>
            <w:r>
              <w:t>2050299</w:t>
            </w:r>
          </w:p>
        </w:tc>
        <w:tc>
          <w:tcPr>
            <w:tcW w:w="4535" w:type="dxa"/>
            <w:vAlign w:val="center"/>
          </w:tcPr>
          <w:p w14:paraId="60B88C7E">
            <w:pPr>
              <w:pStyle w:val="13"/>
            </w:pPr>
            <w:r>
              <w:t>其他普通教育支出</w:t>
            </w:r>
          </w:p>
        </w:tc>
        <w:tc>
          <w:tcPr>
            <w:tcW w:w="2551" w:type="dxa"/>
            <w:vAlign w:val="center"/>
          </w:tcPr>
          <w:p w14:paraId="6892FDE7">
            <w:pPr>
              <w:pStyle w:val="14"/>
            </w:pPr>
            <w:r>
              <w:t>125.81</w:t>
            </w:r>
          </w:p>
        </w:tc>
        <w:tc>
          <w:tcPr>
            <w:tcW w:w="2551" w:type="dxa"/>
            <w:vAlign w:val="center"/>
          </w:tcPr>
          <w:p w14:paraId="321C7E7D">
            <w:pPr>
              <w:pStyle w:val="14"/>
            </w:pPr>
            <w:r>
              <w:t>125.81</w:t>
            </w:r>
          </w:p>
        </w:tc>
        <w:tc>
          <w:tcPr>
            <w:tcW w:w="2551" w:type="dxa"/>
            <w:vAlign w:val="center"/>
          </w:tcPr>
          <w:p w14:paraId="13263617">
            <w:pPr>
              <w:pStyle w:val="14"/>
            </w:pPr>
          </w:p>
        </w:tc>
      </w:tr>
      <w:tr w14:paraId="123F3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8CBD4">
            <w:pPr>
              <w:pStyle w:val="12"/>
            </w:pPr>
            <w:r>
              <w:t>5</w:t>
            </w:r>
          </w:p>
        </w:tc>
        <w:tc>
          <w:tcPr>
            <w:tcW w:w="1191" w:type="dxa"/>
            <w:vAlign w:val="center"/>
          </w:tcPr>
          <w:p w14:paraId="4D9DF758">
            <w:pPr>
              <w:pStyle w:val="13"/>
            </w:pPr>
            <w:r>
              <w:t>208</w:t>
            </w:r>
          </w:p>
        </w:tc>
        <w:tc>
          <w:tcPr>
            <w:tcW w:w="4535" w:type="dxa"/>
            <w:vAlign w:val="center"/>
          </w:tcPr>
          <w:p w14:paraId="6478BAA9">
            <w:pPr>
              <w:pStyle w:val="13"/>
            </w:pPr>
            <w:r>
              <w:t>社会保障和就业支出</w:t>
            </w:r>
          </w:p>
        </w:tc>
        <w:tc>
          <w:tcPr>
            <w:tcW w:w="2551" w:type="dxa"/>
            <w:vAlign w:val="center"/>
          </w:tcPr>
          <w:p w14:paraId="59F5FB64">
            <w:pPr>
              <w:pStyle w:val="14"/>
            </w:pPr>
            <w:r>
              <w:t>11.06</w:t>
            </w:r>
          </w:p>
        </w:tc>
        <w:tc>
          <w:tcPr>
            <w:tcW w:w="2551" w:type="dxa"/>
            <w:vAlign w:val="center"/>
          </w:tcPr>
          <w:p w14:paraId="1CD06F6D">
            <w:pPr>
              <w:pStyle w:val="14"/>
            </w:pPr>
            <w:r>
              <w:t>11.06</w:t>
            </w:r>
          </w:p>
        </w:tc>
        <w:tc>
          <w:tcPr>
            <w:tcW w:w="2551" w:type="dxa"/>
            <w:vAlign w:val="center"/>
          </w:tcPr>
          <w:p w14:paraId="77A994B0">
            <w:pPr>
              <w:pStyle w:val="14"/>
            </w:pPr>
          </w:p>
        </w:tc>
      </w:tr>
      <w:tr w14:paraId="54301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083E8">
            <w:pPr>
              <w:pStyle w:val="12"/>
            </w:pPr>
            <w:r>
              <w:t>6</w:t>
            </w:r>
          </w:p>
        </w:tc>
        <w:tc>
          <w:tcPr>
            <w:tcW w:w="1191" w:type="dxa"/>
            <w:vAlign w:val="center"/>
          </w:tcPr>
          <w:p w14:paraId="7290EF3C">
            <w:pPr>
              <w:pStyle w:val="13"/>
            </w:pPr>
            <w:r>
              <w:t>20805</w:t>
            </w:r>
          </w:p>
        </w:tc>
        <w:tc>
          <w:tcPr>
            <w:tcW w:w="4535" w:type="dxa"/>
            <w:vAlign w:val="center"/>
          </w:tcPr>
          <w:p w14:paraId="716876C1">
            <w:pPr>
              <w:pStyle w:val="13"/>
            </w:pPr>
            <w:r>
              <w:t>行政事业单位养老支出</w:t>
            </w:r>
          </w:p>
        </w:tc>
        <w:tc>
          <w:tcPr>
            <w:tcW w:w="2551" w:type="dxa"/>
            <w:vAlign w:val="center"/>
          </w:tcPr>
          <w:p w14:paraId="6DECA088">
            <w:pPr>
              <w:pStyle w:val="14"/>
            </w:pPr>
            <w:r>
              <w:t>11.06</w:t>
            </w:r>
          </w:p>
        </w:tc>
        <w:tc>
          <w:tcPr>
            <w:tcW w:w="2551" w:type="dxa"/>
            <w:vAlign w:val="center"/>
          </w:tcPr>
          <w:p w14:paraId="10128BC0">
            <w:pPr>
              <w:pStyle w:val="14"/>
            </w:pPr>
            <w:r>
              <w:t>11.06</w:t>
            </w:r>
          </w:p>
        </w:tc>
        <w:tc>
          <w:tcPr>
            <w:tcW w:w="2551" w:type="dxa"/>
            <w:vAlign w:val="center"/>
          </w:tcPr>
          <w:p w14:paraId="02AB2F7D">
            <w:pPr>
              <w:pStyle w:val="14"/>
            </w:pPr>
          </w:p>
        </w:tc>
      </w:tr>
      <w:tr w14:paraId="008BD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9C2AF">
            <w:pPr>
              <w:pStyle w:val="12"/>
            </w:pPr>
            <w:r>
              <w:t>7</w:t>
            </w:r>
          </w:p>
        </w:tc>
        <w:tc>
          <w:tcPr>
            <w:tcW w:w="1191" w:type="dxa"/>
            <w:vAlign w:val="center"/>
          </w:tcPr>
          <w:p w14:paraId="4AEB11BB">
            <w:pPr>
              <w:pStyle w:val="13"/>
            </w:pPr>
            <w:r>
              <w:t>2080505</w:t>
            </w:r>
          </w:p>
        </w:tc>
        <w:tc>
          <w:tcPr>
            <w:tcW w:w="4535" w:type="dxa"/>
            <w:vAlign w:val="center"/>
          </w:tcPr>
          <w:p w14:paraId="2B7099C1">
            <w:pPr>
              <w:pStyle w:val="13"/>
            </w:pPr>
            <w:r>
              <w:t>机关事业单位基本养老保险缴费支出</w:t>
            </w:r>
          </w:p>
        </w:tc>
        <w:tc>
          <w:tcPr>
            <w:tcW w:w="2551" w:type="dxa"/>
            <w:vAlign w:val="center"/>
          </w:tcPr>
          <w:p w14:paraId="2C457BBB">
            <w:pPr>
              <w:pStyle w:val="14"/>
            </w:pPr>
            <w:r>
              <w:t>11.06</w:t>
            </w:r>
          </w:p>
        </w:tc>
        <w:tc>
          <w:tcPr>
            <w:tcW w:w="2551" w:type="dxa"/>
            <w:vAlign w:val="center"/>
          </w:tcPr>
          <w:p w14:paraId="1AD1264D">
            <w:pPr>
              <w:pStyle w:val="14"/>
            </w:pPr>
            <w:r>
              <w:t>11.06</w:t>
            </w:r>
          </w:p>
        </w:tc>
        <w:tc>
          <w:tcPr>
            <w:tcW w:w="2551" w:type="dxa"/>
            <w:vAlign w:val="center"/>
          </w:tcPr>
          <w:p w14:paraId="3BEFD6B0">
            <w:pPr>
              <w:pStyle w:val="14"/>
            </w:pPr>
          </w:p>
        </w:tc>
      </w:tr>
      <w:tr w14:paraId="516D8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B8A58">
            <w:pPr>
              <w:pStyle w:val="12"/>
            </w:pPr>
            <w:r>
              <w:t>8</w:t>
            </w:r>
          </w:p>
        </w:tc>
        <w:tc>
          <w:tcPr>
            <w:tcW w:w="1191" w:type="dxa"/>
            <w:vAlign w:val="center"/>
          </w:tcPr>
          <w:p w14:paraId="1467C3DE">
            <w:pPr>
              <w:pStyle w:val="13"/>
            </w:pPr>
            <w:r>
              <w:t>210</w:t>
            </w:r>
          </w:p>
        </w:tc>
        <w:tc>
          <w:tcPr>
            <w:tcW w:w="4535" w:type="dxa"/>
            <w:vAlign w:val="center"/>
          </w:tcPr>
          <w:p w14:paraId="08A7A7C9">
            <w:pPr>
              <w:pStyle w:val="13"/>
            </w:pPr>
            <w:r>
              <w:t>卫生健康支出</w:t>
            </w:r>
          </w:p>
        </w:tc>
        <w:tc>
          <w:tcPr>
            <w:tcW w:w="2551" w:type="dxa"/>
            <w:vAlign w:val="center"/>
          </w:tcPr>
          <w:p w14:paraId="02D7D4C5">
            <w:pPr>
              <w:pStyle w:val="14"/>
            </w:pPr>
            <w:r>
              <w:t>4.99</w:t>
            </w:r>
          </w:p>
        </w:tc>
        <w:tc>
          <w:tcPr>
            <w:tcW w:w="2551" w:type="dxa"/>
            <w:vAlign w:val="center"/>
          </w:tcPr>
          <w:p w14:paraId="10F47D46">
            <w:pPr>
              <w:pStyle w:val="14"/>
            </w:pPr>
            <w:r>
              <w:t>4.99</w:t>
            </w:r>
          </w:p>
        </w:tc>
        <w:tc>
          <w:tcPr>
            <w:tcW w:w="2551" w:type="dxa"/>
            <w:vAlign w:val="center"/>
          </w:tcPr>
          <w:p w14:paraId="15A72CB7">
            <w:pPr>
              <w:pStyle w:val="14"/>
            </w:pPr>
          </w:p>
        </w:tc>
      </w:tr>
      <w:tr w14:paraId="7E9F7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88906">
            <w:pPr>
              <w:pStyle w:val="12"/>
            </w:pPr>
            <w:r>
              <w:t>9</w:t>
            </w:r>
          </w:p>
        </w:tc>
        <w:tc>
          <w:tcPr>
            <w:tcW w:w="1191" w:type="dxa"/>
            <w:vAlign w:val="center"/>
          </w:tcPr>
          <w:p w14:paraId="70FDE0EC">
            <w:pPr>
              <w:pStyle w:val="13"/>
            </w:pPr>
            <w:r>
              <w:t>21011</w:t>
            </w:r>
          </w:p>
        </w:tc>
        <w:tc>
          <w:tcPr>
            <w:tcW w:w="4535" w:type="dxa"/>
            <w:vAlign w:val="center"/>
          </w:tcPr>
          <w:p w14:paraId="12B26654">
            <w:pPr>
              <w:pStyle w:val="13"/>
            </w:pPr>
            <w:r>
              <w:t>行政事业单位医疗</w:t>
            </w:r>
          </w:p>
        </w:tc>
        <w:tc>
          <w:tcPr>
            <w:tcW w:w="2551" w:type="dxa"/>
            <w:vAlign w:val="center"/>
          </w:tcPr>
          <w:p w14:paraId="2FB6E09C">
            <w:pPr>
              <w:pStyle w:val="14"/>
            </w:pPr>
            <w:r>
              <w:t>4.99</w:t>
            </w:r>
          </w:p>
        </w:tc>
        <w:tc>
          <w:tcPr>
            <w:tcW w:w="2551" w:type="dxa"/>
            <w:vAlign w:val="center"/>
          </w:tcPr>
          <w:p w14:paraId="7FE6EBE9">
            <w:pPr>
              <w:pStyle w:val="14"/>
            </w:pPr>
            <w:r>
              <w:t>4.99</w:t>
            </w:r>
          </w:p>
        </w:tc>
        <w:tc>
          <w:tcPr>
            <w:tcW w:w="2551" w:type="dxa"/>
            <w:vAlign w:val="center"/>
          </w:tcPr>
          <w:p w14:paraId="6A6FA75F">
            <w:pPr>
              <w:pStyle w:val="14"/>
            </w:pPr>
          </w:p>
        </w:tc>
      </w:tr>
      <w:tr w14:paraId="7C40A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1264F">
            <w:pPr>
              <w:pStyle w:val="12"/>
            </w:pPr>
            <w:r>
              <w:t>10</w:t>
            </w:r>
          </w:p>
        </w:tc>
        <w:tc>
          <w:tcPr>
            <w:tcW w:w="1191" w:type="dxa"/>
            <w:vAlign w:val="center"/>
          </w:tcPr>
          <w:p w14:paraId="411CEDFB">
            <w:pPr>
              <w:pStyle w:val="13"/>
            </w:pPr>
            <w:r>
              <w:t>2101102</w:t>
            </w:r>
          </w:p>
        </w:tc>
        <w:tc>
          <w:tcPr>
            <w:tcW w:w="4535" w:type="dxa"/>
            <w:vAlign w:val="center"/>
          </w:tcPr>
          <w:p w14:paraId="621065C6">
            <w:pPr>
              <w:pStyle w:val="13"/>
            </w:pPr>
            <w:r>
              <w:t>事业单位医疗</w:t>
            </w:r>
          </w:p>
        </w:tc>
        <w:tc>
          <w:tcPr>
            <w:tcW w:w="2551" w:type="dxa"/>
            <w:vAlign w:val="center"/>
          </w:tcPr>
          <w:p w14:paraId="4FA8DAE4">
            <w:pPr>
              <w:pStyle w:val="14"/>
            </w:pPr>
            <w:r>
              <w:t>4.99</w:t>
            </w:r>
          </w:p>
        </w:tc>
        <w:tc>
          <w:tcPr>
            <w:tcW w:w="2551" w:type="dxa"/>
            <w:vAlign w:val="center"/>
          </w:tcPr>
          <w:p w14:paraId="23EF60C7">
            <w:pPr>
              <w:pStyle w:val="14"/>
            </w:pPr>
            <w:r>
              <w:t>4.99</w:t>
            </w:r>
          </w:p>
        </w:tc>
        <w:tc>
          <w:tcPr>
            <w:tcW w:w="2551" w:type="dxa"/>
            <w:vAlign w:val="center"/>
          </w:tcPr>
          <w:p w14:paraId="26F842DD">
            <w:pPr>
              <w:pStyle w:val="14"/>
            </w:pPr>
          </w:p>
        </w:tc>
      </w:tr>
      <w:tr w14:paraId="59505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F9733">
            <w:pPr>
              <w:pStyle w:val="12"/>
            </w:pPr>
            <w:r>
              <w:t>11</w:t>
            </w:r>
          </w:p>
        </w:tc>
        <w:tc>
          <w:tcPr>
            <w:tcW w:w="1191" w:type="dxa"/>
            <w:vAlign w:val="center"/>
          </w:tcPr>
          <w:p w14:paraId="16CF65E9">
            <w:pPr>
              <w:pStyle w:val="13"/>
            </w:pPr>
            <w:r>
              <w:t>221</w:t>
            </w:r>
          </w:p>
        </w:tc>
        <w:tc>
          <w:tcPr>
            <w:tcW w:w="4535" w:type="dxa"/>
            <w:vAlign w:val="center"/>
          </w:tcPr>
          <w:p w14:paraId="41DA8349">
            <w:pPr>
              <w:pStyle w:val="13"/>
            </w:pPr>
            <w:r>
              <w:t>住房保障支出</w:t>
            </w:r>
          </w:p>
        </w:tc>
        <w:tc>
          <w:tcPr>
            <w:tcW w:w="2551" w:type="dxa"/>
            <w:vAlign w:val="center"/>
          </w:tcPr>
          <w:p w14:paraId="0B67299A">
            <w:pPr>
              <w:pStyle w:val="14"/>
            </w:pPr>
            <w:r>
              <w:t>8.61</w:t>
            </w:r>
          </w:p>
        </w:tc>
        <w:tc>
          <w:tcPr>
            <w:tcW w:w="2551" w:type="dxa"/>
            <w:vAlign w:val="center"/>
          </w:tcPr>
          <w:p w14:paraId="0423B78F">
            <w:pPr>
              <w:pStyle w:val="14"/>
            </w:pPr>
            <w:r>
              <w:t>8.61</w:t>
            </w:r>
          </w:p>
        </w:tc>
        <w:tc>
          <w:tcPr>
            <w:tcW w:w="2551" w:type="dxa"/>
            <w:vAlign w:val="center"/>
          </w:tcPr>
          <w:p w14:paraId="376F2AE3">
            <w:pPr>
              <w:pStyle w:val="14"/>
            </w:pPr>
          </w:p>
        </w:tc>
      </w:tr>
      <w:tr w14:paraId="56B17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98EA2">
            <w:pPr>
              <w:pStyle w:val="12"/>
            </w:pPr>
            <w:r>
              <w:t>12</w:t>
            </w:r>
          </w:p>
        </w:tc>
        <w:tc>
          <w:tcPr>
            <w:tcW w:w="1191" w:type="dxa"/>
            <w:vAlign w:val="center"/>
          </w:tcPr>
          <w:p w14:paraId="04FEA030">
            <w:pPr>
              <w:pStyle w:val="13"/>
            </w:pPr>
            <w:r>
              <w:t>22102</w:t>
            </w:r>
          </w:p>
        </w:tc>
        <w:tc>
          <w:tcPr>
            <w:tcW w:w="4535" w:type="dxa"/>
            <w:vAlign w:val="center"/>
          </w:tcPr>
          <w:p w14:paraId="359B9F1E">
            <w:pPr>
              <w:pStyle w:val="13"/>
            </w:pPr>
            <w:r>
              <w:t>住房改革支出</w:t>
            </w:r>
          </w:p>
        </w:tc>
        <w:tc>
          <w:tcPr>
            <w:tcW w:w="2551" w:type="dxa"/>
            <w:vAlign w:val="center"/>
          </w:tcPr>
          <w:p w14:paraId="32E079D2">
            <w:pPr>
              <w:pStyle w:val="14"/>
            </w:pPr>
            <w:r>
              <w:t>8.61</w:t>
            </w:r>
          </w:p>
        </w:tc>
        <w:tc>
          <w:tcPr>
            <w:tcW w:w="2551" w:type="dxa"/>
            <w:vAlign w:val="center"/>
          </w:tcPr>
          <w:p w14:paraId="2AAF21C7">
            <w:pPr>
              <w:pStyle w:val="14"/>
            </w:pPr>
            <w:r>
              <w:t>8.61</w:t>
            </w:r>
          </w:p>
        </w:tc>
        <w:tc>
          <w:tcPr>
            <w:tcW w:w="2551" w:type="dxa"/>
            <w:vAlign w:val="center"/>
          </w:tcPr>
          <w:p w14:paraId="675656B0">
            <w:pPr>
              <w:pStyle w:val="14"/>
            </w:pPr>
          </w:p>
        </w:tc>
      </w:tr>
      <w:tr w14:paraId="3684B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F1CE1">
            <w:pPr>
              <w:pStyle w:val="12"/>
            </w:pPr>
            <w:r>
              <w:t>13</w:t>
            </w:r>
          </w:p>
        </w:tc>
        <w:tc>
          <w:tcPr>
            <w:tcW w:w="1191" w:type="dxa"/>
            <w:vAlign w:val="center"/>
          </w:tcPr>
          <w:p w14:paraId="1E0751D6">
            <w:pPr>
              <w:pStyle w:val="13"/>
            </w:pPr>
            <w:r>
              <w:t>2210201</w:t>
            </w:r>
          </w:p>
        </w:tc>
        <w:tc>
          <w:tcPr>
            <w:tcW w:w="4535" w:type="dxa"/>
            <w:vAlign w:val="center"/>
          </w:tcPr>
          <w:p w14:paraId="04D9295D">
            <w:pPr>
              <w:pStyle w:val="13"/>
            </w:pPr>
            <w:r>
              <w:t>住房公积金</w:t>
            </w:r>
          </w:p>
        </w:tc>
        <w:tc>
          <w:tcPr>
            <w:tcW w:w="2551" w:type="dxa"/>
            <w:vAlign w:val="center"/>
          </w:tcPr>
          <w:p w14:paraId="7BF1F023">
            <w:pPr>
              <w:pStyle w:val="14"/>
            </w:pPr>
            <w:r>
              <w:t>8.61</w:t>
            </w:r>
          </w:p>
        </w:tc>
        <w:tc>
          <w:tcPr>
            <w:tcW w:w="2551" w:type="dxa"/>
            <w:vAlign w:val="center"/>
          </w:tcPr>
          <w:p w14:paraId="52B74495">
            <w:pPr>
              <w:pStyle w:val="14"/>
            </w:pPr>
            <w:r>
              <w:t>8.61</w:t>
            </w:r>
          </w:p>
        </w:tc>
        <w:tc>
          <w:tcPr>
            <w:tcW w:w="2551" w:type="dxa"/>
            <w:vAlign w:val="center"/>
          </w:tcPr>
          <w:p w14:paraId="2F78AB82">
            <w:pPr>
              <w:pStyle w:val="14"/>
            </w:pPr>
          </w:p>
        </w:tc>
      </w:tr>
    </w:tbl>
    <w:p w14:paraId="01DD0A2F">
      <w:pPr>
        <w:sectPr>
          <w:pgSz w:w="16840" w:h="11900" w:orient="landscape"/>
          <w:pgMar w:top="1361" w:right="1020" w:bottom="1134" w:left="1020" w:header="720" w:footer="720" w:gutter="0"/>
          <w:cols w:space="720" w:num="1"/>
        </w:sectPr>
      </w:pPr>
    </w:p>
    <w:p w14:paraId="56510B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89E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F9AEF8">
            <w:pPr>
              <w:pStyle w:val="8"/>
            </w:pPr>
            <w:r>
              <w:t>360036隆尧县青少年校外活动中心</w:t>
            </w:r>
          </w:p>
        </w:tc>
        <w:tc>
          <w:tcPr>
            <w:tcW w:w="2551" w:type="dxa"/>
            <w:tcBorders>
              <w:top w:val="single" w:color="FFFFFF" w:sz="6" w:space="0"/>
              <w:left w:val="single" w:color="FFFFFF" w:sz="6" w:space="0"/>
              <w:right w:val="single" w:color="FFFFFF" w:sz="6" w:space="0"/>
            </w:tcBorders>
            <w:vAlign w:val="center"/>
          </w:tcPr>
          <w:p w14:paraId="6D40CC4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1A22C53">
            <w:pPr>
              <w:pStyle w:val="10"/>
            </w:pPr>
            <w:r>
              <w:t>单位：万元</w:t>
            </w:r>
          </w:p>
        </w:tc>
      </w:tr>
      <w:tr w14:paraId="63F93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FBF0A8">
            <w:pPr>
              <w:pStyle w:val="11"/>
            </w:pPr>
            <w:r>
              <w:t>序号</w:t>
            </w:r>
          </w:p>
        </w:tc>
        <w:tc>
          <w:tcPr>
            <w:tcW w:w="5726" w:type="dxa"/>
            <w:gridSpan w:val="2"/>
            <w:vAlign w:val="center"/>
          </w:tcPr>
          <w:p w14:paraId="5FA7524C">
            <w:pPr>
              <w:pStyle w:val="11"/>
            </w:pPr>
            <w:r>
              <w:t>支出部门经济分类科目</w:t>
            </w:r>
          </w:p>
        </w:tc>
        <w:tc>
          <w:tcPr>
            <w:tcW w:w="7653" w:type="dxa"/>
            <w:gridSpan w:val="3"/>
            <w:vAlign w:val="center"/>
          </w:tcPr>
          <w:p w14:paraId="49861CB2">
            <w:pPr>
              <w:pStyle w:val="11"/>
            </w:pPr>
            <w:r>
              <w:t>一般公共预算基本支出</w:t>
            </w:r>
          </w:p>
        </w:tc>
      </w:tr>
      <w:tr w14:paraId="5B83F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76B8EB"/>
        </w:tc>
        <w:tc>
          <w:tcPr>
            <w:tcW w:w="1191" w:type="dxa"/>
            <w:vAlign w:val="center"/>
          </w:tcPr>
          <w:p w14:paraId="6A0A6BAD">
            <w:pPr>
              <w:pStyle w:val="11"/>
            </w:pPr>
            <w:r>
              <w:t>科目编码</w:t>
            </w:r>
          </w:p>
        </w:tc>
        <w:tc>
          <w:tcPr>
            <w:tcW w:w="4535" w:type="dxa"/>
            <w:vAlign w:val="center"/>
          </w:tcPr>
          <w:p w14:paraId="61C04E81">
            <w:pPr>
              <w:pStyle w:val="11"/>
            </w:pPr>
            <w:r>
              <w:t>科目名称</w:t>
            </w:r>
          </w:p>
        </w:tc>
        <w:tc>
          <w:tcPr>
            <w:tcW w:w="2551" w:type="dxa"/>
            <w:vAlign w:val="center"/>
          </w:tcPr>
          <w:p w14:paraId="66ECF3DE">
            <w:pPr>
              <w:pStyle w:val="11"/>
            </w:pPr>
            <w:r>
              <w:t>合计</w:t>
            </w:r>
          </w:p>
        </w:tc>
        <w:tc>
          <w:tcPr>
            <w:tcW w:w="2551" w:type="dxa"/>
            <w:vAlign w:val="center"/>
          </w:tcPr>
          <w:p w14:paraId="2DAECB0F">
            <w:pPr>
              <w:pStyle w:val="11"/>
            </w:pPr>
            <w:r>
              <w:t>人员经费</w:t>
            </w:r>
          </w:p>
        </w:tc>
        <w:tc>
          <w:tcPr>
            <w:tcW w:w="2551" w:type="dxa"/>
            <w:vAlign w:val="center"/>
          </w:tcPr>
          <w:p w14:paraId="367E5811">
            <w:pPr>
              <w:pStyle w:val="11"/>
            </w:pPr>
            <w:r>
              <w:t>公用经费</w:t>
            </w:r>
          </w:p>
        </w:tc>
      </w:tr>
      <w:tr w14:paraId="349CA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FD79B9">
            <w:pPr>
              <w:pStyle w:val="11"/>
            </w:pPr>
            <w:r>
              <w:t>栏次</w:t>
            </w:r>
          </w:p>
        </w:tc>
        <w:tc>
          <w:tcPr>
            <w:tcW w:w="1191" w:type="dxa"/>
            <w:vAlign w:val="center"/>
          </w:tcPr>
          <w:p w14:paraId="3B6511AE">
            <w:pPr>
              <w:pStyle w:val="11"/>
            </w:pPr>
            <w:r>
              <w:t>1</w:t>
            </w:r>
          </w:p>
        </w:tc>
        <w:tc>
          <w:tcPr>
            <w:tcW w:w="4535" w:type="dxa"/>
            <w:vAlign w:val="center"/>
          </w:tcPr>
          <w:p w14:paraId="67AD8F50">
            <w:pPr>
              <w:pStyle w:val="11"/>
            </w:pPr>
            <w:r>
              <w:t>2</w:t>
            </w:r>
          </w:p>
        </w:tc>
        <w:tc>
          <w:tcPr>
            <w:tcW w:w="2551" w:type="dxa"/>
            <w:vAlign w:val="center"/>
          </w:tcPr>
          <w:p w14:paraId="4C7CB0F3">
            <w:pPr>
              <w:pStyle w:val="11"/>
            </w:pPr>
            <w:r>
              <w:t>3</w:t>
            </w:r>
          </w:p>
        </w:tc>
        <w:tc>
          <w:tcPr>
            <w:tcW w:w="2551" w:type="dxa"/>
            <w:vAlign w:val="center"/>
          </w:tcPr>
          <w:p w14:paraId="5436C568">
            <w:pPr>
              <w:pStyle w:val="11"/>
            </w:pPr>
            <w:r>
              <w:t>4</w:t>
            </w:r>
          </w:p>
        </w:tc>
        <w:tc>
          <w:tcPr>
            <w:tcW w:w="2551" w:type="dxa"/>
            <w:vAlign w:val="center"/>
          </w:tcPr>
          <w:p w14:paraId="11FDFF1E">
            <w:pPr>
              <w:pStyle w:val="11"/>
            </w:pPr>
            <w:r>
              <w:t>5</w:t>
            </w:r>
          </w:p>
        </w:tc>
      </w:tr>
      <w:tr w14:paraId="55A71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69404">
            <w:pPr>
              <w:pStyle w:val="12"/>
            </w:pPr>
            <w:r>
              <w:t>1</w:t>
            </w:r>
          </w:p>
        </w:tc>
        <w:tc>
          <w:tcPr>
            <w:tcW w:w="1191" w:type="dxa"/>
            <w:vAlign w:val="center"/>
          </w:tcPr>
          <w:p w14:paraId="1F89C695">
            <w:pPr>
              <w:pStyle w:val="17"/>
            </w:pPr>
          </w:p>
        </w:tc>
        <w:tc>
          <w:tcPr>
            <w:tcW w:w="4535" w:type="dxa"/>
            <w:vAlign w:val="center"/>
          </w:tcPr>
          <w:p w14:paraId="3311F475">
            <w:pPr>
              <w:pStyle w:val="15"/>
            </w:pPr>
            <w:r>
              <w:t>合计</w:t>
            </w:r>
          </w:p>
        </w:tc>
        <w:tc>
          <w:tcPr>
            <w:tcW w:w="2551" w:type="dxa"/>
            <w:vAlign w:val="center"/>
          </w:tcPr>
          <w:p w14:paraId="51EA838F">
            <w:pPr>
              <w:pStyle w:val="16"/>
            </w:pPr>
            <w:r>
              <w:t>150.47</w:t>
            </w:r>
          </w:p>
        </w:tc>
        <w:tc>
          <w:tcPr>
            <w:tcW w:w="2551" w:type="dxa"/>
            <w:vAlign w:val="center"/>
          </w:tcPr>
          <w:p w14:paraId="0694F380">
            <w:pPr>
              <w:pStyle w:val="16"/>
            </w:pPr>
            <w:r>
              <w:t>117.47</w:t>
            </w:r>
          </w:p>
        </w:tc>
        <w:tc>
          <w:tcPr>
            <w:tcW w:w="2551" w:type="dxa"/>
            <w:vAlign w:val="center"/>
          </w:tcPr>
          <w:p w14:paraId="2C2F476C">
            <w:pPr>
              <w:pStyle w:val="16"/>
            </w:pPr>
            <w:r>
              <w:t>33.00</w:t>
            </w:r>
          </w:p>
        </w:tc>
      </w:tr>
      <w:tr w14:paraId="619C9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805DF">
            <w:pPr>
              <w:pStyle w:val="12"/>
            </w:pPr>
            <w:r>
              <w:t>2</w:t>
            </w:r>
          </w:p>
        </w:tc>
        <w:tc>
          <w:tcPr>
            <w:tcW w:w="1191" w:type="dxa"/>
            <w:vAlign w:val="center"/>
          </w:tcPr>
          <w:p w14:paraId="205E2A8B">
            <w:pPr>
              <w:pStyle w:val="13"/>
            </w:pPr>
            <w:r>
              <w:t>301</w:t>
            </w:r>
          </w:p>
        </w:tc>
        <w:tc>
          <w:tcPr>
            <w:tcW w:w="4535" w:type="dxa"/>
            <w:vAlign w:val="center"/>
          </w:tcPr>
          <w:p w14:paraId="2CA26036">
            <w:pPr>
              <w:pStyle w:val="13"/>
            </w:pPr>
            <w:r>
              <w:t>工资福利支出</w:t>
            </w:r>
          </w:p>
        </w:tc>
        <w:tc>
          <w:tcPr>
            <w:tcW w:w="2551" w:type="dxa"/>
            <w:vAlign w:val="center"/>
          </w:tcPr>
          <w:p w14:paraId="0BA049B0">
            <w:pPr>
              <w:pStyle w:val="14"/>
            </w:pPr>
            <w:r>
              <w:t>116.41</w:t>
            </w:r>
          </w:p>
        </w:tc>
        <w:tc>
          <w:tcPr>
            <w:tcW w:w="2551" w:type="dxa"/>
            <w:vAlign w:val="center"/>
          </w:tcPr>
          <w:p w14:paraId="52D20A8D">
            <w:pPr>
              <w:pStyle w:val="14"/>
            </w:pPr>
            <w:r>
              <w:t>116.41</w:t>
            </w:r>
          </w:p>
        </w:tc>
        <w:tc>
          <w:tcPr>
            <w:tcW w:w="2551" w:type="dxa"/>
            <w:vAlign w:val="center"/>
          </w:tcPr>
          <w:p w14:paraId="1FD0406B">
            <w:pPr>
              <w:pStyle w:val="14"/>
            </w:pPr>
          </w:p>
        </w:tc>
      </w:tr>
      <w:tr w14:paraId="5D501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E8613">
            <w:pPr>
              <w:pStyle w:val="12"/>
            </w:pPr>
            <w:r>
              <w:t>3</w:t>
            </w:r>
          </w:p>
        </w:tc>
        <w:tc>
          <w:tcPr>
            <w:tcW w:w="1191" w:type="dxa"/>
            <w:vAlign w:val="center"/>
          </w:tcPr>
          <w:p w14:paraId="118465F7">
            <w:pPr>
              <w:pStyle w:val="13"/>
            </w:pPr>
            <w:r>
              <w:t>30101</w:t>
            </w:r>
          </w:p>
        </w:tc>
        <w:tc>
          <w:tcPr>
            <w:tcW w:w="4535" w:type="dxa"/>
            <w:vAlign w:val="center"/>
          </w:tcPr>
          <w:p w14:paraId="3452F873">
            <w:pPr>
              <w:pStyle w:val="13"/>
            </w:pPr>
            <w:r>
              <w:t>基本工资</w:t>
            </w:r>
          </w:p>
        </w:tc>
        <w:tc>
          <w:tcPr>
            <w:tcW w:w="2551" w:type="dxa"/>
            <w:vAlign w:val="center"/>
          </w:tcPr>
          <w:p w14:paraId="4015C85B">
            <w:pPr>
              <w:pStyle w:val="14"/>
            </w:pPr>
            <w:r>
              <w:t>59.38</w:t>
            </w:r>
          </w:p>
        </w:tc>
        <w:tc>
          <w:tcPr>
            <w:tcW w:w="2551" w:type="dxa"/>
            <w:vAlign w:val="center"/>
          </w:tcPr>
          <w:p w14:paraId="6115DB56">
            <w:pPr>
              <w:pStyle w:val="14"/>
            </w:pPr>
            <w:r>
              <w:t>59.38</w:t>
            </w:r>
          </w:p>
        </w:tc>
        <w:tc>
          <w:tcPr>
            <w:tcW w:w="2551" w:type="dxa"/>
            <w:vAlign w:val="center"/>
          </w:tcPr>
          <w:p w14:paraId="393BE0CD">
            <w:pPr>
              <w:pStyle w:val="14"/>
            </w:pPr>
          </w:p>
        </w:tc>
      </w:tr>
      <w:tr w14:paraId="565E8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A8624">
            <w:pPr>
              <w:pStyle w:val="12"/>
            </w:pPr>
            <w:r>
              <w:t>4</w:t>
            </w:r>
          </w:p>
        </w:tc>
        <w:tc>
          <w:tcPr>
            <w:tcW w:w="1191" w:type="dxa"/>
            <w:vAlign w:val="center"/>
          </w:tcPr>
          <w:p w14:paraId="650084CA">
            <w:pPr>
              <w:pStyle w:val="13"/>
            </w:pPr>
            <w:r>
              <w:t>30102</w:t>
            </w:r>
          </w:p>
        </w:tc>
        <w:tc>
          <w:tcPr>
            <w:tcW w:w="4535" w:type="dxa"/>
            <w:vAlign w:val="center"/>
          </w:tcPr>
          <w:p w14:paraId="5252AF6E">
            <w:pPr>
              <w:pStyle w:val="13"/>
            </w:pPr>
            <w:r>
              <w:t>津贴补贴</w:t>
            </w:r>
          </w:p>
        </w:tc>
        <w:tc>
          <w:tcPr>
            <w:tcW w:w="2551" w:type="dxa"/>
            <w:vAlign w:val="center"/>
          </w:tcPr>
          <w:p w14:paraId="4D0F0BDC">
            <w:pPr>
              <w:pStyle w:val="14"/>
            </w:pPr>
            <w:r>
              <w:t>1.45</w:t>
            </w:r>
          </w:p>
        </w:tc>
        <w:tc>
          <w:tcPr>
            <w:tcW w:w="2551" w:type="dxa"/>
            <w:vAlign w:val="center"/>
          </w:tcPr>
          <w:p w14:paraId="484774D5">
            <w:pPr>
              <w:pStyle w:val="14"/>
            </w:pPr>
            <w:r>
              <w:t>1.45</w:t>
            </w:r>
          </w:p>
        </w:tc>
        <w:tc>
          <w:tcPr>
            <w:tcW w:w="2551" w:type="dxa"/>
            <w:vAlign w:val="center"/>
          </w:tcPr>
          <w:p w14:paraId="30BCDAB3">
            <w:pPr>
              <w:pStyle w:val="14"/>
            </w:pPr>
          </w:p>
        </w:tc>
      </w:tr>
      <w:tr w14:paraId="7A0B8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C42FD">
            <w:pPr>
              <w:pStyle w:val="12"/>
            </w:pPr>
            <w:r>
              <w:t>5</w:t>
            </w:r>
          </w:p>
        </w:tc>
        <w:tc>
          <w:tcPr>
            <w:tcW w:w="1191" w:type="dxa"/>
            <w:vAlign w:val="center"/>
          </w:tcPr>
          <w:p w14:paraId="5F6192FF">
            <w:pPr>
              <w:pStyle w:val="13"/>
            </w:pPr>
            <w:r>
              <w:t>30103</w:t>
            </w:r>
          </w:p>
        </w:tc>
        <w:tc>
          <w:tcPr>
            <w:tcW w:w="4535" w:type="dxa"/>
            <w:vAlign w:val="center"/>
          </w:tcPr>
          <w:p w14:paraId="3D012712">
            <w:pPr>
              <w:pStyle w:val="13"/>
            </w:pPr>
            <w:r>
              <w:t>奖金</w:t>
            </w:r>
          </w:p>
        </w:tc>
        <w:tc>
          <w:tcPr>
            <w:tcW w:w="2551" w:type="dxa"/>
            <w:vAlign w:val="center"/>
          </w:tcPr>
          <w:p w14:paraId="2B752D4D">
            <w:pPr>
              <w:pStyle w:val="14"/>
            </w:pPr>
            <w:r>
              <w:t>4.08</w:t>
            </w:r>
          </w:p>
        </w:tc>
        <w:tc>
          <w:tcPr>
            <w:tcW w:w="2551" w:type="dxa"/>
            <w:vAlign w:val="center"/>
          </w:tcPr>
          <w:p w14:paraId="6CD5BF86">
            <w:pPr>
              <w:pStyle w:val="14"/>
            </w:pPr>
            <w:r>
              <w:t>4.08</w:t>
            </w:r>
          </w:p>
        </w:tc>
        <w:tc>
          <w:tcPr>
            <w:tcW w:w="2551" w:type="dxa"/>
            <w:vAlign w:val="center"/>
          </w:tcPr>
          <w:p w14:paraId="6B2117DB">
            <w:pPr>
              <w:pStyle w:val="14"/>
            </w:pPr>
          </w:p>
        </w:tc>
      </w:tr>
      <w:tr w14:paraId="507CB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EA7C2">
            <w:pPr>
              <w:pStyle w:val="12"/>
            </w:pPr>
            <w:r>
              <w:t>6</w:t>
            </w:r>
          </w:p>
        </w:tc>
        <w:tc>
          <w:tcPr>
            <w:tcW w:w="1191" w:type="dxa"/>
            <w:vAlign w:val="center"/>
          </w:tcPr>
          <w:p w14:paraId="28973EBE">
            <w:pPr>
              <w:pStyle w:val="13"/>
            </w:pPr>
            <w:r>
              <w:t>30107</w:t>
            </w:r>
          </w:p>
        </w:tc>
        <w:tc>
          <w:tcPr>
            <w:tcW w:w="4535" w:type="dxa"/>
            <w:vAlign w:val="center"/>
          </w:tcPr>
          <w:p w14:paraId="39182DBE">
            <w:pPr>
              <w:pStyle w:val="13"/>
            </w:pPr>
            <w:r>
              <w:t>绩效工资</w:t>
            </w:r>
          </w:p>
        </w:tc>
        <w:tc>
          <w:tcPr>
            <w:tcW w:w="2551" w:type="dxa"/>
            <w:vAlign w:val="center"/>
          </w:tcPr>
          <w:p w14:paraId="584CF020">
            <w:pPr>
              <w:pStyle w:val="14"/>
            </w:pPr>
            <w:r>
              <w:t>26.53</w:t>
            </w:r>
          </w:p>
        </w:tc>
        <w:tc>
          <w:tcPr>
            <w:tcW w:w="2551" w:type="dxa"/>
            <w:vAlign w:val="center"/>
          </w:tcPr>
          <w:p w14:paraId="38B78710">
            <w:pPr>
              <w:pStyle w:val="14"/>
            </w:pPr>
            <w:r>
              <w:t>26.53</w:t>
            </w:r>
          </w:p>
        </w:tc>
        <w:tc>
          <w:tcPr>
            <w:tcW w:w="2551" w:type="dxa"/>
            <w:vAlign w:val="center"/>
          </w:tcPr>
          <w:p w14:paraId="5984EAEB">
            <w:pPr>
              <w:pStyle w:val="14"/>
            </w:pPr>
          </w:p>
        </w:tc>
      </w:tr>
      <w:tr w14:paraId="4600A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85E52">
            <w:pPr>
              <w:pStyle w:val="12"/>
            </w:pPr>
            <w:r>
              <w:t>7</w:t>
            </w:r>
          </w:p>
        </w:tc>
        <w:tc>
          <w:tcPr>
            <w:tcW w:w="1191" w:type="dxa"/>
            <w:vAlign w:val="center"/>
          </w:tcPr>
          <w:p w14:paraId="53F50126">
            <w:pPr>
              <w:pStyle w:val="13"/>
            </w:pPr>
            <w:r>
              <w:t>30108</w:t>
            </w:r>
          </w:p>
        </w:tc>
        <w:tc>
          <w:tcPr>
            <w:tcW w:w="4535" w:type="dxa"/>
            <w:vAlign w:val="center"/>
          </w:tcPr>
          <w:p w14:paraId="69F8736E">
            <w:pPr>
              <w:pStyle w:val="13"/>
            </w:pPr>
            <w:r>
              <w:t>机关事业单位基本养老保险缴费</w:t>
            </w:r>
          </w:p>
        </w:tc>
        <w:tc>
          <w:tcPr>
            <w:tcW w:w="2551" w:type="dxa"/>
            <w:vAlign w:val="center"/>
          </w:tcPr>
          <w:p w14:paraId="3AD9A2ED">
            <w:pPr>
              <w:pStyle w:val="14"/>
            </w:pPr>
            <w:r>
              <w:t>11.06</w:t>
            </w:r>
          </w:p>
        </w:tc>
        <w:tc>
          <w:tcPr>
            <w:tcW w:w="2551" w:type="dxa"/>
            <w:vAlign w:val="center"/>
          </w:tcPr>
          <w:p w14:paraId="52AFD780">
            <w:pPr>
              <w:pStyle w:val="14"/>
            </w:pPr>
            <w:r>
              <w:t>11.06</w:t>
            </w:r>
          </w:p>
        </w:tc>
        <w:tc>
          <w:tcPr>
            <w:tcW w:w="2551" w:type="dxa"/>
            <w:vAlign w:val="center"/>
          </w:tcPr>
          <w:p w14:paraId="7D120B3F">
            <w:pPr>
              <w:pStyle w:val="14"/>
            </w:pPr>
          </w:p>
        </w:tc>
      </w:tr>
      <w:tr w14:paraId="32E1D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0EE79">
            <w:pPr>
              <w:pStyle w:val="12"/>
            </w:pPr>
            <w:r>
              <w:t>8</w:t>
            </w:r>
          </w:p>
        </w:tc>
        <w:tc>
          <w:tcPr>
            <w:tcW w:w="1191" w:type="dxa"/>
            <w:vAlign w:val="center"/>
          </w:tcPr>
          <w:p w14:paraId="5278F857">
            <w:pPr>
              <w:pStyle w:val="13"/>
            </w:pPr>
            <w:r>
              <w:t>30110</w:t>
            </w:r>
          </w:p>
        </w:tc>
        <w:tc>
          <w:tcPr>
            <w:tcW w:w="4535" w:type="dxa"/>
            <w:vAlign w:val="center"/>
          </w:tcPr>
          <w:p w14:paraId="1D4487F3">
            <w:pPr>
              <w:pStyle w:val="13"/>
            </w:pPr>
            <w:r>
              <w:t>职工基本医疗保险缴费</w:t>
            </w:r>
          </w:p>
        </w:tc>
        <w:tc>
          <w:tcPr>
            <w:tcW w:w="2551" w:type="dxa"/>
            <w:vAlign w:val="center"/>
          </w:tcPr>
          <w:p w14:paraId="76BE3A3A">
            <w:pPr>
              <w:pStyle w:val="14"/>
            </w:pPr>
            <w:r>
              <w:t>4.99</w:t>
            </w:r>
          </w:p>
        </w:tc>
        <w:tc>
          <w:tcPr>
            <w:tcW w:w="2551" w:type="dxa"/>
            <w:vAlign w:val="center"/>
          </w:tcPr>
          <w:p w14:paraId="01B20C27">
            <w:pPr>
              <w:pStyle w:val="14"/>
            </w:pPr>
            <w:r>
              <w:t>4.99</w:t>
            </w:r>
          </w:p>
        </w:tc>
        <w:tc>
          <w:tcPr>
            <w:tcW w:w="2551" w:type="dxa"/>
            <w:vAlign w:val="center"/>
          </w:tcPr>
          <w:p w14:paraId="51AE8AB8">
            <w:pPr>
              <w:pStyle w:val="14"/>
            </w:pPr>
          </w:p>
        </w:tc>
      </w:tr>
      <w:tr w14:paraId="7D280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672A9">
            <w:pPr>
              <w:pStyle w:val="12"/>
            </w:pPr>
            <w:r>
              <w:t>9</w:t>
            </w:r>
          </w:p>
        </w:tc>
        <w:tc>
          <w:tcPr>
            <w:tcW w:w="1191" w:type="dxa"/>
            <w:vAlign w:val="center"/>
          </w:tcPr>
          <w:p w14:paraId="1EC0FC0C">
            <w:pPr>
              <w:pStyle w:val="13"/>
            </w:pPr>
            <w:r>
              <w:t>30112</w:t>
            </w:r>
          </w:p>
        </w:tc>
        <w:tc>
          <w:tcPr>
            <w:tcW w:w="4535" w:type="dxa"/>
            <w:vAlign w:val="center"/>
          </w:tcPr>
          <w:p w14:paraId="7F90EE59">
            <w:pPr>
              <w:pStyle w:val="13"/>
            </w:pPr>
            <w:r>
              <w:t>其他社会保障缴费</w:t>
            </w:r>
          </w:p>
        </w:tc>
        <w:tc>
          <w:tcPr>
            <w:tcW w:w="2551" w:type="dxa"/>
            <w:vAlign w:val="center"/>
          </w:tcPr>
          <w:p w14:paraId="4E944ADF">
            <w:pPr>
              <w:pStyle w:val="14"/>
            </w:pPr>
            <w:r>
              <w:t>0.31</w:t>
            </w:r>
          </w:p>
        </w:tc>
        <w:tc>
          <w:tcPr>
            <w:tcW w:w="2551" w:type="dxa"/>
            <w:vAlign w:val="center"/>
          </w:tcPr>
          <w:p w14:paraId="12D43C98">
            <w:pPr>
              <w:pStyle w:val="14"/>
            </w:pPr>
            <w:r>
              <w:t>0.31</w:t>
            </w:r>
          </w:p>
        </w:tc>
        <w:tc>
          <w:tcPr>
            <w:tcW w:w="2551" w:type="dxa"/>
            <w:vAlign w:val="center"/>
          </w:tcPr>
          <w:p w14:paraId="266D3A47">
            <w:pPr>
              <w:pStyle w:val="14"/>
            </w:pPr>
          </w:p>
        </w:tc>
      </w:tr>
      <w:tr w14:paraId="13C21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1C1DF">
            <w:pPr>
              <w:pStyle w:val="12"/>
            </w:pPr>
            <w:r>
              <w:t>10</w:t>
            </w:r>
          </w:p>
        </w:tc>
        <w:tc>
          <w:tcPr>
            <w:tcW w:w="1191" w:type="dxa"/>
            <w:vAlign w:val="center"/>
          </w:tcPr>
          <w:p w14:paraId="4A972F00">
            <w:pPr>
              <w:pStyle w:val="13"/>
            </w:pPr>
            <w:r>
              <w:t>30113</w:t>
            </w:r>
          </w:p>
        </w:tc>
        <w:tc>
          <w:tcPr>
            <w:tcW w:w="4535" w:type="dxa"/>
            <w:vAlign w:val="center"/>
          </w:tcPr>
          <w:p w14:paraId="6DD669E5">
            <w:pPr>
              <w:pStyle w:val="13"/>
            </w:pPr>
            <w:r>
              <w:t>住房公积金</w:t>
            </w:r>
          </w:p>
        </w:tc>
        <w:tc>
          <w:tcPr>
            <w:tcW w:w="2551" w:type="dxa"/>
            <w:vAlign w:val="center"/>
          </w:tcPr>
          <w:p w14:paraId="4DB95BBA">
            <w:pPr>
              <w:pStyle w:val="14"/>
            </w:pPr>
            <w:r>
              <w:t>8.61</w:t>
            </w:r>
          </w:p>
        </w:tc>
        <w:tc>
          <w:tcPr>
            <w:tcW w:w="2551" w:type="dxa"/>
            <w:vAlign w:val="center"/>
          </w:tcPr>
          <w:p w14:paraId="1D607545">
            <w:pPr>
              <w:pStyle w:val="14"/>
            </w:pPr>
            <w:r>
              <w:t>8.61</w:t>
            </w:r>
          </w:p>
        </w:tc>
        <w:tc>
          <w:tcPr>
            <w:tcW w:w="2551" w:type="dxa"/>
            <w:vAlign w:val="center"/>
          </w:tcPr>
          <w:p w14:paraId="20901F8B">
            <w:pPr>
              <w:pStyle w:val="14"/>
            </w:pPr>
          </w:p>
        </w:tc>
      </w:tr>
      <w:tr w14:paraId="2E27E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1AC45">
            <w:pPr>
              <w:pStyle w:val="12"/>
            </w:pPr>
            <w:r>
              <w:t>11</w:t>
            </w:r>
          </w:p>
        </w:tc>
        <w:tc>
          <w:tcPr>
            <w:tcW w:w="1191" w:type="dxa"/>
            <w:vAlign w:val="center"/>
          </w:tcPr>
          <w:p w14:paraId="7CF2B51A">
            <w:pPr>
              <w:pStyle w:val="13"/>
            </w:pPr>
            <w:r>
              <w:t>302</w:t>
            </w:r>
          </w:p>
        </w:tc>
        <w:tc>
          <w:tcPr>
            <w:tcW w:w="4535" w:type="dxa"/>
            <w:vAlign w:val="center"/>
          </w:tcPr>
          <w:p w14:paraId="457D091A">
            <w:pPr>
              <w:pStyle w:val="13"/>
            </w:pPr>
            <w:r>
              <w:t>商品和服务支出</w:t>
            </w:r>
          </w:p>
        </w:tc>
        <w:tc>
          <w:tcPr>
            <w:tcW w:w="2551" w:type="dxa"/>
            <w:vAlign w:val="center"/>
          </w:tcPr>
          <w:p w14:paraId="2C4EE1E9">
            <w:pPr>
              <w:pStyle w:val="14"/>
            </w:pPr>
            <w:r>
              <w:t>28.24</w:t>
            </w:r>
          </w:p>
        </w:tc>
        <w:tc>
          <w:tcPr>
            <w:tcW w:w="2551" w:type="dxa"/>
            <w:vAlign w:val="center"/>
          </w:tcPr>
          <w:p w14:paraId="4F202CD3">
            <w:pPr>
              <w:pStyle w:val="14"/>
            </w:pPr>
          </w:p>
        </w:tc>
        <w:tc>
          <w:tcPr>
            <w:tcW w:w="2551" w:type="dxa"/>
            <w:vAlign w:val="center"/>
          </w:tcPr>
          <w:p w14:paraId="0C94B6ED">
            <w:pPr>
              <w:pStyle w:val="14"/>
            </w:pPr>
            <w:r>
              <w:t>28.24</w:t>
            </w:r>
          </w:p>
        </w:tc>
      </w:tr>
      <w:tr w14:paraId="24FD1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3D30E">
            <w:pPr>
              <w:pStyle w:val="12"/>
            </w:pPr>
            <w:r>
              <w:t>12</w:t>
            </w:r>
          </w:p>
        </w:tc>
        <w:tc>
          <w:tcPr>
            <w:tcW w:w="1191" w:type="dxa"/>
            <w:vAlign w:val="center"/>
          </w:tcPr>
          <w:p w14:paraId="1C615233">
            <w:pPr>
              <w:pStyle w:val="13"/>
            </w:pPr>
            <w:r>
              <w:t>30201</w:t>
            </w:r>
          </w:p>
        </w:tc>
        <w:tc>
          <w:tcPr>
            <w:tcW w:w="4535" w:type="dxa"/>
            <w:vAlign w:val="center"/>
          </w:tcPr>
          <w:p w14:paraId="63574C4F">
            <w:pPr>
              <w:pStyle w:val="13"/>
            </w:pPr>
            <w:r>
              <w:t>办公费</w:t>
            </w:r>
          </w:p>
        </w:tc>
        <w:tc>
          <w:tcPr>
            <w:tcW w:w="2551" w:type="dxa"/>
            <w:vAlign w:val="center"/>
          </w:tcPr>
          <w:p w14:paraId="3C2B4F55">
            <w:pPr>
              <w:pStyle w:val="14"/>
            </w:pPr>
            <w:r>
              <w:t>5.02</w:t>
            </w:r>
          </w:p>
        </w:tc>
        <w:tc>
          <w:tcPr>
            <w:tcW w:w="2551" w:type="dxa"/>
            <w:vAlign w:val="center"/>
          </w:tcPr>
          <w:p w14:paraId="7373F9B8">
            <w:pPr>
              <w:pStyle w:val="14"/>
            </w:pPr>
          </w:p>
        </w:tc>
        <w:tc>
          <w:tcPr>
            <w:tcW w:w="2551" w:type="dxa"/>
            <w:vAlign w:val="center"/>
          </w:tcPr>
          <w:p w14:paraId="55126ABE">
            <w:pPr>
              <w:pStyle w:val="14"/>
            </w:pPr>
            <w:r>
              <w:t>5.02</w:t>
            </w:r>
          </w:p>
        </w:tc>
      </w:tr>
      <w:tr w14:paraId="1969D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6E80A">
            <w:pPr>
              <w:pStyle w:val="12"/>
            </w:pPr>
            <w:r>
              <w:t>13</w:t>
            </w:r>
          </w:p>
        </w:tc>
        <w:tc>
          <w:tcPr>
            <w:tcW w:w="1191" w:type="dxa"/>
            <w:vAlign w:val="center"/>
          </w:tcPr>
          <w:p w14:paraId="385E631A">
            <w:pPr>
              <w:pStyle w:val="13"/>
            </w:pPr>
            <w:r>
              <w:t>30202</w:t>
            </w:r>
          </w:p>
        </w:tc>
        <w:tc>
          <w:tcPr>
            <w:tcW w:w="4535" w:type="dxa"/>
            <w:vAlign w:val="center"/>
          </w:tcPr>
          <w:p w14:paraId="0BA23E50">
            <w:pPr>
              <w:pStyle w:val="13"/>
            </w:pPr>
            <w:r>
              <w:t>印刷费</w:t>
            </w:r>
          </w:p>
        </w:tc>
        <w:tc>
          <w:tcPr>
            <w:tcW w:w="2551" w:type="dxa"/>
            <w:vAlign w:val="center"/>
          </w:tcPr>
          <w:p w14:paraId="1A460508">
            <w:pPr>
              <w:pStyle w:val="14"/>
            </w:pPr>
            <w:r>
              <w:t>3.20</w:t>
            </w:r>
          </w:p>
        </w:tc>
        <w:tc>
          <w:tcPr>
            <w:tcW w:w="2551" w:type="dxa"/>
            <w:vAlign w:val="center"/>
          </w:tcPr>
          <w:p w14:paraId="1E0C42EA">
            <w:pPr>
              <w:pStyle w:val="14"/>
            </w:pPr>
          </w:p>
        </w:tc>
        <w:tc>
          <w:tcPr>
            <w:tcW w:w="2551" w:type="dxa"/>
            <w:vAlign w:val="center"/>
          </w:tcPr>
          <w:p w14:paraId="6F3E3900">
            <w:pPr>
              <w:pStyle w:val="14"/>
            </w:pPr>
            <w:r>
              <w:t>3.20</w:t>
            </w:r>
          </w:p>
        </w:tc>
      </w:tr>
      <w:tr w14:paraId="5757B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F5804">
            <w:pPr>
              <w:pStyle w:val="12"/>
            </w:pPr>
            <w:r>
              <w:t>14</w:t>
            </w:r>
          </w:p>
        </w:tc>
        <w:tc>
          <w:tcPr>
            <w:tcW w:w="1191" w:type="dxa"/>
            <w:vAlign w:val="center"/>
          </w:tcPr>
          <w:p w14:paraId="349394EE">
            <w:pPr>
              <w:pStyle w:val="13"/>
            </w:pPr>
            <w:r>
              <w:t>30206</w:t>
            </w:r>
          </w:p>
        </w:tc>
        <w:tc>
          <w:tcPr>
            <w:tcW w:w="4535" w:type="dxa"/>
            <w:vAlign w:val="center"/>
          </w:tcPr>
          <w:p w14:paraId="43282E85">
            <w:pPr>
              <w:pStyle w:val="13"/>
            </w:pPr>
            <w:r>
              <w:t>电费</w:t>
            </w:r>
          </w:p>
        </w:tc>
        <w:tc>
          <w:tcPr>
            <w:tcW w:w="2551" w:type="dxa"/>
            <w:vAlign w:val="center"/>
          </w:tcPr>
          <w:p w14:paraId="61D67127">
            <w:pPr>
              <w:pStyle w:val="14"/>
            </w:pPr>
            <w:r>
              <w:t>1.00</w:t>
            </w:r>
          </w:p>
        </w:tc>
        <w:tc>
          <w:tcPr>
            <w:tcW w:w="2551" w:type="dxa"/>
            <w:vAlign w:val="center"/>
          </w:tcPr>
          <w:p w14:paraId="4C12F185">
            <w:pPr>
              <w:pStyle w:val="14"/>
            </w:pPr>
          </w:p>
        </w:tc>
        <w:tc>
          <w:tcPr>
            <w:tcW w:w="2551" w:type="dxa"/>
            <w:vAlign w:val="center"/>
          </w:tcPr>
          <w:p w14:paraId="5F13EF93">
            <w:pPr>
              <w:pStyle w:val="14"/>
            </w:pPr>
            <w:r>
              <w:t>1.00</w:t>
            </w:r>
          </w:p>
        </w:tc>
      </w:tr>
      <w:tr w14:paraId="7A6C9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747F5">
            <w:pPr>
              <w:pStyle w:val="12"/>
            </w:pPr>
            <w:r>
              <w:t>15</w:t>
            </w:r>
          </w:p>
        </w:tc>
        <w:tc>
          <w:tcPr>
            <w:tcW w:w="1191" w:type="dxa"/>
            <w:vAlign w:val="center"/>
          </w:tcPr>
          <w:p w14:paraId="1842AF09">
            <w:pPr>
              <w:pStyle w:val="13"/>
            </w:pPr>
            <w:r>
              <w:t>30207</w:t>
            </w:r>
          </w:p>
        </w:tc>
        <w:tc>
          <w:tcPr>
            <w:tcW w:w="4535" w:type="dxa"/>
            <w:vAlign w:val="center"/>
          </w:tcPr>
          <w:p w14:paraId="420E240C">
            <w:pPr>
              <w:pStyle w:val="13"/>
            </w:pPr>
            <w:r>
              <w:t>邮电费</w:t>
            </w:r>
          </w:p>
        </w:tc>
        <w:tc>
          <w:tcPr>
            <w:tcW w:w="2551" w:type="dxa"/>
            <w:vAlign w:val="center"/>
          </w:tcPr>
          <w:p w14:paraId="6A7DA704">
            <w:pPr>
              <w:pStyle w:val="14"/>
            </w:pPr>
            <w:r>
              <w:t>0.11</w:t>
            </w:r>
          </w:p>
        </w:tc>
        <w:tc>
          <w:tcPr>
            <w:tcW w:w="2551" w:type="dxa"/>
            <w:vAlign w:val="center"/>
          </w:tcPr>
          <w:p w14:paraId="3EB9C051">
            <w:pPr>
              <w:pStyle w:val="14"/>
            </w:pPr>
          </w:p>
        </w:tc>
        <w:tc>
          <w:tcPr>
            <w:tcW w:w="2551" w:type="dxa"/>
            <w:vAlign w:val="center"/>
          </w:tcPr>
          <w:p w14:paraId="53061583">
            <w:pPr>
              <w:pStyle w:val="14"/>
            </w:pPr>
            <w:r>
              <w:t>0.11</w:t>
            </w:r>
          </w:p>
        </w:tc>
      </w:tr>
      <w:tr w14:paraId="18476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8CDB1">
            <w:pPr>
              <w:pStyle w:val="12"/>
            </w:pPr>
            <w:r>
              <w:t>16</w:t>
            </w:r>
          </w:p>
        </w:tc>
        <w:tc>
          <w:tcPr>
            <w:tcW w:w="1191" w:type="dxa"/>
            <w:vAlign w:val="center"/>
          </w:tcPr>
          <w:p w14:paraId="5F64B223">
            <w:pPr>
              <w:pStyle w:val="13"/>
            </w:pPr>
            <w:r>
              <w:t>30209</w:t>
            </w:r>
          </w:p>
        </w:tc>
        <w:tc>
          <w:tcPr>
            <w:tcW w:w="4535" w:type="dxa"/>
            <w:vAlign w:val="center"/>
          </w:tcPr>
          <w:p w14:paraId="39164E44">
            <w:pPr>
              <w:pStyle w:val="13"/>
            </w:pPr>
            <w:r>
              <w:t>物业管理费</w:t>
            </w:r>
          </w:p>
        </w:tc>
        <w:tc>
          <w:tcPr>
            <w:tcW w:w="2551" w:type="dxa"/>
            <w:vAlign w:val="center"/>
          </w:tcPr>
          <w:p w14:paraId="5BEBA30F">
            <w:pPr>
              <w:pStyle w:val="14"/>
            </w:pPr>
            <w:r>
              <w:t>5.04</w:t>
            </w:r>
          </w:p>
        </w:tc>
        <w:tc>
          <w:tcPr>
            <w:tcW w:w="2551" w:type="dxa"/>
            <w:vAlign w:val="center"/>
          </w:tcPr>
          <w:p w14:paraId="4552AE53">
            <w:pPr>
              <w:pStyle w:val="14"/>
            </w:pPr>
          </w:p>
        </w:tc>
        <w:tc>
          <w:tcPr>
            <w:tcW w:w="2551" w:type="dxa"/>
            <w:vAlign w:val="center"/>
          </w:tcPr>
          <w:p w14:paraId="58875A4F">
            <w:pPr>
              <w:pStyle w:val="14"/>
            </w:pPr>
            <w:r>
              <w:t>5.04</w:t>
            </w:r>
          </w:p>
        </w:tc>
      </w:tr>
      <w:tr w14:paraId="71973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7BE31">
            <w:pPr>
              <w:pStyle w:val="12"/>
            </w:pPr>
            <w:r>
              <w:t>17</w:t>
            </w:r>
          </w:p>
        </w:tc>
        <w:tc>
          <w:tcPr>
            <w:tcW w:w="1191" w:type="dxa"/>
            <w:vAlign w:val="center"/>
          </w:tcPr>
          <w:p w14:paraId="576D2C28">
            <w:pPr>
              <w:pStyle w:val="13"/>
            </w:pPr>
            <w:r>
              <w:t>30211</w:t>
            </w:r>
          </w:p>
        </w:tc>
        <w:tc>
          <w:tcPr>
            <w:tcW w:w="4535" w:type="dxa"/>
            <w:vAlign w:val="center"/>
          </w:tcPr>
          <w:p w14:paraId="3662D658">
            <w:pPr>
              <w:pStyle w:val="13"/>
            </w:pPr>
            <w:r>
              <w:t>差旅费</w:t>
            </w:r>
          </w:p>
        </w:tc>
        <w:tc>
          <w:tcPr>
            <w:tcW w:w="2551" w:type="dxa"/>
            <w:vAlign w:val="center"/>
          </w:tcPr>
          <w:p w14:paraId="1FCC6C8A">
            <w:pPr>
              <w:pStyle w:val="14"/>
            </w:pPr>
            <w:r>
              <w:t>0.30</w:t>
            </w:r>
          </w:p>
        </w:tc>
        <w:tc>
          <w:tcPr>
            <w:tcW w:w="2551" w:type="dxa"/>
            <w:vAlign w:val="center"/>
          </w:tcPr>
          <w:p w14:paraId="6F7320A0">
            <w:pPr>
              <w:pStyle w:val="14"/>
            </w:pPr>
          </w:p>
        </w:tc>
        <w:tc>
          <w:tcPr>
            <w:tcW w:w="2551" w:type="dxa"/>
            <w:vAlign w:val="center"/>
          </w:tcPr>
          <w:p w14:paraId="73D10CBB">
            <w:pPr>
              <w:pStyle w:val="14"/>
            </w:pPr>
            <w:r>
              <w:t>0.30</w:t>
            </w:r>
          </w:p>
        </w:tc>
      </w:tr>
      <w:tr w14:paraId="7976F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53C51">
            <w:pPr>
              <w:pStyle w:val="12"/>
            </w:pPr>
            <w:r>
              <w:t>18</w:t>
            </w:r>
          </w:p>
        </w:tc>
        <w:tc>
          <w:tcPr>
            <w:tcW w:w="1191" w:type="dxa"/>
            <w:vAlign w:val="center"/>
          </w:tcPr>
          <w:p w14:paraId="5E8540E7">
            <w:pPr>
              <w:pStyle w:val="13"/>
            </w:pPr>
            <w:r>
              <w:t>30213</w:t>
            </w:r>
          </w:p>
        </w:tc>
        <w:tc>
          <w:tcPr>
            <w:tcW w:w="4535" w:type="dxa"/>
            <w:vAlign w:val="center"/>
          </w:tcPr>
          <w:p w14:paraId="477918EE">
            <w:pPr>
              <w:pStyle w:val="13"/>
            </w:pPr>
            <w:r>
              <w:t>维修(护)费</w:t>
            </w:r>
          </w:p>
        </w:tc>
        <w:tc>
          <w:tcPr>
            <w:tcW w:w="2551" w:type="dxa"/>
            <w:vAlign w:val="center"/>
          </w:tcPr>
          <w:p w14:paraId="4B62DA41">
            <w:pPr>
              <w:pStyle w:val="14"/>
            </w:pPr>
            <w:r>
              <w:t>9.10</w:t>
            </w:r>
          </w:p>
        </w:tc>
        <w:tc>
          <w:tcPr>
            <w:tcW w:w="2551" w:type="dxa"/>
            <w:vAlign w:val="center"/>
          </w:tcPr>
          <w:p w14:paraId="3136A25F">
            <w:pPr>
              <w:pStyle w:val="14"/>
            </w:pPr>
          </w:p>
        </w:tc>
        <w:tc>
          <w:tcPr>
            <w:tcW w:w="2551" w:type="dxa"/>
            <w:vAlign w:val="center"/>
          </w:tcPr>
          <w:p w14:paraId="64AE1B7F">
            <w:pPr>
              <w:pStyle w:val="14"/>
            </w:pPr>
            <w:r>
              <w:t>9.10</w:t>
            </w:r>
          </w:p>
        </w:tc>
      </w:tr>
      <w:tr w14:paraId="3FCB8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110DF">
            <w:pPr>
              <w:pStyle w:val="12"/>
            </w:pPr>
            <w:r>
              <w:t>19</w:t>
            </w:r>
          </w:p>
        </w:tc>
        <w:tc>
          <w:tcPr>
            <w:tcW w:w="1191" w:type="dxa"/>
            <w:vAlign w:val="center"/>
          </w:tcPr>
          <w:p w14:paraId="2CCB8FB9">
            <w:pPr>
              <w:pStyle w:val="13"/>
            </w:pPr>
            <w:r>
              <w:t>30216</w:t>
            </w:r>
          </w:p>
        </w:tc>
        <w:tc>
          <w:tcPr>
            <w:tcW w:w="4535" w:type="dxa"/>
            <w:vAlign w:val="center"/>
          </w:tcPr>
          <w:p w14:paraId="700B066D">
            <w:pPr>
              <w:pStyle w:val="13"/>
            </w:pPr>
            <w:r>
              <w:t>培训费</w:t>
            </w:r>
          </w:p>
        </w:tc>
        <w:tc>
          <w:tcPr>
            <w:tcW w:w="2551" w:type="dxa"/>
            <w:vAlign w:val="center"/>
          </w:tcPr>
          <w:p w14:paraId="199D3385">
            <w:pPr>
              <w:pStyle w:val="14"/>
            </w:pPr>
            <w:r>
              <w:t>0.30</w:t>
            </w:r>
          </w:p>
        </w:tc>
        <w:tc>
          <w:tcPr>
            <w:tcW w:w="2551" w:type="dxa"/>
            <w:vAlign w:val="center"/>
          </w:tcPr>
          <w:p w14:paraId="3BEEBBEA">
            <w:pPr>
              <w:pStyle w:val="14"/>
            </w:pPr>
          </w:p>
        </w:tc>
        <w:tc>
          <w:tcPr>
            <w:tcW w:w="2551" w:type="dxa"/>
            <w:vAlign w:val="center"/>
          </w:tcPr>
          <w:p w14:paraId="25ECAE35">
            <w:pPr>
              <w:pStyle w:val="14"/>
            </w:pPr>
            <w:r>
              <w:t>0.30</w:t>
            </w:r>
          </w:p>
        </w:tc>
      </w:tr>
      <w:tr w14:paraId="43164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2DCF6">
            <w:pPr>
              <w:pStyle w:val="12"/>
            </w:pPr>
            <w:r>
              <w:t>20</w:t>
            </w:r>
          </w:p>
        </w:tc>
        <w:tc>
          <w:tcPr>
            <w:tcW w:w="1191" w:type="dxa"/>
            <w:vAlign w:val="center"/>
          </w:tcPr>
          <w:p w14:paraId="25ACA0DB">
            <w:pPr>
              <w:pStyle w:val="13"/>
            </w:pPr>
            <w:r>
              <w:t>30218</w:t>
            </w:r>
          </w:p>
        </w:tc>
        <w:tc>
          <w:tcPr>
            <w:tcW w:w="4535" w:type="dxa"/>
            <w:vAlign w:val="center"/>
          </w:tcPr>
          <w:p w14:paraId="58D73779">
            <w:pPr>
              <w:pStyle w:val="13"/>
            </w:pPr>
            <w:r>
              <w:t>专用材料费</w:t>
            </w:r>
          </w:p>
        </w:tc>
        <w:tc>
          <w:tcPr>
            <w:tcW w:w="2551" w:type="dxa"/>
            <w:vAlign w:val="center"/>
          </w:tcPr>
          <w:p w14:paraId="4E32C9C0">
            <w:pPr>
              <w:pStyle w:val="14"/>
            </w:pPr>
            <w:r>
              <w:t>1.60</w:t>
            </w:r>
          </w:p>
        </w:tc>
        <w:tc>
          <w:tcPr>
            <w:tcW w:w="2551" w:type="dxa"/>
            <w:vAlign w:val="center"/>
          </w:tcPr>
          <w:p w14:paraId="0032D0D9">
            <w:pPr>
              <w:pStyle w:val="14"/>
            </w:pPr>
          </w:p>
        </w:tc>
        <w:tc>
          <w:tcPr>
            <w:tcW w:w="2551" w:type="dxa"/>
            <w:vAlign w:val="center"/>
          </w:tcPr>
          <w:p w14:paraId="00E154B9">
            <w:pPr>
              <w:pStyle w:val="14"/>
            </w:pPr>
            <w:r>
              <w:t>1.60</w:t>
            </w:r>
          </w:p>
        </w:tc>
      </w:tr>
      <w:tr w14:paraId="31876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4C350">
            <w:pPr>
              <w:pStyle w:val="12"/>
            </w:pPr>
            <w:r>
              <w:t>21</w:t>
            </w:r>
          </w:p>
        </w:tc>
        <w:tc>
          <w:tcPr>
            <w:tcW w:w="1191" w:type="dxa"/>
            <w:vAlign w:val="center"/>
          </w:tcPr>
          <w:p w14:paraId="6732DA79">
            <w:pPr>
              <w:pStyle w:val="13"/>
            </w:pPr>
            <w:r>
              <w:t>30226</w:t>
            </w:r>
          </w:p>
        </w:tc>
        <w:tc>
          <w:tcPr>
            <w:tcW w:w="4535" w:type="dxa"/>
            <w:vAlign w:val="center"/>
          </w:tcPr>
          <w:p w14:paraId="6B0258C3">
            <w:pPr>
              <w:pStyle w:val="13"/>
            </w:pPr>
            <w:r>
              <w:t>劳务费</w:t>
            </w:r>
          </w:p>
        </w:tc>
        <w:tc>
          <w:tcPr>
            <w:tcW w:w="2551" w:type="dxa"/>
            <w:vAlign w:val="center"/>
          </w:tcPr>
          <w:p w14:paraId="485D05C5">
            <w:pPr>
              <w:pStyle w:val="14"/>
            </w:pPr>
            <w:r>
              <w:t>1.32</w:t>
            </w:r>
          </w:p>
        </w:tc>
        <w:tc>
          <w:tcPr>
            <w:tcW w:w="2551" w:type="dxa"/>
            <w:vAlign w:val="center"/>
          </w:tcPr>
          <w:p w14:paraId="0D16D622">
            <w:pPr>
              <w:pStyle w:val="14"/>
            </w:pPr>
          </w:p>
        </w:tc>
        <w:tc>
          <w:tcPr>
            <w:tcW w:w="2551" w:type="dxa"/>
            <w:vAlign w:val="center"/>
          </w:tcPr>
          <w:p w14:paraId="01F60AB1">
            <w:pPr>
              <w:pStyle w:val="14"/>
            </w:pPr>
            <w:r>
              <w:t>1.32</w:t>
            </w:r>
          </w:p>
        </w:tc>
      </w:tr>
      <w:tr w14:paraId="48F04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1679D">
            <w:pPr>
              <w:pStyle w:val="12"/>
            </w:pPr>
            <w:r>
              <w:t>22</w:t>
            </w:r>
          </w:p>
        </w:tc>
        <w:tc>
          <w:tcPr>
            <w:tcW w:w="1191" w:type="dxa"/>
            <w:vAlign w:val="center"/>
          </w:tcPr>
          <w:p w14:paraId="197783B4">
            <w:pPr>
              <w:pStyle w:val="13"/>
            </w:pPr>
            <w:r>
              <w:t>30228</w:t>
            </w:r>
          </w:p>
        </w:tc>
        <w:tc>
          <w:tcPr>
            <w:tcW w:w="4535" w:type="dxa"/>
            <w:vAlign w:val="center"/>
          </w:tcPr>
          <w:p w14:paraId="75278E9B">
            <w:pPr>
              <w:pStyle w:val="13"/>
            </w:pPr>
            <w:r>
              <w:t>工会经费</w:t>
            </w:r>
          </w:p>
        </w:tc>
        <w:tc>
          <w:tcPr>
            <w:tcW w:w="2551" w:type="dxa"/>
            <w:vAlign w:val="center"/>
          </w:tcPr>
          <w:p w14:paraId="597DEB1B">
            <w:pPr>
              <w:pStyle w:val="14"/>
            </w:pPr>
            <w:r>
              <w:t>0.15</w:t>
            </w:r>
          </w:p>
        </w:tc>
        <w:tc>
          <w:tcPr>
            <w:tcW w:w="2551" w:type="dxa"/>
            <w:vAlign w:val="center"/>
          </w:tcPr>
          <w:p w14:paraId="5A8CF7EA">
            <w:pPr>
              <w:pStyle w:val="14"/>
            </w:pPr>
          </w:p>
        </w:tc>
        <w:tc>
          <w:tcPr>
            <w:tcW w:w="2551" w:type="dxa"/>
            <w:vAlign w:val="center"/>
          </w:tcPr>
          <w:p w14:paraId="7019A057">
            <w:pPr>
              <w:pStyle w:val="14"/>
            </w:pPr>
            <w:r>
              <w:t>0.15</w:t>
            </w:r>
          </w:p>
        </w:tc>
      </w:tr>
      <w:tr w14:paraId="3E477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19499">
            <w:pPr>
              <w:pStyle w:val="12"/>
            </w:pPr>
            <w:r>
              <w:t>23</w:t>
            </w:r>
          </w:p>
        </w:tc>
        <w:tc>
          <w:tcPr>
            <w:tcW w:w="1191" w:type="dxa"/>
            <w:vAlign w:val="center"/>
          </w:tcPr>
          <w:p w14:paraId="233C3446">
            <w:pPr>
              <w:pStyle w:val="13"/>
            </w:pPr>
            <w:r>
              <w:t>30299</w:t>
            </w:r>
          </w:p>
        </w:tc>
        <w:tc>
          <w:tcPr>
            <w:tcW w:w="4535" w:type="dxa"/>
            <w:vAlign w:val="center"/>
          </w:tcPr>
          <w:p w14:paraId="393BD030">
            <w:pPr>
              <w:pStyle w:val="13"/>
            </w:pPr>
            <w:r>
              <w:t>其他商品和服务支出</w:t>
            </w:r>
          </w:p>
        </w:tc>
        <w:tc>
          <w:tcPr>
            <w:tcW w:w="2551" w:type="dxa"/>
            <w:vAlign w:val="center"/>
          </w:tcPr>
          <w:p w14:paraId="3C528B8B">
            <w:pPr>
              <w:pStyle w:val="14"/>
            </w:pPr>
            <w:r>
              <w:t>1.10</w:t>
            </w:r>
          </w:p>
        </w:tc>
        <w:tc>
          <w:tcPr>
            <w:tcW w:w="2551" w:type="dxa"/>
            <w:vAlign w:val="center"/>
          </w:tcPr>
          <w:p w14:paraId="56AD4AD6">
            <w:pPr>
              <w:pStyle w:val="14"/>
            </w:pPr>
          </w:p>
        </w:tc>
        <w:tc>
          <w:tcPr>
            <w:tcW w:w="2551" w:type="dxa"/>
            <w:vAlign w:val="center"/>
          </w:tcPr>
          <w:p w14:paraId="54C3C5A1">
            <w:pPr>
              <w:pStyle w:val="14"/>
            </w:pPr>
            <w:r>
              <w:t>1.10</w:t>
            </w:r>
          </w:p>
        </w:tc>
      </w:tr>
      <w:tr w14:paraId="18247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9E630">
            <w:pPr>
              <w:pStyle w:val="12"/>
            </w:pPr>
            <w:r>
              <w:t>24</w:t>
            </w:r>
          </w:p>
        </w:tc>
        <w:tc>
          <w:tcPr>
            <w:tcW w:w="1191" w:type="dxa"/>
            <w:vAlign w:val="center"/>
          </w:tcPr>
          <w:p w14:paraId="4865DC2A">
            <w:pPr>
              <w:pStyle w:val="13"/>
            </w:pPr>
            <w:r>
              <w:t>303</w:t>
            </w:r>
          </w:p>
        </w:tc>
        <w:tc>
          <w:tcPr>
            <w:tcW w:w="4535" w:type="dxa"/>
            <w:vAlign w:val="center"/>
          </w:tcPr>
          <w:p w14:paraId="47CBF27D">
            <w:pPr>
              <w:pStyle w:val="13"/>
            </w:pPr>
            <w:r>
              <w:t>对个人和家庭的补助</w:t>
            </w:r>
          </w:p>
        </w:tc>
        <w:tc>
          <w:tcPr>
            <w:tcW w:w="2551" w:type="dxa"/>
            <w:vAlign w:val="center"/>
          </w:tcPr>
          <w:p w14:paraId="1E03E4D0">
            <w:pPr>
              <w:pStyle w:val="14"/>
            </w:pPr>
            <w:r>
              <w:t>1.07</w:t>
            </w:r>
          </w:p>
        </w:tc>
        <w:tc>
          <w:tcPr>
            <w:tcW w:w="2551" w:type="dxa"/>
            <w:vAlign w:val="center"/>
          </w:tcPr>
          <w:p w14:paraId="456AA6CA">
            <w:pPr>
              <w:pStyle w:val="14"/>
            </w:pPr>
            <w:r>
              <w:t>1.07</w:t>
            </w:r>
          </w:p>
        </w:tc>
        <w:tc>
          <w:tcPr>
            <w:tcW w:w="2551" w:type="dxa"/>
            <w:vAlign w:val="center"/>
          </w:tcPr>
          <w:p w14:paraId="70EAEBC7">
            <w:pPr>
              <w:pStyle w:val="14"/>
            </w:pPr>
          </w:p>
        </w:tc>
      </w:tr>
      <w:tr w14:paraId="5FB51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231FC">
            <w:pPr>
              <w:pStyle w:val="12"/>
            </w:pPr>
            <w:r>
              <w:t>25</w:t>
            </w:r>
          </w:p>
        </w:tc>
        <w:tc>
          <w:tcPr>
            <w:tcW w:w="1191" w:type="dxa"/>
            <w:vAlign w:val="center"/>
          </w:tcPr>
          <w:p w14:paraId="7C73CB90">
            <w:pPr>
              <w:pStyle w:val="13"/>
            </w:pPr>
            <w:r>
              <w:t>30302</w:t>
            </w:r>
          </w:p>
        </w:tc>
        <w:tc>
          <w:tcPr>
            <w:tcW w:w="4535" w:type="dxa"/>
            <w:vAlign w:val="center"/>
          </w:tcPr>
          <w:p w14:paraId="034BB19E">
            <w:pPr>
              <w:pStyle w:val="13"/>
            </w:pPr>
            <w:r>
              <w:t>退休费</w:t>
            </w:r>
          </w:p>
        </w:tc>
        <w:tc>
          <w:tcPr>
            <w:tcW w:w="2551" w:type="dxa"/>
            <w:vAlign w:val="center"/>
          </w:tcPr>
          <w:p w14:paraId="7DD9EE41">
            <w:pPr>
              <w:pStyle w:val="14"/>
            </w:pPr>
            <w:r>
              <w:t>1.07</w:t>
            </w:r>
          </w:p>
        </w:tc>
        <w:tc>
          <w:tcPr>
            <w:tcW w:w="2551" w:type="dxa"/>
            <w:vAlign w:val="center"/>
          </w:tcPr>
          <w:p w14:paraId="66F14B4E">
            <w:pPr>
              <w:pStyle w:val="14"/>
            </w:pPr>
            <w:r>
              <w:t>1.07</w:t>
            </w:r>
          </w:p>
        </w:tc>
        <w:tc>
          <w:tcPr>
            <w:tcW w:w="2551" w:type="dxa"/>
            <w:vAlign w:val="center"/>
          </w:tcPr>
          <w:p w14:paraId="3D783A9F">
            <w:pPr>
              <w:pStyle w:val="14"/>
            </w:pPr>
          </w:p>
        </w:tc>
      </w:tr>
      <w:tr w14:paraId="2729C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C4116">
            <w:pPr>
              <w:pStyle w:val="12"/>
            </w:pPr>
            <w:r>
              <w:t>26</w:t>
            </w:r>
          </w:p>
        </w:tc>
        <w:tc>
          <w:tcPr>
            <w:tcW w:w="1191" w:type="dxa"/>
            <w:vAlign w:val="center"/>
          </w:tcPr>
          <w:p w14:paraId="1157CA2B">
            <w:pPr>
              <w:pStyle w:val="13"/>
            </w:pPr>
            <w:r>
              <w:t>310</w:t>
            </w:r>
          </w:p>
        </w:tc>
        <w:tc>
          <w:tcPr>
            <w:tcW w:w="4535" w:type="dxa"/>
            <w:vAlign w:val="center"/>
          </w:tcPr>
          <w:p w14:paraId="44E69801">
            <w:pPr>
              <w:pStyle w:val="13"/>
            </w:pPr>
            <w:r>
              <w:t>资本性支出</w:t>
            </w:r>
          </w:p>
        </w:tc>
        <w:tc>
          <w:tcPr>
            <w:tcW w:w="2551" w:type="dxa"/>
            <w:vAlign w:val="center"/>
          </w:tcPr>
          <w:p w14:paraId="1E7DD33C">
            <w:pPr>
              <w:pStyle w:val="14"/>
            </w:pPr>
            <w:r>
              <w:t>4.76</w:t>
            </w:r>
          </w:p>
        </w:tc>
        <w:tc>
          <w:tcPr>
            <w:tcW w:w="2551" w:type="dxa"/>
            <w:vAlign w:val="center"/>
          </w:tcPr>
          <w:p w14:paraId="2FEA8357">
            <w:pPr>
              <w:pStyle w:val="14"/>
            </w:pPr>
          </w:p>
        </w:tc>
        <w:tc>
          <w:tcPr>
            <w:tcW w:w="2551" w:type="dxa"/>
            <w:vAlign w:val="center"/>
          </w:tcPr>
          <w:p w14:paraId="02602CAF">
            <w:pPr>
              <w:pStyle w:val="14"/>
            </w:pPr>
            <w:r>
              <w:t>4.76</w:t>
            </w:r>
          </w:p>
        </w:tc>
      </w:tr>
      <w:tr w14:paraId="6FF05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0B9F0">
            <w:pPr>
              <w:pStyle w:val="12"/>
            </w:pPr>
            <w:r>
              <w:t>27</w:t>
            </w:r>
          </w:p>
        </w:tc>
        <w:tc>
          <w:tcPr>
            <w:tcW w:w="1191" w:type="dxa"/>
            <w:vAlign w:val="center"/>
          </w:tcPr>
          <w:p w14:paraId="1C93AD5D">
            <w:pPr>
              <w:pStyle w:val="13"/>
            </w:pPr>
            <w:r>
              <w:t>31003</w:t>
            </w:r>
          </w:p>
        </w:tc>
        <w:tc>
          <w:tcPr>
            <w:tcW w:w="4535" w:type="dxa"/>
            <w:vAlign w:val="center"/>
          </w:tcPr>
          <w:p w14:paraId="09E9CF31">
            <w:pPr>
              <w:pStyle w:val="13"/>
            </w:pPr>
            <w:r>
              <w:t>专用设备购置</w:t>
            </w:r>
          </w:p>
        </w:tc>
        <w:tc>
          <w:tcPr>
            <w:tcW w:w="2551" w:type="dxa"/>
            <w:vAlign w:val="center"/>
          </w:tcPr>
          <w:p w14:paraId="52AF6939">
            <w:pPr>
              <w:pStyle w:val="14"/>
            </w:pPr>
            <w:r>
              <w:t>4.76</w:t>
            </w:r>
          </w:p>
        </w:tc>
        <w:tc>
          <w:tcPr>
            <w:tcW w:w="2551" w:type="dxa"/>
            <w:vAlign w:val="center"/>
          </w:tcPr>
          <w:p w14:paraId="6A317C40">
            <w:pPr>
              <w:pStyle w:val="14"/>
            </w:pPr>
          </w:p>
        </w:tc>
        <w:tc>
          <w:tcPr>
            <w:tcW w:w="2551" w:type="dxa"/>
            <w:vAlign w:val="center"/>
          </w:tcPr>
          <w:p w14:paraId="373C82ED">
            <w:pPr>
              <w:pStyle w:val="14"/>
            </w:pPr>
            <w:r>
              <w:t>4.76</w:t>
            </w:r>
          </w:p>
        </w:tc>
      </w:tr>
    </w:tbl>
    <w:p w14:paraId="6043573E">
      <w:pPr>
        <w:sectPr>
          <w:pgSz w:w="16840" w:h="11900" w:orient="landscape"/>
          <w:pgMar w:top="1361" w:right="1020" w:bottom="1134" w:left="1020" w:header="720" w:footer="720" w:gutter="0"/>
          <w:cols w:space="720" w:num="1"/>
        </w:sectPr>
      </w:pPr>
    </w:p>
    <w:p w14:paraId="0F1489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78F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DA6B35">
            <w:pPr>
              <w:pStyle w:val="8"/>
            </w:pPr>
            <w:r>
              <w:t>360036隆尧县青少年校外活动中心</w:t>
            </w:r>
          </w:p>
        </w:tc>
        <w:tc>
          <w:tcPr>
            <w:tcW w:w="2551" w:type="dxa"/>
            <w:tcBorders>
              <w:top w:val="single" w:color="FFFFFF" w:sz="6" w:space="0"/>
              <w:left w:val="single" w:color="FFFFFF" w:sz="6" w:space="0"/>
              <w:right w:val="single" w:color="FFFFFF" w:sz="6" w:space="0"/>
            </w:tcBorders>
            <w:vAlign w:val="center"/>
          </w:tcPr>
          <w:p w14:paraId="6490C93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7874CB9">
            <w:pPr>
              <w:pStyle w:val="10"/>
            </w:pPr>
            <w:r>
              <w:t>单位：万元</w:t>
            </w:r>
          </w:p>
        </w:tc>
      </w:tr>
      <w:tr w14:paraId="62468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2CCDA0">
            <w:pPr>
              <w:pStyle w:val="11"/>
            </w:pPr>
            <w:r>
              <w:t>序号</w:t>
            </w:r>
          </w:p>
        </w:tc>
        <w:tc>
          <w:tcPr>
            <w:tcW w:w="5726" w:type="dxa"/>
            <w:gridSpan w:val="2"/>
            <w:vAlign w:val="center"/>
          </w:tcPr>
          <w:p w14:paraId="38971FC6">
            <w:pPr>
              <w:pStyle w:val="11"/>
            </w:pPr>
            <w:r>
              <w:t>功能分类科目</w:t>
            </w:r>
          </w:p>
        </w:tc>
        <w:tc>
          <w:tcPr>
            <w:tcW w:w="2551" w:type="dxa"/>
            <w:vMerge w:val="restart"/>
            <w:vAlign w:val="center"/>
          </w:tcPr>
          <w:p w14:paraId="298CBDA8">
            <w:pPr>
              <w:pStyle w:val="11"/>
            </w:pPr>
            <w:r>
              <w:t>合计</w:t>
            </w:r>
          </w:p>
        </w:tc>
        <w:tc>
          <w:tcPr>
            <w:tcW w:w="2551" w:type="dxa"/>
            <w:vMerge w:val="restart"/>
            <w:vAlign w:val="center"/>
          </w:tcPr>
          <w:p w14:paraId="4049BC3D">
            <w:pPr>
              <w:pStyle w:val="11"/>
            </w:pPr>
            <w:r>
              <w:t>基本支出</w:t>
            </w:r>
          </w:p>
        </w:tc>
        <w:tc>
          <w:tcPr>
            <w:tcW w:w="2551" w:type="dxa"/>
            <w:vMerge w:val="restart"/>
            <w:vAlign w:val="center"/>
          </w:tcPr>
          <w:p w14:paraId="7700DA1C">
            <w:pPr>
              <w:pStyle w:val="11"/>
            </w:pPr>
            <w:r>
              <w:t>项目支出</w:t>
            </w:r>
          </w:p>
        </w:tc>
      </w:tr>
      <w:tr w14:paraId="57F08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9243D8"/>
        </w:tc>
        <w:tc>
          <w:tcPr>
            <w:tcW w:w="1191" w:type="dxa"/>
            <w:vAlign w:val="center"/>
          </w:tcPr>
          <w:p w14:paraId="46C49DCD">
            <w:pPr>
              <w:pStyle w:val="11"/>
            </w:pPr>
            <w:r>
              <w:t>科目编码</w:t>
            </w:r>
          </w:p>
        </w:tc>
        <w:tc>
          <w:tcPr>
            <w:tcW w:w="4535" w:type="dxa"/>
            <w:vAlign w:val="center"/>
          </w:tcPr>
          <w:p w14:paraId="4D97BC1A">
            <w:pPr>
              <w:pStyle w:val="11"/>
            </w:pPr>
            <w:r>
              <w:t>科目名称</w:t>
            </w:r>
          </w:p>
        </w:tc>
        <w:tc>
          <w:tcPr>
            <w:tcW w:w="2551" w:type="dxa"/>
            <w:vMerge w:val="continue"/>
          </w:tcPr>
          <w:p w14:paraId="1C7162EC"/>
        </w:tc>
        <w:tc>
          <w:tcPr>
            <w:tcW w:w="2551" w:type="dxa"/>
            <w:vMerge w:val="continue"/>
          </w:tcPr>
          <w:p w14:paraId="04868C0B"/>
        </w:tc>
        <w:tc>
          <w:tcPr>
            <w:tcW w:w="2551" w:type="dxa"/>
            <w:vMerge w:val="continue"/>
          </w:tcPr>
          <w:p w14:paraId="3DCA32D6"/>
        </w:tc>
      </w:tr>
      <w:tr w14:paraId="570F5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F24775">
            <w:pPr>
              <w:pStyle w:val="11"/>
            </w:pPr>
            <w:r>
              <w:t>栏次</w:t>
            </w:r>
          </w:p>
        </w:tc>
        <w:tc>
          <w:tcPr>
            <w:tcW w:w="1191" w:type="dxa"/>
            <w:vAlign w:val="center"/>
          </w:tcPr>
          <w:p w14:paraId="66E6BF51">
            <w:pPr>
              <w:pStyle w:val="11"/>
            </w:pPr>
            <w:r>
              <w:t>1</w:t>
            </w:r>
          </w:p>
        </w:tc>
        <w:tc>
          <w:tcPr>
            <w:tcW w:w="4535" w:type="dxa"/>
            <w:vAlign w:val="center"/>
          </w:tcPr>
          <w:p w14:paraId="392B2BED">
            <w:pPr>
              <w:pStyle w:val="11"/>
            </w:pPr>
            <w:r>
              <w:t>2</w:t>
            </w:r>
          </w:p>
        </w:tc>
        <w:tc>
          <w:tcPr>
            <w:tcW w:w="2551" w:type="dxa"/>
            <w:vAlign w:val="center"/>
          </w:tcPr>
          <w:p w14:paraId="365011B5">
            <w:pPr>
              <w:pStyle w:val="11"/>
            </w:pPr>
            <w:r>
              <w:t>3</w:t>
            </w:r>
          </w:p>
        </w:tc>
        <w:tc>
          <w:tcPr>
            <w:tcW w:w="2551" w:type="dxa"/>
            <w:vAlign w:val="center"/>
          </w:tcPr>
          <w:p w14:paraId="75CC566E">
            <w:pPr>
              <w:pStyle w:val="11"/>
            </w:pPr>
            <w:r>
              <w:t>4</w:t>
            </w:r>
          </w:p>
        </w:tc>
        <w:tc>
          <w:tcPr>
            <w:tcW w:w="2551" w:type="dxa"/>
            <w:vAlign w:val="center"/>
          </w:tcPr>
          <w:p w14:paraId="06B3B090">
            <w:pPr>
              <w:pStyle w:val="11"/>
            </w:pPr>
            <w:r>
              <w:t>5</w:t>
            </w:r>
          </w:p>
        </w:tc>
      </w:tr>
      <w:tr w14:paraId="24A0D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F6507">
            <w:pPr>
              <w:pStyle w:val="12"/>
            </w:pPr>
          </w:p>
        </w:tc>
        <w:tc>
          <w:tcPr>
            <w:tcW w:w="1191" w:type="dxa"/>
            <w:vAlign w:val="center"/>
          </w:tcPr>
          <w:p w14:paraId="44CFD9C3">
            <w:pPr>
              <w:pStyle w:val="13"/>
            </w:pPr>
          </w:p>
        </w:tc>
        <w:tc>
          <w:tcPr>
            <w:tcW w:w="4535" w:type="dxa"/>
            <w:vAlign w:val="center"/>
          </w:tcPr>
          <w:p w14:paraId="0995740C">
            <w:pPr>
              <w:pStyle w:val="13"/>
            </w:pPr>
          </w:p>
        </w:tc>
        <w:tc>
          <w:tcPr>
            <w:tcW w:w="2551" w:type="dxa"/>
            <w:vAlign w:val="center"/>
          </w:tcPr>
          <w:p w14:paraId="00972D95">
            <w:pPr>
              <w:pStyle w:val="14"/>
            </w:pPr>
          </w:p>
        </w:tc>
        <w:tc>
          <w:tcPr>
            <w:tcW w:w="2551" w:type="dxa"/>
            <w:vAlign w:val="center"/>
          </w:tcPr>
          <w:p w14:paraId="3FD9C402">
            <w:pPr>
              <w:pStyle w:val="14"/>
            </w:pPr>
          </w:p>
        </w:tc>
        <w:tc>
          <w:tcPr>
            <w:tcW w:w="2551" w:type="dxa"/>
            <w:vAlign w:val="center"/>
          </w:tcPr>
          <w:p w14:paraId="2AD0D4D1">
            <w:pPr>
              <w:pStyle w:val="14"/>
            </w:pPr>
          </w:p>
        </w:tc>
      </w:tr>
    </w:tbl>
    <w:p w14:paraId="72D86A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AB11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84C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08E6DA">
            <w:pPr>
              <w:pStyle w:val="8"/>
            </w:pPr>
            <w:r>
              <w:t>360036隆尧县青少年校外活动中心</w:t>
            </w:r>
          </w:p>
        </w:tc>
        <w:tc>
          <w:tcPr>
            <w:tcW w:w="2551" w:type="dxa"/>
            <w:tcBorders>
              <w:top w:val="single" w:color="FFFFFF" w:sz="6" w:space="0"/>
              <w:left w:val="single" w:color="FFFFFF" w:sz="6" w:space="0"/>
              <w:right w:val="single" w:color="FFFFFF" w:sz="6" w:space="0"/>
            </w:tcBorders>
            <w:vAlign w:val="center"/>
          </w:tcPr>
          <w:p w14:paraId="6721FC4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251DE3">
            <w:pPr>
              <w:pStyle w:val="10"/>
            </w:pPr>
            <w:r>
              <w:t>单位：万元</w:t>
            </w:r>
          </w:p>
        </w:tc>
      </w:tr>
      <w:tr w14:paraId="31F50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E11E24">
            <w:pPr>
              <w:pStyle w:val="11"/>
            </w:pPr>
            <w:r>
              <w:t>序号</w:t>
            </w:r>
          </w:p>
        </w:tc>
        <w:tc>
          <w:tcPr>
            <w:tcW w:w="5726" w:type="dxa"/>
            <w:gridSpan w:val="2"/>
            <w:vAlign w:val="center"/>
          </w:tcPr>
          <w:p w14:paraId="0E8000BC">
            <w:pPr>
              <w:pStyle w:val="11"/>
            </w:pPr>
            <w:r>
              <w:t>功能分类科目</w:t>
            </w:r>
          </w:p>
        </w:tc>
        <w:tc>
          <w:tcPr>
            <w:tcW w:w="2551" w:type="dxa"/>
            <w:vMerge w:val="restart"/>
            <w:vAlign w:val="center"/>
          </w:tcPr>
          <w:p w14:paraId="3AAA3596">
            <w:pPr>
              <w:pStyle w:val="11"/>
            </w:pPr>
            <w:r>
              <w:t>合计</w:t>
            </w:r>
          </w:p>
        </w:tc>
        <w:tc>
          <w:tcPr>
            <w:tcW w:w="2551" w:type="dxa"/>
            <w:vMerge w:val="restart"/>
            <w:vAlign w:val="center"/>
          </w:tcPr>
          <w:p w14:paraId="1A06B05C">
            <w:pPr>
              <w:pStyle w:val="11"/>
            </w:pPr>
            <w:r>
              <w:t>基本支出</w:t>
            </w:r>
          </w:p>
        </w:tc>
        <w:tc>
          <w:tcPr>
            <w:tcW w:w="2551" w:type="dxa"/>
            <w:vMerge w:val="restart"/>
            <w:vAlign w:val="center"/>
          </w:tcPr>
          <w:p w14:paraId="75BFC4C8">
            <w:pPr>
              <w:pStyle w:val="11"/>
            </w:pPr>
            <w:r>
              <w:t>项目支出</w:t>
            </w:r>
          </w:p>
        </w:tc>
      </w:tr>
      <w:tr w14:paraId="1C5DC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31653E"/>
        </w:tc>
        <w:tc>
          <w:tcPr>
            <w:tcW w:w="1191" w:type="dxa"/>
            <w:vAlign w:val="center"/>
          </w:tcPr>
          <w:p w14:paraId="44762330">
            <w:pPr>
              <w:pStyle w:val="11"/>
            </w:pPr>
            <w:r>
              <w:t>科目编码</w:t>
            </w:r>
          </w:p>
        </w:tc>
        <w:tc>
          <w:tcPr>
            <w:tcW w:w="4535" w:type="dxa"/>
            <w:vAlign w:val="center"/>
          </w:tcPr>
          <w:p w14:paraId="738F2A09">
            <w:pPr>
              <w:pStyle w:val="11"/>
            </w:pPr>
            <w:r>
              <w:t>科目名称</w:t>
            </w:r>
          </w:p>
        </w:tc>
        <w:tc>
          <w:tcPr>
            <w:tcW w:w="2551" w:type="dxa"/>
            <w:vMerge w:val="continue"/>
          </w:tcPr>
          <w:p w14:paraId="0FD38497"/>
        </w:tc>
        <w:tc>
          <w:tcPr>
            <w:tcW w:w="2551" w:type="dxa"/>
            <w:vMerge w:val="continue"/>
          </w:tcPr>
          <w:p w14:paraId="11C27FB7"/>
        </w:tc>
        <w:tc>
          <w:tcPr>
            <w:tcW w:w="2551" w:type="dxa"/>
            <w:vMerge w:val="continue"/>
          </w:tcPr>
          <w:p w14:paraId="15938519"/>
        </w:tc>
      </w:tr>
      <w:tr w14:paraId="2B060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415BAC">
            <w:pPr>
              <w:pStyle w:val="11"/>
            </w:pPr>
            <w:r>
              <w:t>栏次</w:t>
            </w:r>
          </w:p>
        </w:tc>
        <w:tc>
          <w:tcPr>
            <w:tcW w:w="1191" w:type="dxa"/>
            <w:vAlign w:val="center"/>
          </w:tcPr>
          <w:p w14:paraId="7893B2F3">
            <w:pPr>
              <w:pStyle w:val="11"/>
            </w:pPr>
            <w:r>
              <w:t>1</w:t>
            </w:r>
          </w:p>
        </w:tc>
        <w:tc>
          <w:tcPr>
            <w:tcW w:w="4535" w:type="dxa"/>
            <w:vAlign w:val="center"/>
          </w:tcPr>
          <w:p w14:paraId="228F17FA">
            <w:pPr>
              <w:pStyle w:val="11"/>
            </w:pPr>
            <w:r>
              <w:t>2</w:t>
            </w:r>
          </w:p>
        </w:tc>
        <w:tc>
          <w:tcPr>
            <w:tcW w:w="2551" w:type="dxa"/>
            <w:vAlign w:val="center"/>
          </w:tcPr>
          <w:p w14:paraId="1F40340E">
            <w:pPr>
              <w:pStyle w:val="11"/>
            </w:pPr>
            <w:r>
              <w:t>3</w:t>
            </w:r>
          </w:p>
        </w:tc>
        <w:tc>
          <w:tcPr>
            <w:tcW w:w="2551" w:type="dxa"/>
            <w:vAlign w:val="center"/>
          </w:tcPr>
          <w:p w14:paraId="7C068DBA">
            <w:pPr>
              <w:pStyle w:val="11"/>
            </w:pPr>
            <w:r>
              <w:t>4</w:t>
            </w:r>
          </w:p>
        </w:tc>
        <w:tc>
          <w:tcPr>
            <w:tcW w:w="2551" w:type="dxa"/>
            <w:vAlign w:val="center"/>
          </w:tcPr>
          <w:p w14:paraId="7F0DC7D1">
            <w:pPr>
              <w:pStyle w:val="11"/>
            </w:pPr>
            <w:r>
              <w:t>5</w:t>
            </w:r>
          </w:p>
        </w:tc>
      </w:tr>
      <w:tr w14:paraId="5D26C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18EEA">
            <w:pPr>
              <w:pStyle w:val="12"/>
            </w:pPr>
          </w:p>
        </w:tc>
        <w:tc>
          <w:tcPr>
            <w:tcW w:w="1191" w:type="dxa"/>
            <w:vAlign w:val="center"/>
          </w:tcPr>
          <w:p w14:paraId="2D055798">
            <w:pPr>
              <w:pStyle w:val="13"/>
            </w:pPr>
          </w:p>
        </w:tc>
        <w:tc>
          <w:tcPr>
            <w:tcW w:w="4535" w:type="dxa"/>
            <w:vAlign w:val="center"/>
          </w:tcPr>
          <w:p w14:paraId="2188C270">
            <w:pPr>
              <w:pStyle w:val="13"/>
            </w:pPr>
          </w:p>
        </w:tc>
        <w:tc>
          <w:tcPr>
            <w:tcW w:w="2551" w:type="dxa"/>
            <w:vAlign w:val="center"/>
          </w:tcPr>
          <w:p w14:paraId="63B5763A">
            <w:pPr>
              <w:pStyle w:val="14"/>
            </w:pPr>
          </w:p>
        </w:tc>
        <w:tc>
          <w:tcPr>
            <w:tcW w:w="2551" w:type="dxa"/>
            <w:vAlign w:val="center"/>
          </w:tcPr>
          <w:p w14:paraId="2ACF044F">
            <w:pPr>
              <w:pStyle w:val="14"/>
            </w:pPr>
          </w:p>
        </w:tc>
        <w:tc>
          <w:tcPr>
            <w:tcW w:w="2551" w:type="dxa"/>
            <w:vAlign w:val="center"/>
          </w:tcPr>
          <w:p w14:paraId="7F69990E">
            <w:pPr>
              <w:pStyle w:val="14"/>
            </w:pPr>
          </w:p>
        </w:tc>
      </w:tr>
    </w:tbl>
    <w:p w14:paraId="4FE6A2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3599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2FF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439F20">
            <w:pPr>
              <w:pStyle w:val="8"/>
            </w:pPr>
            <w:r>
              <w:t>360036隆尧县青少年校外活动中心</w:t>
            </w:r>
          </w:p>
        </w:tc>
        <w:tc>
          <w:tcPr>
            <w:tcW w:w="2381" w:type="dxa"/>
            <w:tcBorders>
              <w:top w:val="single" w:color="FFFFFF" w:sz="6" w:space="0"/>
              <w:left w:val="single" w:color="FFFFFF" w:sz="6" w:space="0"/>
              <w:right w:val="single" w:color="FFFFFF" w:sz="6" w:space="0"/>
            </w:tcBorders>
            <w:vAlign w:val="center"/>
          </w:tcPr>
          <w:p w14:paraId="5777D52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A35D7BC">
            <w:pPr>
              <w:pStyle w:val="10"/>
            </w:pPr>
            <w:r>
              <w:t>单位：万元</w:t>
            </w:r>
          </w:p>
        </w:tc>
      </w:tr>
      <w:tr w14:paraId="352F4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21662E">
            <w:pPr>
              <w:pStyle w:val="11"/>
            </w:pPr>
            <w:r>
              <w:t>序号</w:t>
            </w:r>
          </w:p>
        </w:tc>
        <w:tc>
          <w:tcPr>
            <w:tcW w:w="3798" w:type="dxa"/>
            <w:vMerge w:val="restart"/>
            <w:vAlign w:val="center"/>
          </w:tcPr>
          <w:p w14:paraId="37931B7E">
            <w:pPr>
              <w:pStyle w:val="11"/>
            </w:pPr>
            <w:r>
              <w:t>项  目</w:t>
            </w:r>
          </w:p>
        </w:tc>
        <w:tc>
          <w:tcPr>
            <w:tcW w:w="9524" w:type="dxa"/>
            <w:gridSpan w:val="4"/>
            <w:vAlign w:val="center"/>
          </w:tcPr>
          <w:p w14:paraId="04D8D793">
            <w:pPr>
              <w:pStyle w:val="11"/>
            </w:pPr>
            <w:r>
              <w:t>资 金 性 质</w:t>
            </w:r>
          </w:p>
        </w:tc>
      </w:tr>
      <w:tr w14:paraId="789D8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DF7307"/>
        </w:tc>
        <w:tc>
          <w:tcPr>
            <w:tcW w:w="3798" w:type="dxa"/>
            <w:vMerge w:val="continue"/>
          </w:tcPr>
          <w:p w14:paraId="5526D1BD"/>
        </w:tc>
        <w:tc>
          <w:tcPr>
            <w:tcW w:w="2381" w:type="dxa"/>
            <w:vAlign w:val="center"/>
          </w:tcPr>
          <w:p w14:paraId="0FDC4C9E">
            <w:pPr>
              <w:pStyle w:val="11"/>
            </w:pPr>
            <w:r>
              <w:t>合计</w:t>
            </w:r>
          </w:p>
        </w:tc>
        <w:tc>
          <w:tcPr>
            <w:tcW w:w="2381" w:type="dxa"/>
            <w:vAlign w:val="center"/>
          </w:tcPr>
          <w:p w14:paraId="7B6E08F6">
            <w:pPr>
              <w:pStyle w:val="11"/>
            </w:pPr>
            <w:r>
              <w:t>一般公共预算              财政拨款</w:t>
            </w:r>
          </w:p>
        </w:tc>
        <w:tc>
          <w:tcPr>
            <w:tcW w:w="2381" w:type="dxa"/>
            <w:vAlign w:val="center"/>
          </w:tcPr>
          <w:p w14:paraId="71F31D71">
            <w:pPr>
              <w:pStyle w:val="11"/>
            </w:pPr>
            <w:r>
              <w:t>政府性基金                  预算拨款</w:t>
            </w:r>
          </w:p>
        </w:tc>
        <w:tc>
          <w:tcPr>
            <w:tcW w:w="2381" w:type="dxa"/>
            <w:vAlign w:val="center"/>
          </w:tcPr>
          <w:p w14:paraId="1445A4C9">
            <w:pPr>
              <w:pStyle w:val="11"/>
            </w:pPr>
            <w:r>
              <w:t>国有资本经营              预算财政拨款</w:t>
            </w:r>
          </w:p>
        </w:tc>
      </w:tr>
      <w:tr w14:paraId="2032E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6E1FE2">
            <w:pPr>
              <w:pStyle w:val="11"/>
            </w:pPr>
            <w:r>
              <w:t>栏次</w:t>
            </w:r>
          </w:p>
        </w:tc>
        <w:tc>
          <w:tcPr>
            <w:tcW w:w="3798" w:type="dxa"/>
            <w:vAlign w:val="center"/>
          </w:tcPr>
          <w:p w14:paraId="3CBB501D">
            <w:pPr>
              <w:pStyle w:val="11"/>
            </w:pPr>
            <w:r>
              <w:t>1</w:t>
            </w:r>
          </w:p>
        </w:tc>
        <w:tc>
          <w:tcPr>
            <w:tcW w:w="2381" w:type="dxa"/>
            <w:vAlign w:val="center"/>
          </w:tcPr>
          <w:p w14:paraId="4641E8B1">
            <w:pPr>
              <w:pStyle w:val="11"/>
            </w:pPr>
            <w:r>
              <w:t>2</w:t>
            </w:r>
          </w:p>
        </w:tc>
        <w:tc>
          <w:tcPr>
            <w:tcW w:w="2381" w:type="dxa"/>
            <w:vAlign w:val="center"/>
          </w:tcPr>
          <w:p w14:paraId="5A2E6847">
            <w:pPr>
              <w:pStyle w:val="11"/>
            </w:pPr>
            <w:r>
              <w:t>3</w:t>
            </w:r>
          </w:p>
        </w:tc>
        <w:tc>
          <w:tcPr>
            <w:tcW w:w="2381" w:type="dxa"/>
            <w:vAlign w:val="center"/>
          </w:tcPr>
          <w:p w14:paraId="5CA99C0B">
            <w:pPr>
              <w:pStyle w:val="11"/>
            </w:pPr>
            <w:r>
              <w:t>4</w:t>
            </w:r>
          </w:p>
        </w:tc>
        <w:tc>
          <w:tcPr>
            <w:tcW w:w="2381" w:type="dxa"/>
            <w:vAlign w:val="center"/>
          </w:tcPr>
          <w:p w14:paraId="1E517F18">
            <w:pPr>
              <w:pStyle w:val="11"/>
            </w:pPr>
            <w:r>
              <w:t>5</w:t>
            </w:r>
          </w:p>
        </w:tc>
      </w:tr>
      <w:tr w14:paraId="01EEB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0AE3C9">
            <w:pPr>
              <w:pStyle w:val="12"/>
            </w:pPr>
          </w:p>
        </w:tc>
        <w:tc>
          <w:tcPr>
            <w:tcW w:w="3798" w:type="dxa"/>
            <w:vAlign w:val="center"/>
          </w:tcPr>
          <w:p w14:paraId="5E2CF594">
            <w:pPr>
              <w:pStyle w:val="13"/>
            </w:pPr>
          </w:p>
        </w:tc>
        <w:tc>
          <w:tcPr>
            <w:tcW w:w="2381" w:type="dxa"/>
            <w:vAlign w:val="center"/>
          </w:tcPr>
          <w:p w14:paraId="070F7FC1">
            <w:pPr>
              <w:pStyle w:val="14"/>
            </w:pPr>
          </w:p>
        </w:tc>
        <w:tc>
          <w:tcPr>
            <w:tcW w:w="2381" w:type="dxa"/>
            <w:vAlign w:val="center"/>
          </w:tcPr>
          <w:p w14:paraId="47DBBD3D">
            <w:pPr>
              <w:pStyle w:val="14"/>
            </w:pPr>
          </w:p>
        </w:tc>
        <w:tc>
          <w:tcPr>
            <w:tcW w:w="2381" w:type="dxa"/>
            <w:vAlign w:val="center"/>
          </w:tcPr>
          <w:p w14:paraId="12D86AC2">
            <w:pPr>
              <w:pStyle w:val="14"/>
            </w:pPr>
          </w:p>
        </w:tc>
        <w:tc>
          <w:tcPr>
            <w:tcW w:w="2381" w:type="dxa"/>
            <w:vAlign w:val="center"/>
          </w:tcPr>
          <w:p w14:paraId="6A8335A9">
            <w:pPr>
              <w:pStyle w:val="14"/>
            </w:pPr>
          </w:p>
        </w:tc>
      </w:tr>
    </w:tbl>
    <w:p w14:paraId="40F26E9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8D21EA2">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隆尧县青少年校外活动中心2025年单位预算信息公开情况说明</w:t>
      </w:r>
    </w:p>
    <w:p w14:paraId="7624E89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按照《中华人民共和国预算法》、《地方预决算公开操作规程》和《关于进一步推进预算公开工作的实施意见》规定，现将隆尧县青少年校外活动中心2025年单位预算公开如下：</w:t>
      </w:r>
    </w:p>
    <w:p w14:paraId="224129FB">
      <w:pPr>
        <w:spacing w:before="10" w:after="10" w:line="240" w:lineRule="auto"/>
        <w:ind w:firstLine="640"/>
        <w:jc w:val="left"/>
        <w:outlineLvl w:val="5"/>
      </w:pPr>
      <w:r>
        <w:rPr>
          <w:rFonts w:ascii="黑体" w:hAnsi="黑体" w:eastAsia="黑体" w:cs="黑体"/>
          <w:color w:val="000000"/>
          <w:sz w:val="32"/>
        </w:rPr>
        <w:t>一、单位职责及机构设置情况</w:t>
      </w:r>
    </w:p>
    <w:p w14:paraId="5945D46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2C40080">
      <w:pPr>
        <w:pStyle w:val="18"/>
      </w:pPr>
      <w:r>
        <w:t>青少年校外活动中心以“面向学校、面向社会、面向全体青少年”为方针，以课外活动为主，发挥自身的优势，以阵地为依托，以活动为载体，以社会为舞台，以服务青少年为出发点，为青少年参加各类活动提供条件；管理、指导县内中小学、幼儿园开展课外活动，推动中心规范化、多元化发展。</w:t>
      </w:r>
    </w:p>
    <w:p w14:paraId="590807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4E449B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1A68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5768D5">
            <w:pPr>
              <w:pStyle w:val="11"/>
            </w:pPr>
            <w:r>
              <w:t>单位名称</w:t>
            </w:r>
          </w:p>
        </w:tc>
        <w:tc>
          <w:tcPr>
            <w:tcW w:w="1843" w:type="dxa"/>
            <w:vAlign w:val="center"/>
          </w:tcPr>
          <w:p w14:paraId="3BD30FF1">
            <w:pPr>
              <w:pStyle w:val="11"/>
            </w:pPr>
            <w:r>
              <w:t>单位性质</w:t>
            </w:r>
          </w:p>
        </w:tc>
        <w:tc>
          <w:tcPr>
            <w:tcW w:w="2126" w:type="dxa"/>
            <w:vAlign w:val="center"/>
          </w:tcPr>
          <w:p w14:paraId="24111063">
            <w:pPr>
              <w:pStyle w:val="11"/>
            </w:pPr>
            <w:r>
              <w:t>单位规格</w:t>
            </w:r>
          </w:p>
        </w:tc>
        <w:tc>
          <w:tcPr>
            <w:tcW w:w="3827" w:type="dxa"/>
            <w:vAlign w:val="center"/>
          </w:tcPr>
          <w:p w14:paraId="6D8EE9A5">
            <w:pPr>
              <w:pStyle w:val="11"/>
            </w:pPr>
            <w:r>
              <w:t>经费保障形式</w:t>
            </w:r>
          </w:p>
        </w:tc>
      </w:tr>
      <w:tr w14:paraId="42D6E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6ADAF94">
            <w:pPr>
              <w:pStyle w:val="13"/>
            </w:pPr>
            <w:r>
              <w:t>隆尧县青少年校外活动中心</w:t>
            </w:r>
          </w:p>
        </w:tc>
        <w:tc>
          <w:tcPr>
            <w:tcW w:w="1843" w:type="dxa"/>
            <w:vAlign w:val="center"/>
          </w:tcPr>
          <w:p w14:paraId="2159377E">
            <w:pPr>
              <w:pStyle w:val="12"/>
            </w:pPr>
            <w:r>
              <w:t>事业</w:t>
            </w:r>
          </w:p>
        </w:tc>
        <w:tc>
          <w:tcPr>
            <w:tcW w:w="2126" w:type="dxa"/>
            <w:vAlign w:val="center"/>
          </w:tcPr>
          <w:p w14:paraId="7A7A85FE">
            <w:pPr>
              <w:pStyle w:val="12"/>
            </w:pPr>
            <w:r>
              <w:t>股级</w:t>
            </w:r>
          </w:p>
        </w:tc>
        <w:tc>
          <w:tcPr>
            <w:tcW w:w="3827" w:type="dxa"/>
            <w:vAlign w:val="center"/>
          </w:tcPr>
          <w:p w14:paraId="65A4C8C7">
            <w:pPr>
              <w:pStyle w:val="12"/>
            </w:pPr>
            <w:r>
              <w:t>财政性资金基本保证</w:t>
            </w:r>
          </w:p>
        </w:tc>
      </w:tr>
    </w:tbl>
    <w:p w14:paraId="2BDB2EF3">
      <w:pPr>
        <w:spacing w:before="10" w:after="10" w:line="240" w:lineRule="auto"/>
        <w:ind w:firstLine="640"/>
        <w:jc w:val="left"/>
        <w:outlineLvl w:val="5"/>
      </w:pPr>
      <w:r>
        <w:rPr>
          <w:rFonts w:ascii="黑体" w:hAnsi="黑体" w:eastAsia="黑体" w:cs="黑体"/>
          <w:color w:val="000000"/>
          <w:sz w:val="32"/>
        </w:rPr>
        <w:t>二、单位预算安排的总体情况</w:t>
      </w:r>
    </w:p>
    <w:p w14:paraId="0DBF0C5C">
      <w:pPr>
        <w:pStyle w:val="19"/>
      </w:pPr>
      <w:r>
        <w:t>按照预算管理有关规定，目前我单位预算的编制实行综合预算管理，即全部收入和支出都反映在预算中。隆尧县青少年校外活动中心的收支包含在单位预算中。</w:t>
      </w:r>
    </w:p>
    <w:p w14:paraId="2E91AE6E">
      <w:pPr>
        <w:pStyle w:val="19"/>
      </w:pPr>
      <w:r>
        <w:t>1、收入说明</w:t>
      </w:r>
    </w:p>
    <w:p w14:paraId="2D98FFB7">
      <w:pPr>
        <w:pStyle w:val="19"/>
      </w:pPr>
      <w:r>
        <w:t>反映本单位当年全部收入。2025年预算收入150.47万元，其中：一般公共预算收入150.47万元，基金预算收入0元，财政专户管理资金收入0元，其他来源收入0元。</w:t>
      </w:r>
    </w:p>
    <w:p w14:paraId="40444B85">
      <w:pPr>
        <w:pStyle w:val="19"/>
      </w:pPr>
      <w:r>
        <w:t>2、支出说明</w:t>
      </w:r>
    </w:p>
    <w:p w14:paraId="1A6171CB">
      <w:pPr>
        <w:pStyle w:val="19"/>
      </w:pPr>
      <w:r>
        <w:t>收支预算总表支出栏、基本支出表、项目支出表按经济分类和支出功能分类科目编制，反映隆尧县青少年校外活动中心年度单位预算中支出预算的总体情况。2025年单位支出预算为150.47万元，其中基本支出150.47万元，项目支出0万元。</w:t>
      </w:r>
    </w:p>
    <w:p w14:paraId="597B5F43">
      <w:pPr>
        <w:pStyle w:val="19"/>
      </w:pPr>
      <w:r>
        <w:t>3、比上年增减情况</w:t>
      </w:r>
    </w:p>
    <w:p w14:paraId="3719F3E7">
      <w:pPr>
        <w:pStyle w:val="19"/>
      </w:pPr>
      <w:r>
        <w:t>2025年预算收支安排150.47万元，较2024年预算增加14.98万元，其中：基本支出增加15.06万，项目减少0.08万元。</w:t>
      </w:r>
    </w:p>
    <w:p w14:paraId="76B3C993">
      <w:pPr>
        <w:spacing w:before="10" w:after="10" w:line="240" w:lineRule="auto"/>
        <w:ind w:firstLine="640"/>
        <w:jc w:val="left"/>
        <w:outlineLvl w:val="5"/>
      </w:pPr>
      <w:r>
        <w:rPr>
          <w:rFonts w:ascii="黑体" w:hAnsi="黑体" w:eastAsia="黑体" w:cs="黑体"/>
          <w:color w:val="000000"/>
          <w:sz w:val="32"/>
        </w:rPr>
        <w:t>三、机关运行经费安排情况</w:t>
      </w:r>
    </w:p>
    <w:p w14:paraId="2EAC88D0">
      <w:pPr>
        <w:pStyle w:val="20"/>
      </w:pPr>
      <w:r>
        <w:t>2025年，我单位运行经费共计安排33万元，主要用于日常维修、办公、水费、设备购置、物业管理费、印刷及劳务费等日常运行支出。</w:t>
      </w:r>
    </w:p>
    <w:p w14:paraId="472118C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793C91A">
      <w:pPr>
        <w:pStyle w:val="21"/>
      </w:pPr>
      <w:r>
        <w:t>2025年，我单位未安排三公经费。</w:t>
      </w:r>
    </w:p>
    <w:p w14:paraId="40E572A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107D20A">
      <w:pPr>
        <w:spacing w:before="10" w:after="10" w:line="240" w:lineRule="auto"/>
        <w:ind w:firstLine="640"/>
        <w:jc w:val="left"/>
        <w:outlineLvl w:val="5"/>
      </w:pPr>
      <w:r>
        <w:rPr>
          <w:rFonts w:ascii="黑体" w:hAnsi="黑体" w:eastAsia="黑体" w:cs="黑体"/>
          <w:color w:val="000000"/>
          <w:sz w:val="32"/>
        </w:rPr>
        <w:t>六、政府采购预算情况</w:t>
      </w:r>
    </w:p>
    <w:p w14:paraId="3B3673E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1C13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FE38323">
            <w:pPr>
              <w:pStyle w:val="8"/>
            </w:pPr>
            <w:r>
              <w:t>360036隆尧县青少年校外活动中心</w:t>
            </w:r>
          </w:p>
        </w:tc>
        <w:tc>
          <w:tcPr>
            <w:tcW w:w="7712" w:type="dxa"/>
            <w:gridSpan w:val="8"/>
            <w:tcBorders>
              <w:top w:val="single" w:color="FFFFFF" w:sz="6" w:space="0"/>
              <w:left w:val="single" w:color="FFFFFF" w:sz="6" w:space="0"/>
              <w:right w:val="single" w:color="FFFFFF" w:sz="6" w:space="0"/>
            </w:tcBorders>
            <w:vAlign w:val="center"/>
          </w:tcPr>
          <w:p w14:paraId="4EB9D9B1">
            <w:pPr>
              <w:pStyle w:val="22"/>
            </w:pPr>
            <w:r>
              <w:t>单位：万元</w:t>
            </w:r>
          </w:p>
        </w:tc>
      </w:tr>
      <w:tr w14:paraId="5E60E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DD8CC90">
            <w:pPr>
              <w:pStyle w:val="11"/>
            </w:pPr>
            <w:r>
              <w:t>政府采购项目来源</w:t>
            </w:r>
          </w:p>
        </w:tc>
        <w:tc>
          <w:tcPr>
            <w:tcW w:w="1134" w:type="dxa"/>
            <w:vMerge w:val="restart"/>
            <w:vAlign w:val="center"/>
          </w:tcPr>
          <w:p w14:paraId="26F3FEF6">
            <w:pPr>
              <w:pStyle w:val="11"/>
            </w:pPr>
            <w:r>
              <w:t>采购物品名称</w:t>
            </w:r>
          </w:p>
        </w:tc>
        <w:tc>
          <w:tcPr>
            <w:tcW w:w="1134" w:type="dxa"/>
            <w:vMerge w:val="restart"/>
            <w:vAlign w:val="center"/>
          </w:tcPr>
          <w:p w14:paraId="75BA3B25">
            <w:pPr>
              <w:pStyle w:val="11"/>
            </w:pPr>
            <w:r>
              <w:t>政府采购目录序号</w:t>
            </w:r>
          </w:p>
        </w:tc>
        <w:tc>
          <w:tcPr>
            <w:tcW w:w="709" w:type="dxa"/>
            <w:vMerge w:val="restart"/>
            <w:vAlign w:val="center"/>
          </w:tcPr>
          <w:p w14:paraId="7B1DE034">
            <w:pPr>
              <w:pStyle w:val="11"/>
            </w:pPr>
            <w:r>
              <w:t>计量  单位</w:t>
            </w:r>
          </w:p>
        </w:tc>
        <w:tc>
          <w:tcPr>
            <w:tcW w:w="850" w:type="dxa"/>
            <w:vMerge w:val="restart"/>
            <w:vAlign w:val="center"/>
          </w:tcPr>
          <w:p w14:paraId="5E8CC8E6">
            <w:pPr>
              <w:pStyle w:val="11"/>
            </w:pPr>
            <w:r>
              <w:t>数量</w:t>
            </w:r>
          </w:p>
        </w:tc>
        <w:tc>
          <w:tcPr>
            <w:tcW w:w="850" w:type="dxa"/>
            <w:vMerge w:val="restart"/>
            <w:vAlign w:val="center"/>
          </w:tcPr>
          <w:p w14:paraId="41064486">
            <w:pPr>
              <w:pStyle w:val="11"/>
            </w:pPr>
            <w:r>
              <w:t>单价</w:t>
            </w:r>
          </w:p>
        </w:tc>
        <w:tc>
          <w:tcPr>
            <w:tcW w:w="6748" w:type="dxa"/>
            <w:gridSpan w:val="7"/>
            <w:vAlign w:val="center"/>
          </w:tcPr>
          <w:p w14:paraId="09C81A26">
            <w:pPr>
              <w:pStyle w:val="11"/>
            </w:pPr>
            <w:r>
              <w:t>政府采购金额（当年部门预算安排资金）</w:t>
            </w:r>
          </w:p>
        </w:tc>
        <w:tc>
          <w:tcPr>
            <w:tcW w:w="964" w:type="dxa"/>
            <w:vMerge w:val="restart"/>
            <w:vAlign w:val="center"/>
          </w:tcPr>
          <w:p w14:paraId="337E4317">
            <w:pPr>
              <w:pStyle w:val="11"/>
            </w:pPr>
            <w:r>
              <w:t>2025年  预留中  小微企  业份额</w:t>
            </w:r>
          </w:p>
        </w:tc>
      </w:tr>
      <w:tr w14:paraId="1D562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0590568">
            <w:pPr>
              <w:pStyle w:val="11"/>
            </w:pPr>
            <w:r>
              <w:t>项目名称</w:t>
            </w:r>
          </w:p>
        </w:tc>
        <w:tc>
          <w:tcPr>
            <w:tcW w:w="964" w:type="dxa"/>
            <w:vAlign w:val="center"/>
          </w:tcPr>
          <w:p w14:paraId="7E2A89AA">
            <w:pPr>
              <w:pStyle w:val="11"/>
            </w:pPr>
            <w:r>
              <w:t>预算    资金</w:t>
            </w:r>
          </w:p>
        </w:tc>
        <w:tc>
          <w:tcPr>
            <w:tcW w:w="1134" w:type="dxa"/>
            <w:vMerge w:val="continue"/>
          </w:tcPr>
          <w:p w14:paraId="07AFC39E"/>
        </w:tc>
        <w:tc>
          <w:tcPr>
            <w:tcW w:w="1134" w:type="dxa"/>
            <w:vMerge w:val="continue"/>
          </w:tcPr>
          <w:p w14:paraId="52C254D1"/>
        </w:tc>
        <w:tc>
          <w:tcPr>
            <w:tcW w:w="709" w:type="dxa"/>
            <w:vMerge w:val="continue"/>
          </w:tcPr>
          <w:p w14:paraId="74091D94"/>
        </w:tc>
        <w:tc>
          <w:tcPr>
            <w:tcW w:w="850" w:type="dxa"/>
            <w:vMerge w:val="continue"/>
          </w:tcPr>
          <w:p w14:paraId="0C8936F1"/>
        </w:tc>
        <w:tc>
          <w:tcPr>
            <w:tcW w:w="850" w:type="dxa"/>
            <w:vMerge w:val="continue"/>
          </w:tcPr>
          <w:p w14:paraId="20081395"/>
        </w:tc>
        <w:tc>
          <w:tcPr>
            <w:tcW w:w="964" w:type="dxa"/>
            <w:vAlign w:val="center"/>
          </w:tcPr>
          <w:p w14:paraId="34DD16D6">
            <w:pPr>
              <w:pStyle w:val="11"/>
            </w:pPr>
            <w:r>
              <w:t>合计</w:t>
            </w:r>
          </w:p>
        </w:tc>
        <w:tc>
          <w:tcPr>
            <w:tcW w:w="964" w:type="dxa"/>
            <w:vAlign w:val="center"/>
          </w:tcPr>
          <w:p w14:paraId="3E280AB3">
            <w:pPr>
              <w:pStyle w:val="11"/>
            </w:pPr>
            <w:r>
              <w:t>一般公共预算拨款</w:t>
            </w:r>
          </w:p>
        </w:tc>
        <w:tc>
          <w:tcPr>
            <w:tcW w:w="964" w:type="dxa"/>
            <w:vAlign w:val="center"/>
          </w:tcPr>
          <w:p w14:paraId="1441B82B">
            <w:pPr>
              <w:pStyle w:val="11"/>
            </w:pPr>
            <w:r>
              <w:t>基金预算拨款</w:t>
            </w:r>
          </w:p>
        </w:tc>
        <w:tc>
          <w:tcPr>
            <w:tcW w:w="964" w:type="dxa"/>
            <w:vAlign w:val="center"/>
          </w:tcPr>
          <w:p w14:paraId="336C4E71">
            <w:pPr>
              <w:pStyle w:val="11"/>
            </w:pPr>
            <w:r>
              <w:t>国有资本经营预算拨款</w:t>
            </w:r>
          </w:p>
        </w:tc>
        <w:tc>
          <w:tcPr>
            <w:tcW w:w="964" w:type="dxa"/>
            <w:vAlign w:val="center"/>
          </w:tcPr>
          <w:p w14:paraId="7617C60E">
            <w:pPr>
              <w:pStyle w:val="11"/>
            </w:pPr>
            <w:r>
              <w:t>财政专户核拨</w:t>
            </w:r>
          </w:p>
        </w:tc>
        <w:tc>
          <w:tcPr>
            <w:tcW w:w="964" w:type="dxa"/>
            <w:vAlign w:val="center"/>
          </w:tcPr>
          <w:p w14:paraId="1D40F79D">
            <w:pPr>
              <w:pStyle w:val="11"/>
            </w:pPr>
            <w:r>
              <w:t>单位    资金</w:t>
            </w:r>
          </w:p>
        </w:tc>
        <w:tc>
          <w:tcPr>
            <w:tcW w:w="964" w:type="dxa"/>
            <w:vAlign w:val="center"/>
          </w:tcPr>
          <w:p w14:paraId="48E536ED">
            <w:pPr>
              <w:pStyle w:val="11"/>
            </w:pPr>
            <w:r>
              <w:t>上年结转结余</w:t>
            </w:r>
          </w:p>
        </w:tc>
        <w:tc>
          <w:tcPr>
            <w:tcW w:w="964" w:type="dxa"/>
            <w:vMerge w:val="continue"/>
          </w:tcPr>
          <w:p w14:paraId="5E6F69A7"/>
        </w:tc>
      </w:tr>
      <w:tr w14:paraId="3D1EC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B660F7">
            <w:pPr>
              <w:pStyle w:val="13"/>
            </w:pPr>
          </w:p>
        </w:tc>
        <w:tc>
          <w:tcPr>
            <w:tcW w:w="964" w:type="dxa"/>
            <w:vAlign w:val="center"/>
          </w:tcPr>
          <w:p w14:paraId="03EB47AA">
            <w:pPr>
              <w:pStyle w:val="14"/>
            </w:pPr>
          </w:p>
        </w:tc>
        <w:tc>
          <w:tcPr>
            <w:tcW w:w="1134" w:type="dxa"/>
            <w:vAlign w:val="center"/>
          </w:tcPr>
          <w:p w14:paraId="60B17A54">
            <w:pPr>
              <w:pStyle w:val="13"/>
            </w:pPr>
          </w:p>
        </w:tc>
        <w:tc>
          <w:tcPr>
            <w:tcW w:w="1134" w:type="dxa"/>
            <w:vAlign w:val="center"/>
          </w:tcPr>
          <w:p w14:paraId="00B4E70F">
            <w:pPr>
              <w:pStyle w:val="13"/>
            </w:pPr>
          </w:p>
        </w:tc>
        <w:tc>
          <w:tcPr>
            <w:tcW w:w="709" w:type="dxa"/>
            <w:vAlign w:val="center"/>
          </w:tcPr>
          <w:p w14:paraId="2C312AD2">
            <w:pPr>
              <w:pStyle w:val="12"/>
            </w:pPr>
          </w:p>
        </w:tc>
        <w:tc>
          <w:tcPr>
            <w:tcW w:w="850" w:type="dxa"/>
            <w:vAlign w:val="center"/>
          </w:tcPr>
          <w:p w14:paraId="5A6564C1">
            <w:pPr>
              <w:pStyle w:val="14"/>
            </w:pPr>
          </w:p>
        </w:tc>
        <w:tc>
          <w:tcPr>
            <w:tcW w:w="850" w:type="dxa"/>
            <w:vAlign w:val="center"/>
          </w:tcPr>
          <w:p w14:paraId="1B5B165A">
            <w:pPr>
              <w:pStyle w:val="14"/>
            </w:pPr>
          </w:p>
        </w:tc>
        <w:tc>
          <w:tcPr>
            <w:tcW w:w="964" w:type="dxa"/>
            <w:vAlign w:val="center"/>
          </w:tcPr>
          <w:p w14:paraId="65BAD21A">
            <w:pPr>
              <w:pStyle w:val="14"/>
            </w:pPr>
          </w:p>
        </w:tc>
        <w:tc>
          <w:tcPr>
            <w:tcW w:w="964" w:type="dxa"/>
            <w:vAlign w:val="center"/>
          </w:tcPr>
          <w:p w14:paraId="640AB30D">
            <w:pPr>
              <w:pStyle w:val="14"/>
            </w:pPr>
          </w:p>
        </w:tc>
        <w:tc>
          <w:tcPr>
            <w:tcW w:w="964" w:type="dxa"/>
            <w:vAlign w:val="center"/>
          </w:tcPr>
          <w:p w14:paraId="3729BD49">
            <w:pPr>
              <w:pStyle w:val="14"/>
            </w:pPr>
          </w:p>
        </w:tc>
        <w:tc>
          <w:tcPr>
            <w:tcW w:w="964" w:type="dxa"/>
            <w:vAlign w:val="center"/>
          </w:tcPr>
          <w:p w14:paraId="65B2E024">
            <w:pPr>
              <w:pStyle w:val="14"/>
            </w:pPr>
          </w:p>
        </w:tc>
        <w:tc>
          <w:tcPr>
            <w:tcW w:w="964" w:type="dxa"/>
            <w:vAlign w:val="center"/>
          </w:tcPr>
          <w:p w14:paraId="7344DD4C">
            <w:pPr>
              <w:pStyle w:val="14"/>
            </w:pPr>
          </w:p>
        </w:tc>
        <w:tc>
          <w:tcPr>
            <w:tcW w:w="964" w:type="dxa"/>
            <w:vAlign w:val="center"/>
          </w:tcPr>
          <w:p w14:paraId="24D23E1E">
            <w:pPr>
              <w:pStyle w:val="14"/>
            </w:pPr>
          </w:p>
        </w:tc>
        <w:tc>
          <w:tcPr>
            <w:tcW w:w="964" w:type="dxa"/>
            <w:vAlign w:val="center"/>
          </w:tcPr>
          <w:p w14:paraId="59478155">
            <w:pPr>
              <w:pStyle w:val="14"/>
            </w:pPr>
          </w:p>
        </w:tc>
        <w:tc>
          <w:tcPr>
            <w:tcW w:w="964" w:type="dxa"/>
            <w:vAlign w:val="center"/>
          </w:tcPr>
          <w:p w14:paraId="13001CAA">
            <w:pPr>
              <w:pStyle w:val="14"/>
            </w:pPr>
          </w:p>
        </w:tc>
      </w:tr>
    </w:tbl>
    <w:p w14:paraId="1200CCE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1CBCB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6EC10A">
      <w:pPr>
        <w:spacing w:before="0" w:after="0"/>
        <w:ind w:firstLine="640"/>
        <w:jc w:val="left"/>
        <w:outlineLvl w:val="9"/>
      </w:pPr>
      <w:r>
        <w:rPr>
          <w:rFonts w:ascii="Times New Roman" w:hAnsi="Times New Roman" w:eastAsia="方正仿宋_GBK" w:cs="Times New Roman"/>
          <w:color w:val="000000"/>
          <w:sz w:val="32"/>
        </w:rPr>
        <w:t xml:space="preserve"> </w:t>
      </w:r>
    </w:p>
    <w:p w14:paraId="7C9BA660">
      <w:pPr>
        <w:spacing w:before="10" w:after="10" w:line="240" w:lineRule="auto"/>
        <w:ind w:firstLine="640"/>
        <w:jc w:val="left"/>
        <w:outlineLvl w:val="5"/>
      </w:pPr>
      <w:r>
        <w:rPr>
          <w:rFonts w:ascii="黑体" w:hAnsi="黑体" w:eastAsia="黑体" w:cs="黑体"/>
          <w:color w:val="000000"/>
          <w:sz w:val="32"/>
        </w:rPr>
        <w:t>七、国有资产信息</w:t>
      </w:r>
    </w:p>
    <w:p w14:paraId="063F1698">
      <w:pPr>
        <w:spacing w:before="0" w:after="0" w:line="500" w:lineRule="exact"/>
        <w:ind w:firstLine="560"/>
        <w:jc w:val="left"/>
        <w:outlineLvl w:val="9"/>
      </w:pPr>
      <w:r>
        <w:rPr>
          <w:rFonts w:ascii="Times New Roman" w:hAnsi="Times New Roman" w:eastAsia="方正仿宋_GBK" w:cs="Times New Roman"/>
          <w:b w:val="0"/>
          <w:color w:val="000000"/>
          <w:sz w:val="28"/>
        </w:rPr>
        <w:t>隆尧县青少年校外活动中心上年末固定资产金额为1454.77万元（详见下表）。本年度拟购置固定资产总额为4.76万元，已按要求列入政府采购预算，详见政府采购预算表。</w:t>
      </w:r>
    </w:p>
    <w:p w14:paraId="494BF54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3A18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A043EAF">
            <w:pPr>
              <w:pStyle w:val="8"/>
            </w:pPr>
            <w:r>
              <w:t>360036隆尧县青少年校外活动中心</w:t>
            </w:r>
          </w:p>
        </w:tc>
        <w:tc>
          <w:tcPr>
            <w:tcW w:w="5670" w:type="dxa"/>
            <w:gridSpan w:val="2"/>
            <w:tcBorders>
              <w:top w:val="single" w:color="FFFFFF" w:sz="6" w:space="0"/>
              <w:left w:val="single" w:color="FFFFFF" w:sz="6" w:space="0"/>
              <w:right w:val="single" w:color="FFFFFF" w:sz="6" w:space="0"/>
            </w:tcBorders>
            <w:vAlign w:val="center"/>
          </w:tcPr>
          <w:p w14:paraId="75F750C4">
            <w:pPr>
              <w:pStyle w:val="10"/>
            </w:pPr>
            <w:r>
              <w:t>截止时间：2024-12-31</w:t>
            </w:r>
          </w:p>
        </w:tc>
      </w:tr>
      <w:tr w14:paraId="0D98E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0F9A7AE">
            <w:pPr>
              <w:pStyle w:val="11"/>
            </w:pPr>
            <w:r>
              <w:t>项   目</w:t>
            </w:r>
          </w:p>
        </w:tc>
        <w:tc>
          <w:tcPr>
            <w:tcW w:w="2835" w:type="dxa"/>
            <w:vAlign w:val="center"/>
          </w:tcPr>
          <w:p w14:paraId="110F6678">
            <w:pPr>
              <w:pStyle w:val="11"/>
            </w:pPr>
            <w:r>
              <w:t>数量</w:t>
            </w:r>
          </w:p>
        </w:tc>
        <w:tc>
          <w:tcPr>
            <w:tcW w:w="2835" w:type="dxa"/>
            <w:vAlign w:val="center"/>
          </w:tcPr>
          <w:p w14:paraId="593B726E">
            <w:pPr>
              <w:pStyle w:val="11"/>
            </w:pPr>
            <w:r>
              <w:t>价值（金额单位：万元）</w:t>
            </w:r>
          </w:p>
        </w:tc>
      </w:tr>
      <w:tr w14:paraId="59054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E3A76E">
            <w:pPr>
              <w:pStyle w:val="13"/>
            </w:pPr>
            <w:r>
              <w:t>资产总额</w:t>
            </w:r>
          </w:p>
        </w:tc>
        <w:tc>
          <w:tcPr>
            <w:tcW w:w="2835" w:type="dxa"/>
            <w:vAlign w:val="center"/>
          </w:tcPr>
          <w:p w14:paraId="6352F109">
            <w:pPr>
              <w:pStyle w:val="12"/>
            </w:pPr>
          </w:p>
        </w:tc>
        <w:tc>
          <w:tcPr>
            <w:tcW w:w="2835" w:type="dxa"/>
            <w:vAlign w:val="center"/>
          </w:tcPr>
          <w:p w14:paraId="544117BB">
            <w:pPr>
              <w:pStyle w:val="14"/>
            </w:pPr>
            <w:r>
              <w:t>1454.77</w:t>
            </w:r>
          </w:p>
        </w:tc>
      </w:tr>
      <w:tr w14:paraId="4A22D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234606">
            <w:pPr>
              <w:pStyle w:val="13"/>
            </w:pPr>
            <w:r>
              <w:t>1、房屋（平方米）</w:t>
            </w:r>
          </w:p>
        </w:tc>
        <w:tc>
          <w:tcPr>
            <w:tcW w:w="2835" w:type="dxa"/>
            <w:vAlign w:val="center"/>
          </w:tcPr>
          <w:p w14:paraId="1164D742">
            <w:pPr>
              <w:pStyle w:val="12"/>
            </w:pPr>
            <w:r>
              <w:t>7575.82</w:t>
            </w:r>
          </w:p>
        </w:tc>
        <w:tc>
          <w:tcPr>
            <w:tcW w:w="2835" w:type="dxa"/>
            <w:vAlign w:val="center"/>
          </w:tcPr>
          <w:p w14:paraId="10AC708B">
            <w:pPr>
              <w:pStyle w:val="14"/>
            </w:pPr>
            <w:r>
              <w:t>1338.53</w:t>
            </w:r>
          </w:p>
        </w:tc>
      </w:tr>
      <w:tr w14:paraId="16F5E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3FC795">
            <w:pPr>
              <w:pStyle w:val="13"/>
            </w:pPr>
            <w:r>
              <w:t>　　其中：办公用房（平方米）</w:t>
            </w:r>
          </w:p>
        </w:tc>
        <w:tc>
          <w:tcPr>
            <w:tcW w:w="2835" w:type="dxa"/>
            <w:vAlign w:val="center"/>
          </w:tcPr>
          <w:p w14:paraId="16F1DBC3">
            <w:pPr>
              <w:pStyle w:val="12"/>
            </w:pPr>
            <w:r>
              <w:t>500</w:t>
            </w:r>
          </w:p>
        </w:tc>
        <w:tc>
          <w:tcPr>
            <w:tcW w:w="2835" w:type="dxa"/>
            <w:vAlign w:val="center"/>
          </w:tcPr>
          <w:p w14:paraId="29566186">
            <w:pPr>
              <w:pStyle w:val="14"/>
            </w:pPr>
            <w:r>
              <w:t>89.80</w:t>
            </w:r>
          </w:p>
        </w:tc>
      </w:tr>
      <w:tr w14:paraId="744BD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62BA2E">
            <w:pPr>
              <w:pStyle w:val="13"/>
            </w:pPr>
            <w:r>
              <w:t>2、车辆（台、辆）</w:t>
            </w:r>
          </w:p>
        </w:tc>
        <w:tc>
          <w:tcPr>
            <w:tcW w:w="2835" w:type="dxa"/>
            <w:vAlign w:val="center"/>
          </w:tcPr>
          <w:p w14:paraId="44A730EE">
            <w:pPr>
              <w:pStyle w:val="12"/>
            </w:pPr>
          </w:p>
        </w:tc>
        <w:tc>
          <w:tcPr>
            <w:tcW w:w="2835" w:type="dxa"/>
            <w:vAlign w:val="center"/>
          </w:tcPr>
          <w:p w14:paraId="693BA48B">
            <w:pPr>
              <w:pStyle w:val="14"/>
            </w:pPr>
          </w:p>
        </w:tc>
      </w:tr>
      <w:tr w14:paraId="527F6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5230BE">
            <w:pPr>
              <w:pStyle w:val="13"/>
            </w:pPr>
            <w:r>
              <w:t>3、单价在20万元以上的设备</w:t>
            </w:r>
          </w:p>
        </w:tc>
        <w:tc>
          <w:tcPr>
            <w:tcW w:w="2835" w:type="dxa"/>
            <w:vAlign w:val="center"/>
          </w:tcPr>
          <w:p w14:paraId="415FF023">
            <w:pPr>
              <w:pStyle w:val="12"/>
            </w:pPr>
            <w:r>
              <w:t>1</w:t>
            </w:r>
          </w:p>
        </w:tc>
        <w:tc>
          <w:tcPr>
            <w:tcW w:w="2835" w:type="dxa"/>
            <w:vAlign w:val="center"/>
          </w:tcPr>
          <w:p w14:paraId="304CCD55">
            <w:pPr>
              <w:pStyle w:val="14"/>
            </w:pPr>
            <w:r>
              <w:t>35.00</w:t>
            </w:r>
          </w:p>
        </w:tc>
      </w:tr>
      <w:tr w14:paraId="1BCA3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D6B7E9">
            <w:pPr>
              <w:pStyle w:val="13"/>
            </w:pPr>
            <w:r>
              <w:t>4、其他固定资产</w:t>
            </w:r>
          </w:p>
        </w:tc>
        <w:tc>
          <w:tcPr>
            <w:tcW w:w="2835" w:type="dxa"/>
            <w:vAlign w:val="center"/>
          </w:tcPr>
          <w:p w14:paraId="16CC386A">
            <w:pPr>
              <w:pStyle w:val="12"/>
            </w:pPr>
            <w:r>
              <w:t>166</w:t>
            </w:r>
          </w:p>
        </w:tc>
        <w:tc>
          <w:tcPr>
            <w:tcW w:w="2835" w:type="dxa"/>
            <w:vAlign w:val="center"/>
          </w:tcPr>
          <w:p w14:paraId="1E3C60B7">
            <w:pPr>
              <w:pStyle w:val="14"/>
            </w:pPr>
            <w:r>
              <w:t>81.24</w:t>
            </w:r>
          </w:p>
        </w:tc>
      </w:tr>
    </w:tbl>
    <w:p w14:paraId="73F11913">
      <w:pPr>
        <w:spacing w:before="0" w:after="0"/>
        <w:ind w:firstLine="640"/>
        <w:jc w:val="left"/>
        <w:outlineLvl w:val="9"/>
      </w:pPr>
      <w:r>
        <w:rPr>
          <w:rFonts w:ascii="Times New Roman" w:hAnsi="Times New Roman" w:eastAsia="方正仿宋_GBK" w:cs="Times New Roman"/>
          <w:color w:val="000000"/>
          <w:sz w:val="32"/>
        </w:rPr>
        <w:t xml:space="preserve"> </w:t>
      </w:r>
    </w:p>
    <w:p w14:paraId="37890357">
      <w:pPr>
        <w:spacing w:before="10" w:after="10" w:line="240" w:lineRule="auto"/>
        <w:ind w:firstLine="640"/>
        <w:jc w:val="left"/>
        <w:outlineLvl w:val="5"/>
      </w:pPr>
      <w:r>
        <w:rPr>
          <w:rFonts w:ascii="黑体" w:hAnsi="黑体" w:eastAsia="黑体" w:cs="黑体"/>
          <w:color w:val="000000"/>
          <w:sz w:val="32"/>
        </w:rPr>
        <w:t>八、名词解释</w:t>
      </w:r>
    </w:p>
    <w:p w14:paraId="19CFB9F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78446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089158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0BE49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1E52F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8CD67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9E8EB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5B45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412EE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8D13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FD4268">
      <w:pPr>
        <w:spacing w:before="10" w:after="10" w:line="240" w:lineRule="auto"/>
        <w:ind w:firstLine="640"/>
        <w:jc w:val="left"/>
        <w:outlineLvl w:val="5"/>
      </w:pPr>
      <w:r>
        <w:rPr>
          <w:rFonts w:ascii="黑体" w:hAnsi="黑体" w:eastAsia="黑体" w:cs="黑体"/>
          <w:color w:val="000000"/>
          <w:sz w:val="32"/>
        </w:rPr>
        <w:t>九、其他需要说明的事项</w:t>
      </w:r>
    </w:p>
    <w:p w14:paraId="2FA71AE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FFFA174">
      <w:pPr>
        <w:spacing w:before="0" w:after="0"/>
        <w:ind w:firstLine="0"/>
        <w:jc w:val="center"/>
        <w:outlineLvl w:val="3"/>
      </w:pPr>
      <w:bookmarkStart w:id="36" w:name="_Toc_4_4_0000000056"/>
      <w:r>
        <w:rPr>
          <w:rFonts w:ascii="方正小标宋_GBK" w:hAnsi="方正小标宋_GBK" w:eastAsia="方正小标宋_GBK" w:cs="方正小标宋_GBK"/>
          <w:b w:val="0"/>
          <w:color w:val="000000"/>
          <w:sz w:val="44"/>
        </w:rPr>
        <w:t>三十六、隆尧县第三实验小学收支预算</w:t>
      </w:r>
      <w:bookmarkEnd w:id="36"/>
    </w:p>
    <w:p w14:paraId="453FC7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A16A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EF8B79">
            <w:pPr>
              <w:pStyle w:val="8"/>
            </w:pPr>
            <w:r>
              <w:t>360037隆尧县第三实验小学</w:t>
            </w:r>
          </w:p>
        </w:tc>
        <w:tc>
          <w:tcPr>
            <w:tcW w:w="2126" w:type="dxa"/>
            <w:tcBorders>
              <w:top w:val="single" w:color="FFFFFF" w:sz="6" w:space="0"/>
              <w:left w:val="single" w:color="FFFFFF" w:sz="6" w:space="0"/>
              <w:right w:val="single" w:color="FFFFFF" w:sz="6" w:space="0"/>
            </w:tcBorders>
            <w:vAlign w:val="center"/>
          </w:tcPr>
          <w:p w14:paraId="681C6EB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3288A0B">
            <w:pPr>
              <w:pStyle w:val="10"/>
            </w:pPr>
            <w:r>
              <w:t>单位：万元</w:t>
            </w:r>
          </w:p>
        </w:tc>
      </w:tr>
      <w:tr w14:paraId="3ABC5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26A332">
            <w:pPr>
              <w:pStyle w:val="11"/>
            </w:pPr>
            <w:r>
              <w:t>序号</w:t>
            </w:r>
          </w:p>
        </w:tc>
        <w:tc>
          <w:tcPr>
            <w:tcW w:w="6661" w:type="dxa"/>
            <w:gridSpan w:val="2"/>
            <w:vAlign w:val="center"/>
          </w:tcPr>
          <w:p w14:paraId="01C48600">
            <w:pPr>
              <w:pStyle w:val="11"/>
            </w:pPr>
            <w:r>
              <w:t>收入</w:t>
            </w:r>
          </w:p>
        </w:tc>
        <w:tc>
          <w:tcPr>
            <w:tcW w:w="6661" w:type="dxa"/>
            <w:gridSpan w:val="2"/>
            <w:vAlign w:val="center"/>
          </w:tcPr>
          <w:p w14:paraId="01A6B1AE">
            <w:pPr>
              <w:pStyle w:val="11"/>
            </w:pPr>
            <w:r>
              <w:t>支出</w:t>
            </w:r>
          </w:p>
        </w:tc>
      </w:tr>
      <w:tr w14:paraId="4926E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B5094B"/>
        </w:tc>
        <w:tc>
          <w:tcPr>
            <w:tcW w:w="4535" w:type="dxa"/>
            <w:vAlign w:val="center"/>
          </w:tcPr>
          <w:p w14:paraId="537FF246">
            <w:pPr>
              <w:pStyle w:val="11"/>
            </w:pPr>
            <w:r>
              <w:t>项  目</w:t>
            </w:r>
          </w:p>
        </w:tc>
        <w:tc>
          <w:tcPr>
            <w:tcW w:w="2126" w:type="dxa"/>
            <w:vAlign w:val="center"/>
          </w:tcPr>
          <w:p w14:paraId="17984A5E">
            <w:pPr>
              <w:pStyle w:val="11"/>
            </w:pPr>
            <w:r>
              <w:t>预算数</w:t>
            </w:r>
          </w:p>
        </w:tc>
        <w:tc>
          <w:tcPr>
            <w:tcW w:w="4535" w:type="dxa"/>
            <w:vAlign w:val="center"/>
          </w:tcPr>
          <w:p w14:paraId="014A6E42">
            <w:pPr>
              <w:pStyle w:val="11"/>
            </w:pPr>
            <w:r>
              <w:t>项  目</w:t>
            </w:r>
          </w:p>
        </w:tc>
        <w:tc>
          <w:tcPr>
            <w:tcW w:w="2126" w:type="dxa"/>
            <w:vAlign w:val="center"/>
          </w:tcPr>
          <w:p w14:paraId="47A700D2">
            <w:pPr>
              <w:pStyle w:val="11"/>
            </w:pPr>
            <w:r>
              <w:t>预算数</w:t>
            </w:r>
          </w:p>
        </w:tc>
      </w:tr>
      <w:tr w14:paraId="413B9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9EDFD">
            <w:pPr>
              <w:pStyle w:val="11"/>
            </w:pPr>
            <w:r>
              <w:t>栏次</w:t>
            </w:r>
          </w:p>
        </w:tc>
        <w:tc>
          <w:tcPr>
            <w:tcW w:w="4535" w:type="dxa"/>
            <w:vAlign w:val="center"/>
          </w:tcPr>
          <w:p w14:paraId="295B4D60">
            <w:pPr>
              <w:pStyle w:val="11"/>
            </w:pPr>
            <w:r>
              <w:t>1</w:t>
            </w:r>
          </w:p>
        </w:tc>
        <w:tc>
          <w:tcPr>
            <w:tcW w:w="2126" w:type="dxa"/>
            <w:vAlign w:val="center"/>
          </w:tcPr>
          <w:p w14:paraId="65EFE9F2">
            <w:pPr>
              <w:pStyle w:val="11"/>
            </w:pPr>
            <w:r>
              <w:t>2</w:t>
            </w:r>
          </w:p>
        </w:tc>
        <w:tc>
          <w:tcPr>
            <w:tcW w:w="4535" w:type="dxa"/>
            <w:vAlign w:val="center"/>
          </w:tcPr>
          <w:p w14:paraId="5F00ED03">
            <w:pPr>
              <w:pStyle w:val="11"/>
            </w:pPr>
            <w:r>
              <w:t>3</w:t>
            </w:r>
          </w:p>
        </w:tc>
        <w:tc>
          <w:tcPr>
            <w:tcW w:w="2126" w:type="dxa"/>
            <w:vAlign w:val="center"/>
          </w:tcPr>
          <w:p w14:paraId="682B9F88">
            <w:pPr>
              <w:pStyle w:val="11"/>
            </w:pPr>
            <w:r>
              <w:t>4</w:t>
            </w:r>
          </w:p>
        </w:tc>
      </w:tr>
      <w:tr w14:paraId="2C9A1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0F327">
            <w:pPr>
              <w:pStyle w:val="12"/>
            </w:pPr>
            <w:r>
              <w:t>1</w:t>
            </w:r>
          </w:p>
        </w:tc>
        <w:tc>
          <w:tcPr>
            <w:tcW w:w="4535" w:type="dxa"/>
            <w:vAlign w:val="center"/>
          </w:tcPr>
          <w:p w14:paraId="623898ED">
            <w:pPr>
              <w:pStyle w:val="13"/>
            </w:pPr>
            <w:r>
              <w:t>一、一般公共预算拨款收入</w:t>
            </w:r>
          </w:p>
        </w:tc>
        <w:tc>
          <w:tcPr>
            <w:tcW w:w="2126" w:type="dxa"/>
            <w:vAlign w:val="center"/>
          </w:tcPr>
          <w:p w14:paraId="1B607B96">
            <w:pPr>
              <w:pStyle w:val="14"/>
            </w:pPr>
            <w:r>
              <w:t>979.75</w:t>
            </w:r>
          </w:p>
        </w:tc>
        <w:tc>
          <w:tcPr>
            <w:tcW w:w="4535" w:type="dxa"/>
            <w:vAlign w:val="center"/>
          </w:tcPr>
          <w:p w14:paraId="5C9C8F22">
            <w:pPr>
              <w:pStyle w:val="13"/>
            </w:pPr>
            <w:r>
              <w:t>一、一般公共服务支出</w:t>
            </w:r>
          </w:p>
        </w:tc>
        <w:tc>
          <w:tcPr>
            <w:tcW w:w="2126" w:type="dxa"/>
            <w:vAlign w:val="center"/>
          </w:tcPr>
          <w:p w14:paraId="1527884B">
            <w:pPr>
              <w:pStyle w:val="14"/>
            </w:pPr>
          </w:p>
        </w:tc>
      </w:tr>
      <w:tr w14:paraId="5EDDE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65414">
            <w:pPr>
              <w:pStyle w:val="12"/>
            </w:pPr>
            <w:r>
              <w:t>2</w:t>
            </w:r>
          </w:p>
        </w:tc>
        <w:tc>
          <w:tcPr>
            <w:tcW w:w="4535" w:type="dxa"/>
            <w:vAlign w:val="center"/>
          </w:tcPr>
          <w:p w14:paraId="0F40C13C">
            <w:pPr>
              <w:pStyle w:val="13"/>
            </w:pPr>
            <w:r>
              <w:t>二、政府性基金预算拨款收入</w:t>
            </w:r>
          </w:p>
        </w:tc>
        <w:tc>
          <w:tcPr>
            <w:tcW w:w="2126" w:type="dxa"/>
            <w:vAlign w:val="center"/>
          </w:tcPr>
          <w:p w14:paraId="258DF0A1">
            <w:pPr>
              <w:pStyle w:val="14"/>
            </w:pPr>
          </w:p>
        </w:tc>
        <w:tc>
          <w:tcPr>
            <w:tcW w:w="4535" w:type="dxa"/>
            <w:vAlign w:val="center"/>
          </w:tcPr>
          <w:p w14:paraId="74ED03D3">
            <w:pPr>
              <w:pStyle w:val="13"/>
            </w:pPr>
            <w:r>
              <w:t>二、外交支出</w:t>
            </w:r>
          </w:p>
        </w:tc>
        <w:tc>
          <w:tcPr>
            <w:tcW w:w="2126" w:type="dxa"/>
            <w:vAlign w:val="center"/>
          </w:tcPr>
          <w:p w14:paraId="1F00E4C1">
            <w:pPr>
              <w:pStyle w:val="14"/>
            </w:pPr>
          </w:p>
        </w:tc>
      </w:tr>
      <w:tr w14:paraId="4EF93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B807D">
            <w:pPr>
              <w:pStyle w:val="12"/>
            </w:pPr>
            <w:r>
              <w:t>3</w:t>
            </w:r>
          </w:p>
        </w:tc>
        <w:tc>
          <w:tcPr>
            <w:tcW w:w="4535" w:type="dxa"/>
            <w:vAlign w:val="center"/>
          </w:tcPr>
          <w:p w14:paraId="0C27074A">
            <w:pPr>
              <w:pStyle w:val="13"/>
            </w:pPr>
            <w:r>
              <w:t>三、国有资本经营预算拨款收入</w:t>
            </w:r>
          </w:p>
        </w:tc>
        <w:tc>
          <w:tcPr>
            <w:tcW w:w="2126" w:type="dxa"/>
            <w:vAlign w:val="center"/>
          </w:tcPr>
          <w:p w14:paraId="12FFB30C">
            <w:pPr>
              <w:pStyle w:val="14"/>
            </w:pPr>
          </w:p>
        </w:tc>
        <w:tc>
          <w:tcPr>
            <w:tcW w:w="4535" w:type="dxa"/>
            <w:vAlign w:val="center"/>
          </w:tcPr>
          <w:p w14:paraId="49BF0ED3">
            <w:pPr>
              <w:pStyle w:val="13"/>
            </w:pPr>
            <w:r>
              <w:t>三、国防支出</w:t>
            </w:r>
          </w:p>
        </w:tc>
        <w:tc>
          <w:tcPr>
            <w:tcW w:w="2126" w:type="dxa"/>
            <w:vAlign w:val="center"/>
          </w:tcPr>
          <w:p w14:paraId="73B5EB21">
            <w:pPr>
              <w:pStyle w:val="14"/>
            </w:pPr>
          </w:p>
        </w:tc>
      </w:tr>
      <w:tr w14:paraId="56A20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4855E">
            <w:pPr>
              <w:pStyle w:val="12"/>
            </w:pPr>
            <w:r>
              <w:t>4</w:t>
            </w:r>
          </w:p>
        </w:tc>
        <w:tc>
          <w:tcPr>
            <w:tcW w:w="4535" w:type="dxa"/>
            <w:vAlign w:val="center"/>
          </w:tcPr>
          <w:p w14:paraId="0A0A61E8">
            <w:pPr>
              <w:pStyle w:val="13"/>
            </w:pPr>
            <w:r>
              <w:t>四、财政专户管理资金收入</w:t>
            </w:r>
          </w:p>
        </w:tc>
        <w:tc>
          <w:tcPr>
            <w:tcW w:w="2126" w:type="dxa"/>
            <w:vAlign w:val="center"/>
          </w:tcPr>
          <w:p w14:paraId="1C7ADDFD">
            <w:pPr>
              <w:pStyle w:val="14"/>
            </w:pPr>
          </w:p>
        </w:tc>
        <w:tc>
          <w:tcPr>
            <w:tcW w:w="4535" w:type="dxa"/>
            <w:vAlign w:val="center"/>
          </w:tcPr>
          <w:p w14:paraId="3C725633">
            <w:pPr>
              <w:pStyle w:val="13"/>
            </w:pPr>
            <w:r>
              <w:t>四、公共安全支出</w:t>
            </w:r>
          </w:p>
        </w:tc>
        <w:tc>
          <w:tcPr>
            <w:tcW w:w="2126" w:type="dxa"/>
            <w:vAlign w:val="center"/>
          </w:tcPr>
          <w:p w14:paraId="0F8D3CEC">
            <w:pPr>
              <w:pStyle w:val="14"/>
            </w:pPr>
          </w:p>
        </w:tc>
      </w:tr>
      <w:tr w14:paraId="453CB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1F185">
            <w:pPr>
              <w:pStyle w:val="12"/>
            </w:pPr>
            <w:r>
              <w:t>5</w:t>
            </w:r>
          </w:p>
        </w:tc>
        <w:tc>
          <w:tcPr>
            <w:tcW w:w="4535" w:type="dxa"/>
            <w:vAlign w:val="center"/>
          </w:tcPr>
          <w:p w14:paraId="37FB4A57">
            <w:pPr>
              <w:pStyle w:val="13"/>
            </w:pPr>
            <w:r>
              <w:t>五、单位资金</w:t>
            </w:r>
          </w:p>
        </w:tc>
        <w:tc>
          <w:tcPr>
            <w:tcW w:w="2126" w:type="dxa"/>
            <w:vAlign w:val="center"/>
          </w:tcPr>
          <w:p w14:paraId="5C3D6189">
            <w:pPr>
              <w:pStyle w:val="14"/>
            </w:pPr>
          </w:p>
        </w:tc>
        <w:tc>
          <w:tcPr>
            <w:tcW w:w="4535" w:type="dxa"/>
            <w:vAlign w:val="center"/>
          </w:tcPr>
          <w:p w14:paraId="070E5B32">
            <w:pPr>
              <w:pStyle w:val="13"/>
            </w:pPr>
            <w:r>
              <w:t>五、教育支出</w:t>
            </w:r>
          </w:p>
        </w:tc>
        <w:tc>
          <w:tcPr>
            <w:tcW w:w="2126" w:type="dxa"/>
            <w:vAlign w:val="center"/>
          </w:tcPr>
          <w:p w14:paraId="2D6AC31D">
            <w:pPr>
              <w:pStyle w:val="14"/>
            </w:pPr>
            <w:r>
              <w:t>979.75</w:t>
            </w:r>
          </w:p>
        </w:tc>
      </w:tr>
      <w:tr w14:paraId="2E38D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0EEFD">
            <w:pPr>
              <w:pStyle w:val="12"/>
            </w:pPr>
            <w:r>
              <w:t>6</w:t>
            </w:r>
          </w:p>
        </w:tc>
        <w:tc>
          <w:tcPr>
            <w:tcW w:w="4535" w:type="dxa"/>
            <w:vAlign w:val="center"/>
          </w:tcPr>
          <w:p w14:paraId="2C03D112">
            <w:pPr>
              <w:pStyle w:val="13"/>
            </w:pPr>
          </w:p>
        </w:tc>
        <w:tc>
          <w:tcPr>
            <w:tcW w:w="2126" w:type="dxa"/>
            <w:vAlign w:val="center"/>
          </w:tcPr>
          <w:p w14:paraId="15D94E6A">
            <w:pPr>
              <w:pStyle w:val="14"/>
            </w:pPr>
          </w:p>
        </w:tc>
        <w:tc>
          <w:tcPr>
            <w:tcW w:w="4535" w:type="dxa"/>
            <w:vAlign w:val="center"/>
          </w:tcPr>
          <w:p w14:paraId="44271177">
            <w:pPr>
              <w:pStyle w:val="13"/>
            </w:pPr>
            <w:r>
              <w:t>六、科学技术支出</w:t>
            </w:r>
          </w:p>
        </w:tc>
        <w:tc>
          <w:tcPr>
            <w:tcW w:w="2126" w:type="dxa"/>
            <w:vAlign w:val="center"/>
          </w:tcPr>
          <w:p w14:paraId="542E0613">
            <w:pPr>
              <w:pStyle w:val="14"/>
            </w:pPr>
          </w:p>
        </w:tc>
      </w:tr>
      <w:tr w14:paraId="0AFF1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F6309">
            <w:pPr>
              <w:pStyle w:val="12"/>
            </w:pPr>
            <w:r>
              <w:t>7</w:t>
            </w:r>
          </w:p>
        </w:tc>
        <w:tc>
          <w:tcPr>
            <w:tcW w:w="4535" w:type="dxa"/>
            <w:vAlign w:val="center"/>
          </w:tcPr>
          <w:p w14:paraId="5CE0B773">
            <w:pPr>
              <w:pStyle w:val="13"/>
            </w:pPr>
          </w:p>
        </w:tc>
        <w:tc>
          <w:tcPr>
            <w:tcW w:w="2126" w:type="dxa"/>
            <w:vAlign w:val="center"/>
          </w:tcPr>
          <w:p w14:paraId="130EC939">
            <w:pPr>
              <w:pStyle w:val="14"/>
            </w:pPr>
          </w:p>
        </w:tc>
        <w:tc>
          <w:tcPr>
            <w:tcW w:w="4535" w:type="dxa"/>
            <w:vAlign w:val="center"/>
          </w:tcPr>
          <w:p w14:paraId="160144E1">
            <w:pPr>
              <w:pStyle w:val="13"/>
            </w:pPr>
            <w:r>
              <w:t>七、文化旅游体育与传媒支出</w:t>
            </w:r>
          </w:p>
        </w:tc>
        <w:tc>
          <w:tcPr>
            <w:tcW w:w="2126" w:type="dxa"/>
            <w:vAlign w:val="center"/>
          </w:tcPr>
          <w:p w14:paraId="1565DD73">
            <w:pPr>
              <w:pStyle w:val="14"/>
            </w:pPr>
          </w:p>
        </w:tc>
      </w:tr>
      <w:tr w14:paraId="261D1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69B86">
            <w:pPr>
              <w:pStyle w:val="12"/>
            </w:pPr>
            <w:r>
              <w:t>8</w:t>
            </w:r>
          </w:p>
        </w:tc>
        <w:tc>
          <w:tcPr>
            <w:tcW w:w="4535" w:type="dxa"/>
            <w:vAlign w:val="center"/>
          </w:tcPr>
          <w:p w14:paraId="28A311F0">
            <w:pPr>
              <w:pStyle w:val="13"/>
            </w:pPr>
          </w:p>
        </w:tc>
        <w:tc>
          <w:tcPr>
            <w:tcW w:w="2126" w:type="dxa"/>
            <w:vAlign w:val="center"/>
          </w:tcPr>
          <w:p w14:paraId="677DE90A">
            <w:pPr>
              <w:pStyle w:val="14"/>
            </w:pPr>
          </w:p>
        </w:tc>
        <w:tc>
          <w:tcPr>
            <w:tcW w:w="4535" w:type="dxa"/>
            <w:vAlign w:val="center"/>
          </w:tcPr>
          <w:p w14:paraId="15FDE321">
            <w:pPr>
              <w:pStyle w:val="13"/>
            </w:pPr>
            <w:r>
              <w:t>八、社会保障和就业支出</w:t>
            </w:r>
          </w:p>
        </w:tc>
        <w:tc>
          <w:tcPr>
            <w:tcW w:w="2126" w:type="dxa"/>
            <w:vAlign w:val="center"/>
          </w:tcPr>
          <w:p w14:paraId="3B9103DF">
            <w:pPr>
              <w:pStyle w:val="14"/>
            </w:pPr>
          </w:p>
        </w:tc>
      </w:tr>
      <w:tr w14:paraId="4A71C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422BD">
            <w:pPr>
              <w:pStyle w:val="12"/>
            </w:pPr>
            <w:r>
              <w:t>9</w:t>
            </w:r>
          </w:p>
        </w:tc>
        <w:tc>
          <w:tcPr>
            <w:tcW w:w="4535" w:type="dxa"/>
            <w:vAlign w:val="center"/>
          </w:tcPr>
          <w:p w14:paraId="26BA79CD">
            <w:pPr>
              <w:pStyle w:val="13"/>
            </w:pPr>
          </w:p>
        </w:tc>
        <w:tc>
          <w:tcPr>
            <w:tcW w:w="2126" w:type="dxa"/>
            <w:vAlign w:val="center"/>
          </w:tcPr>
          <w:p w14:paraId="0FBF31DB">
            <w:pPr>
              <w:pStyle w:val="14"/>
            </w:pPr>
          </w:p>
        </w:tc>
        <w:tc>
          <w:tcPr>
            <w:tcW w:w="4535" w:type="dxa"/>
            <w:vAlign w:val="center"/>
          </w:tcPr>
          <w:p w14:paraId="122BD7F8">
            <w:pPr>
              <w:pStyle w:val="13"/>
            </w:pPr>
            <w:r>
              <w:t>九、社会保险基金支出</w:t>
            </w:r>
          </w:p>
        </w:tc>
        <w:tc>
          <w:tcPr>
            <w:tcW w:w="2126" w:type="dxa"/>
            <w:vAlign w:val="center"/>
          </w:tcPr>
          <w:p w14:paraId="40781DE8">
            <w:pPr>
              <w:pStyle w:val="14"/>
            </w:pPr>
          </w:p>
        </w:tc>
      </w:tr>
      <w:tr w14:paraId="4880E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79C67">
            <w:pPr>
              <w:pStyle w:val="12"/>
            </w:pPr>
            <w:r>
              <w:t>10</w:t>
            </w:r>
          </w:p>
        </w:tc>
        <w:tc>
          <w:tcPr>
            <w:tcW w:w="4535" w:type="dxa"/>
            <w:vAlign w:val="center"/>
          </w:tcPr>
          <w:p w14:paraId="6A1D0194">
            <w:pPr>
              <w:pStyle w:val="13"/>
            </w:pPr>
          </w:p>
        </w:tc>
        <w:tc>
          <w:tcPr>
            <w:tcW w:w="2126" w:type="dxa"/>
            <w:vAlign w:val="center"/>
          </w:tcPr>
          <w:p w14:paraId="17B54A6A">
            <w:pPr>
              <w:pStyle w:val="14"/>
            </w:pPr>
          </w:p>
        </w:tc>
        <w:tc>
          <w:tcPr>
            <w:tcW w:w="4535" w:type="dxa"/>
            <w:vAlign w:val="center"/>
          </w:tcPr>
          <w:p w14:paraId="29D87D63">
            <w:pPr>
              <w:pStyle w:val="13"/>
            </w:pPr>
            <w:r>
              <w:t>十、卫生健康支出</w:t>
            </w:r>
          </w:p>
        </w:tc>
        <w:tc>
          <w:tcPr>
            <w:tcW w:w="2126" w:type="dxa"/>
            <w:vAlign w:val="center"/>
          </w:tcPr>
          <w:p w14:paraId="0585D446">
            <w:pPr>
              <w:pStyle w:val="14"/>
            </w:pPr>
          </w:p>
        </w:tc>
      </w:tr>
      <w:tr w14:paraId="4F513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07CA5">
            <w:pPr>
              <w:pStyle w:val="12"/>
            </w:pPr>
            <w:r>
              <w:t>11</w:t>
            </w:r>
          </w:p>
        </w:tc>
        <w:tc>
          <w:tcPr>
            <w:tcW w:w="4535" w:type="dxa"/>
            <w:vAlign w:val="center"/>
          </w:tcPr>
          <w:p w14:paraId="3ECBAC31">
            <w:pPr>
              <w:pStyle w:val="13"/>
            </w:pPr>
          </w:p>
        </w:tc>
        <w:tc>
          <w:tcPr>
            <w:tcW w:w="2126" w:type="dxa"/>
            <w:vAlign w:val="center"/>
          </w:tcPr>
          <w:p w14:paraId="6B0BD52F">
            <w:pPr>
              <w:pStyle w:val="14"/>
            </w:pPr>
          </w:p>
        </w:tc>
        <w:tc>
          <w:tcPr>
            <w:tcW w:w="4535" w:type="dxa"/>
            <w:vAlign w:val="center"/>
          </w:tcPr>
          <w:p w14:paraId="785A40A0">
            <w:pPr>
              <w:pStyle w:val="13"/>
            </w:pPr>
            <w:r>
              <w:t>十一、节能环保支出</w:t>
            </w:r>
          </w:p>
        </w:tc>
        <w:tc>
          <w:tcPr>
            <w:tcW w:w="2126" w:type="dxa"/>
            <w:vAlign w:val="center"/>
          </w:tcPr>
          <w:p w14:paraId="1DD837F2">
            <w:pPr>
              <w:pStyle w:val="14"/>
            </w:pPr>
          </w:p>
        </w:tc>
      </w:tr>
      <w:tr w14:paraId="0262E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BC9EC">
            <w:pPr>
              <w:pStyle w:val="12"/>
            </w:pPr>
            <w:r>
              <w:t>12</w:t>
            </w:r>
          </w:p>
        </w:tc>
        <w:tc>
          <w:tcPr>
            <w:tcW w:w="4535" w:type="dxa"/>
            <w:vAlign w:val="center"/>
          </w:tcPr>
          <w:p w14:paraId="6713BB24">
            <w:pPr>
              <w:pStyle w:val="13"/>
            </w:pPr>
          </w:p>
        </w:tc>
        <w:tc>
          <w:tcPr>
            <w:tcW w:w="2126" w:type="dxa"/>
            <w:vAlign w:val="center"/>
          </w:tcPr>
          <w:p w14:paraId="0B974E8F">
            <w:pPr>
              <w:pStyle w:val="14"/>
            </w:pPr>
          </w:p>
        </w:tc>
        <w:tc>
          <w:tcPr>
            <w:tcW w:w="4535" w:type="dxa"/>
            <w:vAlign w:val="center"/>
          </w:tcPr>
          <w:p w14:paraId="60D1F882">
            <w:pPr>
              <w:pStyle w:val="13"/>
            </w:pPr>
            <w:r>
              <w:t>十二、城乡社区支出</w:t>
            </w:r>
          </w:p>
        </w:tc>
        <w:tc>
          <w:tcPr>
            <w:tcW w:w="2126" w:type="dxa"/>
            <w:vAlign w:val="center"/>
          </w:tcPr>
          <w:p w14:paraId="566C2052">
            <w:pPr>
              <w:pStyle w:val="14"/>
            </w:pPr>
          </w:p>
        </w:tc>
      </w:tr>
      <w:tr w14:paraId="50729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DF523">
            <w:pPr>
              <w:pStyle w:val="12"/>
            </w:pPr>
            <w:r>
              <w:t>13</w:t>
            </w:r>
          </w:p>
        </w:tc>
        <w:tc>
          <w:tcPr>
            <w:tcW w:w="4535" w:type="dxa"/>
            <w:vAlign w:val="center"/>
          </w:tcPr>
          <w:p w14:paraId="46958F37">
            <w:pPr>
              <w:pStyle w:val="13"/>
            </w:pPr>
          </w:p>
        </w:tc>
        <w:tc>
          <w:tcPr>
            <w:tcW w:w="2126" w:type="dxa"/>
            <w:vAlign w:val="center"/>
          </w:tcPr>
          <w:p w14:paraId="2935ADD5">
            <w:pPr>
              <w:pStyle w:val="14"/>
            </w:pPr>
          </w:p>
        </w:tc>
        <w:tc>
          <w:tcPr>
            <w:tcW w:w="4535" w:type="dxa"/>
            <w:vAlign w:val="center"/>
          </w:tcPr>
          <w:p w14:paraId="07083B3E">
            <w:pPr>
              <w:pStyle w:val="13"/>
            </w:pPr>
            <w:r>
              <w:t>十三、农林水支出</w:t>
            </w:r>
          </w:p>
        </w:tc>
        <w:tc>
          <w:tcPr>
            <w:tcW w:w="2126" w:type="dxa"/>
            <w:vAlign w:val="center"/>
          </w:tcPr>
          <w:p w14:paraId="4D913A67">
            <w:pPr>
              <w:pStyle w:val="14"/>
            </w:pPr>
          </w:p>
        </w:tc>
      </w:tr>
      <w:tr w14:paraId="12A77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D1D7D">
            <w:pPr>
              <w:pStyle w:val="12"/>
            </w:pPr>
            <w:r>
              <w:t>14</w:t>
            </w:r>
          </w:p>
        </w:tc>
        <w:tc>
          <w:tcPr>
            <w:tcW w:w="4535" w:type="dxa"/>
            <w:vAlign w:val="center"/>
          </w:tcPr>
          <w:p w14:paraId="3A61612B">
            <w:pPr>
              <w:pStyle w:val="13"/>
            </w:pPr>
          </w:p>
        </w:tc>
        <w:tc>
          <w:tcPr>
            <w:tcW w:w="2126" w:type="dxa"/>
            <w:vAlign w:val="center"/>
          </w:tcPr>
          <w:p w14:paraId="58C7989D">
            <w:pPr>
              <w:pStyle w:val="14"/>
            </w:pPr>
          </w:p>
        </w:tc>
        <w:tc>
          <w:tcPr>
            <w:tcW w:w="4535" w:type="dxa"/>
            <w:vAlign w:val="center"/>
          </w:tcPr>
          <w:p w14:paraId="5C210C88">
            <w:pPr>
              <w:pStyle w:val="13"/>
            </w:pPr>
            <w:r>
              <w:t>十四、交通运输支出</w:t>
            </w:r>
          </w:p>
        </w:tc>
        <w:tc>
          <w:tcPr>
            <w:tcW w:w="2126" w:type="dxa"/>
            <w:vAlign w:val="center"/>
          </w:tcPr>
          <w:p w14:paraId="52E550BC">
            <w:pPr>
              <w:pStyle w:val="14"/>
            </w:pPr>
          </w:p>
        </w:tc>
      </w:tr>
      <w:tr w14:paraId="29D30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EC453">
            <w:pPr>
              <w:pStyle w:val="12"/>
            </w:pPr>
            <w:r>
              <w:t>15</w:t>
            </w:r>
          </w:p>
        </w:tc>
        <w:tc>
          <w:tcPr>
            <w:tcW w:w="4535" w:type="dxa"/>
            <w:vAlign w:val="center"/>
          </w:tcPr>
          <w:p w14:paraId="3300B4F8">
            <w:pPr>
              <w:pStyle w:val="13"/>
            </w:pPr>
          </w:p>
        </w:tc>
        <w:tc>
          <w:tcPr>
            <w:tcW w:w="2126" w:type="dxa"/>
            <w:vAlign w:val="center"/>
          </w:tcPr>
          <w:p w14:paraId="3A1C6076">
            <w:pPr>
              <w:pStyle w:val="14"/>
            </w:pPr>
          </w:p>
        </w:tc>
        <w:tc>
          <w:tcPr>
            <w:tcW w:w="4535" w:type="dxa"/>
            <w:vAlign w:val="center"/>
          </w:tcPr>
          <w:p w14:paraId="7D0B7C04">
            <w:pPr>
              <w:pStyle w:val="13"/>
            </w:pPr>
            <w:r>
              <w:t>十五、资源勘探工业信息等支出</w:t>
            </w:r>
          </w:p>
        </w:tc>
        <w:tc>
          <w:tcPr>
            <w:tcW w:w="2126" w:type="dxa"/>
            <w:vAlign w:val="center"/>
          </w:tcPr>
          <w:p w14:paraId="39799725">
            <w:pPr>
              <w:pStyle w:val="14"/>
            </w:pPr>
          </w:p>
        </w:tc>
      </w:tr>
      <w:tr w14:paraId="22232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48B54">
            <w:pPr>
              <w:pStyle w:val="12"/>
            </w:pPr>
            <w:r>
              <w:t>16</w:t>
            </w:r>
          </w:p>
        </w:tc>
        <w:tc>
          <w:tcPr>
            <w:tcW w:w="4535" w:type="dxa"/>
            <w:vAlign w:val="center"/>
          </w:tcPr>
          <w:p w14:paraId="45EE2029">
            <w:pPr>
              <w:pStyle w:val="13"/>
            </w:pPr>
          </w:p>
        </w:tc>
        <w:tc>
          <w:tcPr>
            <w:tcW w:w="2126" w:type="dxa"/>
            <w:vAlign w:val="center"/>
          </w:tcPr>
          <w:p w14:paraId="17BBEF7A">
            <w:pPr>
              <w:pStyle w:val="14"/>
            </w:pPr>
          </w:p>
        </w:tc>
        <w:tc>
          <w:tcPr>
            <w:tcW w:w="4535" w:type="dxa"/>
            <w:vAlign w:val="center"/>
          </w:tcPr>
          <w:p w14:paraId="65417D85">
            <w:pPr>
              <w:pStyle w:val="13"/>
            </w:pPr>
            <w:r>
              <w:t>十六、商业服务业等支出</w:t>
            </w:r>
          </w:p>
        </w:tc>
        <w:tc>
          <w:tcPr>
            <w:tcW w:w="2126" w:type="dxa"/>
            <w:vAlign w:val="center"/>
          </w:tcPr>
          <w:p w14:paraId="30C23276">
            <w:pPr>
              <w:pStyle w:val="14"/>
            </w:pPr>
          </w:p>
        </w:tc>
      </w:tr>
      <w:tr w14:paraId="597D1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6A299">
            <w:pPr>
              <w:pStyle w:val="12"/>
            </w:pPr>
            <w:r>
              <w:t>17</w:t>
            </w:r>
          </w:p>
        </w:tc>
        <w:tc>
          <w:tcPr>
            <w:tcW w:w="4535" w:type="dxa"/>
            <w:vAlign w:val="center"/>
          </w:tcPr>
          <w:p w14:paraId="694DE47C">
            <w:pPr>
              <w:pStyle w:val="13"/>
            </w:pPr>
          </w:p>
        </w:tc>
        <w:tc>
          <w:tcPr>
            <w:tcW w:w="2126" w:type="dxa"/>
            <w:vAlign w:val="center"/>
          </w:tcPr>
          <w:p w14:paraId="7CA95B7D">
            <w:pPr>
              <w:pStyle w:val="14"/>
            </w:pPr>
          </w:p>
        </w:tc>
        <w:tc>
          <w:tcPr>
            <w:tcW w:w="4535" w:type="dxa"/>
            <w:vAlign w:val="center"/>
          </w:tcPr>
          <w:p w14:paraId="4405C095">
            <w:pPr>
              <w:pStyle w:val="13"/>
            </w:pPr>
            <w:r>
              <w:t>十七、金融支出</w:t>
            </w:r>
          </w:p>
        </w:tc>
        <w:tc>
          <w:tcPr>
            <w:tcW w:w="2126" w:type="dxa"/>
            <w:vAlign w:val="center"/>
          </w:tcPr>
          <w:p w14:paraId="7BEE8B28">
            <w:pPr>
              <w:pStyle w:val="14"/>
            </w:pPr>
          </w:p>
        </w:tc>
      </w:tr>
      <w:tr w14:paraId="2CE91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3B63A">
            <w:pPr>
              <w:pStyle w:val="12"/>
            </w:pPr>
            <w:r>
              <w:t>18</w:t>
            </w:r>
          </w:p>
        </w:tc>
        <w:tc>
          <w:tcPr>
            <w:tcW w:w="4535" w:type="dxa"/>
            <w:vAlign w:val="center"/>
          </w:tcPr>
          <w:p w14:paraId="1C25C0F8">
            <w:pPr>
              <w:pStyle w:val="13"/>
            </w:pPr>
          </w:p>
        </w:tc>
        <w:tc>
          <w:tcPr>
            <w:tcW w:w="2126" w:type="dxa"/>
            <w:vAlign w:val="center"/>
          </w:tcPr>
          <w:p w14:paraId="7F550874">
            <w:pPr>
              <w:pStyle w:val="14"/>
            </w:pPr>
          </w:p>
        </w:tc>
        <w:tc>
          <w:tcPr>
            <w:tcW w:w="4535" w:type="dxa"/>
            <w:vAlign w:val="center"/>
          </w:tcPr>
          <w:p w14:paraId="2BA62938">
            <w:pPr>
              <w:pStyle w:val="13"/>
            </w:pPr>
            <w:r>
              <w:t>十八、援助其他地区支出</w:t>
            </w:r>
          </w:p>
        </w:tc>
        <w:tc>
          <w:tcPr>
            <w:tcW w:w="2126" w:type="dxa"/>
            <w:vAlign w:val="center"/>
          </w:tcPr>
          <w:p w14:paraId="453026F3">
            <w:pPr>
              <w:pStyle w:val="14"/>
            </w:pPr>
          </w:p>
        </w:tc>
      </w:tr>
      <w:tr w14:paraId="0C511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ACE75">
            <w:pPr>
              <w:pStyle w:val="12"/>
            </w:pPr>
            <w:r>
              <w:t>19</w:t>
            </w:r>
          </w:p>
        </w:tc>
        <w:tc>
          <w:tcPr>
            <w:tcW w:w="4535" w:type="dxa"/>
            <w:vAlign w:val="center"/>
          </w:tcPr>
          <w:p w14:paraId="20E6B9C7">
            <w:pPr>
              <w:pStyle w:val="13"/>
            </w:pPr>
          </w:p>
        </w:tc>
        <w:tc>
          <w:tcPr>
            <w:tcW w:w="2126" w:type="dxa"/>
            <w:vAlign w:val="center"/>
          </w:tcPr>
          <w:p w14:paraId="31E823AD">
            <w:pPr>
              <w:pStyle w:val="14"/>
            </w:pPr>
          </w:p>
        </w:tc>
        <w:tc>
          <w:tcPr>
            <w:tcW w:w="4535" w:type="dxa"/>
            <w:vAlign w:val="center"/>
          </w:tcPr>
          <w:p w14:paraId="5B42F194">
            <w:pPr>
              <w:pStyle w:val="13"/>
            </w:pPr>
            <w:r>
              <w:t>十九、自然资源海洋气象等支出</w:t>
            </w:r>
          </w:p>
        </w:tc>
        <w:tc>
          <w:tcPr>
            <w:tcW w:w="2126" w:type="dxa"/>
            <w:vAlign w:val="center"/>
          </w:tcPr>
          <w:p w14:paraId="0A033100">
            <w:pPr>
              <w:pStyle w:val="14"/>
            </w:pPr>
          </w:p>
        </w:tc>
      </w:tr>
      <w:tr w14:paraId="248A6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32BB5">
            <w:pPr>
              <w:pStyle w:val="12"/>
            </w:pPr>
            <w:r>
              <w:t>20</w:t>
            </w:r>
          </w:p>
        </w:tc>
        <w:tc>
          <w:tcPr>
            <w:tcW w:w="4535" w:type="dxa"/>
            <w:vAlign w:val="center"/>
          </w:tcPr>
          <w:p w14:paraId="250DD032">
            <w:pPr>
              <w:pStyle w:val="13"/>
            </w:pPr>
          </w:p>
        </w:tc>
        <w:tc>
          <w:tcPr>
            <w:tcW w:w="2126" w:type="dxa"/>
            <w:vAlign w:val="center"/>
          </w:tcPr>
          <w:p w14:paraId="26CDB04B">
            <w:pPr>
              <w:pStyle w:val="14"/>
            </w:pPr>
          </w:p>
        </w:tc>
        <w:tc>
          <w:tcPr>
            <w:tcW w:w="4535" w:type="dxa"/>
            <w:vAlign w:val="center"/>
          </w:tcPr>
          <w:p w14:paraId="6C11FD78">
            <w:pPr>
              <w:pStyle w:val="13"/>
            </w:pPr>
            <w:r>
              <w:t>二十、住房保障支出</w:t>
            </w:r>
          </w:p>
        </w:tc>
        <w:tc>
          <w:tcPr>
            <w:tcW w:w="2126" w:type="dxa"/>
            <w:vAlign w:val="center"/>
          </w:tcPr>
          <w:p w14:paraId="0984DF52">
            <w:pPr>
              <w:pStyle w:val="14"/>
            </w:pPr>
          </w:p>
        </w:tc>
      </w:tr>
      <w:tr w14:paraId="22E75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0F05F">
            <w:pPr>
              <w:pStyle w:val="12"/>
            </w:pPr>
            <w:r>
              <w:t>21</w:t>
            </w:r>
          </w:p>
        </w:tc>
        <w:tc>
          <w:tcPr>
            <w:tcW w:w="4535" w:type="dxa"/>
            <w:vAlign w:val="center"/>
          </w:tcPr>
          <w:p w14:paraId="48D6A650">
            <w:pPr>
              <w:pStyle w:val="13"/>
            </w:pPr>
          </w:p>
        </w:tc>
        <w:tc>
          <w:tcPr>
            <w:tcW w:w="2126" w:type="dxa"/>
            <w:vAlign w:val="center"/>
          </w:tcPr>
          <w:p w14:paraId="3B2F9AFB">
            <w:pPr>
              <w:pStyle w:val="14"/>
            </w:pPr>
          </w:p>
        </w:tc>
        <w:tc>
          <w:tcPr>
            <w:tcW w:w="4535" w:type="dxa"/>
            <w:vAlign w:val="center"/>
          </w:tcPr>
          <w:p w14:paraId="78B1A891">
            <w:pPr>
              <w:pStyle w:val="13"/>
            </w:pPr>
            <w:r>
              <w:t>二十一、粮油物资储备支出</w:t>
            </w:r>
          </w:p>
        </w:tc>
        <w:tc>
          <w:tcPr>
            <w:tcW w:w="2126" w:type="dxa"/>
            <w:vAlign w:val="center"/>
          </w:tcPr>
          <w:p w14:paraId="6621BC98">
            <w:pPr>
              <w:pStyle w:val="14"/>
            </w:pPr>
          </w:p>
        </w:tc>
      </w:tr>
      <w:tr w14:paraId="79540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11254">
            <w:pPr>
              <w:pStyle w:val="12"/>
            </w:pPr>
            <w:r>
              <w:t>22</w:t>
            </w:r>
          </w:p>
        </w:tc>
        <w:tc>
          <w:tcPr>
            <w:tcW w:w="4535" w:type="dxa"/>
            <w:vAlign w:val="center"/>
          </w:tcPr>
          <w:p w14:paraId="54FB61B8">
            <w:pPr>
              <w:pStyle w:val="13"/>
            </w:pPr>
          </w:p>
        </w:tc>
        <w:tc>
          <w:tcPr>
            <w:tcW w:w="2126" w:type="dxa"/>
            <w:vAlign w:val="center"/>
          </w:tcPr>
          <w:p w14:paraId="68C53871">
            <w:pPr>
              <w:pStyle w:val="14"/>
            </w:pPr>
          </w:p>
        </w:tc>
        <w:tc>
          <w:tcPr>
            <w:tcW w:w="4535" w:type="dxa"/>
            <w:vAlign w:val="center"/>
          </w:tcPr>
          <w:p w14:paraId="4C5593A0">
            <w:pPr>
              <w:pStyle w:val="13"/>
            </w:pPr>
            <w:r>
              <w:t>二十二、国有资本经营预算支出</w:t>
            </w:r>
          </w:p>
        </w:tc>
        <w:tc>
          <w:tcPr>
            <w:tcW w:w="2126" w:type="dxa"/>
            <w:vAlign w:val="center"/>
          </w:tcPr>
          <w:p w14:paraId="6AF008FD">
            <w:pPr>
              <w:pStyle w:val="14"/>
            </w:pPr>
          </w:p>
        </w:tc>
      </w:tr>
      <w:tr w14:paraId="68467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25965">
            <w:pPr>
              <w:pStyle w:val="12"/>
            </w:pPr>
            <w:r>
              <w:t>23</w:t>
            </w:r>
          </w:p>
        </w:tc>
        <w:tc>
          <w:tcPr>
            <w:tcW w:w="4535" w:type="dxa"/>
            <w:vAlign w:val="center"/>
          </w:tcPr>
          <w:p w14:paraId="73211346">
            <w:pPr>
              <w:pStyle w:val="13"/>
            </w:pPr>
          </w:p>
        </w:tc>
        <w:tc>
          <w:tcPr>
            <w:tcW w:w="2126" w:type="dxa"/>
            <w:vAlign w:val="center"/>
          </w:tcPr>
          <w:p w14:paraId="369C5E53">
            <w:pPr>
              <w:pStyle w:val="14"/>
            </w:pPr>
          </w:p>
        </w:tc>
        <w:tc>
          <w:tcPr>
            <w:tcW w:w="4535" w:type="dxa"/>
            <w:vAlign w:val="center"/>
          </w:tcPr>
          <w:p w14:paraId="4914F933">
            <w:pPr>
              <w:pStyle w:val="13"/>
            </w:pPr>
            <w:r>
              <w:t>二十三、灾害防治及应急管理支出</w:t>
            </w:r>
          </w:p>
        </w:tc>
        <w:tc>
          <w:tcPr>
            <w:tcW w:w="2126" w:type="dxa"/>
            <w:vAlign w:val="center"/>
          </w:tcPr>
          <w:p w14:paraId="3198DE44">
            <w:pPr>
              <w:pStyle w:val="14"/>
            </w:pPr>
          </w:p>
        </w:tc>
      </w:tr>
      <w:tr w14:paraId="1D2B5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6F5D0">
            <w:pPr>
              <w:pStyle w:val="12"/>
            </w:pPr>
            <w:r>
              <w:t>24</w:t>
            </w:r>
          </w:p>
        </w:tc>
        <w:tc>
          <w:tcPr>
            <w:tcW w:w="4535" w:type="dxa"/>
            <w:vAlign w:val="center"/>
          </w:tcPr>
          <w:p w14:paraId="02116CA0">
            <w:pPr>
              <w:pStyle w:val="13"/>
            </w:pPr>
          </w:p>
        </w:tc>
        <w:tc>
          <w:tcPr>
            <w:tcW w:w="2126" w:type="dxa"/>
            <w:vAlign w:val="center"/>
          </w:tcPr>
          <w:p w14:paraId="50B388F0">
            <w:pPr>
              <w:pStyle w:val="14"/>
            </w:pPr>
          </w:p>
        </w:tc>
        <w:tc>
          <w:tcPr>
            <w:tcW w:w="4535" w:type="dxa"/>
            <w:vAlign w:val="center"/>
          </w:tcPr>
          <w:p w14:paraId="4486F135">
            <w:pPr>
              <w:pStyle w:val="13"/>
            </w:pPr>
            <w:r>
              <w:t>二十四、预备费</w:t>
            </w:r>
          </w:p>
        </w:tc>
        <w:tc>
          <w:tcPr>
            <w:tcW w:w="2126" w:type="dxa"/>
            <w:vAlign w:val="center"/>
          </w:tcPr>
          <w:p w14:paraId="38DAC628">
            <w:pPr>
              <w:pStyle w:val="14"/>
            </w:pPr>
          </w:p>
        </w:tc>
      </w:tr>
      <w:tr w14:paraId="18412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1A132">
            <w:pPr>
              <w:pStyle w:val="12"/>
            </w:pPr>
            <w:r>
              <w:t>25</w:t>
            </w:r>
          </w:p>
        </w:tc>
        <w:tc>
          <w:tcPr>
            <w:tcW w:w="4535" w:type="dxa"/>
            <w:vAlign w:val="center"/>
          </w:tcPr>
          <w:p w14:paraId="1E850676">
            <w:pPr>
              <w:pStyle w:val="13"/>
            </w:pPr>
          </w:p>
        </w:tc>
        <w:tc>
          <w:tcPr>
            <w:tcW w:w="2126" w:type="dxa"/>
            <w:vAlign w:val="center"/>
          </w:tcPr>
          <w:p w14:paraId="7BB8F390">
            <w:pPr>
              <w:pStyle w:val="14"/>
            </w:pPr>
          </w:p>
        </w:tc>
        <w:tc>
          <w:tcPr>
            <w:tcW w:w="4535" w:type="dxa"/>
            <w:vAlign w:val="center"/>
          </w:tcPr>
          <w:p w14:paraId="2EAFD1A8">
            <w:pPr>
              <w:pStyle w:val="13"/>
            </w:pPr>
            <w:r>
              <w:t>二十五、其他支出</w:t>
            </w:r>
          </w:p>
        </w:tc>
        <w:tc>
          <w:tcPr>
            <w:tcW w:w="2126" w:type="dxa"/>
            <w:vAlign w:val="center"/>
          </w:tcPr>
          <w:p w14:paraId="29AF95F2">
            <w:pPr>
              <w:pStyle w:val="14"/>
            </w:pPr>
          </w:p>
        </w:tc>
      </w:tr>
      <w:tr w14:paraId="1514C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746A2">
            <w:pPr>
              <w:pStyle w:val="12"/>
            </w:pPr>
            <w:r>
              <w:t>26</w:t>
            </w:r>
          </w:p>
        </w:tc>
        <w:tc>
          <w:tcPr>
            <w:tcW w:w="4535" w:type="dxa"/>
            <w:vAlign w:val="center"/>
          </w:tcPr>
          <w:p w14:paraId="7212BF88">
            <w:pPr>
              <w:pStyle w:val="13"/>
            </w:pPr>
          </w:p>
        </w:tc>
        <w:tc>
          <w:tcPr>
            <w:tcW w:w="2126" w:type="dxa"/>
            <w:vAlign w:val="center"/>
          </w:tcPr>
          <w:p w14:paraId="7C181E13">
            <w:pPr>
              <w:pStyle w:val="14"/>
            </w:pPr>
          </w:p>
        </w:tc>
        <w:tc>
          <w:tcPr>
            <w:tcW w:w="4535" w:type="dxa"/>
            <w:vAlign w:val="center"/>
          </w:tcPr>
          <w:p w14:paraId="36E10A87">
            <w:pPr>
              <w:pStyle w:val="13"/>
            </w:pPr>
            <w:r>
              <w:t>二十六、转移性支出</w:t>
            </w:r>
          </w:p>
        </w:tc>
        <w:tc>
          <w:tcPr>
            <w:tcW w:w="2126" w:type="dxa"/>
            <w:vAlign w:val="center"/>
          </w:tcPr>
          <w:p w14:paraId="68EF8A8D">
            <w:pPr>
              <w:pStyle w:val="14"/>
            </w:pPr>
          </w:p>
        </w:tc>
      </w:tr>
      <w:tr w14:paraId="51D0F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A2D1A">
            <w:pPr>
              <w:pStyle w:val="12"/>
            </w:pPr>
            <w:r>
              <w:t>27</w:t>
            </w:r>
          </w:p>
        </w:tc>
        <w:tc>
          <w:tcPr>
            <w:tcW w:w="4535" w:type="dxa"/>
            <w:vAlign w:val="center"/>
          </w:tcPr>
          <w:p w14:paraId="56E091A3">
            <w:pPr>
              <w:pStyle w:val="13"/>
            </w:pPr>
          </w:p>
        </w:tc>
        <w:tc>
          <w:tcPr>
            <w:tcW w:w="2126" w:type="dxa"/>
            <w:vAlign w:val="center"/>
          </w:tcPr>
          <w:p w14:paraId="06C3F98B">
            <w:pPr>
              <w:pStyle w:val="14"/>
            </w:pPr>
          </w:p>
        </w:tc>
        <w:tc>
          <w:tcPr>
            <w:tcW w:w="4535" w:type="dxa"/>
            <w:vAlign w:val="center"/>
          </w:tcPr>
          <w:p w14:paraId="2D80D5A0">
            <w:pPr>
              <w:pStyle w:val="13"/>
            </w:pPr>
            <w:r>
              <w:t>二十七、债务还本支出</w:t>
            </w:r>
          </w:p>
        </w:tc>
        <w:tc>
          <w:tcPr>
            <w:tcW w:w="2126" w:type="dxa"/>
            <w:vAlign w:val="center"/>
          </w:tcPr>
          <w:p w14:paraId="07CC9A16">
            <w:pPr>
              <w:pStyle w:val="14"/>
            </w:pPr>
          </w:p>
        </w:tc>
      </w:tr>
      <w:tr w14:paraId="1D2FA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467CF">
            <w:pPr>
              <w:pStyle w:val="12"/>
            </w:pPr>
            <w:r>
              <w:t>28</w:t>
            </w:r>
          </w:p>
        </w:tc>
        <w:tc>
          <w:tcPr>
            <w:tcW w:w="4535" w:type="dxa"/>
            <w:vAlign w:val="center"/>
          </w:tcPr>
          <w:p w14:paraId="7F911CF5">
            <w:pPr>
              <w:pStyle w:val="13"/>
            </w:pPr>
          </w:p>
        </w:tc>
        <w:tc>
          <w:tcPr>
            <w:tcW w:w="2126" w:type="dxa"/>
            <w:vAlign w:val="center"/>
          </w:tcPr>
          <w:p w14:paraId="0B65C133">
            <w:pPr>
              <w:pStyle w:val="14"/>
            </w:pPr>
          </w:p>
        </w:tc>
        <w:tc>
          <w:tcPr>
            <w:tcW w:w="4535" w:type="dxa"/>
            <w:vAlign w:val="center"/>
          </w:tcPr>
          <w:p w14:paraId="7739A82D">
            <w:pPr>
              <w:pStyle w:val="13"/>
            </w:pPr>
            <w:r>
              <w:t>二十八、债务付息支出</w:t>
            </w:r>
          </w:p>
        </w:tc>
        <w:tc>
          <w:tcPr>
            <w:tcW w:w="2126" w:type="dxa"/>
            <w:vAlign w:val="center"/>
          </w:tcPr>
          <w:p w14:paraId="61029195">
            <w:pPr>
              <w:pStyle w:val="14"/>
            </w:pPr>
          </w:p>
        </w:tc>
      </w:tr>
      <w:tr w14:paraId="66985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9B3D6">
            <w:pPr>
              <w:pStyle w:val="12"/>
            </w:pPr>
            <w:r>
              <w:t>29</w:t>
            </w:r>
          </w:p>
        </w:tc>
        <w:tc>
          <w:tcPr>
            <w:tcW w:w="4535" w:type="dxa"/>
            <w:vAlign w:val="center"/>
          </w:tcPr>
          <w:p w14:paraId="07415D8C">
            <w:pPr>
              <w:pStyle w:val="13"/>
            </w:pPr>
          </w:p>
        </w:tc>
        <w:tc>
          <w:tcPr>
            <w:tcW w:w="2126" w:type="dxa"/>
            <w:vAlign w:val="center"/>
          </w:tcPr>
          <w:p w14:paraId="791C04E8">
            <w:pPr>
              <w:pStyle w:val="14"/>
            </w:pPr>
          </w:p>
        </w:tc>
        <w:tc>
          <w:tcPr>
            <w:tcW w:w="4535" w:type="dxa"/>
            <w:vAlign w:val="center"/>
          </w:tcPr>
          <w:p w14:paraId="445CA9AB">
            <w:pPr>
              <w:pStyle w:val="13"/>
            </w:pPr>
            <w:r>
              <w:t>二十九、债务发行费用支出</w:t>
            </w:r>
          </w:p>
        </w:tc>
        <w:tc>
          <w:tcPr>
            <w:tcW w:w="2126" w:type="dxa"/>
            <w:vAlign w:val="center"/>
          </w:tcPr>
          <w:p w14:paraId="34407C09">
            <w:pPr>
              <w:pStyle w:val="14"/>
            </w:pPr>
          </w:p>
        </w:tc>
      </w:tr>
      <w:tr w14:paraId="5F713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CBE58">
            <w:pPr>
              <w:pStyle w:val="12"/>
            </w:pPr>
            <w:r>
              <w:t>30</w:t>
            </w:r>
          </w:p>
        </w:tc>
        <w:tc>
          <w:tcPr>
            <w:tcW w:w="4535" w:type="dxa"/>
            <w:vAlign w:val="center"/>
          </w:tcPr>
          <w:p w14:paraId="02054657">
            <w:pPr>
              <w:pStyle w:val="13"/>
            </w:pPr>
          </w:p>
        </w:tc>
        <w:tc>
          <w:tcPr>
            <w:tcW w:w="2126" w:type="dxa"/>
            <w:vAlign w:val="center"/>
          </w:tcPr>
          <w:p w14:paraId="5A6C1F84">
            <w:pPr>
              <w:pStyle w:val="14"/>
            </w:pPr>
          </w:p>
        </w:tc>
        <w:tc>
          <w:tcPr>
            <w:tcW w:w="4535" w:type="dxa"/>
            <w:vAlign w:val="center"/>
          </w:tcPr>
          <w:p w14:paraId="09748293">
            <w:pPr>
              <w:pStyle w:val="13"/>
            </w:pPr>
            <w:r>
              <w:t>三十、抗疫特别国债安排的支出</w:t>
            </w:r>
          </w:p>
        </w:tc>
        <w:tc>
          <w:tcPr>
            <w:tcW w:w="2126" w:type="dxa"/>
            <w:vAlign w:val="center"/>
          </w:tcPr>
          <w:p w14:paraId="04C309A9">
            <w:pPr>
              <w:pStyle w:val="14"/>
            </w:pPr>
          </w:p>
        </w:tc>
      </w:tr>
      <w:tr w14:paraId="6AB81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FA22B">
            <w:pPr>
              <w:pStyle w:val="12"/>
            </w:pPr>
            <w:r>
              <w:t>31</w:t>
            </w:r>
          </w:p>
        </w:tc>
        <w:tc>
          <w:tcPr>
            <w:tcW w:w="4535" w:type="dxa"/>
            <w:vAlign w:val="center"/>
          </w:tcPr>
          <w:p w14:paraId="2836CFE5">
            <w:pPr>
              <w:pStyle w:val="13"/>
            </w:pPr>
          </w:p>
        </w:tc>
        <w:tc>
          <w:tcPr>
            <w:tcW w:w="2126" w:type="dxa"/>
            <w:vAlign w:val="center"/>
          </w:tcPr>
          <w:p w14:paraId="1AC57AA2">
            <w:pPr>
              <w:pStyle w:val="14"/>
            </w:pPr>
          </w:p>
        </w:tc>
        <w:tc>
          <w:tcPr>
            <w:tcW w:w="4535" w:type="dxa"/>
            <w:vAlign w:val="center"/>
          </w:tcPr>
          <w:p w14:paraId="67FE230B">
            <w:pPr>
              <w:pStyle w:val="13"/>
            </w:pPr>
            <w:r>
              <w:t>三十一、人行科目</w:t>
            </w:r>
          </w:p>
        </w:tc>
        <w:tc>
          <w:tcPr>
            <w:tcW w:w="2126" w:type="dxa"/>
            <w:vAlign w:val="center"/>
          </w:tcPr>
          <w:p w14:paraId="28886BC1">
            <w:pPr>
              <w:pStyle w:val="14"/>
            </w:pPr>
          </w:p>
        </w:tc>
      </w:tr>
      <w:tr w14:paraId="4E12E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6F606">
            <w:pPr>
              <w:pStyle w:val="12"/>
            </w:pPr>
            <w:r>
              <w:t>32</w:t>
            </w:r>
          </w:p>
        </w:tc>
        <w:tc>
          <w:tcPr>
            <w:tcW w:w="4535" w:type="dxa"/>
            <w:vAlign w:val="center"/>
          </w:tcPr>
          <w:p w14:paraId="2CCE50BF">
            <w:pPr>
              <w:pStyle w:val="15"/>
            </w:pPr>
            <w:r>
              <w:t>本年收入合计</w:t>
            </w:r>
          </w:p>
        </w:tc>
        <w:tc>
          <w:tcPr>
            <w:tcW w:w="2126" w:type="dxa"/>
            <w:vAlign w:val="center"/>
          </w:tcPr>
          <w:p w14:paraId="008DD64E">
            <w:pPr>
              <w:pStyle w:val="16"/>
            </w:pPr>
            <w:r>
              <w:t>979.75</w:t>
            </w:r>
          </w:p>
        </w:tc>
        <w:tc>
          <w:tcPr>
            <w:tcW w:w="4535" w:type="dxa"/>
            <w:vAlign w:val="center"/>
          </w:tcPr>
          <w:p w14:paraId="696A4139">
            <w:pPr>
              <w:pStyle w:val="15"/>
            </w:pPr>
            <w:r>
              <w:t>本年支出合计</w:t>
            </w:r>
          </w:p>
        </w:tc>
        <w:tc>
          <w:tcPr>
            <w:tcW w:w="2126" w:type="dxa"/>
            <w:vAlign w:val="center"/>
          </w:tcPr>
          <w:p w14:paraId="78853A5F">
            <w:pPr>
              <w:pStyle w:val="16"/>
            </w:pPr>
            <w:r>
              <w:t>979.75</w:t>
            </w:r>
          </w:p>
        </w:tc>
      </w:tr>
      <w:tr w14:paraId="2B6E6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AE54B">
            <w:pPr>
              <w:pStyle w:val="12"/>
            </w:pPr>
            <w:r>
              <w:t>33</w:t>
            </w:r>
          </w:p>
        </w:tc>
        <w:tc>
          <w:tcPr>
            <w:tcW w:w="4535" w:type="dxa"/>
            <w:vAlign w:val="center"/>
          </w:tcPr>
          <w:p w14:paraId="35CC8D23">
            <w:pPr>
              <w:pStyle w:val="13"/>
            </w:pPr>
            <w:r>
              <w:t>上年结转结余</w:t>
            </w:r>
          </w:p>
        </w:tc>
        <w:tc>
          <w:tcPr>
            <w:tcW w:w="2126" w:type="dxa"/>
            <w:vAlign w:val="center"/>
          </w:tcPr>
          <w:p w14:paraId="4ECF22CC">
            <w:pPr>
              <w:pStyle w:val="14"/>
            </w:pPr>
          </w:p>
        </w:tc>
        <w:tc>
          <w:tcPr>
            <w:tcW w:w="4535" w:type="dxa"/>
            <w:vAlign w:val="center"/>
          </w:tcPr>
          <w:p w14:paraId="74717CF0">
            <w:pPr>
              <w:pStyle w:val="13"/>
            </w:pPr>
            <w:r>
              <w:t>年终结转结余</w:t>
            </w:r>
          </w:p>
        </w:tc>
        <w:tc>
          <w:tcPr>
            <w:tcW w:w="2126" w:type="dxa"/>
            <w:vAlign w:val="center"/>
          </w:tcPr>
          <w:p w14:paraId="3E93F0BA">
            <w:pPr>
              <w:pStyle w:val="14"/>
            </w:pPr>
          </w:p>
        </w:tc>
      </w:tr>
      <w:tr w14:paraId="0F5E4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AF7B8">
            <w:pPr>
              <w:pStyle w:val="12"/>
            </w:pPr>
            <w:r>
              <w:t>34</w:t>
            </w:r>
          </w:p>
        </w:tc>
        <w:tc>
          <w:tcPr>
            <w:tcW w:w="4535" w:type="dxa"/>
            <w:vAlign w:val="center"/>
          </w:tcPr>
          <w:p w14:paraId="7BFF5822">
            <w:pPr>
              <w:pStyle w:val="15"/>
            </w:pPr>
            <w:r>
              <w:t>收入总计</w:t>
            </w:r>
          </w:p>
        </w:tc>
        <w:tc>
          <w:tcPr>
            <w:tcW w:w="2126" w:type="dxa"/>
            <w:vAlign w:val="center"/>
          </w:tcPr>
          <w:p w14:paraId="167CA9FB">
            <w:pPr>
              <w:pStyle w:val="16"/>
            </w:pPr>
            <w:r>
              <w:t>979.75</w:t>
            </w:r>
          </w:p>
        </w:tc>
        <w:tc>
          <w:tcPr>
            <w:tcW w:w="4535" w:type="dxa"/>
            <w:vAlign w:val="center"/>
          </w:tcPr>
          <w:p w14:paraId="706C6675">
            <w:pPr>
              <w:pStyle w:val="15"/>
            </w:pPr>
            <w:r>
              <w:t>支出总计</w:t>
            </w:r>
          </w:p>
        </w:tc>
        <w:tc>
          <w:tcPr>
            <w:tcW w:w="2126" w:type="dxa"/>
            <w:vAlign w:val="center"/>
          </w:tcPr>
          <w:p w14:paraId="13057FD1">
            <w:pPr>
              <w:pStyle w:val="16"/>
            </w:pPr>
            <w:r>
              <w:t>979.75</w:t>
            </w:r>
          </w:p>
        </w:tc>
      </w:tr>
    </w:tbl>
    <w:p w14:paraId="43239AF3">
      <w:pPr>
        <w:sectPr>
          <w:pgSz w:w="16840" w:h="11900" w:orient="landscape"/>
          <w:pgMar w:top="1361" w:right="1020" w:bottom="1134" w:left="1020" w:header="720" w:footer="720" w:gutter="0"/>
          <w:cols w:space="720" w:num="1"/>
        </w:sectPr>
      </w:pPr>
    </w:p>
    <w:p w14:paraId="4D82E3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F8F9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858D2F">
            <w:pPr>
              <w:pStyle w:val="8"/>
            </w:pPr>
            <w:r>
              <w:t>360037隆尧县第三实验小学</w:t>
            </w:r>
          </w:p>
        </w:tc>
        <w:tc>
          <w:tcPr>
            <w:tcW w:w="3402" w:type="dxa"/>
            <w:gridSpan w:val="3"/>
            <w:tcBorders>
              <w:top w:val="single" w:color="FFFFFF" w:sz="6" w:space="0"/>
              <w:left w:val="single" w:color="FFFFFF" w:sz="6" w:space="0"/>
              <w:right w:val="single" w:color="FFFFFF" w:sz="6" w:space="0"/>
            </w:tcBorders>
            <w:vAlign w:val="center"/>
          </w:tcPr>
          <w:p w14:paraId="5C89165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D3F3E38">
            <w:pPr>
              <w:pStyle w:val="10"/>
            </w:pPr>
            <w:r>
              <w:t>单位：万元</w:t>
            </w:r>
          </w:p>
        </w:tc>
      </w:tr>
      <w:tr w14:paraId="16024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2A5AF3">
            <w:pPr>
              <w:pStyle w:val="11"/>
            </w:pPr>
            <w:r>
              <w:t>序号</w:t>
            </w:r>
          </w:p>
        </w:tc>
        <w:tc>
          <w:tcPr>
            <w:tcW w:w="2551" w:type="dxa"/>
            <w:gridSpan w:val="2"/>
            <w:vAlign w:val="center"/>
          </w:tcPr>
          <w:p w14:paraId="1DF11D6C">
            <w:pPr>
              <w:pStyle w:val="11"/>
            </w:pPr>
            <w:r>
              <w:t>功能分类科目</w:t>
            </w:r>
          </w:p>
        </w:tc>
        <w:tc>
          <w:tcPr>
            <w:tcW w:w="1134" w:type="dxa"/>
            <w:vMerge w:val="restart"/>
            <w:vAlign w:val="center"/>
          </w:tcPr>
          <w:p w14:paraId="180D51E3">
            <w:pPr>
              <w:pStyle w:val="11"/>
            </w:pPr>
            <w:r>
              <w:t>合计</w:t>
            </w:r>
          </w:p>
        </w:tc>
        <w:tc>
          <w:tcPr>
            <w:tcW w:w="9072" w:type="dxa"/>
            <w:gridSpan w:val="8"/>
            <w:vAlign w:val="center"/>
          </w:tcPr>
          <w:p w14:paraId="072FEAFB">
            <w:pPr>
              <w:pStyle w:val="11"/>
            </w:pPr>
            <w:r>
              <w:t>本年收入</w:t>
            </w:r>
          </w:p>
        </w:tc>
        <w:tc>
          <w:tcPr>
            <w:tcW w:w="1134" w:type="dxa"/>
            <w:vMerge w:val="restart"/>
            <w:vAlign w:val="center"/>
          </w:tcPr>
          <w:p w14:paraId="6B1B4EC4">
            <w:pPr>
              <w:pStyle w:val="11"/>
            </w:pPr>
            <w:r>
              <w:t>上年结转</w:t>
            </w:r>
          </w:p>
        </w:tc>
      </w:tr>
      <w:tr w14:paraId="1CE0D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6CAAB5"/>
        </w:tc>
        <w:tc>
          <w:tcPr>
            <w:tcW w:w="992" w:type="dxa"/>
            <w:vAlign w:val="center"/>
          </w:tcPr>
          <w:p w14:paraId="24AD344F">
            <w:pPr>
              <w:pStyle w:val="11"/>
            </w:pPr>
            <w:r>
              <w:t>科目    编码</w:t>
            </w:r>
          </w:p>
        </w:tc>
        <w:tc>
          <w:tcPr>
            <w:tcW w:w="1559" w:type="dxa"/>
            <w:vAlign w:val="center"/>
          </w:tcPr>
          <w:p w14:paraId="790022E5">
            <w:pPr>
              <w:pStyle w:val="11"/>
            </w:pPr>
            <w:r>
              <w:t>科目名称</w:t>
            </w:r>
          </w:p>
        </w:tc>
        <w:tc>
          <w:tcPr>
            <w:tcW w:w="1134" w:type="dxa"/>
            <w:vMerge w:val="continue"/>
          </w:tcPr>
          <w:p w14:paraId="15A664F0"/>
        </w:tc>
        <w:tc>
          <w:tcPr>
            <w:tcW w:w="1134" w:type="dxa"/>
            <w:vAlign w:val="center"/>
          </w:tcPr>
          <w:p w14:paraId="50E29B3D">
            <w:pPr>
              <w:pStyle w:val="11"/>
            </w:pPr>
            <w:r>
              <w:t>小计</w:t>
            </w:r>
          </w:p>
        </w:tc>
        <w:tc>
          <w:tcPr>
            <w:tcW w:w="1134" w:type="dxa"/>
            <w:vAlign w:val="center"/>
          </w:tcPr>
          <w:p w14:paraId="7284A6DD">
            <w:pPr>
              <w:pStyle w:val="11"/>
            </w:pPr>
            <w:r>
              <w:t>财政拨款 收入</w:t>
            </w:r>
          </w:p>
        </w:tc>
        <w:tc>
          <w:tcPr>
            <w:tcW w:w="1134" w:type="dxa"/>
            <w:vAlign w:val="center"/>
          </w:tcPr>
          <w:p w14:paraId="241BFB5C">
            <w:pPr>
              <w:pStyle w:val="11"/>
            </w:pPr>
            <w:r>
              <w:t>财政专户 收入</w:t>
            </w:r>
          </w:p>
        </w:tc>
        <w:tc>
          <w:tcPr>
            <w:tcW w:w="1134" w:type="dxa"/>
            <w:vAlign w:val="center"/>
          </w:tcPr>
          <w:p w14:paraId="7E69E14F">
            <w:pPr>
              <w:pStyle w:val="11"/>
            </w:pPr>
            <w:r>
              <w:t>事业收入</w:t>
            </w:r>
          </w:p>
        </w:tc>
        <w:tc>
          <w:tcPr>
            <w:tcW w:w="1134" w:type="dxa"/>
            <w:vAlign w:val="center"/>
          </w:tcPr>
          <w:p w14:paraId="09831172">
            <w:pPr>
              <w:pStyle w:val="11"/>
            </w:pPr>
            <w:r>
              <w:t>经营收入</w:t>
            </w:r>
          </w:p>
        </w:tc>
        <w:tc>
          <w:tcPr>
            <w:tcW w:w="1134" w:type="dxa"/>
            <w:vAlign w:val="center"/>
          </w:tcPr>
          <w:p w14:paraId="263F5962">
            <w:pPr>
              <w:pStyle w:val="11"/>
            </w:pPr>
            <w:r>
              <w:t>上级补助收入</w:t>
            </w:r>
          </w:p>
        </w:tc>
        <w:tc>
          <w:tcPr>
            <w:tcW w:w="1134" w:type="dxa"/>
            <w:vAlign w:val="center"/>
          </w:tcPr>
          <w:p w14:paraId="084CFD15">
            <w:pPr>
              <w:pStyle w:val="11"/>
            </w:pPr>
            <w:r>
              <w:t>附属单位上缴收入</w:t>
            </w:r>
          </w:p>
        </w:tc>
        <w:tc>
          <w:tcPr>
            <w:tcW w:w="1134" w:type="dxa"/>
            <w:vAlign w:val="center"/>
          </w:tcPr>
          <w:p w14:paraId="3F71C46B">
            <w:pPr>
              <w:pStyle w:val="11"/>
            </w:pPr>
            <w:r>
              <w:t>其他收入</w:t>
            </w:r>
          </w:p>
        </w:tc>
        <w:tc>
          <w:tcPr>
            <w:tcW w:w="1134" w:type="dxa"/>
            <w:vMerge w:val="continue"/>
          </w:tcPr>
          <w:p w14:paraId="412C267C"/>
        </w:tc>
      </w:tr>
      <w:tr w14:paraId="0905C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7A1A01">
            <w:pPr>
              <w:pStyle w:val="11"/>
            </w:pPr>
            <w:r>
              <w:t>栏次</w:t>
            </w:r>
          </w:p>
        </w:tc>
        <w:tc>
          <w:tcPr>
            <w:tcW w:w="992" w:type="dxa"/>
            <w:vAlign w:val="center"/>
          </w:tcPr>
          <w:p w14:paraId="44B35FFB">
            <w:pPr>
              <w:pStyle w:val="11"/>
            </w:pPr>
            <w:r>
              <w:t>1</w:t>
            </w:r>
          </w:p>
        </w:tc>
        <w:tc>
          <w:tcPr>
            <w:tcW w:w="1559" w:type="dxa"/>
            <w:vAlign w:val="center"/>
          </w:tcPr>
          <w:p w14:paraId="476CB79A">
            <w:pPr>
              <w:pStyle w:val="11"/>
            </w:pPr>
            <w:r>
              <w:t>2</w:t>
            </w:r>
          </w:p>
        </w:tc>
        <w:tc>
          <w:tcPr>
            <w:tcW w:w="1134" w:type="dxa"/>
            <w:vAlign w:val="center"/>
          </w:tcPr>
          <w:p w14:paraId="1127D75A">
            <w:pPr>
              <w:pStyle w:val="11"/>
            </w:pPr>
            <w:r>
              <w:t>3</w:t>
            </w:r>
          </w:p>
        </w:tc>
        <w:tc>
          <w:tcPr>
            <w:tcW w:w="1134" w:type="dxa"/>
            <w:vAlign w:val="center"/>
          </w:tcPr>
          <w:p w14:paraId="40EA14C4">
            <w:pPr>
              <w:pStyle w:val="11"/>
            </w:pPr>
            <w:r>
              <w:t>4</w:t>
            </w:r>
          </w:p>
        </w:tc>
        <w:tc>
          <w:tcPr>
            <w:tcW w:w="1134" w:type="dxa"/>
            <w:vAlign w:val="center"/>
          </w:tcPr>
          <w:p w14:paraId="2A88464B">
            <w:pPr>
              <w:pStyle w:val="11"/>
            </w:pPr>
            <w:r>
              <w:t>5</w:t>
            </w:r>
          </w:p>
        </w:tc>
        <w:tc>
          <w:tcPr>
            <w:tcW w:w="1134" w:type="dxa"/>
            <w:vAlign w:val="center"/>
          </w:tcPr>
          <w:p w14:paraId="57BB3426">
            <w:pPr>
              <w:pStyle w:val="11"/>
            </w:pPr>
            <w:r>
              <w:t>6</w:t>
            </w:r>
          </w:p>
        </w:tc>
        <w:tc>
          <w:tcPr>
            <w:tcW w:w="1134" w:type="dxa"/>
            <w:vAlign w:val="center"/>
          </w:tcPr>
          <w:p w14:paraId="2128F6F7">
            <w:pPr>
              <w:pStyle w:val="11"/>
            </w:pPr>
            <w:r>
              <w:t>7</w:t>
            </w:r>
          </w:p>
        </w:tc>
        <w:tc>
          <w:tcPr>
            <w:tcW w:w="1134" w:type="dxa"/>
            <w:vAlign w:val="center"/>
          </w:tcPr>
          <w:p w14:paraId="45547C67">
            <w:pPr>
              <w:pStyle w:val="11"/>
            </w:pPr>
            <w:r>
              <w:t>8</w:t>
            </w:r>
          </w:p>
        </w:tc>
        <w:tc>
          <w:tcPr>
            <w:tcW w:w="1134" w:type="dxa"/>
            <w:vAlign w:val="center"/>
          </w:tcPr>
          <w:p w14:paraId="5348D5CB">
            <w:pPr>
              <w:pStyle w:val="11"/>
            </w:pPr>
            <w:r>
              <w:t>9</w:t>
            </w:r>
          </w:p>
        </w:tc>
        <w:tc>
          <w:tcPr>
            <w:tcW w:w="1134" w:type="dxa"/>
            <w:vAlign w:val="center"/>
          </w:tcPr>
          <w:p w14:paraId="7B969A15">
            <w:pPr>
              <w:pStyle w:val="11"/>
            </w:pPr>
            <w:r>
              <w:t>10</w:t>
            </w:r>
          </w:p>
        </w:tc>
        <w:tc>
          <w:tcPr>
            <w:tcW w:w="1134" w:type="dxa"/>
            <w:vAlign w:val="center"/>
          </w:tcPr>
          <w:p w14:paraId="117BC2F2">
            <w:pPr>
              <w:pStyle w:val="11"/>
            </w:pPr>
            <w:r>
              <w:t>11</w:t>
            </w:r>
          </w:p>
        </w:tc>
        <w:tc>
          <w:tcPr>
            <w:tcW w:w="1134" w:type="dxa"/>
            <w:vAlign w:val="center"/>
          </w:tcPr>
          <w:p w14:paraId="60016B44">
            <w:pPr>
              <w:pStyle w:val="11"/>
            </w:pPr>
            <w:r>
              <w:t>12</w:t>
            </w:r>
          </w:p>
        </w:tc>
      </w:tr>
      <w:tr w14:paraId="16C4A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9B1EB1">
            <w:pPr>
              <w:pStyle w:val="12"/>
            </w:pPr>
            <w:r>
              <w:t>1</w:t>
            </w:r>
          </w:p>
        </w:tc>
        <w:tc>
          <w:tcPr>
            <w:tcW w:w="992" w:type="dxa"/>
            <w:vAlign w:val="center"/>
          </w:tcPr>
          <w:p w14:paraId="57B11D4D">
            <w:pPr>
              <w:pStyle w:val="17"/>
            </w:pPr>
          </w:p>
        </w:tc>
        <w:tc>
          <w:tcPr>
            <w:tcW w:w="1559" w:type="dxa"/>
            <w:vAlign w:val="center"/>
          </w:tcPr>
          <w:p w14:paraId="08DFCAE0">
            <w:pPr>
              <w:pStyle w:val="15"/>
            </w:pPr>
            <w:r>
              <w:t>合计</w:t>
            </w:r>
          </w:p>
        </w:tc>
        <w:tc>
          <w:tcPr>
            <w:tcW w:w="1134" w:type="dxa"/>
            <w:vAlign w:val="center"/>
          </w:tcPr>
          <w:p w14:paraId="2467B926">
            <w:pPr>
              <w:pStyle w:val="16"/>
            </w:pPr>
            <w:r>
              <w:t>979.75</w:t>
            </w:r>
          </w:p>
        </w:tc>
        <w:tc>
          <w:tcPr>
            <w:tcW w:w="1134" w:type="dxa"/>
            <w:vAlign w:val="center"/>
          </w:tcPr>
          <w:p w14:paraId="14E7E556">
            <w:pPr>
              <w:pStyle w:val="16"/>
            </w:pPr>
            <w:r>
              <w:t>979.75</w:t>
            </w:r>
          </w:p>
        </w:tc>
        <w:tc>
          <w:tcPr>
            <w:tcW w:w="1134" w:type="dxa"/>
            <w:vAlign w:val="center"/>
          </w:tcPr>
          <w:p w14:paraId="053278D8">
            <w:pPr>
              <w:pStyle w:val="16"/>
            </w:pPr>
            <w:r>
              <w:t>979.75</w:t>
            </w:r>
          </w:p>
        </w:tc>
        <w:tc>
          <w:tcPr>
            <w:tcW w:w="1134" w:type="dxa"/>
            <w:vAlign w:val="center"/>
          </w:tcPr>
          <w:p w14:paraId="20E2558C">
            <w:pPr>
              <w:pStyle w:val="16"/>
            </w:pPr>
          </w:p>
        </w:tc>
        <w:tc>
          <w:tcPr>
            <w:tcW w:w="1134" w:type="dxa"/>
            <w:vAlign w:val="center"/>
          </w:tcPr>
          <w:p w14:paraId="538020D7">
            <w:pPr>
              <w:pStyle w:val="16"/>
            </w:pPr>
          </w:p>
        </w:tc>
        <w:tc>
          <w:tcPr>
            <w:tcW w:w="1134" w:type="dxa"/>
            <w:vAlign w:val="center"/>
          </w:tcPr>
          <w:p w14:paraId="0A9A890C">
            <w:pPr>
              <w:pStyle w:val="16"/>
            </w:pPr>
          </w:p>
        </w:tc>
        <w:tc>
          <w:tcPr>
            <w:tcW w:w="1134" w:type="dxa"/>
            <w:vAlign w:val="center"/>
          </w:tcPr>
          <w:p w14:paraId="4C7AEF2B">
            <w:pPr>
              <w:pStyle w:val="16"/>
            </w:pPr>
          </w:p>
        </w:tc>
        <w:tc>
          <w:tcPr>
            <w:tcW w:w="1134" w:type="dxa"/>
            <w:vAlign w:val="center"/>
          </w:tcPr>
          <w:p w14:paraId="29681246">
            <w:pPr>
              <w:pStyle w:val="16"/>
            </w:pPr>
          </w:p>
        </w:tc>
        <w:tc>
          <w:tcPr>
            <w:tcW w:w="1134" w:type="dxa"/>
            <w:vAlign w:val="center"/>
          </w:tcPr>
          <w:p w14:paraId="33BEF4D3">
            <w:pPr>
              <w:pStyle w:val="16"/>
            </w:pPr>
          </w:p>
        </w:tc>
        <w:tc>
          <w:tcPr>
            <w:tcW w:w="1134" w:type="dxa"/>
            <w:vAlign w:val="center"/>
          </w:tcPr>
          <w:p w14:paraId="06CF430D">
            <w:pPr>
              <w:pStyle w:val="16"/>
            </w:pPr>
          </w:p>
        </w:tc>
      </w:tr>
      <w:tr w14:paraId="18D08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3C0002">
            <w:pPr>
              <w:pStyle w:val="12"/>
            </w:pPr>
            <w:r>
              <w:t>2</w:t>
            </w:r>
          </w:p>
        </w:tc>
        <w:tc>
          <w:tcPr>
            <w:tcW w:w="992" w:type="dxa"/>
            <w:vAlign w:val="center"/>
          </w:tcPr>
          <w:p w14:paraId="0264493D">
            <w:pPr>
              <w:pStyle w:val="13"/>
            </w:pPr>
            <w:r>
              <w:t>205</w:t>
            </w:r>
          </w:p>
        </w:tc>
        <w:tc>
          <w:tcPr>
            <w:tcW w:w="1559" w:type="dxa"/>
            <w:vAlign w:val="center"/>
          </w:tcPr>
          <w:p w14:paraId="0385FC36">
            <w:pPr>
              <w:pStyle w:val="13"/>
            </w:pPr>
            <w:r>
              <w:t>教育支出</w:t>
            </w:r>
          </w:p>
        </w:tc>
        <w:tc>
          <w:tcPr>
            <w:tcW w:w="1134" w:type="dxa"/>
            <w:vAlign w:val="center"/>
          </w:tcPr>
          <w:p w14:paraId="5955289E">
            <w:pPr>
              <w:pStyle w:val="14"/>
            </w:pPr>
            <w:r>
              <w:t>979.75</w:t>
            </w:r>
          </w:p>
        </w:tc>
        <w:tc>
          <w:tcPr>
            <w:tcW w:w="1134" w:type="dxa"/>
            <w:vAlign w:val="center"/>
          </w:tcPr>
          <w:p w14:paraId="5490745A">
            <w:pPr>
              <w:pStyle w:val="14"/>
            </w:pPr>
            <w:r>
              <w:t>979.75</w:t>
            </w:r>
          </w:p>
        </w:tc>
        <w:tc>
          <w:tcPr>
            <w:tcW w:w="1134" w:type="dxa"/>
            <w:vAlign w:val="center"/>
          </w:tcPr>
          <w:p w14:paraId="35194594">
            <w:pPr>
              <w:pStyle w:val="14"/>
            </w:pPr>
            <w:r>
              <w:t>979.75</w:t>
            </w:r>
          </w:p>
        </w:tc>
        <w:tc>
          <w:tcPr>
            <w:tcW w:w="1134" w:type="dxa"/>
            <w:vAlign w:val="center"/>
          </w:tcPr>
          <w:p w14:paraId="491596BB">
            <w:pPr>
              <w:pStyle w:val="14"/>
            </w:pPr>
          </w:p>
        </w:tc>
        <w:tc>
          <w:tcPr>
            <w:tcW w:w="1134" w:type="dxa"/>
            <w:vAlign w:val="center"/>
          </w:tcPr>
          <w:p w14:paraId="2287613F">
            <w:pPr>
              <w:pStyle w:val="14"/>
            </w:pPr>
          </w:p>
        </w:tc>
        <w:tc>
          <w:tcPr>
            <w:tcW w:w="1134" w:type="dxa"/>
            <w:vAlign w:val="center"/>
          </w:tcPr>
          <w:p w14:paraId="0B6EB51E">
            <w:pPr>
              <w:pStyle w:val="14"/>
            </w:pPr>
          </w:p>
        </w:tc>
        <w:tc>
          <w:tcPr>
            <w:tcW w:w="1134" w:type="dxa"/>
            <w:vAlign w:val="center"/>
          </w:tcPr>
          <w:p w14:paraId="3A45B026">
            <w:pPr>
              <w:pStyle w:val="14"/>
            </w:pPr>
          </w:p>
        </w:tc>
        <w:tc>
          <w:tcPr>
            <w:tcW w:w="1134" w:type="dxa"/>
            <w:vAlign w:val="center"/>
          </w:tcPr>
          <w:p w14:paraId="16DBDD61">
            <w:pPr>
              <w:pStyle w:val="14"/>
            </w:pPr>
          </w:p>
        </w:tc>
        <w:tc>
          <w:tcPr>
            <w:tcW w:w="1134" w:type="dxa"/>
            <w:vAlign w:val="center"/>
          </w:tcPr>
          <w:p w14:paraId="7FEE5D01">
            <w:pPr>
              <w:pStyle w:val="14"/>
            </w:pPr>
          </w:p>
        </w:tc>
        <w:tc>
          <w:tcPr>
            <w:tcW w:w="1134" w:type="dxa"/>
            <w:vAlign w:val="center"/>
          </w:tcPr>
          <w:p w14:paraId="774E9120">
            <w:pPr>
              <w:pStyle w:val="14"/>
            </w:pPr>
          </w:p>
        </w:tc>
      </w:tr>
      <w:tr w14:paraId="03F73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34483A">
            <w:pPr>
              <w:pStyle w:val="12"/>
            </w:pPr>
            <w:r>
              <w:t>3</w:t>
            </w:r>
          </w:p>
        </w:tc>
        <w:tc>
          <w:tcPr>
            <w:tcW w:w="992" w:type="dxa"/>
            <w:vAlign w:val="center"/>
          </w:tcPr>
          <w:p w14:paraId="19B9CD5F">
            <w:pPr>
              <w:pStyle w:val="13"/>
            </w:pPr>
            <w:r>
              <w:t>20502</w:t>
            </w:r>
          </w:p>
        </w:tc>
        <w:tc>
          <w:tcPr>
            <w:tcW w:w="1559" w:type="dxa"/>
            <w:vAlign w:val="center"/>
          </w:tcPr>
          <w:p w14:paraId="10CDAA64">
            <w:pPr>
              <w:pStyle w:val="13"/>
            </w:pPr>
            <w:r>
              <w:t>普通教育</w:t>
            </w:r>
          </w:p>
        </w:tc>
        <w:tc>
          <w:tcPr>
            <w:tcW w:w="1134" w:type="dxa"/>
            <w:vAlign w:val="center"/>
          </w:tcPr>
          <w:p w14:paraId="5A802190">
            <w:pPr>
              <w:pStyle w:val="14"/>
            </w:pPr>
            <w:r>
              <w:t>979.75</w:t>
            </w:r>
          </w:p>
        </w:tc>
        <w:tc>
          <w:tcPr>
            <w:tcW w:w="1134" w:type="dxa"/>
            <w:vAlign w:val="center"/>
          </w:tcPr>
          <w:p w14:paraId="7403A43E">
            <w:pPr>
              <w:pStyle w:val="14"/>
            </w:pPr>
            <w:r>
              <w:t>979.75</w:t>
            </w:r>
          </w:p>
        </w:tc>
        <w:tc>
          <w:tcPr>
            <w:tcW w:w="1134" w:type="dxa"/>
            <w:vAlign w:val="center"/>
          </w:tcPr>
          <w:p w14:paraId="2A1A48A3">
            <w:pPr>
              <w:pStyle w:val="14"/>
            </w:pPr>
            <w:r>
              <w:t>979.75</w:t>
            </w:r>
          </w:p>
        </w:tc>
        <w:tc>
          <w:tcPr>
            <w:tcW w:w="1134" w:type="dxa"/>
            <w:vAlign w:val="center"/>
          </w:tcPr>
          <w:p w14:paraId="478C5904">
            <w:pPr>
              <w:pStyle w:val="14"/>
            </w:pPr>
          </w:p>
        </w:tc>
        <w:tc>
          <w:tcPr>
            <w:tcW w:w="1134" w:type="dxa"/>
            <w:vAlign w:val="center"/>
          </w:tcPr>
          <w:p w14:paraId="69582121">
            <w:pPr>
              <w:pStyle w:val="14"/>
            </w:pPr>
          </w:p>
        </w:tc>
        <w:tc>
          <w:tcPr>
            <w:tcW w:w="1134" w:type="dxa"/>
            <w:vAlign w:val="center"/>
          </w:tcPr>
          <w:p w14:paraId="636BC627">
            <w:pPr>
              <w:pStyle w:val="14"/>
            </w:pPr>
          </w:p>
        </w:tc>
        <w:tc>
          <w:tcPr>
            <w:tcW w:w="1134" w:type="dxa"/>
            <w:vAlign w:val="center"/>
          </w:tcPr>
          <w:p w14:paraId="5BF5B78C">
            <w:pPr>
              <w:pStyle w:val="14"/>
            </w:pPr>
          </w:p>
        </w:tc>
        <w:tc>
          <w:tcPr>
            <w:tcW w:w="1134" w:type="dxa"/>
            <w:vAlign w:val="center"/>
          </w:tcPr>
          <w:p w14:paraId="1F1A630B">
            <w:pPr>
              <w:pStyle w:val="14"/>
            </w:pPr>
          </w:p>
        </w:tc>
        <w:tc>
          <w:tcPr>
            <w:tcW w:w="1134" w:type="dxa"/>
            <w:vAlign w:val="center"/>
          </w:tcPr>
          <w:p w14:paraId="6583DCEF">
            <w:pPr>
              <w:pStyle w:val="14"/>
            </w:pPr>
          </w:p>
        </w:tc>
        <w:tc>
          <w:tcPr>
            <w:tcW w:w="1134" w:type="dxa"/>
            <w:vAlign w:val="center"/>
          </w:tcPr>
          <w:p w14:paraId="70F359C2">
            <w:pPr>
              <w:pStyle w:val="14"/>
            </w:pPr>
          </w:p>
        </w:tc>
      </w:tr>
      <w:tr w14:paraId="60E6D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12C713">
            <w:pPr>
              <w:pStyle w:val="12"/>
            </w:pPr>
            <w:r>
              <w:t>4</w:t>
            </w:r>
          </w:p>
        </w:tc>
        <w:tc>
          <w:tcPr>
            <w:tcW w:w="992" w:type="dxa"/>
            <w:vAlign w:val="center"/>
          </w:tcPr>
          <w:p w14:paraId="157447C9">
            <w:pPr>
              <w:pStyle w:val="13"/>
            </w:pPr>
            <w:r>
              <w:t>2050202</w:t>
            </w:r>
          </w:p>
        </w:tc>
        <w:tc>
          <w:tcPr>
            <w:tcW w:w="1559" w:type="dxa"/>
            <w:vAlign w:val="center"/>
          </w:tcPr>
          <w:p w14:paraId="75CE6A8A">
            <w:pPr>
              <w:pStyle w:val="13"/>
            </w:pPr>
            <w:r>
              <w:t>小学教育</w:t>
            </w:r>
          </w:p>
        </w:tc>
        <w:tc>
          <w:tcPr>
            <w:tcW w:w="1134" w:type="dxa"/>
            <w:vAlign w:val="center"/>
          </w:tcPr>
          <w:p w14:paraId="5898CAA4">
            <w:pPr>
              <w:pStyle w:val="14"/>
            </w:pPr>
            <w:r>
              <w:t>979.75</w:t>
            </w:r>
          </w:p>
        </w:tc>
        <w:tc>
          <w:tcPr>
            <w:tcW w:w="1134" w:type="dxa"/>
            <w:vAlign w:val="center"/>
          </w:tcPr>
          <w:p w14:paraId="3C2C9860">
            <w:pPr>
              <w:pStyle w:val="14"/>
            </w:pPr>
            <w:r>
              <w:t>979.75</w:t>
            </w:r>
          </w:p>
        </w:tc>
        <w:tc>
          <w:tcPr>
            <w:tcW w:w="1134" w:type="dxa"/>
            <w:vAlign w:val="center"/>
          </w:tcPr>
          <w:p w14:paraId="27034D3A">
            <w:pPr>
              <w:pStyle w:val="14"/>
            </w:pPr>
            <w:r>
              <w:t>979.75</w:t>
            </w:r>
          </w:p>
        </w:tc>
        <w:tc>
          <w:tcPr>
            <w:tcW w:w="1134" w:type="dxa"/>
            <w:vAlign w:val="center"/>
          </w:tcPr>
          <w:p w14:paraId="05912799">
            <w:pPr>
              <w:pStyle w:val="14"/>
            </w:pPr>
          </w:p>
        </w:tc>
        <w:tc>
          <w:tcPr>
            <w:tcW w:w="1134" w:type="dxa"/>
            <w:vAlign w:val="center"/>
          </w:tcPr>
          <w:p w14:paraId="057FE2AA">
            <w:pPr>
              <w:pStyle w:val="14"/>
            </w:pPr>
          </w:p>
        </w:tc>
        <w:tc>
          <w:tcPr>
            <w:tcW w:w="1134" w:type="dxa"/>
            <w:vAlign w:val="center"/>
          </w:tcPr>
          <w:p w14:paraId="045F42B1">
            <w:pPr>
              <w:pStyle w:val="14"/>
            </w:pPr>
          </w:p>
        </w:tc>
        <w:tc>
          <w:tcPr>
            <w:tcW w:w="1134" w:type="dxa"/>
            <w:vAlign w:val="center"/>
          </w:tcPr>
          <w:p w14:paraId="58458EC0">
            <w:pPr>
              <w:pStyle w:val="14"/>
            </w:pPr>
          </w:p>
        </w:tc>
        <w:tc>
          <w:tcPr>
            <w:tcW w:w="1134" w:type="dxa"/>
            <w:vAlign w:val="center"/>
          </w:tcPr>
          <w:p w14:paraId="3DCEC569">
            <w:pPr>
              <w:pStyle w:val="14"/>
            </w:pPr>
          </w:p>
        </w:tc>
        <w:tc>
          <w:tcPr>
            <w:tcW w:w="1134" w:type="dxa"/>
            <w:vAlign w:val="center"/>
          </w:tcPr>
          <w:p w14:paraId="14E8D67E">
            <w:pPr>
              <w:pStyle w:val="14"/>
            </w:pPr>
          </w:p>
        </w:tc>
        <w:tc>
          <w:tcPr>
            <w:tcW w:w="1134" w:type="dxa"/>
            <w:vAlign w:val="center"/>
          </w:tcPr>
          <w:p w14:paraId="1EF92B3E">
            <w:pPr>
              <w:pStyle w:val="14"/>
            </w:pPr>
          </w:p>
        </w:tc>
      </w:tr>
    </w:tbl>
    <w:p w14:paraId="027E6A96">
      <w:pPr>
        <w:sectPr>
          <w:pgSz w:w="16840" w:h="11900" w:orient="landscape"/>
          <w:pgMar w:top="1361" w:right="1020" w:bottom="1134" w:left="1020" w:header="720" w:footer="720" w:gutter="0"/>
          <w:cols w:space="720" w:num="1"/>
        </w:sectPr>
      </w:pPr>
    </w:p>
    <w:p w14:paraId="2CE2F8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D30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2A78C2">
            <w:pPr>
              <w:pStyle w:val="8"/>
            </w:pPr>
            <w:r>
              <w:t>360037隆尧县第三实验小学</w:t>
            </w:r>
          </w:p>
        </w:tc>
        <w:tc>
          <w:tcPr>
            <w:tcW w:w="2722" w:type="dxa"/>
            <w:gridSpan w:val="2"/>
            <w:tcBorders>
              <w:top w:val="single" w:color="FFFFFF" w:sz="6" w:space="0"/>
              <w:left w:val="single" w:color="FFFFFF" w:sz="6" w:space="0"/>
              <w:right w:val="single" w:color="FFFFFF" w:sz="6" w:space="0"/>
            </w:tcBorders>
            <w:vAlign w:val="center"/>
          </w:tcPr>
          <w:p w14:paraId="0FCA20E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FA28FDD">
            <w:pPr>
              <w:pStyle w:val="10"/>
            </w:pPr>
            <w:r>
              <w:t>单位：万元</w:t>
            </w:r>
          </w:p>
        </w:tc>
      </w:tr>
      <w:tr w14:paraId="3F8CC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1EEFC8">
            <w:pPr>
              <w:pStyle w:val="11"/>
            </w:pPr>
            <w:r>
              <w:t>序号</w:t>
            </w:r>
          </w:p>
        </w:tc>
        <w:tc>
          <w:tcPr>
            <w:tcW w:w="5527" w:type="dxa"/>
            <w:gridSpan w:val="2"/>
            <w:vAlign w:val="center"/>
          </w:tcPr>
          <w:p w14:paraId="2E573199">
            <w:pPr>
              <w:pStyle w:val="11"/>
            </w:pPr>
            <w:r>
              <w:t>功能分类科目</w:t>
            </w:r>
          </w:p>
        </w:tc>
        <w:tc>
          <w:tcPr>
            <w:tcW w:w="1361" w:type="dxa"/>
            <w:vMerge w:val="restart"/>
            <w:vAlign w:val="center"/>
          </w:tcPr>
          <w:p w14:paraId="486C6322">
            <w:pPr>
              <w:pStyle w:val="11"/>
            </w:pPr>
            <w:r>
              <w:t>合计</w:t>
            </w:r>
          </w:p>
        </w:tc>
        <w:tc>
          <w:tcPr>
            <w:tcW w:w="1361" w:type="dxa"/>
            <w:vMerge w:val="restart"/>
            <w:vAlign w:val="center"/>
          </w:tcPr>
          <w:p w14:paraId="04FA996F">
            <w:pPr>
              <w:pStyle w:val="11"/>
            </w:pPr>
            <w:r>
              <w:t>基本支出</w:t>
            </w:r>
          </w:p>
        </w:tc>
        <w:tc>
          <w:tcPr>
            <w:tcW w:w="1361" w:type="dxa"/>
            <w:vMerge w:val="restart"/>
            <w:vAlign w:val="center"/>
          </w:tcPr>
          <w:p w14:paraId="34389128">
            <w:pPr>
              <w:pStyle w:val="11"/>
            </w:pPr>
            <w:r>
              <w:t>项目支出</w:t>
            </w:r>
          </w:p>
        </w:tc>
        <w:tc>
          <w:tcPr>
            <w:tcW w:w="1361" w:type="dxa"/>
            <w:vMerge w:val="restart"/>
            <w:vAlign w:val="center"/>
          </w:tcPr>
          <w:p w14:paraId="393394E9">
            <w:pPr>
              <w:pStyle w:val="11"/>
            </w:pPr>
            <w:r>
              <w:t>经营支出</w:t>
            </w:r>
          </w:p>
        </w:tc>
        <w:tc>
          <w:tcPr>
            <w:tcW w:w="1361" w:type="dxa"/>
            <w:vMerge w:val="restart"/>
            <w:vAlign w:val="center"/>
          </w:tcPr>
          <w:p w14:paraId="3507C496">
            <w:pPr>
              <w:pStyle w:val="11"/>
            </w:pPr>
            <w:r>
              <w:t>上解上级     支出</w:t>
            </w:r>
          </w:p>
        </w:tc>
        <w:tc>
          <w:tcPr>
            <w:tcW w:w="1361" w:type="dxa"/>
            <w:vMerge w:val="restart"/>
            <w:vAlign w:val="center"/>
          </w:tcPr>
          <w:p w14:paraId="4CCAA65D">
            <w:pPr>
              <w:pStyle w:val="11"/>
            </w:pPr>
            <w:r>
              <w:t>对附属单位补助支出</w:t>
            </w:r>
          </w:p>
        </w:tc>
      </w:tr>
      <w:tr w14:paraId="4EED7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1F81DB"/>
        </w:tc>
        <w:tc>
          <w:tcPr>
            <w:tcW w:w="992" w:type="dxa"/>
            <w:vAlign w:val="center"/>
          </w:tcPr>
          <w:p w14:paraId="3ECCCF99">
            <w:pPr>
              <w:pStyle w:val="11"/>
            </w:pPr>
            <w:r>
              <w:t>科目    编码</w:t>
            </w:r>
          </w:p>
        </w:tc>
        <w:tc>
          <w:tcPr>
            <w:tcW w:w="4535" w:type="dxa"/>
            <w:vAlign w:val="center"/>
          </w:tcPr>
          <w:p w14:paraId="4F7256EA">
            <w:pPr>
              <w:pStyle w:val="11"/>
            </w:pPr>
            <w:r>
              <w:t>科目名称</w:t>
            </w:r>
          </w:p>
        </w:tc>
        <w:tc>
          <w:tcPr>
            <w:tcW w:w="1361" w:type="dxa"/>
            <w:vMerge w:val="continue"/>
          </w:tcPr>
          <w:p w14:paraId="1CAB7396"/>
        </w:tc>
        <w:tc>
          <w:tcPr>
            <w:tcW w:w="1361" w:type="dxa"/>
            <w:vMerge w:val="continue"/>
          </w:tcPr>
          <w:p w14:paraId="0826918C"/>
        </w:tc>
        <w:tc>
          <w:tcPr>
            <w:tcW w:w="1361" w:type="dxa"/>
            <w:vMerge w:val="continue"/>
          </w:tcPr>
          <w:p w14:paraId="18187DFC"/>
        </w:tc>
        <w:tc>
          <w:tcPr>
            <w:tcW w:w="1361" w:type="dxa"/>
            <w:vMerge w:val="continue"/>
          </w:tcPr>
          <w:p w14:paraId="3273292F"/>
        </w:tc>
        <w:tc>
          <w:tcPr>
            <w:tcW w:w="1361" w:type="dxa"/>
            <w:vMerge w:val="continue"/>
          </w:tcPr>
          <w:p w14:paraId="42D9FD65"/>
        </w:tc>
        <w:tc>
          <w:tcPr>
            <w:tcW w:w="1361" w:type="dxa"/>
            <w:vMerge w:val="continue"/>
          </w:tcPr>
          <w:p w14:paraId="06C88D50"/>
        </w:tc>
      </w:tr>
      <w:tr w14:paraId="24033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0AFFB2">
            <w:pPr>
              <w:pStyle w:val="11"/>
            </w:pPr>
            <w:r>
              <w:t>栏次</w:t>
            </w:r>
          </w:p>
        </w:tc>
        <w:tc>
          <w:tcPr>
            <w:tcW w:w="992" w:type="dxa"/>
            <w:vAlign w:val="center"/>
          </w:tcPr>
          <w:p w14:paraId="2F875A06">
            <w:pPr>
              <w:pStyle w:val="11"/>
            </w:pPr>
            <w:r>
              <w:t>1</w:t>
            </w:r>
          </w:p>
        </w:tc>
        <w:tc>
          <w:tcPr>
            <w:tcW w:w="4535" w:type="dxa"/>
            <w:vAlign w:val="center"/>
          </w:tcPr>
          <w:p w14:paraId="5011E1BE">
            <w:pPr>
              <w:pStyle w:val="11"/>
            </w:pPr>
            <w:r>
              <w:t>2</w:t>
            </w:r>
          </w:p>
        </w:tc>
        <w:tc>
          <w:tcPr>
            <w:tcW w:w="1361" w:type="dxa"/>
            <w:vAlign w:val="center"/>
          </w:tcPr>
          <w:p w14:paraId="1C607778">
            <w:pPr>
              <w:pStyle w:val="11"/>
            </w:pPr>
            <w:r>
              <w:t>3</w:t>
            </w:r>
          </w:p>
        </w:tc>
        <w:tc>
          <w:tcPr>
            <w:tcW w:w="1361" w:type="dxa"/>
            <w:vAlign w:val="center"/>
          </w:tcPr>
          <w:p w14:paraId="41059FEA">
            <w:pPr>
              <w:pStyle w:val="11"/>
            </w:pPr>
            <w:r>
              <w:t>4</w:t>
            </w:r>
          </w:p>
        </w:tc>
        <w:tc>
          <w:tcPr>
            <w:tcW w:w="1361" w:type="dxa"/>
            <w:vAlign w:val="center"/>
          </w:tcPr>
          <w:p w14:paraId="3C35A7A0">
            <w:pPr>
              <w:pStyle w:val="11"/>
            </w:pPr>
            <w:r>
              <w:t>5</w:t>
            </w:r>
          </w:p>
        </w:tc>
        <w:tc>
          <w:tcPr>
            <w:tcW w:w="1361" w:type="dxa"/>
            <w:vAlign w:val="center"/>
          </w:tcPr>
          <w:p w14:paraId="1F3999C7">
            <w:pPr>
              <w:pStyle w:val="11"/>
            </w:pPr>
            <w:r>
              <w:t>6</w:t>
            </w:r>
          </w:p>
        </w:tc>
        <w:tc>
          <w:tcPr>
            <w:tcW w:w="1361" w:type="dxa"/>
            <w:vAlign w:val="center"/>
          </w:tcPr>
          <w:p w14:paraId="45EC5B1B">
            <w:pPr>
              <w:pStyle w:val="11"/>
            </w:pPr>
            <w:r>
              <w:t>7</w:t>
            </w:r>
          </w:p>
        </w:tc>
        <w:tc>
          <w:tcPr>
            <w:tcW w:w="1361" w:type="dxa"/>
            <w:vAlign w:val="center"/>
          </w:tcPr>
          <w:p w14:paraId="3EB55485">
            <w:pPr>
              <w:pStyle w:val="11"/>
            </w:pPr>
            <w:r>
              <w:t>8</w:t>
            </w:r>
          </w:p>
        </w:tc>
      </w:tr>
      <w:tr w14:paraId="4CCBA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2AD56">
            <w:pPr>
              <w:pStyle w:val="12"/>
            </w:pPr>
            <w:r>
              <w:t>1</w:t>
            </w:r>
          </w:p>
        </w:tc>
        <w:tc>
          <w:tcPr>
            <w:tcW w:w="992" w:type="dxa"/>
            <w:vAlign w:val="center"/>
          </w:tcPr>
          <w:p w14:paraId="135F88DB">
            <w:pPr>
              <w:pStyle w:val="17"/>
            </w:pPr>
          </w:p>
        </w:tc>
        <w:tc>
          <w:tcPr>
            <w:tcW w:w="4535" w:type="dxa"/>
            <w:vAlign w:val="center"/>
          </w:tcPr>
          <w:p w14:paraId="312780E5">
            <w:pPr>
              <w:pStyle w:val="15"/>
            </w:pPr>
            <w:r>
              <w:t>合计</w:t>
            </w:r>
          </w:p>
        </w:tc>
        <w:tc>
          <w:tcPr>
            <w:tcW w:w="1361" w:type="dxa"/>
            <w:vAlign w:val="center"/>
          </w:tcPr>
          <w:p w14:paraId="0EDDA35D">
            <w:pPr>
              <w:pStyle w:val="16"/>
            </w:pPr>
            <w:r>
              <w:t>979.75</w:t>
            </w:r>
          </w:p>
        </w:tc>
        <w:tc>
          <w:tcPr>
            <w:tcW w:w="1361" w:type="dxa"/>
            <w:vAlign w:val="center"/>
          </w:tcPr>
          <w:p w14:paraId="51CB9594">
            <w:pPr>
              <w:pStyle w:val="16"/>
            </w:pPr>
            <w:r>
              <w:t>762.22</w:t>
            </w:r>
          </w:p>
        </w:tc>
        <w:tc>
          <w:tcPr>
            <w:tcW w:w="1361" w:type="dxa"/>
            <w:vAlign w:val="center"/>
          </w:tcPr>
          <w:p w14:paraId="63BC5E7B">
            <w:pPr>
              <w:pStyle w:val="16"/>
            </w:pPr>
            <w:r>
              <w:t>217.53</w:t>
            </w:r>
          </w:p>
        </w:tc>
        <w:tc>
          <w:tcPr>
            <w:tcW w:w="1361" w:type="dxa"/>
            <w:vAlign w:val="center"/>
          </w:tcPr>
          <w:p w14:paraId="16429954">
            <w:pPr>
              <w:pStyle w:val="16"/>
            </w:pPr>
          </w:p>
        </w:tc>
        <w:tc>
          <w:tcPr>
            <w:tcW w:w="1361" w:type="dxa"/>
            <w:vAlign w:val="center"/>
          </w:tcPr>
          <w:p w14:paraId="72CD7547">
            <w:pPr>
              <w:pStyle w:val="16"/>
            </w:pPr>
          </w:p>
        </w:tc>
        <w:tc>
          <w:tcPr>
            <w:tcW w:w="1361" w:type="dxa"/>
            <w:vAlign w:val="center"/>
          </w:tcPr>
          <w:p w14:paraId="5903E20F">
            <w:pPr>
              <w:pStyle w:val="16"/>
            </w:pPr>
          </w:p>
        </w:tc>
      </w:tr>
      <w:tr w14:paraId="53BF9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3926D">
            <w:pPr>
              <w:pStyle w:val="12"/>
            </w:pPr>
            <w:r>
              <w:t>2</w:t>
            </w:r>
          </w:p>
        </w:tc>
        <w:tc>
          <w:tcPr>
            <w:tcW w:w="992" w:type="dxa"/>
            <w:vAlign w:val="center"/>
          </w:tcPr>
          <w:p w14:paraId="103732C3">
            <w:pPr>
              <w:pStyle w:val="13"/>
            </w:pPr>
            <w:r>
              <w:t>205</w:t>
            </w:r>
          </w:p>
        </w:tc>
        <w:tc>
          <w:tcPr>
            <w:tcW w:w="4535" w:type="dxa"/>
            <w:vAlign w:val="center"/>
          </w:tcPr>
          <w:p w14:paraId="5BB1A320">
            <w:pPr>
              <w:pStyle w:val="13"/>
            </w:pPr>
            <w:r>
              <w:t>教育支出</w:t>
            </w:r>
          </w:p>
        </w:tc>
        <w:tc>
          <w:tcPr>
            <w:tcW w:w="1361" w:type="dxa"/>
            <w:vAlign w:val="center"/>
          </w:tcPr>
          <w:p w14:paraId="45D5724F">
            <w:pPr>
              <w:pStyle w:val="14"/>
            </w:pPr>
            <w:r>
              <w:t>979.75</w:t>
            </w:r>
          </w:p>
        </w:tc>
        <w:tc>
          <w:tcPr>
            <w:tcW w:w="1361" w:type="dxa"/>
            <w:vAlign w:val="center"/>
          </w:tcPr>
          <w:p w14:paraId="7C18B94C">
            <w:pPr>
              <w:pStyle w:val="14"/>
            </w:pPr>
            <w:r>
              <w:t>762.22</w:t>
            </w:r>
          </w:p>
        </w:tc>
        <w:tc>
          <w:tcPr>
            <w:tcW w:w="1361" w:type="dxa"/>
            <w:vAlign w:val="center"/>
          </w:tcPr>
          <w:p w14:paraId="42F3E180">
            <w:pPr>
              <w:pStyle w:val="14"/>
            </w:pPr>
            <w:r>
              <w:t>217.53</w:t>
            </w:r>
          </w:p>
        </w:tc>
        <w:tc>
          <w:tcPr>
            <w:tcW w:w="1361" w:type="dxa"/>
            <w:vAlign w:val="center"/>
          </w:tcPr>
          <w:p w14:paraId="336F047C">
            <w:pPr>
              <w:pStyle w:val="14"/>
            </w:pPr>
          </w:p>
        </w:tc>
        <w:tc>
          <w:tcPr>
            <w:tcW w:w="1361" w:type="dxa"/>
            <w:vAlign w:val="center"/>
          </w:tcPr>
          <w:p w14:paraId="3B8E7B1D">
            <w:pPr>
              <w:pStyle w:val="14"/>
            </w:pPr>
          </w:p>
        </w:tc>
        <w:tc>
          <w:tcPr>
            <w:tcW w:w="1361" w:type="dxa"/>
            <w:vAlign w:val="center"/>
          </w:tcPr>
          <w:p w14:paraId="27D0082D">
            <w:pPr>
              <w:pStyle w:val="14"/>
            </w:pPr>
          </w:p>
        </w:tc>
      </w:tr>
      <w:tr w14:paraId="35EBE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9E6A2">
            <w:pPr>
              <w:pStyle w:val="12"/>
            </w:pPr>
            <w:r>
              <w:t>3</w:t>
            </w:r>
          </w:p>
        </w:tc>
        <w:tc>
          <w:tcPr>
            <w:tcW w:w="992" w:type="dxa"/>
            <w:vAlign w:val="center"/>
          </w:tcPr>
          <w:p w14:paraId="0BFA659F">
            <w:pPr>
              <w:pStyle w:val="13"/>
            </w:pPr>
            <w:r>
              <w:t>20502</w:t>
            </w:r>
          </w:p>
        </w:tc>
        <w:tc>
          <w:tcPr>
            <w:tcW w:w="4535" w:type="dxa"/>
            <w:vAlign w:val="center"/>
          </w:tcPr>
          <w:p w14:paraId="7518DCAA">
            <w:pPr>
              <w:pStyle w:val="13"/>
            </w:pPr>
            <w:r>
              <w:t>普通教育</w:t>
            </w:r>
          </w:p>
        </w:tc>
        <w:tc>
          <w:tcPr>
            <w:tcW w:w="1361" w:type="dxa"/>
            <w:vAlign w:val="center"/>
          </w:tcPr>
          <w:p w14:paraId="56BE3977">
            <w:pPr>
              <w:pStyle w:val="14"/>
            </w:pPr>
            <w:r>
              <w:t>979.75</w:t>
            </w:r>
          </w:p>
        </w:tc>
        <w:tc>
          <w:tcPr>
            <w:tcW w:w="1361" w:type="dxa"/>
            <w:vAlign w:val="center"/>
          </w:tcPr>
          <w:p w14:paraId="495E3BBE">
            <w:pPr>
              <w:pStyle w:val="14"/>
            </w:pPr>
            <w:r>
              <w:t>762.22</w:t>
            </w:r>
          </w:p>
        </w:tc>
        <w:tc>
          <w:tcPr>
            <w:tcW w:w="1361" w:type="dxa"/>
            <w:vAlign w:val="center"/>
          </w:tcPr>
          <w:p w14:paraId="4ACD410B">
            <w:pPr>
              <w:pStyle w:val="14"/>
            </w:pPr>
            <w:r>
              <w:t>217.53</w:t>
            </w:r>
          </w:p>
        </w:tc>
        <w:tc>
          <w:tcPr>
            <w:tcW w:w="1361" w:type="dxa"/>
            <w:vAlign w:val="center"/>
          </w:tcPr>
          <w:p w14:paraId="6BA9D2D3">
            <w:pPr>
              <w:pStyle w:val="14"/>
            </w:pPr>
          </w:p>
        </w:tc>
        <w:tc>
          <w:tcPr>
            <w:tcW w:w="1361" w:type="dxa"/>
            <w:vAlign w:val="center"/>
          </w:tcPr>
          <w:p w14:paraId="52CEA88F">
            <w:pPr>
              <w:pStyle w:val="14"/>
            </w:pPr>
          </w:p>
        </w:tc>
        <w:tc>
          <w:tcPr>
            <w:tcW w:w="1361" w:type="dxa"/>
            <w:vAlign w:val="center"/>
          </w:tcPr>
          <w:p w14:paraId="4816E5C0">
            <w:pPr>
              <w:pStyle w:val="14"/>
            </w:pPr>
          </w:p>
        </w:tc>
      </w:tr>
      <w:tr w14:paraId="222DD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D8101">
            <w:pPr>
              <w:pStyle w:val="12"/>
            </w:pPr>
            <w:r>
              <w:t>4</w:t>
            </w:r>
          </w:p>
        </w:tc>
        <w:tc>
          <w:tcPr>
            <w:tcW w:w="992" w:type="dxa"/>
            <w:vAlign w:val="center"/>
          </w:tcPr>
          <w:p w14:paraId="4B53F0D5">
            <w:pPr>
              <w:pStyle w:val="13"/>
            </w:pPr>
            <w:r>
              <w:t>2050202</w:t>
            </w:r>
          </w:p>
        </w:tc>
        <w:tc>
          <w:tcPr>
            <w:tcW w:w="4535" w:type="dxa"/>
            <w:vAlign w:val="center"/>
          </w:tcPr>
          <w:p w14:paraId="33A2FB08">
            <w:pPr>
              <w:pStyle w:val="13"/>
            </w:pPr>
            <w:r>
              <w:t>小学教育</w:t>
            </w:r>
          </w:p>
        </w:tc>
        <w:tc>
          <w:tcPr>
            <w:tcW w:w="1361" w:type="dxa"/>
            <w:vAlign w:val="center"/>
          </w:tcPr>
          <w:p w14:paraId="761609AA">
            <w:pPr>
              <w:pStyle w:val="14"/>
            </w:pPr>
            <w:r>
              <w:t>979.75</w:t>
            </w:r>
          </w:p>
        </w:tc>
        <w:tc>
          <w:tcPr>
            <w:tcW w:w="1361" w:type="dxa"/>
            <w:vAlign w:val="center"/>
          </w:tcPr>
          <w:p w14:paraId="6657A295">
            <w:pPr>
              <w:pStyle w:val="14"/>
            </w:pPr>
            <w:r>
              <w:t>762.22</w:t>
            </w:r>
          </w:p>
        </w:tc>
        <w:tc>
          <w:tcPr>
            <w:tcW w:w="1361" w:type="dxa"/>
            <w:vAlign w:val="center"/>
          </w:tcPr>
          <w:p w14:paraId="2A238E06">
            <w:pPr>
              <w:pStyle w:val="14"/>
            </w:pPr>
            <w:r>
              <w:t>217.53</w:t>
            </w:r>
          </w:p>
        </w:tc>
        <w:tc>
          <w:tcPr>
            <w:tcW w:w="1361" w:type="dxa"/>
            <w:vAlign w:val="center"/>
          </w:tcPr>
          <w:p w14:paraId="179FA05B">
            <w:pPr>
              <w:pStyle w:val="14"/>
            </w:pPr>
          </w:p>
        </w:tc>
        <w:tc>
          <w:tcPr>
            <w:tcW w:w="1361" w:type="dxa"/>
            <w:vAlign w:val="center"/>
          </w:tcPr>
          <w:p w14:paraId="186FB3B2">
            <w:pPr>
              <w:pStyle w:val="14"/>
            </w:pPr>
          </w:p>
        </w:tc>
        <w:tc>
          <w:tcPr>
            <w:tcW w:w="1361" w:type="dxa"/>
            <w:vAlign w:val="center"/>
          </w:tcPr>
          <w:p w14:paraId="531DD89E">
            <w:pPr>
              <w:pStyle w:val="14"/>
            </w:pPr>
          </w:p>
        </w:tc>
      </w:tr>
    </w:tbl>
    <w:p w14:paraId="43304B66">
      <w:pPr>
        <w:sectPr>
          <w:pgSz w:w="16840" w:h="11900" w:orient="landscape"/>
          <w:pgMar w:top="1361" w:right="1020" w:bottom="1134" w:left="1020" w:header="720" w:footer="720" w:gutter="0"/>
          <w:cols w:space="720" w:num="1"/>
        </w:sectPr>
      </w:pPr>
    </w:p>
    <w:p w14:paraId="5103CE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521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9491C2">
            <w:pPr>
              <w:pStyle w:val="8"/>
            </w:pPr>
            <w:r>
              <w:t>360037隆尧县第三实验小学</w:t>
            </w:r>
          </w:p>
        </w:tc>
        <w:tc>
          <w:tcPr>
            <w:tcW w:w="3402" w:type="dxa"/>
            <w:tcBorders>
              <w:top w:val="single" w:color="FFFFFF" w:sz="6" w:space="0"/>
              <w:left w:val="single" w:color="FFFFFF" w:sz="6" w:space="0"/>
              <w:right w:val="single" w:color="FFFFFF" w:sz="6" w:space="0"/>
            </w:tcBorders>
            <w:vAlign w:val="center"/>
          </w:tcPr>
          <w:p w14:paraId="1A6C095C">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0C46482">
            <w:pPr>
              <w:pStyle w:val="10"/>
            </w:pPr>
            <w:r>
              <w:t>单位：万元</w:t>
            </w:r>
          </w:p>
        </w:tc>
      </w:tr>
      <w:tr w14:paraId="18A11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468AD">
            <w:pPr>
              <w:pStyle w:val="11"/>
            </w:pPr>
            <w:r>
              <w:t>序号</w:t>
            </w:r>
          </w:p>
        </w:tc>
        <w:tc>
          <w:tcPr>
            <w:tcW w:w="4876" w:type="dxa"/>
            <w:gridSpan w:val="2"/>
            <w:vAlign w:val="center"/>
          </w:tcPr>
          <w:p w14:paraId="5AFDBBD9">
            <w:pPr>
              <w:pStyle w:val="11"/>
            </w:pPr>
            <w:r>
              <w:t>收入</w:t>
            </w:r>
          </w:p>
        </w:tc>
        <w:tc>
          <w:tcPr>
            <w:tcW w:w="9298" w:type="dxa"/>
            <w:gridSpan w:val="5"/>
            <w:vAlign w:val="center"/>
          </w:tcPr>
          <w:p w14:paraId="6EAA721A">
            <w:pPr>
              <w:pStyle w:val="11"/>
            </w:pPr>
            <w:r>
              <w:t>支出</w:t>
            </w:r>
          </w:p>
        </w:tc>
      </w:tr>
      <w:tr w14:paraId="14BDA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87287"/>
        </w:tc>
        <w:tc>
          <w:tcPr>
            <w:tcW w:w="3402" w:type="dxa"/>
            <w:vAlign w:val="center"/>
          </w:tcPr>
          <w:p w14:paraId="2F607CAE">
            <w:pPr>
              <w:pStyle w:val="11"/>
            </w:pPr>
            <w:r>
              <w:t>项  目</w:t>
            </w:r>
          </w:p>
        </w:tc>
        <w:tc>
          <w:tcPr>
            <w:tcW w:w="1474" w:type="dxa"/>
            <w:vAlign w:val="center"/>
          </w:tcPr>
          <w:p w14:paraId="48779809">
            <w:pPr>
              <w:pStyle w:val="11"/>
            </w:pPr>
            <w:r>
              <w:t>金额</w:t>
            </w:r>
          </w:p>
        </w:tc>
        <w:tc>
          <w:tcPr>
            <w:tcW w:w="3402" w:type="dxa"/>
            <w:vAlign w:val="center"/>
          </w:tcPr>
          <w:p w14:paraId="520C6A9A">
            <w:pPr>
              <w:pStyle w:val="11"/>
            </w:pPr>
            <w:r>
              <w:t>项  目</w:t>
            </w:r>
          </w:p>
        </w:tc>
        <w:tc>
          <w:tcPr>
            <w:tcW w:w="1474" w:type="dxa"/>
            <w:vAlign w:val="center"/>
          </w:tcPr>
          <w:p w14:paraId="3FEB5E06">
            <w:pPr>
              <w:pStyle w:val="11"/>
            </w:pPr>
            <w:r>
              <w:t>合计</w:t>
            </w:r>
          </w:p>
        </w:tc>
        <w:tc>
          <w:tcPr>
            <w:tcW w:w="1474" w:type="dxa"/>
            <w:vAlign w:val="center"/>
          </w:tcPr>
          <w:p w14:paraId="26F2F666">
            <w:pPr>
              <w:pStyle w:val="11"/>
            </w:pPr>
            <w:r>
              <w:t>一般公共预算财政拨款</w:t>
            </w:r>
          </w:p>
        </w:tc>
        <w:tc>
          <w:tcPr>
            <w:tcW w:w="1474" w:type="dxa"/>
            <w:vAlign w:val="center"/>
          </w:tcPr>
          <w:p w14:paraId="0D30E042">
            <w:pPr>
              <w:pStyle w:val="11"/>
            </w:pPr>
            <w:r>
              <w:t>政府性基金预算财政    拨款</w:t>
            </w:r>
          </w:p>
        </w:tc>
        <w:tc>
          <w:tcPr>
            <w:tcW w:w="1474" w:type="dxa"/>
            <w:vAlign w:val="center"/>
          </w:tcPr>
          <w:p w14:paraId="3E00EA29">
            <w:pPr>
              <w:pStyle w:val="11"/>
            </w:pPr>
            <w:r>
              <w:t>国有资本经营预算财政拨款</w:t>
            </w:r>
          </w:p>
        </w:tc>
      </w:tr>
      <w:tr w14:paraId="58A14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C8EB5">
            <w:pPr>
              <w:pStyle w:val="11"/>
            </w:pPr>
            <w:r>
              <w:t>栏次</w:t>
            </w:r>
          </w:p>
        </w:tc>
        <w:tc>
          <w:tcPr>
            <w:tcW w:w="3402" w:type="dxa"/>
            <w:vAlign w:val="center"/>
          </w:tcPr>
          <w:p w14:paraId="20B34EB4">
            <w:pPr>
              <w:pStyle w:val="11"/>
            </w:pPr>
            <w:r>
              <w:t>1</w:t>
            </w:r>
          </w:p>
        </w:tc>
        <w:tc>
          <w:tcPr>
            <w:tcW w:w="1474" w:type="dxa"/>
            <w:vAlign w:val="center"/>
          </w:tcPr>
          <w:p w14:paraId="3F2E4E52">
            <w:pPr>
              <w:pStyle w:val="11"/>
            </w:pPr>
            <w:r>
              <w:t>2</w:t>
            </w:r>
          </w:p>
        </w:tc>
        <w:tc>
          <w:tcPr>
            <w:tcW w:w="3402" w:type="dxa"/>
            <w:vAlign w:val="center"/>
          </w:tcPr>
          <w:p w14:paraId="2AE17192">
            <w:pPr>
              <w:pStyle w:val="11"/>
            </w:pPr>
            <w:r>
              <w:t>3</w:t>
            </w:r>
          </w:p>
        </w:tc>
        <w:tc>
          <w:tcPr>
            <w:tcW w:w="1474" w:type="dxa"/>
            <w:vAlign w:val="center"/>
          </w:tcPr>
          <w:p w14:paraId="2F770F5E">
            <w:pPr>
              <w:pStyle w:val="11"/>
            </w:pPr>
            <w:r>
              <w:t>4</w:t>
            </w:r>
          </w:p>
        </w:tc>
        <w:tc>
          <w:tcPr>
            <w:tcW w:w="1474" w:type="dxa"/>
            <w:vAlign w:val="center"/>
          </w:tcPr>
          <w:p w14:paraId="4D659285">
            <w:pPr>
              <w:pStyle w:val="11"/>
            </w:pPr>
            <w:r>
              <w:t>5</w:t>
            </w:r>
          </w:p>
        </w:tc>
        <w:tc>
          <w:tcPr>
            <w:tcW w:w="1474" w:type="dxa"/>
            <w:vAlign w:val="center"/>
          </w:tcPr>
          <w:p w14:paraId="755BAFFE">
            <w:pPr>
              <w:pStyle w:val="11"/>
            </w:pPr>
            <w:r>
              <w:t>6</w:t>
            </w:r>
          </w:p>
        </w:tc>
        <w:tc>
          <w:tcPr>
            <w:tcW w:w="1474" w:type="dxa"/>
            <w:vAlign w:val="center"/>
          </w:tcPr>
          <w:p w14:paraId="14C8A819">
            <w:pPr>
              <w:pStyle w:val="11"/>
            </w:pPr>
            <w:r>
              <w:t>7</w:t>
            </w:r>
          </w:p>
        </w:tc>
      </w:tr>
      <w:tr w14:paraId="1D0CC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7BDDB">
            <w:pPr>
              <w:pStyle w:val="12"/>
            </w:pPr>
            <w:r>
              <w:t>1</w:t>
            </w:r>
          </w:p>
        </w:tc>
        <w:tc>
          <w:tcPr>
            <w:tcW w:w="3402" w:type="dxa"/>
            <w:vAlign w:val="center"/>
          </w:tcPr>
          <w:p w14:paraId="797E87DB">
            <w:pPr>
              <w:pStyle w:val="13"/>
            </w:pPr>
            <w:r>
              <w:t>一、一般公共预算拨款</w:t>
            </w:r>
          </w:p>
        </w:tc>
        <w:tc>
          <w:tcPr>
            <w:tcW w:w="1474" w:type="dxa"/>
            <w:vAlign w:val="center"/>
          </w:tcPr>
          <w:p w14:paraId="6F61F6F6">
            <w:pPr>
              <w:pStyle w:val="14"/>
            </w:pPr>
            <w:r>
              <w:t>979.75</w:t>
            </w:r>
          </w:p>
        </w:tc>
        <w:tc>
          <w:tcPr>
            <w:tcW w:w="3402" w:type="dxa"/>
            <w:vAlign w:val="center"/>
          </w:tcPr>
          <w:p w14:paraId="5E456349">
            <w:pPr>
              <w:pStyle w:val="13"/>
            </w:pPr>
            <w:r>
              <w:t>一、一般公共服务支出</w:t>
            </w:r>
          </w:p>
        </w:tc>
        <w:tc>
          <w:tcPr>
            <w:tcW w:w="1474" w:type="dxa"/>
            <w:vAlign w:val="center"/>
          </w:tcPr>
          <w:p w14:paraId="6607564D">
            <w:pPr>
              <w:pStyle w:val="14"/>
            </w:pPr>
          </w:p>
        </w:tc>
        <w:tc>
          <w:tcPr>
            <w:tcW w:w="1474" w:type="dxa"/>
            <w:vAlign w:val="center"/>
          </w:tcPr>
          <w:p w14:paraId="1E12FCA4">
            <w:pPr>
              <w:pStyle w:val="14"/>
            </w:pPr>
          </w:p>
        </w:tc>
        <w:tc>
          <w:tcPr>
            <w:tcW w:w="1474" w:type="dxa"/>
            <w:vAlign w:val="center"/>
          </w:tcPr>
          <w:p w14:paraId="2F0B285A">
            <w:pPr>
              <w:pStyle w:val="14"/>
            </w:pPr>
          </w:p>
        </w:tc>
        <w:tc>
          <w:tcPr>
            <w:tcW w:w="1474" w:type="dxa"/>
            <w:vAlign w:val="center"/>
          </w:tcPr>
          <w:p w14:paraId="758D835A">
            <w:pPr>
              <w:pStyle w:val="14"/>
            </w:pPr>
          </w:p>
        </w:tc>
      </w:tr>
      <w:tr w14:paraId="69105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0D94C">
            <w:pPr>
              <w:pStyle w:val="12"/>
            </w:pPr>
            <w:r>
              <w:t>2</w:t>
            </w:r>
          </w:p>
        </w:tc>
        <w:tc>
          <w:tcPr>
            <w:tcW w:w="3402" w:type="dxa"/>
            <w:vAlign w:val="center"/>
          </w:tcPr>
          <w:p w14:paraId="0C5004BA">
            <w:pPr>
              <w:pStyle w:val="13"/>
            </w:pPr>
            <w:r>
              <w:t>二、政府性基金预算拨款</w:t>
            </w:r>
          </w:p>
        </w:tc>
        <w:tc>
          <w:tcPr>
            <w:tcW w:w="1474" w:type="dxa"/>
            <w:vAlign w:val="center"/>
          </w:tcPr>
          <w:p w14:paraId="78E18269">
            <w:pPr>
              <w:pStyle w:val="14"/>
            </w:pPr>
          </w:p>
        </w:tc>
        <w:tc>
          <w:tcPr>
            <w:tcW w:w="3402" w:type="dxa"/>
            <w:vAlign w:val="center"/>
          </w:tcPr>
          <w:p w14:paraId="1074A62F">
            <w:pPr>
              <w:pStyle w:val="13"/>
            </w:pPr>
            <w:r>
              <w:t>二、外交支出</w:t>
            </w:r>
          </w:p>
        </w:tc>
        <w:tc>
          <w:tcPr>
            <w:tcW w:w="1474" w:type="dxa"/>
            <w:vAlign w:val="center"/>
          </w:tcPr>
          <w:p w14:paraId="7B2581C8">
            <w:pPr>
              <w:pStyle w:val="14"/>
            </w:pPr>
          </w:p>
        </w:tc>
        <w:tc>
          <w:tcPr>
            <w:tcW w:w="1474" w:type="dxa"/>
            <w:vAlign w:val="center"/>
          </w:tcPr>
          <w:p w14:paraId="4E8810E8">
            <w:pPr>
              <w:pStyle w:val="14"/>
            </w:pPr>
          </w:p>
        </w:tc>
        <w:tc>
          <w:tcPr>
            <w:tcW w:w="1474" w:type="dxa"/>
            <w:vAlign w:val="center"/>
          </w:tcPr>
          <w:p w14:paraId="24118659">
            <w:pPr>
              <w:pStyle w:val="14"/>
            </w:pPr>
          </w:p>
        </w:tc>
        <w:tc>
          <w:tcPr>
            <w:tcW w:w="1474" w:type="dxa"/>
            <w:vAlign w:val="center"/>
          </w:tcPr>
          <w:p w14:paraId="2F3D39CB">
            <w:pPr>
              <w:pStyle w:val="14"/>
            </w:pPr>
          </w:p>
        </w:tc>
      </w:tr>
      <w:tr w14:paraId="07A6F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6B2C4">
            <w:pPr>
              <w:pStyle w:val="12"/>
            </w:pPr>
            <w:r>
              <w:t>3</w:t>
            </w:r>
          </w:p>
        </w:tc>
        <w:tc>
          <w:tcPr>
            <w:tcW w:w="3402" w:type="dxa"/>
            <w:vAlign w:val="center"/>
          </w:tcPr>
          <w:p w14:paraId="3C3D2BDB">
            <w:pPr>
              <w:pStyle w:val="13"/>
            </w:pPr>
            <w:r>
              <w:t>三、国有资本经营预算拨款</w:t>
            </w:r>
          </w:p>
        </w:tc>
        <w:tc>
          <w:tcPr>
            <w:tcW w:w="1474" w:type="dxa"/>
            <w:vAlign w:val="center"/>
          </w:tcPr>
          <w:p w14:paraId="579756FE">
            <w:pPr>
              <w:pStyle w:val="14"/>
            </w:pPr>
          </w:p>
        </w:tc>
        <w:tc>
          <w:tcPr>
            <w:tcW w:w="3402" w:type="dxa"/>
            <w:vAlign w:val="center"/>
          </w:tcPr>
          <w:p w14:paraId="387E753B">
            <w:pPr>
              <w:pStyle w:val="13"/>
            </w:pPr>
            <w:r>
              <w:t>三、国防支出</w:t>
            </w:r>
          </w:p>
        </w:tc>
        <w:tc>
          <w:tcPr>
            <w:tcW w:w="1474" w:type="dxa"/>
            <w:vAlign w:val="center"/>
          </w:tcPr>
          <w:p w14:paraId="25BFE370">
            <w:pPr>
              <w:pStyle w:val="14"/>
            </w:pPr>
          </w:p>
        </w:tc>
        <w:tc>
          <w:tcPr>
            <w:tcW w:w="1474" w:type="dxa"/>
            <w:vAlign w:val="center"/>
          </w:tcPr>
          <w:p w14:paraId="02DC475D">
            <w:pPr>
              <w:pStyle w:val="14"/>
            </w:pPr>
          </w:p>
        </w:tc>
        <w:tc>
          <w:tcPr>
            <w:tcW w:w="1474" w:type="dxa"/>
            <w:vAlign w:val="center"/>
          </w:tcPr>
          <w:p w14:paraId="283A82F9">
            <w:pPr>
              <w:pStyle w:val="14"/>
            </w:pPr>
          </w:p>
        </w:tc>
        <w:tc>
          <w:tcPr>
            <w:tcW w:w="1474" w:type="dxa"/>
            <w:vAlign w:val="center"/>
          </w:tcPr>
          <w:p w14:paraId="73FE25DD">
            <w:pPr>
              <w:pStyle w:val="14"/>
            </w:pPr>
          </w:p>
        </w:tc>
      </w:tr>
      <w:tr w14:paraId="7406E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CC8B7">
            <w:pPr>
              <w:pStyle w:val="12"/>
            </w:pPr>
            <w:r>
              <w:t>4</w:t>
            </w:r>
          </w:p>
        </w:tc>
        <w:tc>
          <w:tcPr>
            <w:tcW w:w="3402" w:type="dxa"/>
            <w:vAlign w:val="center"/>
          </w:tcPr>
          <w:p w14:paraId="6539E5FB">
            <w:pPr>
              <w:pStyle w:val="13"/>
            </w:pPr>
          </w:p>
        </w:tc>
        <w:tc>
          <w:tcPr>
            <w:tcW w:w="1474" w:type="dxa"/>
            <w:vAlign w:val="center"/>
          </w:tcPr>
          <w:p w14:paraId="0793DE01">
            <w:pPr>
              <w:pStyle w:val="14"/>
            </w:pPr>
          </w:p>
        </w:tc>
        <w:tc>
          <w:tcPr>
            <w:tcW w:w="3402" w:type="dxa"/>
            <w:vAlign w:val="center"/>
          </w:tcPr>
          <w:p w14:paraId="06E6F468">
            <w:pPr>
              <w:pStyle w:val="13"/>
            </w:pPr>
            <w:r>
              <w:t>四、公共安全支出</w:t>
            </w:r>
          </w:p>
        </w:tc>
        <w:tc>
          <w:tcPr>
            <w:tcW w:w="1474" w:type="dxa"/>
            <w:vAlign w:val="center"/>
          </w:tcPr>
          <w:p w14:paraId="6121CB15">
            <w:pPr>
              <w:pStyle w:val="14"/>
            </w:pPr>
          </w:p>
        </w:tc>
        <w:tc>
          <w:tcPr>
            <w:tcW w:w="1474" w:type="dxa"/>
            <w:vAlign w:val="center"/>
          </w:tcPr>
          <w:p w14:paraId="77599B72">
            <w:pPr>
              <w:pStyle w:val="14"/>
            </w:pPr>
          </w:p>
        </w:tc>
        <w:tc>
          <w:tcPr>
            <w:tcW w:w="1474" w:type="dxa"/>
            <w:vAlign w:val="center"/>
          </w:tcPr>
          <w:p w14:paraId="4B0C18C5">
            <w:pPr>
              <w:pStyle w:val="14"/>
            </w:pPr>
          </w:p>
        </w:tc>
        <w:tc>
          <w:tcPr>
            <w:tcW w:w="1474" w:type="dxa"/>
            <w:vAlign w:val="center"/>
          </w:tcPr>
          <w:p w14:paraId="08E5E3E0">
            <w:pPr>
              <w:pStyle w:val="14"/>
            </w:pPr>
          </w:p>
        </w:tc>
      </w:tr>
      <w:tr w14:paraId="3738D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1A3AB">
            <w:pPr>
              <w:pStyle w:val="12"/>
            </w:pPr>
            <w:r>
              <w:t>5</w:t>
            </w:r>
          </w:p>
        </w:tc>
        <w:tc>
          <w:tcPr>
            <w:tcW w:w="3402" w:type="dxa"/>
            <w:vAlign w:val="center"/>
          </w:tcPr>
          <w:p w14:paraId="23F604D1">
            <w:pPr>
              <w:pStyle w:val="13"/>
            </w:pPr>
          </w:p>
        </w:tc>
        <w:tc>
          <w:tcPr>
            <w:tcW w:w="1474" w:type="dxa"/>
            <w:vAlign w:val="center"/>
          </w:tcPr>
          <w:p w14:paraId="4E1CAF47">
            <w:pPr>
              <w:pStyle w:val="14"/>
            </w:pPr>
          </w:p>
        </w:tc>
        <w:tc>
          <w:tcPr>
            <w:tcW w:w="3402" w:type="dxa"/>
            <w:vAlign w:val="center"/>
          </w:tcPr>
          <w:p w14:paraId="4C13BC18">
            <w:pPr>
              <w:pStyle w:val="13"/>
            </w:pPr>
            <w:r>
              <w:t>五、教育支出</w:t>
            </w:r>
          </w:p>
        </w:tc>
        <w:tc>
          <w:tcPr>
            <w:tcW w:w="1474" w:type="dxa"/>
            <w:vAlign w:val="center"/>
          </w:tcPr>
          <w:p w14:paraId="104C3CE8">
            <w:pPr>
              <w:pStyle w:val="14"/>
            </w:pPr>
            <w:r>
              <w:t>979.75</w:t>
            </w:r>
          </w:p>
        </w:tc>
        <w:tc>
          <w:tcPr>
            <w:tcW w:w="1474" w:type="dxa"/>
            <w:vAlign w:val="center"/>
          </w:tcPr>
          <w:p w14:paraId="1DE6D778">
            <w:pPr>
              <w:pStyle w:val="14"/>
            </w:pPr>
            <w:r>
              <w:t>979.75</w:t>
            </w:r>
          </w:p>
        </w:tc>
        <w:tc>
          <w:tcPr>
            <w:tcW w:w="1474" w:type="dxa"/>
            <w:vAlign w:val="center"/>
          </w:tcPr>
          <w:p w14:paraId="69AD6BEC">
            <w:pPr>
              <w:pStyle w:val="14"/>
            </w:pPr>
          </w:p>
        </w:tc>
        <w:tc>
          <w:tcPr>
            <w:tcW w:w="1474" w:type="dxa"/>
            <w:vAlign w:val="center"/>
          </w:tcPr>
          <w:p w14:paraId="415C06C1">
            <w:pPr>
              <w:pStyle w:val="14"/>
            </w:pPr>
          </w:p>
        </w:tc>
      </w:tr>
      <w:tr w14:paraId="50640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BD67C">
            <w:pPr>
              <w:pStyle w:val="12"/>
            </w:pPr>
            <w:r>
              <w:t>6</w:t>
            </w:r>
          </w:p>
        </w:tc>
        <w:tc>
          <w:tcPr>
            <w:tcW w:w="3402" w:type="dxa"/>
            <w:vAlign w:val="center"/>
          </w:tcPr>
          <w:p w14:paraId="4E1A224F">
            <w:pPr>
              <w:pStyle w:val="13"/>
            </w:pPr>
          </w:p>
        </w:tc>
        <w:tc>
          <w:tcPr>
            <w:tcW w:w="1474" w:type="dxa"/>
            <w:vAlign w:val="center"/>
          </w:tcPr>
          <w:p w14:paraId="50060E03">
            <w:pPr>
              <w:pStyle w:val="14"/>
            </w:pPr>
          </w:p>
        </w:tc>
        <w:tc>
          <w:tcPr>
            <w:tcW w:w="3402" w:type="dxa"/>
            <w:vAlign w:val="center"/>
          </w:tcPr>
          <w:p w14:paraId="590DB4C2">
            <w:pPr>
              <w:pStyle w:val="13"/>
            </w:pPr>
            <w:r>
              <w:t>六、科学技术支出</w:t>
            </w:r>
          </w:p>
        </w:tc>
        <w:tc>
          <w:tcPr>
            <w:tcW w:w="1474" w:type="dxa"/>
            <w:vAlign w:val="center"/>
          </w:tcPr>
          <w:p w14:paraId="006CD4AF">
            <w:pPr>
              <w:pStyle w:val="14"/>
            </w:pPr>
          </w:p>
        </w:tc>
        <w:tc>
          <w:tcPr>
            <w:tcW w:w="1474" w:type="dxa"/>
            <w:vAlign w:val="center"/>
          </w:tcPr>
          <w:p w14:paraId="2A7218A7">
            <w:pPr>
              <w:pStyle w:val="14"/>
            </w:pPr>
          </w:p>
        </w:tc>
        <w:tc>
          <w:tcPr>
            <w:tcW w:w="1474" w:type="dxa"/>
            <w:vAlign w:val="center"/>
          </w:tcPr>
          <w:p w14:paraId="496B74CA">
            <w:pPr>
              <w:pStyle w:val="14"/>
            </w:pPr>
          </w:p>
        </w:tc>
        <w:tc>
          <w:tcPr>
            <w:tcW w:w="1474" w:type="dxa"/>
            <w:vAlign w:val="center"/>
          </w:tcPr>
          <w:p w14:paraId="471CD0F5">
            <w:pPr>
              <w:pStyle w:val="14"/>
            </w:pPr>
          </w:p>
        </w:tc>
      </w:tr>
      <w:tr w14:paraId="6C638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6B9AF">
            <w:pPr>
              <w:pStyle w:val="12"/>
            </w:pPr>
            <w:r>
              <w:t>7</w:t>
            </w:r>
          </w:p>
        </w:tc>
        <w:tc>
          <w:tcPr>
            <w:tcW w:w="3402" w:type="dxa"/>
            <w:vAlign w:val="center"/>
          </w:tcPr>
          <w:p w14:paraId="257A2D89">
            <w:pPr>
              <w:pStyle w:val="13"/>
            </w:pPr>
          </w:p>
        </w:tc>
        <w:tc>
          <w:tcPr>
            <w:tcW w:w="1474" w:type="dxa"/>
            <w:vAlign w:val="center"/>
          </w:tcPr>
          <w:p w14:paraId="7C236D97">
            <w:pPr>
              <w:pStyle w:val="14"/>
            </w:pPr>
          </w:p>
        </w:tc>
        <w:tc>
          <w:tcPr>
            <w:tcW w:w="3402" w:type="dxa"/>
            <w:vAlign w:val="center"/>
          </w:tcPr>
          <w:p w14:paraId="3FDC2AAF">
            <w:pPr>
              <w:pStyle w:val="13"/>
            </w:pPr>
            <w:r>
              <w:t>七、文化旅游体育与传媒支出</w:t>
            </w:r>
          </w:p>
        </w:tc>
        <w:tc>
          <w:tcPr>
            <w:tcW w:w="1474" w:type="dxa"/>
            <w:vAlign w:val="center"/>
          </w:tcPr>
          <w:p w14:paraId="3F85907E">
            <w:pPr>
              <w:pStyle w:val="14"/>
            </w:pPr>
          </w:p>
        </w:tc>
        <w:tc>
          <w:tcPr>
            <w:tcW w:w="1474" w:type="dxa"/>
            <w:vAlign w:val="center"/>
          </w:tcPr>
          <w:p w14:paraId="38E98FF7">
            <w:pPr>
              <w:pStyle w:val="14"/>
            </w:pPr>
          </w:p>
        </w:tc>
        <w:tc>
          <w:tcPr>
            <w:tcW w:w="1474" w:type="dxa"/>
            <w:vAlign w:val="center"/>
          </w:tcPr>
          <w:p w14:paraId="541CEDB4">
            <w:pPr>
              <w:pStyle w:val="14"/>
            </w:pPr>
          </w:p>
        </w:tc>
        <w:tc>
          <w:tcPr>
            <w:tcW w:w="1474" w:type="dxa"/>
            <w:vAlign w:val="center"/>
          </w:tcPr>
          <w:p w14:paraId="5B94227E">
            <w:pPr>
              <w:pStyle w:val="14"/>
            </w:pPr>
          </w:p>
        </w:tc>
      </w:tr>
      <w:tr w14:paraId="0FE02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F0F4D">
            <w:pPr>
              <w:pStyle w:val="12"/>
            </w:pPr>
            <w:r>
              <w:t>8</w:t>
            </w:r>
          </w:p>
        </w:tc>
        <w:tc>
          <w:tcPr>
            <w:tcW w:w="3402" w:type="dxa"/>
            <w:vAlign w:val="center"/>
          </w:tcPr>
          <w:p w14:paraId="38830D3A">
            <w:pPr>
              <w:pStyle w:val="13"/>
            </w:pPr>
          </w:p>
        </w:tc>
        <w:tc>
          <w:tcPr>
            <w:tcW w:w="1474" w:type="dxa"/>
            <w:vAlign w:val="center"/>
          </w:tcPr>
          <w:p w14:paraId="6CB1C95F">
            <w:pPr>
              <w:pStyle w:val="14"/>
            </w:pPr>
          </w:p>
        </w:tc>
        <w:tc>
          <w:tcPr>
            <w:tcW w:w="3402" w:type="dxa"/>
            <w:vAlign w:val="center"/>
          </w:tcPr>
          <w:p w14:paraId="48449920">
            <w:pPr>
              <w:pStyle w:val="13"/>
            </w:pPr>
            <w:r>
              <w:t>八、社会保障和就业支出</w:t>
            </w:r>
          </w:p>
        </w:tc>
        <w:tc>
          <w:tcPr>
            <w:tcW w:w="1474" w:type="dxa"/>
            <w:vAlign w:val="center"/>
          </w:tcPr>
          <w:p w14:paraId="62A5F422">
            <w:pPr>
              <w:pStyle w:val="14"/>
            </w:pPr>
          </w:p>
        </w:tc>
        <w:tc>
          <w:tcPr>
            <w:tcW w:w="1474" w:type="dxa"/>
            <w:vAlign w:val="center"/>
          </w:tcPr>
          <w:p w14:paraId="1C6E965D">
            <w:pPr>
              <w:pStyle w:val="14"/>
            </w:pPr>
          </w:p>
        </w:tc>
        <w:tc>
          <w:tcPr>
            <w:tcW w:w="1474" w:type="dxa"/>
            <w:vAlign w:val="center"/>
          </w:tcPr>
          <w:p w14:paraId="3596063D">
            <w:pPr>
              <w:pStyle w:val="14"/>
            </w:pPr>
          </w:p>
        </w:tc>
        <w:tc>
          <w:tcPr>
            <w:tcW w:w="1474" w:type="dxa"/>
            <w:vAlign w:val="center"/>
          </w:tcPr>
          <w:p w14:paraId="65C23EBB">
            <w:pPr>
              <w:pStyle w:val="14"/>
            </w:pPr>
          </w:p>
        </w:tc>
      </w:tr>
      <w:tr w14:paraId="7154A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A09E0">
            <w:pPr>
              <w:pStyle w:val="12"/>
            </w:pPr>
            <w:r>
              <w:t>9</w:t>
            </w:r>
          </w:p>
        </w:tc>
        <w:tc>
          <w:tcPr>
            <w:tcW w:w="3402" w:type="dxa"/>
            <w:vAlign w:val="center"/>
          </w:tcPr>
          <w:p w14:paraId="254401B0">
            <w:pPr>
              <w:pStyle w:val="13"/>
            </w:pPr>
          </w:p>
        </w:tc>
        <w:tc>
          <w:tcPr>
            <w:tcW w:w="1474" w:type="dxa"/>
            <w:vAlign w:val="center"/>
          </w:tcPr>
          <w:p w14:paraId="08CCA685">
            <w:pPr>
              <w:pStyle w:val="14"/>
            </w:pPr>
          </w:p>
        </w:tc>
        <w:tc>
          <w:tcPr>
            <w:tcW w:w="3402" w:type="dxa"/>
            <w:vAlign w:val="center"/>
          </w:tcPr>
          <w:p w14:paraId="76ECA743">
            <w:pPr>
              <w:pStyle w:val="13"/>
            </w:pPr>
            <w:r>
              <w:t>九、社会保险基金支出</w:t>
            </w:r>
          </w:p>
        </w:tc>
        <w:tc>
          <w:tcPr>
            <w:tcW w:w="1474" w:type="dxa"/>
            <w:vAlign w:val="center"/>
          </w:tcPr>
          <w:p w14:paraId="40057C11">
            <w:pPr>
              <w:pStyle w:val="14"/>
            </w:pPr>
          </w:p>
        </w:tc>
        <w:tc>
          <w:tcPr>
            <w:tcW w:w="1474" w:type="dxa"/>
            <w:vAlign w:val="center"/>
          </w:tcPr>
          <w:p w14:paraId="366D6E70">
            <w:pPr>
              <w:pStyle w:val="14"/>
            </w:pPr>
          </w:p>
        </w:tc>
        <w:tc>
          <w:tcPr>
            <w:tcW w:w="1474" w:type="dxa"/>
            <w:vAlign w:val="center"/>
          </w:tcPr>
          <w:p w14:paraId="5C9B90D8">
            <w:pPr>
              <w:pStyle w:val="14"/>
            </w:pPr>
          </w:p>
        </w:tc>
        <w:tc>
          <w:tcPr>
            <w:tcW w:w="1474" w:type="dxa"/>
            <w:vAlign w:val="center"/>
          </w:tcPr>
          <w:p w14:paraId="17AD7E7D">
            <w:pPr>
              <w:pStyle w:val="14"/>
            </w:pPr>
          </w:p>
        </w:tc>
      </w:tr>
      <w:tr w14:paraId="02AA3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2AB62">
            <w:pPr>
              <w:pStyle w:val="12"/>
            </w:pPr>
            <w:r>
              <w:t>10</w:t>
            </w:r>
          </w:p>
        </w:tc>
        <w:tc>
          <w:tcPr>
            <w:tcW w:w="3402" w:type="dxa"/>
            <w:vAlign w:val="center"/>
          </w:tcPr>
          <w:p w14:paraId="24E7D027">
            <w:pPr>
              <w:pStyle w:val="13"/>
            </w:pPr>
          </w:p>
        </w:tc>
        <w:tc>
          <w:tcPr>
            <w:tcW w:w="1474" w:type="dxa"/>
            <w:vAlign w:val="center"/>
          </w:tcPr>
          <w:p w14:paraId="56314C47">
            <w:pPr>
              <w:pStyle w:val="14"/>
            </w:pPr>
          </w:p>
        </w:tc>
        <w:tc>
          <w:tcPr>
            <w:tcW w:w="3402" w:type="dxa"/>
            <w:vAlign w:val="center"/>
          </w:tcPr>
          <w:p w14:paraId="0725A3D8">
            <w:pPr>
              <w:pStyle w:val="13"/>
            </w:pPr>
            <w:r>
              <w:t>十、卫生健康支出</w:t>
            </w:r>
          </w:p>
        </w:tc>
        <w:tc>
          <w:tcPr>
            <w:tcW w:w="1474" w:type="dxa"/>
            <w:vAlign w:val="center"/>
          </w:tcPr>
          <w:p w14:paraId="25775ADC">
            <w:pPr>
              <w:pStyle w:val="14"/>
            </w:pPr>
          </w:p>
        </w:tc>
        <w:tc>
          <w:tcPr>
            <w:tcW w:w="1474" w:type="dxa"/>
            <w:vAlign w:val="center"/>
          </w:tcPr>
          <w:p w14:paraId="4F2AE87B">
            <w:pPr>
              <w:pStyle w:val="14"/>
            </w:pPr>
          </w:p>
        </w:tc>
        <w:tc>
          <w:tcPr>
            <w:tcW w:w="1474" w:type="dxa"/>
            <w:vAlign w:val="center"/>
          </w:tcPr>
          <w:p w14:paraId="4F1D64DB">
            <w:pPr>
              <w:pStyle w:val="14"/>
            </w:pPr>
          </w:p>
        </w:tc>
        <w:tc>
          <w:tcPr>
            <w:tcW w:w="1474" w:type="dxa"/>
            <w:vAlign w:val="center"/>
          </w:tcPr>
          <w:p w14:paraId="4DF46D42">
            <w:pPr>
              <w:pStyle w:val="14"/>
            </w:pPr>
          </w:p>
        </w:tc>
      </w:tr>
      <w:tr w14:paraId="44DAF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C131C">
            <w:pPr>
              <w:pStyle w:val="12"/>
            </w:pPr>
            <w:r>
              <w:t>11</w:t>
            </w:r>
          </w:p>
        </w:tc>
        <w:tc>
          <w:tcPr>
            <w:tcW w:w="3402" w:type="dxa"/>
            <w:vAlign w:val="center"/>
          </w:tcPr>
          <w:p w14:paraId="3AB414AF">
            <w:pPr>
              <w:pStyle w:val="13"/>
            </w:pPr>
          </w:p>
        </w:tc>
        <w:tc>
          <w:tcPr>
            <w:tcW w:w="1474" w:type="dxa"/>
            <w:vAlign w:val="center"/>
          </w:tcPr>
          <w:p w14:paraId="45EE84F8">
            <w:pPr>
              <w:pStyle w:val="14"/>
            </w:pPr>
          </w:p>
        </w:tc>
        <w:tc>
          <w:tcPr>
            <w:tcW w:w="3402" w:type="dxa"/>
            <w:vAlign w:val="center"/>
          </w:tcPr>
          <w:p w14:paraId="05AEC60F">
            <w:pPr>
              <w:pStyle w:val="13"/>
            </w:pPr>
            <w:r>
              <w:t>十一、节能环保支出</w:t>
            </w:r>
          </w:p>
        </w:tc>
        <w:tc>
          <w:tcPr>
            <w:tcW w:w="1474" w:type="dxa"/>
            <w:vAlign w:val="center"/>
          </w:tcPr>
          <w:p w14:paraId="536C2B3B">
            <w:pPr>
              <w:pStyle w:val="14"/>
            </w:pPr>
          </w:p>
        </w:tc>
        <w:tc>
          <w:tcPr>
            <w:tcW w:w="1474" w:type="dxa"/>
            <w:vAlign w:val="center"/>
          </w:tcPr>
          <w:p w14:paraId="62E9BEDA">
            <w:pPr>
              <w:pStyle w:val="14"/>
            </w:pPr>
          </w:p>
        </w:tc>
        <w:tc>
          <w:tcPr>
            <w:tcW w:w="1474" w:type="dxa"/>
            <w:vAlign w:val="center"/>
          </w:tcPr>
          <w:p w14:paraId="134F0600">
            <w:pPr>
              <w:pStyle w:val="14"/>
            </w:pPr>
          </w:p>
        </w:tc>
        <w:tc>
          <w:tcPr>
            <w:tcW w:w="1474" w:type="dxa"/>
            <w:vAlign w:val="center"/>
          </w:tcPr>
          <w:p w14:paraId="22E027DD">
            <w:pPr>
              <w:pStyle w:val="14"/>
            </w:pPr>
          </w:p>
        </w:tc>
      </w:tr>
      <w:tr w14:paraId="625BF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89773">
            <w:pPr>
              <w:pStyle w:val="12"/>
            </w:pPr>
            <w:r>
              <w:t>12</w:t>
            </w:r>
          </w:p>
        </w:tc>
        <w:tc>
          <w:tcPr>
            <w:tcW w:w="3402" w:type="dxa"/>
            <w:vAlign w:val="center"/>
          </w:tcPr>
          <w:p w14:paraId="1743293C">
            <w:pPr>
              <w:pStyle w:val="13"/>
            </w:pPr>
          </w:p>
        </w:tc>
        <w:tc>
          <w:tcPr>
            <w:tcW w:w="1474" w:type="dxa"/>
            <w:vAlign w:val="center"/>
          </w:tcPr>
          <w:p w14:paraId="3C989EC9">
            <w:pPr>
              <w:pStyle w:val="14"/>
            </w:pPr>
          </w:p>
        </w:tc>
        <w:tc>
          <w:tcPr>
            <w:tcW w:w="3402" w:type="dxa"/>
            <w:vAlign w:val="center"/>
          </w:tcPr>
          <w:p w14:paraId="1501E9E4">
            <w:pPr>
              <w:pStyle w:val="13"/>
            </w:pPr>
            <w:r>
              <w:t>十二、城乡社区支出</w:t>
            </w:r>
          </w:p>
        </w:tc>
        <w:tc>
          <w:tcPr>
            <w:tcW w:w="1474" w:type="dxa"/>
            <w:vAlign w:val="center"/>
          </w:tcPr>
          <w:p w14:paraId="65FE9455">
            <w:pPr>
              <w:pStyle w:val="14"/>
            </w:pPr>
          </w:p>
        </w:tc>
        <w:tc>
          <w:tcPr>
            <w:tcW w:w="1474" w:type="dxa"/>
            <w:vAlign w:val="center"/>
          </w:tcPr>
          <w:p w14:paraId="5445E8F8">
            <w:pPr>
              <w:pStyle w:val="14"/>
            </w:pPr>
          </w:p>
        </w:tc>
        <w:tc>
          <w:tcPr>
            <w:tcW w:w="1474" w:type="dxa"/>
            <w:vAlign w:val="center"/>
          </w:tcPr>
          <w:p w14:paraId="38DEC1BC">
            <w:pPr>
              <w:pStyle w:val="14"/>
            </w:pPr>
          </w:p>
        </w:tc>
        <w:tc>
          <w:tcPr>
            <w:tcW w:w="1474" w:type="dxa"/>
            <w:vAlign w:val="center"/>
          </w:tcPr>
          <w:p w14:paraId="6C79BCFB">
            <w:pPr>
              <w:pStyle w:val="14"/>
            </w:pPr>
          </w:p>
        </w:tc>
      </w:tr>
      <w:tr w14:paraId="3183C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39973">
            <w:pPr>
              <w:pStyle w:val="12"/>
            </w:pPr>
            <w:r>
              <w:t>13</w:t>
            </w:r>
          </w:p>
        </w:tc>
        <w:tc>
          <w:tcPr>
            <w:tcW w:w="3402" w:type="dxa"/>
            <w:vAlign w:val="center"/>
          </w:tcPr>
          <w:p w14:paraId="73065CCD">
            <w:pPr>
              <w:pStyle w:val="13"/>
            </w:pPr>
          </w:p>
        </w:tc>
        <w:tc>
          <w:tcPr>
            <w:tcW w:w="1474" w:type="dxa"/>
            <w:vAlign w:val="center"/>
          </w:tcPr>
          <w:p w14:paraId="6F826150">
            <w:pPr>
              <w:pStyle w:val="14"/>
            </w:pPr>
          </w:p>
        </w:tc>
        <w:tc>
          <w:tcPr>
            <w:tcW w:w="3402" w:type="dxa"/>
            <w:vAlign w:val="center"/>
          </w:tcPr>
          <w:p w14:paraId="59EAC351">
            <w:pPr>
              <w:pStyle w:val="13"/>
            </w:pPr>
            <w:r>
              <w:t>十三、农林水支出</w:t>
            </w:r>
          </w:p>
        </w:tc>
        <w:tc>
          <w:tcPr>
            <w:tcW w:w="1474" w:type="dxa"/>
            <w:vAlign w:val="center"/>
          </w:tcPr>
          <w:p w14:paraId="5D2A80A4">
            <w:pPr>
              <w:pStyle w:val="14"/>
            </w:pPr>
          </w:p>
        </w:tc>
        <w:tc>
          <w:tcPr>
            <w:tcW w:w="1474" w:type="dxa"/>
            <w:vAlign w:val="center"/>
          </w:tcPr>
          <w:p w14:paraId="5C9138C6">
            <w:pPr>
              <w:pStyle w:val="14"/>
            </w:pPr>
          </w:p>
        </w:tc>
        <w:tc>
          <w:tcPr>
            <w:tcW w:w="1474" w:type="dxa"/>
            <w:vAlign w:val="center"/>
          </w:tcPr>
          <w:p w14:paraId="1FB5863C">
            <w:pPr>
              <w:pStyle w:val="14"/>
            </w:pPr>
          </w:p>
        </w:tc>
        <w:tc>
          <w:tcPr>
            <w:tcW w:w="1474" w:type="dxa"/>
            <w:vAlign w:val="center"/>
          </w:tcPr>
          <w:p w14:paraId="46E1346B">
            <w:pPr>
              <w:pStyle w:val="14"/>
            </w:pPr>
          </w:p>
        </w:tc>
      </w:tr>
      <w:tr w14:paraId="7AA47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201AE">
            <w:pPr>
              <w:pStyle w:val="12"/>
            </w:pPr>
            <w:r>
              <w:t>14</w:t>
            </w:r>
          </w:p>
        </w:tc>
        <w:tc>
          <w:tcPr>
            <w:tcW w:w="3402" w:type="dxa"/>
            <w:vAlign w:val="center"/>
          </w:tcPr>
          <w:p w14:paraId="2FF03DA9">
            <w:pPr>
              <w:pStyle w:val="13"/>
            </w:pPr>
          </w:p>
        </w:tc>
        <w:tc>
          <w:tcPr>
            <w:tcW w:w="1474" w:type="dxa"/>
            <w:vAlign w:val="center"/>
          </w:tcPr>
          <w:p w14:paraId="674BC243">
            <w:pPr>
              <w:pStyle w:val="14"/>
            </w:pPr>
          </w:p>
        </w:tc>
        <w:tc>
          <w:tcPr>
            <w:tcW w:w="3402" w:type="dxa"/>
            <w:vAlign w:val="center"/>
          </w:tcPr>
          <w:p w14:paraId="039536C4">
            <w:pPr>
              <w:pStyle w:val="13"/>
            </w:pPr>
            <w:r>
              <w:t>十四、交通运输支出</w:t>
            </w:r>
          </w:p>
        </w:tc>
        <w:tc>
          <w:tcPr>
            <w:tcW w:w="1474" w:type="dxa"/>
            <w:vAlign w:val="center"/>
          </w:tcPr>
          <w:p w14:paraId="59524111">
            <w:pPr>
              <w:pStyle w:val="14"/>
            </w:pPr>
          </w:p>
        </w:tc>
        <w:tc>
          <w:tcPr>
            <w:tcW w:w="1474" w:type="dxa"/>
            <w:vAlign w:val="center"/>
          </w:tcPr>
          <w:p w14:paraId="09899338">
            <w:pPr>
              <w:pStyle w:val="14"/>
            </w:pPr>
          </w:p>
        </w:tc>
        <w:tc>
          <w:tcPr>
            <w:tcW w:w="1474" w:type="dxa"/>
            <w:vAlign w:val="center"/>
          </w:tcPr>
          <w:p w14:paraId="6207CB5F">
            <w:pPr>
              <w:pStyle w:val="14"/>
            </w:pPr>
          </w:p>
        </w:tc>
        <w:tc>
          <w:tcPr>
            <w:tcW w:w="1474" w:type="dxa"/>
            <w:vAlign w:val="center"/>
          </w:tcPr>
          <w:p w14:paraId="23CA63CA">
            <w:pPr>
              <w:pStyle w:val="14"/>
            </w:pPr>
          </w:p>
        </w:tc>
      </w:tr>
      <w:tr w14:paraId="4CB33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1C4CF">
            <w:pPr>
              <w:pStyle w:val="12"/>
            </w:pPr>
            <w:r>
              <w:t>15</w:t>
            </w:r>
          </w:p>
        </w:tc>
        <w:tc>
          <w:tcPr>
            <w:tcW w:w="3402" w:type="dxa"/>
            <w:vAlign w:val="center"/>
          </w:tcPr>
          <w:p w14:paraId="0C19AADF">
            <w:pPr>
              <w:pStyle w:val="13"/>
            </w:pPr>
          </w:p>
        </w:tc>
        <w:tc>
          <w:tcPr>
            <w:tcW w:w="1474" w:type="dxa"/>
            <w:vAlign w:val="center"/>
          </w:tcPr>
          <w:p w14:paraId="4D6B958C">
            <w:pPr>
              <w:pStyle w:val="14"/>
            </w:pPr>
          </w:p>
        </w:tc>
        <w:tc>
          <w:tcPr>
            <w:tcW w:w="3402" w:type="dxa"/>
            <w:vAlign w:val="center"/>
          </w:tcPr>
          <w:p w14:paraId="0DD3B01B">
            <w:pPr>
              <w:pStyle w:val="13"/>
            </w:pPr>
            <w:r>
              <w:t>十五、资源勘探工业信息等支出</w:t>
            </w:r>
          </w:p>
        </w:tc>
        <w:tc>
          <w:tcPr>
            <w:tcW w:w="1474" w:type="dxa"/>
            <w:vAlign w:val="center"/>
          </w:tcPr>
          <w:p w14:paraId="48BB3117">
            <w:pPr>
              <w:pStyle w:val="14"/>
            </w:pPr>
          </w:p>
        </w:tc>
        <w:tc>
          <w:tcPr>
            <w:tcW w:w="1474" w:type="dxa"/>
            <w:vAlign w:val="center"/>
          </w:tcPr>
          <w:p w14:paraId="58A30B5C">
            <w:pPr>
              <w:pStyle w:val="14"/>
            </w:pPr>
          </w:p>
        </w:tc>
        <w:tc>
          <w:tcPr>
            <w:tcW w:w="1474" w:type="dxa"/>
            <w:vAlign w:val="center"/>
          </w:tcPr>
          <w:p w14:paraId="5DBDC931">
            <w:pPr>
              <w:pStyle w:val="14"/>
            </w:pPr>
          </w:p>
        </w:tc>
        <w:tc>
          <w:tcPr>
            <w:tcW w:w="1474" w:type="dxa"/>
            <w:vAlign w:val="center"/>
          </w:tcPr>
          <w:p w14:paraId="40B60ADF">
            <w:pPr>
              <w:pStyle w:val="14"/>
            </w:pPr>
          </w:p>
        </w:tc>
      </w:tr>
      <w:tr w14:paraId="3DBD9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F3055">
            <w:pPr>
              <w:pStyle w:val="12"/>
            </w:pPr>
            <w:r>
              <w:t>16</w:t>
            </w:r>
          </w:p>
        </w:tc>
        <w:tc>
          <w:tcPr>
            <w:tcW w:w="3402" w:type="dxa"/>
            <w:vAlign w:val="center"/>
          </w:tcPr>
          <w:p w14:paraId="623AA51E">
            <w:pPr>
              <w:pStyle w:val="13"/>
            </w:pPr>
          </w:p>
        </w:tc>
        <w:tc>
          <w:tcPr>
            <w:tcW w:w="1474" w:type="dxa"/>
            <w:vAlign w:val="center"/>
          </w:tcPr>
          <w:p w14:paraId="4650603E">
            <w:pPr>
              <w:pStyle w:val="14"/>
            </w:pPr>
          </w:p>
        </w:tc>
        <w:tc>
          <w:tcPr>
            <w:tcW w:w="3402" w:type="dxa"/>
            <w:vAlign w:val="center"/>
          </w:tcPr>
          <w:p w14:paraId="7AF3789D">
            <w:pPr>
              <w:pStyle w:val="13"/>
            </w:pPr>
            <w:r>
              <w:t>十六、商业服务业等支出</w:t>
            </w:r>
          </w:p>
        </w:tc>
        <w:tc>
          <w:tcPr>
            <w:tcW w:w="1474" w:type="dxa"/>
            <w:vAlign w:val="center"/>
          </w:tcPr>
          <w:p w14:paraId="059E3F83">
            <w:pPr>
              <w:pStyle w:val="14"/>
            </w:pPr>
          </w:p>
        </w:tc>
        <w:tc>
          <w:tcPr>
            <w:tcW w:w="1474" w:type="dxa"/>
            <w:vAlign w:val="center"/>
          </w:tcPr>
          <w:p w14:paraId="5BFC1AF6">
            <w:pPr>
              <w:pStyle w:val="14"/>
            </w:pPr>
          </w:p>
        </w:tc>
        <w:tc>
          <w:tcPr>
            <w:tcW w:w="1474" w:type="dxa"/>
            <w:vAlign w:val="center"/>
          </w:tcPr>
          <w:p w14:paraId="0256F62C">
            <w:pPr>
              <w:pStyle w:val="14"/>
            </w:pPr>
          </w:p>
        </w:tc>
        <w:tc>
          <w:tcPr>
            <w:tcW w:w="1474" w:type="dxa"/>
            <w:vAlign w:val="center"/>
          </w:tcPr>
          <w:p w14:paraId="07F029F7">
            <w:pPr>
              <w:pStyle w:val="14"/>
            </w:pPr>
          </w:p>
        </w:tc>
      </w:tr>
      <w:tr w14:paraId="50C53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2A7A8">
            <w:pPr>
              <w:pStyle w:val="12"/>
            </w:pPr>
            <w:r>
              <w:t>17</w:t>
            </w:r>
          </w:p>
        </w:tc>
        <w:tc>
          <w:tcPr>
            <w:tcW w:w="3402" w:type="dxa"/>
            <w:vAlign w:val="center"/>
          </w:tcPr>
          <w:p w14:paraId="42A02E17">
            <w:pPr>
              <w:pStyle w:val="13"/>
            </w:pPr>
          </w:p>
        </w:tc>
        <w:tc>
          <w:tcPr>
            <w:tcW w:w="1474" w:type="dxa"/>
            <w:vAlign w:val="center"/>
          </w:tcPr>
          <w:p w14:paraId="0462ABE9">
            <w:pPr>
              <w:pStyle w:val="14"/>
            </w:pPr>
          </w:p>
        </w:tc>
        <w:tc>
          <w:tcPr>
            <w:tcW w:w="3402" w:type="dxa"/>
            <w:vAlign w:val="center"/>
          </w:tcPr>
          <w:p w14:paraId="47FD1E3D">
            <w:pPr>
              <w:pStyle w:val="13"/>
            </w:pPr>
            <w:r>
              <w:t>十七、金融支出</w:t>
            </w:r>
          </w:p>
        </w:tc>
        <w:tc>
          <w:tcPr>
            <w:tcW w:w="1474" w:type="dxa"/>
            <w:vAlign w:val="center"/>
          </w:tcPr>
          <w:p w14:paraId="21FB2BEC">
            <w:pPr>
              <w:pStyle w:val="14"/>
            </w:pPr>
          </w:p>
        </w:tc>
        <w:tc>
          <w:tcPr>
            <w:tcW w:w="1474" w:type="dxa"/>
            <w:vAlign w:val="center"/>
          </w:tcPr>
          <w:p w14:paraId="153FEC93">
            <w:pPr>
              <w:pStyle w:val="14"/>
            </w:pPr>
          </w:p>
        </w:tc>
        <w:tc>
          <w:tcPr>
            <w:tcW w:w="1474" w:type="dxa"/>
            <w:vAlign w:val="center"/>
          </w:tcPr>
          <w:p w14:paraId="12E9416E">
            <w:pPr>
              <w:pStyle w:val="14"/>
            </w:pPr>
          </w:p>
        </w:tc>
        <w:tc>
          <w:tcPr>
            <w:tcW w:w="1474" w:type="dxa"/>
            <w:vAlign w:val="center"/>
          </w:tcPr>
          <w:p w14:paraId="4CE69AED">
            <w:pPr>
              <w:pStyle w:val="14"/>
            </w:pPr>
          </w:p>
        </w:tc>
      </w:tr>
      <w:tr w14:paraId="2BD7F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A283B">
            <w:pPr>
              <w:pStyle w:val="12"/>
            </w:pPr>
            <w:r>
              <w:t>18</w:t>
            </w:r>
          </w:p>
        </w:tc>
        <w:tc>
          <w:tcPr>
            <w:tcW w:w="3402" w:type="dxa"/>
            <w:vAlign w:val="center"/>
          </w:tcPr>
          <w:p w14:paraId="3E9D34C3">
            <w:pPr>
              <w:pStyle w:val="13"/>
            </w:pPr>
          </w:p>
        </w:tc>
        <w:tc>
          <w:tcPr>
            <w:tcW w:w="1474" w:type="dxa"/>
            <w:vAlign w:val="center"/>
          </w:tcPr>
          <w:p w14:paraId="137815E1">
            <w:pPr>
              <w:pStyle w:val="14"/>
            </w:pPr>
          </w:p>
        </w:tc>
        <w:tc>
          <w:tcPr>
            <w:tcW w:w="3402" w:type="dxa"/>
            <w:vAlign w:val="center"/>
          </w:tcPr>
          <w:p w14:paraId="0DEA6C46">
            <w:pPr>
              <w:pStyle w:val="13"/>
            </w:pPr>
            <w:r>
              <w:t>十八、援助其他地区支出</w:t>
            </w:r>
          </w:p>
        </w:tc>
        <w:tc>
          <w:tcPr>
            <w:tcW w:w="1474" w:type="dxa"/>
            <w:vAlign w:val="center"/>
          </w:tcPr>
          <w:p w14:paraId="7B712422">
            <w:pPr>
              <w:pStyle w:val="14"/>
            </w:pPr>
          </w:p>
        </w:tc>
        <w:tc>
          <w:tcPr>
            <w:tcW w:w="1474" w:type="dxa"/>
            <w:vAlign w:val="center"/>
          </w:tcPr>
          <w:p w14:paraId="2F9A040A">
            <w:pPr>
              <w:pStyle w:val="14"/>
            </w:pPr>
          </w:p>
        </w:tc>
        <w:tc>
          <w:tcPr>
            <w:tcW w:w="1474" w:type="dxa"/>
            <w:vAlign w:val="center"/>
          </w:tcPr>
          <w:p w14:paraId="1E9FE63E">
            <w:pPr>
              <w:pStyle w:val="14"/>
            </w:pPr>
          </w:p>
        </w:tc>
        <w:tc>
          <w:tcPr>
            <w:tcW w:w="1474" w:type="dxa"/>
            <w:vAlign w:val="center"/>
          </w:tcPr>
          <w:p w14:paraId="4AFB2ECE">
            <w:pPr>
              <w:pStyle w:val="14"/>
            </w:pPr>
          </w:p>
        </w:tc>
      </w:tr>
      <w:tr w14:paraId="27C61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BEBCF">
            <w:pPr>
              <w:pStyle w:val="12"/>
            </w:pPr>
            <w:r>
              <w:t>19</w:t>
            </w:r>
          </w:p>
        </w:tc>
        <w:tc>
          <w:tcPr>
            <w:tcW w:w="3402" w:type="dxa"/>
            <w:vAlign w:val="center"/>
          </w:tcPr>
          <w:p w14:paraId="33D09190">
            <w:pPr>
              <w:pStyle w:val="13"/>
            </w:pPr>
          </w:p>
        </w:tc>
        <w:tc>
          <w:tcPr>
            <w:tcW w:w="1474" w:type="dxa"/>
            <w:vAlign w:val="center"/>
          </w:tcPr>
          <w:p w14:paraId="23BDDCB8">
            <w:pPr>
              <w:pStyle w:val="14"/>
            </w:pPr>
          </w:p>
        </w:tc>
        <w:tc>
          <w:tcPr>
            <w:tcW w:w="3402" w:type="dxa"/>
            <w:vAlign w:val="center"/>
          </w:tcPr>
          <w:p w14:paraId="0A1DC11B">
            <w:pPr>
              <w:pStyle w:val="13"/>
            </w:pPr>
            <w:r>
              <w:t>十九、自然资源海洋气象等支出</w:t>
            </w:r>
          </w:p>
        </w:tc>
        <w:tc>
          <w:tcPr>
            <w:tcW w:w="1474" w:type="dxa"/>
            <w:vAlign w:val="center"/>
          </w:tcPr>
          <w:p w14:paraId="5D20BDF1">
            <w:pPr>
              <w:pStyle w:val="14"/>
            </w:pPr>
          </w:p>
        </w:tc>
        <w:tc>
          <w:tcPr>
            <w:tcW w:w="1474" w:type="dxa"/>
            <w:vAlign w:val="center"/>
          </w:tcPr>
          <w:p w14:paraId="3F4D3102">
            <w:pPr>
              <w:pStyle w:val="14"/>
            </w:pPr>
          </w:p>
        </w:tc>
        <w:tc>
          <w:tcPr>
            <w:tcW w:w="1474" w:type="dxa"/>
            <w:vAlign w:val="center"/>
          </w:tcPr>
          <w:p w14:paraId="2D102ACB">
            <w:pPr>
              <w:pStyle w:val="14"/>
            </w:pPr>
          </w:p>
        </w:tc>
        <w:tc>
          <w:tcPr>
            <w:tcW w:w="1474" w:type="dxa"/>
            <w:vAlign w:val="center"/>
          </w:tcPr>
          <w:p w14:paraId="33579165">
            <w:pPr>
              <w:pStyle w:val="14"/>
            </w:pPr>
          </w:p>
        </w:tc>
      </w:tr>
      <w:tr w14:paraId="2D134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453A4">
            <w:pPr>
              <w:pStyle w:val="12"/>
            </w:pPr>
            <w:r>
              <w:t>20</w:t>
            </w:r>
          </w:p>
        </w:tc>
        <w:tc>
          <w:tcPr>
            <w:tcW w:w="3402" w:type="dxa"/>
            <w:vAlign w:val="center"/>
          </w:tcPr>
          <w:p w14:paraId="08F46778">
            <w:pPr>
              <w:pStyle w:val="13"/>
            </w:pPr>
          </w:p>
        </w:tc>
        <w:tc>
          <w:tcPr>
            <w:tcW w:w="1474" w:type="dxa"/>
            <w:vAlign w:val="center"/>
          </w:tcPr>
          <w:p w14:paraId="34BC0862">
            <w:pPr>
              <w:pStyle w:val="14"/>
            </w:pPr>
          </w:p>
        </w:tc>
        <w:tc>
          <w:tcPr>
            <w:tcW w:w="3402" w:type="dxa"/>
            <w:vAlign w:val="center"/>
          </w:tcPr>
          <w:p w14:paraId="59F24A56">
            <w:pPr>
              <w:pStyle w:val="13"/>
            </w:pPr>
            <w:r>
              <w:t>二十、住房保障支出</w:t>
            </w:r>
          </w:p>
        </w:tc>
        <w:tc>
          <w:tcPr>
            <w:tcW w:w="1474" w:type="dxa"/>
            <w:vAlign w:val="center"/>
          </w:tcPr>
          <w:p w14:paraId="5340C363">
            <w:pPr>
              <w:pStyle w:val="14"/>
            </w:pPr>
          </w:p>
        </w:tc>
        <w:tc>
          <w:tcPr>
            <w:tcW w:w="1474" w:type="dxa"/>
            <w:vAlign w:val="center"/>
          </w:tcPr>
          <w:p w14:paraId="34017106">
            <w:pPr>
              <w:pStyle w:val="14"/>
            </w:pPr>
          </w:p>
        </w:tc>
        <w:tc>
          <w:tcPr>
            <w:tcW w:w="1474" w:type="dxa"/>
            <w:vAlign w:val="center"/>
          </w:tcPr>
          <w:p w14:paraId="2EEC7E4F">
            <w:pPr>
              <w:pStyle w:val="14"/>
            </w:pPr>
          </w:p>
        </w:tc>
        <w:tc>
          <w:tcPr>
            <w:tcW w:w="1474" w:type="dxa"/>
            <w:vAlign w:val="center"/>
          </w:tcPr>
          <w:p w14:paraId="25CBE68B">
            <w:pPr>
              <w:pStyle w:val="14"/>
            </w:pPr>
          </w:p>
        </w:tc>
      </w:tr>
      <w:tr w14:paraId="7639A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C8029">
            <w:pPr>
              <w:pStyle w:val="12"/>
            </w:pPr>
            <w:r>
              <w:t>21</w:t>
            </w:r>
          </w:p>
        </w:tc>
        <w:tc>
          <w:tcPr>
            <w:tcW w:w="3402" w:type="dxa"/>
            <w:vAlign w:val="center"/>
          </w:tcPr>
          <w:p w14:paraId="6FA83BDF">
            <w:pPr>
              <w:pStyle w:val="13"/>
            </w:pPr>
          </w:p>
        </w:tc>
        <w:tc>
          <w:tcPr>
            <w:tcW w:w="1474" w:type="dxa"/>
            <w:vAlign w:val="center"/>
          </w:tcPr>
          <w:p w14:paraId="09B26AE5">
            <w:pPr>
              <w:pStyle w:val="14"/>
            </w:pPr>
          </w:p>
        </w:tc>
        <w:tc>
          <w:tcPr>
            <w:tcW w:w="3402" w:type="dxa"/>
            <w:vAlign w:val="center"/>
          </w:tcPr>
          <w:p w14:paraId="67C0585D">
            <w:pPr>
              <w:pStyle w:val="13"/>
            </w:pPr>
            <w:r>
              <w:t>二十一、粮油物资储备支出</w:t>
            </w:r>
          </w:p>
        </w:tc>
        <w:tc>
          <w:tcPr>
            <w:tcW w:w="1474" w:type="dxa"/>
            <w:vAlign w:val="center"/>
          </w:tcPr>
          <w:p w14:paraId="5AF7C9D1">
            <w:pPr>
              <w:pStyle w:val="14"/>
            </w:pPr>
          </w:p>
        </w:tc>
        <w:tc>
          <w:tcPr>
            <w:tcW w:w="1474" w:type="dxa"/>
            <w:vAlign w:val="center"/>
          </w:tcPr>
          <w:p w14:paraId="07D5DDAD">
            <w:pPr>
              <w:pStyle w:val="14"/>
            </w:pPr>
          </w:p>
        </w:tc>
        <w:tc>
          <w:tcPr>
            <w:tcW w:w="1474" w:type="dxa"/>
            <w:vAlign w:val="center"/>
          </w:tcPr>
          <w:p w14:paraId="2CFB145F">
            <w:pPr>
              <w:pStyle w:val="14"/>
            </w:pPr>
          </w:p>
        </w:tc>
        <w:tc>
          <w:tcPr>
            <w:tcW w:w="1474" w:type="dxa"/>
            <w:vAlign w:val="center"/>
          </w:tcPr>
          <w:p w14:paraId="21B952BF">
            <w:pPr>
              <w:pStyle w:val="14"/>
            </w:pPr>
          </w:p>
        </w:tc>
      </w:tr>
      <w:tr w14:paraId="5EAE6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57164">
            <w:pPr>
              <w:pStyle w:val="12"/>
            </w:pPr>
            <w:r>
              <w:t>22</w:t>
            </w:r>
          </w:p>
        </w:tc>
        <w:tc>
          <w:tcPr>
            <w:tcW w:w="3402" w:type="dxa"/>
            <w:vAlign w:val="center"/>
          </w:tcPr>
          <w:p w14:paraId="111D4831">
            <w:pPr>
              <w:pStyle w:val="13"/>
            </w:pPr>
          </w:p>
        </w:tc>
        <w:tc>
          <w:tcPr>
            <w:tcW w:w="1474" w:type="dxa"/>
            <w:vAlign w:val="center"/>
          </w:tcPr>
          <w:p w14:paraId="1465D5F2">
            <w:pPr>
              <w:pStyle w:val="14"/>
            </w:pPr>
          </w:p>
        </w:tc>
        <w:tc>
          <w:tcPr>
            <w:tcW w:w="3402" w:type="dxa"/>
            <w:vAlign w:val="center"/>
          </w:tcPr>
          <w:p w14:paraId="15EBD707">
            <w:pPr>
              <w:pStyle w:val="13"/>
            </w:pPr>
            <w:r>
              <w:t>二十二、国有资本经营预算支出</w:t>
            </w:r>
          </w:p>
        </w:tc>
        <w:tc>
          <w:tcPr>
            <w:tcW w:w="1474" w:type="dxa"/>
            <w:vAlign w:val="center"/>
          </w:tcPr>
          <w:p w14:paraId="67299CBA">
            <w:pPr>
              <w:pStyle w:val="14"/>
            </w:pPr>
          </w:p>
        </w:tc>
        <w:tc>
          <w:tcPr>
            <w:tcW w:w="1474" w:type="dxa"/>
            <w:vAlign w:val="center"/>
          </w:tcPr>
          <w:p w14:paraId="3FBA84A8">
            <w:pPr>
              <w:pStyle w:val="14"/>
            </w:pPr>
          </w:p>
        </w:tc>
        <w:tc>
          <w:tcPr>
            <w:tcW w:w="1474" w:type="dxa"/>
            <w:vAlign w:val="center"/>
          </w:tcPr>
          <w:p w14:paraId="38C79E43">
            <w:pPr>
              <w:pStyle w:val="14"/>
            </w:pPr>
          </w:p>
        </w:tc>
        <w:tc>
          <w:tcPr>
            <w:tcW w:w="1474" w:type="dxa"/>
            <w:vAlign w:val="center"/>
          </w:tcPr>
          <w:p w14:paraId="26DC6C01">
            <w:pPr>
              <w:pStyle w:val="14"/>
            </w:pPr>
          </w:p>
        </w:tc>
      </w:tr>
      <w:tr w14:paraId="0C0A9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EE3EB">
            <w:pPr>
              <w:pStyle w:val="12"/>
            </w:pPr>
            <w:r>
              <w:t>23</w:t>
            </w:r>
          </w:p>
        </w:tc>
        <w:tc>
          <w:tcPr>
            <w:tcW w:w="3402" w:type="dxa"/>
            <w:vAlign w:val="center"/>
          </w:tcPr>
          <w:p w14:paraId="26564172">
            <w:pPr>
              <w:pStyle w:val="13"/>
            </w:pPr>
          </w:p>
        </w:tc>
        <w:tc>
          <w:tcPr>
            <w:tcW w:w="1474" w:type="dxa"/>
            <w:vAlign w:val="center"/>
          </w:tcPr>
          <w:p w14:paraId="63058E8C">
            <w:pPr>
              <w:pStyle w:val="14"/>
            </w:pPr>
          </w:p>
        </w:tc>
        <w:tc>
          <w:tcPr>
            <w:tcW w:w="3402" w:type="dxa"/>
            <w:vAlign w:val="center"/>
          </w:tcPr>
          <w:p w14:paraId="248AB100">
            <w:pPr>
              <w:pStyle w:val="13"/>
            </w:pPr>
            <w:r>
              <w:t>二十三、灾害防治及应急管理支出</w:t>
            </w:r>
          </w:p>
        </w:tc>
        <w:tc>
          <w:tcPr>
            <w:tcW w:w="1474" w:type="dxa"/>
            <w:vAlign w:val="center"/>
          </w:tcPr>
          <w:p w14:paraId="6C55B042">
            <w:pPr>
              <w:pStyle w:val="14"/>
            </w:pPr>
          </w:p>
        </w:tc>
        <w:tc>
          <w:tcPr>
            <w:tcW w:w="1474" w:type="dxa"/>
            <w:vAlign w:val="center"/>
          </w:tcPr>
          <w:p w14:paraId="36014779">
            <w:pPr>
              <w:pStyle w:val="14"/>
            </w:pPr>
          </w:p>
        </w:tc>
        <w:tc>
          <w:tcPr>
            <w:tcW w:w="1474" w:type="dxa"/>
            <w:vAlign w:val="center"/>
          </w:tcPr>
          <w:p w14:paraId="438968F0">
            <w:pPr>
              <w:pStyle w:val="14"/>
            </w:pPr>
          </w:p>
        </w:tc>
        <w:tc>
          <w:tcPr>
            <w:tcW w:w="1474" w:type="dxa"/>
            <w:vAlign w:val="center"/>
          </w:tcPr>
          <w:p w14:paraId="387ED7CA">
            <w:pPr>
              <w:pStyle w:val="14"/>
            </w:pPr>
          </w:p>
        </w:tc>
      </w:tr>
      <w:tr w14:paraId="51AD4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68782">
            <w:pPr>
              <w:pStyle w:val="12"/>
            </w:pPr>
            <w:r>
              <w:t>24</w:t>
            </w:r>
          </w:p>
        </w:tc>
        <w:tc>
          <w:tcPr>
            <w:tcW w:w="3402" w:type="dxa"/>
            <w:vAlign w:val="center"/>
          </w:tcPr>
          <w:p w14:paraId="1273E825">
            <w:pPr>
              <w:pStyle w:val="13"/>
            </w:pPr>
          </w:p>
        </w:tc>
        <w:tc>
          <w:tcPr>
            <w:tcW w:w="1474" w:type="dxa"/>
            <w:vAlign w:val="center"/>
          </w:tcPr>
          <w:p w14:paraId="2DAA0858">
            <w:pPr>
              <w:pStyle w:val="14"/>
            </w:pPr>
          </w:p>
        </w:tc>
        <w:tc>
          <w:tcPr>
            <w:tcW w:w="3402" w:type="dxa"/>
            <w:vAlign w:val="center"/>
          </w:tcPr>
          <w:p w14:paraId="6D257CBC">
            <w:pPr>
              <w:pStyle w:val="13"/>
            </w:pPr>
            <w:r>
              <w:t>二十四、预备费</w:t>
            </w:r>
          </w:p>
        </w:tc>
        <w:tc>
          <w:tcPr>
            <w:tcW w:w="1474" w:type="dxa"/>
            <w:vAlign w:val="center"/>
          </w:tcPr>
          <w:p w14:paraId="5AAA28C1">
            <w:pPr>
              <w:pStyle w:val="14"/>
            </w:pPr>
          </w:p>
        </w:tc>
        <w:tc>
          <w:tcPr>
            <w:tcW w:w="1474" w:type="dxa"/>
            <w:vAlign w:val="center"/>
          </w:tcPr>
          <w:p w14:paraId="1F751E27">
            <w:pPr>
              <w:pStyle w:val="14"/>
            </w:pPr>
          </w:p>
        </w:tc>
        <w:tc>
          <w:tcPr>
            <w:tcW w:w="1474" w:type="dxa"/>
            <w:vAlign w:val="center"/>
          </w:tcPr>
          <w:p w14:paraId="4B3F5D47">
            <w:pPr>
              <w:pStyle w:val="14"/>
            </w:pPr>
          </w:p>
        </w:tc>
        <w:tc>
          <w:tcPr>
            <w:tcW w:w="1474" w:type="dxa"/>
            <w:vAlign w:val="center"/>
          </w:tcPr>
          <w:p w14:paraId="42CB008B">
            <w:pPr>
              <w:pStyle w:val="14"/>
            </w:pPr>
          </w:p>
        </w:tc>
      </w:tr>
      <w:tr w14:paraId="63639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CE8E0">
            <w:pPr>
              <w:pStyle w:val="12"/>
            </w:pPr>
            <w:r>
              <w:t>25</w:t>
            </w:r>
          </w:p>
        </w:tc>
        <w:tc>
          <w:tcPr>
            <w:tcW w:w="3402" w:type="dxa"/>
            <w:vAlign w:val="center"/>
          </w:tcPr>
          <w:p w14:paraId="6250B0C6">
            <w:pPr>
              <w:pStyle w:val="13"/>
            </w:pPr>
          </w:p>
        </w:tc>
        <w:tc>
          <w:tcPr>
            <w:tcW w:w="1474" w:type="dxa"/>
            <w:vAlign w:val="center"/>
          </w:tcPr>
          <w:p w14:paraId="77D57640">
            <w:pPr>
              <w:pStyle w:val="14"/>
            </w:pPr>
          </w:p>
        </w:tc>
        <w:tc>
          <w:tcPr>
            <w:tcW w:w="3402" w:type="dxa"/>
            <w:vAlign w:val="center"/>
          </w:tcPr>
          <w:p w14:paraId="11CA1036">
            <w:pPr>
              <w:pStyle w:val="13"/>
            </w:pPr>
            <w:r>
              <w:t>二十五、其他支出</w:t>
            </w:r>
          </w:p>
        </w:tc>
        <w:tc>
          <w:tcPr>
            <w:tcW w:w="1474" w:type="dxa"/>
            <w:vAlign w:val="center"/>
          </w:tcPr>
          <w:p w14:paraId="47A5AAF3">
            <w:pPr>
              <w:pStyle w:val="14"/>
            </w:pPr>
          </w:p>
        </w:tc>
        <w:tc>
          <w:tcPr>
            <w:tcW w:w="1474" w:type="dxa"/>
            <w:vAlign w:val="center"/>
          </w:tcPr>
          <w:p w14:paraId="1DC2C43F">
            <w:pPr>
              <w:pStyle w:val="14"/>
            </w:pPr>
          </w:p>
        </w:tc>
        <w:tc>
          <w:tcPr>
            <w:tcW w:w="1474" w:type="dxa"/>
            <w:vAlign w:val="center"/>
          </w:tcPr>
          <w:p w14:paraId="49D89F28">
            <w:pPr>
              <w:pStyle w:val="14"/>
            </w:pPr>
          </w:p>
        </w:tc>
        <w:tc>
          <w:tcPr>
            <w:tcW w:w="1474" w:type="dxa"/>
            <w:vAlign w:val="center"/>
          </w:tcPr>
          <w:p w14:paraId="0A5834A5">
            <w:pPr>
              <w:pStyle w:val="14"/>
            </w:pPr>
          </w:p>
        </w:tc>
      </w:tr>
      <w:tr w14:paraId="72C45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26CA8">
            <w:pPr>
              <w:pStyle w:val="12"/>
            </w:pPr>
            <w:r>
              <w:t>26</w:t>
            </w:r>
          </w:p>
        </w:tc>
        <w:tc>
          <w:tcPr>
            <w:tcW w:w="3402" w:type="dxa"/>
            <w:vAlign w:val="center"/>
          </w:tcPr>
          <w:p w14:paraId="64A70140">
            <w:pPr>
              <w:pStyle w:val="13"/>
            </w:pPr>
          </w:p>
        </w:tc>
        <w:tc>
          <w:tcPr>
            <w:tcW w:w="1474" w:type="dxa"/>
            <w:vAlign w:val="center"/>
          </w:tcPr>
          <w:p w14:paraId="537E88F6">
            <w:pPr>
              <w:pStyle w:val="14"/>
            </w:pPr>
          </w:p>
        </w:tc>
        <w:tc>
          <w:tcPr>
            <w:tcW w:w="3402" w:type="dxa"/>
            <w:vAlign w:val="center"/>
          </w:tcPr>
          <w:p w14:paraId="073315C8">
            <w:pPr>
              <w:pStyle w:val="13"/>
            </w:pPr>
            <w:r>
              <w:t>二十六、转移性支出</w:t>
            </w:r>
          </w:p>
        </w:tc>
        <w:tc>
          <w:tcPr>
            <w:tcW w:w="1474" w:type="dxa"/>
            <w:vAlign w:val="center"/>
          </w:tcPr>
          <w:p w14:paraId="32F59E7E">
            <w:pPr>
              <w:pStyle w:val="14"/>
            </w:pPr>
          </w:p>
        </w:tc>
        <w:tc>
          <w:tcPr>
            <w:tcW w:w="1474" w:type="dxa"/>
            <w:vAlign w:val="center"/>
          </w:tcPr>
          <w:p w14:paraId="25754963">
            <w:pPr>
              <w:pStyle w:val="14"/>
            </w:pPr>
          </w:p>
        </w:tc>
        <w:tc>
          <w:tcPr>
            <w:tcW w:w="1474" w:type="dxa"/>
            <w:vAlign w:val="center"/>
          </w:tcPr>
          <w:p w14:paraId="34ECA8E0">
            <w:pPr>
              <w:pStyle w:val="14"/>
            </w:pPr>
          </w:p>
        </w:tc>
        <w:tc>
          <w:tcPr>
            <w:tcW w:w="1474" w:type="dxa"/>
            <w:vAlign w:val="center"/>
          </w:tcPr>
          <w:p w14:paraId="4FC285FE">
            <w:pPr>
              <w:pStyle w:val="14"/>
            </w:pPr>
          </w:p>
        </w:tc>
      </w:tr>
      <w:tr w14:paraId="67C95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41289">
            <w:pPr>
              <w:pStyle w:val="12"/>
            </w:pPr>
            <w:r>
              <w:t>27</w:t>
            </w:r>
          </w:p>
        </w:tc>
        <w:tc>
          <w:tcPr>
            <w:tcW w:w="3402" w:type="dxa"/>
            <w:vAlign w:val="center"/>
          </w:tcPr>
          <w:p w14:paraId="5D4AF519">
            <w:pPr>
              <w:pStyle w:val="13"/>
            </w:pPr>
          </w:p>
        </w:tc>
        <w:tc>
          <w:tcPr>
            <w:tcW w:w="1474" w:type="dxa"/>
            <w:vAlign w:val="center"/>
          </w:tcPr>
          <w:p w14:paraId="7A7B185E">
            <w:pPr>
              <w:pStyle w:val="14"/>
            </w:pPr>
          </w:p>
        </w:tc>
        <w:tc>
          <w:tcPr>
            <w:tcW w:w="3402" w:type="dxa"/>
            <w:vAlign w:val="center"/>
          </w:tcPr>
          <w:p w14:paraId="004862ED">
            <w:pPr>
              <w:pStyle w:val="13"/>
            </w:pPr>
            <w:r>
              <w:t>二十七、债务还本支出</w:t>
            </w:r>
          </w:p>
        </w:tc>
        <w:tc>
          <w:tcPr>
            <w:tcW w:w="1474" w:type="dxa"/>
            <w:vAlign w:val="center"/>
          </w:tcPr>
          <w:p w14:paraId="675E344E">
            <w:pPr>
              <w:pStyle w:val="14"/>
            </w:pPr>
          </w:p>
        </w:tc>
        <w:tc>
          <w:tcPr>
            <w:tcW w:w="1474" w:type="dxa"/>
            <w:vAlign w:val="center"/>
          </w:tcPr>
          <w:p w14:paraId="186140C4">
            <w:pPr>
              <w:pStyle w:val="14"/>
            </w:pPr>
          </w:p>
        </w:tc>
        <w:tc>
          <w:tcPr>
            <w:tcW w:w="1474" w:type="dxa"/>
            <w:vAlign w:val="center"/>
          </w:tcPr>
          <w:p w14:paraId="3DCD65FA">
            <w:pPr>
              <w:pStyle w:val="14"/>
            </w:pPr>
          </w:p>
        </w:tc>
        <w:tc>
          <w:tcPr>
            <w:tcW w:w="1474" w:type="dxa"/>
            <w:vAlign w:val="center"/>
          </w:tcPr>
          <w:p w14:paraId="5A6C8B58">
            <w:pPr>
              <w:pStyle w:val="14"/>
            </w:pPr>
          </w:p>
        </w:tc>
      </w:tr>
      <w:tr w14:paraId="0EE11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917DD">
            <w:pPr>
              <w:pStyle w:val="12"/>
            </w:pPr>
            <w:r>
              <w:t>28</w:t>
            </w:r>
          </w:p>
        </w:tc>
        <w:tc>
          <w:tcPr>
            <w:tcW w:w="3402" w:type="dxa"/>
            <w:vAlign w:val="center"/>
          </w:tcPr>
          <w:p w14:paraId="5A1737CF">
            <w:pPr>
              <w:pStyle w:val="13"/>
            </w:pPr>
          </w:p>
        </w:tc>
        <w:tc>
          <w:tcPr>
            <w:tcW w:w="1474" w:type="dxa"/>
            <w:vAlign w:val="center"/>
          </w:tcPr>
          <w:p w14:paraId="65B3E91F">
            <w:pPr>
              <w:pStyle w:val="14"/>
            </w:pPr>
          </w:p>
        </w:tc>
        <w:tc>
          <w:tcPr>
            <w:tcW w:w="3402" w:type="dxa"/>
            <w:vAlign w:val="center"/>
          </w:tcPr>
          <w:p w14:paraId="516180DA">
            <w:pPr>
              <w:pStyle w:val="13"/>
            </w:pPr>
            <w:r>
              <w:t>二十八、债务付息支出</w:t>
            </w:r>
          </w:p>
        </w:tc>
        <w:tc>
          <w:tcPr>
            <w:tcW w:w="1474" w:type="dxa"/>
            <w:vAlign w:val="center"/>
          </w:tcPr>
          <w:p w14:paraId="28E52BFE">
            <w:pPr>
              <w:pStyle w:val="14"/>
            </w:pPr>
          </w:p>
        </w:tc>
        <w:tc>
          <w:tcPr>
            <w:tcW w:w="1474" w:type="dxa"/>
            <w:vAlign w:val="center"/>
          </w:tcPr>
          <w:p w14:paraId="443C32A2">
            <w:pPr>
              <w:pStyle w:val="14"/>
            </w:pPr>
          </w:p>
        </w:tc>
        <w:tc>
          <w:tcPr>
            <w:tcW w:w="1474" w:type="dxa"/>
            <w:vAlign w:val="center"/>
          </w:tcPr>
          <w:p w14:paraId="19DAF64A">
            <w:pPr>
              <w:pStyle w:val="14"/>
            </w:pPr>
          </w:p>
        </w:tc>
        <w:tc>
          <w:tcPr>
            <w:tcW w:w="1474" w:type="dxa"/>
            <w:vAlign w:val="center"/>
          </w:tcPr>
          <w:p w14:paraId="0FFA5796">
            <w:pPr>
              <w:pStyle w:val="14"/>
            </w:pPr>
          </w:p>
        </w:tc>
      </w:tr>
      <w:tr w14:paraId="5CF97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77592">
            <w:pPr>
              <w:pStyle w:val="12"/>
            </w:pPr>
            <w:r>
              <w:t>29</w:t>
            </w:r>
          </w:p>
        </w:tc>
        <w:tc>
          <w:tcPr>
            <w:tcW w:w="3402" w:type="dxa"/>
            <w:vAlign w:val="center"/>
          </w:tcPr>
          <w:p w14:paraId="259A6E9E">
            <w:pPr>
              <w:pStyle w:val="13"/>
            </w:pPr>
          </w:p>
        </w:tc>
        <w:tc>
          <w:tcPr>
            <w:tcW w:w="1474" w:type="dxa"/>
            <w:vAlign w:val="center"/>
          </w:tcPr>
          <w:p w14:paraId="35280B2B">
            <w:pPr>
              <w:pStyle w:val="14"/>
            </w:pPr>
          </w:p>
        </w:tc>
        <w:tc>
          <w:tcPr>
            <w:tcW w:w="3402" w:type="dxa"/>
            <w:vAlign w:val="center"/>
          </w:tcPr>
          <w:p w14:paraId="479F7F41">
            <w:pPr>
              <w:pStyle w:val="13"/>
            </w:pPr>
            <w:r>
              <w:t>二十九、债务发行费用支出</w:t>
            </w:r>
          </w:p>
        </w:tc>
        <w:tc>
          <w:tcPr>
            <w:tcW w:w="1474" w:type="dxa"/>
            <w:vAlign w:val="center"/>
          </w:tcPr>
          <w:p w14:paraId="2EF9E3EC">
            <w:pPr>
              <w:pStyle w:val="14"/>
            </w:pPr>
          </w:p>
        </w:tc>
        <w:tc>
          <w:tcPr>
            <w:tcW w:w="1474" w:type="dxa"/>
            <w:vAlign w:val="center"/>
          </w:tcPr>
          <w:p w14:paraId="28B65C66">
            <w:pPr>
              <w:pStyle w:val="14"/>
            </w:pPr>
          </w:p>
        </w:tc>
        <w:tc>
          <w:tcPr>
            <w:tcW w:w="1474" w:type="dxa"/>
            <w:vAlign w:val="center"/>
          </w:tcPr>
          <w:p w14:paraId="2C52CAB7">
            <w:pPr>
              <w:pStyle w:val="14"/>
            </w:pPr>
          </w:p>
        </w:tc>
        <w:tc>
          <w:tcPr>
            <w:tcW w:w="1474" w:type="dxa"/>
            <w:vAlign w:val="center"/>
          </w:tcPr>
          <w:p w14:paraId="2CBF27EB">
            <w:pPr>
              <w:pStyle w:val="14"/>
            </w:pPr>
          </w:p>
        </w:tc>
      </w:tr>
      <w:tr w14:paraId="7B7D0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361B7">
            <w:pPr>
              <w:pStyle w:val="12"/>
            </w:pPr>
            <w:r>
              <w:t>30</w:t>
            </w:r>
          </w:p>
        </w:tc>
        <w:tc>
          <w:tcPr>
            <w:tcW w:w="3402" w:type="dxa"/>
            <w:vAlign w:val="center"/>
          </w:tcPr>
          <w:p w14:paraId="198FC348">
            <w:pPr>
              <w:pStyle w:val="13"/>
            </w:pPr>
          </w:p>
        </w:tc>
        <w:tc>
          <w:tcPr>
            <w:tcW w:w="1474" w:type="dxa"/>
            <w:vAlign w:val="center"/>
          </w:tcPr>
          <w:p w14:paraId="1B02DCFD">
            <w:pPr>
              <w:pStyle w:val="14"/>
            </w:pPr>
          </w:p>
        </w:tc>
        <w:tc>
          <w:tcPr>
            <w:tcW w:w="3402" w:type="dxa"/>
            <w:vAlign w:val="center"/>
          </w:tcPr>
          <w:p w14:paraId="5B9B9286">
            <w:pPr>
              <w:pStyle w:val="13"/>
            </w:pPr>
            <w:r>
              <w:t>三十、抗疫特别国债安排的支出</w:t>
            </w:r>
          </w:p>
        </w:tc>
        <w:tc>
          <w:tcPr>
            <w:tcW w:w="1474" w:type="dxa"/>
            <w:vAlign w:val="center"/>
          </w:tcPr>
          <w:p w14:paraId="72C93F0C">
            <w:pPr>
              <w:pStyle w:val="14"/>
            </w:pPr>
          </w:p>
        </w:tc>
        <w:tc>
          <w:tcPr>
            <w:tcW w:w="1474" w:type="dxa"/>
            <w:vAlign w:val="center"/>
          </w:tcPr>
          <w:p w14:paraId="0618290D">
            <w:pPr>
              <w:pStyle w:val="14"/>
            </w:pPr>
          </w:p>
        </w:tc>
        <w:tc>
          <w:tcPr>
            <w:tcW w:w="1474" w:type="dxa"/>
            <w:vAlign w:val="center"/>
          </w:tcPr>
          <w:p w14:paraId="28035C13">
            <w:pPr>
              <w:pStyle w:val="14"/>
            </w:pPr>
          </w:p>
        </w:tc>
        <w:tc>
          <w:tcPr>
            <w:tcW w:w="1474" w:type="dxa"/>
            <w:vAlign w:val="center"/>
          </w:tcPr>
          <w:p w14:paraId="35084596">
            <w:pPr>
              <w:pStyle w:val="14"/>
            </w:pPr>
          </w:p>
        </w:tc>
      </w:tr>
      <w:tr w14:paraId="62352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9B2D0">
            <w:pPr>
              <w:pStyle w:val="12"/>
            </w:pPr>
            <w:r>
              <w:t>31</w:t>
            </w:r>
          </w:p>
        </w:tc>
        <w:tc>
          <w:tcPr>
            <w:tcW w:w="3402" w:type="dxa"/>
            <w:vAlign w:val="center"/>
          </w:tcPr>
          <w:p w14:paraId="5EA4B1D0">
            <w:pPr>
              <w:pStyle w:val="13"/>
            </w:pPr>
          </w:p>
        </w:tc>
        <w:tc>
          <w:tcPr>
            <w:tcW w:w="1474" w:type="dxa"/>
            <w:vAlign w:val="center"/>
          </w:tcPr>
          <w:p w14:paraId="46203CFB">
            <w:pPr>
              <w:pStyle w:val="14"/>
            </w:pPr>
          </w:p>
        </w:tc>
        <w:tc>
          <w:tcPr>
            <w:tcW w:w="3402" w:type="dxa"/>
            <w:vAlign w:val="center"/>
          </w:tcPr>
          <w:p w14:paraId="6AE18C7C">
            <w:pPr>
              <w:pStyle w:val="13"/>
            </w:pPr>
            <w:r>
              <w:t>三十一、人行科目</w:t>
            </w:r>
          </w:p>
        </w:tc>
        <w:tc>
          <w:tcPr>
            <w:tcW w:w="1474" w:type="dxa"/>
            <w:vAlign w:val="center"/>
          </w:tcPr>
          <w:p w14:paraId="4F258A65">
            <w:pPr>
              <w:pStyle w:val="14"/>
            </w:pPr>
          </w:p>
        </w:tc>
        <w:tc>
          <w:tcPr>
            <w:tcW w:w="1474" w:type="dxa"/>
            <w:vAlign w:val="center"/>
          </w:tcPr>
          <w:p w14:paraId="3C5A986F">
            <w:pPr>
              <w:pStyle w:val="14"/>
            </w:pPr>
          </w:p>
        </w:tc>
        <w:tc>
          <w:tcPr>
            <w:tcW w:w="1474" w:type="dxa"/>
            <w:vAlign w:val="center"/>
          </w:tcPr>
          <w:p w14:paraId="0DCDCB2A">
            <w:pPr>
              <w:pStyle w:val="14"/>
            </w:pPr>
          </w:p>
        </w:tc>
        <w:tc>
          <w:tcPr>
            <w:tcW w:w="1474" w:type="dxa"/>
            <w:vAlign w:val="center"/>
          </w:tcPr>
          <w:p w14:paraId="6EBCDF5C">
            <w:pPr>
              <w:pStyle w:val="14"/>
            </w:pPr>
          </w:p>
        </w:tc>
      </w:tr>
      <w:tr w14:paraId="19CD0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8A30F">
            <w:pPr>
              <w:pStyle w:val="12"/>
            </w:pPr>
            <w:r>
              <w:t>32</w:t>
            </w:r>
          </w:p>
        </w:tc>
        <w:tc>
          <w:tcPr>
            <w:tcW w:w="3402" w:type="dxa"/>
            <w:vAlign w:val="center"/>
          </w:tcPr>
          <w:p w14:paraId="0031D2AF">
            <w:pPr>
              <w:pStyle w:val="15"/>
            </w:pPr>
            <w:r>
              <w:t>本年收入合计</w:t>
            </w:r>
          </w:p>
        </w:tc>
        <w:tc>
          <w:tcPr>
            <w:tcW w:w="1474" w:type="dxa"/>
            <w:vAlign w:val="center"/>
          </w:tcPr>
          <w:p w14:paraId="02D61FC5">
            <w:pPr>
              <w:pStyle w:val="16"/>
            </w:pPr>
            <w:r>
              <w:t>979.75</w:t>
            </w:r>
          </w:p>
        </w:tc>
        <w:tc>
          <w:tcPr>
            <w:tcW w:w="3402" w:type="dxa"/>
            <w:vAlign w:val="center"/>
          </w:tcPr>
          <w:p w14:paraId="196699F1">
            <w:pPr>
              <w:pStyle w:val="15"/>
            </w:pPr>
            <w:r>
              <w:t>本年支出合计</w:t>
            </w:r>
          </w:p>
        </w:tc>
        <w:tc>
          <w:tcPr>
            <w:tcW w:w="1474" w:type="dxa"/>
            <w:vAlign w:val="center"/>
          </w:tcPr>
          <w:p w14:paraId="0494369A">
            <w:pPr>
              <w:pStyle w:val="16"/>
            </w:pPr>
            <w:r>
              <w:t>979.75</w:t>
            </w:r>
          </w:p>
        </w:tc>
        <w:tc>
          <w:tcPr>
            <w:tcW w:w="1474" w:type="dxa"/>
            <w:vAlign w:val="center"/>
          </w:tcPr>
          <w:p w14:paraId="3E9D3D84">
            <w:pPr>
              <w:pStyle w:val="16"/>
            </w:pPr>
            <w:r>
              <w:t>979.75</w:t>
            </w:r>
          </w:p>
        </w:tc>
        <w:tc>
          <w:tcPr>
            <w:tcW w:w="1474" w:type="dxa"/>
            <w:vAlign w:val="center"/>
          </w:tcPr>
          <w:p w14:paraId="6B6E5049">
            <w:pPr>
              <w:pStyle w:val="16"/>
            </w:pPr>
          </w:p>
        </w:tc>
        <w:tc>
          <w:tcPr>
            <w:tcW w:w="1474" w:type="dxa"/>
            <w:vAlign w:val="center"/>
          </w:tcPr>
          <w:p w14:paraId="39AE97A5">
            <w:pPr>
              <w:pStyle w:val="16"/>
            </w:pPr>
          </w:p>
        </w:tc>
      </w:tr>
      <w:tr w14:paraId="0FC41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ED6FA">
            <w:pPr>
              <w:pStyle w:val="12"/>
            </w:pPr>
            <w:r>
              <w:t>33</w:t>
            </w:r>
          </w:p>
        </w:tc>
        <w:tc>
          <w:tcPr>
            <w:tcW w:w="3402" w:type="dxa"/>
            <w:vAlign w:val="center"/>
          </w:tcPr>
          <w:p w14:paraId="2DA54668">
            <w:pPr>
              <w:pStyle w:val="13"/>
            </w:pPr>
            <w:r>
              <w:t>年初财政拨款结转和结余</w:t>
            </w:r>
          </w:p>
        </w:tc>
        <w:tc>
          <w:tcPr>
            <w:tcW w:w="1474" w:type="dxa"/>
            <w:vAlign w:val="center"/>
          </w:tcPr>
          <w:p w14:paraId="4EE5DAD6">
            <w:pPr>
              <w:pStyle w:val="14"/>
            </w:pPr>
          </w:p>
        </w:tc>
        <w:tc>
          <w:tcPr>
            <w:tcW w:w="3402" w:type="dxa"/>
            <w:vAlign w:val="center"/>
          </w:tcPr>
          <w:p w14:paraId="32C281CD">
            <w:pPr>
              <w:pStyle w:val="13"/>
            </w:pPr>
            <w:r>
              <w:t>年末财政拨款结转和结余</w:t>
            </w:r>
          </w:p>
        </w:tc>
        <w:tc>
          <w:tcPr>
            <w:tcW w:w="1474" w:type="dxa"/>
            <w:vAlign w:val="center"/>
          </w:tcPr>
          <w:p w14:paraId="04ED4AA6">
            <w:pPr>
              <w:pStyle w:val="14"/>
            </w:pPr>
          </w:p>
        </w:tc>
        <w:tc>
          <w:tcPr>
            <w:tcW w:w="1474" w:type="dxa"/>
            <w:vAlign w:val="center"/>
          </w:tcPr>
          <w:p w14:paraId="7E69DA9D">
            <w:pPr>
              <w:pStyle w:val="14"/>
            </w:pPr>
          </w:p>
        </w:tc>
        <w:tc>
          <w:tcPr>
            <w:tcW w:w="1474" w:type="dxa"/>
            <w:vAlign w:val="center"/>
          </w:tcPr>
          <w:p w14:paraId="63635535">
            <w:pPr>
              <w:pStyle w:val="14"/>
            </w:pPr>
          </w:p>
        </w:tc>
        <w:tc>
          <w:tcPr>
            <w:tcW w:w="1474" w:type="dxa"/>
            <w:vAlign w:val="center"/>
          </w:tcPr>
          <w:p w14:paraId="188DB084">
            <w:pPr>
              <w:pStyle w:val="14"/>
            </w:pPr>
          </w:p>
        </w:tc>
      </w:tr>
      <w:tr w14:paraId="68148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AE695">
            <w:pPr>
              <w:pStyle w:val="12"/>
            </w:pPr>
            <w:r>
              <w:t>34</w:t>
            </w:r>
          </w:p>
        </w:tc>
        <w:tc>
          <w:tcPr>
            <w:tcW w:w="3402" w:type="dxa"/>
            <w:vAlign w:val="center"/>
          </w:tcPr>
          <w:p w14:paraId="792870EC">
            <w:pPr>
              <w:pStyle w:val="13"/>
            </w:pPr>
            <w:r>
              <w:t>一、一般公共预算拨款</w:t>
            </w:r>
          </w:p>
        </w:tc>
        <w:tc>
          <w:tcPr>
            <w:tcW w:w="1474" w:type="dxa"/>
            <w:vAlign w:val="center"/>
          </w:tcPr>
          <w:p w14:paraId="1CF0424F">
            <w:pPr>
              <w:pStyle w:val="14"/>
            </w:pPr>
          </w:p>
        </w:tc>
        <w:tc>
          <w:tcPr>
            <w:tcW w:w="3402" w:type="dxa"/>
            <w:vAlign w:val="center"/>
          </w:tcPr>
          <w:p w14:paraId="40A2B9B8">
            <w:pPr>
              <w:pStyle w:val="13"/>
            </w:pPr>
          </w:p>
        </w:tc>
        <w:tc>
          <w:tcPr>
            <w:tcW w:w="1474" w:type="dxa"/>
            <w:vAlign w:val="center"/>
          </w:tcPr>
          <w:p w14:paraId="0D27D518">
            <w:pPr>
              <w:pStyle w:val="14"/>
            </w:pPr>
          </w:p>
        </w:tc>
        <w:tc>
          <w:tcPr>
            <w:tcW w:w="1474" w:type="dxa"/>
            <w:vAlign w:val="center"/>
          </w:tcPr>
          <w:p w14:paraId="303CCC45">
            <w:pPr>
              <w:pStyle w:val="14"/>
            </w:pPr>
          </w:p>
        </w:tc>
        <w:tc>
          <w:tcPr>
            <w:tcW w:w="1474" w:type="dxa"/>
            <w:vAlign w:val="center"/>
          </w:tcPr>
          <w:p w14:paraId="02A55E9C">
            <w:pPr>
              <w:pStyle w:val="14"/>
            </w:pPr>
          </w:p>
        </w:tc>
        <w:tc>
          <w:tcPr>
            <w:tcW w:w="1474" w:type="dxa"/>
            <w:vAlign w:val="center"/>
          </w:tcPr>
          <w:p w14:paraId="1A933E27">
            <w:pPr>
              <w:pStyle w:val="14"/>
            </w:pPr>
          </w:p>
        </w:tc>
      </w:tr>
      <w:tr w14:paraId="42848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110D8">
            <w:pPr>
              <w:pStyle w:val="12"/>
            </w:pPr>
            <w:r>
              <w:t>35</w:t>
            </w:r>
          </w:p>
        </w:tc>
        <w:tc>
          <w:tcPr>
            <w:tcW w:w="3402" w:type="dxa"/>
            <w:vAlign w:val="center"/>
          </w:tcPr>
          <w:p w14:paraId="72A5F129">
            <w:pPr>
              <w:pStyle w:val="13"/>
            </w:pPr>
            <w:r>
              <w:t>二、政府性基金预算拨款</w:t>
            </w:r>
          </w:p>
        </w:tc>
        <w:tc>
          <w:tcPr>
            <w:tcW w:w="1474" w:type="dxa"/>
            <w:vAlign w:val="center"/>
          </w:tcPr>
          <w:p w14:paraId="3332A228">
            <w:pPr>
              <w:pStyle w:val="14"/>
            </w:pPr>
          </w:p>
        </w:tc>
        <w:tc>
          <w:tcPr>
            <w:tcW w:w="3402" w:type="dxa"/>
            <w:vAlign w:val="center"/>
          </w:tcPr>
          <w:p w14:paraId="35D93DC5">
            <w:pPr>
              <w:pStyle w:val="13"/>
            </w:pPr>
          </w:p>
        </w:tc>
        <w:tc>
          <w:tcPr>
            <w:tcW w:w="1474" w:type="dxa"/>
            <w:vAlign w:val="center"/>
          </w:tcPr>
          <w:p w14:paraId="2A4191CC">
            <w:pPr>
              <w:pStyle w:val="14"/>
            </w:pPr>
          </w:p>
        </w:tc>
        <w:tc>
          <w:tcPr>
            <w:tcW w:w="1474" w:type="dxa"/>
            <w:vAlign w:val="center"/>
          </w:tcPr>
          <w:p w14:paraId="5AC6B183">
            <w:pPr>
              <w:pStyle w:val="14"/>
            </w:pPr>
          </w:p>
        </w:tc>
        <w:tc>
          <w:tcPr>
            <w:tcW w:w="1474" w:type="dxa"/>
            <w:vAlign w:val="center"/>
          </w:tcPr>
          <w:p w14:paraId="66749E7C">
            <w:pPr>
              <w:pStyle w:val="14"/>
            </w:pPr>
          </w:p>
        </w:tc>
        <w:tc>
          <w:tcPr>
            <w:tcW w:w="1474" w:type="dxa"/>
            <w:vAlign w:val="center"/>
          </w:tcPr>
          <w:p w14:paraId="2D2996CC">
            <w:pPr>
              <w:pStyle w:val="14"/>
            </w:pPr>
          </w:p>
        </w:tc>
      </w:tr>
      <w:tr w14:paraId="72593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F87DD">
            <w:pPr>
              <w:pStyle w:val="12"/>
            </w:pPr>
            <w:r>
              <w:t>36</w:t>
            </w:r>
          </w:p>
        </w:tc>
        <w:tc>
          <w:tcPr>
            <w:tcW w:w="3402" w:type="dxa"/>
            <w:vAlign w:val="center"/>
          </w:tcPr>
          <w:p w14:paraId="168790AC">
            <w:pPr>
              <w:pStyle w:val="13"/>
            </w:pPr>
            <w:r>
              <w:t>三、国有资本经营预算拨款</w:t>
            </w:r>
          </w:p>
        </w:tc>
        <w:tc>
          <w:tcPr>
            <w:tcW w:w="1474" w:type="dxa"/>
            <w:vAlign w:val="center"/>
          </w:tcPr>
          <w:p w14:paraId="318A985A">
            <w:pPr>
              <w:pStyle w:val="14"/>
            </w:pPr>
          </w:p>
        </w:tc>
        <w:tc>
          <w:tcPr>
            <w:tcW w:w="3402" w:type="dxa"/>
            <w:vAlign w:val="center"/>
          </w:tcPr>
          <w:p w14:paraId="265F08E6">
            <w:pPr>
              <w:pStyle w:val="13"/>
            </w:pPr>
          </w:p>
        </w:tc>
        <w:tc>
          <w:tcPr>
            <w:tcW w:w="1474" w:type="dxa"/>
            <w:vAlign w:val="center"/>
          </w:tcPr>
          <w:p w14:paraId="51F0F4AB">
            <w:pPr>
              <w:pStyle w:val="14"/>
            </w:pPr>
          </w:p>
        </w:tc>
        <w:tc>
          <w:tcPr>
            <w:tcW w:w="1474" w:type="dxa"/>
            <w:vAlign w:val="center"/>
          </w:tcPr>
          <w:p w14:paraId="1D37F1AF">
            <w:pPr>
              <w:pStyle w:val="14"/>
            </w:pPr>
          </w:p>
        </w:tc>
        <w:tc>
          <w:tcPr>
            <w:tcW w:w="1474" w:type="dxa"/>
            <w:vAlign w:val="center"/>
          </w:tcPr>
          <w:p w14:paraId="20EED85D">
            <w:pPr>
              <w:pStyle w:val="14"/>
            </w:pPr>
          </w:p>
        </w:tc>
        <w:tc>
          <w:tcPr>
            <w:tcW w:w="1474" w:type="dxa"/>
            <w:vAlign w:val="center"/>
          </w:tcPr>
          <w:p w14:paraId="7A52B37F">
            <w:pPr>
              <w:pStyle w:val="14"/>
            </w:pPr>
          </w:p>
        </w:tc>
      </w:tr>
      <w:tr w14:paraId="77768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3440B">
            <w:pPr>
              <w:pStyle w:val="12"/>
            </w:pPr>
            <w:r>
              <w:t>37</w:t>
            </w:r>
          </w:p>
        </w:tc>
        <w:tc>
          <w:tcPr>
            <w:tcW w:w="3402" w:type="dxa"/>
            <w:vAlign w:val="center"/>
          </w:tcPr>
          <w:p w14:paraId="26FFEAF1">
            <w:pPr>
              <w:pStyle w:val="15"/>
            </w:pPr>
            <w:r>
              <w:t>收入总计</w:t>
            </w:r>
          </w:p>
        </w:tc>
        <w:tc>
          <w:tcPr>
            <w:tcW w:w="1474" w:type="dxa"/>
            <w:vAlign w:val="center"/>
          </w:tcPr>
          <w:p w14:paraId="4D59A8CE">
            <w:pPr>
              <w:pStyle w:val="16"/>
            </w:pPr>
            <w:r>
              <w:t>979.75</w:t>
            </w:r>
          </w:p>
        </w:tc>
        <w:tc>
          <w:tcPr>
            <w:tcW w:w="3402" w:type="dxa"/>
            <w:vAlign w:val="center"/>
          </w:tcPr>
          <w:p w14:paraId="76BBB235">
            <w:pPr>
              <w:pStyle w:val="15"/>
            </w:pPr>
            <w:r>
              <w:t>支出总计</w:t>
            </w:r>
          </w:p>
        </w:tc>
        <w:tc>
          <w:tcPr>
            <w:tcW w:w="1474" w:type="dxa"/>
            <w:vAlign w:val="center"/>
          </w:tcPr>
          <w:p w14:paraId="32006A35">
            <w:pPr>
              <w:pStyle w:val="16"/>
            </w:pPr>
            <w:r>
              <w:t>979.75</w:t>
            </w:r>
          </w:p>
        </w:tc>
        <w:tc>
          <w:tcPr>
            <w:tcW w:w="1474" w:type="dxa"/>
            <w:vAlign w:val="center"/>
          </w:tcPr>
          <w:p w14:paraId="62168FF2">
            <w:pPr>
              <w:pStyle w:val="16"/>
            </w:pPr>
            <w:r>
              <w:t>979.75</w:t>
            </w:r>
          </w:p>
        </w:tc>
        <w:tc>
          <w:tcPr>
            <w:tcW w:w="1474" w:type="dxa"/>
            <w:vAlign w:val="center"/>
          </w:tcPr>
          <w:p w14:paraId="2142E6DD">
            <w:pPr>
              <w:pStyle w:val="16"/>
            </w:pPr>
          </w:p>
        </w:tc>
        <w:tc>
          <w:tcPr>
            <w:tcW w:w="1474" w:type="dxa"/>
            <w:vAlign w:val="center"/>
          </w:tcPr>
          <w:p w14:paraId="69849CAA">
            <w:pPr>
              <w:pStyle w:val="16"/>
            </w:pPr>
          </w:p>
        </w:tc>
      </w:tr>
    </w:tbl>
    <w:p w14:paraId="7AA3F378">
      <w:pPr>
        <w:sectPr>
          <w:pgSz w:w="16840" w:h="11900" w:orient="landscape"/>
          <w:pgMar w:top="1361" w:right="1020" w:bottom="1134" w:left="1020" w:header="720" w:footer="720" w:gutter="0"/>
          <w:cols w:space="720" w:num="1"/>
        </w:sectPr>
      </w:pPr>
    </w:p>
    <w:p w14:paraId="6F3F4A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760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B3F9C6">
            <w:pPr>
              <w:pStyle w:val="8"/>
            </w:pPr>
            <w:r>
              <w:t>360037隆尧县第三实验小学</w:t>
            </w:r>
          </w:p>
        </w:tc>
        <w:tc>
          <w:tcPr>
            <w:tcW w:w="2551" w:type="dxa"/>
            <w:tcBorders>
              <w:top w:val="single" w:color="FFFFFF" w:sz="6" w:space="0"/>
              <w:left w:val="single" w:color="FFFFFF" w:sz="6" w:space="0"/>
              <w:right w:val="single" w:color="FFFFFF" w:sz="6" w:space="0"/>
            </w:tcBorders>
            <w:vAlign w:val="center"/>
          </w:tcPr>
          <w:p w14:paraId="687DF8E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64AF0D7">
            <w:pPr>
              <w:pStyle w:val="10"/>
            </w:pPr>
            <w:r>
              <w:t>单位：万元</w:t>
            </w:r>
          </w:p>
        </w:tc>
      </w:tr>
      <w:tr w14:paraId="58F0C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BFF1B3">
            <w:pPr>
              <w:pStyle w:val="11"/>
            </w:pPr>
            <w:r>
              <w:t>序号</w:t>
            </w:r>
          </w:p>
        </w:tc>
        <w:tc>
          <w:tcPr>
            <w:tcW w:w="5726" w:type="dxa"/>
            <w:gridSpan w:val="2"/>
            <w:vAlign w:val="center"/>
          </w:tcPr>
          <w:p w14:paraId="54B9E44A">
            <w:pPr>
              <w:pStyle w:val="11"/>
            </w:pPr>
            <w:r>
              <w:t>功能分类科目</w:t>
            </w:r>
          </w:p>
        </w:tc>
        <w:tc>
          <w:tcPr>
            <w:tcW w:w="2551" w:type="dxa"/>
            <w:vMerge w:val="restart"/>
            <w:vAlign w:val="center"/>
          </w:tcPr>
          <w:p w14:paraId="5EFF6758">
            <w:pPr>
              <w:pStyle w:val="11"/>
            </w:pPr>
            <w:r>
              <w:t>合计</w:t>
            </w:r>
          </w:p>
        </w:tc>
        <w:tc>
          <w:tcPr>
            <w:tcW w:w="2551" w:type="dxa"/>
            <w:vMerge w:val="restart"/>
            <w:vAlign w:val="center"/>
          </w:tcPr>
          <w:p w14:paraId="3E4C2D5A">
            <w:pPr>
              <w:pStyle w:val="11"/>
            </w:pPr>
            <w:r>
              <w:t>基本支出</w:t>
            </w:r>
          </w:p>
        </w:tc>
        <w:tc>
          <w:tcPr>
            <w:tcW w:w="2551" w:type="dxa"/>
            <w:vMerge w:val="restart"/>
            <w:vAlign w:val="center"/>
          </w:tcPr>
          <w:p w14:paraId="4FDCFB54">
            <w:pPr>
              <w:pStyle w:val="11"/>
            </w:pPr>
            <w:r>
              <w:t>项目支出</w:t>
            </w:r>
          </w:p>
        </w:tc>
      </w:tr>
      <w:tr w14:paraId="3C75F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2B5B4"/>
        </w:tc>
        <w:tc>
          <w:tcPr>
            <w:tcW w:w="1191" w:type="dxa"/>
            <w:vAlign w:val="center"/>
          </w:tcPr>
          <w:p w14:paraId="51282424">
            <w:pPr>
              <w:pStyle w:val="11"/>
            </w:pPr>
            <w:r>
              <w:t>科目编码</w:t>
            </w:r>
          </w:p>
        </w:tc>
        <w:tc>
          <w:tcPr>
            <w:tcW w:w="4535" w:type="dxa"/>
            <w:vAlign w:val="center"/>
          </w:tcPr>
          <w:p w14:paraId="7DB4CD3B">
            <w:pPr>
              <w:pStyle w:val="11"/>
            </w:pPr>
            <w:r>
              <w:t>科目名称</w:t>
            </w:r>
          </w:p>
        </w:tc>
        <w:tc>
          <w:tcPr>
            <w:tcW w:w="2551" w:type="dxa"/>
            <w:vMerge w:val="continue"/>
          </w:tcPr>
          <w:p w14:paraId="1606C63C"/>
        </w:tc>
        <w:tc>
          <w:tcPr>
            <w:tcW w:w="2551" w:type="dxa"/>
            <w:vMerge w:val="continue"/>
          </w:tcPr>
          <w:p w14:paraId="3D31F45E"/>
        </w:tc>
        <w:tc>
          <w:tcPr>
            <w:tcW w:w="2551" w:type="dxa"/>
            <w:vMerge w:val="continue"/>
          </w:tcPr>
          <w:p w14:paraId="4BAD3BA6"/>
        </w:tc>
      </w:tr>
      <w:tr w14:paraId="22721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E57335">
            <w:pPr>
              <w:pStyle w:val="11"/>
            </w:pPr>
            <w:r>
              <w:t>栏次</w:t>
            </w:r>
          </w:p>
        </w:tc>
        <w:tc>
          <w:tcPr>
            <w:tcW w:w="1191" w:type="dxa"/>
            <w:vAlign w:val="center"/>
          </w:tcPr>
          <w:p w14:paraId="6BF74BCA">
            <w:pPr>
              <w:pStyle w:val="11"/>
            </w:pPr>
            <w:r>
              <w:t>1</w:t>
            </w:r>
          </w:p>
        </w:tc>
        <w:tc>
          <w:tcPr>
            <w:tcW w:w="4535" w:type="dxa"/>
            <w:vAlign w:val="center"/>
          </w:tcPr>
          <w:p w14:paraId="6783469E">
            <w:pPr>
              <w:pStyle w:val="11"/>
            </w:pPr>
            <w:r>
              <w:t>2</w:t>
            </w:r>
          </w:p>
        </w:tc>
        <w:tc>
          <w:tcPr>
            <w:tcW w:w="2551" w:type="dxa"/>
            <w:vAlign w:val="center"/>
          </w:tcPr>
          <w:p w14:paraId="209D435C">
            <w:pPr>
              <w:pStyle w:val="11"/>
            </w:pPr>
            <w:r>
              <w:t>3</w:t>
            </w:r>
          </w:p>
        </w:tc>
        <w:tc>
          <w:tcPr>
            <w:tcW w:w="2551" w:type="dxa"/>
            <w:vAlign w:val="center"/>
          </w:tcPr>
          <w:p w14:paraId="6645482E">
            <w:pPr>
              <w:pStyle w:val="11"/>
            </w:pPr>
            <w:r>
              <w:t>4</w:t>
            </w:r>
          </w:p>
        </w:tc>
        <w:tc>
          <w:tcPr>
            <w:tcW w:w="2551" w:type="dxa"/>
            <w:vAlign w:val="center"/>
          </w:tcPr>
          <w:p w14:paraId="146C8654">
            <w:pPr>
              <w:pStyle w:val="11"/>
            </w:pPr>
            <w:r>
              <w:t>5</w:t>
            </w:r>
          </w:p>
        </w:tc>
      </w:tr>
      <w:tr w14:paraId="76B43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1AD7B">
            <w:pPr>
              <w:pStyle w:val="12"/>
            </w:pPr>
            <w:r>
              <w:t>1</w:t>
            </w:r>
          </w:p>
        </w:tc>
        <w:tc>
          <w:tcPr>
            <w:tcW w:w="1191" w:type="dxa"/>
            <w:vAlign w:val="center"/>
          </w:tcPr>
          <w:p w14:paraId="42712C1D">
            <w:pPr>
              <w:pStyle w:val="17"/>
            </w:pPr>
          </w:p>
        </w:tc>
        <w:tc>
          <w:tcPr>
            <w:tcW w:w="4535" w:type="dxa"/>
            <w:vAlign w:val="center"/>
          </w:tcPr>
          <w:p w14:paraId="64F958FB">
            <w:pPr>
              <w:pStyle w:val="15"/>
            </w:pPr>
            <w:r>
              <w:t>合计</w:t>
            </w:r>
          </w:p>
        </w:tc>
        <w:tc>
          <w:tcPr>
            <w:tcW w:w="2551" w:type="dxa"/>
            <w:vAlign w:val="center"/>
          </w:tcPr>
          <w:p w14:paraId="2F5296E8">
            <w:pPr>
              <w:pStyle w:val="16"/>
            </w:pPr>
            <w:r>
              <w:t>979.75</w:t>
            </w:r>
          </w:p>
        </w:tc>
        <w:tc>
          <w:tcPr>
            <w:tcW w:w="2551" w:type="dxa"/>
            <w:vAlign w:val="center"/>
          </w:tcPr>
          <w:p w14:paraId="14449876">
            <w:pPr>
              <w:pStyle w:val="16"/>
            </w:pPr>
            <w:r>
              <w:t>762.22</w:t>
            </w:r>
          </w:p>
        </w:tc>
        <w:tc>
          <w:tcPr>
            <w:tcW w:w="2551" w:type="dxa"/>
            <w:vAlign w:val="center"/>
          </w:tcPr>
          <w:p w14:paraId="4AE0DD1A">
            <w:pPr>
              <w:pStyle w:val="16"/>
            </w:pPr>
            <w:r>
              <w:t>217.53</w:t>
            </w:r>
          </w:p>
        </w:tc>
      </w:tr>
      <w:tr w14:paraId="0DAD9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A5C07">
            <w:pPr>
              <w:pStyle w:val="12"/>
            </w:pPr>
            <w:r>
              <w:t>2</w:t>
            </w:r>
          </w:p>
        </w:tc>
        <w:tc>
          <w:tcPr>
            <w:tcW w:w="1191" w:type="dxa"/>
            <w:vAlign w:val="center"/>
          </w:tcPr>
          <w:p w14:paraId="2D9CE72F">
            <w:pPr>
              <w:pStyle w:val="13"/>
            </w:pPr>
            <w:r>
              <w:t>205</w:t>
            </w:r>
          </w:p>
        </w:tc>
        <w:tc>
          <w:tcPr>
            <w:tcW w:w="4535" w:type="dxa"/>
            <w:vAlign w:val="center"/>
          </w:tcPr>
          <w:p w14:paraId="4425E430">
            <w:pPr>
              <w:pStyle w:val="13"/>
            </w:pPr>
            <w:r>
              <w:t>教育支出</w:t>
            </w:r>
          </w:p>
        </w:tc>
        <w:tc>
          <w:tcPr>
            <w:tcW w:w="2551" w:type="dxa"/>
            <w:vAlign w:val="center"/>
          </w:tcPr>
          <w:p w14:paraId="474230DB">
            <w:pPr>
              <w:pStyle w:val="14"/>
            </w:pPr>
            <w:r>
              <w:t>979.75</w:t>
            </w:r>
          </w:p>
        </w:tc>
        <w:tc>
          <w:tcPr>
            <w:tcW w:w="2551" w:type="dxa"/>
            <w:vAlign w:val="center"/>
          </w:tcPr>
          <w:p w14:paraId="27ECEF21">
            <w:pPr>
              <w:pStyle w:val="14"/>
            </w:pPr>
            <w:r>
              <w:t>762.22</w:t>
            </w:r>
          </w:p>
        </w:tc>
        <w:tc>
          <w:tcPr>
            <w:tcW w:w="2551" w:type="dxa"/>
            <w:vAlign w:val="center"/>
          </w:tcPr>
          <w:p w14:paraId="0F8471D2">
            <w:pPr>
              <w:pStyle w:val="14"/>
            </w:pPr>
            <w:r>
              <w:t>217.53</w:t>
            </w:r>
          </w:p>
        </w:tc>
      </w:tr>
      <w:tr w14:paraId="051EC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EDE4F">
            <w:pPr>
              <w:pStyle w:val="12"/>
            </w:pPr>
            <w:r>
              <w:t>3</w:t>
            </w:r>
          </w:p>
        </w:tc>
        <w:tc>
          <w:tcPr>
            <w:tcW w:w="1191" w:type="dxa"/>
            <w:vAlign w:val="center"/>
          </w:tcPr>
          <w:p w14:paraId="68F4548F">
            <w:pPr>
              <w:pStyle w:val="13"/>
            </w:pPr>
            <w:r>
              <w:t>20502</w:t>
            </w:r>
          </w:p>
        </w:tc>
        <w:tc>
          <w:tcPr>
            <w:tcW w:w="4535" w:type="dxa"/>
            <w:vAlign w:val="center"/>
          </w:tcPr>
          <w:p w14:paraId="2DF51E9B">
            <w:pPr>
              <w:pStyle w:val="13"/>
            </w:pPr>
            <w:r>
              <w:t>普通教育</w:t>
            </w:r>
          </w:p>
        </w:tc>
        <w:tc>
          <w:tcPr>
            <w:tcW w:w="2551" w:type="dxa"/>
            <w:vAlign w:val="center"/>
          </w:tcPr>
          <w:p w14:paraId="7C2CA14D">
            <w:pPr>
              <w:pStyle w:val="14"/>
            </w:pPr>
            <w:r>
              <w:t>979.75</w:t>
            </w:r>
          </w:p>
        </w:tc>
        <w:tc>
          <w:tcPr>
            <w:tcW w:w="2551" w:type="dxa"/>
            <w:vAlign w:val="center"/>
          </w:tcPr>
          <w:p w14:paraId="13AFFE74">
            <w:pPr>
              <w:pStyle w:val="14"/>
            </w:pPr>
            <w:r>
              <w:t>762.22</w:t>
            </w:r>
          </w:p>
        </w:tc>
        <w:tc>
          <w:tcPr>
            <w:tcW w:w="2551" w:type="dxa"/>
            <w:vAlign w:val="center"/>
          </w:tcPr>
          <w:p w14:paraId="51C62C0F">
            <w:pPr>
              <w:pStyle w:val="14"/>
            </w:pPr>
            <w:r>
              <w:t>217.53</w:t>
            </w:r>
          </w:p>
        </w:tc>
      </w:tr>
      <w:tr w14:paraId="21040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84E52">
            <w:pPr>
              <w:pStyle w:val="12"/>
            </w:pPr>
            <w:r>
              <w:t>4</w:t>
            </w:r>
          </w:p>
        </w:tc>
        <w:tc>
          <w:tcPr>
            <w:tcW w:w="1191" w:type="dxa"/>
            <w:vAlign w:val="center"/>
          </w:tcPr>
          <w:p w14:paraId="1C68AE71">
            <w:pPr>
              <w:pStyle w:val="13"/>
            </w:pPr>
            <w:r>
              <w:t>2050202</w:t>
            </w:r>
          </w:p>
        </w:tc>
        <w:tc>
          <w:tcPr>
            <w:tcW w:w="4535" w:type="dxa"/>
            <w:vAlign w:val="center"/>
          </w:tcPr>
          <w:p w14:paraId="37C355CB">
            <w:pPr>
              <w:pStyle w:val="13"/>
            </w:pPr>
            <w:r>
              <w:t>小学教育</w:t>
            </w:r>
          </w:p>
        </w:tc>
        <w:tc>
          <w:tcPr>
            <w:tcW w:w="2551" w:type="dxa"/>
            <w:vAlign w:val="center"/>
          </w:tcPr>
          <w:p w14:paraId="24691711">
            <w:pPr>
              <w:pStyle w:val="14"/>
            </w:pPr>
            <w:r>
              <w:t>979.75</w:t>
            </w:r>
          </w:p>
        </w:tc>
        <w:tc>
          <w:tcPr>
            <w:tcW w:w="2551" w:type="dxa"/>
            <w:vAlign w:val="center"/>
          </w:tcPr>
          <w:p w14:paraId="211954BE">
            <w:pPr>
              <w:pStyle w:val="14"/>
            </w:pPr>
            <w:r>
              <w:t>762.22</w:t>
            </w:r>
          </w:p>
        </w:tc>
        <w:tc>
          <w:tcPr>
            <w:tcW w:w="2551" w:type="dxa"/>
            <w:vAlign w:val="center"/>
          </w:tcPr>
          <w:p w14:paraId="654D6BA3">
            <w:pPr>
              <w:pStyle w:val="14"/>
            </w:pPr>
            <w:r>
              <w:t>217.53</w:t>
            </w:r>
          </w:p>
        </w:tc>
      </w:tr>
    </w:tbl>
    <w:p w14:paraId="4D0FC9E0">
      <w:pPr>
        <w:sectPr>
          <w:pgSz w:w="16840" w:h="11900" w:orient="landscape"/>
          <w:pgMar w:top="1361" w:right="1020" w:bottom="1134" w:left="1020" w:header="720" w:footer="720" w:gutter="0"/>
          <w:cols w:space="720" w:num="1"/>
        </w:sectPr>
      </w:pPr>
    </w:p>
    <w:p w14:paraId="0D8F03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906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C359F2">
            <w:pPr>
              <w:pStyle w:val="8"/>
            </w:pPr>
            <w:r>
              <w:t>360037隆尧县第三实验小学</w:t>
            </w:r>
          </w:p>
        </w:tc>
        <w:tc>
          <w:tcPr>
            <w:tcW w:w="2551" w:type="dxa"/>
            <w:tcBorders>
              <w:top w:val="single" w:color="FFFFFF" w:sz="6" w:space="0"/>
              <w:left w:val="single" w:color="FFFFFF" w:sz="6" w:space="0"/>
              <w:right w:val="single" w:color="FFFFFF" w:sz="6" w:space="0"/>
            </w:tcBorders>
            <w:vAlign w:val="center"/>
          </w:tcPr>
          <w:p w14:paraId="3F08E7F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7CF0F5">
            <w:pPr>
              <w:pStyle w:val="10"/>
            </w:pPr>
            <w:r>
              <w:t>单位：万元</w:t>
            </w:r>
          </w:p>
        </w:tc>
      </w:tr>
      <w:tr w14:paraId="01A65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72287">
            <w:pPr>
              <w:pStyle w:val="11"/>
            </w:pPr>
            <w:r>
              <w:t>序号</w:t>
            </w:r>
          </w:p>
        </w:tc>
        <w:tc>
          <w:tcPr>
            <w:tcW w:w="5726" w:type="dxa"/>
            <w:gridSpan w:val="2"/>
            <w:vAlign w:val="center"/>
          </w:tcPr>
          <w:p w14:paraId="11F5BF70">
            <w:pPr>
              <w:pStyle w:val="11"/>
            </w:pPr>
            <w:r>
              <w:t>支出部门经济分类科目</w:t>
            </w:r>
          </w:p>
        </w:tc>
        <w:tc>
          <w:tcPr>
            <w:tcW w:w="7653" w:type="dxa"/>
            <w:gridSpan w:val="3"/>
            <w:vAlign w:val="center"/>
          </w:tcPr>
          <w:p w14:paraId="7D1D007B">
            <w:pPr>
              <w:pStyle w:val="11"/>
            </w:pPr>
            <w:r>
              <w:t>一般公共预算基本支出</w:t>
            </w:r>
          </w:p>
        </w:tc>
      </w:tr>
      <w:tr w14:paraId="3547A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7CED41"/>
        </w:tc>
        <w:tc>
          <w:tcPr>
            <w:tcW w:w="1191" w:type="dxa"/>
            <w:vAlign w:val="center"/>
          </w:tcPr>
          <w:p w14:paraId="6F905E22">
            <w:pPr>
              <w:pStyle w:val="11"/>
            </w:pPr>
            <w:r>
              <w:t>科目编码</w:t>
            </w:r>
          </w:p>
        </w:tc>
        <w:tc>
          <w:tcPr>
            <w:tcW w:w="4535" w:type="dxa"/>
            <w:vAlign w:val="center"/>
          </w:tcPr>
          <w:p w14:paraId="436EF55F">
            <w:pPr>
              <w:pStyle w:val="11"/>
            </w:pPr>
            <w:r>
              <w:t>科目名称</w:t>
            </w:r>
          </w:p>
        </w:tc>
        <w:tc>
          <w:tcPr>
            <w:tcW w:w="2551" w:type="dxa"/>
            <w:vAlign w:val="center"/>
          </w:tcPr>
          <w:p w14:paraId="1DFD4D81">
            <w:pPr>
              <w:pStyle w:val="11"/>
            </w:pPr>
            <w:r>
              <w:t>合计</w:t>
            </w:r>
          </w:p>
        </w:tc>
        <w:tc>
          <w:tcPr>
            <w:tcW w:w="2551" w:type="dxa"/>
            <w:vAlign w:val="center"/>
          </w:tcPr>
          <w:p w14:paraId="0AF7386C">
            <w:pPr>
              <w:pStyle w:val="11"/>
            </w:pPr>
            <w:r>
              <w:t>人员经费</w:t>
            </w:r>
          </w:p>
        </w:tc>
        <w:tc>
          <w:tcPr>
            <w:tcW w:w="2551" w:type="dxa"/>
            <w:vAlign w:val="center"/>
          </w:tcPr>
          <w:p w14:paraId="3CB80891">
            <w:pPr>
              <w:pStyle w:val="11"/>
            </w:pPr>
            <w:r>
              <w:t>公用经费</w:t>
            </w:r>
          </w:p>
        </w:tc>
      </w:tr>
      <w:tr w14:paraId="06308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C2683">
            <w:pPr>
              <w:pStyle w:val="11"/>
            </w:pPr>
            <w:r>
              <w:t>栏次</w:t>
            </w:r>
          </w:p>
        </w:tc>
        <w:tc>
          <w:tcPr>
            <w:tcW w:w="1191" w:type="dxa"/>
            <w:vAlign w:val="center"/>
          </w:tcPr>
          <w:p w14:paraId="6497BAB6">
            <w:pPr>
              <w:pStyle w:val="11"/>
            </w:pPr>
            <w:r>
              <w:t>1</w:t>
            </w:r>
          </w:p>
        </w:tc>
        <w:tc>
          <w:tcPr>
            <w:tcW w:w="4535" w:type="dxa"/>
            <w:vAlign w:val="center"/>
          </w:tcPr>
          <w:p w14:paraId="3B46E324">
            <w:pPr>
              <w:pStyle w:val="11"/>
            </w:pPr>
            <w:r>
              <w:t>2</w:t>
            </w:r>
          </w:p>
        </w:tc>
        <w:tc>
          <w:tcPr>
            <w:tcW w:w="2551" w:type="dxa"/>
            <w:vAlign w:val="center"/>
          </w:tcPr>
          <w:p w14:paraId="72755A53">
            <w:pPr>
              <w:pStyle w:val="11"/>
            </w:pPr>
            <w:r>
              <w:t>3</w:t>
            </w:r>
          </w:p>
        </w:tc>
        <w:tc>
          <w:tcPr>
            <w:tcW w:w="2551" w:type="dxa"/>
            <w:vAlign w:val="center"/>
          </w:tcPr>
          <w:p w14:paraId="2EC07D7E">
            <w:pPr>
              <w:pStyle w:val="11"/>
            </w:pPr>
            <w:r>
              <w:t>4</w:t>
            </w:r>
          </w:p>
        </w:tc>
        <w:tc>
          <w:tcPr>
            <w:tcW w:w="2551" w:type="dxa"/>
            <w:vAlign w:val="center"/>
          </w:tcPr>
          <w:p w14:paraId="16B17538">
            <w:pPr>
              <w:pStyle w:val="11"/>
            </w:pPr>
            <w:r>
              <w:t>5</w:t>
            </w:r>
          </w:p>
        </w:tc>
      </w:tr>
      <w:tr w14:paraId="0E25F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8BA83">
            <w:pPr>
              <w:pStyle w:val="12"/>
            </w:pPr>
            <w:r>
              <w:t>1</w:t>
            </w:r>
          </w:p>
        </w:tc>
        <w:tc>
          <w:tcPr>
            <w:tcW w:w="1191" w:type="dxa"/>
            <w:vAlign w:val="center"/>
          </w:tcPr>
          <w:p w14:paraId="19C3DE97">
            <w:pPr>
              <w:pStyle w:val="17"/>
            </w:pPr>
          </w:p>
        </w:tc>
        <w:tc>
          <w:tcPr>
            <w:tcW w:w="4535" w:type="dxa"/>
            <w:vAlign w:val="center"/>
          </w:tcPr>
          <w:p w14:paraId="75EA6A58">
            <w:pPr>
              <w:pStyle w:val="15"/>
            </w:pPr>
            <w:r>
              <w:t>合计</w:t>
            </w:r>
          </w:p>
        </w:tc>
        <w:tc>
          <w:tcPr>
            <w:tcW w:w="2551" w:type="dxa"/>
            <w:vAlign w:val="center"/>
          </w:tcPr>
          <w:p w14:paraId="726CFBC3">
            <w:pPr>
              <w:pStyle w:val="16"/>
            </w:pPr>
            <w:r>
              <w:t>762.22</w:t>
            </w:r>
          </w:p>
        </w:tc>
        <w:tc>
          <w:tcPr>
            <w:tcW w:w="2551" w:type="dxa"/>
            <w:vAlign w:val="center"/>
          </w:tcPr>
          <w:p w14:paraId="335A2267">
            <w:pPr>
              <w:pStyle w:val="16"/>
            </w:pPr>
            <w:r>
              <w:t>762.22</w:t>
            </w:r>
          </w:p>
        </w:tc>
        <w:tc>
          <w:tcPr>
            <w:tcW w:w="2551" w:type="dxa"/>
            <w:vAlign w:val="center"/>
          </w:tcPr>
          <w:p w14:paraId="0C1FFDC2">
            <w:pPr>
              <w:pStyle w:val="16"/>
            </w:pPr>
          </w:p>
        </w:tc>
      </w:tr>
      <w:tr w14:paraId="7DB0A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893B6">
            <w:pPr>
              <w:pStyle w:val="12"/>
            </w:pPr>
            <w:r>
              <w:t>2</w:t>
            </w:r>
          </w:p>
        </w:tc>
        <w:tc>
          <w:tcPr>
            <w:tcW w:w="1191" w:type="dxa"/>
            <w:vAlign w:val="center"/>
          </w:tcPr>
          <w:p w14:paraId="4C891F31">
            <w:pPr>
              <w:pStyle w:val="13"/>
            </w:pPr>
            <w:r>
              <w:t>301</w:t>
            </w:r>
          </w:p>
        </w:tc>
        <w:tc>
          <w:tcPr>
            <w:tcW w:w="4535" w:type="dxa"/>
            <w:vAlign w:val="center"/>
          </w:tcPr>
          <w:p w14:paraId="255F25DC">
            <w:pPr>
              <w:pStyle w:val="13"/>
            </w:pPr>
            <w:r>
              <w:t>工资福利支出</w:t>
            </w:r>
          </w:p>
        </w:tc>
        <w:tc>
          <w:tcPr>
            <w:tcW w:w="2551" w:type="dxa"/>
            <w:vAlign w:val="center"/>
          </w:tcPr>
          <w:p w14:paraId="55525E74">
            <w:pPr>
              <w:pStyle w:val="14"/>
            </w:pPr>
            <w:r>
              <w:t>762.22</w:t>
            </w:r>
          </w:p>
        </w:tc>
        <w:tc>
          <w:tcPr>
            <w:tcW w:w="2551" w:type="dxa"/>
            <w:vAlign w:val="center"/>
          </w:tcPr>
          <w:p w14:paraId="6C72C0CC">
            <w:pPr>
              <w:pStyle w:val="14"/>
            </w:pPr>
            <w:r>
              <w:t>762.22</w:t>
            </w:r>
          </w:p>
        </w:tc>
        <w:tc>
          <w:tcPr>
            <w:tcW w:w="2551" w:type="dxa"/>
            <w:vAlign w:val="center"/>
          </w:tcPr>
          <w:p w14:paraId="684F410F">
            <w:pPr>
              <w:pStyle w:val="14"/>
            </w:pPr>
          </w:p>
        </w:tc>
      </w:tr>
      <w:tr w14:paraId="007D8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A2220">
            <w:pPr>
              <w:pStyle w:val="12"/>
            </w:pPr>
            <w:r>
              <w:t>3</w:t>
            </w:r>
          </w:p>
        </w:tc>
        <w:tc>
          <w:tcPr>
            <w:tcW w:w="1191" w:type="dxa"/>
            <w:vAlign w:val="center"/>
          </w:tcPr>
          <w:p w14:paraId="424DA88A">
            <w:pPr>
              <w:pStyle w:val="13"/>
            </w:pPr>
            <w:r>
              <w:t>30101</w:t>
            </w:r>
          </w:p>
        </w:tc>
        <w:tc>
          <w:tcPr>
            <w:tcW w:w="4535" w:type="dxa"/>
            <w:vAlign w:val="center"/>
          </w:tcPr>
          <w:p w14:paraId="14548EB5">
            <w:pPr>
              <w:pStyle w:val="13"/>
            </w:pPr>
            <w:r>
              <w:t>基本工资</w:t>
            </w:r>
          </w:p>
        </w:tc>
        <w:tc>
          <w:tcPr>
            <w:tcW w:w="2551" w:type="dxa"/>
            <w:vAlign w:val="center"/>
          </w:tcPr>
          <w:p w14:paraId="11ABC20D">
            <w:pPr>
              <w:pStyle w:val="14"/>
            </w:pPr>
            <w:r>
              <w:t>353.94</w:t>
            </w:r>
          </w:p>
        </w:tc>
        <w:tc>
          <w:tcPr>
            <w:tcW w:w="2551" w:type="dxa"/>
            <w:vAlign w:val="center"/>
          </w:tcPr>
          <w:p w14:paraId="23C3EAD1">
            <w:pPr>
              <w:pStyle w:val="14"/>
            </w:pPr>
            <w:r>
              <w:t>353.94</w:t>
            </w:r>
          </w:p>
        </w:tc>
        <w:tc>
          <w:tcPr>
            <w:tcW w:w="2551" w:type="dxa"/>
            <w:vAlign w:val="center"/>
          </w:tcPr>
          <w:p w14:paraId="15981385">
            <w:pPr>
              <w:pStyle w:val="14"/>
            </w:pPr>
          </w:p>
        </w:tc>
      </w:tr>
      <w:tr w14:paraId="0ED07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A04E1">
            <w:pPr>
              <w:pStyle w:val="12"/>
            </w:pPr>
            <w:r>
              <w:t>4</w:t>
            </w:r>
          </w:p>
        </w:tc>
        <w:tc>
          <w:tcPr>
            <w:tcW w:w="1191" w:type="dxa"/>
            <w:vAlign w:val="center"/>
          </w:tcPr>
          <w:p w14:paraId="2CB84C35">
            <w:pPr>
              <w:pStyle w:val="13"/>
            </w:pPr>
            <w:r>
              <w:t>30102</w:t>
            </w:r>
          </w:p>
        </w:tc>
        <w:tc>
          <w:tcPr>
            <w:tcW w:w="4535" w:type="dxa"/>
            <w:vAlign w:val="center"/>
          </w:tcPr>
          <w:p w14:paraId="37ABE4B9">
            <w:pPr>
              <w:pStyle w:val="13"/>
            </w:pPr>
            <w:r>
              <w:t>津贴补贴</w:t>
            </w:r>
          </w:p>
        </w:tc>
        <w:tc>
          <w:tcPr>
            <w:tcW w:w="2551" w:type="dxa"/>
            <w:vAlign w:val="center"/>
          </w:tcPr>
          <w:p w14:paraId="60C5BDC1">
            <w:pPr>
              <w:pStyle w:val="14"/>
            </w:pPr>
            <w:r>
              <w:t>35.60</w:t>
            </w:r>
          </w:p>
        </w:tc>
        <w:tc>
          <w:tcPr>
            <w:tcW w:w="2551" w:type="dxa"/>
            <w:vAlign w:val="center"/>
          </w:tcPr>
          <w:p w14:paraId="0672879A">
            <w:pPr>
              <w:pStyle w:val="14"/>
            </w:pPr>
            <w:r>
              <w:t>35.60</w:t>
            </w:r>
          </w:p>
        </w:tc>
        <w:tc>
          <w:tcPr>
            <w:tcW w:w="2551" w:type="dxa"/>
            <w:vAlign w:val="center"/>
          </w:tcPr>
          <w:p w14:paraId="288A80E8">
            <w:pPr>
              <w:pStyle w:val="14"/>
            </w:pPr>
          </w:p>
        </w:tc>
      </w:tr>
      <w:tr w14:paraId="32A86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F6635">
            <w:pPr>
              <w:pStyle w:val="12"/>
            </w:pPr>
            <w:r>
              <w:t>5</w:t>
            </w:r>
          </w:p>
        </w:tc>
        <w:tc>
          <w:tcPr>
            <w:tcW w:w="1191" w:type="dxa"/>
            <w:vAlign w:val="center"/>
          </w:tcPr>
          <w:p w14:paraId="30BA72BD">
            <w:pPr>
              <w:pStyle w:val="13"/>
            </w:pPr>
            <w:r>
              <w:t>30107</w:t>
            </w:r>
          </w:p>
        </w:tc>
        <w:tc>
          <w:tcPr>
            <w:tcW w:w="4535" w:type="dxa"/>
            <w:vAlign w:val="center"/>
          </w:tcPr>
          <w:p w14:paraId="6402D993">
            <w:pPr>
              <w:pStyle w:val="13"/>
            </w:pPr>
            <w:r>
              <w:t>绩效工资</w:t>
            </w:r>
          </w:p>
        </w:tc>
        <w:tc>
          <w:tcPr>
            <w:tcW w:w="2551" w:type="dxa"/>
            <w:vAlign w:val="center"/>
          </w:tcPr>
          <w:p w14:paraId="0DCFAB99">
            <w:pPr>
              <w:pStyle w:val="14"/>
            </w:pPr>
            <w:r>
              <w:t>203.89</w:t>
            </w:r>
          </w:p>
        </w:tc>
        <w:tc>
          <w:tcPr>
            <w:tcW w:w="2551" w:type="dxa"/>
            <w:vAlign w:val="center"/>
          </w:tcPr>
          <w:p w14:paraId="3EF82254">
            <w:pPr>
              <w:pStyle w:val="14"/>
            </w:pPr>
            <w:r>
              <w:t>203.89</w:t>
            </w:r>
          </w:p>
        </w:tc>
        <w:tc>
          <w:tcPr>
            <w:tcW w:w="2551" w:type="dxa"/>
            <w:vAlign w:val="center"/>
          </w:tcPr>
          <w:p w14:paraId="3B11EA66">
            <w:pPr>
              <w:pStyle w:val="14"/>
            </w:pPr>
          </w:p>
        </w:tc>
      </w:tr>
      <w:tr w14:paraId="1295B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2FFC8">
            <w:pPr>
              <w:pStyle w:val="12"/>
            </w:pPr>
            <w:r>
              <w:t>6</w:t>
            </w:r>
          </w:p>
        </w:tc>
        <w:tc>
          <w:tcPr>
            <w:tcW w:w="1191" w:type="dxa"/>
            <w:vAlign w:val="center"/>
          </w:tcPr>
          <w:p w14:paraId="3F1BBA70">
            <w:pPr>
              <w:pStyle w:val="13"/>
            </w:pPr>
            <w:r>
              <w:t>30108</w:t>
            </w:r>
          </w:p>
        </w:tc>
        <w:tc>
          <w:tcPr>
            <w:tcW w:w="4535" w:type="dxa"/>
            <w:vAlign w:val="center"/>
          </w:tcPr>
          <w:p w14:paraId="581B2CAB">
            <w:pPr>
              <w:pStyle w:val="13"/>
            </w:pPr>
            <w:r>
              <w:t>机关事业单位基本养老保险缴费</w:t>
            </w:r>
          </w:p>
        </w:tc>
        <w:tc>
          <w:tcPr>
            <w:tcW w:w="2551" w:type="dxa"/>
            <w:vAlign w:val="center"/>
          </w:tcPr>
          <w:p w14:paraId="201BE110">
            <w:pPr>
              <w:pStyle w:val="14"/>
            </w:pPr>
            <w:r>
              <w:t>71.32</w:t>
            </w:r>
          </w:p>
        </w:tc>
        <w:tc>
          <w:tcPr>
            <w:tcW w:w="2551" w:type="dxa"/>
            <w:vAlign w:val="center"/>
          </w:tcPr>
          <w:p w14:paraId="41BE19A8">
            <w:pPr>
              <w:pStyle w:val="14"/>
            </w:pPr>
            <w:r>
              <w:t>71.32</w:t>
            </w:r>
          </w:p>
        </w:tc>
        <w:tc>
          <w:tcPr>
            <w:tcW w:w="2551" w:type="dxa"/>
            <w:vAlign w:val="center"/>
          </w:tcPr>
          <w:p w14:paraId="5E69D54D">
            <w:pPr>
              <w:pStyle w:val="14"/>
            </w:pPr>
          </w:p>
        </w:tc>
      </w:tr>
      <w:tr w14:paraId="51269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975A2">
            <w:pPr>
              <w:pStyle w:val="12"/>
            </w:pPr>
            <w:r>
              <w:t>7</w:t>
            </w:r>
          </w:p>
        </w:tc>
        <w:tc>
          <w:tcPr>
            <w:tcW w:w="1191" w:type="dxa"/>
            <w:vAlign w:val="center"/>
          </w:tcPr>
          <w:p w14:paraId="1EF9F7B3">
            <w:pPr>
              <w:pStyle w:val="13"/>
            </w:pPr>
            <w:r>
              <w:t>30110</w:t>
            </w:r>
          </w:p>
        </w:tc>
        <w:tc>
          <w:tcPr>
            <w:tcW w:w="4535" w:type="dxa"/>
            <w:vAlign w:val="center"/>
          </w:tcPr>
          <w:p w14:paraId="277704BF">
            <w:pPr>
              <w:pStyle w:val="13"/>
            </w:pPr>
            <w:r>
              <w:t>职工基本医疗保险缴费</w:t>
            </w:r>
          </w:p>
        </w:tc>
        <w:tc>
          <w:tcPr>
            <w:tcW w:w="2551" w:type="dxa"/>
            <w:vAlign w:val="center"/>
          </w:tcPr>
          <w:p w14:paraId="0ECF7FE3">
            <w:pPr>
              <w:pStyle w:val="14"/>
            </w:pPr>
            <w:r>
              <w:t>36.34</w:t>
            </w:r>
          </w:p>
        </w:tc>
        <w:tc>
          <w:tcPr>
            <w:tcW w:w="2551" w:type="dxa"/>
            <w:vAlign w:val="center"/>
          </w:tcPr>
          <w:p w14:paraId="02B0ECA9">
            <w:pPr>
              <w:pStyle w:val="14"/>
            </w:pPr>
            <w:r>
              <w:t>36.34</w:t>
            </w:r>
          </w:p>
        </w:tc>
        <w:tc>
          <w:tcPr>
            <w:tcW w:w="2551" w:type="dxa"/>
            <w:vAlign w:val="center"/>
          </w:tcPr>
          <w:p w14:paraId="3BFD72AD">
            <w:pPr>
              <w:pStyle w:val="14"/>
            </w:pPr>
          </w:p>
        </w:tc>
      </w:tr>
      <w:tr w14:paraId="029E6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FCD58">
            <w:pPr>
              <w:pStyle w:val="12"/>
            </w:pPr>
            <w:r>
              <w:t>8</w:t>
            </w:r>
          </w:p>
        </w:tc>
        <w:tc>
          <w:tcPr>
            <w:tcW w:w="1191" w:type="dxa"/>
            <w:vAlign w:val="center"/>
          </w:tcPr>
          <w:p w14:paraId="3448D760">
            <w:pPr>
              <w:pStyle w:val="13"/>
            </w:pPr>
            <w:r>
              <w:t>30112</w:t>
            </w:r>
          </w:p>
        </w:tc>
        <w:tc>
          <w:tcPr>
            <w:tcW w:w="4535" w:type="dxa"/>
            <w:vAlign w:val="center"/>
          </w:tcPr>
          <w:p w14:paraId="4D506473">
            <w:pPr>
              <w:pStyle w:val="13"/>
            </w:pPr>
            <w:r>
              <w:t>其他社会保障缴费</w:t>
            </w:r>
          </w:p>
        </w:tc>
        <w:tc>
          <w:tcPr>
            <w:tcW w:w="2551" w:type="dxa"/>
            <w:vAlign w:val="center"/>
          </w:tcPr>
          <w:p w14:paraId="73F13C5B">
            <w:pPr>
              <w:pStyle w:val="14"/>
            </w:pPr>
            <w:r>
              <w:t>4.14</w:t>
            </w:r>
          </w:p>
        </w:tc>
        <w:tc>
          <w:tcPr>
            <w:tcW w:w="2551" w:type="dxa"/>
            <w:vAlign w:val="center"/>
          </w:tcPr>
          <w:p w14:paraId="6F4B73CF">
            <w:pPr>
              <w:pStyle w:val="14"/>
            </w:pPr>
            <w:r>
              <w:t>4.14</w:t>
            </w:r>
          </w:p>
        </w:tc>
        <w:tc>
          <w:tcPr>
            <w:tcW w:w="2551" w:type="dxa"/>
            <w:vAlign w:val="center"/>
          </w:tcPr>
          <w:p w14:paraId="196F05A0">
            <w:pPr>
              <w:pStyle w:val="14"/>
            </w:pPr>
          </w:p>
        </w:tc>
      </w:tr>
      <w:tr w14:paraId="3E00A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C566D">
            <w:pPr>
              <w:pStyle w:val="12"/>
            </w:pPr>
            <w:r>
              <w:t>9</w:t>
            </w:r>
          </w:p>
        </w:tc>
        <w:tc>
          <w:tcPr>
            <w:tcW w:w="1191" w:type="dxa"/>
            <w:vAlign w:val="center"/>
          </w:tcPr>
          <w:p w14:paraId="44250D1A">
            <w:pPr>
              <w:pStyle w:val="13"/>
            </w:pPr>
            <w:r>
              <w:t>30113</w:t>
            </w:r>
          </w:p>
        </w:tc>
        <w:tc>
          <w:tcPr>
            <w:tcW w:w="4535" w:type="dxa"/>
            <w:vAlign w:val="center"/>
          </w:tcPr>
          <w:p w14:paraId="4F39B955">
            <w:pPr>
              <w:pStyle w:val="13"/>
            </w:pPr>
            <w:r>
              <w:t>住房公积金</w:t>
            </w:r>
          </w:p>
        </w:tc>
        <w:tc>
          <w:tcPr>
            <w:tcW w:w="2551" w:type="dxa"/>
            <w:vAlign w:val="center"/>
          </w:tcPr>
          <w:p w14:paraId="25388C7E">
            <w:pPr>
              <w:pStyle w:val="14"/>
            </w:pPr>
            <w:r>
              <w:t>56.99</w:t>
            </w:r>
          </w:p>
        </w:tc>
        <w:tc>
          <w:tcPr>
            <w:tcW w:w="2551" w:type="dxa"/>
            <w:vAlign w:val="center"/>
          </w:tcPr>
          <w:p w14:paraId="7CF010B9">
            <w:pPr>
              <w:pStyle w:val="14"/>
            </w:pPr>
            <w:r>
              <w:t>56.99</w:t>
            </w:r>
          </w:p>
        </w:tc>
        <w:tc>
          <w:tcPr>
            <w:tcW w:w="2551" w:type="dxa"/>
            <w:vAlign w:val="center"/>
          </w:tcPr>
          <w:p w14:paraId="378D3545">
            <w:pPr>
              <w:pStyle w:val="14"/>
            </w:pPr>
          </w:p>
        </w:tc>
      </w:tr>
    </w:tbl>
    <w:p w14:paraId="23B12CFD">
      <w:pPr>
        <w:sectPr>
          <w:pgSz w:w="16840" w:h="11900" w:orient="landscape"/>
          <w:pgMar w:top="1361" w:right="1020" w:bottom="1134" w:left="1020" w:header="720" w:footer="720" w:gutter="0"/>
          <w:cols w:space="720" w:num="1"/>
        </w:sectPr>
      </w:pPr>
    </w:p>
    <w:p w14:paraId="588703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CC4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D5EB63">
            <w:pPr>
              <w:pStyle w:val="8"/>
            </w:pPr>
            <w:r>
              <w:t>360037隆尧县第三实验小学</w:t>
            </w:r>
          </w:p>
        </w:tc>
        <w:tc>
          <w:tcPr>
            <w:tcW w:w="2551" w:type="dxa"/>
            <w:tcBorders>
              <w:top w:val="single" w:color="FFFFFF" w:sz="6" w:space="0"/>
              <w:left w:val="single" w:color="FFFFFF" w:sz="6" w:space="0"/>
              <w:right w:val="single" w:color="FFFFFF" w:sz="6" w:space="0"/>
            </w:tcBorders>
            <w:vAlign w:val="center"/>
          </w:tcPr>
          <w:p w14:paraId="62996E6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DD142BC">
            <w:pPr>
              <w:pStyle w:val="10"/>
            </w:pPr>
            <w:r>
              <w:t>单位：万元</w:t>
            </w:r>
          </w:p>
        </w:tc>
      </w:tr>
      <w:tr w14:paraId="092A9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9024D">
            <w:pPr>
              <w:pStyle w:val="11"/>
            </w:pPr>
            <w:r>
              <w:t>序号</w:t>
            </w:r>
          </w:p>
        </w:tc>
        <w:tc>
          <w:tcPr>
            <w:tcW w:w="5726" w:type="dxa"/>
            <w:gridSpan w:val="2"/>
            <w:vAlign w:val="center"/>
          </w:tcPr>
          <w:p w14:paraId="2185EA11">
            <w:pPr>
              <w:pStyle w:val="11"/>
            </w:pPr>
            <w:r>
              <w:t>功能分类科目</w:t>
            </w:r>
          </w:p>
        </w:tc>
        <w:tc>
          <w:tcPr>
            <w:tcW w:w="2551" w:type="dxa"/>
            <w:vMerge w:val="restart"/>
            <w:vAlign w:val="center"/>
          </w:tcPr>
          <w:p w14:paraId="2AB564D6">
            <w:pPr>
              <w:pStyle w:val="11"/>
            </w:pPr>
            <w:r>
              <w:t>合计</w:t>
            </w:r>
          </w:p>
        </w:tc>
        <w:tc>
          <w:tcPr>
            <w:tcW w:w="2551" w:type="dxa"/>
            <w:vMerge w:val="restart"/>
            <w:vAlign w:val="center"/>
          </w:tcPr>
          <w:p w14:paraId="61524F00">
            <w:pPr>
              <w:pStyle w:val="11"/>
            </w:pPr>
            <w:r>
              <w:t>基本支出</w:t>
            </w:r>
          </w:p>
        </w:tc>
        <w:tc>
          <w:tcPr>
            <w:tcW w:w="2551" w:type="dxa"/>
            <w:vMerge w:val="restart"/>
            <w:vAlign w:val="center"/>
          </w:tcPr>
          <w:p w14:paraId="1F99E618">
            <w:pPr>
              <w:pStyle w:val="11"/>
            </w:pPr>
            <w:r>
              <w:t>项目支出</w:t>
            </w:r>
          </w:p>
        </w:tc>
      </w:tr>
      <w:tr w14:paraId="3BD94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85F43"/>
        </w:tc>
        <w:tc>
          <w:tcPr>
            <w:tcW w:w="1191" w:type="dxa"/>
            <w:vAlign w:val="center"/>
          </w:tcPr>
          <w:p w14:paraId="297006FB">
            <w:pPr>
              <w:pStyle w:val="11"/>
            </w:pPr>
            <w:r>
              <w:t>科目编码</w:t>
            </w:r>
          </w:p>
        </w:tc>
        <w:tc>
          <w:tcPr>
            <w:tcW w:w="4535" w:type="dxa"/>
            <w:vAlign w:val="center"/>
          </w:tcPr>
          <w:p w14:paraId="73497414">
            <w:pPr>
              <w:pStyle w:val="11"/>
            </w:pPr>
            <w:r>
              <w:t>科目名称</w:t>
            </w:r>
          </w:p>
        </w:tc>
        <w:tc>
          <w:tcPr>
            <w:tcW w:w="2551" w:type="dxa"/>
            <w:vMerge w:val="continue"/>
          </w:tcPr>
          <w:p w14:paraId="48995BB0"/>
        </w:tc>
        <w:tc>
          <w:tcPr>
            <w:tcW w:w="2551" w:type="dxa"/>
            <w:vMerge w:val="continue"/>
          </w:tcPr>
          <w:p w14:paraId="4CA42E77"/>
        </w:tc>
        <w:tc>
          <w:tcPr>
            <w:tcW w:w="2551" w:type="dxa"/>
            <w:vMerge w:val="continue"/>
          </w:tcPr>
          <w:p w14:paraId="04E37018"/>
        </w:tc>
      </w:tr>
      <w:tr w14:paraId="51024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8EE096">
            <w:pPr>
              <w:pStyle w:val="11"/>
            </w:pPr>
            <w:r>
              <w:t>栏次</w:t>
            </w:r>
          </w:p>
        </w:tc>
        <w:tc>
          <w:tcPr>
            <w:tcW w:w="1191" w:type="dxa"/>
            <w:vAlign w:val="center"/>
          </w:tcPr>
          <w:p w14:paraId="60F657F1">
            <w:pPr>
              <w:pStyle w:val="11"/>
            </w:pPr>
            <w:r>
              <w:t>1</w:t>
            </w:r>
          </w:p>
        </w:tc>
        <w:tc>
          <w:tcPr>
            <w:tcW w:w="4535" w:type="dxa"/>
            <w:vAlign w:val="center"/>
          </w:tcPr>
          <w:p w14:paraId="5E241A80">
            <w:pPr>
              <w:pStyle w:val="11"/>
            </w:pPr>
            <w:r>
              <w:t>2</w:t>
            </w:r>
          </w:p>
        </w:tc>
        <w:tc>
          <w:tcPr>
            <w:tcW w:w="2551" w:type="dxa"/>
            <w:vAlign w:val="center"/>
          </w:tcPr>
          <w:p w14:paraId="0D32FDD5">
            <w:pPr>
              <w:pStyle w:val="11"/>
            </w:pPr>
            <w:r>
              <w:t>3</w:t>
            </w:r>
          </w:p>
        </w:tc>
        <w:tc>
          <w:tcPr>
            <w:tcW w:w="2551" w:type="dxa"/>
            <w:vAlign w:val="center"/>
          </w:tcPr>
          <w:p w14:paraId="1691FE49">
            <w:pPr>
              <w:pStyle w:val="11"/>
            </w:pPr>
            <w:r>
              <w:t>4</w:t>
            </w:r>
          </w:p>
        </w:tc>
        <w:tc>
          <w:tcPr>
            <w:tcW w:w="2551" w:type="dxa"/>
            <w:vAlign w:val="center"/>
          </w:tcPr>
          <w:p w14:paraId="03C262C4">
            <w:pPr>
              <w:pStyle w:val="11"/>
            </w:pPr>
            <w:r>
              <w:t>5</w:t>
            </w:r>
          </w:p>
        </w:tc>
      </w:tr>
      <w:tr w14:paraId="45980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F225C">
            <w:pPr>
              <w:pStyle w:val="12"/>
            </w:pPr>
          </w:p>
        </w:tc>
        <w:tc>
          <w:tcPr>
            <w:tcW w:w="1191" w:type="dxa"/>
            <w:vAlign w:val="center"/>
          </w:tcPr>
          <w:p w14:paraId="208F4B00">
            <w:pPr>
              <w:pStyle w:val="13"/>
            </w:pPr>
          </w:p>
        </w:tc>
        <w:tc>
          <w:tcPr>
            <w:tcW w:w="4535" w:type="dxa"/>
            <w:vAlign w:val="center"/>
          </w:tcPr>
          <w:p w14:paraId="1D24A6E1">
            <w:pPr>
              <w:pStyle w:val="13"/>
            </w:pPr>
          </w:p>
        </w:tc>
        <w:tc>
          <w:tcPr>
            <w:tcW w:w="2551" w:type="dxa"/>
            <w:vAlign w:val="center"/>
          </w:tcPr>
          <w:p w14:paraId="1384555D">
            <w:pPr>
              <w:pStyle w:val="14"/>
            </w:pPr>
          </w:p>
        </w:tc>
        <w:tc>
          <w:tcPr>
            <w:tcW w:w="2551" w:type="dxa"/>
            <w:vAlign w:val="center"/>
          </w:tcPr>
          <w:p w14:paraId="1B869374">
            <w:pPr>
              <w:pStyle w:val="14"/>
            </w:pPr>
          </w:p>
        </w:tc>
        <w:tc>
          <w:tcPr>
            <w:tcW w:w="2551" w:type="dxa"/>
            <w:vAlign w:val="center"/>
          </w:tcPr>
          <w:p w14:paraId="34688222">
            <w:pPr>
              <w:pStyle w:val="14"/>
            </w:pPr>
          </w:p>
        </w:tc>
      </w:tr>
    </w:tbl>
    <w:p w14:paraId="77AFC3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7C3FB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16B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F33D44">
            <w:pPr>
              <w:pStyle w:val="8"/>
            </w:pPr>
            <w:r>
              <w:t>360037隆尧县第三实验小学</w:t>
            </w:r>
          </w:p>
        </w:tc>
        <w:tc>
          <w:tcPr>
            <w:tcW w:w="2551" w:type="dxa"/>
            <w:tcBorders>
              <w:top w:val="single" w:color="FFFFFF" w:sz="6" w:space="0"/>
              <w:left w:val="single" w:color="FFFFFF" w:sz="6" w:space="0"/>
              <w:right w:val="single" w:color="FFFFFF" w:sz="6" w:space="0"/>
            </w:tcBorders>
            <w:vAlign w:val="center"/>
          </w:tcPr>
          <w:p w14:paraId="3E87F39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05FFF2F">
            <w:pPr>
              <w:pStyle w:val="10"/>
            </w:pPr>
            <w:r>
              <w:t>单位：万元</w:t>
            </w:r>
          </w:p>
        </w:tc>
      </w:tr>
      <w:tr w14:paraId="7C261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025820">
            <w:pPr>
              <w:pStyle w:val="11"/>
            </w:pPr>
            <w:r>
              <w:t>序号</w:t>
            </w:r>
          </w:p>
        </w:tc>
        <w:tc>
          <w:tcPr>
            <w:tcW w:w="5726" w:type="dxa"/>
            <w:gridSpan w:val="2"/>
            <w:vAlign w:val="center"/>
          </w:tcPr>
          <w:p w14:paraId="1F7BAF48">
            <w:pPr>
              <w:pStyle w:val="11"/>
            </w:pPr>
            <w:r>
              <w:t>功能分类科目</w:t>
            </w:r>
          </w:p>
        </w:tc>
        <w:tc>
          <w:tcPr>
            <w:tcW w:w="2551" w:type="dxa"/>
            <w:vMerge w:val="restart"/>
            <w:vAlign w:val="center"/>
          </w:tcPr>
          <w:p w14:paraId="4B06B4B0">
            <w:pPr>
              <w:pStyle w:val="11"/>
            </w:pPr>
            <w:r>
              <w:t>合计</w:t>
            </w:r>
          </w:p>
        </w:tc>
        <w:tc>
          <w:tcPr>
            <w:tcW w:w="2551" w:type="dxa"/>
            <w:vMerge w:val="restart"/>
            <w:vAlign w:val="center"/>
          </w:tcPr>
          <w:p w14:paraId="6F0AD44C">
            <w:pPr>
              <w:pStyle w:val="11"/>
            </w:pPr>
            <w:r>
              <w:t>基本支出</w:t>
            </w:r>
          </w:p>
        </w:tc>
        <w:tc>
          <w:tcPr>
            <w:tcW w:w="2551" w:type="dxa"/>
            <w:vMerge w:val="restart"/>
            <w:vAlign w:val="center"/>
          </w:tcPr>
          <w:p w14:paraId="325E2821">
            <w:pPr>
              <w:pStyle w:val="11"/>
            </w:pPr>
            <w:r>
              <w:t>项目支出</w:t>
            </w:r>
          </w:p>
        </w:tc>
      </w:tr>
      <w:tr w14:paraId="50DAA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288849"/>
        </w:tc>
        <w:tc>
          <w:tcPr>
            <w:tcW w:w="1191" w:type="dxa"/>
            <w:vAlign w:val="center"/>
          </w:tcPr>
          <w:p w14:paraId="1385650F">
            <w:pPr>
              <w:pStyle w:val="11"/>
            </w:pPr>
            <w:r>
              <w:t>科目编码</w:t>
            </w:r>
          </w:p>
        </w:tc>
        <w:tc>
          <w:tcPr>
            <w:tcW w:w="4535" w:type="dxa"/>
            <w:vAlign w:val="center"/>
          </w:tcPr>
          <w:p w14:paraId="040DF880">
            <w:pPr>
              <w:pStyle w:val="11"/>
            </w:pPr>
            <w:r>
              <w:t>科目名称</w:t>
            </w:r>
          </w:p>
        </w:tc>
        <w:tc>
          <w:tcPr>
            <w:tcW w:w="2551" w:type="dxa"/>
            <w:vMerge w:val="continue"/>
          </w:tcPr>
          <w:p w14:paraId="284FA62D"/>
        </w:tc>
        <w:tc>
          <w:tcPr>
            <w:tcW w:w="2551" w:type="dxa"/>
            <w:vMerge w:val="continue"/>
          </w:tcPr>
          <w:p w14:paraId="643FB81A"/>
        </w:tc>
        <w:tc>
          <w:tcPr>
            <w:tcW w:w="2551" w:type="dxa"/>
            <w:vMerge w:val="continue"/>
          </w:tcPr>
          <w:p w14:paraId="61CEB42E"/>
        </w:tc>
      </w:tr>
      <w:tr w14:paraId="7E2C5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B0E0C">
            <w:pPr>
              <w:pStyle w:val="11"/>
            </w:pPr>
            <w:r>
              <w:t>栏次</w:t>
            </w:r>
          </w:p>
        </w:tc>
        <w:tc>
          <w:tcPr>
            <w:tcW w:w="1191" w:type="dxa"/>
            <w:vAlign w:val="center"/>
          </w:tcPr>
          <w:p w14:paraId="690CE44F">
            <w:pPr>
              <w:pStyle w:val="11"/>
            </w:pPr>
            <w:r>
              <w:t>1</w:t>
            </w:r>
          </w:p>
        </w:tc>
        <w:tc>
          <w:tcPr>
            <w:tcW w:w="4535" w:type="dxa"/>
            <w:vAlign w:val="center"/>
          </w:tcPr>
          <w:p w14:paraId="2286060C">
            <w:pPr>
              <w:pStyle w:val="11"/>
            </w:pPr>
            <w:r>
              <w:t>2</w:t>
            </w:r>
          </w:p>
        </w:tc>
        <w:tc>
          <w:tcPr>
            <w:tcW w:w="2551" w:type="dxa"/>
            <w:vAlign w:val="center"/>
          </w:tcPr>
          <w:p w14:paraId="2FA145D0">
            <w:pPr>
              <w:pStyle w:val="11"/>
            </w:pPr>
            <w:r>
              <w:t>3</w:t>
            </w:r>
          </w:p>
        </w:tc>
        <w:tc>
          <w:tcPr>
            <w:tcW w:w="2551" w:type="dxa"/>
            <w:vAlign w:val="center"/>
          </w:tcPr>
          <w:p w14:paraId="2C494BAB">
            <w:pPr>
              <w:pStyle w:val="11"/>
            </w:pPr>
            <w:r>
              <w:t>4</w:t>
            </w:r>
          </w:p>
        </w:tc>
        <w:tc>
          <w:tcPr>
            <w:tcW w:w="2551" w:type="dxa"/>
            <w:vAlign w:val="center"/>
          </w:tcPr>
          <w:p w14:paraId="7A3CEB02">
            <w:pPr>
              <w:pStyle w:val="11"/>
            </w:pPr>
            <w:r>
              <w:t>5</w:t>
            </w:r>
          </w:p>
        </w:tc>
      </w:tr>
      <w:tr w14:paraId="52161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6CAB9">
            <w:pPr>
              <w:pStyle w:val="12"/>
            </w:pPr>
          </w:p>
        </w:tc>
        <w:tc>
          <w:tcPr>
            <w:tcW w:w="1191" w:type="dxa"/>
            <w:vAlign w:val="center"/>
          </w:tcPr>
          <w:p w14:paraId="051164AD">
            <w:pPr>
              <w:pStyle w:val="13"/>
            </w:pPr>
          </w:p>
        </w:tc>
        <w:tc>
          <w:tcPr>
            <w:tcW w:w="4535" w:type="dxa"/>
            <w:vAlign w:val="center"/>
          </w:tcPr>
          <w:p w14:paraId="7364AD09">
            <w:pPr>
              <w:pStyle w:val="13"/>
            </w:pPr>
          </w:p>
        </w:tc>
        <w:tc>
          <w:tcPr>
            <w:tcW w:w="2551" w:type="dxa"/>
            <w:vAlign w:val="center"/>
          </w:tcPr>
          <w:p w14:paraId="3C50B878">
            <w:pPr>
              <w:pStyle w:val="14"/>
            </w:pPr>
          </w:p>
        </w:tc>
        <w:tc>
          <w:tcPr>
            <w:tcW w:w="2551" w:type="dxa"/>
            <w:vAlign w:val="center"/>
          </w:tcPr>
          <w:p w14:paraId="3E54B955">
            <w:pPr>
              <w:pStyle w:val="14"/>
            </w:pPr>
          </w:p>
        </w:tc>
        <w:tc>
          <w:tcPr>
            <w:tcW w:w="2551" w:type="dxa"/>
            <w:vAlign w:val="center"/>
          </w:tcPr>
          <w:p w14:paraId="081543F0">
            <w:pPr>
              <w:pStyle w:val="14"/>
            </w:pPr>
          </w:p>
        </w:tc>
      </w:tr>
    </w:tbl>
    <w:p w14:paraId="52704D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4484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1C4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FED358">
            <w:pPr>
              <w:pStyle w:val="8"/>
            </w:pPr>
            <w:r>
              <w:t>360037隆尧县第三实验小学</w:t>
            </w:r>
          </w:p>
        </w:tc>
        <w:tc>
          <w:tcPr>
            <w:tcW w:w="2381" w:type="dxa"/>
            <w:tcBorders>
              <w:top w:val="single" w:color="FFFFFF" w:sz="6" w:space="0"/>
              <w:left w:val="single" w:color="FFFFFF" w:sz="6" w:space="0"/>
              <w:right w:val="single" w:color="FFFFFF" w:sz="6" w:space="0"/>
            </w:tcBorders>
            <w:vAlign w:val="center"/>
          </w:tcPr>
          <w:p w14:paraId="0F63D4A7">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334524E">
            <w:pPr>
              <w:pStyle w:val="10"/>
            </w:pPr>
            <w:r>
              <w:t>单位：万元</w:t>
            </w:r>
          </w:p>
        </w:tc>
      </w:tr>
      <w:tr w14:paraId="2984A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7D8905">
            <w:pPr>
              <w:pStyle w:val="11"/>
            </w:pPr>
            <w:r>
              <w:t>序号</w:t>
            </w:r>
          </w:p>
        </w:tc>
        <w:tc>
          <w:tcPr>
            <w:tcW w:w="3798" w:type="dxa"/>
            <w:vMerge w:val="restart"/>
            <w:vAlign w:val="center"/>
          </w:tcPr>
          <w:p w14:paraId="3792BFD5">
            <w:pPr>
              <w:pStyle w:val="11"/>
            </w:pPr>
            <w:r>
              <w:t>项  目</w:t>
            </w:r>
          </w:p>
        </w:tc>
        <w:tc>
          <w:tcPr>
            <w:tcW w:w="9524" w:type="dxa"/>
            <w:gridSpan w:val="4"/>
            <w:vAlign w:val="center"/>
          </w:tcPr>
          <w:p w14:paraId="656AD38A">
            <w:pPr>
              <w:pStyle w:val="11"/>
            </w:pPr>
            <w:r>
              <w:t>资 金 性 质</w:t>
            </w:r>
          </w:p>
        </w:tc>
      </w:tr>
      <w:tr w14:paraId="2AB4D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F8F5A5"/>
        </w:tc>
        <w:tc>
          <w:tcPr>
            <w:tcW w:w="3798" w:type="dxa"/>
            <w:vMerge w:val="continue"/>
          </w:tcPr>
          <w:p w14:paraId="1D5CBCA8"/>
        </w:tc>
        <w:tc>
          <w:tcPr>
            <w:tcW w:w="2381" w:type="dxa"/>
            <w:vAlign w:val="center"/>
          </w:tcPr>
          <w:p w14:paraId="2D2747EF">
            <w:pPr>
              <w:pStyle w:val="11"/>
            </w:pPr>
            <w:r>
              <w:t>合计</w:t>
            </w:r>
          </w:p>
        </w:tc>
        <w:tc>
          <w:tcPr>
            <w:tcW w:w="2381" w:type="dxa"/>
            <w:vAlign w:val="center"/>
          </w:tcPr>
          <w:p w14:paraId="152BF0F3">
            <w:pPr>
              <w:pStyle w:val="11"/>
            </w:pPr>
            <w:r>
              <w:t>一般公共预算              财政拨款</w:t>
            </w:r>
          </w:p>
        </w:tc>
        <w:tc>
          <w:tcPr>
            <w:tcW w:w="2381" w:type="dxa"/>
            <w:vAlign w:val="center"/>
          </w:tcPr>
          <w:p w14:paraId="2E68D2BD">
            <w:pPr>
              <w:pStyle w:val="11"/>
            </w:pPr>
            <w:r>
              <w:t>政府性基金                  预算拨款</w:t>
            </w:r>
          </w:p>
        </w:tc>
        <w:tc>
          <w:tcPr>
            <w:tcW w:w="2381" w:type="dxa"/>
            <w:vAlign w:val="center"/>
          </w:tcPr>
          <w:p w14:paraId="526DF886">
            <w:pPr>
              <w:pStyle w:val="11"/>
            </w:pPr>
            <w:r>
              <w:t>国有资本经营              预算财政拨款</w:t>
            </w:r>
          </w:p>
        </w:tc>
      </w:tr>
      <w:tr w14:paraId="56041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A70955">
            <w:pPr>
              <w:pStyle w:val="11"/>
            </w:pPr>
            <w:r>
              <w:t>栏次</w:t>
            </w:r>
          </w:p>
        </w:tc>
        <w:tc>
          <w:tcPr>
            <w:tcW w:w="3798" w:type="dxa"/>
            <w:vAlign w:val="center"/>
          </w:tcPr>
          <w:p w14:paraId="57F40DBE">
            <w:pPr>
              <w:pStyle w:val="11"/>
            </w:pPr>
            <w:r>
              <w:t>1</w:t>
            </w:r>
          </w:p>
        </w:tc>
        <w:tc>
          <w:tcPr>
            <w:tcW w:w="2381" w:type="dxa"/>
            <w:vAlign w:val="center"/>
          </w:tcPr>
          <w:p w14:paraId="362182E8">
            <w:pPr>
              <w:pStyle w:val="11"/>
            </w:pPr>
            <w:r>
              <w:t>2</w:t>
            </w:r>
          </w:p>
        </w:tc>
        <w:tc>
          <w:tcPr>
            <w:tcW w:w="2381" w:type="dxa"/>
            <w:vAlign w:val="center"/>
          </w:tcPr>
          <w:p w14:paraId="7669D6B4">
            <w:pPr>
              <w:pStyle w:val="11"/>
            </w:pPr>
            <w:r>
              <w:t>3</w:t>
            </w:r>
          </w:p>
        </w:tc>
        <w:tc>
          <w:tcPr>
            <w:tcW w:w="2381" w:type="dxa"/>
            <w:vAlign w:val="center"/>
          </w:tcPr>
          <w:p w14:paraId="194CA68A">
            <w:pPr>
              <w:pStyle w:val="11"/>
            </w:pPr>
            <w:r>
              <w:t>4</w:t>
            </w:r>
          </w:p>
        </w:tc>
        <w:tc>
          <w:tcPr>
            <w:tcW w:w="2381" w:type="dxa"/>
            <w:vAlign w:val="center"/>
          </w:tcPr>
          <w:p w14:paraId="0BF93ADE">
            <w:pPr>
              <w:pStyle w:val="11"/>
            </w:pPr>
            <w:r>
              <w:t>5</w:t>
            </w:r>
          </w:p>
        </w:tc>
      </w:tr>
      <w:tr w14:paraId="050D2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A77382">
            <w:pPr>
              <w:pStyle w:val="12"/>
            </w:pPr>
          </w:p>
        </w:tc>
        <w:tc>
          <w:tcPr>
            <w:tcW w:w="3798" w:type="dxa"/>
            <w:vAlign w:val="center"/>
          </w:tcPr>
          <w:p w14:paraId="13C886AE">
            <w:pPr>
              <w:pStyle w:val="13"/>
            </w:pPr>
          </w:p>
        </w:tc>
        <w:tc>
          <w:tcPr>
            <w:tcW w:w="2381" w:type="dxa"/>
            <w:vAlign w:val="center"/>
          </w:tcPr>
          <w:p w14:paraId="13D3C54B">
            <w:pPr>
              <w:pStyle w:val="14"/>
            </w:pPr>
          </w:p>
        </w:tc>
        <w:tc>
          <w:tcPr>
            <w:tcW w:w="2381" w:type="dxa"/>
            <w:vAlign w:val="center"/>
          </w:tcPr>
          <w:p w14:paraId="0F1DD0EC">
            <w:pPr>
              <w:pStyle w:val="14"/>
            </w:pPr>
          </w:p>
        </w:tc>
        <w:tc>
          <w:tcPr>
            <w:tcW w:w="2381" w:type="dxa"/>
            <w:vAlign w:val="center"/>
          </w:tcPr>
          <w:p w14:paraId="5FE78CC9">
            <w:pPr>
              <w:pStyle w:val="14"/>
            </w:pPr>
          </w:p>
        </w:tc>
        <w:tc>
          <w:tcPr>
            <w:tcW w:w="2381" w:type="dxa"/>
            <w:vAlign w:val="center"/>
          </w:tcPr>
          <w:p w14:paraId="036822BF">
            <w:pPr>
              <w:pStyle w:val="14"/>
            </w:pPr>
          </w:p>
        </w:tc>
      </w:tr>
    </w:tbl>
    <w:p w14:paraId="2FEEE37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3302A0">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隆尧县第三实验小学2025年单位预算信息公开情况说明</w:t>
      </w:r>
    </w:p>
    <w:p w14:paraId="50C7696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按照《中华人民共和国预算法》、《地方预决算公开操作规程》和《关于进一步推进预算公开工作的实施意见》规定，现将隆尧县第三实验小学2025年单位预算公开如下：</w:t>
      </w:r>
    </w:p>
    <w:p w14:paraId="3D840BC6">
      <w:pPr>
        <w:spacing w:before="10" w:after="10" w:line="240" w:lineRule="auto"/>
        <w:ind w:firstLine="640"/>
        <w:jc w:val="left"/>
        <w:outlineLvl w:val="5"/>
      </w:pPr>
      <w:r>
        <w:rPr>
          <w:rFonts w:ascii="黑体" w:hAnsi="黑体" w:eastAsia="黑体" w:cs="黑体"/>
          <w:color w:val="000000"/>
          <w:sz w:val="32"/>
        </w:rPr>
        <w:t>一、单位职责及机构设置情况</w:t>
      </w:r>
    </w:p>
    <w:p w14:paraId="0FFF729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0DFABF3">
      <w:pPr>
        <w:pStyle w:val="18"/>
      </w:pPr>
      <w:r>
        <w:t>贯彻落实基础教育的方针、政策，开展小学阶段教育教学工作，促进学生德、智、体、美、劳全面发展；负责学生安全教育和管理，确保学生身心健康；加强教师队伍建设和管理，为教育教学工作提供保障。</w:t>
      </w:r>
    </w:p>
    <w:p w14:paraId="387EEB1E">
      <w:pPr>
        <w:pStyle w:val="18"/>
      </w:pPr>
      <w:r>
        <w:t>隆尧县第</w:t>
      </w:r>
      <w:r>
        <w:rPr>
          <w:rFonts w:hint="eastAsia"/>
          <w:lang w:val="en-US" w:eastAsia="zh-CN"/>
        </w:rPr>
        <w:t>三</w:t>
      </w:r>
      <w:r>
        <w:t>实验小学事业编制</w:t>
      </w:r>
      <w:r>
        <w:rPr>
          <w:rFonts w:hint="eastAsia"/>
          <w:lang w:val="en-US" w:eastAsia="zh-CN"/>
        </w:rPr>
        <w:t>72</w:t>
      </w:r>
      <w:r>
        <w:t>名．其中，校长1名（正股级），副校长</w:t>
      </w:r>
      <w:r>
        <w:rPr>
          <w:rFonts w:hint="eastAsia"/>
          <w:lang w:val="en-US" w:eastAsia="zh-CN"/>
        </w:rPr>
        <w:t>2</w:t>
      </w:r>
      <w:r>
        <w:t>名（副股级）；经费形式为财政性资金基本保证。</w:t>
      </w:r>
    </w:p>
    <w:p w14:paraId="29F85994">
      <w:pPr>
        <w:pStyle w:val="18"/>
      </w:pPr>
    </w:p>
    <w:p w14:paraId="2EA264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3E5F7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CD37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094420">
            <w:pPr>
              <w:pStyle w:val="11"/>
            </w:pPr>
            <w:r>
              <w:t>单位名称</w:t>
            </w:r>
          </w:p>
        </w:tc>
        <w:tc>
          <w:tcPr>
            <w:tcW w:w="1843" w:type="dxa"/>
            <w:vAlign w:val="center"/>
          </w:tcPr>
          <w:p w14:paraId="0F72447F">
            <w:pPr>
              <w:pStyle w:val="11"/>
            </w:pPr>
            <w:r>
              <w:t>单位性质</w:t>
            </w:r>
          </w:p>
        </w:tc>
        <w:tc>
          <w:tcPr>
            <w:tcW w:w="2126" w:type="dxa"/>
            <w:vAlign w:val="center"/>
          </w:tcPr>
          <w:p w14:paraId="542270C3">
            <w:pPr>
              <w:pStyle w:val="11"/>
            </w:pPr>
            <w:r>
              <w:t>单位规格</w:t>
            </w:r>
          </w:p>
        </w:tc>
        <w:tc>
          <w:tcPr>
            <w:tcW w:w="3827" w:type="dxa"/>
            <w:vAlign w:val="center"/>
          </w:tcPr>
          <w:p w14:paraId="7182D61F">
            <w:pPr>
              <w:pStyle w:val="11"/>
            </w:pPr>
            <w:r>
              <w:t>经费保障形式</w:t>
            </w:r>
          </w:p>
        </w:tc>
      </w:tr>
      <w:tr w14:paraId="245C1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E1C64D">
            <w:pPr>
              <w:pStyle w:val="13"/>
            </w:pPr>
            <w:r>
              <w:t>隆尧县第三实验小学</w:t>
            </w:r>
          </w:p>
        </w:tc>
        <w:tc>
          <w:tcPr>
            <w:tcW w:w="1843" w:type="dxa"/>
            <w:vAlign w:val="center"/>
          </w:tcPr>
          <w:p w14:paraId="2932476B">
            <w:pPr>
              <w:pStyle w:val="12"/>
            </w:pPr>
            <w:r>
              <w:t>事业</w:t>
            </w:r>
          </w:p>
        </w:tc>
        <w:tc>
          <w:tcPr>
            <w:tcW w:w="2126" w:type="dxa"/>
            <w:vAlign w:val="center"/>
          </w:tcPr>
          <w:p w14:paraId="58D16B01">
            <w:pPr>
              <w:pStyle w:val="12"/>
            </w:pPr>
            <w:r>
              <w:t>股级</w:t>
            </w:r>
          </w:p>
        </w:tc>
        <w:tc>
          <w:tcPr>
            <w:tcW w:w="3827" w:type="dxa"/>
            <w:vAlign w:val="center"/>
          </w:tcPr>
          <w:p w14:paraId="07B987B2">
            <w:pPr>
              <w:pStyle w:val="12"/>
            </w:pPr>
            <w:r>
              <w:t>财政性资金基本保证</w:t>
            </w:r>
          </w:p>
        </w:tc>
      </w:tr>
    </w:tbl>
    <w:p w14:paraId="7545BA07">
      <w:pPr>
        <w:spacing w:before="10" w:after="10" w:line="240" w:lineRule="auto"/>
        <w:ind w:firstLine="640"/>
        <w:jc w:val="left"/>
        <w:outlineLvl w:val="5"/>
      </w:pPr>
      <w:r>
        <w:rPr>
          <w:rFonts w:ascii="黑体" w:hAnsi="黑体" w:eastAsia="黑体" w:cs="黑体"/>
          <w:color w:val="000000"/>
          <w:sz w:val="32"/>
        </w:rPr>
        <w:t>二、单位预算安排的总体情况</w:t>
      </w:r>
    </w:p>
    <w:p w14:paraId="54B33A58">
      <w:pPr>
        <w:pStyle w:val="19"/>
      </w:pPr>
      <w:r>
        <w:t>按照预算管理有关规定，目前我校单位预算的编制实行综合预算管理，即全部收入和支出都反映的预算中。隆尧县第三实验小学的收支包含在单位预算中。</w:t>
      </w:r>
    </w:p>
    <w:p w14:paraId="3A47A4F0">
      <w:pPr>
        <w:pStyle w:val="19"/>
      </w:pPr>
      <w:r>
        <w:t>1、收入说明</w:t>
      </w:r>
    </w:p>
    <w:p w14:paraId="0DFA1730">
      <w:pPr>
        <w:pStyle w:val="19"/>
      </w:pPr>
      <w:r>
        <w:t>反映本单位当年全部收入。2025年预算收入979.75万元，其中：一般公共预算收入979.75万元，基金预算收入0万元，基金预算收入0万元，国有资本经营预算收入0万元，财政专户拨收入0万元，单位资金收入0万元，上年结转结余0万元。</w:t>
      </w:r>
    </w:p>
    <w:p w14:paraId="1E90B9DA">
      <w:pPr>
        <w:pStyle w:val="19"/>
      </w:pPr>
      <w:r>
        <w:t>2、支出说明</w:t>
      </w:r>
    </w:p>
    <w:p w14:paraId="56104C3F">
      <w:pPr>
        <w:pStyle w:val="19"/>
      </w:pPr>
      <w:r>
        <w:t>收支预算总表支出栏、基本支出表、项目支出表按经济分类和支出功能分类科目编制，反映隆尧县第三实验小学年度单位预算中支出预算的总体情况。2025年单位支出预算为979.75万元，其中基本支出762.22万元、项目支出217.53万元。主要为小学教育979.75万元。</w:t>
      </w:r>
    </w:p>
    <w:p w14:paraId="07833C25">
      <w:pPr>
        <w:pStyle w:val="19"/>
      </w:pPr>
      <w:r>
        <w:t>3、比上年增减情况</w:t>
      </w:r>
    </w:p>
    <w:p w14:paraId="46B12E54">
      <w:pPr>
        <w:pStyle w:val="19"/>
      </w:pPr>
      <w:r>
        <w:t>2025年部门预算收支安排979.75万元，我单位为新增单位，无上年度数据。</w:t>
      </w:r>
    </w:p>
    <w:p w14:paraId="0B2CD1E1">
      <w:pPr>
        <w:spacing w:before="10" w:after="10" w:line="240" w:lineRule="auto"/>
        <w:ind w:firstLine="640"/>
        <w:jc w:val="left"/>
        <w:outlineLvl w:val="5"/>
      </w:pPr>
      <w:r>
        <w:rPr>
          <w:rFonts w:ascii="黑体" w:hAnsi="黑体" w:eastAsia="黑体" w:cs="黑体"/>
          <w:color w:val="000000"/>
          <w:sz w:val="32"/>
        </w:rPr>
        <w:t>三、机关运行经费安排情况</w:t>
      </w:r>
    </w:p>
    <w:p w14:paraId="20E0FDD7">
      <w:pPr>
        <w:pStyle w:val="20"/>
      </w:pPr>
      <w:r>
        <w:t>我单位按学生安排公用经费，无机关运行经费。</w:t>
      </w:r>
    </w:p>
    <w:p w14:paraId="2BBCE7E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FDA132E">
      <w:pPr>
        <w:pStyle w:val="21"/>
      </w:pPr>
      <w:r>
        <w:t>我单位未安排三公经费。</w:t>
      </w:r>
    </w:p>
    <w:p w14:paraId="3EB5444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67D30A1">
      <w:pPr>
        <w:spacing w:before="0" w:after="0"/>
        <w:ind w:firstLine="560"/>
        <w:jc w:val="left"/>
        <w:outlineLvl w:val="9"/>
      </w:pPr>
      <w:r>
        <w:rPr>
          <w:rFonts w:ascii="方正仿宋_GBK" w:hAnsi="方正仿宋_GBK" w:eastAsia="方正仿宋_GBK" w:cs="方正仿宋_GBK"/>
          <w:b/>
          <w:color w:val="000000"/>
          <w:sz w:val="28"/>
        </w:rPr>
        <w:t>1、冀财教[2024]123号/中央/2025年义教补助经费/第三实验小学公用经费绩效目标表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3A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AF508E">
            <w:pPr>
              <w:pStyle w:val="14"/>
            </w:pPr>
            <w:r>
              <w:t>单位：万元</w:t>
            </w:r>
          </w:p>
        </w:tc>
      </w:tr>
      <w:tr w14:paraId="58CCA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3A2879">
            <w:pPr>
              <w:pStyle w:val="11"/>
            </w:pPr>
            <w:r>
              <w:t>项目编码</w:t>
            </w:r>
          </w:p>
        </w:tc>
        <w:tc>
          <w:tcPr>
            <w:tcW w:w="5103" w:type="dxa"/>
            <w:gridSpan w:val="2"/>
            <w:vAlign w:val="center"/>
          </w:tcPr>
          <w:p w14:paraId="5B2FC6E7">
            <w:pPr>
              <w:pStyle w:val="13"/>
            </w:pPr>
            <w:r>
              <w:t>13052525P000004100561</w:t>
            </w:r>
          </w:p>
        </w:tc>
        <w:tc>
          <w:tcPr>
            <w:tcW w:w="2835" w:type="dxa"/>
            <w:vAlign w:val="center"/>
          </w:tcPr>
          <w:p w14:paraId="7444E81A">
            <w:pPr>
              <w:pStyle w:val="11"/>
            </w:pPr>
            <w:r>
              <w:t>项目名称</w:t>
            </w:r>
          </w:p>
        </w:tc>
        <w:tc>
          <w:tcPr>
            <w:tcW w:w="6095" w:type="dxa"/>
            <w:gridSpan w:val="3"/>
            <w:vAlign w:val="center"/>
          </w:tcPr>
          <w:p w14:paraId="7F84C7CC">
            <w:pPr>
              <w:pStyle w:val="13"/>
            </w:pPr>
            <w:r>
              <w:t>冀财教[2024]123号/中央/2025年义教补助经费/第三实验小学公用经费</w:t>
            </w:r>
          </w:p>
        </w:tc>
      </w:tr>
      <w:tr w14:paraId="14B47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AF7A1">
            <w:pPr>
              <w:pStyle w:val="11"/>
            </w:pPr>
            <w:r>
              <w:t>预算规模及资金用途</w:t>
            </w:r>
          </w:p>
        </w:tc>
        <w:tc>
          <w:tcPr>
            <w:tcW w:w="2268" w:type="dxa"/>
            <w:vAlign w:val="center"/>
          </w:tcPr>
          <w:p w14:paraId="29CB87CB">
            <w:pPr>
              <w:pStyle w:val="11"/>
            </w:pPr>
            <w:r>
              <w:t>预算数</w:t>
            </w:r>
          </w:p>
        </w:tc>
        <w:tc>
          <w:tcPr>
            <w:tcW w:w="2835" w:type="dxa"/>
            <w:vAlign w:val="center"/>
          </w:tcPr>
          <w:p w14:paraId="4970CA31">
            <w:pPr>
              <w:pStyle w:val="13"/>
            </w:pPr>
            <w:r>
              <w:t>121.03</w:t>
            </w:r>
          </w:p>
        </w:tc>
        <w:tc>
          <w:tcPr>
            <w:tcW w:w="2835" w:type="dxa"/>
            <w:vAlign w:val="center"/>
          </w:tcPr>
          <w:p w14:paraId="5D202FA1">
            <w:pPr>
              <w:pStyle w:val="11"/>
            </w:pPr>
            <w:r>
              <w:t>其中：财政    资金</w:t>
            </w:r>
          </w:p>
        </w:tc>
        <w:tc>
          <w:tcPr>
            <w:tcW w:w="2551" w:type="dxa"/>
            <w:vAlign w:val="center"/>
          </w:tcPr>
          <w:p w14:paraId="40155232">
            <w:pPr>
              <w:pStyle w:val="13"/>
            </w:pPr>
            <w:r>
              <w:t>121.03</w:t>
            </w:r>
          </w:p>
        </w:tc>
        <w:tc>
          <w:tcPr>
            <w:tcW w:w="2268" w:type="dxa"/>
            <w:vAlign w:val="center"/>
          </w:tcPr>
          <w:p w14:paraId="153480F7">
            <w:pPr>
              <w:pStyle w:val="11"/>
            </w:pPr>
            <w:r>
              <w:t>其他资金</w:t>
            </w:r>
          </w:p>
        </w:tc>
        <w:tc>
          <w:tcPr>
            <w:tcW w:w="1276" w:type="dxa"/>
            <w:vAlign w:val="center"/>
          </w:tcPr>
          <w:p w14:paraId="3D17162C">
            <w:pPr>
              <w:pStyle w:val="13"/>
            </w:pPr>
            <w:r>
              <w:t xml:space="preserve"> </w:t>
            </w:r>
          </w:p>
        </w:tc>
      </w:tr>
      <w:tr w14:paraId="51461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7212DF"/>
        </w:tc>
        <w:tc>
          <w:tcPr>
            <w:tcW w:w="14033" w:type="dxa"/>
            <w:gridSpan w:val="6"/>
            <w:vAlign w:val="center"/>
          </w:tcPr>
          <w:p w14:paraId="04990E66">
            <w:pPr>
              <w:pStyle w:val="13"/>
            </w:pPr>
            <w:r>
              <w:t>有效完成学校教学安全秩序，保障学校教学任务有效开展，满足学校正常教学需要。</w:t>
            </w:r>
          </w:p>
        </w:tc>
      </w:tr>
      <w:tr w14:paraId="0258B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81C2F">
            <w:pPr>
              <w:pStyle w:val="11"/>
            </w:pPr>
            <w:r>
              <w:t>资金支出计划（%）</w:t>
            </w:r>
          </w:p>
        </w:tc>
        <w:tc>
          <w:tcPr>
            <w:tcW w:w="5103" w:type="dxa"/>
            <w:gridSpan w:val="2"/>
            <w:vAlign w:val="center"/>
          </w:tcPr>
          <w:p w14:paraId="3F701013">
            <w:pPr>
              <w:pStyle w:val="11"/>
            </w:pPr>
            <w:r>
              <w:t>3月底</w:t>
            </w:r>
          </w:p>
        </w:tc>
        <w:tc>
          <w:tcPr>
            <w:tcW w:w="2835" w:type="dxa"/>
            <w:vAlign w:val="center"/>
          </w:tcPr>
          <w:p w14:paraId="07783334">
            <w:pPr>
              <w:pStyle w:val="11"/>
            </w:pPr>
            <w:r>
              <w:t>6月底</w:t>
            </w:r>
          </w:p>
        </w:tc>
        <w:tc>
          <w:tcPr>
            <w:tcW w:w="2551" w:type="dxa"/>
            <w:vAlign w:val="center"/>
          </w:tcPr>
          <w:p w14:paraId="45F342E6">
            <w:pPr>
              <w:pStyle w:val="11"/>
            </w:pPr>
            <w:r>
              <w:t>10月底</w:t>
            </w:r>
          </w:p>
        </w:tc>
        <w:tc>
          <w:tcPr>
            <w:tcW w:w="3544" w:type="dxa"/>
            <w:gridSpan w:val="2"/>
            <w:vAlign w:val="center"/>
          </w:tcPr>
          <w:p w14:paraId="3C54BCC3">
            <w:pPr>
              <w:pStyle w:val="11"/>
            </w:pPr>
            <w:r>
              <w:t>12月底</w:t>
            </w:r>
          </w:p>
        </w:tc>
      </w:tr>
      <w:tr w14:paraId="1265D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7CCFA"/>
        </w:tc>
        <w:tc>
          <w:tcPr>
            <w:tcW w:w="5103" w:type="dxa"/>
            <w:gridSpan w:val="2"/>
            <w:vAlign w:val="center"/>
          </w:tcPr>
          <w:p w14:paraId="2CD596A4">
            <w:pPr>
              <w:pStyle w:val="12"/>
            </w:pPr>
            <w:r>
              <w:t>25%</w:t>
            </w:r>
          </w:p>
        </w:tc>
        <w:tc>
          <w:tcPr>
            <w:tcW w:w="2835" w:type="dxa"/>
            <w:vAlign w:val="center"/>
          </w:tcPr>
          <w:p w14:paraId="3F7AA9A7">
            <w:pPr>
              <w:pStyle w:val="12"/>
            </w:pPr>
            <w:r>
              <w:t>50%</w:t>
            </w:r>
          </w:p>
        </w:tc>
        <w:tc>
          <w:tcPr>
            <w:tcW w:w="2551" w:type="dxa"/>
            <w:vAlign w:val="center"/>
          </w:tcPr>
          <w:p w14:paraId="5E28F876">
            <w:pPr>
              <w:pStyle w:val="12"/>
            </w:pPr>
            <w:r>
              <w:t>75%</w:t>
            </w:r>
          </w:p>
        </w:tc>
        <w:tc>
          <w:tcPr>
            <w:tcW w:w="3544" w:type="dxa"/>
            <w:gridSpan w:val="2"/>
            <w:vAlign w:val="center"/>
          </w:tcPr>
          <w:p w14:paraId="31521380">
            <w:pPr>
              <w:pStyle w:val="12"/>
            </w:pPr>
            <w:r>
              <w:t>100%</w:t>
            </w:r>
          </w:p>
        </w:tc>
      </w:tr>
      <w:tr w14:paraId="2D83F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2853A9">
            <w:pPr>
              <w:pStyle w:val="11"/>
            </w:pPr>
            <w:r>
              <w:t>绩效目标</w:t>
            </w:r>
          </w:p>
        </w:tc>
        <w:tc>
          <w:tcPr>
            <w:tcW w:w="14033" w:type="dxa"/>
            <w:gridSpan w:val="6"/>
            <w:vAlign w:val="center"/>
          </w:tcPr>
          <w:p w14:paraId="50EF9A8C">
            <w:pPr>
              <w:pStyle w:val="13"/>
            </w:pPr>
            <w:r>
              <w:t>1.有效完成学校教学安全秩序，保障学校教学任务有效开展，满足学校正常教学需要。</w:t>
            </w:r>
          </w:p>
          <w:p w14:paraId="244A7B83">
            <w:pPr>
              <w:pStyle w:val="13"/>
            </w:pPr>
            <w:r>
              <w:t>2.按规定拨付公用经费资金，预算执行率≥98%。</w:t>
            </w:r>
          </w:p>
        </w:tc>
      </w:tr>
    </w:tbl>
    <w:p w14:paraId="350EDC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F9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007DE">
            <w:pPr>
              <w:pStyle w:val="11"/>
            </w:pPr>
            <w:r>
              <w:t>一级指标</w:t>
            </w:r>
          </w:p>
        </w:tc>
        <w:tc>
          <w:tcPr>
            <w:tcW w:w="2268" w:type="dxa"/>
            <w:vAlign w:val="center"/>
          </w:tcPr>
          <w:p w14:paraId="23F4048D">
            <w:pPr>
              <w:pStyle w:val="11"/>
            </w:pPr>
            <w:r>
              <w:t>二级指标</w:t>
            </w:r>
          </w:p>
        </w:tc>
        <w:tc>
          <w:tcPr>
            <w:tcW w:w="2835" w:type="dxa"/>
            <w:vAlign w:val="center"/>
          </w:tcPr>
          <w:p w14:paraId="33E9BB5A">
            <w:pPr>
              <w:pStyle w:val="11"/>
            </w:pPr>
            <w:r>
              <w:t>三级指标</w:t>
            </w:r>
          </w:p>
        </w:tc>
        <w:tc>
          <w:tcPr>
            <w:tcW w:w="5386" w:type="dxa"/>
            <w:vAlign w:val="center"/>
          </w:tcPr>
          <w:p w14:paraId="3F02646A">
            <w:pPr>
              <w:pStyle w:val="11"/>
            </w:pPr>
            <w:r>
              <w:t>绩效指标描述</w:t>
            </w:r>
          </w:p>
        </w:tc>
        <w:tc>
          <w:tcPr>
            <w:tcW w:w="2268" w:type="dxa"/>
            <w:vAlign w:val="center"/>
          </w:tcPr>
          <w:p w14:paraId="2470C029">
            <w:pPr>
              <w:pStyle w:val="11"/>
            </w:pPr>
            <w:r>
              <w:t>指标值</w:t>
            </w:r>
          </w:p>
        </w:tc>
        <w:tc>
          <w:tcPr>
            <w:tcW w:w="1276" w:type="dxa"/>
            <w:vAlign w:val="center"/>
          </w:tcPr>
          <w:p w14:paraId="1488ABB8">
            <w:pPr>
              <w:pStyle w:val="11"/>
            </w:pPr>
            <w:r>
              <w:t>指标值确定依据</w:t>
            </w:r>
          </w:p>
        </w:tc>
      </w:tr>
      <w:tr w14:paraId="1F8B7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A8AB1">
            <w:pPr>
              <w:pStyle w:val="12"/>
            </w:pPr>
            <w:r>
              <w:t>产出指标</w:t>
            </w:r>
          </w:p>
        </w:tc>
        <w:tc>
          <w:tcPr>
            <w:tcW w:w="2268" w:type="dxa"/>
            <w:vAlign w:val="center"/>
          </w:tcPr>
          <w:p w14:paraId="2E52A4C3">
            <w:pPr>
              <w:pStyle w:val="13"/>
            </w:pPr>
            <w:r>
              <w:t>成本指标</w:t>
            </w:r>
          </w:p>
        </w:tc>
        <w:tc>
          <w:tcPr>
            <w:tcW w:w="2835" w:type="dxa"/>
            <w:vAlign w:val="center"/>
          </w:tcPr>
          <w:p w14:paraId="0E1A3F27">
            <w:pPr>
              <w:pStyle w:val="13"/>
            </w:pPr>
            <w:r>
              <w:t>生均拨款标准</w:t>
            </w:r>
          </w:p>
        </w:tc>
        <w:tc>
          <w:tcPr>
            <w:tcW w:w="5386" w:type="dxa"/>
            <w:vAlign w:val="center"/>
          </w:tcPr>
          <w:p w14:paraId="403F1CD4">
            <w:pPr>
              <w:pStyle w:val="13"/>
            </w:pPr>
            <w:r>
              <w:t>小学生公用经费生均小学720元，取暖费120元/生/年，随班就读学生补助7000元/生</w:t>
            </w:r>
          </w:p>
        </w:tc>
        <w:tc>
          <w:tcPr>
            <w:tcW w:w="2268" w:type="dxa"/>
            <w:vAlign w:val="center"/>
          </w:tcPr>
          <w:p w14:paraId="5CD2A775">
            <w:pPr>
              <w:pStyle w:val="13"/>
            </w:pPr>
            <w:r>
              <w:t>840元</w:t>
            </w:r>
          </w:p>
        </w:tc>
        <w:tc>
          <w:tcPr>
            <w:tcW w:w="1276" w:type="dxa"/>
            <w:vAlign w:val="center"/>
          </w:tcPr>
          <w:p w14:paraId="14EAD50C">
            <w:pPr>
              <w:pStyle w:val="13"/>
            </w:pPr>
            <w:r>
              <w:t>城乡义务教育公用经费管理办法</w:t>
            </w:r>
          </w:p>
        </w:tc>
      </w:tr>
      <w:tr w14:paraId="3B7B2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0F2E7"/>
        </w:tc>
        <w:tc>
          <w:tcPr>
            <w:tcW w:w="2268" w:type="dxa"/>
            <w:vAlign w:val="center"/>
          </w:tcPr>
          <w:p w14:paraId="2F8892AA">
            <w:pPr>
              <w:pStyle w:val="13"/>
            </w:pPr>
            <w:r>
              <w:t>数量指标</w:t>
            </w:r>
          </w:p>
        </w:tc>
        <w:tc>
          <w:tcPr>
            <w:tcW w:w="2835" w:type="dxa"/>
            <w:vAlign w:val="center"/>
          </w:tcPr>
          <w:p w14:paraId="35FD9E70">
            <w:pPr>
              <w:pStyle w:val="13"/>
            </w:pPr>
            <w:r>
              <w:t>就读学生数</w:t>
            </w:r>
          </w:p>
        </w:tc>
        <w:tc>
          <w:tcPr>
            <w:tcW w:w="5386" w:type="dxa"/>
            <w:vAlign w:val="center"/>
          </w:tcPr>
          <w:p w14:paraId="26A233B9">
            <w:pPr>
              <w:pStyle w:val="13"/>
            </w:pPr>
            <w:r>
              <w:t>辐射区域内适龄学生人数</w:t>
            </w:r>
          </w:p>
        </w:tc>
        <w:tc>
          <w:tcPr>
            <w:tcW w:w="2268" w:type="dxa"/>
            <w:vAlign w:val="center"/>
          </w:tcPr>
          <w:p w14:paraId="2B23018B">
            <w:pPr>
              <w:pStyle w:val="13"/>
            </w:pPr>
            <w:r>
              <w:t>≥1866人</w:t>
            </w:r>
          </w:p>
        </w:tc>
        <w:tc>
          <w:tcPr>
            <w:tcW w:w="1276" w:type="dxa"/>
            <w:vAlign w:val="center"/>
          </w:tcPr>
          <w:p w14:paraId="0BABA0E6">
            <w:pPr>
              <w:pStyle w:val="13"/>
            </w:pPr>
            <w:r>
              <w:t>城乡义务教育公用经费管理办法</w:t>
            </w:r>
          </w:p>
        </w:tc>
      </w:tr>
      <w:tr w14:paraId="3EF5E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C3252"/>
        </w:tc>
        <w:tc>
          <w:tcPr>
            <w:tcW w:w="2268" w:type="dxa"/>
            <w:vAlign w:val="center"/>
          </w:tcPr>
          <w:p w14:paraId="269A3565">
            <w:pPr>
              <w:pStyle w:val="13"/>
            </w:pPr>
            <w:r>
              <w:t>质量指标</w:t>
            </w:r>
          </w:p>
        </w:tc>
        <w:tc>
          <w:tcPr>
            <w:tcW w:w="2835" w:type="dxa"/>
            <w:vAlign w:val="center"/>
          </w:tcPr>
          <w:p w14:paraId="0B1D73CE">
            <w:pPr>
              <w:pStyle w:val="13"/>
            </w:pPr>
            <w:r>
              <w:t>预算执行率</w:t>
            </w:r>
          </w:p>
        </w:tc>
        <w:tc>
          <w:tcPr>
            <w:tcW w:w="5386" w:type="dxa"/>
            <w:vAlign w:val="center"/>
          </w:tcPr>
          <w:p w14:paraId="5F0BE194">
            <w:pPr>
              <w:pStyle w:val="13"/>
            </w:pPr>
            <w:r>
              <w:t>预算执行率≥98%</w:t>
            </w:r>
          </w:p>
        </w:tc>
        <w:tc>
          <w:tcPr>
            <w:tcW w:w="2268" w:type="dxa"/>
            <w:vAlign w:val="center"/>
          </w:tcPr>
          <w:p w14:paraId="51584BD4">
            <w:pPr>
              <w:pStyle w:val="13"/>
            </w:pPr>
            <w:r>
              <w:t>≥98%</w:t>
            </w:r>
          </w:p>
        </w:tc>
        <w:tc>
          <w:tcPr>
            <w:tcW w:w="1276" w:type="dxa"/>
            <w:vAlign w:val="center"/>
          </w:tcPr>
          <w:p w14:paraId="5F02C525">
            <w:pPr>
              <w:pStyle w:val="13"/>
            </w:pPr>
            <w:r>
              <w:t>城乡义务教育公用经费管理办法</w:t>
            </w:r>
          </w:p>
        </w:tc>
      </w:tr>
      <w:tr w14:paraId="42683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FEA0D"/>
        </w:tc>
        <w:tc>
          <w:tcPr>
            <w:tcW w:w="2268" w:type="dxa"/>
            <w:vAlign w:val="center"/>
          </w:tcPr>
          <w:p w14:paraId="7ABD0789">
            <w:pPr>
              <w:pStyle w:val="13"/>
            </w:pPr>
            <w:r>
              <w:t>时效指标</w:t>
            </w:r>
          </w:p>
        </w:tc>
        <w:tc>
          <w:tcPr>
            <w:tcW w:w="2835" w:type="dxa"/>
            <w:vAlign w:val="center"/>
          </w:tcPr>
          <w:p w14:paraId="652E3642">
            <w:pPr>
              <w:pStyle w:val="13"/>
            </w:pPr>
            <w:r>
              <w:t>义教经费支付完成率</w:t>
            </w:r>
          </w:p>
        </w:tc>
        <w:tc>
          <w:tcPr>
            <w:tcW w:w="5386" w:type="dxa"/>
            <w:vAlign w:val="center"/>
          </w:tcPr>
          <w:p w14:paraId="5421EBC6">
            <w:pPr>
              <w:pStyle w:val="13"/>
            </w:pPr>
            <w:r>
              <w:t>按照序时进度完成资金支付</w:t>
            </w:r>
          </w:p>
        </w:tc>
        <w:tc>
          <w:tcPr>
            <w:tcW w:w="2268" w:type="dxa"/>
            <w:vAlign w:val="center"/>
          </w:tcPr>
          <w:p w14:paraId="2BADF45C">
            <w:pPr>
              <w:pStyle w:val="13"/>
            </w:pPr>
            <w:r>
              <w:t>100%</w:t>
            </w:r>
          </w:p>
        </w:tc>
        <w:tc>
          <w:tcPr>
            <w:tcW w:w="1276" w:type="dxa"/>
            <w:vAlign w:val="center"/>
          </w:tcPr>
          <w:p w14:paraId="48B361DB">
            <w:pPr>
              <w:pStyle w:val="13"/>
            </w:pPr>
            <w:r>
              <w:t>城乡义务教育公用经费管理办法</w:t>
            </w:r>
          </w:p>
        </w:tc>
      </w:tr>
      <w:tr w14:paraId="0533A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24099">
            <w:pPr>
              <w:pStyle w:val="12"/>
            </w:pPr>
            <w:r>
              <w:t>效益指标</w:t>
            </w:r>
          </w:p>
        </w:tc>
        <w:tc>
          <w:tcPr>
            <w:tcW w:w="2268" w:type="dxa"/>
            <w:vAlign w:val="center"/>
          </w:tcPr>
          <w:p w14:paraId="282D5D9D">
            <w:pPr>
              <w:pStyle w:val="13"/>
            </w:pPr>
            <w:r>
              <w:t>可持续影响指标</w:t>
            </w:r>
          </w:p>
        </w:tc>
        <w:tc>
          <w:tcPr>
            <w:tcW w:w="2835" w:type="dxa"/>
            <w:vAlign w:val="center"/>
          </w:tcPr>
          <w:p w14:paraId="58BA0010">
            <w:pPr>
              <w:pStyle w:val="13"/>
            </w:pPr>
            <w:r>
              <w:t>学校运转得到提高</w:t>
            </w:r>
          </w:p>
        </w:tc>
        <w:tc>
          <w:tcPr>
            <w:tcW w:w="5386" w:type="dxa"/>
            <w:vAlign w:val="center"/>
          </w:tcPr>
          <w:p w14:paraId="01935B6E">
            <w:pPr>
              <w:pStyle w:val="13"/>
            </w:pPr>
            <w:r>
              <w:t>学生受教育年限</w:t>
            </w:r>
          </w:p>
        </w:tc>
        <w:tc>
          <w:tcPr>
            <w:tcW w:w="2268" w:type="dxa"/>
            <w:vAlign w:val="center"/>
          </w:tcPr>
          <w:p w14:paraId="14317792">
            <w:pPr>
              <w:pStyle w:val="13"/>
            </w:pPr>
            <w:r>
              <w:t>6年</w:t>
            </w:r>
          </w:p>
        </w:tc>
        <w:tc>
          <w:tcPr>
            <w:tcW w:w="1276" w:type="dxa"/>
            <w:vAlign w:val="center"/>
          </w:tcPr>
          <w:p w14:paraId="7466CDB2">
            <w:pPr>
              <w:pStyle w:val="13"/>
            </w:pPr>
            <w:r>
              <w:t>城乡义务教育公用经费管理办法</w:t>
            </w:r>
          </w:p>
        </w:tc>
      </w:tr>
      <w:tr w14:paraId="3285D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1B3E6">
            <w:pPr>
              <w:pStyle w:val="12"/>
            </w:pPr>
            <w:r>
              <w:t>满意度指标</w:t>
            </w:r>
          </w:p>
        </w:tc>
        <w:tc>
          <w:tcPr>
            <w:tcW w:w="2268" w:type="dxa"/>
            <w:vAlign w:val="center"/>
          </w:tcPr>
          <w:p w14:paraId="63844BE5">
            <w:pPr>
              <w:pStyle w:val="13"/>
            </w:pPr>
            <w:r>
              <w:t>服务对象满意度指标</w:t>
            </w:r>
          </w:p>
        </w:tc>
        <w:tc>
          <w:tcPr>
            <w:tcW w:w="2835" w:type="dxa"/>
            <w:vAlign w:val="center"/>
          </w:tcPr>
          <w:p w14:paraId="1ADCE20B">
            <w:pPr>
              <w:pStyle w:val="13"/>
            </w:pPr>
            <w:r>
              <w:t>服务对象满意度</w:t>
            </w:r>
          </w:p>
        </w:tc>
        <w:tc>
          <w:tcPr>
            <w:tcW w:w="5386" w:type="dxa"/>
            <w:vAlign w:val="center"/>
          </w:tcPr>
          <w:p w14:paraId="74CF0418">
            <w:pPr>
              <w:pStyle w:val="13"/>
            </w:pPr>
            <w:r>
              <w:t>学校老师和学生满意度</w:t>
            </w:r>
          </w:p>
        </w:tc>
        <w:tc>
          <w:tcPr>
            <w:tcW w:w="2268" w:type="dxa"/>
            <w:vAlign w:val="center"/>
          </w:tcPr>
          <w:p w14:paraId="2B764CBE">
            <w:pPr>
              <w:pStyle w:val="13"/>
            </w:pPr>
            <w:r>
              <w:t>≥95%</w:t>
            </w:r>
          </w:p>
        </w:tc>
        <w:tc>
          <w:tcPr>
            <w:tcW w:w="1276" w:type="dxa"/>
            <w:vAlign w:val="center"/>
          </w:tcPr>
          <w:p w14:paraId="4F6B9AE0">
            <w:pPr>
              <w:pStyle w:val="13"/>
            </w:pPr>
            <w:r>
              <w:t>问卷调查</w:t>
            </w:r>
          </w:p>
        </w:tc>
      </w:tr>
    </w:tbl>
    <w:p w14:paraId="5B0A9611">
      <w:pPr>
        <w:sectPr>
          <w:pgSz w:w="16840" w:h="11900" w:orient="landscape"/>
          <w:pgMar w:top="1361" w:right="1020" w:bottom="1134" w:left="1020" w:header="720" w:footer="720" w:gutter="0"/>
          <w:cols w:space="720" w:num="1"/>
        </w:sectPr>
      </w:pPr>
    </w:p>
    <w:p w14:paraId="67828734">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2、冀财教[2024]123号/中央/2025年义教补助经费/综合奖补/第三实验小学公用经费绩效目标表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E2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14F7A">
            <w:pPr>
              <w:pStyle w:val="14"/>
            </w:pPr>
            <w:r>
              <w:t>单位：万元</w:t>
            </w:r>
          </w:p>
        </w:tc>
      </w:tr>
      <w:tr w14:paraId="14E65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998FB0">
            <w:pPr>
              <w:pStyle w:val="11"/>
            </w:pPr>
            <w:r>
              <w:t>项目编码</w:t>
            </w:r>
          </w:p>
        </w:tc>
        <w:tc>
          <w:tcPr>
            <w:tcW w:w="5103" w:type="dxa"/>
            <w:gridSpan w:val="2"/>
            <w:vAlign w:val="center"/>
          </w:tcPr>
          <w:p w14:paraId="7EBEB0D1">
            <w:pPr>
              <w:pStyle w:val="13"/>
            </w:pPr>
            <w:r>
              <w:t>13052525P008756102752</w:t>
            </w:r>
          </w:p>
        </w:tc>
        <w:tc>
          <w:tcPr>
            <w:tcW w:w="2835" w:type="dxa"/>
            <w:vAlign w:val="center"/>
          </w:tcPr>
          <w:p w14:paraId="62DC296D">
            <w:pPr>
              <w:pStyle w:val="11"/>
            </w:pPr>
            <w:r>
              <w:t>项目名称</w:t>
            </w:r>
          </w:p>
        </w:tc>
        <w:tc>
          <w:tcPr>
            <w:tcW w:w="6095" w:type="dxa"/>
            <w:gridSpan w:val="3"/>
            <w:vAlign w:val="center"/>
          </w:tcPr>
          <w:p w14:paraId="6CBDD029">
            <w:pPr>
              <w:pStyle w:val="13"/>
            </w:pPr>
            <w:r>
              <w:t>冀财教[2024]123号/中央/2025年义教补助经费/综合奖补/第三实验小学公用经费</w:t>
            </w:r>
          </w:p>
        </w:tc>
      </w:tr>
      <w:tr w14:paraId="39CBF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CB36E">
            <w:pPr>
              <w:pStyle w:val="11"/>
            </w:pPr>
            <w:r>
              <w:t>预算规模及资金用途</w:t>
            </w:r>
          </w:p>
        </w:tc>
        <w:tc>
          <w:tcPr>
            <w:tcW w:w="2268" w:type="dxa"/>
            <w:vAlign w:val="center"/>
          </w:tcPr>
          <w:p w14:paraId="4E2227F6">
            <w:pPr>
              <w:pStyle w:val="11"/>
            </w:pPr>
            <w:r>
              <w:t>预算数</w:t>
            </w:r>
          </w:p>
        </w:tc>
        <w:tc>
          <w:tcPr>
            <w:tcW w:w="2835" w:type="dxa"/>
            <w:vAlign w:val="center"/>
          </w:tcPr>
          <w:p w14:paraId="63A659B1">
            <w:pPr>
              <w:pStyle w:val="13"/>
            </w:pPr>
            <w:r>
              <w:t>2.06</w:t>
            </w:r>
          </w:p>
        </w:tc>
        <w:tc>
          <w:tcPr>
            <w:tcW w:w="2835" w:type="dxa"/>
            <w:vAlign w:val="center"/>
          </w:tcPr>
          <w:p w14:paraId="1F54CEC4">
            <w:pPr>
              <w:pStyle w:val="11"/>
            </w:pPr>
            <w:r>
              <w:t>其中：财政    资金</w:t>
            </w:r>
          </w:p>
        </w:tc>
        <w:tc>
          <w:tcPr>
            <w:tcW w:w="2551" w:type="dxa"/>
            <w:vAlign w:val="center"/>
          </w:tcPr>
          <w:p w14:paraId="02E33F30">
            <w:pPr>
              <w:pStyle w:val="13"/>
            </w:pPr>
            <w:r>
              <w:t>2.06</w:t>
            </w:r>
          </w:p>
        </w:tc>
        <w:tc>
          <w:tcPr>
            <w:tcW w:w="2268" w:type="dxa"/>
            <w:vAlign w:val="center"/>
          </w:tcPr>
          <w:p w14:paraId="02319E65">
            <w:pPr>
              <w:pStyle w:val="11"/>
            </w:pPr>
            <w:r>
              <w:t>其他资金</w:t>
            </w:r>
          </w:p>
        </w:tc>
        <w:tc>
          <w:tcPr>
            <w:tcW w:w="1276" w:type="dxa"/>
            <w:vAlign w:val="center"/>
          </w:tcPr>
          <w:p w14:paraId="0DED0B30">
            <w:pPr>
              <w:pStyle w:val="13"/>
            </w:pPr>
            <w:r>
              <w:t xml:space="preserve"> </w:t>
            </w:r>
          </w:p>
        </w:tc>
      </w:tr>
      <w:tr w14:paraId="44AE6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E5478"/>
        </w:tc>
        <w:tc>
          <w:tcPr>
            <w:tcW w:w="14033" w:type="dxa"/>
            <w:gridSpan w:val="6"/>
            <w:vAlign w:val="center"/>
          </w:tcPr>
          <w:p w14:paraId="1ABEE561">
            <w:pPr>
              <w:pStyle w:val="13"/>
            </w:pPr>
            <w:r>
              <w:t>有效完成学校教学安全秩序，保障学校教学任务有效开展，满足学校正常教学需要。</w:t>
            </w:r>
          </w:p>
        </w:tc>
      </w:tr>
      <w:tr w14:paraId="0E87F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B831B">
            <w:pPr>
              <w:pStyle w:val="11"/>
            </w:pPr>
            <w:r>
              <w:t>资金支出计划（%）</w:t>
            </w:r>
          </w:p>
        </w:tc>
        <w:tc>
          <w:tcPr>
            <w:tcW w:w="5103" w:type="dxa"/>
            <w:gridSpan w:val="2"/>
            <w:vAlign w:val="center"/>
          </w:tcPr>
          <w:p w14:paraId="1D92E98F">
            <w:pPr>
              <w:pStyle w:val="11"/>
            </w:pPr>
            <w:r>
              <w:t>3月底</w:t>
            </w:r>
          </w:p>
        </w:tc>
        <w:tc>
          <w:tcPr>
            <w:tcW w:w="2835" w:type="dxa"/>
            <w:vAlign w:val="center"/>
          </w:tcPr>
          <w:p w14:paraId="243E684E">
            <w:pPr>
              <w:pStyle w:val="11"/>
            </w:pPr>
            <w:r>
              <w:t>6月底</w:t>
            </w:r>
          </w:p>
        </w:tc>
        <w:tc>
          <w:tcPr>
            <w:tcW w:w="2551" w:type="dxa"/>
            <w:vAlign w:val="center"/>
          </w:tcPr>
          <w:p w14:paraId="05073CBC">
            <w:pPr>
              <w:pStyle w:val="11"/>
            </w:pPr>
            <w:r>
              <w:t>10月底</w:t>
            </w:r>
          </w:p>
        </w:tc>
        <w:tc>
          <w:tcPr>
            <w:tcW w:w="3544" w:type="dxa"/>
            <w:gridSpan w:val="2"/>
            <w:vAlign w:val="center"/>
          </w:tcPr>
          <w:p w14:paraId="7C7EC1CD">
            <w:pPr>
              <w:pStyle w:val="11"/>
            </w:pPr>
            <w:r>
              <w:t>12月底</w:t>
            </w:r>
          </w:p>
        </w:tc>
      </w:tr>
      <w:tr w14:paraId="73C08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936601"/>
        </w:tc>
        <w:tc>
          <w:tcPr>
            <w:tcW w:w="5103" w:type="dxa"/>
            <w:gridSpan w:val="2"/>
            <w:vAlign w:val="center"/>
          </w:tcPr>
          <w:p w14:paraId="1FC60B58">
            <w:pPr>
              <w:pStyle w:val="12"/>
            </w:pPr>
            <w:r>
              <w:t xml:space="preserve"> </w:t>
            </w:r>
          </w:p>
        </w:tc>
        <w:tc>
          <w:tcPr>
            <w:tcW w:w="2835" w:type="dxa"/>
            <w:vAlign w:val="center"/>
          </w:tcPr>
          <w:p w14:paraId="20F9DC92">
            <w:pPr>
              <w:pStyle w:val="12"/>
            </w:pPr>
            <w:r>
              <w:t xml:space="preserve"> </w:t>
            </w:r>
          </w:p>
        </w:tc>
        <w:tc>
          <w:tcPr>
            <w:tcW w:w="2551" w:type="dxa"/>
            <w:vAlign w:val="center"/>
          </w:tcPr>
          <w:p w14:paraId="524AB7FE">
            <w:pPr>
              <w:pStyle w:val="12"/>
            </w:pPr>
            <w:r>
              <w:t>100%</w:t>
            </w:r>
          </w:p>
        </w:tc>
        <w:tc>
          <w:tcPr>
            <w:tcW w:w="3544" w:type="dxa"/>
            <w:gridSpan w:val="2"/>
            <w:vAlign w:val="center"/>
          </w:tcPr>
          <w:p w14:paraId="372B7413">
            <w:pPr>
              <w:pStyle w:val="12"/>
            </w:pPr>
            <w:r>
              <w:t>100%</w:t>
            </w:r>
          </w:p>
        </w:tc>
      </w:tr>
      <w:tr w14:paraId="7CC63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D7D35">
            <w:pPr>
              <w:pStyle w:val="11"/>
            </w:pPr>
            <w:r>
              <w:t>绩效目标</w:t>
            </w:r>
          </w:p>
        </w:tc>
        <w:tc>
          <w:tcPr>
            <w:tcW w:w="14033" w:type="dxa"/>
            <w:gridSpan w:val="6"/>
            <w:vAlign w:val="center"/>
          </w:tcPr>
          <w:p w14:paraId="2C3FE450">
            <w:pPr>
              <w:pStyle w:val="13"/>
            </w:pPr>
            <w:r>
              <w:t>1.按规定拨付公用经费资金，预算执行率≥98%。</w:t>
            </w:r>
          </w:p>
          <w:p w14:paraId="736666EC">
            <w:pPr>
              <w:pStyle w:val="13"/>
            </w:pPr>
            <w:r>
              <w:t>2.有效完成学校教学安全秩序，保障学校教学任务有效开展，满足学校正常教学需要。</w:t>
            </w:r>
          </w:p>
        </w:tc>
      </w:tr>
    </w:tbl>
    <w:p w14:paraId="0818CA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83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AB396">
            <w:pPr>
              <w:pStyle w:val="11"/>
            </w:pPr>
            <w:r>
              <w:t>一级指标</w:t>
            </w:r>
          </w:p>
        </w:tc>
        <w:tc>
          <w:tcPr>
            <w:tcW w:w="2268" w:type="dxa"/>
            <w:vAlign w:val="center"/>
          </w:tcPr>
          <w:p w14:paraId="23CACFFC">
            <w:pPr>
              <w:pStyle w:val="11"/>
            </w:pPr>
            <w:r>
              <w:t>二级指标</w:t>
            </w:r>
          </w:p>
        </w:tc>
        <w:tc>
          <w:tcPr>
            <w:tcW w:w="2835" w:type="dxa"/>
            <w:vAlign w:val="center"/>
          </w:tcPr>
          <w:p w14:paraId="1AA5BDDE">
            <w:pPr>
              <w:pStyle w:val="11"/>
            </w:pPr>
            <w:r>
              <w:t>三级指标</w:t>
            </w:r>
          </w:p>
        </w:tc>
        <w:tc>
          <w:tcPr>
            <w:tcW w:w="5386" w:type="dxa"/>
            <w:vAlign w:val="center"/>
          </w:tcPr>
          <w:p w14:paraId="3162F969">
            <w:pPr>
              <w:pStyle w:val="11"/>
            </w:pPr>
            <w:r>
              <w:t>绩效指标描述</w:t>
            </w:r>
          </w:p>
        </w:tc>
        <w:tc>
          <w:tcPr>
            <w:tcW w:w="2268" w:type="dxa"/>
            <w:vAlign w:val="center"/>
          </w:tcPr>
          <w:p w14:paraId="04054D62">
            <w:pPr>
              <w:pStyle w:val="11"/>
            </w:pPr>
            <w:r>
              <w:t>指标值</w:t>
            </w:r>
          </w:p>
        </w:tc>
        <w:tc>
          <w:tcPr>
            <w:tcW w:w="1276" w:type="dxa"/>
            <w:vAlign w:val="center"/>
          </w:tcPr>
          <w:p w14:paraId="7301B5EB">
            <w:pPr>
              <w:pStyle w:val="11"/>
            </w:pPr>
            <w:r>
              <w:t>指标值确定依据</w:t>
            </w:r>
          </w:p>
        </w:tc>
      </w:tr>
      <w:tr w14:paraId="4CF8E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6B51D">
            <w:pPr>
              <w:pStyle w:val="12"/>
            </w:pPr>
            <w:r>
              <w:t>产出指标</w:t>
            </w:r>
          </w:p>
        </w:tc>
        <w:tc>
          <w:tcPr>
            <w:tcW w:w="2268" w:type="dxa"/>
            <w:vAlign w:val="center"/>
          </w:tcPr>
          <w:p w14:paraId="22229A5F">
            <w:pPr>
              <w:pStyle w:val="13"/>
            </w:pPr>
            <w:r>
              <w:t>数量指标</w:t>
            </w:r>
          </w:p>
        </w:tc>
        <w:tc>
          <w:tcPr>
            <w:tcW w:w="2835" w:type="dxa"/>
            <w:vAlign w:val="center"/>
          </w:tcPr>
          <w:p w14:paraId="3DD51D1D">
            <w:pPr>
              <w:pStyle w:val="13"/>
            </w:pPr>
            <w:r>
              <w:t>就读学生数</w:t>
            </w:r>
          </w:p>
        </w:tc>
        <w:tc>
          <w:tcPr>
            <w:tcW w:w="5386" w:type="dxa"/>
            <w:vAlign w:val="center"/>
          </w:tcPr>
          <w:p w14:paraId="6C4D0CF8">
            <w:pPr>
              <w:pStyle w:val="13"/>
            </w:pPr>
            <w:r>
              <w:t>辐射区域内适龄学生人数</w:t>
            </w:r>
          </w:p>
        </w:tc>
        <w:tc>
          <w:tcPr>
            <w:tcW w:w="2268" w:type="dxa"/>
            <w:vAlign w:val="center"/>
          </w:tcPr>
          <w:p w14:paraId="718EC259">
            <w:pPr>
              <w:pStyle w:val="13"/>
            </w:pPr>
            <w:r>
              <w:t>644人</w:t>
            </w:r>
          </w:p>
        </w:tc>
        <w:tc>
          <w:tcPr>
            <w:tcW w:w="1276" w:type="dxa"/>
            <w:vAlign w:val="center"/>
          </w:tcPr>
          <w:p w14:paraId="6B9C1F29">
            <w:pPr>
              <w:pStyle w:val="13"/>
            </w:pPr>
            <w:r>
              <w:t>城乡义务教育公用经费管理办法</w:t>
            </w:r>
          </w:p>
        </w:tc>
      </w:tr>
      <w:tr w14:paraId="68A00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F1946"/>
        </w:tc>
        <w:tc>
          <w:tcPr>
            <w:tcW w:w="2268" w:type="dxa"/>
            <w:vAlign w:val="center"/>
          </w:tcPr>
          <w:p w14:paraId="5ED10FB4">
            <w:pPr>
              <w:pStyle w:val="13"/>
            </w:pPr>
            <w:r>
              <w:t>质量指标</w:t>
            </w:r>
          </w:p>
        </w:tc>
        <w:tc>
          <w:tcPr>
            <w:tcW w:w="2835" w:type="dxa"/>
            <w:vAlign w:val="center"/>
          </w:tcPr>
          <w:p w14:paraId="73F8728F">
            <w:pPr>
              <w:pStyle w:val="13"/>
            </w:pPr>
            <w:r>
              <w:t>预算执行率</w:t>
            </w:r>
          </w:p>
        </w:tc>
        <w:tc>
          <w:tcPr>
            <w:tcW w:w="5386" w:type="dxa"/>
            <w:vAlign w:val="center"/>
          </w:tcPr>
          <w:p w14:paraId="08926F20">
            <w:pPr>
              <w:pStyle w:val="13"/>
            </w:pPr>
            <w:r>
              <w:t>预算执行率</w:t>
            </w:r>
          </w:p>
        </w:tc>
        <w:tc>
          <w:tcPr>
            <w:tcW w:w="2268" w:type="dxa"/>
            <w:vAlign w:val="center"/>
          </w:tcPr>
          <w:p w14:paraId="543C8D2D">
            <w:pPr>
              <w:pStyle w:val="13"/>
            </w:pPr>
            <w:r>
              <w:t>≥100%</w:t>
            </w:r>
          </w:p>
        </w:tc>
        <w:tc>
          <w:tcPr>
            <w:tcW w:w="1276" w:type="dxa"/>
            <w:vAlign w:val="center"/>
          </w:tcPr>
          <w:p w14:paraId="67905101">
            <w:pPr>
              <w:pStyle w:val="13"/>
            </w:pPr>
            <w:r>
              <w:t>城乡义务教育公用经费管理办法</w:t>
            </w:r>
          </w:p>
        </w:tc>
      </w:tr>
      <w:tr w14:paraId="5139B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9ED78"/>
        </w:tc>
        <w:tc>
          <w:tcPr>
            <w:tcW w:w="2268" w:type="dxa"/>
            <w:vAlign w:val="center"/>
          </w:tcPr>
          <w:p w14:paraId="7A7BBC62">
            <w:pPr>
              <w:pStyle w:val="13"/>
            </w:pPr>
            <w:r>
              <w:t>时效指标</w:t>
            </w:r>
          </w:p>
        </w:tc>
        <w:tc>
          <w:tcPr>
            <w:tcW w:w="2835" w:type="dxa"/>
            <w:vAlign w:val="center"/>
          </w:tcPr>
          <w:p w14:paraId="69EEDE76">
            <w:pPr>
              <w:pStyle w:val="13"/>
            </w:pPr>
            <w:r>
              <w:t>义教经费支付完成率</w:t>
            </w:r>
          </w:p>
        </w:tc>
        <w:tc>
          <w:tcPr>
            <w:tcW w:w="5386" w:type="dxa"/>
            <w:vAlign w:val="center"/>
          </w:tcPr>
          <w:p w14:paraId="1C0DAB9E">
            <w:pPr>
              <w:pStyle w:val="13"/>
            </w:pPr>
            <w:r>
              <w:t>按照序时进度完成资金支付</w:t>
            </w:r>
          </w:p>
        </w:tc>
        <w:tc>
          <w:tcPr>
            <w:tcW w:w="2268" w:type="dxa"/>
            <w:vAlign w:val="center"/>
          </w:tcPr>
          <w:p w14:paraId="57F7C1A6">
            <w:pPr>
              <w:pStyle w:val="13"/>
            </w:pPr>
            <w:r>
              <w:t>≥100%</w:t>
            </w:r>
          </w:p>
        </w:tc>
        <w:tc>
          <w:tcPr>
            <w:tcW w:w="1276" w:type="dxa"/>
            <w:vAlign w:val="center"/>
          </w:tcPr>
          <w:p w14:paraId="32C7D92F">
            <w:pPr>
              <w:pStyle w:val="13"/>
            </w:pPr>
            <w:r>
              <w:t>城乡义务教育公用经费管理办法</w:t>
            </w:r>
          </w:p>
        </w:tc>
      </w:tr>
      <w:tr w14:paraId="13B75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5A2CA"/>
        </w:tc>
        <w:tc>
          <w:tcPr>
            <w:tcW w:w="2268" w:type="dxa"/>
            <w:vAlign w:val="center"/>
          </w:tcPr>
          <w:p w14:paraId="0C0C31F5">
            <w:pPr>
              <w:pStyle w:val="13"/>
            </w:pPr>
            <w:r>
              <w:t>成本指标</w:t>
            </w:r>
          </w:p>
        </w:tc>
        <w:tc>
          <w:tcPr>
            <w:tcW w:w="2835" w:type="dxa"/>
            <w:vAlign w:val="center"/>
          </w:tcPr>
          <w:p w14:paraId="5448D2AC">
            <w:pPr>
              <w:pStyle w:val="13"/>
            </w:pPr>
            <w:r>
              <w:t>生均拨款标准</w:t>
            </w:r>
          </w:p>
        </w:tc>
        <w:tc>
          <w:tcPr>
            <w:tcW w:w="5386" w:type="dxa"/>
            <w:vAlign w:val="center"/>
          </w:tcPr>
          <w:p w14:paraId="1D9AA9E5">
            <w:pPr>
              <w:pStyle w:val="13"/>
            </w:pPr>
            <w:r>
              <w:t>小学：（基本标准720元、寄宿生300元、生活补助120元）/生/学年；特教、随班就读学生：标准7000元/生/学年</w:t>
            </w:r>
          </w:p>
        </w:tc>
        <w:tc>
          <w:tcPr>
            <w:tcW w:w="2268" w:type="dxa"/>
            <w:vAlign w:val="center"/>
          </w:tcPr>
          <w:p w14:paraId="754BA2A5">
            <w:pPr>
              <w:pStyle w:val="13"/>
            </w:pPr>
            <w:r>
              <w:t>≥840元</w:t>
            </w:r>
          </w:p>
        </w:tc>
        <w:tc>
          <w:tcPr>
            <w:tcW w:w="1276" w:type="dxa"/>
            <w:vAlign w:val="center"/>
          </w:tcPr>
          <w:p w14:paraId="695F9308">
            <w:pPr>
              <w:pStyle w:val="13"/>
            </w:pPr>
            <w:r>
              <w:t>城乡义务教育公用经费管理办法</w:t>
            </w:r>
          </w:p>
        </w:tc>
      </w:tr>
      <w:tr w14:paraId="434B2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1B7052">
            <w:pPr>
              <w:pStyle w:val="12"/>
            </w:pPr>
            <w:r>
              <w:t>效益指标</w:t>
            </w:r>
          </w:p>
        </w:tc>
        <w:tc>
          <w:tcPr>
            <w:tcW w:w="2268" w:type="dxa"/>
            <w:vAlign w:val="center"/>
          </w:tcPr>
          <w:p w14:paraId="0413D840">
            <w:pPr>
              <w:pStyle w:val="13"/>
            </w:pPr>
            <w:r>
              <w:t>社会效益指标</w:t>
            </w:r>
          </w:p>
        </w:tc>
        <w:tc>
          <w:tcPr>
            <w:tcW w:w="2835" w:type="dxa"/>
            <w:vAlign w:val="center"/>
          </w:tcPr>
          <w:p w14:paraId="110F22A4">
            <w:pPr>
              <w:pStyle w:val="13"/>
            </w:pPr>
            <w:r>
              <w:t>学校稳定率</w:t>
            </w:r>
          </w:p>
        </w:tc>
        <w:tc>
          <w:tcPr>
            <w:tcW w:w="5386" w:type="dxa"/>
            <w:vAlign w:val="center"/>
          </w:tcPr>
          <w:p w14:paraId="1205ADF0">
            <w:pPr>
              <w:pStyle w:val="13"/>
            </w:pPr>
            <w:r>
              <w:t>维护学校稳定，保障学校正常教学秩序有效开展</w:t>
            </w:r>
          </w:p>
        </w:tc>
        <w:tc>
          <w:tcPr>
            <w:tcW w:w="2268" w:type="dxa"/>
            <w:vAlign w:val="center"/>
          </w:tcPr>
          <w:p w14:paraId="4A34D092">
            <w:pPr>
              <w:pStyle w:val="13"/>
            </w:pPr>
            <w:r>
              <w:t>100%</w:t>
            </w:r>
          </w:p>
        </w:tc>
        <w:tc>
          <w:tcPr>
            <w:tcW w:w="1276" w:type="dxa"/>
            <w:vAlign w:val="center"/>
          </w:tcPr>
          <w:p w14:paraId="550AE134">
            <w:pPr>
              <w:pStyle w:val="13"/>
            </w:pPr>
            <w:r>
              <w:t>城乡义务教育公用经费管理办法</w:t>
            </w:r>
          </w:p>
        </w:tc>
      </w:tr>
      <w:tr w14:paraId="16A46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D053CD">
            <w:pPr>
              <w:pStyle w:val="12"/>
            </w:pPr>
            <w:r>
              <w:t>满意度指标</w:t>
            </w:r>
          </w:p>
        </w:tc>
        <w:tc>
          <w:tcPr>
            <w:tcW w:w="2268" w:type="dxa"/>
            <w:vAlign w:val="center"/>
          </w:tcPr>
          <w:p w14:paraId="2E654DC8">
            <w:pPr>
              <w:pStyle w:val="13"/>
            </w:pPr>
            <w:r>
              <w:t>服务对象满意度指标</w:t>
            </w:r>
          </w:p>
        </w:tc>
        <w:tc>
          <w:tcPr>
            <w:tcW w:w="2835" w:type="dxa"/>
            <w:vAlign w:val="center"/>
          </w:tcPr>
          <w:p w14:paraId="3B20133D">
            <w:pPr>
              <w:pStyle w:val="13"/>
            </w:pPr>
            <w:r>
              <w:t>家长和学生满意度</w:t>
            </w:r>
          </w:p>
        </w:tc>
        <w:tc>
          <w:tcPr>
            <w:tcW w:w="5386" w:type="dxa"/>
            <w:vAlign w:val="center"/>
          </w:tcPr>
          <w:p w14:paraId="3E252922">
            <w:pPr>
              <w:pStyle w:val="13"/>
            </w:pPr>
            <w:r>
              <w:t>家长和学生满意度</w:t>
            </w:r>
          </w:p>
        </w:tc>
        <w:tc>
          <w:tcPr>
            <w:tcW w:w="2268" w:type="dxa"/>
            <w:vAlign w:val="center"/>
          </w:tcPr>
          <w:p w14:paraId="19D1A117">
            <w:pPr>
              <w:pStyle w:val="13"/>
            </w:pPr>
            <w:r>
              <w:t>≥95%</w:t>
            </w:r>
          </w:p>
        </w:tc>
        <w:tc>
          <w:tcPr>
            <w:tcW w:w="1276" w:type="dxa"/>
            <w:vAlign w:val="center"/>
          </w:tcPr>
          <w:p w14:paraId="5DB07AE5">
            <w:pPr>
              <w:pStyle w:val="13"/>
            </w:pPr>
            <w:r>
              <w:t>问卷调查</w:t>
            </w:r>
          </w:p>
        </w:tc>
      </w:tr>
    </w:tbl>
    <w:p w14:paraId="15FD2B6E">
      <w:pPr>
        <w:sectPr>
          <w:pgSz w:w="16840" w:h="11900" w:orient="landscape"/>
          <w:pgMar w:top="1361" w:right="1020" w:bottom="1134" w:left="1020" w:header="720" w:footer="720" w:gutter="0"/>
          <w:cols w:space="720" w:num="1"/>
        </w:sectPr>
      </w:pPr>
    </w:p>
    <w:p w14:paraId="77FB1750">
      <w:pPr>
        <w:spacing w:before="0" w:after="0"/>
        <w:ind w:firstLine="560"/>
        <w:jc w:val="left"/>
        <w:outlineLvl w:val="9"/>
      </w:pPr>
      <w:r>
        <w:rPr>
          <w:rFonts w:ascii="方正仿宋_GBK" w:hAnsi="方正仿宋_GBK" w:eastAsia="方正仿宋_GBK" w:cs="方正仿宋_GBK"/>
          <w:b/>
          <w:color w:val="000000"/>
          <w:sz w:val="28"/>
        </w:rPr>
        <w:t>3、冀财教[2024]141号/省级/2025年义教补助经费/第三实验小学公用经费绩效目标表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CB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FAFD62">
            <w:pPr>
              <w:pStyle w:val="14"/>
            </w:pPr>
            <w:r>
              <w:t>单位：万元</w:t>
            </w:r>
          </w:p>
        </w:tc>
      </w:tr>
      <w:tr w14:paraId="77D84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CE785">
            <w:pPr>
              <w:pStyle w:val="11"/>
            </w:pPr>
            <w:r>
              <w:t>项目编码</w:t>
            </w:r>
          </w:p>
        </w:tc>
        <w:tc>
          <w:tcPr>
            <w:tcW w:w="5103" w:type="dxa"/>
            <w:gridSpan w:val="2"/>
            <w:vAlign w:val="center"/>
          </w:tcPr>
          <w:p w14:paraId="2FEE6D43">
            <w:pPr>
              <w:pStyle w:val="13"/>
            </w:pPr>
            <w:r>
              <w:t>13052525P00000410136J</w:t>
            </w:r>
          </w:p>
        </w:tc>
        <w:tc>
          <w:tcPr>
            <w:tcW w:w="2835" w:type="dxa"/>
            <w:vAlign w:val="center"/>
          </w:tcPr>
          <w:p w14:paraId="1EADEA94">
            <w:pPr>
              <w:pStyle w:val="11"/>
            </w:pPr>
            <w:r>
              <w:t>项目名称</w:t>
            </w:r>
          </w:p>
        </w:tc>
        <w:tc>
          <w:tcPr>
            <w:tcW w:w="6095" w:type="dxa"/>
            <w:gridSpan w:val="3"/>
            <w:vAlign w:val="center"/>
          </w:tcPr>
          <w:p w14:paraId="049E0603">
            <w:pPr>
              <w:pStyle w:val="13"/>
            </w:pPr>
            <w:r>
              <w:t>冀财教[2024]141号/省级/2025年义教补助经费/第三实验小学公用经费</w:t>
            </w:r>
          </w:p>
        </w:tc>
      </w:tr>
      <w:tr w14:paraId="1B750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59264">
            <w:pPr>
              <w:pStyle w:val="11"/>
            </w:pPr>
            <w:r>
              <w:t>预算规模及资金用途</w:t>
            </w:r>
          </w:p>
        </w:tc>
        <w:tc>
          <w:tcPr>
            <w:tcW w:w="2268" w:type="dxa"/>
            <w:vAlign w:val="center"/>
          </w:tcPr>
          <w:p w14:paraId="47262D32">
            <w:pPr>
              <w:pStyle w:val="11"/>
            </w:pPr>
            <w:r>
              <w:t>预算数</w:t>
            </w:r>
          </w:p>
        </w:tc>
        <w:tc>
          <w:tcPr>
            <w:tcW w:w="2835" w:type="dxa"/>
            <w:vAlign w:val="center"/>
          </w:tcPr>
          <w:p w14:paraId="50706045">
            <w:pPr>
              <w:pStyle w:val="13"/>
            </w:pPr>
            <w:r>
              <w:t>47.96</w:t>
            </w:r>
          </w:p>
        </w:tc>
        <w:tc>
          <w:tcPr>
            <w:tcW w:w="2835" w:type="dxa"/>
            <w:vAlign w:val="center"/>
          </w:tcPr>
          <w:p w14:paraId="32D2200C">
            <w:pPr>
              <w:pStyle w:val="11"/>
            </w:pPr>
            <w:r>
              <w:t>其中：财政    资金</w:t>
            </w:r>
          </w:p>
        </w:tc>
        <w:tc>
          <w:tcPr>
            <w:tcW w:w="2551" w:type="dxa"/>
            <w:vAlign w:val="center"/>
          </w:tcPr>
          <w:p w14:paraId="4DAC9765">
            <w:pPr>
              <w:pStyle w:val="13"/>
            </w:pPr>
            <w:r>
              <w:t>47.96</w:t>
            </w:r>
          </w:p>
        </w:tc>
        <w:tc>
          <w:tcPr>
            <w:tcW w:w="2268" w:type="dxa"/>
            <w:vAlign w:val="center"/>
          </w:tcPr>
          <w:p w14:paraId="3270A8D3">
            <w:pPr>
              <w:pStyle w:val="11"/>
            </w:pPr>
            <w:r>
              <w:t>其他资金</w:t>
            </w:r>
          </w:p>
        </w:tc>
        <w:tc>
          <w:tcPr>
            <w:tcW w:w="1276" w:type="dxa"/>
            <w:vAlign w:val="center"/>
          </w:tcPr>
          <w:p w14:paraId="3DE4A213">
            <w:pPr>
              <w:pStyle w:val="13"/>
            </w:pPr>
            <w:r>
              <w:t xml:space="preserve"> </w:t>
            </w:r>
          </w:p>
        </w:tc>
      </w:tr>
      <w:tr w14:paraId="29AE4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1FBC15"/>
        </w:tc>
        <w:tc>
          <w:tcPr>
            <w:tcW w:w="14033" w:type="dxa"/>
            <w:gridSpan w:val="6"/>
            <w:vAlign w:val="center"/>
          </w:tcPr>
          <w:p w14:paraId="3FB1D07C">
            <w:pPr>
              <w:pStyle w:val="13"/>
            </w:pPr>
            <w:r>
              <w:t>有效完成学校教学安全秩序，保障学校教学任务有效开展，满足学校正常教学需要。</w:t>
            </w:r>
          </w:p>
        </w:tc>
      </w:tr>
      <w:tr w14:paraId="2013A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D74C0">
            <w:pPr>
              <w:pStyle w:val="11"/>
            </w:pPr>
            <w:r>
              <w:t>资金支出计划（%）</w:t>
            </w:r>
          </w:p>
        </w:tc>
        <w:tc>
          <w:tcPr>
            <w:tcW w:w="5103" w:type="dxa"/>
            <w:gridSpan w:val="2"/>
            <w:vAlign w:val="center"/>
          </w:tcPr>
          <w:p w14:paraId="3A9CDF22">
            <w:pPr>
              <w:pStyle w:val="11"/>
            </w:pPr>
            <w:r>
              <w:t>3月底</w:t>
            </w:r>
          </w:p>
        </w:tc>
        <w:tc>
          <w:tcPr>
            <w:tcW w:w="2835" w:type="dxa"/>
            <w:vAlign w:val="center"/>
          </w:tcPr>
          <w:p w14:paraId="2381E3C7">
            <w:pPr>
              <w:pStyle w:val="11"/>
            </w:pPr>
            <w:r>
              <w:t>6月底</w:t>
            </w:r>
          </w:p>
        </w:tc>
        <w:tc>
          <w:tcPr>
            <w:tcW w:w="2551" w:type="dxa"/>
            <w:vAlign w:val="center"/>
          </w:tcPr>
          <w:p w14:paraId="26DC0075">
            <w:pPr>
              <w:pStyle w:val="11"/>
            </w:pPr>
            <w:r>
              <w:t>10月底</w:t>
            </w:r>
          </w:p>
        </w:tc>
        <w:tc>
          <w:tcPr>
            <w:tcW w:w="3544" w:type="dxa"/>
            <w:gridSpan w:val="2"/>
            <w:vAlign w:val="center"/>
          </w:tcPr>
          <w:p w14:paraId="55FB67B1">
            <w:pPr>
              <w:pStyle w:val="11"/>
            </w:pPr>
            <w:r>
              <w:t>12月底</w:t>
            </w:r>
          </w:p>
        </w:tc>
      </w:tr>
      <w:tr w14:paraId="615C9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DA7BD"/>
        </w:tc>
        <w:tc>
          <w:tcPr>
            <w:tcW w:w="5103" w:type="dxa"/>
            <w:gridSpan w:val="2"/>
            <w:vAlign w:val="center"/>
          </w:tcPr>
          <w:p w14:paraId="2F27B56F">
            <w:pPr>
              <w:pStyle w:val="12"/>
            </w:pPr>
            <w:r>
              <w:t>25%</w:t>
            </w:r>
          </w:p>
        </w:tc>
        <w:tc>
          <w:tcPr>
            <w:tcW w:w="2835" w:type="dxa"/>
            <w:vAlign w:val="center"/>
          </w:tcPr>
          <w:p w14:paraId="4CA99D3C">
            <w:pPr>
              <w:pStyle w:val="12"/>
            </w:pPr>
            <w:r>
              <w:t>50%</w:t>
            </w:r>
          </w:p>
        </w:tc>
        <w:tc>
          <w:tcPr>
            <w:tcW w:w="2551" w:type="dxa"/>
            <w:vAlign w:val="center"/>
          </w:tcPr>
          <w:p w14:paraId="4FED623D">
            <w:pPr>
              <w:pStyle w:val="12"/>
            </w:pPr>
            <w:r>
              <w:t>75%</w:t>
            </w:r>
          </w:p>
        </w:tc>
        <w:tc>
          <w:tcPr>
            <w:tcW w:w="3544" w:type="dxa"/>
            <w:gridSpan w:val="2"/>
            <w:vAlign w:val="center"/>
          </w:tcPr>
          <w:p w14:paraId="52876E06">
            <w:pPr>
              <w:pStyle w:val="12"/>
            </w:pPr>
            <w:r>
              <w:t>100%</w:t>
            </w:r>
          </w:p>
        </w:tc>
      </w:tr>
      <w:tr w14:paraId="62FC4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0C15A">
            <w:pPr>
              <w:pStyle w:val="11"/>
            </w:pPr>
            <w:r>
              <w:t>绩效目标</w:t>
            </w:r>
          </w:p>
        </w:tc>
        <w:tc>
          <w:tcPr>
            <w:tcW w:w="14033" w:type="dxa"/>
            <w:gridSpan w:val="6"/>
            <w:vAlign w:val="center"/>
          </w:tcPr>
          <w:p w14:paraId="15407F27">
            <w:pPr>
              <w:pStyle w:val="13"/>
            </w:pPr>
            <w:r>
              <w:t>1.有效完成学校教学安全秩序，保障学校教学任务有效开展，满足学校正常教学需要。</w:t>
            </w:r>
          </w:p>
          <w:p w14:paraId="34CD2192">
            <w:pPr>
              <w:pStyle w:val="13"/>
            </w:pPr>
            <w:r>
              <w:t>2.按规定拨付公用经费资金，预算执行率≥98%。</w:t>
            </w:r>
          </w:p>
        </w:tc>
      </w:tr>
    </w:tbl>
    <w:p w14:paraId="63B4A1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4C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AD36E">
            <w:pPr>
              <w:pStyle w:val="11"/>
            </w:pPr>
            <w:r>
              <w:t>一级指标</w:t>
            </w:r>
          </w:p>
        </w:tc>
        <w:tc>
          <w:tcPr>
            <w:tcW w:w="2268" w:type="dxa"/>
            <w:vAlign w:val="center"/>
          </w:tcPr>
          <w:p w14:paraId="302E5913">
            <w:pPr>
              <w:pStyle w:val="11"/>
            </w:pPr>
            <w:r>
              <w:t>二级指标</w:t>
            </w:r>
          </w:p>
        </w:tc>
        <w:tc>
          <w:tcPr>
            <w:tcW w:w="2835" w:type="dxa"/>
            <w:vAlign w:val="center"/>
          </w:tcPr>
          <w:p w14:paraId="0CE633B6">
            <w:pPr>
              <w:pStyle w:val="11"/>
            </w:pPr>
            <w:r>
              <w:t>三级指标</w:t>
            </w:r>
          </w:p>
        </w:tc>
        <w:tc>
          <w:tcPr>
            <w:tcW w:w="5386" w:type="dxa"/>
            <w:vAlign w:val="center"/>
          </w:tcPr>
          <w:p w14:paraId="5B9AD33D">
            <w:pPr>
              <w:pStyle w:val="11"/>
            </w:pPr>
            <w:r>
              <w:t>绩效指标描述</w:t>
            </w:r>
          </w:p>
        </w:tc>
        <w:tc>
          <w:tcPr>
            <w:tcW w:w="2268" w:type="dxa"/>
            <w:vAlign w:val="center"/>
          </w:tcPr>
          <w:p w14:paraId="3A4B9E57">
            <w:pPr>
              <w:pStyle w:val="11"/>
            </w:pPr>
            <w:r>
              <w:t>指标值</w:t>
            </w:r>
          </w:p>
        </w:tc>
        <w:tc>
          <w:tcPr>
            <w:tcW w:w="1276" w:type="dxa"/>
            <w:vAlign w:val="center"/>
          </w:tcPr>
          <w:p w14:paraId="17E6187D">
            <w:pPr>
              <w:pStyle w:val="11"/>
            </w:pPr>
            <w:r>
              <w:t>指标值确定依据</w:t>
            </w:r>
          </w:p>
        </w:tc>
      </w:tr>
      <w:tr w14:paraId="3C3C0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1A284">
            <w:pPr>
              <w:pStyle w:val="12"/>
            </w:pPr>
            <w:r>
              <w:t>产出指标</w:t>
            </w:r>
          </w:p>
        </w:tc>
        <w:tc>
          <w:tcPr>
            <w:tcW w:w="2268" w:type="dxa"/>
            <w:vAlign w:val="center"/>
          </w:tcPr>
          <w:p w14:paraId="6FD21FF5">
            <w:pPr>
              <w:pStyle w:val="13"/>
            </w:pPr>
            <w:r>
              <w:t>成本指标</w:t>
            </w:r>
          </w:p>
        </w:tc>
        <w:tc>
          <w:tcPr>
            <w:tcW w:w="2835" w:type="dxa"/>
            <w:vAlign w:val="center"/>
          </w:tcPr>
          <w:p w14:paraId="20B04414">
            <w:pPr>
              <w:pStyle w:val="13"/>
            </w:pPr>
            <w:r>
              <w:t>生均拨款标准</w:t>
            </w:r>
          </w:p>
        </w:tc>
        <w:tc>
          <w:tcPr>
            <w:tcW w:w="5386" w:type="dxa"/>
            <w:vAlign w:val="center"/>
          </w:tcPr>
          <w:p w14:paraId="296B932C">
            <w:pPr>
              <w:pStyle w:val="13"/>
            </w:pPr>
            <w:r>
              <w:t>小学生公用经费生均小学720元。取暖费120元/生/年，随班就读学生补助7000元/生</w:t>
            </w:r>
          </w:p>
        </w:tc>
        <w:tc>
          <w:tcPr>
            <w:tcW w:w="2268" w:type="dxa"/>
            <w:vAlign w:val="center"/>
          </w:tcPr>
          <w:p w14:paraId="7CB8AEC8">
            <w:pPr>
              <w:pStyle w:val="13"/>
            </w:pPr>
            <w:r>
              <w:t>840元</w:t>
            </w:r>
          </w:p>
        </w:tc>
        <w:tc>
          <w:tcPr>
            <w:tcW w:w="1276" w:type="dxa"/>
            <w:vAlign w:val="center"/>
          </w:tcPr>
          <w:p w14:paraId="7F913D32">
            <w:pPr>
              <w:pStyle w:val="13"/>
            </w:pPr>
            <w:r>
              <w:t>城乡义务教育公用经费管理办法</w:t>
            </w:r>
          </w:p>
        </w:tc>
      </w:tr>
      <w:tr w14:paraId="6CE9B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C9F96"/>
        </w:tc>
        <w:tc>
          <w:tcPr>
            <w:tcW w:w="2268" w:type="dxa"/>
            <w:vAlign w:val="center"/>
          </w:tcPr>
          <w:p w14:paraId="76314742">
            <w:pPr>
              <w:pStyle w:val="13"/>
            </w:pPr>
            <w:r>
              <w:t>数量指标</w:t>
            </w:r>
          </w:p>
        </w:tc>
        <w:tc>
          <w:tcPr>
            <w:tcW w:w="2835" w:type="dxa"/>
            <w:vAlign w:val="center"/>
          </w:tcPr>
          <w:p w14:paraId="18A35452">
            <w:pPr>
              <w:pStyle w:val="13"/>
            </w:pPr>
            <w:r>
              <w:t>就读学生数</w:t>
            </w:r>
          </w:p>
        </w:tc>
        <w:tc>
          <w:tcPr>
            <w:tcW w:w="5386" w:type="dxa"/>
            <w:vAlign w:val="center"/>
          </w:tcPr>
          <w:p w14:paraId="4E79C6D2">
            <w:pPr>
              <w:pStyle w:val="13"/>
            </w:pPr>
            <w:r>
              <w:t>辐射区域内适龄学生人数</w:t>
            </w:r>
          </w:p>
        </w:tc>
        <w:tc>
          <w:tcPr>
            <w:tcW w:w="2268" w:type="dxa"/>
            <w:vAlign w:val="center"/>
          </w:tcPr>
          <w:p w14:paraId="2464DF1A">
            <w:pPr>
              <w:pStyle w:val="13"/>
            </w:pPr>
            <w:r>
              <w:t>≥1866人</w:t>
            </w:r>
          </w:p>
        </w:tc>
        <w:tc>
          <w:tcPr>
            <w:tcW w:w="1276" w:type="dxa"/>
            <w:vAlign w:val="center"/>
          </w:tcPr>
          <w:p w14:paraId="5FBA9588">
            <w:pPr>
              <w:pStyle w:val="13"/>
            </w:pPr>
            <w:r>
              <w:t>城乡义务教育公用经费管理办法</w:t>
            </w:r>
          </w:p>
        </w:tc>
      </w:tr>
      <w:tr w14:paraId="0B237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5CB20"/>
        </w:tc>
        <w:tc>
          <w:tcPr>
            <w:tcW w:w="2268" w:type="dxa"/>
            <w:vAlign w:val="center"/>
          </w:tcPr>
          <w:p w14:paraId="2D34C103">
            <w:pPr>
              <w:pStyle w:val="13"/>
            </w:pPr>
            <w:r>
              <w:t>质量指标</w:t>
            </w:r>
          </w:p>
        </w:tc>
        <w:tc>
          <w:tcPr>
            <w:tcW w:w="2835" w:type="dxa"/>
            <w:vAlign w:val="center"/>
          </w:tcPr>
          <w:p w14:paraId="334760E8">
            <w:pPr>
              <w:pStyle w:val="13"/>
            </w:pPr>
            <w:r>
              <w:t>预算执行率</w:t>
            </w:r>
          </w:p>
        </w:tc>
        <w:tc>
          <w:tcPr>
            <w:tcW w:w="5386" w:type="dxa"/>
            <w:vAlign w:val="center"/>
          </w:tcPr>
          <w:p w14:paraId="2A890ED7">
            <w:pPr>
              <w:pStyle w:val="13"/>
            </w:pPr>
            <w:r>
              <w:t>预算执行率≥98%</w:t>
            </w:r>
          </w:p>
        </w:tc>
        <w:tc>
          <w:tcPr>
            <w:tcW w:w="2268" w:type="dxa"/>
            <w:vAlign w:val="center"/>
          </w:tcPr>
          <w:p w14:paraId="621CC9A8">
            <w:pPr>
              <w:pStyle w:val="13"/>
            </w:pPr>
            <w:r>
              <w:t>≥98%</w:t>
            </w:r>
          </w:p>
        </w:tc>
        <w:tc>
          <w:tcPr>
            <w:tcW w:w="1276" w:type="dxa"/>
            <w:vAlign w:val="center"/>
          </w:tcPr>
          <w:p w14:paraId="5554AF8F">
            <w:pPr>
              <w:pStyle w:val="13"/>
            </w:pPr>
            <w:r>
              <w:t>城乡义务教育公用经费管理办法</w:t>
            </w:r>
          </w:p>
        </w:tc>
      </w:tr>
      <w:tr w14:paraId="236AC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707C9"/>
        </w:tc>
        <w:tc>
          <w:tcPr>
            <w:tcW w:w="2268" w:type="dxa"/>
            <w:vAlign w:val="center"/>
          </w:tcPr>
          <w:p w14:paraId="54B64C37">
            <w:pPr>
              <w:pStyle w:val="13"/>
            </w:pPr>
            <w:r>
              <w:t>时效指标</w:t>
            </w:r>
          </w:p>
        </w:tc>
        <w:tc>
          <w:tcPr>
            <w:tcW w:w="2835" w:type="dxa"/>
            <w:vAlign w:val="center"/>
          </w:tcPr>
          <w:p w14:paraId="6CFEA184">
            <w:pPr>
              <w:pStyle w:val="13"/>
            </w:pPr>
            <w:r>
              <w:t>义教经费支付完成率</w:t>
            </w:r>
          </w:p>
        </w:tc>
        <w:tc>
          <w:tcPr>
            <w:tcW w:w="5386" w:type="dxa"/>
            <w:vAlign w:val="center"/>
          </w:tcPr>
          <w:p w14:paraId="2A0DC59C">
            <w:pPr>
              <w:pStyle w:val="13"/>
            </w:pPr>
            <w:r>
              <w:t>按照序时进度完成资金支付</w:t>
            </w:r>
          </w:p>
        </w:tc>
        <w:tc>
          <w:tcPr>
            <w:tcW w:w="2268" w:type="dxa"/>
            <w:vAlign w:val="center"/>
          </w:tcPr>
          <w:p w14:paraId="6B334EEC">
            <w:pPr>
              <w:pStyle w:val="13"/>
            </w:pPr>
            <w:r>
              <w:t>100%</w:t>
            </w:r>
          </w:p>
        </w:tc>
        <w:tc>
          <w:tcPr>
            <w:tcW w:w="1276" w:type="dxa"/>
            <w:vAlign w:val="center"/>
          </w:tcPr>
          <w:p w14:paraId="54316299">
            <w:pPr>
              <w:pStyle w:val="13"/>
            </w:pPr>
            <w:r>
              <w:t>城乡义务教育公用经费管理办法</w:t>
            </w:r>
          </w:p>
        </w:tc>
      </w:tr>
      <w:tr w14:paraId="6FB20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3D8269">
            <w:pPr>
              <w:pStyle w:val="12"/>
            </w:pPr>
            <w:r>
              <w:t>效益指标</w:t>
            </w:r>
          </w:p>
        </w:tc>
        <w:tc>
          <w:tcPr>
            <w:tcW w:w="2268" w:type="dxa"/>
            <w:vAlign w:val="center"/>
          </w:tcPr>
          <w:p w14:paraId="0086F60A">
            <w:pPr>
              <w:pStyle w:val="13"/>
            </w:pPr>
            <w:r>
              <w:t>可持续影响指标</w:t>
            </w:r>
          </w:p>
        </w:tc>
        <w:tc>
          <w:tcPr>
            <w:tcW w:w="2835" w:type="dxa"/>
            <w:vAlign w:val="center"/>
          </w:tcPr>
          <w:p w14:paraId="0A65F509">
            <w:pPr>
              <w:pStyle w:val="13"/>
            </w:pPr>
            <w:r>
              <w:t>学校运转得到提高</w:t>
            </w:r>
          </w:p>
        </w:tc>
        <w:tc>
          <w:tcPr>
            <w:tcW w:w="5386" w:type="dxa"/>
            <w:vAlign w:val="center"/>
          </w:tcPr>
          <w:p w14:paraId="42B5ECBE">
            <w:pPr>
              <w:pStyle w:val="13"/>
            </w:pPr>
            <w:r>
              <w:t>学生受教育年限</w:t>
            </w:r>
          </w:p>
        </w:tc>
        <w:tc>
          <w:tcPr>
            <w:tcW w:w="2268" w:type="dxa"/>
            <w:vAlign w:val="center"/>
          </w:tcPr>
          <w:p w14:paraId="66C71B56">
            <w:pPr>
              <w:pStyle w:val="13"/>
            </w:pPr>
            <w:r>
              <w:t>6年</w:t>
            </w:r>
          </w:p>
        </w:tc>
        <w:tc>
          <w:tcPr>
            <w:tcW w:w="1276" w:type="dxa"/>
            <w:vAlign w:val="center"/>
          </w:tcPr>
          <w:p w14:paraId="179FAD40">
            <w:pPr>
              <w:pStyle w:val="13"/>
            </w:pPr>
            <w:r>
              <w:t>城乡义务教育公用经费管理办法</w:t>
            </w:r>
          </w:p>
        </w:tc>
      </w:tr>
      <w:tr w14:paraId="24F31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44E7CD">
            <w:pPr>
              <w:pStyle w:val="12"/>
            </w:pPr>
            <w:r>
              <w:t>满意度指标</w:t>
            </w:r>
          </w:p>
        </w:tc>
        <w:tc>
          <w:tcPr>
            <w:tcW w:w="2268" w:type="dxa"/>
            <w:vAlign w:val="center"/>
          </w:tcPr>
          <w:p w14:paraId="256011B4">
            <w:pPr>
              <w:pStyle w:val="13"/>
            </w:pPr>
            <w:r>
              <w:t>服务对象满意度指标</w:t>
            </w:r>
          </w:p>
        </w:tc>
        <w:tc>
          <w:tcPr>
            <w:tcW w:w="2835" w:type="dxa"/>
            <w:vAlign w:val="center"/>
          </w:tcPr>
          <w:p w14:paraId="5F1D3478">
            <w:pPr>
              <w:pStyle w:val="13"/>
            </w:pPr>
            <w:r>
              <w:t>服务对象满意度</w:t>
            </w:r>
          </w:p>
        </w:tc>
        <w:tc>
          <w:tcPr>
            <w:tcW w:w="5386" w:type="dxa"/>
            <w:vAlign w:val="center"/>
          </w:tcPr>
          <w:p w14:paraId="575587AD">
            <w:pPr>
              <w:pStyle w:val="13"/>
            </w:pPr>
            <w:r>
              <w:t>学校老师和学生满意度</w:t>
            </w:r>
          </w:p>
        </w:tc>
        <w:tc>
          <w:tcPr>
            <w:tcW w:w="2268" w:type="dxa"/>
            <w:vAlign w:val="center"/>
          </w:tcPr>
          <w:p w14:paraId="2CD8EB2B">
            <w:pPr>
              <w:pStyle w:val="13"/>
            </w:pPr>
            <w:r>
              <w:t>≥95%</w:t>
            </w:r>
          </w:p>
        </w:tc>
        <w:tc>
          <w:tcPr>
            <w:tcW w:w="1276" w:type="dxa"/>
            <w:vAlign w:val="center"/>
          </w:tcPr>
          <w:p w14:paraId="0DE710C4">
            <w:pPr>
              <w:pStyle w:val="13"/>
            </w:pPr>
            <w:r>
              <w:t>问卷调查</w:t>
            </w:r>
          </w:p>
        </w:tc>
      </w:tr>
    </w:tbl>
    <w:p w14:paraId="6B3B4CED">
      <w:pPr>
        <w:sectPr>
          <w:pgSz w:w="16840" w:h="11900" w:orient="landscape"/>
          <w:pgMar w:top="1361" w:right="1020" w:bottom="1134" w:left="1020" w:header="720" w:footer="720" w:gutter="0"/>
          <w:cols w:space="720" w:num="1"/>
        </w:sectPr>
      </w:pPr>
    </w:p>
    <w:p w14:paraId="150EB817">
      <w:pPr>
        <w:spacing w:before="0" w:after="0"/>
        <w:ind w:firstLine="560"/>
        <w:jc w:val="left"/>
        <w:outlineLvl w:val="9"/>
      </w:pPr>
      <w:r>
        <w:rPr>
          <w:rFonts w:ascii="方正仿宋_GBK" w:hAnsi="方正仿宋_GBK" w:eastAsia="方正仿宋_GBK" w:cs="方正仿宋_GBK"/>
          <w:b/>
          <w:color w:val="000000"/>
          <w:sz w:val="28"/>
        </w:rPr>
        <w:t>4、冀财教[2024]141号/省级/2025年义教补助经费/校舍安全保障/第三实验小学门口路面硬化等维修改造绩效目标表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58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A2CCF">
            <w:pPr>
              <w:pStyle w:val="14"/>
            </w:pPr>
            <w:r>
              <w:t>单位：万元</w:t>
            </w:r>
          </w:p>
        </w:tc>
      </w:tr>
      <w:tr w14:paraId="14732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B076D">
            <w:pPr>
              <w:pStyle w:val="11"/>
            </w:pPr>
            <w:r>
              <w:t>项目编码</w:t>
            </w:r>
          </w:p>
        </w:tc>
        <w:tc>
          <w:tcPr>
            <w:tcW w:w="5103" w:type="dxa"/>
            <w:gridSpan w:val="2"/>
            <w:vAlign w:val="center"/>
          </w:tcPr>
          <w:p w14:paraId="3266C6BE">
            <w:pPr>
              <w:pStyle w:val="13"/>
            </w:pPr>
            <w:r>
              <w:t>13052525P00876210028F</w:t>
            </w:r>
          </w:p>
        </w:tc>
        <w:tc>
          <w:tcPr>
            <w:tcW w:w="2835" w:type="dxa"/>
            <w:vAlign w:val="center"/>
          </w:tcPr>
          <w:p w14:paraId="0C756F0A">
            <w:pPr>
              <w:pStyle w:val="11"/>
            </w:pPr>
            <w:r>
              <w:t>项目名称</w:t>
            </w:r>
          </w:p>
        </w:tc>
        <w:tc>
          <w:tcPr>
            <w:tcW w:w="6095" w:type="dxa"/>
            <w:gridSpan w:val="3"/>
            <w:vAlign w:val="center"/>
          </w:tcPr>
          <w:p w14:paraId="2C207371">
            <w:pPr>
              <w:pStyle w:val="13"/>
            </w:pPr>
            <w:r>
              <w:t>冀财教[2024]141号/省级/2025年义教补助经费/校舍安全保障/第三实验小学门口路面硬化等维修改造</w:t>
            </w:r>
          </w:p>
        </w:tc>
      </w:tr>
      <w:tr w14:paraId="743C6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2564B">
            <w:pPr>
              <w:pStyle w:val="11"/>
            </w:pPr>
            <w:r>
              <w:t>预算规模及资金用途</w:t>
            </w:r>
          </w:p>
        </w:tc>
        <w:tc>
          <w:tcPr>
            <w:tcW w:w="2268" w:type="dxa"/>
            <w:vAlign w:val="center"/>
          </w:tcPr>
          <w:p w14:paraId="61C2E69F">
            <w:pPr>
              <w:pStyle w:val="11"/>
            </w:pPr>
            <w:r>
              <w:t>预算数</w:t>
            </w:r>
          </w:p>
        </w:tc>
        <w:tc>
          <w:tcPr>
            <w:tcW w:w="2835" w:type="dxa"/>
            <w:vAlign w:val="center"/>
          </w:tcPr>
          <w:p w14:paraId="0E37162A">
            <w:pPr>
              <w:pStyle w:val="13"/>
            </w:pPr>
            <w:r>
              <w:t>46.48</w:t>
            </w:r>
          </w:p>
        </w:tc>
        <w:tc>
          <w:tcPr>
            <w:tcW w:w="2835" w:type="dxa"/>
            <w:vAlign w:val="center"/>
          </w:tcPr>
          <w:p w14:paraId="0D04AF00">
            <w:pPr>
              <w:pStyle w:val="11"/>
            </w:pPr>
            <w:r>
              <w:t>其中：财政    资金</w:t>
            </w:r>
          </w:p>
        </w:tc>
        <w:tc>
          <w:tcPr>
            <w:tcW w:w="2551" w:type="dxa"/>
            <w:vAlign w:val="center"/>
          </w:tcPr>
          <w:p w14:paraId="44EE931B">
            <w:pPr>
              <w:pStyle w:val="13"/>
            </w:pPr>
            <w:r>
              <w:t>46.48</w:t>
            </w:r>
          </w:p>
        </w:tc>
        <w:tc>
          <w:tcPr>
            <w:tcW w:w="2268" w:type="dxa"/>
            <w:vAlign w:val="center"/>
          </w:tcPr>
          <w:p w14:paraId="1B645E21">
            <w:pPr>
              <w:pStyle w:val="11"/>
            </w:pPr>
            <w:r>
              <w:t>其他资金</w:t>
            </w:r>
          </w:p>
        </w:tc>
        <w:tc>
          <w:tcPr>
            <w:tcW w:w="1276" w:type="dxa"/>
            <w:vAlign w:val="center"/>
          </w:tcPr>
          <w:p w14:paraId="71CF456A">
            <w:pPr>
              <w:pStyle w:val="13"/>
            </w:pPr>
            <w:r>
              <w:t xml:space="preserve"> </w:t>
            </w:r>
          </w:p>
        </w:tc>
      </w:tr>
      <w:tr w14:paraId="417CA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39A9C"/>
        </w:tc>
        <w:tc>
          <w:tcPr>
            <w:tcW w:w="14033" w:type="dxa"/>
            <w:gridSpan w:val="6"/>
            <w:vAlign w:val="center"/>
          </w:tcPr>
          <w:p w14:paraId="3221C449">
            <w:pPr>
              <w:pStyle w:val="13"/>
            </w:pPr>
            <w:r>
              <w:t>改善就学条件，提升学校形象，保障义务教育阶段教学安全，创造良好的校园环境。</w:t>
            </w:r>
            <w:r>
              <w:tab/>
            </w:r>
            <w:r>
              <w:tab/>
            </w:r>
            <w:r>
              <w:tab/>
            </w:r>
          </w:p>
        </w:tc>
      </w:tr>
      <w:tr w14:paraId="26558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1C360">
            <w:pPr>
              <w:pStyle w:val="11"/>
            </w:pPr>
            <w:r>
              <w:t>资金支出计划（%）</w:t>
            </w:r>
          </w:p>
        </w:tc>
        <w:tc>
          <w:tcPr>
            <w:tcW w:w="5103" w:type="dxa"/>
            <w:gridSpan w:val="2"/>
            <w:vAlign w:val="center"/>
          </w:tcPr>
          <w:p w14:paraId="62B71D89">
            <w:pPr>
              <w:pStyle w:val="11"/>
            </w:pPr>
            <w:r>
              <w:t>3月底</w:t>
            </w:r>
          </w:p>
        </w:tc>
        <w:tc>
          <w:tcPr>
            <w:tcW w:w="2835" w:type="dxa"/>
            <w:vAlign w:val="center"/>
          </w:tcPr>
          <w:p w14:paraId="3BA84164">
            <w:pPr>
              <w:pStyle w:val="11"/>
            </w:pPr>
            <w:r>
              <w:t>6月底</w:t>
            </w:r>
          </w:p>
        </w:tc>
        <w:tc>
          <w:tcPr>
            <w:tcW w:w="2551" w:type="dxa"/>
            <w:vAlign w:val="center"/>
          </w:tcPr>
          <w:p w14:paraId="2DA55037">
            <w:pPr>
              <w:pStyle w:val="11"/>
            </w:pPr>
            <w:r>
              <w:t>10月底</w:t>
            </w:r>
          </w:p>
        </w:tc>
        <w:tc>
          <w:tcPr>
            <w:tcW w:w="3544" w:type="dxa"/>
            <w:gridSpan w:val="2"/>
            <w:vAlign w:val="center"/>
          </w:tcPr>
          <w:p w14:paraId="22E59E0F">
            <w:pPr>
              <w:pStyle w:val="11"/>
            </w:pPr>
            <w:r>
              <w:t>12月底</w:t>
            </w:r>
          </w:p>
        </w:tc>
      </w:tr>
      <w:tr w14:paraId="3332C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D2E0ED"/>
        </w:tc>
        <w:tc>
          <w:tcPr>
            <w:tcW w:w="5103" w:type="dxa"/>
            <w:gridSpan w:val="2"/>
            <w:vAlign w:val="center"/>
          </w:tcPr>
          <w:p w14:paraId="6CF13FE3">
            <w:pPr>
              <w:pStyle w:val="12"/>
            </w:pPr>
            <w:r>
              <w:t>25%</w:t>
            </w:r>
          </w:p>
        </w:tc>
        <w:tc>
          <w:tcPr>
            <w:tcW w:w="2835" w:type="dxa"/>
            <w:vAlign w:val="center"/>
          </w:tcPr>
          <w:p w14:paraId="438D5EA1">
            <w:pPr>
              <w:pStyle w:val="12"/>
            </w:pPr>
            <w:r>
              <w:t>50%</w:t>
            </w:r>
          </w:p>
        </w:tc>
        <w:tc>
          <w:tcPr>
            <w:tcW w:w="2551" w:type="dxa"/>
            <w:vAlign w:val="center"/>
          </w:tcPr>
          <w:p w14:paraId="0B51CB9D">
            <w:pPr>
              <w:pStyle w:val="12"/>
            </w:pPr>
            <w:r>
              <w:t>75%</w:t>
            </w:r>
          </w:p>
        </w:tc>
        <w:tc>
          <w:tcPr>
            <w:tcW w:w="3544" w:type="dxa"/>
            <w:gridSpan w:val="2"/>
            <w:vAlign w:val="center"/>
          </w:tcPr>
          <w:p w14:paraId="3558400E">
            <w:pPr>
              <w:pStyle w:val="12"/>
            </w:pPr>
            <w:r>
              <w:t>100%</w:t>
            </w:r>
          </w:p>
        </w:tc>
      </w:tr>
      <w:tr w14:paraId="1B9F2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1DCC40">
            <w:pPr>
              <w:pStyle w:val="11"/>
            </w:pPr>
            <w:r>
              <w:t>绩效目标</w:t>
            </w:r>
          </w:p>
        </w:tc>
        <w:tc>
          <w:tcPr>
            <w:tcW w:w="14033" w:type="dxa"/>
            <w:gridSpan w:val="6"/>
            <w:vAlign w:val="center"/>
          </w:tcPr>
          <w:p w14:paraId="318063AC">
            <w:pPr>
              <w:pStyle w:val="13"/>
            </w:pPr>
            <w:r>
              <w:t>1.改善就学条件，提升学校形象，保障义务教育阶段教学安全，创造良好的校园环境。</w:t>
            </w:r>
            <w:r>
              <w:tab/>
            </w:r>
            <w:r>
              <w:tab/>
            </w:r>
            <w:r>
              <w:tab/>
            </w:r>
            <w:r>
              <w:tab/>
            </w:r>
            <w:r>
              <w:tab/>
            </w:r>
            <w:r>
              <w:tab/>
            </w:r>
          </w:p>
          <w:p w14:paraId="53B39E6A">
            <w:pPr>
              <w:pStyle w:val="13"/>
            </w:pPr>
          </w:p>
          <w:p w14:paraId="714BBA5A">
            <w:pPr>
              <w:pStyle w:val="13"/>
            </w:pPr>
            <w:r>
              <w:t>2.项目需资金46.48万元，资金拨付率达到100%。</w:t>
            </w:r>
            <w:r>
              <w:tab/>
            </w:r>
            <w:r>
              <w:tab/>
            </w:r>
            <w:r>
              <w:tab/>
            </w:r>
            <w:r>
              <w:tab/>
            </w:r>
            <w:r>
              <w:tab/>
            </w:r>
            <w:r>
              <w:tab/>
            </w:r>
          </w:p>
          <w:p w14:paraId="3860EB3B">
            <w:pPr>
              <w:pStyle w:val="13"/>
            </w:pPr>
          </w:p>
        </w:tc>
      </w:tr>
    </w:tbl>
    <w:p w14:paraId="08E4F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15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E2C58">
            <w:pPr>
              <w:pStyle w:val="11"/>
            </w:pPr>
            <w:r>
              <w:t>一级指标</w:t>
            </w:r>
          </w:p>
        </w:tc>
        <w:tc>
          <w:tcPr>
            <w:tcW w:w="2268" w:type="dxa"/>
            <w:vAlign w:val="center"/>
          </w:tcPr>
          <w:p w14:paraId="4F7B681D">
            <w:pPr>
              <w:pStyle w:val="11"/>
            </w:pPr>
            <w:r>
              <w:t>二级指标</w:t>
            </w:r>
          </w:p>
        </w:tc>
        <w:tc>
          <w:tcPr>
            <w:tcW w:w="2835" w:type="dxa"/>
            <w:vAlign w:val="center"/>
          </w:tcPr>
          <w:p w14:paraId="1406E9D3">
            <w:pPr>
              <w:pStyle w:val="11"/>
            </w:pPr>
            <w:r>
              <w:t>三级指标</w:t>
            </w:r>
          </w:p>
        </w:tc>
        <w:tc>
          <w:tcPr>
            <w:tcW w:w="5386" w:type="dxa"/>
            <w:vAlign w:val="center"/>
          </w:tcPr>
          <w:p w14:paraId="188B90BE">
            <w:pPr>
              <w:pStyle w:val="11"/>
            </w:pPr>
            <w:r>
              <w:t>绩效指标描述</w:t>
            </w:r>
          </w:p>
        </w:tc>
        <w:tc>
          <w:tcPr>
            <w:tcW w:w="2268" w:type="dxa"/>
            <w:vAlign w:val="center"/>
          </w:tcPr>
          <w:p w14:paraId="0D236DAD">
            <w:pPr>
              <w:pStyle w:val="11"/>
            </w:pPr>
            <w:r>
              <w:t>指标值</w:t>
            </w:r>
          </w:p>
        </w:tc>
        <w:tc>
          <w:tcPr>
            <w:tcW w:w="1276" w:type="dxa"/>
            <w:vAlign w:val="center"/>
          </w:tcPr>
          <w:p w14:paraId="0C0396E5">
            <w:pPr>
              <w:pStyle w:val="11"/>
            </w:pPr>
            <w:r>
              <w:t>指标值确定依据</w:t>
            </w:r>
          </w:p>
        </w:tc>
      </w:tr>
      <w:tr w14:paraId="523C8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E7D5D">
            <w:pPr>
              <w:pStyle w:val="12"/>
            </w:pPr>
            <w:r>
              <w:t>产出指标</w:t>
            </w:r>
          </w:p>
        </w:tc>
        <w:tc>
          <w:tcPr>
            <w:tcW w:w="2268" w:type="dxa"/>
            <w:vAlign w:val="center"/>
          </w:tcPr>
          <w:p w14:paraId="15745AC3">
            <w:pPr>
              <w:pStyle w:val="13"/>
            </w:pPr>
            <w:r>
              <w:t>数量指标</w:t>
            </w:r>
          </w:p>
        </w:tc>
        <w:tc>
          <w:tcPr>
            <w:tcW w:w="2835" w:type="dxa"/>
            <w:vAlign w:val="center"/>
          </w:tcPr>
          <w:p w14:paraId="5F7C4398">
            <w:pPr>
              <w:pStyle w:val="13"/>
            </w:pPr>
            <w:r>
              <w:t>门口路面硬化等维修改造</w:t>
            </w:r>
          </w:p>
        </w:tc>
        <w:tc>
          <w:tcPr>
            <w:tcW w:w="5386" w:type="dxa"/>
            <w:vAlign w:val="center"/>
          </w:tcPr>
          <w:p w14:paraId="4D67F605">
            <w:pPr>
              <w:pStyle w:val="13"/>
            </w:pPr>
            <w:r>
              <w:t>对学校操场遮阳棚改造，北停车场铺砖硬化，门口路面沥青硬化。</w:t>
            </w:r>
          </w:p>
        </w:tc>
        <w:tc>
          <w:tcPr>
            <w:tcW w:w="2268" w:type="dxa"/>
            <w:vAlign w:val="center"/>
          </w:tcPr>
          <w:p w14:paraId="06E23A68">
            <w:pPr>
              <w:pStyle w:val="13"/>
            </w:pPr>
            <w:r>
              <w:t>1项</w:t>
            </w:r>
          </w:p>
        </w:tc>
        <w:tc>
          <w:tcPr>
            <w:tcW w:w="1276" w:type="dxa"/>
            <w:vAlign w:val="center"/>
          </w:tcPr>
          <w:p w14:paraId="18B4D1D8">
            <w:pPr>
              <w:pStyle w:val="13"/>
            </w:pPr>
            <w:r>
              <w:t>项目规划</w:t>
            </w:r>
          </w:p>
        </w:tc>
      </w:tr>
      <w:tr w14:paraId="57397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6BB03"/>
        </w:tc>
        <w:tc>
          <w:tcPr>
            <w:tcW w:w="2268" w:type="dxa"/>
            <w:vAlign w:val="center"/>
          </w:tcPr>
          <w:p w14:paraId="053F0E95">
            <w:pPr>
              <w:pStyle w:val="13"/>
            </w:pPr>
            <w:r>
              <w:t>质量指标</w:t>
            </w:r>
          </w:p>
        </w:tc>
        <w:tc>
          <w:tcPr>
            <w:tcW w:w="2835" w:type="dxa"/>
            <w:vAlign w:val="center"/>
          </w:tcPr>
          <w:p w14:paraId="6DDA174D">
            <w:pPr>
              <w:pStyle w:val="13"/>
            </w:pPr>
            <w:r>
              <w:t>工程实施验收合格率</w:t>
            </w:r>
          </w:p>
        </w:tc>
        <w:tc>
          <w:tcPr>
            <w:tcW w:w="5386" w:type="dxa"/>
            <w:vAlign w:val="center"/>
          </w:tcPr>
          <w:p w14:paraId="4592A31D">
            <w:pPr>
              <w:pStyle w:val="13"/>
            </w:pPr>
            <w:r>
              <w:t>申报程序的合规，项目实施及资金使用符合项目规划</w:t>
            </w:r>
          </w:p>
        </w:tc>
        <w:tc>
          <w:tcPr>
            <w:tcW w:w="2268" w:type="dxa"/>
            <w:vAlign w:val="center"/>
          </w:tcPr>
          <w:p w14:paraId="65C99972">
            <w:pPr>
              <w:pStyle w:val="13"/>
            </w:pPr>
            <w:r>
              <w:t>100%</w:t>
            </w:r>
          </w:p>
        </w:tc>
        <w:tc>
          <w:tcPr>
            <w:tcW w:w="1276" w:type="dxa"/>
            <w:vAlign w:val="center"/>
          </w:tcPr>
          <w:p w14:paraId="377A7190">
            <w:pPr>
              <w:pStyle w:val="13"/>
            </w:pPr>
            <w:r>
              <w:t>项目规划</w:t>
            </w:r>
          </w:p>
        </w:tc>
      </w:tr>
      <w:tr w14:paraId="0B997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09DD9"/>
        </w:tc>
        <w:tc>
          <w:tcPr>
            <w:tcW w:w="2268" w:type="dxa"/>
            <w:vAlign w:val="center"/>
          </w:tcPr>
          <w:p w14:paraId="3397A4BD">
            <w:pPr>
              <w:pStyle w:val="13"/>
            </w:pPr>
            <w:r>
              <w:t>时效指标</w:t>
            </w:r>
          </w:p>
        </w:tc>
        <w:tc>
          <w:tcPr>
            <w:tcW w:w="2835" w:type="dxa"/>
            <w:vAlign w:val="center"/>
          </w:tcPr>
          <w:p w14:paraId="2E9F3674">
            <w:pPr>
              <w:pStyle w:val="13"/>
            </w:pPr>
            <w:r>
              <w:t>资金支付率</w:t>
            </w:r>
          </w:p>
        </w:tc>
        <w:tc>
          <w:tcPr>
            <w:tcW w:w="5386" w:type="dxa"/>
            <w:vAlign w:val="center"/>
          </w:tcPr>
          <w:p w14:paraId="70E9CD3D">
            <w:pPr>
              <w:pStyle w:val="13"/>
            </w:pPr>
            <w:r>
              <w:t>按照序时进度完成资金支付</w:t>
            </w:r>
          </w:p>
        </w:tc>
        <w:tc>
          <w:tcPr>
            <w:tcW w:w="2268" w:type="dxa"/>
            <w:vAlign w:val="center"/>
          </w:tcPr>
          <w:p w14:paraId="20D6DB11">
            <w:pPr>
              <w:pStyle w:val="13"/>
            </w:pPr>
            <w:r>
              <w:t>100%</w:t>
            </w:r>
          </w:p>
        </w:tc>
        <w:tc>
          <w:tcPr>
            <w:tcW w:w="1276" w:type="dxa"/>
            <w:vAlign w:val="center"/>
          </w:tcPr>
          <w:p w14:paraId="3F332854">
            <w:pPr>
              <w:pStyle w:val="13"/>
            </w:pPr>
            <w:r>
              <w:t>项目规划</w:t>
            </w:r>
          </w:p>
        </w:tc>
      </w:tr>
      <w:tr w14:paraId="6808B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9F024"/>
        </w:tc>
        <w:tc>
          <w:tcPr>
            <w:tcW w:w="2268" w:type="dxa"/>
            <w:vAlign w:val="center"/>
          </w:tcPr>
          <w:p w14:paraId="3825E967">
            <w:pPr>
              <w:pStyle w:val="13"/>
            </w:pPr>
            <w:r>
              <w:t>成本指标</w:t>
            </w:r>
          </w:p>
        </w:tc>
        <w:tc>
          <w:tcPr>
            <w:tcW w:w="2835" w:type="dxa"/>
            <w:vAlign w:val="center"/>
          </w:tcPr>
          <w:p w14:paraId="264C7F65">
            <w:pPr>
              <w:pStyle w:val="13"/>
            </w:pPr>
            <w:r>
              <w:t>项目成本控制情况</w:t>
            </w:r>
          </w:p>
        </w:tc>
        <w:tc>
          <w:tcPr>
            <w:tcW w:w="5386" w:type="dxa"/>
            <w:vAlign w:val="center"/>
          </w:tcPr>
          <w:p w14:paraId="1BE40AEE">
            <w:pPr>
              <w:pStyle w:val="13"/>
            </w:pPr>
            <w:r>
              <w:t>严格按照招标价格及审计额进行</w:t>
            </w:r>
          </w:p>
        </w:tc>
        <w:tc>
          <w:tcPr>
            <w:tcW w:w="2268" w:type="dxa"/>
            <w:vAlign w:val="center"/>
          </w:tcPr>
          <w:p w14:paraId="3B169A07">
            <w:pPr>
              <w:pStyle w:val="13"/>
            </w:pPr>
            <w:r>
              <w:t>46.48万元</w:t>
            </w:r>
          </w:p>
        </w:tc>
        <w:tc>
          <w:tcPr>
            <w:tcW w:w="1276" w:type="dxa"/>
            <w:vAlign w:val="center"/>
          </w:tcPr>
          <w:p w14:paraId="22342761">
            <w:pPr>
              <w:pStyle w:val="13"/>
            </w:pPr>
            <w:r>
              <w:t>项目规划</w:t>
            </w:r>
          </w:p>
        </w:tc>
      </w:tr>
      <w:tr w14:paraId="6F520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C0C2DB">
            <w:pPr>
              <w:pStyle w:val="12"/>
            </w:pPr>
            <w:r>
              <w:t>效益指标</w:t>
            </w:r>
          </w:p>
        </w:tc>
        <w:tc>
          <w:tcPr>
            <w:tcW w:w="2268" w:type="dxa"/>
            <w:vAlign w:val="center"/>
          </w:tcPr>
          <w:p w14:paraId="2602CD6F">
            <w:pPr>
              <w:pStyle w:val="13"/>
            </w:pPr>
            <w:r>
              <w:t>可持续影响指标</w:t>
            </w:r>
          </w:p>
        </w:tc>
        <w:tc>
          <w:tcPr>
            <w:tcW w:w="2835" w:type="dxa"/>
            <w:vAlign w:val="center"/>
          </w:tcPr>
          <w:p w14:paraId="3A2D37E2">
            <w:pPr>
              <w:pStyle w:val="13"/>
            </w:pPr>
            <w:r>
              <w:t>学校办学能力提升</w:t>
            </w:r>
          </w:p>
        </w:tc>
        <w:tc>
          <w:tcPr>
            <w:tcW w:w="5386" w:type="dxa"/>
            <w:vAlign w:val="center"/>
          </w:tcPr>
          <w:p w14:paraId="2DBF5C1A">
            <w:pPr>
              <w:pStyle w:val="13"/>
            </w:pPr>
            <w:r>
              <w:t>学校办学能力升情况及教育教学工作等开展的情况</w:t>
            </w:r>
          </w:p>
        </w:tc>
        <w:tc>
          <w:tcPr>
            <w:tcW w:w="2268" w:type="dxa"/>
            <w:vAlign w:val="center"/>
          </w:tcPr>
          <w:p w14:paraId="497CB800">
            <w:pPr>
              <w:pStyle w:val="13"/>
            </w:pPr>
            <w:r>
              <w:t>≥96%</w:t>
            </w:r>
          </w:p>
        </w:tc>
        <w:tc>
          <w:tcPr>
            <w:tcW w:w="1276" w:type="dxa"/>
            <w:vAlign w:val="center"/>
          </w:tcPr>
          <w:p w14:paraId="54C8575E">
            <w:pPr>
              <w:pStyle w:val="13"/>
            </w:pPr>
            <w:r>
              <w:t>项目规划</w:t>
            </w:r>
          </w:p>
        </w:tc>
      </w:tr>
      <w:tr w14:paraId="227DA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3C6A5E">
            <w:pPr>
              <w:pStyle w:val="12"/>
            </w:pPr>
            <w:r>
              <w:t>满意度指标</w:t>
            </w:r>
          </w:p>
        </w:tc>
        <w:tc>
          <w:tcPr>
            <w:tcW w:w="2268" w:type="dxa"/>
            <w:vAlign w:val="center"/>
          </w:tcPr>
          <w:p w14:paraId="1736A2CE">
            <w:pPr>
              <w:pStyle w:val="13"/>
            </w:pPr>
            <w:r>
              <w:t>服务对象满意度指标</w:t>
            </w:r>
          </w:p>
        </w:tc>
        <w:tc>
          <w:tcPr>
            <w:tcW w:w="2835" w:type="dxa"/>
            <w:vAlign w:val="center"/>
          </w:tcPr>
          <w:p w14:paraId="42785E83">
            <w:pPr>
              <w:pStyle w:val="13"/>
            </w:pPr>
            <w:r>
              <w:t>学生、教师及家长对学校教学环境满意度情况</w:t>
            </w:r>
          </w:p>
        </w:tc>
        <w:tc>
          <w:tcPr>
            <w:tcW w:w="5386" w:type="dxa"/>
            <w:vAlign w:val="center"/>
          </w:tcPr>
          <w:p w14:paraId="63EEF6C0">
            <w:pPr>
              <w:pStyle w:val="13"/>
            </w:pPr>
            <w:r>
              <w:t>学生、教师及家长对学校教学环境满意度情况</w:t>
            </w:r>
          </w:p>
        </w:tc>
        <w:tc>
          <w:tcPr>
            <w:tcW w:w="2268" w:type="dxa"/>
            <w:vAlign w:val="center"/>
          </w:tcPr>
          <w:p w14:paraId="2DAAD0A4">
            <w:pPr>
              <w:pStyle w:val="13"/>
            </w:pPr>
            <w:r>
              <w:t>≥95%</w:t>
            </w:r>
          </w:p>
        </w:tc>
        <w:tc>
          <w:tcPr>
            <w:tcW w:w="1276" w:type="dxa"/>
            <w:vAlign w:val="center"/>
          </w:tcPr>
          <w:p w14:paraId="73840A0F">
            <w:pPr>
              <w:pStyle w:val="13"/>
            </w:pPr>
            <w:r>
              <w:t>项目规划</w:t>
            </w:r>
          </w:p>
        </w:tc>
      </w:tr>
    </w:tbl>
    <w:p w14:paraId="75A1FBEE">
      <w:pPr>
        <w:sectPr>
          <w:pgSz w:w="16840" w:h="11900" w:orient="landscape"/>
          <w:pgMar w:top="1361" w:right="1020" w:bottom="1134" w:left="1020" w:header="720" w:footer="720" w:gutter="0"/>
          <w:cols w:space="720" w:num="1"/>
        </w:sectPr>
      </w:pPr>
    </w:p>
    <w:p w14:paraId="7DCAD5CE">
      <w:pPr>
        <w:spacing w:before="10" w:after="10" w:line="240" w:lineRule="auto"/>
        <w:ind w:firstLine="640"/>
        <w:jc w:val="left"/>
        <w:outlineLvl w:val="5"/>
      </w:pPr>
      <w:r>
        <w:rPr>
          <w:rFonts w:ascii="黑体" w:hAnsi="黑体" w:eastAsia="黑体" w:cs="黑体"/>
          <w:color w:val="000000"/>
          <w:sz w:val="32"/>
        </w:rPr>
        <w:t>六、政府采购预算情况</w:t>
      </w:r>
    </w:p>
    <w:p w14:paraId="45C6350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083F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AE4C3BB">
            <w:pPr>
              <w:pStyle w:val="8"/>
            </w:pPr>
            <w:r>
              <w:t>360037隆尧县第三实验小学</w:t>
            </w:r>
          </w:p>
        </w:tc>
        <w:tc>
          <w:tcPr>
            <w:tcW w:w="7712" w:type="dxa"/>
            <w:gridSpan w:val="8"/>
            <w:tcBorders>
              <w:top w:val="single" w:color="FFFFFF" w:sz="6" w:space="0"/>
              <w:left w:val="single" w:color="FFFFFF" w:sz="6" w:space="0"/>
              <w:right w:val="single" w:color="FFFFFF" w:sz="6" w:space="0"/>
            </w:tcBorders>
            <w:vAlign w:val="center"/>
          </w:tcPr>
          <w:p w14:paraId="2F8F476E">
            <w:pPr>
              <w:pStyle w:val="22"/>
            </w:pPr>
            <w:r>
              <w:t>单位：万元</w:t>
            </w:r>
          </w:p>
        </w:tc>
      </w:tr>
      <w:tr w14:paraId="6FFB5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3CDFA0D">
            <w:pPr>
              <w:pStyle w:val="11"/>
            </w:pPr>
            <w:r>
              <w:t>政府采购项目来源</w:t>
            </w:r>
          </w:p>
        </w:tc>
        <w:tc>
          <w:tcPr>
            <w:tcW w:w="1134" w:type="dxa"/>
            <w:vMerge w:val="restart"/>
            <w:vAlign w:val="center"/>
          </w:tcPr>
          <w:p w14:paraId="4369290D">
            <w:pPr>
              <w:pStyle w:val="11"/>
            </w:pPr>
            <w:r>
              <w:t>采购物品名称</w:t>
            </w:r>
          </w:p>
        </w:tc>
        <w:tc>
          <w:tcPr>
            <w:tcW w:w="1134" w:type="dxa"/>
            <w:vMerge w:val="restart"/>
            <w:vAlign w:val="center"/>
          </w:tcPr>
          <w:p w14:paraId="1405B64E">
            <w:pPr>
              <w:pStyle w:val="11"/>
            </w:pPr>
            <w:r>
              <w:t>政府采购目录序号</w:t>
            </w:r>
          </w:p>
        </w:tc>
        <w:tc>
          <w:tcPr>
            <w:tcW w:w="709" w:type="dxa"/>
            <w:vMerge w:val="restart"/>
            <w:vAlign w:val="center"/>
          </w:tcPr>
          <w:p w14:paraId="4323A5C7">
            <w:pPr>
              <w:pStyle w:val="11"/>
            </w:pPr>
            <w:r>
              <w:t>计量  单位</w:t>
            </w:r>
          </w:p>
        </w:tc>
        <w:tc>
          <w:tcPr>
            <w:tcW w:w="850" w:type="dxa"/>
            <w:vMerge w:val="restart"/>
            <w:vAlign w:val="center"/>
          </w:tcPr>
          <w:p w14:paraId="3F741D9A">
            <w:pPr>
              <w:pStyle w:val="11"/>
            </w:pPr>
            <w:r>
              <w:t>数量</w:t>
            </w:r>
          </w:p>
        </w:tc>
        <w:tc>
          <w:tcPr>
            <w:tcW w:w="850" w:type="dxa"/>
            <w:vMerge w:val="restart"/>
            <w:vAlign w:val="center"/>
          </w:tcPr>
          <w:p w14:paraId="78E39DFC">
            <w:pPr>
              <w:pStyle w:val="11"/>
            </w:pPr>
            <w:r>
              <w:t>单价</w:t>
            </w:r>
          </w:p>
        </w:tc>
        <w:tc>
          <w:tcPr>
            <w:tcW w:w="6748" w:type="dxa"/>
            <w:gridSpan w:val="7"/>
            <w:vAlign w:val="center"/>
          </w:tcPr>
          <w:p w14:paraId="58EA9454">
            <w:pPr>
              <w:pStyle w:val="11"/>
            </w:pPr>
            <w:r>
              <w:t>政府采购金额（当年部门预算安排资金）</w:t>
            </w:r>
          </w:p>
        </w:tc>
        <w:tc>
          <w:tcPr>
            <w:tcW w:w="964" w:type="dxa"/>
            <w:vMerge w:val="restart"/>
            <w:vAlign w:val="center"/>
          </w:tcPr>
          <w:p w14:paraId="05B00CB2">
            <w:pPr>
              <w:pStyle w:val="11"/>
            </w:pPr>
            <w:r>
              <w:t>2025年  预留中  小微企  业份额</w:t>
            </w:r>
          </w:p>
        </w:tc>
      </w:tr>
      <w:tr w14:paraId="11DC8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C91AE58">
            <w:pPr>
              <w:pStyle w:val="11"/>
            </w:pPr>
            <w:r>
              <w:t>项目名称</w:t>
            </w:r>
          </w:p>
        </w:tc>
        <w:tc>
          <w:tcPr>
            <w:tcW w:w="964" w:type="dxa"/>
            <w:vAlign w:val="center"/>
          </w:tcPr>
          <w:p w14:paraId="65EA7849">
            <w:pPr>
              <w:pStyle w:val="11"/>
            </w:pPr>
            <w:r>
              <w:t>预算    资金</w:t>
            </w:r>
          </w:p>
        </w:tc>
        <w:tc>
          <w:tcPr>
            <w:tcW w:w="1134" w:type="dxa"/>
            <w:vMerge w:val="continue"/>
          </w:tcPr>
          <w:p w14:paraId="6F2DB2CE"/>
        </w:tc>
        <w:tc>
          <w:tcPr>
            <w:tcW w:w="1134" w:type="dxa"/>
            <w:vMerge w:val="continue"/>
          </w:tcPr>
          <w:p w14:paraId="6E475FBF"/>
        </w:tc>
        <w:tc>
          <w:tcPr>
            <w:tcW w:w="709" w:type="dxa"/>
            <w:vMerge w:val="continue"/>
          </w:tcPr>
          <w:p w14:paraId="3C5FD6CC"/>
        </w:tc>
        <w:tc>
          <w:tcPr>
            <w:tcW w:w="850" w:type="dxa"/>
            <w:vMerge w:val="continue"/>
          </w:tcPr>
          <w:p w14:paraId="113B6757"/>
        </w:tc>
        <w:tc>
          <w:tcPr>
            <w:tcW w:w="850" w:type="dxa"/>
            <w:vMerge w:val="continue"/>
          </w:tcPr>
          <w:p w14:paraId="336579B2"/>
        </w:tc>
        <w:tc>
          <w:tcPr>
            <w:tcW w:w="964" w:type="dxa"/>
            <w:vAlign w:val="center"/>
          </w:tcPr>
          <w:p w14:paraId="46B29D71">
            <w:pPr>
              <w:pStyle w:val="11"/>
            </w:pPr>
            <w:r>
              <w:t>合计</w:t>
            </w:r>
          </w:p>
        </w:tc>
        <w:tc>
          <w:tcPr>
            <w:tcW w:w="964" w:type="dxa"/>
            <w:vAlign w:val="center"/>
          </w:tcPr>
          <w:p w14:paraId="53BE1AAA">
            <w:pPr>
              <w:pStyle w:val="11"/>
            </w:pPr>
            <w:r>
              <w:t>一般公共预算拨款</w:t>
            </w:r>
          </w:p>
        </w:tc>
        <w:tc>
          <w:tcPr>
            <w:tcW w:w="964" w:type="dxa"/>
            <w:vAlign w:val="center"/>
          </w:tcPr>
          <w:p w14:paraId="3029F748">
            <w:pPr>
              <w:pStyle w:val="11"/>
            </w:pPr>
            <w:r>
              <w:t>基金预算拨款</w:t>
            </w:r>
          </w:p>
        </w:tc>
        <w:tc>
          <w:tcPr>
            <w:tcW w:w="964" w:type="dxa"/>
            <w:vAlign w:val="center"/>
          </w:tcPr>
          <w:p w14:paraId="445DE614">
            <w:pPr>
              <w:pStyle w:val="11"/>
            </w:pPr>
            <w:r>
              <w:t>国有资本经营预算拨款</w:t>
            </w:r>
          </w:p>
        </w:tc>
        <w:tc>
          <w:tcPr>
            <w:tcW w:w="964" w:type="dxa"/>
            <w:vAlign w:val="center"/>
          </w:tcPr>
          <w:p w14:paraId="13AB968D">
            <w:pPr>
              <w:pStyle w:val="11"/>
            </w:pPr>
            <w:r>
              <w:t>财政专户核拨</w:t>
            </w:r>
          </w:p>
        </w:tc>
        <w:tc>
          <w:tcPr>
            <w:tcW w:w="964" w:type="dxa"/>
            <w:vAlign w:val="center"/>
          </w:tcPr>
          <w:p w14:paraId="56C58F11">
            <w:pPr>
              <w:pStyle w:val="11"/>
            </w:pPr>
            <w:r>
              <w:t>单位    资金</w:t>
            </w:r>
          </w:p>
        </w:tc>
        <w:tc>
          <w:tcPr>
            <w:tcW w:w="964" w:type="dxa"/>
            <w:vAlign w:val="center"/>
          </w:tcPr>
          <w:p w14:paraId="11EDEF45">
            <w:pPr>
              <w:pStyle w:val="11"/>
            </w:pPr>
            <w:r>
              <w:t>上年结转结余</w:t>
            </w:r>
          </w:p>
        </w:tc>
        <w:tc>
          <w:tcPr>
            <w:tcW w:w="964" w:type="dxa"/>
            <w:vMerge w:val="continue"/>
          </w:tcPr>
          <w:p w14:paraId="61DCF26F"/>
        </w:tc>
      </w:tr>
      <w:tr w14:paraId="6F93B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CE766C">
            <w:pPr>
              <w:pStyle w:val="15"/>
            </w:pPr>
            <w:r>
              <w:t>合  计</w:t>
            </w:r>
          </w:p>
        </w:tc>
        <w:tc>
          <w:tcPr>
            <w:tcW w:w="964" w:type="dxa"/>
            <w:vAlign w:val="center"/>
          </w:tcPr>
          <w:p w14:paraId="4239BEDD">
            <w:pPr>
              <w:pStyle w:val="16"/>
            </w:pPr>
          </w:p>
        </w:tc>
        <w:tc>
          <w:tcPr>
            <w:tcW w:w="1134" w:type="dxa"/>
            <w:vAlign w:val="center"/>
          </w:tcPr>
          <w:p w14:paraId="3111CB43">
            <w:pPr>
              <w:pStyle w:val="17"/>
            </w:pPr>
          </w:p>
        </w:tc>
        <w:tc>
          <w:tcPr>
            <w:tcW w:w="1134" w:type="dxa"/>
            <w:vAlign w:val="center"/>
          </w:tcPr>
          <w:p w14:paraId="19E8490F">
            <w:pPr>
              <w:pStyle w:val="17"/>
            </w:pPr>
          </w:p>
        </w:tc>
        <w:tc>
          <w:tcPr>
            <w:tcW w:w="709" w:type="dxa"/>
            <w:vAlign w:val="center"/>
          </w:tcPr>
          <w:p w14:paraId="131939C2">
            <w:pPr>
              <w:pStyle w:val="15"/>
            </w:pPr>
          </w:p>
        </w:tc>
        <w:tc>
          <w:tcPr>
            <w:tcW w:w="850" w:type="dxa"/>
            <w:vAlign w:val="center"/>
          </w:tcPr>
          <w:p w14:paraId="1E7DC41E">
            <w:pPr>
              <w:pStyle w:val="16"/>
            </w:pPr>
          </w:p>
        </w:tc>
        <w:tc>
          <w:tcPr>
            <w:tcW w:w="850" w:type="dxa"/>
            <w:vAlign w:val="center"/>
          </w:tcPr>
          <w:p w14:paraId="357DE710">
            <w:pPr>
              <w:pStyle w:val="16"/>
            </w:pPr>
          </w:p>
        </w:tc>
        <w:tc>
          <w:tcPr>
            <w:tcW w:w="964" w:type="dxa"/>
            <w:vAlign w:val="center"/>
          </w:tcPr>
          <w:p w14:paraId="0C39172F">
            <w:pPr>
              <w:pStyle w:val="16"/>
            </w:pPr>
            <w:r>
              <w:t>8.51</w:t>
            </w:r>
          </w:p>
        </w:tc>
        <w:tc>
          <w:tcPr>
            <w:tcW w:w="964" w:type="dxa"/>
            <w:vAlign w:val="center"/>
          </w:tcPr>
          <w:p w14:paraId="05890048">
            <w:pPr>
              <w:pStyle w:val="16"/>
            </w:pPr>
            <w:r>
              <w:t>8.51</w:t>
            </w:r>
          </w:p>
        </w:tc>
        <w:tc>
          <w:tcPr>
            <w:tcW w:w="964" w:type="dxa"/>
            <w:vAlign w:val="center"/>
          </w:tcPr>
          <w:p w14:paraId="72E0937B">
            <w:pPr>
              <w:pStyle w:val="16"/>
            </w:pPr>
          </w:p>
        </w:tc>
        <w:tc>
          <w:tcPr>
            <w:tcW w:w="964" w:type="dxa"/>
            <w:vAlign w:val="center"/>
          </w:tcPr>
          <w:p w14:paraId="6B6179BD">
            <w:pPr>
              <w:pStyle w:val="16"/>
            </w:pPr>
          </w:p>
        </w:tc>
        <w:tc>
          <w:tcPr>
            <w:tcW w:w="964" w:type="dxa"/>
            <w:vAlign w:val="center"/>
          </w:tcPr>
          <w:p w14:paraId="3A88B5A7">
            <w:pPr>
              <w:pStyle w:val="16"/>
            </w:pPr>
          </w:p>
        </w:tc>
        <w:tc>
          <w:tcPr>
            <w:tcW w:w="964" w:type="dxa"/>
            <w:vAlign w:val="center"/>
          </w:tcPr>
          <w:p w14:paraId="02D25A41">
            <w:pPr>
              <w:pStyle w:val="16"/>
            </w:pPr>
          </w:p>
        </w:tc>
        <w:tc>
          <w:tcPr>
            <w:tcW w:w="964" w:type="dxa"/>
            <w:vAlign w:val="center"/>
          </w:tcPr>
          <w:p w14:paraId="79C86003">
            <w:pPr>
              <w:pStyle w:val="16"/>
            </w:pPr>
          </w:p>
        </w:tc>
        <w:tc>
          <w:tcPr>
            <w:tcW w:w="964" w:type="dxa"/>
            <w:vAlign w:val="center"/>
          </w:tcPr>
          <w:p w14:paraId="01A84621">
            <w:pPr>
              <w:pStyle w:val="16"/>
            </w:pPr>
            <w:r>
              <w:t>8.51</w:t>
            </w:r>
          </w:p>
        </w:tc>
      </w:tr>
      <w:tr w14:paraId="6B76E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1F7DD4">
            <w:pPr>
              <w:pStyle w:val="15"/>
            </w:pPr>
            <w:r>
              <w:t>隆尧县第三实验小学小计</w:t>
            </w:r>
          </w:p>
        </w:tc>
        <w:tc>
          <w:tcPr>
            <w:tcW w:w="964" w:type="dxa"/>
            <w:vAlign w:val="center"/>
          </w:tcPr>
          <w:p w14:paraId="47936D96">
            <w:pPr>
              <w:pStyle w:val="16"/>
            </w:pPr>
          </w:p>
        </w:tc>
        <w:tc>
          <w:tcPr>
            <w:tcW w:w="1134" w:type="dxa"/>
            <w:vAlign w:val="center"/>
          </w:tcPr>
          <w:p w14:paraId="24E6AC0C">
            <w:pPr>
              <w:pStyle w:val="17"/>
            </w:pPr>
          </w:p>
        </w:tc>
        <w:tc>
          <w:tcPr>
            <w:tcW w:w="1134" w:type="dxa"/>
            <w:vAlign w:val="center"/>
          </w:tcPr>
          <w:p w14:paraId="46619422">
            <w:pPr>
              <w:pStyle w:val="17"/>
            </w:pPr>
          </w:p>
        </w:tc>
        <w:tc>
          <w:tcPr>
            <w:tcW w:w="709" w:type="dxa"/>
            <w:vAlign w:val="center"/>
          </w:tcPr>
          <w:p w14:paraId="3C4C203D">
            <w:pPr>
              <w:pStyle w:val="15"/>
            </w:pPr>
          </w:p>
        </w:tc>
        <w:tc>
          <w:tcPr>
            <w:tcW w:w="850" w:type="dxa"/>
            <w:vAlign w:val="center"/>
          </w:tcPr>
          <w:p w14:paraId="693133EE">
            <w:pPr>
              <w:pStyle w:val="16"/>
            </w:pPr>
          </w:p>
        </w:tc>
        <w:tc>
          <w:tcPr>
            <w:tcW w:w="850" w:type="dxa"/>
            <w:vAlign w:val="center"/>
          </w:tcPr>
          <w:p w14:paraId="30646AEB">
            <w:pPr>
              <w:pStyle w:val="16"/>
            </w:pPr>
          </w:p>
        </w:tc>
        <w:tc>
          <w:tcPr>
            <w:tcW w:w="964" w:type="dxa"/>
            <w:vAlign w:val="center"/>
          </w:tcPr>
          <w:p w14:paraId="055EDF6F">
            <w:pPr>
              <w:pStyle w:val="16"/>
            </w:pPr>
            <w:r>
              <w:t>8.51</w:t>
            </w:r>
          </w:p>
        </w:tc>
        <w:tc>
          <w:tcPr>
            <w:tcW w:w="964" w:type="dxa"/>
            <w:vAlign w:val="center"/>
          </w:tcPr>
          <w:p w14:paraId="44AF1255">
            <w:pPr>
              <w:pStyle w:val="16"/>
            </w:pPr>
            <w:r>
              <w:t>8.51</w:t>
            </w:r>
          </w:p>
        </w:tc>
        <w:tc>
          <w:tcPr>
            <w:tcW w:w="964" w:type="dxa"/>
            <w:vAlign w:val="center"/>
          </w:tcPr>
          <w:p w14:paraId="2F380A3D">
            <w:pPr>
              <w:pStyle w:val="16"/>
            </w:pPr>
          </w:p>
        </w:tc>
        <w:tc>
          <w:tcPr>
            <w:tcW w:w="964" w:type="dxa"/>
            <w:vAlign w:val="center"/>
          </w:tcPr>
          <w:p w14:paraId="33F99C74">
            <w:pPr>
              <w:pStyle w:val="16"/>
            </w:pPr>
          </w:p>
        </w:tc>
        <w:tc>
          <w:tcPr>
            <w:tcW w:w="964" w:type="dxa"/>
            <w:vAlign w:val="center"/>
          </w:tcPr>
          <w:p w14:paraId="1A57E303">
            <w:pPr>
              <w:pStyle w:val="16"/>
            </w:pPr>
          </w:p>
        </w:tc>
        <w:tc>
          <w:tcPr>
            <w:tcW w:w="964" w:type="dxa"/>
            <w:vAlign w:val="center"/>
          </w:tcPr>
          <w:p w14:paraId="46B5CA56">
            <w:pPr>
              <w:pStyle w:val="16"/>
            </w:pPr>
          </w:p>
        </w:tc>
        <w:tc>
          <w:tcPr>
            <w:tcW w:w="964" w:type="dxa"/>
            <w:vAlign w:val="center"/>
          </w:tcPr>
          <w:p w14:paraId="40982011">
            <w:pPr>
              <w:pStyle w:val="16"/>
            </w:pPr>
          </w:p>
        </w:tc>
        <w:tc>
          <w:tcPr>
            <w:tcW w:w="964" w:type="dxa"/>
            <w:vAlign w:val="center"/>
          </w:tcPr>
          <w:p w14:paraId="0EF45AC7">
            <w:pPr>
              <w:pStyle w:val="16"/>
            </w:pPr>
            <w:r>
              <w:t>8.51</w:t>
            </w:r>
          </w:p>
        </w:tc>
      </w:tr>
      <w:tr w14:paraId="0E25D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92F85B">
            <w:pPr>
              <w:pStyle w:val="13"/>
            </w:pPr>
            <w:r>
              <w:t>冀财教[2024]141号/省级/2025年义教补助经费/第三实验小学公用经费</w:t>
            </w:r>
          </w:p>
        </w:tc>
        <w:tc>
          <w:tcPr>
            <w:tcW w:w="964" w:type="dxa"/>
            <w:vAlign w:val="center"/>
          </w:tcPr>
          <w:p w14:paraId="50C52E58">
            <w:pPr>
              <w:pStyle w:val="14"/>
            </w:pPr>
            <w:r>
              <w:t>47.96</w:t>
            </w:r>
          </w:p>
        </w:tc>
        <w:tc>
          <w:tcPr>
            <w:tcW w:w="1134" w:type="dxa"/>
            <w:vAlign w:val="center"/>
          </w:tcPr>
          <w:p w14:paraId="1DE55237">
            <w:pPr>
              <w:pStyle w:val="13"/>
            </w:pPr>
            <w:r>
              <w:t>台式计算机</w:t>
            </w:r>
          </w:p>
        </w:tc>
        <w:tc>
          <w:tcPr>
            <w:tcW w:w="1134" w:type="dxa"/>
            <w:vAlign w:val="center"/>
          </w:tcPr>
          <w:p w14:paraId="3FF63FE5">
            <w:pPr>
              <w:pStyle w:val="13"/>
            </w:pPr>
            <w:r>
              <w:t>A02010105</w:t>
            </w:r>
          </w:p>
        </w:tc>
        <w:tc>
          <w:tcPr>
            <w:tcW w:w="709" w:type="dxa"/>
            <w:vAlign w:val="center"/>
          </w:tcPr>
          <w:p w14:paraId="317A8AF0">
            <w:pPr>
              <w:pStyle w:val="12"/>
            </w:pPr>
            <w:r>
              <w:t>台</w:t>
            </w:r>
          </w:p>
        </w:tc>
        <w:tc>
          <w:tcPr>
            <w:tcW w:w="850" w:type="dxa"/>
            <w:vAlign w:val="center"/>
          </w:tcPr>
          <w:p w14:paraId="602AE45C">
            <w:pPr>
              <w:pStyle w:val="14"/>
            </w:pPr>
            <w:r>
              <w:t>5</w:t>
            </w:r>
          </w:p>
        </w:tc>
        <w:tc>
          <w:tcPr>
            <w:tcW w:w="850" w:type="dxa"/>
            <w:vAlign w:val="center"/>
          </w:tcPr>
          <w:p w14:paraId="7E3B23FD">
            <w:pPr>
              <w:pStyle w:val="14"/>
            </w:pPr>
            <w:r>
              <w:t>0.50</w:t>
            </w:r>
          </w:p>
        </w:tc>
        <w:tc>
          <w:tcPr>
            <w:tcW w:w="964" w:type="dxa"/>
            <w:vAlign w:val="center"/>
          </w:tcPr>
          <w:p w14:paraId="071FB04A">
            <w:pPr>
              <w:pStyle w:val="14"/>
            </w:pPr>
            <w:r>
              <w:t>2.50</w:t>
            </w:r>
          </w:p>
        </w:tc>
        <w:tc>
          <w:tcPr>
            <w:tcW w:w="964" w:type="dxa"/>
            <w:vAlign w:val="center"/>
          </w:tcPr>
          <w:p w14:paraId="1AD5125D">
            <w:pPr>
              <w:pStyle w:val="14"/>
            </w:pPr>
            <w:r>
              <w:t>2.50</w:t>
            </w:r>
          </w:p>
        </w:tc>
        <w:tc>
          <w:tcPr>
            <w:tcW w:w="964" w:type="dxa"/>
            <w:vAlign w:val="center"/>
          </w:tcPr>
          <w:p w14:paraId="1ED6557A">
            <w:pPr>
              <w:pStyle w:val="14"/>
            </w:pPr>
          </w:p>
        </w:tc>
        <w:tc>
          <w:tcPr>
            <w:tcW w:w="964" w:type="dxa"/>
            <w:vAlign w:val="center"/>
          </w:tcPr>
          <w:p w14:paraId="7BFA55A1">
            <w:pPr>
              <w:pStyle w:val="14"/>
            </w:pPr>
          </w:p>
        </w:tc>
        <w:tc>
          <w:tcPr>
            <w:tcW w:w="964" w:type="dxa"/>
            <w:vAlign w:val="center"/>
          </w:tcPr>
          <w:p w14:paraId="30BEDC61">
            <w:pPr>
              <w:pStyle w:val="14"/>
            </w:pPr>
          </w:p>
        </w:tc>
        <w:tc>
          <w:tcPr>
            <w:tcW w:w="964" w:type="dxa"/>
            <w:vAlign w:val="center"/>
          </w:tcPr>
          <w:p w14:paraId="761B9DDE">
            <w:pPr>
              <w:pStyle w:val="14"/>
            </w:pPr>
          </w:p>
        </w:tc>
        <w:tc>
          <w:tcPr>
            <w:tcW w:w="964" w:type="dxa"/>
            <w:vAlign w:val="center"/>
          </w:tcPr>
          <w:p w14:paraId="502F2118">
            <w:pPr>
              <w:pStyle w:val="14"/>
            </w:pPr>
          </w:p>
        </w:tc>
        <w:tc>
          <w:tcPr>
            <w:tcW w:w="964" w:type="dxa"/>
            <w:vAlign w:val="center"/>
          </w:tcPr>
          <w:p w14:paraId="6F1E870D">
            <w:pPr>
              <w:pStyle w:val="14"/>
            </w:pPr>
            <w:r>
              <w:t>2.50</w:t>
            </w:r>
          </w:p>
        </w:tc>
      </w:tr>
      <w:tr w14:paraId="62DC2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452FE1">
            <w:pPr>
              <w:pStyle w:val="13"/>
            </w:pPr>
            <w:r>
              <w:t>冀财教[2024]141号/省级/2025年义教补助经费/第三实验小学公用经费</w:t>
            </w:r>
          </w:p>
        </w:tc>
        <w:tc>
          <w:tcPr>
            <w:tcW w:w="964" w:type="dxa"/>
            <w:vAlign w:val="center"/>
          </w:tcPr>
          <w:p w14:paraId="4409B11C">
            <w:pPr>
              <w:pStyle w:val="14"/>
            </w:pPr>
            <w:r>
              <w:t>47.96</w:t>
            </w:r>
          </w:p>
        </w:tc>
        <w:tc>
          <w:tcPr>
            <w:tcW w:w="1134" w:type="dxa"/>
            <w:vAlign w:val="center"/>
          </w:tcPr>
          <w:p w14:paraId="32603DBF">
            <w:pPr>
              <w:pStyle w:val="13"/>
            </w:pPr>
            <w:r>
              <w:t>多功能一体机</w:t>
            </w:r>
          </w:p>
        </w:tc>
        <w:tc>
          <w:tcPr>
            <w:tcW w:w="1134" w:type="dxa"/>
            <w:vAlign w:val="center"/>
          </w:tcPr>
          <w:p w14:paraId="0547B881">
            <w:pPr>
              <w:pStyle w:val="13"/>
            </w:pPr>
            <w:r>
              <w:t>A02020400</w:t>
            </w:r>
          </w:p>
        </w:tc>
        <w:tc>
          <w:tcPr>
            <w:tcW w:w="709" w:type="dxa"/>
            <w:vAlign w:val="center"/>
          </w:tcPr>
          <w:p w14:paraId="6938E9AF">
            <w:pPr>
              <w:pStyle w:val="12"/>
            </w:pPr>
            <w:r>
              <w:t>台</w:t>
            </w:r>
          </w:p>
        </w:tc>
        <w:tc>
          <w:tcPr>
            <w:tcW w:w="850" w:type="dxa"/>
            <w:vAlign w:val="center"/>
          </w:tcPr>
          <w:p w14:paraId="39128356">
            <w:pPr>
              <w:pStyle w:val="14"/>
            </w:pPr>
            <w:r>
              <w:t>1</w:t>
            </w:r>
          </w:p>
        </w:tc>
        <w:tc>
          <w:tcPr>
            <w:tcW w:w="850" w:type="dxa"/>
            <w:vAlign w:val="center"/>
          </w:tcPr>
          <w:p w14:paraId="064B73E0">
            <w:pPr>
              <w:pStyle w:val="14"/>
            </w:pPr>
            <w:r>
              <w:t>0.50</w:t>
            </w:r>
          </w:p>
        </w:tc>
        <w:tc>
          <w:tcPr>
            <w:tcW w:w="964" w:type="dxa"/>
            <w:vAlign w:val="center"/>
          </w:tcPr>
          <w:p w14:paraId="5E0E45D1">
            <w:pPr>
              <w:pStyle w:val="14"/>
            </w:pPr>
            <w:r>
              <w:t>0.50</w:t>
            </w:r>
          </w:p>
        </w:tc>
        <w:tc>
          <w:tcPr>
            <w:tcW w:w="964" w:type="dxa"/>
            <w:vAlign w:val="center"/>
          </w:tcPr>
          <w:p w14:paraId="1291755D">
            <w:pPr>
              <w:pStyle w:val="14"/>
            </w:pPr>
            <w:r>
              <w:t>0.50</w:t>
            </w:r>
          </w:p>
        </w:tc>
        <w:tc>
          <w:tcPr>
            <w:tcW w:w="964" w:type="dxa"/>
            <w:vAlign w:val="center"/>
          </w:tcPr>
          <w:p w14:paraId="21CBB7AE">
            <w:pPr>
              <w:pStyle w:val="14"/>
            </w:pPr>
          </w:p>
        </w:tc>
        <w:tc>
          <w:tcPr>
            <w:tcW w:w="964" w:type="dxa"/>
            <w:vAlign w:val="center"/>
          </w:tcPr>
          <w:p w14:paraId="57723CA0">
            <w:pPr>
              <w:pStyle w:val="14"/>
            </w:pPr>
          </w:p>
        </w:tc>
        <w:tc>
          <w:tcPr>
            <w:tcW w:w="964" w:type="dxa"/>
            <w:vAlign w:val="center"/>
          </w:tcPr>
          <w:p w14:paraId="1B82046B">
            <w:pPr>
              <w:pStyle w:val="14"/>
            </w:pPr>
          </w:p>
        </w:tc>
        <w:tc>
          <w:tcPr>
            <w:tcW w:w="964" w:type="dxa"/>
            <w:vAlign w:val="center"/>
          </w:tcPr>
          <w:p w14:paraId="42C152EE">
            <w:pPr>
              <w:pStyle w:val="14"/>
            </w:pPr>
          </w:p>
        </w:tc>
        <w:tc>
          <w:tcPr>
            <w:tcW w:w="964" w:type="dxa"/>
            <w:vAlign w:val="center"/>
          </w:tcPr>
          <w:p w14:paraId="4F29BDF4">
            <w:pPr>
              <w:pStyle w:val="14"/>
            </w:pPr>
          </w:p>
        </w:tc>
        <w:tc>
          <w:tcPr>
            <w:tcW w:w="964" w:type="dxa"/>
            <w:vAlign w:val="center"/>
          </w:tcPr>
          <w:p w14:paraId="7D0F630B">
            <w:pPr>
              <w:pStyle w:val="14"/>
            </w:pPr>
            <w:r>
              <w:t>0.50</w:t>
            </w:r>
          </w:p>
        </w:tc>
      </w:tr>
      <w:tr w14:paraId="13BB4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1BB719">
            <w:pPr>
              <w:pStyle w:val="13"/>
            </w:pPr>
            <w:r>
              <w:t>冀财教[2024]141号/省级/2025年义教补助经费/第三实验小学公用经费</w:t>
            </w:r>
          </w:p>
        </w:tc>
        <w:tc>
          <w:tcPr>
            <w:tcW w:w="964" w:type="dxa"/>
            <w:vAlign w:val="center"/>
          </w:tcPr>
          <w:p w14:paraId="5654A8CD">
            <w:pPr>
              <w:pStyle w:val="14"/>
            </w:pPr>
            <w:r>
              <w:t>47.96</w:t>
            </w:r>
          </w:p>
        </w:tc>
        <w:tc>
          <w:tcPr>
            <w:tcW w:w="1134" w:type="dxa"/>
            <w:vAlign w:val="center"/>
          </w:tcPr>
          <w:p w14:paraId="21520125">
            <w:pPr>
              <w:pStyle w:val="13"/>
            </w:pPr>
            <w:r>
              <w:t>A4 彩色打印机</w:t>
            </w:r>
          </w:p>
        </w:tc>
        <w:tc>
          <w:tcPr>
            <w:tcW w:w="1134" w:type="dxa"/>
            <w:vAlign w:val="center"/>
          </w:tcPr>
          <w:p w14:paraId="5EBB28ED">
            <w:pPr>
              <w:pStyle w:val="13"/>
            </w:pPr>
            <w:r>
              <w:t>A02021004</w:t>
            </w:r>
          </w:p>
        </w:tc>
        <w:tc>
          <w:tcPr>
            <w:tcW w:w="709" w:type="dxa"/>
            <w:vAlign w:val="center"/>
          </w:tcPr>
          <w:p w14:paraId="246947AF">
            <w:pPr>
              <w:pStyle w:val="12"/>
            </w:pPr>
            <w:r>
              <w:t>台</w:t>
            </w:r>
          </w:p>
        </w:tc>
        <w:tc>
          <w:tcPr>
            <w:tcW w:w="850" w:type="dxa"/>
            <w:vAlign w:val="center"/>
          </w:tcPr>
          <w:p w14:paraId="1C5799CD">
            <w:pPr>
              <w:pStyle w:val="14"/>
            </w:pPr>
            <w:r>
              <w:t>2</w:t>
            </w:r>
          </w:p>
        </w:tc>
        <w:tc>
          <w:tcPr>
            <w:tcW w:w="850" w:type="dxa"/>
            <w:vAlign w:val="center"/>
          </w:tcPr>
          <w:p w14:paraId="3934D188">
            <w:pPr>
              <w:pStyle w:val="14"/>
            </w:pPr>
            <w:r>
              <w:t>0.20</w:t>
            </w:r>
          </w:p>
        </w:tc>
        <w:tc>
          <w:tcPr>
            <w:tcW w:w="964" w:type="dxa"/>
            <w:vAlign w:val="center"/>
          </w:tcPr>
          <w:p w14:paraId="66F78228">
            <w:pPr>
              <w:pStyle w:val="14"/>
            </w:pPr>
            <w:r>
              <w:t>0.40</w:t>
            </w:r>
          </w:p>
        </w:tc>
        <w:tc>
          <w:tcPr>
            <w:tcW w:w="964" w:type="dxa"/>
            <w:vAlign w:val="center"/>
          </w:tcPr>
          <w:p w14:paraId="5B97A9A1">
            <w:pPr>
              <w:pStyle w:val="14"/>
            </w:pPr>
            <w:r>
              <w:t>0.40</w:t>
            </w:r>
          </w:p>
        </w:tc>
        <w:tc>
          <w:tcPr>
            <w:tcW w:w="964" w:type="dxa"/>
            <w:vAlign w:val="center"/>
          </w:tcPr>
          <w:p w14:paraId="6A4FAF97">
            <w:pPr>
              <w:pStyle w:val="14"/>
            </w:pPr>
          </w:p>
        </w:tc>
        <w:tc>
          <w:tcPr>
            <w:tcW w:w="964" w:type="dxa"/>
            <w:vAlign w:val="center"/>
          </w:tcPr>
          <w:p w14:paraId="135DC538">
            <w:pPr>
              <w:pStyle w:val="14"/>
            </w:pPr>
          </w:p>
        </w:tc>
        <w:tc>
          <w:tcPr>
            <w:tcW w:w="964" w:type="dxa"/>
            <w:vAlign w:val="center"/>
          </w:tcPr>
          <w:p w14:paraId="4BF2E3B7">
            <w:pPr>
              <w:pStyle w:val="14"/>
            </w:pPr>
          </w:p>
        </w:tc>
        <w:tc>
          <w:tcPr>
            <w:tcW w:w="964" w:type="dxa"/>
            <w:vAlign w:val="center"/>
          </w:tcPr>
          <w:p w14:paraId="7D0D1D00">
            <w:pPr>
              <w:pStyle w:val="14"/>
            </w:pPr>
          </w:p>
        </w:tc>
        <w:tc>
          <w:tcPr>
            <w:tcW w:w="964" w:type="dxa"/>
            <w:vAlign w:val="center"/>
          </w:tcPr>
          <w:p w14:paraId="27CE1ADE">
            <w:pPr>
              <w:pStyle w:val="14"/>
            </w:pPr>
          </w:p>
        </w:tc>
        <w:tc>
          <w:tcPr>
            <w:tcW w:w="964" w:type="dxa"/>
            <w:vAlign w:val="center"/>
          </w:tcPr>
          <w:p w14:paraId="0F40A7B5">
            <w:pPr>
              <w:pStyle w:val="14"/>
            </w:pPr>
            <w:r>
              <w:t>0.40</w:t>
            </w:r>
          </w:p>
        </w:tc>
      </w:tr>
      <w:tr w14:paraId="1D1F1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9DB8D1">
            <w:pPr>
              <w:pStyle w:val="13"/>
            </w:pPr>
            <w:r>
              <w:t>冀财教[2024]141号/省级/2025年义教补助经费/第三实验小学公用经费</w:t>
            </w:r>
          </w:p>
        </w:tc>
        <w:tc>
          <w:tcPr>
            <w:tcW w:w="964" w:type="dxa"/>
            <w:vAlign w:val="center"/>
          </w:tcPr>
          <w:p w14:paraId="217F76BC">
            <w:pPr>
              <w:pStyle w:val="14"/>
            </w:pPr>
            <w:r>
              <w:t>47.96</w:t>
            </w:r>
          </w:p>
        </w:tc>
        <w:tc>
          <w:tcPr>
            <w:tcW w:w="1134" w:type="dxa"/>
            <w:vAlign w:val="center"/>
          </w:tcPr>
          <w:p w14:paraId="2927E414">
            <w:pPr>
              <w:pStyle w:val="13"/>
            </w:pPr>
            <w:r>
              <w:t>碎纸机</w:t>
            </w:r>
          </w:p>
        </w:tc>
        <w:tc>
          <w:tcPr>
            <w:tcW w:w="1134" w:type="dxa"/>
            <w:vAlign w:val="center"/>
          </w:tcPr>
          <w:p w14:paraId="157F5CC6">
            <w:pPr>
              <w:pStyle w:val="13"/>
            </w:pPr>
            <w:r>
              <w:t>A02021301</w:t>
            </w:r>
          </w:p>
        </w:tc>
        <w:tc>
          <w:tcPr>
            <w:tcW w:w="709" w:type="dxa"/>
            <w:vAlign w:val="center"/>
          </w:tcPr>
          <w:p w14:paraId="05D6D3C1">
            <w:pPr>
              <w:pStyle w:val="12"/>
            </w:pPr>
            <w:r>
              <w:t>台</w:t>
            </w:r>
          </w:p>
        </w:tc>
        <w:tc>
          <w:tcPr>
            <w:tcW w:w="850" w:type="dxa"/>
            <w:vAlign w:val="center"/>
          </w:tcPr>
          <w:p w14:paraId="413F06D5">
            <w:pPr>
              <w:pStyle w:val="14"/>
            </w:pPr>
            <w:r>
              <w:t>3</w:t>
            </w:r>
          </w:p>
        </w:tc>
        <w:tc>
          <w:tcPr>
            <w:tcW w:w="850" w:type="dxa"/>
            <w:vAlign w:val="center"/>
          </w:tcPr>
          <w:p w14:paraId="37E6196F">
            <w:pPr>
              <w:pStyle w:val="14"/>
            </w:pPr>
            <w:r>
              <w:t>0.07</w:t>
            </w:r>
          </w:p>
        </w:tc>
        <w:tc>
          <w:tcPr>
            <w:tcW w:w="964" w:type="dxa"/>
            <w:vAlign w:val="center"/>
          </w:tcPr>
          <w:p w14:paraId="279D52BC">
            <w:pPr>
              <w:pStyle w:val="14"/>
            </w:pPr>
            <w:r>
              <w:t>0.21</w:t>
            </w:r>
          </w:p>
        </w:tc>
        <w:tc>
          <w:tcPr>
            <w:tcW w:w="964" w:type="dxa"/>
            <w:vAlign w:val="center"/>
          </w:tcPr>
          <w:p w14:paraId="2C229C99">
            <w:pPr>
              <w:pStyle w:val="14"/>
            </w:pPr>
            <w:r>
              <w:t>0.21</w:t>
            </w:r>
          </w:p>
        </w:tc>
        <w:tc>
          <w:tcPr>
            <w:tcW w:w="964" w:type="dxa"/>
            <w:vAlign w:val="center"/>
          </w:tcPr>
          <w:p w14:paraId="2A71D268">
            <w:pPr>
              <w:pStyle w:val="14"/>
            </w:pPr>
          </w:p>
        </w:tc>
        <w:tc>
          <w:tcPr>
            <w:tcW w:w="964" w:type="dxa"/>
            <w:vAlign w:val="center"/>
          </w:tcPr>
          <w:p w14:paraId="27CD8DB6">
            <w:pPr>
              <w:pStyle w:val="14"/>
            </w:pPr>
          </w:p>
        </w:tc>
        <w:tc>
          <w:tcPr>
            <w:tcW w:w="964" w:type="dxa"/>
            <w:vAlign w:val="center"/>
          </w:tcPr>
          <w:p w14:paraId="0F7E6B64">
            <w:pPr>
              <w:pStyle w:val="14"/>
            </w:pPr>
          </w:p>
        </w:tc>
        <w:tc>
          <w:tcPr>
            <w:tcW w:w="964" w:type="dxa"/>
            <w:vAlign w:val="center"/>
          </w:tcPr>
          <w:p w14:paraId="547E8486">
            <w:pPr>
              <w:pStyle w:val="14"/>
            </w:pPr>
          </w:p>
        </w:tc>
        <w:tc>
          <w:tcPr>
            <w:tcW w:w="964" w:type="dxa"/>
            <w:vAlign w:val="center"/>
          </w:tcPr>
          <w:p w14:paraId="0371F4F8">
            <w:pPr>
              <w:pStyle w:val="14"/>
            </w:pPr>
          </w:p>
        </w:tc>
        <w:tc>
          <w:tcPr>
            <w:tcW w:w="964" w:type="dxa"/>
            <w:vAlign w:val="center"/>
          </w:tcPr>
          <w:p w14:paraId="55DF4F5B">
            <w:pPr>
              <w:pStyle w:val="14"/>
            </w:pPr>
            <w:r>
              <w:t>0.21</w:t>
            </w:r>
          </w:p>
        </w:tc>
      </w:tr>
      <w:tr w14:paraId="421A3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5AED67">
            <w:pPr>
              <w:pStyle w:val="13"/>
            </w:pPr>
            <w:r>
              <w:t>冀财教[2024]141号/省级/2025年义教补助经费/第三实验小学公用经费</w:t>
            </w:r>
          </w:p>
        </w:tc>
        <w:tc>
          <w:tcPr>
            <w:tcW w:w="964" w:type="dxa"/>
            <w:vAlign w:val="center"/>
          </w:tcPr>
          <w:p w14:paraId="28A08DDE">
            <w:pPr>
              <w:pStyle w:val="14"/>
            </w:pPr>
            <w:r>
              <w:t>47.96</w:t>
            </w:r>
          </w:p>
        </w:tc>
        <w:tc>
          <w:tcPr>
            <w:tcW w:w="1134" w:type="dxa"/>
            <w:vAlign w:val="center"/>
          </w:tcPr>
          <w:p w14:paraId="21B837F0">
            <w:pPr>
              <w:pStyle w:val="13"/>
            </w:pPr>
            <w:r>
              <w:t>办公桌</w:t>
            </w:r>
          </w:p>
        </w:tc>
        <w:tc>
          <w:tcPr>
            <w:tcW w:w="1134" w:type="dxa"/>
            <w:vAlign w:val="center"/>
          </w:tcPr>
          <w:p w14:paraId="3EDAA9B3">
            <w:pPr>
              <w:pStyle w:val="13"/>
            </w:pPr>
            <w:r>
              <w:t>A05010201</w:t>
            </w:r>
          </w:p>
        </w:tc>
        <w:tc>
          <w:tcPr>
            <w:tcW w:w="709" w:type="dxa"/>
            <w:vAlign w:val="center"/>
          </w:tcPr>
          <w:p w14:paraId="12C0CBBC">
            <w:pPr>
              <w:pStyle w:val="12"/>
            </w:pPr>
            <w:r>
              <w:t>张</w:t>
            </w:r>
          </w:p>
        </w:tc>
        <w:tc>
          <w:tcPr>
            <w:tcW w:w="850" w:type="dxa"/>
            <w:vAlign w:val="center"/>
          </w:tcPr>
          <w:p w14:paraId="564AE836">
            <w:pPr>
              <w:pStyle w:val="14"/>
            </w:pPr>
            <w:r>
              <w:t>12</w:t>
            </w:r>
          </w:p>
        </w:tc>
        <w:tc>
          <w:tcPr>
            <w:tcW w:w="850" w:type="dxa"/>
            <w:vAlign w:val="center"/>
          </w:tcPr>
          <w:p w14:paraId="6972C061">
            <w:pPr>
              <w:pStyle w:val="14"/>
            </w:pPr>
            <w:r>
              <w:t>0.07</w:t>
            </w:r>
          </w:p>
        </w:tc>
        <w:tc>
          <w:tcPr>
            <w:tcW w:w="964" w:type="dxa"/>
            <w:vAlign w:val="center"/>
          </w:tcPr>
          <w:p w14:paraId="39E52AEA">
            <w:pPr>
              <w:pStyle w:val="14"/>
            </w:pPr>
            <w:r>
              <w:t>0.84</w:t>
            </w:r>
          </w:p>
        </w:tc>
        <w:tc>
          <w:tcPr>
            <w:tcW w:w="964" w:type="dxa"/>
            <w:vAlign w:val="center"/>
          </w:tcPr>
          <w:p w14:paraId="0FC6592E">
            <w:pPr>
              <w:pStyle w:val="14"/>
            </w:pPr>
            <w:r>
              <w:t>0.84</w:t>
            </w:r>
          </w:p>
        </w:tc>
        <w:tc>
          <w:tcPr>
            <w:tcW w:w="964" w:type="dxa"/>
            <w:vAlign w:val="center"/>
          </w:tcPr>
          <w:p w14:paraId="33337C8E">
            <w:pPr>
              <w:pStyle w:val="14"/>
            </w:pPr>
          </w:p>
        </w:tc>
        <w:tc>
          <w:tcPr>
            <w:tcW w:w="964" w:type="dxa"/>
            <w:vAlign w:val="center"/>
          </w:tcPr>
          <w:p w14:paraId="5CDDC04A">
            <w:pPr>
              <w:pStyle w:val="14"/>
            </w:pPr>
          </w:p>
        </w:tc>
        <w:tc>
          <w:tcPr>
            <w:tcW w:w="964" w:type="dxa"/>
            <w:vAlign w:val="center"/>
          </w:tcPr>
          <w:p w14:paraId="7F927835">
            <w:pPr>
              <w:pStyle w:val="14"/>
            </w:pPr>
          </w:p>
        </w:tc>
        <w:tc>
          <w:tcPr>
            <w:tcW w:w="964" w:type="dxa"/>
            <w:vAlign w:val="center"/>
          </w:tcPr>
          <w:p w14:paraId="07CFDA88">
            <w:pPr>
              <w:pStyle w:val="14"/>
            </w:pPr>
          </w:p>
        </w:tc>
        <w:tc>
          <w:tcPr>
            <w:tcW w:w="964" w:type="dxa"/>
            <w:vAlign w:val="center"/>
          </w:tcPr>
          <w:p w14:paraId="15B24624">
            <w:pPr>
              <w:pStyle w:val="14"/>
            </w:pPr>
          </w:p>
        </w:tc>
        <w:tc>
          <w:tcPr>
            <w:tcW w:w="964" w:type="dxa"/>
            <w:vAlign w:val="center"/>
          </w:tcPr>
          <w:p w14:paraId="5E129090">
            <w:pPr>
              <w:pStyle w:val="14"/>
            </w:pPr>
            <w:r>
              <w:t>0.84</w:t>
            </w:r>
          </w:p>
        </w:tc>
      </w:tr>
      <w:tr w14:paraId="224CB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1EADC7">
            <w:pPr>
              <w:pStyle w:val="13"/>
            </w:pPr>
            <w:r>
              <w:t>冀财教[2024]141号/省级/2025年义教补助经费/第三实验小学公用经费</w:t>
            </w:r>
          </w:p>
        </w:tc>
        <w:tc>
          <w:tcPr>
            <w:tcW w:w="964" w:type="dxa"/>
            <w:vAlign w:val="center"/>
          </w:tcPr>
          <w:p w14:paraId="5560CC8F">
            <w:pPr>
              <w:pStyle w:val="14"/>
            </w:pPr>
            <w:r>
              <w:t>47.96</w:t>
            </w:r>
          </w:p>
        </w:tc>
        <w:tc>
          <w:tcPr>
            <w:tcW w:w="1134" w:type="dxa"/>
            <w:vAlign w:val="center"/>
          </w:tcPr>
          <w:p w14:paraId="6B0E40E3">
            <w:pPr>
              <w:pStyle w:val="13"/>
            </w:pPr>
            <w:r>
              <w:t>会议桌</w:t>
            </w:r>
          </w:p>
        </w:tc>
        <w:tc>
          <w:tcPr>
            <w:tcW w:w="1134" w:type="dxa"/>
            <w:vAlign w:val="center"/>
          </w:tcPr>
          <w:p w14:paraId="26E8F2E2">
            <w:pPr>
              <w:pStyle w:val="13"/>
            </w:pPr>
            <w:r>
              <w:t>A05010202</w:t>
            </w:r>
          </w:p>
        </w:tc>
        <w:tc>
          <w:tcPr>
            <w:tcW w:w="709" w:type="dxa"/>
            <w:vAlign w:val="center"/>
          </w:tcPr>
          <w:p w14:paraId="108F29F9">
            <w:pPr>
              <w:pStyle w:val="12"/>
            </w:pPr>
            <w:r>
              <w:t>张</w:t>
            </w:r>
          </w:p>
        </w:tc>
        <w:tc>
          <w:tcPr>
            <w:tcW w:w="850" w:type="dxa"/>
            <w:vAlign w:val="center"/>
          </w:tcPr>
          <w:p w14:paraId="5922D52C">
            <w:pPr>
              <w:pStyle w:val="14"/>
            </w:pPr>
            <w:r>
              <w:t>2</w:t>
            </w:r>
          </w:p>
        </w:tc>
        <w:tc>
          <w:tcPr>
            <w:tcW w:w="850" w:type="dxa"/>
            <w:vAlign w:val="center"/>
          </w:tcPr>
          <w:p w14:paraId="35627A59">
            <w:pPr>
              <w:pStyle w:val="14"/>
            </w:pPr>
            <w:r>
              <w:t>0.50</w:t>
            </w:r>
          </w:p>
        </w:tc>
        <w:tc>
          <w:tcPr>
            <w:tcW w:w="964" w:type="dxa"/>
            <w:vAlign w:val="center"/>
          </w:tcPr>
          <w:p w14:paraId="5084F15E">
            <w:pPr>
              <w:pStyle w:val="14"/>
            </w:pPr>
            <w:r>
              <w:t>1.00</w:t>
            </w:r>
          </w:p>
        </w:tc>
        <w:tc>
          <w:tcPr>
            <w:tcW w:w="964" w:type="dxa"/>
            <w:vAlign w:val="center"/>
          </w:tcPr>
          <w:p w14:paraId="13A5F285">
            <w:pPr>
              <w:pStyle w:val="14"/>
            </w:pPr>
            <w:r>
              <w:t>1.00</w:t>
            </w:r>
          </w:p>
        </w:tc>
        <w:tc>
          <w:tcPr>
            <w:tcW w:w="964" w:type="dxa"/>
            <w:vAlign w:val="center"/>
          </w:tcPr>
          <w:p w14:paraId="047BF0E4">
            <w:pPr>
              <w:pStyle w:val="14"/>
            </w:pPr>
          </w:p>
        </w:tc>
        <w:tc>
          <w:tcPr>
            <w:tcW w:w="964" w:type="dxa"/>
            <w:vAlign w:val="center"/>
          </w:tcPr>
          <w:p w14:paraId="503C47B6">
            <w:pPr>
              <w:pStyle w:val="14"/>
            </w:pPr>
          </w:p>
        </w:tc>
        <w:tc>
          <w:tcPr>
            <w:tcW w:w="964" w:type="dxa"/>
            <w:vAlign w:val="center"/>
          </w:tcPr>
          <w:p w14:paraId="60DC6B44">
            <w:pPr>
              <w:pStyle w:val="14"/>
            </w:pPr>
          </w:p>
        </w:tc>
        <w:tc>
          <w:tcPr>
            <w:tcW w:w="964" w:type="dxa"/>
            <w:vAlign w:val="center"/>
          </w:tcPr>
          <w:p w14:paraId="3B27BB66">
            <w:pPr>
              <w:pStyle w:val="14"/>
            </w:pPr>
          </w:p>
        </w:tc>
        <w:tc>
          <w:tcPr>
            <w:tcW w:w="964" w:type="dxa"/>
            <w:vAlign w:val="center"/>
          </w:tcPr>
          <w:p w14:paraId="0230194E">
            <w:pPr>
              <w:pStyle w:val="14"/>
            </w:pPr>
          </w:p>
        </w:tc>
        <w:tc>
          <w:tcPr>
            <w:tcW w:w="964" w:type="dxa"/>
            <w:vAlign w:val="center"/>
          </w:tcPr>
          <w:p w14:paraId="76CCE853">
            <w:pPr>
              <w:pStyle w:val="14"/>
            </w:pPr>
            <w:r>
              <w:t>1.00</w:t>
            </w:r>
          </w:p>
        </w:tc>
      </w:tr>
      <w:tr w14:paraId="37712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E08A1F">
            <w:pPr>
              <w:pStyle w:val="13"/>
            </w:pPr>
            <w:r>
              <w:t>冀财教[2024]141号/省级/2025年义教补助经费/第三实验小学公用经费</w:t>
            </w:r>
          </w:p>
        </w:tc>
        <w:tc>
          <w:tcPr>
            <w:tcW w:w="964" w:type="dxa"/>
            <w:vAlign w:val="center"/>
          </w:tcPr>
          <w:p w14:paraId="64797265">
            <w:pPr>
              <w:pStyle w:val="14"/>
            </w:pPr>
            <w:r>
              <w:t>47.96</w:t>
            </w:r>
          </w:p>
        </w:tc>
        <w:tc>
          <w:tcPr>
            <w:tcW w:w="1134" w:type="dxa"/>
            <w:vAlign w:val="center"/>
          </w:tcPr>
          <w:p w14:paraId="4FA5232A">
            <w:pPr>
              <w:pStyle w:val="13"/>
            </w:pPr>
            <w:r>
              <w:t>办公椅</w:t>
            </w:r>
          </w:p>
        </w:tc>
        <w:tc>
          <w:tcPr>
            <w:tcW w:w="1134" w:type="dxa"/>
            <w:vAlign w:val="center"/>
          </w:tcPr>
          <w:p w14:paraId="18D52A95">
            <w:pPr>
              <w:pStyle w:val="13"/>
            </w:pPr>
            <w:r>
              <w:t>A05010301</w:t>
            </w:r>
          </w:p>
        </w:tc>
        <w:tc>
          <w:tcPr>
            <w:tcW w:w="709" w:type="dxa"/>
            <w:vAlign w:val="center"/>
          </w:tcPr>
          <w:p w14:paraId="413CC212">
            <w:pPr>
              <w:pStyle w:val="12"/>
            </w:pPr>
            <w:r>
              <w:t>把</w:t>
            </w:r>
          </w:p>
        </w:tc>
        <w:tc>
          <w:tcPr>
            <w:tcW w:w="850" w:type="dxa"/>
            <w:vAlign w:val="center"/>
          </w:tcPr>
          <w:p w14:paraId="7E66E0CD">
            <w:pPr>
              <w:pStyle w:val="14"/>
            </w:pPr>
            <w:r>
              <w:t>12</w:t>
            </w:r>
          </w:p>
        </w:tc>
        <w:tc>
          <w:tcPr>
            <w:tcW w:w="850" w:type="dxa"/>
            <w:vAlign w:val="center"/>
          </w:tcPr>
          <w:p w14:paraId="7B68326D">
            <w:pPr>
              <w:pStyle w:val="14"/>
            </w:pPr>
            <w:r>
              <w:t>0.03</w:t>
            </w:r>
          </w:p>
        </w:tc>
        <w:tc>
          <w:tcPr>
            <w:tcW w:w="964" w:type="dxa"/>
            <w:vAlign w:val="center"/>
          </w:tcPr>
          <w:p w14:paraId="11F2ED06">
            <w:pPr>
              <w:pStyle w:val="14"/>
            </w:pPr>
            <w:r>
              <w:t>0.36</w:t>
            </w:r>
          </w:p>
        </w:tc>
        <w:tc>
          <w:tcPr>
            <w:tcW w:w="964" w:type="dxa"/>
            <w:vAlign w:val="center"/>
          </w:tcPr>
          <w:p w14:paraId="09E0ACF5">
            <w:pPr>
              <w:pStyle w:val="14"/>
            </w:pPr>
            <w:r>
              <w:t>0.36</w:t>
            </w:r>
          </w:p>
        </w:tc>
        <w:tc>
          <w:tcPr>
            <w:tcW w:w="964" w:type="dxa"/>
            <w:vAlign w:val="center"/>
          </w:tcPr>
          <w:p w14:paraId="55A74351">
            <w:pPr>
              <w:pStyle w:val="14"/>
            </w:pPr>
          </w:p>
        </w:tc>
        <w:tc>
          <w:tcPr>
            <w:tcW w:w="964" w:type="dxa"/>
            <w:vAlign w:val="center"/>
          </w:tcPr>
          <w:p w14:paraId="2317794D">
            <w:pPr>
              <w:pStyle w:val="14"/>
            </w:pPr>
          </w:p>
        </w:tc>
        <w:tc>
          <w:tcPr>
            <w:tcW w:w="964" w:type="dxa"/>
            <w:vAlign w:val="center"/>
          </w:tcPr>
          <w:p w14:paraId="0BDDE49A">
            <w:pPr>
              <w:pStyle w:val="14"/>
            </w:pPr>
          </w:p>
        </w:tc>
        <w:tc>
          <w:tcPr>
            <w:tcW w:w="964" w:type="dxa"/>
            <w:vAlign w:val="center"/>
          </w:tcPr>
          <w:p w14:paraId="7281F7D3">
            <w:pPr>
              <w:pStyle w:val="14"/>
            </w:pPr>
          </w:p>
        </w:tc>
        <w:tc>
          <w:tcPr>
            <w:tcW w:w="964" w:type="dxa"/>
            <w:vAlign w:val="center"/>
          </w:tcPr>
          <w:p w14:paraId="53097340">
            <w:pPr>
              <w:pStyle w:val="14"/>
            </w:pPr>
          </w:p>
        </w:tc>
        <w:tc>
          <w:tcPr>
            <w:tcW w:w="964" w:type="dxa"/>
            <w:vAlign w:val="center"/>
          </w:tcPr>
          <w:p w14:paraId="0128BDD0">
            <w:pPr>
              <w:pStyle w:val="14"/>
            </w:pPr>
            <w:r>
              <w:t>0.36</w:t>
            </w:r>
          </w:p>
        </w:tc>
      </w:tr>
      <w:tr w14:paraId="2145E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040615">
            <w:pPr>
              <w:pStyle w:val="13"/>
            </w:pPr>
            <w:r>
              <w:t>冀财教[2024]141号/省级/2025年义教补助经费/第三实验小学公用经费</w:t>
            </w:r>
          </w:p>
        </w:tc>
        <w:tc>
          <w:tcPr>
            <w:tcW w:w="964" w:type="dxa"/>
            <w:vAlign w:val="center"/>
          </w:tcPr>
          <w:p w14:paraId="21018C0C">
            <w:pPr>
              <w:pStyle w:val="14"/>
            </w:pPr>
            <w:r>
              <w:t>47.96</w:t>
            </w:r>
          </w:p>
        </w:tc>
        <w:tc>
          <w:tcPr>
            <w:tcW w:w="1134" w:type="dxa"/>
            <w:vAlign w:val="center"/>
          </w:tcPr>
          <w:p w14:paraId="131A3B6D">
            <w:pPr>
              <w:pStyle w:val="13"/>
            </w:pPr>
            <w:r>
              <w:t>会议椅</w:t>
            </w:r>
          </w:p>
        </w:tc>
        <w:tc>
          <w:tcPr>
            <w:tcW w:w="1134" w:type="dxa"/>
            <w:vAlign w:val="center"/>
          </w:tcPr>
          <w:p w14:paraId="49F38492">
            <w:pPr>
              <w:pStyle w:val="13"/>
            </w:pPr>
            <w:r>
              <w:t>A05010303</w:t>
            </w:r>
          </w:p>
        </w:tc>
        <w:tc>
          <w:tcPr>
            <w:tcW w:w="709" w:type="dxa"/>
            <w:vAlign w:val="center"/>
          </w:tcPr>
          <w:p w14:paraId="110326EA">
            <w:pPr>
              <w:pStyle w:val="12"/>
            </w:pPr>
            <w:r>
              <w:t>把</w:t>
            </w:r>
          </w:p>
        </w:tc>
        <w:tc>
          <w:tcPr>
            <w:tcW w:w="850" w:type="dxa"/>
            <w:vAlign w:val="center"/>
          </w:tcPr>
          <w:p w14:paraId="7ADFB34C">
            <w:pPr>
              <w:pStyle w:val="14"/>
            </w:pPr>
            <w:r>
              <w:t>14</w:t>
            </w:r>
          </w:p>
        </w:tc>
        <w:tc>
          <w:tcPr>
            <w:tcW w:w="850" w:type="dxa"/>
            <w:vAlign w:val="center"/>
          </w:tcPr>
          <w:p w14:paraId="2121F4CA">
            <w:pPr>
              <w:pStyle w:val="14"/>
            </w:pPr>
            <w:r>
              <w:t>0.05</w:t>
            </w:r>
          </w:p>
        </w:tc>
        <w:tc>
          <w:tcPr>
            <w:tcW w:w="964" w:type="dxa"/>
            <w:vAlign w:val="center"/>
          </w:tcPr>
          <w:p w14:paraId="3519F54D">
            <w:pPr>
              <w:pStyle w:val="14"/>
            </w:pPr>
            <w:r>
              <w:t>0.70</w:t>
            </w:r>
          </w:p>
        </w:tc>
        <w:tc>
          <w:tcPr>
            <w:tcW w:w="964" w:type="dxa"/>
            <w:vAlign w:val="center"/>
          </w:tcPr>
          <w:p w14:paraId="0A2B1EAF">
            <w:pPr>
              <w:pStyle w:val="14"/>
            </w:pPr>
            <w:r>
              <w:t>0.70</w:t>
            </w:r>
          </w:p>
        </w:tc>
        <w:tc>
          <w:tcPr>
            <w:tcW w:w="964" w:type="dxa"/>
            <w:vAlign w:val="center"/>
          </w:tcPr>
          <w:p w14:paraId="28266EDC">
            <w:pPr>
              <w:pStyle w:val="14"/>
            </w:pPr>
          </w:p>
        </w:tc>
        <w:tc>
          <w:tcPr>
            <w:tcW w:w="964" w:type="dxa"/>
            <w:vAlign w:val="center"/>
          </w:tcPr>
          <w:p w14:paraId="72F41504">
            <w:pPr>
              <w:pStyle w:val="14"/>
            </w:pPr>
          </w:p>
        </w:tc>
        <w:tc>
          <w:tcPr>
            <w:tcW w:w="964" w:type="dxa"/>
            <w:vAlign w:val="center"/>
          </w:tcPr>
          <w:p w14:paraId="20B576A0">
            <w:pPr>
              <w:pStyle w:val="14"/>
            </w:pPr>
          </w:p>
        </w:tc>
        <w:tc>
          <w:tcPr>
            <w:tcW w:w="964" w:type="dxa"/>
            <w:vAlign w:val="center"/>
          </w:tcPr>
          <w:p w14:paraId="36A2D7EF">
            <w:pPr>
              <w:pStyle w:val="14"/>
            </w:pPr>
          </w:p>
        </w:tc>
        <w:tc>
          <w:tcPr>
            <w:tcW w:w="964" w:type="dxa"/>
            <w:vAlign w:val="center"/>
          </w:tcPr>
          <w:p w14:paraId="74CB03A2">
            <w:pPr>
              <w:pStyle w:val="14"/>
            </w:pPr>
          </w:p>
        </w:tc>
        <w:tc>
          <w:tcPr>
            <w:tcW w:w="964" w:type="dxa"/>
            <w:vAlign w:val="center"/>
          </w:tcPr>
          <w:p w14:paraId="01704A19">
            <w:pPr>
              <w:pStyle w:val="14"/>
            </w:pPr>
            <w:r>
              <w:t>0.70</w:t>
            </w:r>
          </w:p>
        </w:tc>
      </w:tr>
      <w:tr w14:paraId="7B7B9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8AB7D9">
            <w:pPr>
              <w:pStyle w:val="13"/>
            </w:pPr>
            <w:r>
              <w:t>冀财教[2024]141号/省级/2025年义教补助经费/第三实验小学公用经费</w:t>
            </w:r>
          </w:p>
        </w:tc>
        <w:tc>
          <w:tcPr>
            <w:tcW w:w="964" w:type="dxa"/>
            <w:vAlign w:val="center"/>
          </w:tcPr>
          <w:p w14:paraId="5D17C970">
            <w:pPr>
              <w:pStyle w:val="14"/>
            </w:pPr>
            <w:r>
              <w:t>47.96</w:t>
            </w:r>
          </w:p>
        </w:tc>
        <w:tc>
          <w:tcPr>
            <w:tcW w:w="1134" w:type="dxa"/>
            <w:vAlign w:val="center"/>
          </w:tcPr>
          <w:p w14:paraId="1C3D8A90">
            <w:pPr>
              <w:pStyle w:val="13"/>
            </w:pPr>
            <w:r>
              <w:t>文件柜</w:t>
            </w:r>
          </w:p>
        </w:tc>
        <w:tc>
          <w:tcPr>
            <w:tcW w:w="1134" w:type="dxa"/>
            <w:vAlign w:val="center"/>
          </w:tcPr>
          <w:p w14:paraId="10ABA124">
            <w:pPr>
              <w:pStyle w:val="13"/>
            </w:pPr>
            <w:r>
              <w:t>A05010502</w:t>
            </w:r>
          </w:p>
        </w:tc>
        <w:tc>
          <w:tcPr>
            <w:tcW w:w="709" w:type="dxa"/>
            <w:vAlign w:val="center"/>
          </w:tcPr>
          <w:p w14:paraId="27D0F15B">
            <w:pPr>
              <w:pStyle w:val="12"/>
            </w:pPr>
            <w:r>
              <w:t>个</w:t>
            </w:r>
          </w:p>
        </w:tc>
        <w:tc>
          <w:tcPr>
            <w:tcW w:w="850" w:type="dxa"/>
            <w:vAlign w:val="center"/>
          </w:tcPr>
          <w:p w14:paraId="0188D96A">
            <w:pPr>
              <w:pStyle w:val="14"/>
            </w:pPr>
            <w:r>
              <w:t>40</w:t>
            </w:r>
          </w:p>
        </w:tc>
        <w:tc>
          <w:tcPr>
            <w:tcW w:w="850" w:type="dxa"/>
            <w:vAlign w:val="center"/>
          </w:tcPr>
          <w:p w14:paraId="33C20B4C">
            <w:pPr>
              <w:pStyle w:val="14"/>
            </w:pPr>
            <w:r>
              <w:t>0.05</w:t>
            </w:r>
          </w:p>
        </w:tc>
        <w:tc>
          <w:tcPr>
            <w:tcW w:w="964" w:type="dxa"/>
            <w:vAlign w:val="center"/>
          </w:tcPr>
          <w:p w14:paraId="29F13D3D">
            <w:pPr>
              <w:pStyle w:val="14"/>
            </w:pPr>
            <w:r>
              <w:t>2.00</w:t>
            </w:r>
          </w:p>
        </w:tc>
        <w:tc>
          <w:tcPr>
            <w:tcW w:w="964" w:type="dxa"/>
            <w:vAlign w:val="center"/>
          </w:tcPr>
          <w:p w14:paraId="3D76E8A6">
            <w:pPr>
              <w:pStyle w:val="14"/>
            </w:pPr>
            <w:r>
              <w:t>2.00</w:t>
            </w:r>
          </w:p>
        </w:tc>
        <w:tc>
          <w:tcPr>
            <w:tcW w:w="964" w:type="dxa"/>
            <w:vAlign w:val="center"/>
          </w:tcPr>
          <w:p w14:paraId="6E59B505">
            <w:pPr>
              <w:pStyle w:val="14"/>
            </w:pPr>
          </w:p>
        </w:tc>
        <w:tc>
          <w:tcPr>
            <w:tcW w:w="964" w:type="dxa"/>
            <w:vAlign w:val="center"/>
          </w:tcPr>
          <w:p w14:paraId="0B281358">
            <w:pPr>
              <w:pStyle w:val="14"/>
            </w:pPr>
          </w:p>
        </w:tc>
        <w:tc>
          <w:tcPr>
            <w:tcW w:w="964" w:type="dxa"/>
            <w:vAlign w:val="center"/>
          </w:tcPr>
          <w:p w14:paraId="55667485">
            <w:pPr>
              <w:pStyle w:val="14"/>
            </w:pPr>
          </w:p>
        </w:tc>
        <w:tc>
          <w:tcPr>
            <w:tcW w:w="964" w:type="dxa"/>
            <w:vAlign w:val="center"/>
          </w:tcPr>
          <w:p w14:paraId="7DDAB25F">
            <w:pPr>
              <w:pStyle w:val="14"/>
            </w:pPr>
          </w:p>
        </w:tc>
        <w:tc>
          <w:tcPr>
            <w:tcW w:w="964" w:type="dxa"/>
            <w:vAlign w:val="center"/>
          </w:tcPr>
          <w:p w14:paraId="773F8C4D">
            <w:pPr>
              <w:pStyle w:val="14"/>
            </w:pPr>
          </w:p>
        </w:tc>
        <w:tc>
          <w:tcPr>
            <w:tcW w:w="964" w:type="dxa"/>
            <w:vAlign w:val="center"/>
          </w:tcPr>
          <w:p w14:paraId="4EE0EC34">
            <w:pPr>
              <w:pStyle w:val="14"/>
            </w:pPr>
            <w:r>
              <w:t>2.00</w:t>
            </w:r>
          </w:p>
        </w:tc>
      </w:tr>
    </w:tbl>
    <w:p w14:paraId="472EB10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083AA3">
      <w:pPr>
        <w:spacing w:before="0" w:after="0"/>
        <w:ind w:firstLine="640"/>
        <w:jc w:val="left"/>
        <w:outlineLvl w:val="9"/>
      </w:pPr>
      <w:r>
        <w:rPr>
          <w:rFonts w:ascii="Times New Roman" w:hAnsi="Times New Roman" w:eastAsia="方正仿宋_GBK" w:cs="Times New Roman"/>
          <w:color w:val="000000"/>
          <w:sz w:val="32"/>
        </w:rPr>
        <w:t xml:space="preserve"> </w:t>
      </w:r>
    </w:p>
    <w:p w14:paraId="1B4B766A">
      <w:pPr>
        <w:spacing w:before="10" w:after="10" w:line="240" w:lineRule="auto"/>
        <w:ind w:firstLine="640"/>
        <w:jc w:val="left"/>
        <w:outlineLvl w:val="5"/>
      </w:pPr>
      <w:r>
        <w:rPr>
          <w:rFonts w:ascii="黑体" w:hAnsi="黑体" w:eastAsia="黑体" w:cs="黑体"/>
          <w:color w:val="000000"/>
          <w:sz w:val="32"/>
        </w:rPr>
        <w:t>七、国有资产信息</w:t>
      </w:r>
    </w:p>
    <w:p w14:paraId="1790E688">
      <w:pPr>
        <w:spacing w:before="0" w:after="0" w:line="500" w:lineRule="exact"/>
        <w:ind w:firstLine="560"/>
        <w:jc w:val="left"/>
        <w:outlineLvl w:val="9"/>
      </w:pPr>
      <w:r>
        <w:rPr>
          <w:rFonts w:ascii="Times New Roman" w:hAnsi="Times New Roman" w:eastAsia="方正仿宋_GBK" w:cs="Times New Roman"/>
          <w:b w:val="0"/>
          <w:color w:val="000000"/>
          <w:sz w:val="28"/>
        </w:rPr>
        <w:t>隆尧县第三实验小学上年末固定资产金额为0.00万元（详见下表）。本年度拟购置固定资产总额为</w:t>
      </w:r>
      <w:r>
        <w:rPr>
          <w:rFonts w:hint="eastAsia" w:eastAsia="方正仿宋_GBK" w:cs="Times New Roman"/>
          <w:b w:val="0"/>
          <w:color w:val="000000"/>
          <w:sz w:val="28"/>
          <w:lang w:val="en-US" w:eastAsia="zh-CN"/>
        </w:rPr>
        <w:t>9.79</w:t>
      </w:r>
      <w:r>
        <w:rPr>
          <w:rFonts w:ascii="Times New Roman" w:hAnsi="Times New Roman" w:eastAsia="方正仿宋_GBK" w:cs="Times New Roman"/>
          <w:b w:val="0"/>
          <w:color w:val="000000"/>
          <w:sz w:val="28"/>
        </w:rPr>
        <w:t>万元，已按要求列入政府采购预算，详见政府采购预算表。</w:t>
      </w:r>
    </w:p>
    <w:p w14:paraId="6ACC6DC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3E86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FEE2FFE">
            <w:pPr>
              <w:pStyle w:val="8"/>
            </w:pPr>
            <w:r>
              <w:t>360037隆尧县第三实验小学</w:t>
            </w:r>
          </w:p>
        </w:tc>
        <w:tc>
          <w:tcPr>
            <w:tcW w:w="5670" w:type="dxa"/>
            <w:gridSpan w:val="2"/>
            <w:tcBorders>
              <w:top w:val="single" w:color="FFFFFF" w:sz="6" w:space="0"/>
              <w:left w:val="single" w:color="FFFFFF" w:sz="6" w:space="0"/>
              <w:right w:val="single" w:color="FFFFFF" w:sz="6" w:space="0"/>
            </w:tcBorders>
            <w:vAlign w:val="center"/>
          </w:tcPr>
          <w:p w14:paraId="486E44A4">
            <w:pPr>
              <w:pStyle w:val="10"/>
            </w:pPr>
            <w:r>
              <w:t>截止时间：2024-12-31</w:t>
            </w:r>
          </w:p>
        </w:tc>
      </w:tr>
      <w:tr w14:paraId="24BD9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EBA7524">
            <w:pPr>
              <w:pStyle w:val="11"/>
            </w:pPr>
            <w:r>
              <w:t>项   目</w:t>
            </w:r>
          </w:p>
        </w:tc>
        <w:tc>
          <w:tcPr>
            <w:tcW w:w="2835" w:type="dxa"/>
            <w:vAlign w:val="center"/>
          </w:tcPr>
          <w:p w14:paraId="039BFE50">
            <w:pPr>
              <w:pStyle w:val="11"/>
            </w:pPr>
            <w:r>
              <w:t>数量</w:t>
            </w:r>
          </w:p>
        </w:tc>
        <w:tc>
          <w:tcPr>
            <w:tcW w:w="2835" w:type="dxa"/>
            <w:vAlign w:val="center"/>
          </w:tcPr>
          <w:p w14:paraId="4A662BA4">
            <w:pPr>
              <w:pStyle w:val="11"/>
            </w:pPr>
            <w:r>
              <w:t>价值（金额单位：万元）</w:t>
            </w:r>
          </w:p>
        </w:tc>
      </w:tr>
      <w:tr w14:paraId="533BF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F9630D">
            <w:pPr>
              <w:pStyle w:val="13"/>
            </w:pPr>
          </w:p>
        </w:tc>
        <w:tc>
          <w:tcPr>
            <w:tcW w:w="2835" w:type="dxa"/>
            <w:vAlign w:val="center"/>
          </w:tcPr>
          <w:p w14:paraId="72298C59">
            <w:pPr>
              <w:pStyle w:val="12"/>
            </w:pPr>
          </w:p>
        </w:tc>
        <w:tc>
          <w:tcPr>
            <w:tcW w:w="2835" w:type="dxa"/>
            <w:vAlign w:val="center"/>
          </w:tcPr>
          <w:p w14:paraId="15B7FA83">
            <w:pPr>
              <w:pStyle w:val="14"/>
            </w:pPr>
          </w:p>
        </w:tc>
      </w:tr>
    </w:tbl>
    <w:p w14:paraId="45A93BC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F0A4C15">
      <w:pPr>
        <w:spacing w:before="0" w:after="0"/>
        <w:ind w:firstLine="640"/>
        <w:jc w:val="left"/>
        <w:outlineLvl w:val="9"/>
      </w:pPr>
      <w:r>
        <w:rPr>
          <w:rFonts w:ascii="Times New Roman" w:hAnsi="Times New Roman" w:eastAsia="方正仿宋_GBK" w:cs="Times New Roman"/>
          <w:color w:val="000000"/>
          <w:sz w:val="32"/>
        </w:rPr>
        <w:t xml:space="preserve"> </w:t>
      </w:r>
    </w:p>
    <w:p w14:paraId="21A996A7">
      <w:pPr>
        <w:spacing w:before="10" w:after="10" w:line="240" w:lineRule="auto"/>
        <w:ind w:firstLine="640"/>
        <w:jc w:val="left"/>
        <w:outlineLvl w:val="5"/>
      </w:pPr>
      <w:r>
        <w:rPr>
          <w:rFonts w:ascii="黑体" w:hAnsi="黑体" w:eastAsia="黑体" w:cs="黑体"/>
          <w:color w:val="000000"/>
          <w:sz w:val="32"/>
        </w:rPr>
        <w:t>八、名词解释</w:t>
      </w:r>
    </w:p>
    <w:p w14:paraId="7DE189A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A0FB1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99612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24E5B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1CA7F2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5A0FB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29262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716BD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E3860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EE0B2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7B7C39">
      <w:pPr>
        <w:spacing w:before="10" w:after="10" w:line="240" w:lineRule="auto"/>
        <w:ind w:firstLine="640"/>
        <w:jc w:val="left"/>
        <w:outlineLvl w:val="5"/>
      </w:pPr>
      <w:r>
        <w:rPr>
          <w:rFonts w:ascii="黑体" w:hAnsi="黑体" w:eastAsia="黑体" w:cs="黑体"/>
          <w:color w:val="000000"/>
          <w:sz w:val="32"/>
        </w:rPr>
        <w:t>九、其他需要说明的事项</w:t>
      </w:r>
    </w:p>
    <w:p w14:paraId="70D5BBB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EBEEC52">
      <w:pPr>
        <w:spacing w:before="0" w:after="0"/>
        <w:ind w:firstLine="0"/>
        <w:jc w:val="center"/>
        <w:outlineLvl w:val="3"/>
      </w:pPr>
      <w:bookmarkStart w:id="37" w:name="_Toc_4_4_0000000057"/>
      <w:r>
        <w:rPr>
          <w:rFonts w:ascii="方正小标宋_GBK" w:hAnsi="方正小标宋_GBK" w:eastAsia="方正小标宋_GBK" w:cs="方正小标宋_GBK"/>
          <w:b w:val="0"/>
          <w:color w:val="000000"/>
          <w:sz w:val="44"/>
        </w:rPr>
        <w:t>三十七、隆尧县第五实验小学收支预算</w:t>
      </w:r>
      <w:bookmarkEnd w:id="37"/>
    </w:p>
    <w:p w14:paraId="712645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5EDE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3B4722">
            <w:pPr>
              <w:pStyle w:val="8"/>
            </w:pPr>
            <w:r>
              <w:t>360038隆尧县第五实验小学</w:t>
            </w:r>
          </w:p>
        </w:tc>
        <w:tc>
          <w:tcPr>
            <w:tcW w:w="2126" w:type="dxa"/>
            <w:tcBorders>
              <w:top w:val="single" w:color="FFFFFF" w:sz="6" w:space="0"/>
              <w:left w:val="single" w:color="FFFFFF" w:sz="6" w:space="0"/>
              <w:right w:val="single" w:color="FFFFFF" w:sz="6" w:space="0"/>
            </w:tcBorders>
            <w:vAlign w:val="center"/>
          </w:tcPr>
          <w:p w14:paraId="2A69949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573A748">
            <w:pPr>
              <w:pStyle w:val="10"/>
            </w:pPr>
            <w:r>
              <w:t>单位：万元</w:t>
            </w:r>
          </w:p>
        </w:tc>
      </w:tr>
      <w:tr w14:paraId="45EE0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2A823B">
            <w:pPr>
              <w:pStyle w:val="11"/>
            </w:pPr>
            <w:r>
              <w:t>序号</w:t>
            </w:r>
          </w:p>
        </w:tc>
        <w:tc>
          <w:tcPr>
            <w:tcW w:w="6661" w:type="dxa"/>
            <w:gridSpan w:val="2"/>
            <w:vAlign w:val="center"/>
          </w:tcPr>
          <w:p w14:paraId="6015B301">
            <w:pPr>
              <w:pStyle w:val="11"/>
            </w:pPr>
            <w:r>
              <w:t>收入</w:t>
            </w:r>
          </w:p>
        </w:tc>
        <w:tc>
          <w:tcPr>
            <w:tcW w:w="6661" w:type="dxa"/>
            <w:gridSpan w:val="2"/>
            <w:vAlign w:val="center"/>
          </w:tcPr>
          <w:p w14:paraId="5A57FEBB">
            <w:pPr>
              <w:pStyle w:val="11"/>
            </w:pPr>
            <w:r>
              <w:t>支出</w:t>
            </w:r>
          </w:p>
        </w:tc>
      </w:tr>
      <w:tr w14:paraId="3086A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5D34C8"/>
        </w:tc>
        <w:tc>
          <w:tcPr>
            <w:tcW w:w="4535" w:type="dxa"/>
            <w:vAlign w:val="center"/>
          </w:tcPr>
          <w:p w14:paraId="02DA64BC">
            <w:pPr>
              <w:pStyle w:val="11"/>
            </w:pPr>
            <w:r>
              <w:t>项  目</w:t>
            </w:r>
          </w:p>
        </w:tc>
        <w:tc>
          <w:tcPr>
            <w:tcW w:w="2126" w:type="dxa"/>
            <w:vAlign w:val="center"/>
          </w:tcPr>
          <w:p w14:paraId="63AFDFB9">
            <w:pPr>
              <w:pStyle w:val="11"/>
            </w:pPr>
            <w:r>
              <w:t>预算数</w:t>
            </w:r>
          </w:p>
        </w:tc>
        <w:tc>
          <w:tcPr>
            <w:tcW w:w="4535" w:type="dxa"/>
            <w:vAlign w:val="center"/>
          </w:tcPr>
          <w:p w14:paraId="0B9B6C46">
            <w:pPr>
              <w:pStyle w:val="11"/>
            </w:pPr>
            <w:r>
              <w:t>项  目</w:t>
            </w:r>
          </w:p>
        </w:tc>
        <w:tc>
          <w:tcPr>
            <w:tcW w:w="2126" w:type="dxa"/>
            <w:vAlign w:val="center"/>
          </w:tcPr>
          <w:p w14:paraId="060EF295">
            <w:pPr>
              <w:pStyle w:val="11"/>
            </w:pPr>
            <w:r>
              <w:t>预算数</w:t>
            </w:r>
          </w:p>
        </w:tc>
      </w:tr>
      <w:tr w14:paraId="66A6B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2EBE15">
            <w:pPr>
              <w:pStyle w:val="11"/>
            </w:pPr>
            <w:r>
              <w:t>栏次</w:t>
            </w:r>
          </w:p>
        </w:tc>
        <w:tc>
          <w:tcPr>
            <w:tcW w:w="4535" w:type="dxa"/>
            <w:vAlign w:val="center"/>
          </w:tcPr>
          <w:p w14:paraId="674CA892">
            <w:pPr>
              <w:pStyle w:val="11"/>
            </w:pPr>
            <w:r>
              <w:t>1</w:t>
            </w:r>
          </w:p>
        </w:tc>
        <w:tc>
          <w:tcPr>
            <w:tcW w:w="2126" w:type="dxa"/>
            <w:vAlign w:val="center"/>
          </w:tcPr>
          <w:p w14:paraId="78EE621D">
            <w:pPr>
              <w:pStyle w:val="11"/>
            </w:pPr>
            <w:r>
              <w:t>2</w:t>
            </w:r>
          </w:p>
        </w:tc>
        <w:tc>
          <w:tcPr>
            <w:tcW w:w="4535" w:type="dxa"/>
            <w:vAlign w:val="center"/>
          </w:tcPr>
          <w:p w14:paraId="5144AFFF">
            <w:pPr>
              <w:pStyle w:val="11"/>
            </w:pPr>
            <w:r>
              <w:t>3</w:t>
            </w:r>
          </w:p>
        </w:tc>
        <w:tc>
          <w:tcPr>
            <w:tcW w:w="2126" w:type="dxa"/>
            <w:vAlign w:val="center"/>
          </w:tcPr>
          <w:p w14:paraId="1B699FB7">
            <w:pPr>
              <w:pStyle w:val="11"/>
            </w:pPr>
            <w:r>
              <w:t>4</w:t>
            </w:r>
          </w:p>
        </w:tc>
      </w:tr>
      <w:tr w14:paraId="2D710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0DED8">
            <w:pPr>
              <w:pStyle w:val="12"/>
            </w:pPr>
            <w:r>
              <w:t>1</w:t>
            </w:r>
          </w:p>
        </w:tc>
        <w:tc>
          <w:tcPr>
            <w:tcW w:w="4535" w:type="dxa"/>
            <w:vAlign w:val="center"/>
          </w:tcPr>
          <w:p w14:paraId="5BCFB61C">
            <w:pPr>
              <w:pStyle w:val="13"/>
            </w:pPr>
            <w:r>
              <w:t>一、一般公共预算拨款收入</w:t>
            </w:r>
          </w:p>
        </w:tc>
        <w:tc>
          <w:tcPr>
            <w:tcW w:w="2126" w:type="dxa"/>
            <w:vAlign w:val="center"/>
          </w:tcPr>
          <w:p w14:paraId="0CBB8B28">
            <w:pPr>
              <w:pStyle w:val="14"/>
            </w:pPr>
            <w:r>
              <w:t>1412.17</w:t>
            </w:r>
          </w:p>
        </w:tc>
        <w:tc>
          <w:tcPr>
            <w:tcW w:w="4535" w:type="dxa"/>
            <w:vAlign w:val="center"/>
          </w:tcPr>
          <w:p w14:paraId="09FBE7FA">
            <w:pPr>
              <w:pStyle w:val="13"/>
            </w:pPr>
            <w:r>
              <w:t>一、一般公共服务支出</w:t>
            </w:r>
          </w:p>
        </w:tc>
        <w:tc>
          <w:tcPr>
            <w:tcW w:w="2126" w:type="dxa"/>
            <w:vAlign w:val="center"/>
          </w:tcPr>
          <w:p w14:paraId="674487A1">
            <w:pPr>
              <w:pStyle w:val="14"/>
            </w:pPr>
          </w:p>
        </w:tc>
      </w:tr>
      <w:tr w14:paraId="0019F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C909E">
            <w:pPr>
              <w:pStyle w:val="12"/>
            </w:pPr>
            <w:r>
              <w:t>2</w:t>
            </w:r>
          </w:p>
        </w:tc>
        <w:tc>
          <w:tcPr>
            <w:tcW w:w="4535" w:type="dxa"/>
            <w:vAlign w:val="center"/>
          </w:tcPr>
          <w:p w14:paraId="1680825C">
            <w:pPr>
              <w:pStyle w:val="13"/>
            </w:pPr>
            <w:r>
              <w:t>二、政府性基金预算拨款收入</w:t>
            </w:r>
          </w:p>
        </w:tc>
        <w:tc>
          <w:tcPr>
            <w:tcW w:w="2126" w:type="dxa"/>
            <w:vAlign w:val="center"/>
          </w:tcPr>
          <w:p w14:paraId="5771CA9C">
            <w:pPr>
              <w:pStyle w:val="14"/>
            </w:pPr>
          </w:p>
        </w:tc>
        <w:tc>
          <w:tcPr>
            <w:tcW w:w="4535" w:type="dxa"/>
            <w:vAlign w:val="center"/>
          </w:tcPr>
          <w:p w14:paraId="70F68015">
            <w:pPr>
              <w:pStyle w:val="13"/>
            </w:pPr>
            <w:r>
              <w:t>二、外交支出</w:t>
            </w:r>
          </w:p>
        </w:tc>
        <w:tc>
          <w:tcPr>
            <w:tcW w:w="2126" w:type="dxa"/>
            <w:vAlign w:val="center"/>
          </w:tcPr>
          <w:p w14:paraId="77ED7FE3">
            <w:pPr>
              <w:pStyle w:val="14"/>
            </w:pPr>
          </w:p>
        </w:tc>
      </w:tr>
      <w:tr w14:paraId="2CE66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55C11">
            <w:pPr>
              <w:pStyle w:val="12"/>
            </w:pPr>
            <w:r>
              <w:t>3</w:t>
            </w:r>
          </w:p>
        </w:tc>
        <w:tc>
          <w:tcPr>
            <w:tcW w:w="4535" w:type="dxa"/>
            <w:vAlign w:val="center"/>
          </w:tcPr>
          <w:p w14:paraId="099B306F">
            <w:pPr>
              <w:pStyle w:val="13"/>
            </w:pPr>
            <w:r>
              <w:t>三、国有资本经营预算拨款收入</w:t>
            </w:r>
          </w:p>
        </w:tc>
        <w:tc>
          <w:tcPr>
            <w:tcW w:w="2126" w:type="dxa"/>
            <w:vAlign w:val="center"/>
          </w:tcPr>
          <w:p w14:paraId="42C8AB16">
            <w:pPr>
              <w:pStyle w:val="14"/>
            </w:pPr>
          </w:p>
        </w:tc>
        <w:tc>
          <w:tcPr>
            <w:tcW w:w="4535" w:type="dxa"/>
            <w:vAlign w:val="center"/>
          </w:tcPr>
          <w:p w14:paraId="64063489">
            <w:pPr>
              <w:pStyle w:val="13"/>
            </w:pPr>
            <w:r>
              <w:t>三、国防支出</w:t>
            </w:r>
          </w:p>
        </w:tc>
        <w:tc>
          <w:tcPr>
            <w:tcW w:w="2126" w:type="dxa"/>
            <w:vAlign w:val="center"/>
          </w:tcPr>
          <w:p w14:paraId="1CB8377A">
            <w:pPr>
              <w:pStyle w:val="14"/>
            </w:pPr>
          </w:p>
        </w:tc>
      </w:tr>
      <w:tr w14:paraId="723D6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EBC4A">
            <w:pPr>
              <w:pStyle w:val="12"/>
            </w:pPr>
            <w:r>
              <w:t>4</w:t>
            </w:r>
          </w:p>
        </w:tc>
        <w:tc>
          <w:tcPr>
            <w:tcW w:w="4535" w:type="dxa"/>
            <w:vAlign w:val="center"/>
          </w:tcPr>
          <w:p w14:paraId="24CE961E">
            <w:pPr>
              <w:pStyle w:val="13"/>
            </w:pPr>
            <w:r>
              <w:t>四、财政专户管理资金收入</w:t>
            </w:r>
          </w:p>
        </w:tc>
        <w:tc>
          <w:tcPr>
            <w:tcW w:w="2126" w:type="dxa"/>
            <w:vAlign w:val="center"/>
          </w:tcPr>
          <w:p w14:paraId="26CFB2F7">
            <w:pPr>
              <w:pStyle w:val="14"/>
            </w:pPr>
          </w:p>
        </w:tc>
        <w:tc>
          <w:tcPr>
            <w:tcW w:w="4535" w:type="dxa"/>
            <w:vAlign w:val="center"/>
          </w:tcPr>
          <w:p w14:paraId="286B1392">
            <w:pPr>
              <w:pStyle w:val="13"/>
            </w:pPr>
            <w:r>
              <w:t>四、公共安全支出</w:t>
            </w:r>
          </w:p>
        </w:tc>
        <w:tc>
          <w:tcPr>
            <w:tcW w:w="2126" w:type="dxa"/>
            <w:vAlign w:val="center"/>
          </w:tcPr>
          <w:p w14:paraId="567C5F6E">
            <w:pPr>
              <w:pStyle w:val="14"/>
            </w:pPr>
          </w:p>
        </w:tc>
      </w:tr>
      <w:tr w14:paraId="15A66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80D26">
            <w:pPr>
              <w:pStyle w:val="12"/>
            </w:pPr>
            <w:r>
              <w:t>5</w:t>
            </w:r>
          </w:p>
        </w:tc>
        <w:tc>
          <w:tcPr>
            <w:tcW w:w="4535" w:type="dxa"/>
            <w:vAlign w:val="center"/>
          </w:tcPr>
          <w:p w14:paraId="7A420C07">
            <w:pPr>
              <w:pStyle w:val="13"/>
            </w:pPr>
            <w:r>
              <w:t>五、单位资金</w:t>
            </w:r>
          </w:p>
        </w:tc>
        <w:tc>
          <w:tcPr>
            <w:tcW w:w="2126" w:type="dxa"/>
            <w:vAlign w:val="center"/>
          </w:tcPr>
          <w:p w14:paraId="38BF4D3E">
            <w:pPr>
              <w:pStyle w:val="14"/>
            </w:pPr>
          </w:p>
        </w:tc>
        <w:tc>
          <w:tcPr>
            <w:tcW w:w="4535" w:type="dxa"/>
            <w:vAlign w:val="center"/>
          </w:tcPr>
          <w:p w14:paraId="6A113A90">
            <w:pPr>
              <w:pStyle w:val="13"/>
            </w:pPr>
            <w:r>
              <w:t>五、教育支出</w:t>
            </w:r>
          </w:p>
        </w:tc>
        <w:tc>
          <w:tcPr>
            <w:tcW w:w="2126" w:type="dxa"/>
            <w:vAlign w:val="center"/>
          </w:tcPr>
          <w:p w14:paraId="0A95CB88">
            <w:pPr>
              <w:pStyle w:val="14"/>
            </w:pPr>
            <w:r>
              <w:t>1412.17</w:t>
            </w:r>
          </w:p>
        </w:tc>
      </w:tr>
      <w:tr w14:paraId="53AB3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46572">
            <w:pPr>
              <w:pStyle w:val="12"/>
            </w:pPr>
            <w:r>
              <w:t>6</w:t>
            </w:r>
          </w:p>
        </w:tc>
        <w:tc>
          <w:tcPr>
            <w:tcW w:w="4535" w:type="dxa"/>
            <w:vAlign w:val="center"/>
          </w:tcPr>
          <w:p w14:paraId="3615CE72">
            <w:pPr>
              <w:pStyle w:val="13"/>
            </w:pPr>
          </w:p>
        </w:tc>
        <w:tc>
          <w:tcPr>
            <w:tcW w:w="2126" w:type="dxa"/>
            <w:vAlign w:val="center"/>
          </w:tcPr>
          <w:p w14:paraId="70D9E9E7">
            <w:pPr>
              <w:pStyle w:val="14"/>
            </w:pPr>
          </w:p>
        </w:tc>
        <w:tc>
          <w:tcPr>
            <w:tcW w:w="4535" w:type="dxa"/>
            <w:vAlign w:val="center"/>
          </w:tcPr>
          <w:p w14:paraId="6AF356B2">
            <w:pPr>
              <w:pStyle w:val="13"/>
            </w:pPr>
            <w:r>
              <w:t>六、科学技术支出</w:t>
            </w:r>
          </w:p>
        </w:tc>
        <w:tc>
          <w:tcPr>
            <w:tcW w:w="2126" w:type="dxa"/>
            <w:vAlign w:val="center"/>
          </w:tcPr>
          <w:p w14:paraId="5724C060">
            <w:pPr>
              <w:pStyle w:val="14"/>
            </w:pPr>
          </w:p>
        </w:tc>
      </w:tr>
      <w:tr w14:paraId="35858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E9C3D">
            <w:pPr>
              <w:pStyle w:val="12"/>
            </w:pPr>
            <w:r>
              <w:t>7</w:t>
            </w:r>
          </w:p>
        </w:tc>
        <w:tc>
          <w:tcPr>
            <w:tcW w:w="4535" w:type="dxa"/>
            <w:vAlign w:val="center"/>
          </w:tcPr>
          <w:p w14:paraId="60B5281B">
            <w:pPr>
              <w:pStyle w:val="13"/>
            </w:pPr>
          </w:p>
        </w:tc>
        <w:tc>
          <w:tcPr>
            <w:tcW w:w="2126" w:type="dxa"/>
            <w:vAlign w:val="center"/>
          </w:tcPr>
          <w:p w14:paraId="56549F3B">
            <w:pPr>
              <w:pStyle w:val="14"/>
            </w:pPr>
          </w:p>
        </w:tc>
        <w:tc>
          <w:tcPr>
            <w:tcW w:w="4535" w:type="dxa"/>
            <w:vAlign w:val="center"/>
          </w:tcPr>
          <w:p w14:paraId="0E20EEF9">
            <w:pPr>
              <w:pStyle w:val="13"/>
            </w:pPr>
            <w:r>
              <w:t>七、文化旅游体育与传媒支出</w:t>
            </w:r>
          </w:p>
        </w:tc>
        <w:tc>
          <w:tcPr>
            <w:tcW w:w="2126" w:type="dxa"/>
            <w:vAlign w:val="center"/>
          </w:tcPr>
          <w:p w14:paraId="7693261B">
            <w:pPr>
              <w:pStyle w:val="14"/>
            </w:pPr>
          </w:p>
        </w:tc>
      </w:tr>
      <w:tr w14:paraId="0C89C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F0DCC">
            <w:pPr>
              <w:pStyle w:val="12"/>
            </w:pPr>
            <w:r>
              <w:t>8</w:t>
            </w:r>
          </w:p>
        </w:tc>
        <w:tc>
          <w:tcPr>
            <w:tcW w:w="4535" w:type="dxa"/>
            <w:vAlign w:val="center"/>
          </w:tcPr>
          <w:p w14:paraId="0354B358">
            <w:pPr>
              <w:pStyle w:val="13"/>
            </w:pPr>
          </w:p>
        </w:tc>
        <w:tc>
          <w:tcPr>
            <w:tcW w:w="2126" w:type="dxa"/>
            <w:vAlign w:val="center"/>
          </w:tcPr>
          <w:p w14:paraId="1E57134B">
            <w:pPr>
              <w:pStyle w:val="14"/>
            </w:pPr>
          </w:p>
        </w:tc>
        <w:tc>
          <w:tcPr>
            <w:tcW w:w="4535" w:type="dxa"/>
            <w:vAlign w:val="center"/>
          </w:tcPr>
          <w:p w14:paraId="41AACE5A">
            <w:pPr>
              <w:pStyle w:val="13"/>
            </w:pPr>
            <w:r>
              <w:t>八、社会保障和就业支出</w:t>
            </w:r>
          </w:p>
        </w:tc>
        <w:tc>
          <w:tcPr>
            <w:tcW w:w="2126" w:type="dxa"/>
            <w:vAlign w:val="center"/>
          </w:tcPr>
          <w:p w14:paraId="0A97335E">
            <w:pPr>
              <w:pStyle w:val="14"/>
            </w:pPr>
          </w:p>
        </w:tc>
      </w:tr>
      <w:tr w14:paraId="45CF9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6FC91">
            <w:pPr>
              <w:pStyle w:val="12"/>
            </w:pPr>
            <w:r>
              <w:t>9</w:t>
            </w:r>
          </w:p>
        </w:tc>
        <w:tc>
          <w:tcPr>
            <w:tcW w:w="4535" w:type="dxa"/>
            <w:vAlign w:val="center"/>
          </w:tcPr>
          <w:p w14:paraId="6CE59A76">
            <w:pPr>
              <w:pStyle w:val="13"/>
            </w:pPr>
          </w:p>
        </w:tc>
        <w:tc>
          <w:tcPr>
            <w:tcW w:w="2126" w:type="dxa"/>
            <w:vAlign w:val="center"/>
          </w:tcPr>
          <w:p w14:paraId="3ACC059C">
            <w:pPr>
              <w:pStyle w:val="14"/>
            </w:pPr>
          </w:p>
        </w:tc>
        <w:tc>
          <w:tcPr>
            <w:tcW w:w="4535" w:type="dxa"/>
            <w:vAlign w:val="center"/>
          </w:tcPr>
          <w:p w14:paraId="6B4A4330">
            <w:pPr>
              <w:pStyle w:val="13"/>
            </w:pPr>
            <w:r>
              <w:t>九、社会保险基金支出</w:t>
            </w:r>
          </w:p>
        </w:tc>
        <w:tc>
          <w:tcPr>
            <w:tcW w:w="2126" w:type="dxa"/>
            <w:vAlign w:val="center"/>
          </w:tcPr>
          <w:p w14:paraId="0F1E1068">
            <w:pPr>
              <w:pStyle w:val="14"/>
            </w:pPr>
          </w:p>
        </w:tc>
      </w:tr>
      <w:tr w14:paraId="0773E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B8923">
            <w:pPr>
              <w:pStyle w:val="12"/>
            </w:pPr>
            <w:r>
              <w:t>10</w:t>
            </w:r>
          </w:p>
        </w:tc>
        <w:tc>
          <w:tcPr>
            <w:tcW w:w="4535" w:type="dxa"/>
            <w:vAlign w:val="center"/>
          </w:tcPr>
          <w:p w14:paraId="7869A959">
            <w:pPr>
              <w:pStyle w:val="13"/>
            </w:pPr>
          </w:p>
        </w:tc>
        <w:tc>
          <w:tcPr>
            <w:tcW w:w="2126" w:type="dxa"/>
            <w:vAlign w:val="center"/>
          </w:tcPr>
          <w:p w14:paraId="5FE05A6F">
            <w:pPr>
              <w:pStyle w:val="14"/>
            </w:pPr>
          </w:p>
        </w:tc>
        <w:tc>
          <w:tcPr>
            <w:tcW w:w="4535" w:type="dxa"/>
            <w:vAlign w:val="center"/>
          </w:tcPr>
          <w:p w14:paraId="42AEFBAD">
            <w:pPr>
              <w:pStyle w:val="13"/>
            </w:pPr>
            <w:r>
              <w:t>十、卫生健康支出</w:t>
            </w:r>
          </w:p>
        </w:tc>
        <w:tc>
          <w:tcPr>
            <w:tcW w:w="2126" w:type="dxa"/>
            <w:vAlign w:val="center"/>
          </w:tcPr>
          <w:p w14:paraId="33B61BF5">
            <w:pPr>
              <w:pStyle w:val="14"/>
            </w:pPr>
          </w:p>
        </w:tc>
      </w:tr>
      <w:tr w14:paraId="7DED1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ADF29">
            <w:pPr>
              <w:pStyle w:val="12"/>
            </w:pPr>
            <w:r>
              <w:t>11</w:t>
            </w:r>
          </w:p>
        </w:tc>
        <w:tc>
          <w:tcPr>
            <w:tcW w:w="4535" w:type="dxa"/>
            <w:vAlign w:val="center"/>
          </w:tcPr>
          <w:p w14:paraId="31AC9FFC">
            <w:pPr>
              <w:pStyle w:val="13"/>
            </w:pPr>
          </w:p>
        </w:tc>
        <w:tc>
          <w:tcPr>
            <w:tcW w:w="2126" w:type="dxa"/>
            <w:vAlign w:val="center"/>
          </w:tcPr>
          <w:p w14:paraId="43013167">
            <w:pPr>
              <w:pStyle w:val="14"/>
            </w:pPr>
          </w:p>
        </w:tc>
        <w:tc>
          <w:tcPr>
            <w:tcW w:w="4535" w:type="dxa"/>
            <w:vAlign w:val="center"/>
          </w:tcPr>
          <w:p w14:paraId="53438F68">
            <w:pPr>
              <w:pStyle w:val="13"/>
            </w:pPr>
            <w:r>
              <w:t>十一、节能环保支出</w:t>
            </w:r>
          </w:p>
        </w:tc>
        <w:tc>
          <w:tcPr>
            <w:tcW w:w="2126" w:type="dxa"/>
            <w:vAlign w:val="center"/>
          </w:tcPr>
          <w:p w14:paraId="4291B983">
            <w:pPr>
              <w:pStyle w:val="14"/>
            </w:pPr>
          </w:p>
        </w:tc>
      </w:tr>
      <w:tr w14:paraId="13CF3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68372">
            <w:pPr>
              <w:pStyle w:val="12"/>
            </w:pPr>
            <w:r>
              <w:t>12</w:t>
            </w:r>
          </w:p>
        </w:tc>
        <w:tc>
          <w:tcPr>
            <w:tcW w:w="4535" w:type="dxa"/>
            <w:vAlign w:val="center"/>
          </w:tcPr>
          <w:p w14:paraId="60DCEB74">
            <w:pPr>
              <w:pStyle w:val="13"/>
            </w:pPr>
          </w:p>
        </w:tc>
        <w:tc>
          <w:tcPr>
            <w:tcW w:w="2126" w:type="dxa"/>
            <w:vAlign w:val="center"/>
          </w:tcPr>
          <w:p w14:paraId="65ED3AF9">
            <w:pPr>
              <w:pStyle w:val="14"/>
            </w:pPr>
          </w:p>
        </w:tc>
        <w:tc>
          <w:tcPr>
            <w:tcW w:w="4535" w:type="dxa"/>
            <w:vAlign w:val="center"/>
          </w:tcPr>
          <w:p w14:paraId="3B951CA5">
            <w:pPr>
              <w:pStyle w:val="13"/>
            </w:pPr>
            <w:r>
              <w:t>十二、城乡社区支出</w:t>
            </w:r>
          </w:p>
        </w:tc>
        <w:tc>
          <w:tcPr>
            <w:tcW w:w="2126" w:type="dxa"/>
            <w:vAlign w:val="center"/>
          </w:tcPr>
          <w:p w14:paraId="450BAB8B">
            <w:pPr>
              <w:pStyle w:val="14"/>
            </w:pPr>
          </w:p>
        </w:tc>
      </w:tr>
      <w:tr w14:paraId="3C5CF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BE44C">
            <w:pPr>
              <w:pStyle w:val="12"/>
            </w:pPr>
            <w:r>
              <w:t>13</w:t>
            </w:r>
          </w:p>
        </w:tc>
        <w:tc>
          <w:tcPr>
            <w:tcW w:w="4535" w:type="dxa"/>
            <w:vAlign w:val="center"/>
          </w:tcPr>
          <w:p w14:paraId="043BD3B9">
            <w:pPr>
              <w:pStyle w:val="13"/>
            </w:pPr>
          </w:p>
        </w:tc>
        <w:tc>
          <w:tcPr>
            <w:tcW w:w="2126" w:type="dxa"/>
            <w:vAlign w:val="center"/>
          </w:tcPr>
          <w:p w14:paraId="44226A9E">
            <w:pPr>
              <w:pStyle w:val="14"/>
            </w:pPr>
          </w:p>
        </w:tc>
        <w:tc>
          <w:tcPr>
            <w:tcW w:w="4535" w:type="dxa"/>
            <w:vAlign w:val="center"/>
          </w:tcPr>
          <w:p w14:paraId="29D96DD9">
            <w:pPr>
              <w:pStyle w:val="13"/>
            </w:pPr>
            <w:r>
              <w:t>十三、农林水支出</w:t>
            </w:r>
          </w:p>
        </w:tc>
        <w:tc>
          <w:tcPr>
            <w:tcW w:w="2126" w:type="dxa"/>
            <w:vAlign w:val="center"/>
          </w:tcPr>
          <w:p w14:paraId="76B9C13A">
            <w:pPr>
              <w:pStyle w:val="14"/>
            </w:pPr>
          </w:p>
        </w:tc>
      </w:tr>
      <w:tr w14:paraId="28FCD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ABE60">
            <w:pPr>
              <w:pStyle w:val="12"/>
            </w:pPr>
            <w:r>
              <w:t>14</w:t>
            </w:r>
          </w:p>
        </w:tc>
        <w:tc>
          <w:tcPr>
            <w:tcW w:w="4535" w:type="dxa"/>
            <w:vAlign w:val="center"/>
          </w:tcPr>
          <w:p w14:paraId="6399557E">
            <w:pPr>
              <w:pStyle w:val="13"/>
            </w:pPr>
          </w:p>
        </w:tc>
        <w:tc>
          <w:tcPr>
            <w:tcW w:w="2126" w:type="dxa"/>
            <w:vAlign w:val="center"/>
          </w:tcPr>
          <w:p w14:paraId="32D928E5">
            <w:pPr>
              <w:pStyle w:val="14"/>
            </w:pPr>
          </w:p>
        </w:tc>
        <w:tc>
          <w:tcPr>
            <w:tcW w:w="4535" w:type="dxa"/>
            <w:vAlign w:val="center"/>
          </w:tcPr>
          <w:p w14:paraId="51A7D7F1">
            <w:pPr>
              <w:pStyle w:val="13"/>
            </w:pPr>
            <w:r>
              <w:t>十四、交通运输支出</w:t>
            </w:r>
          </w:p>
        </w:tc>
        <w:tc>
          <w:tcPr>
            <w:tcW w:w="2126" w:type="dxa"/>
            <w:vAlign w:val="center"/>
          </w:tcPr>
          <w:p w14:paraId="2DC201F5">
            <w:pPr>
              <w:pStyle w:val="14"/>
            </w:pPr>
          </w:p>
        </w:tc>
      </w:tr>
      <w:tr w14:paraId="19A14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334F1">
            <w:pPr>
              <w:pStyle w:val="12"/>
            </w:pPr>
            <w:r>
              <w:t>15</w:t>
            </w:r>
          </w:p>
        </w:tc>
        <w:tc>
          <w:tcPr>
            <w:tcW w:w="4535" w:type="dxa"/>
            <w:vAlign w:val="center"/>
          </w:tcPr>
          <w:p w14:paraId="12B91E7B">
            <w:pPr>
              <w:pStyle w:val="13"/>
            </w:pPr>
          </w:p>
        </w:tc>
        <w:tc>
          <w:tcPr>
            <w:tcW w:w="2126" w:type="dxa"/>
            <w:vAlign w:val="center"/>
          </w:tcPr>
          <w:p w14:paraId="0DCA5A13">
            <w:pPr>
              <w:pStyle w:val="14"/>
            </w:pPr>
          </w:p>
        </w:tc>
        <w:tc>
          <w:tcPr>
            <w:tcW w:w="4535" w:type="dxa"/>
            <w:vAlign w:val="center"/>
          </w:tcPr>
          <w:p w14:paraId="600F126F">
            <w:pPr>
              <w:pStyle w:val="13"/>
            </w:pPr>
            <w:r>
              <w:t>十五、资源勘探工业信息等支出</w:t>
            </w:r>
          </w:p>
        </w:tc>
        <w:tc>
          <w:tcPr>
            <w:tcW w:w="2126" w:type="dxa"/>
            <w:vAlign w:val="center"/>
          </w:tcPr>
          <w:p w14:paraId="7121ECB3">
            <w:pPr>
              <w:pStyle w:val="14"/>
            </w:pPr>
          </w:p>
        </w:tc>
      </w:tr>
      <w:tr w14:paraId="1353E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FD951">
            <w:pPr>
              <w:pStyle w:val="12"/>
            </w:pPr>
            <w:r>
              <w:t>16</w:t>
            </w:r>
          </w:p>
        </w:tc>
        <w:tc>
          <w:tcPr>
            <w:tcW w:w="4535" w:type="dxa"/>
            <w:vAlign w:val="center"/>
          </w:tcPr>
          <w:p w14:paraId="5C83A785">
            <w:pPr>
              <w:pStyle w:val="13"/>
            </w:pPr>
          </w:p>
        </w:tc>
        <w:tc>
          <w:tcPr>
            <w:tcW w:w="2126" w:type="dxa"/>
            <w:vAlign w:val="center"/>
          </w:tcPr>
          <w:p w14:paraId="07E5F53C">
            <w:pPr>
              <w:pStyle w:val="14"/>
            </w:pPr>
          </w:p>
        </w:tc>
        <w:tc>
          <w:tcPr>
            <w:tcW w:w="4535" w:type="dxa"/>
            <w:vAlign w:val="center"/>
          </w:tcPr>
          <w:p w14:paraId="7A89531A">
            <w:pPr>
              <w:pStyle w:val="13"/>
            </w:pPr>
            <w:r>
              <w:t>十六、商业服务业等支出</w:t>
            </w:r>
          </w:p>
        </w:tc>
        <w:tc>
          <w:tcPr>
            <w:tcW w:w="2126" w:type="dxa"/>
            <w:vAlign w:val="center"/>
          </w:tcPr>
          <w:p w14:paraId="70B38CDC">
            <w:pPr>
              <w:pStyle w:val="14"/>
            </w:pPr>
          </w:p>
        </w:tc>
      </w:tr>
      <w:tr w14:paraId="4AE36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01150">
            <w:pPr>
              <w:pStyle w:val="12"/>
            </w:pPr>
            <w:r>
              <w:t>17</w:t>
            </w:r>
          </w:p>
        </w:tc>
        <w:tc>
          <w:tcPr>
            <w:tcW w:w="4535" w:type="dxa"/>
            <w:vAlign w:val="center"/>
          </w:tcPr>
          <w:p w14:paraId="63549FB2">
            <w:pPr>
              <w:pStyle w:val="13"/>
            </w:pPr>
          </w:p>
        </w:tc>
        <w:tc>
          <w:tcPr>
            <w:tcW w:w="2126" w:type="dxa"/>
            <w:vAlign w:val="center"/>
          </w:tcPr>
          <w:p w14:paraId="22E4D7C1">
            <w:pPr>
              <w:pStyle w:val="14"/>
            </w:pPr>
          </w:p>
        </w:tc>
        <w:tc>
          <w:tcPr>
            <w:tcW w:w="4535" w:type="dxa"/>
            <w:vAlign w:val="center"/>
          </w:tcPr>
          <w:p w14:paraId="491DB855">
            <w:pPr>
              <w:pStyle w:val="13"/>
            </w:pPr>
            <w:r>
              <w:t>十七、金融支出</w:t>
            </w:r>
          </w:p>
        </w:tc>
        <w:tc>
          <w:tcPr>
            <w:tcW w:w="2126" w:type="dxa"/>
            <w:vAlign w:val="center"/>
          </w:tcPr>
          <w:p w14:paraId="3D8D14A0">
            <w:pPr>
              <w:pStyle w:val="14"/>
            </w:pPr>
          </w:p>
        </w:tc>
      </w:tr>
      <w:tr w14:paraId="7FBDE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741D5">
            <w:pPr>
              <w:pStyle w:val="12"/>
            </w:pPr>
            <w:r>
              <w:t>18</w:t>
            </w:r>
          </w:p>
        </w:tc>
        <w:tc>
          <w:tcPr>
            <w:tcW w:w="4535" w:type="dxa"/>
            <w:vAlign w:val="center"/>
          </w:tcPr>
          <w:p w14:paraId="3899EB44">
            <w:pPr>
              <w:pStyle w:val="13"/>
            </w:pPr>
          </w:p>
        </w:tc>
        <w:tc>
          <w:tcPr>
            <w:tcW w:w="2126" w:type="dxa"/>
            <w:vAlign w:val="center"/>
          </w:tcPr>
          <w:p w14:paraId="7B6DF48C">
            <w:pPr>
              <w:pStyle w:val="14"/>
            </w:pPr>
          </w:p>
        </w:tc>
        <w:tc>
          <w:tcPr>
            <w:tcW w:w="4535" w:type="dxa"/>
            <w:vAlign w:val="center"/>
          </w:tcPr>
          <w:p w14:paraId="72FE9C77">
            <w:pPr>
              <w:pStyle w:val="13"/>
            </w:pPr>
            <w:r>
              <w:t>十八、援助其他地区支出</w:t>
            </w:r>
          </w:p>
        </w:tc>
        <w:tc>
          <w:tcPr>
            <w:tcW w:w="2126" w:type="dxa"/>
            <w:vAlign w:val="center"/>
          </w:tcPr>
          <w:p w14:paraId="384950CA">
            <w:pPr>
              <w:pStyle w:val="14"/>
            </w:pPr>
          </w:p>
        </w:tc>
      </w:tr>
      <w:tr w14:paraId="12F76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4F26C">
            <w:pPr>
              <w:pStyle w:val="12"/>
            </w:pPr>
            <w:r>
              <w:t>19</w:t>
            </w:r>
          </w:p>
        </w:tc>
        <w:tc>
          <w:tcPr>
            <w:tcW w:w="4535" w:type="dxa"/>
            <w:vAlign w:val="center"/>
          </w:tcPr>
          <w:p w14:paraId="22D2242D">
            <w:pPr>
              <w:pStyle w:val="13"/>
            </w:pPr>
          </w:p>
        </w:tc>
        <w:tc>
          <w:tcPr>
            <w:tcW w:w="2126" w:type="dxa"/>
            <w:vAlign w:val="center"/>
          </w:tcPr>
          <w:p w14:paraId="29AD5ABD">
            <w:pPr>
              <w:pStyle w:val="14"/>
            </w:pPr>
          </w:p>
        </w:tc>
        <w:tc>
          <w:tcPr>
            <w:tcW w:w="4535" w:type="dxa"/>
            <w:vAlign w:val="center"/>
          </w:tcPr>
          <w:p w14:paraId="17CA6FF7">
            <w:pPr>
              <w:pStyle w:val="13"/>
            </w:pPr>
            <w:r>
              <w:t>十九、自然资源海洋气象等支出</w:t>
            </w:r>
          </w:p>
        </w:tc>
        <w:tc>
          <w:tcPr>
            <w:tcW w:w="2126" w:type="dxa"/>
            <w:vAlign w:val="center"/>
          </w:tcPr>
          <w:p w14:paraId="7D57886F">
            <w:pPr>
              <w:pStyle w:val="14"/>
            </w:pPr>
          </w:p>
        </w:tc>
      </w:tr>
      <w:tr w14:paraId="4EFC8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7C593">
            <w:pPr>
              <w:pStyle w:val="12"/>
            </w:pPr>
            <w:r>
              <w:t>20</w:t>
            </w:r>
          </w:p>
        </w:tc>
        <w:tc>
          <w:tcPr>
            <w:tcW w:w="4535" w:type="dxa"/>
            <w:vAlign w:val="center"/>
          </w:tcPr>
          <w:p w14:paraId="1D08BA75">
            <w:pPr>
              <w:pStyle w:val="13"/>
            </w:pPr>
          </w:p>
        </w:tc>
        <w:tc>
          <w:tcPr>
            <w:tcW w:w="2126" w:type="dxa"/>
            <w:vAlign w:val="center"/>
          </w:tcPr>
          <w:p w14:paraId="6870DB78">
            <w:pPr>
              <w:pStyle w:val="14"/>
            </w:pPr>
          </w:p>
        </w:tc>
        <w:tc>
          <w:tcPr>
            <w:tcW w:w="4535" w:type="dxa"/>
            <w:vAlign w:val="center"/>
          </w:tcPr>
          <w:p w14:paraId="531BCF12">
            <w:pPr>
              <w:pStyle w:val="13"/>
            </w:pPr>
            <w:r>
              <w:t>二十、住房保障支出</w:t>
            </w:r>
          </w:p>
        </w:tc>
        <w:tc>
          <w:tcPr>
            <w:tcW w:w="2126" w:type="dxa"/>
            <w:vAlign w:val="center"/>
          </w:tcPr>
          <w:p w14:paraId="228AC281">
            <w:pPr>
              <w:pStyle w:val="14"/>
            </w:pPr>
          </w:p>
        </w:tc>
      </w:tr>
      <w:tr w14:paraId="7414B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93A3E">
            <w:pPr>
              <w:pStyle w:val="12"/>
            </w:pPr>
            <w:r>
              <w:t>21</w:t>
            </w:r>
          </w:p>
        </w:tc>
        <w:tc>
          <w:tcPr>
            <w:tcW w:w="4535" w:type="dxa"/>
            <w:vAlign w:val="center"/>
          </w:tcPr>
          <w:p w14:paraId="329ADCC5">
            <w:pPr>
              <w:pStyle w:val="13"/>
            </w:pPr>
          </w:p>
        </w:tc>
        <w:tc>
          <w:tcPr>
            <w:tcW w:w="2126" w:type="dxa"/>
            <w:vAlign w:val="center"/>
          </w:tcPr>
          <w:p w14:paraId="7DE9842A">
            <w:pPr>
              <w:pStyle w:val="14"/>
            </w:pPr>
          </w:p>
        </w:tc>
        <w:tc>
          <w:tcPr>
            <w:tcW w:w="4535" w:type="dxa"/>
            <w:vAlign w:val="center"/>
          </w:tcPr>
          <w:p w14:paraId="66F53978">
            <w:pPr>
              <w:pStyle w:val="13"/>
            </w:pPr>
            <w:r>
              <w:t>二十一、粮油物资储备支出</w:t>
            </w:r>
          </w:p>
        </w:tc>
        <w:tc>
          <w:tcPr>
            <w:tcW w:w="2126" w:type="dxa"/>
            <w:vAlign w:val="center"/>
          </w:tcPr>
          <w:p w14:paraId="6EED8C18">
            <w:pPr>
              <w:pStyle w:val="14"/>
            </w:pPr>
          </w:p>
        </w:tc>
      </w:tr>
      <w:tr w14:paraId="384FB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50A90">
            <w:pPr>
              <w:pStyle w:val="12"/>
            </w:pPr>
            <w:r>
              <w:t>22</w:t>
            </w:r>
          </w:p>
        </w:tc>
        <w:tc>
          <w:tcPr>
            <w:tcW w:w="4535" w:type="dxa"/>
            <w:vAlign w:val="center"/>
          </w:tcPr>
          <w:p w14:paraId="11966F42">
            <w:pPr>
              <w:pStyle w:val="13"/>
            </w:pPr>
          </w:p>
        </w:tc>
        <w:tc>
          <w:tcPr>
            <w:tcW w:w="2126" w:type="dxa"/>
            <w:vAlign w:val="center"/>
          </w:tcPr>
          <w:p w14:paraId="18E712AD">
            <w:pPr>
              <w:pStyle w:val="14"/>
            </w:pPr>
          </w:p>
        </w:tc>
        <w:tc>
          <w:tcPr>
            <w:tcW w:w="4535" w:type="dxa"/>
            <w:vAlign w:val="center"/>
          </w:tcPr>
          <w:p w14:paraId="076043E7">
            <w:pPr>
              <w:pStyle w:val="13"/>
            </w:pPr>
            <w:r>
              <w:t>二十二、国有资本经营预算支出</w:t>
            </w:r>
          </w:p>
        </w:tc>
        <w:tc>
          <w:tcPr>
            <w:tcW w:w="2126" w:type="dxa"/>
            <w:vAlign w:val="center"/>
          </w:tcPr>
          <w:p w14:paraId="2C9780B9">
            <w:pPr>
              <w:pStyle w:val="14"/>
            </w:pPr>
          </w:p>
        </w:tc>
      </w:tr>
      <w:tr w14:paraId="0930F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604F7">
            <w:pPr>
              <w:pStyle w:val="12"/>
            </w:pPr>
            <w:r>
              <w:t>23</w:t>
            </w:r>
          </w:p>
        </w:tc>
        <w:tc>
          <w:tcPr>
            <w:tcW w:w="4535" w:type="dxa"/>
            <w:vAlign w:val="center"/>
          </w:tcPr>
          <w:p w14:paraId="78407354">
            <w:pPr>
              <w:pStyle w:val="13"/>
            </w:pPr>
          </w:p>
        </w:tc>
        <w:tc>
          <w:tcPr>
            <w:tcW w:w="2126" w:type="dxa"/>
            <w:vAlign w:val="center"/>
          </w:tcPr>
          <w:p w14:paraId="4AFE583B">
            <w:pPr>
              <w:pStyle w:val="14"/>
            </w:pPr>
          </w:p>
        </w:tc>
        <w:tc>
          <w:tcPr>
            <w:tcW w:w="4535" w:type="dxa"/>
            <w:vAlign w:val="center"/>
          </w:tcPr>
          <w:p w14:paraId="6B416022">
            <w:pPr>
              <w:pStyle w:val="13"/>
            </w:pPr>
            <w:r>
              <w:t>二十三、灾害防治及应急管理支出</w:t>
            </w:r>
          </w:p>
        </w:tc>
        <w:tc>
          <w:tcPr>
            <w:tcW w:w="2126" w:type="dxa"/>
            <w:vAlign w:val="center"/>
          </w:tcPr>
          <w:p w14:paraId="6B07869D">
            <w:pPr>
              <w:pStyle w:val="14"/>
            </w:pPr>
          </w:p>
        </w:tc>
      </w:tr>
      <w:tr w14:paraId="217EB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2F0EF">
            <w:pPr>
              <w:pStyle w:val="12"/>
            </w:pPr>
            <w:r>
              <w:t>24</w:t>
            </w:r>
          </w:p>
        </w:tc>
        <w:tc>
          <w:tcPr>
            <w:tcW w:w="4535" w:type="dxa"/>
            <w:vAlign w:val="center"/>
          </w:tcPr>
          <w:p w14:paraId="0E0EF9A1">
            <w:pPr>
              <w:pStyle w:val="13"/>
            </w:pPr>
          </w:p>
        </w:tc>
        <w:tc>
          <w:tcPr>
            <w:tcW w:w="2126" w:type="dxa"/>
            <w:vAlign w:val="center"/>
          </w:tcPr>
          <w:p w14:paraId="727334BA">
            <w:pPr>
              <w:pStyle w:val="14"/>
            </w:pPr>
          </w:p>
        </w:tc>
        <w:tc>
          <w:tcPr>
            <w:tcW w:w="4535" w:type="dxa"/>
            <w:vAlign w:val="center"/>
          </w:tcPr>
          <w:p w14:paraId="56AA10E8">
            <w:pPr>
              <w:pStyle w:val="13"/>
            </w:pPr>
            <w:r>
              <w:t>二十四、预备费</w:t>
            </w:r>
          </w:p>
        </w:tc>
        <w:tc>
          <w:tcPr>
            <w:tcW w:w="2126" w:type="dxa"/>
            <w:vAlign w:val="center"/>
          </w:tcPr>
          <w:p w14:paraId="35BC5C84">
            <w:pPr>
              <w:pStyle w:val="14"/>
            </w:pPr>
          </w:p>
        </w:tc>
      </w:tr>
      <w:tr w14:paraId="15E58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DCAC3">
            <w:pPr>
              <w:pStyle w:val="12"/>
            </w:pPr>
            <w:r>
              <w:t>25</w:t>
            </w:r>
          </w:p>
        </w:tc>
        <w:tc>
          <w:tcPr>
            <w:tcW w:w="4535" w:type="dxa"/>
            <w:vAlign w:val="center"/>
          </w:tcPr>
          <w:p w14:paraId="4691E57C">
            <w:pPr>
              <w:pStyle w:val="13"/>
            </w:pPr>
          </w:p>
        </w:tc>
        <w:tc>
          <w:tcPr>
            <w:tcW w:w="2126" w:type="dxa"/>
            <w:vAlign w:val="center"/>
          </w:tcPr>
          <w:p w14:paraId="65E99DC1">
            <w:pPr>
              <w:pStyle w:val="14"/>
            </w:pPr>
          </w:p>
        </w:tc>
        <w:tc>
          <w:tcPr>
            <w:tcW w:w="4535" w:type="dxa"/>
            <w:vAlign w:val="center"/>
          </w:tcPr>
          <w:p w14:paraId="2E9720C2">
            <w:pPr>
              <w:pStyle w:val="13"/>
            </w:pPr>
            <w:r>
              <w:t>二十五、其他支出</w:t>
            </w:r>
          </w:p>
        </w:tc>
        <w:tc>
          <w:tcPr>
            <w:tcW w:w="2126" w:type="dxa"/>
            <w:vAlign w:val="center"/>
          </w:tcPr>
          <w:p w14:paraId="5D32922D">
            <w:pPr>
              <w:pStyle w:val="14"/>
            </w:pPr>
          </w:p>
        </w:tc>
      </w:tr>
      <w:tr w14:paraId="3CD97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88ABE">
            <w:pPr>
              <w:pStyle w:val="12"/>
            </w:pPr>
            <w:r>
              <w:t>26</w:t>
            </w:r>
          </w:p>
        </w:tc>
        <w:tc>
          <w:tcPr>
            <w:tcW w:w="4535" w:type="dxa"/>
            <w:vAlign w:val="center"/>
          </w:tcPr>
          <w:p w14:paraId="098E068D">
            <w:pPr>
              <w:pStyle w:val="13"/>
            </w:pPr>
          </w:p>
        </w:tc>
        <w:tc>
          <w:tcPr>
            <w:tcW w:w="2126" w:type="dxa"/>
            <w:vAlign w:val="center"/>
          </w:tcPr>
          <w:p w14:paraId="0FC60A64">
            <w:pPr>
              <w:pStyle w:val="14"/>
            </w:pPr>
          </w:p>
        </w:tc>
        <w:tc>
          <w:tcPr>
            <w:tcW w:w="4535" w:type="dxa"/>
            <w:vAlign w:val="center"/>
          </w:tcPr>
          <w:p w14:paraId="5A394D1C">
            <w:pPr>
              <w:pStyle w:val="13"/>
            </w:pPr>
            <w:r>
              <w:t>二十六、转移性支出</w:t>
            </w:r>
          </w:p>
        </w:tc>
        <w:tc>
          <w:tcPr>
            <w:tcW w:w="2126" w:type="dxa"/>
            <w:vAlign w:val="center"/>
          </w:tcPr>
          <w:p w14:paraId="1340EDF1">
            <w:pPr>
              <w:pStyle w:val="14"/>
            </w:pPr>
          </w:p>
        </w:tc>
      </w:tr>
      <w:tr w14:paraId="7B9E9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875D7">
            <w:pPr>
              <w:pStyle w:val="12"/>
            </w:pPr>
            <w:r>
              <w:t>27</w:t>
            </w:r>
          </w:p>
        </w:tc>
        <w:tc>
          <w:tcPr>
            <w:tcW w:w="4535" w:type="dxa"/>
            <w:vAlign w:val="center"/>
          </w:tcPr>
          <w:p w14:paraId="3CC807C3">
            <w:pPr>
              <w:pStyle w:val="13"/>
            </w:pPr>
          </w:p>
        </w:tc>
        <w:tc>
          <w:tcPr>
            <w:tcW w:w="2126" w:type="dxa"/>
            <w:vAlign w:val="center"/>
          </w:tcPr>
          <w:p w14:paraId="2EF43240">
            <w:pPr>
              <w:pStyle w:val="14"/>
            </w:pPr>
          </w:p>
        </w:tc>
        <w:tc>
          <w:tcPr>
            <w:tcW w:w="4535" w:type="dxa"/>
            <w:vAlign w:val="center"/>
          </w:tcPr>
          <w:p w14:paraId="695E59CC">
            <w:pPr>
              <w:pStyle w:val="13"/>
            </w:pPr>
            <w:r>
              <w:t>二十七、债务还本支出</w:t>
            </w:r>
          </w:p>
        </w:tc>
        <w:tc>
          <w:tcPr>
            <w:tcW w:w="2126" w:type="dxa"/>
            <w:vAlign w:val="center"/>
          </w:tcPr>
          <w:p w14:paraId="15437EDE">
            <w:pPr>
              <w:pStyle w:val="14"/>
            </w:pPr>
          </w:p>
        </w:tc>
      </w:tr>
      <w:tr w14:paraId="0411B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ADD62">
            <w:pPr>
              <w:pStyle w:val="12"/>
            </w:pPr>
            <w:r>
              <w:t>28</w:t>
            </w:r>
          </w:p>
        </w:tc>
        <w:tc>
          <w:tcPr>
            <w:tcW w:w="4535" w:type="dxa"/>
            <w:vAlign w:val="center"/>
          </w:tcPr>
          <w:p w14:paraId="4AA6BB84">
            <w:pPr>
              <w:pStyle w:val="13"/>
            </w:pPr>
          </w:p>
        </w:tc>
        <w:tc>
          <w:tcPr>
            <w:tcW w:w="2126" w:type="dxa"/>
            <w:vAlign w:val="center"/>
          </w:tcPr>
          <w:p w14:paraId="33AE6CBB">
            <w:pPr>
              <w:pStyle w:val="14"/>
            </w:pPr>
          </w:p>
        </w:tc>
        <w:tc>
          <w:tcPr>
            <w:tcW w:w="4535" w:type="dxa"/>
            <w:vAlign w:val="center"/>
          </w:tcPr>
          <w:p w14:paraId="67E990B8">
            <w:pPr>
              <w:pStyle w:val="13"/>
            </w:pPr>
            <w:r>
              <w:t>二十八、债务付息支出</w:t>
            </w:r>
          </w:p>
        </w:tc>
        <w:tc>
          <w:tcPr>
            <w:tcW w:w="2126" w:type="dxa"/>
            <w:vAlign w:val="center"/>
          </w:tcPr>
          <w:p w14:paraId="0A375630">
            <w:pPr>
              <w:pStyle w:val="14"/>
            </w:pPr>
          </w:p>
        </w:tc>
      </w:tr>
      <w:tr w14:paraId="6E716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E8F85">
            <w:pPr>
              <w:pStyle w:val="12"/>
            </w:pPr>
            <w:r>
              <w:t>29</w:t>
            </w:r>
          </w:p>
        </w:tc>
        <w:tc>
          <w:tcPr>
            <w:tcW w:w="4535" w:type="dxa"/>
            <w:vAlign w:val="center"/>
          </w:tcPr>
          <w:p w14:paraId="7B243A0F">
            <w:pPr>
              <w:pStyle w:val="13"/>
            </w:pPr>
          </w:p>
        </w:tc>
        <w:tc>
          <w:tcPr>
            <w:tcW w:w="2126" w:type="dxa"/>
            <w:vAlign w:val="center"/>
          </w:tcPr>
          <w:p w14:paraId="07D01E8C">
            <w:pPr>
              <w:pStyle w:val="14"/>
            </w:pPr>
          </w:p>
        </w:tc>
        <w:tc>
          <w:tcPr>
            <w:tcW w:w="4535" w:type="dxa"/>
            <w:vAlign w:val="center"/>
          </w:tcPr>
          <w:p w14:paraId="3DF3FEC6">
            <w:pPr>
              <w:pStyle w:val="13"/>
            </w:pPr>
            <w:r>
              <w:t>二十九、债务发行费用支出</w:t>
            </w:r>
          </w:p>
        </w:tc>
        <w:tc>
          <w:tcPr>
            <w:tcW w:w="2126" w:type="dxa"/>
            <w:vAlign w:val="center"/>
          </w:tcPr>
          <w:p w14:paraId="2832FC42">
            <w:pPr>
              <w:pStyle w:val="14"/>
            </w:pPr>
          </w:p>
        </w:tc>
      </w:tr>
      <w:tr w14:paraId="04C5D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337B6">
            <w:pPr>
              <w:pStyle w:val="12"/>
            </w:pPr>
            <w:r>
              <w:t>30</w:t>
            </w:r>
          </w:p>
        </w:tc>
        <w:tc>
          <w:tcPr>
            <w:tcW w:w="4535" w:type="dxa"/>
            <w:vAlign w:val="center"/>
          </w:tcPr>
          <w:p w14:paraId="7F7D888B">
            <w:pPr>
              <w:pStyle w:val="13"/>
            </w:pPr>
          </w:p>
        </w:tc>
        <w:tc>
          <w:tcPr>
            <w:tcW w:w="2126" w:type="dxa"/>
            <w:vAlign w:val="center"/>
          </w:tcPr>
          <w:p w14:paraId="6C6AD5E7">
            <w:pPr>
              <w:pStyle w:val="14"/>
            </w:pPr>
          </w:p>
        </w:tc>
        <w:tc>
          <w:tcPr>
            <w:tcW w:w="4535" w:type="dxa"/>
            <w:vAlign w:val="center"/>
          </w:tcPr>
          <w:p w14:paraId="0C0AD4AB">
            <w:pPr>
              <w:pStyle w:val="13"/>
            </w:pPr>
            <w:r>
              <w:t>三十、抗疫特别国债安排的支出</w:t>
            </w:r>
          </w:p>
        </w:tc>
        <w:tc>
          <w:tcPr>
            <w:tcW w:w="2126" w:type="dxa"/>
            <w:vAlign w:val="center"/>
          </w:tcPr>
          <w:p w14:paraId="3D3E054B">
            <w:pPr>
              <w:pStyle w:val="14"/>
            </w:pPr>
          </w:p>
        </w:tc>
      </w:tr>
      <w:tr w14:paraId="088C6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305F2">
            <w:pPr>
              <w:pStyle w:val="12"/>
            </w:pPr>
            <w:r>
              <w:t>31</w:t>
            </w:r>
          </w:p>
        </w:tc>
        <w:tc>
          <w:tcPr>
            <w:tcW w:w="4535" w:type="dxa"/>
            <w:vAlign w:val="center"/>
          </w:tcPr>
          <w:p w14:paraId="42D716BB">
            <w:pPr>
              <w:pStyle w:val="13"/>
            </w:pPr>
          </w:p>
        </w:tc>
        <w:tc>
          <w:tcPr>
            <w:tcW w:w="2126" w:type="dxa"/>
            <w:vAlign w:val="center"/>
          </w:tcPr>
          <w:p w14:paraId="0F429A33">
            <w:pPr>
              <w:pStyle w:val="14"/>
            </w:pPr>
          </w:p>
        </w:tc>
        <w:tc>
          <w:tcPr>
            <w:tcW w:w="4535" w:type="dxa"/>
            <w:vAlign w:val="center"/>
          </w:tcPr>
          <w:p w14:paraId="71DB57AC">
            <w:pPr>
              <w:pStyle w:val="13"/>
            </w:pPr>
            <w:r>
              <w:t>三十一、人行科目</w:t>
            </w:r>
          </w:p>
        </w:tc>
        <w:tc>
          <w:tcPr>
            <w:tcW w:w="2126" w:type="dxa"/>
            <w:vAlign w:val="center"/>
          </w:tcPr>
          <w:p w14:paraId="0FF6FAB7">
            <w:pPr>
              <w:pStyle w:val="14"/>
            </w:pPr>
          </w:p>
        </w:tc>
      </w:tr>
      <w:tr w14:paraId="28853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4965C">
            <w:pPr>
              <w:pStyle w:val="12"/>
            </w:pPr>
            <w:r>
              <w:t>32</w:t>
            </w:r>
          </w:p>
        </w:tc>
        <w:tc>
          <w:tcPr>
            <w:tcW w:w="4535" w:type="dxa"/>
            <w:vAlign w:val="center"/>
          </w:tcPr>
          <w:p w14:paraId="402DC0D6">
            <w:pPr>
              <w:pStyle w:val="15"/>
            </w:pPr>
            <w:r>
              <w:t>本年收入合计</w:t>
            </w:r>
          </w:p>
        </w:tc>
        <w:tc>
          <w:tcPr>
            <w:tcW w:w="2126" w:type="dxa"/>
            <w:vAlign w:val="center"/>
          </w:tcPr>
          <w:p w14:paraId="7A6BDA63">
            <w:pPr>
              <w:pStyle w:val="16"/>
            </w:pPr>
            <w:r>
              <w:t>1412.17</w:t>
            </w:r>
          </w:p>
        </w:tc>
        <w:tc>
          <w:tcPr>
            <w:tcW w:w="4535" w:type="dxa"/>
            <w:vAlign w:val="center"/>
          </w:tcPr>
          <w:p w14:paraId="7DBD5A24">
            <w:pPr>
              <w:pStyle w:val="15"/>
            </w:pPr>
            <w:r>
              <w:t>本年支出合计</w:t>
            </w:r>
          </w:p>
        </w:tc>
        <w:tc>
          <w:tcPr>
            <w:tcW w:w="2126" w:type="dxa"/>
            <w:vAlign w:val="center"/>
          </w:tcPr>
          <w:p w14:paraId="1D8A9403">
            <w:pPr>
              <w:pStyle w:val="16"/>
            </w:pPr>
            <w:r>
              <w:t>1412.17</w:t>
            </w:r>
          </w:p>
        </w:tc>
      </w:tr>
      <w:tr w14:paraId="39588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CFDC8">
            <w:pPr>
              <w:pStyle w:val="12"/>
            </w:pPr>
            <w:r>
              <w:t>33</w:t>
            </w:r>
          </w:p>
        </w:tc>
        <w:tc>
          <w:tcPr>
            <w:tcW w:w="4535" w:type="dxa"/>
            <w:vAlign w:val="center"/>
          </w:tcPr>
          <w:p w14:paraId="4C3104B5">
            <w:pPr>
              <w:pStyle w:val="13"/>
            </w:pPr>
            <w:r>
              <w:t>上年结转结余</w:t>
            </w:r>
          </w:p>
        </w:tc>
        <w:tc>
          <w:tcPr>
            <w:tcW w:w="2126" w:type="dxa"/>
            <w:vAlign w:val="center"/>
          </w:tcPr>
          <w:p w14:paraId="6F6AC853">
            <w:pPr>
              <w:pStyle w:val="14"/>
            </w:pPr>
          </w:p>
        </w:tc>
        <w:tc>
          <w:tcPr>
            <w:tcW w:w="4535" w:type="dxa"/>
            <w:vAlign w:val="center"/>
          </w:tcPr>
          <w:p w14:paraId="548C5091">
            <w:pPr>
              <w:pStyle w:val="13"/>
            </w:pPr>
            <w:r>
              <w:t>年终结转结余</w:t>
            </w:r>
          </w:p>
        </w:tc>
        <w:tc>
          <w:tcPr>
            <w:tcW w:w="2126" w:type="dxa"/>
            <w:vAlign w:val="center"/>
          </w:tcPr>
          <w:p w14:paraId="1AD717F9">
            <w:pPr>
              <w:pStyle w:val="14"/>
            </w:pPr>
          </w:p>
        </w:tc>
      </w:tr>
      <w:tr w14:paraId="64DAD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01157">
            <w:pPr>
              <w:pStyle w:val="12"/>
            </w:pPr>
            <w:r>
              <w:t>34</w:t>
            </w:r>
          </w:p>
        </w:tc>
        <w:tc>
          <w:tcPr>
            <w:tcW w:w="4535" w:type="dxa"/>
            <w:vAlign w:val="center"/>
          </w:tcPr>
          <w:p w14:paraId="0499BC5E">
            <w:pPr>
              <w:pStyle w:val="15"/>
            </w:pPr>
            <w:r>
              <w:t>收入总计</w:t>
            </w:r>
          </w:p>
        </w:tc>
        <w:tc>
          <w:tcPr>
            <w:tcW w:w="2126" w:type="dxa"/>
            <w:vAlign w:val="center"/>
          </w:tcPr>
          <w:p w14:paraId="1A4D9D69">
            <w:pPr>
              <w:pStyle w:val="16"/>
            </w:pPr>
            <w:r>
              <w:t>1412.17</w:t>
            </w:r>
          </w:p>
        </w:tc>
        <w:tc>
          <w:tcPr>
            <w:tcW w:w="4535" w:type="dxa"/>
            <w:vAlign w:val="center"/>
          </w:tcPr>
          <w:p w14:paraId="64DF3285">
            <w:pPr>
              <w:pStyle w:val="15"/>
            </w:pPr>
            <w:r>
              <w:t>支出总计</w:t>
            </w:r>
          </w:p>
        </w:tc>
        <w:tc>
          <w:tcPr>
            <w:tcW w:w="2126" w:type="dxa"/>
            <w:vAlign w:val="center"/>
          </w:tcPr>
          <w:p w14:paraId="2ED327D5">
            <w:pPr>
              <w:pStyle w:val="16"/>
            </w:pPr>
            <w:r>
              <w:t>1412.17</w:t>
            </w:r>
          </w:p>
        </w:tc>
      </w:tr>
    </w:tbl>
    <w:p w14:paraId="4C088899">
      <w:pPr>
        <w:sectPr>
          <w:pgSz w:w="16840" w:h="11900" w:orient="landscape"/>
          <w:pgMar w:top="1361" w:right="1020" w:bottom="1134" w:left="1020" w:header="720" w:footer="720" w:gutter="0"/>
          <w:cols w:space="720" w:num="1"/>
        </w:sectPr>
      </w:pPr>
    </w:p>
    <w:p w14:paraId="74AB4A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D74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DBCCC9">
            <w:pPr>
              <w:pStyle w:val="8"/>
            </w:pPr>
            <w:r>
              <w:t>360038隆尧县第五实验小学</w:t>
            </w:r>
          </w:p>
        </w:tc>
        <w:tc>
          <w:tcPr>
            <w:tcW w:w="3402" w:type="dxa"/>
            <w:gridSpan w:val="3"/>
            <w:tcBorders>
              <w:top w:val="single" w:color="FFFFFF" w:sz="6" w:space="0"/>
              <w:left w:val="single" w:color="FFFFFF" w:sz="6" w:space="0"/>
              <w:right w:val="single" w:color="FFFFFF" w:sz="6" w:space="0"/>
            </w:tcBorders>
            <w:vAlign w:val="center"/>
          </w:tcPr>
          <w:p w14:paraId="5CF0B4AE">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00C78A9">
            <w:pPr>
              <w:pStyle w:val="10"/>
            </w:pPr>
            <w:r>
              <w:t>单位：万元</w:t>
            </w:r>
          </w:p>
        </w:tc>
      </w:tr>
      <w:tr w14:paraId="55551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352988">
            <w:pPr>
              <w:pStyle w:val="11"/>
            </w:pPr>
            <w:r>
              <w:t>序号</w:t>
            </w:r>
          </w:p>
        </w:tc>
        <w:tc>
          <w:tcPr>
            <w:tcW w:w="2551" w:type="dxa"/>
            <w:gridSpan w:val="2"/>
            <w:vAlign w:val="center"/>
          </w:tcPr>
          <w:p w14:paraId="272A3CC8">
            <w:pPr>
              <w:pStyle w:val="11"/>
            </w:pPr>
            <w:r>
              <w:t>功能分类科目</w:t>
            </w:r>
          </w:p>
        </w:tc>
        <w:tc>
          <w:tcPr>
            <w:tcW w:w="1134" w:type="dxa"/>
            <w:vMerge w:val="restart"/>
            <w:vAlign w:val="center"/>
          </w:tcPr>
          <w:p w14:paraId="3696993F">
            <w:pPr>
              <w:pStyle w:val="11"/>
            </w:pPr>
            <w:r>
              <w:t>合计</w:t>
            </w:r>
          </w:p>
        </w:tc>
        <w:tc>
          <w:tcPr>
            <w:tcW w:w="9072" w:type="dxa"/>
            <w:gridSpan w:val="8"/>
            <w:vAlign w:val="center"/>
          </w:tcPr>
          <w:p w14:paraId="7491ABA7">
            <w:pPr>
              <w:pStyle w:val="11"/>
            </w:pPr>
            <w:r>
              <w:t>本年收入</w:t>
            </w:r>
          </w:p>
        </w:tc>
        <w:tc>
          <w:tcPr>
            <w:tcW w:w="1134" w:type="dxa"/>
            <w:vMerge w:val="restart"/>
            <w:vAlign w:val="center"/>
          </w:tcPr>
          <w:p w14:paraId="3D08DDAC">
            <w:pPr>
              <w:pStyle w:val="11"/>
            </w:pPr>
            <w:r>
              <w:t>上年结转</w:t>
            </w:r>
          </w:p>
        </w:tc>
      </w:tr>
      <w:tr w14:paraId="33759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2BA6B5"/>
        </w:tc>
        <w:tc>
          <w:tcPr>
            <w:tcW w:w="992" w:type="dxa"/>
            <w:vAlign w:val="center"/>
          </w:tcPr>
          <w:p w14:paraId="7ED46189">
            <w:pPr>
              <w:pStyle w:val="11"/>
            </w:pPr>
            <w:r>
              <w:t>科目    编码</w:t>
            </w:r>
          </w:p>
        </w:tc>
        <w:tc>
          <w:tcPr>
            <w:tcW w:w="1559" w:type="dxa"/>
            <w:vAlign w:val="center"/>
          </w:tcPr>
          <w:p w14:paraId="33CA81DC">
            <w:pPr>
              <w:pStyle w:val="11"/>
            </w:pPr>
            <w:r>
              <w:t>科目名称</w:t>
            </w:r>
          </w:p>
        </w:tc>
        <w:tc>
          <w:tcPr>
            <w:tcW w:w="1134" w:type="dxa"/>
            <w:vMerge w:val="continue"/>
          </w:tcPr>
          <w:p w14:paraId="7DFBBC6B"/>
        </w:tc>
        <w:tc>
          <w:tcPr>
            <w:tcW w:w="1134" w:type="dxa"/>
            <w:vAlign w:val="center"/>
          </w:tcPr>
          <w:p w14:paraId="04F5A311">
            <w:pPr>
              <w:pStyle w:val="11"/>
            </w:pPr>
            <w:r>
              <w:t>小计</w:t>
            </w:r>
          </w:p>
        </w:tc>
        <w:tc>
          <w:tcPr>
            <w:tcW w:w="1134" w:type="dxa"/>
            <w:vAlign w:val="center"/>
          </w:tcPr>
          <w:p w14:paraId="57E53180">
            <w:pPr>
              <w:pStyle w:val="11"/>
            </w:pPr>
            <w:r>
              <w:t>财政拨款 收入</w:t>
            </w:r>
          </w:p>
        </w:tc>
        <w:tc>
          <w:tcPr>
            <w:tcW w:w="1134" w:type="dxa"/>
            <w:vAlign w:val="center"/>
          </w:tcPr>
          <w:p w14:paraId="42C0829B">
            <w:pPr>
              <w:pStyle w:val="11"/>
            </w:pPr>
            <w:r>
              <w:t>财政专户 收入</w:t>
            </w:r>
          </w:p>
        </w:tc>
        <w:tc>
          <w:tcPr>
            <w:tcW w:w="1134" w:type="dxa"/>
            <w:vAlign w:val="center"/>
          </w:tcPr>
          <w:p w14:paraId="6A621E88">
            <w:pPr>
              <w:pStyle w:val="11"/>
            </w:pPr>
            <w:r>
              <w:t>事业收入</w:t>
            </w:r>
          </w:p>
        </w:tc>
        <w:tc>
          <w:tcPr>
            <w:tcW w:w="1134" w:type="dxa"/>
            <w:vAlign w:val="center"/>
          </w:tcPr>
          <w:p w14:paraId="0430DCB3">
            <w:pPr>
              <w:pStyle w:val="11"/>
            </w:pPr>
            <w:r>
              <w:t>经营收入</w:t>
            </w:r>
          </w:p>
        </w:tc>
        <w:tc>
          <w:tcPr>
            <w:tcW w:w="1134" w:type="dxa"/>
            <w:vAlign w:val="center"/>
          </w:tcPr>
          <w:p w14:paraId="3D14AF36">
            <w:pPr>
              <w:pStyle w:val="11"/>
            </w:pPr>
            <w:r>
              <w:t>上级补助收入</w:t>
            </w:r>
          </w:p>
        </w:tc>
        <w:tc>
          <w:tcPr>
            <w:tcW w:w="1134" w:type="dxa"/>
            <w:vAlign w:val="center"/>
          </w:tcPr>
          <w:p w14:paraId="434B5999">
            <w:pPr>
              <w:pStyle w:val="11"/>
            </w:pPr>
            <w:r>
              <w:t>附属单位上缴收入</w:t>
            </w:r>
          </w:p>
        </w:tc>
        <w:tc>
          <w:tcPr>
            <w:tcW w:w="1134" w:type="dxa"/>
            <w:vAlign w:val="center"/>
          </w:tcPr>
          <w:p w14:paraId="0A7CD175">
            <w:pPr>
              <w:pStyle w:val="11"/>
            </w:pPr>
            <w:r>
              <w:t>其他收入</w:t>
            </w:r>
          </w:p>
        </w:tc>
        <w:tc>
          <w:tcPr>
            <w:tcW w:w="1134" w:type="dxa"/>
            <w:vMerge w:val="continue"/>
          </w:tcPr>
          <w:p w14:paraId="42225F32"/>
        </w:tc>
      </w:tr>
      <w:tr w14:paraId="3D159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225FA7">
            <w:pPr>
              <w:pStyle w:val="11"/>
            </w:pPr>
            <w:r>
              <w:t>栏次</w:t>
            </w:r>
          </w:p>
        </w:tc>
        <w:tc>
          <w:tcPr>
            <w:tcW w:w="992" w:type="dxa"/>
            <w:vAlign w:val="center"/>
          </w:tcPr>
          <w:p w14:paraId="05D5A0AE">
            <w:pPr>
              <w:pStyle w:val="11"/>
            </w:pPr>
            <w:r>
              <w:t>1</w:t>
            </w:r>
          </w:p>
        </w:tc>
        <w:tc>
          <w:tcPr>
            <w:tcW w:w="1559" w:type="dxa"/>
            <w:vAlign w:val="center"/>
          </w:tcPr>
          <w:p w14:paraId="636DB814">
            <w:pPr>
              <w:pStyle w:val="11"/>
            </w:pPr>
            <w:r>
              <w:t>2</w:t>
            </w:r>
          </w:p>
        </w:tc>
        <w:tc>
          <w:tcPr>
            <w:tcW w:w="1134" w:type="dxa"/>
            <w:vAlign w:val="center"/>
          </w:tcPr>
          <w:p w14:paraId="440BAD91">
            <w:pPr>
              <w:pStyle w:val="11"/>
            </w:pPr>
            <w:r>
              <w:t>3</w:t>
            </w:r>
          </w:p>
        </w:tc>
        <w:tc>
          <w:tcPr>
            <w:tcW w:w="1134" w:type="dxa"/>
            <w:vAlign w:val="center"/>
          </w:tcPr>
          <w:p w14:paraId="13E47CCB">
            <w:pPr>
              <w:pStyle w:val="11"/>
            </w:pPr>
            <w:r>
              <w:t>4</w:t>
            </w:r>
          </w:p>
        </w:tc>
        <w:tc>
          <w:tcPr>
            <w:tcW w:w="1134" w:type="dxa"/>
            <w:vAlign w:val="center"/>
          </w:tcPr>
          <w:p w14:paraId="5A778C5D">
            <w:pPr>
              <w:pStyle w:val="11"/>
            </w:pPr>
            <w:r>
              <w:t>5</w:t>
            </w:r>
          </w:p>
        </w:tc>
        <w:tc>
          <w:tcPr>
            <w:tcW w:w="1134" w:type="dxa"/>
            <w:vAlign w:val="center"/>
          </w:tcPr>
          <w:p w14:paraId="337239C7">
            <w:pPr>
              <w:pStyle w:val="11"/>
            </w:pPr>
            <w:r>
              <w:t>6</w:t>
            </w:r>
          </w:p>
        </w:tc>
        <w:tc>
          <w:tcPr>
            <w:tcW w:w="1134" w:type="dxa"/>
            <w:vAlign w:val="center"/>
          </w:tcPr>
          <w:p w14:paraId="76833702">
            <w:pPr>
              <w:pStyle w:val="11"/>
            </w:pPr>
            <w:r>
              <w:t>7</w:t>
            </w:r>
          </w:p>
        </w:tc>
        <w:tc>
          <w:tcPr>
            <w:tcW w:w="1134" w:type="dxa"/>
            <w:vAlign w:val="center"/>
          </w:tcPr>
          <w:p w14:paraId="43BCFE42">
            <w:pPr>
              <w:pStyle w:val="11"/>
            </w:pPr>
            <w:r>
              <w:t>8</w:t>
            </w:r>
          </w:p>
        </w:tc>
        <w:tc>
          <w:tcPr>
            <w:tcW w:w="1134" w:type="dxa"/>
            <w:vAlign w:val="center"/>
          </w:tcPr>
          <w:p w14:paraId="49BF38C7">
            <w:pPr>
              <w:pStyle w:val="11"/>
            </w:pPr>
            <w:r>
              <w:t>9</w:t>
            </w:r>
          </w:p>
        </w:tc>
        <w:tc>
          <w:tcPr>
            <w:tcW w:w="1134" w:type="dxa"/>
            <w:vAlign w:val="center"/>
          </w:tcPr>
          <w:p w14:paraId="4DE060B7">
            <w:pPr>
              <w:pStyle w:val="11"/>
            </w:pPr>
            <w:r>
              <w:t>10</w:t>
            </w:r>
          </w:p>
        </w:tc>
        <w:tc>
          <w:tcPr>
            <w:tcW w:w="1134" w:type="dxa"/>
            <w:vAlign w:val="center"/>
          </w:tcPr>
          <w:p w14:paraId="59388BCA">
            <w:pPr>
              <w:pStyle w:val="11"/>
            </w:pPr>
            <w:r>
              <w:t>11</w:t>
            </w:r>
          </w:p>
        </w:tc>
        <w:tc>
          <w:tcPr>
            <w:tcW w:w="1134" w:type="dxa"/>
            <w:vAlign w:val="center"/>
          </w:tcPr>
          <w:p w14:paraId="37C2EFB6">
            <w:pPr>
              <w:pStyle w:val="11"/>
            </w:pPr>
            <w:r>
              <w:t>12</w:t>
            </w:r>
          </w:p>
        </w:tc>
      </w:tr>
      <w:tr w14:paraId="643C8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DFDC1D">
            <w:pPr>
              <w:pStyle w:val="12"/>
            </w:pPr>
            <w:r>
              <w:t>1</w:t>
            </w:r>
          </w:p>
        </w:tc>
        <w:tc>
          <w:tcPr>
            <w:tcW w:w="992" w:type="dxa"/>
            <w:vAlign w:val="center"/>
          </w:tcPr>
          <w:p w14:paraId="02DA1F03">
            <w:pPr>
              <w:pStyle w:val="17"/>
            </w:pPr>
          </w:p>
        </w:tc>
        <w:tc>
          <w:tcPr>
            <w:tcW w:w="1559" w:type="dxa"/>
            <w:vAlign w:val="center"/>
          </w:tcPr>
          <w:p w14:paraId="1F4B3E61">
            <w:pPr>
              <w:pStyle w:val="15"/>
            </w:pPr>
            <w:r>
              <w:t>合计</w:t>
            </w:r>
          </w:p>
        </w:tc>
        <w:tc>
          <w:tcPr>
            <w:tcW w:w="1134" w:type="dxa"/>
            <w:vAlign w:val="center"/>
          </w:tcPr>
          <w:p w14:paraId="708110A8">
            <w:pPr>
              <w:pStyle w:val="16"/>
            </w:pPr>
            <w:r>
              <w:t>1412.17</w:t>
            </w:r>
          </w:p>
        </w:tc>
        <w:tc>
          <w:tcPr>
            <w:tcW w:w="1134" w:type="dxa"/>
            <w:vAlign w:val="center"/>
          </w:tcPr>
          <w:p w14:paraId="3B0072A6">
            <w:pPr>
              <w:pStyle w:val="16"/>
            </w:pPr>
            <w:r>
              <w:t>1412.17</w:t>
            </w:r>
          </w:p>
        </w:tc>
        <w:tc>
          <w:tcPr>
            <w:tcW w:w="1134" w:type="dxa"/>
            <w:vAlign w:val="center"/>
          </w:tcPr>
          <w:p w14:paraId="04BDE91E">
            <w:pPr>
              <w:pStyle w:val="16"/>
            </w:pPr>
            <w:r>
              <w:t>1412.17</w:t>
            </w:r>
          </w:p>
        </w:tc>
        <w:tc>
          <w:tcPr>
            <w:tcW w:w="1134" w:type="dxa"/>
            <w:vAlign w:val="center"/>
          </w:tcPr>
          <w:p w14:paraId="32A7002C">
            <w:pPr>
              <w:pStyle w:val="16"/>
            </w:pPr>
          </w:p>
        </w:tc>
        <w:tc>
          <w:tcPr>
            <w:tcW w:w="1134" w:type="dxa"/>
            <w:vAlign w:val="center"/>
          </w:tcPr>
          <w:p w14:paraId="593D1F60">
            <w:pPr>
              <w:pStyle w:val="16"/>
            </w:pPr>
          </w:p>
        </w:tc>
        <w:tc>
          <w:tcPr>
            <w:tcW w:w="1134" w:type="dxa"/>
            <w:vAlign w:val="center"/>
          </w:tcPr>
          <w:p w14:paraId="34238CC2">
            <w:pPr>
              <w:pStyle w:val="16"/>
            </w:pPr>
          </w:p>
        </w:tc>
        <w:tc>
          <w:tcPr>
            <w:tcW w:w="1134" w:type="dxa"/>
            <w:vAlign w:val="center"/>
          </w:tcPr>
          <w:p w14:paraId="3CC24EEA">
            <w:pPr>
              <w:pStyle w:val="16"/>
            </w:pPr>
          </w:p>
        </w:tc>
        <w:tc>
          <w:tcPr>
            <w:tcW w:w="1134" w:type="dxa"/>
            <w:vAlign w:val="center"/>
          </w:tcPr>
          <w:p w14:paraId="2F80DBEB">
            <w:pPr>
              <w:pStyle w:val="16"/>
            </w:pPr>
          </w:p>
        </w:tc>
        <w:tc>
          <w:tcPr>
            <w:tcW w:w="1134" w:type="dxa"/>
            <w:vAlign w:val="center"/>
          </w:tcPr>
          <w:p w14:paraId="74C7279E">
            <w:pPr>
              <w:pStyle w:val="16"/>
            </w:pPr>
          </w:p>
        </w:tc>
        <w:tc>
          <w:tcPr>
            <w:tcW w:w="1134" w:type="dxa"/>
            <w:vAlign w:val="center"/>
          </w:tcPr>
          <w:p w14:paraId="137B85B3">
            <w:pPr>
              <w:pStyle w:val="16"/>
            </w:pPr>
          </w:p>
        </w:tc>
      </w:tr>
      <w:tr w14:paraId="084D2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E47070">
            <w:pPr>
              <w:pStyle w:val="12"/>
            </w:pPr>
            <w:r>
              <w:t>2</w:t>
            </w:r>
          </w:p>
        </w:tc>
        <w:tc>
          <w:tcPr>
            <w:tcW w:w="992" w:type="dxa"/>
            <w:vAlign w:val="center"/>
          </w:tcPr>
          <w:p w14:paraId="5D2A9A62">
            <w:pPr>
              <w:pStyle w:val="13"/>
            </w:pPr>
            <w:r>
              <w:t>205</w:t>
            </w:r>
          </w:p>
        </w:tc>
        <w:tc>
          <w:tcPr>
            <w:tcW w:w="1559" w:type="dxa"/>
            <w:vAlign w:val="center"/>
          </w:tcPr>
          <w:p w14:paraId="7D3F2BBF">
            <w:pPr>
              <w:pStyle w:val="13"/>
            </w:pPr>
            <w:r>
              <w:t>教育支出</w:t>
            </w:r>
          </w:p>
        </w:tc>
        <w:tc>
          <w:tcPr>
            <w:tcW w:w="1134" w:type="dxa"/>
            <w:vAlign w:val="center"/>
          </w:tcPr>
          <w:p w14:paraId="4116FC0A">
            <w:pPr>
              <w:pStyle w:val="14"/>
            </w:pPr>
            <w:r>
              <w:t>1412.17</w:t>
            </w:r>
          </w:p>
        </w:tc>
        <w:tc>
          <w:tcPr>
            <w:tcW w:w="1134" w:type="dxa"/>
            <w:vAlign w:val="center"/>
          </w:tcPr>
          <w:p w14:paraId="352DF470">
            <w:pPr>
              <w:pStyle w:val="14"/>
            </w:pPr>
            <w:r>
              <w:t>1412.17</w:t>
            </w:r>
          </w:p>
        </w:tc>
        <w:tc>
          <w:tcPr>
            <w:tcW w:w="1134" w:type="dxa"/>
            <w:vAlign w:val="center"/>
          </w:tcPr>
          <w:p w14:paraId="70E692FD">
            <w:pPr>
              <w:pStyle w:val="14"/>
            </w:pPr>
            <w:r>
              <w:t>1412.17</w:t>
            </w:r>
          </w:p>
        </w:tc>
        <w:tc>
          <w:tcPr>
            <w:tcW w:w="1134" w:type="dxa"/>
            <w:vAlign w:val="center"/>
          </w:tcPr>
          <w:p w14:paraId="583134BB">
            <w:pPr>
              <w:pStyle w:val="14"/>
            </w:pPr>
          </w:p>
        </w:tc>
        <w:tc>
          <w:tcPr>
            <w:tcW w:w="1134" w:type="dxa"/>
            <w:vAlign w:val="center"/>
          </w:tcPr>
          <w:p w14:paraId="6244E71E">
            <w:pPr>
              <w:pStyle w:val="14"/>
            </w:pPr>
          </w:p>
        </w:tc>
        <w:tc>
          <w:tcPr>
            <w:tcW w:w="1134" w:type="dxa"/>
            <w:vAlign w:val="center"/>
          </w:tcPr>
          <w:p w14:paraId="6EBEC659">
            <w:pPr>
              <w:pStyle w:val="14"/>
            </w:pPr>
          </w:p>
        </w:tc>
        <w:tc>
          <w:tcPr>
            <w:tcW w:w="1134" w:type="dxa"/>
            <w:vAlign w:val="center"/>
          </w:tcPr>
          <w:p w14:paraId="1B2B30B7">
            <w:pPr>
              <w:pStyle w:val="14"/>
            </w:pPr>
          </w:p>
        </w:tc>
        <w:tc>
          <w:tcPr>
            <w:tcW w:w="1134" w:type="dxa"/>
            <w:vAlign w:val="center"/>
          </w:tcPr>
          <w:p w14:paraId="295DCB8E">
            <w:pPr>
              <w:pStyle w:val="14"/>
            </w:pPr>
          </w:p>
        </w:tc>
        <w:tc>
          <w:tcPr>
            <w:tcW w:w="1134" w:type="dxa"/>
            <w:vAlign w:val="center"/>
          </w:tcPr>
          <w:p w14:paraId="7D95B827">
            <w:pPr>
              <w:pStyle w:val="14"/>
            </w:pPr>
          </w:p>
        </w:tc>
        <w:tc>
          <w:tcPr>
            <w:tcW w:w="1134" w:type="dxa"/>
            <w:vAlign w:val="center"/>
          </w:tcPr>
          <w:p w14:paraId="1E889134">
            <w:pPr>
              <w:pStyle w:val="14"/>
            </w:pPr>
          </w:p>
        </w:tc>
      </w:tr>
      <w:tr w14:paraId="1FE60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24D956">
            <w:pPr>
              <w:pStyle w:val="12"/>
            </w:pPr>
            <w:r>
              <w:t>3</w:t>
            </w:r>
          </w:p>
        </w:tc>
        <w:tc>
          <w:tcPr>
            <w:tcW w:w="992" w:type="dxa"/>
            <w:vAlign w:val="center"/>
          </w:tcPr>
          <w:p w14:paraId="354EBB95">
            <w:pPr>
              <w:pStyle w:val="13"/>
            </w:pPr>
            <w:r>
              <w:t>20502</w:t>
            </w:r>
          </w:p>
        </w:tc>
        <w:tc>
          <w:tcPr>
            <w:tcW w:w="1559" w:type="dxa"/>
            <w:vAlign w:val="center"/>
          </w:tcPr>
          <w:p w14:paraId="0FD3651E">
            <w:pPr>
              <w:pStyle w:val="13"/>
            </w:pPr>
            <w:r>
              <w:t>普通教育</w:t>
            </w:r>
          </w:p>
        </w:tc>
        <w:tc>
          <w:tcPr>
            <w:tcW w:w="1134" w:type="dxa"/>
            <w:vAlign w:val="center"/>
          </w:tcPr>
          <w:p w14:paraId="2138DA72">
            <w:pPr>
              <w:pStyle w:val="14"/>
            </w:pPr>
            <w:r>
              <w:t>1412.17</w:t>
            </w:r>
          </w:p>
        </w:tc>
        <w:tc>
          <w:tcPr>
            <w:tcW w:w="1134" w:type="dxa"/>
            <w:vAlign w:val="center"/>
          </w:tcPr>
          <w:p w14:paraId="7F1902F9">
            <w:pPr>
              <w:pStyle w:val="14"/>
            </w:pPr>
            <w:r>
              <w:t>1412.17</w:t>
            </w:r>
          </w:p>
        </w:tc>
        <w:tc>
          <w:tcPr>
            <w:tcW w:w="1134" w:type="dxa"/>
            <w:vAlign w:val="center"/>
          </w:tcPr>
          <w:p w14:paraId="728971A8">
            <w:pPr>
              <w:pStyle w:val="14"/>
            </w:pPr>
            <w:r>
              <w:t>1412.17</w:t>
            </w:r>
          </w:p>
        </w:tc>
        <w:tc>
          <w:tcPr>
            <w:tcW w:w="1134" w:type="dxa"/>
            <w:vAlign w:val="center"/>
          </w:tcPr>
          <w:p w14:paraId="3E608AA2">
            <w:pPr>
              <w:pStyle w:val="14"/>
            </w:pPr>
          </w:p>
        </w:tc>
        <w:tc>
          <w:tcPr>
            <w:tcW w:w="1134" w:type="dxa"/>
            <w:vAlign w:val="center"/>
          </w:tcPr>
          <w:p w14:paraId="00E2A998">
            <w:pPr>
              <w:pStyle w:val="14"/>
            </w:pPr>
          </w:p>
        </w:tc>
        <w:tc>
          <w:tcPr>
            <w:tcW w:w="1134" w:type="dxa"/>
            <w:vAlign w:val="center"/>
          </w:tcPr>
          <w:p w14:paraId="057D9D4E">
            <w:pPr>
              <w:pStyle w:val="14"/>
            </w:pPr>
          </w:p>
        </w:tc>
        <w:tc>
          <w:tcPr>
            <w:tcW w:w="1134" w:type="dxa"/>
            <w:vAlign w:val="center"/>
          </w:tcPr>
          <w:p w14:paraId="55430DDC">
            <w:pPr>
              <w:pStyle w:val="14"/>
            </w:pPr>
          </w:p>
        </w:tc>
        <w:tc>
          <w:tcPr>
            <w:tcW w:w="1134" w:type="dxa"/>
            <w:vAlign w:val="center"/>
          </w:tcPr>
          <w:p w14:paraId="76B071F7">
            <w:pPr>
              <w:pStyle w:val="14"/>
            </w:pPr>
          </w:p>
        </w:tc>
        <w:tc>
          <w:tcPr>
            <w:tcW w:w="1134" w:type="dxa"/>
            <w:vAlign w:val="center"/>
          </w:tcPr>
          <w:p w14:paraId="3E656114">
            <w:pPr>
              <w:pStyle w:val="14"/>
            </w:pPr>
          </w:p>
        </w:tc>
        <w:tc>
          <w:tcPr>
            <w:tcW w:w="1134" w:type="dxa"/>
            <w:vAlign w:val="center"/>
          </w:tcPr>
          <w:p w14:paraId="551B6C77">
            <w:pPr>
              <w:pStyle w:val="14"/>
            </w:pPr>
          </w:p>
        </w:tc>
      </w:tr>
      <w:tr w14:paraId="2D25D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E4AE48">
            <w:pPr>
              <w:pStyle w:val="12"/>
            </w:pPr>
            <w:r>
              <w:t>4</w:t>
            </w:r>
          </w:p>
        </w:tc>
        <w:tc>
          <w:tcPr>
            <w:tcW w:w="992" w:type="dxa"/>
            <w:vAlign w:val="center"/>
          </w:tcPr>
          <w:p w14:paraId="545C2437">
            <w:pPr>
              <w:pStyle w:val="13"/>
            </w:pPr>
            <w:r>
              <w:t>2050202</w:t>
            </w:r>
          </w:p>
        </w:tc>
        <w:tc>
          <w:tcPr>
            <w:tcW w:w="1559" w:type="dxa"/>
            <w:vAlign w:val="center"/>
          </w:tcPr>
          <w:p w14:paraId="3D4ED18E">
            <w:pPr>
              <w:pStyle w:val="13"/>
            </w:pPr>
            <w:r>
              <w:t>小学教育</w:t>
            </w:r>
          </w:p>
        </w:tc>
        <w:tc>
          <w:tcPr>
            <w:tcW w:w="1134" w:type="dxa"/>
            <w:vAlign w:val="center"/>
          </w:tcPr>
          <w:p w14:paraId="7C72F724">
            <w:pPr>
              <w:pStyle w:val="14"/>
            </w:pPr>
            <w:r>
              <w:t>1412.17</w:t>
            </w:r>
          </w:p>
        </w:tc>
        <w:tc>
          <w:tcPr>
            <w:tcW w:w="1134" w:type="dxa"/>
            <w:vAlign w:val="center"/>
          </w:tcPr>
          <w:p w14:paraId="06BAB7EB">
            <w:pPr>
              <w:pStyle w:val="14"/>
            </w:pPr>
            <w:r>
              <w:t>1412.17</w:t>
            </w:r>
          </w:p>
        </w:tc>
        <w:tc>
          <w:tcPr>
            <w:tcW w:w="1134" w:type="dxa"/>
            <w:vAlign w:val="center"/>
          </w:tcPr>
          <w:p w14:paraId="3D4CF863">
            <w:pPr>
              <w:pStyle w:val="14"/>
            </w:pPr>
            <w:r>
              <w:t>1412.17</w:t>
            </w:r>
          </w:p>
        </w:tc>
        <w:tc>
          <w:tcPr>
            <w:tcW w:w="1134" w:type="dxa"/>
            <w:vAlign w:val="center"/>
          </w:tcPr>
          <w:p w14:paraId="3463C9FB">
            <w:pPr>
              <w:pStyle w:val="14"/>
            </w:pPr>
          </w:p>
        </w:tc>
        <w:tc>
          <w:tcPr>
            <w:tcW w:w="1134" w:type="dxa"/>
            <w:vAlign w:val="center"/>
          </w:tcPr>
          <w:p w14:paraId="29148C0B">
            <w:pPr>
              <w:pStyle w:val="14"/>
            </w:pPr>
          </w:p>
        </w:tc>
        <w:tc>
          <w:tcPr>
            <w:tcW w:w="1134" w:type="dxa"/>
            <w:vAlign w:val="center"/>
          </w:tcPr>
          <w:p w14:paraId="0CD89913">
            <w:pPr>
              <w:pStyle w:val="14"/>
            </w:pPr>
          </w:p>
        </w:tc>
        <w:tc>
          <w:tcPr>
            <w:tcW w:w="1134" w:type="dxa"/>
            <w:vAlign w:val="center"/>
          </w:tcPr>
          <w:p w14:paraId="69DCFAFD">
            <w:pPr>
              <w:pStyle w:val="14"/>
            </w:pPr>
          </w:p>
        </w:tc>
        <w:tc>
          <w:tcPr>
            <w:tcW w:w="1134" w:type="dxa"/>
            <w:vAlign w:val="center"/>
          </w:tcPr>
          <w:p w14:paraId="7C1DF72E">
            <w:pPr>
              <w:pStyle w:val="14"/>
            </w:pPr>
          </w:p>
        </w:tc>
        <w:tc>
          <w:tcPr>
            <w:tcW w:w="1134" w:type="dxa"/>
            <w:vAlign w:val="center"/>
          </w:tcPr>
          <w:p w14:paraId="0814175E">
            <w:pPr>
              <w:pStyle w:val="14"/>
            </w:pPr>
          </w:p>
        </w:tc>
        <w:tc>
          <w:tcPr>
            <w:tcW w:w="1134" w:type="dxa"/>
            <w:vAlign w:val="center"/>
          </w:tcPr>
          <w:p w14:paraId="637FFAC8">
            <w:pPr>
              <w:pStyle w:val="14"/>
            </w:pPr>
          </w:p>
        </w:tc>
      </w:tr>
    </w:tbl>
    <w:p w14:paraId="33400A46">
      <w:pPr>
        <w:sectPr>
          <w:pgSz w:w="16840" w:h="11900" w:orient="landscape"/>
          <w:pgMar w:top="1361" w:right="1020" w:bottom="1134" w:left="1020" w:header="720" w:footer="720" w:gutter="0"/>
          <w:cols w:space="720" w:num="1"/>
        </w:sectPr>
      </w:pPr>
    </w:p>
    <w:p w14:paraId="201764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CFB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C0A570">
            <w:pPr>
              <w:pStyle w:val="8"/>
            </w:pPr>
            <w:r>
              <w:t>360038隆尧县第五实验小学</w:t>
            </w:r>
          </w:p>
        </w:tc>
        <w:tc>
          <w:tcPr>
            <w:tcW w:w="2722" w:type="dxa"/>
            <w:gridSpan w:val="2"/>
            <w:tcBorders>
              <w:top w:val="single" w:color="FFFFFF" w:sz="6" w:space="0"/>
              <w:left w:val="single" w:color="FFFFFF" w:sz="6" w:space="0"/>
              <w:right w:val="single" w:color="FFFFFF" w:sz="6" w:space="0"/>
            </w:tcBorders>
            <w:vAlign w:val="center"/>
          </w:tcPr>
          <w:p w14:paraId="7F50088F">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0AAF8A1">
            <w:pPr>
              <w:pStyle w:val="10"/>
            </w:pPr>
            <w:r>
              <w:t>单位：万元</w:t>
            </w:r>
          </w:p>
        </w:tc>
      </w:tr>
      <w:tr w14:paraId="4E7CD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B892D">
            <w:pPr>
              <w:pStyle w:val="11"/>
            </w:pPr>
            <w:r>
              <w:t>序号</w:t>
            </w:r>
          </w:p>
        </w:tc>
        <w:tc>
          <w:tcPr>
            <w:tcW w:w="5527" w:type="dxa"/>
            <w:gridSpan w:val="2"/>
            <w:vAlign w:val="center"/>
          </w:tcPr>
          <w:p w14:paraId="18046936">
            <w:pPr>
              <w:pStyle w:val="11"/>
            </w:pPr>
            <w:r>
              <w:t>功能分类科目</w:t>
            </w:r>
          </w:p>
        </w:tc>
        <w:tc>
          <w:tcPr>
            <w:tcW w:w="1361" w:type="dxa"/>
            <w:vMerge w:val="restart"/>
            <w:vAlign w:val="center"/>
          </w:tcPr>
          <w:p w14:paraId="08A0BF8B">
            <w:pPr>
              <w:pStyle w:val="11"/>
            </w:pPr>
            <w:r>
              <w:t>合计</w:t>
            </w:r>
          </w:p>
        </w:tc>
        <w:tc>
          <w:tcPr>
            <w:tcW w:w="1361" w:type="dxa"/>
            <w:vMerge w:val="restart"/>
            <w:vAlign w:val="center"/>
          </w:tcPr>
          <w:p w14:paraId="05ADF958">
            <w:pPr>
              <w:pStyle w:val="11"/>
            </w:pPr>
            <w:r>
              <w:t>基本支出</w:t>
            </w:r>
          </w:p>
        </w:tc>
        <w:tc>
          <w:tcPr>
            <w:tcW w:w="1361" w:type="dxa"/>
            <w:vMerge w:val="restart"/>
            <w:vAlign w:val="center"/>
          </w:tcPr>
          <w:p w14:paraId="7FF87BB8">
            <w:pPr>
              <w:pStyle w:val="11"/>
            </w:pPr>
            <w:r>
              <w:t>项目支出</w:t>
            </w:r>
          </w:p>
        </w:tc>
        <w:tc>
          <w:tcPr>
            <w:tcW w:w="1361" w:type="dxa"/>
            <w:vMerge w:val="restart"/>
            <w:vAlign w:val="center"/>
          </w:tcPr>
          <w:p w14:paraId="401B8CEA">
            <w:pPr>
              <w:pStyle w:val="11"/>
            </w:pPr>
            <w:r>
              <w:t>经营支出</w:t>
            </w:r>
          </w:p>
        </w:tc>
        <w:tc>
          <w:tcPr>
            <w:tcW w:w="1361" w:type="dxa"/>
            <w:vMerge w:val="restart"/>
            <w:vAlign w:val="center"/>
          </w:tcPr>
          <w:p w14:paraId="3F682AB9">
            <w:pPr>
              <w:pStyle w:val="11"/>
            </w:pPr>
            <w:r>
              <w:t>上解上级     支出</w:t>
            </w:r>
          </w:p>
        </w:tc>
        <w:tc>
          <w:tcPr>
            <w:tcW w:w="1361" w:type="dxa"/>
            <w:vMerge w:val="restart"/>
            <w:vAlign w:val="center"/>
          </w:tcPr>
          <w:p w14:paraId="5E94BD12">
            <w:pPr>
              <w:pStyle w:val="11"/>
            </w:pPr>
            <w:r>
              <w:t>对附属单位补助支出</w:t>
            </w:r>
          </w:p>
        </w:tc>
      </w:tr>
      <w:tr w14:paraId="70626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8F3ECA"/>
        </w:tc>
        <w:tc>
          <w:tcPr>
            <w:tcW w:w="992" w:type="dxa"/>
            <w:vAlign w:val="center"/>
          </w:tcPr>
          <w:p w14:paraId="1FAFE90E">
            <w:pPr>
              <w:pStyle w:val="11"/>
            </w:pPr>
            <w:r>
              <w:t>科目    编码</w:t>
            </w:r>
          </w:p>
        </w:tc>
        <w:tc>
          <w:tcPr>
            <w:tcW w:w="4535" w:type="dxa"/>
            <w:vAlign w:val="center"/>
          </w:tcPr>
          <w:p w14:paraId="14ABF588">
            <w:pPr>
              <w:pStyle w:val="11"/>
            </w:pPr>
            <w:r>
              <w:t>科目名称</w:t>
            </w:r>
          </w:p>
        </w:tc>
        <w:tc>
          <w:tcPr>
            <w:tcW w:w="1361" w:type="dxa"/>
            <w:vMerge w:val="continue"/>
          </w:tcPr>
          <w:p w14:paraId="39D800D9"/>
        </w:tc>
        <w:tc>
          <w:tcPr>
            <w:tcW w:w="1361" w:type="dxa"/>
            <w:vMerge w:val="continue"/>
          </w:tcPr>
          <w:p w14:paraId="1CFD68BB"/>
        </w:tc>
        <w:tc>
          <w:tcPr>
            <w:tcW w:w="1361" w:type="dxa"/>
            <w:vMerge w:val="continue"/>
          </w:tcPr>
          <w:p w14:paraId="01DFE140"/>
        </w:tc>
        <w:tc>
          <w:tcPr>
            <w:tcW w:w="1361" w:type="dxa"/>
            <w:vMerge w:val="continue"/>
          </w:tcPr>
          <w:p w14:paraId="18004E49"/>
        </w:tc>
        <w:tc>
          <w:tcPr>
            <w:tcW w:w="1361" w:type="dxa"/>
            <w:vMerge w:val="continue"/>
          </w:tcPr>
          <w:p w14:paraId="7F51563C"/>
        </w:tc>
        <w:tc>
          <w:tcPr>
            <w:tcW w:w="1361" w:type="dxa"/>
            <w:vMerge w:val="continue"/>
          </w:tcPr>
          <w:p w14:paraId="0EEC9151"/>
        </w:tc>
      </w:tr>
      <w:tr w14:paraId="0C7D6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2C3B6">
            <w:pPr>
              <w:pStyle w:val="11"/>
            </w:pPr>
            <w:r>
              <w:t>栏次</w:t>
            </w:r>
          </w:p>
        </w:tc>
        <w:tc>
          <w:tcPr>
            <w:tcW w:w="992" w:type="dxa"/>
            <w:vAlign w:val="center"/>
          </w:tcPr>
          <w:p w14:paraId="16725242">
            <w:pPr>
              <w:pStyle w:val="11"/>
            </w:pPr>
            <w:r>
              <w:t>1</w:t>
            </w:r>
          </w:p>
        </w:tc>
        <w:tc>
          <w:tcPr>
            <w:tcW w:w="4535" w:type="dxa"/>
            <w:vAlign w:val="center"/>
          </w:tcPr>
          <w:p w14:paraId="36CDAB03">
            <w:pPr>
              <w:pStyle w:val="11"/>
            </w:pPr>
            <w:r>
              <w:t>2</w:t>
            </w:r>
          </w:p>
        </w:tc>
        <w:tc>
          <w:tcPr>
            <w:tcW w:w="1361" w:type="dxa"/>
            <w:vAlign w:val="center"/>
          </w:tcPr>
          <w:p w14:paraId="20A1F18A">
            <w:pPr>
              <w:pStyle w:val="11"/>
            </w:pPr>
            <w:r>
              <w:t>3</w:t>
            </w:r>
          </w:p>
        </w:tc>
        <w:tc>
          <w:tcPr>
            <w:tcW w:w="1361" w:type="dxa"/>
            <w:vAlign w:val="center"/>
          </w:tcPr>
          <w:p w14:paraId="5DC30A8F">
            <w:pPr>
              <w:pStyle w:val="11"/>
            </w:pPr>
            <w:r>
              <w:t>4</w:t>
            </w:r>
          </w:p>
        </w:tc>
        <w:tc>
          <w:tcPr>
            <w:tcW w:w="1361" w:type="dxa"/>
            <w:vAlign w:val="center"/>
          </w:tcPr>
          <w:p w14:paraId="141BE291">
            <w:pPr>
              <w:pStyle w:val="11"/>
            </w:pPr>
            <w:r>
              <w:t>5</w:t>
            </w:r>
          </w:p>
        </w:tc>
        <w:tc>
          <w:tcPr>
            <w:tcW w:w="1361" w:type="dxa"/>
            <w:vAlign w:val="center"/>
          </w:tcPr>
          <w:p w14:paraId="5F5F09FA">
            <w:pPr>
              <w:pStyle w:val="11"/>
            </w:pPr>
            <w:r>
              <w:t>6</w:t>
            </w:r>
          </w:p>
        </w:tc>
        <w:tc>
          <w:tcPr>
            <w:tcW w:w="1361" w:type="dxa"/>
            <w:vAlign w:val="center"/>
          </w:tcPr>
          <w:p w14:paraId="6ACD3F1B">
            <w:pPr>
              <w:pStyle w:val="11"/>
            </w:pPr>
            <w:r>
              <w:t>7</w:t>
            </w:r>
          </w:p>
        </w:tc>
        <w:tc>
          <w:tcPr>
            <w:tcW w:w="1361" w:type="dxa"/>
            <w:vAlign w:val="center"/>
          </w:tcPr>
          <w:p w14:paraId="089892CA">
            <w:pPr>
              <w:pStyle w:val="11"/>
            </w:pPr>
            <w:r>
              <w:t>8</w:t>
            </w:r>
          </w:p>
        </w:tc>
      </w:tr>
      <w:tr w14:paraId="29200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E3923">
            <w:pPr>
              <w:pStyle w:val="12"/>
            </w:pPr>
            <w:r>
              <w:t>1</w:t>
            </w:r>
          </w:p>
        </w:tc>
        <w:tc>
          <w:tcPr>
            <w:tcW w:w="992" w:type="dxa"/>
            <w:vAlign w:val="center"/>
          </w:tcPr>
          <w:p w14:paraId="32B1F763">
            <w:pPr>
              <w:pStyle w:val="17"/>
            </w:pPr>
          </w:p>
        </w:tc>
        <w:tc>
          <w:tcPr>
            <w:tcW w:w="4535" w:type="dxa"/>
            <w:vAlign w:val="center"/>
          </w:tcPr>
          <w:p w14:paraId="133A37FA">
            <w:pPr>
              <w:pStyle w:val="15"/>
            </w:pPr>
            <w:r>
              <w:t>合计</w:t>
            </w:r>
          </w:p>
        </w:tc>
        <w:tc>
          <w:tcPr>
            <w:tcW w:w="1361" w:type="dxa"/>
            <w:vAlign w:val="center"/>
          </w:tcPr>
          <w:p w14:paraId="654A521D">
            <w:pPr>
              <w:pStyle w:val="16"/>
            </w:pPr>
            <w:r>
              <w:t>1412.17</w:t>
            </w:r>
          </w:p>
        </w:tc>
        <w:tc>
          <w:tcPr>
            <w:tcW w:w="1361" w:type="dxa"/>
            <w:vAlign w:val="center"/>
          </w:tcPr>
          <w:p w14:paraId="08F872B5">
            <w:pPr>
              <w:pStyle w:val="16"/>
            </w:pPr>
            <w:r>
              <w:t>1102.87</w:t>
            </w:r>
          </w:p>
        </w:tc>
        <w:tc>
          <w:tcPr>
            <w:tcW w:w="1361" w:type="dxa"/>
            <w:vAlign w:val="center"/>
          </w:tcPr>
          <w:p w14:paraId="3A10FF77">
            <w:pPr>
              <w:pStyle w:val="16"/>
            </w:pPr>
            <w:r>
              <w:t>309.30</w:t>
            </w:r>
          </w:p>
        </w:tc>
        <w:tc>
          <w:tcPr>
            <w:tcW w:w="1361" w:type="dxa"/>
            <w:vAlign w:val="center"/>
          </w:tcPr>
          <w:p w14:paraId="35A8A013">
            <w:pPr>
              <w:pStyle w:val="16"/>
            </w:pPr>
          </w:p>
        </w:tc>
        <w:tc>
          <w:tcPr>
            <w:tcW w:w="1361" w:type="dxa"/>
            <w:vAlign w:val="center"/>
          </w:tcPr>
          <w:p w14:paraId="7EA87BAD">
            <w:pPr>
              <w:pStyle w:val="16"/>
            </w:pPr>
          </w:p>
        </w:tc>
        <w:tc>
          <w:tcPr>
            <w:tcW w:w="1361" w:type="dxa"/>
            <w:vAlign w:val="center"/>
          </w:tcPr>
          <w:p w14:paraId="75ED870E">
            <w:pPr>
              <w:pStyle w:val="16"/>
            </w:pPr>
          </w:p>
        </w:tc>
      </w:tr>
      <w:tr w14:paraId="0FFF5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FCDDD">
            <w:pPr>
              <w:pStyle w:val="12"/>
            </w:pPr>
            <w:r>
              <w:t>2</w:t>
            </w:r>
          </w:p>
        </w:tc>
        <w:tc>
          <w:tcPr>
            <w:tcW w:w="992" w:type="dxa"/>
            <w:vAlign w:val="center"/>
          </w:tcPr>
          <w:p w14:paraId="643FD82D">
            <w:pPr>
              <w:pStyle w:val="13"/>
            </w:pPr>
            <w:r>
              <w:t>205</w:t>
            </w:r>
          </w:p>
        </w:tc>
        <w:tc>
          <w:tcPr>
            <w:tcW w:w="4535" w:type="dxa"/>
            <w:vAlign w:val="center"/>
          </w:tcPr>
          <w:p w14:paraId="1FF79BDF">
            <w:pPr>
              <w:pStyle w:val="13"/>
            </w:pPr>
            <w:r>
              <w:t>教育支出</w:t>
            </w:r>
          </w:p>
        </w:tc>
        <w:tc>
          <w:tcPr>
            <w:tcW w:w="1361" w:type="dxa"/>
            <w:vAlign w:val="center"/>
          </w:tcPr>
          <w:p w14:paraId="298623E1">
            <w:pPr>
              <w:pStyle w:val="14"/>
            </w:pPr>
            <w:r>
              <w:t>1412.17</w:t>
            </w:r>
          </w:p>
        </w:tc>
        <w:tc>
          <w:tcPr>
            <w:tcW w:w="1361" w:type="dxa"/>
            <w:vAlign w:val="center"/>
          </w:tcPr>
          <w:p w14:paraId="58DF584D">
            <w:pPr>
              <w:pStyle w:val="14"/>
            </w:pPr>
            <w:r>
              <w:t>1102.87</w:t>
            </w:r>
          </w:p>
        </w:tc>
        <w:tc>
          <w:tcPr>
            <w:tcW w:w="1361" w:type="dxa"/>
            <w:vAlign w:val="center"/>
          </w:tcPr>
          <w:p w14:paraId="22887F1E">
            <w:pPr>
              <w:pStyle w:val="14"/>
            </w:pPr>
            <w:r>
              <w:t>309.30</w:t>
            </w:r>
          </w:p>
        </w:tc>
        <w:tc>
          <w:tcPr>
            <w:tcW w:w="1361" w:type="dxa"/>
            <w:vAlign w:val="center"/>
          </w:tcPr>
          <w:p w14:paraId="0D9CE8ED">
            <w:pPr>
              <w:pStyle w:val="14"/>
            </w:pPr>
          </w:p>
        </w:tc>
        <w:tc>
          <w:tcPr>
            <w:tcW w:w="1361" w:type="dxa"/>
            <w:vAlign w:val="center"/>
          </w:tcPr>
          <w:p w14:paraId="2BDE68D4">
            <w:pPr>
              <w:pStyle w:val="14"/>
            </w:pPr>
          </w:p>
        </w:tc>
        <w:tc>
          <w:tcPr>
            <w:tcW w:w="1361" w:type="dxa"/>
            <w:vAlign w:val="center"/>
          </w:tcPr>
          <w:p w14:paraId="1222A098">
            <w:pPr>
              <w:pStyle w:val="14"/>
            </w:pPr>
          </w:p>
        </w:tc>
      </w:tr>
      <w:tr w14:paraId="76248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114DF">
            <w:pPr>
              <w:pStyle w:val="12"/>
            </w:pPr>
            <w:r>
              <w:t>3</w:t>
            </w:r>
          </w:p>
        </w:tc>
        <w:tc>
          <w:tcPr>
            <w:tcW w:w="992" w:type="dxa"/>
            <w:vAlign w:val="center"/>
          </w:tcPr>
          <w:p w14:paraId="4067459C">
            <w:pPr>
              <w:pStyle w:val="13"/>
            </w:pPr>
            <w:r>
              <w:t>20502</w:t>
            </w:r>
          </w:p>
        </w:tc>
        <w:tc>
          <w:tcPr>
            <w:tcW w:w="4535" w:type="dxa"/>
            <w:vAlign w:val="center"/>
          </w:tcPr>
          <w:p w14:paraId="3FA8F622">
            <w:pPr>
              <w:pStyle w:val="13"/>
            </w:pPr>
            <w:r>
              <w:t>普通教育</w:t>
            </w:r>
          </w:p>
        </w:tc>
        <w:tc>
          <w:tcPr>
            <w:tcW w:w="1361" w:type="dxa"/>
            <w:vAlign w:val="center"/>
          </w:tcPr>
          <w:p w14:paraId="152AA693">
            <w:pPr>
              <w:pStyle w:val="14"/>
            </w:pPr>
            <w:r>
              <w:t>1412.17</w:t>
            </w:r>
          </w:p>
        </w:tc>
        <w:tc>
          <w:tcPr>
            <w:tcW w:w="1361" w:type="dxa"/>
            <w:vAlign w:val="center"/>
          </w:tcPr>
          <w:p w14:paraId="0B3275ED">
            <w:pPr>
              <w:pStyle w:val="14"/>
            </w:pPr>
            <w:r>
              <w:t>1102.87</w:t>
            </w:r>
          </w:p>
        </w:tc>
        <w:tc>
          <w:tcPr>
            <w:tcW w:w="1361" w:type="dxa"/>
            <w:vAlign w:val="center"/>
          </w:tcPr>
          <w:p w14:paraId="7CFEE25D">
            <w:pPr>
              <w:pStyle w:val="14"/>
            </w:pPr>
            <w:r>
              <w:t>309.30</w:t>
            </w:r>
          </w:p>
        </w:tc>
        <w:tc>
          <w:tcPr>
            <w:tcW w:w="1361" w:type="dxa"/>
            <w:vAlign w:val="center"/>
          </w:tcPr>
          <w:p w14:paraId="04A7BD31">
            <w:pPr>
              <w:pStyle w:val="14"/>
            </w:pPr>
          </w:p>
        </w:tc>
        <w:tc>
          <w:tcPr>
            <w:tcW w:w="1361" w:type="dxa"/>
            <w:vAlign w:val="center"/>
          </w:tcPr>
          <w:p w14:paraId="684FE23B">
            <w:pPr>
              <w:pStyle w:val="14"/>
            </w:pPr>
          </w:p>
        </w:tc>
        <w:tc>
          <w:tcPr>
            <w:tcW w:w="1361" w:type="dxa"/>
            <w:vAlign w:val="center"/>
          </w:tcPr>
          <w:p w14:paraId="0A7CFC9F">
            <w:pPr>
              <w:pStyle w:val="14"/>
            </w:pPr>
          </w:p>
        </w:tc>
      </w:tr>
      <w:tr w14:paraId="3FF47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0904A">
            <w:pPr>
              <w:pStyle w:val="12"/>
            </w:pPr>
            <w:r>
              <w:t>4</w:t>
            </w:r>
          </w:p>
        </w:tc>
        <w:tc>
          <w:tcPr>
            <w:tcW w:w="992" w:type="dxa"/>
            <w:vAlign w:val="center"/>
          </w:tcPr>
          <w:p w14:paraId="12279452">
            <w:pPr>
              <w:pStyle w:val="13"/>
            </w:pPr>
            <w:r>
              <w:t>2050202</w:t>
            </w:r>
          </w:p>
        </w:tc>
        <w:tc>
          <w:tcPr>
            <w:tcW w:w="4535" w:type="dxa"/>
            <w:vAlign w:val="center"/>
          </w:tcPr>
          <w:p w14:paraId="13DEB7D8">
            <w:pPr>
              <w:pStyle w:val="13"/>
            </w:pPr>
            <w:r>
              <w:t>小学教育</w:t>
            </w:r>
          </w:p>
        </w:tc>
        <w:tc>
          <w:tcPr>
            <w:tcW w:w="1361" w:type="dxa"/>
            <w:vAlign w:val="center"/>
          </w:tcPr>
          <w:p w14:paraId="4DCBF008">
            <w:pPr>
              <w:pStyle w:val="14"/>
            </w:pPr>
            <w:r>
              <w:t>1412.17</w:t>
            </w:r>
          </w:p>
        </w:tc>
        <w:tc>
          <w:tcPr>
            <w:tcW w:w="1361" w:type="dxa"/>
            <w:vAlign w:val="center"/>
          </w:tcPr>
          <w:p w14:paraId="7E6CE502">
            <w:pPr>
              <w:pStyle w:val="14"/>
            </w:pPr>
            <w:r>
              <w:t>1102.87</w:t>
            </w:r>
          </w:p>
        </w:tc>
        <w:tc>
          <w:tcPr>
            <w:tcW w:w="1361" w:type="dxa"/>
            <w:vAlign w:val="center"/>
          </w:tcPr>
          <w:p w14:paraId="7CA2857B">
            <w:pPr>
              <w:pStyle w:val="14"/>
            </w:pPr>
            <w:r>
              <w:t>309.30</w:t>
            </w:r>
          </w:p>
        </w:tc>
        <w:tc>
          <w:tcPr>
            <w:tcW w:w="1361" w:type="dxa"/>
            <w:vAlign w:val="center"/>
          </w:tcPr>
          <w:p w14:paraId="610F5313">
            <w:pPr>
              <w:pStyle w:val="14"/>
            </w:pPr>
          </w:p>
        </w:tc>
        <w:tc>
          <w:tcPr>
            <w:tcW w:w="1361" w:type="dxa"/>
            <w:vAlign w:val="center"/>
          </w:tcPr>
          <w:p w14:paraId="0D00C37D">
            <w:pPr>
              <w:pStyle w:val="14"/>
            </w:pPr>
          </w:p>
        </w:tc>
        <w:tc>
          <w:tcPr>
            <w:tcW w:w="1361" w:type="dxa"/>
            <w:vAlign w:val="center"/>
          </w:tcPr>
          <w:p w14:paraId="41711653">
            <w:pPr>
              <w:pStyle w:val="14"/>
            </w:pPr>
          </w:p>
        </w:tc>
      </w:tr>
    </w:tbl>
    <w:p w14:paraId="2E15CC57">
      <w:pPr>
        <w:sectPr>
          <w:pgSz w:w="16840" w:h="11900" w:orient="landscape"/>
          <w:pgMar w:top="1361" w:right="1020" w:bottom="1134" w:left="1020" w:header="720" w:footer="720" w:gutter="0"/>
          <w:cols w:space="720" w:num="1"/>
        </w:sectPr>
      </w:pPr>
    </w:p>
    <w:p w14:paraId="0221C4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79A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F8E357">
            <w:pPr>
              <w:pStyle w:val="8"/>
            </w:pPr>
            <w:r>
              <w:t>360038隆尧县第五实验小学</w:t>
            </w:r>
          </w:p>
        </w:tc>
        <w:tc>
          <w:tcPr>
            <w:tcW w:w="3402" w:type="dxa"/>
            <w:tcBorders>
              <w:top w:val="single" w:color="FFFFFF" w:sz="6" w:space="0"/>
              <w:left w:val="single" w:color="FFFFFF" w:sz="6" w:space="0"/>
              <w:right w:val="single" w:color="FFFFFF" w:sz="6" w:space="0"/>
            </w:tcBorders>
            <w:vAlign w:val="center"/>
          </w:tcPr>
          <w:p w14:paraId="0F166FEE">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6D2ABCF">
            <w:pPr>
              <w:pStyle w:val="10"/>
            </w:pPr>
            <w:r>
              <w:t>单位：万元</w:t>
            </w:r>
          </w:p>
        </w:tc>
      </w:tr>
      <w:tr w14:paraId="1E47E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3FF010">
            <w:pPr>
              <w:pStyle w:val="11"/>
            </w:pPr>
            <w:r>
              <w:t>序号</w:t>
            </w:r>
          </w:p>
        </w:tc>
        <w:tc>
          <w:tcPr>
            <w:tcW w:w="4876" w:type="dxa"/>
            <w:gridSpan w:val="2"/>
            <w:vAlign w:val="center"/>
          </w:tcPr>
          <w:p w14:paraId="3D5B2454">
            <w:pPr>
              <w:pStyle w:val="11"/>
            </w:pPr>
            <w:r>
              <w:t>收入</w:t>
            </w:r>
          </w:p>
        </w:tc>
        <w:tc>
          <w:tcPr>
            <w:tcW w:w="9298" w:type="dxa"/>
            <w:gridSpan w:val="5"/>
            <w:vAlign w:val="center"/>
          </w:tcPr>
          <w:p w14:paraId="4081064B">
            <w:pPr>
              <w:pStyle w:val="11"/>
            </w:pPr>
            <w:r>
              <w:t>支出</w:t>
            </w:r>
          </w:p>
        </w:tc>
      </w:tr>
      <w:tr w14:paraId="362B4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961BA5"/>
        </w:tc>
        <w:tc>
          <w:tcPr>
            <w:tcW w:w="3402" w:type="dxa"/>
            <w:vAlign w:val="center"/>
          </w:tcPr>
          <w:p w14:paraId="12175896">
            <w:pPr>
              <w:pStyle w:val="11"/>
            </w:pPr>
            <w:r>
              <w:t>项  目</w:t>
            </w:r>
          </w:p>
        </w:tc>
        <w:tc>
          <w:tcPr>
            <w:tcW w:w="1474" w:type="dxa"/>
            <w:vAlign w:val="center"/>
          </w:tcPr>
          <w:p w14:paraId="5FBAF63B">
            <w:pPr>
              <w:pStyle w:val="11"/>
            </w:pPr>
            <w:r>
              <w:t>金额</w:t>
            </w:r>
          </w:p>
        </w:tc>
        <w:tc>
          <w:tcPr>
            <w:tcW w:w="3402" w:type="dxa"/>
            <w:vAlign w:val="center"/>
          </w:tcPr>
          <w:p w14:paraId="7C22A768">
            <w:pPr>
              <w:pStyle w:val="11"/>
            </w:pPr>
            <w:r>
              <w:t>项  目</w:t>
            </w:r>
          </w:p>
        </w:tc>
        <w:tc>
          <w:tcPr>
            <w:tcW w:w="1474" w:type="dxa"/>
            <w:vAlign w:val="center"/>
          </w:tcPr>
          <w:p w14:paraId="52328091">
            <w:pPr>
              <w:pStyle w:val="11"/>
            </w:pPr>
            <w:r>
              <w:t>合计</w:t>
            </w:r>
          </w:p>
        </w:tc>
        <w:tc>
          <w:tcPr>
            <w:tcW w:w="1474" w:type="dxa"/>
            <w:vAlign w:val="center"/>
          </w:tcPr>
          <w:p w14:paraId="34CA162F">
            <w:pPr>
              <w:pStyle w:val="11"/>
            </w:pPr>
            <w:r>
              <w:t>一般公共预算财政拨款</w:t>
            </w:r>
          </w:p>
        </w:tc>
        <w:tc>
          <w:tcPr>
            <w:tcW w:w="1474" w:type="dxa"/>
            <w:vAlign w:val="center"/>
          </w:tcPr>
          <w:p w14:paraId="131F3232">
            <w:pPr>
              <w:pStyle w:val="11"/>
            </w:pPr>
            <w:r>
              <w:t>政府性基金预算财政    拨款</w:t>
            </w:r>
          </w:p>
        </w:tc>
        <w:tc>
          <w:tcPr>
            <w:tcW w:w="1474" w:type="dxa"/>
            <w:vAlign w:val="center"/>
          </w:tcPr>
          <w:p w14:paraId="643DA84C">
            <w:pPr>
              <w:pStyle w:val="11"/>
            </w:pPr>
            <w:r>
              <w:t>国有资本经营预算财政拨款</w:t>
            </w:r>
          </w:p>
        </w:tc>
      </w:tr>
      <w:tr w14:paraId="50FA9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37250A">
            <w:pPr>
              <w:pStyle w:val="11"/>
            </w:pPr>
            <w:r>
              <w:t>栏次</w:t>
            </w:r>
          </w:p>
        </w:tc>
        <w:tc>
          <w:tcPr>
            <w:tcW w:w="3402" w:type="dxa"/>
            <w:vAlign w:val="center"/>
          </w:tcPr>
          <w:p w14:paraId="6D4CBD0E">
            <w:pPr>
              <w:pStyle w:val="11"/>
            </w:pPr>
            <w:r>
              <w:t>1</w:t>
            </w:r>
          </w:p>
        </w:tc>
        <w:tc>
          <w:tcPr>
            <w:tcW w:w="1474" w:type="dxa"/>
            <w:vAlign w:val="center"/>
          </w:tcPr>
          <w:p w14:paraId="08DD8534">
            <w:pPr>
              <w:pStyle w:val="11"/>
            </w:pPr>
            <w:r>
              <w:t>2</w:t>
            </w:r>
          </w:p>
        </w:tc>
        <w:tc>
          <w:tcPr>
            <w:tcW w:w="3402" w:type="dxa"/>
            <w:vAlign w:val="center"/>
          </w:tcPr>
          <w:p w14:paraId="4ACFEB56">
            <w:pPr>
              <w:pStyle w:val="11"/>
            </w:pPr>
            <w:r>
              <w:t>3</w:t>
            </w:r>
          </w:p>
        </w:tc>
        <w:tc>
          <w:tcPr>
            <w:tcW w:w="1474" w:type="dxa"/>
            <w:vAlign w:val="center"/>
          </w:tcPr>
          <w:p w14:paraId="0B2D189B">
            <w:pPr>
              <w:pStyle w:val="11"/>
            </w:pPr>
            <w:r>
              <w:t>4</w:t>
            </w:r>
          </w:p>
        </w:tc>
        <w:tc>
          <w:tcPr>
            <w:tcW w:w="1474" w:type="dxa"/>
            <w:vAlign w:val="center"/>
          </w:tcPr>
          <w:p w14:paraId="47BC3B1C">
            <w:pPr>
              <w:pStyle w:val="11"/>
            </w:pPr>
            <w:r>
              <w:t>5</w:t>
            </w:r>
          </w:p>
        </w:tc>
        <w:tc>
          <w:tcPr>
            <w:tcW w:w="1474" w:type="dxa"/>
            <w:vAlign w:val="center"/>
          </w:tcPr>
          <w:p w14:paraId="5B2A16EE">
            <w:pPr>
              <w:pStyle w:val="11"/>
            </w:pPr>
            <w:r>
              <w:t>6</w:t>
            </w:r>
          </w:p>
        </w:tc>
        <w:tc>
          <w:tcPr>
            <w:tcW w:w="1474" w:type="dxa"/>
            <w:vAlign w:val="center"/>
          </w:tcPr>
          <w:p w14:paraId="0AEBEE09">
            <w:pPr>
              <w:pStyle w:val="11"/>
            </w:pPr>
            <w:r>
              <w:t>7</w:t>
            </w:r>
          </w:p>
        </w:tc>
      </w:tr>
      <w:tr w14:paraId="32B0D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9FB33">
            <w:pPr>
              <w:pStyle w:val="12"/>
            </w:pPr>
            <w:r>
              <w:t>1</w:t>
            </w:r>
          </w:p>
        </w:tc>
        <w:tc>
          <w:tcPr>
            <w:tcW w:w="3402" w:type="dxa"/>
            <w:vAlign w:val="center"/>
          </w:tcPr>
          <w:p w14:paraId="15240488">
            <w:pPr>
              <w:pStyle w:val="13"/>
            </w:pPr>
            <w:r>
              <w:t>一、一般公共预算拨款</w:t>
            </w:r>
          </w:p>
        </w:tc>
        <w:tc>
          <w:tcPr>
            <w:tcW w:w="1474" w:type="dxa"/>
            <w:vAlign w:val="center"/>
          </w:tcPr>
          <w:p w14:paraId="1E67DBCB">
            <w:pPr>
              <w:pStyle w:val="14"/>
            </w:pPr>
            <w:r>
              <w:t>1412.17</w:t>
            </w:r>
          </w:p>
        </w:tc>
        <w:tc>
          <w:tcPr>
            <w:tcW w:w="3402" w:type="dxa"/>
            <w:vAlign w:val="center"/>
          </w:tcPr>
          <w:p w14:paraId="43D20751">
            <w:pPr>
              <w:pStyle w:val="13"/>
            </w:pPr>
            <w:r>
              <w:t>一、一般公共服务支出</w:t>
            </w:r>
          </w:p>
        </w:tc>
        <w:tc>
          <w:tcPr>
            <w:tcW w:w="1474" w:type="dxa"/>
            <w:vAlign w:val="center"/>
          </w:tcPr>
          <w:p w14:paraId="070C5261">
            <w:pPr>
              <w:pStyle w:val="14"/>
            </w:pPr>
          </w:p>
        </w:tc>
        <w:tc>
          <w:tcPr>
            <w:tcW w:w="1474" w:type="dxa"/>
            <w:vAlign w:val="center"/>
          </w:tcPr>
          <w:p w14:paraId="4B4C0E67">
            <w:pPr>
              <w:pStyle w:val="14"/>
            </w:pPr>
          </w:p>
        </w:tc>
        <w:tc>
          <w:tcPr>
            <w:tcW w:w="1474" w:type="dxa"/>
            <w:vAlign w:val="center"/>
          </w:tcPr>
          <w:p w14:paraId="4AF73705">
            <w:pPr>
              <w:pStyle w:val="14"/>
            </w:pPr>
          </w:p>
        </w:tc>
        <w:tc>
          <w:tcPr>
            <w:tcW w:w="1474" w:type="dxa"/>
            <w:vAlign w:val="center"/>
          </w:tcPr>
          <w:p w14:paraId="2AA72BEE">
            <w:pPr>
              <w:pStyle w:val="14"/>
            </w:pPr>
          </w:p>
        </w:tc>
      </w:tr>
      <w:tr w14:paraId="4462B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CA5F3">
            <w:pPr>
              <w:pStyle w:val="12"/>
            </w:pPr>
            <w:r>
              <w:t>2</w:t>
            </w:r>
          </w:p>
        </w:tc>
        <w:tc>
          <w:tcPr>
            <w:tcW w:w="3402" w:type="dxa"/>
            <w:vAlign w:val="center"/>
          </w:tcPr>
          <w:p w14:paraId="42A13870">
            <w:pPr>
              <w:pStyle w:val="13"/>
            </w:pPr>
            <w:r>
              <w:t>二、政府性基金预算拨款</w:t>
            </w:r>
          </w:p>
        </w:tc>
        <w:tc>
          <w:tcPr>
            <w:tcW w:w="1474" w:type="dxa"/>
            <w:vAlign w:val="center"/>
          </w:tcPr>
          <w:p w14:paraId="65447BBB">
            <w:pPr>
              <w:pStyle w:val="14"/>
            </w:pPr>
          </w:p>
        </w:tc>
        <w:tc>
          <w:tcPr>
            <w:tcW w:w="3402" w:type="dxa"/>
            <w:vAlign w:val="center"/>
          </w:tcPr>
          <w:p w14:paraId="5CC96DFF">
            <w:pPr>
              <w:pStyle w:val="13"/>
            </w:pPr>
            <w:r>
              <w:t>二、外交支出</w:t>
            </w:r>
          </w:p>
        </w:tc>
        <w:tc>
          <w:tcPr>
            <w:tcW w:w="1474" w:type="dxa"/>
            <w:vAlign w:val="center"/>
          </w:tcPr>
          <w:p w14:paraId="3AA630A7">
            <w:pPr>
              <w:pStyle w:val="14"/>
            </w:pPr>
          </w:p>
        </w:tc>
        <w:tc>
          <w:tcPr>
            <w:tcW w:w="1474" w:type="dxa"/>
            <w:vAlign w:val="center"/>
          </w:tcPr>
          <w:p w14:paraId="00D797A3">
            <w:pPr>
              <w:pStyle w:val="14"/>
            </w:pPr>
          </w:p>
        </w:tc>
        <w:tc>
          <w:tcPr>
            <w:tcW w:w="1474" w:type="dxa"/>
            <w:vAlign w:val="center"/>
          </w:tcPr>
          <w:p w14:paraId="64E5B49E">
            <w:pPr>
              <w:pStyle w:val="14"/>
            </w:pPr>
          </w:p>
        </w:tc>
        <w:tc>
          <w:tcPr>
            <w:tcW w:w="1474" w:type="dxa"/>
            <w:vAlign w:val="center"/>
          </w:tcPr>
          <w:p w14:paraId="6B283127">
            <w:pPr>
              <w:pStyle w:val="14"/>
            </w:pPr>
          </w:p>
        </w:tc>
      </w:tr>
      <w:tr w14:paraId="1678E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9C7FA">
            <w:pPr>
              <w:pStyle w:val="12"/>
            </w:pPr>
            <w:r>
              <w:t>3</w:t>
            </w:r>
          </w:p>
        </w:tc>
        <w:tc>
          <w:tcPr>
            <w:tcW w:w="3402" w:type="dxa"/>
            <w:vAlign w:val="center"/>
          </w:tcPr>
          <w:p w14:paraId="2CE03853">
            <w:pPr>
              <w:pStyle w:val="13"/>
            </w:pPr>
            <w:r>
              <w:t>三、国有资本经营预算拨款</w:t>
            </w:r>
          </w:p>
        </w:tc>
        <w:tc>
          <w:tcPr>
            <w:tcW w:w="1474" w:type="dxa"/>
            <w:vAlign w:val="center"/>
          </w:tcPr>
          <w:p w14:paraId="5CC0CD49">
            <w:pPr>
              <w:pStyle w:val="14"/>
            </w:pPr>
          </w:p>
        </w:tc>
        <w:tc>
          <w:tcPr>
            <w:tcW w:w="3402" w:type="dxa"/>
            <w:vAlign w:val="center"/>
          </w:tcPr>
          <w:p w14:paraId="55D35ECE">
            <w:pPr>
              <w:pStyle w:val="13"/>
            </w:pPr>
            <w:r>
              <w:t>三、国防支出</w:t>
            </w:r>
          </w:p>
        </w:tc>
        <w:tc>
          <w:tcPr>
            <w:tcW w:w="1474" w:type="dxa"/>
            <w:vAlign w:val="center"/>
          </w:tcPr>
          <w:p w14:paraId="1108F742">
            <w:pPr>
              <w:pStyle w:val="14"/>
            </w:pPr>
          </w:p>
        </w:tc>
        <w:tc>
          <w:tcPr>
            <w:tcW w:w="1474" w:type="dxa"/>
            <w:vAlign w:val="center"/>
          </w:tcPr>
          <w:p w14:paraId="3199F4F5">
            <w:pPr>
              <w:pStyle w:val="14"/>
            </w:pPr>
          </w:p>
        </w:tc>
        <w:tc>
          <w:tcPr>
            <w:tcW w:w="1474" w:type="dxa"/>
            <w:vAlign w:val="center"/>
          </w:tcPr>
          <w:p w14:paraId="7F1C9BDB">
            <w:pPr>
              <w:pStyle w:val="14"/>
            </w:pPr>
          </w:p>
        </w:tc>
        <w:tc>
          <w:tcPr>
            <w:tcW w:w="1474" w:type="dxa"/>
            <w:vAlign w:val="center"/>
          </w:tcPr>
          <w:p w14:paraId="001F2843">
            <w:pPr>
              <w:pStyle w:val="14"/>
            </w:pPr>
          </w:p>
        </w:tc>
      </w:tr>
      <w:tr w14:paraId="55AA1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3E0E2">
            <w:pPr>
              <w:pStyle w:val="12"/>
            </w:pPr>
            <w:r>
              <w:t>4</w:t>
            </w:r>
          </w:p>
        </w:tc>
        <w:tc>
          <w:tcPr>
            <w:tcW w:w="3402" w:type="dxa"/>
            <w:vAlign w:val="center"/>
          </w:tcPr>
          <w:p w14:paraId="502830F9">
            <w:pPr>
              <w:pStyle w:val="13"/>
            </w:pPr>
          </w:p>
        </w:tc>
        <w:tc>
          <w:tcPr>
            <w:tcW w:w="1474" w:type="dxa"/>
            <w:vAlign w:val="center"/>
          </w:tcPr>
          <w:p w14:paraId="4EB9B3B6">
            <w:pPr>
              <w:pStyle w:val="14"/>
            </w:pPr>
          </w:p>
        </w:tc>
        <w:tc>
          <w:tcPr>
            <w:tcW w:w="3402" w:type="dxa"/>
            <w:vAlign w:val="center"/>
          </w:tcPr>
          <w:p w14:paraId="09136CF5">
            <w:pPr>
              <w:pStyle w:val="13"/>
            </w:pPr>
            <w:r>
              <w:t>四、公共安全支出</w:t>
            </w:r>
          </w:p>
        </w:tc>
        <w:tc>
          <w:tcPr>
            <w:tcW w:w="1474" w:type="dxa"/>
            <w:vAlign w:val="center"/>
          </w:tcPr>
          <w:p w14:paraId="2123F5A5">
            <w:pPr>
              <w:pStyle w:val="14"/>
            </w:pPr>
          </w:p>
        </w:tc>
        <w:tc>
          <w:tcPr>
            <w:tcW w:w="1474" w:type="dxa"/>
            <w:vAlign w:val="center"/>
          </w:tcPr>
          <w:p w14:paraId="62063C4C">
            <w:pPr>
              <w:pStyle w:val="14"/>
            </w:pPr>
          </w:p>
        </w:tc>
        <w:tc>
          <w:tcPr>
            <w:tcW w:w="1474" w:type="dxa"/>
            <w:vAlign w:val="center"/>
          </w:tcPr>
          <w:p w14:paraId="39D7C87E">
            <w:pPr>
              <w:pStyle w:val="14"/>
            </w:pPr>
          </w:p>
        </w:tc>
        <w:tc>
          <w:tcPr>
            <w:tcW w:w="1474" w:type="dxa"/>
            <w:vAlign w:val="center"/>
          </w:tcPr>
          <w:p w14:paraId="2910503D">
            <w:pPr>
              <w:pStyle w:val="14"/>
            </w:pPr>
          </w:p>
        </w:tc>
      </w:tr>
      <w:tr w14:paraId="19924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B05EC">
            <w:pPr>
              <w:pStyle w:val="12"/>
            </w:pPr>
            <w:r>
              <w:t>5</w:t>
            </w:r>
          </w:p>
        </w:tc>
        <w:tc>
          <w:tcPr>
            <w:tcW w:w="3402" w:type="dxa"/>
            <w:vAlign w:val="center"/>
          </w:tcPr>
          <w:p w14:paraId="71D7EFC0">
            <w:pPr>
              <w:pStyle w:val="13"/>
            </w:pPr>
          </w:p>
        </w:tc>
        <w:tc>
          <w:tcPr>
            <w:tcW w:w="1474" w:type="dxa"/>
            <w:vAlign w:val="center"/>
          </w:tcPr>
          <w:p w14:paraId="63F9F530">
            <w:pPr>
              <w:pStyle w:val="14"/>
            </w:pPr>
          </w:p>
        </w:tc>
        <w:tc>
          <w:tcPr>
            <w:tcW w:w="3402" w:type="dxa"/>
            <w:vAlign w:val="center"/>
          </w:tcPr>
          <w:p w14:paraId="1844E1A4">
            <w:pPr>
              <w:pStyle w:val="13"/>
            </w:pPr>
            <w:r>
              <w:t>五、教育支出</w:t>
            </w:r>
          </w:p>
        </w:tc>
        <w:tc>
          <w:tcPr>
            <w:tcW w:w="1474" w:type="dxa"/>
            <w:vAlign w:val="center"/>
          </w:tcPr>
          <w:p w14:paraId="6A2408B9">
            <w:pPr>
              <w:pStyle w:val="14"/>
            </w:pPr>
            <w:r>
              <w:t>1412.17</w:t>
            </w:r>
          </w:p>
        </w:tc>
        <w:tc>
          <w:tcPr>
            <w:tcW w:w="1474" w:type="dxa"/>
            <w:vAlign w:val="center"/>
          </w:tcPr>
          <w:p w14:paraId="4B8AC02F">
            <w:pPr>
              <w:pStyle w:val="14"/>
            </w:pPr>
            <w:r>
              <w:t>1412.17</w:t>
            </w:r>
          </w:p>
        </w:tc>
        <w:tc>
          <w:tcPr>
            <w:tcW w:w="1474" w:type="dxa"/>
            <w:vAlign w:val="center"/>
          </w:tcPr>
          <w:p w14:paraId="57B6E584">
            <w:pPr>
              <w:pStyle w:val="14"/>
            </w:pPr>
          </w:p>
        </w:tc>
        <w:tc>
          <w:tcPr>
            <w:tcW w:w="1474" w:type="dxa"/>
            <w:vAlign w:val="center"/>
          </w:tcPr>
          <w:p w14:paraId="6D257B51">
            <w:pPr>
              <w:pStyle w:val="14"/>
            </w:pPr>
          </w:p>
        </w:tc>
      </w:tr>
      <w:tr w14:paraId="04835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AD854">
            <w:pPr>
              <w:pStyle w:val="12"/>
            </w:pPr>
            <w:r>
              <w:t>6</w:t>
            </w:r>
          </w:p>
        </w:tc>
        <w:tc>
          <w:tcPr>
            <w:tcW w:w="3402" w:type="dxa"/>
            <w:vAlign w:val="center"/>
          </w:tcPr>
          <w:p w14:paraId="2BDA7A5A">
            <w:pPr>
              <w:pStyle w:val="13"/>
            </w:pPr>
          </w:p>
        </w:tc>
        <w:tc>
          <w:tcPr>
            <w:tcW w:w="1474" w:type="dxa"/>
            <w:vAlign w:val="center"/>
          </w:tcPr>
          <w:p w14:paraId="32E5346F">
            <w:pPr>
              <w:pStyle w:val="14"/>
            </w:pPr>
          </w:p>
        </w:tc>
        <w:tc>
          <w:tcPr>
            <w:tcW w:w="3402" w:type="dxa"/>
            <w:vAlign w:val="center"/>
          </w:tcPr>
          <w:p w14:paraId="36D0151C">
            <w:pPr>
              <w:pStyle w:val="13"/>
            </w:pPr>
            <w:r>
              <w:t>六、科学技术支出</w:t>
            </w:r>
          </w:p>
        </w:tc>
        <w:tc>
          <w:tcPr>
            <w:tcW w:w="1474" w:type="dxa"/>
            <w:vAlign w:val="center"/>
          </w:tcPr>
          <w:p w14:paraId="379CAFC0">
            <w:pPr>
              <w:pStyle w:val="14"/>
            </w:pPr>
          </w:p>
        </w:tc>
        <w:tc>
          <w:tcPr>
            <w:tcW w:w="1474" w:type="dxa"/>
            <w:vAlign w:val="center"/>
          </w:tcPr>
          <w:p w14:paraId="20BEC8E5">
            <w:pPr>
              <w:pStyle w:val="14"/>
            </w:pPr>
          </w:p>
        </w:tc>
        <w:tc>
          <w:tcPr>
            <w:tcW w:w="1474" w:type="dxa"/>
            <w:vAlign w:val="center"/>
          </w:tcPr>
          <w:p w14:paraId="45DE28B2">
            <w:pPr>
              <w:pStyle w:val="14"/>
            </w:pPr>
          </w:p>
        </w:tc>
        <w:tc>
          <w:tcPr>
            <w:tcW w:w="1474" w:type="dxa"/>
            <w:vAlign w:val="center"/>
          </w:tcPr>
          <w:p w14:paraId="2C95C7AA">
            <w:pPr>
              <w:pStyle w:val="14"/>
            </w:pPr>
          </w:p>
        </w:tc>
      </w:tr>
      <w:tr w14:paraId="18ABC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B828F">
            <w:pPr>
              <w:pStyle w:val="12"/>
            </w:pPr>
            <w:r>
              <w:t>7</w:t>
            </w:r>
          </w:p>
        </w:tc>
        <w:tc>
          <w:tcPr>
            <w:tcW w:w="3402" w:type="dxa"/>
            <w:vAlign w:val="center"/>
          </w:tcPr>
          <w:p w14:paraId="4B8261A4">
            <w:pPr>
              <w:pStyle w:val="13"/>
            </w:pPr>
          </w:p>
        </w:tc>
        <w:tc>
          <w:tcPr>
            <w:tcW w:w="1474" w:type="dxa"/>
            <w:vAlign w:val="center"/>
          </w:tcPr>
          <w:p w14:paraId="265197F7">
            <w:pPr>
              <w:pStyle w:val="14"/>
            </w:pPr>
          </w:p>
        </w:tc>
        <w:tc>
          <w:tcPr>
            <w:tcW w:w="3402" w:type="dxa"/>
            <w:vAlign w:val="center"/>
          </w:tcPr>
          <w:p w14:paraId="618EF11C">
            <w:pPr>
              <w:pStyle w:val="13"/>
            </w:pPr>
            <w:r>
              <w:t>七、文化旅游体育与传媒支出</w:t>
            </w:r>
          </w:p>
        </w:tc>
        <w:tc>
          <w:tcPr>
            <w:tcW w:w="1474" w:type="dxa"/>
            <w:vAlign w:val="center"/>
          </w:tcPr>
          <w:p w14:paraId="6D735710">
            <w:pPr>
              <w:pStyle w:val="14"/>
            </w:pPr>
          </w:p>
        </w:tc>
        <w:tc>
          <w:tcPr>
            <w:tcW w:w="1474" w:type="dxa"/>
            <w:vAlign w:val="center"/>
          </w:tcPr>
          <w:p w14:paraId="3D66A263">
            <w:pPr>
              <w:pStyle w:val="14"/>
            </w:pPr>
          </w:p>
        </w:tc>
        <w:tc>
          <w:tcPr>
            <w:tcW w:w="1474" w:type="dxa"/>
            <w:vAlign w:val="center"/>
          </w:tcPr>
          <w:p w14:paraId="228F8090">
            <w:pPr>
              <w:pStyle w:val="14"/>
            </w:pPr>
          </w:p>
        </w:tc>
        <w:tc>
          <w:tcPr>
            <w:tcW w:w="1474" w:type="dxa"/>
            <w:vAlign w:val="center"/>
          </w:tcPr>
          <w:p w14:paraId="0ECA2304">
            <w:pPr>
              <w:pStyle w:val="14"/>
            </w:pPr>
          </w:p>
        </w:tc>
      </w:tr>
      <w:tr w14:paraId="2F0DE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C2B86">
            <w:pPr>
              <w:pStyle w:val="12"/>
            </w:pPr>
            <w:r>
              <w:t>8</w:t>
            </w:r>
          </w:p>
        </w:tc>
        <w:tc>
          <w:tcPr>
            <w:tcW w:w="3402" w:type="dxa"/>
            <w:vAlign w:val="center"/>
          </w:tcPr>
          <w:p w14:paraId="3A80CF15">
            <w:pPr>
              <w:pStyle w:val="13"/>
            </w:pPr>
          </w:p>
        </w:tc>
        <w:tc>
          <w:tcPr>
            <w:tcW w:w="1474" w:type="dxa"/>
            <w:vAlign w:val="center"/>
          </w:tcPr>
          <w:p w14:paraId="1AABDF0F">
            <w:pPr>
              <w:pStyle w:val="14"/>
            </w:pPr>
          </w:p>
        </w:tc>
        <w:tc>
          <w:tcPr>
            <w:tcW w:w="3402" w:type="dxa"/>
            <w:vAlign w:val="center"/>
          </w:tcPr>
          <w:p w14:paraId="02E1FB75">
            <w:pPr>
              <w:pStyle w:val="13"/>
            </w:pPr>
            <w:r>
              <w:t>八、社会保障和就业支出</w:t>
            </w:r>
          </w:p>
        </w:tc>
        <w:tc>
          <w:tcPr>
            <w:tcW w:w="1474" w:type="dxa"/>
            <w:vAlign w:val="center"/>
          </w:tcPr>
          <w:p w14:paraId="7DA6E473">
            <w:pPr>
              <w:pStyle w:val="14"/>
            </w:pPr>
          </w:p>
        </w:tc>
        <w:tc>
          <w:tcPr>
            <w:tcW w:w="1474" w:type="dxa"/>
            <w:vAlign w:val="center"/>
          </w:tcPr>
          <w:p w14:paraId="4B5F4F78">
            <w:pPr>
              <w:pStyle w:val="14"/>
            </w:pPr>
          </w:p>
        </w:tc>
        <w:tc>
          <w:tcPr>
            <w:tcW w:w="1474" w:type="dxa"/>
            <w:vAlign w:val="center"/>
          </w:tcPr>
          <w:p w14:paraId="7885DBCC">
            <w:pPr>
              <w:pStyle w:val="14"/>
            </w:pPr>
          </w:p>
        </w:tc>
        <w:tc>
          <w:tcPr>
            <w:tcW w:w="1474" w:type="dxa"/>
            <w:vAlign w:val="center"/>
          </w:tcPr>
          <w:p w14:paraId="5681273F">
            <w:pPr>
              <w:pStyle w:val="14"/>
            </w:pPr>
          </w:p>
        </w:tc>
      </w:tr>
      <w:tr w14:paraId="5636D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E8E74">
            <w:pPr>
              <w:pStyle w:val="12"/>
            </w:pPr>
            <w:r>
              <w:t>9</w:t>
            </w:r>
          </w:p>
        </w:tc>
        <w:tc>
          <w:tcPr>
            <w:tcW w:w="3402" w:type="dxa"/>
            <w:vAlign w:val="center"/>
          </w:tcPr>
          <w:p w14:paraId="6DC2F0AA">
            <w:pPr>
              <w:pStyle w:val="13"/>
            </w:pPr>
          </w:p>
        </w:tc>
        <w:tc>
          <w:tcPr>
            <w:tcW w:w="1474" w:type="dxa"/>
            <w:vAlign w:val="center"/>
          </w:tcPr>
          <w:p w14:paraId="09DB4F92">
            <w:pPr>
              <w:pStyle w:val="14"/>
            </w:pPr>
          </w:p>
        </w:tc>
        <w:tc>
          <w:tcPr>
            <w:tcW w:w="3402" w:type="dxa"/>
            <w:vAlign w:val="center"/>
          </w:tcPr>
          <w:p w14:paraId="1DC9D37E">
            <w:pPr>
              <w:pStyle w:val="13"/>
            </w:pPr>
            <w:r>
              <w:t>九、社会保险基金支出</w:t>
            </w:r>
          </w:p>
        </w:tc>
        <w:tc>
          <w:tcPr>
            <w:tcW w:w="1474" w:type="dxa"/>
            <w:vAlign w:val="center"/>
          </w:tcPr>
          <w:p w14:paraId="01EF296B">
            <w:pPr>
              <w:pStyle w:val="14"/>
            </w:pPr>
          </w:p>
        </w:tc>
        <w:tc>
          <w:tcPr>
            <w:tcW w:w="1474" w:type="dxa"/>
            <w:vAlign w:val="center"/>
          </w:tcPr>
          <w:p w14:paraId="40DB40AA">
            <w:pPr>
              <w:pStyle w:val="14"/>
            </w:pPr>
          </w:p>
        </w:tc>
        <w:tc>
          <w:tcPr>
            <w:tcW w:w="1474" w:type="dxa"/>
            <w:vAlign w:val="center"/>
          </w:tcPr>
          <w:p w14:paraId="3211F610">
            <w:pPr>
              <w:pStyle w:val="14"/>
            </w:pPr>
          </w:p>
        </w:tc>
        <w:tc>
          <w:tcPr>
            <w:tcW w:w="1474" w:type="dxa"/>
            <w:vAlign w:val="center"/>
          </w:tcPr>
          <w:p w14:paraId="7044D954">
            <w:pPr>
              <w:pStyle w:val="14"/>
            </w:pPr>
          </w:p>
        </w:tc>
      </w:tr>
      <w:tr w14:paraId="306AD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CA398">
            <w:pPr>
              <w:pStyle w:val="12"/>
            </w:pPr>
            <w:r>
              <w:t>10</w:t>
            </w:r>
          </w:p>
        </w:tc>
        <w:tc>
          <w:tcPr>
            <w:tcW w:w="3402" w:type="dxa"/>
            <w:vAlign w:val="center"/>
          </w:tcPr>
          <w:p w14:paraId="5221E131">
            <w:pPr>
              <w:pStyle w:val="13"/>
            </w:pPr>
          </w:p>
        </w:tc>
        <w:tc>
          <w:tcPr>
            <w:tcW w:w="1474" w:type="dxa"/>
            <w:vAlign w:val="center"/>
          </w:tcPr>
          <w:p w14:paraId="7DC66887">
            <w:pPr>
              <w:pStyle w:val="14"/>
            </w:pPr>
          </w:p>
        </w:tc>
        <w:tc>
          <w:tcPr>
            <w:tcW w:w="3402" w:type="dxa"/>
            <w:vAlign w:val="center"/>
          </w:tcPr>
          <w:p w14:paraId="65EF326E">
            <w:pPr>
              <w:pStyle w:val="13"/>
            </w:pPr>
            <w:r>
              <w:t>十、卫生健康支出</w:t>
            </w:r>
          </w:p>
        </w:tc>
        <w:tc>
          <w:tcPr>
            <w:tcW w:w="1474" w:type="dxa"/>
            <w:vAlign w:val="center"/>
          </w:tcPr>
          <w:p w14:paraId="0A270BBC">
            <w:pPr>
              <w:pStyle w:val="14"/>
            </w:pPr>
          </w:p>
        </w:tc>
        <w:tc>
          <w:tcPr>
            <w:tcW w:w="1474" w:type="dxa"/>
            <w:vAlign w:val="center"/>
          </w:tcPr>
          <w:p w14:paraId="592FAC0B">
            <w:pPr>
              <w:pStyle w:val="14"/>
            </w:pPr>
          </w:p>
        </w:tc>
        <w:tc>
          <w:tcPr>
            <w:tcW w:w="1474" w:type="dxa"/>
            <w:vAlign w:val="center"/>
          </w:tcPr>
          <w:p w14:paraId="6FDDB501">
            <w:pPr>
              <w:pStyle w:val="14"/>
            </w:pPr>
          </w:p>
        </w:tc>
        <w:tc>
          <w:tcPr>
            <w:tcW w:w="1474" w:type="dxa"/>
            <w:vAlign w:val="center"/>
          </w:tcPr>
          <w:p w14:paraId="28C2F15E">
            <w:pPr>
              <w:pStyle w:val="14"/>
            </w:pPr>
          </w:p>
        </w:tc>
      </w:tr>
      <w:tr w14:paraId="3AD4F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D40A8">
            <w:pPr>
              <w:pStyle w:val="12"/>
            </w:pPr>
            <w:r>
              <w:t>11</w:t>
            </w:r>
          </w:p>
        </w:tc>
        <w:tc>
          <w:tcPr>
            <w:tcW w:w="3402" w:type="dxa"/>
            <w:vAlign w:val="center"/>
          </w:tcPr>
          <w:p w14:paraId="0D75A625">
            <w:pPr>
              <w:pStyle w:val="13"/>
            </w:pPr>
          </w:p>
        </w:tc>
        <w:tc>
          <w:tcPr>
            <w:tcW w:w="1474" w:type="dxa"/>
            <w:vAlign w:val="center"/>
          </w:tcPr>
          <w:p w14:paraId="323635E4">
            <w:pPr>
              <w:pStyle w:val="14"/>
            </w:pPr>
          </w:p>
        </w:tc>
        <w:tc>
          <w:tcPr>
            <w:tcW w:w="3402" w:type="dxa"/>
            <w:vAlign w:val="center"/>
          </w:tcPr>
          <w:p w14:paraId="7EE5F11F">
            <w:pPr>
              <w:pStyle w:val="13"/>
            </w:pPr>
            <w:r>
              <w:t>十一、节能环保支出</w:t>
            </w:r>
          </w:p>
        </w:tc>
        <w:tc>
          <w:tcPr>
            <w:tcW w:w="1474" w:type="dxa"/>
            <w:vAlign w:val="center"/>
          </w:tcPr>
          <w:p w14:paraId="59E272EB">
            <w:pPr>
              <w:pStyle w:val="14"/>
            </w:pPr>
          </w:p>
        </w:tc>
        <w:tc>
          <w:tcPr>
            <w:tcW w:w="1474" w:type="dxa"/>
            <w:vAlign w:val="center"/>
          </w:tcPr>
          <w:p w14:paraId="780CB535">
            <w:pPr>
              <w:pStyle w:val="14"/>
            </w:pPr>
          </w:p>
        </w:tc>
        <w:tc>
          <w:tcPr>
            <w:tcW w:w="1474" w:type="dxa"/>
            <w:vAlign w:val="center"/>
          </w:tcPr>
          <w:p w14:paraId="6BC170E6">
            <w:pPr>
              <w:pStyle w:val="14"/>
            </w:pPr>
          </w:p>
        </w:tc>
        <w:tc>
          <w:tcPr>
            <w:tcW w:w="1474" w:type="dxa"/>
            <w:vAlign w:val="center"/>
          </w:tcPr>
          <w:p w14:paraId="165B0705">
            <w:pPr>
              <w:pStyle w:val="14"/>
            </w:pPr>
          </w:p>
        </w:tc>
      </w:tr>
      <w:tr w14:paraId="38D2F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0AD93">
            <w:pPr>
              <w:pStyle w:val="12"/>
            </w:pPr>
            <w:r>
              <w:t>12</w:t>
            </w:r>
          </w:p>
        </w:tc>
        <w:tc>
          <w:tcPr>
            <w:tcW w:w="3402" w:type="dxa"/>
            <w:vAlign w:val="center"/>
          </w:tcPr>
          <w:p w14:paraId="07831ED7">
            <w:pPr>
              <w:pStyle w:val="13"/>
            </w:pPr>
          </w:p>
        </w:tc>
        <w:tc>
          <w:tcPr>
            <w:tcW w:w="1474" w:type="dxa"/>
            <w:vAlign w:val="center"/>
          </w:tcPr>
          <w:p w14:paraId="41842FD9">
            <w:pPr>
              <w:pStyle w:val="14"/>
            </w:pPr>
          </w:p>
        </w:tc>
        <w:tc>
          <w:tcPr>
            <w:tcW w:w="3402" w:type="dxa"/>
            <w:vAlign w:val="center"/>
          </w:tcPr>
          <w:p w14:paraId="30C2EB50">
            <w:pPr>
              <w:pStyle w:val="13"/>
            </w:pPr>
            <w:r>
              <w:t>十二、城乡社区支出</w:t>
            </w:r>
          </w:p>
        </w:tc>
        <w:tc>
          <w:tcPr>
            <w:tcW w:w="1474" w:type="dxa"/>
            <w:vAlign w:val="center"/>
          </w:tcPr>
          <w:p w14:paraId="0CE0FB1F">
            <w:pPr>
              <w:pStyle w:val="14"/>
            </w:pPr>
          </w:p>
        </w:tc>
        <w:tc>
          <w:tcPr>
            <w:tcW w:w="1474" w:type="dxa"/>
            <w:vAlign w:val="center"/>
          </w:tcPr>
          <w:p w14:paraId="4B702C8D">
            <w:pPr>
              <w:pStyle w:val="14"/>
            </w:pPr>
          </w:p>
        </w:tc>
        <w:tc>
          <w:tcPr>
            <w:tcW w:w="1474" w:type="dxa"/>
            <w:vAlign w:val="center"/>
          </w:tcPr>
          <w:p w14:paraId="580FE78A">
            <w:pPr>
              <w:pStyle w:val="14"/>
            </w:pPr>
          </w:p>
        </w:tc>
        <w:tc>
          <w:tcPr>
            <w:tcW w:w="1474" w:type="dxa"/>
            <w:vAlign w:val="center"/>
          </w:tcPr>
          <w:p w14:paraId="4A24A033">
            <w:pPr>
              <w:pStyle w:val="14"/>
            </w:pPr>
          </w:p>
        </w:tc>
      </w:tr>
      <w:tr w14:paraId="2D35B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A5984">
            <w:pPr>
              <w:pStyle w:val="12"/>
            </w:pPr>
            <w:r>
              <w:t>13</w:t>
            </w:r>
          </w:p>
        </w:tc>
        <w:tc>
          <w:tcPr>
            <w:tcW w:w="3402" w:type="dxa"/>
            <w:vAlign w:val="center"/>
          </w:tcPr>
          <w:p w14:paraId="225547CE">
            <w:pPr>
              <w:pStyle w:val="13"/>
            </w:pPr>
          </w:p>
        </w:tc>
        <w:tc>
          <w:tcPr>
            <w:tcW w:w="1474" w:type="dxa"/>
            <w:vAlign w:val="center"/>
          </w:tcPr>
          <w:p w14:paraId="1336EE34">
            <w:pPr>
              <w:pStyle w:val="14"/>
            </w:pPr>
          </w:p>
        </w:tc>
        <w:tc>
          <w:tcPr>
            <w:tcW w:w="3402" w:type="dxa"/>
            <w:vAlign w:val="center"/>
          </w:tcPr>
          <w:p w14:paraId="197BC933">
            <w:pPr>
              <w:pStyle w:val="13"/>
            </w:pPr>
            <w:r>
              <w:t>十三、农林水支出</w:t>
            </w:r>
          </w:p>
        </w:tc>
        <w:tc>
          <w:tcPr>
            <w:tcW w:w="1474" w:type="dxa"/>
            <w:vAlign w:val="center"/>
          </w:tcPr>
          <w:p w14:paraId="68659E99">
            <w:pPr>
              <w:pStyle w:val="14"/>
            </w:pPr>
          </w:p>
        </w:tc>
        <w:tc>
          <w:tcPr>
            <w:tcW w:w="1474" w:type="dxa"/>
            <w:vAlign w:val="center"/>
          </w:tcPr>
          <w:p w14:paraId="065FC7DE">
            <w:pPr>
              <w:pStyle w:val="14"/>
            </w:pPr>
          </w:p>
        </w:tc>
        <w:tc>
          <w:tcPr>
            <w:tcW w:w="1474" w:type="dxa"/>
            <w:vAlign w:val="center"/>
          </w:tcPr>
          <w:p w14:paraId="6BE46380">
            <w:pPr>
              <w:pStyle w:val="14"/>
            </w:pPr>
          </w:p>
        </w:tc>
        <w:tc>
          <w:tcPr>
            <w:tcW w:w="1474" w:type="dxa"/>
            <w:vAlign w:val="center"/>
          </w:tcPr>
          <w:p w14:paraId="77C8C6EF">
            <w:pPr>
              <w:pStyle w:val="14"/>
            </w:pPr>
          </w:p>
        </w:tc>
      </w:tr>
      <w:tr w14:paraId="47302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64142">
            <w:pPr>
              <w:pStyle w:val="12"/>
            </w:pPr>
            <w:r>
              <w:t>14</w:t>
            </w:r>
          </w:p>
        </w:tc>
        <w:tc>
          <w:tcPr>
            <w:tcW w:w="3402" w:type="dxa"/>
            <w:vAlign w:val="center"/>
          </w:tcPr>
          <w:p w14:paraId="2ACBBC6D">
            <w:pPr>
              <w:pStyle w:val="13"/>
            </w:pPr>
          </w:p>
        </w:tc>
        <w:tc>
          <w:tcPr>
            <w:tcW w:w="1474" w:type="dxa"/>
            <w:vAlign w:val="center"/>
          </w:tcPr>
          <w:p w14:paraId="63244E91">
            <w:pPr>
              <w:pStyle w:val="14"/>
            </w:pPr>
          </w:p>
        </w:tc>
        <w:tc>
          <w:tcPr>
            <w:tcW w:w="3402" w:type="dxa"/>
            <w:vAlign w:val="center"/>
          </w:tcPr>
          <w:p w14:paraId="7335174E">
            <w:pPr>
              <w:pStyle w:val="13"/>
            </w:pPr>
            <w:r>
              <w:t>十四、交通运输支出</w:t>
            </w:r>
          </w:p>
        </w:tc>
        <w:tc>
          <w:tcPr>
            <w:tcW w:w="1474" w:type="dxa"/>
            <w:vAlign w:val="center"/>
          </w:tcPr>
          <w:p w14:paraId="2BFF8C74">
            <w:pPr>
              <w:pStyle w:val="14"/>
            </w:pPr>
          </w:p>
        </w:tc>
        <w:tc>
          <w:tcPr>
            <w:tcW w:w="1474" w:type="dxa"/>
            <w:vAlign w:val="center"/>
          </w:tcPr>
          <w:p w14:paraId="74F2FDA2">
            <w:pPr>
              <w:pStyle w:val="14"/>
            </w:pPr>
          </w:p>
        </w:tc>
        <w:tc>
          <w:tcPr>
            <w:tcW w:w="1474" w:type="dxa"/>
            <w:vAlign w:val="center"/>
          </w:tcPr>
          <w:p w14:paraId="2DBA5DFF">
            <w:pPr>
              <w:pStyle w:val="14"/>
            </w:pPr>
          </w:p>
        </w:tc>
        <w:tc>
          <w:tcPr>
            <w:tcW w:w="1474" w:type="dxa"/>
            <w:vAlign w:val="center"/>
          </w:tcPr>
          <w:p w14:paraId="0809A16C">
            <w:pPr>
              <w:pStyle w:val="14"/>
            </w:pPr>
          </w:p>
        </w:tc>
      </w:tr>
      <w:tr w14:paraId="66ADE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6DC34">
            <w:pPr>
              <w:pStyle w:val="12"/>
            </w:pPr>
            <w:r>
              <w:t>15</w:t>
            </w:r>
          </w:p>
        </w:tc>
        <w:tc>
          <w:tcPr>
            <w:tcW w:w="3402" w:type="dxa"/>
            <w:vAlign w:val="center"/>
          </w:tcPr>
          <w:p w14:paraId="68C94505">
            <w:pPr>
              <w:pStyle w:val="13"/>
            </w:pPr>
          </w:p>
        </w:tc>
        <w:tc>
          <w:tcPr>
            <w:tcW w:w="1474" w:type="dxa"/>
            <w:vAlign w:val="center"/>
          </w:tcPr>
          <w:p w14:paraId="7064887F">
            <w:pPr>
              <w:pStyle w:val="14"/>
            </w:pPr>
          </w:p>
        </w:tc>
        <w:tc>
          <w:tcPr>
            <w:tcW w:w="3402" w:type="dxa"/>
            <w:vAlign w:val="center"/>
          </w:tcPr>
          <w:p w14:paraId="7335ECCD">
            <w:pPr>
              <w:pStyle w:val="13"/>
            </w:pPr>
            <w:r>
              <w:t>十五、资源勘探工业信息等支出</w:t>
            </w:r>
          </w:p>
        </w:tc>
        <w:tc>
          <w:tcPr>
            <w:tcW w:w="1474" w:type="dxa"/>
            <w:vAlign w:val="center"/>
          </w:tcPr>
          <w:p w14:paraId="306A2098">
            <w:pPr>
              <w:pStyle w:val="14"/>
            </w:pPr>
          </w:p>
        </w:tc>
        <w:tc>
          <w:tcPr>
            <w:tcW w:w="1474" w:type="dxa"/>
            <w:vAlign w:val="center"/>
          </w:tcPr>
          <w:p w14:paraId="52DEDBF5">
            <w:pPr>
              <w:pStyle w:val="14"/>
            </w:pPr>
          </w:p>
        </w:tc>
        <w:tc>
          <w:tcPr>
            <w:tcW w:w="1474" w:type="dxa"/>
            <w:vAlign w:val="center"/>
          </w:tcPr>
          <w:p w14:paraId="38697F79">
            <w:pPr>
              <w:pStyle w:val="14"/>
            </w:pPr>
          </w:p>
        </w:tc>
        <w:tc>
          <w:tcPr>
            <w:tcW w:w="1474" w:type="dxa"/>
            <w:vAlign w:val="center"/>
          </w:tcPr>
          <w:p w14:paraId="2562C604">
            <w:pPr>
              <w:pStyle w:val="14"/>
            </w:pPr>
          </w:p>
        </w:tc>
      </w:tr>
      <w:tr w14:paraId="177E8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68720">
            <w:pPr>
              <w:pStyle w:val="12"/>
            </w:pPr>
            <w:r>
              <w:t>16</w:t>
            </w:r>
          </w:p>
        </w:tc>
        <w:tc>
          <w:tcPr>
            <w:tcW w:w="3402" w:type="dxa"/>
            <w:vAlign w:val="center"/>
          </w:tcPr>
          <w:p w14:paraId="0CFF60F6">
            <w:pPr>
              <w:pStyle w:val="13"/>
            </w:pPr>
          </w:p>
        </w:tc>
        <w:tc>
          <w:tcPr>
            <w:tcW w:w="1474" w:type="dxa"/>
            <w:vAlign w:val="center"/>
          </w:tcPr>
          <w:p w14:paraId="6748A9FC">
            <w:pPr>
              <w:pStyle w:val="14"/>
            </w:pPr>
          </w:p>
        </w:tc>
        <w:tc>
          <w:tcPr>
            <w:tcW w:w="3402" w:type="dxa"/>
            <w:vAlign w:val="center"/>
          </w:tcPr>
          <w:p w14:paraId="19AB8A6D">
            <w:pPr>
              <w:pStyle w:val="13"/>
            </w:pPr>
            <w:r>
              <w:t>十六、商业服务业等支出</w:t>
            </w:r>
          </w:p>
        </w:tc>
        <w:tc>
          <w:tcPr>
            <w:tcW w:w="1474" w:type="dxa"/>
            <w:vAlign w:val="center"/>
          </w:tcPr>
          <w:p w14:paraId="77E4031A">
            <w:pPr>
              <w:pStyle w:val="14"/>
            </w:pPr>
          </w:p>
        </w:tc>
        <w:tc>
          <w:tcPr>
            <w:tcW w:w="1474" w:type="dxa"/>
            <w:vAlign w:val="center"/>
          </w:tcPr>
          <w:p w14:paraId="24076CAC">
            <w:pPr>
              <w:pStyle w:val="14"/>
            </w:pPr>
          </w:p>
        </w:tc>
        <w:tc>
          <w:tcPr>
            <w:tcW w:w="1474" w:type="dxa"/>
            <w:vAlign w:val="center"/>
          </w:tcPr>
          <w:p w14:paraId="58FFCBB5">
            <w:pPr>
              <w:pStyle w:val="14"/>
            </w:pPr>
          </w:p>
        </w:tc>
        <w:tc>
          <w:tcPr>
            <w:tcW w:w="1474" w:type="dxa"/>
            <w:vAlign w:val="center"/>
          </w:tcPr>
          <w:p w14:paraId="2CBDD5D2">
            <w:pPr>
              <w:pStyle w:val="14"/>
            </w:pPr>
          </w:p>
        </w:tc>
      </w:tr>
      <w:tr w14:paraId="13B01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5AECF">
            <w:pPr>
              <w:pStyle w:val="12"/>
            </w:pPr>
            <w:r>
              <w:t>17</w:t>
            </w:r>
          </w:p>
        </w:tc>
        <w:tc>
          <w:tcPr>
            <w:tcW w:w="3402" w:type="dxa"/>
            <w:vAlign w:val="center"/>
          </w:tcPr>
          <w:p w14:paraId="45A904FF">
            <w:pPr>
              <w:pStyle w:val="13"/>
            </w:pPr>
          </w:p>
        </w:tc>
        <w:tc>
          <w:tcPr>
            <w:tcW w:w="1474" w:type="dxa"/>
            <w:vAlign w:val="center"/>
          </w:tcPr>
          <w:p w14:paraId="612B7FDB">
            <w:pPr>
              <w:pStyle w:val="14"/>
            </w:pPr>
          </w:p>
        </w:tc>
        <w:tc>
          <w:tcPr>
            <w:tcW w:w="3402" w:type="dxa"/>
            <w:vAlign w:val="center"/>
          </w:tcPr>
          <w:p w14:paraId="05367A85">
            <w:pPr>
              <w:pStyle w:val="13"/>
            </w:pPr>
            <w:r>
              <w:t>十七、金融支出</w:t>
            </w:r>
          </w:p>
        </w:tc>
        <w:tc>
          <w:tcPr>
            <w:tcW w:w="1474" w:type="dxa"/>
            <w:vAlign w:val="center"/>
          </w:tcPr>
          <w:p w14:paraId="03237A1C">
            <w:pPr>
              <w:pStyle w:val="14"/>
            </w:pPr>
          </w:p>
        </w:tc>
        <w:tc>
          <w:tcPr>
            <w:tcW w:w="1474" w:type="dxa"/>
            <w:vAlign w:val="center"/>
          </w:tcPr>
          <w:p w14:paraId="04C6CF47">
            <w:pPr>
              <w:pStyle w:val="14"/>
            </w:pPr>
          </w:p>
        </w:tc>
        <w:tc>
          <w:tcPr>
            <w:tcW w:w="1474" w:type="dxa"/>
            <w:vAlign w:val="center"/>
          </w:tcPr>
          <w:p w14:paraId="56C410EC">
            <w:pPr>
              <w:pStyle w:val="14"/>
            </w:pPr>
          </w:p>
        </w:tc>
        <w:tc>
          <w:tcPr>
            <w:tcW w:w="1474" w:type="dxa"/>
            <w:vAlign w:val="center"/>
          </w:tcPr>
          <w:p w14:paraId="6B0E0168">
            <w:pPr>
              <w:pStyle w:val="14"/>
            </w:pPr>
          </w:p>
        </w:tc>
      </w:tr>
      <w:tr w14:paraId="14AEC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04739">
            <w:pPr>
              <w:pStyle w:val="12"/>
            </w:pPr>
            <w:r>
              <w:t>18</w:t>
            </w:r>
          </w:p>
        </w:tc>
        <w:tc>
          <w:tcPr>
            <w:tcW w:w="3402" w:type="dxa"/>
            <w:vAlign w:val="center"/>
          </w:tcPr>
          <w:p w14:paraId="7911FFA8">
            <w:pPr>
              <w:pStyle w:val="13"/>
            </w:pPr>
          </w:p>
        </w:tc>
        <w:tc>
          <w:tcPr>
            <w:tcW w:w="1474" w:type="dxa"/>
            <w:vAlign w:val="center"/>
          </w:tcPr>
          <w:p w14:paraId="55701C11">
            <w:pPr>
              <w:pStyle w:val="14"/>
            </w:pPr>
          </w:p>
        </w:tc>
        <w:tc>
          <w:tcPr>
            <w:tcW w:w="3402" w:type="dxa"/>
            <w:vAlign w:val="center"/>
          </w:tcPr>
          <w:p w14:paraId="074C9680">
            <w:pPr>
              <w:pStyle w:val="13"/>
            </w:pPr>
            <w:r>
              <w:t>十八、援助其他地区支出</w:t>
            </w:r>
          </w:p>
        </w:tc>
        <w:tc>
          <w:tcPr>
            <w:tcW w:w="1474" w:type="dxa"/>
            <w:vAlign w:val="center"/>
          </w:tcPr>
          <w:p w14:paraId="5A18A249">
            <w:pPr>
              <w:pStyle w:val="14"/>
            </w:pPr>
          </w:p>
        </w:tc>
        <w:tc>
          <w:tcPr>
            <w:tcW w:w="1474" w:type="dxa"/>
            <w:vAlign w:val="center"/>
          </w:tcPr>
          <w:p w14:paraId="02E97873">
            <w:pPr>
              <w:pStyle w:val="14"/>
            </w:pPr>
          </w:p>
        </w:tc>
        <w:tc>
          <w:tcPr>
            <w:tcW w:w="1474" w:type="dxa"/>
            <w:vAlign w:val="center"/>
          </w:tcPr>
          <w:p w14:paraId="5A2C9334">
            <w:pPr>
              <w:pStyle w:val="14"/>
            </w:pPr>
          </w:p>
        </w:tc>
        <w:tc>
          <w:tcPr>
            <w:tcW w:w="1474" w:type="dxa"/>
            <w:vAlign w:val="center"/>
          </w:tcPr>
          <w:p w14:paraId="156AD00F">
            <w:pPr>
              <w:pStyle w:val="14"/>
            </w:pPr>
          </w:p>
        </w:tc>
      </w:tr>
      <w:tr w14:paraId="5E39F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57751">
            <w:pPr>
              <w:pStyle w:val="12"/>
            </w:pPr>
            <w:r>
              <w:t>19</w:t>
            </w:r>
          </w:p>
        </w:tc>
        <w:tc>
          <w:tcPr>
            <w:tcW w:w="3402" w:type="dxa"/>
            <w:vAlign w:val="center"/>
          </w:tcPr>
          <w:p w14:paraId="42E6C0E5">
            <w:pPr>
              <w:pStyle w:val="13"/>
            </w:pPr>
          </w:p>
        </w:tc>
        <w:tc>
          <w:tcPr>
            <w:tcW w:w="1474" w:type="dxa"/>
            <w:vAlign w:val="center"/>
          </w:tcPr>
          <w:p w14:paraId="4AF9EA7B">
            <w:pPr>
              <w:pStyle w:val="14"/>
            </w:pPr>
          </w:p>
        </w:tc>
        <w:tc>
          <w:tcPr>
            <w:tcW w:w="3402" w:type="dxa"/>
            <w:vAlign w:val="center"/>
          </w:tcPr>
          <w:p w14:paraId="4A5FACFA">
            <w:pPr>
              <w:pStyle w:val="13"/>
            </w:pPr>
            <w:r>
              <w:t>十九、自然资源海洋气象等支出</w:t>
            </w:r>
          </w:p>
        </w:tc>
        <w:tc>
          <w:tcPr>
            <w:tcW w:w="1474" w:type="dxa"/>
            <w:vAlign w:val="center"/>
          </w:tcPr>
          <w:p w14:paraId="25E440A1">
            <w:pPr>
              <w:pStyle w:val="14"/>
            </w:pPr>
          </w:p>
        </w:tc>
        <w:tc>
          <w:tcPr>
            <w:tcW w:w="1474" w:type="dxa"/>
            <w:vAlign w:val="center"/>
          </w:tcPr>
          <w:p w14:paraId="01973020">
            <w:pPr>
              <w:pStyle w:val="14"/>
            </w:pPr>
          </w:p>
        </w:tc>
        <w:tc>
          <w:tcPr>
            <w:tcW w:w="1474" w:type="dxa"/>
            <w:vAlign w:val="center"/>
          </w:tcPr>
          <w:p w14:paraId="0EF1B5BF">
            <w:pPr>
              <w:pStyle w:val="14"/>
            </w:pPr>
          </w:p>
        </w:tc>
        <w:tc>
          <w:tcPr>
            <w:tcW w:w="1474" w:type="dxa"/>
            <w:vAlign w:val="center"/>
          </w:tcPr>
          <w:p w14:paraId="792CE98E">
            <w:pPr>
              <w:pStyle w:val="14"/>
            </w:pPr>
          </w:p>
        </w:tc>
      </w:tr>
      <w:tr w14:paraId="048B6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3BAC7">
            <w:pPr>
              <w:pStyle w:val="12"/>
            </w:pPr>
            <w:r>
              <w:t>20</w:t>
            </w:r>
          </w:p>
        </w:tc>
        <w:tc>
          <w:tcPr>
            <w:tcW w:w="3402" w:type="dxa"/>
            <w:vAlign w:val="center"/>
          </w:tcPr>
          <w:p w14:paraId="41B0021E">
            <w:pPr>
              <w:pStyle w:val="13"/>
            </w:pPr>
          </w:p>
        </w:tc>
        <w:tc>
          <w:tcPr>
            <w:tcW w:w="1474" w:type="dxa"/>
            <w:vAlign w:val="center"/>
          </w:tcPr>
          <w:p w14:paraId="369A3678">
            <w:pPr>
              <w:pStyle w:val="14"/>
            </w:pPr>
          </w:p>
        </w:tc>
        <w:tc>
          <w:tcPr>
            <w:tcW w:w="3402" w:type="dxa"/>
            <w:vAlign w:val="center"/>
          </w:tcPr>
          <w:p w14:paraId="61AB4229">
            <w:pPr>
              <w:pStyle w:val="13"/>
            </w:pPr>
            <w:r>
              <w:t>二十、住房保障支出</w:t>
            </w:r>
          </w:p>
        </w:tc>
        <w:tc>
          <w:tcPr>
            <w:tcW w:w="1474" w:type="dxa"/>
            <w:vAlign w:val="center"/>
          </w:tcPr>
          <w:p w14:paraId="6B1AE87D">
            <w:pPr>
              <w:pStyle w:val="14"/>
            </w:pPr>
          </w:p>
        </w:tc>
        <w:tc>
          <w:tcPr>
            <w:tcW w:w="1474" w:type="dxa"/>
            <w:vAlign w:val="center"/>
          </w:tcPr>
          <w:p w14:paraId="16A8AF78">
            <w:pPr>
              <w:pStyle w:val="14"/>
            </w:pPr>
          </w:p>
        </w:tc>
        <w:tc>
          <w:tcPr>
            <w:tcW w:w="1474" w:type="dxa"/>
            <w:vAlign w:val="center"/>
          </w:tcPr>
          <w:p w14:paraId="2B6786E4">
            <w:pPr>
              <w:pStyle w:val="14"/>
            </w:pPr>
          </w:p>
        </w:tc>
        <w:tc>
          <w:tcPr>
            <w:tcW w:w="1474" w:type="dxa"/>
            <w:vAlign w:val="center"/>
          </w:tcPr>
          <w:p w14:paraId="7B5E2062">
            <w:pPr>
              <w:pStyle w:val="14"/>
            </w:pPr>
          </w:p>
        </w:tc>
      </w:tr>
      <w:tr w14:paraId="6127F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7BF99">
            <w:pPr>
              <w:pStyle w:val="12"/>
            </w:pPr>
            <w:r>
              <w:t>21</w:t>
            </w:r>
          </w:p>
        </w:tc>
        <w:tc>
          <w:tcPr>
            <w:tcW w:w="3402" w:type="dxa"/>
            <w:vAlign w:val="center"/>
          </w:tcPr>
          <w:p w14:paraId="526E2665">
            <w:pPr>
              <w:pStyle w:val="13"/>
            </w:pPr>
          </w:p>
        </w:tc>
        <w:tc>
          <w:tcPr>
            <w:tcW w:w="1474" w:type="dxa"/>
            <w:vAlign w:val="center"/>
          </w:tcPr>
          <w:p w14:paraId="442DF9F1">
            <w:pPr>
              <w:pStyle w:val="14"/>
            </w:pPr>
          </w:p>
        </w:tc>
        <w:tc>
          <w:tcPr>
            <w:tcW w:w="3402" w:type="dxa"/>
            <w:vAlign w:val="center"/>
          </w:tcPr>
          <w:p w14:paraId="09E352FD">
            <w:pPr>
              <w:pStyle w:val="13"/>
            </w:pPr>
            <w:r>
              <w:t>二十一、粮油物资储备支出</w:t>
            </w:r>
          </w:p>
        </w:tc>
        <w:tc>
          <w:tcPr>
            <w:tcW w:w="1474" w:type="dxa"/>
            <w:vAlign w:val="center"/>
          </w:tcPr>
          <w:p w14:paraId="12003E3A">
            <w:pPr>
              <w:pStyle w:val="14"/>
            </w:pPr>
          </w:p>
        </w:tc>
        <w:tc>
          <w:tcPr>
            <w:tcW w:w="1474" w:type="dxa"/>
            <w:vAlign w:val="center"/>
          </w:tcPr>
          <w:p w14:paraId="393E3061">
            <w:pPr>
              <w:pStyle w:val="14"/>
            </w:pPr>
          </w:p>
        </w:tc>
        <w:tc>
          <w:tcPr>
            <w:tcW w:w="1474" w:type="dxa"/>
            <w:vAlign w:val="center"/>
          </w:tcPr>
          <w:p w14:paraId="51D62771">
            <w:pPr>
              <w:pStyle w:val="14"/>
            </w:pPr>
          </w:p>
        </w:tc>
        <w:tc>
          <w:tcPr>
            <w:tcW w:w="1474" w:type="dxa"/>
            <w:vAlign w:val="center"/>
          </w:tcPr>
          <w:p w14:paraId="21D0591D">
            <w:pPr>
              <w:pStyle w:val="14"/>
            </w:pPr>
          </w:p>
        </w:tc>
      </w:tr>
      <w:tr w14:paraId="0B0EB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A0082">
            <w:pPr>
              <w:pStyle w:val="12"/>
            </w:pPr>
            <w:r>
              <w:t>22</w:t>
            </w:r>
          </w:p>
        </w:tc>
        <w:tc>
          <w:tcPr>
            <w:tcW w:w="3402" w:type="dxa"/>
            <w:vAlign w:val="center"/>
          </w:tcPr>
          <w:p w14:paraId="779C1994">
            <w:pPr>
              <w:pStyle w:val="13"/>
            </w:pPr>
          </w:p>
        </w:tc>
        <w:tc>
          <w:tcPr>
            <w:tcW w:w="1474" w:type="dxa"/>
            <w:vAlign w:val="center"/>
          </w:tcPr>
          <w:p w14:paraId="7B11459E">
            <w:pPr>
              <w:pStyle w:val="14"/>
            </w:pPr>
          </w:p>
        </w:tc>
        <w:tc>
          <w:tcPr>
            <w:tcW w:w="3402" w:type="dxa"/>
            <w:vAlign w:val="center"/>
          </w:tcPr>
          <w:p w14:paraId="20BFF696">
            <w:pPr>
              <w:pStyle w:val="13"/>
            </w:pPr>
            <w:r>
              <w:t>二十二、国有资本经营预算支出</w:t>
            </w:r>
          </w:p>
        </w:tc>
        <w:tc>
          <w:tcPr>
            <w:tcW w:w="1474" w:type="dxa"/>
            <w:vAlign w:val="center"/>
          </w:tcPr>
          <w:p w14:paraId="14AE6580">
            <w:pPr>
              <w:pStyle w:val="14"/>
            </w:pPr>
          </w:p>
        </w:tc>
        <w:tc>
          <w:tcPr>
            <w:tcW w:w="1474" w:type="dxa"/>
            <w:vAlign w:val="center"/>
          </w:tcPr>
          <w:p w14:paraId="09B59AAB">
            <w:pPr>
              <w:pStyle w:val="14"/>
            </w:pPr>
          </w:p>
        </w:tc>
        <w:tc>
          <w:tcPr>
            <w:tcW w:w="1474" w:type="dxa"/>
            <w:vAlign w:val="center"/>
          </w:tcPr>
          <w:p w14:paraId="53397A76">
            <w:pPr>
              <w:pStyle w:val="14"/>
            </w:pPr>
          </w:p>
        </w:tc>
        <w:tc>
          <w:tcPr>
            <w:tcW w:w="1474" w:type="dxa"/>
            <w:vAlign w:val="center"/>
          </w:tcPr>
          <w:p w14:paraId="1C02660A">
            <w:pPr>
              <w:pStyle w:val="14"/>
            </w:pPr>
          </w:p>
        </w:tc>
      </w:tr>
      <w:tr w14:paraId="5FE30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593C5">
            <w:pPr>
              <w:pStyle w:val="12"/>
            </w:pPr>
            <w:r>
              <w:t>23</w:t>
            </w:r>
          </w:p>
        </w:tc>
        <w:tc>
          <w:tcPr>
            <w:tcW w:w="3402" w:type="dxa"/>
            <w:vAlign w:val="center"/>
          </w:tcPr>
          <w:p w14:paraId="4EFB87F0">
            <w:pPr>
              <w:pStyle w:val="13"/>
            </w:pPr>
          </w:p>
        </w:tc>
        <w:tc>
          <w:tcPr>
            <w:tcW w:w="1474" w:type="dxa"/>
            <w:vAlign w:val="center"/>
          </w:tcPr>
          <w:p w14:paraId="665A296C">
            <w:pPr>
              <w:pStyle w:val="14"/>
            </w:pPr>
          </w:p>
        </w:tc>
        <w:tc>
          <w:tcPr>
            <w:tcW w:w="3402" w:type="dxa"/>
            <w:vAlign w:val="center"/>
          </w:tcPr>
          <w:p w14:paraId="0DD7316E">
            <w:pPr>
              <w:pStyle w:val="13"/>
            </w:pPr>
            <w:r>
              <w:t>二十三、灾害防治及应急管理支出</w:t>
            </w:r>
          </w:p>
        </w:tc>
        <w:tc>
          <w:tcPr>
            <w:tcW w:w="1474" w:type="dxa"/>
            <w:vAlign w:val="center"/>
          </w:tcPr>
          <w:p w14:paraId="108A0A6B">
            <w:pPr>
              <w:pStyle w:val="14"/>
            </w:pPr>
          </w:p>
        </w:tc>
        <w:tc>
          <w:tcPr>
            <w:tcW w:w="1474" w:type="dxa"/>
            <w:vAlign w:val="center"/>
          </w:tcPr>
          <w:p w14:paraId="2FCEC1C0">
            <w:pPr>
              <w:pStyle w:val="14"/>
            </w:pPr>
          </w:p>
        </w:tc>
        <w:tc>
          <w:tcPr>
            <w:tcW w:w="1474" w:type="dxa"/>
            <w:vAlign w:val="center"/>
          </w:tcPr>
          <w:p w14:paraId="56600D43">
            <w:pPr>
              <w:pStyle w:val="14"/>
            </w:pPr>
          </w:p>
        </w:tc>
        <w:tc>
          <w:tcPr>
            <w:tcW w:w="1474" w:type="dxa"/>
            <w:vAlign w:val="center"/>
          </w:tcPr>
          <w:p w14:paraId="0BCAAF1A">
            <w:pPr>
              <w:pStyle w:val="14"/>
            </w:pPr>
          </w:p>
        </w:tc>
      </w:tr>
      <w:tr w14:paraId="65059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66D23">
            <w:pPr>
              <w:pStyle w:val="12"/>
            </w:pPr>
            <w:r>
              <w:t>24</w:t>
            </w:r>
          </w:p>
        </w:tc>
        <w:tc>
          <w:tcPr>
            <w:tcW w:w="3402" w:type="dxa"/>
            <w:vAlign w:val="center"/>
          </w:tcPr>
          <w:p w14:paraId="05100882">
            <w:pPr>
              <w:pStyle w:val="13"/>
            </w:pPr>
          </w:p>
        </w:tc>
        <w:tc>
          <w:tcPr>
            <w:tcW w:w="1474" w:type="dxa"/>
            <w:vAlign w:val="center"/>
          </w:tcPr>
          <w:p w14:paraId="4448D849">
            <w:pPr>
              <w:pStyle w:val="14"/>
            </w:pPr>
          </w:p>
        </w:tc>
        <w:tc>
          <w:tcPr>
            <w:tcW w:w="3402" w:type="dxa"/>
            <w:vAlign w:val="center"/>
          </w:tcPr>
          <w:p w14:paraId="06205257">
            <w:pPr>
              <w:pStyle w:val="13"/>
            </w:pPr>
            <w:r>
              <w:t>二十四、预备费</w:t>
            </w:r>
          </w:p>
        </w:tc>
        <w:tc>
          <w:tcPr>
            <w:tcW w:w="1474" w:type="dxa"/>
            <w:vAlign w:val="center"/>
          </w:tcPr>
          <w:p w14:paraId="5B81965E">
            <w:pPr>
              <w:pStyle w:val="14"/>
            </w:pPr>
          </w:p>
        </w:tc>
        <w:tc>
          <w:tcPr>
            <w:tcW w:w="1474" w:type="dxa"/>
            <w:vAlign w:val="center"/>
          </w:tcPr>
          <w:p w14:paraId="755F9052">
            <w:pPr>
              <w:pStyle w:val="14"/>
            </w:pPr>
          </w:p>
        </w:tc>
        <w:tc>
          <w:tcPr>
            <w:tcW w:w="1474" w:type="dxa"/>
            <w:vAlign w:val="center"/>
          </w:tcPr>
          <w:p w14:paraId="45CA06A7">
            <w:pPr>
              <w:pStyle w:val="14"/>
            </w:pPr>
          </w:p>
        </w:tc>
        <w:tc>
          <w:tcPr>
            <w:tcW w:w="1474" w:type="dxa"/>
            <w:vAlign w:val="center"/>
          </w:tcPr>
          <w:p w14:paraId="5B0CEFE1">
            <w:pPr>
              <w:pStyle w:val="14"/>
            </w:pPr>
          </w:p>
        </w:tc>
      </w:tr>
      <w:tr w14:paraId="32BAF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7CD53">
            <w:pPr>
              <w:pStyle w:val="12"/>
            </w:pPr>
            <w:r>
              <w:t>25</w:t>
            </w:r>
          </w:p>
        </w:tc>
        <w:tc>
          <w:tcPr>
            <w:tcW w:w="3402" w:type="dxa"/>
            <w:vAlign w:val="center"/>
          </w:tcPr>
          <w:p w14:paraId="13D90680">
            <w:pPr>
              <w:pStyle w:val="13"/>
            </w:pPr>
          </w:p>
        </w:tc>
        <w:tc>
          <w:tcPr>
            <w:tcW w:w="1474" w:type="dxa"/>
            <w:vAlign w:val="center"/>
          </w:tcPr>
          <w:p w14:paraId="65D6350C">
            <w:pPr>
              <w:pStyle w:val="14"/>
            </w:pPr>
          </w:p>
        </w:tc>
        <w:tc>
          <w:tcPr>
            <w:tcW w:w="3402" w:type="dxa"/>
            <w:vAlign w:val="center"/>
          </w:tcPr>
          <w:p w14:paraId="37C5AA69">
            <w:pPr>
              <w:pStyle w:val="13"/>
            </w:pPr>
            <w:r>
              <w:t>二十五、其他支出</w:t>
            </w:r>
          </w:p>
        </w:tc>
        <w:tc>
          <w:tcPr>
            <w:tcW w:w="1474" w:type="dxa"/>
            <w:vAlign w:val="center"/>
          </w:tcPr>
          <w:p w14:paraId="0B2321FC">
            <w:pPr>
              <w:pStyle w:val="14"/>
            </w:pPr>
          </w:p>
        </w:tc>
        <w:tc>
          <w:tcPr>
            <w:tcW w:w="1474" w:type="dxa"/>
            <w:vAlign w:val="center"/>
          </w:tcPr>
          <w:p w14:paraId="4E4CEA76">
            <w:pPr>
              <w:pStyle w:val="14"/>
            </w:pPr>
          </w:p>
        </w:tc>
        <w:tc>
          <w:tcPr>
            <w:tcW w:w="1474" w:type="dxa"/>
            <w:vAlign w:val="center"/>
          </w:tcPr>
          <w:p w14:paraId="27B11C4B">
            <w:pPr>
              <w:pStyle w:val="14"/>
            </w:pPr>
          </w:p>
        </w:tc>
        <w:tc>
          <w:tcPr>
            <w:tcW w:w="1474" w:type="dxa"/>
            <w:vAlign w:val="center"/>
          </w:tcPr>
          <w:p w14:paraId="69F70788">
            <w:pPr>
              <w:pStyle w:val="14"/>
            </w:pPr>
          </w:p>
        </w:tc>
      </w:tr>
      <w:tr w14:paraId="5BC29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E7052">
            <w:pPr>
              <w:pStyle w:val="12"/>
            </w:pPr>
            <w:r>
              <w:t>26</w:t>
            </w:r>
          </w:p>
        </w:tc>
        <w:tc>
          <w:tcPr>
            <w:tcW w:w="3402" w:type="dxa"/>
            <w:vAlign w:val="center"/>
          </w:tcPr>
          <w:p w14:paraId="68C758BD">
            <w:pPr>
              <w:pStyle w:val="13"/>
            </w:pPr>
          </w:p>
        </w:tc>
        <w:tc>
          <w:tcPr>
            <w:tcW w:w="1474" w:type="dxa"/>
            <w:vAlign w:val="center"/>
          </w:tcPr>
          <w:p w14:paraId="6A8A7186">
            <w:pPr>
              <w:pStyle w:val="14"/>
            </w:pPr>
          </w:p>
        </w:tc>
        <w:tc>
          <w:tcPr>
            <w:tcW w:w="3402" w:type="dxa"/>
            <w:vAlign w:val="center"/>
          </w:tcPr>
          <w:p w14:paraId="30A3947A">
            <w:pPr>
              <w:pStyle w:val="13"/>
            </w:pPr>
            <w:r>
              <w:t>二十六、转移性支出</w:t>
            </w:r>
          </w:p>
        </w:tc>
        <w:tc>
          <w:tcPr>
            <w:tcW w:w="1474" w:type="dxa"/>
            <w:vAlign w:val="center"/>
          </w:tcPr>
          <w:p w14:paraId="7F54E362">
            <w:pPr>
              <w:pStyle w:val="14"/>
            </w:pPr>
          </w:p>
        </w:tc>
        <w:tc>
          <w:tcPr>
            <w:tcW w:w="1474" w:type="dxa"/>
            <w:vAlign w:val="center"/>
          </w:tcPr>
          <w:p w14:paraId="55285ACE">
            <w:pPr>
              <w:pStyle w:val="14"/>
            </w:pPr>
          </w:p>
        </w:tc>
        <w:tc>
          <w:tcPr>
            <w:tcW w:w="1474" w:type="dxa"/>
            <w:vAlign w:val="center"/>
          </w:tcPr>
          <w:p w14:paraId="3D908273">
            <w:pPr>
              <w:pStyle w:val="14"/>
            </w:pPr>
          </w:p>
        </w:tc>
        <w:tc>
          <w:tcPr>
            <w:tcW w:w="1474" w:type="dxa"/>
            <w:vAlign w:val="center"/>
          </w:tcPr>
          <w:p w14:paraId="51FA032B">
            <w:pPr>
              <w:pStyle w:val="14"/>
            </w:pPr>
          </w:p>
        </w:tc>
      </w:tr>
      <w:tr w14:paraId="6DA77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C69CF">
            <w:pPr>
              <w:pStyle w:val="12"/>
            </w:pPr>
            <w:r>
              <w:t>27</w:t>
            </w:r>
          </w:p>
        </w:tc>
        <w:tc>
          <w:tcPr>
            <w:tcW w:w="3402" w:type="dxa"/>
            <w:vAlign w:val="center"/>
          </w:tcPr>
          <w:p w14:paraId="52CA7878">
            <w:pPr>
              <w:pStyle w:val="13"/>
            </w:pPr>
          </w:p>
        </w:tc>
        <w:tc>
          <w:tcPr>
            <w:tcW w:w="1474" w:type="dxa"/>
            <w:vAlign w:val="center"/>
          </w:tcPr>
          <w:p w14:paraId="1B48AE18">
            <w:pPr>
              <w:pStyle w:val="14"/>
            </w:pPr>
          </w:p>
        </w:tc>
        <w:tc>
          <w:tcPr>
            <w:tcW w:w="3402" w:type="dxa"/>
            <w:vAlign w:val="center"/>
          </w:tcPr>
          <w:p w14:paraId="3EEEFC6C">
            <w:pPr>
              <w:pStyle w:val="13"/>
            </w:pPr>
            <w:r>
              <w:t>二十七、债务还本支出</w:t>
            </w:r>
          </w:p>
        </w:tc>
        <w:tc>
          <w:tcPr>
            <w:tcW w:w="1474" w:type="dxa"/>
            <w:vAlign w:val="center"/>
          </w:tcPr>
          <w:p w14:paraId="2F5FD3B8">
            <w:pPr>
              <w:pStyle w:val="14"/>
            </w:pPr>
          </w:p>
        </w:tc>
        <w:tc>
          <w:tcPr>
            <w:tcW w:w="1474" w:type="dxa"/>
            <w:vAlign w:val="center"/>
          </w:tcPr>
          <w:p w14:paraId="79BC307D">
            <w:pPr>
              <w:pStyle w:val="14"/>
            </w:pPr>
          </w:p>
        </w:tc>
        <w:tc>
          <w:tcPr>
            <w:tcW w:w="1474" w:type="dxa"/>
            <w:vAlign w:val="center"/>
          </w:tcPr>
          <w:p w14:paraId="2689AF23">
            <w:pPr>
              <w:pStyle w:val="14"/>
            </w:pPr>
          </w:p>
        </w:tc>
        <w:tc>
          <w:tcPr>
            <w:tcW w:w="1474" w:type="dxa"/>
            <w:vAlign w:val="center"/>
          </w:tcPr>
          <w:p w14:paraId="05BBB47E">
            <w:pPr>
              <w:pStyle w:val="14"/>
            </w:pPr>
          </w:p>
        </w:tc>
      </w:tr>
      <w:tr w14:paraId="47962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B1AC7">
            <w:pPr>
              <w:pStyle w:val="12"/>
            </w:pPr>
            <w:r>
              <w:t>28</w:t>
            </w:r>
          </w:p>
        </w:tc>
        <w:tc>
          <w:tcPr>
            <w:tcW w:w="3402" w:type="dxa"/>
            <w:vAlign w:val="center"/>
          </w:tcPr>
          <w:p w14:paraId="1E0F2DBA">
            <w:pPr>
              <w:pStyle w:val="13"/>
            </w:pPr>
          </w:p>
        </w:tc>
        <w:tc>
          <w:tcPr>
            <w:tcW w:w="1474" w:type="dxa"/>
            <w:vAlign w:val="center"/>
          </w:tcPr>
          <w:p w14:paraId="1A36048D">
            <w:pPr>
              <w:pStyle w:val="14"/>
            </w:pPr>
          </w:p>
        </w:tc>
        <w:tc>
          <w:tcPr>
            <w:tcW w:w="3402" w:type="dxa"/>
            <w:vAlign w:val="center"/>
          </w:tcPr>
          <w:p w14:paraId="351F3752">
            <w:pPr>
              <w:pStyle w:val="13"/>
            </w:pPr>
            <w:r>
              <w:t>二十八、债务付息支出</w:t>
            </w:r>
          </w:p>
        </w:tc>
        <w:tc>
          <w:tcPr>
            <w:tcW w:w="1474" w:type="dxa"/>
            <w:vAlign w:val="center"/>
          </w:tcPr>
          <w:p w14:paraId="27A9956C">
            <w:pPr>
              <w:pStyle w:val="14"/>
            </w:pPr>
          </w:p>
        </w:tc>
        <w:tc>
          <w:tcPr>
            <w:tcW w:w="1474" w:type="dxa"/>
            <w:vAlign w:val="center"/>
          </w:tcPr>
          <w:p w14:paraId="7AEE879E">
            <w:pPr>
              <w:pStyle w:val="14"/>
            </w:pPr>
          </w:p>
        </w:tc>
        <w:tc>
          <w:tcPr>
            <w:tcW w:w="1474" w:type="dxa"/>
            <w:vAlign w:val="center"/>
          </w:tcPr>
          <w:p w14:paraId="66C6E7B5">
            <w:pPr>
              <w:pStyle w:val="14"/>
            </w:pPr>
          </w:p>
        </w:tc>
        <w:tc>
          <w:tcPr>
            <w:tcW w:w="1474" w:type="dxa"/>
            <w:vAlign w:val="center"/>
          </w:tcPr>
          <w:p w14:paraId="57434E60">
            <w:pPr>
              <w:pStyle w:val="14"/>
            </w:pPr>
          </w:p>
        </w:tc>
      </w:tr>
      <w:tr w14:paraId="30909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BF7CF">
            <w:pPr>
              <w:pStyle w:val="12"/>
            </w:pPr>
            <w:r>
              <w:t>29</w:t>
            </w:r>
          </w:p>
        </w:tc>
        <w:tc>
          <w:tcPr>
            <w:tcW w:w="3402" w:type="dxa"/>
            <w:vAlign w:val="center"/>
          </w:tcPr>
          <w:p w14:paraId="1F72AC3B">
            <w:pPr>
              <w:pStyle w:val="13"/>
            </w:pPr>
          </w:p>
        </w:tc>
        <w:tc>
          <w:tcPr>
            <w:tcW w:w="1474" w:type="dxa"/>
            <w:vAlign w:val="center"/>
          </w:tcPr>
          <w:p w14:paraId="7A04FD5E">
            <w:pPr>
              <w:pStyle w:val="14"/>
            </w:pPr>
          </w:p>
        </w:tc>
        <w:tc>
          <w:tcPr>
            <w:tcW w:w="3402" w:type="dxa"/>
            <w:vAlign w:val="center"/>
          </w:tcPr>
          <w:p w14:paraId="31F53B40">
            <w:pPr>
              <w:pStyle w:val="13"/>
            </w:pPr>
            <w:r>
              <w:t>二十九、债务发行费用支出</w:t>
            </w:r>
          </w:p>
        </w:tc>
        <w:tc>
          <w:tcPr>
            <w:tcW w:w="1474" w:type="dxa"/>
            <w:vAlign w:val="center"/>
          </w:tcPr>
          <w:p w14:paraId="16249522">
            <w:pPr>
              <w:pStyle w:val="14"/>
            </w:pPr>
          </w:p>
        </w:tc>
        <w:tc>
          <w:tcPr>
            <w:tcW w:w="1474" w:type="dxa"/>
            <w:vAlign w:val="center"/>
          </w:tcPr>
          <w:p w14:paraId="320CEC65">
            <w:pPr>
              <w:pStyle w:val="14"/>
            </w:pPr>
          </w:p>
        </w:tc>
        <w:tc>
          <w:tcPr>
            <w:tcW w:w="1474" w:type="dxa"/>
            <w:vAlign w:val="center"/>
          </w:tcPr>
          <w:p w14:paraId="4CF0867B">
            <w:pPr>
              <w:pStyle w:val="14"/>
            </w:pPr>
          </w:p>
        </w:tc>
        <w:tc>
          <w:tcPr>
            <w:tcW w:w="1474" w:type="dxa"/>
            <w:vAlign w:val="center"/>
          </w:tcPr>
          <w:p w14:paraId="22432281">
            <w:pPr>
              <w:pStyle w:val="14"/>
            </w:pPr>
          </w:p>
        </w:tc>
      </w:tr>
      <w:tr w14:paraId="2129B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D8580">
            <w:pPr>
              <w:pStyle w:val="12"/>
            </w:pPr>
            <w:r>
              <w:t>30</w:t>
            </w:r>
          </w:p>
        </w:tc>
        <w:tc>
          <w:tcPr>
            <w:tcW w:w="3402" w:type="dxa"/>
            <w:vAlign w:val="center"/>
          </w:tcPr>
          <w:p w14:paraId="5CB25DCF">
            <w:pPr>
              <w:pStyle w:val="13"/>
            </w:pPr>
          </w:p>
        </w:tc>
        <w:tc>
          <w:tcPr>
            <w:tcW w:w="1474" w:type="dxa"/>
            <w:vAlign w:val="center"/>
          </w:tcPr>
          <w:p w14:paraId="0BA6745E">
            <w:pPr>
              <w:pStyle w:val="14"/>
            </w:pPr>
          </w:p>
        </w:tc>
        <w:tc>
          <w:tcPr>
            <w:tcW w:w="3402" w:type="dxa"/>
            <w:vAlign w:val="center"/>
          </w:tcPr>
          <w:p w14:paraId="49E585D4">
            <w:pPr>
              <w:pStyle w:val="13"/>
            </w:pPr>
            <w:r>
              <w:t>三十、抗疫特别国债安排的支出</w:t>
            </w:r>
          </w:p>
        </w:tc>
        <w:tc>
          <w:tcPr>
            <w:tcW w:w="1474" w:type="dxa"/>
            <w:vAlign w:val="center"/>
          </w:tcPr>
          <w:p w14:paraId="07883BE2">
            <w:pPr>
              <w:pStyle w:val="14"/>
            </w:pPr>
          </w:p>
        </w:tc>
        <w:tc>
          <w:tcPr>
            <w:tcW w:w="1474" w:type="dxa"/>
            <w:vAlign w:val="center"/>
          </w:tcPr>
          <w:p w14:paraId="001224F0">
            <w:pPr>
              <w:pStyle w:val="14"/>
            </w:pPr>
          </w:p>
        </w:tc>
        <w:tc>
          <w:tcPr>
            <w:tcW w:w="1474" w:type="dxa"/>
            <w:vAlign w:val="center"/>
          </w:tcPr>
          <w:p w14:paraId="6612ADA6">
            <w:pPr>
              <w:pStyle w:val="14"/>
            </w:pPr>
          </w:p>
        </w:tc>
        <w:tc>
          <w:tcPr>
            <w:tcW w:w="1474" w:type="dxa"/>
            <w:vAlign w:val="center"/>
          </w:tcPr>
          <w:p w14:paraId="33B74133">
            <w:pPr>
              <w:pStyle w:val="14"/>
            </w:pPr>
          </w:p>
        </w:tc>
      </w:tr>
      <w:tr w14:paraId="2C43A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05698">
            <w:pPr>
              <w:pStyle w:val="12"/>
            </w:pPr>
            <w:r>
              <w:t>31</w:t>
            </w:r>
          </w:p>
        </w:tc>
        <w:tc>
          <w:tcPr>
            <w:tcW w:w="3402" w:type="dxa"/>
            <w:vAlign w:val="center"/>
          </w:tcPr>
          <w:p w14:paraId="14013139">
            <w:pPr>
              <w:pStyle w:val="13"/>
            </w:pPr>
          </w:p>
        </w:tc>
        <w:tc>
          <w:tcPr>
            <w:tcW w:w="1474" w:type="dxa"/>
            <w:vAlign w:val="center"/>
          </w:tcPr>
          <w:p w14:paraId="4C9862BB">
            <w:pPr>
              <w:pStyle w:val="14"/>
            </w:pPr>
          </w:p>
        </w:tc>
        <w:tc>
          <w:tcPr>
            <w:tcW w:w="3402" w:type="dxa"/>
            <w:vAlign w:val="center"/>
          </w:tcPr>
          <w:p w14:paraId="7A97F825">
            <w:pPr>
              <w:pStyle w:val="13"/>
            </w:pPr>
            <w:r>
              <w:t>三十一、人行科目</w:t>
            </w:r>
          </w:p>
        </w:tc>
        <w:tc>
          <w:tcPr>
            <w:tcW w:w="1474" w:type="dxa"/>
            <w:vAlign w:val="center"/>
          </w:tcPr>
          <w:p w14:paraId="33BFABD4">
            <w:pPr>
              <w:pStyle w:val="14"/>
            </w:pPr>
          </w:p>
        </w:tc>
        <w:tc>
          <w:tcPr>
            <w:tcW w:w="1474" w:type="dxa"/>
            <w:vAlign w:val="center"/>
          </w:tcPr>
          <w:p w14:paraId="655C449B">
            <w:pPr>
              <w:pStyle w:val="14"/>
            </w:pPr>
          </w:p>
        </w:tc>
        <w:tc>
          <w:tcPr>
            <w:tcW w:w="1474" w:type="dxa"/>
            <w:vAlign w:val="center"/>
          </w:tcPr>
          <w:p w14:paraId="6921B978">
            <w:pPr>
              <w:pStyle w:val="14"/>
            </w:pPr>
          </w:p>
        </w:tc>
        <w:tc>
          <w:tcPr>
            <w:tcW w:w="1474" w:type="dxa"/>
            <w:vAlign w:val="center"/>
          </w:tcPr>
          <w:p w14:paraId="1C942886">
            <w:pPr>
              <w:pStyle w:val="14"/>
            </w:pPr>
          </w:p>
        </w:tc>
      </w:tr>
      <w:tr w14:paraId="46538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1C0C4">
            <w:pPr>
              <w:pStyle w:val="12"/>
            </w:pPr>
            <w:r>
              <w:t>32</w:t>
            </w:r>
          </w:p>
        </w:tc>
        <w:tc>
          <w:tcPr>
            <w:tcW w:w="3402" w:type="dxa"/>
            <w:vAlign w:val="center"/>
          </w:tcPr>
          <w:p w14:paraId="1BAEFAB4">
            <w:pPr>
              <w:pStyle w:val="15"/>
            </w:pPr>
            <w:r>
              <w:t>本年收入合计</w:t>
            </w:r>
          </w:p>
        </w:tc>
        <w:tc>
          <w:tcPr>
            <w:tcW w:w="1474" w:type="dxa"/>
            <w:vAlign w:val="center"/>
          </w:tcPr>
          <w:p w14:paraId="77C70A25">
            <w:pPr>
              <w:pStyle w:val="16"/>
            </w:pPr>
            <w:r>
              <w:t>1412.17</w:t>
            </w:r>
          </w:p>
        </w:tc>
        <w:tc>
          <w:tcPr>
            <w:tcW w:w="3402" w:type="dxa"/>
            <w:vAlign w:val="center"/>
          </w:tcPr>
          <w:p w14:paraId="2EA0FF29">
            <w:pPr>
              <w:pStyle w:val="15"/>
            </w:pPr>
            <w:r>
              <w:t>本年支出合计</w:t>
            </w:r>
          </w:p>
        </w:tc>
        <w:tc>
          <w:tcPr>
            <w:tcW w:w="1474" w:type="dxa"/>
            <w:vAlign w:val="center"/>
          </w:tcPr>
          <w:p w14:paraId="34E70F6C">
            <w:pPr>
              <w:pStyle w:val="16"/>
            </w:pPr>
            <w:r>
              <w:t>1412.17</w:t>
            </w:r>
          </w:p>
        </w:tc>
        <w:tc>
          <w:tcPr>
            <w:tcW w:w="1474" w:type="dxa"/>
            <w:vAlign w:val="center"/>
          </w:tcPr>
          <w:p w14:paraId="255ED8EA">
            <w:pPr>
              <w:pStyle w:val="16"/>
            </w:pPr>
            <w:r>
              <w:t>1412.17</w:t>
            </w:r>
          </w:p>
        </w:tc>
        <w:tc>
          <w:tcPr>
            <w:tcW w:w="1474" w:type="dxa"/>
            <w:vAlign w:val="center"/>
          </w:tcPr>
          <w:p w14:paraId="2BEB2D1A">
            <w:pPr>
              <w:pStyle w:val="16"/>
            </w:pPr>
          </w:p>
        </w:tc>
        <w:tc>
          <w:tcPr>
            <w:tcW w:w="1474" w:type="dxa"/>
            <w:vAlign w:val="center"/>
          </w:tcPr>
          <w:p w14:paraId="270DFE92">
            <w:pPr>
              <w:pStyle w:val="16"/>
            </w:pPr>
          </w:p>
        </w:tc>
      </w:tr>
      <w:tr w14:paraId="40CDB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6D940">
            <w:pPr>
              <w:pStyle w:val="12"/>
            </w:pPr>
            <w:r>
              <w:t>33</w:t>
            </w:r>
          </w:p>
        </w:tc>
        <w:tc>
          <w:tcPr>
            <w:tcW w:w="3402" w:type="dxa"/>
            <w:vAlign w:val="center"/>
          </w:tcPr>
          <w:p w14:paraId="6561EBE7">
            <w:pPr>
              <w:pStyle w:val="13"/>
            </w:pPr>
            <w:r>
              <w:t>年初财政拨款结转和结余</w:t>
            </w:r>
          </w:p>
        </w:tc>
        <w:tc>
          <w:tcPr>
            <w:tcW w:w="1474" w:type="dxa"/>
            <w:vAlign w:val="center"/>
          </w:tcPr>
          <w:p w14:paraId="74891F0C">
            <w:pPr>
              <w:pStyle w:val="14"/>
            </w:pPr>
          </w:p>
        </w:tc>
        <w:tc>
          <w:tcPr>
            <w:tcW w:w="3402" w:type="dxa"/>
            <w:vAlign w:val="center"/>
          </w:tcPr>
          <w:p w14:paraId="7D2AB2A7">
            <w:pPr>
              <w:pStyle w:val="13"/>
            </w:pPr>
            <w:r>
              <w:t>年末财政拨款结转和结余</w:t>
            </w:r>
          </w:p>
        </w:tc>
        <w:tc>
          <w:tcPr>
            <w:tcW w:w="1474" w:type="dxa"/>
            <w:vAlign w:val="center"/>
          </w:tcPr>
          <w:p w14:paraId="30E3F718">
            <w:pPr>
              <w:pStyle w:val="14"/>
            </w:pPr>
          </w:p>
        </w:tc>
        <w:tc>
          <w:tcPr>
            <w:tcW w:w="1474" w:type="dxa"/>
            <w:vAlign w:val="center"/>
          </w:tcPr>
          <w:p w14:paraId="125694C5">
            <w:pPr>
              <w:pStyle w:val="14"/>
            </w:pPr>
          </w:p>
        </w:tc>
        <w:tc>
          <w:tcPr>
            <w:tcW w:w="1474" w:type="dxa"/>
            <w:vAlign w:val="center"/>
          </w:tcPr>
          <w:p w14:paraId="461C5F86">
            <w:pPr>
              <w:pStyle w:val="14"/>
            </w:pPr>
          </w:p>
        </w:tc>
        <w:tc>
          <w:tcPr>
            <w:tcW w:w="1474" w:type="dxa"/>
            <w:vAlign w:val="center"/>
          </w:tcPr>
          <w:p w14:paraId="1807FB96">
            <w:pPr>
              <w:pStyle w:val="14"/>
            </w:pPr>
          </w:p>
        </w:tc>
      </w:tr>
      <w:tr w14:paraId="354F0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E68F9">
            <w:pPr>
              <w:pStyle w:val="12"/>
            </w:pPr>
            <w:r>
              <w:t>34</w:t>
            </w:r>
          </w:p>
        </w:tc>
        <w:tc>
          <w:tcPr>
            <w:tcW w:w="3402" w:type="dxa"/>
            <w:vAlign w:val="center"/>
          </w:tcPr>
          <w:p w14:paraId="00725580">
            <w:pPr>
              <w:pStyle w:val="13"/>
            </w:pPr>
            <w:r>
              <w:t>一、一般公共预算拨款</w:t>
            </w:r>
          </w:p>
        </w:tc>
        <w:tc>
          <w:tcPr>
            <w:tcW w:w="1474" w:type="dxa"/>
            <w:vAlign w:val="center"/>
          </w:tcPr>
          <w:p w14:paraId="55473084">
            <w:pPr>
              <w:pStyle w:val="14"/>
            </w:pPr>
          </w:p>
        </w:tc>
        <w:tc>
          <w:tcPr>
            <w:tcW w:w="3402" w:type="dxa"/>
            <w:vAlign w:val="center"/>
          </w:tcPr>
          <w:p w14:paraId="7A65C71C">
            <w:pPr>
              <w:pStyle w:val="13"/>
            </w:pPr>
          </w:p>
        </w:tc>
        <w:tc>
          <w:tcPr>
            <w:tcW w:w="1474" w:type="dxa"/>
            <w:vAlign w:val="center"/>
          </w:tcPr>
          <w:p w14:paraId="38A69BCB">
            <w:pPr>
              <w:pStyle w:val="14"/>
            </w:pPr>
          </w:p>
        </w:tc>
        <w:tc>
          <w:tcPr>
            <w:tcW w:w="1474" w:type="dxa"/>
            <w:vAlign w:val="center"/>
          </w:tcPr>
          <w:p w14:paraId="49A34764">
            <w:pPr>
              <w:pStyle w:val="14"/>
            </w:pPr>
          </w:p>
        </w:tc>
        <w:tc>
          <w:tcPr>
            <w:tcW w:w="1474" w:type="dxa"/>
            <w:vAlign w:val="center"/>
          </w:tcPr>
          <w:p w14:paraId="255ADBF7">
            <w:pPr>
              <w:pStyle w:val="14"/>
            </w:pPr>
          </w:p>
        </w:tc>
        <w:tc>
          <w:tcPr>
            <w:tcW w:w="1474" w:type="dxa"/>
            <w:vAlign w:val="center"/>
          </w:tcPr>
          <w:p w14:paraId="1B24E902">
            <w:pPr>
              <w:pStyle w:val="14"/>
            </w:pPr>
          </w:p>
        </w:tc>
      </w:tr>
      <w:tr w14:paraId="5008D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68B6D">
            <w:pPr>
              <w:pStyle w:val="12"/>
            </w:pPr>
            <w:r>
              <w:t>35</w:t>
            </w:r>
          </w:p>
        </w:tc>
        <w:tc>
          <w:tcPr>
            <w:tcW w:w="3402" w:type="dxa"/>
            <w:vAlign w:val="center"/>
          </w:tcPr>
          <w:p w14:paraId="1DE956FF">
            <w:pPr>
              <w:pStyle w:val="13"/>
            </w:pPr>
            <w:r>
              <w:t>二、政府性基金预算拨款</w:t>
            </w:r>
          </w:p>
        </w:tc>
        <w:tc>
          <w:tcPr>
            <w:tcW w:w="1474" w:type="dxa"/>
            <w:vAlign w:val="center"/>
          </w:tcPr>
          <w:p w14:paraId="0FCB85AC">
            <w:pPr>
              <w:pStyle w:val="14"/>
            </w:pPr>
          </w:p>
        </w:tc>
        <w:tc>
          <w:tcPr>
            <w:tcW w:w="3402" w:type="dxa"/>
            <w:vAlign w:val="center"/>
          </w:tcPr>
          <w:p w14:paraId="381BD0D4">
            <w:pPr>
              <w:pStyle w:val="13"/>
            </w:pPr>
          </w:p>
        </w:tc>
        <w:tc>
          <w:tcPr>
            <w:tcW w:w="1474" w:type="dxa"/>
            <w:vAlign w:val="center"/>
          </w:tcPr>
          <w:p w14:paraId="3EA8876D">
            <w:pPr>
              <w:pStyle w:val="14"/>
            </w:pPr>
          </w:p>
        </w:tc>
        <w:tc>
          <w:tcPr>
            <w:tcW w:w="1474" w:type="dxa"/>
            <w:vAlign w:val="center"/>
          </w:tcPr>
          <w:p w14:paraId="7E93A655">
            <w:pPr>
              <w:pStyle w:val="14"/>
            </w:pPr>
          </w:p>
        </w:tc>
        <w:tc>
          <w:tcPr>
            <w:tcW w:w="1474" w:type="dxa"/>
            <w:vAlign w:val="center"/>
          </w:tcPr>
          <w:p w14:paraId="04079621">
            <w:pPr>
              <w:pStyle w:val="14"/>
            </w:pPr>
          </w:p>
        </w:tc>
        <w:tc>
          <w:tcPr>
            <w:tcW w:w="1474" w:type="dxa"/>
            <w:vAlign w:val="center"/>
          </w:tcPr>
          <w:p w14:paraId="5DC066D4">
            <w:pPr>
              <w:pStyle w:val="14"/>
            </w:pPr>
          </w:p>
        </w:tc>
      </w:tr>
      <w:tr w14:paraId="19598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78D05">
            <w:pPr>
              <w:pStyle w:val="12"/>
            </w:pPr>
            <w:r>
              <w:t>36</w:t>
            </w:r>
          </w:p>
        </w:tc>
        <w:tc>
          <w:tcPr>
            <w:tcW w:w="3402" w:type="dxa"/>
            <w:vAlign w:val="center"/>
          </w:tcPr>
          <w:p w14:paraId="3604111D">
            <w:pPr>
              <w:pStyle w:val="13"/>
            </w:pPr>
            <w:r>
              <w:t>三、国有资本经营预算拨款</w:t>
            </w:r>
          </w:p>
        </w:tc>
        <w:tc>
          <w:tcPr>
            <w:tcW w:w="1474" w:type="dxa"/>
            <w:vAlign w:val="center"/>
          </w:tcPr>
          <w:p w14:paraId="290B9AEE">
            <w:pPr>
              <w:pStyle w:val="14"/>
            </w:pPr>
          </w:p>
        </w:tc>
        <w:tc>
          <w:tcPr>
            <w:tcW w:w="3402" w:type="dxa"/>
            <w:vAlign w:val="center"/>
          </w:tcPr>
          <w:p w14:paraId="5BC346ED">
            <w:pPr>
              <w:pStyle w:val="13"/>
            </w:pPr>
          </w:p>
        </w:tc>
        <w:tc>
          <w:tcPr>
            <w:tcW w:w="1474" w:type="dxa"/>
            <w:vAlign w:val="center"/>
          </w:tcPr>
          <w:p w14:paraId="70005A8D">
            <w:pPr>
              <w:pStyle w:val="14"/>
            </w:pPr>
          </w:p>
        </w:tc>
        <w:tc>
          <w:tcPr>
            <w:tcW w:w="1474" w:type="dxa"/>
            <w:vAlign w:val="center"/>
          </w:tcPr>
          <w:p w14:paraId="31BA87BC">
            <w:pPr>
              <w:pStyle w:val="14"/>
            </w:pPr>
          </w:p>
        </w:tc>
        <w:tc>
          <w:tcPr>
            <w:tcW w:w="1474" w:type="dxa"/>
            <w:vAlign w:val="center"/>
          </w:tcPr>
          <w:p w14:paraId="576BCAC6">
            <w:pPr>
              <w:pStyle w:val="14"/>
            </w:pPr>
          </w:p>
        </w:tc>
        <w:tc>
          <w:tcPr>
            <w:tcW w:w="1474" w:type="dxa"/>
            <w:vAlign w:val="center"/>
          </w:tcPr>
          <w:p w14:paraId="724C41A5">
            <w:pPr>
              <w:pStyle w:val="14"/>
            </w:pPr>
          </w:p>
        </w:tc>
      </w:tr>
      <w:tr w14:paraId="41252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457AD">
            <w:pPr>
              <w:pStyle w:val="12"/>
            </w:pPr>
            <w:r>
              <w:t>37</w:t>
            </w:r>
          </w:p>
        </w:tc>
        <w:tc>
          <w:tcPr>
            <w:tcW w:w="3402" w:type="dxa"/>
            <w:vAlign w:val="center"/>
          </w:tcPr>
          <w:p w14:paraId="694C6616">
            <w:pPr>
              <w:pStyle w:val="15"/>
            </w:pPr>
            <w:r>
              <w:t>收入总计</w:t>
            </w:r>
          </w:p>
        </w:tc>
        <w:tc>
          <w:tcPr>
            <w:tcW w:w="1474" w:type="dxa"/>
            <w:vAlign w:val="center"/>
          </w:tcPr>
          <w:p w14:paraId="4E1043B5">
            <w:pPr>
              <w:pStyle w:val="16"/>
            </w:pPr>
            <w:r>
              <w:t>1412.17</w:t>
            </w:r>
          </w:p>
        </w:tc>
        <w:tc>
          <w:tcPr>
            <w:tcW w:w="3402" w:type="dxa"/>
            <w:vAlign w:val="center"/>
          </w:tcPr>
          <w:p w14:paraId="188701F6">
            <w:pPr>
              <w:pStyle w:val="15"/>
            </w:pPr>
            <w:r>
              <w:t>支出总计</w:t>
            </w:r>
          </w:p>
        </w:tc>
        <w:tc>
          <w:tcPr>
            <w:tcW w:w="1474" w:type="dxa"/>
            <w:vAlign w:val="center"/>
          </w:tcPr>
          <w:p w14:paraId="471F678B">
            <w:pPr>
              <w:pStyle w:val="16"/>
            </w:pPr>
            <w:r>
              <w:t>1412.17</w:t>
            </w:r>
          </w:p>
        </w:tc>
        <w:tc>
          <w:tcPr>
            <w:tcW w:w="1474" w:type="dxa"/>
            <w:vAlign w:val="center"/>
          </w:tcPr>
          <w:p w14:paraId="53AEF203">
            <w:pPr>
              <w:pStyle w:val="16"/>
            </w:pPr>
            <w:r>
              <w:t>1412.17</w:t>
            </w:r>
          </w:p>
        </w:tc>
        <w:tc>
          <w:tcPr>
            <w:tcW w:w="1474" w:type="dxa"/>
            <w:vAlign w:val="center"/>
          </w:tcPr>
          <w:p w14:paraId="46FB3DB6">
            <w:pPr>
              <w:pStyle w:val="16"/>
            </w:pPr>
          </w:p>
        </w:tc>
        <w:tc>
          <w:tcPr>
            <w:tcW w:w="1474" w:type="dxa"/>
            <w:vAlign w:val="center"/>
          </w:tcPr>
          <w:p w14:paraId="26F767C2">
            <w:pPr>
              <w:pStyle w:val="16"/>
            </w:pPr>
          </w:p>
        </w:tc>
      </w:tr>
    </w:tbl>
    <w:p w14:paraId="50BBD3F3">
      <w:pPr>
        <w:sectPr>
          <w:pgSz w:w="16840" w:h="11900" w:orient="landscape"/>
          <w:pgMar w:top="1361" w:right="1020" w:bottom="1134" w:left="1020" w:header="720" w:footer="720" w:gutter="0"/>
          <w:cols w:space="720" w:num="1"/>
        </w:sectPr>
      </w:pPr>
    </w:p>
    <w:p w14:paraId="0A928F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694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3BCEF8">
            <w:pPr>
              <w:pStyle w:val="8"/>
            </w:pPr>
            <w:r>
              <w:t>360038隆尧县第五实验小学</w:t>
            </w:r>
          </w:p>
        </w:tc>
        <w:tc>
          <w:tcPr>
            <w:tcW w:w="2551" w:type="dxa"/>
            <w:tcBorders>
              <w:top w:val="single" w:color="FFFFFF" w:sz="6" w:space="0"/>
              <w:left w:val="single" w:color="FFFFFF" w:sz="6" w:space="0"/>
              <w:right w:val="single" w:color="FFFFFF" w:sz="6" w:space="0"/>
            </w:tcBorders>
            <w:vAlign w:val="center"/>
          </w:tcPr>
          <w:p w14:paraId="7C5D88C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25BB12C">
            <w:pPr>
              <w:pStyle w:val="10"/>
            </w:pPr>
            <w:r>
              <w:t>单位：万元</w:t>
            </w:r>
          </w:p>
        </w:tc>
      </w:tr>
      <w:tr w14:paraId="5C0D7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DA543">
            <w:pPr>
              <w:pStyle w:val="11"/>
            </w:pPr>
            <w:r>
              <w:t>序号</w:t>
            </w:r>
          </w:p>
        </w:tc>
        <w:tc>
          <w:tcPr>
            <w:tcW w:w="5726" w:type="dxa"/>
            <w:gridSpan w:val="2"/>
            <w:vAlign w:val="center"/>
          </w:tcPr>
          <w:p w14:paraId="05703367">
            <w:pPr>
              <w:pStyle w:val="11"/>
            </w:pPr>
            <w:r>
              <w:t>功能分类科目</w:t>
            </w:r>
          </w:p>
        </w:tc>
        <w:tc>
          <w:tcPr>
            <w:tcW w:w="2551" w:type="dxa"/>
            <w:vMerge w:val="restart"/>
            <w:vAlign w:val="center"/>
          </w:tcPr>
          <w:p w14:paraId="474A4477">
            <w:pPr>
              <w:pStyle w:val="11"/>
            </w:pPr>
            <w:r>
              <w:t>合计</w:t>
            </w:r>
          </w:p>
        </w:tc>
        <w:tc>
          <w:tcPr>
            <w:tcW w:w="2551" w:type="dxa"/>
            <w:vMerge w:val="restart"/>
            <w:vAlign w:val="center"/>
          </w:tcPr>
          <w:p w14:paraId="13C534CD">
            <w:pPr>
              <w:pStyle w:val="11"/>
            </w:pPr>
            <w:r>
              <w:t>基本支出</w:t>
            </w:r>
          </w:p>
        </w:tc>
        <w:tc>
          <w:tcPr>
            <w:tcW w:w="2551" w:type="dxa"/>
            <w:vMerge w:val="restart"/>
            <w:vAlign w:val="center"/>
          </w:tcPr>
          <w:p w14:paraId="07EAF253">
            <w:pPr>
              <w:pStyle w:val="11"/>
            </w:pPr>
            <w:r>
              <w:t>项目支出</w:t>
            </w:r>
          </w:p>
        </w:tc>
      </w:tr>
      <w:tr w14:paraId="0B1BF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2F18F3"/>
        </w:tc>
        <w:tc>
          <w:tcPr>
            <w:tcW w:w="1191" w:type="dxa"/>
            <w:vAlign w:val="center"/>
          </w:tcPr>
          <w:p w14:paraId="160EB81F">
            <w:pPr>
              <w:pStyle w:val="11"/>
            </w:pPr>
            <w:r>
              <w:t>科目编码</w:t>
            </w:r>
          </w:p>
        </w:tc>
        <w:tc>
          <w:tcPr>
            <w:tcW w:w="4535" w:type="dxa"/>
            <w:vAlign w:val="center"/>
          </w:tcPr>
          <w:p w14:paraId="744E2358">
            <w:pPr>
              <w:pStyle w:val="11"/>
            </w:pPr>
            <w:r>
              <w:t>科目名称</w:t>
            </w:r>
          </w:p>
        </w:tc>
        <w:tc>
          <w:tcPr>
            <w:tcW w:w="2551" w:type="dxa"/>
            <w:vMerge w:val="continue"/>
          </w:tcPr>
          <w:p w14:paraId="66A825ED"/>
        </w:tc>
        <w:tc>
          <w:tcPr>
            <w:tcW w:w="2551" w:type="dxa"/>
            <w:vMerge w:val="continue"/>
          </w:tcPr>
          <w:p w14:paraId="395D4DFA"/>
        </w:tc>
        <w:tc>
          <w:tcPr>
            <w:tcW w:w="2551" w:type="dxa"/>
            <w:vMerge w:val="continue"/>
          </w:tcPr>
          <w:p w14:paraId="4AC76B6B"/>
        </w:tc>
      </w:tr>
      <w:tr w14:paraId="2359C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615678">
            <w:pPr>
              <w:pStyle w:val="11"/>
            </w:pPr>
            <w:r>
              <w:t>栏次</w:t>
            </w:r>
          </w:p>
        </w:tc>
        <w:tc>
          <w:tcPr>
            <w:tcW w:w="1191" w:type="dxa"/>
            <w:vAlign w:val="center"/>
          </w:tcPr>
          <w:p w14:paraId="4BC2F938">
            <w:pPr>
              <w:pStyle w:val="11"/>
            </w:pPr>
            <w:r>
              <w:t>1</w:t>
            </w:r>
          </w:p>
        </w:tc>
        <w:tc>
          <w:tcPr>
            <w:tcW w:w="4535" w:type="dxa"/>
            <w:vAlign w:val="center"/>
          </w:tcPr>
          <w:p w14:paraId="06044902">
            <w:pPr>
              <w:pStyle w:val="11"/>
            </w:pPr>
            <w:r>
              <w:t>2</w:t>
            </w:r>
          </w:p>
        </w:tc>
        <w:tc>
          <w:tcPr>
            <w:tcW w:w="2551" w:type="dxa"/>
            <w:vAlign w:val="center"/>
          </w:tcPr>
          <w:p w14:paraId="0A445D3C">
            <w:pPr>
              <w:pStyle w:val="11"/>
            </w:pPr>
            <w:r>
              <w:t>3</w:t>
            </w:r>
          </w:p>
        </w:tc>
        <w:tc>
          <w:tcPr>
            <w:tcW w:w="2551" w:type="dxa"/>
            <w:vAlign w:val="center"/>
          </w:tcPr>
          <w:p w14:paraId="0F04CE3E">
            <w:pPr>
              <w:pStyle w:val="11"/>
            </w:pPr>
            <w:r>
              <w:t>4</w:t>
            </w:r>
          </w:p>
        </w:tc>
        <w:tc>
          <w:tcPr>
            <w:tcW w:w="2551" w:type="dxa"/>
            <w:vAlign w:val="center"/>
          </w:tcPr>
          <w:p w14:paraId="0E00D21C">
            <w:pPr>
              <w:pStyle w:val="11"/>
            </w:pPr>
            <w:r>
              <w:t>5</w:t>
            </w:r>
          </w:p>
        </w:tc>
      </w:tr>
      <w:tr w14:paraId="66635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1C7A0">
            <w:pPr>
              <w:pStyle w:val="12"/>
            </w:pPr>
            <w:r>
              <w:t>1</w:t>
            </w:r>
          </w:p>
        </w:tc>
        <w:tc>
          <w:tcPr>
            <w:tcW w:w="1191" w:type="dxa"/>
            <w:vAlign w:val="center"/>
          </w:tcPr>
          <w:p w14:paraId="36FBBB51">
            <w:pPr>
              <w:pStyle w:val="17"/>
            </w:pPr>
          </w:p>
        </w:tc>
        <w:tc>
          <w:tcPr>
            <w:tcW w:w="4535" w:type="dxa"/>
            <w:vAlign w:val="center"/>
          </w:tcPr>
          <w:p w14:paraId="3119C7FB">
            <w:pPr>
              <w:pStyle w:val="15"/>
            </w:pPr>
            <w:r>
              <w:t>合计</w:t>
            </w:r>
          </w:p>
        </w:tc>
        <w:tc>
          <w:tcPr>
            <w:tcW w:w="2551" w:type="dxa"/>
            <w:vAlign w:val="center"/>
          </w:tcPr>
          <w:p w14:paraId="1A47B71F">
            <w:pPr>
              <w:pStyle w:val="16"/>
            </w:pPr>
            <w:r>
              <w:t>1412.17</w:t>
            </w:r>
          </w:p>
        </w:tc>
        <w:tc>
          <w:tcPr>
            <w:tcW w:w="2551" w:type="dxa"/>
            <w:vAlign w:val="center"/>
          </w:tcPr>
          <w:p w14:paraId="32FA67C0">
            <w:pPr>
              <w:pStyle w:val="16"/>
            </w:pPr>
            <w:r>
              <w:t>1102.87</w:t>
            </w:r>
          </w:p>
        </w:tc>
        <w:tc>
          <w:tcPr>
            <w:tcW w:w="2551" w:type="dxa"/>
            <w:vAlign w:val="center"/>
          </w:tcPr>
          <w:p w14:paraId="73E7C6C7">
            <w:pPr>
              <w:pStyle w:val="16"/>
            </w:pPr>
            <w:r>
              <w:t>309.30</w:t>
            </w:r>
          </w:p>
        </w:tc>
      </w:tr>
      <w:tr w14:paraId="68040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7C354">
            <w:pPr>
              <w:pStyle w:val="12"/>
            </w:pPr>
            <w:r>
              <w:t>2</w:t>
            </w:r>
          </w:p>
        </w:tc>
        <w:tc>
          <w:tcPr>
            <w:tcW w:w="1191" w:type="dxa"/>
            <w:vAlign w:val="center"/>
          </w:tcPr>
          <w:p w14:paraId="0C666DF8">
            <w:pPr>
              <w:pStyle w:val="13"/>
            </w:pPr>
            <w:r>
              <w:t>205</w:t>
            </w:r>
          </w:p>
        </w:tc>
        <w:tc>
          <w:tcPr>
            <w:tcW w:w="4535" w:type="dxa"/>
            <w:vAlign w:val="center"/>
          </w:tcPr>
          <w:p w14:paraId="2D0B290D">
            <w:pPr>
              <w:pStyle w:val="13"/>
            </w:pPr>
            <w:r>
              <w:t>教育支出</w:t>
            </w:r>
          </w:p>
        </w:tc>
        <w:tc>
          <w:tcPr>
            <w:tcW w:w="2551" w:type="dxa"/>
            <w:vAlign w:val="center"/>
          </w:tcPr>
          <w:p w14:paraId="02E61CBD">
            <w:pPr>
              <w:pStyle w:val="14"/>
            </w:pPr>
            <w:r>
              <w:t>1412.17</w:t>
            </w:r>
          </w:p>
        </w:tc>
        <w:tc>
          <w:tcPr>
            <w:tcW w:w="2551" w:type="dxa"/>
            <w:vAlign w:val="center"/>
          </w:tcPr>
          <w:p w14:paraId="2D577ADE">
            <w:pPr>
              <w:pStyle w:val="14"/>
            </w:pPr>
            <w:r>
              <w:t>1102.87</w:t>
            </w:r>
          </w:p>
        </w:tc>
        <w:tc>
          <w:tcPr>
            <w:tcW w:w="2551" w:type="dxa"/>
            <w:vAlign w:val="center"/>
          </w:tcPr>
          <w:p w14:paraId="70F548CE">
            <w:pPr>
              <w:pStyle w:val="14"/>
            </w:pPr>
            <w:r>
              <w:t>309.30</w:t>
            </w:r>
          </w:p>
        </w:tc>
      </w:tr>
      <w:tr w14:paraId="65012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87B6A">
            <w:pPr>
              <w:pStyle w:val="12"/>
            </w:pPr>
            <w:r>
              <w:t>3</w:t>
            </w:r>
          </w:p>
        </w:tc>
        <w:tc>
          <w:tcPr>
            <w:tcW w:w="1191" w:type="dxa"/>
            <w:vAlign w:val="center"/>
          </w:tcPr>
          <w:p w14:paraId="02994A87">
            <w:pPr>
              <w:pStyle w:val="13"/>
            </w:pPr>
            <w:r>
              <w:t>20502</w:t>
            </w:r>
          </w:p>
        </w:tc>
        <w:tc>
          <w:tcPr>
            <w:tcW w:w="4535" w:type="dxa"/>
            <w:vAlign w:val="center"/>
          </w:tcPr>
          <w:p w14:paraId="6549438C">
            <w:pPr>
              <w:pStyle w:val="13"/>
            </w:pPr>
            <w:r>
              <w:t>普通教育</w:t>
            </w:r>
          </w:p>
        </w:tc>
        <w:tc>
          <w:tcPr>
            <w:tcW w:w="2551" w:type="dxa"/>
            <w:vAlign w:val="center"/>
          </w:tcPr>
          <w:p w14:paraId="2282F17D">
            <w:pPr>
              <w:pStyle w:val="14"/>
            </w:pPr>
            <w:r>
              <w:t>1412.17</w:t>
            </w:r>
          </w:p>
        </w:tc>
        <w:tc>
          <w:tcPr>
            <w:tcW w:w="2551" w:type="dxa"/>
            <w:vAlign w:val="center"/>
          </w:tcPr>
          <w:p w14:paraId="19EB02CD">
            <w:pPr>
              <w:pStyle w:val="14"/>
            </w:pPr>
            <w:r>
              <w:t>1102.87</w:t>
            </w:r>
          </w:p>
        </w:tc>
        <w:tc>
          <w:tcPr>
            <w:tcW w:w="2551" w:type="dxa"/>
            <w:vAlign w:val="center"/>
          </w:tcPr>
          <w:p w14:paraId="23BBC5E2">
            <w:pPr>
              <w:pStyle w:val="14"/>
            </w:pPr>
            <w:r>
              <w:t>309.30</w:t>
            </w:r>
          </w:p>
        </w:tc>
      </w:tr>
      <w:tr w14:paraId="54682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6AD1F">
            <w:pPr>
              <w:pStyle w:val="12"/>
            </w:pPr>
            <w:r>
              <w:t>4</w:t>
            </w:r>
          </w:p>
        </w:tc>
        <w:tc>
          <w:tcPr>
            <w:tcW w:w="1191" w:type="dxa"/>
            <w:vAlign w:val="center"/>
          </w:tcPr>
          <w:p w14:paraId="516A05DD">
            <w:pPr>
              <w:pStyle w:val="13"/>
            </w:pPr>
            <w:r>
              <w:t>2050202</w:t>
            </w:r>
          </w:p>
        </w:tc>
        <w:tc>
          <w:tcPr>
            <w:tcW w:w="4535" w:type="dxa"/>
            <w:vAlign w:val="center"/>
          </w:tcPr>
          <w:p w14:paraId="1D23CF4B">
            <w:pPr>
              <w:pStyle w:val="13"/>
            </w:pPr>
            <w:r>
              <w:t>小学教育</w:t>
            </w:r>
          </w:p>
        </w:tc>
        <w:tc>
          <w:tcPr>
            <w:tcW w:w="2551" w:type="dxa"/>
            <w:vAlign w:val="center"/>
          </w:tcPr>
          <w:p w14:paraId="4F95F990">
            <w:pPr>
              <w:pStyle w:val="14"/>
            </w:pPr>
            <w:r>
              <w:t>1412.17</w:t>
            </w:r>
          </w:p>
        </w:tc>
        <w:tc>
          <w:tcPr>
            <w:tcW w:w="2551" w:type="dxa"/>
            <w:vAlign w:val="center"/>
          </w:tcPr>
          <w:p w14:paraId="12267B16">
            <w:pPr>
              <w:pStyle w:val="14"/>
            </w:pPr>
            <w:r>
              <w:t>1102.87</w:t>
            </w:r>
          </w:p>
        </w:tc>
        <w:tc>
          <w:tcPr>
            <w:tcW w:w="2551" w:type="dxa"/>
            <w:vAlign w:val="center"/>
          </w:tcPr>
          <w:p w14:paraId="5C520CAF">
            <w:pPr>
              <w:pStyle w:val="14"/>
            </w:pPr>
            <w:r>
              <w:t>309.30</w:t>
            </w:r>
          </w:p>
        </w:tc>
      </w:tr>
    </w:tbl>
    <w:p w14:paraId="313DF287">
      <w:pPr>
        <w:sectPr>
          <w:pgSz w:w="16840" w:h="11900" w:orient="landscape"/>
          <w:pgMar w:top="1361" w:right="1020" w:bottom="1134" w:left="1020" w:header="720" w:footer="720" w:gutter="0"/>
          <w:cols w:space="720" w:num="1"/>
        </w:sectPr>
      </w:pPr>
    </w:p>
    <w:p w14:paraId="604066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852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CD8CED">
            <w:pPr>
              <w:pStyle w:val="8"/>
            </w:pPr>
            <w:r>
              <w:t>360038隆尧县第五实验小学</w:t>
            </w:r>
          </w:p>
        </w:tc>
        <w:tc>
          <w:tcPr>
            <w:tcW w:w="2551" w:type="dxa"/>
            <w:tcBorders>
              <w:top w:val="single" w:color="FFFFFF" w:sz="6" w:space="0"/>
              <w:left w:val="single" w:color="FFFFFF" w:sz="6" w:space="0"/>
              <w:right w:val="single" w:color="FFFFFF" w:sz="6" w:space="0"/>
            </w:tcBorders>
            <w:vAlign w:val="center"/>
          </w:tcPr>
          <w:p w14:paraId="413AD03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164AAAA">
            <w:pPr>
              <w:pStyle w:val="10"/>
            </w:pPr>
            <w:r>
              <w:t>单位：万元</w:t>
            </w:r>
          </w:p>
        </w:tc>
      </w:tr>
      <w:tr w14:paraId="4F764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52878">
            <w:pPr>
              <w:pStyle w:val="11"/>
            </w:pPr>
            <w:r>
              <w:t>序号</w:t>
            </w:r>
          </w:p>
        </w:tc>
        <w:tc>
          <w:tcPr>
            <w:tcW w:w="5726" w:type="dxa"/>
            <w:gridSpan w:val="2"/>
            <w:vAlign w:val="center"/>
          </w:tcPr>
          <w:p w14:paraId="10775EAA">
            <w:pPr>
              <w:pStyle w:val="11"/>
            </w:pPr>
            <w:r>
              <w:t>支出部门经济分类科目</w:t>
            </w:r>
          </w:p>
        </w:tc>
        <w:tc>
          <w:tcPr>
            <w:tcW w:w="7653" w:type="dxa"/>
            <w:gridSpan w:val="3"/>
            <w:vAlign w:val="center"/>
          </w:tcPr>
          <w:p w14:paraId="1F1D0B21">
            <w:pPr>
              <w:pStyle w:val="11"/>
            </w:pPr>
            <w:r>
              <w:t>一般公共预算基本支出</w:t>
            </w:r>
          </w:p>
        </w:tc>
      </w:tr>
      <w:tr w14:paraId="75B02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50B2FE"/>
        </w:tc>
        <w:tc>
          <w:tcPr>
            <w:tcW w:w="1191" w:type="dxa"/>
            <w:vAlign w:val="center"/>
          </w:tcPr>
          <w:p w14:paraId="12C4BF74">
            <w:pPr>
              <w:pStyle w:val="11"/>
            </w:pPr>
            <w:r>
              <w:t>科目编码</w:t>
            </w:r>
          </w:p>
        </w:tc>
        <w:tc>
          <w:tcPr>
            <w:tcW w:w="4535" w:type="dxa"/>
            <w:vAlign w:val="center"/>
          </w:tcPr>
          <w:p w14:paraId="0951665A">
            <w:pPr>
              <w:pStyle w:val="11"/>
            </w:pPr>
            <w:r>
              <w:t>科目名称</w:t>
            </w:r>
          </w:p>
        </w:tc>
        <w:tc>
          <w:tcPr>
            <w:tcW w:w="2551" w:type="dxa"/>
            <w:vAlign w:val="center"/>
          </w:tcPr>
          <w:p w14:paraId="0577200F">
            <w:pPr>
              <w:pStyle w:val="11"/>
            </w:pPr>
            <w:r>
              <w:t>合计</w:t>
            </w:r>
          </w:p>
        </w:tc>
        <w:tc>
          <w:tcPr>
            <w:tcW w:w="2551" w:type="dxa"/>
            <w:vAlign w:val="center"/>
          </w:tcPr>
          <w:p w14:paraId="2597D470">
            <w:pPr>
              <w:pStyle w:val="11"/>
            </w:pPr>
            <w:r>
              <w:t>人员经费</w:t>
            </w:r>
          </w:p>
        </w:tc>
        <w:tc>
          <w:tcPr>
            <w:tcW w:w="2551" w:type="dxa"/>
            <w:vAlign w:val="center"/>
          </w:tcPr>
          <w:p w14:paraId="4DA58631">
            <w:pPr>
              <w:pStyle w:val="11"/>
            </w:pPr>
            <w:r>
              <w:t>公用经费</w:t>
            </w:r>
          </w:p>
        </w:tc>
      </w:tr>
      <w:tr w14:paraId="7B91F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D0D69B">
            <w:pPr>
              <w:pStyle w:val="11"/>
            </w:pPr>
            <w:r>
              <w:t>栏次</w:t>
            </w:r>
          </w:p>
        </w:tc>
        <w:tc>
          <w:tcPr>
            <w:tcW w:w="1191" w:type="dxa"/>
            <w:vAlign w:val="center"/>
          </w:tcPr>
          <w:p w14:paraId="6FA81DAB">
            <w:pPr>
              <w:pStyle w:val="11"/>
            </w:pPr>
            <w:r>
              <w:t>1</w:t>
            </w:r>
          </w:p>
        </w:tc>
        <w:tc>
          <w:tcPr>
            <w:tcW w:w="4535" w:type="dxa"/>
            <w:vAlign w:val="center"/>
          </w:tcPr>
          <w:p w14:paraId="5F33C901">
            <w:pPr>
              <w:pStyle w:val="11"/>
            </w:pPr>
            <w:r>
              <w:t>2</w:t>
            </w:r>
          </w:p>
        </w:tc>
        <w:tc>
          <w:tcPr>
            <w:tcW w:w="2551" w:type="dxa"/>
            <w:vAlign w:val="center"/>
          </w:tcPr>
          <w:p w14:paraId="10CE24B9">
            <w:pPr>
              <w:pStyle w:val="11"/>
            </w:pPr>
            <w:r>
              <w:t>3</w:t>
            </w:r>
          </w:p>
        </w:tc>
        <w:tc>
          <w:tcPr>
            <w:tcW w:w="2551" w:type="dxa"/>
            <w:vAlign w:val="center"/>
          </w:tcPr>
          <w:p w14:paraId="61FF8DFF">
            <w:pPr>
              <w:pStyle w:val="11"/>
            </w:pPr>
            <w:r>
              <w:t>4</w:t>
            </w:r>
          </w:p>
        </w:tc>
        <w:tc>
          <w:tcPr>
            <w:tcW w:w="2551" w:type="dxa"/>
            <w:vAlign w:val="center"/>
          </w:tcPr>
          <w:p w14:paraId="7E275CD5">
            <w:pPr>
              <w:pStyle w:val="11"/>
            </w:pPr>
            <w:r>
              <w:t>5</w:t>
            </w:r>
          </w:p>
        </w:tc>
      </w:tr>
      <w:tr w14:paraId="57D56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FD534">
            <w:pPr>
              <w:pStyle w:val="12"/>
            </w:pPr>
            <w:r>
              <w:t>1</w:t>
            </w:r>
          </w:p>
        </w:tc>
        <w:tc>
          <w:tcPr>
            <w:tcW w:w="1191" w:type="dxa"/>
            <w:vAlign w:val="center"/>
          </w:tcPr>
          <w:p w14:paraId="275A9733">
            <w:pPr>
              <w:pStyle w:val="17"/>
            </w:pPr>
          </w:p>
        </w:tc>
        <w:tc>
          <w:tcPr>
            <w:tcW w:w="4535" w:type="dxa"/>
            <w:vAlign w:val="center"/>
          </w:tcPr>
          <w:p w14:paraId="7A9287F8">
            <w:pPr>
              <w:pStyle w:val="15"/>
            </w:pPr>
            <w:r>
              <w:t>合计</w:t>
            </w:r>
          </w:p>
        </w:tc>
        <w:tc>
          <w:tcPr>
            <w:tcW w:w="2551" w:type="dxa"/>
            <w:vAlign w:val="center"/>
          </w:tcPr>
          <w:p w14:paraId="5B0C7981">
            <w:pPr>
              <w:pStyle w:val="16"/>
            </w:pPr>
            <w:r>
              <w:t>1102.87</w:t>
            </w:r>
          </w:p>
        </w:tc>
        <w:tc>
          <w:tcPr>
            <w:tcW w:w="2551" w:type="dxa"/>
            <w:vAlign w:val="center"/>
          </w:tcPr>
          <w:p w14:paraId="4D8FBFAF">
            <w:pPr>
              <w:pStyle w:val="16"/>
            </w:pPr>
            <w:r>
              <w:t>1102.87</w:t>
            </w:r>
          </w:p>
        </w:tc>
        <w:tc>
          <w:tcPr>
            <w:tcW w:w="2551" w:type="dxa"/>
            <w:vAlign w:val="center"/>
          </w:tcPr>
          <w:p w14:paraId="23CA828D">
            <w:pPr>
              <w:pStyle w:val="16"/>
            </w:pPr>
          </w:p>
        </w:tc>
      </w:tr>
      <w:tr w14:paraId="093EC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2F2BF">
            <w:pPr>
              <w:pStyle w:val="12"/>
            </w:pPr>
            <w:r>
              <w:t>2</w:t>
            </w:r>
          </w:p>
        </w:tc>
        <w:tc>
          <w:tcPr>
            <w:tcW w:w="1191" w:type="dxa"/>
            <w:vAlign w:val="center"/>
          </w:tcPr>
          <w:p w14:paraId="545AA948">
            <w:pPr>
              <w:pStyle w:val="13"/>
            </w:pPr>
            <w:r>
              <w:t>301</w:t>
            </w:r>
          </w:p>
        </w:tc>
        <w:tc>
          <w:tcPr>
            <w:tcW w:w="4535" w:type="dxa"/>
            <w:vAlign w:val="center"/>
          </w:tcPr>
          <w:p w14:paraId="62DC1A1A">
            <w:pPr>
              <w:pStyle w:val="13"/>
            </w:pPr>
            <w:r>
              <w:t>工资福利支出</w:t>
            </w:r>
          </w:p>
        </w:tc>
        <w:tc>
          <w:tcPr>
            <w:tcW w:w="2551" w:type="dxa"/>
            <w:vAlign w:val="center"/>
          </w:tcPr>
          <w:p w14:paraId="6DEF7BAC">
            <w:pPr>
              <w:pStyle w:val="14"/>
            </w:pPr>
            <w:r>
              <w:t>1102.87</w:t>
            </w:r>
          </w:p>
        </w:tc>
        <w:tc>
          <w:tcPr>
            <w:tcW w:w="2551" w:type="dxa"/>
            <w:vAlign w:val="center"/>
          </w:tcPr>
          <w:p w14:paraId="311D7AB8">
            <w:pPr>
              <w:pStyle w:val="14"/>
            </w:pPr>
            <w:r>
              <w:t>1102.87</w:t>
            </w:r>
          </w:p>
        </w:tc>
        <w:tc>
          <w:tcPr>
            <w:tcW w:w="2551" w:type="dxa"/>
            <w:vAlign w:val="center"/>
          </w:tcPr>
          <w:p w14:paraId="310DD39A">
            <w:pPr>
              <w:pStyle w:val="14"/>
            </w:pPr>
          </w:p>
        </w:tc>
      </w:tr>
      <w:tr w14:paraId="51AF6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4C556">
            <w:pPr>
              <w:pStyle w:val="12"/>
            </w:pPr>
            <w:r>
              <w:t>3</w:t>
            </w:r>
          </w:p>
        </w:tc>
        <w:tc>
          <w:tcPr>
            <w:tcW w:w="1191" w:type="dxa"/>
            <w:vAlign w:val="center"/>
          </w:tcPr>
          <w:p w14:paraId="38C89977">
            <w:pPr>
              <w:pStyle w:val="13"/>
            </w:pPr>
            <w:r>
              <w:t>30101</w:t>
            </w:r>
          </w:p>
        </w:tc>
        <w:tc>
          <w:tcPr>
            <w:tcW w:w="4535" w:type="dxa"/>
            <w:vAlign w:val="center"/>
          </w:tcPr>
          <w:p w14:paraId="5B3D9AA2">
            <w:pPr>
              <w:pStyle w:val="13"/>
            </w:pPr>
            <w:r>
              <w:t>基本工资</w:t>
            </w:r>
          </w:p>
        </w:tc>
        <w:tc>
          <w:tcPr>
            <w:tcW w:w="2551" w:type="dxa"/>
            <w:vAlign w:val="center"/>
          </w:tcPr>
          <w:p w14:paraId="251B7DA1">
            <w:pPr>
              <w:pStyle w:val="14"/>
            </w:pPr>
            <w:r>
              <w:t>526.27</w:t>
            </w:r>
          </w:p>
        </w:tc>
        <w:tc>
          <w:tcPr>
            <w:tcW w:w="2551" w:type="dxa"/>
            <w:vAlign w:val="center"/>
          </w:tcPr>
          <w:p w14:paraId="6E144284">
            <w:pPr>
              <w:pStyle w:val="14"/>
            </w:pPr>
            <w:r>
              <w:t>526.27</w:t>
            </w:r>
          </w:p>
        </w:tc>
        <w:tc>
          <w:tcPr>
            <w:tcW w:w="2551" w:type="dxa"/>
            <w:vAlign w:val="center"/>
          </w:tcPr>
          <w:p w14:paraId="5E4AC71A">
            <w:pPr>
              <w:pStyle w:val="14"/>
            </w:pPr>
          </w:p>
        </w:tc>
      </w:tr>
      <w:tr w14:paraId="18444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D454F">
            <w:pPr>
              <w:pStyle w:val="12"/>
            </w:pPr>
            <w:r>
              <w:t>4</w:t>
            </w:r>
          </w:p>
        </w:tc>
        <w:tc>
          <w:tcPr>
            <w:tcW w:w="1191" w:type="dxa"/>
            <w:vAlign w:val="center"/>
          </w:tcPr>
          <w:p w14:paraId="204DB73B">
            <w:pPr>
              <w:pStyle w:val="13"/>
            </w:pPr>
            <w:r>
              <w:t>30102</w:t>
            </w:r>
          </w:p>
        </w:tc>
        <w:tc>
          <w:tcPr>
            <w:tcW w:w="4535" w:type="dxa"/>
            <w:vAlign w:val="center"/>
          </w:tcPr>
          <w:p w14:paraId="671981FF">
            <w:pPr>
              <w:pStyle w:val="13"/>
            </w:pPr>
            <w:r>
              <w:t>津贴补贴</w:t>
            </w:r>
          </w:p>
        </w:tc>
        <w:tc>
          <w:tcPr>
            <w:tcW w:w="2551" w:type="dxa"/>
            <w:vAlign w:val="center"/>
          </w:tcPr>
          <w:p w14:paraId="0D6A2F87">
            <w:pPr>
              <w:pStyle w:val="14"/>
            </w:pPr>
            <w:r>
              <w:t>17.82</w:t>
            </w:r>
          </w:p>
        </w:tc>
        <w:tc>
          <w:tcPr>
            <w:tcW w:w="2551" w:type="dxa"/>
            <w:vAlign w:val="center"/>
          </w:tcPr>
          <w:p w14:paraId="2F056A31">
            <w:pPr>
              <w:pStyle w:val="14"/>
            </w:pPr>
            <w:r>
              <w:t>17.82</w:t>
            </w:r>
          </w:p>
        </w:tc>
        <w:tc>
          <w:tcPr>
            <w:tcW w:w="2551" w:type="dxa"/>
            <w:vAlign w:val="center"/>
          </w:tcPr>
          <w:p w14:paraId="27F47374">
            <w:pPr>
              <w:pStyle w:val="14"/>
            </w:pPr>
          </w:p>
        </w:tc>
      </w:tr>
      <w:tr w14:paraId="272B9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E9114">
            <w:pPr>
              <w:pStyle w:val="12"/>
            </w:pPr>
            <w:r>
              <w:t>5</w:t>
            </w:r>
          </w:p>
        </w:tc>
        <w:tc>
          <w:tcPr>
            <w:tcW w:w="1191" w:type="dxa"/>
            <w:vAlign w:val="center"/>
          </w:tcPr>
          <w:p w14:paraId="77028F71">
            <w:pPr>
              <w:pStyle w:val="13"/>
            </w:pPr>
            <w:r>
              <w:t>30107</w:t>
            </w:r>
          </w:p>
        </w:tc>
        <w:tc>
          <w:tcPr>
            <w:tcW w:w="4535" w:type="dxa"/>
            <w:vAlign w:val="center"/>
          </w:tcPr>
          <w:p w14:paraId="18CCD3D7">
            <w:pPr>
              <w:pStyle w:val="13"/>
            </w:pPr>
            <w:r>
              <w:t>绩效工资</w:t>
            </w:r>
          </w:p>
        </w:tc>
        <w:tc>
          <w:tcPr>
            <w:tcW w:w="2551" w:type="dxa"/>
            <w:vAlign w:val="center"/>
          </w:tcPr>
          <w:p w14:paraId="7D0B5C26">
            <w:pPr>
              <w:pStyle w:val="14"/>
            </w:pPr>
            <w:r>
              <w:t>306.99</w:t>
            </w:r>
          </w:p>
        </w:tc>
        <w:tc>
          <w:tcPr>
            <w:tcW w:w="2551" w:type="dxa"/>
            <w:vAlign w:val="center"/>
          </w:tcPr>
          <w:p w14:paraId="532498E3">
            <w:pPr>
              <w:pStyle w:val="14"/>
            </w:pPr>
            <w:r>
              <w:t>306.99</w:t>
            </w:r>
          </w:p>
        </w:tc>
        <w:tc>
          <w:tcPr>
            <w:tcW w:w="2551" w:type="dxa"/>
            <w:vAlign w:val="center"/>
          </w:tcPr>
          <w:p w14:paraId="3E8F95D9">
            <w:pPr>
              <w:pStyle w:val="14"/>
            </w:pPr>
          </w:p>
        </w:tc>
      </w:tr>
      <w:tr w14:paraId="3680E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AC7DB">
            <w:pPr>
              <w:pStyle w:val="12"/>
            </w:pPr>
            <w:r>
              <w:t>6</w:t>
            </w:r>
          </w:p>
        </w:tc>
        <w:tc>
          <w:tcPr>
            <w:tcW w:w="1191" w:type="dxa"/>
            <w:vAlign w:val="center"/>
          </w:tcPr>
          <w:p w14:paraId="6804C84A">
            <w:pPr>
              <w:pStyle w:val="13"/>
            </w:pPr>
            <w:r>
              <w:t>30108</w:t>
            </w:r>
          </w:p>
        </w:tc>
        <w:tc>
          <w:tcPr>
            <w:tcW w:w="4535" w:type="dxa"/>
            <w:vAlign w:val="center"/>
          </w:tcPr>
          <w:p w14:paraId="57C480B6">
            <w:pPr>
              <w:pStyle w:val="13"/>
            </w:pPr>
            <w:r>
              <w:t>机关事业单位基本养老保险缴费</w:t>
            </w:r>
          </w:p>
        </w:tc>
        <w:tc>
          <w:tcPr>
            <w:tcW w:w="2551" w:type="dxa"/>
            <w:vAlign w:val="center"/>
          </w:tcPr>
          <w:p w14:paraId="09D51DCF">
            <w:pPr>
              <w:pStyle w:val="14"/>
            </w:pPr>
            <w:r>
              <w:t>108.83</w:t>
            </w:r>
          </w:p>
        </w:tc>
        <w:tc>
          <w:tcPr>
            <w:tcW w:w="2551" w:type="dxa"/>
            <w:vAlign w:val="center"/>
          </w:tcPr>
          <w:p w14:paraId="78D24255">
            <w:pPr>
              <w:pStyle w:val="14"/>
            </w:pPr>
            <w:r>
              <w:t>108.83</w:t>
            </w:r>
          </w:p>
        </w:tc>
        <w:tc>
          <w:tcPr>
            <w:tcW w:w="2551" w:type="dxa"/>
            <w:vAlign w:val="center"/>
          </w:tcPr>
          <w:p w14:paraId="5655F37F">
            <w:pPr>
              <w:pStyle w:val="14"/>
            </w:pPr>
          </w:p>
        </w:tc>
      </w:tr>
      <w:tr w14:paraId="7F4A4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137D9">
            <w:pPr>
              <w:pStyle w:val="12"/>
            </w:pPr>
            <w:r>
              <w:t>7</w:t>
            </w:r>
          </w:p>
        </w:tc>
        <w:tc>
          <w:tcPr>
            <w:tcW w:w="1191" w:type="dxa"/>
            <w:vAlign w:val="center"/>
          </w:tcPr>
          <w:p w14:paraId="3605F2D9">
            <w:pPr>
              <w:pStyle w:val="13"/>
            </w:pPr>
            <w:r>
              <w:t>30110</w:t>
            </w:r>
          </w:p>
        </w:tc>
        <w:tc>
          <w:tcPr>
            <w:tcW w:w="4535" w:type="dxa"/>
            <w:vAlign w:val="center"/>
          </w:tcPr>
          <w:p w14:paraId="3E945C98">
            <w:pPr>
              <w:pStyle w:val="13"/>
            </w:pPr>
            <w:r>
              <w:t>职工基本医疗保险缴费</w:t>
            </w:r>
          </w:p>
        </w:tc>
        <w:tc>
          <w:tcPr>
            <w:tcW w:w="2551" w:type="dxa"/>
            <w:vAlign w:val="center"/>
          </w:tcPr>
          <w:p w14:paraId="0765614A">
            <w:pPr>
              <w:pStyle w:val="14"/>
            </w:pPr>
            <w:r>
              <w:t>53.32</w:t>
            </w:r>
          </w:p>
        </w:tc>
        <w:tc>
          <w:tcPr>
            <w:tcW w:w="2551" w:type="dxa"/>
            <w:vAlign w:val="center"/>
          </w:tcPr>
          <w:p w14:paraId="02AB0A9E">
            <w:pPr>
              <w:pStyle w:val="14"/>
            </w:pPr>
            <w:r>
              <w:t>53.32</w:t>
            </w:r>
          </w:p>
        </w:tc>
        <w:tc>
          <w:tcPr>
            <w:tcW w:w="2551" w:type="dxa"/>
            <w:vAlign w:val="center"/>
          </w:tcPr>
          <w:p w14:paraId="2FB62DA2">
            <w:pPr>
              <w:pStyle w:val="14"/>
            </w:pPr>
          </w:p>
        </w:tc>
      </w:tr>
      <w:tr w14:paraId="19993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54CBB">
            <w:pPr>
              <w:pStyle w:val="12"/>
            </w:pPr>
            <w:r>
              <w:t>8</w:t>
            </w:r>
          </w:p>
        </w:tc>
        <w:tc>
          <w:tcPr>
            <w:tcW w:w="1191" w:type="dxa"/>
            <w:vAlign w:val="center"/>
          </w:tcPr>
          <w:p w14:paraId="5A0EC191">
            <w:pPr>
              <w:pStyle w:val="13"/>
            </w:pPr>
            <w:r>
              <w:t>30112</w:t>
            </w:r>
          </w:p>
        </w:tc>
        <w:tc>
          <w:tcPr>
            <w:tcW w:w="4535" w:type="dxa"/>
            <w:vAlign w:val="center"/>
          </w:tcPr>
          <w:p w14:paraId="4D3656EC">
            <w:pPr>
              <w:pStyle w:val="13"/>
            </w:pPr>
            <w:r>
              <w:t>其他社会保障缴费</w:t>
            </w:r>
          </w:p>
        </w:tc>
        <w:tc>
          <w:tcPr>
            <w:tcW w:w="2551" w:type="dxa"/>
            <w:vAlign w:val="center"/>
          </w:tcPr>
          <w:p w14:paraId="121026B9">
            <w:pPr>
              <w:pStyle w:val="14"/>
            </w:pPr>
            <w:r>
              <w:t>4.30</w:t>
            </w:r>
          </w:p>
        </w:tc>
        <w:tc>
          <w:tcPr>
            <w:tcW w:w="2551" w:type="dxa"/>
            <w:vAlign w:val="center"/>
          </w:tcPr>
          <w:p w14:paraId="3D73F5EF">
            <w:pPr>
              <w:pStyle w:val="14"/>
            </w:pPr>
            <w:r>
              <w:t>4.30</w:t>
            </w:r>
          </w:p>
        </w:tc>
        <w:tc>
          <w:tcPr>
            <w:tcW w:w="2551" w:type="dxa"/>
            <w:vAlign w:val="center"/>
          </w:tcPr>
          <w:p w14:paraId="6D631388">
            <w:pPr>
              <w:pStyle w:val="14"/>
            </w:pPr>
          </w:p>
        </w:tc>
      </w:tr>
      <w:tr w14:paraId="5E17A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E6176">
            <w:pPr>
              <w:pStyle w:val="12"/>
            </w:pPr>
            <w:r>
              <w:t>9</w:t>
            </w:r>
          </w:p>
        </w:tc>
        <w:tc>
          <w:tcPr>
            <w:tcW w:w="1191" w:type="dxa"/>
            <w:vAlign w:val="center"/>
          </w:tcPr>
          <w:p w14:paraId="59858F49">
            <w:pPr>
              <w:pStyle w:val="13"/>
            </w:pPr>
            <w:r>
              <w:t>30113</w:t>
            </w:r>
          </w:p>
        </w:tc>
        <w:tc>
          <w:tcPr>
            <w:tcW w:w="4535" w:type="dxa"/>
            <w:vAlign w:val="center"/>
          </w:tcPr>
          <w:p w14:paraId="71FB1A68">
            <w:pPr>
              <w:pStyle w:val="13"/>
            </w:pPr>
            <w:r>
              <w:t>住房公积金</w:t>
            </w:r>
          </w:p>
        </w:tc>
        <w:tc>
          <w:tcPr>
            <w:tcW w:w="2551" w:type="dxa"/>
            <w:vAlign w:val="center"/>
          </w:tcPr>
          <w:p w14:paraId="24855BCD">
            <w:pPr>
              <w:pStyle w:val="14"/>
            </w:pPr>
            <w:r>
              <w:t>85.34</w:t>
            </w:r>
          </w:p>
        </w:tc>
        <w:tc>
          <w:tcPr>
            <w:tcW w:w="2551" w:type="dxa"/>
            <w:vAlign w:val="center"/>
          </w:tcPr>
          <w:p w14:paraId="7A2AF51E">
            <w:pPr>
              <w:pStyle w:val="14"/>
            </w:pPr>
            <w:r>
              <w:t>85.34</w:t>
            </w:r>
          </w:p>
        </w:tc>
        <w:tc>
          <w:tcPr>
            <w:tcW w:w="2551" w:type="dxa"/>
            <w:vAlign w:val="center"/>
          </w:tcPr>
          <w:p w14:paraId="32251FBA">
            <w:pPr>
              <w:pStyle w:val="14"/>
            </w:pPr>
          </w:p>
        </w:tc>
      </w:tr>
    </w:tbl>
    <w:p w14:paraId="573B0A9D">
      <w:pPr>
        <w:sectPr>
          <w:pgSz w:w="16840" w:h="11900" w:orient="landscape"/>
          <w:pgMar w:top="1361" w:right="1020" w:bottom="1134" w:left="1020" w:header="720" w:footer="720" w:gutter="0"/>
          <w:cols w:space="720" w:num="1"/>
        </w:sectPr>
      </w:pPr>
    </w:p>
    <w:p w14:paraId="3CA682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1E8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A40BE6">
            <w:pPr>
              <w:pStyle w:val="8"/>
            </w:pPr>
            <w:r>
              <w:t>360038隆尧县第五实验小学</w:t>
            </w:r>
          </w:p>
        </w:tc>
        <w:tc>
          <w:tcPr>
            <w:tcW w:w="2551" w:type="dxa"/>
            <w:tcBorders>
              <w:top w:val="single" w:color="FFFFFF" w:sz="6" w:space="0"/>
              <w:left w:val="single" w:color="FFFFFF" w:sz="6" w:space="0"/>
              <w:right w:val="single" w:color="FFFFFF" w:sz="6" w:space="0"/>
            </w:tcBorders>
            <w:vAlign w:val="center"/>
          </w:tcPr>
          <w:p w14:paraId="418FA2D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80638F8">
            <w:pPr>
              <w:pStyle w:val="10"/>
            </w:pPr>
            <w:r>
              <w:t>单位：万元</w:t>
            </w:r>
          </w:p>
        </w:tc>
      </w:tr>
      <w:tr w14:paraId="4A0FD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E480D">
            <w:pPr>
              <w:pStyle w:val="11"/>
            </w:pPr>
            <w:r>
              <w:t>序号</w:t>
            </w:r>
          </w:p>
        </w:tc>
        <w:tc>
          <w:tcPr>
            <w:tcW w:w="5726" w:type="dxa"/>
            <w:gridSpan w:val="2"/>
            <w:vAlign w:val="center"/>
          </w:tcPr>
          <w:p w14:paraId="669943A9">
            <w:pPr>
              <w:pStyle w:val="11"/>
            </w:pPr>
            <w:r>
              <w:t>功能分类科目</w:t>
            </w:r>
          </w:p>
        </w:tc>
        <w:tc>
          <w:tcPr>
            <w:tcW w:w="2551" w:type="dxa"/>
            <w:vMerge w:val="restart"/>
            <w:vAlign w:val="center"/>
          </w:tcPr>
          <w:p w14:paraId="70C8C1AB">
            <w:pPr>
              <w:pStyle w:val="11"/>
            </w:pPr>
            <w:r>
              <w:t>合计</w:t>
            </w:r>
          </w:p>
        </w:tc>
        <w:tc>
          <w:tcPr>
            <w:tcW w:w="2551" w:type="dxa"/>
            <w:vMerge w:val="restart"/>
            <w:vAlign w:val="center"/>
          </w:tcPr>
          <w:p w14:paraId="1FD0D843">
            <w:pPr>
              <w:pStyle w:val="11"/>
            </w:pPr>
            <w:r>
              <w:t>基本支出</w:t>
            </w:r>
          </w:p>
        </w:tc>
        <w:tc>
          <w:tcPr>
            <w:tcW w:w="2551" w:type="dxa"/>
            <w:vMerge w:val="restart"/>
            <w:vAlign w:val="center"/>
          </w:tcPr>
          <w:p w14:paraId="48D75867">
            <w:pPr>
              <w:pStyle w:val="11"/>
            </w:pPr>
            <w:r>
              <w:t>项目支出</w:t>
            </w:r>
          </w:p>
        </w:tc>
      </w:tr>
      <w:tr w14:paraId="3F339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F5468"/>
        </w:tc>
        <w:tc>
          <w:tcPr>
            <w:tcW w:w="1191" w:type="dxa"/>
            <w:vAlign w:val="center"/>
          </w:tcPr>
          <w:p w14:paraId="3B974BDB">
            <w:pPr>
              <w:pStyle w:val="11"/>
            </w:pPr>
            <w:r>
              <w:t>科目编码</w:t>
            </w:r>
          </w:p>
        </w:tc>
        <w:tc>
          <w:tcPr>
            <w:tcW w:w="4535" w:type="dxa"/>
            <w:vAlign w:val="center"/>
          </w:tcPr>
          <w:p w14:paraId="15EF7FD3">
            <w:pPr>
              <w:pStyle w:val="11"/>
            </w:pPr>
            <w:r>
              <w:t>科目名称</w:t>
            </w:r>
          </w:p>
        </w:tc>
        <w:tc>
          <w:tcPr>
            <w:tcW w:w="2551" w:type="dxa"/>
            <w:vMerge w:val="continue"/>
          </w:tcPr>
          <w:p w14:paraId="7C774468"/>
        </w:tc>
        <w:tc>
          <w:tcPr>
            <w:tcW w:w="2551" w:type="dxa"/>
            <w:vMerge w:val="continue"/>
          </w:tcPr>
          <w:p w14:paraId="293BC47C"/>
        </w:tc>
        <w:tc>
          <w:tcPr>
            <w:tcW w:w="2551" w:type="dxa"/>
            <w:vMerge w:val="continue"/>
          </w:tcPr>
          <w:p w14:paraId="633F3A4B"/>
        </w:tc>
      </w:tr>
      <w:tr w14:paraId="72CF8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86F629">
            <w:pPr>
              <w:pStyle w:val="11"/>
            </w:pPr>
            <w:r>
              <w:t>栏次</w:t>
            </w:r>
          </w:p>
        </w:tc>
        <w:tc>
          <w:tcPr>
            <w:tcW w:w="1191" w:type="dxa"/>
            <w:vAlign w:val="center"/>
          </w:tcPr>
          <w:p w14:paraId="2B9C52FC">
            <w:pPr>
              <w:pStyle w:val="11"/>
            </w:pPr>
            <w:r>
              <w:t>1</w:t>
            </w:r>
          </w:p>
        </w:tc>
        <w:tc>
          <w:tcPr>
            <w:tcW w:w="4535" w:type="dxa"/>
            <w:vAlign w:val="center"/>
          </w:tcPr>
          <w:p w14:paraId="4DD82C50">
            <w:pPr>
              <w:pStyle w:val="11"/>
            </w:pPr>
            <w:r>
              <w:t>2</w:t>
            </w:r>
          </w:p>
        </w:tc>
        <w:tc>
          <w:tcPr>
            <w:tcW w:w="2551" w:type="dxa"/>
            <w:vAlign w:val="center"/>
          </w:tcPr>
          <w:p w14:paraId="47EE94D8">
            <w:pPr>
              <w:pStyle w:val="11"/>
            </w:pPr>
            <w:r>
              <w:t>3</w:t>
            </w:r>
          </w:p>
        </w:tc>
        <w:tc>
          <w:tcPr>
            <w:tcW w:w="2551" w:type="dxa"/>
            <w:vAlign w:val="center"/>
          </w:tcPr>
          <w:p w14:paraId="50CAE9B2">
            <w:pPr>
              <w:pStyle w:val="11"/>
            </w:pPr>
            <w:r>
              <w:t>4</w:t>
            </w:r>
          </w:p>
        </w:tc>
        <w:tc>
          <w:tcPr>
            <w:tcW w:w="2551" w:type="dxa"/>
            <w:vAlign w:val="center"/>
          </w:tcPr>
          <w:p w14:paraId="7132D9E9">
            <w:pPr>
              <w:pStyle w:val="11"/>
            </w:pPr>
            <w:r>
              <w:t>5</w:t>
            </w:r>
          </w:p>
        </w:tc>
      </w:tr>
      <w:tr w14:paraId="27C1E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508FC">
            <w:pPr>
              <w:pStyle w:val="12"/>
            </w:pPr>
          </w:p>
        </w:tc>
        <w:tc>
          <w:tcPr>
            <w:tcW w:w="1191" w:type="dxa"/>
            <w:vAlign w:val="center"/>
          </w:tcPr>
          <w:p w14:paraId="3E29ADC0">
            <w:pPr>
              <w:pStyle w:val="13"/>
            </w:pPr>
          </w:p>
        </w:tc>
        <w:tc>
          <w:tcPr>
            <w:tcW w:w="4535" w:type="dxa"/>
            <w:vAlign w:val="center"/>
          </w:tcPr>
          <w:p w14:paraId="1A0D2723">
            <w:pPr>
              <w:pStyle w:val="13"/>
            </w:pPr>
          </w:p>
        </w:tc>
        <w:tc>
          <w:tcPr>
            <w:tcW w:w="2551" w:type="dxa"/>
            <w:vAlign w:val="center"/>
          </w:tcPr>
          <w:p w14:paraId="21F3CEBA">
            <w:pPr>
              <w:pStyle w:val="14"/>
            </w:pPr>
          </w:p>
        </w:tc>
        <w:tc>
          <w:tcPr>
            <w:tcW w:w="2551" w:type="dxa"/>
            <w:vAlign w:val="center"/>
          </w:tcPr>
          <w:p w14:paraId="41FA8181">
            <w:pPr>
              <w:pStyle w:val="14"/>
            </w:pPr>
          </w:p>
        </w:tc>
        <w:tc>
          <w:tcPr>
            <w:tcW w:w="2551" w:type="dxa"/>
            <w:vAlign w:val="center"/>
          </w:tcPr>
          <w:p w14:paraId="640909DB">
            <w:pPr>
              <w:pStyle w:val="14"/>
            </w:pPr>
          </w:p>
        </w:tc>
      </w:tr>
    </w:tbl>
    <w:p w14:paraId="4678C7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B09D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4A9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145285">
            <w:pPr>
              <w:pStyle w:val="8"/>
            </w:pPr>
            <w:r>
              <w:t>360038隆尧县第五实验小学</w:t>
            </w:r>
          </w:p>
        </w:tc>
        <w:tc>
          <w:tcPr>
            <w:tcW w:w="2551" w:type="dxa"/>
            <w:tcBorders>
              <w:top w:val="single" w:color="FFFFFF" w:sz="6" w:space="0"/>
              <w:left w:val="single" w:color="FFFFFF" w:sz="6" w:space="0"/>
              <w:right w:val="single" w:color="FFFFFF" w:sz="6" w:space="0"/>
            </w:tcBorders>
            <w:vAlign w:val="center"/>
          </w:tcPr>
          <w:p w14:paraId="1786732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831C9DD">
            <w:pPr>
              <w:pStyle w:val="10"/>
            </w:pPr>
            <w:r>
              <w:t>单位：万元</w:t>
            </w:r>
          </w:p>
        </w:tc>
      </w:tr>
      <w:tr w14:paraId="1F45E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F61E0D">
            <w:pPr>
              <w:pStyle w:val="11"/>
            </w:pPr>
            <w:r>
              <w:t>序号</w:t>
            </w:r>
          </w:p>
        </w:tc>
        <w:tc>
          <w:tcPr>
            <w:tcW w:w="5726" w:type="dxa"/>
            <w:gridSpan w:val="2"/>
            <w:vAlign w:val="center"/>
          </w:tcPr>
          <w:p w14:paraId="2964AE4C">
            <w:pPr>
              <w:pStyle w:val="11"/>
            </w:pPr>
            <w:r>
              <w:t>功能分类科目</w:t>
            </w:r>
          </w:p>
        </w:tc>
        <w:tc>
          <w:tcPr>
            <w:tcW w:w="2551" w:type="dxa"/>
            <w:vMerge w:val="restart"/>
            <w:vAlign w:val="center"/>
          </w:tcPr>
          <w:p w14:paraId="705CAC8D">
            <w:pPr>
              <w:pStyle w:val="11"/>
            </w:pPr>
            <w:r>
              <w:t>合计</w:t>
            </w:r>
          </w:p>
        </w:tc>
        <w:tc>
          <w:tcPr>
            <w:tcW w:w="2551" w:type="dxa"/>
            <w:vMerge w:val="restart"/>
            <w:vAlign w:val="center"/>
          </w:tcPr>
          <w:p w14:paraId="5A720176">
            <w:pPr>
              <w:pStyle w:val="11"/>
            </w:pPr>
            <w:r>
              <w:t>基本支出</w:t>
            </w:r>
          </w:p>
        </w:tc>
        <w:tc>
          <w:tcPr>
            <w:tcW w:w="2551" w:type="dxa"/>
            <w:vMerge w:val="restart"/>
            <w:vAlign w:val="center"/>
          </w:tcPr>
          <w:p w14:paraId="099DA6E7">
            <w:pPr>
              <w:pStyle w:val="11"/>
            </w:pPr>
            <w:r>
              <w:t>项目支出</w:t>
            </w:r>
          </w:p>
        </w:tc>
      </w:tr>
      <w:tr w14:paraId="4672A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527999"/>
        </w:tc>
        <w:tc>
          <w:tcPr>
            <w:tcW w:w="1191" w:type="dxa"/>
            <w:vAlign w:val="center"/>
          </w:tcPr>
          <w:p w14:paraId="21E7E089">
            <w:pPr>
              <w:pStyle w:val="11"/>
            </w:pPr>
            <w:r>
              <w:t>科目编码</w:t>
            </w:r>
          </w:p>
        </w:tc>
        <w:tc>
          <w:tcPr>
            <w:tcW w:w="4535" w:type="dxa"/>
            <w:vAlign w:val="center"/>
          </w:tcPr>
          <w:p w14:paraId="6EA0E29B">
            <w:pPr>
              <w:pStyle w:val="11"/>
            </w:pPr>
            <w:r>
              <w:t>科目名称</w:t>
            </w:r>
          </w:p>
        </w:tc>
        <w:tc>
          <w:tcPr>
            <w:tcW w:w="2551" w:type="dxa"/>
            <w:vMerge w:val="continue"/>
          </w:tcPr>
          <w:p w14:paraId="03E82288"/>
        </w:tc>
        <w:tc>
          <w:tcPr>
            <w:tcW w:w="2551" w:type="dxa"/>
            <w:vMerge w:val="continue"/>
          </w:tcPr>
          <w:p w14:paraId="64AD95E3"/>
        </w:tc>
        <w:tc>
          <w:tcPr>
            <w:tcW w:w="2551" w:type="dxa"/>
            <w:vMerge w:val="continue"/>
          </w:tcPr>
          <w:p w14:paraId="54BB960C"/>
        </w:tc>
      </w:tr>
      <w:tr w14:paraId="695BB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9BA601">
            <w:pPr>
              <w:pStyle w:val="11"/>
            </w:pPr>
            <w:r>
              <w:t>栏次</w:t>
            </w:r>
          </w:p>
        </w:tc>
        <w:tc>
          <w:tcPr>
            <w:tcW w:w="1191" w:type="dxa"/>
            <w:vAlign w:val="center"/>
          </w:tcPr>
          <w:p w14:paraId="7A6C9928">
            <w:pPr>
              <w:pStyle w:val="11"/>
            </w:pPr>
            <w:r>
              <w:t>1</w:t>
            </w:r>
          </w:p>
        </w:tc>
        <w:tc>
          <w:tcPr>
            <w:tcW w:w="4535" w:type="dxa"/>
            <w:vAlign w:val="center"/>
          </w:tcPr>
          <w:p w14:paraId="09357471">
            <w:pPr>
              <w:pStyle w:val="11"/>
            </w:pPr>
            <w:r>
              <w:t>2</w:t>
            </w:r>
          </w:p>
        </w:tc>
        <w:tc>
          <w:tcPr>
            <w:tcW w:w="2551" w:type="dxa"/>
            <w:vAlign w:val="center"/>
          </w:tcPr>
          <w:p w14:paraId="788F5A19">
            <w:pPr>
              <w:pStyle w:val="11"/>
            </w:pPr>
            <w:r>
              <w:t>3</w:t>
            </w:r>
          </w:p>
        </w:tc>
        <w:tc>
          <w:tcPr>
            <w:tcW w:w="2551" w:type="dxa"/>
            <w:vAlign w:val="center"/>
          </w:tcPr>
          <w:p w14:paraId="6E2FC02C">
            <w:pPr>
              <w:pStyle w:val="11"/>
            </w:pPr>
            <w:r>
              <w:t>4</w:t>
            </w:r>
          </w:p>
        </w:tc>
        <w:tc>
          <w:tcPr>
            <w:tcW w:w="2551" w:type="dxa"/>
            <w:vAlign w:val="center"/>
          </w:tcPr>
          <w:p w14:paraId="278CE236">
            <w:pPr>
              <w:pStyle w:val="11"/>
            </w:pPr>
            <w:r>
              <w:t>5</w:t>
            </w:r>
          </w:p>
        </w:tc>
      </w:tr>
      <w:tr w14:paraId="50488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E0583">
            <w:pPr>
              <w:pStyle w:val="12"/>
            </w:pPr>
          </w:p>
        </w:tc>
        <w:tc>
          <w:tcPr>
            <w:tcW w:w="1191" w:type="dxa"/>
            <w:vAlign w:val="center"/>
          </w:tcPr>
          <w:p w14:paraId="756FA475">
            <w:pPr>
              <w:pStyle w:val="13"/>
            </w:pPr>
          </w:p>
        </w:tc>
        <w:tc>
          <w:tcPr>
            <w:tcW w:w="4535" w:type="dxa"/>
            <w:vAlign w:val="center"/>
          </w:tcPr>
          <w:p w14:paraId="0FB19992">
            <w:pPr>
              <w:pStyle w:val="13"/>
            </w:pPr>
          </w:p>
        </w:tc>
        <w:tc>
          <w:tcPr>
            <w:tcW w:w="2551" w:type="dxa"/>
            <w:vAlign w:val="center"/>
          </w:tcPr>
          <w:p w14:paraId="7C3F68CF">
            <w:pPr>
              <w:pStyle w:val="14"/>
            </w:pPr>
          </w:p>
        </w:tc>
        <w:tc>
          <w:tcPr>
            <w:tcW w:w="2551" w:type="dxa"/>
            <w:vAlign w:val="center"/>
          </w:tcPr>
          <w:p w14:paraId="4F860D09">
            <w:pPr>
              <w:pStyle w:val="14"/>
            </w:pPr>
          </w:p>
        </w:tc>
        <w:tc>
          <w:tcPr>
            <w:tcW w:w="2551" w:type="dxa"/>
            <w:vAlign w:val="center"/>
          </w:tcPr>
          <w:p w14:paraId="3D6B33E8">
            <w:pPr>
              <w:pStyle w:val="14"/>
            </w:pPr>
          </w:p>
        </w:tc>
      </w:tr>
    </w:tbl>
    <w:p w14:paraId="04F8A8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A813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C565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A3CDD6">
            <w:pPr>
              <w:pStyle w:val="8"/>
            </w:pPr>
            <w:r>
              <w:t>360038隆尧县第五实验小学</w:t>
            </w:r>
          </w:p>
        </w:tc>
        <w:tc>
          <w:tcPr>
            <w:tcW w:w="2381" w:type="dxa"/>
            <w:tcBorders>
              <w:top w:val="single" w:color="FFFFFF" w:sz="6" w:space="0"/>
              <w:left w:val="single" w:color="FFFFFF" w:sz="6" w:space="0"/>
              <w:right w:val="single" w:color="FFFFFF" w:sz="6" w:space="0"/>
            </w:tcBorders>
            <w:vAlign w:val="center"/>
          </w:tcPr>
          <w:p w14:paraId="539D28C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B1F5326">
            <w:pPr>
              <w:pStyle w:val="10"/>
            </w:pPr>
            <w:r>
              <w:t>单位：万元</w:t>
            </w:r>
          </w:p>
        </w:tc>
      </w:tr>
      <w:tr w14:paraId="0BDD5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0FBFF">
            <w:pPr>
              <w:pStyle w:val="11"/>
            </w:pPr>
            <w:r>
              <w:t>序号</w:t>
            </w:r>
          </w:p>
        </w:tc>
        <w:tc>
          <w:tcPr>
            <w:tcW w:w="3798" w:type="dxa"/>
            <w:vMerge w:val="restart"/>
            <w:vAlign w:val="center"/>
          </w:tcPr>
          <w:p w14:paraId="67247394">
            <w:pPr>
              <w:pStyle w:val="11"/>
            </w:pPr>
            <w:r>
              <w:t>项  目</w:t>
            </w:r>
          </w:p>
        </w:tc>
        <w:tc>
          <w:tcPr>
            <w:tcW w:w="9524" w:type="dxa"/>
            <w:gridSpan w:val="4"/>
            <w:vAlign w:val="center"/>
          </w:tcPr>
          <w:p w14:paraId="6BF26423">
            <w:pPr>
              <w:pStyle w:val="11"/>
            </w:pPr>
            <w:r>
              <w:t>资 金 性 质</w:t>
            </w:r>
          </w:p>
        </w:tc>
      </w:tr>
      <w:tr w14:paraId="5B052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043147"/>
        </w:tc>
        <w:tc>
          <w:tcPr>
            <w:tcW w:w="3798" w:type="dxa"/>
            <w:vMerge w:val="continue"/>
          </w:tcPr>
          <w:p w14:paraId="23EE8456"/>
        </w:tc>
        <w:tc>
          <w:tcPr>
            <w:tcW w:w="2381" w:type="dxa"/>
            <w:vAlign w:val="center"/>
          </w:tcPr>
          <w:p w14:paraId="060BCB18">
            <w:pPr>
              <w:pStyle w:val="11"/>
            </w:pPr>
            <w:r>
              <w:t>合计</w:t>
            </w:r>
          </w:p>
        </w:tc>
        <w:tc>
          <w:tcPr>
            <w:tcW w:w="2381" w:type="dxa"/>
            <w:vAlign w:val="center"/>
          </w:tcPr>
          <w:p w14:paraId="0C4D1423">
            <w:pPr>
              <w:pStyle w:val="11"/>
            </w:pPr>
            <w:r>
              <w:t>一般公共预算              财政拨款</w:t>
            </w:r>
          </w:p>
        </w:tc>
        <w:tc>
          <w:tcPr>
            <w:tcW w:w="2381" w:type="dxa"/>
            <w:vAlign w:val="center"/>
          </w:tcPr>
          <w:p w14:paraId="127ABBBD">
            <w:pPr>
              <w:pStyle w:val="11"/>
            </w:pPr>
            <w:r>
              <w:t>政府性基金                  预算拨款</w:t>
            </w:r>
          </w:p>
        </w:tc>
        <w:tc>
          <w:tcPr>
            <w:tcW w:w="2381" w:type="dxa"/>
            <w:vAlign w:val="center"/>
          </w:tcPr>
          <w:p w14:paraId="5C5DF8DA">
            <w:pPr>
              <w:pStyle w:val="11"/>
            </w:pPr>
            <w:r>
              <w:t>国有资本经营              预算财政拨款</w:t>
            </w:r>
          </w:p>
        </w:tc>
      </w:tr>
      <w:tr w14:paraId="734B9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30124F">
            <w:pPr>
              <w:pStyle w:val="11"/>
            </w:pPr>
            <w:r>
              <w:t>栏次</w:t>
            </w:r>
          </w:p>
        </w:tc>
        <w:tc>
          <w:tcPr>
            <w:tcW w:w="3798" w:type="dxa"/>
            <w:vAlign w:val="center"/>
          </w:tcPr>
          <w:p w14:paraId="68DECFBE">
            <w:pPr>
              <w:pStyle w:val="11"/>
            </w:pPr>
            <w:r>
              <w:t>1</w:t>
            </w:r>
          </w:p>
        </w:tc>
        <w:tc>
          <w:tcPr>
            <w:tcW w:w="2381" w:type="dxa"/>
            <w:vAlign w:val="center"/>
          </w:tcPr>
          <w:p w14:paraId="59872B9C">
            <w:pPr>
              <w:pStyle w:val="11"/>
            </w:pPr>
            <w:r>
              <w:t>2</w:t>
            </w:r>
          </w:p>
        </w:tc>
        <w:tc>
          <w:tcPr>
            <w:tcW w:w="2381" w:type="dxa"/>
            <w:vAlign w:val="center"/>
          </w:tcPr>
          <w:p w14:paraId="4A2F78DE">
            <w:pPr>
              <w:pStyle w:val="11"/>
            </w:pPr>
            <w:r>
              <w:t>3</w:t>
            </w:r>
          </w:p>
        </w:tc>
        <w:tc>
          <w:tcPr>
            <w:tcW w:w="2381" w:type="dxa"/>
            <w:vAlign w:val="center"/>
          </w:tcPr>
          <w:p w14:paraId="41EB008E">
            <w:pPr>
              <w:pStyle w:val="11"/>
            </w:pPr>
            <w:r>
              <w:t>4</w:t>
            </w:r>
          </w:p>
        </w:tc>
        <w:tc>
          <w:tcPr>
            <w:tcW w:w="2381" w:type="dxa"/>
            <w:vAlign w:val="center"/>
          </w:tcPr>
          <w:p w14:paraId="35C0616F">
            <w:pPr>
              <w:pStyle w:val="11"/>
            </w:pPr>
            <w:r>
              <w:t>5</w:t>
            </w:r>
          </w:p>
        </w:tc>
      </w:tr>
      <w:tr w14:paraId="714DD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6FCD9B">
            <w:pPr>
              <w:pStyle w:val="12"/>
            </w:pPr>
          </w:p>
        </w:tc>
        <w:tc>
          <w:tcPr>
            <w:tcW w:w="3798" w:type="dxa"/>
            <w:vAlign w:val="center"/>
          </w:tcPr>
          <w:p w14:paraId="7EE76352">
            <w:pPr>
              <w:pStyle w:val="13"/>
            </w:pPr>
          </w:p>
        </w:tc>
        <w:tc>
          <w:tcPr>
            <w:tcW w:w="2381" w:type="dxa"/>
            <w:vAlign w:val="center"/>
          </w:tcPr>
          <w:p w14:paraId="619E15E7">
            <w:pPr>
              <w:pStyle w:val="14"/>
            </w:pPr>
          </w:p>
        </w:tc>
        <w:tc>
          <w:tcPr>
            <w:tcW w:w="2381" w:type="dxa"/>
            <w:vAlign w:val="center"/>
          </w:tcPr>
          <w:p w14:paraId="6239D452">
            <w:pPr>
              <w:pStyle w:val="14"/>
            </w:pPr>
          </w:p>
        </w:tc>
        <w:tc>
          <w:tcPr>
            <w:tcW w:w="2381" w:type="dxa"/>
            <w:vAlign w:val="center"/>
          </w:tcPr>
          <w:p w14:paraId="729B613F">
            <w:pPr>
              <w:pStyle w:val="14"/>
            </w:pPr>
          </w:p>
        </w:tc>
        <w:tc>
          <w:tcPr>
            <w:tcW w:w="2381" w:type="dxa"/>
            <w:vAlign w:val="center"/>
          </w:tcPr>
          <w:p w14:paraId="17A43799">
            <w:pPr>
              <w:pStyle w:val="14"/>
            </w:pPr>
          </w:p>
        </w:tc>
      </w:tr>
    </w:tbl>
    <w:p w14:paraId="767340E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4D15F0">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隆尧县第五实验小学2025年单位预算信息公开情况说明</w:t>
      </w:r>
    </w:p>
    <w:p w14:paraId="37F0F95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按照《中华人民共和国预算法》、《地方预决算公开操作规程》和《关于进一步推进预算公开工作的实施意见》规定，现将隆尧县第五实验小学2025年单位预算公开如下：</w:t>
      </w:r>
    </w:p>
    <w:p w14:paraId="59FBB1E5">
      <w:pPr>
        <w:spacing w:before="10" w:after="10" w:line="240" w:lineRule="auto"/>
        <w:ind w:firstLine="640"/>
        <w:jc w:val="left"/>
        <w:outlineLvl w:val="5"/>
      </w:pPr>
      <w:r>
        <w:rPr>
          <w:rFonts w:ascii="黑体" w:hAnsi="黑体" w:eastAsia="黑体" w:cs="黑体"/>
          <w:color w:val="000000"/>
          <w:sz w:val="32"/>
        </w:rPr>
        <w:t>一、单位职责及机构设置情况</w:t>
      </w:r>
    </w:p>
    <w:p w14:paraId="61F7B97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11246C">
      <w:pPr>
        <w:pStyle w:val="18"/>
      </w:pPr>
    </w:p>
    <w:p w14:paraId="7D6CA9C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4B465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658C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1ABB0D">
            <w:pPr>
              <w:pStyle w:val="11"/>
            </w:pPr>
            <w:r>
              <w:t>单位名称</w:t>
            </w:r>
          </w:p>
        </w:tc>
        <w:tc>
          <w:tcPr>
            <w:tcW w:w="1843" w:type="dxa"/>
            <w:vAlign w:val="center"/>
          </w:tcPr>
          <w:p w14:paraId="1AED6A41">
            <w:pPr>
              <w:pStyle w:val="11"/>
            </w:pPr>
            <w:r>
              <w:t>单位性质</w:t>
            </w:r>
          </w:p>
        </w:tc>
        <w:tc>
          <w:tcPr>
            <w:tcW w:w="2126" w:type="dxa"/>
            <w:vAlign w:val="center"/>
          </w:tcPr>
          <w:p w14:paraId="740F83AC">
            <w:pPr>
              <w:pStyle w:val="11"/>
            </w:pPr>
            <w:r>
              <w:t>单位规格</w:t>
            </w:r>
          </w:p>
        </w:tc>
        <w:tc>
          <w:tcPr>
            <w:tcW w:w="3827" w:type="dxa"/>
            <w:vAlign w:val="center"/>
          </w:tcPr>
          <w:p w14:paraId="11B762E9">
            <w:pPr>
              <w:pStyle w:val="11"/>
            </w:pPr>
            <w:r>
              <w:t>经费保障形式</w:t>
            </w:r>
          </w:p>
        </w:tc>
      </w:tr>
      <w:tr w14:paraId="23E3F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B7550EB">
            <w:pPr>
              <w:pStyle w:val="13"/>
            </w:pPr>
            <w:r>
              <w:t>隆尧县第五实验小学</w:t>
            </w:r>
          </w:p>
        </w:tc>
        <w:tc>
          <w:tcPr>
            <w:tcW w:w="1843" w:type="dxa"/>
            <w:vAlign w:val="center"/>
          </w:tcPr>
          <w:p w14:paraId="7C2C69CC">
            <w:pPr>
              <w:pStyle w:val="12"/>
            </w:pPr>
            <w:r>
              <w:t>事业</w:t>
            </w:r>
          </w:p>
        </w:tc>
        <w:tc>
          <w:tcPr>
            <w:tcW w:w="2126" w:type="dxa"/>
            <w:vAlign w:val="center"/>
          </w:tcPr>
          <w:p w14:paraId="52220A42">
            <w:pPr>
              <w:pStyle w:val="12"/>
            </w:pPr>
            <w:r>
              <w:t>股级</w:t>
            </w:r>
          </w:p>
        </w:tc>
        <w:tc>
          <w:tcPr>
            <w:tcW w:w="3827" w:type="dxa"/>
            <w:vAlign w:val="center"/>
          </w:tcPr>
          <w:p w14:paraId="57D9F40D">
            <w:pPr>
              <w:pStyle w:val="12"/>
            </w:pPr>
            <w:r>
              <w:t>财政性资金基本保证</w:t>
            </w:r>
          </w:p>
        </w:tc>
      </w:tr>
    </w:tbl>
    <w:p w14:paraId="4FB75AFB">
      <w:pPr>
        <w:spacing w:before="10" w:after="10" w:line="240" w:lineRule="auto"/>
        <w:ind w:firstLine="640"/>
        <w:jc w:val="left"/>
        <w:outlineLvl w:val="5"/>
      </w:pPr>
      <w:r>
        <w:rPr>
          <w:rFonts w:ascii="黑体" w:hAnsi="黑体" w:eastAsia="黑体" w:cs="黑体"/>
          <w:color w:val="000000"/>
          <w:sz w:val="32"/>
        </w:rPr>
        <w:t>二、单位预算安排的总体情况</w:t>
      </w:r>
    </w:p>
    <w:p w14:paraId="0E964589">
      <w:pPr>
        <w:pStyle w:val="19"/>
      </w:pPr>
    </w:p>
    <w:p w14:paraId="2BCE999C">
      <w:pPr>
        <w:pStyle w:val="19"/>
      </w:pPr>
      <w:r>
        <w:t>按照预算管理有关规定，目前我校单位预算的编制实行综合预算管理，即全部收入和支出都反映的预算中。隆尧县第五实验小学的收支包含在单位预算中。</w:t>
      </w:r>
    </w:p>
    <w:p w14:paraId="22EA1C07">
      <w:pPr>
        <w:pStyle w:val="19"/>
      </w:pPr>
      <w:r>
        <w:t>1、收入说明</w:t>
      </w:r>
    </w:p>
    <w:p w14:paraId="69E165F9">
      <w:pPr>
        <w:pStyle w:val="19"/>
      </w:pPr>
      <w:r>
        <w:t>反映本单位当年全部收入。2025年预算收入1412.17万元，其中：一般公共预算收入1412.17万元，基金预算收入0万元，基金预算收入0万元，国有资本经营预算收入0万元，财政专户拨收入0万元，单位资金收入0万元，上年结转结余0万元。</w:t>
      </w:r>
    </w:p>
    <w:p w14:paraId="718C9CB2">
      <w:pPr>
        <w:pStyle w:val="19"/>
      </w:pPr>
      <w:r>
        <w:t>2、支出说明</w:t>
      </w:r>
    </w:p>
    <w:p w14:paraId="55AE9D83">
      <w:pPr>
        <w:pStyle w:val="19"/>
      </w:pPr>
      <w:r>
        <w:t>收支预算总表支出栏、基本支出表、项目支出表按经济分类和支出功能分类科目编制，反映隆尧县第五实验小学年度单位预算中支出预算的总体情况。2025年单位支出预算为1412.17万元，其中基本支出1102.87万元、项目支出309.3万元。主要为小学教育1412.17万元。</w:t>
      </w:r>
    </w:p>
    <w:p w14:paraId="42997338">
      <w:pPr>
        <w:pStyle w:val="19"/>
      </w:pPr>
      <w:r>
        <w:t>3、比上年增减情况</w:t>
      </w:r>
    </w:p>
    <w:p w14:paraId="59C9DF15">
      <w:pPr>
        <w:pStyle w:val="19"/>
      </w:pPr>
      <w:r>
        <w:t>2025年部门预算收支安排1412.17万元，我单位为新增单位，无上年度数据。</w:t>
      </w:r>
    </w:p>
    <w:p w14:paraId="6C68E79A">
      <w:pPr>
        <w:spacing w:before="10" w:after="10" w:line="240" w:lineRule="auto"/>
        <w:ind w:firstLine="640"/>
        <w:jc w:val="left"/>
        <w:outlineLvl w:val="5"/>
      </w:pPr>
      <w:r>
        <w:rPr>
          <w:rFonts w:ascii="黑体" w:hAnsi="黑体" w:eastAsia="黑体" w:cs="黑体"/>
          <w:color w:val="000000"/>
          <w:sz w:val="32"/>
        </w:rPr>
        <w:t>三、机关运行经费安排情况</w:t>
      </w:r>
    </w:p>
    <w:p w14:paraId="02F70B6F">
      <w:pPr>
        <w:pStyle w:val="20"/>
      </w:pPr>
      <w:r>
        <w:t>我单位按学生安排公用经费，无机关运行经费。</w:t>
      </w:r>
    </w:p>
    <w:p w14:paraId="73E90B4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52E9E8E">
      <w:pPr>
        <w:pStyle w:val="21"/>
      </w:pPr>
      <w:r>
        <w:t>我单位未安排三公经费。</w:t>
      </w:r>
    </w:p>
    <w:p w14:paraId="2156155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A33C00F">
      <w:pPr>
        <w:spacing w:before="0" w:after="0"/>
        <w:ind w:firstLine="560"/>
        <w:jc w:val="left"/>
        <w:outlineLvl w:val="9"/>
      </w:pPr>
      <w:r>
        <w:rPr>
          <w:rFonts w:ascii="方正仿宋_GBK" w:hAnsi="方正仿宋_GBK" w:eastAsia="方正仿宋_GBK" w:cs="方正仿宋_GBK"/>
          <w:b/>
          <w:color w:val="000000"/>
          <w:sz w:val="28"/>
        </w:rPr>
        <w:t>1、冀财教[2024]123号/中央/2025年义教补助经费/第五实验小学公用经费绩效目标表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DB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444B4">
            <w:pPr>
              <w:pStyle w:val="14"/>
            </w:pPr>
            <w:r>
              <w:t>单位：万元</w:t>
            </w:r>
          </w:p>
        </w:tc>
      </w:tr>
      <w:tr w14:paraId="7E30F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0142FE">
            <w:pPr>
              <w:pStyle w:val="11"/>
            </w:pPr>
            <w:r>
              <w:t>项目编码</w:t>
            </w:r>
          </w:p>
        </w:tc>
        <w:tc>
          <w:tcPr>
            <w:tcW w:w="5103" w:type="dxa"/>
            <w:gridSpan w:val="2"/>
            <w:vAlign w:val="center"/>
          </w:tcPr>
          <w:p w14:paraId="0734BD99">
            <w:pPr>
              <w:pStyle w:val="13"/>
            </w:pPr>
            <w:r>
              <w:t>13052525P00000410057L</w:t>
            </w:r>
          </w:p>
        </w:tc>
        <w:tc>
          <w:tcPr>
            <w:tcW w:w="2835" w:type="dxa"/>
            <w:vAlign w:val="center"/>
          </w:tcPr>
          <w:p w14:paraId="15AB7176">
            <w:pPr>
              <w:pStyle w:val="11"/>
            </w:pPr>
            <w:r>
              <w:t>项目名称</w:t>
            </w:r>
          </w:p>
        </w:tc>
        <w:tc>
          <w:tcPr>
            <w:tcW w:w="6095" w:type="dxa"/>
            <w:gridSpan w:val="3"/>
            <w:vAlign w:val="center"/>
          </w:tcPr>
          <w:p w14:paraId="2A890310">
            <w:pPr>
              <w:pStyle w:val="13"/>
            </w:pPr>
            <w:r>
              <w:t>冀财教[2024]123号/中央/2025年义教补助经费/第五实验小学公用经费</w:t>
            </w:r>
          </w:p>
        </w:tc>
      </w:tr>
      <w:tr w14:paraId="0EE62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69B45">
            <w:pPr>
              <w:pStyle w:val="11"/>
            </w:pPr>
            <w:r>
              <w:t>预算规模及资金用途</w:t>
            </w:r>
          </w:p>
        </w:tc>
        <w:tc>
          <w:tcPr>
            <w:tcW w:w="2268" w:type="dxa"/>
            <w:vAlign w:val="center"/>
          </w:tcPr>
          <w:p w14:paraId="6D9F6682">
            <w:pPr>
              <w:pStyle w:val="11"/>
            </w:pPr>
            <w:r>
              <w:t>预算数</w:t>
            </w:r>
          </w:p>
        </w:tc>
        <w:tc>
          <w:tcPr>
            <w:tcW w:w="2835" w:type="dxa"/>
            <w:vAlign w:val="center"/>
          </w:tcPr>
          <w:p w14:paraId="101D12AD">
            <w:pPr>
              <w:pStyle w:val="13"/>
            </w:pPr>
            <w:r>
              <w:t>167.43</w:t>
            </w:r>
          </w:p>
        </w:tc>
        <w:tc>
          <w:tcPr>
            <w:tcW w:w="2835" w:type="dxa"/>
            <w:vAlign w:val="center"/>
          </w:tcPr>
          <w:p w14:paraId="1EB1B6FD">
            <w:pPr>
              <w:pStyle w:val="11"/>
            </w:pPr>
            <w:r>
              <w:t>其中：财政    资金</w:t>
            </w:r>
          </w:p>
        </w:tc>
        <w:tc>
          <w:tcPr>
            <w:tcW w:w="2551" w:type="dxa"/>
            <w:vAlign w:val="center"/>
          </w:tcPr>
          <w:p w14:paraId="41BA3DAD">
            <w:pPr>
              <w:pStyle w:val="13"/>
            </w:pPr>
            <w:r>
              <w:t>167.43</w:t>
            </w:r>
          </w:p>
        </w:tc>
        <w:tc>
          <w:tcPr>
            <w:tcW w:w="2268" w:type="dxa"/>
            <w:vAlign w:val="center"/>
          </w:tcPr>
          <w:p w14:paraId="6AC2F40C">
            <w:pPr>
              <w:pStyle w:val="11"/>
            </w:pPr>
            <w:r>
              <w:t>其他资金</w:t>
            </w:r>
          </w:p>
        </w:tc>
        <w:tc>
          <w:tcPr>
            <w:tcW w:w="1276" w:type="dxa"/>
            <w:vAlign w:val="center"/>
          </w:tcPr>
          <w:p w14:paraId="11CD2EED">
            <w:pPr>
              <w:pStyle w:val="13"/>
            </w:pPr>
            <w:r>
              <w:t xml:space="preserve"> </w:t>
            </w:r>
          </w:p>
        </w:tc>
      </w:tr>
      <w:tr w14:paraId="4F022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BEBAE6"/>
        </w:tc>
        <w:tc>
          <w:tcPr>
            <w:tcW w:w="14033" w:type="dxa"/>
            <w:gridSpan w:val="6"/>
            <w:vAlign w:val="center"/>
          </w:tcPr>
          <w:p w14:paraId="4A1D0FF2">
            <w:pPr>
              <w:pStyle w:val="13"/>
            </w:pPr>
            <w:r>
              <w:t>保障义务教育学校正常运转，完成教育教学活动和其他日常工作任务等方面的费用支出。</w:t>
            </w:r>
          </w:p>
        </w:tc>
      </w:tr>
      <w:tr w14:paraId="45CA1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C0048">
            <w:pPr>
              <w:pStyle w:val="11"/>
            </w:pPr>
            <w:r>
              <w:t>资金支出计划（%）</w:t>
            </w:r>
          </w:p>
        </w:tc>
        <w:tc>
          <w:tcPr>
            <w:tcW w:w="5103" w:type="dxa"/>
            <w:gridSpan w:val="2"/>
            <w:vAlign w:val="center"/>
          </w:tcPr>
          <w:p w14:paraId="363ADA68">
            <w:pPr>
              <w:pStyle w:val="11"/>
            </w:pPr>
            <w:r>
              <w:t>3月底</w:t>
            </w:r>
          </w:p>
        </w:tc>
        <w:tc>
          <w:tcPr>
            <w:tcW w:w="2835" w:type="dxa"/>
            <w:vAlign w:val="center"/>
          </w:tcPr>
          <w:p w14:paraId="524C0059">
            <w:pPr>
              <w:pStyle w:val="11"/>
            </w:pPr>
            <w:r>
              <w:t>6月底</w:t>
            </w:r>
          </w:p>
        </w:tc>
        <w:tc>
          <w:tcPr>
            <w:tcW w:w="2551" w:type="dxa"/>
            <w:vAlign w:val="center"/>
          </w:tcPr>
          <w:p w14:paraId="024F7ABB">
            <w:pPr>
              <w:pStyle w:val="11"/>
            </w:pPr>
            <w:r>
              <w:t>10月底</w:t>
            </w:r>
          </w:p>
        </w:tc>
        <w:tc>
          <w:tcPr>
            <w:tcW w:w="3544" w:type="dxa"/>
            <w:gridSpan w:val="2"/>
            <w:vAlign w:val="center"/>
          </w:tcPr>
          <w:p w14:paraId="65704C27">
            <w:pPr>
              <w:pStyle w:val="11"/>
            </w:pPr>
            <w:r>
              <w:t>12月底</w:t>
            </w:r>
          </w:p>
        </w:tc>
      </w:tr>
      <w:tr w14:paraId="2C71F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275384"/>
        </w:tc>
        <w:tc>
          <w:tcPr>
            <w:tcW w:w="5103" w:type="dxa"/>
            <w:gridSpan w:val="2"/>
            <w:vAlign w:val="center"/>
          </w:tcPr>
          <w:p w14:paraId="6B4E5151">
            <w:pPr>
              <w:pStyle w:val="12"/>
            </w:pPr>
            <w:r>
              <w:t>25%</w:t>
            </w:r>
          </w:p>
        </w:tc>
        <w:tc>
          <w:tcPr>
            <w:tcW w:w="2835" w:type="dxa"/>
            <w:vAlign w:val="center"/>
          </w:tcPr>
          <w:p w14:paraId="0B9B1938">
            <w:pPr>
              <w:pStyle w:val="12"/>
            </w:pPr>
            <w:r>
              <w:t>50%</w:t>
            </w:r>
          </w:p>
        </w:tc>
        <w:tc>
          <w:tcPr>
            <w:tcW w:w="2551" w:type="dxa"/>
            <w:vAlign w:val="center"/>
          </w:tcPr>
          <w:p w14:paraId="22E6CA22">
            <w:pPr>
              <w:pStyle w:val="12"/>
            </w:pPr>
            <w:r>
              <w:t>75%</w:t>
            </w:r>
          </w:p>
        </w:tc>
        <w:tc>
          <w:tcPr>
            <w:tcW w:w="3544" w:type="dxa"/>
            <w:gridSpan w:val="2"/>
            <w:vAlign w:val="center"/>
          </w:tcPr>
          <w:p w14:paraId="09FE1B3A">
            <w:pPr>
              <w:pStyle w:val="12"/>
            </w:pPr>
            <w:r>
              <w:t>100%</w:t>
            </w:r>
          </w:p>
        </w:tc>
      </w:tr>
      <w:tr w14:paraId="6C822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24261E">
            <w:pPr>
              <w:pStyle w:val="11"/>
            </w:pPr>
            <w:r>
              <w:t>绩效目标</w:t>
            </w:r>
          </w:p>
        </w:tc>
        <w:tc>
          <w:tcPr>
            <w:tcW w:w="14033" w:type="dxa"/>
            <w:gridSpan w:val="6"/>
            <w:vAlign w:val="center"/>
          </w:tcPr>
          <w:p w14:paraId="7A548B3E">
            <w:pPr>
              <w:pStyle w:val="13"/>
            </w:pPr>
            <w:r>
              <w:t>1.按规定拨付公用经费资金167.43万元，资金拨付率达到100%。</w:t>
            </w:r>
          </w:p>
          <w:p w14:paraId="6FCB547F">
            <w:pPr>
              <w:pStyle w:val="13"/>
            </w:pPr>
            <w:r>
              <w:t>2.保障义务教育学校正常运转，完成教育教学活动和其他日常工作任务等方面的费用支出。</w:t>
            </w:r>
          </w:p>
        </w:tc>
      </w:tr>
    </w:tbl>
    <w:p w14:paraId="17AD5E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9A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9CB00">
            <w:pPr>
              <w:pStyle w:val="11"/>
            </w:pPr>
            <w:r>
              <w:t>一级指标</w:t>
            </w:r>
          </w:p>
        </w:tc>
        <w:tc>
          <w:tcPr>
            <w:tcW w:w="2268" w:type="dxa"/>
            <w:vAlign w:val="center"/>
          </w:tcPr>
          <w:p w14:paraId="7FAC2EDC">
            <w:pPr>
              <w:pStyle w:val="11"/>
            </w:pPr>
            <w:r>
              <w:t>二级指标</w:t>
            </w:r>
          </w:p>
        </w:tc>
        <w:tc>
          <w:tcPr>
            <w:tcW w:w="2835" w:type="dxa"/>
            <w:vAlign w:val="center"/>
          </w:tcPr>
          <w:p w14:paraId="6C0B993F">
            <w:pPr>
              <w:pStyle w:val="11"/>
            </w:pPr>
            <w:r>
              <w:t>三级指标</w:t>
            </w:r>
          </w:p>
        </w:tc>
        <w:tc>
          <w:tcPr>
            <w:tcW w:w="5386" w:type="dxa"/>
            <w:vAlign w:val="center"/>
          </w:tcPr>
          <w:p w14:paraId="785D93FC">
            <w:pPr>
              <w:pStyle w:val="11"/>
            </w:pPr>
            <w:r>
              <w:t>绩效指标描述</w:t>
            </w:r>
          </w:p>
        </w:tc>
        <w:tc>
          <w:tcPr>
            <w:tcW w:w="2268" w:type="dxa"/>
            <w:vAlign w:val="center"/>
          </w:tcPr>
          <w:p w14:paraId="7EFDDA18">
            <w:pPr>
              <w:pStyle w:val="11"/>
            </w:pPr>
            <w:r>
              <w:t>指标值</w:t>
            </w:r>
          </w:p>
        </w:tc>
        <w:tc>
          <w:tcPr>
            <w:tcW w:w="1276" w:type="dxa"/>
            <w:vAlign w:val="center"/>
          </w:tcPr>
          <w:p w14:paraId="5D227645">
            <w:pPr>
              <w:pStyle w:val="11"/>
            </w:pPr>
            <w:r>
              <w:t>指标值确定依据</w:t>
            </w:r>
          </w:p>
        </w:tc>
      </w:tr>
      <w:tr w14:paraId="6EF5A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9F580">
            <w:pPr>
              <w:pStyle w:val="12"/>
            </w:pPr>
            <w:r>
              <w:t>产出指标</w:t>
            </w:r>
          </w:p>
        </w:tc>
        <w:tc>
          <w:tcPr>
            <w:tcW w:w="2268" w:type="dxa"/>
            <w:vAlign w:val="center"/>
          </w:tcPr>
          <w:p w14:paraId="2587E83A">
            <w:pPr>
              <w:pStyle w:val="13"/>
            </w:pPr>
            <w:r>
              <w:t>数量指标</w:t>
            </w:r>
          </w:p>
        </w:tc>
        <w:tc>
          <w:tcPr>
            <w:tcW w:w="2835" w:type="dxa"/>
            <w:vAlign w:val="center"/>
          </w:tcPr>
          <w:p w14:paraId="690E6783">
            <w:pPr>
              <w:pStyle w:val="13"/>
            </w:pPr>
            <w:r>
              <w:t>生均拨款标准</w:t>
            </w:r>
          </w:p>
        </w:tc>
        <w:tc>
          <w:tcPr>
            <w:tcW w:w="5386" w:type="dxa"/>
            <w:vAlign w:val="center"/>
          </w:tcPr>
          <w:p w14:paraId="05C42FE5">
            <w:pPr>
              <w:pStyle w:val="13"/>
            </w:pPr>
            <w:r>
              <w:t>小学生公用经费生均小学720元。取暖费120元/生/年，随班就读学生补助7000元/生</w:t>
            </w:r>
          </w:p>
        </w:tc>
        <w:tc>
          <w:tcPr>
            <w:tcW w:w="2268" w:type="dxa"/>
            <w:vAlign w:val="center"/>
          </w:tcPr>
          <w:p w14:paraId="7937F8D6">
            <w:pPr>
              <w:pStyle w:val="13"/>
            </w:pPr>
            <w:r>
              <w:t>840元</w:t>
            </w:r>
          </w:p>
        </w:tc>
        <w:tc>
          <w:tcPr>
            <w:tcW w:w="1276" w:type="dxa"/>
            <w:vAlign w:val="center"/>
          </w:tcPr>
          <w:p w14:paraId="0B2D2C29">
            <w:pPr>
              <w:pStyle w:val="13"/>
            </w:pPr>
            <w:r>
              <w:t>城乡义务教育公用经费管理办法</w:t>
            </w:r>
          </w:p>
        </w:tc>
      </w:tr>
      <w:tr w14:paraId="11D1A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9A0A7"/>
        </w:tc>
        <w:tc>
          <w:tcPr>
            <w:tcW w:w="2268" w:type="dxa"/>
            <w:vAlign w:val="center"/>
          </w:tcPr>
          <w:p w14:paraId="1AFA7B20">
            <w:pPr>
              <w:pStyle w:val="13"/>
            </w:pPr>
            <w:r>
              <w:t>质量指标</w:t>
            </w:r>
          </w:p>
        </w:tc>
        <w:tc>
          <w:tcPr>
            <w:tcW w:w="2835" w:type="dxa"/>
            <w:vAlign w:val="center"/>
          </w:tcPr>
          <w:p w14:paraId="6EEC1B17">
            <w:pPr>
              <w:pStyle w:val="13"/>
            </w:pPr>
            <w:r>
              <w:t>就读学生数</w:t>
            </w:r>
          </w:p>
        </w:tc>
        <w:tc>
          <w:tcPr>
            <w:tcW w:w="5386" w:type="dxa"/>
            <w:vAlign w:val="center"/>
          </w:tcPr>
          <w:p w14:paraId="169339F7">
            <w:pPr>
              <w:pStyle w:val="13"/>
            </w:pPr>
            <w:r>
              <w:t>辐射区域内适龄学生人数</w:t>
            </w:r>
          </w:p>
        </w:tc>
        <w:tc>
          <w:tcPr>
            <w:tcW w:w="2268" w:type="dxa"/>
            <w:vAlign w:val="center"/>
          </w:tcPr>
          <w:p w14:paraId="1F4FF4CD">
            <w:pPr>
              <w:pStyle w:val="13"/>
            </w:pPr>
            <w:r>
              <w:t>2433人</w:t>
            </w:r>
          </w:p>
        </w:tc>
        <w:tc>
          <w:tcPr>
            <w:tcW w:w="1276" w:type="dxa"/>
            <w:vAlign w:val="center"/>
          </w:tcPr>
          <w:p w14:paraId="5A00CF63">
            <w:pPr>
              <w:pStyle w:val="13"/>
            </w:pPr>
            <w:r>
              <w:t>城乡义务教育公用经费管理办法</w:t>
            </w:r>
          </w:p>
        </w:tc>
      </w:tr>
      <w:tr w14:paraId="653DB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A6CD8"/>
        </w:tc>
        <w:tc>
          <w:tcPr>
            <w:tcW w:w="2268" w:type="dxa"/>
            <w:vAlign w:val="center"/>
          </w:tcPr>
          <w:p w14:paraId="5D10CF16">
            <w:pPr>
              <w:pStyle w:val="13"/>
            </w:pPr>
            <w:r>
              <w:t>时效指标</w:t>
            </w:r>
          </w:p>
        </w:tc>
        <w:tc>
          <w:tcPr>
            <w:tcW w:w="2835" w:type="dxa"/>
            <w:vAlign w:val="center"/>
          </w:tcPr>
          <w:p w14:paraId="5240A34F">
            <w:pPr>
              <w:pStyle w:val="13"/>
            </w:pPr>
            <w:r>
              <w:t>预算执行率</w:t>
            </w:r>
          </w:p>
        </w:tc>
        <w:tc>
          <w:tcPr>
            <w:tcW w:w="5386" w:type="dxa"/>
            <w:vAlign w:val="center"/>
          </w:tcPr>
          <w:p w14:paraId="1BB75DA9">
            <w:pPr>
              <w:pStyle w:val="13"/>
            </w:pPr>
            <w:r>
              <w:t>预算执行率≥98%</w:t>
            </w:r>
          </w:p>
          <w:p w14:paraId="5D01836D">
            <w:pPr>
              <w:pStyle w:val="13"/>
            </w:pPr>
          </w:p>
        </w:tc>
        <w:tc>
          <w:tcPr>
            <w:tcW w:w="2268" w:type="dxa"/>
            <w:vAlign w:val="center"/>
          </w:tcPr>
          <w:p w14:paraId="261D63F0">
            <w:pPr>
              <w:pStyle w:val="13"/>
            </w:pPr>
            <w:r>
              <w:t>≥98%</w:t>
            </w:r>
          </w:p>
        </w:tc>
        <w:tc>
          <w:tcPr>
            <w:tcW w:w="1276" w:type="dxa"/>
            <w:vAlign w:val="center"/>
          </w:tcPr>
          <w:p w14:paraId="44DFB93B">
            <w:pPr>
              <w:pStyle w:val="13"/>
            </w:pPr>
            <w:r>
              <w:t>城乡义务教育公用经费管理办法</w:t>
            </w:r>
          </w:p>
        </w:tc>
      </w:tr>
      <w:tr w14:paraId="4264B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C9A76"/>
        </w:tc>
        <w:tc>
          <w:tcPr>
            <w:tcW w:w="2268" w:type="dxa"/>
            <w:vAlign w:val="center"/>
          </w:tcPr>
          <w:p w14:paraId="65C57F42">
            <w:pPr>
              <w:pStyle w:val="13"/>
            </w:pPr>
            <w:r>
              <w:t>成本指标</w:t>
            </w:r>
          </w:p>
        </w:tc>
        <w:tc>
          <w:tcPr>
            <w:tcW w:w="2835" w:type="dxa"/>
            <w:vAlign w:val="center"/>
          </w:tcPr>
          <w:p w14:paraId="5EAB6F77">
            <w:pPr>
              <w:pStyle w:val="13"/>
            </w:pPr>
            <w:r>
              <w:t>义教经费支付完成率</w:t>
            </w:r>
          </w:p>
        </w:tc>
        <w:tc>
          <w:tcPr>
            <w:tcW w:w="5386" w:type="dxa"/>
            <w:vAlign w:val="center"/>
          </w:tcPr>
          <w:p w14:paraId="6BFE35E0">
            <w:pPr>
              <w:pStyle w:val="13"/>
            </w:pPr>
            <w:r>
              <w:t>按照序时进度完成资金支付</w:t>
            </w:r>
          </w:p>
        </w:tc>
        <w:tc>
          <w:tcPr>
            <w:tcW w:w="2268" w:type="dxa"/>
            <w:vAlign w:val="center"/>
          </w:tcPr>
          <w:p w14:paraId="2E91110F">
            <w:pPr>
              <w:pStyle w:val="13"/>
            </w:pPr>
            <w:r>
              <w:t>≥100%</w:t>
            </w:r>
          </w:p>
        </w:tc>
        <w:tc>
          <w:tcPr>
            <w:tcW w:w="1276" w:type="dxa"/>
            <w:vAlign w:val="center"/>
          </w:tcPr>
          <w:p w14:paraId="4395A79D">
            <w:pPr>
              <w:pStyle w:val="13"/>
            </w:pPr>
            <w:r>
              <w:t>城乡义务教育公用经费管理办法</w:t>
            </w:r>
          </w:p>
        </w:tc>
      </w:tr>
      <w:tr w14:paraId="731D4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F7ECA4">
            <w:pPr>
              <w:pStyle w:val="12"/>
            </w:pPr>
            <w:r>
              <w:t>效益指标</w:t>
            </w:r>
          </w:p>
        </w:tc>
        <w:tc>
          <w:tcPr>
            <w:tcW w:w="2268" w:type="dxa"/>
            <w:vAlign w:val="center"/>
          </w:tcPr>
          <w:p w14:paraId="22FCC39B">
            <w:pPr>
              <w:pStyle w:val="13"/>
            </w:pPr>
            <w:r>
              <w:t>可持续影响指标</w:t>
            </w:r>
          </w:p>
        </w:tc>
        <w:tc>
          <w:tcPr>
            <w:tcW w:w="2835" w:type="dxa"/>
            <w:vAlign w:val="center"/>
          </w:tcPr>
          <w:p w14:paraId="4E5ED9BA">
            <w:pPr>
              <w:pStyle w:val="13"/>
            </w:pPr>
            <w:r>
              <w:t>学校运转得到提高</w:t>
            </w:r>
          </w:p>
        </w:tc>
        <w:tc>
          <w:tcPr>
            <w:tcW w:w="5386" w:type="dxa"/>
            <w:vAlign w:val="center"/>
          </w:tcPr>
          <w:p w14:paraId="3B9E8CBC">
            <w:pPr>
              <w:pStyle w:val="13"/>
            </w:pPr>
            <w:r>
              <w:t>学生受教育年限</w:t>
            </w:r>
          </w:p>
        </w:tc>
        <w:tc>
          <w:tcPr>
            <w:tcW w:w="2268" w:type="dxa"/>
            <w:vAlign w:val="center"/>
          </w:tcPr>
          <w:p w14:paraId="6E941CE3">
            <w:pPr>
              <w:pStyle w:val="13"/>
            </w:pPr>
            <w:r>
              <w:t>6年</w:t>
            </w:r>
          </w:p>
        </w:tc>
        <w:tc>
          <w:tcPr>
            <w:tcW w:w="1276" w:type="dxa"/>
            <w:vAlign w:val="center"/>
          </w:tcPr>
          <w:p w14:paraId="2B3C0317">
            <w:pPr>
              <w:pStyle w:val="13"/>
            </w:pPr>
            <w:r>
              <w:t>城乡义务教育公用经费管理办法</w:t>
            </w:r>
          </w:p>
        </w:tc>
      </w:tr>
      <w:tr w14:paraId="7A40C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F07CE7">
            <w:pPr>
              <w:pStyle w:val="12"/>
            </w:pPr>
            <w:r>
              <w:t>满意度指标</w:t>
            </w:r>
          </w:p>
        </w:tc>
        <w:tc>
          <w:tcPr>
            <w:tcW w:w="2268" w:type="dxa"/>
            <w:vAlign w:val="center"/>
          </w:tcPr>
          <w:p w14:paraId="3791EEAA">
            <w:pPr>
              <w:pStyle w:val="13"/>
            </w:pPr>
            <w:r>
              <w:t>服务对象满意度指标</w:t>
            </w:r>
          </w:p>
        </w:tc>
        <w:tc>
          <w:tcPr>
            <w:tcW w:w="2835" w:type="dxa"/>
            <w:vAlign w:val="center"/>
          </w:tcPr>
          <w:p w14:paraId="714A8DA7">
            <w:pPr>
              <w:pStyle w:val="13"/>
            </w:pPr>
            <w:r>
              <w:t>服务对象满意度</w:t>
            </w:r>
          </w:p>
        </w:tc>
        <w:tc>
          <w:tcPr>
            <w:tcW w:w="5386" w:type="dxa"/>
            <w:vAlign w:val="center"/>
          </w:tcPr>
          <w:p w14:paraId="67615F3A">
            <w:pPr>
              <w:pStyle w:val="13"/>
            </w:pPr>
            <w:r>
              <w:t>学校老师和学生满意度</w:t>
            </w:r>
          </w:p>
        </w:tc>
        <w:tc>
          <w:tcPr>
            <w:tcW w:w="2268" w:type="dxa"/>
            <w:vAlign w:val="center"/>
          </w:tcPr>
          <w:p w14:paraId="2BA91438">
            <w:pPr>
              <w:pStyle w:val="13"/>
            </w:pPr>
            <w:r>
              <w:t>≥95%</w:t>
            </w:r>
          </w:p>
        </w:tc>
        <w:tc>
          <w:tcPr>
            <w:tcW w:w="1276" w:type="dxa"/>
            <w:vAlign w:val="center"/>
          </w:tcPr>
          <w:p w14:paraId="12373A9D">
            <w:pPr>
              <w:pStyle w:val="13"/>
            </w:pPr>
            <w:r>
              <w:t>城乡义务教育公用经费管理办法</w:t>
            </w:r>
          </w:p>
        </w:tc>
      </w:tr>
    </w:tbl>
    <w:p w14:paraId="4423E926">
      <w:pPr>
        <w:sectPr>
          <w:pgSz w:w="16840" w:h="11900" w:orient="landscape"/>
          <w:pgMar w:top="1361" w:right="1020" w:bottom="1134" w:left="1020" w:header="720" w:footer="720" w:gutter="0"/>
          <w:cols w:space="720" w:num="1"/>
        </w:sectPr>
      </w:pPr>
    </w:p>
    <w:p w14:paraId="3EC2EEC1">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2、冀财教[2024]123号/中央/2025年义教补助经费/校舍安全保障/第五实验小学维修改造绩效目标表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D1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9F4BC">
            <w:pPr>
              <w:pStyle w:val="14"/>
            </w:pPr>
            <w:r>
              <w:t>单位：万元</w:t>
            </w:r>
          </w:p>
        </w:tc>
      </w:tr>
      <w:tr w14:paraId="28159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0C2CC0">
            <w:pPr>
              <w:pStyle w:val="11"/>
            </w:pPr>
            <w:r>
              <w:t>项目编码</w:t>
            </w:r>
          </w:p>
        </w:tc>
        <w:tc>
          <w:tcPr>
            <w:tcW w:w="5103" w:type="dxa"/>
            <w:gridSpan w:val="2"/>
            <w:vAlign w:val="center"/>
          </w:tcPr>
          <w:p w14:paraId="183F99D2">
            <w:pPr>
              <w:pStyle w:val="13"/>
            </w:pPr>
            <w:r>
              <w:t>13052525P008762100197</w:t>
            </w:r>
          </w:p>
        </w:tc>
        <w:tc>
          <w:tcPr>
            <w:tcW w:w="2835" w:type="dxa"/>
            <w:vAlign w:val="center"/>
          </w:tcPr>
          <w:p w14:paraId="338BB0E3">
            <w:pPr>
              <w:pStyle w:val="11"/>
            </w:pPr>
            <w:r>
              <w:t>项目名称</w:t>
            </w:r>
          </w:p>
        </w:tc>
        <w:tc>
          <w:tcPr>
            <w:tcW w:w="6095" w:type="dxa"/>
            <w:gridSpan w:val="3"/>
            <w:vAlign w:val="center"/>
          </w:tcPr>
          <w:p w14:paraId="23D37D36">
            <w:pPr>
              <w:pStyle w:val="13"/>
            </w:pPr>
            <w:r>
              <w:t>冀财教[2024]123号/中央/2025年义教补助经费/校舍安全保障/第五实验小学维修改造</w:t>
            </w:r>
          </w:p>
        </w:tc>
      </w:tr>
      <w:tr w14:paraId="76582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89793">
            <w:pPr>
              <w:pStyle w:val="11"/>
            </w:pPr>
            <w:r>
              <w:t>预算规模及资金用途</w:t>
            </w:r>
          </w:p>
        </w:tc>
        <w:tc>
          <w:tcPr>
            <w:tcW w:w="2268" w:type="dxa"/>
            <w:vAlign w:val="center"/>
          </w:tcPr>
          <w:p w14:paraId="113C6EFE">
            <w:pPr>
              <w:pStyle w:val="11"/>
            </w:pPr>
            <w:r>
              <w:t>预算数</w:t>
            </w:r>
          </w:p>
        </w:tc>
        <w:tc>
          <w:tcPr>
            <w:tcW w:w="2835" w:type="dxa"/>
            <w:vAlign w:val="center"/>
          </w:tcPr>
          <w:p w14:paraId="629E6B77">
            <w:pPr>
              <w:pStyle w:val="13"/>
            </w:pPr>
            <w:r>
              <w:t>32.25</w:t>
            </w:r>
          </w:p>
        </w:tc>
        <w:tc>
          <w:tcPr>
            <w:tcW w:w="2835" w:type="dxa"/>
            <w:vAlign w:val="center"/>
          </w:tcPr>
          <w:p w14:paraId="673F8487">
            <w:pPr>
              <w:pStyle w:val="11"/>
            </w:pPr>
            <w:r>
              <w:t>其中：财政    资金</w:t>
            </w:r>
          </w:p>
        </w:tc>
        <w:tc>
          <w:tcPr>
            <w:tcW w:w="2551" w:type="dxa"/>
            <w:vAlign w:val="center"/>
          </w:tcPr>
          <w:p w14:paraId="0AEF1869">
            <w:pPr>
              <w:pStyle w:val="13"/>
            </w:pPr>
            <w:r>
              <w:t>32.25</w:t>
            </w:r>
          </w:p>
        </w:tc>
        <w:tc>
          <w:tcPr>
            <w:tcW w:w="2268" w:type="dxa"/>
            <w:vAlign w:val="center"/>
          </w:tcPr>
          <w:p w14:paraId="2BFE7AA2">
            <w:pPr>
              <w:pStyle w:val="11"/>
            </w:pPr>
            <w:r>
              <w:t>其他资金</w:t>
            </w:r>
          </w:p>
        </w:tc>
        <w:tc>
          <w:tcPr>
            <w:tcW w:w="1276" w:type="dxa"/>
            <w:vAlign w:val="center"/>
          </w:tcPr>
          <w:p w14:paraId="013D858C">
            <w:pPr>
              <w:pStyle w:val="13"/>
            </w:pPr>
            <w:r>
              <w:t xml:space="preserve"> </w:t>
            </w:r>
          </w:p>
        </w:tc>
      </w:tr>
      <w:tr w14:paraId="4B2B0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892B4"/>
        </w:tc>
        <w:tc>
          <w:tcPr>
            <w:tcW w:w="14033" w:type="dxa"/>
            <w:gridSpan w:val="6"/>
            <w:vAlign w:val="center"/>
          </w:tcPr>
          <w:p w14:paraId="5B897628">
            <w:pPr>
              <w:pStyle w:val="13"/>
            </w:pPr>
            <w:r>
              <w:t>改善就学条件，提升学校形象，保障义务教育阶段教学安全，创造良好的校园环境。</w:t>
            </w:r>
          </w:p>
        </w:tc>
      </w:tr>
      <w:tr w14:paraId="3F32E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A250A">
            <w:pPr>
              <w:pStyle w:val="11"/>
            </w:pPr>
            <w:r>
              <w:t>资金支出计划（%）</w:t>
            </w:r>
          </w:p>
        </w:tc>
        <w:tc>
          <w:tcPr>
            <w:tcW w:w="5103" w:type="dxa"/>
            <w:gridSpan w:val="2"/>
            <w:vAlign w:val="center"/>
          </w:tcPr>
          <w:p w14:paraId="06662B35">
            <w:pPr>
              <w:pStyle w:val="11"/>
            </w:pPr>
            <w:r>
              <w:t>3月底</w:t>
            </w:r>
          </w:p>
        </w:tc>
        <w:tc>
          <w:tcPr>
            <w:tcW w:w="2835" w:type="dxa"/>
            <w:vAlign w:val="center"/>
          </w:tcPr>
          <w:p w14:paraId="3875CBCD">
            <w:pPr>
              <w:pStyle w:val="11"/>
            </w:pPr>
            <w:r>
              <w:t>6月底</w:t>
            </w:r>
          </w:p>
        </w:tc>
        <w:tc>
          <w:tcPr>
            <w:tcW w:w="2551" w:type="dxa"/>
            <w:vAlign w:val="center"/>
          </w:tcPr>
          <w:p w14:paraId="538B6989">
            <w:pPr>
              <w:pStyle w:val="11"/>
            </w:pPr>
            <w:r>
              <w:t>10月底</w:t>
            </w:r>
          </w:p>
        </w:tc>
        <w:tc>
          <w:tcPr>
            <w:tcW w:w="3544" w:type="dxa"/>
            <w:gridSpan w:val="2"/>
            <w:vAlign w:val="center"/>
          </w:tcPr>
          <w:p w14:paraId="6C3BC3E4">
            <w:pPr>
              <w:pStyle w:val="11"/>
            </w:pPr>
            <w:r>
              <w:t>12月底</w:t>
            </w:r>
          </w:p>
        </w:tc>
      </w:tr>
      <w:tr w14:paraId="6D282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AF13A0"/>
        </w:tc>
        <w:tc>
          <w:tcPr>
            <w:tcW w:w="5103" w:type="dxa"/>
            <w:gridSpan w:val="2"/>
            <w:vAlign w:val="center"/>
          </w:tcPr>
          <w:p w14:paraId="3B93424C">
            <w:pPr>
              <w:pStyle w:val="12"/>
            </w:pPr>
            <w:r>
              <w:t xml:space="preserve"> </w:t>
            </w:r>
          </w:p>
        </w:tc>
        <w:tc>
          <w:tcPr>
            <w:tcW w:w="2835" w:type="dxa"/>
            <w:vAlign w:val="center"/>
          </w:tcPr>
          <w:p w14:paraId="60369D43">
            <w:pPr>
              <w:pStyle w:val="12"/>
            </w:pPr>
            <w:r>
              <w:t xml:space="preserve"> </w:t>
            </w:r>
          </w:p>
        </w:tc>
        <w:tc>
          <w:tcPr>
            <w:tcW w:w="2551" w:type="dxa"/>
            <w:vAlign w:val="center"/>
          </w:tcPr>
          <w:p w14:paraId="7CFA569B">
            <w:pPr>
              <w:pStyle w:val="12"/>
            </w:pPr>
            <w:r>
              <w:t>100%</w:t>
            </w:r>
          </w:p>
        </w:tc>
        <w:tc>
          <w:tcPr>
            <w:tcW w:w="3544" w:type="dxa"/>
            <w:gridSpan w:val="2"/>
            <w:vAlign w:val="center"/>
          </w:tcPr>
          <w:p w14:paraId="44B67DF1">
            <w:pPr>
              <w:pStyle w:val="12"/>
            </w:pPr>
            <w:r>
              <w:t>100%</w:t>
            </w:r>
          </w:p>
        </w:tc>
      </w:tr>
      <w:tr w14:paraId="67552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52FA14">
            <w:pPr>
              <w:pStyle w:val="11"/>
            </w:pPr>
            <w:r>
              <w:t>绩效目标</w:t>
            </w:r>
          </w:p>
        </w:tc>
        <w:tc>
          <w:tcPr>
            <w:tcW w:w="14033" w:type="dxa"/>
            <w:gridSpan w:val="6"/>
            <w:vAlign w:val="center"/>
          </w:tcPr>
          <w:p w14:paraId="733C93E7">
            <w:pPr>
              <w:pStyle w:val="13"/>
            </w:pPr>
            <w:r>
              <w:t>1.按规定资金拨付，资金拨付率达到100%。</w:t>
            </w:r>
            <w:r>
              <w:tab/>
            </w:r>
            <w:r>
              <w:tab/>
            </w:r>
            <w:r>
              <w:tab/>
            </w:r>
            <w:r>
              <w:tab/>
            </w:r>
            <w:r>
              <w:tab/>
            </w:r>
            <w:r>
              <w:tab/>
            </w:r>
          </w:p>
          <w:p w14:paraId="09937D59">
            <w:pPr>
              <w:pStyle w:val="13"/>
            </w:pPr>
          </w:p>
          <w:p w14:paraId="5E2A41EF">
            <w:pPr>
              <w:pStyle w:val="13"/>
            </w:pPr>
            <w:r>
              <w:t>2.改善就学条件，提升学校形象，保障义务教育阶段教学安全，创造良好的校园环境。</w:t>
            </w:r>
            <w:r>
              <w:tab/>
            </w:r>
            <w:r>
              <w:tab/>
            </w:r>
            <w:r>
              <w:tab/>
            </w:r>
            <w:r>
              <w:tab/>
            </w:r>
            <w:r>
              <w:tab/>
            </w:r>
            <w:r>
              <w:tab/>
            </w:r>
          </w:p>
          <w:p w14:paraId="005A8EF3">
            <w:pPr>
              <w:pStyle w:val="13"/>
            </w:pPr>
          </w:p>
        </w:tc>
      </w:tr>
    </w:tbl>
    <w:p w14:paraId="1993C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CD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F42AD">
            <w:pPr>
              <w:pStyle w:val="11"/>
            </w:pPr>
            <w:r>
              <w:t>一级指标</w:t>
            </w:r>
          </w:p>
        </w:tc>
        <w:tc>
          <w:tcPr>
            <w:tcW w:w="2268" w:type="dxa"/>
            <w:vAlign w:val="center"/>
          </w:tcPr>
          <w:p w14:paraId="717C9FEB">
            <w:pPr>
              <w:pStyle w:val="11"/>
            </w:pPr>
            <w:r>
              <w:t>二级指标</w:t>
            </w:r>
          </w:p>
        </w:tc>
        <w:tc>
          <w:tcPr>
            <w:tcW w:w="2835" w:type="dxa"/>
            <w:vAlign w:val="center"/>
          </w:tcPr>
          <w:p w14:paraId="4B988815">
            <w:pPr>
              <w:pStyle w:val="11"/>
            </w:pPr>
            <w:r>
              <w:t>三级指标</w:t>
            </w:r>
          </w:p>
        </w:tc>
        <w:tc>
          <w:tcPr>
            <w:tcW w:w="5386" w:type="dxa"/>
            <w:vAlign w:val="center"/>
          </w:tcPr>
          <w:p w14:paraId="062D21FB">
            <w:pPr>
              <w:pStyle w:val="11"/>
            </w:pPr>
            <w:r>
              <w:t>绩效指标描述</w:t>
            </w:r>
          </w:p>
        </w:tc>
        <w:tc>
          <w:tcPr>
            <w:tcW w:w="2268" w:type="dxa"/>
            <w:vAlign w:val="center"/>
          </w:tcPr>
          <w:p w14:paraId="0DE99CB4">
            <w:pPr>
              <w:pStyle w:val="11"/>
            </w:pPr>
            <w:r>
              <w:t>指标值</w:t>
            </w:r>
          </w:p>
        </w:tc>
        <w:tc>
          <w:tcPr>
            <w:tcW w:w="1276" w:type="dxa"/>
            <w:vAlign w:val="center"/>
          </w:tcPr>
          <w:p w14:paraId="5A7781DA">
            <w:pPr>
              <w:pStyle w:val="11"/>
            </w:pPr>
            <w:r>
              <w:t>指标值确定依据</w:t>
            </w:r>
          </w:p>
        </w:tc>
      </w:tr>
      <w:tr w14:paraId="45663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8F396">
            <w:pPr>
              <w:pStyle w:val="12"/>
            </w:pPr>
            <w:r>
              <w:t>产出指标</w:t>
            </w:r>
          </w:p>
        </w:tc>
        <w:tc>
          <w:tcPr>
            <w:tcW w:w="2268" w:type="dxa"/>
            <w:vAlign w:val="center"/>
          </w:tcPr>
          <w:p w14:paraId="253F7401">
            <w:pPr>
              <w:pStyle w:val="13"/>
            </w:pPr>
            <w:r>
              <w:t>数量指标</w:t>
            </w:r>
          </w:p>
        </w:tc>
        <w:tc>
          <w:tcPr>
            <w:tcW w:w="2835" w:type="dxa"/>
            <w:vAlign w:val="center"/>
          </w:tcPr>
          <w:p w14:paraId="68E6BCE9">
            <w:pPr>
              <w:pStyle w:val="13"/>
            </w:pPr>
            <w:r>
              <w:t xml:space="preserve"> 第五实验小学专用教室改造及路面铺砖等</w:t>
            </w:r>
          </w:p>
        </w:tc>
        <w:tc>
          <w:tcPr>
            <w:tcW w:w="5386" w:type="dxa"/>
            <w:vAlign w:val="center"/>
          </w:tcPr>
          <w:p w14:paraId="653C5157">
            <w:pPr>
              <w:pStyle w:val="13"/>
            </w:pPr>
            <w:r>
              <w:t>专用教室改造，路面铺砖等</w:t>
            </w:r>
          </w:p>
        </w:tc>
        <w:tc>
          <w:tcPr>
            <w:tcW w:w="2268" w:type="dxa"/>
            <w:vAlign w:val="center"/>
          </w:tcPr>
          <w:p w14:paraId="3072B765">
            <w:pPr>
              <w:pStyle w:val="13"/>
            </w:pPr>
            <w:r>
              <w:t>1项</w:t>
            </w:r>
          </w:p>
        </w:tc>
        <w:tc>
          <w:tcPr>
            <w:tcW w:w="1276" w:type="dxa"/>
            <w:vAlign w:val="center"/>
          </w:tcPr>
          <w:p w14:paraId="00E6C5C6">
            <w:pPr>
              <w:pStyle w:val="13"/>
            </w:pPr>
            <w:r>
              <w:t>项目规划</w:t>
            </w:r>
          </w:p>
        </w:tc>
      </w:tr>
      <w:tr w14:paraId="40731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37817"/>
        </w:tc>
        <w:tc>
          <w:tcPr>
            <w:tcW w:w="2268" w:type="dxa"/>
            <w:vAlign w:val="center"/>
          </w:tcPr>
          <w:p w14:paraId="528A580D">
            <w:pPr>
              <w:pStyle w:val="13"/>
            </w:pPr>
            <w:r>
              <w:t>质量指标</w:t>
            </w:r>
          </w:p>
        </w:tc>
        <w:tc>
          <w:tcPr>
            <w:tcW w:w="2835" w:type="dxa"/>
            <w:vAlign w:val="center"/>
          </w:tcPr>
          <w:p w14:paraId="742D8EB9">
            <w:pPr>
              <w:pStyle w:val="13"/>
            </w:pPr>
            <w:r>
              <w:t>工程实施验收合格率</w:t>
            </w:r>
          </w:p>
        </w:tc>
        <w:tc>
          <w:tcPr>
            <w:tcW w:w="5386" w:type="dxa"/>
            <w:vAlign w:val="center"/>
          </w:tcPr>
          <w:p w14:paraId="25156440">
            <w:pPr>
              <w:pStyle w:val="13"/>
            </w:pPr>
            <w:r>
              <w:t>申报程序的合规，项目实施及资金使用符合项目规划</w:t>
            </w:r>
          </w:p>
        </w:tc>
        <w:tc>
          <w:tcPr>
            <w:tcW w:w="2268" w:type="dxa"/>
            <w:vAlign w:val="center"/>
          </w:tcPr>
          <w:p w14:paraId="6E7C5CF9">
            <w:pPr>
              <w:pStyle w:val="13"/>
            </w:pPr>
            <w:r>
              <w:t>100%</w:t>
            </w:r>
          </w:p>
        </w:tc>
        <w:tc>
          <w:tcPr>
            <w:tcW w:w="1276" w:type="dxa"/>
            <w:vAlign w:val="center"/>
          </w:tcPr>
          <w:p w14:paraId="5B8600B2">
            <w:pPr>
              <w:pStyle w:val="13"/>
            </w:pPr>
            <w:r>
              <w:t>项目规划</w:t>
            </w:r>
          </w:p>
        </w:tc>
      </w:tr>
      <w:tr w14:paraId="2B062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8F93B"/>
        </w:tc>
        <w:tc>
          <w:tcPr>
            <w:tcW w:w="2268" w:type="dxa"/>
            <w:vAlign w:val="center"/>
          </w:tcPr>
          <w:p w14:paraId="31C28ADB">
            <w:pPr>
              <w:pStyle w:val="13"/>
            </w:pPr>
            <w:r>
              <w:t>时效指标</w:t>
            </w:r>
          </w:p>
        </w:tc>
        <w:tc>
          <w:tcPr>
            <w:tcW w:w="2835" w:type="dxa"/>
            <w:vAlign w:val="center"/>
          </w:tcPr>
          <w:p w14:paraId="783F17E3">
            <w:pPr>
              <w:pStyle w:val="13"/>
            </w:pPr>
            <w:r>
              <w:t>资金支付率</w:t>
            </w:r>
          </w:p>
        </w:tc>
        <w:tc>
          <w:tcPr>
            <w:tcW w:w="5386" w:type="dxa"/>
            <w:vAlign w:val="center"/>
          </w:tcPr>
          <w:p w14:paraId="5BFB023E">
            <w:pPr>
              <w:pStyle w:val="13"/>
            </w:pPr>
            <w:r>
              <w:t>按照序时进度完成资金支付</w:t>
            </w:r>
          </w:p>
        </w:tc>
        <w:tc>
          <w:tcPr>
            <w:tcW w:w="2268" w:type="dxa"/>
            <w:vAlign w:val="center"/>
          </w:tcPr>
          <w:p w14:paraId="1321885C">
            <w:pPr>
              <w:pStyle w:val="13"/>
            </w:pPr>
            <w:r>
              <w:t>100%</w:t>
            </w:r>
          </w:p>
        </w:tc>
        <w:tc>
          <w:tcPr>
            <w:tcW w:w="1276" w:type="dxa"/>
            <w:vAlign w:val="center"/>
          </w:tcPr>
          <w:p w14:paraId="1CC15B0D">
            <w:pPr>
              <w:pStyle w:val="13"/>
            </w:pPr>
            <w:r>
              <w:t>项目规划</w:t>
            </w:r>
          </w:p>
        </w:tc>
      </w:tr>
      <w:tr w14:paraId="37C98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9D468"/>
        </w:tc>
        <w:tc>
          <w:tcPr>
            <w:tcW w:w="2268" w:type="dxa"/>
            <w:vAlign w:val="center"/>
          </w:tcPr>
          <w:p w14:paraId="5C831171">
            <w:pPr>
              <w:pStyle w:val="13"/>
            </w:pPr>
            <w:r>
              <w:t>成本指标</w:t>
            </w:r>
          </w:p>
        </w:tc>
        <w:tc>
          <w:tcPr>
            <w:tcW w:w="2835" w:type="dxa"/>
            <w:vAlign w:val="center"/>
          </w:tcPr>
          <w:p w14:paraId="69D12272">
            <w:pPr>
              <w:pStyle w:val="13"/>
            </w:pPr>
            <w:r>
              <w:t>项目成本控制情况</w:t>
            </w:r>
          </w:p>
        </w:tc>
        <w:tc>
          <w:tcPr>
            <w:tcW w:w="5386" w:type="dxa"/>
            <w:vAlign w:val="center"/>
          </w:tcPr>
          <w:p w14:paraId="2E1546AB">
            <w:pPr>
              <w:pStyle w:val="13"/>
            </w:pPr>
            <w:r>
              <w:t>严格按照招标价格及审计额进行</w:t>
            </w:r>
          </w:p>
        </w:tc>
        <w:tc>
          <w:tcPr>
            <w:tcW w:w="2268" w:type="dxa"/>
            <w:vAlign w:val="center"/>
          </w:tcPr>
          <w:p w14:paraId="21CD48C6">
            <w:pPr>
              <w:pStyle w:val="13"/>
            </w:pPr>
            <w:r>
              <w:t>≥32.25万元</w:t>
            </w:r>
          </w:p>
        </w:tc>
        <w:tc>
          <w:tcPr>
            <w:tcW w:w="1276" w:type="dxa"/>
            <w:vAlign w:val="center"/>
          </w:tcPr>
          <w:p w14:paraId="4FF9E874">
            <w:pPr>
              <w:pStyle w:val="13"/>
            </w:pPr>
            <w:r>
              <w:t>项目规划</w:t>
            </w:r>
          </w:p>
        </w:tc>
      </w:tr>
      <w:tr w14:paraId="7B06A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40B31">
            <w:pPr>
              <w:pStyle w:val="12"/>
            </w:pPr>
            <w:r>
              <w:t>效益指标</w:t>
            </w:r>
          </w:p>
        </w:tc>
        <w:tc>
          <w:tcPr>
            <w:tcW w:w="2268" w:type="dxa"/>
            <w:vAlign w:val="center"/>
          </w:tcPr>
          <w:p w14:paraId="2AC126B7">
            <w:pPr>
              <w:pStyle w:val="13"/>
            </w:pPr>
            <w:r>
              <w:t>可持续影响指标</w:t>
            </w:r>
          </w:p>
        </w:tc>
        <w:tc>
          <w:tcPr>
            <w:tcW w:w="2835" w:type="dxa"/>
            <w:vAlign w:val="center"/>
          </w:tcPr>
          <w:p w14:paraId="556C2631">
            <w:pPr>
              <w:pStyle w:val="13"/>
            </w:pPr>
            <w:r>
              <w:t>学校运转得到提高</w:t>
            </w:r>
          </w:p>
        </w:tc>
        <w:tc>
          <w:tcPr>
            <w:tcW w:w="5386" w:type="dxa"/>
            <w:vAlign w:val="center"/>
          </w:tcPr>
          <w:p w14:paraId="7FC9E3CB">
            <w:pPr>
              <w:pStyle w:val="13"/>
            </w:pPr>
            <w:r>
              <w:t>学生受教育年限</w:t>
            </w:r>
          </w:p>
        </w:tc>
        <w:tc>
          <w:tcPr>
            <w:tcW w:w="2268" w:type="dxa"/>
            <w:vAlign w:val="center"/>
          </w:tcPr>
          <w:p w14:paraId="16750B91">
            <w:pPr>
              <w:pStyle w:val="13"/>
            </w:pPr>
            <w:r>
              <w:t>6年</w:t>
            </w:r>
          </w:p>
        </w:tc>
        <w:tc>
          <w:tcPr>
            <w:tcW w:w="1276" w:type="dxa"/>
            <w:vAlign w:val="center"/>
          </w:tcPr>
          <w:p w14:paraId="5508301F">
            <w:pPr>
              <w:pStyle w:val="13"/>
            </w:pPr>
            <w:r>
              <w:t>项目规划</w:t>
            </w:r>
          </w:p>
        </w:tc>
      </w:tr>
      <w:tr w14:paraId="3F5BA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05D95F">
            <w:pPr>
              <w:pStyle w:val="12"/>
            </w:pPr>
            <w:r>
              <w:t>满意度指标</w:t>
            </w:r>
          </w:p>
        </w:tc>
        <w:tc>
          <w:tcPr>
            <w:tcW w:w="2268" w:type="dxa"/>
            <w:vAlign w:val="center"/>
          </w:tcPr>
          <w:p w14:paraId="72603CBD">
            <w:pPr>
              <w:pStyle w:val="13"/>
            </w:pPr>
            <w:r>
              <w:t>服务对象满意度指标</w:t>
            </w:r>
          </w:p>
        </w:tc>
        <w:tc>
          <w:tcPr>
            <w:tcW w:w="2835" w:type="dxa"/>
            <w:vAlign w:val="center"/>
          </w:tcPr>
          <w:p w14:paraId="365D0F97">
            <w:pPr>
              <w:pStyle w:val="13"/>
            </w:pPr>
            <w:r>
              <w:t>受益学生家长及调查满意度</w:t>
            </w:r>
          </w:p>
        </w:tc>
        <w:tc>
          <w:tcPr>
            <w:tcW w:w="5386" w:type="dxa"/>
            <w:vAlign w:val="center"/>
          </w:tcPr>
          <w:p w14:paraId="72D02689">
            <w:pPr>
              <w:pStyle w:val="13"/>
            </w:pPr>
            <w:r>
              <w:t>学生、教师及家长对学校教学环境满意度情况</w:t>
            </w:r>
          </w:p>
        </w:tc>
        <w:tc>
          <w:tcPr>
            <w:tcW w:w="2268" w:type="dxa"/>
            <w:vAlign w:val="center"/>
          </w:tcPr>
          <w:p w14:paraId="6A55E317">
            <w:pPr>
              <w:pStyle w:val="13"/>
            </w:pPr>
            <w:r>
              <w:t>≥95%</w:t>
            </w:r>
          </w:p>
        </w:tc>
        <w:tc>
          <w:tcPr>
            <w:tcW w:w="1276" w:type="dxa"/>
            <w:vAlign w:val="center"/>
          </w:tcPr>
          <w:p w14:paraId="0A1415EB">
            <w:pPr>
              <w:pStyle w:val="13"/>
            </w:pPr>
            <w:r>
              <w:t>项目规划</w:t>
            </w:r>
          </w:p>
        </w:tc>
      </w:tr>
    </w:tbl>
    <w:p w14:paraId="2366EAD8">
      <w:pPr>
        <w:sectPr>
          <w:pgSz w:w="16840" w:h="11900" w:orient="landscape"/>
          <w:pgMar w:top="1361" w:right="1020" w:bottom="1134" w:left="1020" w:header="720" w:footer="720" w:gutter="0"/>
          <w:cols w:space="720" w:num="1"/>
        </w:sectPr>
      </w:pPr>
    </w:p>
    <w:p w14:paraId="7A8F534D">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3、冀财教[2024]123号/中央/2025年义教补助经费/综合奖补/第五实验小学公用经费绩效目标表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9C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5E1C6">
            <w:pPr>
              <w:pStyle w:val="14"/>
            </w:pPr>
            <w:r>
              <w:t>单位：万元</w:t>
            </w:r>
          </w:p>
        </w:tc>
      </w:tr>
      <w:tr w14:paraId="2DF74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ED2CCC">
            <w:pPr>
              <w:pStyle w:val="11"/>
            </w:pPr>
            <w:r>
              <w:t>项目编码</w:t>
            </w:r>
          </w:p>
        </w:tc>
        <w:tc>
          <w:tcPr>
            <w:tcW w:w="5103" w:type="dxa"/>
            <w:gridSpan w:val="2"/>
            <w:vAlign w:val="center"/>
          </w:tcPr>
          <w:p w14:paraId="17E2C8C2">
            <w:pPr>
              <w:pStyle w:val="13"/>
            </w:pPr>
            <w:r>
              <w:t>13052525P00875610276M</w:t>
            </w:r>
          </w:p>
        </w:tc>
        <w:tc>
          <w:tcPr>
            <w:tcW w:w="2835" w:type="dxa"/>
            <w:vAlign w:val="center"/>
          </w:tcPr>
          <w:p w14:paraId="48FA574E">
            <w:pPr>
              <w:pStyle w:val="11"/>
            </w:pPr>
            <w:r>
              <w:t>项目名称</w:t>
            </w:r>
          </w:p>
        </w:tc>
        <w:tc>
          <w:tcPr>
            <w:tcW w:w="6095" w:type="dxa"/>
            <w:gridSpan w:val="3"/>
            <w:vAlign w:val="center"/>
          </w:tcPr>
          <w:p w14:paraId="18A5286C">
            <w:pPr>
              <w:pStyle w:val="13"/>
            </w:pPr>
            <w:r>
              <w:t>冀财教[2024]123号/中央/2025年义教补助经费/综合奖补/第五实验小学公用经费</w:t>
            </w:r>
          </w:p>
        </w:tc>
      </w:tr>
      <w:tr w14:paraId="6C3C5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EF97D">
            <w:pPr>
              <w:pStyle w:val="11"/>
            </w:pPr>
            <w:r>
              <w:t>预算规模及资金用途</w:t>
            </w:r>
          </w:p>
        </w:tc>
        <w:tc>
          <w:tcPr>
            <w:tcW w:w="2268" w:type="dxa"/>
            <w:vAlign w:val="center"/>
          </w:tcPr>
          <w:p w14:paraId="2960E8D9">
            <w:pPr>
              <w:pStyle w:val="11"/>
            </w:pPr>
            <w:r>
              <w:t>预算数</w:t>
            </w:r>
          </w:p>
        </w:tc>
        <w:tc>
          <w:tcPr>
            <w:tcW w:w="2835" w:type="dxa"/>
            <w:vAlign w:val="center"/>
          </w:tcPr>
          <w:p w14:paraId="30CB8435">
            <w:pPr>
              <w:pStyle w:val="13"/>
            </w:pPr>
            <w:r>
              <w:t>2.23</w:t>
            </w:r>
          </w:p>
        </w:tc>
        <w:tc>
          <w:tcPr>
            <w:tcW w:w="2835" w:type="dxa"/>
            <w:vAlign w:val="center"/>
          </w:tcPr>
          <w:p w14:paraId="414F09F1">
            <w:pPr>
              <w:pStyle w:val="11"/>
            </w:pPr>
            <w:r>
              <w:t>其中：财政    资金</w:t>
            </w:r>
          </w:p>
        </w:tc>
        <w:tc>
          <w:tcPr>
            <w:tcW w:w="2551" w:type="dxa"/>
            <w:vAlign w:val="center"/>
          </w:tcPr>
          <w:p w14:paraId="1E639AA2">
            <w:pPr>
              <w:pStyle w:val="13"/>
            </w:pPr>
            <w:r>
              <w:t>2.23</w:t>
            </w:r>
          </w:p>
        </w:tc>
        <w:tc>
          <w:tcPr>
            <w:tcW w:w="2268" w:type="dxa"/>
            <w:vAlign w:val="center"/>
          </w:tcPr>
          <w:p w14:paraId="01410AFA">
            <w:pPr>
              <w:pStyle w:val="11"/>
            </w:pPr>
            <w:r>
              <w:t>其他资金</w:t>
            </w:r>
          </w:p>
        </w:tc>
        <w:tc>
          <w:tcPr>
            <w:tcW w:w="1276" w:type="dxa"/>
            <w:vAlign w:val="center"/>
          </w:tcPr>
          <w:p w14:paraId="5D476B21">
            <w:pPr>
              <w:pStyle w:val="13"/>
            </w:pPr>
            <w:r>
              <w:t xml:space="preserve"> </w:t>
            </w:r>
          </w:p>
        </w:tc>
      </w:tr>
      <w:tr w14:paraId="69449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A0361"/>
        </w:tc>
        <w:tc>
          <w:tcPr>
            <w:tcW w:w="14033" w:type="dxa"/>
            <w:gridSpan w:val="6"/>
            <w:vAlign w:val="center"/>
          </w:tcPr>
          <w:p w14:paraId="4787A221">
            <w:pPr>
              <w:pStyle w:val="13"/>
            </w:pPr>
            <w:r>
              <w:t>有效完成学校教学安全秩序，保障学校教学任务有效开展，满足学校正常教学需要。</w:t>
            </w:r>
          </w:p>
        </w:tc>
      </w:tr>
      <w:tr w14:paraId="78815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592BB">
            <w:pPr>
              <w:pStyle w:val="11"/>
            </w:pPr>
            <w:r>
              <w:t>资金支出计划（%）</w:t>
            </w:r>
          </w:p>
        </w:tc>
        <w:tc>
          <w:tcPr>
            <w:tcW w:w="5103" w:type="dxa"/>
            <w:gridSpan w:val="2"/>
            <w:vAlign w:val="center"/>
          </w:tcPr>
          <w:p w14:paraId="05423CD3">
            <w:pPr>
              <w:pStyle w:val="11"/>
            </w:pPr>
            <w:r>
              <w:t>3月底</w:t>
            </w:r>
          </w:p>
        </w:tc>
        <w:tc>
          <w:tcPr>
            <w:tcW w:w="2835" w:type="dxa"/>
            <w:vAlign w:val="center"/>
          </w:tcPr>
          <w:p w14:paraId="372600CA">
            <w:pPr>
              <w:pStyle w:val="11"/>
            </w:pPr>
            <w:r>
              <w:t>6月底</w:t>
            </w:r>
          </w:p>
        </w:tc>
        <w:tc>
          <w:tcPr>
            <w:tcW w:w="2551" w:type="dxa"/>
            <w:vAlign w:val="center"/>
          </w:tcPr>
          <w:p w14:paraId="323A11F3">
            <w:pPr>
              <w:pStyle w:val="11"/>
            </w:pPr>
            <w:r>
              <w:t>10月底</w:t>
            </w:r>
          </w:p>
        </w:tc>
        <w:tc>
          <w:tcPr>
            <w:tcW w:w="3544" w:type="dxa"/>
            <w:gridSpan w:val="2"/>
            <w:vAlign w:val="center"/>
          </w:tcPr>
          <w:p w14:paraId="4E255FA5">
            <w:pPr>
              <w:pStyle w:val="11"/>
            </w:pPr>
            <w:r>
              <w:t>12月底</w:t>
            </w:r>
          </w:p>
        </w:tc>
      </w:tr>
      <w:tr w14:paraId="6134B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9CA69E"/>
        </w:tc>
        <w:tc>
          <w:tcPr>
            <w:tcW w:w="5103" w:type="dxa"/>
            <w:gridSpan w:val="2"/>
            <w:vAlign w:val="center"/>
          </w:tcPr>
          <w:p w14:paraId="76345797">
            <w:pPr>
              <w:pStyle w:val="12"/>
            </w:pPr>
            <w:r>
              <w:t>25%</w:t>
            </w:r>
          </w:p>
        </w:tc>
        <w:tc>
          <w:tcPr>
            <w:tcW w:w="2835" w:type="dxa"/>
            <w:vAlign w:val="center"/>
          </w:tcPr>
          <w:p w14:paraId="08F4FD17">
            <w:pPr>
              <w:pStyle w:val="12"/>
            </w:pPr>
            <w:r>
              <w:t>50%</w:t>
            </w:r>
          </w:p>
        </w:tc>
        <w:tc>
          <w:tcPr>
            <w:tcW w:w="2551" w:type="dxa"/>
            <w:vAlign w:val="center"/>
          </w:tcPr>
          <w:p w14:paraId="0EA92DF2">
            <w:pPr>
              <w:pStyle w:val="12"/>
            </w:pPr>
            <w:r>
              <w:t>75%</w:t>
            </w:r>
          </w:p>
        </w:tc>
        <w:tc>
          <w:tcPr>
            <w:tcW w:w="3544" w:type="dxa"/>
            <w:gridSpan w:val="2"/>
            <w:vAlign w:val="center"/>
          </w:tcPr>
          <w:p w14:paraId="47AA2987">
            <w:pPr>
              <w:pStyle w:val="12"/>
            </w:pPr>
            <w:r>
              <w:t>100%</w:t>
            </w:r>
          </w:p>
        </w:tc>
      </w:tr>
      <w:tr w14:paraId="6C455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18FB86">
            <w:pPr>
              <w:pStyle w:val="11"/>
            </w:pPr>
            <w:r>
              <w:t>绩效目标</w:t>
            </w:r>
          </w:p>
        </w:tc>
        <w:tc>
          <w:tcPr>
            <w:tcW w:w="14033" w:type="dxa"/>
            <w:gridSpan w:val="6"/>
            <w:vAlign w:val="center"/>
          </w:tcPr>
          <w:p w14:paraId="3F8F670E">
            <w:pPr>
              <w:pStyle w:val="13"/>
            </w:pPr>
            <w:r>
              <w:t>1.有效完成学校教学安全秩序，保障学校教学任务有效开展，满足学校正常教学需要。</w:t>
            </w:r>
          </w:p>
          <w:p w14:paraId="00200747">
            <w:pPr>
              <w:pStyle w:val="13"/>
            </w:pPr>
            <w:r>
              <w:t>2.按规定拨付公用经费资金，预算执行率≥98%。</w:t>
            </w:r>
            <w:r>
              <w:tab/>
            </w:r>
            <w:r>
              <w:tab/>
            </w:r>
            <w:r>
              <w:tab/>
            </w:r>
            <w:r>
              <w:tab/>
            </w:r>
            <w:r>
              <w:tab/>
            </w:r>
            <w:r>
              <w:tab/>
            </w:r>
          </w:p>
          <w:p w14:paraId="78ED933C">
            <w:pPr>
              <w:pStyle w:val="13"/>
            </w:pPr>
            <w:r>
              <w:tab/>
            </w:r>
            <w:r>
              <w:tab/>
            </w:r>
            <w:r>
              <w:tab/>
            </w:r>
            <w:r>
              <w:tab/>
            </w:r>
            <w:r>
              <w:tab/>
            </w:r>
            <w:r>
              <w:tab/>
            </w:r>
          </w:p>
          <w:p w14:paraId="32374CD7">
            <w:pPr>
              <w:pStyle w:val="13"/>
            </w:pPr>
          </w:p>
          <w:p w14:paraId="526DFAD7">
            <w:pPr>
              <w:pStyle w:val="13"/>
            </w:pPr>
          </w:p>
        </w:tc>
      </w:tr>
    </w:tbl>
    <w:p w14:paraId="273D57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5A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0A4CC">
            <w:pPr>
              <w:pStyle w:val="11"/>
            </w:pPr>
            <w:r>
              <w:t>一级指标</w:t>
            </w:r>
          </w:p>
        </w:tc>
        <w:tc>
          <w:tcPr>
            <w:tcW w:w="2268" w:type="dxa"/>
            <w:vAlign w:val="center"/>
          </w:tcPr>
          <w:p w14:paraId="352B2EC8">
            <w:pPr>
              <w:pStyle w:val="11"/>
            </w:pPr>
            <w:r>
              <w:t>二级指标</w:t>
            </w:r>
          </w:p>
        </w:tc>
        <w:tc>
          <w:tcPr>
            <w:tcW w:w="2835" w:type="dxa"/>
            <w:vAlign w:val="center"/>
          </w:tcPr>
          <w:p w14:paraId="56BA144B">
            <w:pPr>
              <w:pStyle w:val="11"/>
            </w:pPr>
            <w:r>
              <w:t>三级指标</w:t>
            </w:r>
          </w:p>
        </w:tc>
        <w:tc>
          <w:tcPr>
            <w:tcW w:w="5386" w:type="dxa"/>
            <w:vAlign w:val="center"/>
          </w:tcPr>
          <w:p w14:paraId="235E0308">
            <w:pPr>
              <w:pStyle w:val="11"/>
            </w:pPr>
            <w:r>
              <w:t>绩效指标描述</w:t>
            </w:r>
          </w:p>
        </w:tc>
        <w:tc>
          <w:tcPr>
            <w:tcW w:w="2268" w:type="dxa"/>
            <w:vAlign w:val="center"/>
          </w:tcPr>
          <w:p w14:paraId="52EE837A">
            <w:pPr>
              <w:pStyle w:val="11"/>
            </w:pPr>
            <w:r>
              <w:t>指标值</w:t>
            </w:r>
          </w:p>
        </w:tc>
        <w:tc>
          <w:tcPr>
            <w:tcW w:w="1276" w:type="dxa"/>
            <w:vAlign w:val="center"/>
          </w:tcPr>
          <w:p w14:paraId="4A31015A">
            <w:pPr>
              <w:pStyle w:val="11"/>
            </w:pPr>
            <w:r>
              <w:t>指标值确定依据</w:t>
            </w:r>
          </w:p>
        </w:tc>
      </w:tr>
      <w:tr w14:paraId="53E2B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A959B">
            <w:pPr>
              <w:pStyle w:val="12"/>
            </w:pPr>
            <w:r>
              <w:t>产出指标</w:t>
            </w:r>
          </w:p>
        </w:tc>
        <w:tc>
          <w:tcPr>
            <w:tcW w:w="2268" w:type="dxa"/>
            <w:vAlign w:val="center"/>
          </w:tcPr>
          <w:p w14:paraId="4007AEDD">
            <w:pPr>
              <w:pStyle w:val="13"/>
            </w:pPr>
            <w:r>
              <w:t>数量指标</w:t>
            </w:r>
          </w:p>
        </w:tc>
        <w:tc>
          <w:tcPr>
            <w:tcW w:w="2835" w:type="dxa"/>
            <w:vAlign w:val="center"/>
          </w:tcPr>
          <w:p w14:paraId="37BB2896">
            <w:pPr>
              <w:pStyle w:val="13"/>
            </w:pPr>
            <w:r>
              <w:t>就读学生数</w:t>
            </w:r>
          </w:p>
        </w:tc>
        <w:tc>
          <w:tcPr>
            <w:tcW w:w="5386" w:type="dxa"/>
            <w:vAlign w:val="center"/>
          </w:tcPr>
          <w:p w14:paraId="545BF807">
            <w:pPr>
              <w:pStyle w:val="13"/>
            </w:pPr>
            <w:r>
              <w:t>辐射区域内适龄学生人数</w:t>
            </w:r>
          </w:p>
        </w:tc>
        <w:tc>
          <w:tcPr>
            <w:tcW w:w="2268" w:type="dxa"/>
            <w:vAlign w:val="center"/>
          </w:tcPr>
          <w:p w14:paraId="48C36F31">
            <w:pPr>
              <w:pStyle w:val="13"/>
            </w:pPr>
            <w:r>
              <w:t>2433人</w:t>
            </w:r>
          </w:p>
        </w:tc>
        <w:tc>
          <w:tcPr>
            <w:tcW w:w="1276" w:type="dxa"/>
            <w:vAlign w:val="center"/>
          </w:tcPr>
          <w:p w14:paraId="150F019F">
            <w:pPr>
              <w:pStyle w:val="13"/>
            </w:pPr>
            <w:r>
              <w:t>城乡义务教育公用经费管理办法</w:t>
            </w:r>
          </w:p>
        </w:tc>
      </w:tr>
      <w:tr w14:paraId="690AE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DBB88"/>
        </w:tc>
        <w:tc>
          <w:tcPr>
            <w:tcW w:w="2268" w:type="dxa"/>
            <w:vAlign w:val="center"/>
          </w:tcPr>
          <w:p w14:paraId="2FF0EA9A">
            <w:pPr>
              <w:pStyle w:val="13"/>
            </w:pPr>
            <w:r>
              <w:t>质量指标</w:t>
            </w:r>
          </w:p>
        </w:tc>
        <w:tc>
          <w:tcPr>
            <w:tcW w:w="2835" w:type="dxa"/>
            <w:vAlign w:val="center"/>
          </w:tcPr>
          <w:p w14:paraId="5737A5C1">
            <w:pPr>
              <w:pStyle w:val="13"/>
            </w:pPr>
            <w:r>
              <w:t>预算执行率</w:t>
            </w:r>
          </w:p>
        </w:tc>
        <w:tc>
          <w:tcPr>
            <w:tcW w:w="5386" w:type="dxa"/>
            <w:vAlign w:val="center"/>
          </w:tcPr>
          <w:p w14:paraId="547DC772">
            <w:pPr>
              <w:pStyle w:val="13"/>
            </w:pPr>
            <w:r>
              <w:t>预算执行率</w:t>
            </w:r>
          </w:p>
        </w:tc>
        <w:tc>
          <w:tcPr>
            <w:tcW w:w="2268" w:type="dxa"/>
            <w:vAlign w:val="center"/>
          </w:tcPr>
          <w:p w14:paraId="2976621F">
            <w:pPr>
              <w:pStyle w:val="13"/>
            </w:pPr>
            <w:r>
              <w:t>≥98%</w:t>
            </w:r>
          </w:p>
        </w:tc>
        <w:tc>
          <w:tcPr>
            <w:tcW w:w="1276" w:type="dxa"/>
            <w:vAlign w:val="center"/>
          </w:tcPr>
          <w:p w14:paraId="4E77AEF6">
            <w:pPr>
              <w:pStyle w:val="13"/>
            </w:pPr>
            <w:r>
              <w:t>城乡义务教育公用经费管理办法</w:t>
            </w:r>
          </w:p>
        </w:tc>
      </w:tr>
      <w:tr w14:paraId="345AE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636EA"/>
        </w:tc>
        <w:tc>
          <w:tcPr>
            <w:tcW w:w="2268" w:type="dxa"/>
            <w:vAlign w:val="center"/>
          </w:tcPr>
          <w:p w14:paraId="1D91493F">
            <w:pPr>
              <w:pStyle w:val="13"/>
            </w:pPr>
            <w:r>
              <w:t>时效指标</w:t>
            </w:r>
          </w:p>
        </w:tc>
        <w:tc>
          <w:tcPr>
            <w:tcW w:w="2835" w:type="dxa"/>
            <w:vAlign w:val="center"/>
          </w:tcPr>
          <w:p w14:paraId="385A8F24">
            <w:pPr>
              <w:pStyle w:val="13"/>
            </w:pPr>
            <w:r>
              <w:t>义教经费支付完成率</w:t>
            </w:r>
          </w:p>
        </w:tc>
        <w:tc>
          <w:tcPr>
            <w:tcW w:w="5386" w:type="dxa"/>
            <w:vAlign w:val="center"/>
          </w:tcPr>
          <w:p w14:paraId="05243E69">
            <w:pPr>
              <w:pStyle w:val="13"/>
            </w:pPr>
            <w:r>
              <w:t>按照序时进度完成资金支付</w:t>
            </w:r>
          </w:p>
        </w:tc>
        <w:tc>
          <w:tcPr>
            <w:tcW w:w="2268" w:type="dxa"/>
            <w:vAlign w:val="center"/>
          </w:tcPr>
          <w:p w14:paraId="63F3D5AA">
            <w:pPr>
              <w:pStyle w:val="13"/>
            </w:pPr>
            <w:r>
              <w:t>≥100%</w:t>
            </w:r>
          </w:p>
        </w:tc>
        <w:tc>
          <w:tcPr>
            <w:tcW w:w="1276" w:type="dxa"/>
            <w:vAlign w:val="center"/>
          </w:tcPr>
          <w:p w14:paraId="418D233E">
            <w:pPr>
              <w:pStyle w:val="13"/>
            </w:pPr>
            <w:r>
              <w:t>城乡义务教育公用经费管理办法</w:t>
            </w:r>
          </w:p>
        </w:tc>
      </w:tr>
      <w:tr w14:paraId="0A6B8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DF2E"/>
        </w:tc>
        <w:tc>
          <w:tcPr>
            <w:tcW w:w="2268" w:type="dxa"/>
            <w:vAlign w:val="center"/>
          </w:tcPr>
          <w:p w14:paraId="53C749D9">
            <w:pPr>
              <w:pStyle w:val="13"/>
            </w:pPr>
            <w:r>
              <w:t>成本指标</w:t>
            </w:r>
          </w:p>
        </w:tc>
        <w:tc>
          <w:tcPr>
            <w:tcW w:w="2835" w:type="dxa"/>
            <w:vAlign w:val="center"/>
          </w:tcPr>
          <w:p w14:paraId="319364C4">
            <w:pPr>
              <w:pStyle w:val="13"/>
            </w:pPr>
            <w:r>
              <w:t>生均拨款标准</w:t>
            </w:r>
          </w:p>
        </w:tc>
        <w:tc>
          <w:tcPr>
            <w:tcW w:w="5386" w:type="dxa"/>
            <w:vAlign w:val="center"/>
          </w:tcPr>
          <w:p w14:paraId="27243916">
            <w:pPr>
              <w:pStyle w:val="13"/>
            </w:pPr>
            <w:r>
              <w:t>小学：（基本标准720元、寄宿生300元、生活补助120元）/生/学年；特教、随班就读学生：标准7000元/生/学年</w:t>
            </w:r>
          </w:p>
        </w:tc>
        <w:tc>
          <w:tcPr>
            <w:tcW w:w="2268" w:type="dxa"/>
            <w:vAlign w:val="center"/>
          </w:tcPr>
          <w:p w14:paraId="38F82F80">
            <w:pPr>
              <w:pStyle w:val="13"/>
            </w:pPr>
            <w:r>
              <w:t>≥840元</w:t>
            </w:r>
          </w:p>
        </w:tc>
        <w:tc>
          <w:tcPr>
            <w:tcW w:w="1276" w:type="dxa"/>
            <w:vAlign w:val="center"/>
          </w:tcPr>
          <w:p w14:paraId="08E1CCA1">
            <w:pPr>
              <w:pStyle w:val="13"/>
            </w:pPr>
            <w:r>
              <w:t>城乡义务教育公用经费管理办法</w:t>
            </w:r>
          </w:p>
        </w:tc>
      </w:tr>
      <w:tr w14:paraId="32C93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4C44D3">
            <w:pPr>
              <w:pStyle w:val="12"/>
            </w:pPr>
            <w:r>
              <w:t>效益指标</w:t>
            </w:r>
          </w:p>
        </w:tc>
        <w:tc>
          <w:tcPr>
            <w:tcW w:w="2268" w:type="dxa"/>
            <w:vAlign w:val="center"/>
          </w:tcPr>
          <w:p w14:paraId="12C632AA">
            <w:pPr>
              <w:pStyle w:val="13"/>
            </w:pPr>
            <w:r>
              <w:t>社会效益指标</w:t>
            </w:r>
          </w:p>
        </w:tc>
        <w:tc>
          <w:tcPr>
            <w:tcW w:w="2835" w:type="dxa"/>
            <w:vAlign w:val="center"/>
          </w:tcPr>
          <w:p w14:paraId="72A9E4DC">
            <w:pPr>
              <w:pStyle w:val="13"/>
            </w:pPr>
            <w:r>
              <w:t>学校稳定率</w:t>
            </w:r>
          </w:p>
        </w:tc>
        <w:tc>
          <w:tcPr>
            <w:tcW w:w="5386" w:type="dxa"/>
            <w:vAlign w:val="center"/>
          </w:tcPr>
          <w:p w14:paraId="4D1CA68A">
            <w:pPr>
              <w:pStyle w:val="13"/>
            </w:pPr>
            <w:r>
              <w:t>维护学校稳定，保障学校正常教学秩序有效开展</w:t>
            </w:r>
          </w:p>
        </w:tc>
        <w:tc>
          <w:tcPr>
            <w:tcW w:w="2268" w:type="dxa"/>
            <w:vAlign w:val="center"/>
          </w:tcPr>
          <w:p w14:paraId="1D077E4A">
            <w:pPr>
              <w:pStyle w:val="13"/>
            </w:pPr>
            <w:r>
              <w:t>100%</w:t>
            </w:r>
          </w:p>
        </w:tc>
        <w:tc>
          <w:tcPr>
            <w:tcW w:w="1276" w:type="dxa"/>
            <w:vAlign w:val="center"/>
          </w:tcPr>
          <w:p w14:paraId="38B0EEE3">
            <w:pPr>
              <w:pStyle w:val="13"/>
            </w:pPr>
            <w:r>
              <w:t>城乡义务教育公用经费管理办法</w:t>
            </w:r>
          </w:p>
        </w:tc>
      </w:tr>
      <w:tr w14:paraId="4659E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8F57DD">
            <w:pPr>
              <w:pStyle w:val="12"/>
            </w:pPr>
            <w:r>
              <w:t>满意度指标</w:t>
            </w:r>
          </w:p>
        </w:tc>
        <w:tc>
          <w:tcPr>
            <w:tcW w:w="2268" w:type="dxa"/>
            <w:vAlign w:val="center"/>
          </w:tcPr>
          <w:p w14:paraId="1B3EEC64">
            <w:pPr>
              <w:pStyle w:val="13"/>
            </w:pPr>
            <w:r>
              <w:t>服务对象满意度指标</w:t>
            </w:r>
          </w:p>
        </w:tc>
        <w:tc>
          <w:tcPr>
            <w:tcW w:w="2835" w:type="dxa"/>
            <w:vAlign w:val="center"/>
          </w:tcPr>
          <w:p w14:paraId="57FB345D">
            <w:pPr>
              <w:pStyle w:val="13"/>
            </w:pPr>
            <w:r>
              <w:t>家长和学生满意度</w:t>
            </w:r>
          </w:p>
        </w:tc>
        <w:tc>
          <w:tcPr>
            <w:tcW w:w="5386" w:type="dxa"/>
            <w:vAlign w:val="center"/>
          </w:tcPr>
          <w:p w14:paraId="60E2AE28">
            <w:pPr>
              <w:pStyle w:val="13"/>
            </w:pPr>
            <w:r>
              <w:t>家长和学生满意度</w:t>
            </w:r>
          </w:p>
        </w:tc>
        <w:tc>
          <w:tcPr>
            <w:tcW w:w="2268" w:type="dxa"/>
            <w:vAlign w:val="center"/>
          </w:tcPr>
          <w:p w14:paraId="2EC1B739">
            <w:pPr>
              <w:pStyle w:val="13"/>
            </w:pPr>
            <w:r>
              <w:t>≥95%</w:t>
            </w:r>
          </w:p>
        </w:tc>
        <w:tc>
          <w:tcPr>
            <w:tcW w:w="1276" w:type="dxa"/>
            <w:vAlign w:val="center"/>
          </w:tcPr>
          <w:p w14:paraId="214B8E27">
            <w:pPr>
              <w:pStyle w:val="13"/>
            </w:pPr>
            <w:r>
              <w:t>问卷调查</w:t>
            </w:r>
          </w:p>
        </w:tc>
      </w:tr>
    </w:tbl>
    <w:p w14:paraId="5B8E9528">
      <w:pPr>
        <w:sectPr>
          <w:pgSz w:w="16840" w:h="11900" w:orient="landscape"/>
          <w:pgMar w:top="1361" w:right="1020" w:bottom="1134" w:left="1020" w:header="720" w:footer="720" w:gutter="0"/>
          <w:cols w:space="720" w:num="1"/>
        </w:sectPr>
      </w:pPr>
    </w:p>
    <w:p w14:paraId="677582E6">
      <w:pPr>
        <w:spacing w:before="0" w:after="0"/>
        <w:ind w:firstLine="560"/>
        <w:jc w:val="left"/>
        <w:outlineLvl w:val="9"/>
      </w:pPr>
      <w:r>
        <w:rPr>
          <w:rFonts w:ascii="方正仿宋_GBK" w:hAnsi="方正仿宋_GBK" w:eastAsia="方正仿宋_GBK" w:cs="方正仿宋_GBK"/>
          <w:b/>
          <w:color w:val="000000"/>
          <w:sz w:val="28"/>
        </w:rPr>
        <w:t>4、冀财教[2024]123号/中央/2025年义教补助经费/综合奖补/第五实验专用设备购置绩效目标表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24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1BC75">
            <w:pPr>
              <w:pStyle w:val="14"/>
            </w:pPr>
            <w:r>
              <w:t>单位：万元</w:t>
            </w:r>
          </w:p>
        </w:tc>
      </w:tr>
      <w:tr w14:paraId="07D12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00917">
            <w:pPr>
              <w:pStyle w:val="11"/>
            </w:pPr>
            <w:r>
              <w:t>项目编码</w:t>
            </w:r>
          </w:p>
        </w:tc>
        <w:tc>
          <w:tcPr>
            <w:tcW w:w="5103" w:type="dxa"/>
            <w:gridSpan w:val="2"/>
            <w:vAlign w:val="center"/>
          </w:tcPr>
          <w:p w14:paraId="6286E9FE">
            <w:pPr>
              <w:pStyle w:val="13"/>
            </w:pPr>
            <w:r>
              <w:t>13052525P00875610234Y</w:t>
            </w:r>
          </w:p>
        </w:tc>
        <w:tc>
          <w:tcPr>
            <w:tcW w:w="2835" w:type="dxa"/>
            <w:vAlign w:val="center"/>
          </w:tcPr>
          <w:p w14:paraId="529A3A8F">
            <w:pPr>
              <w:pStyle w:val="11"/>
            </w:pPr>
            <w:r>
              <w:t>项目名称</w:t>
            </w:r>
          </w:p>
        </w:tc>
        <w:tc>
          <w:tcPr>
            <w:tcW w:w="6095" w:type="dxa"/>
            <w:gridSpan w:val="3"/>
            <w:vAlign w:val="center"/>
          </w:tcPr>
          <w:p w14:paraId="18F2500E">
            <w:pPr>
              <w:pStyle w:val="13"/>
            </w:pPr>
            <w:r>
              <w:t>冀财教[2024]123号/中央/2025年义教补助经费/综合奖补/第五实验专用设备购置</w:t>
            </w:r>
          </w:p>
        </w:tc>
      </w:tr>
      <w:tr w14:paraId="5C062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2A63C">
            <w:pPr>
              <w:pStyle w:val="11"/>
            </w:pPr>
            <w:r>
              <w:t>预算规模及资金用途</w:t>
            </w:r>
          </w:p>
        </w:tc>
        <w:tc>
          <w:tcPr>
            <w:tcW w:w="2268" w:type="dxa"/>
            <w:vAlign w:val="center"/>
          </w:tcPr>
          <w:p w14:paraId="0A1A7375">
            <w:pPr>
              <w:pStyle w:val="11"/>
            </w:pPr>
            <w:r>
              <w:t>预算数</w:t>
            </w:r>
          </w:p>
        </w:tc>
        <w:tc>
          <w:tcPr>
            <w:tcW w:w="2835" w:type="dxa"/>
            <w:vAlign w:val="center"/>
          </w:tcPr>
          <w:p w14:paraId="6D677FB7">
            <w:pPr>
              <w:pStyle w:val="13"/>
            </w:pPr>
            <w:r>
              <w:t>28.60</w:t>
            </w:r>
          </w:p>
        </w:tc>
        <w:tc>
          <w:tcPr>
            <w:tcW w:w="2835" w:type="dxa"/>
            <w:vAlign w:val="center"/>
          </w:tcPr>
          <w:p w14:paraId="291E4649">
            <w:pPr>
              <w:pStyle w:val="11"/>
            </w:pPr>
            <w:r>
              <w:t>其中：财政    资金</w:t>
            </w:r>
          </w:p>
        </w:tc>
        <w:tc>
          <w:tcPr>
            <w:tcW w:w="2551" w:type="dxa"/>
            <w:vAlign w:val="center"/>
          </w:tcPr>
          <w:p w14:paraId="57CEC2FD">
            <w:pPr>
              <w:pStyle w:val="13"/>
            </w:pPr>
            <w:r>
              <w:t>28.60</w:t>
            </w:r>
          </w:p>
        </w:tc>
        <w:tc>
          <w:tcPr>
            <w:tcW w:w="2268" w:type="dxa"/>
            <w:vAlign w:val="center"/>
          </w:tcPr>
          <w:p w14:paraId="1684286D">
            <w:pPr>
              <w:pStyle w:val="11"/>
            </w:pPr>
            <w:r>
              <w:t>其他资金</w:t>
            </w:r>
          </w:p>
        </w:tc>
        <w:tc>
          <w:tcPr>
            <w:tcW w:w="1276" w:type="dxa"/>
            <w:vAlign w:val="center"/>
          </w:tcPr>
          <w:p w14:paraId="08E54C1D">
            <w:pPr>
              <w:pStyle w:val="13"/>
            </w:pPr>
            <w:r>
              <w:t xml:space="preserve"> </w:t>
            </w:r>
          </w:p>
        </w:tc>
      </w:tr>
      <w:tr w14:paraId="17245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DC20CF"/>
        </w:tc>
        <w:tc>
          <w:tcPr>
            <w:tcW w:w="14033" w:type="dxa"/>
            <w:gridSpan w:val="6"/>
            <w:vAlign w:val="center"/>
          </w:tcPr>
          <w:p w14:paraId="1158A3A0">
            <w:pPr>
              <w:pStyle w:val="13"/>
            </w:pPr>
            <w:r>
              <w:t>改善教学条件，提升学校形象，保障义务教育阶段良好的教学环境。</w:t>
            </w:r>
          </w:p>
        </w:tc>
      </w:tr>
      <w:tr w14:paraId="75DFA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3D56E">
            <w:pPr>
              <w:pStyle w:val="11"/>
            </w:pPr>
            <w:r>
              <w:t>资金支出计划（%）</w:t>
            </w:r>
          </w:p>
        </w:tc>
        <w:tc>
          <w:tcPr>
            <w:tcW w:w="5103" w:type="dxa"/>
            <w:gridSpan w:val="2"/>
            <w:vAlign w:val="center"/>
          </w:tcPr>
          <w:p w14:paraId="471E0FC0">
            <w:pPr>
              <w:pStyle w:val="11"/>
            </w:pPr>
            <w:r>
              <w:t>3月底</w:t>
            </w:r>
          </w:p>
        </w:tc>
        <w:tc>
          <w:tcPr>
            <w:tcW w:w="2835" w:type="dxa"/>
            <w:vAlign w:val="center"/>
          </w:tcPr>
          <w:p w14:paraId="628B073D">
            <w:pPr>
              <w:pStyle w:val="11"/>
            </w:pPr>
            <w:r>
              <w:t>6月底</w:t>
            </w:r>
          </w:p>
        </w:tc>
        <w:tc>
          <w:tcPr>
            <w:tcW w:w="2551" w:type="dxa"/>
            <w:vAlign w:val="center"/>
          </w:tcPr>
          <w:p w14:paraId="1DE5914C">
            <w:pPr>
              <w:pStyle w:val="11"/>
            </w:pPr>
            <w:r>
              <w:t>10月底</w:t>
            </w:r>
          </w:p>
        </w:tc>
        <w:tc>
          <w:tcPr>
            <w:tcW w:w="3544" w:type="dxa"/>
            <w:gridSpan w:val="2"/>
            <w:vAlign w:val="center"/>
          </w:tcPr>
          <w:p w14:paraId="426535F3">
            <w:pPr>
              <w:pStyle w:val="11"/>
            </w:pPr>
            <w:r>
              <w:t>12月底</w:t>
            </w:r>
          </w:p>
        </w:tc>
      </w:tr>
      <w:tr w14:paraId="242F3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195B24"/>
        </w:tc>
        <w:tc>
          <w:tcPr>
            <w:tcW w:w="5103" w:type="dxa"/>
            <w:gridSpan w:val="2"/>
            <w:vAlign w:val="center"/>
          </w:tcPr>
          <w:p w14:paraId="1246327E">
            <w:pPr>
              <w:pStyle w:val="12"/>
            </w:pPr>
            <w:r>
              <w:t xml:space="preserve"> </w:t>
            </w:r>
          </w:p>
        </w:tc>
        <w:tc>
          <w:tcPr>
            <w:tcW w:w="2835" w:type="dxa"/>
            <w:vAlign w:val="center"/>
          </w:tcPr>
          <w:p w14:paraId="62AFB3A9">
            <w:pPr>
              <w:pStyle w:val="12"/>
            </w:pPr>
            <w:r>
              <w:t>50%</w:t>
            </w:r>
          </w:p>
        </w:tc>
        <w:tc>
          <w:tcPr>
            <w:tcW w:w="2551" w:type="dxa"/>
            <w:vAlign w:val="center"/>
          </w:tcPr>
          <w:p w14:paraId="6B825884">
            <w:pPr>
              <w:pStyle w:val="12"/>
            </w:pPr>
            <w:r>
              <w:t>75%</w:t>
            </w:r>
          </w:p>
        </w:tc>
        <w:tc>
          <w:tcPr>
            <w:tcW w:w="3544" w:type="dxa"/>
            <w:gridSpan w:val="2"/>
            <w:vAlign w:val="center"/>
          </w:tcPr>
          <w:p w14:paraId="6C6A7299">
            <w:pPr>
              <w:pStyle w:val="12"/>
            </w:pPr>
            <w:r>
              <w:t>100%</w:t>
            </w:r>
          </w:p>
        </w:tc>
      </w:tr>
      <w:tr w14:paraId="10E72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0FF5E">
            <w:pPr>
              <w:pStyle w:val="11"/>
            </w:pPr>
            <w:r>
              <w:t>绩效目标</w:t>
            </w:r>
          </w:p>
        </w:tc>
        <w:tc>
          <w:tcPr>
            <w:tcW w:w="14033" w:type="dxa"/>
            <w:gridSpan w:val="6"/>
            <w:vAlign w:val="center"/>
          </w:tcPr>
          <w:p w14:paraId="6175C81A">
            <w:pPr>
              <w:pStyle w:val="13"/>
            </w:pPr>
            <w:r>
              <w:t>1.项目需自己28.6万元，拨付率达到100%。</w:t>
            </w:r>
          </w:p>
          <w:p w14:paraId="7CA65FDD">
            <w:pPr>
              <w:pStyle w:val="13"/>
            </w:pPr>
            <w:r>
              <w:t>2.改善教学条件，提升学校形象，保障义务教育阶段良好的教学环境。</w:t>
            </w:r>
          </w:p>
        </w:tc>
      </w:tr>
    </w:tbl>
    <w:p w14:paraId="5EA8B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7E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E3D53">
            <w:pPr>
              <w:pStyle w:val="11"/>
            </w:pPr>
            <w:r>
              <w:t>一级指标</w:t>
            </w:r>
          </w:p>
        </w:tc>
        <w:tc>
          <w:tcPr>
            <w:tcW w:w="2268" w:type="dxa"/>
            <w:vAlign w:val="center"/>
          </w:tcPr>
          <w:p w14:paraId="36BD8809">
            <w:pPr>
              <w:pStyle w:val="11"/>
            </w:pPr>
            <w:r>
              <w:t>二级指标</w:t>
            </w:r>
          </w:p>
        </w:tc>
        <w:tc>
          <w:tcPr>
            <w:tcW w:w="2835" w:type="dxa"/>
            <w:vAlign w:val="center"/>
          </w:tcPr>
          <w:p w14:paraId="1C650826">
            <w:pPr>
              <w:pStyle w:val="11"/>
            </w:pPr>
            <w:r>
              <w:t>三级指标</w:t>
            </w:r>
          </w:p>
        </w:tc>
        <w:tc>
          <w:tcPr>
            <w:tcW w:w="5386" w:type="dxa"/>
            <w:vAlign w:val="center"/>
          </w:tcPr>
          <w:p w14:paraId="59D1F9F7">
            <w:pPr>
              <w:pStyle w:val="11"/>
            </w:pPr>
            <w:r>
              <w:t>绩效指标描述</w:t>
            </w:r>
          </w:p>
        </w:tc>
        <w:tc>
          <w:tcPr>
            <w:tcW w:w="2268" w:type="dxa"/>
            <w:vAlign w:val="center"/>
          </w:tcPr>
          <w:p w14:paraId="070E6063">
            <w:pPr>
              <w:pStyle w:val="11"/>
            </w:pPr>
            <w:r>
              <w:t>指标值</w:t>
            </w:r>
          </w:p>
        </w:tc>
        <w:tc>
          <w:tcPr>
            <w:tcW w:w="1276" w:type="dxa"/>
            <w:vAlign w:val="center"/>
          </w:tcPr>
          <w:p w14:paraId="3A25B618">
            <w:pPr>
              <w:pStyle w:val="11"/>
            </w:pPr>
            <w:r>
              <w:t>指标值确定依据</w:t>
            </w:r>
          </w:p>
        </w:tc>
      </w:tr>
      <w:tr w14:paraId="11230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BCB9A">
            <w:pPr>
              <w:pStyle w:val="12"/>
            </w:pPr>
            <w:r>
              <w:t>产出指标</w:t>
            </w:r>
          </w:p>
        </w:tc>
        <w:tc>
          <w:tcPr>
            <w:tcW w:w="2268" w:type="dxa"/>
            <w:vAlign w:val="center"/>
          </w:tcPr>
          <w:p w14:paraId="4A93FECD">
            <w:pPr>
              <w:pStyle w:val="13"/>
            </w:pPr>
            <w:r>
              <w:t>数量指标</w:t>
            </w:r>
          </w:p>
        </w:tc>
        <w:tc>
          <w:tcPr>
            <w:tcW w:w="2835" w:type="dxa"/>
            <w:vAlign w:val="center"/>
          </w:tcPr>
          <w:p w14:paraId="78D07046">
            <w:pPr>
              <w:pStyle w:val="13"/>
            </w:pPr>
            <w:r>
              <w:t>第五实验小学项目购置</w:t>
            </w:r>
          </w:p>
        </w:tc>
        <w:tc>
          <w:tcPr>
            <w:tcW w:w="5386" w:type="dxa"/>
            <w:vAlign w:val="center"/>
          </w:tcPr>
          <w:p w14:paraId="0F0D4CD5">
            <w:pPr>
              <w:pStyle w:val="13"/>
            </w:pPr>
            <w:r>
              <w:t>课桌凳、图书架、电脑、电脑桌、篮球架、书包柜等</w:t>
            </w:r>
          </w:p>
        </w:tc>
        <w:tc>
          <w:tcPr>
            <w:tcW w:w="2268" w:type="dxa"/>
            <w:vAlign w:val="center"/>
          </w:tcPr>
          <w:p w14:paraId="028FB251">
            <w:pPr>
              <w:pStyle w:val="13"/>
            </w:pPr>
            <w:r>
              <w:t>1项</w:t>
            </w:r>
          </w:p>
        </w:tc>
        <w:tc>
          <w:tcPr>
            <w:tcW w:w="1276" w:type="dxa"/>
            <w:vAlign w:val="center"/>
          </w:tcPr>
          <w:p w14:paraId="0DF505AC">
            <w:pPr>
              <w:pStyle w:val="13"/>
            </w:pPr>
            <w:r>
              <w:t>项目规划</w:t>
            </w:r>
          </w:p>
        </w:tc>
      </w:tr>
      <w:tr w14:paraId="69B34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81ACC"/>
        </w:tc>
        <w:tc>
          <w:tcPr>
            <w:tcW w:w="2268" w:type="dxa"/>
            <w:vAlign w:val="center"/>
          </w:tcPr>
          <w:p w14:paraId="0D6E9C5C">
            <w:pPr>
              <w:pStyle w:val="13"/>
            </w:pPr>
            <w:r>
              <w:t>质量指标</w:t>
            </w:r>
          </w:p>
        </w:tc>
        <w:tc>
          <w:tcPr>
            <w:tcW w:w="2835" w:type="dxa"/>
            <w:vAlign w:val="center"/>
          </w:tcPr>
          <w:p w14:paraId="6BD50AE5">
            <w:pPr>
              <w:pStyle w:val="13"/>
            </w:pPr>
            <w:r>
              <w:t>工程实施验收合格率</w:t>
            </w:r>
          </w:p>
        </w:tc>
        <w:tc>
          <w:tcPr>
            <w:tcW w:w="5386" w:type="dxa"/>
            <w:vAlign w:val="center"/>
          </w:tcPr>
          <w:p w14:paraId="48E2E587">
            <w:pPr>
              <w:pStyle w:val="13"/>
            </w:pPr>
            <w:r>
              <w:t>申报程序的合规，项目实施及资金使用符合项目规划</w:t>
            </w:r>
          </w:p>
        </w:tc>
        <w:tc>
          <w:tcPr>
            <w:tcW w:w="2268" w:type="dxa"/>
            <w:vAlign w:val="center"/>
          </w:tcPr>
          <w:p w14:paraId="10BED923">
            <w:pPr>
              <w:pStyle w:val="13"/>
            </w:pPr>
            <w:r>
              <w:t>100%</w:t>
            </w:r>
          </w:p>
        </w:tc>
        <w:tc>
          <w:tcPr>
            <w:tcW w:w="1276" w:type="dxa"/>
            <w:vAlign w:val="center"/>
          </w:tcPr>
          <w:p w14:paraId="57657D7D">
            <w:pPr>
              <w:pStyle w:val="13"/>
            </w:pPr>
            <w:r>
              <w:t>项目规划</w:t>
            </w:r>
          </w:p>
        </w:tc>
      </w:tr>
      <w:tr w14:paraId="7D909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A1219"/>
        </w:tc>
        <w:tc>
          <w:tcPr>
            <w:tcW w:w="2268" w:type="dxa"/>
            <w:vAlign w:val="center"/>
          </w:tcPr>
          <w:p w14:paraId="54510A3A">
            <w:pPr>
              <w:pStyle w:val="13"/>
            </w:pPr>
            <w:r>
              <w:t>时效指标</w:t>
            </w:r>
          </w:p>
        </w:tc>
        <w:tc>
          <w:tcPr>
            <w:tcW w:w="2835" w:type="dxa"/>
            <w:vAlign w:val="center"/>
          </w:tcPr>
          <w:p w14:paraId="2AA20EF3">
            <w:pPr>
              <w:pStyle w:val="13"/>
            </w:pPr>
            <w:r>
              <w:t>资金支付率</w:t>
            </w:r>
          </w:p>
        </w:tc>
        <w:tc>
          <w:tcPr>
            <w:tcW w:w="5386" w:type="dxa"/>
            <w:vAlign w:val="center"/>
          </w:tcPr>
          <w:p w14:paraId="2BBDF979">
            <w:pPr>
              <w:pStyle w:val="13"/>
            </w:pPr>
            <w:r>
              <w:t>按照序时进度完成资金支付</w:t>
            </w:r>
          </w:p>
        </w:tc>
        <w:tc>
          <w:tcPr>
            <w:tcW w:w="2268" w:type="dxa"/>
            <w:vAlign w:val="center"/>
          </w:tcPr>
          <w:p w14:paraId="6CA0B790">
            <w:pPr>
              <w:pStyle w:val="13"/>
            </w:pPr>
            <w:r>
              <w:t>100%</w:t>
            </w:r>
          </w:p>
        </w:tc>
        <w:tc>
          <w:tcPr>
            <w:tcW w:w="1276" w:type="dxa"/>
            <w:vAlign w:val="center"/>
          </w:tcPr>
          <w:p w14:paraId="263B0AD6">
            <w:pPr>
              <w:pStyle w:val="13"/>
            </w:pPr>
            <w:r>
              <w:t>项目规划</w:t>
            </w:r>
          </w:p>
        </w:tc>
      </w:tr>
      <w:tr w14:paraId="78A1F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EF485"/>
        </w:tc>
        <w:tc>
          <w:tcPr>
            <w:tcW w:w="2268" w:type="dxa"/>
            <w:vAlign w:val="center"/>
          </w:tcPr>
          <w:p w14:paraId="02E8354F">
            <w:pPr>
              <w:pStyle w:val="13"/>
            </w:pPr>
            <w:r>
              <w:t>成本指标</w:t>
            </w:r>
          </w:p>
        </w:tc>
        <w:tc>
          <w:tcPr>
            <w:tcW w:w="2835" w:type="dxa"/>
            <w:vAlign w:val="center"/>
          </w:tcPr>
          <w:p w14:paraId="2AFEC97C">
            <w:pPr>
              <w:pStyle w:val="13"/>
            </w:pPr>
            <w:r>
              <w:t>项目成本控制情况</w:t>
            </w:r>
          </w:p>
        </w:tc>
        <w:tc>
          <w:tcPr>
            <w:tcW w:w="5386" w:type="dxa"/>
            <w:vAlign w:val="center"/>
          </w:tcPr>
          <w:p w14:paraId="3A717A10">
            <w:pPr>
              <w:pStyle w:val="13"/>
            </w:pPr>
            <w:r>
              <w:t>严格按照招标价格及审计额进行</w:t>
            </w:r>
          </w:p>
        </w:tc>
        <w:tc>
          <w:tcPr>
            <w:tcW w:w="2268" w:type="dxa"/>
            <w:vAlign w:val="center"/>
          </w:tcPr>
          <w:p w14:paraId="500F7C19">
            <w:pPr>
              <w:pStyle w:val="13"/>
            </w:pPr>
            <w:r>
              <w:t>≥28.6万元</w:t>
            </w:r>
          </w:p>
        </w:tc>
        <w:tc>
          <w:tcPr>
            <w:tcW w:w="1276" w:type="dxa"/>
            <w:vAlign w:val="center"/>
          </w:tcPr>
          <w:p w14:paraId="22B50C22">
            <w:pPr>
              <w:pStyle w:val="13"/>
            </w:pPr>
            <w:r>
              <w:t>项目规划</w:t>
            </w:r>
          </w:p>
        </w:tc>
      </w:tr>
      <w:tr w14:paraId="62DFE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2FD313">
            <w:pPr>
              <w:pStyle w:val="12"/>
            </w:pPr>
            <w:r>
              <w:t>效益指标</w:t>
            </w:r>
          </w:p>
        </w:tc>
        <w:tc>
          <w:tcPr>
            <w:tcW w:w="2268" w:type="dxa"/>
            <w:vAlign w:val="center"/>
          </w:tcPr>
          <w:p w14:paraId="64EB077F">
            <w:pPr>
              <w:pStyle w:val="13"/>
            </w:pPr>
            <w:r>
              <w:t>社会效益指标</w:t>
            </w:r>
          </w:p>
        </w:tc>
        <w:tc>
          <w:tcPr>
            <w:tcW w:w="2835" w:type="dxa"/>
            <w:vAlign w:val="center"/>
          </w:tcPr>
          <w:p w14:paraId="02EC7CF4">
            <w:pPr>
              <w:pStyle w:val="13"/>
            </w:pPr>
            <w:r>
              <w:t>学校办学环境提升</w:t>
            </w:r>
          </w:p>
        </w:tc>
        <w:tc>
          <w:tcPr>
            <w:tcW w:w="5386" w:type="dxa"/>
            <w:vAlign w:val="center"/>
          </w:tcPr>
          <w:p w14:paraId="2A3B8AEC">
            <w:pPr>
              <w:pStyle w:val="13"/>
            </w:pPr>
            <w:r>
              <w:t>学校教学环境提升优化率</w:t>
            </w:r>
          </w:p>
        </w:tc>
        <w:tc>
          <w:tcPr>
            <w:tcW w:w="2268" w:type="dxa"/>
            <w:vAlign w:val="center"/>
          </w:tcPr>
          <w:p w14:paraId="2D631D9A">
            <w:pPr>
              <w:pStyle w:val="13"/>
            </w:pPr>
            <w:r>
              <w:t>≥98%</w:t>
            </w:r>
          </w:p>
        </w:tc>
        <w:tc>
          <w:tcPr>
            <w:tcW w:w="1276" w:type="dxa"/>
            <w:vAlign w:val="center"/>
          </w:tcPr>
          <w:p w14:paraId="43E86BEE">
            <w:pPr>
              <w:pStyle w:val="13"/>
            </w:pPr>
            <w:r>
              <w:t>项目规划</w:t>
            </w:r>
          </w:p>
        </w:tc>
      </w:tr>
      <w:tr w14:paraId="2381D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03D987">
            <w:pPr>
              <w:pStyle w:val="12"/>
            </w:pPr>
            <w:r>
              <w:t>满意度指标</w:t>
            </w:r>
          </w:p>
        </w:tc>
        <w:tc>
          <w:tcPr>
            <w:tcW w:w="2268" w:type="dxa"/>
            <w:vAlign w:val="center"/>
          </w:tcPr>
          <w:p w14:paraId="38D1C334">
            <w:pPr>
              <w:pStyle w:val="13"/>
            </w:pPr>
            <w:r>
              <w:t>服务对象满意度指标</w:t>
            </w:r>
          </w:p>
        </w:tc>
        <w:tc>
          <w:tcPr>
            <w:tcW w:w="2835" w:type="dxa"/>
            <w:vAlign w:val="center"/>
          </w:tcPr>
          <w:p w14:paraId="1772DE81">
            <w:pPr>
              <w:pStyle w:val="13"/>
            </w:pPr>
            <w:r>
              <w:t>受益学生家长及调查满意度</w:t>
            </w:r>
          </w:p>
        </w:tc>
        <w:tc>
          <w:tcPr>
            <w:tcW w:w="5386" w:type="dxa"/>
            <w:vAlign w:val="center"/>
          </w:tcPr>
          <w:p w14:paraId="230C96BC">
            <w:pPr>
              <w:pStyle w:val="13"/>
            </w:pPr>
            <w:r>
              <w:t>学生、教师及家长对学校教学环境满意度情况</w:t>
            </w:r>
          </w:p>
        </w:tc>
        <w:tc>
          <w:tcPr>
            <w:tcW w:w="2268" w:type="dxa"/>
            <w:vAlign w:val="center"/>
          </w:tcPr>
          <w:p w14:paraId="299FD1C1">
            <w:pPr>
              <w:pStyle w:val="13"/>
            </w:pPr>
            <w:r>
              <w:t>≥95%</w:t>
            </w:r>
          </w:p>
        </w:tc>
        <w:tc>
          <w:tcPr>
            <w:tcW w:w="1276" w:type="dxa"/>
            <w:vAlign w:val="center"/>
          </w:tcPr>
          <w:p w14:paraId="0796CB22">
            <w:pPr>
              <w:pStyle w:val="13"/>
            </w:pPr>
            <w:r>
              <w:t>项目规划</w:t>
            </w:r>
          </w:p>
        </w:tc>
      </w:tr>
    </w:tbl>
    <w:p w14:paraId="6C2590CA">
      <w:pPr>
        <w:sectPr>
          <w:pgSz w:w="16840" w:h="11900" w:orient="landscape"/>
          <w:pgMar w:top="1361" w:right="1020" w:bottom="1134" w:left="1020" w:header="720" w:footer="720" w:gutter="0"/>
          <w:cols w:space="720" w:num="1"/>
        </w:sectPr>
      </w:pPr>
    </w:p>
    <w:p w14:paraId="333D5C47">
      <w:pPr>
        <w:spacing w:before="0" w:after="0"/>
        <w:ind w:firstLine="560"/>
        <w:jc w:val="left"/>
        <w:outlineLvl w:val="9"/>
      </w:pPr>
      <w:r>
        <w:rPr>
          <w:rFonts w:ascii="方正仿宋_GBK" w:hAnsi="方正仿宋_GBK" w:eastAsia="方正仿宋_GBK" w:cs="方正仿宋_GBK"/>
          <w:b/>
          <w:color w:val="000000"/>
          <w:sz w:val="28"/>
        </w:rPr>
        <w:t>5、冀财教[2024]141号/省级/2025年义教补助经费/第五实验小学公用经费绩效目标表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5C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42DC5">
            <w:pPr>
              <w:pStyle w:val="14"/>
            </w:pPr>
            <w:r>
              <w:t>单位：万元</w:t>
            </w:r>
          </w:p>
        </w:tc>
      </w:tr>
      <w:tr w14:paraId="68F2D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63E6C">
            <w:pPr>
              <w:pStyle w:val="11"/>
            </w:pPr>
            <w:r>
              <w:t>项目编码</w:t>
            </w:r>
          </w:p>
        </w:tc>
        <w:tc>
          <w:tcPr>
            <w:tcW w:w="5103" w:type="dxa"/>
            <w:gridSpan w:val="2"/>
            <w:vAlign w:val="center"/>
          </w:tcPr>
          <w:p w14:paraId="7ED94130">
            <w:pPr>
              <w:pStyle w:val="13"/>
            </w:pPr>
            <w:r>
              <w:t>13052525P000004101376</w:t>
            </w:r>
          </w:p>
        </w:tc>
        <w:tc>
          <w:tcPr>
            <w:tcW w:w="2835" w:type="dxa"/>
            <w:vAlign w:val="center"/>
          </w:tcPr>
          <w:p w14:paraId="42151120">
            <w:pPr>
              <w:pStyle w:val="11"/>
            </w:pPr>
            <w:r>
              <w:t>项目名称</w:t>
            </w:r>
          </w:p>
        </w:tc>
        <w:tc>
          <w:tcPr>
            <w:tcW w:w="6095" w:type="dxa"/>
            <w:gridSpan w:val="3"/>
            <w:vAlign w:val="center"/>
          </w:tcPr>
          <w:p w14:paraId="7F6E2F5D">
            <w:pPr>
              <w:pStyle w:val="13"/>
            </w:pPr>
            <w:r>
              <w:t>冀财教[2024]141号/省级/2025年义教补助经费/第五实验小学公用经费</w:t>
            </w:r>
          </w:p>
        </w:tc>
      </w:tr>
      <w:tr w14:paraId="2A5C5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8CF73">
            <w:pPr>
              <w:pStyle w:val="11"/>
            </w:pPr>
            <w:r>
              <w:t>预算规模及资金用途</w:t>
            </w:r>
          </w:p>
        </w:tc>
        <w:tc>
          <w:tcPr>
            <w:tcW w:w="2268" w:type="dxa"/>
            <w:vAlign w:val="center"/>
          </w:tcPr>
          <w:p w14:paraId="5617AED3">
            <w:pPr>
              <w:pStyle w:val="11"/>
            </w:pPr>
            <w:r>
              <w:t>预算数</w:t>
            </w:r>
          </w:p>
        </w:tc>
        <w:tc>
          <w:tcPr>
            <w:tcW w:w="2835" w:type="dxa"/>
            <w:vAlign w:val="center"/>
          </w:tcPr>
          <w:p w14:paraId="1AE37706">
            <w:pPr>
              <w:pStyle w:val="13"/>
            </w:pPr>
            <w:r>
              <w:t>78.79</w:t>
            </w:r>
          </w:p>
        </w:tc>
        <w:tc>
          <w:tcPr>
            <w:tcW w:w="2835" w:type="dxa"/>
            <w:vAlign w:val="center"/>
          </w:tcPr>
          <w:p w14:paraId="1FD5C045">
            <w:pPr>
              <w:pStyle w:val="11"/>
            </w:pPr>
            <w:r>
              <w:t>其中：财政    资金</w:t>
            </w:r>
          </w:p>
        </w:tc>
        <w:tc>
          <w:tcPr>
            <w:tcW w:w="2551" w:type="dxa"/>
            <w:vAlign w:val="center"/>
          </w:tcPr>
          <w:p w14:paraId="733F880E">
            <w:pPr>
              <w:pStyle w:val="13"/>
            </w:pPr>
            <w:r>
              <w:t>78.79</w:t>
            </w:r>
          </w:p>
        </w:tc>
        <w:tc>
          <w:tcPr>
            <w:tcW w:w="2268" w:type="dxa"/>
            <w:vAlign w:val="center"/>
          </w:tcPr>
          <w:p w14:paraId="0CDF5CD2">
            <w:pPr>
              <w:pStyle w:val="11"/>
            </w:pPr>
            <w:r>
              <w:t>其他资金</w:t>
            </w:r>
          </w:p>
        </w:tc>
        <w:tc>
          <w:tcPr>
            <w:tcW w:w="1276" w:type="dxa"/>
            <w:vAlign w:val="center"/>
          </w:tcPr>
          <w:p w14:paraId="0EEABA52">
            <w:pPr>
              <w:pStyle w:val="13"/>
            </w:pPr>
            <w:r>
              <w:t xml:space="preserve"> </w:t>
            </w:r>
          </w:p>
        </w:tc>
      </w:tr>
      <w:tr w14:paraId="5B40D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93C46"/>
        </w:tc>
        <w:tc>
          <w:tcPr>
            <w:tcW w:w="14033" w:type="dxa"/>
            <w:gridSpan w:val="6"/>
            <w:vAlign w:val="center"/>
          </w:tcPr>
          <w:p w14:paraId="2C18A455">
            <w:pPr>
              <w:pStyle w:val="13"/>
            </w:pPr>
            <w:r>
              <w:t>保障义务教育学校正常运转，完成教育教学活动和其他日常工作任务等方面的费用支出。</w:t>
            </w:r>
          </w:p>
        </w:tc>
      </w:tr>
      <w:tr w14:paraId="2F5D9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9B6B0">
            <w:pPr>
              <w:pStyle w:val="11"/>
            </w:pPr>
            <w:r>
              <w:t>资金支出计划（%）</w:t>
            </w:r>
          </w:p>
        </w:tc>
        <w:tc>
          <w:tcPr>
            <w:tcW w:w="5103" w:type="dxa"/>
            <w:gridSpan w:val="2"/>
            <w:vAlign w:val="center"/>
          </w:tcPr>
          <w:p w14:paraId="70904518">
            <w:pPr>
              <w:pStyle w:val="11"/>
            </w:pPr>
            <w:r>
              <w:t>3月底</w:t>
            </w:r>
          </w:p>
        </w:tc>
        <w:tc>
          <w:tcPr>
            <w:tcW w:w="2835" w:type="dxa"/>
            <w:vAlign w:val="center"/>
          </w:tcPr>
          <w:p w14:paraId="4D2FFDBE">
            <w:pPr>
              <w:pStyle w:val="11"/>
            </w:pPr>
            <w:r>
              <w:t>6月底</w:t>
            </w:r>
          </w:p>
        </w:tc>
        <w:tc>
          <w:tcPr>
            <w:tcW w:w="2551" w:type="dxa"/>
            <w:vAlign w:val="center"/>
          </w:tcPr>
          <w:p w14:paraId="6E0E5313">
            <w:pPr>
              <w:pStyle w:val="11"/>
            </w:pPr>
            <w:r>
              <w:t>10月底</w:t>
            </w:r>
          </w:p>
        </w:tc>
        <w:tc>
          <w:tcPr>
            <w:tcW w:w="3544" w:type="dxa"/>
            <w:gridSpan w:val="2"/>
            <w:vAlign w:val="center"/>
          </w:tcPr>
          <w:p w14:paraId="1497A4AD">
            <w:pPr>
              <w:pStyle w:val="11"/>
            </w:pPr>
            <w:r>
              <w:t>12月底</w:t>
            </w:r>
          </w:p>
        </w:tc>
      </w:tr>
      <w:tr w14:paraId="4D264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5D5AEF"/>
        </w:tc>
        <w:tc>
          <w:tcPr>
            <w:tcW w:w="5103" w:type="dxa"/>
            <w:gridSpan w:val="2"/>
            <w:vAlign w:val="center"/>
          </w:tcPr>
          <w:p w14:paraId="7B4476EC">
            <w:pPr>
              <w:pStyle w:val="12"/>
            </w:pPr>
            <w:r>
              <w:t>25%</w:t>
            </w:r>
          </w:p>
        </w:tc>
        <w:tc>
          <w:tcPr>
            <w:tcW w:w="2835" w:type="dxa"/>
            <w:vAlign w:val="center"/>
          </w:tcPr>
          <w:p w14:paraId="00AC500C">
            <w:pPr>
              <w:pStyle w:val="12"/>
            </w:pPr>
            <w:r>
              <w:t>50%</w:t>
            </w:r>
          </w:p>
        </w:tc>
        <w:tc>
          <w:tcPr>
            <w:tcW w:w="2551" w:type="dxa"/>
            <w:vAlign w:val="center"/>
          </w:tcPr>
          <w:p w14:paraId="5524CBD0">
            <w:pPr>
              <w:pStyle w:val="12"/>
            </w:pPr>
            <w:r>
              <w:t>75%</w:t>
            </w:r>
          </w:p>
        </w:tc>
        <w:tc>
          <w:tcPr>
            <w:tcW w:w="3544" w:type="dxa"/>
            <w:gridSpan w:val="2"/>
            <w:vAlign w:val="center"/>
          </w:tcPr>
          <w:p w14:paraId="6D264190">
            <w:pPr>
              <w:pStyle w:val="12"/>
            </w:pPr>
            <w:r>
              <w:t>100%</w:t>
            </w:r>
          </w:p>
        </w:tc>
      </w:tr>
      <w:tr w14:paraId="1EBF0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7E94C3">
            <w:pPr>
              <w:pStyle w:val="11"/>
            </w:pPr>
            <w:r>
              <w:t>绩效目标</w:t>
            </w:r>
          </w:p>
        </w:tc>
        <w:tc>
          <w:tcPr>
            <w:tcW w:w="14033" w:type="dxa"/>
            <w:gridSpan w:val="6"/>
            <w:vAlign w:val="center"/>
          </w:tcPr>
          <w:p w14:paraId="007D6BA1">
            <w:pPr>
              <w:pStyle w:val="13"/>
            </w:pPr>
            <w:r>
              <w:t>1.按规定拨付公用经费资金78.79万元，资金拨付率达到100%</w:t>
            </w:r>
          </w:p>
          <w:p w14:paraId="6105E4CB">
            <w:pPr>
              <w:pStyle w:val="13"/>
            </w:pPr>
            <w:r>
              <w:t>2.保障义务教育学校正常运转，完成教育教学活动和其他日常工作任务等方面的费用支出。</w:t>
            </w:r>
          </w:p>
        </w:tc>
      </w:tr>
    </w:tbl>
    <w:p w14:paraId="44D16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DC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E19B1">
            <w:pPr>
              <w:pStyle w:val="11"/>
            </w:pPr>
            <w:r>
              <w:t>一级指标</w:t>
            </w:r>
          </w:p>
        </w:tc>
        <w:tc>
          <w:tcPr>
            <w:tcW w:w="2268" w:type="dxa"/>
            <w:vAlign w:val="center"/>
          </w:tcPr>
          <w:p w14:paraId="02223E3E">
            <w:pPr>
              <w:pStyle w:val="11"/>
            </w:pPr>
            <w:r>
              <w:t>二级指标</w:t>
            </w:r>
          </w:p>
        </w:tc>
        <w:tc>
          <w:tcPr>
            <w:tcW w:w="2835" w:type="dxa"/>
            <w:vAlign w:val="center"/>
          </w:tcPr>
          <w:p w14:paraId="6E59DBB2">
            <w:pPr>
              <w:pStyle w:val="11"/>
            </w:pPr>
            <w:r>
              <w:t>三级指标</w:t>
            </w:r>
          </w:p>
        </w:tc>
        <w:tc>
          <w:tcPr>
            <w:tcW w:w="5386" w:type="dxa"/>
            <w:vAlign w:val="center"/>
          </w:tcPr>
          <w:p w14:paraId="4438F6ED">
            <w:pPr>
              <w:pStyle w:val="11"/>
            </w:pPr>
            <w:r>
              <w:t>绩效指标描述</w:t>
            </w:r>
          </w:p>
        </w:tc>
        <w:tc>
          <w:tcPr>
            <w:tcW w:w="2268" w:type="dxa"/>
            <w:vAlign w:val="center"/>
          </w:tcPr>
          <w:p w14:paraId="7F47ECFE">
            <w:pPr>
              <w:pStyle w:val="11"/>
            </w:pPr>
            <w:r>
              <w:t>指标值</w:t>
            </w:r>
          </w:p>
        </w:tc>
        <w:tc>
          <w:tcPr>
            <w:tcW w:w="1276" w:type="dxa"/>
            <w:vAlign w:val="center"/>
          </w:tcPr>
          <w:p w14:paraId="0B8B48C7">
            <w:pPr>
              <w:pStyle w:val="11"/>
            </w:pPr>
            <w:r>
              <w:t>指标值确定依据</w:t>
            </w:r>
          </w:p>
        </w:tc>
      </w:tr>
      <w:tr w14:paraId="4CD03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BA1B0">
            <w:pPr>
              <w:pStyle w:val="12"/>
            </w:pPr>
            <w:r>
              <w:t>产出指标</w:t>
            </w:r>
          </w:p>
        </w:tc>
        <w:tc>
          <w:tcPr>
            <w:tcW w:w="2268" w:type="dxa"/>
            <w:vAlign w:val="center"/>
          </w:tcPr>
          <w:p w14:paraId="2A1917D7">
            <w:pPr>
              <w:pStyle w:val="13"/>
            </w:pPr>
            <w:r>
              <w:t>数量指标</w:t>
            </w:r>
          </w:p>
        </w:tc>
        <w:tc>
          <w:tcPr>
            <w:tcW w:w="2835" w:type="dxa"/>
            <w:vAlign w:val="center"/>
          </w:tcPr>
          <w:p w14:paraId="4476B24A">
            <w:pPr>
              <w:pStyle w:val="13"/>
            </w:pPr>
            <w:r>
              <w:t>生均拨款标准</w:t>
            </w:r>
          </w:p>
        </w:tc>
        <w:tc>
          <w:tcPr>
            <w:tcW w:w="5386" w:type="dxa"/>
            <w:vAlign w:val="center"/>
          </w:tcPr>
          <w:p w14:paraId="0B78FDF3">
            <w:pPr>
              <w:pStyle w:val="13"/>
            </w:pPr>
            <w:r>
              <w:t>小学生公用经费生均小学720元。取暖费120元/生/年，随班就读学生补助6000元/生</w:t>
            </w:r>
          </w:p>
        </w:tc>
        <w:tc>
          <w:tcPr>
            <w:tcW w:w="2268" w:type="dxa"/>
            <w:vAlign w:val="center"/>
          </w:tcPr>
          <w:p w14:paraId="5024A1A8">
            <w:pPr>
              <w:pStyle w:val="13"/>
            </w:pPr>
            <w:r>
              <w:t>840元</w:t>
            </w:r>
          </w:p>
        </w:tc>
        <w:tc>
          <w:tcPr>
            <w:tcW w:w="1276" w:type="dxa"/>
            <w:vAlign w:val="center"/>
          </w:tcPr>
          <w:p w14:paraId="78546C0F">
            <w:pPr>
              <w:pStyle w:val="13"/>
            </w:pPr>
            <w:r>
              <w:t>城乡义务教育公用经费管理办法</w:t>
            </w:r>
          </w:p>
        </w:tc>
      </w:tr>
      <w:tr w14:paraId="18CF0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7EDA6"/>
        </w:tc>
        <w:tc>
          <w:tcPr>
            <w:tcW w:w="2268" w:type="dxa"/>
            <w:vAlign w:val="center"/>
          </w:tcPr>
          <w:p w14:paraId="02A69F57">
            <w:pPr>
              <w:pStyle w:val="13"/>
            </w:pPr>
            <w:r>
              <w:t>质量指标</w:t>
            </w:r>
          </w:p>
        </w:tc>
        <w:tc>
          <w:tcPr>
            <w:tcW w:w="2835" w:type="dxa"/>
            <w:vAlign w:val="center"/>
          </w:tcPr>
          <w:p w14:paraId="242A3440">
            <w:pPr>
              <w:pStyle w:val="13"/>
            </w:pPr>
            <w:r>
              <w:t>就读学生数</w:t>
            </w:r>
          </w:p>
        </w:tc>
        <w:tc>
          <w:tcPr>
            <w:tcW w:w="5386" w:type="dxa"/>
            <w:vAlign w:val="center"/>
          </w:tcPr>
          <w:p w14:paraId="52B4BF5B">
            <w:pPr>
              <w:pStyle w:val="13"/>
            </w:pPr>
            <w:r>
              <w:t>辐射区域内适龄学生人数</w:t>
            </w:r>
          </w:p>
        </w:tc>
        <w:tc>
          <w:tcPr>
            <w:tcW w:w="2268" w:type="dxa"/>
            <w:vAlign w:val="center"/>
          </w:tcPr>
          <w:p w14:paraId="56181A74">
            <w:pPr>
              <w:pStyle w:val="13"/>
            </w:pPr>
            <w:r>
              <w:t>2433人</w:t>
            </w:r>
          </w:p>
        </w:tc>
        <w:tc>
          <w:tcPr>
            <w:tcW w:w="1276" w:type="dxa"/>
            <w:vAlign w:val="center"/>
          </w:tcPr>
          <w:p w14:paraId="259229C5">
            <w:pPr>
              <w:pStyle w:val="13"/>
            </w:pPr>
            <w:r>
              <w:t>城乡义务教育公用经费管理办法</w:t>
            </w:r>
          </w:p>
        </w:tc>
      </w:tr>
      <w:tr w14:paraId="2897F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5A3E7"/>
        </w:tc>
        <w:tc>
          <w:tcPr>
            <w:tcW w:w="2268" w:type="dxa"/>
            <w:vAlign w:val="center"/>
          </w:tcPr>
          <w:p w14:paraId="7061C8EE">
            <w:pPr>
              <w:pStyle w:val="13"/>
            </w:pPr>
            <w:r>
              <w:t>时效指标</w:t>
            </w:r>
          </w:p>
        </w:tc>
        <w:tc>
          <w:tcPr>
            <w:tcW w:w="2835" w:type="dxa"/>
            <w:vAlign w:val="center"/>
          </w:tcPr>
          <w:p w14:paraId="0001157A">
            <w:pPr>
              <w:pStyle w:val="13"/>
            </w:pPr>
            <w:r>
              <w:t>预算执行率</w:t>
            </w:r>
          </w:p>
        </w:tc>
        <w:tc>
          <w:tcPr>
            <w:tcW w:w="5386" w:type="dxa"/>
            <w:vAlign w:val="center"/>
          </w:tcPr>
          <w:p w14:paraId="01BF4C1E">
            <w:pPr>
              <w:pStyle w:val="13"/>
            </w:pPr>
            <w:r>
              <w:t>预算执行率≥98%</w:t>
            </w:r>
          </w:p>
          <w:p w14:paraId="48D65435">
            <w:pPr>
              <w:pStyle w:val="13"/>
            </w:pPr>
          </w:p>
        </w:tc>
        <w:tc>
          <w:tcPr>
            <w:tcW w:w="2268" w:type="dxa"/>
            <w:vAlign w:val="center"/>
          </w:tcPr>
          <w:p w14:paraId="751377E5">
            <w:pPr>
              <w:pStyle w:val="13"/>
            </w:pPr>
            <w:r>
              <w:t>≥98%</w:t>
            </w:r>
          </w:p>
        </w:tc>
        <w:tc>
          <w:tcPr>
            <w:tcW w:w="1276" w:type="dxa"/>
            <w:vAlign w:val="center"/>
          </w:tcPr>
          <w:p w14:paraId="6A3AC04B">
            <w:pPr>
              <w:pStyle w:val="13"/>
            </w:pPr>
            <w:r>
              <w:t>城乡义务教育公用经费管理办法</w:t>
            </w:r>
          </w:p>
        </w:tc>
      </w:tr>
      <w:tr w14:paraId="5DB1B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9848"/>
        </w:tc>
        <w:tc>
          <w:tcPr>
            <w:tcW w:w="2268" w:type="dxa"/>
            <w:vAlign w:val="center"/>
          </w:tcPr>
          <w:p w14:paraId="4A9C32C2">
            <w:pPr>
              <w:pStyle w:val="13"/>
            </w:pPr>
            <w:r>
              <w:t>成本指标</w:t>
            </w:r>
          </w:p>
        </w:tc>
        <w:tc>
          <w:tcPr>
            <w:tcW w:w="2835" w:type="dxa"/>
            <w:vAlign w:val="center"/>
          </w:tcPr>
          <w:p w14:paraId="5DCF9EB8">
            <w:pPr>
              <w:pStyle w:val="13"/>
            </w:pPr>
            <w:r>
              <w:t>义教经费支付完成率</w:t>
            </w:r>
          </w:p>
        </w:tc>
        <w:tc>
          <w:tcPr>
            <w:tcW w:w="5386" w:type="dxa"/>
            <w:vAlign w:val="center"/>
          </w:tcPr>
          <w:p w14:paraId="6F0CD698">
            <w:pPr>
              <w:pStyle w:val="13"/>
            </w:pPr>
            <w:r>
              <w:t>按照序时进度完成资金支付</w:t>
            </w:r>
          </w:p>
        </w:tc>
        <w:tc>
          <w:tcPr>
            <w:tcW w:w="2268" w:type="dxa"/>
            <w:vAlign w:val="center"/>
          </w:tcPr>
          <w:p w14:paraId="6C770D30">
            <w:pPr>
              <w:pStyle w:val="13"/>
            </w:pPr>
            <w:r>
              <w:t>≥100%</w:t>
            </w:r>
          </w:p>
        </w:tc>
        <w:tc>
          <w:tcPr>
            <w:tcW w:w="1276" w:type="dxa"/>
            <w:vAlign w:val="center"/>
          </w:tcPr>
          <w:p w14:paraId="45F73D2B">
            <w:pPr>
              <w:pStyle w:val="13"/>
            </w:pPr>
            <w:r>
              <w:t>城乡义务教育公用经费管理办法</w:t>
            </w:r>
          </w:p>
        </w:tc>
      </w:tr>
      <w:tr w14:paraId="24B6A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84141">
            <w:pPr>
              <w:pStyle w:val="12"/>
            </w:pPr>
            <w:r>
              <w:t>效益指标</w:t>
            </w:r>
          </w:p>
        </w:tc>
        <w:tc>
          <w:tcPr>
            <w:tcW w:w="2268" w:type="dxa"/>
            <w:vAlign w:val="center"/>
          </w:tcPr>
          <w:p w14:paraId="676D0D17">
            <w:pPr>
              <w:pStyle w:val="13"/>
            </w:pPr>
            <w:r>
              <w:t>可持续影响指标</w:t>
            </w:r>
          </w:p>
        </w:tc>
        <w:tc>
          <w:tcPr>
            <w:tcW w:w="2835" w:type="dxa"/>
            <w:vAlign w:val="center"/>
          </w:tcPr>
          <w:p w14:paraId="388E6E40">
            <w:pPr>
              <w:pStyle w:val="13"/>
            </w:pPr>
            <w:r>
              <w:t>学校运转得到提高</w:t>
            </w:r>
          </w:p>
        </w:tc>
        <w:tc>
          <w:tcPr>
            <w:tcW w:w="5386" w:type="dxa"/>
            <w:vAlign w:val="center"/>
          </w:tcPr>
          <w:p w14:paraId="68DB370E">
            <w:pPr>
              <w:pStyle w:val="13"/>
            </w:pPr>
            <w:r>
              <w:t>学生受教育年限</w:t>
            </w:r>
          </w:p>
        </w:tc>
        <w:tc>
          <w:tcPr>
            <w:tcW w:w="2268" w:type="dxa"/>
            <w:vAlign w:val="center"/>
          </w:tcPr>
          <w:p w14:paraId="2932D59D">
            <w:pPr>
              <w:pStyle w:val="13"/>
            </w:pPr>
            <w:r>
              <w:t>6年</w:t>
            </w:r>
          </w:p>
        </w:tc>
        <w:tc>
          <w:tcPr>
            <w:tcW w:w="1276" w:type="dxa"/>
            <w:vAlign w:val="center"/>
          </w:tcPr>
          <w:p w14:paraId="5B303DBF">
            <w:pPr>
              <w:pStyle w:val="13"/>
            </w:pPr>
            <w:r>
              <w:t>城乡义务教育公用经费管理办法</w:t>
            </w:r>
          </w:p>
        </w:tc>
      </w:tr>
      <w:tr w14:paraId="05A99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DA588E">
            <w:pPr>
              <w:pStyle w:val="12"/>
            </w:pPr>
            <w:r>
              <w:t>满意度指标</w:t>
            </w:r>
          </w:p>
        </w:tc>
        <w:tc>
          <w:tcPr>
            <w:tcW w:w="2268" w:type="dxa"/>
            <w:vAlign w:val="center"/>
          </w:tcPr>
          <w:p w14:paraId="7FFC3F47">
            <w:pPr>
              <w:pStyle w:val="13"/>
            </w:pPr>
            <w:r>
              <w:t>服务对象满意度指标</w:t>
            </w:r>
          </w:p>
        </w:tc>
        <w:tc>
          <w:tcPr>
            <w:tcW w:w="2835" w:type="dxa"/>
            <w:vAlign w:val="center"/>
          </w:tcPr>
          <w:p w14:paraId="50611922">
            <w:pPr>
              <w:pStyle w:val="13"/>
            </w:pPr>
            <w:r>
              <w:t>服务对象满意度</w:t>
            </w:r>
          </w:p>
        </w:tc>
        <w:tc>
          <w:tcPr>
            <w:tcW w:w="5386" w:type="dxa"/>
            <w:vAlign w:val="center"/>
          </w:tcPr>
          <w:p w14:paraId="6B175916">
            <w:pPr>
              <w:pStyle w:val="13"/>
            </w:pPr>
            <w:r>
              <w:t>学校老师和学生满意度</w:t>
            </w:r>
          </w:p>
        </w:tc>
        <w:tc>
          <w:tcPr>
            <w:tcW w:w="2268" w:type="dxa"/>
            <w:vAlign w:val="center"/>
          </w:tcPr>
          <w:p w14:paraId="336A0C9B">
            <w:pPr>
              <w:pStyle w:val="13"/>
            </w:pPr>
            <w:r>
              <w:t>≥95%</w:t>
            </w:r>
          </w:p>
        </w:tc>
        <w:tc>
          <w:tcPr>
            <w:tcW w:w="1276" w:type="dxa"/>
            <w:vAlign w:val="center"/>
          </w:tcPr>
          <w:p w14:paraId="0BBE48F5">
            <w:pPr>
              <w:pStyle w:val="13"/>
            </w:pPr>
            <w:r>
              <w:t>城乡义务教育公用经费管理办法</w:t>
            </w:r>
          </w:p>
        </w:tc>
      </w:tr>
    </w:tbl>
    <w:p w14:paraId="5935D637">
      <w:pPr>
        <w:sectPr>
          <w:pgSz w:w="16840" w:h="11900" w:orient="landscape"/>
          <w:pgMar w:top="1361" w:right="1020" w:bottom="1134" w:left="1020" w:header="720" w:footer="720" w:gutter="0"/>
          <w:cols w:space="720" w:num="1"/>
        </w:sectPr>
      </w:pPr>
    </w:p>
    <w:p w14:paraId="208FD2EE">
      <w:pPr>
        <w:spacing w:before="10" w:after="10" w:line="240" w:lineRule="auto"/>
        <w:ind w:firstLine="640"/>
        <w:jc w:val="left"/>
        <w:outlineLvl w:val="5"/>
      </w:pPr>
      <w:r>
        <w:rPr>
          <w:rFonts w:ascii="黑体" w:hAnsi="黑体" w:eastAsia="黑体" w:cs="黑体"/>
          <w:color w:val="000000"/>
          <w:sz w:val="32"/>
        </w:rPr>
        <w:t>六、政府采购预算情况</w:t>
      </w:r>
    </w:p>
    <w:p w14:paraId="77DE7CF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B632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CB9E0E1">
            <w:pPr>
              <w:pStyle w:val="8"/>
            </w:pPr>
            <w:r>
              <w:t>360038隆尧县第五实验小学</w:t>
            </w:r>
          </w:p>
        </w:tc>
        <w:tc>
          <w:tcPr>
            <w:tcW w:w="7712" w:type="dxa"/>
            <w:gridSpan w:val="8"/>
            <w:tcBorders>
              <w:top w:val="single" w:color="FFFFFF" w:sz="6" w:space="0"/>
              <w:left w:val="single" w:color="FFFFFF" w:sz="6" w:space="0"/>
              <w:right w:val="single" w:color="FFFFFF" w:sz="6" w:space="0"/>
            </w:tcBorders>
            <w:vAlign w:val="center"/>
          </w:tcPr>
          <w:p w14:paraId="668E8B62">
            <w:pPr>
              <w:pStyle w:val="22"/>
            </w:pPr>
            <w:r>
              <w:t>单位：万元</w:t>
            </w:r>
          </w:p>
        </w:tc>
      </w:tr>
      <w:tr w14:paraId="3A6E4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F19D093">
            <w:pPr>
              <w:pStyle w:val="11"/>
            </w:pPr>
            <w:r>
              <w:t>政府采购项目来源</w:t>
            </w:r>
          </w:p>
        </w:tc>
        <w:tc>
          <w:tcPr>
            <w:tcW w:w="1134" w:type="dxa"/>
            <w:vMerge w:val="restart"/>
            <w:vAlign w:val="center"/>
          </w:tcPr>
          <w:p w14:paraId="5220E42D">
            <w:pPr>
              <w:pStyle w:val="11"/>
            </w:pPr>
            <w:r>
              <w:t>采购物品名称</w:t>
            </w:r>
          </w:p>
        </w:tc>
        <w:tc>
          <w:tcPr>
            <w:tcW w:w="1134" w:type="dxa"/>
            <w:vMerge w:val="restart"/>
            <w:vAlign w:val="center"/>
          </w:tcPr>
          <w:p w14:paraId="05954884">
            <w:pPr>
              <w:pStyle w:val="11"/>
            </w:pPr>
            <w:r>
              <w:t>政府采购目录序号</w:t>
            </w:r>
          </w:p>
        </w:tc>
        <w:tc>
          <w:tcPr>
            <w:tcW w:w="709" w:type="dxa"/>
            <w:vMerge w:val="restart"/>
            <w:vAlign w:val="center"/>
          </w:tcPr>
          <w:p w14:paraId="557DA100">
            <w:pPr>
              <w:pStyle w:val="11"/>
            </w:pPr>
            <w:r>
              <w:t>计量  单位</w:t>
            </w:r>
          </w:p>
        </w:tc>
        <w:tc>
          <w:tcPr>
            <w:tcW w:w="850" w:type="dxa"/>
            <w:vMerge w:val="restart"/>
            <w:vAlign w:val="center"/>
          </w:tcPr>
          <w:p w14:paraId="2638BA6F">
            <w:pPr>
              <w:pStyle w:val="11"/>
            </w:pPr>
            <w:r>
              <w:t>数量</w:t>
            </w:r>
          </w:p>
        </w:tc>
        <w:tc>
          <w:tcPr>
            <w:tcW w:w="850" w:type="dxa"/>
            <w:vMerge w:val="restart"/>
            <w:vAlign w:val="center"/>
          </w:tcPr>
          <w:p w14:paraId="0A107B23">
            <w:pPr>
              <w:pStyle w:val="11"/>
            </w:pPr>
            <w:r>
              <w:t>单价</w:t>
            </w:r>
          </w:p>
        </w:tc>
        <w:tc>
          <w:tcPr>
            <w:tcW w:w="6748" w:type="dxa"/>
            <w:gridSpan w:val="7"/>
            <w:vAlign w:val="center"/>
          </w:tcPr>
          <w:p w14:paraId="323B19CB">
            <w:pPr>
              <w:pStyle w:val="11"/>
            </w:pPr>
            <w:r>
              <w:t>政府采购金额（当年部门预算安排资金）</w:t>
            </w:r>
          </w:p>
        </w:tc>
        <w:tc>
          <w:tcPr>
            <w:tcW w:w="964" w:type="dxa"/>
            <w:vMerge w:val="restart"/>
            <w:vAlign w:val="center"/>
          </w:tcPr>
          <w:p w14:paraId="4DDCC77D">
            <w:pPr>
              <w:pStyle w:val="11"/>
            </w:pPr>
            <w:r>
              <w:t>2025年  预留中  小微企  业份额</w:t>
            </w:r>
          </w:p>
        </w:tc>
      </w:tr>
      <w:tr w14:paraId="29EB4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80E961A">
            <w:pPr>
              <w:pStyle w:val="11"/>
            </w:pPr>
            <w:r>
              <w:t>项目名称</w:t>
            </w:r>
          </w:p>
        </w:tc>
        <w:tc>
          <w:tcPr>
            <w:tcW w:w="964" w:type="dxa"/>
            <w:vAlign w:val="center"/>
          </w:tcPr>
          <w:p w14:paraId="1EAC1E68">
            <w:pPr>
              <w:pStyle w:val="11"/>
            </w:pPr>
            <w:r>
              <w:t>预算    资金</w:t>
            </w:r>
          </w:p>
        </w:tc>
        <w:tc>
          <w:tcPr>
            <w:tcW w:w="1134" w:type="dxa"/>
            <w:vMerge w:val="continue"/>
          </w:tcPr>
          <w:p w14:paraId="282AD379"/>
        </w:tc>
        <w:tc>
          <w:tcPr>
            <w:tcW w:w="1134" w:type="dxa"/>
            <w:vMerge w:val="continue"/>
          </w:tcPr>
          <w:p w14:paraId="0FD51C67"/>
        </w:tc>
        <w:tc>
          <w:tcPr>
            <w:tcW w:w="709" w:type="dxa"/>
            <w:vMerge w:val="continue"/>
          </w:tcPr>
          <w:p w14:paraId="228E46F1"/>
        </w:tc>
        <w:tc>
          <w:tcPr>
            <w:tcW w:w="850" w:type="dxa"/>
            <w:vMerge w:val="continue"/>
          </w:tcPr>
          <w:p w14:paraId="55F85A08"/>
        </w:tc>
        <w:tc>
          <w:tcPr>
            <w:tcW w:w="850" w:type="dxa"/>
            <w:vMerge w:val="continue"/>
          </w:tcPr>
          <w:p w14:paraId="73573A2A"/>
        </w:tc>
        <w:tc>
          <w:tcPr>
            <w:tcW w:w="964" w:type="dxa"/>
            <w:vAlign w:val="center"/>
          </w:tcPr>
          <w:p w14:paraId="29D3B5F5">
            <w:pPr>
              <w:pStyle w:val="11"/>
            </w:pPr>
            <w:r>
              <w:t>合计</w:t>
            </w:r>
          </w:p>
        </w:tc>
        <w:tc>
          <w:tcPr>
            <w:tcW w:w="964" w:type="dxa"/>
            <w:vAlign w:val="center"/>
          </w:tcPr>
          <w:p w14:paraId="7B7AB467">
            <w:pPr>
              <w:pStyle w:val="11"/>
            </w:pPr>
            <w:r>
              <w:t>一般公共预算拨款</w:t>
            </w:r>
          </w:p>
        </w:tc>
        <w:tc>
          <w:tcPr>
            <w:tcW w:w="964" w:type="dxa"/>
            <w:vAlign w:val="center"/>
          </w:tcPr>
          <w:p w14:paraId="23D7298D">
            <w:pPr>
              <w:pStyle w:val="11"/>
            </w:pPr>
            <w:r>
              <w:t>基金预算拨款</w:t>
            </w:r>
          </w:p>
        </w:tc>
        <w:tc>
          <w:tcPr>
            <w:tcW w:w="964" w:type="dxa"/>
            <w:vAlign w:val="center"/>
          </w:tcPr>
          <w:p w14:paraId="2FD07C4F">
            <w:pPr>
              <w:pStyle w:val="11"/>
            </w:pPr>
            <w:r>
              <w:t>国有资本经营预算拨款</w:t>
            </w:r>
          </w:p>
        </w:tc>
        <w:tc>
          <w:tcPr>
            <w:tcW w:w="964" w:type="dxa"/>
            <w:vAlign w:val="center"/>
          </w:tcPr>
          <w:p w14:paraId="7342618E">
            <w:pPr>
              <w:pStyle w:val="11"/>
            </w:pPr>
            <w:r>
              <w:t>财政专户核拨</w:t>
            </w:r>
          </w:p>
        </w:tc>
        <w:tc>
          <w:tcPr>
            <w:tcW w:w="964" w:type="dxa"/>
            <w:vAlign w:val="center"/>
          </w:tcPr>
          <w:p w14:paraId="6FE00ADB">
            <w:pPr>
              <w:pStyle w:val="11"/>
            </w:pPr>
            <w:r>
              <w:t>单位    资金</w:t>
            </w:r>
          </w:p>
        </w:tc>
        <w:tc>
          <w:tcPr>
            <w:tcW w:w="964" w:type="dxa"/>
            <w:vAlign w:val="center"/>
          </w:tcPr>
          <w:p w14:paraId="0D5827C2">
            <w:pPr>
              <w:pStyle w:val="11"/>
            </w:pPr>
            <w:r>
              <w:t>上年结转结余</w:t>
            </w:r>
          </w:p>
        </w:tc>
        <w:tc>
          <w:tcPr>
            <w:tcW w:w="964" w:type="dxa"/>
            <w:vMerge w:val="continue"/>
          </w:tcPr>
          <w:p w14:paraId="63EFB8B6"/>
        </w:tc>
      </w:tr>
      <w:tr w14:paraId="6693E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6D0113">
            <w:pPr>
              <w:pStyle w:val="15"/>
            </w:pPr>
            <w:r>
              <w:t>合  计</w:t>
            </w:r>
          </w:p>
        </w:tc>
        <w:tc>
          <w:tcPr>
            <w:tcW w:w="964" w:type="dxa"/>
            <w:vAlign w:val="center"/>
          </w:tcPr>
          <w:p w14:paraId="08BE5ECF">
            <w:pPr>
              <w:pStyle w:val="16"/>
            </w:pPr>
          </w:p>
        </w:tc>
        <w:tc>
          <w:tcPr>
            <w:tcW w:w="1134" w:type="dxa"/>
            <w:vAlign w:val="center"/>
          </w:tcPr>
          <w:p w14:paraId="4FEA6012">
            <w:pPr>
              <w:pStyle w:val="17"/>
            </w:pPr>
          </w:p>
        </w:tc>
        <w:tc>
          <w:tcPr>
            <w:tcW w:w="1134" w:type="dxa"/>
            <w:vAlign w:val="center"/>
          </w:tcPr>
          <w:p w14:paraId="02475D14">
            <w:pPr>
              <w:pStyle w:val="17"/>
            </w:pPr>
          </w:p>
        </w:tc>
        <w:tc>
          <w:tcPr>
            <w:tcW w:w="709" w:type="dxa"/>
            <w:vAlign w:val="center"/>
          </w:tcPr>
          <w:p w14:paraId="3DD3E8F4">
            <w:pPr>
              <w:pStyle w:val="15"/>
            </w:pPr>
          </w:p>
        </w:tc>
        <w:tc>
          <w:tcPr>
            <w:tcW w:w="850" w:type="dxa"/>
            <w:vAlign w:val="center"/>
          </w:tcPr>
          <w:p w14:paraId="7DFF31E0">
            <w:pPr>
              <w:pStyle w:val="16"/>
            </w:pPr>
          </w:p>
        </w:tc>
        <w:tc>
          <w:tcPr>
            <w:tcW w:w="850" w:type="dxa"/>
            <w:vAlign w:val="center"/>
          </w:tcPr>
          <w:p w14:paraId="130B97FF">
            <w:pPr>
              <w:pStyle w:val="16"/>
            </w:pPr>
          </w:p>
        </w:tc>
        <w:tc>
          <w:tcPr>
            <w:tcW w:w="964" w:type="dxa"/>
            <w:vAlign w:val="center"/>
          </w:tcPr>
          <w:p w14:paraId="77387E45">
            <w:pPr>
              <w:pStyle w:val="16"/>
            </w:pPr>
            <w:r>
              <w:t>11.98</w:t>
            </w:r>
          </w:p>
        </w:tc>
        <w:tc>
          <w:tcPr>
            <w:tcW w:w="964" w:type="dxa"/>
            <w:vAlign w:val="center"/>
          </w:tcPr>
          <w:p w14:paraId="4AC83DD2">
            <w:pPr>
              <w:pStyle w:val="16"/>
            </w:pPr>
            <w:r>
              <w:t>11.98</w:t>
            </w:r>
          </w:p>
        </w:tc>
        <w:tc>
          <w:tcPr>
            <w:tcW w:w="964" w:type="dxa"/>
            <w:vAlign w:val="center"/>
          </w:tcPr>
          <w:p w14:paraId="77E82D6E">
            <w:pPr>
              <w:pStyle w:val="16"/>
            </w:pPr>
          </w:p>
        </w:tc>
        <w:tc>
          <w:tcPr>
            <w:tcW w:w="964" w:type="dxa"/>
            <w:vAlign w:val="center"/>
          </w:tcPr>
          <w:p w14:paraId="231B03B4">
            <w:pPr>
              <w:pStyle w:val="16"/>
            </w:pPr>
          </w:p>
        </w:tc>
        <w:tc>
          <w:tcPr>
            <w:tcW w:w="964" w:type="dxa"/>
            <w:vAlign w:val="center"/>
          </w:tcPr>
          <w:p w14:paraId="47580176">
            <w:pPr>
              <w:pStyle w:val="16"/>
            </w:pPr>
          </w:p>
        </w:tc>
        <w:tc>
          <w:tcPr>
            <w:tcW w:w="964" w:type="dxa"/>
            <w:vAlign w:val="center"/>
          </w:tcPr>
          <w:p w14:paraId="7AF9062A">
            <w:pPr>
              <w:pStyle w:val="16"/>
            </w:pPr>
          </w:p>
        </w:tc>
        <w:tc>
          <w:tcPr>
            <w:tcW w:w="964" w:type="dxa"/>
            <w:vAlign w:val="center"/>
          </w:tcPr>
          <w:p w14:paraId="5202DBC7">
            <w:pPr>
              <w:pStyle w:val="16"/>
            </w:pPr>
          </w:p>
        </w:tc>
        <w:tc>
          <w:tcPr>
            <w:tcW w:w="964" w:type="dxa"/>
            <w:vAlign w:val="center"/>
          </w:tcPr>
          <w:p w14:paraId="2568F40B">
            <w:pPr>
              <w:pStyle w:val="16"/>
            </w:pPr>
            <w:r>
              <w:t>11.98</w:t>
            </w:r>
          </w:p>
        </w:tc>
      </w:tr>
      <w:tr w14:paraId="5B9C2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23FF3F">
            <w:pPr>
              <w:pStyle w:val="15"/>
            </w:pPr>
            <w:r>
              <w:t>隆尧县第五实验小学小计</w:t>
            </w:r>
          </w:p>
        </w:tc>
        <w:tc>
          <w:tcPr>
            <w:tcW w:w="964" w:type="dxa"/>
            <w:vAlign w:val="center"/>
          </w:tcPr>
          <w:p w14:paraId="1846D6C7">
            <w:pPr>
              <w:pStyle w:val="16"/>
            </w:pPr>
          </w:p>
        </w:tc>
        <w:tc>
          <w:tcPr>
            <w:tcW w:w="1134" w:type="dxa"/>
            <w:vAlign w:val="center"/>
          </w:tcPr>
          <w:p w14:paraId="6F2FBE9A">
            <w:pPr>
              <w:pStyle w:val="17"/>
            </w:pPr>
          </w:p>
        </w:tc>
        <w:tc>
          <w:tcPr>
            <w:tcW w:w="1134" w:type="dxa"/>
            <w:vAlign w:val="center"/>
          </w:tcPr>
          <w:p w14:paraId="4D198A24">
            <w:pPr>
              <w:pStyle w:val="17"/>
            </w:pPr>
          </w:p>
        </w:tc>
        <w:tc>
          <w:tcPr>
            <w:tcW w:w="709" w:type="dxa"/>
            <w:vAlign w:val="center"/>
          </w:tcPr>
          <w:p w14:paraId="2319DB4C">
            <w:pPr>
              <w:pStyle w:val="15"/>
            </w:pPr>
          </w:p>
        </w:tc>
        <w:tc>
          <w:tcPr>
            <w:tcW w:w="850" w:type="dxa"/>
            <w:vAlign w:val="center"/>
          </w:tcPr>
          <w:p w14:paraId="360F1AC6">
            <w:pPr>
              <w:pStyle w:val="16"/>
            </w:pPr>
          </w:p>
        </w:tc>
        <w:tc>
          <w:tcPr>
            <w:tcW w:w="850" w:type="dxa"/>
            <w:vAlign w:val="center"/>
          </w:tcPr>
          <w:p w14:paraId="775212E4">
            <w:pPr>
              <w:pStyle w:val="16"/>
            </w:pPr>
          </w:p>
        </w:tc>
        <w:tc>
          <w:tcPr>
            <w:tcW w:w="964" w:type="dxa"/>
            <w:vAlign w:val="center"/>
          </w:tcPr>
          <w:p w14:paraId="5830DFB7">
            <w:pPr>
              <w:pStyle w:val="16"/>
            </w:pPr>
            <w:r>
              <w:t>11.98</w:t>
            </w:r>
          </w:p>
        </w:tc>
        <w:tc>
          <w:tcPr>
            <w:tcW w:w="964" w:type="dxa"/>
            <w:vAlign w:val="center"/>
          </w:tcPr>
          <w:p w14:paraId="7E4ED23F">
            <w:pPr>
              <w:pStyle w:val="16"/>
            </w:pPr>
            <w:r>
              <w:t>11.98</w:t>
            </w:r>
          </w:p>
        </w:tc>
        <w:tc>
          <w:tcPr>
            <w:tcW w:w="964" w:type="dxa"/>
            <w:vAlign w:val="center"/>
          </w:tcPr>
          <w:p w14:paraId="5C4B31A3">
            <w:pPr>
              <w:pStyle w:val="16"/>
            </w:pPr>
          </w:p>
        </w:tc>
        <w:tc>
          <w:tcPr>
            <w:tcW w:w="964" w:type="dxa"/>
            <w:vAlign w:val="center"/>
          </w:tcPr>
          <w:p w14:paraId="47FEE0DB">
            <w:pPr>
              <w:pStyle w:val="16"/>
            </w:pPr>
          </w:p>
        </w:tc>
        <w:tc>
          <w:tcPr>
            <w:tcW w:w="964" w:type="dxa"/>
            <w:vAlign w:val="center"/>
          </w:tcPr>
          <w:p w14:paraId="259F1E8B">
            <w:pPr>
              <w:pStyle w:val="16"/>
            </w:pPr>
          </w:p>
        </w:tc>
        <w:tc>
          <w:tcPr>
            <w:tcW w:w="964" w:type="dxa"/>
            <w:vAlign w:val="center"/>
          </w:tcPr>
          <w:p w14:paraId="6277E4C2">
            <w:pPr>
              <w:pStyle w:val="16"/>
            </w:pPr>
          </w:p>
        </w:tc>
        <w:tc>
          <w:tcPr>
            <w:tcW w:w="964" w:type="dxa"/>
            <w:vAlign w:val="center"/>
          </w:tcPr>
          <w:p w14:paraId="2E7E6343">
            <w:pPr>
              <w:pStyle w:val="16"/>
            </w:pPr>
          </w:p>
        </w:tc>
        <w:tc>
          <w:tcPr>
            <w:tcW w:w="964" w:type="dxa"/>
            <w:vAlign w:val="center"/>
          </w:tcPr>
          <w:p w14:paraId="119F8F0D">
            <w:pPr>
              <w:pStyle w:val="16"/>
            </w:pPr>
            <w:r>
              <w:t>11.98</w:t>
            </w:r>
          </w:p>
        </w:tc>
      </w:tr>
      <w:tr w14:paraId="54A44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2BD123">
            <w:pPr>
              <w:pStyle w:val="13"/>
            </w:pPr>
            <w:r>
              <w:t>冀财教[2024]123号/中央/2025年义教补助经费/综合奖补/第五实验专用设备购置</w:t>
            </w:r>
          </w:p>
        </w:tc>
        <w:tc>
          <w:tcPr>
            <w:tcW w:w="964" w:type="dxa"/>
            <w:vAlign w:val="center"/>
          </w:tcPr>
          <w:p w14:paraId="1C669698">
            <w:pPr>
              <w:pStyle w:val="14"/>
            </w:pPr>
            <w:r>
              <w:t>28.60</w:t>
            </w:r>
          </w:p>
        </w:tc>
        <w:tc>
          <w:tcPr>
            <w:tcW w:w="1134" w:type="dxa"/>
            <w:vAlign w:val="center"/>
          </w:tcPr>
          <w:p w14:paraId="11858923">
            <w:pPr>
              <w:pStyle w:val="13"/>
            </w:pPr>
            <w:r>
              <w:t>台式计算机</w:t>
            </w:r>
          </w:p>
        </w:tc>
        <w:tc>
          <w:tcPr>
            <w:tcW w:w="1134" w:type="dxa"/>
            <w:vAlign w:val="center"/>
          </w:tcPr>
          <w:p w14:paraId="0BF7D4B6">
            <w:pPr>
              <w:pStyle w:val="13"/>
            </w:pPr>
            <w:r>
              <w:t>A02010105</w:t>
            </w:r>
          </w:p>
        </w:tc>
        <w:tc>
          <w:tcPr>
            <w:tcW w:w="709" w:type="dxa"/>
            <w:vAlign w:val="center"/>
          </w:tcPr>
          <w:p w14:paraId="5EC33667">
            <w:pPr>
              <w:pStyle w:val="12"/>
            </w:pPr>
            <w:r>
              <w:t>台</w:t>
            </w:r>
          </w:p>
        </w:tc>
        <w:tc>
          <w:tcPr>
            <w:tcW w:w="850" w:type="dxa"/>
            <w:vAlign w:val="center"/>
          </w:tcPr>
          <w:p w14:paraId="4CD32ED9">
            <w:pPr>
              <w:pStyle w:val="14"/>
            </w:pPr>
            <w:r>
              <w:t>7</w:t>
            </w:r>
          </w:p>
        </w:tc>
        <w:tc>
          <w:tcPr>
            <w:tcW w:w="850" w:type="dxa"/>
            <w:vAlign w:val="center"/>
          </w:tcPr>
          <w:p w14:paraId="7FC88517">
            <w:pPr>
              <w:pStyle w:val="14"/>
            </w:pPr>
            <w:r>
              <w:t>0.40</w:t>
            </w:r>
          </w:p>
        </w:tc>
        <w:tc>
          <w:tcPr>
            <w:tcW w:w="964" w:type="dxa"/>
            <w:vAlign w:val="center"/>
          </w:tcPr>
          <w:p w14:paraId="423AE391">
            <w:pPr>
              <w:pStyle w:val="14"/>
            </w:pPr>
            <w:r>
              <w:t>2.80</w:t>
            </w:r>
          </w:p>
        </w:tc>
        <w:tc>
          <w:tcPr>
            <w:tcW w:w="964" w:type="dxa"/>
            <w:vAlign w:val="center"/>
          </w:tcPr>
          <w:p w14:paraId="4A35455E">
            <w:pPr>
              <w:pStyle w:val="14"/>
            </w:pPr>
            <w:r>
              <w:t>2.80</w:t>
            </w:r>
          </w:p>
        </w:tc>
        <w:tc>
          <w:tcPr>
            <w:tcW w:w="964" w:type="dxa"/>
            <w:vAlign w:val="center"/>
          </w:tcPr>
          <w:p w14:paraId="3A6F0437">
            <w:pPr>
              <w:pStyle w:val="14"/>
            </w:pPr>
          </w:p>
        </w:tc>
        <w:tc>
          <w:tcPr>
            <w:tcW w:w="964" w:type="dxa"/>
            <w:vAlign w:val="center"/>
          </w:tcPr>
          <w:p w14:paraId="29915D4D">
            <w:pPr>
              <w:pStyle w:val="14"/>
            </w:pPr>
          </w:p>
        </w:tc>
        <w:tc>
          <w:tcPr>
            <w:tcW w:w="964" w:type="dxa"/>
            <w:vAlign w:val="center"/>
          </w:tcPr>
          <w:p w14:paraId="6B09F9F6">
            <w:pPr>
              <w:pStyle w:val="14"/>
            </w:pPr>
          </w:p>
        </w:tc>
        <w:tc>
          <w:tcPr>
            <w:tcW w:w="964" w:type="dxa"/>
            <w:vAlign w:val="center"/>
          </w:tcPr>
          <w:p w14:paraId="63418A56">
            <w:pPr>
              <w:pStyle w:val="14"/>
            </w:pPr>
          </w:p>
        </w:tc>
        <w:tc>
          <w:tcPr>
            <w:tcW w:w="964" w:type="dxa"/>
            <w:vAlign w:val="center"/>
          </w:tcPr>
          <w:p w14:paraId="21033099">
            <w:pPr>
              <w:pStyle w:val="14"/>
            </w:pPr>
          </w:p>
        </w:tc>
        <w:tc>
          <w:tcPr>
            <w:tcW w:w="964" w:type="dxa"/>
            <w:vAlign w:val="center"/>
          </w:tcPr>
          <w:p w14:paraId="2CB5A27A">
            <w:pPr>
              <w:pStyle w:val="14"/>
            </w:pPr>
            <w:r>
              <w:t>2.80</w:t>
            </w:r>
          </w:p>
        </w:tc>
      </w:tr>
      <w:tr w14:paraId="6DC7F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748485">
            <w:pPr>
              <w:pStyle w:val="13"/>
            </w:pPr>
            <w:r>
              <w:t>冀财教[2024]123号/中央/2025年义教补助经费/综合奖补/第五实验专用设备购置</w:t>
            </w:r>
          </w:p>
        </w:tc>
        <w:tc>
          <w:tcPr>
            <w:tcW w:w="964" w:type="dxa"/>
            <w:vAlign w:val="center"/>
          </w:tcPr>
          <w:p w14:paraId="70DE7E4A">
            <w:pPr>
              <w:pStyle w:val="14"/>
            </w:pPr>
            <w:r>
              <w:t>28.60</w:t>
            </w:r>
          </w:p>
        </w:tc>
        <w:tc>
          <w:tcPr>
            <w:tcW w:w="1134" w:type="dxa"/>
            <w:vAlign w:val="center"/>
          </w:tcPr>
          <w:p w14:paraId="6B6B9358">
            <w:pPr>
              <w:pStyle w:val="13"/>
            </w:pPr>
            <w:r>
              <w:t>书柜</w:t>
            </w:r>
          </w:p>
        </w:tc>
        <w:tc>
          <w:tcPr>
            <w:tcW w:w="1134" w:type="dxa"/>
            <w:vAlign w:val="center"/>
          </w:tcPr>
          <w:p w14:paraId="0179FD09">
            <w:pPr>
              <w:pStyle w:val="13"/>
            </w:pPr>
            <w:r>
              <w:t>A05010501</w:t>
            </w:r>
          </w:p>
        </w:tc>
        <w:tc>
          <w:tcPr>
            <w:tcW w:w="709" w:type="dxa"/>
            <w:vAlign w:val="center"/>
          </w:tcPr>
          <w:p w14:paraId="65BEE913">
            <w:pPr>
              <w:pStyle w:val="12"/>
            </w:pPr>
            <w:r>
              <w:t>套</w:t>
            </w:r>
          </w:p>
        </w:tc>
        <w:tc>
          <w:tcPr>
            <w:tcW w:w="850" w:type="dxa"/>
            <w:vAlign w:val="center"/>
          </w:tcPr>
          <w:p w14:paraId="0A3F2526">
            <w:pPr>
              <w:pStyle w:val="14"/>
            </w:pPr>
            <w:r>
              <w:t>4</w:t>
            </w:r>
          </w:p>
        </w:tc>
        <w:tc>
          <w:tcPr>
            <w:tcW w:w="850" w:type="dxa"/>
            <w:vAlign w:val="center"/>
          </w:tcPr>
          <w:p w14:paraId="2BA192DA">
            <w:pPr>
              <w:pStyle w:val="14"/>
            </w:pPr>
            <w:r>
              <w:t>0.49</w:t>
            </w:r>
          </w:p>
        </w:tc>
        <w:tc>
          <w:tcPr>
            <w:tcW w:w="964" w:type="dxa"/>
            <w:vAlign w:val="center"/>
          </w:tcPr>
          <w:p w14:paraId="43829968">
            <w:pPr>
              <w:pStyle w:val="14"/>
            </w:pPr>
            <w:r>
              <w:t>1.94</w:t>
            </w:r>
          </w:p>
        </w:tc>
        <w:tc>
          <w:tcPr>
            <w:tcW w:w="964" w:type="dxa"/>
            <w:vAlign w:val="center"/>
          </w:tcPr>
          <w:p w14:paraId="62A6DBAC">
            <w:pPr>
              <w:pStyle w:val="14"/>
            </w:pPr>
            <w:r>
              <w:t>1.94</w:t>
            </w:r>
          </w:p>
        </w:tc>
        <w:tc>
          <w:tcPr>
            <w:tcW w:w="964" w:type="dxa"/>
            <w:vAlign w:val="center"/>
          </w:tcPr>
          <w:p w14:paraId="79B85B7D">
            <w:pPr>
              <w:pStyle w:val="14"/>
            </w:pPr>
          </w:p>
        </w:tc>
        <w:tc>
          <w:tcPr>
            <w:tcW w:w="964" w:type="dxa"/>
            <w:vAlign w:val="center"/>
          </w:tcPr>
          <w:p w14:paraId="50F91BBB">
            <w:pPr>
              <w:pStyle w:val="14"/>
            </w:pPr>
          </w:p>
        </w:tc>
        <w:tc>
          <w:tcPr>
            <w:tcW w:w="964" w:type="dxa"/>
            <w:vAlign w:val="center"/>
          </w:tcPr>
          <w:p w14:paraId="2B17D428">
            <w:pPr>
              <w:pStyle w:val="14"/>
            </w:pPr>
          </w:p>
        </w:tc>
        <w:tc>
          <w:tcPr>
            <w:tcW w:w="964" w:type="dxa"/>
            <w:vAlign w:val="center"/>
          </w:tcPr>
          <w:p w14:paraId="502F59E0">
            <w:pPr>
              <w:pStyle w:val="14"/>
            </w:pPr>
          </w:p>
        </w:tc>
        <w:tc>
          <w:tcPr>
            <w:tcW w:w="964" w:type="dxa"/>
            <w:vAlign w:val="center"/>
          </w:tcPr>
          <w:p w14:paraId="0334B0C2">
            <w:pPr>
              <w:pStyle w:val="14"/>
            </w:pPr>
          </w:p>
        </w:tc>
        <w:tc>
          <w:tcPr>
            <w:tcW w:w="964" w:type="dxa"/>
            <w:vAlign w:val="center"/>
          </w:tcPr>
          <w:p w14:paraId="4D9DB516">
            <w:pPr>
              <w:pStyle w:val="14"/>
            </w:pPr>
            <w:r>
              <w:t>1.94</w:t>
            </w:r>
          </w:p>
        </w:tc>
      </w:tr>
      <w:tr w14:paraId="4F0B2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D5A250">
            <w:pPr>
              <w:pStyle w:val="13"/>
            </w:pPr>
            <w:r>
              <w:t>冀财教[2024]141号/省级/2025年义教补助经费/第五实验小学公用经费</w:t>
            </w:r>
          </w:p>
        </w:tc>
        <w:tc>
          <w:tcPr>
            <w:tcW w:w="964" w:type="dxa"/>
            <w:vAlign w:val="center"/>
          </w:tcPr>
          <w:p w14:paraId="0F2D61BA">
            <w:pPr>
              <w:pStyle w:val="14"/>
            </w:pPr>
            <w:r>
              <w:t>78.79</w:t>
            </w:r>
          </w:p>
        </w:tc>
        <w:tc>
          <w:tcPr>
            <w:tcW w:w="1134" w:type="dxa"/>
            <w:vAlign w:val="center"/>
          </w:tcPr>
          <w:p w14:paraId="46ECD1D3">
            <w:pPr>
              <w:pStyle w:val="13"/>
            </w:pPr>
            <w:r>
              <w:t>台式计算机</w:t>
            </w:r>
          </w:p>
        </w:tc>
        <w:tc>
          <w:tcPr>
            <w:tcW w:w="1134" w:type="dxa"/>
            <w:vAlign w:val="center"/>
          </w:tcPr>
          <w:p w14:paraId="4DC2F979">
            <w:pPr>
              <w:pStyle w:val="13"/>
            </w:pPr>
            <w:r>
              <w:t>A02010105</w:t>
            </w:r>
          </w:p>
        </w:tc>
        <w:tc>
          <w:tcPr>
            <w:tcW w:w="709" w:type="dxa"/>
            <w:vAlign w:val="center"/>
          </w:tcPr>
          <w:p w14:paraId="0EADE55E">
            <w:pPr>
              <w:pStyle w:val="12"/>
            </w:pPr>
            <w:r>
              <w:t xml:space="preserve">台 </w:t>
            </w:r>
          </w:p>
        </w:tc>
        <w:tc>
          <w:tcPr>
            <w:tcW w:w="850" w:type="dxa"/>
            <w:vAlign w:val="center"/>
          </w:tcPr>
          <w:p w14:paraId="0B8D0F78">
            <w:pPr>
              <w:pStyle w:val="14"/>
            </w:pPr>
            <w:r>
              <w:t>5</w:t>
            </w:r>
          </w:p>
        </w:tc>
        <w:tc>
          <w:tcPr>
            <w:tcW w:w="850" w:type="dxa"/>
            <w:vAlign w:val="center"/>
          </w:tcPr>
          <w:p w14:paraId="146824B9">
            <w:pPr>
              <w:pStyle w:val="14"/>
            </w:pPr>
            <w:r>
              <w:t>0.45</w:t>
            </w:r>
          </w:p>
        </w:tc>
        <w:tc>
          <w:tcPr>
            <w:tcW w:w="964" w:type="dxa"/>
            <w:vAlign w:val="center"/>
          </w:tcPr>
          <w:p w14:paraId="31B0E278">
            <w:pPr>
              <w:pStyle w:val="14"/>
            </w:pPr>
            <w:r>
              <w:t>2.23</w:t>
            </w:r>
          </w:p>
        </w:tc>
        <w:tc>
          <w:tcPr>
            <w:tcW w:w="964" w:type="dxa"/>
            <w:vAlign w:val="center"/>
          </w:tcPr>
          <w:p w14:paraId="343450A8">
            <w:pPr>
              <w:pStyle w:val="14"/>
            </w:pPr>
            <w:r>
              <w:t>2.23</w:t>
            </w:r>
          </w:p>
        </w:tc>
        <w:tc>
          <w:tcPr>
            <w:tcW w:w="964" w:type="dxa"/>
            <w:vAlign w:val="center"/>
          </w:tcPr>
          <w:p w14:paraId="5E9C502E">
            <w:pPr>
              <w:pStyle w:val="14"/>
            </w:pPr>
          </w:p>
        </w:tc>
        <w:tc>
          <w:tcPr>
            <w:tcW w:w="964" w:type="dxa"/>
            <w:vAlign w:val="center"/>
          </w:tcPr>
          <w:p w14:paraId="6F9B3F8B">
            <w:pPr>
              <w:pStyle w:val="14"/>
            </w:pPr>
          </w:p>
        </w:tc>
        <w:tc>
          <w:tcPr>
            <w:tcW w:w="964" w:type="dxa"/>
            <w:vAlign w:val="center"/>
          </w:tcPr>
          <w:p w14:paraId="256E85BB">
            <w:pPr>
              <w:pStyle w:val="14"/>
            </w:pPr>
          </w:p>
        </w:tc>
        <w:tc>
          <w:tcPr>
            <w:tcW w:w="964" w:type="dxa"/>
            <w:vAlign w:val="center"/>
          </w:tcPr>
          <w:p w14:paraId="5B700C99">
            <w:pPr>
              <w:pStyle w:val="14"/>
            </w:pPr>
          </w:p>
        </w:tc>
        <w:tc>
          <w:tcPr>
            <w:tcW w:w="964" w:type="dxa"/>
            <w:vAlign w:val="center"/>
          </w:tcPr>
          <w:p w14:paraId="02965D96">
            <w:pPr>
              <w:pStyle w:val="14"/>
            </w:pPr>
          </w:p>
        </w:tc>
        <w:tc>
          <w:tcPr>
            <w:tcW w:w="964" w:type="dxa"/>
            <w:vAlign w:val="center"/>
          </w:tcPr>
          <w:p w14:paraId="62E8AD14">
            <w:pPr>
              <w:pStyle w:val="14"/>
            </w:pPr>
            <w:r>
              <w:t>2.23</w:t>
            </w:r>
          </w:p>
        </w:tc>
      </w:tr>
      <w:tr w14:paraId="421A8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4EB1AB">
            <w:pPr>
              <w:pStyle w:val="13"/>
            </w:pPr>
            <w:r>
              <w:t>冀财教[2024]141号/省级/2025年义教补助经费/第五实验小学公用经费</w:t>
            </w:r>
          </w:p>
        </w:tc>
        <w:tc>
          <w:tcPr>
            <w:tcW w:w="964" w:type="dxa"/>
            <w:vAlign w:val="center"/>
          </w:tcPr>
          <w:p w14:paraId="58503FBF">
            <w:pPr>
              <w:pStyle w:val="14"/>
            </w:pPr>
            <w:r>
              <w:t>78.79</w:t>
            </w:r>
          </w:p>
        </w:tc>
        <w:tc>
          <w:tcPr>
            <w:tcW w:w="1134" w:type="dxa"/>
            <w:vAlign w:val="center"/>
          </w:tcPr>
          <w:p w14:paraId="4A25870E">
            <w:pPr>
              <w:pStyle w:val="13"/>
            </w:pPr>
            <w:r>
              <w:t>A4 彩色打印机</w:t>
            </w:r>
          </w:p>
        </w:tc>
        <w:tc>
          <w:tcPr>
            <w:tcW w:w="1134" w:type="dxa"/>
            <w:vAlign w:val="center"/>
          </w:tcPr>
          <w:p w14:paraId="7E1AD712">
            <w:pPr>
              <w:pStyle w:val="13"/>
            </w:pPr>
            <w:r>
              <w:t>A02021004</w:t>
            </w:r>
          </w:p>
        </w:tc>
        <w:tc>
          <w:tcPr>
            <w:tcW w:w="709" w:type="dxa"/>
            <w:vAlign w:val="center"/>
          </w:tcPr>
          <w:p w14:paraId="22AD9413">
            <w:pPr>
              <w:pStyle w:val="12"/>
            </w:pPr>
            <w:r>
              <w:t>台</w:t>
            </w:r>
          </w:p>
        </w:tc>
        <w:tc>
          <w:tcPr>
            <w:tcW w:w="850" w:type="dxa"/>
            <w:vAlign w:val="center"/>
          </w:tcPr>
          <w:p w14:paraId="7FE8B408">
            <w:pPr>
              <w:pStyle w:val="14"/>
            </w:pPr>
            <w:r>
              <w:t>2</w:t>
            </w:r>
          </w:p>
        </w:tc>
        <w:tc>
          <w:tcPr>
            <w:tcW w:w="850" w:type="dxa"/>
            <w:vAlign w:val="center"/>
          </w:tcPr>
          <w:p w14:paraId="7D97B233">
            <w:pPr>
              <w:pStyle w:val="14"/>
            </w:pPr>
            <w:r>
              <w:t>0.16</w:t>
            </w:r>
          </w:p>
        </w:tc>
        <w:tc>
          <w:tcPr>
            <w:tcW w:w="964" w:type="dxa"/>
            <w:vAlign w:val="center"/>
          </w:tcPr>
          <w:p w14:paraId="544E6186">
            <w:pPr>
              <w:pStyle w:val="14"/>
            </w:pPr>
            <w:r>
              <w:t>0.32</w:t>
            </w:r>
          </w:p>
        </w:tc>
        <w:tc>
          <w:tcPr>
            <w:tcW w:w="964" w:type="dxa"/>
            <w:vAlign w:val="center"/>
          </w:tcPr>
          <w:p w14:paraId="149941C5">
            <w:pPr>
              <w:pStyle w:val="14"/>
            </w:pPr>
            <w:r>
              <w:t>0.32</w:t>
            </w:r>
          </w:p>
        </w:tc>
        <w:tc>
          <w:tcPr>
            <w:tcW w:w="964" w:type="dxa"/>
            <w:vAlign w:val="center"/>
          </w:tcPr>
          <w:p w14:paraId="11A22432">
            <w:pPr>
              <w:pStyle w:val="14"/>
            </w:pPr>
          </w:p>
        </w:tc>
        <w:tc>
          <w:tcPr>
            <w:tcW w:w="964" w:type="dxa"/>
            <w:vAlign w:val="center"/>
          </w:tcPr>
          <w:p w14:paraId="73627448">
            <w:pPr>
              <w:pStyle w:val="14"/>
            </w:pPr>
          </w:p>
        </w:tc>
        <w:tc>
          <w:tcPr>
            <w:tcW w:w="964" w:type="dxa"/>
            <w:vAlign w:val="center"/>
          </w:tcPr>
          <w:p w14:paraId="4E7A259A">
            <w:pPr>
              <w:pStyle w:val="14"/>
            </w:pPr>
          </w:p>
        </w:tc>
        <w:tc>
          <w:tcPr>
            <w:tcW w:w="964" w:type="dxa"/>
            <w:vAlign w:val="center"/>
          </w:tcPr>
          <w:p w14:paraId="60D4097B">
            <w:pPr>
              <w:pStyle w:val="14"/>
            </w:pPr>
          </w:p>
        </w:tc>
        <w:tc>
          <w:tcPr>
            <w:tcW w:w="964" w:type="dxa"/>
            <w:vAlign w:val="center"/>
          </w:tcPr>
          <w:p w14:paraId="7F0D5CEC">
            <w:pPr>
              <w:pStyle w:val="14"/>
            </w:pPr>
          </w:p>
        </w:tc>
        <w:tc>
          <w:tcPr>
            <w:tcW w:w="964" w:type="dxa"/>
            <w:vAlign w:val="center"/>
          </w:tcPr>
          <w:p w14:paraId="4B03B91A">
            <w:pPr>
              <w:pStyle w:val="14"/>
            </w:pPr>
            <w:r>
              <w:t>0.32</w:t>
            </w:r>
          </w:p>
        </w:tc>
      </w:tr>
      <w:tr w14:paraId="4E023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06A53E">
            <w:pPr>
              <w:pStyle w:val="13"/>
            </w:pPr>
            <w:r>
              <w:t>冀财教[2024]141号/省级/2025年义教补助经费/第五实验小学公用经费</w:t>
            </w:r>
          </w:p>
        </w:tc>
        <w:tc>
          <w:tcPr>
            <w:tcW w:w="964" w:type="dxa"/>
            <w:vAlign w:val="center"/>
          </w:tcPr>
          <w:p w14:paraId="0C14C68D">
            <w:pPr>
              <w:pStyle w:val="14"/>
            </w:pPr>
            <w:r>
              <w:t>78.79</w:t>
            </w:r>
          </w:p>
        </w:tc>
        <w:tc>
          <w:tcPr>
            <w:tcW w:w="1134" w:type="dxa"/>
            <w:vAlign w:val="center"/>
          </w:tcPr>
          <w:p w14:paraId="1BED1D42">
            <w:pPr>
              <w:pStyle w:val="13"/>
            </w:pPr>
            <w:r>
              <w:t>扫描仪</w:t>
            </w:r>
          </w:p>
        </w:tc>
        <w:tc>
          <w:tcPr>
            <w:tcW w:w="1134" w:type="dxa"/>
            <w:vAlign w:val="center"/>
          </w:tcPr>
          <w:p w14:paraId="2A44A51B">
            <w:pPr>
              <w:pStyle w:val="13"/>
            </w:pPr>
            <w:r>
              <w:t>A02021118</w:t>
            </w:r>
          </w:p>
        </w:tc>
        <w:tc>
          <w:tcPr>
            <w:tcW w:w="709" w:type="dxa"/>
            <w:vAlign w:val="center"/>
          </w:tcPr>
          <w:p w14:paraId="1DA27E17">
            <w:pPr>
              <w:pStyle w:val="12"/>
            </w:pPr>
            <w:r>
              <w:t>台</w:t>
            </w:r>
          </w:p>
        </w:tc>
        <w:tc>
          <w:tcPr>
            <w:tcW w:w="850" w:type="dxa"/>
            <w:vAlign w:val="center"/>
          </w:tcPr>
          <w:p w14:paraId="56BF6CA7">
            <w:pPr>
              <w:pStyle w:val="14"/>
            </w:pPr>
            <w:r>
              <w:t>1</w:t>
            </w:r>
          </w:p>
        </w:tc>
        <w:tc>
          <w:tcPr>
            <w:tcW w:w="850" w:type="dxa"/>
            <w:vAlign w:val="center"/>
          </w:tcPr>
          <w:p w14:paraId="6DE53614">
            <w:pPr>
              <w:pStyle w:val="14"/>
            </w:pPr>
            <w:r>
              <w:t>3.65</w:t>
            </w:r>
          </w:p>
        </w:tc>
        <w:tc>
          <w:tcPr>
            <w:tcW w:w="964" w:type="dxa"/>
            <w:vAlign w:val="center"/>
          </w:tcPr>
          <w:p w14:paraId="242AD6FC">
            <w:pPr>
              <w:pStyle w:val="14"/>
            </w:pPr>
            <w:r>
              <w:t>3.65</w:t>
            </w:r>
          </w:p>
        </w:tc>
        <w:tc>
          <w:tcPr>
            <w:tcW w:w="964" w:type="dxa"/>
            <w:vAlign w:val="center"/>
          </w:tcPr>
          <w:p w14:paraId="5306A8CE">
            <w:pPr>
              <w:pStyle w:val="14"/>
            </w:pPr>
            <w:r>
              <w:t>3.65</w:t>
            </w:r>
          </w:p>
        </w:tc>
        <w:tc>
          <w:tcPr>
            <w:tcW w:w="964" w:type="dxa"/>
            <w:vAlign w:val="center"/>
          </w:tcPr>
          <w:p w14:paraId="4FA1CBAB">
            <w:pPr>
              <w:pStyle w:val="14"/>
            </w:pPr>
          </w:p>
        </w:tc>
        <w:tc>
          <w:tcPr>
            <w:tcW w:w="964" w:type="dxa"/>
            <w:vAlign w:val="center"/>
          </w:tcPr>
          <w:p w14:paraId="28CF3404">
            <w:pPr>
              <w:pStyle w:val="14"/>
            </w:pPr>
          </w:p>
        </w:tc>
        <w:tc>
          <w:tcPr>
            <w:tcW w:w="964" w:type="dxa"/>
            <w:vAlign w:val="center"/>
          </w:tcPr>
          <w:p w14:paraId="1A066BE1">
            <w:pPr>
              <w:pStyle w:val="14"/>
            </w:pPr>
          </w:p>
        </w:tc>
        <w:tc>
          <w:tcPr>
            <w:tcW w:w="964" w:type="dxa"/>
            <w:vAlign w:val="center"/>
          </w:tcPr>
          <w:p w14:paraId="0D5E8805">
            <w:pPr>
              <w:pStyle w:val="14"/>
            </w:pPr>
          </w:p>
        </w:tc>
        <w:tc>
          <w:tcPr>
            <w:tcW w:w="964" w:type="dxa"/>
            <w:vAlign w:val="center"/>
          </w:tcPr>
          <w:p w14:paraId="5E773B9D">
            <w:pPr>
              <w:pStyle w:val="14"/>
            </w:pPr>
          </w:p>
        </w:tc>
        <w:tc>
          <w:tcPr>
            <w:tcW w:w="964" w:type="dxa"/>
            <w:vAlign w:val="center"/>
          </w:tcPr>
          <w:p w14:paraId="60BE5978">
            <w:pPr>
              <w:pStyle w:val="14"/>
            </w:pPr>
            <w:r>
              <w:t>3.65</w:t>
            </w:r>
          </w:p>
        </w:tc>
      </w:tr>
      <w:tr w14:paraId="2440F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4D91DE">
            <w:pPr>
              <w:pStyle w:val="13"/>
            </w:pPr>
            <w:r>
              <w:t>冀财教[2024]141号/省级/2025年义教补助经费/第五实验小学公用经费</w:t>
            </w:r>
          </w:p>
        </w:tc>
        <w:tc>
          <w:tcPr>
            <w:tcW w:w="964" w:type="dxa"/>
            <w:vAlign w:val="center"/>
          </w:tcPr>
          <w:p w14:paraId="69B00DA2">
            <w:pPr>
              <w:pStyle w:val="14"/>
            </w:pPr>
            <w:r>
              <w:t>78.79</w:t>
            </w:r>
          </w:p>
        </w:tc>
        <w:tc>
          <w:tcPr>
            <w:tcW w:w="1134" w:type="dxa"/>
            <w:vAlign w:val="center"/>
          </w:tcPr>
          <w:p w14:paraId="463D2364">
            <w:pPr>
              <w:pStyle w:val="13"/>
            </w:pPr>
            <w:r>
              <w:t>空调机</w:t>
            </w:r>
          </w:p>
        </w:tc>
        <w:tc>
          <w:tcPr>
            <w:tcW w:w="1134" w:type="dxa"/>
            <w:vAlign w:val="center"/>
          </w:tcPr>
          <w:p w14:paraId="41207AEE">
            <w:pPr>
              <w:pStyle w:val="13"/>
            </w:pPr>
            <w:r>
              <w:t>A02061804</w:t>
            </w:r>
          </w:p>
        </w:tc>
        <w:tc>
          <w:tcPr>
            <w:tcW w:w="709" w:type="dxa"/>
            <w:vAlign w:val="center"/>
          </w:tcPr>
          <w:p w14:paraId="6FC52B28">
            <w:pPr>
              <w:pStyle w:val="12"/>
            </w:pPr>
            <w:r>
              <w:t>台</w:t>
            </w:r>
          </w:p>
        </w:tc>
        <w:tc>
          <w:tcPr>
            <w:tcW w:w="850" w:type="dxa"/>
            <w:vAlign w:val="center"/>
          </w:tcPr>
          <w:p w14:paraId="32C0185C">
            <w:pPr>
              <w:pStyle w:val="14"/>
            </w:pPr>
            <w:r>
              <w:t>1</w:t>
            </w:r>
          </w:p>
        </w:tc>
        <w:tc>
          <w:tcPr>
            <w:tcW w:w="850" w:type="dxa"/>
            <w:vAlign w:val="center"/>
          </w:tcPr>
          <w:p w14:paraId="18CA7036">
            <w:pPr>
              <w:pStyle w:val="14"/>
            </w:pPr>
            <w:r>
              <w:t>0.56</w:t>
            </w:r>
          </w:p>
        </w:tc>
        <w:tc>
          <w:tcPr>
            <w:tcW w:w="964" w:type="dxa"/>
            <w:vAlign w:val="center"/>
          </w:tcPr>
          <w:p w14:paraId="35394435">
            <w:pPr>
              <w:pStyle w:val="14"/>
            </w:pPr>
            <w:r>
              <w:t>0.56</w:t>
            </w:r>
          </w:p>
        </w:tc>
        <w:tc>
          <w:tcPr>
            <w:tcW w:w="964" w:type="dxa"/>
            <w:vAlign w:val="center"/>
          </w:tcPr>
          <w:p w14:paraId="05F4EBF1">
            <w:pPr>
              <w:pStyle w:val="14"/>
            </w:pPr>
            <w:r>
              <w:t>0.56</w:t>
            </w:r>
          </w:p>
        </w:tc>
        <w:tc>
          <w:tcPr>
            <w:tcW w:w="964" w:type="dxa"/>
            <w:vAlign w:val="center"/>
          </w:tcPr>
          <w:p w14:paraId="6EA5F4ED">
            <w:pPr>
              <w:pStyle w:val="14"/>
            </w:pPr>
          </w:p>
        </w:tc>
        <w:tc>
          <w:tcPr>
            <w:tcW w:w="964" w:type="dxa"/>
            <w:vAlign w:val="center"/>
          </w:tcPr>
          <w:p w14:paraId="6CEB6DC5">
            <w:pPr>
              <w:pStyle w:val="14"/>
            </w:pPr>
          </w:p>
        </w:tc>
        <w:tc>
          <w:tcPr>
            <w:tcW w:w="964" w:type="dxa"/>
            <w:vAlign w:val="center"/>
          </w:tcPr>
          <w:p w14:paraId="4FB5819A">
            <w:pPr>
              <w:pStyle w:val="14"/>
            </w:pPr>
          </w:p>
        </w:tc>
        <w:tc>
          <w:tcPr>
            <w:tcW w:w="964" w:type="dxa"/>
            <w:vAlign w:val="center"/>
          </w:tcPr>
          <w:p w14:paraId="3BD50668">
            <w:pPr>
              <w:pStyle w:val="14"/>
            </w:pPr>
          </w:p>
        </w:tc>
        <w:tc>
          <w:tcPr>
            <w:tcW w:w="964" w:type="dxa"/>
            <w:vAlign w:val="center"/>
          </w:tcPr>
          <w:p w14:paraId="5E96292D">
            <w:pPr>
              <w:pStyle w:val="14"/>
            </w:pPr>
          </w:p>
        </w:tc>
        <w:tc>
          <w:tcPr>
            <w:tcW w:w="964" w:type="dxa"/>
            <w:vAlign w:val="center"/>
          </w:tcPr>
          <w:p w14:paraId="4CDADB52">
            <w:pPr>
              <w:pStyle w:val="14"/>
            </w:pPr>
            <w:r>
              <w:t>0.56</w:t>
            </w:r>
          </w:p>
        </w:tc>
      </w:tr>
      <w:tr w14:paraId="79DAB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2CD211">
            <w:pPr>
              <w:pStyle w:val="13"/>
            </w:pPr>
            <w:r>
              <w:t>冀财教[2024]141号/省级/2025年义教补助经费/第五实验小学公用经费</w:t>
            </w:r>
          </w:p>
        </w:tc>
        <w:tc>
          <w:tcPr>
            <w:tcW w:w="964" w:type="dxa"/>
            <w:vAlign w:val="center"/>
          </w:tcPr>
          <w:p w14:paraId="315D987F">
            <w:pPr>
              <w:pStyle w:val="14"/>
            </w:pPr>
            <w:r>
              <w:t>78.79</w:t>
            </w:r>
          </w:p>
        </w:tc>
        <w:tc>
          <w:tcPr>
            <w:tcW w:w="1134" w:type="dxa"/>
            <w:vAlign w:val="center"/>
          </w:tcPr>
          <w:p w14:paraId="66C4024B">
            <w:pPr>
              <w:pStyle w:val="13"/>
            </w:pPr>
            <w:r>
              <w:t>办公桌</w:t>
            </w:r>
          </w:p>
        </w:tc>
        <w:tc>
          <w:tcPr>
            <w:tcW w:w="1134" w:type="dxa"/>
            <w:vAlign w:val="center"/>
          </w:tcPr>
          <w:p w14:paraId="6C6695C3">
            <w:pPr>
              <w:pStyle w:val="13"/>
            </w:pPr>
            <w:r>
              <w:t>A05010201</w:t>
            </w:r>
          </w:p>
        </w:tc>
        <w:tc>
          <w:tcPr>
            <w:tcW w:w="709" w:type="dxa"/>
            <w:vAlign w:val="center"/>
          </w:tcPr>
          <w:p w14:paraId="136094EC">
            <w:pPr>
              <w:pStyle w:val="12"/>
            </w:pPr>
            <w:r>
              <w:t>个</w:t>
            </w:r>
          </w:p>
        </w:tc>
        <w:tc>
          <w:tcPr>
            <w:tcW w:w="850" w:type="dxa"/>
            <w:vAlign w:val="center"/>
          </w:tcPr>
          <w:p w14:paraId="218A70C0">
            <w:pPr>
              <w:pStyle w:val="14"/>
            </w:pPr>
            <w:r>
              <w:t>2</w:t>
            </w:r>
          </w:p>
        </w:tc>
        <w:tc>
          <w:tcPr>
            <w:tcW w:w="850" w:type="dxa"/>
            <w:vAlign w:val="center"/>
          </w:tcPr>
          <w:p w14:paraId="7562504F">
            <w:pPr>
              <w:pStyle w:val="14"/>
            </w:pPr>
            <w:r>
              <w:t>0.24</w:t>
            </w:r>
          </w:p>
        </w:tc>
        <w:tc>
          <w:tcPr>
            <w:tcW w:w="964" w:type="dxa"/>
            <w:vAlign w:val="center"/>
          </w:tcPr>
          <w:p w14:paraId="53E33FAB">
            <w:pPr>
              <w:pStyle w:val="14"/>
            </w:pPr>
            <w:r>
              <w:t>0.48</w:t>
            </w:r>
          </w:p>
        </w:tc>
        <w:tc>
          <w:tcPr>
            <w:tcW w:w="964" w:type="dxa"/>
            <w:vAlign w:val="center"/>
          </w:tcPr>
          <w:p w14:paraId="20A4DE2E">
            <w:pPr>
              <w:pStyle w:val="14"/>
            </w:pPr>
            <w:r>
              <w:t>0.48</w:t>
            </w:r>
          </w:p>
        </w:tc>
        <w:tc>
          <w:tcPr>
            <w:tcW w:w="964" w:type="dxa"/>
            <w:vAlign w:val="center"/>
          </w:tcPr>
          <w:p w14:paraId="7A8192F9">
            <w:pPr>
              <w:pStyle w:val="14"/>
            </w:pPr>
          </w:p>
        </w:tc>
        <w:tc>
          <w:tcPr>
            <w:tcW w:w="964" w:type="dxa"/>
            <w:vAlign w:val="center"/>
          </w:tcPr>
          <w:p w14:paraId="2F9D0514">
            <w:pPr>
              <w:pStyle w:val="14"/>
            </w:pPr>
          </w:p>
        </w:tc>
        <w:tc>
          <w:tcPr>
            <w:tcW w:w="964" w:type="dxa"/>
            <w:vAlign w:val="center"/>
          </w:tcPr>
          <w:p w14:paraId="1C98267D">
            <w:pPr>
              <w:pStyle w:val="14"/>
            </w:pPr>
          </w:p>
        </w:tc>
        <w:tc>
          <w:tcPr>
            <w:tcW w:w="964" w:type="dxa"/>
            <w:vAlign w:val="center"/>
          </w:tcPr>
          <w:p w14:paraId="1216B2DE">
            <w:pPr>
              <w:pStyle w:val="14"/>
            </w:pPr>
          </w:p>
        </w:tc>
        <w:tc>
          <w:tcPr>
            <w:tcW w:w="964" w:type="dxa"/>
            <w:vAlign w:val="center"/>
          </w:tcPr>
          <w:p w14:paraId="443D4329">
            <w:pPr>
              <w:pStyle w:val="14"/>
            </w:pPr>
          </w:p>
        </w:tc>
        <w:tc>
          <w:tcPr>
            <w:tcW w:w="964" w:type="dxa"/>
            <w:vAlign w:val="center"/>
          </w:tcPr>
          <w:p w14:paraId="3D2EF494">
            <w:pPr>
              <w:pStyle w:val="14"/>
            </w:pPr>
            <w:r>
              <w:t>0.48</w:t>
            </w:r>
          </w:p>
        </w:tc>
      </w:tr>
    </w:tbl>
    <w:p w14:paraId="2DD9B17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DDEF19">
      <w:pPr>
        <w:spacing w:before="0" w:after="0"/>
        <w:ind w:firstLine="640"/>
        <w:jc w:val="left"/>
        <w:outlineLvl w:val="9"/>
      </w:pPr>
      <w:r>
        <w:rPr>
          <w:rFonts w:ascii="Times New Roman" w:hAnsi="Times New Roman" w:eastAsia="方正仿宋_GBK" w:cs="Times New Roman"/>
          <w:color w:val="000000"/>
          <w:sz w:val="32"/>
        </w:rPr>
        <w:t xml:space="preserve"> </w:t>
      </w:r>
    </w:p>
    <w:p w14:paraId="77D34A84">
      <w:pPr>
        <w:spacing w:before="10" w:after="10" w:line="240" w:lineRule="auto"/>
        <w:ind w:firstLine="640"/>
        <w:jc w:val="left"/>
        <w:outlineLvl w:val="5"/>
      </w:pPr>
      <w:r>
        <w:rPr>
          <w:rFonts w:ascii="黑体" w:hAnsi="黑体" w:eastAsia="黑体" w:cs="黑体"/>
          <w:color w:val="000000"/>
          <w:sz w:val="32"/>
        </w:rPr>
        <w:t>七、国有资产信息</w:t>
      </w:r>
    </w:p>
    <w:p w14:paraId="6DAE57BE">
      <w:pPr>
        <w:spacing w:before="0" w:after="0" w:line="500" w:lineRule="exact"/>
        <w:ind w:firstLine="560"/>
        <w:jc w:val="left"/>
        <w:outlineLvl w:val="9"/>
      </w:pPr>
      <w:r>
        <w:rPr>
          <w:rFonts w:ascii="Times New Roman" w:hAnsi="Times New Roman" w:eastAsia="方正仿宋_GBK" w:cs="Times New Roman"/>
          <w:b w:val="0"/>
          <w:color w:val="000000"/>
          <w:sz w:val="28"/>
        </w:rPr>
        <w:t>隆尧县第五实验小学上年末固定资产金额为0.00万元（详见下表）。本年度拟购置固定资产总额为50.37万元，已按要求列入政府采购预算，详见政府采购预算表。</w:t>
      </w:r>
    </w:p>
    <w:p w14:paraId="37921E4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CAB4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BE9D137">
            <w:pPr>
              <w:pStyle w:val="8"/>
            </w:pPr>
            <w:r>
              <w:t>360038隆尧县第五实验小学</w:t>
            </w:r>
          </w:p>
        </w:tc>
        <w:tc>
          <w:tcPr>
            <w:tcW w:w="5670" w:type="dxa"/>
            <w:gridSpan w:val="2"/>
            <w:tcBorders>
              <w:top w:val="single" w:color="FFFFFF" w:sz="6" w:space="0"/>
              <w:left w:val="single" w:color="FFFFFF" w:sz="6" w:space="0"/>
              <w:right w:val="single" w:color="FFFFFF" w:sz="6" w:space="0"/>
            </w:tcBorders>
            <w:vAlign w:val="center"/>
          </w:tcPr>
          <w:p w14:paraId="72034C4F">
            <w:pPr>
              <w:pStyle w:val="10"/>
            </w:pPr>
            <w:r>
              <w:t>截止时间：2024-12-31</w:t>
            </w:r>
          </w:p>
        </w:tc>
      </w:tr>
      <w:tr w14:paraId="71DC0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BEEE269">
            <w:pPr>
              <w:pStyle w:val="11"/>
            </w:pPr>
            <w:r>
              <w:t>项   目</w:t>
            </w:r>
          </w:p>
        </w:tc>
        <w:tc>
          <w:tcPr>
            <w:tcW w:w="2835" w:type="dxa"/>
            <w:vAlign w:val="center"/>
          </w:tcPr>
          <w:p w14:paraId="37219548">
            <w:pPr>
              <w:pStyle w:val="11"/>
            </w:pPr>
            <w:r>
              <w:t>数量</w:t>
            </w:r>
          </w:p>
        </w:tc>
        <w:tc>
          <w:tcPr>
            <w:tcW w:w="2835" w:type="dxa"/>
            <w:vAlign w:val="center"/>
          </w:tcPr>
          <w:p w14:paraId="110C8224">
            <w:pPr>
              <w:pStyle w:val="11"/>
            </w:pPr>
            <w:r>
              <w:t>价值（金额单位：万元）</w:t>
            </w:r>
          </w:p>
        </w:tc>
      </w:tr>
      <w:tr w14:paraId="4DBBD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A51E57">
            <w:pPr>
              <w:pStyle w:val="13"/>
            </w:pPr>
            <w:r>
              <w:t>资产总额</w:t>
            </w:r>
          </w:p>
        </w:tc>
        <w:tc>
          <w:tcPr>
            <w:tcW w:w="2835" w:type="dxa"/>
            <w:vAlign w:val="center"/>
          </w:tcPr>
          <w:p w14:paraId="25EFCA14">
            <w:pPr>
              <w:pStyle w:val="12"/>
            </w:pPr>
          </w:p>
        </w:tc>
        <w:tc>
          <w:tcPr>
            <w:tcW w:w="2835" w:type="dxa"/>
            <w:vAlign w:val="center"/>
          </w:tcPr>
          <w:p w14:paraId="1782CE89">
            <w:pPr>
              <w:pStyle w:val="14"/>
            </w:pPr>
          </w:p>
        </w:tc>
      </w:tr>
      <w:tr w14:paraId="647B3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C7ECDA">
            <w:pPr>
              <w:pStyle w:val="13"/>
            </w:pPr>
            <w:r>
              <w:t>1、房屋（平方米）</w:t>
            </w:r>
          </w:p>
        </w:tc>
        <w:tc>
          <w:tcPr>
            <w:tcW w:w="2835" w:type="dxa"/>
            <w:vAlign w:val="center"/>
          </w:tcPr>
          <w:p w14:paraId="0D2CB4B3">
            <w:pPr>
              <w:pStyle w:val="12"/>
            </w:pPr>
          </w:p>
        </w:tc>
        <w:tc>
          <w:tcPr>
            <w:tcW w:w="2835" w:type="dxa"/>
            <w:vAlign w:val="center"/>
          </w:tcPr>
          <w:p w14:paraId="6DB1A81C">
            <w:pPr>
              <w:pStyle w:val="14"/>
            </w:pPr>
          </w:p>
        </w:tc>
      </w:tr>
      <w:tr w14:paraId="1E712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103C73">
            <w:pPr>
              <w:pStyle w:val="13"/>
            </w:pPr>
            <w:r>
              <w:t>　　其中：办公用房（平方米）</w:t>
            </w:r>
          </w:p>
        </w:tc>
        <w:tc>
          <w:tcPr>
            <w:tcW w:w="2835" w:type="dxa"/>
            <w:vAlign w:val="center"/>
          </w:tcPr>
          <w:p w14:paraId="216A213B">
            <w:pPr>
              <w:pStyle w:val="12"/>
            </w:pPr>
          </w:p>
        </w:tc>
        <w:tc>
          <w:tcPr>
            <w:tcW w:w="2835" w:type="dxa"/>
            <w:vAlign w:val="center"/>
          </w:tcPr>
          <w:p w14:paraId="182A0464">
            <w:pPr>
              <w:pStyle w:val="14"/>
            </w:pPr>
          </w:p>
        </w:tc>
      </w:tr>
      <w:tr w14:paraId="1328A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AE8184">
            <w:pPr>
              <w:pStyle w:val="13"/>
            </w:pPr>
            <w:r>
              <w:t>2、车辆（台、辆）</w:t>
            </w:r>
          </w:p>
        </w:tc>
        <w:tc>
          <w:tcPr>
            <w:tcW w:w="2835" w:type="dxa"/>
            <w:vAlign w:val="center"/>
          </w:tcPr>
          <w:p w14:paraId="53A18BEB">
            <w:pPr>
              <w:pStyle w:val="12"/>
            </w:pPr>
          </w:p>
        </w:tc>
        <w:tc>
          <w:tcPr>
            <w:tcW w:w="2835" w:type="dxa"/>
            <w:vAlign w:val="center"/>
          </w:tcPr>
          <w:p w14:paraId="167BF7E9">
            <w:pPr>
              <w:pStyle w:val="14"/>
            </w:pPr>
          </w:p>
        </w:tc>
      </w:tr>
      <w:tr w14:paraId="17BBA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771BDB">
            <w:pPr>
              <w:pStyle w:val="13"/>
            </w:pPr>
            <w:r>
              <w:t>3、单价在20万元以上的设备</w:t>
            </w:r>
          </w:p>
        </w:tc>
        <w:tc>
          <w:tcPr>
            <w:tcW w:w="2835" w:type="dxa"/>
            <w:vAlign w:val="center"/>
          </w:tcPr>
          <w:p w14:paraId="374ABFAA">
            <w:pPr>
              <w:pStyle w:val="12"/>
            </w:pPr>
          </w:p>
        </w:tc>
        <w:tc>
          <w:tcPr>
            <w:tcW w:w="2835" w:type="dxa"/>
            <w:vAlign w:val="center"/>
          </w:tcPr>
          <w:p w14:paraId="0C5A6112">
            <w:pPr>
              <w:pStyle w:val="14"/>
            </w:pPr>
          </w:p>
        </w:tc>
      </w:tr>
      <w:tr w14:paraId="07786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FFD006">
            <w:pPr>
              <w:pStyle w:val="13"/>
            </w:pPr>
            <w:r>
              <w:t>4、其他固定资产</w:t>
            </w:r>
          </w:p>
        </w:tc>
        <w:tc>
          <w:tcPr>
            <w:tcW w:w="2835" w:type="dxa"/>
            <w:vAlign w:val="center"/>
          </w:tcPr>
          <w:p w14:paraId="1DC4E4CA">
            <w:pPr>
              <w:pStyle w:val="12"/>
            </w:pPr>
          </w:p>
        </w:tc>
        <w:tc>
          <w:tcPr>
            <w:tcW w:w="2835" w:type="dxa"/>
            <w:vAlign w:val="center"/>
          </w:tcPr>
          <w:p w14:paraId="1781C22C">
            <w:pPr>
              <w:pStyle w:val="14"/>
            </w:pPr>
          </w:p>
        </w:tc>
      </w:tr>
    </w:tbl>
    <w:p w14:paraId="566BF8B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B1CD2E5">
      <w:pPr>
        <w:spacing w:before="0" w:after="0"/>
        <w:ind w:firstLine="640"/>
        <w:jc w:val="left"/>
        <w:outlineLvl w:val="9"/>
      </w:pPr>
      <w:r>
        <w:rPr>
          <w:rFonts w:ascii="Times New Roman" w:hAnsi="Times New Roman" w:eastAsia="方正仿宋_GBK" w:cs="Times New Roman"/>
          <w:color w:val="000000"/>
          <w:sz w:val="32"/>
        </w:rPr>
        <w:t xml:space="preserve"> </w:t>
      </w:r>
    </w:p>
    <w:p w14:paraId="3E63DD66">
      <w:pPr>
        <w:spacing w:before="10" w:after="10" w:line="240" w:lineRule="auto"/>
        <w:ind w:firstLine="640"/>
        <w:jc w:val="left"/>
        <w:outlineLvl w:val="5"/>
      </w:pPr>
      <w:r>
        <w:rPr>
          <w:rFonts w:ascii="黑体" w:hAnsi="黑体" w:eastAsia="黑体" w:cs="黑体"/>
          <w:color w:val="000000"/>
          <w:sz w:val="32"/>
        </w:rPr>
        <w:t>八、名词解释</w:t>
      </w:r>
    </w:p>
    <w:p w14:paraId="4F3097C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F1619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E7EA0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1A2175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0F43A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F7157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09F3A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C10EE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E4BD2C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66994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4ECAB8">
      <w:pPr>
        <w:spacing w:before="10" w:after="10" w:line="240" w:lineRule="auto"/>
        <w:ind w:firstLine="640"/>
        <w:jc w:val="left"/>
        <w:outlineLvl w:val="5"/>
      </w:pPr>
      <w:r>
        <w:rPr>
          <w:rFonts w:ascii="黑体" w:hAnsi="黑体" w:eastAsia="黑体" w:cs="黑体"/>
          <w:color w:val="000000"/>
          <w:sz w:val="32"/>
        </w:rPr>
        <w:t>九、其他需要说明的事项</w:t>
      </w:r>
    </w:p>
    <w:p w14:paraId="255A0A2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A4DCAF4">
      <w:pPr>
        <w:spacing w:before="0" w:after="0"/>
        <w:ind w:firstLine="0"/>
        <w:jc w:val="center"/>
        <w:outlineLvl w:val="3"/>
      </w:pPr>
      <w:bookmarkStart w:id="38" w:name="_Toc_4_4_0000000058"/>
      <w:r>
        <w:rPr>
          <w:rFonts w:ascii="方正小标宋_GBK" w:hAnsi="方正小标宋_GBK" w:eastAsia="方正小标宋_GBK" w:cs="方正小标宋_GBK"/>
          <w:b w:val="0"/>
          <w:color w:val="000000"/>
          <w:sz w:val="44"/>
        </w:rPr>
        <w:t>三十八、隆尧县唐尧街小学收支预算</w:t>
      </w:r>
      <w:bookmarkEnd w:id="38"/>
    </w:p>
    <w:p w14:paraId="5ABB82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BFF7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A5C904">
            <w:pPr>
              <w:pStyle w:val="8"/>
            </w:pPr>
            <w:r>
              <w:t>360039隆尧县唐尧街小学</w:t>
            </w:r>
          </w:p>
        </w:tc>
        <w:tc>
          <w:tcPr>
            <w:tcW w:w="2126" w:type="dxa"/>
            <w:tcBorders>
              <w:top w:val="single" w:color="FFFFFF" w:sz="6" w:space="0"/>
              <w:left w:val="single" w:color="FFFFFF" w:sz="6" w:space="0"/>
              <w:right w:val="single" w:color="FFFFFF" w:sz="6" w:space="0"/>
            </w:tcBorders>
            <w:vAlign w:val="center"/>
          </w:tcPr>
          <w:p w14:paraId="723C2167">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87FA780">
            <w:pPr>
              <w:pStyle w:val="10"/>
            </w:pPr>
            <w:r>
              <w:t>单位：万元</w:t>
            </w:r>
          </w:p>
        </w:tc>
      </w:tr>
      <w:tr w14:paraId="0B147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682C2">
            <w:pPr>
              <w:pStyle w:val="11"/>
            </w:pPr>
            <w:r>
              <w:t>序号</w:t>
            </w:r>
          </w:p>
        </w:tc>
        <w:tc>
          <w:tcPr>
            <w:tcW w:w="6661" w:type="dxa"/>
            <w:gridSpan w:val="2"/>
            <w:vAlign w:val="center"/>
          </w:tcPr>
          <w:p w14:paraId="77DBE0EC">
            <w:pPr>
              <w:pStyle w:val="11"/>
            </w:pPr>
            <w:r>
              <w:t>收入</w:t>
            </w:r>
          </w:p>
        </w:tc>
        <w:tc>
          <w:tcPr>
            <w:tcW w:w="6661" w:type="dxa"/>
            <w:gridSpan w:val="2"/>
            <w:vAlign w:val="center"/>
          </w:tcPr>
          <w:p w14:paraId="1008F4D2">
            <w:pPr>
              <w:pStyle w:val="11"/>
            </w:pPr>
            <w:r>
              <w:t>支出</w:t>
            </w:r>
          </w:p>
        </w:tc>
      </w:tr>
      <w:tr w14:paraId="598B2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45C7A1"/>
        </w:tc>
        <w:tc>
          <w:tcPr>
            <w:tcW w:w="4535" w:type="dxa"/>
            <w:vAlign w:val="center"/>
          </w:tcPr>
          <w:p w14:paraId="113CA18D">
            <w:pPr>
              <w:pStyle w:val="11"/>
            </w:pPr>
            <w:r>
              <w:t>项  目</w:t>
            </w:r>
          </w:p>
        </w:tc>
        <w:tc>
          <w:tcPr>
            <w:tcW w:w="2126" w:type="dxa"/>
            <w:vAlign w:val="center"/>
          </w:tcPr>
          <w:p w14:paraId="53F4564E">
            <w:pPr>
              <w:pStyle w:val="11"/>
            </w:pPr>
            <w:r>
              <w:t>预算数</w:t>
            </w:r>
          </w:p>
        </w:tc>
        <w:tc>
          <w:tcPr>
            <w:tcW w:w="4535" w:type="dxa"/>
            <w:vAlign w:val="center"/>
          </w:tcPr>
          <w:p w14:paraId="3DB7744E">
            <w:pPr>
              <w:pStyle w:val="11"/>
            </w:pPr>
            <w:r>
              <w:t>项  目</w:t>
            </w:r>
          </w:p>
        </w:tc>
        <w:tc>
          <w:tcPr>
            <w:tcW w:w="2126" w:type="dxa"/>
            <w:vAlign w:val="center"/>
          </w:tcPr>
          <w:p w14:paraId="2B2770D4">
            <w:pPr>
              <w:pStyle w:val="11"/>
            </w:pPr>
            <w:r>
              <w:t>预算数</w:t>
            </w:r>
          </w:p>
        </w:tc>
      </w:tr>
      <w:tr w14:paraId="3B6F1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5402D6">
            <w:pPr>
              <w:pStyle w:val="11"/>
            </w:pPr>
            <w:r>
              <w:t>栏次</w:t>
            </w:r>
          </w:p>
        </w:tc>
        <w:tc>
          <w:tcPr>
            <w:tcW w:w="4535" w:type="dxa"/>
            <w:vAlign w:val="center"/>
          </w:tcPr>
          <w:p w14:paraId="486590AE">
            <w:pPr>
              <w:pStyle w:val="11"/>
            </w:pPr>
            <w:r>
              <w:t>1</w:t>
            </w:r>
          </w:p>
        </w:tc>
        <w:tc>
          <w:tcPr>
            <w:tcW w:w="2126" w:type="dxa"/>
            <w:vAlign w:val="center"/>
          </w:tcPr>
          <w:p w14:paraId="632607A7">
            <w:pPr>
              <w:pStyle w:val="11"/>
            </w:pPr>
            <w:r>
              <w:t>2</w:t>
            </w:r>
          </w:p>
        </w:tc>
        <w:tc>
          <w:tcPr>
            <w:tcW w:w="4535" w:type="dxa"/>
            <w:vAlign w:val="center"/>
          </w:tcPr>
          <w:p w14:paraId="659FADF7">
            <w:pPr>
              <w:pStyle w:val="11"/>
            </w:pPr>
            <w:r>
              <w:t>3</w:t>
            </w:r>
          </w:p>
        </w:tc>
        <w:tc>
          <w:tcPr>
            <w:tcW w:w="2126" w:type="dxa"/>
            <w:vAlign w:val="center"/>
          </w:tcPr>
          <w:p w14:paraId="7A11962D">
            <w:pPr>
              <w:pStyle w:val="11"/>
            </w:pPr>
            <w:r>
              <w:t>4</w:t>
            </w:r>
          </w:p>
        </w:tc>
      </w:tr>
      <w:tr w14:paraId="143EB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F035C">
            <w:pPr>
              <w:pStyle w:val="12"/>
            </w:pPr>
            <w:r>
              <w:t>1</w:t>
            </w:r>
          </w:p>
        </w:tc>
        <w:tc>
          <w:tcPr>
            <w:tcW w:w="4535" w:type="dxa"/>
            <w:vAlign w:val="center"/>
          </w:tcPr>
          <w:p w14:paraId="3413BC20">
            <w:pPr>
              <w:pStyle w:val="13"/>
            </w:pPr>
            <w:r>
              <w:t>一、一般公共预算拨款收入</w:t>
            </w:r>
          </w:p>
        </w:tc>
        <w:tc>
          <w:tcPr>
            <w:tcW w:w="2126" w:type="dxa"/>
            <w:vAlign w:val="center"/>
          </w:tcPr>
          <w:p w14:paraId="5DFFFC0A">
            <w:pPr>
              <w:pStyle w:val="14"/>
            </w:pPr>
            <w:r>
              <w:t>712.02</w:t>
            </w:r>
          </w:p>
        </w:tc>
        <w:tc>
          <w:tcPr>
            <w:tcW w:w="4535" w:type="dxa"/>
            <w:vAlign w:val="center"/>
          </w:tcPr>
          <w:p w14:paraId="33CA4A7A">
            <w:pPr>
              <w:pStyle w:val="13"/>
            </w:pPr>
            <w:r>
              <w:t>一、一般公共服务支出</w:t>
            </w:r>
          </w:p>
        </w:tc>
        <w:tc>
          <w:tcPr>
            <w:tcW w:w="2126" w:type="dxa"/>
            <w:vAlign w:val="center"/>
          </w:tcPr>
          <w:p w14:paraId="602F5DDD">
            <w:pPr>
              <w:pStyle w:val="14"/>
            </w:pPr>
          </w:p>
        </w:tc>
      </w:tr>
      <w:tr w14:paraId="4F7E6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E1CD6">
            <w:pPr>
              <w:pStyle w:val="12"/>
            </w:pPr>
            <w:r>
              <w:t>2</w:t>
            </w:r>
          </w:p>
        </w:tc>
        <w:tc>
          <w:tcPr>
            <w:tcW w:w="4535" w:type="dxa"/>
            <w:vAlign w:val="center"/>
          </w:tcPr>
          <w:p w14:paraId="4C7F9AD1">
            <w:pPr>
              <w:pStyle w:val="13"/>
            </w:pPr>
            <w:r>
              <w:t>二、政府性基金预算拨款收入</w:t>
            </w:r>
          </w:p>
        </w:tc>
        <w:tc>
          <w:tcPr>
            <w:tcW w:w="2126" w:type="dxa"/>
            <w:vAlign w:val="center"/>
          </w:tcPr>
          <w:p w14:paraId="0F3B3ADD">
            <w:pPr>
              <w:pStyle w:val="14"/>
            </w:pPr>
          </w:p>
        </w:tc>
        <w:tc>
          <w:tcPr>
            <w:tcW w:w="4535" w:type="dxa"/>
            <w:vAlign w:val="center"/>
          </w:tcPr>
          <w:p w14:paraId="2151D142">
            <w:pPr>
              <w:pStyle w:val="13"/>
            </w:pPr>
            <w:r>
              <w:t>二、外交支出</w:t>
            </w:r>
          </w:p>
        </w:tc>
        <w:tc>
          <w:tcPr>
            <w:tcW w:w="2126" w:type="dxa"/>
            <w:vAlign w:val="center"/>
          </w:tcPr>
          <w:p w14:paraId="67086B66">
            <w:pPr>
              <w:pStyle w:val="14"/>
            </w:pPr>
          </w:p>
        </w:tc>
      </w:tr>
      <w:tr w14:paraId="2EDD7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1FD49">
            <w:pPr>
              <w:pStyle w:val="12"/>
            </w:pPr>
            <w:r>
              <w:t>3</w:t>
            </w:r>
          </w:p>
        </w:tc>
        <w:tc>
          <w:tcPr>
            <w:tcW w:w="4535" w:type="dxa"/>
            <w:vAlign w:val="center"/>
          </w:tcPr>
          <w:p w14:paraId="1D271999">
            <w:pPr>
              <w:pStyle w:val="13"/>
            </w:pPr>
            <w:r>
              <w:t>三、国有资本经营预算拨款收入</w:t>
            </w:r>
          </w:p>
        </w:tc>
        <w:tc>
          <w:tcPr>
            <w:tcW w:w="2126" w:type="dxa"/>
            <w:vAlign w:val="center"/>
          </w:tcPr>
          <w:p w14:paraId="1E48C633">
            <w:pPr>
              <w:pStyle w:val="14"/>
            </w:pPr>
          </w:p>
        </w:tc>
        <w:tc>
          <w:tcPr>
            <w:tcW w:w="4535" w:type="dxa"/>
            <w:vAlign w:val="center"/>
          </w:tcPr>
          <w:p w14:paraId="16C8AE58">
            <w:pPr>
              <w:pStyle w:val="13"/>
            </w:pPr>
            <w:r>
              <w:t>三、国防支出</w:t>
            </w:r>
          </w:p>
        </w:tc>
        <w:tc>
          <w:tcPr>
            <w:tcW w:w="2126" w:type="dxa"/>
            <w:vAlign w:val="center"/>
          </w:tcPr>
          <w:p w14:paraId="2E9727B9">
            <w:pPr>
              <w:pStyle w:val="14"/>
            </w:pPr>
          </w:p>
        </w:tc>
      </w:tr>
      <w:tr w14:paraId="5ABAC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B5D90">
            <w:pPr>
              <w:pStyle w:val="12"/>
            </w:pPr>
            <w:r>
              <w:t>4</w:t>
            </w:r>
          </w:p>
        </w:tc>
        <w:tc>
          <w:tcPr>
            <w:tcW w:w="4535" w:type="dxa"/>
            <w:vAlign w:val="center"/>
          </w:tcPr>
          <w:p w14:paraId="1A9A693B">
            <w:pPr>
              <w:pStyle w:val="13"/>
            </w:pPr>
            <w:r>
              <w:t>四、财政专户管理资金收入</w:t>
            </w:r>
          </w:p>
        </w:tc>
        <w:tc>
          <w:tcPr>
            <w:tcW w:w="2126" w:type="dxa"/>
            <w:vAlign w:val="center"/>
          </w:tcPr>
          <w:p w14:paraId="513C1FB4">
            <w:pPr>
              <w:pStyle w:val="14"/>
            </w:pPr>
          </w:p>
        </w:tc>
        <w:tc>
          <w:tcPr>
            <w:tcW w:w="4535" w:type="dxa"/>
            <w:vAlign w:val="center"/>
          </w:tcPr>
          <w:p w14:paraId="188C38BD">
            <w:pPr>
              <w:pStyle w:val="13"/>
            </w:pPr>
            <w:r>
              <w:t>四、公共安全支出</w:t>
            </w:r>
          </w:p>
        </w:tc>
        <w:tc>
          <w:tcPr>
            <w:tcW w:w="2126" w:type="dxa"/>
            <w:vAlign w:val="center"/>
          </w:tcPr>
          <w:p w14:paraId="5EE6621C">
            <w:pPr>
              <w:pStyle w:val="14"/>
            </w:pPr>
          </w:p>
        </w:tc>
      </w:tr>
      <w:tr w14:paraId="5093B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E19F1">
            <w:pPr>
              <w:pStyle w:val="12"/>
            </w:pPr>
            <w:r>
              <w:t>5</w:t>
            </w:r>
          </w:p>
        </w:tc>
        <w:tc>
          <w:tcPr>
            <w:tcW w:w="4535" w:type="dxa"/>
            <w:vAlign w:val="center"/>
          </w:tcPr>
          <w:p w14:paraId="03874705">
            <w:pPr>
              <w:pStyle w:val="13"/>
            </w:pPr>
            <w:r>
              <w:t>五、单位资金</w:t>
            </w:r>
          </w:p>
        </w:tc>
        <w:tc>
          <w:tcPr>
            <w:tcW w:w="2126" w:type="dxa"/>
            <w:vAlign w:val="center"/>
          </w:tcPr>
          <w:p w14:paraId="4EFAE692">
            <w:pPr>
              <w:pStyle w:val="14"/>
            </w:pPr>
          </w:p>
        </w:tc>
        <w:tc>
          <w:tcPr>
            <w:tcW w:w="4535" w:type="dxa"/>
            <w:vAlign w:val="center"/>
          </w:tcPr>
          <w:p w14:paraId="1EAA8306">
            <w:pPr>
              <w:pStyle w:val="13"/>
            </w:pPr>
            <w:r>
              <w:t>五、教育支出</w:t>
            </w:r>
          </w:p>
        </w:tc>
        <w:tc>
          <w:tcPr>
            <w:tcW w:w="2126" w:type="dxa"/>
            <w:vAlign w:val="center"/>
          </w:tcPr>
          <w:p w14:paraId="6E81E978">
            <w:pPr>
              <w:pStyle w:val="14"/>
            </w:pPr>
            <w:r>
              <w:t>712.02</w:t>
            </w:r>
          </w:p>
        </w:tc>
      </w:tr>
      <w:tr w14:paraId="39829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45233">
            <w:pPr>
              <w:pStyle w:val="12"/>
            </w:pPr>
            <w:r>
              <w:t>6</w:t>
            </w:r>
          </w:p>
        </w:tc>
        <w:tc>
          <w:tcPr>
            <w:tcW w:w="4535" w:type="dxa"/>
            <w:vAlign w:val="center"/>
          </w:tcPr>
          <w:p w14:paraId="220AD486">
            <w:pPr>
              <w:pStyle w:val="13"/>
            </w:pPr>
          </w:p>
        </w:tc>
        <w:tc>
          <w:tcPr>
            <w:tcW w:w="2126" w:type="dxa"/>
            <w:vAlign w:val="center"/>
          </w:tcPr>
          <w:p w14:paraId="6437C116">
            <w:pPr>
              <w:pStyle w:val="14"/>
            </w:pPr>
          </w:p>
        </w:tc>
        <w:tc>
          <w:tcPr>
            <w:tcW w:w="4535" w:type="dxa"/>
            <w:vAlign w:val="center"/>
          </w:tcPr>
          <w:p w14:paraId="07E1FCA7">
            <w:pPr>
              <w:pStyle w:val="13"/>
            </w:pPr>
            <w:r>
              <w:t>六、科学技术支出</w:t>
            </w:r>
          </w:p>
        </w:tc>
        <w:tc>
          <w:tcPr>
            <w:tcW w:w="2126" w:type="dxa"/>
            <w:vAlign w:val="center"/>
          </w:tcPr>
          <w:p w14:paraId="49D06CFF">
            <w:pPr>
              <w:pStyle w:val="14"/>
            </w:pPr>
          </w:p>
        </w:tc>
      </w:tr>
      <w:tr w14:paraId="7BF62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C4827">
            <w:pPr>
              <w:pStyle w:val="12"/>
            </w:pPr>
            <w:r>
              <w:t>7</w:t>
            </w:r>
          </w:p>
        </w:tc>
        <w:tc>
          <w:tcPr>
            <w:tcW w:w="4535" w:type="dxa"/>
            <w:vAlign w:val="center"/>
          </w:tcPr>
          <w:p w14:paraId="2652DAF2">
            <w:pPr>
              <w:pStyle w:val="13"/>
            </w:pPr>
          </w:p>
        </w:tc>
        <w:tc>
          <w:tcPr>
            <w:tcW w:w="2126" w:type="dxa"/>
            <w:vAlign w:val="center"/>
          </w:tcPr>
          <w:p w14:paraId="0C7FA4C9">
            <w:pPr>
              <w:pStyle w:val="14"/>
            </w:pPr>
          </w:p>
        </w:tc>
        <w:tc>
          <w:tcPr>
            <w:tcW w:w="4535" w:type="dxa"/>
            <w:vAlign w:val="center"/>
          </w:tcPr>
          <w:p w14:paraId="72C881D8">
            <w:pPr>
              <w:pStyle w:val="13"/>
            </w:pPr>
            <w:r>
              <w:t>七、文化旅游体育与传媒支出</w:t>
            </w:r>
          </w:p>
        </w:tc>
        <w:tc>
          <w:tcPr>
            <w:tcW w:w="2126" w:type="dxa"/>
            <w:vAlign w:val="center"/>
          </w:tcPr>
          <w:p w14:paraId="2BEB669A">
            <w:pPr>
              <w:pStyle w:val="14"/>
            </w:pPr>
          </w:p>
        </w:tc>
      </w:tr>
      <w:tr w14:paraId="5E75E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A65EA">
            <w:pPr>
              <w:pStyle w:val="12"/>
            </w:pPr>
            <w:r>
              <w:t>8</w:t>
            </w:r>
          </w:p>
        </w:tc>
        <w:tc>
          <w:tcPr>
            <w:tcW w:w="4535" w:type="dxa"/>
            <w:vAlign w:val="center"/>
          </w:tcPr>
          <w:p w14:paraId="17434DDF">
            <w:pPr>
              <w:pStyle w:val="13"/>
            </w:pPr>
          </w:p>
        </w:tc>
        <w:tc>
          <w:tcPr>
            <w:tcW w:w="2126" w:type="dxa"/>
            <w:vAlign w:val="center"/>
          </w:tcPr>
          <w:p w14:paraId="23DBD391">
            <w:pPr>
              <w:pStyle w:val="14"/>
            </w:pPr>
          </w:p>
        </w:tc>
        <w:tc>
          <w:tcPr>
            <w:tcW w:w="4535" w:type="dxa"/>
            <w:vAlign w:val="center"/>
          </w:tcPr>
          <w:p w14:paraId="5A659658">
            <w:pPr>
              <w:pStyle w:val="13"/>
            </w:pPr>
            <w:r>
              <w:t>八、社会保障和就业支出</w:t>
            </w:r>
          </w:p>
        </w:tc>
        <w:tc>
          <w:tcPr>
            <w:tcW w:w="2126" w:type="dxa"/>
            <w:vAlign w:val="center"/>
          </w:tcPr>
          <w:p w14:paraId="6D9D5828">
            <w:pPr>
              <w:pStyle w:val="14"/>
            </w:pPr>
          </w:p>
        </w:tc>
      </w:tr>
      <w:tr w14:paraId="6A276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C7233">
            <w:pPr>
              <w:pStyle w:val="12"/>
            </w:pPr>
            <w:r>
              <w:t>9</w:t>
            </w:r>
          </w:p>
        </w:tc>
        <w:tc>
          <w:tcPr>
            <w:tcW w:w="4535" w:type="dxa"/>
            <w:vAlign w:val="center"/>
          </w:tcPr>
          <w:p w14:paraId="73CEEC84">
            <w:pPr>
              <w:pStyle w:val="13"/>
            </w:pPr>
          </w:p>
        </w:tc>
        <w:tc>
          <w:tcPr>
            <w:tcW w:w="2126" w:type="dxa"/>
            <w:vAlign w:val="center"/>
          </w:tcPr>
          <w:p w14:paraId="4BA6D392">
            <w:pPr>
              <w:pStyle w:val="14"/>
            </w:pPr>
          </w:p>
        </w:tc>
        <w:tc>
          <w:tcPr>
            <w:tcW w:w="4535" w:type="dxa"/>
            <w:vAlign w:val="center"/>
          </w:tcPr>
          <w:p w14:paraId="4BFDE1EE">
            <w:pPr>
              <w:pStyle w:val="13"/>
            </w:pPr>
            <w:r>
              <w:t>九、社会保险基金支出</w:t>
            </w:r>
          </w:p>
        </w:tc>
        <w:tc>
          <w:tcPr>
            <w:tcW w:w="2126" w:type="dxa"/>
            <w:vAlign w:val="center"/>
          </w:tcPr>
          <w:p w14:paraId="0652A4D2">
            <w:pPr>
              <w:pStyle w:val="14"/>
            </w:pPr>
          </w:p>
        </w:tc>
      </w:tr>
      <w:tr w14:paraId="3FC18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A8EE6">
            <w:pPr>
              <w:pStyle w:val="12"/>
            </w:pPr>
            <w:r>
              <w:t>10</w:t>
            </w:r>
          </w:p>
        </w:tc>
        <w:tc>
          <w:tcPr>
            <w:tcW w:w="4535" w:type="dxa"/>
            <w:vAlign w:val="center"/>
          </w:tcPr>
          <w:p w14:paraId="45DFFDAE">
            <w:pPr>
              <w:pStyle w:val="13"/>
            </w:pPr>
          </w:p>
        </w:tc>
        <w:tc>
          <w:tcPr>
            <w:tcW w:w="2126" w:type="dxa"/>
            <w:vAlign w:val="center"/>
          </w:tcPr>
          <w:p w14:paraId="7FF76653">
            <w:pPr>
              <w:pStyle w:val="14"/>
            </w:pPr>
          </w:p>
        </w:tc>
        <w:tc>
          <w:tcPr>
            <w:tcW w:w="4535" w:type="dxa"/>
            <w:vAlign w:val="center"/>
          </w:tcPr>
          <w:p w14:paraId="4BD15AC6">
            <w:pPr>
              <w:pStyle w:val="13"/>
            </w:pPr>
            <w:r>
              <w:t>十、卫生健康支出</w:t>
            </w:r>
          </w:p>
        </w:tc>
        <w:tc>
          <w:tcPr>
            <w:tcW w:w="2126" w:type="dxa"/>
            <w:vAlign w:val="center"/>
          </w:tcPr>
          <w:p w14:paraId="3BABAC27">
            <w:pPr>
              <w:pStyle w:val="14"/>
            </w:pPr>
          </w:p>
        </w:tc>
      </w:tr>
      <w:tr w14:paraId="52AAB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DC45F">
            <w:pPr>
              <w:pStyle w:val="12"/>
            </w:pPr>
            <w:r>
              <w:t>11</w:t>
            </w:r>
          </w:p>
        </w:tc>
        <w:tc>
          <w:tcPr>
            <w:tcW w:w="4535" w:type="dxa"/>
            <w:vAlign w:val="center"/>
          </w:tcPr>
          <w:p w14:paraId="285A20CB">
            <w:pPr>
              <w:pStyle w:val="13"/>
            </w:pPr>
          </w:p>
        </w:tc>
        <w:tc>
          <w:tcPr>
            <w:tcW w:w="2126" w:type="dxa"/>
            <w:vAlign w:val="center"/>
          </w:tcPr>
          <w:p w14:paraId="17C2E811">
            <w:pPr>
              <w:pStyle w:val="14"/>
            </w:pPr>
          </w:p>
        </w:tc>
        <w:tc>
          <w:tcPr>
            <w:tcW w:w="4535" w:type="dxa"/>
            <w:vAlign w:val="center"/>
          </w:tcPr>
          <w:p w14:paraId="54698D45">
            <w:pPr>
              <w:pStyle w:val="13"/>
            </w:pPr>
            <w:r>
              <w:t>十一、节能环保支出</w:t>
            </w:r>
          </w:p>
        </w:tc>
        <w:tc>
          <w:tcPr>
            <w:tcW w:w="2126" w:type="dxa"/>
            <w:vAlign w:val="center"/>
          </w:tcPr>
          <w:p w14:paraId="17E20F39">
            <w:pPr>
              <w:pStyle w:val="14"/>
            </w:pPr>
          </w:p>
        </w:tc>
      </w:tr>
      <w:tr w14:paraId="1922E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5B9E5">
            <w:pPr>
              <w:pStyle w:val="12"/>
            </w:pPr>
            <w:r>
              <w:t>12</w:t>
            </w:r>
          </w:p>
        </w:tc>
        <w:tc>
          <w:tcPr>
            <w:tcW w:w="4535" w:type="dxa"/>
            <w:vAlign w:val="center"/>
          </w:tcPr>
          <w:p w14:paraId="40CE4284">
            <w:pPr>
              <w:pStyle w:val="13"/>
            </w:pPr>
          </w:p>
        </w:tc>
        <w:tc>
          <w:tcPr>
            <w:tcW w:w="2126" w:type="dxa"/>
            <w:vAlign w:val="center"/>
          </w:tcPr>
          <w:p w14:paraId="0D8B9BE5">
            <w:pPr>
              <w:pStyle w:val="14"/>
            </w:pPr>
          </w:p>
        </w:tc>
        <w:tc>
          <w:tcPr>
            <w:tcW w:w="4535" w:type="dxa"/>
            <w:vAlign w:val="center"/>
          </w:tcPr>
          <w:p w14:paraId="21D1B73F">
            <w:pPr>
              <w:pStyle w:val="13"/>
            </w:pPr>
            <w:r>
              <w:t>十二、城乡社区支出</w:t>
            </w:r>
          </w:p>
        </w:tc>
        <w:tc>
          <w:tcPr>
            <w:tcW w:w="2126" w:type="dxa"/>
            <w:vAlign w:val="center"/>
          </w:tcPr>
          <w:p w14:paraId="39802612">
            <w:pPr>
              <w:pStyle w:val="14"/>
            </w:pPr>
          </w:p>
        </w:tc>
      </w:tr>
      <w:tr w14:paraId="24F5C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8EFFD">
            <w:pPr>
              <w:pStyle w:val="12"/>
            </w:pPr>
            <w:r>
              <w:t>13</w:t>
            </w:r>
          </w:p>
        </w:tc>
        <w:tc>
          <w:tcPr>
            <w:tcW w:w="4535" w:type="dxa"/>
            <w:vAlign w:val="center"/>
          </w:tcPr>
          <w:p w14:paraId="1CAE47E8">
            <w:pPr>
              <w:pStyle w:val="13"/>
            </w:pPr>
          </w:p>
        </w:tc>
        <w:tc>
          <w:tcPr>
            <w:tcW w:w="2126" w:type="dxa"/>
            <w:vAlign w:val="center"/>
          </w:tcPr>
          <w:p w14:paraId="1A4BA8A9">
            <w:pPr>
              <w:pStyle w:val="14"/>
            </w:pPr>
          </w:p>
        </w:tc>
        <w:tc>
          <w:tcPr>
            <w:tcW w:w="4535" w:type="dxa"/>
            <w:vAlign w:val="center"/>
          </w:tcPr>
          <w:p w14:paraId="189D0EDB">
            <w:pPr>
              <w:pStyle w:val="13"/>
            </w:pPr>
            <w:r>
              <w:t>十三、农林水支出</w:t>
            </w:r>
          </w:p>
        </w:tc>
        <w:tc>
          <w:tcPr>
            <w:tcW w:w="2126" w:type="dxa"/>
            <w:vAlign w:val="center"/>
          </w:tcPr>
          <w:p w14:paraId="34FB8C6A">
            <w:pPr>
              <w:pStyle w:val="14"/>
            </w:pPr>
          </w:p>
        </w:tc>
      </w:tr>
      <w:tr w14:paraId="5F900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1EB27">
            <w:pPr>
              <w:pStyle w:val="12"/>
            </w:pPr>
            <w:r>
              <w:t>14</w:t>
            </w:r>
          </w:p>
        </w:tc>
        <w:tc>
          <w:tcPr>
            <w:tcW w:w="4535" w:type="dxa"/>
            <w:vAlign w:val="center"/>
          </w:tcPr>
          <w:p w14:paraId="08F84C8E">
            <w:pPr>
              <w:pStyle w:val="13"/>
            </w:pPr>
          </w:p>
        </w:tc>
        <w:tc>
          <w:tcPr>
            <w:tcW w:w="2126" w:type="dxa"/>
            <w:vAlign w:val="center"/>
          </w:tcPr>
          <w:p w14:paraId="236CD689">
            <w:pPr>
              <w:pStyle w:val="14"/>
            </w:pPr>
          </w:p>
        </w:tc>
        <w:tc>
          <w:tcPr>
            <w:tcW w:w="4535" w:type="dxa"/>
            <w:vAlign w:val="center"/>
          </w:tcPr>
          <w:p w14:paraId="6721EABE">
            <w:pPr>
              <w:pStyle w:val="13"/>
            </w:pPr>
            <w:r>
              <w:t>十四、交通运输支出</w:t>
            </w:r>
          </w:p>
        </w:tc>
        <w:tc>
          <w:tcPr>
            <w:tcW w:w="2126" w:type="dxa"/>
            <w:vAlign w:val="center"/>
          </w:tcPr>
          <w:p w14:paraId="4F4DF317">
            <w:pPr>
              <w:pStyle w:val="14"/>
            </w:pPr>
          </w:p>
        </w:tc>
      </w:tr>
      <w:tr w14:paraId="5A01D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B82A0">
            <w:pPr>
              <w:pStyle w:val="12"/>
            </w:pPr>
            <w:r>
              <w:t>15</w:t>
            </w:r>
          </w:p>
        </w:tc>
        <w:tc>
          <w:tcPr>
            <w:tcW w:w="4535" w:type="dxa"/>
            <w:vAlign w:val="center"/>
          </w:tcPr>
          <w:p w14:paraId="2B696183">
            <w:pPr>
              <w:pStyle w:val="13"/>
            </w:pPr>
          </w:p>
        </w:tc>
        <w:tc>
          <w:tcPr>
            <w:tcW w:w="2126" w:type="dxa"/>
            <w:vAlign w:val="center"/>
          </w:tcPr>
          <w:p w14:paraId="7AFFC588">
            <w:pPr>
              <w:pStyle w:val="14"/>
            </w:pPr>
          </w:p>
        </w:tc>
        <w:tc>
          <w:tcPr>
            <w:tcW w:w="4535" w:type="dxa"/>
            <w:vAlign w:val="center"/>
          </w:tcPr>
          <w:p w14:paraId="55E87D2F">
            <w:pPr>
              <w:pStyle w:val="13"/>
            </w:pPr>
            <w:r>
              <w:t>十五、资源勘探工业信息等支出</w:t>
            </w:r>
          </w:p>
        </w:tc>
        <w:tc>
          <w:tcPr>
            <w:tcW w:w="2126" w:type="dxa"/>
            <w:vAlign w:val="center"/>
          </w:tcPr>
          <w:p w14:paraId="6A5A8B8F">
            <w:pPr>
              <w:pStyle w:val="14"/>
            </w:pPr>
          </w:p>
        </w:tc>
      </w:tr>
      <w:tr w14:paraId="4D954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0B8D2">
            <w:pPr>
              <w:pStyle w:val="12"/>
            </w:pPr>
            <w:r>
              <w:t>16</w:t>
            </w:r>
          </w:p>
        </w:tc>
        <w:tc>
          <w:tcPr>
            <w:tcW w:w="4535" w:type="dxa"/>
            <w:vAlign w:val="center"/>
          </w:tcPr>
          <w:p w14:paraId="03BFE679">
            <w:pPr>
              <w:pStyle w:val="13"/>
            </w:pPr>
          </w:p>
        </w:tc>
        <w:tc>
          <w:tcPr>
            <w:tcW w:w="2126" w:type="dxa"/>
            <w:vAlign w:val="center"/>
          </w:tcPr>
          <w:p w14:paraId="5E3DAC1A">
            <w:pPr>
              <w:pStyle w:val="14"/>
            </w:pPr>
          </w:p>
        </w:tc>
        <w:tc>
          <w:tcPr>
            <w:tcW w:w="4535" w:type="dxa"/>
            <w:vAlign w:val="center"/>
          </w:tcPr>
          <w:p w14:paraId="07A78127">
            <w:pPr>
              <w:pStyle w:val="13"/>
            </w:pPr>
            <w:r>
              <w:t>十六、商业服务业等支出</w:t>
            </w:r>
          </w:p>
        </w:tc>
        <w:tc>
          <w:tcPr>
            <w:tcW w:w="2126" w:type="dxa"/>
            <w:vAlign w:val="center"/>
          </w:tcPr>
          <w:p w14:paraId="2368DB76">
            <w:pPr>
              <w:pStyle w:val="14"/>
            </w:pPr>
          </w:p>
        </w:tc>
      </w:tr>
      <w:tr w14:paraId="4B01B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153AC">
            <w:pPr>
              <w:pStyle w:val="12"/>
            </w:pPr>
            <w:r>
              <w:t>17</w:t>
            </w:r>
          </w:p>
        </w:tc>
        <w:tc>
          <w:tcPr>
            <w:tcW w:w="4535" w:type="dxa"/>
            <w:vAlign w:val="center"/>
          </w:tcPr>
          <w:p w14:paraId="7A6C33DC">
            <w:pPr>
              <w:pStyle w:val="13"/>
            </w:pPr>
          </w:p>
        </w:tc>
        <w:tc>
          <w:tcPr>
            <w:tcW w:w="2126" w:type="dxa"/>
            <w:vAlign w:val="center"/>
          </w:tcPr>
          <w:p w14:paraId="268CEA35">
            <w:pPr>
              <w:pStyle w:val="14"/>
            </w:pPr>
          </w:p>
        </w:tc>
        <w:tc>
          <w:tcPr>
            <w:tcW w:w="4535" w:type="dxa"/>
            <w:vAlign w:val="center"/>
          </w:tcPr>
          <w:p w14:paraId="6D701ED8">
            <w:pPr>
              <w:pStyle w:val="13"/>
            </w:pPr>
            <w:r>
              <w:t>十七、金融支出</w:t>
            </w:r>
          </w:p>
        </w:tc>
        <w:tc>
          <w:tcPr>
            <w:tcW w:w="2126" w:type="dxa"/>
            <w:vAlign w:val="center"/>
          </w:tcPr>
          <w:p w14:paraId="1049F306">
            <w:pPr>
              <w:pStyle w:val="14"/>
            </w:pPr>
          </w:p>
        </w:tc>
      </w:tr>
      <w:tr w14:paraId="00375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CD076">
            <w:pPr>
              <w:pStyle w:val="12"/>
            </w:pPr>
            <w:r>
              <w:t>18</w:t>
            </w:r>
          </w:p>
        </w:tc>
        <w:tc>
          <w:tcPr>
            <w:tcW w:w="4535" w:type="dxa"/>
            <w:vAlign w:val="center"/>
          </w:tcPr>
          <w:p w14:paraId="7590B8AA">
            <w:pPr>
              <w:pStyle w:val="13"/>
            </w:pPr>
          </w:p>
        </w:tc>
        <w:tc>
          <w:tcPr>
            <w:tcW w:w="2126" w:type="dxa"/>
            <w:vAlign w:val="center"/>
          </w:tcPr>
          <w:p w14:paraId="7EF44A23">
            <w:pPr>
              <w:pStyle w:val="14"/>
            </w:pPr>
          </w:p>
        </w:tc>
        <w:tc>
          <w:tcPr>
            <w:tcW w:w="4535" w:type="dxa"/>
            <w:vAlign w:val="center"/>
          </w:tcPr>
          <w:p w14:paraId="12A8DD0C">
            <w:pPr>
              <w:pStyle w:val="13"/>
            </w:pPr>
            <w:r>
              <w:t>十八、援助其他地区支出</w:t>
            </w:r>
          </w:p>
        </w:tc>
        <w:tc>
          <w:tcPr>
            <w:tcW w:w="2126" w:type="dxa"/>
            <w:vAlign w:val="center"/>
          </w:tcPr>
          <w:p w14:paraId="10B76425">
            <w:pPr>
              <w:pStyle w:val="14"/>
            </w:pPr>
          </w:p>
        </w:tc>
      </w:tr>
      <w:tr w14:paraId="0DEE9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BFB67">
            <w:pPr>
              <w:pStyle w:val="12"/>
            </w:pPr>
            <w:r>
              <w:t>19</w:t>
            </w:r>
          </w:p>
        </w:tc>
        <w:tc>
          <w:tcPr>
            <w:tcW w:w="4535" w:type="dxa"/>
            <w:vAlign w:val="center"/>
          </w:tcPr>
          <w:p w14:paraId="531D7302">
            <w:pPr>
              <w:pStyle w:val="13"/>
            </w:pPr>
          </w:p>
        </w:tc>
        <w:tc>
          <w:tcPr>
            <w:tcW w:w="2126" w:type="dxa"/>
            <w:vAlign w:val="center"/>
          </w:tcPr>
          <w:p w14:paraId="45D36E34">
            <w:pPr>
              <w:pStyle w:val="14"/>
            </w:pPr>
          </w:p>
        </w:tc>
        <w:tc>
          <w:tcPr>
            <w:tcW w:w="4535" w:type="dxa"/>
            <w:vAlign w:val="center"/>
          </w:tcPr>
          <w:p w14:paraId="0B3C6CB4">
            <w:pPr>
              <w:pStyle w:val="13"/>
            </w:pPr>
            <w:r>
              <w:t>十九、自然资源海洋气象等支出</w:t>
            </w:r>
          </w:p>
        </w:tc>
        <w:tc>
          <w:tcPr>
            <w:tcW w:w="2126" w:type="dxa"/>
            <w:vAlign w:val="center"/>
          </w:tcPr>
          <w:p w14:paraId="4B6A76F9">
            <w:pPr>
              <w:pStyle w:val="14"/>
            </w:pPr>
          </w:p>
        </w:tc>
      </w:tr>
      <w:tr w14:paraId="2E425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0513D">
            <w:pPr>
              <w:pStyle w:val="12"/>
            </w:pPr>
            <w:r>
              <w:t>20</w:t>
            </w:r>
          </w:p>
        </w:tc>
        <w:tc>
          <w:tcPr>
            <w:tcW w:w="4535" w:type="dxa"/>
            <w:vAlign w:val="center"/>
          </w:tcPr>
          <w:p w14:paraId="1E46A992">
            <w:pPr>
              <w:pStyle w:val="13"/>
            </w:pPr>
          </w:p>
        </w:tc>
        <w:tc>
          <w:tcPr>
            <w:tcW w:w="2126" w:type="dxa"/>
            <w:vAlign w:val="center"/>
          </w:tcPr>
          <w:p w14:paraId="4C9B228E">
            <w:pPr>
              <w:pStyle w:val="14"/>
            </w:pPr>
          </w:p>
        </w:tc>
        <w:tc>
          <w:tcPr>
            <w:tcW w:w="4535" w:type="dxa"/>
            <w:vAlign w:val="center"/>
          </w:tcPr>
          <w:p w14:paraId="467E5AB3">
            <w:pPr>
              <w:pStyle w:val="13"/>
            </w:pPr>
            <w:r>
              <w:t>二十、住房保障支出</w:t>
            </w:r>
          </w:p>
        </w:tc>
        <w:tc>
          <w:tcPr>
            <w:tcW w:w="2126" w:type="dxa"/>
            <w:vAlign w:val="center"/>
          </w:tcPr>
          <w:p w14:paraId="779170A5">
            <w:pPr>
              <w:pStyle w:val="14"/>
            </w:pPr>
          </w:p>
        </w:tc>
      </w:tr>
      <w:tr w14:paraId="2A24C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0E4D3">
            <w:pPr>
              <w:pStyle w:val="12"/>
            </w:pPr>
            <w:r>
              <w:t>21</w:t>
            </w:r>
          </w:p>
        </w:tc>
        <w:tc>
          <w:tcPr>
            <w:tcW w:w="4535" w:type="dxa"/>
            <w:vAlign w:val="center"/>
          </w:tcPr>
          <w:p w14:paraId="377FE00A">
            <w:pPr>
              <w:pStyle w:val="13"/>
            </w:pPr>
          </w:p>
        </w:tc>
        <w:tc>
          <w:tcPr>
            <w:tcW w:w="2126" w:type="dxa"/>
            <w:vAlign w:val="center"/>
          </w:tcPr>
          <w:p w14:paraId="4D16316C">
            <w:pPr>
              <w:pStyle w:val="14"/>
            </w:pPr>
          </w:p>
        </w:tc>
        <w:tc>
          <w:tcPr>
            <w:tcW w:w="4535" w:type="dxa"/>
            <w:vAlign w:val="center"/>
          </w:tcPr>
          <w:p w14:paraId="7A2CBB1A">
            <w:pPr>
              <w:pStyle w:val="13"/>
            </w:pPr>
            <w:r>
              <w:t>二十一、粮油物资储备支出</w:t>
            </w:r>
          </w:p>
        </w:tc>
        <w:tc>
          <w:tcPr>
            <w:tcW w:w="2126" w:type="dxa"/>
            <w:vAlign w:val="center"/>
          </w:tcPr>
          <w:p w14:paraId="4C6B2E3B">
            <w:pPr>
              <w:pStyle w:val="14"/>
            </w:pPr>
          </w:p>
        </w:tc>
      </w:tr>
      <w:tr w14:paraId="17A07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8964B">
            <w:pPr>
              <w:pStyle w:val="12"/>
            </w:pPr>
            <w:r>
              <w:t>22</w:t>
            </w:r>
          </w:p>
        </w:tc>
        <w:tc>
          <w:tcPr>
            <w:tcW w:w="4535" w:type="dxa"/>
            <w:vAlign w:val="center"/>
          </w:tcPr>
          <w:p w14:paraId="021114DF">
            <w:pPr>
              <w:pStyle w:val="13"/>
            </w:pPr>
          </w:p>
        </w:tc>
        <w:tc>
          <w:tcPr>
            <w:tcW w:w="2126" w:type="dxa"/>
            <w:vAlign w:val="center"/>
          </w:tcPr>
          <w:p w14:paraId="3D50F560">
            <w:pPr>
              <w:pStyle w:val="14"/>
            </w:pPr>
          </w:p>
        </w:tc>
        <w:tc>
          <w:tcPr>
            <w:tcW w:w="4535" w:type="dxa"/>
            <w:vAlign w:val="center"/>
          </w:tcPr>
          <w:p w14:paraId="453FFC50">
            <w:pPr>
              <w:pStyle w:val="13"/>
            </w:pPr>
            <w:r>
              <w:t>二十二、国有资本经营预算支出</w:t>
            </w:r>
          </w:p>
        </w:tc>
        <w:tc>
          <w:tcPr>
            <w:tcW w:w="2126" w:type="dxa"/>
            <w:vAlign w:val="center"/>
          </w:tcPr>
          <w:p w14:paraId="73FBE8C6">
            <w:pPr>
              <w:pStyle w:val="14"/>
            </w:pPr>
          </w:p>
        </w:tc>
      </w:tr>
      <w:tr w14:paraId="32FEA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93E22">
            <w:pPr>
              <w:pStyle w:val="12"/>
            </w:pPr>
            <w:r>
              <w:t>23</w:t>
            </w:r>
          </w:p>
        </w:tc>
        <w:tc>
          <w:tcPr>
            <w:tcW w:w="4535" w:type="dxa"/>
            <w:vAlign w:val="center"/>
          </w:tcPr>
          <w:p w14:paraId="57ECF428">
            <w:pPr>
              <w:pStyle w:val="13"/>
            </w:pPr>
          </w:p>
        </w:tc>
        <w:tc>
          <w:tcPr>
            <w:tcW w:w="2126" w:type="dxa"/>
            <w:vAlign w:val="center"/>
          </w:tcPr>
          <w:p w14:paraId="69742A58">
            <w:pPr>
              <w:pStyle w:val="14"/>
            </w:pPr>
          </w:p>
        </w:tc>
        <w:tc>
          <w:tcPr>
            <w:tcW w:w="4535" w:type="dxa"/>
            <w:vAlign w:val="center"/>
          </w:tcPr>
          <w:p w14:paraId="0DC3B89A">
            <w:pPr>
              <w:pStyle w:val="13"/>
            </w:pPr>
            <w:r>
              <w:t>二十三、灾害防治及应急管理支出</w:t>
            </w:r>
          </w:p>
        </w:tc>
        <w:tc>
          <w:tcPr>
            <w:tcW w:w="2126" w:type="dxa"/>
            <w:vAlign w:val="center"/>
          </w:tcPr>
          <w:p w14:paraId="7F0D6CB9">
            <w:pPr>
              <w:pStyle w:val="14"/>
            </w:pPr>
          </w:p>
        </w:tc>
      </w:tr>
      <w:tr w14:paraId="061B2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FB837">
            <w:pPr>
              <w:pStyle w:val="12"/>
            </w:pPr>
            <w:r>
              <w:t>24</w:t>
            </w:r>
          </w:p>
        </w:tc>
        <w:tc>
          <w:tcPr>
            <w:tcW w:w="4535" w:type="dxa"/>
            <w:vAlign w:val="center"/>
          </w:tcPr>
          <w:p w14:paraId="3D571379">
            <w:pPr>
              <w:pStyle w:val="13"/>
            </w:pPr>
          </w:p>
        </w:tc>
        <w:tc>
          <w:tcPr>
            <w:tcW w:w="2126" w:type="dxa"/>
            <w:vAlign w:val="center"/>
          </w:tcPr>
          <w:p w14:paraId="04DA29CE">
            <w:pPr>
              <w:pStyle w:val="14"/>
            </w:pPr>
          </w:p>
        </w:tc>
        <w:tc>
          <w:tcPr>
            <w:tcW w:w="4535" w:type="dxa"/>
            <w:vAlign w:val="center"/>
          </w:tcPr>
          <w:p w14:paraId="740C7AD2">
            <w:pPr>
              <w:pStyle w:val="13"/>
            </w:pPr>
            <w:r>
              <w:t>二十四、预备费</w:t>
            </w:r>
          </w:p>
        </w:tc>
        <w:tc>
          <w:tcPr>
            <w:tcW w:w="2126" w:type="dxa"/>
            <w:vAlign w:val="center"/>
          </w:tcPr>
          <w:p w14:paraId="79F13964">
            <w:pPr>
              <w:pStyle w:val="14"/>
            </w:pPr>
          </w:p>
        </w:tc>
      </w:tr>
      <w:tr w14:paraId="18E1A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634E7">
            <w:pPr>
              <w:pStyle w:val="12"/>
            </w:pPr>
            <w:r>
              <w:t>25</w:t>
            </w:r>
          </w:p>
        </w:tc>
        <w:tc>
          <w:tcPr>
            <w:tcW w:w="4535" w:type="dxa"/>
            <w:vAlign w:val="center"/>
          </w:tcPr>
          <w:p w14:paraId="251167A8">
            <w:pPr>
              <w:pStyle w:val="13"/>
            </w:pPr>
          </w:p>
        </w:tc>
        <w:tc>
          <w:tcPr>
            <w:tcW w:w="2126" w:type="dxa"/>
            <w:vAlign w:val="center"/>
          </w:tcPr>
          <w:p w14:paraId="3726DEFD">
            <w:pPr>
              <w:pStyle w:val="14"/>
            </w:pPr>
          </w:p>
        </w:tc>
        <w:tc>
          <w:tcPr>
            <w:tcW w:w="4535" w:type="dxa"/>
            <w:vAlign w:val="center"/>
          </w:tcPr>
          <w:p w14:paraId="777699E6">
            <w:pPr>
              <w:pStyle w:val="13"/>
            </w:pPr>
            <w:r>
              <w:t>二十五、其他支出</w:t>
            </w:r>
          </w:p>
        </w:tc>
        <w:tc>
          <w:tcPr>
            <w:tcW w:w="2126" w:type="dxa"/>
            <w:vAlign w:val="center"/>
          </w:tcPr>
          <w:p w14:paraId="02455686">
            <w:pPr>
              <w:pStyle w:val="14"/>
            </w:pPr>
          </w:p>
        </w:tc>
      </w:tr>
      <w:tr w14:paraId="0EE5C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03960">
            <w:pPr>
              <w:pStyle w:val="12"/>
            </w:pPr>
            <w:r>
              <w:t>26</w:t>
            </w:r>
          </w:p>
        </w:tc>
        <w:tc>
          <w:tcPr>
            <w:tcW w:w="4535" w:type="dxa"/>
            <w:vAlign w:val="center"/>
          </w:tcPr>
          <w:p w14:paraId="0297FFF9">
            <w:pPr>
              <w:pStyle w:val="13"/>
            </w:pPr>
          </w:p>
        </w:tc>
        <w:tc>
          <w:tcPr>
            <w:tcW w:w="2126" w:type="dxa"/>
            <w:vAlign w:val="center"/>
          </w:tcPr>
          <w:p w14:paraId="3107EB20">
            <w:pPr>
              <w:pStyle w:val="14"/>
            </w:pPr>
          </w:p>
        </w:tc>
        <w:tc>
          <w:tcPr>
            <w:tcW w:w="4535" w:type="dxa"/>
            <w:vAlign w:val="center"/>
          </w:tcPr>
          <w:p w14:paraId="24D282F3">
            <w:pPr>
              <w:pStyle w:val="13"/>
            </w:pPr>
            <w:r>
              <w:t>二十六、转移性支出</w:t>
            </w:r>
          </w:p>
        </w:tc>
        <w:tc>
          <w:tcPr>
            <w:tcW w:w="2126" w:type="dxa"/>
            <w:vAlign w:val="center"/>
          </w:tcPr>
          <w:p w14:paraId="5F02D098">
            <w:pPr>
              <w:pStyle w:val="14"/>
            </w:pPr>
          </w:p>
        </w:tc>
      </w:tr>
      <w:tr w14:paraId="4DF46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7F5EE">
            <w:pPr>
              <w:pStyle w:val="12"/>
            </w:pPr>
            <w:r>
              <w:t>27</w:t>
            </w:r>
          </w:p>
        </w:tc>
        <w:tc>
          <w:tcPr>
            <w:tcW w:w="4535" w:type="dxa"/>
            <w:vAlign w:val="center"/>
          </w:tcPr>
          <w:p w14:paraId="6988B873">
            <w:pPr>
              <w:pStyle w:val="13"/>
            </w:pPr>
          </w:p>
        </w:tc>
        <w:tc>
          <w:tcPr>
            <w:tcW w:w="2126" w:type="dxa"/>
            <w:vAlign w:val="center"/>
          </w:tcPr>
          <w:p w14:paraId="19DCC822">
            <w:pPr>
              <w:pStyle w:val="14"/>
            </w:pPr>
          </w:p>
        </w:tc>
        <w:tc>
          <w:tcPr>
            <w:tcW w:w="4535" w:type="dxa"/>
            <w:vAlign w:val="center"/>
          </w:tcPr>
          <w:p w14:paraId="302BF79D">
            <w:pPr>
              <w:pStyle w:val="13"/>
            </w:pPr>
            <w:r>
              <w:t>二十七、债务还本支出</w:t>
            </w:r>
          </w:p>
        </w:tc>
        <w:tc>
          <w:tcPr>
            <w:tcW w:w="2126" w:type="dxa"/>
            <w:vAlign w:val="center"/>
          </w:tcPr>
          <w:p w14:paraId="4E55FF18">
            <w:pPr>
              <w:pStyle w:val="14"/>
            </w:pPr>
          </w:p>
        </w:tc>
      </w:tr>
      <w:tr w14:paraId="4DBD3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50C3E">
            <w:pPr>
              <w:pStyle w:val="12"/>
            </w:pPr>
            <w:r>
              <w:t>28</w:t>
            </w:r>
          </w:p>
        </w:tc>
        <w:tc>
          <w:tcPr>
            <w:tcW w:w="4535" w:type="dxa"/>
            <w:vAlign w:val="center"/>
          </w:tcPr>
          <w:p w14:paraId="47B6D74C">
            <w:pPr>
              <w:pStyle w:val="13"/>
            </w:pPr>
          </w:p>
        </w:tc>
        <w:tc>
          <w:tcPr>
            <w:tcW w:w="2126" w:type="dxa"/>
            <w:vAlign w:val="center"/>
          </w:tcPr>
          <w:p w14:paraId="62CD9B8B">
            <w:pPr>
              <w:pStyle w:val="14"/>
            </w:pPr>
          </w:p>
        </w:tc>
        <w:tc>
          <w:tcPr>
            <w:tcW w:w="4535" w:type="dxa"/>
            <w:vAlign w:val="center"/>
          </w:tcPr>
          <w:p w14:paraId="27DBD6EB">
            <w:pPr>
              <w:pStyle w:val="13"/>
            </w:pPr>
            <w:r>
              <w:t>二十八、债务付息支出</w:t>
            </w:r>
          </w:p>
        </w:tc>
        <w:tc>
          <w:tcPr>
            <w:tcW w:w="2126" w:type="dxa"/>
            <w:vAlign w:val="center"/>
          </w:tcPr>
          <w:p w14:paraId="4B104E11">
            <w:pPr>
              <w:pStyle w:val="14"/>
            </w:pPr>
          </w:p>
        </w:tc>
      </w:tr>
      <w:tr w14:paraId="54C69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98BE7">
            <w:pPr>
              <w:pStyle w:val="12"/>
            </w:pPr>
            <w:r>
              <w:t>29</w:t>
            </w:r>
          </w:p>
        </w:tc>
        <w:tc>
          <w:tcPr>
            <w:tcW w:w="4535" w:type="dxa"/>
            <w:vAlign w:val="center"/>
          </w:tcPr>
          <w:p w14:paraId="0F6D381F">
            <w:pPr>
              <w:pStyle w:val="13"/>
            </w:pPr>
          </w:p>
        </w:tc>
        <w:tc>
          <w:tcPr>
            <w:tcW w:w="2126" w:type="dxa"/>
            <w:vAlign w:val="center"/>
          </w:tcPr>
          <w:p w14:paraId="0788F4BB">
            <w:pPr>
              <w:pStyle w:val="14"/>
            </w:pPr>
          </w:p>
        </w:tc>
        <w:tc>
          <w:tcPr>
            <w:tcW w:w="4535" w:type="dxa"/>
            <w:vAlign w:val="center"/>
          </w:tcPr>
          <w:p w14:paraId="3E253246">
            <w:pPr>
              <w:pStyle w:val="13"/>
            </w:pPr>
            <w:r>
              <w:t>二十九、债务发行费用支出</w:t>
            </w:r>
          </w:p>
        </w:tc>
        <w:tc>
          <w:tcPr>
            <w:tcW w:w="2126" w:type="dxa"/>
            <w:vAlign w:val="center"/>
          </w:tcPr>
          <w:p w14:paraId="59F872C4">
            <w:pPr>
              <w:pStyle w:val="14"/>
            </w:pPr>
          </w:p>
        </w:tc>
      </w:tr>
      <w:tr w14:paraId="0BD99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D92CD">
            <w:pPr>
              <w:pStyle w:val="12"/>
            </w:pPr>
            <w:r>
              <w:t>30</w:t>
            </w:r>
          </w:p>
        </w:tc>
        <w:tc>
          <w:tcPr>
            <w:tcW w:w="4535" w:type="dxa"/>
            <w:vAlign w:val="center"/>
          </w:tcPr>
          <w:p w14:paraId="19490DDE">
            <w:pPr>
              <w:pStyle w:val="13"/>
            </w:pPr>
          </w:p>
        </w:tc>
        <w:tc>
          <w:tcPr>
            <w:tcW w:w="2126" w:type="dxa"/>
            <w:vAlign w:val="center"/>
          </w:tcPr>
          <w:p w14:paraId="08825646">
            <w:pPr>
              <w:pStyle w:val="14"/>
            </w:pPr>
          </w:p>
        </w:tc>
        <w:tc>
          <w:tcPr>
            <w:tcW w:w="4535" w:type="dxa"/>
            <w:vAlign w:val="center"/>
          </w:tcPr>
          <w:p w14:paraId="4D7A9D6A">
            <w:pPr>
              <w:pStyle w:val="13"/>
            </w:pPr>
            <w:r>
              <w:t>三十、抗疫特别国债安排的支出</w:t>
            </w:r>
          </w:p>
        </w:tc>
        <w:tc>
          <w:tcPr>
            <w:tcW w:w="2126" w:type="dxa"/>
            <w:vAlign w:val="center"/>
          </w:tcPr>
          <w:p w14:paraId="6DFFCE41">
            <w:pPr>
              <w:pStyle w:val="14"/>
            </w:pPr>
          </w:p>
        </w:tc>
      </w:tr>
      <w:tr w14:paraId="1388B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CFA52">
            <w:pPr>
              <w:pStyle w:val="12"/>
            </w:pPr>
            <w:r>
              <w:t>31</w:t>
            </w:r>
          </w:p>
        </w:tc>
        <w:tc>
          <w:tcPr>
            <w:tcW w:w="4535" w:type="dxa"/>
            <w:vAlign w:val="center"/>
          </w:tcPr>
          <w:p w14:paraId="794380B8">
            <w:pPr>
              <w:pStyle w:val="13"/>
            </w:pPr>
          </w:p>
        </w:tc>
        <w:tc>
          <w:tcPr>
            <w:tcW w:w="2126" w:type="dxa"/>
            <w:vAlign w:val="center"/>
          </w:tcPr>
          <w:p w14:paraId="762A1324">
            <w:pPr>
              <w:pStyle w:val="14"/>
            </w:pPr>
          </w:p>
        </w:tc>
        <w:tc>
          <w:tcPr>
            <w:tcW w:w="4535" w:type="dxa"/>
            <w:vAlign w:val="center"/>
          </w:tcPr>
          <w:p w14:paraId="36134791">
            <w:pPr>
              <w:pStyle w:val="13"/>
            </w:pPr>
            <w:r>
              <w:t>三十一、人行科目</w:t>
            </w:r>
          </w:p>
        </w:tc>
        <w:tc>
          <w:tcPr>
            <w:tcW w:w="2126" w:type="dxa"/>
            <w:vAlign w:val="center"/>
          </w:tcPr>
          <w:p w14:paraId="6B890656">
            <w:pPr>
              <w:pStyle w:val="14"/>
            </w:pPr>
          </w:p>
        </w:tc>
      </w:tr>
      <w:tr w14:paraId="55EA9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D044E">
            <w:pPr>
              <w:pStyle w:val="12"/>
            </w:pPr>
            <w:r>
              <w:t>32</w:t>
            </w:r>
          </w:p>
        </w:tc>
        <w:tc>
          <w:tcPr>
            <w:tcW w:w="4535" w:type="dxa"/>
            <w:vAlign w:val="center"/>
          </w:tcPr>
          <w:p w14:paraId="342ABA11">
            <w:pPr>
              <w:pStyle w:val="15"/>
            </w:pPr>
            <w:r>
              <w:t>本年收入合计</w:t>
            </w:r>
          </w:p>
        </w:tc>
        <w:tc>
          <w:tcPr>
            <w:tcW w:w="2126" w:type="dxa"/>
            <w:vAlign w:val="center"/>
          </w:tcPr>
          <w:p w14:paraId="3941446E">
            <w:pPr>
              <w:pStyle w:val="16"/>
            </w:pPr>
            <w:r>
              <w:t>712.02</w:t>
            </w:r>
          </w:p>
        </w:tc>
        <w:tc>
          <w:tcPr>
            <w:tcW w:w="4535" w:type="dxa"/>
            <w:vAlign w:val="center"/>
          </w:tcPr>
          <w:p w14:paraId="02D88EA7">
            <w:pPr>
              <w:pStyle w:val="15"/>
            </w:pPr>
            <w:r>
              <w:t>本年支出合计</w:t>
            </w:r>
          </w:p>
        </w:tc>
        <w:tc>
          <w:tcPr>
            <w:tcW w:w="2126" w:type="dxa"/>
            <w:vAlign w:val="center"/>
          </w:tcPr>
          <w:p w14:paraId="6C29C40D">
            <w:pPr>
              <w:pStyle w:val="16"/>
            </w:pPr>
            <w:r>
              <w:t>712.02</w:t>
            </w:r>
          </w:p>
        </w:tc>
      </w:tr>
      <w:tr w14:paraId="67B4E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76C97">
            <w:pPr>
              <w:pStyle w:val="12"/>
            </w:pPr>
            <w:r>
              <w:t>33</w:t>
            </w:r>
          </w:p>
        </w:tc>
        <w:tc>
          <w:tcPr>
            <w:tcW w:w="4535" w:type="dxa"/>
            <w:vAlign w:val="center"/>
          </w:tcPr>
          <w:p w14:paraId="31F744FF">
            <w:pPr>
              <w:pStyle w:val="13"/>
            </w:pPr>
            <w:r>
              <w:t>上年结转结余</w:t>
            </w:r>
          </w:p>
        </w:tc>
        <w:tc>
          <w:tcPr>
            <w:tcW w:w="2126" w:type="dxa"/>
            <w:vAlign w:val="center"/>
          </w:tcPr>
          <w:p w14:paraId="3BBE4C36">
            <w:pPr>
              <w:pStyle w:val="14"/>
            </w:pPr>
          </w:p>
        </w:tc>
        <w:tc>
          <w:tcPr>
            <w:tcW w:w="4535" w:type="dxa"/>
            <w:vAlign w:val="center"/>
          </w:tcPr>
          <w:p w14:paraId="68B58AA3">
            <w:pPr>
              <w:pStyle w:val="13"/>
            </w:pPr>
            <w:r>
              <w:t>年终结转结余</w:t>
            </w:r>
          </w:p>
        </w:tc>
        <w:tc>
          <w:tcPr>
            <w:tcW w:w="2126" w:type="dxa"/>
            <w:vAlign w:val="center"/>
          </w:tcPr>
          <w:p w14:paraId="174C3518">
            <w:pPr>
              <w:pStyle w:val="14"/>
            </w:pPr>
          </w:p>
        </w:tc>
      </w:tr>
      <w:tr w14:paraId="6D05B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34201">
            <w:pPr>
              <w:pStyle w:val="12"/>
            </w:pPr>
            <w:r>
              <w:t>34</w:t>
            </w:r>
          </w:p>
        </w:tc>
        <w:tc>
          <w:tcPr>
            <w:tcW w:w="4535" w:type="dxa"/>
            <w:vAlign w:val="center"/>
          </w:tcPr>
          <w:p w14:paraId="14108153">
            <w:pPr>
              <w:pStyle w:val="15"/>
            </w:pPr>
            <w:r>
              <w:t>收入总计</w:t>
            </w:r>
          </w:p>
        </w:tc>
        <w:tc>
          <w:tcPr>
            <w:tcW w:w="2126" w:type="dxa"/>
            <w:vAlign w:val="center"/>
          </w:tcPr>
          <w:p w14:paraId="6A626650">
            <w:pPr>
              <w:pStyle w:val="16"/>
            </w:pPr>
            <w:r>
              <w:t>712.02</w:t>
            </w:r>
          </w:p>
        </w:tc>
        <w:tc>
          <w:tcPr>
            <w:tcW w:w="4535" w:type="dxa"/>
            <w:vAlign w:val="center"/>
          </w:tcPr>
          <w:p w14:paraId="5985353A">
            <w:pPr>
              <w:pStyle w:val="15"/>
            </w:pPr>
            <w:r>
              <w:t>支出总计</w:t>
            </w:r>
          </w:p>
        </w:tc>
        <w:tc>
          <w:tcPr>
            <w:tcW w:w="2126" w:type="dxa"/>
            <w:vAlign w:val="center"/>
          </w:tcPr>
          <w:p w14:paraId="6DE36C47">
            <w:pPr>
              <w:pStyle w:val="16"/>
            </w:pPr>
            <w:r>
              <w:t>712.02</w:t>
            </w:r>
          </w:p>
        </w:tc>
      </w:tr>
    </w:tbl>
    <w:p w14:paraId="07051060">
      <w:pPr>
        <w:sectPr>
          <w:pgSz w:w="16840" w:h="11900" w:orient="landscape"/>
          <w:pgMar w:top="1361" w:right="1020" w:bottom="1134" w:left="1020" w:header="720" w:footer="720" w:gutter="0"/>
          <w:cols w:space="720" w:num="1"/>
        </w:sectPr>
      </w:pPr>
    </w:p>
    <w:p w14:paraId="4E71E7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322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C52836">
            <w:pPr>
              <w:pStyle w:val="8"/>
            </w:pPr>
            <w:r>
              <w:t>360039隆尧县唐尧街小学</w:t>
            </w:r>
          </w:p>
        </w:tc>
        <w:tc>
          <w:tcPr>
            <w:tcW w:w="3402" w:type="dxa"/>
            <w:gridSpan w:val="3"/>
            <w:tcBorders>
              <w:top w:val="single" w:color="FFFFFF" w:sz="6" w:space="0"/>
              <w:left w:val="single" w:color="FFFFFF" w:sz="6" w:space="0"/>
              <w:right w:val="single" w:color="FFFFFF" w:sz="6" w:space="0"/>
            </w:tcBorders>
            <w:vAlign w:val="center"/>
          </w:tcPr>
          <w:p w14:paraId="0377ACB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DFF6108">
            <w:pPr>
              <w:pStyle w:val="10"/>
            </w:pPr>
            <w:r>
              <w:t>单位：万元</w:t>
            </w:r>
          </w:p>
        </w:tc>
      </w:tr>
      <w:tr w14:paraId="06833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71D472">
            <w:pPr>
              <w:pStyle w:val="11"/>
            </w:pPr>
            <w:r>
              <w:t>序号</w:t>
            </w:r>
          </w:p>
        </w:tc>
        <w:tc>
          <w:tcPr>
            <w:tcW w:w="2551" w:type="dxa"/>
            <w:gridSpan w:val="2"/>
            <w:vAlign w:val="center"/>
          </w:tcPr>
          <w:p w14:paraId="019F2507">
            <w:pPr>
              <w:pStyle w:val="11"/>
            </w:pPr>
            <w:r>
              <w:t>功能分类科目</w:t>
            </w:r>
          </w:p>
        </w:tc>
        <w:tc>
          <w:tcPr>
            <w:tcW w:w="1134" w:type="dxa"/>
            <w:vMerge w:val="restart"/>
            <w:vAlign w:val="center"/>
          </w:tcPr>
          <w:p w14:paraId="4292DD00">
            <w:pPr>
              <w:pStyle w:val="11"/>
            </w:pPr>
            <w:r>
              <w:t>合计</w:t>
            </w:r>
          </w:p>
        </w:tc>
        <w:tc>
          <w:tcPr>
            <w:tcW w:w="9072" w:type="dxa"/>
            <w:gridSpan w:val="8"/>
            <w:vAlign w:val="center"/>
          </w:tcPr>
          <w:p w14:paraId="0C732FFA">
            <w:pPr>
              <w:pStyle w:val="11"/>
            </w:pPr>
            <w:r>
              <w:t>本年收入</w:t>
            </w:r>
          </w:p>
        </w:tc>
        <w:tc>
          <w:tcPr>
            <w:tcW w:w="1134" w:type="dxa"/>
            <w:vMerge w:val="restart"/>
            <w:vAlign w:val="center"/>
          </w:tcPr>
          <w:p w14:paraId="3A506AD9">
            <w:pPr>
              <w:pStyle w:val="11"/>
            </w:pPr>
            <w:r>
              <w:t>上年结转</w:t>
            </w:r>
          </w:p>
        </w:tc>
      </w:tr>
      <w:tr w14:paraId="67120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E2D7BF"/>
        </w:tc>
        <w:tc>
          <w:tcPr>
            <w:tcW w:w="992" w:type="dxa"/>
            <w:vAlign w:val="center"/>
          </w:tcPr>
          <w:p w14:paraId="7B146F85">
            <w:pPr>
              <w:pStyle w:val="11"/>
            </w:pPr>
            <w:r>
              <w:t>科目    编码</w:t>
            </w:r>
          </w:p>
        </w:tc>
        <w:tc>
          <w:tcPr>
            <w:tcW w:w="1559" w:type="dxa"/>
            <w:vAlign w:val="center"/>
          </w:tcPr>
          <w:p w14:paraId="4A67C900">
            <w:pPr>
              <w:pStyle w:val="11"/>
            </w:pPr>
            <w:r>
              <w:t>科目名称</w:t>
            </w:r>
          </w:p>
        </w:tc>
        <w:tc>
          <w:tcPr>
            <w:tcW w:w="1134" w:type="dxa"/>
            <w:vMerge w:val="continue"/>
          </w:tcPr>
          <w:p w14:paraId="7198AD1F"/>
        </w:tc>
        <w:tc>
          <w:tcPr>
            <w:tcW w:w="1134" w:type="dxa"/>
            <w:vAlign w:val="center"/>
          </w:tcPr>
          <w:p w14:paraId="7F1DB716">
            <w:pPr>
              <w:pStyle w:val="11"/>
            </w:pPr>
            <w:r>
              <w:t>小计</w:t>
            </w:r>
          </w:p>
        </w:tc>
        <w:tc>
          <w:tcPr>
            <w:tcW w:w="1134" w:type="dxa"/>
            <w:vAlign w:val="center"/>
          </w:tcPr>
          <w:p w14:paraId="33F4FC4C">
            <w:pPr>
              <w:pStyle w:val="11"/>
            </w:pPr>
            <w:r>
              <w:t>财政拨款 收入</w:t>
            </w:r>
          </w:p>
        </w:tc>
        <w:tc>
          <w:tcPr>
            <w:tcW w:w="1134" w:type="dxa"/>
            <w:vAlign w:val="center"/>
          </w:tcPr>
          <w:p w14:paraId="5B6425F7">
            <w:pPr>
              <w:pStyle w:val="11"/>
            </w:pPr>
            <w:r>
              <w:t>财政专户 收入</w:t>
            </w:r>
          </w:p>
        </w:tc>
        <w:tc>
          <w:tcPr>
            <w:tcW w:w="1134" w:type="dxa"/>
            <w:vAlign w:val="center"/>
          </w:tcPr>
          <w:p w14:paraId="32B64CA4">
            <w:pPr>
              <w:pStyle w:val="11"/>
            </w:pPr>
            <w:r>
              <w:t>事业收入</w:t>
            </w:r>
          </w:p>
        </w:tc>
        <w:tc>
          <w:tcPr>
            <w:tcW w:w="1134" w:type="dxa"/>
            <w:vAlign w:val="center"/>
          </w:tcPr>
          <w:p w14:paraId="79FE2151">
            <w:pPr>
              <w:pStyle w:val="11"/>
            </w:pPr>
            <w:r>
              <w:t>经营收入</w:t>
            </w:r>
          </w:p>
        </w:tc>
        <w:tc>
          <w:tcPr>
            <w:tcW w:w="1134" w:type="dxa"/>
            <w:vAlign w:val="center"/>
          </w:tcPr>
          <w:p w14:paraId="6975DFAD">
            <w:pPr>
              <w:pStyle w:val="11"/>
            </w:pPr>
            <w:r>
              <w:t>上级补助收入</w:t>
            </w:r>
          </w:p>
        </w:tc>
        <w:tc>
          <w:tcPr>
            <w:tcW w:w="1134" w:type="dxa"/>
            <w:vAlign w:val="center"/>
          </w:tcPr>
          <w:p w14:paraId="5589EC53">
            <w:pPr>
              <w:pStyle w:val="11"/>
            </w:pPr>
            <w:r>
              <w:t>附属单位上缴收入</w:t>
            </w:r>
          </w:p>
        </w:tc>
        <w:tc>
          <w:tcPr>
            <w:tcW w:w="1134" w:type="dxa"/>
            <w:vAlign w:val="center"/>
          </w:tcPr>
          <w:p w14:paraId="498E0A12">
            <w:pPr>
              <w:pStyle w:val="11"/>
            </w:pPr>
            <w:r>
              <w:t>其他收入</w:t>
            </w:r>
          </w:p>
        </w:tc>
        <w:tc>
          <w:tcPr>
            <w:tcW w:w="1134" w:type="dxa"/>
            <w:vMerge w:val="continue"/>
          </w:tcPr>
          <w:p w14:paraId="5497B193"/>
        </w:tc>
      </w:tr>
      <w:tr w14:paraId="6DA50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4A427A">
            <w:pPr>
              <w:pStyle w:val="11"/>
            </w:pPr>
            <w:r>
              <w:t>栏次</w:t>
            </w:r>
          </w:p>
        </w:tc>
        <w:tc>
          <w:tcPr>
            <w:tcW w:w="992" w:type="dxa"/>
            <w:vAlign w:val="center"/>
          </w:tcPr>
          <w:p w14:paraId="2E8EC4BC">
            <w:pPr>
              <w:pStyle w:val="11"/>
            </w:pPr>
            <w:r>
              <w:t>1</w:t>
            </w:r>
          </w:p>
        </w:tc>
        <w:tc>
          <w:tcPr>
            <w:tcW w:w="1559" w:type="dxa"/>
            <w:vAlign w:val="center"/>
          </w:tcPr>
          <w:p w14:paraId="5DEEB829">
            <w:pPr>
              <w:pStyle w:val="11"/>
            </w:pPr>
            <w:r>
              <w:t>2</w:t>
            </w:r>
          </w:p>
        </w:tc>
        <w:tc>
          <w:tcPr>
            <w:tcW w:w="1134" w:type="dxa"/>
            <w:vAlign w:val="center"/>
          </w:tcPr>
          <w:p w14:paraId="5584BE48">
            <w:pPr>
              <w:pStyle w:val="11"/>
            </w:pPr>
            <w:r>
              <w:t>3</w:t>
            </w:r>
          </w:p>
        </w:tc>
        <w:tc>
          <w:tcPr>
            <w:tcW w:w="1134" w:type="dxa"/>
            <w:vAlign w:val="center"/>
          </w:tcPr>
          <w:p w14:paraId="02256368">
            <w:pPr>
              <w:pStyle w:val="11"/>
            </w:pPr>
            <w:r>
              <w:t>4</w:t>
            </w:r>
          </w:p>
        </w:tc>
        <w:tc>
          <w:tcPr>
            <w:tcW w:w="1134" w:type="dxa"/>
            <w:vAlign w:val="center"/>
          </w:tcPr>
          <w:p w14:paraId="750674B3">
            <w:pPr>
              <w:pStyle w:val="11"/>
            </w:pPr>
            <w:r>
              <w:t>5</w:t>
            </w:r>
          </w:p>
        </w:tc>
        <w:tc>
          <w:tcPr>
            <w:tcW w:w="1134" w:type="dxa"/>
            <w:vAlign w:val="center"/>
          </w:tcPr>
          <w:p w14:paraId="12049F37">
            <w:pPr>
              <w:pStyle w:val="11"/>
            </w:pPr>
            <w:r>
              <w:t>6</w:t>
            </w:r>
          </w:p>
        </w:tc>
        <w:tc>
          <w:tcPr>
            <w:tcW w:w="1134" w:type="dxa"/>
            <w:vAlign w:val="center"/>
          </w:tcPr>
          <w:p w14:paraId="57B1B9EF">
            <w:pPr>
              <w:pStyle w:val="11"/>
            </w:pPr>
            <w:r>
              <w:t>7</w:t>
            </w:r>
          </w:p>
        </w:tc>
        <w:tc>
          <w:tcPr>
            <w:tcW w:w="1134" w:type="dxa"/>
            <w:vAlign w:val="center"/>
          </w:tcPr>
          <w:p w14:paraId="5FF974BD">
            <w:pPr>
              <w:pStyle w:val="11"/>
            </w:pPr>
            <w:r>
              <w:t>8</w:t>
            </w:r>
          </w:p>
        </w:tc>
        <w:tc>
          <w:tcPr>
            <w:tcW w:w="1134" w:type="dxa"/>
            <w:vAlign w:val="center"/>
          </w:tcPr>
          <w:p w14:paraId="1E70BE4F">
            <w:pPr>
              <w:pStyle w:val="11"/>
            </w:pPr>
            <w:r>
              <w:t>9</w:t>
            </w:r>
          </w:p>
        </w:tc>
        <w:tc>
          <w:tcPr>
            <w:tcW w:w="1134" w:type="dxa"/>
            <w:vAlign w:val="center"/>
          </w:tcPr>
          <w:p w14:paraId="1ED4B00F">
            <w:pPr>
              <w:pStyle w:val="11"/>
            </w:pPr>
            <w:r>
              <w:t>10</w:t>
            </w:r>
          </w:p>
        </w:tc>
        <w:tc>
          <w:tcPr>
            <w:tcW w:w="1134" w:type="dxa"/>
            <w:vAlign w:val="center"/>
          </w:tcPr>
          <w:p w14:paraId="2271AFFC">
            <w:pPr>
              <w:pStyle w:val="11"/>
            </w:pPr>
            <w:r>
              <w:t>11</w:t>
            </w:r>
          </w:p>
        </w:tc>
        <w:tc>
          <w:tcPr>
            <w:tcW w:w="1134" w:type="dxa"/>
            <w:vAlign w:val="center"/>
          </w:tcPr>
          <w:p w14:paraId="755FF4C9">
            <w:pPr>
              <w:pStyle w:val="11"/>
            </w:pPr>
            <w:r>
              <w:t>12</w:t>
            </w:r>
          </w:p>
        </w:tc>
      </w:tr>
      <w:tr w14:paraId="69309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401138">
            <w:pPr>
              <w:pStyle w:val="12"/>
            </w:pPr>
            <w:r>
              <w:t>1</w:t>
            </w:r>
          </w:p>
        </w:tc>
        <w:tc>
          <w:tcPr>
            <w:tcW w:w="992" w:type="dxa"/>
            <w:vAlign w:val="center"/>
          </w:tcPr>
          <w:p w14:paraId="0055709A">
            <w:pPr>
              <w:pStyle w:val="17"/>
            </w:pPr>
          </w:p>
        </w:tc>
        <w:tc>
          <w:tcPr>
            <w:tcW w:w="1559" w:type="dxa"/>
            <w:vAlign w:val="center"/>
          </w:tcPr>
          <w:p w14:paraId="3BF4BC74">
            <w:pPr>
              <w:pStyle w:val="15"/>
            </w:pPr>
            <w:r>
              <w:t>合计</w:t>
            </w:r>
          </w:p>
        </w:tc>
        <w:tc>
          <w:tcPr>
            <w:tcW w:w="1134" w:type="dxa"/>
            <w:vAlign w:val="center"/>
          </w:tcPr>
          <w:p w14:paraId="55DCB5CF">
            <w:pPr>
              <w:pStyle w:val="16"/>
            </w:pPr>
            <w:r>
              <w:t>712.02</w:t>
            </w:r>
          </w:p>
        </w:tc>
        <w:tc>
          <w:tcPr>
            <w:tcW w:w="1134" w:type="dxa"/>
            <w:vAlign w:val="center"/>
          </w:tcPr>
          <w:p w14:paraId="6284CCAB">
            <w:pPr>
              <w:pStyle w:val="16"/>
            </w:pPr>
            <w:r>
              <w:t>712.02</w:t>
            </w:r>
          </w:p>
        </w:tc>
        <w:tc>
          <w:tcPr>
            <w:tcW w:w="1134" w:type="dxa"/>
            <w:vAlign w:val="center"/>
          </w:tcPr>
          <w:p w14:paraId="37E302BD">
            <w:pPr>
              <w:pStyle w:val="16"/>
            </w:pPr>
            <w:r>
              <w:t>712.02</w:t>
            </w:r>
          </w:p>
        </w:tc>
        <w:tc>
          <w:tcPr>
            <w:tcW w:w="1134" w:type="dxa"/>
            <w:vAlign w:val="center"/>
          </w:tcPr>
          <w:p w14:paraId="379FEB66">
            <w:pPr>
              <w:pStyle w:val="16"/>
            </w:pPr>
          </w:p>
        </w:tc>
        <w:tc>
          <w:tcPr>
            <w:tcW w:w="1134" w:type="dxa"/>
            <w:vAlign w:val="center"/>
          </w:tcPr>
          <w:p w14:paraId="64E881EF">
            <w:pPr>
              <w:pStyle w:val="16"/>
            </w:pPr>
          </w:p>
        </w:tc>
        <w:tc>
          <w:tcPr>
            <w:tcW w:w="1134" w:type="dxa"/>
            <w:vAlign w:val="center"/>
          </w:tcPr>
          <w:p w14:paraId="2A62E192">
            <w:pPr>
              <w:pStyle w:val="16"/>
            </w:pPr>
          </w:p>
        </w:tc>
        <w:tc>
          <w:tcPr>
            <w:tcW w:w="1134" w:type="dxa"/>
            <w:vAlign w:val="center"/>
          </w:tcPr>
          <w:p w14:paraId="29F19257">
            <w:pPr>
              <w:pStyle w:val="16"/>
            </w:pPr>
          </w:p>
        </w:tc>
        <w:tc>
          <w:tcPr>
            <w:tcW w:w="1134" w:type="dxa"/>
            <w:vAlign w:val="center"/>
          </w:tcPr>
          <w:p w14:paraId="79E21A84">
            <w:pPr>
              <w:pStyle w:val="16"/>
            </w:pPr>
          </w:p>
        </w:tc>
        <w:tc>
          <w:tcPr>
            <w:tcW w:w="1134" w:type="dxa"/>
            <w:vAlign w:val="center"/>
          </w:tcPr>
          <w:p w14:paraId="461055BB">
            <w:pPr>
              <w:pStyle w:val="16"/>
            </w:pPr>
          </w:p>
        </w:tc>
        <w:tc>
          <w:tcPr>
            <w:tcW w:w="1134" w:type="dxa"/>
            <w:vAlign w:val="center"/>
          </w:tcPr>
          <w:p w14:paraId="24826864">
            <w:pPr>
              <w:pStyle w:val="16"/>
            </w:pPr>
          </w:p>
        </w:tc>
      </w:tr>
      <w:tr w14:paraId="7837D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F6715A">
            <w:pPr>
              <w:pStyle w:val="12"/>
            </w:pPr>
            <w:r>
              <w:t>2</w:t>
            </w:r>
          </w:p>
        </w:tc>
        <w:tc>
          <w:tcPr>
            <w:tcW w:w="992" w:type="dxa"/>
            <w:vAlign w:val="center"/>
          </w:tcPr>
          <w:p w14:paraId="25462C70">
            <w:pPr>
              <w:pStyle w:val="13"/>
            </w:pPr>
            <w:r>
              <w:t>205</w:t>
            </w:r>
          </w:p>
        </w:tc>
        <w:tc>
          <w:tcPr>
            <w:tcW w:w="1559" w:type="dxa"/>
            <w:vAlign w:val="center"/>
          </w:tcPr>
          <w:p w14:paraId="2F06A861">
            <w:pPr>
              <w:pStyle w:val="13"/>
            </w:pPr>
            <w:r>
              <w:t>教育支出</w:t>
            </w:r>
          </w:p>
        </w:tc>
        <w:tc>
          <w:tcPr>
            <w:tcW w:w="1134" w:type="dxa"/>
            <w:vAlign w:val="center"/>
          </w:tcPr>
          <w:p w14:paraId="47746470">
            <w:pPr>
              <w:pStyle w:val="14"/>
            </w:pPr>
            <w:r>
              <w:t>712.02</w:t>
            </w:r>
          </w:p>
        </w:tc>
        <w:tc>
          <w:tcPr>
            <w:tcW w:w="1134" w:type="dxa"/>
            <w:vAlign w:val="center"/>
          </w:tcPr>
          <w:p w14:paraId="611C2BF5">
            <w:pPr>
              <w:pStyle w:val="14"/>
            </w:pPr>
            <w:r>
              <w:t>712.02</w:t>
            </w:r>
          </w:p>
        </w:tc>
        <w:tc>
          <w:tcPr>
            <w:tcW w:w="1134" w:type="dxa"/>
            <w:vAlign w:val="center"/>
          </w:tcPr>
          <w:p w14:paraId="236A4FBC">
            <w:pPr>
              <w:pStyle w:val="14"/>
            </w:pPr>
            <w:r>
              <w:t>712.02</w:t>
            </w:r>
          </w:p>
        </w:tc>
        <w:tc>
          <w:tcPr>
            <w:tcW w:w="1134" w:type="dxa"/>
            <w:vAlign w:val="center"/>
          </w:tcPr>
          <w:p w14:paraId="1DC6F9AF">
            <w:pPr>
              <w:pStyle w:val="14"/>
            </w:pPr>
          </w:p>
        </w:tc>
        <w:tc>
          <w:tcPr>
            <w:tcW w:w="1134" w:type="dxa"/>
            <w:vAlign w:val="center"/>
          </w:tcPr>
          <w:p w14:paraId="42DA5AB7">
            <w:pPr>
              <w:pStyle w:val="14"/>
            </w:pPr>
          </w:p>
        </w:tc>
        <w:tc>
          <w:tcPr>
            <w:tcW w:w="1134" w:type="dxa"/>
            <w:vAlign w:val="center"/>
          </w:tcPr>
          <w:p w14:paraId="1C936358">
            <w:pPr>
              <w:pStyle w:val="14"/>
            </w:pPr>
          </w:p>
        </w:tc>
        <w:tc>
          <w:tcPr>
            <w:tcW w:w="1134" w:type="dxa"/>
            <w:vAlign w:val="center"/>
          </w:tcPr>
          <w:p w14:paraId="2AA5AF37">
            <w:pPr>
              <w:pStyle w:val="14"/>
            </w:pPr>
          </w:p>
        </w:tc>
        <w:tc>
          <w:tcPr>
            <w:tcW w:w="1134" w:type="dxa"/>
            <w:vAlign w:val="center"/>
          </w:tcPr>
          <w:p w14:paraId="21E4C11D">
            <w:pPr>
              <w:pStyle w:val="14"/>
            </w:pPr>
          </w:p>
        </w:tc>
        <w:tc>
          <w:tcPr>
            <w:tcW w:w="1134" w:type="dxa"/>
            <w:vAlign w:val="center"/>
          </w:tcPr>
          <w:p w14:paraId="1EBBC373">
            <w:pPr>
              <w:pStyle w:val="14"/>
            </w:pPr>
          </w:p>
        </w:tc>
        <w:tc>
          <w:tcPr>
            <w:tcW w:w="1134" w:type="dxa"/>
            <w:vAlign w:val="center"/>
          </w:tcPr>
          <w:p w14:paraId="0F5C1AA1">
            <w:pPr>
              <w:pStyle w:val="14"/>
            </w:pPr>
          </w:p>
        </w:tc>
      </w:tr>
      <w:tr w14:paraId="005B6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B9F6E1">
            <w:pPr>
              <w:pStyle w:val="12"/>
            </w:pPr>
            <w:r>
              <w:t>3</w:t>
            </w:r>
          </w:p>
        </w:tc>
        <w:tc>
          <w:tcPr>
            <w:tcW w:w="992" w:type="dxa"/>
            <w:vAlign w:val="center"/>
          </w:tcPr>
          <w:p w14:paraId="3207B747">
            <w:pPr>
              <w:pStyle w:val="13"/>
            </w:pPr>
            <w:r>
              <w:t>20502</w:t>
            </w:r>
          </w:p>
        </w:tc>
        <w:tc>
          <w:tcPr>
            <w:tcW w:w="1559" w:type="dxa"/>
            <w:vAlign w:val="center"/>
          </w:tcPr>
          <w:p w14:paraId="4483448F">
            <w:pPr>
              <w:pStyle w:val="13"/>
            </w:pPr>
            <w:r>
              <w:t>普通教育</w:t>
            </w:r>
          </w:p>
        </w:tc>
        <w:tc>
          <w:tcPr>
            <w:tcW w:w="1134" w:type="dxa"/>
            <w:vAlign w:val="center"/>
          </w:tcPr>
          <w:p w14:paraId="2961A248">
            <w:pPr>
              <w:pStyle w:val="14"/>
            </w:pPr>
            <w:r>
              <w:t>712.02</w:t>
            </w:r>
          </w:p>
        </w:tc>
        <w:tc>
          <w:tcPr>
            <w:tcW w:w="1134" w:type="dxa"/>
            <w:vAlign w:val="center"/>
          </w:tcPr>
          <w:p w14:paraId="0E00FE8D">
            <w:pPr>
              <w:pStyle w:val="14"/>
            </w:pPr>
            <w:r>
              <w:t>712.02</w:t>
            </w:r>
          </w:p>
        </w:tc>
        <w:tc>
          <w:tcPr>
            <w:tcW w:w="1134" w:type="dxa"/>
            <w:vAlign w:val="center"/>
          </w:tcPr>
          <w:p w14:paraId="5BF23D83">
            <w:pPr>
              <w:pStyle w:val="14"/>
            </w:pPr>
            <w:r>
              <w:t>712.02</w:t>
            </w:r>
          </w:p>
        </w:tc>
        <w:tc>
          <w:tcPr>
            <w:tcW w:w="1134" w:type="dxa"/>
            <w:vAlign w:val="center"/>
          </w:tcPr>
          <w:p w14:paraId="218E2CE5">
            <w:pPr>
              <w:pStyle w:val="14"/>
            </w:pPr>
          </w:p>
        </w:tc>
        <w:tc>
          <w:tcPr>
            <w:tcW w:w="1134" w:type="dxa"/>
            <w:vAlign w:val="center"/>
          </w:tcPr>
          <w:p w14:paraId="5FE17F15">
            <w:pPr>
              <w:pStyle w:val="14"/>
            </w:pPr>
          </w:p>
        </w:tc>
        <w:tc>
          <w:tcPr>
            <w:tcW w:w="1134" w:type="dxa"/>
            <w:vAlign w:val="center"/>
          </w:tcPr>
          <w:p w14:paraId="41A49055">
            <w:pPr>
              <w:pStyle w:val="14"/>
            </w:pPr>
          </w:p>
        </w:tc>
        <w:tc>
          <w:tcPr>
            <w:tcW w:w="1134" w:type="dxa"/>
            <w:vAlign w:val="center"/>
          </w:tcPr>
          <w:p w14:paraId="61405082">
            <w:pPr>
              <w:pStyle w:val="14"/>
            </w:pPr>
          </w:p>
        </w:tc>
        <w:tc>
          <w:tcPr>
            <w:tcW w:w="1134" w:type="dxa"/>
            <w:vAlign w:val="center"/>
          </w:tcPr>
          <w:p w14:paraId="1673D62D">
            <w:pPr>
              <w:pStyle w:val="14"/>
            </w:pPr>
          </w:p>
        </w:tc>
        <w:tc>
          <w:tcPr>
            <w:tcW w:w="1134" w:type="dxa"/>
            <w:vAlign w:val="center"/>
          </w:tcPr>
          <w:p w14:paraId="699EE623">
            <w:pPr>
              <w:pStyle w:val="14"/>
            </w:pPr>
          </w:p>
        </w:tc>
        <w:tc>
          <w:tcPr>
            <w:tcW w:w="1134" w:type="dxa"/>
            <w:vAlign w:val="center"/>
          </w:tcPr>
          <w:p w14:paraId="30FE88B1">
            <w:pPr>
              <w:pStyle w:val="14"/>
            </w:pPr>
          </w:p>
        </w:tc>
      </w:tr>
      <w:tr w14:paraId="37B0E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BD233A">
            <w:pPr>
              <w:pStyle w:val="12"/>
            </w:pPr>
            <w:r>
              <w:t>4</w:t>
            </w:r>
          </w:p>
        </w:tc>
        <w:tc>
          <w:tcPr>
            <w:tcW w:w="992" w:type="dxa"/>
            <w:vAlign w:val="center"/>
          </w:tcPr>
          <w:p w14:paraId="5EAE7967">
            <w:pPr>
              <w:pStyle w:val="13"/>
            </w:pPr>
            <w:r>
              <w:t>2050202</w:t>
            </w:r>
          </w:p>
        </w:tc>
        <w:tc>
          <w:tcPr>
            <w:tcW w:w="1559" w:type="dxa"/>
            <w:vAlign w:val="center"/>
          </w:tcPr>
          <w:p w14:paraId="5ECE76B2">
            <w:pPr>
              <w:pStyle w:val="13"/>
            </w:pPr>
            <w:r>
              <w:t>小学教育</w:t>
            </w:r>
          </w:p>
        </w:tc>
        <w:tc>
          <w:tcPr>
            <w:tcW w:w="1134" w:type="dxa"/>
            <w:vAlign w:val="center"/>
          </w:tcPr>
          <w:p w14:paraId="045B1FF7">
            <w:pPr>
              <w:pStyle w:val="14"/>
            </w:pPr>
            <w:r>
              <w:t>712.02</w:t>
            </w:r>
          </w:p>
        </w:tc>
        <w:tc>
          <w:tcPr>
            <w:tcW w:w="1134" w:type="dxa"/>
            <w:vAlign w:val="center"/>
          </w:tcPr>
          <w:p w14:paraId="4712D650">
            <w:pPr>
              <w:pStyle w:val="14"/>
            </w:pPr>
            <w:r>
              <w:t>712.02</w:t>
            </w:r>
          </w:p>
        </w:tc>
        <w:tc>
          <w:tcPr>
            <w:tcW w:w="1134" w:type="dxa"/>
            <w:vAlign w:val="center"/>
          </w:tcPr>
          <w:p w14:paraId="42983C48">
            <w:pPr>
              <w:pStyle w:val="14"/>
            </w:pPr>
            <w:r>
              <w:t>712.02</w:t>
            </w:r>
          </w:p>
        </w:tc>
        <w:tc>
          <w:tcPr>
            <w:tcW w:w="1134" w:type="dxa"/>
            <w:vAlign w:val="center"/>
          </w:tcPr>
          <w:p w14:paraId="4070C45F">
            <w:pPr>
              <w:pStyle w:val="14"/>
            </w:pPr>
          </w:p>
        </w:tc>
        <w:tc>
          <w:tcPr>
            <w:tcW w:w="1134" w:type="dxa"/>
            <w:vAlign w:val="center"/>
          </w:tcPr>
          <w:p w14:paraId="17F74688">
            <w:pPr>
              <w:pStyle w:val="14"/>
            </w:pPr>
          </w:p>
        </w:tc>
        <w:tc>
          <w:tcPr>
            <w:tcW w:w="1134" w:type="dxa"/>
            <w:vAlign w:val="center"/>
          </w:tcPr>
          <w:p w14:paraId="66A8E969">
            <w:pPr>
              <w:pStyle w:val="14"/>
            </w:pPr>
          </w:p>
        </w:tc>
        <w:tc>
          <w:tcPr>
            <w:tcW w:w="1134" w:type="dxa"/>
            <w:vAlign w:val="center"/>
          </w:tcPr>
          <w:p w14:paraId="643CA902">
            <w:pPr>
              <w:pStyle w:val="14"/>
            </w:pPr>
          </w:p>
        </w:tc>
        <w:tc>
          <w:tcPr>
            <w:tcW w:w="1134" w:type="dxa"/>
            <w:vAlign w:val="center"/>
          </w:tcPr>
          <w:p w14:paraId="04D6D1F8">
            <w:pPr>
              <w:pStyle w:val="14"/>
            </w:pPr>
          </w:p>
        </w:tc>
        <w:tc>
          <w:tcPr>
            <w:tcW w:w="1134" w:type="dxa"/>
            <w:vAlign w:val="center"/>
          </w:tcPr>
          <w:p w14:paraId="1A5DAABC">
            <w:pPr>
              <w:pStyle w:val="14"/>
            </w:pPr>
          </w:p>
        </w:tc>
        <w:tc>
          <w:tcPr>
            <w:tcW w:w="1134" w:type="dxa"/>
            <w:vAlign w:val="center"/>
          </w:tcPr>
          <w:p w14:paraId="37453BE8">
            <w:pPr>
              <w:pStyle w:val="14"/>
            </w:pPr>
          </w:p>
        </w:tc>
      </w:tr>
    </w:tbl>
    <w:p w14:paraId="1B38A9CD">
      <w:pPr>
        <w:sectPr>
          <w:pgSz w:w="16840" w:h="11900" w:orient="landscape"/>
          <w:pgMar w:top="1361" w:right="1020" w:bottom="1134" w:left="1020" w:header="720" w:footer="720" w:gutter="0"/>
          <w:cols w:space="720" w:num="1"/>
        </w:sectPr>
      </w:pPr>
    </w:p>
    <w:p w14:paraId="0851A2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391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935A07">
            <w:pPr>
              <w:pStyle w:val="8"/>
            </w:pPr>
            <w:r>
              <w:t>360039隆尧县唐尧街小学</w:t>
            </w:r>
          </w:p>
        </w:tc>
        <w:tc>
          <w:tcPr>
            <w:tcW w:w="2722" w:type="dxa"/>
            <w:gridSpan w:val="2"/>
            <w:tcBorders>
              <w:top w:val="single" w:color="FFFFFF" w:sz="6" w:space="0"/>
              <w:left w:val="single" w:color="FFFFFF" w:sz="6" w:space="0"/>
              <w:right w:val="single" w:color="FFFFFF" w:sz="6" w:space="0"/>
            </w:tcBorders>
            <w:vAlign w:val="center"/>
          </w:tcPr>
          <w:p w14:paraId="171C18BD">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D1571AA">
            <w:pPr>
              <w:pStyle w:val="10"/>
            </w:pPr>
            <w:r>
              <w:t>单位：万元</w:t>
            </w:r>
          </w:p>
        </w:tc>
      </w:tr>
      <w:tr w14:paraId="41D2C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BBA58">
            <w:pPr>
              <w:pStyle w:val="11"/>
            </w:pPr>
            <w:r>
              <w:t>序号</w:t>
            </w:r>
          </w:p>
        </w:tc>
        <w:tc>
          <w:tcPr>
            <w:tcW w:w="5527" w:type="dxa"/>
            <w:gridSpan w:val="2"/>
            <w:vAlign w:val="center"/>
          </w:tcPr>
          <w:p w14:paraId="6766A6A2">
            <w:pPr>
              <w:pStyle w:val="11"/>
            </w:pPr>
            <w:r>
              <w:t>功能分类科目</w:t>
            </w:r>
          </w:p>
        </w:tc>
        <w:tc>
          <w:tcPr>
            <w:tcW w:w="1361" w:type="dxa"/>
            <w:vMerge w:val="restart"/>
            <w:vAlign w:val="center"/>
          </w:tcPr>
          <w:p w14:paraId="52EACEE4">
            <w:pPr>
              <w:pStyle w:val="11"/>
            </w:pPr>
            <w:r>
              <w:t>合计</w:t>
            </w:r>
          </w:p>
        </w:tc>
        <w:tc>
          <w:tcPr>
            <w:tcW w:w="1361" w:type="dxa"/>
            <w:vMerge w:val="restart"/>
            <w:vAlign w:val="center"/>
          </w:tcPr>
          <w:p w14:paraId="6384832B">
            <w:pPr>
              <w:pStyle w:val="11"/>
            </w:pPr>
            <w:r>
              <w:t>基本支出</w:t>
            </w:r>
          </w:p>
        </w:tc>
        <w:tc>
          <w:tcPr>
            <w:tcW w:w="1361" w:type="dxa"/>
            <w:vMerge w:val="restart"/>
            <w:vAlign w:val="center"/>
          </w:tcPr>
          <w:p w14:paraId="65607340">
            <w:pPr>
              <w:pStyle w:val="11"/>
            </w:pPr>
            <w:r>
              <w:t>项目支出</w:t>
            </w:r>
          </w:p>
        </w:tc>
        <w:tc>
          <w:tcPr>
            <w:tcW w:w="1361" w:type="dxa"/>
            <w:vMerge w:val="restart"/>
            <w:vAlign w:val="center"/>
          </w:tcPr>
          <w:p w14:paraId="4120ED79">
            <w:pPr>
              <w:pStyle w:val="11"/>
            </w:pPr>
            <w:r>
              <w:t>经营支出</w:t>
            </w:r>
          </w:p>
        </w:tc>
        <w:tc>
          <w:tcPr>
            <w:tcW w:w="1361" w:type="dxa"/>
            <w:vMerge w:val="restart"/>
            <w:vAlign w:val="center"/>
          </w:tcPr>
          <w:p w14:paraId="47617237">
            <w:pPr>
              <w:pStyle w:val="11"/>
            </w:pPr>
            <w:r>
              <w:t>上解上级     支出</w:t>
            </w:r>
          </w:p>
        </w:tc>
        <w:tc>
          <w:tcPr>
            <w:tcW w:w="1361" w:type="dxa"/>
            <w:vMerge w:val="restart"/>
            <w:vAlign w:val="center"/>
          </w:tcPr>
          <w:p w14:paraId="49538B06">
            <w:pPr>
              <w:pStyle w:val="11"/>
            </w:pPr>
            <w:r>
              <w:t>对附属单位补助支出</w:t>
            </w:r>
          </w:p>
        </w:tc>
      </w:tr>
      <w:tr w14:paraId="2A518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5C758C"/>
        </w:tc>
        <w:tc>
          <w:tcPr>
            <w:tcW w:w="992" w:type="dxa"/>
            <w:vAlign w:val="center"/>
          </w:tcPr>
          <w:p w14:paraId="62420968">
            <w:pPr>
              <w:pStyle w:val="11"/>
            </w:pPr>
            <w:r>
              <w:t>科目    编码</w:t>
            </w:r>
          </w:p>
        </w:tc>
        <w:tc>
          <w:tcPr>
            <w:tcW w:w="4535" w:type="dxa"/>
            <w:vAlign w:val="center"/>
          </w:tcPr>
          <w:p w14:paraId="7C789CB7">
            <w:pPr>
              <w:pStyle w:val="11"/>
            </w:pPr>
            <w:r>
              <w:t>科目名称</w:t>
            </w:r>
          </w:p>
        </w:tc>
        <w:tc>
          <w:tcPr>
            <w:tcW w:w="1361" w:type="dxa"/>
            <w:vMerge w:val="continue"/>
          </w:tcPr>
          <w:p w14:paraId="63752A2F"/>
        </w:tc>
        <w:tc>
          <w:tcPr>
            <w:tcW w:w="1361" w:type="dxa"/>
            <w:vMerge w:val="continue"/>
          </w:tcPr>
          <w:p w14:paraId="670649C8"/>
        </w:tc>
        <w:tc>
          <w:tcPr>
            <w:tcW w:w="1361" w:type="dxa"/>
            <w:vMerge w:val="continue"/>
          </w:tcPr>
          <w:p w14:paraId="79132B69"/>
        </w:tc>
        <w:tc>
          <w:tcPr>
            <w:tcW w:w="1361" w:type="dxa"/>
            <w:vMerge w:val="continue"/>
          </w:tcPr>
          <w:p w14:paraId="5C2FEA28"/>
        </w:tc>
        <w:tc>
          <w:tcPr>
            <w:tcW w:w="1361" w:type="dxa"/>
            <w:vMerge w:val="continue"/>
          </w:tcPr>
          <w:p w14:paraId="753B6EAE"/>
        </w:tc>
        <w:tc>
          <w:tcPr>
            <w:tcW w:w="1361" w:type="dxa"/>
            <w:vMerge w:val="continue"/>
          </w:tcPr>
          <w:p w14:paraId="6965BAF4"/>
        </w:tc>
      </w:tr>
      <w:tr w14:paraId="76933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6D2B3">
            <w:pPr>
              <w:pStyle w:val="11"/>
            </w:pPr>
            <w:r>
              <w:t>栏次</w:t>
            </w:r>
          </w:p>
        </w:tc>
        <w:tc>
          <w:tcPr>
            <w:tcW w:w="992" w:type="dxa"/>
            <w:vAlign w:val="center"/>
          </w:tcPr>
          <w:p w14:paraId="15FC6E94">
            <w:pPr>
              <w:pStyle w:val="11"/>
            </w:pPr>
            <w:r>
              <w:t>1</w:t>
            </w:r>
          </w:p>
        </w:tc>
        <w:tc>
          <w:tcPr>
            <w:tcW w:w="4535" w:type="dxa"/>
            <w:vAlign w:val="center"/>
          </w:tcPr>
          <w:p w14:paraId="2F9731D5">
            <w:pPr>
              <w:pStyle w:val="11"/>
            </w:pPr>
            <w:r>
              <w:t>2</w:t>
            </w:r>
          </w:p>
        </w:tc>
        <w:tc>
          <w:tcPr>
            <w:tcW w:w="1361" w:type="dxa"/>
            <w:vAlign w:val="center"/>
          </w:tcPr>
          <w:p w14:paraId="633F9361">
            <w:pPr>
              <w:pStyle w:val="11"/>
            </w:pPr>
            <w:r>
              <w:t>3</w:t>
            </w:r>
          </w:p>
        </w:tc>
        <w:tc>
          <w:tcPr>
            <w:tcW w:w="1361" w:type="dxa"/>
            <w:vAlign w:val="center"/>
          </w:tcPr>
          <w:p w14:paraId="00184DBF">
            <w:pPr>
              <w:pStyle w:val="11"/>
            </w:pPr>
            <w:r>
              <w:t>4</w:t>
            </w:r>
          </w:p>
        </w:tc>
        <w:tc>
          <w:tcPr>
            <w:tcW w:w="1361" w:type="dxa"/>
            <w:vAlign w:val="center"/>
          </w:tcPr>
          <w:p w14:paraId="0C66B9B3">
            <w:pPr>
              <w:pStyle w:val="11"/>
            </w:pPr>
            <w:r>
              <w:t>5</w:t>
            </w:r>
          </w:p>
        </w:tc>
        <w:tc>
          <w:tcPr>
            <w:tcW w:w="1361" w:type="dxa"/>
            <w:vAlign w:val="center"/>
          </w:tcPr>
          <w:p w14:paraId="1E61F5EF">
            <w:pPr>
              <w:pStyle w:val="11"/>
            </w:pPr>
            <w:r>
              <w:t>6</w:t>
            </w:r>
          </w:p>
        </w:tc>
        <w:tc>
          <w:tcPr>
            <w:tcW w:w="1361" w:type="dxa"/>
            <w:vAlign w:val="center"/>
          </w:tcPr>
          <w:p w14:paraId="0C9273D6">
            <w:pPr>
              <w:pStyle w:val="11"/>
            </w:pPr>
            <w:r>
              <w:t>7</w:t>
            </w:r>
          </w:p>
        </w:tc>
        <w:tc>
          <w:tcPr>
            <w:tcW w:w="1361" w:type="dxa"/>
            <w:vAlign w:val="center"/>
          </w:tcPr>
          <w:p w14:paraId="7BCEED0B">
            <w:pPr>
              <w:pStyle w:val="11"/>
            </w:pPr>
            <w:r>
              <w:t>8</w:t>
            </w:r>
          </w:p>
        </w:tc>
      </w:tr>
      <w:tr w14:paraId="7488D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D7BEF">
            <w:pPr>
              <w:pStyle w:val="12"/>
            </w:pPr>
            <w:r>
              <w:t>1</w:t>
            </w:r>
          </w:p>
        </w:tc>
        <w:tc>
          <w:tcPr>
            <w:tcW w:w="992" w:type="dxa"/>
            <w:vAlign w:val="center"/>
          </w:tcPr>
          <w:p w14:paraId="72D5D313">
            <w:pPr>
              <w:pStyle w:val="17"/>
            </w:pPr>
          </w:p>
        </w:tc>
        <w:tc>
          <w:tcPr>
            <w:tcW w:w="4535" w:type="dxa"/>
            <w:vAlign w:val="center"/>
          </w:tcPr>
          <w:p w14:paraId="6613F230">
            <w:pPr>
              <w:pStyle w:val="15"/>
            </w:pPr>
            <w:r>
              <w:t>合计</w:t>
            </w:r>
          </w:p>
        </w:tc>
        <w:tc>
          <w:tcPr>
            <w:tcW w:w="1361" w:type="dxa"/>
            <w:vAlign w:val="center"/>
          </w:tcPr>
          <w:p w14:paraId="6B6205FF">
            <w:pPr>
              <w:pStyle w:val="16"/>
            </w:pPr>
            <w:r>
              <w:t>712.02</w:t>
            </w:r>
          </w:p>
        </w:tc>
        <w:tc>
          <w:tcPr>
            <w:tcW w:w="1361" w:type="dxa"/>
            <w:vAlign w:val="center"/>
          </w:tcPr>
          <w:p w14:paraId="66A109E4">
            <w:pPr>
              <w:pStyle w:val="16"/>
            </w:pPr>
            <w:r>
              <w:t>438.41</w:t>
            </w:r>
          </w:p>
        </w:tc>
        <w:tc>
          <w:tcPr>
            <w:tcW w:w="1361" w:type="dxa"/>
            <w:vAlign w:val="center"/>
          </w:tcPr>
          <w:p w14:paraId="13FA238D">
            <w:pPr>
              <w:pStyle w:val="16"/>
            </w:pPr>
            <w:r>
              <w:t>273.61</w:t>
            </w:r>
          </w:p>
        </w:tc>
        <w:tc>
          <w:tcPr>
            <w:tcW w:w="1361" w:type="dxa"/>
            <w:vAlign w:val="center"/>
          </w:tcPr>
          <w:p w14:paraId="276F664C">
            <w:pPr>
              <w:pStyle w:val="16"/>
            </w:pPr>
          </w:p>
        </w:tc>
        <w:tc>
          <w:tcPr>
            <w:tcW w:w="1361" w:type="dxa"/>
            <w:vAlign w:val="center"/>
          </w:tcPr>
          <w:p w14:paraId="27EDEDD4">
            <w:pPr>
              <w:pStyle w:val="16"/>
            </w:pPr>
          </w:p>
        </w:tc>
        <w:tc>
          <w:tcPr>
            <w:tcW w:w="1361" w:type="dxa"/>
            <w:vAlign w:val="center"/>
          </w:tcPr>
          <w:p w14:paraId="4B81999E">
            <w:pPr>
              <w:pStyle w:val="16"/>
            </w:pPr>
          </w:p>
        </w:tc>
      </w:tr>
      <w:tr w14:paraId="0BB41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2BBA6">
            <w:pPr>
              <w:pStyle w:val="12"/>
            </w:pPr>
            <w:r>
              <w:t>2</w:t>
            </w:r>
          </w:p>
        </w:tc>
        <w:tc>
          <w:tcPr>
            <w:tcW w:w="992" w:type="dxa"/>
            <w:vAlign w:val="center"/>
          </w:tcPr>
          <w:p w14:paraId="609251BD">
            <w:pPr>
              <w:pStyle w:val="13"/>
            </w:pPr>
            <w:r>
              <w:t>205</w:t>
            </w:r>
          </w:p>
        </w:tc>
        <w:tc>
          <w:tcPr>
            <w:tcW w:w="4535" w:type="dxa"/>
            <w:vAlign w:val="center"/>
          </w:tcPr>
          <w:p w14:paraId="6D395B79">
            <w:pPr>
              <w:pStyle w:val="13"/>
            </w:pPr>
            <w:r>
              <w:t>教育支出</w:t>
            </w:r>
          </w:p>
        </w:tc>
        <w:tc>
          <w:tcPr>
            <w:tcW w:w="1361" w:type="dxa"/>
            <w:vAlign w:val="center"/>
          </w:tcPr>
          <w:p w14:paraId="676980DB">
            <w:pPr>
              <w:pStyle w:val="14"/>
            </w:pPr>
            <w:r>
              <w:t>712.02</w:t>
            </w:r>
          </w:p>
        </w:tc>
        <w:tc>
          <w:tcPr>
            <w:tcW w:w="1361" w:type="dxa"/>
            <w:vAlign w:val="center"/>
          </w:tcPr>
          <w:p w14:paraId="02736ADF">
            <w:pPr>
              <w:pStyle w:val="14"/>
            </w:pPr>
            <w:r>
              <w:t>438.41</w:t>
            </w:r>
          </w:p>
        </w:tc>
        <w:tc>
          <w:tcPr>
            <w:tcW w:w="1361" w:type="dxa"/>
            <w:vAlign w:val="center"/>
          </w:tcPr>
          <w:p w14:paraId="77C9D8C2">
            <w:pPr>
              <w:pStyle w:val="14"/>
            </w:pPr>
            <w:r>
              <w:t>273.61</w:t>
            </w:r>
          </w:p>
        </w:tc>
        <w:tc>
          <w:tcPr>
            <w:tcW w:w="1361" w:type="dxa"/>
            <w:vAlign w:val="center"/>
          </w:tcPr>
          <w:p w14:paraId="5B35E4DA">
            <w:pPr>
              <w:pStyle w:val="14"/>
            </w:pPr>
          </w:p>
        </w:tc>
        <w:tc>
          <w:tcPr>
            <w:tcW w:w="1361" w:type="dxa"/>
            <w:vAlign w:val="center"/>
          </w:tcPr>
          <w:p w14:paraId="19B05702">
            <w:pPr>
              <w:pStyle w:val="14"/>
            </w:pPr>
          </w:p>
        </w:tc>
        <w:tc>
          <w:tcPr>
            <w:tcW w:w="1361" w:type="dxa"/>
            <w:vAlign w:val="center"/>
          </w:tcPr>
          <w:p w14:paraId="350A17A9">
            <w:pPr>
              <w:pStyle w:val="14"/>
            </w:pPr>
          </w:p>
        </w:tc>
      </w:tr>
      <w:tr w14:paraId="440E0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2089B">
            <w:pPr>
              <w:pStyle w:val="12"/>
            </w:pPr>
            <w:r>
              <w:t>3</w:t>
            </w:r>
          </w:p>
        </w:tc>
        <w:tc>
          <w:tcPr>
            <w:tcW w:w="992" w:type="dxa"/>
            <w:vAlign w:val="center"/>
          </w:tcPr>
          <w:p w14:paraId="43A55E0A">
            <w:pPr>
              <w:pStyle w:val="13"/>
            </w:pPr>
            <w:r>
              <w:t>20502</w:t>
            </w:r>
          </w:p>
        </w:tc>
        <w:tc>
          <w:tcPr>
            <w:tcW w:w="4535" w:type="dxa"/>
            <w:vAlign w:val="center"/>
          </w:tcPr>
          <w:p w14:paraId="0CBFF439">
            <w:pPr>
              <w:pStyle w:val="13"/>
            </w:pPr>
            <w:r>
              <w:t>普通教育</w:t>
            </w:r>
          </w:p>
        </w:tc>
        <w:tc>
          <w:tcPr>
            <w:tcW w:w="1361" w:type="dxa"/>
            <w:vAlign w:val="center"/>
          </w:tcPr>
          <w:p w14:paraId="0B10805D">
            <w:pPr>
              <w:pStyle w:val="14"/>
            </w:pPr>
            <w:r>
              <w:t>712.02</w:t>
            </w:r>
          </w:p>
        </w:tc>
        <w:tc>
          <w:tcPr>
            <w:tcW w:w="1361" w:type="dxa"/>
            <w:vAlign w:val="center"/>
          </w:tcPr>
          <w:p w14:paraId="64B92AA1">
            <w:pPr>
              <w:pStyle w:val="14"/>
            </w:pPr>
            <w:r>
              <w:t>438.41</w:t>
            </w:r>
          </w:p>
        </w:tc>
        <w:tc>
          <w:tcPr>
            <w:tcW w:w="1361" w:type="dxa"/>
            <w:vAlign w:val="center"/>
          </w:tcPr>
          <w:p w14:paraId="58480A48">
            <w:pPr>
              <w:pStyle w:val="14"/>
            </w:pPr>
            <w:r>
              <w:t>273.61</w:t>
            </w:r>
          </w:p>
        </w:tc>
        <w:tc>
          <w:tcPr>
            <w:tcW w:w="1361" w:type="dxa"/>
            <w:vAlign w:val="center"/>
          </w:tcPr>
          <w:p w14:paraId="0D14AC29">
            <w:pPr>
              <w:pStyle w:val="14"/>
            </w:pPr>
          </w:p>
        </w:tc>
        <w:tc>
          <w:tcPr>
            <w:tcW w:w="1361" w:type="dxa"/>
            <w:vAlign w:val="center"/>
          </w:tcPr>
          <w:p w14:paraId="0023C573">
            <w:pPr>
              <w:pStyle w:val="14"/>
            </w:pPr>
          </w:p>
        </w:tc>
        <w:tc>
          <w:tcPr>
            <w:tcW w:w="1361" w:type="dxa"/>
            <w:vAlign w:val="center"/>
          </w:tcPr>
          <w:p w14:paraId="47AB7ACD">
            <w:pPr>
              <w:pStyle w:val="14"/>
            </w:pPr>
          </w:p>
        </w:tc>
      </w:tr>
      <w:tr w14:paraId="4360A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0387D">
            <w:pPr>
              <w:pStyle w:val="12"/>
            </w:pPr>
            <w:r>
              <w:t>4</w:t>
            </w:r>
          </w:p>
        </w:tc>
        <w:tc>
          <w:tcPr>
            <w:tcW w:w="992" w:type="dxa"/>
            <w:vAlign w:val="center"/>
          </w:tcPr>
          <w:p w14:paraId="4812126C">
            <w:pPr>
              <w:pStyle w:val="13"/>
            </w:pPr>
            <w:r>
              <w:t>2050202</w:t>
            </w:r>
          </w:p>
        </w:tc>
        <w:tc>
          <w:tcPr>
            <w:tcW w:w="4535" w:type="dxa"/>
            <w:vAlign w:val="center"/>
          </w:tcPr>
          <w:p w14:paraId="4561DC75">
            <w:pPr>
              <w:pStyle w:val="13"/>
            </w:pPr>
            <w:r>
              <w:t>小学教育</w:t>
            </w:r>
          </w:p>
        </w:tc>
        <w:tc>
          <w:tcPr>
            <w:tcW w:w="1361" w:type="dxa"/>
            <w:vAlign w:val="center"/>
          </w:tcPr>
          <w:p w14:paraId="03FCBB27">
            <w:pPr>
              <w:pStyle w:val="14"/>
            </w:pPr>
            <w:r>
              <w:t>712.02</w:t>
            </w:r>
          </w:p>
        </w:tc>
        <w:tc>
          <w:tcPr>
            <w:tcW w:w="1361" w:type="dxa"/>
            <w:vAlign w:val="center"/>
          </w:tcPr>
          <w:p w14:paraId="619EE300">
            <w:pPr>
              <w:pStyle w:val="14"/>
            </w:pPr>
            <w:r>
              <w:t>438.41</w:t>
            </w:r>
          </w:p>
        </w:tc>
        <w:tc>
          <w:tcPr>
            <w:tcW w:w="1361" w:type="dxa"/>
            <w:vAlign w:val="center"/>
          </w:tcPr>
          <w:p w14:paraId="727C979B">
            <w:pPr>
              <w:pStyle w:val="14"/>
            </w:pPr>
            <w:r>
              <w:t>273.61</w:t>
            </w:r>
          </w:p>
        </w:tc>
        <w:tc>
          <w:tcPr>
            <w:tcW w:w="1361" w:type="dxa"/>
            <w:vAlign w:val="center"/>
          </w:tcPr>
          <w:p w14:paraId="4840704A">
            <w:pPr>
              <w:pStyle w:val="14"/>
            </w:pPr>
          </w:p>
        </w:tc>
        <w:tc>
          <w:tcPr>
            <w:tcW w:w="1361" w:type="dxa"/>
            <w:vAlign w:val="center"/>
          </w:tcPr>
          <w:p w14:paraId="5F06F891">
            <w:pPr>
              <w:pStyle w:val="14"/>
            </w:pPr>
          </w:p>
        </w:tc>
        <w:tc>
          <w:tcPr>
            <w:tcW w:w="1361" w:type="dxa"/>
            <w:vAlign w:val="center"/>
          </w:tcPr>
          <w:p w14:paraId="391A173B">
            <w:pPr>
              <w:pStyle w:val="14"/>
            </w:pPr>
          </w:p>
        </w:tc>
      </w:tr>
    </w:tbl>
    <w:p w14:paraId="4A0D79B2">
      <w:pPr>
        <w:sectPr>
          <w:pgSz w:w="16840" w:h="11900" w:orient="landscape"/>
          <w:pgMar w:top="1361" w:right="1020" w:bottom="1134" w:left="1020" w:header="720" w:footer="720" w:gutter="0"/>
          <w:cols w:space="720" w:num="1"/>
        </w:sectPr>
      </w:pPr>
    </w:p>
    <w:p w14:paraId="3A33AF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91A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8E1324">
            <w:pPr>
              <w:pStyle w:val="8"/>
            </w:pPr>
            <w:r>
              <w:t>360039隆尧县唐尧街小学</w:t>
            </w:r>
          </w:p>
        </w:tc>
        <w:tc>
          <w:tcPr>
            <w:tcW w:w="3402" w:type="dxa"/>
            <w:tcBorders>
              <w:top w:val="single" w:color="FFFFFF" w:sz="6" w:space="0"/>
              <w:left w:val="single" w:color="FFFFFF" w:sz="6" w:space="0"/>
              <w:right w:val="single" w:color="FFFFFF" w:sz="6" w:space="0"/>
            </w:tcBorders>
            <w:vAlign w:val="center"/>
          </w:tcPr>
          <w:p w14:paraId="0BD0690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1421BC4">
            <w:pPr>
              <w:pStyle w:val="10"/>
            </w:pPr>
            <w:r>
              <w:t>单位：万元</w:t>
            </w:r>
          </w:p>
        </w:tc>
      </w:tr>
      <w:tr w14:paraId="0D474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E1673">
            <w:pPr>
              <w:pStyle w:val="11"/>
            </w:pPr>
            <w:r>
              <w:t>序号</w:t>
            </w:r>
          </w:p>
        </w:tc>
        <w:tc>
          <w:tcPr>
            <w:tcW w:w="4876" w:type="dxa"/>
            <w:gridSpan w:val="2"/>
            <w:vAlign w:val="center"/>
          </w:tcPr>
          <w:p w14:paraId="53CFD552">
            <w:pPr>
              <w:pStyle w:val="11"/>
            </w:pPr>
            <w:r>
              <w:t>收入</w:t>
            </w:r>
          </w:p>
        </w:tc>
        <w:tc>
          <w:tcPr>
            <w:tcW w:w="9298" w:type="dxa"/>
            <w:gridSpan w:val="5"/>
            <w:vAlign w:val="center"/>
          </w:tcPr>
          <w:p w14:paraId="7CC3E41B">
            <w:pPr>
              <w:pStyle w:val="11"/>
            </w:pPr>
            <w:r>
              <w:t>支出</w:t>
            </w:r>
          </w:p>
        </w:tc>
      </w:tr>
      <w:tr w14:paraId="07C18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D5DF05"/>
        </w:tc>
        <w:tc>
          <w:tcPr>
            <w:tcW w:w="3402" w:type="dxa"/>
            <w:vAlign w:val="center"/>
          </w:tcPr>
          <w:p w14:paraId="67565B2C">
            <w:pPr>
              <w:pStyle w:val="11"/>
            </w:pPr>
            <w:r>
              <w:t>项  目</w:t>
            </w:r>
          </w:p>
        </w:tc>
        <w:tc>
          <w:tcPr>
            <w:tcW w:w="1474" w:type="dxa"/>
            <w:vAlign w:val="center"/>
          </w:tcPr>
          <w:p w14:paraId="05201409">
            <w:pPr>
              <w:pStyle w:val="11"/>
            </w:pPr>
            <w:r>
              <w:t>金额</w:t>
            </w:r>
          </w:p>
        </w:tc>
        <w:tc>
          <w:tcPr>
            <w:tcW w:w="3402" w:type="dxa"/>
            <w:vAlign w:val="center"/>
          </w:tcPr>
          <w:p w14:paraId="31ADA861">
            <w:pPr>
              <w:pStyle w:val="11"/>
            </w:pPr>
            <w:r>
              <w:t>项  目</w:t>
            </w:r>
          </w:p>
        </w:tc>
        <w:tc>
          <w:tcPr>
            <w:tcW w:w="1474" w:type="dxa"/>
            <w:vAlign w:val="center"/>
          </w:tcPr>
          <w:p w14:paraId="2AECFA89">
            <w:pPr>
              <w:pStyle w:val="11"/>
            </w:pPr>
            <w:r>
              <w:t>合计</w:t>
            </w:r>
          </w:p>
        </w:tc>
        <w:tc>
          <w:tcPr>
            <w:tcW w:w="1474" w:type="dxa"/>
            <w:vAlign w:val="center"/>
          </w:tcPr>
          <w:p w14:paraId="12604DF0">
            <w:pPr>
              <w:pStyle w:val="11"/>
            </w:pPr>
            <w:r>
              <w:t>一般公共预算财政拨款</w:t>
            </w:r>
          </w:p>
        </w:tc>
        <w:tc>
          <w:tcPr>
            <w:tcW w:w="1474" w:type="dxa"/>
            <w:vAlign w:val="center"/>
          </w:tcPr>
          <w:p w14:paraId="26B13270">
            <w:pPr>
              <w:pStyle w:val="11"/>
            </w:pPr>
            <w:r>
              <w:t>政府性基金预算财政    拨款</w:t>
            </w:r>
          </w:p>
        </w:tc>
        <w:tc>
          <w:tcPr>
            <w:tcW w:w="1474" w:type="dxa"/>
            <w:vAlign w:val="center"/>
          </w:tcPr>
          <w:p w14:paraId="6D6ACD3B">
            <w:pPr>
              <w:pStyle w:val="11"/>
            </w:pPr>
            <w:r>
              <w:t>国有资本经营预算财政拨款</w:t>
            </w:r>
          </w:p>
        </w:tc>
      </w:tr>
      <w:tr w14:paraId="56D34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D6CD0C">
            <w:pPr>
              <w:pStyle w:val="11"/>
            </w:pPr>
            <w:r>
              <w:t>栏次</w:t>
            </w:r>
          </w:p>
        </w:tc>
        <w:tc>
          <w:tcPr>
            <w:tcW w:w="3402" w:type="dxa"/>
            <w:vAlign w:val="center"/>
          </w:tcPr>
          <w:p w14:paraId="3AC2139E">
            <w:pPr>
              <w:pStyle w:val="11"/>
            </w:pPr>
            <w:r>
              <w:t>1</w:t>
            </w:r>
          </w:p>
        </w:tc>
        <w:tc>
          <w:tcPr>
            <w:tcW w:w="1474" w:type="dxa"/>
            <w:vAlign w:val="center"/>
          </w:tcPr>
          <w:p w14:paraId="654A2097">
            <w:pPr>
              <w:pStyle w:val="11"/>
            </w:pPr>
            <w:r>
              <w:t>2</w:t>
            </w:r>
          </w:p>
        </w:tc>
        <w:tc>
          <w:tcPr>
            <w:tcW w:w="3402" w:type="dxa"/>
            <w:vAlign w:val="center"/>
          </w:tcPr>
          <w:p w14:paraId="77B7675E">
            <w:pPr>
              <w:pStyle w:val="11"/>
            </w:pPr>
            <w:r>
              <w:t>3</w:t>
            </w:r>
          </w:p>
        </w:tc>
        <w:tc>
          <w:tcPr>
            <w:tcW w:w="1474" w:type="dxa"/>
            <w:vAlign w:val="center"/>
          </w:tcPr>
          <w:p w14:paraId="5DD4CDD3">
            <w:pPr>
              <w:pStyle w:val="11"/>
            </w:pPr>
            <w:r>
              <w:t>4</w:t>
            </w:r>
          </w:p>
        </w:tc>
        <w:tc>
          <w:tcPr>
            <w:tcW w:w="1474" w:type="dxa"/>
            <w:vAlign w:val="center"/>
          </w:tcPr>
          <w:p w14:paraId="5130786B">
            <w:pPr>
              <w:pStyle w:val="11"/>
            </w:pPr>
            <w:r>
              <w:t>5</w:t>
            </w:r>
          </w:p>
        </w:tc>
        <w:tc>
          <w:tcPr>
            <w:tcW w:w="1474" w:type="dxa"/>
            <w:vAlign w:val="center"/>
          </w:tcPr>
          <w:p w14:paraId="345099C7">
            <w:pPr>
              <w:pStyle w:val="11"/>
            </w:pPr>
            <w:r>
              <w:t>6</w:t>
            </w:r>
          </w:p>
        </w:tc>
        <w:tc>
          <w:tcPr>
            <w:tcW w:w="1474" w:type="dxa"/>
            <w:vAlign w:val="center"/>
          </w:tcPr>
          <w:p w14:paraId="379A051D">
            <w:pPr>
              <w:pStyle w:val="11"/>
            </w:pPr>
            <w:r>
              <w:t>7</w:t>
            </w:r>
          </w:p>
        </w:tc>
      </w:tr>
      <w:tr w14:paraId="34118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C89BD">
            <w:pPr>
              <w:pStyle w:val="12"/>
            </w:pPr>
            <w:r>
              <w:t>1</w:t>
            </w:r>
          </w:p>
        </w:tc>
        <w:tc>
          <w:tcPr>
            <w:tcW w:w="3402" w:type="dxa"/>
            <w:vAlign w:val="center"/>
          </w:tcPr>
          <w:p w14:paraId="154D7087">
            <w:pPr>
              <w:pStyle w:val="13"/>
            </w:pPr>
            <w:r>
              <w:t>一、一般公共预算拨款</w:t>
            </w:r>
          </w:p>
        </w:tc>
        <w:tc>
          <w:tcPr>
            <w:tcW w:w="1474" w:type="dxa"/>
            <w:vAlign w:val="center"/>
          </w:tcPr>
          <w:p w14:paraId="549FDE85">
            <w:pPr>
              <w:pStyle w:val="14"/>
            </w:pPr>
            <w:r>
              <w:t>712.02</w:t>
            </w:r>
          </w:p>
        </w:tc>
        <w:tc>
          <w:tcPr>
            <w:tcW w:w="3402" w:type="dxa"/>
            <w:vAlign w:val="center"/>
          </w:tcPr>
          <w:p w14:paraId="2679ECFB">
            <w:pPr>
              <w:pStyle w:val="13"/>
            </w:pPr>
            <w:r>
              <w:t>一、一般公共服务支出</w:t>
            </w:r>
          </w:p>
        </w:tc>
        <w:tc>
          <w:tcPr>
            <w:tcW w:w="1474" w:type="dxa"/>
            <w:vAlign w:val="center"/>
          </w:tcPr>
          <w:p w14:paraId="29381D4B">
            <w:pPr>
              <w:pStyle w:val="14"/>
            </w:pPr>
          </w:p>
        </w:tc>
        <w:tc>
          <w:tcPr>
            <w:tcW w:w="1474" w:type="dxa"/>
            <w:vAlign w:val="center"/>
          </w:tcPr>
          <w:p w14:paraId="60602D12">
            <w:pPr>
              <w:pStyle w:val="14"/>
            </w:pPr>
          </w:p>
        </w:tc>
        <w:tc>
          <w:tcPr>
            <w:tcW w:w="1474" w:type="dxa"/>
            <w:vAlign w:val="center"/>
          </w:tcPr>
          <w:p w14:paraId="4CFB28FA">
            <w:pPr>
              <w:pStyle w:val="14"/>
            </w:pPr>
          </w:p>
        </w:tc>
        <w:tc>
          <w:tcPr>
            <w:tcW w:w="1474" w:type="dxa"/>
            <w:vAlign w:val="center"/>
          </w:tcPr>
          <w:p w14:paraId="2E518B8F">
            <w:pPr>
              <w:pStyle w:val="14"/>
            </w:pPr>
          </w:p>
        </w:tc>
      </w:tr>
      <w:tr w14:paraId="31EA5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8C0EE">
            <w:pPr>
              <w:pStyle w:val="12"/>
            </w:pPr>
            <w:r>
              <w:t>2</w:t>
            </w:r>
          </w:p>
        </w:tc>
        <w:tc>
          <w:tcPr>
            <w:tcW w:w="3402" w:type="dxa"/>
            <w:vAlign w:val="center"/>
          </w:tcPr>
          <w:p w14:paraId="2F7265B5">
            <w:pPr>
              <w:pStyle w:val="13"/>
            </w:pPr>
            <w:r>
              <w:t>二、政府性基金预算拨款</w:t>
            </w:r>
          </w:p>
        </w:tc>
        <w:tc>
          <w:tcPr>
            <w:tcW w:w="1474" w:type="dxa"/>
            <w:vAlign w:val="center"/>
          </w:tcPr>
          <w:p w14:paraId="777479CA">
            <w:pPr>
              <w:pStyle w:val="14"/>
            </w:pPr>
          </w:p>
        </w:tc>
        <w:tc>
          <w:tcPr>
            <w:tcW w:w="3402" w:type="dxa"/>
            <w:vAlign w:val="center"/>
          </w:tcPr>
          <w:p w14:paraId="239F6A18">
            <w:pPr>
              <w:pStyle w:val="13"/>
            </w:pPr>
            <w:r>
              <w:t>二、外交支出</w:t>
            </w:r>
          </w:p>
        </w:tc>
        <w:tc>
          <w:tcPr>
            <w:tcW w:w="1474" w:type="dxa"/>
            <w:vAlign w:val="center"/>
          </w:tcPr>
          <w:p w14:paraId="47811D28">
            <w:pPr>
              <w:pStyle w:val="14"/>
            </w:pPr>
          </w:p>
        </w:tc>
        <w:tc>
          <w:tcPr>
            <w:tcW w:w="1474" w:type="dxa"/>
            <w:vAlign w:val="center"/>
          </w:tcPr>
          <w:p w14:paraId="5CDECDBE">
            <w:pPr>
              <w:pStyle w:val="14"/>
            </w:pPr>
          </w:p>
        </w:tc>
        <w:tc>
          <w:tcPr>
            <w:tcW w:w="1474" w:type="dxa"/>
            <w:vAlign w:val="center"/>
          </w:tcPr>
          <w:p w14:paraId="5340FB9B">
            <w:pPr>
              <w:pStyle w:val="14"/>
            </w:pPr>
          </w:p>
        </w:tc>
        <w:tc>
          <w:tcPr>
            <w:tcW w:w="1474" w:type="dxa"/>
            <w:vAlign w:val="center"/>
          </w:tcPr>
          <w:p w14:paraId="754F1575">
            <w:pPr>
              <w:pStyle w:val="14"/>
            </w:pPr>
          </w:p>
        </w:tc>
      </w:tr>
      <w:tr w14:paraId="6CFC6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838B0">
            <w:pPr>
              <w:pStyle w:val="12"/>
            </w:pPr>
            <w:r>
              <w:t>3</w:t>
            </w:r>
          </w:p>
        </w:tc>
        <w:tc>
          <w:tcPr>
            <w:tcW w:w="3402" w:type="dxa"/>
            <w:vAlign w:val="center"/>
          </w:tcPr>
          <w:p w14:paraId="4FFF57DC">
            <w:pPr>
              <w:pStyle w:val="13"/>
            </w:pPr>
            <w:r>
              <w:t>三、国有资本经营预算拨款</w:t>
            </w:r>
          </w:p>
        </w:tc>
        <w:tc>
          <w:tcPr>
            <w:tcW w:w="1474" w:type="dxa"/>
            <w:vAlign w:val="center"/>
          </w:tcPr>
          <w:p w14:paraId="470AEAFF">
            <w:pPr>
              <w:pStyle w:val="14"/>
            </w:pPr>
          </w:p>
        </w:tc>
        <w:tc>
          <w:tcPr>
            <w:tcW w:w="3402" w:type="dxa"/>
            <w:vAlign w:val="center"/>
          </w:tcPr>
          <w:p w14:paraId="1741846B">
            <w:pPr>
              <w:pStyle w:val="13"/>
            </w:pPr>
            <w:r>
              <w:t>三、国防支出</w:t>
            </w:r>
          </w:p>
        </w:tc>
        <w:tc>
          <w:tcPr>
            <w:tcW w:w="1474" w:type="dxa"/>
            <w:vAlign w:val="center"/>
          </w:tcPr>
          <w:p w14:paraId="2E9882B9">
            <w:pPr>
              <w:pStyle w:val="14"/>
            </w:pPr>
          </w:p>
        </w:tc>
        <w:tc>
          <w:tcPr>
            <w:tcW w:w="1474" w:type="dxa"/>
            <w:vAlign w:val="center"/>
          </w:tcPr>
          <w:p w14:paraId="5FE7944E">
            <w:pPr>
              <w:pStyle w:val="14"/>
            </w:pPr>
          </w:p>
        </w:tc>
        <w:tc>
          <w:tcPr>
            <w:tcW w:w="1474" w:type="dxa"/>
            <w:vAlign w:val="center"/>
          </w:tcPr>
          <w:p w14:paraId="18AC72FA">
            <w:pPr>
              <w:pStyle w:val="14"/>
            </w:pPr>
          </w:p>
        </w:tc>
        <w:tc>
          <w:tcPr>
            <w:tcW w:w="1474" w:type="dxa"/>
            <w:vAlign w:val="center"/>
          </w:tcPr>
          <w:p w14:paraId="3952D6AA">
            <w:pPr>
              <w:pStyle w:val="14"/>
            </w:pPr>
          </w:p>
        </w:tc>
      </w:tr>
      <w:tr w14:paraId="3E7D1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4B397">
            <w:pPr>
              <w:pStyle w:val="12"/>
            </w:pPr>
            <w:r>
              <w:t>4</w:t>
            </w:r>
          </w:p>
        </w:tc>
        <w:tc>
          <w:tcPr>
            <w:tcW w:w="3402" w:type="dxa"/>
            <w:vAlign w:val="center"/>
          </w:tcPr>
          <w:p w14:paraId="57BB031B">
            <w:pPr>
              <w:pStyle w:val="13"/>
            </w:pPr>
          </w:p>
        </w:tc>
        <w:tc>
          <w:tcPr>
            <w:tcW w:w="1474" w:type="dxa"/>
            <w:vAlign w:val="center"/>
          </w:tcPr>
          <w:p w14:paraId="6054158C">
            <w:pPr>
              <w:pStyle w:val="14"/>
            </w:pPr>
          </w:p>
        </w:tc>
        <w:tc>
          <w:tcPr>
            <w:tcW w:w="3402" w:type="dxa"/>
            <w:vAlign w:val="center"/>
          </w:tcPr>
          <w:p w14:paraId="0C26C0C2">
            <w:pPr>
              <w:pStyle w:val="13"/>
            </w:pPr>
            <w:r>
              <w:t>四、公共安全支出</w:t>
            </w:r>
          </w:p>
        </w:tc>
        <w:tc>
          <w:tcPr>
            <w:tcW w:w="1474" w:type="dxa"/>
            <w:vAlign w:val="center"/>
          </w:tcPr>
          <w:p w14:paraId="78FF15D3">
            <w:pPr>
              <w:pStyle w:val="14"/>
            </w:pPr>
          </w:p>
        </w:tc>
        <w:tc>
          <w:tcPr>
            <w:tcW w:w="1474" w:type="dxa"/>
            <w:vAlign w:val="center"/>
          </w:tcPr>
          <w:p w14:paraId="0766D8FE">
            <w:pPr>
              <w:pStyle w:val="14"/>
            </w:pPr>
          </w:p>
        </w:tc>
        <w:tc>
          <w:tcPr>
            <w:tcW w:w="1474" w:type="dxa"/>
            <w:vAlign w:val="center"/>
          </w:tcPr>
          <w:p w14:paraId="714DCA43">
            <w:pPr>
              <w:pStyle w:val="14"/>
            </w:pPr>
          </w:p>
        </w:tc>
        <w:tc>
          <w:tcPr>
            <w:tcW w:w="1474" w:type="dxa"/>
            <w:vAlign w:val="center"/>
          </w:tcPr>
          <w:p w14:paraId="18EEAD8E">
            <w:pPr>
              <w:pStyle w:val="14"/>
            </w:pPr>
          </w:p>
        </w:tc>
      </w:tr>
      <w:tr w14:paraId="3D5CD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D55AE">
            <w:pPr>
              <w:pStyle w:val="12"/>
            </w:pPr>
            <w:r>
              <w:t>5</w:t>
            </w:r>
          </w:p>
        </w:tc>
        <w:tc>
          <w:tcPr>
            <w:tcW w:w="3402" w:type="dxa"/>
            <w:vAlign w:val="center"/>
          </w:tcPr>
          <w:p w14:paraId="3A9E43DC">
            <w:pPr>
              <w:pStyle w:val="13"/>
            </w:pPr>
          </w:p>
        </w:tc>
        <w:tc>
          <w:tcPr>
            <w:tcW w:w="1474" w:type="dxa"/>
            <w:vAlign w:val="center"/>
          </w:tcPr>
          <w:p w14:paraId="4AA92DBA">
            <w:pPr>
              <w:pStyle w:val="14"/>
            </w:pPr>
          </w:p>
        </w:tc>
        <w:tc>
          <w:tcPr>
            <w:tcW w:w="3402" w:type="dxa"/>
            <w:vAlign w:val="center"/>
          </w:tcPr>
          <w:p w14:paraId="1457578E">
            <w:pPr>
              <w:pStyle w:val="13"/>
            </w:pPr>
            <w:r>
              <w:t>五、教育支出</w:t>
            </w:r>
          </w:p>
        </w:tc>
        <w:tc>
          <w:tcPr>
            <w:tcW w:w="1474" w:type="dxa"/>
            <w:vAlign w:val="center"/>
          </w:tcPr>
          <w:p w14:paraId="1DA6833C">
            <w:pPr>
              <w:pStyle w:val="14"/>
            </w:pPr>
            <w:r>
              <w:t>712.02</w:t>
            </w:r>
          </w:p>
        </w:tc>
        <w:tc>
          <w:tcPr>
            <w:tcW w:w="1474" w:type="dxa"/>
            <w:vAlign w:val="center"/>
          </w:tcPr>
          <w:p w14:paraId="3934F64F">
            <w:pPr>
              <w:pStyle w:val="14"/>
            </w:pPr>
            <w:r>
              <w:t>712.02</w:t>
            </w:r>
          </w:p>
        </w:tc>
        <w:tc>
          <w:tcPr>
            <w:tcW w:w="1474" w:type="dxa"/>
            <w:vAlign w:val="center"/>
          </w:tcPr>
          <w:p w14:paraId="42B23BAE">
            <w:pPr>
              <w:pStyle w:val="14"/>
            </w:pPr>
          </w:p>
        </w:tc>
        <w:tc>
          <w:tcPr>
            <w:tcW w:w="1474" w:type="dxa"/>
            <w:vAlign w:val="center"/>
          </w:tcPr>
          <w:p w14:paraId="5B2144EA">
            <w:pPr>
              <w:pStyle w:val="14"/>
            </w:pPr>
          </w:p>
        </w:tc>
      </w:tr>
      <w:tr w14:paraId="19969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F4594">
            <w:pPr>
              <w:pStyle w:val="12"/>
            </w:pPr>
            <w:r>
              <w:t>6</w:t>
            </w:r>
          </w:p>
        </w:tc>
        <w:tc>
          <w:tcPr>
            <w:tcW w:w="3402" w:type="dxa"/>
            <w:vAlign w:val="center"/>
          </w:tcPr>
          <w:p w14:paraId="137F18AC">
            <w:pPr>
              <w:pStyle w:val="13"/>
            </w:pPr>
          </w:p>
        </w:tc>
        <w:tc>
          <w:tcPr>
            <w:tcW w:w="1474" w:type="dxa"/>
            <w:vAlign w:val="center"/>
          </w:tcPr>
          <w:p w14:paraId="3F9D71CE">
            <w:pPr>
              <w:pStyle w:val="14"/>
            </w:pPr>
          </w:p>
        </w:tc>
        <w:tc>
          <w:tcPr>
            <w:tcW w:w="3402" w:type="dxa"/>
            <w:vAlign w:val="center"/>
          </w:tcPr>
          <w:p w14:paraId="70AD6EF6">
            <w:pPr>
              <w:pStyle w:val="13"/>
            </w:pPr>
            <w:r>
              <w:t>六、科学技术支出</w:t>
            </w:r>
          </w:p>
        </w:tc>
        <w:tc>
          <w:tcPr>
            <w:tcW w:w="1474" w:type="dxa"/>
            <w:vAlign w:val="center"/>
          </w:tcPr>
          <w:p w14:paraId="477F2329">
            <w:pPr>
              <w:pStyle w:val="14"/>
            </w:pPr>
          </w:p>
        </w:tc>
        <w:tc>
          <w:tcPr>
            <w:tcW w:w="1474" w:type="dxa"/>
            <w:vAlign w:val="center"/>
          </w:tcPr>
          <w:p w14:paraId="4D317ED8">
            <w:pPr>
              <w:pStyle w:val="14"/>
            </w:pPr>
          </w:p>
        </w:tc>
        <w:tc>
          <w:tcPr>
            <w:tcW w:w="1474" w:type="dxa"/>
            <w:vAlign w:val="center"/>
          </w:tcPr>
          <w:p w14:paraId="6A76ED71">
            <w:pPr>
              <w:pStyle w:val="14"/>
            </w:pPr>
          </w:p>
        </w:tc>
        <w:tc>
          <w:tcPr>
            <w:tcW w:w="1474" w:type="dxa"/>
            <w:vAlign w:val="center"/>
          </w:tcPr>
          <w:p w14:paraId="4A2A92E7">
            <w:pPr>
              <w:pStyle w:val="14"/>
            </w:pPr>
          </w:p>
        </w:tc>
      </w:tr>
      <w:tr w14:paraId="74FFF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5AFA9">
            <w:pPr>
              <w:pStyle w:val="12"/>
            </w:pPr>
            <w:r>
              <w:t>7</w:t>
            </w:r>
          </w:p>
        </w:tc>
        <w:tc>
          <w:tcPr>
            <w:tcW w:w="3402" w:type="dxa"/>
            <w:vAlign w:val="center"/>
          </w:tcPr>
          <w:p w14:paraId="715C7B11">
            <w:pPr>
              <w:pStyle w:val="13"/>
            </w:pPr>
          </w:p>
        </w:tc>
        <w:tc>
          <w:tcPr>
            <w:tcW w:w="1474" w:type="dxa"/>
            <w:vAlign w:val="center"/>
          </w:tcPr>
          <w:p w14:paraId="37A2C5CA">
            <w:pPr>
              <w:pStyle w:val="14"/>
            </w:pPr>
          </w:p>
        </w:tc>
        <w:tc>
          <w:tcPr>
            <w:tcW w:w="3402" w:type="dxa"/>
            <w:vAlign w:val="center"/>
          </w:tcPr>
          <w:p w14:paraId="4F8007E9">
            <w:pPr>
              <w:pStyle w:val="13"/>
            </w:pPr>
            <w:r>
              <w:t>七、文化旅游体育与传媒支出</w:t>
            </w:r>
          </w:p>
        </w:tc>
        <w:tc>
          <w:tcPr>
            <w:tcW w:w="1474" w:type="dxa"/>
            <w:vAlign w:val="center"/>
          </w:tcPr>
          <w:p w14:paraId="58BFAE9C">
            <w:pPr>
              <w:pStyle w:val="14"/>
            </w:pPr>
          </w:p>
        </w:tc>
        <w:tc>
          <w:tcPr>
            <w:tcW w:w="1474" w:type="dxa"/>
            <w:vAlign w:val="center"/>
          </w:tcPr>
          <w:p w14:paraId="7F3530C4">
            <w:pPr>
              <w:pStyle w:val="14"/>
            </w:pPr>
          </w:p>
        </w:tc>
        <w:tc>
          <w:tcPr>
            <w:tcW w:w="1474" w:type="dxa"/>
            <w:vAlign w:val="center"/>
          </w:tcPr>
          <w:p w14:paraId="1CF7C206">
            <w:pPr>
              <w:pStyle w:val="14"/>
            </w:pPr>
          </w:p>
        </w:tc>
        <w:tc>
          <w:tcPr>
            <w:tcW w:w="1474" w:type="dxa"/>
            <w:vAlign w:val="center"/>
          </w:tcPr>
          <w:p w14:paraId="5BC3AF86">
            <w:pPr>
              <w:pStyle w:val="14"/>
            </w:pPr>
          </w:p>
        </w:tc>
      </w:tr>
      <w:tr w14:paraId="6C3AD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83697">
            <w:pPr>
              <w:pStyle w:val="12"/>
            </w:pPr>
            <w:r>
              <w:t>8</w:t>
            </w:r>
          </w:p>
        </w:tc>
        <w:tc>
          <w:tcPr>
            <w:tcW w:w="3402" w:type="dxa"/>
            <w:vAlign w:val="center"/>
          </w:tcPr>
          <w:p w14:paraId="25A34123">
            <w:pPr>
              <w:pStyle w:val="13"/>
            </w:pPr>
          </w:p>
        </w:tc>
        <w:tc>
          <w:tcPr>
            <w:tcW w:w="1474" w:type="dxa"/>
            <w:vAlign w:val="center"/>
          </w:tcPr>
          <w:p w14:paraId="1807AF10">
            <w:pPr>
              <w:pStyle w:val="14"/>
            </w:pPr>
          </w:p>
        </w:tc>
        <w:tc>
          <w:tcPr>
            <w:tcW w:w="3402" w:type="dxa"/>
            <w:vAlign w:val="center"/>
          </w:tcPr>
          <w:p w14:paraId="3D8B4139">
            <w:pPr>
              <w:pStyle w:val="13"/>
            </w:pPr>
            <w:r>
              <w:t>八、社会保障和就业支出</w:t>
            </w:r>
          </w:p>
        </w:tc>
        <w:tc>
          <w:tcPr>
            <w:tcW w:w="1474" w:type="dxa"/>
            <w:vAlign w:val="center"/>
          </w:tcPr>
          <w:p w14:paraId="1B40C52D">
            <w:pPr>
              <w:pStyle w:val="14"/>
            </w:pPr>
          </w:p>
        </w:tc>
        <w:tc>
          <w:tcPr>
            <w:tcW w:w="1474" w:type="dxa"/>
            <w:vAlign w:val="center"/>
          </w:tcPr>
          <w:p w14:paraId="63013920">
            <w:pPr>
              <w:pStyle w:val="14"/>
            </w:pPr>
          </w:p>
        </w:tc>
        <w:tc>
          <w:tcPr>
            <w:tcW w:w="1474" w:type="dxa"/>
            <w:vAlign w:val="center"/>
          </w:tcPr>
          <w:p w14:paraId="2E43EC59">
            <w:pPr>
              <w:pStyle w:val="14"/>
            </w:pPr>
          </w:p>
        </w:tc>
        <w:tc>
          <w:tcPr>
            <w:tcW w:w="1474" w:type="dxa"/>
            <w:vAlign w:val="center"/>
          </w:tcPr>
          <w:p w14:paraId="7763C7B2">
            <w:pPr>
              <w:pStyle w:val="14"/>
            </w:pPr>
          </w:p>
        </w:tc>
      </w:tr>
      <w:tr w14:paraId="22137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BFCAD">
            <w:pPr>
              <w:pStyle w:val="12"/>
            </w:pPr>
            <w:r>
              <w:t>9</w:t>
            </w:r>
          </w:p>
        </w:tc>
        <w:tc>
          <w:tcPr>
            <w:tcW w:w="3402" w:type="dxa"/>
            <w:vAlign w:val="center"/>
          </w:tcPr>
          <w:p w14:paraId="361DF6FE">
            <w:pPr>
              <w:pStyle w:val="13"/>
            </w:pPr>
          </w:p>
        </w:tc>
        <w:tc>
          <w:tcPr>
            <w:tcW w:w="1474" w:type="dxa"/>
            <w:vAlign w:val="center"/>
          </w:tcPr>
          <w:p w14:paraId="7FBC762E">
            <w:pPr>
              <w:pStyle w:val="14"/>
            </w:pPr>
          </w:p>
        </w:tc>
        <w:tc>
          <w:tcPr>
            <w:tcW w:w="3402" w:type="dxa"/>
            <w:vAlign w:val="center"/>
          </w:tcPr>
          <w:p w14:paraId="2B72AB8E">
            <w:pPr>
              <w:pStyle w:val="13"/>
            </w:pPr>
            <w:r>
              <w:t>九、社会保险基金支出</w:t>
            </w:r>
          </w:p>
        </w:tc>
        <w:tc>
          <w:tcPr>
            <w:tcW w:w="1474" w:type="dxa"/>
            <w:vAlign w:val="center"/>
          </w:tcPr>
          <w:p w14:paraId="1F9F2D0D">
            <w:pPr>
              <w:pStyle w:val="14"/>
            </w:pPr>
          </w:p>
        </w:tc>
        <w:tc>
          <w:tcPr>
            <w:tcW w:w="1474" w:type="dxa"/>
            <w:vAlign w:val="center"/>
          </w:tcPr>
          <w:p w14:paraId="5054883B">
            <w:pPr>
              <w:pStyle w:val="14"/>
            </w:pPr>
          </w:p>
        </w:tc>
        <w:tc>
          <w:tcPr>
            <w:tcW w:w="1474" w:type="dxa"/>
            <w:vAlign w:val="center"/>
          </w:tcPr>
          <w:p w14:paraId="0922F973">
            <w:pPr>
              <w:pStyle w:val="14"/>
            </w:pPr>
          </w:p>
        </w:tc>
        <w:tc>
          <w:tcPr>
            <w:tcW w:w="1474" w:type="dxa"/>
            <w:vAlign w:val="center"/>
          </w:tcPr>
          <w:p w14:paraId="12F88715">
            <w:pPr>
              <w:pStyle w:val="14"/>
            </w:pPr>
          </w:p>
        </w:tc>
      </w:tr>
      <w:tr w14:paraId="557E8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0E3D3">
            <w:pPr>
              <w:pStyle w:val="12"/>
            </w:pPr>
            <w:r>
              <w:t>10</w:t>
            </w:r>
          </w:p>
        </w:tc>
        <w:tc>
          <w:tcPr>
            <w:tcW w:w="3402" w:type="dxa"/>
            <w:vAlign w:val="center"/>
          </w:tcPr>
          <w:p w14:paraId="7248C95B">
            <w:pPr>
              <w:pStyle w:val="13"/>
            </w:pPr>
          </w:p>
        </w:tc>
        <w:tc>
          <w:tcPr>
            <w:tcW w:w="1474" w:type="dxa"/>
            <w:vAlign w:val="center"/>
          </w:tcPr>
          <w:p w14:paraId="0D67004D">
            <w:pPr>
              <w:pStyle w:val="14"/>
            </w:pPr>
          </w:p>
        </w:tc>
        <w:tc>
          <w:tcPr>
            <w:tcW w:w="3402" w:type="dxa"/>
            <w:vAlign w:val="center"/>
          </w:tcPr>
          <w:p w14:paraId="771BEF1E">
            <w:pPr>
              <w:pStyle w:val="13"/>
            </w:pPr>
            <w:r>
              <w:t>十、卫生健康支出</w:t>
            </w:r>
          </w:p>
        </w:tc>
        <w:tc>
          <w:tcPr>
            <w:tcW w:w="1474" w:type="dxa"/>
            <w:vAlign w:val="center"/>
          </w:tcPr>
          <w:p w14:paraId="7D01C7EC">
            <w:pPr>
              <w:pStyle w:val="14"/>
            </w:pPr>
          </w:p>
        </w:tc>
        <w:tc>
          <w:tcPr>
            <w:tcW w:w="1474" w:type="dxa"/>
            <w:vAlign w:val="center"/>
          </w:tcPr>
          <w:p w14:paraId="34B608A7">
            <w:pPr>
              <w:pStyle w:val="14"/>
            </w:pPr>
          </w:p>
        </w:tc>
        <w:tc>
          <w:tcPr>
            <w:tcW w:w="1474" w:type="dxa"/>
            <w:vAlign w:val="center"/>
          </w:tcPr>
          <w:p w14:paraId="25288DB8">
            <w:pPr>
              <w:pStyle w:val="14"/>
            </w:pPr>
          </w:p>
        </w:tc>
        <w:tc>
          <w:tcPr>
            <w:tcW w:w="1474" w:type="dxa"/>
            <w:vAlign w:val="center"/>
          </w:tcPr>
          <w:p w14:paraId="2605E81C">
            <w:pPr>
              <w:pStyle w:val="14"/>
            </w:pPr>
          </w:p>
        </w:tc>
      </w:tr>
      <w:tr w14:paraId="404A2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132A6">
            <w:pPr>
              <w:pStyle w:val="12"/>
            </w:pPr>
            <w:r>
              <w:t>11</w:t>
            </w:r>
          </w:p>
        </w:tc>
        <w:tc>
          <w:tcPr>
            <w:tcW w:w="3402" w:type="dxa"/>
            <w:vAlign w:val="center"/>
          </w:tcPr>
          <w:p w14:paraId="56898DB6">
            <w:pPr>
              <w:pStyle w:val="13"/>
            </w:pPr>
          </w:p>
        </w:tc>
        <w:tc>
          <w:tcPr>
            <w:tcW w:w="1474" w:type="dxa"/>
            <w:vAlign w:val="center"/>
          </w:tcPr>
          <w:p w14:paraId="7324BB8A">
            <w:pPr>
              <w:pStyle w:val="14"/>
            </w:pPr>
          </w:p>
        </w:tc>
        <w:tc>
          <w:tcPr>
            <w:tcW w:w="3402" w:type="dxa"/>
            <w:vAlign w:val="center"/>
          </w:tcPr>
          <w:p w14:paraId="2C623C94">
            <w:pPr>
              <w:pStyle w:val="13"/>
            </w:pPr>
            <w:r>
              <w:t>十一、节能环保支出</w:t>
            </w:r>
          </w:p>
        </w:tc>
        <w:tc>
          <w:tcPr>
            <w:tcW w:w="1474" w:type="dxa"/>
            <w:vAlign w:val="center"/>
          </w:tcPr>
          <w:p w14:paraId="1BB68FB4">
            <w:pPr>
              <w:pStyle w:val="14"/>
            </w:pPr>
          </w:p>
        </w:tc>
        <w:tc>
          <w:tcPr>
            <w:tcW w:w="1474" w:type="dxa"/>
            <w:vAlign w:val="center"/>
          </w:tcPr>
          <w:p w14:paraId="1904E81D">
            <w:pPr>
              <w:pStyle w:val="14"/>
            </w:pPr>
          </w:p>
        </w:tc>
        <w:tc>
          <w:tcPr>
            <w:tcW w:w="1474" w:type="dxa"/>
            <w:vAlign w:val="center"/>
          </w:tcPr>
          <w:p w14:paraId="65D21107">
            <w:pPr>
              <w:pStyle w:val="14"/>
            </w:pPr>
          </w:p>
        </w:tc>
        <w:tc>
          <w:tcPr>
            <w:tcW w:w="1474" w:type="dxa"/>
            <w:vAlign w:val="center"/>
          </w:tcPr>
          <w:p w14:paraId="0AA3069E">
            <w:pPr>
              <w:pStyle w:val="14"/>
            </w:pPr>
          </w:p>
        </w:tc>
      </w:tr>
      <w:tr w14:paraId="786BF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AFD4F">
            <w:pPr>
              <w:pStyle w:val="12"/>
            </w:pPr>
            <w:r>
              <w:t>12</w:t>
            </w:r>
          </w:p>
        </w:tc>
        <w:tc>
          <w:tcPr>
            <w:tcW w:w="3402" w:type="dxa"/>
            <w:vAlign w:val="center"/>
          </w:tcPr>
          <w:p w14:paraId="75B7CE8D">
            <w:pPr>
              <w:pStyle w:val="13"/>
            </w:pPr>
          </w:p>
        </w:tc>
        <w:tc>
          <w:tcPr>
            <w:tcW w:w="1474" w:type="dxa"/>
            <w:vAlign w:val="center"/>
          </w:tcPr>
          <w:p w14:paraId="0718A3F4">
            <w:pPr>
              <w:pStyle w:val="14"/>
            </w:pPr>
          </w:p>
        </w:tc>
        <w:tc>
          <w:tcPr>
            <w:tcW w:w="3402" w:type="dxa"/>
            <w:vAlign w:val="center"/>
          </w:tcPr>
          <w:p w14:paraId="6F77FE47">
            <w:pPr>
              <w:pStyle w:val="13"/>
            </w:pPr>
            <w:r>
              <w:t>十二、城乡社区支出</w:t>
            </w:r>
          </w:p>
        </w:tc>
        <w:tc>
          <w:tcPr>
            <w:tcW w:w="1474" w:type="dxa"/>
            <w:vAlign w:val="center"/>
          </w:tcPr>
          <w:p w14:paraId="5285A56F">
            <w:pPr>
              <w:pStyle w:val="14"/>
            </w:pPr>
          </w:p>
        </w:tc>
        <w:tc>
          <w:tcPr>
            <w:tcW w:w="1474" w:type="dxa"/>
            <w:vAlign w:val="center"/>
          </w:tcPr>
          <w:p w14:paraId="71EB4E72">
            <w:pPr>
              <w:pStyle w:val="14"/>
            </w:pPr>
          </w:p>
        </w:tc>
        <w:tc>
          <w:tcPr>
            <w:tcW w:w="1474" w:type="dxa"/>
            <w:vAlign w:val="center"/>
          </w:tcPr>
          <w:p w14:paraId="60593AA5">
            <w:pPr>
              <w:pStyle w:val="14"/>
            </w:pPr>
          </w:p>
        </w:tc>
        <w:tc>
          <w:tcPr>
            <w:tcW w:w="1474" w:type="dxa"/>
            <w:vAlign w:val="center"/>
          </w:tcPr>
          <w:p w14:paraId="6B509C45">
            <w:pPr>
              <w:pStyle w:val="14"/>
            </w:pPr>
          </w:p>
        </w:tc>
      </w:tr>
      <w:tr w14:paraId="09CC7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7DFEB">
            <w:pPr>
              <w:pStyle w:val="12"/>
            </w:pPr>
            <w:r>
              <w:t>13</w:t>
            </w:r>
          </w:p>
        </w:tc>
        <w:tc>
          <w:tcPr>
            <w:tcW w:w="3402" w:type="dxa"/>
            <w:vAlign w:val="center"/>
          </w:tcPr>
          <w:p w14:paraId="60ACEEED">
            <w:pPr>
              <w:pStyle w:val="13"/>
            </w:pPr>
          </w:p>
        </w:tc>
        <w:tc>
          <w:tcPr>
            <w:tcW w:w="1474" w:type="dxa"/>
            <w:vAlign w:val="center"/>
          </w:tcPr>
          <w:p w14:paraId="1EC58806">
            <w:pPr>
              <w:pStyle w:val="14"/>
            </w:pPr>
          </w:p>
        </w:tc>
        <w:tc>
          <w:tcPr>
            <w:tcW w:w="3402" w:type="dxa"/>
            <w:vAlign w:val="center"/>
          </w:tcPr>
          <w:p w14:paraId="68173CEB">
            <w:pPr>
              <w:pStyle w:val="13"/>
            </w:pPr>
            <w:r>
              <w:t>十三、农林水支出</w:t>
            </w:r>
          </w:p>
        </w:tc>
        <w:tc>
          <w:tcPr>
            <w:tcW w:w="1474" w:type="dxa"/>
            <w:vAlign w:val="center"/>
          </w:tcPr>
          <w:p w14:paraId="31DCF476">
            <w:pPr>
              <w:pStyle w:val="14"/>
            </w:pPr>
          </w:p>
        </w:tc>
        <w:tc>
          <w:tcPr>
            <w:tcW w:w="1474" w:type="dxa"/>
            <w:vAlign w:val="center"/>
          </w:tcPr>
          <w:p w14:paraId="5751C2D5">
            <w:pPr>
              <w:pStyle w:val="14"/>
            </w:pPr>
          </w:p>
        </w:tc>
        <w:tc>
          <w:tcPr>
            <w:tcW w:w="1474" w:type="dxa"/>
            <w:vAlign w:val="center"/>
          </w:tcPr>
          <w:p w14:paraId="4AFC3BD1">
            <w:pPr>
              <w:pStyle w:val="14"/>
            </w:pPr>
          </w:p>
        </w:tc>
        <w:tc>
          <w:tcPr>
            <w:tcW w:w="1474" w:type="dxa"/>
            <w:vAlign w:val="center"/>
          </w:tcPr>
          <w:p w14:paraId="7CF31636">
            <w:pPr>
              <w:pStyle w:val="14"/>
            </w:pPr>
          </w:p>
        </w:tc>
      </w:tr>
      <w:tr w14:paraId="14A11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AA375">
            <w:pPr>
              <w:pStyle w:val="12"/>
            </w:pPr>
            <w:r>
              <w:t>14</w:t>
            </w:r>
          </w:p>
        </w:tc>
        <w:tc>
          <w:tcPr>
            <w:tcW w:w="3402" w:type="dxa"/>
            <w:vAlign w:val="center"/>
          </w:tcPr>
          <w:p w14:paraId="549AEE86">
            <w:pPr>
              <w:pStyle w:val="13"/>
            </w:pPr>
          </w:p>
        </w:tc>
        <w:tc>
          <w:tcPr>
            <w:tcW w:w="1474" w:type="dxa"/>
            <w:vAlign w:val="center"/>
          </w:tcPr>
          <w:p w14:paraId="2D6B4AC1">
            <w:pPr>
              <w:pStyle w:val="14"/>
            </w:pPr>
          </w:p>
        </w:tc>
        <w:tc>
          <w:tcPr>
            <w:tcW w:w="3402" w:type="dxa"/>
            <w:vAlign w:val="center"/>
          </w:tcPr>
          <w:p w14:paraId="60894610">
            <w:pPr>
              <w:pStyle w:val="13"/>
            </w:pPr>
            <w:r>
              <w:t>十四、交通运输支出</w:t>
            </w:r>
          </w:p>
        </w:tc>
        <w:tc>
          <w:tcPr>
            <w:tcW w:w="1474" w:type="dxa"/>
            <w:vAlign w:val="center"/>
          </w:tcPr>
          <w:p w14:paraId="76FCAF72">
            <w:pPr>
              <w:pStyle w:val="14"/>
            </w:pPr>
          </w:p>
        </w:tc>
        <w:tc>
          <w:tcPr>
            <w:tcW w:w="1474" w:type="dxa"/>
            <w:vAlign w:val="center"/>
          </w:tcPr>
          <w:p w14:paraId="31AB8DB7">
            <w:pPr>
              <w:pStyle w:val="14"/>
            </w:pPr>
          </w:p>
        </w:tc>
        <w:tc>
          <w:tcPr>
            <w:tcW w:w="1474" w:type="dxa"/>
            <w:vAlign w:val="center"/>
          </w:tcPr>
          <w:p w14:paraId="6199C9E7">
            <w:pPr>
              <w:pStyle w:val="14"/>
            </w:pPr>
          </w:p>
        </w:tc>
        <w:tc>
          <w:tcPr>
            <w:tcW w:w="1474" w:type="dxa"/>
            <w:vAlign w:val="center"/>
          </w:tcPr>
          <w:p w14:paraId="1E66AC4E">
            <w:pPr>
              <w:pStyle w:val="14"/>
            </w:pPr>
          </w:p>
        </w:tc>
      </w:tr>
      <w:tr w14:paraId="030E3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2AABD">
            <w:pPr>
              <w:pStyle w:val="12"/>
            </w:pPr>
            <w:r>
              <w:t>15</w:t>
            </w:r>
          </w:p>
        </w:tc>
        <w:tc>
          <w:tcPr>
            <w:tcW w:w="3402" w:type="dxa"/>
            <w:vAlign w:val="center"/>
          </w:tcPr>
          <w:p w14:paraId="41DAED4F">
            <w:pPr>
              <w:pStyle w:val="13"/>
            </w:pPr>
          </w:p>
        </w:tc>
        <w:tc>
          <w:tcPr>
            <w:tcW w:w="1474" w:type="dxa"/>
            <w:vAlign w:val="center"/>
          </w:tcPr>
          <w:p w14:paraId="071A1788">
            <w:pPr>
              <w:pStyle w:val="14"/>
            </w:pPr>
          </w:p>
        </w:tc>
        <w:tc>
          <w:tcPr>
            <w:tcW w:w="3402" w:type="dxa"/>
            <w:vAlign w:val="center"/>
          </w:tcPr>
          <w:p w14:paraId="02F7EDF4">
            <w:pPr>
              <w:pStyle w:val="13"/>
            </w:pPr>
            <w:r>
              <w:t>十五、资源勘探工业信息等支出</w:t>
            </w:r>
          </w:p>
        </w:tc>
        <w:tc>
          <w:tcPr>
            <w:tcW w:w="1474" w:type="dxa"/>
            <w:vAlign w:val="center"/>
          </w:tcPr>
          <w:p w14:paraId="11D84261">
            <w:pPr>
              <w:pStyle w:val="14"/>
            </w:pPr>
          </w:p>
        </w:tc>
        <w:tc>
          <w:tcPr>
            <w:tcW w:w="1474" w:type="dxa"/>
            <w:vAlign w:val="center"/>
          </w:tcPr>
          <w:p w14:paraId="75E347FC">
            <w:pPr>
              <w:pStyle w:val="14"/>
            </w:pPr>
          </w:p>
        </w:tc>
        <w:tc>
          <w:tcPr>
            <w:tcW w:w="1474" w:type="dxa"/>
            <w:vAlign w:val="center"/>
          </w:tcPr>
          <w:p w14:paraId="614CE949">
            <w:pPr>
              <w:pStyle w:val="14"/>
            </w:pPr>
          </w:p>
        </w:tc>
        <w:tc>
          <w:tcPr>
            <w:tcW w:w="1474" w:type="dxa"/>
            <w:vAlign w:val="center"/>
          </w:tcPr>
          <w:p w14:paraId="5AF404A1">
            <w:pPr>
              <w:pStyle w:val="14"/>
            </w:pPr>
          </w:p>
        </w:tc>
      </w:tr>
      <w:tr w14:paraId="1ED30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60C5E">
            <w:pPr>
              <w:pStyle w:val="12"/>
            </w:pPr>
            <w:r>
              <w:t>16</w:t>
            </w:r>
          </w:p>
        </w:tc>
        <w:tc>
          <w:tcPr>
            <w:tcW w:w="3402" w:type="dxa"/>
            <w:vAlign w:val="center"/>
          </w:tcPr>
          <w:p w14:paraId="55DDCCE7">
            <w:pPr>
              <w:pStyle w:val="13"/>
            </w:pPr>
          </w:p>
        </w:tc>
        <w:tc>
          <w:tcPr>
            <w:tcW w:w="1474" w:type="dxa"/>
            <w:vAlign w:val="center"/>
          </w:tcPr>
          <w:p w14:paraId="3287356F">
            <w:pPr>
              <w:pStyle w:val="14"/>
            </w:pPr>
          </w:p>
        </w:tc>
        <w:tc>
          <w:tcPr>
            <w:tcW w:w="3402" w:type="dxa"/>
            <w:vAlign w:val="center"/>
          </w:tcPr>
          <w:p w14:paraId="582B25AB">
            <w:pPr>
              <w:pStyle w:val="13"/>
            </w:pPr>
            <w:r>
              <w:t>十六、商业服务业等支出</w:t>
            </w:r>
          </w:p>
        </w:tc>
        <w:tc>
          <w:tcPr>
            <w:tcW w:w="1474" w:type="dxa"/>
            <w:vAlign w:val="center"/>
          </w:tcPr>
          <w:p w14:paraId="62DAA9FA">
            <w:pPr>
              <w:pStyle w:val="14"/>
            </w:pPr>
          </w:p>
        </w:tc>
        <w:tc>
          <w:tcPr>
            <w:tcW w:w="1474" w:type="dxa"/>
            <w:vAlign w:val="center"/>
          </w:tcPr>
          <w:p w14:paraId="5038F374">
            <w:pPr>
              <w:pStyle w:val="14"/>
            </w:pPr>
          </w:p>
        </w:tc>
        <w:tc>
          <w:tcPr>
            <w:tcW w:w="1474" w:type="dxa"/>
            <w:vAlign w:val="center"/>
          </w:tcPr>
          <w:p w14:paraId="73C05BC5">
            <w:pPr>
              <w:pStyle w:val="14"/>
            </w:pPr>
          </w:p>
        </w:tc>
        <w:tc>
          <w:tcPr>
            <w:tcW w:w="1474" w:type="dxa"/>
            <w:vAlign w:val="center"/>
          </w:tcPr>
          <w:p w14:paraId="509A3579">
            <w:pPr>
              <w:pStyle w:val="14"/>
            </w:pPr>
          </w:p>
        </w:tc>
      </w:tr>
      <w:tr w14:paraId="74638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44BD6">
            <w:pPr>
              <w:pStyle w:val="12"/>
            </w:pPr>
            <w:r>
              <w:t>17</w:t>
            </w:r>
          </w:p>
        </w:tc>
        <w:tc>
          <w:tcPr>
            <w:tcW w:w="3402" w:type="dxa"/>
            <w:vAlign w:val="center"/>
          </w:tcPr>
          <w:p w14:paraId="660A22CF">
            <w:pPr>
              <w:pStyle w:val="13"/>
            </w:pPr>
          </w:p>
        </w:tc>
        <w:tc>
          <w:tcPr>
            <w:tcW w:w="1474" w:type="dxa"/>
            <w:vAlign w:val="center"/>
          </w:tcPr>
          <w:p w14:paraId="1EAC953F">
            <w:pPr>
              <w:pStyle w:val="14"/>
            </w:pPr>
          </w:p>
        </w:tc>
        <w:tc>
          <w:tcPr>
            <w:tcW w:w="3402" w:type="dxa"/>
            <w:vAlign w:val="center"/>
          </w:tcPr>
          <w:p w14:paraId="11CF3BE3">
            <w:pPr>
              <w:pStyle w:val="13"/>
            </w:pPr>
            <w:r>
              <w:t>十七、金融支出</w:t>
            </w:r>
          </w:p>
        </w:tc>
        <w:tc>
          <w:tcPr>
            <w:tcW w:w="1474" w:type="dxa"/>
            <w:vAlign w:val="center"/>
          </w:tcPr>
          <w:p w14:paraId="12D12A17">
            <w:pPr>
              <w:pStyle w:val="14"/>
            </w:pPr>
          </w:p>
        </w:tc>
        <w:tc>
          <w:tcPr>
            <w:tcW w:w="1474" w:type="dxa"/>
            <w:vAlign w:val="center"/>
          </w:tcPr>
          <w:p w14:paraId="02FF1B50">
            <w:pPr>
              <w:pStyle w:val="14"/>
            </w:pPr>
          </w:p>
        </w:tc>
        <w:tc>
          <w:tcPr>
            <w:tcW w:w="1474" w:type="dxa"/>
            <w:vAlign w:val="center"/>
          </w:tcPr>
          <w:p w14:paraId="7AE09C12">
            <w:pPr>
              <w:pStyle w:val="14"/>
            </w:pPr>
          </w:p>
        </w:tc>
        <w:tc>
          <w:tcPr>
            <w:tcW w:w="1474" w:type="dxa"/>
            <w:vAlign w:val="center"/>
          </w:tcPr>
          <w:p w14:paraId="52C828AE">
            <w:pPr>
              <w:pStyle w:val="14"/>
            </w:pPr>
          </w:p>
        </w:tc>
      </w:tr>
      <w:tr w14:paraId="590AF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0C7F5">
            <w:pPr>
              <w:pStyle w:val="12"/>
            </w:pPr>
            <w:r>
              <w:t>18</w:t>
            </w:r>
          </w:p>
        </w:tc>
        <w:tc>
          <w:tcPr>
            <w:tcW w:w="3402" w:type="dxa"/>
            <w:vAlign w:val="center"/>
          </w:tcPr>
          <w:p w14:paraId="272D004B">
            <w:pPr>
              <w:pStyle w:val="13"/>
            </w:pPr>
          </w:p>
        </w:tc>
        <w:tc>
          <w:tcPr>
            <w:tcW w:w="1474" w:type="dxa"/>
            <w:vAlign w:val="center"/>
          </w:tcPr>
          <w:p w14:paraId="582C1A21">
            <w:pPr>
              <w:pStyle w:val="14"/>
            </w:pPr>
          </w:p>
        </w:tc>
        <w:tc>
          <w:tcPr>
            <w:tcW w:w="3402" w:type="dxa"/>
            <w:vAlign w:val="center"/>
          </w:tcPr>
          <w:p w14:paraId="1A06B306">
            <w:pPr>
              <w:pStyle w:val="13"/>
            </w:pPr>
            <w:r>
              <w:t>十八、援助其他地区支出</w:t>
            </w:r>
          </w:p>
        </w:tc>
        <w:tc>
          <w:tcPr>
            <w:tcW w:w="1474" w:type="dxa"/>
            <w:vAlign w:val="center"/>
          </w:tcPr>
          <w:p w14:paraId="4ECF18C1">
            <w:pPr>
              <w:pStyle w:val="14"/>
            </w:pPr>
          </w:p>
        </w:tc>
        <w:tc>
          <w:tcPr>
            <w:tcW w:w="1474" w:type="dxa"/>
            <w:vAlign w:val="center"/>
          </w:tcPr>
          <w:p w14:paraId="4EA2A77A">
            <w:pPr>
              <w:pStyle w:val="14"/>
            </w:pPr>
          </w:p>
        </w:tc>
        <w:tc>
          <w:tcPr>
            <w:tcW w:w="1474" w:type="dxa"/>
            <w:vAlign w:val="center"/>
          </w:tcPr>
          <w:p w14:paraId="6F3DDE25">
            <w:pPr>
              <w:pStyle w:val="14"/>
            </w:pPr>
          </w:p>
        </w:tc>
        <w:tc>
          <w:tcPr>
            <w:tcW w:w="1474" w:type="dxa"/>
            <w:vAlign w:val="center"/>
          </w:tcPr>
          <w:p w14:paraId="6F357E11">
            <w:pPr>
              <w:pStyle w:val="14"/>
            </w:pPr>
          </w:p>
        </w:tc>
      </w:tr>
      <w:tr w14:paraId="7964E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E06FA">
            <w:pPr>
              <w:pStyle w:val="12"/>
            </w:pPr>
            <w:r>
              <w:t>19</w:t>
            </w:r>
          </w:p>
        </w:tc>
        <w:tc>
          <w:tcPr>
            <w:tcW w:w="3402" w:type="dxa"/>
            <w:vAlign w:val="center"/>
          </w:tcPr>
          <w:p w14:paraId="09604ECB">
            <w:pPr>
              <w:pStyle w:val="13"/>
            </w:pPr>
          </w:p>
        </w:tc>
        <w:tc>
          <w:tcPr>
            <w:tcW w:w="1474" w:type="dxa"/>
            <w:vAlign w:val="center"/>
          </w:tcPr>
          <w:p w14:paraId="70DD0AE5">
            <w:pPr>
              <w:pStyle w:val="14"/>
            </w:pPr>
          </w:p>
        </w:tc>
        <w:tc>
          <w:tcPr>
            <w:tcW w:w="3402" w:type="dxa"/>
            <w:vAlign w:val="center"/>
          </w:tcPr>
          <w:p w14:paraId="016BF4E4">
            <w:pPr>
              <w:pStyle w:val="13"/>
            </w:pPr>
            <w:r>
              <w:t>十九、自然资源海洋气象等支出</w:t>
            </w:r>
          </w:p>
        </w:tc>
        <w:tc>
          <w:tcPr>
            <w:tcW w:w="1474" w:type="dxa"/>
            <w:vAlign w:val="center"/>
          </w:tcPr>
          <w:p w14:paraId="203991EE">
            <w:pPr>
              <w:pStyle w:val="14"/>
            </w:pPr>
          </w:p>
        </w:tc>
        <w:tc>
          <w:tcPr>
            <w:tcW w:w="1474" w:type="dxa"/>
            <w:vAlign w:val="center"/>
          </w:tcPr>
          <w:p w14:paraId="45BA7C52">
            <w:pPr>
              <w:pStyle w:val="14"/>
            </w:pPr>
          </w:p>
        </w:tc>
        <w:tc>
          <w:tcPr>
            <w:tcW w:w="1474" w:type="dxa"/>
            <w:vAlign w:val="center"/>
          </w:tcPr>
          <w:p w14:paraId="0E648EC8">
            <w:pPr>
              <w:pStyle w:val="14"/>
            </w:pPr>
          </w:p>
        </w:tc>
        <w:tc>
          <w:tcPr>
            <w:tcW w:w="1474" w:type="dxa"/>
            <w:vAlign w:val="center"/>
          </w:tcPr>
          <w:p w14:paraId="2DDD3840">
            <w:pPr>
              <w:pStyle w:val="14"/>
            </w:pPr>
          </w:p>
        </w:tc>
      </w:tr>
      <w:tr w14:paraId="5FC49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55729">
            <w:pPr>
              <w:pStyle w:val="12"/>
            </w:pPr>
            <w:r>
              <w:t>20</w:t>
            </w:r>
          </w:p>
        </w:tc>
        <w:tc>
          <w:tcPr>
            <w:tcW w:w="3402" w:type="dxa"/>
            <w:vAlign w:val="center"/>
          </w:tcPr>
          <w:p w14:paraId="7B186E07">
            <w:pPr>
              <w:pStyle w:val="13"/>
            </w:pPr>
          </w:p>
        </w:tc>
        <w:tc>
          <w:tcPr>
            <w:tcW w:w="1474" w:type="dxa"/>
            <w:vAlign w:val="center"/>
          </w:tcPr>
          <w:p w14:paraId="48EB83E0">
            <w:pPr>
              <w:pStyle w:val="14"/>
            </w:pPr>
          </w:p>
        </w:tc>
        <w:tc>
          <w:tcPr>
            <w:tcW w:w="3402" w:type="dxa"/>
            <w:vAlign w:val="center"/>
          </w:tcPr>
          <w:p w14:paraId="6D7A7D4C">
            <w:pPr>
              <w:pStyle w:val="13"/>
            </w:pPr>
            <w:r>
              <w:t>二十、住房保障支出</w:t>
            </w:r>
          </w:p>
        </w:tc>
        <w:tc>
          <w:tcPr>
            <w:tcW w:w="1474" w:type="dxa"/>
            <w:vAlign w:val="center"/>
          </w:tcPr>
          <w:p w14:paraId="3D1732C0">
            <w:pPr>
              <w:pStyle w:val="14"/>
            </w:pPr>
          </w:p>
        </w:tc>
        <w:tc>
          <w:tcPr>
            <w:tcW w:w="1474" w:type="dxa"/>
            <w:vAlign w:val="center"/>
          </w:tcPr>
          <w:p w14:paraId="3041A389">
            <w:pPr>
              <w:pStyle w:val="14"/>
            </w:pPr>
          </w:p>
        </w:tc>
        <w:tc>
          <w:tcPr>
            <w:tcW w:w="1474" w:type="dxa"/>
            <w:vAlign w:val="center"/>
          </w:tcPr>
          <w:p w14:paraId="112AF08A">
            <w:pPr>
              <w:pStyle w:val="14"/>
            </w:pPr>
          </w:p>
        </w:tc>
        <w:tc>
          <w:tcPr>
            <w:tcW w:w="1474" w:type="dxa"/>
            <w:vAlign w:val="center"/>
          </w:tcPr>
          <w:p w14:paraId="262E3905">
            <w:pPr>
              <w:pStyle w:val="14"/>
            </w:pPr>
          </w:p>
        </w:tc>
      </w:tr>
      <w:tr w14:paraId="1956D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53E0C">
            <w:pPr>
              <w:pStyle w:val="12"/>
            </w:pPr>
            <w:r>
              <w:t>21</w:t>
            </w:r>
          </w:p>
        </w:tc>
        <w:tc>
          <w:tcPr>
            <w:tcW w:w="3402" w:type="dxa"/>
            <w:vAlign w:val="center"/>
          </w:tcPr>
          <w:p w14:paraId="74FD6C01">
            <w:pPr>
              <w:pStyle w:val="13"/>
            </w:pPr>
          </w:p>
        </w:tc>
        <w:tc>
          <w:tcPr>
            <w:tcW w:w="1474" w:type="dxa"/>
            <w:vAlign w:val="center"/>
          </w:tcPr>
          <w:p w14:paraId="77F10943">
            <w:pPr>
              <w:pStyle w:val="14"/>
            </w:pPr>
          </w:p>
        </w:tc>
        <w:tc>
          <w:tcPr>
            <w:tcW w:w="3402" w:type="dxa"/>
            <w:vAlign w:val="center"/>
          </w:tcPr>
          <w:p w14:paraId="3A46D1AD">
            <w:pPr>
              <w:pStyle w:val="13"/>
            </w:pPr>
            <w:r>
              <w:t>二十一、粮油物资储备支出</w:t>
            </w:r>
          </w:p>
        </w:tc>
        <w:tc>
          <w:tcPr>
            <w:tcW w:w="1474" w:type="dxa"/>
            <w:vAlign w:val="center"/>
          </w:tcPr>
          <w:p w14:paraId="2D8F76A8">
            <w:pPr>
              <w:pStyle w:val="14"/>
            </w:pPr>
          </w:p>
        </w:tc>
        <w:tc>
          <w:tcPr>
            <w:tcW w:w="1474" w:type="dxa"/>
            <w:vAlign w:val="center"/>
          </w:tcPr>
          <w:p w14:paraId="0A39F104">
            <w:pPr>
              <w:pStyle w:val="14"/>
            </w:pPr>
          </w:p>
        </w:tc>
        <w:tc>
          <w:tcPr>
            <w:tcW w:w="1474" w:type="dxa"/>
            <w:vAlign w:val="center"/>
          </w:tcPr>
          <w:p w14:paraId="30A54757">
            <w:pPr>
              <w:pStyle w:val="14"/>
            </w:pPr>
          </w:p>
        </w:tc>
        <w:tc>
          <w:tcPr>
            <w:tcW w:w="1474" w:type="dxa"/>
            <w:vAlign w:val="center"/>
          </w:tcPr>
          <w:p w14:paraId="5DC93165">
            <w:pPr>
              <w:pStyle w:val="14"/>
            </w:pPr>
          </w:p>
        </w:tc>
      </w:tr>
      <w:tr w14:paraId="3BDBF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45062">
            <w:pPr>
              <w:pStyle w:val="12"/>
            </w:pPr>
            <w:r>
              <w:t>22</w:t>
            </w:r>
          </w:p>
        </w:tc>
        <w:tc>
          <w:tcPr>
            <w:tcW w:w="3402" w:type="dxa"/>
            <w:vAlign w:val="center"/>
          </w:tcPr>
          <w:p w14:paraId="1570CE73">
            <w:pPr>
              <w:pStyle w:val="13"/>
            </w:pPr>
          </w:p>
        </w:tc>
        <w:tc>
          <w:tcPr>
            <w:tcW w:w="1474" w:type="dxa"/>
            <w:vAlign w:val="center"/>
          </w:tcPr>
          <w:p w14:paraId="012821D7">
            <w:pPr>
              <w:pStyle w:val="14"/>
            </w:pPr>
          </w:p>
        </w:tc>
        <w:tc>
          <w:tcPr>
            <w:tcW w:w="3402" w:type="dxa"/>
            <w:vAlign w:val="center"/>
          </w:tcPr>
          <w:p w14:paraId="4C676B44">
            <w:pPr>
              <w:pStyle w:val="13"/>
            </w:pPr>
            <w:r>
              <w:t>二十二、国有资本经营预算支出</w:t>
            </w:r>
          </w:p>
        </w:tc>
        <w:tc>
          <w:tcPr>
            <w:tcW w:w="1474" w:type="dxa"/>
            <w:vAlign w:val="center"/>
          </w:tcPr>
          <w:p w14:paraId="33F0855B">
            <w:pPr>
              <w:pStyle w:val="14"/>
            </w:pPr>
          </w:p>
        </w:tc>
        <w:tc>
          <w:tcPr>
            <w:tcW w:w="1474" w:type="dxa"/>
            <w:vAlign w:val="center"/>
          </w:tcPr>
          <w:p w14:paraId="7E08DCC4">
            <w:pPr>
              <w:pStyle w:val="14"/>
            </w:pPr>
          </w:p>
        </w:tc>
        <w:tc>
          <w:tcPr>
            <w:tcW w:w="1474" w:type="dxa"/>
            <w:vAlign w:val="center"/>
          </w:tcPr>
          <w:p w14:paraId="62920DC0">
            <w:pPr>
              <w:pStyle w:val="14"/>
            </w:pPr>
          </w:p>
        </w:tc>
        <w:tc>
          <w:tcPr>
            <w:tcW w:w="1474" w:type="dxa"/>
            <w:vAlign w:val="center"/>
          </w:tcPr>
          <w:p w14:paraId="2D246502">
            <w:pPr>
              <w:pStyle w:val="14"/>
            </w:pPr>
          </w:p>
        </w:tc>
      </w:tr>
      <w:tr w14:paraId="6022F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2C4C4">
            <w:pPr>
              <w:pStyle w:val="12"/>
            </w:pPr>
            <w:r>
              <w:t>23</w:t>
            </w:r>
          </w:p>
        </w:tc>
        <w:tc>
          <w:tcPr>
            <w:tcW w:w="3402" w:type="dxa"/>
            <w:vAlign w:val="center"/>
          </w:tcPr>
          <w:p w14:paraId="67A6E739">
            <w:pPr>
              <w:pStyle w:val="13"/>
            </w:pPr>
          </w:p>
        </w:tc>
        <w:tc>
          <w:tcPr>
            <w:tcW w:w="1474" w:type="dxa"/>
            <w:vAlign w:val="center"/>
          </w:tcPr>
          <w:p w14:paraId="2602473F">
            <w:pPr>
              <w:pStyle w:val="14"/>
            </w:pPr>
          </w:p>
        </w:tc>
        <w:tc>
          <w:tcPr>
            <w:tcW w:w="3402" w:type="dxa"/>
            <w:vAlign w:val="center"/>
          </w:tcPr>
          <w:p w14:paraId="1EBA724A">
            <w:pPr>
              <w:pStyle w:val="13"/>
            </w:pPr>
            <w:r>
              <w:t>二十三、灾害防治及应急管理支出</w:t>
            </w:r>
          </w:p>
        </w:tc>
        <w:tc>
          <w:tcPr>
            <w:tcW w:w="1474" w:type="dxa"/>
            <w:vAlign w:val="center"/>
          </w:tcPr>
          <w:p w14:paraId="1B440133">
            <w:pPr>
              <w:pStyle w:val="14"/>
            </w:pPr>
          </w:p>
        </w:tc>
        <w:tc>
          <w:tcPr>
            <w:tcW w:w="1474" w:type="dxa"/>
            <w:vAlign w:val="center"/>
          </w:tcPr>
          <w:p w14:paraId="7A31DEDC">
            <w:pPr>
              <w:pStyle w:val="14"/>
            </w:pPr>
          </w:p>
        </w:tc>
        <w:tc>
          <w:tcPr>
            <w:tcW w:w="1474" w:type="dxa"/>
            <w:vAlign w:val="center"/>
          </w:tcPr>
          <w:p w14:paraId="2598445D">
            <w:pPr>
              <w:pStyle w:val="14"/>
            </w:pPr>
          </w:p>
        </w:tc>
        <w:tc>
          <w:tcPr>
            <w:tcW w:w="1474" w:type="dxa"/>
            <w:vAlign w:val="center"/>
          </w:tcPr>
          <w:p w14:paraId="33988DF8">
            <w:pPr>
              <w:pStyle w:val="14"/>
            </w:pPr>
          </w:p>
        </w:tc>
      </w:tr>
      <w:tr w14:paraId="18223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A459A">
            <w:pPr>
              <w:pStyle w:val="12"/>
            </w:pPr>
            <w:r>
              <w:t>24</w:t>
            </w:r>
          </w:p>
        </w:tc>
        <w:tc>
          <w:tcPr>
            <w:tcW w:w="3402" w:type="dxa"/>
            <w:vAlign w:val="center"/>
          </w:tcPr>
          <w:p w14:paraId="2CD25C57">
            <w:pPr>
              <w:pStyle w:val="13"/>
            </w:pPr>
          </w:p>
        </w:tc>
        <w:tc>
          <w:tcPr>
            <w:tcW w:w="1474" w:type="dxa"/>
            <w:vAlign w:val="center"/>
          </w:tcPr>
          <w:p w14:paraId="5B41723A">
            <w:pPr>
              <w:pStyle w:val="14"/>
            </w:pPr>
          </w:p>
        </w:tc>
        <w:tc>
          <w:tcPr>
            <w:tcW w:w="3402" w:type="dxa"/>
            <w:vAlign w:val="center"/>
          </w:tcPr>
          <w:p w14:paraId="7C4A2B2F">
            <w:pPr>
              <w:pStyle w:val="13"/>
            </w:pPr>
            <w:r>
              <w:t>二十四、预备费</w:t>
            </w:r>
          </w:p>
        </w:tc>
        <w:tc>
          <w:tcPr>
            <w:tcW w:w="1474" w:type="dxa"/>
            <w:vAlign w:val="center"/>
          </w:tcPr>
          <w:p w14:paraId="162B0AA2">
            <w:pPr>
              <w:pStyle w:val="14"/>
            </w:pPr>
          </w:p>
        </w:tc>
        <w:tc>
          <w:tcPr>
            <w:tcW w:w="1474" w:type="dxa"/>
            <w:vAlign w:val="center"/>
          </w:tcPr>
          <w:p w14:paraId="314BEA46">
            <w:pPr>
              <w:pStyle w:val="14"/>
            </w:pPr>
          </w:p>
        </w:tc>
        <w:tc>
          <w:tcPr>
            <w:tcW w:w="1474" w:type="dxa"/>
            <w:vAlign w:val="center"/>
          </w:tcPr>
          <w:p w14:paraId="0A0FDE42">
            <w:pPr>
              <w:pStyle w:val="14"/>
            </w:pPr>
          </w:p>
        </w:tc>
        <w:tc>
          <w:tcPr>
            <w:tcW w:w="1474" w:type="dxa"/>
            <w:vAlign w:val="center"/>
          </w:tcPr>
          <w:p w14:paraId="6603C967">
            <w:pPr>
              <w:pStyle w:val="14"/>
            </w:pPr>
          </w:p>
        </w:tc>
      </w:tr>
      <w:tr w14:paraId="44416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9F9CA">
            <w:pPr>
              <w:pStyle w:val="12"/>
            </w:pPr>
            <w:r>
              <w:t>25</w:t>
            </w:r>
          </w:p>
        </w:tc>
        <w:tc>
          <w:tcPr>
            <w:tcW w:w="3402" w:type="dxa"/>
            <w:vAlign w:val="center"/>
          </w:tcPr>
          <w:p w14:paraId="5B1650D5">
            <w:pPr>
              <w:pStyle w:val="13"/>
            </w:pPr>
          </w:p>
        </w:tc>
        <w:tc>
          <w:tcPr>
            <w:tcW w:w="1474" w:type="dxa"/>
            <w:vAlign w:val="center"/>
          </w:tcPr>
          <w:p w14:paraId="0C849C59">
            <w:pPr>
              <w:pStyle w:val="14"/>
            </w:pPr>
          </w:p>
        </w:tc>
        <w:tc>
          <w:tcPr>
            <w:tcW w:w="3402" w:type="dxa"/>
            <w:vAlign w:val="center"/>
          </w:tcPr>
          <w:p w14:paraId="6DEDC27A">
            <w:pPr>
              <w:pStyle w:val="13"/>
            </w:pPr>
            <w:r>
              <w:t>二十五、其他支出</w:t>
            </w:r>
          </w:p>
        </w:tc>
        <w:tc>
          <w:tcPr>
            <w:tcW w:w="1474" w:type="dxa"/>
            <w:vAlign w:val="center"/>
          </w:tcPr>
          <w:p w14:paraId="73E1FA2B">
            <w:pPr>
              <w:pStyle w:val="14"/>
            </w:pPr>
          </w:p>
        </w:tc>
        <w:tc>
          <w:tcPr>
            <w:tcW w:w="1474" w:type="dxa"/>
            <w:vAlign w:val="center"/>
          </w:tcPr>
          <w:p w14:paraId="1D4F57BB">
            <w:pPr>
              <w:pStyle w:val="14"/>
            </w:pPr>
          </w:p>
        </w:tc>
        <w:tc>
          <w:tcPr>
            <w:tcW w:w="1474" w:type="dxa"/>
            <w:vAlign w:val="center"/>
          </w:tcPr>
          <w:p w14:paraId="5D21871E">
            <w:pPr>
              <w:pStyle w:val="14"/>
            </w:pPr>
          </w:p>
        </w:tc>
        <w:tc>
          <w:tcPr>
            <w:tcW w:w="1474" w:type="dxa"/>
            <w:vAlign w:val="center"/>
          </w:tcPr>
          <w:p w14:paraId="4049447D">
            <w:pPr>
              <w:pStyle w:val="14"/>
            </w:pPr>
          </w:p>
        </w:tc>
      </w:tr>
      <w:tr w14:paraId="42E95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0C35B">
            <w:pPr>
              <w:pStyle w:val="12"/>
            </w:pPr>
            <w:r>
              <w:t>26</w:t>
            </w:r>
          </w:p>
        </w:tc>
        <w:tc>
          <w:tcPr>
            <w:tcW w:w="3402" w:type="dxa"/>
            <w:vAlign w:val="center"/>
          </w:tcPr>
          <w:p w14:paraId="2370586C">
            <w:pPr>
              <w:pStyle w:val="13"/>
            </w:pPr>
          </w:p>
        </w:tc>
        <w:tc>
          <w:tcPr>
            <w:tcW w:w="1474" w:type="dxa"/>
            <w:vAlign w:val="center"/>
          </w:tcPr>
          <w:p w14:paraId="5F6AB000">
            <w:pPr>
              <w:pStyle w:val="14"/>
            </w:pPr>
          </w:p>
        </w:tc>
        <w:tc>
          <w:tcPr>
            <w:tcW w:w="3402" w:type="dxa"/>
            <w:vAlign w:val="center"/>
          </w:tcPr>
          <w:p w14:paraId="4AFDBC1B">
            <w:pPr>
              <w:pStyle w:val="13"/>
            </w:pPr>
            <w:r>
              <w:t>二十六、转移性支出</w:t>
            </w:r>
          </w:p>
        </w:tc>
        <w:tc>
          <w:tcPr>
            <w:tcW w:w="1474" w:type="dxa"/>
            <w:vAlign w:val="center"/>
          </w:tcPr>
          <w:p w14:paraId="0113CF4A">
            <w:pPr>
              <w:pStyle w:val="14"/>
            </w:pPr>
          </w:p>
        </w:tc>
        <w:tc>
          <w:tcPr>
            <w:tcW w:w="1474" w:type="dxa"/>
            <w:vAlign w:val="center"/>
          </w:tcPr>
          <w:p w14:paraId="30B2CD65">
            <w:pPr>
              <w:pStyle w:val="14"/>
            </w:pPr>
          </w:p>
        </w:tc>
        <w:tc>
          <w:tcPr>
            <w:tcW w:w="1474" w:type="dxa"/>
            <w:vAlign w:val="center"/>
          </w:tcPr>
          <w:p w14:paraId="3A367875">
            <w:pPr>
              <w:pStyle w:val="14"/>
            </w:pPr>
          </w:p>
        </w:tc>
        <w:tc>
          <w:tcPr>
            <w:tcW w:w="1474" w:type="dxa"/>
            <w:vAlign w:val="center"/>
          </w:tcPr>
          <w:p w14:paraId="252DDF99">
            <w:pPr>
              <w:pStyle w:val="14"/>
            </w:pPr>
          </w:p>
        </w:tc>
      </w:tr>
      <w:tr w14:paraId="7138B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52919">
            <w:pPr>
              <w:pStyle w:val="12"/>
            </w:pPr>
            <w:r>
              <w:t>27</w:t>
            </w:r>
          </w:p>
        </w:tc>
        <w:tc>
          <w:tcPr>
            <w:tcW w:w="3402" w:type="dxa"/>
            <w:vAlign w:val="center"/>
          </w:tcPr>
          <w:p w14:paraId="2A0249A4">
            <w:pPr>
              <w:pStyle w:val="13"/>
            </w:pPr>
          </w:p>
        </w:tc>
        <w:tc>
          <w:tcPr>
            <w:tcW w:w="1474" w:type="dxa"/>
            <w:vAlign w:val="center"/>
          </w:tcPr>
          <w:p w14:paraId="17DBDFF4">
            <w:pPr>
              <w:pStyle w:val="14"/>
            </w:pPr>
          </w:p>
        </w:tc>
        <w:tc>
          <w:tcPr>
            <w:tcW w:w="3402" w:type="dxa"/>
            <w:vAlign w:val="center"/>
          </w:tcPr>
          <w:p w14:paraId="40479A60">
            <w:pPr>
              <w:pStyle w:val="13"/>
            </w:pPr>
            <w:r>
              <w:t>二十七、债务还本支出</w:t>
            </w:r>
          </w:p>
        </w:tc>
        <w:tc>
          <w:tcPr>
            <w:tcW w:w="1474" w:type="dxa"/>
            <w:vAlign w:val="center"/>
          </w:tcPr>
          <w:p w14:paraId="7D924F12">
            <w:pPr>
              <w:pStyle w:val="14"/>
            </w:pPr>
          </w:p>
        </w:tc>
        <w:tc>
          <w:tcPr>
            <w:tcW w:w="1474" w:type="dxa"/>
            <w:vAlign w:val="center"/>
          </w:tcPr>
          <w:p w14:paraId="6A98B43D">
            <w:pPr>
              <w:pStyle w:val="14"/>
            </w:pPr>
          </w:p>
        </w:tc>
        <w:tc>
          <w:tcPr>
            <w:tcW w:w="1474" w:type="dxa"/>
            <w:vAlign w:val="center"/>
          </w:tcPr>
          <w:p w14:paraId="6FC2241C">
            <w:pPr>
              <w:pStyle w:val="14"/>
            </w:pPr>
          </w:p>
        </w:tc>
        <w:tc>
          <w:tcPr>
            <w:tcW w:w="1474" w:type="dxa"/>
            <w:vAlign w:val="center"/>
          </w:tcPr>
          <w:p w14:paraId="51973859">
            <w:pPr>
              <w:pStyle w:val="14"/>
            </w:pPr>
          </w:p>
        </w:tc>
      </w:tr>
      <w:tr w14:paraId="0A161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10B25">
            <w:pPr>
              <w:pStyle w:val="12"/>
            </w:pPr>
            <w:r>
              <w:t>28</w:t>
            </w:r>
          </w:p>
        </w:tc>
        <w:tc>
          <w:tcPr>
            <w:tcW w:w="3402" w:type="dxa"/>
            <w:vAlign w:val="center"/>
          </w:tcPr>
          <w:p w14:paraId="6D11513E">
            <w:pPr>
              <w:pStyle w:val="13"/>
            </w:pPr>
          </w:p>
        </w:tc>
        <w:tc>
          <w:tcPr>
            <w:tcW w:w="1474" w:type="dxa"/>
            <w:vAlign w:val="center"/>
          </w:tcPr>
          <w:p w14:paraId="2D4FA95F">
            <w:pPr>
              <w:pStyle w:val="14"/>
            </w:pPr>
          </w:p>
        </w:tc>
        <w:tc>
          <w:tcPr>
            <w:tcW w:w="3402" w:type="dxa"/>
            <w:vAlign w:val="center"/>
          </w:tcPr>
          <w:p w14:paraId="3E6F28A7">
            <w:pPr>
              <w:pStyle w:val="13"/>
            </w:pPr>
            <w:r>
              <w:t>二十八、债务付息支出</w:t>
            </w:r>
          </w:p>
        </w:tc>
        <w:tc>
          <w:tcPr>
            <w:tcW w:w="1474" w:type="dxa"/>
            <w:vAlign w:val="center"/>
          </w:tcPr>
          <w:p w14:paraId="274C4A85">
            <w:pPr>
              <w:pStyle w:val="14"/>
            </w:pPr>
          </w:p>
        </w:tc>
        <w:tc>
          <w:tcPr>
            <w:tcW w:w="1474" w:type="dxa"/>
            <w:vAlign w:val="center"/>
          </w:tcPr>
          <w:p w14:paraId="1D05E9BD">
            <w:pPr>
              <w:pStyle w:val="14"/>
            </w:pPr>
          </w:p>
        </w:tc>
        <w:tc>
          <w:tcPr>
            <w:tcW w:w="1474" w:type="dxa"/>
            <w:vAlign w:val="center"/>
          </w:tcPr>
          <w:p w14:paraId="125DD5BB">
            <w:pPr>
              <w:pStyle w:val="14"/>
            </w:pPr>
          </w:p>
        </w:tc>
        <w:tc>
          <w:tcPr>
            <w:tcW w:w="1474" w:type="dxa"/>
            <w:vAlign w:val="center"/>
          </w:tcPr>
          <w:p w14:paraId="534F1768">
            <w:pPr>
              <w:pStyle w:val="14"/>
            </w:pPr>
          </w:p>
        </w:tc>
      </w:tr>
      <w:tr w14:paraId="599BF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0258B">
            <w:pPr>
              <w:pStyle w:val="12"/>
            </w:pPr>
            <w:r>
              <w:t>29</w:t>
            </w:r>
          </w:p>
        </w:tc>
        <w:tc>
          <w:tcPr>
            <w:tcW w:w="3402" w:type="dxa"/>
            <w:vAlign w:val="center"/>
          </w:tcPr>
          <w:p w14:paraId="442AB4AB">
            <w:pPr>
              <w:pStyle w:val="13"/>
            </w:pPr>
          </w:p>
        </w:tc>
        <w:tc>
          <w:tcPr>
            <w:tcW w:w="1474" w:type="dxa"/>
            <w:vAlign w:val="center"/>
          </w:tcPr>
          <w:p w14:paraId="10D08ABD">
            <w:pPr>
              <w:pStyle w:val="14"/>
            </w:pPr>
          </w:p>
        </w:tc>
        <w:tc>
          <w:tcPr>
            <w:tcW w:w="3402" w:type="dxa"/>
            <w:vAlign w:val="center"/>
          </w:tcPr>
          <w:p w14:paraId="226F3AC3">
            <w:pPr>
              <w:pStyle w:val="13"/>
            </w:pPr>
            <w:r>
              <w:t>二十九、债务发行费用支出</w:t>
            </w:r>
          </w:p>
        </w:tc>
        <w:tc>
          <w:tcPr>
            <w:tcW w:w="1474" w:type="dxa"/>
            <w:vAlign w:val="center"/>
          </w:tcPr>
          <w:p w14:paraId="6B1F3455">
            <w:pPr>
              <w:pStyle w:val="14"/>
            </w:pPr>
          </w:p>
        </w:tc>
        <w:tc>
          <w:tcPr>
            <w:tcW w:w="1474" w:type="dxa"/>
            <w:vAlign w:val="center"/>
          </w:tcPr>
          <w:p w14:paraId="6E1793B8">
            <w:pPr>
              <w:pStyle w:val="14"/>
            </w:pPr>
          </w:p>
        </w:tc>
        <w:tc>
          <w:tcPr>
            <w:tcW w:w="1474" w:type="dxa"/>
            <w:vAlign w:val="center"/>
          </w:tcPr>
          <w:p w14:paraId="3C156B58">
            <w:pPr>
              <w:pStyle w:val="14"/>
            </w:pPr>
          </w:p>
        </w:tc>
        <w:tc>
          <w:tcPr>
            <w:tcW w:w="1474" w:type="dxa"/>
            <w:vAlign w:val="center"/>
          </w:tcPr>
          <w:p w14:paraId="2A5B8D04">
            <w:pPr>
              <w:pStyle w:val="14"/>
            </w:pPr>
          </w:p>
        </w:tc>
      </w:tr>
      <w:tr w14:paraId="718F4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FAC45">
            <w:pPr>
              <w:pStyle w:val="12"/>
            </w:pPr>
            <w:r>
              <w:t>30</w:t>
            </w:r>
          </w:p>
        </w:tc>
        <w:tc>
          <w:tcPr>
            <w:tcW w:w="3402" w:type="dxa"/>
            <w:vAlign w:val="center"/>
          </w:tcPr>
          <w:p w14:paraId="4C07F562">
            <w:pPr>
              <w:pStyle w:val="13"/>
            </w:pPr>
          </w:p>
        </w:tc>
        <w:tc>
          <w:tcPr>
            <w:tcW w:w="1474" w:type="dxa"/>
            <w:vAlign w:val="center"/>
          </w:tcPr>
          <w:p w14:paraId="2B8434B2">
            <w:pPr>
              <w:pStyle w:val="14"/>
            </w:pPr>
          </w:p>
        </w:tc>
        <w:tc>
          <w:tcPr>
            <w:tcW w:w="3402" w:type="dxa"/>
            <w:vAlign w:val="center"/>
          </w:tcPr>
          <w:p w14:paraId="43A3DAD8">
            <w:pPr>
              <w:pStyle w:val="13"/>
            </w:pPr>
            <w:r>
              <w:t>三十、抗疫特别国债安排的支出</w:t>
            </w:r>
          </w:p>
        </w:tc>
        <w:tc>
          <w:tcPr>
            <w:tcW w:w="1474" w:type="dxa"/>
            <w:vAlign w:val="center"/>
          </w:tcPr>
          <w:p w14:paraId="34B86F28">
            <w:pPr>
              <w:pStyle w:val="14"/>
            </w:pPr>
          </w:p>
        </w:tc>
        <w:tc>
          <w:tcPr>
            <w:tcW w:w="1474" w:type="dxa"/>
            <w:vAlign w:val="center"/>
          </w:tcPr>
          <w:p w14:paraId="5305E63A">
            <w:pPr>
              <w:pStyle w:val="14"/>
            </w:pPr>
          </w:p>
        </w:tc>
        <w:tc>
          <w:tcPr>
            <w:tcW w:w="1474" w:type="dxa"/>
            <w:vAlign w:val="center"/>
          </w:tcPr>
          <w:p w14:paraId="3D0FACEC">
            <w:pPr>
              <w:pStyle w:val="14"/>
            </w:pPr>
          </w:p>
        </w:tc>
        <w:tc>
          <w:tcPr>
            <w:tcW w:w="1474" w:type="dxa"/>
            <w:vAlign w:val="center"/>
          </w:tcPr>
          <w:p w14:paraId="156AD97D">
            <w:pPr>
              <w:pStyle w:val="14"/>
            </w:pPr>
          </w:p>
        </w:tc>
      </w:tr>
      <w:tr w14:paraId="30AF5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B54F7">
            <w:pPr>
              <w:pStyle w:val="12"/>
            </w:pPr>
            <w:r>
              <w:t>31</w:t>
            </w:r>
          </w:p>
        </w:tc>
        <w:tc>
          <w:tcPr>
            <w:tcW w:w="3402" w:type="dxa"/>
            <w:vAlign w:val="center"/>
          </w:tcPr>
          <w:p w14:paraId="1A29CA56">
            <w:pPr>
              <w:pStyle w:val="13"/>
            </w:pPr>
          </w:p>
        </w:tc>
        <w:tc>
          <w:tcPr>
            <w:tcW w:w="1474" w:type="dxa"/>
            <w:vAlign w:val="center"/>
          </w:tcPr>
          <w:p w14:paraId="1797BEC0">
            <w:pPr>
              <w:pStyle w:val="14"/>
            </w:pPr>
          </w:p>
        </w:tc>
        <w:tc>
          <w:tcPr>
            <w:tcW w:w="3402" w:type="dxa"/>
            <w:vAlign w:val="center"/>
          </w:tcPr>
          <w:p w14:paraId="7354CE78">
            <w:pPr>
              <w:pStyle w:val="13"/>
            </w:pPr>
            <w:r>
              <w:t>三十一、人行科目</w:t>
            </w:r>
          </w:p>
        </w:tc>
        <w:tc>
          <w:tcPr>
            <w:tcW w:w="1474" w:type="dxa"/>
            <w:vAlign w:val="center"/>
          </w:tcPr>
          <w:p w14:paraId="27F7B692">
            <w:pPr>
              <w:pStyle w:val="14"/>
            </w:pPr>
          </w:p>
        </w:tc>
        <w:tc>
          <w:tcPr>
            <w:tcW w:w="1474" w:type="dxa"/>
            <w:vAlign w:val="center"/>
          </w:tcPr>
          <w:p w14:paraId="280FEDF0">
            <w:pPr>
              <w:pStyle w:val="14"/>
            </w:pPr>
          </w:p>
        </w:tc>
        <w:tc>
          <w:tcPr>
            <w:tcW w:w="1474" w:type="dxa"/>
            <w:vAlign w:val="center"/>
          </w:tcPr>
          <w:p w14:paraId="588ABA40">
            <w:pPr>
              <w:pStyle w:val="14"/>
            </w:pPr>
          </w:p>
        </w:tc>
        <w:tc>
          <w:tcPr>
            <w:tcW w:w="1474" w:type="dxa"/>
            <w:vAlign w:val="center"/>
          </w:tcPr>
          <w:p w14:paraId="3E8CF170">
            <w:pPr>
              <w:pStyle w:val="14"/>
            </w:pPr>
          </w:p>
        </w:tc>
      </w:tr>
      <w:tr w14:paraId="50E71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AE0E9">
            <w:pPr>
              <w:pStyle w:val="12"/>
            </w:pPr>
            <w:r>
              <w:t>32</w:t>
            </w:r>
          </w:p>
        </w:tc>
        <w:tc>
          <w:tcPr>
            <w:tcW w:w="3402" w:type="dxa"/>
            <w:vAlign w:val="center"/>
          </w:tcPr>
          <w:p w14:paraId="004568B3">
            <w:pPr>
              <w:pStyle w:val="15"/>
            </w:pPr>
            <w:r>
              <w:t>本年收入合计</w:t>
            </w:r>
          </w:p>
        </w:tc>
        <w:tc>
          <w:tcPr>
            <w:tcW w:w="1474" w:type="dxa"/>
            <w:vAlign w:val="center"/>
          </w:tcPr>
          <w:p w14:paraId="2F1E6E04">
            <w:pPr>
              <w:pStyle w:val="16"/>
            </w:pPr>
            <w:r>
              <w:t>712.02</w:t>
            </w:r>
          </w:p>
        </w:tc>
        <w:tc>
          <w:tcPr>
            <w:tcW w:w="3402" w:type="dxa"/>
            <w:vAlign w:val="center"/>
          </w:tcPr>
          <w:p w14:paraId="35DE6C03">
            <w:pPr>
              <w:pStyle w:val="15"/>
            </w:pPr>
            <w:r>
              <w:t>本年支出合计</w:t>
            </w:r>
          </w:p>
        </w:tc>
        <w:tc>
          <w:tcPr>
            <w:tcW w:w="1474" w:type="dxa"/>
            <w:vAlign w:val="center"/>
          </w:tcPr>
          <w:p w14:paraId="7F5616D4">
            <w:pPr>
              <w:pStyle w:val="16"/>
            </w:pPr>
            <w:r>
              <w:t>712.02</w:t>
            </w:r>
          </w:p>
        </w:tc>
        <w:tc>
          <w:tcPr>
            <w:tcW w:w="1474" w:type="dxa"/>
            <w:vAlign w:val="center"/>
          </w:tcPr>
          <w:p w14:paraId="331A9233">
            <w:pPr>
              <w:pStyle w:val="16"/>
            </w:pPr>
            <w:r>
              <w:t>712.02</w:t>
            </w:r>
          </w:p>
        </w:tc>
        <w:tc>
          <w:tcPr>
            <w:tcW w:w="1474" w:type="dxa"/>
            <w:vAlign w:val="center"/>
          </w:tcPr>
          <w:p w14:paraId="062C174A">
            <w:pPr>
              <w:pStyle w:val="16"/>
            </w:pPr>
          </w:p>
        </w:tc>
        <w:tc>
          <w:tcPr>
            <w:tcW w:w="1474" w:type="dxa"/>
            <w:vAlign w:val="center"/>
          </w:tcPr>
          <w:p w14:paraId="05B1EF7C">
            <w:pPr>
              <w:pStyle w:val="16"/>
            </w:pPr>
          </w:p>
        </w:tc>
      </w:tr>
      <w:tr w14:paraId="01859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50759">
            <w:pPr>
              <w:pStyle w:val="12"/>
            </w:pPr>
            <w:r>
              <w:t>33</w:t>
            </w:r>
          </w:p>
        </w:tc>
        <w:tc>
          <w:tcPr>
            <w:tcW w:w="3402" w:type="dxa"/>
            <w:vAlign w:val="center"/>
          </w:tcPr>
          <w:p w14:paraId="37432626">
            <w:pPr>
              <w:pStyle w:val="13"/>
            </w:pPr>
            <w:r>
              <w:t>年初财政拨款结转和结余</w:t>
            </w:r>
          </w:p>
        </w:tc>
        <w:tc>
          <w:tcPr>
            <w:tcW w:w="1474" w:type="dxa"/>
            <w:vAlign w:val="center"/>
          </w:tcPr>
          <w:p w14:paraId="6EC19119">
            <w:pPr>
              <w:pStyle w:val="14"/>
            </w:pPr>
          </w:p>
        </w:tc>
        <w:tc>
          <w:tcPr>
            <w:tcW w:w="3402" w:type="dxa"/>
            <w:vAlign w:val="center"/>
          </w:tcPr>
          <w:p w14:paraId="40991C85">
            <w:pPr>
              <w:pStyle w:val="13"/>
            </w:pPr>
            <w:r>
              <w:t>年末财政拨款结转和结余</w:t>
            </w:r>
          </w:p>
        </w:tc>
        <w:tc>
          <w:tcPr>
            <w:tcW w:w="1474" w:type="dxa"/>
            <w:vAlign w:val="center"/>
          </w:tcPr>
          <w:p w14:paraId="7838998D">
            <w:pPr>
              <w:pStyle w:val="14"/>
            </w:pPr>
          </w:p>
        </w:tc>
        <w:tc>
          <w:tcPr>
            <w:tcW w:w="1474" w:type="dxa"/>
            <w:vAlign w:val="center"/>
          </w:tcPr>
          <w:p w14:paraId="34456C4B">
            <w:pPr>
              <w:pStyle w:val="14"/>
            </w:pPr>
          </w:p>
        </w:tc>
        <w:tc>
          <w:tcPr>
            <w:tcW w:w="1474" w:type="dxa"/>
            <w:vAlign w:val="center"/>
          </w:tcPr>
          <w:p w14:paraId="56D9AAF1">
            <w:pPr>
              <w:pStyle w:val="14"/>
            </w:pPr>
          </w:p>
        </w:tc>
        <w:tc>
          <w:tcPr>
            <w:tcW w:w="1474" w:type="dxa"/>
            <w:vAlign w:val="center"/>
          </w:tcPr>
          <w:p w14:paraId="2686EE15">
            <w:pPr>
              <w:pStyle w:val="14"/>
            </w:pPr>
          </w:p>
        </w:tc>
      </w:tr>
      <w:tr w14:paraId="6911F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510EA">
            <w:pPr>
              <w:pStyle w:val="12"/>
            </w:pPr>
            <w:r>
              <w:t>34</w:t>
            </w:r>
          </w:p>
        </w:tc>
        <w:tc>
          <w:tcPr>
            <w:tcW w:w="3402" w:type="dxa"/>
            <w:vAlign w:val="center"/>
          </w:tcPr>
          <w:p w14:paraId="2040F59C">
            <w:pPr>
              <w:pStyle w:val="13"/>
            </w:pPr>
            <w:r>
              <w:t>一、一般公共预算拨款</w:t>
            </w:r>
          </w:p>
        </w:tc>
        <w:tc>
          <w:tcPr>
            <w:tcW w:w="1474" w:type="dxa"/>
            <w:vAlign w:val="center"/>
          </w:tcPr>
          <w:p w14:paraId="16F4BDE1">
            <w:pPr>
              <w:pStyle w:val="14"/>
            </w:pPr>
          </w:p>
        </w:tc>
        <w:tc>
          <w:tcPr>
            <w:tcW w:w="3402" w:type="dxa"/>
            <w:vAlign w:val="center"/>
          </w:tcPr>
          <w:p w14:paraId="4FF73522">
            <w:pPr>
              <w:pStyle w:val="13"/>
            </w:pPr>
          </w:p>
        </w:tc>
        <w:tc>
          <w:tcPr>
            <w:tcW w:w="1474" w:type="dxa"/>
            <w:vAlign w:val="center"/>
          </w:tcPr>
          <w:p w14:paraId="47E87C05">
            <w:pPr>
              <w:pStyle w:val="14"/>
            </w:pPr>
          </w:p>
        </w:tc>
        <w:tc>
          <w:tcPr>
            <w:tcW w:w="1474" w:type="dxa"/>
            <w:vAlign w:val="center"/>
          </w:tcPr>
          <w:p w14:paraId="09223531">
            <w:pPr>
              <w:pStyle w:val="14"/>
            </w:pPr>
          </w:p>
        </w:tc>
        <w:tc>
          <w:tcPr>
            <w:tcW w:w="1474" w:type="dxa"/>
            <w:vAlign w:val="center"/>
          </w:tcPr>
          <w:p w14:paraId="3B69677A">
            <w:pPr>
              <w:pStyle w:val="14"/>
            </w:pPr>
          </w:p>
        </w:tc>
        <w:tc>
          <w:tcPr>
            <w:tcW w:w="1474" w:type="dxa"/>
            <w:vAlign w:val="center"/>
          </w:tcPr>
          <w:p w14:paraId="5B34E180">
            <w:pPr>
              <w:pStyle w:val="14"/>
            </w:pPr>
          </w:p>
        </w:tc>
      </w:tr>
      <w:tr w14:paraId="372BB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9C993">
            <w:pPr>
              <w:pStyle w:val="12"/>
            </w:pPr>
            <w:r>
              <w:t>35</w:t>
            </w:r>
          </w:p>
        </w:tc>
        <w:tc>
          <w:tcPr>
            <w:tcW w:w="3402" w:type="dxa"/>
            <w:vAlign w:val="center"/>
          </w:tcPr>
          <w:p w14:paraId="5D38AAEE">
            <w:pPr>
              <w:pStyle w:val="13"/>
            </w:pPr>
            <w:r>
              <w:t>二、政府性基金预算拨款</w:t>
            </w:r>
          </w:p>
        </w:tc>
        <w:tc>
          <w:tcPr>
            <w:tcW w:w="1474" w:type="dxa"/>
            <w:vAlign w:val="center"/>
          </w:tcPr>
          <w:p w14:paraId="07AFFABA">
            <w:pPr>
              <w:pStyle w:val="14"/>
            </w:pPr>
          </w:p>
        </w:tc>
        <w:tc>
          <w:tcPr>
            <w:tcW w:w="3402" w:type="dxa"/>
            <w:vAlign w:val="center"/>
          </w:tcPr>
          <w:p w14:paraId="215CF303">
            <w:pPr>
              <w:pStyle w:val="13"/>
            </w:pPr>
          </w:p>
        </w:tc>
        <w:tc>
          <w:tcPr>
            <w:tcW w:w="1474" w:type="dxa"/>
            <w:vAlign w:val="center"/>
          </w:tcPr>
          <w:p w14:paraId="4BE573D8">
            <w:pPr>
              <w:pStyle w:val="14"/>
            </w:pPr>
          </w:p>
        </w:tc>
        <w:tc>
          <w:tcPr>
            <w:tcW w:w="1474" w:type="dxa"/>
            <w:vAlign w:val="center"/>
          </w:tcPr>
          <w:p w14:paraId="2C2BF316">
            <w:pPr>
              <w:pStyle w:val="14"/>
            </w:pPr>
          </w:p>
        </w:tc>
        <w:tc>
          <w:tcPr>
            <w:tcW w:w="1474" w:type="dxa"/>
            <w:vAlign w:val="center"/>
          </w:tcPr>
          <w:p w14:paraId="2E2232A5">
            <w:pPr>
              <w:pStyle w:val="14"/>
            </w:pPr>
          </w:p>
        </w:tc>
        <w:tc>
          <w:tcPr>
            <w:tcW w:w="1474" w:type="dxa"/>
            <w:vAlign w:val="center"/>
          </w:tcPr>
          <w:p w14:paraId="232891FB">
            <w:pPr>
              <w:pStyle w:val="14"/>
            </w:pPr>
          </w:p>
        </w:tc>
      </w:tr>
      <w:tr w14:paraId="3C186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AD909">
            <w:pPr>
              <w:pStyle w:val="12"/>
            </w:pPr>
            <w:r>
              <w:t>36</w:t>
            </w:r>
          </w:p>
        </w:tc>
        <w:tc>
          <w:tcPr>
            <w:tcW w:w="3402" w:type="dxa"/>
            <w:vAlign w:val="center"/>
          </w:tcPr>
          <w:p w14:paraId="2227DA68">
            <w:pPr>
              <w:pStyle w:val="13"/>
            </w:pPr>
            <w:r>
              <w:t>三、国有资本经营预算拨款</w:t>
            </w:r>
          </w:p>
        </w:tc>
        <w:tc>
          <w:tcPr>
            <w:tcW w:w="1474" w:type="dxa"/>
            <w:vAlign w:val="center"/>
          </w:tcPr>
          <w:p w14:paraId="7B310582">
            <w:pPr>
              <w:pStyle w:val="14"/>
            </w:pPr>
          </w:p>
        </w:tc>
        <w:tc>
          <w:tcPr>
            <w:tcW w:w="3402" w:type="dxa"/>
            <w:vAlign w:val="center"/>
          </w:tcPr>
          <w:p w14:paraId="41D2A2B5">
            <w:pPr>
              <w:pStyle w:val="13"/>
            </w:pPr>
          </w:p>
        </w:tc>
        <w:tc>
          <w:tcPr>
            <w:tcW w:w="1474" w:type="dxa"/>
            <w:vAlign w:val="center"/>
          </w:tcPr>
          <w:p w14:paraId="21E2FA7F">
            <w:pPr>
              <w:pStyle w:val="14"/>
            </w:pPr>
          </w:p>
        </w:tc>
        <w:tc>
          <w:tcPr>
            <w:tcW w:w="1474" w:type="dxa"/>
            <w:vAlign w:val="center"/>
          </w:tcPr>
          <w:p w14:paraId="1040CB3B">
            <w:pPr>
              <w:pStyle w:val="14"/>
            </w:pPr>
          </w:p>
        </w:tc>
        <w:tc>
          <w:tcPr>
            <w:tcW w:w="1474" w:type="dxa"/>
            <w:vAlign w:val="center"/>
          </w:tcPr>
          <w:p w14:paraId="79AE64DD">
            <w:pPr>
              <w:pStyle w:val="14"/>
            </w:pPr>
          </w:p>
        </w:tc>
        <w:tc>
          <w:tcPr>
            <w:tcW w:w="1474" w:type="dxa"/>
            <w:vAlign w:val="center"/>
          </w:tcPr>
          <w:p w14:paraId="092F4E7C">
            <w:pPr>
              <w:pStyle w:val="14"/>
            </w:pPr>
          </w:p>
        </w:tc>
      </w:tr>
      <w:tr w14:paraId="15EB3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BA609">
            <w:pPr>
              <w:pStyle w:val="12"/>
            </w:pPr>
            <w:r>
              <w:t>37</w:t>
            </w:r>
          </w:p>
        </w:tc>
        <w:tc>
          <w:tcPr>
            <w:tcW w:w="3402" w:type="dxa"/>
            <w:vAlign w:val="center"/>
          </w:tcPr>
          <w:p w14:paraId="327C1C30">
            <w:pPr>
              <w:pStyle w:val="15"/>
            </w:pPr>
            <w:r>
              <w:t>收入总计</w:t>
            </w:r>
          </w:p>
        </w:tc>
        <w:tc>
          <w:tcPr>
            <w:tcW w:w="1474" w:type="dxa"/>
            <w:vAlign w:val="center"/>
          </w:tcPr>
          <w:p w14:paraId="71E8C3D2">
            <w:pPr>
              <w:pStyle w:val="16"/>
            </w:pPr>
            <w:r>
              <w:t>712.02</w:t>
            </w:r>
          </w:p>
        </w:tc>
        <w:tc>
          <w:tcPr>
            <w:tcW w:w="3402" w:type="dxa"/>
            <w:vAlign w:val="center"/>
          </w:tcPr>
          <w:p w14:paraId="4F0E9013">
            <w:pPr>
              <w:pStyle w:val="15"/>
            </w:pPr>
            <w:r>
              <w:t>支出总计</w:t>
            </w:r>
          </w:p>
        </w:tc>
        <w:tc>
          <w:tcPr>
            <w:tcW w:w="1474" w:type="dxa"/>
            <w:vAlign w:val="center"/>
          </w:tcPr>
          <w:p w14:paraId="71747046">
            <w:pPr>
              <w:pStyle w:val="16"/>
            </w:pPr>
            <w:r>
              <w:t>712.02</w:t>
            </w:r>
          </w:p>
        </w:tc>
        <w:tc>
          <w:tcPr>
            <w:tcW w:w="1474" w:type="dxa"/>
            <w:vAlign w:val="center"/>
          </w:tcPr>
          <w:p w14:paraId="3013ECB2">
            <w:pPr>
              <w:pStyle w:val="16"/>
            </w:pPr>
            <w:r>
              <w:t>712.02</w:t>
            </w:r>
          </w:p>
        </w:tc>
        <w:tc>
          <w:tcPr>
            <w:tcW w:w="1474" w:type="dxa"/>
            <w:vAlign w:val="center"/>
          </w:tcPr>
          <w:p w14:paraId="0617871E">
            <w:pPr>
              <w:pStyle w:val="16"/>
            </w:pPr>
          </w:p>
        </w:tc>
        <w:tc>
          <w:tcPr>
            <w:tcW w:w="1474" w:type="dxa"/>
            <w:vAlign w:val="center"/>
          </w:tcPr>
          <w:p w14:paraId="0B92DD99">
            <w:pPr>
              <w:pStyle w:val="16"/>
            </w:pPr>
          </w:p>
        </w:tc>
      </w:tr>
    </w:tbl>
    <w:p w14:paraId="5B75B44C">
      <w:pPr>
        <w:sectPr>
          <w:pgSz w:w="16840" w:h="11900" w:orient="landscape"/>
          <w:pgMar w:top="1361" w:right="1020" w:bottom="1134" w:left="1020" w:header="720" w:footer="720" w:gutter="0"/>
          <w:cols w:space="720" w:num="1"/>
        </w:sectPr>
      </w:pPr>
    </w:p>
    <w:p w14:paraId="06EF7E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098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BCDF7">
            <w:pPr>
              <w:pStyle w:val="8"/>
            </w:pPr>
            <w:r>
              <w:t>360039隆尧县唐尧街小学</w:t>
            </w:r>
          </w:p>
        </w:tc>
        <w:tc>
          <w:tcPr>
            <w:tcW w:w="2551" w:type="dxa"/>
            <w:tcBorders>
              <w:top w:val="single" w:color="FFFFFF" w:sz="6" w:space="0"/>
              <w:left w:val="single" w:color="FFFFFF" w:sz="6" w:space="0"/>
              <w:right w:val="single" w:color="FFFFFF" w:sz="6" w:space="0"/>
            </w:tcBorders>
            <w:vAlign w:val="center"/>
          </w:tcPr>
          <w:p w14:paraId="2BE856E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53CB847">
            <w:pPr>
              <w:pStyle w:val="10"/>
            </w:pPr>
            <w:r>
              <w:t>单位：万元</w:t>
            </w:r>
          </w:p>
        </w:tc>
      </w:tr>
      <w:tr w14:paraId="57827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D7C8D">
            <w:pPr>
              <w:pStyle w:val="11"/>
            </w:pPr>
            <w:r>
              <w:t>序号</w:t>
            </w:r>
          </w:p>
        </w:tc>
        <w:tc>
          <w:tcPr>
            <w:tcW w:w="5726" w:type="dxa"/>
            <w:gridSpan w:val="2"/>
            <w:vAlign w:val="center"/>
          </w:tcPr>
          <w:p w14:paraId="09719FBD">
            <w:pPr>
              <w:pStyle w:val="11"/>
            </w:pPr>
            <w:r>
              <w:t>功能分类科目</w:t>
            </w:r>
          </w:p>
        </w:tc>
        <w:tc>
          <w:tcPr>
            <w:tcW w:w="2551" w:type="dxa"/>
            <w:vMerge w:val="restart"/>
            <w:vAlign w:val="center"/>
          </w:tcPr>
          <w:p w14:paraId="6D14E0DF">
            <w:pPr>
              <w:pStyle w:val="11"/>
            </w:pPr>
            <w:r>
              <w:t>合计</w:t>
            </w:r>
          </w:p>
        </w:tc>
        <w:tc>
          <w:tcPr>
            <w:tcW w:w="2551" w:type="dxa"/>
            <w:vMerge w:val="restart"/>
            <w:vAlign w:val="center"/>
          </w:tcPr>
          <w:p w14:paraId="3E4A0497">
            <w:pPr>
              <w:pStyle w:val="11"/>
            </w:pPr>
            <w:r>
              <w:t>基本支出</w:t>
            </w:r>
          </w:p>
        </w:tc>
        <w:tc>
          <w:tcPr>
            <w:tcW w:w="2551" w:type="dxa"/>
            <w:vMerge w:val="restart"/>
            <w:vAlign w:val="center"/>
          </w:tcPr>
          <w:p w14:paraId="25DAFA17">
            <w:pPr>
              <w:pStyle w:val="11"/>
            </w:pPr>
            <w:r>
              <w:t>项目支出</w:t>
            </w:r>
          </w:p>
        </w:tc>
      </w:tr>
      <w:tr w14:paraId="66D30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D4E40B"/>
        </w:tc>
        <w:tc>
          <w:tcPr>
            <w:tcW w:w="1191" w:type="dxa"/>
            <w:vAlign w:val="center"/>
          </w:tcPr>
          <w:p w14:paraId="15E91D83">
            <w:pPr>
              <w:pStyle w:val="11"/>
            </w:pPr>
            <w:r>
              <w:t>科目编码</w:t>
            </w:r>
          </w:p>
        </w:tc>
        <w:tc>
          <w:tcPr>
            <w:tcW w:w="4535" w:type="dxa"/>
            <w:vAlign w:val="center"/>
          </w:tcPr>
          <w:p w14:paraId="615408AD">
            <w:pPr>
              <w:pStyle w:val="11"/>
            </w:pPr>
            <w:r>
              <w:t>科目名称</w:t>
            </w:r>
          </w:p>
        </w:tc>
        <w:tc>
          <w:tcPr>
            <w:tcW w:w="2551" w:type="dxa"/>
            <w:vMerge w:val="continue"/>
          </w:tcPr>
          <w:p w14:paraId="3B5CF1D0"/>
        </w:tc>
        <w:tc>
          <w:tcPr>
            <w:tcW w:w="2551" w:type="dxa"/>
            <w:vMerge w:val="continue"/>
          </w:tcPr>
          <w:p w14:paraId="5F6C1045"/>
        </w:tc>
        <w:tc>
          <w:tcPr>
            <w:tcW w:w="2551" w:type="dxa"/>
            <w:vMerge w:val="continue"/>
          </w:tcPr>
          <w:p w14:paraId="3668D946"/>
        </w:tc>
      </w:tr>
      <w:tr w14:paraId="5C8A5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48EF36">
            <w:pPr>
              <w:pStyle w:val="11"/>
            </w:pPr>
            <w:r>
              <w:t>栏次</w:t>
            </w:r>
          </w:p>
        </w:tc>
        <w:tc>
          <w:tcPr>
            <w:tcW w:w="1191" w:type="dxa"/>
            <w:vAlign w:val="center"/>
          </w:tcPr>
          <w:p w14:paraId="5D0DA008">
            <w:pPr>
              <w:pStyle w:val="11"/>
            </w:pPr>
            <w:r>
              <w:t>1</w:t>
            </w:r>
          </w:p>
        </w:tc>
        <w:tc>
          <w:tcPr>
            <w:tcW w:w="4535" w:type="dxa"/>
            <w:vAlign w:val="center"/>
          </w:tcPr>
          <w:p w14:paraId="6822B231">
            <w:pPr>
              <w:pStyle w:val="11"/>
            </w:pPr>
            <w:r>
              <w:t>2</w:t>
            </w:r>
          </w:p>
        </w:tc>
        <w:tc>
          <w:tcPr>
            <w:tcW w:w="2551" w:type="dxa"/>
            <w:vAlign w:val="center"/>
          </w:tcPr>
          <w:p w14:paraId="6D852D30">
            <w:pPr>
              <w:pStyle w:val="11"/>
            </w:pPr>
            <w:r>
              <w:t>3</w:t>
            </w:r>
          </w:p>
        </w:tc>
        <w:tc>
          <w:tcPr>
            <w:tcW w:w="2551" w:type="dxa"/>
            <w:vAlign w:val="center"/>
          </w:tcPr>
          <w:p w14:paraId="19C90978">
            <w:pPr>
              <w:pStyle w:val="11"/>
            </w:pPr>
            <w:r>
              <w:t>4</w:t>
            </w:r>
          </w:p>
        </w:tc>
        <w:tc>
          <w:tcPr>
            <w:tcW w:w="2551" w:type="dxa"/>
            <w:vAlign w:val="center"/>
          </w:tcPr>
          <w:p w14:paraId="210E1F01">
            <w:pPr>
              <w:pStyle w:val="11"/>
            </w:pPr>
            <w:r>
              <w:t>5</w:t>
            </w:r>
          </w:p>
        </w:tc>
      </w:tr>
      <w:tr w14:paraId="45063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0F9AB">
            <w:pPr>
              <w:pStyle w:val="12"/>
            </w:pPr>
            <w:r>
              <w:t>1</w:t>
            </w:r>
          </w:p>
        </w:tc>
        <w:tc>
          <w:tcPr>
            <w:tcW w:w="1191" w:type="dxa"/>
            <w:vAlign w:val="center"/>
          </w:tcPr>
          <w:p w14:paraId="78839BA9">
            <w:pPr>
              <w:pStyle w:val="17"/>
            </w:pPr>
          </w:p>
        </w:tc>
        <w:tc>
          <w:tcPr>
            <w:tcW w:w="4535" w:type="dxa"/>
            <w:vAlign w:val="center"/>
          </w:tcPr>
          <w:p w14:paraId="0D66C810">
            <w:pPr>
              <w:pStyle w:val="15"/>
            </w:pPr>
            <w:r>
              <w:t>合计</w:t>
            </w:r>
          </w:p>
        </w:tc>
        <w:tc>
          <w:tcPr>
            <w:tcW w:w="2551" w:type="dxa"/>
            <w:vAlign w:val="center"/>
          </w:tcPr>
          <w:p w14:paraId="46D7F4AB">
            <w:pPr>
              <w:pStyle w:val="16"/>
            </w:pPr>
            <w:r>
              <w:t>712.02</w:t>
            </w:r>
          </w:p>
        </w:tc>
        <w:tc>
          <w:tcPr>
            <w:tcW w:w="2551" w:type="dxa"/>
            <w:vAlign w:val="center"/>
          </w:tcPr>
          <w:p w14:paraId="64ECDF1B">
            <w:pPr>
              <w:pStyle w:val="16"/>
            </w:pPr>
            <w:r>
              <w:t>438.41</w:t>
            </w:r>
          </w:p>
        </w:tc>
        <w:tc>
          <w:tcPr>
            <w:tcW w:w="2551" w:type="dxa"/>
            <w:vAlign w:val="center"/>
          </w:tcPr>
          <w:p w14:paraId="1013F8A1">
            <w:pPr>
              <w:pStyle w:val="16"/>
            </w:pPr>
            <w:r>
              <w:t>273.61</w:t>
            </w:r>
          </w:p>
        </w:tc>
      </w:tr>
      <w:tr w14:paraId="7695E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2E19C">
            <w:pPr>
              <w:pStyle w:val="12"/>
            </w:pPr>
            <w:r>
              <w:t>2</w:t>
            </w:r>
          </w:p>
        </w:tc>
        <w:tc>
          <w:tcPr>
            <w:tcW w:w="1191" w:type="dxa"/>
            <w:vAlign w:val="center"/>
          </w:tcPr>
          <w:p w14:paraId="6AEE9468">
            <w:pPr>
              <w:pStyle w:val="13"/>
            </w:pPr>
            <w:r>
              <w:t>205</w:t>
            </w:r>
          </w:p>
        </w:tc>
        <w:tc>
          <w:tcPr>
            <w:tcW w:w="4535" w:type="dxa"/>
            <w:vAlign w:val="center"/>
          </w:tcPr>
          <w:p w14:paraId="127C66EA">
            <w:pPr>
              <w:pStyle w:val="13"/>
            </w:pPr>
            <w:r>
              <w:t>教育支出</w:t>
            </w:r>
          </w:p>
        </w:tc>
        <w:tc>
          <w:tcPr>
            <w:tcW w:w="2551" w:type="dxa"/>
            <w:vAlign w:val="center"/>
          </w:tcPr>
          <w:p w14:paraId="0509C0CA">
            <w:pPr>
              <w:pStyle w:val="14"/>
            </w:pPr>
            <w:r>
              <w:t>712.02</w:t>
            </w:r>
          </w:p>
        </w:tc>
        <w:tc>
          <w:tcPr>
            <w:tcW w:w="2551" w:type="dxa"/>
            <w:vAlign w:val="center"/>
          </w:tcPr>
          <w:p w14:paraId="59CD169E">
            <w:pPr>
              <w:pStyle w:val="14"/>
            </w:pPr>
            <w:r>
              <w:t>438.41</w:t>
            </w:r>
          </w:p>
        </w:tc>
        <w:tc>
          <w:tcPr>
            <w:tcW w:w="2551" w:type="dxa"/>
            <w:vAlign w:val="center"/>
          </w:tcPr>
          <w:p w14:paraId="7FCE2088">
            <w:pPr>
              <w:pStyle w:val="14"/>
            </w:pPr>
            <w:r>
              <w:t>273.61</w:t>
            </w:r>
          </w:p>
        </w:tc>
      </w:tr>
      <w:tr w14:paraId="7D950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9F194">
            <w:pPr>
              <w:pStyle w:val="12"/>
            </w:pPr>
            <w:r>
              <w:t>3</w:t>
            </w:r>
          </w:p>
        </w:tc>
        <w:tc>
          <w:tcPr>
            <w:tcW w:w="1191" w:type="dxa"/>
            <w:vAlign w:val="center"/>
          </w:tcPr>
          <w:p w14:paraId="37DA9A72">
            <w:pPr>
              <w:pStyle w:val="13"/>
            </w:pPr>
            <w:r>
              <w:t>20502</w:t>
            </w:r>
          </w:p>
        </w:tc>
        <w:tc>
          <w:tcPr>
            <w:tcW w:w="4535" w:type="dxa"/>
            <w:vAlign w:val="center"/>
          </w:tcPr>
          <w:p w14:paraId="7B592170">
            <w:pPr>
              <w:pStyle w:val="13"/>
            </w:pPr>
            <w:r>
              <w:t>普通教育</w:t>
            </w:r>
          </w:p>
        </w:tc>
        <w:tc>
          <w:tcPr>
            <w:tcW w:w="2551" w:type="dxa"/>
            <w:vAlign w:val="center"/>
          </w:tcPr>
          <w:p w14:paraId="2E094883">
            <w:pPr>
              <w:pStyle w:val="14"/>
            </w:pPr>
            <w:r>
              <w:t>712.02</w:t>
            </w:r>
          </w:p>
        </w:tc>
        <w:tc>
          <w:tcPr>
            <w:tcW w:w="2551" w:type="dxa"/>
            <w:vAlign w:val="center"/>
          </w:tcPr>
          <w:p w14:paraId="302787F0">
            <w:pPr>
              <w:pStyle w:val="14"/>
            </w:pPr>
            <w:r>
              <w:t>438.41</w:t>
            </w:r>
          </w:p>
        </w:tc>
        <w:tc>
          <w:tcPr>
            <w:tcW w:w="2551" w:type="dxa"/>
            <w:vAlign w:val="center"/>
          </w:tcPr>
          <w:p w14:paraId="074E2CC1">
            <w:pPr>
              <w:pStyle w:val="14"/>
            </w:pPr>
            <w:r>
              <w:t>273.61</w:t>
            </w:r>
          </w:p>
        </w:tc>
      </w:tr>
      <w:tr w14:paraId="6036D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77EDE">
            <w:pPr>
              <w:pStyle w:val="12"/>
            </w:pPr>
            <w:r>
              <w:t>4</w:t>
            </w:r>
          </w:p>
        </w:tc>
        <w:tc>
          <w:tcPr>
            <w:tcW w:w="1191" w:type="dxa"/>
            <w:vAlign w:val="center"/>
          </w:tcPr>
          <w:p w14:paraId="04CA1D19">
            <w:pPr>
              <w:pStyle w:val="13"/>
            </w:pPr>
            <w:r>
              <w:t>2050202</w:t>
            </w:r>
          </w:p>
        </w:tc>
        <w:tc>
          <w:tcPr>
            <w:tcW w:w="4535" w:type="dxa"/>
            <w:vAlign w:val="center"/>
          </w:tcPr>
          <w:p w14:paraId="612A0435">
            <w:pPr>
              <w:pStyle w:val="13"/>
            </w:pPr>
            <w:r>
              <w:t>小学教育</w:t>
            </w:r>
          </w:p>
        </w:tc>
        <w:tc>
          <w:tcPr>
            <w:tcW w:w="2551" w:type="dxa"/>
            <w:vAlign w:val="center"/>
          </w:tcPr>
          <w:p w14:paraId="220AE15D">
            <w:pPr>
              <w:pStyle w:val="14"/>
            </w:pPr>
            <w:r>
              <w:t>712.02</w:t>
            </w:r>
          </w:p>
        </w:tc>
        <w:tc>
          <w:tcPr>
            <w:tcW w:w="2551" w:type="dxa"/>
            <w:vAlign w:val="center"/>
          </w:tcPr>
          <w:p w14:paraId="2D280181">
            <w:pPr>
              <w:pStyle w:val="14"/>
            </w:pPr>
            <w:r>
              <w:t>438.41</w:t>
            </w:r>
          </w:p>
        </w:tc>
        <w:tc>
          <w:tcPr>
            <w:tcW w:w="2551" w:type="dxa"/>
            <w:vAlign w:val="center"/>
          </w:tcPr>
          <w:p w14:paraId="2BB456E3">
            <w:pPr>
              <w:pStyle w:val="14"/>
            </w:pPr>
            <w:r>
              <w:t>273.61</w:t>
            </w:r>
          </w:p>
        </w:tc>
      </w:tr>
    </w:tbl>
    <w:p w14:paraId="18E64E8B">
      <w:pPr>
        <w:sectPr>
          <w:pgSz w:w="16840" w:h="11900" w:orient="landscape"/>
          <w:pgMar w:top="1361" w:right="1020" w:bottom="1134" w:left="1020" w:header="720" w:footer="720" w:gutter="0"/>
          <w:cols w:space="720" w:num="1"/>
        </w:sectPr>
      </w:pPr>
    </w:p>
    <w:p w14:paraId="6E5906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460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F12692">
            <w:pPr>
              <w:pStyle w:val="8"/>
            </w:pPr>
            <w:r>
              <w:t>360039隆尧县唐尧街小学</w:t>
            </w:r>
          </w:p>
        </w:tc>
        <w:tc>
          <w:tcPr>
            <w:tcW w:w="2551" w:type="dxa"/>
            <w:tcBorders>
              <w:top w:val="single" w:color="FFFFFF" w:sz="6" w:space="0"/>
              <w:left w:val="single" w:color="FFFFFF" w:sz="6" w:space="0"/>
              <w:right w:val="single" w:color="FFFFFF" w:sz="6" w:space="0"/>
            </w:tcBorders>
            <w:vAlign w:val="center"/>
          </w:tcPr>
          <w:p w14:paraId="795AB6D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B797E66">
            <w:pPr>
              <w:pStyle w:val="10"/>
            </w:pPr>
            <w:r>
              <w:t>单位：万元</w:t>
            </w:r>
          </w:p>
        </w:tc>
      </w:tr>
      <w:tr w14:paraId="38DDE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555A1">
            <w:pPr>
              <w:pStyle w:val="11"/>
            </w:pPr>
            <w:r>
              <w:t>序号</w:t>
            </w:r>
          </w:p>
        </w:tc>
        <w:tc>
          <w:tcPr>
            <w:tcW w:w="5726" w:type="dxa"/>
            <w:gridSpan w:val="2"/>
            <w:vAlign w:val="center"/>
          </w:tcPr>
          <w:p w14:paraId="1A78703B">
            <w:pPr>
              <w:pStyle w:val="11"/>
            </w:pPr>
            <w:r>
              <w:t>支出部门经济分类科目</w:t>
            </w:r>
          </w:p>
        </w:tc>
        <w:tc>
          <w:tcPr>
            <w:tcW w:w="7653" w:type="dxa"/>
            <w:gridSpan w:val="3"/>
            <w:vAlign w:val="center"/>
          </w:tcPr>
          <w:p w14:paraId="18763EDC">
            <w:pPr>
              <w:pStyle w:val="11"/>
            </w:pPr>
            <w:r>
              <w:t>一般公共预算基本支出</w:t>
            </w:r>
          </w:p>
        </w:tc>
      </w:tr>
      <w:tr w14:paraId="2CAE0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9AD170"/>
        </w:tc>
        <w:tc>
          <w:tcPr>
            <w:tcW w:w="1191" w:type="dxa"/>
            <w:vAlign w:val="center"/>
          </w:tcPr>
          <w:p w14:paraId="3976F805">
            <w:pPr>
              <w:pStyle w:val="11"/>
            </w:pPr>
            <w:r>
              <w:t>科目编码</w:t>
            </w:r>
          </w:p>
        </w:tc>
        <w:tc>
          <w:tcPr>
            <w:tcW w:w="4535" w:type="dxa"/>
            <w:vAlign w:val="center"/>
          </w:tcPr>
          <w:p w14:paraId="1DBD0E89">
            <w:pPr>
              <w:pStyle w:val="11"/>
            </w:pPr>
            <w:r>
              <w:t>科目名称</w:t>
            </w:r>
          </w:p>
        </w:tc>
        <w:tc>
          <w:tcPr>
            <w:tcW w:w="2551" w:type="dxa"/>
            <w:vAlign w:val="center"/>
          </w:tcPr>
          <w:p w14:paraId="19D5BF5E">
            <w:pPr>
              <w:pStyle w:val="11"/>
            </w:pPr>
            <w:r>
              <w:t>合计</w:t>
            </w:r>
          </w:p>
        </w:tc>
        <w:tc>
          <w:tcPr>
            <w:tcW w:w="2551" w:type="dxa"/>
            <w:vAlign w:val="center"/>
          </w:tcPr>
          <w:p w14:paraId="4EFB09F7">
            <w:pPr>
              <w:pStyle w:val="11"/>
            </w:pPr>
            <w:r>
              <w:t>人员经费</w:t>
            </w:r>
          </w:p>
        </w:tc>
        <w:tc>
          <w:tcPr>
            <w:tcW w:w="2551" w:type="dxa"/>
            <w:vAlign w:val="center"/>
          </w:tcPr>
          <w:p w14:paraId="3D2E0B7E">
            <w:pPr>
              <w:pStyle w:val="11"/>
            </w:pPr>
            <w:r>
              <w:t>公用经费</w:t>
            </w:r>
          </w:p>
        </w:tc>
      </w:tr>
      <w:tr w14:paraId="0CB07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73837A">
            <w:pPr>
              <w:pStyle w:val="11"/>
            </w:pPr>
            <w:r>
              <w:t>栏次</w:t>
            </w:r>
          </w:p>
        </w:tc>
        <w:tc>
          <w:tcPr>
            <w:tcW w:w="1191" w:type="dxa"/>
            <w:vAlign w:val="center"/>
          </w:tcPr>
          <w:p w14:paraId="0FA47EDC">
            <w:pPr>
              <w:pStyle w:val="11"/>
            </w:pPr>
            <w:r>
              <w:t>1</w:t>
            </w:r>
          </w:p>
        </w:tc>
        <w:tc>
          <w:tcPr>
            <w:tcW w:w="4535" w:type="dxa"/>
            <w:vAlign w:val="center"/>
          </w:tcPr>
          <w:p w14:paraId="0E737934">
            <w:pPr>
              <w:pStyle w:val="11"/>
            </w:pPr>
            <w:r>
              <w:t>2</w:t>
            </w:r>
          </w:p>
        </w:tc>
        <w:tc>
          <w:tcPr>
            <w:tcW w:w="2551" w:type="dxa"/>
            <w:vAlign w:val="center"/>
          </w:tcPr>
          <w:p w14:paraId="6DA13FBF">
            <w:pPr>
              <w:pStyle w:val="11"/>
            </w:pPr>
            <w:r>
              <w:t>3</w:t>
            </w:r>
          </w:p>
        </w:tc>
        <w:tc>
          <w:tcPr>
            <w:tcW w:w="2551" w:type="dxa"/>
            <w:vAlign w:val="center"/>
          </w:tcPr>
          <w:p w14:paraId="3180C6B0">
            <w:pPr>
              <w:pStyle w:val="11"/>
            </w:pPr>
            <w:r>
              <w:t>4</w:t>
            </w:r>
          </w:p>
        </w:tc>
        <w:tc>
          <w:tcPr>
            <w:tcW w:w="2551" w:type="dxa"/>
            <w:vAlign w:val="center"/>
          </w:tcPr>
          <w:p w14:paraId="29ECEBAF">
            <w:pPr>
              <w:pStyle w:val="11"/>
            </w:pPr>
            <w:r>
              <w:t>5</w:t>
            </w:r>
          </w:p>
        </w:tc>
      </w:tr>
      <w:tr w14:paraId="10F6C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D3CF8">
            <w:pPr>
              <w:pStyle w:val="12"/>
            </w:pPr>
            <w:r>
              <w:t>1</w:t>
            </w:r>
          </w:p>
        </w:tc>
        <w:tc>
          <w:tcPr>
            <w:tcW w:w="1191" w:type="dxa"/>
            <w:vAlign w:val="center"/>
          </w:tcPr>
          <w:p w14:paraId="06732107">
            <w:pPr>
              <w:pStyle w:val="17"/>
            </w:pPr>
          </w:p>
        </w:tc>
        <w:tc>
          <w:tcPr>
            <w:tcW w:w="4535" w:type="dxa"/>
            <w:vAlign w:val="center"/>
          </w:tcPr>
          <w:p w14:paraId="65253537">
            <w:pPr>
              <w:pStyle w:val="15"/>
            </w:pPr>
            <w:r>
              <w:t>合计</w:t>
            </w:r>
          </w:p>
        </w:tc>
        <w:tc>
          <w:tcPr>
            <w:tcW w:w="2551" w:type="dxa"/>
            <w:vAlign w:val="center"/>
          </w:tcPr>
          <w:p w14:paraId="3CDF95B5">
            <w:pPr>
              <w:pStyle w:val="16"/>
            </w:pPr>
            <w:r>
              <w:t>438.41</w:t>
            </w:r>
          </w:p>
        </w:tc>
        <w:tc>
          <w:tcPr>
            <w:tcW w:w="2551" w:type="dxa"/>
            <w:vAlign w:val="center"/>
          </w:tcPr>
          <w:p w14:paraId="214F0BA5">
            <w:pPr>
              <w:pStyle w:val="16"/>
            </w:pPr>
            <w:r>
              <w:t>438.41</w:t>
            </w:r>
          </w:p>
        </w:tc>
        <w:tc>
          <w:tcPr>
            <w:tcW w:w="2551" w:type="dxa"/>
            <w:vAlign w:val="center"/>
          </w:tcPr>
          <w:p w14:paraId="2A58A544">
            <w:pPr>
              <w:pStyle w:val="16"/>
            </w:pPr>
          </w:p>
        </w:tc>
      </w:tr>
      <w:tr w14:paraId="6D12A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86F9E">
            <w:pPr>
              <w:pStyle w:val="12"/>
            </w:pPr>
            <w:r>
              <w:t>2</w:t>
            </w:r>
          </w:p>
        </w:tc>
        <w:tc>
          <w:tcPr>
            <w:tcW w:w="1191" w:type="dxa"/>
            <w:vAlign w:val="center"/>
          </w:tcPr>
          <w:p w14:paraId="76A2A822">
            <w:pPr>
              <w:pStyle w:val="13"/>
            </w:pPr>
            <w:r>
              <w:t>301</w:t>
            </w:r>
          </w:p>
        </w:tc>
        <w:tc>
          <w:tcPr>
            <w:tcW w:w="4535" w:type="dxa"/>
            <w:vAlign w:val="center"/>
          </w:tcPr>
          <w:p w14:paraId="22EBF6B4">
            <w:pPr>
              <w:pStyle w:val="13"/>
            </w:pPr>
            <w:r>
              <w:t>工资福利支出</w:t>
            </w:r>
          </w:p>
        </w:tc>
        <w:tc>
          <w:tcPr>
            <w:tcW w:w="2551" w:type="dxa"/>
            <w:vAlign w:val="center"/>
          </w:tcPr>
          <w:p w14:paraId="7EB5D1A4">
            <w:pPr>
              <w:pStyle w:val="14"/>
            </w:pPr>
            <w:r>
              <w:t>438.41</w:t>
            </w:r>
          </w:p>
        </w:tc>
        <w:tc>
          <w:tcPr>
            <w:tcW w:w="2551" w:type="dxa"/>
            <w:vAlign w:val="center"/>
          </w:tcPr>
          <w:p w14:paraId="3CA89E18">
            <w:pPr>
              <w:pStyle w:val="14"/>
            </w:pPr>
            <w:r>
              <w:t>438.41</w:t>
            </w:r>
          </w:p>
        </w:tc>
        <w:tc>
          <w:tcPr>
            <w:tcW w:w="2551" w:type="dxa"/>
            <w:vAlign w:val="center"/>
          </w:tcPr>
          <w:p w14:paraId="262D1F35">
            <w:pPr>
              <w:pStyle w:val="14"/>
            </w:pPr>
          </w:p>
        </w:tc>
      </w:tr>
      <w:tr w14:paraId="3095C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D04AF">
            <w:pPr>
              <w:pStyle w:val="12"/>
            </w:pPr>
            <w:r>
              <w:t>3</w:t>
            </w:r>
          </w:p>
        </w:tc>
        <w:tc>
          <w:tcPr>
            <w:tcW w:w="1191" w:type="dxa"/>
            <w:vAlign w:val="center"/>
          </w:tcPr>
          <w:p w14:paraId="3789BF8C">
            <w:pPr>
              <w:pStyle w:val="13"/>
            </w:pPr>
            <w:r>
              <w:t>30101</w:t>
            </w:r>
          </w:p>
        </w:tc>
        <w:tc>
          <w:tcPr>
            <w:tcW w:w="4535" w:type="dxa"/>
            <w:vAlign w:val="center"/>
          </w:tcPr>
          <w:p w14:paraId="5055205F">
            <w:pPr>
              <w:pStyle w:val="13"/>
            </w:pPr>
            <w:r>
              <w:t>基本工资</w:t>
            </w:r>
          </w:p>
        </w:tc>
        <w:tc>
          <w:tcPr>
            <w:tcW w:w="2551" w:type="dxa"/>
            <w:vAlign w:val="center"/>
          </w:tcPr>
          <w:p w14:paraId="0149A69A">
            <w:pPr>
              <w:pStyle w:val="14"/>
            </w:pPr>
            <w:r>
              <w:t>117.80</w:t>
            </w:r>
          </w:p>
        </w:tc>
        <w:tc>
          <w:tcPr>
            <w:tcW w:w="2551" w:type="dxa"/>
            <w:vAlign w:val="center"/>
          </w:tcPr>
          <w:p w14:paraId="3D479E0B">
            <w:pPr>
              <w:pStyle w:val="14"/>
            </w:pPr>
            <w:r>
              <w:t>117.80</w:t>
            </w:r>
          </w:p>
        </w:tc>
        <w:tc>
          <w:tcPr>
            <w:tcW w:w="2551" w:type="dxa"/>
            <w:vAlign w:val="center"/>
          </w:tcPr>
          <w:p w14:paraId="1B982B1E">
            <w:pPr>
              <w:pStyle w:val="14"/>
            </w:pPr>
          </w:p>
        </w:tc>
      </w:tr>
      <w:tr w14:paraId="169F1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C3294">
            <w:pPr>
              <w:pStyle w:val="12"/>
            </w:pPr>
            <w:r>
              <w:t>4</w:t>
            </w:r>
          </w:p>
        </w:tc>
        <w:tc>
          <w:tcPr>
            <w:tcW w:w="1191" w:type="dxa"/>
            <w:vAlign w:val="center"/>
          </w:tcPr>
          <w:p w14:paraId="58A7A620">
            <w:pPr>
              <w:pStyle w:val="13"/>
            </w:pPr>
            <w:r>
              <w:t>30102</w:t>
            </w:r>
          </w:p>
        </w:tc>
        <w:tc>
          <w:tcPr>
            <w:tcW w:w="4535" w:type="dxa"/>
            <w:vAlign w:val="center"/>
          </w:tcPr>
          <w:p w14:paraId="713FC9A6">
            <w:pPr>
              <w:pStyle w:val="13"/>
            </w:pPr>
            <w:r>
              <w:t>津贴补贴</w:t>
            </w:r>
          </w:p>
        </w:tc>
        <w:tc>
          <w:tcPr>
            <w:tcW w:w="2551" w:type="dxa"/>
            <w:vAlign w:val="center"/>
          </w:tcPr>
          <w:p w14:paraId="0E26CBB6">
            <w:pPr>
              <w:pStyle w:val="14"/>
            </w:pPr>
            <w:r>
              <w:t>2.93</w:t>
            </w:r>
          </w:p>
        </w:tc>
        <w:tc>
          <w:tcPr>
            <w:tcW w:w="2551" w:type="dxa"/>
            <w:vAlign w:val="center"/>
          </w:tcPr>
          <w:p w14:paraId="428498CB">
            <w:pPr>
              <w:pStyle w:val="14"/>
            </w:pPr>
            <w:r>
              <w:t>2.93</w:t>
            </w:r>
          </w:p>
        </w:tc>
        <w:tc>
          <w:tcPr>
            <w:tcW w:w="2551" w:type="dxa"/>
            <w:vAlign w:val="center"/>
          </w:tcPr>
          <w:p w14:paraId="1FD1739E">
            <w:pPr>
              <w:pStyle w:val="14"/>
            </w:pPr>
          </w:p>
        </w:tc>
      </w:tr>
      <w:tr w14:paraId="67C0B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10446">
            <w:pPr>
              <w:pStyle w:val="12"/>
            </w:pPr>
            <w:r>
              <w:t>5</w:t>
            </w:r>
          </w:p>
        </w:tc>
        <w:tc>
          <w:tcPr>
            <w:tcW w:w="1191" w:type="dxa"/>
            <w:vAlign w:val="center"/>
          </w:tcPr>
          <w:p w14:paraId="61A0A08E">
            <w:pPr>
              <w:pStyle w:val="13"/>
            </w:pPr>
            <w:r>
              <w:t>30107</w:t>
            </w:r>
          </w:p>
        </w:tc>
        <w:tc>
          <w:tcPr>
            <w:tcW w:w="4535" w:type="dxa"/>
            <w:vAlign w:val="center"/>
          </w:tcPr>
          <w:p w14:paraId="69F6DFE6">
            <w:pPr>
              <w:pStyle w:val="13"/>
            </w:pPr>
            <w:r>
              <w:t>绩效工资</w:t>
            </w:r>
          </w:p>
        </w:tc>
        <w:tc>
          <w:tcPr>
            <w:tcW w:w="2551" w:type="dxa"/>
            <w:vAlign w:val="center"/>
          </w:tcPr>
          <w:p w14:paraId="766D3FA8">
            <w:pPr>
              <w:pStyle w:val="14"/>
            </w:pPr>
            <w:r>
              <w:t>99.60</w:t>
            </w:r>
          </w:p>
        </w:tc>
        <w:tc>
          <w:tcPr>
            <w:tcW w:w="2551" w:type="dxa"/>
            <w:vAlign w:val="center"/>
          </w:tcPr>
          <w:p w14:paraId="7FD85AA1">
            <w:pPr>
              <w:pStyle w:val="14"/>
            </w:pPr>
            <w:r>
              <w:t>99.60</w:t>
            </w:r>
          </w:p>
        </w:tc>
        <w:tc>
          <w:tcPr>
            <w:tcW w:w="2551" w:type="dxa"/>
            <w:vAlign w:val="center"/>
          </w:tcPr>
          <w:p w14:paraId="7136B243">
            <w:pPr>
              <w:pStyle w:val="14"/>
            </w:pPr>
          </w:p>
        </w:tc>
      </w:tr>
      <w:tr w14:paraId="2DE7D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3E88C">
            <w:pPr>
              <w:pStyle w:val="12"/>
            </w:pPr>
            <w:r>
              <w:t>6</w:t>
            </w:r>
          </w:p>
        </w:tc>
        <w:tc>
          <w:tcPr>
            <w:tcW w:w="1191" w:type="dxa"/>
            <w:vAlign w:val="center"/>
          </w:tcPr>
          <w:p w14:paraId="33DAB031">
            <w:pPr>
              <w:pStyle w:val="13"/>
            </w:pPr>
            <w:r>
              <w:t>30108</w:t>
            </w:r>
          </w:p>
        </w:tc>
        <w:tc>
          <w:tcPr>
            <w:tcW w:w="4535" w:type="dxa"/>
            <w:vAlign w:val="center"/>
          </w:tcPr>
          <w:p w14:paraId="09E36588">
            <w:pPr>
              <w:pStyle w:val="13"/>
            </w:pPr>
            <w:r>
              <w:t>机关事业单位基本养老保险缴费</w:t>
            </w:r>
          </w:p>
        </w:tc>
        <w:tc>
          <w:tcPr>
            <w:tcW w:w="2551" w:type="dxa"/>
            <w:vAlign w:val="center"/>
          </w:tcPr>
          <w:p w14:paraId="341F8BB2">
            <w:pPr>
              <w:pStyle w:val="14"/>
            </w:pPr>
            <w:r>
              <w:t>20.11</w:t>
            </w:r>
          </w:p>
        </w:tc>
        <w:tc>
          <w:tcPr>
            <w:tcW w:w="2551" w:type="dxa"/>
            <w:vAlign w:val="center"/>
          </w:tcPr>
          <w:p w14:paraId="77F9AE74">
            <w:pPr>
              <w:pStyle w:val="14"/>
            </w:pPr>
            <w:r>
              <w:t>20.11</w:t>
            </w:r>
          </w:p>
        </w:tc>
        <w:tc>
          <w:tcPr>
            <w:tcW w:w="2551" w:type="dxa"/>
            <w:vAlign w:val="center"/>
          </w:tcPr>
          <w:p w14:paraId="182ABE63">
            <w:pPr>
              <w:pStyle w:val="14"/>
            </w:pPr>
          </w:p>
        </w:tc>
      </w:tr>
      <w:tr w14:paraId="6488E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C004D">
            <w:pPr>
              <w:pStyle w:val="12"/>
            </w:pPr>
            <w:r>
              <w:t>7</w:t>
            </w:r>
          </w:p>
        </w:tc>
        <w:tc>
          <w:tcPr>
            <w:tcW w:w="1191" w:type="dxa"/>
            <w:vAlign w:val="center"/>
          </w:tcPr>
          <w:p w14:paraId="2F26ECB7">
            <w:pPr>
              <w:pStyle w:val="13"/>
            </w:pPr>
            <w:r>
              <w:t>30110</w:t>
            </w:r>
          </w:p>
        </w:tc>
        <w:tc>
          <w:tcPr>
            <w:tcW w:w="4535" w:type="dxa"/>
            <w:vAlign w:val="center"/>
          </w:tcPr>
          <w:p w14:paraId="0B7F2FEB">
            <w:pPr>
              <w:pStyle w:val="13"/>
            </w:pPr>
            <w:r>
              <w:t>职工基本医疗保险缴费</w:t>
            </w:r>
          </w:p>
        </w:tc>
        <w:tc>
          <w:tcPr>
            <w:tcW w:w="2551" w:type="dxa"/>
            <w:vAlign w:val="center"/>
          </w:tcPr>
          <w:p w14:paraId="10007221">
            <w:pPr>
              <w:pStyle w:val="14"/>
            </w:pPr>
            <w:r>
              <w:t>185.58</w:t>
            </w:r>
          </w:p>
        </w:tc>
        <w:tc>
          <w:tcPr>
            <w:tcW w:w="2551" w:type="dxa"/>
            <w:vAlign w:val="center"/>
          </w:tcPr>
          <w:p w14:paraId="71A41897">
            <w:pPr>
              <w:pStyle w:val="14"/>
            </w:pPr>
            <w:r>
              <w:t>185.58</w:t>
            </w:r>
          </w:p>
        </w:tc>
        <w:tc>
          <w:tcPr>
            <w:tcW w:w="2551" w:type="dxa"/>
            <w:vAlign w:val="center"/>
          </w:tcPr>
          <w:p w14:paraId="4344CC2E">
            <w:pPr>
              <w:pStyle w:val="14"/>
            </w:pPr>
          </w:p>
        </w:tc>
      </w:tr>
      <w:tr w14:paraId="5C048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79E2C">
            <w:pPr>
              <w:pStyle w:val="12"/>
            </w:pPr>
            <w:r>
              <w:t>8</w:t>
            </w:r>
          </w:p>
        </w:tc>
        <w:tc>
          <w:tcPr>
            <w:tcW w:w="1191" w:type="dxa"/>
            <w:vAlign w:val="center"/>
          </w:tcPr>
          <w:p w14:paraId="2929FAB7">
            <w:pPr>
              <w:pStyle w:val="13"/>
            </w:pPr>
            <w:r>
              <w:t>30112</w:t>
            </w:r>
          </w:p>
        </w:tc>
        <w:tc>
          <w:tcPr>
            <w:tcW w:w="4535" w:type="dxa"/>
            <w:vAlign w:val="center"/>
          </w:tcPr>
          <w:p w14:paraId="3676B6E7">
            <w:pPr>
              <w:pStyle w:val="13"/>
            </w:pPr>
            <w:r>
              <w:t>其他社会保障缴费</w:t>
            </w:r>
          </w:p>
        </w:tc>
        <w:tc>
          <w:tcPr>
            <w:tcW w:w="2551" w:type="dxa"/>
            <w:vAlign w:val="center"/>
          </w:tcPr>
          <w:p w14:paraId="1966EC97">
            <w:pPr>
              <w:pStyle w:val="14"/>
            </w:pPr>
            <w:r>
              <w:t>1.37</w:t>
            </w:r>
          </w:p>
        </w:tc>
        <w:tc>
          <w:tcPr>
            <w:tcW w:w="2551" w:type="dxa"/>
            <w:vAlign w:val="center"/>
          </w:tcPr>
          <w:p w14:paraId="5145E638">
            <w:pPr>
              <w:pStyle w:val="14"/>
            </w:pPr>
            <w:r>
              <w:t>1.37</w:t>
            </w:r>
          </w:p>
        </w:tc>
        <w:tc>
          <w:tcPr>
            <w:tcW w:w="2551" w:type="dxa"/>
            <w:vAlign w:val="center"/>
          </w:tcPr>
          <w:p w14:paraId="2414B801">
            <w:pPr>
              <w:pStyle w:val="14"/>
            </w:pPr>
          </w:p>
        </w:tc>
      </w:tr>
      <w:tr w14:paraId="4A54D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340EC">
            <w:pPr>
              <w:pStyle w:val="12"/>
            </w:pPr>
            <w:r>
              <w:t>9</w:t>
            </w:r>
          </w:p>
        </w:tc>
        <w:tc>
          <w:tcPr>
            <w:tcW w:w="1191" w:type="dxa"/>
            <w:vAlign w:val="center"/>
          </w:tcPr>
          <w:p w14:paraId="381B3E3B">
            <w:pPr>
              <w:pStyle w:val="13"/>
            </w:pPr>
            <w:r>
              <w:t>30113</w:t>
            </w:r>
          </w:p>
        </w:tc>
        <w:tc>
          <w:tcPr>
            <w:tcW w:w="4535" w:type="dxa"/>
            <w:vAlign w:val="center"/>
          </w:tcPr>
          <w:p w14:paraId="7DAFA377">
            <w:pPr>
              <w:pStyle w:val="13"/>
            </w:pPr>
            <w:r>
              <w:t>住房公积金</w:t>
            </w:r>
          </w:p>
        </w:tc>
        <w:tc>
          <w:tcPr>
            <w:tcW w:w="2551" w:type="dxa"/>
            <w:vAlign w:val="center"/>
          </w:tcPr>
          <w:p w14:paraId="5FABA5AF">
            <w:pPr>
              <w:pStyle w:val="14"/>
            </w:pPr>
            <w:r>
              <w:t>11.02</w:t>
            </w:r>
          </w:p>
        </w:tc>
        <w:tc>
          <w:tcPr>
            <w:tcW w:w="2551" w:type="dxa"/>
            <w:vAlign w:val="center"/>
          </w:tcPr>
          <w:p w14:paraId="424B59A4">
            <w:pPr>
              <w:pStyle w:val="14"/>
            </w:pPr>
            <w:r>
              <w:t>11.02</w:t>
            </w:r>
          </w:p>
        </w:tc>
        <w:tc>
          <w:tcPr>
            <w:tcW w:w="2551" w:type="dxa"/>
            <w:vAlign w:val="center"/>
          </w:tcPr>
          <w:p w14:paraId="34B35936">
            <w:pPr>
              <w:pStyle w:val="14"/>
            </w:pPr>
          </w:p>
        </w:tc>
      </w:tr>
    </w:tbl>
    <w:p w14:paraId="4897FA00">
      <w:pPr>
        <w:sectPr>
          <w:pgSz w:w="16840" w:h="11900" w:orient="landscape"/>
          <w:pgMar w:top="1361" w:right="1020" w:bottom="1134" w:left="1020" w:header="720" w:footer="720" w:gutter="0"/>
          <w:cols w:space="720" w:num="1"/>
        </w:sectPr>
      </w:pPr>
    </w:p>
    <w:p w14:paraId="48877E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1D1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17EEFF">
            <w:pPr>
              <w:pStyle w:val="8"/>
            </w:pPr>
            <w:r>
              <w:t>360039隆尧县唐尧街小学</w:t>
            </w:r>
          </w:p>
        </w:tc>
        <w:tc>
          <w:tcPr>
            <w:tcW w:w="2551" w:type="dxa"/>
            <w:tcBorders>
              <w:top w:val="single" w:color="FFFFFF" w:sz="6" w:space="0"/>
              <w:left w:val="single" w:color="FFFFFF" w:sz="6" w:space="0"/>
              <w:right w:val="single" w:color="FFFFFF" w:sz="6" w:space="0"/>
            </w:tcBorders>
            <w:vAlign w:val="center"/>
          </w:tcPr>
          <w:p w14:paraId="4275AC9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BB16605">
            <w:pPr>
              <w:pStyle w:val="10"/>
            </w:pPr>
            <w:r>
              <w:t>单位：万元</w:t>
            </w:r>
          </w:p>
        </w:tc>
      </w:tr>
      <w:tr w14:paraId="506BF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3F4DE0">
            <w:pPr>
              <w:pStyle w:val="11"/>
            </w:pPr>
            <w:r>
              <w:t>序号</w:t>
            </w:r>
          </w:p>
        </w:tc>
        <w:tc>
          <w:tcPr>
            <w:tcW w:w="5726" w:type="dxa"/>
            <w:gridSpan w:val="2"/>
            <w:vAlign w:val="center"/>
          </w:tcPr>
          <w:p w14:paraId="79CA5D4D">
            <w:pPr>
              <w:pStyle w:val="11"/>
            </w:pPr>
            <w:r>
              <w:t>功能分类科目</w:t>
            </w:r>
          </w:p>
        </w:tc>
        <w:tc>
          <w:tcPr>
            <w:tcW w:w="2551" w:type="dxa"/>
            <w:vMerge w:val="restart"/>
            <w:vAlign w:val="center"/>
          </w:tcPr>
          <w:p w14:paraId="020B7A7E">
            <w:pPr>
              <w:pStyle w:val="11"/>
            </w:pPr>
            <w:r>
              <w:t>合计</w:t>
            </w:r>
          </w:p>
        </w:tc>
        <w:tc>
          <w:tcPr>
            <w:tcW w:w="2551" w:type="dxa"/>
            <w:vMerge w:val="restart"/>
            <w:vAlign w:val="center"/>
          </w:tcPr>
          <w:p w14:paraId="6A2914D6">
            <w:pPr>
              <w:pStyle w:val="11"/>
            </w:pPr>
            <w:r>
              <w:t>基本支出</w:t>
            </w:r>
          </w:p>
        </w:tc>
        <w:tc>
          <w:tcPr>
            <w:tcW w:w="2551" w:type="dxa"/>
            <w:vMerge w:val="restart"/>
            <w:vAlign w:val="center"/>
          </w:tcPr>
          <w:p w14:paraId="5BAC8591">
            <w:pPr>
              <w:pStyle w:val="11"/>
            </w:pPr>
            <w:r>
              <w:t>项目支出</w:t>
            </w:r>
          </w:p>
        </w:tc>
      </w:tr>
      <w:tr w14:paraId="36253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A515ED"/>
        </w:tc>
        <w:tc>
          <w:tcPr>
            <w:tcW w:w="1191" w:type="dxa"/>
            <w:vAlign w:val="center"/>
          </w:tcPr>
          <w:p w14:paraId="3FA9694C">
            <w:pPr>
              <w:pStyle w:val="11"/>
            </w:pPr>
            <w:r>
              <w:t>科目编码</w:t>
            </w:r>
          </w:p>
        </w:tc>
        <w:tc>
          <w:tcPr>
            <w:tcW w:w="4535" w:type="dxa"/>
            <w:vAlign w:val="center"/>
          </w:tcPr>
          <w:p w14:paraId="697CC583">
            <w:pPr>
              <w:pStyle w:val="11"/>
            </w:pPr>
            <w:r>
              <w:t>科目名称</w:t>
            </w:r>
          </w:p>
        </w:tc>
        <w:tc>
          <w:tcPr>
            <w:tcW w:w="2551" w:type="dxa"/>
            <w:vMerge w:val="continue"/>
          </w:tcPr>
          <w:p w14:paraId="274CA859"/>
        </w:tc>
        <w:tc>
          <w:tcPr>
            <w:tcW w:w="2551" w:type="dxa"/>
            <w:vMerge w:val="continue"/>
          </w:tcPr>
          <w:p w14:paraId="5AED89B5"/>
        </w:tc>
        <w:tc>
          <w:tcPr>
            <w:tcW w:w="2551" w:type="dxa"/>
            <w:vMerge w:val="continue"/>
          </w:tcPr>
          <w:p w14:paraId="7B9B5B53"/>
        </w:tc>
      </w:tr>
      <w:tr w14:paraId="7E2E9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0959D6">
            <w:pPr>
              <w:pStyle w:val="11"/>
            </w:pPr>
            <w:r>
              <w:t>栏次</w:t>
            </w:r>
          </w:p>
        </w:tc>
        <w:tc>
          <w:tcPr>
            <w:tcW w:w="1191" w:type="dxa"/>
            <w:vAlign w:val="center"/>
          </w:tcPr>
          <w:p w14:paraId="551FA261">
            <w:pPr>
              <w:pStyle w:val="11"/>
            </w:pPr>
            <w:r>
              <w:t>1</w:t>
            </w:r>
          </w:p>
        </w:tc>
        <w:tc>
          <w:tcPr>
            <w:tcW w:w="4535" w:type="dxa"/>
            <w:vAlign w:val="center"/>
          </w:tcPr>
          <w:p w14:paraId="65F0C550">
            <w:pPr>
              <w:pStyle w:val="11"/>
            </w:pPr>
            <w:r>
              <w:t>2</w:t>
            </w:r>
          </w:p>
        </w:tc>
        <w:tc>
          <w:tcPr>
            <w:tcW w:w="2551" w:type="dxa"/>
            <w:vAlign w:val="center"/>
          </w:tcPr>
          <w:p w14:paraId="5032CF84">
            <w:pPr>
              <w:pStyle w:val="11"/>
            </w:pPr>
            <w:r>
              <w:t>3</w:t>
            </w:r>
          </w:p>
        </w:tc>
        <w:tc>
          <w:tcPr>
            <w:tcW w:w="2551" w:type="dxa"/>
            <w:vAlign w:val="center"/>
          </w:tcPr>
          <w:p w14:paraId="53C48D51">
            <w:pPr>
              <w:pStyle w:val="11"/>
            </w:pPr>
            <w:r>
              <w:t>4</w:t>
            </w:r>
          </w:p>
        </w:tc>
        <w:tc>
          <w:tcPr>
            <w:tcW w:w="2551" w:type="dxa"/>
            <w:vAlign w:val="center"/>
          </w:tcPr>
          <w:p w14:paraId="46F0358E">
            <w:pPr>
              <w:pStyle w:val="11"/>
            </w:pPr>
            <w:r>
              <w:t>5</w:t>
            </w:r>
          </w:p>
        </w:tc>
      </w:tr>
      <w:tr w14:paraId="64E54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79F35">
            <w:pPr>
              <w:pStyle w:val="12"/>
            </w:pPr>
          </w:p>
        </w:tc>
        <w:tc>
          <w:tcPr>
            <w:tcW w:w="1191" w:type="dxa"/>
            <w:vAlign w:val="center"/>
          </w:tcPr>
          <w:p w14:paraId="316F5CCF">
            <w:pPr>
              <w:pStyle w:val="13"/>
            </w:pPr>
          </w:p>
        </w:tc>
        <w:tc>
          <w:tcPr>
            <w:tcW w:w="4535" w:type="dxa"/>
            <w:vAlign w:val="center"/>
          </w:tcPr>
          <w:p w14:paraId="39E963F1">
            <w:pPr>
              <w:pStyle w:val="13"/>
            </w:pPr>
          </w:p>
        </w:tc>
        <w:tc>
          <w:tcPr>
            <w:tcW w:w="2551" w:type="dxa"/>
            <w:vAlign w:val="center"/>
          </w:tcPr>
          <w:p w14:paraId="31373869">
            <w:pPr>
              <w:pStyle w:val="14"/>
            </w:pPr>
          </w:p>
        </w:tc>
        <w:tc>
          <w:tcPr>
            <w:tcW w:w="2551" w:type="dxa"/>
            <w:vAlign w:val="center"/>
          </w:tcPr>
          <w:p w14:paraId="1184A4EC">
            <w:pPr>
              <w:pStyle w:val="14"/>
            </w:pPr>
          </w:p>
        </w:tc>
        <w:tc>
          <w:tcPr>
            <w:tcW w:w="2551" w:type="dxa"/>
            <w:vAlign w:val="center"/>
          </w:tcPr>
          <w:p w14:paraId="2E04D80B">
            <w:pPr>
              <w:pStyle w:val="14"/>
            </w:pPr>
          </w:p>
        </w:tc>
      </w:tr>
    </w:tbl>
    <w:p w14:paraId="46B05A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0A40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883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2DFD49">
            <w:pPr>
              <w:pStyle w:val="8"/>
            </w:pPr>
            <w:r>
              <w:t>360039隆尧县唐尧街小学</w:t>
            </w:r>
          </w:p>
        </w:tc>
        <w:tc>
          <w:tcPr>
            <w:tcW w:w="2551" w:type="dxa"/>
            <w:tcBorders>
              <w:top w:val="single" w:color="FFFFFF" w:sz="6" w:space="0"/>
              <w:left w:val="single" w:color="FFFFFF" w:sz="6" w:space="0"/>
              <w:right w:val="single" w:color="FFFFFF" w:sz="6" w:space="0"/>
            </w:tcBorders>
            <w:vAlign w:val="center"/>
          </w:tcPr>
          <w:p w14:paraId="7C94B50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1689043">
            <w:pPr>
              <w:pStyle w:val="10"/>
            </w:pPr>
            <w:r>
              <w:t>单位：万元</w:t>
            </w:r>
          </w:p>
        </w:tc>
      </w:tr>
      <w:tr w14:paraId="15418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CD76C">
            <w:pPr>
              <w:pStyle w:val="11"/>
            </w:pPr>
            <w:r>
              <w:t>序号</w:t>
            </w:r>
          </w:p>
        </w:tc>
        <w:tc>
          <w:tcPr>
            <w:tcW w:w="5726" w:type="dxa"/>
            <w:gridSpan w:val="2"/>
            <w:vAlign w:val="center"/>
          </w:tcPr>
          <w:p w14:paraId="3B1960E1">
            <w:pPr>
              <w:pStyle w:val="11"/>
            </w:pPr>
            <w:r>
              <w:t>功能分类科目</w:t>
            </w:r>
          </w:p>
        </w:tc>
        <w:tc>
          <w:tcPr>
            <w:tcW w:w="2551" w:type="dxa"/>
            <w:vMerge w:val="restart"/>
            <w:vAlign w:val="center"/>
          </w:tcPr>
          <w:p w14:paraId="381EC32D">
            <w:pPr>
              <w:pStyle w:val="11"/>
            </w:pPr>
            <w:r>
              <w:t>合计</w:t>
            </w:r>
          </w:p>
        </w:tc>
        <w:tc>
          <w:tcPr>
            <w:tcW w:w="2551" w:type="dxa"/>
            <w:vMerge w:val="restart"/>
            <w:vAlign w:val="center"/>
          </w:tcPr>
          <w:p w14:paraId="0B3E8F8C">
            <w:pPr>
              <w:pStyle w:val="11"/>
            </w:pPr>
            <w:r>
              <w:t>基本支出</w:t>
            </w:r>
          </w:p>
        </w:tc>
        <w:tc>
          <w:tcPr>
            <w:tcW w:w="2551" w:type="dxa"/>
            <w:vMerge w:val="restart"/>
            <w:vAlign w:val="center"/>
          </w:tcPr>
          <w:p w14:paraId="0D747397">
            <w:pPr>
              <w:pStyle w:val="11"/>
            </w:pPr>
            <w:r>
              <w:t>项目支出</w:t>
            </w:r>
          </w:p>
        </w:tc>
      </w:tr>
      <w:tr w14:paraId="188B8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EDAB75"/>
        </w:tc>
        <w:tc>
          <w:tcPr>
            <w:tcW w:w="1191" w:type="dxa"/>
            <w:vAlign w:val="center"/>
          </w:tcPr>
          <w:p w14:paraId="71679E0B">
            <w:pPr>
              <w:pStyle w:val="11"/>
            </w:pPr>
            <w:r>
              <w:t>科目编码</w:t>
            </w:r>
          </w:p>
        </w:tc>
        <w:tc>
          <w:tcPr>
            <w:tcW w:w="4535" w:type="dxa"/>
            <w:vAlign w:val="center"/>
          </w:tcPr>
          <w:p w14:paraId="7C4FC5B1">
            <w:pPr>
              <w:pStyle w:val="11"/>
            </w:pPr>
            <w:r>
              <w:t>科目名称</w:t>
            </w:r>
          </w:p>
        </w:tc>
        <w:tc>
          <w:tcPr>
            <w:tcW w:w="2551" w:type="dxa"/>
            <w:vMerge w:val="continue"/>
          </w:tcPr>
          <w:p w14:paraId="64D59C04"/>
        </w:tc>
        <w:tc>
          <w:tcPr>
            <w:tcW w:w="2551" w:type="dxa"/>
            <w:vMerge w:val="continue"/>
          </w:tcPr>
          <w:p w14:paraId="67A44ABA"/>
        </w:tc>
        <w:tc>
          <w:tcPr>
            <w:tcW w:w="2551" w:type="dxa"/>
            <w:vMerge w:val="continue"/>
          </w:tcPr>
          <w:p w14:paraId="05B4E8DA"/>
        </w:tc>
      </w:tr>
      <w:tr w14:paraId="3D206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767668">
            <w:pPr>
              <w:pStyle w:val="11"/>
            </w:pPr>
            <w:r>
              <w:t>栏次</w:t>
            </w:r>
          </w:p>
        </w:tc>
        <w:tc>
          <w:tcPr>
            <w:tcW w:w="1191" w:type="dxa"/>
            <w:vAlign w:val="center"/>
          </w:tcPr>
          <w:p w14:paraId="3A710D69">
            <w:pPr>
              <w:pStyle w:val="11"/>
            </w:pPr>
            <w:r>
              <w:t>1</w:t>
            </w:r>
          </w:p>
        </w:tc>
        <w:tc>
          <w:tcPr>
            <w:tcW w:w="4535" w:type="dxa"/>
            <w:vAlign w:val="center"/>
          </w:tcPr>
          <w:p w14:paraId="3B7E329F">
            <w:pPr>
              <w:pStyle w:val="11"/>
            </w:pPr>
            <w:r>
              <w:t>2</w:t>
            </w:r>
          </w:p>
        </w:tc>
        <w:tc>
          <w:tcPr>
            <w:tcW w:w="2551" w:type="dxa"/>
            <w:vAlign w:val="center"/>
          </w:tcPr>
          <w:p w14:paraId="244B0AAC">
            <w:pPr>
              <w:pStyle w:val="11"/>
            </w:pPr>
            <w:r>
              <w:t>3</w:t>
            </w:r>
          </w:p>
        </w:tc>
        <w:tc>
          <w:tcPr>
            <w:tcW w:w="2551" w:type="dxa"/>
            <w:vAlign w:val="center"/>
          </w:tcPr>
          <w:p w14:paraId="34130412">
            <w:pPr>
              <w:pStyle w:val="11"/>
            </w:pPr>
            <w:r>
              <w:t>4</w:t>
            </w:r>
          </w:p>
        </w:tc>
        <w:tc>
          <w:tcPr>
            <w:tcW w:w="2551" w:type="dxa"/>
            <w:vAlign w:val="center"/>
          </w:tcPr>
          <w:p w14:paraId="703E8453">
            <w:pPr>
              <w:pStyle w:val="11"/>
            </w:pPr>
            <w:r>
              <w:t>5</w:t>
            </w:r>
          </w:p>
        </w:tc>
      </w:tr>
      <w:tr w14:paraId="4744E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A9B17">
            <w:pPr>
              <w:pStyle w:val="12"/>
            </w:pPr>
          </w:p>
        </w:tc>
        <w:tc>
          <w:tcPr>
            <w:tcW w:w="1191" w:type="dxa"/>
            <w:vAlign w:val="center"/>
          </w:tcPr>
          <w:p w14:paraId="0F58C4B9">
            <w:pPr>
              <w:pStyle w:val="13"/>
            </w:pPr>
          </w:p>
        </w:tc>
        <w:tc>
          <w:tcPr>
            <w:tcW w:w="4535" w:type="dxa"/>
            <w:vAlign w:val="center"/>
          </w:tcPr>
          <w:p w14:paraId="3CCEDDE0">
            <w:pPr>
              <w:pStyle w:val="13"/>
            </w:pPr>
          </w:p>
        </w:tc>
        <w:tc>
          <w:tcPr>
            <w:tcW w:w="2551" w:type="dxa"/>
            <w:vAlign w:val="center"/>
          </w:tcPr>
          <w:p w14:paraId="45299063">
            <w:pPr>
              <w:pStyle w:val="14"/>
            </w:pPr>
          </w:p>
        </w:tc>
        <w:tc>
          <w:tcPr>
            <w:tcW w:w="2551" w:type="dxa"/>
            <w:vAlign w:val="center"/>
          </w:tcPr>
          <w:p w14:paraId="2B5CE344">
            <w:pPr>
              <w:pStyle w:val="14"/>
            </w:pPr>
          </w:p>
        </w:tc>
        <w:tc>
          <w:tcPr>
            <w:tcW w:w="2551" w:type="dxa"/>
            <w:vAlign w:val="center"/>
          </w:tcPr>
          <w:p w14:paraId="22AD2231">
            <w:pPr>
              <w:pStyle w:val="14"/>
            </w:pPr>
          </w:p>
        </w:tc>
      </w:tr>
    </w:tbl>
    <w:p w14:paraId="1FCD8D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10B0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F70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A27D2D">
            <w:pPr>
              <w:pStyle w:val="8"/>
            </w:pPr>
            <w:r>
              <w:t>360039隆尧县唐尧街小学</w:t>
            </w:r>
          </w:p>
        </w:tc>
        <w:tc>
          <w:tcPr>
            <w:tcW w:w="2381" w:type="dxa"/>
            <w:tcBorders>
              <w:top w:val="single" w:color="FFFFFF" w:sz="6" w:space="0"/>
              <w:left w:val="single" w:color="FFFFFF" w:sz="6" w:space="0"/>
              <w:right w:val="single" w:color="FFFFFF" w:sz="6" w:space="0"/>
            </w:tcBorders>
            <w:vAlign w:val="center"/>
          </w:tcPr>
          <w:p w14:paraId="0CD262B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DA4F67E">
            <w:pPr>
              <w:pStyle w:val="10"/>
            </w:pPr>
            <w:r>
              <w:t>单位：万元</w:t>
            </w:r>
          </w:p>
        </w:tc>
      </w:tr>
      <w:tr w14:paraId="620C6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78A382">
            <w:pPr>
              <w:pStyle w:val="11"/>
            </w:pPr>
            <w:r>
              <w:t>序号</w:t>
            </w:r>
          </w:p>
        </w:tc>
        <w:tc>
          <w:tcPr>
            <w:tcW w:w="3798" w:type="dxa"/>
            <w:vMerge w:val="restart"/>
            <w:vAlign w:val="center"/>
          </w:tcPr>
          <w:p w14:paraId="5BB14563">
            <w:pPr>
              <w:pStyle w:val="11"/>
            </w:pPr>
            <w:r>
              <w:t>项  目</w:t>
            </w:r>
          </w:p>
        </w:tc>
        <w:tc>
          <w:tcPr>
            <w:tcW w:w="9524" w:type="dxa"/>
            <w:gridSpan w:val="4"/>
            <w:vAlign w:val="center"/>
          </w:tcPr>
          <w:p w14:paraId="04E6864A">
            <w:pPr>
              <w:pStyle w:val="11"/>
            </w:pPr>
            <w:r>
              <w:t>资 金 性 质</w:t>
            </w:r>
          </w:p>
        </w:tc>
      </w:tr>
      <w:tr w14:paraId="7F572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74F521"/>
        </w:tc>
        <w:tc>
          <w:tcPr>
            <w:tcW w:w="3798" w:type="dxa"/>
            <w:vMerge w:val="continue"/>
          </w:tcPr>
          <w:p w14:paraId="40875A42"/>
        </w:tc>
        <w:tc>
          <w:tcPr>
            <w:tcW w:w="2381" w:type="dxa"/>
            <w:vAlign w:val="center"/>
          </w:tcPr>
          <w:p w14:paraId="1682F31B">
            <w:pPr>
              <w:pStyle w:val="11"/>
            </w:pPr>
            <w:r>
              <w:t>合计</w:t>
            </w:r>
          </w:p>
        </w:tc>
        <w:tc>
          <w:tcPr>
            <w:tcW w:w="2381" w:type="dxa"/>
            <w:vAlign w:val="center"/>
          </w:tcPr>
          <w:p w14:paraId="56D45325">
            <w:pPr>
              <w:pStyle w:val="11"/>
            </w:pPr>
            <w:r>
              <w:t>一般公共预算              财政拨款</w:t>
            </w:r>
          </w:p>
        </w:tc>
        <w:tc>
          <w:tcPr>
            <w:tcW w:w="2381" w:type="dxa"/>
            <w:vAlign w:val="center"/>
          </w:tcPr>
          <w:p w14:paraId="25061DBC">
            <w:pPr>
              <w:pStyle w:val="11"/>
            </w:pPr>
            <w:r>
              <w:t>政府性基金                  预算拨款</w:t>
            </w:r>
          </w:p>
        </w:tc>
        <w:tc>
          <w:tcPr>
            <w:tcW w:w="2381" w:type="dxa"/>
            <w:vAlign w:val="center"/>
          </w:tcPr>
          <w:p w14:paraId="2A97F85D">
            <w:pPr>
              <w:pStyle w:val="11"/>
            </w:pPr>
            <w:r>
              <w:t>国有资本经营              预算财政拨款</w:t>
            </w:r>
          </w:p>
        </w:tc>
      </w:tr>
      <w:tr w14:paraId="2A487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1D5774">
            <w:pPr>
              <w:pStyle w:val="11"/>
            </w:pPr>
            <w:r>
              <w:t>栏次</w:t>
            </w:r>
          </w:p>
        </w:tc>
        <w:tc>
          <w:tcPr>
            <w:tcW w:w="3798" w:type="dxa"/>
            <w:vAlign w:val="center"/>
          </w:tcPr>
          <w:p w14:paraId="464DBDC4">
            <w:pPr>
              <w:pStyle w:val="11"/>
            </w:pPr>
            <w:r>
              <w:t>1</w:t>
            </w:r>
          </w:p>
        </w:tc>
        <w:tc>
          <w:tcPr>
            <w:tcW w:w="2381" w:type="dxa"/>
            <w:vAlign w:val="center"/>
          </w:tcPr>
          <w:p w14:paraId="31738D36">
            <w:pPr>
              <w:pStyle w:val="11"/>
            </w:pPr>
            <w:r>
              <w:t>2</w:t>
            </w:r>
          </w:p>
        </w:tc>
        <w:tc>
          <w:tcPr>
            <w:tcW w:w="2381" w:type="dxa"/>
            <w:vAlign w:val="center"/>
          </w:tcPr>
          <w:p w14:paraId="239D6792">
            <w:pPr>
              <w:pStyle w:val="11"/>
            </w:pPr>
            <w:r>
              <w:t>3</w:t>
            </w:r>
          </w:p>
        </w:tc>
        <w:tc>
          <w:tcPr>
            <w:tcW w:w="2381" w:type="dxa"/>
            <w:vAlign w:val="center"/>
          </w:tcPr>
          <w:p w14:paraId="3D28846F">
            <w:pPr>
              <w:pStyle w:val="11"/>
            </w:pPr>
            <w:r>
              <w:t>4</w:t>
            </w:r>
          </w:p>
        </w:tc>
        <w:tc>
          <w:tcPr>
            <w:tcW w:w="2381" w:type="dxa"/>
            <w:vAlign w:val="center"/>
          </w:tcPr>
          <w:p w14:paraId="0C47B072">
            <w:pPr>
              <w:pStyle w:val="11"/>
            </w:pPr>
            <w:r>
              <w:t>5</w:t>
            </w:r>
          </w:p>
        </w:tc>
      </w:tr>
      <w:tr w14:paraId="658FB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F69396">
            <w:pPr>
              <w:pStyle w:val="12"/>
            </w:pPr>
          </w:p>
        </w:tc>
        <w:tc>
          <w:tcPr>
            <w:tcW w:w="3798" w:type="dxa"/>
            <w:vAlign w:val="center"/>
          </w:tcPr>
          <w:p w14:paraId="1AC41447">
            <w:pPr>
              <w:pStyle w:val="13"/>
            </w:pPr>
          </w:p>
        </w:tc>
        <w:tc>
          <w:tcPr>
            <w:tcW w:w="2381" w:type="dxa"/>
            <w:vAlign w:val="center"/>
          </w:tcPr>
          <w:p w14:paraId="0C388269">
            <w:pPr>
              <w:pStyle w:val="14"/>
            </w:pPr>
          </w:p>
        </w:tc>
        <w:tc>
          <w:tcPr>
            <w:tcW w:w="2381" w:type="dxa"/>
            <w:vAlign w:val="center"/>
          </w:tcPr>
          <w:p w14:paraId="6186FF1C">
            <w:pPr>
              <w:pStyle w:val="14"/>
            </w:pPr>
          </w:p>
        </w:tc>
        <w:tc>
          <w:tcPr>
            <w:tcW w:w="2381" w:type="dxa"/>
            <w:vAlign w:val="center"/>
          </w:tcPr>
          <w:p w14:paraId="4DED1900">
            <w:pPr>
              <w:pStyle w:val="14"/>
            </w:pPr>
          </w:p>
        </w:tc>
        <w:tc>
          <w:tcPr>
            <w:tcW w:w="2381" w:type="dxa"/>
            <w:vAlign w:val="center"/>
          </w:tcPr>
          <w:p w14:paraId="2D68A153">
            <w:pPr>
              <w:pStyle w:val="14"/>
            </w:pPr>
          </w:p>
        </w:tc>
      </w:tr>
    </w:tbl>
    <w:p w14:paraId="34577B4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AB61FCA">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隆尧县唐尧街小学2025年单位预算信息公开情况说明</w:t>
      </w:r>
    </w:p>
    <w:p w14:paraId="14E0F39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按照《中华人民共和国预算法》、《地方预决算公开操作规程》和《关于进一步推进预算公开工作的实施意见》规定，现将隆尧县唐尧街小学2025年单位预算公开如下：</w:t>
      </w:r>
    </w:p>
    <w:p w14:paraId="30FA85BF">
      <w:pPr>
        <w:spacing w:before="10" w:after="10" w:line="240" w:lineRule="auto"/>
        <w:ind w:firstLine="640"/>
        <w:jc w:val="left"/>
        <w:outlineLvl w:val="5"/>
      </w:pPr>
      <w:r>
        <w:rPr>
          <w:rFonts w:ascii="黑体" w:hAnsi="黑体" w:eastAsia="黑体" w:cs="黑体"/>
          <w:color w:val="000000"/>
          <w:sz w:val="32"/>
        </w:rPr>
        <w:t>一、单位职责及机构设置情况</w:t>
      </w:r>
    </w:p>
    <w:p w14:paraId="5C1C842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59ACB1">
      <w:pPr>
        <w:pStyle w:val="18"/>
      </w:pPr>
      <w:r>
        <w:t>贯彻落实基础教育的方针、政策，开展小学阶段教育教学工作，促进学生德、智、体、美、劳全面发展；负责学生安全教育和管理，确保学生身心健康；加强教师队伍建设和管理，为教育教学工作提供保障。</w:t>
      </w:r>
    </w:p>
    <w:p w14:paraId="5B9943CE">
      <w:pPr>
        <w:pStyle w:val="18"/>
      </w:pPr>
      <w:r>
        <w:t>隆尧县</w:t>
      </w:r>
      <w:r>
        <w:rPr>
          <w:rFonts w:hint="eastAsia"/>
          <w:lang w:val="en-US" w:eastAsia="zh-CN"/>
        </w:rPr>
        <w:t>唐尧街</w:t>
      </w:r>
      <w:r>
        <w:t>小学事业编制</w:t>
      </w:r>
      <w:r>
        <w:rPr>
          <w:rFonts w:hint="eastAsia"/>
          <w:lang w:val="en-US" w:eastAsia="zh-CN"/>
        </w:rPr>
        <w:t>39</w:t>
      </w:r>
      <w:r>
        <w:t>名．其中，校长1名（正股级），副校长</w:t>
      </w:r>
      <w:r>
        <w:rPr>
          <w:rFonts w:hint="eastAsia"/>
          <w:lang w:val="en-US" w:eastAsia="zh-CN"/>
        </w:rPr>
        <w:t>2</w:t>
      </w:r>
      <w:r>
        <w:t>名（副股级）；经费形式为财政性资金基本保证。</w:t>
      </w:r>
    </w:p>
    <w:p w14:paraId="196CF29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5C0EB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810C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47251D">
            <w:pPr>
              <w:pStyle w:val="11"/>
            </w:pPr>
            <w:r>
              <w:t>单位名称</w:t>
            </w:r>
          </w:p>
        </w:tc>
        <w:tc>
          <w:tcPr>
            <w:tcW w:w="1843" w:type="dxa"/>
            <w:vAlign w:val="center"/>
          </w:tcPr>
          <w:p w14:paraId="19031591">
            <w:pPr>
              <w:pStyle w:val="11"/>
            </w:pPr>
            <w:r>
              <w:t>单位性质</w:t>
            </w:r>
          </w:p>
        </w:tc>
        <w:tc>
          <w:tcPr>
            <w:tcW w:w="2126" w:type="dxa"/>
            <w:vAlign w:val="center"/>
          </w:tcPr>
          <w:p w14:paraId="7C109BE1">
            <w:pPr>
              <w:pStyle w:val="11"/>
            </w:pPr>
            <w:r>
              <w:t>单位规格</w:t>
            </w:r>
          </w:p>
        </w:tc>
        <w:tc>
          <w:tcPr>
            <w:tcW w:w="3827" w:type="dxa"/>
            <w:vAlign w:val="center"/>
          </w:tcPr>
          <w:p w14:paraId="06FBF198">
            <w:pPr>
              <w:pStyle w:val="11"/>
            </w:pPr>
            <w:r>
              <w:t>经费保障形式</w:t>
            </w:r>
          </w:p>
        </w:tc>
      </w:tr>
      <w:tr w14:paraId="328B2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8F19E9E">
            <w:pPr>
              <w:pStyle w:val="13"/>
            </w:pPr>
            <w:r>
              <w:t>隆尧县唐尧街小学</w:t>
            </w:r>
          </w:p>
        </w:tc>
        <w:tc>
          <w:tcPr>
            <w:tcW w:w="1843" w:type="dxa"/>
            <w:vAlign w:val="center"/>
          </w:tcPr>
          <w:p w14:paraId="3133C3D9">
            <w:pPr>
              <w:pStyle w:val="12"/>
            </w:pPr>
            <w:r>
              <w:t>事业</w:t>
            </w:r>
          </w:p>
        </w:tc>
        <w:tc>
          <w:tcPr>
            <w:tcW w:w="2126" w:type="dxa"/>
            <w:vAlign w:val="center"/>
          </w:tcPr>
          <w:p w14:paraId="19BBF2D4">
            <w:pPr>
              <w:pStyle w:val="12"/>
            </w:pPr>
            <w:r>
              <w:t>股级</w:t>
            </w:r>
          </w:p>
        </w:tc>
        <w:tc>
          <w:tcPr>
            <w:tcW w:w="3827" w:type="dxa"/>
            <w:vAlign w:val="center"/>
          </w:tcPr>
          <w:p w14:paraId="4D4B997D">
            <w:pPr>
              <w:pStyle w:val="12"/>
            </w:pPr>
            <w:r>
              <w:t>财政性资金基本保证</w:t>
            </w:r>
          </w:p>
        </w:tc>
      </w:tr>
    </w:tbl>
    <w:p w14:paraId="6F69B3BE">
      <w:pPr>
        <w:spacing w:before="10" w:after="10" w:line="240" w:lineRule="auto"/>
        <w:ind w:firstLine="640"/>
        <w:jc w:val="left"/>
        <w:outlineLvl w:val="5"/>
      </w:pPr>
      <w:r>
        <w:rPr>
          <w:rFonts w:ascii="黑体" w:hAnsi="黑体" w:eastAsia="黑体" w:cs="黑体"/>
          <w:color w:val="000000"/>
          <w:sz w:val="32"/>
        </w:rPr>
        <w:t>二、单位预算安排的总体情况</w:t>
      </w:r>
    </w:p>
    <w:p w14:paraId="3EE045AA">
      <w:pPr>
        <w:pStyle w:val="19"/>
      </w:pPr>
      <w:r>
        <w:t>按照预算管理有关规定，目前我校单位预算的编制实行综合预算管理，即全部收入和支出都反映的预算中。隆尧县唐尧街小学的收支包含在单位预算中。</w:t>
      </w:r>
    </w:p>
    <w:p w14:paraId="273D5032">
      <w:pPr>
        <w:pStyle w:val="19"/>
      </w:pPr>
      <w:r>
        <w:t>1、收入说明</w:t>
      </w:r>
    </w:p>
    <w:p w14:paraId="4C272718">
      <w:pPr>
        <w:pStyle w:val="19"/>
      </w:pPr>
      <w:r>
        <w:t>反映本单位当年全部收入。2025年预算收入712.02万元，其中：一般公共预算收入712.02万元，基金预算收入0万元，基金预算收入0万元，国有资本经营预算收入0万元，财政专户拨收入0万元，单位资金收入0万元，上年结转结余0万元。</w:t>
      </w:r>
    </w:p>
    <w:p w14:paraId="105B8F79">
      <w:pPr>
        <w:pStyle w:val="19"/>
      </w:pPr>
      <w:r>
        <w:t>2、支出说明</w:t>
      </w:r>
    </w:p>
    <w:p w14:paraId="7FC20037">
      <w:pPr>
        <w:pStyle w:val="19"/>
      </w:pPr>
      <w:r>
        <w:t>收支预算总表支出栏、基本支出表、项目支出表按经济分类和支出功能分类科目编制，反映隆尧县唐尧街小学年单位预算中支出预算的总体情况。2025年单位支出预算为712.02万元，其中基本支出438.41万元、项目支出273.61万元。主要为小学教育712.02万元。</w:t>
      </w:r>
    </w:p>
    <w:p w14:paraId="3D089C60">
      <w:pPr>
        <w:pStyle w:val="19"/>
      </w:pPr>
      <w:r>
        <w:t>3、比上年增减情况</w:t>
      </w:r>
    </w:p>
    <w:p w14:paraId="4DA62BCE">
      <w:pPr>
        <w:pStyle w:val="19"/>
      </w:pPr>
      <w:r>
        <w:t>2025年部门预算收支安排712.02万元，我单位为新增单位，无上年度数据。</w:t>
      </w:r>
    </w:p>
    <w:p w14:paraId="0A5B00DC">
      <w:pPr>
        <w:spacing w:before="10" w:after="10" w:line="240" w:lineRule="auto"/>
        <w:ind w:firstLine="640"/>
        <w:jc w:val="left"/>
        <w:outlineLvl w:val="5"/>
      </w:pPr>
      <w:r>
        <w:rPr>
          <w:rFonts w:ascii="黑体" w:hAnsi="黑体" w:eastAsia="黑体" w:cs="黑体"/>
          <w:color w:val="000000"/>
          <w:sz w:val="32"/>
        </w:rPr>
        <w:t>三、机关运行经费安排情况</w:t>
      </w:r>
    </w:p>
    <w:p w14:paraId="75ACAB9C">
      <w:pPr>
        <w:pStyle w:val="20"/>
      </w:pPr>
      <w:r>
        <w:t>我单位按学生安排公用经费，无机关运行经费。</w:t>
      </w:r>
    </w:p>
    <w:p w14:paraId="6E26C82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57BD5AE">
      <w:pPr>
        <w:pStyle w:val="21"/>
      </w:pPr>
      <w:r>
        <w:t>我单位未安排三公经费。</w:t>
      </w:r>
    </w:p>
    <w:p w14:paraId="767A317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0F30269">
      <w:pPr>
        <w:spacing w:before="0" w:after="0"/>
        <w:ind w:firstLine="560"/>
        <w:jc w:val="left"/>
        <w:outlineLvl w:val="9"/>
      </w:pPr>
      <w:r>
        <w:rPr>
          <w:rFonts w:ascii="方正仿宋_GBK" w:hAnsi="方正仿宋_GBK" w:eastAsia="方正仿宋_GBK" w:cs="方正仿宋_GBK"/>
          <w:b/>
          <w:color w:val="000000"/>
          <w:sz w:val="28"/>
        </w:rPr>
        <w:t>1、冀财教[2024]123号/中央/2025年义教补助经费/唐尧街小学公用经费绩效目标表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C3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98651">
            <w:pPr>
              <w:pStyle w:val="14"/>
            </w:pPr>
            <w:r>
              <w:t>单位：万元</w:t>
            </w:r>
          </w:p>
        </w:tc>
      </w:tr>
      <w:tr w14:paraId="33879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AA08A4">
            <w:pPr>
              <w:pStyle w:val="11"/>
            </w:pPr>
            <w:r>
              <w:t>项目编码</w:t>
            </w:r>
          </w:p>
        </w:tc>
        <w:tc>
          <w:tcPr>
            <w:tcW w:w="5103" w:type="dxa"/>
            <w:gridSpan w:val="2"/>
            <w:vAlign w:val="center"/>
          </w:tcPr>
          <w:p w14:paraId="4BF89D73">
            <w:pPr>
              <w:pStyle w:val="13"/>
            </w:pPr>
            <w:r>
              <w:t>13052525P000004100588</w:t>
            </w:r>
          </w:p>
        </w:tc>
        <w:tc>
          <w:tcPr>
            <w:tcW w:w="2835" w:type="dxa"/>
            <w:vAlign w:val="center"/>
          </w:tcPr>
          <w:p w14:paraId="6A93E3E3">
            <w:pPr>
              <w:pStyle w:val="11"/>
            </w:pPr>
            <w:r>
              <w:t>项目名称</w:t>
            </w:r>
          </w:p>
        </w:tc>
        <w:tc>
          <w:tcPr>
            <w:tcW w:w="6095" w:type="dxa"/>
            <w:gridSpan w:val="3"/>
            <w:vAlign w:val="center"/>
          </w:tcPr>
          <w:p w14:paraId="19DD30BA">
            <w:pPr>
              <w:pStyle w:val="13"/>
            </w:pPr>
            <w:r>
              <w:t>冀财教[2024]123号/中央/2025年义教补助经费/唐尧街小学公用经费</w:t>
            </w:r>
            <w:r>
              <w:tab/>
            </w:r>
            <w:r>
              <w:tab/>
            </w:r>
          </w:p>
          <w:p w14:paraId="35B94F9C">
            <w:pPr>
              <w:pStyle w:val="13"/>
            </w:pPr>
          </w:p>
        </w:tc>
      </w:tr>
      <w:tr w14:paraId="59EA2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76570">
            <w:pPr>
              <w:pStyle w:val="11"/>
            </w:pPr>
            <w:r>
              <w:t>预算规模及资金用途</w:t>
            </w:r>
          </w:p>
        </w:tc>
        <w:tc>
          <w:tcPr>
            <w:tcW w:w="2268" w:type="dxa"/>
            <w:vAlign w:val="center"/>
          </w:tcPr>
          <w:p w14:paraId="1DB11009">
            <w:pPr>
              <w:pStyle w:val="11"/>
            </w:pPr>
            <w:r>
              <w:t>预算数</w:t>
            </w:r>
          </w:p>
        </w:tc>
        <w:tc>
          <w:tcPr>
            <w:tcW w:w="2835" w:type="dxa"/>
            <w:vAlign w:val="center"/>
          </w:tcPr>
          <w:p w14:paraId="37E14C86">
            <w:pPr>
              <w:pStyle w:val="13"/>
            </w:pPr>
            <w:r>
              <w:t>62.00</w:t>
            </w:r>
          </w:p>
        </w:tc>
        <w:tc>
          <w:tcPr>
            <w:tcW w:w="2835" w:type="dxa"/>
            <w:vAlign w:val="center"/>
          </w:tcPr>
          <w:p w14:paraId="0EAB35FF">
            <w:pPr>
              <w:pStyle w:val="11"/>
            </w:pPr>
            <w:r>
              <w:t>其中：财政    资金</w:t>
            </w:r>
          </w:p>
        </w:tc>
        <w:tc>
          <w:tcPr>
            <w:tcW w:w="2551" w:type="dxa"/>
            <w:vAlign w:val="center"/>
          </w:tcPr>
          <w:p w14:paraId="4FE4C4D7">
            <w:pPr>
              <w:pStyle w:val="13"/>
            </w:pPr>
            <w:r>
              <w:t>62.00</w:t>
            </w:r>
          </w:p>
        </w:tc>
        <w:tc>
          <w:tcPr>
            <w:tcW w:w="2268" w:type="dxa"/>
            <w:vAlign w:val="center"/>
          </w:tcPr>
          <w:p w14:paraId="08311505">
            <w:pPr>
              <w:pStyle w:val="11"/>
            </w:pPr>
            <w:r>
              <w:t>其他资金</w:t>
            </w:r>
          </w:p>
        </w:tc>
        <w:tc>
          <w:tcPr>
            <w:tcW w:w="1276" w:type="dxa"/>
            <w:vAlign w:val="center"/>
          </w:tcPr>
          <w:p w14:paraId="63BCA6BF">
            <w:pPr>
              <w:pStyle w:val="13"/>
            </w:pPr>
            <w:r>
              <w:t xml:space="preserve"> </w:t>
            </w:r>
          </w:p>
        </w:tc>
      </w:tr>
      <w:tr w14:paraId="1BD47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32504"/>
        </w:tc>
        <w:tc>
          <w:tcPr>
            <w:tcW w:w="14033" w:type="dxa"/>
            <w:gridSpan w:val="6"/>
            <w:vAlign w:val="center"/>
          </w:tcPr>
          <w:p w14:paraId="61615678">
            <w:pPr>
              <w:pStyle w:val="13"/>
            </w:pPr>
            <w:r>
              <w:t>保障义务教育学校正常运转，完成教育教学活动和其他日常工作任务等方面的费用支出。</w:t>
            </w:r>
          </w:p>
        </w:tc>
      </w:tr>
      <w:tr w14:paraId="1E65F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5BBAF">
            <w:pPr>
              <w:pStyle w:val="11"/>
            </w:pPr>
            <w:r>
              <w:t>资金支出计划（%）</w:t>
            </w:r>
          </w:p>
        </w:tc>
        <w:tc>
          <w:tcPr>
            <w:tcW w:w="5103" w:type="dxa"/>
            <w:gridSpan w:val="2"/>
            <w:vAlign w:val="center"/>
          </w:tcPr>
          <w:p w14:paraId="21572C7D">
            <w:pPr>
              <w:pStyle w:val="11"/>
            </w:pPr>
            <w:r>
              <w:t>3月底</w:t>
            </w:r>
          </w:p>
        </w:tc>
        <w:tc>
          <w:tcPr>
            <w:tcW w:w="2835" w:type="dxa"/>
            <w:vAlign w:val="center"/>
          </w:tcPr>
          <w:p w14:paraId="73FE54AD">
            <w:pPr>
              <w:pStyle w:val="11"/>
            </w:pPr>
            <w:r>
              <w:t>6月底</w:t>
            </w:r>
          </w:p>
        </w:tc>
        <w:tc>
          <w:tcPr>
            <w:tcW w:w="2551" w:type="dxa"/>
            <w:vAlign w:val="center"/>
          </w:tcPr>
          <w:p w14:paraId="585C3FB5">
            <w:pPr>
              <w:pStyle w:val="11"/>
            </w:pPr>
            <w:r>
              <w:t>10月底</w:t>
            </w:r>
          </w:p>
        </w:tc>
        <w:tc>
          <w:tcPr>
            <w:tcW w:w="3544" w:type="dxa"/>
            <w:gridSpan w:val="2"/>
            <w:vAlign w:val="center"/>
          </w:tcPr>
          <w:p w14:paraId="48761E9F">
            <w:pPr>
              <w:pStyle w:val="11"/>
            </w:pPr>
            <w:r>
              <w:t>12月底</w:t>
            </w:r>
          </w:p>
        </w:tc>
      </w:tr>
      <w:tr w14:paraId="2E162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8CF823"/>
        </w:tc>
        <w:tc>
          <w:tcPr>
            <w:tcW w:w="5103" w:type="dxa"/>
            <w:gridSpan w:val="2"/>
            <w:vAlign w:val="center"/>
          </w:tcPr>
          <w:p w14:paraId="641ADAE2">
            <w:pPr>
              <w:pStyle w:val="12"/>
            </w:pPr>
            <w:r>
              <w:t>25%</w:t>
            </w:r>
          </w:p>
        </w:tc>
        <w:tc>
          <w:tcPr>
            <w:tcW w:w="2835" w:type="dxa"/>
            <w:vAlign w:val="center"/>
          </w:tcPr>
          <w:p w14:paraId="34C893FD">
            <w:pPr>
              <w:pStyle w:val="12"/>
            </w:pPr>
            <w:r>
              <w:t>50%</w:t>
            </w:r>
          </w:p>
        </w:tc>
        <w:tc>
          <w:tcPr>
            <w:tcW w:w="2551" w:type="dxa"/>
            <w:vAlign w:val="center"/>
          </w:tcPr>
          <w:p w14:paraId="0C6D4BB7">
            <w:pPr>
              <w:pStyle w:val="12"/>
            </w:pPr>
            <w:r>
              <w:t>75%</w:t>
            </w:r>
          </w:p>
        </w:tc>
        <w:tc>
          <w:tcPr>
            <w:tcW w:w="3544" w:type="dxa"/>
            <w:gridSpan w:val="2"/>
            <w:vAlign w:val="center"/>
          </w:tcPr>
          <w:p w14:paraId="26475A06">
            <w:pPr>
              <w:pStyle w:val="12"/>
            </w:pPr>
            <w:r>
              <w:t>100%</w:t>
            </w:r>
          </w:p>
        </w:tc>
      </w:tr>
      <w:tr w14:paraId="4BC5E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34997">
            <w:pPr>
              <w:pStyle w:val="11"/>
            </w:pPr>
            <w:r>
              <w:t>绩效目标</w:t>
            </w:r>
          </w:p>
        </w:tc>
        <w:tc>
          <w:tcPr>
            <w:tcW w:w="14033" w:type="dxa"/>
            <w:gridSpan w:val="6"/>
            <w:vAlign w:val="center"/>
          </w:tcPr>
          <w:p w14:paraId="7BFD57EB">
            <w:pPr>
              <w:pStyle w:val="13"/>
            </w:pPr>
            <w:r>
              <w:t>1.有效完成学校教学安全秩序，保障学校教学任务有效开展，满足学校正常教学需要。</w:t>
            </w:r>
          </w:p>
          <w:p w14:paraId="687951A8">
            <w:pPr>
              <w:pStyle w:val="13"/>
            </w:pPr>
            <w:r>
              <w:t>2.按规定拨付公用经费资金，预算执行率≥98%。</w:t>
            </w:r>
          </w:p>
        </w:tc>
      </w:tr>
    </w:tbl>
    <w:p w14:paraId="5A08A7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18"/>
        <w:gridCol w:w="2126"/>
      </w:tblGrid>
      <w:tr w14:paraId="4FDEE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3A4BB">
            <w:pPr>
              <w:pStyle w:val="11"/>
            </w:pPr>
            <w:r>
              <w:t>一级指标</w:t>
            </w:r>
          </w:p>
        </w:tc>
        <w:tc>
          <w:tcPr>
            <w:tcW w:w="2268" w:type="dxa"/>
            <w:vAlign w:val="center"/>
          </w:tcPr>
          <w:p w14:paraId="03E300FA">
            <w:pPr>
              <w:pStyle w:val="11"/>
            </w:pPr>
            <w:r>
              <w:t>二级指标</w:t>
            </w:r>
          </w:p>
        </w:tc>
        <w:tc>
          <w:tcPr>
            <w:tcW w:w="2835" w:type="dxa"/>
            <w:vAlign w:val="center"/>
          </w:tcPr>
          <w:p w14:paraId="38C9CBA7">
            <w:pPr>
              <w:pStyle w:val="11"/>
            </w:pPr>
            <w:r>
              <w:t>三级指标</w:t>
            </w:r>
          </w:p>
        </w:tc>
        <w:tc>
          <w:tcPr>
            <w:tcW w:w="5386" w:type="dxa"/>
            <w:vAlign w:val="center"/>
          </w:tcPr>
          <w:p w14:paraId="64D6A2EB">
            <w:pPr>
              <w:pStyle w:val="11"/>
            </w:pPr>
            <w:r>
              <w:t>绩效指标描述</w:t>
            </w:r>
          </w:p>
        </w:tc>
        <w:tc>
          <w:tcPr>
            <w:tcW w:w="1418" w:type="dxa"/>
            <w:vAlign w:val="center"/>
          </w:tcPr>
          <w:p w14:paraId="0C34705A">
            <w:pPr>
              <w:pStyle w:val="11"/>
            </w:pPr>
            <w:r>
              <w:t>指标值</w:t>
            </w:r>
          </w:p>
        </w:tc>
        <w:tc>
          <w:tcPr>
            <w:tcW w:w="2126" w:type="dxa"/>
            <w:vAlign w:val="center"/>
          </w:tcPr>
          <w:p w14:paraId="48C5F329">
            <w:pPr>
              <w:pStyle w:val="11"/>
            </w:pPr>
            <w:r>
              <w:t>指标值确定依据</w:t>
            </w:r>
          </w:p>
        </w:tc>
      </w:tr>
      <w:tr w14:paraId="73EAA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26B56">
            <w:pPr>
              <w:pStyle w:val="12"/>
            </w:pPr>
            <w:r>
              <w:t>产出指标</w:t>
            </w:r>
          </w:p>
        </w:tc>
        <w:tc>
          <w:tcPr>
            <w:tcW w:w="2268" w:type="dxa"/>
            <w:vAlign w:val="center"/>
          </w:tcPr>
          <w:p w14:paraId="39CF7B91">
            <w:pPr>
              <w:pStyle w:val="13"/>
            </w:pPr>
            <w:r>
              <w:t>成本指标</w:t>
            </w:r>
          </w:p>
        </w:tc>
        <w:tc>
          <w:tcPr>
            <w:tcW w:w="2835" w:type="dxa"/>
            <w:vAlign w:val="center"/>
          </w:tcPr>
          <w:p w14:paraId="048BC48F">
            <w:pPr>
              <w:pStyle w:val="13"/>
            </w:pPr>
            <w:r>
              <w:t>生均拨款标准</w:t>
            </w:r>
          </w:p>
        </w:tc>
        <w:tc>
          <w:tcPr>
            <w:tcW w:w="5386" w:type="dxa"/>
            <w:vAlign w:val="center"/>
          </w:tcPr>
          <w:p w14:paraId="3F6A1373">
            <w:pPr>
              <w:pStyle w:val="13"/>
            </w:pPr>
            <w:r>
              <w:t>小学生公用经费生均小学720元。取暖费140元/生/年，住宿生300元/生/年,随班就读学生补助7000元/生</w:t>
            </w:r>
          </w:p>
        </w:tc>
        <w:tc>
          <w:tcPr>
            <w:tcW w:w="1418" w:type="dxa"/>
            <w:vAlign w:val="center"/>
          </w:tcPr>
          <w:p w14:paraId="4109F966">
            <w:pPr>
              <w:pStyle w:val="13"/>
            </w:pPr>
            <w:r>
              <w:t>840元</w:t>
            </w:r>
          </w:p>
        </w:tc>
        <w:tc>
          <w:tcPr>
            <w:tcW w:w="2126" w:type="dxa"/>
            <w:vAlign w:val="center"/>
          </w:tcPr>
          <w:p w14:paraId="0563FC96">
            <w:pPr>
              <w:pStyle w:val="13"/>
            </w:pPr>
            <w:r>
              <w:t>城乡义务教育公用经费管理办法</w:t>
            </w:r>
          </w:p>
        </w:tc>
      </w:tr>
      <w:tr w14:paraId="49679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C3050"/>
        </w:tc>
        <w:tc>
          <w:tcPr>
            <w:tcW w:w="2268" w:type="dxa"/>
            <w:vAlign w:val="center"/>
          </w:tcPr>
          <w:p w14:paraId="72F40E41">
            <w:pPr>
              <w:pStyle w:val="13"/>
            </w:pPr>
            <w:r>
              <w:t>数量指标</w:t>
            </w:r>
          </w:p>
        </w:tc>
        <w:tc>
          <w:tcPr>
            <w:tcW w:w="2835" w:type="dxa"/>
            <w:vAlign w:val="center"/>
          </w:tcPr>
          <w:p w14:paraId="1207749F">
            <w:pPr>
              <w:pStyle w:val="13"/>
            </w:pPr>
            <w:r>
              <w:t>就读学生数</w:t>
            </w:r>
          </w:p>
        </w:tc>
        <w:tc>
          <w:tcPr>
            <w:tcW w:w="5386" w:type="dxa"/>
            <w:vAlign w:val="center"/>
          </w:tcPr>
          <w:p w14:paraId="695D205A">
            <w:pPr>
              <w:pStyle w:val="13"/>
            </w:pPr>
            <w:r>
              <w:t>辐射区域内适龄学生人数</w:t>
            </w:r>
          </w:p>
        </w:tc>
        <w:tc>
          <w:tcPr>
            <w:tcW w:w="1418" w:type="dxa"/>
            <w:vAlign w:val="center"/>
          </w:tcPr>
          <w:p w14:paraId="7C92E9E5">
            <w:pPr>
              <w:pStyle w:val="13"/>
            </w:pPr>
            <w:r>
              <w:t>≥1200人</w:t>
            </w:r>
          </w:p>
        </w:tc>
        <w:tc>
          <w:tcPr>
            <w:tcW w:w="2126" w:type="dxa"/>
            <w:vAlign w:val="center"/>
          </w:tcPr>
          <w:p w14:paraId="760558A9">
            <w:pPr>
              <w:pStyle w:val="13"/>
            </w:pPr>
            <w:r>
              <w:t>城乡义务教育公用经费管理办法</w:t>
            </w:r>
          </w:p>
        </w:tc>
      </w:tr>
      <w:tr w14:paraId="614A0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40F24"/>
        </w:tc>
        <w:tc>
          <w:tcPr>
            <w:tcW w:w="2268" w:type="dxa"/>
            <w:vAlign w:val="center"/>
          </w:tcPr>
          <w:p w14:paraId="10E9F39E">
            <w:pPr>
              <w:pStyle w:val="13"/>
            </w:pPr>
            <w:r>
              <w:t>质量指标</w:t>
            </w:r>
          </w:p>
        </w:tc>
        <w:tc>
          <w:tcPr>
            <w:tcW w:w="2835" w:type="dxa"/>
            <w:vAlign w:val="center"/>
          </w:tcPr>
          <w:p w14:paraId="6A28B304">
            <w:pPr>
              <w:pStyle w:val="13"/>
            </w:pPr>
            <w:r>
              <w:t>预算执行率</w:t>
            </w:r>
          </w:p>
        </w:tc>
        <w:tc>
          <w:tcPr>
            <w:tcW w:w="5386" w:type="dxa"/>
            <w:vAlign w:val="center"/>
          </w:tcPr>
          <w:p w14:paraId="62E973A6">
            <w:pPr>
              <w:pStyle w:val="13"/>
            </w:pPr>
            <w:r>
              <w:t>预算执行率≥98%</w:t>
            </w:r>
          </w:p>
        </w:tc>
        <w:tc>
          <w:tcPr>
            <w:tcW w:w="1418" w:type="dxa"/>
            <w:vAlign w:val="center"/>
          </w:tcPr>
          <w:p w14:paraId="7599C0C7">
            <w:pPr>
              <w:pStyle w:val="13"/>
            </w:pPr>
            <w:r>
              <w:t>≥98%</w:t>
            </w:r>
          </w:p>
        </w:tc>
        <w:tc>
          <w:tcPr>
            <w:tcW w:w="2126" w:type="dxa"/>
            <w:vAlign w:val="center"/>
          </w:tcPr>
          <w:p w14:paraId="42E90446">
            <w:pPr>
              <w:pStyle w:val="13"/>
            </w:pPr>
            <w:r>
              <w:t>城乡义务教育公用经费管理办法</w:t>
            </w:r>
          </w:p>
        </w:tc>
      </w:tr>
      <w:tr w14:paraId="2585C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A8694"/>
        </w:tc>
        <w:tc>
          <w:tcPr>
            <w:tcW w:w="2268" w:type="dxa"/>
            <w:vAlign w:val="center"/>
          </w:tcPr>
          <w:p w14:paraId="15CD3680">
            <w:pPr>
              <w:pStyle w:val="13"/>
            </w:pPr>
            <w:r>
              <w:t>时效指标</w:t>
            </w:r>
          </w:p>
        </w:tc>
        <w:tc>
          <w:tcPr>
            <w:tcW w:w="2835" w:type="dxa"/>
            <w:vAlign w:val="center"/>
          </w:tcPr>
          <w:p w14:paraId="2CB0B378">
            <w:pPr>
              <w:pStyle w:val="13"/>
            </w:pPr>
            <w:r>
              <w:t>义教经费支付完成率</w:t>
            </w:r>
          </w:p>
        </w:tc>
        <w:tc>
          <w:tcPr>
            <w:tcW w:w="5386" w:type="dxa"/>
            <w:vAlign w:val="center"/>
          </w:tcPr>
          <w:p w14:paraId="21E95287">
            <w:pPr>
              <w:pStyle w:val="13"/>
            </w:pPr>
            <w:r>
              <w:t>按照序时进度完成资金支付</w:t>
            </w:r>
          </w:p>
        </w:tc>
        <w:tc>
          <w:tcPr>
            <w:tcW w:w="1418" w:type="dxa"/>
            <w:vAlign w:val="center"/>
          </w:tcPr>
          <w:p w14:paraId="7AF8945D">
            <w:pPr>
              <w:pStyle w:val="13"/>
            </w:pPr>
            <w:r>
              <w:t>100%</w:t>
            </w:r>
          </w:p>
        </w:tc>
        <w:tc>
          <w:tcPr>
            <w:tcW w:w="2126" w:type="dxa"/>
            <w:vAlign w:val="center"/>
          </w:tcPr>
          <w:p w14:paraId="7BC21F29">
            <w:pPr>
              <w:pStyle w:val="13"/>
            </w:pPr>
            <w:r>
              <w:t>城乡义务教育公用经费管理办法</w:t>
            </w:r>
          </w:p>
        </w:tc>
      </w:tr>
      <w:tr w14:paraId="003D3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720B0">
            <w:pPr>
              <w:pStyle w:val="12"/>
            </w:pPr>
            <w:r>
              <w:t>效益指标</w:t>
            </w:r>
          </w:p>
        </w:tc>
        <w:tc>
          <w:tcPr>
            <w:tcW w:w="2268" w:type="dxa"/>
            <w:vAlign w:val="center"/>
          </w:tcPr>
          <w:p w14:paraId="2FAC9C4A">
            <w:pPr>
              <w:pStyle w:val="13"/>
            </w:pPr>
            <w:r>
              <w:t>可持续影响指标</w:t>
            </w:r>
          </w:p>
        </w:tc>
        <w:tc>
          <w:tcPr>
            <w:tcW w:w="2835" w:type="dxa"/>
            <w:vAlign w:val="center"/>
          </w:tcPr>
          <w:p w14:paraId="233E5761">
            <w:pPr>
              <w:pStyle w:val="13"/>
            </w:pPr>
            <w:r>
              <w:t>学校运转得到提高</w:t>
            </w:r>
          </w:p>
        </w:tc>
        <w:tc>
          <w:tcPr>
            <w:tcW w:w="5386" w:type="dxa"/>
            <w:vAlign w:val="center"/>
          </w:tcPr>
          <w:p w14:paraId="2BFC8567">
            <w:pPr>
              <w:pStyle w:val="13"/>
            </w:pPr>
            <w:r>
              <w:t>学生受教育年限</w:t>
            </w:r>
          </w:p>
        </w:tc>
        <w:tc>
          <w:tcPr>
            <w:tcW w:w="1418" w:type="dxa"/>
            <w:vAlign w:val="center"/>
          </w:tcPr>
          <w:p w14:paraId="06AC0D7B">
            <w:pPr>
              <w:pStyle w:val="13"/>
            </w:pPr>
            <w:r>
              <w:t>6年</w:t>
            </w:r>
          </w:p>
        </w:tc>
        <w:tc>
          <w:tcPr>
            <w:tcW w:w="2126" w:type="dxa"/>
            <w:vAlign w:val="center"/>
          </w:tcPr>
          <w:p w14:paraId="23842A8A">
            <w:pPr>
              <w:pStyle w:val="13"/>
            </w:pPr>
            <w:r>
              <w:t>城乡义务教育公用经费管理办法</w:t>
            </w:r>
          </w:p>
        </w:tc>
      </w:tr>
      <w:tr w14:paraId="05316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D4D55F">
            <w:pPr>
              <w:pStyle w:val="12"/>
            </w:pPr>
            <w:r>
              <w:t>满意度指标</w:t>
            </w:r>
          </w:p>
        </w:tc>
        <w:tc>
          <w:tcPr>
            <w:tcW w:w="2268" w:type="dxa"/>
            <w:vAlign w:val="center"/>
          </w:tcPr>
          <w:p w14:paraId="46F331C0">
            <w:pPr>
              <w:pStyle w:val="13"/>
            </w:pPr>
            <w:r>
              <w:t>服务对象满意度指标</w:t>
            </w:r>
          </w:p>
        </w:tc>
        <w:tc>
          <w:tcPr>
            <w:tcW w:w="2835" w:type="dxa"/>
            <w:vAlign w:val="center"/>
          </w:tcPr>
          <w:p w14:paraId="622C7BB8">
            <w:pPr>
              <w:pStyle w:val="13"/>
            </w:pPr>
            <w:r>
              <w:t>服务对象满意度</w:t>
            </w:r>
          </w:p>
        </w:tc>
        <w:tc>
          <w:tcPr>
            <w:tcW w:w="5386" w:type="dxa"/>
            <w:vAlign w:val="center"/>
          </w:tcPr>
          <w:p w14:paraId="489C2B7C">
            <w:pPr>
              <w:pStyle w:val="13"/>
            </w:pPr>
            <w:r>
              <w:t>学校老师和学生满意度</w:t>
            </w:r>
          </w:p>
        </w:tc>
        <w:tc>
          <w:tcPr>
            <w:tcW w:w="1418" w:type="dxa"/>
            <w:vAlign w:val="center"/>
          </w:tcPr>
          <w:p w14:paraId="25621418">
            <w:pPr>
              <w:pStyle w:val="13"/>
            </w:pPr>
            <w:r>
              <w:t>≥95%</w:t>
            </w:r>
          </w:p>
        </w:tc>
        <w:tc>
          <w:tcPr>
            <w:tcW w:w="2126" w:type="dxa"/>
            <w:vAlign w:val="center"/>
          </w:tcPr>
          <w:p w14:paraId="2B5F5CBA">
            <w:pPr>
              <w:pStyle w:val="13"/>
            </w:pPr>
            <w:r>
              <w:t>问卷调查</w:t>
            </w:r>
          </w:p>
        </w:tc>
      </w:tr>
    </w:tbl>
    <w:p w14:paraId="26492FA8">
      <w:pPr>
        <w:sectPr>
          <w:pgSz w:w="16840" w:h="11900" w:orient="landscape"/>
          <w:pgMar w:top="1361" w:right="1020" w:bottom="1134" w:left="1020" w:header="720" w:footer="720" w:gutter="0"/>
          <w:cols w:space="720" w:num="1"/>
        </w:sectPr>
      </w:pPr>
    </w:p>
    <w:p w14:paraId="165F274B">
      <w:pPr>
        <w:spacing w:before="0" w:after="0"/>
        <w:ind w:firstLine="560"/>
        <w:jc w:val="left"/>
        <w:outlineLvl w:val="9"/>
      </w:pPr>
      <w:r>
        <w:rPr>
          <w:rFonts w:ascii="方正仿宋_GBK" w:hAnsi="方正仿宋_GBK" w:eastAsia="方正仿宋_GBK" w:cs="方正仿宋_GBK"/>
          <w:b/>
          <w:color w:val="000000"/>
          <w:sz w:val="28"/>
        </w:rPr>
        <w:t>2、冀财教[2024]123号/中央/2025年义教补助经费/校舍安全保障/唐尧街小学塑胶操场改造绩效目标表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B7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95773">
            <w:pPr>
              <w:pStyle w:val="14"/>
            </w:pPr>
            <w:r>
              <w:t>单位：万元</w:t>
            </w:r>
          </w:p>
        </w:tc>
      </w:tr>
      <w:tr w14:paraId="4043E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BA6C7">
            <w:pPr>
              <w:pStyle w:val="11"/>
            </w:pPr>
            <w:r>
              <w:t>项目编码</w:t>
            </w:r>
          </w:p>
        </w:tc>
        <w:tc>
          <w:tcPr>
            <w:tcW w:w="5103" w:type="dxa"/>
            <w:gridSpan w:val="2"/>
            <w:vAlign w:val="center"/>
          </w:tcPr>
          <w:p w14:paraId="0B04F20B">
            <w:pPr>
              <w:pStyle w:val="13"/>
            </w:pPr>
            <w:r>
              <w:t>13052525P00876210012X</w:t>
            </w:r>
          </w:p>
        </w:tc>
        <w:tc>
          <w:tcPr>
            <w:tcW w:w="2835" w:type="dxa"/>
            <w:vAlign w:val="center"/>
          </w:tcPr>
          <w:p w14:paraId="1F7F1279">
            <w:pPr>
              <w:pStyle w:val="11"/>
            </w:pPr>
            <w:r>
              <w:t>项目名称</w:t>
            </w:r>
          </w:p>
        </w:tc>
        <w:tc>
          <w:tcPr>
            <w:tcW w:w="6095" w:type="dxa"/>
            <w:gridSpan w:val="3"/>
            <w:vAlign w:val="center"/>
          </w:tcPr>
          <w:p w14:paraId="3488517F">
            <w:pPr>
              <w:pStyle w:val="13"/>
            </w:pPr>
            <w:r>
              <w:t>冀财教[2024]123号/中央/2025年义教补助经费/校舍安全保障/唐尧街小学塑胶操场改造</w:t>
            </w:r>
          </w:p>
        </w:tc>
      </w:tr>
      <w:tr w14:paraId="7E567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DF276">
            <w:pPr>
              <w:pStyle w:val="11"/>
            </w:pPr>
            <w:r>
              <w:t>预算规模及资金用途</w:t>
            </w:r>
          </w:p>
        </w:tc>
        <w:tc>
          <w:tcPr>
            <w:tcW w:w="2268" w:type="dxa"/>
            <w:vAlign w:val="center"/>
          </w:tcPr>
          <w:p w14:paraId="4068D88D">
            <w:pPr>
              <w:pStyle w:val="11"/>
            </w:pPr>
            <w:r>
              <w:t>预算数</w:t>
            </w:r>
          </w:p>
        </w:tc>
        <w:tc>
          <w:tcPr>
            <w:tcW w:w="2835" w:type="dxa"/>
            <w:vAlign w:val="center"/>
          </w:tcPr>
          <w:p w14:paraId="08A869E1">
            <w:pPr>
              <w:pStyle w:val="13"/>
            </w:pPr>
            <w:r>
              <w:t>142.00</w:t>
            </w:r>
          </w:p>
        </w:tc>
        <w:tc>
          <w:tcPr>
            <w:tcW w:w="2835" w:type="dxa"/>
            <w:vAlign w:val="center"/>
          </w:tcPr>
          <w:p w14:paraId="2ADE0FC1">
            <w:pPr>
              <w:pStyle w:val="11"/>
            </w:pPr>
            <w:r>
              <w:t>其中：财政    资金</w:t>
            </w:r>
          </w:p>
        </w:tc>
        <w:tc>
          <w:tcPr>
            <w:tcW w:w="2551" w:type="dxa"/>
            <w:vAlign w:val="center"/>
          </w:tcPr>
          <w:p w14:paraId="1AFA14B5">
            <w:pPr>
              <w:pStyle w:val="13"/>
            </w:pPr>
            <w:r>
              <w:t>142.00</w:t>
            </w:r>
          </w:p>
        </w:tc>
        <w:tc>
          <w:tcPr>
            <w:tcW w:w="2268" w:type="dxa"/>
            <w:vAlign w:val="center"/>
          </w:tcPr>
          <w:p w14:paraId="448AA02D">
            <w:pPr>
              <w:pStyle w:val="11"/>
            </w:pPr>
            <w:r>
              <w:t>其他资金</w:t>
            </w:r>
          </w:p>
        </w:tc>
        <w:tc>
          <w:tcPr>
            <w:tcW w:w="1276" w:type="dxa"/>
            <w:vAlign w:val="center"/>
          </w:tcPr>
          <w:p w14:paraId="20879BBF">
            <w:pPr>
              <w:pStyle w:val="13"/>
            </w:pPr>
            <w:r>
              <w:t xml:space="preserve"> </w:t>
            </w:r>
          </w:p>
        </w:tc>
      </w:tr>
      <w:tr w14:paraId="10B9D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6DA10"/>
        </w:tc>
        <w:tc>
          <w:tcPr>
            <w:tcW w:w="14033" w:type="dxa"/>
            <w:gridSpan w:val="6"/>
            <w:vAlign w:val="center"/>
          </w:tcPr>
          <w:p w14:paraId="3848E2D6">
            <w:pPr>
              <w:pStyle w:val="13"/>
            </w:pPr>
            <w:r>
              <w:t>用于改善义务教育办学条件，进一步提升教育教学办学质量。</w:t>
            </w:r>
          </w:p>
        </w:tc>
      </w:tr>
      <w:tr w14:paraId="67F88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7F0ED">
            <w:pPr>
              <w:pStyle w:val="11"/>
            </w:pPr>
            <w:r>
              <w:t>资金支出计划（%）</w:t>
            </w:r>
          </w:p>
        </w:tc>
        <w:tc>
          <w:tcPr>
            <w:tcW w:w="5103" w:type="dxa"/>
            <w:gridSpan w:val="2"/>
            <w:vAlign w:val="center"/>
          </w:tcPr>
          <w:p w14:paraId="5AE10C97">
            <w:pPr>
              <w:pStyle w:val="11"/>
            </w:pPr>
            <w:r>
              <w:t>3月底</w:t>
            </w:r>
          </w:p>
        </w:tc>
        <w:tc>
          <w:tcPr>
            <w:tcW w:w="2835" w:type="dxa"/>
            <w:vAlign w:val="center"/>
          </w:tcPr>
          <w:p w14:paraId="1F1A0542">
            <w:pPr>
              <w:pStyle w:val="11"/>
            </w:pPr>
            <w:r>
              <w:t>6月底</w:t>
            </w:r>
          </w:p>
        </w:tc>
        <w:tc>
          <w:tcPr>
            <w:tcW w:w="2551" w:type="dxa"/>
            <w:vAlign w:val="center"/>
          </w:tcPr>
          <w:p w14:paraId="5D7B2314">
            <w:pPr>
              <w:pStyle w:val="11"/>
            </w:pPr>
            <w:r>
              <w:t>10月底</w:t>
            </w:r>
          </w:p>
        </w:tc>
        <w:tc>
          <w:tcPr>
            <w:tcW w:w="3544" w:type="dxa"/>
            <w:gridSpan w:val="2"/>
            <w:vAlign w:val="center"/>
          </w:tcPr>
          <w:p w14:paraId="63B8A85B">
            <w:pPr>
              <w:pStyle w:val="11"/>
            </w:pPr>
            <w:r>
              <w:t>12月底</w:t>
            </w:r>
          </w:p>
        </w:tc>
      </w:tr>
      <w:tr w14:paraId="6D4B2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12C2E0"/>
        </w:tc>
        <w:tc>
          <w:tcPr>
            <w:tcW w:w="5103" w:type="dxa"/>
            <w:gridSpan w:val="2"/>
            <w:vAlign w:val="center"/>
          </w:tcPr>
          <w:p w14:paraId="43B682B3">
            <w:pPr>
              <w:pStyle w:val="12"/>
            </w:pPr>
            <w:r>
              <w:t xml:space="preserve"> </w:t>
            </w:r>
          </w:p>
        </w:tc>
        <w:tc>
          <w:tcPr>
            <w:tcW w:w="2835" w:type="dxa"/>
            <w:vAlign w:val="center"/>
          </w:tcPr>
          <w:p w14:paraId="6D079F4F">
            <w:pPr>
              <w:pStyle w:val="12"/>
            </w:pPr>
            <w:r>
              <w:t xml:space="preserve"> </w:t>
            </w:r>
          </w:p>
        </w:tc>
        <w:tc>
          <w:tcPr>
            <w:tcW w:w="2551" w:type="dxa"/>
            <w:vAlign w:val="center"/>
          </w:tcPr>
          <w:p w14:paraId="5B97B742">
            <w:pPr>
              <w:pStyle w:val="12"/>
            </w:pPr>
            <w:r>
              <w:t>100%</w:t>
            </w:r>
          </w:p>
        </w:tc>
        <w:tc>
          <w:tcPr>
            <w:tcW w:w="3544" w:type="dxa"/>
            <w:gridSpan w:val="2"/>
            <w:vAlign w:val="center"/>
          </w:tcPr>
          <w:p w14:paraId="1728F909">
            <w:pPr>
              <w:pStyle w:val="12"/>
            </w:pPr>
            <w:r>
              <w:t>100%</w:t>
            </w:r>
          </w:p>
        </w:tc>
      </w:tr>
      <w:tr w14:paraId="2C90F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AAE5D">
            <w:pPr>
              <w:pStyle w:val="11"/>
            </w:pPr>
            <w:r>
              <w:t>绩效目标</w:t>
            </w:r>
          </w:p>
        </w:tc>
        <w:tc>
          <w:tcPr>
            <w:tcW w:w="14033" w:type="dxa"/>
            <w:gridSpan w:val="6"/>
            <w:vAlign w:val="center"/>
          </w:tcPr>
          <w:p w14:paraId="37A0A478">
            <w:pPr>
              <w:pStyle w:val="13"/>
            </w:pPr>
            <w:r>
              <w:t>1.唐尧街小学塑胶操场项目142万元，资金拨付率达100%</w:t>
            </w:r>
          </w:p>
          <w:p w14:paraId="5ECA4249">
            <w:pPr>
              <w:pStyle w:val="13"/>
            </w:pPr>
            <w:r>
              <w:t>2.改善义务教育办学条件，进一步提升教育教学办学质量</w:t>
            </w:r>
          </w:p>
        </w:tc>
      </w:tr>
    </w:tbl>
    <w:p w14:paraId="44296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45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8B0C7">
            <w:pPr>
              <w:pStyle w:val="11"/>
            </w:pPr>
            <w:r>
              <w:t>一级指标</w:t>
            </w:r>
          </w:p>
        </w:tc>
        <w:tc>
          <w:tcPr>
            <w:tcW w:w="2268" w:type="dxa"/>
            <w:vAlign w:val="center"/>
          </w:tcPr>
          <w:p w14:paraId="00917182">
            <w:pPr>
              <w:pStyle w:val="11"/>
            </w:pPr>
            <w:r>
              <w:t>二级指标</w:t>
            </w:r>
          </w:p>
        </w:tc>
        <w:tc>
          <w:tcPr>
            <w:tcW w:w="2835" w:type="dxa"/>
            <w:vAlign w:val="center"/>
          </w:tcPr>
          <w:p w14:paraId="6F8957D1">
            <w:pPr>
              <w:pStyle w:val="11"/>
            </w:pPr>
            <w:r>
              <w:t>三级指标</w:t>
            </w:r>
          </w:p>
        </w:tc>
        <w:tc>
          <w:tcPr>
            <w:tcW w:w="5386" w:type="dxa"/>
            <w:vAlign w:val="center"/>
          </w:tcPr>
          <w:p w14:paraId="3D524E3E">
            <w:pPr>
              <w:pStyle w:val="11"/>
            </w:pPr>
            <w:r>
              <w:t>绩效指标描述</w:t>
            </w:r>
          </w:p>
        </w:tc>
        <w:tc>
          <w:tcPr>
            <w:tcW w:w="2268" w:type="dxa"/>
            <w:vAlign w:val="center"/>
          </w:tcPr>
          <w:p w14:paraId="16240D14">
            <w:pPr>
              <w:pStyle w:val="11"/>
            </w:pPr>
            <w:r>
              <w:t>指标值</w:t>
            </w:r>
          </w:p>
        </w:tc>
        <w:tc>
          <w:tcPr>
            <w:tcW w:w="1276" w:type="dxa"/>
            <w:vAlign w:val="center"/>
          </w:tcPr>
          <w:p w14:paraId="44ACD9CA">
            <w:pPr>
              <w:pStyle w:val="11"/>
            </w:pPr>
            <w:r>
              <w:t>指标值确定依据</w:t>
            </w:r>
          </w:p>
        </w:tc>
      </w:tr>
      <w:tr w14:paraId="207F9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8D0D3">
            <w:pPr>
              <w:pStyle w:val="12"/>
            </w:pPr>
            <w:r>
              <w:t>产出指标</w:t>
            </w:r>
          </w:p>
        </w:tc>
        <w:tc>
          <w:tcPr>
            <w:tcW w:w="2268" w:type="dxa"/>
            <w:vAlign w:val="center"/>
          </w:tcPr>
          <w:p w14:paraId="05109012">
            <w:pPr>
              <w:pStyle w:val="13"/>
            </w:pPr>
            <w:r>
              <w:t>数量指标</w:t>
            </w:r>
          </w:p>
        </w:tc>
        <w:tc>
          <w:tcPr>
            <w:tcW w:w="2835" w:type="dxa"/>
            <w:vAlign w:val="center"/>
          </w:tcPr>
          <w:p w14:paraId="7DD710E2">
            <w:pPr>
              <w:pStyle w:val="13"/>
            </w:pPr>
            <w:r>
              <w:t>塑胶操场改造</w:t>
            </w:r>
          </w:p>
        </w:tc>
        <w:tc>
          <w:tcPr>
            <w:tcW w:w="5386" w:type="dxa"/>
            <w:vAlign w:val="center"/>
          </w:tcPr>
          <w:p w14:paraId="3D7421DA">
            <w:pPr>
              <w:pStyle w:val="13"/>
            </w:pPr>
            <w:r>
              <w:t>对学校操场进行人造草坪改造面积</w:t>
            </w:r>
          </w:p>
        </w:tc>
        <w:tc>
          <w:tcPr>
            <w:tcW w:w="2268" w:type="dxa"/>
            <w:vAlign w:val="center"/>
          </w:tcPr>
          <w:p w14:paraId="3B3C7328">
            <w:pPr>
              <w:pStyle w:val="13"/>
            </w:pPr>
            <w:r>
              <w:t>≥5400平方米</w:t>
            </w:r>
          </w:p>
        </w:tc>
        <w:tc>
          <w:tcPr>
            <w:tcW w:w="1276" w:type="dxa"/>
            <w:vAlign w:val="center"/>
          </w:tcPr>
          <w:p w14:paraId="54351CEF">
            <w:pPr>
              <w:pStyle w:val="13"/>
            </w:pPr>
            <w:r>
              <w:t>项目规划</w:t>
            </w:r>
          </w:p>
        </w:tc>
      </w:tr>
      <w:tr w14:paraId="34890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387FF"/>
        </w:tc>
        <w:tc>
          <w:tcPr>
            <w:tcW w:w="2268" w:type="dxa"/>
            <w:vAlign w:val="center"/>
          </w:tcPr>
          <w:p w14:paraId="4E919CD6">
            <w:pPr>
              <w:pStyle w:val="13"/>
            </w:pPr>
            <w:r>
              <w:t>质量指标</w:t>
            </w:r>
          </w:p>
        </w:tc>
        <w:tc>
          <w:tcPr>
            <w:tcW w:w="2835" w:type="dxa"/>
            <w:vAlign w:val="center"/>
          </w:tcPr>
          <w:p w14:paraId="2376A7DA">
            <w:pPr>
              <w:pStyle w:val="13"/>
            </w:pPr>
            <w:r>
              <w:t>工程实施验收合格率</w:t>
            </w:r>
          </w:p>
        </w:tc>
        <w:tc>
          <w:tcPr>
            <w:tcW w:w="5386" w:type="dxa"/>
            <w:vAlign w:val="center"/>
          </w:tcPr>
          <w:p w14:paraId="462E40B3">
            <w:pPr>
              <w:pStyle w:val="13"/>
            </w:pPr>
            <w:r>
              <w:t>申报程序的合规，项目实施及资金使用符合项目规划</w:t>
            </w:r>
          </w:p>
        </w:tc>
        <w:tc>
          <w:tcPr>
            <w:tcW w:w="2268" w:type="dxa"/>
            <w:vAlign w:val="center"/>
          </w:tcPr>
          <w:p w14:paraId="4765A381">
            <w:pPr>
              <w:pStyle w:val="13"/>
            </w:pPr>
            <w:r>
              <w:t>≥100%</w:t>
            </w:r>
          </w:p>
        </w:tc>
        <w:tc>
          <w:tcPr>
            <w:tcW w:w="1276" w:type="dxa"/>
            <w:vAlign w:val="center"/>
          </w:tcPr>
          <w:p w14:paraId="7D1F0E25">
            <w:pPr>
              <w:pStyle w:val="13"/>
            </w:pPr>
            <w:r>
              <w:t>项目规划</w:t>
            </w:r>
          </w:p>
        </w:tc>
      </w:tr>
      <w:tr w14:paraId="437BA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F4DD0"/>
        </w:tc>
        <w:tc>
          <w:tcPr>
            <w:tcW w:w="2268" w:type="dxa"/>
            <w:vAlign w:val="center"/>
          </w:tcPr>
          <w:p w14:paraId="68591988">
            <w:pPr>
              <w:pStyle w:val="13"/>
            </w:pPr>
            <w:r>
              <w:t>时效指标</w:t>
            </w:r>
          </w:p>
        </w:tc>
        <w:tc>
          <w:tcPr>
            <w:tcW w:w="2835" w:type="dxa"/>
            <w:vAlign w:val="center"/>
          </w:tcPr>
          <w:p w14:paraId="380071C7">
            <w:pPr>
              <w:pStyle w:val="13"/>
            </w:pPr>
            <w:r>
              <w:t>资金支付率</w:t>
            </w:r>
          </w:p>
        </w:tc>
        <w:tc>
          <w:tcPr>
            <w:tcW w:w="5386" w:type="dxa"/>
            <w:vAlign w:val="center"/>
          </w:tcPr>
          <w:p w14:paraId="7739C069">
            <w:pPr>
              <w:pStyle w:val="13"/>
            </w:pPr>
            <w:r>
              <w:t>按照序时进度完成资金支付</w:t>
            </w:r>
          </w:p>
        </w:tc>
        <w:tc>
          <w:tcPr>
            <w:tcW w:w="2268" w:type="dxa"/>
            <w:vAlign w:val="center"/>
          </w:tcPr>
          <w:p w14:paraId="547CC4E6">
            <w:pPr>
              <w:pStyle w:val="13"/>
            </w:pPr>
            <w:r>
              <w:t>≥100%</w:t>
            </w:r>
          </w:p>
        </w:tc>
        <w:tc>
          <w:tcPr>
            <w:tcW w:w="1276" w:type="dxa"/>
            <w:vAlign w:val="center"/>
          </w:tcPr>
          <w:p w14:paraId="3B6663EF">
            <w:pPr>
              <w:pStyle w:val="13"/>
            </w:pPr>
            <w:r>
              <w:t>项目规划</w:t>
            </w:r>
          </w:p>
        </w:tc>
      </w:tr>
      <w:tr w14:paraId="6CCBB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C50A4"/>
        </w:tc>
        <w:tc>
          <w:tcPr>
            <w:tcW w:w="2268" w:type="dxa"/>
            <w:vAlign w:val="center"/>
          </w:tcPr>
          <w:p w14:paraId="024E97C4">
            <w:pPr>
              <w:pStyle w:val="13"/>
            </w:pPr>
            <w:r>
              <w:t>成本指标</w:t>
            </w:r>
          </w:p>
        </w:tc>
        <w:tc>
          <w:tcPr>
            <w:tcW w:w="2835" w:type="dxa"/>
            <w:vAlign w:val="center"/>
          </w:tcPr>
          <w:p w14:paraId="640992BC">
            <w:pPr>
              <w:pStyle w:val="13"/>
            </w:pPr>
            <w:r>
              <w:t>项目成本控制情况</w:t>
            </w:r>
          </w:p>
        </w:tc>
        <w:tc>
          <w:tcPr>
            <w:tcW w:w="5386" w:type="dxa"/>
            <w:vAlign w:val="center"/>
          </w:tcPr>
          <w:p w14:paraId="3D2934A4">
            <w:pPr>
              <w:pStyle w:val="13"/>
            </w:pPr>
            <w:r>
              <w:t>严格按照招标价格及审计额进行</w:t>
            </w:r>
          </w:p>
        </w:tc>
        <w:tc>
          <w:tcPr>
            <w:tcW w:w="2268" w:type="dxa"/>
            <w:vAlign w:val="center"/>
          </w:tcPr>
          <w:p w14:paraId="2BAFE4FA">
            <w:pPr>
              <w:pStyle w:val="13"/>
            </w:pPr>
            <w:r>
              <w:t>≤142万元</w:t>
            </w:r>
          </w:p>
        </w:tc>
        <w:tc>
          <w:tcPr>
            <w:tcW w:w="1276" w:type="dxa"/>
            <w:vAlign w:val="center"/>
          </w:tcPr>
          <w:p w14:paraId="0E4C4099">
            <w:pPr>
              <w:pStyle w:val="13"/>
            </w:pPr>
            <w:r>
              <w:t>项目规划</w:t>
            </w:r>
          </w:p>
        </w:tc>
      </w:tr>
      <w:tr w14:paraId="48735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501EE3">
            <w:pPr>
              <w:pStyle w:val="12"/>
            </w:pPr>
            <w:r>
              <w:t>效益指标</w:t>
            </w:r>
          </w:p>
        </w:tc>
        <w:tc>
          <w:tcPr>
            <w:tcW w:w="2268" w:type="dxa"/>
            <w:vAlign w:val="center"/>
          </w:tcPr>
          <w:p w14:paraId="4730A75A">
            <w:pPr>
              <w:pStyle w:val="13"/>
            </w:pPr>
            <w:r>
              <w:t>可持续影响指标</w:t>
            </w:r>
          </w:p>
        </w:tc>
        <w:tc>
          <w:tcPr>
            <w:tcW w:w="2835" w:type="dxa"/>
            <w:vAlign w:val="center"/>
          </w:tcPr>
          <w:p w14:paraId="3F6526C4">
            <w:pPr>
              <w:pStyle w:val="13"/>
            </w:pPr>
            <w:r>
              <w:t>学校办学能力提升</w:t>
            </w:r>
          </w:p>
        </w:tc>
        <w:tc>
          <w:tcPr>
            <w:tcW w:w="5386" w:type="dxa"/>
            <w:vAlign w:val="center"/>
          </w:tcPr>
          <w:p w14:paraId="197091D5">
            <w:pPr>
              <w:pStyle w:val="13"/>
            </w:pPr>
            <w:r>
              <w:t>学校办学能力升情况及教育教学工作等开展的情况</w:t>
            </w:r>
          </w:p>
        </w:tc>
        <w:tc>
          <w:tcPr>
            <w:tcW w:w="2268" w:type="dxa"/>
            <w:vAlign w:val="center"/>
          </w:tcPr>
          <w:p w14:paraId="5B8D8163">
            <w:pPr>
              <w:pStyle w:val="13"/>
            </w:pPr>
            <w:r>
              <w:t>≥98%</w:t>
            </w:r>
          </w:p>
        </w:tc>
        <w:tc>
          <w:tcPr>
            <w:tcW w:w="1276" w:type="dxa"/>
            <w:vAlign w:val="center"/>
          </w:tcPr>
          <w:p w14:paraId="3B8B8681">
            <w:pPr>
              <w:pStyle w:val="13"/>
            </w:pPr>
            <w:r>
              <w:t>项目规划</w:t>
            </w:r>
          </w:p>
        </w:tc>
      </w:tr>
      <w:tr w14:paraId="531F1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1B6FF">
            <w:pPr>
              <w:pStyle w:val="12"/>
            </w:pPr>
            <w:r>
              <w:t>满意度指标</w:t>
            </w:r>
          </w:p>
        </w:tc>
        <w:tc>
          <w:tcPr>
            <w:tcW w:w="2268" w:type="dxa"/>
            <w:vAlign w:val="center"/>
          </w:tcPr>
          <w:p w14:paraId="7BF01B95">
            <w:pPr>
              <w:pStyle w:val="13"/>
            </w:pPr>
            <w:r>
              <w:t>服务对象满意度指标</w:t>
            </w:r>
          </w:p>
        </w:tc>
        <w:tc>
          <w:tcPr>
            <w:tcW w:w="2835" w:type="dxa"/>
            <w:vAlign w:val="center"/>
          </w:tcPr>
          <w:p w14:paraId="050FB9EA">
            <w:pPr>
              <w:pStyle w:val="13"/>
            </w:pPr>
            <w:r>
              <w:t>学生、教师及家长对学校教学环境满意度情况</w:t>
            </w:r>
          </w:p>
        </w:tc>
        <w:tc>
          <w:tcPr>
            <w:tcW w:w="5386" w:type="dxa"/>
            <w:vAlign w:val="center"/>
          </w:tcPr>
          <w:p w14:paraId="7C10B816">
            <w:pPr>
              <w:pStyle w:val="13"/>
            </w:pPr>
            <w:r>
              <w:t>学生、教师及家长对学校教学环境满意度情况</w:t>
            </w:r>
          </w:p>
        </w:tc>
        <w:tc>
          <w:tcPr>
            <w:tcW w:w="2268" w:type="dxa"/>
            <w:vAlign w:val="center"/>
          </w:tcPr>
          <w:p w14:paraId="35E49856">
            <w:pPr>
              <w:pStyle w:val="13"/>
            </w:pPr>
            <w:r>
              <w:t>≥95%</w:t>
            </w:r>
          </w:p>
        </w:tc>
        <w:tc>
          <w:tcPr>
            <w:tcW w:w="1276" w:type="dxa"/>
            <w:vAlign w:val="center"/>
          </w:tcPr>
          <w:p w14:paraId="4F2CBC71">
            <w:pPr>
              <w:pStyle w:val="13"/>
            </w:pPr>
            <w:r>
              <w:t>项目规划</w:t>
            </w:r>
          </w:p>
        </w:tc>
      </w:tr>
    </w:tbl>
    <w:p w14:paraId="3E7C999C">
      <w:pPr>
        <w:sectPr>
          <w:pgSz w:w="16840" w:h="11900" w:orient="landscape"/>
          <w:pgMar w:top="1361" w:right="1020" w:bottom="1134" w:left="1020" w:header="720" w:footer="720" w:gutter="0"/>
          <w:cols w:space="720" w:num="1"/>
        </w:sectPr>
      </w:pPr>
    </w:p>
    <w:p w14:paraId="3B53DDC2">
      <w:pPr>
        <w:spacing w:before="0" w:after="0"/>
        <w:ind w:firstLine="560"/>
        <w:jc w:val="left"/>
        <w:outlineLvl w:val="9"/>
      </w:pPr>
      <w:r>
        <w:rPr>
          <w:rFonts w:ascii="方正仿宋_GBK" w:hAnsi="方正仿宋_GBK" w:eastAsia="方正仿宋_GBK" w:cs="方正仿宋_GBK"/>
          <w:b/>
          <w:color w:val="000000"/>
          <w:sz w:val="28"/>
        </w:rPr>
        <w:t>3、冀财教[2024]123号/中央/2025年义教补助经费/综合奖补/唐尧街小学公用经费绩效目标表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54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EB699">
            <w:pPr>
              <w:pStyle w:val="14"/>
            </w:pPr>
            <w:r>
              <w:t>单位：万元</w:t>
            </w:r>
          </w:p>
        </w:tc>
      </w:tr>
      <w:tr w14:paraId="25C69E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A03E13">
            <w:pPr>
              <w:pStyle w:val="11"/>
            </w:pPr>
            <w:r>
              <w:t>项目编码</w:t>
            </w:r>
          </w:p>
        </w:tc>
        <w:tc>
          <w:tcPr>
            <w:tcW w:w="5103" w:type="dxa"/>
            <w:gridSpan w:val="2"/>
            <w:vAlign w:val="center"/>
          </w:tcPr>
          <w:p w14:paraId="7F0AD9A8">
            <w:pPr>
              <w:pStyle w:val="13"/>
            </w:pPr>
            <w:r>
              <w:t>13052525P00875610235J</w:t>
            </w:r>
          </w:p>
        </w:tc>
        <w:tc>
          <w:tcPr>
            <w:tcW w:w="2835" w:type="dxa"/>
            <w:vAlign w:val="center"/>
          </w:tcPr>
          <w:p w14:paraId="08795F63">
            <w:pPr>
              <w:pStyle w:val="11"/>
            </w:pPr>
            <w:r>
              <w:t>项目名称</w:t>
            </w:r>
          </w:p>
        </w:tc>
        <w:tc>
          <w:tcPr>
            <w:tcW w:w="6095" w:type="dxa"/>
            <w:gridSpan w:val="3"/>
            <w:vAlign w:val="center"/>
          </w:tcPr>
          <w:p w14:paraId="1251B7D2">
            <w:pPr>
              <w:pStyle w:val="13"/>
            </w:pPr>
            <w:r>
              <w:t>冀财教[2024]123号/中央/2025年义教补助经费/综合奖补/唐尧街小学公用经费</w:t>
            </w:r>
          </w:p>
        </w:tc>
      </w:tr>
      <w:tr w14:paraId="644A1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D9A1A">
            <w:pPr>
              <w:pStyle w:val="11"/>
            </w:pPr>
            <w:r>
              <w:t>预算规模及资金用途</w:t>
            </w:r>
          </w:p>
        </w:tc>
        <w:tc>
          <w:tcPr>
            <w:tcW w:w="2268" w:type="dxa"/>
            <w:vAlign w:val="center"/>
          </w:tcPr>
          <w:p w14:paraId="715DD06A">
            <w:pPr>
              <w:pStyle w:val="11"/>
            </w:pPr>
            <w:r>
              <w:t>预算数</w:t>
            </w:r>
          </w:p>
        </w:tc>
        <w:tc>
          <w:tcPr>
            <w:tcW w:w="2835" w:type="dxa"/>
            <w:vAlign w:val="center"/>
          </w:tcPr>
          <w:p w14:paraId="0F54C381">
            <w:pPr>
              <w:pStyle w:val="13"/>
            </w:pPr>
            <w:r>
              <w:t>10.11</w:t>
            </w:r>
          </w:p>
        </w:tc>
        <w:tc>
          <w:tcPr>
            <w:tcW w:w="2835" w:type="dxa"/>
            <w:vAlign w:val="center"/>
          </w:tcPr>
          <w:p w14:paraId="15E618D4">
            <w:pPr>
              <w:pStyle w:val="11"/>
            </w:pPr>
            <w:r>
              <w:t>其中：财政    资金</w:t>
            </w:r>
          </w:p>
        </w:tc>
        <w:tc>
          <w:tcPr>
            <w:tcW w:w="2551" w:type="dxa"/>
            <w:vAlign w:val="center"/>
          </w:tcPr>
          <w:p w14:paraId="6C8133B0">
            <w:pPr>
              <w:pStyle w:val="13"/>
            </w:pPr>
            <w:r>
              <w:t>10.11</w:t>
            </w:r>
          </w:p>
        </w:tc>
        <w:tc>
          <w:tcPr>
            <w:tcW w:w="2268" w:type="dxa"/>
            <w:vAlign w:val="center"/>
          </w:tcPr>
          <w:p w14:paraId="67FEEA1E">
            <w:pPr>
              <w:pStyle w:val="11"/>
            </w:pPr>
            <w:r>
              <w:t>其他资金</w:t>
            </w:r>
          </w:p>
        </w:tc>
        <w:tc>
          <w:tcPr>
            <w:tcW w:w="1276" w:type="dxa"/>
            <w:vAlign w:val="center"/>
          </w:tcPr>
          <w:p w14:paraId="5B6E4E1E">
            <w:pPr>
              <w:pStyle w:val="13"/>
            </w:pPr>
            <w:r>
              <w:t xml:space="preserve"> </w:t>
            </w:r>
          </w:p>
        </w:tc>
      </w:tr>
      <w:tr w14:paraId="52B3C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17E837"/>
        </w:tc>
        <w:tc>
          <w:tcPr>
            <w:tcW w:w="14033" w:type="dxa"/>
            <w:gridSpan w:val="6"/>
            <w:vAlign w:val="center"/>
          </w:tcPr>
          <w:p w14:paraId="54123C0D">
            <w:pPr>
              <w:pStyle w:val="13"/>
            </w:pPr>
            <w:r>
              <w:t>保障义务教育学校正常运转，完成教育教学活动和其他日常工作任务等方面的费用支出。</w:t>
            </w:r>
            <w:r>
              <w:tab/>
            </w:r>
            <w:r>
              <w:tab/>
            </w:r>
            <w:r>
              <w:tab/>
            </w:r>
            <w:r>
              <w:tab/>
            </w:r>
            <w:r>
              <w:tab/>
            </w:r>
            <w:r>
              <w:tab/>
            </w:r>
          </w:p>
        </w:tc>
      </w:tr>
      <w:tr w14:paraId="1DEA2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990B7">
            <w:pPr>
              <w:pStyle w:val="11"/>
            </w:pPr>
            <w:r>
              <w:t>资金支出计划（%）</w:t>
            </w:r>
          </w:p>
        </w:tc>
        <w:tc>
          <w:tcPr>
            <w:tcW w:w="5103" w:type="dxa"/>
            <w:gridSpan w:val="2"/>
            <w:vAlign w:val="center"/>
          </w:tcPr>
          <w:p w14:paraId="7F61A6B2">
            <w:pPr>
              <w:pStyle w:val="11"/>
            </w:pPr>
            <w:r>
              <w:t>3月底</w:t>
            </w:r>
          </w:p>
        </w:tc>
        <w:tc>
          <w:tcPr>
            <w:tcW w:w="2835" w:type="dxa"/>
            <w:vAlign w:val="center"/>
          </w:tcPr>
          <w:p w14:paraId="725AE3BF">
            <w:pPr>
              <w:pStyle w:val="11"/>
            </w:pPr>
            <w:r>
              <w:t>6月底</w:t>
            </w:r>
          </w:p>
        </w:tc>
        <w:tc>
          <w:tcPr>
            <w:tcW w:w="2551" w:type="dxa"/>
            <w:vAlign w:val="center"/>
          </w:tcPr>
          <w:p w14:paraId="03A66737">
            <w:pPr>
              <w:pStyle w:val="11"/>
            </w:pPr>
            <w:r>
              <w:t>10月底</w:t>
            </w:r>
          </w:p>
        </w:tc>
        <w:tc>
          <w:tcPr>
            <w:tcW w:w="3544" w:type="dxa"/>
            <w:gridSpan w:val="2"/>
            <w:vAlign w:val="center"/>
          </w:tcPr>
          <w:p w14:paraId="1DE11605">
            <w:pPr>
              <w:pStyle w:val="11"/>
            </w:pPr>
            <w:r>
              <w:t>12月底</w:t>
            </w:r>
          </w:p>
        </w:tc>
      </w:tr>
      <w:tr w14:paraId="6BDDB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2B23E5"/>
        </w:tc>
        <w:tc>
          <w:tcPr>
            <w:tcW w:w="5103" w:type="dxa"/>
            <w:gridSpan w:val="2"/>
            <w:vAlign w:val="center"/>
          </w:tcPr>
          <w:p w14:paraId="39FC2AC2">
            <w:pPr>
              <w:pStyle w:val="12"/>
            </w:pPr>
            <w:r>
              <w:t>25%</w:t>
            </w:r>
          </w:p>
        </w:tc>
        <w:tc>
          <w:tcPr>
            <w:tcW w:w="2835" w:type="dxa"/>
            <w:vAlign w:val="center"/>
          </w:tcPr>
          <w:p w14:paraId="5194B6B1">
            <w:pPr>
              <w:pStyle w:val="12"/>
            </w:pPr>
            <w:r>
              <w:t>50%</w:t>
            </w:r>
          </w:p>
        </w:tc>
        <w:tc>
          <w:tcPr>
            <w:tcW w:w="2551" w:type="dxa"/>
            <w:vAlign w:val="center"/>
          </w:tcPr>
          <w:p w14:paraId="14A22A3D">
            <w:pPr>
              <w:pStyle w:val="12"/>
            </w:pPr>
            <w:r>
              <w:t>75%</w:t>
            </w:r>
          </w:p>
        </w:tc>
        <w:tc>
          <w:tcPr>
            <w:tcW w:w="3544" w:type="dxa"/>
            <w:gridSpan w:val="2"/>
            <w:vAlign w:val="center"/>
          </w:tcPr>
          <w:p w14:paraId="7B7724EC">
            <w:pPr>
              <w:pStyle w:val="12"/>
            </w:pPr>
            <w:r>
              <w:t>100%</w:t>
            </w:r>
          </w:p>
        </w:tc>
      </w:tr>
      <w:tr w14:paraId="59991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01AD5D">
            <w:pPr>
              <w:pStyle w:val="11"/>
            </w:pPr>
            <w:r>
              <w:t>绩效目标</w:t>
            </w:r>
          </w:p>
        </w:tc>
        <w:tc>
          <w:tcPr>
            <w:tcW w:w="14033" w:type="dxa"/>
            <w:gridSpan w:val="6"/>
            <w:vAlign w:val="center"/>
          </w:tcPr>
          <w:p w14:paraId="54456A49">
            <w:pPr>
              <w:pStyle w:val="13"/>
            </w:pPr>
            <w:r>
              <w:t>1.按规定拨付公用经费资金10.114万元，资金拨付率达到100%。</w:t>
            </w:r>
            <w:r>
              <w:tab/>
            </w:r>
          </w:p>
          <w:p w14:paraId="51358921">
            <w:pPr>
              <w:pStyle w:val="13"/>
            </w:pPr>
            <w:r>
              <w:t>2.保障义务教育学校正常运转，完成教育教学活动和其他日常工作任务等方面的费用支出。</w:t>
            </w:r>
            <w:r>
              <w:tab/>
            </w:r>
            <w:r>
              <w:tab/>
            </w:r>
            <w:r>
              <w:tab/>
            </w:r>
            <w:r>
              <w:tab/>
            </w:r>
            <w:r>
              <w:tab/>
            </w:r>
            <w:r>
              <w:tab/>
            </w:r>
          </w:p>
        </w:tc>
      </w:tr>
    </w:tbl>
    <w:p w14:paraId="15248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08"/>
        <w:gridCol w:w="2036"/>
      </w:tblGrid>
      <w:tr w14:paraId="5C245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9CB04">
            <w:pPr>
              <w:pStyle w:val="11"/>
            </w:pPr>
            <w:r>
              <w:t>一级指标</w:t>
            </w:r>
          </w:p>
        </w:tc>
        <w:tc>
          <w:tcPr>
            <w:tcW w:w="2268" w:type="dxa"/>
            <w:vAlign w:val="center"/>
          </w:tcPr>
          <w:p w14:paraId="3A096FA8">
            <w:pPr>
              <w:pStyle w:val="11"/>
            </w:pPr>
            <w:r>
              <w:t>二级指标</w:t>
            </w:r>
          </w:p>
        </w:tc>
        <w:tc>
          <w:tcPr>
            <w:tcW w:w="2835" w:type="dxa"/>
            <w:vAlign w:val="center"/>
          </w:tcPr>
          <w:p w14:paraId="0D8F9C96">
            <w:pPr>
              <w:pStyle w:val="11"/>
            </w:pPr>
            <w:r>
              <w:t>三级指标</w:t>
            </w:r>
          </w:p>
        </w:tc>
        <w:tc>
          <w:tcPr>
            <w:tcW w:w="5386" w:type="dxa"/>
            <w:vAlign w:val="center"/>
          </w:tcPr>
          <w:p w14:paraId="1455CB2C">
            <w:pPr>
              <w:pStyle w:val="11"/>
            </w:pPr>
            <w:r>
              <w:t>绩效指标描述</w:t>
            </w:r>
          </w:p>
        </w:tc>
        <w:tc>
          <w:tcPr>
            <w:tcW w:w="1508" w:type="dxa"/>
            <w:vAlign w:val="center"/>
          </w:tcPr>
          <w:p w14:paraId="77A1DEB3">
            <w:pPr>
              <w:pStyle w:val="11"/>
            </w:pPr>
            <w:r>
              <w:t>指标值</w:t>
            </w:r>
          </w:p>
        </w:tc>
        <w:tc>
          <w:tcPr>
            <w:tcW w:w="2036" w:type="dxa"/>
            <w:vAlign w:val="center"/>
          </w:tcPr>
          <w:p w14:paraId="61F12DD3">
            <w:pPr>
              <w:pStyle w:val="11"/>
            </w:pPr>
            <w:r>
              <w:t>指标值确定依据</w:t>
            </w:r>
          </w:p>
        </w:tc>
      </w:tr>
      <w:tr w14:paraId="0D57A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ED81F">
            <w:pPr>
              <w:pStyle w:val="12"/>
            </w:pPr>
            <w:r>
              <w:t>产出指标</w:t>
            </w:r>
          </w:p>
        </w:tc>
        <w:tc>
          <w:tcPr>
            <w:tcW w:w="2268" w:type="dxa"/>
            <w:vAlign w:val="center"/>
          </w:tcPr>
          <w:p w14:paraId="74E33E1F">
            <w:pPr>
              <w:pStyle w:val="13"/>
            </w:pPr>
            <w:r>
              <w:t>数量指标</w:t>
            </w:r>
          </w:p>
        </w:tc>
        <w:tc>
          <w:tcPr>
            <w:tcW w:w="2835" w:type="dxa"/>
            <w:vAlign w:val="center"/>
          </w:tcPr>
          <w:p w14:paraId="599B8FC5">
            <w:pPr>
              <w:pStyle w:val="13"/>
            </w:pPr>
            <w:r>
              <w:t>生均拨款标准</w:t>
            </w:r>
          </w:p>
        </w:tc>
        <w:tc>
          <w:tcPr>
            <w:tcW w:w="5386" w:type="dxa"/>
            <w:vAlign w:val="center"/>
          </w:tcPr>
          <w:p w14:paraId="6DD5B5C8">
            <w:pPr>
              <w:pStyle w:val="13"/>
            </w:pPr>
            <w:r>
              <w:t>小学生公用经费生均小学720元。取暖费120元/生/年，随班就读学生补助7000元/生</w:t>
            </w:r>
          </w:p>
        </w:tc>
        <w:tc>
          <w:tcPr>
            <w:tcW w:w="1508" w:type="dxa"/>
            <w:vAlign w:val="center"/>
          </w:tcPr>
          <w:p w14:paraId="689CABF3">
            <w:pPr>
              <w:pStyle w:val="13"/>
            </w:pPr>
            <w:r>
              <w:t>840元</w:t>
            </w:r>
          </w:p>
        </w:tc>
        <w:tc>
          <w:tcPr>
            <w:tcW w:w="2036" w:type="dxa"/>
            <w:vAlign w:val="center"/>
          </w:tcPr>
          <w:p w14:paraId="3ABFCC46">
            <w:pPr>
              <w:pStyle w:val="13"/>
            </w:pPr>
            <w:r>
              <w:t>城乡义务教育公用经费管理办法</w:t>
            </w:r>
          </w:p>
        </w:tc>
      </w:tr>
      <w:tr w14:paraId="0C082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8D887"/>
        </w:tc>
        <w:tc>
          <w:tcPr>
            <w:tcW w:w="2268" w:type="dxa"/>
            <w:vAlign w:val="center"/>
          </w:tcPr>
          <w:p w14:paraId="1C71A7D4">
            <w:pPr>
              <w:pStyle w:val="13"/>
            </w:pPr>
            <w:r>
              <w:t>质量指标</w:t>
            </w:r>
          </w:p>
        </w:tc>
        <w:tc>
          <w:tcPr>
            <w:tcW w:w="2835" w:type="dxa"/>
            <w:vAlign w:val="center"/>
          </w:tcPr>
          <w:p w14:paraId="4D48C454">
            <w:pPr>
              <w:pStyle w:val="13"/>
            </w:pPr>
            <w:r>
              <w:t>就读学生数</w:t>
            </w:r>
          </w:p>
        </w:tc>
        <w:tc>
          <w:tcPr>
            <w:tcW w:w="5386" w:type="dxa"/>
            <w:vAlign w:val="center"/>
          </w:tcPr>
          <w:p w14:paraId="0BCC04D1">
            <w:pPr>
              <w:pStyle w:val="13"/>
            </w:pPr>
            <w:r>
              <w:t>辐射区域内适龄学生人数</w:t>
            </w:r>
          </w:p>
        </w:tc>
        <w:tc>
          <w:tcPr>
            <w:tcW w:w="1508" w:type="dxa"/>
            <w:vAlign w:val="center"/>
          </w:tcPr>
          <w:p w14:paraId="733FE266">
            <w:pPr>
              <w:pStyle w:val="13"/>
            </w:pPr>
            <w:r>
              <w:t>2433人</w:t>
            </w:r>
          </w:p>
        </w:tc>
        <w:tc>
          <w:tcPr>
            <w:tcW w:w="2036" w:type="dxa"/>
            <w:vAlign w:val="center"/>
          </w:tcPr>
          <w:p w14:paraId="13552AA1">
            <w:pPr>
              <w:pStyle w:val="13"/>
            </w:pPr>
            <w:r>
              <w:t>城乡义务教育公用经费管理办法</w:t>
            </w:r>
          </w:p>
        </w:tc>
      </w:tr>
      <w:tr w14:paraId="1D8FE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1142F"/>
        </w:tc>
        <w:tc>
          <w:tcPr>
            <w:tcW w:w="2268" w:type="dxa"/>
            <w:vAlign w:val="center"/>
          </w:tcPr>
          <w:p w14:paraId="093C3BA9">
            <w:pPr>
              <w:pStyle w:val="13"/>
            </w:pPr>
            <w:r>
              <w:t>时效指标</w:t>
            </w:r>
          </w:p>
        </w:tc>
        <w:tc>
          <w:tcPr>
            <w:tcW w:w="2835" w:type="dxa"/>
            <w:vAlign w:val="center"/>
          </w:tcPr>
          <w:p w14:paraId="19716630">
            <w:pPr>
              <w:pStyle w:val="13"/>
            </w:pPr>
            <w:r>
              <w:t>预算执行率</w:t>
            </w:r>
          </w:p>
        </w:tc>
        <w:tc>
          <w:tcPr>
            <w:tcW w:w="5386" w:type="dxa"/>
            <w:vAlign w:val="center"/>
          </w:tcPr>
          <w:p w14:paraId="5FCCC03E">
            <w:pPr>
              <w:pStyle w:val="13"/>
            </w:pPr>
            <w:r>
              <w:t>预算执行率≥98%</w:t>
            </w:r>
          </w:p>
          <w:p w14:paraId="6E54F450">
            <w:pPr>
              <w:pStyle w:val="13"/>
            </w:pPr>
          </w:p>
        </w:tc>
        <w:tc>
          <w:tcPr>
            <w:tcW w:w="1508" w:type="dxa"/>
            <w:vAlign w:val="center"/>
          </w:tcPr>
          <w:p w14:paraId="1B5F8821">
            <w:pPr>
              <w:pStyle w:val="13"/>
            </w:pPr>
            <w:r>
              <w:t>≥98%</w:t>
            </w:r>
          </w:p>
        </w:tc>
        <w:tc>
          <w:tcPr>
            <w:tcW w:w="2036" w:type="dxa"/>
            <w:vAlign w:val="center"/>
          </w:tcPr>
          <w:p w14:paraId="09C0FE31">
            <w:pPr>
              <w:pStyle w:val="13"/>
            </w:pPr>
            <w:r>
              <w:t>城乡义务教育公用经费管理办法</w:t>
            </w:r>
          </w:p>
        </w:tc>
      </w:tr>
      <w:tr w14:paraId="68818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36C68"/>
        </w:tc>
        <w:tc>
          <w:tcPr>
            <w:tcW w:w="2268" w:type="dxa"/>
            <w:vAlign w:val="center"/>
          </w:tcPr>
          <w:p w14:paraId="5CAE06D7">
            <w:pPr>
              <w:pStyle w:val="13"/>
            </w:pPr>
            <w:r>
              <w:t>成本指标</w:t>
            </w:r>
          </w:p>
        </w:tc>
        <w:tc>
          <w:tcPr>
            <w:tcW w:w="2835" w:type="dxa"/>
            <w:vAlign w:val="center"/>
          </w:tcPr>
          <w:p w14:paraId="68689D13">
            <w:pPr>
              <w:pStyle w:val="13"/>
            </w:pPr>
            <w:r>
              <w:t>义教经费支付完成率</w:t>
            </w:r>
          </w:p>
        </w:tc>
        <w:tc>
          <w:tcPr>
            <w:tcW w:w="5386" w:type="dxa"/>
            <w:vAlign w:val="center"/>
          </w:tcPr>
          <w:p w14:paraId="2C604FE9">
            <w:pPr>
              <w:pStyle w:val="13"/>
            </w:pPr>
            <w:r>
              <w:t>按照序时进度完成资金支付</w:t>
            </w:r>
          </w:p>
        </w:tc>
        <w:tc>
          <w:tcPr>
            <w:tcW w:w="1508" w:type="dxa"/>
            <w:vAlign w:val="center"/>
          </w:tcPr>
          <w:p w14:paraId="2D7639C0">
            <w:pPr>
              <w:pStyle w:val="13"/>
            </w:pPr>
            <w:r>
              <w:t>≥100%</w:t>
            </w:r>
          </w:p>
        </w:tc>
        <w:tc>
          <w:tcPr>
            <w:tcW w:w="2036" w:type="dxa"/>
            <w:vAlign w:val="center"/>
          </w:tcPr>
          <w:p w14:paraId="03D7C022">
            <w:pPr>
              <w:pStyle w:val="13"/>
            </w:pPr>
            <w:r>
              <w:t>城乡义务教育公用经费管理办法</w:t>
            </w:r>
          </w:p>
        </w:tc>
      </w:tr>
      <w:tr w14:paraId="79D4E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887D0C">
            <w:pPr>
              <w:pStyle w:val="12"/>
            </w:pPr>
            <w:r>
              <w:t>效益指标</w:t>
            </w:r>
          </w:p>
        </w:tc>
        <w:tc>
          <w:tcPr>
            <w:tcW w:w="2268" w:type="dxa"/>
            <w:vAlign w:val="center"/>
          </w:tcPr>
          <w:p w14:paraId="5D2E5AD7">
            <w:pPr>
              <w:pStyle w:val="13"/>
            </w:pPr>
            <w:r>
              <w:t>可持续影响指标</w:t>
            </w:r>
          </w:p>
        </w:tc>
        <w:tc>
          <w:tcPr>
            <w:tcW w:w="2835" w:type="dxa"/>
            <w:vAlign w:val="center"/>
          </w:tcPr>
          <w:p w14:paraId="18380160">
            <w:pPr>
              <w:pStyle w:val="13"/>
            </w:pPr>
            <w:r>
              <w:t>学校运转得到提高</w:t>
            </w:r>
          </w:p>
        </w:tc>
        <w:tc>
          <w:tcPr>
            <w:tcW w:w="5386" w:type="dxa"/>
            <w:vAlign w:val="center"/>
          </w:tcPr>
          <w:p w14:paraId="08F109B7">
            <w:pPr>
              <w:pStyle w:val="13"/>
            </w:pPr>
            <w:r>
              <w:t>学生受教育年限</w:t>
            </w:r>
          </w:p>
        </w:tc>
        <w:tc>
          <w:tcPr>
            <w:tcW w:w="1508" w:type="dxa"/>
            <w:vAlign w:val="center"/>
          </w:tcPr>
          <w:p w14:paraId="7472BEE5">
            <w:pPr>
              <w:pStyle w:val="13"/>
            </w:pPr>
            <w:r>
              <w:t>6年</w:t>
            </w:r>
          </w:p>
        </w:tc>
        <w:tc>
          <w:tcPr>
            <w:tcW w:w="2036" w:type="dxa"/>
            <w:vAlign w:val="center"/>
          </w:tcPr>
          <w:p w14:paraId="6110A8E4">
            <w:pPr>
              <w:pStyle w:val="13"/>
            </w:pPr>
            <w:r>
              <w:t>城乡义务教育公用经费管理办法</w:t>
            </w:r>
          </w:p>
        </w:tc>
      </w:tr>
      <w:tr w14:paraId="0D092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B5BD5">
            <w:pPr>
              <w:pStyle w:val="12"/>
            </w:pPr>
            <w:r>
              <w:t>满意度指标</w:t>
            </w:r>
          </w:p>
        </w:tc>
        <w:tc>
          <w:tcPr>
            <w:tcW w:w="2268" w:type="dxa"/>
            <w:vAlign w:val="center"/>
          </w:tcPr>
          <w:p w14:paraId="2AB0D2B9">
            <w:pPr>
              <w:pStyle w:val="13"/>
            </w:pPr>
            <w:r>
              <w:t>服务对象满意度指标</w:t>
            </w:r>
          </w:p>
        </w:tc>
        <w:tc>
          <w:tcPr>
            <w:tcW w:w="2835" w:type="dxa"/>
            <w:vAlign w:val="center"/>
          </w:tcPr>
          <w:p w14:paraId="4C833D15">
            <w:pPr>
              <w:pStyle w:val="13"/>
            </w:pPr>
            <w:r>
              <w:t>服务对象满意度</w:t>
            </w:r>
          </w:p>
        </w:tc>
        <w:tc>
          <w:tcPr>
            <w:tcW w:w="5386" w:type="dxa"/>
            <w:vAlign w:val="center"/>
          </w:tcPr>
          <w:p w14:paraId="408B2CCD">
            <w:pPr>
              <w:pStyle w:val="13"/>
            </w:pPr>
            <w:r>
              <w:t>学校老师和学生满意度</w:t>
            </w:r>
          </w:p>
        </w:tc>
        <w:tc>
          <w:tcPr>
            <w:tcW w:w="1508" w:type="dxa"/>
            <w:vAlign w:val="center"/>
          </w:tcPr>
          <w:p w14:paraId="0C7B524F">
            <w:pPr>
              <w:pStyle w:val="13"/>
            </w:pPr>
            <w:r>
              <w:t>≥95%</w:t>
            </w:r>
          </w:p>
        </w:tc>
        <w:tc>
          <w:tcPr>
            <w:tcW w:w="2036" w:type="dxa"/>
            <w:vAlign w:val="center"/>
          </w:tcPr>
          <w:p w14:paraId="63262616">
            <w:pPr>
              <w:pStyle w:val="13"/>
            </w:pPr>
            <w:r>
              <w:t>城乡义务教育公用经费管理办法</w:t>
            </w:r>
          </w:p>
        </w:tc>
      </w:tr>
    </w:tbl>
    <w:p w14:paraId="01F52F77">
      <w:pPr>
        <w:sectPr>
          <w:pgSz w:w="16840" w:h="11900" w:orient="landscape"/>
          <w:pgMar w:top="1361" w:right="1020" w:bottom="1134" w:left="1020" w:header="720" w:footer="720" w:gutter="0"/>
          <w:cols w:space="720" w:num="1"/>
        </w:sectPr>
      </w:pPr>
    </w:p>
    <w:p w14:paraId="1E57531F">
      <w:pPr>
        <w:spacing w:before="0" w:after="0"/>
        <w:ind w:firstLine="560"/>
        <w:jc w:val="left"/>
        <w:outlineLvl w:val="9"/>
      </w:pPr>
      <w:r>
        <w:rPr>
          <w:rFonts w:ascii="方正仿宋_GBK" w:hAnsi="方正仿宋_GBK" w:eastAsia="方正仿宋_GBK" w:cs="方正仿宋_GBK"/>
          <w:b/>
          <w:color w:val="000000"/>
          <w:sz w:val="28"/>
        </w:rPr>
        <w:t>4、冀财教[2024]141号/省级/2025年义教补助经费/唐尧街小学公用经费绩效目标表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BE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EBC5B">
            <w:pPr>
              <w:pStyle w:val="14"/>
            </w:pPr>
            <w:r>
              <w:t>单位：万元</w:t>
            </w:r>
          </w:p>
        </w:tc>
      </w:tr>
      <w:tr w14:paraId="0F17E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8944EB">
            <w:pPr>
              <w:pStyle w:val="11"/>
            </w:pPr>
            <w:r>
              <w:t>项目编码</w:t>
            </w:r>
          </w:p>
        </w:tc>
        <w:tc>
          <w:tcPr>
            <w:tcW w:w="5103" w:type="dxa"/>
            <w:gridSpan w:val="2"/>
            <w:vAlign w:val="center"/>
          </w:tcPr>
          <w:p w14:paraId="3CAAB244">
            <w:pPr>
              <w:pStyle w:val="13"/>
            </w:pPr>
            <w:r>
              <w:t>13052525P00000410139D</w:t>
            </w:r>
          </w:p>
        </w:tc>
        <w:tc>
          <w:tcPr>
            <w:tcW w:w="2835" w:type="dxa"/>
            <w:vAlign w:val="center"/>
          </w:tcPr>
          <w:p w14:paraId="3FD1E5CF">
            <w:pPr>
              <w:pStyle w:val="11"/>
            </w:pPr>
            <w:r>
              <w:t>项目名称</w:t>
            </w:r>
          </w:p>
        </w:tc>
        <w:tc>
          <w:tcPr>
            <w:tcW w:w="6095" w:type="dxa"/>
            <w:gridSpan w:val="3"/>
            <w:vAlign w:val="center"/>
          </w:tcPr>
          <w:p w14:paraId="502FDAFA">
            <w:pPr>
              <w:pStyle w:val="13"/>
            </w:pPr>
            <w:r>
              <w:t>冀财教[2024]141号/省级/2025年义教补助经费/唐尧街小学公用经费</w:t>
            </w:r>
          </w:p>
        </w:tc>
      </w:tr>
      <w:tr w14:paraId="56818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77AEF">
            <w:pPr>
              <w:pStyle w:val="11"/>
            </w:pPr>
            <w:r>
              <w:t>预算规模及资金用途</w:t>
            </w:r>
          </w:p>
        </w:tc>
        <w:tc>
          <w:tcPr>
            <w:tcW w:w="2268" w:type="dxa"/>
            <w:vAlign w:val="center"/>
          </w:tcPr>
          <w:p w14:paraId="5B4695A0">
            <w:pPr>
              <w:pStyle w:val="11"/>
            </w:pPr>
            <w:r>
              <w:t>预算数</w:t>
            </w:r>
          </w:p>
        </w:tc>
        <w:tc>
          <w:tcPr>
            <w:tcW w:w="2835" w:type="dxa"/>
            <w:vAlign w:val="center"/>
          </w:tcPr>
          <w:p w14:paraId="249769B0">
            <w:pPr>
              <w:pStyle w:val="13"/>
            </w:pPr>
            <w:r>
              <w:t>59.50</w:t>
            </w:r>
          </w:p>
        </w:tc>
        <w:tc>
          <w:tcPr>
            <w:tcW w:w="2835" w:type="dxa"/>
            <w:vAlign w:val="center"/>
          </w:tcPr>
          <w:p w14:paraId="5371CAB1">
            <w:pPr>
              <w:pStyle w:val="11"/>
            </w:pPr>
            <w:r>
              <w:t>其中：财政    资金</w:t>
            </w:r>
          </w:p>
        </w:tc>
        <w:tc>
          <w:tcPr>
            <w:tcW w:w="2551" w:type="dxa"/>
            <w:vAlign w:val="center"/>
          </w:tcPr>
          <w:p w14:paraId="6801AB1F">
            <w:pPr>
              <w:pStyle w:val="13"/>
            </w:pPr>
            <w:r>
              <w:t>59.50</w:t>
            </w:r>
          </w:p>
        </w:tc>
        <w:tc>
          <w:tcPr>
            <w:tcW w:w="2268" w:type="dxa"/>
            <w:vAlign w:val="center"/>
          </w:tcPr>
          <w:p w14:paraId="3CCBE0FD">
            <w:pPr>
              <w:pStyle w:val="11"/>
            </w:pPr>
            <w:r>
              <w:t>其他资金</w:t>
            </w:r>
          </w:p>
        </w:tc>
        <w:tc>
          <w:tcPr>
            <w:tcW w:w="1276" w:type="dxa"/>
            <w:vAlign w:val="center"/>
          </w:tcPr>
          <w:p w14:paraId="162DF5DE">
            <w:pPr>
              <w:pStyle w:val="13"/>
            </w:pPr>
            <w:r>
              <w:t xml:space="preserve"> </w:t>
            </w:r>
          </w:p>
        </w:tc>
      </w:tr>
      <w:tr w14:paraId="0CBAF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9C3D6E"/>
        </w:tc>
        <w:tc>
          <w:tcPr>
            <w:tcW w:w="14033" w:type="dxa"/>
            <w:gridSpan w:val="6"/>
            <w:vAlign w:val="center"/>
          </w:tcPr>
          <w:p w14:paraId="29C1C1C1">
            <w:pPr>
              <w:pStyle w:val="13"/>
            </w:pPr>
            <w:r>
              <w:t>有效完成学校教学安全秩序，保障学校教学任务有效开展，满足学校正常教学需要。</w:t>
            </w:r>
          </w:p>
        </w:tc>
      </w:tr>
      <w:tr w14:paraId="18BDD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CDF88">
            <w:pPr>
              <w:pStyle w:val="11"/>
            </w:pPr>
            <w:r>
              <w:t>资金支出计划（%）</w:t>
            </w:r>
          </w:p>
        </w:tc>
        <w:tc>
          <w:tcPr>
            <w:tcW w:w="5103" w:type="dxa"/>
            <w:gridSpan w:val="2"/>
            <w:vAlign w:val="center"/>
          </w:tcPr>
          <w:p w14:paraId="3502105E">
            <w:pPr>
              <w:pStyle w:val="11"/>
            </w:pPr>
            <w:r>
              <w:t>3月底</w:t>
            </w:r>
          </w:p>
        </w:tc>
        <w:tc>
          <w:tcPr>
            <w:tcW w:w="2835" w:type="dxa"/>
            <w:vAlign w:val="center"/>
          </w:tcPr>
          <w:p w14:paraId="197773EA">
            <w:pPr>
              <w:pStyle w:val="11"/>
            </w:pPr>
            <w:r>
              <w:t>6月底</w:t>
            </w:r>
          </w:p>
        </w:tc>
        <w:tc>
          <w:tcPr>
            <w:tcW w:w="2551" w:type="dxa"/>
            <w:vAlign w:val="center"/>
          </w:tcPr>
          <w:p w14:paraId="421A5307">
            <w:pPr>
              <w:pStyle w:val="11"/>
            </w:pPr>
            <w:r>
              <w:t>10月底</w:t>
            </w:r>
          </w:p>
        </w:tc>
        <w:tc>
          <w:tcPr>
            <w:tcW w:w="3544" w:type="dxa"/>
            <w:gridSpan w:val="2"/>
            <w:vAlign w:val="center"/>
          </w:tcPr>
          <w:p w14:paraId="33631DB4">
            <w:pPr>
              <w:pStyle w:val="11"/>
            </w:pPr>
            <w:r>
              <w:t>12月底</w:t>
            </w:r>
          </w:p>
        </w:tc>
      </w:tr>
      <w:tr w14:paraId="2C7EC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6F3734"/>
        </w:tc>
        <w:tc>
          <w:tcPr>
            <w:tcW w:w="5103" w:type="dxa"/>
            <w:gridSpan w:val="2"/>
            <w:vAlign w:val="center"/>
          </w:tcPr>
          <w:p w14:paraId="6011B406">
            <w:pPr>
              <w:pStyle w:val="12"/>
            </w:pPr>
            <w:r>
              <w:t>25%</w:t>
            </w:r>
          </w:p>
        </w:tc>
        <w:tc>
          <w:tcPr>
            <w:tcW w:w="2835" w:type="dxa"/>
            <w:vAlign w:val="center"/>
          </w:tcPr>
          <w:p w14:paraId="42F3F243">
            <w:pPr>
              <w:pStyle w:val="12"/>
            </w:pPr>
            <w:r>
              <w:t>50%</w:t>
            </w:r>
          </w:p>
        </w:tc>
        <w:tc>
          <w:tcPr>
            <w:tcW w:w="2551" w:type="dxa"/>
            <w:vAlign w:val="center"/>
          </w:tcPr>
          <w:p w14:paraId="2F3BF86E">
            <w:pPr>
              <w:pStyle w:val="12"/>
            </w:pPr>
            <w:r>
              <w:t>75%</w:t>
            </w:r>
          </w:p>
        </w:tc>
        <w:tc>
          <w:tcPr>
            <w:tcW w:w="3544" w:type="dxa"/>
            <w:gridSpan w:val="2"/>
            <w:vAlign w:val="center"/>
          </w:tcPr>
          <w:p w14:paraId="74648F00">
            <w:pPr>
              <w:pStyle w:val="12"/>
            </w:pPr>
            <w:r>
              <w:t>100%</w:t>
            </w:r>
          </w:p>
        </w:tc>
      </w:tr>
      <w:tr w14:paraId="3CA63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95C47">
            <w:pPr>
              <w:pStyle w:val="11"/>
            </w:pPr>
            <w:r>
              <w:t>绩效目标</w:t>
            </w:r>
          </w:p>
        </w:tc>
        <w:tc>
          <w:tcPr>
            <w:tcW w:w="14033" w:type="dxa"/>
            <w:gridSpan w:val="6"/>
            <w:vAlign w:val="center"/>
          </w:tcPr>
          <w:p w14:paraId="7FED9A33">
            <w:pPr>
              <w:pStyle w:val="13"/>
            </w:pPr>
            <w:r>
              <w:t>1.按规定拨付公用经费资金，预算执行率≥98%。</w:t>
            </w:r>
          </w:p>
          <w:p w14:paraId="4EA9C6AA">
            <w:pPr>
              <w:pStyle w:val="13"/>
            </w:pPr>
            <w:r>
              <w:t>2.有效完成学校教学安全秩序，保障学校教学任务有效开展，满足学校正常教学需要。</w:t>
            </w:r>
          </w:p>
        </w:tc>
      </w:tr>
    </w:tbl>
    <w:p w14:paraId="4DBBC2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36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671F0">
            <w:pPr>
              <w:pStyle w:val="11"/>
            </w:pPr>
            <w:r>
              <w:t>一级指标</w:t>
            </w:r>
          </w:p>
        </w:tc>
        <w:tc>
          <w:tcPr>
            <w:tcW w:w="2268" w:type="dxa"/>
            <w:vAlign w:val="center"/>
          </w:tcPr>
          <w:p w14:paraId="0BD31DED">
            <w:pPr>
              <w:pStyle w:val="11"/>
            </w:pPr>
            <w:r>
              <w:t>二级指标</w:t>
            </w:r>
          </w:p>
        </w:tc>
        <w:tc>
          <w:tcPr>
            <w:tcW w:w="2835" w:type="dxa"/>
            <w:vAlign w:val="center"/>
          </w:tcPr>
          <w:p w14:paraId="592A72BA">
            <w:pPr>
              <w:pStyle w:val="11"/>
            </w:pPr>
            <w:r>
              <w:t>三级指标</w:t>
            </w:r>
          </w:p>
        </w:tc>
        <w:tc>
          <w:tcPr>
            <w:tcW w:w="5386" w:type="dxa"/>
            <w:vAlign w:val="center"/>
          </w:tcPr>
          <w:p w14:paraId="0796B624">
            <w:pPr>
              <w:pStyle w:val="11"/>
            </w:pPr>
            <w:r>
              <w:t>绩效指标描述</w:t>
            </w:r>
          </w:p>
        </w:tc>
        <w:tc>
          <w:tcPr>
            <w:tcW w:w="2268" w:type="dxa"/>
            <w:vAlign w:val="center"/>
          </w:tcPr>
          <w:p w14:paraId="4E588E1F">
            <w:pPr>
              <w:pStyle w:val="11"/>
            </w:pPr>
            <w:r>
              <w:t>指标值</w:t>
            </w:r>
          </w:p>
        </w:tc>
        <w:tc>
          <w:tcPr>
            <w:tcW w:w="1276" w:type="dxa"/>
            <w:vAlign w:val="center"/>
          </w:tcPr>
          <w:p w14:paraId="4E9272A8">
            <w:pPr>
              <w:pStyle w:val="11"/>
            </w:pPr>
            <w:r>
              <w:t>指标值确定依据</w:t>
            </w:r>
          </w:p>
        </w:tc>
      </w:tr>
      <w:tr w14:paraId="330E0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48185">
            <w:pPr>
              <w:pStyle w:val="12"/>
            </w:pPr>
            <w:r>
              <w:t>产出指标</w:t>
            </w:r>
          </w:p>
        </w:tc>
        <w:tc>
          <w:tcPr>
            <w:tcW w:w="2268" w:type="dxa"/>
            <w:vAlign w:val="center"/>
          </w:tcPr>
          <w:p w14:paraId="6261CDDC">
            <w:pPr>
              <w:pStyle w:val="13"/>
            </w:pPr>
            <w:r>
              <w:t>成本指标</w:t>
            </w:r>
          </w:p>
        </w:tc>
        <w:tc>
          <w:tcPr>
            <w:tcW w:w="2835" w:type="dxa"/>
            <w:vAlign w:val="center"/>
          </w:tcPr>
          <w:p w14:paraId="6E1B9DCE">
            <w:pPr>
              <w:pStyle w:val="13"/>
            </w:pPr>
            <w:r>
              <w:t>生均拨款标准</w:t>
            </w:r>
          </w:p>
        </w:tc>
        <w:tc>
          <w:tcPr>
            <w:tcW w:w="5386" w:type="dxa"/>
            <w:vAlign w:val="center"/>
          </w:tcPr>
          <w:p w14:paraId="53BF2243">
            <w:pPr>
              <w:pStyle w:val="13"/>
            </w:pPr>
            <w:r>
              <w:t>小学生公用经费生均小学720元。取暖费140元/生/年，随班就读学生补助7000元/生</w:t>
            </w:r>
          </w:p>
        </w:tc>
        <w:tc>
          <w:tcPr>
            <w:tcW w:w="2268" w:type="dxa"/>
            <w:vAlign w:val="center"/>
          </w:tcPr>
          <w:p w14:paraId="40025944">
            <w:pPr>
              <w:pStyle w:val="13"/>
            </w:pPr>
            <w:r>
              <w:t>840元</w:t>
            </w:r>
          </w:p>
        </w:tc>
        <w:tc>
          <w:tcPr>
            <w:tcW w:w="1276" w:type="dxa"/>
            <w:vAlign w:val="center"/>
          </w:tcPr>
          <w:p w14:paraId="6721541C">
            <w:pPr>
              <w:pStyle w:val="13"/>
            </w:pPr>
            <w:r>
              <w:t>城乡义务教育公用经费管理办法</w:t>
            </w:r>
          </w:p>
        </w:tc>
      </w:tr>
      <w:tr w14:paraId="56E68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C8C37"/>
        </w:tc>
        <w:tc>
          <w:tcPr>
            <w:tcW w:w="2268" w:type="dxa"/>
            <w:vAlign w:val="center"/>
          </w:tcPr>
          <w:p w14:paraId="6B329ACC">
            <w:pPr>
              <w:pStyle w:val="13"/>
            </w:pPr>
            <w:r>
              <w:t>数量指标</w:t>
            </w:r>
          </w:p>
        </w:tc>
        <w:tc>
          <w:tcPr>
            <w:tcW w:w="2835" w:type="dxa"/>
            <w:vAlign w:val="center"/>
          </w:tcPr>
          <w:p w14:paraId="76EA7EBD">
            <w:pPr>
              <w:pStyle w:val="13"/>
            </w:pPr>
            <w:r>
              <w:t>就读学生数</w:t>
            </w:r>
          </w:p>
        </w:tc>
        <w:tc>
          <w:tcPr>
            <w:tcW w:w="5386" w:type="dxa"/>
            <w:vAlign w:val="center"/>
          </w:tcPr>
          <w:p w14:paraId="7E1FA5D8">
            <w:pPr>
              <w:pStyle w:val="13"/>
            </w:pPr>
            <w:r>
              <w:t>辐射区域内适龄学生人数</w:t>
            </w:r>
          </w:p>
        </w:tc>
        <w:tc>
          <w:tcPr>
            <w:tcW w:w="2268" w:type="dxa"/>
            <w:vAlign w:val="center"/>
          </w:tcPr>
          <w:p w14:paraId="0CC485C8">
            <w:pPr>
              <w:pStyle w:val="13"/>
            </w:pPr>
            <w:r>
              <w:t>≥1200人</w:t>
            </w:r>
          </w:p>
        </w:tc>
        <w:tc>
          <w:tcPr>
            <w:tcW w:w="1276" w:type="dxa"/>
            <w:vAlign w:val="center"/>
          </w:tcPr>
          <w:p w14:paraId="1E7022B5">
            <w:pPr>
              <w:pStyle w:val="13"/>
            </w:pPr>
            <w:r>
              <w:t>城乡义务教育公用经费管理办法</w:t>
            </w:r>
          </w:p>
        </w:tc>
      </w:tr>
      <w:tr w14:paraId="08DAB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6A750"/>
        </w:tc>
        <w:tc>
          <w:tcPr>
            <w:tcW w:w="2268" w:type="dxa"/>
            <w:vAlign w:val="center"/>
          </w:tcPr>
          <w:p w14:paraId="3A07430A">
            <w:pPr>
              <w:pStyle w:val="13"/>
            </w:pPr>
            <w:r>
              <w:t>质量指标</w:t>
            </w:r>
          </w:p>
        </w:tc>
        <w:tc>
          <w:tcPr>
            <w:tcW w:w="2835" w:type="dxa"/>
            <w:vAlign w:val="center"/>
          </w:tcPr>
          <w:p w14:paraId="27E508AF">
            <w:pPr>
              <w:pStyle w:val="13"/>
            </w:pPr>
            <w:r>
              <w:t>预算执行率</w:t>
            </w:r>
          </w:p>
        </w:tc>
        <w:tc>
          <w:tcPr>
            <w:tcW w:w="5386" w:type="dxa"/>
            <w:vAlign w:val="center"/>
          </w:tcPr>
          <w:p w14:paraId="0163F460">
            <w:pPr>
              <w:pStyle w:val="13"/>
            </w:pPr>
            <w:r>
              <w:t>预算执行率≥98%</w:t>
            </w:r>
          </w:p>
        </w:tc>
        <w:tc>
          <w:tcPr>
            <w:tcW w:w="2268" w:type="dxa"/>
            <w:vAlign w:val="center"/>
          </w:tcPr>
          <w:p w14:paraId="3A828D5A">
            <w:pPr>
              <w:pStyle w:val="13"/>
            </w:pPr>
            <w:r>
              <w:t>≥98%</w:t>
            </w:r>
          </w:p>
        </w:tc>
        <w:tc>
          <w:tcPr>
            <w:tcW w:w="1276" w:type="dxa"/>
            <w:vAlign w:val="center"/>
          </w:tcPr>
          <w:p w14:paraId="05BEB699">
            <w:pPr>
              <w:pStyle w:val="13"/>
            </w:pPr>
            <w:r>
              <w:t>城乡义务教育公用经费管理办法</w:t>
            </w:r>
          </w:p>
        </w:tc>
      </w:tr>
      <w:tr w14:paraId="4C2BA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EC331"/>
        </w:tc>
        <w:tc>
          <w:tcPr>
            <w:tcW w:w="2268" w:type="dxa"/>
            <w:vAlign w:val="center"/>
          </w:tcPr>
          <w:p w14:paraId="202546CA">
            <w:pPr>
              <w:pStyle w:val="13"/>
            </w:pPr>
            <w:r>
              <w:t>时效指标</w:t>
            </w:r>
          </w:p>
        </w:tc>
        <w:tc>
          <w:tcPr>
            <w:tcW w:w="2835" w:type="dxa"/>
            <w:vAlign w:val="center"/>
          </w:tcPr>
          <w:p w14:paraId="60BE9D31">
            <w:pPr>
              <w:pStyle w:val="13"/>
            </w:pPr>
            <w:r>
              <w:t>义教经费支付完成率</w:t>
            </w:r>
          </w:p>
        </w:tc>
        <w:tc>
          <w:tcPr>
            <w:tcW w:w="5386" w:type="dxa"/>
            <w:vAlign w:val="center"/>
          </w:tcPr>
          <w:p w14:paraId="62129B90">
            <w:pPr>
              <w:pStyle w:val="13"/>
            </w:pPr>
            <w:r>
              <w:t>按照序时进度完成资金支付</w:t>
            </w:r>
          </w:p>
        </w:tc>
        <w:tc>
          <w:tcPr>
            <w:tcW w:w="2268" w:type="dxa"/>
            <w:vAlign w:val="center"/>
          </w:tcPr>
          <w:p w14:paraId="67D5501F">
            <w:pPr>
              <w:pStyle w:val="13"/>
            </w:pPr>
            <w:r>
              <w:t>100%</w:t>
            </w:r>
          </w:p>
        </w:tc>
        <w:tc>
          <w:tcPr>
            <w:tcW w:w="1276" w:type="dxa"/>
            <w:vAlign w:val="center"/>
          </w:tcPr>
          <w:p w14:paraId="26E0BB24">
            <w:pPr>
              <w:pStyle w:val="13"/>
            </w:pPr>
            <w:r>
              <w:t>城乡义务教育公用经费管理办法</w:t>
            </w:r>
          </w:p>
        </w:tc>
      </w:tr>
      <w:tr w14:paraId="253EB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E85403">
            <w:pPr>
              <w:pStyle w:val="12"/>
            </w:pPr>
            <w:r>
              <w:t>效益指标</w:t>
            </w:r>
          </w:p>
        </w:tc>
        <w:tc>
          <w:tcPr>
            <w:tcW w:w="2268" w:type="dxa"/>
            <w:vAlign w:val="center"/>
          </w:tcPr>
          <w:p w14:paraId="5FCA87F4">
            <w:pPr>
              <w:pStyle w:val="13"/>
            </w:pPr>
            <w:r>
              <w:t>可持续影响指标</w:t>
            </w:r>
          </w:p>
        </w:tc>
        <w:tc>
          <w:tcPr>
            <w:tcW w:w="2835" w:type="dxa"/>
            <w:vAlign w:val="center"/>
          </w:tcPr>
          <w:p w14:paraId="1B639370">
            <w:pPr>
              <w:pStyle w:val="13"/>
            </w:pPr>
            <w:r>
              <w:t>学校运转得到提高</w:t>
            </w:r>
          </w:p>
        </w:tc>
        <w:tc>
          <w:tcPr>
            <w:tcW w:w="5386" w:type="dxa"/>
            <w:vAlign w:val="center"/>
          </w:tcPr>
          <w:p w14:paraId="572DEC72">
            <w:pPr>
              <w:pStyle w:val="13"/>
            </w:pPr>
            <w:r>
              <w:t>学生受教育年限</w:t>
            </w:r>
          </w:p>
        </w:tc>
        <w:tc>
          <w:tcPr>
            <w:tcW w:w="2268" w:type="dxa"/>
            <w:vAlign w:val="center"/>
          </w:tcPr>
          <w:p w14:paraId="0F8BBD85">
            <w:pPr>
              <w:pStyle w:val="13"/>
            </w:pPr>
            <w:r>
              <w:t>6年</w:t>
            </w:r>
          </w:p>
        </w:tc>
        <w:tc>
          <w:tcPr>
            <w:tcW w:w="1276" w:type="dxa"/>
            <w:vAlign w:val="center"/>
          </w:tcPr>
          <w:p w14:paraId="79925718">
            <w:pPr>
              <w:pStyle w:val="13"/>
            </w:pPr>
            <w:r>
              <w:t>城乡义务教育公用经费管理办法</w:t>
            </w:r>
          </w:p>
        </w:tc>
      </w:tr>
      <w:tr w14:paraId="1807A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61355C">
            <w:pPr>
              <w:pStyle w:val="12"/>
            </w:pPr>
            <w:r>
              <w:t>满意度指标</w:t>
            </w:r>
          </w:p>
        </w:tc>
        <w:tc>
          <w:tcPr>
            <w:tcW w:w="2268" w:type="dxa"/>
            <w:vAlign w:val="center"/>
          </w:tcPr>
          <w:p w14:paraId="0031404D">
            <w:pPr>
              <w:pStyle w:val="13"/>
            </w:pPr>
            <w:r>
              <w:t>服务对象满意度指标</w:t>
            </w:r>
          </w:p>
        </w:tc>
        <w:tc>
          <w:tcPr>
            <w:tcW w:w="2835" w:type="dxa"/>
            <w:vAlign w:val="center"/>
          </w:tcPr>
          <w:p w14:paraId="1D526E0F">
            <w:pPr>
              <w:pStyle w:val="13"/>
            </w:pPr>
            <w:r>
              <w:t>服务对象满意度</w:t>
            </w:r>
          </w:p>
        </w:tc>
        <w:tc>
          <w:tcPr>
            <w:tcW w:w="5386" w:type="dxa"/>
            <w:vAlign w:val="center"/>
          </w:tcPr>
          <w:p w14:paraId="7C500143">
            <w:pPr>
              <w:pStyle w:val="13"/>
            </w:pPr>
            <w:r>
              <w:t>学校老师和学生满意度</w:t>
            </w:r>
          </w:p>
        </w:tc>
        <w:tc>
          <w:tcPr>
            <w:tcW w:w="2268" w:type="dxa"/>
            <w:vAlign w:val="center"/>
          </w:tcPr>
          <w:p w14:paraId="24A1BDA5">
            <w:pPr>
              <w:pStyle w:val="13"/>
            </w:pPr>
            <w:r>
              <w:t>≥95%</w:t>
            </w:r>
          </w:p>
        </w:tc>
        <w:tc>
          <w:tcPr>
            <w:tcW w:w="1276" w:type="dxa"/>
            <w:vAlign w:val="center"/>
          </w:tcPr>
          <w:p w14:paraId="29BB7833">
            <w:pPr>
              <w:pStyle w:val="13"/>
            </w:pPr>
            <w:r>
              <w:t>问卷调查</w:t>
            </w:r>
          </w:p>
        </w:tc>
      </w:tr>
    </w:tbl>
    <w:p w14:paraId="3CCF0386">
      <w:pPr>
        <w:sectPr>
          <w:pgSz w:w="16840" w:h="11900" w:orient="landscape"/>
          <w:pgMar w:top="1361" w:right="1020" w:bottom="1134" w:left="1020" w:header="720" w:footer="720" w:gutter="0"/>
          <w:cols w:space="720" w:num="1"/>
        </w:sectPr>
      </w:pPr>
    </w:p>
    <w:p w14:paraId="64C0B1D9">
      <w:pPr>
        <w:spacing w:before="10" w:after="10" w:line="240" w:lineRule="auto"/>
        <w:ind w:firstLine="640"/>
        <w:jc w:val="left"/>
        <w:outlineLvl w:val="5"/>
      </w:pPr>
      <w:r>
        <w:rPr>
          <w:rFonts w:ascii="黑体" w:hAnsi="黑体" w:eastAsia="黑体" w:cs="黑体"/>
          <w:color w:val="000000"/>
          <w:sz w:val="32"/>
        </w:rPr>
        <w:t>六、政府采购预算情况</w:t>
      </w:r>
    </w:p>
    <w:p w14:paraId="64E070D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05A5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1ED8543">
            <w:pPr>
              <w:pStyle w:val="8"/>
            </w:pPr>
            <w:r>
              <w:t>360039隆尧县唐尧街小学</w:t>
            </w:r>
          </w:p>
        </w:tc>
        <w:tc>
          <w:tcPr>
            <w:tcW w:w="7712" w:type="dxa"/>
            <w:gridSpan w:val="8"/>
            <w:tcBorders>
              <w:top w:val="single" w:color="FFFFFF" w:sz="6" w:space="0"/>
              <w:left w:val="single" w:color="FFFFFF" w:sz="6" w:space="0"/>
              <w:right w:val="single" w:color="FFFFFF" w:sz="6" w:space="0"/>
            </w:tcBorders>
            <w:vAlign w:val="center"/>
          </w:tcPr>
          <w:p w14:paraId="68950D3E">
            <w:pPr>
              <w:pStyle w:val="22"/>
            </w:pPr>
            <w:r>
              <w:t>单位：万元</w:t>
            </w:r>
          </w:p>
        </w:tc>
      </w:tr>
      <w:tr w14:paraId="39E43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2BEB364">
            <w:pPr>
              <w:pStyle w:val="11"/>
            </w:pPr>
            <w:r>
              <w:t>政府采购项目来源</w:t>
            </w:r>
          </w:p>
        </w:tc>
        <w:tc>
          <w:tcPr>
            <w:tcW w:w="1134" w:type="dxa"/>
            <w:vMerge w:val="restart"/>
            <w:vAlign w:val="center"/>
          </w:tcPr>
          <w:p w14:paraId="64D2C506">
            <w:pPr>
              <w:pStyle w:val="11"/>
            </w:pPr>
            <w:r>
              <w:t>采购物品名称</w:t>
            </w:r>
          </w:p>
        </w:tc>
        <w:tc>
          <w:tcPr>
            <w:tcW w:w="1134" w:type="dxa"/>
            <w:vMerge w:val="restart"/>
            <w:vAlign w:val="center"/>
          </w:tcPr>
          <w:p w14:paraId="385E878B">
            <w:pPr>
              <w:pStyle w:val="11"/>
            </w:pPr>
            <w:r>
              <w:t>政府采购目录序号</w:t>
            </w:r>
          </w:p>
        </w:tc>
        <w:tc>
          <w:tcPr>
            <w:tcW w:w="709" w:type="dxa"/>
            <w:vMerge w:val="restart"/>
            <w:vAlign w:val="center"/>
          </w:tcPr>
          <w:p w14:paraId="1E471336">
            <w:pPr>
              <w:pStyle w:val="11"/>
            </w:pPr>
            <w:r>
              <w:t>计量  单位</w:t>
            </w:r>
          </w:p>
        </w:tc>
        <w:tc>
          <w:tcPr>
            <w:tcW w:w="850" w:type="dxa"/>
            <w:vMerge w:val="restart"/>
            <w:vAlign w:val="center"/>
          </w:tcPr>
          <w:p w14:paraId="22EBA319">
            <w:pPr>
              <w:pStyle w:val="11"/>
            </w:pPr>
            <w:r>
              <w:t>数量</w:t>
            </w:r>
          </w:p>
        </w:tc>
        <w:tc>
          <w:tcPr>
            <w:tcW w:w="850" w:type="dxa"/>
            <w:vMerge w:val="restart"/>
            <w:vAlign w:val="center"/>
          </w:tcPr>
          <w:p w14:paraId="47D6DD1C">
            <w:pPr>
              <w:pStyle w:val="11"/>
            </w:pPr>
            <w:r>
              <w:t>单价</w:t>
            </w:r>
          </w:p>
        </w:tc>
        <w:tc>
          <w:tcPr>
            <w:tcW w:w="6748" w:type="dxa"/>
            <w:gridSpan w:val="7"/>
            <w:vAlign w:val="center"/>
          </w:tcPr>
          <w:p w14:paraId="51591009">
            <w:pPr>
              <w:pStyle w:val="11"/>
            </w:pPr>
            <w:r>
              <w:t>政府采购金额（当年部门预算安排资金）</w:t>
            </w:r>
          </w:p>
        </w:tc>
        <w:tc>
          <w:tcPr>
            <w:tcW w:w="964" w:type="dxa"/>
            <w:vMerge w:val="restart"/>
            <w:vAlign w:val="center"/>
          </w:tcPr>
          <w:p w14:paraId="39C5A5AE">
            <w:pPr>
              <w:pStyle w:val="11"/>
            </w:pPr>
            <w:r>
              <w:t>2025年  预留中  小微企  业份额</w:t>
            </w:r>
          </w:p>
        </w:tc>
      </w:tr>
      <w:tr w14:paraId="6708F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CBC22F6">
            <w:pPr>
              <w:pStyle w:val="11"/>
            </w:pPr>
            <w:r>
              <w:t>项目名称</w:t>
            </w:r>
          </w:p>
        </w:tc>
        <w:tc>
          <w:tcPr>
            <w:tcW w:w="964" w:type="dxa"/>
            <w:vAlign w:val="center"/>
          </w:tcPr>
          <w:p w14:paraId="00AB4D0A">
            <w:pPr>
              <w:pStyle w:val="11"/>
            </w:pPr>
            <w:r>
              <w:t>预算    资金</w:t>
            </w:r>
          </w:p>
        </w:tc>
        <w:tc>
          <w:tcPr>
            <w:tcW w:w="1134" w:type="dxa"/>
            <w:vMerge w:val="continue"/>
          </w:tcPr>
          <w:p w14:paraId="2ABD3241"/>
        </w:tc>
        <w:tc>
          <w:tcPr>
            <w:tcW w:w="1134" w:type="dxa"/>
            <w:vMerge w:val="continue"/>
          </w:tcPr>
          <w:p w14:paraId="460AB18E"/>
        </w:tc>
        <w:tc>
          <w:tcPr>
            <w:tcW w:w="709" w:type="dxa"/>
            <w:vMerge w:val="continue"/>
          </w:tcPr>
          <w:p w14:paraId="240BDF3C"/>
        </w:tc>
        <w:tc>
          <w:tcPr>
            <w:tcW w:w="850" w:type="dxa"/>
            <w:vMerge w:val="continue"/>
          </w:tcPr>
          <w:p w14:paraId="3DBB7B33"/>
        </w:tc>
        <w:tc>
          <w:tcPr>
            <w:tcW w:w="850" w:type="dxa"/>
            <w:vMerge w:val="continue"/>
          </w:tcPr>
          <w:p w14:paraId="4D7C5216"/>
        </w:tc>
        <w:tc>
          <w:tcPr>
            <w:tcW w:w="964" w:type="dxa"/>
            <w:vAlign w:val="center"/>
          </w:tcPr>
          <w:p w14:paraId="70F03368">
            <w:pPr>
              <w:pStyle w:val="11"/>
            </w:pPr>
            <w:r>
              <w:t>合计</w:t>
            </w:r>
          </w:p>
        </w:tc>
        <w:tc>
          <w:tcPr>
            <w:tcW w:w="964" w:type="dxa"/>
            <w:vAlign w:val="center"/>
          </w:tcPr>
          <w:p w14:paraId="5E9F2E91">
            <w:pPr>
              <w:pStyle w:val="11"/>
            </w:pPr>
            <w:r>
              <w:t>一般公共预算拨款</w:t>
            </w:r>
          </w:p>
        </w:tc>
        <w:tc>
          <w:tcPr>
            <w:tcW w:w="964" w:type="dxa"/>
            <w:vAlign w:val="center"/>
          </w:tcPr>
          <w:p w14:paraId="39E2A8E3">
            <w:pPr>
              <w:pStyle w:val="11"/>
            </w:pPr>
            <w:r>
              <w:t>基金预算拨款</w:t>
            </w:r>
          </w:p>
        </w:tc>
        <w:tc>
          <w:tcPr>
            <w:tcW w:w="964" w:type="dxa"/>
            <w:vAlign w:val="center"/>
          </w:tcPr>
          <w:p w14:paraId="08DE7A57">
            <w:pPr>
              <w:pStyle w:val="11"/>
            </w:pPr>
            <w:r>
              <w:t>国有资本经营预算拨款</w:t>
            </w:r>
          </w:p>
        </w:tc>
        <w:tc>
          <w:tcPr>
            <w:tcW w:w="964" w:type="dxa"/>
            <w:vAlign w:val="center"/>
          </w:tcPr>
          <w:p w14:paraId="344DD314">
            <w:pPr>
              <w:pStyle w:val="11"/>
            </w:pPr>
            <w:r>
              <w:t>财政专户核拨</w:t>
            </w:r>
          </w:p>
        </w:tc>
        <w:tc>
          <w:tcPr>
            <w:tcW w:w="964" w:type="dxa"/>
            <w:vAlign w:val="center"/>
          </w:tcPr>
          <w:p w14:paraId="24A474CD">
            <w:pPr>
              <w:pStyle w:val="11"/>
            </w:pPr>
            <w:r>
              <w:t>单位    资金</w:t>
            </w:r>
          </w:p>
        </w:tc>
        <w:tc>
          <w:tcPr>
            <w:tcW w:w="964" w:type="dxa"/>
            <w:vAlign w:val="center"/>
          </w:tcPr>
          <w:p w14:paraId="363BE1D7">
            <w:pPr>
              <w:pStyle w:val="11"/>
            </w:pPr>
            <w:r>
              <w:t>上年结转结余</w:t>
            </w:r>
          </w:p>
        </w:tc>
        <w:tc>
          <w:tcPr>
            <w:tcW w:w="964" w:type="dxa"/>
            <w:vMerge w:val="continue"/>
          </w:tcPr>
          <w:p w14:paraId="57F9DF08"/>
        </w:tc>
      </w:tr>
      <w:tr w14:paraId="66EC0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874B55">
            <w:pPr>
              <w:pStyle w:val="15"/>
            </w:pPr>
            <w:r>
              <w:t>合  计</w:t>
            </w:r>
          </w:p>
        </w:tc>
        <w:tc>
          <w:tcPr>
            <w:tcW w:w="964" w:type="dxa"/>
            <w:vAlign w:val="center"/>
          </w:tcPr>
          <w:p w14:paraId="59C27521">
            <w:pPr>
              <w:pStyle w:val="16"/>
            </w:pPr>
          </w:p>
        </w:tc>
        <w:tc>
          <w:tcPr>
            <w:tcW w:w="1134" w:type="dxa"/>
            <w:vAlign w:val="center"/>
          </w:tcPr>
          <w:p w14:paraId="60A60A12">
            <w:pPr>
              <w:pStyle w:val="17"/>
            </w:pPr>
          </w:p>
        </w:tc>
        <w:tc>
          <w:tcPr>
            <w:tcW w:w="1134" w:type="dxa"/>
            <w:vAlign w:val="center"/>
          </w:tcPr>
          <w:p w14:paraId="5834743F">
            <w:pPr>
              <w:pStyle w:val="17"/>
            </w:pPr>
          </w:p>
        </w:tc>
        <w:tc>
          <w:tcPr>
            <w:tcW w:w="709" w:type="dxa"/>
            <w:vAlign w:val="center"/>
          </w:tcPr>
          <w:p w14:paraId="121B9418">
            <w:pPr>
              <w:pStyle w:val="15"/>
            </w:pPr>
          </w:p>
        </w:tc>
        <w:tc>
          <w:tcPr>
            <w:tcW w:w="850" w:type="dxa"/>
            <w:vAlign w:val="center"/>
          </w:tcPr>
          <w:p w14:paraId="15480BC5">
            <w:pPr>
              <w:pStyle w:val="16"/>
            </w:pPr>
          </w:p>
        </w:tc>
        <w:tc>
          <w:tcPr>
            <w:tcW w:w="850" w:type="dxa"/>
            <w:vAlign w:val="center"/>
          </w:tcPr>
          <w:p w14:paraId="4CE1D23A">
            <w:pPr>
              <w:pStyle w:val="16"/>
            </w:pPr>
          </w:p>
        </w:tc>
        <w:tc>
          <w:tcPr>
            <w:tcW w:w="964" w:type="dxa"/>
            <w:vAlign w:val="center"/>
          </w:tcPr>
          <w:p w14:paraId="54FE7FF1">
            <w:pPr>
              <w:pStyle w:val="16"/>
            </w:pPr>
            <w:r>
              <w:t>0.47</w:t>
            </w:r>
          </w:p>
        </w:tc>
        <w:tc>
          <w:tcPr>
            <w:tcW w:w="964" w:type="dxa"/>
            <w:vAlign w:val="center"/>
          </w:tcPr>
          <w:p w14:paraId="7CCAEAA5">
            <w:pPr>
              <w:pStyle w:val="16"/>
            </w:pPr>
            <w:r>
              <w:t>0.47</w:t>
            </w:r>
          </w:p>
        </w:tc>
        <w:tc>
          <w:tcPr>
            <w:tcW w:w="964" w:type="dxa"/>
            <w:vAlign w:val="center"/>
          </w:tcPr>
          <w:p w14:paraId="29D0A6D0">
            <w:pPr>
              <w:pStyle w:val="16"/>
            </w:pPr>
          </w:p>
        </w:tc>
        <w:tc>
          <w:tcPr>
            <w:tcW w:w="964" w:type="dxa"/>
            <w:vAlign w:val="center"/>
          </w:tcPr>
          <w:p w14:paraId="78A06D69">
            <w:pPr>
              <w:pStyle w:val="16"/>
            </w:pPr>
          </w:p>
        </w:tc>
        <w:tc>
          <w:tcPr>
            <w:tcW w:w="964" w:type="dxa"/>
            <w:vAlign w:val="center"/>
          </w:tcPr>
          <w:p w14:paraId="67759CCE">
            <w:pPr>
              <w:pStyle w:val="16"/>
            </w:pPr>
          </w:p>
        </w:tc>
        <w:tc>
          <w:tcPr>
            <w:tcW w:w="964" w:type="dxa"/>
            <w:vAlign w:val="center"/>
          </w:tcPr>
          <w:p w14:paraId="563DB260">
            <w:pPr>
              <w:pStyle w:val="16"/>
            </w:pPr>
          </w:p>
        </w:tc>
        <w:tc>
          <w:tcPr>
            <w:tcW w:w="964" w:type="dxa"/>
            <w:vAlign w:val="center"/>
          </w:tcPr>
          <w:p w14:paraId="0AC1CC5B">
            <w:pPr>
              <w:pStyle w:val="16"/>
            </w:pPr>
          </w:p>
        </w:tc>
        <w:tc>
          <w:tcPr>
            <w:tcW w:w="964" w:type="dxa"/>
            <w:vAlign w:val="center"/>
          </w:tcPr>
          <w:p w14:paraId="7B80F32E">
            <w:pPr>
              <w:pStyle w:val="16"/>
            </w:pPr>
            <w:r>
              <w:t>0.47</w:t>
            </w:r>
          </w:p>
        </w:tc>
      </w:tr>
      <w:tr w14:paraId="65EAA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7297D9">
            <w:pPr>
              <w:pStyle w:val="15"/>
            </w:pPr>
            <w:r>
              <w:t>隆尧县唐尧街小学小计</w:t>
            </w:r>
          </w:p>
        </w:tc>
        <w:tc>
          <w:tcPr>
            <w:tcW w:w="964" w:type="dxa"/>
            <w:vAlign w:val="center"/>
          </w:tcPr>
          <w:p w14:paraId="6644C9BA">
            <w:pPr>
              <w:pStyle w:val="16"/>
            </w:pPr>
          </w:p>
        </w:tc>
        <w:tc>
          <w:tcPr>
            <w:tcW w:w="1134" w:type="dxa"/>
            <w:vAlign w:val="center"/>
          </w:tcPr>
          <w:p w14:paraId="01552827">
            <w:pPr>
              <w:pStyle w:val="17"/>
            </w:pPr>
          </w:p>
        </w:tc>
        <w:tc>
          <w:tcPr>
            <w:tcW w:w="1134" w:type="dxa"/>
            <w:vAlign w:val="center"/>
          </w:tcPr>
          <w:p w14:paraId="6469B8DE">
            <w:pPr>
              <w:pStyle w:val="17"/>
            </w:pPr>
          </w:p>
        </w:tc>
        <w:tc>
          <w:tcPr>
            <w:tcW w:w="709" w:type="dxa"/>
            <w:vAlign w:val="center"/>
          </w:tcPr>
          <w:p w14:paraId="390465A7">
            <w:pPr>
              <w:pStyle w:val="15"/>
            </w:pPr>
          </w:p>
        </w:tc>
        <w:tc>
          <w:tcPr>
            <w:tcW w:w="850" w:type="dxa"/>
            <w:vAlign w:val="center"/>
          </w:tcPr>
          <w:p w14:paraId="65CA73C3">
            <w:pPr>
              <w:pStyle w:val="16"/>
            </w:pPr>
          </w:p>
        </w:tc>
        <w:tc>
          <w:tcPr>
            <w:tcW w:w="850" w:type="dxa"/>
            <w:vAlign w:val="center"/>
          </w:tcPr>
          <w:p w14:paraId="1DEC3A8C">
            <w:pPr>
              <w:pStyle w:val="16"/>
            </w:pPr>
          </w:p>
        </w:tc>
        <w:tc>
          <w:tcPr>
            <w:tcW w:w="964" w:type="dxa"/>
            <w:vAlign w:val="center"/>
          </w:tcPr>
          <w:p w14:paraId="39A91370">
            <w:pPr>
              <w:pStyle w:val="16"/>
            </w:pPr>
            <w:r>
              <w:t>0.47</w:t>
            </w:r>
          </w:p>
        </w:tc>
        <w:tc>
          <w:tcPr>
            <w:tcW w:w="964" w:type="dxa"/>
            <w:vAlign w:val="center"/>
          </w:tcPr>
          <w:p w14:paraId="5B9C0FC3">
            <w:pPr>
              <w:pStyle w:val="16"/>
            </w:pPr>
            <w:r>
              <w:t>0.47</w:t>
            </w:r>
          </w:p>
        </w:tc>
        <w:tc>
          <w:tcPr>
            <w:tcW w:w="964" w:type="dxa"/>
            <w:vAlign w:val="center"/>
          </w:tcPr>
          <w:p w14:paraId="1A89E7D8">
            <w:pPr>
              <w:pStyle w:val="16"/>
            </w:pPr>
          </w:p>
        </w:tc>
        <w:tc>
          <w:tcPr>
            <w:tcW w:w="964" w:type="dxa"/>
            <w:vAlign w:val="center"/>
          </w:tcPr>
          <w:p w14:paraId="12416424">
            <w:pPr>
              <w:pStyle w:val="16"/>
            </w:pPr>
          </w:p>
        </w:tc>
        <w:tc>
          <w:tcPr>
            <w:tcW w:w="964" w:type="dxa"/>
            <w:vAlign w:val="center"/>
          </w:tcPr>
          <w:p w14:paraId="3DD6CC0A">
            <w:pPr>
              <w:pStyle w:val="16"/>
            </w:pPr>
          </w:p>
        </w:tc>
        <w:tc>
          <w:tcPr>
            <w:tcW w:w="964" w:type="dxa"/>
            <w:vAlign w:val="center"/>
          </w:tcPr>
          <w:p w14:paraId="389A71A8">
            <w:pPr>
              <w:pStyle w:val="16"/>
            </w:pPr>
          </w:p>
        </w:tc>
        <w:tc>
          <w:tcPr>
            <w:tcW w:w="964" w:type="dxa"/>
            <w:vAlign w:val="center"/>
          </w:tcPr>
          <w:p w14:paraId="6AFC6487">
            <w:pPr>
              <w:pStyle w:val="16"/>
            </w:pPr>
          </w:p>
        </w:tc>
        <w:tc>
          <w:tcPr>
            <w:tcW w:w="964" w:type="dxa"/>
            <w:vAlign w:val="center"/>
          </w:tcPr>
          <w:p w14:paraId="22305A20">
            <w:pPr>
              <w:pStyle w:val="16"/>
            </w:pPr>
            <w:r>
              <w:t>0.47</w:t>
            </w:r>
          </w:p>
        </w:tc>
      </w:tr>
      <w:tr w14:paraId="66925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792EBE">
            <w:pPr>
              <w:pStyle w:val="13"/>
            </w:pPr>
            <w:r>
              <w:t>冀财教[2024]141号/省级/2025年义教补助经费/唐尧街小学公用经费</w:t>
            </w:r>
          </w:p>
        </w:tc>
        <w:tc>
          <w:tcPr>
            <w:tcW w:w="964" w:type="dxa"/>
            <w:vAlign w:val="center"/>
          </w:tcPr>
          <w:p w14:paraId="3B00AECD">
            <w:pPr>
              <w:pStyle w:val="14"/>
            </w:pPr>
            <w:r>
              <w:t>59.50</w:t>
            </w:r>
          </w:p>
        </w:tc>
        <w:tc>
          <w:tcPr>
            <w:tcW w:w="1134" w:type="dxa"/>
            <w:vAlign w:val="center"/>
          </w:tcPr>
          <w:p w14:paraId="29051EC2">
            <w:pPr>
              <w:pStyle w:val="13"/>
            </w:pPr>
            <w:r>
              <w:t>空调机</w:t>
            </w:r>
          </w:p>
        </w:tc>
        <w:tc>
          <w:tcPr>
            <w:tcW w:w="1134" w:type="dxa"/>
            <w:vAlign w:val="center"/>
          </w:tcPr>
          <w:p w14:paraId="54EE0007">
            <w:pPr>
              <w:pStyle w:val="13"/>
            </w:pPr>
            <w:r>
              <w:t>A02061804</w:t>
            </w:r>
          </w:p>
        </w:tc>
        <w:tc>
          <w:tcPr>
            <w:tcW w:w="709" w:type="dxa"/>
            <w:vAlign w:val="center"/>
          </w:tcPr>
          <w:p w14:paraId="60BE2982">
            <w:pPr>
              <w:pStyle w:val="12"/>
            </w:pPr>
            <w:r>
              <w:t>台</w:t>
            </w:r>
          </w:p>
        </w:tc>
        <w:tc>
          <w:tcPr>
            <w:tcW w:w="850" w:type="dxa"/>
            <w:vAlign w:val="center"/>
          </w:tcPr>
          <w:p w14:paraId="0CACFEF6">
            <w:pPr>
              <w:pStyle w:val="14"/>
            </w:pPr>
            <w:r>
              <w:t>2</w:t>
            </w:r>
          </w:p>
        </w:tc>
        <w:tc>
          <w:tcPr>
            <w:tcW w:w="850" w:type="dxa"/>
            <w:vAlign w:val="center"/>
          </w:tcPr>
          <w:p w14:paraId="72F79F6F">
            <w:pPr>
              <w:pStyle w:val="14"/>
            </w:pPr>
            <w:r>
              <w:t>0.24</w:t>
            </w:r>
          </w:p>
        </w:tc>
        <w:tc>
          <w:tcPr>
            <w:tcW w:w="964" w:type="dxa"/>
            <w:vAlign w:val="center"/>
          </w:tcPr>
          <w:p w14:paraId="44649D74">
            <w:pPr>
              <w:pStyle w:val="14"/>
            </w:pPr>
            <w:r>
              <w:t>0.47</w:t>
            </w:r>
          </w:p>
        </w:tc>
        <w:tc>
          <w:tcPr>
            <w:tcW w:w="964" w:type="dxa"/>
            <w:vAlign w:val="center"/>
          </w:tcPr>
          <w:p w14:paraId="5E9C85AD">
            <w:pPr>
              <w:pStyle w:val="14"/>
            </w:pPr>
            <w:r>
              <w:t>0.47</w:t>
            </w:r>
          </w:p>
        </w:tc>
        <w:tc>
          <w:tcPr>
            <w:tcW w:w="964" w:type="dxa"/>
            <w:vAlign w:val="center"/>
          </w:tcPr>
          <w:p w14:paraId="592C909C">
            <w:pPr>
              <w:pStyle w:val="14"/>
            </w:pPr>
          </w:p>
        </w:tc>
        <w:tc>
          <w:tcPr>
            <w:tcW w:w="964" w:type="dxa"/>
            <w:vAlign w:val="center"/>
          </w:tcPr>
          <w:p w14:paraId="6CF183E7">
            <w:pPr>
              <w:pStyle w:val="14"/>
            </w:pPr>
          </w:p>
        </w:tc>
        <w:tc>
          <w:tcPr>
            <w:tcW w:w="964" w:type="dxa"/>
            <w:vAlign w:val="center"/>
          </w:tcPr>
          <w:p w14:paraId="3507C59A">
            <w:pPr>
              <w:pStyle w:val="14"/>
            </w:pPr>
          </w:p>
        </w:tc>
        <w:tc>
          <w:tcPr>
            <w:tcW w:w="964" w:type="dxa"/>
            <w:vAlign w:val="center"/>
          </w:tcPr>
          <w:p w14:paraId="0D16ED63">
            <w:pPr>
              <w:pStyle w:val="14"/>
            </w:pPr>
          </w:p>
        </w:tc>
        <w:tc>
          <w:tcPr>
            <w:tcW w:w="964" w:type="dxa"/>
            <w:vAlign w:val="center"/>
          </w:tcPr>
          <w:p w14:paraId="43E1F5D8">
            <w:pPr>
              <w:pStyle w:val="14"/>
            </w:pPr>
          </w:p>
        </w:tc>
        <w:tc>
          <w:tcPr>
            <w:tcW w:w="964" w:type="dxa"/>
            <w:vAlign w:val="center"/>
          </w:tcPr>
          <w:p w14:paraId="18BF964F">
            <w:pPr>
              <w:pStyle w:val="14"/>
            </w:pPr>
            <w:r>
              <w:t>0.47</w:t>
            </w:r>
          </w:p>
        </w:tc>
      </w:tr>
    </w:tbl>
    <w:p w14:paraId="118D1C0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A221C9">
      <w:pPr>
        <w:spacing w:before="0" w:after="0"/>
        <w:ind w:firstLine="640"/>
        <w:jc w:val="left"/>
        <w:outlineLvl w:val="9"/>
      </w:pPr>
      <w:r>
        <w:rPr>
          <w:rFonts w:ascii="Times New Roman" w:hAnsi="Times New Roman" w:eastAsia="方正仿宋_GBK" w:cs="Times New Roman"/>
          <w:color w:val="000000"/>
          <w:sz w:val="32"/>
        </w:rPr>
        <w:t xml:space="preserve"> </w:t>
      </w:r>
    </w:p>
    <w:p w14:paraId="426155A9">
      <w:pPr>
        <w:spacing w:before="10" w:after="10" w:line="240" w:lineRule="auto"/>
        <w:ind w:firstLine="640"/>
        <w:jc w:val="left"/>
        <w:outlineLvl w:val="5"/>
      </w:pPr>
      <w:r>
        <w:rPr>
          <w:rFonts w:ascii="黑体" w:hAnsi="黑体" w:eastAsia="黑体" w:cs="黑体"/>
          <w:color w:val="000000"/>
          <w:sz w:val="32"/>
        </w:rPr>
        <w:t>七、国有资产信息</w:t>
      </w:r>
    </w:p>
    <w:p w14:paraId="40757ADA">
      <w:pPr>
        <w:spacing w:before="0" w:after="0" w:line="500" w:lineRule="exact"/>
        <w:ind w:firstLine="560"/>
        <w:jc w:val="left"/>
        <w:outlineLvl w:val="9"/>
      </w:pPr>
      <w:r>
        <w:rPr>
          <w:rFonts w:ascii="Times New Roman" w:hAnsi="Times New Roman" w:eastAsia="方正仿宋_GBK" w:cs="Times New Roman"/>
          <w:b w:val="0"/>
          <w:color w:val="000000"/>
          <w:sz w:val="28"/>
        </w:rPr>
        <w:t>隆尧县唐尧街小学上年末固定资产金额为0.00万元（详见下表）。本年度拟购置固定资产总额为152.59万元，已按要求列入政府采购预算，详见政府采购预算表。</w:t>
      </w:r>
    </w:p>
    <w:p w14:paraId="23F3BCB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F38B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A287A39">
            <w:pPr>
              <w:pStyle w:val="8"/>
            </w:pPr>
            <w:r>
              <w:t>360039隆尧县唐尧街小学</w:t>
            </w:r>
          </w:p>
        </w:tc>
        <w:tc>
          <w:tcPr>
            <w:tcW w:w="5670" w:type="dxa"/>
            <w:gridSpan w:val="2"/>
            <w:tcBorders>
              <w:top w:val="single" w:color="FFFFFF" w:sz="6" w:space="0"/>
              <w:left w:val="single" w:color="FFFFFF" w:sz="6" w:space="0"/>
              <w:right w:val="single" w:color="FFFFFF" w:sz="6" w:space="0"/>
            </w:tcBorders>
            <w:vAlign w:val="center"/>
          </w:tcPr>
          <w:p w14:paraId="1B70292A">
            <w:pPr>
              <w:pStyle w:val="10"/>
            </w:pPr>
            <w:r>
              <w:t>截止时间：2024-12-31</w:t>
            </w:r>
          </w:p>
        </w:tc>
      </w:tr>
      <w:tr w14:paraId="46AD4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2245CE5">
            <w:pPr>
              <w:pStyle w:val="11"/>
            </w:pPr>
            <w:r>
              <w:t>项   目</w:t>
            </w:r>
          </w:p>
        </w:tc>
        <w:tc>
          <w:tcPr>
            <w:tcW w:w="2835" w:type="dxa"/>
            <w:vAlign w:val="center"/>
          </w:tcPr>
          <w:p w14:paraId="2D5A792C">
            <w:pPr>
              <w:pStyle w:val="11"/>
            </w:pPr>
            <w:r>
              <w:t>数量</w:t>
            </w:r>
          </w:p>
        </w:tc>
        <w:tc>
          <w:tcPr>
            <w:tcW w:w="2835" w:type="dxa"/>
            <w:vAlign w:val="center"/>
          </w:tcPr>
          <w:p w14:paraId="5B3D6BDE">
            <w:pPr>
              <w:pStyle w:val="11"/>
            </w:pPr>
            <w:r>
              <w:t>价值（金额单位：万元）</w:t>
            </w:r>
          </w:p>
        </w:tc>
      </w:tr>
      <w:tr w14:paraId="7373A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BF8EBC">
            <w:pPr>
              <w:pStyle w:val="13"/>
            </w:pPr>
            <w:r>
              <w:t>资产总额</w:t>
            </w:r>
          </w:p>
        </w:tc>
        <w:tc>
          <w:tcPr>
            <w:tcW w:w="2835" w:type="dxa"/>
            <w:vAlign w:val="center"/>
          </w:tcPr>
          <w:p w14:paraId="1A909D4B">
            <w:pPr>
              <w:pStyle w:val="12"/>
            </w:pPr>
          </w:p>
        </w:tc>
        <w:tc>
          <w:tcPr>
            <w:tcW w:w="2835" w:type="dxa"/>
            <w:vAlign w:val="center"/>
          </w:tcPr>
          <w:p w14:paraId="5FF81621">
            <w:pPr>
              <w:pStyle w:val="14"/>
            </w:pPr>
          </w:p>
        </w:tc>
      </w:tr>
      <w:tr w14:paraId="29AA9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8C9CBD">
            <w:pPr>
              <w:pStyle w:val="13"/>
            </w:pPr>
            <w:r>
              <w:t>1、房屋（平方米）</w:t>
            </w:r>
          </w:p>
        </w:tc>
        <w:tc>
          <w:tcPr>
            <w:tcW w:w="2835" w:type="dxa"/>
            <w:vAlign w:val="center"/>
          </w:tcPr>
          <w:p w14:paraId="0DAA0468">
            <w:pPr>
              <w:pStyle w:val="12"/>
            </w:pPr>
          </w:p>
        </w:tc>
        <w:tc>
          <w:tcPr>
            <w:tcW w:w="2835" w:type="dxa"/>
            <w:vAlign w:val="center"/>
          </w:tcPr>
          <w:p w14:paraId="5F9545A6">
            <w:pPr>
              <w:pStyle w:val="14"/>
            </w:pPr>
          </w:p>
        </w:tc>
      </w:tr>
      <w:tr w14:paraId="37B9F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DAA824">
            <w:pPr>
              <w:pStyle w:val="13"/>
            </w:pPr>
            <w:r>
              <w:t>　　其中：办公用房（平方米）</w:t>
            </w:r>
          </w:p>
        </w:tc>
        <w:tc>
          <w:tcPr>
            <w:tcW w:w="2835" w:type="dxa"/>
            <w:vAlign w:val="center"/>
          </w:tcPr>
          <w:p w14:paraId="12521718">
            <w:pPr>
              <w:pStyle w:val="12"/>
            </w:pPr>
          </w:p>
        </w:tc>
        <w:tc>
          <w:tcPr>
            <w:tcW w:w="2835" w:type="dxa"/>
            <w:vAlign w:val="center"/>
          </w:tcPr>
          <w:p w14:paraId="07DACA48">
            <w:pPr>
              <w:pStyle w:val="14"/>
            </w:pPr>
          </w:p>
        </w:tc>
      </w:tr>
      <w:tr w14:paraId="1BEF4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7EB12A">
            <w:pPr>
              <w:pStyle w:val="13"/>
            </w:pPr>
            <w:r>
              <w:t>2、车辆（台、辆）</w:t>
            </w:r>
          </w:p>
        </w:tc>
        <w:tc>
          <w:tcPr>
            <w:tcW w:w="2835" w:type="dxa"/>
            <w:vAlign w:val="center"/>
          </w:tcPr>
          <w:p w14:paraId="1DA0F995">
            <w:pPr>
              <w:pStyle w:val="12"/>
            </w:pPr>
          </w:p>
        </w:tc>
        <w:tc>
          <w:tcPr>
            <w:tcW w:w="2835" w:type="dxa"/>
            <w:vAlign w:val="center"/>
          </w:tcPr>
          <w:p w14:paraId="1F1D3F2A">
            <w:pPr>
              <w:pStyle w:val="14"/>
            </w:pPr>
          </w:p>
        </w:tc>
      </w:tr>
      <w:tr w14:paraId="57D97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6F202D">
            <w:pPr>
              <w:pStyle w:val="13"/>
            </w:pPr>
            <w:r>
              <w:t>3、单价在20万元以上的设备</w:t>
            </w:r>
          </w:p>
        </w:tc>
        <w:tc>
          <w:tcPr>
            <w:tcW w:w="2835" w:type="dxa"/>
            <w:vAlign w:val="center"/>
          </w:tcPr>
          <w:p w14:paraId="00474C3E">
            <w:pPr>
              <w:pStyle w:val="12"/>
            </w:pPr>
          </w:p>
        </w:tc>
        <w:tc>
          <w:tcPr>
            <w:tcW w:w="2835" w:type="dxa"/>
            <w:vAlign w:val="center"/>
          </w:tcPr>
          <w:p w14:paraId="34570D41">
            <w:pPr>
              <w:pStyle w:val="14"/>
            </w:pPr>
          </w:p>
        </w:tc>
      </w:tr>
      <w:tr w14:paraId="38A28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1C646E">
            <w:pPr>
              <w:pStyle w:val="13"/>
            </w:pPr>
            <w:r>
              <w:t>4、其他固定资产</w:t>
            </w:r>
          </w:p>
        </w:tc>
        <w:tc>
          <w:tcPr>
            <w:tcW w:w="2835" w:type="dxa"/>
            <w:vAlign w:val="center"/>
          </w:tcPr>
          <w:p w14:paraId="3D1F0F89">
            <w:pPr>
              <w:pStyle w:val="12"/>
            </w:pPr>
          </w:p>
        </w:tc>
        <w:tc>
          <w:tcPr>
            <w:tcW w:w="2835" w:type="dxa"/>
            <w:vAlign w:val="center"/>
          </w:tcPr>
          <w:p w14:paraId="00A4B2CA">
            <w:pPr>
              <w:pStyle w:val="14"/>
            </w:pPr>
          </w:p>
        </w:tc>
      </w:tr>
    </w:tbl>
    <w:p w14:paraId="745DF04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7CD292D">
      <w:pPr>
        <w:spacing w:before="0" w:after="0"/>
        <w:ind w:firstLine="640"/>
        <w:jc w:val="left"/>
        <w:outlineLvl w:val="9"/>
      </w:pPr>
      <w:r>
        <w:rPr>
          <w:rFonts w:ascii="Times New Roman" w:hAnsi="Times New Roman" w:eastAsia="方正仿宋_GBK" w:cs="Times New Roman"/>
          <w:color w:val="000000"/>
          <w:sz w:val="32"/>
        </w:rPr>
        <w:t xml:space="preserve"> </w:t>
      </w:r>
    </w:p>
    <w:p w14:paraId="73C3A1B3">
      <w:pPr>
        <w:spacing w:before="10" w:after="10" w:line="240" w:lineRule="auto"/>
        <w:ind w:firstLine="640"/>
        <w:jc w:val="left"/>
        <w:outlineLvl w:val="5"/>
      </w:pPr>
      <w:r>
        <w:rPr>
          <w:rFonts w:ascii="黑体" w:hAnsi="黑体" w:eastAsia="黑体" w:cs="黑体"/>
          <w:color w:val="000000"/>
          <w:sz w:val="32"/>
        </w:rPr>
        <w:t>八、名词解释</w:t>
      </w:r>
    </w:p>
    <w:p w14:paraId="2AB849E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0B0A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D0123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2A65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5494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30A15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C70D1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3EB3F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FB038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F0B8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BBC6B2">
      <w:pPr>
        <w:spacing w:before="10" w:after="10" w:line="240" w:lineRule="auto"/>
        <w:ind w:firstLine="640"/>
        <w:jc w:val="left"/>
        <w:outlineLvl w:val="5"/>
      </w:pPr>
      <w:r>
        <w:rPr>
          <w:rFonts w:ascii="黑体" w:hAnsi="黑体" w:eastAsia="黑体" w:cs="黑体"/>
          <w:color w:val="000000"/>
          <w:sz w:val="32"/>
        </w:rPr>
        <w:t>九、其他需要说明的事项</w:t>
      </w:r>
    </w:p>
    <w:p w14:paraId="53D15C7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1CF9B8B1"/>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F08323">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65208F">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265208F">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ABE4B0"/>
    <w:multiLevelType w:val="singleLevel"/>
    <w:tmpl w:val="2CABE4B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g1NGM5MzY4ZmUyZDFhOTM5ZDIwNDFhOWMxOGI2YmUifQ=="/>
  </w:docVars>
  <w:rsids>
    <w:rsidRoot w:val="06F84B19"/>
    <w:rsid w:val="03AA5801"/>
    <w:rsid w:val="06F84B19"/>
    <w:rsid w:val="0ADF0A70"/>
    <w:rsid w:val="0B396FAA"/>
    <w:rsid w:val="0B625F28"/>
    <w:rsid w:val="0DFB0A78"/>
    <w:rsid w:val="100A59F4"/>
    <w:rsid w:val="10FC41FD"/>
    <w:rsid w:val="133833D9"/>
    <w:rsid w:val="15860A03"/>
    <w:rsid w:val="17F13BD4"/>
    <w:rsid w:val="1B212787"/>
    <w:rsid w:val="1FE25010"/>
    <w:rsid w:val="27634826"/>
    <w:rsid w:val="277D0B34"/>
    <w:rsid w:val="2F062295"/>
    <w:rsid w:val="311C2C56"/>
    <w:rsid w:val="36A11DFA"/>
    <w:rsid w:val="37CC6CEC"/>
    <w:rsid w:val="38205A18"/>
    <w:rsid w:val="3C496672"/>
    <w:rsid w:val="3DC115C9"/>
    <w:rsid w:val="406767F2"/>
    <w:rsid w:val="45DE2E86"/>
    <w:rsid w:val="47F27708"/>
    <w:rsid w:val="49765FAF"/>
    <w:rsid w:val="4ACC3E2B"/>
    <w:rsid w:val="4B1E76C3"/>
    <w:rsid w:val="4D82721E"/>
    <w:rsid w:val="51CC6733"/>
    <w:rsid w:val="52AD6F51"/>
    <w:rsid w:val="57A543D9"/>
    <w:rsid w:val="5AB163CA"/>
    <w:rsid w:val="63A81561"/>
    <w:rsid w:val="65B2504A"/>
    <w:rsid w:val="696F5C56"/>
    <w:rsid w:val="69F3728B"/>
    <w:rsid w:val="6AEA367C"/>
    <w:rsid w:val="6DE97FD8"/>
    <w:rsid w:val="704F1095"/>
    <w:rsid w:val="71296C55"/>
    <w:rsid w:val="72884B1B"/>
    <w:rsid w:val="73CD37F3"/>
    <w:rsid w:val="768D4A85"/>
    <w:rsid w:val="790B1E93"/>
    <w:rsid w:val="7A574850"/>
    <w:rsid w:val="7AB14A0A"/>
    <w:rsid w:val="7BFF337A"/>
    <w:rsid w:val="7E846DBD"/>
    <w:rsid w:val="7F5F07EF"/>
    <w:rsid w:val="7FC85C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footer"/>
    <w:basedOn w:val="1"/>
    <w:next w:val="2"/>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1432</Pages>
  <Words>493302</Words>
  <Characters>583829</Characters>
  <Lines>0</Lines>
  <Paragraphs>0</Paragraphs>
  <TotalTime>13</TotalTime>
  <ScaleCrop>false</ScaleCrop>
  <LinksUpToDate>false</LinksUpToDate>
  <CharactersWithSpaces>594662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2025-02-28T03:53:00Z</dcterms:created>
  <dc:creator>Acer</dc:creator>
  <cp:lastModifiedBy>Acer</cp:lastModifiedBy>
  <dcterms:modified xsi:type="dcterms:W3CDTF">2025-09-12T01:57:47Z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7DCB65316A444231987C74BF76D829BD_13</vt:lpwstr>
  </property>
  <property fmtid="{D5CDD505-2E9C-101B-9397-08002B2CF9AE}" pid="4" name="KSOTemplateDocerSaveRecord">
    <vt:lpwstr>eyJoZGlkIjoiY2QxZmQ2MDRlMjIwNDNlMGQ3MDRkYTcxYzA0NDdiOTIiLCJ1c2VySWQiOiIzMjM1NzM1NzEifQ==</vt:lpwstr>
  </property>
</Properties>
</file>